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18A4" w:rsidRPr="00382917" w:rsidRDefault="006D18A4">
      <w:pPr>
        <w:widowControl/>
        <w:kinsoku/>
        <w:overflowPunct/>
        <w:textAlignment w:val="auto"/>
      </w:pPr>
    </w:p>
    <w:p w:rsidR="006D18A4" w:rsidRPr="00382917" w:rsidRDefault="006D18A4" w:rsidP="006D18A4"/>
    <w:p w:rsidR="006579C6" w:rsidRPr="00382917" w:rsidRDefault="006579C6" w:rsidP="006579C6">
      <w:pPr>
        <w:rPr>
          <w:rFonts w:eastAsia="Times New Roman"/>
          <w:color w:val="000000"/>
          <w:sz w:val="24"/>
        </w:rPr>
      </w:pPr>
    </w:p>
    <w:p w:rsidR="006579C6" w:rsidRPr="00382917" w:rsidRDefault="006579C6" w:rsidP="006579C6">
      <w:pPr>
        <w:rPr>
          <w:rFonts w:eastAsia="Times New Roman"/>
          <w:color w:val="000000"/>
          <w:sz w:val="24"/>
        </w:rPr>
      </w:pPr>
    </w:p>
    <w:p w:rsidR="006579C6" w:rsidRPr="00382917" w:rsidRDefault="00A54FDD" w:rsidP="00A54FDD">
      <w:pPr>
        <w:jc w:val="center"/>
        <w:rPr>
          <w:rFonts w:eastAsia="Times New Roman"/>
          <w:color w:val="000000"/>
          <w:sz w:val="24"/>
        </w:rPr>
      </w:pPr>
      <w:r w:rsidRPr="00382917">
        <w:rPr>
          <w:rFonts w:eastAsia="Times New Roman"/>
          <w:noProof/>
          <w:color w:val="000000"/>
          <w:sz w:val="24"/>
          <w:lang w:val="en-AU" w:eastAsia="en-AU"/>
          <w14:numForm w14:val="default"/>
          <w14:numSpacing w14:val="default"/>
        </w:rPr>
        <w:drawing>
          <wp:inline distT="0" distB="0" distL="0" distR="0" wp14:anchorId="34E30D1D" wp14:editId="057AE276">
            <wp:extent cx="1656000" cy="129600"/>
            <wp:effectExtent l="0" t="0" r="1905"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tle page.emf"/>
                    <pic:cNvPicPr/>
                  </pic:nvPicPr>
                  <pic:blipFill>
                    <a:blip r:embed="rId9">
                      <a:extLst>
                        <a:ext uri="{28A0092B-C50C-407E-A947-70E740481C1C}">
                          <a14:useLocalDpi xmlns:a14="http://schemas.microsoft.com/office/drawing/2010/main" val="0"/>
                        </a:ext>
                      </a:extLst>
                    </a:blip>
                    <a:stretch>
                      <a:fillRect/>
                    </a:stretch>
                  </pic:blipFill>
                  <pic:spPr>
                    <a:xfrm>
                      <a:off x="0" y="0"/>
                      <a:ext cx="1656000" cy="129600"/>
                    </a:xfrm>
                    <a:prstGeom prst="rect">
                      <a:avLst/>
                    </a:prstGeom>
                  </pic:spPr>
                </pic:pic>
              </a:graphicData>
            </a:graphic>
          </wp:inline>
        </w:drawing>
      </w:r>
    </w:p>
    <w:p w:rsidR="00A54FDD" w:rsidRPr="00382917" w:rsidRDefault="00A54FDD" w:rsidP="00A54FDD"/>
    <w:p w:rsidR="006579C6" w:rsidRPr="00382917" w:rsidRDefault="00A54FDD" w:rsidP="00A54FDD">
      <w:pPr>
        <w:jc w:val="center"/>
        <w:rPr>
          <w:rFonts w:eastAsia="Times New Roman"/>
          <w:b/>
          <w:bCs/>
          <w:color w:val="000000"/>
          <w:sz w:val="40"/>
          <w:szCs w:val="40"/>
        </w:rPr>
      </w:pPr>
      <w:r w:rsidRPr="00382917">
        <w:rPr>
          <w:rFonts w:ascii="Times New Roman" w:eastAsia="Times New Roman" w:hAnsi="Times New Roman"/>
          <w:b/>
          <w:bCs/>
          <w:color w:val="000000"/>
          <w:sz w:val="40"/>
          <w:szCs w:val="40"/>
        </w:rPr>
        <w:t>Release</w:t>
      </w:r>
      <w:r w:rsidR="00EE4FC3">
        <w:rPr>
          <w:rFonts w:ascii="Times New Roman" w:eastAsia="Times New Roman" w:hAnsi="Times New Roman"/>
          <w:b/>
          <w:bCs/>
          <w:color w:val="000000"/>
          <w:sz w:val="40"/>
          <w:szCs w:val="40"/>
        </w:rPr>
        <w:t xml:space="preserve"> </w:t>
      </w:r>
      <w:r w:rsidRPr="00382917">
        <w:rPr>
          <w:rFonts w:ascii="Times New Roman" w:eastAsia="Times New Roman" w:hAnsi="Times New Roman"/>
          <w:b/>
          <w:bCs/>
          <w:color w:val="000000"/>
          <w:sz w:val="40"/>
          <w:szCs w:val="40"/>
        </w:rPr>
        <w:t>the</w:t>
      </w:r>
      <w:r w:rsidR="00EE4FC3">
        <w:rPr>
          <w:rFonts w:ascii="Times New Roman" w:eastAsia="Times New Roman" w:hAnsi="Times New Roman"/>
          <w:b/>
          <w:bCs/>
          <w:color w:val="000000"/>
          <w:sz w:val="40"/>
          <w:szCs w:val="40"/>
        </w:rPr>
        <w:t xml:space="preserve"> </w:t>
      </w:r>
      <w:r w:rsidRPr="00382917">
        <w:rPr>
          <w:rFonts w:ascii="Times New Roman" w:eastAsia="Times New Roman" w:hAnsi="Times New Roman"/>
          <w:b/>
          <w:bCs/>
          <w:color w:val="000000"/>
          <w:sz w:val="40"/>
          <w:szCs w:val="40"/>
        </w:rPr>
        <w:t>Sun</w:t>
      </w:r>
    </w:p>
    <w:p w:rsidR="00A54FDD" w:rsidRPr="00382917" w:rsidRDefault="00A54FDD" w:rsidP="00A54FDD"/>
    <w:p w:rsidR="006579C6" w:rsidRPr="00382917" w:rsidRDefault="00A54FDD" w:rsidP="00A54FDD">
      <w:pPr>
        <w:jc w:val="center"/>
        <w:rPr>
          <w:rFonts w:eastAsia="Times New Roman"/>
          <w:color w:val="000000"/>
          <w:sz w:val="24"/>
        </w:rPr>
      </w:pPr>
      <w:r w:rsidRPr="00382917">
        <w:rPr>
          <w:rFonts w:eastAsia="Times New Roman"/>
          <w:noProof/>
          <w:color w:val="000000"/>
          <w:sz w:val="24"/>
          <w:lang w:val="en-AU" w:eastAsia="en-AU"/>
          <w14:numForm w14:val="default"/>
          <w14:numSpacing w14:val="default"/>
        </w:rPr>
        <w:drawing>
          <wp:inline distT="0" distB="0" distL="0" distR="0" wp14:anchorId="564E82F0" wp14:editId="1D020243">
            <wp:extent cx="1656000" cy="129600"/>
            <wp:effectExtent l="0" t="0" r="1905"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tle page.emf"/>
                    <pic:cNvPicPr/>
                  </pic:nvPicPr>
                  <pic:blipFill>
                    <a:blip r:embed="rId9">
                      <a:extLst>
                        <a:ext uri="{28A0092B-C50C-407E-A947-70E740481C1C}">
                          <a14:useLocalDpi xmlns:a14="http://schemas.microsoft.com/office/drawing/2010/main" val="0"/>
                        </a:ext>
                      </a:extLst>
                    </a:blip>
                    <a:stretch>
                      <a:fillRect/>
                    </a:stretch>
                  </pic:blipFill>
                  <pic:spPr>
                    <a:xfrm flipV="1">
                      <a:off x="0" y="0"/>
                      <a:ext cx="1656000" cy="129600"/>
                    </a:xfrm>
                    <a:prstGeom prst="rect">
                      <a:avLst/>
                    </a:prstGeom>
                  </pic:spPr>
                </pic:pic>
              </a:graphicData>
            </a:graphic>
          </wp:inline>
        </w:drawing>
      </w:r>
    </w:p>
    <w:p w:rsidR="006579C6" w:rsidRPr="00382917" w:rsidRDefault="006579C6" w:rsidP="006579C6">
      <w:pPr>
        <w:rPr>
          <w:rFonts w:eastAsia="Times New Roman"/>
          <w:color w:val="000000"/>
          <w:sz w:val="24"/>
        </w:rPr>
      </w:pPr>
    </w:p>
    <w:p w:rsidR="006579C6" w:rsidRPr="00382917" w:rsidRDefault="006579C6" w:rsidP="006579C6">
      <w:pPr>
        <w:rPr>
          <w:rFonts w:eastAsia="Times New Roman"/>
          <w:color w:val="000000"/>
          <w:sz w:val="24"/>
        </w:rPr>
      </w:pPr>
    </w:p>
    <w:p w:rsidR="006579C6" w:rsidRPr="00382917" w:rsidRDefault="00A54FDD" w:rsidP="00A54FDD">
      <w:pPr>
        <w:jc w:val="center"/>
        <w:rPr>
          <w:rFonts w:eastAsia="Times New Roman"/>
          <w:b/>
          <w:bCs/>
          <w:color w:val="000000"/>
          <w:sz w:val="24"/>
        </w:rPr>
      </w:pPr>
      <w:r w:rsidRPr="00382917">
        <w:rPr>
          <w:rFonts w:ascii="Times New Roman" w:eastAsia="Times New Roman" w:hAnsi="Times New Roman"/>
          <w:b/>
          <w:bCs/>
          <w:color w:val="000000"/>
          <w:sz w:val="24"/>
        </w:rPr>
        <w:t>By</w:t>
      </w:r>
      <w:r w:rsidR="00EE4FC3">
        <w:rPr>
          <w:rFonts w:ascii="Times New Roman" w:eastAsia="Times New Roman" w:hAnsi="Times New Roman"/>
          <w:b/>
          <w:bCs/>
          <w:color w:val="000000"/>
          <w:sz w:val="24"/>
        </w:rPr>
        <w:t xml:space="preserve"> </w:t>
      </w:r>
      <w:r w:rsidRPr="00382917">
        <w:rPr>
          <w:rFonts w:ascii="Times New Roman" w:eastAsia="Times New Roman" w:hAnsi="Times New Roman"/>
          <w:b/>
          <w:bCs/>
          <w:color w:val="000000"/>
          <w:sz w:val="24"/>
        </w:rPr>
        <w:t>William</w:t>
      </w:r>
      <w:r w:rsidR="00EE4FC3">
        <w:rPr>
          <w:rFonts w:ascii="Times New Roman" w:eastAsia="Times New Roman" w:hAnsi="Times New Roman"/>
          <w:b/>
          <w:bCs/>
          <w:color w:val="000000"/>
          <w:sz w:val="24"/>
        </w:rPr>
        <w:t xml:space="preserve"> </w:t>
      </w:r>
      <w:r w:rsidRPr="00382917">
        <w:rPr>
          <w:rFonts w:ascii="Times New Roman" w:eastAsia="Times New Roman" w:hAnsi="Times New Roman"/>
          <w:b/>
          <w:bCs/>
          <w:color w:val="000000"/>
          <w:sz w:val="24"/>
        </w:rPr>
        <w:t>Sears</w:t>
      </w:r>
    </w:p>
    <w:p w:rsidR="006579C6" w:rsidRPr="00382917" w:rsidRDefault="006579C6" w:rsidP="006579C6">
      <w:pPr>
        <w:rPr>
          <w:rFonts w:eastAsia="Times New Roman"/>
          <w:color w:val="000000"/>
          <w:sz w:val="24"/>
        </w:rPr>
      </w:pPr>
    </w:p>
    <w:p w:rsidR="006579C6" w:rsidRPr="00382917" w:rsidRDefault="006579C6" w:rsidP="006579C6">
      <w:pPr>
        <w:rPr>
          <w:rFonts w:eastAsia="Times New Roman"/>
          <w:color w:val="000000"/>
          <w:sz w:val="24"/>
        </w:rPr>
      </w:pPr>
    </w:p>
    <w:p w:rsidR="006579C6" w:rsidRPr="00382917" w:rsidRDefault="006579C6" w:rsidP="006579C6">
      <w:pPr>
        <w:rPr>
          <w:rFonts w:eastAsia="Times New Roman"/>
          <w:color w:val="000000"/>
          <w:sz w:val="24"/>
        </w:rPr>
      </w:pPr>
    </w:p>
    <w:p w:rsidR="006579C6" w:rsidRPr="00382917" w:rsidRDefault="006579C6" w:rsidP="006579C6">
      <w:pPr>
        <w:rPr>
          <w:rFonts w:eastAsia="Times New Roman"/>
          <w:color w:val="000000"/>
          <w:sz w:val="24"/>
        </w:rPr>
      </w:pPr>
    </w:p>
    <w:p w:rsidR="006579C6" w:rsidRPr="00382917" w:rsidRDefault="006579C6" w:rsidP="006579C6">
      <w:pPr>
        <w:rPr>
          <w:rFonts w:eastAsia="Times New Roman"/>
          <w:color w:val="000000"/>
          <w:sz w:val="24"/>
        </w:rPr>
      </w:pPr>
    </w:p>
    <w:p w:rsidR="006579C6" w:rsidRPr="00382917" w:rsidRDefault="006579C6" w:rsidP="006579C6">
      <w:pPr>
        <w:rPr>
          <w:rFonts w:eastAsia="Times New Roman"/>
          <w:color w:val="000000"/>
          <w:sz w:val="24"/>
        </w:rPr>
      </w:pPr>
    </w:p>
    <w:p w:rsidR="006579C6" w:rsidRPr="00382917" w:rsidRDefault="006579C6" w:rsidP="006579C6">
      <w:pPr>
        <w:rPr>
          <w:rFonts w:eastAsia="Times New Roman"/>
          <w:color w:val="000000"/>
          <w:sz w:val="24"/>
        </w:rPr>
      </w:pPr>
    </w:p>
    <w:p w:rsidR="006579C6" w:rsidRPr="00382917" w:rsidRDefault="00A54FDD" w:rsidP="00A54FDD">
      <w:pPr>
        <w:jc w:val="center"/>
        <w:rPr>
          <w:rFonts w:eastAsia="Times New Roman"/>
          <w:color w:val="000000"/>
          <w:sz w:val="24"/>
        </w:rPr>
      </w:pPr>
      <w:r w:rsidRPr="00382917">
        <w:rPr>
          <w:rFonts w:ascii="Times New Roman" w:eastAsia="Times New Roman" w:hAnsi="Times New Roman"/>
          <w:noProof/>
          <w:color w:val="000000"/>
          <w:sz w:val="24"/>
          <w:lang w:val="en-AU" w:eastAsia="en-AU"/>
          <w14:numForm w14:val="default"/>
          <w14:numSpacing w14:val="default"/>
        </w:rPr>
        <w:drawing>
          <wp:inline distT="0" distB="0" distL="0" distR="0" wp14:anchorId="711D8C58" wp14:editId="159DFB2A">
            <wp:extent cx="835950" cy="478608"/>
            <wp:effectExtent l="0" t="0" r="254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PT book.emf"/>
                    <pic:cNvPicPr/>
                  </pic:nvPicPr>
                  <pic:blipFill>
                    <a:blip r:embed="rId10">
                      <a:extLst>
                        <a:ext uri="{28A0092B-C50C-407E-A947-70E740481C1C}">
                          <a14:useLocalDpi xmlns:a14="http://schemas.microsoft.com/office/drawing/2010/main" val="0"/>
                        </a:ext>
                      </a:extLst>
                    </a:blip>
                    <a:stretch>
                      <a:fillRect/>
                    </a:stretch>
                  </pic:blipFill>
                  <pic:spPr>
                    <a:xfrm>
                      <a:off x="0" y="0"/>
                      <a:ext cx="837303" cy="479383"/>
                    </a:xfrm>
                    <a:prstGeom prst="rect">
                      <a:avLst/>
                    </a:prstGeom>
                  </pic:spPr>
                </pic:pic>
              </a:graphicData>
            </a:graphic>
          </wp:inline>
        </w:drawing>
      </w:r>
    </w:p>
    <w:p w:rsidR="006579C6" w:rsidRPr="00382917" w:rsidRDefault="00A54FDD" w:rsidP="00F04416">
      <w:pPr>
        <w:spacing w:before="120"/>
        <w:jc w:val="center"/>
      </w:pPr>
      <w:r w:rsidRPr="00382917">
        <w:t>Bahá</w:t>
      </w:r>
      <w:r w:rsidR="009C713D" w:rsidRPr="00382917">
        <w:t>’</w:t>
      </w:r>
      <w:r w:rsidRPr="00382917">
        <w:t>í</w:t>
      </w:r>
      <w:r w:rsidR="00EE4FC3">
        <w:t xml:space="preserve"> </w:t>
      </w:r>
      <w:r w:rsidRPr="00382917">
        <w:t>Publishing</w:t>
      </w:r>
      <w:r w:rsidR="00EE4FC3">
        <w:t xml:space="preserve"> </w:t>
      </w:r>
      <w:r w:rsidRPr="00382917">
        <w:t>Trust</w:t>
      </w:r>
      <w:r w:rsidRPr="00382917">
        <w:br/>
        <w:t>Wilmette,</w:t>
      </w:r>
      <w:r w:rsidR="00EE4FC3">
        <w:t xml:space="preserve"> </w:t>
      </w:r>
      <w:r w:rsidRPr="00382917">
        <w:t>Illinois,</w:t>
      </w:r>
      <w:r w:rsidR="00EE4FC3">
        <w:t xml:space="preserve"> </w:t>
      </w:r>
      <w:r w:rsidRPr="00382917">
        <w:t>USA</w:t>
      </w:r>
      <w:r w:rsidR="00EE4FC3">
        <w:t xml:space="preserve"> </w:t>
      </w:r>
      <w:r w:rsidR="006579C6" w:rsidRPr="00382917">
        <w:t>/</w:t>
      </w:r>
      <w:r w:rsidR="00EE4FC3">
        <w:t xml:space="preserve"> </w:t>
      </w:r>
      <w:r w:rsidR="006579C6" w:rsidRPr="00382917">
        <w:t>1971</w:t>
      </w:r>
    </w:p>
    <w:p w:rsidR="006579C6" w:rsidRPr="00382917" w:rsidRDefault="006579C6" w:rsidP="006579C6">
      <w:pPr>
        <w:rPr>
          <w:rFonts w:eastAsia="Times New Roman"/>
          <w:color w:val="000000"/>
          <w:sz w:val="24"/>
        </w:rPr>
      </w:pPr>
      <w:r w:rsidRPr="00382917">
        <w:rPr>
          <w:rFonts w:eastAsia="Times New Roman"/>
          <w:color w:val="000000"/>
          <w:sz w:val="24"/>
        </w:rPr>
        <w:br w:type="page"/>
      </w:r>
    </w:p>
    <w:p w:rsidR="006579C6" w:rsidRPr="00382917" w:rsidRDefault="006579C6" w:rsidP="006579C6">
      <w:pPr>
        <w:rPr>
          <w:rFonts w:eastAsia="Times New Roman"/>
          <w:color w:val="000000"/>
          <w:sz w:val="24"/>
        </w:rPr>
      </w:pPr>
    </w:p>
    <w:p w:rsidR="006579C6" w:rsidRPr="00382917" w:rsidRDefault="006579C6" w:rsidP="006579C6">
      <w:pPr>
        <w:rPr>
          <w:rFonts w:eastAsia="Times New Roman"/>
          <w:color w:val="000000"/>
          <w:sz w:val="24"/>
        </w:rPr>
      </w:pPr>
    </w:p>
    <w:p w:rsidR="006579C6" w:rsidRPr="00382917" w:rsidRDefault="006579C6" w:rsidP="00DD6267">
      <w:r w:rsidRPr="00382917">
        <w:t>Copyright</w:t>
      </w:r>
      <w:r w:rsidR="00EE4FC3">
        <w:t xml:space="preserve"> </w:t>
      </w:r>
      <w:r w:rsidRPr="00382917">
        <w:t>©</w:t>
      </w:r>
      <w:r w:rsidR="00EE4FC3">
        <w:t xml:space="preserve"> </w:t>
      </w:r>
      <w:r w:rsidRPr="00382917">
        <w:t>1960</w:t>
      </w:r>
      <w:r w:rsidR="00EE4FC3">
        <w:t xml:space="preserve"> </w:t>
      </w:r>
      <w:r w:rsidRPr="00382917">
        <w:t>by</w:t>
      </w:r>
      <w:r w:rsidR="00EE4FC3">
        <w:t xml:space="preserve"> </w:t>
      </w:r>
      <w:r w:rsidRPr="00382917">
        <w:t>National</w:t>
      </w:r>
      <w:r w:rsidR="00EE4FC3">
        <w:t xml:space="preserve"> </w:t>
      </w:r>
      <w:r w:rsidRPr="00382917">
        <w:t>Spiritual</w:t>
      </w:r>
      <w:r w:rsidR="00EE4FC3">
        <w:t xml:space="preserve"> </w:t>
      </w:r>
      <w:r w:rsidRPr="00382917">
        <w:t>Assembly</w:t>
      </w:r>
      <w:r w:rsidR="00DD6267">
        <w:br/>
      </w:r>
      <w:r w:rsidRPr="00382917">
        <w:t>of</w:t>
      </w:r>
      <w:r w:rsidR="00EE4FC3">
        <w:t xml:space="preserve"> </w:t>
      </w:r>
      <w:r w:rsidRPr="00382917">
        <w:t>the</w:t>
      </w:r>
      <w:r w:rsidR="00EE4FC3">
        <w:t xml:space="preserve"> </w:t>
      </w:r>
      <w:r w:rsidRPr="00382917">
        <w:t>Bahá</w:t>
      </w:r>
      <w:r w:rsidR="009C713D" w:rsidRPr="00382917">
        <w:t>’</w:t>
      </w:r>
      <w:r w:rsidRPr="00382917">
        <w:t>ís</w:t>
      </w:r>
      <w:r w:rsidR="00EE4FC3">
        <w:t xml:space="preserve"> </w:t>
      </w:r>
      <w:r w:rsidRPr="00382917">
        <w:t>of</w:t>
      </w:r>
      <w:r w:rsidR="00EE4FC3">
        <w:t xml:space="preserve"> </w:t>
      </w:r>
      <w:r w:rsidRPr="00382917">
        <w:t>the</w:t>
      </w:r>
      <w:r w:rsidR="00EE4FC3">
        <w:t xml:space="preserve"> </w:t>
      </w:r>
      <w:r w:rsidRPr="00382917">
        <w:t>United</w:t>
      </w:r>
      <w:r w:rsidR="00EE4FC3">
        <w:t xml:space="preserve"> </w:t>
      </w:r>
      <w:r w:rsidRPr="00382917">
        <w:t>States</w:t>
      </w:r>
    </w:p>
    <w:p w:rsidR="006579C6" w:rsidRPr="00382917" w:rsidRDefault="006579C6" w:rsidP="00F04416">
      <w:r w:rsidRPr="00382917">
        <w:t>All</w:t>
      </w:r>
      <w:r w:rsidR="00EE4FC3">
        <w:t xml:space="preserve"> </w:t>
      </w:r>
      <w:r w:rsidRPr="00382917">
        <w:t>Rights</w:t>
      </w:r>
      <w:r w:rsidR="00EE4FC3">
        <w:t xml:space="preserve"> </w:t>
      </w:r>
      <w:r w:rsidRPr="00382917">
        <w:t>Reserved</w:t>
      </w:r>
    </w:p>
    <w:p w:rsidR="006579C6" w:rsidRPr="00382917" w:rsidRDefault="006579C6" w:rsidP="006579C6">
      <w:pPr>
        <w:rPr>
          <w:rFonts w:eastAsia="Times New Roman"/>
          <w:color w:val="000000"/>
          <w:sz w:val="24"/>
        </w:rPr>
      </w:pPr>
    </w:p>
    <w:p w:rsidR="006579C6" w:rsidRPr="00382917" w:rsidRDefault="006579C6" w:rsidP="00DD6267">
      <w:r w:rsidRPr="00382917">
        <w:t>This</w:t>
      </w:r>
      <w:r w:rsidR="00EE4FC3">
        <w:t xml:space="preserve"> </w:t>
      </w:r>
      <w:r w:rsidRPr="00382917">
        <w:t>American</w:t>
      </w:r>
      <w:r w:rsidR="00EE4FC3">
        <w:t xml:space="preserve"> </w:t>
      </w:r>
      <w:r w:rsidRPr="00382917">
        <w:t>edition</w:t>
      </w:r>
      <w:r w:rsidR="00EE4FC3">
        <w:t xml:space="preserve"> </w:t>
      </w:r>
      <w:r w:rsidRPr="00382917">
        <w:t>first</w:t>
      </w:r>
      <w:r w:rsidR="00EE4FC3">
        <w:t xml:space="preserve"> </w:t>
      </w:r>
      <w:r w:rsidRPr="00382917">
        <w:t>published</w:t>
      </w:r>
      <w:r w:rsidR="00EE4FC3">
        <w:t xml:space="preserve"> </w:t>
      </w:r>
      <w:r w:rsidRPr="00382917">
        <w:t>in</w:t>
      </w:r>
      <w:r w:rsidR="00EE4FC3">
        <w:t xml:space="preserve"> </w:t>
      </w:r>
      <w:r w:rsidRPr="00382917">
        <w:t>1960</w:t>
      </w:r>
      <w:r w:rsidRPr="00382917">
        <w:br/>
        <w:t>is</w:t>
      </w:r>
      <w:r w:rsidR="00EE4FC3">
        <w:t xml:space="preserve"> </w:t>
      </w:r>
      <w:r w:rsidRPr="00382917">
        <w:t>a</w:t>
      </w:r>
      <w:r w:rsidR="00EE4FC3">
        <w:t xml:space="preserve"> </w:t>
      </w:r>
      <w:r w:rsidRPr="00382917">
        <w:t>revised</w:t>
      </w:r>
      <w:r w:rsidR="00EE4FC3">
        <w:t xml:space="preserve"> </w:t>
      </w:r>
      <w:r w:rsidRPr="00382917">
        <w:t>edition</w:t>
      </w:r>
      <w:r w:rsidR="00EE4FC3">
        <w:t xml:space="preserve"> </w:t>
      </w:r>
      <w:r w:rsidRPr="00382917">
        <w:t>of</w:t>
      </w:r>
      <w:r w:rsidR="00EE4FC3">
        <w:t xml:space="preserve"> </w:t>
      </w:r>
      <w:r w:rsidRPr="00382917">
        <w:t>the</w:t>
      </w:r>
      <w:r w:rsidR="00EE4FC3">
        <w:t xml:space="preserve"> </w:t>
      </w:r>
      <w:r w:rsidRPr="00382917">
        <w:t>book</w:t>
      </w:r>
      <w:r w:rsidR="00EE4FC3">
        <w:t xml:space="preserve"> </w:t>
      </w:r>
      <w:r w:rsidRPr="00382917">
        <w:t>first</w:t>
      </w:r>
      <w:r w:rsidR="00EE4FC3">
        <w:t xml:space="preserve"> </w:t>
      </w:r>
      <w:r w:rsidRPr="00382917">
        <w:t>published</w:t>
      </w:r>
      <w:r w:rsidRPr="00382917">
        <w:br/>
        <w:t>by</w:t>
      </w:r>
      <w:r w:rsidR="00EE4FC3">
        <w:t xml:space="preserve"> </w:t>
      </w:r>
      <w:r w:rsidRPr="00382917">
        <w:t>the</w:t>
      </w:r>
      <w:r w:rsidR="00EE4FC3">
        <w:t xml:space="preserve"> </w:t>
      </w:r>
      <w:r w:rsidRPr="00382917">
        <w:t>Bahá</w:t>
      </w:r>
      <w:r w:rsidR="009C713D" w:rsidRPr="00382917">
        <w:t>’</w:t>
      </w:r>
      <w:r w:rsidRPr="00382917">
        <w:t>í</w:t>
      </w:r>
      <w:r w:rsidR="00EE4FC3">
        <w:t xml:space="preserve"> </w:t>
      </w:r>
      <w:r w:rsidRPr="00382917">
        <w:t>Publishing</w:t>
      </w:r>
      <w:r w:rsidR="00EE4FC3">
        <w:t xml:space="preserve"> </w:t>
      </w:r>
      <w:r w:rsidRPr="00382917">
        <w:t>Trust</w:t>
      </w:r>
      <w:r w:rsidR="00EE4FC3">
        <w:t xml:space="preserve"> </w:t>
      </w:r>
      <w:r w:rsidRPr="00382917">
        <w:t>of</w:t>
      </w:r>
      <w:r w:rsidR="00EE4FC3">
        <w:t xml:space="preserve"> </w:t>
      </w:r>
      <w:r w:rsidRPr="00382917">
        <w:t>India</w:t>
      </w:r>
      <w:r w:rsidR="00EE4FC3">
        <w:t xml:space="preserve"> </w:t>
      </w:r>
      <w:r w:rsidRPr="00382917">
        <w:t>in</w:t>
      </w:r>
      <w:r w:rsidR="00EE4FC3">
        <w:t xml:space="preserve"> </w:t>
      </w:r>
      <w:r w:rsidRPr="00382917">
        <w:t>1957</w:t>
      </w:r>
    </w:p>
    <w:p w:rsidR="006579C6" w:rsidRPr="00382917" w:rsidRDefault="006579C6" w:rsidP="006579C6">
      <w:pPr>
        <w:rPr>
          <w:rFonts w:eastAsia="Times New Roman"/>
          <w:color w:val="000000"/>
          <w:sz w:val="24"/>
        </w:rPr>
      </w:pPr>
    </w:p>
    <w:p w:rsidR="006579C6" w:rsidRPr="00382917" w:rsidRDefault="006579C6" w:rsidP="006579C6">
      <w:pPr>
        <w:rPr>
          <w:rFonts w:eastAsia="Times New Roman"/>
          <w:color w:val="000000"/>
          <w:sz w:val="24"/>
        </w:rPr>
      </w:pPr>
    </w:p>
    <w:p w:rsidR="006579C6" w:rsidRPr="00382917" w:rsidRDefault="006579C6" w:rsidP="006579C6">
      <w:pPr>
        <w:rPr>
          <w:rFonts w:eastAsia="Times New Roman"/>
          <w:color w:val="000000"/>
          <w:sz w:val="24"/>
        </w:rPr>
      </w:pPr>
    </w:p>
    <w:p w:rsidR="006579C6" w:rsidRPr="00382917" w:rsidRDefault="006579C6" w:rsidP="006579C6">
      <w:pPr>
        <w:rPr>
          <w:rFonts w:eastAsia="Times New Roman"/>
          <w:color w:val="000000"/>
          <w:sz w:val="24"/>
        </w:rPr>
      </w:pPr>
    </w:p>
    <w:p w:rsidR="006579C6" w:rsidRPr="00382917" w:rsidRDefault="006579C6" w:rsidP="006579C6">
      <w:pPr>
        <w:rPr>
          <w:rFonts w:eastAsia="Times New Roman"/>
          <w:color w:val="000000"/>
          <w:sz w:val="24"/>
        </w:rPr>
      </w:pPr>
    </w:p>
    <w:p w:rsidR="006579C6" w:rsidRPr="00382917" w:rsidRDefault="006579C6" w:rsidP="00F825CC">
      <w:r w:rsidRPr="00382917">
        <w:t>ISBN:</w:t>
      </w:r>
      <w:r w:rsidR="00EE4FC3">
        <w:t xml:space="preserve"> </w:t>
      </w:r>
      <w:r w:rsidRPr="00382917">
        <w:t>0</w:t>
      </w:r>
      <w:r w:rsidR="00F825CC">
        <w:t>-</w:t>
      </w:r>
      <w:r w:rsidRPr="00382917">
        <w:t>87743-027-6</w:t>
      </w:r>
    </w:p>
    <w:p w:rsidR="006579C6" w:rsidRPr="00382917" w:rsidRDefault="006579C6" w:rsidP="00F04416">
      <w:r w:rsidRPr="00382917">
        <w:t>Library</w:t>
      </w:r>
      <w:r w:rsidR="00EE4FC3">
        <w:t xml:space="preserve"> </w:t>
      </w:r>
      <w:r w:rsidRPr="00382917">
        <w:t>of</w:t>
      </w:r>
      <w:r w:rsidR="00EE4FC3">
        <w:t xml:space="preserve"> </w:t>
      </w:r>
      <w:r w:rsidRPr="00382917">
        <w:t>Congress</w:t>
      </w:r>
      <w:r w:rsidR="00EE4FC3">
        <w:t xml:space="preserve"> </w:t>
      </w:r>
      <w:r w:rsidRPr="00382917">
        <w:t>Card</w:t>
      </w:r>
      <w:r w:rsidR="00EE4FC3">
        <w:t xml:space="preserve"> </w:t>
      </w:r>
      <w:r w:rsidRPr="00382917">
        <w:t>Number:</w:t>
      </w:r>
      <w:r w:rsidR="00EE4FC3">
        <w:t xml:space="preserve"> </w:t>
      </w:r>
      <w:r w:rsidRPr="00382917">
        <w:t>60-8220</w:t>
      </w:r>
    </w:p>
    <w:p w:rsidR="006579C6" w:rsidRPr="00382917" w:rsidRDefault="006579C6" w:rsidP="006579C6">
      <w:pPr>
        <w:rPr>
          <w:rFonts w:eastAsia="Times New Roman"/>
          <w:color w:val="000000"/>
          <w:sz w:val="24"/>
        </w:rPr>
      </w:pPr>
    </w:p>
    <w:p w:rsidR="006579C6" w:rsidRPr="00382917" w:rsidRDefault="006579C6" w:rsidP="006579C6">
      <w:pPr>
        <w:rPr>
          <w:rFonts w:eastAsia="Times New Roman"/>
          <w:color w:val="000000"/>
          <w:sz w:val="24"/>
        </w:rPr>
      </w:pPr>
    </w:p>
    <w:p w:rsidR="006579C6" w:rsidRPr="00382917" w:rsidRDefault="00A54FDD" w:rsidP="00F04416">
      <w:r w:rsidRPr="00382917">
        <w:t>Manufactured</w:t>
      </w:r>
      <w:r w:rsidR="00EE4FC3">
        <w:t xml:space="preserve"> </w:t>
      </w:r>
      <w:r w:rsidRPr="00382917">
        <w:t>in</w:t>
      </w:r>
      <w:r w:rsidR="00EE4FC3">
        <w:t xml:space="preserve"> </w:t>
      </w:r>
      <w:r w:rsidRPr="00382917">
        <w:t>the</w:t>
      </w:r>
      <w:r w:rsidR="00EE4FC3">
        <w:t xml:space="preserve"> </w:t>
      </w:r>
      <w:r w:rsidRPr="00382917">
        <w:t>United</w:t>
      </w:r>
      <w:r w:rsidR="00EE4FC3">
        <w:t xml:space="preserve"> </w:t>
      </w:r>
      <w:r w:rsidRPr="00382917">
        <w:t>States</w:t>
      </w:r>
      <w:r w:rsidR="00EE4FC3">
        <w:t xml:space="preserve"> </w:t>
      </w:r>
      <w:r w:rsidRPr="00382917">
        <w:t>of</w:t>
      </w:r>
      <w:r w:rsidR="00EE4FC3">
        <w:t xml:space="preserve"> </w:t>
      </w:r>
      <w:r w:rsidRPr="00382917">
        <w:t>America</w:t>
      </w:r>
    </w:p>
    <w:p w:rsidR="00A54FDD" w:rsidRPr="00382917" w:rsidRDefault="00A54FDD" w:rsidP="006579C6">
      <w:pPr>
        <w:rPr>
          <w:rFonts w:eastAsia="Times New Roman"/>
          <w:color w:val="000000"/>
          <w:sz w:val="24"/>
        </w:rPr>
      </w:pPr>
    </w:p>
    <w:p w:rsidR="00327433" w:rsidRPr="00382917" w:rsidRDefault="00327433" w:rsidP="006579C6">
      <w:pPr>
        <w:rPr>
          <w:rFonts w:eastAsia="Times New Roman"/>
          <w:color w:val="000000"/>
          <w:sz w:val="24"/>
        </w:rPr>
        <w:sectPr w:rsidR="00327433" w:rsidRPr="00382917" w:rsidSect="00FE4EDA">
          <w:footerReference w:type="even" r:id="rId11"/>
          <w:footerReference w:type="default" r:id="rId12"/>
          <w:footerReference w:type="first" r:id="rId13"/>
          <w:footnotePr>
            <w:numRestart w:val="eachPage"/>
          </w:footnotePr>
          <w:type w:val="continuous"/>
          <w:pgSz w:w="8618" w:h="12984" w:code="188"/>
          <w:pgMar w:top="720" w:right="720" w:bottom="720" w:left="720" w:header="720" w:footer="567" w:gutter="357"/>
          <w:pgNumType w:fmt="lowerRoman"/>
          <w:cols w:space="708"/>
          <w:noEndnote/>
          <w:titlePg/>
          <w:docGrid w:linePitch="272"/>
        </w:sectPr>
      </w:pPr>
    </w:p>
    <w:p w:rsidR="006579C6" w:rsidRPr="00382917" w:rsidRDefault="00F04416" w:rsidP="00F04416">
      <w:r w:rsidRPr="00382917">
        <w:rPr>
          <w:sz w:val="12"/>
          <w:szCs w:val="12"/>
        </w:rPr>
        <w:fldChar w:fldCharType="begin"/>
      </w:r>
      <w:r w:rsidR="00EE4FC3">
        <w:rPr>
          <w:sz w:val="12"/>
          <w:szCs w:val="12"/>
        </w:rPr>
        <w:instrText xml:space="preserve"> </w:instrText>
      </w:r>
      <w:r w:rsidRPr="00382917">
        <w:rPr>
          <w:sz w:val="12"/>
          <w:szCs w:val="12"/>
        </w:rPr>
        <w:instrText>TC</w:instrText>
      </w:r>
      <w:r w:rsidR="00EE4FC3">
        <w:rPr>
          <w:sz w:val="12"/>
          <w:szCs w:val="12"/>
        </w:rPr>
        <w:instrText xml:space="preserve">  </w:instrText>
      </w:r>
      <w:r w:rsidRPr="00382917">
        <w:rPr>
          <w:sz w:val="12"/>
          <w:szCs w:val="12"/>
        </w:rPr>
        <w:instrText>“</w:instrText>
      </w:r>
      <w:bookmarkStart w:id="0" w:name="_Toc202119490"/>
      <w:bookmarkStart w:id="1" w:name="_Toc206658597"/>
      <w:r w:rsidRPr="00382917">
        <w:rPr>
          <w:sz w:val="12"/>
          <w:szCs w:val="12"/>
        </w:rPr>
        <w:instrText>Foreword</w:instrText>
      </w:r>
      <w:r w:rsidRPr="00382917">
        <w:rPr>
          <w:color w:val="FFFFFF" w:themeColor="background1"/>
          <w:sz w:val="12"/>
          <w:szCs w:val="12"/>
        </w:rPr>
        <w:instrText>..</w:instrText>
      </w:r>
      <w:r w:rsidRPr="00382917">
        <w:rPr>
          <w:sz w:val="12"/>
          <w:szCs w:val="12"/>
        </w:rPr>
        <w:tab/>
      </w:r>
      <w:r w:rsidRPr="00382917">
        <w:rPr>
          <w:color w:val="FFFFFF" w:themeColor="background1"/>
          <w:sz w:val="12"/>
          <w:szCs w:val="12"/>
        </w:rPr>
        <w:instrText>.</w:instrText>
      </w:r>
      <w:bookmarkEnd w:id="0"/>
      <w:bookmarkEnd w:id="1"/>
      <w:proofErr w:type="gramStart"/>
      <w:r w:rsidRPr="00382917">
        <w:rPr>
          <w:sz w:val="12"/>
          <w:szCs w:val="12"/>
        </w:rPr>
        <w:instrText>”</w:instrText>
      </w:r>
      <w:r w:rsidR="00EE4FC3">
        <w:rPr>
          <w:sz w:val="12"/>
          <w:szCs w:val="12"/>
        </w:rPr>
        <w:instrText xml:space="preserve"> </w:instrText>
      </w:r>
      <w:proofErr w:type="gramEnd"/>
      <w:r w:rsidRPr="00382917">
        <w:rPr>
          <w:sz w:val="12"/>
          <w:szCs w:val="12"/>
        </w:rPr>
        <w:instrText>\l</w:instrText>
      </w:r>
      <w:r w:rsidR="00EE4FC3">
        <w:rPr>
          <w:sz w:val="12"/>
          <w:szCs w:val="12"/>
        </w:rPr>
        <w:instrText xml:space="preserve"> </w:instrText>
      </w:r>
      <w:r w:rsidRPr="00382917">
        <w:rPr>
          <w:sz w:val="12"/>
          <w:szCs w:val="12"/>
        </w:rPr>
        <w:instrText>1</w:instrText>
      </w:r>
      <w:r w:rsidR="00EE4FC3">
        <w:rPr>
          <w:sz w:val="12"/>
          <w:szCs w:val="12"/>
        </w:rPr>
        <w:instrText xml:space="preserve"> </w:instrText>
      </w:r>
      <w:r w:rsidRPr="00382917">
        <w:rPr>
          <w:sz w:val="12"/>
          <w:szCs w:val="12"/>
        </w:rPr>
        <w:fldChar w:fldCharType="end"/>
      </w:r>
    </w:p>
    <w:p w:rsidR="006579C6" w:rsidRPr="00382917" w:rsidRDefault="006579C6" w:rsidP="00F04416"/>
    <w:p w:rsidR="006579C6" w:rsidRPr="00382917" w:rsidRDefault="00A54FDD" w:rsidP="00A54FDD">
      <w:pPr>
        <w:pStyle w:val="Myheadc"/>
      </w:pPr>
      <w:r w:rsidRPr="00382917">
        <w:t>Foreword</w:t>
      </w:r>
    </w:p>
    <w:p w:rsidR="006579C6" w:rsidRPr="00382917" w:rsidRDefault="006579C6" w:rsidP="00A54FDD">
      <w:pPr>
        <w:pStyle w:val="Text"/>
      </w:pPr>
      <w:r w:rsidRPr="00382917">
        <w:t>The</w:t>
      </w:r>
      <w:r w:rsidR="00EE4FC3">
        <w:t xml:space="preserve"> </w:t>
      </w:r>
      <w:r w:rsidRPr="00382917">
        <w:t>following</w:t>
      </w:r>
      <w:r w:rsidR="00EE4FC3">
        <w:t xml:space="preserve"> </w:t>
      </w:r>
      <w:r w:rsidRPr="00382917">
        <w:t>is</w:t>
      </w:r>
      <w:r w:rsidR="00EE4FC3">
        <w:t xml:space="preserve"> </w:t>
      </w:r>
      <w:r w:rsidRPr="00382917">
        <w:t>the</w:t>
      </w:r>
      <w:r w:rsidR="00EE4FC3">
        <w:t xml:space="preserve"> </w:t>
      </w:r>
      <w:r w:rsidRPr="00382917">
        <w:t>first</w:t>
      </w:r>
      <w:r w:rsidR="00EE4FC3">
        <w:t xml:space="preserve"> </w:t>
      </w:r>
      <w:r w:rsidRPr="00382917">
        <w:t>in</w:t>
      </w:r>
      <w:r w:rsidR="00EE4FC3">
        <w:t xml:space="preserve"> </w:t>
      </w:r>
      <w:r w:rsidRPr="00382917">
        <w:t>a</w:t>
      </w:r>
      <w:r w:rsidR="00EE4FC3">
        <w:t xml:space="preserve"> </w:t>
      </w:r>
      <w:r w:rsidRPr="00382917">
        <w:t>series</w:t>
      </w:r>
      <w:r w:rsidR="00EE4FC3">
        <w:t xml:space="preserve"> </w:t>
      </w:r>
      <w:r w:rsidRPr="00382917">
        <w:t>of</w:t>
      </w:r>
      <w:r w:rsidR="00EE4FC3">
        <w:t xml:space="preserve"> </w:t>
      </w:r>
      <w:r w:rsidRPr="00382917">
        <w:t>three</w:t>
      </w:r>
      <w:r w:rsidR="00EE4FC3">
        <w:t xml:space="preserve"> </w:t>
      </w:r>
      <w:r w:rsidRPr="00382917">
        <w:t>books</w:t>
      </w:r>
      <w:r w:rsidR="00EE4FC3">
        <w:t xml:space="preserve"> </w:t>
      </w:r>
      <w:r w:rsidRPr="00382917">
        <w:t>which</w:t>
      </w:r>
      <w:r w:rsidR="00EE4FC3">
        <w:t xml:space="preserve"> </w:t>
      </w:r>
      <w:r w:rsidRPr="00382917">
        <w:t>will</w:t>
      </w:r>
      <w:r w:rsidR="00EE4FC3">
        <w:t xml:space="preserve"> </w:t>
      </w:r>
      <w:r w:rsidRPr="00382917">
        <w:t>tell</w:t>
      </w:r>
      <w:r w:rsidR="00EE4FC3">
        <w:t xml:space="preserve"> </w:t>
      </w:r>
      <w:r w:rsidRPr="00382917">
        <w:t>the</w:t>
      </w:r>
      <w:r w:rsidR="00EE4FC3">
        <w:t xml:space="preserve"> </w:t>
      </w:r>
      <w:r w:rsidRPr="00382917">
        <w:t>story</w:t>
      </w:r>
      <w:r w:rsidR="00EE4FC3">
        <w:t xml:space="preserve"> </w:t>
      </w:r>
      <w:r w:rsidRPr="00382917">
        <w:t>of</w:t>
      </w:r>
      <w:r w:rsidR="00EE4FC3">
        <w:t xml:space="preserve"> </w:t>
      </w:r>
      <w:r w:rsidRPr="00382917">
        <w:t>the</w:t>
      </w:r>
      <w:r w:rsidR="00EE4FC3">
        <w:t xml:space="preserve"> </w:t>
      </w:r>
      <w:r w:rsidRPr="00382917">
        <w:t>central</w:t>
      </w:r>
      <w:r w:rsidR="00EE4FC3">
        <w:t xml:space="preserve"> </w:t>
      </w:r>
      <w:r w:rsidRPr="00382917">
        <w:t>figures</w:t>
      </w:r>
      <w:r w:rsidR="00EE4FC3">
        <w:t xml:space="preserve"> </w:t>
      </w:r>
      <w:r w:rsidRPr="00382917">
        <w:t>of</w:t>
      </w:r>
      <w:r w:rsidR="00EE4FC3">
        <w:t xml:space="preserve"> </w:t>
      </w:r>
      <w:r w:rsidRPr="00382917">
        <w:t>the</w:t>
      </w:r>
      <w:r w:rsidR="00EE4FC3">
        <w:t xml:space="preserve"> </w:t>
      </w:r>
      <w:r w:rsidRPr="00382917">
        <w:t>Bahá</w:t>
      </w:r>
      <w:r w:rsidR="009C713D" w:rsidRPr="00382917">
        <w:t>’</w:t>
      </w:r>
      <w:r w:rsidRPr="00382917">
        <w:t>í</w:t>
      </w:r>
      <w:r w:rsidR="00EE4FC3">
        <w:t xml:space="preserve"> </w:t>
      </w:r>
      <w:r w:rsidRPr="00382917">
        <w:t>Faith.</w:t>
      </w:r>
    </w:p>
    <w:p w:rsidR="006579C6" w:rsidRPr="00382917" w:rsidRDefault="006579C6" w:rsidP="00A54FDD">
      <w:pPr>
        <w:pStyle w:val="Text"/>
      </w:pPr>
      <w:r w:rsidRPr="00382917">
        <w:t>This</w:t>
      </w:r>
      <w:r w:rsidR="00EE4FC3">
        <w:t xml:space="preserve"> </w:t>
      </w:r>
      <w:r w:rsidRPr="00382917">
        <w:t>book,</w:t>
      </w:r>
      <w:r w:rsidR="00EE4FC3">
        <w:t xml:space="preserve"> </w:t>
      </w:r>
      <w:r w:rsidRPr="00382917">
        <w:rPr>
          <w:i/>
          <w:iCs/>
        </w:rPr>
        <w:t>Release</w:t>
      </w:r>
      <w:r w:rsidR="00EE4FC3">
        <w:rPr>
          <w:i/>
          <w:iCs/>
        </w:rPr>
        <w:t xml:space="preserve"> </w:t>
      </w:r>
      <w:r w:rsidRPr="00382917">
        <w:rPr>
          <w:i/>
          <w:iCs/>
        </w:rPr>
        <w:t>the</w:t>
      </w:r>
      <w:r w:rsidR="00EE4FC3">
        <w:rPr>
          <w:i/>
          <w:iCs/>
        </w:rPr>
        <w:t xml:space="preserve"> </w:t>
      </w:r>
      <w:r w:rsidRPr="00382917">
        <w:rPr>
          <w:i/>
          <w:iCs/>
        </w:rPr>
        <w:t>Sun</w:t>
      </w:r>
      <w:r w:rsidRPr="00382917">
        <w:t>,</w:t>
      </w:r>
      <w:r w:rsidR="00EE4FC3">
        <w:t xml:space="preserve"> </w:t>
      </w:r>
      <w:r w:rsidRPr="00382917">
        <w:t>gives</w:t>
      </w:r>
      <w:r w:rsidR="00EE4FC3">
        <w:t xml:space="preserve"> </w:t>
      </w:r>
      <w:r w:rsidRPr="00382917">
        <w:t>the</w:t>
      </w:r>
      <w:r w:rsidR="00EE4FC3">
        <w:t xml:space="preserve"> </w:t>
      </w:r>
      <w:r w:rsidRPr="00382917">
        <w:t>early</w:t>
      </w:r>
      <w:r w:rsidR="00EE4FC3">
        <w:t xml:space="preserve"> </w:t>
      </w:r>
      <w:r w:rsidRPr="00382917">
        <w:t>history</w:t>
      </w:r>
      <w:r w:rsidR="00EE4FC3">
        <w:t xml:space="preserve"> </w:t>
      </w:r>
      <w:r w:rsidRPr="00382917">
        <w:t>of</w:t>
      </w:r>
      <w:r w:rsidR="00EE4FC3">
        <w:t xml:space="preserve"> </w:t>
      </w:r>
      <w:r w:rsidRPr="00382917">
        <w:t>the</w:t>
      </w:r>
      <w:r w:rsidR="00EE4FC3">
        <w:t xml:space="preserve"> </w:t>
      </w:r>
      <w:r w:rsidRPr="00382917">
        <w:t>Bahá</w:t>
      </w:r>
      <w:r w:rsidR="009C713D" w:rsidRPr="00382917">
        <w:t>’</w:t>
      </w:r>
      <w:r w:rsidRPr="00382917">
        <w:t>í</w:t>
      </w:r>
      <w:r w:rsidR="00EE4FC3">
        <w:t xml:space="preserve"> </w:t>
      </w:r>
      <w:r w:rsidRPr="00382917">
        <w:t>Faith</w:t>
      </w:r>
      <w:r w:rsidR="00EE4FC3">
        <w:t xml:space="preserve"> </w:t>
      </w:r>
      <w:r w:rsidRPr="00382917">
        <w:t>up</w:t>
      </w:r>
      <w:r w:rsidR="00EE4FC3">
        <w:t xml:space="preserve"> </w:t>
      </w:r>
      <w:r w:rsidRPr="00382917">
        <w:t>through</w:t>
      </w:r>
      <w:r w:rsidR="00EE4FC3">
        <w:t xml:space="preserve"> </w:t>
      </w:r>
      <w:r w:rsidRPr="00382917">
        <w:t>the</w:t>
      </w:r>
      <w:r w:rsidR="00EE4FC3">
        <w:t xml:space="preserve"> </w:t>
      </w:r>
      <w:r w:rsidRPr="00382917">
        <w:t>hour</w:t>
      </w:r>
      <w:r w:rsidR="00EE4FC3">
        <w:t xml:space="preserve"> </w:t>
      </w:r>
      <w:r w:rsidRPr="00382917">
        <w:t>of</w:t>
      </w:r>
      <w:r w:rsidR="00EE4FC3">
        <w:t xml:space="preserve"> </w:t>
      </w:r>
      <w:r w:rsidRPr="00382917">
        <w:t>the</w:t>
      </w:r>
      <w:r w:rsidR="00EE4FC3">
        <w:t xml:space="preserve"> </w:t>
      </w:r>
      <w:r w:rsidRPr="00382917">
        <w:t>martyrdom</w:t>
      </w:r>
      <w:r w:rsidR="00EE4FC3">
        <w:t xml:space="preserve"> </w:t>
      </w:r>
      <w:r w:rsidRPr="00382917">
        <w:t>of</w:t>
      </w:r>
      <w:r w:rsidR="00EE4FC3">
        <w:t xml:space="preserve"> </w:t>
      </w:r>
      <w:r w:rsidRPr="00382917">
        <w:t>its</w:t>
      </w:r>
      <w:r w:rsidR="00EE4FC3">
        <w:t xml:space="preserve"> </w:t>
      </w:r>
      <w:r w:rsidRPr="00382917">
        <w:t>Herald,</w:t>
      </w:r>
      <w:r w:rsidR="00EE4FC3">
        <w:t xml:space="preserve"> </w:t>
      </w:r>
      <w:r w:rsidRPr="00382917">
        <w:t>the</w:t>
      </w:r>
      <w:r w:rsidR="00EE4FC3">
        <w:t xml:space="preserve"> </w:t>
      </w:r>
      <w:r w:rsidRPr="00382917">
        <w:t>Báb.</w:t>
      </w:r>
    </w:p>
    <w:p w:rsidR="006579C6" w:rsidRPr="00382917" w:rsidRDefault="006579C6" w:rsidP="00A54FDD">
      <w:pPr>
        <w:pStyle w:val="Text"/>
      </w:pPr>
      <w:r w:rsidRPr="00382917">
        <w:t>Professor</w:t>
      </w:r>
      <w:r w:rsidR="00EE4FC3">
        <w:t xml:space="preserve"> </w:t>
      </w:r>
      <w:r w:rsidRPr="00382917">
        <w:t>Edward</w:t>
      </w:r>
      <w:r w:rsidR="00EE4FC3">
        <w:t xml:space="preserve"> </w:t>
      </w:r>
      <w:r w:rsidRPr="00382917">
        <w:t>Granville</w:t>
      </w:r>
      <w:r w:rsidR="00EE4FC3">
        <w:t xml:space="preserve"> </w:t>
      </w:r>
      <w:r w:rsidRPr="00382917">
        <w:t>Browne</w:t>
      </w:r>
      <w:r w:rsidR="00EE4FC3">
        <w:t xml:space="preserve"> </w:t>
      </w:r>
      <w:r w:rsidRPr="00382917">
        <w:t>of</w:t>
      </w:r>
      <w:r w:rsidR="00EE4FC3">
        <w:t xml:space="preserve"> </w:t>
      </w:r>
      <w:r w:rsidRPr="00382917">
        <w:t>Pembroke</w:t>
      </w:r>
      <w:r w:rsidR="00EE4FC3">
        <w:t xml:space="preserve"> </w:t>
      </w:r>
      <w:r w:rsidRPr="00382917">
        <w:t>College,</w:t>
      </w:r>
      <w:r w:rsidR="00EE4FC3">
        <w:t xml:space="preserve"> </w:t>
      </w:r>
      <w:r w:rsidRPr="00382917">
        <w:t>Cambridge</w:t>
      </w:r>
      <w:r w:rsidR="00EE4FC3">
        <w:t xml:space="preserve"> </w:t>
      </w:r>
      <w:r w:rsidRPr="00382917">
        <w:t>University</w:t>
      </w:r>
      <w:r w:rsidR="00EE4FC3">
        <w:t xml:space="preserve"> </w:t>
      </w:r>
      <w:r w:rsidRPr="00382917">
        <w:t>wrote</w:t>
      </w:r>
      <w:r w:rsidR="00EE4FC3">
        <w:t xml:space="preserve"> </w:t>
      </w:r>
      <w:r w:rsidRPr="00382917">
        <w:t>of</w:t>
      </w:r>
      <w:r w:rsidR="00EE4FC3">
        <w:t xml:space="preserve"> </w:t>
      </w:r>
      <w:r w:rsidRPr="00382917">
        <w:t>this</w:t>
      </w:r>
      <w:r w:rsidR="00EE4FC3">
        <w:t xml:space="preserve"> </w:t>
      </w:r>
      <w:r w:rsidRPr="00382917">
        <w:t>period</w:t>
      </w:r>
      <w:r w:rsidR="00EE4FC3">
        <w:t xml:space="preserve"> </w:t>
      </w:r>
      <w:r w:rsidRPr="00382917">
        <w:t>in</w:t>
      </w:r>
      <w:r w:rsidR="00EE4FC3">
        <w:t xml:space="preserve"> </w:t>
      </w:r>
      <w:r w:rsidRPr="00382917">
        <w:t>history,</w:t>
      </w:r>
      <w:r w:rsidR="00EE4FC3">
        <w:t xml:space="preserve"> </w:t>
      </w:r>
      <w:r w:rsidRPr="00382917">
        <w:t>saying:</w:t>
      </w:r>
    </w:p>
    <w:p w:rsidR="006579C6" w:rsidRPr="00382917" w:rsidRDefault="009C713D" w:rsidP="00F04416">
      <w:pPr>
        <w:pStyle w:val="Quote"/>
      </w:pPr>
      <w:r w:rsidRPr="00382917">
        <w:t>“</w:t>
      </w:r>
      <w:r w:rsidR="006579C6" w:rsidRPr="00382917">
        <w:t>I</w:t>
      </w:r>
      <w:r w:rsidR="00EE4FC3">
        <w:t xml:space="preserve"> </w:t>
      </w:r>
      <w:r w:rsidR="006579C6" w:rsidRPr="00382917">
        <w:t>am</w:t>
      </w:r>
      <w:r w:rsidR="00EE4FC3">
        <w:t xml:space="preserve"> </w:t>
      </w:r>
      <w:r w:rsidR="006579C6" w:rsidRPr="00382917">
        <w:t>very</w:t>
      </w:r>
      <w:r w:rsidR="00EE4FC3">
        <w:t xml:space="preserve"> </w:t>
      </w:r>
      <w:r w:rsidR="006579C6" w:rsidRPr="00382917">
        <w:t>anxious</w:t>
      </w:r>
      <w:r w:rsidR="00EE4FC3">
        <w:t xml:space="preserve"> </w:t>
      </w:r>
      <w:r w:rsidR="006579C6" w:rsidRPr="00382917">
        <w:t>to</w:t>
      </w:r>
      <w:r w:rsidR="00EE4FC3">
        <w:t xml:space="preserve"> </w:t>
      </w:r>
      <w:r w:rsidR="006579C6" w:rsidRPr="00382917">
        <w:t>get</w:t>
      </w:r>
      <w:r w:rsidR="00EE4FC3">
        <w:t xml:space="preserve"> </w:t>
      </w:r>
      <w:r w:rsidR="006579C6" w:rsidRPr="00382917">
        <w:t>as</w:t>
      </w:r>
      <w:r w:rsidR="00EE4FC3">
        <w:t xml:space="preserve"> </w:t>
      </w:r>
      <w:r w:rsidR="006579C6" w:rsidRPr="00382917">
        <w:t>accurate</w:t>
      </w:r>
      <w:r w:rsidR="00EE4FC3">
        <w:t xml:space="preserve"> </w:t>
      </w:r>
      <w:r w:rsidR="006579C6" w:rsidRPr="00382917">
        <w:t>an</w:t>
      </w:r>
      <w:r w:rsidR="00EE4FC3">
        <w:t xml:space="preserve"> </w:t>
      </w:r>
      <w:r w:rsidR="006579C6" w:rsidRPr="00382917">
        <w:t>account</w:t>
      </w:r>
      <w:r w:rsidR="00EE4FC3">
        <w:t xml:space="preserve"> </w:t>
      </w:r>
      <w:r w:rsidR="006579C6" w:rsidRPr="00382917">
        <w:t>of</w:t>
      </w:r>
      <w:r w:rsidR="00EE4FC3">
        <w:t xml:space="preserve"> </w:t>
      </w:r>
      <w:r w:rsidR="006579C6" w:rsidRPr="00382917">
        <w:t>all</w:t>
      </w:r>
      <w:r w:rsidR="00EE4FC3">
        <w:t xml:space="preserve"> </w:t>
      </w:r>
      <w:r w:rsidR="006579C6" w:rsidRPr="00382917">
        <w:t>the</w:t>
      </w:r>
      <w:r w:rsidR="00EE4FC3">
        <w:t xml:space="preserve"> </w:t>
      </w:r>
      <w:r w:rsidR="006579C6" w:rsidRPr="00382917">
        <w:t>details</w:t>
      </w:r>
      <w:r w:rsidR="00EE4FC3">
        <w:t xml:space="preserve"> </w:t>
      </w:r>
      <w:r w:rsidR="006579C6" w:rsidRPr="00382917">
        <w:t>connected</w:t>
      </w:r>
      <w:r w:rsidR="00EE4FC3">
        <w:t xml:space="preserve"> </w:t>
      </w:r>
      <w:r w:rsidR="006579C6" w:rsidRPr="00382917">
        <w:t>with</w:t>
      </w:r>
      <w:r w:rsidR="00EE4FC3">
        <w:t xml:space="preserve"> </w:t>
      </w:r>
      <w:r w:rsidR="006579C6" w:rsidRPr="00382917">
        <w:t>the</w:t>
      </w:r>
      <w:r w:rsidR="00EE4FC3">
        <w:t xml:space="preserve"> </w:t>
      </w:r>
      <w:r w:rsidR="006579C6" w:rsidRPr="00382917">
        <w:t>[faith</w:t>
      </w:r>
      <w:r w:rsidR="00EE4FC3">
        <w:t xml:space="preserve"> </w:t>
      </w:r>
      <w:r w:rsidR="006579C6" w:rsidRPr="00382917">
        <w:t>of</w:t>
      </w:r>
      <w:r w:rsidR="00EE4FC3">
        <w:t xml:space="preserve"> </w:t>
      </w:r>
      <w:r w:rsidR="006579C6" w:rsidRPr="00382917">
        <w:t>the</w:t>
      </w:r>
      <w:r w:rsidR="00EE4FC3">
        <w:t xml:space="preserve"> </w:t>
      </w:r>
      <w:r w:rsidR="006579C6" w:rsidRPr="00382917">
        <w:t>Báb]</w:t>
      </w:r>
      <w:r w:rsidR="00EE4FC3">
        <w:t xml:space="preserve"> </w:t>
      </w:r>
      <w:r w:rsidR="006579C6" w:rsidRPr="00382917">
        <w:t>as</w:t>
      </w:r>
      <w:r w:rsidR="00EE4FC3">
        <w:t xml:space="preserve"> </w:t>
      </w:r>
      <w:r w:rsidR="006579C6" w:rsidRPr="00382917">
        <w:t>possible,</w:t>
      </w:r>
      <w:r w:rsidR="00EE4FC3">
        <w:t xml:space="preserve"> </w:t>
      </w:r>
      <w:r w:rsidR="006579C6" w:rsidRPr="00382917">
        <w:t>for</w:t>
      </w:r>
      <w:r w:rsidR="00EE4FC3">
        <w:t xml:space="preserve"> </w:t>
      </w:r>
      <w:r w:rsidR="006579C6" w:rsidRPr="00382917">
        <w:t>in</w:t>
      </w:r>
      <w:r w:rsidR="00EE4FC3">
        <w:t xml:space="preserve"> </w:t>
      </w:r>
      <w:r w:rsidR="006579C6" w:rsidRPr="00382917">
        <w:t>my</w:t>
      </w:r>
      <w:r w:rsidR="00EE4FC3">
        <w:t xml:space="preserve"> </w:t>
      </w:r>
      <w:r w:rsidR="006579C6" w:rsidRPr="00382917">
        <w:t>eyes</w:t>
      </w:r>
      <w:r w:rsidR="00EE4FC3">
        <w:t xml:space="preserve"> </w:t>
      </w:r>
      <w:r w:rsidR="006579C6" w:rsidRPr="00382917">
        <w:t>the</w:t>
      </w:r>
      <w:r w:rsidR="00EE4FC3">
        <w:t xml:space="preserve"> </w:t>
      </w:r>
      <w:r w:rsidR="006579C6" w:rsidRPr="00382917">
        <w:t>whole</w:t>
      </w:r>
      <w:r w:rsidR="00EE4FC3">
        <w:t xml:space="preserve"> </w:t>
      </w:r>
      <w:r w:rsidR="006579C6" w:rsidRPr="00382917">
        <w:t>[story]</w:t>
      </w:r>
      <w:r w:rsidR="00EE4FC3">
        <w:t xml:space="preserve"> </w:t>
      </w:r>
      <w:r w:rsidR="006579C6" w:rsidRPr="00382917">
        <w:t>seems</w:t>
      </w:r>
      <w:r w:rsidR="00EE4FC3">
        <w:t xml:space="preserve"> </w:t>
      </w:r>
      <w:r w:rsidR="006579C6" w:rsidRPr="00382917">
        <w:t>one</w:t>
      </w:r>
      <w:r w:rsidR="00EE4FC3">
        <w:t xml:space="preserve"> </w:t>
      </w:r>
      <w:r w:rsidR="006579C6" w:rsidRPr="00382917">
        <w:t>of</w:t>
      </w:r>
      <w:r w:rsidR="00EE4FC3">
        <w:t xml:space="preserve"> </w:t>
      </w:r>
      <w:r w:rsidR="006579C6" w:rsidRPr="00382917">
        <w:t>the</w:t>
      </w:r>
      <w:r w:rsidR="00EE4FC3">
        <w:t xml:space="preserve"> </w:t>
      </w:r>
      <w:r w:rsidR="006579C6" w:rsidRPr="00382917">
        <w:t>most</w:t>
      </w:r>
      <w:r w:rsidR="00EE4FC3">
        <w:t xml:space="preserve"> </w:t>
      </w:r>
      <w:r w:rsidR="006579C6" w:rsidRPr="00382917">
        <w:t>interesting</w:t>
      </w:r>
      <w:r w:rsidR="00EE4FC3">
        <w:t xml:space="preserve"> </w:t>
      </w:r>
      <w:r w:rsidR="006579C6" w:rsidRPr="00382917">
        <w:t>and</w:t>
      </w:r>
      <w:r w:rsidR="00EE4FC3">
        <w:t xml:space="preserve"> </w:t>
      </w:r>
      <w:r w:rsidR="006579C6" w:rsidRPr="00382917">
        <w:t>important</w:t>
      </w:r>
      <w:r w:rsidR="00EE4FC3">
        <w:t xml:space="preserve"> </w:t>
      </w:r>
      <w:r w:rsidR="006579C6" w:rsidRPr="00382917">
        <w:t>events</w:t>
      </w:r>
      <w:r w:rsidR="00EE4FC3">
        <w:t xml:space="preserve"> </w:t>
      </w:r>
      <w:r w:rsidR="006579C6" w:rsidRPr="00382917">
        <w:t>that</w:t>
      </w:r>
      <w:r w:rsidR="00EE4FC3">
        <w:t xml:space="preserve"> </w:t>
      </w:r>
      <w:r w:rsidR="006579C6" w:rsidRPr="00382917">
        <w:t>has</w:t>
      </w:r>
      <w:r w:rsidR="00EE4FC3">
        <w:t xml:space="preserve"> </w:t>
      </w:r>
      <w:r w:rsidR="006579C6" w:rsidRPr="00382917">
        <w:t>occurred</w:t>
      </w:r>
      <w:r w:rsidR="00EE4FC3">
        <w:t xml:space="preserve"> </w:t>
      </w:r>
      <w:r w:rsidR="006579C6" w:rsidRPr="00382917">
        <w:t>since</w:t>
      </w:r>
      <w:r w:rsidR="00EE4FC3">
        <w:t xml:space="preserve"> </w:t>
      </w:r>
      <w:r w:rsidR="006579C6" w:rsidRPr="00382917">
        <w:t>the</w:t>
      </w:r>
      <w:r w:rsidR="00EE4FC3">
        <w:t xml:space="preserve"> </w:t>
      </w:r>
      <w:r w:rsidR="006579C6" w:rsidRPr="00382917">
        <w:t>rise</w:t>
      </w:r>
      <w:r w:rsidR="00EE4FC3">
        <w:t xml:space="preserve"> </w:t>
      </w:r>
      <w:r w:rsidR="006579C6" w:rsidRPr="00382917">
        <w:t>of</w:t>
      </w:r>
      <w:r w:rsidR="00EE4FC3">
        <w:t xml:space="preserve"> </w:t>
      </w:r>
      <w:r w:rsidR="006579C6" w:rsidRPr="00382917">
        <w:t>Christianity</w:t>
      </w:r>
      <w:r w:rsidR="00EE4FC3">
        <w:t xml:space="preserve"> </w:t>
      </w:r>
      <w:r w:rsidR="00F04416" w:rsidRPr="00382917">
        <w:t>…</w:t>
      </w:r>
      <w:r w:rsidR="00EE4FC3">
        <w:t xml:space="preserve"> </w:t>
      </w:r>
      <w:r w:rsidR="006579C6" w:rsidRPr="00382917">
        <w:t>and</w:t>
      </w:r>
      <w:r w:rsidR="00EE4FC3">
        <w:t xml:space="preserve"> </w:t>
      </w:r>
      <w:r w:rsidR="006579C6" w:rsidRPr="00382917">
        <w:t>I</w:t>
      </w:r>
      <w:r w:rsidR="00EE4FC3">
        <w:t xml:space="preserve"> </w:t>
      </w:r>
      <w:r w:rsidR="006579C6" w:rsidRPr="00382917">
        <w:t>feel</w:t>
      </w:r>
      <w:r w:rsidR="00EE4FC3">
        <w:t xml:space="preserve"> </w:t>
      </w:r>
      <w:r w:rsidR="006579C6" w:rsidRPr="00382917">
        <w:t>it</w:t>
      </w:r>
      <w:r w:rsidR="00EE4FC3">
        <w:t xml:space="preserve"> </w:t>
      </w:r>
      <w:r w:rsidR="006579C6" w:rsidRPr="00382917">
        <w:t>my</w:t>
      </w:r>
      <w:r w:rsidR="00EE4FC3">
        <w:t xml:space="preserve"> </w:t>
      </w:r>
      <w:r w:rsidR="006579C6" w:rsidRPr="00382917">
        <w:t>duty,</w:t>
      </w:r>
      <w:r w:rsidR="00EE4FC3">
        <w:t xml:space="preserve"> </w:t>
      </w:r>
      <w:r w:rsidR="006579C6" w:rsidRPr="00382917">
        <w:t>as</w:t>
      </w:r>
      <w:r w:rsidR="00EE4FC3">
        <w:t xml:space="preserve"> </w:t>
      </w:r>
      <w:r w:rsidR="006579C6" w:rsidRPr="00382917">
        <w:t>well</w:t>
      </w:r>
      <w:r w:rsidR="00EE4FC3">
        <w:t xml:space="preserve"> </w:t>
      </w:r>
      <w:r w:rsidR="006579C6" w:rsidRPr="00382917">
        <w:t>as</w:t>
      </w:r>
      <w:r w:rsidR="00EE4FC3">
        <w:t xml:space="preserve"> </w:t>
      </w:r>
      <w:r w:rsidR="006579C6" w:rsidRPr="00382917">
        <w:t>pleasure,</w:t>
      </w:r>
      <w:r w:rsidR="00EE4FC3">
        <w:t xml:space="preserve"> </w:t>
      </w:r>
      <w:r w:rsidR="006579C6" w:rsidRPr="00382917">
        <w:t>to</w:t>
      </w:r>
      <w:r w:rsidR="00EE4FC3">
        <w:t xml:space="preserve"> </w:t>
      </w:r>
      <w:r w:rsidR="006579C6" w:rsidRPr="00382917">
        <w:t>try</w:t>
      </w:r>
      <w:r w:rsidR="00EE4FC3">
        <w:t xml:space="preserve"> </w:t>
      </w:r>
      <w:r w:rsidR="006579C6" w:rsidRPr="00382917">
        <w:t>as</w:t>
      </w:r>
      <w:r w:rsidR="00EE4FC3">
        <w:t xml:space="preserve"> </w:t>
      </w:r>
      <w:r w:rsidR="006579C6" w:rsidRPr="00382917">
        <w:t>far</w:t>
      </w:r>
      <w:r w:rsidR="00EE4FC3">
        <w:t xml:space="preserve"> </w:t>
      </w:r>
      <w:r w:rsidR="006579C6" w:rsidRPr="00382917">
        <w:t>as</w:t>
      </w:r>
      <w:r w:rsidR="00EE4FC3">
        <w:t xml:space="preserve"> </w:t>
      </w:r>
      <w:r w:rsidR="006579C6" w:rsidRPr="00382917">
        <w:t>in</w:t>
      </w:r>
      <w:r w:rsidR="00EE4FC3">
        <w:t xml:space="preserve"> </w:t>
      </w:r>
      <w:r w:rsidR="006579C6" w:rsidRPr="00382917">
        <w:t>me</w:t>
      </w:r>
      <w:r w:rsidR="00EE4FC3">
        <w:t xml:space="preserve"> </w:t>
      </w:r>
      <w:r w:rsidR="006579C6" w:rsidRPr="00382917">
        <w:t>lies</w:t>
      </w:r>
      <w:r w:rsidR="00EE4FC3">
        <w:t xml:space="preserve"> </w:t>
      </w:r>
      <w:r w:rsidR="006579C6" w:rsidRPr="00382917">
        <w:t>to</w:t>
      </w:r>
      <w:r w:rsidR="00EE4FC3">
        <w:t xml:space="preserve"> </w:t>
      </w:r>
      <w:r w:rsidR="006579C6" w:rsidRPr="00382917">
        <w:t>bring</w:t>
      </w:r>
      <w:r w:rsidR="00EE4FC3">
        <w:t xml:space="preserve"> </w:t>
      </w:r>
      <w:r w:rsidR="006579C6" w:rsidRPr="00382917">
        <w:t>the</w:t>
      </w:r>
      <w:r w:rsidR="00EE4FC3">
        <w:t xml:space="preserve"> </w:t>
      </w:r>
      <w:r w:rsidR="006579C6" w:rsidRPr="00382917">
        <w:t>matter</w:t>
      </w:r>
      <w:r w:rsidR="00EE4FC3">
        <w:t xml:space="preserve"> </w:t>
      </w:r>
      <w:r w:rsidR="006579C6" w:rsidRPr="00382917">
        <w:t>to</w:t>
      </w:r>
      <w:r w:rsidR="00EE4FC3">
        <w:t xml:space="preserve"> </w:t>
      </w:r>
      <w:r w:rsidR="006579C6" w:rsidRPr="00382917">
        <w:t>the</w:t>
      </w:r>
      <w:r w:rsidR="00EE4FC3">
        <w:t xml:space="preserve"> </w:t>
      </w:r>
      <w:r w:rsidR="006579C6" w:rsidRPr="00382917">
        <w:t>notice</w:t>
      </w:r>
      <w:r w:rsidR="00EE4FC3">
        <w:t xml:space="preserve"> </w:t>
      </w:r>
      <w:r w:rsidR="006579C6" w:rsidRPr="00382917">
        <w:t>of</w:t>
      </w:r>
      <w:r w:rsidR="00EE4FC3">
        <w:t xml:space="preserve"> </w:t>
      </w:r>
      <w:r w:rsidR="006579C6" w:rsidRPr="00382917">
        <w:t>my</w:t>
      </w:r>
      <w:r w:rsidR="00EE4FC3">
        <w:t xml:space="preserve"> </w:t>
      </w:r>
      <w:r w:rsidR="006579C6" w:rsidRPr="00382917">
        <w:t>countrymen</w:t>
      </w:r>
      <w:r w:rsidR="00EE4FC3">
        <w:t xml:space="preserve"> </w:t>
      </w:r>
      <w:r w:rsidR="00F04416" w:rsidRPr="00382917">
        <w:t>…</w:t>
      </w:r>
      <w:r w:rsidR="00EE4FC3">
        <w:t xml:space="preserve"> </w:t>
      </w:r>
      <w:r w:rsidR="006579C6" w:rsidRPr="00382917">
        <w:t>for</w:t>
      </w:r>
      <w:r w:rsidR="00EE4FC3">
        <w:t xml:space="preserve"> </w:t>
      </w:r>
      <w:r w:rsidR="006579C6" w:rsidRPr="00382917">
        <w:t>suppose</w:t>
      </w:r>
      <w:r w:rsidR="00EE4FC3">
        <w:t xml:space="preserve"> </w:t>
      </w:r>
      <w:r w:rsidR="006579C6" w:rsidRPr="00382917">
        <w:t>anyone</w:t>
      </w:r>
      <w:r w:rsidR="00EE4FC3">
        <w:t xml:space="preserve"> </w:t>
      </w:r>
      <w:r w:rsidR="006579C6" w:rsidRPr="00382917">
        <w:t>could</w:t>
      </w:r>
      <w:r w:rsidR="00EE4FC3">
        <w:t xml:space="preserve"> </w:t>
      </w:r>
      <w:r w:rsidR="006579C6" w:rsidRPr="00382917">
        <w:t>tell</w:t>
      </w:r>
      <w:r w:rsidR="00EE4FC3">
        <w:t xml:space="preserve"> </w:t>
      </w:r>
      <w:r w:rsidR="006579C6" w:rsidRPr="00382917">
        <w:t>us</w:t>
      </w:r>
      <w:r w:rsidR="00EE4FC3">
        <w:t xml:space="preserve"> </w:t>
      </w:r>
      <w:r w:rsidR="006579C6" w:rsidRPr="00382917">
        <w:t>more</w:t>
      </w:r>
      <w:r w:rsidR="00EE4FC3">
        <w:t xml:space="preserve"> </w:t>
      </w:r>
      <w:r w:rsidR="006579C6" w:rsidRPr="00382917">
        <w:t>about</w:t>
      </w:r>
      <w:r w:rsidR="00EE4FC3">
        <w:t xml:space="preserve"> </w:t>
      </w:r>
      <w:r w:rsidR="006579C6" w:rsidRPr="00382917">
        <w:t>the</w:t>
      </w:r>
      <w:r w:rsidR="00EE4FC3">
        <w:t xml:space="preserve"> </w:t>
      </w:r>
      <w:r w:rsidR="006579C6" w:rsidRPr="00382917">
        <w:t>childhood</w:t>
      </w:r>
      <w:r w:rsidR="00EE4FC3">
        <w:t xml:space="preserve"> </w:t>
      </w:r>
      <w:r w:rsidR="006579C6" w:rsidRPr="00382917">
        <w:t>and</w:t>
      </w:r>
      <w:r w:rsidR="00EE4FC3">
        <w:t xml:space="preserve"> </w:t>
      </w:r>
      <w:r w:rsidR="006579C6" w:rsidRPr="00382917">
        <w:t>early</w:t>
      </w:r>
      <w:r w:rsidR="00EE4FC3">
        <w:t xml:space="preserve"> </w:t>
      </w:r>
      <w:r w:rsidR="006579C6" w:rsidRPr="00382917">
        <w:t>life</w:t>
      </w:r>
      <w:r w:rsidR="00EE4FC3">
        <w:t xml:space="preserve"> </w:t>
      </w:r>
      <w:r w:rsidR="006579C6" w:rsidRPr="00382917">
        <w:t>and</w:t>
      </w:r>
      <w:r w:rsidR="00EE4FC3">
        <w:t xml:space="preserve"> </w:t>
      </w:r>
      <w:r w:rsidR="006579C6" w:rsidRPr="00382917">
        <w:t>appearance</w:t>
      </w:r>
      <w:r w:rsidR="00EE4FC3">
        <w:t xml:space="preserve"> </w:t>
      </w:r>
      <w:r w:rsidR="006579C6" w:rsidRPr="00382917">
        <w:t>of</w:t>
      </w:r>
      <w:r w:rsidR="00EE4FC3">
        <w:t xml:space="preserve"> </w:t>
      </w:r>
      <w:r w:rsidR="006579C6" w:rsidRPr="00382917">
        <w:t>Christ,</w:t>
      </w:r>
      <w:r w:rsidR="00EE4FC3">
        <w:t xml:space="preserve"> </w:t>
      </w:r>
      <w:r w:rsidR="006579C6" w:rsidRPr="00382917">
        <w:t>for</w:t>
      </w:r>
      <w:r w:rsidR="00EE4FC3">
        <w:t xml:space="preserve"> </w:t>
      </w:r>
      <w:r w:rsidR="006579C6" w:rsidRPr="00382917">
        <w:t>instance,</w:t>
      </w:r>
      <w:r w:rsidR="00EE4FC3">
        <w:t xml:space="preserve"> </w:t>
      </w:r>
      <w:r w:rsidR="006579C6" w:rsidRPr="00382917">
        <w:t>how</w:t>
      </w:r>
      <w:r w:rsidR="00EE4FC3">
        <w:t xml:space="preserve"> </w:t>
      </w:r>
      <w:r w:rsidR="006579C6" w:rsidRPr="00382917">
        <w:t>glad</w:t>
      </w:r>
      <w:r w:rsidR="00EE4FC3">
        <w:t xml:space="preserve"> </w:t>
      </w:r>
      <w:r w:rsidR="006579C6" w:rsidRPr="00382917">
        <w:t>we</w:t>
      </w:r>
      <w:r w:rsidR="00EE4FC3">
        <w:t xml:space="preserve"> </w:t>
      </w:r>
      <w:r w:rsidR="006579C6" w:rsidRPr="00382917">
        <w:t>should</w:t>
      </w:r>
      <w:r w:rsidR="00EE4FC3">
        <w:t xml:space="preserve"> </w:t>
      </w:r>
      <w:r w:rsidR="006579C6" w:rsidRPr="00382917">
        <w:t>be</w:t>
      </w:r>
      <w:r w:rsidR="00EE4FC3">
        <w:t xml:space="preserve"> </w:t>
      </w:r>
      <w:r w:rsidR="006579C6" w:rsidRPr="00382917">
        <w:t>to</w:t>
      </w:r>
      <w:r w:rsidR="00EE4FC3">
        <w:t xml:space="preserve"> </w:t>
      </w:r>
      <w:r w:rsidR="006579C6" w:rsidRPr="00382917">
        <w:t>know</w:t>
      </w:r>
      <w:r w:rsidR="00EE4FC3">
        <w:t xml:space="preserve"> </w:t>
      </w:r>
      <w:r w:rsidR="006579C6" w:rsidRPr="00382917">
        <w:t>it.</w:t>
      </w:r>
      <w:r w:rsidR="00EE4FC3">
        <w:t xml:space="preserve">  </w:t>
      </w:r>
      <w:r w:rsidR="006579C6" w:rsidRPr="00382917">
        <w:t>Now</w:t>
      </w:r>
      <w:r w:rsidR="00EE4FC3">
        <w:t xml:space="preserve"> </w:t>
      </w:r>
      <w:r w:rsidR="006579C6" w:rsidRPr="00382917">
        <w:t>it</w:t>
      </w:r>
      <w:r w:rsidR="00EE4FC3">
        <w:t xml:space="preserve"> </w:t>
      </w:r>
      <w:r w:rsidR="006579C6" w:rsidRPr="00382917">
        <w:t>is</w:t>
      </w:r>
      <w:r w:rsidR="00EE4FC3">
        <w:t xml:space="preserve"> </w:t>
      </w:r>
      <w:r w:rsidR="006579C6" w:rsidRPr="00382917">
        <w:t>impossible</w:t>
      </w:r>
      <w:r w:rsidR="00EE4FC3">
        <w:t xml:space="preserve"> </w:t>
      </w:r>
      <w:r w:rsidR="006579C6" w:rsidRPr="00382917">
        <w:t>to</w:t>
      </w:r>
      <w:r w:rsidR="00EE4FC3">
        <w:t xml:space="preserve"> </w:t>
      </w:r>
      <w:r w:rsidR="006579C6" w:rsidRPr="00382917">
        <w:t>find</w:t>
      </w:r>
      <w:r w:rsidR="00EE4FC3">
        <w:t xml:space="preserve"> </w:t>
      </w:r>
      <w:r w:rsidR="006579C6" w:rsidRPr="00382917">
        <w:t>out</w:t>
      </w:r>
      <w:r w:rsidR="00EE4FC3">
        <w:t xml:space="preserve"> </w:t>
      </w:r>
      <w:r w:rsidR="006579C6" w:rsidRPr="00382917">
        <w:t>much</w:t>
      </w:r>
      <w:r w:rsidR="00EE4FC3">
        <w:t xml:space="preserve"> </w:t>
      </w:r>
      <w:r w:rsidR="00327433" w:rsidRPr="00382917">
        <w:t>…</w:t>
      </w:r>
      <w:r w:rsidR="00EE4FC3">
        <w:t xml:space="preserve"> </w:t>
      </w:r>
      <w:r w:rsidR="006579C6" w:rsidRPr="00382917">
        <w:t>but</w:t>
      </w:r>
      <w:r w:rsidR="00EE4FC3">
        <w:t xml:space="preserve"> </w:t>
      </w:r>
      <w:r w:rsidR="006579C6" w:rsidRPr="00382917">
        <w:t>in</w:t>
      </w:r>
      <w:r w:rsidR="00EE4FC3">
        <w:t xml:space="preserve"> </w:t>
      </w:r>
      <w:r w:rsidR="006579C6" w:rsidRPr="00382917">
        <w:t>the</w:t>
      </w:r>
      <w:r w:rsidR="00EE4FC3">
        <w:t xml:space="preserve"> </w:t>
      </w:r>
      <w:r w:rsidR="006579C6" w:rsidRPr="00382917">
        <w:t>case</w:t>
      </w:r>
      <w:r w:rsidR="00EE4FC3">
        <w:t xml:space="preserve"> </w:t>
      </w:r>
      <w:r w:rsidR="006579C6" w:rsidRPr="00382917">
        <w:t>of</w:t>
      </w:r>
      <w:r w:rsidR="00EE4FC3">
        <w:t xml:space="preserve"> </w:t>
      </w:r>
      <w:r w:rsidR="006579C6" w:rsidRPr="00382917">
        <w:t>the</w:t>
      </w:r>
      <w:r w:rsidR="00EE4FC3">
        <w:t xml:space="preserve"> </w:t>
      </w:r>
      <w:r w:rsidR="006579C6" w:rsidRPr="00382917">
        <w:t>Báb</w:t>
      </w:r>
      <w:r w:rsidR="00EE4FC3">
        <w:t xml:space="preserve"> </w:t>
      </w:r>
      <w:r w:rsidR="006579C6" w:rsidRPr="00382917">
        <w:t>it</w:t>
      </w:r>
      <w:r w:rsidR="00EE4FC3">
        <w:t xml:space="preserve"> </w:t>
      </w:r>
      <w:r w:rsidR="006579C6" w:rsidRPr="00382917">
        <w:t>is</w:t>
      </w:r>
      <w:r w:rsidR="00EE4FC3">
        <w:t xml:space="preserve"> </w:t>
      </w:r>
      <w:r w:rsidR="006579C6" w:rsidRPr="00382917">
        <w:t>possible</w:t>
      </w:r>
      <w:r w:rsidR="00EE4FC3">
        <w:t xml:space="preserve"> </w:t>
      </w:r>
      <w:r w:rsidR="00A54FDD" w:rsidRPr="00382917">
        <w:t>…</w:t>
      </w:r>
      <w:r w:rsidR="006579C6" w:rsidRPr="00382917">
        <w:t>.</w:t>
      </w:r>
      <w:r w:rsidR="00EE4FC3">
        <w:t xml:space="preserve">  </w:t>
      </w:r>
      <w:r w:rsidR="006579C6" w:rsidRPr="00382917">
        <w:t>So</w:t>
      </w:r>
      <w:r w:rsidR="00EE4FC3">
        <w:t xml:space="preserve"> </w:t>
      </w:r>
      <w:r w:rsidR="006579C6" w:rsidRPr="00382917">
        <w:t>let</w:t>
      </w:r>
      <w:r w:rsidR="00EE4FC3">
        <w:t xml:space="preserve"> </w:t>
      </w:r>
      <w:r w:rsidR="006579C6" w:rsidRPr="00382917">
        <w:t>us</w:t>
      </w:r>
      <w:r w:rsidR="00EE4FC3">
        <w:t xml:space="preserve"> </w:t>
      </w:r>
      <w:r w:rsidR="006579C6" w:rsidRPr="00382917">
        <w:t>earn</w:t>
      </w:r>
      <w:r w:rsidR="00EE4FC3">
        <w:t xml:space="preserve"> </w:t>
      </w:r>
      <w:r w:rsidR="006579C6" w:rsidRPr="00382917">
        <w:t>the</w:t>
      </w:r>
      <w:r w:rsidR="00EE4FC3">
        <w:t xml:space="preserve"> </w:t>
      </w:r>
      <w:r w:rsidR="006579C6" w:rsidRPr="00382917">
        <w:t>thanks</w:t>
      </w:r>
      <w:r w:rsidR="00EE4FC3">
        <w:t xml:space="preserve"> </w:t>
      </w:r>
      <w:r w:rsidR="006579C6" w:rsidRPr="00382917">
        <w:t>of</w:t>
      </w:r>
      <w:r w:rsidR="00EE4FC3">
        <w:t xml:space="preserve"> </w:t>
      </w:r>
      <w:r w:rsidR="006579C6" w:rsidRPr="00382917">
        <w:t>posterity,</w:t>
      </w:r>
      <w:r w:rsidR="00EE4FC3">
        <w:t xml:space="preserve"> </w:t>
      </w:r>
      <w:r w:rsidR="006579C6" w:rsidRPr="00382917">
        <w:t>and</w:t>
      </w:r>
      <w:r w:rsidR="00EE4FC3">
        <w:t xml:space="preserve"> </w:t>
      </w:r>
      <w:r w:rsidR="006579C6" w:rsidRPr="00382917">
        <w:t>provide</w:t>
      </w:r>
      <w:r w:rsidR="00EE4FC3">
        <w:t xml:space="preserve"> </w:t>
      </w:r>
      <w:r w:rsidR="006579C6" w:rsidRPr="00382917">
        <w:t>against</w:t>
      </w:r>
      <w:r w:rsidR="00EE4FC3">
        <w:t xml:space="preserve"> </w:t>
      </w:r>
      <w:r w:rsidR="006579C6" w:rsidRPr="00382917">
        <w:t>that</w:t>
      </w:r>
      <w:r w:rsidR="00EE4FC3">
        <w:t xml:space="preserve"> </w:t>
      </w:r>
      <w:r w:rsidR="006579C6" w:rsidRPr="00382917">
        <w:t>day</w:t>
      </w:r>
      <w:r w:rsidR="00EE4FC3">
        <w:t xml:space="preserve"> </w:t>
      </w:r>
      <w:r w:rsidR="006579C6" w:rsidRPr="00382917">
        <w:t>now.</w:t>
      </w:r>
      <w:r w:rsidRPr="00382917">
        <w:t>”</w:t>
      </w:r>
      <w:r w:rsidR="00F04416" w:rsidRPr="00382917">
        <w:rPr>
          <w:rStyle w:val="FootnoteReference"/>
        </w:rPr>
        <w:footnoteReference w:id="1"/>
      </w:r>
    </w:p>
    <w:p w:rsidR="006579C6" w:rsidRPr="00382917" w:rsidRDefault="006579C6" w:rsidP="00A54FDD">
      <w:pPr>
        <w:pStyle w:val="Text"/>
      </w:pPr>
      <w:r w:rsidRPr="00382917">
        <w:t>This</w:t>
      </w:r>
      <w:r w:rsidR="00EE4FC3">
        <w:t xml:space="preserve"> </w:t>
      </w:r>
      <w:r w:rsidRPr="00382917">
        <w:t>is</w:t>
      </w:r>
      <w:r w:rsidR="00EE4FC3">
        <w:t xml:space="preserve"> </w:t>
      </w:r>
      <w:r w:rsidRPr="00382917">
        <w:t>an</w:t>
      </w:r>
      <w:r w:rsidR="00EE4FC3">
        <w:t xml:space="preserve"> </w:t>
      </w:r>
      <w:r w:rsidRPr="00382917">
        <w:t>attempt</w:t>
      </w:r>
      <w:r w:rsidR="00EE4FC3">
        <w:t xml:space="preserve"> </w:t>
      </w:r>
      <w:r w:rsidRPr="00382917">
        <w:t>to</w:t>
      </w:r>
      <w:r w:rsidR="00EE4FC3">
        <w:t xml:space="preserve"> </w:t>
      </w:r>
      <w:r w:rsidRPr="00382917">
        <w:t>bring</w:t>
      </w:r>
      <w:r w:rsidR="00EE4FC3">
        <w:t xml:space="preserve"> </w:t>
      </w:r>
      <w:r w:rsidRPr="00382917">
        <w:t>just</w:t>
      </w:r>
      <w:r w:rsidR="00EE4FC3">
        <w:t xml:space="preserve"> </w:t>
      </w:r>
      <w:r w:rsidRPr="00382917">
        <w:t>such</w:t>
      </w:r>
      <w:r w:rsidR="00EE4FC3">
        <w:t xml:space="preserve"> </w:t>
      </w:r>
      <w:r w:rsidRPr="00382917">
        <w:t>an</w:t>
      </w:r>
      <w:r w:rsidR="00EE4FC3">
        <w:t xml:space="preserve"> </w:t>
      </w:r>
      <w:r w:rsidRPr="00382917">
        <w:t>account</w:t>
      </w:r>
      <w:r w:rsidR="00EE4FC3">
        <w:t xml:space="preserve"> </w:t>
      </w:r>
      <w:r w:rsidRPr="00382917">
        <w:t>of</w:t>
      </w:r>
      <w:r w:rsidR="00EE4FC3">
        <w:t xml:space="preserve"> </w:t>
      </w:r>
      <w:r w:rsidRPr="00382917">
        <w:t>the</w:t>
      </w:r>
      <w:r w:rsidR="00EE4FC3">
        <w:t xml:space="preserve"> </w:t>
      </w:r>
      <w:r w:rsidRPr="00382917">
        <w:t>life</w:t>
      </w:r>
      <w:r w:rsidR="00EE4FC3">
        <w:t xml:space="preserve"> </w:t>
      </w:r>
      <w:r w:rsidRPr="00382917">
        <w:t>of</w:t>
      </w:r>
      <w:r w:rsidR="00EE4FC3">
        <w:t xml:space="preserve"> </w:t>
      </w:r>
      <w:r w:rsidRPr="00382917">
        <w:t>the</w:t>
      </w:r>
      <w:r w:rsidR="00EE4FC3">
        <w:t xml:space="preserve"> </w:t>
      </w:r>
      <w:r w:rsidRPr="00382917">
        <w:t>Báb</w:t>
      </w:r>
      <w:r w:rsidR="00EE4FC3">
        <w:t xml:space="preserve"> </w:t>
      </w:r>
      <w:r w:rsidRPr="00382917">
        <w:t>to</w:t>
      </w:r>
      <w:r w:rsidR="00EE4FC3">
        <w:t xml:space="preserve"> </w:t>
      </w:r>
      <w:r w:rsidRPr="00382917">
        <w:t>the</w:t>
      </w:r>
      <w:r w:rsidR="00EE4FC3">
        <w:t xml:space="preserve"> </w:t>
      </w:r>
      <w:r w:rsidRPr="00382917">
        <w:t>attention</w:t>
      </w:r>
      <w:r w:rsidR="00EE4FC3">
        <w:t xml:space="preserve"> </w:t>
      </w:r>
      <w:r w:rsidRPr="00382917">
        <w:t>of</w:t>
      </w:r>
      <w:r w:rsidR="00EE4FC3">
        <w:t xml:space="preserve"> </w:t>
      </w:r>
      <w:r w:rsidRPr="00382917">
        <w:t>the</w:t>
      </w:r>
      <w:r w:rsidR="00EE4FC3">
        <w:t xml:space="preserve"> </w:t>
      </w:r>
      <w:r w:rsidRPr="00382917">
        <w:t>world.</w:t>
      </w:r>
      <w:r w:rsidR="00EE4FC3">
        <w:t xml:space="preserve">  </w:t>
      </w:r>
      <w:r w:rsidRPr="00382917">
        <w:t>This</w:t>
      </w:r>
      <w:r w:rsidR="00EE4FC3">
        <w:t xml:space="preserve"> </w:t>
      </w:r>
      <w:r w:rsidRPr="00382917">
        <w:t>same</w:t>
      </w:r>
      <w:r w:rsidR="00EE4FC3">
        <w:t xml:space="preserve"> </w:t>
      </w:r>
      <w:r w:rsidRPr="00382917">
        <w:t>story</w:t>
      </w:r>
      <w:r w:rsidR="00EE4FC3">
        <w:t xml:space="preserve"> </w:t>
      </w:r>
      <w:r w:rsidRPr="00382917">
        <w:t>has</w:t>
      </w:r>
      <w:r w:rsidR="00EE4FC3">
        <w:t xml:space="preserve"> </w:t>
      </w:r>
      <w:r w:rsidRPr="00382917">
        <w:t>been</w:t>
      </w:r>
      <w:r w:rsidR="00EE4FC3">
        <w:t xml:space="preserve"> </w:t>
      </w:r>
      <w:r w:rsidRPr="00382917">
        <w:t>set</w:t>
      </w:r>
      <w:r w:rsidR="00EE4FC3">
        <w:t xml:space="preserve"> </w:t>
      </w:r>
      <w:r w:rsidRPr="00382917">
        <w:t>down</w:t>
      </w:r>
      <w:r w:rsidR="00EE4FC3">
        <w:t xml:space="preserve"> </w:t>
      </w:r>
      <w:r w:rsidRPr="00382917">
        <w:t>in</w:t>
      </w:r>
      <w:r w:rsidR="00EE4FC3">
        <w:t xml:space="preserve"> </w:t>
      </w:r>
      <w:r w:rsidRPr="00382917">
        <w:t>everlasting</w:t>
      </w:r>
      <w:r w:rsidR="00EE4FC3">
        <w:t xml:space="preserve"> </w:t>
      </w:r>
      <w:r w:rsidRPr="00382917">
        <w:t>language</w:t>
      </w:r>
      <w:r w:rsidR="00EE4FC3">
        <w:t xml:space="preserve"> </w:t>
      </w:r>
      <w:r w:rsidRPr="00382917">
        <w:t>for</w:t>
      </w:r>
      <w:r w:rsidR="00EE4FC3">
        <w:t xml:space="preserve"> </w:t>
      </w:r>
      <w:r w:rsidRPr="00382917">
        <w:t>the</w:t>
      </w:r>
      <w:r w:rsidR="00EE4FC3">
        <w:t xml:space="preserve"> </w:t>
      </w:r>
      <w:r w:rsidRPr="00382917">
        <w:t>scholar,</w:t>
      </w:r>
      <w:r w:rsidR="00EE4FC3">
        <w:t xml:space="preserve"> </w:t>
      </w:r>
      <w:r w:rsidRPr="00382917">
        <w:t>in</w:t>
      </w:r>
      <w:r w:rsidR="00EE4FC3">
        <w:t xml:space="preserve"> </w:t>
      </w:r>
      <w:proofErr w:type="spellStart"/>
      <w:r w:rsidRPr="00382917">
        <w:t>Nabíl</w:t>
      </w:r>
      <w:r w:rsidR="009C713D" w:rsidRPr="00382917">
        <w:t>’</w:t>
      </w:r>
      <w:r w:rsidRPr="00382917">
        <w:t>s</w:t>
      </w:r>
      <w:proofErr w:type="spellEnd"/>
      <w:r w:rsidR="00EE4FC3">
        <w:t xml:space="preserve"> </w:t>
      </w:r>
      <w:r w:rsidRPr="00382917">
        <w:t>Narrative,</w:t>
      </w:r>
      <w:r w:rsidR="00EE4FC3">
        <w:t xml:space="preserve"> </w:t>
      </w:r>
      <w:r w:rsidR="008A073E" w:rsidRPr="00382917">
        <w:rPr>
          <w:i/>
          <w:iCs/>
        </w:rPr>
        <w:t>The</w:t>
      </w:r>
      <w:r w:rsidR="00EE4FC3">
        <w:rPr>
          <w:i/>
          <w:iCs/>
        </w:rPr>
        <w:t xml:space="preserve"> </w:t>
      </w:r>
      <w:r w:rsidR="008A073E" w:rsidRPr="00382917">
        <w:rPr>
          <w:i/>
          <w:iCs/>
        </w:rPr>
        <w:t>Dawn-Breakers</w:t>
      </w:r>
      <w:r w:rsidRPr="00382917">
        <w:t>,</w:t>
      </w:r>
      <w:r w:rsidR="00EE4FC3">
        <w:t xml:space="preserve"> </w:t>
      </w:r>
      <w:r w:rsidRPr="00382917">
        <w:t>and</w:t>
      </w:r>
      <w:r w:rsidR="00EE4FC3">
        <w:t xml:space="preserve"> </w:t>
      </w:r>
      <w:r w:rsidRPr="00382917">
        <w:t>in</w:t>
      </w:r>
      <w:r w:rsidR="00EE4FC3">
        <w:t xml:space="preserve"> </w:t>
      </w:r>
      <w:r w:rsidR="001713B3" w:rsidRPr="001713B3">
        <w:rPr>
          <w:i/>
          <w:iCs/>
        </w:rPr>
        <w:t>God</w:t>
      </w:r>
      <w:r w:rsidR="00EE4FC3">
        <w:rPr>
          <w:i/>
          <w:iCs/>
        </w:rPr>
        <w:t xml:space="preserve"> </w:t>
      </w:r>
      <w:r w:rsidR="001713B3" w:rsidRPr="001713B3">
        <w:rPr>
          <w:i/>
          <w:iCs/>
        </w:rPr>
        <w:t>Passes</w:t>
      </w:r>
      <w:r w:rsidR="00EE4FC3">
        <w:rPr>
          <w:i/>
          <w:iCs/>
        </w:rPr>
        <w:t xml:space="preserve"> </w:t>
      </w:r>
      <w:r w:rsidR="001713B3" w:rsidRPr="001713B3">
        <w:rPr>
          <w:i/>
          <w:iCs/>
        </w:rPr>
        <w:t>By</w:t>
      </w:r>
      <w:r w:rsidRPr="00382917">
        <w:t>,</w:t>
      </w:r>
      <w:r w:rsidR="00EE4FC3">
        <w:t xml:space="preserve"> </w:t>
      </w:r>
      <w:r w:rsidRPr="00382917">
        <w:t>written</w:t>
      </w:r>
      <w:r w:rsidR="00EE4FC3">
        <w:t xml:space="preserve"> </w:t>
      </w:r>
      <w:r w:rsidRPr="00382917">
        <w:t>by</w:t>
      </w:r>
      <w:r w:rsidR="00EE4FC3">
        <w:t xml:space="preserve"> </w:t>
      </w:r>
      <w:r w:rsidRPr="00382917">
        <w:t>Shoghi</w:t>
      </w:r>
      <w:r w:rsidR="00EE4FC3">
        <w:t xml:space="preserve"> </w:t>
      </w:r>
      <w:r w:rsidRPr="00382917">
        <w:t>Effendi</w:t>
      </w:r>
      <w:r w:rsidR="00EE4FC3">
        <w:t xml:space="preserve"> </w:t>
      </w:r>
      <w:r w:rsidRPr="00382917">
        <w:t>Rabbani,</w:t>
      </w:r>
      <w:r w:rsidR="00EE4FC3">
        <w:t xml:space="preserve"> </w:t>
      </w:r>
      <w:r w:rsidRPr="00382917">
        <w:t>the</w:t>
      </w:r>
      <w:r w:rsidR="00EE4FC3">
        <w:t xml:space="preserve"> </w:t>
      </w:r>
      <w:r w:rsidRPr="00382917">
        <w:t>Guardian</w:t>
      </w:r>
      <w:r w:rsidR="00EE4FC3">
        <w:t xml:space="preserve"> </w:t>
      </w:r>
      <w:r w:rsidRPr="00382917">
        <w:t>of</w:t>
      </w:r>
      <w:r w:rsidR="00EE4FC3">
        <w:t xml:space="preserve"> </w:t>
      </w:r>
      <w:r w:rsidRPr="00382917">
        <w:t>the</w:t>
      </w:r>
      <w:r w:rsidR="00EE4FC3">
        <w:t xml:space="preserve"> </w:t>
      </w:r>
      <w:r w:rsidRPr="00382917">
        <w:t>Bahá</w:t>
      </w:r>
      <w:r w:rsidR="009C713D" w:rsidRPr="00382917">
        <w:t>’</w:t>
      </w:r>
      <w:r w:rsidRPr="00382917">
        <w:t>í</w:t>
      </w:r>
      <w:r w:rsidR="00EE4FC3">
        <w:t xml:space="preserve"> </w:t>
      </w:r>
      <w:r w:rsidRPr="00382917">
        <w:t>Faith.</w:t>
      </w:r>
    </w:p>
    <w:p w:rsidR="006579C6" w:rsidRPr="00382917" w:rsidRDefault="006579C6" w:rsidP="00A54FDD">
      <w:pPr>
        <w:pStyle w:val="Text"/>
      </w:pPr>
      <w:r w:rsidRPr="00382917">
        <w:rPr>
          <w:i/>
          <w:iCs/>
        </w:rPr>
        <w:t>Release</w:t>
      </w:r>
      <w:r w:rsidR="00EE4FC3">
        <w:rPr>
          <w:i/>
          <w:iCs/>
        </w:rPr>
        <w:t xml:space="preserve"> </w:t>
      </w:r>
      <w:r w:rsidRPr="00382917">
        <w:rPr>
          <w:i/>
          <w:iCs/>
        </w:rPr>
        <w:t>the</w:t>
      </w:r>
      <w:r w:rsidR="00EE4FC3">
        <w:rPr>
          <w:i/>
          <w:iCs/>
        </w:rPr>
        <w:t xml:space="preserve"> </w:t>
      </w:r>
      <w:r w:rsidRPr="00382917">
        <w:rPr>
          <w:i/>
          <w:iCs/>
        </w:rPr>
        <w:t>Sun</w:t>
      </w:r>
      <w:r w:rsidR="00EE4FC3">
        <w:t xml:space="preserve"> </w:t>
      </w:r>
      <w:r w:rsidRPr="00382917">
        <w:t>does</w:t>
      </w:r>
      <w:r w:rsidR="00EE4FC3">
        <w:t xml:space="preserve"> </w:t>
      </w:r>
      <w:r w:rsidRPr="00382917">
        <w:t>not</w:t>
      </w:r>
      <w:r w:rsidR="00EE4FC3">
        <w:t xml:space="preserve"> </w:t>
      </w:r>
      <w:r w:rsidRPr="00382917">
        <w:t>present</w:t>
      </w:r>
      <w:r w:rsidR="00EE4FC3">
        <w:t xml:space="preserve"> </w:t>
      </w:r>
      <w:r w:rsidRPr="00382917">
        <w:t>all</w:t>
      </w:r>
      <w:r w:rsidR="00EE4FC3">
        <w:t xml:space="preserve"> </w:t>
      </w:r>
      <w:r w:rsidRPr="00382917">
        <w:t>of</w:t>
      </w:r>
      <w:r w:rsidR="00EE4FC3">
        <w:t xml:space="preserve"> </w:t>
      </w:r>
      <w:r w:rsidRPr="00382917">
        <w:t>the</w:t>
      </w:r>
      <w:r w:rsidR="00EE4FC3">
        <w:t xml:space="preserve"> </w:t>
      </w:r>
      <w:r w:rsidRPr="00382917">
        <w:t>drama</w:t>
      </w:r>
      <w:r w:rsidR="00EE4FC3">
        <w:t xml:space="preserve"> </w:t>
      </w:r>
      <w:r w:rsidRPr="00382917">
        <w:t>of</w:t>
      </w:r>
      <w:r w:rsidR="00EE4FC3">
        <w:t xml:space="preserve"> </w:t>
      </w:r>
      <w:r w:rsidRPr="00382917">
        <w:t>this</w:t>
      </w:r>
      <w:r w:rsidR="00EE4FC3">
        <w:t xml:space="preserve"> </w:t>
      </w:r>
      <w:r w:rsidRPr="00382917">
        <w:t>epic,</w:t>
      </w:r>
      <w:r w:rsidR="00EE4FC3">
        <w:t xml:space="preserve"> </w:t>
      </w:r>
      <w:r w:rsidRPr="00382917">
        <w:t>nor</w:t>
      </w:r>
      <w:r w:rsidR="00EE4FC3">
        <w:t xml:space="preserve"> </w:t>
      </w:r>
      <w:r w:rsidRPr="00382917">
        <w:t>does</w:t>
      </w:r>
      <w:r w:rsidR="00EE4FC3">
        <w:t xml:space="preserve"> </w:t>
      </w:r>
      <w:r w:rsidRPr="00382917">
        <w:t>it</w:t>
      </w:r>
      <w:r w:rsidR="00EE4FC3">
        <w:t xml:space="preserve"> </w:t>
      </w:r>
      <w:r w:rsidRPr="00382917">
        <w:t>give</w:t>
      </w:r>
      <w:r w:rsidR="00EE4FC3">
        <w:t xml:space="preserve"> </w:t>
      </w:r>
      <w:r w:rsidRPr="00382917">
        <w:t>word</w:t>
      </w:r>
      <w:r w:rsidR="00EE4FC3">
        <w:t xml:space="preserve"> </w:t>
      </w:r>
      <w:r w:rsidRPr="00382917">
        <w:t>for</w:t>
      </w:r>
      <w:r w:rsidR="00EE4FC3">
        <w:t xml:space="preserve"> </w:t>
      </w:r>
      <w:r w:rsidRPr="00382917">
        <w:t>word</w:t>
      </w:r>
      <w:r w:rsidR="00EE4FC3">
        <w:t xml:space="preserve"> </w:t>
      </w:r>
      <w:r w:rsidRPr="00382917">
        <w:t>the</w:t>
      </w:r>
      <w:r w:rsidR="00EE4FC3">
        <w:t xml:space="preserve"> </w:t>
      </w:r>
      <w:r w:rsidRPr="00382917">
        <w:t>exciting</w:t>
      </w:r>
      <w:r w:rsidR="00EE4FC3">
        <w:t xml:space="preserve"> </w:t>
      </w:r>
      <w:r w:rsidRPr="00382917">
        <w:t>stories</w:t>
      </w:r>
      <w:r w:rsidR="00EE4FC3">
        <w:t xml:space="preserve"> </w:t>
      </w:r>
      <w:r w:rsidRPr="00382917">
        <w:t>told</w:t>
      </w:r>
      <w:r w:rsidR="00EE4FC3">
        <w:t xml:space="preserve"> </w:t>
      </w:r>
      <w:r w:rsidRPr="00382917">
        <w:t>during</w:t>
      </w:r>
      <w:r w:rsidR="00EE4FC3">
        <w:t xml:space="preserve"> </w:t>
      </w:r>
      <w:r w:rsidRPr="00382917">
        <w:t>those</w:t>
      </w:r>
      <w:r w:rsidR="00EE4FC3">
        <w:t xml:space="preserve"> </w:t>
      </w:r>
      <w:r w:rsidRPr="00382917">
        <w:t>memorable</w:t>
      </w:r>
      <w:r w:rsidR="00EE4FC3">
        <w:t xml:space="preserve"> </w:t>
      </w:r>
      <w:r w:rsidRPr="00382917">
        <w:t>days.</w:t>
      </w:r>
      <w:r w:rsidR="00EE4FC3">
        <w:t xml:space="preserve">  </w:t>
      </w:r>
      <w:r w:rsidRPr="00382917">
        <w:t>It</w:t>
      </w:r>
      <w:r w:rsidR="00EE4FC3">
        <w:t xml:space="preserve"> </w:t>
      </w:r>
      <w:r w:rsidRPr="00382917">
        <w:t>merely</w:t>
      </w:r>
      <w:r w:rsidR="00EE4FC3">
        <w:t xml:space="preserve"> </w:t>
      </w:r>
      <w:r w:rsidRPr="00382917">
        <w:t>offers</w:t>
      </w:r>
      <w:r w:rsidR="00EE4FC3">
        <w:t xml:space="preserve"> </w:t>
      </w:r>
      <w:r w:rsidRPr="00382917">
        <w:t>a</w:t>
      </w:r>
      <w:r w:rsidR="00EE4FC3">
        <w:t xml:space="preserve"> </w:t>
      </w:r>
      <w:r w:rsidRPr="00382917">
        <w:t>simplified</w:t>
      </w:r>
      <w:r w:rsidR="00EE4FC3">
        <w:t xml:space="preserve"> </w:t>
      </w:r>
      <w:r w:rsidRPr="00382917">
        <w:t>version</w:t>
      </w:r>
      <w:r w:rsidR="00EE4FC3">
        <w:t xml:space="preserve"> </w:t>
      </w:r>
      <w:r w:rsidRPr="00382917">
        <w:t>of</w:t>
      </w:r>
      <w:r w:rsidR="00EE4FC3">
        <w:t xml:space="preserve"> </w:t>
      </w:r>
      <w:r w:rsidRPr="00382917">
        <w:t>a</w:t>
      </w:r>
      <w:r w:rsidR="00EE4FC3">
        <w:t xml:space="preserve"> </w:t>
      </w:r>
      <w:r w:rsidRPr="00382917">
        <w:t>story</w:t>
      </w:r>
      <w:r w:rsidR="00EE4FC3">
        <w:t xml:space="preserve"> </w:t>
      </w:r>
      <w:r w:rsidRPr="00382917">
        <w:t>too</w:t>
      </w:r>
      <w:r w:rsidR="00EE4FC3">
        <w:t xml:space="preserve"> </w:t>
      </w:r>
      <w:r w:rsidRPr="00382917">
        <w:t>long</w:t>
      </w:r>
      <w:r w:rsidR="00EE4FC3">
        <w:t xml:space="preserve"> </w:t>
      </w:r>
      <w:r w:rsidRPr="00382917">
        <w:t>neglected</w:t>
      </w:r>
      <w:r w:rsidR="00EE4FC3">
        <w:t xml:space="preserve"> </w:t>
      </w:r>
      <w:r w:rsidRPr="00382917">
        <w:t>and</w:t>
      </w:r>
      <w:r w:rsidR="00EE4FC3">
        <w:t xml:space="preserve"> </w:t>
      </w:r>
      <w:r w:rsidRPr="00382917">
        <w:t>overlooked</w:t>
      </w:r>
      <w:r w:rsidR="00EE4FC3">
        <w:t xml:space="preserve"> </w:t>
      </w:r>
      <w:r w:rsidRPr="00382917">
        <w:t>by</w:t>
      </w:r>
      <w:r w:rsidR="00EE4FC3">
        <w:t xml:space="preserve"> </w:t>
      </w:r>
      <w:r w:rsidRPr="00382917">
        <w:t>man</w:t>
      </w:r>
      <w:r w:rsidR="00EE4FC3">
        <w:t xml:space="preserve"> </w:t>
      </w:r>
      <w:r w:rsidRPr="00382917">
        <w:t>in</w:t>
      </w:r>
      <w:r w:rsidR="00EE4FC3">
        <w:t xml:space="preserve"> </w:t>
      </w:r>
      <w:r w:rsidRPr="00382917">
        <w:t>his</w:t>
      </w:r>
      <w:r w:rsidR="00EE4FC3">
        <w:t xml:space="preserve"> </w:t>
      </w:r>
      <w:r w:rsidRPr="00382917">
        <w:t>search</w:t>
      </w:r>
      <w:r w:rsidR="00EE4FC3">
        <w:t xml:space="preserve"> </w:t>
      </w:r>
      <w:r w:rsidRPr="00382917">
        <w:t>for</w:t>
      </w:r>
      <w:r w:rsidR="00EE4FC3">
        <w:t xml:space="preserve"> </w:t>
      </w:r>
      <w:r w:rsidRPr="00382917">
        <w:t>peace</w:t>
      </w:r>
      <w:r w:rsidR="00EE4FC3">
        <w:t xml:space="preserve"> </w:t>
      </w:r>
      <w:r w:rsidRPr="00382917">
        <w:t>of</w:t>
      </w:r>
      <w:r w:rsidR="00EE4FC3">
        <w:t xml:space="preserve"> </w:t>
      </w:r>
      <w:r w:rsidRPr="00382917">
        <w:t>mind</w:t>
      </w:r>
      <w:r w:rsidR="00EE4FC3">
        <w:t xml:space="preserve"> </w:t>
      </w:r>
      <w:r w:rsidRPr="00382917">
        <w:t>and</w:t>
      </w:r>
      <w:r w:rsidR="00EE4FC3">
        <w:t xml:space="preserve"> </w:t>
      </w:r>
      <w:r w:rsidRPr="00382917">
        <w:t>satisfaction</w:t>
      </w:r>
      <w:r w:rsidR="00EE4FC3">
        <w:t xml:space="preserve"> </w:t>
      </w:r>
      <w:r w:rsidRPr="00382917">
        <w:t>of</w:t>
      </w:r>
      <w:r w:rsidR="00EE4FC3">
        <w:t xml:space="preserve"> </w:t>
      </w:r>
      <w:r w:rsidRPr="00382917">
        <w:t>soul.</w:t>
      </w:r>
    </w:p>
    <w:p w:rsidR="006579C6" w:rsidRPr="00382917" w:rsidRDefault="00F04416" w:rsidP="00F04416">
      <w:pPr>
        <w:tabs>
          <w:tab w:val="left" w:pos="3686"/>
        </w:tabs>
        <w:spacing w:before="120"/>
      </w:pPr>
      <w:r w:rsidRPr="00382917">
        <w:tab/>
        <w:t>William</w:t>
      </w:r>
      <w:r w:rsidR="00EE4FC3">
        <w:t xml:space="preserve"> </w:t>
      </w:r>
      <w:r w:rsidRPr="00382917">
        <w:t>Sears</w:t>
      </w:r>
    </w:p>
    <w:p w:rsidR="006579C6" w:rsidRPr="00382917" w:rsidRDefault="00F04416" w:rsidP="00F04416">
      <w:pPr>
        <w:tabs>
          <w:tab w:val="left" w:pos="3686"/>
        </w:tabs>
      </w:pPr>
      <w:r w:rsidRPr="00382917">
        <w:tab/>
      </w:r>
      <w:proofErr w:type="spellStart"/>
      <w:r w:rsidR="006579C6" w:rsidRPr="00382917">
        <w:t>Wilgespruit</w:t>
      </w:r>
      <w:proofErr w:type="spellEnd"/>
      <w:r w:rsidR="006579C6" w:rsidRPr="00382917">
        <w:t>,</w:t>
      </w:r>
      <w:r w:rsidR="00EE4FC3">
        <w:t xml:space="preserve"> </w:t>
      </w:r>
      <w:r w:rsidR="006579C6" w:rsidRPr="00382917">
        <w:t>Transvaal,</w:t>
      </w:r>
      <w:r w:rsidR="00EE4FC3">
        <w:t xml:space="preserve"> </w:t>
      </w:r>
      <w:r w:rsidR="006579C6" w:rsidRPr="00382917">
        <w:t>South</w:t>
      </w:r>
      <w:r w:rsidR="00EE4FC3">
        <w:t xml:space="preserve"> </w:t>
      </w:r>
      <w:r w:rsidR="006579C6" w:rsidRPr="00382917">
        <w:t>Africa</w:t>
      </w:r>
    </w:p>
    <w:p w:rsidR="006579C6" w:rsidRPr="00382917" w:rsidRDefault="00F04416" w:rsidP="00F04416">
      <w:pPr>
        <w:tabs>
          <w:tab w:val="left" w:pos="3686"/>
        </w:tabs>
      </w:pPr>
      <w:r w:rsidRPr="00382917">
        <w:tab/>
      </w:r>
      <w:r w:rsidR="006579C6" w:rsidRPr="00382917">
        <w:t>September,</w:t>
      </w:r>
      <w:r w:rsidR="00EE4FC3">
        <w:t xml:space="preserve"> </w:t>
      </w:r>
      <w:r w:rsidR="006579C6" w:rsidRPr="00382917">
        <w:t>1957</w:t>
      </w:r>
    </w:p>
    <w:p w:rsidR="00327433" w:rsidRPr="00382917" w:rsidRDefault="00327433" w:rsidP="006579C6">
      <w:pPr>
        <w:rPr>
          <w:rFonts w:eastAsia="Times New Roman"/>
          <w:color w:val="000000"/>
          <w:sz w:val="24"/>
        </w:rPr>
      </w:pPr>
    </w:p>
    <w:p w:rsidR="006D18A4" w:rsidRPr="00382917" w:rsidRDefault="006D18A4" w:rsidP="006579C6">
      <w:pPr>
        <w:rPr>
          <w:rFonts w:eastAsia="Times New Roman"/>
          <w:color w:val="000000"/>
          <w:sz w:val="24"/>
        </w:rPr>
        <w:sectPr w:rsidR="006D18A4" w:rsidRPr="00382917" w:rsidSect="009073C7">
          <w:footerReference w:type="first" r:id="rId14"/>
          <w:footnotePr>
            <w:numRestart w:val="eachPage"/>
          </w:footnotePr>
          <w:type w:val="oddPage"/>
          <w:pgSz w:w="8618" w:h="12984" w:code="188"/>
          <w:pgMar w:top="720" w:right="720" w:bottom="720" w:left="720" w:header="720" w:footer="567" w:gutter="357"/>
          <w:pgNumType w:fmt="lowerRoman"/>
          <w:cols w:space="708"/>
          <w:noEndnote/>
          <w:titlePg/>
          <w:docGrid w:linePitch="272"/>
        </w:sectPr>
      </w:pPr>
    </w:p>
    <w:p w:rsidR="006579C6" w:rsidRPr="00382917" w:rsidRDefault="006579C6" w:rsidP="006579C6">
      <w:pPr>
        <w:rPr>
          <w:rFonts w:eastAsia="Times New Roman"/>
          <w:color w:val="000000"/>
          <w:sz w:val="24"/>
        </w:rPr>
      </w:pPr>
    </w:p>
    <w:p w:rsidR="006579C6" w:rsidRPr="00382917" w:rsidRDefault="006579C6" w:rsidP="006579C6">
      <w:pPr>
        <w:rPr>
          <w:rFonts w:eastAsia="Times New Roman"/>
          <w:color w:val="000000"/>
          <w:sz w:val="24"/>
        </w:rPr>
      </w:pPr>
    </w:p>
    <w:p w:rsidR="006579C6" w:rsidRPr="00382917" w:rsidRDefault="00327433" w:rsidP="00327433">
      <w:pPr>
        <w:pStyle w:val="Myheadc"/>
      </w:pPr>
      <w:r w:rsidRPr="00382917">
        <w:t>Contents</w:t>
      </w:r>
    </w:p>
    <w:p w:rsidR="00B92F1D" w:rsidRDefault="00417538">
      <w:pPr>
        <w:pStyle w:val="TOC1"/>
        <w:rPr>
          <w:rFonts w:asciiTheme="minorHAnsi" w:eastAsiaTheme="minorEastAsia" w:hAnsiTheme="minorHAnsi" w:cstheme="minorBidi"/>
          <w:bCs w:val="0"/>
          <w:noProof/>
          <w:sz w:val="22"/>
          <w:lang w:val="en-AU" w:eastAsia="en-AU"/>
          <w14:numForm w14:val="default"/>
          <w14:numSpacing w14:val="default"/>
        </w:rPr>
      </w:pPr>
      <w:r>
        <w:fldChar w:fldCharType="begin"/>
      </w:r>
      <w:r>
        <w:instrText xml:space="preserve"> TOC </w:instrText>
      </w:r>
      <w:r w:rsidRPr="00BB21E2">
        <w:rPr>
          <w:szCs w:val="20"/>
        </w:rPr>
        <w:instrText>\w \z \f \u</w:instrText>
      </w:r>
      <w:r>
        <w:instrText xml:space="preserve"> </w:instrText>
      </w:r>
      <w:r>
        <w:fldChar w:fldCharType="separate"/>
      </w:r>
      <w:r w:rsidR="00B92F1D">
        <w:rPr>
          <w:noProof/>
        </w:rPr>
        <w:t>Foreword</w:t>
      </w:r>
      <w:r w:rsidR="00B92F1D" w:rsidRPr="00060727">
        <w:rPr>
          <w:noProof/>
          <w:color w:val="FFFFFF" w:themeColor="background1"/>
        </w:rPr>
        <w:t>..</w:t>
      </w:r>
      <w:r w:rsidR="00B92F1D">
        <w:rPr>
          <w:noProof/>
        </w:rPr>
        <w:tab/>
      </w:r>
      <w:r w:rsidR="00B92F1D" w:rsidRPr="00060727">
        <w:rPr>
          <w:noProof/>
          <w:color w:val="FFFFFF" w:themeColor="background1"/>
        </w:rPr>
        <w:t>.</w:t>
      </w:r>
      <w:r w:rsidR="00B92F1D">
        <w:rPr>
          <w:noProof/>
          <w:webHidden/>
        </w:rPr>
        <w:tab/>
      </w:r>
      <w:r w:rsidR="00B92F1D">
        <w:rPr>
          <w:noProof/>
          <w:webHidden/>
        </w:rPr>
        <w:fldChar w:fldCharType="begin"/>
      </w:r>
      <w:r w:rsidR="00B92F1D">
        <w:rPr>
          <w:noProof/>
          <w:webHidden/>
        </w:rPr>
        <w:instrText xml:space="preserve"> PAGEREF _Toc206658597 \h </w:instrText>
      </w:r>
      <w:r w:rsidR="00B92F1D">
        <w:rPr>
          <w:noProof/>
          <w:webHidden/>
        </w:rPr>
      </w:r>
      <w:r w:rsidR="00B92F1D">
        <w:rPr>
          <w:noProof/>
          <w:webHidden/>
        </w:rPr>
        <w:fldChar w:fldCharType="separate"/>
      </w:r>
      <w:r w:rsidR="00B92F1D">
        <w:rPr>
          <w:noProof/>
          <w:webHidden/>
        </w:rPr>
        <w:t>iii</w:t>
      </w:r>
      <w:r w:rsidR="00B92F1D">
        <w:rPr>
          <w:noProof/>
          <w:webHidden/>
        </w:rPr>
        <w:fldChar w:fldCharType="end"/>
      </w:r>
    </w:p>
    <w:p w:rsidR="00B92F1D" w:rsidRDefault="00B92F1D">
      <w:pPr>
        <w:pStyle w:val="TOC1"/>
        <w:rPr>
          <w:rFonts w:asciiTheme="minorHAnsi" w:eastAsiaTheme="minorEastAsia" w:hAnsiTheme="minorHAnsi" w:cstheme="minorBidi"/>
          <w:bCs w:val="0"/>
          <w:noProof/>
          <w:sz w:val="22"/>
          <w:lang w:val="en-AU" w:eastAsia="en-AU"/>
          <w14:numForm w14:val="default"/>
          <w14:numSpacing w14:val="default"/>
        </w:rPr>
      </w:pPr>
      <w:r w:rsidRPr="00060727">
        <w:rPr>
          <w:noProof/>
          <w:lang w:val="en-AU"/>
        </w:rPr>
        <w:t>Prologue</w:t>
      </w:r>
      <w:r w:rsidRPr="00060727">
        <w:rPr>
          <w:noProof/>
          <w:color w:val="FFFFFF" w:themeColor="background1"/>
          <w:lang w:val="en-AU"/>
        </w:rPr>
        <w:t>..</w:t>
      </w:r>
      <w:r w:rsidRPr="00060727">
        <w:rPr>
          <w:noProof/>
          <w:lang w:val="en-AU"/>
        </w:rPr>
        <w:tab/>
      </w:r>
      <w:r w:rsidRPr="00060727">
        <w:rPr>
          <w:noProof/>
          <w:color w:val="FFFFFF" w:themeColor="background1"/>
          <w:lang w:val="en-AU"/>
        </w:rPr>
        <w:t>.</w:t>
      </w:r>
      <w:r>
        <w:rPr>
          <w:noProof/>
          <w:webHidden/>
        </w:rPr>
        <w:tab/>
      </w:r>
      <w:r>
        <w:rPr>
          <w:noProof/>
          <w:webHidden/>
        </w:rPr>
        <w:fldChar w:fldCharType="begin"/>
      </w:r>
      <w:r>
        <w:rPr>
          <w:noProof/>
          <w:webHidden/>
        </w:rPr>
        <w:instrText xml:space="preserve"> PAGEREF _Toc206658598 \h </w:instrText>
      </w:r>
      <w:r>
        <w:rPr>
          <w:noProof/>
          <w:webHidden/>
        </w:rPr>
      </w:r>
      <w:r>
        <w:rPr>
          <w:noProof/>
          <w:webHidden/>
        </w:rPr>
        <w:fldChar w:fldCharType="separate"/>
      </w:r>
      <w:r>
        <w:rPr>
          <w:noProof/>
          <w:webHidden/>
        </w:rPr>
        <w:t>1</w:t>
      </w:r>
      <w:r>
        <w:rPr>
          <w:noProof/>
          <w:webHidden/>
        </w:rPr>
        <w:fldChar w:fldCharType="end"/>
      </w:r>
    </w:p>
    <w:p w:rsidR="00B92F1D" w:rsidRDefault="00B92F1D">
      <w:pPr>
        <w:pStyle w:val="TOC1"/>
        <w:rPr>
          <w:rFonts w:asciiTheme="minorHAnsi" w:eastAsiaTheme="minorEastAsia" w:hAnsiTheme="minorHAnsi" w:cstheme="minorBidi"/>
          <w:bCs w:val="0"/>
          <w:noProof/>
          <w:sz w:val="22"/>
          <w:lang w:val="en-AU" w:eastAsia="en-AU"/>
          <w14:numForm w14:val="default"/>
          <w14:numSpacing w14:val="default"/>
        </w:rPr>
      </w:pPr>
      <w:r>
        <w:rPr>
          <w:noProof/>
        </w:rPr>
        <w:tab/>
        <w:t>1.</w:t>
      </w:r>
      <w:r>
        <w:rPr>
          <w:noProof/>
        </w:rPr>
        <w:tab/>
        <w:t>The promise of the Messiah</w:t>
      </w:r>
      <w:r w:rsidRPr="00060727">
        <w:rPr>
          <w:noProof/>
          <w:color w:val="FFFFFF" w:themeColor="background1"/>
        </w:rPr>
        <w:t>..</w:t>
      </w:r>
      <w:r>
        <w:rPr>
          <w:noProof/>
        </w:rPr>
        <w:tab/>
      </w:r>
      <w:r w:rsidRPr="00060727">
        <w:rPr>
          <w:noProof/>
          <w:color w:val="FFFFFF" w:themeColor="background1"/>
        </w:rPr>
        <w:t>.</w:t>
      </w:r>
      <w:r>
        <w:rPr>
          <w:noProof/>
          <w:webHidden/>
        </w:rPr>
        <w:tab/>
      </w:r>
      <w:r>
        <w:rPr>
          <w:noProof/>
          <w:webHidden/>
        </w:rPr>
        <w:fldChar w:fldCharType="begin"/>
      </w:r>
      <w:r>
        <w:rPr>
          <w:noProof/>
          <w:webHidden/>
        </w:rPr>
        <w:instrText xml:space="preserve"> PAGEREF _Toc206658599 \h </w:instrText>
      </w:r>
      <w:r>
        <w:rPr>
          <w:noProof/>
          <w:webHidden/>
        </w:rPr>
      </w:r>
      <w:r>
        <w:rPr>
          <w:noProof/>
          <w:webHidden/>
        </w:rPr>
        <w:fldChar w:fldCharType="separate"/>
      </w:r>
      <w:r>
        <w:rPr>
          <w:noProof/>
          <w:webHidden/>
        </w:rPr>
        <w:t>3</w:t>
      </w:r>
      <w:r>
        <w:rPr>
          <w:noProof/>
          <w:webHidden/>
        </w:rPr>
        <w:fldChar w:fldCharType="end"/>
      </w:r>
    </w:p>
    <w:p w:rsidR="00B92F1D" w:rsidRDefault="00B92F1D">
      <w:pPr>
        <w:pStyle w:val="TOC1"/>
        <w:rPr>
          <w:rFonts w:asciiTheme="minorHAnsi" w:eastAsiaTheme="minorEastAsia" w:hAnsiTheme="minorHAnsi" w:cstheme="minorBidi"/>
          <w:bCs w:val="0"/>
          <w:noProof/>
          <w:sz w:val="22"/>
          <w:lang w:val="en-AU" w:eastAsia="en-AU"/>
          <w14:numForm w14:val="default"/>
          <w14:numSpacing w14:val="default"/>
        </w:rPr>
      </w:pPr>
      <w:r>
        <w:rPr>
          <w:noProof/>
        </w:rPr>
        <w:tab/>
        <w:t>2.</w:t>
      </w:r>
      <w:r>
        <w:rPr>
          <w:noProof/>
        </w:rPr>
        <w:tab/>
        <w:t>The search begins</w:t>
      </w:r>
      <w:r w:rsidRPr="00060727">
        <w:rPr>
          <w:noProof/>
          <w:color w:val="FFFFFF" w:themeColor="background1"/>
        </w:rPr>
        <w:t>..</w:t>
      </w:r>
      <w:r>
        <w:rPr>
          <w:noProof/>
        </w:rPr>
        <w:tab/>
      </w:r>
      <w:r w:rsidRPr="00060727">
        <w:rPr>
          <w:noProof/>
          <w:color w:val="FFFFFF" w:themeColor="background1"/>
        </w:rPr>
        <w:t>.</w:t>
      </w:r>
      <w:r>
        <w:rPr>
          <w:noProof/>
          <w:webHidden/>
        </w:rPr>
        <w:tab/>
      </w:r>
      <w:r>
        <w:rPr>
          <w:noProof/>
          <w:webHidden/>
        </w:rPr>
        <w:fldChar w:fldCharType="begin"/>
      </w:r>
      <w:r>
        <w:rPr>
          <w:noProof/>
          <w:webHidden/>
        </w:rPr>
        <w:instrText xml:space="preserve"> PAGEREF _Toc206658600 \h </w:instrText>
      </w:r>
      <w:r>
        <w:rPr>
          <w:noProof/>
          <w:webHidden/>
        </w:rPr>
      </w:r>
      <w:r>
        <w:rPr>
          <w:noProof/>
          <w:webHidden/>
        </w:rPr>
        <w:fldChar w:fldCharType="separate"/>
      </w:r>
      <w:r>
        <w:rPr>
          <w:noProof/>
          <w:webHidden/>
        </w:rPr>
        <w:t>10</w:t>
      </w:r>
      <w:r>
        <w:rPr>
          <w:noProof/>
          <w:webHidden/>
        </w:rPr>
        <w:fldChar w:fldCharType="end"/>
      </w:r>
    </w:p>
    <w:p w:rsidR="00B92F1D" w:rsidRDefault="00B92F1D">
      <w:pPr>
        <w:pStyle w:val="TOC1"/>
        <w:rPr>
          <w:rFonts w:asciiTheme="minorHAnsi" w:eastAsiaTheme="minorEastAsia" w:hAnsiTheme="minorHAnsi" w:cstheme="minorBidi"/>
          <w:bCs w:val="0"/>
          <w:noProof/>
          <w:sz w:val="22"/>
          <w:lang w:val="en-AU" w:eastAsia="en-AU"/>
          <w14:numForm w14:val="default"/>
          <w14:numSpacing w14:val="default"/>
        </w:rPr>
      </w:pPr>
      <w:r>
        <w:rPr>
          <w:noProof/>
        </w:rPr>
        <w:tab/>
        <w:t>3.</w:t>
      </w:r>
      <w:r>
        <w:rPr>
          <w:noProof/>
        </w:rPr>
        <w:tab/>
        <w:t>The promise is fulfilled</w:t>
      </w:r>
      <w:r w:rsidRPr="00060727">
        <w:rPr>
          <w:noProof/>
          <w:color w:val="FFFFFF" w:themeColor="background1"/>
        </w:rPr>
        <w:t>..</w:t>
      </w:r>
      <w:r>
        <w:rPr>
          <w:noProof/>
        </w:rPr>
        <w:tab/>
      </w:r>
      <w:r w:rsidRPr="00060727">
        <w:rPr>
          <w:noProof/>
          <w:color w:val="FFFFFF" w:themeColor="background1"/>
        </w:rPr>
        <w:t>.</w:t>
      </w:r>
      <w:r>
        <w:rPr>
          <w:noProof/>
          <w:webHidden/>
        </w:rPr>
        <w:tab/>
      </w:r>
      <w:r>
        <w:rPr>
          <w:noProof/>
          <w:webHidden/>
        </w:rPr>
        <w:fldChar w:fldCharType="begin"/>
      </w:r>
      <w:r>
        <w:rPr>
          <w:noProof/>
          <w:webHidden/>
        </w:rPr>
        <w:instrText xml:space="preserve"> PAGEREF _Toc206658601 \h </w:instrText>
      </w:r>
      <w:r>
        <w:rPr>
          <w:noProof/>
          <w:webHidden/>
        </w:rPr>
      </w:r>
      <w:r>
        <w:rPr>
          <w:noProof/>
          <w:webHidden/>
        </w:rPr>
        <w:fldChar w:fldCharType="separate"/>
      </w:r>
      <w:r>
        <w:rPr>
          <w:noProof/>
          <w:webHidden/>
        </w:rPr>
        <w:t>18</w:t>
      </w:r>
      <w:r>
        <w:rPr>
          <w:noProof/>
          <w:webHidden/>
        </w:rPr>
        <w:fldChar w:fldCharType="end"/>
      </w:r>
    </w:p>
    <w:p w:rsidR="00B92F1D" w:rsidRDefault="00B92F1D">
      <w:pPr>
        <w:pStyle w:val="TOC1"/>
        <w:rPr>
          <w:rFonts w:asciiTheme="minorHAnsi" w:eastAsiaTheme="minorEastAsia" w:hAnsiTheme="minorHAnsi" w:cstheme="minorBidi"/>
          <w:bCs w:val="0"/>
          <w:noProof/>
          <w:sz w:val="22"/>
          <w:lang w:val="en-AU" w:eastAsia="en-AU"/>
          <w14:numForm w14:val="default"/>
          <w14:numSpacing w14:val="default"/>
        </w:rPr>
      </w:pPr>
      <w:r>
        <w:rPr>
          <w:noProof/>
        </w:rPr>
        <w:tab/>
        <w:t>4.</w:t>
      </w:r>
      <w:r>
        <w:rPr>
          <w:noProof/>
        </w:rPr>
        <w:tab/>
        <w:t>The pilgrimage and the proclamation</w:t>
      </w:r>
      <w:r w:rsidRPr="00060727">
        <w:rPr>
          <w:noProof/>
          <w:color w:val="FFFFFF" w:themeColor="background1"/>
        </w:rPr>
        <w:t>..</w:t>
      </w:r>
      <w:r>
        <w:rPr>
          <w:noProof/>
        </w:rPr>
        <w:tab/>
      </w:r>
      <w:r w:rsidRPr="00060727">
        <w:rPr>
          <w:noProof/>
          <w:color w:val="FFFFFF" w:themeColor="background1"/>
        </w:rPr>
        <w:t>.</w:t>
      </w:r>
      <w:r>
        <w:rPr>
          <w:noProof/>
          <w:webHidden/>
        </w:rPr>
        <w:tab/>
      </w:r>
      <w:r>
        <w:rPr>
          <w:noProof/>
          <w:webHidden/>
        </w:rPr>
        <w:fldChar w:fldCharType="begin"/>
      </w:r>
      <w:r>
        <w:rPr>
          <w:noProof/>
          <w:webHidden/>
        </w:rPr>
        <w:instrText xml:space="preserve"> PAGEREF _Toc206658602 \h </w:instrText>
      </w:r>
      <w:r>
        <w:rPr>
          <w:noProof/>
          <w:webHidden/>
        </w:rPr>
      </w:r>
      <w:r>
        <w:rPr>
          <w:noProof/>
          <w:webHidden/>
        </w:rPr>
        <w:fldChar w:fldCharType="separate"/>
      </w:r>
      <w:r>
        <w:rPr>
          <w:noProof/>
          <w:webHidden/>
        </w:rPr>
        <w:t>23</w:t>
      </w:r>
      <w:r>
        <w:rPr>
          <w:noProof/>
          <w:webHidden/>
        </w:rPr>
        <w:fldChar w:fldCharType="end"/>
      </w:r>
    </w:p>
    <w:p w:rsidR="00B92F1D" w:rsidRDefault="00B92F1D">
      <w:pPr>
        <w:pStyle w:val="TOC1"/>
        <w:rPr>
          <w:rFonts w:asciiTheme="minorHAnsi" w:eastAsiaTheme="minorEastAsia" w:hAnsiTheme="minorHAnsi" w:cstheme="minorBidi"/>
          <w:bCs w:val="0"/>
          <w:noProof/>
          <w:sz w:val="22"/>
          <w:lang w:val="en-AU" w:eastAsia="en-AU"/>
          <w14:numForm w14:val="default"/>
          <w14:numSpacing w14:val="default"/>
        </w:rPr>
      </w:pPr>
      <w:r>
        <w:rPr>
          <w:noProof/>
        </w:rPr>
        <w:tab/>
        <w:t>5.</w:t>
      </w:r>
      <w:r>
        <w:rPr>
          <w:noProof/>
        </w:rPr>
        <w:tab/>
        <w:t>The persecution begins</w:t>
      </w:r>
      <w:r w:rsidRPr="00060727">
        <w:rPr>
          <w:noProof/>
          <w:color w:val="FFFFFF" w:themeColor="background1"/>
        </w:rPr>
        <w:t>..</w:t>
      </w:r>
      <w:r>
        <w:rPr>
          <w:noProof/>
        </w:rPr>
        <w:tab/>
      </w:r>
      <w:r w:rsidRPr="00060727">
        <w:rPr>
          <w:noProof/>
          <w:color w:val="FFFFFF" w:themeColor="background1"/>
        </w:rPr>
        <w:t>.</w:t>
      </w:r>
      <w:r>
        <w:rPr>
          <w:noProof/>
          <w:webHidden/>
        </w:rPr>
        <w:tab/>
      </w:r>
      <w:r>
        <w:rPr>
          <w:noProof/>
          <w:webHidden/>
        </w:rPr>
        <w:fldChar w:fldCharType="begin"/>
      </w:r>
      <w:r>
        <w:rPr>
          <w:noProof/>
          <w:webHidden/>
        </w:rPr>
        <w:instrText xml:space="preserve"> PAGEREF _Toc206658603 \h </w:instrText>
      </w:r>
      <w:r>
        <w:rPr>
          <w:noProof/>
          <w:webHidden/>
        </w:rPr>
      </w:r>
      <w:r>
        <w:rPr>
          <w:noProof/>
          <w:webHidden/>
        </w:rPr>
        <w:fldChar w:fldCharType="separate"/>
      </w:r>
      <w:r>
        <w:rPr>
          <w:noProof/>
          <w:webHidden/>
        </w:rPr>
        <w:t>26</w:t>
      </w:r>
      <w:r>
        <w:rPr>
          <w:noProof/>
          <w:webHidden/>
        </w:rPr>
        <w:fldChar w:fldCharType="end"/>
      </w:r>
    </w:p>
    <w:p w:rsidR="00B92F1D" w:rsidRDefault="00B92F1D">
      <w:pPr>
        <w:pStyle w:val="TOC1"/>
        <w:rPr>
          <w:rFonts w:asciiTheme="minorHAnsi" w:eastAsiaTheme="minorEastAsia" w:hAnsiTheme="minorHAnsi" w:cstheme="minorBidi"/>
          <w:bCs w:val="0"/>
          <w:noProof/>
          <w:sz w:val="22"/>
          <w:lang w:val="en-AU" w:eastAsia="en-AU"/>
          <w14:numForm w14:val="default"/>
          <w14:numSpacing w14:val="default"/>
        </w:rPr>
      </w:pPr>
      <w:r>
        <w:rPr>
          <w:noProof/>
        </w:rPr>
        <w:tab/>
        <w:t>6.</w:t>
      </w:r>
      <w:r>
        <w:rPr>
          <w:noProof/>
        </w:rPr>
        <w:tab/>
        <w:t>The gentle arrest</w:t>
      </w:r>
      <w:r w:rsidRPr="00060727">
        <w:rPr>
          <w:noProof/>
          <w:color w:val="FFFFFF" w:themeColor="background1"/>
        </w:rPr>
        <w:t>..</w:t>
      </w:r>
      <w:r>
        <w:rPr>
          <w:noProof/>
        </w:rPr>
        <w:tab/>
      </w:r>
      <w:r w:rsidRPr="00060727">
        <w:rPr>
          <w:noProof/>
          <w:color w:val="FFFFFF" w:themeColor="background1"/>
        </w:rPr>
        <w:t>.</w:t>
      </w:r>
      <w:r>
        <w:rPr>
          <w:noProof/>
          <w:webHidden/>
        </w:rPr>
        <w:tab/>
      </w:r>
      <w:r>
        <w:rPr>
          <w:noProof/>
          <w:webHidden/>
        </w:rPr>
        <w:fldChar w:fldCharType="begin"/>
      </w:r>
      <w:r>
        <w:rPr>
          <w:noProof/>
          <w:webHidden/>
        </w:rPr>
        <w:instrText xml:space="preserve"> PAGEREF _Toc206658604 \h </w:instrText>
      </w:r>
      <w:r>
        <w:rPr>
          <w:noProof/>
          <w:webHidden/>
        </w:rPr>
      </w:r>
      <w:r>
        <w:rPr>
          <w:noProof/>
          <w:webHidden/>
        </w:rPr>
        <w:fldChar w:fldCharType="separate"/>
      </w:r>
      <w:r>
        <w:rPr>
          <w:noProof/>
          <w:webHidden/>
        </w:rPr>
        <w:t>30</w:t>
      </w:r>
      <w:r>
        <w:rPr>
          <w:noProof/>
          <w:webHidden/>
        </w:rPr>
        <w:fldChar w:fldCharType="end"/>
      </w:r>
    </w:p>
    <w:p w:rsidR="00B92F1D" w:rsidRDefault="00B92F1D">
      <w:pPr>
        <w:pStyle w:val="TOC1"/>
        <w:rPr>
          <w:rFonts w:asciiTheme="minorHAnsi" w:eastAsiaTheme="minorEastAsia" w:hAnsiTheme="minorHAnsi" w:cstheme="minorBidi"/>
          <w:bCs w:val="0"/>
          <w:noProof/>
          <w:sz w:val="22"/>
          <w:lang w:val="en-AU" w:eastAsia="en-AU"/>
          <w14:numForm w14:val="default"/>
          <w14:numSpacing w14:val="default"/>
        </w:rPr>
      </w:pPr>
      <w:r>
        <w:rPr>
          <w:noProof/>
        </w:rPr>
        <w:tab/>
        <w:t>7.</w:t>
      </w:r>
      <w:r>
        <w:rPr>
          <w:noProof/>
        </w:rPr>
        <w:tab/>
        <w:t>The enchantment of the King’s messenger</w:t>
      </w:r>
      <w:r w:rsidRPr="00060727">
        <w:rPr>
          <w:noProof/>
          <w:color w:val="FFFFFF" w:themeColor="background1"/>
        </w:rPr>
        <w:t>..</w:t>
      </w:r>
      <w:r>
        <w:rPr>
          <w:noProof/>
        </w:rPr>
        <w:tab/>
      </w:r>
      <w:r w:rsidRPr="00060727">
        <w:rPr>
          <w:noProof/>
          <w:color w:val="FFFFFF" w:themeColor="background1"/>
        </w:rPr>
        <w:t>.</w:t>
      </w:r>
      <w:r>
        <w:rPr>
          <w:noProof/>
          <w:webHidden/>
        </w:rPr>
        <w:tab/>
      </w:r>
      <w:r>
        <w:rPr>
          <w:noProof/>
          <w:webHidden/>
        </w:rPr>
        <w:fldChar w:fldCharType="begin"/>
      </w:r>
      <w:r>
        <w:rPr>
          <w:noProof/>
          <w:webHidden/>
        </w:rPr>
        <w:instrText xml:space="preserve"> PAGEREF _Toc206658605 \h </w:instrText>
      </w:r>
      <w:r>
        <w:rPr>
          <w:noProof/>
          <w:webHidden/>
        </w:rPr>
      </w:r>
      <w:r>
        <w:rPr>
          <w:noProof/>
          <w:webHidden/>
        </w:rPr>
        <w:fldChar w:fldCharType="separate"/>
      </w:r>
      <w:r>
        <w:rPr>
          <w:noProof/>
          <w:webHidden/>
        </w:rPr>
        <w:t>35</w:t>
      </w:r>
      <w:r>
        <w:rPr>
          <w:noProof/>
          <w:webHidden/>
        </w:rPr>
        <w:fldChar w:fldCharType="end"/>
      </w:r>
    </w:p>
    <w:p w:rsidR="00B92F1D" w:rsidRDefault="00B92F1D">
      <w:pPr>
        <w:pStyle w:val="TOC1"/>
        <w:rPr>
          <w:rFonts w:asciiTheme="minorHAnsi" w:eastAsiaTheme="minorEastAsia" w:hAnsiTheme="minorHAnsi" w:cstheme="minorBidi"/>
          <w:bCs w:val="0"/>
          <w:noProof/>
          <w:sz w:val="22"/>
          <w:lang w:val="en-AU" w:eastAsia="en-AU"/>
          <w14:numForm w14:val="default"/>
          <w14:numSpacing w14:val="default"/>
        </w:rPr>
      </w:pPr>
      <w:r>
        <w:rPr>
          <w:noProof/>
        </w:rPr>
        <w:tab/>
        <w:t>8.</w:t>
      </w:r>
      <w:r>
        <w:rPr>
          <w:noProof/>
        </w:rPr>
        <w:tab/>
        <w:t>The enchantment of the King’s messenger</w:t>
      </w:r>
      <w:r w:rsidRPr="00060727">
        <w:rPr>
          <w:noProof/>
          <w:color w:val="FFFFFF" w:themeColor="background1"/>
        </w:rPr>
        <w:t>..</w:t>
      </w:r>
      <w:r>
        <w:rPr>
          <w:noProof/>
        </w:rPr>
        <w:tab/>
      </w:r>
      <w:r w:rsidRPr="00060727">
        <w:rPr>
          <w:noProof/>
          <w:color w:val="FFFFFF" w:themeColor="background1"/>
        </w:rPr>
        <w:t>.</w:t>
      </w:r>
      <w:r>
        <w:rPr>
          <w:noProof/>
          <w:webHidden/>
        </w:rPr>
        <w:tab/>
      </w:r>
      <w:r>
        <w:rPr>
          <w:noProof/>
          <w:webHidden/>
        </w:rPr>
        <w:fldChar w:fldCharType="begin"/>
      </w:r>
      <w:r>
        <w:rPr>
          <w:noProof/>
          <w:webHidden/>
        </w:rPr>
        <w:instrText xml:space="preserve"> PAGEREF _Toc206658606 \h </w:instrText>
      </w:r>
      <w:r>
        <w:rPr>
          <w:noProof/>
          <w:webHidden/>
        </w:rPr>
      </w:r>
      <w:r>
        <w:rPr>
          <w:noProof/>
          <w:webHidden/>
        </w:rPr>
        <w:fldChar w:fldCharType="separate"/>
      </w:r>
      <w:r>
        <w:rPr>
          <w:noProof/>
          <w:webHidden/>
        </w:rPr>
        <w:t>44</w:t>
      </w:r>
      <w:r>
        <w:rPr>
          <w:noProof/>
          <w:webHidden/>
        </w:rPr>
        <w:fldChar w:fldCharType="end"/>
      </w:r>
    </w:p>
    <w:p w:rsidR="00B92F1D" w:rsidRDefault="00B92F1D">
      <w:pPr>
        <w:pStyle w:val="TOC1"/>
        <w:rPr>
          <w:rFonts w:asciiTheme="minorHAnsi" w:eastAsiaTheme="minorEastAsia" w:hAnsiTheme="minorHAnsi" w:cstheme="minorBidi"/>
          <w:bCs w:val="0"/>
          <w:noProof/>
          <w:sz w:val="22"/>
          <w:lang w:val="en-AU" w:eastAsia="en-AU"/>
          <w14:numForm w14:val="default"/>
          <w14:numSpacing w14:val="default"/>
        </w:rPr>
      </w:pPr>
      <w:r>
        <w:rPr>
          <w:noProof/>
        </w:rPr>
        <w:tab/>
        <w:t>9.</w:t>
      </w:r>
      <w:r>
        <w:rPr>
          <w:noProof/>
        </w:rPr>
        <w:tab/>
        <w:t>The kindly governor</w:t>
      </w:r>
      <w:r w:rsidRPr="00060727">
        <w:rPr>
          <w:noProof/>
          <w:color w:val="FFFFFF" w:themeColor="background1"/>
        </w:rPr>
        <w:t>..</w:t>
      </w:r>
      <w:r>
        <w:rPr>
          <w:noProof/>
        </w:rPr>
        <w:tab/>
      </w:r>
      <w:r w:rsidRPr="00060727">
        <w:rPr>
          <w:noProof/>
          <w:color w:val="FFFFFF" w:themeColor="background1"/>
        </w:rPr>
        <w:t>.</w:t>
      </w:r>
      <w:r>
        <w:rPr>
          <w:noProof/>
          <w:webHidden/>
        </w:rPr>
        <w:tab/>
      </w:r>
      <w:r>
        <w:rPr>
          <w:noProof/>
          <w:webHidden/>
        </w:rPr>
        <w:fldChar w:fldCharType="begin"/>
      </w:r>
      <w:r>
        <w:rPr>
          <w:noProof/>
          <w:webHidden/>
        </w:rPr>
        <w:instrText xml:space="preserve"> PAGEREF _Toc206658607 \h </w:instrText>
      </w:r>
      <w:r>
        <w:rPr>
          <w:noProof/>
          <w:webHidden/>
        </w:rPr>
      </w:r>
      <w:r>
        <w:rPr>
          <w:noProof/>
          <w:webHidden/>
        </w:rPr>
        <w:fldChar w:fldCharType="separate"/>
      </w:r>
      <w:r>
        <w:rPr>
          <w:noProof/>
          <w:webHidden/>
        </w:rPr>
        <w:t>51</w:t>
      </w:r>
      <w:r>
        <w:rPr>
          <w:noProof/>
          <w:webHidden/>
        </w:rPr>
        <w:fldChar w:fldCharType="end"/>
      </w:r>
    </w:p>
    <w:p w:rsidR="00B92F1D" w:rsidRDefault="00B92F1D">
      <w:pPr>
        <w:pStyle w:val="TOC1"/>
        <w:rPr>
          <w:rFonts w:asciiTheme="minorHAnsi" w:eastAsiaTheme="minorEastAsia" w:hAnsiTheme="minorHAnsi" w:cstheme="minorBidi"/>
          <w:bCs w:val="0"/>
          <w:noProof/>
          <w:sz w:val="22"/>
          <w:lang w:val="en-AU" w:eastAsia="en-AU"/>
          <w14:numForm w14:val="default"/>
          <w14:numSpacing w14:val="default"/>
        </w:rPr>
      </w:pPr>
      <w:r>
        <w:rPr>
          <w:noProof/>
        </w:rPr>
        <w:tab/>
        <w:t>10.</w:t>
      </w:r>
      <w:r>
        <w:rPr>
          <w:noProof/>
        </w:rPr>
        <w:tab/>
        <w:t>The king’s summons</w:t>
      </w:r>
      <w:r w:rsidRPr="00060727">
        <w:rPr>
          <w:noProof/>
          <w:color w:val="FFFFFF" w:themeColor="background1"/>
        </w:rPr>
        <w:t>..</w:t>
      </w:r>
      <w:r>
        <w:rPr>
          <w:noProof/>
        </w:rPr>
        <w:tab/>
      </w:r>
      <w:r w:rsidRPr="00060727">
        <w:rPr>
          <w:noProof/>
          <w:color w:val="FFFFFF" w:themeColor="background1"/>
        </w:rPr>
        <w:t>.</w:t>
      </w:r>
      <w:r>
        <w:rPr>
          <w:noProof/>
          <w:webHidden/>
        </w:rPr>
        <w:tab/>
      </w:r>
      <w:r>
        <w:rPr>
          <w:noProof/>
          <w:webHidden/>
        </w:rPr>
        <w:fldChar w:fldCharType="begin"/>
      </w:r>
      <w:r>
        <w:rPr>
          <w:noProof/>
          <w:webHidden/>
        </w:rPr>
        <w:instrText xml:space="preserve"> PAGEREF _Toc206658608 \h </w:instrText>
      </w:r>
      <w:r>
        <w:rPr>
          <w:noProof/>
          <w:webHidden/>
        </w:rPr>
      </w:r>
      <w:r>
        <w:rPr>
          <w:noProof/>
          <w:webHidden/>
        </w:rPr>
        <w:fldChar w:fldCharType="separate"/>
      </w:r>
      <w:r>
        <w:rPr>
          <w:noProof/>
          <w:webHidden/>
        </w:rPr>
        <w:t>57</w:t>
      </w:r>
      <w:r>
        <w:rPr>
          <w:noProof/>
          <w:webHidden/>
        </w:rPr>
        <w:fldChar w:fldCharType="end"/>
      </w:r>
    </w:p>
    <w:p w:rsidR="00B92F1D" w:rsidRDefault="00B92F1D">
      <w:pPr>
        <w:pStyle w:val="TOC1"/>
        <w:rPr>
          <w:rFonts w:asciiTheme="minorHAnsi" w:eastAsiaTheme="minorEastAsia" w:hAnsiTheme="minorHAnsi" w:cstheme="minorBidi"/>
          <w:bCs w:val="0"/>
          <w:noProof/>
          <w:sz w:val="22"/>
          <w:lang w:val="en-AU" w:eastAsia="en-AU"/>
          <w14:numForm w14:val="default"/>
          <w14:numSpacing w14:val="default"/>
        </w:rPr>
      </w:pPr>
      <w:r>
        <w:rPr>
          <w:noProof/>
        </w:rPr>
        <w:tab/>
        <w:t>11.</w:t>
      </w:r>
      <w:r>
        <w:rPr>
          <w:noProof/>
        </w:rPr>
        <w:tab/>
        <w:t>The tumult in Tabríz</w:t>
      </w:r>
      <w:r w:rsidRPr="00060727">
        <w:rPr>
          <w:noProof/>
          <w:color w:val="FFFFFF" w:themeColor="background1"/>
        </w:rPr>
        <w:t>..</w:t>
      </w:r>
      <w:r>
        <w:rPr>
          <w:noProof/>
        </w:rPr>
        <w:tab/>
      </w:r>
      <w:r w:rsidRPr="00060727">
        <w:rPr>
          <w:noProof/>
          <w:color w:val="FFFFFF" w:themeColor="background1"/>
        </w:rPr>
        <w:t>.</w:t>
      </w:r>
      <w:r>
        <w:rPr>
          <w:noProof/>
          <w:webHidden/>
        </w:rPr>
        <w:tab/>
      </w:r>
      <w:r>
        <w:rPr>
          <w:noProof/>
          <w:webHidden/>
        </w:rPr>
        <w:fldChar w:fldCharType="begin"/>
      </w:r>
      <w:r>
        <w:rPr>
          <w:noProof/>
          <w:webHidden/>
        </w:rPr>
        <w:instrText xml:space="preserve"> PAGEREF _Toc206658609 \h </w:instrText>
      </w:r>
      <w:r>
        <w:rPr>
          <w:noProof/>
          <w:webHidden/>
        </w:rPr>
      </w:r>
      <w:r>
        <w:rPr>
          <w:noProof/>
          <w:webHidden/>
        </w:rPr>
        <w:fldChar w:fldCharType="separate"/>
      </w:r>
      <w:r>
        <w:rPr>
          <w:noProof/>
          <w:webHidden/>
        </w:rPr>
        <w:t>62</w:t>
      </w:r>
      <w:r>
        <w:rPr>
          <w:noProof/>
          <w:webHidden/>
        </w:rPr>
        <w:fldChar w:fldCharType="end"/>
      </w:r>
    </w:p>
    <w:p w:rsidR="00B92F1D" w:rsidRDefault="00B92F1D">
      <w:pPr>
        <w:pStyle w:val="TOC1"/>
        <w:rPr>
          <w:rFonts w:asciiTheme="minorHAnsi" w:eastAsiaTheme="minorEastAsia" w:hAnsiTheme="minorHAnsi" w:cstheme="minorBidi"/>
          <w:bCs w:val="0"/>
          <w:noProof/>
          <w:sz w:val="22"/>
          <w:lang w:val="en-AU" w:eastAsia="en-AU"/>
          <w14:numForm w14:val="default"/>
          <w14:numSpacing w14:val="default"/>
        </w:rPr>
      </w:pPr>
      <w:r>
        <w:rPr>
          <w:noProof/>
        </w:rPr>
        <w:tab/>
        <w:t>12.</w:t>
      </w:r>
      <w:r>
        <w:rPr>
          <w:noProof/>
        </w:rPr>
        <w:tab/>
        <w:t>The high stone prison</w:t>
      </w:r>
      <w:r w:rsidRPr="00060727">
        <w:rPr>
          <w:noProof/>
          <w:color w:val="FFFFFF" w:themeColor="background1"/>
        </w:rPr>
        <w:t>..</w:t>
      </w:r>
      <w:r>
        <w:rPr>
          <w:noProof/>
        </w:rPr>
        <w:tab/>
      </w:r>
      <w:r w:rsidRPr="00060727">
        <w:rPr>
          <w:noProof/>
          <w:color w:val="FFFFFF" w:themeColor="background1"/>
        </w:rPr>
        <w:t>.</w:t>
      </w:r>
      <w:r>
        <w:rPr>
          <w:noProof/>
          <w:webHidden/>
        </w:rPr>
        <w:tab/>
      </w:r>
      <w:r>
        <w:rPr>
          <w:noProof/>
          <w:webHidden/>
        </w:rPr>
        <w:fldChar w:fldCharType="begin"/>
      </w:r>
      <w:r>
        <w:rPr>
          <w:noProof/>
          <w:webHidden/>
        </w:rPr>
        <w:instrText xml:space="preserve"> PAGEREF _Toc206658610 \h </w:instrText>
      </w:r>
      <w:r>
        <w:rPr>
          <w:noProof/>
          <w:webHidden/>
        </w:rPr>
      </w:r>
      <w:r>
        <w:rPr>
          <w:noProof/>
          <w:webHidden/>
        </w:rPr>
        <w:fldChar w:fldCharType="separate"/>
      </w:r>
      <w:r>
        <w:rPr>
          <w:noProof/>
          <w:webHidden/>
        </w:rPr>
        <w:t>66</w:t>
      </w:r>
      <w:r>
        <w:rPr>
          <w:noProof/>
          <w:webHidden/>
        </w:rPr>
        <w:fldChar w:fldCharType="end"/>
      </w:r>
    </w:p>
    <w:p w:rsidR="00B92F1D" w:rsidRDefault="00B92F1D">
      <w:pPr>
        <w:pStyle w:val="TOC1"/>
        <w:rPr>
          <w:rFonts w:asciiTheme="minorHAnsi" w:eastAsiaTheme="minorEastAsia" w:hAnsiTheme="minorHAnsi" w:cstheme="minorBidi"/>
          <w:bCs w:val="0"/>
          <w:noProof/>
          <w:sz w:val="22"/>
          <w:lang w:val="en-AU" w:eastAsia="en-AU"/>
          <w14:numForm w14:val="default"/>
          <w14:numSpacing w14:val="default"/>
        </w:rPr>
      </w:pPr>
      <w:r>
        <w:rPr>
          <w:noProof/>
        </w:rPr>
        <w:tab/>
        <w:t>13.</w:t>
      </w:r>
      <w:r>
        <w:rPr>
          <w:noProof/>
        </w:rPr>
        <w:tab/>
        <w:t>The scourging at Tabríz</w:t>
      </w:r>
      <w:r w:rsidRPr="00060727">
        <w:rPr>
          <w:noProof/>
          <w:color w:val="FFFFFF" w:themeColor="background1"/>
        </w:rPr>
        <w:t>..</w:t>
      </w:r>
      <w:r>
        <w:rPr>
          <w:noProof/>
        </w:rPr>
        <w:tab/>
      </w:r>
      <w:r w:rsidRPr="00060727">
        <w:rPr>
          <w:noProof/>
          <w:color w:val="FFFFFF" w:themeColor="background1"/>
        </w:rPr>
        <w:t>.</w:t>
      </w:r>
      <w:r>
        <w:rPr>
          <w:noProof/>
          <w:webHidden/>
        </w:rPr>
        <w:tab/>
      </w:r>
      <w:r>
        <w:rPr>
          <w:noProof/>
          <w:webHidden/>
        </w:rPr>
        <w:fldChar w:fldCharType="begin"/>
      </w:r>
      <w:r>
        <w:rPr>
          <w:noProof/>
          <w:webHidden/>
        </w:rPr>
        <w:instrText xml:space="preserve"> PAGEREF _Toc206658611 \h </w:instrText>
      </w:r>
      <w:r>
        <w:rPr>
          <w:noProof/>
          <w:webHidden/>
        </w:rPr>
      </w:r>
      <w:r>
        <w:rPr>
          <w:noProof/>
          <w:webHidden/>
        </w:rPr>
        <w:fldChar w:fldCharType="separate"/>
      </w:r>
      <w:r>
        <w:rPr>
          <w:noProof/>
          <w:webHidden/>
        </w:rPr>
        <w:t>72</w:t>
      </w:r>
      <w:r>
        <w:rPr>
          <w:noProof/>
          <w:webHidden/>
        </w:rPr>
        <w:fldChar w:fldCharType="end"/>
      </w:r>
    </w:p>
    <w:p w:rsidR="00B92F1D" w:rsidRDefault="00B92F1D">
      <w:pPr>
        <w:pStyle w:val="TOC1"/>
        <w:rPr>
          <w:rFonts w:asciiTheme="minorHAnsi" w:eastAsiaTheme="minorEastAsia" w:hAnsiTheme="minorHAnsi" w:cstheme="minorBidi"/>
          <w:bCs w:val="0"/>
          <w:noProof/>
          <w:sz w:val="22"/>
          <w:lang w:val="en-AU" w:eastAsia="en-AU"/>
          <w14:numForm w14:val="default"/>
          <w14:numSpacing w14:val="default"/>
        </w:rPr>
      </w:pPr>
      <w:r>
        <w:rPr>
          <w:noProof/>
        </w:rPr>
        <w:tab/>
        <w:t>14.</w:t>
      </w:r>
      <w:r>
        <w:rPr>
          <w:noProof/>
        </w:rPr>
        <w:tab/>
        <w:t>The massacre at the fort of Shaykh Ṭabarsí</w:t>
      </w:r>
      <w:r w:rsidRPr="00060727">
        <w:rPr>
          <w:noProof/>
          <w:color w:val="FFFFFF" w:themeColor="background1"/>
        </w:rPr>
        <w:t>..</w:t>
      </w:r>
      <w:r>
        <w:rPr>
          <w:noProof/>
        </w:rPr>
        <w:tab/>
      </w:r>
      <w:r w:rsidRPr="00060727">
        <w:rPr>
          <w:noProof/>
          <w:color w:val="FFFFFF" w:themeColor="background1"/>
        </w:rPr>
        <w:t>.</w:t>
      </w:r>
      <w:r>
        <w:rPr>
          <w:noProof/>
          <w:webHidden/>
        </w:rPr>
        <w:tab/>
      </w:r>
      <w:r>
        <w:rPr>
          <w:noProof/>
          <w:webHidden/>
        </w:rPr>
        <w:fldChar w:fldCharType="begin"/>
      </w:r>
      <w:r>
        <w:rPr>
          <w:noProof/>
          <w:webHidden/>
        </w:rPr>
        <w:instrText xml:space="preserve"> PAGEREF _Toc206658612 \h </w:instrText>
      </w:r>
      <w:r>
        <w:rPr>
          <w:noProof/>
          <w:webHidden/>
        </w:rPr>
      </w:r>
      <w:r>
        <w:rPr>
          <w:noProof/>
          <w:webHidden/>
        </w:rPr>
        <w:fldChar w:fldCharType="separate"/>
      </w:r>
      <w:r>
        <w:rPr>
          <w:noProof/>
          <w:webHidden/>
        </w:rPr>
        <w:t>82</w:t>
      </w:r>
      <w:r>
        <w:rPr>
          <w:noProof/>
          <w:webHidden/>
        </w:rPr>
        <w:fldChar w:fldCharType="end"/>
      </w:r>
    </w:p>
    <w:p w:rsidR="00B92F1D" w:rsidRDefault="00B92F1D">
      <w:pPr>
        <w:pStyle w:val="TOC1"/>
        <w:rPr>
          <w:rFonts w:asciiTheme="minorHAnsi" w:eastAsiaTheme="minorEastAsia" w:hAnsiTheme="minorHAnsi" w:cstheme="minorBidi"/>
          <w:bCs w:val="0"/>
          <w:noProof/>
          <w:sz w:val="22"/>
          <w:lang w:val="en-AU" w:eastAsia="en-AU"/>
          <w14:numForm w14:val="default"/>
          <w14:numSpacing w14:val="default"/>
        </w:rPr>
      </w:pPr>
      <w:r>
        <w:rPr>
          <w:noProof/>
        </w:rPr>
        <w:tab/>
        <w:t>15.</w:t>
      </w:r>
      <w:r>
        <w:rPr>
          <w:noProof/>
        </w:rPr>
        <w:tab/>
        <w:t>A wonder among women</w:t>
      </w:r>
      <w:r w:rsidRPr="00060727">
        <w:rPr>
          <w:noProof/>
          <w:color w:val="FFFFFF" w:themeColor="background1"/>
        </w:rPr>
        <w:t>..</w:t>
      </w:r>
      <w:r>
        <w:rPr>
          <w:noProof/>
        </w:rPr>
        <w:tab/>
      </w:r>
      <w:r w:rsidRPr="00060727">
        <w:rPr>
          <w:noProof/>
          <w:color w:val="FFFFFF" w:themeColor="background1"/>
        </w:rPr>
        <w:t>.</w:t>
      </w:r>
      <w:r>
        <w:rPr>
          <w:noProof/>
          <w:webHidden/>
        </w:rPr>
        <w:tab/>
      </w:r>
      <w:r>
        <w:rPr>
          <w:noProof/>
          <w:webHidden/>
        </w:rPr>
        <w:fldChar w:fldCharType="begin"/>
      </w:r>
      <w:r>
        <w:rPr>
          <w:noProof/>
          <w:webHidden/>
        </w:rPr>
        <w:instrText xml:space="preserve"> PAGEREF _Toc206658613 \h </w:instrText>
      </w:r>
      <w:r>
        <w:rPr>
          <w:noProof/>
          <w:webHidden/>
        </w:rPr>
      </w:r>
      <w:r>
        <w:rPr>
          <w:noProof/>
          <w:webHidden/>
        </w:rPr>
        <w:fldChar w:fldCharType="separate"/>
      </w:r>
      <w:r>
        <w:rPr>
          <w:noProof/>
          <w:webHidden/>
        </w:rPr>
        <w:t>103</w:t>
      </w:r>
      <w:r>
        <w:rPr>
          <w:noProof/>
          <w:webHidden/>
        </w:rPr>
        <w:fldChar w:fldCharType="end"/>
      </w:r>
    </w:p>
    <w:p w:rsidR="00B92F1D" w:rsidRDefault="00B92F1D">
      <w:pPr>
        <w:pStyle w:val="TOC1"/>
        <w:rPr>
          <w:rFonts w:asciiTheme="minorHAnsi" w:eastAsiaTheme="minorEastAsia" w:hAnsiTheme="minorHAnsi" w:cstheme="minorBidi"/>
          <w:bCs w:val="0"/>
          <w:noProof/>
          <w:sz w:val="22"/>
          <w:lang w:val="en-AU" w:eastAsia="en-AU"/>
          <w14:numForm w14:val="default"/>
          <w14:numSpacing w14:val="default"/>
        </w:rPr>
      </w:pPr>
      <w:r>
        <w:rPr>
          <w:noProof/>
        </w:rPr>
        <w:tab/>
        <w:t>16.</w:t>
      </w:r>
      <w:r>
        <w:rPr>
          <w:noProof/>
        </w:rPr>
        <w:tab/>
        <w:t>The death of the wisest Persian</w:t>
      </w:r>
      <w:r w:rsidRPr="00060727">
        <w:rPr>
          <w:noProof/>
          <w:color w:val="FFFFFF" w:themeColor="background1"/>
        </w:rPr>
        <w:t>..</w:t>
      </w:r>
      <w:r>
        <w:rPr>
          <w:noProof/>
        </w:rPr>
        <w:tab/>
      </w:r>
      <w:r w:rsidRPr="00060727">
        <w:rPr>
          <w:noProof/>
          <w:color w:val="FFFFFF" w:themeColor="background1"/>
        </w:rPr>
        <w:t>.</w:t>
      </w:r>
      <w:r>
        <w:rPr>
          <w:noProof/>
          <w:webHidden/>
        </w:rPr>
        <w:tab/>
      </w:r>
      <w:r>
        <w:rPr>
          <w:noProof/>
          <w:webHidden/>
        </w:rPr>
        <w:fldChar w:fldCharType="begin"/>
      </w:r>
      <w:r>
        <w:rPr>
          <w:noProof/>
          <w:webHidden/>
        </w:rPr>
        <w:instrText xml:space="preserve"> PAGEREF _Toc206658614 \h </w:instrText>
      </w:r>
      <w:r>
        <w:rPr>
          <w:noProof/>
          <w:webHidden/>
        </w:rPr>
      </w:r>
      <w:r>
        <w:rPr>
          <w:noProof/>
          <w:webHidden/>
        </w:rPr>
        <w:fldChar w:fldCharType="separate"/>
      </w:r>
      <w:r>
        <w:rPr>
          <w:noProof/>
          <w:webHidden/>
        </w:rPr>
        <w:t>121</w:t>
      </w:r>
      <w:r>
        <w:rPr>
          <w:noProof/>
          <w:webHidden/>
        </w:rPr>
        <w:fldChar w:fldCharType="end"/>
      </w:r>
    </w:p>
    <w:p w:rsidR="00B92F1D" w:rsidRDefault="00B92F1D">
      <w:pPr>
        <w:pStyle w:val="TOC1"/>
        <w:rPr>
          <w:rFonts w:asciiTheme="minorHAnsi" w:eastAsiaTheme="minorEastAsia" w:hAnsiTheme="minorHAnsi" w:cstheme="minorBidi"/>
          <w:bCs w:val="0"/>
          <w:noProof/>
          <w:sz w:val="22"/>
          <w:lang w:val="en-AU" w:eastAsia="en-AU"/>
          <w14:numForm w14:val="default"/>
          <w14:numSpacing w14:val="default"/>
        </w:rPr>
      </w:pPr>
      <w:r>
        <w:rPr>
          <w:noProof/>
        </w:rPr>
        <w:tab/>
        <w:t>17.</w:t>
      </w:r>
      <w:r>
        <w:rPr>
          <w:noProof/>
        </w:rPr>
        <w:tab/>
        <w:t>The seven heroes of Ṭihrán</w:t>
      </w:r>
      <w:r w:rsidRPr="00060727">
        <w:rPr>
          <w:noProof/>
          <w:color w:val="FFFFFF" w:themeColor="background1"/>
        </w:rPr>
        <w:t>..</w:t>
      </w:r>
      <w:r>
        <w:rPr>
          <w:noProof/>
        </w:rPr>
        <w:tab/>
      </w:r>
      <w:r w:rsidRPr="00060727">
        <w:rPr>
          <w:noProof/>
          <w:color w:val="FFFFFF" w:themeColor="background1"/>
        </w:rPr>
        <w:t>.</w:t>
      </w:r>
      <w:r>
        <w:rPr>
          <w:noProof/>
          <w:webHidden/>
        </w:rPr>
        <w:tab/>
      </w:r>
      <w:r>
        <w:rPr>
          <w:noProof/>
          <w:webHidden/>
        </w:rPr>
        <w:fldChar w:fldCharType="begin"/>
      </w:r>
      <w:r>
        <w:rPr>
          <w:noProof/>
          <w:webHidden/>
        </w:rPr>
        <w:instrText xml:space="preserve"> PAGEREF _Toc206658615 \h </w:instrText>
      </w:r>
      <w:r>
        <w:rPr>
          <w:noProof/>
          <w:webHidden/>
        </w:rPr>
      </w:r>
      <w:r>
        <w:rPr>
          <w:noProof/>
          <w:webHidden/>
        </w:rPr>
        <w:fldChar w:fldCharType="separate"/>
      </w:r>
      <w:r>
        <w:rPr>
          <w:noProof/>
          <w:webHidden/>
        </w:rPr>
        <w:t>134</w:t>
      </w:r>
      <w:r>
        <w:rPr>
          <w:noProof/>
          <w:webHidden/>
        </w:rPr>
        <w:fldChar w:fldCharType="end"/>
      </w:r>
    </w:p>
    <w:p w:rsidR="00B92F1D" w:rsidRDefault="00B92F1D">
      <w:pPr>
        <w:pStyle w:val="TOC1"/>
        <w:rPr>
          <w:rFonts w:asciiTheme="minorHAnsi" w:eastAsiaTheme="minorEastAsia" w:hAnsiTheme="minorHAnsi" w:cstheme="minorBidi"/>
          <w:bCs w:val="0"/>
          <w:noProof/>
          <w:sz w:val="22"/>
          <w:lang w:val="en-AU" w:eastAsia="en-AU"/>
          <w14:numForm w14:val="default"/>
          <w14:numSpacing w14:val="default"/>
        </w:rPr>
      </w:pPr>
      <w:r>
        <w:rPr>
          <w:noProof/>
        </w:rPr>
        <w:tab/>
        <w:t>18.</w:t>
      </w:r>
      <w:r>
        <w:rPr>
          <w:noProof/>
        </w:rPr>
        <w:tab/>
        <w:t>The Dawn and the Sun</w:t>
      </w:r>
      <w:r w:rsidRPr="00060727">
        <w:rPr>
          <w:noProof/>
          <w:color w:val="FFFFFF" w:themeColor="background1"/>
        </w:rPr>
        <w:t>..</w:t>
      </w:r>
      <w:r>
        <w:rPr>
          <w:noProof/>
        </w:rPr>
        <w:tab/>
      </w:r>
      <w:r w:rsidRPr="00060727">
        <w:rPr>
          <w:noProof/>
          <w:color w:val="FFFFFF" w:themeColor="background1"/>
        </w:rPr>
        <w:t>.</w:t>
      </w:r>
      <w:r>
        <w:rPr>
          <w:noProof/>
          <w:webHidden/>
        </w:rPr>
        <w:tab/>
      </w:r>
      <w:r>
        <w:rPr>
          <w:noProof/>
          <w:webHidden/>
        </w:rPr>
        <w:fldChar w:fldCharType="begin"/>
      </w:r>
      <w:r>
        <w:rPr>
          <w:noProof/>
          <w:webHidden/>
        </w:rPr>
        <w:instrText xml:space="preserve"> PAGEREF _Toc206658616 \h </w:instrText>
      </w:r>
      <w:r>
        <w:rPr>
          <w:noProof/>
          <w:webHidden/>
        </w:rPr>
      </w:r>
      <w:r>
        <w:rPr>
          <w:noProof/>
          <w:webHidden/>
        </w:rPr>
        <w:fldChar w:fldCharType="separate"/>
      </w:r>
      <w:r>
        <w:rPr>
          <w:noProof/>
          <w:webHidden/>
        </w:rPr>
        <w:t>142</w:t>
      </w:r>
      <w:r>
        <w:rPr>
          <w:noProof/>
          <w:webHidden/>
        </w:rPr>
        <w:fldChar w:fldCharType="end"/>
      </w:r>
    </w:p>
    <w:p w:rsidR="00B92F1D" w:rsidRDefault="00B92F1D">
      <w:pPr>
        <w:pStyle w:val="TOC1"/>
        <w:rPr>
          <w:rFonts w:asciiTheme="minorHAnsi" w:eastAsiaTheme="minorEastAsia" w:hAnsiTheme="minorHAnsi" w:cstheme="minorBidi"/>
          <w:bCs w:val="0"/>
          <w:noProof/>
          <w:sz w:val="22"/>
          <w:lang w:val="en-AU" w:eastAsia="en-AU"/>
          <w14:numForm w14:val="default"/>
          <w14:numSpacing w14:val="default"/>
        </w:rPr>
      </w:pPr>
      <w:r>
        <w:rPr>
          <w:noProof/>
        </w:rPr>
        <w:tab/>
        <w:t>19.</w:t>
      </w:r>
      <w:r>
        <w:rPr>
          <w:noProof/>
        </w:rPr>
        <w:tab/>
        <w:t>The martyrdom of the Báb</w:t>
      </w:r>
      <w:r w:rsidRPr="00060727">
        <w:rPr>
          <w:noProof/>
          <w:color w:val="FFFFFF" w:themeColor="background1"/>
        </w:rPr>
        <w:t>..</w:t>
      </w:r>
      <w:r>
        <w:rPr>
          <w:noProof/>
        </w:rPr>
        <w:tab/>
      </w:r>
      <w:r w:rsidRPr="00060727">
        <w:rPr>
          <w:noProof/>
          <w:color w:val="FFFFFF" w:themeColor="background1"/>
        </w:rPr>
        <w:t>.</w:t>
      </w:r>
      <w:r>
        <w:rPr>
          <w:noProof/>
          <w:webHidden/>
        </w:rPr>
        <w:tab/>
      </w:r>
      <w:r>
        <w:rPr>
          <w:noProof/>
          <w:webHidden/>
        </w:rPr>
        <w:fldChar w:fldCharType="begin"/>
      </w:r>
      <w:r>
        <w:rPr>
          <w:noProof/>
          <w:webHidden/>
        </w:rPr>
        <w:instrText xml:space="preserve"> PAGEREF _Toc206658617 \h </w:instrText>
      </w:r>
      <w:r>
        <w:rPr>
          <w:noProof/>
          <w:webHidden/>
        </w:rPr>
      </w:r>
      <w:r>
        <w:rPr>
          <w:noProof/>
          <w:webHidden/>
        </w:rPr>
        <w:fldChar w:fldCharType="separate"/>
      </w:r>
      <w:r>
        <w:rPr>
          <w:noProof/>
          <w:webHidden/>
        </w:rPr>
        <w:t>166</w:t>
      </w:r>
      <w:r>
        <w:rPr>
          <w:noProof/>
          <w:webHidden/>
        </w:rPr>
        <w:fldChar w:fldCharType="end"/>
      </w:r>
    </w:p>
    <w:p w:rsidR="00B92F1D" w:rsidRPr="002622C4" w:rsidRDefault="00B92F1D">
      <w:pPr>
        <w:pStyle w:val="TOC1"/>
        <w:rPr>
          <w:rFonts w:asciiTheme="minorHAnsi" w:eastAsiaTheme="minorEastAsia" w:hAnsiTheme="minorHAnsi" w:cstheme="minorBidi"/>
          <w:bCs w:val="0"/>
          <w:noProof/>
          <w:sz w:val="22"/>
          <w:lang w:val="fr-FR" w:eastAsia="en-AU"/>
          <w14:numForm w14:val="default"/>
          <w14:numSpacing w14:val="default"/>
        </w:rPr>
      </w:pPr>
      <w:r w:rsidRPr="002622C4">
        <w:rPr>
          <w:noProof/>
          <w:lang w:val="fr-FR"/>
        </w:rPr>
        <w:t>Appendix</w:t>
      </w:r>
      <w:r w:rsidRPr="002622C4">
        <w:rPr>
          <w:noProof/>
          <w:color w:val="FFFFFF" w:themeColor="background1"/>
          <w:lang w:val="fr-FR"/>
        </w:rPr>
        <w:t>..</w:t>
      </w:r>
      <w:r w:rsidRPr="002622C4">
        <w:rPr>
          <w:noProof/>
          <w:lang w:val="fr-FR"/>
        </w:rPr>
        <w:tab/>
      </w:r>
      <w:r w:rsidRPr="002622C4">
        <w:rPr>
          <w:noProof/>
          <w:color w:val="FFFFFF" w:themeColor="background1"/>
          <w:lang w:val="fr-FR"/>
        </w:rPr>
        <w:t>.</w:t>
      </w:r>
      <w:r w:rsidRPr="002622C4">
        <w:rPr>
          <w:noProof/>
          <w:webHidden/>
          <w:lang w:val="fr-FR"/>
        </w:rPr>
        <w:tab/>
      </w:r>
      <w:r>
        <w:rPr>
          <w:noProof/>
          <w:webHidden/>
        </w:rPr>
        <w:fldChar w:fldCharType="begin"/>
      </w:r>
      <w:r w:rsidRPr="002622C4">
        <w:rPr>
          <w:noProof/>
          <w:webHidden/>
          <w:lang w:val="fr-FR"/>
        </w:rPr>
        <w:instrText xml:space="preserve"> PAGEREF _Toc206658618 \h </w:instrText>
      </w:r>
      <w:r>
        <w:rPr>
          <w:noProof/>
          <w:webHidden/>
        </w:rPr>
      </w:r>
      <w:r>
        <w:rPr>
          <w:noProof/>
          <w:webHidden/>
        </w:rPr>
        <w:fldChar w:fldCharType="separate"/>
      </w:r>
      <w:r w:rsidRPr="002622C4">
        <w:rPr>
          <w:noProof/>
          <w:webHidden/>
          <w:lang w:val="fr-FR"/>
        </w:rPr>
        <w:t>189</w:t>
      </w:r>
      <w:r>
        <w:rPr>
          <w:noProof/>
          <w:webHidden/>
        </w:rPr>
        <w:fldChar w:fldCharType="end"/>
      </w:r>
    </w:p>
    <w:p w:rsidR="00B92F1D" w:rsidRPr="002622C4" w:rsidRDefault="00B92F1D">
      <w:pPr>
        <w:pStyle w:val="TOC3"/>
        <w:rPr>
          <w:rFonts w:asciiTheme="minorHAnsi" w:eastAsiaTheme="minorEastAsia" w:hAnsiTheme="minorHAnsi" w:cstheme="minorBidi"/>
          <w:noProof/>
          <w:sz w:val="22"/>
          <w:szCs w:val="22"/>
          <w:lang w:val="fr-FR" w:eastAsia="en-AU"/>
          <w14:numForm w14:val="default"/>
          <w14:numSpacing w14:val="default"/>
        </w:rPr>
      </w:pPr>
      <w:r w:rsidRPr="002622C4">
        <w:rPr>
          <w:noProof/>
          <w:lang w:val="fr-FR"/>
        </w:rPr>
        <w:t>Note 1</w:t>
      </w:r>
      <w:r w:rsidRPr="002622C4">
        <w:rPr>
          <w:noProof/>
          <w:color w:val="FFFFFF" w:themeColor="background1"/>
          <w:lang w:val="fr-FR"/>
        </w:rPr>
        <w:t>..</w:t>
      </w:r>
      <w:r w:rsidRPr="002622C4">
        <w:rPr>
          <w:noProof/>
          <w:lang w:val="fr-FR"/>
        </w:rPr>
        <w:tab/>
      </w:r>
      <w:r w:rsidRPr="002622C4">
        <w:rPr>
          <w:noProof/>
          <w:color w:val="FFFFFF" w:themeColor="background1"/>
          <w:lang w:val="fr-FR"/>
        </w:rPr>
        <w:t>.</w:t>
      </w:r>
      <w:r w:rsidRPr="002622C4">
        <w:rPr>
          <w:noProof/>
          <w:webHidden/>
          <w:lang w:val="fr-FR"/>
        </w:rPr>
        <w:tab/>
      </w:r>
      <w:r>
        <w:rPr>
          <w:noProof/>
          <w:webHidden/>
        </w:rPr>
        <w:fldChar w:fldCharType="begin"/>
      </w:r>
      <w:r w:rsidRPr="002622C4">
        <w:rPr>
          <w:noProof/>
          <w:webHidden/>
          <w:lang w:val="fr-FR"/>
        </w:rPr>
        <w:instrText xml:space="preserve"> PAGEREF _Toc206658619 \h </w:instrText>
      </w:r>
      <w:r>
        <w:rPr>
          <w:noProof/>
          <w:webHidden/>
        </w:rPr>
      </w:r>
      <w:r>
        <w:rPr>
          <w:noProof/>
          <w:webHidden/>
        </w:rPr>
        <w:fldChar w:fldCharType="separate"/>
      </w:r>
      <w:r w:rsidRPr="002622C4">
        <w:rPr>
          <w:noProof/>
          <w:webHidden/>
          <w:lang w:val="fr-FR"/>
        </w:rPr>
        <w:t>191</w:t>
      </w:r>
      <w:r>
        <w:rPr>
          <w:noProof/>
          <w:webHidden/>
        </w:rPr>
        <w:fldChar w:fldCharType="end"/>
      </w:r>
    </w:p>
    <w:p w:rsidR="00B92F1D" w:rsidRPr="002622C4" w:rsidRDefault="00B92F1D">
      <w:pPr>
        <w:pStyle w:val="TOC3"/>
        <w:rPr>
          <w:rFonts w:asciiTheme="minorHAnsi" w:eastAsiaTheme="minorEastAsia" w:hAnsiTheme="minorHAnsi" w:cstheme="minorBidi"/>
          <w:noProof/>
          <w:sz w:val="22"/>
          <w:szCs w:val="22"/>
          <w:lang w:val="fr-FR" w:eastAsia="en-AU"/>
          <w14:numForm w14:val="default"/>
          <w14:numSpacing w14:val="default"/>
        </w:rPr>
      </w:pPr>
      <w:r w:rsidRPr="002622C4">
        <w:rPr>
          <w:noProof/>
          <w:lang w:val="fr-FR"/>
        </w:rPr>
        <w:t>Note 2</w:t>
      </w:r>
      <w:r w:rsidRPr="002622C4">
        <w:rPr>
          <w:noProof/>
          <w:color w:val="FFFFFF" w:themeColor="background1"/>
          <w:lang w:val="fr-FR"/>
        </w:rPr>
        <w:t>..</w:t>
      </w:r>
      <w:r w:rsidRPr="002622C4">
        <w:rPr>
          <w:noProof/>
          <w:lang w:val="fr-FR"/>
        </w:rPr>
        <w:tab/>
      </w:r>
      <w:r w:rsidRPr="002622C4">
        <w:rPr>
          <w:noProof/>
          <w:color w:val="FFFFFF" w:themeColor="background1"/>
          <w:lang w:val="fr-FR"/>
        </w:rPr>
        <w:t>.</w:t>
      </w:r>
      <w:r w:rsidRPr="002622C4">
        <w:rPr>
          <w:noProof/>
          <w:webHidden/>
          <w:lang w:val="fr-FR"/>
        </w:rPr>
        <w:tab/>
      </w:r>
      <w:r>
        <w:rPr>
          <w:noProof/>
          <w:webHidden/>
        </w:rPr>
        <w:fldChar w:fldCharType="begin"/>
      </w:r>
      <w:r w:rsidRPr="002622C4">
        <w:rPr>
          <w:noProof/>
          <w:webHidden/>
          <w:lang w:val="fr-FR"/>
        </w:rPr>
        <w:instrText xml:space="preserve"> PAGEREF _Toc206658620 \h </w:instrText>
      </w:r>
      <w:r>
        <w:rPr>
          <w:noProof/>
          <w:webHidden/>
        </w:rPr>
      </w:r>
      <w:r>
        <w:rPr>
          <w:noProof/>
          <w:webHidden/>
        </w:rPr>
        <w:fldChar w:fldCharType="separate"/>
      </w:r>
      <w:r w:rsidRPr="002622C4">
        <w:rPr>
          <w:noProof/>
          <w:webHidden/>
          <w:lang w:val="fr-FR"/>
        </w:rPr>
        <w:t>205</w:t>
      </w:r>
      <w:r>
        <w:rPr>
          <w:noProof/>
          <w:webHidden/>
        </w:rPr>
        <w:fldChar w:fldCharType="end"/>
      </w:r>
    </w:p>
    <w:p w:rsidR="00B92F1D" w:rsidRPr="002622C4" w:rsidRDefault="00B92F1D">
      <w:pPr>
        <w:pStyle w:val="TOC3"/>
        <w:rPr>
          <w:rFonts w:asciiTheme="minorHAnsi" w:eastAsiaTheme="minorEastAsia" w:hAnsiTheme="minorHAnsi" w:cstheme="minorBidi"/>
          <w:noProof/>
          <w:sz w:val="22"/>
          <w:szCs w:val="22"/>
          <w:lang w:val="fr-FR" w:eastAsia="en-AU"/>
          <w14:numForm w14:val="default"/>
          <w14:numSpacing w14:val="default"/>
        </w:rPr>
      </w:pPr>
      <w:r w:rsidRPr="002622C4">
        <w:rPr>
          <w:noProof/>
          <w:lang w:val="fr-FR"/>
        </w:rPr>
        <w:t>Note 3</w:t>
      </w:r>
      <w:r w:rsidRPr="002622C4">
        <w:rPr>
          <w:noProof/>
          <w:color w:val="FFFFFF" w:themeColor="background1"/>
          <w:lang w:val="fr-FR"/>
        </w:rPr>
        <w:t>..</w:t>
      </w:r>
      <w:r w:rsidRPr="002622C4">
        <w:rPr>
          <w:noProof/>
          <w:lang w:val="fr-FR"/>
        </w:rPr>
        <w:tab/>
      </w:r>
      <w:r w:rsidRPr="002622C4">
        <w:rPr>
          <w:noProof/>
          <w:color w:val="FFFFFF" w:themeColor="background1"/>
          <w:lang w:val="fr-FR"/>
        </w:rPr>
        <w:t>.</w:t>
      </w:r>
      <w:r w:rsidRPr="002622C4">
        <w:rPr>
          <w:noProof/>
          <w:webHidden/>
          <w:lang w:val="fr-FR"/>
        </w:rPr>
        <w:tab/>
      </w:r>
      <w:r>
        <w:rPr>
          <w:noProof/>
          <w:webHidden/>
        </w:rPr>
        <w:fldChar w:fldCharType="begin"/>
      </w:r>
      <w:r w:rsidRPr="002622C4">
        <w:rPr>
          <w:noProof/>
          <w:webHidden/>
          <w:lang w:val="fr-FR"/>
        </w:rPr>
        <w:instrText xml:space="preserve"> PAGEREF _Toc206658621 \h </w:instrText>
      </w:r>
      <w:r>
        <w:rPr>
          <w:noProof/>
          <w:webHidden/>
        </w:rPr>
      </w:r>
      <w:r>
        <w:rPr>
          <w:noProof/>
          <w:webHidden/>
        </w:rPr>
        <w:fldChar w:fldCharType="separate"/>
      </w:r>
      <w:r w:rsidRPr="002622C4">
        <w:rPr>
          <w:noProof/>
          <w:webHidden/>
          <w:lang w:val="fr-FR"/>
        </w:rPr>
        <w:t>217</w:t>
      </w:r>
      <w:r>
        <w:rPr>
          <w:noProof/>
          <w:webHidden/>
        </w:rPr>
        <w:fldChar w:fldCharType="end"/>
      </w:r>
    </w:p>
    <w:p w:rsidR="00B92F1D" w:rsidRPr="002622C4" w:rsidRDefault="00B92F1D">
      <w:pPr>
        <w:pStyle w:val="TOC3"/>
        <w:rPr>
          <w:rFonts w:asciiTheme="minorHAnsi" w:eastAsiaTheme="minorEastAsia" w:hAnsiTheme="minorHAnsi" w:cstheme="minorBidi"/>
          <w:noProof/>
          <w:sz w:val="22"/>
          <w:szCs w:val="22"/>
          <w:lang w:val="fr-FR" w:eastAsia="en-AU"/>
          <w14:numForm w14:val="default"/>
          <w14:numSpacing w14:val="default"/>
        </w:rPr>
      </w:pPr>
      <w:r w:rsidRPr="002622C4">
        <w:rPr>
          <w:noProof/>
          <w:lang w:val="fr-FR"/>
        </w:rPr>
        <w:t>Note 5</w:t>
      </w:r>
      <w:r w:rsidRPr="002622C4">
        <w:rPr>
          <w:noProof/>
          <w:color w:val="FFFFFF" w:themeColor="background1"/>
          <w:lang w:val="fr-FR"/>
        </w:rPr>
        <w:t>..</w:t>
      </w:r>
      <w:r w:rsidRPr="002622C4">
        <w:rPr>
          <w:noProof/>
          <w:lang w:val="fr-FR"/>
        </w:rPr>
        <w:tab/>
      </w:r>
      <w:r w:rsidRPr="002622C4">
        <w:rPr>
          <w:noProof/>
          <w:color w:val="FFFFFF" w:themeColor="background1"/>
          <w:lang w:val="fr-FR"/>
        </w:rPr>
        <w:t>.</w:t>
      </w:r>
      <w:r w:rsidRPr="002622C4">
        <w:rPr>
          <w:noProof/>
          <w:webHidden/>
          <w:lang w:val="fr-FR"/>
        </w:rPr>
        <w:tab/>
      </w:r>
      <w:r>
        <w:rPr>
          <w:noProof/>
          <w:webHidden/>
        </w:rPr>
        <w:fldChar w:fldCharType="begin"/>
      </w:r>
      <w:r w:rsidRPr="002622C4">
        <w:rPr>
          <w:noProof/>
          <w:webHidden/>
          <w:lang w:val="fr-FR"/>
        </w:rPr>
        <w:instrText xml:space="preserve"> PAGEREF _Toc206658622 \h </w:instrText>
      </w:r>
      <w:r>
        <w:rPr>
          <w:noProof/>
          <w:webHidden/>
        </w:rPr>
      </w:r>
      <w:r>
        <w:rPr>
          <w:noProof/>
          <w:webHidden/>
        </w:rPr>
        <w:fldChar w:fldCharType="separate"/>
      </w:r>
      <w:r w:rsidRPr="002622C4">
        <w:rPr>
          <w:noProof/>
          <w:webHidden/>
          <w:lang w:val="fr-FR"/>
        </w:rPr>
        <w:t>219</w:t>
      </w:r>
      <w:r>
        <w:rPr>
          <w:noProof/>
          <w:webHidden/>
        </w:rPr>
        <w:fldChar w:fldCharType="end"/>
      </w:r>
    </w:p>
    <w:p w:rsidR="00B92F1D" w:rsidRPr="002622C4" w:rsidRDefault="00B92F1D">
      <w:pPr>
        <w:pStyle w:val="TOC3"/>
        <w:rPr>
          <w:rFonts w:asciiTheme="minorHAnsi" w:eastAsiaTheme="minorEastAsia" w:hAnsiTheme="minorHAnsi" w:cstheme="minorBidi"/>
          <w:noProof/>
          <w:sz w:val="22"/>
          <w:szCs w:val="22"/>
          <w:lang w:val="fr-FR" w:eastAsia="en-AU"/>
          <w14:numForm w14:val="default"/>
          <w14:numSpacing w14:val="default"/>
        </w:rPr>
      </w:pPr>
      <w:r w:rsidRPr="002622C4">
        <w:rPr>
          <w:noProof/>
          <w:lang w:val="fr-FR"/>
        </w:rPr>
        <w:t>Note 5</w:t>
      </w:r>
      <w:r w:rsidRPr="002622C4">
        <w:rPr>
          <w:noProof/>
          <w:color w:val="FFFFFF" w:themeColor="background1"/>
          <w:lang w:val="fr-FR"/>
        </w:rPr>
        <w:t>..</w:t>
      </w:r>
      <w:r w:rsidRPr="002622C4">
        <w:rPr>
          <w:noProof/>
          <w:lang w:val="fr-FR"/>
        </w:rPr>
        <w:tab/>
      </w:r>
      <w:r w:rsidRPr="002622C4">
        <w:rPr>
          <w:noProof/>
          <w:color w:val="FFFFFF" w:themeColor="background1"/>
          <w:lang w:val="fr-FR"/>
        </w:rPr>
        <w:t>.</w:t>
      </w:r>
      <w:r w:rsidRPr="002622C4">
        <w:rPr>
          <w:noProof/>
          <w:webHidden/>
          <w:lang w:val="fr-FR"/>
        </w:rPr>
        <w:tab/>
      </w:r>
      <w:r>
        <w:rPr>
          <w:noProof/>
          <w:webHidden/>
        </w:rPr>
        <w:fldChar w:fldCharType="begin"/>
      </w:r>
      <w:r w:rsidRPr="002622C4">
        <w:rPr>
          <w:noProof/>
          <w:webHidden/>
          <w:lang w:val="fr-FR"/>
        </w:rPr>
        <w:instrText xml:space="preserve"> PAGEREF _Toc206658623 \h </w:instrText>
      </w:r>
      <w:r>
        <w:rPr>
          <w:noProof/>
          <w:webHidden/>
        </w:rPr>
      </w:r>
      <w:r>
        <w:rPr>
          <w:noProof/>
          <w:webHidden/>
        </w:rPr>
        <w:fldChar w:fldCharType="separate"/>
      </w:r>
      <w:r w:rsidRPr="002622C4">
        <w:rPr>
          <w:noProof/>
          <w:webHidden/>
          <w:lang w:val="fr-FR"/>
        </w:rPr>
        <w:t>221</w:t>
      </w:r>
      <w:r>
        <w:rPr>
          <w:noProof/>
          <w:webHidden/>
        </w:rPr>
        <w:fldChar w:fldCharType="end"/>
      </w:r>
    </w:p>
    <w:p w:rsidR="00B92F1D" w:rsidRPr="002622C4" w:rsidRDefault="00B92F1D">
      <w:pPr>
        <w:pStyle w:val="TOC3"/>
        <w:rPr>
          <w:rFonts w:asciiTheme="minorHAnsi" w:eastAsiaTheme="minorEastAsia" w:hAnsiTheme="minorHAnsi" w:cstheme="minorBidi"/>
          <w:noProof/>
          <w:sz w:val="22"/>
          <w:szCs w:val="22"/>
          <w:lang w:val="fr-FR" w:eastAsia="en-AU"/>
          <w14:numForm w14:val="default"/>
          <w14:numSpacing w14:val="default"/>
        </w:rPr>
      </w:pPr>
      <w:r w:rsidRPr="002622C4">
        <w:rPr>
          <w:noProof/>
          <w:lang w:val="fr-FR"/>
        </w:rPr>
        <w:t>Note 6</w:t>
      </w:r>
      <w:r w:rsidRPr="002622C4">
        <w:rPr>
          <w:noProof/>
          <w:color w:val="FFFFFF" w:themeColor="background1"/>
          <w:lang w:val="fr-FR"/>
        </w:rPr>
        <w:t>..</w:t>
      </w:r>
      <w:r w:rsidRPr="002622C4">
        <w:rPr>
          <w:noProof/>
          <w:lang w:val="fr-FR"/>
        </w:rPr>
        <w:tab/>
      </w:r>
      <w:r w:rsidRPr="002622C4">
        <w:rPr>
          <w:noProof/>
          <w:color w:val="FFFFFF" w:themeColor="background1"/>
          <w:lang w:val="fr-FR"/>
        </w:rPr>
        <w:t>.</w:t>
      </w:r>
      <w:r w:rsidRPr="002622C4">
        <w:rPr>
          <w:noProof/>
          <w:webHidden/>
          <w:lang w:val="fr-FR"/>
        </w:rPr>
        <w:tab/>
      </w:r>
      <w:r>
        <w:rPr>
          <w:noProof/>
          <w:webHidden/>
        </w:rPr>
        <w:fldChar w:fldCharType="begin"/>
      </w:r>
      <w:r w:rsidRPr="002622C4">
        <w:rPr>
          <w:noProof/>
          <w:webHidden/>
          <w:lang w:val="fr-FR"/>
        </w:rPr>
        <w:instrText xml:space="preserve"> PAGEREF _Toc206658624 \h </w:instrText>
      </w:r>
      <w:r>
        <w:rPr>
          <w:noProof/>
          <w:webHidden/>
        </w:rPr>
      </w:r>
      <w:r>
        <w:rPr>
          <w:noProof/>
          <w:webHidden/>
        </w:rPr>
        <w:fldChar w:fldCharType="separate"/>
      </w:r>
      <w:r w:rsidRPr="002622C4">
        <w:rPr>
          <w:noProof/>
          <w:webHidden/>
          <w:lang w:val="fr-FR"/>
        </w:rPr>
        <w:t>224</w:t>
      </w:r>
      <w:r>
        <w:rPr>
          <w:noProof/>
          <w:webHidden/>
        </w:rPr>
        <w:fldChar w:fldCharType="end"/>
      </w:r>
    </w:p>
    <w:p w:rsidR="00B92F1D" w:rsidRPr="002622C4" w:rsidRDefault="00B92F1D">
      <w:pPr>
        <w:pStyle w:val="TOC3"/>
        <w:rPr>
          <w:rFonts w:asciiTheme="minorHAnsi" w:eastAsiaTheme="minorEastAsia" w:hAnsiTheme="minorHAnsi" w:cstheme="minorBidi"/>
          <w:noProof/>
          <w:sz w:val="22"/>
          <w:szCs w:val="22"/>
          <w:lang w:val="fr-FR" w:eastAsia="en-AU"/>
          <w14:numForm w14:val="default"/>
          <w14:numSpacing w14:val="default"/>
        </w:rPr>
      </w:pPr>
      <w:r w:rsidRPr="002622C4">
        <w:rPr>
          <w:noProof/>
          <w:lang w:val="fr-FR"/>
        </w:rPr>
        <w:t>Note 7</w:t>
      </w:r>
      <w:r w:rsidRPr="002622C4">
        <w:rPr>
          <w:noProof/>
          <w:color w:val="FFFFFF" w:themeColor="background1"/>
          <w:lang w:val="fr-FR"/>
        </w:rPr>
        <w:t>..</w:t>
      </w:r>
      <w:r w:rsidRPr="002622C4">
        <w:rPr>
          <w:noProof/>
          <w:lang w:val="fr-FR"/>
        </w:rPr>
        <w:tab/>
      </w:r>
      <w:r w:rsidRPr="002622C4">
        <w:rPr>
          <w:noProof/>
          <w:color w:val="FFFFFF" w:themeColor="background1"/>
          <w:lang w:val="fr-FR"/>
        </w:rPr>
        <w:t>.</w:t>
      </w:r>
      <w:r w:rsidRPr="002622C4">
        <w:rPr>
          <w:noProof/>
          <w:webHidden/>
          <w:lang w:val="fr-FR"/>
        </w:rPr>
        <w:tab/>
      </w:r>
      <w:r>
        <w:rPr>
          <w:noProof/>
          <w:webHidden/>
        </w:rPr>
        <w:fldChar w:fldCharType="begin"/>
      </w:r>
      <w:r w:rsidRPr="002622C4">
        <w:rPr>
          <w:noProof/>
          <w:webHidden/>
          <w:lang w:val="fr-FR"/>
        </w:rPr>
        <w:instrText xml:space="preserve"> PAGEREF _Toc206658625 \h </w:instrText>
      </w:r>
      <w:r>
        <w:rPr>
          <w:noProof/>
          <w:webHidden/>
        </w:rPr>
      </w:r>
      <w:r>
        <w:rPr>
          <w:noProof/>
          <w:webHidden/>
        </w:rPr>
        <w:fldChar w:fldCharType="separate"/>
      </w:r>
      <w:r w:rsidRPr="002622C4">
        <w:rPr>
          <w:noProof/>
          <w:webHidden/>
          <w:lang w:val="fr-FR"/>
        </w:rPr>
        <w:t>230</w:t>
      </w:r>
      <w:r>
        <w:rPr>
          <w:noProof/>
          <w:webHidden/>
        </w:rPr>
        <w:fldChar w:fldCharType="end"/>
      </w:r>
    </w:p>
    <w:p w:rsidR="00B92F1D" w:rsidRPr="002622C4" w:rsidRDefault="00B92F1D">
      <w:pPr>
        <w:pStyle w:val="TOC1"/>
        <w:rPr>
          <w:rFonts w:asciiTheme="minorHAnsi" w:eastAsiaTheme="minorEastAsia" w:hAnsiTheme="minorHAnsi" w:cstheme="minorBidi"/>
          <w:bCs w:val="0"/>
          <w:noProof/>
          <w:sz w:val="22"/>
          <w:lang w:val="fr-FR" w:eastAsia="en-AU"/>
          <w14:numForm w14:val="default"/>
          <w14:numSpacing w14:val="default"/>
        </w:rPr>
      </w:pPr>
      <w:r w:rsidRPr="002622C4">
        <w:rPr>
          <w:noProof/>
          <w:lang w:val="fr-FR"/>
        </w:rPr>
        <w:t>Epilogue</w:t>
      </w:r>
      <w:r w:rsidRPr="002622C4">
        <w:rPr>
          <w:noProof/>
          <w:color w:val="FFFFFF" w:themeColor="background1"/>
          <w:lang w:val="fr-FR"/>
        </w:rPr>
        <w:t>..</w:t>
      </w:r>
      <w:r w:rsidRPr="002622C4">
        <w:rPr>
          <w:noProof/>
          <w:lang w:val="fr-FR"/>
        </w:rPr>
        <w:tab/>
      </w:r>
      <w:r w:rsidRPr="002622C4">
        <w:rPr>
          <w:noProof/>
          <w:color w:val="FFFFFF" w:themeColor="background1"/>
          <w:lang w:val="fr-FR"/>
        </w:rPr>
        <w:t>.</w:t>
      </w:r>
      <w:r w:rsidRPr="002622C4">
        <w:rPr>
          <w:noProof/>
          <w:webHidden/>
          <w:lang w:val="fr-FR"/>
        </w:rPr>
        <w:tab/>
      </w:r>
      <w:r>
        <w:rPr>
          <w:noProof/>
          <w:webHidden/>
        </w:rPr>
        <w:fldChar w:fldCharType="begin"/>
      </w:r>
      <w:r w:rsidRPr="002622C4">
        <w:rPr>
          <w:noProof/>
          <w:webHidden/>
          <w:lang w:val="fr-FR"/>
        </w:rPr>
        <w:instrText xml:space="preserve"> PAGEREF _Toc206658626 \h </w:instrText>
      </w:r>
      <w:r>
        <w:rPr>
          <w:noProof/>
          <w:webHidden/>
        </w:rPr>
      </w:r>
      <w:r>
        <w:rPr>
          <w:noProof/>
          <w:webHidden/>
        </w:rPr>
        <w:fldChar w:fldCharType="separate"/>
      </w:r>
      <w:r w:rsidRPr="002622C4">
        <w:rPr>
          <w:noProof/>
          <w:webHidden/>
          <w:lang w:val="fr-FR"/>
        </w:rPr>
        <w:t>235</w:t>
      </w:r>
      <w:r>
        <w:rPr>
          <w:noProof/>
          <w:webHidden/>
        </w:rPr>
        <w:fldChar w:fldCharType="end"/>
      </w:r>
    </w:p>
    <w:p w:rsidR="006579C6" w:rsidRPr="002622C4" w:rsidRDefault="00417538" w:rsidP="00B92F1D">
      <w:pPr>
        <w:rPr>
          <w:rFonts w:ascii="Times New Roman" w:eastAsia="Times New Roman" w:hAnsi="Times New Roman"/>
          <w:color w:val="000000"/>
          <w:sz w:val="24"/>
          <w:lang w:val="fr-FR"/>
        </w:rPr>
      </w:pPr>
      <w:r>
        <w:fldChar w:fldCharType="end"/>
      </w:r>
    </w:p>
    <w:p w:rsidR="00327433" w:rsidRPr="002622C4" w:rsidRDefault="00327433" w:rsidP="006579C6">
      <w:pPr>
        <w:rPr>
          <w:rFonts w:eastAsia="Times New Roman"/>
          <w:color w:val="000000"/>
          <w:sz w:val="24"/>
          <w:lang w:val="fr-FR"/>
        </w:rPr>
        <w:sectPr w:rsidR="00327433" w:rsidRPr="002622C4" w:rsidSect="009073C7">
          <w:footerReference w:type="first" r:id="rId15"/>
          <w:footnotePr>
            <w:numRestart w:val="eachPage"/>
          </w:footnotePr>
          <w:type w:val="oddPage"/>
          <w:pgSz w:w="8618" w:h="12984" w:code="188"/>
          <w:pgMar w:top="720" w:right="720" w:bottom="720" w:left="720" w:header="720" w:footer="567" w:gutter="357"/>
          <w:pgNumType w:fmt="lowerRoman"/>
          <w:cols w:space="708"/>
          <w:noEndnote/>
          <w:titlePg/>
          <w:docGrid w:linePitch="272"/>
        </w:sectPr>
      </w:pPr>
    </w:p>
    <w:p w:rsidR="00327433" w:rsidRPr="007A504D" w:rsidRDefault="00F04416" w:rsidP="00F04416">
      <w:pPr>
        <w:rPr>
          <w:rFonts w:eastAsia="Times New Roman"/>
          <w:color w:val="000000"/>
          <w:sz w:val="24"/>
          <w:lang w:val="en-AU"/>
        </w:rPr>
      </w:pPr>
      <w:r w:rsidRPr="00382917">
        <w:rPr>
          <w:sz w:val="12"/>
          <w:szCs w:val="12"/>
        </w:rPr>
        <w:fldChar w:fldCharType="begin"/>
      </w:r>
      <w:r w:rsidR="00EE4FC3" w:rsidRPr="002622C4">
        <w:rPr>
          <w:sz w:val="12"/>
          <w:szCs w:val="12"/>
          <w:lang w:val="fr-FR"/>
        </w:rPr>
        <w:instrText xml:space="preserve"> </w:instrText>
      </w:r>
      <w:r w:rsidRPr="002622C4">
        <w:rPr>
          <w:sz w:val="12"/>
          <w:szCs w:val="12"/>
          <w:lang w:val="fr-FR"/>
        </w:rPr>
        <w:instrText>TC</w:instrText>
      </w:r>
      <w:r w:rsidR="00EE4FC3" w:rsidRPr="002622C4">
        <w:rPr>
          <w:sz w:val="12"/>
          <w:szCs w:val="12"/>
          <w:lang w:val="fr-FR"/>
        </w:rPr>
        <w:instrText xml:space="preserve">  </w:instrText>
      </w:r>
      <w:r w:rsidRPr="002622C4">
        <w:rPr>
          <w:sz w:val="12"/>
          <w:szCs w:val="12"/>
          <w:lang w:val="fr-FR"/>
        </w:rPr>
        <w:instrText>“</w:instrText>
      </w:r>
      <w:bookmarkStart w:id="2" w:name="_Toc206658598"/>
      <w:r w:rsidRPr="002622C4">
        <w:rPr>
          <w:sz w:val="12"/>
          <w:szCs w:val="12"/>
          <w:lang w:val="fr-FR"/>
        </w:rPr>
        <w:instrText>Prologue</w:instrText>
      </w:r>
      <w:r w:rsidRPr="002622C4">
        <w:rPr>
          <w:color w:val="FFFFFF" w:themeColor="background1"/>
          <w:sz w:val="12"/>
          <w:szCs w:val="12"/>
          <w:lang w:val="fr-FR"/>
        </w:rPr>
        <w:instrText>..</w:instrText>
      </w:r>
      <w:r w:rsidRPr="002622C4">
        <w:rPr>
          <w:sz w:val="12"/>
          <w:szCs w:val="12"/>
          <w:lang w:val="fr-FR"/>
        </w:rPr>
        <w:tab/>
      </w:r>
      <w:r w:rsidRPr="002622C4">
        <w:rPr>
          <w:color w:val="FFFFFF" w:themeColor="background1"/>
          <w:sz w:val="12"/>
          <w:szCs w:val="12"/>
          <w:lang w:val="fr-FR"/>
        </w:rPr>
        <w:instrText>.</w:instrText>
      </w:r>
      <w:bookmarkEnd w:id="2"/>
      <w:r w:rsidRPr="002622C4">
        <w:rPr>
          <w:sz w:val="12"/>
          <w:szCs w:val="12"/>
          <w:lang w:val="fr-FR"/>
        </w:rPr>
        <w:instrText>”</w:instrText>
      </w:r>
      <w:r w:rsidR="00EE4FC3" w:rsidRPr="002622C4">
        <w:rPr>
          <w:sz w:val="12"/>
          <w:szCs w:val="12"/>
          <w:lang w:val="fr-FR"/>
        </w:rPr>
        <w:instrText xml:space="preserve"> </w:instrText>
      </w:r>
      <w:r w:rsidRPr="007A504D">
        <w:rPr>
          <w:sz w:val="12"/>
          <w:szCs w:val="12"/>
          <w:lang w:val="en-AU"/>
        </w:rPr>
        <w:instrText>\l</w:instrText>
      </w:r>
      <w:r w:rsidR="00EE4FC3" w:rsidRPr="007A504D">
        <w:rPr>
          <w:sz w:val="12"/>
          <w:szCs w:val="12"/>
          <w:lang w:val="en-AU"/>
        </w:rPr>
        <w:instrText xml:space="preserve"> </w:instrText>
      </w:r>
      <w:r w:rsidRPr="007A504D">
        <w:rPr>
          <w:sz w:val="12"/>
          <w:szCs w:val="12"/>
          <w:lang w:val="en-AU"/>
        </w:rPr>
        <w:instrText>1</w:instrText>
      </w:r>
      <w:r w:rsidR="00EE4FC3" w:rsidRPr="007A504D">
        <w:rPr>
          <w:sz w:val="12"/>
          <w:szCs w:val="12"/>
          <w:lang w:val="en-AU"/>
        </w:rPr>
        <w:instrText xml:space="preserve"> </w:instrText>
      </w:r>
      <w:r w:rsidRPr="00382917">
        <w:rPr>
          <w:sz w:val="12"/>
          <w:szCs w:val="12"/>
        </w:rPr>
        <w:fldChar w:fldCharType="end"/>
      </w:r>
    </w:p>
    <w:p w:rsidR="00327433" w:rsidRPr="007A504D" w:rsidRDefault="00327433" w:rsidP="006579C6">
      <w:pPr>
        <w:rPr>
          <w:rFonts w:eastAsia="Times New Roman"/>
          <w:color w:val="000000"/>
          <w:sz w:val="24"/>
          <w:lang w:val="en-AU"/>
        </w:rPr>
      </w:pPr>
    </w:p>
    <w:p w:rsidR="006579C6" w:rsidRPr="00382917" w:rsidRDefault="00327433" w:rsidP="00327433">
      <w:pPr>
        <w:pStyle w:val="Myheadc"/>
      </w:pPr>
      <w:r w:rsidRPr="00382917">
        <w:t>Prologue</w:t>
      </w:r>
    </w:p>
    <w:p w:rsidR="006579C6" w:rsidRPr="00382917" w:rsidRDefault="006579C6" w:rsidP="00327433">
      <w:pPr>
        <w:pStyle w:val="Text"/>
      </w:pPr>
      <w:r w:rsidRPr="00382917">
        <w:t>A</w:t>
      </w:r>
      <w:r w:rsidR="00EE4FC3">
        <w:t xml:space="preserve"> </w:t>
      </w:r>
      <w:r w:rsidR="00F04416" w:rsidRPr="00382917">
        <w:t>small</w:t>
      </w:r>
      <w:r w:rsidR="00EE4FC3">
        <w:t xml:space="preserve"> </w:t>
      </w:r>
      <w:r w:rsidRPr="00382917">
        <w:t>whirlwind</w:t>
      </w:r>
      <w:r w:rsidR="00EE4FC3">
        <w:t xml:space="preserve"> </w:t>
      </w:r>
      <w:r w:rsidRPr="00382917">
        <w:t>of</w:t>
      </w:r>
      <w:r w:rsidR="00EE4FC3">
        <w:t xml:space="preserve"> </w:t>
      </w:r>
      <w:r w:rsidRPr="00382917">
        <w:t>dust</w:t>
      </w:r>
      <w:r w:rsidR="00EE4FC3">
        <w:t xml:space="preserve"> </w:t>
      </w:r>
      <w:r w:rsidRPr="00382917">
        <w:t>moved</w:t>
      </w:r>
      <w:r w:rsidR="00EE4FC3">
        <w:t xml:space="preserve"> </w:t>
      </w:r>
      <w:r w:rsidRPr="00382917">
        <w:t>quietly</w:t>
      </w:r>
      <w:r w:rsidR="00EE4FC3">
        <w:t xml:space="preserve"> </w:t>
      </w:r>
      <w:r w:rsidRPr="00382917">
        <w:t>down</w:t>
      </w:r>
      <w:r w:rsidR="00EE4FC3">
        <w:t xml:space="preserve"> </w:t>
      </w:r>
      <w:r w:rsidRPr="00382917">
        <w:t>the</w:t>
      </w:r>
      <w:r w:rsidR="00EE4FC3">
        <w:t xml:space="preserve"> </w:t>
      </w:r>
      <w:r w:rsidRPr="00382917">
        <w:t>deserted</w:t>
      </w:r>
      <w:r w:rsidR="00EE4FC3">
        <w:t xml:space="preserve"> </w:t>
      </w:r>
      <w:r w:rsidRPr="00382917">
        <w:t>street.</w:t>
      </w:r>
      <w:r w:rsidR="00EE4FC3">
        <w:t xml:space="preserve">  </w:t>
      </w:r>
      <w:r w:rsidRPr="00382917">
        <w:t>It</w:t>
      </w:r>
      <w:r w:rsidR="00EE4FC3">
        <w:t xml:space="preserve"> </w:t>
      </w:r>
      <w:r w:rsidRPr="00382917">
        <w:t>whipped</w:t>
      </w:r>
      <w:r w:rsidR="00EE4FC3">
        <w:t xml:space="preserve"> </w:t>
      </w:r>
      <w:r w:rsidRPr="00382917">
        <w:t>a</w:t>
      </w:r>
      <w:r w:rsidR="00EE4FC3">
        <w:t xml:space="preserve"> </w:t>
      </w:r>
      <w:r w:rsidRPr="00382917">
        <w:t>scrap</w:t>
      </w:r>
      <w:r w:rsidR="00EE4FC3">
        <w:t xml:space="preserve"> </w:t>
      </w:r>
      <w:r w:rsidRPr="00382917">
        <w:t>of</w:t>
      </w:r>
      <w:r w:rsidR="00EE4FC3">
        <w:t xml:space="preserve"> </w:t>
      </w:r>
      <w:r w:rsidRPr="00382917">
        <w:t>paper</w:t>
      </w:r>
      <w:r w:rsidR="00EE4FC3">
        <w:t xml:space="preserve"> </w:t>
      </w:r>
      <w:r w:rsidRPr="00382917">
        <w:t>against</w:t>
      </w:r>
      <w:r w:rsidR="00EE4FC3">
        <w:t xml:space="preserve"> </w:t>
      </w:r>
      <w:r w:rsidRPr="00382917">
        <w:t>a</w:t>
      </w:r>
      <w:r w:rsidR="00EE4FC3">
        <w:t xml:space="preserve"> </w:t>
      </w:r>
      <w:r w:rsidRPr="00382917">
        <w:t>sleeping</w:t>
      </w:r>
      <w:r w:rsidR="00EE4FC3">
        <w:t xml:space="preserve"> </w:t>
      </w:r>
      <w:r w:rsidRPr="00382917">
        <w:t>cat,</w:t>
      </w:r>
      <w:r w:rsidR="00EE4FC3">
        <w:t xml:space="preserve"> </w:t>
      </w:r>
      <w:r w:rsidRPr="00382917">
        <w:t>frightening</w:t>
      </w:r>
      <w:r w:rsidR="00EE4FC3">
        <w:t xml:space="preserve"> </w:t>
      </w:r>
      <w:r w:rsidRPr="00382917">
        <w:t>it</w:t>
      </w:r>
      <w:r w:rsidR="00EE4FC3">
        <w:t xml:space="preserve"> </w:t>
      </w:r>
      <w:r w:rsidRPr="00382917">
        <w:t>out</w:t>
      </w:r>
      <w:r w:rsidR="00EE4FC3">
        <w:t xml:space="preserve"> </w:t>
      </w:r>
      <w:r w:rsidRPr="00382917">
        <w:t>of</w:t>
      </w:r>
      <w:r w:rsidR="00EE4FC3">
        <w:t xml:space="preserve"> </w:t>
      </w:r>
      <w:r w:rsidRPr="00382917">
        <w:t>the</w:t>
      </w:r>
      <w:r w:rsidR="00EE4FC3">
        <w:t xml:space="preserve"> </w:t>
      </w:r>
      <w:r w:rsidRPr="00382917">
        <w:t>doorway</w:t>
      </w:r>
      <w:r w:rsidR="00EE4FC3">
        <w:t xml:space="preserve"> </w:t>
      </w:r>
      <w:r w:rsidRPr="00382917">
        <w:t>into</w:t>
      </w:r>
      <w:r w:rsidR="00EE4FC3">
        <w:t xml:space="preserve"> </w:t>
      </w:r>
      <w:r w:rsidRPr="00382917">
        <w:t>the</w:t>
      </w:r>
      <w:r w:rsidR="00EE4FC3">
        <w:t xml:space="preserve"> </w:t>
      </w:r>
      <w:r w:rsidRPr="00382917">
        <w:t>house.</w:t>
      </w:r>
      <w:r w:rsidR="00EE4FC3">
        <w:t xml:space="preserve">  </w:t>
      </w:r>
      <w:r w:rsidRPr="00382917">
        <w:t>Then</w:t>
      </w:r>
      <w:r w:rsidR="00EE4FC3">
        <w:t xml:space="preserve"> </w:t>
      </w:r>
      <w:r w:rsidRPr="00382917">
        <w:t>all</w:t>
      </w:r>
      <w:r w:rsidR="00EE4FC3">
        <w:t xml:space="preserve"> </w:t>
      </w:r>
      <w:r w:rsidRPr="00382917">
        <w:t>was</w:t>
      </w:r>
      <w:r w:rsidR="00EE4FC3">
        <w:t xml:space="preserve"> </w:t>
      </w:r>
      <w:r w:rsidRPr="00382917">
        <w:t>motionless</w:t>
      </w:r>
      <w:r w:rsidR="00EE4FC3">
        <w:t xml:space="preserve"> </w:t>
      </w:r>
      <w:r w:rsidRPr="00382917">
        <w:t>silence.</w:t>
      </w:r>
    </w:p>
    <w:p w:rsidR="006579C6" w:rsidRPr="00382917" w:rsidRDefault="006579C6" w:rsidP="00327433">
      <w:pPr>
        <w:pStyle w:val="Text"/>
      </w:pPr>
      <w:r w:rsidRPr="00382917">
        <w:t>Suddenly</w:t>
      </w:r>
      <w:r w:rsidR="00EE4FC3">
        <w:t xml:space="preserve"> </w:t>
      </w:r>
      <w:r w:rsidRPr="00382917">
        <w:t>a</w:t>
      </w:r>
      <w:r w:rsidR="00EE4FC3">
        <w:t xml:space="preserve"> </w:t>
      </w:r>
      <w:r w:rsidRPr="00382917">
        <w:t>young</w:t>
      </w:r>
      <w:r w:rsidR="00EE4FC3">
        <w:t xml:space="preserve"> </w:t>
      </w:r>
      <w:r w:rsidRPr="00382917">
        <w:t>child</w:t>
      </w:r>
      <w:r w:rsidR="00EE4FC3">
        <w:t xml:space="preserve"> </w:t>
      </w:r>
      <w:r w:rsidRPr="00382917">
        <w:t>hurried</w:t>
      </w:r>
      <w:r w:rsidR="00EE4FC3">
        <w:t xml:space="preserve"> </w:t>
      </w:r>
      <w:r w:rsidRPr="00382917">
        <w:t>around</w:t>
      </w:r>
      <w:r w:rsidR="00EE4FC3">
        <w:t xml:space="preserve"> </w:t>
      </w:r>
      <w:r w:rsidRPr="00382917">
        <w:t>the</w:t>
      </w:r>
      <w:r w:rsidR="00EE4FC3">
        <w:t xml:space="preserve"> </w:t>
      </w:r>
      <w:r w:rsidRPr="00382917">
        <w:t>corner</w:t>
      </w:r>
      <w:r w:rsidR="00EE4FC3">
        <w:t xml:space="preserve"> </w:t>
      </w:r>
      <w:r w:rsidRPr="00382917">
        <w:t>and</w:t>
      </w:r>
      <w:r w:rsidR="00EE4FC3">
        <w:t xml:space="preserve"> </w:t>
      </w:r>
      <w:r w:rsidRPr="00382917">
        <w:t>raced</w:t>
      </w:r>
      <w:r w:rsidR="00EE4FC3">
        <w:t xml:space="preserve"> </w:t>
      </w:r>
      <w:r w:rsidRPr="00382917">
        <w:t>down</w:t>
      </w:r>
      <w:r w:rsidR="00EE4FC3">
        <w:t xml:space="preserve"> </w:t>
      </w:r>
      <w:r w:rsidRPr="00382917">
        <w:t>the</w:t>
      </w:r>
      <w:r w:rsidR="00EE4FC3">
        <w:t xml:space="preserve"> </w:t>
      </w:r>
      <w:r w:rsidRPr="00382917">
        <w:t>empty</w:t>
      </w:r>
      <w:r w:rsidR="00EE4FC3">
        <w:t xml:space="preserve"> </w:t>
      </w:r>
      <w:r w:rsidRPr="00382917">
        <w:t>street.</w:t>
      </w:r>
      <w:r w:rsidR="00EE4FC3">
        <w:t xml:space="preserve">  </w:t>
      </w:r>
      <w:r w:rsidRPr="00382917">
        <w:t>His</w:t>
      </w:r>
      <w:r w:rsidR="00EE4FC3">
        <w:t xml:space="preserve"> </w:t>
      </w:r>
      <w:r w:rsidRPr="00382917">
        <w:t>bare</w:t>
      </w:r>
      <w:r w:rsidR="00EE4FC3">
        <w:t xml:space="preserve"> </w:t>
      </w:r>
      <w:r w:rsidRPr="00382917">
        <w:t>feet</w:t>
      </w:r>
      <w:r w:rsidR="00EE4FC3">
        <w:t xml:space="preserve"> </w:t>
      </w:r>
      <w:r w:rsidRPr="00382917">
        <w:t>kicked</w:t>
      </w:r>
      <w:r w:rsidR="00EE4FC3">
        <w:t xml:space="preserve"> </w:t>
      </w:r>
      <w:r w:rsidRPr="00382917">
        <w:t>up</w:t>
      </w:r>
      <w:r w:rsidR="00EE4FC3">
        <w:t xml:space="preserve"> </w:t>
      </w:r>
      <w:r w:rsidRPr="00382917">
        <w:t>little</w:t>
      </w:r>
      <w:r w:rsidR="00EE4FC3">
        <w:t xml:space="preserve"> </w:t>
      </w:r>
      <w:r w:rsidRPr="00382917">
        <w:t>puffs</w:t>
      </w:r>
      <w:r w:rsidR="00EE4FC3">
        <w:t xml:space="preserve"> </w:t>
      </w:r>
      <w:r w:rsidRPr="00382917">
        <w:t>from</w:t>
      </w:r>
      <w:r w:rsidR="00EE4FC3">
        <w:t xml:space="preserve"> </w:t>
      </w:r>
      <w:r w:rsidRPr="00382917">
        <w:t>the</w:t>
      </w:r>
      <w:r w:rsidR="00EE4FC3">
        <w:t xml:space="preserve"> </w:t>
      </w:r>
      <w:r w:rsidRPr="00382917">
        <w:t>hot</w:t>
      </w:r>
      <w:r w:rsidR="00EE4FC3">
        <w:t xml:space="preserve"> </w:t>
      </w:r>
      <w:r w:rsidRPr="00382917">
        <w:t>earth.</w:t>
      </w:r>
    </w:p>
    <w:p w:rsidR="006579C6" w:rsidRPr="00382917" w:rsidRDefault="009C713D" w:rsidP="00327433">
      <w:pPr>
        <w:pStyle w:val="Text"/>
      </w:pPr>
      <w:r w:rsidRPr="00382917">
        <w:t>“</w:t>
      </w:r>
      <w:r w:rsidR="006579C6" w:rsidRPr="00382917">
        <w:t>He</w:t>
      </w:r>
      <w:r w:rsidRPr="00382917">
        <w:t>’</w:t>
      </w:r>
      <w:r w:rsidR="006579C6" w:rsidRPr="00382917">
        <w:t>s</w:t>
      </w:r>
      <w:r w:rsidR="00EE4FC3">
        <w:t xml:space="preserve"> </w:t>
      </w:r>
      <w:r w:rsidR="006579C6" w:rsidRPr="00382917">
        <w:t>coming!</w:t>
      </w:r>
      <w:r w:rsidRPr="00382917">
        <w:t>”</w:t>
      </w:r>
      <w:r w:rsidR="00EE4FC3">
        <w:t xml:space="preserve"> </w:t>
      </w:r>
      <w:r w:rsidR="006579C6" w:rsidRPr="00382917">
        <w:t>he</w:t>
      </w:r>
      <w:r w:rsidR="00EE4FC3">
        <w:t xml:space="preserve"> </w:t>
      </w:r>
      <w:r w:rsidR="006579C6" w:rsidRPr="00382917">
        <w:t>cried</w:t>
      </w:r>
      <w:r w:rsidR="00EE4FC3">
        <w:t xml:space="preserve"> </w:t>
      </w:r>
      <w:r w:rsidR="006579C6" w:rsidRPr="00382917">
        <w:t>out.</w:t>
      </w:r>
      <w:r w:rsidR="00EE4FC3">
        <w:t xml:space="preserve">  </w:t>
      </w:r>
      <w:r w:rsidRPr="00382917">
        <w:t>“</w:t>
      </w:r>
      <w:r w:rsidR="006579C6" w:rsidRPr="00382917">
        <w:t>They</w:t>
      </w:r>
      <w:r w:rsidRPr="00382917">
        <w:t>’</w:t>
      </w:r>
      <w:r w:rsidR="006579C6" w:rsidRPr="00382917">
        <w:t>re</w:t>
      </w:r>
      <w:r w:rsidR="00EE4FC3">
        <w:t xml:space="preserve"> </w:t>
      </w:r>
      <w:r w:rsidR="006579C6" w:rsidRPr="00382917">
        <w:t>bringing</w:t>
      </w:r>
      <w:r w:rsidR="00EE4FC3">
        <w:t xml:space="preserve"> </w:t>
      </w:r>
      <w:r w:rsidR="006579C6" w:rsidRPr="00382917">
        <w:t>him</w:t>
      </w:r>
      <w:r w:rsidR="00EE4FC3">
        <w:t xml:space="preserve"> </w:t>
      </w:r>
      <w:r w:rsidR="006579C6" w:rsidRPr="00382917">
        <w:t>this</w:t>
      </w:r>
      <w:r w:rsidR="00EE4FC3">
        <w:t xml:space="preserve"> </w:t>
      </w:r>
      <w:r w:rsidR="006579C6" w:rsidRPr="00382917">
        <w:t>way!</w:t>
      </w:r>
      <w:r w:rsidRPr="00382917">
        <w:t>”</w:t>
      </w:r>
    </w:p>
    <w:p w:rsidR="006579C6" w:rsidRPr="00382917" w:rsidRDefault="006579C6" w:rsidP="00327433">
      <w:pPr>
        <w:pStyle w:val="Text"/>
      </w:pPr>
      <w:r w:rsidRPr="00382917">
        <w:t>People</w:t>
      </w:r>
      <w:r w:rsidR="00EE4FC3">
        <w:t xml:space="preserve"> </w:t>
      </w:r>
      <w:r w:rsidRPr="00382917">
        <w:t>streamed</w:t>
      </w:r>
      <w:r w:rsidR="00EE4FC3">
        <w:t xml:space="preserve"> </w:t>
      </w:r>
      <w:r w:rsidRPr="00382917">
        <w:t>from</w:t>
      </w:r>
      <w:r w:rsidR="00EE4FC3">
        <w:t xml:space="preserve"> </w:t>
      </w:r>
      <w:r w:rsidRPr="00382917">
        <w:t>their</w:t>
      </w:r>
      <w:r w:rsidR="00EE4FC3">
        <w:t xml:space="preserve"> </w:t>
      </w:r>
      <w:r w:rsidRPr="00382917">
        <w:t>houses</w:t>
      </w:r>
      <w:r w:rsidR="00EE4FC3">
        <w:t xml:space="preserve"> </w:t>
      </w:r>
      <w:r w:rsidRPr="00382917">
        <w:t>with</w:t>
      </w:r>
      <w:r w:rsidR="00EE4FC3">
        <w:t xml:space="preserve"> </w:t>
      </w:r>
      <w:r w:rsidRPr="00382917">
        <w:t>the</w:t>
      </w:r>
      <w:r w:rsidR="00EE4FC3">
        <w:t xml:space="preserve"> </w:t>
      </w:r>
      <w:r w:rsidRPr="00382917">
        <w:t>panic</w:t>
      </w:r>
      <w:r w:rsidR="00EE4FC3">
        <w:t xml:space="preserve"> </w:t>
      </w:r>
      <w:r w:rsidRPr="00382917">
        <w:t>of</w:t>
      </w:r>
      <w:r w:rsidR="00EE4FC3">
        <w:t xml:space="preserve"> </w:t>
      </w:r>
      <w:r w:rsidRPr="00382917">
        <w:t>ants</w:t>
      </w:r>
      <w:r w:rsidR="00EE4FC3">
        <w:t xml:space="preserve"> </w:t>
      </w:r>
      <w:r w:rsidRPr="00382917">
        <w:t>whose</w:t>
      </w:r>
      <w:r w:rsidR="00EE4FC3">
        <w:t xml:space="preserve"> </w:t>
      </w:r>
      <w:r w:rsidRPr="00382917">
        <w:t>hill</w:t>
      </w:r>
      <w:r w:rsidR="00EE4FC3">
        <w:t xml:space="preserve"> </w:t>
      </w:r>
      <w:r w:rsidRPr="00382917">
        <w:t>has</w:t>
      </w:r>
      <w:r w:rsidR="00EE4FC3">
        <w:t xml:space="preserve"> </w:t>
      </w:r>
      <w:r w:rsidRPr="00382917">
        <w:t>been</w:t>
      </w:r>
      <w:r w:rsidR="00EE4FC3">
        <w:t xml:space="preserve"> </w:t>
      </w:r>
      <w:r w:rsidRPr="00382917">
        <w:t>struck</w:t>
      </w:r>
      <w:r w:rsidR="00EE4FC3">
        <w:t xml:space="preserve"> </w:t>
      </w:r>
      <w:r w:rsidRPr="00382917">
        <w:t>by</w:t>
      </w:r>
      <w:r w:rsidR="00EE4FC3">
        <w:t xml:space="preserve"> </w:t>
      </w:r>
      <w:r w:rsidRPr="00382917">
        <w:t>a</w:t>
      </w:r>
      <w:r w:rsidR="00EE4FC3">
        <w:t xml:space="preserve"> </w:t>
      </w:r>
      <w:r w:rsidRPr="00382917">
        <w:t>careless</w:t>
      </w:r>
      <w:r w:rsidR="00EE4FC3">
        <w:t xml:space="preserve"> </w:t>
      </w:r>
      <w:r w:rsidRPr="00382917">
        <w:t>foot.</w:t>
      </w:r>
      <w:r w:rsidR="00EE4FC3">
        <w:t xml:space="preserve">  </w:t>
      </w:r>
      <w:r w:rsidRPr="00382917">
        <w:t>The</w:t>
      </w:r>
      <w:r w:rsidR="00EE4FC3">
        <w:t xml:space="preserve"> </w:t>
      </w:r>
      <w:r w:rsidRPr="00382917">
        <w:t>street</w:t>
      </w:r>
      <w:r w:rsidR="00EE4FC3">
        <w:t xml:space="preserve"> </w:t>
      </w:r>
      <w:r w:rsidRPr="00382917">
        <w:t>was</w:t>
      </w:r>
      <w:r w:rsidR="00EE4FC3">
        <w:t xml:space="preserve"> </w:t>
      </w:r>
      <w:r w:rsidRPr="00382917">
        <w:t>alive</w:t>
      </w:r>
      <w:r w:rsidR="00EE4FC3">
        <w:t xml:space="preserve"> </w:t>
      </w:r>
      <w:r w:rsidRPr="00382917">
        <w:t>with</w:t>
      </w:r>
      <w:r w:rsidR="00EE4FC3">
        <w:t xml:space="preserve"> </w:t>
      </w:r>
      <w:r w:rsidRPr="00382917">
        <w:t>thrilled</w:t>
      </w:r>
      <w:r w:rsidR="00EE4FC3">
        <w:t xml:space="preserve"> </w:t>
      </w:r>
      <w:r w:rsidRPr="00382917">
        <w:t>and</w:t>
      </w:r>
      <w:r w:rsidR="00EE4FC3">
        <w:t xml:space="preserve"> </w:t>
      </w:r>
      <w:r w:rsidRPr="00382917">
        <w:t>expectant</w:t>
      </w:r>
      <w:r w:rsidR="00EE4FC3">
        <w:t xml:space="preserve"> </w:t>
      </w:r>
      <w:r w:rsidRPr="00382917">
        <w:t>faces.</w:t>
      </w:r>
      <w:r w:rsidR="00EE4FC3">
        <w:t xml:space="preserve">  </w:t>
      </w:r>
      <w:r w:rsidRPr="00382917">
        <w:t>Their</w:t>
      </w:r>
      <w:r w:rsidR="00EE4FC3">
        <w:t xml:space="preserve"> </w:t>
      </w:r>
      <w:r w:rsidRPr="00382917">
        <w:t>excitement</w:t>
      </w:r>
      <w:r w:rsidR="00EE4FC3">
        <w:t xml:space="preserve"> </w:t>
      </w:r>
      <w:r w:rsidRPr="00382917">
        <w:t>increased</w:t>
      </w:r>
      <w:r w:rsidR="00EE4FC3">
        <w:t xml:space="preserve"> </w:t>
      </w:r>
      <w:r w:rsidRPr="00382917">
        <w:t>as</w:t>
      </w:r>
      <w:r w:rsidR="00EE4FC3">
        <w:t xml:space="preserve"> </w:t>
      </w:r>
      <w:r w:rsidRPr="00382917">
        <w:t>they</w:t>
      </w:r>
      <w:r w:rsidR="00EE4FC3">
        <w:t xml:space="preserve"> </w:t>
      </w:r>
      <w:r w:rsidRPr="00382917">
        <w:t>heard</w:t>
      </w:r>
      <w:r w:rsidR="00EE4FC3">
        <w:t xml:space="preserve"> </w:t>
      </w:r>
      <w:r w:rsidRPr="00382917">
        <w:t>the</w:t>
      </w:r>
      <w:r w:rsidR="00EE4FC3">
        <w:t xml:space="preserve"> </w:t>
      </w:r>
      <w:r w:rsidRPr="00382917">
        <w:t>angry</w:t>
      </w:r>
      <w:r w:rsidR="00EE4FC3">
        <w:t xml:space="preserve"> </w:t>
      </w:r>
      <w:r w:rsidRPr="00382917">
        <w:t>shouts</w:t>
      </w:r>
      <w:r w:rsidR="00EE4FC3">
        <w:t xml:space="preserve"> </w:t>
      </w:r>
      <w:r w:rsidRPr="00382917">
        <w:t>of</w:t>
      </w:r>
      <w:r w:rsidR="00EE4FC3">
        <w:t xml:space="preserve"> </w:t>
      </w:r>
      <w:r w:rsidRPr="00382917">
        <w:t>the</w:t>
      </w:r>
      <w:r w:rsidR="00EE4FC3">
        <w:t xml:space="preserve"> </w:t>
      </w:r>
      <w:r w:rsidRPr="00382917">
        <w:t>approaching</w:t>
      </w:r>
      <w:r w:rsidR="00EE4FC3">
        <w:t xml:space="preserve"> </w:t>
      </w:r>
      <w:r w:rsidRPr="00382917">
        <w:t>mob.</w:t>
      </w:r>
    </w:p>
    <w:p w:rsidR="006579C6" w:rsidRPr="00382917" w:rsidRDefault="006579C6" w:rsidP="00327433">
      <w:pPr>
        <w:pStyle w:val="Text"/>
      </w:pPr>
      <w:r w:rsidRPr="00382917">
        <w:t>A</w:t>
      </w:r>
      <w:r w:rsidR="00EE4FC3">
        <w:t xml:space="preserve"> </w:t>
      </w:r>
      <w:r w:rsidRPr="00382917">
        <w:t>river</w:t>
      </w:r>
      <w:r w:rsidR="00EE4FC3">
        <w:t xml:space="preserve"> </w:t>
      </w:r>
      <w:r w:rsidRPr="00382917">
        <w:t>of</w:t>
      </w:r>
      <w:r w:rsidR="00EE4FC3">
        <w:t xml:space="preserve"> </w:t>
      </w:r>
      <w:r w:rsidRPr="00382917">
        <w:t>men,</w:t>
      </w:r>
      <w:r w:rsidR="00EE4FC3">
        <w:t xml:space="preserve"> </w:t>
      </w:r>
      <w:r w:rsidRPr="00382917">
        <w:t>women</w:t>
      </w:r>
      <w:r w:rsidR="00EE4FC3">
        <w:t xml:space="preserve"> </w:t>
      </w:r>
      <w:r w:rsidRPr="00382917">
        <w:t>and</w:t>
      </w:r>
      <w:r w:rsidR="00EE4FC3">
        <w:t xml:space="preserve"> </w:t>
      </w:r>
      <w:r w:rsidRPr="00382917">
        <w:t>children</w:t>
      </w:r>
      <w:r w:rsidR="00EE4FC3">
        <w:t xml:space="preserve"> </w:t>
      </w:r>
      <w:r w:rsidRPr="00382917">
        <w:t>flowed</w:t>
      </w:r>
      <w:r w:rsidR="00EE4FC3">
        <w:t xml:space="preserve"> </w:t>
      </w:r>
      <w:r w:rsidRPr="00382917">
        <w:t>noisily</w:t>
      </w:r>
      <w:r w:rsidR="00EE4FC3">
        <w:t xml:space="preserve"> </w:t>
      </w:r>
      <w:r w:rsidRPr="00382917">
        <w:t>around</w:t>
      </w:r>
      <w:r w:rsidR="00EE4FC3">
        <w:t xml:space="preserve"> </w:t>
      </w:r>
      <w:r w:rsidRPr="00382917">
        <w:t>the</w:t>
      </w:r>
      <w:r w:rsidR="00EE4FC3">
        <w:t xml:space="preserve"> </w:t>
      </w:r>
      <w:r w:rsidRPr="00382917">
        <w:t>corner.</w:t>
      </w:r>
      <w:r w:rsidR="00EE4FC3">
        <w:t xml:space="preserve">  </w:t>
      </w:r>
      <w:r w:rsidRPr="00382917">
        <w:t>The</w:t>
      </w:r>
      <w:r w:rsidR="00EE4FC3">
        <w:t xml:space="preserve"> </w:t>
      </w:r>
      <w:r w:rsidRPr="00382917">
        <w:t>young</w:t>
      </w:r>
      <w:r w:rsidR="00EE4FC3">
        <w:t xml:space="preserve"> </w:t>
      </w:r>
      <w:r w:rsidRPr="00382917">
        <w:t>man</w:t>
      </w:r>
      <w:r w:rsidR="00EE4FC3">
        <w:t xml:space="preserve"> </w:t>
      </w:r>
      <w:r w:rsidRPr="00382917">
        <w:t>they</w:t>
      </w:r>
      <w:r w:rsidR="00EE4FC3">
        <w:t xml:space="preserve"> </w:t>
      </w:r>
      <w:r w:rsidRPr="00382917">
        <w:t>were</w:t>
      </w:r>
      <w:r w:rsidR="00EE4FC3">
        <w:t xml:space="preserve"> </w:t>
      </w:r>
      <w:r w:rsidRPr="00382917">
        <w:t>following</w:t>
      </w:r>
      <w:r w:rsidR="00EE4FC3">
        <w:t xml:space="preserve"> </w:t>
      </w:r>
      <w:r w:rsidRPr="00382917">
        <w:t>was</w:t>
      </w:r>
      <w:r w:rsidR="00EE4FC3">
        <w:t xml:space="preserve"> </w:t>
      </w:r>
      <w:r w:rsidRPr="00382917">
        <w:t>overwhelmed</w:t>
      </w:r>
      <w:r w:rsidR="00EE4FC3">
        <w:t xml:space="preserve"> </w:t>
      </w:r>
      <w:r w:rsidRPr="00382917">
        <w:t>by</w:t>
      </w:r>
      <w:r w:rsidR="00EE4FC3">
        <w:t xml:space="preserve"> </w:t>
      </w:r>
      <w:r w:rsidRPr="00382917">
        <w:t>their</w:t>
      </w:r>
      <w:r w:rsidR="00EE4FC3">
        <w:t xml:space="preserve"> </w:t>
      </w:r>
      <w:r w:rsidRPr="00382917">
        <w:t>insults.</w:t>
      </w:r>
      <w:r w:rsidR="00EE4FC3">
        <w:t xml:space="preserve">  </w:t>
      </w:r>
      <w:r w:rsidRPr="00382917">
        <w:t>The</w:t>
      </w:r>
      <w:r w:rsidR="00EE4FC3">
        <w:t xml:space="preserve"> </w:t>
      </w:r>
      <w:r w:rsidRPr="00382917">
        <w:t>mob</w:t>
      </w:r>
      <w:r w:rsidR="00EE4FC3">
        <w:t xml:space="preserve"> </w:t>
      </w:r>
      <w:r w:rsidRPr="00382917">
        <w:t>cried</w:t>
      </w:r>
      <w:r w:rsidR="00EE4FC3">
        <w:t xml:space="preserve"> </w:t>
      </w:r>
      <w:r w:rsidRPr="00382917">
        <w:t>out</w:t>
      </w:r>
      <w:r w:rsidR="00EE4FC3">
        <w:t xml:space="preserve"> </w:t>
      </w:r>
      <w:r w:rsidRPr="00382917">
        <w:t>with</w:t>
      </w:r>
      <w:r w:rsidR="00EE4FC3">
        <w:t xml:space="preserve"> </w:t>
      </w:r>
      <w:r w:rsidRPr="00382917">
        <w:t>delight.</w:t>
      </w:r>
      <w:r w:rsidR="00EE4FC3">
        <w:t xml:space="preserve">  </w:t>
      </w:r>
      <w:r w:rsidRPr="00382917">
        <w:t>They</w:t>
      </w:r>
      <w:r w:rsidR="00EE4FC3">
        <w:t xml:space="preserve"> </w:t>
      </w:r>
      <w:r w:rsidRPr="00382917">
        <w:t>knew</w:t>
      </w:r>
      <w:r w:rsidR="00EE4FC3">
        <w:t xml:space="preserve"> </w:t>
      </w:r>
      <w:r w:rsidRPr="00382917">
        <w:t>he</w:t>
      </w:r>
      <w:r w:rsidR="00EE4FC3">
        <w:t xml:space="preserve"> </w:t>
      </w:r>
      <w:r w:rsidRPr="00382917">
        <w:t>would</w:t>
      </w:r>
      <w:r w:rsidR="00EE4FC3">
        <w:t xml:space="preserve"> </w:t>
      </w:r>
      <w:r w:rsidRPr="00382917">
        <w:t>not</w:t>
      </w:r>
      <w:r w:rsidR="00EE4FC3">
        <w:t xml:space="preserve"> </w:t>
      </w:r>
      <w:r w:rsidRPr="00382917">
        <w:t>escape</w:t>
      </w:r>
      <w:r w:rsidR="00EE4FC3">
        <w:t xml:space="preserve"> </w:t>
      </w:r>
      <w:r w:rsidRPr="00382917">
        <w:t>them.</w:t>
      </w:r>
      <w:r w:rsidR="00EE4FC3">
        <w:t xml:space="preserve">  </w:t>
      </w:r>
      <w:r w:rsidRPr="00382917">
        <w:t>He</w:t>
      </w:r>
      <w:r w:rsidR="00EE4FC3">
        <w:t xml:space="preserve"> </w:t>
      </w:r>
      <w:r w:rsidRPr="00382917">
        <w:t>was</w:t>
      </w:r>
      <w:r w:rsidR="00EE4FC3">
        <w:t xml:space="preserve"> </w:t>
      </w:r>
      <w:r w:rsidRPr="00382917">
        <w:t>a</w:t>
      </w:r>
      <w:r w:rsidR="00EE4FC3">
        <w:t xml:space="preserve"> </w:t>
      </w:r>
      <w:r w:rsidRPr="00382917">
        <w:t>captive.</w:t>
      </w:r>
      <w:r w:rsidR="00EE4FC3">
        <w:t xml:space="preserve">  </w:t>
      </w:r>
      <w:r w:rsidRPr="00382917">
        <w:t>His</w:t>
      </w:r>
      <w:r w:rsidR="00EE4FC3">
        <w:t xml:space="preserve"> </w:t>
      </w:r>
      <w:r w:rsidRPr="00382917">
        <w:t>guards</w:t>
      </w:r>
      <w:r w:rsidR="00EE4FC3">
        <w:t xml:space="preserve"> </w:t>
      </w:r>
      <w:r w:rsidRPr="00382917">
        <w:t>pulled</w:t>
      </w:r>
      <w:r w:rsidR="00EE4FC3">
        <w:t xml:space="preserve"> </w:t>
      </w:r>
      <w:r w:rsidRPr="00382917">
        <w:t>him</w:t>
      </w:r>
      <w:r w:rsidR="00EE4FC3">
        <w:t xml:space="preserve"> </w:t>
      </w:r>
      <w:r w:rsidRPr="00382917">
        <w:t>along</w:t>
      </w:r>
      <w:r w:rsidR="00EE4FC3">
        <w:t xml:space="preserve"> </w:t>
      </w:r>
      <w:r w:rsidRPr="00382917">
        <w:t>in</w:t>
      </w:r>
      <w:r w:rsidR="00EE4FC3">
        <w:t xml:space="preserve"> </w:t>
      </w:r>
      <w:r w:rsidRPr="00382917">
        <w:t>front</w:t>
      </w:r>
      <w:r w:rsidR="00EE4FC3">
        <w:t xml:space="preserve"> </w:t>
      </w:r>
      <w:r w:rsidRPr="00382917">
        <w:t>of</w:t>
      </w:r>
      <w:r w:rsidR="00EE4FC3">
        <w:t xml:space="preserve"> </w:t>
      </w:r>
      <w:r w:rsidRPr="00382917">
        <w:t>the</w:t>
      </w:r>
      <w:r w:rsidR="00EE4FC3">
        <w:t xml:space="preserve"> </w:t>
      </w:r>
      <w:r w:rsidRPr="00382917">
        <w:t>crowd</w:t>
      </w:r>
      <w:r w:rsidR="00EE4FC3">
        <w:t xml:space="preserve"> </w:t>
      </w:r>
      <w:r w:rsidRPr="00382917">
        <w:t>by</w:t>
      </w:r>
      <w:r w:rsidR="00EE4FC3">
        <w:t xml:space="preserve"> </w:t>
      </w:r>
      <w:r w:rsidRPr="00382917">
        <w:t>a</w:t>
      </w:r>
      <w:r w:rsidR="00EE4FC3">
        <w:t xml:space="preserve"> </w:t>
      </w:r>
      <w:r w:rsidRPr="00382917">
        <w:t>long</w:t>
      </w:r>
      <w:r w:rsidR="00EE4FC3">
        <w:t xml:space="preserve"> </w:t>
      </w:r>
      <w:r w:rsidRPr="00382917">
        <w:t>rope</w:t>
      </w:r>
      <w:r w:rsidR="00EE4FC3">
        <w:t xml:space="preserve"> </w:t>
      </w:r>
      <w:r w:rsidRPr="00382917">
        <w:t>tied</w:t>
      </w:r>
      <w:r w:rsidR="00EE4FC3">
        <w:t xml:space="preserve"> </w:t>
      </w:r>
      <w:r w:rsidRPr="00382917">
        <w:t>to</w:t>
      </w:r>
      <w:r w:rsidR="00EE4FC3">
        <w:t xml:space="preserve"> </w:t>
      </w:r>
      <w:r w:rsidRPr="00382917">
        <w:t>an</w:t>
      </w:r>
      <w:r w:rsidR="00EE4FC3">
        <w:t xml:space="preserve"> </w:t>
      </w:r>
      <w:r w:rsidRPr="00382917">
        <w:t>iron</w:t>
      </w:r>
      <w:r w:rsidR="00EE4FC3">
        <w:t xml:space="preserve"> </w:t>
      </w:r>
      <w:r w:rsidRPr="00382917">
        <w:t>collar</w:t>
      </w:r>
      <w:r w:rsidR="00EE4FC3">
        <w:t xml:space="preserve"> </w:t>
      </w:r>
      <w:r w:rsidRPr="00382917">
        <w:t>which</w:t>
      </w:r>
      <w:r w:rsidR="00EE4FC3">
        <w:t xml:space="preserve"> </w:t>
      </w:r>
      <w:r w:rsidRPr="00382917">
        <w:t>was</w:t>
      </w:r>
      <w:r w:rsidR="00EE4FC3">
        <w:t xml:space="preserve"> </w:t>
      </w:r>
      <w:r w:rsidRPr="00382917">
        <w:t>fastened</w:t>
      </w:r>
      <w:r w:rsidR="00EE4FC3">
        <w:t xml:space="preserve"> </w:t>
      </w:r>
      <w:r w:rsidRPr="00382917">
        <w:t>about</w:t>
      </w:r>
      <w:r w:rsidR="00EE4FC3">
        <w:t xml:space="preserve"> </w:t>
      </w:r>
      <w:r w:rsidRPr="00382917">
        <w:t>his</w:t>
      </w:r>
      <w:r w:rsidR="00EE4FC3">
        <w:t xml:space="preserve"> </w:t>
      </w:r>
      <w:r w:rsidRPr="00382917">
        <w:t>neck.</w:t>
      </w:r>
      <w:r w:rsidR="00EE4FC3">
        <w:t xml:space="preserve">  </w:t>
      </w:r>
      <w:r w:rsidRPr="00382917">
        <w:t>He</w:t>
      </w:r>
      <w:r w:rsidR="00EE4FC3">
        <w:t xml:space="preserve"> </w:t>
      </w:r>
      <w:r w:rsidRPr="00382917">
        <w:t>was</w:t>
      </w:r>
      <w:r w:rsidR="00EE4FC3">
        <w:t xml:space="preserve"> </w:t>
      </w:r>
      <w:r w:rsidRPr="00382917">
        <w:t>being</w:t>
      </w:r>
      <w:r w:rsidR="00EE4FC3">
        <w:t xml:space="preserve"> </w:t>
      </w:r>
      <w:r w:rsidRPr="00382917">
        <w:t>taken</w:t>
      </w:r>
      <w:r w:rsidR="00EE4FC3">
        <w:t xml:space="preserve"> </w:t>
      </w:r>
      <w:r w:rsidRPr="00382917">
        <w:t>to</w:t>
      </w:r>
      <w:r w:rsidR="00EE4FC3">
        <w:t xml:space="preserve"> </w:t>
      </w:r>
      <w:r w:rsidRPr="00382917">
        <w:t>the</w:t>
      </w:r>
      <w:r w:rsidR="00EE4FC3">
        <w:t xml:space="preserve"> </w:t>
      </w:r>
      <w:r w:rsidRPr="00382917">
        <w:t>authorities</w:t>
      </w:r>
      <w:r w:rsidR="00EE4FC3">
        <w:t xml:space="preserve"> </w:t>
      </w:r>
      <w:r w:rsidRPr="00382917">
        <w:t>so</w:t>
      </w:r>
      <w:r w:rsidR="00EE4FC3">
        <w:t xml:space="preserve"> </w:t>
      </w:r>
      <w:r w:rsidRPr="00382917">
        <w:t>that</w:t>
      </w:r>
      <w:r w:rsidR="00EE4FC3">
        <w:t xml:space="preserve"> </w:t>
      </w:r>
      <w:r w:rsidRPr="00382917">
        <w:t>his</w:t>
      </w:r>
      <w:r w:rsidR="00EE4FC3">
        <w:t xml:space="preserve"> </w:t>
      </w:r>
      <w:r w:rsidRPr="00382917">
        <w:t>death</w:t>
      </w:r>
      <w:r w:rsidR="00EE4FC3">
        <w:t xml:space="preserve"> </w:t>
      </w:r>
      <w:r w:rsidRPr="00382917">
        <w:t>warrant</w:t>
      </w:r>
      <w:r w:rsidR="00EE4FC3">
        <w:t xml:space="preserve"> </w:t>
      </w:r>
      <w:r w:rsidRPr="00382917">
        <w:t>might</w:t>
      </w:r>
      <w:r w:rsidR="00EE4FC3">
        <w:t xml:space="preserve"> </w:t>
      </w:r>
      <w:r w:rsidRPr="00382917">
        <w:t>be</w:t>
      </w:r>
      <w:r w:rsidR="00EE4FC3">
        <w:t xml:space="preserve"> </w:t>
      </w:r>
      <w:r w:rsidRPr="00382917">
        <w:t>signed.</w:t>
      </w:r>
    </w:p>
    <w:p w:rsidR="006579C6" w:rsidRPr="00382917" w:rsidRDefault="006579C6" w:rsidP="00F04416">
      <w:pPr>
        <w:pStyle w:val="Text"/>
      </w:pPr>
      <w:r w:rsidRPr="00382917">
        <w:t>When</w:t>
      </w:r>
      <w:r w:rsidR="00EE4FC3">
        <w:t xml:space="preserve"> </w:t>
      </w:r>
      <w:r w:rsidRPr="00382917">
        <w:t>he</w:t>
      </w:r>
      <w:r w:rsidR="00EE4FC3">
        <w:t xml:space="preserve"> </w:t>
      </w:r>
      <w:r w:rsidRPr="00382917">
        <w:t>faltered</w:t>
      </w:r>
      <w:r w:rsidR="00EE4FC3">
        <w:t xml:space="preserve"> </w:t>
      </w:r>
      <w:r w:rsidRPr="00382917">
        <w:t>in</w:t>
      </w:r>
      <w:r w:rsidR="00EE4FC3">
        <w:t xml:space="preserve"> </w:t>
      </w:r>
      <w:r w:rsidRPr="00382917">
        <w:t>his</w:t>
      </w:r>
      <w:r w:rsidR="00EE4FC3">
        <w:t xml:space="preserve"> </w:t>
      </w:r>
      <w:r w:rsidRPr="00382917">
        <w:t>steps,</w:t>
      </w:r>
      <w:r w:rsidR="00EE4FC3">
        <w:t xml:space="preserve"> </w:t>
      </w:r>
      <w:r w:rsidRPr="00382917">
        <w:t>the</w:t>
      </w:r>
      <w:r w:rsidR="00EE4FC3">
        <w:t xml:space="preserve"> </w:t>
      </w:r>
      <w:r w:rsidRPr="00382917">
        <w:t>guards</w:t>
      </w:r>
      <w:r w:rsidR="00EE4FC3">
        <w:t xml:space="preserve"> </w:t>
      </w:r>
      <w:r w:rsidRPr="00382917">
        <w:t>helped</w:t>
      </w:r>
      <w:r w:rsidR="00EE4FC3">
        <w:t xml:space="preserve"> </w:t>
      </w:r>
      <w:r w:rsidRPr="00382917">
        <w:t>him</w:t>
      </w:r>
      <w:r w:rsidR="00EE4FC3">
        <w:t xml:space="preserve"> </w:t>
      </w:r>
      <w:r w:rsidRPr="00382917">
        <w:t>on</w:t>
      </w:r>
      <w:r w:rsidR="00EE4FC3">
        <w:t xml:space="preserve"> </w:t>
      </w:r>
      <w:r w:rsidRPr="00382917">
        <w:t>his</w:t>
      </w:r>
      <w:r w:rsidR="00EE4FC3">
        <w:t xml:space="preserve"> </w:t>
      </w:r>
      <w:r w:rsidRPr="00382917">
        <w:t>way</w:t>
      </w:r>
      <w:r w:rsidR="00EE4FC3">
        <w:t xml:space="preserve"> </w:t>
      </w:r>
      <w:r w:rsidRPr="00382917">
        <w:t>by</w:t>
      </w:r>
      <w:r w:rsidR="00EE4FC3">
        <w:t xml:space="preserve"> </w:t>
      </w:r>
      <w:r w:rsidRPr="00382917">
        <w:t>jerking</w:t>
      </w:r>
      <w:r w:rsidR="00EE4FC3">
        <w:t xml:space="preserve"> </w:t>
      </w:r>
      <w:r w:rsidRPr="00382917">
        <w:t>savagely</w:t>
      </w:r>
      <w:r w:rsidR="00EE4FC3">
        <w:t xml:space="preserve"> </w:t>
      </w:r>
      <w:r w:rsidRPr="00382917">
        <w:t>on</w:t>
      </w:r>
      <w:r w:rsidR="00EE4FC3">
        <w:t xml:space="preserve"> </w:t>
      </w:r>
      <w:r w:rsidRPr="00382917">
        <w:t>the</w:t>
      </w:r>
      <w:r w:rsidR="00EE4FC3">
        <w:t xml:space="preserve"> </w:t>
      </w:r>
      <w:r w:rsidRPr="00382917">
        <w:t>rope</w:t>
      </w:r>
      <w:r w:rsidR="00EE4FC3">
        <w:t xml:space="preserve"> </w:t>
      </w:r>
      <w:r w:rsidRPr="00382917">
        <w:t>or</w:t>
      </w:r>
      <w:r w:rsidR="00EE4FC3">
        <w:t xml:space="preserve"> </w:t>
      </w:r>
      <w:r w:rsidRPr="00382917">
        <w:t>by</w:t>
      </w:r>
      <w:r w:rsidR="00EE4FC3">
        <w:t xml:space="preserve"> </w:t>
      </w:r>
      <w:r w:rsidRPr="00382917">
        <w:t>planting</w:t>
      </w:r>
      <w:r w:rsidR="00EE4FC3">
        <w:t xml:space="preserve"> </w:t>
      </w:r>
      <w:r w:rsidRPr="00382917">
        <w:t>a</w:t>
      </w:r>
      <w:r w:rsidR="00EE4FC3">
        <w:t xml:space="preserve"> </w:t>
      </w:r>
      <w:r w:rsidRPr="00382917">
        <w:t>well-aimed</w:t>
      </w:r>
      <w:r w:rsidR="00EE4FC3">
        <w:t xml:space="preserve"> </w:t>
      </w:r>
      <w:r w:rsidRPr="00382917">
        <w:t>kick.</w:t>
      </w:r>
      <w:r w:rsidR="00EE4FC3">
        <w:t xml:space="preserve">  </w:t>
      </w:r>
      <w:r w:rsidRPr="00382917">
        <w:t>Occasionally</w:t>
      </w:r>
      <w:r w:rsidR="00EE4FC3">
        <w:t xml:space="preserve"> </w:t>
      </w:r>
      <w:r w:rsidRPr="00382917">
        <w:t>someone</w:t>
      </w:r>
      <w:r w:rsidR="00EE4FC3">
        <w:t xml:space="preserve"> </w:t>
      </w:r>
      <w:r w:rsidRPr="00382917">
        <w:t>would</w:t>
      </w:r>
      <w:r w:rsidR="00EE4FC3">
        <w:t xml:space="preserve"> </w:t>
      </w:r>
      <w:r w:rsidRPr="00382917">
        <w:t>dart</w:t>
      </w:r>
      <w:r w:rsidR="00EE4FC3">
        <w:t xml:space="preserve"> </w:t>
      </w:r>
      <w:r w:rsidRPr="00382917">
        <w:t>out</w:t>
      </w:r>
      <w:r w:rsidR="00EE4FC3">
        <w:t xml:space="preserve"> </w:t>
      </w:r>
      <w:r w:rsidRPr="00382917">
        <w:t>of</w:t>
      </w:r>
      <w:r w:rsidR="00EE4FC3">
        <w:t xml:space="preserve"> </w:t>
      </w:r>
      <w:r w:rsidRPr="00382917">
        <w:t>the</w:t>
      </w:r>
      <w:r w:rsidR="00EE4FC3">
        <w:t xml:space="preserve"> </w:t>
      </w:r>
      <w:r w:rsidRPr="00382917">
        <w:t>crowd,</w:t>
      </w:r>
      <w:r w:rsidR="00EE4FC3">
        <w:t xml:space="preserve"> </w:t>
      </w:r>
      <w:r w:rsidRPr="00382917">
        <w:t>break</w:t>
      </w:r>
    </w:p>
    <w:p w:rsidR="00327433" w:rsidRPr="00382917" w:rsidRDefault="00327433">
      <w:pPr>
        <w:widowControl/>
        <w:kinsoku/>
        <w:overflowPunct/>
        <w:textAlignment w:val="auto"/>
        <w:rPr>
          <w:rFonts w:ascii="Times New Roman" w:eastAsia="Times New Roman" w:hAnsi="Times New Roman"/>
          <w:color w:val="000000"/>
          <w:sz w:val="24"/>
        </w:rPr>
      </w:pPr>
      <w:r w:rsidRPr="00382917">
        <w:rPr>
          <w:rFonts w:ascii="Times New Roman" w:eastAsia="Times New Roman" w:hAnsi="Times New Roman"/>
          <w:color w:val="000000"/>
          <w:sz w:val="24"/>
        </w:rPr>
        <w:br w:type="page"/>
      </w:r>
    </w:p>
    <w:p w:rsidR="006579C6" w:rsidRPr="00382917" w:rsidRDefault="006579C6" w:rsidP="008A073E">
      <w:pPr>
        <w:pStyle w:val="Textcts"/>
      </w:pPr>
      <w:proofErr w:type="gramStart"/>
      <w:r w:rsidRPr="00382917">
        <w:t>through</w:t>
      </w:r>
      <w:proofErr w:type="gramEnd"/>
      <w:r w:rsidR="00EE4FC3">
        <w:t xml:space="preserve"> </w:t>
      </w:r>
      <w:r w:rsidRPr="00382917">
        <w:t>the</w:t>
      </w:r>
      <w:r w:rsidR="00EE4FC3">
        <w:t xml:space="preserve"> </w:t>
      </w:r>
      <w:r w:rsidRPr="00382917">
        <w:t>guards</w:t>
      </w:r>
      <w:r w:rsidR="00EE4FC3">
        <w:t xml:space="preserve"> </w:t>
      </w:r>
      <w:r w:rsidRPr="00382917">
        <w:t>and</w:t>
      </w:r>
      <w:r w:rsidR="00EE4FC3">
        <w:t xml:space="preserve"> </w:t>
      </w:r>
      <w:r w:rsidRPr="00382917">
        <w:t>strike</w:t>
      </w:r>
      <w:r w:rsidR="00EE4FC3">
        <w:t xml:space="preserve"> </w:t>
      </w:r>
      <w:r w:rsidRPr="00382917">
        <w:t>the</w:t>
      </w:r>
      <w:r w:rsidR="00EE4FC3">
        <w:t xml:space="preserve"> </w:t>
      </w:r>
      <w:r w:rsidRPr="00382917">
        <w:t>young</w:t>
      </w:r>
      <w:r w:rsidR="00EE4FC3">
        <w:t xml:space="preserve"> </w:t>
      </w:r>
      <w:r w:rsidRPr="00382917">
        <w:t>man</w:t>
      </w:r>
      <w:r w:rsidR="00EE4FC3">
        <w:t xml:space="preserve"> </w:t>
      </w:r>
      <w:r w:rsidRPr="00382917">
        <w:t>with</w:t>
      </w:r>
      <w:r w:rsidR="00EE4FC3">
        <w:t xml:space="preserve"> </w:t>
      </w:r>
      <w:r w:rsidRPr="00382917">
        <w:t>a</w:t>
      </w:r>
      <w:r w:rsidR="00EE4FC3">
        <w:t xml:space="preserve"> </w:t>
      </w:r>
      <w:r w:rsidRPr="00382917">
        <w:t>fist</w:t>
      </w:r>
      <w:r w:rsidR="00EE4FC3">
        <w:t xml:space="preserve"> </w:t>
      </w:r>
      <w:r w:rsidRPr="00382917">
        <w:t>or</w:t>
      </w:r>
      <w:r w:rsidR="00EE4FC3">
        <w:t xml:space="preserve"> </w:t>
      </w:r>
      <w:r w:rsidRPr="00382917">
        <w:t>a</w:t>
      </w:r>
      <w:r w:rsidR="00EE4FC3">
        <w:t xml:space="preserve"> </w:t>
      </w:r>
      <w:r w:rsidRPr="00382917">
        <w:t>stick.</w:t>
      </w:r>
      <w:r w:rsidR="00EE4FC3">
        <w:t xml:space="preserve">  </w:t>
      </w:r>
      <w:r w:rsidRPr="00382917">
        <w:t>Cheers</w:t>
      </w:r>
      <w:r w:rsidR="00EE4FC3">
        <w:t xml:space="preserve"> </w:t>
      </w:r>
      <w:r w:rsidRPr="00382917">
        <w:t>of</w:t>
      </w:r>
      <w:r w:rsidR="00EE4FC3">
        <w:t xml:space="preserve"> </w:t>
      </w:r>
      <w:r w:rsidRPr="00382917">
        <w:t>pleasure</w:t>
      </w:r>
      <w:r w:rsidR="00EE4FC3">
        <w:t xml:space="preserve"> </w:t>
      </w:r>
      <w:r w:rsidRPr="00382917">
        <w:t>and</w:t>
      </w:r>
      <w:r w:rsidR="00EE4FC3">
        <w:t xml:space="preserve"> </w:t>
      </w:r>
      <w:r w:rsidRPr="00382917">
        <w:t>encouragement</w:t>
      </w:r>
      <w:r w:rsidR="00EE4FC3">
        <w:t xml:space="preserve"> </w:t>
      </w:r>
      <w:r w:rsidRPr="00382917">
        <w:t>accompanied</w:t>
      </w:r>
      <w:r w:rsidR="00EE4FC3">
        <w:t xml:space="preserve"> </w:t>
      </w:r>
      <w:r w:rsidRPr="00382917">
        <w:t>each</w:t>
      </w:r>
      <w:r w:rsidR="00EE4FC3">
        <w:t xml:space="preserve"> </w:t>
      </w:r>
      <w:r w:rsidRPr="00382917">
        <w:t>attacker.</w:t>
      </w:r>
      <w:r w:rsidR="00EE4FC3">
        <w:t xml:space="preserve">  </w:t>
      </w:r>
      <w:r w:rsidRPr="00382917">
        <w:t>When</w:t>
      </w:r>
      <w:r w:rsidR="00EE4FC3">
        <w:t xml:space="preserve"> </w:t>
      </w:r>
      <w:r w:rsidRPr="00382917">
        <w:t>a</w:t>
      </w:r>
      <w:r w:rsidR="00EE4FC3">
        <w:t xml:space="preserve"> </w:t>
      </w:r>
      <w:r w:rsidRPr="00382917">
        <w:t>stone</w:t>
      </w:r>
      <w:r w:rsidR="00EE4FC3">
        <w:t xml:space="preserve"> </w:t>
      </w:r>
      <w:r w:rsidRPr="00382917">
        <w:t>or</w:t>
      </w:r>
      <w:r w:rsidR="00EE4FC3">
        <w:t xml:space="preserve"> </w:t>
      </w:r>
      <w:r w:rsidRPr="00382917">
        <w:t>a</w:t>
      </w:r>
      <w:r w:rsidR="00EE4FC3">
        <w:t xml:space="preserve"> </w:t>
      </w:r>
      <w:r w:rsidRPr="00382917">
        <w:t>piece</w:t>
      </w:r>
      <w:r w:rsidR="00EE4FC3">
        <w:t xml:space="preserve"> </w:t>
      </w:r>
      <w:r w:rsidRPr="00382917">
        <w:t>of</w:t>
      </w:r>
      <w:r w:rsidR="00EE4FC3">
        <w:t xml:space="preserve"> </w:t>
      </w:r>
      <w:r w:rsidRPr="00382917">
        <w:t>refuse</w:t>
      </w:r>
      <w:r w:rsidR="00EE4FC3">
        <w:t xml:space="preserve"> </w:t>
      </w:r>
      <w:r w:rsidRPr="00382917">
        <w:t>hurled</w:t>
      </w:r>
      <w:r w:rsidR="00EE4FC3">
        <w:t xml:space="preserve"> </w:t>
      </w:r>
      <w:r w:rsidRPr="00382917">
        <w:t>from</w:t>
      </w:r>
      <w:r w:rsidR="00EE4FC3">
        <w:t xml:space="preserve"> </w:t>
      </w:r>
      <w:r w:rsidRPr="00382917">
        <w:t>the</w:t>
      </w:r>
      <w:r w:rsidR="00EE4FC3">
        <w:t xml:space="preserve"> </w:t>
      </w:r>
      <w:r w:rsidRPr="00382917">
        <w:t>mob</w:t>
      </w:r>
      <w:r w:rsidR="00EE4FC3">
        <w:t xml:space="preserve"> </w:t>
      </w:r>
      <w:r w:rsidRPr="00382917">
        <w:t>struck</w:t>
      </w:r>
      <w:r w:rsidR="00EE4FC3">
        <w:t xml:space="preserve"> </w:t>
      </w:r>
      <w:r w:rsidRPr="00382917">
        <w:t>the</w:t>
      </w:r>
      <w:r w:rsidR="00EE4FC3">
        <w:t xml:space="preserve"> </w:t>
      </w:r>
      <w:r w:rsidRPr="00382917">
        <w:t>young</w:t>
      </w:r>
      <w:r w:rsidR="00EE4FC3">
        <w:t xml:space="preserve"> </w:t>
      </w:r>
      <w:r w:rsidRPr="00382917">
        <w:t>captive</w:t>
      </w:r>
      <w:r w:rsidR="00EE4FC3">
        <w:t xml:space="preserve"> </w:t>
      </w:r>
      <w:r w:rsidRPr="00382917">
        <w:t>in</w:t>
      </w:r>
      <w:r w:rsidR="00EE4FC3">
        <w:t xml:space="preserve"> </w:t>
      </w:r>
      <w:r w:rsidRPr="00382917">
        <w:t>the</w:t>
      </w:r>
      <w:r w:rsidR="00EE4FC3">
        <w:t xml:space="preserve"> </w:t>
      </w:r>
      <w:r w:rsidRPr="00382917">
        <w:t>face,</w:t>
      </w:r>
      <w:r w:rsidR="00EE4FC3">
        <w:t xml:space="preserve"> </w:t>
      </w:r>
      <w:r w:rsidRPr="00382917">
        <w:t>both</w:t>
      </w:r>
      <w:r w:rsidR="00EE4FC3">
        <w:t xml:space="preserve"> </w:t>
      </w:r>
      <w:r w:rsidRPr="00382917">
        <w:t>the</w:t>
      </w:r>
      <w:r w:rsidR="00EE4FC3">
        <w:t xml:space="preserve"> </w:t>
      </w:r>
      <w:r w:rsidRPr="00382917">
        <w:t>guards</w:t>
      </w:r>
      <w:r w:rsidR="00EE4FC3">
        <w:t xml:space="preserve"> </w:t>
      </w:r>
      <w:r w:rsidRPr="00382917">
        <w:t>and</w:t>
      </w:r>
      <w:r w:rsidR="00EE4FC3">
        <w:t xml:space="preserve"> </w:t>
      </w:r>
      <w:r w:rsidRPr="00382917">
        <w:t>the</w:t>
      </w:r>
      <w:r w:rsidR="00EE4FC3">
        <w:t xml:space="preserve"> </w:t>
      </w:r>
      <w:r w:rsidRPr="00382917">
        <w:t>crowd</w:t>
      </w:r>
      <w:r w:rsidR="00EE4FC3">
        <w:t xml:space="preserve"> </w:t>
      </w:r>
      <w:r w:rsidRPr="00382917">
        <w:t>would</w:t>
      </w:r>
      <w:r w:rsidR="00EE4FC3">
        <w:t xml:space="preserve"> </w:t>
      </w:r>
      <w:r w:rsidRPr="00382917">
        <w:t>burst</w:t>
      </w:r>
      <w:r w:rsidR="00EE4FC3">
        <w:t xml:space="preserve"> </w:t>
      </w:r>
      <w:r w:rsidRPr="00382917">
        <w:t>into</w:t>
      </w:r>
      <w:r w:rsidR="00EE4FC3">
        <w:t xml:space="preserve"> </w:t>
      </w:r>
      <w:r w:rsidRPr="00382917">
        <w:t>laughter.</w:t>
      </w:r>
      <w:r w:rsidR="008A073E" w:rsidRPr="00382917">
        <w:rPr>
          <w:rStyle w:val="FootnoteReference"/>
        </w:rPr>
        <w:footnoteReference w:id="2"/>
      </w:r>
    </w:p>
    <w:p w:rsidR="006579C6" w:rsidRPr="00382917" w:rsidRDefault="009C713D" w:rsidP="00665A7A">
      <w:pPr>
        <w:pStyle w:val="Text"/>
      </w:pPr>
      <w:r w:rsidRPr="00382917">
        <w:t>“</w:t>
      </w:r>
      <w:r w:rsidR="006579C6" w:rsidRPr="00382917">
        <w:t>Rescue</w:t>
      </w:r>
      <w:r w:rsidR="00EE4FC3">
        <w:t xml:space="preserve"> </w:t>
      </w:r>
      <w:r w:rsidR="006579C6" w:rsidRPr="00382917">
        <w:t>yourself,</w:t>
      </w:r>
      <w:r w:rsidR="00EE4FC3">
        <w:t xml:space="preserve"> </w:t>
      </w:r>
      <w:r w:rsidR="00665A7A" w:rsidRPr="00382917">
        <w:t>O</w:t>
      </w:r>
      <w:r w:rsidR="00EE4FC3">
        <w:t xml:space="preserve"> </w:t>
      </w:r>
      <w:r w:rsidR="006579C6" w:rsidRPr="00382917">
        <w:t>great</w:t>
      </w:r>
      <w:r w:rsidR="00EE4FC3">
        <w:t xml:space="preserve"> </w:t>
      </w:r>
      <w:r w:rsidR="006579C6" w:rsidRPr="00382917">
        <w:t>hero!</w:t>
      </w:r>
      <w:r w:rsidRPr="00382917">
        <w:t>”</w:t>
      </w:r>
      <w:r w:rsidR="00EE4FC3">
        <w:t xml:space="preserve"> </w:t>
      </w:r>
      <w:r w:rsidR="006579C6" w:rsidRPr="00382917">
        <w:t>one</w:t>
      </w:r>
      <w:r w:rsidR="00EE4FC3">
        <w:t xml:space="preserve"> </w:t>
      </w:r>
      <w:r w:rsidR="006579C6" w:rsidRPr="00382917">
        <w:t>of</w:t>
      </w:r>
      <w:r w:rsidR="00EE4FC3">
        <w:t xml:space="preserve"> </w:t>
      </w:r>
      <w:r w:rsidR="006579C6" w:rsidRPr="00382917">
        <w:t>the</w:t>
      </w:r>
      <w:r w:rsidR="00EE4FC3">
        <w:t xml:space="preserve"> </w:t>
      </w:r>
      <w:r w:rsidR="006579C6" w:rsidRPr="00382917">
        <w:t>pursuers</w:t>
      </w:r>
      <w:r w:rsidR="00EE4FC3">
        <w:t xml:space="preserve"> </w:t>
      </w:r>
      <w:r w:rsidR="006579C6" w:rsidRPr="00382917">
        <w:t>called</w:t>
      </w:r>
      <w:r w:rsidR="00EE4FC3">
        <w:t xml:space="preserve"> </w:t>
      </w:r>
      <w:r w:rsidR="006579C6" w:rsidRPr="00382917">
        <w:t>mockingly.</w:t>
      </w:r>
      <w:r w:rsidR="00EE4FC3">
        <w:t xml:space="preserve">  </w:t>
      </w:r>
      <w:r w:rsidRPr="00382917">
        <w:t>“</w:t>
      </w:r>
      <w:r w:rsidR="006579C6" w:rsidRPr="00382917">
        <w:t>Break</w:t>
      </w:r>
      <w:r w:rsidR="00EE4FC3">
        <w:t xml:space="preserve"> </w:t>
      </w:r>
      <w:r w:rsidR="006579C6" w:rsidRPr="00382917">
        <w:t>asunder</w:t>
      </w:r>
      <w:r w:rsidR="00EE4FC3">
        <w:t xml:space="preserve"> </w:t>
      </w:r>
      <w:r w:rsidR="006579C6" w:rsidRPr="00382917">
        <w:t>your</w:t>
      </w:r>
      <w:r w:rsidR="00EE4FC3">
        <w:t xml:space="preserve"> </w:t>
      </w:r>
      <w:r w:rsidR="006579C6" w:rsidRPr="00382917">
        <w:t>bonds!</w:t>
      </w:r>
      <w:r w:rsidR="00EE4FC3">
        <w:t xml:space="preserve">  </w:t>
      </w:r>
      <w:r w:rsidR="006579C6" w:rsidRPr="00382917">
        <w:t>Produce</w:t>
      </w:r>
      <w:r w:rsidR="00EE4FC3">
        <w:t xml:space="preserve"> </w:t>
      </w:r>
      <w:r w:rsidR="006579C6" w:rsidRPr="00382917">
        <w:t>for</w:t>
      </w:r>
      <w:r w:rsidR="00EE4FC3">
        <w:t xml:space="preserve"> </w:t>
      </w:r>
      <w:r w:rsidR="006579C6" w:rsidRPr="00382917">
        <w:t>us</w:t>
      </w:r>
      <w:r w:rsidR="00EE4FC3">
        <w:t xml:space="preserve"> </w:t>
      </w:r>
      <w:r w:rsidR="006579C6" w:rsidRPr="00382917">
        <w:t>a</w:t>
      </w:r>
      <w:r w:rsidR="00EE4FC3">
        <w:t xml:space="preserve"> </w:t>
      </w:r>
      <w:r w:rsidR="006579C6" w:rsidRPr="00382917">
        <w:t>miracle!</w:t>
      </w:r>
      <w:r w:rsidRPr="00382917">
        <w:t>”</w:t>
      </w:r>
      <w:r w:rsidR="00EE4FC3">
        <w:t xml:space="preserve">  </w:t>
      </w:r>
      <w:r w:rsidR="006579C6" w:rsidRPr="00382917">
        <w:t>Then</w:t>
      </w:r>
      <w:r w:rsidR="00EE4FC3">
        <w:t xml:space="preserve"> </w:t>
      </w:r>
      <w:r w:rsidR="006579C6" w:rsidRPr="00382917">
        <w:t>he</w:t>
      </w:r>
      <w:r w:rsidR="00EE4FC3">
        <w:t xml:space="preserve"> </w:t>
      </w:r>
      <w:r w:rsidR="006579C6" w:rsidRPr="00382917">
        <w:t>spat</w:t>
      </w:r>
      <w:r w:rsidR="00EE4FC3">
        <w:t xml:space="preserve"> </w:t>
      </w:r>
      <w:r w:rsidR="006579C6" w:rsidRPr="00382917">
        <w:t>in</w:t>
      </w:r>
      <w:r w:rsidR="00EE4FC3">
        <w:t xml:space="preserve"> </w:t>
      </w:r>
      <w:r w:rsidR="006579C6" w:rsidRPr="00382917">
        <w:t>derision</w:t>
      </w:r>
      <w:r w:rsidR="00EE4FC3">
        <w:t xml:space="preserve"> </w:t>
      </w:r>
      <w:r w:rsidR="006579C6" w:rsidRPr="00382917">
        <w:t>at</w:t>
      </w:r>
      <w:r w:rsidR="00EE4FC3">
        <w:t xml:space="preserve"> </w:t>
      </w:r>
      <w:r w:rsidR="006579C6" w:rsidRPr="00382917">
        <w:t>the</w:t>
      </w:r>
      <w:r w:rsidR="00EE4FC3">
        <w:t xml:space="preserve"> </w:t>
      </w:r>
      <w:r w:rsidR="006579C6" w:rsidRPr="00382917">
        <w:t>silent</w:t>
      </w:r>
      <w:r w:rsidR="00EE4FC3">
        <w:t xml:space="preserve"> </w:t>
      </w:r>
      <w:r w:rsidR="006579C6" w:rsidRPr="00382917">
        <w:t>figure.</w:t>
      </w:r>
    </w:p>
    <w:p w:rsidR="006579C6" w:rsidRPr="00382917" w:rsidRDefault="006579C6" w:rsidP="00665A7A">
      <w:pPr>
        <w:pStyle w:val="Text"/>
      </w:pPr>
      <w:r w:rsidRPr="00382917">
        <w:t>The</w:t>
      </w:r>
      <w:r w:rsidR="00EE4FC3">
        <w:t xml:space="preserve"> </w:t>
      </w:r>
      <w:r w:rsidRPr="00382917">
        <w:t>young</w:t>
      </w:r>
      <w:r w:rsidR="00EE4FC3">
        <w:t xml:space="preserve"> </w:t>
      </w:r>
      <w:r w:rsidRPr="00382917">
        <w:t>man</w:t>
      </w:r>
      <w:r w:rsidR="00EE4FC3">
        <w:t xml:space="preserve"> </w:t>
      </w:r>
      <w:r w:rsidRPr="00382917">
        <w:t>was</w:t>
      </w:r>
      <w:r w:rsidR="00EE4FC3">
        <w:t xml:space="preserve"> </w:t>
      </w:r>
      <w:r w:rsidRPr="00382917">
        <w:t>returned</w:t>
      </w:r>
      <w:r w:rsidR="00EE4FC3">
        <w:t xml:space="preserve"> </w:t>
      </w:r>
      <w:r w:rsidRPr="00382917">
        <w:t>to</w:t>
      </w:r>
      <w:r w:rsidR="00EE4FC3">
        <w:t xml:space="preserve"> </w:t>
      </w:r>
      <w:r w:rsidRPr="00382917">
        <w:t>the</w:t>
      </w:r>
      <w:r w:rsidR="00EE4FC3">
        <w:t xml:space="preserve"> </w:t>
      </w:r>
      <w:r w:rsidRPr="00382917">
        <w:t>barracks</w:t>
      </w:r>
      <w:r w:rsidR="00EE4FC3">
        <w:t xml:space="preserve"> </w:t>
      </w:r>
      <w:r w:rsidRPr="00382917">
        <w:t>square,</w:t>
      </w:r>
      <w:r w:rsidR="00EE4FC3">
        <w:t xml:space="preserve"> </w:t>
      </w:r>
      <w:proofErr w:type="gramStart"/>
      <w:r w:rsidRPr="00382917">
        <w:t>then</w:t>
      </w:r>
      <w:proofErr w:type="gramEnd"/>
      <w:r w:rsidR="00EE4FC3">
        <w:t xml:space="preserve"> </w:t>
      </w:r>
      <w:r w:rsidRPr="00382917">
        <w:t>a</w:t>
      </w:r>
      <w:r w:rsidR="00EE4FC3">
        <w:t xml:space="preserve"> </w:t>
      </w:r>
      <w:r w:rsidRPr="00382917">
        <w:t>short</w:t>
      </w:r>
      <w:r w:rsidR="00EE4FC3">
        <w:t xml:space="preserve"> </w:t>
      </w:r>
      <w:r w:rsidRPr="00382917">
        <w:t>time</w:t>
      </w:r>
      <w:r w:rsidR="00EE4FC3">
        <w:t xml:space="preserve"> </w:t>
      </w:r>
      <w:r w:rsidRPr="00382917">
        <w:t>later</w:t>
      </w:r>
      <w:r w:rsidR="00EE4FC3">
        <w:t xml:space="preserve"> </w:t>
      </w:r>
      <w:r w:rsidRPr="00382917">
        <w:t>was</w:t>
      </w:r>
      <w:r w:rsidR="00EE4FC3">
        <w:t xml:space="preserve"> </w:t>
      </w:r>
      <w:r w:rsidRPr="00382917">
        <w:t>led</w:t>
      </w:r>
      <w:r w:rsidR="00EE4FC3">
        <w:t xml:space="preserve"> </w:t>
      </w:r>
      <w:r w:rsidRPr="00382917">
        <w:t>to</w:t>
      </w:r>
      <w:r w:rsidR="00EE4FC3">
        <w:t xml:space="preserve"> </w:t>
      </w:r>
      <w:r w:rsidRPr="00382917">
        <w:t>his</w:t>
      </w:r>
      <w:r w:rsidR="00EE4FC3">
        <w:t xml:space="preserve"> </w:t>
      </w:r>
      <w:r w:rsidRPr="00382917">
        <w:t>place</w:t>
      </w:r>
      <w:r w:rsidR="00EE4FC3">
        <w:t xml:space="preserve"> </w:t>
      </w:r>
      <w:r w:rsidRPr="00382917">
        <w:t>of</w:t>
      </w:r>
      <w:r w:rsidR="00EE4FC3">
        <w:t xml:space="preserve"> </w:t>
      </w:r>
      <w:r w:rsidRPr="00382917">
        <w:t>execution.</w:t>
      </w:r>
      <w:r w:rsidR="00EE4FC3">
        <w:t xml:space="preserve">  </w:t>
      </w:r>
      <w:r w:rsidRPr="00382917">
        <w:t>It</w:t>
      </w:r>
      <w:r w:rsidR="00EE4FC3">
        <w:t xml:space="preserve"> </w:t>
      </w:r>
      <w:r w:rsidRPr="00382917">
        <w:t>was</w:t>
      </w:r>
      <w:r w:rsidR="00EE4FC3">
        <w:t xml:space="preserve"> </w:t>
      </w:r>
      <w:r w:rsidRPr="00382917">
        <w:t>high</w:t>
      </w:r>
      <w:r w:rsidR="00EE4FC3">
        <w:t xml:space="preserve"> </w:t>
      </w:r>
      <w:r w:rsidRPr="00382917">
        <w:t>noon</w:t>
      </w:r>
      <w:r w:rsidR="00EE4FC3">
        <w:t xml:space="preserve"> </w:t>
      </w:r>
      <w:r w:rsidRPr="00382917">
        <w:t>in</w:t>
      </w:r>
      <w:r w:rsidR="00EE4FC3">
        <w:t xml:space="preserve"> </w:t>
      </w:r>
      <w:r w:rsidRPr="00382917">
        <w:t>the</w:t>
      </w:r>
      <w:r w:rsidR="00EE4FC3">
        <w:t xml:space="preserve"> </w:t>
      </w:r>
      <w:r w:rsidRPr="00382917">
        <w:t>public</w:t>
      </w:r>
      <w:r w:rsidR="00EE4FC3">
        <w:t xml:space="preserve"> </w:t>
      </w:r>
      <w:r w:rsidRPr="00382917">
        <w:t>square</w:t>
      </w:r>
      <w:r w:rsidR="00EE4FC3">
        <w:t xml:space="preserve"> </w:t>
      </w:r>
      <w:r w:rsidRPr="00382917">
        <w:t>of</w:t>
      </w:r>
      <w:r w:rsidR="00EE4FC3">
        <w:t xml:space="preserve"> </w:t>
      </w:r>
      <w:r w:rsidRPr="00382917">
        <w:t>a</w:t>
      </w:r>
      <w:r w:rsidR="00EE4FC3">
        <w:t xml:space="preserve"> </w:t>
      </w:r>
      <w:proofErr w:type="spellStart"/>
      <w:r w:rsidRPr="00382917">
        <w:t>sunbaked</w:t>
      </w:r>
      <w:proofErr w:type="spellEnd"/>
      <w:r w:rsidR="00EE4FC3">
        <w:t xml:space="preserve"> </w:t>
      </w:r>
      <w:r w:rsidRPr="00382917">
        <w:t>city.</w:t>
      </w:r>
    </w:p>
    <w:p w:rsidR="006579C6" w:rsidRPr="00382917" w:rsidRDefault="006579C6" w:rsidP="006D18A4">
      <w:pPr>
        <w:pStyle w:val="Text"/>
      </w:pPr>
      <w:r w:rsidRPr="00382917">
        <w:t>The</w:t>
      </w:r>
      <w:r w:rsidR="00EE4FC3">
        <w:t xml:space="preserve"> </w:t>
      </w:r>
      <w:r w:rsidRPr="00382917">
        <w:t>blistering</w:t>
      </w:r>
      <w:r w:rsidR="00EE4FC3">
        <w:t xml:space="preserve"> </w:t>
      </w:r>
      <w:r w:rsidRPr="00382917">
        <w:t>summer</w:t>
      </w:r>
      <w:r w:rsidR="00EE4FC3">
        <w:t xml:space="preserve"> </w:t>
      </w:r>
      <w:r w:rsidRPr="00382917">
        <w:t>sun</w:t>
      </w:r>
      <w:r w:rsidR="00EE4FC3">
        <w:t xml:space="preserve"> </w:t>
      </w:r>
      <w:r w:rsidRPr="00382917">
        <w:t>flashed</w:t>
      </w:r>
      <w:r w:rsidR="00EE4FC3">
        <w:t xml:space="preserve"> </w:t>
      </w:r>
      <w:r w:rsidRPr="00382917">
        <w:t>from</w:t>
      </w:r>
      <w:r w:rsidR="00EE4FC3">
        <w:t xml:space="preserve"> </w:t>
      </w:r>
      <w:r w:rsidRPr="00382917">
        <w:t>the</w:t>
      </w:r>
      <w:r w:rsidR="00EE4FC3">
        <w:t xml:space="preserve"> </w:t>
      </w:r>
      <w:r w:rsidRPr="00382917">
        <w:t>barrels</w:t>
      </w:r>
      <w:r w:rsidR="00EE4FC3">
        <w:t xml:space="preserve"> </w:t>
      </w:r>
      <w:r w:rsidRPr="00382917">
        <w:t>of</w:t>
      </w:r>
      <w:r w:rsidR="00EE4FC3">
        <w:t xml:space="preserve"> </w:t>
      </w:r>
      <w:r w:rsidRPr="00382917">
        <w:t>the</w:t>
      </w:r>
      <w:r w:rsidR="00EE4FC3">
        <w:t xml:space="preserve"> </w:t>
      </w:r>
      <w:r w:rsidRPr="00382917">
        <w:t>raised</w:t>
      </w:r>
      <w:r w:rsidR="00EE4FC3">
        <w:t xml:space="preserve"> </w:t>
      </w:r>
      <w:r w:rsidRPr="00382917">
        <w:t>muskets.</w:t>
      </w:r>
      <w:r w:rsidR="00EE4FC3">
        <w:t xml:space="preserve">  </w:t>
      </w:r>
      <w:r w:rsidRPr="00382917">
        <w:t>The</w:t>
      </w:r>
      <w:r w:rsidR="00EE4FC3">
        <w:t xml:space="preserve"> </w:t>
      </w:r>
      <w:r w:rsidRPr="00382917">
        <w:t>guns</w:t>
      </w:r>
      <w:r w:rsidR="00EE4FC3">
        <w:t xml:space="preserve"> </w:t>
      </w:r>
      <w:r w:rsidRPr="00382917">
        <w:t>were</w:t>
      </w:r>
      <w:r w:rsidR="00EE4FC3">
        <w:t xml:space="preserve"> </w:t>
      </w:r>
      <w:r w:rsidRPr="00382917">
        <w:t>pointed</w:t>
      </w:r>
      <w:r w:rsidR="00EE4FC3">
        <w:t xml:space="preserve"> </w:t>
      </w:r>
      <w:r w:rsidRPr="00382917">
        <w:t>at</w:t>
      </w:r>
      <w:r w:rsidR="00EE4FC3">
        <w:t xml:space="preserve"> </w:t>
      </w:r>
      <w:r w:rsidRPr="00382917">
        <w:t>the</w:t>
      </w:r>
      <w:r w:rsidR="00EE4FC3">
        <w:t xml:space="preserve"> </w:t>
      </w:r>
      <w:r w:rsidRPr="00382917">
        <w:t>young</w:t>
      </w:r>
      <w:r w:rsidR="00EE4FC3">
        <w:t xml:space="preserve"> </w:t>
      </w:r>
      <w:r w:rsidRPr="00382917">
        <w:t>man</w:t>
      </w:r>
      <w:r w:rsidR="009C713D" w:rsidRPr="00382917">
        <w:t>’</w:t>
      </w:r>
      <w:r w:rsidRPr="00382917">
        <w:t>s</w:t>
      </w:r>
      <w:r w:rsidR="00EE4FC3">
        <w:t xml:space="preserve"> </w:t>
      </w:r>
      <w:r w:rsidRPr="00382917">
        <w:t>breast.</w:t>
      </w:r>
      <w:r w:rsidR="00EE4FC3">
        <w:t xml:space="preserve">  </w:t>
      </w:r>
      <w:r w:rsidRPr="00382917">
        <w:t>The</w:t>
      </w:r>
      <w:r w:rsidR="00EE4FC3">
        <w:t xml:space="preserve"> </w:t>
      </w:r>
      <w:r w:rsidRPr="00382917">
        <w:t>soldiers</w:t>
      </w:r>
      <w:r w:rsidR="00EE4FC3">
        <w:t xml:space="preserve"> </w:t>
      </w:r>
      <w:r w:rsidRPr="00382917">
        <w:t>awaited</w:t>
      </w:r>
      <w:r w:rsidR="00EE4FC3">
        <w:t xml:space="preserve"> </w:t>
      </w:r>
      <w:r w:rsidRPr="00382917">
        <w:t>the</w:t>
      </w:r>
      <w:r w:rsidR="00EE4FC3">
        <w:t xml:space="preserve"> </w:t>
      </w:r>
      <w:r w:rsidRPr="00382917">
        <w:t>command</w:t>
      </w:r>
      <w:r w:rsidR="00EE4FC3">
        <w:t xml:space="preserve"> </w:t>
      </w:r>
      <w:r w:rsidRPr="00382917">
        <w:t>to</w:t>
      </w:r>
      <w:r w:rsidR="00EE4FC3">
        <w:t xml:space="preserve"> </w:t>
      </w:r>
      <w:r w:rsidRPr="00382917">
        <w:t>fire</w:t>
      </w:r>
      <w:r w:rsidR="00EE4FC3">
        <w:t xml:space="preserve"> </w:t>
      </w:r>
      <w:r w:rsidRPr="00382917">
        <w:t>and</w:t>
      </w:r>
      <w:r w:rsidR="00EE4FC3">
        <w:t xml:space="preserve"> </w:t>
      </w:r>
      <w:r w:rsidRPr="00382917">
        <w:t>take</w:t>
      </w:r>
      <w:r w:rsidR="00EE4FC3">
        <w:t xml:space="preserve"> </w:t>
      </w:r>
      <w:r w:rsidRPr="00382917">
        <w:t>his</w:t>
      </w:r>
      <w:r w:rsidR="00EE4FC3">
        <w:t xml:space="preserve"> </w:t>
      </w:r>
      <w:r w:rsidRPr="00382917">
        <w:t>life.</w:t>
      </w:r>
    </w:p>
    <w:p w:rsidR="006579C6" w:rsidRPr="00382917" w:rsidRDefault="006579C6" w:rsidP="006D18A4">
      <w:pPr>
        <w:pStyle w:val="Text"/>
      </w:pPr>
      <w:r w:rsidRPr="00382917">
        <w:t>Great</w:t>
      </w:r>
      <w:r w:rsidR="00EE4FC3">
        <w:t xml:space="preserve"> </w:t>
      </w:r>
      <w:r w:rsidRPr="00382917">
        <w:t>crowds</w:t>
      </w:r>
      <w:r w:rsidR="00EE4FC3">
        <w:t xml:space="preserve"> </w:t>
      </w:r>
      <w:r w:rsidRPr="00382917">
        <w:t>were</w:t>
      </w:r>
      <w:r w:rsidR="00EE4FC3">
        <w:t xml:space="preserve"> </w:t>
      </w:r>
      <w:r w:rsidRPr="00382917">
        <w:t>still</w:t>
      </w:r>
      <w:r w:rsidR="00EE4FC3">
        <w:t xml:space="preserve"> </w:t>
      </w:r>
      <w:r w:rsidRPr="00382917">
        <w:t>pouring</w:t>
      </w:r>
      <w:r w:rsidR="00EE4FC3">
        <w:t xml:space="preserve"> </w:t>
      </w:r>
      <w:r w:rsidRPr="00382917">
        <w:t>into</w:t>
      </w:r>
      <w:r w:rsidR="00EE4FC3">
        <w:t xml:space="preserve"> </w:t>
      </w:r>
      <w:r w:rsidRPr="00382917">
        <w:t>the</w:t>
      </w:r>
      <w:r w:rsidR="00EE4FC3">
        <w:t xml:space="preserve"> </w:t>
      </w:r>
      <w:r w:rsidRPr="00382917">
        <w:t>public</w:t>
      </w:r>
      <w:r w:rsidR="00EE4FC3">
        <w:t xml:space="preserve"> </w:t>
      </w:r>
      <w:r w:rsidRPr="00382917">
        <w:t>square.</w:t>
      </w:r>
      <w:r w:rsidR="00EE4FC3">
        <w:t xml:space="preserve">  </w:t>
      </w:r>
      <w:r w:rsidRPr="00382917">
        <w:t>Thousands</w:t>
      </w:r>
      <w:r w:rsidR="00EE4FC3">
        <w:t xml:space="preserve"> </w:t>
      </w:r>
      <w:r w:rsidRPr="00382917">
        <w:t>swarmed</w:t>
      </w:r>
      <w:r w:rsidR="00EE4FC3">
        <w:t xml:space="preserve"> </w:t>
      </w:r>
      <w:r w:rsidRPr="00382917">
        <w:t>along</w:t>
      </w:r>
      <w:r w:rsidR="00EE4FC3">
        <w:t xml:space="preserve"> </w:t>
      </w:r>
      <w:r w:rsidRPr="00382917">
        <w:t>the</w:t>
      </w:r>
      <w:r w:rsidR="00EE4FC3">
        <w:t xml:space="preserve"> </w:t>
      </w:r>
      <w:r w:rsidRPr="00382917">
        <w:t>adjoining</w:t>
      </w:r>
      <w:r w:rsidR="00EE4FC3">
        <w:t xml:space="preserve"> </w:t>
      </w:r>
      <w:r w:rsidRPr="00382917">
        <w:t>rooftops</w:t>
      </w:r>
      <w:r w:rsidR="00EE4FC3">
        <w:t xml:space="preserve"> </w:t>
      </w:r>
      <w:r w:rsidRPr="00382917">
        <w:t>overlooking</w:t>
      </w:r>
      <w:r w:rsidR="00EE4FC3">
        <w:t xml:space="preserve"> </w:t>
      </w:r>
      <w:r w:rsidRPr="00382917">
        <w:t>the</w:t>
      </w:r>
      <w:r w:rsidR="00EE4FC3">
        <w:t xml:space="preserve"> </w:t>
      </w:r>
      <w:r w:rsidRPr="00382917">
        <w:t>scene</w:t>
      </w:r>
      <w:r w:rsidR="00EE4FC3">
        <w:t xml:space="preserve"> </w:t>
      </w:r>
      <w:r w:rsidRPr="00382917">
        <w:t>of</w:t>
      </w:r>
      <w:r w:rsidR="00EE4FC3">
        <w:t xml:space="preserve"> </w:t>
      </w:r>
      <w:r w:rsidRPr="00382917">
        <w:t>death.</w:t>
      </w:r>
      <w:r w:rsidR="00EE4FC3">
        <w:t xml:space="preserve">  </w:t>
      </w:r>
      <w:r w:rsidRPr="00382917">
        <w:t>They</w:t>
      </w:r>
      <w:r w:rsidR="00EE4FC3">
        <w:t xml:space="preserve"> </w:t>
      </w:r>
      <w:r w:rsidRPr="00382917">
        <w:t>were</w:t>
      </w:r>
      <w:r w:rsidR="00EE4FC3">
        <w:t xml:space="preserve"> </w:t>
      </w:r>
      <w:r w:rsidRPr="00382917">
        <w:t>all</w:t>
      </w:r>
      <w:r w:rsidR="00EE4FC3">
        <w:t xml:space="preserve"> </w:t>
      </w:r>
      <w:r w:rsidRPr="00382917">
        <w:t>hungry</w:t>
      </w:r>
      <w:r w:rsidR="00EE4FC3">
        <w:t xml:space="preserve"> </w:t>
      </w:r>
      <w:r w:rsidRPr="00382917">
        <w:t>for</w:t>
      </w:r>
      <w:r w:rsidR="00EE4FC3">
        <w:t xml:space="preserve"> </w:t>
      </w:r>
      <w:r w:rsidRPr="00382917">
        <w:t>one</w:t>
      </w:r>
      <w:r w:rsidR="00EE4FC3">
        <w:t xml:space="preserve"> </w:t>
      </w:r>
      <w:r w:rsidRPr="00382917">
        <w:t>last</w:t>
      </w:r>
      <w:r w:rsidR="00EE4FC3">
        <w:t xml:space="preserve"> </w:t>
      </w:r>
      <w:r w:rsidRPr="00382917">
        <w:t>look</w:t>
      </w:r>
      <w:r w:rsidR="00EE4FC3">
        <w:t xml:space="preserve"> </w:t>
      </w:r>
      <w:r w:rsidRPr="00382917">
        <w:t>at</w:t>
      </w:r>
      <w:r w:rsidR="00EE4FC3">
        <w:t xml:space="preserve"> </w:t>
      </w:r>
      <w:r w:rsidRPr="00382917">
        <w:t>this</w:t>
      </w:r>
      <w:r w:rsidR="00EE4FC3">
        <w:t xml:space="preserve"> </w:t>
      </w:r>
      <w:r w:rsidRPr="00382917">
        <w:t>strange</w:t>
      </w:r>
      <w:r w:rsidR="00EE4FC3">
        <w:t xml:space="preserve"> </w:t>
      </w:r>
      <w:r w:rsidRPr="00382917">
        <w:t>young</w:t>
      </w:r>
      <w:r w:rsidR="00EE4FC3">
        <w:t xml:space="preserve"> </w:t>
      </w:r>
      <w:r w:rsidRPr="00382917">
        <w:t>man</w:t>
      </w:r>
      <w:r w:rsidR="00EE4FC3">
        <w:t xml:space="preserve"> </w:t>
      </w:r>
      <w:r w:rsidRPr="00382917">
        <w:t>who</w:t>
      </w:r>
      <w:r w:rsidR="00EE4FC3">
        <w:t xml:space="preserve"> </w:t>
      </w:r>
      <w:r w:rsidRPr="00382917">
        <w:t>had</w:t>
      </w:r>
      <w:r w:rsidR="00EE4FC3">
        <w:t xml:space="preserve"> </w:t>
      </w:r>
      <w:r w:rsidRPr="00382917">
        <w:t>so</w:t>
      </w:r>
      <w:r w:rsidR="00EE4FC3">
        <w:t xml:space="preserve"> </w:t>
      </w:r>
      <w:r w:rsidRPr="00382917">
        <w:t>troubled</w:t>
      </w:r>
      <w:r w:rsidR="00EE4FC3">
        <w:t xml:space="preserve"> </w:t>
      </w:r>
      <w:r w:rsidRPr="00382917">
        <w:t>their</w:t>
      </w:r>
      <w:r w:rsidR="00EE4FC3">
        <w:t xml:space="preserve"> </w:t>
      </w:r>
      <w:r w:rsidRPr="00382917">
        <w:t>country.</w:t>
      </w:r>
      <w:r w:rsidR="00EE4FC3">
        <w:t xml:space="preserve">  </w:t>
      </w:r>
      <w:r w:rsidRPr="00382917">
        <w:t>He</w:t>
      </w:r>
      <w:r w:rsidR="00EE4FC3">
        <w:t xml:space="preserve"> </w:t>
      </w:r>
      <w:r w:rsidRPr="00382917">
        <w:t>was</w:t>
      </w:r>
      <w:r w:rsidR="00EE4FC3">
        <w:t xml:space="preserve"> </w:t>
      </w:r>
      <w:r w:rsidRPr="00382917">
        <w:t>either</w:t>
      </w:r>
      <w:r w:rsidR="00EE4FC3">
        <w:t xml:space="preserve"> </w:t>
      </w:r>
      <w:r w:rsidRPr="00382917">
        <w:t>good</w:t>
      </w:r>
      <w:r w:rsidR="00EE4FC3">
        <w:t xml:space="preserve"> </w:t>
      </w:r>
      <w:r w:rsidRPr="00382917">
        <w:t>or</w:t>
      </w:r>
      <w:r w:rsidR="00EE4FC3">
        <w:t xml:space="preserve"> </w:t>
      </w:r>
      <w:r w:rsidRPr="00382917">
        <w:t>evil,</w:t>
      </w:r>
      <w:r w:rsidR="00EE4FC3">
        <w:t xml:space="preserve"> </w:t>
      </w:r>
      <w:r w:rsidRPr="00382917">
        <w:t>and</w:t>
      </w:r>
      <w:r w:rsidR="00EE4FC3">
        <w:t xml:space="preserve"> </w:t>
      </w:r>
      <w:r w:rsidRPr="00382917">
        <w:t>they</w:t>
      </w:r>
      <w:r w:rsidR="00EE4FC3">
        <w:t xml:space="preserve"> </w:t>
      </w:r>
      <w:r w:rsidRPr="00382917">
        <w:t>were</w:t>
      </w:r>
      <w:r w:rsidR="00EE4FC3">
        <w:t xml:space="preserve"> </w:t>
      </w:r>
      <w:r w:rsidRPr="00382917">
        <w:t>not</w:t>
      </w:r>
      <w:r w:rsidR="00EE4FC3">
        <w:t xml:space="preserve"> </w:t>
      </w:r>
      <w:r w:rsidRPr="00382917">
        <w:t>sure</w:t>
      </w:r>
      <w:r w:rsidR="00EE4FC3">
        <w:t xml:space="preserve"> </w:t>
      </w:r>
      <w:r w:rsidRPr="00382917">
        <w:t>which.</w:t>
      </w:r>
    </w:p>
    <w:p w:rsidR="006579C6" w:rsidRPr="00382917" w:rsidRDefault="006579C6" w:rsidP="006D18A4">
      <w:pPr>
        <w:pStyle w:val="Text"/>
      </w:pPr>
      <w:r w:rsidRPr="00382917">
        <w:t>He</w:t>
      </w:r>
      <w:r w:rsidR="00EE4FC3">
        <w:t xml:space="preserve"> </w:t>
      </w:r>
      <w:r w:rsidRPr="00382917">
        <w:t>seemed</w:t>
      </w:r>
      <w:r w:rsidR="00EE4FC3">
        <w:t xml:space="preserve"> </w:t>
      </w:r>
      <w:r w:rsidRPr="00382917">
        <w:t>so</w:t>
      </w:r>
      <w:r w:rsidR="00EE4FC3">
        <w:t xml:space="preserve"> </w:t>
      </w:r>
      <w:r w:rsidRPr="00382917">
        <w:t>young</w:t>
      </w:r>
      <w:r w:rsidR="00EE4FC3">
        <w:t xml:space="preserve"> </w:t>
      </w:r>
      <w:r w:rsidRPr="00382917">
        <w:t>to</w:t>
      </w:r>
      <w:r w:rsidR="00EE4FC3">
        <w:t xml:space="preserve"> </w:t>
      </w:r>
      <w:r w:rsidRPr="00382917">
        <w:t>die,</w:t>
      </w:r>
      <w:r w:rsidR="00EE4FC3">
        <w:t xml:space="preserve"> </w:t>
      </w:r>
      <w:r w:rsidRPr="00382917">
        <w:t>barely</w:t>
      </w:r>
      <w:r w:rsidR="00EE4FC3">
        <w:t xml:space="preserve"> </w:t>
      </w:r>
      <w:r w:rsidRPr="00382917">
        <w:t>thirty.</w:t>
      </w:r>
      <w:r w:rsidR="00EE4FC3">
        <w:t xml:space="preserve">  </w:t>
      </w:r>
      <w:r w:rsidRPr="00382917">
        <w:t>Now</w:t>
      </w:r>
      <w:r w:rsidR="00EE4FC3">
        <w:t xml:space="preserve"> </w:t>
      </w:r>
      <w:r w:rsidRPr="00382917">
        <w:t>that</w:t>
      </w:r>
      <w:r w:rsidR="00EE4FC3">
        <w:t xml:space="preserve"> </w:t>
      </w:r>
      <w:r w:rsidRPr="00382917">
        <w:t>the</w:t>
      </w:r>
      <w:r w:rsidR="00EE4FC3">
        <w:t xml:space="preserve"> </w:t>
      </w:r>
      <w:r w:rsidRPr="00382917">
        <w:t>end</w:t>
      </w:r>
      <w:r w:rsidR="00EE4FC3">
        <w:t xml:space="preserve"> </w:t>
      </w:r>
      <w:r w:rsidRPr="00382917">
        <w:t>had</w:t>
      </w:r>
      <w:r w:rsidR="00EE4FC3">
        <w:t xml:space="preserve"> </w:t>
      </w:r>
      <w:r w:rsidRPr="00382917">
        <w:t>come,</w:t>
      </w:r>
      <w:r w:rsidR="00EE4FC3">
        <w:t xml:space="preserve"> </w:t>
      </w:r>
      <w:r w:rsidRPr="00382917">
        <w:t>this</w:t>
      </w:r>
      <w:r w:rsidR="00EE4FC3">
        <w:t xml:space="preserve"> </w:t>
      </w:r>
      <w:r w:rsidRPr="00382917">
        <w:t>victim</w:t>
      </w:r>
      <w:r w:rsidR="00EE4FC3">
        <w:t xml:space="preserve"> </w:t>
      </w:r>
      <w:r w:rsidRPr="00382917">
        <w:t>of</w:t>
      </w:r>
      <w:r w:rsidR="00EE4FC3">
        <w:t xml:space="preserve"> </w:t>
      </w:r>
      <w:r w:rsidRPr="00382917">
        <w:t>all</w:t>
      </w:r>
      <w:r w:rsidR="00EE4FC3">
        <w:t xml:space="preserve"> </w:t>
      </w:r>
      <w:r w:rsidRPr="00382917">
        <w:t>their</w:t>
      </w:r>
      <w:r w:rsidR="00EE4FC3">
        <w:t xml:space="preserve"> </w:t>
      </w:r>
      <w:r w:rsidRPr="00382917">
        <w:t>hatred</w:t>
      </w:r>
      <w:r w:rsidR="00EE4FC3">
        <w:t xml:space="preserve"> </w:t>
      </w:r>
      <w:r w:rsidRPr="00382917">
        <w:t>did</w:t>
      </w:r>
      <w:r w:rsidR="00EE4FC3">
        <w:t xml:space="preserve"> </w:t>
      </w:r>
      <w:r w:rsidRPr="00382917">
        <w:t>not</w:t>
      </w:r>
      <w:r w:rsidR="00EE4FC3">
        <w:t xml:space="preserve"> </w:t>
      </w:r>
      <w:r w:rsidRPr="00382917">
        <w:t>seem</w:t>
      </w:r>
      <w:r w:rsidR="00EE4FC3">
        <w:t xml:space="preserve"> </w:t>
      </w:r>
      <w:r w:rsidRPr="00382917">
        <w:t>dangerous</w:t>
      </w:r>
      <w:r w:rsidR="00EE4FC3">
        <w:t xml:space="preserve"> </w:t>
      </w:r>
      <w:r w:rsidRPr="00382917">
        <w:t>at</w:t>
      </w:r>
      <w:r w:rsidR="00EE4FC3">
        <w:t xml:space="preserve"> </w:t>
      </w:r>
      <w:r w:rsidRPr="00382917">
        <w:t>all.</w:t>
      </w:r>
      <w:r w:rsidR="00EE4FC3">
        <w:t xml:space="preserve">  </w:t>
      </w:r>
      <w:r w:rsidRPr="00382917">
        <w:t>He</w:t>
      </w:r>
      <w:r w:rsidR="00EE4FC3">
        <w:t xml:space="preserve"> </w:t>
      </w:r>
      <w:r w:rsidRPr="00382917">
        <w:t>appeared</w:t>
      </w:r>
      <w:r w:rsidR="00EE4FC3">
        <w:t xml:space="preserve"> </w:t>
      </w:r>
      <w:r w:rsidRPr="00382917">
        <w:t>helpless</w:t>
      </w:r>
      <w:r w:rsidR="00EE4FC3">
        <w:t xml:space="preserve"> </w:t>
      </w:r>
      <w:r w:rsidRPr="00382917">
        <w:t>and</w:t>
      </w:r>
      <w:r w:rsidR="00EE4FC3">
        <w:t xml:space="preserve"> </w:t>
      </w:r>
      <w:r w:rsidRPr="00382917">
        <w:t>gentle,</w:t>
      </w:r>
      <w:r w:rsidR="00EE4FC3">
        <w:t xml:space="preserve"> </w:t>
      </w:r>
      <w:r w:rsidRPr="00382917">
        <w:t>yet</w:t>
      </w:r>
      <w:r w:rsidR="00EE4FC3">
        <w:t xml:space="preserve"> </w:t>
      </w:r>
      <w:r w:rsidRPr="00382917">
        <w:t>confident</w:t>
      </w:r>
      <w:r w:rsidR="00EE4FC3">
        <w:t xml:space="preserve"> </w:t>
      </w:r>
      <w:r w:rsidRPr="00382917">
        <w:t>and</w:t>
      </w:r>
      <w:r w:rsidR="00EE4FC3">
        <w:t xml:space="preserve"> </w:t>
      </w:r>
      <w:r w:rsidRPr="00382917">
        <w:t>handsome.</w:t>
      </w:r>
      <w:r w:rsidR="00EE4FC3">
        <w:t xml:space="preserve">  </w:t>
      </w:r>
      <w:r w:rsidRPr="00382917">
        <w:t>There</w:t>
      </w:r>
      <w:r w:rsidR="00EE4FC3">
        <w:t xml:space="preserve"> </w:t>
      </w:r>
      <w:r w:rsidRPr="00382917">
        <w:t>was</w:t>
      </w:r>
      <w:r w:rsidR="00EE4FC3">
        <w:t xml:space="preserve"> </w:t>
      </w:r>
      <w:r w:rsidRPr="00382917">
        <w:t>a</w:t>
      </w:r>
      <w:r w:rsidR="00EE4FC3">
        <w:t xml:space="preserve"> </w:t>
      </w:r>
      <w:r w:rsidRPr="00382917">
        <w:t>look</w:t>
      </w:r>
      <w:r w:rsidR="00EE4FC3">
        <w:t xml:space="preserve"> </w:t>
      </w:r>
      <w:r w:rsidRPr="00382917">
        <w:t>of</w:t>
      </w:r>
      <w:r w:rsidR="00EE4FC3">
        <w:t xml:space="preserve"> </w:t>
      </w:r>
      <w:r w:rsidRPr="00382917">
        <w:t>contentment,</w:t>
      </w:r>
      <w:r w:rsidR="00EE4FC3">
        <w:t xml:space="preserve"> </w:t>
      </w:r>
      <w:r w:rsidRPr="00382917">
        <w:t>even</w:t>
      </w:r>
      <w:r w:rsidR="00EE4FC3">
        <w:t xml:space="preserve"> </w:t>
      </w:r>
      <w:r w:rsidRPr="00382917">
        <w:t>of</w:t>
      </w:r>
      <w:r w:rsidR="00EE4FC3">
        <w:t xml:space="preserve"> </w:t>
      </w:r>
      <w:r w:rsidRPr="00382917">
        <w:t>eagerness,</w:t>
      </w:r>
      <w:r w:rsidR="00EE4FC3">
        <w:t xml:space="preserve"> </w:t>
      </w:r>
      <w:r w:rsidRPr="00382917">
        <w:t>on</w:t>
      </w:r>
      <w:r w:rsidR="00EE4FC3">
        <w:t xml:space="preserve"> </w:t>
      </w:r>
      <w:r w:rsidRPr="00382917">
        <w:t>his</w:t>
      </w:r>
      <w:r w:rsidR="00EE4FC3">
        <w:t xml:space="preserve"> </w:t>
      </w:r>
      <w:r w:rsidRPr="00382917">
        <w:t>face</w:t>
      </w:r>
      <w:r w:rsidR="00EE4FC3">
        <w:t xml:space="preserve"> </w:t>
      </w:r>
      <w:r w:rsidRPr="00382917">
        <w:t>as</w:t>
      </w:r>
      <w:r w:rsidR="00EE4FC3">
        <w:t xml:space="preserve"> </w:t>
      </w:r>
      <w:r w:rsidRPr="00382917">
        <w:t>he</w:t>
      </w:r>
      <w:r w:rsidR="00EE4FC3">
        <w:t xml:space="preserve"> </w:t>
      </w:r>
      <w:r w:rsidRPr="00382917">
        <w:t>gazed</w:t>
      </w:r>
      <w:r w:rsidR="00EE4FC3">
        <w:t xml:space="preserve"> </w:t>
      </w:r>
      <w:r w:rsidRPr="00382917">
        <w:t>calmly</w:t>
      </w:r>
      <w:r w:rsidR="00EE4FC3">
        <w:t xml:space="preserve"> </w:t>
      </w:r>
      <w:r w:rsidRPr="00382917">
        <w:t>into</w:t>
      </w:r>
      <w:r w:rsidR="00EE4FC3">
        <w:t xml:space="preserve"> </w:t>
      </w:r>
      <w:r w:rsidRPr="00382917">
        <w:t>the</w:t>
      </w:r>
      <w:r w:rsidR="00EE4FC3">
        <w:t xml:space="preserve"> </w:t>
      </w:r>
      <w:r w:rsidRPr="00382917">
        <w:t>hostile</w:t>
      </w:r>
      <w:r w:rsidR="00EE4FC3">
        <w:t xml:space="preserve"> </w:t>
      </w:r>
      <w:r w:rsidRPr="00382917">
        <w:t>barrels</w:t>
      </w:r>
      <w:r w:rsidR="00EE4FC3">
        <w:t xml:space="preserve"> </w:t>
      </w:r>
      <w:r w:rsidRPr="00382917">
        <w:t>of</w:t>
      </w:r>
      <w:r w:rsidR="00EE4FC3">
        <w:t xml:space="preserve"> </w:t>
      </w:r>
      <w:r w:rsidRPr="00382917">
        <w:t>seven</w:t>
      </w:r>
      <w:r w:rsidR="00EE4FC3">
        <w:t xml:space="preserve"> </w:t>
      </w:r>
      <w:r w:rsidRPr="00382917">
        <w:t>hundred</w:t>
      </w:r>
      <w:r w:rsidR="00EE4FC3">
        <w:t xml:space="preserve"> </w:t>
      </w:r>
      <w:r w:rsidRPr="00382917">
        <w:t>and</w:t>
      </w:r>
      <w:r w:rsidR="00EE4FC3">
        <w:t xml:space="preserve"> </w:t>
      </w:r>
      <w:r w:rsidRPr="00382917">
        <w:t>fifty</w:t>
      </w:r>
      <w:r w:rsidR="00EE4FC3">
        <w:t xml:space="preserve"> </w:t>
      </w:r>
      <w:r w:rsidRPr="00382917">
        <w:t>cocked</w:t>
      </w:r>
      <w:r w:rsidR="00EE4FC3">
        <w:t xml:space="preserve"> </w:t>
      </w:r>
      <w:r w:rsidRPr="00382917">
        <w:t>rifles.</w:t>
      </w:r>
    </w:p>
    <w:p w:rsidR="00327433" w:rsidRPr="00382917" w:rsidRDefault="00327433" w:rsidP="006579C6">
      <w:pPr>
        <w:rPr>
          <w:rFonts w:ascii="Times New Roman" w:eastAsia="Times New Roman" w:hAnsi="Times New Roman"/>
          <w:color w:val="000000"/>
          <w:sz w:val="24"/>
        </w:rPr>
      </w:pPr>
    </w:p>
    <w:p w:rsidR="00327433" w:rsidRPr="00382917" w:rsidRDefault="00327433" w:rsidP="006579C6">
      <w:pPr>
        <w:rPr>
          <w:rFonts w:ascii="Times New Roman" w:eastAsia="Times New Roman" w:hAnsi="Times New Roman"/>
          <w:color w:val="000000"/>
          <w:sz w:val="24"/>
        </w:rPr>
        <w:sectPr w:rsidR="00327433" w:rsidRPr="00382917" w:rsidSect="009073C7">
          <w:footerReference w:type="first" r:id="rId16"/>
          <w:footnotePr>
            <w:numRestart w:val="eachPage"/>
          </w:footnotePr>
          <w:type w:val="oddPage"/>
          <w:pgSz w:w="8618" w:h="12984" w:code="188"/>
          <w:pgMar w:top="720" w:right="720" w:bottom="720" w:left="720" w:header="720" w:footer="567" w:gutter="357"/>
          <w:pgNumType w:start="1"/>
          <w:cols w:space="708"/>
          <w:noEndnote/>
          <w:titlePg/>
          <w:docGrid w:linePitch="272"/>
        </w:sectPr>
      </w:pPr>
    </w:p>
    <w:p w:rsidR="00327433" w:rsidRPr="00382917" w:rsidRDefault="004F549C" w:rsidP="004F549C">
      <w:pPr>
        <w:rPr>
          <w:rFonts w:ascii="Times New Roman" w:eastAsia="Times New Roman" w:hAnsi="Times New Roman"/>
          <w:color w:val="000000"/>
          <w:sz w:val="24"/>
        </w:rPr>
      </w:pPr>
      <w:r w:rsidRPr="00382917">
        <w:rPr>
          <w:sz w:val="12"/>
          <w:szCs w:val="12"/>
        </w:rPr>
        <w:fldChar w:fldCharType="begin"/>
      </w:r>
      <w:r w:rsidR="00EE4FC3">
        <w:rPr>
          <w:sz w:val="12"/>
          <w:szCs w:val="12"/>
        </w:rPr>
        <w:instrText xml:space="preserve"> </w:instrText>
      </w:r>
      <w:proofErr w:type="gramStart"/>
      <w:r w:rsidRPr="00382917">
        <w:rPr>
          <w:sz w:val="12"/>
          <w:szCs w:val="12"/>
        </w:rPr>
        <w:instrText>TC</w:instrText>
      </w:r>
      <w:r w:rsidR="00EE4FC3">
        <w:rPr>
          <w:sz w:val="12"/>
          <w:szCs w:val="12"/>
        </w:rPr>
        <w:instrText xml:space="preserve">  </w:instrText>
      </w:r>
      <w:r w:rsidRPr="00382917">
        <w:rPr>
          <w:sz w:val="12"/>
          <w:szCs w:val="12"/>
        </w:rPr>
        <w:instrText>“</w:instrText>
      </w:r>
      <w:bookmarkStart w:id="3" w:name="_Toc206658599"/>
      <w:proofErr w:type="gramEnd"/>
      <w:r>
        <w:rPr>
          <w:sz w:val="12"/>
          <w:szCs w:val="12"/>
        </w:rPr>
        <w:tab/>
        <w:instrText>1.</w:instrText>
      </w:r>
      <w:r>
        <w:rPr>
          <w:sz w:val="12"/>
          <w:szCs w:val="12"/>
        </w:rPr>
        <w:tab/>
      </w:r>
      <w:r w:rsidRPr="004F549C">
        <w:rPr>
          <w:sz w:val="12"/>
          <w:szCs w:val="12"/>
        </w:rPr>
        <w:instrText>The</w:instrText>
      </w:r>
      <w:r w:rsidR="00EE4FC3">
        <w:rPr>
          <w:sz w:val="12"/>
          <w:szCs w:val="12"/>
        </w:rPr>
        <w:instrText xml:space="preserve"> </w:instrText>
      </w:r>
      <w:r w:rsidRPr="004F549C">
        <w:rPr>
          <w:sz w:val="12"/>
          <w:szCs w:val="12"/>
        </w:rPr>
        <w:instrText>promise</w:instrText>
      </w:r>
      <w:r w:rsidR="00EE4FC3">
        <w:rPr>
          <w:sz w:val="12"/>
          <w:szCs w:val="12"/>
        </w:rPr>
        <w:instrText xml:space="preserve"> </w:instrText>
      </w:r>
      <w:r w:rsidRPr="004F549C">
        <w:rPr>
          <w:sz w:val="12"/>
          <w:szCs w:val="12"/>
        </w:rPr>
        <w:instrText>of</w:instrText>
      </w:r>
      <w:r w:rsidR="00EE4FC3">
        <w:rPr>
          <w:sz w:val="12"/>
          <w:szCs w:val="12"/>
        </w:rPr>
        <w:instrText xml:space="preserve"> </w:instrText>
      </w:r>
      <w:r w:rsidRPr="004F549C">
        <w:rPr>
          <w:sz w:val="12"/>
          <w:szCs w:val="12"/>
        </w:rPr>
        <w:instrText>the</w:instrText>
      </w:r>
      <w:r w:rsidR="00EE4FC3">
        <w:rPr>
          <w:sz w:val="12"/>
          <w:szCs w:val="12"/>
        </w:rPr>
        <w:instrText xml:space="preserve"> </w:instrText>
      </w:r>
      <w:r w:rsidRPr="004F549C">
        <w:rPr>
          <w:sz w:val="12"/>
          <w:szCs w:val="12"/>
        </w:rPr>
        <w:instrText>Messiah</w:instrText>
      </w:r>
      <w:proofErr w:type="gramStart"/>
      <w:r w:rsidRPr="00382917">
        <w:rPr>
          <w:color w:val="FFFFFF" w:themeColor="background1"/>
          <w:sz w:val="12"/>
          <w:szCs w:val="12"/>
        </w:rPr>
        <w:instrText>..</w:instrText>
      </w:r>
      <w:proofErr w:type="gramEnd"/>
      <w:r w:rsidRPr="00382917">
        <w:rPr>
          <w:sz w:val="12"/>
          <w:szCs w:val="12"/>
        </w:rPr>
        <w:tab/>
      </w:r>
      <w:r w:rsidRPr="00382917">
        <w:rPr>
          <w:color w:val="FFFFFF" w:themeColor="background1"/>
          <w:sz w:val="12"/>
          <w:szCs w:val="12"/>
        </w:rPr>
        <w:instrText>.</w:instrText>
      </w:r>
      <w:bookmarkEnd w:id="3"/>
      <w:proofErr w:type="gramStart"/>
      <w:r w:rsidRPr="00382917">
        <w:rPr>
          <w:sz w:val="12"/>
          <w:szCs w:val="12"/>
        </w:rPr>
        <w:instrText>”</w:instrText>
      </w:r>
      <w:r w:rsidR="00EE4FC3">
        <w:rPr>
          <w:sz w:val="12"/>
          <w:szCs w:val="12"/>
        </w:rPr>
        <w:instrText xml:space="preserve"> </w:instrText>
      </w:r>
      <w:proofErr w:type="gramEnd"/>
      <w:r w:rsidRPr="00382917">
        <w:rPr>
          <w:sz w:val="12"/>
          <w:szCs w:val="12"/>
        </w:rPr>
        <w:instrText>\l</w:instrText>
      </w:r>
      <w:r w:rsidR="00EE4FC3">
        <w:rPr>
          <w:sz w:val="12"/>
          <w:szCs w:val="12"/>
        </w:rPr>
        <w:instrText xml:space="preserve"> </w:instrText>
      </w:r>
      <w:r w:rsidRPr="00382917">
        <w:rPr>
          <w:sz w:val="12"/>
          <w:szCs w:val="12"/>
        </w:rPr>
        <w:instrText>1</w:instrText>
      </w:r>
      <w:r w:rsidR="00EE4FC3">
        <w:rPr>
          <w:sz w:val="12"/>
          <w:szCs w:val="12"/>
        </w:rPr>
        <w:instrText xml:space="preserve"> </w:instrText>
      </w:r>
      <w:r w:rsidRPr="00382917">
        <w:rPr>
          <w:sz w:val="12"/>
          <w:szCs w:val="12"/>
        </w:rPr>
        <w:fldChar w:fldCharType="end"/>
      </w:r>
    </w:p>
    <w:p w:rsidR="00327433" w:rsidRPr="00382917" w:rsidRDefault="00327433" w:rsidP="006579C6">
      <w:pPr>
        <w:rPr>
          <w:rFonts w:ascii="Times New Roman" w:eastAsia="Times New Roman" w:hAnsi="Times New Roman"/>
          <w:color w:val="000000"/>
          <w:sz w:val="24"/>
        </w:rPr>
      </w:pPr>
    </w:p>
    <w:p w:rsidR="006579C6" w:rsidRPr="00382917" w:rsidRDefault="00051AC7" w:rsidP="00417538">
      <w:pPr>
        <w:pStyle w:val="Myheadc"/>
      </w:pPr>
      <w:r w:rsidRPr="00382917">
        <w:t>1</w:t>
      </w:r>
      <w:r w:rsidR="00417538">
        <w:br/>
      </w:r>
      <w:r w:rsidRPr="00382917">
        <w:rPr>
          <w:noProof/>
          <w:lang w:val="en-AU" w:eastAsia="en-AU"/>
          <w14:numForm w14:val="default"/>
          <w14:numSpacing w14:val="default"/>
        </w:rPr>
        <w:drawing>
          <wp:inline distT="0" distB="0" distL="0" distR="0" wp14:anchorId="38AD83B4" wp14:editId="73A26A0A">
            <wp:extent cx="396000" cy="392400"/>
            <wp:effectExtent l="0" t="0" r="4445" b="825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p.emf"/>
                    <pic:cNvPicPr/>
                  </pic:nvPicPr>
                  <pic:blipFill>
                    <a:blip r:embed="rId17">
                      <a:extLst>
                        <a:ext uri="{28A0092B-C50C-407E-A947-70E740481C1C}">
                          <a14:useLocalDpi xmlns:a14="http://schemas.microsoft.com/office/drawing/2010/main" val="0"/>
                        </a:ext>
                      </a:extLst>
                    </a:blip>
                    <a:stretch>
                      <a:fillRect/>
                    </a:stretch>
                  </pic:blipFill>
                  <pic:spPr>
                    <a:xfrm>
                      <a:off x="0" y="0"/>
                      <a:ext cx="396000" cy="392400"/>
                    </a:xfrm>
                    <a:prstGeom prst="rect">
                      <a:avLst/>
                    </a:prstGeom>
                  </pic:spPr>
                </pic:pic>
              </a:graphicData>
            </a:graphic>
          </wp:inline>
        </w:drawing>
      </w:r>
      <w:r w:rsidR="00417538">
        <w:br/>
      </w:r>
      <w:r w:rsidRPr="00382917">
        <w:t>The</w:t>
      </w:r>
      <w:r w:rsidR="00EE4FC3">
        <w:t xml:space="preserve"> </w:t>
      </w:r>
      <w:r w:rsidRPr="00382917">
        <w:t>promise</w:t>
      </w:r>
      <w:r w:rsidR="00EE4FC3">
        <w:t xml:space="preserve"> </w:t>
      </w:r>
      <w:r w:rsidRPr="00382917">
        <w:t>of</w:t>
      </w:r>
      <w:r w:rsidR="00EE4FC3">
        <w:t xml:space="preserve"> </w:t>
      </w:r>
      <w:r w:rsidRPr="00382917">
        <w:t>the</w:t>
      </w:r>
      <w:r w:rsidR="00EE4FC3">
        <w:t xml:space="preserve"> </w:t>
      </w:r>
      <w:r w:rsidRPr="00382917">
        <w:t>Messiah</w:t>
      </w:r>
    </w:p>
    <w:p w:rsidR="006579C6" w:rsidRPr="00382917" w:rsidRDefault="006579C6" w:rsidP="00051AC7">
      <w:pPr>
        <w:pStyle w:val="Text"/>
      </w:pPr>
      <w:r w:rsidRPr="00382917">
        <w:t>T</w:t>
      </w:r>
      <w:r w:rsidR="00051AC7" w:rsidRPr="00382917">
        <w:t>his</w:t>
      </w:r>
      <w:r w:rsidR="00EE4FC3">
        <w:t xml:space="preserve"> </w:t>
      </w:r>
      <w:r w:rsidR="00051AC7" w:rsidRPr="00382917">
        <w:t>is</w:t>
      </w:r>
      <w:r w:rsidR="00EE4FC3">
        <w:t xml:space="preserve"> </w:t>
      </w:r>
      <w:r w:rsidR="00051AC7" w:rsidRPr="00382917">
        <w:t>the</w:t>
      </w:r>
      <w:r w:rsidR="00EE4FC3">
        <w:t xml:space="preserve"> </w:t>
      </w:r>
      <w:r w:rsidR="00051AC7" w:rsidRPr="00382917">
        <w:t>story</w:t>
      </w:r>
      <w:r w:rsidR="00EE4FC3">
        <w:t xml:space="preserve"> </w:t>
      </w:r>
      <w:r w:rsidRPr="00382917">
        <w:t>of</w:t>
      </w:r>
      <w:r w:rsidR="00EE4FC3">
        <w:t xml:space="preserve"> </w:t>
      </w:r>
      <w:r w:rsidRPr="00382917">
        <w:t>a</w:t>
      </w:r>
      <w:r w:rsidR="00EE4FC3">
        <w:t xml:space="preserve"> </w:t>
      </w:r>
      <w:r w:rsidRPr="00382917">
        <w:t>modern</w:t>
      </w:r>
      <w:r w:rsidR="00EE4FC3">
        <w:t xml:space="preserve"> </w:t>
      </w:r>
      <w:r w:rsidRPr="00382917">
        <w:t>search</w:t>
      </w:r>
      <w:r w:rsidR="00EE4FC3">
        <w:t xml:space="preserve"> </w:t>
      </w:r>
      <w:r w:rsidRPr="00382917">
        <w:t>for</w:t>
      </w:r>
      <w:r w:rsidR="00EE4FC3">
        <w:t xml:space="preserve"> </w:t>
      </w:r>
      <w:r w:rsidRPr="00382917">
        <w:t>the</w:t>
      </w:r>
      <w:r w:rsidR="00EE4FC3">
        <w:t xml:space="preserve"> </w:t>
      </w:r>
      <w:r w:rsidRPr="00382917">
        <w:t>Holy</w:t>
      </w:r>
      <w:r w:rsidR="00EE4FC3">
        <w:t xml:space="preserve"> </w:t>
      </w:r>
      <w:r w:rsidRPr="00382917">
        <w:t>Grail,</w:t>
      </w:r>
      <w:r w:rsidR="00EE4FC3">
        <w:t xml:space="preserve"> </w:t>
      </w:r>
      <w:r w:rsidRPr="00382917">
        <w:t>the</w:t>
      </w:r>
      <w:r w:rsidR="00EE4FC3">
        <w:t xml:space="preserve"> </w:t>
      </w:r>
      <w:r w:rsidRPr="00382917">
        <w:t>cup</w:t>
      </w:r>
      <w:r w:rsidR="00EE4FC3">
        <w:t xml:space="preserve"> </w:t>
      </w:r>
      <w:r w:rsidRPr="00382917">
        <w:t>of</w:t>
      </w:r>
      <w:r w:rsidR="00EE4FC3">
        <w:t xml:space="preserve"> </w:t>
      </w:r>
      <w:r w:rsidRPr="00382917">
        <w:t>everlasting</w:t>
      </w:r>
      <w:r w:rsidR="00EE4FC3">
        <w:t xml:space="preserve"> </w:t>
      </w:r>
      <w:r w:rsidRPr="00382917">
        <w:t>life.</w:t>
      </w:r>
      <w:r w:rsidR="00EE4FC3">
        <w:t xml:space="preserve">  </w:t>
      </w:r>
      <w:r w:rsidRPr="00382917">
        <w:t>It</w:t>
      </w:r>
      <w:r w:rsidR="00EE4FC3">
        <w:t xml:space="preserve"> </w:t>
      </w:r>
      <w:r w:rsidRPr="00382917">
        <w:t>began</w:t>
      </w:r>
      <w:r w:rsidR="00EE4FC3">
        <w:t xml:space="preserve"> </w:t>
      </w:r>
      <w:r w:rsidRPr="00382917">
        <w:t>in</w:t>
      </w:r>
      <w:r w:rsidR="00EE4FC3">
        <w:t xml:space="preserve"> </w:t>
      </w:r>
      <w:r w:rsidRPr="00382917">
        <w:t>the</w:t>
      </w:r>
      <w:r w:rsidR="00EE4FC3">
        <w:t xml:space="preserve"> </w:t>
      </w:r>
      <w:r w:rsidRPr="00382917">
        <w:t>land</w:t>
      </w:r>
      <w:r w:rsidR="00EE4FC3">
        <w:t xml:space="preserve"> </w:t>
      </w:r>
      <w:r w:rsidRPr="00382917">
        <w:t>from</w:t>
      </w:r>
      <w:r w:rsidR="00EE4FC3">
        <w:t xml:space="preserve"> </w:t>
      </w:r>
      <w:r w:rsidRPr="00382917">
        <w:t>which</w:t>
      </w:r>
      <w:r w:rsidR="00EE4FC3">
        <w:t xml:space="preserve"> </w:t>
      </w:r>
      <w:r w:rsidRPr="00382917">
        <w:t>the</w:t>
      </w:r>
      <w:r w:rsidR="00EE4FC3">
        <w:t xml:space="preserve"> </w:t>
      </w:r>
      <w:r w:rsidRPr="00382917">
        <w:t>three</w:t>
      </w:r>
      <w:r w:rsidR="00EE4FC3">
        <w:t xml:space="preserve"> </w:t>
      </w:r>
      <w:r w:rsidRPr="00382917">
        <w:t>Kings</w:t>
      </w:r>
      <w:r w:rsidR="00EE4FC3">
        <w:t xml:space="preserve"> </w:t>
      </w:r>
      <w:r w:rsidRPr="00382917">
        <w:t>came</w:t>
      </w:r>
      <w:r w:rsidR="00EE4FC3">
        <w:t xml:space="preserve"> </w:t>
      </w:r>
      <w:r w:rsidRPr="00382917">
        <w:t>to</w:t>
      </w:r>
      <w:r w:rsidR="00EE4FC3">
        <w:t xml:space="preserve"> </w:t>
      </w:r>
      <w:r w:rsidRPr="00382917">
        <w:t>Bethlehem</w:t>
      </w:r>
      <w:r w:rsidR="00EE4FC3">
        <w:t xml:space="preserve"> </w:t>
      </w:r>
      <w:r w:rsidRPr="00382917">
        <w:t>guided</w:t>
      </w:r>
      <w:r w:rsidR="00EE4FC3">
        <w:t xml:space="preserve"> </w:t>
      </w:r>
      <w:r w:rsidRPr="00382917">
        <w:t>by</w:t>
      </w:r>
      <w:r w:rsidR="00EE4FC3">
        <w:t xml:space="preserve"> </w:t>
      </w:r>
      <w:r w:rsidRPr="00382917">
        <w:t>a</w:t>
      </w:r>
      <w:r w:rsidR="00EE4FC3">
        <w:t xml:space="preserve"> </w:t>
      </w:r>
      <w:r w:rsidRPr="00382917">
        <w:t>bright</w:t>
      </w:r>
      <w:r w:rsidR="00EE4FC3">
        <w:t xml:space="preserve"> </w:t>
      </w:r>
      <w:r w:rsidRPr="00382917">
        <w:t>star.</w:t>
      </w:r>
    </w:p>
    <w:p w:rsidR="006579C6" w:rsidRPr="00382917" w:rsidRDefault="006579C6" w:rsidP="008A073E">
      <w:pPr>
        <w:pStyle w:val="Text"/>
      </w:pPr>
      <w:r w:rsidRPr="00382917">
        <w:t>It</w:t>
      </w:r>
      <w:r w:rsidR="00EE4FC3">
        <w:t xml:space="preserve"> </w:t>
      </w:r>
      <w:r w:rsidRPr="00382917">
        <w:t>was</w:t>
      </w:r>
      <w:r w:rsidR="00EE4FC3">
        <w:t xml:space="preserve"> </w:t>
      </w:r>
      <w:r w:rsidRPr="00382917">
        <w:t>now</w:t>
      </w:r>
      <w:r w:rsidR="00EE4FC3">
        <w:t xml:space="preserve"> </w:t>
      </w:r>
      <w:r w:rsidRPr="00382917">
        <w:t>the</w:t>
      </w:r>
      <w:r w:rsidR="00EE4FC3">
        <w:t xml:space="preserve"> </w:t>
      </w:r>
      <w:r w:rsidRPr="00382917">
        <w:t>nineteenth</w:t>
      </w:r>
      <w:r w:rsidR="00EE4FC3">
        <w:t xml:space="preserve"> </w:t>
      </w:r>
      <w:r w:rsidRPr="00382917">
        <w:t>century,</w:t>
      </w:r>
      <w:r w:rsidR="00EE4FC3">
        <w:t xml:space="preserve"> </w:t>
      </w:r>
      <w:r w:rsidRPr="00382917">
        <w:t>and</w:t>
      </w:r>
      <w:r w:rsidR="00EE4FC3">
        <w:t xml:space="preserve"> </w:t>
      </w:r>
      <w:r w:rsidRPr="00382917">
        <w:t>there</w:t>
      </w:r>
      <w:r w:rsidR="00EE4FC3">
        <w:t xml:space="preserve"> </w:t>
      </w:r>
      <w:r w:rsidRPr="00382917">
        <w:t>was</w:t>
      </w:r>
      <w:r w:rsidR="00EE4FC3">
        <w:t xml:space="preserve"> </w:t>
      </w:r>
      <w:r w:rsidRPr="00382917">
        <w:t>another</w:t>
      </w:r>
      <w:r w:rsidR="00EE4FC3">
        <w:t xml:space="preserve"> </w:t>
      </w:r>
      <w:r w:rsidRPr="00382917">
        <w:t>sign</w:t>
      </w:r>
      <w:r w:rsidR="00EE4FC3">
        <w:t xml:space="preserve"> </w:t>
      </w:r>
      <w:r w:rsidRPr="00382917">
        <w:t>in</w:t>
      </w:r>
      <w:r w:rsidR="00EE4FC3">
        <w:t xml:space="preserve"> </w:t>
      </w:r>
      <w:r w:rsidRPr="00382917">
        <w:t>the</w:t>
      </w:r>
      <w:r w:rsidR="00EE4FC3">
        <w:t xml:space="preserve"> </w:t>
      </w:r>
      <w:r w:rsidRPr="00382917">
        <w:t>heavens,</w:t>
      </w:r>
      <w:r w:rsidR="00EE4FC3">
        <w:t xml:space="preserve"> </w:t>
      </w:r>
      <w:r w:rsidRPr="00382917">
        <w:t>a</w:t>
      </w:r>
      <w:r w:rsidR="00EE4FC3">
        <w:t xml:space="preserve"> </w:t>
      </w:r>
      <w:r w:rsidRPr="00382917">
        <w:t>great</w:t>
      </w:r>
      <w:r w:rsidR="00EE4FC3">
        <w:t xml:space="preserve"> </w:t>
      </w:r>
      <w:r w:rsidRPr="00382917">
        <w:t>fiery</w:t>
      </w:r>
      <w:r w:rsidR="00EE4FC3">
        <w:t xml:space="preserve"> </w:t>
      </w:r>
      <w:r w:rsidRPr="00382917">
        <w:t>comet.</w:t>
      </w:r>
      <w:r w:rsidR="00EE4FC3">
        <w:t xml:space="preserve">  </w:t>
      </w:r>
      <w:r w:rsidRPr="00382917">
        <w:t>Many</w:t>
      </w:r>
      <w:r w:rsidR="00EE4FC3">
        <w:t xml:space="preserve"> </w:t>
      </w:r>
      <w:r w:rsidRPr="00382917">
        <w:t>were</w:t>
      </w:r>
      <w:r w:rsidR="00EE4FC3">
        <w:t xml:space="preserve"> </w:t>
      </w:r>
      <w:r w:rsidRPr="00382917">
        <w:t>awed,</w:t>
      </w:r>
      <w:r w:rsidR="00EE4FC3">
        <w:t xml:space="preserve"> </w:t>
      </w:r>
      <w:r w:rsidRPr="00382917">
        <w:t>many</w:t>
      </w:r>
      <w:r w:rsidR="00EE4FC3">
        <w:t xml:space="preserve"> </w:t>
      </w:r>
      <w:r w:rsidRPr="00382917">
        <w:t>were</w:t>
      </w:r>
      <w:r w:rsidR="00EE4FC3">
        <w:t xml:space="preserve"> </w:t>
      </w:r>
      <w:r w:rsidRPr="00382917">
        <w:t>frightened,</w:t>
      </w:r>
      <w:r w:rsidR="00EE4FC3">
        <w:t xml:space="preserve"> </w:t>
      </w:r>
      <w:proofErr w:type="gramStart"/>
      <w:r w:rsidRPr="00382917">
        <w:t>many</w:t>
      </w:r>
      <w:proofErr w:type="gramEnd"/>
      <w:r w:rsidR="00EE4FC3">
        <w:t xml:space="preserve"> </w:t>
      </w:r>
      <w:r w:rsidRPr="00382917">
        <w:t>were</w:t>
      </w:r>
      <w:r w:rsidR="00EE4FC3">
        <w:t xml:space="preserve"> </w:t>
      </w:r>
      <w:r w:rsidRPr="00382917">
        <w:t>cheered,</w:t>
      </w:r>
      <w:r w:rsidR="00EE4FC3">
        <w:t xml:space="preserve"> </w:t>
      </w:r>
      <w:r w:rsidRPr="00382917">
        <w:t>for</w:t>
      </w:r>
      <w:r w:rsidR="00EE4FC3">
        <w:t xml:space="preserve"> </w:t>
      </w:r>
      <w:r w:rsidRPr="00382917">
        <w:t>both</w:t>
      </w:r>
      <w:r w:rsidR="00EE4FC3">
        <w:t xml:space="preserve"> </w:t>
      </w:r>
      <w:r w:rsidRPr="00382917">
        <w:t>the</w:t>
      </w:r>
      <w:r w:rsidR="00EE4FC3">
        <w:t xml:space="preserve"> </w:t>
      </w:r>
      <w:r w:rsidRPr="00382917">
        <w:t>East</w:t>
      </w:r>
      <w:r w:rsidR="00EE4FC3">
        <w:t xml:space="preserve"> </w:t>
      </w:r>
      <w:r w:rsidRPr="00382917">
        <w:t>and</w:t>
      </w:r>
      <w:r w:rsidR="00EE4FC3">
        <w:t xml:space="preserve"> </w:t>
      </w:r>
      <w:r w:rsidRPr="00382917">
        <w:t>the</w:t>
      </w:r>
      <w:r w:rsidR="00EE4FC3">
        <w:t xml:space="preserve"> </w:t>
      </w:r>
      <w:r w:rsidRPr="00382917">
        <w:t>West</w:t>
      </w:r>
      <w:r w:rsidR="00EE4FC3">
        <w:t xml:space="preserve"> </w:t>
      </w:r>
      <w:r w:rsidRPr="00382917">
        <w:t>were</w:t>
      </w:r>
      <w:r w:rsidR="00EE4FC3">
        <w:t xml:space="preserve"> </w:t>
      </w:r>
      <w:r w:rsidRPr="00382917">
        <w:t>caught</w:t>
      </w:r>
      <w:r w:rsidR="00EE4FC3">
        <w:t xml:space="preserve"> </w:t>
      </w:r>
      <w:r w:rsidRPr="00382917">
        <w:t>up</w:t>
      </w:r>
      <w:r w:rsidR="00EE4FC3">
        <w:t xml:space="preserve"> </w:t>
      </w:r>
      <w:r w:rsidRPr="00382917">
        <w:t>in</w:t>
      </w:r>
      <w:r w:rsidR="00EE4FC3">
        <w:t xml:space="preserve"> </w:t>
      </w:r>
      <w:r w:rsidRPr="00382917">
        <w:t>a</w:t>
      </w:r>
      <w:r w:rsidR="00EE4FC3">
        <w:t xml:space="preserve"> </w:t>
      </w:r>
      <w:r w:rsidRPr="00382917">
        <w:t>millennial</w:t>
      </w:r>
      <w:r w:rsidR="00EE4FC3">
        <w:t xml:space="preserve"> </w:t>
      </w:r>
      <w:r w:rsidRPr="00382917">
        <w:t>zeal.</w:t>
      </w:r>
      <w:r w:rsidR="008A073E" w:rsidRPr="00382917">
        <w:rPr>
          <w:rStyle w:val="FootnoteReference"/>
        </w:rPr>
        <w:footnoteReference w:id="3"/>
      </w:r>
    </w:p>
    <w:p w:rsidR="006579C6" w:rsidRPr="00382917" w:rsidRDefault="006579C6" w:rsidP="008A073E">
      <w:pPr>
        <w:pStyle w:val="Text"/>
      </w:pPr>
      <w:r w:rsidRPr="00382917">
        <w:t>In</w:t>
      </w:r>
      <w:r w:rsidR="00EE4FC3">
        <w:t xml:space="preserve"> </w:t>
      </w:r>
      <w:r w:rsidRPr="00382917">
        <w:t>Persia,</w:t>
      </w:r>
      <w:r w:rsidR="00EE4FC3">
        <w:t xml:space="preserve"> </w:t>
      </w:r>
      <w:r w:rsidRPr="00382917">
        <w:t>home</w:t>
      </w:r>
      <w:r w:rsidR="00EE4FC3">
        <w:t xml:space="preserve"> </w:t>
      </w:r>
      <w:r w:rsidRPr="00382917">
        <w:t>of</w:t>
      </w:r>
      <w:r w:rsidR="00EE4FC3">
        <w:t xml:space="preserve"> </w:t>
      </w:r>
      <w:r w:rsidRPr="00382917">
        <w:t>the</w:t>
      </w:r>
      <w:r w:rsidR="00EE4FC3">
        <w:t xml:space="preserve"> </w:t>
      </w:r>
      <w:r w:rsidR="009C713D" w:rsidRPr="00382917">
        <w:t>“</w:t>
      </w:r>
      <w:r w:rsidRPr="00382917">
        <w:t>three</w:t>
      </w:r>
      <w:r w:rsidR="00EE4FC3">
        <w:t xml:space="preserve"> </w:t>
      </w:r>
      <w:r w:rsidRPr="00382917">
        <w:t>wise</w:t>
      </w:r>
      <w:r w:rsidR="00EE4FC3">
        <w:t xml:space="preserve"> </w:t>
      </w:r>
      <w:r w:rsidRPr="00382917">
        <w:t>men</w:t>
      </w:r>
      <w:r w:rsidR="009C713D" w:rsidRPr="00382917">
        <w:t>”</w:t>
      </w:r>
      <w:r w:rsidR="008A073E" w:rsidRPr="00382917">
        <w:t>,</w:t>
      </w:r>
      <w:r w:rsidR="00EE4FC3">
        <w:t xml:space="preserve"> </w:t>
      </w:r>
      <w:r w:rsidRPr="00382917">
        <w:t>the</w:t>
      </w:r>
      <w:r w:rsidR="00EE4FC3">
        <w:t xml:space="preserve"> </w:t>
      </w:r>
      <w:r w:rsidRPr="00382917">
        <w:t>excitement</w:t>
      </w:r>
      <w:r w:rsidR="00EE4FC3">
        <w:t xml:space="preserve"> </w:t>
      </w:r>
      <w:r w:rsidRPr="00382917">
        <w:t>over</w:t>
      </w:r>
      <w:r w:rsidR="00EE4FC3">
        <w:t xml:space="preserve"> </w:t>
      </w:r>
      <w:r w:rsidRPr="00382917">
        <w:t>the</w:t>
      </w:r>
      <w:r w:rsidR="00EE4FC3">
        <w:t xml:space="preserve"> </w:t>
      </w:r>
      <w:r w:rsidRPr="00382917">
        <w:t>coming</w:t>
      </w:r>
      <w:r w:rsidR="00EE4FC3">
        <w:t xml:space="preserve"> </w:t>
      </w:r>
      <w:r w:rsidRPr="00382917">
        <w:t>of</w:t>
      </w:r>
      <w:r w:rsidR="00EE4FC3">
        <w:t xml:space="preserve"> </w:t>
      </w:r>
      <w:r w:rsidRPr="00382917">
        <w:t>a</w:t>
      </w:r>
      <w:r w:rsidR="00EE4FC3">
        <w:t xml:space="preserve"> </w:t>
      </w:r>
      <w:r w:rsidRPr="00382917">
        <w:t>Messiah</w:t>
      </w:r>
      <w:r w:rsidR="00EE4FC3">
        <w:t xml:space="preserve"> </w:t>
      </w:r>
      <w:r w:rsidRPr="00382917">
        <w:t>was</w:t>
      </w:r>
      <w:r w:rsidR="00EE4FC3">
        <w:t xml:space="preserve"> </w:t>
      </w:r>
      <w:r w:rsidRPr="00382917">
        <w:t>greater</w:t>
      </w:r>
      <w:r w:rsidR="00EE4FC3">
        <w:t xml:space="preserve"> </w:t>
      </w:r>
      <w:r w:rsidRPr="00382917">
        <w:t>than</w:t>
      </w:r>
      <w:r w:rsidR="00EE4FC3">
        <w:t xml:space="preserve"> </w:t>
      </w:r>
      <w:r w:rsidRPr="00382917">
        <w:t>in</w:t>
      </w:r>
      <w:r w:rsidR="00EE4FC3">
        <w:t xml:space="preserve"> </w:t>
      </w:r>
      <w:r w:rsidRPr="00382917">
        <w:t>any</w:t>
      </w:r>
      <w:r w:rsidR="00EE4FC3">
        <w:t xml:space="preserve"> </w:t>
      </w:r>
      <w:r w:rsidRPr="00382917">
        <w:t>other</w:t>
      </w:r>
      <w:r w:rsidR="00EE4FC3">
        <w:t xml:space="preserve"> </w:t>
      </w:r>
      <w:r w:rsidRPr="00382917">
        <w:t>land.</w:t>
      </w:r>
      <w:r w:rsidR="00EE4FC3">
        <w:t xml:space="preserve">  </w:t>
      </w:r>
      <w:r w:rsidRPr="00382917">
        <w:t>In</w:t>
      </w:r>
      <w:r w:rsidR="00EE4FC3">
        <w:t xml:space="preserve"> </w:t>
      </w:r>
      <w:r w:rsidRPr="00382917">
        <w:t>America</w:t>
      </w:r>
      <w:r w:rsidR="00EE4FC3">
        <w:t xml:space="preserve"> </w:t>
      </w:r>
      <w:r w:rsidRPr="00382917">
        <w:t>and</w:t>
      </w:r>
      <w:r w:rsidR="00EE4FC3">
        <w:t xml:space="preserve"> </w:t>
      </w:r>
      <w:r w:rsidRPr="00382917">
        <w:t>Europe,</w:t>
      </w:r>
      <w:r w:rsidR="00EE4FC3">
        <w:t xml:space="preserve"> </w:t>
      </w:r>
      <w:r w:rsidRPr="00382917">
        <w:t>scholars</w:t>
      </w:r>
      <w:r w:rsidR="00EE4FC3">
        <w:t xml:space="preserve"> </w:t>
      </w:r>
      <w:r w:rsidRPr="00382917">
        <w:t>wrote</w:t>
      </w:r>
      <w:r w:rsidR="00EE4FC3">
        <w:t xml:space="preserve"> </w:t>
      </w:r>
      <w:r w:rsidRPr="00382917">
        <w:t>and</w:t>
      </w:r>
      <w:r w:rsidR="00EE4FC3">
        <w:t xml:space="preserve"> </w:t>
      </w:r>
      <w:r w:rsidRPr="00382917">
        <w:t>spoke</w:t>
      </w:r>
      <w:r w:rsidR="00EE4FC3">
        <w:t xml:space="preserve"> </w:t>
      </w:r>
      <w:r w:rsidRPr="00382917">
        <w:t>of</w:t>
      </w:r>
      <w:r w:rsidR="00EE4FC3">
        <w:t xml:space="preserve"> </w:t>
      </w:r>
      <w:r w:rsidRPr="00382917">
        <w:t>the</w:t>
      </w:r>
      <w:r w:rsidR="00EE4FC3">
        <w:t xml:space="preserve"> </w:t>
      </w:r>
      <w:r w:rsidRPr="00382917">
        <w:t>expected</w:t>
      </w:r>
      <w:r w:rsidR="00EE4FC3">
        <w:t xml:space="preserve"> </w:t>
      </w:r>
      <w:r w:rsidRPr="00382917">
        <w:t>appearance</w:t>
      </w:r>
      <w:r w:rsidR="00EE4FC3">
        <w:t xml:space="preserve"> </w:t>
      </w:r>
      <w:r w:rsidRPr="00382917">
        <w:t>of</w:t>
      </w:r>
      <w:r w:rsidR="00EE4FC3">
        <w:t xml:space="preserve"> </w:t>
      </w:r>
      <w:r w:rsidRPr="00382917">
        <w:t>the</w:t>
      </w:r>
      <w:r w:rsidR="00EE4FC3">
        <w:t xml:space="preserve"> </w:t>
      </w:r>
      <w:r w:rsidRPr="00382917">
        <w:t>promised</w:t>
      </w:r>
      <w:r w:rsidR="00EE4FC3">
        <w:t xml:space="preserve"> </w:t>
      </w:r>
      <w:r w:rsidRPr="00382917">
        <w:t>Christ,</w:t>
      </w:r>
      <w:r w:rsidR="00EE4FC3">
        <w:t xml:space="preserve"> </w:t>
      </w:r>
      <w:r w:rsidRPr="00382917">
        <w:t>but</w:t>
      </w:r>
      <w:r w:rsidR="00EE4FC3">
        <w:t xml:space="preserve"> </w:t>
      </w:r>
      <w:r w:rsidRPr="00382917">
        <w:t>in</w:t>
      </w:r>
      <w:r w:rsidR="00EE4FC3">
        <w:t xml:space="preserve"> </w:t>
      </w:r>
      <w:r w:rsidRPr="00382917">
        <w:t>Persia</w:t>
      </w:r>
      <w:r w:rsidR="00EE4FC3">
        <w:t xml:space="preserve"> </w:t>
      </w:r>
      <w:r w:rsidRPr="00382917">
        <w:t>many</w:t>
      </w:r>
      <w:r w:rsidR="00EE4FC3">
        <w:t xml:space="preserve"> </w:t>
      </w:r>
      <w:r w:rsidRPr="00382917">
        <w:t>people</w:t>
      </w:r>
      <w:r w:rsidR="00EE4FC3">
        <w:t xml:space="preserve"> </w:t>
      </w:r>
      <w:r w:rsidRPr="00382917">
        <w:t>were</w:t>
      </w:r>
      <w:r w:rsidR="00EE4FC3">
        <w:t xml:space="preserve"> </w:t>
      </w:r>
      <w:r w:rsidRPr="00382917">
        <w:t>actively</w:t>
      </w:r>
      <w:r w:rsidR="00EE4FC3">
        <w:t xml:space="preserve"> </w:t>
      </w:r>
      <w:r w:rsidRPr="00382917">
        <w:t>searching</w:t>
      </w:r>
      <w:r w:rsidR="00EE4FC3">
        <w:t xml:space="preserve"> </w:t>
      </w:r>
      <w:r w:rsidRPr="00382917">
        <w:t>for</w:t>
      </w:r>
      <w:r w:rsidR="00EE4FC3">
        <w:t xml:space="preserve"> </w:t>
      </w:r>
      <w:r w:rsidRPr="00382917">
        <w:t>Him.</w:t>
      </w:r>
      <w:r w:rsidR="00EE4FC3">
        <w:t xml:space="preserve">  </w:t>
      </w:r>
      <w:r w:rsidRPr="00382917">
        <w:t>They</w:t>
      </w:r>
      <w:r w:rsidR="00EE4FC3">
        <w:t xml:space="preserve"> </w:t>
      </w:r>
      <w:r w:rsidRPr="00382917">
        <w:t>believed</w:t>
      </w:r>
      <w:r w:rsidR="00EE4FC3">
        <w:t xml:space="preserve"> </w:t>
      </w:r>
      <w:r w:rsidRPr="00382917">
        <w:t>the</w:t>
      </w:r>
      <w:r w:rsidR="00EE4FC3">
        <w:t xml:space="preserve"> </w:t>
      </w:r>
      <w:r w:rsidRPr="00382917">
        <w:t>Promised</w:t>
      </w:r>
      <w:r w:rsidR="00EE4FC3">
        <w:t xml:space="preserve"> </w:t>
      </w:r>
      <w:r w:rsidRPr="00382917">
        <w:t>One</w:t>
      </w:r>
      <w:r w:rsidR="00EE4FC3">
        <w:t xml:space="preserve"> </w:t>
      </w:r>
      <w:r w:rsidRPr="00382917">
        <w:t>to</w:t>
      </w:r>
      <w:r w:rsidR="00EE4FC3">
        <w:t xml:space="preserve"> </w:t>
      </w:r>
      <w:r w:rsidRPr="00382917">
        <w:t>be</w:t>
      </w:r>
      <w:r w:rsidR="00EE4FC3">
        <w:t xml:space="preserve"> </w:t>
      </w:r>
      <w:r w:rsidRPr="00382917">
        <w:t>already</w:t>
      </w:r>
      <w:r w:rsidR="00EE4FC3">
        <w:t xml:space="preserve"> </w:t>
      </w:r>
      <w:r w:rsidRPr="00382917">
        <w:t>in</w:t>
      </w:r>
      <w:r w:rsidR="00EE4FC3">
        <w:t xml:space="preserve"> </w:t>
      </w:r>
      <w:r w:rsidRPr="00382917">
        <w:t>their</w:t>
      </w:r>
      <w:r w:rsidR="00EE4FC3">
        <w:t xml:space="preserve"> </w:t>
      </w:r>
      <w:r w:rsidRPr="00382917">
        <w:t>midst.</w:t>
      </w:r>
    </w:p>
    <w:p w:rsidR="006579C6" w:rsidRPr="00382917" w:rsidRDefault="006579C6" w:rsidP="008A073E">
      <w:pPr>
        <w:pStyle w:val="Text"/>
      </w:pPr>
      <w:r w:rsidRPr="00382917">
        <w:t>Among</w:t>
      </w:r>
      <w:r w:rsidR="00EE4FC3">
        <w:t xml:space="preserve"> </w:t>
      </w:r>
      <w:r w:rsidRPr="00382917">
        <w:t>these</w:t>
      </w:r>
      <w:r w:rsidR="00EE4FC3">
        <w:t xml:space="preserve"> </w:t>
      </w:r>
      <w:r w:rsidRPr="00382917">
        <w:t>devout</w:t>
      </w:r>
      <w:r w:rsidR="00EE4FC3">
        <w:t xml:space="preserve"> </w:t>
      </w:r>
      <w:r w:rsidRPr="00382917">
        <w:t>searchers</w:t>
      </w:r>
      <w:r w:rsidR="00EE4FC3">
        <w:t xml:space="preserve"> </w:t>
      </w:r>
      <w:r w:rsidRPr="00382917">
        <w:t>was</w:t>
      </w:r>
      <w:r w:rsidR="00EE4FC3">
        <w:t xml:space="preserve"> </w:t>
      </w:r>
      <w:r w:rsidR="008A073E" w:rsidRPr="00382917">
        <w:rPr>
          <w:u w:val="single"/>
        </w:rPr>
        <w:t>Sh</w:t>
      </w:r>
      <w:r w:rsidR="008A073E" w:rsidRPr="00382917">
        <w:t>ay</w:t>
      </w:r>
      <w:r w:rsidR="008A073E" w:rsidRPr="00382917">
        <w:rPr>
          <w:u w:val="single"/>
        </w:rPr>
        <w:t>kh</w:t>
      </w:r>
      <w:r w:rsidR="00EE4FC3">
        <w:t xml:space="preserve"> </w:t>
      </w:r>
      <w:r w:rsidRPr="00382917">
        <w:t>A</w:t>
      </w:r>
      <w:r w:rsidR="008A073E" w:rsidRPr="00382917">
        <w:t>ḥ</w:t>
      </w:r>
      <w:r w:rsidRPr="00382917">
        <w:t>mad,</w:t>
      </w:r>
      <w:r w:rsidR="00EE4FC3">
        <w:t xml:space="preserve"> </w:t>
      </w:r>
      <w:r w:rsidRPr="00382917">
        <w:t>a</w:t>
      </w:r>
      <w:r w:rsidR="00EE4FC3">
        <w:t xml:space="preserve"> </w:t>
      </w:r>
      <w:r w:rsidRPr="00382917">
        <w:t>kindly,</w:t>
      </w:r>
      <w:r w:rsidR="00EE4FC3">
        <w:t xml:space="preserve"> </w:t>
      </w:r>
      <w:r w:rsidRPr="00382917">
        <w:t>gentle</w:t>
      </w:r>
      <w:r w:rsidR="00EE4FC3">
        <w:t xml:space="preserve"> </w:t>
      </w:r>
      <w:r w:rsidRPr="00382917">
        <w:t>man.</w:t>
      </w:r>
      <w:r w:rsidR="00EE4FC3">
        <w:t xml:space="preserve">  </w:t>
      </w:r>
      <w:r w:rsidRPr="00382917">
        <w:t>At</w:t>
      </w:r>
      <w:r w:rsidR="00EE4FC3">
        <w:t xml:space="preserve"> </w:t>
      </w:r>
      <w:r w:rsidRPr="00382917">
        <w:t>the</w:t>
      </w:r>
      <w:r w:rsidR="00EE4FC3">
        <w:t xml:space="preserve"> </w:t>
      </w:r>
      <w:r w:rsidRPr="00382917">
        <w:t>age</w:t>
      </w:r>
      <w:r w:rsidR="00EE4FC3">
        <w:t xml:space="preserve"> </w:t>
      </w:r>
      <w:r w:rsidRPr="00382917">
        <w:t>of</w:t>
      </w:r>
      <w:r w:rsidR="00EE4FC3">
        <w:t xml:space="preserve"> </w:t>
      </w:r>
      <w:r w:rsidRPr="00382917">
        <w:t>forty,</w:t>
      </w:r>
      <w:r w:rsidR="00EE4FC3">
        <w:t xml:space="preserve"> </w:t>
      </w:r>
      <w:r w:rsidRPr="00382917">
        <w:t>he</w:t>
      </w:r>
      <w:r w:rsidR="00EE4FC3">
        <w:t xml:space="preserve"> </w:t>
      </w:r>
      <w:r w:rsidRPr="00382917">
        <w:t>left</w:t>
      </w:r>
      <w:r w:rsidR="00EE4FC3">
        <w:t xml:space="preserve"> </w:t>
      </w:r>
      <w:r w:rsidRPr="00382917">
        <w:t>his</w:t>
      </w:r>
      <w:r w:rsidR="00EE4FC3">
        <w:t xml:space="preserve"> </w:t>
      </w:r>
      <w:r w:rsidRPr="00382917">
        <w:t>home</w:t>
      </w:r>
      <w:r w:rsidR="00EE4FC3">
        <w:t xml:space="preserve"> </w:t>
      </w:r>
      <w:r w:rsidRPr="00382917">
        <w:t>and</w:t>
      </w:r>
      <w:r w:rsidR="00EE4FC3">
        <w:t xml:space="preserve"> </w:t>
      </w:r>
      <w:r w:rsidRPr="00382917">
        <w:t>kindred</w:t>
      </w:r>
      <w:r w:rsidR="00EE4FC3">
        <w:t xml:space="preserve"> </w:t>
      </w:r>
      <w:r w:rsidRPr="00382917">
        <w:t>in</w:t>
      </w:r>
      <w:r w:rsidR="00EE4FC3">
        <w:t xml:space="preserve"> </w:t>
      </w:r>
      <w:r w:rsidRPr="00382917">
        <w:t>one</w:t>
      </w:r>
      <w:r w:rsidR="00EE4FC3">
        <w:t xml:space="preserve"> </w:t>
      </w:r>
      <w:r w:rsidRPr="00382917">
        <w:t>of</w:t>
      </w:r>
      <w:r w:rsidR="00EE4FC3">
        <w:t xml:space="preserve"> </w:t>
      </w:r>
      <w:r w:rsidRPr="00382917">
        <w:t>the</w:t>
      </w:r>
      <w:r w:rsidR="00EE4FC3">
        <w:t xml:space="preserve"> </w:t>
      </w:r>
      <w:r w:rsidRPr="00382917">
        <w:t>islands</w:t>
      </w:r>
      <w:r w:rsidR="00EE4FC3">
        <w:t xml:space="preserve"> </w:t>
      </w:r>
      <w:r w:rsidRPr="00382917">
        <w:t>to</w:t>
      </w:r>
      <w:r w:rsidR="00EE4FC3">
        <w:t xml:space="preserve"> </w:t>
      </w:r>
      <w:r w:rsidRPr="00382917">
        <w:t>the</w:t>
      </w:r>
      <w:r w:rsidR="00EE4FC3">
        <w:t xml:space="preserve"> </w:t>
      </w:r>
      <w:r w:rsidRPr="00382917">
        <w:t>south</w:t>
      </w:r>
      <w:r w:rsidR="00EE4FC3">
        <w:t xml:space="preserve"> </w:t>
      </w:r>
      <w:r w:rsidRPr="00382917">
        <w:t>of</w:t>
      </w:r>
      <w:r w:rsidR="00EE4FC3">
        <w:t xml:space="preserve"> </w:t>
      </w:r>
      <w:r w:rsidRPr="00382917">
        <w:t>the</w:t>
      </w:r>
      <w:r w:rsidR="00EE4FC3">
        <w:t xml:space="preserve"> </w:t>
      </w:r>
      <w:r w:rsidRPr="00382917">
        <w:t>Persian</w:t>
      </w:r>
      <w:r w:rsidR="00EE4FC3">
        <w:t xml:space="preserve"> </w:t>
      </w:r>
      <w:r w:rsidRPr="00382917">
        <w:t>Gulf,</w:t>
      </w:r>
      <w:r w:rsidR="00EE4FC3">
        <w:t xml:space="preserve"> </w:t>
      </w:r>
      <w:r w:rsidRPr="00382917">
        <w:t>and</w:t>
      </w:r>
      <w:r w:rsidR="00EE4FC3">
        <w:t xml:space="preserve"> </w:t>
      </w:r>
      <w:r w:rsidRPr="00382917">
        <w:t>set</w:t>
      </w:r>
      <w:r w:rsidR="00EE4FC3">
        <w:t xml:space="preserve"> </w:t>
      </w:r>
      <w:r w:rsidRPr="00382917">
        <w:t>out</w:t>
      </w:r>
      <w:r w:rsidR="00EE4FC3">
        <w:t xml:space="preserve"> </w:t>
      </w:r>
      <w:r w:rsidRPr="00382917">
        <w:t>to</w:t>
      </w:r>
      <w:r w:rsidR="00EE4FC3">
        <w:t xml:space="preserve"> </w:t>
      </w:r>
      <w:r w:rsidRPr="00382917">
        <w:t>unravel</w:t>
      </w:r>
      <w:r w:rsidR="00EE4FC3">
        <w:t xml:space="preserve"> </w:t>
      </w:r>
      <w:r w:rsidRPr="00382917">
        <w:t>the</w:t>
      </w:r>
      <w:r w:rsidR="00EE4FC3">
        <w:t xml:space="preserve"> </w:t>
      </w:r>
      <w:r w:rsidRPr="00382917">
        <w:t>mystery</w:t>
      </w:r>
      <w:r w:rsidR="00EE4FC3">
        <w:t xml:space="preserve"> </w:t>
      </w:r>
      <w:r w:rsidRPr="00382917">
        <w:t>of</w:t>
      </w:r>
      <w:r w:rsidR="00EE4FC3">
        <w:t xml:space="preserve"> </w:t>
      </w:r>
      <w:r w:rsidRPr="00382917">
        <w:t>the</w:t>
      </w:r>
      <w:r w:rsidR="00EE4FC3">
        <w:t xml:space="preserve"> </w:t>
      </w:r>
      <w:r w:rsidRPr="00382917">
        <w:t>coming</w:t>
      </w:r>
      <w:r w:rsidR="00EE4FC3">
        <w:t xml:space="preserve"> </w:t>
      </w:r>
      <w:r w:rsidRPr="00382917">
        <w:t>Messenger.</w:t>
      </w:r>
      <w:r w:rsidR="00EE4FC3">
        <w:t xml:space="preserve">  </w:t>
      </w:r>
      <w:r w:rsidRPr="00382917">
        <w:t>An</w:t>
      </w:r>
      <w:r w:rsidR="00EE4FC3">
        <w:t xml:space="preserve"> </w:t>
      </w:r>
      <w:r w:rsidRPr="00382917">
        <w:t>inner</w:t>
      </w:r>
      <w:r w:rsidR="00EE4FC3">
        <w:t xml:space="preserve"> </w:t>
      </w:r>
      <w:r w:rsidRPr="00382917">
        <w:t>voice</w:t>
      </w:r>
      <w:r w:rsidR="00EE4FC3">
        <w:t xml:space="preserve"> </w:t>
      </w:r>
      <w:r w:rsidRPr="00382917">
        <w:t>kept</w:t>
      </w:r>
      <w:r w:rsidR="00EE4FC3">
        <w:t xml:space="preserve"> </w:t>
      </w:r>
      <w:r w:rsidRPr="00382917">
        <w:t>urging</w:t>
      </w:r>
      <w:r w:rsidR="00EE4FC3">
        <w:t xml:space="preserve"> </w:t>
      </w:r>
      <w:r w:rsidRPr="00382917">
        <w:t>him</w:t>
      </w:r>
      <w:r w:rsidR="00EE4FC3">
        <w:t xml:space="preserve"> </w:t>
      </w:r>
      <w:r w:rsidRPr="00382917">
        <w:t>on.</w:t>
      </w:r>
      <w:r w:rsidR="00EE4FC3">
        <w:t xml:space="preserve">  </w:t>
      </w:r>
      <w:r w:rsidRPr="00382917">
        <w:t>Eagerly,</w:t>
      </w:r>
      <w:r w:rsidR="00EE4FC3">
        <w:t xml:space="preserve"> </w:t>
      </w:r>
      <w:r w:rsidRPr="00382917">
        <w:t>he</w:t>
      </w:r>
      <w:r w:rsidR="00EE4FC3">
        <w:t xml:space="preserve"> </w:t>
      </w:r>
      <w:r w:rsidRPr="00382917">
        <w:t>devoured</w:t>
      </w:r>
      <w:r w:rsidR="00EE4FC3">
        <w:t xml:space="preserve"> </w:t>
      </w:r>
      <w:r w:rsidRPr="00382917">
        <w:t>everything</w:t>
      </w:r>
      <w:r w:rsidR="00EE4FC3">
        <w:t xml:space="preserve"> </w:t>
      </w:r>
      <w:r w:rsidRPr="00382917">
        <w:t>written</w:t>
      </w:r>
      <w:r w:rsidR="00EE4FC3">
        <w:t xml:space="preserve"> </w:t>
      </w:r>
      <w:r w:rsidRPr="00382917">
        <w:t>on</w:t>
      </w:r>
      <w:r w:rsidR="00EE4FC3">
        <w:t xml:space="preserve"> </w:t>
      </w:r>
      <w:r w:rsidRPr="00382917">
        <w:t>the</w:t>
      </w:r>
      <w:r w:rsidR="00EE4FC3">
        <w:t xml:space="preserve"> </w:t>
      </w:r>
      <w:r w:rsidRPr="00382917">
        <w:t>subject.</w:t>
      </w:r>
      <w:r w:rsidR="00EE4FC3">
        <w:t xml:space="preserve">  </w:t>
      </w:r>
      <w:r w:rsidRPr="00382917">
        <w:t>He</w:t>
      </w:r>
      <w:r w:rsidR="00EE4FC3">
        <w:t xml:space="preserve"> </w:t>
      </w:r>
      <w:r w:rsidRPr="00382917">
        <w:t>questioned</w:t>
      </w:r>
      <w:r w:rsidR="00EE4FC3">
        <w:t xml:space="preserve"> </w:t>
      </w:r>
      <w:r w:rsidRPr="00382917">
        <w:t>the</w:t>
      </w:r>
      <w:r w:rsidR="00EE4FC3">
        <w:t xml:space="preserve"> </w:t>
      </w:r>
      <w:r w:rsidRPr="00382917">
        <w:t>great</w:t>
      </w:r>
      <w:r w:rsidR="00EE4FC3">
        <w:t xml:space="preserve"> </w:t>
      </w:r>
      <w:r w:rsidRPr="00382917">
        <w:t>religious</w:t>
      </w:r>
      <w:r w:rsidR="00EE4FC3">
        <w:t xml:space="preserve"> </w:t>
      </w:r>
      <w:r w:rsidRPr="00382917">
        <w:t>and</w:t>
      </w:r>
      <w:r w:rsidR="00EE4FC3">
        <w:t xml:space="preserve"> </w:t>
      </w:r>
      <w:r w:rsidRPr="00382917">
        <w:t>scientific</w:t>
      </w:r>
      <w:r w:rsidR="00EE4FC3">
        <w:t xml:space="preserve"> </w:t>
      </w:r>
      <w:r w:rsidRPr="00382917">
        <w:t>authorities</w:t>
      </w:r>
      <w:r w:rsidR="00EE4FC3">
        <w:t xml:space="preserve"> </w:t>
      </w:r>
      <w:r w:rsidRPr="00382917">
        <w:t>until</w:t>
      </w:r>
      <w:r w:rsidR="00EE4FC3">
        <w:t xml:space="preserve"> </w:t>
      </w:r>
      <w:r w:rsidRPr="00382917">
        <w:t>he</w:t>
      </w:r>
      <w:r w:rsidR="00EE4FC3">
        <w:t xml:space="preserve"> </w:t>
      </w:r>
      <w:r w:rsidRPr="00382917">
        <w:t>felt</w:t>
      </w:r>
      <w:r w:rsidR="00EE4FC3">
        <w:t xml:space="preserve"> </w:t>
      </w:r>
      <w:r w:rsidRPr="00382917">
        <w:t>that</w:t>
      </w:r>
      <w:r w:rsidR="00EE4FC3">
        <w:t xml:space="preserve"> </w:t>
      </w:r>
      <w:r w:rsidRPr="00382917">
        <w:t>at</w:t>
      </w:r>
      <w:r w:rsidR="00EE4FC3">
        <w:t xml:space="preserve"> </w:t>
      </w:r>
      <w:r w:rsidRPr="00382917">
        <w:t>last</w:t>
      </w:r>
      <w:r w:rsidR="00EE4FC3">
        <w:t xml:space="preserve"> </w:t>
      </w:r>
      <w:r w:rsidRPr="00382917">
        <w:t>he</w:t>
      </w:r>
      <w:r w:rsidR="00EE4FC3">
        <w:t xml:space="preserve"> </w:t>
      </w:r>
      <w:r w:rsidRPr="00382917">
        <w:t>knew</w:t>
      </w:r>
      <w:r w:rsidR="00EE4FC3">
        <w:t xml:space="preserve"> </w:t>
      </w:r>
      <w:r w:rsidRPr="00382917">
        <w:t>the</w:t>
      </w:r>
      <w:r w:rsidR="00EE4FC3">
        <w:t xml:space="preserve"> </w:t>
      </w:r>
      <w:r w:rsidRPr="00382917">
        <w:t>truth.</w:t>
      </w:r>
    </w:p>
    <w:p w:rsidR="00051AC7" w:rsidRPr="00382917" w:rsidRDefault="00051AC7">
      <w:pPr>
        <w:widowControl/>
        <w:kinsoku/>
        <w:overflowPunct/>
        <w:textAlignment w:val="auto"/>
        <w:rPr>
          <w:rFonts w:ascii="Times New Roman" w:eastAsia="Times New Roman" w:hAnsi="Times New Roman"/>
          <w:color w:val="000000"/>
          <w:sz w:val="24"/>
        </w:rPr>
      </w:pPr>
      <w:r w:rsidRPr="00382917">
        <w:rPr>
          <w:rFonts w:ascii="Times New Roman" w:eastAsia="Times New Roman" w:hAnsi="Times New Roman"/>
          <w:color w:val="000000"/>
          <w:sz w:val="24"/>
        </w:rPr>
        <w:br w:type="page"/>
      </w:r>
    </w:p>
    <w:p w:rsidR="006579C6" w:rsidRPr="00382917" w:rsidRDefault="006579C6" w:rsidP="006D18A4">
      <w:pPr>
        <w:pStyle w:val="Text"/>
      </w:pPr>
      <w:r w:rsidRPr="00382917">
        <w:t>He</w:t>
      </w:r>
      <w:r w:rsidR="00EE4FC3">
        <w:t xml:space="preserve"> </w:t>
      </w:r>
      <w:r w:rsidRPr="00382917">
        <w:t>was</w:t>
      </w:r>
      <w:r w:rsidR="00EE4FC3">
        <w:t xml:space="preserve"> </w:t>
      </w:r>
      <w:r w:rsidRPr="00382917">
        <w:t>now</w:t>
      </w:r>
      <w:r w:rsidR="00EE4FC3">
        <w:t xml:space="preserve"> </w:t>
      </w:r>
      <w:r w:rsidRPr="00382917">
        <w:t>filled</w:t>
      </w:r>
      <w:r w:rsidR="00EE4FC3">
        <w:t xml:space="preserve"> </w:t>
      </w:r>
      <w:r w:rsidRPr="00382917">
        <w:t>with</w:t>
      </w:r>
      <w:r w:rsidR="00EE4FC3">
        <w:t xml:space="preserve"> </w:t>
      </w:r>
      <w:r w:rsidRPr="00382917">
        <w:t>an</w:t>
      </w:r>
      <w:r w:rsidR="00EE4FC3">
        <w:t xml:space="preserve"> </w:t>
      </w:r>
      <w:r w:rsidRPr="00382917">
        <w:t>eagerness</w:t>
      </w:r>
      <w:r w:rsidR="00EE4FC3">
        <w:t xml:space="preserve"> </w:t>
      </w:r>
      <w:r w:rsidRPr="00382917">
        <w:t>to</w:t>
      </w:r>
      <w:r w:rsidR="00EE4FC3">
        <w:t xml:space="preserve"> </w:t>
      </w:r>
      <w:r w:rsidRPr="00382917">
        <w:t>unburden</w:t>
      </w:r>
      <w:r w:rsidR="00EE4FC3">
        <w:t xml:space="preserve"> </w:t>
      </w:r>
      <w:r w:rsidRPr="00382917">
        <w:t>his</w:t>
      </w:r>
      <w:r w:rsidR="00EE4FC3">
        <w:t xml:space="preserve"> </w:t>
      </w:r>
      <w:r w:rsidRPr="00382917">
        <w:t>soul.</w:t>
      </w:r>
      <w:r w:rsidR="00EE4FC3">
        <w:t xml:space="preserve">  </w:t>
      </w:r>
      <w:r w:rsidRPr="00382917">
        <w:t>He</w:t>
      </w:r>
      <w:r w:rsidR="00EE4FC3">
        <w:t xml:space="preserve"> </w:t>
      </w:r>
      <w:r w:rsidRPr="00382917">
        <w:t>began</w:t>
      </w:r>
      <w:r w:rsidR="00EE4FC3">
        <w:t xml:space="preserve"> </w:t>
      </w:r>
      <w:r w:rsidRPr="00382917">
        <w:t>to</w:t>
      </w:r>
      <w:r w:rsidR="00EE4FC3">
        <w:t xml:space="preserve"> </w:t>
      </w:r>
      <w:r w:rsidRPr="00382917">
        <w:t>search</w:t>
      </w:r>
      <w:r w:rsidR="00EE4FC3">
        <w:t xml:space="preserve"> </w:t>
      </w:r>
      <w:r w:rsidRPr="00382917">
        <w:t>for</w:t>
      </w:r>
      <w:r w:rsidR="00EE4FC3">
        <w:t xml:space="preserve"> </w:t>
      </w:r>
      <w:r w:rsidRPr="00382917">
        <w:t>someone</w:t>
      </w:r>
      <w:r w:rsidR="00EE4FC3">
        <w:t xml:space="preserve"> </w:t>
      </w:r>
      <w:r w:rsidRPr="00382917">
        <w:t>with</w:t>
      </w:r>
      <w:r w:rsidR="00EE4FC3">
        <w:t xml:space="preserve"> </w:t>
      </w:r>
      <w:r w:rsidRPr="00382917">
        <w:t>whom</w:t>
      </w:r>
      <w:r w:rsidR="00EE4FC3">
        <w:t xml:space="preserve"> </w:t>
      </w:r>
      <w:r w:rsidRPr="00382917">
        <w:t>he</w:t>
      </w:r>
      <w:r w:rsidR="00EE4FC3">
        <w:t xml:space="preserve"> </w:t>
      </w:r>
      <w:r w:rsidRPr="00382917">
        <w:t>could</w:t>
      </w:r>
      <w:r w:rsidR="00EE4FC3">
        <w:t xml:space="preserve"> </w:t>
      </w:r>
      <w:r w:rsidRPr="00382917">
        <w:t>share</w:t>
      </w:r>
      <w:r w:rsidR="00EE4FC3">
        <w:t xml:space="preserve"> </w:t>
      </w:r>
      <w:r w:rsidRPr="00382917">
        <w:t>his</w:t>
      </w:r>
      <w:r w:rsidR="00EE4FC3">
        <w:t xml:space="preserve"> </w:t>
      </w:r>
      <w:r w:rsidRPr="00382917">
        <w:t>great</w:t>
      </w:r>
      <w:r w:rsidR="00EE4FC3">
        <w:t xml:space="preserve"> </w:t>
      </w:r>
      <w:r w:rsidRPr="00382917">
        <w:t>secret:</w:t>
      </w:r>
      <w:r w:rsidR="00EE4FC3">
        <w:t xml:space="preserve">  </w:t>
      </w:r>
      <w:r w:rsidRPr="00382917">
        <w:t>his</w:t>
      </w:r>
      <w:r w:rsidR="00EE4FC3">
        <w:t xml:space="preserve"> </w:t>
      </w:r>
      <w:r w:rsidRPr="00382917">
        <w:t>certainty</w:t>
      </w:r>
      <w:r w:rsidR="00EE4FC3">
        <w:t xml:space="preserve"> </w:t>
      </w:r>
      <w:r w:rsidRPr="00382917">
        <w:t>of</w:t>
      </w:r>
      <w:r w:rsidR="00EE4FC3">
        <w:t xml:space="preserve"> </w:t>
      </w:r>
      <w:r w:rsidRPr="00382917">
        <w:t>the</w:t>
      </w:r>
      <w:r w:rsidR="00EE4FC3">
        <w:t xml:space="preserve"> </w:t>
      </w:r>
      <w:r w:rsidRPr="00382917">
        <w:t>time</w:t>
      </w:r>
      <w:r w:rsidR="00EE4FC3">
        <w:t xml:space="preserve"> </w:t>
      </w:r>
      <w:r w:rsidRPr="00382917">
        <w:t>and</w:t>
      </w:r>
      <w:r w:rsidR="00EE4FC3">
        <w:t xml:space="preserve"> </w:t>
      </w:r>
      <w:r w:rsidRPr="00382917">
        <w:t>place</w:t>
      </w:r>
      <w:r w:rsidR="00EE4FC3">
        <w:t xml:space="preserve"> </w:t>
      </w:r>
      <w:r w:rsidRPr="00382917">
        <w:t>for</w:t>
      </w:r>
      <w:r w:rsidR="00EE4FC3">
        <w:t xml:space="preserve"> </w:t>
      </w:r>
      <w:r w:rsidRPr="00382917">
        <w:t>the</w:t>
      </w:r>
      <w:r w:rsidR="00EE4FC3">
        <w:t xml:space="preserve"> </w:t>
      </w:r>
      <w:r w:rsidRPr="00382917">
        <w:t>appearance</w:t>
      </w:r>
      <w:r w:rsidR="00EE4FC3">
        <w:t xml:space="preserve"> </w:t>
      </w:r>
      <w:r w:rsidRPr="00382917">
        <w:t>of</w:t>
      </w:r>
      <w:r w:rsidR="00EE4FC3">
        <w:t xml:space="preserve"> </w:t>
      </w:r>
      <w:r w:rsidRPr="00382917">
        <w:t>God</w:t>
      </w:r>
      <w:r w:rsidR="009C713D" w:rsidRPr="00382917">
        <w:t>’</w:t>
      </w:r>
      <w:r w:rsidRPr="00382917">
        <w:t>s</w:t>
      </w:r>
      <w:r w:rsidR="00EE4FC3">
        <w:t xml:space="preserve"> </w:t>
      </w:r>
      <w:r w:rsidRPr="00382917">
        <w:t>new</w:t>
      </w:r>
      <w:r w:rsidR="00EE4FC3">
        <w:t xml:space="preserve"> </w:t>
      </w:r>
      <w:r w:rsidRPr="00382917">
        <w:t>Messenger,</w:t>
      </w:r>
      <w:r w:rsidR="00EE4FC3">
        <w:t xml:space="preserve"> </w:t>
      </w:r>
      <w:r w:rsidRPr="00382917">
        <w:t>Who</w:t>
      </w:r>
      <w:r w:rsidR="00EE4FC3">
        <w:t xml:space="preserve"> </w:t>
      </w:r>
      <w:r w:rsidRPr="00382917">
        <w:t>would</w:t>
      </w:r>
      <w:r w:rsidR="00EE4FC3">
        <w:t xml:space="preserve"> </w:t>
      </w:r>
      <w:proofErr w:type="spellStart"/>
      <w:r w:rsidRPr="00382917">
        <w:t>fulfill</w:t>
      </w:r>
      <w:proofErr w:type="spellEnd"/>
      <w:r w:rsidR="00EE4FC3">
        <w:t xml:space="preserve"> </w:t>
      </w:r>
      <w:r w:rsidRPr="00382917">
        <w:t>all</w:t>
      </w:r>
      <w:r w:rsidR="00EE4FC3">
        <w:t xml:space="preserve"> </w:t>
      </w:r>
      <w:r w:rsidRPr="00382917">
        <w:t>the</w:t>
      </w:r>
      <w:r w:rsidR="00EE4FC3">
        <w:t xml:space="preserve"> </w:t>
      </w:r>
      <w:r w:rsidRPr="00382917">
        <w:t>promises</w:t>
      </w:r>
      <w:r w:rsidR="00EE4FC3">
        <w:t xml:space="preserve"> </w:t>
      </w:r>
      <w:r w:rsidRPr="00382917">
        <w:t>given</w:t>
      </w:r>
      <w:r w:rsidR="00EE4FC3">
        <w:t xml:space="preserve"> </w:t>
      </w:r>
      <w:r w:rsidRPr="00382917">
        <w:t>in</w:t>
      </w:r>
      <w:r w:rsidR="00EE4FC3">
        <w:t xml:space="preserve"> </w:t>
      </w:r>
      <w:r w:rsidRPr="00382917">
        <w:t>the</w:t>
      </w:r>
      <w:r w:rsidR="00EE4FC3">
        <w:t xml:space="preserve"> </w:t>
      </w:r>
      <w:r w:rsidRPr="00382917">
        <w:t>sacred</w:t>
      </w:r>
      <w:r w:rsidR="00EE4FC3">
        <w:t xml:space="preserve"> </w:t>
      </w:r>
      <w:r w:rsidRPr="00382917">
        <w:t>Books.</w:t>
      </w:r>
    </w:p>
    <w:p w:rsidR="006579C6" w:rsidRPr="00382917" w:rsidRDefault="008A073E" w:rsidP="006D18A4">
      <w:pPr>
        <w:pStyle w:val="Text"/>
      </w:pPr>
      <w:r w:rsidRPr="00382917">
        <w:rPr>
          <w:u w:val="single"/>
        </w:rPr>
        <w:t>Sh</w:t>
      </w:r>
      <w:r w:rsidRPr="00382917">
        <w:t>ay</w:t>
      </w:r>
      <w:r w:rsidRPr="00382917">
        <w:rPr>
          <w:u w:val="single"/>
        </w:rPr>
        <w:t>kh</w:t>
      </w:r>
      <w:r w:rsidR="00EE4FC3">
        <w:t xml:space="preserve"> </w:t>
      </w:r>
      <w:r w:rsidRPr="00382917">
        <w:t>Aḥmad</w:t>
      </w:r>
      <w:r w:rsidR="00EE4FC3">
        <w:t xml:space="preserve"> </w:t>
      </w:r>
      <w:r w:rsidR="006579C6" w:rsidRPr="00382917">
        <w:t>made</w:t>
      </w:r>
      <w:r w:rsidR="00EE4FC3">
        <w:t xml:space="preserve"> </w:t>
      </w:r>
      <w:r w:rsidR="006579C6" w:rsidRPr="00382917">
        <w:t>his</w:t>
      </w:r>
      <w:r w:rsidR="00EE4FC3">
        <w:t xml:space="preserve"> </w:t>
      </w:r>
      <w:r w:rsidR="006579C6" w:rsidRPr="00382917">
        <w:t>way</w:t>
      </w:r>
      <w:r w:rsidR="00EE4FC3">
        <w:t xml:space="preserve"> </w:t>
      </w:r>
      <w:r w:rsidR="006579C6" w:rsidRPr="00382917">
        <w:t>on</w:t>
      </w:r>
      <w:r w:rsidR="00EE4FC3">
        <w:t xml:space="preserve"> </w:t>
      </w:r>
      <w:r w:rsidR="006579C6" w:rsidRPr="00382917">
        <w:t>foot</w:t>
      </w:r>
      <w:r w:rsidR="00EE4FC3">
        <w:t xml:space="preserve"> </w:t>
      </w:r>
      <w:r w:rsidR="006579C6" w:rsidRPr="00382917">
        <w:t>to</w:t>
      </w:r>
      <w:r w:rsidR="00EE4FC3">
        <w:t xml:space="preserve"> </w:t>
      </w:r>
      <w:r w:rsidR="006579C6" w:rsidRPr="00382917">
        <w:t>the</w:t>
      </w:r>
      <w:r w:rsidR="00EE4FC3">
        <w:t xml:space="preserve"> </w:t>
      </w:r>
      <w:r w:rsidR="006579C6" w:rsidRPr="00382917">
        <w:t>city</w:t>
      </w:r>
      <w:r w:rsidR="00EE4FC3">
        <w:t xml:space="preserve"> </w:t>
      </w:r>
      <w:r w:rsidR="006579C6" w:rsidRPr="00382917">
        <w:t>of</w:t>
      </w:r>
      <w:r w:rsidR="00EE4FC3">
        <w:t xml:space="preserve"> </w:t>
      </w:r>
      <w:r w:rsidRPr="00382917">
        <w:rPr>
          <w:u w:val="single"/>
        </w:rPr>
        <w:t>Sh</w:t>
      </w:r>
      <w:r w:rsidRPr="00382917">
        <w:t>íráz</w:t>
      </w:r>
      <w:r w:rsidR="00EE4FC3">
        <w:t xml:space="preserve"> </w:t>
      </w:r>
      <w:r w:rsidR="006579C6" w:rsidRPr="00382917">
        <w:t>in</w:t>
      </w:r>
      <w:r w:rsidR="00EE4FC3">
        <w:t xml:space="preserve"> </w:t>
      </w:r>
      <w:r w:rsidR="006579C6" w:rsidRPr="00382917">
        <w:t>southern</w:t>
      </w:r>
      <w:r w:rsidR="00EE4FC3">
        <w:t xml:space="preserve"> </w:t>
      </w:r>
      <w:r w:rsidR="006579C6" w:rsidRPr="00382917">
        <w:t>Persia.</w:t>
      </w:r>
      <w:r w:rsidR="00EE4FC3">
        <w:t xml:space="preserve">  </w:t>
      </w:r>
      <w:r w:rsidR="006579C6" w:rsidRPr="00382917">
        <w:t>Often</w:t>
      </w:r>
      <w:r w:rsidR="00EE4FC3">
        <w:t xml:space="preserve"> </w:t>
      </w:r>
      <w:r w:rsidR="006579C6" w:rsidRPr="00382917">
        <w:t>and</w:t>
      </w:r>
      <w:r w:rsidR="00EE4FC3">
        <w:t xml:space="preserve"> </w:t>
      </w:r>
      <w:r w:rsidR="006579C6" w:rsidRPr="00382917">
        <w:t>passionately</w:t>
      </w:r>
      <w:r w:rsidR="00EE4FC3">
        <w:t xml:space="preserve"> </w:t>
      </w:r>
      <w:r w:rsidR="006579C6" w:rsidRPr="00382917">
        <w:t>in</w:t>
      </w:r>
      <w:r w:rsidR="00EE4FC3">
        <w:t xml:space="preserve"> </w:t>
      </w:r>
      <w:r w:rsidR="006579C6" w:rsidRPr="00382917">
        <w:t>his</w:t>
      </w:r>
      <w:r w:rsidR="00EE4FC3">
        <w:t xml:space="preserve"> </w:t>
      </w:r>
      <w:r w:rsidR="006579C6" w:rsidRPr="00382917">
        <w:t>public</w:t>
      </w:r>
      <w:r w:rsidR="00EE4FC3">
        <w:t xml:space="preserve"> </w:t>
      </w:r>
      <w:r w:rsidR="006579C6" w:rsidRPr="00382917">
        <w:t>talks</w:t>
      </w:r>
      <w:r w:rsidR="00EE4FC3">
        <w:t xml:space="preserve"> </w:t>
      </w:r>
      <w:r w:rsidR="006579C6" w:rsidRPr="00382917">
        <w:t>he</w:t>
      </w:r>
      <w:r w:rsidR="00EE4FC3">
        <w:t xml:space="preserve"> </w:t>
      </w:r>
      <w:r w:rsidR="006579C6" w:rsidRPr="00382917">
        <w:t>extolled</w:t>
      </w:r>
      <w:r w:rsidR="00EE4FC3">
        <w:t xml:space="preserve"> </w:t>
      </w:r>
      <w:r w:rsidR="006579C6" w:rsidRPr="00382917">
        <w:t>that</w:t>
      </w:r>
      <w:r w:rsidR="00EE4FC3">
        <w:t xml:space="preserve"> </w:t>
      </w:r>
      <w:r w:rsidR="006579C6" w:rsidRPr="00382917">
        <w:t>city.</w:t>
      </w:r>
      <w:r w:rsidR="00EE4FC3">
        <w:t xml:space="preserve">  </w:t>
      </w:r>
      <w:r w:rsidR="006579C6" w:rsidRPr="00382917">
        <w:t>Such</w:t>
      </w:r>
      <w:r w:rsidR="00EE4FC3">
        <w:t xml:space="preserve"> </w:t>
      </w:r>
      <w:r w:rsidR="006579C6" w:rsidRPr="00382917">
        <w:t>was</w:t>
      </w:r>
      <w:r w:rsidR="00EE4FC3">
        <w:t xml:space="preserve"> </w:t>
      </w:r>
      <w:r w:rsidR="006579C6" w:rsidRPr="00382917">
        <w:t>the</w:t>
      </w:r>
      <w:r w:rsidR="00EE4FC3">
        <w:t xml:space="preserve"> </w:t>
      </w:r>
      <w:r w:rsidR="006579C6" w:rsidRPr="00382917">
        <w:t>praise</w:t>
      </w:r>
      <w:r w:rsidR="00EE4FC3">
        <w:t xml:space="preserve"> </w:t>
      </w:r>
      <w:r w:rsidR="006579C6" w:rsidRPr="00382917">
        <w:t>he</w:t>
      </w:r>
      <w:r w:rsidR="00EE4FC3">
        <w:t xml:space="preserve"> </w:t>
      </w:r>
      <w:r w:rsidR="006579C6" w:rsidRPr="00382917">
        <w:t>lavished</w:t>
      </w:r>
      <w:r w:rsidR="00EE4FC3">
        <w:t xml:space="preserve"> </w:t>
      </w:r>
      <w:r w:rsidR="006579C6" w:rsidRPr="00382917">
        <w:t>upon</w:t>
      </w:r>
      <w:r w:rsidR="00EE4FC3">
        <w:t xml:space="preserve"> </w:t>
      </w:r>
      <w:r w:rsidRPr="00382917">
        <w:rPr>
          <w:u w:val="single"/>
        </w:rPr>
        <w:t>Sh</w:t>
      </w:r>
      <w:r w:rsidRPr="00382917">
        <w:t>íráz</w:t>
      </w:r>
      <w:r w:rsidR="00EE4FC3">
        <w:t xml:space="preserve"> </w:t>
      </w:r>
      <w:r w:rsidR="006579C6" w:rsidRPr="00382917">
        <w:t>that</w:t>
      </w:r>
      <w:r w:rsidR="00EE4FC3">
        <w:t xml:space="preserve"> </w:t>
      </w:r>
      <w:r w:rsidR="006579C6" w:rsidRPr="00382917">
        <w:t>his</w:t>
      </w:r>
      <w:r w:rsidR="00EE4FC3">
        <w:t xml:space="preserve"> </w:t>
      </w:r>
      <w:r w:rsidR="006579C6" w:rsidRPr="00382917">
        <w:t>hearers,</w:t>
      </w:r>
      <w:r w:rsidR="00EE4FC3">
        <w:t xml:space="preserve"> </w:t>
      </w:r>
      <w:r w:rsidR="006579C6" w:rsidRPr="00382917">
        <w:t>who</w:t>
      </w:r>
      <w:r w:rsidR="00EE4FC3">
        <w:t xml:space="preserve"> </w:t>
      </w:r>
      <w:r w:rsidR="006579C6" w:rsidRPr="00382917">
        <w:t>were</w:t>
      </w:r>
      <w:r w:rsidR="00EE4FC3">
        <w:t xml:space="preserve"> </w:t>
      </w:r>
      <w:r w:rsidR="006579C6" w:rsidRPr="00382917">
        <w:t>only</w:t>
      </w:r>
      <w:r w:rsidR="00EE4FC3">
        <w:t xml:space="preserve"> </w:t>
      </w:r>
      <w:r w:rsidR="006579C6" w:rsidRPr="00382917">
        <w:t>too</w:t>
      </w:r>
      <w:r w:rsidR="00EE4FC3">
        <w:t xml:space="preserve"> </w:t>
      </w:r>
      <w:r w:rsidR="006579C6" w:rsidRPr="00382917">
        <w:t>familiar</w:t>
      </w:r>
      <w:r w:rsidR="00EE4FC3">
        <w:t xml:space="preserve"> </w:t>
      </w:r>
      <w:r w:rsidR="006579C6" w:rsidRPr="00382917">
        <w:t>with</w:t>
      </w:r>
      <w:r w:rsidR="00EE4FC3">
        <w:t xml:space="preserve"> </w:t>
      </w:r>
      <w:r w:rsidR="006579C6" w:rsidRPr="00382917">
        <w:t>its</w:t>
      </w:r>
      <w:r w:rsidR="00EE4FC3">
        <w:t xml:space="preserve"> </w:t>
      </w:r>
      <w:r w:rsidR="006579C6" w:rsidRPr="00382917">
        <w:t>mediocrity,</w:t>
      </w:r>
      <w:r w:rsidR="00EE4FC3">
        <w:t xml:space="preserve"> </w:t>
      </w:r>
      <w:r w:rsidR="006579C6" w:rsidRPr="00382917">
        <w:t>were</w:t>
      </w:r>
      <w:r w:rsidR="00EE4FC3">
        <w:t xml:space="preserve"> </w:t>
      </w:r>
      <w:r w:rsidR="006579C6" w:rsidRPr="00382917">
        <w:t>astonished</w:t>
      </w:r>
      <w:r w:rsidR="00EE4FC3">
        <w:t xml:space="preserve"> </w:t>
      </w:r>
      <w:r w:rsidR="006579C6" w:rsidRPr="00382917">
        <w:t>at</w:t>
      </w:r>
      <w:r w:rsidR="00EE4FC3">
        <w:t xml:space="preserve"> </w:t>
      </w:r>
      <w:r w:rsidR="006579C6" w:rsidRPr="00382917">
        <w:t>the</w:t>
      </w:r>
      <w:r w:rsidR="00EE4FC3">
        <w:t xml:space="preserve"> </w:t>
      </w:r>
      <w:r w:rsidR="006579C6" w:rsidRPr="00382917">
        <w:t>tone</w:t>
      </w:r>
      <w:r w:rsidR="00EE4FC3">
        <w:t xml:space="preserve"> </w:t>
      </w:r>
      <w:r w:rsidR="006579C6" w:rsidRPr="00382917">
        <w:t>of</w:t>
      </w:r>
      <w:r w:rsidR="00EE4FC3">
        <w:t xml:space="preserve"> </w:t>
      </w:r>
      <w:r w:rsidR="006579C6" w:rsidRPr="00382917">
        <w:t>his</w:t>
      </w:r>
      <w:r w:rsidR="00EE4FC3">
        <w:t xml:space="preserve"> </w:t>
      </w:r>
      <w:r w:rsidR="006579C6" w:rsidRPr="00382917">
        <w:t>language.</w:t>
      </w:r>
    </w:p>
    <w:p w:rsidR="006579C6" w:rsidRPr="00382917" w:rsidRDefault="009C713D" w:rsidP="006D18A4">
      <w:pPr>
        <w:pStyle w:val="Text"/>
      </w:pPr>
      <w:r w:rsidRPr="00382917">
        <w:t>“</w:t>
      </w:r>
      <w:r w:rsidR="006579C6" w:rsidRPr="00382917">
        <w:t>Wonder</w:t>
      </w:r>
      <w:r w:rsidR="00EE4FC3">
        <w:t xml:space="preserve"> </w:t>
      </w:r>
      <w:r w:rsidR="006579C6" w:rsidRPr="00382917">
        <w:t>not,</w:t>
      </w:r>
      <w:r w:rsidRPr="00382917">
        <w:t>”</w:t>
      </w:r>
      <w:r w:rsidR="00EE4FC3">
        <w:t xml:space="preserve"> </w:t>
      </w:r>
      <w:r w:rsidR="008A073E" w:rsidRPr="00382917">
        <w:rPr>
          <w:u w:val="single"/>
        </w:rPr>
        <w:t>Sh</w:t>
      </w:r>
      <w:r w:rsidR="008A073E" w:rsidRPr="00382917">
        <w:t>ay</w:t>
      </w:r>
      <w:r w:rsidR="008A073E" w:rsidRPr="00382917">
        <w:rPr>
          <w:u w:val="single"/>
        </w:rPr>
        <w:t>kh</w:t>
      </w:r>
      <w:r w:rsidR="00EE4FC3">
        <w:t xml:space="preserve"> </w:t>
      </w:r>
      <w:r w:rsidR="008A073E" w:rsidRPr="00382917">
        <w:t>Aḥmad</w:t>
      </w:r>
      <w:r w:rsidR="00EE4FC3">
        <w:t xml:space="preserve"> </w:t>
      </w:r>
      <w:r w:rsidR="006579C6" w:rsidRPr="00382917">
        <w:t>told</w:t>
      </w:r>
      <w:r w:rsidR="00EE4FC3">
        <w:t xml:space="preserve"> </w:t>
      </w:r>
      <w:r w:rsidR="006579C6" w:rsidRPr="00382917">
        <w:t>them.</w:t>
      </w:r>
      <w:r w:rsidR="00EE4FC3">
        <w:t xml:space="preserve">  </w:t>
      </w:r>
      <w:r w:rsidRPr="00382917">
        <w:t>“</w:t>
      </w:r>
      <w:r w:rsidR="006579C6" w:rsidRPr="00382917">
        <w:t>Before</w:t>
      </w:r>
      <w:r w:rsidR="00EE4FC3">
        <w:t xml:space="preserve"> </w:t>
      </w:r>
      <w:r w:rsidR="006579C6" w:rsidRPr="00382917">
        <w:t>long</w:t>
      </w:r>
      <w:r w:rsidR="00EE4FC3">
        <w:t xml:space="preserve"> </w:t>
      </w:r>
      <w:r w:rsidR="006579C6" w:rsidRPr="00382917">
        <w:t>the</w:t>
      </w:r>
      <w:r w:rsidR="00EE4FC3">
        <w:t xml:space="preserve"> </w:t>
      </w:r>
      <w:r w:rsidR="006579C6" w:rsidRPr="00382917">
        <w:t>secret</w:t>
      </w:r>
      <w:r w:rsidR="00EE4FC3">
        <w:t xml:space="preserve"> </w:t>
      </w:r>
      <w:r w:rsidR="006579C6" w:rsidRPr="00382917">
        <w:t>of</w:t>
      </w:r>
      <w:r w:rsidR="00EE4FC3">
        <w:t xml:space="preserve"> </w:t>
      </w:r>
      <w:r w:rsidR="006579C6" w:rsidRPr="00382917">
        <w:t>my</w:t>
      </w:r>
      <w:r w:rsidR="00EE4FC3">
        <w:t xml:space="preserve"> </w:t>
      </w:r>
      <w:r w:rsidR="006579C6" w:rsidRPr="00382917">
        <w:t>words</w:t>
      </w:r>
      <w:r w:rsidR="00EE4FC3">
        <w:t xml:space="preserve"> </w:t>
      </w:r>
      <w:r w:rsidR="006579C6" w:rsidRPr="00382917">
        <w:t>will</w:t>
      </w:r>
      <w:r w:rsidR="00EE4FC3">
        <w:t xml:space="preserve"> </w:t>
      </w:r>
      <w:r w:rsidR="006579C6" w:rsidRPr="00382917">
        <w:t>be</w:t>
      </w:r>
      <w:r w:rsidR="00EE4FC3">
        <w:t xml:space="preserve"> </w:t>
      </w:r>
      <w:r w:rsidR="006579C6" w:rsidRPr="00382917">
        <w:t>made</w:t>
      </w:r>
      <w:r w:rsidR="00EE4FC3">
        <w:t xml:space="preserve"> </w:t>
      </w:r>
      <w:r w:rsidR="006579C6" w:rsidRPr="00382917">
        <w:t>clear</w:t>
      </w:r>
      <w:r w:rsidR="00EE4FC3">
        <w:t xml:space="preserve"> </w:t>
      </w:r>
      <w:r w:rsidR="006579C6" w:rsidRPr="00382917">
        <w:t>to</w:t>
      </w:r>
      <w:r w:rsidR="00EE4FC3">
        <w:t xml:space="preserve"> </w:t>
      </w:r>
      <w:r w:rsidR="006579C6" w:rsidRPr="00382917">
        <w:t>you.</w:t>
      </w:r>
      <w:r w:rsidR="00EE4FC3">
        <w:t xml:space="preserve">  </w:t>
      </w:r>
      <w:r w:rsidR="006579C6" w:rsidRPr="00382917">
        <w:t>A</w:t>
      </w:r>
      <w:r w:rsidR="00EE4FC3">
        <w:t xml:space="preserve"> </w:t>
      </w:r>
      <w:r w:rsidR="006579C6" w:rsidRPr="00382917">
        <w:t>number</w:t>
      </w:r>
      <w:r w:rsidR="00EE4FC3">
        <w:t xml:space="preserve"> </w:t>
      </w:r>
      <w:r w:rsidR="006579C6" w:rsidRPr="00382917">
        <w:t>of</w:t>
      </w:r>
      <w:r w:rsidR="00EE4FC3">
        <w:t xml:space="preserve"> </w:t>
      </w:r>
      <w:r w:rsidR="006579C6" w:rsidRPr="00382917">
        <w:t>you</w:t>
      </w:r>
      <w:r w:rsidR="00EE4FC3">
        <w:t xml:space="preserve"> </w:t>
      </w:r>
      <w:r w:rsidR="006579C6" w:rsidRPr="00382917">
        <w:t>will</w:t>
      </w:r>
      <w:r w:rsidR="00EE4FC3">
        <w:t xml:space="preserve"> </w:t>
      </w:r>
      <w:r w:rsidR="006579C6" w:rsidRPr="00382917">
        <w:t>live</w:t>
      </w:r>
      <w:r w:rsidR="00EE4FC3">
        <w:t xml:space="preserve"> </w:t>
      </w:r>
      <w:r w:rsidR="006579C6" w:rsidRPr="00382917">
        <w:t>to</w:t>
      </w:r>
      <w:r w:rsidR="00EE4FC3">
        <w:t xml:space="preserve"> </w:t>
      </w:r>
      <w:r w:rsidR="006579C6" w:rsidRPr="00382917">
        <w:t>behold</w:t>
      </w:r>
      <w:r w:rsidR="00EE4FC3">
        <w:t xml:space="preserve"> </w:t>
      </w:r>
      <w:r w:rsidR="006579C6" w:rsidRPr="00382917">
        <w:t>the</w:t>
      </w:r>
      <w:r w:rsidR="00EE4FC3">
        <w:t xml:space="preserve"> </w:t>
      </w:r>
      <w:r w:rsidR="006579C6" w:rsidRPr="00382917">
        <w:t>glory</w:t>
      </w:r>
      <w:r w:rsidR="00EE4FC3">
        <w:t xml:space="preserve"> </w:t>
      </w:r>
      <w:r w:rsidR="006579C6" w:rsidRPr="00382917">
        <w:t>of</w:t>
      </w:r>
      <w:r w:rsidR="00EE4FC3">
        <w:t xml:space="preserve"> </w:t>
      </w:r>
      <w:r w:rsidR="006579C6" w:rsidRPr="00382917">
        <w:t>a</w:t>
      </w:r>
      <w:r w:rsidR="00EE4FC3">
        <w:t xml:space="preserve"> </w:t>
      </w:r>
      <w:r w:rsidR="006579C6" w:rsidRPr="00382917">
        <w:t>day</w:t>
      </w:r>
      <w:r w:rsidR="00EE4FC3">
        <w:t xml:space="preserve"> </w:t>
      </w:r>
      <w:r w:rsidR="006579C6" w:rsidRPr="00382917">
        <w:t>which</w:t>
      </w:r>
      <w:r w:rsidR="00EE4FC3">
        <w:t xml:space="preserve"> </w:t>
      </w:r>
      <w:r w:rsidR="006579C6" w:rsidRPr="00382917">
        <w:t>all</w:t>
      </w:r>
      <w:r w:rsidR="00EE4FC3">
        <w:t xml:space="preserve"> </w:t>
      </w:r>
      <w:r w:rsidR="006579C6" w:rsidRPr="00382917">
        <w:t>the</w:t>
      </w:r>
      <w:r w:rsidR="00EE4FC3">
        <w:t xml:space="preserve"> </w:t>
      </w:r>
      <w:r w:rsidR="006579C6" w:rsidRPr="00382917">
        <w:t>prophets</w:t>
      </w:r>
      <w:r w:rsidR="00EE4FC3">
        <w:t xml:space="preserve"> </w:t>
      </w:r>
      <w:r w:rsidR="006579C6" w:rsidRPr="00382917">
        <w:t>of</w:t>
      </w:r>
      <w:r w:rsidR="00EE4FC3">
        <w:t xml:space="preserve"> </w:t>
      </w:r>
      <w:r w:rsidR="006579C6" w:rsidRPr="00382917">
        <w:t>old</w:t>
      </w:r>
      <w:r w:rsidR="00EE4FC3">
        <w:t xml:space="preserve"> </w:t>
      </w:r>
      <w:r w:rsidR="006579C6" w:rsidRPr="00382917">
        <w:t>have</w:t>
      </w:r>
      <w:r w:rsidR="00EE4FC3">
        <w:t xml:space="preserve"> </w:t>
      </w:r>
      <w:r w:rsidR="006579C6" w:rsidRPr="00382917">
        <w:t>foretold</w:t>
      </w:r>
      <w:r w:rsidR="00EE4FC3">
        <w:t xml:space="preserve"> </w:t>
      </w:r>
      <w:r w:rsidR="006579C6" w:rsidRPr="00382917">
        <w:t>and</w:t>
      </w:r>
      <w:r w:rsidR="00EE4FC3">
        <w:t xml:space="preserve"> </w:t>
      </w:r>
      <w:r w:rsidR="006579C6" w:rsidRPr="00382917">
        <w:t>have</w:t>
      </w:r>
      <w:r w:rsidR="00EE4FC3">
        <w:t xml:space="preserve"> </w:t>
      </w:r>
      <w:r w:rsidR="006579C6" w:rsidRPr="00382917">
        <w:t>yearned</w:t>
      </w:r>
      <w:r w:rsidR="00EE4FC3">
        <w:t xml:space="preserve"> </w:t>
      </w:r>
      <w:r w:rsidR="006579C6" w:rsidRPr="00382917">
        <w:t>to</w:t>
      </w:r>
      <w:r w:rsidR="00EE4FC3">
        <w:t xml:space="preserve"> </w:t>
      </w:r>
      <w:r w:rsidR="006579C6" w:rsidRPr="00382917">
        <w:t>witness.</w:t>
      </w:r>
    </w:p>
    <w:p w:rsidR="006579C6" w:rsidRPr="00382917" w:rsidRDefault="006579C6" w:rsidP="006D18A4">
      <w:pPr>
        <w:pStyle w:val="Text"/>
      </w:pPr>
      <w:r w:rsidRPr="00382917">
        <w:t>There</w:t>
      </w:r>
      <w:r w:rsidR="00EE4FC3">
        <w:t xml:space="preserve"> </w:t>
      </w:r>
      <w:r w:rsidRPr="00382917">
        <w:t>was</w:t>
      </w:r>
      <w:r w:rsidR="00EE4FC3">
        <w:t xml:space="preserve"> </w:t>
      </w:r>
      <w:r w:rsidRPr="00382917">
        <w:t>no</w:t>
      </w:r>
      <w:r w:rsidR="00EE4FC3">
        <w:t xml:space="preserve"> </w:t>
      </w:r>
      <w:r w:rsidRPr="00382917">
        <w:t>one</w:t>
      </w:r>
      <w:r w:rsidR="00EE4FC3">
        <w:t xml:space="preserve"> </w:t>
      </w:r>
      <w:r w:rsidRPr="00382917">
        <w:t>to</w:t>
      </w:r>
      <w:r w:rsidR="00EE4FC3">
        <w:t xml:space="preserve"> </w:t>
      </w:r>
      <w:r w:rsidRPr="00382917">
        <w:t>whom</w:t>
      </w:r>
      <w:r w:rsidR="00EE4FC3">
        <w:t xml:space="preserve"> </w:t>
      </w:r>
      <w:r w:rsidR="008A073E" w:rsidRPr="00382917">
        <w:rPr>
          <w:u w:val="single"/>
        </w:rPr>
        <w:t>Sh</w:t>
      </w:r>
      <w:r w:rsidR="008A073E" w:rsidRPr="00382917">
        <w:t>ay</w:t>
      </w:r>
      <w:r w:rsidR="008A073E" w:rsidRPr="00382917">
        <w:rPr>
          <w:u w:val="single"/>
        </w:rPr>
        <w:t>kh</w:t>
      </w:r>
      <w:r w:rsidR="00EE4FC3">
        <w:t xml:space="preserve"> </w:t>
      </w:r>
      <w:r w:rsidR="008A073E" w:rsidRPr="00382917">
        <w:t>Aḥmad</w:t>
      </w:r>
      <w:r w:rsidR="00EE4FC3">
        <w:t xml:space="preserve"> </w:t>
      </w:r>
      <w:r w:rsidRPr="00382917">
        <w:t>was</w:t>
      </w:r>
      <w:r w:rsidR="00EE4FC3">
        <w:t xml:space="preserve"> </w:t>
      </w:r>
      <w:r w:rsidRPr="00382917">
        <w:t>able</w:t>
      </w:r>
      <w:r w:rsidR="00EE4FC3">
        <w:t xml:space="preserve"> </w:t>
      </w:r>
      <w:r w:rsidRPr="00382917">
        <w:t>to</w:t>
      </w:r>
      <w:r w:rsidR="00EE4FC3">
        <w:t xml:space="preserve"> </w:t>
      </w:r>
      <w:r w:rsidRPr="00382917">
        <w:t>pour</w:t>
      </w:r>
      <w:r w:rsidR="00EE4FC3">
        <w:t xml:space="preserve"> </w:t>
      </w:r>
      <w:r w:rsidRPr="00382917">
        <w:t>out</w:t>
      </w:r>
      <w:r w:rsidR="00EE4FC3">
        <w:t xml:space="preserve"> </w:t>
      </w:r>
      <w:r w:rsidRPr="00382917">
        <w:t>his</w:t>
      </w:r>
      <w:r w:rsidR="00EE4FC3">
        <w:t xml:space="preserve"> </w:t>
      </w:r>
      <w:r w:rsidRPr="00382917">
        <w:t>knowledge</w:t>
      </w:r>
      <w:r w:rsidR="00EE4FC3">
        <w:t xml:space="preserve"> </w:t>
      </w:r>
      <w:r w:rsidRPr="00382917">
        <w:t>in</w:t>
      </w:r>
      <w:r w:rsidR="00EE4FC3">
        <w:t xml:space="preserve"> </w:t>
      </w:r>
      <w:r w:rsidRPr="00382917">
        <w:t>its</w:t>
      </w:r>
      <w:r w:rsidR="00EE4FC3">
        <w:t xml:space="preserve"> </w:t>
      </w:r>
      <w:r w:rsidRPr="00382917">
        <w:t>entirety.</w:t>
      </w:r>
      <w:r w:rsidR="00EE4FC3">
        <w:t xml:space="preserve">  </w:t>
      </w:r>
      <w:r w:rsidRPr="00382917">
        <w:t>He</w:t>
      </w:r>
      <w:r w:rsidR="00EE4FC3">
        <w:t xml:space="preserve"> </w:t>
      </w:r>
      <w:r w:rsidRPr="00382917">
        <w:t>feared</w:t>
      </w:r>
      <w:r w:rsidR="00EE4FC3">
        <w:t xml:space="preserve"> </w:t>
      </w:r>
      <w:r w:rsidRPr="00382917">
        <w:t>what</w:t>
      </w:r>
      <w:r w:rsidR="00EE4FC3">
        <w:t xml:space="preserve"> </w:t>
      </w:r>
      <w:r w:rsidRPr="00382917">
        <w:t>the</w:t>
      </w:r>
      <w:r w:rsidR="00EE4FC3">
        <w:t xml:space="preserve"> </w:t>
      </w:r>
      <w:r w:rsidRPr="00382917">
        <w:t>people</w:t>
      </w:r>
      <w:r w:rsidR="00EE4FC3">
        <w:t xml:space="preserve"> </w:t>
      </w:r>
      <w:r w:rsidRPr="00382917">
        <w:t>might</w:t>
      </w:r>
      <w:r w:rsidR="00EE4FC3">
        <w:t xml:space="preserve"> </w:t>
      </w:r>
      <w:r w:rsidRPr="00382917">
        <w:t>do</w:t>
      </w:r>
      <w:r w:rsidR="00EE4FC3">
        <w:t xml:space="preserve"> </w:t>
      </w:r>
      <w:r w:rsidRPr="00382917">
        <w:t>to</w:t>
      </w:r>
      <w:r w:rsidR="00EE4FC3">
        <w:t xml:space="preserve"> </w:t>
      </w:r>
      <w:r w:rsidRPr="00382917">
        <w:t>the</w:t>
      </w:r>
      <w:r w:rsidR="00EE4FC3">
        <w:t xml:space="preserve"> </w:t>
      </w:r>
      <w:r w:rsidRPr="00382917">
        <w:t>One</w:t>
      </w:r>
      <w:r w:rsidR="00EE4FC3">
        <w:t xml:space="preserve"> </w:t>
      </w:r>
      <w:r w:rsidRPr="00382917">
        <w:t>whose</w:t>
      </w:r>
      <w:r w:rsidR="00EE4FC3">
        <w:t xml:space="preserve"> </w:t>
      </w:r>
      <w:r w:rsidRPr="00382917">
        <w:t>coming</w:t>
      </w:r>
      <w:r w:rsidR="00EE4FC3">
        <w:t xml:space="preserve"> </w:t>
      </w:r>
      <w:r w:rsidRPr="00382917">
        <w:t>had</w:t>
      </w:r>
      <w:r w:rsidR="00EE4FC3">
        <w:t xml:space="preserve"> </w:t>
      </w:r>
      <w:r w:rsidRPr="00382917">
        <w:t>set</w:t>
      </w:r>
      <w:r w:rsidR="00EE4FC3">
        <w:t xml:space="preserve"> </w:t>
      </w:r>
      <w:r w:rsidRPr="00382917">
        <w:t>his</w:t>
      </w:r>
      <w:r w:rsidR="00EE4FC3">
        <w:t xml:space="preserve"> </w:t>
      </w:r>
      <w:r w:rsidRPr="00382917">
        <w:t>heart</w:t>
      </w:r>
      <w:r w:rsidR="00EE4FC3">
        <w:t xml:space="preserve"> </w:t>
      </w:r>
      <w:r w:rsidRPr="00382917">
        <w:t>on</w:t>
      </w:r>
      <w:r w:rsidR="00EE4FC3">
        <w:t xml:space="preserve"> </w:t>
      </w:r>
      <w:r w:rsidRPr="00382917">
        <w:t>fire.</w:t>
      </w:r>
      <w:r w:rsidR="00EE4FC3">
        <w:t xml:space="preserve">  </w:t>
      </w:r>
      <w:r w:rsidRPr="00382917">
        <w:t>He</w:t>
      </w:r>
      <w:r w:rsidR="00EE4FC3">
        <w:t xml:space="preserve"> </w:t>
      </w:r>
      <w:r w:rsidRPr="00382917">
        <w:t>knew</w:t>
      </w:r>
      <w:r w:rsidR="00EE4FC3">
        <w:t xml:space="preserve"> </w:t>
      </w:r>
      <w:r w:rsidRPr="00382917">
        <w:t>he</w:t>
      </w:r>
      <w:r w:rsidR="00EE4FC3">
        <w:t xml:space="preserve"> </w:t>
      </w:r>
      <w:r w:rsidRPr="00382917">
        <w:t>must</w:t>
      </w:r>
      <w:r w:rsidR="00EE4FC3">
        <w:t xml:space="preserve"> </w:t>
      </w:r>
      <w:r w:rsidRPr="00382917">
        <w:t>wait</w:t>
      </w:r>
      <w:r w:rsidR="00EE4FC3">
        <w:t xml:space="preserve"> </w:t>
      </w:r>
      <w:r w:rsidRPr="00382917">
        <w:t>patiently</w:t>
      </w:r>
      <w:r w:rsidR="00EE4FC3">
        <w:t xml:space="preserve"> </w:t>
      </w:r>
      <w:r w:rsidRPr="00382917">
        <w:t>until</w:t>
      </w:r>
      <w:r w:rsidR="00EE4FC3">
        <w:t xml:space="preserve"> </w:t>
      </w:r>
      <w:r w:rsidRPr="00382917">
        <w:t>a</w:t>
      </w:r>
      <w:r w:rsidR="00EE4FC3">
        <w:t xml:space="preserve"> </w:t>
      </w:r>
      <w:r w:rsidRPr="00382917">
        <w:t>kindred</w:t>
      </w:r>
      <w:r w:rsidR="00EE4FC3">
        <w:t xml:space="preserve"> </w:t>
      </w:r>
      <w:r w:rsidRPr="00382917">
        <w:t>soul</w:t>
      </w:r>
      <w:r w:rsidR="00EE4FC3">
        <w:t xml:space="preserve"> </w:t>
      </w:r>
      <w:r w:rsidRPr="00382917">
        <w:t>appeared</w:t>
      </w:r>
      <w:r w:rsidR="00EE4FC3">
        <w:t xml:space="preserve"> </w:t>
      </w:r>
      <w:r w:rsidRPr="00382917">
        <w:t>with</w:t>
      </w:r>
      <w:r w:rsidR="00EE4FC3">
        <w:t xml:space="preserve"> </w:t>
      </w:r>
      <w:r w:rsidRPr="00382917">
        <w:t>whom</w:t>
      </w:r>
      <w:r w:rsidR="00EE4FC3">
        <w:t xml:space="preserve"> </w:t>
      </w:r>
      <w:r w:rsidRPr="00382917">
        <w:t>he</w:t>
      </w:r>
      <w:r w:rsidR="00EE4FC3">
        <w:t xml:space="preserve"> </w:t>
      </w:r>
      <w:r w:rsidRPr="00382917">
        <w:t>could</w:t>
      </w:r>
      <w:r w:rsidR="00EE4FC3">
        <w:t xml:space="preserve"> </w:t>
      </w:r>
      <w:r w:rsidRPr="00382917">
        <w:t>share</w:t>
      </w:r>
      <w:r w:rsidR="00EE4FC3">
        <w:t xml:space="preserve"> </w:t>
      </w:r>
      <w:r w:rsidRPr="00382917">
        <w:t>his</w:t>
      </w:r>
      <w:r w:rsidR="00EE4FC3">
        <w:t xml:space="preserve"> </w:t>
      </w:r>
      <w:r w:rsidRPr="00382917">
        <w:t>secret.</w:t>
      </w:r>
    </w:p>
    <w:p w:rsidR="00E13D49" w:rsidRPr="00382917" w:rsidRDefault="006579C6" w:rsidP="008A073E">
      <w:pPr>
        <w:pStyle w:val="Text"/>
      </w:pPr>
      <w:r w:rsidRPr="00382917">
        <w:t>During</w:t>
      </w:r>
      <w:r w:rsidR="00EE4FC3">
        <w:t xml:space="preserve"> </w:t>
      </w:r>
      <w:r w:rsidRPr="00382917">
        <w:t>those</w:t>
      </w:r>
      <w:r w:rsidR="00EE4FC3">
        <w:t xml:space="preserve"> </w:t>
      </w:r>
      <w:r w:rsidRPr="00382917">
        <w:t>days,</w:t>
      </w:r>
      <w:r w:rsidR="00EE4FC3">
        <w:t xml:space="preserve"> </w:t>
      </w:r>
      <w:r w:rsidRPr="00382917">
        <w:t>a</w:t>
      </w:r>
      <w:r w:rsidR="00EE4FC3">
        <w:t xml:space="preserve"> </w:t>
      </w:r>
      <w:r w:rsidRPr="00382917">
        <w:t>young</w:t>
      </w:r>
      <w:r w:rsidR="00EE4FC3">
        <w:t xml:space="preserve"> </w:t>
      </w:r>
      <w:r w:rsidRPr="00382917">
        <w:t>man</w:t>
      </w:r>
      <w:r w:rsidR="00EE4FC3">
        <w:t xml:space="preserve"> </w:t>
      </w:r>
      <w:r w:rsidRPr="00382917">
        <w:t>named</w:t>
      </w:r>
      <w:r w:rsidR="00EE4FC3">
        <w:t xml:space="preserve"> </w:t>
      </w:r>
      <w:r w:rsidRPr="00382917">
        <w:t>Siyyid</w:t>
      </w:r>
      <w:r w:rsidR="00EE4FC3">
        <w:t xml:space="preserve"> </w:t>
      </w:r>
      <w:r w:rsidR="00665A7A" w:rsidRPr="00382917">
        <w:t>Káẓim</w:t>
      </w:r>
      <w:r w:rsidR="00EE4FC3">
        <w:t xml:space="preserve"> </w:t>
      </w:r>
      <w:r w:rsidRPr="00382917">
        <w:t>was</w:t>
      </w:r>
      <w:r w:rsidR="00EE4FC3">
        <w:t xml:space="preserve"> </w:t>
      </w:r>
      <w:r w:rsidRPr="00382917">
        <w:t>already</w:t>
      </w:r>
      <w:r w:rsidR="00EE4FC3">
        <w:t xml:space="preserve"> </w:t>
      </w:r>
      <w:r w:rsidRPr="00382917">
        <w:t>on</w:t>
      </w:r>
      <w:r w:rsidR="00EE4FC3">
        <w:t xml:space="preserve"> </w:t>
      </w:r>
      <w:r w:rsidRPr="00382917">
        <w:t>his</w:t>
      </w:r>
      <w:r w:rsidR="00EE4FC3">
        <w:t xml:space="preserve"> </w:t>
      </w:r>
      <w:r w:rsidRPr="00382917">
        <w:t>way</w:t>
      </w:r>
      <w:r w:rsidR="00EE4FC3">
        <w:t xml:space="preserve"> </w:t>
      </w:r>
      <w:r w:rsidRPr="00382917">
        <w:t>to</w:t>
      </w:r>
      <w:r w:rsidR="00EE4FC3">
        <w:t xml:space="preserve"> </w:t>
      </w:r>
      <w:r w:rsidRPr="00382917">
        <w:t>visit</w:t>
      </w:r>
      <w:r w:rsidR="00EE4FC3">
        <w:t xml:space="preserve"> </w:t>
      </w:r>
      <w:r w:rsidR="008A073E" w:rsidRPr="00382917">
        <w:rPr>
          <w:u w:val="single"/>
        </w:rPr>
        <w:t>Sh</w:t>
      </w:r>
      <w:r w:rsidR="008A073E" w:rsidRPr="00382917">
        <w:t>ay</w:t>
      </w:r>
      <w:r w:rsidR="008A073E" w:rsidRPr="00382917">
        <w:rPr>
          <w:u w:val="single"/>
        </w:rPr>
        <w:t>kh</w:t>
      </w:r>
      <w:r w:rsidR="00EE4FC3">
        <w:t xml:space="preserve"> </w:t>
      </w:r>
      <w:r w:rsidRPr="00382917">
        <w:t>A</w:t>
      </w:r>
      <w:r w:rsidR="00665A7A" w:rsidRPr="00382917">
        <w:t>ḥ</w:t>
      </w:r>
      <w:r w:rsidRPr="00382917">
        <w:t>mad.</w:t>
      </w:r>
      <w:r w:rsidR="00EE4FC3">
        <w:t xml:space="preserve">  </w:t>
      </w:r>
      <w:r w:rsidRPr="00382917">
        <w:t>He</w:t>
      </w:r>
      <w:r w:rsidR="00EE4FC3">
        <w:t xml:space="preserve"> </w:t>
      </w:r>
      <w:r w:rsidRPr="00382917">
        <w:t>had</w:t>
      </w:r>
      <w:r w:rsidR="00EE4FC3">
        <w:t xml:space="preserve"> </w:t>
      </w:r>
      <w:r w:rsidRPr="00382917">
        <w:t>heard</w:t>
      </w:r>
      <w:r w:rsidR="00EE4FC3">
        <w:t xml:space="preserve"> </w:t>
      </w:r>
      <w:r w:rsidRPr="00382917">
        <w:t>of</w:t>
      </w:r>
      <w:r w:rsidR="00EE4FC3">
        <w:t xml:space="preserve"> </w:t>
      </w:r>
      <w:r w:rsidRPr="00382917">
        <w:t>this</w:t>
      </w:r>
      <w:r w:rsidR="00EE4FC3">
        <w:t xml:space="preserve"> </w:t>
      </w:r>
      <w:r w:rsidRPr="00382917">
        <w:t>great</w:t>
      </w:r>
      <w:r w:rsidR="00EE4FC3">
        <w:t xml:space="preserve"> </w:t>
      </w:r>
      <w:r w:rsidRPr="00382917">
        <w:t>man,</w:t>
      </w:r>
      <w:r w:rsidR="00EE4FC3">
        <w:t xml:space="preserve"> </w:t>
      </w:r>
      <w:r w:rsidRPr="00382917">
        <w:t>and</w:t>
      </w:r>
      <w:r w:rsidR="00EE4FC3">
        <w:t xml:space="preserve"> </w:t>
      </w:r>
      <w:r w:rsidRPr="00382917">
        <w:t>thought</w:t>
      </w:r>
      <w:r w:rsidR="00EE4FC3">
        <w:t xml:space="preserve"> </w:t>
      </w:r>
      <w:r w:rsidRPr="00382917">
        <w:t>perhaps</w:t>
      </w:r>
      <w:r w:rsidR="00EE4FC3">
        <w:t xml:space="preserve"> </w:t>
      </w:r>
      <w:r w:rsidR="008A073E" w:rsidRPr="00382917">
        <w:rPr>
          <w:u w:val="single"/>
        </w:rPr>
        <w:t>Sh</w:t>
      </w:r>
      <w:r w:rsidR="008A073E" w:rsidRPr="00382917">
        <w:t>ay</w:t>
      </w:r>
      <w:r w:rsidR="008A073E" w:rsidRPr="00382917">
        <w:rPr>
          <w:u w:val="single"/>
        </w:rPr>
        <w:t>kh</w:t>
      </w:r>
      <w:r w:rsidR="00EE4FC3">
        <w:t xml:space="preserve"> </w:t>
      </w:r>
      <w:r w:rsidR="008A073E" w:rsidRPr="00382917">
        <w:t>Aḥmad</w:t>
      </w:r>
      <w:r w:rsidR="00EE4FC3">
        <w:t xml:space="preserve"> </w:t>
      </w:r>
      <w:r w:rsidRPr="00382917">
        <w:t>himself</w:t>
      </w:r>
      <w:r w:rsidR="00EE4FC3">
        <w:t xml:space="preserve"> </w:t>
      </w:r>
      <w:r w:rsidRPr="00382917">
        <w:t>might</w:t>
      </w:r>
      <w:r w:rsidR="00EE4FC3">
        <w:t xml:space="preserve"> </w:t>
      </w:r>
      <w:r w:rsidRPr="00382917">
        <w:t>be</w:t>
      </w:r>
      <w:r w:rsidR="00EE4FC3">
        <w:t xml:space="preserve"> </w:t>
      </w:r>
      <w:r w:rsidRPr="00382917">
        <w:t>the</w:t>
      </w:r>
      <w:r w:rsidR="00EE4FC3">
        <w:t xml:space="preserve"> </w:t>
      </w:r>
      <w:r w:rsidRPr="00382917">
        <w:t>Promised</w:t>
      </w:r>
      <w:r w:rsidR="00EE4FC3">
        <w:t xml:space="preserve"> </w:t>
      </w:r>
      <w:r w:rsidRPr="00382917">
        <w:t>One.</w:t>
      </w:r>
      <w:r w:rsidR="00EE4FC3">
        <w:t xml:space="preserve">  </w:t>
      </w:r>
      <w:r w:rsidRPr="00382917">
        <w:t>Siyyid</w:t>
      </w:r>
      <w:r w:rsidR="00EE4FC3">
        <w:t xml:space="preserve"> </w:t>
      </w:r>
      <w:r w:rsidRPr="00382917">
        <w:t>Ká</w:t>
      </w:r>
      <w:r w:rsidR="00665A7A" w:rsidRPr="00382917">
        <w:t>ẓ</w:t>
      </w:r>
      <w:r w:rsidRPr="00382917">
        <w:t>im</w:t>
      </w:r>
      <w:r w:rsidR="00EE4FC3">
        <w:t xml:space="preserve"> </w:t>
      </w:r>
      <w:r w:rsidRPr="00382917">
        <w:t>lived</w:t>
      </w:r>
      <w:r w:rsidR="00EE4FC3">
        <w:t xml:space="preserve"> </w:t>
      </w:r>
      <w:r w:rsidRPr="00382917">
        <w:t>near</w:t>
      </w:r>
      <w:r w:rsidR="00EE4FC3">
        <w:t xml:space="preserve"> </w:t>
      </w:r>
      <w:r w:rsidRPr="00382917">
        <w:t>a</w:t>
      </w:r>
      <w:r w:rsidR="00EE4FC3">
        <w:t xml:space="preserve"> </w:t>
      </w:r>
      <w:r w:rsidRPr="00382917">
        <w:t>famous</w:t>
      </w:r>
      <w:r w:rsidR="00EE4FC3">
        <w:t xml:space="preserve"> </w:t>
      </w:r>
      <w:r w:rsidRPr="00382917">
        <w:t>tomb</w:t>
      </w:r>
      <w:r w:rsidR="00EE4FC3">
        <w:t xml:space="preserve"> </w:t>
      </w:r>
      <w:r w:rsidRPr="00382917">
        <w:t>at</w:t>
      </w:r>
      <w:r w:rsidR="00EE4FC3">
        <w:t xml:space="preserve"> </w:t>
      </w:r>
      <w:r w:rsidR="00665A7A" w:rsidRPr="00382917">
        <w:t>Ardibíl</w:t>
      </w:r>
      <w:r w:rsidRPr="00382917">
        <w:t>.</w:t>
      </w:r>
      <w:r w:rsidR="00EE4FC3">
        <w:t xml:space="preserve">  </w:t>
      </w:r>
      <w:r w:rsidRPr="00382917">
        <w:t>One</w:t>
      </w:r>
      <w:r w:rsidR="00EE4FC3">
        <w:t xml:space="preserve"> </w:t>
      </w:r>
      <w:r w:rsidRPr="00382917">
        <w:t>night</w:t>
      </w:r>
      <w:r w:rsidR="00EE4FC3">
        <w:t xml:space="preserve"> </w:t>
      </w:r>
      <w:r w:rsidRPr="00382917">
        <w:t>in</w:t>
      </w:r>
      <w:r w:rsidR="00EE4FC3">
        <w:t xml:space="preserve"> </w:t>
      </w:r>
      <w:r w:rsidRPr="00382917">
        <w:t>a</w:t>
      </w:r>
      <w:r w:rsidR="00EE4FC3">
        <w:t xml:space="preserve"> </w:t>
      </w:r>
      <w:r w:rsidRPr="00382917">
        <w:t>dream</w:t>
      </w:r>
      <w:r w:rsidR="00EE4FC3">
        <w:t xml:space="preserve"> </w:t>
      </w:r>
      <w:r w:rsidRPr="00382917">
        <w:t>he</w:t>
      </w:r>
      <w:r w:rsidR="00EE4FC3">
        <w:t xml:space="preserve"> </w:t>
      </w:r>
      <w:r w:rsidRPr="00382917">
        <w:t>was</w:t>
      </w:r>
      <w:r w:rsidR="00EE4FC3">
        <w:t xml:space="preserve"> </w:t>
      </w:r>
      <w:r w:rsidRPr="00382917">
        <w:t>told</w:t>
      </w:r>
      <w:r w:rsidR="00EE4FC3">
        <w:t xml:space="preserve"> </w:t>
      </w:r>
      <w:r w:rsidRPr="00382917">
        <w:t>to</w:t>
      </w:r>
      <w:r w:rsidR="00EE4FC3">
        <w:t xml:space="preserve"> </w:t>
      </w:r>
      <w:r w:rsidRPr="00382917">
        <w:t>arise</w:t>
      </w:r>
      <w:r w:rsidR="00EE4FC3">
        <w:t xml:space="preserve"> </w:t>
      </w:r>
      <w:r w:rsidRPr="00382917">
        <w:t>and</w:t>
      </w:r>
      <w:r w:rsidR="00EE4FC3">
        <w:t xml:space="preserve"> </w:t>
      </w:r>
      <w:r w:rsidRPr="00382917">
        <w:t>put</w:t>
      </w:r>
      <w:r w:rsidR="00EE4FC3">
        <w:t xml:space="preserve"> </w:t>
      </w:r>
      <w:r w:rsidRPr="00382917">
        <w:t>himself</w:t>
      </w:r>
      <w:r w:rsidR="00EE4FC3">
        <w:t xml:space="preserve"> </w:t>
      </w:r>
      <w:r w:rsidRPr="00382917">
        <w:t>under</w:t>
      </w:r>
      <w:r w:rsidR="00EE4FC3">
        <w:t xml:space="preserve"> </w:t>
      </w:r>
      <w:r w:rsidRPr="00382917">
        <w:t>the</w:t>
      </w:r>
      <w:r w:rsidR="00EE4FC3">
        <w:t xml:space="preserve"> </w:t>
      </w:r>
      <w:r w:rsidRPr="00382917">
        <w:t>spiritual</w:t>
      </w:r>
      <w:r w:rsidR="00EE4FC3">
        <w:t xml:space="preserve"> </w:t>
      </w:r>
      <w:r w:rsidRPr="00382917">
        <w:t>guidance</w:t>
      </w:r>
      <w:r w:rsidR="00EE4FC3">
        <w:t xml:space="preserve"> </w:t>
      </w:r>
      <w:r w:rsidRPr="00382917">
        <w:t>of</w:t>
      </w:r>
      <w:r w:rsidR="00EE4FC3">
        <w:t xml:space="preserve"> </w:t>
      </w:r>
      <w:r w:rsidR="008A073E" w:rsidRPr="00382917">
        <w:rPr>
          <w:u w:val="single"/>
        </w:rPr>
        <w:t>Sh</w:t>
      </w:r>
      <w:r w:rsidR="008A073E" w:rsidRPr="00382917">
        <w:t>ay</w:t>
      </w:r>
      <w:r w:rsidR="008A073E" w:rsidRPr="00382917">
        <w:rPr>
          <w:u w:val="single"/>
        </w:rPr>
        <w:t>kh</w:t>
      </w:r>
      <w:r w:rsidR="00EE4FC3">
        <w:t xml:space="preserve"> </w:t>
      </w:r>
      <w:r w:rsidR="008A073E" w:rsidRPr="00382917">
        <w:t>Aḥmad</w:t>
      </w:r>
      <w:r w:rsidR="00EE4FC3">
        <w:t xml:space="preserve"> </w:t>
      </w:r>
      <w:r w:rsidRPr="00382917">
        <w:t>whom</w:t>
      </w:r>
      <w:r w:rsidR="00EE4FC3">
        <w:t xml:space="preserve"> </w:t>
      </w:r>
      <w:r w:rsidRPr="00382917">
        <w:t>he</w:t>
      </w:r>
      <w:r w:rsidR="00EE4FC3">
        <w:t xml:space="preserve"> </w:t>
      </w:r>
      <w:r w:rsidRPr="00382917">
        <w:t>would</w:t>
      </w:r>
      <w:r w:rsidR="00EE4FC3">
        <w:t xml:space="preserve"> </w:t>
      </w:r>
      <w:r w:rsidRPr="00382917">
        <w:t>find</w:t>
      </w:r>
      <w:r w:rsidR="00EE4FC3">
        <w:t xml:space="preserve"> </w:t>
      </w:r>
      <w:r w:rsidRPr="00382917">
        <w:t>residing</w:t>
      </w:r>
      <w:r w:rsidR="00EE4FC3">
        <w:t xml:space="preserve"> </w:t>
      </w:r>
      <w:r w:rsidRPr="00382917">
        <w:t>at</w:t>
      </w:r>
      <w:r w:rsidR="00EE4FC3">
        <w:t xml:space="preserve"> </w:t>
      </w:r>
      <w:r w:rsidRPr="00382917">
        <w:t>Yazd.</w:t>
      </w:r>
      <w:r w:rsidR="008A073E" w:rsidRPr="00382917">
        <w:rPr>
          <w:rStyle w:val="FootnoteReference"/>
        </w:rPr>
        <w:footnoteReference w:id="4"/>
      </w:r>
    </w:p>
    <w:p w:rsidR="006579C6" w:rsidRPr="00382917" w:rsidRDefault="006579C6" w:rsidP="008A073E">
      <w:pPr>
        <w:pStyle w:val="Text"/>
      </w:pPr>
      <w:r w:rsidRPr="00382917">
        <w:t>Siyyid</w:t>
      </w:r>
      <w:r w:rsidR="00EE4FC3">
        <w:t xml:space="preserve"> </w:t>
      </w:r>
      <w:r w:rsidRPr="00382917">
        <w:t>Ká</w:t>
      </w:r>
      <w:r w:rsidR="008A073E" w:rsidRPr="00382917">
        <w:t>ẓ</w:t>
      </w:r>
      <w:r w:rsidRPr="00382917">
        <w:t>im</w:t>
      </w:r>
      <w:r w:rsidR="00EE4FC3">
        <w:t xml:space="preserve"> </w:t>
      </w:r>
      <w:r w:rsidRPr="00382917">
        <w:t>began</w:t>
      </w:r>
      <w:r w:rsidR="00EE4FC3">
        <w:t xml:space="preserve"> </w:t>
      </w:r>
      <w:r w:rsidRPr="00382917">
        <w:t>his</w:t>
      </w:r>
      <w:r w:rsidR="00EE4FC3">
        <w:t xml:space="preserve"> </w:t>
      </w:r>
      <w:r w:rsidRPr="00382917">
        <w:t>journey</w:t>
      </w:r>
      <w:r w:rsidR="00EE4FC3">
        <w:t xml:space="preserve"> </w:t>
      </w:r>
      <w:r w:rsidRPr="00382917">
        <w:t>to</w:t>
      </w:r>
      <w:r w:rsidR="00EE4FC3">
        <w:t xml:space="preserve"> </w:t>
      </w:r>
      <w:r w:rsidRPr="00382917">
        <w:t>Yazd</w:t>
      </w:r>
      <w:r w:rsidR="00EE4FC3">
        <w:t xml:space="preserve"> </w:t>
      </w:r>
      <w:r w:rsidRPr="00382917">
        <w:t>at</w:t>
      </w:r>
      <w:r w:rsidR="00EE4FC3">
        <w:t xml:space="preserve"> </w:t>
      </w:r>
      <w:r w:rsidRPr="00382917">
        <w:t>once.</w:t>
      </w:r>
      <w:r w:rsidR="00EE4FC3">
        <w:t xml:space="preserve">  </w:t>
      </w:r>
      <w:r w:rsidRPr="00382917">
        <w:t>When</w:t>
      </w:r>
      <w:r w:rsidR="00EE4FC3">
        <w:t xml:space="preserve"> </w:t>
      </w:r>
      <w:r w:rsidRPr="00382917">
        <w:t>he</w:t>
      </w:r>
      <w:r w:rsidR="00EE4FC3">
        <w:t xml:space="preserve"> </w:t>
      </w:r>
      <w:r w:rsidRPr="00382917">
        <w:t>reached</w:t>
      </w:r>
      <w:r w:rsidR="00EE4FC3">
        <w:t xml:space="preserve"> </w:t>
      </w:r>
      <w:r w:rsidRPr="00382917">
        <w:t>his</w:t>
      </w:r>
      <w:r w:rsidR="00EE4FC3">
        <w:t xml:space="preserve"> </w:t>
      </w:r>
      <w:r w:rsidRPr="00382917">
        <w:t>destination,</w:t>
      </w:r>
      <w:r w:rsidR="00EE4FC3">
        <w:t xml:space="preserve"> </w:t>
      </w:r>
      <w:r w:rsidR="008A073E" w:rsidRPr="00382917">
        <w:rPr>
          <w:u w:val="single"/>
        </w:rPr>
        <w:t>Sh</w:t>
      </w:r>
      <w:r w:rsidR="008A073E" w:rsidRPr="00382917">
        <w:t>ay</w:t>
      </w:r>
      <w:r w:rsidR="008A073E" w:rsidRPr="00382917">
        <w:rPr>
          <w:u w:val="single"/>
        </w:rPr>
        <w:t>kh</w:t>
      </w:r>
      <w:r w:rsidR="00EE4FC3">
        <w:t xml:space="preserve"> </w:t>
      </w:r>
      <w:r w:rsidRPr="00382917">
        <w:t>A</w:t>
      </w:r>
      <w:r w:rsidR="00665A7A" w:rsidRPr="00382917">
        <w:t>ḥ</w:t>
      </w:r>
      <w:r w:rsidRPr="00382917">
        <w:t>mad</w:t>
      </w:r>
      <w:r w:rsidR="00EE4FC3">
        <w:t xml:space="preserve"> </w:t>
      </w:r>
      <w:r w:rsidRPr="00382917">
        <w:t>greeted</w:t>
      </w:r>
      <w:r w:rsidR="00EE4FC3">
        <w:t xml:space="preserve"> </w:t>
      </w:r>
      <w:r w:rsidRPr="00382917">
        <w:t>him</w:t>
      </w:r>
      <w:r w:rsidR="00EE4FC3">
        <w:t xml:space="preserve"> </w:t>
      </w:r>
      <w:r w:rsidRPr="00382917">
        <w:t>affectionately.</w:t>
      </w:r>
      <w:r w:rsidR="00EE4FC3">
        <w:t xml:space="preserve">  </w:t>
      </w:r>
      <w:r w:rsidR="009C713D" w:rsidRPr="00382917">
        <w:t>“</w:t>
      </w:r>
      <w:r w:rsidRPr="00382917">
        <w:t>I</w:t>
      </w:r>
      <w:r w:rsidR="00EE4FC3">
        <w:t xml:space="preserve"> </w:t>
      </w:r>
      <w:r w:rsidRPr="00382917">
        <w:t>welcome</w:t>
      </w:r>
      <w:r w:rsidR="00EE4FC3">
        <w:t xml:space="preserve"> </w:t>
      </w:r>
      <w:r w:rsidRPr="00382917">
        <w:t>you,</w:t>
      </w:r>
      <w:r w:rsidR="00EE4FC3">
        <w:t xml:space="preserve"> </w:t>
      </w:r>
      <w:r w:rsidR="00665A7A" w:rsidRPr="00382917">
        <w:t>O</w:t>
      </w:r>
      <w:r w:rsidR="00EE4FC3">
        <w:t xml:space="preserve"> </w:t>
      </w:r>
      <w:r w:rsidRPr="00382917">
        <w:t>my</w:t>
      </w:r>
      <w:r w:rsidR="00EE4FC3">
        <w:t xml:space="preserve"> </w:t>
      </w:r>
      <w:r w:rsidRPr="00382917">
        <w:t>friend!</w:t>
      </w:r>
      <w:r w:rsidR="00EE4FC3">
        <w:t xml:space="preserve">  </w:t>
      </w:r>
      <w:r w:rsidRPr="00382917">
        <w:t>How</w:t>
      </w:r>
      <w:r w:rsidR="00EE4FC3">
        <w:t xml:space="preserve"> </w:t>
      </w:r>
      <w:r w:rsidRPr="00382917">
        <w:t>long</w:t>
      </w:r>
      <w:r w:rsidR="00EE4FC3">
        <w:t xml:space="preserve"> </w:t>
      </w:r>
      <w:r w:rsidRPr="00382917">
        <w:t>and</w:t>
      </w:r>
      <w:r w:rsidR="00EE4FC3">
        <w:t xml:space="preserve"> </w:t>
      </w:r>
      <w:r w:rsidRPr="00382917">
        <w:t>how</w:t>
      </w:r>
      <w:r w:rsidR="00EE4FC3">
        <w:t xml:space="preserve"> </w:t>
      </w:r>
      <w:r w:rsidRPr="00382917">
        <w:t>eagerly</w:t>
      </w:r>
      <w:r w:rsidR="00EE4FC3">
        <w:t xml:space="preserve"> </w:t>
      </w:r>
      <w:r w:rsidRPr="00382917">
        <w:t>I</w:t>
      </w:r>
      <w:r w:rsidR="00EE4FC3">
        <w:t xml:space="preserve"> </w:t>
      </w:r>
      <w:r w:rsidRPr="00382917">
        <w:t>have</w:t>
      </w:r>
      <w:r w:rsidR="00EE4FC3">
        <w:t xml:space="preserve"> </w:t>
      </w:r>
      <w:r w:rsidRPr="00382917">
        <w:t>awaited</w:t>
      </w:r>
      <w:r w:rsidR="00EE4FC3">
        <w:t xml:space="preserve"> </w:t>
      </w:r>
      <w:r w:rsidRPr="00382917">
        <w:t>your</w:t>
      </w:r>
      <w:r w:rsidR="00EE4FC3">
        <w:t xml:space="preserve"> </w:t>
      </w:r>
      <w:r w:rsidRPr="00382917">
        <w:t>coming.</w:t>
      </w:r>
      <w:r w:rsidR="009C713D" w:rsidRPr="00382917">
        <w:t>”</w:t>
      </w:r>
    </w:p>
    <w:p w:rsidR="006579C6" w:rsidRPr="00382917" w:rsidRDefault="006579C6" w:rsidP="00665A7A">
      <w:pPr>
        <w:pStyle w:val="Text"/>
      </w:pPr>
      <w:r w:rsidRPr="00382917">
        <w:t>To</w:t>
      </w:r>
      <w:r w:rsidR="00EE4FC3">
        <w:t xml:space="preserve"> </w:t>
      </w:r>
      <w:r w:rsidRPr="00382917">
        <w:t>him,</w:t>
      </w:r>
      <w:r w:rsidR="00EE4FC3">
        <w:t xml:space="preserve"> </w:t>
      </w:r>
      <w:r w:rsidR="008A073E" w:rsidRPr="00382917">
        <w:rPr>
          <w:u w:val="single"/>
        </w:rPr>
        <w:t>Sh</w:t>
      </w:r>
      <w:r w:rsidR="008A073E" w:rsidRPr="00382917">
        <w:t>ay</w:t>
      </w:r>
      <w:r w:rsidR="008A073E" w:rsidRPr="00382917">
        <w:rPr>
          <w:u w:val="single"/>
        </w:rPr>
        <w:t>kh</w:t>
      </w:r>
      <w:r w:rsidR="00EE4FC3">
        <w:t xml:space="preserve"> </w:t>
      </w:r>
      <w:r w:rsidR="008A073E" w:rsidRPr="00382917">
        <w:t>Aḥmad</w:t>
      </w:r>
      <w:r w:rsidR="00EE4FC3">
        <w:t xml:space="preserve"> </w:t>
      </w:r>
      <w:r w:rsidRPr="00382917">
        <w:t>confided</w:t>
      </w:r>
      <w:r w:rsidR="00EE4FC3">
        <w:t xml:space="preserve"> </w:t>
      </w:r>
      <w:r w:rsidRPr="00382917">
        <w:t>all</w:t>
      </w:r>
      <w:r w:rsidR="00EE4FC3">
        <w:t xml:space="preserve"> </w:t>
      </w:r>
      <w:r w:rsidRPr="00382917">
        <w:t>that</w:t>
      </w:r>
      <w:r w:rsidR="00EE4FC3">
        <w:t xml:space="preserve"> </w:t>
      </w:r>
      <w:r w:rsidRPr="00382917">
        <w:t>he</w:t>
      </w:r>
      <w:r w:rsidR="00EE4FC3">
        <w:t xml:space="preserve"> </w:t>
      </w:r>
      <w:r w:rsidRPr="00382917">
        <w:t>knew.</w:t>
      </w:r>
      <w:r w:rsidR="00EE4FC3">
        <w:t xml:space="preserve">  </w:t>
      </w:r>
      <w:r w:rsidRPr="00382917">
        <w:t>He</w:t>
      </w:r>
      <w:r w:rsidR="00EE4FC3">
        <w:t xml:space="preserve"> </w:t>
      </w:r>
      <w:r w:rsidRPr="00382917">
        <w:t>urged</w:t>
      </w:r>
      <w:r w:rsidR="00EE4FC3">
        <w:t xml:space="preserve"> </w:t>
      </w:r>
      <w:r w:rsidRPr="00382917">
        <w:t>Siyyid</w:t>
      </w:r>
      <w:r w:rsidR="00EE4FC3">
        <w:t xml:space="preserve"> </w:t>
      </w:r>
      <w:r w:rsidRPr="00382917">
        <w:t>Ká</w:t>
      </w:r>
      <w:r w:rsidR="00665A7A" w:rsidRPr="00382917">
        <w:t>ẓ</w:t>
      </w:r>
      <w:r w:rsidRPr="00382917">
        <w:t>im</w:t>
      </w:r>
      <w:r w:rsidR="00EE4FC3">
        <w:t xml:space="preserve"> </w:t>
      </w:r>
      <w:r w:rsidRPr="00382917">
        <w:t>to</w:t>
      </w:r>
      <w:r w:rsidR="00EE4FC3">
        <w:t xml:space="preserve"> </w:t>
      </w:r>
      <w:r w:rsidRPr="00382917">
        <w:t>kindle</w:t>
      </w:r>
      <w:r w:rsidR="00EE4FC3">
        <w:t xml:space="preserve"> </w:t>
      </w:r>
      <w:r w:rsidRPr="00382917">
        <w:t>in</w:t>
      </w:r>
      <w:r w:rsidR="00EE4FC3">
        <w:t xml:space="preserve"> </w:t>
      </w:r>
      <w:r w:rsidRPr="00382917">
        <w:t>every</w:t>
      </w:r>
      <w:r w:rsidR="00EE4FC3">
        <w:t xml:space="preserve"> </w:t>
      </w:r>
      <w:r w:rsidRPr="00382917">
        <w:t>receptive</w:t>
      </w:r>
      <w:r w:rsidR="00EE4FC3">
        <w:t xml:space="preserve"> </w:t>
      </w:r>
      <w:r w:rsidRPr="00382917">
        <w:t>heart</w:t>
      </w:r>
      <w:r w:rsidR="00EE4FC3">
        <w:t xml:space="preserve"> </w:t>
      </w:r>
      <w:r w:rsidRPr="00382917">
        <w:t>the</w:t>
      </w:r>
      <w:r w:rsidR="00EE4FC3">
        <w:t xml:space="preserve"> </w:t>
      </w:r>
      <w:r w:rsidRPr="00382917">
        <w:t>fire</w:t>
      </w:r>
      <w:r w:rsidR="00EE4FC3">
        <w:t xml:space="preserve"> </w:t>
      </w:r>
      <w:r w:rsidRPr="00382917">
        <w:t>that</w:t>
      </w:r>
      <w:r w:rsidR="00EE4FC3">
        <w:t xml:space="preserve"> </w:t>
      </w:r>
      <w:r w:rsidRPr="00382917">
        <w:t>burned</w:t>
      </w:r>
      <w:r w:rsidR="00EE4FC3">
        <w:t xml:space="preserve"> </w:t>
      </w:r>
      <w:r w:rsidRPr="00382917">
        <w:t>so</w:t>
      </w:r>
      <w:r w:rsidR="00EE4FC3">
        <w:t xml:space="preserve"> </w:t>
      </w:r>
      <w:r w:rsidRPr="00382917">
        <w:t>brightly</w:t>
      </w:r>
      <w:r w:rsidR="00EE4FC3">
        <w:t xml:space="preserve"> </w:t>
      </w:r>
      <w:r w:rsidRPr="00382917">
        <w:t>in</w:t>
      </w:r>
      <w:r w:rsidR="00EE4FC3">
        <w:t xml:space="preserve"> </w:t>
      </w:r>
      <w:r w:rsidRPr="00382917">
        <w:t>his</w:t>
      </w:r>
      <w:r w:rsidR="00EE4FC3">
        <w:t xml:space="preserve"> </w:t>
      </w:r>
      <w:r w:rsidRPr="00382917">
        <w:t>own.</w:t>
      </w:r>
    </w:p>
    <w:p w:rsidR="006579C6" w:rsidRPr="00382917" w:rsidRDefault="009C713D" w:rsidP="008A073E">
      <w:pPr>
        <w:pStyle w:val="Text"/>
      </w:pPr>
      <w:r w:rsidRPr="00382917">
        <w:t>“</w:t>
      </w:r>
      <w:r w:rsidR="006579C6" w:rsidRPr="00382917">
        <w:t>You</w:t>
      </w:r>
      <w:r w:rsidR="00EE4FC3">
        <w:t xml:space="preserve"> </w:t>
      </w:r>
      <w:r w:rsidR="006579C6" w:rsidRPr="00382917">
        <w:t>have</w:t>
      </w:r>
      <w:r w:rsidR="00EE4FC3">
        <w:t xml:space="preserve"> </w:t>
      </w:r>
      <w:r w:rsidR="006579C6" w:rsidRPr="00382917">
        <w:t>no</w:t>
      </w:r>
      <w:r w:rsidR="00EE4FC3">
        <w:t xml:space="preserve"> </w:t>
      </w:r>
      <w:r w:rsidR="006579C6" w:rsidRPr="00382917">
        <w:t>time</w:t>
      </w:r>
      <w:r w:rsidR="00EE4FC3">
        <w:t xml:space="preserve"> </w:t>
      </w:r>
      <w:r w:rsidR="006579C6" w:rsidRPr="00382917">
        <w:t>to</w:t>
      </w:r>
      <w:r w:rsidR="00EE4FC3">
        <w:t xml:space="preserve"> </w:t>
      </w:r>
      <w:r w:rsidR="006579C6" w:rsidRPr="00382917">
        <w:t>lose,</w:t>
      </w:r>
      <w:r w:rsidRPr="00382917">
        <w:t>”</w:t>
      </w:r>
      <w:r w:rsidR="00EE4FC3">
        <w:t xml:space="preserve"> </w:t>
      </w:r>
      <w:r w:rsidR="008A073E" w:rsidRPr="00382917">
        <w:rPr>
          <w:u w:val="single"/>
        </w:rPr>
        <w:t>Sh</w:t>
      </w:r>
      <w:r w:rsidR="008A073E" w:rsidRPr="00382917">
        <w:t>ay</w:t>
      </w:r>
      <w:r w:rsidR="008A073E" w:rsidRPr="00382917">
        <w:rPr>
          <w:u w:val="single"/>
        </w:rPr>
        <w:t>kh</w:t>
      </w:r>
      <w:r w:rsidR="00EE4FC3">
        <w:t xml:space="preserve"> </w:t>
      </w:r>
      <w:r w:rsidR="008A073E" w:rsidRPr="00382917">
        <w:t>Aḥmad</w:t>
      </w:r>
      <w:r w:rsidR="00EE4FC3">
        <w:t xml:space="preserve"> </w:t>
      </w:r>
      <w:r w:rsidR="006579C6" w:rsidRPr="00382917">
        <w:t>warned</w:t>
      </w:r>
      <w:r w:rsidR="00EE4FC3">
        <w:t xml:space="preserve"> </w:t>
      </w:r>
      <w:r w:rsidR="006579C6" w:rsidRPr="00382917">
        <w:t>him.</w:t>
      </w:r>
      <w:r w:rsidR="00EE4FC3">
        <w:t xml:space="preserve">  </w:t>
      </w:r>
      <w:r w:rsidRPr="00382917">
        <w:t>“</w:t>
      </w:r>
      <w:r w:rsidR="006579C6" w:rsidRPr="00382917">
        <w:t>Every</w:t>
      </w:r>
      <w:r w:rsidR="00EE4FC3">
        <w:t xml:space="preserve"> </w:t>
      </w:r>
      <w:r w:rsidR="006579C6" w:rsidRPr="00382917">
        <w:t>fleeting</w:t>
      </w:r>
      <w:r w:rsidR="00EE4FC3">
        <w:t xml:space="preserve"> </w:t>
      </w:r>
      <w:r w:rsidR="006579C6" w:rsidRPr="00382917">
        <w:t>hour</w:t>
      </w:r>
      <w:r w:rsidR="00EE4FC3">
        <w:t xml:space="preserve"> </w:t>
      </w:r>
      <w:r w:rsidR="006579C6" w:rsidRPr="00382917">
        <w:t>should</w:t>
      </w:r>
      <w:r w:rsidR="00EE4FC3">
        <w:t xml:space="preserve"> </w:t>
      </w:r>
      <w:r w:rsidR="006579C6" w:rsidRPr="00382917">
        <w:t>be</w:t>
      </w:r>
      <w:r w:rsidR="00EE4FC3">
        <w:t xml:space="preserve"> </w:t>
      </w:r>
      <w:r w:rsidR="006579C6" w:rsidRPr="00382917">
        <w:t>fully</w:t>
      </w:r>
      <w:r w:rsidR="00EE4FC3">
        <w:t xml:space="preserve"> </w:t>
      </w:r>
      <w:r w:rsidR="006579C6" w:rsidRPr="00382917">
        <w:t>and</w:t>
      </w:r>
      <w:r w:rsidR="00EE4FC3">
        <w:t xml:space="preserve"> </w:t>
      </w:r>
      <w:r w:rsidR="006579C6" w:rsidRPr="00382917">
        <w:t>wisely</w:t>
      </w:r>
      <w:r w:rsidR="00EE4FC3">
        <w:t xml:space="preserve"> </w:t>
      </w:r>
      <w:r w:rsidR="006579C6" w:rsidRPr="00382917">
        <w:t>used.</w:t>
      </w:r>
      <w:r w:rsidR="00EE4FC3">
        <w:t xml:space="preserve">  </w:t>
      </w:r>
      <w:r w:rsidR="006579C6" w:rsidRPr="00382917">
        <w:t>Strive</w:t>
      </w:r>
      <w:r w:rsidR="00EE4FC3">
        <w:t xml:space="preserve"> </w:t>
      </w:r>
      <w:r w:rsidR="006579C6" w:rsidRPr="00382917">
        <w:t>night</w:t>
      </w:r>
      <w:r w:rsidR="00EE4FC3">
        <w:t xml:space="preserve"> </w:t>
      </w:r>
      <w:r w:rsidR="006579C6" w:rsidRPr="00382917">
        <w:t>and</w:t>
      </w:r>
      <w:r w:rsidR="00EE4FC3">
        <w:t xml:space="preserve"> </w:t>
      </w:r>
      <w:r w:rsidR="006579C6" w:rsidRPr="00382917">
        <w:t>day</w:t>
      </w:r>
      <w:r w:rsidR="00EE4FC3">
        <w:t xml:space="preserve"> </w:t>
      </w:r>
      <w:r w:rsidR="006579C6" w:rsidRPr="00382917">
        <w:t>to</w:t>
      </w:r>
      <w:r w:rsidR="00EE4FC3">
        <w:t xml:space="preserve"> </w:t>
      </w:r>
      <w:r w:rsidR="006579C6" w:rsidRPr="00382917">
        <w:t>remove</w:t>
      </w:r>
      <w:r w:rsidR="00EE4FC3">
        <w:t xml:space="preserve"> </w:t>
      </w:r>
      <w:r w:rsidR="006579C6" w:rsidRPr="00382917">
        <w:t>the</w:t>
      </w:r>
      <w:r w:rsidR="00EE4FC3">
        <w:t xml:space="preserve"> </w:t>
      </w:r>
      <w:r w:rsidR="006579C6" w:rsidRPr="00382917">
        <w:t>veils</w:t>
      </w:r>
      <w:r w:rsidR="00EE4FC3">
        <w:t xml:space="preserve"> </w:t>
      </w:r>
      <w:r w:rsidR="006579C6" w:rsidRPr="00382917">
        <w:t>of</w:t>
      </w:r>
      <w:r w:rsidR="00EE4FC3">
        <w:t xml:space="preserve"> </w:t>
      </w:r>
      <w:r w:rsidR="006579C6" w:rsidRPr="00382917">
        <w:t>prejudice</w:t>
      </w:r>
      <w:r w:rsidR="00EE4FC3">
        <w:t xml:space="preserve"> </w:t>
      </w:r>
      <w:r w:rsidR="006579C6" w:rsidRPr="00382917">
        <w:t>and</w:t>
      </w:r>
      <w:r w:rsidR="00EE4FC3">
        <w:t xml:space="preserve"> </w:t>
      </w:r>
      <w:r w:rsidR="006579C6" w:rsidRPr="00382917">
        <w:t>orthodoxy</w:t>
      </w:r>
      <w:r w:rsidR="00EE4FC3">
        <w:t xml:space="preserve"> </w:t>
      </w:r>
      <w:r w:rsidR="006579C6" w:rsidRPr="00382917">
        <w:t>that</w:t>
      </w:r>
      <w:r w:rsidR="00EE4FC3">
        <w:t xml:space="preserve"> </w:t>
      </w:r>
      <w:r w:rsidR="006579C6" w:rsidRPr="00382917">
        <w:t>have</w:t>
      </w:r>
      <w:r w:rsidR="00EE4FC3">
        <w:t xml:space="preserve"> </w:t>
      </w:r>
      <w:r w:rsidR="006579C6" w:rsidRPr="00382917">
        <w:t>blinded</w:t>
      </w:r>
      <w:r w:rsidR="00EE4FC3">
        <w:t xml:space="preserve"> </w:t>
      </w:r>
      <w:r w:rsidR="006579C6" w:rsidRPr="00382917">
        <w:t>the</w:t>
      </w:r>
      <w:r w:rsidR="00EE4FC3">
        <w:t xml:space="preserve"> </w:t>
      </w:r>
      <w:r w:rsidR="006579C6" w:rsidRPr="00382917">
        <w:t>eyes</w:t>
      </w:r>
      <w:r w:rsidR="00EE4FC3">
        <w:t xml:space="preserve"> </w:t>
      </w:r>
      <w:r w:rsidR="006579C6" w:rsidRPr="00382917">
        <w:t>of</w:t>
      </w:r>
      <w:r w:rsidR="00EE4FC3">
        <w:t xml:space="preserve"> </w:t>
      </w:r>
      <w:r w:rsidR="006579C6" w:rsidRPr="00382917">
        <w:t>men.</w:t>
      </w:r>
      <w:r w:rsidR="00EE4FC3">
        <w:t xml:space="preserve">  </w:t>
      </w:r>
      <w:r w:rsidR="006579C6" w:rsidRPr="00382917">
        <w:t>For</w:t>
      </w:r>
      <w:r w:rsidR="00EE4FC3">
        <w:t xml:space="preserve"> </w:t>
      </w:r>
      <w:r w:rsidR="006579C6" w:rsidRPr="00382917">
        <w:t>verily</w:t>
      </w:r>
      <w:r w:rsidR="00EE4FC3">
        <w:t xml:space="preserve"> </w:t>
      </w:r>
      <w:r w:rsidR="006579C6" w:rsidRPr="00382917">
        <w:t>I</w:t>
      </w:r>
      <w:r w:rsidR="00EE4FC3">
        <w:t xml:space="preserve"> </w:t>
      </w:r>
      <w:r w:rsidR="006579C6" w:rsidRPr="00382917">
        <w:t>say,</w:t>
      </w:r>
      <w:r w:rsidR="00EE4FC3">
        <w:t xml:space="preserve"> </w:t>
      </w:r>
      <w:r w:rsidR="006579C6" w:rsidRPr="00382917">
        <w:t>the</w:t>
      </w:r>
      <w:r w:rsidR="00EE4FC3">
        <w:t xml:space="preserve"> </w:t>
      </w:r>
      <w:r w:rsidR="006579C6" w:rsidRPr="00382917">
        <w:t>hour</w:t>
      </w:r>
      <w:r w:rsidR="00EE4FC3">
        <w:t xml:space="preserve"> </w:t>
      </w:r>
      <w:r w:rsidR="006579C6" w:rsidRPr="00382917">
        <w:t>is</w:t>
      </w:r>
      <w:r w:rsidR="00EE4FC3">
        <w:t xml:space="preserve"> </w:t>
      </w:r>
      <w:r w:rsidR="006579C6" w:rsidRPr="00382917">
        <w:t>drawing</w:t>
      </w:r>
      <w:r w:rsidR="00EE4FC3">
        <w:t xml:space="preserve"> </w:t>
      </w:r>
      <w:r w:rsidR="006579C6" w:rsidRPr="00382917">
        <w:t>nigh.</w:t>
      </w:r>
      <w:r w:rsidRPr="00382917">
        <w:t>”</w:t>
      </w:r>
    </w:p>
    <w:p w:rsidR="006579C6" w:rsidRPr="00382917" w:rsidRDefault="006579C6" w:rsidP="006D18A4">
      <w:pPr>
        <w:pStyle w:val="Text"/>
      </w:pPr>
      <w:r w:rsidRPr="00382917">
        <w:t>By</w:t>
      </w:r>
      <w:r w:rsidR="00EE4FC3">
        <w:t xml:space="preserve"> </w:t>
      </w:r>
      <w:r w:rsidRPr="00382917">
        <w:t>devoting</w:t>
      </w:r>
      <w:r w:rsidR="00EE4FC3">
        <w:t xml:space="preserve"> </w:t>
      </w:r>
      <w:r w:rsidRPr="00382917">
        <w:t>his</w:t>
      </w:r>
      <w:r w:rsidR="00EE4FC3">
        <w:t xml:space="preserve"> </w:t>
      </w:r>
      <w:r w:rsidRPr="00382917">
        <w:t>special</w:t>
      </w:r>
      <w:r w:rsidR="00EE4FC3">
        <w:t xml:space="preserve"> </w:t>
      </w:r>
      <w:r w:rsidRPr="00382917">
        <w:t>attention</w:t>
      </w:r>
      <w:r w:rsidR="00EE4FC3">
        <w:t xml:space="preserve"> </w:t>
      </w:r>
      <w:r w:rsidRPr="00382917">
        <w:t>to</w:t>
      </w:r>
      <w:r w:rsidR="00EE4FC3">
        <w:t xml:space="preserve"> </w:t>
      </w:r>
      <w:r w:rsidRPr="00382917">
        <w:t>his</w:t>
      </w:r>
      <w:r w:rsidR="00EE4FC3">
        <w:t xml:space="preserve"> </w:t>
      </w:r>
      <w:r w:rsidRPr="00382917">
        <w:t>followers,</w:t>
      </w:r>
      <w:r w:rsidR="00EE4FC3">
        <w:t xml:space="preserve"> </w:t>
      </w:r>
      <w:r w:rsidR="008A073E" w:rsidRPr="00382917">
        <w:rPr>
          <w:u w:val="single"/>
        </w:rPr>
        <w:t>Sh</w:t>
      </w:r>
      <w:r w:rsidR="008A073E" w:rsidRPr="00382917">
        <w:t>ay</w:t>
      </w:r>
      <w:r w:rsidR="008A073E" w:rsidRPr="00382917">
        <w:rPr>
          <w:u w:val="single"/>
        </w:rPr>
        <w:t>kh</w:t>
      </w:r>
      <w:r w:rsidR="00EE4FC3">
        <w:t xml:space="preserve"> </w:t>
      </w:r>
      <w:r w:rsidR="008A073E" w:rsidRPr="00382917">
        <w:t>Aḥmad</w:t>
      </w:r>
      <w:r w:rsidR="00EE4FC3">
        <w:t xml:space="preserve"> </w:t>
      </w:r>
      <w:r w:rsidRPr="00382917">
        <w:t>hoped</w:t>
      </w:r>
      <w:r w:rsidR="00EE4FC3">
        <w:t xml:space="preserve"> </w:t>
      </w:r>
      <w:r w:rsidRPr="00382917">
        <w:t>to</w:t>
      </w:r>
      <w:r w:rsidR="00EE4FC3">
        <w:t xml:space="preserve"> </w:t>
      </w:r>
      <w:r w:rsidRPr="00382917">
        <w:t>enable</w:t>
      </w:r>
      <w:r w:rsidR="00EE4FC3">
        <w:t xml:space="preserve"> </w:t>
      </w:r>
      <w:r w:rsidRPr="00382917">
        <w:t>them</w:t>
      </w:r>
      <w:r w:rsidR="00EE4FC3">
        <w:t xml:space="preserve"> </w:t>
      </w:r>
      <w:r w:rsidRPr="00382917">
        <w:t>to</w:t>
      </w:r>
      <w:r w:rsidR="00EE4FC3">
        <w:t xml:space="preserve"> </w:t>
      </w:r>
      <w:r w:rsidRPr="00382917">
        <w:t>become</w:t>
      </w:r>
      <w:r w:rsidR="00EE4FC3">
        <w:t xml:space="preserve"> </w:t>
      </w:r>
      <w:r w:rsidRPr="00382917">
        <w:t>the</w:t>
      </w:r>
      <w:r w:rsidR="00EE4FC3">
        <w:t xml:space="preserve"> </w:t>
      </w:r>
      <w:r w:rsidRPr="00382917">
        <w:t>active</w:t>
      </w:r>
      <w:r w:rsidR="00EE4FC3">
        <w:t xml:space="preserve"> </w:t>
      </w:r>
      <w:r w:rsidRPr="00382917">
        <w:t>supporters</w:t>
      </w:r>
      <w:r w:rsidR="00EE4FC3">
        <w:t xml:space="preserve"> </w:t>
      </w:r>
      <w:r w:rsidRPr="00382917">
        <w:t>of</w:t>
      </w:r>
      <w:r w:rsidR="00EE4FC3">
        <w:t xml:space="preserve"> </w:t>
      </w:r>
      <w:r w:rsidRPr="00382917">
        <w:t>the</w:t>
      </w:r>
      <w:r w:rsidR="00EE4FC3">
        <w:t xml:space="preserve"> </w:t>
      </w:r>
      <w:r w:rsidRPr="00382917">
        <w:t>Cause</w:t>
      </w:r>
      <w:r w:rsidR="00EE4FC3">
        <w:t xml:space="preserve"> </w:t>
      </w:r>
      <w:r w:rsidRPr="00382917">
        <w:t>of</w:t>
      </w:r>
      <w:r w:rsidR="00EE4FC3">
        <w:t xml:space="preserve"> </w:t>
      </w:r>
      <w:r w:rsidRPr="00382917">
        <w:t>the</w:t>
      </w:r>
      <w:r w:rsidR="00EE4FC3">
        <w:t xml:space="preserve"> </w:t>
      </w:r>
      <w:r w:rsidRPr="00382917">
        <w:t>Promised</w:t>
      </w:r>
      <w:r w:rsidR="00EE4FC3">
        <w:t xml:space="preserve"> </w:t>
      </w:r>
      <w:r w:rsidRPr="00382917">
        <w:t>One</w:t>
      </w:r>
      <w:r w:rsidR="00EE4FC3">
        <w:t xml:space="preserve"> </w:t>
      </w:r>
      <w:r w:rsidRPr="00382917">
        <w:t>when</w:t>
      </w:r>
      <w:r w:rsidR="00EE4FC3">
        <w:t xml:space="preserve"> </w:t>
      </w:r>
      <w:r w:rsidRPr="00382917">
        <w:t>he</w:t>
      </w:r>
      <w:r w:rsidR="00EE4FC3">
        <w:t xml:space="preserve"> </w:t>
      </w:r>
      <w:r w:rsidRPr="00382917">
        <w:t>appeared.</w:t>
      </w:r>
    </w:p>
    <w:p w:rsidR="00051AC7" w:rsidRPr="00382917" w:rsidRDefault="00051AC7">
      <w:pPr>
        <w:widowControl/>
        <w:kinsoku/>
        <w:overflowPunct/>
        <w:textAlignment w:val="auto"/>
        <w:rPr>
          <w:rFonts w:ascii="Times New Roman" w:eastAsia="Times New Roman" w:hAnsi="Times New Roman"/>
          <w:color w:val="000000"/>
          <w:sz w:val="24"/>
        </w:rPr>
      </w:pPr>
      <w:r w:rsidRPr="00382917">
        <w:rPr>
          <w:rFonts w:ascii="Times New Roman" w:eastAsia="Times New Roman" w:hAnsi="Times New Roman"/>
          <w:color w:val="000000"/>
          <w:sz w:val="24"/>
        </w:rPr>
        <w:br w:type="page"/>
      </w:r>
    </w:p>
    <w:p w:rsidR="00E13D49" w:rsidRPr="00382917" w:rsidRDefault="008A073E" w:rsidP="005A51DE">
      <w:pPr>
        <w:pStyle w:val="Text"/>
      </w:pPr>
      <w:r w:rsidRPr="00382917">
        <w:rPr>
          <w:u w:val="single"/>
        </w:rPr>
        <w:t>Sh</w:t>
      </w:r>
      <w:r w:rsidRPr="00382917">
        <w:t>ay</w:t>
      </w:r>
      <w:r w:rsidRPr="00382917">
        <w:rPr>
          <w:u w:val="single"/>
        </w:rPr>
        <w:t>kh</w:t>
      </w:r>
      <w:r w:rsidR="00EE4FC3">
        <w:t xml:space="preserve"> </w:t>
      </w:r>
      <w:r w:rsidR="006579C6" w:rsidRPr="00382917">
        <w:t>A</w:t>
      </w:r>
      <w:r w:rsidR="006D18A4" w:rsidRPr="00382917">
        <w:t>ḥ</w:t>
      </w:r>
      <w:r w:rsidR="006579C6" w:rsidRPr="00382917">
        <w:t>mad</w:t>
      </w:r>
      <w:r w:rsidR="00EE4FC3">
        <w:t xml:space="preserve"> </w:t>
      </w:r>
      <w:r w:rsidR="006579C6" w:rsidRPr="00382917">
        <w:t>knew</w:t>
      </w:r>
      <w:r w:rsidR="00EE4FC3">
        <w:t xml:space="preserve"> </w:t>
      </w:r>
      <w:r w:rsidR="006579C6" w:rsidRPr="00382917">
        <w:t>that</w:t>
      </w:r>
      <w:r w:rsidR="00EE4FC3">
        <w:t xml:space="preserve"> </w:t>
      </w:r>
      <w:r w:rsidR="006579C6" w:rsidRPr="00382917">
        <w:t>the</w:t>
      </w:r>
      <w:r w:rsidR="00EE4FC3">
        <w:t xml:space="preserve"> </w:t>
      </w:r>
      <w:r w:rsidR="006579C6" w:rsidRPr="00382917">
        <w:t>hour</w:t>
      </w:r>
      <w:r w:rsidR="00EE4FC3">
        <w:t xml:space="preserve"> </w:t>
      </w:r>
      <w:r w:rsidR="006579C6" w:rsidRPr="00382917">
        <w:t>of</w:t>
      </w:r>
      <w:r w:rsidR="00EE4FC3">
        <w:t xml:space="preserve"> </w:t>
      </w:r>
      <w:r w:rsidR="006579C6" w:rsidRPr="00382917">
        <w:t>his</w:t>
      </w:r>
      <w:r w:rsidR="00EE4FC3">
        <w:t xml:space="preserve"> </w:t>
      </w:r>
      <w:r w:rsidR="006579C6" w:rsidRPr="00382917">
        <w:t>own</w:t>
      </w:r>
      <w:r w:rsidR="00EE4FC3">
        <w:t xml:space="preserve"> </w:t>
      </w:r>
      <w:r w:rsidR="006579C6" w:rsidRPr="00382917">
        <w:t>death</w:t>
      </w:r>
      <w:r w:rsidR="00EE4FC3">
        <w:t xml:space="preserve"> </w:t>
      </w:r>
      <w:r w:rsidR="006579C6" w:rsidRPr="00382917">
        <w:t>was</w:t>
      </w:r>
      <w:r w:rsidR="00EE4FC3">
        <w:t xml:space="preserve"> </w:t>
      </w:r>
      <w:r w:rsidR="006579C6" w:rsidRPr="00382917">
        <w:t>approaching,</w:t>
      </w:r>
      <w:r w:rsidR="00EE4FC3">
        <w:t xml:space="preserve"> </w:t>
      </w:r>
      <w:r w:rsidR="006579C6" w:rsidRPr="00382917">
        <w:t>so</w:t>
      </w:r>
      <w:r w:rsidR="00EE4FC3">
        <w:t xml:space="preserve"> </w:t>
      </w:r>
      <w:r w:rsidR="006579C6" w:rsidRPr="00382917">
        <w:t>he</w:t>
      </w:r>
      <w:r w:rsidR="00EE4FC3">
        <w:t xml:space="preserve"> </w:t>
      </w:r>
      <w:r w:rsidR="006579C6" w:rsidRPr="00382917">
        <w:t>called</w:t>
      </w:r>
      <w:r w:rsidR="00EE4FC3">
        <w:t xml:space="preserve"> </w:t>
      </w:r>
      <w:r w:rsidR="006579C6" w:rsidRPr="00382917">
        <w:t>his</w:t>
      </w:r>
      <w:r w:rsidR="00EE4FC3">
        <w:t xml:space="preserve"> </w:t>
      </w:r>
      <w:r w:rsidR="006579C6" w:rsidRPr="00382917">
        <w:t>followers</w:t>
      </w:r>
      <w:r w:rsidR="00EE4FC3">
        <w:t xml:space="preserve"> </w:t>
      </w:r>
      <w:r w:rsidR="006579C6" w:rsidRPr="00382917">
        <w:t>together.</w:t>
      </w:r>
      <w:r w:rsidR="00EE4FC3">
        <w:t xml:space="preserve">  </w:t>
      </w:r>
      <w:r w:rsidR="009C713D" w:rsidRPr="00382917">
        <w:t>“</w:t>
      </w:r>
      <w:r w:rsidR="006579C6" w:rsidRPr="00382917">
        <w:t>After</w:t>
      </w:r>
      <w:r w:rsidR="00EE4FC3">
        <w:t xml:space="preserve"> </w:t>
      </w:r>
      <w:proofErr w:type="gramStart"/>
      <w:r w:rsidR="006579C6" w:rsidRPr="00382917">
        <w:t>me</w:t>
      </w:r>
      <w:proofErr w:type="gramEnd"/>
      <w:r w:rsidR="006579C6" w:rsidRPr="00382917">
        <w:t>,</w:t>
      </w:r>
      <w:r w:rsidR="009C713D" w:rsidRPr="00382917">
        <w:t>”</w:t>
      </w:r>
      <w:r w:rsidR="00EE4FC3">
        <w:t xml:space="preserve"> </w:t>
      </w:r>
      <w:r w:rsidR="006579C6" w:rsidRPr="00382917">
        <w:t>he</w:t>
      </w:r>
      <w:r w:rsidR="00EE4FC3">
        <w:t xml:space="preserve"> </w:t>
      </w:r>
      <w:r w:rsidR="006579C6" w:rsidRPr="00382917">
        <w:t>said,</w:t>
      </w:r>
      <w:r w:rsidR="00EE4FC3">
        <w:t xml:space="preserve"> </w:t>
      </w:r>
      <w:r w:rsidR="009C713D" w:rsidRPr="00382917">
        <w:t>“</w:t>
      </w:r>
      <w:r w:rsidR="006579C6" w:rsidRPr="00382917">
        <w:t>seek</w:t>
      </w:r>
      <w:r w:rsidR="00EE4FC3">
        <w:t xml:space="preserve"> </w:t>
      </w:r>
      <w:r w:rsidR="006579C6" w:rsidRPr="00382917">
        <w:t>for</w:t>
      </w:r>
      <w:r w:rsidR="00EE4FC3">
        <w:t xml:space="preserve"> </w:t>
      </w:r>
      <w:r w:rsidR="006579C6" w:rsidRPr="00382917">
        <w:t>the</w:t>
      </w:r>
      <w:r w:rsidR="00EE4FC3">
        <w:t xml:space="preserve"> </w:t>
      </w:r>
      <w:r w:rsidR="006579C6" w:rsidRPr="00382917">
        <w:t>truth</w:t>
      </w:r>
      <w:r w:rsidR="00EE4FC3">
        <w:t xml:space="preserve"> </w:t>
      </w:r>
      <w:r w:rsidR="006579C6" w:rsidRPr="00382917">
        <w:t>through</w:t>
      </w:r>
      <w:r w:rsidR="00EE4FC3">
        <w:t xml:space="preserve"> </w:t>
      </w:r>
      <w:r w:rsidR="006579C6" w:rsidRPr="00382917">
        <w:t>Siyyid</w:t>
      </w:r>
      <w:r w:rsidR="00EE4FC3">
        <w:t xml:space="preserve"> </w:t>
      </w:r>
      <w:r w:rsidR="006579C6" w:rsidRPr="00382917">
        <w:t>Ká</w:t>
      </w:r>
      <w:r w:rsidR="006D18A4" w:rsidRPr="00382917">
        <w:t>ẓ</w:t>
      </w:r>
      <w:r w:rsidR="006579C6" w:rsidRPr="00382917">
        <w:t>im.</w:t>
      </w:r>
      <w:r w:rsidR="00EE4FC3">
        <w:t xml:space="preserve">  </w:t>
      </w:r>
      <w:r w:rsidR="006579C6" w:rsidRPr="00382917">
        <w:t>He</w:t>
      </w:r>
      <w:r w:rsidR="00EE4FC3">
        <w:t xml:space="preserve"> </w:t>
      </w:r>
      <w:r w:rsidR="006579C6" w:rsidRPr="00382917">
        <w:t>alone</w:t>
      </w:r>
      <w:r w:rsidR="00EE4FC3">
        <w:t xml:space="preserve"> </w:t>
      </w:r>
      <w:r w:rsidR="006579C6" w:rsidRPr="00382917">
        <w:t>understands</w:t>
      </w:r>
      <w:r w:rsidR="00EE4FC3">
        <w:t xml:space="preserve"> </w:t>
      </w:r>
      <w:r w:rsidR="006579C6" w:rsidRPr="00382917">
        <w:t>my</w:t>
      </w:r>
      <w:r w:rsidR="00EE4FC3">
        <w:t xml:space="preserve"> </w:t>
      </w:r>
      <w:r w:rsidR="006579C6" w:rsidRPr="00382917">
        <w:t>objective.</w:t>
      </w:r>
      <w:r w:rsidR="009C713D" w:rsidRPr="00382917">
        <w:t>”</w:t>
      </w:r>
      <w:r w:rsidR="005A51DE" w:rsidRPr="00382917">
        <w:rPr>
          <w:rStyle w:val="FootnoteReference"/>
        </w:rPr>
        <w:footnoteReference w:id="5"/>
      </w:r>
    </w:p>
    <w:p w:rsidR="006579C6" w:rsidRPr="00382917" w:rsidRDefault="008A073E" w:rsidP="006D18A4">
      <w:pPr>
        <w:pStyle w:val="Text"/>
      </w:pPr>
      <w:r w:rsidRPr="00382917">
        <w:rPr>
          <w:u w:val="single"/>
        </w:rPr>
        <w:t>Sh</w:t>
      </w:r>
      <w:r w:rsidRPr="00382917">
        <w:t>ay</w:t>
      </w:r>
      <w:r w:rsidRPr="00382917">
        <w:rPr>
          <w:u w:val="single"/>
        </w:rPr>
        <w:t>kh</w:t>
      </w:r>
      <w:r w:rsidR="00EE4FC3">
        <w:t xml:space="preserve"> </w:t>
      </w:r>
      <w:r w:rsidRPr="00382917">
        <w:t>Aḥmad</w:t>
      </w:r>
      <w:r w:rsidR="00EE4FC3">
        <w:t xml:space="preserve"> </w:t>
      </w:r>
      <w:r w:rsidR="006579C6" w:rsidRPr="00382917">
        <w:t>died</w:t>
      </w:r>
      <w:r w:rsidR="00EE4FC3">
        <w:t xml:space="preserve"> </w:t>
      </w:r>
      <w:r w:rsidR="006579C6" w:rsidRPr="00382917">
        <w:t>soon</w:t>
      </w:r>
      <w:r w:rsidR="00EE4FC3">
        <w:t xml:space="preserve"> </w:t>
      </w:r>
      <w:r w:rsidR="006579C6" w:rsidRPr="00382917">
        <w:t>after,</w:t>
      </w:r>
      <w:r w:rsidR="00EE4FC3">
        <w:t xml:space="preserve"> </w:t>
      </w:r>
      <w:r w:rsidR="006579C6" w:rsidRPr="00382917">
        <w:t>and</w:t>
      </w:r>
      <w:r w:rsidR="00EE4FC3">
        <w:t xml:space="preserve"> </w:t>
      </w:r>
      <w:r w:rsidR="006579C6" w:rsidRPr="00382917">
        <w:t>Siyyid</w:t>
      </w:r>
      <w:r w:rsidR="00EE4FC3">
        <w:t xml:space="preserve"> </w:t>
      </w:r>
      <w:r w:rsidR="005A51DE" w:rsidRPr="00382917">
        <w:t>Káẓim</w:t>
      </w:r>
      <w:r w:rsidR="00EE4FC3">
        <w:t xml:space="preserve"> </w:t>
      </w:r>
      <w:r w:rsidR="006579C6" w:rsidRPr="00382917">
        <w:t>became</w:t>
      </w:r>
      <w:r w:rsidR="00EE4FC3">
        <w:t xml:space="preserve"> </w:t>
      </w:r>
      <w:r w:rsidR="006579C6" w:rsidRPr="00382917">
        <w:t>the</w:t>
      </w:r>
      <w:r w:rsidR="00EE4FC3">
        <w:t xml:space="preserve"> </w:t>
      </w:r>
      <w:r w:rsidR="006579C6" w:rsidRPr="00382917">
        <w:t>leader</w:t>
      </w:r>
      <w:r w:rsidR="00EE4FC3">
        <w:t xml:space="preserve"> </w:t>
      </w:r>
      <w:r w:rsidR="006579C6" w:rsidRPr="00382917">
        <w:t>of</w:t>
      </w:r>
      <w:r w:rsidR="00EE4FC3">
        <w:t xml:space="preserve"> </w:t>
      </w:r>
      <w:r w:rsidR="006579C6" w:rsidRPr="00382917">
        <w:t>his</w:t>
      </w:r>
      <w:r w:rsidR="00EE4FC3">
        <w:t xml:space="preserve"> </w:t>
      </w:r>
      <w:r w:rsidR="006579C6" w:rsidRPr="00382917">
        <w:t>followers.</w:t>
      </w:r>
      <w:r w:rsidR="00EE4FC3">
        <w:t xml:space="preserve">  </w:t>
      </w:r>
      <w:r w:rsidR="006579C6" w:rsidRPr="00382917">
        <w:t>Siyyid</w:t>
      </w:r>
      <w:r w:rsidR="00EE4FC3">
        <w:t xml:space="preserve"> </w:t>
      </w:r>
      <w:r w:rsidR="005A51DE" w:rsidRPr="00382917">
        <w:t>Káẓim</w:t>
      </w:r>
      <w:r w:rsidR="00EE4FC3">
        <w:t xml:space="preserve"> </w:t>
      </w:r>
      <w:r w:rsidR="006579C6" w:rsidRPr="00382917">
        <w:t>also</w:t>
      </w:r>
      <w:r w:rsidR="00EE4FC3">
        <w:t xml:space="preserve"> </w:t>
      </w:r>
      <w:r w:rsidR="006579C6" w:rsidRPr="00382917">
        <w:t>found</w:t>
      </w:r>
      <w:r w:rsidR="00EE4FC3">
        <w:t xml:space="preserve"> </w:t>
      </w:r>
      <w:r w:rsidR="006579C6" w:rsidRPr="00382917">
        <w:t>that</w:t>
      </w:r>
      <w:r w:rsidR="00EE4FC3">
        <w:t xml:space="preserve"> </w:t>
      </w:r>
      <w:r w:rsidR="006579C6" w:rsidRPr="00382917">
        <w:t>there</w:t>
      </w:r>
      <w:r w:rsidR="00EE4FC3">
        <w:t xml:space="preserve"> </w:t>
      </w:r>
      <w:r w:rsidR="006579C6" w:rsidRPr="00382917">
        <w:t>was</w:t>
      </w:r>
      <w:r w:rsidR="00EE4FC3">
        <w:t xml:space="preserve"> </w:t>
      </w:r>
      <w:r w:rsidR="006579C6" w:rsidRPr="00382917">
        <w:t>no</w:t>
      </w:r>
      <w:r w:rsidR="00EE4FC3">
        <w:t xml:space="preserve"> </w:t>
      </w:r>
      <w:r w:rsidR="006579C6" w:rsidRPr="00382917">
        <w:t>one</w:t>
      </w:r>
      <w:r w:rsidR="00EE4FC3">
        <w:t xml:space="preserve"> </w:t>
      </w:r>
      <w:r w:rsidR="006579C6" w:rsidRPr="00382917">
        <w:t>sincere</w:t>
      </w:r>
      <w:r w:rsidR="00EE4FC3">
        <w:t xml:space="preserve"> </w:t>
      </w:r>
      <w:r w:rsidR="006579C6" w:rsidRPr="00382917">
        <w:t>enough</w:t>
      </w:r>
      <w:r w:rsidR="00EE4FC3">
        <w:t xml:space="preserve"> </w:t>
      </w:r>
      <w:r w:rsidR="006579C6" w:rsidRPr="00382917">
        <w:t>or</w:t>
      </w:r>
      <w:r w:rsidR="00EE4FC3">
        <w:t xml:space="preserve"> </w:t>
      </w:r>
      <w:r w:rsidR="006579C6" w:rsidRPr="00382917">
        <w:t>worthy</w:t>
      </w:r>
      <w:r w:rsidR="00EE4FC3">
        <w:t xml:space="preserve"> </w:t>
      </w:r>
      <w:r w:rsidR="006579C6" w:rsidRPr="00382917">
        <w:t>enough</w:t>
      </w:r>
      <w:r w:rsidR="00EE4FC3">
        <w:t xml:space="preserve"> </w:t>
      </w:r>
      <w:r w:rsidR="006579C6" w:rsidRPr="00382917">
        <w:t>to</w:t>
      </w:r>
      <w:r w:rsidR="00EE4FC3">
        <w:t xml:space="preserve"> </w:t>
      </w:r>
      <w:r w:rsidR="006579C6" w:rsidRPr="00382917">
        <w:t>hear</w:t>
      </w:r>
      <w:r w:rsidR="00EE4FC3">
        <w:t xml:space="preserve"> </w:t>
      </w:r>
      <w:r w:rsidR="006579C6" w:rsidRPr="00382917">
        <w:t>all</w:t>
      </w:r>
      <w:r w:rsidR="00EE4FC3">
        <w:t xml:space="preserve"> </w:t>
      </w:r>
      <w:r w:rsidR="006579C6" w:rsidRPr="00382917">
        <w:t>that</w:t>
      </w:r>
      <w:r w:rsidR="00EE4FC3">
        <w:t xml:space="preserve"> </w:t>
      </w:r>
      <w:r w:rsidRPr="00382917">
        <w:rPr>
          <w:u w:val="single"/>
        </w:rPr>
        <w:t>Sh</w:t>
      </w:r>
      <w:r w:rsidRPr="00382917">
        <w:t>ay</w:t>
      </w:r>
      <w:r w:rsidRPr="00382917">
        <w:rPr>
          <w:u w:val="single"/>
        </w:rPr>
        <w:t>kh</w:t>
      </w:r>
      <w:r w:rsidR="00EE4FC3">
        <w:t xml:space="preserve"> </w:t>
      </w:r>
      <w:r w:rsidRPr="00382917">
        <w:t>Aḥmad</w:t>
      </w:r>
      <w:r w:rsidR="00EE4FC3">
        <w:t xml:space="preserve"> </w:t>
      </w:r>
      <w:r w:rsidR="006579C6" w:rsidRPr="00382917">
        <w:t>had</w:t>
      </w:r>
      <w:r w:rsidR="00EE4FC3">
        <w:t xml:space="preserve"> </w:t>
      </w:r>
      <w:r w:rsidR="006579C6" w:rsidRPr="00382917">
        <w:t>taught</w:t>
      </w:r>
      <w:r w:rsidR="00EE4FC3">
        <w:t xml:space="preserve"> </w:t>
      </w:r>
      <w:r w:rsidR="006579C6" w:rsidRPr="00382917">
        <w:t>him.</w:t>
      </w:r>
      <w:r w:rsidR="00EE4FC3">
        <w:t xml:space="preserve">  </w:t>
      </w:r>
      <w:r w:rsidR="006579C6" w:rsidRPr="00382917">
        <w:t>His</w:t>
      </w:r>
      <w:r w:rsidR="00EE4FC3">
        <w:t xml:space="preserve"> </w:t>
      </w:r>
      <w:r w:rsidR="006579C6" w:rsidRPr="00382917">
        <w:t>followers</w:t>
      </w:r>
      <w:r w:rsidR="00EE4FC3">
        <w:t xml:space="preserve"> </w:t>
      </w:r>
      <w:r w:rsidR="006579C6" w:rsidRPr="00382917">
        <w:t>were</w:t>
      </w:r>
      <w:r w:rsidR="00EE4FC3">
        <w:t xml:space="preserve"> </w:t>
      </w:r>
      <w:r w:rsidR="006579C6" w:rsidRPr="00382917">
        <w:t>still</w:t>
      </w:r>
      <w:r w:rsidR="00EE4FC3">
        <w:t xml:space="preserve"> </w:t>
      </w:r>
      <w:r w:rsidR="006579C6" w:rsidRPr="00382917">
        <w:t>tied</w:t>
      </w:r>
      <w:r w:rsidR="00EE4FC3">
        <w:t xml:space="preserve"> </w:t>
      </w:r>
      <w:r w:rsidR="006579C6" w:rsidRPr="00382917">
        <w:t>to</w:t>
      </w:r>
      <w:r w:rsidR="00EE4FC3">
        <w:t xml:space="preserve"> </w:t>
      </w:r>
      <w:r w:rsidR="006579C6" w:rsidRPr="00382917">
        <w:t>their</w:t>
      </w:r>
      <w:r w:rsidR="00EE4FC3">
        <w:t xml:space="preserve"> </w:t>
      </w:r>
      <w:r w:rsidR="006579C6" w:rsidRPr="00382917">
        <w:t>homes,</w:t>
      </w:r>
      <w:r w:rsidR="00EE4FC3">
        <w:t xml:space="preserve"> </w:t>
      </w:r>
      <w:r w:rsidR="006579C6" w:rsidRPr="00382917">
        <w:t>their</w:t>
      </w:r>
      <w:r w:rsidR="00EE4FC3">
        <w:t xml:space="preserve"> </w:t>
      </w:r>
      <w:r w:rsidR="006579C6" w:rsidRPr="00382917">
        <w:t>families,</w:t>
      </w:r>
      <w:r w:rsidR="00EE4FC3">
        <w:t xml:space="preserve"> </w:t>
      </w:r>
      <w:r w:rsidR="006579C6" w:rsidRPr="00382917">
        <w:t>their</w:t>
      </w:r>
      <w:r w:rsidR="00EE4FC3">
        <w:t xml:space="preserve"> </w:t>
      </w:r>
      <w:r w:rsidR="006579C6" w:rsidRPr="00382917">
        <w:t>money,</w:t>
      </w:r>
      <w:r w:rsidR="00EE4FC3">
        <w:t xml:space="preserve"> </w:t>
      </w:r>
      <w:r w:rsidR="006579C6" w:rsidRPr="00382917">
        <w:t>their</w:t>
      </w:r>
      <w:r w:rsidR="00EE4FC3">
        <w:t xml:space="preserve"> </w:t>
      </w:r>
      <w:r w:rsidR="006579C6" w:rsidRPr="00382917">
        <w:t>businesses,</w:t>
      </w:r>
      <w:r w:rsidR="00EE4FC3">
        <w:t xml:space="preserve"> </w:t>
      </w:r>
      <w:r w:rsidR="006579C6" w:rsidRPr="00382917">
        <w:t>their</w:t>
      </w:r>
      <w:r w:rsidR="00EE4FC3">
        <w:t xml:space="preserve"> </w:t>
      </w:r>
      <w:r w:rsidR="006579C6" w:rsidRPr="00382917">
        <w:t>former</w:t>
      </w:r>
      <w:r w:rsidR="00EE4FC3">
        <w:t xml:space="preserve"> </w:t>
      </w:r>
      <w:r w:rsidR="006579C6" w:rsidRPr="00382917">
        <w:t>beliefs.</w:t>
      </w:r>
    </w:p>
    <w:p w:rsidR="006579C6" w:rsidRPr="00382917" w:rsidRDefault="009C713D" w:rsidP="006D18A4">
      <w:pPr>
        <w:pStyle w:val="Text"/>
      </w:pPr>
      <w:r w:rsidRPr="00382917">
        <w:t>“</w:t>
      </w:r>
      <w:r w:rsidR="006579C6" w:rsidRPr="00382917">
        <w:t>If</w:t>
      </w:r>
      <w:r w:rsidR="00EE4FC3">
        <w:t xml:space="preserve"> </w:t>
      </w:r>
      <w:r w:rsidR="006579C6" w:rsidRPr="00382917">
        <w:t>the</w:t>
      </w:r>
      <w:r w:rsidR="00EE4FC3">
        <w:t xml:space="preserve"> </w:t>
      </w:r>
      <w:r w:rsidR="006579C6" w:rsidRPr="00382917">
        <w:t>coming</w:t>
      </w:r>
      <w:r w:rsidR="00EE4FC3">
        <w:t xml:space="preserve"> </w:t>
      </w:r>
      <w:r w:rsidR="006579C6" w:rsidRPr="00382917">
        <w:t>Promised</w:t>
      </w:r>
      <w:r w:rsidR="00EE4FC3">
        <w:t xml:space="preserve"> </w:t>
      </w:r>
      <w:r w:rsidR="006579C6" w:rsidRPr="00382917">
        <w:t>One</w:t>
      </w:r>
      <w:r w:rsidR="00EE4FC3">
        <w:t xml:space="preserve"> </w:t>
      </w:r>
      <w:r w:rsidR="006579C6" w:rsidRPr="00382917">
        <w:t>will</w:t>
      </w:r>
      <w:r w:rsidR="00EE4FC3">
        <w:t xml:space="preserve"> </w:t>
      </w:r>
      <w:r w:rsidR="006579C6" w:rsidRPr="00382917">
        <w:t>exalt</w:t>
      </w:r>
      <w:r w:rsidR="00EE4FC3">
        <w:t xml:space="preserve"> </w:t>
      </w:r>
      <w:r w:rsidR="006579C6" w:rsidRPr="00382917">
        <w:t>us</w:t>
      </w:r>
      <w:r w:rsidR="00EE4FC3">
        <w:t xml:space="preserve"> </w:t>
      </w:r>
      <w:r w:rsidR="006579C6" w:rsidRPr="00382917">
        <w:t>and</w:t>
      </w:r>
      <w:r w:rsidR="00EE4FC3">
        <w:t xml:space="preserve"> </w:t>
      </w:r>
      <w:r w:rsidR="006579C6" w:rsidRPr="00382917">
        <w:t>preserve</w:t>
      </w:r>
      <w:r w:rsidR="00EE4FC3">
        <w:t xml:space="preserve"> </w:t>
      </w:r>
      <w:r w:rsidR="006579C6" w:rsidRPr="00382917">
        <w:t>all</w:t>
      </w:r>
      <w:r w:rsidR="00EE4FC3">
        <w:t xml:space="preserve"> </w:t>
      </w:r>
      <w:r w:rsidR="006579C6" w:rsidRPr="00382917">
        <w:t>we</w:t>
      </w:r>
      <w:r w:rsidR="00EE4FC3">
        <w:t xml:space="preserve"> </w:t>
      </w:r>
      <w:r w:rsidR="006579C6" w:rsidRPr="00382917">
        <w:t>hold</w:t>
      </w:r>
      <w:r w:rsidR="00EE4FC3">
        <w:t xml:space="preserve"> </w:t>
      </w:r>
      <w:r w:rsidR="006579C6" w:rsidRPr="00382917">
        <w:t>dear,</w:t>
      </w:r>
      <w:r w:rsidRPr="00382917">
        <w:t>”</w:t>
      </w:r>
      <w:r w:rsidR="00EE4FC3">
        <w:t xml:space="preserve"> </w:t>
      </w:r>
      <w:r w:rsidR="006579C6" w:rsidRPr="00382917">
        <w:t>they</w:t>
      </w:r>
      <w:r w:rsidR="00EE4FC3">
        <w:t xml:space="preserve"> </w:t>
      </w:r>
      <w:r w:rsidR="006579C6" w:rsidRPr="00382917">
        <w:t>told</w:t>
      </w:r>
      <w:r w:rsidR="00EE4FC3">
        <w:t xml:space="preserve"> </w:t>
      </w:r>
      <w:r w:rsidR="006579C6" w:rsidRPr="00382917">
        <w:t>Siyyid</w:t>
      </w:r>
      <w:r w:rsidR="00EE4FC3">
        <w:t xml:space="preserve"> </w:t>
      </w:r>
      <w:r w:rsidR="005A51DE" w:rsidRPr="00382917">
        <w:t>Káẓim</w:t>
      </w:r>
      <w:r w:rsidR="006579C6" w:rsidRPr="00382917">
        <w:t>,</w:t>
      </w:r>
      <w:r w:rsidR="00EE4FC3">
        <w:t xml:space="preserve"> </w:t>
      </w:r>
      <w:r w:rsidRPr="00382917">
        <w:t>“</w:t>
      </w:r>
      <w:r w:rsidR="006579C6" w:rsidRPr="00382917">
        <w:t>then</w:t>
      </w:r>
      <w:r w:rsidR="00EE4FC3">
        <w:t xml:space="preserve"> </w:t>
      </w:r>
      <w:r w:rsidR="006579C6" w:rsidRPr="00382917">
        <w:t>we</w:t>
      </w:r>
      <w:r w:rsidR="00EE4FC3">
        <w:t xml:space="preserve"> </w:t>
      </w:r>
      <w:r w:rsidR="006579C6" w:rsidRPr="00382917">
        <w:t>are</w:t>
      </w:r>
      <w:r w:rsidR="00EE4FC3">
        <w:t xml:space="preserve"> </w:t>
      </w:r>
      <w:r w:rsidR="006579C6" w:rsidRPr="00382917">
        <w:t>ready,</w:t>
      </w:r>
      <w:r w:rsidR="00EE4FC3">
        <w:t xml:space="preserve"> </w:t>
      </w:r>
      <w:r w:rsidR="006579C6" w:rsidRPr="00382917">
        <w:t>nay</w:t>
      </w:r>
      <w:r w:rsidR="00EE4FC3">
        <w:t xml:space="preserve"> </w:t>
      </w:r>
      <w:r w:rsidR="006579C6" w:rsidRPr="00382917">
        <w:t>eager,</w:t>
      </w:r>
      <w:r w:rsidR="00EE4FC3">
        <w:t xml:space="preserve"> </w:t>
      </w:r>
      <w:r w:rsidR="006579C6" w:rsidRPr="00382917">
        <w:t>to</w:t>
      </w:r>
      <w:r w:rsidR="00EE4FC3">
        <w:t xml:space="preserve"> </w:t>
      </w:r>
      <w:r w:rsidR="006579C6" w:rsidRPr="00382917">
        <w:t>accept.</w:t>
      </w:r>
      <w:r w:rsidR="00EE4FC3">
        <w:t xml:space="preserve">  </w:t>
      </w:r>
      <w:r w:rsidR="006579C6" w:rsidRPr="00382917">
        <w:t>But,</w:t>
      </w:r>
      <w:r w:rsidR="00EE4FC3">
        <w:t xml:space="preserve"> </w:t>
      </w:r>
      <w:r w:rsidR="006579C6" w:rsidRPr="00382917">
        <w:t>if</w:t>
      </w:r>
      <w:r w:rsidR="00EE4FC3">
        <w:t xml:space="preserve"> </w:t>
      </w:r>
      <w:r w:rsidR="006579C6" w:rsidRPr="00382917">
        <w:t>His</w:t>
      </w:r>
      <w:r w:rsidR="00EE4FC3">
        <w:t xml:space="preserve"> </w:t>
      </w:r>
      <w:r w:rsidR="006579C6" w:rsidRPr="00382917">
        <w:t>coming</w:t>
      </w:r>
      <w:r w:rsidR="00EE4FC3">
        <w:t xml:space="preserve"> </w:t>
      </w:r>
      <w:r w:rsidR="006579C6" w:rsidRPr="00382917">
        <w:t>means</w:t>
      </w:r>
      <w:r w:rsidR="00EE4FC3">
        <w:t xml:space="preserve"> </w:t>
      </w:r>
      <w:r w:rsidR="006579C6" w:rsidRPr="00382917">
        <w:t>forsaking</w:t>
      </w:r>
      <w:r w:rsidR="00EE4FC3">
        <w:t xml:space="preserve"> </w:t>
      </w:r>
      <w:r w:rsidR="006579C6" w:rsidRPr="00382917">
        <w:t>all</w:t>
      </w:r>
      <w:r w:rsidR="00EE4FC3">
        <w:t xml:space="preserve"> </w:t>
      </w:r>
      <w:r w:rsidR="006579C6" w:rsidRPr="00382917">
        <w:t>we</w:t>
      </w:r>
      <w:r w:rsidR="00EE4FC3">
        <w:t xml:space="preserve"> </w:t>
      </w:r>
      <w:r w:rsidR="006579C6" w:rsidRPr="00382917">
        <w:t>cherish</w:t>
      </w:r>
      <w:r w:rsidR="00EE4FC3">
        <w:t xml:space="preserve"> </w:t>
      </w:r>
      <w:r w:rsidR="006579C6" w:rsidRPr="00382917">
        <w:t>and</w:t>
      </w:r>
      <w:r w:rsidR="00EE4FC3">
        <w:t xml:space="preserve"> </w:t>
      </w:r>
      <w:r w:rsidR="006579C6" w:rsidRPr="00382917">
        <w:t>perhaps</w:t>
      </w:r>
      <w:r w:rsidR="00EE4FC3">
        <w:t xml:space="preserve"> </w:t>
      </w:r>
      <w:r w:rsidR="006579C6" w:rsidRPr="00382917">
        <w:t>even</w:t>
      </w:r>
      <w:r w:rsidR="00EE4FC3">
        <w:t xml:space="preserve"> </w:t>
      </w:r>
      <w:r w:rsidR="006579C6" w:rsidRPr="00382917">
        <w:t>facing</w:t>
      </w:r>
      <w:r w:rsidR="00EE4FC3">
        <w:t xml:space="preserve"> </w:t>
      </w:r>
      <w:r w:rsidR="006579C6" w:rsidRPr="00382917">
        <w:t>death,</w:t>
      </w:r>
      <w:r w:rsidR="00EE4FC3">
        <w:t xml:space="preserve"> </w:t>
      </w:r>
      <w:r w:rsidR="006579C6" w:rsidRPr="00382917">
        <w:t>then</w:t>
      </w:r>
      <w:r w:rsidR="00EE4FC3">
        <w:t xml:space="preserve"> </w:t>
      </w:r>
      <w:r w:rsidR="006579C6" w:rsidRPr="00382917">
        <w:t>our</w:t>
      </w:r>
      <w:r w:rsidR="00EE4FC3">
        <w:t xml:space="preserve"> </w:t>
      </w:r>
      <w:r w:rsidR="006579C6" w:rsidRPr="00382917">
        <w:t>ears</w:t>
      </w:r>
      <w:r w:rsidR="00EE4FC3">
        <w:t xml:space="preserve"> </w:t>
      </w:r>
      <w:r w:rsidR="006579C6" w:rsidRPr="00382917">
        <w:t>are</w:t>
      </w:r>
      <w:r w:rsidR="00EE4FC3">
        <w:t xml:space="preserve"> </w:t>
      </w:r>
      <w:r w:rsidR="006579C6" w:rsidRPr="00382917">
        <w:t>deaf</w:t>
      </w:r>
      <w:r w:rsidR="00EE4FC3">
        <w:t xml:space="preserve"> </w:t>
      </w:r>
      <w:r w:rsidR="006579C6" w:rsidRPr="00382917">
        <w:t>to</w:t>
      </w:r>
      <w:r w:rsidR="00EE4FC3">
        <w:t xml:space="preserve"> </w:t>
      </w:r>
      <w:r w:rsidR="006579C6" w:rsidRPr="00382917">
        <w:t>the</w:t>
      </w:r>
      <w:r w:rsidR="00EE4FC3">
        <w:t xml:space="preserve"> </w:t>
      </w:r>
      <w:r w:rsidR="006579C6" w:rsidRPr="00382917">
        <w:t>sweet</w:t>
      </w:r>
      <w:r w:rsidR="00EE4FC3">
        <w:t xml:space="preserve"> </w:t>
      </w:r>
      <w:r w:rsidR="006579C6" w:rsidRPr="00382917">
        <w:t>music.</w:t>
      </w:r>
    </w:p>
    <w:p w:rsidR="006579C6" w:rsidRPr="00382917" w:rsidRDefault="006579C6" w:rsidP="006D18A4">
      <w:pPr>
        <w:pStyle w:val="Text"/>
      </w:pPr>
      <w:r w:rsidRPr="00382917">
        <w:t>At</w:t>
      </w:r>
      <w:r w:rsidR="00EE4FC3">
        <w:t xml:space="preserve"> </w:t>
      </w:r>
      <w:r w:rsidRPr="00382917">
        <w:t>long</w:t>
      </w:r>
      <w:r w:rsidR="00EE4FC3">
        <w:t xml:space="preserve"> </w:t>
      </w:r>
      <w:r w:rsidRPr="00382917">
        <w:t>last</w:t>
      </w:r>
      <w:r w:rsidR="00EE4FC3">
        <w:t xml:space="preserve"> </w:t>
      </w:r>
      <w:r w:rsidRPr="00382917">
        <w:t>Siyyid</w:t>
      </w:r>
      <w:r w:rsidR="00EE4FC3">
        <w:t xml:space="preserve"> </w:t>
      </w:r>
      <w:r w:rsidR="005A51DE" w:rsidRPr="00382917">
        <w:t>Káẓim</w:t>
      </w:r>
      <w:r w:rsidR="00EE4FC3">
        <w:t xml:space="preserve"> </w:t>
      </w:r>
      <w:r w:rsidRPr="00382917">
        <w:t>found</w:t>
      </w:r>
      <w:r w:rsidR="00EE4FC3">
        <w:t xml:space="preserve"> </w:t>
      </w:r>
      <w:r w:rsidRPr="00382917">
        <w:t>one</w:t>
      </w:r>
      <w:r w:rsidR="00EE4FC3">
        <w:t xml:space="preserve"> </w:t>
      </w:r>
      <w:r w:rsidRPr="00382917">
        <w:t>young</w:t>
      </w:r>
      <w:r w:rsidR="00EE4FC3">
        <w:t xml:space="preserve"> </w:t>
      </w:r>
      <w:r w:rsidRPr="00382917">
        <w:t>man</w:t>
      </w:r>
      <w:r w:rsidR="00EE4FC3">
        <w:t xml:space="preserve"> </w:t>
      </w:r>
      <w:r w:rsidRPr="00382917">
        <w:t>in</w:t>
      </w:r>
      <w:r w:rsidR="00EE4FC3">
        <w:t xml:space="preserve"> </w:t>
      </w:r>
      <w:r w:rsidRPr="00382917">
        <w:t>whom</w:t>
      </w:r>
      <w:r w:rsidR="00EE4FC3">
        <w:t xml:space="preserve"> </w:t>
      </w:r>
      <w:r w:rsidRPr="00382917">
        <w:t>he</w:t>
      </w:r>
      <w:r w:rsidR="00EE4FC3">
        <w:t xml:space="preserve"> </w:t>
      </w:r>
      <w:r w:rsidRPr="00382917">
        <w:t>could</w:t>
      </w:r>
      <w:r w:rsidR="00EE4FC3">
        <w:t xml:space="preserve"> </w:t>
      </w:r>
      <w:r w:rsidRPr="00382917">
        <w:t>place</w:t>
      </w:r>
      <w:r w:rsidR="00EE4FC3">
        <w:t xml:space="preserve"> </w:t>
      </w:r>
      <w:r w:rsidRPr="00382917">
        <w:t>the</w:t>
      </w:r>
      <w:r w:rsidR="00EE4FC3">
        <w:t xml:space="preserve"> </w:t>
      </w:r>
      <w:r w:rsidRPr="00382917">
        <w:t>greatest</w:t>
      </w:r>
      <w:r w:rsidR="00EE4FC3">
        <w:t xml:space="preserve"> </w:t>
      </w:r>
      <w:r w:rsidRPr="00382917">
        <w:t>trust.</w:t>
      </w:r>
      <w:r w:rsidR="00EE4FC3">
        <w:t xml:space="preserve">  </w:t>
      </w:r>
      <w:r w:rsidRPr="00382917">
        <w:t>The</w:t>
      </w:r>
      <w:r w:rsidR="00EE4FC3">
        <w:t xml:space="preserve"> </w:t>
      </w:r>
      <w:r w:rsidRPr="00382917">
        <w:t>youth</w:t>
      </w:r>
      <w:r w:rsidR="009C713D" w:rsidRPr="00382917">
        <w:t>’</w:t>
      </w:r>
      <w:r w:rsidRPr="00382917">
        <w:t>s</w:t>
      </w:r>
      <w:r w:rsidR="00EE4FC3">
        <w:t xml:space="preserve"> </w:t>
      </w:r>
      <w:r w:rsidRPr="00382917">
        <w:t>name</w:t>
      </w:r>
      <w:r w:rsidR="00EE4FC3">
        <w:t xml:space="preserve"> </w:t>
      </w:r>
      <w:r w:rsidRPr="00382917">
        <w:t>was</w:t>
      </w:r>
      <w:r w:rsidR="00EE4FC3">
        <w:t xml:space="preserve"> </w:t>
      </w:r>
      <w:r w:rsidRPr="00382917">
        <w:t>Mullá</w:t>
      </w:r>
      <w:r w:rsidR="00EE4FC3">
        <w:t xml:space="preserve"> </w:t>
      </w:r>
      <w:r w:rsidR="00964C11" w:rsidRPr="00382917">
        <w:t>Ḥusayn</w:t>
      </w:r>
      <w:r w:rsidRPr="00382917">
        <w:t>.</w:t>
      </w:r>
      <w:r w:rsidR="00EE4FC3">
        <w:t xml:space="preserve">  </w:t>
      </w:r>
      <w:r w:rsidRPr="00382917">
        <w:t>Such</w:t>
      </w:r>
      <w:r w:rsidR="00EE4FC3">
        <w:t xml:space="preserve"> </w:t>
      </w:r>
      <w:r w:rsidRPr="00382917">
        <w:t>was</w:t>
      </w:r>
      <w:r w:rsidR="00EE4FC3">
        <w:t xml:space="preserve"> </w:t>
      </w:r>
      <w:r w:rsidRPr="00382917">
        <w:t>the</w:t>
      </w:r>
      <w:r w:rsidR="00EE4FC3">
        <w:t xml:space="preserve"> </w:t>
      </w:r>
      <w:r w:rsidRPr="00382917">
        <w:t>love</w:t>
      </w:r>
      <w:r w:rsidR="00EE4FC3">
        <w:t xml:space="preserve"> </w:t>
      </w:r>
      <w:r w:rsidRPr="00382917">
        <w:t>and</w:t>
      </w:r>
      <w:r w:rsidR="00EE4FC3">
        <w:t xml:space="preserve"> </w:t>
      </w:r>
      <w:proofErr w:type="spellStart"/>
      <w:r w:rsidRPr="00382917">
        <w:t>honor</w:t>
      </w:r>
      <w:proofErr w:type="spellEnd"/>
      <w:r w:rsidR="00EE4FC3">
        <w:t xml:space="preserve"> </w:t>
      </w:r>
      <w:r w:rsidRPr="00382917">
        <w:t>that</w:t>
      </w:r>
      <w:r w:rsidR="00EE4FC3">
        <w:t xml:space="preserve"> </w:t>
      </w:r>
      <w:r w:rsidRPr="00382917">
        <w:t>Siyyid</w:t>
      </w:r>
      <w:r w:rsidR="00EE4FC3">
        <w:t xml:space="preserve"> </w:t>
      </w:r>
      <w:r w:rsidR="005A51DE" w:rsidRPr="00382917">
        <w:t>Káẓim</w:t>
      </w:r>
      <w:r w:rsidR="00EE4FC3">
        <w:t xml:space="preserve"> </w:t>
      </w:r>
      <w:r w:rsidRPr="00382917">
        <w:t>bestowed</w:t>
      </w:r>
      <w:r w:rsidR="00EE4FC3">
        <w:t xml:space="preserve"> </w:t>
      </w:r>
      <w:r w:rsidRPr="00382917">
        <w:t>upon</w:t>
      </w:r>
      <w:r w:rsidR="00EE4FC3">
        <w:t xml:space="preserve"> </w:t>
      </w:r>
      <w:r w:rsidRPr="00382917">
        <w:t>Mullá</w:t>
      </w:r>
      <w:r w:rsidR="00EE4FC3">
        <w:t xml:space="preserve"> </w:t>
      </w:r>
      <w:r w:rsidR="00964C11" w:rsidRPr="00382917">
        <w:t>Ḥusayn</w:t>
      </w:r>
      <w:r w:rsidR="00EE4FC3">
        <w:t xml:space="preserve"> </w:t>
      </w:r>
      <w:r w:rsidRPr="00382917">
        <w:t>that</w:t>
      </w:r>
      <w:r w:rsidR="00EE4FC3">
        <w:t xml:space="preserve"> </w:t>
      </w:r>
      <w:r w:rsidRPr="00382917">
        <w:t>some</w:t>
      </w:r>
      <w:r w:rsidR="00EE4FC3">
        <w:t xml:space="preserve"> </w:t>
      </w:r>
      <w:r w:rsidRPr="00382917">
        <w:t>among</w:t>
      </w:r>
      <w:r w:rsidR="00EE4FC3">
        <w:t xml:space="preserve"> </w:t>
      </w:r>
      <w:r w:rsidRPr="00382917">
        <w:t>his</w:t>
      </w:r>
      <w:r w:rsidR="00EE4FC3">
        <w:t xml:space="preserve"> </w:t>
      </w:r>
      <w:r w:rsidRPr="00382917">
        <w:t>companions</w:t>
      </w:r>
      <w:r w:rsidR="00EE4FC3">
        <w:t xml:space="preserve"> </w:t>
      </w:r>
      <w:r w:rsidRPr="00382917">
        <w:t>suspected</w:t>
      </w:r>
      <w:r w:rsidR="00EE4FC3">
        <w:t xml:space="preserve"> </w:t>
      </w:r>
      <w:r w:rsidRPr="00382917">
        <w:t>that</w:t>
      </w:r>
      <w:r w:rsidR="00EE4FC3">
        <w:t xml:space="preserve"> </w:t>
      </w:r>
      <w:r w:rsidRPr="00382917">
        <w:t>Mullá</w:t>
      </w:r>
      <w:r w:rsidR="00EE4FC3">
        <w:t xml:space="preserve"> </w:t>
      </w:r>
      <w:r w:rsidR="00964C11" w:rsidRPr="00382917">
        <w:t>Ḥusayn</w:t>
      </w:r>
      <w:r w:rsidR="00EE4FC3">
        <w:t xml:space="preserve"> </w:t>
      </w:r>
      <w:r w:rsidRPr="00382917">
        <w:t>might</w:t>
      </w:r>
      <w:r w:rsidR="00EE4FC3">
        <w:t xml:space="preserve"> </w:t>
      </w:r>
      <w:r w:rsidRPr="00382917">
        <w:t>be</w:t>
      </w:r>
      <w:r w:rsidR="00EE4FC3">
        <w:t xml:space="preserve"> </w:t>
      </w:r>
      <w:r w:rsidRPr="00382917">
        <w:t>the</w:t>
      </w:r>
      <w:r w:rsidR="00EE4FC3">
        <w:t xml:space="preserve"> </w:t>
      </w:r>
      <w:r w:rsidRPr="00382917">
        <w:t>Promised</w:t>
      </w:r>
      <w:r w:rsidR="00EE4FC3">
        <w:t xml:space="preserve"> </w:t>
      </w:r>
      <w:r w:rsidRPr="00382917">
        <w:t>One</w:t>
      </w:r>
      <w:r w:rsidR="00EE4FC3">
        <w:t xml:space="preserve"> </w:t>
      </w:r>
      <w:r w:rsidRPr="00382917">
        <w:t>to</w:t>
      </w:r>
      <w:r w:rsidR="00EE4FC3">
        <w:t xml:space="preserve"> </w:t>
      </w:r>
      <w:r w:rsidRPr="00382917">
        <w:t>whom</w:t>
      </w:r>
      <w:r w:rsidR="00EE4FC3">
        <w:t xml:space="preserve"> </w:t>
      </w:r>
      <w:r w:rsidRPr="00382917">
        <w:t>their</w:t>
      </w:r>
      <w:r w:rsidR="00EE4FC3">
        <w:t xml:space="preserve"> </w:t>
      </w:r>
      <w:r w:rsidRPr="00382917">
        <w:t>master</w:t>
      </w:r>
      <w:r w:rsidR="00EE4FC3">
        <w:t xml:space="preserve"> </w:t>
      </w:r>
      <w:r w:rsidRPr="00382917">
        <w:t>was</w:t>
      </w:r>
      <w:r w:rsidR="00EE4FC3">
        <w:t xml:space="preserve"> </w:t>
      </w:r>
      <w:r w:rsidRPr="00382917">
        <w:t>unceasingly</w:t>
      </w:r>
      <w:r w:rsidR="00EE4FC3">
        <w:t xml:space="preserve"> </w:t>
      </w:r>
      <w:r w:rsidRPr="00382917">
        <w:t>referring,</w:t>
      </w:r>
      <w:r w:rsidR="00EE4FC3">
        <w:t xml:space="preserve"> </w:t>
      </w:r>
      <w:r w:rsidRPr="00382917">
        <w:t>the</w:t>
      </w:r>
      <w:r w:rsidR="00EE4FC3">
        <w:t xml:space="preserve"> </w:t>
      </w:r>
      <w:r w:rsidRPr="00382917">
        <w:t>One</w:t>
      </w:r>
      <w:r w:rsidR="00EE4FC3">
        <w:t xml:space="preserve"> </w:t>
      </w:r>
      <w:r w:rsidRPr="00382917">
        <w:t>whom</w:t>
      </w:r>
      <w:r w:rsidR="00EE4FC3">
        <w:t xml:space="preserve"> </w:t>
      </w:r>
      <w:r w:rsidRPr="00382917">
        <w:t>he</w:t>
      </w:r>
      <w:r w:rsidR="00EE4FC3">
        <w:t xml:space="preserve"> </w:t>
      </w:r>
      <w:r w:rsidRPr="00382917">
        <w:t>so</w:t>
      </w:r>
      <w:r w:rsidR="00EE4FC3">
        <w:t xml:space="preserve"> </w:t>
      </w:r>
      <w:r w:rsidRPr="00382917">
        <w:t>often</w:t>
      </w:r>
      <w:r w:rsidR="00EE4FC3">
        <w:t xml:space="preserve"> </w:t>
      </w:r>
      <w:r w:rsidRPr="00382917">
        <w:t>declared</w:t>
      </w:r>
      <w:r w:rsidR="00EE4FC3">
        <w:t xml:space="preserve"> </w:t>
      </w:r>
      <w:r w:rsidRPr="00382917">
        <w:t>to</w:t>
      </w:r>
      <w:r w:rsidR="00EE4FC3">
        <w:t xml:space="preserve"> </w:t>
      </w:r>
      <w:r w:rsidRPr="00382917">
        <w:t>be</w:t>
      </w:r>
      <w:r w:rsidR="00EE4FC3">
        <w:t xml:space="preserve"> </w:t>
      </w:r>
      <w:r w:rsidRPr="00382917">
        <w:t>even</w:t>
      </w:r>
      <w:r w:rsidR="00EE4FC3">
        <w:t xml:space="preserve"> </w:t>
      </w:r>
      <w:r w:rsidRPr="00382917">
        <w:t>now</w:t>
      </w:r>
      <w:r w:rsidR="00EE4FC3">
        <w:t xml:space="preserve"> </w:t>
      </w:r>
      <w:r w:rsidRPr="00382917">
        <w:t>living</w:t>
      </w:r>
      <w:r w:rsidR="00EE4FC3">
        <w:t xml:space="preserve"> </w:t>
      </w:r>
      <w:r w:rsidRPr="00382917">
        <w:t>in</w:t>
      </w:r>
      <w:r w:rsidR="00EE4FC3">
        <w:t xml:space="preserve"> </w:t>
      </w:r>
      <w:r w:rsidRPr="00382917">
        <w:t>their</w:t>
      </w:r>
      <w:r w:rsidR="00EE4FC3">
        <w:t xml:space="preserve"> </w:t>
      </w:r>
      <w:r w:rsidRPr="00382917">
        <w:t>midst</w:t>
      </w:r>
      <w:r w:rsidR="00EE4FC3">
        <w:t xml:space="preserve"> </w:t>
      </w:r>
      <w:r w:rsidRPr="00382917">
        <w:t>unrecognized</w:t>
      </w:r>
      <w:r w:rsidR="00EE4FC3">
        <w:t xml:space="preserve"> </w:t>
      </w:r>
      <w:r w:rsidRPr="00382917">
        <w:t>by</w:t>
      </w:r>
      <w:r w:rsidR="00EE4FC3">
        <w:t xml:space="preserve"> </w:t>
      </w:r>
      <w:r w:rsidRPr="00382917">
        <w:t>them</w:t>
      </w:r>
      <w:r w:rsidR="00EE4FC3">
        <w:t xml:space="preserve"> </w:t>
      </w:r>
      <w:r w:rsidRPr="00382917">
        <w:t>all.</w:t>
      </w:r>
    </w:p>
    <w:p w:rsidR="006579C6" w:rsidRPr="00382917" w:rsidRDefault="009C713D" w:rsidP="006D18A4">
      <w:pPr>
        <w:pStyle w:val="Text"/>
      </w:pPr>
      <w:r w:rsidRPr="00382917">
        <w:t>“</w:t>
      </w:r>
      <w:r w:rsidR="006579C6" w:rsidRPr="00382917">
        <w:t>You</w:t>
      </w:r>
      <w:r w:rsidR="00EE4FC3">
        <w:t xml:space="preserve"> </w:t>
      </w:r>
      <w:r w:rsidR="006579C6" w:rsidRPr="00382917">
        <w:t>behold</w:t>
      </w:r>
      <w:r w:rsidR="00EE4FC3">
        <w:t xml:space="preserve"> </w:t>
      </w:r>
      <w:r w:rsidR="006579C6" w:rsidRPr="00382917">
        <w:t>Him</w:t>
      </w:r>
      <w:r w:rsidR="00EE4FC3">
        <w:t xml:space="preserve"> </w:t>
      </w:r>
      <w:r w:rsidR="006579C6" w:rsidRPr="00382917">
        <w:t>with</w:t>
      </w:r>
      <w:r w:rsidR="00EE4FC3">
        <w:t xml:space="preserve"> </w:t>
      </w:r>
      <w:r w:rsidR="006579C6" w:rsidRPr="00382917">
        <w:t>your</w:t>
      </w:r>
      <w:r w:rsidR="00EE4FC3">
        <w:t xml:space="preserve"> </w:t>
      </w:r>
      <w:r w:rsidR="006579C6" w:rsidRPr="00382917">
        <w:t>own</w:t>
      </w:r>
      <w:r w:rsidR="00EE4FC3">
        <w:t xml:space="preserve"> </w:t>
      </w:r>
      <w:r w:rsidR="006579C6" w:rsidRPr="00382917">
        <w:t>eyes,</w:t>
      </w:r>
      <w:r w:rsidRPr="00382917">
        <w:t>”</w:t>
      </w:r>
      <w:r w:rsidR="00EE4FC3">
        <w:t xml:space="preserve"> </w:t>
      </w:r>
      <w:r w:rsidR="006579C6" w:rsidRPr="00382917">
        <w:t>Siyyid</w:t>
      </w:r>
      <w:r w:rsidR="00EE4FC3">
        <w:t xml:space="preserve"> </w:t>
      </w:r>
      <w:r w:rsidR="005A51DE" w:rsidRPr="00382917">
        <w:t>Káẓim</w:t>
      </w:r>
      <w:r w:rsidR="00EE4FC3">
        <w:t xml:space="preserve"> </w:t>
      </w:r>
      <w:r w:rsidR="006579C6" w:rsidRPr="00382917">
        <w:t>told</w:t>
      </w:r>
      <w:r w:rsidR="00EE4FC3">
        <w:t xml:space="preserve"> </w:t>
      </w:r>
      <w:r w:rsidR="006579C6" w:rsidRPr="00382917">
        <w:t>them,</w:t>
      </w:r>
      <w:r w:rsidR="00EE4FC3">
        <w:t xml:space="preserve"> </w:t>
      </w:r>
      <w:r w:rsidRPr="00382917">
        <w:t>“</w:t>
      </w:r>
      <w:r w:rsidR="006579C6" w:rsidRPr="00382917">
        <w:t>and</w:t>
      </w:r>
      <w:r w:rsidR="00EE4FC3">
        <w:t xml:space="preserve"> </w:t>
      </w:r>
      <w:r w:rsidR="006579C6" w:rsidRPr="00382917">
        <w:t>yet</w:t>
      </w:r>
      <w:r w:rsidR="00EE4FC3">
        <w:t xml:space="preserve"> </w:t>
      </w:r>
      <w:r w:rsidR="006579C6" w:rsidRPr="00382917">
        <w:t>recognize</w:t>
      </w:r>
      <w:r w:rsidR="00EE4FC3">
        <w:t xml:space="preserve"> </w:t>
      </w:r>
      <w:r w:rsidR="006579C6" w:rsidRPr="00382917">
        <w:t>him</w:t>
      </w:r>
      <w:r w:rsidR="00EE4FC3">
        <w:t xml:space="preserve"> </w:t>
      </w:r>
      <w:r w:rsidR="006579C6" w:rsidRPr="00382917">
        <w:t>not!</w:t>
      </w:r>
      <w:r w:rsidRPr="00382917">
        <w:t>”</w:t>
      </w:r>
    </w:p>
    <w:p w:rsidR="006579C6" w:rsidRPr="00382917" w:rsidRDefault="006579C6" w:rsidP="006D18A4">
      <w:pPr>
        <w:pStyle w:val="Text"/>
      </w:pPr>
      <w:r w:rsidRPr="00382917">
        <w:t>Mullá</w:t>
      </w:r>
      <w:r w:rsidR="00EE4FC3">
        <w:t xml:space="preserve"> </w:t>
      </w:r>
      <w:r w:rsidR="00964C11" w:rsidRPr="00382917">
        <w:t>Ḥusayn</w:t>
      </w:r>
      <w:r w:rsidR="00EE4FC3">
        <w:t xml:space="preserve"> </w:t>
      </w:r>
      <w:r w:rsidRPr="00382917">
        <w:t>returned</w:t>
      </w:r>
      <w:r w:rsidR="00EE4FC3">
        <w:t xml:space="preserve"> </w:t>
      </w:r>
      <w:r w:rsidRPr="00382917">
        <w:t>Siyyid</w:t>
      </w:r>
      <w:r w:rsidR="00EE4FC3">
        <w:t xml:space="preserve"> </w:t>
      </w:r>
      <w:proofErr w:type="spellStart"/>
      <w:r w:rsidR="005A51DE" w:rsidRPr="00382917">
        <w:t>Káẓim</w:t>
      </w:r>
      <w:r w:rsidR="009C713D" w:rsidRPr="00382917">
        <w:t>’</w:t>
      </w:r>
      <w:r w:rsidRPr="00382917">
        <w:t>s</w:t>
      </w:r>
      <w:proofErr w:type="spellEnd"/>
      <w:r w:rsidR="00EE4FC3">
        <w:t xml:space="preserve"> </w:t>
      </w:r>
      <w:r w:rsidRPr="00382917">
        <w:t>great</w:t>
      </w:r>
      <w:r w:rsidR="00EE4FC3">
        <w:t xml:space="preserve"> </w:t>
      </w:r>
      <w:r w:rsidRPr="00382917">
        <w:t>love</w:t>
      </w:r>
      <w:r w:rsidR="00EE4FC3">
        <w:t xml:space="preserve"> </w:t>
      </w:r>
      <w:r w:rsidRPr="00382917">
        <w:t>and</w:t>
      </w:r>
      <w:r w:rsidR="00EE4FC3">
        <w:t xml:space="preserve"> </w:t>
      </w:r>
      <w:r w:rsidRPr="00382917">
        <w:t>respect.</w:t>
      </w:r>
      <w:r w:rsidR="00EE4FC3">
        <w:t xml:space="preserve">  </w:t>
      </w:r>
      <w:r w:rsidRPr="00382917">
        <w:t>At</w:t>
      </w:r>
      <w:r w:rsidR="00EE4FC3">
        <w:t xml:space="preserve"> </w:t>
      </w:r>
      <w:r w:rsidRPr="00382917">
        <w:t>times</w:t>
      </w:r>
      <w:r w:rsidR="00EE4FC3">
        <w:t xml:space="preserve"> </w:t>
      </w:r>
      <w:r w:rsidRPr="00382917">
        <w:t>he</w:t>
      </w:r>
      <w:r w:rsidR="00EE4FC3">
        <w:t xml:space="preserve"> </w:t>
      </w:r>
      <w:r w:rsidRPr="00382917">
        <w:t>himself</w:t>
      </w:r>
      <w:r w:rsidR="00EE4FC3">
        <w:t xml:space="preserve"> </w:t>
      </w:r>
      <w:r w:rsidRPr="00382917">
        <w:t>secretly</w:t>
      </w:r>
      <w:r w:rsidR="00EE4FC3">
        <w:t xml:space="preserve"> </w:t>
      </w:r>
      <w:r w:rsidRPr="00382917">
        <w:t>wondered</w:t>
      </w:r>
      <w:r w:rsidR="00EE4FC3">
        <w:t xml:space="preserve"> </w:t>
      </w:r>
      <w:r w:rsidRPr="00382917">
        <w:t>whether</w:t>
      </w:r>
      <w:r w:rsidR="00EE4FC3">
        <w:t xml:space="preserve"> </w:t>
      </w:r>
      <w:r w:rsidRPr="00382917">
        <w:t>or</w:t>
      </w:r>
      <w:r w:rsidR="00EE4FC3">
        <w:t xml:space="preserve"> </w:t>
      </w:r>
      <w:r w:rsidRPr="00382917">
        <w:t>not</w:t>
      </w:r>
      <w:r w:rsidR="00EE4FC3">
        <w:t xml:space="preserve"> </w:t>
      </w:r>
      <w:r w:rsidRPr="00382917">
        <w:t>Siyyid</w:t>
      </w:r>
      <w:r w:rsidR="00EE4FC3">
        <w:t xml:space="preserve"> </w:t>
      </w:r>
      <w:r w:rsidR="005A51DE" w:rsidRPr="00382917">
        <w:t>Káẓim</w:t>
      </w:r>
      <w:r w:rsidR="00EE4FC3">
        <w:t xml:space="preserve"> </w:t>
      </w:r>
      <w:r w:rsidRPr="00382917">
        <w:t>might</w:t>
      </w:r>
      <w:r w:rsidR="00EE4FC3">
        <w:t xml:space="preserve"> </w:t>
      </w:r>
      <w:r w:rsidRPr="00382917">
        <w:t>be</w:t>
      </w:r>
      <w:r w:rsidR="00EE4FC3">
        <w:t xml:space="preserve"> </w:t>
      </w:r>
      <w:r w:rsidRPr="00382917">
        <w:t>the</w:t>
      </w:r>
      <w:r w:rsidR="00EE4FC3">
        <w:t xml:space="preserve"> </w:t>
      </w:r>
      <w:r w:rsidRPr="00382917">
        <w:t>One</w:t>
      </w:r>
      <w:r w:rsidR="00EE4FC3">
        <w:t xml:space="preserve"> </w:t>
      </w:r>
      <w:r w:rsidRPr="00382917">
        <w:t>they</w:t>
      </w:r>
      <w:r w:rsidR="00EE4FC3">
        <w:t xml:space="preserve"> </w:t>
      </w:r>
      <w:r w:rsidRPr="00382917">
        <w:t>awaited.</w:t>
      </w:r>
      <w:r w:rsidR="00EE4FC3">
        <w:t xml:space="preserve">  </w:t>
      </w:r>
      <w:r w:rsidRPr="00382917">
        <w:t>Mullá</w:t>
      </w:r>
      <w:r w:rsidR="00EE4FC3">
        <w:t xml:space="preserve"> </w:t>
      </w:r>
      <w:r w:rsidR="00964C11" w:rsidRPr="00382917">
        <w:t>Ḥusayn</w:t>
      </w:r>
      <w:r w:rsidRPr="00382917">
        <w:t>,</w:t>
      </w:r>
      <w:r w:rsidR="00EE4FC3">
        <w:t xml:space="preserve"> </w:t>
      </w:r>
      <w:r w:rsidRPr="00382917">
        <w:t>however,</w:t>
      </w:r>
      <w:r w:rsidR="00EE4FC3">
        <w:t xml:space="preserve"> </w:t>
      </w:r>
      <w:r w:rsidRPr="00382917">
        <w:t>had</w:t>
      </w:r>
      <w:r w:rsidR="00EE4FC3">
        <w:t xml:space="preserve"> </w:t>
      </w:r>
      <w:r w:rsidRPr="00382917">
        <w:t>a</w:t>
      </w:r>
      <w:r w:rsidR="00EE4FC3">
        <w:t xml:space="preserve"> </w:t>
      </w:r>
      <w:r w:rsidRPr="00382917">
        <w:t>standard</w:t>
      </w:r>
      <w:r w:rsidR="00EE4FC3">
        <w:t xml:space="preserve"> </w:t>
      </w:r>
      <w:r w:rsidRPr="00382917">
        <w:t>by</w:t>
      </w:r>
      <w:r w:rsidR="00EE4FC3">
        <w:t xml:space="preserve"> </w:t>
      </w:r>
      <w:r w:rsidRPr="00382917">
        <w:t>which</w:t>
      </w:r>
      <w:r w:rsidR="00EE4FC3">
        <w:t xml:space="preserve"> </w:t>
      </w:r>
      <w:r w:rsidRPr="00382917">
        <w:t>he</w:t>
      </w:r>
      <w:r w:rsidR="00EE4FC3">
        <w:t xml:space="preserve"> </w:t>
      </w:r>
      <w:r w:rsidRPr="00382917">
        <w:t>planned</w:t>
      </w:r>
      <w:r w:rsidR="00EE4FC3">
        <w:t xml:space="preserve"> </w:t>
      </w:r>
      <w:r w:rsidRPr="00382917">
        <w:t>to</w:t>
      </w:r>
      <w:r w:rsidR="00EE4FC3">
        <w:t xml:space="preserve"> </w:t>
      </w:r>
      <w:r w:rsidRPr="00382917">
        <w:t>test</w:t>
      </w:r>
      <w:r w:rsidR="00EE4FC3">
        <w:t xml:space="preserve"> </w:t>
      </w:r>
      <w:r w:rsidRPr="00382917">
        <w:t>whoever</w:t>
      </w:r>
      <w:r w:rsidR="00EE4FC3">
        <w:t xml:space="preserve"> </w:t>
      </w:r>
      <w:r w:rsidRPr="00382917">
        <w:t>made</w:t>
      </w:r>
      <w:r w:rsidR="00EE4FC3">
        <w:t xml:space="preserve"> </w:t>
      </w:r>
      <w:r w:rsidRPr="00382917">
        <w:t>such</w:t>
      </w:r>
      <w:r w:rsidR="00EE4FC3">
        <w:t xml:space="preserve"> </w:t>
      </w:r>
      <w:r w:rsidRPr="00382917">
        <w:t>a</w:t>
      </w:r>
      <w:r w:rsidR="00EE4FC3">
        <w:t xml:space="preserve"> </w:t>
      </w:r>
      <w:r w:rsidRPr="00382917">
        <w:t>stupendous</w:t>
      </w:r>
      <w:r w:rsidR="00EE4FC3">
        <w:t xml:space="preserve"> </w:t>
      </w:r>
      <w:r w:rsidRPr="00382917">
        <w:t>claim.</w:t>
      </w:r>
      <w:r w:rsidR="00EE4FC3">
        <w:t xml:space="preserve">  </w:t>
      </w:r>
      <w:r w:rsidRPr="00382917">
        <w:t>He</w:t>
      </w:r>
      <w:r w:rsidR="00EE4FC3">
        <w:t xml:space="preserve"> </w:t>
      </w:r>
      <w:r w:rsidRPr="00382917">
        <w:t>would</w:t>
      </w:r>
      <w:r w:rsidR="00EE4FC3">
        <w:t xml:space="preserve"> </w:t>
      </w:r>
      <w:r w:rsidRPr="00382917">
        <w:t>ask</w:t>
      </w:r>
      <w:r w:rsidR="00EE4FC3">
        <w:t xml:space="preserve"> </w:t>
      </w:r>
      <w:r w:rsidRPr="00382917">
        <w:t>that</w:t>
      </w:r>
      <w:r w:rsidR="00EE4FC3">
        <w:t xml:space="preserve"> </w:t>
      </w:r>
      <w:r w:rsidRPr="00382917">
        <w:t>a</w:t>
      </w:r>
      <w:r w:rsidR="00EE4FC3">
        <w:t xml:space="preserve"> </w:t>
      </w:r>
      <w:r w:rsidRPr="00382917">
        <w:t>commentary</w:t>
      </w:r>
      <w:r w:rsidR="00EE4FC3">
        <w:t xml:space="preserve"> </w:t>
      </w:r>
      <w:r w:rsidRPr="00382917">
        <w:t>be</w:t>
      </w:r>
      <w:r w:rsidR="00EE4FC3">
        <w:t xml:space="preserve"> </w:t>
      </w:r>
      <w:r w:rsidRPr="00382917">
        <w:t>written</w:t>
      </w:r>
      <w:r w:rsidR="00EE4FC3">
        <w:t xml:space="preserve"> </w:t>
      </w:r>
      <w:r w:rsidRPr="00382917">
        <w:t>upon</w:t>
      </w:r>
      <w:r w:rsidR="00EE4FC3">
        <w:t xml:space="preserve"> </w:t>
      </w:r>
      <w:r w:rsidRPr="00382917">
        <w:t>the</w:t>
      </w:r>
      <w:r w:rsidR="00EE4FC3">
        <w:t xml:space="preserve"> </w:t>
      </w:r>
      <w:r w:rsidRPr="00382917">
        <w:t>story</w:t>
      </w:r>
      <w:r w:rsidR="00EE4FC3">
        <w:t xml:space="preserve"> </w:t>
      </w:r>
      <w:r w:rsidRPr="00382917">
        <w:t>of</w:t>
      </w:r>
      <w:r w:rsidR="00EE4FC3">
        <w:t xml:space="preserve"> </w:t>
      </w:r>
      <w:r w:rsidRPr="00382917">
        <w:t>Joseph,</w:t>
      </w:r>
      <w:r w:rsidR="00EE4FC3">
        <w:t xml:space="preserve"> </w:t>
      </w:r>
      <w:r w:rsidRPr="00382917">
        <w:t>a</w:t>
      </w:r>
      <w:r w:rsidR="00EE4FC3">
        <w:t xml:space="preserve"> </w:t>
      </w:r>
      <w:r w:rsidRPr="00382917">
        <w:t>certain</w:t>
      </w:r>
      <w:r w:rsidR="00EE4FC3">
        <w:t xml:space="preserve"> </w:t>
      </w:r>
      <w:r w:rsidRPr="00382917">
        <w:t>chapter</w:t>
      </w:r>
      <w:r w:rsidR="00EE4FC3">
        <w:t xml:space="preserve"> </w:t>
      </w:r>
      <w:r w:rsidRPr="00382917">
        <w:t>in</w:t>
      </w:r>
      <w:r w:rsidR="00EE4FC3">
        <w:t xml:space="preserve"> </w:t>
      </w:r>
      <w:r w:rsidRPr="00382917">
        <w:t>the</w:t>
      </w:r>
      <w:r w:rsidR="00EE4FC3">
        <w:t xml:space="preserve"> </w:t>
      </w:r>
      <w:r w:rsidRPr="00382917">
        <w:t>sacred</w:t>
      </w:r>
      <w:r w:rsidR="00EE4FC3">
        <w:t xml:space="preserve"> </w:t>
      </w:r>
      <w:r w:rsidRPr="00382917">
        <w:t>scripture,</w:t>
      </w:r>
      <w:r w:rsidR="00EE4FC3">
        <w:t xml:space="preserve"> </w:t>
      </w:r>
      <w:r w:rsidRPr="00382917">
        <w:t>and</w:t>
      </w:r>
      <w:r w:rsidR="00EE4FC3">
        <w:t xml:space="preserve"> </w:t>
      </w:r>
      <w:r w:rsidRPr="00382917">
        <w:t>written</w:t>
      </w:r>
      <w:r w:rsidR="00EE4FC3">
        <w:t xml:space="preserve"> </w:t>
      </w:r>
      <w:r w:rsidRPr="00382917">
        <w:t>in</w:t>
      </w:r>
      <w:r w:rsidR="00EE4FC3">
        <w:t xml:space="preserve"> </w:t>
      </w:r>
      <w:r w:rsidRPr="00382917">
        <w:t>a</w:t>
      </w:r>
      <w:r w:rsidR="00EE4FC3">
        <w:t xml:space="preserve"> </w:t>
      </w:r>
      <w:r w:rsidRPr="00382917">
        <w:t>style</w:t>
      </w:r>
      <w:r w:rsidR="00EE4FC3">
        <w:t xml:space="preserve"> </w:t>
      </w:r>
      <w:r w:rsidRPr="00382917">
        <w:t>and</w:t>
      </w:r>
      <w:r w:rsidR="00EE4FC3">
        <w:t xml:space="preserve"> </w:t>
      </w:r>
      <w:r w:rsidRPr="00382917">
        <w:t>language</w:t>
      </w:r>
      <w:r w:rsidR="00EE4FC3">
        <w:t xml:space="preserve"> </w:t>
      </w:r>
      <w:r w:rsidRPr="00382917">
        <w:t>entirely</w:t>
      </w:r>
      <w:r w:rsidR="00EE4FC3">
        <w:t xml:space="preserve"> </w:t>
      </w:r>
      <w:r w:rsidRPr="00382917">
        <w:t>different</w:t>
      </w:r>
      <w:r w:rsidR="00EE4FC3">
        <w:t xml:space="preserve"> </w:t>
      </w:r>
      <w:r w:rsidRPr="00382917">
        <w:t>from</w:t>
      </w:r>
      <w:r w:rsidR="00EE4FC3">
        <w:t xml:space="preserve"> </w:t>
      </w:r>
      <w:r w:rsidRPr="00382917">
        <w:t>the</w:t>
      </w:r>
      <w:r w:rsidR="00EE4FC3">
        <w:t xml:space="preserve"> </w:t>
      </w:r>
      <w:r w:rsidRPr="00382917">
        <w:t>prevailing</w:t>
      </w:r>
      <w:r w:rsidR="00EE4FC3">
        <w:t xml:space="preserve"> </w:t>
      </w:r>
      <w:r w:rsidRPr="00382917">
        <w:t>standards.</w:t>
      </w:r>
    </w:p>
    <w:p w:rsidR="006579C6" w:rsidRPr="00382917" w:rsidRDefault="006579C6" w:rsidP="006D18A4">
      <w:pPr>
        <w:pStyle w:val="Text"/>
      </w:pPr>
      <w:r w:rsidRPr="00382917">
        <w:t>One</w:t>
      </w:r>
      <w:r w:rsidR="00EE4FC3">
        <w:t xml:space="preserve"> </w:t>
      </w:r>
      <w:r w:rsidRPr="00382917">
        <w:t>day</w:t>
      </w:r>
      <w:r w:rsidR="00EE4FC3">
        <w:t xml:space="preserve"> </w:t>
      </w:r>
      <w:r w:rsidRPr="00382917">
        <w:t>Mullá</w:t>
      </w:r>
      <w:r w:rsidR="00EE4FC3">
        <w:t xml:space="preserve"> </w:t>
      </w:r>
      <w:r w:rsidR="00964C11" w:rsidRPr="00382917">
        <w:t>Ḥusayn</w:t>
      </w:r>
      <w:r w:rsidRPr="00382917">
        <w:t>,</w:t>
      </w:r>
      <w:r w:rsidR="00EE4FC3">
        <w:t xml:space="preserve"> </w:t>
      </w:r>
      <w:r w:rsidRPr="00382917">
        <w:t>in</w:t>
      </w:r>
      <w:r w:rsidR="00EE4FC3">
        <w:t xml:space="preserve"> </w:t>
      </w:r>
      <w:r w:rsidRPr="00382917">
        <w:t>private,</w:t>
      </w:r>
      <w:r w:rsidR="00EE4FC3">
        <w:t xml:space="preserve"> </w:t>
      </w:r>
      <w:r w:rsidRPr="00382917">
        <w:t>asked</w:t>
      </w:r>
      <w:r w:rsidR="00EE4FC3">
        <w:t xml:space="preserve"> </w:t>
      </w:r>
      <w:r w:rsidRPr="00382917">
        <w:t>Siyyid</w:t>
      </w:r>
      <w:r w:rsidR="00EE4FC3">
        <w:t xml:space="preserve"> </w:t>
      </w:r>
      <w:r w:rsidR="005A51DE" w:rsidRPr="00382917">
        <w:t>Káẓim</w:t>
      </w:r>
      <w:r w:rsidR="00EE4FC3">
        <w:t xml:space="preserve"> </w:t>
      </w:r>
      <w:r w:rsidRPr="00382917">
        <w:t>to</w:t>
      </w:r>
      <w:r w:rsidR="00EE4FC3">
        <w:t xml:space="preserve"> </w:t>
      </w:r>
      <w:r w:rsidRPr="00382917">
        <w:t>write</w:t>
      </w:r>
      <w:r w:rsidR="00EE4FC3">
        <w:t xml:space="preserve"> </w:t>
      </w:r>
      <w:r w:rsidRPr="00382917">
        <w:t>such</w:t>
      </w:r>
      <w:r w:rsidR="00EE4FC3">
        <w:t xml:space="preserve"> </w:t>
      </w:r>
      <w:r w:rsidRPr="00382917">
        <w:t>a</w:t>
      </w:r>
      <w:r w:rsidR="00EE4FC3">
        <w:t xml:space="preserve"> </w:t>
      </w:r>
      <w:r w:rsidRPr="00382917">
        <w:t>commentary.</w:t>
      </w:r>
      <w:r w:rsidR="00EE4FC3">
        <w:t xml:space="preserve">  </w:t>
      </w:r>
      <w:r w:rsidRPr="00382917">
        <w:t>Siyyid</w:t>
      </w:r>
      <w:r w:rsidR="00EE4FC3">
        <w:t xml:space="preserve"> </w:t>
      </w:r>
      <w:r w:rsidR="005A51DE" w:rsidRPr="00382917">
        <w:t>Káẓim</w:t>
      </w:r>
      <w:r w:rsidR="00EE4FC3">
        <w:t xml:space="preserve"> </w:t>
      </w:r>
      <w:r w:rsidRPr="00382917">
        <w:t>refused.</w:t>
      </w:r>
    </w:p>
    <w:p w:rsidR="006579C6" w:rsidRPr="00382917" w:rsidRDefault="009C713D" w:rsidP="006D18A4">
      <w:pPr>
        <w:pStyle w:val="Text"/>
      </w:pPr>
      <w:r w:rsidRPr="00382917">
        <w:t>“</w:t>
      </w:r>
      <w:r w:rsidR="006579C6" w:rsidRPr="00382917">
        <w:t>This</w:t>
      </w:r>
      <w:r w:rsidR="00EE4FC3">
        <w:t xml:space="preserve"> </w:t>
      </w:r>
      <w:r w:rsidR="006579C6" w:rsidRPr="00382917">
        <w:t>verily</w:t>
      </w:r>
      <w:r w:rsidR="00EE4FC3">
        <w:t xml:space="preserve"> </w:t>
      </w:r>
      <w:r w:rsidR="006579C6" w:rsidRPr="00382917">
        <w:t>is</w:t>
      </w:r>
      <w:r w:rsidR="00EE4FC3">
        <w:t xml:space="preserve"> </w:t>
      </w:r>
      <w:r w:rsidR="006579C6" w:rsidRPr="00382917">
        <w:t>beyond</w:t>
      </w:r>
      <w:r w:rsidR="00EE4FC3">
        <w:t xml:space="preserve"> </w:t>
      </w:r>
      <w:r w:rsidR="006579C6" w:rsidRPr="00382917">
        <w:t>me,</w:t>
      </w:r>
      <w:r w:rsidRPr="00382917">
        <w:t>”</w:t>
      </w:r>
      <w:r w:rsidR="00EE4FC3">
        <w:t xml:space="preserve"> </w:t>
      </w:r>
      <w:r w:rsidR="006579C6" w:rsidRPr="00382917">
        <w:t>he</w:t>
      </w:r>
      <w:r w:rsidR="00EE4FC3">
        <w:t xml:space="preserve"> </w:t>
      </w:r>
      <w:r w:rsidR="006579C6" w:rsidRPr="00382917">
        <w:t>said.</w:t>
      </w:r>
      <w:r w:rsidR="00EE4FC3">
        <w:t xml:space="preserve">  </w:t>
      </w:r>
      <w:r w:rsidRPr="00382917">
        <w:t>“</w:t>
      </w:r>
      <w:r w:rsidR="006579C6" w:rsidRPr="00382917">
        <w:t>However,</w:t>
      </w:r>
      <w:r w:rsidR="00EE4FC3">
        <w:t xml:space="preserve"> </w:t>
      </w:r>
      <w:r w:rsidR="006579C6" w:rsidRPr="00382917">
        <w:t>He</w:t>
      </w:r>
      <w:r w:rsidR="00EE4FC3">
        <w:t xml:space="preserve"> </w:t>
      </w:r>
      <w:r w:rsidR="006579C6" w:rsidRPr="00382917">
        <w:t>that</w:t>
      </w:r>
      <w:r w:rsidR="00EE4FC3">
        <w:t xml:space="preserve"> </w:t>
      </w:r>
      <w:r w:rsidR="006579C6" w:rsidRPr="00382917">
        <w:t>great</w:t>
      </w:r>
      <w:r w:rsidR="00EE4FC3">
        <w:t xml:space="preserve"> </w:t>
      </w:r>
      <w:proofErr w:type="gramStart"/>
      <w:r w:rsidR="006579C6" w:rsidRPr="00382917">
        <w:t>One</w:t>
      </w:r>
      <w:proofErr w:type="gramEnd"/>
      <w:r w:rsidR="00EE4FC3">
        <w:t xml:space="preserve"> </w:t>
      </w:r>
      <w:r w:rsidR="006579C6" w:rsidRPr="00382917">
        <w:t>who</w:t>
      </w:r>
      <w:r w:rsidR="00EE4FC3">
        <w:t xml:space="preserve"> </w:t>
      </w:r>
      <w:r w:rsidR="006579C6" w:rsidRPr="00382917">
        <w:t>comes</w:t>
      </w:r>
      <w:r w:rsidR="00EE4FC3">
        <w:t xml:space="preserve"> </w:t>
      </w:r>
      <w:r w:rsidR="006579C6" w:rsidRPr="00382917">
        <w:t>after</w:t>
      </w:r>
      <w:r w:rsidR="00EE4FC3">
        <w:t xml:space="preserve"> </w:t>
      </w:r>
      <w:r w:rsidR="006579C6" w:rsidRPr="00382917">
        <w:t>me</w:t>
      </w:r>
      <w:r w:rsidR="00EE4FC3">
        <w:t xml:space="preserve"> </w:t>
      </w:r>
      <w:r w:rsidR="006579C6" w:rsidRPr="00382917">
        <w:t>will,</w:t>
      </w:r>
      <w:r w:rsidR="00EE4FC3">
        <w:t xml:space="preserve"> </w:t>
      </w:r>
      <w:r w:rsidR="006579C6" w:rsidRPr="00382917">
        <w:t>unasked,</w:t>
      </w:r>
      <w:r w:rsidR="00EE4FC3">
        <w:t xml:space="preserve"> </w:t>
      </w:r>
      <w:r w:rsidR="006579C6" w:rsidRPr="00382917">
        <w:t>reveal</w:t>
      </w:r>
      <w:r w:rsidR="00EE4FC3">
        <w:t xml:space="preserve"> </w:t>
      </w:r>
      <w:r w:rsidR="006579C6" w:rsidRPr="00382917">
        <w:t>it</w:t>
      </w:r>
      <w:r w:rsidR="00EE4FC3">
        <w:t xml:space="preserve"> </w:t>
      </w:r>
      <w:r w:rsidR="006579C6" w:rsidRPr="00382917">
        <w:t>for</w:t>
      </w:r>
      <w:r w:rsidR="00EE4FC3">
        <w:t xml:space="preserve"> </w:t>
      </w:r>
      <w:r w:rsidR="006579C6" w:rsidRPr="00382917">
        <w:t>you.</w:t>
      </w:r>
      <w:r w:rsidR="00EE4FC3">
        <w:t xml:space="preserve">  </w:t>
      </w:r>
      <w:r w:rsidR="006579C6" w:rsidRPr="00382917">
        <w:t>That</w:t>
      </w:r>
      <w:r w:rsidR="00EE4FC3">
        <w:t xml:space="preserve"> </w:t>
      </w:r>
      <w:r w:rsidR="006579C6" w:rsidRPr="00382917">
        <w:t>commentary</w:t>
      </w:r>
      <w:r w:rsidR="00EE4FC3">
        <w:t xml:space="preserve"> </w:t>
      </w:r>
      <w:r w:rsidR="006579C6" w:rsidRPr="00382917">
        <w:t>will</w:t>
      </w:r>
      <w:r w:rsidR="00EE4FC3">
        <w:t xml:space="preserve"> </w:t>
      </w:r>
      <w:r w:rsidR="006579C6" w:rsidRPr="00382917">
        <w:t>constitute</w:t>
      </w:r>
      <w:r w:rsidR="00EE4FC3">
        <w:t xml:space="preserve"> </w:t>
      </w:r>
      <w:r w:rsidR="006579C6" w:rsidRPr="00382917">
        <w:t>one</w:t>
      </w:r>
      <w:r w:rsidR="00EE4FC3">
        <w:t xml:space="preserve"> </w:t>
      </w:r>
      <w:r w:rsidR="006579C6" w:rsidRPr="00382917">
        <w:t>of</w:t>
      </w:r>
      <w:r w:rsidR="00EE4FC3">
        <w:t xml:space="preserve"> </w:t>
      </w:r>
      <w:r w:rsidR="006579C6" w:rsidRPr="00382917">
        <w:t>the</w:t>
      </w:r>
      <w:r w:rsidR="00EE4FC3">
        <w:t xml:space="preserve"> </w:t>
      </w:r>
      <w:r w:rsidR="006579C6" w:rsidRPr="00382917">
        <w:t>clearest</w:t>
      </w:r>
      <w:r w:rsidR="00EE4FC3">
        <w:t xml:space="preserve"> </w:t>
      </w:r>
      <w:r w:rsidR="006579C6" w:rsidRPr="00382917">
        <w:t>evidences</w:t>
      </w:r>
      <w:r w:rsidR="00EE4FC3">
        <w:t xml:space="preserve"> </w:t>
      </w:r>
      <w:r w:rsidR="006579C6" w:rsidRPr="00382917">
        <w:t>of</w:t>
      </w:r>
      <w:r w:rsidR="00EE4FC3">
        <w:t xml:space="preserve"> </w:t>
      </w:r>
      <w:r w:rsidR="006579C6" w:rsidRPr="00382917">
        <w:t>His</w:t>
      </w:r>
      <w:r w:rsidR="00EE4FC3">
        <w:t xml:space="preserve"> </w:t>
      </w:r>
      <w:r w:rsidR="006579C6" w:rsidRPr="00382917">
        <w:t>truth.</w:t>
      </w:r>
      <w:r w:rsidRPr="00382917">
        <w:t>”</w:t>
      </w:r>
    </w:p>
    <w:p w:rsidR="006579C6" w:rsidRPr="00382917" w:rsidRDefault="006579C6" w:rsidP="00964C11">
      <w:pPr>
        <w:pStyle w:val="Text"/>
      </w:pPr>
      <w:r w:rsidRPr="00382917">
        <w:t>Mullá</w:t>
      </w:r>
      <w:r w:rsidR="00EE4FC3">
        <w:t xml:space="preserve"> </w:t>
      </w:r>
      <w:r w:rsidR="00964C11" w:rsidRPr="00382917">
        <w:t>Ḥusayn</w:t>
      </w:r>
      <w:r w:rsidR="00EE4FC3">
        <w:t xml:space="preserve"> </w:t>
      </w:r>
      <w:r w:rsidRPr="00382917">
        <w:t>asked</w:t>
      </w:r>
      <w:r w:rsidR="00EE4FC3">
        <w:t xml:space="preserve"> </w:t>
      </w:r>
      <w:r w:rsidRPr="00382917">
        <w:t>Siyyid</w:t>
      </w:r>
      <w:r w:rsidR="00EE4FC3">
        <w:t xml:space="preserve"> </w:t>
      </w:r>
      <w:r w:rsidR="005A51DE" w:rsidRPr="00382917">
        <w:t>Káẓim</w:t>
      </w:r>
      <w:r w:rsidR="00EE4FC3">
        <w:t xml:space="preserve"> </w:t>
      </w:r>
      <w:r w:rsidRPr="00382917">
        <w:t>why</w:t>
      </w:r>
      <w:r w:rsidR="00EE4FC3">
        <w:t xml:space="preserve"> </w:t>
      </w:r>
      <w:r w:rsidRPr="00382917">
        <w:t>this</w:t>
      </w:r>
      <w:r w:rsidR="00EE4FC3">
        <w:t xml:space="preserve"> </w:t>
      </w:r>
      <w:r w:rsidRPr="00382917">
        <w:t>chapter</w:t>
      </w:r>
      <w:r w:rsidR="00EE4FC3">
        <w:t xml:space="preserve"> </w:t>
      </w:r>
      <w:r w:rsidRPr="00382917">
        <w:t>was</w:t>
      </w:r>
      <w:r w:rsidR="00EE4FC3">
        <w:t xml:space="preserve"> </w:t>
      </w:r>
      <w:r w:rsidRPr="00382917">
        <w:t>called</w:t>
      </w:r>
      <w:r w:rsidR="00EE4FC3">
        <w:t xml:space="preserve"> </w:t>
      </w:r>
      <w:r w:rsidRPr="00382917">
        <w:t>the</w:t>
      </w:r>
      <w:r w:rsidR="00EE4FC3">
        <w:t xml:space="preserve"> </w:t>
      </w:r>
      <w:r w:rsidR="009C713D" w:rsidRPr="00382917">
        <w:t>“</w:t>
      </w:r>
      <w:r w:rsidRPr="00382917">
        <w:t>best</w:t>
      </w:r>
      <w:r w:rsidR="00EE4FC3">
        <w:t xml:space="preserve"> </w:t>
      </w:r>
      <w:r w:rsidRPr="00382917">
        <w:t>of</w:t>
      </w:r>
      <w:r w:rsidR="00EE4FC3">
        <w:t xml:space="preserve"> </w:t>
      </w:r>
      <w:r w:rsidRPr="00382917">
        <w:t>stories</w:t>
      </w:r>
      <w:r w:rsidR="009C713D" w:rsidRPr="00382917">
        <w:t>”</w:t>
      </w:r>
      <w:r w:rsidR="00EE4FC3">
        <w:t xml:space="preserve"> </w:t>
      </w:r>
      <w:r w:rsidRPr="00382917">
        <w:t>in</w:t>
      </w:r>
      <w:r w:rsidR="00EE4FC3">
        <w:t xml:space="preserve"> </w:t>
      </w:r>
      <w:r w:rsidRPr="00382917">
        <w:t>their</w:t>
      </w:r>
      <w:r w:rsidR="00EE4FC3">
        <w:t xml:space="preserve"> </w:t>
      </w:r>
      <w:r w:rsidRPr="00382917">
        <w:t>holy</w:t>
      </w:r>
      <w:r w:rsidR="00EE4FC3">
        <w:t xml:space="preserve"> </w:t>
      </w:r>
      <w:r w:rsidRPr="00382917">
        <w:t>Book.</w:t>
      </w:r>
      <w:r w:rsidR="00EE4FC3">
        <w:t xml:space="preserve">  </w:t>
      </w:r>
      <w:r w:rsidRPr="00382917">
        <w:t>Siyyid</w:t>
      </w:r>
      <w:r w:rsidR="00EE4FC3">
        <w:t xml:space="preserve"> </w:t>
      </w:r>
      <w:r w:rsidRPr="00382917">
        <w:t>Káẓim</w:t>
      </w:r>
      <w:r w:rsidR="00EE4FC3">
        <w:t xml:space="preserve"> </w:t>
      </w:r>
      <w:r w:rsidRPr="00382917">
        <w:t>replied,</w:t>
      </w:r>
      <w:r w:rsidR="00EE4FC3">
        <w:t xml:space="preserve"> </w:t>
      </w:r>
      <w:r w:rsidR="009C713D" w:rsidRPr="00382917">
        <w:t>“</w:t>
      </w:r>
      <w:r w:rsidRPr="00382917">
        <w:t>It</w:t>
      </w:r>
    </w:p>
    <w:p w:rsidR="00051AC7" w:rsidRPr="00382917" w:rsidRDefault="00051AC7">
      <w:pPr>
        <w:widowControl/>
        <w:kinsoku/>
        <w:overflowPunct/>
        <w:textAlignment w:val="auto"/>
        <w:rPr>
          <w:rFonts w:eastAsia="Times New Roman"/>
          <w:color w:val="000000"/>
          <w:sz w:val="24"/>
        </w:rPr>
      </w:pPr>
      <w:r w:rsidRPr="00382917">
        <w:rPr>
          <w:rFonts w:eastAsia="Times New Roman"/>
          <w:color w:val="000000"/>
          <w:sz w:val="24"/>
        </w:rPr>
        <w:br w:type="page"/>
      </w:r>
    </w:p>
    <w:p w:rsidR="00E13D49" w:rsidRPr="00382917" w:rsidRDefault="00581CF7" w:rsidP="00964C11">
      <w:pPr>
        <w:pStyle w:val="Textcts"/>
      </w:pPr>
      <w:proofErr w:type="gramStart"/>
      <w:r w:rsidRPr="00382917">
        <w:t>is</w:t>
      </w:r>
      <w:proofErr w:type="gramEnd"/>
      <w:r w:rsidR="00EE4FC3">
        <w:t xml:space="preserve"> </w:t>
      </w:r>
      <w:r w:rsidRPr="00382917">
        <w:t>not</w:t>
      </w:r>
      <w:r w:rsidR="00EE4FC3">
        <w:t xml:space="preserve"> </w:t>
      </w:r>
      <w:r w:rsidRPr="00382917">
        <w:t>the</w:t>
      </w:r>
      <w:r w:rsidR="00EE4FC3">
        <w:t xml:space="preserve"> </w:t>
      </w:r>
      <w:r w:rsidRPr="00382917">
        <w:t>proper</w:t>
      </w:r>
      <w:r w:rsidR="00EE4FC3">
        <w:t xml:space="preserve"> </w:t>
      </w:r>
      <w:r w:rsidRPr="00382917">
        <w:t>occasion</w:t>
      </w:r>
      <w:r w:rsidR="00EE4FC3">
        <w:t xml:space="preserve"> </w:t>
      </w:r>
      <w:r w:rsidRPr="00382917">
        <w:t>for</w:t>
      </w:r>
      <w:r w:rsidR="00EE4FC3">
        <w:t xml:space="preserve"> </w:t>
      </w:r>
      <w:r w:rsidRPr="00382917">
        <w:t>explaining</w:t>
      </w:r>
      <w:r w:rsidR="00EE4FC3">
        <w:t xml:space="preserve"> </w:t>
      </w:r>
      <w:r w:rsidRPr="00382917">
        <w:t>the</w:t>
      </w:r>
      <w:r w:rsidR="00EE4FC3">
        <w:t xml:space="preserve"> </w:t>
      </w:r>
      <w:r w:rsidRPr="00382917">
        <w:t>reason.</w:t>
      </w:r>
      <w:r w:rsidR="009C713D" w:rsidRPr="00382917">
        <w:t>”</w:t>
      </w:r>
      <w:r w:rsidR="00EE4FC3">
        <w:t xml:space="preserve">  </w:t>
      </w:r>
      <w:r w:rsidRPr="00382917">
        <w:t>His</w:t>
      </w:r>
      <w:r w:rsidR="00EE4FC3">
        <w:t xml:space="preserve"> </w:t>
      </w:r>
      <w:r w:rsidRPr="00382917">
        <w:t>words</w:t>
      </w:r>
      <w:r w:rsidR="00EE4FC3">
        <w:t xml:space="preserve"> </w:t>
      </w:r>
      <w:r w:rsidRPr="00382917">
        <w:t>hinted</w:t>
      </w:r>
      <w:r w:rsidR="00EE4FC3">
        <w:t xml:space="preserve"> </w:t>
      </w:r>
      <w:r w:rsidRPr="00382917">
        <w:t>that</w:t>
      </w:r>
      <w:r w:rsidR="00EE4FC3">
        <w:t xml:space="preserve"> </w:t>
      </w:r>
      <w:r w:rsidRPr="00382917">
        <w:t>the</w:t>
      </w:r>
      <w:r w:rsidR="00EE4FC3">
        <w:t xml:space="preserve"> </w:t>
      </w:r>
      <w:r w:rsidRPr="00382917">
        <w:t>future</w:t>
      </w:r>
      <w:r w:rsidR="00EE4FC3">
        <w:t xml:space="preserve"> </w:t>
      </w:r>
      <w:r w:rsidRPr="00382917">
        <w:t>would</w:t>
      </w:r>
      <w:r w:rsidR="00EE4FC3">
        <w:t xml:space="preserve"> </w:t>
      </w:r>
      <w:r w:rsidRPr="00382917">
        <w:t>unveil</w:t>
      </w:r>
      <w:r w:rsidR="00EE4FC3">
        <w:t xml:space="preserve"> </w:t>
      </w:r>
      <w:r w:rsidRPr="00382917">
        <w:t>this</w:t>
      </w:r>
      <w:r w:rsidR="00EE4FC3">
        <w:t xml:space="preserve"> </w:t>
      </w:r>
      <w:r w:rsidRPr="00382917">
        <w:t>truth.</w:t>
      </w:r>
      <w:r w:rsidR="00964C11" w:rsidRPr="00382917">
        <w:rPr>
          <w:rStyle w:val="FootnoteReference"/>
        </w:rPr>
        <w:footnoteReference w:id="6"/>
      </w:r>
    </w:p>
    <w:p w:rsidR="00581CF7" w:rsidRPr="00382917" w:rsidRDefault="00581CF7" w:rsidP="006D18A4">
      <w:pPr>
        <w:pStyle w:val="Text"/>
      </w:pPr>
      <w:r w:rsidRPr="00382917">
        <w:t>Another</w:t>
      </w:r>
      <w:r w:rsidR="00EE4FC3">
        <w:t xml:space="preserve"> </w:t>
      </w:r>
      <w:r w:rsidRPr="00382917">
        <w:t>among</w:t>
      </w:r>
      <w:r w:rsidR="00EE4FC3">
        <w:t xml:space="preserve"> </w:t>
      </w:r>
      <w:r w:rsidRPr="00382917">
        <w:t>his</w:t>
      </w:r>
      <w:r w:rsidR="00EE4FC3">
        <w:t xml:space="preserve"> </w:t>
      </w:r>
      <w:r w:rsidRPr="00382917">
        <w:t>followers</w:t>
      </w:r>
      <w:r w:rsidR="00EE4FC3">
        <w:t xml:space="preserve"> </w:t>
      </w:r>
      <w:r w:rsidRPr="00382917">
        <w:t>felt</w:t>
      </w:r>
      <w:r w:rsidR="00EE4FC3">
        <w:t xml:space="preserve"> </w:t>
      </w:r>
      <w:r w:rsidRPr="00382917">
        <w:t>that</w:t>
      </w:r>
      <w:r w:rsidR="00EE4FC3">
        <w:t xml:space="preserve"> </w:t>
      </w:r>
      <w:r w:rsidRPr="00382917">
        <w:t>Siyyid</w:t>
      </w:r>
      <w:r w:rsidR="00EE4FC3">
        <w:t xml:space="preserve"> </w:t>
      </w:r>
      <w:r w:rsidRPr="00382917">
        <w:t>Káẓim,</w:t>
      </w:r>
      <w:r w:rsidR="00EE4FC3">
        <w:t xml:space="preserve"> </w:t>
      </w:r>
      <w:r w:rsidRPr="00382917">
        <w:t>in</w:t>
      </w:r>
      <w:r w:rsidR="00EE4FC3">
        <w:t xml:space="preserve"> </w:t>
      </w:r>
      <w:r w:rsidRPr="00382917">
        <w:t>spite</w:t>
      </w:r>
      <w:r w:rsidR="00EE4FC3">
        <w:t xml:space="preserve"> </w:t>
      </w:r>
      <w:r w:rsidRPr="00382917">
        <w:t>of</w:t>
      </w:r>
      <w:r w:rsidR="00EE4FC3">
        <w:t xml:space="preserve"> </w:t>
      </w:r>
      <w:r w:rsidRPr="00382917">
        <w:t>his</w:t>
      </w:r>
      <w:r w:rsidR="00EE4FC3">
        <w:t xml:space="preserve"> </w:t>
      </w:r>
      <w:r w:rsidRPr="00382917">
        <w:t>denials,</w:t>
      </w:r>
      <w:r w:rsidR="00EE4FC3">
        <w:t xml:space="preserve"> </w:t>
      </w:r>
      <w:r w:rsidRPr="00382917">
        <w:t>was</w:t>
      </w:r>
      <w:r w:rsidR="00EE4FC3">
        <w:t xml:space="preserve"> </w:t>
      </w:r>
      <w:r w:rsidRPr="00382917">
        <w:t>the</w:t>
      </w:r>
      <w:r w:rsidR="00EE4FC3">
        <w:t xml:space="preserve"> </w:t>
      </w:r>
      <w:r w:rsidRPr="00382917">
        <w:t>One</w:t>
      </w:r>
      <w:r w:rsidR="00EE4FC3">
        <w:t xml:space="preserve"> </w:t>
      </w:r>
      <w:r w:rsidRPr="00382917">
        <w:t>foretold.</w:t>
      </w:r>
      <w:r w:rsidR="00EE4FC3">
        <w:t xml:space="preserve">  </w:t>
      </w:r>
      <w:r w:rsidRPr="00382917">
        <w:t>He</w:t>
      </w:r>
      <w:r w:rsidR="00EE4FC3">
        <w:t xml:space="preserve"> </w:t>
      </w:r>
      <w:r w:rsidRPr="00382917">
        <w:t>went</w:t>
      </w:r>
      <w:r w:rsidR="00EE4FC3">
        <w:t xml:space="preserve"> </w:t>
      </w:r>
      <w:r w:rsidRPr="00382917">
        <w:t>so</w:t>
      </w:r>
      <w:r w:rsidR="00EE4FC3">
        <w:t xml:space="preserve"> </w:t>
      </w:r>
      <w:r w:rsidRPr="00382917">
        <w:t>far</w:t>
      </w:r>
      <w:r w:rsidR="00EE4FC3">
        <w:t xml:space="preserve"> </w:t>
      </w:r>
      <w:r w:rsidRPr="00382917">
        <w:t>as</w:t>
      </w:r>
      <w:r w:rsidR="00EE4FC3">
        <w:t xml:space="preserve"> </w:t>
      </w:r>
      <w:r w:rsidRPr="00382917">
        <w:t>to</w:t>
      </w:r>
      <w:r w:rsidR="00EE4FC3">
        <w:t xml:space="preserve"> </w:t>
      </w:r>
      <w:r w:rsidRPr="00382917">
        <w:t>declare</w:t>
      </w:r>
      <w:r w:rsidR="00EE4FC3">
        <w:t xml:space="preserve"> </w:t>
      </w:r>
      <w:r w:rsidRPr="00382917">
        <w:t>this</w:t>
      </w:r>
      <w:r w:rsidR="00EE4FC3">
        <w:t xml:space="preserve"> </w:t>
      </w:r>
      <w:r w:rsidRPr="00382917">
        <w:t>publicly.</w:t>
      </w:r>
      <w:r w:rsidR="00EE4FC3">
        <w:t xml:space="preserve">  </w:t>
      </w:r>
      <w:r w:rsidRPr="00382917">
        <w:t>Siyyid</w:t>
      </w:r>
      <w:r w:rsidR="00EE4FC3">
        <w:t xml:space="preserve"> </w:t>
      </w:r>
      <w:r w:rsidRPr="00382917">
        <w:t>Káẓim</w:t>
      </w:r>
      <w:r w:rsidR="00EE4FC3">
        <w:t xml:space="preserve"> </w:t>
      </w:r>
      <w:r w:rsidRPr="00382917">
        <w:t>was</w:t>
      </w:r>
      <w:r w:rsidR="00EE4FC3">
        <w:t xml:space="preserve"> </w:t>
      </w:r>
      <w:r w:rsidRPr="00382917">
        <w:t>most</w:t>
      </w:r>
      <w:r w:rsidR="00EE4FC3">
        <w:t xml:space="preserve"> </w:t>
      </w:r>
      <w:r w:rsidRPr="00382917">
        <w:t>displeased.</w:t>
      </w:r>
      <w:r w:rsidR="00EE4FC3">
        <w:t xml:space="preserve">  </w:t>
      </w:r>
      <w:r w:rsidRPr="00382917">
        <w:t>He</w:t>
      </w:r>
      <w:r w:rsidR="00EE4FC3">
        <w:t xml:space="preserve"> </w:t>
      </w:r>
      <w:r w:rsidRPr="00382917">
        <w:t>would</w:t>
      </w:r>
      <w:r w:rsidR="00EE4FC3">
        <w:t xml:space="preserve"> </w:t>
      </w:r>
      <w:r w:rsidRPr="00382917">
        <w:t>have</w:t>
      </w:r>
      <w:r w:rsidR="00EE4FC3">
        <w:t xml:space="preserve"> </w:t>
      </w:r>
      <w:r w:rsidRPr="00382917">
        <w:t>cast</w:t>
      </w:r>
      <w:r w:rsidR="00EE4FC3">
        <w:t xml:space="preserve"> </w:t>
      </w:r>
      <w:r w:rsidRPr="00382917">
        <w:t>the</w:t>
      </w:r>
      <w:r w:rsidR="00EE4FC3">
        <w:t xml:space="preserve"> </w:t>
      </w:r>
      <w:r w:rsidRPr="00382917">
        <w:t>speaker</w:t>
      </w:r>
      <w:r w:rsidR="00EE4FC3">
        <w:t xml:space="preserve"> </w:t>
      </w:r>
      <w:r w:rsidRPr="00382917">
        <w:t>out</w:t>
      </w:r>
      <w:r w:rsidR="00EE4FC3">
        <w:t xml:space="preserve"> </w:t>
      </w:r>
      <w:r w:rsidRPr="00382917">
        <w:t>of</w:t>
      </w:r>
      <w:r w:rsidR="00EE4FC3">
        <w:t xml:space="preserve"> </w:t>
      </w:r>
      <w:r w:rsidRPr="00382917">
        <w:t>the</w:t>
      </w:r>
      <w:r w:rsidR="00EE4FC3">
        <w:t xml:space="preserve"> </w:t>
      </w:r>
      <w:r w:rsidRPr="00382917">
        <w:t>company</w:t>
      </w:r>
      <w:r w:rsidR="00EE4FC3">
        <w:t xml:space="preserve"> </w:t>
      </w:r>
      <w:r w:rsidRPr="00382917">
        <w:t>of</w:t>
      </w:r>
      <w:r w:rsidR="00EE4FC3">
        <w:t xml:space="preserve"> </w:t>
      </w:r>
      <w:r w:rsidRPr="00382917">
        <w:t>his</w:t>
      </w:r>
      <w:r w:rsidR="00EE4FC3">
        <w:t xml:space="preserve"> </w:t>
      </w:r>
      <w:r w:rsidRPr="00382917">
        <w:t>chosen</w:t>
      </w:r>
      <w:r w:rsidR="00EE4FC3">
        <w:t xml:space="preserve"> </w:t>
      </w:r>
      <w:r w:rsidRPr="00382917">
        <w:t>followers</w:t>
      </w:r>
      <w:r w:rsidR="00EE4FC3">
        <w:t xml:space="preserve"> </w:t>
      </w:r>
      <w:r w:rsidRPr="00382917">
        <w:t>had</w:t>
      </w:r>
      <w:r w:rsidR="00EE4FC3">
        <w:t xml:space="preserve"> </w:t>
      </w:r>
      <w:r w:rsidRPr="00382917">
        <w:t>he</w:t>
      </w:r>
      <w:r w:rsidR="00EE4FC3">
        <w:t xml:space="preserve"> </w:t>
      </w:r>
      <w:r w:rsidRPr="00382917">
        <w:t>not</w:t>
      </w:r>
      <w:r w:rsidR="00EE4FC3">
        <w:t xml:space="preserve"> </w:t>
      </w:r>
      <w:r w:rsidRPr="00382917">
        <w:t>begged</w:t>
      </w:r>
      <w:r w:rsidR="00EE4FC3">
        <w:t xml:space="preserve"> </w:t>
      </w:r>
      <w:r w:rsidRPr="00382917">
        <w:t>for</w:t>
      </w:r>
      <w:r w:rsidR="00EE4FC3">
        <w:t xml:space="preserve"> </w:t>
      </w:r>
      <w:r w:rsidRPr="00382917">
        <w:t>forgiveness.</w:t>
      </w:r>
    </w:p>
    <w:p w:rsidR="00E13D49" w:rsidRPr="00382917" w:rsidRDefault="009C713D" w:rsidP="00C467AB">
      <w:pPr>
        <w:pStyle w:val="Text"/>
      </w:pPr>
      <w:r w:rsidRPr="00382917">
        <w:t>“</w:t>
      </w:r>
      <w:r w:rsidR="00581CF7" w:rsidRPr="00382917">
        <w:t>My</w:t>
      </w:r>
      <w:r w:rsidR="00EE4FC3">
        <w:t xml:space="preserve"> </w:t>
      </w:r>
      <w:r w:rsidR="00581CF7" w:rsidRPr="00382917">
        <w:t>knowledge</w:t>
      </w:r>
      <w:r w:rsidR="00EE4FC3">
        <w:t xml:space="preserve"> </w:t>
      </w:r>
      <w:r w:rsidR="00581CF7" w:rsidRPr="00382917">
        <w:t>is</w:t>
      </w:r>
      <w:r w:rsidR="00EE4FC3">
        <w:t xml:space="preserve"> </w:t>
      </w:r>
      <w:r w:rsidR="00581CF7" w:rsidRPr="00382917">
        <w:t>but</w:t>
      </w:r>
      <w:r w:rsidR="00EE4FC3">
        <w:t xml:space="preserve"> </w:t>
      </w:r>
      <w:r w:rsidR="00581CF7" w:rsidRPr="00382917">
        <w:t>a</w:t>
      </w:r>
      <w:r w:rsidR="00EE4FC3">
        <w:t xml:space="preserve"> </w:t>
      </w:r>
      <w:r w:rsidR="00581CF7" w:rsidRPr="00382917">
        <w:t>drop</w:t>
      </w:r>
      <w:r w:rsidR="00EE4FC3">
        <w:t xml:space="preserve"> </w:t>
      </w:r>
      <w:r w:rsidR="00581CF7" w:rsidRPr="00382917">
        <w:t>compared</w:t>
      </w:r>
      <w:r w:rsidR="00EE4FC3">
        <w:t xml:space="preserve"> </w:t>
      </w:r>
      <w:r w:rsidR="00581CF7" w:rsidRPr="00382917">
        <w:t>to</w:t>
      </w:r>
      <w:r w:rsidR="00EE4FC3">
        <w:t xml:space="preserve"> </w:t>
      </w:r>
      <w:r w:rsidR="00581CF7" w:rsidRPr="00382917">
        <w:t>the</w:t>
      </w:r>
      <w:r w:rsidR="00EE4FC3">
        <w:t xml:space="preserve"> </w:t>
      </w:r>
      <w:r w:rsidR="00581CF7" w:rsidRPr="00382917">
        <w:t>immensity</w:t>
      </w:r>
      <w:r w:rsidR="00EE4FC3">
        <w:t xml:space="preserve"> </w:t>
      </w:r>
      <w:r w:rsidR="00581CF7" w:rsidRPr="00382917">
        <w:t>of</w:t>
      </w:r>
      <w:r w:rsidR="00EE4FC3">
        <w:t xml:space="preserve"> </w:t>
      </w:r>
      <w:r w:rsidR="00581CF7" w:rsidRPr="00382917">
        <w:t>His</w:t>
      </w:r>
      <w:r w:rsidR="00EE4FC3">
        <w:t xml:space="preserve"> </w:t>
      </w:r>
      <w:r w:rsidR="00581CF7" w:rsidRPr="00382917">
        <w:t>knowledge,</w:t>
      </w:r>
      <w:r w:rsidRPr="00382917">
        <w:t>”</w:t>
      </w:r>
      <w:r w:rsidR="00EE4FC3">
        <w:t xml:space="preserve"> </w:t>
      </w:r>
      <w:r w:rsidR="00581CF7" w:rsidRPr="00382917">
        <w:t>Siyyid</w:t>
      </w:r>
      <w:r w:rsidR="00EE4FC3">
        <w:t xml:space="preserve"> </w:t>
      </w:r>
      <w:r w:rsidR="00581CF7" w:rsidRPr="00382917">
        <w:t>Káẓim</w:t>
      </w:r>
      <w:r w:rsidR="00EE4FC3">
        <w:t xml:space="preserve"> </w:t>
      </w:r>
      <w:r w:rsidR="00581CF7" w:rsidRPr="00382917">
        <w:t>asserted.</w:t>
      </w:r>
      <w:r w:rsidR="00EE4FC3">
        <w:t xml:space="preserve">  </w:t>
      </w:r>
      <w:r w:rsidRPr="00382917">
        <w:t>“</w:t>
      </w:r>
      <w:r w:rsidR="00581CF7" w:rsidRPr="00382917">
        <w:t>My</w:t>
      </w:r>
      <w:r w:rsidR="00EE4FC3">
        <w:t xml:space="preserve"> </w:t>
      </w:r>
      <w:r w:rsidR="00581CF7" w:rsidRPr="00382917">
        <w:t>attainments</w:t>
      </w:r>
      <w:r w:rsidR="00EE4FC3">
        <w:t xml:space="preserve"> </w:t>
      </w:r>
      <w:r w:rsidR="00581CF7" w:rsidRPr="00382917">
        <w:t>are</w:t>
      </w:r>
      <w:r w:rsidR="00EE4FC3">
        <w:t xml:space="preserve"> </w:t>
      </w:r>
      <w:r w:rsidR="00581CF7" w:rsidRPr="00382917">
        <w:t>but</w:t>
      </w:r>
      <w:r w:rsidR="00EE4FC3">
        <w:t xml:space="preserve"> </w:t>
      </w:r>
      <w:r w:rsidR="00581CF7" w:rsidRPr="00382917">
        <w:t>a</w:t>
      </w:r>
      <w:r w:rsidR="00EE4FC3">
        <w:t xml:space="preserve"> </w:t>
      </w:r>
      <w:r w:rsidR="00581CF7" w:rsidRPr="00382917">
        <w:t>speck</w:t>
      </w:r>
      <w:r w:rsidR="00EE4FC3">
        <w:t xml:space="preserve"> </w:t>
      </w:r>
      <w:r w:rsidR="00581CF7" w:rsidRPr="00382917">
        <w:t>of</w:t>
      </w:r>
      <w:r w:rsidR="00EE4FC3">
        <w:t xml:space="preserve"> </w:t>
      </w:r>
      <w:r w:rsidR="00581CF7" w:rsidRPr="00382917">
        <w:t>dust</w:t>
      </w:r>
      <w:r w:rsidR="00EE4FC3">
        <w:t xml:space="preserve"> </w:t>
      </w:r>
      <w:r w:rsidR="00581CF7" w:rsidRPr="00382917">
        <w:t>in</w:t>
      </w:r>
      <w:r w:rsidR="00EE4FC3">
        <w:t xml:space="preserve"> </w:t>
      </w:r>
      <w:r w:rsidR="00581CF7" w:rsidRPr="00382917">
        <w:t>the</w:t>
      </w:r>
      <w:r w:rsidR="00EE4FC3">
        <w:t xml:space="preserve"> </w:t>
      </w:r>
      <w:r w:rsidR="00581CF7" w:rsidRPr="00382917">
        <w:t>face</w:t>
      </w:r>
      <w:r w:rsidR="00EE4FC3">
        <w:t xml:space="preserve"> </w:t>
      </w:r>
      <w:r w:rsidR="00581CF7" w:rsidRPr="00382917">
        <w:t>of</w:t>
      </w:r>
      <w:r w:rsidR="00EE4FC3">
        <w:t xml:space="preserve"> </w:t>
      </w:r>
      <w:r w:rsidR="00581CF7" w:rsidRPr="00382917">
        <w:t>the</w:t>
      </w:r>
      <w:r w:rsidR="00EE4FC3">
        <w:t xml:space="preserve"> </w:t>
      </w:r>
      <w:r w:rsidR="00581CF7" w:rsidRPr="00382917">
        <w:t>wonders</w:t>
      </w:r>
      <w:r w:rsidR="00EE4FC3">
        <w:t xml:space="preserve"> </w:t>
      </w:r>
      <w:r w:rsidR="00581CF7" w:rsidRPr="00382917">
        <w:t>of</w:t>
      </w:r>
      <w:r w:rsidR="00EE4FC3">
        <w:t xml:space="preserve"> </w:t>
      </w:r>
      <w:r w:rsidR="00581CF7" w:rsidRPr="00382917">
        <w:t>His</w:t>
      </w:r>
      <w:r w:rsidR="00EE4FC3">
        <w:t xml:space="preserve"> </w:t>
      </w:r>
      <w:r w:rsidR="00581CF7" w:rsidRPr="00382917">
        <w:t>power.</w:t>
      </w:r>
      <w:r w:rsidRPr="00382917">
        <w:t>”</w:t>
      </w:r>
      <w:r w:rsidR="00C467AB" w:rsidRPr="00382917">
        <w:rPr>
          <w:rStyle w:val="FootnoteReference"/>
        </w:rPr>
        <w:footnoteReference w:id="7"/>
      </w:r>
    </w:p>
    <w:p w:rsidR="00581CF7" w:rsidRPr="00382917" w:rsidRDefault="00581CF7" w:rsidP="006D18A4">
      <w:pPr>
        <w:pStyle w:val="Text"/>
      </w:pPr>
      <w:r w:rsidRPr="00382917">
        <w:t>When</w:t>
      </w:r>
      <w:r w:rsidR="00EE4FC3">
        <w:t xml:space="preserve"> </w:t>
      </w:r>
      <w:r w:rsidRPr="00382917">
        <w:t>Siyyid</w:t>
      </w:r>
      <w:r w:rsidR="00EE4FC3">
        <w:t xml:space="preserve"> </w:t>
      </w:r>
      <w:r w:rsidRPr="00382917">
        <w:t>Káẓim</w:t>
      </w:r>
      <w:r w:rsidR="00EE4FC3">
        <w:t xml:space="preserve"> </w:t>
      </w:r>
      <w:r w:rsidRPr="00382917">
        <w:t>made</w:t>
      </w:r>
      <w:r w:rsidR="00EE4FC3">
        <w:t xml:space="preserve"> </w:t>
      </w:r>
      <w:r w:rsidRPr="00382917">
        <w:t>this</w:t>
      </w:r>
      <w:r w:rsidR="00EE4FC3">
        <w:t xml:space="preserve"> </w:t>
      </w:r>
      <w:r w:rsidRPr="00382917">
        <w:t>forthright</w:t>
      </w:r>
      <w:r w:rsidR="00EE4FC3">
        <w:t xml:space="preserve"> </w:t>
      </w:r>
      <w:r w:rsidRPr="00382917">
        <w:t>denial,</w:t>
      </w:r>
      <w:r w:rsidR="00EE4FC3">
        <w:t xml:space="preserve"> </w:t>
      </w:r>
      <w:r w:rsidRPr="00382917">
        <w:t>still</w:t>
      </w:r>
      <w:r w:rsidR="00EE4FC3">
        <w:t xml:space="preserve"> </w:t>
      </w:r>
      <w:r w:rsidRPr="00382917">
        <w:t>another</w:t>
      </w:r>
      <w:r w:rsidR="00EE4FC3">
        <w:t xml:space="preserve"> </w:t>
      </w:r>
      <w:r w:rsidRPr="00382917">
        <w:t>of</w:t>
      </w:r>
      <w:r w:rsidR="00EE4FC3">
        <w:t xml:space="preserve"> </w:t>
      </w:r>
      <w:r w:rsidRPr="00382917">
        <w:t>his</w:t>
      </w:r>
      <w:r w:rsidR="00EE4FC3">
        <w:t xml:space="preserve"> </w:t>
      </w:r>
      <w:r w:rsidRPr="00382917">
        <w:t>followers</w:t>
      </w:r>
      <w:r w:rsidR="00EE4FC3">
        <w:t xml:space="preserve"> </w:t>
      </w:r>
      <w:r w:rsidRPr="00382917">
        <w:t>was</w:t>
      </w:r>
      <w:r w:rsidR="00EE4FC3">
        <w:t xml:space="preserve"> </w:t>
      </w:r>
      <w:r w:rsidRPr="00382917">
        <w:t>very</w:t>
      </w:r>
      <w:r w:rsidR="00EE4FC3">
        <w:t xml:space="preserve"> </w:t>
      </w:r>
      <w:r w:rsidRPr="00382917">
        <w:t>distressed.</w:t>
      </w:r>
      <w:r w:rsidR="00EE4FC3">
        <w:t xml:space="preserve">  </w:t>
      </w:r>
      <w:r w:rsidRPr="00382917">
        <w:t>For</w:t>
      </w:r>
      <w:r w:rsidR="00EE4FC3">
        <w:t xml:space="preserve"> </w:t>
      </w:r>
      <w:r w:rsidRPr="00382917">
        <w:t>he,</w:t>
      </w:r>
      <w:r w:rsidR="00EE4FC3">
        <w:t xml:space="preserve"> </w:t>
      </w:r>
      <w:r w:rsidRPr="00382917">
        <w:t>too,</w:t>
      </w:r>
      <w:r w:rsidR="00EE4FC3">
        <w:t xml:space="preserve"> </w:t>
      </w:r>
      <w:r w:rsidRPr="00382917">
        <w:t>had</w:t>
      </w:r>
      <w:r w:rsidR="00EE4FC3">
        <w:t xml:space="preserve"> </w:t>
      </w:r>
      <w:r w:rsidRPr="00382917">
        <w:t>believed</w:t>
      </w:r>
      <w:r w:rsidR="00EE4FC3">
        <w:t xml:space="preserve"> </w:t>
      </w:r>
      <w:r w:rsidRPr="00382917">
        <w:t>Siyyid</w:t>
      </w:r>
      <w:r w:rsidR="00EE4FC3">
        <w:t xml:space="preserve"> </w:t>
      </w:r>
      <w:r w:rsidRPr="00382917">
        <w:t>Káẓim</w:t>
      </w:r>
      <w:r w:rsidR="00EE4FC3">
        <w:t xml:space="preserve"> </w:t>
      </w:r>
      <w:r w:rsidRPr="00382917">
        <w:t>to</w:t>
      </w:r>
      <w:r w:rsidR="00EE4FC3">
        <w:t xml:space="preserve"> </w:t>
      </w:r>
      <w:r w:rsidRPr="00382917">
        <w:t>be</w:t>
      </w:r>
      <w:r w:rsidR="00EE4FC3">
        <w:t xml:space="preserve"> </w:t>
      </w:r>
      <w:r w:rsidRPr="00382917">
        <w:t>the</w:t>
      </w:r>
      <w:r w:rsidR="00EE4FC3">
        <w:t xml:space="preserve"> </w:t>
      </w:r>
      <w:r w:rsidRPr="00382917">
        <w:t>great</w:t>
      </w:r>
      <w:r w:rsidR="00EE4FC3">
        <w:t xml:space="preserve"> </w:t>
      </w:r>
      <w:r w:rsidRPr="00382917">
        <w:t>announced</w:t>
      </w:r>
      <w:r w:rsidR="00EE4FC3">
        <w:t xml:space="preserve"> </w:t>
      </w:r>
      <w:r w:rsidRPr="00382917">
        <w:t>Figure.</w:t>
      </w:r>
      <w:r w:rsidR="00EE4FC3">
        <w:t xml:space="preserve">  </w:t>
      </w:r>
      <w:r w:rsidRPr="00382917">
        <w:t>He</w:t>
      </w:r>
      <w:r w:rsidR="00EE4FC3">
        <w:t xml:space="preserve"> </w:t>
      </w:r>
      <w:r w:rsidRPr="00382917">
        <w:t>prayed</w:t>
      </w:r>
      <w:r w:rsidR="00EE4FC3">
        <w:t xml:space="preserve"> </w:t>
      </w:r>
      <w:r w:rsidRPr="00382917">
        <w:t>earnestly</w:t>
      </w:r>
      <w:r w:rsidR="00EE4FC3">
        <w:t xml:space="preserve"> </w:t>
      </w:r>
      <w:r w:rsidRPr="00382917">
        <w:t>to</w:t>
      </w:r>
      <w:r w:rsidR="00EE4FC3">
        <w:t xml:space="preserve"> </w:t>
      </w:r>
      <w:r w:rsidRPr="00382917">
        <w:t>God</w:t>
      </w:r>
      <w:r w:rsidR="00EE4FC3">
        <w:t xml:space="preserve"> </w:t>
      </w:r>
      <w:r w:rsidRPr="00382917">
        <w:t>either</w:t>
      </w:r>
      <w:r w:rsidR="00EE4FC3">
        <w:t xml:space="preserve"> </w:t>
      </w:r>
      <w:r w:rsidRPr="00382917">
        <w:t>to</w:t>
      </w:r>
      <w:r w:rsidR="00EE4FC3">
        <w:t xml:space="preserve"> </w:t>
      </w:r>
      <w:r w:rsidRPr="00382917">
        <w:t>confirm</w:t>
      </w:r>
      <w:r w:rsidR="00EE4FC3">
        <w:t xml:space="preserve"> </w:t>
      </w:r>
      <w:r w:rsidRPr="00382917">
        <w:t>the</w:t>
      </w:r>
      <w:r w:rsidR="00EE4FC3">
        <w:t xml:space="preserve"> </w:t>
      </w:r>
      <w:r w:rsidRPr="00382917">
        <w:t>feeling</w:t>
      </w:r>
      <w:r w:rsidR="00EE4FC3">
        <w:t xml:space="preserve"> </w:t>
      </w:r>
      <w:r w:rsidRPr="00382917">
        <w:t>in</w:t>
      </w:r>
      <w:r w:rsidR="00EE4FC3">
        <w:t xml:space="preserve"> </w:t>
      </w:r>
      <w:r w:rsidRPr="00382917">
        <w:t>his</w:t>
      </w:r>
      <w:r w:rsidR="00EE4FC3">
        <w:t xml:space="preserve"> </w:t>
      </w:r>
      <w:r w:rsidRPr="00382917">
        <w:t>heart</w:t>
      </w:r>
      <w:r w:rsidR="00EE4FC3">
        <w:t xml:space="preserve"> </w:t>
      </w:r>
      <w:r w:rsidRPr="00382917">
        <w:t>or</w:t>
      </w:r>
      <w:r w:rsidR="00EE4FC3">
        <w:t xml:space="preserve"> </w:t>
      </w:r>
      <w:r w:rsidRPr="00382917">
        <w:t>to</w:t>
      </w:r>
      <w:r w:rsidR="00EE4FC3">
        <w:t xml:space="preserve"> </w:t>
      </w:r>
      <w:r w:rsidRPr="00382917">
        <w:t>deliver</w:t>
      </w:r>
      <w:r w:rsidR="00EE4FC3">
        <w:t xml:space="preserve"> </w:t>
      </w:r>
      <w:r w:rsidRPr="00382917">
        <w:t>him</w:t>
      </w:r>
      <w:r w:rsidR="00EE4FC3">
        <w:t xml:space="preserve"> </w:t>
      </w:r>
      <w:r w:rsidRPr="00382917">
        <w:t>from</w:t>
      </w:r>
      <w:r w:rsidR="00EE4FC3">
        <w:t xml:space="preserve"> </w:t>
      </w:r>
      <w:r w:rsidRPr="00382917">
        <w:t>such</w:t>
      </w:r>
      <w:r w:rsidR="00EE4FC3">
        <w:t xml:space="preserve"> </w:t>
      </w:r>
      <w:r w:rsidRPr="00382917">
        <w:t>a</w:t>
      </w:r>
      <w:r w:rsidR="00EE4FC3">
        <w:t xml:space="preserve"> </w:t>
      </w:r>
      <w:r w:rsidRPr="00382917">
        <w:t>fancy.</w:t>
      </w:r>
      <w:r w:rsidR="00EE4FC3">
        <w:t xml:space="preserve">  </w:t>
      </w:r>
      <w:r w:rsidRPr="00382917">
        <w:t>The</w:t>
      </w:r>
      <w:r w:rsidR="00EE4FC3">
        <w:t xml:space="preserve"> </w:t>
      </w:r>
      <w:r w:rsidRPr="00382917">
        <w:t>manner</w:t>
      </w:r>
      <w:r w:rsidR="00EE4FC3">
        <w:t xml:space="preserve"> </w:t>
      </w:r>
      <w:r w:rsidRPr="00382917">
        <w:t>in</w:t>
      </w:r>
      <w:r w:rsidR="00EE4FC3">
        <w:t xml:space="preserve"> </w:t>
      </w:r>
      <w:r w:rsidRPr="00382917">
        <w:t>which</w:t>
      </w:r>
      <w:r w:rsidR="00EE4FC3">
        <w:t xml:space="preserve"> </w:t>
      </w:r>
      <w:r w:rsidRPr="00382917">
        <w:t>he</w:t>
      </w:r>
      <w:r w:rsidR="00EE4FC3">
        <w:t xml:space="preserve"> </w:t>
      </w:r>
      <w:r w:rsidRPr="00382917">
        <w:t>was</w:t>
      </w:r>
      <w:r w:rsidR="00EE4FC3">
        <w:t xml:space="preserve"> </w:t>
      </w:r>
      <w:r w:rsidRPr="00382917">
        <w:t>assisted</w:t>
      </w:r>
      <w:r w:rsidR="00EE4FC3">
        <w:t xml:space="preserve"> </w:t>
      </w:r>
      <w:r w:rsidRPr="00382917">
        <w:t>is</w:t>
      </w:r>
      <w:r w:rsidR="00EE4FC3">
        <w:t xml:space="preserve"> </w:t>
      </w:r>
      <w:r w:rsidRPr="00382917">
        <w:t>recorded</w:t>
      </w:r>
      <w:r w:rsidR="00EE4FC3">
        <w:t xml:space="preserve"> </w:t>
      </w:r>
      <w:r w:rsidRPr="00382917">
        <w:t>in</w:t>
      </w:r>
      <w:r w:rsidR="00EE4FC3">
        <w:t xml:space="preserve"> </w:t>
      </w:r>
      <w:r w:rsidRPr="00382917">
        <w:t>his</w:t>
      </w:r>
      <w:r w:rsidR="00EE4FC3">
        <w:t xml:space="preserve"> </w:t>
      </w:r>
      <w:r w:rsidRPr="00382917">
        <w:t>own</w:t>
      </w:r>
      <w:r w:rsidR="00EE4FC3">
        <w:t xml:space="preserve"> </w:t>
      </w:r>
      <w:r w:rsidRPr="00382917">
        <w:t>words.</w:t>
      </w:r>
    </w:p>
    <w:p w:rsidR="00581CF7" w:rsidRPr="00382917" w:rsidRDefault="009C713D" w:rsidP="006D18A4">
      <w:pPr>
        <w:pStyle w:val="Text"/>
      </w:pPr>
      <w:r w:rsidRPr="00382917">
        <w:t>“</w:t>
      </w:r>
      <w:r w:rsidR="00581CF7" w:rsidRPr="00382917">
        <w:t>One</w:t>
      </w:r>
      <w:r w:rsidR="00EE4FC3">
        <w:t xml:space="preserve"> </w:t>
      </w:r>
      <w:r w:rsidR="00581CF7" w:rsidRPr="00382917">
        <w:t>day</w:t>
      </w:r>
      <w:r w:rsidR="00EE4FC3">
        <w:t xml:space="preserve"> </w:t>
      </w:r>
      <w:r w:rsidR="00581CF7" w:rsidRPr="00382917">
        <w:t>at</w:t>
      </w:r>
      <w:r w:rsidR="00EE4FC3">
        <w:t xml:space="preserve"> </w:t>
      </w:r>
      <w:r w:rsidR="00581CF7" w:rsidRPr="00382917">
        <w:t>the</w:t>
      </w:r>
      <w:r w:rsidR="00EE4FC3">
        <w:t xml:space="preserve"> </w:t>
      </w:r>
      <w:r w:rsidR="00581CF7" w:rsidRPr="00382917">
        <w:t>hour</w:t>
      </w:r>
      <w:r w:rsidR="00EE4FC3">
        <w:t xml:space="preserve"> </w:t>
      </w:r>
      <w:r w:rsidR="00581CF7" w:rsidRPr="00382917">
        <w:t>of</w:t>
      </w:r>
      <w:r w:rsidR="00EE4FC3">
        <w:t xml:space="preserve"> </w:t>
      </w:r>
      <w:r w:rsidR="00581CF7" w:rsidRPr="00382917">
        <w:t>dawn,</w:t>
      </w:r>
      <w:r w:rsidR="00EE4FC3">
        <w:t xml:space="preserve"> </w:t>
      </w:r>
      <w:r w:rsidR="00581CF7" w:rsidRPr="00382917">
        <w:t>we</w:t>
      </w:r>
      <w:r w:rsidR="00EE4FC3">
        <w:t xml:space="preserve"> </w:t>
      </w:r>
      <w:r w:rsidR="00581CF7" w:rsidRPr="00382917">
        <w:t>went</w:t>
      </w:r>
      <w:r w:rsidR="00EE4FC3">
        <w:t xml:space="preserve"> </w:t>
      </w:r>
      <w:r w:rsidR="00581CF7" w:rsidRPr="00382917">
        <w:t>to</w:t>
      </w:r>
      <w:r w:rsidR="00EE4FC3">
        <w:t xml:space="preserve"> </w:t>
      </w:r>
      <w:r w:rsidR="00581CF7" w:rsidRPr="00382917">
        <w:t>the</w:t>
      </w:r>
      <w:r w:rsidR="00EE4FC3">
        <w:t xml:space="preserve"> </w:t>
      </w:r>
      <w:r w:rsidR="00581CF7" w:rsidRPr="00382917">
        <w:t>house</w:t>
      </w:r>
      <w:r w:rsidR="00EE4FC3">
        <w:t xml:space="preserve"> </w:t>
      </w:r>
      <w:r w:rsidR="00581CF7" w:rsidRPr="00382917">
        <w:t>of</w:t>
      </w:r>
      <w:r w:rsidR="00EE4FC3">
        <w:t xml:space="preserve"> </w:t>
      </w:r>
      <w:r w:rsidR="00581CF7" w:rsidRPr="00382917">
        <w:t>Siyyid</w:t>
      </w:r>
      <w:r w:rsidR="00EE4FC3">
        <w:t xml:space="preserve"> </w:t>
      </w:r>
      <w:r w:rsidR="00581CF7" w:rsidRPr="00382917">
        <w:t>Káẓim.</w:t>
      </w:r>
      <w:r w:rsidR="00EE4FC3">
        <w:t xml:space="preserve">  </w:t>
      </w:r>
      <w:r w:rsidR="00581CF7" w:rsidRPr="00382917">
        <w:t>He</w:t>
      </w:r>
      <w:r w:rsidR="00EE4FC3">
        <w:t xml:space="preserve"> </w:t>
      </w:r>
      <w:r w:rsidR="00581CF7" w:rsidRPr="00382917">
        <w:t>was</w:t>
      </w:r>
      <w:r w:rsidR="00EE4FC3">
        <w:t xml:space="preserve"> </w:t>
      </w:r>
      <w:r w:rsidR="00581CF7" w:rsidRPr="00382917">
        <w:t>fully</w:t>
      </w:r>
      <w:r w:rsidR="00EE4FC3">
        <w:t xml:space="preserve"> </w:t>
      </w:r>
      <w:r w:rsidR="00581CF7" w:rsidRPr="00382917">
        <w:t>dressed</w:t>
      </w:r>
      <w:r w:rsidR="00EE4FC3">
        <w:t xml:space="preserve"> </w:t>
      </w:r>
      <w:r w:rsidR="00581CF7" w:rsidRPr="00382917">
        <w:t>in</w:t>
      </w:r>
      <w:r w:rsidR="00EE4FC3">
        <w:t xml:space="preserve"> </w:t>
      </w:r>
      <w:r w:rsidR="00581CF7" w:rsidRPr="00382917">
        <w:t>his</w:t>
      </w:r>
      <w:r w:rsidR="00EE4FC3">
        <w:t xml:space="preserve"> </w:t>
      </w:r>
      <w:r w:rsidR="00581CF7" w:rsidRPr="00382917">
        <w:t>best</w:t>
      </w:r>
      <w:r w:rsidR="00EE4FC3">
        <w:t xml:space="preserve"> </w:t>
      </w:r>
      <w:r w:rsidR="00581CF7" w:rsidRPr="00382917">
        <w:t>attire</w:t>
      </w:r>
      <w:r w:rsidR="00EE4FC3">
        <w:t xml:space="preserve"> </w:t>
      </w:r>
      <w:r w:rsidR="00581CF7" w:rsidRPr="00382917">
        <w:t>and</w:t>
      </w:r>
      <w:r w:rsidR="00EE4FC3">
        <w:t xml:space="preserve"> </w:t>
      </w:r>
      <w:r w:rsidR="00581CF7" w:rsidRPr="00382917">
        <w:t>was</w:t>
      </w:r>
      <w:r w:rsidR="00EE4FC3">
        <w:t xml:space="preserve"> </w:t>
      </w:r>
      <w:r w:rsidR="00581CF7" w:rsidRPr="00382917">
        <w:t>about</w:t>
      </w:r>
      <w:r w:rsidR="00EE4FC3">
        <w:t xml:space="preserve"> </w:t>
      </w:r>
      <w:r w:rsidR="00581CF7" w:rsidRPr="00382917">
        <w:t>to</w:t>
      </w:r>
      <w:r w:rsidR="00EE4FC3">
        <w:t xml:space="preserve"> </w:t>
      </w:r>
      <w:r w:rsidR="00581CF7" w:rsidRPr="00382917">
        <w:t>leave.</w:t>
      </w:r>
      <w:r w:rsidR="00EE4FC3">
        <w:t xml:space="preserve">  </w:t>
      </w:r>
      <w:r w:rsidR="00581CF7" w:rsidRPr="00382917">
        <w:t>He</w:t>
      </w:r>
      <w:r w:rsidR="00EE4FC3">
        <w:t xml:space="preserve"> </w:t>
      </w:r>
      <w:r w:rsidR="00581CF7" w:rsidRPr="00382917">
        <w:t>asked</w:t>
      </w:r>
      <w:r w:rsidR="00EE4FC3">
        <w:t xml:space="preserve"> </w:t>
      </w:r>
      <w:r w:rsidR="00581CF7" w:rsidRPr="00382917">
        <w:t>me</w:t>
      </w:r>
      <w:r w:rsidR="00EE4FC3">
        <w:t xml:space="preserve"> </w:t>
      </w:r>
      <w:r w:rsidR="00581CF7" w:rsidRPr="00382917">
        <w:t>to</w:t>
      </w:r>
      <w:r w:rsidR="00EE4FC3">
        <w:t xml:space="preserve"> </w:t>
      </w:r>
      <w:r w:rsidR="00581CF7" w:rsidRPr="00382917">
        <w:t>accompany</w:t>
      </w:r>
      <w:r w:rsidR="00EE4FC3">
        <w:t xml:space="preserve"> </w:t>
      </w:r>
      <w:r w:rsidR="00581CF7" w:rsidRPr="00382917">
        <w:t>him.</w:t>
      </w:r>
    </w:p>
    <w:p w:rsidR="00581CF7" w:rsidRPr="00382917" w:rsidRDefault="009C713D" w:rsidP="006D18A4">
      <w:pPr>
        <w:pStyle w:val="Text"/>
      </w:pPr>
      <w:r w:rsidRPr="00382917">
        <w:t>“</w:t>
      </w:r>
      <w:r w:rsidR="00581CF7" w:rsidRPr="00382917">
        <w:t>He</w:t>
      </w:r>
      <w:r w:rsidR="00EE4FC3">
        <w:t xml:space="preserve"> </w:t>
      </w:r>
      <w:r w:rsidR="00581CF7" w:rsidRPr="00382917">
        <w:t>said,</w:t>
      </w:r>
      <w:r w:rsidR="00EE4FC3">
        <w:t xml:space="preserve"> </w:t>
      </w:r>
      <w:r w:rsidRPr="00382917">
        <w:t>‘</w:t>
      </w:r>
      <w:r w:rsidR="00581CF7" w:rsidRPr="00382917">
        <w:t>A</w:t>
      </w:r>
      <w:r w:rsidR="00EE4FC3">
        <w:t xml:space="preserve"> </w:t>
      </w:r>
      <w:r w:rsidR="00581CF7" w:rsidRPr="00382917">
        <w:t>highly</w:t>
      </w:r>
      <w:r w:rsidR="00EE4FC3">
        <w:t xml:space="preserve"> </w:t>
      </w:r>
      <w:r w:rsidR="00581CF7" w:rsidRPr="00382917">
        <w:t>esteemed</w:t>
      </w:r>
      <w:r w:rsidR="00EE4FC3">
        <w:t xml:space="preserve"> </w:t>
      </w:r>
      <w:r w:rsidR="00581CF7" w:rsidRPr="00382917">
        <w:t>and</w:t>
      </w:r>
      <w:r w:rsidR="00EE4FC3">
        <w:t xml:space="preserve"> </w:t>
      </w:r>
      <w:r w:rsidR="00581CF7" w:rsidRPr="00382917">
        <w:t>distinguished</w:t>
      </w:r>
      <w:r w:rsidR="00EE4FC3">
        <w:t xml:space="preserve"> </w:t>
      </w:r>
      <w:r w:rsidR="00581CF7" w:rsidRPr="00382917">
        <w:t>person</w:t>
      </w:r>
      <w:r w:rsidR="00EE4FC3">
        <w:t xml:space="preserve"> </w:t>
      </w:r>
      <w:r w:rsidR="00581CF7" w:rsidRPr="00382917">
        <w:t>has</w:t>
      </w:r>
      <w:r w:rsidR="00EE4FC3">
        <w:t xml:space="preserve"> </w:t>
      </w:r>
      <w:r w:rsidR="00581CF7" w:rsidRPr="00382917">
        <w:t>arrived.</w:t>
      </w:r>
      <w:r w:rsidR="00EE4FC3">
        <w:t xml:space="preserve">  </w:t>
      </w:r>
      <w:r w:rsidR="00581CF7" w:rsidRPr="00382917">
        <w:t>I</w:t>
      </w:r>
      <w:r w:rsidR="00EE4FC3">
        <w:t xml:space="preserve"> </w:t>
      </w:r>
      <w:r w:rsidR="00581CF7" w:rsidRPr="00382917">
        <w:t>feel</w:t>
      </w:r>
      <w:r w:rsidR="00EE4FC3">
        <w:t xml:space="preserve"> </w:t>
      </w:r>
      <w:r w:rsidR="00581CF7" w:rsidRPr="00382917">
        <w:t>it</w:t>
      </w:r>
      <w:r w:rsidR="00EE4FC3">
        <w:t xml:space="preserve"> </w:t>
      </w:r>
      <w:r w:rsidR="00581CF7" w:rsidRPr="00382917">
        <w:t>necessary</w:t>
      </w:r>
      <w:r w:rsidR="00EE4FC3">
        <w:t xml:space="preserve"> </w:t>
      </w:r>
      <w:r w:rsidR="00581CF7" w:rsidRPr="00382917">
        <w:t>that</w:t>
      </w:r>
      <w:r w:rsidR="00EE4FC3">
        <w:t xml:space="preserve"> </w:t>
      </w:r>
      <w:r w:rsidR="00581CF7" w:rsidRPr="00382917">
        <w:t>we</w:t>
      </w:r>
      <w:r w:rsidR="00EE4FC3">
        <w:t xml:space="preserve"> </w:t>
      </w:r>
      <w:r w:rsidR="00581CF7" w:rsidRPr="00382917">
        <w:t>both</w:t>
      </w:r>
      <w:r w:rsidR="00EE4FC3">
        <w:t xml:space="preserve"> </w:t>
      </w:r>
      <w:r w:rsidR="00581CF7" w:rsidRPr="00382917">
        <w:t>should</w:t>
      </w:r>
      <w:r w:rsidR="00EE4FC3">
        <w:t xml:space="preserve"> </w:t>
      </w:r>
      <w:r w:rsidR="00581CF7" w:rsidRPr="00382917">
        <w:t>visit</w:t>
      </w:r>
      <w:r w:rsidR="00EE4FC3">
        <w:t xml:space="preserve"> </w:t>
      </w:r>
      <w:r w:rsidR="00581CF7" w:rsidRPr="00382917">
        <w:t>him.</w:t>
      </w:r>
      <w:r w:rsidRPr="00382917">
        <w:t>’</w:t>
      </w:r>
    </w:p>
    <w:p w:rsidR="00581CF7" w:rsidRPr="00382917" w:rsidRDefault="009C713D" w:rsidP="006D18A4">
      <w:pPr>
        <w:pStyle w:val="Text"/>
      </w:pPr>
      <w:r w:rsidRPr="00382917">
        <w:t>“</w:t>
      </w:r>
      <w:r w:rsidR="00581CF7" w:rsidRPr="00382917">
        <w:t>The</w:t>
      </w:r>
      <w:r w:rsidR="00EE4FC3">
        <w:t xml:space="preserve"> </w:t>
      </w:r>
      <w:r w:rsidR="00581CF7" w:rsidRPr="00382917">
        <w:t>sun</w:t>
      </w:r>
      <w:r w:rsidR="00EE4FC3">
        <w:t xml:space="preserve"> </w:t>
      </w:r>
      <w:r w:rsidR="00581CF7" w:rsidRPr="00382917">
        <w:t>had</w:t>
      </w:r>
      <w:r w:rsidR="00EE4FC3">
        <w:t xml:space="preserve"> </w:t>
      </w:r>
      <w:r w:rsidR="00581CF7" w:rsidRPr="00382917">
        <w:t>just</w:t>
      </w:r>
      <w:r w:rsidR="00EE4FC3">
        <w:t xml:space="preserve"> </w:t>
      </w:r>
      <w:r w:rsidR="00581CF7" w:rsidRPr="00382917">
        <w:t>appeared</w:t>
      </w:r>
      <w:r w:rsidR="00EE4FC3">
        <w:t xml:space="preserve"> </w:t>
      </w:r>
      <w:r w:rsidR="00581CF7" w:rsidRPr="00382917">
        <w:t>as</w:t>
      </w:r>
      <w:r w:rsidR="00EE4FC3">
        <w:t xml:space="preserve"> </w:t>
      </w:r>
      <w:r w:rsidR="00581CF7" w:rsidRPr="00382917">
        <w:t>we</w:t>
      </w:r>
      <w:r w:rsidR="00EE4FC3">
        <w:t xml:space="preserve"> </w:t>
      </w:r>
      <w:r w:rsidR="00581CF7" w:rsidRPr="00382917">
        <w:t>reached</w:t>
      </w:r>
      <w:r w:rsidR="00EE4FC3">
        <w:t xml:space="preserve"> </w:t>
      </w:r>
      <w:r w:rsidR="00581CF7" w:rsidRPr="00382917">
        <w:t>our</w:t>
      </w:r>
      <w:r w:rsidR="00EE4FC3">
        <w:t xml:space="preserve"> </w:t>
      </w:r>
      <w:r w:rsidR="00581CF7" w:rsidRPr="00382917">
        <w:t>destination.</w:t>
      </w:r>
      <w:r w:rsidR="00EE4FC3">
        <w:t xml:space="preserve">  </w:t>
      </w:r>
      <w:proofErr w:type="gramStart"/>
      <w:r w:rsidR="00581CF7" w:rsidRPr="00382917">
        <w:t>In</w:t>
      </w:r>
      <w:r w:rsidR="00EE4FC3">
        <w:t xml:space="preserve"> </w:t>
      </w:r>
      <w:r w:rsidR="00581CF7" w:rsidRPr="00382917">
        <w:t>the</w:t>
      </w:r>
      <w:r w:rsidR="00EE4FC3">
        <w:t xml:space="preserve"> </w:t>
      </w:r>
      <w:r w:rsidR="00581CF7" w:rsidRPr="00382917">
        <w:t>doorway</w:t>
      </w:r>
      <w:r w:rsidR="00EE4FC3">
        <w:t xml:space="preserve"> </w:t>
      </w:r>
      <w:r w:rsidR="00581CF7" w:rsidRPr="00382917">
        <w:t>stood</w:t>
      </w:r>
      <w:r w:rsidR="00EE4FC3">
        <w:t xml:space="preserve"> </w:t>
      </w:r>
      <w:r w:rsidR="00581CF7" w:rsidRPr="00382917">
        <w:t>a</w:t>
      </w:r>
      <w:r w:rsidR="00EE4FC3">
        <w:t xml:space="preserve"> </w:t>
      </w:r>
      <w:r w:rsidR="00581CF7" w:rsidRPr="00382917">
        <w:t>youth.</w:t>
      </w:r>
      <w:proofErr w:type="gramEnd"/>
      <w:r w:rsidR="00EE4FC3">
        <w:t xml:space="preserve">  </w:t>
      </w:r>
      <w:r w:rsidR="00581CF7" w:rsidRPr="00382917">
        <w:t>His</w:t>
      </w:r>
      <w:r w:rsidR="00EE4FC3">
        <w:t xml:space="preserve"> </w:t>
      </w:r>
      <w:r w:rsidR="00581CF7" w:rsidRPr="00382917">
        <w:t>face</w:t>
      </w:r>
      <w:r w:rsidR="00EE4FC3">
        <w:t xml:space="preserve"> </w:t>
      </w:r>
      <w:r w:rsidR="00581CF7" w:rsidRPr="00382917">
        <w:t>revealed</w:t>
      </w:r>
      <w:r w:rsidR="00EE4FC3">
        <w:t xml:space="preserve"> </w:t>
      </w:r>
      <w:r w:rsidR="00581CF7" w:rsidRPr="00382917">
        <w:t>an</w:t>
      </w:r>
      <w:r w:rsidR="00EE4FC3">
        <w:t xml:space="preserve"> </w:t>
      </w:r>
      <w:r w:rsidR="00581CF7" w:rsidRPr="00382917">
        <w:t>expression</w:t>
      </w:r>
      <w:r w:rsidR="00EE4FC3">
        <w:t xml:space="preserve"> </w:t>
      </w:r>
      <w:r w:rsidR="00581CF7" w:rsidRPr="00382917">
        <w:t>of</w:t>
      </w:r>
      <w:r w:rsidR="00EE4FC3">
        <w:t xml:space="preserve"> </w:t>
      </w:r>
      <w:r w:rsidR="00581CF7" w:rsidRPr="00382917">
        <w:t>humility</w:t>
      </w:r>
      <w:r w:rsidR="00EE4FC3">
        <w:t xml:space="preserve"> </w:t>
      </w:r>
      <w:r w:rsidR="00581CF7" w:rsidRPr="00382917">
        <w:t>and</w:t>
      </w:r>
      <w:r w:rsidR="00EE4FC3">
        <w:t xml:space="preserve"> </w:t>
      </w:r>
      <w:r w:rsidR="00581CF7" w:rsidRPr="00382917">
        <w:t>kindliness</w:t>
      </w:r>
      <w:r w:rsidR="00EE4FC3">
        <w:t xml:space="preserve"> </w:t>
      </w:r>
      <w:r w:rsidR="00581CF7" w:rsidRPr="00382917">
        <w:t>which</w:t>
      </w:r>
      <w:r w:rsidR="00EE4FC3">
        <w:t xml:space="preserve"> </w:t>
      </w:r>
      <w:r w:rsidR="00581CF7" w:rsidRPr="00382917">
        <w:t>I</w:t>
      </w:r>
      <w:r w:rsidR="00EE4FC3">
        <w:t xml:space="preserve"> </w:t>
      </w:r>
      <w:r w:rsidR="00581CF7" w:rsidRPr="00382917">
        <w:t>can</w:t>
      </w:r>
      <w:r w:rsidR="00EE4FC3">
        <w:t xml:space="preserve"> </w:t>
      </w:r>
      <w:r w:rsidR="00581CF7" w:rsidRPr="00382917">
        <w:t>never</w:t>
      </w:r>
      <w:r w:rsidR="00EE4FC3">
        <w:t xml:space="preserve"> </w:t>
      </w:r>
      <w:r w:rsidR="00581CF7" w:rsidRPr="00382917">
        <w:t>describe.</w:t>
      </w:r>
      <w:r w:rsidR="00EE4FC3">
        <w:t xml:space="preserve">  </w:t>
      </w:r>
      <w:r w:rsidR="00581CF7" w:rsidRPr="00382917">
        <w:t>He</w:t>
      </w:r>
      <w:r w:rsidR="00EE4FC3">
        <w:t xml:space="preserve"> </w:t>
      </w:r>
      <w:r w:rsidR="00581CF7" w:rsidRPr="00382917">
        <w:t>quietly</w:t>
      </w:r>
      <w:r w:rsidR="00EE4FC3">
        <w:t xml:space="preserve"> </w:t>
      </w:r>
      <w:r w:rsidR="00581CF7" w:rsidRPr="00382917">
        <w:t>approached</w:t>
      </w:r>
      <w:r w:rsidR="00EE4FC3">
        <w:t xml:space="preserve"> </w:t>
      </w:r>
      <w:r w:rsidR="00581CF7" w:rsidRPr="00382917">
        <w:t>us,</w:t>
      </w:r>
      <w:r w:rsidR="00EE4FC3">
        <w:t xml:space="preserve"> </w:t>
      </w:r>
      <w:r w:rsidR="00581CF7" w:rsidRPr="00382917">
        <w:t>extended</w:t>
      </w:r>
      <w:r w:rsidR="00EE4FC3">
        <w:t xml:space="preserve"> </w:t>
      </w:r>
      <w:r w:rsidR="00581CF7" w:rsidRPr="00382917">
        <w:t>his</w:t>
      </w:r>
      <w:r w:rsidR="00EE4FC3">
        <w:t xml:space="preserve"> </w:t>
      </w:r>
      <w:r w:rsidR="00581CF7" w:rsidRPr="00382917">
        <w:t>arms</w:t>
      </w:r>
      <w:r w:rsidR="00EE4FC3">
        <w:t xml:space="preserve"> </w:t>
      </w:r>
      <w:r w:rsidR="00581CF7" w:rsidRPr="00382917">
        <w:t>toward</w:t>
      </w:r>
      <w:r w:rsidR="00EE4FC3">
        <w:t xml:space="preserve"> </w:t>
      </w:r>
      <w:r w:rsidR="00581CF7" w:rsidRPr="00382917">
        <w:t>Siyyid</w:t>
      </w:r>
      <w:r w:rsidR="00EE4FC3">
        <w:t xml:space="preserve"> </w:t>
      </w:r>
      <w:r w:rsidR="00581CF7" w:rsidRPr="00382917">
        <w:t>Káẓim</w:t>
      </w:r>
      <w:r w:rsidR="00EE4FC3">
        <w:t xml:space="preserve"> </w:t>
      </w:r>
      <w:r w:rsidR="00581CF7" w:rsidRPr="00382917">
        <w:t>and</w:t>
      </w:r>
      <w:r w:rsidR="00EE4FC3">
        <w:t xml:space="preserve"> </w:t>
      </w:r>
      <w:r w:rsidR="00581CF7" w:rsidRPr="00382917">
        <w:t>lovingly</w:t>
      </w:r>
      <w:r w:rsidR="00EE4FC3">
        <w:t xml:space="preserve"> </w:t>
      </w:r>
      <w:r w:rsidR="00581CF7" w:rsidRPr="00382917">
        <w:t>embraced</w:t>
      </w:r>
      <w:r w:rsidR="00EE4FC3">
        <w:t xml:space="preserve"> </w:t>
      </w:r>
      <w:r w:rsidR="00581CF7" w:rsidRPr="00382917">
        <w:t>him.</w:t>
      </w:r>
      <w:r w:rsidR="00EE4FC3">
        <w:t xml:space="preserve">  </w:t>
      </w:r>
      <w:r w:rsidR="00581CF7" w:rsidRPr="00382917">
        <w:t>His</w:t>
      </w:r>
      <w:r w:rsidR="00EE4FC3">
        <w:t xml:space="preserve"> </w:t>
      </w:r>
      <w:r w:rsidR="00581CF7" w:rsidRPr="00382917">
        <w:t>friendliness</w:t>
      </w:r>
      <w:r w:rsidR="00EE4FC3">
        <w:t xml:space="preserve"> </w:t>
      </w:r>
      <w:r w:rsidR="00581CF7" w:rsidRPr="00382917">
        <w:t>contrasted</w:t>
      </w:r>
      <w:r w:rsidR="00EE4FC3">
        <w:t xml:space="preserve"> </w:t>
      </w:r>
      <w:r w:rsidR="00581CF7" w:rsidRPr="00382917">
        <w:t>strongly</w:t>
      </w:r>
      <w:r w:rsidR="00EE4FC3">
        <w:t xml:space="preserve"> </w:t>
      </w:r>
      <w:r w:rsidR="00581CF7" w:rsidRPr="00382917">
        <w:t>with</w:t>
      </w:r>
      <w:r w:rsidR="00EE4FC3">
        <w:t xml:space="preserve"> </w:t>
      </w:r>
      <w:r w:rsidR="00581CF7" w:rsidRPr="00382917">
        <w:t>the</w:t>
      </w:r>
      <w:r w:rsidR="00EE4FC3">
        <w:t xml:space="preserve"> </w:t>
      </w:r>
      <w:r w:rsidR="00581CF7" w:rsidRPr="00382917">
        <w:t>profound</w:t>
      </w:r>
      <w:r w:rsidR="00EE4FC3">
        <w:t xml:space="preserve"> </w:t>
      </w:r>
      <w:r w:rsidR="00581CF7" w:rsidRPr="00382917">
        <w:t>reverence</w:t>
      </w:r>
      <w:r w:rsidR="00EE4FC3">
        <w:t xml:space="preserve"> </w:t>
      </w:r>
      <w:r w:rsidR="00581CF7" w:rsidRPr="00382917">
        <w:t>which</w:t>
      </w:r>
      <w:r w:rsidR="00EE4FC3">
        <w:t xml:space="preserve"> </w:t>
      </w:r>
      <w:r w:rsidR="00581CF7" w:rsidRPr="00382917">
        <w:t>Siyyid</w:t>
      </w:r>
      <w:r w:rsidR="00EE4FC3">
        <w:t xml:space="preserve"> </w:t>
      </w:r>
      <w:r w:rsidR="00581CF7" w:rsidRPr="00382917">
        <w:t>Káẓim</w:t>
      </w:r>
      <w:r w:rsidR="00EE4FC3">
        <w:t xml:space="preserve"> </w:t>
      </w:r>
      <w:r w:rsidR="00581CF7" w:rsidRPr="00382917">
        <w:t>showed</w:t>
      </w:r>
      <w:r w:rsidR="00EE4FC3">
        <w:t xml:space="preserve"> </w:t>
      </w:r>
      <w:r w:rsidR="00581CF7" w:rsidRPr="00382917">
        <w:t>him.</w:t>
      </w:r>
    </w:p>
    <w:p w:rsidR="00581CF7" w:rsidRPr="00382917" w:rsidRDefault="009C713D" w:rsidP="006D18A4">
      <w:pPr>
        <w:pStyle w:val="Text"/>
      </w:pPr>
      <w:r w:rsidRPr="00382917">
        <w:t>“</w:t>
      </w:r>
      <w:r w:rsidR="00581CF7" w:rsidRPr="00382917">
        <w:t>He</w:t>
      </w:r>
      <w:r w:rsidR="00EE4FC3">
        <w:t xml:space="preserve"> </w:t>
      </w:r>
      <w:r w:rsidR="00581CF7" w:rsidRPr="00382917">
        <w:t>led</w:t>
      </w:r>
      <w:r w:rsidR="00EE4FC3">
        <w:t xml:space="preserve"> </w:t>
      </w:r>
      <w:r w:rsidR="00581CF7" w:rsidRPr="00382917">
        <w:t>us</w:t>
      </w:r>
      <w:r w:rsidR="00EE4FC3">
        <w:t xml:space="preserve"> </w:t>
      </w:r>
      <w:r w:rsidR="00581CF7" w:rsidRPr="00382917">
        <w:t>to</w:t>
      </w:r>
      <w:r w:rsidR="00EE4FC3">
        <w:t xml:space="preserve"> </w:t>
      </w:r>
      <w:r w:rsidR="00581CF7" w:rsidRPr="00382917">
        <w:t>an</w:t>
      </w:r>
      <w:r w:rsidR="00EE4FC3">
        <w:t xml:space="preserve"> </w:t>
      </w:r>
      <w:r w:rsidR="00581CF7" w:rsidRPr="00382917">
        <w:t>upper</w:t>
      </w:r>
      <w:r w:rsidR="00EE4FC3">
        <w:t xml:space="preserve"> </w:t>
      </w:r>
      <w:r w:rsidR="00581CF7" w:rsidRPr="00382917">
        <w:t>chamber.</w:t>
      </w:r>
      <w:r w:rsidR="00EE4FC3">
        <w:t xml:space="preserve">  </w:t>
      </w:r>
      <w:r w:rsidR="00581CF7" w:rsidRPr="00382917">
        <w:t>A</w:t>
      </w:r>
      <w:r w:rsidR="00EE4FC3">
        <w:t xml:space="preserve"> </w:t>
      </w:r>
      <w:r w:rsidR="00581CF7" w:rsidRPr="00382917">
        <w:t>silver</w:t>
      </w:r>
      <w:r w:rsidR="00EE4FC3">
        <w:t xml:space="preserve"> </w:t>
      </w:r>
      <w:r w:rsidR="00581CF7" w:rsidRPr="00382917">
        <w:t>cup</w:t>
      </w:r>
      <w:r w:rsidR="00EE4FC3">
        <w:t xml:space="preserve"> </w:t>
      </w:r>
      <w:r w:rsidR="00581CF7" w:rsidRPr="00382917">
        <w:t>had</w:t>
      </w:r>
      <w:r w:rsidR="00EE4FC3">
        <w:t xml:space="preserve"> </w:t>
      </w:r>
      <w:r w:rsidR="00581CF7" w:rsidRPr="00382917">
        <w:t>been</w:t>
      </w:r>
      <w:r w:rsidR="00EE4FC3">
        <w:t xml:space="preserve"> </w:t>
      </w:r>
      <w:r w:rsidR="00581CF7" w:rsidRPr="00382917">
        <w:t>placed</w:t>
      </w:r>
      <w:r w:rsidR="00EE4FC3">
        <w:t xml:space="preserve"> </w:t>
      </w:r>
      <w:r w:rsidR="00581CF7" w:rsidRPr="00382917">
        <w:t>in</w:t>
      </w:r>
      <w:r w:rsidR="00EE4FC3">
        <w:t xml:space="preserve"> </w:t>
      </w:r>
      <w:r w:rsidR="00581CF7" w:rsidRPr="00382917">
        <w:t>the</w:t>
      </w:r>
      <w:r w:rsidR="00EE4FC3">
        <w:t xml:space="preserve"> </w:t>
      </w:r>
      <w:proofErr w:type="spellStart"/>
      <w:r w:rsidR="00581CF7" w:rsidRPr="00382917">
        <w:t>center</w:t>
      </w:r>
      <w:proofErr w:type="spellEnd"/>
      <w:r w:rsidR="00EE4FC3">
        <w:t xml:space="preserve"> </w:t>
      </w:r>
      <w:r w:rsidR="00581CF7" w:rsidRPr="00382917">
        <w:t>of</w:t>
      </w:r>
      <w:r w:rsidR="00EE4FC3">
        <w:t xml:space="preserve"> </w:t>
      </w:r>
      <w:r w:rsidR="00581CF7" w:rsidRPr="00382917">
        <w:t>the</w:t>
      </w:r>
      <w:r w:rsidR="00EE4FC3">
        <w:t xml:space="preserve"> </w:t>
      </w:r>
      <w:r w:rsidR="00581CF7" w:rsidRPr="00382917">
        <w:t>room.</w:t>
      </w:r>
      <w:r w:rsidR="00EE4FC3">
        <w:t xml:space="preserve">  </w:t>
      </w:r>
      <w:r w:rsidR="00581CF7" w:rsidRPr="00382917">
        <w:t>After</w:t>
      </w:r>
      <w:r w:rsidR="00EE4FC3">
        <w:t xml:space="preserve"> </w:t>
      </w:r>
      <w:r w:rsidR="00581CF7" w:rsidRPr="00382917">
        <w:t>we</w:t>
      </w:r>
      <w:r w:rsidR="00EE4FC3">
        <w:t xml:space="preserve"> </w:t>
      </w:r>
      <w:r w:rsidR="00581CF7" w:rsidRPr="00382917">
        <w:t>were</w:t>
      </w:r>
      <w:r w:rsidR="00EE4FC3">
        <w:t xml:space="preserve"> </w:t>
      </w:r>
      <w:r w:rsidR="00581CF7" w:rsidRPr="00382917">
        <w:t>seated,</w:t>
      </w:r>
      <w:r w:rsidR="00EE4FC3">
        <w:t xml:space="preserve"> </w:t>
      </w:r>
      <w:r w:rsidR="00581CF7" w:rsidRPr="00382917">
        <w:t>our</w:t>
      </w:r>
      <w:r w:rsidR="00EE4FC3">
        <w:t xml:space="preserve"> </w:t>
      </w:r>
      <w:r w:rsidR="00581CF7" w:rsidRPr="00382917">
        <w:t>host</w:t>
      </w:r>
      <w:r w:rsidR="00EE4FC3">
        <w:t xml:space="preserve"> </w:t>
      </w:r>
      <w:r w:rsidR="00581CF7" w:rsidRPr="00382917">
        <w:t>filled</w:t>
      </w:r>
      <w:r w:rsidR="00EE4FC3">
        <w:t xml:space="preserve"> </w:t>
      </w:r>
      <w:r w:rsidR="00581CF7" w:rsidRPr="00382917">
        <w:t>the</w:t>
      </w:r>
      <w:r w:rsidR="00EE4FC3">
        <w:t xml:space="preserve"> </w:t>
      </w:r>
      <w:r w:rsidR="00581CF7" w:rsidRPr="00382917">
        <w:t>cup</w:t>
      </w:r>
      <w:r w:rsidR="00EE4FC3">
        <w:t xml:space="preserve"> </w:t>
      </w:r>
      <w:r w:rsidR="00581CF7" w:rsidRPr="00382917">
        <w:t>and</w:t>
      </w:r>
      <w:r w:rsidR="00EE4FC3">
        <w:t xml:space="preserve"> </w:t>
      </w:r>
      <w:r w:rsidR="00581CF7" w:rsidRPr="00382917">
        <w:t>handed</w:t>
      </w:r>
      <w:r w:rsidR="00EE4FC3">
        <w:t xml:space="preserve"> </w:t>
      </w:r>
      <w:r w:rsidR="00581CF7" w:rsidRPr="00382917">
        <w:t>it</w:t>
      </w:r>
      <w:r w:rsidR="00EE4FC3">
        <w:t xml:space="preserve"> </w:t>
      </w:r>
      <w:r w:rsidR="00581CF7" w:rsidRPr="00382917">
        <w:t>to</w:t>
      </w:r>
      <w:r w:rsidR="00EE4FC3">
        <w:t xml:space="preserve"> </w:t>
      </w:r>
      <w:r w:rsidR="00581CF7" w:rsidRPr="00382917">
        <w:t>Siyyid</w:t>
      </w:r>
      <w:r w:rsidR="00EE4FC3">
        <w:t xml:space="preserve"> </w:t>
      </w:r>
      <w:r w:rsidR="00581CF7" w:rsidRPr="00382917">
        <w:t>Káẓim.</w:t>
      </w:r>
      <w:r w:rsidR="00EE4FC3">
        <w:t xml:space="preserve">  </w:t>
      </w:r>
      <w:r w:rsidR="00581CF7" w:rsidRPr="00382917">
        <w:t>He</w:t>
      </w:r>
      <w:r w:rsidR="00EE4FC3">
        <w:t xml:space="preserve"> </w:t>
      </w:r>
      <w:r w:rsidR="00581CF7" w:rsidRPr="00382917">
        <w:t>spoke</w:t>
      </w:r>
      <w:r w:rsidR="00EE4FC3">
        <w:t xml:space="preserve"> </w:t>
      </w:r>
      <w:r w:rsidR="00581CF7" w:rsidRPr="00382917">
        <w:t>a</w:t>
      </w:r>
      <w:r w:rsidR="00EE4FC3">
        <w:t xml:space="preserve"> </w:t>
      </w:r>
      <w:r w:rsidR="00581CF7" w:rsidRPr="00382917">
        <w:t>verse</w:t>
      </w:r>
      <w:r w:rsidR="00EE4FC3">
        <w:t xml:space="preserve"> </w:t>
      </w:r>
      <w:r w:rsidR="00581CF7" w:rsidRPr="00382917">
        <w:t>from</w:t>
      </w:r>
      <w:r w:rsidR="00EE4FC3">
        <w:t xml:space="preserve"> </w:t>
      </w:r>
      <w:r w:rsidR="00581CF7" w:rsidRPr="00382917">
        <w:t>our</w:t>
      </w:r>
      <w:r w:rsidR="00EE4FC3">
        <w:t xml:space="preserve"> </w:t>
      </w:r>
      <w:r w:rsidR="00581CF7" w:rsidRPr="00382917">
        <w:t>holy</w:t>
      </w:r>
      <w:r w:rsidR="00EE4FC3">
        <w:t xml:space="preserve"> </w:t>
      </w:r>
      <w:r w:rsidR="00581CF7" w:rsidRPr="00382917">
        <w:t>Book:</w:t>
      </w:r>
      <w:r w:rsidR="00EE4FC3">
        <w:t xml:space="preserve">  </w:t>
      </w:r>
      <w:r w:rsidRPr="00382917">
        <w:t>‘</w:t>
      </w:r>
      <w:r w:rsidR="00581CF7" w:rsidRPr="00382917">
        <w:t>A</w:t>
      </w:r>
      <w:r w:rsidR="00EE4FC3">
        <w:t xml:space="preserve"> </w:t>
      </w:r>
      <w:r w:rsidR="00581CF7" w:rsidRPr="00382917">
        <w:t>drink</w:t>
      </w:r>
      <w:r w:rsidR="00EE4FC3">
        <w:t xml:space="preserve"> </w:t>
      </w:r>
      <w:r w:rsidR="00581CF7" w:rsidRPr="00382917">
        <w:t>of</w:t>
      </w:r>
      <w:r w:rsidR="00EE4FC3">
        <w:t xml:space="preserve"> </w:t>
      </w:r>
      <w:r w:rsidR="00581CF7" w:rsidRPr="00382917">
        <w:t>a</w:t>
      </w:r>
      <w:r w:rsidR="00EE4FC3">
        <w:t xml:space="preserve"> </w:t>
      </w:r>
      <w:r w:rsidR="00581CF7" w:rsidRPr="00382917">
        <w:t>pure</w:t>
      </w:r>
      <w:r w:rsidR="00EE4FC3">
        <w:t xml:space="preserve"> </w:t>
      </w:r>
      <w:r w:rsidR="00581CF7" w:rsidRPr="00382917">
        <w:t>beverage</w:t>
      </w:r>
      <w:r w:rsidR="00EE4FC3">
        <w:t xml:space="preserve"> </w:t>
      </w:r>
      <w:r w:rsidR="00581CF7" w:rsidRPr="00382917">
        <w:t>shall</w:t>
      </w:r>
      <w:r w:rsidR="00EE4FC3">
        <w:t xml:space="preserve"> </w:t>
      </w:r>
      <w:r w:rsidR="00581CF7" w:rsidRPr="00382917">
        <w:t>their</w:t>
      </w:r>
      <w:r w:rsidR="00EE4FC3">
        <w:t xml:space="preserve"> </w:t>
      </w:r>
      <w:r w:rsidR="00581CF7" w:rsidRPr="00382917">
        <w:t>Lord</w:t>
      </w:r>
      <w:r w:rsidR="00EE4FC3">
        <w:t xml:space="preserve"> </w:t>
      </w:r>
      <w:r w:rsidR="00581CF7" w:rsidRPr="00382917">
        <w:t>give</w:t>
      </w:r>
      <w:r w:rsidR="00EE4FC3">
        <w:t xml:space="preserve"> </w:t>
      </w:r>
      <w:r w:rsidR="00581CF7" w:rsidRPr="00382917">
        <w:t>them.</w:t>
      </w:r>
      <w:r w:rsidRPr="00382917">
        <w:t>’</w:t>
      </w:r>
    </w:p>
    <w:p w:rsidR="00581CF7" w:rsidRPr="00382917" w:rsidRDefault="009C713D" w:rsidP="006D18A4">
      <w:pPr>
        <w:pStyle w:val="Text"/>
      </w:pPr>
      <w:r w:rsidRPr="00382917">
        <w:t>“</w:t>
      </w:r>
      <w:r w:rsidR="00581CF7" w:rsidRPr="00382917">
        <w:t>How</w:t>
      </w:r>
      <w:r w:rsidR="00EE4FC3">
        <w:t xml:space="preserve"> </w:t>
      </w:r>
      <w:r w:rsidR="00581CF7" w:rsidRPr="00382917">
        <w:t>great</w:t>
      </w:r>
      <w:r w:rsidR="00EE4FC3">
        <w:t xml:space="preserve"> </w:t>
      </w:r>
      <w:r w:rsidR="00581CF7" w:rsidRPr="00382917">
        <w:t>was</w:t>
      </w:r>
      <w:r w:rsidR="00EE4FC3">
        <w:t xml:space="preserve"> </w:t>
      </w:r>
      <w:r w:rsidR="00581CF7" w:rsidRPr="00382917">
        <w:t>my</w:t>
      </w:r>
      <w:r w:rsidR="00EE4FC3">
        <w:t xml:space="preserve"> </w:t>
      </w:r>
      <w:r w:rsidR="00581CF7" w:rsidRPr="00382917">
        <w:t>amazement</w:t>
      </w:r>
      <w:r w:rsidR="00EE4FC3">
        <w:t xml:space="preserve"> </w:t>
      </w:r>
      <w:r w:rsidR="00581CF7" w:rsidRPr="00382917">
        <w:t>when</w:t>
      </w:r>
      <w:r w:rsidR="00EE4FC3">
        <w:t xml:space="preserve"> </w:t>
      </w:r>
      <w:r w:rsidR="00581CF7" w:rsidRPr="00382917">
        <w:t>I</w:t>
      </w:r>
      <w:r w:rsidR="00EE4FC3">
        <w:t xml:space="preserve"> </w:t>
      </w:r>
      <w:r w:rsidR="00581CF7" w:rsidRPr="00382917">
        <w:t>saw</w:t>
      </w:r>
      <w:r w:rsidR="00EE4FC3">
        <w:t xml:space="preserve"> </w:t>
      </w:r>
      <w:r w:rsidR="00581CF7" w:rsidRPr="00382917">
        <w:t>my</w:t>
      </w:r>
      <w:r w:rsidR="00EE4FC3">
        <w:t xml:space="preserve"> </w:t>
      </w:r>
      <w:r w:rsidR="00581CF7" w:rsidRPr="00382917">
        <w:t>teacher</w:t>
      </w:r>
      <w:r w:rsidR="00EE4FC3">
        <w:t xml:space="preserve"> </w:t>
      </w:r>
      <w:r w:rsidR="00581CF7" w:rsidRPr="00382917">
        <w:t>[Siyyid</w:t>
      </w:r>
      <w:r w:rsidR="00EE4FC3">
        <w:t xml:space="preserve"> </w:t>
      </w:r>
      <w:r w:rsidR="00581CF7" w:rsidRPr="00382917">
        <w:t>Káẓim]</w:t>
      </w:r>
      <w:r w:rsidR="00EE4FC3">
        <w:t xml:space="preserve"> </w:t>
      </w:r>
      <w:r w:rsidR="00581CF7" w:rsidRPr="00382917">
        <w:t>quaff</w:t>
      </w:r>
      <w:r w:rsidR="00EE4FC3">
        <w:t xml:space="preserve"> </w:t>
      </w:r>
      <w:r w:rsidR="00581CF7" w:rsidRPr="00382917">
        <w:t>without</w:t>
      </w:r>
      <w:r w:rsidR="00EE4FC3">
        <w:t xml:space="preserve"> </w:t>
      </w:r>
      <w:r w:rsidR="00581CF7" w:rsidRPr="00382917">
        <w:t>the</w:t>
      </w:r>
      <w:r w:rsidR="00EE4FC3">
        <w:t xml:space="preserve"> </w:t>
      </w:r>
      <w:r w:rsidR="00581CF7" w:rsidRPr="00382917">
        <w:t>least</w:t>
      </w:r>
      <w:r w:rsidR="00EE4FC3">
        <w:t xml:space="preserve"> </w:t>
      </w:r>
      <w:r w:rsidR="00581CF7" w:rsidRPr="00382917">
        <w:t>hesitation,</w:t>
      </w:r>
      <w:r w:rsidR="00EE4FC3">
        <w:t xml:space="preserve"> </w:t>
      </w:r>
      <w:r w:rsidR="00581CF7" w:rsidRPr="00382917">
        <w:t>that</w:t>
      </w:r>
      <w:r w:rsidR="00EE4FC3">
        <w:t xml:space="preserve"> </w:t>
      </w:r>
      <w:r w:rsidR="00581CF7" w:rsidRPr="00382917">
        <w:t>holy</w:t>
      </w:r>
      <w:r w:rsidR="00EE4FC3">
        <w:t xml:space="preserve"> </w:t>
      </w:r>
      <w:r w:rsidR="00581CF7" w:rsidRPr="00382917">
        <w:t>draught</w:t>
      </w:r>
      <w:r w:rsidR="00EE4FC3">
        <w:t xml:space="preserve"> </w:t>
      </w:r>
      <w:r w:rsidR="00581CF7" w:rsidRPr="00382917">
        <w:t>from</w:t>
      </w:r>
      <w:r w:rsidR="00EE4FC3">
        <w:t xml:space="preserve"> </w:t>
      </w:r>
      <w:r w:rsidR="00581CF7" w:rsidRPr="00382917">
        <w:t>a</w:t>
      </w:r>
      <w:r w:rsidR="00EE4FC3">
        <w:t xml:space="preserve"> </w:t>
      </w:r>
      <w:r w:rsidR="00581CF7" w:rsidRPr="00382917">
        <w:t>silver</w:t>
      </w:r>
      <w:r w:rsidR="00EE4FC3">
        <w:t xml:space="preserve"> </w:t>
      </w:r>
      <w:r w:rsidR="00581CF7" w:rsidRPr="00382917">
        <w:t>cup,</w:t>
      </w:r>
      <w:r w:rsidR="00EE4FC3">
        <w:t xml:space="preserve"> </w:t>
      </w:r>
      <w:r w:rsidR="00581CF7" w:rsidRPr="00382917">
        <w:t>the</w:t>
      </w:r>
      <w:r w:rsidR="00EE4FC3">
        <w:t xml:space="preserve"> </w:t>
      </w:r>
      <w:r w:rsidR="00581CF7" w:rsidRPr="00382917">
        <w:t>use</w:t>
      </w:r>
      <w:r w:rsidR="00EE4FC3">
        <w:t xml:space="preserve"> </w:t>
      </w:r>
      <w:r w:rsidR="00581CF7" w:rsidRPr="00382917">
        <w:t>of</w:t>
      </w:r>
      <w:r w:rsidR="00EE4FC3">
        <w:t xml:space="preserve"> </w:t>
      </w:r>
      <w:r w:rsidR="00581CF7" w:rsidRPr="00382917">
        <w:t>which</w:t>
      </w:r>
      <w:r w:rsidR="00EE4FC3">
        <w:t xml:space="preserve"> </w:t>
      </w:r>
      <w:r w:rsidR="00581CF7" w:rsidRPr="00382917">
        <w:t>is</w:t>
      </w:r>
      <w:r w:rsidR="00EE4FC3">
        <w:t xml:space="preserve"> </w:t>
      </w:r>
      <w:r w:rsidR="00581CF7" w:rsidRPr="00382917">
        <w:t>forbidden</w:t>
      </w:r>
      <w:r w:rsidR="00EE4FC3">
        <w:t xml:space="preserve"> </w:t>
      </w:r>
      <w:r w:rsidR="00581CF7" w:rsidRPr="00382917">
        <w:t>to</w:t>
      </w:r>
      <w:r w:rsidR="00EE4FC3">
        <w:t xml:space="preserve"> </w:t>
      </w:r>
      <w:r w:rsidR="00581CF7" w:rsidRPr="00382917">
        <w:t>the</w:t>
      </w:r>
      <w:r w:rsidR="00EE4FC3">
        <w:t xml:space="preserve"> </w:t>
      </w:r>
      <w:r w:rsidR="00581CF7" w:rsidRPr="00382917">
        <w:t>faithful.</w:t>
      </w:r>
    </w:p>
    <w:p w:rsidR="00581CF7" w:rsidRPr="00382917" w:rsidRDefault="009C713D" w:rsidP="006D18A4">
      <w:pPr>
        <w:pStyle w:val="Text"/>
      </w:pPr>
      <w:r w:rsidRPr="00382917">
        <w:t>“</w:t>
      </w:r>
      <w:r w:rsidR="00581CF7" w:rsidRPr="00382917">
        <w:t>Three</w:t>
      </w:r>
      <w:r w:rsidR="00EE4FC3">
        <w:t xml:space="preserve"> </w:t>
      </w:r>
      <w:r w:rsidR="00581CF7" w:rsidRPr="00382917">
        <w:t>days</w:t>
      </w:r>
      <w:r w:rsidR="00EE4FC3">
        <w:t xml:space="preserve"> </w:t>
      </w:r>
      <w:r w:rsidR="00581CF7" w:rsidRPr="00382917">
        <w:t>later,</w:t>
      </w:r>
      <w:r w:rsidR="00EE4FC3">
        <w:t xml:space="preserve"> </w:t>
      </w:r>
      <w:r w:rsidR="00581CF7" w:rsidRPr="00382917">
        <w:t>I</w:t>
      </w:r>
      <w:r w:rsidR="00EE4FC3">
        <w:t xml:space="preserve"> </w:t>
      </w:r>
      <w:r w:rsidR="00581CF7" w:rsidRPr="00382917">
        <w:t>saw</w:t>
      </w:r>
      <w:r w:rsidR="00EE4FC3">
        <w:t xml:space="preserve"> </w:t>
      </w:r>
      <w:r w:rsidR="00581CF7" w:rsidRPr="00382917">
        <w:t>that</w:t>
      </w:r>
      <w:r w:rsidR="00EE4FC3">
        <w:t xml:space="preserve"> </w:t>
      </w:r>
      <w:r w:rsidR="00581CF7" w:rsidRPr="00382917">
        <w:t>same</w:t>
      </w:r>
      <w:r w:rsidR="00EE4FC3">
        <w:t xml:space="preserve"> </w:t>
      </w:r>
      <w:r w:rsidR="00581CF7" w:rsidRPr="00382917">
        <w:t>young</w:t>
      </w:r>
      <w:r w:rsidR="00EE4FC3">
        <w:t xml:space="preserve"> </w:t>
      </w:r>
      <w:r w:rsidR="00581CF7" w:rsidRPr="00382917">
        <w:t>man</w:t>
      </w:r>
      <w:r w:rsidR="00EE4FC3">
        <w:t xml:space="preserve"> </w:t>
      </w:r>
      <w:r w:rsidR="00581CF7" w:rsidRPr="00382917">
        <w:t>arrive</w:t>
      </w:r>
      <w:r w:rsidR="00EE4FC3">
        <w:t xml:space="preserve"> </w:t>
      </w:r>
      <w:r w:rsidR="00581CF7" w:rsidRPr="00382917">
        <w:t>and</w:t>
      </w:r>
      <w:r w:rsidR="00EE4FC3">
        <w:t xml:space="preserve"> </w:t>
      </w:r>
      <w:r w:rsidR="00581CF7" w:rsidRPr="00382917">
        <w:t>take</w:t>
      </w:r>
      <w:r w:rsidR="00EE4FC3">
        <w:t xml:space="preserve"> </w:t>
      </w:r>
      <w:r w:rsidR="00581CF7" w:rsidRPr="00382917">
        <w:t>his</w:t>
      </w:r>
      <w:r w:rsidR="00EE4FC3">
        <w:t xml:space="preserve"> </w:t>
      </w:r>
      <w:r w:rsidR="00581CF7" w:rsidRPr="00382917">
        <w:t>seat</w:t>
      </w:r>
      <w:r w:rsidR="00EE4FC3">
        <w:t xml:space="preserve"> </w:t>
      </w:r>
      <w:r w:rsidR="00581CF7" w:rsidRPr="00382917">
        <w:t>amidst</w:t>
      </w:r>
      <w:r w:rsidR="00EE4FC3">
        <w:t xml:space="preserve"> </w:t>
      </w:r>
      <w:r w:rsidR="00581CF7" w:rsidRPr="00382917">
        <w:t>assembled</w:t>
      </w:r>
      <w:r w:rsidR="00EE4FC3">
        <w:t xml:space="preserve"> </w:t>
      </w:r>
      <w:r w:rsidR="00581CF7" w:rsidRPr="00382917">
        <w:t>followers</w:t>
      </w:r>
      <w:r w:rsidR="00EE4FC3">
        <w:t xml:space="preserve"> </w:t>
      </w:r>
      <w:r w:rsidR="00581CF7" w:rsidRPr="00382917">
        <w:t>of</w:t>
      </w:r>
      <w:r w:rsidR="00EE4FC3">
        <w:t xml:space="preserve"> </w:t>
      </w:r>
      <w:r w:rsidR="00581CF7" w:rsidRPr="00382917">
        <w:t>Siyyid</w:t>
      </w:r>
      <w:r w:rsidR="00EE4FC3">
        <w:t xml:space="preserve"> </w:t>
      </w:r>
      <w:r w:rsidR="00581CF7" w:rsidRPr="00382917">
        <w:t>Káẓim.</w:t>
      </w:r>
      <w:r w:rsidR="00EE4FC3">
        <w:t xml:space="preserve">  </w:t>
      </w:r>
      <w:r w:rsidR="00581CF7" w:rsidRPr="00382917">
        <w:t>He</w:t>
      </w:r>
      <w:r w:rsidR="00EE4FC3">
        <w:t xml:space="preserve"> </w:t>
      </w:r>
      <w:r w:rsidR="00581CF7" w:rsidRPr="00382917">
        <w:t>sat</w:t>
      </w:r>
      <w:r w:rsidR="00EE4FC3">
        <w:t xml:space="preserve"> </w:t>
      </w:r>
      <w:r w:rsidR="00581CF7" w:rsidRPr="00382917">
        <w:t>close</w:t>
      </w:r>
      <w:r w:rsidR="00EE4FC3">
        <w:t xml:space="preserve"> </w:t>
      </w:r>
      <w:r w:rsidR="00581CF7" w:rsidRPr="00382917">
        <w:t>to</w:t>
      </w:r>
      <w:r w:rsidR="00EE4FC3">
        <w:t xml:space="preserve"> </w:t>
      </w:r>
      <w:r w:rsidR="00581CF7" w:rsidRPr="00382917">
        <w:t>the</w:t>
      </w:r>
      <w:r w:rsidR="00EE4FC3">
        <w:t xml:space="preserve"> </w:t>
      </w:r>
      <w:r w:rsidR="00581CF7" w:rsidRPr="00382917">
        <w:t>doorway,</w:t>
      </w:r>
      <w:r w:rsidR="00EE4FC3">
        <w:t xml:space="preserve"> </w:t>
      </w:r>
      <w:r w:rsidR="00581CF7" w:rsidRPr="00382917">
        <w:t>and</w:t>
      </w:r>
      <w:r w:rsidR="00EE4FC3">
        <w:t xml:space="preserve"> </w:t>
      </w:r>
      <w:r w:rsidR="00581CF7" w:rsidRPr="00382917">
        <w:t>with</w:t>
      </w:r>
      <w:r w:rsidR="00EE4FC3">
        <w:t xml:space="preserve"> </w:t>
      </w:r>
      <w:r w:rsidR="00581CF7" w:rsidRPr="00382917">
        <w:t>great</w:t>
      </w:r>
      <w:r w:rsidR="00EE4FC3">
        <w:t xml:space="preserve"> </w:t>
      </w:r>
      <w:r w:rsidR="00581CF7" w:rsidRPr="00382917">
        <w:t>modesty</w:t>
      </w:r>
      <w:r w:rsidR="00EE4FC3">
        <w:t xml:space="preserve"> </w:t>
      </w:r>
      <w:r w:rsidR="00581CF7" w:rsidRPr="00382917">
        <w:t>and</w:t>
      </w:r>
      <w:r w:rsidR="00EE4FC3">
        <w:t xml:space="preserve"> </w:t>
      </w:r>
      <w:r w:rsidR="00581CF7" w:rsidRPr="00382917">
        <w:t>dignity</w:t>
      </w:r>
      <w:r w:rsidR="00EE4FC3">
        <w:t xml:space="preserve"> </w:t>
      </w:r>
      <w:r w:rsidR="00581CF7" w:rsidRPr="00382917">
        <w:t>of</w:t>
      </w:r>
      <w:r w:rsidR="00EE4FC3">
        <w:t xml:space="preserve"> </w:t>
      </w:r>
      <w:r w:rsidR="00581CF7" w:rsidRPr="00382917">
        <w:t>bearing</w:t>
      </w:r>
      <w:r w:rsidR="00EE4FC3">
        <w:t xml:space="preserve"> </w:t>
      </w:r>
      <w:r w:rsidR="00581CF7" w:rsidRPr="00382917">
        <w:t>he</w:t>
      </w:r>
      <w:r w:rsidR="00EE4FC3">
        <w:t xml:space="preserve"> </w:t>
      </w:r>
      <w:r w:rsidR="00581CF7" w:rsidRPr="00382917">
        <w:t>listened</w:t>
      </w:r>
      <w:r w:rsidR="00EE4FC3">
        <w:t xml:space="preserve"> </w:t>
      </w:r>
      <w:r w:rsidR="00581CF7" w:rsidRPr="00382917">
        <w:t>to</w:t>
      </w:r>
      <w:r w:rsidR="00EE4FC3">
        <w:t xml:space="preserve"> </w:t>
      </w:r>
      <w:r w:rsidR="00581CF7" w:rsidRPr="00382917">
        <w:t>the</w:t>
      </w:r>
      <w:r w:rsidR="00EE4FC3">
        <w:t xml:space="preserve"> </w:t>
      </w:r>
      <w:r w:rsidR="00581CF7" w:rsidRPr="00382917">
        <w:t>discourse</w:t>
      </w:r>
      <w:r w:rsidR="00EE4FC3">
        <w:t xml:space="preserve"> </w:t>
      </w:r>
      <w:r w:rsidR="00581CF7" w:rsidRPr="00382917">
        <w:t>of</w:t>
      </w:r>
      <w:r w:rsidR="00EE4FC3">
        <w:t xml:space="preserve"> </w:t>
      </w:r>
      <w:r w:rsidR="00581CF7" w:rsidRPr="00382917">
        <w:t>Siyyid</w:t>
      </w:r>
      <w:r w:rsidR="00EE4FC3">
        <w:t xml:space="preserve"> </w:t>
      </w:r>
      <w:r w:rsidR="00581CF7" w:rsidRPr="00382917">
        <w:t>Káẓim.</w:t>
      </w:r>
    </w:p>
    <w:p w:rsidR="00581CF7" w:rsidRPr="00382917" w:rsidRDefault="009C713D" w:rsidP="006D18A4">
      <w:pPr>
        <w:pStyle w:val="Text"/>
      </w:pPr>
      <w:r w:rsidRPr="00382917">
        <w:t>“</w:t>
      </w:r>
      <w:r w:rsidR="00581CF7" w:rsidRPr="00382917">
        <w:t>As</w:t>
      </w:r>
      <w:r w:rsidR="00EE4FC3">
        <w:t xml:space="preserve"> </w:t>
      </w:r>
      <w:r w:rsidR="00581CF7" w:rsidRPr="00382917">
        <w:t>soon</w:t>
      </w:r>
      <w:r w:rsidR="00EE4FC3">
        <w:t xml:space="preserve"> </w:t>
      </w:r>
      <w:r w:rsidR="00581CF7" w:rsidRPr="00382917">
        <w:t>as</w:t>
      </w:r>
      <w:r w:rsidR="00EE4FC3">
        <w:t xml:space="preserve"> </w:t>
      </w:r>
      <w:r w:rsidR="00581CF7" w:rsidRPr="00382917">
        <w:t>Siyyid</w:t>
      </w:r>
      <w:r w:rsidR="00EE4FC3">
        <w:t xml:space="preserve"> </w:t>
      </w:r>
      <w:r w:rsidR="00581CF7" w:rsidRPr="00382917">
        <w:t>Káẓim</w:t>
      </w:r>
      <w:r w:rsidR="00EE4FC3">
        <w:t xml:space="preserve"> </w:t>
      </w:r>
      <w:r w:rsidR="00581CF7" w:rsidRPr="00382917">
        <w:t>saw</w:t>
      </w:r>
      <w:r w:rsidR="00EE4FC3">
        <w:t xml:space="preserve"> </w:t>
      </w:r>
      <w:r w:rsidR="00581CF7" w:rsidRPr="00382917">
        <w:t>him,</w:t>
      </w:r>
      <w:r w:rsidR="00EE4FC3">
        <w:t xml:space="preserve"> </w:t>
      </w:r>
      <w:r w:rsidR="00581CF7" w:rsidRPr="00382917">
        <w:t>he</w:t>
      </w:r>
      <w:r w:rsidR="00EE4FC3">
        <w:t xml:space="preserve"> </w:t>
      </w:r>
      <w:r w:rsidR="00581CF7" w:rsidRPr="00382917">
        <w:t>immediately</w:t>
      </w:r>
      <w:r w:rsidR="00EE4FC3">
        <w:t xml:space="preserve"> </w:t>
      </w:r>
      <w:r w:rsidR="00581CF7" w:rsidRPr="00382917">
        <w:t>discontinued</w:t>
      </w:r>
    </w:p>
    <w:p w:rsidR="006D18A4" w:rsidRPr="00382917" w:rsidRDefault="006D18A4">
      <w:pPr>
        <w:widowControl/>
        <w:kinsoku/>
        <w:overflowPunct/>
        <w:textAlignment w:val="auto"/>
        <w:rPr>
          <w:rFonts w:cs="Gentium Book Basic"/>
        </w:rPr>
      </w:pPr>
      <w:r w:rsidRPr="00382917">
        <w:br w:type="page"/>
      </w:r>
    </w:p>
    <w:p w:rsidR="00581CF7" w:rsidRPr="00382917" w:rsidRDefault="00581CF7" w:rsidP="006D18A4">
      <w:pPr>
        <w:pStyle w:val="Textcts"/>
      </w:pPr>
      <w:proofErr w:type="gramStart"/>
      <w:r w:rsidRPr="00382917">
        <w:t>speaking</w:t>
      </w:r>
      <w:proofErr w:type="gramEnd"/>
      <w:r w:rsidRPr="00382917">
        <w:t>.</w:t>
      </w:r>
      <w:r w:rsidR="00EE4FC3">
        <w:t xml:space="preserve">  </w:t>
      </w:r>
      <w:r w:rsidRPr="00382917">
        <w:t>One</w:t>
      </w:r>
      <w:r w:rsidR="00EE4FC3">
        <w:t xml:space="preserve"> </w:t>
      </w:r>
      <w:r w:rsidRPr="00382917">
        <w:t>of</w:t>
      </w:r>
      <w:r w:rsidR="00EE4FC3">
        <w:t xml:space="preserve"> </w:t>
      </w:r>
      <w:r w:rsidRPr="00382917">
        <w:t>his</w:t>
      </w:r>
      <w:r w:rsidR="00EE4FC3">
        <w:t xml:space="preserve"> </w:t>
      </w:r>
      <w:r w:rsidRPr="00382917">
        <w:t>followers</w:t>
      </w:r>
      <w:r w:rsidR="00EE4FC3">
        <w:t xml:space="preserve"> </w:t>
      </w:r>
      <w:r w:rsidRPr="00382917">
        <w:t>begged</w:t>
      </w:r>
      <w:r w:rsidR="00EE4FC3">
        <w:t xml:space="preserve"> </w:t>
      </w:r>
      <w:r w:rsidRPr="00382917">
        <w:t>him</w:t>
      </w:r>
      <w:r w:rsidR="00EE4FC3">
        <w:t xml:space="preserve"> </w:t>
      </w:r>
      <w:r w:rsidRPr="00382917">
        <w:t>to</w:t>
      </w:r>
      <w:r w:rsidR="00EE4FC3">
        <w:t xml:space="preserve"> </w:t>
      </w:r>
      <w:r w:rsidRPr="00382917">
        <w:t>resume</w:t>
      </w:r>
      <w:r w:rsidR="00EE4FC3">
        <w:t xml:space="preserve"> </w:t>
      </w:r>
      <w:r w:rsidRPr="00382917">
        <w:t>his</w:t>
      </w:r>
      <w:r w:rsidR="00EE4FC3">
        <w:t xml:space="preserve"> </w:t>
      </w:r>
      <w:r w:rsidRPr="00382917">
        <w:t>talk</w:t>
      </w:r>
      <w:r w:rsidR="00EE4FC3">
        <w:t xml:space="preserve"> </w:t>
      </w:r>
      <w:r w:rsidRPr="00382917">
        <w:t>about</w:t>
      </w:r>
      <w:r w:rsidR="00EE4FC3">
        <w:t xml:space="preserve"> </w:t>
      </w:r>
      <w:r w:rsidRPr="00382917">
        <w:t>the</w:t>
      </w:r>
      <w:r w:rsidR="00EE4FC3">
        <w:t xml:space="preserve"> </w:t>
      </w:r>
      <w:r w:rsidRPr="00382917">
        <w:t>coming</w:t>
      </w:r>
      <w:r w:rsidR="00EE4FC3">
        <w:t xml:space="preserve"> </w:t>
      </w:r>
      <w:r w:rsidRPr="00382917">
        <w:t>of</w:t>
      </w:r>
      <w:r w:rsidR="00EE4FC3">
        <w:t xml:space="preserve"> </w:t>
      </w:r>
      <w:r w:rsidRPr="00382917">
        <w:t>the</w:t>
      </w:r>
      <w:r w:rsidR="00EE4FC3">
        <w:t xml:space="preserve"> </w:t>
      </w:r>
      <w:r w:rsidRPr="00382917">
        <w:t>Promised</w:t>
      </w:r>
      <w:r w:rsidR="00EE4FC3">
        <w:t xml:space="preserve"> </w:t>
      </w:r>
      <w:r w:rsidRPr="00382917">
        <w:t>One.</w:t>
      </w:r>
    </w:p>
    <w:p w:rsidR="00581CF7" w:rsidRPr="00382917" w:rsidRDefault="009C713D" w:rsidP="006D18A4">
      <w:pPr>
        <w:pStyle w:val="Text"/>
      </w:pPr>
      <w:r w:rsidRPr="00382917">
        <w:t>“‘</w:t>
      </w:r>
      <w:r w:rsidR="00581CF7" w:rsidRPr="00382917">
        <w:t>What</w:t>
      </w:r>
      <w:r w:rsidR="00EE4FC3">
        <w:t xml:space="preserve"> </w:t>
      </w:r>
      <w:r w:rsidR="00581CF7" w:rsidRPr="00382917">
        <w:t>more</w:t>
      </w:r>
      <w:r w:rsidR="00EE4FC3">
        <w:t xml:space="preserve"> </w:t>
      </w:r>
      <w:r w:rsidR="00581CF7" w:rsidRPr="00382917">
        <w:t>shall</w:t>
      </w:r>
      <w:r w:rsidR="00EE4FC3">
        <w:t xml:space="preserve"> </w:t>
      </w:r>
      <w:r w:rsidR="00581CF7" w:rsidRPr="00382917">
        <w:t>I</w:t>
      </w:r>
      <w:r w:rsidR="00EE4FC3">
        <w:t xml:space="preserve"> </w:t>
      </w:r>
      <w:r w:rsidR="00581CF7" w:rsidRPr="00382917">
        <w:t>say?</w:t>
      </w:r>
      <w:r w:rsidRPr="00382917">
        <w:t>’</w:t>
      </w:r>
      <w:r w:rsidR="00EE4FC3">
        <w:t xml:space="preserve"> </w:t>
      </w:r>
      <w:r w:rsidR="00581CF7" w:rsidRPr="00382917">
        <w:t>replied</w:t>
      </w:r>
      <w:r w:rsidR="00EE4FC3">
        <w:t xml:space="preserve"> </w:t>
      </w:r>
      <w:r w:rsidR="00581CF7" w:rsidRPr="00382917">
        <w:t>Siyyid</w:t>
      </w:r>
      <w:r w:rsidR="00EE4FC3">
        <w:t xml:space="preserve"> </w:t>
      </w:r>
      <w:r w:rsidR="00581CF7" w:rsidRPr="00382917">
        <w:t>Káẓim</w:t>
      </w:r>
      <w:r w:rsidR="00EE4FC3">
        <w:t xml:space="preserve"> </w:t>
      </w:r>
      <w:r w:rsidR="00581CF7" w:rsidRPr="00382917">
        <w:t>as</w:t>
      </w:r>
      <w:r w:rsidR="00EE4FC3">
        <w:t xml:space="preserve"> </w:t>
      </w:r>
      <w:r w:rsidR="00581CF7" w:rsidRPr="00382917">
        <w:t>he</w:t>
      </w:r>
      <w:r w:rsidR="00EE4FC3">
        <w:t xml:space="preserve"> </w:t>
      </w:r>
      <w:r w:rsidR="00581CF7" w:rsidRPr="00382917">
        <w:t>turned</w:t>
      </w:r>
      <w:r w:rsidR="00EE4FC3">
        <w:t xml:space="preserve"> </w:t>
      </w:r>
      <w:r w:rsidR="00581CF7" w:rsidRPr="00382917">
        <w:t>his</w:t>
      </w:r>
      <w:r w:rsidR="00EE4FC3">
        <w:t xml:space="preserve"> </w:t>
      </w:r>
      <w:r w:rsidR="00581CF7" w:rsidRPr="00382917">
        <w:t>face</w:t>
      </w:r>
      <w:r w:rsidR="00EE4FC3">
        <w:t xml:space="preserve"> </w:t>
      </w:r>
      <w:r w:rsidR="00581CF7" w:rsidRPr="00382917">
        <w:t>toward</w:t>
      </w:r>
      <w:r w:rsidR="00EE4FC3">
        <w:t xml:space="preserve"> </w:t>
      </w:r>
      <w:r w:rsidR="00581CF7" w:rsidRPr="00382917">
        <w:t>the</w:t>
      </w:r>
      <w:r w:rsidR="00EE4FC3">
        <w:t xml:space="preserve"> </w:t>
      </w:r>
      <w:r w:rsidR="00581CF7" w:rsidRPr="00382917">
        <w:t>young</w:t>
      </w:r>
      <w:r w:rsidR="00EE4FC3">
        <w:t xml:space="preserve"> </w:t>
      </w:r>
      <w:r w:rsidR="00581CF7" w:rsidRPr="00382917">
        <w:t>man.</w:t>
      </w:r>
      <w:r w:rsidR="00EE4FC3">
        <w:t xml:space="preserve">  </w:t>
      </w:r>
      <w:r w:rsidRPr="00382917">
        <w:t>‘</w:t>
      </w:r>
      <w:r w:rsidR="00581CF7" w:rsidRPr="00382917">
        <w:t>Lo,</w:t>
      </w:r>
      <w:r w:rsidR="00EE4FC3">
        <w:t xml:space="preserve"> </w:t>
      </w:r>
      <w:r w:rsidR="00581CF7" w:rsidRPr="00382917">
        <w:t>the</w:t>
      </w:r>
      <w:r w:rsidR="00EE4FC3">
        <w:t xml:space="preserve"> </w:t>
      </w:r>
      <w:r w:rsidR="00581CF7" w:rsidRPr="00382917">
        <w:t>truth</w:t>
      </w:r>
      <w:r w:rsidR="00EE4FC3">
        <w:t xml:space="preserve"> </w:t>
      </w:r>
      <w:r w:rsidR="00581CF7" w:rsidRPr="00382917">
        <w:t>is</w:t>
      </w:r>
      <w:r w:rsidR="00EE4FC3">
        <w:t xml:space="preserve"> </w:t>
      </w:r>
      <w:r w:rsidR="00581CF7" w:rsidRPr="00382917">
        <w:t>more</w:t>
      </w:r>
      <w:r w:rsidR="00EE4FC3">
        <w:t xml:space="preserve"> </w:t>
      </w:r>
      <w:r w:rsidR="00581CF7" w:rsidRPr="00382917">
        <w:t>manifest</w:t>
      </w:r>
      <w:r w:rsidR="00EE4FC3">
        <w:t xml:space="preserve"> </w:t>
      </w:r>
      <w:r w:rsidR="00581CF7" w:rsidRPr="00382917">
        <w:t>than</w:t>
      </w:r>
      <w:r w:rsidR="00EE4FC3">
        <w:t xml:space="preserve"> </w:t>
      </w:r>
      <w:r w:rsidR="00581CF7" w:rsidRPr="00382917">
        <w:t>the</w:t>
      </w:r>
      <w:r w:rsidR="00EE4FC3">
        <w:t xml:space="preserve"> </w:t>
      </w:r>
      <w:r w:rsidR="00581CF7" w:rsidRPr="00382917">
        <w:t>ray</w:t>
      </w:r>
      <w:r w:rsidR="00EE4FC3">
        <w:t xml:space="preserve"> </w:t>
      </w:r>
      <w:r w:rsidR="00581CF7" w:rsidRPr="00382917">
        <w:t>of</w:t>
      </w:r>
      <w:r w:rsidR="00EE4FC3">
        <w:t xml:space="preserve"> </w:t>
      </w:r>
      <w:r w:rsidR="00581CF7" w:rsidRPr="00382917">
        <w:t>light</w:t>
      </w:r>
      <w:r w:rsidR="00EE4FC3">
        <w:t xml:space="preserve"> </w:t>
      </w:r>
      <w:r w:rsidR="00581CF7" w:rsidRPr="00382917">
        <w:t>that</w:t>
      </w:r>
      <w:r w:rsidR="00EE4FC3">
        <w:t xml:space="preserve"> </w:t>
      </w:r>
      <w:r w:rsidR="00581CF7" w:rsidRPr="00382917">
        <w:t>has</w:t>
      </w:r>
      <w:r w:rsidR="00EE4FC3">
        <w:t xml:space="preserve"> </w:t>
      </w:r>
      <w:r w:rsidR="00581CF7" w:rsidRPr="00382917">
        <w:t>fallen</w:t>
      </w:r>
      <w:r w:rsidR="00EE4FC3">
        <w:t xml:space="preserve"> </w:t>
      </w:r>
      <w:r w:rsidR="00581CF7" w:rsidRPr="00382917">
        <w:t>on</w:t>
      </w:r>
      <w:r w:rsidR="00EE4FC3">
        <w:t xml:space="preserve"> </w:t>
      </w:r>
      <w:r w:rsidR="00581CF7" w:rsidRPr="00382917">
        <w:t>that</w:t>
      </w:r>
      <w:r w:rsidR="00EE4FC3">
        <w:t xml:space="preserve"> </w:t>
      </w:r>
      <w:r w:rsidR="00581CF7" w:rsidRPr="00382917">
        <w:t>lap.</w:t>
      </w:r>
      <w:r w:rsidRPr="00382917">
        <w:t>’</w:t>
      </w:r>
    </w:p>
    <w:p w:rsidR="00581CF7" w:rsidRPr="00382917" w:rsidRDefault="009C713D" w:rsidP="006D18A4">
      <w:pPr>
        <w:pStyle w:val="Text"/>
      </w:pPr>
      <w:r w:rsidRPr="00382917">
        <w:t>“</w:t>
      </w:r>
      <w:r w:rsidR="00581CF7" w:rsidRPr="00382917">
        <w:t>I</w:t>
      </w:r>
      <w:r w:rsidR="00EE4FC3">
        <w:t xml:space="preserve"> </w:t>
      </w:r>
      <w:r w:rsidR="00581CF7" w:rsidRPr="00382917">
        <w:t>immediately</w:t>
      </w:r>
      <w:r w:rsidR="00EE4FC3">
        <w:t xml:space="preserve"> </w:t>
      </w:r>
      <w:r w:rsidR="00581CF7" w:rsidRPr="00382917">
        <w:t>observed</w:t>
      </w:r>
      <w:r w:rsidR="00EE4FC3">
        <w:t xml:space="preserve"> </w:t>
      </w:r>
      <w:r w:rsidR="00581CF7" w:rsidRPr="00382917">
        <w:t>that</w:t>
      </w:r>
      <w:r w:rsidR="00EE4FC3">
        <w:t xml:space="preserve"> </w:t>
      </w:r>
      <w:r w:rsidR="00581CF7" w:rsidRPr="00382917">
        <w:t>the</w:t>
      </w:r>
      <w:r w:rsidR="00EE4FC3">
        <w:t xml:space="preserve"> </w:t>
      </w:r>
      <w:r w:rsidR="00581CF7" w:rsidRPr="00382917">
        <w:t>ray</w:t>
      </w:r>
      <w:r w:rsidR="00EE4FC3">
        <w:t xml:space="preserve"> </w:t>
      </w:r>
      <w:r w:rsidR="00581CF7" w:rsidRPr="00382917">
        <w:t>of</w:t>
      </w:r>
      <w:r w:rsidR="00EE4FC3">
        <w:t xml:space="preserve"> </w:t>
      </w:r>
      <w:r w:rsidR="00581CF7" w:rsidRPr="00382917">
        <w:t>sunlight</w:t>
      </w:r>
      <w:r w:rsidR="00EE4FC3">
        <w:t xml:space="preserve"> </w:t>
      </w:r>
      <w:r w:rsidR="00581CF7" w:rsidRPr="00382917">
        <w:t>to</w:t>
      </w:r>
      <w:r w:rsidR="00EE4FC3">
        <w:t xml:space="preserve"> </w:t>
      </w:r>
      <w:r w:rsidR="00581CF7" w:rsidRPr="00382917">
        <w:t>which</w:t>
      </w:r>
      <w:r w:rsidR="00EE4FC3">
        <w:t xml:space="preserve"> </w:t>
      </w:r>
      <w:r w:rsidR="00581CF7" w:rsidRPr="00382917">
        <w:t>Siyyid</w:t>
      </w:r>
      <w:r w:rsidR="00EE4FC3">
        <w:t xml:space="preserve"> </w:t>
      </w:r>
      <w:r w:rsidR="00581CF7" w:rsidRPr="00382917">
        <w:t>Káẓim</w:t>
      </w:r>
      <w:r w:rsidR="00EE4FC3">
        <w:t xml:space="preserve"> </w:t>
      </w:r>
      <w:r w:rsidR="00581CF7" w:rsidRPr="00382917">
        <w:t>referred</w:t>
      </w:r>
      <w:r w:rsidR="00EE4FC3">
        <w:t xml:space="preserve"> </w:t>
      </w:r>
      <w:r w:rsidR="00581CF7" w:rsidRPr="00382917">
        <w:t>had</w:t>
      </w:r>
      <w:r w:rsidR="00EE4FC3">
        <w:t xml:space="preserve"> </w:t>
      </w:r>
      <w:r w:rsidR="00581CF7" w:rsidRPr="00382917">
        <w:t>fallen</w:t>
      </w:r>
      <w:r w:rsidR="00EE4FC3">
        <w:t xml:space="preserve"> </w:t>
      </w:r>
      <w:r w:rsidR="00581CF7" w:rsidRPr="00382917">
        <w:t>upon</w:t>
      </w:r>
      <w:r w:rsidR="00EE4FC3">
        <w:t xml:space="preserve"> </w:t>
      </w:r>
      <w:r w:rsidR="00581CF7" w:rsidRPr="00382917">
        <w:t>the</w:t>
      </w:r>
      <w:r w:rsidR="00EE4FC3">
        <w:t xml:space="preserve"> </w:t>
      </w:r>
      <w:r w:rsidR="00581CF7" w:rsidRPr="00382917">
        <w:t>lap</w:t>
      </w:r>
      <w:r w:rsidR="00EE4FC3">
        <w:t xml:space="preserve"> </w:t>
      </w:r>
      <w:r w:rsidR="00581CF7" w:rsidRPr="00382917">
        <w:t>of</w:t>
      </w:r>
      <w:r w:rsidR="00EE4FC3">
        <w:t xml:space="preserve"> </w:t>
      </w:r>
      <w:r w:rsidR="00581CF7" w:rsidRPr="00382917">
        <w:t>that</w:t>
      </w:r>
      <w:r w:rsidR="00EE4FC3">
        <w:t xml:space="preserve"> </w:t>
      </w:r>
      <w:r w:rsidR="00581CF7" w:rsidRPr="00382917">
        <w:t>same</w:t>
      </w:r>
      <w:r w:rsidR="00EE4FC3">
        <w:t xml:space="preserve"> </w:t>
      </w:r>
      <w:r w:rsidR="00581CF7" w:rsidRPr="00382917">
        <w:t>youth</w:t>
      </w:r>
      <w:r w:rsidR="00EE4FC3">
        <w:t xml:space="preserve"> </w:t>
      </w:r>
      <w:r w:rsidR="00581CF7" w:rsidRPr="00382917">
        <w:t>we</w:t>
      </w:r>
      <w:r w:rsidR="00EE4FC3">
        <w:t xml:space="preserve"> </w:t>
      </w:r>
      <w:r w:rsidR="00581CF7" w:rsidRPr="00382917">
        <w:t>had</w:t>
      </w:r>
      <w:r w:rsidR="00EE4FC3">
        <w:t xml:space="preserve"> </w:t>
      </w:r>
      <w:r w:rsidR="00581CF7" w:rsidRPr="00382917">
        <w:t>so</w:t>
      </w:r>
      <w:r w:rsidR="00EE4FC3">
        <w:t xml:space="preserve"> </w:t>
      </w:r>
      <w:r w:rsidR="00581CF7" w:rsidRPr="00382917">
        <w:t>recently</w:t>
      </w:r>
      <w:r w:rsidR="00EE4FC3">
        <w:t xml:space="preserve"> </w:t>
      </w:r>
      <w:r w:rsidR="00581CF7" w:rsidRPr="00382917">
        <w:t>visited.</w:t>
      </w:r>
    </w:p>
    <w:p w:rsidR="00581CF7" w:rsidRPr="00382917" w:rsidRDefault="009C713D" w:rsidP="006D18A4">
      <w:pPr>
        <w:pStyle w:val="Text"/>
      </w:pPr>
      <w:r w:rsidRPr="00382917">
        <w:t>“</w:t>
      </w:r>
      <w:r w:rsidR="00581CF7" w:rsidRPr="00382917">
        <w:t>One</w:t>
      </w:r>
      <w:r w:rsidR="00EE4FC3">
        <w:t xml:space="preserve"> </w:t>
      </w:r>
      <w:r w:rsidR="00581CF7" w:rsidRPr="00382917">
        <w:t>of</w:t>
      </w:r>
      <w:r w:rsidR="00EE4FC3">
        <w:t xml:space="preserve"> </w:t>
      </w:r>
      <w:r w:rsidR="00581CF7" w:rsidRPr="00382917">
        <w:t>Siyyid</w:t>
      </w:r>
      <w:r w:rsidR="00EE4FC3">
        <w:t xml:space="preserve"> </w:t>
      </w:r>
      <w:proofErr w:type="spellStart"/>
      <w:r w:rsidR="00581CF7" w:rsidRPr="00382917">
        <w:t>Káẓim</w:t>
      </w:r>
      <w:r w:rsidRPr="00382917">
        <w:t>’</w:t>
      </w:r>
      <w:r w:rsidR="00581CF7" w:rsidRPr="00382917">
        <w:t>s</w:t>
      </w:r>
      <w:proofErr w:type="spellEnd"/>
      <w:r w:rsidR="00EE4FC3">
        <w:t xml:space="preserve"> </w:t>
      </w:r>
      <w:r w:rsidR="00581CF7" w:rsidRPr="00382917">
        <w:t>followers</w:t>
      </w:r>
      <w:r w:rsidR="00EE4FC3">
        <w:t xml:space="preserve"> </w:t>
      </w:r>
      <w:r w:rsidR="00581CF7" w:rsidRPr="00382917">
        <w:t>asked,</w:t>
      </w:r>
      <w:r w:rsidR="00EE4FC3">
        <w:t xml:space="preserve"> </w:t>
      </w:r>
      <w:r w:rsidRPr="00382917">
        <w:t>‘</w:t>
      </w:r>
      <w:r w:rsidR="00581CF7" w:rsidRPr="00382917">
        <w:t>Why</w:t>
      </w:r>
      <w:r w:rsidR="00EE4FC3">
        <w:t xml:space="preserve"> </w:t>
      </w:r>
      <w:r w:rsidR="00581CF7" w:rsidRPr="00382917">
        <w:t>is</w:t>
      </w:r>
      <w:r w:rsidR="00EE4FC3">
        <w:t xml:space="preserve"> </w:t>
      </w:r>
      <w:r w:rsidR="00581CF7" w:rsidRPr="00382917">
        <w:t>it</w:t>
      </w:r>
      <w:r w:rsidR="00EE4FC3">
        <w:t xml:space="preserve"> </w:t>
      </w:r>
      <w:r w:rsidR="00581CF7" w:rsidRPr="00382917">
        <w:t>that</w:t>
      </w:r>
      <w:r w:rsidR="00EE4FC3">
        <w:t xml:space="preserve"> </w:t>
      </w:r>
      <w:r w:rsidR="00581CF7" w:rsidRPr="00382917">
        <w:t>you</w:t>
      </w:r>
      <w:r w:rsidR="00EE4FC3">
        <w:t xml:space="preserve"> </w:t>
      </w:r>
      <w:r w:rsidR="00581CF7" w:rsidRPr="00382917">
        <w:t>neither</w:t>
      </w:r>
      <w:r w:rsidR="00EE4FC3">
        <w:t xml:space="preserve"> </w:t>
      </w:r>
      <w:r w:rsidR="00581CF7" w:rsidRPr="00382917">
        <w:t>reveal</w:t>
      </w:r>
      <w:r w:rsidR="00EE4FC3">
        <w:t xml:space="preserve"> </w:t>
      </w:r>
      <w:r w:rsidR="00581CF7" w:rsidRPr="00382917">
        <w:t>His</w:t>
      </w:r>
      <w:r w:rsidR="00EE4FC3">
        <w:t xml:space="preserve"> </w:t>
      </w:r>
      <w:r w:rsidR="00581CF7" w:rsidRPr="00382917">
        <w:t>name</w:t>
      </w:r>
      <w:r w:rsidR="00EE4FC3">
        <w:t xml:space="preserve"> </w:t>
      </w:r>
      <w:r w:rsidR="00581CF7" w:rsidRPr="00382917">
        <w:t>nor</w:t>
      </w:r>
      <w:r w:rsidR="00EE4FC3">
        <w:t xml:space="preserve"> </w:t>
      </w:r>
      <w:r w:rsidR="00581CF7" w:rsidRPr="00382917">
        <w:t>identify</w:t>
      </w:r>
      <w:r w:rsidR="00EE4FC3">
        <w:t xml:space="preserve"> </w:t>
      </w:r>
      <w:r w:rsidR="00581CF7" w:rsidRPr="00382917">
        <w:t>His</w:t>
      </w:r>
      <w:r w:rsidR="00EE4FC3">
        <w:t xml:space="preserve"> </w:t>
      </w:r>
      <w:r w:rsidR="00581CF7" w:rsidRPr="00382917">
        <w:t>person?</w:t>
      </w:r>
      <w:r w:rsidR="00EE4FC3">
        <w:t xml:space="preserve">  </w:t>
      </w:r>
      <w:r w:rsidR="00581CF7" w:rsidRPr="00382917">
        <w:t>Why?</w:t>
      </w:r>
      <w:r w:rsidRPr="00382917">
        <w:t>’</w:t>
      </w:r>
    </w:p>
    <w:p w:rsidR="00581CF7" w:rsidRPr="00382917" w:rsidRDefault="009C713D" w:rsidP="006D18A4">
      <w:pPr>
        <w:pStyle w:val="Text"/>
      </w:pPr>
      <w:r w:rsidRPr="00382917">
        <w:t>“</w:t>
      </w:r>
      <w:r w:rsidR="00581CF7" w:rsidRPr="00382917">
        <w:t>Siyyid</w:t>
      </w:r>
      <w:r w:rsidR="00EE4FC3">
        <w:t xml:space="preserve"> </w:t>
      </w:r>
      <w:r w:rsidR="00581CF7" w:rsidRPr="00382917">
        <w:t>Káẓim</w:t>
      </w:r>
      <w:r w:rsidR="00EE4FC3">
        <w:t xml:space="preserve"> </w:t>
      </w:r>
      <w:r w:rsidR="00581CF7" w:rsidRPr="00382917">
        <w:t>replied</w:t>
      </w:r>
      <w:r w:rsidR="00EE4FC3">
        <w:t xml:space="preserve"> </w:t>
      </w:r>
      <w:r w:rsidR="00581CF7" w:rsidRPr="00382917">
        <w:t>that</w:t>
      </w:r>
      <w:r w:rsidR="00EE4FC3">
        <w:t xml:space="preserve"> </w:t>
      </w:r>
      <w:r w:rsidR="00581CF7" w:rsidRPr="00382917">
        <w:t>if</w:t>
      </w:r>
      <w:r w:rsidR="00EE4FC3">
        <w:t xml:space="preserve"> </w:t>
      </w:r>
      <w:r w:rsidR="00581CF7" w:rsidRPr="00382917">
        <w:t>he</w:t>
      </w:r>
      <w:r w:rsidR="00EE4FC3">
        <w:t xml:space="preserve"> </w:t>
      </w:r>
      <w:r w:rsidR="00581CF7" w:rsidRPr="00382917">
        <w:t>were</w:t>
      </w:r>
      <w:r w:rsidR="00EE4FC3">
        <w:t xml:space="preserve"> </w:t>
      </w:r>
      <w:r w:rsidR="00581CF7" w:rsidRPr="00382917">
        <w:t>to</w:t>
      </w:r>
      <w:r w:rsidR="00EE4FC3">
        <w:t xml:space="preserve"> </w:t>
      </w:r>
      <w:r w:rsidR="00581CF7" w:rsidRPr="00382917">
        <w:t>divulge</w:t>
      </w:r>
      <w:r w:rsidR="00EE4FC3">
        <w:t xml:space="preserve"> </w:t>
      </w:r>
      <w:r w:rsidR="00581CF7" w:rsidRPr="00382917">
        <w:t>His</w:t>
      </w:r>
      <w:r w:rsidR="00EE4FC3">
        <w:t xml:space="preserve"> </w:t>
      </w:r>
      <w:r w:rsidR="00581CF7" w:rsidRPr="00382917">
        <w:t>name,</w:t>
      </w:r>
      <w:r w:rsidR="00EE4FC3">
        <w:t xml:space="preserve"> </w:t>
      </w:r>
      <w:r w:rsidR="00581CF7" w:rsidRPr="00382917">
        <w:t>both</w:t>
      </w:r>
      <w:r w:rsidR="00EE4FC3">
        <w:t xml:space="preserve"> </w:t>
      </w:r>
      <w:r w:rsidR="00581CF7" w:rsidRPr="00382917">
        <w:t>the</w:t>
      </w:r>
      <w:r w:rsidR="00EE4FC3">
        <w:t xml:space="preserve"> </w:t>
      </w:r>
      <w:r w:rsidR="00581CF7" w:rsidRPr="00382917">
        <w:t>Beloved</w:t>
      </w:r>
      <w:r w:rsidR="00EE4FC3">
        <w:t xml:space="preserve"> </w:t>
      </w:r>
      <w:r w:rsidR="00581CF7" w:rsidRPr="00382917">
        <w:t>of</w:t>
      </w:r>
      <w:r w:rsidR="00EE4FC3">
        <w:t xml:space="preserve"> </w:t>
      </w:r>
      <w:r w:rsidR="00581CF7" w:rsidRPr="00382917">
        <w:t>God</w:t>
      </w:r>
      <w:r w:rsidR="00EE4FC3">
        <w:t xml:space="preserve"> </w:t>
      </w:r>
      <w:r w:rsidR="00581CF7" w:rsidRPr="00382917">
        <w:t>and</w:t>
      </w:r>
      <w:r w:rsidR="00EE4FC3">
        <w:t xml:space="preserve"> </w:t>
      </w:r>
      <w:r w:rsidR="00581CF7" w:rsidRPr="00382917">
        <w:t>he</w:t>
      </w:r>
      <w:r w:rsidR="00EE4FC3">
        <w:t xml:space="preserve"> </w:t>
      </w:r>
      <w:r w:rsidR="00581CF7" w:rsidRPr="00382917">
        <w:t>himself</w:t>
      </w:r>
      <w:r w:rsidR="00EE4FC3">
        <w:t xml:space="preserve"> </w:t>
      </w:r>
      <w:r w:rsidR="00581CF7" w:rsidRPr="00382917">
        <w:t>would</w:t>
      </w:r>
      <w:r w:rsidR="00EE4FC3">
        <w:t xml:space="preserve"> </w:t>
      </w:r>
      <w:r w:rsidR="00581CF7" w:rsidRPr="00382917">
        <w:t>be</w:t>
      </w:r>
      <w:r w:rsidR="00EE4FC3">
        <w:t xml:space="preserve"> </w:t>
      </w:r>
      <w:r w:rsidR="00581CF7" w:rsidRPr="00382917">
        <w:t>put</w:t>
      </w:r>
      <w:r w:rsidR="00EE4FC3">
        <w:t xml:space="preserve"> </w:t>
      </w:r>
      <w:r w:rsidR="00581CF7" w:rsidRPr="00382917">
        <w:t>to</w:t>
      </w:r>
      <w:r w:rsidR="00EE4FC3">
        <w:t xml:space="preserve"> </w:t>
      </w:r>
      <w:r w:rsidR="00581CF7" w:rsidRPr="00382917">
        <w:t>death</w:t>
      </w:r>
      <w:r w:rsidR="00EE4FC3">
        <w:t xml:space="preserve"> </w:t>
      </w:r>
      <w:r w:rsidR="00581CF7" w:rsidRPr="00382917">
        <w:t>instantly.</w:t>
      </w:r>
    </w:p>
    <w:p w:rsidR="00581CF7" w:rsidRPr="00382917" w:rsidRDefault="009C713D" w:rsidP="006D18A4">
      <w:pPr>
        <w:pStyle w:val="Text"/>
      </w:pPr>
      <w:r w:rsidRPr="00382917">
        <w:t>“</w:t>
      </w:r>
      <w:r w:rsidR="00581CF7" w:rsidRPr="00382917">
        <w:t>I</w:t>
      </w:r>
      <w:r w:rsidR="00EE4FC3">
        <w:t xml:space="preserve"> </w:t>
      </w:r>
      <w:r w:rsidR="00581CF7" w:rsidRPr="00382917">
        <w:t>saw</w:t>
      </w:r>
      <w:r w:rsidR="00EE4FC3">
        <w:t xml:space="preserve"> </w:t>
      </w:r>
      <w:r w:rsidR="00581CF7" w:rsidRPr="00382917">
        <w:t>Siyyid</w:t>
      </w:r>
      <w:r w:rsidR="00EE4FC3">
        <w:t xml:space="preserve"> </w:t>
      </w:r>
      <w:r w:rsidR="00581CF7" w:rsidRPr="00382917">
        <w:t>Káẓim</w:t>
      </w:r>
      <w:r w:rsidR="00EE4FC3">
        <w:t xml:space="preserve"> </w:t>
      </w:r>
      <w:r w:rsidR="00581CF7" w:rsidRPr="00382917">
        <w:t>actually</w:t>
      </w:r>
      <w:r w:rsidR="00EE4FC3">
        <w:t xml:space="preserve"> </w:t>
      </w:r>
      <w:r w:rsidR="00581CF7" w:rsidRPr="00382917">
        <w:t>point</w:t>
      </w:r>
      <w:r w:rsidR="00EE4FC3">
        <w:t xml:space="preserve"> </w:t>
      </w:r>
      <w:r w:rsidR="00581CF7" w:rsidRPr="00382917">
        <w:t>out</w:t>
      </w:r>
      <w:r w:rsidR="00EE4FC3">
        <w:t xml:space="preserve"> </w:t>
      </w:r>
      <w:r w:rsidR="00581CF7" w:rsidRPr="00382917">
        <w:t>with</w:t>
      </w:r>
      <w:r w:rsidR="00EE4FC3">
        <w:t xml:space="preserve"> </w:t>
      </w:r>
      <w:r w:rsidR="00581CF7" w:rsidRPr="00382917">
        <w:t>his</w:t>
      </w:r>
      <w:r w:rsidR="00EE4FC3">
        <w:t xml:space="preserve"> </w:t>
      </w:r>
      <w:r w:rsidR="00581CF7" w:rsidRPr="00382917">
        <w:t>finger</w:t>
      </w:r>
      <w:r w:rsidR="00EE4FC3">
        <w:t xml:space="preserve"> </w:t>
      </w:r>
      <w:r w:rsidR="00581CF7" w:rsidRPr="00382917">
        <w:t>the</w:t>
      </w:r>
      <w:r w:rsidR="00EE4FC3">
        <w:t xml:space="preserve"> </w:t>
      </w:r>
      <w:r w:rsidR="00581CF7" w:rsidRPr="00382917">
        <w:t>ray</w:t>
      </w:r>
      <w:r w:rsidR="00EE4FC3">
        <w:t xml:space="preserve"> </w:t>
      </w:r>
      <w:r w:rsidR="00581CF7" w:rsidRPr="00382917">
        <w:t>of</w:t>
      </w:r>
      <w:r w:rsidR="00EE4FC3">
        <w:t xml:space="preserve"> </w:t>
      </w:r>
      <w:r w:rsidR="00581CF7" w:rsidRPr="00382917">
        <w:t>light</w:t>
      </w:r>
      <w:r w:rsidR="00EE4FC3">
        <w:t xml:space="preserve"> </w:t>
      </w:r>
      <w:r w:rsidR="00581CF7" w:rsidRPr="00382917">
        <w:t>that</w:t>
      </w:r>
      <w:r w:rsidR="00EE4FC3">
        <w:t xml:space="preserve"> </w:t>
      </w:r>
      <w:r w:rsidR="00581CF7" w:rsidRPr="00382917">
        <w:t>had</w:t>
      </w:r>
      <w:r w:rsidR="00EE4FC3">
        <w:t xml:space="preserve"> </w:t>
      </w:r>
      <w:r w:rsidR="00581CF7" w:rsidRPr="00382917">
        <w:t>fallen</w:t>
      </w:r>
      <w:r w:rsidR="00EE4FC3">
        <w:t xml:space="preserve"> </w:t>
      </w:r>
      <w:r w:rsidR="00581CF7" w:rsidRPr="00382917">
        <w:t>on</w:t>
      </w:r>
      <w:r w:rsidR="00EE4FC3">
        <w:t xml:space="preserve"> </w:t>
      </w:r>
      <w:r w:rsidR="00581CF7" w:rsidRPr="00382917">
        <w:t>that</w:t>
      </w:r>
      <w:r w:rsidR="00EE4FC3">
        <w:t xml:space="preserve"> </w:t>
      </w:r>
      <w:r w:rsidR="00581CF7" w:rsidRPr="00382917">
        <w:t>lap,</w:t>
      </w:r>
      <w:r w:rsidR="00EE4FC3">
        <w:t xml:space="preserve"> </w:t>
      </w:r>
      <w:r w:rsidR="00581CF7" w:rsidRPr="00382917">
        <w:t>and</w:t>
      </w:r>
      <w:r w:rsidR="00EE4FC3">
        <w:t xml:space="preserve"> </w:t>
      </w:r>
      <w:r w:rsidR="00581CF7" w:rsidRPr="00382917">
        <w:t>yet</w:t>
      </w:r>
      <w:r w:rsidR="00EE4FC3">
        <w:t xml:space="preserve"> </w:t>
      </w:r>
      <w:r w:rsidR="00581CF7" w:rsidRPr="00382917">
        <w:t>none</w:t>
      </w:r>
      <w:r w:rsidR="00EE4FC3">
        <w:t xml:space="preserve"> </w:t>
      </w:r>
      <w:r w:rsidR="00581CF7" w:rsidRPr="00382917">
        <w:t>of</w:t>
      </w:r>
      <w:r w:rsidR="00EE4FC3">
        <w:t xml:space="preserve"> </w:t>
      </w:r>
      <w:r w:rsidR="00581CF7" w:rsidRPr="00382917">
        <w:t>those</w:t>
      </w:r>
      <w:r w:rsidR="00EE4FC3">
        <w:t xml:space="preserve"> </w:t>
      </w:r>
      <w:r w:rsidR="00581CF7" w:rsidRPr="00382917">
        <w:t>who</w:t>
      </w:r>
      <w:r w:rsidR="00EE4FC3">
        <w:t xml:space="preserve"> </w:t>
      </w:r>
      <w:r w:rsidR="00581CF7" w:rsidRPr="00382917">
        <w:t>were</w:t>
      </w:r>
      <w:r w:rsidR="00EE4FC3">
        <w:t xml:space="preserve"> </w:t>
      </w:r>
      <w:r w:rsidR="00581CF7" w:rsidRPr="00382917">
        <w:t>present</w:t>
      </w:r>
      <w:r w:rsidR="00EE4FC3">
        <w:t xml:space="preserve"> </w:t>
      </w:r>
      <w:r w:rsidR="00581CF7" w:rsidRPr="00382917">
        <w:t>seemed</w:t>
      </w:r>
      <w:r w:rsidR="00EE4FC3">
        <w:t xml:space="preserve"> </w:t>
      </w:r>
      <w:r w:rsidR="00581CF7" w:rsidRPr="00382917">
        <w:t>to</w:t>
      </w:r>
      <w:r w:rsidR="00EE4FC3">
        <w:t xml:space="preserve"> </w:t>
      </w:r>
      <w:r w:rsidR="00581CF7" w:rsidRPr="00382917">
        <w:t>apprehend</w:t>
      </w:r>
      <w:r w:rsidR="00EE4FC3">
        <w:t xml:space="preserve"> </w:t>
      </w:r>
      <w:r w:rsidR="00581CF7" w:rsidRPr="00382917">
        <w:t>its</w:t>
      </w:r>
      <w:r w:rsidR="00EE4FC3">
        <w:t xml:space="preserve"> </w:t>
      </w:r>
      <w:r w:rsidR="00581CF7" w:rsidRPr="00382917">
        <w:t>meaning.</w:t>
      </w:r>
      <w:r w:rsidR="00EE4FC3">
        <w:t xml:space="preserve">  </w:t>
      </w:r>
      <w:r w:rsidR="00581CF7" w:rsidRPr="00382917">
        <w:t>I</w:t>
      </w:r>
      <w:r w:rsidR="00EE4FC3">
        <w:t xml:space="preserve"> </w:t>
      </w:r>
      <w:r w:rsidR="00581CF7" w:rsidRPr="00382917">
        <w:t>was</w:t>
      </w:r>
      <w:r w:rsidR="00EE4FC3">
        <w:t xml:space="preserve"> </w:t>
      </w:r>
      <w:r w:rsidR="00581CF7" w:rsidRPr="00382917">
        <w:t>convinced</w:t>
      </w:r>
      <w:r w:rsidR="00EE4FC3">
        <w:t xml:space="preserve"> </w:t>
      </w:r>
      <w:r w:rsidR="00581CF7" w:rsidRPr="00382917">
        <w:t>that</w:t>
      </w:r>
      <w:r w:rsidR="00EE4FC3">
        <w:t xml:space="preserve"> </w:t>
      </w:r>
      <w:r w:rsidR="00581CF7" w:rsidRPr="00382917">
        <w:t>some</w:t>
      </w:r>
      <w:r w:rsidR="00EE4FC3">
        <w:t xml:space="preserve"> </w:t>
      </w:r>
      <w:r w:rsidR="00581CF7" w:rsidRPr="00382917">
        <w:t>mystery</w:t>
      </w:r>
      <w:r w:rsidR="00EE4FC3">
        <w:t xml:space="preserve"> </w:t>
      </w:r>
      <w:r w:rsidR="00581CF7" w:rsidRPr="00382917">
        <w:t>inscrutable</w:t>
      </w:r>
      <w:r w:rsidR="00EE4FC3">
        <w:t xml:space="preserve"> </w:t>
      </w:r>
      <w:r w:rsidR="00581CF7" w:rsidRPr="00382917">
        <w:t>to</w:t>
      </w:r>
      <w:r w:rsidR="00EE4FC3">
        <w:t xml:space="preserve"> </w:t>
      </w:r>
      <w:r w:rsidR="00581CF7" w:rsidRPr="00382917">
        <w:t>us</w:t>
      </w:r>
      <w:r w:rsidR="00EE4FC3">
        <w:t xml:space="preserve"> </w:t>
      </w:r>
      <w:r w:rsidR="00581CF7" w:rsidRPr="00382917">
        <w:t>all</w:t>
      </w:r>
      <w:r w:rsidR="00EE4FC3">
        <w:t xml:space="preserve"> </w:t>
      </w:r>
      <w:r w:rsidR="00581CF7" w:rsidRPr="00382917">
        <w:t>lay</w:t>
      </w:r>
      <w:r w:rsidR="00EE4FC3">
        <w:t xml:space="preserve"> </w:t>
      </w:r>
      <w:r w:rsidR="00581CF7" w:rsidRPr="00382917">
        <w:t>concealed</w:t>
      </w:r>
      <w:r w:rsidR="00EE4FC3">
        <w:t xml:space="preserve"> </w:t>
      </w:r>
      <w:r w:rsidR="00581CF7" w:rsidRPr="00382917">
        <w:t>in</w:t>
      </w:r>
      <w:r w:rsidR="00EE4FC3">
        <w:t xml:space="preserve"> </w:t>
      </w:r>
      <w:r w:rsidR="00581CF7" w:rsidRPr="00382917">
        <w:t>that</w:t>
      </w:r>
      <w:r w:rsidR="00EE4FC3">
        <w:t xml:space="preserve"> </w:t>
      </w:r>
      <w:r w:rsidR="00581CF7" w:rsidRPr="00382917">
        <w:t>strange</w:t>
      </w:r>
      <w:r w:rsidR="00EE4FC3">
        <w:t xml:space="preserve"> </w:t>
      </w:r>
      <w:r w:rsidR="00581CF7" w:rsidRPr="00382917">
        <w:t>and</w:t>
      </w:r>
      <w:r w:rsidR="00EE4FC3">
        <w:t xml:space="preserve"> </w:t>
      </w:r>
      <w:r w:rsidR="00581CF7" w:rsidRPr="00382917">
        <w:t>attractive</w:t>
      </w:r>
      <w:r w:rsidR="00EE4FC3">
        <w:t xml:space="preserve"> </w:t>
      </w:r>
      <w:r w:rsidR="00581CF7" w:rsidRPr="00382917">
        <w:t>youth.</w:t>
      </w:r>
    </w:p>
    <w:p w:rsidR="00581CF7" w:rsidRPr="00382917" w:rsidRDefault="009C713D" w:rsidP="006D18A4">
      <w:pPr>
        <w:pStyle w:val="Text"/>
      </w:pPr>
      <w:r w:rsidRPr="00382917">
        <w:t>“</w:t>
      </w:r>
      <w:r w:rsidR="00581CF7" w:rsidRPr="00382917">
        <w:t>I</w:t>
      </w:r>
      <w:r w:rsidR="00EE4FC3">
        <w:t xml:space="preserve"> </w:t>
      </w:r>
      <w:r w:rsidR="00581CF7" w:rsidRPr="00382917">
        <w:t>often</w:t>
      </w:r>
      <w:r w:rsidR="00EE4FC3">
        <w:t xml:space="preserve"> </w:t>
      </w:r>
      <w:r w:rsidR="00581CF7" w:rsidRPr="00382917">
        <w:t>felt</w:t>
      </w:r>
      <w:r w:rsidR="00EE4FC3">
        <w:t xml:space="preserve"> </w:t>
      </w:r>
      <w:r w:rsidR="00581CF7" w:rsidRPr="00382917">
        <w:t>the</w:t>
      </w:r>
      <w:r w:rsidR="00EE4FC3">
        <w:t xml:space="preserve"> </w:t>
      </w:r>
      <w:r w:rsidR="00581CF7" w:rsidRPr="00382917">
        <w:t>urge</w:t>
      </w:r>
      <w:r w:rsidR="00EE4FC3">
        <w:t xml:space="preserve"> </w:t>
      </w:r>
      <w:r w:rsidR="00581CF7" w:rsidRPr="00382917">
        <w:t>to</w:t>
      </w:r>
      <w:r w:rsidR="00EE4FC3">
        <w:t xml:space="preserve"> </w:t>
      </w:r>
      <w:r w:rsidR="00581CF7" w:rsidRPr="00382917">
        <w:t>seek</w:t>
      </w:r>
      <w:r w:rsidR="00EE4FC3">
        <w:t xml:space="preserve"> </w:t>
      </w:r>
      <w:r w:rsidR="00581CF7" w:rsidRPr="00382917">
        <w:t>his</w:t>
      </w:r>
      <w:r w:rsidR="00EE4FC3">
        <w:t xml:space="preserve"> </w:t>
      </w:r>
      <w:r w:rsidR="00581CF7" w:rsidRPr="00382917">
        <w:t>presence,</w:t>
      </w:r>
      <w:r w:rsidR="00EE4FC3">
        <w:t xml:space="preserve"> </w:t>
      </w:r>
      <w:r w:rsidR="00581CF7" w:rsidRPr="00382917">
        <w:t>but</w:t>
      </w:r>
      <w:r w:rsidR="00EE4FC3">
        <w:t xml:space="preserve"> </w:t>
      </w:r>
      <w:r w:rsidR="00581CF7" w:rsidRPr="00382917">
        <w:t>every</w:t>
      </w:r>
      <w:r w:rsidR="00EE4FC3">
        <w:t xml:space="preserve"> </w:t>
      </w:r>
      <w:r w:rsidR="00581CF7" w:rsidRPr="00382917">
        <w:t>time</w:t>
      </w:r>
      <w:r w:rsidR="00EE4FC3">
        <w:t xml:space="preserve"> </w:t>
      </w:r>
      <w:r w:rsidR="00581CF7" w:rsidRPr="00382917">
        <w:t>I</w:t>
      </w:r>
      <w:r w:rsidR="00EE4FC3">
        <w:t xml:space="preserve"> </w:t>
      </w:r>
      <w:r w:rsidR="00581CF7" w:rsidRPr="00382917">
        <w:t>ventured</w:t>
      </w:r>
      <w:r w:rsidR="00EE4FC3">
        <w:t xml:space="preserve"> </w:t>
      </w:r>
      <w:r w:rsidR="00581CF7" w:rsidRPr="00382917">
        <w:t>an</w:t>
      </w:r>
      <w:r w:rsidR="00EE4FC3">
        <w:t xml:space="preserve"> </w:t>
      </w:r>
      <w:r w:rsidR="00581CF7" w:rsidRPr="00382917">
        <w:t>approach,</w:t>
      </w:r>
      <w:r w:rsidR="00EE4FC3">
        <w:t xml:space="preserve"> </w:t>
      </w:r>
      <w:r w:rsidR="00581CF7" w:rsidRPr="00382917">
        <w:t>a</w:t>
      </w:r>
      <w:r w:rsidR="00EE4FC3">
        <w:t xml:space="preserve"> </w:t>
      </w:r>
      <w:r w:rsidR="00581CF7" w:rsidRPr="00382917">
        <w:t>force</w:t>
      </w:r>
      <w:r w:rsidR="00EE4FC3">
        <w:t xml:space="preserve"> </w:t>
      </w:r>
      <w:r w:rsidR="00581CF7" w:rsidRPr="00382917">
        <w:t>I</w:t>
      </w:r>
      <w:r w:rsidR="00EE4FC3">
        <w:t xml:space="preserve"> </w:t>
      </w:r>
      <w:r w:rsidR="00581CF7" w:rsidRPr="00382917">
        <w:t>could</w:t>
      </w:r>
      <w:r w:rsidR="00EE4FC3">
        <w:t xml:space="preserve"> </w:t>
      </w:r>
      <w:r w:rsidR="00581CF7" w:rsidRPr="00382917">
        <w:t>neither</w:t>
      </w:r>
      <w:r w:rsidR="00EE4FC3">
        <w:t xml:space="preserve"> </w:t>
      </w:r>
      <w:r w:rsidR="00581CF7" w:rsidRPr="00382917">
        <w:t>explain</w:t>
      </w:r>
      <w:r w:rsidR="00EE4FC3">
        <w:t xml:space="preserve"> </w:t>
      </w:r>
      <w:r w:rsidR="00581CF7" w:rsidRPr="00382917">
        <w:t>nor</w:t>
      </w:r>
      <w:r w:rsidR="00EE4FC3">
        <w:t xml:space="preserve"> </w:t>
      </w:r>
      <w:r w:rsidR="00581CF7" w:rsidRPr="00382917">
        <w:t>resist</w:t>
      </w:r>
      <w:r w:rsidR="00EE4FC3">
        <w:t xml:space="preserve"> </w:t>
      </w:r>
      <w:r w:rsidR="00581CF7" w:rsidRPr="00382917">
        <w:t>detained</w:t>
      </w:r>
      <w:r w:rsidR="00EE4FC3">
        <w:t xml:space="preserve"> </w:t>
      </w:r>
      <w:r w:rsidR="00581CF7" w:rsidRPr="00382917">
        <w:t>me.</w:t>
      </w:r>
      <w:r w:rsidR="00EE4FC3">
        <w:t xml:space="preserve">  </w:t>
      </w:r>
      <w:r w:rsidR="00581CF7" w:rsidRPr="00382917">
        <w:t>My</w:t>
      </w:r>
      <w:r w:rsidR="00EE4FC3">
        <w:t xml:space="preserve"> </w:t>
      </w:r>
      <w:r w:rsidR="00581CF7" w:rsidRPr="00382917">
        <w:t>inquiries</w:t>
      </w:r>
      <w:r w:rsidR="00EE4FC3">
        <w:t xml:space="preserve"> </w:t>
      </w:r>
      <w:r w:rsidR="00581CF7" w:rsidRPr="00382917">
        <w:t>elicited</w:t>
      </w:r>
      <w:r w:rsidR="00EE4FC3">
        <w:t xml:space="preserve"> </w:t>
      </w:r>
      <w:r w:rsidR="00581CF7" w:rsidRPr="00382917">
        <w:t>the</w:t>
      </w:r>
      <w:r w:rsidR="00EE4FC3">
        <w:t xml:space="preserve"> </w:t>
      </w:r>
      <w:r w:rsidR="00581CF7" w:rsidRPr="00382917">
        <w:t>information</w:t>
      </w:r>
      <w:r w:rsidR="00EE4FC3">
        <w:t xml:space="preserve"> </w:t>
      </w:r>
      <w:r w:rsidR="00581CF7" w:rsidRPr="00382917">
        <w:t>that</w:t>
      </w:r>
      <w:r w:rsidR="00EE4FC3">
        <w:t xml:space="preserve"> </w:t>
      </w:r>
      <w:r w:rsidR="00581CF7" w:rsidRPr="00382917">
        <w:t>he</w:t>
      </w:r>
      <w:r w:rsidR="00EE4FC3">
        <w:t xml:space="preserve"> </w:t>
      </w:r>
      <w:r w:rsidR="00581CF7" w:rsidRPr="00382917">
        <w:t>was</w:t>
      </w:r>
      <w:r w:rsidR="00EE4FC3">
        <w:t xml:space="preserve"> </w:t>
      </w:r>
      <w:r w:rsidR="00581CF7" w:rsidRPr="00382917">
        <w:t>a</w:t>
      </w:r>
      <w:r w:rsidR="00EE4FC3">
        <w:t xml:space="preserve"> </w:t>
      </w:r>
      <w:r w:rsidR="00581CF7" w:rsidRPr="00382917">
        <w:t>resident</w:t>
      </w:r>
      <w:r w:rsidR="00EE4FC3">
        <w:t xml:space="preserve"> </w:t>
      </w:r>
      <w:r w:rsidR="00581CF7" w:rsidRPr="00382917">
        <w:t>of</w:t>
      </w:r>
      <w:r w:rsidR="00EE4FC3">
        <w:t xml:space="preserve"> </w:t>
      </w:r>
      <w:r w:rsidR="008A073E" w:rsidRPr="00382917">
        <w:rPr>
          <w:u w:val="single"/>
        </w:rPr>
        <w:t>Sh</w:t>
      </w:r>
      <w:r w:rsidR="008A073E" w:rsidRPr="00382917">
        <w:t>íráz</w:t>
      </w:r>
      <w:r w:rsidR="00EE4FC3">
        <w:t xml:space="preserve"> </w:t>
      </w:r>
      <w:r w:rsidR="00581CF7" w:rsidRPr="00382917">
        <w:t>and</w:t>
      </w:r>
      <w:r w:rsidR="00EE4FC3">
        <w:t xml:space="preserve"> </w:t>
      </w:r>
      <w:r w:rsidR="00581CF7" w:rsidRPr="00382917">
        <w:t>a</w:t>
      </w:r>
      <w:r w:rsidR="00EE4FC3">
        <w:t xml:space="preserve"> </w:t>
      </w:r>
      <w:r w:rsidR="00581CF7" w:rsidRPr="00382917">
        <w:t>merchant</w:t>
      </w:r>
      <w:r w:rsidR="00EE4FC3">
        <w:t xml:space="preserve"> </w:t>
      </w:r>
      <w:r w:rsidR="00581CF7" w:rsidRPr="00382917">
        <w:t>by</w:t>
      </w:r>
      <w:r w:rsidR="00EE4FC3">
        <w:t xml:space="preserve"> </w:t>
      </w:r>
      <w:r w:rsidR="00581CF7" w:rsidRPr="00382917">
        <w:t>profession.</w:t>
      </w:r>
      <w:r w:rsidR="00EE4FC3">
        <w:t xml:space="preserve">  </w:t>
      </w:r>
      <w:r w:rsidR="00581CF7" w:rsidRPr="00382917">
        <w:t>He</w:t>
      </w:r>
      <w:r w:rsidR="00EE4FC3">
        <w:t xml:space="preserve"> </w:t>
      </w:r>
      <w:r w:rsidR="00581CF7" w:rsidRPr="00382917">
        <w:t>had</w:t>
      </w:r>
      <w:r w:rsidR="00EE4FC3">
        <w:t xml:space="preserve"> </w:t>
      </w:r>
      <w:r w:rsidR="00581CF7" w:rsidRPr="00382917">
        <w:t>set</w:t>
      </w:r>
      <w:r w:rsidR="00EE4FC3">
        <w:t xml:space="preserve"> </w:t>
      </w:r>
      <w:r w:rsidR="00581CF7" w:rsidRPr="00382917">
        <w:t>my</w:t>
      </w:r>
      <w:r w:rsidR="00EE4FC3">
        <w:t xml:space="preserve"> </w:t>
      </w:r>
      <w:r w:rsidR="00581CF7" w:rsidRPr="00382917">
        <w:t>heart</w:t>
      </w:r>
      <w:r w:rsidR="00EE4FC3">
        <w:t xml:space="preserve"> </w:t>
      </w:r>
      <w:r w:rsidR="00581CF7" w:rsidRPr="00382917">
        <w:t>aflame,</w:t>
      </w:r>
      <w:r w:rsidR="00EE4FC3">
        <w:t xml:space="preserve"> </w:t>
      </w:r>
      <w:r w:rsidR="00581CF7" w:rsidRPr="00382917">
        <w:t>and</w:t>
      </w:r>
      <w:r w:rsidR="00EE4FC3">
        <w:t xml:space="preserve"> </w:t>
      </w:r>
      <w:r w:rsidR="00581CF7" w:rsidRPr="00382917">
        <w:t>the</w:t>
      </w:r>
      <w:r w:rsidR="00EE4FC3">
        <w:t xml:space="preserve"> </w:t>
      </w:r>
      <w:r w:rsidR="00581CF7" w:rsidRPr="00382917">
        <w:t>memory</w:t>
      </w:r>
      <w:r w:rsidR="00EE4FC3">
        <w:t xml:space="preserve"> </w:t>
      </w:r>
      <w:r w:rsidR="00581CF7" w:rsidRPr="00382917">
        <w:t>of</w:t>
      </w:r>
      <w:r w:rsidR="00EE4FC3">
        <w:t xml:space="preserve"> </w:t>
      </w:r>
      <w:r w:rsidR="00581CF7" w:rsidRPr="00382917">
        <w:t>him</w:t>
      </w:r>
      <w:r w:rsidR="00EE4FC3">
        <w:t xml:space="preserve"> </w:t>
      </w:r>
      <w:r w:rsidR="00581CF7" w:rsidRPr="00382917">
        <w:t>haunted</w:t>
      </w:r>
      <w:r w:rsidR="00EE4FC3">
        <w:t xml:space="preserve"> </w:t>
      </w:r>
      <w:r w:rsidR="00581CF7" w:rsidRPr="00382917">
        <w:t>me.</w:t>
      </w:r>
      <w:r w:rsidRPr="00382917">
        <w:t>”</w:t>
      </w:r>
    </w:p>
    <w:p w:rsidR="00581CF7" w:rsidRPr="00382917" w:rsidRDefault="00581CF7" w:rsidP="006D18A4">
      <w:pPr>
        <w:pStyle w:val="Text"/>
      </w:pPr>
      <w:r w:rsidRPr="00382917">
        <w:t>Siyyid</w:t>
      </w:r>
      <w:r w:rsidR="00EE4FC3">
        <w:t xml:space="preserve"> </w:t>
      </w:r>
      <w:r w:rsidRPr="00382917">
        <w:t>Káẓim</w:t>
      </w:r>
      <w:r w:rsidR="00EE4FC3">
        <w:t xml:space="preserve"> </w:t>
      </w:r>
      <w:r w:rsidRPr="00382917">
        <w:t>became</w:t>
      </w:r>
      <w:r w:rsidR="00EE4FC3">
        <w:t xml:space="preserve"> </w:t>
      </w:r>
      <w:r w:rsidRPr="00382917">
        <w:t>increasingly</w:t>
      </w:r>
      <w:r w:rsidR="00EE4FC3">
        <w:t xml:space="preserve"> </w:t>
      </w:r>
      <w:r w:rsidRPr="00382917">
        <w:t>aware</w:t>
      </w:r>
      <w:r w:rsidR="00EE4FC3">
        <w:t xml:space="preserve"> </w:t>
      </w:r>
      <w:r w:rsidRPr="00382917">
        <w:t>of</w:t>
      </w:r>
      <w:r w:rsidR="00EE4FC3">
        <w:t xml:space="preserve"> </w:t>
      </w:r>
      <w:r w:rsidRPr="00382917">
        <w:t>the</w:t>
      </w:r>
      <w:r w:rsidR="00EE4FC3">
        <w:t xml:space="preserve"> </w:t>
      </w:r>
      <w:r w:rsidRPr="00382917">
        <w:t>approach</w:t>
      </w:r>
      <w:r w:rsidR="00EE4FC3">
        <w:t xml:space="preserve"> </w:t>
      </w:r>
      <w:r w:rsidRPr="00382917">
        <w:t>of</w:t>
      </w:r>
      <w:r w:rsidR="00EE4FC3">
        <w:t xml:space="preserve"> </w:t>
      </w:r>
      <w:r w:rsidRPr="00382917">
        <w:t>the</w:t>
      </w:r>
      <w:r w:rsidR="00EE4FC3">
        <w:t xml:space="preserve"> </w:t>
      </w:r>
      <w:r w:rsidRPr="00382917">
        <w:t>hour</w:t>
      </w:r>
      <w:r w:rsidR="00EE4FC3">
        <w:t xml:space="preserve"> </w:t>
      </w:r>
      <w:r w:rsidRPr="00382917">
        <w:t>at</w:t>
      </w:r>
      <w:r w:rsidR="00EE4FC3">
        <w:t xml:space="preserve"> </w:t>
      </w:r>
      <w:r w:rsidRPr="00382917">
        <w:t>which</w:t>
      </w:r>
      <w:r w:rsidR="00EE4FC3">
        <w:t xml:space="preserve"> </w:t>
      </w:r>
      <w:r w:rsidRPr="00382917">
        <w:t>the</w:t>
      </w:r>
      <w:r w:rsidR="00EE4FC3">
        <w:t xml:space="preserve"> </w:t>
      </w:r>
      <w:r w:rsidRPr="00382917">
        <w:t>Promised</w:t>
      </w:r>
      <w:r w:rsidR="00EE4FC3">
        <w:t xml:space="preserve"> </w:t>
      </w:r>
      <w:r w:rsidRPr="00382917">
        <w:t>One</w:t>
      </w:r>
      <w:r w:rsidR="00EE4FC3">
        <w:t xml:space="preserve"> </w:t>
      </w:r>
      <w:r w:rsidRPr="00382917">
        <w:t>was</w:t>
      </w:r>
      <w:r w:rsidR="00EE4FC3">
        <w:t xml:space="preserve"> </w:t>
      </w:r>
      <w:r w:rsidRPr="00382917">
        <w:t>to</w:t>
      </w:r>
      <w:r w:rsidR="00EE4FC3">
        <w:t xml:space="preserve"> </w:t>
      </w:r>
      <w:r w:rsidRPr="00382917">
        <w:t>be</w:t>
      </w:r>
      <w:r w:rsidR="00EE4FC3">
        <w:t xml:space="preserve"> </w:t>
      </w:r>
      <w:r w:rsidRPr="00382917">
        <w:t>revealed.</w:t>
      </w:r>
      <w:r w:rsidR="00EE4FC3">
        <w:t xml:space="preserve">  </w:t>
      </w:r>
      <w:r w:rsidRPr="00382917">
        <w:t>There</w:t>
      </w:r>
      <w:r w:rsidR="00EE4FC3">
        <w:t xml:space="preserve"> </w:t>
      </w:r>
      <w:r w:rsidRPr="00382917">
        <w:t>is</w:t>
      </w:r>
      <w:r w:rsidR="00EE4FC3">
        <w:t xml:space="preserve"> </w:t>
      </w:r>
      <w:r w:rsidRPr="00382917">
        <w:t>conclusive</w:t>
      </w:r>
      <w:r w:rsidR="00EE4FC3">
        <w:t xml:space="preserve"> </w:t>
      </w:r>
      <w:r w:rsidRPr="00382917">
        <w:t>evidence</w:t>
      </w:r>
      <w:r w:rsidR="00EE4FC3">
        <w:t xml:space="preserve"> </w:t>
      </w:r>
      <w:r w:rsidRPr="00382917">
        <w:t>that</w:t>
      </w:r>
      <w:r w:rsidR="00EE4FC3">
        <w:t xml:space="preserve"> </w:t>
      </w:r>
      <w:r w:rsidRPr="00382917">
        <w:t>he</w:t>
      </w:r>
      <w:r w:rsidR="00EE4FC3">
        <w:t xml:space="preserve"> </w:t>
      </w:r>
      <w:r w:rsidRPr="00382917">
        <w:t>referred</w:t>
      </w:r>
      <w:r w:rsidR="00EE4FC3">
        <w:t xml:space="preserve"> </w:t>
      </w:r>
      <w:r w:rsidRPr="00382917">
        <w:t>time</w:t>
      </w:r>
      <w:r w:rsidR="00EE4FC3">
        <w:t xml:space="preserve"> </w:t>
      </w:r>
      <w:r w:rsidRPr="00382917">
        <w:t>and</w:t>
      </w:r>
      <w:r w:rsidR="00EE4FC3">
        <w:t xml:space="preserve"> </w:t>
      </w:r>
      <w:r w:rsidRPr="00382917">
        <w:t>again</w:t>
      </w:r>
      <w:r w:rsidR="00EE4FC3">
        <w:t xml:space="preserve"> </w:t>
      </w:r>
      <w:r w:rsidRPr="00382917">
        <w:t>to</w:t>
      </w:r>
      <w:r w:rsidR="00EE4FC3">
        <w:t xml:space="preserve"> </w:t>
      </w:r>
      <w:r w:rsidRPr="00382917">
        <w:t>this</w:t>
      </w:r>
      <w:r w:rsidR="00EE4FC3">
        <w:t xml:space="preserve"> </w:t>
      </w:r>
      <w:r w:rsidRPr="00382917">
        <w:t>event.</w:t>
      </w:r>
      <w:r w:rsidR="00EE4FC3">
        <w:t xml:space="preserve">  </w:t>
      </w:r>
      <w:r w:rsidRPr="00382917">
        <w:t>He</w:t>
      </w:r>
      <w:r w:rsidR="00EE4FC3">
        <w:t xml:space="preserve"> </w:t>
      </w:r>
      <w:r w:rsidRPr="00382917">
        <w:t>was</w:t>
      </w:r>
      <w:r w:rsidR="00EE4FC3">
        <w:t xml:space="preserve"> </w:t>
      </w:r>
      <w:r w:rsidRPr="00382917">
        <w:t>fond</w:t>
      </w:r>
      <w:r w:rsidR="00EE4FC3">
        <w:t xml:space="preserve"> </w:t>
      </w:r>
      <w:r w:rsidRPr="00382917">
        <w:t>of</w:t>
      </w:r>
      <w:r w:rsidR="00EE4FC3">
        <w:t xml:space="preserve"> </w:t>
      </w:r>
      <w:r w:rsidRPr="00382917">
        <w:t>saying:</w:t>
      </w:r>
      <w:r w:rsidR="00EE4FC3">
        <w:t xml:space="preserve">  </w:t>
      </w:r>
      <w:r w:rsidR="009C713D" w:rsidRPr="00382917">
        <w:t>“</w:t>
      </w:r>
      <w:r w:rsidRPr="00382917">
        <w:t>I</w:t>
      </w:r>
      <w:r w:rsidR="00EE4FC3">
        <w:t xml:space="preserve"> </w:t>
      </w:r>
      <w:r w:rsidRPr="00382917">
        <w:t>see</w:t>
      </w:r>
      <w:r w:rsidR="00EE4FC3">
        <w:t xml:space="preserve"> </w:t>
      </w:r>
      <w:r w:rsidRPr="00382917">
        <w:t>him</w:t>
      </w:r>
      <w:r w:rsidR="00EE4FC3">
        <w:t xml:space="preserve"> </w:t>
      </w:r>
      <w:r w:rsidRPr="00382917">
        <w:t>as</w:t>
      </w:r>
      <w:r w:rsidR="00EE4FC3">
        <w:t xml:space="preserve"> </w:t>
      </w:r>
      <w:r w:rsidRPr="00382917">
        <w:t>the</w:t>
      </w:r>
      <w:r w:rsidR="00EE4FC3">
        <w:t xml:space="preserve"> </w:t>
      </w:r>
      <w:r w:rsidRPr="00382917">
        <w:t>rising</w:t>
      </w:r>
      <w:r w:rsidR="00EE4FC3">
        <w:t xml:space="preserve"> </w:t>
      </w:r>
      <w:r w:rsidRPr="00382917">
        <w:t>sun.</w:t>
      </w:r>
      <w:r w:rsidR="009C713D" w:rsidRPr="00382917">
        <w:t>”</w:t>
      </w:r>
      <w:r w:rsidR="00EE4FC3">
        <w:t xml:space="preserve">  </w:t>
      </w:r>
      <w:r w:rsidRPr="00382917">
        <w:t>He</w:t>
      </w:r>
      <w:r w:rsidR="00EE4FC3">
        <w:t xml:space="preserve"> </w:t>
      </w:r>
      <w:r w:rsidRPr="00382917">
        <w:t>realized</w:t>
      </w:r>
      <w:r w:rsidR="00EE4FC3">
        <w:t xml:space="preserve"> </w:t>
      </w:r>
      <w:r w:rsidRPr="00382917">
        <w:t>how</w:t>
      </w:r>
      <w:r w:rsidR="00EE4FC3">
        <w:t xml:space="preserve"> </w:t>
      </w:r>
      <w:r w:rsidRPr="00382917">
        <w:t>thick</w:t>
      </w:r>
      <w:r w:rsidR="00EE4FC3">
        <w:t xml:space="preserve"> </w:t>
      </w:r>
      <w:r w:rsidRPr="00382917">
        <w:t>the</w:t>
      </w:r>
      <w:r w:rsidR="00EE4FC3">
        <w:t xml:space="preserve"> </w:t>
      </w:r>
      <w:r w:rsidRPr="00382917">
        <w:t>veils</w:t>
      </w:r>
      <w:r w:rsidR="00EE4FC3">
        <w:t xml:space="preserve"> </w:t>
      </w:r>
      <w:r w:rsidRPr="00382917">
        <w:t>were</w:t>
      </w:r>
      <w:r w:rsidR="00EE4FC3">
        <w:t xml:space="preserve"> </w:t>
      </w:r>
      <w:r w:rsidRPr="00382917">
        <w:t>that</w:t>
      </w:r>
      <w:r w:rsidR="00EE4FC3">
        <w:t xml:space="preserve"> </w:t>
      </w:r>
      <w:r w:rsidRPr="00382917">
        <w:t>prevented</w:t>
      </w:r>
      <w:r w:rsidR="00EE4FC3">
        <w:t xml:space="preserve"> </w:t>
      </w:r>
      <w:r w:rsidRPr="00382917">
        <w:t>even</w:t>
      </w:r>
      <w:r w:rsidR="00EE4FC3">
        <w:t xml:space="preserve"> </w:t>
      </w:r>
      <w:r w:rsidRPr="00382917">
        <w:t>his</w:t>
      </w:r>
      <w:r w:rsidR="00EE4FC3">
        <w:t xml:space="preserve"> </w:t>
      </w:r>
      <w:r w:rsidRPr="00382917">
        <w:t>own</w:t>
      </w:r>
      <w:r w:rsidR="00EE4FC3">
        <w:t xml:space="preserve"> </w:t>
      </w:r>
      <w:r w:rsidRPr="00382917">
        <w:t>followers</w:t>
      </w:r>
      <w:r w:rsidR="00EE4FC3">
        <w:t xml:space="preserve"> </w:t>
      </w:r>
      <w:r w:rsidRPr="00382917">
        <w:t>from</w:t>
      </w:r>
      <w:r w:rsidR="00EE4FC3">
        <w:t xml:space="preserve"> </w:t>
      </w:r>
      <w:r w:rsidRPr="00382917">
        <w:t>understanding</w:t>
      </w:r>
      <w:r w:rsidR="00EE4FC3">
        <w:t xml:space="preserve"> </w:t>
      </w:r>
      <w:r w:rsidRPr="00382917">
        <w:t>the</w:t>
      </w:r>
      <w:r w:rsidR="00EE4FC3">
        <w:t xml:space="preserve"> </w:t>
      </w:r>
      <w:r w:rsidRPr="00382917">
        <w:t>truth.</w:t>
      </w:r>
      <w:r w:rsidR="00EE4FC3">
        <w:t xml:space="preserve">  </w:t>
      </w:r>
      <w:r w:rsidRPr="00382917">
        <w:t>He</w:t>
      </w:r>
      <w:r w:rsidR="00EE4FC3">
        <w:t xml:space="preserve"> </w:t>
      </w:r>
      <w:r w:rsidRPr="00382917">
        <w:t>kept</w:t>
      </w:r>
      <w:r w:rsidR="00EE4FC3">
        <w:t xml:space="preserve"> </w:t>
      </w:r>
      <w:r w:rsidRPr="00382917">
        <w:t>warning</w:t>
      </w:r>
      <w:r w:rsidR="00EE4FC3">
        <w:t xml:space="preserve"> </w:t>
      </w:r>
      <w:r w:rsidRPr="00382917">
        <w:t>them</w:t>
      </w:r>
      <w:r w:rsidR="00EE4FC3">
        <w:t xml:space="preserve"> </w:t>
      </w:r>
      <w:r w:rsidRPr="00382917">
        <w:t>as</w:t>
      </w:r>
      <w:r w:rsidR="00EE4FC3">
        <w:t xml:space="preserve"> </w:t>
      </w:r>
      <w:r w:rsidRPr="00382917">
        <w:t>John</w:t>
      </w:r>
      <w:r w:rsidR="00EE4FC3">
        <w:t xml:space="preserve"> </w:t>
      </w:r>
      <w:r w:rsidRPr="00382917">
        <w:t>the</w:t>
      </w:r>
      <w:r w:rsidR="00EE4FC3">
        <w:t xml:space="preserve"> </w:t>
      </w:r>
      <w:r w:rsidRPr="00382917">
        <w:t>Baptist</w:t>
      </w:r>
      <w:r w:rsidR="00EE4FC3">
        <w:t xml:space="preserve"> </w:t>
      </w:r>
      <w:r w:rsidRPr="00382917">
        <w:t>had</w:t>
      </w:r>
      <w:r w:rsidR="00EE4FC3">
        <w:t xml:space="preserve"> </w:t>
      </w:r>
      <w:r w:rsidRPr="00382917">
        <w:t>warned</w:t>
      </w:r>
      <w:r w:rsidR="00EE4FC3">
        <w:t xml:space="preserve"> </w:t>
      </w:r>
      <w:r w:rsidRPr="00382917">
        <w:t>those</w:t>
      </w:r>
      <w:r w:rsidR="00EE4FC3">
        <w:t xml:space="preserve"> </w:t>
      </w:r>
      <w:r w:rsidRPr="00382917">
        <w:t>who</w:t>
      </w:r>
      <w:r w:rsidR="00EE4FC3">
        <w:t xml:space="preserve"> </w:t>
      </w:r>
      <w:r w:rsidRPr="00382917">
        <w:t>awaited</w:t>
      </w:r>
      <w:r w:rsidR="00EE4FC3">
        <w:t xml:space="preserve"> </w:t>
      </w:r>
      <w:r w:rsidRPr="00382917">
        <w:t>Christ:</w:t>
      </w:r>
      <w:r w:rsidR="00EE4FC3">
        <w:t xml:space="preserve">  </w:t>
      </w:r>
      <w:r w:rsidR="009C713D" w:rsidRPr="00382917">
        <w:t>“</w:t>
      </w:r>
      <w:r w:rsidRPr="00382917">
        <w:t>The</w:t>
      </w:r>
      <w:r w:rsidR="00EE4FC3">
        <w:t xml:space="preserve"> </w:t>
      </w:r>
      <w:r w:rsidRPr="00382917">
        <w:t>kingdom</w:t>
      </w:r>
      <w:r w:rsidR="00EE4FC3">
        <w:t xml:space="preserve"> </w:t>
      </w:r>
      <w:r w:rsidRPr="00382917">
        <w:t>of</w:t>
      </w:r>
      <w:r w:rsidR="00EE4FC3">
        <w:t xml:space="preserve"> </w:t>
      </w:r>
      <w:r w:rsidRPr="00382917">
        <w:t>God</w:t>
      </w:r>
      <w:r w:rsidR="00EE4FC3">
        <w:t xml:space="preserve"> </w:t>
      </w:r>
      <w:r w:rsidRPr="00382917">
        <w:t>is</w:t>
      </w:r>
      <w:r w:rsidR="00EE4FC3">
        <w:t xml:space="preserve"> </w:t>
      </w:r>
      <w:r w:rsidRPr="00382917">
        <w:t>at</w:t>
      </w:r>
      <w:r w:rsidR="00EE4FC3">
        <w:t xml:space="preserve"> </w:t>
      </w:r>
      <w:r w:rsidRPr="00382917">
        <w:t>hand.</w:t>
      </w:r>
      <w:r w:rsidR="009C713D" w:rsidRPr="00382917">
        <w:t>”</w:t>
      </w:r>
      <w:r w:rsidR="00EE4FC3">
        <w:t xml:space="preserve">  </w:t>
      </w:r>
      <w:r w:rsidRPr="00382917">
        <w:t>With</w:t>
      </w:r>
      <w:r w:rsidR="00EE4FC3">
        <w:t xml:space="preserve"> </w:t>
      </w:r>
      <w:r w:rsidRPr="00382917">
        <w:t>care</w:t>
      </w:r>
      <w:r w:rsidR="00EE4FC3">
        <w:t xml:space="preserve"> </w:t>
      </w:r>
      <w:r w:rsidRPr="00382917">
        <w:t>and</w:t>
      </w:r>
      <w:r w:rsidR="00EE4FC3">
        <w:t xml:space="preserve"> </w:t>
      </w:r>
      <w:r w:rsidRPr="00382917">
        <w:t>wisdom</w:t>
      </w:r>
      <w:r w:rsidR="00EE4FC3">
        <w:t xml:space="preserve"> </w:t>
      </w:r>
      <w:r w:rsidRPr="00382917">
        <w:t>he</w:t>
      </w:r>
      <w:r w:rsidR="00EE4FC3">
        <w:t xml:space="preserve"> </w:t>
      </w:r>
      <w:r w:rsidRPr="00382917">
        <w:t>gradually</w:t>
      </w:r>
      <w:r w:rsidR="00EE4FC3">
        <w:t xml:space="preserve"> </w:t>
      </w:r>
      <w:r w:rsidRPr="00382917">
        <w:t>began</w:t>
      </w:r>
      <w:r w:rsidR="00EE4FC3">
        <w:t xml:space="preserve"> </w:t>
      </w:r>
      <w:r w:rsidRPr="00382917">
        <w:t>to</w:t>
      </w:r>
      <w:r w:rsidR="00EE4FC3">
        <w:t xml:space="preserve"> </w:t>
      </w:r>
      <w:r w:rsidRPr="00382917">
        <w:t>remove</w:t>
      </w:r>
      <w:r w:rsidR="00EE4FC3">
        <w:t xml:space="preserve"> </w:t>
      </w:r>
      <w:r w:rsidRPr="00382917">
        <w:t>all</w:t>
      </w:r>
      <w:r w:rsidR="00EE4FC3">
        <w:t xml:space="preserve"> </w:t>
      </w:r>
      <w:r w:rsidRPr="00382917">
        <w:t>the</w:t>
      </w:r>
      <w:r w:rsidR="00EE4FC3">
        <w:t xml:space="preserve"> </w:t>
      </w:r>
      <w:r w:rsidRPr="00382917">
        <w:t>barriers</w:t>
      </w:r>
      <w:r w:rsidR="00EE4FC3">
        <w:t xml:space="preserve"> </w:t>
      </w:r>
      <w:r w:rsidRPr="00382917">
        <w:t>that</w:t>
      </w:r>
      <w:r w:rsidR="00EE4FC3">
        <w:t xml:space="preserve"> </w:t>
      </w:r>
      <w:r w:rsidRPr="00382917">
        <w:t>might</w:t>
      </w:r>
      <w:r w:rsidR="00EE4FC3">
        <w:t xml:space="preserve"> </w:t>
      </w:r>
      <w:r w:rsidRPr="00382917">
        <w:t>stand</w:t>
      </w:r>
      <w:r w:rsidR="00EE4FC3">
        <w:t xml:space="preserve"> </w:t>
      </w:r>
      <w:r w:rsidRPr="00382917">
        <w:t>in</w:t>
      </w:r>
      <w:r w:rsidR="00EE4FC3">
        <w:t xml:space="preserve"> </w:t>
      </w:r>
      <w:r w:rsidRPr="00382917">
        <w:t>the</w:t>
      </w:r>
      <w:r w:rsidR="00EE4FC3">
        <w:t xml:space="preserve"> </w:t>
      </w:r>
      <w:r w:rsidRPr="00382917">
        <w:t>way</w:t>
      </w:r>
      <w:r w:rsidR="00EE4FC3">
        <w:t xml:space="preserve"> </w:t>
      </w:r>
      <w:r w:rsidRPr="00382917">
        <w:t>of</w:t>
      </w:r>
      <w:r w:rsidR="00EE4FC3">
        <w:t xml:space="preserve"> </w:t>
      </w:r>
      <w:r w:rsidRPr="00382917">
        <w:t>their</w:t>
      </w:r>
      <w:r w:rsidR="00EE4FC3">
        <w:t xml:space="preserve"> </w:t>
      </w:r>
      <w:r w:rsidRPr="00382917">
        <w:t>full</w:t>
      </w:r>
      <w:r w:rsidR="00EE4FC3">
        <w:t xml:space="preserve"> </w:t>
      </w:r>
      <w:r w:rsidRPr="00382917">
        <w:t>recognition</w:t>
      </w:r>
      <w:r w:rsidR="00EE4FC3">
        <w:t xml:space="preserve"> </w:t>
      </w:r>
      <w:r w:rsidRPr="00382917">
        <w:t>of</w:t>
      </w:r>
      <w:r w:rsidR="00EE4FC3">
        <w:t xml:space="preserve"> </w:t>
      </w:r>
      <w:r w:rsidRPr="00382917">
        <w:t>that</w:t>
      </w:r>
      <w:r w:rsidR="00EE4FC3">
        <w:t xml:space="preserve"> </w:t>
      </w:r>
      <w:r w:rsidRPr="00382917">
        <w:t>hidden</w:t>
      </w:r>
      <w:r w:rsidR="00EE4FC3">
        <w:t xml:space="preserve"> </w:t>
      </w:r>
      <w:r w:rsidRPr="00382917">
        <w:t>Treasure</w:t>
      </w:r>
      <w:r w:rsidR="00EE4FC3">
        <w:t xml:space="preserve"> </w:t>
      </w:r>
      <w:r w:rsidRPr="00382917">
        <w:t>when</w:t>
      </w:r>
      <w:r w:rsidR="00EE4FC3">
        <w:t xml:space="preserve"> </w:t>
      </w:r>
      <w:r w:rsidRPr="00382917">
        <w:t>it</w:t>
      </w:r>
      <w:r w:rsidR="00EE4FC3">
        <w:t xml:space="preserve"> </w:t>
      </w:r>
      <w:r w:rsidRPr="00382917">
        <w:t>appeared.</w:t>
      </w:r>
    </w:p>
    <w:p w:rsidR="00581CF7" w:rsidRPr="00382917" w:rsidRDefault="009C713D" w:rsidP="006D18A4">
      <w:pPr>
        <w:pStyle w:val="Text"/>
      </w:pPr>
      <w:r w:rsidRPr="00382917">
        <w:t>“</w:t>
      </w:r>
      <w:r w:rsidR="00581CF7" w:rsidRPr="00382917">
        <w:t>Beware,</w:t>
      </w:r>
      <w:r w:rsidR="00EE4FC3">
        <w:t xml:space="preserve"> </w:t>
      </w:r>
      <w:r w:rsidR="00581CF7" w:rsidRPr="00382917">
        <w:t>lest</w:t>
      </w:r>
      <w:r w:rsidR="00EE4FC3">
        <w:t xml:space="preserve"> </w:t>
      </w:r>
      <w:r w:rsidR="00581CF7" w:rsidRPr="00382917">
        <w:t>after</w:t>
      </w:r>
      <w:r w:rsidR="00EE4FC3">
        <w:t xml:space="preserve"> </w:t>
      </w:r>
      <w:r w:rsidR="00581CF7" w:rsidRPr="00382917">
        <w:t>my</w:t>
      </w:r>
      <w:r w:rsidR="00EE4FC3">
        <w:t xml:space="preserve"> </w:t>
      </w:r>
      <w:r w:rsidR="00581CF7" w:rsidRPr="00382917">
        <w:t>departure</w:t>
      </w:r>
      <w:r w:rsidR="00EE4FC3">
        <w:t xml:space="preserve"> </w:t>
      </w:r>
      <w:r w:rsidR="00581CF7" w:rsidRPr="00382917">
        <w:t>the</w:t>
      </w:r>
      <w:r w:rsidR="00EE4FC3">
        <w:t xml:space="preserve"> </w:t>
      </w:r>
      <w:r w:rsidR="00581CF7" w:rsidRPr="00382917">
        <w:t>world</w:t>
      </w:r>
      <w:r w:rsidRPr="00382917">
        <w:t>’</w:t>
      </w:r>
      <w:r w:rsidR="00581CF7" w:rsidRPr="00382917">
        <w:t>s</w:t>
      </w:r>
      <w:r w:rsidR="00EE4FC3">
        <w:t xml:space="preserve"> </w:t>
      </w:r>
      <w:r w:rsidR="00581CF7" w:rsidRPr="00382917">
        <w:t>fleeting</w:t>
      </w:r>
      <w:r w:rsidR="00EE4FC3">
        <w:t xml:space="preserve"> </w:t>
      </w:r>
      <w:r w:rsidR="00581CF7" w:rsidRPr="00382917">
        <w:t>vanities</w:t>
      </w:r>
      <w:r w:rsidR="00EE4FC3">
        <w:t xml:space="preserve"> </w:t>
      </w:r>
      <w:r w:rsidR="00581CF7" w:rsidRPr="00382917">
        <w:t>beguile</w:t>
      </w:r>
      <w:r w:rsidR="00EE4FC3">
        <w:t xml:space="preserve"> </w:t>
      </w:r>
      <w:r w:rsidR="00581CF7" w:rsidRPr="00382917">
        <w:t>you,</w:t>
      </w:r>
      <w:r w:rsidRPr="00382917">
        <w:t>”</w:t>
      </w:r>
      <w:r w:rsidR="00EE4FC3">
        <w:t xml:space="preserve"> </w:t>
      </w:r>
      <w:r w:rsidR="00581CF7" w:rsidRPr="00382917">
        <w:t>he</w:t>
      </w:r>
      <w:r w:rsidR="00EE4FC3">
        <w:t xml:space="preserve"> </w:t>
      </w:r>
      <w:r w:rsidR="00581CF7" w:rsidRPr="00382917">
        <w:t>cautioned</w:t>
      </w:r>
      <w:r w:rsidR="00EE4FC3">
        <w:t xml:space="preserve"> </w:t>
      </w:r>
      <w:r w:rsidR="00581CF7" w:rsidRPr="00382917">
        <w:t>them.</w:t>
      </w:r>
      <w:r w:rsidR="00EE4FC3">
        <w:t xml:space="preserve">  </w:t>
      </w:r>
      <w:r w:rsidRPr="00382917">
        <w:t>“</w:t>
      </w:r>
      <w:r w:rsidR="00581CF7" w:rsidRPr="00382917">
        <w:t>Renounce</w:t>
      </w:r>
      <w:r w:rsidR="00EE4FC3">
        <w:t xml:space="preserve"> </w:t>
      </w:r>
      <w:r w:rsidR="00581CF7" w:rsidRPr="00382917">
        <w:t>all</w:t>
      </w:r>
      <w:r w:rsidR="00EE4FC3">
        <w:t xml:space="preserve"> </w:t>
      </w:r>
      <w:r w:rsidR="00581CF7" w:rsidRPr="00382917">
        <w:t>comfort,</w:t>
      </w:r>
      <w:r w:rsidR="00EE4FC3">
        <w:t xml:space="preserve"> </w:t>
      </w:r>
      <w:r w:rsidR="00581CF7" w:rsidRPr="00382917">
        <w:t>all</w:t>
      </w:r>
      <w:r w:rsidR="00EE4FC3">
        <w:t xml:space="preserve"> </w:t>
      </w:r>
      <w:r w:rsidR="00581CF7" w:rsidRPr="00382917">
        <w:t>earthly</w:t>
      </w:r>
      <w:r w:rsidR="00EE4FC3">
        <w:t xml:space="preserve"> </w:t>
      </w:r>
      <w:r w:rsidR="00581CF7" w:rsidRPr="00382917">
        <w:t>possessions</w:t>
      </w:r>
      <w:r w:rsidR="00EE4FC3">
        <w:t xml:space="preserve"> </w:t>
      </w:r>
      <w:r w:rsidR="00581CF7" w:rsidRPr="00382917">
        <w:t>and</w:t>
      </w:r>
      <w:r w:rsidR="00EE4FC3">
        <w:t xml:space="preserve"> </w:t>
      </w:r>
      <w:r w:rsidR="00581CF7" w:rsidRPr="00382917">
        <w:t>kindred,</w:t>
      </w:r>
      <w:r w:rsidR="00EE4FC3">
        <w:t xml:space="preserve"> </w:t>
      </w:r>
      <w:r w:rsidR="00581CF7" w:rsidRPr="00382917">
        <w:t>in</w:t>
      </w:r>
      <w:r w:rsidR="00EE4FC3">
        <w:t xml:space="preserve"> </w:t>
      </w:r>
      <w:r w:rsidR="00581CF7" w:rsidRPr="00382917">
        <w:t>your</w:t>
      </w:r>
      <w:r w:rsidR="00EE4FC3">
        <w:t xml:space="preserve"> </w:t>
      </w:r>
      <w:r w:rsidR="00581CF7" w:rsidRPr="00382917">
        <w:t>quest</w:t>
      </w:r>
      <w:r w:rsidR="00EE4FC3">
        <w:t xml:space="preserve"> </w:t>
      </w:r>
      <w:r w:rsidR="00581CF7" w:rsidRPr="00382917">
        <w:t>of</w:t>
      </w:r>
      <w:r w:rsidR="00EE4FC3">
        <w:t xml:space="preserve"> </w:t>
      </w:r>
      <w:r w:rsidR="00581CF7" w:rsidRPr="00382917">
        <w:t>Him.</w:t>
      </w:r>
      <w:r w:rsidR="00EE4FC3">
        <w:t xml:space="preserve">  </w:t>
      </w:r>
      <w:r w:rsidR="00581CF7" w:rsidRPr="00382917">
        <w:t>Detach</w:t>
      </w:r>
      <w:r w:rsidR="00EE4FC3">
        <w:t xml:space="preserve"> </w:t>
      </w:r>
      <w:r w:rsidR="00581CF7" w:rsidRPr="00382917">
        <w:t>yourselves</w:t>
      </w:r>
      <w:r w:rsidR="00EE4FC3">
        <w:t xml:space="preserve"> </w:t>
      </w:r>
      <w:r w:rsidR="00581CF7" w:rsidRPr="00382917">
        <w:t>from</w:t>
      </w:r>
      <w:r w:rsidR="00EE4FC3">
        <w:t xml:space="preserve"> </w:t>
      </w:r>
      <w:r w:rsidR="00581CF7" w:rsidRPr="00382917">
        <w:t>all</w:t>
      </w:r>
      <w:r w:rsidR="00EE4FC3">
        <w:t xml:space="preserve"> </w:t>
      </w:r>
      <w:r w:rsidR="00581CF7" w:rsidRPr="00382917">
        <w:t>earthly</w:t>
      </w:r>
      <w:r w:rsidR="00EE4FC3">
        <w:t xml:space="preserve"> </w:t>
      </w:r>
      <w:r w:rsidR="00581CF7" w:rsidRPr="00382917">
        <w:t>things</w:t>
      </w:r>
      <w:r w:rsidR="00EE4FC3">
        <w:t xml:space="preserve"> </w:t>
      </w:r>
      <w:r w:rsidR="00581CF7" w:rsidRPr="00382917">
        <w:t>and</w:t>
      </w:r>
      <w:r w:rsidR="00EE4FC3">
        <w:t xml:space="preserve"> </w:t>
      </w:r>
      <w:r w:rsidR="00581CF7" w:rsidRPr="00382917">
        <w:t>humbly</w:t>
      </w:r>
      <w:r w:rsidR="00EE4FC3">
        <w:t xml:space="preserve"> </w:t>
      </w:r>
      <w:r w:rsidR="00581CF7" w:rsidRPr="00382917">
        <w:t>beseech</w:t>
      </w:r>
      <w:r w:rsidR="00EE4FC3">
        <w:t xml:space="preserve"> </w:t>
      </w:r>
      <w:r w:rsidR="00581CF7" w:rsidRPr="00382917">
        <w:t>God</w:t>
      </w:r>
      <w:r w:rsidR="00EE4FC3">
        <w:t xml:space="preserve"> </w:t>
      </w:r>
      <w:r w:rsidR="00581CF7" w:rsidRPr="00382917">
        <w:t>to</w:t>
      </w:r>
      <w:r w:rsidR="00EE4FC3">
        <w:t xml:space="preserve"> </w:t>
      </w:r>
      <w:r w:rsidR="00581CF7" w:rsidRPr="00382917">
        <w:t>guide</w:t>
      </w:r>
      <w:r w:rsidR="00EE4FC3">
        <w:t xml:space="preserve"> </w:t>
      </w:r>
      <w:r w:rsidR="00581CF7" w:rsidRPr="00382917">
        <w:t>you.</w:t>
      </w:r>
      <w:r w:rsidR="00EE4FC3">
        <w:t xml:space="preserve">  </w:t>
      </w:r>
      <w:r w:rsidR="00581CF7" w:rsidRPr="00382917">
        <w:t>Never</w:t>
      </w:r>
      <w:r w:rsidR="00EE4FC3">
        <w:t xml:space="preserve"> </w:t>
      </w:r>
      <w:r w:rsidR="00581CF7" w:rsidRPr="00382917">
        <w:t>relax</w:t>
      </w:r>
      <w:r w:rsidR="00EE4FC3">
        <w:t xml:space="preserve"> </w:t>
      </w:r>
      <w:r w:rsidR="00581CF7" w:rsidRPr="00382917">
        <w:t>in</w:t>
      </w:r>
      <w:r w:rsidR="00EE4FC3">
        <w:t xml:space="preserve"> </w:t>
      </w:r>
      <w:r w:rsidR="00581CF7" w:rsidRPr="00382917">
        <w:t>your</w:t>
      </w:r>
      <w:r w:rsidR="00EE4FC3">
        <w:t xml:space="preserve"> </w:t>
      </w:r>
      <w:r w:rsidR="00581CF7" w:rsidRPr="00382917">
        <w:t>determination</w:t>
      </w:r>
      <w:r w:rsidR="00EE4FC3">
        <w:t xml:space="preserve"> </w:t>
      </w:r>
      <w:r w:rsidR="00581CF7" w:rsidRPr="00382917">
        <w:t>to</w:t>
      </w:r>
      <w:r w:rsidR="00EE4FC3">
        <w:t xml:space="preserve"> </w:t>
      </w:r>
      <w:r w:rsidR="00581CF7" w:rsidRPr="00382917">
        <w:t>seek</w:t>
      </w:r>
      <w:r w:rsidR="00EE4FC3">
        <w:t xml:space="preserve"> </w:t>
      </w:r>
      <w:r w:rsidR="00581CF7" w:rsidRPr="00382917">
        <w:t>and</w:t>
      </w:r>
      <w:r w:rsidR="00EE4FC3">
        <w:t xml:space="preserve"> </w:t>
      </w:r>
      <w:r w:rsidR="00581CF7" w:rsidRPr="00382917">
        <w:t>find</w:t>
      </w:r>
      <w:r w:rsidR="00EE4FC3">
        <w:t xml:space="preserve"> </w:t>
      </w:r>
      <w:r w:rsidR="00581CF7" w:rsidRPr="00382917">
        <w:t>Him.</w:t>
      </w:r>
      <w:r w:rsidR="00EE4FC3">
        <w:t xml:space="preserve">  </w:t>
      </w:r>
      <w:r w:rsidR="00581CF7" w:rsidRPr="00382917">
        <w:t>Be</w:t>
      </w:r>
      <w:r w:rsidR="00EE4FC3">
        <w:t xml:space="preserve"> </w:t>
      </w:r>
      <w:r w:rsidR="00581CF7" w:rsidRPr="00382917">
        <w:t>firm</w:t>
      </w:r>
      <w:r w:rsidR="00EE4FC3">
        <w:t xml:space="preserve"> </w:t>
      </w:r>
      <w:r w:rsidR="00581CF7" w:rsidRPr="00382917">
        <w:t>until</w:t>
      </w:r>
      <w:r w:rsidR="00EE4FC3">
        <w:t xml:space="preserve"> </w:t>
      </w:r>
      <w:r w:rsidR="00581CF7" w:rsidRPr="00382917">
        <w:t>the</w:t>
      </w:r>
      <w:r w:rsidR="00EE4FC3">
        <w:t xml:space="preserve"> </w:t>
      </w:r>
      <w:r w:rsidR="00581CF7" w:rsidRPr="00382917">
        <w:t>day</w:t>
      </w:r>
      <w:r w:rsidR="00EE4FC3">
        <w:t xml:space="preserve"> </w:t>
      </w:r>
      <w:r w:rsidR="00581CF7" w:rsidRPr="00382917">
        <w:t>He</w:t>
      </w:r>
      <w:r w:rsidR="00EE4FC3">
        <w:t xml:space="preserve"> </w:t>
      </w:r>
      <w:r w:rsidR="00581CF7" w:rsidRPr="00382917">
        <w:t>will</w:t>
      </w:r>
      <w:r w:rsidR="00EE4FC3">
        <w:t xml:space="preserve"> </w:t>
      </w:r>
      <w:r w:rsidR="00581CF7" w:rsidRPr="00382917">
        <w:t>choose</w:t>
      </w:r>
      <w:r w:rsidR="00EE4FC3">
        <w:t xml:space="preserve"> </w:t>
      </w:r>
      <w:r w:rsidR="00581CF7" w:rsidRPr="00382917">
        <w:t>you</w:t>
      </w:r>
      <w:r w:rsidR="00EE4FC3">
        <w:t xml:space="preserve"> </w:t>
      </w:r>
      <w:r w:rsidR="00581CF7" w:rsidRPr="00382917">
        <w:t>as</w:t>
      </w:r>
      <w:r w:rsidR="00EE4FC3">
        <w:t xml:space="preserve"> </w:t>
      </w:r>
      <w:r w:rsidR="00581CF7" w:rsidRPr="00382917">
        <w:t>His</w:t>
      </w:r>
      <w:r w:rsidR="00EE4FC3">
        <w:t xml:space="preserve"> </w:t>
      </w:r>
      <w:r w:rsidR="00581CF7" w:rsidRPr="00382917">
        <w:t>companions.</w:t>
      </w:r>
      <w:r w:rsidR="00EE4FC3">
        <w:t xml:space="preserve">  </w:t>
      </w:r>
      <w:r w:rsidR="00581CF7" w:rsidRPr="00382917">
        <w:t>Well</w:t>
      </w:r>
      <w:r w:rsidR="00EE4FC3">
        <w:t xml:space="preserve"> </w:t>
      </w:r>
      <w:r w:rsidR="00581CF7" w:rsidRPr="00382917">
        <w:t>is</w:t>
      </w:r>
      <w:r w:rsidR="00EE4FC3">
        <w:t xml:space="preserve"> </w:t>
      </w:r>
      <w:r w:rsidR="00581CF7" w:rsidRPr="00382917">
        <w:t>it</w:t>
      </w:r>
      <w:r w:rsidR="00EE4FC3">
        <w:t xml:space="preserve"> </w:t>
      </w:r>
      <w:r w:rsidR="00581CF7" w:rsidRPr="00382917">
        <w:t>with</w:t>
      </w:r>
      <w:r w:rsidR="00EE4FC3">
        <w:t xml:space="preserve"> </w:t>
      </w:r>
      <w:r w:rsidR="00581CF7" w:rsidRPr="00382917">
        <w:t>every</w:t>
      </w:r>
      <w:r w:rsidR="00EE4FC3">
        <w:t xml:space="preserve"> </w:t>
      </w:r>
      <w:r w:rsidR="00581CF7" w:rsidRPr="00382917">
        <w:t>one</w:t>
      </w:r>
      <w:r w:rsidR="00EE4FC3">
        <w:t xml:space="preserve"> </w:t>
      </w:r>
      <w:r w:rsidR="00581CF7" w:rsidRPr="00382917">
        <w:t>of</w:t>
      </w:r>
      <w:r w:rsidR="00EE4FC3">
        <w:t xml:space="preserve"> </w:t>
      </w:r>
      <w:r w:rsidR="00581CF7" w:rsidRPr="00382917">
        <w:t>you</w:t>
      </w:r>
      <w:r w:rsidR="00EE4FC3">
        <w:t xml:space="preserve"> </w:t>
      </w:r>
      <w:r w:rsidR="00581CF7" w:rsidRPr="00382917">
        <w:t>who</w:t>
      </w:r>
      <w:r w:rsidR="00EE4FC3">
        <w:t xml:space="preserve"> </w:t>
      </w:r>
      <w:r w:rsidR="00581CF7" w:rsidRPr="00382917">
        <w:t>will</w:t>
      </w:r>
      <w:r w:rsidR="00EE4FC3">
        <w:t xml:space="preserve"> </w:t>
      </w:r>
      <w:r w:rsidR="00581CF7" w:rsidRPr="00382917">
        <w:t>drink</w:t>
      </w:r>
      <w:r w:rsidR="00EE4FC3">
        <w:t xml:space="preserve"> </w:t>
      </w:r>
      <w:r w:rsidR="00581CF7" w:rsidRPr="00382917">
        <w:t>the</w:t>
      </w:r>
      <w:r w:rsidR="00EE4FC3">
        <w:t xml:space="preserve"> </w:t>
      </w:r>
      <w:r w:rsidR="00581CF7" w:rsidRPr="00382917">
        <w:t>cup</w:t>
      </w:r>
      <w:r w:rsidR="00EE4FC3">
        <w:t xml:space="preserve"> </w:t>
      </w:r>
      <w:r w:rsidR="00581CF7" w:rsidRPr="00382917">
        <w:t>of</w:t>
      </w:r>
      <w:r w:rsidR="00EE4FC3">
        <w:t xml:space="preserve"> </w:t>
      </w:r>
      <w:r w:rsidR="00581CF7" w:rsidRPr="00382917">
        <w:t>martyrdom</w:t>
      </w:r>
      <w:r w:rsidR="00EE4FC3">
        <w:t xml:space="preserve"> </w:t>
      </w:r>
      <w:r w:rsidR="00581CF7" w:rsidRPr="00382917">
        <w:t>in</w:t>
      </w:r>
      <w:r w:rsidR="00EE4FC3">
        <w:t xml:space="preserve"> </w:t>
      </w:r>
      <w:r w:rsidR="00581CF7" w:rsidRPr="00382917">
        <w:t>His</w:t>
      </w:r>
      <w:r w:rsidR="00EE4FC3">
        <w:t xml:space="preserve"> </w:t>
      </w:r>
      <w:r w:rsidR="00581CF7" w:rsidRPr="00382917">
        <w:t>path.</w:t>
      </w:r>
      <w:r w:rsidRPr="00382917">
        <w:t>”</w:t>
      </w:r>
    </w:p>
    <w:p w:rsidR="00581CF7" w:rsidRPr="00382917" w:rsidRDefault="00581CF7" w:rsidP="006D18A4">
      <w:pPr>
        <w:pStyle w:val="Text"/>
      </w:pPr>
      <w:r w:rsidRPr="00382917">
        <w:t>Siyyid</w:t>
      </w:r>
      <w:r w:rsidR="00EE4FC3">
        <w:t xml:space="preserve"> </w:t>
      </w:r>
      <w:r w:rsidRPr="00382917">
        <w:t>Káẓim</w:t>
      </w:r>
      <w:r w:rsidR="00EE4FC3">
        <w:t xml:space="preserve"> </w:t>
      </w:r>
      <w:r w:rsidRPr="00382917">
        <w:t>promised</w:t>
      </w:r>
      <w:r w:rsidR="00EE4FC3">
        <w:t xml:space="preserve"> </w:t>
      </w:r>
      <w:r w:rsidRPr="00382917">
        <w:t>some</w:t>
      </w:r>
      <w:r w:rsidR="00EE4FC3">
        <w:t xml:space="preserve"> </w:t>
      </w:r>
      <w:r w:rsidRPr="00382917">
        <w:t>of</w:t>
      </w:r>
      <w:r w:rsidR="00EE4FC3">
        <w:t xml:space="preserve"> </w:t>
      </w:r>
      <w:r w:rsidRPr="00382917">
        <w:t>his</w:t>
      </w:r>
      <w:r w:rsidR="00EE4FC3">
        <w:t xml:space="preserve"> </w:t>
      </w:r>
      <w:r w:rsidRPr="00382917">
        <w:t>followers</w:t>
      </w:r>
      <w:r w:rsidR="00EE4FC3">
        <w:t xml:space="preserve"> </w:t>
      </w:r>
      <w:r w:rsidRPr="00382917">
        <w:t>that</w:t>
      </w:r>
      <w:r w:rsidR="00EE4FC3">
        <w:t xml:space="preserve"> </w:t>
      </w:r>
      <w:r w:rsidRPr="00382917">
        <w:t>they</w:t>
      </w:r>
      <w:r w:rsidR="00EE4FC3">
        <w:t xml:space="preserve"> </w:t>
      </w:r>
      <w:r w:rsidRPr="00382917">
        <w:t>would</w:t>
      </w:r>
    </w:p>
    <w:p w:rsidR="006D18A4" w:rsidRPr="00382917" w:rsidRDefault="006D18A4">
      <w:pPr>
        <w:widowControl/>
        <w:kinsoku/>
        <w:overflowPunct/>
        <w:textAlignment w:val="auto"/>
      </w:pPr>
      <w:r w:rsidRPr="00382917">
        <w:br w:type="page"/>
      </w:r>
    </w:p>
    <w:p w:rsidR="00581CF7" w:rsidRPr="00382917" w:rsidRDefault="00581CF7" w:rsidP="006D18A4">
      <w:pPr>
        <w:pStyle w:val="Textcts"/>
      </w:pPr>
      <w:proofErr w:type="gramStart"/>
      <w:r w:rsidRPr="00382917">
        <w:t>not</w:t>
      </w:r>
      <w:proofErr w:type="gramEnd"/>
      <w:r w:rsidR="00EE4FC3">
        <w:t xml:space="preserve"> </w:t>
      </w:r>
      <w:r w:rsidRPr="00382917">
        <w:t>only</w:t>
      </w:r>
      <w:r w:rsidR="00EE4FC3">
        <w:t xml:space="preserve"> </w:t>
      </w:r>
      <w:r w:rsidRPr="00382917">
        <w:t>have</w:t>
      </w:r>
      <w:r w:rsidR="00EE4FC3">
        <w:t xml:space="preserve"> </w:t>
      </w:r>
      <w:r w:rsidRPr="00382917">
        <w:t>the</w:t>
      </w:r>
      <w:r w:rsidR="00EE4FC3">
        <w:t xml:space="preserve"> </w:t>
      </w:r>
      <w:r w:rsidRPr="00382917">
        <w:t>joy</w:t>
      </w:r>
      <w:r w:rsidR="00EE4FC3">
        <w:t xml:space="preserve"> </w:t>
      </w:r>
      <w:r w:rsidRPr="00382917">
        <w:t>of</w:t>
      </w:r>
      <w:r w:rsidR="00EE4FC3">
        <w:t xml:space="preserve"> </w:t>
      </w:r>
      <w:r w:rsidRPr="00382917">
        <w:t>seeing</w:t>
      </w:r>
      <w:r w:rsidR="00EE4FC3">
        <w:t xml:space="preserve"> </w:t>
      </w:r>
      <w:r w:rsidRPr="00382917">
        <w:t>the</w:t>
      </w:r>
      <w:r w:rsidR="00EE4FC3">
        <w:t xml:space="preserve"> </w:t>
      </w:r>
      <w:r w:rsidRPr="00382917">
        <w:t>coming</w:t>
      </w:r>
      <w:r w:rsidR="00EE4FC3">
        <w:t xml:space="preserve"> </w:t>
      </w:r>
      <w:r w:rsidRPr="00382917">
        <w:t>Messenger</w:t>
      </w:r>
      <w:r w:rsidR="00EE4FC3">
        <w:t xml:space="preserve"> </w:t>
      </w:r>
      <w:r w:rsidRPr="00382917">
        <w:t>of</w:t>
      </w:r>
      <w:r w:rsidR="00EE4FC3">
        <w:t xml:space="preserve"> </w:t>
      </w:r>
      <w:r w:rsidRPr="00382917">
        <w:t>God</w:t>
      </w:r>
      <w:r w:rsidR="00EE4FC3">
        <w:t xml:space="preserve"> </w:t>
      </w:r>
      <w:r w:rsidRPr="00382917">
        <w:t>face</w:t>
      </w:r>
      <w:r w:rsidR="00EE4FC3">
        <w:t xml:space="preserve"> </w:t>
      </w:r>
      <w:r w:rsidRPr="00382917">
        <w:t>to</w:t>
      </w:r>
      <w:r w:rsidR="00EE4FC3">
        <w:t xml:space="preserve"> </w:t>
      </w:r>
      <w:r w:rsidRPr="00382917">
        <w:t>face,</w:t>
      </w:r>
      <w:r w:rsidR="00EE4FC3">
        <w:t xml:space="preserve"> </w:t>
      </w:r>
      <w:r w:rsidRPr="00382917">
        <w:t>but</w:t>
      </w:r>
      <w:r w:rsidR="00EE4FC3">
        <w:t xml:space="preserve"> </w:t>
      </w:r>
      <w:r w:rsidRPr="00382917">
        <w:t>that</w:t>
      </w:r>
      <w:r w:rsidR="00EE4FC3">
        <w:t xml:space="preserve"> </w:t>
      </w:r>
      <w:r w:rsidRPr="00382917">
        <w:t>they</w:t>
      </w:r>
      <w:r w:rsidR="00EE4FC3">
        <w:t xml:space="preserve"> </w:t>
      </w:r>
      <w:r w:rsidRPr="00382917">
        <w:t>would</w:t>
      </w:r>
      <w:r w:rsidR="00EE4FC3">
        <w:t xml:space="preserve"> </w:t>
      </w:r>
      <w:r w:rsidRPr="00382917">
        <w:t>see</w:t>
      </w:r>
      <w:r w:rsidR="00EE4FC3">
        <w:t xml:space="preserve"> </w:t>
      </w:r>
      <w:r w:rsidRPr="00382917">
        <w:t>His</w:t>
      </w:r>
      <w:r w:rsidR="00EE4FC3">
        <w:t xml:space="preserve"> </w:t>
      </w:r>
      <w:r w:rsidRPr="00382917">
        <w:t>Successor</w:t>
      </w:r>
      <w:r w:rsidR="00EE4FC3">
        <w:t xml:space="preserve"> </w:t>
      </w:r>
      <w:r w:rsidRPr="00382917">
        <w:t>as</w:t>
      </w:r>
      <w:r w:rsidR="00EE4FC3">
        <w:t xml:space="preserve"> </w:t>
      </w:r>
      <w:r w:rsidRPr="00382917">
        <w:t>well.</w:t>
      </w:r>
    </w:p>
    <w:p w:rsidR="00581CF7" w:rsidRPr="00382917" w:rsidRDefault="009C713D" w:rsidP="006D18A4">
      <w:pPr>
        <w:pStyle w:val="Text"/>
      </w:pPr>
      <w:r w:rsidRPr="00382917">
        <w:t>“</w:t>
      </w:r>
      <w:r w:rsidR="00581CF7" w:rsidRPr="00382917">
        <w:t>For</w:t>
      </w:r>
      <w:r w:rsidR="00EE4FC3">
        <w:t xml:space="preserve"> </w:t>
      </w:r>
      <w:r w:rsidR="00581CF7" w:rsidRPr="00382917">
        <w:t>soon</w:t>
      </w:r>
      <w:r w:rsidR="00EE4FC3">
        <w:t xml:space="preserve"> </w:t>
      </w:r>
      <w:r w:rsidR="00581CF7" w:rsidRPr="00382917">
        <w:t>after</w:t>
      </w:r>
      <w:r w:rsidR="00EE4FC3">
        <w:t xml:space="preserve"> </w:t>
      </w:r>
      <w:r w:rsidR="00581CF7" w:rsidRPr="00382917">
        <w:t>the</w:t>
      </w:r>
      <w:r w:rsidR="00EE4FC3">
        <w:t xml:space="preserve"> </w:t>
      </w:r>
      <w:r w:rsidR="00581CF7" w:rsidRPr="00382917">
        <w:t>first</w:t>
      </w:r>
      <w:r w:rsidR="00EE4FC3">
        <w:t xml:space="preserve"> </w:t>
      </w:r>
      <w:r w:rsidR="00581CF7" w:rsidRPr="00382917">
        <w:t>trumpet</w:t>
      </w:r>
      <w:r w:rsidR="00EE4FC3">
        <w:t xml:space="preserve"> </w:t>
      </w:r>
      <w:r w:rsidR="00581CF7" w:rsidRPr="00382917">
        <w:t>blast,</w:t>
      </w:r>
      <w:r w:rsidR="00EE4FC3">
        <w:t xml:space="preserve"> </w:t>
      </w:r>
      <w:r w:rsidR="00581CF7" w:rsidRPr="00382917">
        <w:t>there</w:t>
      </w:r>
      <w:r w:rsidR="00EE4FC3">
        <w:t xml:space="preserve"> </w:t>
      </w:r>
      <w:r w:rsidR="00581CF7" w:rsidRPr="00382917">
        <w:t>shall</w:t>
      </w:r>
      <w:r w:rsidR="00EE4FC3">
        <w:t xml:space="preserve"> </w:t>
      </w:r>
      <w:r w:rsidR="00581CF7" w:rsidRPr="00382917">
        <w:t>be</w:t>
      </w:r>
      <w:r w:rsidR="00EE4FC3">
        <w:t xml:space="preserve"> </w:t>
      </w:r>
      <w:r w:rsidR="00581CF7" w:rsidRPr="00382917">
        <w:t>sounded</w:t>
      </w:r>
      <w:r w:rsidR="00EE4FC3">
        <w:t xml:space="preserve"> </w:t>
      </w:r>
      <w:r w:rsidR="00581CF7" w:rsidRPr="00382917">
        <w:t>yet</w:t>
      </w:r>
      <w:r w:rsidR="00EE4FC3">
        <w:t xml:space="preserve"> </w:t>
      </w:r>
      <w:r w:rsidR="00581CF7" w:rsidRPr="00382917">
        <w:t>another</w:t>
      </w:r>
      <w:r w:rsidR="00EE4FC3">
        <w:t xml:space="preserve"> </w:t>
      </w:r>
      <w:r w:rsidR="00581CF7" w:rsidRPr="00382917">
        <w:t>call,</w:t>
      </w:r>
      <w:r w:rsidR="00EE4FC3">
        <w:t xml:space="preserve"> </w:t>
      </w:r>
      <w:r w:rsidR="00581CF7" w:rsidRPr="00382917">
        <w:t>and</w:t>
      </w:r>
      <w:r w:rsidR="00EE4FC3">
        <w:t xml:space="preserve"> </w:t>
      </w:r>
      <w:r w:rsidR="00581CF7" w:rsidRPr="00382917">
        <w:t>all</w:t>
      </w:r>
      <w:r w:rsidR="00EE4FC3">
        <w:t xml:space="preserve"> </w:t>
      </w:r>
      <w:r w:rsidR="00581CF7" w:rsidRPr="00382917">
        <w:t>things</w:t>
      </w:r>
      <w:r w:rsidR="00EE4FC3">
        <w:t xml:space="preserve"> </w:t>
      </w:r>
      <w:r w:rsidR="00581CF7" w:rsidRPr="00382917">
        <w:t>shall</w:t>
      </w:r>
      <w:r w:rsidR="00EE4FC3">
        <w:t xml:space="preserve"> </w:t>
      </w:r>
      <w:r w:rsidR="00581CF7" w:rsidRPr="00382917">
        <w:t>be</w:t>
      </w:r>
      <w:r w:rsidR="00EE4FC3">
        <w:t xml:space="preserve"> </w:t>
      </w:r>
      <w:r w:rsidR="00581CF7" w:rsidRPr="00382917">
        <w:t>quickened</w:t>
      </w:r>
      <w:r w:rsidR="00EE4FC3">
        <w:t xml:space="preserve"> </w:t>
      </w:r>
      <w:r w:rsidR="00581CF7" w:rsidRPr="00382917">
        <w:t>and</w:t>
      </w:r>
      <w:r w:rsidR="00EE4FC3">
        <w:t xml:space="preserve"> </w:t>
      </w:r>
      <w:r w:rsidR="00581CF7" w:rsidRPr="00382917">
        <w:t>revived.</w:t>
      </w:r>
      <w:r w:rsidRPr="00382917">
        <w:t>”</w:t>
      </w:r>
    </w:p>
    <w:p w:rsidR="00581CF7" w:rsidRPr="00382917" w:rsidRDefault="00581CF7" w:rsidP="006D18A4">
      <w:pPr>
        <w:pStyle w:val="Text"/>
      </w:pPr>
      <w:r w:rsidRPr="00382917">
        <w:t>Repeatedly</w:t>
      </w:r>
      <w:r w:rsidR="00EE4FC3">
        <w:t xml:space="preserve"> </w:t>
      </w:r>
      <w:r w:rsidRPr="00382917">
        <w:t>Siyyid</w:t>
      </w:r>
      <w:r w:rsidR="00EE4FC3">
        <w:t xml:space="preserve"> </w:t>
      </w:r>
      <w:r w:rsidRPr="00382917">
        <w:t>Káẓim</w:t>
      </w:r>
      <w:r w:rsidR="00EE4FC3">
        <w:t xml:space="preserve"> </w:t>
      </w:r>
      <w:r w:rsidRPr="00382917">
        <w:t>told</w:t>
      </w:r>
      <w:r w:rsidR="00EE4FC3">
        <w:t xml:space="preserve"> </w:t>
      </w:r>
      <w:r w:rsidRPr="00382917">
        <w:t>them</w:t>
      </w:r>
      <w:r w:rsidR="00EE4FC3">
        <w:t xml:space="preserve"> </w:t>
      </w:r>
      <w:r w:rsidRPr="00382917">
        <w:t>that</w:t>
      </w:r>
      <w:r w:rsidR="00EE4FC3">
        <w:t xml:space="preserve"> </w:t>
      </w:r>
      <w:r w:rsidRPr="00382917">
        <w:t>they</w:t>
      </w:r>
      <w:r w:rsidR="00EE4FC3">
        <w:t xml:space="preserve"> </w:t>
      </w:r>
      <w:r w:rsidRPr="00382917">
        <w:t>would</w:t>
      </w:r>
      <w:r w:rsidR="00EE4FC3">
        <w:t xml:space="preserve"> </w:t>
      </w:r>
      <w:r w:rsidRPr="00382917">
        <w:t>see</w:t>
      </w:r>
      <w:r w:rsidR="00EE4FC3">
        <w:t xml:space="preserve"> </w:t>
      </w:r>
      <w:r w:rsidRPr="00382917">
        <w:t>not</w:t>
      </w:r>
      <w:r w:rsidR="00EE4FC3">
        <w:t xml:space="preserve"> </w:t>
      </w:r>
      <w:r w:rsidRPr="00382917">
        <w:t>one,</w:t>
      </w:r>
      <w:r w:rsidR="00EE4FC3">
        <w:t xml:space="preserve"> </w:t>
      </w:r>
      <w:r w:rsidRPr="00382917">
        <w:t>but</w:t>
      </w:r>
      <w:r w:rsidR="00EE4FC3">
        <w:t xml:space="preserve"> </w:t>
      </w:r>
      <w:r w:rsidRPr="00382917">
        <w:t>two</w:t>
      </w:r>
      <w:r w:rsidR="00EE4FC3">
        <w:t xml:space="preserve"> </w:t>
      </w:r>
      <w:r w:rsidRPr="00382917">
        <w:t>Messengers</w:t>
      </w:r>
      <w:r w:rsidR="00EE4FC3">
        <w:t xml:space="preserve"> </w:t>
      </w:r>
      <w:r w:rsidRPr="00382917">
        <w:t>of</w:t>
      </w:r>
      <w:r w:rsidR="00EE4FC3">
        <w:t xml:space="preserve"> </w:t>
      </w:r>
      <w:r w:rsidRPr="00382917">
        <w:t>God,</w:t>
      </w:r>
      <w:r w:rsidR="00EE4FC3">
        <w:t xml:space="preserve"> </w:t>
      </w:r>
      <w:r w:rsidRPr="00382917">
        <w:t>the</w:t>
      </w:r>
      <w:r w:rsidR="00EE4FC3">
        <w:t xml:space="preserve"> </w:t>
      </w:r>
      <w:r w:rsidRPr="00382917">
        <w:t>twin</w:t>
      </w:r>
      <w:r w:rsidR="00EE4FC3">
        <w:t xml:space="preserve"> </w:t>
      </w:r>
      <w:r w:rsidRPr="00382917">
        <w:t>Revelations</w:t>
      </w:r>
      <w:r w:rsidR="00EE4FC3">
        <w:t xml:space="preserve"> </w:t>
      </w:r>
      <w:r w:rsidRPr="00382917">
        <w:t>promised</w:t>
      </w:r>
      <w:r w:rsidR="00EE4FC3">
        <w:t xml:space="preserve"> </w:t>
      </w:r>
      <w:r w:rsidRPr="00382917">
        <w:t>in</w:t>
      </w:r>
      <w:r w:rsidR="00EE4FC3">
        <w:t xml:space="preserve"> </w:t>
      </w:r>
      <w:r w:rsidRPr="00382917">
        <w:t>all</w:t>
      </w:r>
      <w:r w:rsidR="00EE4FC3">
        <w:t xml:space="preserve"> </w:t>
      </w:r>
      <w:r w:rsidRPr="00382917">
        <w:t>the</w:t>
      </w:r>
      <w:r w:rsidR="00EE4FC3">
        <w:t xml:space="preserve"> </w:t>
      </w:r>
      <w:r w:rsidRPr="00382917">
        <w:t>holy</w:t>
      </w:r>
      <w:r w:rsidR="00EE4FC3">
        <w:t xml:space="preserve"> </w:t>
      </w:r>
      <w:r w:rsidRPr="00382917">
        <w:t>Books</w:t>
      </w:r>
      <w:r w:rsidR="00EE4FC3">
        <w:t xml:space="preserve"> </w:t>
      </w:r>
      <w:r w:rsidRPr="00382917">
        <w:t>for</w:t>
      </w:r>
      <w:r w:rsidR="00EE4FC3">
        <w:t xml:space="preserve"> </w:t>
      </w:r>
      <w:r w:rsidRPr="00382917">
        <w:t>these</w:t>
      </w:r>
      <w:r w:rsidR="00EE4FC3">
        <w:t xml:space="preserve"> </w:t>
      </w:r>
      <w:r w:rsidR="009C713D" w:rsidRPr="00382917">
        <w:t>“</w:t>
      </w:r>
      <w:r w:rsidRPr="00382917">
        <w:t>last</w:t>
      </w:r>
      <w:r w:rsidR="00EE4FC3">
        <w:t xml:space="preserve"> </w:t>
      </w:r>
      <w:r w:rsidRPr="00382917">
        <w:t>days</w:t>
      </w:r>
      <w:r w:rsidR="009C713D" w:rsidRPr="00382917">
        <w:t>”</w:t>
      </w:r>
      <w:r w:rsidRPr="00382917">
        <w:t>.</w:t>
      </w:r>
    </w:p>
    <w:p w:rsidR="00581CF7" w:rsidRPr="00382917" w:rsidRDefault="00581CF7" w:rsidP="00382917">
      <w:pPr>
        <w:pStyle w:val="Text"/>
      </w:pPr>
      <w:r w:rsidRPr="00382917">
        <w:t>These</w:t>
      </w:r>
      <w:r w:rsidR="00EE4FC3">
        <w:t xml:space="preserve"> </w:t>
      </w:r>
      <w:r w:rsidRPr="00382917">
        <w:t>two</w:t>
      </w:r>
      <w:r w:rsidR="00EE4FC3">
        <w:t xml:space="preserve"> </w:t>
      </w:r>
      <w:r w:rsidRPr="00382917">
        <w:t>successive</w:t>
      </w:r>
      <w:r w:rsidR="00EE4FC3">
        <w:t xml:space="preserve"> </w:t>
      </w:r>
      <w:r w:rsidRPr="00382917">
        <w:t>Messengers</w:t>
      </w:r>
      <w:r w:rsidR="00EE4FC3">
        <w:t xml:space="preserve"> </w:t>
      </w:r>
      <w:r w:rsidRPr="00382917">
        <w:t>would</w:t>
      </w:r>
      <w:r w:rsidR="00EE4FC3">
        <w:t xml:space="preserve"> </w:t>
      </w:r>
      <w:r w:rsidRPr="00382917">
        <w:t>be</w:t>
      </w:r>
      <w:r w:rsidR="00EE4FC3">
        <w:t xml:space="preserve"> </w:t>
      </w:r>
      <w:r w:rsidRPr="00382917">
        <w:t>the</w:t>
      </w:r>
      <w:r w:rsidR="00EE4FC3">
        <w:t xml:space="preserve"> </w:t>
      </w:r>
      <w:proofErr w:type="spellStart"/>
      <w:r w:rsidRPr="00382917">
        <w:t>fulfillment</w:t>
      </w:r>
      <w:proofErr w:type="spellEnd"/>
      <w:r w:rsidR="00EE4FC3">
        <w:t xml:space="preserve"> </w:t>
      </w:r>
      <w:r w:rsidRPr="00382917">
        <w:t>of</w:t>
      </w:r>
      <w:r w:rsidR="00EE4FC3">
        <w:t xml:space="preserve"> </w:t>
      </w:r>
      <w:r w:rsidRPr="00382917">
        <w:t>the</w:t>
      </w:r>
      <w:r w:rsidR="00EE4FC3">
        <w:t xml:space="preserve"> </w:t>
      </w:r>
      <w:r w:rsidRPr="00382917">
        <w:t>prophecy</w:t>
      </w:r>
      <w:r w:rsidR="00EE4FC3">
        <w:t xml:space="preserve"> </w:t>
      </w:r>
      <w:r w:rsidRPr="00382917">
        <w:t>of</w:t>
      </w:r>
      <w:r w:rsidR="00EE4FC3">
        <w:t xml:space="preserve"> </w:t>
      </w:r>
      <w:r w:rsidRPr="00382917">
        <w:t>the</w:t>
      </w:r>
      <w:r w:rsidR="00EE4FC3">
        <w:t xml:space="preserve"> </w:t>
      </w:r>
      <w:r w:rsidR="009C713D" w:rsidRPr="00382917">
        <w:t>“</w:t>
      </w:r>
      <w:r w:rsidRPr="00382917">
        <w:t>second</w:t>
      </w:r>
      <w:r w:rsidR="00EE4FC3">
        <w:t xml:space="preserve"> </w:t>
      </w:r>
      <w:r w:rsidRPr="00382917">
        <w:t>and</w:t>
      </w:r>
      <w:r w:rsidR="00EE4FC3">
        <w:t xml:space="preserve"> </w:t>
      </w:r>
      <w:r w:rsidRPr="00382917">
        <w:t>third</w:t>
      </w:r>
      <w:r w:rsidR="00EE4FC3">
        <w:t xml:space="preserve"> </w:t>
      </w:r>
      <w:r w:rsidRPr="00382917">
        <w:t>woe</w:t>
      </w:r>
      <w:r w:rsidR="009C713D" w:rsidRPr="00382917">
        <w:t>”</w:t>
      </w:r>
      <w:r w:rsidR="00EE4FC3">
        <w:t xml:space="preserve"> </w:t>
      </w:r>
      <w:r w:rsidRPr="00382917">
        <w:t>mentioned</w:t>
      </w:r>
      <w:r w:rsidR="00EE4FC3">
        <w:t xml:space="preserve"> </w:t>
      </w:r>
      <w:r w:rsidRPr="00382917">
        <w:t>in</w:t>
      </w:r>
      <w:r w:rsidR="00EE4FC3">
        <w:t xml:space="preserve"> </w:t>
      </w:r>
      <w:r w:rsidRPr="00382917">
        <w:t>the</w:t>
      </w:r>
      <w:r w:rsidR="00EE4FC3">
        <w:t xml:space="preserve"> </w:t>
      </w:r>
      <w:r w:rsidRPr="00382917">
        <w:t>Book</w:t>
      </w:r>
      <w:r w:rsidR="00EE4FC3">
        <w:t xml:space="preserve"> </w:t>
      </w:r>
      <w:r w:rsidRPr="00382917">
        <w:t>of</w:t>
      </w:r>
      <w:r w:rsidR="00EE4FC3">
        <w:t xml:space="preserve"> </w:t>
      </w:r>
      <w:r w:rsidRPr="00382917">
        <w:t>Revelation</w:t>
      </w:r>
      <w:r w:rsidR="00EE4FC3">
        <w:t xml:space="preserve"> </w:t>
      </w:r>
      <w:r w:rsidRPr="00382917">
        <w:t>of</w:t>
      </w:r>
      <w:r w:rsidR="00EE4FC3">
        <w:t xml:space="preserve"> </w:t>
      </w:r>
      <w:r w:rsidRPr="00382917">
        <w:t>St.</w:t>
      </w:r>
      <w:r w:rsidR="00EE4FC3">
        <w:t xml:space="preserve"> </w:t>
      </w:r>
      <w:r w:rsidRPr="00382917">
        <w:t>John,</w:t>
      </w:r>
      <w:r w:rsidR="00EE4FC3">
        <w:t xml:space="preserve"> </w:t>
      </w:r>
      <w:r w:rsidRPr="00382917">
        <w:t>which</w:t>
      </w:r>
      <w:r w:rsidR="00EE4FC3">
        <w:t xml:space="preserve"> </w:t>
      </w:r>
      <w:r w:rsidRPr="00382917">
        <w:t>prophesies</w:t>
      </w:r>
      <w:r w:rsidR="00EE4FC3">
        <w:t xml:space="preserve"> </w:t>
      </w:r>
      <w:r w:rsidRPr="00382917">
        <w:t>that</w:t>
      </w:r>
      <w:r w:rsidR="00EE4FC3">
        <w:t xml:space="preserve"> </w:t>
      </w:r>
      <w:r w:rsidRPr="00382917">
        <w:t>the</w:t>
      </w:r>
      <w:r w:rsidR="00EE4FC3">
        <w:t xml:space="preserve"> </w:t>
      </w:r>
      <w:r w:rsidR="009C713D" w:rsidRPr="00382917">
        <w:t>“</w:t>
      </w:r>
      <w:r w:rsidRPr="00382917">
        <w:t>third</w:t>
      </w:r>
      <w:r w:rsidR="00EE4FC3">
        <w:t xml:space="preserve"> </w:t>
      </w:r>
      <w:r w:rsidRPr="00382917">
        <w:t>woe</w:t>
      </w:r>
      <w:r w:rsidR="009C713D" w:rsidRPr="00382917">
        <w:t>”</w:t>
      </w:r>
      <w:r w:rsidR="00EE4FC3">
        <w:t xml:space="preserve"> </w:t>
      </w:r>
      <w:r w:rsidRPr="00382917">
        <w:t>would</w:t>
      </w:r>
      <w:r w:rsidR="00EE4FC3">
        <w:t xml:space="preserve"> </w:t>
      </w:r>
      <w:r w:rsidRPr="00382917">
        <w:t>quickly</w:t>
      </w:r>
      <w:r w:rsidR="00EE4FC3">
        <w:t xml:space="preserve"> </w:t>
      </w:r>
      <w:r w:rsidRPr="00382917">
        <w:t>follow</w:t>
      </w:r>
      <w:r w:rsidR="00EE4FC3">
        <w:t xml:space="preserve"> </w:t>
      </w:r>
      <w:r w:rsidRPr="00382917">
        <w:t>the</w:t>
      </w:r>
      <w:r w:rsidR="00EE4FC3">
        <w:t xml:space="preserve"> </w:t>
      </w:r>
      <w:r w:rsidR="009C713D" w:rsidRPr="00382917">
        <w:t>“</w:t>
      </w:r>
      <w:r w:rsidRPr="00382917">
        <w:t>second</w:t>
      </w:r>
      <w:r w:rsidR="00EE4FC3">
        <w:t xml:space="preserve"> </w:t>
      </w:r>
      <w:r w:rsidRPr="00382917">
        <w:t>woe</w:t>
      </w:r>
      <w:r w:rsidR="009C713D" w:rsidRPr="00382917">
        <w:t>”</w:t>
      </w:r>
      <w:r w:rsidRPr="00382917">
        <w:t>.</w:t>
      </w:r>
      <w:r w:rsidR="00382917">
        <w:rPr>
          <w:rStyle w:val="FootnoteReference"/>
        </w:rPr>
        <w:footnoteReference w:id="8"/>
      </w:r>
      <w:r w:rsidR="00EE4FC3">
        <w:t xml:space="preserve">  </w:t>
      </w:r>
      <w:r w:rsidRPr="00382917">
        <w:t>They</w:t>
      </w:r>
      <w:r w:rsidR="00EE4FC3">
        <w:t xml:space="preserve"> </w:t>
      </w:r>
      <w:r w:rsidRPr="00382917">
        <w:t>would</w:t>
      </w:r>
      <w:r w:rsidR="00EE4FC3">
        <w:t xml:space="preserve"> </w:t>
      </w:r>
      <w:r w:rsidRPr="00382917">
        <w:t>also</w:t>
      </w:r>
      <w:r w:rsidR="00EE4FC3">
        <w:t xml:space="preserve"> </w:t>
      </w:r>
      <w:r w:rsidRPr="00382917">
        <w:t>be</w:t>
      </w:r>
      <w:r w:rsidR="00EE4FC3">
        <w:t xml:space="preserve"> </w:t>
      </w:r>
      <w:r w:rsidRPr="00382917">
        <w:t>the</w:t>
      </w:r>
      <w:r w:rsidR="00EE4FC3">
        <w:t xml:space="preserve"> </w:t>
      </w:r>
      <w:proofErr w:type="spellStart"/>
      <w:r w:rsidRPr="00382917">
        <w:t>fulfillment</w:t>
      </w:r>
      <w:proofErr w:type="spellEnd"/>
      <w:r w:rsidR="00EE4FC3">
        <w:t xml:space="preserve"> </w:t>
      </w:r>
      <w:r w:rsidRPr="00382917">
        <w:t>of</w:t>
      </w:r>
      <w:r w:rsidR="00EE4FC3">
        <w:t xml:space="preserve"> </w:t>
      </w:r>
      <w:r w:rsidRPr="00382917">
        <w:t>the</w:t>
      </w:r>
      <w:r w:rsidR="00EE4FC3">
        <w:t xml:space="preserve"> </w:t>
      </w:r>
      <w:r w:rsidRPr="00382917">
        <w:t>two</w:t>
      </w:r>
      <w:r w:rsidR="00EE4FC3">
        <w:t xml:space="preserve"> </w:t>
      </w:r>
      <w:r w:rsidRPr="00382917">
        <w:t>trumpet</w:t>
      </w:r>
      <w:r w:rsidR="00EE4FC3">
        <w:t xml:space="preserve"> </w:t>
      </w:r>
      <w:r w:rsidRPr="00382917">
        <w:t>blasts</w:t>
      </w:r>
      <w:r w:rsidR="00EE4FC3">
        <w:t xml:space="preserve"> </w:t>
      </w:r>
      <w:r w:rsidRPr="00382917">
        <w:t>mentioned</w:t>
      </w:r>
      <w:r w:rsidR="00EE4FC3">
        <w:t xml:space="preserve"> </w:t>
      </w:r>
      <w:r w:rsidRPr="00382917">
        <w:t>in</w:t>
      </w:r>
      <w:r w:rsidR="00EE4FC3">
        <w:t xml:space="preserve"> </w:t>
      </w:r>
      <w:r w:rsidRPr="00382917">
        <w:t>the</w:t>
      </w:r>
      <w:r w:rsidR="00EE4FC3">
        <w:t xml:space="preserve"> </w:t>
      </w:r>
      <w:proofErr w:type="gramStart"/>
      <w:r w:rsidR="00382917">
        <w:t>Qur’án</w:t>
      </w:r>
      <w:r w:rsidR="00EE4FC3">
        <w:t xml:space="preserve"> </w:t>
      </w:r>
      <w:r w:rsidRPr="00382917">
        <w:t>which</w:t>
      </w:r>
      <w:proofErr w:type="gramEnd"/>
      <w:r w:rsidR="00EE4FC3">
        <w:t xml:space="preserve"> </w:t>
      </w:r>
      <w:r w:rsidRPr="00382917">
        <w:t>in</w:t>
      </w:r>
      <w:r w:rsidR="00EE4FC3">
        <w:t xml:space="preserve"> </w:t>
      </w:r>
      <w:r w:rsidRPr="00382917">
        <w:t>the</w:t>
      </w:r>
      <w:r w:rsidR="00EE4FC3">
        <w:t xml:space="preserve"> </w:t>
      </w:r>
      <w:r w:rsidR="009C713D" w:rsidRPr="00382917">
        <w:t>“</w:t>
      </w:r>
      <w:r w:rsidRPr="00382917">
        <w:t>last</w:t>
      </w:r>
      <w:r w:rsidR="00EE4FC3">
        <w:t xml:space="preserve"> </w:t>
      </w:r>
      <w:r w:rsidRPr="00382917">
        <w:t>days</w:t>
      </w:r>
      <w:r w:rsidR="009C713D" w:rsidRPr="00382917">
        <w:t>”</w:t>
      </w:r>
      <w:r w:rsidR="00EE4FC3">
        <w:t xml:space="preserve"> </w:t>
      </w:r>
      <w:r w:rsidRPr="00382917">
        <w:t>would</w:t>
      </w:r>
      <w:r w:rsidR="00EE4FC3">
        <w:t xml:space="preserve"> </w:t>
      </w:r>
      <w:r w:rsidRPr="00382917">
        <w:t>quickly</w:t>
      </w:r>
      <w:r w:rsidR="00EE4FC3">
        <w:t xml:space="preserve"> </w:t>
      </w:r>
      <w:r w:rsidRPr="00382917">
        <w:t>follow</w:t>
      </w:r>
      <w:r w:rsidR="00EE4FC3">
        <w:t xml:space="preserve"> </w:t>
      </w:r>
      <w:r w:rsidRPr="00382917">
        <w:t>each</w:t>
      </w:r>
      <w:r w:rsidR="00EE4FC3">
        <w:t xml:space="preserve"> </w:t>
      </w:r>
      <w:r w:rsidRPr="00382917">
        <w:t>other.</w:t>
      </w:r>
      <w:r w:rsidR="00382917">
        <w:rPr>
          <w:rStyle w:val="FootnoteReference"/>
        </w:rPr>
        <w:footnoteReference w:id="9"/>
      </w:r>
    </w:p>
    <w:p w:rsidR="00581CF7" w:rsidRPr="00382917" w:rsidRDefault="00581CF7" w:rsidP="006D18A4">
      <w:pPr>
        <w:pStyle w:val="Text"/>
      </w:pPr>
      <w:r w:rsidRPr="00382917">
        <w:t>Siyyid</w:t>
      </w:r>
      <w:r w:rsidR="00EE4FC3">
        <w:t xml:space="preserve"> </w:t>
      </w:r>
      <w:r w:rsidRPr="00382917">
        <w:t>Káẓim</w:t>
      </w:r>
      <w:r w:rsidR="00EE4FC3">
        <w:t xml:space="preserve"> </w:t>
      </w:r>
      <w:r w:rsidRPr="00382917">
        <w:t>assured</w:t>
      </w:r>
      <w:r w:rsidR="00EE4FC3">
        <w:t xml:space="preserve"> </w:t>
      </w:r>
      <w:r w:rsidRPr="00382917">
        <w:t>his</w:t>
      </w:r>
      <w:r w:rsidR="00EE4FC3">
        <w:t xml:space="preserve"> </w:t>
      </w:r>
      <w:r w:rsidRPr="00382917">
        <w:t>followers</w:t>
      </w:r>
      <w:r w:rsidR="00EE4FC3">
        <w:t xml:space="preserve"> </w:t>
      </w:r>
      <w:r w:rsidRPr="00382917">
        <w:t>that</w:t>
      </w:r>
      <w:r w:rsidR="00EE4FC3">
        <w:t xml:space="preserve"> </w:t>
      </w:r>
      <w:r w:rsidRPr="00382917">
        <w:t>after</w:t>
      </w:r>
      <w:r w:rsidR="00EE4FC3">
        <w:t xml:space="preserve"> </w:t>
      </w:r>
      <w:r w:rsidRPr="00382917">
        <w:t>the</w:t>
      </w:r>
      <w:r w:rsidR="00EE4FC3">
        <w:t xml:space="preserve"> </w:t>
      </w:r>
      <w:r w:rsidRPr="00382917">
        <w:t>promised</w:t>
      </w:r>
      <w:r w:rsidR="00EE4FC3">
        <w:t xml:space="preserve"> </w:t>
      </w:r>
      <w:r w:rsidRPr="00382917">
        <w:t>Dawn,</w:t>
      </w:r>
      <w:r w:rsidR="00EE4FC3">
        <w:t xml:space="preserve"> </w:t>
      </w:r>
      <w:r w:rsidRPr="00382917">
        <w:t>the</w:t>
      </w:r>
      <w:r w:rsidR="00EE4FC3">
        <w:t xml:space="preserve"> </w:t>
      </w:r>
      <w:r w:rsidRPr="00382917">
        <w:t>promised</w:t>
      </w:r>
      <w:r w:rsidR="00EE4FC3">
        <w:t xml:space="preserve"> </w:t>
      </w:r>
      <w:r w:rsidRPr="00382917">
        <w:t>Sun</w:t>
      </w:r>
      <w:r w:rsidR="00EE4FC3">
        <w:t xml:space="preserve"> </w:t>
      </w:r>
      <w:r w:rsidRPr="00382917">
        <w:t>would</w:t>
      </w:r>
      <w:r w:rsidR="00EE4FC3">
        <w:t xml:space="preserve"> </w:t>
      </w:r>
      <w:r w:rsidRPr="00382917">
        <w:t>be</w:t>
      </w:r>
      <w:r w:rsidR="00EE4FC3">
        <w:t xml:space="preserve"> </w:t>
      </w:r>
      <w:r w:rsidRPr="00382917">
        <w:t>made</w:t>
      </w:r>
      <w:r w:rsidR="00EE4FC3">
        <w:t xml:space="preserve"> </w:t>
      </w:r>
      <w:r w:rsidRPr="00382917">
        <w:t>manifest.</w:t>
      </w:r>
      <w:r w:rsidR="00EE4FC3">
        <w:t xml:space="preserve">  </w:t>
      </w:r>
      <w:r w:rsidR="009C713D" w:rsidRPr="00382917">
        <w:t>“</w:t>
      </w:r>
      <w:r w:rsidRPr="00382917">
        <w:t>For</w:t>
      </w:r>
      <w:r w:rsidR="00EE4FC3">
        <w:t xml:space="preserve"> </w:t>
      </w:r>
      <w:r w:rsidRPr="00382917">
        <w:t>when</w:t>
      </w:r>
      <w:r w:rsidR="00EE4FC3">
        <w:t xml:space="preserve"> </w:t>
      </w:r>
      <w:r w:rsidRPr="00382917">
        <w:t>the</w:t>
      </w:r>
      <w:r w:rsidR="00EE4FC3">
        <w:t xml:space="preserve"> </w:t>
      </w:r>
      <w:r w:rsidRPr="00382917">
        <w:t>star</w:t>
      </w:r>
      <w:r w:rsidR="00EE4FC3">
        <w:t xml:space="preserve"> </w:t>
      </w:r>
      <w:r w:rsidRPr="00382917">
        <w:t>of</w:t>
      </w:r>
      <w:r w:rsidR="00EE4FC3">
        <w:t xml:space="preserve"> </w:t>
      </w:r>
      <w:r w:rsidRPr="00382917">
        <w:t>the</w:t>
      </w:r>
      <w:r w:rsidR="00EE4FC3">
        <w:t xml:space="preserve"> </w:t>
      </w:r>
      <w:r w:rsidRPr="00382917">
        <w:t>Former</w:t>
      </w:r>
      <w:r w:rsidR="00EE4FC3">
        <w:t xml:space="preserve"> </w:t>
      </w:r>
      <w:r w:rsidRPr="00382917">
        <w:t>has</w:t>
      </w:r>
      <w:r w:rsidR="00EE4FC3">
        <w:t xml:space="preserve"> </w:t>
      </w:r>
      <w:r w:rsidRPr="00382917">
        <w:t>set,</w:t>
      </w:r>
      <w:r w:rsidR="009C713D" w:rsidRPr="00382917">
        <w:t>”</w:t>
      </w:r>
      <w:r w:rsidR="00EE4FC3">
        <w:t xml:space="preserve"> </w:t>
      </w:r>
      <w:r w:rsidRPr="00382917">
        <w:t>he</w:t>
      </w:r>
      <w:r w:rsidR="00EE4FC3">
        <w:t xml:space="preserve"> </w:t>
      </w:r>
      <w:r w:rsidRPr="00382917">
        <w:t>said,</w:t>
      </w:r>
      <w:r w:rsidR="00EE4FC3">
        <w:t xml:space="preserve"> </w:t>
      </w:r>
      <w:r w:rsidR="009C713D" w:rsidRPr="00382917">
        <w:t>“</w:t>
      </w:r>
      <w:r w:rsidRPr="00382917">
        <w:t>the</w:t>
      </w:r>
      <w:r w:rsidR="00EE4FC3">
        <w:t xml:space="preserve"> </w:t>
      </w:r>
      <w:r w:rsidRPr="00382917">
        <w:t>Sun</w:t>
      </w:r>
      <w:r w:rsidR="00EE4FC3">
        <w:t xml:space="preserve"> </w:t>
      </w:r>
      <w:r w:rsidRPr="00382917">
        <w:t>of</w:t>
      </w:r>
      <w:r w:rsidR="00EE4FC3">
        <w:t xml:space="preserve"> </w:t>
      </w:r>
      <w:r w:rsidRPr="00382917">
        <w:t>the</w:t>
      </w:r>
      <w:r w:rsidR="00EE4FC3">
        <w:t xml:space="preserve"> </w:t>
      </w:r>
      <w:r w:rsidRPr="00382917">
        <w:t>Latter</w:t>
      </w:r>
      <w:r w:rsidR="00EE4FC3">
        <w:t xml:space="preserve"> </w:t>
      </w:r>
      <w:r w:rsidRPr="00382917">
        <w:t>will</w:t>
      </w:r>
      <w:r w:rsidR="00EE4FC3">
        <w:t xml:space="preserve"> </w:t>
      </w:r>
      <w:r w:rsidRPr="00382917">
        <w:t>rise</w:t>
      </w:r>
      <w:r w:rsidR="00EE4FC3">
        <w:t xml:space="preserve"> </w:t>
      </w:r>
      <w:r w:rsidRPr="00382917">
        <w:t>and</w:t>
      </w:r>
      <w:r w:rsidR="00EE4FC3">
        <w:t xml:space="preserve"> </w:t>
      </w:r>
      <w:r w:rsidRPr="00382917">
        <w:t>illuminate</w:t>
      </w:r>
      <w:r w:rsidR="00EE4FC3">
        <w:t xml:space="preserve"> </w:t>
      </w:r>
      <w:r w:rsidRPr="00382917">
        <w:t>the</w:t>
      </w:r>
      <w:r w:rsidR="00EE4FC3">
        <w:t xml:space="preserve"> </w:t>
      </w:r>
      <w:r w:rsidRPr="00382917">
        <w:t>whole</w:t>
      </w:r>
      <w:r w:rsidR="00EE4FC3">
        <w:t xml:space="preserve"> </w:t>
      </w:r>
      <w:r w:rsidRPr="00382917">
        <w:t>world.</w:t>
      </w:r>
      <w:r w:rsidR="009C713D" w:rsidRPr="00382917">
        <w:t>”</w:t>
      </w:r>
    </w:p>
    <w:p w:rsidR="00E13D49" w:rsidRPr="00382917" w:rsidRDefault="00581CF7" w:rsidP="00382917">
      <w:pPr>
        <w:pStyle w:val="Text"/>
      </w:pPr>
      <w:r w:rsidRPr="00382917">
        <w:t>His</w:t>
      </w:r>
      <w:r w:rsidR="00EE4FC3">
        <w:t xml:space="preserve"> </w:t>
      </w:r>
      <w:r w:rsidRPr="00382917">
        <w:t>followers,</w:t>
      </w:r>
      <w:r w:rsidR="00EE4FC3">
        <w:t xml:space="preserve"> </w:t>
      </w:r>
      <w:r w:rsidRPr="00382917">
        <w:t>Siyyid</w:t>
      </w:r>
      <w:r w:rsidR="00EE4FC3">
        <w:t xml:space="preserve"> </w:t>
      </w:r>
      <w:r w:rsidRPr="00382917">
        <w:t>Káẓim</w:t>
      </w:r>
      <w:r w:rsidR="00EE4FC3">
        <w:t xml:space="preserve"> </w:t>
      </w:r>
      <w:r w:rsidRPr="00382917">
        <w:t>pointed</w:t>
      </w:r>
      <w:r w:rsidR="00EE4FC3">
        <w:t xml:space="preserve"> </w:t>
      </w:r>
      <w:r w:rsidRPr="00382917">
        <w:t>out,</w:t>
      </w:r>
      <w:r w:rsidR="00EE4FC3">
        <w:t xml:space="preserve"> </w:t>
      </w:r>
      <w:r w:rsidRPr="00382917">
        <w:t>were</w:t>
      </w:r>
      <w:r w:rsidR="00EE4FC3">
        <w:t xml:space="preserve"> </w:t>
      </w:r>
      <w:r w:rsidRPr="00382917">
        <w:t>living</w:t>
      </w:r>
      <w:r w:rsidR="00EE4FC3">
        <w:t xml:space="preserve"> </w:t>
      </w:r>
      <w:r w:rsidRPr="00382917">
        <w:t>in</w:t>
      </w:r>
      <w:r w:rsidR="00EE4FC3">
        <w:t xml:space="preserve"> </w:t>
      </w:r>
      <w:r w:rsidRPr="00382917">
        <w:t>the</w:t>
      </w:r>
      <w:r w:rsidR="00EE4FC3">
        <w:t xml:space="preserve"> </w:t>
      </w:r>
      <w:r w:rsidRPr="00382917">
        <w:t>very</w:t>
      </w:r>
      <w:r w:rsidR="00EE4FC3">
        <w:t xml:space="preserve"> </w:t>
      </w:r>
      <w:r w:rsidRPr="00382917">
        <w:t>day</w:t>
      </w:r>
      <w:r w:rsidR="00EE4FC3">
        <w:t xml:space="preserve"> </w:t>
      </w:r>
      <w:r w:rsidRPr="00382917">
        <w:t>of</w:t>
      </w:r>
      <w:r w:rsidR="00EE4FC3">
        <w:t xml:space="preserve"> </w:t>
      </w:r>
      <w:r w:rsidRPr="00382917">
        <w:t>the</w:t>
      </w:r>
      <w:r w:rsidR="00EE4FC3">
        <w:t xml:space="preserve"> </w:t>
      </w:r>
      <w:r w:rsidRPr="00382917">
        <w:t>prophecy</w:t>
      </w:r>
      <w:r w:rsidR="00EE4FC3">
        <w:t xml:space="preserve"> </w:t>
      </w:r>
      <w:r w:rsidRPr="00382917">
        <w:t>which</w:t>
      </w:r>
      <w:r w:rsidR="00EE4FC3">
        <w:t xml:space="preserve"> </w:t>
      </w:r>
      <w:r w:rsidRPr="00382917">
        <w:t>was</w:t>
      </w:r>
      <w:r w:rsidR="00EE4FC3">
        <w:t xml:space="preserve"> </w:t>
      </w:r>
      <w:r w:rsidRPr="00382917">
        <w:t>fulfilled</w:t>
      </w:r>
      <w:r w:rsidR="00EE4FC3">
        <w:t xml:space="preserve"> </w:t>
      </w:r>
      <w:r w:rsidRPr="00382917">
        <w:t>by</w:t>
      </w:r>
      <w:r w:rsidR="00EE4FC3">
        <w:t xml:space="preserve"> </w:t>
      </w:r>
      <w:r w:rsidRPr="00382917">
        <w:t>these</w:t>
      </w:r>
      <w:r w:rsidR="00EE4FC3">
        <w:t xml:space="preserve"> </w:t>
      </w:r>
      <w:r w:rsidRPr="00382917">
        <w:t>words.</w:t>
      </w:r>
      <w:r w:rsidR="00EE4FC3">
        <w:t xml:space="preserve">  </w:t>
      </w:r>
      <w:r w:rsidR="009C713D" w:rsidRPr="00382917">
        <w:t>“</w:t>
      </w:r>
      <w:r w:rsidRPr="00382917">
        <w:t>In</w:t>
      </w:r>
      <w:r w:rsidR="00EE4FC3">
        <w:t xml:space="preserve"> </w:t>
      </w:r>
      <w:r w:rsidRPr="00382917">
        <w:t>the</w:t>
      </w:r>
      <w:r w:rsidR="00EE4FC3">
        <w:t xml:space="preserve"> </w:t>
      </w:r>
      <w:r w:rsidRPr="00382917">
        <w:t>year</w:t>
      </w:r>
      <w:r w:rsidR="00EE4FC3">
        <w:t xml:space="preserve"> </w:t>
      </w:r>
      <w:r w:rsidRPr="00382917">
        <w:t>1260</w:t>
      </w:r>
      <w:r w:rsidR="00EE4FC3">
        <w:t xml:space="preserve"> </w:t>
      </w:r>
      <w:r w:rsidRPr="00382917">
        <w:t>[1844]</w:t>
      </w:r>
      <w:r w:rsidR="00EE4FC3">
        <w:t xml:space="preserve"> </w:t>
      </w:r>
      <w:r w:rsidRPr="00382917">
        <w:t>the</w:t>
      </w:r>
      <w:r w:rsidR="00EE4FC3">
        <w:t xml:space="preserve"> </w:t>
      </w:r>
      <w:r w:rsidRPr="00382917">
        <w:t>earth</w:t>
      </w:r>
      <w:r w:rsidR="00EE4FC3">
        <w:t xml:space="preserve"> </w:t>
      </w:r>
      <w:r w:rsidRPr="00382917">
        <w:t>shall</w:t>
      </w:r>
      <w:r w:rsidR="00EE4FC3">
        <w:t xml:space="preserve"> </w:t>
      </w:r>
      <w:r w:rsidRPr="00382917">
        <w:t>be</w:t>
      </w:r>
      <w:r w:rsidR="00EE4FC3">
        <w:t xml:space="preserve"> </w:t>
      </w:r>
      <w:r w:rsidRPr="00382917">
        <w:t>illumined</w:t>
      </w:r>
      <w:r w:rsidR="00EE4FC3">
        <w:t xml:space="preserve"> </w:t>
      </w:r>
      <w:r w:rsidRPr="00382917">
        <w:t>by</w:t>
      </w:r>
      <w:r w:rsidR="00EE4FC3">
        <w:t xml:space="preserve"> </w:t>
      </w:r>
      <w:r w:rsidRPr="00382917">
        <w:t>His</w:t>
      </w:r>
      <w:r w:rsidR="00EE4FC3">
        <w:t xml:space="preserve"> </w:t>
      </w:r>
      <w:r w:rsidRPr="00382917">
        <w:t>light</w:t>
      </w:r>
      <w:proofErr w:type="gramStart"/>
      <w:r w:rsidRPr="00382917">
        <w:t>.</w:t>
      </w:r>
      <w:r w:rsidR="00EE4FC3">
        <w:t xml:space="preserve"> </w:t>
      </w:r>
      <w:proofErr w:type="gramEnd"/>
      <w:r w:rsidR="00F04416" w:rsidRPr="00382917">
        <w:t>…</w:t>
      </w:r>
      <w:r w:rsidR="00EE4FC3">
        <w:t xml:space="preserve">  </w:t>
      </w:r>
      <w:r w:rsidRPr="00382917">
        <w:t>If</w:t>
      </w:r>
      <w:r w:rsidR="00EE4FC3">
        <w:t xml:space="preserve"> </w:t>
      </w:r>
      <w:r w:rsidRPr="00382917">
        <w:t>thou</w:t>
      </w:r>
      <w:r w:rsidR="00EE4FC3">
        <w:t xml:space="preserve"> </w:t>
      </w:r>
      <w:proofErr w:type="spellStart"/>
      <w:r w:rsidRPr="00382917">
        <w:t>livest</w:t>
      </w:r>
      <w:proofErr w:type="spellEnd"/>
      <w:r w:rsidR="00EE4FC3">
        <w:t xml:space="preserve"> </w:t>
      </w:r>
      <w:r w:rsidRPr="00382917">
        <w:t>until</w:t>
      </w:r>
      <w:r w:rsidR="00EE4FC3">
        <w:t xml:space="preserve"> </w:t>
      </w:r>
      <w:r w:rsidRPr="00382917">
        <w:t>the</w:t>
      </w:r>
      <w:r w:rsidR="00EE4FC3">
        <w:t xml:space="preserve"> </w:t>
      </w:r>
      <w:r w:rsidRPr="00382917">
        <w:t>year</w:t>
      </w:r>
      <w:r w:rsidR="00EE4FC3">
        <w:t xml:space="preserve"> </w:t>
      </w:r>
      <w:r w:rsidRPr="00382917">
        <w:t>1270</w:t>
      </w:r>
      <w:r w:rsidR="00EE4FC3">
        <w:t xml:space="preserve"> </w:t>
      </w:r>
      <w:r w:rsidRPr="00382917">
        <w:t>[1853]</w:t>
      </w:r>
      <w:r w:rsidR="00EE4FC3">
        <w:t xml:space="preserve"> </w:t>
      </w:r>
      <w:r w:rsidRPr="00382917">
        <w:t>thou</w:t>
      </w:r>
      <w:r w:rsidR="00EE4FC3">
        <w:t xml:space="preserve"> </w:t>
      </w:r>
      <w:r w:rsidRPr="00382917">
        <w:t>shalt</w:t>
      </w:r>
      <w:r w:rsidR="00EE4FC3">
        <w:t xml:space="preserve"> </w:t>
      </w:r>
      <w:r w:rsidRPr="00382917">
        <w:t>witness</w:t>
      </w:r>
      <w:r w:rsidR="00EE4FC3">
        <w:t xml:space="preserve"> </w:t>
      </w:r>
      <w:r w:rsidRPr="00382917">
        <w:t>how</w:t>
      </w:r>
      <w:r w:rsidR="00EE4FC3">
        <w:t xml:space="preserve"> </w:t>
      </w:r>
      <w:r w:rsidRPr="00382917">
        <w:t>the</w:t>
      </w:r>
      <w:r w:rsidR="00EE4FC3">
        <w:t xml:space="preserve"> </w:t>
      </w:r>
      <w:r w:rsidRPr="00382917">
        <w:t>nations,</w:t>
      </w:r>
      <w:r w:rsidR="00EE4FC3">
        <w:t xml:space="preserve"> </w:t>
      </w:r>
      <w:r w:rsidRPr="00382917">
        <w:t>the</w:t>
      </w:r>
      <w:r w:rsidR="00EE4FC3">
        <w:t xml:space="preserve"> </w:t>
      </w:r>
      <w:r w:rsidRPr="00382917">
        <w:t>rulers,</w:t>
      </w:r>
      <w:r w:rsidR="00EE4FC3">
        <w:t xml:space="preserve"> </w:t>
      </w:r>
      <w:r w:rsidRPr="00382917">
        <w:t>the</w:t>
      </w:r>
      <w:r w:rsidR="00EE4FC3">
        <w:t xml:space="preserve"> </w:t>
      </w:r>
      <w:r w:rsidRPr="00382917">
        <w:t>peoples,</w:t>
      </w:r>
      <w:r w:rsidR="00EE4FC3">
        <w:t xml:space="preserve"> </w:t>
      </w:r>
      <w:r w:rsidRPr="00382917">
        <w:t>and</w:t>
      </w:r>
      <w:r w:rsidR="00EE4FC3">
        <w:t xml:space="preserve"> </w:t>
      </w:r>
      <w:r w:rsidRPr="00382917">
        <w:t>the</w:t>
      </w:r>
      <w:r w:rsidR="00EE4FC3">
        <w:t xml:space="preserve"> </w:t>
      </w:r>
      <w:r w:rsidRPr="00382917">
        <w:t>Faith</w:t>
      </w:r>
      <w:r w:rsidR="00EE4FC3">
        <w:t xml:space="preserve"> </w:t>
      </w:r>
      <w:r w:rsidRPr="00382917">
        <w:t>of</w:t>
      </w:r>
      <w:r w:rsidR="00EE4FC3">
        <w:t xml:space="preserve"> </w:t>
      </w:r>
      <w:r w:rsidRPr="00382917">
        <w:t>God</w:t>
      </w:r>
      <w:r w:rsidR="00EE4FC3">
        <w:t xml:space="preserve"> </w:t>
      </w:r>
      <w:r w:rsidRPr="00382917">
        <w:t>shall</w:t>
      </w:r>
      <w:r w:rsidR="00EE4FC3">
        <w:t xml:space="preserve"> </w:t>
      </w:r>
      <w:r w:rsidRPr="00382917">
        <w:t>all</w:t>
      </w:r>
      <w:r w:rsidR="00EE4FC3">
        <w:t xml:space="preserve"> </w:t>
      </w:r>
      <w:r w:rsidRPr="00382917">
        <w:t>have</w:t>
      </w:r>
      <w:r w:rsidR="00EE4FC3">
        <w:t xml:space="preserve"> </w:t>
      </w:r>
      <w:r w:rsidRPr="00382917">
        <w:t>been</w:t>
      </w:r>
      <w:r w:rsidR="00EE4FC3">
        <w:t xml:space="preserve"> </w:t>
      </w:r>
      <w:r w:rsidRPr="00382917">
        <w:t>renewed.</w:t>
      </w:r>
      <w:r w:rsidR="009C713D" w:rsidRPr="00382917">
        <w:t>”</w:t>
      </w:r>
      <w:r w:rsidR="00382917">
        <w:rPr>
          <w:rStyle w:val="FootnoteReference"/>
        </w:rPr>
        <w:footnoteReference w:id="10"/>
      </w:r>
    </w:p>
    <w:p w:rsidR="00581CF7" w:rsidRPr="00382917" w:rsidRDefault="00581CF7" w:rsidP="006D18A4">
      <w:pPr>
        <w:pStyle w:val="Text"/>
      </w:pPr>
      <w:r w:rsidRPr="00382917">
        <w:t>In</w:t>
      </w:r>
      <w:r w:rsidR="00EE4FC3">
        <w:t xml:space="preserve"> </w:t>
      </w:r>
      <w:r w:rsidRPr="00382917">
        <w:t>the</w:t>
      </w:r>
      <w:r w:rsidR="00EE4FC3">
        <w:t xml:space="preserve"> </w:t>
      </w:r>
      <w:r w:rsidRPr="00382917">
        <w:t>last</w:t>
      </w:r>
      <w:r w:rsidR="00EE4FC3">
        <w:t xml:space="preserve"> </w:t>
      </w:r>
      <w:r w:rsidRPr="00382917">
        <w:t>year</w:t>
      </w:r>
      <w:r w:rsidR="00EE4FC3">
        <w:t xml:space="preserve"> </w:t>
      </w:r>
      <w:r w:rsidRPr="00382917">
        <w:t>of</w:t>
      </w:r>
      <w:r w:rsidR="00EE4FC3">
        <w:t xml:space="preserve"> </w:t>
      </w:r>
      <w:r w:rsidRPr="00382917">
        <w:t>his</w:t>
      </w:r>
      <w:r w:rsidR="00EE4FC3">
        <w:t xml:space="preserve"> </w:t>
      </w:r>
      <w:r w:rsidRPr="00382917">
        <w:t>life,</w:t>
      </w:r>
      <w:r w:rsidR="00EE4FC3">
        <w:t xml:space="preserve"> </w:t>
      </w:r>
      <w:r w:rsidRPr="00382917">
        <w:t>Siyyid</w:t>
      </w:r>
      <w:r w:rsidR="00EE4FC3">
        <w:t xml:space="preserve"> </w:t>
      </w:r>
      <w:r w:rsidRPr="00382917">
        <w:t>Káẓim</w:t>
      </w:r>
      <w:r w:rsidR="00EE4FC3">
        <w:t xml:space="preserve"> </w:t>
      </w:r>
      <w:r w:rsidRPr="00382917">
        <w:t>left</w:t>
      </w:r>
      <w:r w:rsidR="00EE4FC3">
        <w:t xml:space="preserve"> </w:t>
      </w:r>
      <w:r w:rsidRPr="00382917">
        <w:t>the</w:t>
      </w:r>
      <w:r w:rsidR="00EE4FC3">
        <w:t xml:space="preserve"> </w:t>
      </w:r>
      <w:r w:rsidRPr="00382917">
        <w:t>city</w:t>
      </w:r>
      <w:r w:rsidR="00EE4FC3">
        <w:t xml:space="preserve"> </w:t>
      </w:r>
      <w:r w:rsidRPr="00382917">
        <w:t>of</w:t>
      </w:r>
      <w:r w:rsidR="00EE4FC3">
        <w:t xml:space="preserve"> </w:t>
      </w:r>
      <w:r w:rsidRPr="00382917">
        <w:t>Karbilá</w:t>
      </w:r>
      <w:r w:rsidR="00EE4FC3">
        <w:t xml:space="preserve"> </w:t>
      </w:r>
      <w:r w:rsidRPr="00382917">
        <w:t>to</w:t>
      </w:r>
      <w:r w:rsidR="00EE4FC3">
        <w:t xml:space="preserve"> </w:t>
      </w:r>
      <w:r w:rsidRPr="00382917">
        <w:t>visit</w:t>
      </w:r>
      <w:r w:rsidR="00EE4FC3">
        <w:t xml:space="preserve"> </w:t>
      </w:r>
      <w:r w:rsidRPr="00382917">
        <w:t>the</w:t>
      </w:r>
      <w:r w:rsidR="00EE4FC3">
        <w:t xml:space="preserve"> </w:t>
      </w:r>
      <w:r w:rsidRPr="00382917">
        <w:t>holy</w:t>
      </w:r>
      <w:r w:rsidR="00EE4FC3">
        <w:t xml:space="preserve"> </w:t>
      </w:r>
      <w:r w:rsidRPr="00382917">
        <w:t>Shrines</w:t>
      </w:r>
      <w:r w:rsidR="00EE4FC3">
        <w:t xml:space="preserve"> </w:t>
      </w:r>
      <w:r w:rsidRPr="00382917">
        <w:t>nearby.</w:t>
      </w:r>
      <w:r w:rsidR="00EE4FC3">
        <w:t xml:space="preserve">  </w:t>
      </w:r>
      <w:r w:rsidRPr="00382917">
        <w:t>He</w:t>
      </w:r>
      <w:r w:rsidR="00EE4FC3">
        <w:t xml:space="preserve"> </w:t>
      </w:r>
      <w:r w:rsidRPr="00382917">
        <w:t>stopped</w:t>
      </w:r>
      <w:r w:rsidR="00EE4FC3">
        <w:t xml:space="preserve"> </w:t>
      </w:r>
      <w:r w:rsidRPr="00382917">
        <w:t>at</w:t>
      </w:r>
      <w:r w:rsidR="00EE4FC3">
        <w:t xml:space="preserve"> </w:t>
      </w:r>
      <w:r w:rsidRPr="00382917">
        <w:t>a</w:t>
      </w:r>
      <w:r w:rsidR="00EE4FC3">
        <w:t xml:space="preserve"> </w:t>
      </w:r>
      <w:r w:rsidRPr="00382917">
        <w:t>prayer-house</w:t>
      </w:r>
      <w:r w:rsidR="00EE4FC3">
        <w:t xml:space="preserve"> </w:t>
      </w:r>
      <w:r w:rsidRPr="00382917">
        <w:t>beside</w:t>
      </w:r>
      <w:r w:rsidR="00EE4FC3">
        <w:t xml:space="preserve"> </w:t>
      </w:r>
      <w:r w:rsidRPr="00382917">
        <w:t>the</w:t>
      </w:r>
      <w:r w:rsidR="00EE4FC3">
        <w:t xml:space="preserve"> </w:t>
      </w:r>
      <w:r w:rsidRPr="00382917">
        <w:t>highway</w:t>
      </w:r>
      <w:r w:rsidR="00EE4FC3">
        <w:t xml:space="preserve"> </w:t>
      </w:r>
      <w:r w:rsidRPr="00382917">
        <w:t>to</w:t>
      </w:r>
      <w:r w:rsidR="00EE4FC3">
        <w:t xml:space="preserve"> </w:t>
      </w:r>
      <w:r w:rsidRPr="00382917">
        <w:t>offer</w:t>
      </w:r>
      <w:r w:rsidR="00EE4FC3">
        <w:t xml:space="preserve"> </w:t>
      </w:r>
      <w:r w:rsidRPr="00382917">
        <w:t>his</w:t>
      </w:r>
      <w:r w:rsidR="00EE4FC3">
        <w:t xml:space="preserve"> </w:t>
      </w:r>
      <w:r w:rsidRPr="00382917">
        <w:t>noonday</w:t>
      </w:r>
      <w:r w:rsidR="00EE4FC3">
        <w:t xml:space="preserve"> </w:t>
      </w:r>
      <w:r w:rsidRPr="00382917">
        <w:t>devotions.</w:t>
      </w:r>
      <w:r w:rsidR="00EE4FC3">
        <w:t xml:space="preserve">  </w:t>
      </w:r>
      <w:r w:rsidRPr="00382917">
        <w:t>He</w:t>
      </w:r>
      <w:r w:rsidR="00EE4FC3">
        <w:t xml:space="preserve"> </w:t>
      </w:r>
      <w:r w:rsidRPr="00382917">
        <w:t>was</w:t>
      </w:r>
      <w:r w:rsidR="00EE4FC3">
        <w:t xml:space="preserve"> </w:t>
      </w:r>
      <w:r w:rsidRPr="00382917">
        <w:t>standing</w:t>
      </w:r>
      <w:r w:rsidR="00EE4FC3">
        <w:t xml:space="preserve"> </w:t>
      </w:r>
      <w:r w:rsidRPr="00382917">
        <w:t>beneath</w:t>
      </w:r>
      <w:r w:rsidR="00EE4FC3">
        <w:t xml:space="preserve"> </w:t>
      </w:r>
      <w:r w:rsidRPr="00382917">
        <w:t>the</w:t>
      </w:r>
      <w:r w:rsidR="00EE4FC3">
        <w:t xml:space="preserve"> </w:t>
      </w:r>
      <w:r w:rsidRPr="00382917">
        <w:t>shade</w:t>
      </w:r>
      <w:r w:rsidR="00EE4FC3">
        <w:t xml:space="preserve"> </w:t>
      </w:r>
      <w:r w:rsidRPr="00382917">
        <w:t>of</w:t>
      </w:r>
      <w:r w:rsidR="00EE4FC3">
        <w:t xml:space="preserve"> </w:t>
      </w:r>
      <w:r w:rsidRPr="00382917">
        <w:t>a</w:t>
      </w:r>
      <w:r w:rsidR="00EE4FC3">
        <w:t xml:space="preserve"> </w:t>
      </w:r>
      <w:r w:rsidRPr="00382917">
        <w:t>palm,</w:t>
      </w:r>
      <w:r w:rsidR="00EE4FC3">
        <w:t xml:space="preserve"> </w:t>
      </w:r>
      <w:r w:rsidRPr="00382917">
        <w:t>when</w:t>
      </w:r>
      <w:r w:rsidR="00EE4FC3">
        <w:t xml:space="preserve"> </w:t>
      </w:r>
      <w:r w:rsidRPr="00382917">
        <w:t>suddenly</w:t>
      </w:r>
      <w:r w:rsidR="00EE4FC3">
        <w:t xml:space="preserve"> </w:t>
      </w:r>
      <w:r w:rsidRPr="00382917">
        <w:t>an</w:t>
      </w:r>
      <w:r w:rsidR="00EE4FC3">
        <w:t xml:space="preserve"> </w:t>
      </w:r>
      <w:r w:rsidRPr="00382917">
        <w:t>Arab</w:t>
      </w:r>
      <w:r w:rsidR="00EE4FC3">
        <w:t xml:space="preserve"> </w:t>
      </w:r>
      <w:r w:rsidRPr="00382917">
        <w:t>appeared.</w:t>
      </w:r>
      <w:r w:rsidR="00EE4FC3">
        <w:t xml:space="preserve">  </w:t>
      </w:r>
      <w:r w:rsidRPr="00382917">
        <w:t>He</w:t>
      </w:r>
      <w:r w:rsidR="00EE4FC3">
        <w:t xml:space="preserve"> </w:t>
      </w:r>
      <w:r w:rsidRPr="00382917">
        <w:t>approached</w:t>
      </w:r>
      <w:r w:rsidR="00EE4FC3">
        <w:t xml:space="preserve"> </w:t>
      </w:r>
      <w:r w:rsidRPr="00382917">
        <w:t>Siyyid</w:t>
      </w:r>
      <w:r w:rsidR="00EE4FC3">
        <w:t xml:space="preserve"> </w:t>
      </w:r>
      <w:r w:rsidRPr="00382917">
        <w:t>Káẓim</w:t>
      </w:r>
      <w:r w:rsidR="00EE4FC3">
        <w:t xml:space="preserve"> </w:t>
      </w:r>
      <w:r w:rsidRPr="00382917">
        <w:t>and</w:t>
      </w:r>
      <w:r w:rsidR="00EE4FC3">
        <w:t xml:space="preserve"> </w:t>
      </w:r>
      <w:r w:rsidRPr="00382917">
        <w:t>spoke</w:t>
      </w:r>
      <w:r w:rsidR="00EE4FC3">
        <w:t xml:space="preserve"> </w:t>
      </w:r>
      <w:r w:rsidRPr="00382917">
        <w:t>to</w:t>
      </w:r>
      <w:r w:rsidR="00EE4FC3">
        <w:t xml:space="preserve"> </w:t>
      </w:r>
      <w:r w:rsidRPr="00382917">
        <w:t>him.</w:t>
      </w:r>
    </w:p>
    <w:p w:rsidR="00581CF7" w:rsidRPr="00382917" w:rsidRDefault="009C713D" w:rsidP="00382917">
      <w:pPr>
        <w:pStyle w:val="Text"/>
      </w:pPr>
      <w:r w:rsidRPr="00382917">
        <w:t>“</w:t>
      </w:r>
      <w:r w:rsidR="00581CF7" w:rsidRPr="00382917">
        <w:t>Three</w:t>
      </w:r>
      <w:r w:rsidR="00EE4FC3">
        <w:t xml:space="preserve"> </w:t>
      </w:r>
      <w:r w:rsidR="00581CF7" w:rsidRPr="00382917">
        <w:t>days</w:t>
      </w:r>
      <w:r w:rsidR="00EE4FC3">
        <w:t xml:space="preserve"> </w:t>
      </w:r>
      <w:r w:rsidR="00581CF7" w:rsidRPr="00382917">
        <w:t>ago</w:t>
      </w:r>
      <w:r w:rsidR="00EE4FC3">
        <w:t xml:space="preserve"> </w:t>
      </w:r>
      <w:r w:rsidR="00581CF7" w:rsidRPr="00382917">
        <w:t>I</w:t>
      </w:r>
      <w:r w:rsidR="00EE4FC3">
        <w:t xml:space="preserve"> </w:t>
      </w:r>
      <w:r w:rsidR="00581CF7" w:rsidRPr="00382917">
        <w:t>was</w:t>
      </w:r>
      <w:r w:rsidR="00EE4FC3">
        <w:t xml:space="preserve"> </w:t>
      </w:r>
      <w:r w:rsidR="00581CF7" w:rsidRPr="00382917">
        <w:t>shepherding</w:t>
      </w:r>
      <w:r w:rsidR="00EE4FC3">
        <w:t xml:space="preserve"> </w:t>
      </w:r>
      <w:r w:rsidR="00581CF7" w:rsidRPr="00382917">
        <w:t>my</w:t>
      </w:r>
      <w:r w:rsidR="00EE4FC3">
        <w:t xml:space="preserve"> </w:t>
      </w:r>
      <w:r w:rsidR="00581CF7" w:rsidRPr="00382917">
        <w:t>flock</w:t>
      </w:r>
      <w:r w:rsidR="00EE4FC3">
        <w:t xml:space="preserve"> </w:t>
      </w:r>
      <w:r w:rsidR="00581CF7" w:rsidRPr="00382917">
        <w:t>in</w:t>
      </w:r>
      <w:r w:rsidR="00EE4FC3">
        <w:t xml:space="preserve"> </w:t>
      </w:r>
      <w:r w:rsidR="00581CF7" w:rsidRPr="00382917">
        <w:t>an</w:t>
      </w:r>
      <w:r w:rsidR="00EE4FC3">
        <w:t xml:space="preserve"> </w:t>
      </w:r>
      <w:r w:rsidR="00581CF7" w:rsidRPr="00382917">
        <w:t>adjoining</w:t>
      </w:r>
      <w:r w:rsidR="00EE4FC3">
        <w:t xml:space="preserve"> </w:t>
      </w:r>
      <w:r w:rsidR="00581CF7" w:rsidRPr="00382917">
        <w:t>pasture,</w:t>
      </w:r>
      <w:r w:rsidRPr="00382917">
        <w:t>”</w:t>
      </w:r>
      <w:r w:rsidR="00EE4FC3">
        <w:t xml:space="preserve"> </w:t>
      </w:r>
      <w:r w:rsidR="00581CF7" w:rsidRPr="00382917">
        <w:t>he</w:t>
      </w:r>
      <w:r w:rsidR="00EE4FC3">
        <w:t xml:space="preserve"> </w:t>
      </w:r>
      <w:r w:rsidR="00581CF7" w:rsidRPr="00382917">
        <w:t>told</w:t>
      </w:r>
      <w:r w:rsidR="00EE4FC3">
        <w:t xml:space="preserve"> </w:t>
      </w:r>
      <w:r w:rsidR="00581CF7" w:rsidRPr="00382917">
        <w:t>Siyyid</w:t>
      </w:r>
      <w:r w:rsidR="00EE4FC3">
        <w:t xml:space="preserve"> </w:t>
      </w:r>
      <w:r w:rsidR="00581CF7" w:rsidRPr="00382917">
        <w:t>Káẓim.</w:t>
      </w:r>
      <w:r w:rsidR="00EE4FC3">
        <w:t xml:space="preserve">  </w:t>
      </w:r>
      <w:r w:rsidRPr="00382917">
        <w:t>“</w:t>
      </w:r>
      <w:r w:rsidR="00581CF7" w:rsidRPr="00382917">
        <w:t>All</w:t>
      </w:r>
      <w:r w:rsidR="00EE4FC3">
        <w:t xml:space="preserve"> </w:t>
      </w:r>
      <w:r w:rsidR="00581CF7" w:rsidRPr="00382917">
        <w:t>of</w:t>
      </w:r>
      <w:r w:rsidR="00EE4FC3">
        <w:t xml:space="preserve"> </w:t>
      </w:r>
      <w:r w:rsidR="00581CF7" w:rsidRPr="00382917">
        <w:t>a</w:t>
      </w:r>
      <w:r w:rsidR="00EE4FC3">
        <w:t xml:space="preserve"> </w:t>
      </w:r>
      <w:r w:rsidR="00581CF7" w:rsidRPr="00382917">
        <w:t>sudden</w:t>
      </w:r>
      <w:r w:rsidR="00EE4FC3">
        <w:t xml:space="preserve"> </w:t>
      </w:r>
      <w:r w:rsidR="00581CF7" w:rsidRPr="00382917">
        <w:t>sleep</w:t>
      </w:r>
      <w:r w:rsidR="00EE4FC3">
        <w:t xml:space="preserve"> </w:t>
      </w:r>
      <w:r w:rsidR="00581CF7" w:rsidRPr="00382917">
        <w:t>overtook</w:t>
      </w:r>
      <w:r w:rsidR="00EE4FC3">
        <w:t xml:space="preserve"> </w:t>
      </w:r>
      <w:r w:rsidR="00581CF7" w:rsidRPr="00382917">
        <w:t>me.</w:t>
      </w:r>
      <w:r w:rsidR="00EE4FC3">
        <w:t xml:space="preserve">  </w:t>
      </w:r>
      <w:r w:rsidR="00581CF7" w:rsidRPr="00382917">
        <w:t>The</w:t>
      </w:r>
      <w:r w:rsidR="00EE4FC3">
        <w:t xml:space="preserve"> </w:t>
      </w:r>
      <w:r w:rsidR="00581CF7" w:rsidRPr="00382917">
        <w:t>Prophet</w:t>
      </w:r>
      <w:r w:rsidR="00EE4FC3">
        <w:t xml:space="preserve"> </w:t>
      </w:r>
      <w:r w:rsidR="00581CF7" w:rsidRPr="00382917">
        <w:t>appeared</w:t>
      </w:r>
      <w:r w:rsidR="00EE4FC3">
        <w:t xml:space="preserve"> </w:t>
      </w:r>
      <w:r w:rsidR="00581CF7" w:rsidRPr="00382917">
        <w:t>to</w:t>
      </w:r>
      <w:r w:rsidR="00EE4FC3">
        <w:t xml:space="preserve"> </w:t>
      </w:r>
      <w:r w:rsidR="00581CF7" w:rsidRPr="00382917">
        <w:t>me</w:t>
      </w:r>
      <w:r w:rsidR="00EE4FC3">
        <w:t xml:space="preserve"> </w:t>
      </w:r>
      <w:r w:rsidR="00581CF7" w:rsidRPr="00382917">
        <w:t>in</w:t>
      </w:r>
      <w:r w:rsidR="00EE4FC3">
        <w:t xml:space="preserve"> </w:t>
      </w:r>
      <w:r w:rsidR="00581CF7" w:rsidRPr="00382917">
        <w:t>my</w:t>
      </w:r>
      <w:r w:rsidR="00EE4FC3">
        <w:t xml:space="preserve"> </w:t>
      </w:r>
      <w:r w:rsidR="00581CF7" w:rsidRPr="00382917">
        <w:t>sleep.</w:t>
      </w:r>
      <w:r w:rsidR="00EE4FC3">
        <w:t xml:space="preserve">  </w:t>
      </w:r>
      <w:r w:rsidR="00581CF7" w:rsidRPr="00382917">
        <w:t>He</w:t>
      </w:r>
      <w:r w:rsidR="00EE4FC3">
        <w:t xml:space="preserve"> </w:t>
      </w:r>
      <w:r w:rsidR="00581CF7" w:rsidRPr="00382917">
        <w:t>said</w:t>
      </w:r>
      <w:r w:rsidR="00EE4FC3">
        <w:t xml:space="preserve"> </w:t>
      </w:r>
      <w:r w:rsidR="00581CF7" w:rsidRPr="00382917">
        <w:t>to</w:t>
      </w:r>
      <w:r w:rsidR="00EE4FC3">
        <w:t xml:space="preserve"> </w:t>
      </w:r>
      <w:r w:rsidR="00581CF7" w:rsidRPr="00382917">
        <w:t>me:</w:t>
      </w:r>
      <w:r w:rsidR="00EE4FC3">
        <w:t xml:space="preserve">  </w:t>
      </w:r>
      <w:r w:rsidRPr="00382917">
        <w:t>‘</w:t>
      </w:r>
      <w:r w:rsidR="00581CF7" w:rsidRPr="00382917">
        <w:t>Give</w:t>
      </w:r>
      <w:r w:rsidR="00EE4FC3">
        <w:t xml:space="preserve"> </w:t>
      </w:r>
      <w:r w:rsidR="00581CF7" w:rsidRPr="00382917">
        <w:t>ear</w:t>
      </w:r>
      <w:r w:rsidR="00EE4FC3">
        <w:t xml:space="preserve"> </w:t>
      </w:r>
      <w:r w:rsidR="00581CF7" w:rsidRPr="00382917">
        <w:t>to</w:t>
      </w:r>
      <w:r w:rsidR="00EE4FC3">
        <w:t xml:space="preserve"> </w:t>
      </w:r>
      <w:r w:rsidR="00581CF7" w:rsidRPr="00382917">
        <w:t>my</w:t>
      </w:r>
      <w:r w:rsidR="00EE4FC3">
        <w:t xml:space="preserve"> </w:t>
      </w:r>
      <w:r w:rsidR="00581CF7" w:rsidRPr="00382917">
        <w:t>words,</w:t>
      </w:r>
      <w:r w:rsidR="00EE4FC3">
        <w:t xml:space="preserve"> </w:t>
      </w:r>
      <w:r w:rsidR="00581CF7" w:rsidRPr="00382917">
        <w:t>O</w:t>
      </w:r>
      <w:r w:rsidR="00EE4FC3">
        <w:t xml:space="preserve"> </w:t>
      </w:r>
      <w:r w:rsidR="00581CF7" w:rsidRPr="00382917">
        <w:t>shepherd!</w:t>
      </w:r>
      <w:r w:rsidR="00EE4FC3">
        <w:t xml:space="preserve">  </w:t>
      </w:r>
      <w:r w:rsidR="00581CF7" w:rsidRPr="00382917">
        <w:t>Stay</w:t>
      </w:r>
      <w:r w:rsidR="00EE4FC3">
        <w:t xml:space="preserve"> </w:t>
      </w:r>
      <w:r w:rsidR="00581CF7" w:rsidRPr="00382917">
        <w:t>within</w:t>
      </w:r>
      <w:r w:rsidR="00EE4FC3">
        <w:t xml:space="preserve"> </w:t>
      </w:r>
      <w:r w:rsidR="00581CF7" w:rsidRPr="00382917">
        <w:t>the</w:t>
      </w:r>
      <w:r w:rsidR="00EE4FC3">
        <w:t xml:space="preserve"> </w:t>
      </w:r>
      <w:r w:rsidR="00581CF7" w:rsidRPr="00382917">
        <w:t>precincts</w:t>
      </w:r>
      <w:r w:rsidR="00EE4FC3">
        <w:t xml:space="preserve"> </w:t>
      </w:r>
      <w:r w:rsidR="00581CF7" w:rsidRPr="00382917">
        <w:t>of</w:t>
      </w:r>
      <w:r w:rsidR="00EE4FC3">
        <w:t xml:space="preserve"> </w:t>
      </w:r>
      <w:r w:rsidR="00581CF7" w:rsidRPr="00382917">
        <w:t>this</w:t>
      </w:r>
      <w:r w:rsidR="00EE4FC3">
        <w:t xml:space="preserve"> </w:t>
      </w:r>
      <w:r w:rsidR="00581CF7" w:rsidRPr="00382917">
        <w:t>prayer-house.</w:t>
      </w:r>
      <w:r w:rsidR="00EE4FC3">
        <w:t xml:space="preserve">  </w:t>
      </w:r>
      <w:r w:rsidR="00581CF7" w:rsidRPr="00382917">
        <w:t>In</w:t>
      </w:r>
      <w:r w:rsidR="00EE4FC3">
        <w:t xml:space="preserve"> </w:t>
      </w:r>
      <w:r w:rsidR="00581CF7" w:rsidRPr="00382917">
        <w:t>three</w:t>
      </w:r>
      <w:r w:rsidR="00EE4FC3">
        <w:t xml:space="preserve"> </w:t>
      </w:r>
      <w:r w:rsidR="00581CF7" w:rsidRPr="00382917">
        <w:t>days</w:t>
      </w:r>
      <w:r w:rsidR="00EE4FC3">
        <w:t xml:space="preserve"> </w:t>
      </w:r>
      <w:r w:rsidR="00581CF7" w:rsidRPr="00382917">
        <w:t>a</w:t>
      </w:r>
      <w:r w:rsidR="00EE4FC3">
        <w:t xml:space="preserve"> </w:t>
      </w:r>
      <w:r w:rsidR="00581CF7" w:rsidRPr="00382917">
        <w:t>man,</w:t>
      </w:r>
      <w:r w:rsidR="00EE4FC3">
        <w:t xml:space="preserve"> </w:t>
      </w:r>
      <w:r w:rsidR="00581CF7" w:rsidRPr="00382917">
        <w:t>Siyyid</w:t>
      </w:r>
      <w:r w:rsidR="00EE4FC3">
        <w:t xml:space="preserve"> </w:t>
      </w:r>
      <w:r w:rsidR="00581CF7" w:rsidRPr="00382917">
        <w:t>Káẓim</w:t>
      </w:r>
      <w:r w:rsidR="00EE4FC3">
        <w:t xml:space="preserve"> </w:t>
      </w:r>
      <w:r w:rsidR="00581CF7" w:rsidRPr="00382917">
        <w:t>by</w:t>
      </w:r>
      <w:r w:rsidR="00EE4FC3">
        <w:t xml:space="preserve"> </w:t>
      </w:r>
      <w:r w:rsidR="00581CF7" w:rsidRPr="00382917">
        <w:t>name,</w:t>
      </w:r>
      <w:r w:rsidR="00EE4FC3">
        <w:t xml:space="preserve"> </w:t>
      </w:r>
      <w:r w:rsidR="00581CF7" w:rsidRPr="00382917">
        <w:t>will</w:t>
      </w:r>
      <w:r w:rsidR="00EE4FC3">
        <w:t xml:space="preserve"> </w:t>
      </w:r>
      <w:r w:rsidR="00581CF7" w:rsidRPr="00382917">
        <w:t>arrive</w:t>
      </w:r>
      <w:r w:rsidR="00EE4FC3">
        <w:t xml:space="preserve"> </w:t>
      </w:r>
      <w:r w:rsidR="00581CF7" w:rsidRPr="00382917">
        <w:t>accompanied</w:t>
      </w:r>
      <w:r w:rsidR="00EE4FC3">
        <w:t xml:space="preserve"> </w:t>
      </w:r>
      <w:r w:rsidR="00581CF7" w:rsidRPr="00382917">
        <w:t>by</w:t>
      </w:r>
      <w:r w:rsidR="00EE4FC3">
        <w:t xml:space="preserve"> </w:t>
      </w:r>
      <w:r w:rsidR="00581CF7" w:rsidRPr="00382917">
        <w:t>his</w:t>
      </w:r>
      <w:r w:rsidR="00EE4FC3">
        <w:t xml:space="preserve"> </w:t>
      </w:r>
      <w:r w:rsidR="00581CF7" w:rsidRPr="00382917">
        <w:t>friends.</w:t>
      </w:r>
      <w:r w:rsidR="00EE4FC3">
        <w:t xml:space="preserve">  </w:t>
      </w:r>
      <w:r w:rsidR="00581CF7" w:rsidRPr="00382917">
        <w:t>Tell</w:t>
      </w:r>
      <w:r w:rsidR="00EE4FC3">
        <w:t xml:space="preserve"> </w:t>
      </w:r>
      <w:r w:rsidR="00581CF7" w:rsidRPr="00382917">
        <w:t>him</w:t>
      </w:r>
      <w:r w:rsidR="00EE4FC3">
        <w:t xml:space="preserve"> </w:t>
      </w:r>
      <w:r w:rsidR="00581CF7" w:rsidRPr="00382917">
        <w:t>from</w:t>
      </w:r>
      <w:r w:rsidR="00EE4FC3">
        <w:t xml:space="preserve"> </w:t>
      </w:r>
      <w:proofErr w:type="gramStart"/>
      <w:r w:rsidR="00581CF7" w:rsidRPr="00382917">
        <w:t>Me</w:t>
      </w:r>
      <w:proofErr w:type="gramEnd"/>
      <w:r w:rsidR="00581CF7" w:rsidRPr="00382917">
        <w:t>:</w:t>
      </w:r>
      <w:r w:rsidR="00EE4FC3">
        <w:t xml:space="preserve">  </w:t>
      </w:r>
      <w:r w:rsidRPr="00382917">
        <w:t>“</w:t>
      </w:r>
      <w:r w:rsidR="00581CF7" w:rsidRPr="00382917">
        <w:t>Rejoice,</w:t>
      </w:r>
      <w:r w:rsidR="00EE4FC3">
        <w:t xml:space="preserve"> </w:t>
      </w:r>
      <w:r w:rsidR="00581CF7" w:rsidRPr="00382917">
        <w:t>for</w:t>
      </w:r>
      <w:r w:rsidR="00EE4FC3">
        <w:t xml:space="preserve"> </w:t>
      </w:r>
      <w:r w:rsidR="00581CF7" w:rsidRPr="00382917">
        <w:t>the</w:t>
      </w:r>
      <w:r w:rsidR="00EE4FC3">
        <w:t xml:space="preserve"> </w:t>
      </w:r>
      <w:r w:rsidR="00581CF7" w:rsidRPr="00382917">
        <w:t>hour</w:t>
      </w:r>
      <w:r w:rsidR="00EE4FC3">
        <w:t xml:space="preserve"> </w:t>
      </w:r>
      <w:r w:rsidR="00581CF7" w:rsidRPr="00382917">
        <w:t>of</w:t>
      </w:r>
      <w:r w:rsidR="00EE4FC3">
        <w:t xml:space="preserve"> </w:t>
      </w:r>
      <w:r w:rsidR="00581CF7" w:rsidRPr="00382917">
        <w:t>your</w:t>
      </w:r>
      <w:r w:rsidR="00EE4FC3">
        <w:t xml:space="preserve"> </w:t>
      </w:r>
      <w:r w:rsidR="00581CF7" w:rsidRPr="00382917">
        <w:t>departure</w:t>
      </w:r>
      <w:r w:rsidR="00EE4FC3">
        <w:t xml:space="preserve"> </w:t>
      </w:r>
      <w:r w:rsidR="00581CF7" w:rsidRPr="00382917">
        <w:t>is</w:t>
      </w:r>
      <w:r w:rsidR="00EE4FC3">
        <w:t xml:space="preserve"> </w:t>
      </w:r>
      <w:r w:rsidR="00581CF7" w:rsidRPr="00382917">
        <w:t>at</w:t>
      </w:r>
      <w:r w:rsidR="00EE4FC3">
        <w:t xml:space="preserve"> </w:t>
      </w:r>
      <w:r w:rsidR="00581CF7" w:rsidRPr="00382917">
        <w:t>hand.</w:t>
      </w:r>
      <w:r w:rsidR="00EE4FC3">
        <w:t xml:space="preserve">  </w:t>
      </w:r>
      <w:r w:rsidR="00581CF7" w:rsidRPr="00382917">
        <w:t>In</w:t>
      </w:r>
      <w:r w:rsidR="00EE4FC3">
        <w:t xml:space="preserve"> </w:t>
      </w:r>
      <w:r w:rsidR="00581CF7" w:rsidRPr="00382917">
        <w:t>Karbilá,</w:t>
      </w:r>
      <w:r w:rsidR="00EE4FC3">
        <w:t xml:space="preserve"> </w:t>
      </w:r>
      <w:r w:rsidR="00581CF7" w:rsidRPr="00382917">
        <w:t>three</w:t>
      </w:r>
      <w:r w:rsidR="00EE4FC3">
        <w:t xml:space="preserve"> </w:t>
      </w:r>
      <w:r w:rsidR="00581CF7" w:rsidRPr="00382917">
        <w:t>days</w:t>
      </w:r>
      <w:r w:rsidR="00EE4FC3">
        <w:t xml:space="preserve"> </w:t>
      </w:r>
      <w:r w:rsidR="00581CF7" w:rsidRPr="00382917">
        <w:t>after</w:t>
      </w:r>
      <w:r w:rsidR="00EE4FC3">
        <w:t xml:space="preserve"> </w:t>
      </w:r>
      <w:r w:rsidR="00581CF7" w:rsidRPr="00382917">
        <w:t>your</w:t>
      </w:r>
      <w:r w:rsidR="00EE4FC3">
        <w:t xml:space="preserve"> </w:t>
      </w:r>
      <w:r w:rsidR="00581CF7" w:rsidRPr="00382917">
        <w:t>return</w:t>
      </w:r>
      <w:r w:rsidR="00EE4FC3">
        <w:t xml:space="preserve"> </w:t>
      </w:r>
      <w:r w:rsidR="00581CF7" w:rsidRPr="00382917">
        <w:t>there,</w:t>
      </w:r>
      <w:r w:rsidR="00EE4FC3">
        <w:t xml:space="preserve"> </w:t>
      </w:r>
      <w:r w:rsidR="00581CF7" w:rsidRPr="00382917">
        <w:t>you</w:t>
      </w:r>
      <w:r w:rsidR="00EE4FC3">
        <w:t xml:space="preserve"> </w:t>
      </w:r>
      <w:r w:rsidR="00581CF7" w:rsidRPr="00382917">
        <w:t>will</w:t>
      </w:r>
      <w:r w:rsidR="00EE4FC3">
        <w:t xml:space="preserve"> </w:t>
      </w:r>
      <w:r w:rsidR="00581CF7" w:rsidRPr="00382917">
        <w:t>wing</w:t>
      </w:r>
      <w:r w:rsidR="00EE4FC3">
        <w:t xml:space="preserve"> </w:t>
      </w:r>
      <w:r w:rsidR="00581CF7" w:rsidRPr="00382917">
        <w:t>your</w:t>
      </w:r>
      <w:r w:rsidR="00EE4FC3">
        <w:t xml:space="preserve"> </w:t>
      </w:r>
      <w:r w:rsidR="00581CF7" w:rsidRPr="00382917">
        <w:t>flight</w:t>
      </w:r>
      <w:r w:rsidR="00EE4FC3">
        <w:t xml:space="preserve"> </w:t>
      </w:r>
      <w:r w:rsidR="00581CF7" w:rsidRPr="00382917">
        <w:t>to</w:t>
      </w:r>
      <w:r w:rsidR="00EE4FC3">
        <w:t xml:space="preserve"> </w:t>
      </w:r>
      <w:proofErr w:type="gramStart"/>
      <w:r w:rsidR="00581CF7" w:rsidRPr="00382917">
        <w:t>Me</w:t>
      </w:r>
      <w:proofErr w:type="gramEnd"/>
      <w:r w:rsidR="00581CF7" w:rsidRPr="00382917">
        <w:t>.</w:t>
      </w:r>
      <w:r w:rsidR="00EE4FC3">
        <w:t xml:space="preserve">  </w:t>
      </w:r>
      <w:r w:rsidR="00581CF7" w:rsidRPr="00382917">
        <w:t>Soon</w:t>
      </w:r>
      <w:r w:rsidR="00EE4FC3">
        <w:t xml:space="preserve"> </w:t>
      </w:r>
      <w:r w:rsidR="00581CF7" w:rsidRPr="00382917">
        <w:t>after</w:t>
      </w:r>
      <w:r w:rsidR="00EE4FC3">
        <w:t xml:space="preserve"> </w:t>
      </w:r>
      <w:r w:rsidR="00581CF7" w:rsidRPr="00382917">
        <w:t>shall</w:t>
      </w:r>
      <w:r w:rsidR="00EE4FC3">
        <w:t xml:space="preserve"> </w:t>
      </w:r>
      <w:r w:rsidR="00581CF7" w:rsidRPr="00382917">
        <w:t>He</w:t>
      </w:r>
      <w:r w:rsidR="00EE4FC3">
        <w:t xml:space="preserve"> </w:t>
      </w:r>
      <w:r w:rsidR="00581CF7" w:rsidRPr="00382917">
        <w:t>who</w:t>
      </w:r>
      <w:r w:rsidR="00EE4FC3">
        <w:t xml:space="preserve"> </w:t>
      </w:r>
      <w:r w:rsidR="00581CF7" w:rsidRPr="00382917">
        <w:t>is</w:t>
      </w:r>
      <w:r w:rsidR="00EE4FC3">
        <w:t xml:space="preserve"> </w:t>
      </w:r>
      <w:r w:rsidR="00581CF7" w:rsidRPr="00382917">
        <w:t>the</w:t>
      </w:r>
      <w:r w:rsidR="00EE4FC3">
        <w:t xml:space="preserve"> </w:t>
      </w:r>
      <w:r w:rsidR="00581CF7" w:rsidRPr="00382917">
        <w:t>Truth</w:t>
      </w:r>
      <w:r w:rsidR="00EE4FC3">
        <w:t xml:space="preserve"> </w:t>
      </w:r>
      <w:r w:rsidR="00581CF7" w:rsidRPr="00382917">
        <w:t>be</w:t>
      </w:r>
      <w:r w:rsidR="00EE4FC3">
        <w:t xml:space="preserve"> </w:t>
      </w:r>
      <w:r w:rsidR="00581CF7" w:rsidRPr="00382917">
        <w:t>made</w:t>
      </w:r>
      <w:r w:rsidR="00EE4FC3">
        <w:t xml:space="preserve"> </w:t>
      </w:r>
      <w:r w:rsidR="00581CF7" w:rsidRPr="00382917">
        <w:t>manifest.</w:t>
      </w:r>
      <w:r w:rsidR="00EE4FC3">
        <w:t xml:space="preserve">  </w:t>
      </w:r>
      <w:r w:rsidR="00581CF7" w:rsidRPr="00382917">
        <w:t>Then</w:t>
      </w:r>
      <w:r w:rsidR="00EE4FC3">
        <w:t xml:space="preserve"> </w:t>
      </w:r>
      <w:r w:rsidR="00581CF7" w:rsidRPr="00382917">
        <w:t>shall</w:t>
      </w:r>
      <w:r w:rsidR="00EE4FC3">
        <w:t xml:space="preserve"> </w:t>
      </w:r>
      <w:r w:rsidR="00581CF7" w:rsidRPr="00382917">
        <w:t>the</w:t>
      </w:r>
      <w:r w:rsidR="00EE4FC3">
        <w:t xml:space="preserve"> </w:t>
      </w:r>
      <w:r w:rsidR="00581CF7" w:rsidRPr="00382917">
        <w:t>world</w:t>
      </w:r>
      <w:r w:rsidR="00EE4FC3">
        <w:t xml:space="preserve"> </w:t>
      </w:r>
      <w:r w:rsidR="00581CF7" w:rsidRPr="00382917">
        <w:t>be</w:t>
      </w:r>
      <w:r w:rsidR="00EE4FC3">
        <w:t xml:space="preserve"> </w:t>
      </w:r>
      <w:r w:rsidR="00581CF7" w:rsidRPr="00382917">
        <w:t>illuminated</w:t>
      </w:r>
      <w:r w:rsidR="00EE4FC3">
        <w:t xml:space="preserve"> </w:t>
      </w:r>
      <w:r w:rsidR="00581CF7" w:rsidRPr="00382917">
        <w:t>by</w:t>
      </w:r>
      <w:r w:rsidR="00EE4FC3">
        <w:t xml:space="preserve"> </w:t>
      </w:r>
      <w:r w:rsidR="00581CF7" w:rsidRPr="00382917">
        <w:t>the</w:t>
      </w:r>
      <w:r w:rsidR="00EE4FC3">
        <w:t xml:space="preserve"> </w:t>
      </w:r>
      <w:r w:rsidR="00581CF7" w:rsidRPr="00382917">
        <w:t>light</w:t>
      </w:r>
      <w:r w:rsidR="00EE4FC3">
        <w:t xml:space="preserve"> </w:t>
      </w:r>
      <w:r w:rsidR="00581CF7" w:rsidRPr="00382917">
        <w:t>of</w:t>
      </w:r>
      <w:r w:rsidR="00EE4FC3">
        <w:t xml:space="preserve"> </w:t>
      </w:r>
      <w:r w:rsidR="00581CF7" w:rsidRPr="00382917">
        <w:t>His</w:t>
      </w:r>
      <w:r w:rsidR="00EE4FC3">
        <w:t xml:space="preserve"> </w:t>
      </w:r>
      <w:r w:rsidR="00581CF7" w:rsidRPr="00382917">
        <w:t>face.</w:t>
      </w:r>
      <w:r w:rsidR="00792F56" w:rsidRPr="00382917">
        <w:t>”</w:t>
      </w:r>
      <w:r w:rsidR="00792F56">
        <w:t>’”</w:t>
      </w:r>
    </w:p>
    <w:p w:rsidR="006D18A4" w:rsidRPr="00382917" w:rsidRDefault="006D18A4">
      <w:pPr>
        <w:widowControl/>
        <w:kinsoku/>
        <w:overflowPunct/>
        <w:textAlignment w:val="auto"/>
      </w:pPr>
      <w:r w:rsidRPr="00382917">
        <w:br w:type="page"/>
      </w:r>
    </w:p>
    <w:p w:rsidR="00581CF7" w:rsidRPr="00382917" w:rsidRDefault="00581CF7" w:rsidP="004F549C">
      <w:pPr>
        <w:pStyle w:val="Text"/>
      </w:pPr>
      <w:r w:rsidRPr="00382917">
        <w:t>The</w:t>
      </w:r>
      <w:r w:rsidR="00EE4FC3">
        <w:t xml:space="preserve"> </w:t>
      </w:r>
      <w:r w:rsidRPr="00382917">
        <w:t>companions</w:t>
      </w:r>
      <w:r w:rsidR="00EE4FC3">
        <w:t xml:space="preserve"> </w:t>
      </w:r>
      <w:r w:rsidRPr="00382917">
        <w:t>of</w:t>
      </w:r>
      <w:r w:rsidR="00EE4FC3">
        <w:t xml:space="preserve"> </w:t>
      </w:r>
      <w:r w:rsidRPr="00382917">
        <w:t>Siyyid</w:t>
      </w:r>
      <w:r w:rsidR="00EE4FC3">
        <w:t xml:space="preserve"> </w:t>
      </w:r>
      <w:r w:rsidR="005A51DE" w:rsidRPr="00382917">
        <w:t>Káẓim</w:t>
      </w:r>
      <w:r w:rsidR="00EE4FC3">
        <w:t xml:space="preserve"> </w:t>
      </w:r>
      <w:r w:rsidRPr="00382917">
        <w:t>were</w:t>
      </w:r>
      <w:r w:rsidR="00EE4FC3">
        <w:t xml:space="preserve"> </w:t>
      </w:r>
      <w:r w:rsidRPr="00382917">
        <w:t>saddened</w:t>
      </w:r>
      <w:r w:rsidR="00EE4FC3">
        <w:t xml:space="preserve"> </w:t>
      </w:r>
      <w:r w:rsidRPr="00382917">
        <w:t>by</w:t>
      </w:r>
      <w:r w:rsidR="00EE4FC3">
        <w:t xml:space="preserve"> </w:t>
      </w:r>
      <w:r w:rsidRPr="00382917">
        <w:t>the</w:t>
      </w:r>
      <w:r w:rsidR="00EE4FC3">
        <w:t xml:space="preserve"> </w:t>
      </w:r>
      <w:r w:rsidRPr="00382917">
        <w:t>thought</w:t>
      </w:r>
      <w:r w:rsidR="00EE4FC3">
        <w:t xml:space="preserve"> </w:t>
      </w:r>
      <w:r w:rsidRPr="00382917">
        <w:t>of</w:t>
      </w:r>
      <w:r w:rsidR="00EE4FC3">
        <w:t xml:space="preserve"> </w:t>
      </w:r>
      <w:r w:rsidRPr="00382917">
        <w:t>his</w:t>
      </w:r>
      <w:r w:rsidR="00EE4FC3">
        <w:t xml:space="preserve"> </w:t>
      </w:r>
      <w:r w:rsidRPr="00382917">
        <w:t>approaching</w:t>
      </w:r>
      <w:r w:rsidR="00EE4FC3">
        <w:t xml:space="preserve"> </w:t>
      </w:r>
      <w:r w:rsidRPr="00382917">
        <w:t>death.</w:t>
      </w:r>
      <w:r w:rsidR="00EE4FC3">
        <w:t xml:space="preserve">  </w:t>
      </w:r>
      <w:r w:rsidRPr="00382917">
        <w:t>He</w:t>
      </w:r>
      <w:r w:rsidR="00EE4FC3">
        <w:t xml:space="preserve"> </w:t>
      </w:r>
      <w:r w:rsidRPr="00382917">
        <w:t>comforted</w:t>
      </w:r>
      <w:r w:rsidR="00EE4FC3">
        <w:t xml:space="preserve"> </w:t>
      </w:r>
      <w:r w:rsidRPr="00382917">
        <w:t>them</w:t>
      </w:r>
      <w:r w:rsidR="00EE4FC3">
        <w:t xml:space="preserve"> </w:t>
      </w:r>
      <w:r w:rsidRPr="00382917">
        <w:t>with</w:t>
      </w:r>
      <w:r w:rsidR="00EE4FC3">
        <w:t xml:space="preserve"> </w:t>
      </w:r>
      <w:r w:rsidRPr="00382917">
        <w:t>these</w:t>
      </w:r>
      <w:r w:rsidR="00EE4FC3">
        <w:t xml:space="preserve"> </w:t>
      </w:r>
      <w:r w:rsidRPr="00382917">
        <w:t>words.</w:t>
      </w:r>
      <w:r w:rsidR="00EE4FC3">
        <w:t xml:space="preserve">  </w:t>
      </w:r>
      <w:r w:rsidR="009C713D" w:rsidRPr="00382917">
        <w:t>“</w:t>
      </w:r>
      <w:r w:rsidRPr="00382917">
        <w:t>Is</w:t>
      </w:r>
      <w:r w:rsidR="00EE4FC3">
        <w:t xml:space="preserve"> </w:t>
      </w:r>
      <w:r w:rsidRPr="00382917">
        <w:t>not</w:t>
      </w:r>
      <w:r w:rsidR="00EE4FC3">
        <w:t xml:space="preserve"> </w:t>
      </w:r>
      <w:r w:rsidRPr="00382917">
        <w:t>your</w:t>
      </w:r>
      <w:r w:rsidR="00EE4FC3">
        <w:t xml:space="preserve"> </w:t>
      </w:r>
      <w:r w:rsidRPr="00382917">
        <w:t>love</w:t>
      </w:r>
      <w:r w:rsidR="00EE4FC3">
        <w:t xml:space="preserve"> </w:t>
      </w:r>
      <w:r w:rsidRPr="00382917">
        <w:t>for</w:t>
      </w:r>
      <w:r w:rsidR="00EE4FC3">
        <w:t xml:space="preserve"> </w:t>
      </w:r>
      <w:r w:rsidRPr="00382917">
        <w:t>me</w:t>
      </w:r>
      <w:r w:rsidR="00EE4FC3">
        <w:t xml:space="preserve"> </w:t>
      </w:r>
      <w:r w:rsidRPr="00382917">
        <w:t>really</w:t>
      </w:r>
      <w:r w:rsidR="00EE4FC3">
        <w:t xml:space="preserve"> </w:t>
      </w:r>
      <w:r w:rsidRPr="00382917">
        <w:t>for</w:t>
      </w:r>
      <w:r w:rsidR="00EE4FC3">
        <w:t xml:space="preserve"> </w:t>
      </w:r>
      <w:r w:rsidRPr="00382917">
        <w:t>the</w:t>
      </w:r>
      <w:r w:rsidR="00EE4FC3">
        <w:t xml:space="preserve"> </w:t>
      </w:r>
      <w:r w:rsidRPr="00382917">
        <w:t>sake</w:t>
      </w:r>
      <w:r w:rsidR="00EE4FC3">
        <w:t xml:space="preserve"> </w:t>
      </w:r>
      <w:r w:rsidRPr="00382917">
        <w:t>of</w:t>
      </w:r>
      <w:r w:rsidR="00EE4FC3">
        <w:t xml:space="preserve"> </w:t>
      </w:r>
      <w:r w:rsidRPr="00382917">
        <w:t>that</w:t>
      </w:r>
      <w:r w:rsidR="00EE4FC3">
        <w:t xml:space="preserve"> </w:t>
      </w:r>
      <w:r w:rsidRPr="00382917">
        <w:t>true</w:t>
      </w:r>
      <w:r w:rsidR="00EE4FC3">
        <w:t xml:space="preserve"> </w:t>
      </w:r>
      <w:r w:rsidRPr="00382917">
        <w:t>One</w:t>
      </w:r>
      <w:r w:rsidR="00EE4FC3">
        <w:t xml:space="preserve"> </w:t>
      </w:r>
      <w:proofErr w:type="gramStart"/>
      <w:r w:rsidRPr="00382917">
        <w:t>whose</w:t>
      </w:r>
      <w:proofErr w:type="gramEnd"/>
      <w:r w:rsidR="00EE4FC3">
        <w:t xml:space="preserve"> </w:t>
      </w:r>
      <w:r w:rsidRPr="00382917">
        <w:t>coming</w:t>
      </w:r>
      <w:r w:rsidR="00EE4FC3">
        <w:t xml:space="preserve"> </w:t>
      </w:r>
      <w:r w:rsidRPr="00382917">
        <w:t>we</w:t>
      </w:r>
      <w:r w:rsidR="00EE4FC3">
        <w:t xml:space="preserve"> </w:t>
      </w:r>
      <w:r w:rsidRPr="00382917">
        <w:t>all</w:t>
      </w:r>
      <w:r w:rsidR="00EE4FC3">
        <w:t xml:space="preserve"> </w:t>
      </w:r>
      <w:r w:rsidRPr="00382917">
        <w:t>await?</w:t>
      </w:r>
      <w:r w:rsidR="00EE4FC3">
        <w:t xml:space="preserve">  </w:t>
      </w:r>
      <w:r w:rsidRPr="00382917">
        <w:t>Would</w:t>
      </w:r>
      <w:r w:rsidR="00EE4FC3">
        <w:t xml:space="preserve"> </w:t>
      </w:r>
      <w:r w:rsidRPr="00382917">
        <w:t>you</w:t>
      </w:r>
      <w:r w:rsidR="00EE4FC3">
        <w:t xml:space="preserve"> </w:t>
      </w:r>
      <w:r w:rsidRPr="00382917">
        <w:t>not</w:t>
      </w:r>
      <w:r w:rsidR="00EE4FC3">
        <w:t xml:space="preserve"> </w:t>
      </w:r>
      <w:r w:rsidRPr="00382917">
        <w:t>wish</w:t>
      </w:r>
      <w:r w:rsidR="00EE4FC3">
        <w:t xml:space="preserve"> </w:t>
      </w:r>
      <w:r w:rsidRPr="00382917">
        <w:t>me</w:t>
      </w:r>
      <w:r w:rsidR="00EE4FC3">
        <w:t xml:space="preserve"> </w:t>
      </w:r>
      <w:r w:rsidRPr="00382917">
        <w:t>to</w:t>
      </w:r>
      <w:r w:rsidR="00EE4FC3">
        <w:t xml:space="preserve"> </w:t>
      </w:r>
      <w:r w:rsidRPr="00382917">
        <w:t>die,</w:t>
      </w:r>
      <w:r w:rsidR="00EE4FC3">
        <w:t xml:space="preserve"> </w:t>
      </w:r>
      <w:r w:rsidRPr="00382917">
        <w:t>that</w:t>
      </w:r>
      <w:r w:rsidR="00EE4FC3">
        <w:t xml:space="preserve"> </w:t>
      </w:r>
      <w:r w:rsidRPr="00382917">
        <w:t>the</w:t>
      </w:r>
      <w:r w:rsidR="00EE4FC3">
        <w:t xml:space="preserve"> </w:t>
      </w:r>
      <w:r w:rsidRPr="00382917">
        <w:t>Promised</w:t>
      </w:r>
      <w:r w:rsidR="00EE4FC3">
        <w:t xml:space="preserve"> </w:t>
      </w:r>
      <w:r w:rsidRPr="00382917">
        <w:t>One</w:t>
      </w:r>
      <w:r w:rsidR="00EE4FC3">
        <w:t xml:space="preserve"> </w:t>
      </w:r>
      <w:r w:rsidRPr="00382917">
        <w:t>may</w:t>
      </w:r>
      <w:r w:rsidR="00EE4FC3">
        <w:t xml:space="preserve"> </w:t>
      </w:r>
      <w:r w:rsidRPr="00382917">
        <w:t>be</w:t>
      </w:r>
      <w:r w:rsidR="00EE4FC3">
        <w:t xml:space="preserve"> </w:t>
      </w:r>
      <w:r w:rsidRPr="00382917">
        <w:t>revealed?</w:t>
      </w:r>
      <w:r w:rsidR="009C713D" w:rsidRPr="00382917">
        <w:t>”</w:t>
      </w:r>
    </w:p>
    <w:p w:rsidR="00581CF7" w:rsidRPr="00382917" w:rsidRDefault="00581CF7" w:rsidP="004F549C">
      <w:pPr>
        <w:pStyle w:val="Text"/>
      </w:pPr>
      <w:r w:rsidRPr="00382917">
        <w:t>To</w:t>
      </w:r>
      <w:r w:rsidR="00EE4FC3">
        <w:t xml:space="preserve"> </w:t>
      </w:r>
      <w:r w:rsidRPr="00382917">
        <w:t>his</w:t>
      </w:r>
      <w:r w:rsidR="00EE4FC3">
        <w:t xml:space="preserve"> </w:t>
      </w:r>
      <w:r w:rsidRPr="00382917">
        <w:t>last</w:t>
      </w:r>
      <w:r w:rsidR="00EE4FC3">
        <w:t xml:space="preserve"> </w:t>
      </w:r>
      <w:r w:rsidRPr="00382917">
        <w:t>breath,</w:t>
      </w:r>
      <w:r w:rsidR="00EE4FC3">
        <w:t xml:space="preserve"> </w:t>
      </w:r>
      <w:r w:rsidRPr="00382917">
        <w:t>Siyyid</w:t>
      </w:r>
      <w:r w:rsidR="00EE4FC3">
        <w:t xml:space="preserve"> </w:t>
      </w:r>
      <w:r w:rsidRPr="00382917">
        <w:t>Káẓim</w:t>
      </w:r>
      <w:r w:rsidR="00EE4FC3">
        <w:t xml:space="preserve"> </w:t>
      </w:r>
      <w:r w:rsidRPr="00382917">
        <w:t>urged</w:t>
      </w:r>
      <w:r w:rsidR="00EE4FC3">
        <w:t xml:space="preserve"> </w:t>
      </w:r>
      <w:r w:rsidRPr="00382917">
        <w:t>his</w:t>
      </w:r>
      <w:r w:rsidR="00EE4FC3">
        <w:t xml:space="preserve"> </w:t>
      </w:r>
      <w:r w:rsidRPr="00382917">
        <w:t>followers</w:t>
      </w:r>
      <w:r w:rsidR="00EE4FC3">
        <w:t xml:space="preserve"> </w:t>
      </w:r>
      <w:r w:rsidRPr="00382917">
        <w:t>to</w:t>
      </w:r>
      <w:r w:rsidR="00EE4FC3">
        <w:t xml:space="preserve"> </w:t>
      </w:r>
      <w:r w:rsidRPr="00382917">
        <w:t>persevere</w:t>
      </w:r>
      <w:r w:rsidR="00EE4FC3">
        <w:t xml:space="preserve"> </w:t>
      </w:r>
      <w:r w:rsidRPr="00382917">
        <w:t>in</w:t>
      </w:r>
      <w:r w:rsidR="00EE4FC3">
        <w:t xml:space="preserve"> </w:t>
      </w:r>
      <w:r w:rsidRPr="00382917">
        <w:t>their</w:t>
      </w:r>
      <w:r w:rsidR="00EE4FC3">
        <w:t xml:space="preserve"> </w:t>
      </w:r>
      <w:r w:rsidRPr="00382917">
        <w:t>search.</w:t>
      </w:r>
      <w:r w:rsidR="00EE4FC3">
        <w:t xml:space="preserve">  </w:t>
      </w:r>
      <w:r w:rsidRPr="00382917">
        <w:t>He</w:t>
      </w:r>
      <w:r w:rsidR="00EE4FC3">
        <w:t xml:space="preserve"> </w:t>
      </w:r>
      <w:r w:rsidRPr="00382917">
        <w:t>returned</w:t>
      </w:r>
      <w:r w:rsidR="00EE4FC3">
        <w:t xml:space="preserve"> </w:t>
      </w:r>
      <w:r w:rsidRPr="00382917">
        <w:t>to</w:t>
      </w:r>
      <w:r w:rsidR="00EE4FC3">
        <w:t xml:space="preserve"> </w:t>
      </w:r>
      <w:r w:rsidRPr="00382917">
        <w:t>Karbilá,</w:t>
      </w:r>
      <w:r w:rsidR="00EE4FC3">
        <w:t xml:space="preserve"> </w:t>
      </w:r>
      <w:r w:rsidRPr="00382917">
        <w:t>and</w:t>
      </w:r>
      <w:r w:rsidR="00EE4FC3">
        <w:t xml:space="preserve"> </w:t>
      </w:r>
      <w:r w:rsidRPr="00382917">
        <w:t>on</w:t>
      </w:r>
      <w:r w:rsidR="00EE4FC3">
        <w:t xml:space="preserve"> </w:t>
      </w:r>
      <w:r w:rsidRPr="00382917">
        <w:t>the</w:t>
      </w:r>
      <w:r w:rsidR="00EE4FC3">
        <w:t xml:space="preserve"> </w:t>
      </w:r>
      <w:r w:rsidRPr="00382917">
        <w:t>day</w:t>
      </w:r>
      <w:r w:rsidR="00EE4FC3">
        <w:t xml:space="preserve"> </w:t>
      </w:r>
      <w:r w:rsidRPr="00382917">
        <w:t>he</w:t>
      </w:r>
      <w:r w:rsidR="00EE4FC3">
        <w:t xml:space="preserve"> </w:t>
      </w:r>
      <w:r w:rsidRPr="00382917">
        <w:t>arrived</w:t>
      </w:r>
      <w:r w:rsidR="00EE4FC3">
        <w:t xml:space="preserve"> </w:t>
      </w:r>
      <w:r w:rsidRPr="00382917">
        <w:t>he</w:t>
      </w:r>
      <w:r w:rsidR="00EE4FC3">
        <w:t xml:space="preserve"> </w:t>
      </w:r>
      <w:r w:rsidRPr="00382917">
        <w:t>became</w:t>
      </w:r>
      <w:r w:rsidR="00EE4FC3">
        <w:t xml:space="preserve"> </w:t>
      </w:r>
      <w:r w:rsidRPr="00382917">
        <w:t>ill.</w:t>
      </w:r>
      <w:r w:rsidR="00EE4FC3">
        <w:t xml:space="preserve">  </w:t>
      </w:r>
      <w:r w:rsidRPr="00382917">
        <w:t>Three</w:t>
      </w:r>
      <w:r w:rsidR="00EE4FC3">
        <w:t xml:space="preserve"> </w:t>
      </w:r>
      <w:r w:rsidRPr="00382917">
        <w:t>days</w:t>
      </w:r>
      <w:r w:rsidR="00EE4FC3">
        <w:t xml:space="preserve"> </w:t>
      </w:r>
      <w:r w:rsidRPr="00382917">
        <w:t>later</w:t>
      </w:r>
      <w:r w:rsidR="00EE4FC3">
        <w:t xml:space="preserve"> </w:t>
      </w:r>
      <w:r w:rsidRPr="00382917">
        <w:t>he</w:t>
      </w:r>
      <w:r w:rsidR="00EE4FC3">
        <w:t xml:space="preserve"> </w:t>
      </w:r>
      <w:r w:rsidRPr="00382917">
        <w:t>died,</w:t>
      </w:r>
      <w:r w:rsidR="00EE4FC3">
        <w:t xml:space="preserve"> </w:t>
      </w:r>
      <w:r w:rsidRPr="00382917">
        <w:t>just</w:t>
      </w:r>
      <w:r w:rsidR="00EE4FC3">
        <w:t xml:space="preserve"> </w:t>
      </w:r>
      <w:r w:rsidRPr="00382917">
        <w:t>as</w:t>
      </w:r>
      <w:r w:rsidR="00EE4FC3">
        <w:t xml:space="preserve"> </w:t>
      </w:r>
      <w:r w:rsidRPr="00382917">
        <w:t>foretold</w:t>
      </w:r>
      <w:r w:rsidR="00EE4FC3">
        <w:t xml:space="preserve"> </w:t>
      </w:r>
      <w:r w:rsidRPr="00382917">
        <w:t>in</w:t>
      </w:r>
      <w:r w:rsidR="00EE4FC3">
        <w:t xml:space="preserve"> </w:t>
      </w:r>
      <w:r w:rsidRPr="00382917">
        <w:t>the</w:t>
      </w:r>
      <w:r w:rsidR="00EE4FC3">
        <w:t xml:space="preserve"> </w:t>
      </w:r>
      <w:r w:rsidRPr="00382917">
        <w:t>shepherd</w:t>
      </w:r>
      <w:r w:rsidR="009C713D" w:rsidRPr="00382917">
        <w:t>’</w:t>
      </w:r>
      <w:r w:rsidRPr="00382917">
        <w:t>s</w:t>
      </w:r>
      <w:r w:rsidR="00EE4FC3">
        <w:t xml:space="preserve"> </w:t>
      </w:r>
      <w:r w:rsidRPr="00382917">
        <w:t>dream.</w:t>
      </w:r>
    </w:p>
    <w:p w:rsidR="006D18A4" w:rsidRPr="00382917" w:rsidRDefault="006D18A4" w:rsidP="00581CF7"/>
    <w:p w:rsidR="006D18A4" w:rsidRPr="00382917" w:rsidRDefault="006D18A4" w:rsidP="00581CF7">
      <w:pPr>
        <w:sectPr w:rsidR="006D18A4" w:rsidRPr="00382917" w:rsidSect="009073C7">
          <w:footerReference w:type="first" r:id="rId18"/>
          <w:footnotePr>
            <w:numRestart w:val="eachPage"/>
          </w:footnotePr>
          <w:type w:val="oddPage"/>
          <w:pgSz w:w="8618" w:h="12984" w:code="188"/>
          <w:pgMar w:top="720" w:right="720" w:bottom="720" w:left="720" w:header="720" w:footer="567" w:gutter="357"/>
          <w:cols w:space="708"/>
          <w:noEndnote/>
          <w:titlePg/>
          <w:docGrid w:linePitch="272"/>
        </w:sectPr>
      </w:pPr>
    </w:p>
    <w:p w:rsidR="006D18A4" w:rsidRPr="00382917" w:rsidRDefault="004F549C" w:rsidP="004F549C">
      <w:r w:rsidRPr="00382917">
        <w:rPr>
          <w:sz w:val="12"/>
          <w:szCs w:val="12"/>
        </w:rPr>
        <w:fldChar w:fldCharType="begin"/>
      </w:r>
      <w:r w:rsidR="00EE4FC3">
        <w:rPr>
          <w:sz w:val="12"/>
          <w:szCs w:val="12"/>
        </w:rPr>
        <w:instrText xml:space="preserve"> </w:instrText>
      </w:r>
      <w:proofErr w:type="gramStart"/>
      <w:r w:rsidRPr="00382917">
        <w:rPr>
          <w:sz w:val="12"/>
          <w:szCs w:val="12"/>
        </w:rPr>
        <w:instrText>TC</w:instrText>
      </w:r>
      <w:r w:rsidR="00EE4FC3">
        <w:rPr>
          <w:sz w:val="12"/>
          <w:szCs w:val="12"/>
        </w:rPr>
        <w:instrText xml:space="preserve">  </w:instrText>
      </w:r>
      <w:r w:rsidRPr="00382917">
        <w:rPr>
          <w:sz w:val="12"/>
          <w:szCs w:val="12"/>
        </w:rPr>
        <w:instrText>“</w:instrText>
      </w:r>
      <w:bookmarkStart w:id="4" w:name="_Toc206658600"/>
      <w:proofErr w:type="gramEnd"/>
      <w:r>
        <w:rPr>
          <w:sz w:val="12"/>
          <w:szCs w:val="12"/>
        </w:rPr>
        <w:tab/>
        <w:instrText>2.</w:instrText>
      </w:r>
      <w:r>
        <w:rPr>
          <w:sz w:val="12"/>
          <w:szCs w:val="12"/>
        </w:rPr>
        <w:tab/>
      </w:r>
      <w:r w:rsidRPr="004F549C">
        <w:rPr>
          <w:sz w:val="12"/>
          <w:szCs w:val="12"/>
        </w:rPr>
        <w:instrText>The</w:instrText>
      </w:r>
      <w:r w:rsidR="00EE4FC3">
        <w:rPr>
          <w:sz w:val="12"/>
          <w:szCs w:val="12"/>
        </w:rPr>
        <w:instrText xml:space="preserve"> </w:instrText>
      </w:r>
      <w:r w:rsidRPr="004F549C">
        <w:rPr>
          <w:sz w:val="12"/>
          <w:szCs w:val="12"/>
        </w:rPr>
        <w:instrText>search</w:instrText>
      </w:r>
      <w:r w:rsidR="00EE4FC3">
        <w:rPr>
          <w:sz w:val="12"/>
          <w:szCs w:val="12"/>
        </w:rPr>
        <w:instrText xml:space="preserve"> </w:instrText>
      </w:r>
      <w:r w:rsidRPr="004F549C">
        <w:rPr>
          <w:sz w:val="12"/>
          <w:szCs w:val="12"/>
        </w:rPr>
        <w:instrText>begins</w:instrText>
      </w:r>
      <w:proofErr w:type="gramStart"/>
      <w:r w:rsidRPr="00382917">
        <w:rPr>
          <w:color w:val="FFFFFF" w:themeColor="background1"/>
          <w:sz w:val="12"/>
          <w:szCs w:val="12"/>
        </w:rPr>
        <w:instrText>..</w:instrText>
      </w:r>
      <w:proofErr w:type="gramEnd"/>
      <w:r w:rsidRPr="00382917">
        <w:rPr>
          <w:sz w:val="12"/>
          <w:szCs w:val="12"/>
        </w:rPr>
        <w:tab/>
      </w:r>
      <w:r w:rsidRPr="00382917">
        <w:rPr>
          <w:color w:val="FFFFFF" w:themeColor="background1"/>
          <w:sz w:val="12"/>
          <w:szCs w:val="12"/>
        </w:rPr>
        <w:instrText>.</w:instrText>
      </w:r>
      <w:bookmarkEnd w:id="4"/>
      <w:proofErr w:type="gramStart"/>
      <w:r w:rsidRPr="00382917">
        <w:rPr>
          <w:sz w:val="12"/>
          <w:szCs w:val="12"/>
        </w:rPr>
        <w:instrText>”</w:instrText>
      </w:r>
      <w:r w:rsidR="00EE4FC3">
        <w:rPr>
          <w:sz w:val="12"/>
          <w:szCs w:val="12"/>
        </w:rPr>
        <w:instrText xml:space="preserve"> </w:instrText>
      </w:r>
      <w:proofErr w:type="gramEnd"/>
      <w:r w:rsidRPr="00382917">
        <w:rPr>
          <w:sz w:val="12"/>
          <w:szCs w:val="12"/>
        </w:rPr>
        <w:instrText>\l</w:instrText>
      </w:r>
      <w:r w:rsidR="00EE4FC3">
        <w:rPr>
          <w:sz w:val="12"/>
          <w:szCs w:val="12"/>
        </w:rPr>
        <w:instrText xml:space="preserve"> </w:instrText>
      </w:r>
      <w:r w:rsidRPr="00382917">
        <w:rPr>
          <w:sz w:val="12"/>
          <w:szCs w:val="12"/>
        </w:rPr>
        <w:instrText>1</w:instrText>
      </w:r>
      <w:r w:rsidR="00EE4FC3">
        <w:rPr>
          <w:sz w:val="12"/>
          <w:szCs w:val="12"/>
        </w:rPr>
        <w:instrText xml:space="preserve"> </w:instrText>
      </w:r>
      <w:r w:rsidRPr="00382917">
        <w:rPr>
          <w:sz w:val="12"/>
          <w:szCs w:val="12"/>
        </w:rPr>
        <w:fldChar w:fldCharType="end"/>
      </w:r>
    </w:p>
    <w:p w:rsidR="006D18A4" w:rsidRPr="00382917" w:rsidRDefault="006D18A4" w:rsidP="00581CF7"/>
    <w:p w:rsidR="00581CF7" w:rsidRPr="00382917" w:rsidRDefault="00581CF7" w:rsidP="00417538">
      <w:pPr>
        <w:pStyle w:val="Myheadc"/>
      </w:pPr>
      <w:r w:rsidRPr="00382917">
        <w:t>2</w:t>
      </w:r>
      <w:r w:rsidR="00417538">
        <w:br/>
      </w:r>
      <w:r w:rsidRPr="00382917">
        <w:rPr>
          <w:noProof/>
          <w:lang w:val="en-AU" w:eastAsia="en-AU"/>
        </w:rPr>
        <w:drawing>
          <wp:inline distT="0" distB="0" distL="0" distR="0" wp14:anchorId="38CAFB78" wp14:editId="5E1DEB68">
            <wp:extent cx="396000" cy="392400"/>
            <wp:effectExtent l="0" t="0" r="4445"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p.emf"/>
                    <pic:cNvPicPr/>
                  </pic:nvPicPr>
                  <pic:blipFill>
                    <a:blip r:embed="rId17">
                      <a:extLst>
                        <a:ext uri="{28A0092B-C50C-407E-A947-70E740481C1C}">
                          <a14:useLocalDpi xmlns:a14="http://schemas.microsoft.com/office/drawing/2010/main" val="0"/>
                        </a:ext>
                      </a:extLst>
                    </a:blip>
                    <a:stretch>
                      <a:fillRect/>
                    </a:stretch>
                  </pic:blipFill>
                  <pic:spPr>
                    <a:xfrm>
                      <a:off x="0" y="0"/>
                      <a:ext cx="396000" cy="392400"/>
                    </a:xfrm>
                    <a:prstGeom prst="rect">
                      <a:avLst/>
                    </a:prstGeom>
                  </pic:spPr>
                </pic:pic>
              </a:graphicData>
            </a:graphic>
          </wp:inline>
        </w:drawing>
      </w:r>
      <w:r w:rsidR="00417538">
        <w:br/>
      </w:r>
      <w:r w:rsidRPr="00382917">
        <w:t>The</w:t>
      </w:r>
      <w:r w:rsidR="00EE4FC3">
        <w:t xml:space="preserve"> </w:t>
      </w:r>
      <w:r w:rsidRPr="00382917">
        <w:t>search</w:t>
      </w:r>
      <w:r w:rsidR="00EE4FC3">
        <w:t xml:space="preserve"> </w:t>
      </w:r>
      <w:r w:rsidRPr="00382917">
        <w:t>begins</w:t>
      </w:r>
    </w:p>
    <w:p w:rsidR="00E13D49" w:rsidRPr="00382917" w:rsidRDefault="00581CF7" w:rsidP="004F549C">
      <w:pPr>
        <w:pStyle w:val="Text"/>
      </w:pPr>
      <w:r w:rsidRPr="00382917">
        <w:t>Mullá</w:t>
      </w:r>
      <w:r w:rsidR="00EE4FC3">
        <w:t xml:space="preserve"> </w:t>
      </w:r>
      <w:r w:rsidR="00964C11" w:rsidRPr="00382917">
        <w:t>Ḥusayn</w:t>
      </w:r>
      <w:r w:rsidR="00EE4FC3">
        <w:t xml:space="preserve"> </w:t>
      </w:r>
      <w:r w:rsidRPr="00382917">
        <w:t>was</w:t>
      </w:r>
      <w:r w:rsidR="00EE4FC3">
        <w:t xml:space="preserve"> </w:t>
      </w:r>
      <w:r w:rsidRPr="00382917">
        <w:t>in</w:t>
      </w:r>
      <w:r w:rsidR="00EE4FC3">
        <w:t xml:space="preserve"> </w:t>
      </w:r>
      <w:r w:rsidRPr="00382917">
        <w:t>Iṣfahán</w:t>
      </w:r>
      <w:r w:rsidR="00EE4FC3">
        <w:t xml:space="preserve"> </w:t>
      </w:r>
      <w:r w:rsidRPr="00382917">
        <w:t>at</w:t>
      </w:r>
      <w:r w:rsidR="00EE4FC3">
        <w:t xml:space="preserve"> </w:t>
      </w:r>
      <w:r w:rsidRPr="00382917">
        <w:t>this</w:t>
      </w:r>
      <w:r w:rsidR="00EE4FC3">
        <w:t xml:space="preserve"> </w:t>
      </w:r>
      <w:r w:rsidRPr="00382917">
        <w:t>time</w:t>
      </w:r>
      <w:r w:rsidR="00EE4FC3">
        <w:t xml:space="preserve"> </w:t>
      </w:r>
      <w:r w:rsidRPr="00382917">
        <w:t>upon</w:t>
      </w:r>
      <w:r w:rsidR="00EE4FC3">
        <w:t xml:space="preserve"> </w:t>
      </w:r>
      <w:r w:rsidRPr="00382917">
        <w:t>a</w:t>
      </w:r>
      <w:r w:rsidR="00EE4FC3">
        <w:t xml:space="preserve"> </w:t>
      </w:r>
      <w:r w:rsidRPr="00382917">
        <w:t>special</w:t>
      </w:r>
      <w:r w:rsidR="00EE4FC3">
        <w:t xml:space="preserve"> </w:t>
      </w:r>
      <w:r w:rsidRPr="00382917">
        <w:t>mission</w:t>
      </w:r>
      <w:r w:rsidR="00EE4FC3">
        <w:t xml:space="preserve"> </w:t>
      </w:r>
      <w:r w:rsidRPr="00382917">
        <w:t>for</w:t>
      </w:r>
      <w:r w:rsidR="00EE4FC3">
        <w:t xml:space="preserve"> </w:t>
      </w:r>
      <w:r w:rsidRPr="00382917">
        <w:t>Siyyid</w:t>
      </w:r>
      <w:r w:rsidR="00EE4FC3">
        <w:t xml:space="preserve"> </w:t>
      </w:r>
      <w:r w:rsidRPr="00382917">
        <w:t>Káẓim.</w:t>
      </w:r>
      <w:r w:rsidR="00EE4FC3">
        <w:t xml:space="preserve">  </w:t>
      </w:r>
      <w:r w:rsidRPr="00382917">
        <w:t>He</w:t>
      </w:r>
      <w:r w:rsidR="00EE4FC3">
        <w:t xml:space="preserve"> </w:t>
      </w:r>
      <w:r w:rsidRPr="00382917">
        <w:t>was</w:t>
      </w:r>
      <w:r w:rsidR="00EE4FC3">
        <w:t xml:space="preserve"> </w:t>
      </w:r>
      <w:r w:rsidRPr="00382917">
        <w:t>sent</w:t>
      </w:r>
      <w:r w:rsidR="00EE4FC3">
        <w:t xml:space="preserve"> </w:t>
      </w:r>
      <w:r w:rsidRPr="00382917">
        <w:t>to</w:t>
      </w:r>
      <w:r w:rsidR="00EE4FC3">
        <w:t xml:space="preserve"> </w:t>
      </w:r>
      <w:r w:rsidRPr="00382917">
        <w:t>win</w:t>
      </w:r>
      <w:r w:rsidR="00EE4FC3">
        <w:t xml:space="preserve"> </w:t>
      </w:r>
      <w:r w:rsidRPr="00382917">
        <w:t>the</w:t>
      </w:r>
      <w:r w:rsidR="00EE4FC3">
        <w:t xml:space="preserve"> </w:t>
      </w:r>
      <w:r w:rsidRPr="00382917">
        <w:t>support</w:t>
      </w:r>
      <w:r w:rsidR="00EE4FC3">
        <w:t xml:space="preserve"> </w:t>
      </w:r>
      <w:r w:rsidRPr="00382917">
        <w:t>of</w:t>
      </w:r>
      <w:r w:rsidR="00EE4FC3">
        <w:t xml:space="preserve"> </w:t>
      </w:r>
      <w:r w:rsidRPr="00382917">
        <w:t>an</w:t>
      </w:r>
      <w:r w:rsidR="00EE4FC3">
        <w:t xml:space="preserve"> </w:t>
      </w:r>
      <w:r w:rsidRPr="00382917">
        <w:t>eminent</w:t>
      </w:r>
      <w:r w:rsidR="00EE4FC3">
        <w:t xml:space="preserve"> </w:t>
      </w:r>
      <w:r w:rsidRPr="00382917">
        <w:t>religious</w:t>
      </w:r>
      <w:r w:rsidR="00EE4FC3">
        <w:t xml:space="preserve"> </w:t>
      </w:r>
      <w:r w:rsidRPr="00382917">
        <w:t>leader.</w:t>
      </w:r>
      <w:r w:rsidR="00EE4FC3">
        <w:t xml:space="preserve">  </w:t>
      </w:r>
      <w:r w:rsidRPr="00382917">
        <w:t>Mullá</w:t>
      </w:r>
      <w:r w:rsidR="00EE4FC3">
        <w:t xml:space="preserve"> </w:t>
      </w:r>
      <w:r w:rsidR="00964C11" w:rsidRPr="00382917">
        <w:t>Ḥusayn</w:t>
      </w:r>
      <w:r w:rsidR="00EE4FC3">
        <w:t xml:space="preserve"> </w:t>
      </w:r>
      <w:r w:rsidRPr="00382917">
        <w:t>was</w:t>
      </w:r>
      <w:r w:rsidR="00EE4FC3">
        <w:t xml:space="preserve"> </w:t>
      </w:r>
      <w:r w:rsidRPr="00382917">
        <w:t>so</w:t>
      </w:r>
      <w:r w:rsidR="00EE4FC3">
        <w:t xml:space="preserve"> </w:t>
      </w:r>
      <w:r w:rsidRPr="00382917">
        <w:t>successful</w:t>
      </w:r>
      <w:r w:rsidR="00EE4FC3">
        <w:t xml:space="preserve"> </w:t>
      </w:r>
      <w:r w:rsidRPr="00382917">
        <w:t>that</w:t>
      </w:r>
      <w:r w:rsidR="00EE4FC3">
        <w:t xml:space="preserve"> </w:t>
      </w:r>
      <w:r w:rsidRPr="00382917">
        <w:t>the</w:t>
      </w:r>
      <w:r w:rsidR="00EE4FC3">
        <w:t xml:space="preserve"> </w:t>
      </w:r>
      <w:r w:rsidRPr="00382917">
        <w:t>priest</w:t>
      </w:r>
      <w:r w:rsidR="00EE4FC3">
        <w:t xml:space="preserve"> </w:t>
      </w:r>
      <w:r w:rsidRPr="00382917">
        <w:t>changed</w:t>
      </w:r>
      <w:r w:rsidR="00EE4FC3">
        <w:t xml:space="preserve"> </w:t>
      </w:r>
      <w:r w:rsidRPr="00382917">
        <w:t>his</w:t>
      </w:r>
      <w:r w:rsidR="00EE4FC3">
        <w:t xml:space="preserve"> </w:t>
      </w:r>
      <w:r w:rsidRPr="00382917">
        <w:t>views.</w:t>
      </w:r>
      <w:r w:rsidR="00EE4FC3">
        <w:t xml:space="preserve">  </w:t>
      </w:r>
      <w:r w:rsidRPr="00382917">
        <w:t>He</w:t>
      </w:r>
      <w:r w:rsidR="00EE4FC3">
        <w:t xml:space="preserve"> </w:t>
      </w:r>
      <w:r w:rsidRPr="00382917">
        <w:t>became</w:t>
      </w:r>
      <w:r w:rsidR="00EE4FC3">
        <w:t xml:space="preserve"> </w:t>
      </w:r>
      <w:r w:rsidRPr="00382917">
        <w:t>so</w:t>
      </w:r>
      <w:r w:rsidR="00EE4FC3">
        <w:t xml:space="preserve"> </w:t>
      </w:r>
      <w:r w:rsidRPr="00382917">
        <w:t>fond</w:t>
      </w:r>
      <w:r w:rsidR="00EE4FC3">
        <w:t xml:space="preserve"> </w:t>
      </w:r>
      <w:r w:rsidRPr="00382917">
        <w:t>of</w:t>
      </w:r>
      <w:r w:rsidR="00EE4FC3">
        <w:t xml:space="preserve"> </w:t>
      </w:r>
      <w:r w:rsidRPr="00382917">
        <w:t>Mullá</w:t>
      </w:r>
      <w:r w:rsidR="00EE4FC3">
        <w:t xml:space="preserve"> </w:t>
      </w:r>
      <w:r w:rsidR="00964C11" w:rsidRPr="00382917">
        <w:t>Ḥusayn</w:t>
      </w:r>
      <w:r w:rsidR="00EE4FC3">
        <w:t xml:space="preserve"> </w:t>
      </w:r>
      <w:r w:rsidRPr="00382917">
        <w:t>that</w:t>
      </w:r>
      <w:r w:rsidR="00EE4FC3">
        <w:t xml:space="preserve"> </w:t>
      </w:r>
      <w:r w:rsidRPr="00382917">
        <w:t>he</w:t>
      </w:r>
      <w:r w:rsidR="00EE4FC3">
        <w:t xml:space="preserve"> </w:t>
      </w:r>
      <w:r w:rsidRPr="00382917">
        <w:t>regretted</w:t>
      </w:r>
      <w:r w:rsidR="00EE4FC3">
        <w:t xml:space="preserve"> </w:t>
      </w:r>
      <w:r w:rsidRPr="00382917">
        <w:t>his</w:t>
      </w:r>
      <w:r w:rsidR="00EE4FC3">
        <w:t xml:space="preserve"> </w:t>
      </w:r>
      <w:r w:rsidRPr="00382917">
        <w:t>earlier</w:t>
      </w:r>
      <w:r w:rsidR="00EE4FC3">
        <w:t xml:space="preserve"> </w:t>
      </w:r>
      <w:r w:rsidRPr="00382917">
        <w:t>discourtesy</w:t>
      </w:r>
      <w:r w:rsidR="00EE4FC3">
        <w:t xml:space="preserve"> </w:t>
      </w:r>
      <w:r w:rsidRPr="00382917">
        <w:t>and</w:t>
      </w:r>
      <w:r w:rsidR="00EE4FC3">
        <w:t xml:space="preserve"> </w:t>
      </w:r>
      <w:r w:rsidRPr="00382917">
        <w:t>sent</w:t>
      </w:r>
      <w:r w:rsidR="00EE4FC3">
        <w:t xml:space="preserve"> </w:t>
      </w:r>
      <w:r w:rsidRPr="00382917">
        <w:t>an</w:t>
      </w:r>
      <w:r w:rsidR="00EE4FC3">
        <w:t xml:space="preserve"> </w:t>
      </w:r>
      <w:r w:rsidRPr="00382917">
        <w:t>attendant</w:t>
      </w:r>
      <w:r w:rsidR="00EE4FC3">
        <w:t xml:space="preserve"> </w:t>
      </w:r>
      <w:r w:rsidRPr="00382917">
        <w:t>to</w:t>
      </w:r>
      <w:r w:rsidR="00EE4FC3">
        <w:t xml:space="preserve"> </w:t>
      </w:r>
      <w:r w:rsidRPr="00382917">
        <w:t>find</w:t>
      </w:r>
      <w:r w:rsidR="00EE4FC3">
        <w:t xml:space="preserve"> </w:t>
      </w:r>
      <w:r w:rsidRPr="00382917">
        <w:t>out</w:t>
      </w:r>
      <w:r w:rsidR="00EE4FC3">
        <w:t xml:space="preserve"> </w:t>
      </w:r>
      <w:r w:rsidRPr="00382917">
        <w:t>where</w:t>
      </w:r>
      <w:r w:rsidR="00EE4FC3">
        <w:t xml:space="preserve"> </w:t>
      </w:r>
      <w:r w:rsidRPr="00382917">
        <w:t>he</w:t>
      </w:r>
      <w:r w:rsidR="00EE4FC3">
        <w:t xml:space="preserve"> </w:t>
      </w:r>
      <w:r w:rsidRPr="00382917">
        <w:t>was</w:t>
      </w:r>
      <w:r w:rsidR="00EE4FC3">
        <w:t xml:space="preserve"> </w:t>
      </w:r>
      <w:r w:rsidRPr="00382917">
        <w:t>residing.</w:t>
      </w:r>
      <w:r w:rsidR="00EE4FC3">
        <w:t xml:space="preserve">  </w:t>
      </w:r>
      <w:r w:rsidRPr="00382917">
        <w:t>The</w:t>
      </w:r>
      <w:r w:rsidR="00EE4FC3">
        <w:t xml:space="preserve"> </w:t>
      </w:r>
      <w:r w:rsidRPr="00382917">
        <w:t>attendant</w:t>
      </w:r>
      <w:r w:rsidR="00EE4FC3">
        <w:t xml:space="preserve"> </w:t>
      </w:r>
      <w:r w:rsidRPr="00382917">
        <w:t>followed</w:t>
      </w:r>
      <w:r w:rsidR="00EE4FC3">
        <w:t xml:space="preserve"> </w:t>
      </w:r>
      <w:r w:rsidRPr="00382917">
        <w:t>him,</w:t>
      </w:r>
      <w:r w:rsidR="00EE4FC3">
        <w:t xml:space="preserve"> </w:t>
      </w:r>
      <w:r w:rsidRPr="00382917">
        <w:t>and</w:t>
      </w:r>
      <w:r w:rsidR="00EE4FC3">
        <w:t xml:space="preserve"> </w:t>
      </w:r>
      <w:r w:rsidRPr="00382917">
        <w:t>saw</w:t>
      </w:r>
      <w:r w:rsidR="00EE4FC3">
        <w:t xml:space="preserve"> </w:t>
      </w:r>
      <w:r w:rsidRPr="00382917">
        <w:t>Mullá</w:t>
      </w:r>
      <w:r w:rsidR="00EE4FC3">
        <w:t xml:space="preserve"> </w:t>
      </w:r>
      <w:r w:rsidR="00964C11" w:rsidRPr="00382917">
        <w:t>Ḥusayn</w:t>
      </w:r>
      <w:r w:rsidR="00EE4FC3">
        <w:t xml:space="preserve"> </w:t>
      </w:r>
      <w:r w:rsidRPr="00382917">
        <w:t>enter</w:t>
      </w:r>
      <w:r w:rsidR="00EE4FC3">
        <w:t xml:space="preserve"> </w:t>
      </w:r>
      <w:r w:rsidRPr="00382917">
        <w:t>a</w:t>
      </w:r>
      <w:r w:rsidR="00EE4FC3">
        <w:t xml:space="preserve"> </w:t>
      </w:r>
      <w:r w:rsidRPr="00382917">
        <w:t>room</w:t>
      </w:r>
      <w:r w:rsidR="00EE4FC3">
        <w:t xml:space="preserve"> </w:t>
      </w:r>
      <w:r w:rsidRPr="00382917">
        <w:t>devoid</w:t>
      </w:r>
      <w:r w:rsidR="00EE4FC3">
        <w:t xml:space="preserve"> </w:t>
      </w:r>
      <w:r w:rsidRPr="00382917">
        <w:t>of</w:t>
      </w:r>
      <w:r w:rsidR="00EE4FC3">
        <w:t xml:space="preserve"> </w:t>
      </w:r>
      <w:r w:rsidRPr="00382917">
        <w:t>furniture</w:t>
      </w:r>
      <w:r w:rsidR="00EE4FC3">
        <w:t xml:space="preserve"> </w:t>
      </w:r>
      <w:r w:rsidRPr="00382917">
        <w:t>with</w:t>
      </w:r>
      <w:r w:rsidR="00EE4FC3">
        <w:t xml:space="preserve"> </w:t>
      </w:r>
      <w:r w:rsidRPr="00382917">
        <w:t>but</w:t>
      </w:r>
      <w:r w:rsidR="00EE4FC3">
        <w:t xml:space="preserve"> </w:t>
      </w:r>
      <w:r w:rsidRPr="00382917">
        <w:t>a</w:t>
      </w:r>
      <w:r w:rsidR="00EE4FC3">
        <w:t xml:space="preserve"> </w:t>
      </w:r>
      <w:r w:rsidRPr="00382917">
        <w:t>single</w:t>
      </w:r>
      <w:r w:rsidR="00EE4FC3">
        <w:t xml:space="preserve"> </w:t>
      </w:r>
      <w:r w:rsidRPr="00382917">
        <w:t>mat</w:t>
      </w:r>
      <w:r w:rsidR="00EE4FC3">
        <w:t xml:space="preserve"> </w:t>
      </w:r>
      <w:r w:rsidRPr="00382917">
        <w:t>upon</w:t>
      </w:r>
      <w:r w:rsidR="00EE4FC3">
        <w:t xml:space="preserve"> </w:t>
      </w:r>
      <w:r w:rsidRPr="00382917">
        <w:t>the</w:t>
      </w:r>
      <w:r w:rsidR="00EE4FC3">
        <w:t xml:space="preserve"> </w:t>
      </w:r>
      <w:r w:rsidRPr="00382917">
        <w:t>floor.</w:t>
      </w:r>
      <w:r w:rsidR="00EE4FC3">
        <w:t xml:space="preserve">  </w:t>
      </w:r>
      <w:r w:rsidRPr="00382917">
        <w:t>He</w:t>
      </w:r>
      <w:r w:rsidR="00EE4FC3">
        <w:t xml:space="preserve"> </w:t>
      </w:r>
      <w:r w:rsidRPr="00382917">
        <w:t>watched</w:t>
      </w:r>
      <w:r w:rsidR="00EE4FC3">
        <w:t xml:space="preserve"> </w:t>
      </w:r>
      <w:r w:rsidRPr="00382917">
        <w:t>Mullá</w:t>
      </w:r>
      <w:r w:rsidR="00EE4FC3">
        <w:t xml:space="preserve"> </w:t>
      </w:r>
      <w:r w:rsidR="00964C11" w:rsidRPr="00382917">
        <w:t>Ḥusayn</w:t>
      </w:r>
      <w:r w:rsidR="00EE4FC3">
        <w:t xml:space="preserve"> </w:t>
      </w:r>
      <w:r w:rsidRPr="00382917">
        <w:t>offer</w:t>
      </w:r>
      <w:r w:rsidR="00EE4FC3">
        <w:t xml:space="preserve"> </w:t>
      </w:r>
      <w:r w:rsidRPr="00382917">
        <w:t>his</w:t>
      </w:r>
      <w:r w:rsidR="00EE4FC3">
        <w:t xml:space="preserve"> </w:t>
      </w:r>
      <w:r w:rsidRPr="00382917">
        <w:t>prayers</w:t>
      </w:r>
      <w:r w:rsidR="00EE4FC3">
        <w:t xml:space="preserve"> </w:t>
      </w:r>
      <w:r w:rsidRPr="00382917">
        <w:t>and</w:t>
      </w:r>
      <w:r w:rsidR="00EE4FC3">
        <w:t xml:space="preserve"> </w:t>
      </w:r>
      <w:r w:rsidRPr="00382917">
        <w:t>lie</w:t>
      </w:r>
      <w:r w:rsidR="00EE4FC3">
        <w:t xml:space="preserve"> </w:t>
      </w:r>
      <w:r w:rsidRPr="00382917">
        <w:t>down</w:t>
      </w:r>
      <w:r w:rsidR="00EE4FC3">
        <w:t xml:space="preserve"> </w:t>
      </w:r>
      <w:r w:rsidRPr="00382917">
        <w:t>on</w:t>
      </w:r>
      <w:r w:rsidR="00EE4FC3">
        <w:t xml:space="preserve"> </w:t>
      </w:r>
      <w:r w:rsidRPr="00382917">
        <w:t>the</w:t>
      </w:r>
      <w:r w:rsidR="00EE4FC3">
        <w:t xml:space="preserve"> </w:t>
      </w:r>
      <w:r w:rsidRPr="00382917">
        <w:t>mat</w:t>
      </w:r>
      <w:r w:rsidR="00EE4FC3">
        <w:t xml:space="preserve"> </w:t>
      </w:r>
      <w:r w:rsidRPr="00382917">
        <w:t>with</w:t>
      </w:r>
      <w:r w:rsidR="00EE4FC3">
        <w:t xml:space="preserve"> </w:t>
      </w:r>
      <w:r w:rsidRPr="00382917">
        <w:t>nothing</w:t>
      </w:r>
      <w:r w:rsidR="00EE4FC3">
        <w:t xml:space="preserve"> </w:t>
      </w:r>
      <w:r w:rsidRPr="00382917">
        <w:t>to</w:t>
      </w:r>
      <w:r w:rsidR="00EE4FC3">
        <w:t xml:space="preserve"> </w:t>
      </w:r>
      <w:r w:rsidRPr="00382917">
        <w:t>cover</w:t>
      </w:r>
      <w:r w:rsidR="00EE4FC3">
        <w:t xml:space="preserve"> </w:t>
      </w:r>
      <w:r w:rsidRPr="00382917">
        <w:t>him</w:t>
      </w:r>
      <w:r w:rsidR="00EE4FC3">
        <w:t xml:space="preserve"> </w:t>
      </w:r>
      <w:r w:rsidRPr="00382917">
        <w:t>from</w:t>
      </w:r>
      <w:r w:rsidR="00EE4FC3">
        <w:t xml:space="preserve"> </w:t>
      </w:r>
      <w:r w:rsidRPr="00382917">
        <w:t>the</w:t>
      </w:r>
      <w:r w:rsidR="00EE4FC3">
        <w:t xml:space="preserve"> </w:t>
      </w:r>
      <w:r w:rsidRPr="00382917">
        <w:t>cold</w:t>
      </w:r>
      <w:r w:rsidR="00EE4FC3">
        <w:t xml:space="preserve"> </w:t>
      </w:r>
      <w:r w:rsidRPr="00382917">
        <w:t>but</w:t>
      </w:r>
      <w:r w:rsidR="00EE4FC3">
        <w:t xml:space="preserve"> </w:t>
      </w:r>
      <w:r w:rsidRPr="00382917">
        <w:t>his</w:t>
      </w:r>
      <w:r w:rsidR="00EE4FC3">
        <w:t xml:space="preserve"> </w:t>
      </w:r>
      <w:r w:rsidRPr="00382917">
        <w:t>cloak.</w:t>
      </w:r>
      <w:r w:rsidR="00EE4FC3">
        <w:t xml:space="preserve">  </w:t>
      </w:r>
      <w:r w:rsidRPr="00382917">
        <w:t>Then</w:t>
      </w:r>
      <w:r w:rsidR="00EE4FC3">
        <w:t xml:space="preserve"> </w:t>
      </w:r>
      <w:r w:rsidRPr="00382917">
        <w:t>he</w:t>
      </w:r>
      <w:r w:rsidR="00EE4FC3">
        <w:t xml:space="preserve"> </w:t>
      </w:r>
      <w:r w:rsidRPr="00382917">
        <w:t>reported</w:t>
      </w:r>
      <w:r w:rsidR="00EE4FC3">
        <w:t xml:space="preserve"> </w:t>
      </w:r>
      <w:r w:rsidRPr="00382917">
        <w:t>this</w:t>
      </w:r>
      <w:r w:rsidR="00EE4FC3">
        <w:t xml:space="preserve"> </w:t>
      </w:r>
      <w:r w:rsidRPr="00382917">
        <w:t>to</w:t>
      </w:r>
      <w:r w:rsidR="00EE4FC3">
        <w:t xml:space="preserve"> </w:t>
      </w:r>
      <w:r w:rsidRPr="00382917">
        <w:t>his</w:t>
      </w:r>
      <w:r w:rsidR="00EE4FC3">
        <w:t xml:space="preserve"> </w:t>
      </w:r>
      <w:r w:rsidRPr="00382917">
        <w:t>master,</w:t>
      </w:r>
      <w:r w:rsidR="00EE4FC3">
        <w:t xml:space="preserve"> </w:t>
      </w:r>
      <w:r w:rsidRPr="00382917">
        <w:t>whose</w:t>
      </w:r>
      <w:r w:rsidR="00EE4FC3">
        <w:t xml:space="preserve"> </w:t>
      </w:r>
      <w:r w:rsidRPr="00382917">
        <w:t>admiration</w:t>
      </w:r>
      <w:r w:rsidR="00EE4FC3">
        <w:t xml:space="preserve"> </w:t>
      </w:r>
      <w:r w:rsidRPr="00382917">
        <w:t>for</w:t>
      </w:r>
      <w:r w:rsidR="00EE4FC3">
        <w:t xml:space="preserve"> </w:t>
      </w:r>
      <w:r w:rsidRPr="00382917">
        <w:t>Mullá</w:t>
      </w:r>
      <w:r w:rsidR="00EE4FC3">
        <w:t xml:space="preserve"> </w:t>
      </w:r>
      <w:r w:rsidR="00964C11" w:rsidRPr="00382917">
        <w:t>Ḥusayn</w:t>
      </w:r>
      <w:r w:rsidR="00EE4FC3">
        <w:t xml:space="preserve"> </w:t>
      </w:r>
      <w:r w:rsidRPr="00382917">
        <w:t>increased</w:t>
      </w:r>
      <w:r w:rsidR="00EE4FC3">
        <w:t xml:space="preserve"> </w:t>
      </w:r>
      <w:r w:rsidRPr="00382917">
        <w:t>so</w:t>
      </w:r>
      <w:r w:rsidR="00EE4FC3">
        <w:t xml:space="preserve"> </w:t>
      </w:r>
      <w:r w:rsidRPr="00382917">
        <w:t>greatly</w:t>
      </w:r>
      <w:r w:rsidR="00EE4FC3">
        <w:t xml:space="preserve"> </w:t>
      </w:r>
      <w:r w:rsidRPr="00382917">
        <w:t>that</w:t>
      </w:r>
      <w:r w:rsidR="00EE4FC3">
        <w:t xml:space="preserve"> </w:t>
      </w:r>
      <w:r w:rsidRPr="00382917">
        <w:t>he</w:t>
      </w:r>
      <w:r w:rsidR="00EE4FC3">
        <w:t xml:space="preserve"> </w:t>
      </w:r>
      <w:r w:rsidRPr="00382917">
        <w:t>sent</w:t>
      </w:r>
      <w:r w:rsidR="00EE4FC3">
        <w:t xml:space="preserve"> </w:t>
      </w:r>
      <w:r w:rsidRPr="00382917">
        <w:t>his</w:t>
      </w:r>
      <w:r w:rsidR="00EE4FC3">
        <w:t xml:space="preserve"> </w:t>
      </w:r>
      <w:r w:rsidRPr="00382917">
        <w:t>attendant</w:t>
      </w:r>
      <w:r w:rsidR="00EE4FC3">
        <w:t xml:space="preserve"> </w:t>
      </w:r>
      <w:r w:rsidRPr="00382917">
        <w:t>back</w:t>
      </w:r>
      <w:r w:rsidR="00EE4FC3">
        <w:t xml:space="preserve"> </w:t>
      </w:r>
      <w:r w:rsidRPr="00382917">
        <w:t>to</w:t>
      </w:r>
      <w:r w:rsidR="00EE4FC3">
        <w:t xml:space="preserve"> </w:t>
      </w:r>
      <w:r w:rsidRPr="00382917">
        <w:t>him</w:t>
      </w:r>
      <w:r w:rsidR="00EE4FC3">
        <w:t xml:space="preserve"> </w:t>
      </w:r>
      <w:r w:rsidRPr="00382917">
        <w:t>with</w:t>
      </w:r>
      <w:r w:rsidR="00EE4FC3">
        <w:t xml:space="preserve"> </w:t>
      </w:r>
      <w:r w:rsidRPr="00382917">
        <w:t>a</w:t>
      </w:r>
      <w:r w:rsidR="00EE4FC3">
        <w:t xml:space="preserve"> </w:t>
      </w:r>
      <w:r w:rsidRPr="00382917">
        <w:t>gift</w:t>
      </w:r>
      <w:r w:rsidR="00EE4FC3">
        <w:t xml:space="preserve"> </w:t>
      </w:r>
      <w:r w:rsidRPr="00382917">
        <w:t>of</w:t>
      </w:r>
      <w:r w:rsidR="00EE4FC3">
        <w:t xml:space="preserve"> </w:t>
      </w:r>
      <w:r w:rsidRPr="00382917">
        <w:t>one</w:t>
      </w:r>
      <w:r w:rsidR="00EE4FC3">
        <w:t xml:space="preserve"> </w:t>
      </w:r>
      <w:r w:rsidRPr="00382917">
        <w:t>hundred</w:t>
      </w:r>
      <w:r w:rsidR="00EE4FC3">
        <w:t xml:space="preserve"> </w:t>
      </w:r>
      <w:r w:rsidRPr="00382917">
        <w:t>t</w:t>
      </w:r>
      <w:r w:rsidR="004F549C" w:rsidRPr="004F549C">
        <w:t>ú</w:t>
      </w:r>
      <w:r w:rsidRPr="00382917">
        <w:t>m</w:t>
      </w:r>
      <w:r w:rsidR="004F549C" w:rsidRPr="004F549C">
        <w:t>á</w:t>
      </w:r>
      <w:r w:rsidRPr="00382917">
        <w:t>n.</w:t>
      </w:r>
      <w:r w:rsidR="00EE4FC3">
        <w:t xml:space="preserve">  </w:t>
      </w:r>
      <w:r w:rsidRPr="00382917">
        <w:t>Mullá</w:t>
      </w:r>
      <w:r w:rsidR="00EE4FC3">
        <w:t xml:space="preserve"> </w:t>
      </w:r>
      <w:r w:rsidR="00964C11" w:rsidRPr="00382917">
        <w:t>Ḥusayn</w:t>
      </w:r>
      <w:r w:rsidR="00EE4FC3">
        <w:t xml:space="preserve"> </w:t>
      </w:r>
      <w:r w:rsidRPr="00382917">
        <w:t>returned</w:t>
      </w:r>
      <w:r w:rsidR="00EE4FC3">
        <w:t xml:space="preserve"> </w:t>
      </w:r>
      <w:r w:rsidRPr="00382917">
        <w:t>the</w:t>
      </w:r>
      <w:r w:rsidR="00EE4FC3">
        <w:t xml:space="preserve"> </w:t>
      </w:r>
      <w:r w:rsidRPr="00382917">
        <w:t>money,</w:t>
      </w:r>
      <w:r w:rsidR="00EE4FC3">
        <w:t xml:space="preserve"> </w:t>
      </w:r>
      <w:r w:rsidRPr="00382917">
        <w:t>saying,</w:t>
      </w:r>
      <w:r w:rsidR="00EE4FC3">
        <w:t xml:space="preserve"> </w:t>
      </w:r>
      <w:r w:rsidR="009C713D" w:rsidRPr="00382917">
        <w:t>“</w:t>
      </w:r>
      <w:r w:rsidRPr="00382917">
        <w:t>Tell</w:t>
      </w:r>
      <w:r w:rsidR="00EE4FC3">
        <w:t xml:space="preserve"> </w:t>
      </w:r>
      <w:r w:rsidRPr="00382917">
        <w:t>your</w:t>
      </w:r>
      <w:r w:rsidR="00EE4FC3">
        <w:t xml:space="preserve"> </w:t>
      </w:r>
      <w:r w:rsidRPr="00382917">
        <w:t>master</w:t>
      </w:r>
      <w:r w:rsidR="00EE4FC3">
        <w:t xml:space="preserve"> </w:t>
      </w:r>
      <w:r w:rsidRPr="00382917">
        <w:t>that</w:t>
      </w:r>
      <w:r w:rsidR="00EE4FC3">
        <w:t xml:space="preserve"> </w:t>
      </w:r>
      <w:r w:rsidRPr="00382917">
        <w:t>his</w:t>
      </w:r>
      <w:r w:rsidR="00EE4FC3">
        <w:t xml:space="preserve"> </w:t>
      </w:r>
      <w:r w:rsidRPr="00382917">
        <w:t>real</w:t>
      </w:r>
      <w:r w:rsidR="00EE4FC3">
        <w:t xml:space="preserve"> </w:t>
      </w:r>
      <w:r w:rsidRPr="00382917">
        <w:t>gift</w:t>
      </w:r>
      <w:r w:rsidR="00EE4FC3">
        <w:t xml:space="preserve"> </w:t>
      </w:r>
      <w:r w:rsidRPr="00382917">
        <w:t>to</w:t>
      </w:r>
      <w:r w:rsidR="00EE4FC3">
        <w:t xml:space="preserve"> </w:t>
      </w:r>
      <w:r w:rsidRPr="00382917">
        <w:t>me</w:t>
      </w:r>
      <w:r w:rsidR="00EE4FC3">
        <w:t xml:space="preserve"> </w:t>
      </w:r>
      <w:r w:rsidRPr="00382917">
        <w:t>was</w:t>
      </w:r>
      <w:r w:rsidR="00EE4FC3">
        <w:t xml:space="preserve"> </w:t>
      </w:r>
      <w:r w:rsidRPr="00382917">
        <w:t>the</w:t>
      </w:r>
      <w:r w:rsidR="00EE4FC3">
        <w:t xml:space="preserve"> </w:t>
      </w:r>
      <w:r w:rsidRPr="00382917">
        <w:t>fairness</w:t>
      </w:r>
      <w:r w:rsidR="00EE4FC3">
        <w:t xml:space="preserve"> </w:t>
      </w:r>
      <w:r w:rsidRPr="00382917">
        <w:t>and</w:t>
      </w:r>
      <w:r w:rsidR="00EE4FC3">
        <w:t xml:space="preserve"> </w:t>
      </w:r>
      <w:r w:rsidRPr="00382917">
        <w:t>open</w:t>
      </w:r>
      <w:r w:rsidR="004F549C">
        <w:t>-</w:t>
      </w:r>
      <w:r w:rsidRPr="00382917">
        <w:t>mindedness</w:t>
      </w:r>
      <w:r w:rsidR="00EE4FC3">
        <w:t xml:space="preserve"> </w:t>
      </w:r>
      <w:r w:rsidRPr="00382917">
        <w:t>with</w:t>
      </w:r>
      <w:r w:rsidR="00EE4FC3">
        <w:t xml:space="preserve"> </w:t>
      </w:r>
      <w:r w:rsidRPr="00382917">
        <w:t>which</w:t>
      </w:r>
      <w:r w:rsidR="00EE4FC3">
        <w:t xml:space="preserve"> </w:t>
      </w:r>
      <w:r w:rsidRPr="00382917">
        <w:t>he</w:t>
      </w:r>
      <w:r w:rsidR="00EE4FC3">
        <w:t xml:space="preserve"> </w:t>
      </w:r>
      <w:r w:rsidRPr="00382917">
        <w:t>heard</w:t>
      </w:r>
      <w:r w:rsidR="00EE4FC3">
        <w:t xml:space="preserve"> </w:t>
      </w:r>
      <w:r w:rsidRPr="00382917">
        <w:t>my</w:t>
      </w:r>
      <w:r w:rsidR="00EE4FC3">
        <w:t xml:space="preserve"> </w:t>
      </w:r>
      <w:r w:rsidRPr="00382917">
        <w:t>message</w:t>
      </w:r>
      <w:r w:rsidR="00EE4FC3">
        <w:t xml:space="preserve"> </w:t>
      </w:r>
      <w:r w:rsidRPr="00382917">
        <w:t>in</w:t>
      </w:r>
      <w:r w:rsidR="00EE4FC3">
        <w:t xml:space="preserve"> </w:t>
      </w:r>
      <w:r w:rsidRPr="00382917">
        <w:t>spite</w:t>
      </w:r>
      <w:r w:rsidR="00EE4FC3">
        <w:t xml:space="preserve"> </w:t>
      </w:r>
      <w:r w:rsidRPr="00382917">
        <w:t>of</w:t>
      </w:r>
      <w:r w:rsidR="00EE4FC3">
        <w:t xml:space="preserve"> </w:t>
      </w:r>
      <w:r w:rsidRPr="00382917">
        <w:t>his</w:t>
      </w:r>
      <w:r w:rsidR="00EE4FC3">
        <w:t xml:space="preserve"> </w:t>
      </w:r>
      <w:r w:rsidRPr="00382917">
        <w:t>exalted</w:t>
      </w:r>
      <w:r w:rsidR="00EE4FC3">
        <w:t xml:space="preserve"> </w:t>
      </w:r>
      <w:r w:rsidRPr="00382917">
        <w:t>rank</w:t>
      </w:r>
      <w:r w:rsidR="00EE4FC3">
        <w:t xml:space="preserve"> </w:t>
      </w:r>
      <w:r w:rsidRPr="00382917">
        <w:t>and</w:t>
      </w:r>
      <w:r w:rsidR="00EE4FC3">
        <w:t xml:space="preserve"> </w:t>
      </w:r>
      <w:r w:rsidRPr="00382917">
        <w:t>my</w:t>
      </w:r>
      <w:r w:rsidR="00EE4FC3">
        <w:t xml:space="preserve"> </w:t>
      </w:r>
      <w:r w:rsidRPr="00382917">
        <w:t>lowliness.</w:t>
      </w:r>
      <w:r w:rsidR="00EE4FC3">
        <w:t xml:space="preserve">  </w:t>
      </w:r>
      <w:r w:rsidRPr="00382917">
        <w:t>Return</w:t>
      </w:r>
      <w:r w:rsidR="00EE4FC3">
        <w:t xml:space="preserve"> </w:t>
      </w:r>
      <w:r w:rsidRPr="00382917">
        <w:t>this</w:t>
      </w:r>
      <w:r w:rsidR="00EE4FC3">
        <w:t xml:space="preserve"> </w:t>
      </w:r>
      <w:r w:rsidRPr="00382917">
        <w:t>money,</w:t>
      </w:r>
      <w:r w:rsidR="00EE4FC3">
        <w:t xml:space="preserve"> </w:t>
      </w:r>
      <w:r w:rsidRPr="00382917">
        <w:t>for</w:t>
      </w:r>
      <w:r w:rsidR="00EE4FC3">
        <w:t xml:space="preserve"> </w:t>
      </w:r>
      <w:r w:rsidRPr="00382917">
        <w:t>I</w:t>
      </w:r>
      <w:r w:rsidR="00EE4FC3">
        <w:t xml:space="preserve"> </w:t>
      </w:r>
      <w:r w:rsidRPr="00382917">
        <w:t>ask</w:t>
      </w:r>
      <w:r w:rsidR="00EE4FC3">
        <w:t xml:space="preserve"> </w:t>
      </w:r>
      <w:r w:rsidRPr="00382917">
        <w:t>for</w:t>
      </w:r>
      <w:r w:rsidR="00EE4FC3">
        <w:t xml:space="preserve"> </w:t>
      </w:r>
      <w:r w:rsidRPr="00382917">
        <w:t>neither</w:t>
      </w:r>
      <w:r w:rsidR="00EE4FC3">
        <w:t xml:space="preserve"> </w:t>
      </w:r>
      <w:r w:rsidRPr="00382917">
        <w:t>regard</w:t>
      </w:r>
      <w:r w:rsidR="00EE4FC3">
        <w:t xml:space="preserve"> </w:t>
      </w:r>
      <w:r w:rsidRPr="00382917">
        <w:t>nor</w:t>
      </w:r>
      <w:r w:rsidR="00EE4FC3">
        <w:t xml:space="preserve"> </w:t>
      </w:r>
      <w:r w:rsidRPr="00382917">
        <w:t>thanks.</w:t>
      </w:r>
      <w:r w:rsidR="00EE4FC3">
        <w:t xml:space="preserve">  </w:t>
      </w:r>
      <w:r w:rsidRPr="00382917">
        <w:t>We</w:t>
      </w:r>
      <w:r w:rsidR="00EE4FC3">
        <w:t xml:space="preserve"> </w:t>
      </w:r>
      <w:r w:rsidRPr="00382917">
        <w:t>nourish</w:t>
      </w:r>
      <w:r w:rsidR="00EE4FC3">
        <w:t xml:space="preserve"> </w:t>
      </w:r>
      <w:r w:rsidRPr="00382917">
        <w:t>souls</w:t>
      </w:r>
      <w:r w:rsidR="00EE4FC3">
        <w:t xml:space="preserve"> </w:t>
      </w:r>
      <w:r w:rsidRPr="00382917">
        <w:t>for</w:t>
      </w:r>
      <w:r w:rsidR="00EE4FC3">
        <w:t xml:space="preserve"> </w:t>
      </w:r>
      <w:r w:rsidRPr="00382917">
        <w:t>the</w:t>
      </w:r>
      <w:r w:rsidR="00EE4FC3">
        <w:t xml:space="preserve"> </w:t>
      </w:r>
      <w:r w:rsidRPr="00382917">
        <w:t>sake</w:t>
      </w:r>
      <w:r w:rsidR="00EE4FC3">
        <w:t xml:space="preserve"> </w:t>
      </w:r>
      <w:r w:rsidRPr="00382917">
        <w:t>of</w:t>
      </w:r>
      <w:r w:rsidR="00EE4FC3">
        <w:t xml:space="preserve"> </w:t>
      </w:r>
      <w:r w:rsidRPr="00382917">
        <w:t>God.</w:t>
      </w:r>
      <w:r w:rsidR="00EE4FC3">
        <w:t xml:space="preserve">  </w:t>
      </w:r>
      <w:r w:rsidRPr="00382917">
        <w:t>My</w:t>
      </w:r>
      <w:r w:rsidR="00EE4FC3">
        <w:t xml:space="preserve"> </w:t>
      </w:r>
      <w:r w:rsidRPr="00382917">
        <w:t>prayer</w:t>
      </w:r>
      <w:r w:rsidR="00EE4FC3">
        <w:t xml:space="preserve"> </w:t>
      </w:r>
      <w:r w:rsidRPr="00382917">
        <w:t>for</w:t>
      </w:r>
      <w:r w:rsidR="00EE4FC3">
        <w:t xml:space="preserve"> </w:t>
      </w:r>
      <w:r w:rsidRPr="00382917">
        <w:t>your</w:t>
      </w:r>
      <w:r w:rsidR="00EE4FC3">
        <w:t xml:space="preserve"> </w:t>
      </w:r>
      <w:r w:rsidRPr="00382917">
        <w:t>master</w:t>
      </w:r>
      <w:r w:rsidR="00EE4FC3">
        <w:t xml:space="preserve"> </w:t>
      </w:r>
      <w:r w:rsidRPr="00382917">
        <w:t>is</w:t>
      </w:r>
      <w:r w:rsidR="00EE4FC3">
        <w:t xml:space="preserve"> </w:t>
      </w:r>
      <w:r w:rsidRPr="00382917">
        <w:t>that</w:t>
      </w:r>
      <w:r w:rsidR="00EE4FC3">
        <w:t xml:space="preserve"> </w:t>
      </w:r>
      <w:r w:rsidRPr="00382917">
        <w:t>earthly</w:t>
      </w:r>
      <w:r w:rsidR="00EE4FC3">
        <w:t xml:space="preserve"> </w:t>
      </w:r>
      <w:r w:rsidRPr="00382917">
        <w:t>leadership</w:t>
      </w:r>
      <w:r w:rsidR="00EE4FC3">
        <w:t xml:space="preserve"> </w:t>
      </w:r>
      <w:r w:rsidRPr="00382917">
        <w:t>may</w:t>
      </w:r>
      <w:r w:rsidR="00EE4FC3">
        <w:t xml:space="preserve"> </w:t>
      </w:r>
      <w:r w:rsidRPr="00382917">
        <w:t>never</w:t>
      </w:r>
      <w:r w:rsidR="00EE4FC3">
        <w:t xml:space="preserve"> </w:t>
      </w:r>
      <w:r w:rsidRPr="00382917">
        <w:t>hinder</w:t>
      </w:r>
      <w:r w:rsidR="00EE4FC3">
        <w:t xml:space="preserve"> </w:t>
      </w:r>
      <w:r w:rsidRPr="00382917">
        <w:t>him</w:t>
      </w:r>
      <w:r w:rsidR="00EE4FC3">
        <w:t xml:space="preserve"> </w:t>
      </w:r>
      <w:r w:rsidRPr="00382917">
        <w:t>from</w:t>
      </w:r>
      <w:r w:rsidR="00EE4FC3">
        <w:t xml:space="preserve"> </w:t>
      </w:r>
      <w:r w:rsidRPr="00382917">
        <w:t>acknowledging</w:t>
      </w:r>
      <w:r w:rsidR="00EE4FC3">
        <w:t xml:space="preserve"> </w:t>
      </w:r>
      <w:r w:rsidRPr="00382917">
        <w:t>and</w:t>
      </w:r>
      <w:r w:rsidR="00EE4FC3">
        <w:t xml:space="preserve"> </w:t>
      </w:r>
      <w:r w:rsidRPr="00382917">
        <w:t>testifying</w:t>
      </w:r>
      <w:r w:rsidR="00EE4FC3">
        <w:t xml:space="preserve"> </w:t>
      </w:r>
      <w:r w:rsidRPr="00382917">
        <w:t>to</w:t>
      </w:r>
      <w:r w:rsidR="00EE4FC3">
        <w:t xml:space="preserve"> </w:t>
      </w:r>
      <w:r w:rsidRPr="00382917">
        <w:t>the</w:t>
      </w:r>
      <w:r w:rsidR="00EE4FC3">
        <w:t xml:space="preserve"> </w:t>
      </w:r>
      <w:r w:rsidRPr="00382917">
        <w:t>truth.</w:t>
      </w:r>
      <w:r w:rsidR="009C713D" w:rsidRPr="00382917">
        <w:t>”</w:t>
      </w:r>
      <w:r w:rsidR="004F549C">
        <w:rPr>
          <w:rStyle w:val="FootnoteReference"/>
        </w:rPr>
        <w:footnoteReference w:id="11"/>
      </w:r>
    </w:p>
    <w:p w:rsidR="00581CF7" w:rsidRPr="00382917" w:rsidRDefault="00581CF7" w:rsidP="00586465">
      <w:pPr>
        <w:pStyle w:val="Text"/>
      </w:pPr>
      <w:r w:rsidRPr="00382917">
        <w:t>When</w:t>
      </w:r>
      <w:r w:rsidR="00EE4FC3">
        <w:t xml:space="preserve"> </w:t>
      </w:r>
      <w:r w:rsidRPr="00382917">
        <w:t>Mullá</w:t>
      </w:r>
      <w:r w:rsidR="00EE4FC3">
        <w:t xml:space="preserve"> </w:t>
      </w:r>
      <w:r w:rsidR="00964C11" w:rsidRPr="00382917">
        <w:t>Ḥusayn</w:t>
      </w:r>
      <w:r w:rsidR="00EE4FC3">
        <w:t xml:space="preserve"> </w:t>
      </w:r>
      <w:r w:rsidRPr="00382917">
        <w:t>returned</w:t>
      </w:r>
      <w:r w:rsidR="00EE4FC3">
        <w:t xml:space="preserve"> </w:t>
      </w:r>
      <w:r w:rsidRPr="00382917">
        <w:t>to</w:t>
      </w:r>
      <w:r w:rsidR="00EE4FC3">
        <w:t xml:space="preserve"> </w:t>
      </w:r>
      <w:r w:rsidRPr="00382917">
        <w:t>Karbilá,</w:t>
      </w:r>
      <w:r w:rsidR="00EE4FC3">
        <w:t xml:space="preserve"> </w:t>
      </w:r>
      <w:r w:rsidRPr="00382917">
        <w:t>Siyyid</w:t>
      </w:r>
      <w:r w:rsidR="00EE4FC3">
        <w:t xml:space="preserve"> </w:t>
      </w:r>
      <w:r w:rsidRPr="00382917">
        <w:t>Káẓim</w:t>
      </w:r>
      <w:r w:rsidR="00EE4FC3">
        <w:t xml:space="preserve"> </w:t>
      </w:r>
      <w:r w:rsidRPr="00382917">
        <w:t>was</w:t>
      </w:r>
      <w:r w:rsidR="00EE4FC3">
        <w:t xml:space="preserve"> </w:t>
      </w:r>
      <w:r w:rsidRPr="00382917">
        <w:t>dead.</w:t>
      </w:r>
      <w:r w:rsidR="00EE4FC3">
        <w:t xml:space="preserve">  </w:t>
      </w:r>
      <w:r w:rsidRPr="00382917">
        <w:t>Though</w:t>
      </w:r>
      <w:r w:rsidR="00EE4FC3">
        <w:t xml:space="preserve"> </w:t>
      </w:r>
      <w:r w:rsidRPr="00382917">
        <w:t>his</w:t>
      </w:r>
      <w:r w:rsidR="00EE4FC3">
        <w:t xml:space="preserve"> </w:t>
      </w:r>
      <w:r w:rsidRPr="00382917">
        <w:t>own</w:t>
      </w:r>
      <w:r w:rsidR="00EE4FC3">
        <w:t xml:space="preserve"> </w:t>
      </w:r>
      <w:r w:rsidRPr="00382917">
        <w:t>heart</w:t>
      </w:r>
      <w:r w:rsidR="00EE4FC3">
        <w:t xml:space="preserve"> </w:t>
      </w:r>
      <w:r w:rsidRPr="00382917">
        <w:t>was</w:t>
      </w:r>
      <w:r w:rsidR="00EE4FC3">
        <w:t xml:space="preserve"> </w:t>
      </w:r>
      <w:r w:rsidRPr="00382917">
        <w:t>heavy,</w:t>
      </w:r>
      <w:r w:rsidR="00EE4FC3">
        <w:t xml:space="preserve"> </w:t>
      </w:r>
      <w:r w:rsidRPr="00382917">
        <w:t>Mullá</w:t>
      </w:r>
      <w:r w:rsidR="00EE4FC3">
        <w:t xml:space="preserve"> </w:t>
      </w:r>
      <w:r w:rsidR="00964C11" w:rsidRPr="00382917">
        <w:t>Ḥusayn</w:t>
      </w:r>
      <w:r w:rsidR="00EE4FC3">
        <w:t xml:space="preserve"> </w:t>
      </w:r>
      <w:r w:rsidRPr="00382917">
        <w:t>cheered</w:t>
      </w:r>
      <w:r w:rsidR="00EE4FC3">
        <w:t xml:space="preserve"> </w:t>
      </w:r>
      <w:r w:rsidRPr="00382917">
        <w:t>and</w:t>
      </w:r>
    </w:p>
    <w:p w:rsidR="006D18A4" w:rsidRPr="00382917" w:rsidRDefault="006D18A4">
      <w:pPr>
        <w:widowControl/>
        <w:kinsoku/>
        <w:overflowPunct/>
        <w:textAlignment w:val="auto"/>
        <w:rPr>
          <w:rFonts w:cs="Gentium Book Basic"/>
        </w:rPr>
      </w:pPr>
      <w:r w:rsidRPr="00382917">
        <w:br w:type="page"/>
      </w:r>
    </w:p>
    <w:p w:rsidR="00581CF7" w:rsidRPr="00382917" w:rsidRDefault="00581CF7" w:rsidP="006D18A4">
      <w:pPr>
        <w:pStyle w:val="Textcts"/>
      </w:pPr>
      <w:proofErr w:type="gramStart"/>
      <w:r w:rsidRPr="00382917">
        <w:t>strengthened</w:t>
      </w:r>
      <w:proofErr w:type="gramEnd"/>
      <w:r w:rsidR="00EE4FC3">
        <w:t xml:space="preserve"> </w:t>
      </w:r>
      <w:r w:rsidRPr="00382917">
        <w:t>the</w:t>
      </w:r>
      <w:r w:rsidR="00EE4FC3">
        <w:t xml:space="preserve"> </w:t>
      </w:r>
      <w:r w:rsidRPr="00382917">
        <w:t>disconsolate</w:t>
      </w:r>
      <w:r w:rsidR="00EE4FC3">
        <w:t xml:space="preserve"> </w:t>
      </w:r>
      <w:r w:rsidRPr="00382917">
        <w:t>followers</w:t>
      </w:r>
      <w:r w:rsidR="00EE4FC3">
        <w:t xml:space="preserve"> </w:t>
      </w:r>
      <w:r w:rsidRPr="00382917">
        <w:t>of</w:t>
      </w:r>
      <w:r w:rsidR="00EE4FC3">
        <w:t xml:space="preserve"> </w:t>
      </w:r>
      <w:r w:rsidRPr="00382917">
        <w:t>his</w:t>
      </w:r>
      <w:r w:rsidR="00EE4FC3">
        <w:t xml:space="preserve"> </w:t>
      </w:r>
      <w:r w:rsidRPr="00382917">
        <w:t>beloved</w:t>
      </w:r>
      <w:r w:rsidR="00EE4FC3">
        <w:t xml:space="preserve"> </w:t>
      </w:r>
      <w:r w:rsidRPr="00382917">
        <w:t>leader.</w:t>
      </w:r>
      <w:r w:rsidR="00EE4FC3">
        <w:t xml:space="preserve">  </w:t>
      </w:r>
      <w:r w:rsidRPr="00382917">
        <w:t>He</w:t>
      </w:r>
      <w:r w:rsidR="00EE4FC3">
        <w:t xml:space="preserve"> </w:t>
      </w:r>
      <w:r w:rsidRPr="00382917">
        <w:t>called</w:t>
      </w:r>
      <w:r w:rsidR="00EE4FC3">
        <w:t xml:space="preserve"> </w:t>
      </w:r>
      <w:r w:rsidRPr="00382917">
        <w:t>them</w:t>
      </w:r>
      <w:r w:rsidR="00EE4FC3">
        <w:t xml:space="preserve"> </w:t>
      </w:r>
      <w:r w:rsidRPr="00382917">
        <w:t>all</w:t>
      </w:r>
      <w:r w:rsidR="00EE4FC3">
        <w:t xml:space="preserve"> </w:t>
      </w:r>
      <w:r w:rsidRPr="00382917">
        <w:t>together</w:t>
      </w:r>
      <w:r w:rsidR="00EE4FC3">
        <w:t xml:space="preserve"> </w:t>
      </w:r>
      <w:r w:rsidRPr="00382917">
        <w:t>to</w:t>
      </w:r>
      <w:r w:rsidR="00EE4FC3">
        <w:t xml:space="preserve"> </w:t>
      </w:r>
      <w:r w:rsidRPr="00382917">
        <w:t>renew</w:t>
      </w:r>
      <w:r w:rsidR="00EE4FC3">
        <w:t xml:space="preserve"> </w:t>
      </w:r>
      <w:r w:rsidRPr="00382917">
        <w:t>their</w:t>
      </w:r>
      <w:r w:rsidR="00EE4FC3">
        <w:t xml:space="preserve"> </w:t>
      </w:r>
      <w:proofErr w:type="spellStart"/>
      <w:r w:rsidRPr="00382917">
        <w:t>ardor</w:t>
      </w:r>
      <w:proofErr w:type="spellEnd"/>
      <w:r w:rsidRPr="00382917">
        <w:t>.</w:t>
      </w:r>
    </w:p>
    <w:p w:rsidR="00581CF7" w:rsidRPr="00382917" w:rsidRDefault="009C713D" w:rsidP="006D18A4">
      <w:pPr>
        <w:pStyle w:val="Text"/>
      </w:pPr>
      <w:r w:rsidRPr="00382917">
        <w:t>“</w:t>
      </w:r>
      <w:r w:rsidR="00581CF7" w:rsidRPr="00382917">
        <w:t>What,</w:t>
      </w:r>
      <w:r w:rsidRPr="00382917">
        <w:t>”</w:t>
      </w:r>
      <w:r w:rsidR="00EE4FC3">
        <w:t xml:space="preserve"> </w:t>
      </w:r>
      <w:r w:rsidR="00581CF7" w:rsidRPr="00382917">
        <w:t>he</w:t>
      </w:r>
      <w:r w:rsidR="00EE4FC3">
        <w:t xml:space="preserve"> </w:t>
      </w:r>
      <w:r w:rsidR="00581CF7" w:rsidRPr="00382917">
        <w:t>asked</w:t>
      </w:r>
      <w:r w:rsidR="00EE4FC3">
        <w:t xml:space="preserve"> </w:t>
      </w:r>
      <w:r w:rsidR="00581CF7" w:rsidRPr="00382917">
        <w:t>them,</w:t>
      </w:r>
      <w:r w:rsidR="00EE4FC3">
        <w:t xml:space="preserve"> </w:t>
      </w:r>
      <w:r w:rsidRPr="00382917">
        <w:t>“</w:t>
      </w:r>
      <w:r w:rsidR="00581CF7" w:rsidRPr="00382917">
        <w:t>were</w:t>
      </w:r>
      <w:r w:rsidR="00EE4FC3">
        <w:t xml:space="preserve"> </w:t>
      </w:r>
      <w:r w:rsidR="00581CF7" w:rsidRPr="00382917">
        <w:t>the</w:t>
      </w:r>
      <w:r w:rsidR="00EE4FC3">
        <w:t xml:space="preserve"> </w:t>
      </w:r>
      <w:r w:rsidR="00581CF7" w:rsidRPr="00382917">
        <w:t>dearest</w:t>
      </w:r>
      <w:r w:rsidR="00EE4FC3">
        <w:t xml:space="preserve"> </w:t>
      </w:r>
      <w:r w:rsidR="00581CF7" w:rsidRPr="00382917">
        <w:t>wishes</w:t>
      </w:r>
      <w:r w:rsidR="00EE4FC3">
        <w:t xml:space="preserve"> </w:t>
      </w:r>
      <w:r w:rsidR="00581CF7" w:rsidRPr="00382917">
        <w:t>and</w:t>
      </w:r>
      <w:r w:rsidR="00EE4FC3">
        <w:t xml:space="preserve"> </w:t>
      </w:r>
      <w:r w:rsidR="00581CF7" w:rsidRPr="00382917">
        <w:t>the</w:t>
      </w:r>
      <w:r w:rsidR="00EE4FC3">
        <w:t xml:space="preserve"> </w:t>
      </w:r>
      <w:r w:rsidR="00581CF7" w:rsidRPr="00382917">
        <w:t>last</w:t>
      </w:r>
      <w:r w:rsidR="00EE4FC3">
        <w:t xml:space="preserve"> </w:t>
      </w:r>
      <w:r w:rsidR="00581CF7" w:rsidRPr="00382917">
        <w:t>commands</w:t>
      </w:r>
      <w:r w:rsidR="00EE4FC3">
        <w:t xml:space="preserve"> </w:t>
      </w:r>
      <w:r w:rsidR="00581CF7" w:rsidRPr="00382917">
        <w:t>of</w:t>
      </w:r>
      <w:r w:rsidR="00EE4FC3">
        <w:t xml:space="preserve"> </w:t>
      </w:r>
      <w:r w:rsidR="00581CF7" w:rsidRPr="00382917">
        <w:t>our</w:t>
      </w:r>
      <w:r w:rsidR="00EE4FC3">
        <w:t xml:space="preserve"> </w:t>
      </w:r>
      <w:r w:rsidR="00581CF7" w:rsidRPr="00382917">
        <w:t>departed</w:t>
      </w:r>
      <w:r w:rsidR="00EE4FC3">
        <w:t xml:space="preserve"> </w:t>
      </w:r>
      <w:r w:rsidR="00581CF7" w:rsidRPr="00382917">
        <w:t>leader?</w:t>
      </w:r>
      <w:r w:rsidRPr="00382917">
        <w:t>”</w:t>
      </w:r>
    </w:p>
    <w:p w:rsidR="00581CF7" w:rsidRPr="00382917" w:rsidRDefault="00581CF7" w:rsidP="006D18A4">
      <w:pPr>
        <w:pStyle w:val="Text"/>
      </w:pPr>
      <w:r w:rsidRPr="00382917">
        <w:t>From</w:t>
      </w:r>
      <w:r w:rsidR="00EE4FC3">
        <w:t xml:space="preserve"> </w:t>
      </w:r>
      <w:r w:rsidRPr="00382917">
        <w:t>their</w:t>
      </w:r>
      <w:r w:rsidR="00EE4FC3">
        <w:t xml:space="preserve"> </w:t>
      </w:r>
      <w:r w:rsidRPr="00382917">
        <w:t>reluctant</w:t>
      </w:r>
      <w:r w:rsidR="00EE4FC3">
        <w:t xml:space="preserve"> </w:t>
      </w:r>
      <w:r w:rsidRPr="00382917">
        <w:t>lips</w:t>
      </w:r>
      <w:r w:rsidR="00EE4FC3">
        <w:t xml:space="preserve"> </w:t>
      </w:r>
      <w:r w:rsidRPr="00382917">
        <w:t>Mullá</w:t>
      </w:r>
      <w:r w:rsidR="00EE4FC3">
        <w:t xml:space="preserve"> </w:t>
      </w:r>
      <w:r w:rsidR="00964C11" w:rsidRPr="00382917">
        <w:t>Ḥusayn</w:t>
      </w:r>
      <w:r w:rsidR="00EE4FC3">
        <w:t xml:space="preserve"> </w:t>
      </w:r>
      <w:r w:rsidRPr="00382917">
        <w:t>extracted</w:t>
      </w:r>
      <w:r w:rsidR="00EE4FC3">
        <w:t xml:space="preserve"> </w:t>
      </w:r>
      <w:r w:rsidRPr="00382917">
        <w:t>the</w:t>
      </w:r>
      <w:r w:rsidR="00EE4FC3">
        <w:t xml:space="preserve"> </w:t>
      </w:r>
      <w:r w:rsidRPr="00382917">
        <w:t>following</w:t>
      </w:r>
      <w:r w:rsidR="00EE4FC3">
        <w:t xml:space="preserve"> </w:t>
      </w:r>
      <w:r w:rsidRPr="00382917">
        <w:t>admissions:</w:t>
      </w:r>
      <w:r w:rsidR="00EE4FC3">
        <w:t xml:space="preserve">  </w:t>
      </w:r>
      <w:r w:rsidRPr="00382917">
        <w:t>(1)</w:t>
      </w:r>
      <w:r w:rsidR="00EE4FC3">
        <w:t xml:space="preserve">  </w:t>
      </w:r>
      <w:r w:rsidRPr="00382917">
        <w:t>That</w:t>
      </w:r>
      <w:r w:rsidR="00EE4FC3">
        <w:t xml:space="preserve"> </w:t>
      </w:r>
      <w:r w:rsidRPr="00382917">
        <w:t>repeatedly</w:t>
      </w:r>
      <w:r w:rsidR="00EE4FC3">
        <w:t xml:space="preserve"> </w:t>
      </w:r>
      <w:r w:rsidRPr="00382917">
        <w:t>and</w:t>
      </w:r>
      <w:r w:rsidR="00EE4FC3">
        <w:t xml:space="preserve"> </w:t>
      </w:r>
      <w:r w:rsidRPr="00382917">
        <w:t>emphatically</w:t>
      </w:r>
      <w:r w:rsidR="00EE4FC3">
        <w:t xml:space="preserve"> </w:t>
      </w:r>
      <w:r w:rsidRPr="00382917">
        <w:t>Siyyid</w:t>
      </w:r>
      <w:r w:rsidR="00EE4FC3">
        <w:t xml:space="preserve"> </w:t>
      </w:r>
      <w:r w:rsidRPr="00382917">
        <w:t>Káẓim</w:t>
      </w:r>
      <w:r w:rsidR="00EE4FC3">
        <w:t xml:space="preserve"> </w:t>
      </w:r>
      <w:r w:rsidRPr="00382917">
        <w:t>had</w:t>
      </w:r>
      <w:r w:rsidR="00EE4FC3">
        <w:t xml:space="preserve"> </w:t>
      </w:r>
      <w:r w:rsidRPr="00382917">
        <w:t>bidden</w:t>
      </w:r>
      <w:r w:rsidR="00EE4FC3">
        <w:t xml:space="preserve"> </w:t>
      </w:r>
      <w:r w:rsidRPr="00382917">
        <w:t>them</w:t>
      </w:r>
      <w:r w:rsidR="00EE4FC3">
        <w:t xml:space="preserve"> </w:t>
      </w:r>
      <w:r w:rsidRPr="00382917">
        <w:t>to</w:t>
      </w:r>
      <w:r w:rsidR="00EE4FC3">
        <w:t xml:space="preserve"> </w:t>
      </w:r>
      <w:r w:rsidRPr="00382917">
        <w:t>quit</w:t>
      </w:r>
      <w:r w:rsidR="00EE4FC3">
        <w:t xml:space="preserve"> </w:t>
      </w:r>
      <w:r w:rsidRPr="00382917">
        <w:t>their</w:t>
      </w:r>
      <w:r w:rsidR="00EE4FC3">
        <w:t xml:space="preserve"> </w:t>
      </w:r>
      <w:r w:rsidRPr="00382917">
        <w:t>homes</w:t>
      </w:r>
      <w:r w:rsidR="00EE4FC3">
        <w:t xml:space="preserve"> </w:t>
      </w:r>
      <w:r w:rsidRPr="00382917">
        <w:t>and</w:t>
      </w:r>
      <w:r w:rsidR="00EE4FC3">
        <w:t xml:space="preserve"> </w:t>
      </w:r>
      <w:r w:rsidRPr="00382917">
        <w:t>scatter</w:t>
      </w:r>
      <w:r w:rsidR="00EE4FC3">
        <w:t xml:space="preserve"> </w:t>
      </w:r>
      <w:r w:rsidRPr="00382917">
        <w:t>far</w:t>
      </w:r>
      <w:r w:rsidR="00EE4FC3">
        <w:t xml:space="preserve"> </w:t>
      </w:r>
      <w:r w:rsidRPr="00382917">
        <w:t>and</w:t>
      </w:r>
      <w:r w:rsidR="00EE4FC3">
        <w:t xml:space="preserve"> </w:t>
      </w:r>
      <w:r w:rsidRPr="00382917">
        <w:t>wide</w:t>
      </w:r>
      <w:r w:rsidR="00EE4FC3">
        <w:t xml:space="preserve"> </w:t>
      </w:r>
      <w:r w:rsidRPr="00382917">
        <w:t>in</w:t>
      </w:r>
      <w:r w:rsidR="00EE4FC3">
        <w:t xml:space="preserve"> </w:t>
      </w:r>
      <w:r w:rsidRPr="00382917">
        <w:t>search</w:t>
      </w:r>
      <w:r w:rsidR="00EE4FC3">
        <w:t xml:space="preserve"> </w:t>
      </w:r>
      <w:r w:rsidRPr="00382917">
        <w:t>of</w:t>
      </w:r>
      <w:r w:rsidR="00EE4FC3">
        <w:t xml:space="preserve"> </w:t>
      </w:r>
      <w:r w:rsidRPr="00382917">
        <w:t>Him</w:t>
      </w:r>
      <w:r w:rsidR="00EE4FC3">
        <w:t xml:space="preserve"> </w:t>
      </w:r>
      <w:r w:rsidRPr="00382917">
        <w:t>to</w:t>
      </w:r>
      <w:r w:rsidR="00EE4FC3">
        <w:t xml:space="preserve"> </w:t>
      </w:r>
      <w:r w:rsidRPr="00382917">
        <w:t>Whose</w:t>
      </w:r>
      <w:r w:rsidR="00EE4FC3">
        <w:t xml:space="preserve"> </w:t>
      </w:r>
      <w:r w:rsidRPr="00382917">
        <w:t>coming</w:t>
      </w:r>
      <w:r w:rsidR="00EE4FC3">
        <w:t xml:space="preserve"> </w:t>
      </w:r>
      <w:r w:rsidRPr="00382917">
        <w:t>he</w:t>
      </w:r>
      <w:r w:rsidR="00EE4FC3">
        <w:t xml:space="preserve"> </w:t>
      </w:r>
      <w:r w:rsidRPr="00382917">
        <w:t>had</w:t>
      </w:r>
      <w:r w:rsidR="00EE4FC3">
        <w:t xml:space="preserve"> </w:t>
      </w:r>
      <w:r w:rsidRPr="00382917">
        <w:t>so</w:t>
      </w:r>
      <w:r w:rsidR="00EE4FC3">
        <w:t xml:space="preserve"> </w:t>
      </w:r>
      <w:r w:rsidRPr="00382917">
        <w:t>often</w:t>
      </w:r>
      <w:r w:rsidR="00EE4FC3">
        <w:t xml:space="preserve"> </w:t>
      </w:r>
      <w:r w:rsidRPr="00382917">
        <w:t>alluded.</w:t>
      </w:r>
      <w:r w:rsidR="00EE4FC3">
        <w:t xml:space="preserve">  </w:t>
      </w:r>
      <w:r w:rsidRPr="00382917">
        <w:t>(2)</w:t>
      </w:r>
      <w:r w:rsidR="00EE4FC3">
        <w:t xml:space="preserve">  </w:t>
      </w:r>
      <w:r w:rsidRPr="00382917">
        <w:t>That</w:t>
      </w:r>
      <w:r w:rsidR="00EE4FC3">
        <w:t xml:space="preserve"> </w:t>
      </w:r>
      <w:r w:rsidRPr="00382917">
        <w:t>the</w:t>
      </w:r>
      <w:r w:rsidR="00EE4FC3">
        <w:t xml:space="preserve"> </w:t>
      </w:r>
      <w:r w:rsidRPr="00382917">
        <w:t>Object</w:t>
      </w:r>
      <w:r w:rsidR="00EE4FC3">
        <w:t xml:space="preserve"> </w:t>
      </w:r>
      <w:r w:rsidRPr="00382917">
        <w:t>of</w:t>
      </w:r>
      <w:r w:rsidR="00EE4FC3">
        <w:t xml:space="preserve"> </w:t>
      </w:r>
      <w:r w:rsidRPr="00382917">
        <w:t>their</w:t>
      </w:r>
      <w:r w:rsidR="00EE4FC3">
        <w:t xml:space="preserve"> </w:t>
      </w:r>
      <w:r w:rsidRPr="00382917">
        <w:t>quest</w:t>
      </w:r>
      <w:r w:rsidR="00EE4FC3">
        <w:t xml:space="preserve"> </w:t>
      </w:r>
      <w:r w:rsidRPr="00382917">
        <w:t>was</w:t>
      </w:r>
      <w:r w:rsidR="00EE4FC3">
        <w:t xml:space="preserve"> </w:t>
      </w:r>
      <w:r w:rsidRPr="00382917">
        <w:t>now</w:t>
      </w:r>
      <w:r w:rsidR="00EE4FC3">
        <w:t xml:space="preserve"> </w:t>
      </w:r>
      <w:r w:rsidRPr="00382917">
        <w:t>living</w:t>
      </w:r>
      <w:r w:rsidR="00EE4FC3">
        <w:t xml:space="preserve"> </w:t>
      </w:r>
      <w:r w:rsidRPr="00382917">
        <w:t>amongst</w:t>
      </w:r>
      <w:r w:rsidR="00EE4FC3">
        <w:t xml:space="preserve"> </w:t>
      </w:r>
      <w:r w:rsidRPr="00382917">
        <w:t>them</w:t>
      </w:r>
      <w:r w:rsidR="00EE4FC3">
        <w:t xml:space="preserve"> </w:t>
      </w:r>
      <w:r w:rsidRPr="00382917">
        <w:t>and</w:t>
      </w:r>
      <w:r w:rsidR="00EE4FC3">
        <w:t xml:space="preserve"> </w:t>
      </w:r>
      <w:r w:rsidRPr="00382917">
        <w:t>that</w:t>
      </w:r>
      <w:r w:rsidR="00EE4FC3">
        <w:t xml:space="preserve"> </w:t>
      </w:r>
      <w:r w:rsidRPr="00382917">
        <w:t>His</w:t>
      </w:r>
      <w:r w:rsidR="00EE4FC3">
        <w:t xml:space="preserve"> </w:t>
      </w:r>
      <w:r w:rsidRPr="00382917">
        <w:t>truth</w:t>
      </w:r>
      <w:r w:rsidR="00EE4FC3">
        <w:t xml:space="preserve"> </w:t>
      </w:r>
      <w:r w:rsidRPr="00382917">
        <w:t>could</w:t>
      </w:r>
      <w:r w:rsidR="00EE4FC3">
        <w:t xml:space="preserve"> </w:t>
      </w:r>
      <w:r w:rsidRPr="00382917">
        <w:t>be</w:t>
      </w:r>
      <w:r w:rsidR="00EE4FC3">
        <w:t xml:space="preserve"> </w:t>
      </w:r>
      <w:r w:rsidRPr="00382917">
        <w:t>discovered</w:t>
      </w:r>
      <w:r w:rsidR="00EE4FC3">
        <w:t xml:space="preserve"> </w:t>
      </w:r>
      <w:r w:rsidRPr="00382917">
        <w:t>only</w:t>
      </w:r>
      <w:r w:rsidR="00EE4FC3">
        <w:t xml:space="preserve"> </w:t>
      </w:r>
      <w:r w:rsidRPr="00382917">
        <w:t>by</w:t>
      </w:r>
      <w:r w:rsidR="00EE4FC3">
        <w:t xml:space="preserve"> </w:t>
      </w:r>
      <w:r w:rsidRPr="00382917">
        <w:t>the</w:t>
      </w:r>
      <w:r w:rsidR="00EE4FC3">
        <w:t xml:space="preserve"> </w:t>
      </w:r>
      <w:r w:rsidRPr="00382917">
        <w:t>seeker</w:t>
      </w:r>
      <w:r w:rsidR="00EE4FC3">
        <w:t xml:space="preserve"> </w:t>
      </w:r>
      <w:r w:rsidRPr="00382917">
        <w:t>who</w:t>
      </w:r>
      <w:r w:rsidR="00EE4FC3">
        <w:t xml:space="preserve"> </w:t>
      </w:r>
      <w:r w:rsidRPr="00382917">
        <w:t>would</w:t>
      </w:r>
      <w:r w:rsidR="00EE4FC3">
        <w:t xml:space="preserve"> </w:t>
      </w:r>
      <w:r w:rsidRPr="00382917">
        <w:t>persevere</w:t>
      </w:r>
      <w:r w:rsidR="00EE4FC3">
        <w:t xml:space="preserve"> </w:t>
      </w:r>
      <w:r w:rsidRPr="00382917">
        <w:t>to</w:t>
      </w:r>
      <w:r w:rsidR="00EE4FC3">
        <w:t xml:space="preserve"> </w:t>
      </w:r>
      <w:r w:rsidRPr="00382917">
        <w:t>the</w:t>
      </w:r>
      <w:r w:rsidR="00EE4FC3">
        <w:t xml:space="preserve"> </w:t>
      </w:r>
      <w:r w:rsidRPr="00382917">
        <w:t>end.</w:t>
      </w:r>
      <w:r w:rsidR="00EE4FC3">
        <w:t xml:space="preserve">  </w:t>
      </w:r>
      <w:r w:rsidRPr="00382917">
        <w:t>(3)</w:t>
      </w:r>
      <w:r w:rsidR="00EE4FC3">
        <w:t xml:space="preserve">  </w:t>
      </w:r>
      <w:r w:rsidRPr="00382917">
        <w:t>That</w:t>
      </w:r>
      <w:r w:rsidR="00EE4FC3">
        <w:t xml:space="preserve"> </w:t>
      </w:r>
      <w:r w:rsidRPr="00382917">
        <w:t>nothing</w:t>
      </w:r>
      <w:r w:rsidR="00EE4FC3">
        <w:t xml:space="preserve"> </w:t>
      </w:r>
      <w:r w:rsidRPr="00382917">
        <w:t>short</w:t>
      </w:r>
      <w:r w:rsidR="00EE4FC3">
        <w:t xml:space="preserve"> </w:t>
      </w:r>
      <w:r w:rsidRPr="00382917">
        <w:t>of</w:t>
      </w:r>
      <w:r w:rsidR="00EE4FC3">
        <w:t xml:space="preserve"> </w:t>
      </w:r>
      <w:r w:rsidRPr="00382917">
        <w:t>prayerful</w:t>
      </w:r>
      <w:r w:rsidR="00EE4FC3">
        <w:t xml:space="preserve"> </w:t>
      </w:r>
      <w:proofErr w:type="spellStart"/>
      <w:r w:rsidRPr="00382917">
        <w:t>endeavor</w:t>
      </w:r>
      <w:proofErr w:type="spellEnd"/>
      <w:r w:rsidRPr="00382917">
        <w:t>,</w:t>
      </w:r>
      <w:r w:rsidR="00EE4FC3">
        <w:t xml:space="preserve"> </w:t>
      </w:r>
      <w:r w:rsidRPr="00382917">
        <w:t>purity</w:t>
      </w:r>
      <w:r w:rsidR="00EE4FC3">
        <w:t xml:space="preserve"> </w:t>
      </w:r>
      <w:r w:rsidRPr="00382917">
        <w:t>of</w:t>
      </w:r>
      <w:r w:rsidR="00EE4FC3">
        <w:t xml:space="preserve"> </w:t>
      </w:r>
      <w:r w:rsidRPr="00382917">
        <w:t>motive,</w:t>
      </w:r>
      <w:r w:rsidR="00EE4FC3">
        <w:t xml:space="preserve"> </w:t>
      </w:r>
      <w:r w:rsidRPr="00382917">
        <w:t>singleness</w:t>
      </w:r>
      <w:r w:rsidR="00EE4FC3">
        <w:t xml:space="preserve"> </w:t>
      </w:r>
      <w:r w:rsidRPr="00382917">
        <w:t>of</w:t>
      </w:r>
      <w:r w:rsidR="00EE4FC3">
        <w:t xml:space="preserve"> </w:t>
      </w:r>
      <w:r w:rsidRPr="00382917">
        <w:t>purpose,</w:t>
      </w:r>
      <w:r w:rsidR="00EE4FC3">
        <w:t xml:space="preserve"> </w:t>
      </w:r>
      <w:r w:rsidRPr="00382917">
        <w:t>and</w:t>
      </w:r>
      <w:r w:rsidR="00EE4FC3">
        <w:t xml:space="preserve"> </w:t>
      </w:r>
      <w:r w:rsidRPr="00382917">
        <w:t>ceaseless</w:t>
      </w:r>
      <w:r w:rsidR="00EE4FC3">
        <w:t xml:space="preserve"> </w:t>
      </w:r>
      <w:r w:rsidRPr="00382917">
        <w:t>search</w:t>
      </w:r>
      <w:r w:rsidR="00EE4FC3">
        <w:t xml:space="preserve"> </w:t>
      </w:r>
      <w:r w:rsidRPr="00382917">
        <w:t>would</w:t>
      </w:r>
      <w:r w:rsidR="00EE4FC3">
        <w:t xml:space="preserve"> </w:t>
      </w:r>
      <w:r w:rsidRPr="00382917">
        <w:t>ever</w:t>
      </w:r>
      <w:r w:rsidR="00EE4FC3">
        <w:t xml:space="preserve"> </w:t>
      </w:r>
      <w:r w:rsidRPr="00382917">
        <w:t>lead</w:t>
      </w:r>
      <w:r w:rsidR="00EE4FC3">
        <w:t xml:space="preserve"> </w:t>
      </w:r>
      <w:r w:rsidRPr="00382917">
        <w:t>them</w:t>
      </w:r>
      <w:r w:rsidR="00EE4FC3">
        <w:t xml:space="preserve"> </w:t>
      </w:r>
      <w:r w:rsidRPr="00382917">
        <w:t>to</w:t>
      </w:r>
      <w:r w:rsidR="00EE4FC3">
        <w:t xml:space="preserve"> </w:t>
      </w:r>
      <w:r w:rsidRPr="00382917">
        <w:t>Him.</w:t>
      </w:r>
    </w:p>
    <w:p w:rsidR="00581CF7" w:rsidRPr="00382917" w:rsidRDefault="009C713D" w:rsidP="006D18A4">
      <w:pPr>
        <w:pStyle w:val="Text"/>
      </w:pPr>
      <w:r w:rsidRPr="00382917">
        <w:t>“</w:t>
      </w:r>
      <w:r w:rsidR="00581CF7" w:rsidRPr="00382917">
        <w:t>We</w:t>
      </w:r>
      <w:r w:rsidR="00EE4FC3">
        <w:t xml:space="preserve"> </w:t>
      </w:r>
      <w:r w:rsidR="00581CF7" w:rsidRPr="00382917">
        <w:t>acknowledge</w:t>
      </w:r>
      <w:r w:rsidR="00EE4FC3">
        <w:t xml:space="preserve"> </w:t>
      </w:r>
      <w:r w:rsidR="00581CF7" w:rsidRPr="00382917">
        <w:t>our</w:t>
      </w:r>
      <w:r w:rsidR="00EE4FC3">
        <w:t xml:space="preserve"> </w:t>
      </w:r>
      <w:r w:rsidR="00581CF7" w:rsidRPr="00382917">
        <w:t>failure,</w:t>
      </w:r>
      <w:r w:rsidRPr="00382917">
        <w:t>”</w:t>
      </w:r>
      <w:r w:rsidR="00EE4FC3">
        <w:t xml:space="preserve"> </w:t>
      </w:r>
      <w:r w:rsidR="00581CF7" w:rsidRPr="00382917">
        <w:t>they</w:t>
      </w:r>
      <w:r w:rsidR="00EE4FC3">
        <w:t xml:space="preserve"> </w:t>
      </w:r>
      <w:r w:rsidR="00581CF7" w:rsidRPr="00382917">
        <w:t>told</w:t>
      </w:r>
      <w:r w:rsidR="00EE4FC3">
        <w:t xml:space="preserve"> </w:t>
      </w:r>
      <w:r w:rsidR="00581CF7" w:rsidRPr="00382917">
        <w:t>him.</w:t>
      </w:r>
    </w:p>
    <w:p w:rsidR="00581CF7" w:rsidRPr="00382917" w:rsidRDefault="009C713D" w:rsidP="006D18A4">
      <w:pPr>
        <w:pStyle w:val="Text"/>
      </w:pPr>
      <w:r w:rsidRPr="00382917">
        <w:t>“</w:t>
      </w:r>
      <w:r w:rsidR="00581CF7" w:rsidRPr="00382917">
        <w:t>Then</w:t>
      </w:r>
      <w:r w:rsidR="00EE4FC3">
        <w:t xml:space="preserve"> </w:t>
      </w:r>
      <w:r w:rsidR="00581CF7" w:rsidRPr="00382917">
        <w:t>why,</w:t>
      </w:r>
      <w:r w:rsidRPr="00382917">
        <w:t>”</w:t>
      </w:r>
      <w:r w:rsidR="00EE4FC3">
        <w:t xml:space="preserve"> </w:t>
      </w:r>
      <w:r w:rsidR="00581CF7" w:rsidRPr="00382917">
        <w:t>Mullá</w:t>
      </w:r>
      <w:r w:rsidR="00EE4FC3">
        <w:t xml:space="preserve"> </w:t>
      </w:r>
      <w:r w:rsidR="00964C11" w:rsidRPr="00382917">
        <w:t>Ḥusayn</w:t>
      </w:r>
      <w:r w:rsidR="00EE4FC3">
        <w:t xml:space="preserve"> </w:t>
      </w:r>
      <w:r w:rsidR="00581CF7" w:rsidRPr="00382917">
        <w:t>demanded,</w:t>
      </w:r>
      <w:r w:rsidR="00EE4FC3">
        <w:t xml:space="preserve"> </w:t>
      </w:r>
      <w:r w:rsidRPr="00382917">
        <w:t>“</w:t>
      </w:r>
      <w:r w:rsidR="00581CF7" w:rsidRPr="00382917">
        <w:t>have</w:t>
      </w:r>
      <w:r w:rsidR="00EE4FC3">
        <w:t xml:space="preserve"> </w:t>
      </w:r>
      <w:r w:rsidR="00581CF7" w:rsidRPr="00382917">
        <w:t>you</w:t>
      </w:r>
      <w:r w:rsidR="00EE4FC3">
        <w:t xml:space="preserve"> </w:t>
      </w:r>
      <w:r w:rsidR="00581CF7" w:rsidRPr="00382917">
        <w:t>chosen</w:t>
      </w:r>
      <w:r w:rsidR="00EE4FC3">
        <w:t xml:space="preserve"> </w:t>
      </w:r>
      <w:r w:rsidR="00581CF7" w:rsidRPr="00382917">
        <w:t>to</w:t>
      </w:r>
      <w:r w:rsidR="00EE4FC3">
        <w:t xml:space="preserve"> </w:t>
      </w:r>
      <w:r w:rsidR="00581CF7" w:rsidRPr="00382917">
        <w:t>remain</w:t>
      </w:r>
      <w:r w:rsidR="00EE4FC3">
        <w:t xml:space="preserve"> </w:t>
      </w:r>
      <w:r w:rsidR="00581CF7" w:rsidRPr="00382917">
        <w:t>in</w:t>
      </w:r>
      <w:r w:rsidR="00EE4FC3">
        <w:t xml:space="preserve"> </w:t>
      </w:r>
      <w:r w:rsidR="00581CF7" w:rsidRPr="00382917">
        <w:t>Karbilá?</w:t>
      </w:r>
      <w:r w:rsidR="00EE4FC3">
        <w:t xml:space="preserve">  </w:t>
      </w:r>
      <w:r w:rsidR="00581CF7" w:rsidRPr="00382917">
        <w:t>Why</w:t>
      </w:r>
      <w:r w:rsidR="00EE4FC3">
        <w:t xml:space="preserve"> </w:t>
      </w:r>
      <w:r w:rsidR="00581CF7" w:rsidRPr="00382917">
        <w:t>is</w:t>
      </w:r>
      <w:r w:rsidR="00EE4FC3">
        <w:t xml:space="preserve"> </w:t>
      </w:r>
      <w:r w:rsidR="00581CF7" w:rsidRPr="00382917">
        <w:t>it</w:t>
      </w:r>
      <w:r w:rsidR="00EE4FC3">
        <w:t xml:space="preserve"> </w:t>
      </w:r>
      <w:r w:rsidR="00581CF7" w:rsidRPr="00382917">
        <w:t>that</w:t>
      </w:r>
      <w:r w:rsidR="00EE4FC3">
        <w:t xml:space="preserve"> </w:t>
      </w:r>
      <w:r w:rsidR="00581CF7" w:rsidRPr="00382917">
        <w:t>you</w:t>
      </w:r>
      <w:r w:rsidR="00EE4FC3">
        <w:t xml:space="preserve"> </w:t>
      </w:r>
      <w:r w:rsidR="00581CF7" w:rsidRPr="00382917">
        <w:t>have</w:t>
      </w:r>
      <w:r w:rsidR="00EE4FC3">
        <w:t xml:space="preserve"> </w:t>
      </w:r>
      <w:r w:rsidR="00581CF7" w:rsidRPr="00382917">
        <w:t>not</w:t>
      </w:r>
      <w:r w:rsidR="00EE4FC3">
        <w:t xml:space="preserve"> </w:t>
      </w:r>
      <w:r w:rsidR="00581CF7" w:rsidRPr="00382917">
        <w:t>dispersed</w:t>
      </w:r>
      <w:r w:rsidR="00EE4FC3">
        <w:t xml:space="preserve"> </w:t>
      </w:r>
      <w:r w:rsidR="00581CF7" w:rsidRPr="00382917">
        <w:t>and</w:t>
      </w:r>
      <w:r w:rsidR="00EE4FC3">
        <w:t xml:space="preserve"> </w:t>
      </w:r>
      <w:r w:rsidR="00581CF7" w:rsidRPr="00382917">
        <w:t>arisen</w:t>
      </w:r>
      <w:r w:rsidR="00EE4FC3">
        <w:t xml:space="preserve"> </w:t>
      </w:r>
      <w:r w:rsidR="00581CF7" w:rsidRPr="00382917">
        <w:t>to</w:t>
      </w:r>
      <w:r w:rsidR="00EE4FC3">
        <w:t xml:space="preserve"> </w:t>
      </w:r>
      <w:r w:rsidR="00581CF7" w:rsidRPr="00382917">
        <w:t>carry</w:t>
      </w:r>
      <w:r w:rsidR="00EE4FC3">
        <w:t xml:space="preserve"> </w:t>
      </w:r>
      <w:r w:rsidR="00581CF7" w:rsidRPr="00382917">
        <w:t>out</w:t>
      </w:r>
      <w:r w:rsidR="00EE4FC3">
        <w:t xml:space="preserve"> </w:t>
      </w:r>
      <w:r w:rsidR="00581CF7" w:rsidRPr="00382917">
        <w:t>Siyyid</w:t>
      </w:r>
      <w:r w:rsidR="00EE4FC3">
        <w:t xml:space="preserve"> </w:t>
      </w:r>
      <w:proofErr w:type="spellStart"/>
      <w:r w:rsidR="00581CF7" w:rsidRPr="00382917">
        <w:t>Káẓim</w:t>
      </w:r>
      <w:r w:rsidRPr="00382917">
        <w:t>’</w:t>
      </w:r>
      <w:r w:rsidR="00581CF7" w:rsidRPr="00382917">
        <w:t>s</w:t>
      </w:r>
      <w:proofErr w:type="spellEnd"/>
      <w:r w:rsidR="00EE4FC3">
        <w:t xml:space="preserve"> </w:t>
      </w:r>
      <w:r w:rsidR="00581CF7" w:rsidRPr="00382917">
        <w:t>earnest</w:t>
      </w:r>
      <w:r w:rsidR="00EE4FC3">
        <w:t xml:space="preserve"> </w:t>
      </w:r>
      <w:r w:rsidR="00581CF7" w:rsidRPr="00382917">
        <w:t>plea?</w:t>
      </w:r>
      <w:r w:rsidRPr="00382917">
        <w:t>”</w:t>
      </w:r>
    </w:p>
    <w:p w:rsidR="00581CF7" w:rsidRPr="00382917" w:rsidRDefault="00581CF7" w:rsidP="006D18A4">
      <w:pPr>
        <w:pStyle w:val="Text"/>
      </w:pPr>
      <w:r w:rsidRPr="00382917">
        <w:t>To</w:t>
      </w:r>
      <w:r w:rsidR="00EE4FC3">
        <w:t xml:space="preserve"> </w:t>
      </w:r>
      <w:r w:rsidRPr="00382917">
        <w:t>his</w:t>
      </w:r>
      <w:r w:rsidR="00EE4FC3">
        <w:t xml:space="preserve"> </w:t>
      </w:r>
      <w:r w:rsidRPr="00382917">
        <w:t>entreaty</w:t>
      </w:r>
      <w:r w:rsidR="00EE4FC3">
        <w:t xml:space="preserve"> </w:t>
      </w:r>
      <w:r w:rsidRPr="00382917">
        <w:t>they</w:t>
      </w:r>
      <w:r w:rsidR="00EE4FC3">
        <w:t xml:space="preserve"> </w:t>
      </w:r>
      <w:r w:rsidRPr="00382917">
        <w:t>gave</w:t>
      </w:r>
      <w:r w:rsidR="00EE4FC3">
        <w:t xml:space="preserve"> </w:t>
      </w:r>
      <w:r w:rsidRPr="00382917">
        <w:t>weak</w:t>
      </w:r>
      <w:r w:rsidR="00EE4FC3">
        <w:t xml:space="preserve"> </w:t>
      </w:r>
      <w:r w:rsidRPr="00382917">
        <w:t>and</w:t>
      </w:r>
      <w:r w:rsidR="00EE4FC3">
        <w:t xml:space="preserve"> </w:t>
      </w:r>
      <w:r w:rsidRPr="00382917">
        <w:t>evasive</w:t>
      </w:r>
      <w:r w:rsidR="00EE4FC3">
        <w:t xml:space="preserve"> </w:t>
      </w:r>
      <w:r w:rsidRPr="00382917">
        <w:t>answers.</w:t>
      </w:r>
    </w:p>
    <w:p w:rsidR="00581CF7" w:rsidRPr="00382917" w:rsidRDefault="009C713D" w:rsidP="006D18A4">
      <w:pPr>
        <w:pStyle w:val="Text"/>
      </w:pPr>
      <w:r w:rsidRPr="00382917">
        <w:t>“</w:t>
      </w:r>
      <w:r w:rsidR="00581CF7" w:rsidRPr="00382917">
        <w:t>Our</w:t>
      </w:r>
      <w:r w:rsidR="00EE4FC3">
        <w:t xml:space="preserve"> </w:t>
      </w:r>
      <w:r w:rsidR="00581CF7" w:rsidRPr="00382917">
        <w:t>enemies</w:t>
      </w:r>
      <w:r w:rsidR="00EE4FC3">
        <w:t xml:space="preserve"> </w:t>
      </w:r>
      <w:r w:rsidR="00581CF7" w:rsidRPr="00382917">
        <w:t>are</w:t>
      </w:r>
      <w:r w:rsidR="00EE4FC3">
        <w:t xml:space="preserve"> </w:t>
      </w:r>
      <w:r w:rsidR="00581CF7" w:rsidRPr="00382917">
        <w:t>many</w:t>
      </w:r>
      <w:r w:rsidR="00EE4FC3">
        <w:t xml:space="preserve"> </w:t>
      </w:r>
      <w:r w:rsidR="00581CF7" w:rsidRPr="00382917">
        <w:t>and</w:t>
      </w:r>
      <w:r w:rsidR="00EE4FC3">
        <w:t xml:space="preserve"> </w:t>
      </w:r>
      <w:r w:rsidR="00581CF7" w:rsidRPr="00382917">
        <w:t>powerful,</w:t>
      </w:r>
      <w:r w:rsidRPr="00382917">
        <w:t>”</w:t>
      </w:r>
      <w:r w:rsidR="00EE4FC3">
        <w:t xml:space="preserve"> </w:t>
      </w:r>
      <w:r w:rsidR="00581CF7" w:rsidRPr="00382917">
        <w:t>one</w:t>
      </w:r>
      <w:r w:rsidR="00EE4FC3">
        <w:t xml:space="preserve"> </w:t>
      </w:r>
      <w:r w:rsidR="00581CF7" w:rsidRPr="00382917">
        <w:t>replied.</w:t>
      </w:r>
      <w:r w:rsidR="00EE4FC3">
        <w:t xml:space="preserve">  </w:t>
      </w:r>
      <w:r w:rsidRPr="00382917">
        <w:t>“</w:t>
      </w:r>
      <w:r w:rsidR="00581CF7" w:rsidRPr="00382917">
        <w:t>We</w:t>
      </w:r>
      <w:r w:rsidR="00EE4FC3">
        <w:t xml:space="preserve"> </w:t>
      </w:r>
      <w:r w:rsidR="00581CF7" w:rsidRPr="00382917">
        <w:t>must</w:t>
      </w:r>
      <w:r w:rsidR="00EE4FC3">
        <w:t xml:space="preserve"> </w:t>
      </w:r>
      <w:r w:rsidR="00581CF7" w:rsidRPr="00382917">
        <w:t>remain</w:t>
      </w:r>
      <w:r w:rsidR="00EE4FC3">
        <w:t xml:space="preserve"> </w:t>
      </w:r>
      <w:r w:rsidR="00581CF7" w:rsidRPr="00382917">
        <w:t>in</w:t>
      </w:r>
      <w:r w:rsidR="00EE4FC3">
        <w:t xml:space="preserve"> </w:t>
      </w:r>
      <w:r w:rsidR="00581CF7" w:rsidRPr="00382917">
        <w:t>this</w:t>
      </w:r>
      <w:r w:rsidR="00EE4FC3">
        <w:t xml:space="preserve"> </w:t>
      </w:r>
      <w:r w:rsidR="00581CF7" w:rsidRPr="00382917">
        <w:t>city</w:t>
      </w:r>
      <w:r w:rsidR="00EE4FC3">
        <w:t xml:space="preserve"> </w:t>
      </w:r>
      <w:r w:rsidR="00581CF7" w:rsidRPr="00382917">
        <w:t>and</w:t>
      </w:r>
      <w:r w:rsidR="00EE4FC3">
        <w:t xml:space="preserve"> </w:t>
      </w:r>
      <w:r w:rsidR="00581CF7" w:rsidRPr="00382917">
        <w:t>protect</w:t>
      </w:r>
      <w:r w:rsidR="00EE4FC3">
        <w:t xml:space="preserve"> </w:t>
      </w:r>
      <w:r w:rsidR="00581CF7" w:rsidRPr="00382917">
        <w:t>the</w:t>
      </w:r>
      <w:r w:rsidR="00EE4FC3">
        <w:t xml:space="preserve"> </w:t>
      </w:r>
      <w:proofErr w:type="spellStart"/>
      <w:r w:rsidR="00581CF7" w:rsidRPr="00382917">
        <w:t>honor</w:t>
      </w:r>
      <w:proofErr w:type="spellEnd"/>
      <w:r w:rsidR="00EE4FC3">
        <w:t xml:space="preserve"> </w:t>
      </w:r>
      <w:r w:rsidR="00581CF7" w:rsidRPr="00382917">
        <w:t>of</w:t>
      </w:r>
      <w:r w:rsidR="00EE4FC3">
        <w:t xml:space="preserve"> </w:t>
      </w:r>
      <w:r w:rsidR="00581CF7" w:rsidRPr="00382917">
        <w:t>Siyyid</w:t>
      </w:r>
      <w:r w:rsidR="00EE4FC3">
        <w:t xml:space="preserve"> </w:t>
      </w:r>
      <w:r w:rsidR="00581CF7" w:rsidRPr="00382917">
        <w:t>Káẓim.</w:t>
      </w:r>
      <w:r w:rsidRPr="00382917">
        <w:t>”</w:t>
      </w:r>
    </w:p>
    <w:p w:rsidR="00581CF7" w:rsidRPr="00382917" w:rsidRDefault="009C713D" w:rsidP="006D18A4">
      <w:pPr>
        <w:pStyle w:val="Text"/>
      </w:pPr>
      <w:r w:rsidRPr="00382917">
        <w:t>“</w:t>
      </w:r>
      <w:r w:rsidR="00581CF7" w:rsidRPr="00382917">
        <w:t>I</w:t>
      </w:r>
      <w:r w:rsidR="00EE4FC3">
        <w:t xml:space="preserve"> </w:t>
      </w:r>
      <w:r w:rsidR="00581CF7" w:rsidRPr="00382917">
        <w:t>must</w:t>
      </w:r>
      <w:r w:rsidR="00EE4FC3">
        <w:t xml:space="preserve"> </w:t>
      </w:r>
      <w:r w:rsidR="00581CF7" w:rsidRPr="00382917">
        <w:t>stay</w:t>
      </w:r>
      <w:r w:rsidR="00EE4FC3">
        <w:t xml:space="preserve"> </w:t>
      </w:r>
      <w:r w:rsidR="00581CF7" w:rsidRPr="00382917">
        <w:t>and</w:t>
      </w:r>
      <w:r w:rsidR="00EE4FC3">
        <w:t xml:space="preserve"> </w:t>
      </w:r>
      <w:r w:rsidR="00581CF7" w:rsidRPr="00382917">
        <w:t>care</w:t>
      </w:r>
      <w:r w:rsidR="00EE4FC3">
        <w:t xml:space="preserve"> </w:t>
      </w:r>
      <w:r w:rsidR="00581CF7" w:rsidRPr="00382917">
        <w:t>for</w:t>
      </w:r>
      <w:r w:rsidR="00EE4FC3">
        <w:t xml:space="preserve"> </w:t>
      </w:r>
      <w:r w:rsidR="00581CF7" w:rsidRPr="00382917">
        <w:t>the</w:t>
      </w:r>
      <w:r w:rsidR="00EE4FC3">
        <w:t xml:space="preserve"> </w:t>
      </w:r>
      <w:r w:rsidR="00581CF7" w:rsidRPr="00382917">
        <w:t>children</w:t>
      </w:r>
      <w:r w:rsidR="00EE4FC3">
        <w:t xml:space="preserve"> </w:t>
      </w:r>
      <w:r w:rsidR="00581CF7" w:rsidRPr="00382917">
        <w:t>and</w:t>
      </w:r>
      <w:r w:rsidR="00EE4FC3">
        <w:t xml:space="preserve"> </w:t>
      </w:r>
      <w:r w:rsidR="00581CF7" w:rsidRPr="00382917">
        <w:t>the</w:t>
      </w:r>
      <w:r w:rsidR="00EE4FC3">
        <w:t xml:space="preserve"> </w:t>
      </w:r>
      <w:r w:rsidR="00581CF7" w:rsidRPr="00382917">
        <w:t>family</w:t>
      </w:r>
      <w:r w:rsidR="00EE4FC3">
        <w:t xml:space="preserve"> </w:t>
      </w:r>
      <w:r w:rsidR="00581CF7" w:rsidRPr="00382917">
        <w:t>which</w:t>
      </w:r>
      <w:r w:rsidR="00EE4FC3">
        <w:t xml:space="preserve"> </w:t>
      </w:r>
      <w:r w:rsidR="00581CF7" w:rsidRPr="00382917">
        <w:t>Siyyid</w:t>
      </w:r>
      <w:r w:rsidR="00EE4FC3">
        <w:t xml:space="preserve"> </w:t>
      </w:r>
      <w:r w:rsidR="00581CF7" w:rsidRPr="00382917">
        <w:t>Káẓim</w:t>
      </w:r>
      <w:r w:rsidR="00EE4FC3">
        <w:t xml:space="preserve"> </w:t>
      </w:r>
      <w:r w:rsidR="00581CF7" w:rsidRPr="00382917">
        <w:t>has</w:t>
      </w:r>
      <w:r w:rsidR="00EE4FC3">
        <w:t xml:space="preserve"> </w:t>
      </w:r>
      <w:r w:rsidR="00581CF7" w:rsidRPr="00382917">
        <w:t>left</w:t>
      </w:r>
      <w:r w:rsidR="00EE4FC3">
        <w:t xml:space="preserve"> </w:t>
      </w:r>
      <w:r w:rsidR="00581CF7" w:rsidRPr="00382917">
        <w:t>behind,</w:t>
      </w:r>
      <w:r w:rsidRPr="00382917">
        <w:t>”</w:t>
      </w:r>
      <w:r w:rsidR="00EE4FC3">
        <w:t xml:space="preserve"> </w:t>
      </w:r>
      <w:r w:rsidR="00581CF7" w:rsidRPr="00382917">
        <w:t>another</w:t>
      </w:r>
      <w:r w:rsidR="00EE4FC3">
        <w:t xml:space="preserve"> </w:t>
      </w:r>
      <w:r w:rsidR="00581CF7" w:rsidRPr="00382917">
        <w:t>explained.</w:t>
      </w:r>
    </w:p>
    <w:p w:rsidR="00581CF7" w:rsidRPr="00382917" w:rsidRDefault="00581CF7" w:rsidP="006D18A4">
      <w:pPr>
        <w:pStyle w:val="Text"/>
      </w:pPr>
      <w:r w:rsidRPr="00382917">
        <w:t>They</w:t>
      </w:r>
      <w:r w:rsidR="00EE4FC3">
        <w:t xml:space="preserve"> </w:t>
      </w:r>
      <w:r w:rsidRPr="00382917">
        <w:t>all,</w:t>
      </w:r>
      <w:r w:rsidR="00EE4FC3">
        <w:t xml:space="preserve"> </w:t>
      </w:r>
      <w:r w:rsidRPr="00382917">
        <w:t>however,</w:t>
      </w:r>
      <w:r w:rsidR="00EE4FC3">
        <w:t xml:space="preserve"> </w:t>
      </w:r>
      <w:r w:rsidRPr="00382917">
        <w:t>agreed</w:t>
      </w:r>
      <w:r w:rsidR="00EE4FC3">
        <w:t xml:space="preserve"> </w:t>
      </w:r>
      <w:r w:rsidRPr="00382917">
        <w:t>to</w:t>
      </w:r>
      <w:r w:rsidR="00EE4FC3">
        <w:t xml:space="preserve"> </w:t>
      </w:r>
      <w:r w:rsidRPr="00382917">
        <w:t>the</w:t>
      </w:r>
      <w:r w:rsidR="00EE4FC3">
        <w:t xml:space="preserve"> </w:t>
      </w:r>
      <w:r w:rsidRPr="00382917">
        <w:t>leadership</w:t>
      </w:r>
      <w:r w:rsidR="00EE4FC3">
        <w:t xml:space="preserve"> </w:t>
      </w:r>
      <w:r w:rsidRPr="00382917">
        <w:t>of</w:t>
      </w:r>
      <w:r w:rsidR="00EE4FC3">
        <w:t xml:space="preserve"> </w:t>
      </w:r>
      <w:r w:rsidRPr="00382917">
        <w:t>Mullá</w:t>
      </w:r>
      <w:r w:rsidR="00EE4FC3">
        <w:t xml:space="preserve"> </w:t>
      </w:r>
      <w:r w:rsidR="00964C11" w:rsidRPr="00382917">
        <w:t>Ḥusayn</w:t>
      </w:r>
      <w:r w:rsidRPr="00382917">
        <w:t>,</w:t>
      </w:r>
      <w:r w:rsidR="00EE4FC3">
        <w:t xml:space="preserve"> </w:t>
      </w:r>
      <w:r w:rsidRPr="00382917">
        <w:t>saying,</w:t>
      </w:r>
      <w:r w:rsidR="00EE4FC3">
        <w:t xml:space="preserve"> </w:t>
      </w:r>
      <w:r w:rsidR="009C713D" w:rsidRPr="00382917">
        <w:t>“</w:t>
      </w:r>
      <w:r w:rsidRPr="00382917">
        <w:t>Such</w:t>
      </w:r>
      <w:r w:rsidR="00EE4FC3">
        <w:t xml:space="preserve"> </w:t>
      </w:r>
      <w:r w:rsidRPr="00382917">
        <w:t>is</w:t>
      </w:r>
      <w:r w:rsidR="00EE4FC3">
        <w:t xml:space="preserve"> </w:t>
      </w:r>
      <w:r w:rsidRPr="00382917">
        <w:t>our</w:t>
      </w:r>
      <w:r w:rsidR="00EE4FC3">
        <w:t xml:space="preserve"> </w:t>
      </w:r>
      <w:r w:rsidRPr="00382917">
        <w:t>confidence</w:t>
      </w:r>
      <w:r w:rsidR="00EE4FC3">
        <w:t xml:space="preserve"> </w:t>
      </w:r>
      <w:r w:rsidRPr="00382917">
        <w:t>in</w:t>
      </w:r>
      <w:r w:rsidR="00EE4FC3">
        <w:t xml:space="preserve"> </w:t>
      </w:r>
      <w:r w:rsidRPr="00382917">
        <w:t>you,</w:t>
      </w:r>
      <w:r w:rsidR="00EE4FC3">
        <w:t xml:space="preserve"> </w:t>
      </w:r>
      <w:r w:rsidRPr="00382917">
        <w:t>that</w:t>
      </w:r>
      <w:r w:rsidR="00EE4FC3">
        <w:t xml:space="preserve"> </w:t>
      </w:r>
      <w:r w:rsidRPr="00382917">
        <w:t>if</w:t>
      </w:r>
      <w:r w:rsidR="00EE4FC3">
        <w:t xml:space="preserve"> </w:t>
      </w:r>
      <w:r w:rsidRPr="00382917">
        <w:t>you</w:t>
      </w:r>
      <w:r w:rsidR="00EE4FC3">
        <w:t xml:space="preserve"> </w:t>
      </w:r>
      <w:r w:rsidRPr="00382917">
        <w:t>claim</w:t>
      </w:r>
      <w:r w:rsidR="00EE4FC3">
        <w:t xml:space="preserve"> </w:t>
      </w:r>
      <w:r w:rsidRPr="00382917">
        <w:t>to</w:t>
      </w:r>
      <w:r w:rsidR="00EE4FC3">
        <w:t xml:space="preserve"> </w:t>
      </w:r>
      <w:r w:rsidRPr="00382917">
        <w:t>be</w:t>
      </w:r>
      <w:r w:rsidR="00EE4FC3">
        <w:t xml:space="preserve"> </w:t>
      </w:r>
      <w:r w:rsidRPr="00382917">
        <w:t>the</w:t>
      </w:r>
      <w:r w:rsidR="00EE4FC3">
        <w:t xml:space="preserve"> </w:t>
      </w:r>
      <w:r w:rsidRPr="00382917">
        <w:t>Promised</w:t>
      </w:r>
      <w:r w:rsidR="00EE4FC3">
        <w:t xml:space="preserve"> </w:t>
      </w:r>
      <w:r w:rsidRPr="00382917">
        <w:t>One,</w:t>
      </w:r>
      <w:r w:rsidR="00EE4FC3">
        <w:t xml:space="preserve"> </w:t>
      </w:r>
      <w:r w:rsidRPr="00382917">
        <w:t>we</w:t>
      </w:r>
      <w:r w:rsidR="00EE4FC3">
        <w:t xml:space="preserve"> </w:t>
      </w:r>
      <w:r w:rsidRPr="00382917">
        <w:t>shall</w:t>
      </w:r>
      <w:r w:rsidR="00EE4FC3">
        <w:t xml:space="preserve"> </w:t>
      </w:r>
      <w:r w:rsidRPr="00382917">
        <w:t>all</w:t>
      </w:r>
      <w:r w:rsidR="00EE4FC3">
        <w:t xml:space="preserve"> </w:t>
      </w:r>
      <w:r w:rsidRPr="00382917">
        <w:t>readily</w:t>
      </w:r>
      <w:r w:rsidR="00EE4FC3">
        <w:t xml:space="preserve"> </w:t>
      </w:r>
      <w:r w:rsidRPr="00382917">
        <w:t>and</w:t>
      </w:r>
      <w:r w:rsidR="00EE4FC3">
        <w:t xml:space="preserve"> </w:t>
      </w:r>
      <w:r w:rsidRPr="00382917">
        <w:t>unquestioningly</w:t>
      </w:r>
      <w:r w:rsidR="00EE4FC3">
        <w:t xml:space="preserve"> </w:t>
      </w:r>
      <w:r w:rsidRPr="00382917">
        <w:t>submit.</w:t>
      </w:r>
      <w:r w:rsidR="009C713D" w:rsidRPr="00382917">
        <w:t>”</w:t>
      </w:r>
    </w:p>
    <w:p w:rsidR="00581CF7" w:rsidRPr="00382917" w:rsidRDefault="00581CF7" w:rsidP="006D18A4">
      <w:pPr>
        <w:pStyle w:val="Text"/>
      </w:pPr>
      <w:r w:rsidRPr="00382917">
        <w:t>Mullá</w:t>
      </w:r>
      <w:r w:rsidR="00EE4FC3">
        <w:t xml:space="preserve"> </w:t>
      </w:r>
      <w:r w:rsidR="00964C11" w:rsidRPr="00382917">
        <w:t>Ḥusayn</w:t>
      </w:r>
      <w:r w:rsidR="00EE4FC3">
        <w:t xml:space="preserve"> </w:t>
      </w:r>
      <w:r w:rsidRPr="00382917">
        <w:t>was</w:t>
      </w:r>
      <w:r w:rsidR="00EE4FC3">
        <w:t xml:space="preserve"> </w:t>
      </w:r>
      <w:r w:rsidRPr="00382917">
        <w:t>shocked</w:t>
      </w:r>
      <w:r w:rsidR="00EE4FC3">
        <w:t xml:space="preserve"> </w:t>
      </w:r>
      <w:proofErr w:type="gramStart"/>
      <w:r w:rsidRPr="00382917">
        <w:t>.</w:t>
      </w:r>
      <w:r w:rsidR="00EE4FC3">
        <w:t xml:space="preserve"> </w:t>
      </w:r>
      <w:proofErr w:type="gramEnd"/>
      <w:r w:rsidR="009C713D" w:rsidRPr="00382917">
        <w:t>“</w:t>
      </w:r>
      <w:r w:rsidRPr="00382917">
        <w:t>God</w:t>
      </w:r>
      <w:r w:rsidR="00EE4FC3">
        <w:t xml:space="preserve"> </w:t>
      </w:r>
      <w:r w:rsidRPr="00382917">
        <w:t>forbid!</w:t>
      </w:r>
      <w:r w:rsidR="009C713D" w:rsidRPr="00382917">
        <w:t>”</w:t>
      </w:r>
      <w:r w:rsidR="00EE4FC3">
        <w:t xml:space="preserve"> </w:t>
      </w:r>
      <w:r w:rsidRPr="00382917">
        <w:t>he</w:t>
      </w:r>
      <w:r w:rsidR="00EE4FC3">
        <w:t xml:space="preserve"> </w:t>
      </w:r>
      <w:r w:rsidRPr="00382917">
        <w:t>cried,</w:t>
      </w:r>
      <w:r w:rsidR="00EE4FC3">
        <w:t xml:space="preserve"> </w:t>
      </w:r>
      <w:r w:rsidR="009C713D" w:rsidRPr="00382917">
        <w:t>“</w:t>
      </w:r>
      <w:r w:rsidRPr="00382917">
        <w:t>that</w:t>
      </w:r>
      <w:r w:rsidR="00EE4FC3">
        <w:t xml:space="preserve"> </w:t>
      </w:r>
      <w:r w:rsidRPr="00382917">
        <w:t>I</w:t>
      </w:r>
      <w:r w:rsidR="00EE4FC3">
        <w:t xml:space="preserve"> </w:t>
      </w:r>
      <w:r w:rsidRPr="00382917">
        <w:t>who</w:t>
      </w:r>
      <w:r w:rsidR="00EE4FC3">
        <w:t xml:space="preserve"> </w:t>
      </w:r>
      <w:r w:rsidRPr="00382917">
        <w:t>am</w:t>
      </w:r>
      <w:r w:rsidR="00EE4FC3">
        <w:t xml:space="preserve"> </w:t>
      </w:r>
      <w:r w:rsidRPr="00382917">
        <w:t>but</w:t>
      </w:r>
      <w:r w:rsidR="00EE4FC3">
        <w:t xml:space="preserve"> </w:t>
      </w:r>
      <w:r w:rsidRPr="00382917">
        <w:t>dust</w:t>
      </w:r>
      <w:r w:rsidR="00EE4FC3">
        <w:t xml:space="preserve"> </w:t>
      </w:r>
      <w:r w:rsidRPr="00382917">
        <w:t>be</w:t>
      </w:r>
      <w:r w:rsidR="00EE4FC3">
        <w:t xml:space="preserve"> </w:t>
      </w:r>
      <w:r w:rsidRPr="00382917">
        <w:t>compared</w:t>
      </w:r>
      <w:r w:rsidR="00EE4FC3">
        <w:t xml:space="preserve"> </w:t>
      </w:r>
      <w:r w:rsidRPr="00382917">
        <w:t>to</w:t>
      </w:r>
      <w:r w:rsidR="00EE4FC3">
        <w:t xml:space="preserve"> </w:t>
      </w:r>
      <w:r w:rsidRPr="00382917">
        <w:t>Him!</w:t>
      </w:r>
      <w:r w:rsidR="009C713D" w:rsidRPr="00382917">
        <w:t>”</w:t>
      </w:r>
    </w:p>
    <w:p w:rsidR="00E13D49" w:rsidRPr="00382917" w:rsidRDefault="00581CF7" w:rsidP="00586465">
      <w:pPr>
        <w:pStyle w:val="Text"/>
      </w:pPr>
      <w:r w:rsidRPr="00382917">
        <w:t>Mullá</w:t>
      </w:r>
      <w:r w:rsidR="00EE4FC3">
        <w:t xml:space="preserve"> </w:t>
      </w:r>
      <w:r w:rsidR="00964C11" w:rsidRPr="00382917">
        <w:t>Ḥusayn</w:t>
      </w:r>
      <w:r w:rsidR="00EE4FC3">
        <w:t xml:space="preserve"> </w:t>
      </w:r>
      <w:r w:rsidRPr="00382917">
        <w:t>realized</w:t>
      </w:r>
      <w:r w:rsidR="00EE4FC3">
        <w:t xml:space="preserve"> </w:t>
      </w:r>
      <w:r w:rsidRPr="00382917">
        <w:t>the</w:t>
      </w:r>
      <w:r w:rsidR="00EE4FC3">
        <w:t xml:space="preserve"> </w:t>
      </w:r>
      <w:r w:rsidRPr="00382917">
        <w:t>futility</w:t>
      </w:r>
      <w:r w:rsidR="00EE4FC3">
        <w:t xml:space="preserve"> </w:t>
      </w:r>
      <w:r w:rsidRPr="00382917">
        <w:t>of</w:t>
      </w:r>
      <w:r w:rsidR="00EE4FC3">
        <w:t xml:space="preserve"> </w:t>
      </w:r>
      <w:r w:rsidRPr="00382917">
        <w:t>his</w:t>
      </w:r>
      <w:r w:rsidR="00EE4FC3">
        <w:t xml:space="preserve"> </w:t>
      </w:r>
      <w:r w:rsidRPr="00382917">
        <w:t>efforts</w:t>
      </w:r>
      <w:r w:rsidR="00EE4FC3">
        <w:t xml:space="preserve"> </w:t>
      </w:r>
      <w:r w:rsidRPr="00382917">
        <w:t>and</w:t>
      </w:r>
      <w:r w:rsidR="00EE4FC3">
        <w:t xml:space="preserve"> </w:t>
      </w:r>
      <w:r w:rsidRPr="00382917">
        <w:t>spoke</w:t>
      </w:r>
      <w:r w:rsidR="00EE4FC3">
        <w:t xml:space="preserve"> </w:t>
      </w:r>
      <w:r w:rsidRPr="00382917">
        <w:t>to</w:t>
      </w:r>
      <w:r w:rsidR="00EE4FC3">
        <w:t xml:space="preserve"> </w:t>
      </w:r>
      <w:r w:rsidRPr="00382917">
        <w:t>them</w:t>
      </w:r>
      <w:r w:rsidR="00EE4FC3">
        <w:t xml:space="preserve"> </w:t>
      </w:r>
      <w:r w:rsidRPr="00382917">
        <w:t>no</w:t>
      </w:r>
      <w:r w:rsidR="00EE4FC3">
        <w:t xml:space="preserve"> </w:t>
      </w:r>
      <w:r w:rsidRPr="00382917">
        <w:t>more.</w:t>
      </w:r>
      <w:r w:rsidR="00EE4FC3">
        <w:t xml:space="preserve">  </w:t>
      </w:r>
      <w:r w:rsidRPr="00382917">
        <w:t>He</w:t>
      </w:r>
      <w:r w:rsidR="00EE4FC3">
        <w:t xml:space="preserve"> </w:t>
      </w:r>
      <w:r w:rsidRPr="00382917">
        <w:t>left</w:t>
      </w:r>
      <w:r w:rsidR="00EE4FC3">
        <w:t xml:space="preserve"> </w:t>
      </w:r>
      <w:r w:rsidRPr="00382917">
        <w:t>them,</w:t>
      </w:r>
      <w:r w:rsidR="00EE4FC3">
        <w:t xml:space="preserve"> </w:t>
      </w:r>
      <w:r w:rsidRPr="00382917">
        <w:t>and</w:t>
      </w:r>
      <w:r w:rsidR="00EE4FC3">
        <w:t xml:space="preserve"> </w:t>
      </w:r>
      <w:r w:rsidRPr="00382917">
        <w:t>made</w:t>
      </w:r>
      <w:r w:rsidR="00EE4FC3">
        <w:t xml:space="preserve"> </w:t>
      </w:r>
      <w:r w:rsidRPr="00382917">
        <w:t>his</w:t>
      </w:r>
      <w:r w:rsidR="00EE4FC3">
        <w:t xml:space="preserve"> </w:t>
      </w:r>
      <w:r w:rsidRPr="00382917">
        <w:t>own</w:t>
      </w:r>
      <w:r w:rsidR="00EE4FC3">
        <w:t xml:space="preserve"> </w:t>
      </w:r>
      <w:r w:rsidRPr="00382917">
        <w:t>plans</w:t>
      </w:r>
      <w:r w:rsidR="00EE4FC3">
        <w:t xml:space="preserve"> </w:t>
      </w:r>
      <w:r w:rsidRPr="00382917">
        <w:t>to</w:t>
      </w:r>
      <w:r w:rsidR="00EE4FC3">
        <w:t xml:space="preserve"> </w:t>
      </w:r>
      <w:r w:rsidRPr="00382917">
        <w:t>begin</w:t>
      </w:r>
      <w:r w:rsidR="00EE4FC3">
        <w:t xml:space="preserve"> </w:t>
      </w:r>
      <w:r w:rsidRPr="00382917">
        <w:t>his</w:t>
      </w:r>
      <w:r w:rsidR="00EE4FC3">
        <w:t xml:space="preserve"> </w:t>
      </w:r>
      <w:r w:rsidRPr="00382917">
        <w:t>quest</w:t>
      </w:r>
      <w:r w:rsidR="00EE4FC3">
        <w:t xml:space="preserve"> </w:t>
      </w:r>
      <w:r w:rsidRPr="00382917">
        <w:t>for</w:t>
      </w:r>
      <w:r w:rsidR="00EE4FC3">
        <w:t xml:space="preserve"> </w:t>
      </w:r>
      <w:r w:rsidRPr="00382917">
        <w:t>the</w:t>
      </w:r>
      <w:r w:rsidR="00EE4FC3">
        <w:t xml:space="preserve"> </w:t>
      </w:r>
      <w:r w:rsidRPr="00382917">
        <w:t>Beloved</w:t>
      </w:r>
      <w:r w:rsidR="00EE4FC3">
        <w:t xml:space="preserve"> </w:t>
      </w:r>
      <w:r w:rsidRPr="00382917">
        <w:t>of</w:t>
      </w:r>
      <w:r w:rsidR="00EE4FC3">
        <w:t xml:space="preserve"> </w:t>
      </w:r>
      <w:r w:rsidRPr="00382917">
        <w:t>God.</w:t>
      </w:r>
      <w:r w:rsidR="00586465">
        <w:rPr>
          <w:rStyle w:val="FootnoteReference"/>
        </w:rPr>
        <w:footnoteReference w:id="12"/>
      </w:r>
    </w:p>
    <w:p w:rsidR="00581CF7" w:rsidRPr="00382917" w:rsidRDefault="00581CF7" w:rsidP="006D18A4">
      <w:pPr>
        <w:pStyle w:val="Text"/>
      </w:pPr>
      <w:r w:rsidRPr="00382917">
        <w:t>Mullá</w:t>
      </w:r>
      <w:r w:rsidR="00EE4FC3">
        <w:t xml:space="preserve"> </w:t>
      </w:r>
      <w:r w:rsidR="00964C11" w:rsidRPr="00382917">
        <w:t>Ḥusayn</w:t>
      </w:r>
      <w:r w:rsidR="00EE4FC3">
        <w:t xml:space="preserve"> </w:t>
      </w:r>
      <w:r w:rsidRPr="00382917">
        <w:t>prepared</w:t>
      </w:r>
      <w:r w:rsidR="00EE4FC3">
        <w:t xml:space="preserve"> </w:t>
      </w:r>
      <w:r w:rsidRPr="00382917">
        <w:t>for</w:t>
      </w:r>
      <w:r w:rsidR="00EE4FC3">
        <w:t xml:space="preserve"> </w:t>
      </w:r>
      <w:r w:rsidRPr="00382917">
        <w:t>his</w:t>
      </w:r>
      <w:r w:rsidR="00EE4FC3">
        <w:t xml:space="preserve"> </w:t>
      </w:r>
      <w:r w:rsidRPr="00382917">
        <w:t>search</w:t>
      </w:r>
      <w:r w:rsidR="00EE4FC3">
        <w:t xml:space="preserve"> </w:t>
      </w:r>
      <w:r w:rsidRPr="00382917">
        <w:t>by</w:t>
      </w:r>
      <w:r w:rsidR="00EE4FC3">
        <w:t xml:space="preserve"> </w:t>
      </w:r>
      <w:r w:rsidRPr="00382917">
        <w:t>withdrawing</w:t>
      </w:r>
      <w:r w:rsidR="00EE4FC3">
        <w:t xml:space="preserve"> </w:t>
      </w:r>
      <w:r w:rsidRPr="00382917">
        <w:t>and</w:t>
      </w:r>
      <w:r w:rsidR="00EE4FC3">
        <w:t xml:space="preserve"> </w:t>
      </w:r>
      <w:r w:rsidRPr="00382917">
        <w:t>spending</w:t>
      </w:r>
      <w:r w:rsidR="00EE4FC3">
        <w:t xml:space="preserve"> </w:t>
      </w:r>
      <w:r w:rsidRPr="00382917">
        <w:t>forty</w:t>
      </w:r>
      <w:r w:rsidR="00EE4FC3">
        <w:t xml:space="preserve"> </w:t>
      </w:r>
      <w:r w:rsidRPr="00382917">
        <w:t>days</w:t>
      </w:r>
      <w:r w:rsidR="00EE4FC3">
        <w:t xml:space="preserve"> </w:t>
      </w:r>
      <w:r w:rsidRPr="00382917">
        <w:t>in</w:t>
      </w:r>
      <w:r w:rsidR="00EE4FC3">
        <w:t xml:space="preserve"> </w:t>
      </w:r>
      <w:r w:rsidRPr="00382917">
        <w:t>retirement</w:t>
      </w:r>
      <w:r w:rsidR="00EE4FC3">
        <w:t xml:space="preserve"> </w:t>
      </w:r>
      <w:r w:rsidRPr="00382917">
        <w:t>and</w:t>
      </w:r>
      <w:r w:rsidR="00EE4FC3">
        <w:t xml:space="preserve"> </w:t>
      </w:r>
      <w:r w:rsidRPr="00382917">
        <w:t>prayer.</w:t>
      </w:r>
      <w:r w:rsidR="00EE4FC3">
        <w:t xml:space="preserve">  </w:t>
      </w:r>
      <w:r w:rsidRPr="00382917">
        <w:t>His</w:t>
      </w:r>
      <w:r w:rsidR="00EE4FC3">
        <w:t xml:space="preserve"> </w:t>
      </w:r>
      <w:r w:rsidRPr="00382917">
        <w:t>retreat</w:t>
      </w:r>
      <w:r w:rsidR="00EE4FC3">
        <w:t xml:space="preserve"> </w:t>
      </w:r>
      <w:r w:rsidRPr="00382917">
        <w:t>was</w:t>
      </w:r>
      <w:r w:rsidR="00EE4FC3">
        <w:t xml:space="preserve"> </w:t>
      </w:r>
      <w:r w:rsidRPr="00382917">
        <w:t>interrupted</w:t>
      </w:r>
      <w:r w:rsidR="00EE4FC3">
        <w:t xml:space="preserve"> </w:t>
      </w:r>
      <w:r w:rsidRPr="00382917">
        <w:t>by</w:t>
      </w:r>
      <w:r w:rsidR="00EE4FC3">
        <w:t xml:space="preserve"> </w:t>
      </w:r>
      <w:r w:rsidRPr="00382917">
        <w:t>the</w:t>
      </w:r>
      <w:r w:rsidR="00EE4FC3">
        <w:t xml:space="preserve"> </w:t>
      </w:r>
      <w:r w:rsidRPr="00382917">
        <w:t>unexpected</w:t>
      </w:r>
      <w:r w:rsidR="00EE4FC3">
        <w:t xml:space="preserve"> </w:t>
      </w:r>
      <w:r w:rsidRPr="00382917">
        <w:t>arrival</w:t>
      </w:r>
      <w:r w:rsidR="00EE4FC3">
        <w:t xml:space="preserve"> </w:t>
      </w:r>
      <w:r w:rsidRPr="00382917">
        <w:t>of</w:t>
      </w:r>
      <w:r w:rsidR="00EE4FC3">
        <w:t xml:space="preserve"> </w:t>
      </w:r>
      <w:r w:rsidRPr="00382917">
        <w:t>Mullá</w:t>
      </w:r>
      <w:r w:rsidR="00EE4FC3">
        <w:t xml:space="preserve"> </w:t>
      </w:r>
      <w:r w:rsidR="009C713D" w:rsidRPr="00382917">
        <w:t>‘</w:t>
      </w:r>
      <w:r w:rsidRPr="00382917">
        <w:t>Alí</w:t>
      </w:r>
      <w:r w:rsidR="00EE4FC3">
        <w:t xml:space="preserve"> </w:t>
      </w:r>
      <w:r w:rsidRPr="00382917">
        <w:t>and</w:t>
      </w:r>
      <w:r w:rsidR="00EE4FC3">
        <w:t xml:space="preserve"> </w:t>
      </w:r>
      <w:r w:rsidRPr="00382917">
        <w:t>twelve</w:t>
      </w:r>
      <w:r w:rsidR="00EE4FC3">
        <w:t xml:space="preserve"> </w:t>
      </w:r>
      <w:r w:rsidRPr="00382917">
        <w:t>other</w:t>
      </w:r>
      <w:r w:rsidR="00EE4FC3">
        <w:t xml:space="preserve"> </w:t>
      </w:r>
      <w:r w:rsidRPr="00382917">
        <w:t>followers</w:t>
      </w:r>
      <w:r w:rsidR="00EE4FC3">
        <w:t xml:space="preserve"> </w:t>
      </w:r>
      <w:r w:rsidRPr="00382917">
        <w:t>of</w:t>
      </w:r>
      <w:r w:rsidR="00EE4FC3">
        <w:t xml:space="preserve"> </w:t>
      </w:r>
      <w:r w:rsidRPr="00382917">
        <w:t>Siyyid</w:t>
      </w:r>
      <w:r w:rsidR="00EE4FC3">
        <w:t xml:space="preserve"> </w:t>
      </w:r>
      <w:r w:rsidRPr="00382917">
        <w:t>Káẓim.</w:t>
      </w:r>
      <w:r w:rsidR="00EE4FC3">
        <w:t xml:space="preserve">  </w:t>
      </w:r>
      <w:r w:rsidRPr="00382917">
        <w:t>They</w:t>
      </w:r>
      <w:r w:rsidR="00EE4FC3">
        <w:t xml:space="preserve"> </w:t>
      </w:r>
      <w:r w:rsidRPr="00382917">
        <w:t>had</w:t>
      </w:r>
      <w:r w:rsidR="00EE4FC3">
        <w:t xml:space="preserve"> </w:t>
      </w:r>
      <w:r w:rsidRPr="00382917">
        <w:t>been</w:t>
      </w:r>
      <w:r w:rsidR="00EE4FC3">
        <w:t xml:space="preserve"> </w:t>
      </w:r>
      <w:r w:rsidRPr="00382917">
        <w:t>stirred</w:t>
      </w:r>
      <w:r w:rsidR="00EE4FC3">
        <w:t xml:space="preserve"> </w:t>
      </w:r>
      <w:r w:rsidRPr="00382917">
        <w:t>by</w:t>
      </w:r>
      <w:r w:rsidR="00EE4FC3">
        <w:t xml:space="preserve"> </w:t>
      </w:r>
      <w:r w:rsidRPr="00382917">
        <w:t>his</w:t>
      </w:r>
      <w:r w:rsidR="00EE4FC3">
        <w:t xml:space="preserve"> </w:t>
      </w:r>
      <w:r w:rsidRPr="00382917">
        <w:t>words,</w:t>
      </w:r>
      <w:r w:rsidR="00EE4FC3">
        <w:t xml:space="preserve"> </w:t>
      </w:r>
      <w:r w:rsidRPr="00382917">
        <w:t>and</w:t>
      </w:r>
      <w:r w:rsidR="00EE4FC3">
        <w:t xml:space="preserve"> </w:t>
      </w:r>
      <w:r w:rsidRPr="00382917">
        <w:t>had</w:t>
      </w:r>
      <w:r w:rsidR="00EE4FC3">
        <w:t xml:space="preserve"> </w:t>
      </w:r>
      <w:r w:rsidRPr="00382917">
        <w:t>decided</w:t>
      </w:r>
      <w:r w:rsidR="00EE4FC3">
        <w:t xml:space="preserve"> </w:t>
      </w:r>
      <w:r w:rsidRPr="00382917">
        <w:t>to</w:t>
      </w:r>
      <w:r w:rsidR="00EE4FC3">
        <w:t xml:space="preserve"> </w:t>
      </w:r>
      <w:r w:rsidRPr="00382917">
        <w:t>follow</w:t>
      </w:r>
      <w:r w:rsidR="00EE4FC3">
        <w:t xml:space="preserve"> </w:t>
      </w:r>
      <w:r w:rsidRPr="00382917">
        <w:t>Mullá</w:t>
      </w:r>
      <w:r w:rsidR="00EE4FC3">
        <w:t xml:space="preserve"> </w:t>
      </w:r>
      <w:proofErr w:type="spellStart"/>
      <w:r w:rsidR="00964C11" w:rsidRPr="00382917">
        <w:t>Ḥusayn</w:t>
      </w:r>
      <w:r w:rsidR="009C713D" w:rsidRPr="00382917">
        <w:t>’</w:t>
      </w:r>
      <w:r w:rsidRPr="00382917">
        <w:t>s</w:t>
      </w:r>
      <w:proofErr w:type="spellEnd"/>
      <w:r w:rsidR="00EE4FC3">
        <w:t xml:space="preserve"> </w:t>
      </w:r>
      <w:r w:rsidRPr="00382917">
        <w:t>example</w:t>
      </w:r>
      <w:r w:rsidR="00EE4FC3">
        <w:t xml:space="preserve"> </w:t>
      </w:r>
      <w:r w:rsidRPr="00382917">
        <w:t>and</w:t>
      </w:r>
      <w:r w:rsidR="00EE4FC3">
        <w:t xml:space="preserve"> </w:t>
      </w:r>
      <w:r w:rsidRPr="00382917">
        <w:t>begin</w:t>
      </w:r>
      <w:r w:rsidR="00EE4FC3">
        <w:t xml:space="preserve"> </w:t>
      </w:r>
      <w:r w:rsidRPr="00382917">
        <w:t>their</w:t>
      </w:r>
      <w:r w:rsidR="00EE4FC3">
        <w:t xml:space="preserve"> </w:t>
      </w:r>
      <w:r w:rsidRPr="00382917">
        <w:t>search</w:t>
      </w:r>
      <w:r w:rsidR="00EE4FC3">
        <w:t xml:space="preserve"> </w:t>
      </w:r>
      <w:r w:rsidRPr="00382917">
        <w:t>as</w:t>
      </w:r>
      <w:r w:rsidR="00EE4FC3">
        <w:t xml:space="preserve"> </w:t>
      </w:r>
      <w:r w:rsidRPr="00382917">
        <w:t>well.</w:t>
      </w:r>
    </w:p>
    <w:p w:rsidR="00581CF7" w:rsidRPr="00382917" w:rsidRDefault="00581CF7" w:rsidP="00CE7A86">
      <w:pPr>
        <w:pStyle w:val="Text"/>
      </w:pPr>
      <w:r w:rsidRPr="00382917">
        <w:t>On</w:t>
      </w:r>
      <w:r w:rsidR="00EE4FC3">
        <w:t xml:space="preserve"> </w:t>
      </w:r>
      <w:r w:rsidRPr="00382917">
        <w:t>several</w:t>
      </w:r>
      <w:r w:rsidR="00EE4FC3">
        <w:t xml:space="preserve"> </w:t>
      </w:r>
      <w:r w:rsidRPr="00382917">
        <w:t>occasions</w:t>
      </w:r>
      <w:r w:rsidR="00EE4FC3">
        <w:t xml:space="preserve"> </w:t>
      </w:r>
      <w:r w:rsidRPr="00382917">
        <w:t>Mullá</w:t>
      </w:r>
      <w:r w:rsidR="00EE4FC3">
        <w:t xml:space="preserve"> </w:t>
      </w:r>
      <w:r w:rsidR="00CE7A86">
        <w:t>‘</w:t>
      </w:r>
      <w:r w:rsidRPr="00382917">
        <w:t>Alí</w:t>
      </w:r>
      <w:r w:rsidR="00EE4FC3">
        <w:t xml:space="preserve"> </w:t>
      </w:r>
      <w:r w:rsidRPr="00382917">
        <w:t>approached</w:t>
      </w:r>
      <w:r w:rsidR="00EE4FC3">
        <w:t xml:space="preserve"> </w:t>
      </w:r>
      <w:r w:rsidRPr="00382917">
        <w:t>Mullá</w:t>
      </w:r>
      <w:r w:rsidR="00EE4FC3">
        <w:t xml:space="preserve"> </w:t>
      </w:r>
      <w:r w:rsidR="00964C11" w:rsidRPr="00382917">
        <w:t>Ḥusayn</w:t>
      </w:r>
      <w:r w:rsidR="00EE4FC3">
        <w:t xml:space="preserve"> </w:t>
      </w:r>
      <w:r w:rsidRPr="00382917">
        <w:t>to</w:t>
      </w:r>
      <w:r w:rsidR="00EE4FC3">
        <w:t xml:space="preserve"> </w:t>
      </w:r>
      <w:r w:rsidRPr="00382917">
        <w:t>ask</w:t>
      </w:r>
      <w:r w:rsidR="00EE4FC3">
        <w:t xml:space="preserve"> </w:t>
      </w:r>
      <w:r w:rsidRPr="00382917">
        <w:t>him</w:t>
      </w:r>
      <w:r w:rsidR="00EE4FC3">
        <w:t xml:space="preserve"> </w:t>
      </w:r>
      <w:r w:rsidRPr="00382917">
        <w:t>where</w:t>
      </w:r>
      <w:r w:rsidR="00EE4FC3">
        <w:t xml:space="preserve"> </w:t>
      </w:r>
      <w:r w:rsidRPr="00382917">
        <w:t>he</w:t>
      </w:r>
      <w:r w:rsidR="00EE4FC3">
        <w:t xml:space="preserve"> </w:t>
      </w:r>
      <w:r w:rsidRPr="00382917">
        <w:t>was</w:t>
      </w:r>
      <w:r w:rsidR="00EE4FC3">
        <w:t xml:space="preserve"> </w:t>
      </w:r>
      <w:r w:rsidRPr="00382917">
        <w:t>going</w:t>
      </w:r>
      <w:r w:rsidR="00EE4FC3">
        <w:t xml:space="preserve"> </w:t>
      </w:r>
      <w:r w:rsidRPr="00382917">
        <w:t>and</w:t>
      </w:r>
      <w:r w:rsidR="00EE4FC3">
        <w:t xml:space="preserve"> </w:t>
      </w:r>
      <w:r w:rsidRPr="00382917">
        <w:t>what</w:t>
      </w:r>
      <w:r w:rsidR="00EE4FC3">
        <w:t xml:space="preserve"> </w:t>
      </w:r>
      <w:r w:rsidRPr="00382917">
        <w:t>his</w:t>
      </w:r>
      <w:r w:rsidR="00EE4FC3">
        <w:t xml:space="preserve"> </w:t>
      </w:r>
      <w:r w:rsidRPr="00382917">
        <w:t>destination</w:t>
      </w:r>
      <w:r w:rsidR="00EE4FC3">
        <w:t xml:space="preserve"> </w:t>
      </w:r>
      <w:r w:rsidRPr="00382917">
        <w:t>would</w:t>
      </w:r>
      <w:r w:rsidR="00EE4FC3">
        <w:t xml:space="preserve"> </w:t>
      </w:r>
      <w:r w:rsidRPr="00382917">
        <w:t>be.</w:t>
      </w:r>
      <w:r w:rsidR="00EE4FC3">
        <w:t xml:space="preserve">  </w:t>
      </w:r>
      <w:r w:rsidRPr="00382917">
        <w:t>Every</w:t>
      </w:r>
      <w:r w:rsidR="00EE4FC3">
        <w:t xml:space="preserve"> </w:t>
      </w:r>
      <w:r w:rsidRPr="00382917">
        <w:t>time</w:t>
      </w:r>
      <w:r w:rsidR="00EE4FC3">
        <w:t xml:space="preserve"> </w:t>
      </w:r>
      <w:r w:rsidRPr="00382917">
        <w:t>he</w:t>
      </w:r>
      <w:r w:rsidR="00EE4FC3">
        <w:t xml:space="preserve"> </w:t>
      </w:r>
      <w:r w:rsidRPr="00382917">
        <w:t>neared</w:t>
      </w:r>
      <w:r w:rsidR="00EE4FC3">
        <w:t xml:space="preserve"> </w:t>
      </w:r>
      <w:r w:rsidRPr="00382917">
        <w:t>Mullá</w:t>
      </w:r>
      <w:r w:rsidR="00EE4FC3">
        <w:t xml:space="preserve"> </w:t>
      </w:r>
      <w:r w:rsidR="00964C11" w:rsidRPr="00382917">
        <w:t>Ḥusayn</w:t>
      </w:r>
      <w:r w:rsidRPr="00382917">
        <w:t>,</w:t>
      </w:r>
      <w:r w:rsidR="00EE4FC3">
        <w:t xml:space="preserve"> </w:t>
      </w:r>
      <w:r w:rsidRPr="00382917">
        <w:t>he</w:t>
      </w:r>
      <w:r w:rsidR="00EE4FC3">
        <w:t xml:space="preserve"> </w:t>
      </w:r>
      <w:r w:rsidRPr="00382917">
        <w:t>found</w:t>
      </w:r>
      <w:r w:rsidR="00EE4FC3">
        <w:t xml:space="preserve"> </w:t>
      </w:r>
      <w:r w:rsidRPr="00382917">
        <w:t>him</w:t>
      </w:r>
      <w:r w:rsidR="00EE4FC3">
        <w:t xml:space="preserve"> </w:t>
      </w:r>
      <w:r w:rsidRPr="00382917">
        <w:t>so</w:t>
      </w:r>
      <w:r w:rsidR="00EE4FC3">
        <w:t xml:space="preserve"> </w:t>
      </w:r>
      <w:r w:rsidRPr="00382917">
        <w:t>deeply</w:t>
      </w:r>
      <w:r w:rsidR="00EE4FC3">
        <w:t xml:space="preserve"> </w:t>
      </w:r>
      <w:proofErr w:type="spellStart"/>
      <w:r w:rsidRPr="00382917">
        <w:t>wrapt</w:t>
      </w:r>
      <w:proofErr w:type="spellEnd"/>
      <w:r w:rsidR="00EE4FC3">
        <w:t xml:space="preserve"> </w:t>
      </w:r>
      <w:r w:rsidRPr="00382917">
        <w:t>in</w:t>
      </w:r>
      <w:r w:rsidR="00EE4FC3">
        <w:t xml:space="preserve"> </w:t>
      </w:r>
      <w:r w:rsidRPr="00382917">
        <w:t>prayer</w:t>
      </w:r>
      <w:r w:rsidR="00EE4FC3">
        <w:t xml:space="preserve"> </w:t>
      </w:r>
      <w:r w:rsidRPr="00382917">
        <w:t>that</w:t>
      </w:r>
      <w:r w:rsidR="00EE4FC3">
        <w:t xml:space="preserve"> </w:t>
      </w:r>
      <w:r w:rsidRPr="00382917">
        <w:t>he</w:t>
      </w:r>
      <w:r w:rsidR="00EE4FC3">
        <w:t xml:space="preserve"> </w:t>
      </w:r>
      <w:r w:rsidRPr="00382917">
        <w:t>felt</w:t>
      </w:r>
      <w:r w:rsidR="00EE4FC3">
        <w:t xml:space="preserve"> </w:t>
      </w:r>
      <w:r w:rsidRPr="00382917">
        <w:t>it</w:t>
      </w:r>
      <w:r w:rsidR="00EE4FC3">
        <w:t xml:space="preserve"> </w:t>
      </w:r>
      <w:r w:rsidRPr="00382917">
        <w:t>improper</w:t>
      </w:r>
      <w:r w:rsidR="00EE4FC3">
        <w:t xml:space="preserve"> </w:t>
      </w:r>
      <w:r w:rsidRPr="00382917">
        <w:t>to</w:t>
      </w:r>
      <w:r w:rsidR="00EE4FC3">
        <w:t xml:space="preserve"> </w:t>
      </w:r>
      <w:r w:rsidRPr="00382917">
        <w:t>venture</w:t>
      </w:r>
      <w:r w:rsidR="00EE4FC3">
        <w:t xml:space="preserve"> </w:t>
      </w:r>
      <w:r w:rsidRPr="00382917">
        <w:t>a</w:t>
      </w:r>
      <w:r w:rsidR="00EE4FC3">
        <w:t xml:space="preserve"> </w:t>
      </w:r>
      <w:r w:rsidRPr="00382917">
        <w:t>question.</w:t>
      </w:r>
      <w:r w:rsidR="00EE4FC3">
        <w:t xml:space="preserve">  </w:t>
      </w:r>
      <w:r w:rsidRPr="00382917">
        <w:t>Mullá</w:t>
      </w:r>
      <w:r w:rsidR="00EE4FC3">
        <w:t xml:space="preserve"> </w:t>
      </w:r>
      <w:r w:rsidR="009C713D" w:rsidRPr="00382917">
        <w:t>‘</w:t>
      </w:r>
      <w:r w:rsidRPr="00382917">
        <w:t>Alí</w:t>
      </w:r>
    </w:p>
    <w:p w:rsidR="006D18A4" w:rsidRPr="00382917" w:rsidRDefault="006D18A4">
      <w:pPr>
        <w:widowControl/>
        <w:kinsoku/>
        <w:overflowPunct/>
        <w:textAlignment w:val="auto"/>
      </w:pPr>
      <w:r w:rsidRPr="00382917">
        <w:br w:type="page"/>
      </w:r>
    </w:p>
    <w:p w:rsidR="00581CF7" w:rsidRPr="00382917" w:rsidRDefault="00581CF7" w:rsidP="00CE7A86">
      <w:pPr>
        <w:pStyle w:val="Textcts"/>
      </w:pPr>
      <w:proofErr w:type="gramStart"/>
      <w:r w:rsidRPr="00382917">
        <w:t>decided</w:t>
      </w:r>
      <w:proofErr w:type="gramEnd"/>
      <w:r w:rsidR="00EE4FC3">
        <w:t xml:space="preserve"> </w:t>
      </w:r>
      <w:r w:rsidRPr="00382917">
        <w:t>to</w:t>
      </w:r>
      <w:r w:rsidR="00EE4FC3">
        <w:t xml:space="preserve"> </w:t>
      </w:r>
      <w:r w:rsidRPr="00382917">
        <w:t>retire</w:t>
      </w:r>
      <w:r w:rsidR="00EE4FC3">
        <w:t xml:space="preserve"> </w:t>
      </w:r>
      <w:r w:rsidRPr="00382917">
        <w:t>in</w:t>
      </w:r>
      <w:r w:rsidR="00EE4FC3">
        <w:t xml:space="preserve"> </w:t>
      </w:r>
      <w:r w:rsidRPr="00382917">
        <w:t>a</w:t>
      </w:r>
      <w:r w:rsidR="00EE4FC3">
        <w:t xml:space="preserve"> </w:t>
      </w:r>
      <w:r w:rsidRPr="00382917">
        <w:t>like</w:t>
      </w:r>
      <w:r w:rsidR="00EE4FC3">
        <w:t xml:space="preserve"> </w:t>
      </w:r>
      <w:r w:rsidRPr="00382917">
        <w:t>manner</w:t>
      </w:r>
      <w:r w:rsidR="00EE4FC3">
        <w:t xml:space="preserve"> </w:t>
      </w:r>
      <w:r w:rsidRPr="00382917">
        <w:t>from</w:t>
      </w:r>
      <w:r w:rsidR="00EE4FC3">
        <w:t xml:space="preserve"> </w:t>
      </w:r>
      <w:r w:rsidRPr="00382917">
        <w:t>the</w:t>
      </w:r>
      <w:r w:rsidR="00EE4FC3">
        <w:t xml:space="preserve"> </w:t>
      </w:r>
      <w:r w:rsidRPr="00382917">
        <w:t>society</w:t>
      </w:r>
      <w:r w:rsidR="00EE4FC3">
        <w:t xml:space="preserve"> </w:t>
      </w:r>
      <w:r w:rsidRPr="00382917">
        <w:t>of</w:t>
      </w:r>
      <w:r w:rsidR="00EE4FC3">
        <w:t xml:space="preserve"> </w:t>
      </w:r>
      <w:r w:rsidRPr="00382917">
        <w:t>men</w:t>
      </w:r>
      <w:r w:rsidR="00EE4FC3">
        <w:t xml:space="preserve"> </w:t>
      </w:r>
      <w:r w:rsidRPr="00382917">
        <w:t>and</w:t>
      </w:r>
      <w:r w:rsidR="00EE4FC3">
        <w:t xml:space="preserve"> </w:t>
      </w:r>
      <w:r w:rsidRPr="00382917">
        <w:t>prepare</w:t>
      </w:r>
      <w:r w:rsidR="00EE4FC3">
        <w:t xml:space="preserve"> </w:t>
      </w:r>
      <w:r w:rsidRPr="00382917">
        <w:t>his</w:t>
      </w:r>
      <w:r w:rsidR="00EE4FC3">
        <w:t xml:space="preserve"> </w:t>
      </w:r>
      <w:r w:rsidRPr="00382917">
        <w:t>own</w:t>
      </w:r>
      <w:r w:rsidR="00EE4FC3">
        <w:t xml:space="preserve"> </w:t>
      </w:r>
      <w:r w:rsidRPr="00382917">
        <w:t>heart</w:t>
      </w:r>
      <w:r w:rsidR="00EE4FC3">
        <w:t xml:space="preserve"> </w:t>
      </w:r>
      <w:r w:rsidRPr="00382917">
        <w:t>for</w:t>
      </w:r>
      <w:r w:rsidR="00EE4FC3">
        <w:t xml:space="preserve"> </w:t>
      </w:r>
      <w:r w:rsidRPr="00382917">
        <w:t>the</w:t>
      </w:r>
      <w:r w:rsidR="00EE4FC3">
        <w:t xml:space="preserve"> </w:t>
      </w:r>
      <w:r w:rsidRPr="00382917">
        <w:t>quest.</w:t>
      </w:r>
      <w:r w:rsidR="00EE4FC3">
        <w:t xml:space="preserve">  </w:t>
      </w:r>
      <w:r w:rsidRPr="00382917">
        <w:t>His</w:t>
      </w:r>
      <w:r w:rsidR="00EE4FC3">
        <w:t xml:space="preserve"> </w:t>
      </w:r>
      <w:r w:rsidRPr="00382917">
        <w:t>companions</w:t>
      </w:r>
      <w:r w:rsidR="00EE4FC3">
        <w:t xml:space="preserve"> </w:t>
      </w:r>
      <w:r w:rsidRPr="00382917">
        <w:t>followed</w:t>
      </w:r>
      <w:r w:rsidR="00EE4FC3">
        <w:t xml:space="preserve"> </w:t>
      </w:r>
      <w:r w:rsidRPr="00382917">
        <w:t>his</w:t>
      </w:r>
      <w:r w:rsidR="00EE4FC3">
        <w:t xml:space="preserve"> </w:t>
      </w:r>
      <w:r w:rsidRPr="00382917">
        <w:t>example.</w:t>
      </w:r>
    </w:p>
    <w:p w:rsidR="00581CF7" w:rsidRPr="00382917" w:rsidRDefault="00581CF7" w:rsidP="006D18A4">
      <w:pPr>
        <w:pStyle w:val="Text"/>
      </w:pPr>
      <w:r w:rsidRPr="00382917">
        <w:t>As</w:t>
      </w:r>
      <w:r w:rsidR="00EE4FC3">
        <w:t xml:space="preserve"> </w:t>
      </w:r>
      <w:r w:rsidRPr="00382917">
        <w:t>soon</w:t>
      </w:r>
      <w:r w:rsidR="00EE4FC3">
        <w:t xml:space="preserve"> </w:t>
      </w:r>
      <w:r w:rsidRPr="00382917">
        <w:t>as</w:t>
      </w:r>
      <w:r w:rsidR="00EE4FC3">
        <w:t xml:space="preserve"> </w:t>
      </w:r>
      <w:r w:rsidRPr="00382917">
        <w:t>the</w:t>
      </w:r>
      <w:r w:rsidR="00EE4FC3">
        <w:t xml:space="preserve"> </w:t>
      </w:r>
      <w:r w:rsidRPr="00382917">
        <w:t>forty</w:t>
      </w:r>
      <w:r w:rsidR="00EE4FC3">
        <w:t xml:space="preserve"> </w:t>
      </w:r>
      <w:r w:rsidRPr="00382917">
        <w:t>days</w:t>
      </w:r>
      <w:r w:rsidR="00EE4FC3">
        <w:t xml:space="preserve"> </w:t>
      </w:r>
      <w:r w:rsidRPr="00382917">
        <w:t>were</w:t>
      </w:r>
      <w:r w:rsidR="00EE4FC3">
        <w:t xml:space="preserve"> </w:t>
      </w:r>
      <w:r w:rsidRPr="00382917">
        <w:t>up,</w:t>
      </w:r>
      <w:r w:rsidR="00EE4FC3">
        <w:t xml:space="preserve"> </w:t>
      </w:r>
      <w:r w:rsidRPr="00382917">
        <w:t>Mullá</w:t>
      </w:r>
      <w:r w:rsidR="00EE4FC3">
        <w:t xml:space="preserve"> </w:t>
      </w:r>
      <w:r w:rsidR="00964C11" w:rsidRPr="00382917">
        <w:t>Ḥusayn</w:t>
      </w:r>
      <w:r w:rsidR="00EE4FC3">
        <w:t xml:space="preserve"> </w:t>
      </w:r>
      <w:r w:rsidRPr="00382917">
        <w:t>left</w:t>
      </w:r>
      <w:r w:rsidR="00EE4FC3">
        <w:t xml:space="preserve"> </w:t>
      </w:r>
      <w:r w:rsidRPr="00382917">
        <w:t>Karbilá.</w:t>
      </w:r>
      <w:r w:rsidR="00EE4FC3">
        <w:t xml:space="preserve">  </w:t>
      </w:r>
      <w:r w:rsidRPr="00382917">
        <w:t>He</w:t>
      </w:r>
      <w:r w:rsidR="00EE4FC3">
        <w:t xml:space="preserve"> </w:t>
      </w:r>
      <w:r w:rsidRPr="00382917">
        <w:t>was</w:t>
      </w:r>
      <w:r w:rsidR="00EE4FC3">
        <w:t xml:space="preserve"> </w:t>
      </w:r>
      <w:r w:rsidRPr="00382917">
        <w:t>resolved</w:t>
      </w:r>
      <w:r w:rsidR="00EE4FC3">
        <w:t xml:space="preserve"> </w:t>
      </w:r>
      <w:r w:rsidRPr="00382917">
        <w:t>never</w:t>
      </w:r>
      <w:r w:rsidR="00EE4FC3">
        <w:t xml:space="preserve"> </w:t>
      </w:r>
      <w:r w:rsidRPr="00382917">
        <w:t>to</w:t>
      </w:r>
      <w:r w:rsidR="00EE4FC3">
        <w:t xml:space="preserve"> </w:t>
      </w:r>
      <w:r w:rsidRPr="00382917">
        <w:t>cease</w:t>
      </w:r>
      <w:r w:rsidR="00EE4FC3">
        <w:t xml:space="preserve"> </w:t>
      </w:r>
      <w:r w:rsidRPr="00382917">
        <w:t>his</w:t>
      </w:r>
      <w:r w:rsidR="00EE4FC3">
        <w:t xml:space="preserve"> </w:t>
      </w:r>
      <w:r w:rsidRPr="00382917">
        <w:t>search</w:t>
      </w:r>
      <w:r w:rsidR="00EE4FC3">
        <w:t xml:space="preserve"> </w:t>
      </w:r>
      <w:r w:rsidRPr="00382917">
        <w:t>until</w:t>
      </w:r>
      <w:r w:rsidR="00EE4FC3">
        <w:t xml:space="preserve"> </w:t>
      </w:r>
      <w:r w:rsidRPr="00382917">
        <w:t>he</w:t>
      </w:r>
      <w:r w:rsidR="00EE4FC3">
        <w:t xml:space="preserve"> </w:t>
      </w:r>
      <w:r w:rsidRPr="00382917">
        <w:t>was</w:t>
      </w:r>
      <w:r w:rsidR="00EE4FC3">
        <w:t xml:space="preserve"> </w:t>
      </w:r>
      <w:r w:rsidRPr="00382917">
        <w:t>in</w:t>
      </w:r>
      <w:r w:rsidR="00EE4FC3">
        <w:t xml:space="preserve"> </w:t>
      </w:r>
      <w:r w:rsidRPr="00382917">
        <w:t>the</w:t>
      </w:r>
      <w:r w:rsidR="00EE4FC3">
        <w:t xml:space="preserve"> </w:t>
      </w:r>
      <w:r w:rsidRPr="00382917">
        <w:t>presence</w:t>
      </w:r>
      <w:r w:rsidR="00EE4FC3">
        <w:t xml:space="preserve"> </w:t>
      </w:r>
      <w:r w:rsidRPr="00382917">
        <w:t>of</w:t>
      </w:r>
      <w:r w:rsidR="00EE4FC3">
        <w:t xml:space="preserve"> </w:t>
      </w:r>
      <w:r w:rsidRPr="00382917">
        <w:t>the</w:t>
      </w:r>
      <w:r w:rsidR="00EE4FC3">
        <w:t xml:space="preserve"> </w:t>
      </w:r>
      <w:r w:rsidRPr="00382917">
        <w:t>One</w:t>
      </w:r>
      <w:r w:rsidR="00EE4FC3">
        <w:t xml:space="preserve"> </w:t>
      </w:r>
      <w:r w:rsidRPr="00382917">
        <w:t>be</w:t>
      </w:r>
      <w:r w:rsidR="00EE4FC3">
        <w:t xml:space="preserve"> </w:t>
      </w:r>
      <w:r w:rsidRPr="00382917">
        <w:t>sought.</w:t>
      </w:r>
      <w:r w:rsidR="00EE4FC3">
        <w:t xml:space="preserve">  </w:t>
      </w:r>
      <w:r w:rsidRPr="00382917">
        <w:t>The</w:t>
      </w:r>
      <w:r w:rsidR="00EE4FC3">
        <w:t xml:space="preserve"> </w:t>
      </w:r>
      <w:r w:rsidRPr="00382917">
        <w:t>promises</w:t>
      </w:r>
      <w:r w:rsidR="00EE4FC3">
        <w:t xml:space="preserve"> </w:t>
      </w:r>
      <w:r w:rsidRPr="00382917">
        <w:t>of</w:t>
      </w:r>
      <w:r w:rsidR="00EE4FC3">
        <w:t xml:space="preserve"> </w:t>
      </w:r>
      <w:r w:rsidRPr="00382917">
        <w:t>Siyyid</w:t>
      </w:r>
      <w:r w:rsidR="00EE4FC3">
        <w:t xml:space="preserve"> </w:t>
      </w:r>
      <w:r w:rsidRPr="00382917">
        <w:t>Káẓim</w:t>
      </w:r>
      <w:r w:rsidR="00EE4FC3">
        <w:t xml:space="preserve"> </w:t>
      </w:r>
      <w:r w:rsidRPr="00382917">
        <w:t>stirred</w:t>
      </w:r>
      <w:r w:rsidR="00EE4FC3">
        <w:t xml:space="preserve"> </w:t>
      </w:r>
      <w:r w:rsidRPr="00382917">
        <w:t>in</w:t>
      </w:r>
      <w:r w:rsidR="00EE4FC3">
        <w:t xml:space="preserve"> </w:t>
      </w:r>
      <w:r w:rsidRPr="00382917">
        <w:t>his</w:t>
      </w:r>
      <w:r w:rsidR="00EE4FC3">
        <w:t xml:space="preserve"> </w:t>
      </w:r>
      <w:r w:rsidRPr="00382917">
        <w:t>memory.</w:t>
      </w:r>
      <w:r w:rsidR="00EE4FC3">
        <w:t xml:space="preserve">  </w:t>
      </w:r>
      <w:r w:rsidRPr="00382917">
        <w:t>Many</w:t>
      </w:r>
      <w:r w:rsidR="00EE4FC3">
        <w:t xml:space="preserve"> </w:t>
      </w:r>
      <w:r w:rsidRPr="00382917">
        <w:t>were</w:t>
      </w:r>
      <w:r w:rsidR="00EE4FC3">
        <w:t xml:space="preserve"> </w:t>
      </w:r>
      <w:r w:rsidRPr="00382917">
        <w:t>the</w:t>
      </w:r>
      <w:r w:rsidR="00EE4FC3">
        <w:t xml:space="preserve"> </w:t>
      </w:r>
      <w:r w:rsidRPr="00382917">
        <w:t>prophecies</w:t>
      </w:r>
      <w:r w:rsidR="00EE4FC3">
        <w:t xml:space="preserve"> </w:t>
      </w:r>
      <w:r w:rsidRPr="00382917">
        <w:t>which</w:t>
      </w:r>
      <w:r w:rsidR="00EE4FC3">
        <w:t xml:space="preserve"> </w:t>
      </w:r>
      <w:r w:rsidRPr="00382917">
        <w:t>he</w:t>
      </w:r>
      <w:r w:rsidR="00EE4FC3">
        <w:t xml:space="preserve"> </w:t>
      </w:r>
      <w:r w:rsidRPr="00382917">
        <w:t>turned</w:t>
      </w:r>
      <w:r w:rsidR="00EE4FC3">
        <w:t xml:space="preserve"> </w:t>
      </w:r>
      <w:r w:rsidRPr="00382917">
        <w:t>over</w:t>
      </w:r>
      <w:r w:rsidR="00EE4FC3">
        <w:t xml:space="preserve"> </w:t>
      </w:r>
      <w:r w:rsidRPr="00382917">
        <w:t>and</w:t>
      </w:r>
      <w:r w:rsidR="00EE4FC3">
        <w:t xml:space="preserve"> </w:t>
      </w:r>
      <w:r w:rsidRPr="00382917">
        <w:t>over</w:t>
      </w:r>
      <w:r w:rsidR="00EE4FC3">
        <w:t xml:space="preserve"> </w:t>
      </w:r>
      <w:r w:rsidRPr="00382917">
        <w:t>in</w:t>
      </w:r>
      <w:r w:rsidR="00EE4FC3">
        <w:t xml:space="preserve"> </w:t>
      </w:r>
      <w:r w:rsidRPr="00382917">
        <w:t>his</w:t>
      </w:r>
      <w:r w:rsidR="00EE4FC3">
        <w:t xml:space="preserve"> </w:t>
      </w:r>
      <w:r w:rsidRPr="00382917">
        <w:t>mind.</w:t>
      </w:r>
    </w:p>
    <w:p w:rsidR="00581CF7" w:rsidRPr="00382917" w:rsidRDefault="009C713D" w:rsidP="00CE7A86">
      <w:pPr>
        <w:pStyle w:val="Text"/>
      </w:pPr>
      <w:r w:rsidRPr="00382917">
        <w:t>“</w:t>
      </w:r>
      <w:r w:rsidR="00581CF7" w:rsidRPr="00382917">
        <w:t>Verily</w:t>
      </w:r>
      <w:r w:rsidR="00EE4FC3">
        <w:t xml:space="preserve"> </w:t>
      </w:r>
      <w:r w:rsidR="00581CF7" w:rsidRPr="00382917">
        <w:t>in</w:t>
      </w:r>
      <w:r w:rsidR="00EE4FC3">
        <w:t xml:space="preserve"> </w:t>
      </w:r>
      <w:r w:rsidR="00581CF7" w:rsidRPr="00382917">
        <w:t>the</w:t>
      </w:r>
      <w:r w:rsidR="00EE4FC3">
        <w:t xml:space="preserve"> </w:t>
      </w:r>
      <w:r w:rsidR="00581CF7" w:rsidRPr="00382917">
        <w:t>year</w:t>
      </w:r>
      <w:r w:rsidR="00EE4FC3">
        <w:t xml:space="preserve"> </w:t>
      </w:r>
      <w:r w:rsidR="00CE7A86">
        <w:t>’</w:t>
      </w:r>
      <w:r w:rsidR="00581CF7" w:rsidRPr="00382917">
        <w:t>60</w:t>
      </w:r>
      <w:r w:rsidR="00EE4FC3">
        <w:t xml:space="preserve"> </w:t>
      </w:r>
      <w:r w:rsidR="00581CF7" w:rsidRPr="00382917">
        <w:t>[1260;</w:t>
      </w:r>
      <w:r w:rsidR="00EE4FC3">
        <w:t xml:space="preserve"> </w:t>
      </w:r>
      <w:r w:rsidR="00581CF7" w:rsidRPr="00382917">
        <w:t>CE</w:t>
      </w:r>
      <w:r w:rsidR="00EE4FC3">
        <w:t xml:space="preserve"> </w:t>
      </w:r>
      <w:r w:rsidR="00581CF7" w:rsidRPr="00382917">
        <w:t>1844]</w:t>
      </w:r>
      <w:r w:rsidR="00EE4FC3">
        <w:t xml:space="preserve"> </w:t>
      </w:r>
      <w:r w:rsidR="00581CF7" w:rsidRPr="00382917">
        <w:t>His</w:t>
      </w:r>
      <w:r w:rsidR="00EE4FC3">
        <w:t xml:space="preserve"> </w:t>
      </w:r>
      <w:r w:rsidR="00581CF7" w:rsidRPr="00382917">
        <w:t>Cause</w:t>
      </w:r>
      <w:r w:rsidR="00EE4FC3">
        <w:t xml:space="preserve"> </w:t>
      </w:r>
      <w:r w:rsidR="00581CF7" w:rsidRPr="00382917">
        <w:t>shall</w:t>
      </w:r>
      <w:r w:rsidR="00EE4FC3">
        <w:t xml:space="preserve"> </w:t>
      </w:r>
      <w:r w:rsidR="00581CF7" w:rsidRPr="00382917">
        <w:t>be</w:t>
      </w:r>
      <w:r w:rsidR="00EE4FC3">
        <w:t xml:space="preserve"> </w:t>
      </w:r>
      <w:r w:rsidR="00581CF7" w:rsidRPr="00382917">
        <w:t>revealed</w:t>
      </w:r>
      <w:r w:rsidR="00EE4FC3">
        <w:t xml:space="preserve"> </w:t>
      </w:r>
      <w:r w:rsidR="00581CF7" w:rsidRPr="00382917">
        <w:t>and</w:t>
      </w:r>
      <w:r w:rsidR="00EE4FC3">
        <w:t xml:space="preserve"> </w:t>
      </w:r>
      <w:r w:rsidR="00581CF7" w:rsidRPr="00382917">
        <w:t>His</w:t>
      </w:r>
      <w:r w:rsidR="00EE4FC3">
        <w:t xml:space="preserve"> </w:t>
      </w:r>
      <w:r w:rsidR="00581CF7" w:rsidRPr="00382917">
        <w:t>Name</w:t>
      </w:r>
      <w:r w:rsidR="00EE4FC3">
        <w:t xml:space="preserve"> </w:t>
      </w:r>
      <w:r w:rsidR="00581CF7" w:rsidRPr="00382917">
        <w:t>shall</w:t>
      </w:r>
      <w:r w:rsidR="00EE4FC3">
        <w:t xml:space="preserve"> </w:t>
      </w:r>
      <w:r w:rsidR="00581CF7" w:rsidRPr="00382917">
        <w:t>be</w:t>
      </w:r>
      <w:r w:rsidR="00EE4FC3">
        <w:t xml:space="preserve"> </w:t>
      </w:r>
      <w:r w:rsidR="00581CF7" w:rsidRPr="00382917">
        <w:t>noised</w:t>
      </w:r>
      <w:r w:rsidR="00EE4FC3">
        <w:t xml:space="preserve"> </w:t>
      </w:r>
      <w:r w:rsidR="00581CF7" w:rsidRPr="00382917">
        <w:t>abroad.</w:t>
      </w:r>
      <w:r w:rsidRPr="00382917">
        <w:t>”</w:t>
      </w:r>
    </w:p>
    <w:p w:rsidR="00581CF7" w:rsidRPr="00382917" w:rsidRDefault="009C713D" w:rsidP="006D18A4">
      <w:pPr>
        <w:pStyle w:val="Text"/>
      </w:pPr>
      <w:r w:rsidRPr="00382917">
        <w:t>“</w:t>
      </w:r>
      <w:r w:rsidR="00581CF7" w:rsidRPr="00382917">
        <w:t>In</w:t>
      </w:r>
      <w:r w:rsidR="00EE4FC3">
        <w:t xml:space="preserve"> </w:t>
      </w:r>
      <w:r w:rsidR="00581CF7" w:rsidRPr="00382917">
        <w:t>His</w:t>
      </w:r>
      <w:r w:rsidR="00EE4FC3">
        <w:t xml:space="preserve"> </w:t>
      </w:r>
      <w:r w:rsidR="00581CF7" w:rsidRPr="00382917">
        <w:t>name,</w:t>
      </w:r>
      <w:r w:rsidR="00EE4FC3">
        <w:t xml:space="preserve"> </w:t>
      </w:r>
      <w:r w:rsidR="00581CF7" w:rsidRPr="00382917">
        <w:t>the</w:t>
      </w:r>
      <w:r w:rsidR="00EE4FC3">
        <w:t xml:space="preserve"> </w:t>
      </w:r>
      <w:r w:rsidR="00581CF7" w:rsidRPr="00382917">
        <w:t>name</w:t>
      </w:r>
      <w:r w:rsidR="00EE4FC3">
        <w:t xml:space="preserve"> </w:t>
      </w:r>
      <w:r w:rsidR="00581CF7" w:rsidRPr="00382917">
        <w:t>of</w:t>
      </w:r>
      <w:r w:rsidR="00EE4FC3">
        <w:t xml:space="preserve"> </w:t>
      </w:r>
      <w:r w:rsidR="00581CF7" w:rsidRPr="00382917">
        <w:t>the</w:t>
      </w:r>
      <w:r w:rsidR="00EE4FC3">
        <w:t xml:space="preserve"> </w:t>
      </w:r>
      <w:r w:rsidR="00581CF7" w:rsidRPr="00382917">
        <w:t>Guardian</w:t>
      </w:r>
      <w:r w:rsidR="00EE4FC3">
        <w:t xml:space="preserve"> </w:t>
      </w:r>
      <w:r w:rsidR="00581CF7" w:rsidRPr="00382917">
        <w:t>(</w:t>
      </w:r>
      <w:r w:rsidRPr="00382917">
        <w:t>‘</w:t>
      </w:r>
      <w:r w:rsidR="00581CF7" w:rsidRPr="00382917">
        <w:t>Alí)</w:t>
      </w:r>
      <w:r w:rsidR="00EE4FC3">
        <w:t xml:space="preserve"> </w:t>
      </w:r>
      <w:proofErr w:type="spellStart"/>
      <w:r w:rsidR="00581CF7" w:rsidRPr="00382917">
        <w:t>precedeth</w:t>
      </w:r>
      <w:proofErr w:type="spellEnd"/>
      <w:r w:rsidR="00EE4FC3">
        <w:t xml:space="preserve"> </w:t>
      </w:r>
      <w:r w:rsidR="00581CF7" w:rsidRPr="00382917">
        <w:t>that</w:t>
      </w:r>
      <w:r w:rsidR="00EE4FC3">
        <w:t xml:space="preserve"> </w:t>
      </w:r>
      <w:r w:rsidR="00581CF7" w:rsidRPr="00382917">
        <w:t>of</w:t>
      </w:r>
      <w:r w:rsidR="00EE4FC3">
        <w:t xml:space="preserve"> </w:t>
      </w:r>
      <w:r w:rsidR="00581CF7" w:rsidRPr="00382917">
        <w:t>the</w:t>
      </w:r>
      <w:r w:rsidR="00EE4FC3">
        <w:t xml:space="preserve"> </w:t>
      </w:r>
      <w:r w:rsidR="00581CF7" w:rsidRPr="00382917">
        <w:t>Prophet</w:t>
      </w:r>
      <w:r w:rsidR="00EE4FC3">
        <w:t xml:space="preserve"> </w:t>
      </w:r>
      <w:r w:rsidR="00581CF7" w:rsidRPr="00382917">
        <w:t>[Muḥammad].</w:t>
      </w:r>
      <w:r w:rsidRPr="00382917">
        <w:t>”</w:t>
      </w:r>
    </w:p>
    <w:p w:rsidR="00581CF7" w:rsidRPr="00382917" w:rsidRDefault="009C713D" w:rsidP="006D18A4">
      <w:pPr>
        <w:pStyle w:val="Text"/>
      </w:pPr>
      <w:r w:rsidRPr="00382917">
        <w:t>“</w:t>
      </w:r>
      <w:r w:rsidR="00581CF7" w:rsidRPr="00382917">
        <w:t>In</w:t>
      </w:r>
      <w:r w:rsidR="00EE4FC3">
        <w:t xml:space="preserve"> </w:t>
      </w:r>
      <w:r w:rsidR="00581CF7" w:rsidRPr="00382917">
        <w:t>1260</w:t>
      </w:r>
      <w:r w:rsidR="00EE4FC3">
        <w:t xml:space="preserve"> </w:t>
      </w:r>
      <w:r w:rsidR="00581CF7" w:rsidRPr="00382917">
        <w:t>the</w:t>
      </w:r>
      <w:r w:rsidR="00EE4FC3">
        <w:t xml:space="preserve"> </w:t>
      </w:r>
      <w:r w:rsidR="00581CF7" w:rsidRPr="00382917">
        <w:t>Tree</w:t>
      </w:r>
      <w:r w:rsidR="00EE4FC3">
        <w:t xml:space="preserve"> </w:t>
      </w:r>
      <w:r w:rsidR="00581CF7" w:rsidRPr="00382917">
        <w:t>of</w:t>
      </w:r>
      <w:r w:rsidR="00EE4FC3">
        <w:t xml:space="preserve"> </w:t>
      </w:r>
      <w:r w:rsidR="00581CF7" w:rsidRPr="00382917">
        <w:t>Divine</w:t>
      </w:r>
      <w:r w:rsidR="00EE4FC3">
        <w:t xml:space="preserve"> </w:t>
      </w:r>
      <w:r w:rsidR="00581CF7" w:rsidRPr="00382917">
        <w:t>guidance</w:t>
      </w:r>
      <w:r w:rsidR="00EE4FC3">
        <w:t xml:space="preserve"> </w:t>
      </w:r>
      <w:r w:rsidR="00581CF7" w:rsidRPr="00382917">
        <w:t>shall</w:t>
      </w:r>
      <w:r w:rsidR="00EE4FC3">
        <w:t xml:space="preserve"> </w:t>
      </w:r>
      <w:r w:rsidR="00581CF7" w:rsidRPr="00382917">
        <w:t>be</w:t>
      </w:r>
      <w:r w:rsidR="00EE4FC3">
        <w:t xml:space="preserve"> </w:t>
      </w:r>
      <w:r w:rsidR="00581CF7" w:rsidRPr="00382917">
        <w:t>planted.</w:t>
      </w:r>
      <w:r w:rsidRPr="00382917">
        <w:t>”</w:t>
      </w:r>
    </w:p>
    <w:p w:rsidR="00581CF7" w:rsidRPr="00382917" w:rsidRDefault="009C713D" w:rsidP="006D18A4">
      <w:pPr>
        <w:pStyle w:val="Text"/>
      </w:pPr>
      <w:r w:rsidRPr="00382917">
        <w:t>“</w:t>
      </w:r>
      <w:r w:rsidR="00581CF7" w:rsidRPr="00382917">
        <w:t>The</w:t>
      </w:r>
      <w:r w:rsidR="00EE4FC3">
        <w:t xml:space="preserve"> </w:t>
      </w:r>
      <w:r w:rsidR="00581CF7" w:rsidRPr="00382917">
        <w:t>ministers</w:t>
      </w:r>
      <w:r w:rsidR="00EE4FC3">
        <w:t xml:space="preserve"> </w:t>
      </w:r>
      <w:r w:rsidR="00581CF7" w:rsidRPr="00382917">
        <w:t>and</w:t>
      </w:r>
      <w:r w:rsidR="00EE4FC3">
        <w:t xml:space="preserve"> </w:t>
      </w:r>
      <w:r w:rsidR="00581CF7" w:rsidRPr="00382917">
        <w:t>upholders</w:t>
      </w:r>
      <w:r w:rsidR="00EE4FC3">
        <w:t xml:space="preserve"> </w:t>
      </w:r>
      <w:r w:rsidR="00581CF7" w:rsidRPr="00382917">
        <w:t>of</w:t>
      </w:r>
      <w:r w:rsidR="00EE4FC3">
        <w:t xml:space="preserve"> </w:t>
      </w:r>
      <w:r w:rsidR="00581CF7" w:rsidRPr="00382917">
        <w:t>His</w:t>
      </w:r>
      <w:r w:rsidR="00EE4FC3">
        <w:t xml:space="preserve"> </w:t>
      </w:r>
      <w:r w:rsidR="00581CF7" w:rsidRPr="00382917">
        <w:t>Faith</w:t>
      </w:r>
      <w:r w:rsidR="00EE4FC3">
        <w:t xml:space="preserve"> </w:t>
      </w:r>
      <w:r w:rsidR="00581CF7" w:rsidRPr="00382917">
        <w:t>shall</w:t>
      </w:r>
      <w:r w:rsidR="00EE4FC3">
        <w:t xml:space="preserve"> </w:t>
      </w:r>
      <w:r w:rsidR="00581CF7" w:rsidRPr="00382917">
        <w:t>be</w:t>
      </w:r>
      <w:r w:rsidR="00EE4FC3">
        <w:t xml:space="preserve"> </w:t>
      </w:r>
      <w:r w:rsidR="00581CF7" w:rsidRPr="00382917">
        <w:t>of</w:t>
      </w:r>
      <w:r w:rsidR="00EE4FC3">
        <w:t xml:space="preserve"> </w:t>
      </w:r>
      <w:r w:rsidR="00581CF7" w:rsidRPr="00382917">
        <w:t>the</w:t>
      </w:r>
      <w:r w:rsidR="00EE4FC3">
        <w:t xml:space="preserve"> </w:t>
      </w:r>
      <w:r w:rsidR="00581CF7" w:rsidRPr="00382917">
        <w:t>people</w:t>
      </w:r>
      <w:r w:rsidR="00EE4FC3">
        <w:t xml:space="preserve"> </w:t>
      </w:r>
      <w:r w:rsidR="00581CF7" w:rsidRPr="00382917">
        <w:t>of</w:t>
      </w:r>
      <w:r w:rsidR="00EE4FC3">
        <w:t xml:space="preserve"> </w:t>
      </w:r>
      <w:r w:rsidR="00581CF7" w:rsidRPr="00382917">
        <w:t>Persia.</w:t>
      </w:r>
      <w:r w:rsidRPr="00382917">
        <w:t>”</w:t>
      </w:r>
    </w:p>
    <w:p w:rsidR="00581CF7" w:rsidRPr="00382917" w:rsidRDefault="00581CF7" w:rsidP="00CE7A86">
      <w:pPr>
        <w:pStyle w:val="Text"/>
      </w:pPr>
      <w:r w:rsidRPr="00382917">
        <w:t>It</w:t>
      </w:r>
      <w:r w:rsidR="00EE4FC3">
        <w:t xml:space="preserve"> </w:t>
      </w:r>
      <w:r w:rsidRPr="00382917">
        <w:t>was</w:t>
      </w:r>
      <w:r w:rsidR="00EE4FC3">
        <w:t xml:space="preserve"> </w:t>
      </w:r>
      <w:r w:rsidRPr="00382917">
        <w:t>now</w:t>
      </w:r>
      <w:r w:rsidR="00EE4FC3">
        <w:t xml:space="preserve"> </w:t>
      </w:r>
      <w:r w:rsidRPr="00382917">
        <w:t>the</w:t>
      </w:r>
      <w:r w:rsidR="00EE4FC3">
        <w:t xml:space="preserve"> </w:t>
      </w:r>
      <w:r w:rsidRPr="00382917">
        <w:t>year</w:t>
      </w:r>
      <w:r w:rsidR="00EE4FC3">
        <w:t xml:space="preserve"> </w:t>
      </w:r>
      <w:r w:rsidR="00CE7A86">
        <w:t>’</w:t>
      </w:r>
      <w:r w:rsidRPr="00382917">
        <w:t>60,</w:t>
      </w:r>
      <w:r w:rsidR="00EE4FC3">
        <w:t xml:space="preserve"> </w:t>
      </w:r>
      <w:r w:rsidRPr="00382917">
        <w:t>so</w:t>
      </w:r>
      <w:r w:rsidR="00EE4FC3">
        <w:t xml:space="preserve"> </w:t>
      </w:r>
      <w:r w:rsidRPr="00382917">
        <w:t>Mullá</w:t>
      </w:r>
      <w:r w:rsidR="00EE4FC3">
        <w:t xml:space="preserve"> </w:t>
      </w:r>
      <w:r w:rsidR="00964C11" w:rsidRPr="00382917">
        <w:t>Ḥusayn</w:t>
      </w:r>
      <w:r w:rsidR="00EE4FC3">
        <w:t xml:space="preserve"> </w:t>
      </w:r>
      <w:r w:rsidRPr="00382917">
        <w:t>set</w:t>
      </w:r>
      <w:r w:rsidR="00EE4FC3">
        <w:t xml:space="preserve"> </w:t>
      </w:r>
      <w:r w:rsidRPr="00382917">
        <w:t>out</w:t>
      </w:r>
      <w:r w:rsidR="00EE4FC3">
        <w:t xml:space="preserve"> </w:t>
      </w:r>
      <w:r w:rsidRPr="00382917">
        <w:t>at</w:t>
      </w:r>
      <w:r w:rsidR="00EE4FC3">
        <w:t xml:space="preserve"> </w:t>
      </w:r>
      <w:r w:rsidRPr="00382917">
        <w:t>once</w:t>
      </w:r>
      <w:r w:rsidR="00EE4FC3">
        <w:t xml:space="preserve"> </w:t>
      </w:r>
      <w:r w:rsidRPr="00382917">
        <w:t>for</w:t>
      </w:r>
      <w:r w:rsidR="00EE4FC3">
        <w:t xml:space="preserve"> </w:t>
      </w:r>
      <w:r w:rsidRPr="00382917">
        <w:t>Persia</w:t>
      </w:r>
      <w:r w:rsidR="00EE4FC3">
        <w:t xml:space="preserve"> </w:t>
      </w:r>
      <w:r w:rsidRPr="00382917">
        <w:t>where</w:t>
      </w:r>
      <w:r w:rsidR="00EE4FC3">
        <w:t xml:space="preserve"> </w:t>
      </w:r>
      <w:r w:rsidRPr="00382917">
        <w:t>he</w:t>
      </w:r>
      <w:r w:rsidR="00EE4FC3">
        <w:t xml:space="preserve"> </w:t>
      </w:r>
      <w:r w:rsidRPr="00382917">
        <w:t>felt</w:t>
      </w:r>
      <w:r w:rsidR="00EE4FC3">
        <w:t xml:space="preserve"> </w:t>
      </w:r>
      <w:r w:rsidRPr="00382917">
        <w:t>his</w:t>
      </w:r>
      <w:r w:rsidR="00EE4FC3">
        <w:t xml:space="preserve"> </w:t>
      </w:r>
      <w:r w:rsidRPr="00382917">
        <w:t>search</w:t>
      </w:r>
      <w:r w:rsidR="00EE4FC3">
        <w:t xml:space="preserve"> </w:t>
      </w:r>
      <w:r w:rsidRPr="00382917">
        <w:t>should</w:t>
      </w:r>
      <w:r w:rsidR="00EE4FC3">
        <w:t xml:space="preserve"> </w:t>
      </w:r>
      <w:r w:rsidRPr="00382917">
        <w:t>begin.</w:t>
      </w:r>
      <w:r w:rsidR="00EE4FC3">
        <w:t xml:space="preserve">  </w:t>
      </w:r>
      <w:r w:rsidRPr="00382917">
        <w:t>An</w:t>
      </w:r>
      <w:r w:rsidR="00EE4FC3">
        <w:t xml:space="preserve"> </w:t>
      </w:r>
      <w:r w:rsidRPr="00382917">
        <w:t>inner</w:t>
      </w:r>
      <w:r w:rsidR="00EE4FC3">
        <w:t xml:space="preserve"> </w:t>
      </w:r>
      <w:r w:rsidRPr="00382917">
        <w:t>prompting</w:t>
      </w:r>
      <w:r w:rsidR="00EE4FC3">
        <w:t xml:space="preserve"> </w:t>
      </w:r>
      <w:r w:rsidRPr="00382917">
        <w:t>led</w:t>
      </w:r>
      <w:r w:rsidR="00EE4FC3">
        <w:t xml:space="preserve"> </w:t>
      </w:r>
      <w:r w:rsidRPr="00382917">
        <w:t>him</w:t>
      </w:r>
      <w:r w:rsidR="00EE4FC3">
        <w:t xml:space="preserve"> </w:t>
      </w:r>
      <w:r w:rsidRPr="00382917">
        <w:t>to</w:t>
      </w:r>
      <w:r w:rsidR="00EE4FC3">
        <w:t xml:space="preserve"> </w:t>
      </w:r>
      <w:r w:rsidR="00CE7A86" w:rsidRPr="00382917">
        <w:t>Bú</w:t>
      </w:r>
      <w:r w:rsidR="00CE7A86" w:rsidRPr="00CE7A86">
        <w:rPr>
          <w:u w:val="single"/>
        </w:rPr>
        <w:t>sh</w:t>
      </w:r>
      <w:r w:rsidR="00CE7A86" w:rsidRPr="00382917">
        <w:t>ihr</w:t>
      </w:r>
      <w:r w:rsidR="00EE4FC3">
        <w:t xml:space="preserve"> </w:t>
      </w:r>
      <w:r w:rsidRPr="00382917">
        <w:t>on</w:t>
      </w:r>
      <w:r w:rsidR="00EE4FC3">
        <w:t xml:space="preserve"> </w:t>
      </w:r>
      <w:r w:rsidRPr="00382917">
        <w:t>the</w:t>
      </w:r>
      <w:r w:rsidR="00EE4FC3">
        <w:t xml:space="preserve"> </w:t>
      </w:r>
      <w:r w:rsidRPr="00382917">
        <w:t>Persian</w:t>
      </w:r>
      <w:r w:rsidR="00EE4FC3">
        <w:t xml:space="preserve"> </w:t>
      </w:r>
      <w:r w:rsidRPr="00382917">
        <w:t>Gulf.</w:t>
      </w:r>
      <w:r w:rsidR="00EE4FC3">
        <w:t xml:space="preserve">  </w:t>
      </w:r>
      <w:r w:rsidRPr="00382917">
        <w:t>As</w:t>
      </w:r>
      <w:r w:rsidR="00EE4FC3">
        <w:t xml:space="preserve"> </w:t>
      </w:r>
      <w:r w:rsidRPr="00382917">
        <w:t>he</w:t>
      </w:r>
      <w:r w:rsidR="00EE4FC3">
        <w:t xml:space="preserve"> </w:t>
      </w:r>
      <w:r w:rsidRPr="00382917">
        <w:t>walked</w:t>
      </w:r>
      <w:r w:rsidR="00EE4FC3">
        <w:t xml:space="preserve"> </w:t>
      </w:r>
      <w:r w:rsidRPr="00382917">
        <w:t>through</w:t>
      </w:r>
      <w:r w:rsidR="00EE4FC3">
        <w:t xml:space="preserve"> </w:t>
      </w:r>
      <w:r w:rsidRPr="00382917">
        <w:t>the</w:t>
      </w:r>
      <w:r w:rsidR="00EE4FC3">
        <w:t xml:space="preserve"> </w:t>
      </w:r>
      <w:r w:rsidRPr="00382917">
        <w:t>streets,</w:t>
      </w:r>
      <w:r w:rsidR="00EE4FC3">
        <w:t xml:space="preserve"> </w:t>
      </w:r>
      <w:r w:rsidRPr="00382917">
        <w:t>his</w:t>
      </w:r>
      <w:r w:rsidR="00EE4FC3">
        <w:t xml:space="preserve"> </w:t>
      </w:r>
      <w:r w:rsidRPr="00382917">
        <w:t>heart</w:t>
      </w:r>
      <w:r w:rsidR="00EE4FC3">
        <w:t xml:space="preserve"> </w:t>
      </w:r>
      <w:r w:rsidRPr="00382917">
        <w:t>leaped</w:t>
      </w:r>
      <w:r w:rsidR="00EE4FC3">
        <w:t xml:space="preserve"> </w:t>
      </w:r>
      <w:r w:rsidRPr="00382917">
        <w:t>with</w:t>
      </w:r>
      <w:r w:rsidR="00EE4FC3">
        <w:t xml:space="preserve"> </w:t>
      </w:r>
      <w:r w:rsidRPr="00382917">
        <w:t>excitement</w:t>
      </w:r>
      <w:r w:rsidR="00EE4FC3">
        <w:t xml:space="preserve"> </w:t>
      </w:r>
      <w:r w:rsidRPr="00382917">
        <w:t>for</w:t>
      </w:r>
      <w:r w:rsidR="00EE4FC3">
        <w:t xml:space="preserve"> </w:t>
      </w:r>
      <w:r w:rsidRPr="00382917">
        <w:t>something</w:t>
      </w:r>
      <w:r w:rsidR="00EE4FC3">
        <w:t xml:space="preserve"> </w:t>
      </w:r>
      <w:r w:rsidRPr="00382917">
        <w:t>told</w:t>
      </w:r>
      <w:r w:rsidR="00EE4FC3">
        <w:t xml:space="preserve"> </w:t>
      </w:r>
      <w:r w:rsidRPr="00382917">
        <w:t>him</w:t>
      </w:r>
      <w:r w:rsidR="00EE4FC3">
        <w:t xml:space="preserve"> </w:t>
      </w:r>
      <w:r w:rsidRPr="00382917">
        <w:t>that</w:t>
      </w:r>
      <w:r w:rsidR="00EE4FC3">
        <w:t xml:space="preserve"> </w:t>
      </w:r>
      <w:r w:rsidRPr="00382917">
        <w:t>this</w:t>
      </w:r>
      <w:r w:rsidR="00EE4FC3">
        <w:t xml:space="preserve"> </w:t>
      </w:r>
      <w:r w:rsidRPr="00382917">
        <w:t>city</w:t>
      </w:r>
      <w:r w:rsidR="00EE4FC3">
        <w:t xml:space="preserve"> </w:t>
      </w:r>
      <w:r w:rsidRPr="00382917">
        <w:t>had</w:t>
      </w:r>
      <w:r w:rsidR="00EE4FC3">
        <w:t xml:space="preserve"> </w:t>
      </w:r>
      <w:r w:rsidRPr="00382917">
        <w:t>once</w:t>
      </w:r>
      <w:r w:rsidR="00EE4FC3">
        <w:t xml:space="preserve"> </w:t>
      </w:r>
      <w:r w:rsidRPr="00382917">
        <w:t>felt</w:t>
      </w:r>
      <w:r w:rsidR="00EE4FC3">
        <w:t xml:space="preserve"> </w:t>
      </w:r>
      <w:r w:rsidRPr="00382917">
        <w:t>the</w:t>
      </w:r>
      <w:r w:rsidR="00EE4FC3">
        <w:t xml:space="preserve"> </w:t>
      </w:r>
      <w:r w:rsidRPr="00382917">
        <w:t>footsteps</w:t>
      </w:r>
      <w:r w:rsidR="00EE4FC3">
        <w:t xml:space="preserve"> </w:t>
      </w:r>
      <w:r w:rsidRPr="00382917">
        <w:t>of</w:t>
      </w:r>
      <w:r w:rsidR="00EE4FC3">
        <w:t xml:space="preserve"> </w:t>
      </w:r>
      <w:r w:rsidRPr="00382917">
        <w:t>his</w:t>
      </w:r>
      <w:r w:rsidR="00EE4FC3">
        <w:t xml:space="preserve"> </w:t>
      </w:r>
      <w:r w:rsidRPr="00382917">
        <w:t>Beloved.</w:t>
      </w:r>
      <w:r w:rsidR="00EE4FC3">
        <w:t xml:space="preserve">  </w:t>
      </w:r>
      <w:r w:rsidRPr="00382917">
        <w:t>Mullá</w:t>
      </w:r>
      <w:r w:rsidR="00EE4FC3">
        <w:t xml:space="preserve"> </w:t>
      </w:r>
      <w:r w:rsidR="00964C11" w:rsidRPr="00382917">
        <w:t>Ḥusayn</w:t>
      </w:r>
      <w:r w:rsidR="00EE4FC3">
        <w:t xml:space="preserve"> </w:t>
      </w:r>
      <w:r w:rsidRPr="00382917">
        <w:t>said</w:t>
      </w:r>
      <w:r w:rsidR="00EE4FC3">
        <w:t xml:space="preserve"> </w:t>
      </w:r>
      <w:r w:rsidRPr="00382917">
        <w:t>that</w:t>
      </w:r>
      <w:r w:rsidR="00EE4FC3">
        <w:t xml:space="preserve"> </w:t>
      </w:r>
      <w:r w:rsidRPr="00382917">
        <w:t>he</w:t>
      </w:r>
      <w:r w:rsidR="00EE4FC3">
        <w:t xml:space="preserve"> </w:t>
      </w:r>
      <w:r w:rsidRPr="00382917">
        <w:t>could</w:t>
      </w:r>
      <w:r w:rsidR="00EE4FC3">
        <w:t xml:space="preserve"> </w:t>
      </w:r>
      <w:r w:rsidRPr="00382917">
        <w:t>feel</w:t>
      </w:r>
      <w:r w:rsidR="00EE4FC3">
        <w:t xml:space="preserve"> </w:t>
      </w:r>
      <w:r w:rsidRPr="00382917">
        <w:t>the</w:t>
      </w:r>
      <w:r w:rsidR="00EE4FC3">
        <w:t xml:space="preserve"> </w:t>
      </w:r>
      <w:r w:rsidRPr="00382917">
        <w:t>sweet</w:t>
      </w:r>
      <w:r w:rsidR="00EE4FC3">
        <w:t xml:space="preserve"> </w:t>
      </w:r>
      <w:proofErr w:type="spellStart"/>
      <w:r w:rsidRPr="00382917">
        <w:t>savors</w:t>
      </w:r>
      <w:proofErr w:type="spellEnd"/>
      <w:r w:rsidR="00EE4FC3">
        <w:t xml:space="preserve"> </w:t>
      </w:r>
      <w:r w:rsidRPr="00382917">
        <w:t>of</w:t>
      </w:r>
      <w:r w:rsidR="00EE4FC3">
        <w:t xml:space="preserve"> </w:t>
      </w:r>
      <w:r w:rsidRPr="00382917">
        <w:t>His</w:t>
      </w:r>
      <w:r w:rsidR="00EE4FC3">
        <w:t xml:space="preserve"> </w:t>
      </w:r>
      <w:r w:rsidRPr="00382917">
        <w:t>holiness</w:t>
      </w:r>
      <w:r w:rsidR="00EE4FC3">
        <w:t xml:space="preserve"> </w:t>
      </w:r>
      <w:r w:rsidRPr="00382917">
        <w:t>in</w:t>
      </w:r>
      <w:r w:rsidR="00EE4FC3">
        <w:t xml:space="preserve"> </w:t>
      </w:r>
      <w:r w:rsidR="00CE7A86" w:rsidRPr="00382917">
        <w:t>Bú</w:t>
      </w:r>
      <w:r w:rsidR="00CE7A86" w:rsidRPr="00CE7A86">
        <w:rPr>
          <w:u w:val="single"/>
        </w:rPr>
        <w:t>sh</w:t>
      </w:r>
      <w:r w:rsidR="00CE7A86" w:rsidRPr="00382917">
        <w:t>ihr</w:t>
      </w:r>
      <w:r w:rsidRPr="00382917">
        <w:t>.</w:t>
      </w:r>
      <w:r w:rsidR="00EE4FC3">
        <w:t xml:space="preserve">  </w:t>
      </w:r>
      <w:r w:rsidRPr="00382917">
        <w:t>He</w:t>
      </w:r>
      <w:r w:rsidR="00EE4FC3">
        <w:t xml:space="preserve"> </w:t>
      </w:r>
      <w:r w:rsidRPr="00382917">
        <w:t>did</w:t>
      </w:r>
      <w:r w:rsidR="00EE4FC3">
        <w:t xml:space="preserve"> </w:t>
      </w:r>
      <w:r w:rsidRPr="00382917">
        <w:t>not</w:t>
      </w:r>
      <w:r w:rsidR="00EE4FC3">
        <w:t xml:space="preserve"> </w:t>
      </w:r>
      <w:r w:rsidRPr="00382917">
        <w:t>remain</w:t>
      </w:r>
      <w:r w:rsidR="00EE4FC3">
        <w:t xml:space="preserve"> </w:t>
      </w:r>
      <w:r w:rsidRPr="00382917">
        <w:t>in</w:t>
      </w:r>
      <w:r w:rsidR="00EE4FC3">
        <w:t xml:space="preserve"> </w:t>
      </w:r>
      <w:r w:rsidR="00CE7A86" w:rsidRPr="00382917">
        <w:t>Bú</w:t>
      </w:r>
      <w:r w:rsidR="00CE7A86" w:rsidRPr="00CE7A86">
        <w:rPr>
          <w:u w:val="single"/>
        </w:rPr>
        <w:t>sh</w:t>
      </w:r>
      <w:r w:rsidR="00CE7A86" w:rsidRPr="00382917">
        <w:t>ihr</w:t>
      </w:r>
      <w:r w:rsidR="00EE4FC3">
        <w:t xml:space="preserve"> </w:t>
      </w:r>
      <w:r w:rsidRPr="00382917">
        <w:t>because</w:t>
      </w:r>
      <w:r w:rsidR="00EE4FC3">
        <w:t xml:space="preserve"> </w:t>
      </w:r>
      <w:r w:rsidRPr="00382917">
        <w:t>something</w:t>
      </w:r>
      <w:r w:rsidR="00EE4FC3">
        <w:t xml:space="preserve"> </w:t>
      </w:r>
      <w:r w:rsidRPr="00382917">
        <w:t>suddenly</w:t>
      </w:r>
      <w:r w:rsidR="00EE4FC3">
        <w:t xml:space="preserve"> </w:t>
      </w:r>
      <w:r w:rsidRPr="00382917">
        <w:t>turned</w:t>
      </w:r>
      <w:r w:rsidR="00EE4FC3">
        <w:t xml:space="preserve"> </w:t>
      </w:r>
      <w:r w:rsidRPr="00382917">
        <w:t>him</w:t>
      </w:r>
      <w:r w:rsidR="00EE4FC3">
        <w:t xml:space="preserve"> </w:t>
      </w:r>
      <w:r w:rsidRPr="00382917">
        <w:t>like</w:t>
      </w:r>
      <w:r w:rsidR="00EE4FC3">
        <w:t xml:space="preserve"> </w:t>
      </w:r>
      <w:r w:rsidRPr="00382917">
        <w:t>a</w:t>
      </w:r>
      <w:r w:rsidR="00EE4FC3">
        <w:t xml:space="preserve"> </w:t>
      </w:r>
      <w:r w:rsidRPr="00382917">
        <w:t>compass</w:t>
      </w:r>
      <w:r w:rsidR="00EE4FC3">
        <w:t xml:space="preserve"> </w:t>
      </w:r>
      <w:r w:rsidRPr="00382917">
        <w:t>needle</w:t>
      </w:r>
      <w:r w:rsidR="00EE4FC3">
        <w:t xml:space="preserve"> </w:t>
      </w:r>
      <w:r w:rsidRPr="00382917">
        <w:t>to</w:t>
      </w:r>
      <w:r w:rsidR="00EE4FC3">
        <w:t xml:space="preserve"> </w:t>
      </w:r>
      <w:r w:rsidRPr="00382917">
        <w:t>the</w:t>
      </w:r>
      <w:r w:rsidR="00EE4FC3">
        <w:t xml:space="preserve"> </w:t>
      </w:r>
      <w:r w:rsidRPr="00382917">
        <w:t>north.</w:t>
      </w:r>
      <w:r w:rsidR="00EE4FC3">
        <w:t xml:space="preserve">  </w:t>
      </w:r>
      <w:r w:rsidRPr="00382917">
        <w:t>He</w:t>
      </w:r>
      <w:r w:rsidR="00EE4FC3">
        <w:t xml:space="preserve"> </w:t>
      </w:r>
      <w:r w:rsidRPr="00382917">
        <w:t>set</w:t>
      </w:r>
      <w:r w:rsidR="00EE4FC3">
        <w:t xml:space="preserve"> </w:t>
      </w:r>
      <w:r w:rsidRPr="00382917">
        <w:t>out</w:t>
      </w:r>
      <w:r w:rsidR="00EE4FC3">
        <w:t xml:space="preserve"> </w:t>
      </w:r>
      <w:r w:rsidRPr="00382917">
        <w:t>at</w:t>
      </w:r>
      <w:r w:rsidR="00EE4FC3">
        <w:t xml:space="preserve"> </w:t>
      </w:r>
      <w:r w:rsidRPr="00382917">
        <w:t>once</w:t>
      </w:r>
      <w:r w:rsidR="00EE4FC3">
        <w:t xml:space="preserve"> </w:t>
      </w:r>
      <w:r w:rsidRPr="00382917">
        <w:t>on</w:t>
      </w:r>
      <w:r w:rsidR="00EE4FC3">
        <w:t xml:space="preserve"> </w:t>
      </w:r>
      <w:r w:rsidRPr="00382917">
        <w:t>foot</w:t>
      </w:r>
      <w:r w:rsidR="00EE4FC3">
        <w:t xml:space="preserve"> </w:t>
      </w:r>
      <w:r w:rsidRPr="00382917">
        <w:t>for</w:t>
      </w:r>
      <w:r w:rsidR="00EE4FC3">
        <w:t xml:space="preserve"> </w:t>
      </w:r>
      <w:r w:rsidRPr="00382917">
        <w:t>the</w:t>
      </w:r>
      <w:r w:rsidR="00EE4FC3">
        <w:t xml:space="preserve"> </w:t>
      </w:r>
      <w:r w:rsidRPr="00382917">
        <w:t>city</w:t>
      </w:r>
      <w:r w:rsidR="00EE4FC3">
        <w:t xml:space="preserve"> </w:t>
      </w:r>
      <w:r w:rsidRPr="00382917">
        <w:t>of</w:t>
      </w:r>
      <w:r w:rsidR="00EE4FC3">
        <w:t xml:space="preserve"> </w:t>
      </w:r>
      <w:r w:rsidR="008A073E" w:rsidRPr="00382917">
        <w:rPr>
          <w:u w:val="single"/>
        </w:rPr>
        <w:t>Sh</w:t>
      </w:r>
      <w:r w:rsidR="008A073E" w:rsidRPr="00382917">
        <w:t>íráz</w:t>
      </w:r>
      <w:r w:rsidRPr="00382917">
        <w:t>.</w:t>
      </w:r>
    </w:p>
    <w:p w:rsidR="00581CF7" w:rsidRPr="00382917" w:rsidRDefault="00581CF7" w:rsidP="006D18A4">
      <w:pPr>
        <w:pStyle w:val="Text"/>
      </w:pPr>
      <w:r w:rsidRPr="00382917">
        <w:t>When</w:t>
      </w:r>
      <w:r w:rsidR="00EE4FC3">
        <w:t xml:space="preserve"> </w:t>
      </w:r>
      <w:r w:rsidRPr="00382917">
        <w:t>he</w:t>
      </w:r>
      <w:r w:rsidR="00EE4FC3">
        <w:t xml:space="preserve"> </w:t>
      </w:r>
      <w:r w:rsidRPr="00382917">
        <w:t>arrived</w:t>
      </w:r>
      <w:r w:rsidR="00EE4FC3">
        <w:t xml:space="preserve"> </w:t>
      </w:r>
      <w:r w:rsidRPr="00382917">
        <w:t>at</w:t>
      </w:r>
      <w:r w:rsidR="00EE4FC3">
        <w:t xml:space="preserve"> </w:t>
      </w:r>
      <w:r w:rsidRPr="00382917">
        <w:t>the</w:t>
      </w:r>
      <w:r w:rsidR="00EE4FC3">
        <w:t xml:space="preserve"> </w:t>
      </w:r>
      <w:r w:rsidRPr="00382917">
        <w:t>gate</w:t>
      </w:r>
      <w:r w:rsidR="00EE4FC3">
        <w:t xml:space="preserve"> </w:t>
      </w:r>
      <w:r w:rsidRPr="00382917">
        <w:t>of</w:t>
      </w:r>
      <w:r w:rsidR="00EE4FC3">
        <w:t xml:space="preserve"> </w:t>
      </w:r>
      <w:r w:rsidRPr="00382917">
        <w:t>the</w:t>
      </w:r>
      <w:r w:rsidR="00EE4FC3">
        <w:t xml:space="preserve"> </w:t>
      </w:r>
      <w:r w:rsidRPr="00382917">
        <w:t>city,</w:t>
      </w:r>
      <w:r w:rsidR="00EE4FC3">
        <w:t xml:space="preserve"> </w:t>
      </w:r>
      <w:r w:rsidRPr="00382917">
        <w:t>he</w:t>
      </w:r>
      <w:r w:rsidR="00EE4FC3">
        <w:t xml:space="preserve"> </w:t>
      </w:r>
      <w:r w:rsidRPr="00382917">
        <w:t>directed</w:t>
      </w:r>
      <w:r w:rsidR="00EE4FC3">
        <w:t xml:space="preserve"> </w:t>
      </w:r>
      <w:r w:rsidRPr="00382917">
        <w:t>his</w:t>
      </w:r>
      <w:r w:rsidR="00EE4FC3">
        <w:t xml:space="preserve"> </w:t>
      </w:r>
      <w:r w:rsidRPr="00382917">
        <w:t>brother</w:t>
      </w:r>
      <w:r w:rsidR="00EE4FC3">
        <w:t xml:space="preserve"> </w:t>
      </w:r>
      <w:r w:rsidRPr="00382917">
        <w:t>and</w:t>
      </w:r>
      <w:r w:rsidR="00EE4FC3">
        <w:t xml:space="preserve"> </w:t>
      </w:r>
      <w:r w:rsidRPr="00382917">
        <w:t>his</w:t>
      </w:r>
      <w:r w:rsidR="00EE4FC3">
        <w:t xml:space="preserve"> </w:t>
      </w:r>
      <w:r w:rsidRPr="00382917">
        <w:t>nephew,</w:t>
      </w:r>
      <w:r w:rsidR="00EE4FC3">
        <w:t xml:space="preserve"> </w:t>
      </w:r>
      <w:r w:rsidRPr="00382917">
        <w:t>who</w:t>
      </w:r>
      <w:r w:rsidR="00EE4FC3">
        <w:t xml:space="preserve"> </w:t>
      </w:r>
      <w:r w:rsidRPr="00382917">
        <w:t>had</w:t>
      </w:r>
      <w:r w:rsidR="00EE4FC3">
        <w:t xml:space="preserve"> </w:t>
      </w:r>
      <w:r w:rsidRPr="00382917">
        <w:t>accompanied</w:t>
      </w:r>
      <w:r w:rsidR="00EE4FC3">
        <w:t xml:space="preserve"> </w:t>
      </w:r>
      <w:r w:rsidRPr="00382917">
        <w:t>him,</w:t>
      </w:r>
      <w:r w:rsidR="00EE4FC3">
        <w:t xml:space="preserve"> </w:t>
      </w:r>
      <w:r w:rsidRPr="00382917">
        <w:t>to</w:t>
      </w:r>
      <w:r w:rsidR="00EE4FC3">
        <w:t xml:space="preserve"> </w:t>
      </w:r>
      <w:r w:rsidRPr="00382917">
        <w:t>go</w:t>
      </w:r>
      <w:r w:rsidR="00EE4FC3">
        <w:t xml:space="preserve"> </w:t>
      </w:r>
      <w:r w:rsidRPr="00382917">
        <w:t>to</w:t>
      </w:r>
      <w:r w:rsidR="00EE4FC3">
        <w:t xml:space="preserve"> </w:t>
      </w:r>
      <w:r w:rsidRPr="00382917">
        <w:t>the</w:t>
      </w:r>
      <w:r w:rsidR="00EE4FC3">
        <w:t xml:space="preserve"> </w:t>
      </w:r>
      <w:r w:rsidRPr="00382917">
        <w:t>prayer-house</w:t>
      </w:r>
      <w:r w:rsidR="00EE4FC3">
        <w:t xml:space="preserve"> </w:t>
      </w:r>
      <w:r w:rsidRPr="00382917">
        <w:t>and</w:t>
      </w:r>
      <w:r w:rsidR="00EE4FC3">
        <w:t xml:space="preserve"> </w:t>
      </w:r>
      <w:r w:rsidRPr="00382917">
        <w:t>await</w:t>
      </w:r>
      <w:r w:rsidR="00EE4FC3">
        <w:t xml:space="preserve"> </w:t>
      </w:r>
      <w:r w:rsidRPr="00382917">
        <w:t>his</w:t>
      </w:r>
      <w:r w:rsidR="00EE4FC3">
        <w:t xml:space="preserve"> </w:t>
      </w:r>
      <w:r w:rsidRPr="00382917">
        <w:t>return.</w:t>
      </w:r>
    </w:p>
    <w:p w:rsidR="00581CF7" w:rsidRPr="00382917" w:rsidRDefault="009C713D" w:rsidP="006D18A4">
      <w:pPr>
        <w:pStyle w:val="Text"/>
      </w:pPr>
      <w:r w:rsidRPr="00382917">
        <w:t>“</w:t>
      </w:r>
      <w:r w:rsidR="00581CF7" w:rsidRPr="00382917">
        <w:t>Something</w:t>
      </w:r>
      <w:r w:rsidR="00EE4FC3">
        <w:t xml:space="preserve"> </w:t>
      </w:r>
      <w:r w:rsidR="00581CF7" w:rsidRPr="00382917">
        <w:t>draws</w:t>
      </w:r>
      <w:r w:rsidR="00EE4FC3">
        <w:t xml:space="preserve"> </w:t>
      </w:r>
      <w:r w:rsidR="00581CF7" w:rsidRPr="00382917">
        <w:t>my</w:t>
      </w:r>
      <w:r w:rsidR="00EE4FC3">
        <w:t xml:space="preserve"> </w:t>
      </w:r>
      <w:r w:rsidR="00581CF7" w:rsidRPr="00382917">
        <w:t>heart</w:t>
      </w:r>
      <w:r w:rsidR="00EE4FC3">
        <w:t xml:space="preserve"> </w:t>
      </w:r>
      <w:r w:rsidR="00581CF7" w:rsidRPr="00382917">
        <w:t>into</w:t>
      </w:r>
      <w:r w:rsidR="00EE4FC3">
        <w:t xml:space="preserve"> </w:t>
      </w:r>
      <w:r w:rsidR="00581CF7" w:rsidRPr="00382917">
        <w:t>the</w:t>
      </w:r>
      <w:r w:rsidR="00EE4FC3">
        <w:t xml:space="preserve"> </w:t>
      </w:r>
      <w:r w:rsidR="00581CF7" w:rsidRPr="00382917">
        <w:t>city,</w:t>
      </w:r>
      <w:r w:rsidRPr="00382917">
        <w:t>”</w:t>
      </w:r>
      <w:r w:rsidR="00EE4FC3">
        <w:t xml:space="preserve"> </w:t>
      </w:r>
      <w:r w:rsidR="00581CF7" w:rsidRPr="00382917">
        <w:t>he</w:t>
      </w:r>
      <w:r w:rsidR="00EE4FC3">
        <w:t xml:space="preserve"> </w:t>
      </w:r>
      <w:r w:rsidR="00581CF7" w:rsidRPr="00382917">
        <w:t>said,</w:t>
      </w:r>
      <w:r w:rsidR="00EE4FC3">
        <w:t xml:space="preserve"> </w:t>
      </w:r>
      <w:r w:rsidRPr="00382917">
        <w:t>“</w:t>
      </w:r>
      <w:r w:rsidR="00581CF7" w:rsidRPr="00382917">
        <w:t>but</w:t>
      </w:r>
      <w:r w:rsidR="00EE4FC3">
        <w:t xml:space="preserve"> </w:t>
      </w:r>
      <w:r w:rsidR="00581CF7" w:rsidRPr="00382917">
        <w:t>I</w:t>
      </w:r>
      <w:r w:rsidR="00EE4FC3">
        <w:t xml:space="preserve"> </w:t>
      </w:r>
      <w:r w:rsidR="00581CF7" w:rsidRPr="00382917">
        <w:t>shall</w:t>
      </w:r>
      <w:r w:rsidR="00EE4FC3">
        <w:t xml:space="preserve"> </w:t>
      </w:r>
      <w:r w:rsidR="00581CF7" w:rsidRPr="00382917">
        <w:t>meet</w:t>
      </w:r>
      <w:r w:rsidR="00EE4FC3">
        <w:t xml:space="preserve"> </w:t>
      </w:r>
      <w:r w:rsidR="00581CF7" w:rsidRPr="00382917">
        <w:t>you</w:t>
      </w:r>
      <w:r w:rsidR="00EE4FC3">
        <w:t xml:space="preserve"> </w:t>
      </w:r>
      <w:r w:rsidR="00581CF7" w:rsidRPr="00382917">
        <w:t>for</w:t>
      </w:r>
      <w:r w:rsidR="00EE4FC3">
        <w:t xml:space="preserve"> </w:t>
      </w:r>
      <w:r w:rsidR="00581CF7" w:rsidRPr="00382917">
        <w:t>evening</w:t>
      </w:r>
      <w:r w:rsidR="00EE4FC3">
        <w:t xml:space="preserve"> </w:t>
      </w:r>
      <w:r w:rsidR="00581CF7" w:rsidRPr="00382917">
        <w:t>prayers.</w:t>
      </w:r>
      <w:r w:rsidRPr="00382917">
        <w:t>”</w:t>
      </w:r>
    </w:p>
    <w:p w:rsidR="00581CF7" w:rsidRPr="00382917" w:rsidRDefault="00581CF7" w:rsidP="006D18A4">
      <w:pPr>
        <w:pStyle w:val="Text"/>
      </w:pPr>
      <w:r w:rsidRPr="00382917">
        <w:t>A</w:t>
      </w:r>
      <w:r w:rsidR="00EE4FC3">
        <w:t xml:space="preserve"> </w:t>
      </w:r>
      <w:r w:rsidRPr="00382917">
        <w:t>few</w:t>
      </w:r>
      <w:r w:rsidR="00EE4FC3">
        <w:t xml:space="preserve"> </w:t>
      </w:r>
      <w:r w:rsidRPr="00382917">
        <w:t>hours</w:t>
      </w:r>
      <w:r w:rsidR="00EE4FC3">
        <w:t xml:space="preserve"> </w:t>
      </w:r>
      <w:r w:rsidRPr="00382917">
        <w:t>before</w:t>
      </w:r>
      <w:r w:rsidR="00EE4FC3">
        <w:t xml:space="preserve"> </w:t>
      </w:r>
      <w:r w:rsidRPr="00382917">
        <w:t>sunset,</w:t>
      </w:r>
      <w:r w:rsidR="00EE4FC3">
        <w:t xml:space="preserve"> </w:t>
      </w:r>
      <w:r w:rsidRPr="00382917">
        <w:t>Mullá</w:t>
      </w:r>
      <w:r w:rsidR="00EE4FC3">
        <w:t xml:space="preserve"> </w:t>
      </w:r>
      <w:proofErr w:type="spellStart"/>
      <w:r w:rsidR="00964C11" w:rsidRPr="00382917">
        <w:t>Ḥusayn</w:t>
      </w:r>
      <w:r w:rsidR="009C713D" w:rsidRPr="00382917">
        <w:t>’</w:t>
      </w:r>
      <w:r w:rsidRPr="00382917">
        <w:t>s</w:t>
      </w:r>
      <w:proofErr w:type="spellEnd"/>
      <w:r w:rsidR="00EE4FC3">
        <w:t xml:space="preserve"> </w:t>
      </w:r>
      <w:r w:rsidRPr="00382917">
        <w:t>eyes</w:t>
      </w:r>
      <w:r w:rsidR="00EE4FC3">
        <w:t xml:space="preserve"> </w:t>
      </w:r>
      <w:r w:rsidRPr="00382917">
        <w:t>fell</w:t>
      </w:r>
      <w:r w:rsidR="00EE4FC3">
        <w:t xml:space="preserve"> </w:t>
      </w:r>
      <w:r w:rsidRPr="00382917">
        <w:t>upon</w:t>
      </w:r>
      <w:r w:rsidR="00EE4FC3">
        <w:t xml:space="preserve"> </w:t>
      </w:r>
      <w:r w:rsidRPr="00382917">
        <w:t>a</w:t>
      </w:r>
      <w:r w:rsidR="00EE4FC3">
        <w:t xml:space="preserve"> </w:t>
      </w:r>
      <w:r w:rsidRPr="00382917">
        <w:t>young</w:t>
      </w:r>
      <w:r w:rsidR="00EE4FC3">
        <w:t xml:space="preserve"> </w:t>
      </w:r>
      <w:r w:rsidRPr="00382917">
        <w:t>man</w:t>
      </w:r>
      <w:r w:rsidR="00EE4FC3">
        <w:t xml:space="preserve"> </w:t>
      </w:r>
      <w:r w:rsidRPr="00382917">
        <w:t>of</w:t>
      </w:r>
      <w:r w:rsidR="00EE4FC3">
        <w:t xml:space="preserve"> </w:t>
      </w:r>
      <w:r w:rsidRPr="00382917">
        <w:t>radiant</w:t>
      </w:r>
      <w:r w:rsidR="00EE4FC3">
        <w:t xml:space="preserve"> </w:t>
      </w:r>
      <w:r w:rsidRPr="00382917">
        <w:t>countenance.</w:t>
      </w:r>
      <w:r w:rsidR="00EE4FC3">
        <w:t xml:space="preserve">  </w:t>
      </w:r>
      <w:r w:rsidRPr="00382917">
        <w:t>The</w:t>
      </w:r>
      <w:r w:rsidR="00EE4FC3">
        <w:t xml:space="preserve"> </w:t>
      </w:r>
      <w:r w:rsidRPr="00382917">
        <w:t>youth</w:t>
      </w:r>
      <w:r w:rsidR="00EE4FC3">
        <w:t xml:space="preserve"> </w:t>
      </w:r>
      <w:r w:rsidRPr="00382917">
        <w:t>advanced</w:t>
      </w:r>
      <w:r w:rsidR="00EE4FC3">
        <w:t xml:space="preserve"> </w:t>
      </w:r>
      <w:r w:rsidRPr="00382917">
        <w:t>toward</w:t>
      </w:r>
      <w:r w:rsidR="00EE4FC3">
        <w:t xml:space="preserve"> </w:t>
      </w:r>
      <w:r w:rsidRPr="00382917">
        <w:t>Mullá</w:t>
      </w:r>
      <w:r w:rsidR="00EE4FC3">
        <w:t xml:space="preserve"> </w:t>
      </w:r>
      <w:r w:rsidR="00964C11" w:rsidRPr="00382917">
        <w:t>Ḥusayn</w:t>
      </w:r>
      <w:r w:rsidR="00EE4FC3">
        <w:t xml:space="preserve"> </w:t>
      </w:r>
      <w:r w:rsidRPr="00382917">
        <w:t>and</w:t>
      </w:r>
      <w:r w:rsidR="00EE4FC3">
        <w:t xml:space="preserve"> </w:t>
      </w:r>
      <w:r w:rsidRPr="00382917">
        <w:t>greeted</w:t>
      </w:r>
      <w:r w:rsidR="00EE4FC3">
        <w:t xml:space="preserve"> </w:t>
      </w:r>
      <w:r w:rsidRPr="00382917">
        <w:t>him</w:t>
      </w:r>
      <w:r w:rsidR="00EE4FC3">
        <w:t xml:space="preserve"> </w:t>
      </w:r>
      <w:r w:rsidRPr="00382917">
        <w:t>with</w:t>
      </w:r>
      <w:r w:rsidR="00EE4FC3">
        <w:t xml:space="preserve"> </w:t>
      </w:r>
      <w:r w:rsidRPr="00382917">
        <w:t>a</w:t>
      </w:r>
      <w:r w:rsidR="00EE4FC3">
        <w:t xml:space="preserve"> </w:t>
      </w:r>
      <w:r w:rsidRPr="00382917">
        <w:t>smile</w:t>
      </w:r>
      <w:r w:rsidR="00EE4FC3">
        <w:t xml:space="preserve"> </w:t>
      </w:r>
      <w:r w:rsidRPr="00382917">
        <w:t>of</w:t>
      </w:r>
      <w:r w:rsidR="00EE4FC3">
        <w:t xml:space="preserve"> </w:t>
      </w:r>
      <w:r w:rsidRPr="00382917">
        <w:t>loving</w:t>
      </w:r>
      <w:r w:rsidR="00EE4FC3">
        <w:t xml:space="preserve"> </w:t>
      </w:r>
      <w:r w:rsidRPr="00382917">
        <w:t>welcome.</w:t>
      </w:r>
      <w:r w:rsidR="00EE4FC3">
        <w:t xml:space="preserve">  </w:t>
      </w:r>
      <w:r w:rsidRPr="00382917">
        <w:t>He</w:t>
      </w:r>
      <w:r w:rsidR="00EE4FC3">
        <w:t xml:space="preserve"> </w:t>
      </w:r>
      <w:r w:rsidRPr="00382917">
        <w:t>embraced</w:t>
      </w:r>
      <w:r w:rsidR="00EE4FC3">
        <w:t xml:space="preserve"> </w:t>
      </w:r>
      <w:r w:rsidRPr="00382917">
        <w:t>Mullá</w:t>
      </w:r>
      <w:r w:rsidR="00EE4FC3">
        <w:t xml:space="preserve"> </w:t>
      </w:r>
      <w:r w:rsidR="00964C11" w:rsidRPr="00382917">
        <w:t>Ḥusayn</w:t>
      </w:r>
      <w:r w:rsidR="00EE4FC3">
        <w:t xml:space="preserve"> </w:t>
      </w:r>
      <w:r w:rsidRPr="00382917">
        <w:t>with</w:t>
      </w:r>
      <w:r w:rsidR="00EE4FC3">
        <w:t xml:space="preserve"> </w:t>
      </w:r>
      <w:r w:rsidRPr="00382917">
        <w:t>tender</w:t>
      </w:r>
      <w:r w:rsidR="00EE4FC3">
        <w:t xml:space="preserve"> </w:t>
      </w:r>
      <w:r w:rsidRPr="00382917">
        <w:t>affection</w:t>
      </w:r>
      <w:r w:rsidR="00EE4FC3">
        <w:t xml:space="preserve"> </w:t>
      </w:r>
      <w:r w:rsidRPr="00382917">
        <w:t>as</w:t>
      </w:r>
      <w:r w:rsidR="00EE4FC3">
        <w:t xml:space="preserve"> </w:t>
      </w:r>
      <w:r w:rsidRPr="00382917">
        <w:t>though</w:t>
      </w:r>
      <w:r w:rsidR="00EE4FC3">
        <w:t xml:space="preserve"> </w:t>
      </w:r>
      <w:r w:rsidRPr="00382917">
        <w:t>he</w:t>
      </w:r>
      <w:r w:rsidR="00EE4FC3">
        <w:t xml:space="preserve"> </w:t>
      </w:r>
      <w:r w:rsidRPr="00382917">
        <w:t>had</w:t>
      </w:r>
      <w:r w:rsidR="00EE4FC3">
        <w:t xml:space="preserve"> </w:t>
      </w:r>
      <w:r w:rsidRPr="00382917">
        <w:t>been</w:t>
      </w:r>
      <w:r w:rsidR="00EE4FC3">
        <w:t xml:space="preserve"> </w:t>
      </w:r>
      <w:r w:rsidRPr="00382917">
        <w:t>an</w:t>
      </w:r>
      <w:r w:rsidR="00EE4FC3">
        <w:t xml:space="preserve"> </w:t>
      </w:r>
      <w:r w:rsidRPr="00382917">
        <w:t>intimate</w:t>
      </w:r>
      <w:r w:rsidR="00EE4FC3">
        <w:t xml:space="preserve"> </w:t>
      </w:r>
      <w:r w:rsidRPr="00382917">
        <w:t>and</w:t>
      </w:r>
      <w:r w:rsidR="00EE4FC3">
        <w:t xml:space="preserve"> </w:t>
      </w:r>
      <w:r w:rsidRPr="00382917">
        <w:t>lifelong</w:t>
      </w:r>
      <w:r w:rsidR="00EE4FC3">
        <w:t xml:space="preserve"> </w:t>
      </w:r>
      <w:r w:rsidRPr="00382917">
        <w:t>friend.</w:t>
      </w:r>
    </w:p>
    <w:p w:rsidR="00581CF7" w:rsidRPr="00382917" w:rsidRDefault="00581CF7" w:rsidP="006D18A4">
      <w:pPr>
        <w:pStyle w:val="Text"/>
      </w:pPr>
      <w:r w:rsidRPr="00382917">
        <w:t>At</w:t>
      </w:r>
      <w:r w:rsidR="00EE4FC3">
        <w:t xml:space="preserve"> </w:t>
      </w:r>
      <w:r w:rsidRPr="00382917">
        <w:t>first</w:t>
      </w:r>
      <w:r w:rsidR="00EE4FC3">
        <w:t xml:space="preserve"> </w:t>
      </w:r>
      <w:r w:rsidRPr="00382917">
        <w:t>Mullá</w:t>
      </w:r>
      <w:r w:rsidR="00EE4FC3">
        <w:t xml:space="preserve"> </w:t>
      </w:r>
      <w:r w:rsidR="00964C11" w:rsidRPr="00382917">
        <w:t>Ḥusayn</w:t>
      </w:r>
      <w:r w:rsidR="00EE4FC3">
        <w:t xml:space="preserve"> </w:t>
      </w:r>
      <w:r w:rsidRPr="00382917">
        <w:t>thought</w:t>
      </w:r>
      <w:r w:rsidR="00EE4FC3">
        <w:t xml:space="preserve"> </w:t>
      </w:r>
      <w:r w:rsidRPr="00382917">
        <w:t>him</w:t>
      </w:r>
      <w:r w:rsidR="00EE4FC3">
        <w:t xml:space="preserve"> </w:t>
      </w:r>
      <w:r w:rsidRPr="00382917">
        <w:t>to</w:t>
      </w:r>
      <w:r w:rsidR="00EE4FC3">
        <w:t xml:space="preserve"> </w:t>
      </w:r>
      <w:r w:rsidRPr="00382917">
        <w:t>be</w:t>
      </w:r>
      <w:r w:rsidR="00EE4FC3">
        <w:t xml:space="preserve"> </w:t>
      </w:r>
      <w:r w:rsidRPr="00382917">
        <w:t>a</w:t>
      </w:r>
      <w:r w:rsidR="00EE4FC3">
        <w:t xml:space="preserve"> </w:t>
      </w:r>
      <w:r w:rsidRPr="00382917">
        <w:t>follower</w:t>
      </w:r>
      <w:r w:rsidR="00EE4FC3">
        <w:t xml:space="preserve"> </w:t>
      </w:r>
      <w:r w:rsidRPr="00382917">
        <w:t>of</w:t>
      </w:r>
      <w:r w:rsidR="00EE4FC3">
        <w:t xml:space="preserve"> </w:t>
      </w:r>
      <w:r w:rsidRPr="00382917">
        <w:t>Siyyid</w:t>
      </w:r>
      <w:r w:rsidR="00EE4FC3">
        <w:t xml:space="preserve"> </w:t>
      </w:r>
      <w:r w:rsidRPr="00382917">
        <w:t>Káẓim,</w:t>
      </w:r>
      <w:r w:rsidR="00EE4FC3">
        <w:t xml:space="preserve"> </w:t>
      </w:r>
      <w:r w:rsidRPr="00382917">
        <w:t>who</w:t>
      </w:r>
      <w:r w:rsidR="00EE4FC3">
        <w:t xml:space="preserve"> </w:t>
      </w:r>
      <w:r w:rsidRPr="00382917">
        <w:t>on</w:t>
      </w:r>
      <w:r w:rsidR="00EE4FC3">
        <w:t xml:space="preserve"> </w:t>
      </w:r>
      <w:r w:rsidRPr="00382917">
        <w:t>being</w:t>
      </w:r>
      <w:r w:rsidR="00EE4FC3">
        <w:t xml:space="preserve"> </w:t>
      </w:r>
      <w:r w:rsidRPr="00382917">
        <w:t>informed</w:t>
      </w:r>
      <w:r w:rsidR="00EE4FC3">
        <w:t xml:space="preserve"> </w:t>
      </w:r>
      <w:r w:rsidRPr="00382917">
        <w:t>of</w:t>
      </w:r>
      <w:r w:rsidR="00EE4FC3">
        <w:t xml:space="preserve"> </w:t>
      </w:r>
      <w:r w:rsidRPr="00382917">
        <w:t>his</w:t>
      </w:r>
      <w:r w:rsidR="00EE4FC3">
        <w:t xml:space="preserve"> </w:t>
      </w:r>
      <w:r w:rsidRPr="00382917">
        <w:t>approach</w:t>
      </w:r>
      <w:r w:rsidR="00EE4FC3">
        <w:t xml:space="preserve"> </w:t>
      </w:r>
      <w:r w:rsidRPr="00382917">
        <w:t>to</w:t>
      </w:r>
      <w:r w:rsidR="00EE4FC3">
        <w:t xml:space="preserve"> </w:t>
      </w:r>
      <w:r w:rsidR="008A073E" w:rsidRPr="00382917">
        <w:rPr>
          <w:u w:val="single"/>
        </w:rPr>
        <w:t>Sh</w:t>
      </w:r>
      <w:r w:rsidR="008A073E" w:rsidRPr="00382917">
        <w:t>íráz</w:t>
      </w:r>
      <w:r w:rsidRPr="00382917">
        <w:t>,</w:t>
      </w:r>
      <w:r w:rsidR="00EE4FC3">
        <w:t xml:space="preserve"> </w:t>
      </w:r>
      <w:r w:rsidRPr="00382917">
        <w:t>had</w:t>
      </w:r>
      <w:r w:rsidR="00EE4FC3">
        <w:t xml:space="preserve"> </w:t>
      </w:r>
      <w:r w:rsidRPr="00382917">
        <w:t>come</w:t>
      </w:r>
      <w:r w:rsidR="00EE4FC3">
        <w:t xml:space="preserve"> </w:t>
      </w:r>
      <w:r w:rsidRPr="00382917">
        <w:t>out</w:t>
      </w:r>
      <w:r w:rsidR="00EE4FC3">
        <w:t xml:space="preserve"> </w:t>
      </w:r>
      <w:r w:rsidRPr="00382917">
        <w:t>to</w:t>
      </w:r>
      <w:r w:rsidR="00EE4FC3">
        <w:t xml:space="preserve"> </w:t>
      </w:r>
      <w:r w:rsidRPr="00382917">
        <w:t>welcome</w:t>
      </w:r>
      <w:r w:rsidR="00EE4FC3">
        <w:t xml:space="preserve"> </w:t>
      </w:r>
      <w:r w:rsidRPr="00382917">
        <w:t>him.</w:t>
      </w:r>
      <w:r w:rsidR="00EE4FC3">
        <w:t xml:space="preserve">  </w:t>
      </w:r>
      <w:r w:rsidRPr="00382917">
        <w:t>Mullá</w:t>
      </w:r>
      <w:r w:rsidR="00EE4FC3">
        <w:t xml:space="preserve"> </w:t>
      </w:r>
      <w:r w:rsidR="00964C11" w:rsidRPr="00382917">
        <w:t>Ḥusayn</w:t>
      </w:r>
      <w:r w:rsidR="00EE4FC3">
        <w:t xml:space="preserve"> </w:t>
      </w:r>
      <w:r w:rsidRPr="00382917">
        <w:t>recalls</w:t>
      </w:r>
      <w:r w:rsidR="00EE4FC3">
        <w:t xml:space="preserve"> </w:t>
      </w:r>
      <w:r w:rsidRPr="00382917">
        <w:t>that</w:t>
      </w:r>
      <w:r w:rsidR="00EE4FC3">
        <w:t xml:space="preserve"> </w:t>
      </w:r>
      <w:r w:rsidRPr="00382917">
        <w:t>memorable</w:t>
      </w:r>
      <w:r w:rsidR="00EE4FC3">
        <w:t xml:space="preserve"> </w:t>
      </w:r>
      <w:r w:rsidRPr="00382917">
        <w:t>night</w:t>
      </w:r>
      <w:r w:rsidR="00EE4FC3">
        <w:t xml:space="preserve"> </w:t>
      </w:r>
      <w:r w:rsidRPr="00382917">
        <w:t>as</w:t>
      </w:r>
      <w:r w:rsidR="00EE4FC3">
        <w:t xml:space="preserve"> </w:t>
      </w:r>
      <w:r w:rsidRPr="00382917">
        <w:t>follows:</w:t>
      </w:r>
    </w:p>
    <w:p w:rsidR="00581CF7" w:rsidRPr="00382917" w:rsidRDefault="009C713D" w:rsidP="006D18A4">
      <w:pPr>
        <w:pStyle w:val="Text"/>
      </w:pPr>
      <w:r w:rsidRPr="00382917">
        <w:t>“</w:t>
      </w:r>
      <w:r w:rsidR="00581CF7" w:rsidRPr="00382917">
        <w:t>He</w:t>
      </w:r>
      <w:r w:rsidR="00EE4FC3">
        <w:t xml:space="preserve"> </w:t>
      </w:r>
      <w:r w:rsidR="00581CF7" w:rsidRPr="00382917">
        <w:t>extended</w:t>
      </w:r>
      <w:r w:rsidR="00EE4FC3">
        <w:t xml:space="preserve"> </w:t>
      </w:r>
      <w:r w:rsidR="00581CF7" w:rsidRPr="00382917">
        <w:t>to</w:t>
      </w:r>
      <w:r w:rsidR="00EE4FC3">
        <w:t xml:space="preserve"> </w:t>
      </w:r>
      <w:r w:rsidR="00581CF7" w:rsidRPr="00382917">
        <w:t>me</w:t>
      </w:r>
      <w:r w:rsidR="00EE4FC3">
        <w:t xml:space="preserve"> </w:t>
      </w:r>
      <w:r w:rsidR="00581CF7" w:rsidRPr="00382917">
        <w:t>a</w:t>
      </w:r>
      <w:r w:rsidR="00EE4FC3">
        <w:t xml:space="preserve"> </w:t>
      </w:r>
      <w:r w:rsidR="00581CF7" w:rsidRPr="00382917">
        <w:t>warm</w:t>
      </w:r>
      <w:r w:rsidR="00EE4FC3">
        <w:t xml:space="preserve"> </w:t>
      </w:r>
      <w:r w:rsidR="00581CF7" w:rsidRPr="00382917">
        <w:t>invitation</w:t>
      </w:r>
      <w:r w:rsidR="00EE4FC3">
        <w:t xml:space="preserve"> </w:t>
      </w:r>
      <w:r w:rsidR="00581CF7" w:rsidRPr="00382917">
        <w:t>to</w:t>
      </w:r>
      <w:r w:rsidR="00EE4FC3">
        <w:t xml:space="preserve"> </w:t>
      </w:r>
      <w:r w:rsidR="00581CF7" w:rsidRPr="00382917">
        <w:t>visit</w:t>
      </w:r>
      <w:r w:rsidR="00EE4FC3">
        <w:t xml:space="preserve"> </w:t>
      </w:r>
      <w:r w:rsidR="00581CF7" w:rsidRPr="00382917">
        <w:t>His</w:t>
      </w:r>
      <w:r w:rsidR="00EE4FC3">
        <w:t xml:space="preserve"> </w:t>
      </w:r>
      <w:r w:rsidR="00581CF7" w:rsidRPr="00382917">
        <w:t>home,</w:t>
      </w:r>
      <w:r w:rsidR="00EE4FC3">
        <w:t xml:space="preserve"> </w:t>
      </w:r>
      <w:r w:rsidR="00581CF7" w:rsidRPr="00382917">
        <w:t>and</w:t>
      </w:r>
      <w:r w:rsidR="00EE4FC3">
        <w:t xml:space="preserve"> </w:t>
      </w:r>
      <w:r w:rsidR="00581CF7" w:rsidRPr="00382917">
        <w:t>there</w:t>
      </w:r>
      <w:r w:rsidR="00EE4FC3">
        <w:t xml:space="preserve"> </w:t>
      </w:r>
      <w:r w:rsidR="00581CF7" w:rsidRPr="00382917">
        <w:t>refresh</w:t>
      </w:r>
      <w:r w:rsidR="00EE4FC3">
        <w:t xml:space="preserve"> </w:t>
      </w:r>
      <w:r w:rsidR="00581CF7" w:rsidRPr="00382917">
        <w:t>myself</w:t>
      </w:r>
      <w:r w:rsidR="00EE4FC3">
        <w:t xml:space="preserve"> </w:t>
      </w:r>
      <w:r w:rsidR="00581CF7" w:rsidRPr="00382917">
        <w:t>after</w:t>
      </w:r>
      <w:r w:rsidR="00EE4FC3">
        <w:t xml:space="preserve"> </w:t>
      </w:r>
      <w:r w:rsidR="00581CF7" w:rsidRPr="00382917">
        <w:t>the</w:t>
      </w:r>
      <w:r w:rsidR="00EE4FC3">
        <w:t xml:space="preserve"> </w:t>
      </w:r>
      <w:r w:rsidR="00581CF7" w:rsidRPr="00382917">
        <w:t>fatigues</w:t>
      </w:r>
      <w:r w:rsidR="00EE4FC3">
        <w:t xml:space="preserve"> </w:t>
      </w:r>
      <w:r w:rsidR="00581CF7" w:rsidRPr="00382917">
        <w:t>of</w:t>
      </w:r>
      <w:r w:rsidR="00EE4FC3">
        <w:t xml:space="preserve"> </w:t>
      </w:r>
      <w:r w:rsidR="00581CF7" w:rsidRPr="00382917">
        <w:t>my</w:t>
      </w:r>
      <w:r w:rsidR="00EE4FC3">
        <w:t xml:space="preserve"> </w:t>
      </w:r>
      <w:r w:rsidR="00581CF7" w:rsidRPr="00382917">
        <w:t>journey.</w:t>
      </w:r>
      <w:r w:rsidR="00EE4FC3">
        <w:t xml:space="preserve">  </w:t>
      </w:r>
      <w:r w:rsidR="00581CF7" w:rsidRPr="00382917">
        <w:t>I</w:t>
      </w:r>
      <w:r w:rsidR="00EE4FC3">
        <w:t xml:space="preserve"> </w:t>
      </w:r>
      <w:r w:rsidR="00581CF7" w:rsidRPr="00382917">
        <w:t>asked</w:t>
      </w:r>
      <w:r w:rsidR="00EE4FC3">
        <w:t xml:space="preserve"> </w:t>
      </w:r>
      <w:r w:rsidR="00581CF7" w:rsidRPr="00382917">
        <w:t>to</w:t>
      </w:r>
    </w:p>
    <w:p w:rsidR="006D18A4" w:rsidRPr="00382917" w:rsidRDefault="006D18A4">
      <w:pPr>
        <w:widowControl/>
        <w:kinsoku/>
        <w:overflowPunct/>
        <w:textAlignment w:val="auto"/>
        <w:rPr>
          <w:rFonts w:cs="Gentium Book Basic"/>
        </w:rPr>
      </w:pPr>
      <w:r w:rsidRPr="00382917">
        <w:br w:type="page"/>
      </w:r>
    </w:p>
    <w:p w:rsidR="00581CF7" w:rsidRPr="00382917" w:rsidRDefault="00581CF7" w:rsidP="006D18A4">
      <w:pPr>
        <w:pStyle w:val="Textcts"/>
      </w:pPr>
      <w:proofErr w:type="gramStart"/>
      <w:r w:rsidRPr="00382917">
        <w:t>be</w:t>
      </w:r>
      <w:proofErr w:type="gramEnd"/>
      <w:r w:rsidR="00EE4FC3">
        <w:t xml:space="preserve"> </w:t>
      </w:r>
      <w:r w:rsidRPr="00382917">
        <w:t>excused,</w:t>
      </w:r>
      <w:r w:rsidR="00EE4FC3">
        <w:t xml:space="preserve"> </w:t>
      </w:r>
      <w:r w:rsidRPr="00382917">
        <w:t>saying</w:t>
      </w:r>
      <w:r w:rsidR="00EE4FC3">
        <w:t xml:space="preserve"> </w:t>
      </w:r>
      <w:r w:rsidRPr="00382917">
        <w:t>that</w:t>
      </w:r>
      <w:r w:rsidR="00EE4FC3">
        <w:t xml:space="preserve"> </w:t>
      </w:r>
      <w:r w:rsidRPr="00382917">
        <w:t>my</w:t>
      </w:r>
      <w:r w:rsidR="00EE4FC3">
        <w:t xml:space="preserve"> </w:t>
      </w:r>
      <w:r w:rsidRPr="00382917">
        <w:t>two</w:t>
      </w:r>
      <w:r w:rsidR="00EE4FC3">
        <w:t xml:space="preserve"> </w:t>
      </w:r>
      <w:r w:rsidRPr="00382917">
        <w:t>companions</w:t>
      </w:r>
      <w:r w:rsidR="00EE4FC3">
        <w:t xml:space="preserve"> </w:t>
      </w:r>
      <w:r w:rsidRPr="00382917">
        <w:t>were</w:t>
      </w:r>
      <w:r w:rsidR="00EE4FC3">
        <w:t xml:space="preserve"> </w:t>
      </w:r>
      <w:r w:rsidRPr="00382917">
        <w:t>awaiting</w:t>
      </w:r>
      <w:r w:rsidR="00EE4FC3">
        <w:t xml:space="preserve"> </w:t>
      </w:r>
      <w:r w:rsidRPr="00382917">
        <w:t>my</w:t>
      </w:r>
      <w:r w:rsidR="00EE4FC3">
        <w:t xml:space="preserve"> </w:t>
      </w:r>
      <w:r w:rsidRPr="00382917">
        <w:t>return.</w:t>
      </w:r>
    </w:p>
    <w:p w:rsidR="00581CF7" w:rsidRPr="00382917" w:rsidRDefault="009C713D" w:rsidP="006D18A4">
      <w:pPr>
        <w:pStyle w:val="Text"/>
      </w:pPr>
      <w:r w:rsidRPr="00382917">
        <w:t>‘</w:t>
      </w:r>
      <w:r w:rsidR="00581CF7" w:rsidRPr="00382917">
        <w:t>Commit</w:t>
      </w:r>
      <w:r w:rsidR="00EE4FC3">
        <w:t xml:space="preserve"> </w:t>
      </w:r>
      <w:r w:rsidR="00581CF7" w:rsidRPr="00382917">
        <w:t>them</w:t>
      </w:r>
      <w:r w:rsidR="00EE4FC3">
        <w:t xml:space="preserve"> </w:t>
      </w:r>
      <w:r w:rsidR="00581CF7" w:rsidRPr="00382917">
        <w:t>to</w:t>
      </w:r>
      <w:r w:rsidR="00EE4FC3">
        <w:t xml:space="preserve"> </w:t>
      </w:r>
      <w:r w:rsidR="00581CF7" w:rsidRPr="00382917">
        <w:t>the</w:t>
      </w:r>
      <w:r w:rsidR="00EE4FC3">
        <w:t xml:space="preserve"> </w:t>
      </w:r>
      <w:r w:rsidR="00581CF7" w:rsidRPr="00382917">
        <w:t>care</w:t>
      </w:r>
      <w:r w:rsidR="00EE4FC3">
        <w:t xml:space="preserve"> </w:t>
      </w:r>
      <w:r w:rsidR="00581CF7" w:rsidRPr="00382917">
        <w:t>of</w:t>
      </w:r>
      <w:r w:rsidR="00EE4FC3">
        <w:t xml:space="preserve"> </w:t>
      </w:r>
      <w:r w:rsidR="00581CF7" w:rsidRPr="00382917">
        <w:t>God,</w:t>
      </w:r>
      <w:r w:rsidRPr="00382917">
        <w:t>’</w:t>
      </w:r>
      <w:r w:rsidR="00EE4FC3">
        <w:t xml:space="preserve"> </w:t>
      </w:r>
      <w:r w:rsidR="00581CF7" w:rsidRPr="00382917">
        <w:t>was</w:t>
      </w:r>
      <w:r w:rsidR="00EE4FC3">
        <w:t xml:space="preserve"> </w:t>
      </w:r>
      <w:r w:rsidR="00581CF7" w:rsidRPr="00382917">
        <w:t>His</w:t>
      </w:r>
      <w:r w:rsidR="00EE4FC3">
        <w:t xml:space="preserve"> </w:t>
      </w:r>
      <w:r w:rsidR="00581CF7" w:rsidRPr="00382917">
        <w:t>reply.</w:t>
      </w:r>
      <w:r w:rsidR="00EE4FC3">
        <w:t xml:space="preserve">  </w:t>
      </w:r>
      <w:r w:rsidRPr="00382917">
        <w:t>‘</w:t>
      </w:r>
      <w:r w:rsidR="00581CF7" w:rsidRPr="00382917">
        <w:t>He</w:t>
      </w:r>
      <w:r w:rsidR="00EE4FC3">
        <w:t xml:space="preserve"> </w:t>
      </w:r>
      <w:r w:rsidR="00581CF7" w:rsidRPr="00382917">
        <w:t>surely</w:t>
      </w:r>
      <w:r w:rsidR="00EE4FC3">
        <w:t xml:space="preserve"> </w:t>
      </w:r>
      <w:r w:rsidR="00581CF7" w:rsidRPr="00382917">
        <w:t>will</w:t>
      </w:r>
      <w:r w:rsidR="00EE4FC3">
        <w:t xml:space="preserve"> </w:t>
      </w:r>
      <w:r w:rsidR="00581CF7" w:rsidRPr="00382917">
        <w:t>protect</w:t>
      </w:r>
      <w:r w:rsidR="00EE4FC3">
        <w:t xml:space="preserve"> </w:t>
      </w:r>
      <w:r w:rsidR="00581CF7" w:rsidRPr="00382917">
        <w:t>and</w:t>
      </w:r>
      <w:r w:rsidR="00EE4FC3">
        <w:t xml:space="preserve"> </w:t>
      </w:r>
      <w:r w:rsidR="00581CF7" w:rsidRPr="00382917">
        <w:t>watch</w:t>
      </w:r>
      <w:r w:rsidR="00EE4FC3">
        <w:t xml:space="preserve"> </w:t>
      </w:r>
      <w:r w:rsidR="00581CF7" w:rsidRPr="00382917">
        <w:t>over</w:t>
      </w:r>
      <w:r w:rsidR="00EE4FC3">
        <w:t xml:space="preserve"> </w:t>
      </w:r>
      <w:r w:rsidR="00581CF7" w:rsidRPr="00382917">
        <w:t>them.</w:t>
      </w:r>
      <w:r w:rsidRPr="00382917">
        <w:t>’</w:t>
      </w:r>
    </w:p>
    <w:p w:rsidR="00581CF7" w:rsidRPr="00382917" w:rsidRDefault="009C713D" w:rsidP="006D18A4">
      <w:pPr>
        <w:pStyle w:val="Text"/>
      </w:pPr>
      <w:r w:rsidRPr="00382917">
        <w:t>“</w:t>
      </w:r>
      <w:r w:rsidR="00581CF7" w:rsidRPr="00382917">
        <w:t>Having</w:t>
      </w:r>
      <w:r w:rsidR="00EE4FC3">
        <w:t xml:space="preserve"> </w:t>
      </w:r>
      <w:r w:rsidR="00581CF7" w:rsidRPr="00382917">
        <w:t>spoken</w:t>
      </w:r>
      <w:r w:rsidR="00EE4FC3">
        <w:t xml:space="preserve"> </w:t>
      </w:r>
      <w:r w:rsidR="00581CF7" w:rsidRPr="00382917">
        <w:t>these</w:t>
      </w:r>
      <w:r w:rsidR="00EE4FC3">
        <w:t xml:space="preserve"> </w:t>
      </w:r>
      <w:r w:rsidR="00581CF7" w:rsidRPr="00382917">
        <w:t>words,</w:t>
      </w:r>
      <w:r w:rsidR="00EE4FC3">
        <w:t xml:space="preserve"> </w:t>
      </w:r>
      <w:r w:rsidR="00581CF7" w:rsidRPr="00382917">
        <w:t>He</w:t>
      </w:r>
      <w:r w:rsidR="00EE4FC3">
        <w:t xml:space="preserve"> </w:t>
      </w:r>
      <w:r w:rsidR="00581CF7" w:rsidRPr="00382917">
        <w:t>turned</w:t>
      </w:r>
      <w:r w:rsidR="00EE4FC3">
        <w:t xml:space="preserve"> </w:t>
      </w:r>
      <w:r w:rsidR="00581CF7" w:rsidRPr="00382917">
        <w:t>and</w:t>
      </w:r>
      <w:r w:rsidR="00EE4FC3">
        <w:t xml:space="preserve"> </w:t>
      </w:r>
      <w:r w:rsidR="00581CF7" w:rsidRPr="00382917">
        <w:t>bade</w:t>
      </w:r>
      <w:r w:rsidR="00EE4FC3">
        <w:t xml:space="preserve"> </w:t>
      </w:r>
      <w:r w:rsidR="00581CF7" w:rsidRPr="00382917">
        <w:t>me</w:t>
      </w:r>
      <w:r w:rsidR="00EE4FC3">
        <w:t xml:space="preserve"> </w:t>
      </w:r>
      <w:r w:rsidR="00581CF7" w:rsidRPr="00382917">
        <w:t>follow</w:t>
      </w:r>
      <w:r w:rsidR="00EE4FC3">
        <w:t xml:space="preserve"> </w:t>
      </w:r>
      <w:r w:rsidR="00581CF7" w:rsidRPr="00382917">
        <w:t>Him.</w:t>
      </w:r>
      <w:r w:rsidR="00EE4FC3">
        <w:t xml:space="preserve">  </w:t>
      </w:r>
      <w:r w:rsidR="00581CF7" w:rsidRPr="00382917">
        <w:t>I</w:t>
      </w:r>
      <w:r w:rsidR="00EE4FC3">
        <w:t xml:space="preserve"> </w:t>
      </w:r>
      <w:r w:rsidR="00581CF7" w:rsidRPr="00382917">
        <w:t>was</w:t>
      </w:r>
      <w:r w:rsidR="00EE4FC3">
        <w:t xml:space="preserve"> </w:t>
      </w:r>
      <w:r w:rsidR="00581CF7" w:rsidRPr="00382917">
        <w:t>deeply</w:t>
      </w:r>
      <w:r w:rsidR="00EE4FC3">
        <w:t xml:space="preserve"> </w:t>
      </w:r>
      <w:r w:rsidR="00581CF7" w:rsidRPr="00382917">
        <w:t>stirred</w:t>
      </w:r>
      <w:r w:rsidR="00EE4FC3">
        <w:t xml:space="preserve"> </w:t>
      </w:r>
      <w:r w:rsidR="00581CF7" w:rsidRPr="00382917">
        <w:t>by</w:t>
      </w:r>
      <w:r w:rsidR="00EE4FC3">
        <w:t xml:space="preserve"> </w:t>
      </w:r>
      <w:r w:rsidR="00581CF7" w:rsidRPr="00382917">
        <w:t>the</w:t>
      </w:r>
      <w:r w:rsidR="00EE4FC3">
        <w:t xml:space="preserve"> </w:t>
      </w:r>
      <w:r w:rsidR="00581CF7" w:rsidRPr="00382917">
        <w:t>gentle</w:t>
      </w:r>
      <w:r w:rsidR="00EE4FC3">
        <w:t xml:space="preserve"> </w:t>
      </w:r>
      <w:r w:rsidR="00581CF7" w:rsidRPr="00382917">
        <w:t>yet</w:t>
      </w:r>
      <w:r w:rsidR="00EE4FC3">
        <w:t xml:space="preserve"> </w:t>
      </w:r>
      <w:r w:rsidR="00581CF7" w:rsidRPr="00382917">
        <w:t>compelling</w:t>
      </w:r>
      <w:r w:rsidR="00EE4FC3">
        <w:t xml:space="preserve"> </w:t>
      </w:r>
      <w:r w:rsidR="00581CF7" w:rsidRPr="00382917">
        <w:t>manner</w:t>
      </w:r>
      <w:r w:rsidR="00EE4FC3">
        <w:t xml:space="preserve"> </w:t>
      </w:r>
      <w:r w:rsidR="00581CF7" w:rsidRPr="00382917">
        <w:t>in</w:t>
      </w:r>
      <w:r w:rsidR="00EE4FC3">
        <w:t xml:space="preserve"> </w:t>
      </w:r>
      <w:r w:rsidR="00581CF7" w:rsidRPr="00382917">
        <w:t>which</w:t>
      </w:r>
      <w:r w:rsidR="00EE4FC3">
        <w:t xml:space="preserve"> </w:t>
      </w:r>
      <w:r w:rsidR="00581CF7" w:rsidRPr="00382917">
        <w:t>that</w:t>
      </w:r>
      <w:r w:rsidR="00EE4FC3">
        <w:t xml:space="preserve"> </w:t>
      </w:r>
      <w:r w:rsidR="00581CF7" w:rsidRPr="00382917">
        <w:t>young</w:t>
      </w:r>
      <w:r w:rsidR="00EE4FC3">
        <w:t xml:space="preserve"> </w:t>
      </w:r>
      <w:r w:rsidR="00581CF7" w:rsidRPr="00382917">
        <w:t>man</w:t>
      </w:r>
      <w:r w:rsidR="00EE4FC3">
        <w:t xml:space="preserve"> </w:t>
      </w:r>
      <w:r w:rsidR="00581CF7" w:rsidRPr="00382917">
        <w:t>spoke</w:t>
      </w:r>
      <w:r w:rsidR="00EE4FC3">
        <w:t xml:space="preserve"> </w:t>
      </w:r>
      <w:r w:rsidR="00581CF7" w:rsidRPr="00382917">
        <w:t>to</w:t>
      </w:r>
      <w:r w:rsidR="00EE4FC3">
        <w:t xml:space="preserve"> </w:t>
      </w:r>
      <w:r w:rsidR="00581CF7" w:rsidRPr="00382917">
        <w:t>me.</w:t>
      </w:r>
      <w:r w:rsidR="00EE4FC3">
        <w:t xml:space="preserve">  </w:t>
      </w:r>
      <w:r w:rsidR="00581CF7" w:rsidRPr="00382917">
        <w:t>His</w:t>
      </w:r>
      <w:r w:rsidR="00EE4FC3">
        <w:t xml:space="preserve"> </w:t>
      </w:r>
      <w:r w:rsidR="00581CF7" w:rsidRPr="00382917">
        <w:t>gait,</w:t>
      </w:r>
      <w:r w:rsidR="00EE4FC3">
        <w:t xml:space="preserve"> </w:t>
      </w:r>
      <w:r w:rsidR="00581CF7" w:rsidRPr="00382917">
        <w:t>the</w:t>
      </w:r>
      <w:r w:rsidR="00EE4FC3">
        <w:t xml:space="preserve"> </w:t>
      </w:r>
      <w:r w:rsidR="00581CF7" w:rsidRPr="00382917">
        <w:t>charm</w:t>
      </w:r>
      <w:r w:rsidR="00EE4FC3">
        <w:t xml:space="preserve"> </w:t>
      </w:r>
      <w:r w:rsidR="00581CF7" w:rsidRPr="00382917">
        <w:t>of</w:t>
      </w:r>
      <w:r w:rsidR="00EE4FC3">
        <w:t xml:space="preserve"> </w:t>
      </w:r>
      <w:r w:rsidR="00581CF7" w:rsidRPr="00382917">
        <w:t>His</w:t>
      </w:r>
      <w:r w:rsidR="00EE4FC3">
        <w:t xml:space="preserve"> </w:t>
      </w:r>
      <w:r w:rsidR="00581CF7" w:rsidRPr="00382917">
        <w:t>voice,</w:t>
      </w:r>
      <w:r w:rsidR="00EE4FC3">
        <w:t xml:space="preserve"> </w:t>
      </w:r>
      <w:r w:rsidR="00581CF7" w:rsidRPr="00382917">
        <w:t>the</w:t>
      </w:r>
      <w:r w:rsidR="00EE4FC3">
        <w:t xml:space="preserve"> </w:t>
      </w:r>
      <w:r w:rsidR="00581CF7" w:rsidRPr="00382917">
        <w:t>dignity</w:t>
      </w:r>
      <w:r w:rsidR="00EE4FC3">
        <w:t xml:space="preserve"> </w:t>
      </w:r>
      <w:r w:rsidR="00581CF7" w:rsidRPr="00382917">
        <w:t>of</w:t>
      </w:r>
      <w:r w:rsidR="00EE4FC3">
        <w:t xml:space="preserve"> </w:t>
      </w:r>
      <w:r w:rsidR="00581CF7" w:rsidRPr="00382917">
        <w:t>His</w:t>
      </w:r>
      <w:r w:rsidR="00EE4FC3">
        <w:t xml:space="preserve"> </w:t>
      </w:r>
      <w:r w:rsidR="00581CF7" w:rsidRPr="00382917">
        <w:t>bearing,</w:t>
      </w:r>
      <w:r w:rsidR="00EE4FC3">
        <w:t xml:space="preserve"> </w:t>
      </w:r>
      <w:r w:rsidR="00581CF7" w:rsidRPr="00382917">
        <w:t>all</w:t>
      </w:r>
      <w:r w:rsidR="00EE4FC3">
        <w:t xml:space="preserve"> </w:t>
      </w:r>
      <w:r w:rsidR="00581CF7" w:rsidRPr="00382917">
        <w:t>seemed</w:t>
      </w:r>
      <w:r w:rsidR="00EE4FC3">
        <w:t xml:space="preserve"> </w:t>
      </w:r>
      <w:r w:rsidR="00581CF7" w:rsidRPr="00382917">
        <w:t>to</w:t>
      </w:r>
      <w:r w:rsidR="00EE4FC3">
        <w:t xml:space="preserve"> </w:t>
      </w:r>
      <w:r w:rsidR="00581CF7" w:rsidRPr="00382917">
        <w:t>enhance</w:t>
      </w:r>
      <w:r w:rsidR="00EE4FC3">
        <w:t xml:space="preserve"> </w:t>
      </w:r>
      <w:r w:rsidR="00581CF7" w:rsidRPr="00382917">
        <w:t>my</w:t>
      </w:r>
      <w:r w:rsidR="00EE4FC3">
        <w:t xml:space="preserve"> </w:t>
      </w:r>
      <w:r w:rsidR="00581CF7" w:rsidRPr="00382917">
        <w:t>first</w:t>
      </w:r>
      <w:r w:rsidR="00EE4FC3">
        <w:t xml:space="preserve"> </w:t>
      </w:r>
      <w:r w:rsidR="00581CF7" w:rsidRPr="00382917">
        <w:t>impression.</w:t>
      </w:r>
    </w:p>
    <w:p w:rsidR="00581CF7" w:rsidRPr="00382917" w:rsidRDefault="009C713D" w:rsidP="006D18A4">
      <w:pPr>
        <w:pStyle w:val="Text"/>
      </w:pPr>
      <w:r w:rsidRPr="00382917">
        <w:t>“</w:t>
      </w:r>
      <w:r w:rsidR="00581CF7" w:rsidRPr="00382917">
        <w:t>Soon</w:t>
      </w:r>
      <w:r w:rsidR="00EE4FC3">
        <w:t xml:space="preserve"> </w:t>
      </w:r>
      <w:r w:rsidR="00581CF7" w:rsidRPr="00382917">
        <w:t>we</w:t>
      </w:r>
      <w:r w:rsidR="00EE4FC3">
        <w:t xml:space="preserve"> </w:t>
      </w:r>
      <w:r w:rsidR="00581CF7" w:rsidRPr="00382917">
        <w:t>were</w:t>
      </w:r>
      <w:r w:rsidR="00EE4FC3">
        <w:t xml:space="preserve"> </w:t>
      </w:r>
      <w:r w:rsidR="00581CF7" w:rsidRPr="00382917">
        <w:t>standing</w:t>
      </w:r>
      <w:r w:rsidR="00EE4FC3">
        <w:t xml:space="preserve"> </w:t>
      </w:r>
      <w:r w:rsidR="00581CF7" w:rsidRPr="00382917">
        <w:t>at</w:t>
      </w:r>
      <w:r w:rsidR="00EE4FC3">
        <w:t xml:space="preserve"> </w:t>
      </w:r>
      <w:r w:rsidR="00581CF7" w:rsidRPr="00382917">
        <w:t>the</w:t>
      </w:r>
      <w:r w:rsidR="00EE4FC3">
        <w:t xml:space="preserve"> </w:t>
      </w:r>
      <w:r w:rsidR="00581CF7" w:rsidRPr="00382917">
        <w:t>gate</w:t>
      </w:r>
      <w:r w:rsidR="00EE4FC3">
        <w:t xml:space="preserve"> </w:t>
      </w:r>
      <w:r w:rsidR="00581CF7" w:rsidRPr="00382917">
        <w:t>of</w:t>
      </w:r>
      <w:r w:rsidR="00EE4FC3">
        <w:t xml:space="preserve"> </w:t>
      </w:r>
      <w:r w:rsidR="00581CF7" w:rsidRPr="00382917">
        <w:t>a</w:t>
      </w:r>
      <w:r w:rsidR="00EE4FC3">
        <w:t xml:space="preserve"> </w:t>
      </w:r>
      <w:r w:rsidR="00581CF7" w:rsidRPr="00382917">
        <w:t>modest</w:t>
      </w:r>
      <w:r w:rsidR="00EE4FC3">
        <w:t xml:space="preserve"> </w:t>
      </w:r>
      <w:r w:rsidR="00581CF7" w:rsidRPr="00382917">
        <w:t>house.</w:t>
      </w:r>
      <w:r w:rsidR="00EE4FC3">
        <w:t xml:space="preserve">  </w:t>
      </w:r>
      <w:r w:rsidRPr="00382917">
        <w:t>‘</w:t>
      </w:r>
      <w:r w:rsidR="00581CF7" w:rsidRPr="00382917">
        <w:t>Enter</w:t>
      </w:r>
      <w:r w:rsidR="00EE4FC3">
        <w:t xml:space="preserve"> </w:t>
      </w:r>
      <w:r w:rsidR="00581CF7" w:rsidRPr="00382917">
        <w:t>therein</w:t>
      </w:r>
      <w:r w:rsidR="00EE4FC3">
        <w:t xml:space="preserve"> </w:t>
      </w:r>
      <w:r w:rsidR="00581CF7" w:rsidRPr="00382917">
        <w:t>in</w:t>
      </w:r>
      <w:r w:rsidR="00EE4FC3">
        <w:t xml:space="preserve"> </w:t>
      </w:r>
      <w:r w:rsidR="00581CF7" w:rsidRPr="00382917">
        <w:t>peace</w:t>
      </w:r>
      <w:r w:rsidR="00EE4FC3">
        <w:t xml:space="preserve"> </w:t>
      </w:r>
      <w:r w:rsidR="00581CF7" w:rsidRPr="00382917">
        <w:t>secure,</w:t>
      </w:r>
      <w:r w:rsidRPr="00382917">
        <w:t>’</w:t>
      </w:r>
      <w:r w:rsidR="00EE4FC3">
        <w:t xml:space="preserve"> </w:t>
      </w:r>
      <w:r w:rsidR="00581CF7" w:rsidRPr="00382917">
        <w:t>were</w:t>
      </w:r>
      <w:r w:rsidR="00EE4FC3">
        <w:t xml:space="preserve"> </w:t>
      </w:r>
      <w:r w:rsidR="00581CF7" w:rsidRPr="00382917">
        <w:t>His</w:t>
      </w:r>
      <w:r w:rsidR="00EE4FC3">
        <w:t xml:space="preserve"> </w:t>
      </w:r>
      <w:r w:rsidR="00581CF7" w:rsidRPr="00382917">
        <w:t>words</w:t>
      </w:r>
      <w:r w:rsidR="00EE4FC3">
        <w:t xml:space="preserve"> </w:t>
      </w:r>
      <w:r w:rsidR="00581CF7" w:rsidRPr="00382917">
        <w:t>as</w:t>
      </w:r>
      <w:r w:rsidR="00EE4FC3">
        <w:t xml:space="preserve"> </w:t>
      </w:r>
      <w:r w:rsidR="00581CF7" w:rsidRPr="00382917">
        <w:t>He</w:t>
      </w:r>
      <w:r w:rsidR="00EE4FC3">
        <w:t xml:space="preserve"> </w:t>
      </w:r>
      <w:r w:rsidR="00581CF7" w:rsidRPr="00382917">
        <w:t>crossed</w:t>
      </w:r>
      <w:r w:rsidR="00EE4FC3">
        <w:t xml:space="preserve"> </w:t>
      </w:r>
      <w:r w:rsidR="00581CF7" w:rsidRPr="00382917">
        <w:t>the</w:t>
      </w:r>
      <w:r w:rsidR="00EE4FC3">
        <w:t xml:space="preserve"> </w:t>
      </w:r>
      <w:r w:rsidR="00581CF7" w:rsidRPr="00382917">
        <w:t>threshold</w:t>
      </w:r>
      <w:r w:rsidR="00EE4FC3">
        <w:t xml:space="preserve"> </w:t>
      </w:r>
      <w:r w:rsidR="00581CF7" w:rsidRPr="00382917">
        <w:t>and</w:t>
      </w:r>
      <w:r w:rsidR="00EE4FC3">
        <w:t xml:space="preserve"> </w:t>
      </w:r>
      <w:r w:rsidR="00581CF7" w:rsidRPr="00382917">
        <w:t>motioned</w:t>
      </w:r>
      <w:r w:rsidR="00EE4FC3">
        <w:t xml:space="preserve"> </w:t>
      </w:r>
      <w:r w:rsidR="00581CF7" w:rsidRPr="00382917">
        <w:t>to</w:t>
      </w:r>
      <w:r w:rsidR="00EE4FC3">
        <w:t xml:space="preserve"> </w:t>
      </w:r>
      <w:r w:rsidR="00581CF7" w:rsidRPr="00382917">
        <w:t>me</w:t>
      </w:r>
      <w:r w:rsidR="00EE4FC3">
        <w:t xml:space="preserve"> </w:t>
      </w:r>
      <w:r w:rsidR="00581CF7" w:rsidRPr="00382917">
        <w:t>to</w:t>
      </w:r>
      <w:r w:rsidR="00EE4FC3">
        <w:t xml:space="preserve"> </w:t>
      </w:r>
      <w:r w:rsidR="00581CF7" w:rsidRPr="00382917">
        <w:t>follow</w:t>
      </w:r>
      <w:r w:rsidR="00EE4FC3">
        <w:t xml:space="preserve"> </w:t>
      </w:r>
      <w:r w:rsidR="00581CF7" w:rsidRPr="00382917">
        <w:t>Him.</w:t>
      </w:r>
      <w:r w:rsidR="00EE4FC3">
        <w:t xml:space="preserve">  </w:t>
      </w:r>
      <w:r w:rsidR="00581CF7" w:rsidRPr="00382917">
        <w:t>His</w:t>
      </w:r>
      <w:r w:rsidR="00EE4FC3">
        <w:t xml:space="preserve"> </w:t>
      </w:r>
      <w:r w:rsidR="00581CF7" w:rsidRPr="00382917">
        <w:t>invitation,</w:t>
      </w:r>
      <w:r w:rsidR="00EE4FC3">
        <w:t xml:space="preserve"> </w:t>
      </w:r>
      <w:r w:rsidR="00581CF7" w:rsidRPr="00382917">
        <w:t>uttered</w:t>
      </w:r>
      <w:r w:rsidR="00EE4FC3">
        <w:t xml:space="preserve"> </w:t>
      </w:r>
      <w:r w:rsidR="00581CF7" w:rsidRPr="00382917">
        <w:t>with</w:t>
      </w:r>
      <w:r w:rsidR="00EE4FC3">
        <w:t xml:space="preserve"> </w:t>
      </w:r>
      <w:r w:rsidR="00581CF7" w:rsidRPr="00382917">
        <w:t>power</w:t>
      </w:r>
      <w:r w:rsidR="00EE4FC3">
        <w:t xml:space="preserve"> </w:t>
      </w:r>
      <w:r w:rsidR="00581CF7" w:rsidRPr="00382917">
        <w:t>and</w:t>
      </w:r>
      <w:r w:rsidR="00EE4FC3">
        <w:t xml:space="preserve"> </w:t>
      </w:r>
      <w:r w:rsidR="00581CF7" w:rsidRPr="00382917">
        <w:t>majesty,</w:t>
      </w:r>
      <w:r w:rsidR="00EE4FC3">
        <w:t xml:space="preserve"> </w:t>
      </w:r>
      <w:r w:rsidR="00581CF7" w:rsidRPr="00382917">
        <w:t>penetrated</w:t>
      </w:r>
      <w:r w:rsidR="00EE4FC3">
        <w:t xml:space="preserve"> </w:t>
      </w:r>
      <w:r w:rsidR="00581CF7" w:rsidRPr="00382917">
        <w:t>my</w:t>
      </w:r>
      <w:r w:rsidR="00EE4FC3">
        <w:t xml:space="preserve"> </w:t>
      </w:r>
      <w:r w:rsidR="00581CF7" w:rsidRPr="00382917">
        <w:t>soul.</w:t>
      </w:r>
      <w:r w:rsidR="00EE4FC3">
        <w:t xml:space="preserve">  </w:t>
      </w:r>
      <w:r w:rsidR="00581CF7" w:rsidRPr="00382917">
        <w:t>I</w:t>
      </w:r>
      <w:r w:rsidR="00EE4FC3">
        <w:t xml:space="preserve"> </w:t>
      </w:r>
      <w:r w:rsidR="00581CF7" w:rsidRPr="00382917">
        <w:t>thought</w:t>
      </w:r>
      <w:r w:rsidR="00EE4FC3">
        <w:t xml:space="preserve"> </w:t>
      </w:r>
      <w:r w:rsidR="00581CF7" w:rsidRPr="00382917">
        <w:t>it</w:t>
      </w:r>
      <w:r w:rsidR="00EE4FC3">
        <w:t xml:space="preserve"> </w:t>
      </w:r>
      <w:r w:rsidR="00581CF7" w:rsidRPr="00382917">
        <w:t>a</w:t>
      </w:r>
      <w:r w:rsidR="00EE4FC3">
        <w:t xml:space="preserve"> </w:t>
      </w:r>
      <w:r w:rsidR="00581CF7" w:rsidRPr="00382917">
        <w:t>good</w:t>
      </w:r>
      <w:r w:rsidR="00EE4FC3">
        <w:t xml:space="preserve"> </w:t>
      </w:r>
      <w:r w:rsidR="00581CF7" w:rsidRPr="00382917">
        <w:t>sign</w:t>
      </w:r>
      <w:r w:rsidR="00EE4FC3">
        <w:t xml:space="preserve"> </w:t>
      </w:r>
      <w:r w:rsidR="00581CF7" w:rsidRPr="00382917">
        <w:t>to</w:t>
      </w:r>
      <w:r w:rsidR="00EE4FC3">
        <w:t xml:space="preserve"> </w:t>
      </w:r>
      <w:r w:rsidR="00581CF7" w:rsidRPr="00382917">
        <w:t>be</w:t>
      </w:r>
      <w:r w:rsidR="00EE4FC3">
        <w:t xml:space="preserve"> </w:t>
      </w:r>
      <w:r w:rsidR="00581CF7" w:rsidRPr="00382917">
        <w:t>addressed</w:t>
      </w:r>
      <w:r w:rsidR="00EE4FC3">
        <w:t xml:space="preserve"> </w:t>
      </w:r>
      <w:r w:rsidR="00581CF7" w:rsidRPr="00382917">
        <w:t>in</w:t>
      </w:r>
      <w:r w:rsidR="00EE4FC3">
        <w:t xml:space="preserve"> </w:t>
      </w:r>
      <w:r w:rsidR="00581CF7" w:rsidRPr="00382917">
        <w:t>such</w:t>
      </w:r>
      <w:r w:rsidR="00EE4FC3">
        <w:t xml:space="preserve"> </w:t>
      </w:r>
      <w:r w:rsidR="00581CF7" w:rsidRPr="00382917">
        <w:t>words,</w:t>
      </w:r>
      <w:r w:rsidR="00EE4FC3">
        <w:t xml:space="preserve"> </w:t>
      </w:r>
      <w:r w:rsidR="00581CF7" w:rsidRPr="00382917">
        <w:t>standing</w:t>
      </w:r>
      <w:r w:rsidR="00EE4FC3">
        <w:t xml:space="preserve"> </w:t>
      </w:r>
      <w:r w:rsidR="00581CF7" w:rsidRPr="00382917">
        <w:t>as</w:t>
      </w:r>
      <w:r w:rsidR="00EE4FC3">
        <w:t xml:space="preserve"> </w:t>
      </w:r>
      <w:r w:rsidR="00581CF7" w:rsidRPr="00382917">
        <w:t>I</w:t>
      </w:r>
      <w:r w:rsidR="00EE4FC3">
        <w:t xml:space="preserve"> </w:t>
      </w:r>
      <w:r w:rsidR="00581CF7" w:rsidRPr="00382917">
        <w:t>did</w:t>
      </w:r>
      <w:r w:rsidR="00EE4FC3">
        <w:t xml:space="preserve"> </w:t>
      </w:r>
      <w:r w:rsidR="00581CF7" w:rsidRPr="00382917">
        <w:t>on</w:t>
      </w:r>
      <w:r w:rsidR="00EE4FC3">
        <w:t xml:space="preserve"> </w:t>
      </w:r>
      <w:r w:rsidR="00581CF7" w:rsidRPr="00382917">
        <w:t>the</w:t>
      </w:r>
      <w:r w:rsidR="00EE4FC3">
        <w:t xml:space="preserve"> </w:t>
      </w:r>
      <w:r w:rsidR="00581CF7" w:rsidRPr="00382917">
        <w:t>threshold</w:t>
      </w:r>
      <w:r w:rsidR="00EE4FC3">
        <w:t xml:space="preserve"> </w:t>
      </w:r>
      <w:r w:rsidR="00581CF7" w:rsidRPr="00382917">
        <w:t>of</w:t>
      </w:r>
      <w:r w:rsidR="00EE4FC3">
        <w:t xml:space="preserve"> </w:t>
      </w:r>
      <w:r w:rsidR="00581CF7" w:rsidRPr="00382917">
        <w:t>the</w:t>
      </w:r>
      <w:r w:rsidR="00EE4FC3">
        <w:t xml:space="preserve"> </w:t>
      </w:r>
      <w:r w:rsidR="00581CF7" w:rsidRPr="00382917">
        <w:t>first</w:t>
      </w:r>
      <w:r w:rsidR="00EE4FC3">
        <w:t xml:space="preserve"> </w:t>
      </w:r>
      <w:r w:rsidR="00581CF7" w:rsidRPr="00382917">
        <w:t>house</w:t>
      </w:r>
      <w:r w:rsidR="00EE4FC3">
        <w:t xml:space="preserve"> </w:t>
      </w:r>
      <w:r w:rsidR="00581CF7" w:rsidRPr="00382917">
        <w:t>I</w:t>
      </w:r>
      <w:r w:rsidR="00EE4FC3">
        <w:t xml:space="preserve"> </w:t>
      </w:r>
      <w:r w:rsidR="00581CF7" w:rsidRPr="00382917">
        <w:t>was</w:t>
      </w:r>
      <w:r w:rsidR="00EE4FC3">
        <w:t xml:space="preserve"> </w:t>
      </w:r>
      <w:r w:rsidR="00581CF7" w:rsidRPr="00382917">
        <w:t>to</w:t>
      </w:r>
      <w:r w:rsidR="00EE4FC3">
        <w:t xml:space="preserve"> </w:t>
      </w:r>
      <w:r w:rsidR="00581CF7" w:rsidRPr="00382917">
        <w:t>enter</w:t>
      </w:r>
      <w:r w:rsidR="00EE4FC3">
        <w:t xml:space="preserve"> </w:t>
      </w:r>
      <w:r w:rsidR="00581CF7" w:rsidRPr="00382917">
        <w:t>in</w:t>
      </w:r>
      <w:r w:rsidR="00EE4FC3">
        <w:t xml:space="preserve"> </w:t>
      </w:r>
      <w:r w:rsidR="008A073E" w:rsidRPr="00382917">
        <w:rPr>
          <w:u w:val="single"/>
        </w:rPr>
        <w:t>Sh</w:t>
      </w:r>
      <w:r w:rsidR="008A073E" w:rsidRPr="00382917">
        <w:t>íráz</w:t>
      </w:r>
      <w:r w:rsidR="00581CF7" w:rsidRPr="00382917">
        <w:t>.</w:t>
      </w:r>
      <w:r w:rsidR="00EE4FC3">
        <w:t xml:space="preserve">  </w:t>
      </w:r>
      <w:r w:rsidR="00581CF7" w:rsidRPr="00382917">
        <w:t>Might</w:t>
      </w:r>
      <w:r w:rsidR="00EE4FC3">
        <w:t xml:space="preserve"> </w:t>
      </w:r>
      <w:r w:rsidR="00581CF7" w:rsidRPr="00382917">
        <w:t>not</w:t>
      </w:r>
      <w:r w:rsidR="00EE4FC3">
        <w:t xml:space="preserve"> </w:t>
      </w:r>
      <w:r w:rsidR="00581CF7" w:rsidRPr="00382917">
        <w:t>my</w:t>
      </w:r>
      <w:r w:rsidR="00EE4FC3">
        <w:t xml:space="preserve"> </w:t>
      </w:r>
      <w:r w:rsidR="00581CF7" w:rsidRPr="00382917">
        <w:t>visit</w:t>
      </w:r>
      <w:r w:rsidR="00EE4FC3">
        <w:t xml:space="preserve"> </w:t>
      </w:r>
      <w:r w:rsidR="00581CF7" w:rsidRPr="00382917">
        <w:t>to</w:t>
      </w:r>
      <w:r w:rsidR="00EE4FC3">
        <w:t xml:space="preserve"> </w:t>
      </w:r>
      <w:r w:rsidR="00581CF7" w:rsidRPr="00382917">
        <w:t>this</w:t>
      </w:r>
      <w:r w:rsidR="00EE4FC3">
        <w:t xml:space="preserve"> </w:t>
      </w:r>
      <w:r w:rsidR="00581CF7" w:rsidRPr="00382917">
        <w:t>house,</w:t>
      </w:r>
      <w:r w:rsidR="00EE4FC3">
        <w:t xml:space="preserve"> </w:t>
      </w:r>
      <w:r w:rsidR="00581CF7" w:rsidRPr="00382917">
        <w:t>I</w:t>
      </w:r>
      <w:r w:rsidR="00EE4FC3">
        <w:t xml:space="preserve"> </w:t>
      </w:r>
      <w:r w:rsidR="00581CF7" w:rsidRPr="00382917">
        <w:t>thought</w:t>
      </w:r>
      <w:r w:rsidR="00EE4FC3">
        <w:t xml:space="preserve"> </w:t>
      </w:r>
      <w:r w:rsidR="00581CF7" w:rsidRPr="00382917">
        <w:t>to</w:t>
      </w:r>
      <w:r w:rsidR="00EE4FC3">
        <w:t xml:space="preserve"> </w:t>
      </w:r>
      <w:r w:rsidR="00581CF7" w:rsidRPr="00382917">
        <w:t>myself,</w:t>
      </w:r>
      <w:r w:rsidR="00EE4FC3">
        <w:t xml:space="preserve"> </w:t>
      </w:r>
      <w:r w:rsidR="00581CF7" w:rsidRPr="00382917">
        <w:t>enable</w:t>
      </w:r>
      <w:r w:rsidR="00EE4FC3">
        <w:t xml:space="preserve"> </w:t>
      </w:r>
      <w:r w:rsidR="00581CF7" w:rsidRPr="00382917">
        <w:t>me</w:t>
      </w:r>
      <w:r w:rsidR="00EE4FC3">
        <w:t xml:space="preserve"> </w:t>
      </w:r>
      <w:r w:rsidR="00581CF7" w:rsidRPr="00382917">
        <w:t>to</w:t>
      </w:r>
      <w:r w:rsidR="00EE4FC3">
        <w:t xml:space="preserve"> </w:t>
      </w:r>
      <w:r w:rsidR="00581CF7" w:rsidRPr="00382917">
        <w:t>draw</w:t>
      </w:r>
      <w:r w:rsidR="00EE4FC3">
        <w:t xml:space="preserve"> </w:t>
      </w:r>
      <w:r w:rsidR="00581CF7" w:rsidRPr="00382917">
        <w:t>nearer</w:t>
      </w:r>
      <w:r w:rsidR="00EE4FC3">
        <w:t xml:space="preserve"> </w:t>
      </w:r>
      <w:r w:rsidR="00581CF7" w:rsidRPr="00382917">
        <w:t>to</w:t>
      </w:r>
      <w:r w:rsidR="00EE4FC3">
        <w:t xml:space="preserve"> </w:t>
      </w:r>
      <w:r w:rsidR="00581CF7" w:rsidRPr="00382917">
        <w:t>the</w:t>
      </w:r>
      <w:r w:rsidR="00EE4FC3">
        <w:t xml:space="preserve"> </w:t>
      </w:r>
      <w:r w:rsidR="00581CF7" w:rsidRPr="00382917">
        <w:t>Object</w:t>
      </w:r>
      <w:r w:rsidR="00EE4FC3">
        <w:t xml:space="preserve"> </w:t>
      </w:r>
      <w:r w:rsidR="00581CF7" w:rsidRPr="00382917">
        <w:t>of</w:t>
      </w:r>
      <w:r w:rsidR="00EE4FC3">
        <w:t xml:space="preserve"> </w:t>
      </w:r>
      <w:r w:rsidR="00581CF7" w:rsidRPr="00382917">
        <w:t>my</w:t>
      </w:r>
      <w:r w:rsidR="00EE4FC3">
        <w:t xml:space="preserve"> </w:t>
      </w:r>
      <w:r w:rsidR="00581CF7" w:rsidRPr="00382917">
        <w:t>quest?</w:t>
      </w:r>
    </w:p>
    <w:p w:rsidR="00581CF7" w:rsidRPr="00382917" w:rsidRDefault="009C713D" w:rsidP="006D18A4">
      <w:pPr>
        <w:pStyle w:val="Text"/>
      </w:pPr>
      <w:r w:rsidRPr="00382917">
        <w:t>“</w:t>
      </w:r>
      <w:r w:rsidR="00581CF7" w:rsidRPr="00382917">
        <w:t>A</w:t>
      </w:r>
      <w:r w:rsidR="00EE4FC3">
        <w:t xml:space="preserve"> </w:t>
      </w:r>
      <w:r w:rsidR="00581CF7" w:rsidRPr="00382917">
        <w:t>feeling</w:t>
      </w:r>
      <w:r w:rsidR="00EE4FC3">
        <w:t xml:space="preserve"> </w:t>
      </w:r>
      <w:r w:rsidR="00581CF7" w:rsidRPr="00382917">
        <w:t>of</w:t>
      </w:r>
      <w:r w:rsidR="00EE4FC3">
        <w:t xml:space="preserve"> </w:t>
      </w:r>
      <w:r w:rsidR="00581CF7" w:rsidRPr="00382917">
        <w:t>unutterable</w:t>
      </w:r>
      <w:r w:rsidR="00EE4FC3">
        <w:t xml:space="preserve"> </w:t>
      </w:r>
      <w:r w:rsidR="00581CF7" w:rsidRPr="00382917">
        <w:t>joy</w:t>
      </w:r>
      <w:r w:rsidR="00EE4FC3">
        <w:t xml:space="preserve"> </w:t>
      </w:r>
      <w:r w:rsidR="00581CF7" w:rsidRPr="00382917">
        <w:t>invaded</w:t>
      </w:r>
      <w:r w:rsidR="00EE4FC3">
        <w:t xml:space="preserve"> </w:t>
      </w:r>
      <w:r w:rsidR="00581CF7" w:rsidRPr="00382917">
        <w:t>my</w:t>
      </w:r>
      <w:r w:rsidR="00EE4FC3">
        <w:t xml:space="preserve"> </w:t>
      </w:r>
      <w:r w:rsidR="00581CF7" w:rsidRPr="00382917">
        <w:t>being.</w:t>
      </w:r>
      <w:r w:rsidR="00EE4FC3">
        <w:t xml:space="preserve">  </w:t>
      </w:r>
      <w:r w:rsidR="00581CF7" w:rsidRPr="00382917">
        <w:t>During</w:t>
      </w:r>
      <w:r w:rsidR="00EE4FC3">
        <w:t xml:space="preserve"> </w:t>
      </w:r>
      <w:r w:rsidR="00581CF7" w:rsidRPr="00382917">
        <w:t>the</w:t>
      </w:r>
      <w:r w:rsidR="00EE4FC3">
        <w:t xml:space="preserve"> </w:t>
      </w:r>
      <w:r w:rsidR="00581CF7" w:rsidRPr="00382917">
        <w:t>hour</w:t>
      </w:r>
      <w:r w:rsidR="00EE4FC3">
        <w:t xml:space="preserve"> </w:t>
      </w:r>
      <w:r w:rsidR="00581CF7" w:rsidRPr="00382917">
        <w:t>for</w:t>
      </w:r>
      <w:r w:rsidR="00EE4FC3">
        <w:t xml:space="preserve"> </w:t>
      </w:r>
      <w:r w:rsidR="00581CF7" w:rsidRPr="00382917">
        <w:t>prayer,</w:t>
      </w:r>
      <w:r w:rsidR="00EE4FC3">
        <w:t xml:space="preserve"> </w:t>
      </w:r>
      <w:r w:rsidR="00581CF7" w:rsidRPr="00382917">
        <w:t>I</w:t>
      </w:r>
      <w:r w:rsidR="00EE4FC3">
        <w:t xml:space="preserve"> </w:t>
      </w:r>
      <w:r w:rsidR="00581CF7" w:rsidRPr="00382917">
        <w:t>unburdened</w:t>
      </w:r>
      <w:r w:rsidR="00EE4FC3">
        <w:t xml:space="preserve"> </w:t>
      </w:r>
      <w:r w:rsidR="00581CF7" w:rsidRPr="00382917">
        <w:t>my</w:t>
      </w:r>
      <w:r w:rsidR="00EE4FC3">
        <w:t xml:space="preserve"> </w:t>
      </w:r>
      <w:r w:rsidR="00581CF7" w:rsidRPr="00382917">
        <w:t>heart:</w:t>
      </w:r>
      <w:r w:rsidR="00EE4FC3">
        <w:t xml:space="preserve">  </w:t>
      </w:r>
      <w:r w:rsidRPr="00382917">
        <w:t>‘</w:t>
      </w:r>
      <w:r w:rsidR="00581CF7" w:rsidRPr="00382917">
        <w:t>O</w:t>
      </w:r>
      <w:r w:rsidR="00EE4FC3">
        <w:t xml:space="preserve"> </w:t>
      </w:r>
      <w:r w:rsidR="00581CF7" w:rsidRPr="00382917">
        <w:t>my</w:t>
      </w:r>
      <w:r w:rsidR="00EE4FC3">
        <w:t xml:space="preserve"> </w:t>
      </w:r>
      <w:r w:rsidR="00581CF7" w:rsidRPr="00382917">
        <w:t>God!</w:t>
      </w:r>
      <w:r w:rsidR="00EE4FC3">
        <w:t xml:space="preserve">  </w:t>
      </w:r>
      <w:r w:rsidR="00581CF7" w:rsidRPr="00382917">
        <w:t>I</w:t>
      </w:r>
      <w:r w:rsidR="00EE4FC3">
        <w:t xml:space="preserve"> </w:t>
      </w:r>
      <w:r w:rsidR="00581CF7" w:rsidRPr="00382917">
        <w:t>have</w:t>
      </w:r>
      <w:r w:rsidR="00EE4FC3">
        <w:t xml:space="preserve"> </w:t>
      </w:r>
      <w:r w:rsidR="00581CF7" w:rsidRPr="00382917">
        <w:t>striven</w:t>
      </w:r>
      <w:r w:rsidR="00EE4FC3">
        <w:t xml:space="preserve"> </w:t>
      </w:r>
      <w:r w:rsidR="00581CF7" w:rsidRPr="00382917">
        <w:t>with</w:t>
      </w:r>
      <w:r w:rsidR="00EE4FC3">
        <w:t xml:space="preserve"> </w:t>
      </w:r>
      <w:r w:rsidR="00581CF7" w:rsidRPr="00382917">
        <w:t>all</w:t>
      </w:r>
      <w:r w:rsidR="00EE4FC3">
        <w:t xml:space="preserve"> </w:t>
      </w:r>
      <w:r w:rsidR="00581CF7" w:rsidRPr="00382917">
        <w:t>my</w:t>
      </w:r>
      <w:r w:rsidR="00EE4FC3">
        <w:t xml:space="preserve"> </w:t>
      </w:r>
      <w:r w:rsidR="00581CF7" w:rsidRPr="00382917">
        <w:t>soul,</w:t>
      </w:r>
      <w:r w:rsidR="00EE4FC3">
        <w:t xml:space="preserve"> </w:t>
      </w:r>
      <w:r w:rsidR="00581CF7" w:rsidRPr="00382917">
        <w:t>and</w:t>
      </w:r>
      <w:r w:rsidR="00EE4FC3">
        <w:t xml:space="preserve"> </w:t>
      </w:r>
      <w:r w:rsidR="00581CF7" w:rsidRPr="00382917">
        <w:t>until</w:t>
      </w:r>
      <w:r w:rsidR="00EE4FC3">
        <w:t xml:space="preserve"> </w:t>
      </w:r>
      <w:r w:rsidR="00581CF7" w:rsidRPr="00382917">
        <w:t>now</w:t>
      </w:r>
      <w:r w:rsidR="00EE4FC3">
        <w:t xml:space="preserve"> </w:t>
      </w:r>
      <w:r w:rsidR="00581CF7" w:rsidRPr="00382917">
        <w:t>have</w:t>
      </w:r>
      <w:r w:rsidR="00EE4FC3">
        <w:t xml:space="preserve"> </w:t>
      </w:r>
      <w:r w:rsidR="00581CF7" w:rsidRPr="00382917">
        <w:t>failed</w:t>
      </w:r>
      <w:r w:rsidR="00EE4FC3">
        <w:t xml:space="preserve"> </w:t>
      </w:r>
      <w:r w:rsidR="00581CF7" w:rsidRPr="00382917">
        <w:t>to</w:t>
      </w:r>
      <w:r w:rsidR="00EE4FC3">
        <w:t xml:space="preserve"> </w:t>
      </w:r>
      <w:r w:rsidR="00581CF7" w:rsidRPr="00382917">
        <w:t>find</w:t>
      </w:r>
      <w:r w:rsidR="00EE4FC3">
        <w:t xml:space="preserve"> </w:t>
      </w:r>
      <w:r w:rsidR="00581CF7" w:rsidRPr="00382917">
        <w:t>Thy</w:t>
      </w:r>
      <w:r w:rsidR="00EE4FC3">
        <w:t xml:space="preserve"> </w:t>
      </w:r>
      <w:r w:rsidR="00581CF7" w:rsidRPr="00382917">
        <w:t>promised</w:t>
      </w:r>
      <w:r w:rsidR="00EE4FC3">
        <w:t xml:space="preserve"> </w:t>
      </w:r>
      <w:r w:rsidR="00581CF7" w:rsidRPr="00382917">
        <w:t>Messenger.</w:t>
      </w:r>
      <w:r w:rsidR="00EE4FC3">
        <w:t xml:space="preserve">  </w:t>
      </w:r>
      <w:r w:rsidR="00581CF7" w:rsidRPr="00382917">
        <w:t>I</w:t>
      </w:r>
      <w:r w:rsidR="00EE4FC3">
        <w:t xml:space="preserve"> </w:t>
      </w:r>
      <w:r w:rsidR="00581CF7" w:rsidRPr="00382917">
        <w:t>testify</w:t>
      </w:r>
      <w:r w:rsidR="00EE4FC3">
        <w:t xml:space="preserve"> </w:t>
      </w:r>
      <w:r w:rsidR="00581CF7" w:rsidRPr="00382917">
        <w:t>that</w:t>
      </w:r>
      <w:r w:rsidR="00EE4FC3">
        <w:t xml:space="preserve"> </w:t>
      </w:r>
      <w:r w:rsidR="00581CF7" w:rsidRPr="00382917">
        <w:t>Thy</w:t>
      </w:r>
      <w:r w:rsidR="00EE4FC3">
        <w:t xml:space="preserve"> </w:t>
      </w:r>
      <w:r w:rsidR="00581CF7" w:rsidRPr="00382917">
        <w:t>word</w:t>
      </w:r>
      <w:r w:rsidR="00EE4FC3">
        <w:t xml:space="preserve"> </w:t>
      </w:r>
      <w:proofErr w:type="spellStart"/>
      <w:r w:rsidR="00581CF7" w:rsidRPr="00382917">
        <w:t>faileth</w:t>
      </w:r>
      <w:proofErr w:type="spellEnd"/>
      <w:r w:rsidR="00EE4FC3">
        <w:t xml:space="preserve"> </w:t>
      </w:r>
      <w:r w:rsidR="00581CF7" w:rsidRPr="00382917">
        <w:t>not,</w:t>
      </w:r>
      <w:r w:rsidR="00EE4FC3">
        <w:t xml:space="preserve"> </w:t>
      </w:r>
      <w:r w:rsidR="00581CF7" w:rsidRPr="00382917">
        <w:t>and</w:t>
      </w:r>
      <w:r w:rsidR="00EE4FC3">
        <w:t xml:space="preserve"> </w:t>
      </w:r>
      <w:r w:rsidR="00581CF7" w:rsidRPr="00382917">
        <w:t>that</w:t>
      </w:r>
      <w:r w:rsidR="00EE4FC3">
        <w:t xml:space="preserve"> </w:t>
      </w:r>
      <w:r w:rsidR="00581CF7" w:rsidRPr="00382917">
        <w:t>Thy</w:t>
      </w:r>
      <w:r w:rsidR="00EE4FC3">
        <w:t xml:space="preserve"> </w:t>
      </w:r>
      <w:r w:rsidR="00581CF7" w:rsidRPr="00382917">
        <w:t>promise</w:t>
      </w:r>
      <w:r w:rsidR="00EE4FC3">
        <w:t xml:space="preserve"> </w:t>
      </w:r>
      <w:r w:rsidR="00581CF7" w:rsidRPr="00382917">
        <w:t>is</w:t>
      </w:r>
      <w:r w:rsidR="00EE4FC3">
        <w:t xml:space="preserve"> </w:t>
      </w:r>
      <w:r w:rsidR="00581CF7" w:rsidRPr="00382917">
        <w:t>sure!</w:t>
      </w:r>
      <w:r w:rsidRPr="00382917">
        <w:t>’</w:t>
      </w:r>
    </w:p>
    <w:p w:rsidR="00581CF7" w:rsidRPr="00382917" w:rsidRDefault="009C713D" w:rsidP="006D18A4">
      <w:pPr>
        <w:pStyle w:val="Text"/>
      </w:pPr>
      <w:r w:rsidRPr="00382917">
        <w:t>“</w:t>
      </w:r>
      <w:r w:rsidR="00581CF7" w:rsidRPr="00382917">
        <w:t>It</w:t>
      </w:r>
      <w:r w:rsidR="00EE4FC3">
        <w:t xml:space="preserve"> </w:t>
      </w:r>
      <w:r w:rsidR="00581CF7" w:rsidRPr="00382917">
        <w:t>was</w:t>
      </w:r>
      <w:r w:rsidR="00EE4FC3">
        <w:t xml:space="preserve"> </w:t>
      </w:r>
      <w:r w:rsidR="00581CF7" w:rsidRPr="00382917">
        <w:t>about</w:t>
      </w:r>
      <w:r w:rsidR="00EE4FC3">
        <w:t xml:space="preserve"> </w:t>
      </w:r>
      <w:r w:rsidR="00581CF7" w:rsidRPr="00382917">
        <w:t>an</w:t>
      </w:r>
      <w:r w:rsidR="00EE4FC3">
        <w:t xml:space="preserve"> </w:t>
      </w:r>
      <w:r w:rsidR="00581CF7" w:rsidRPr="00382917">
        <w:t>hour</w:t>
      </w:r>
      <w:r w:rsidR="00EE4FC3">
        <w:t xml:space="preserve"> </w:t>
      </w:r>
      <w:r w:rsidR="00581CF7" w:rsidRPr="00382917">
        <w:t>after</w:t>
      </w:r>
      <w:r w:rsidR="00EE4FC3">
        <w:t xml:space="preserve"> </w:t>
      </w:r>
      <w:r w:rsidR="00581CF7" w:rsidRPr="00382917">
        <w:t>sunset</w:t>
      </w:r>
      <w:r w:rsidR="00EE4FC3">
        <w:t xml:space="preserve"> </w:t>
      </w:r>
      <w:r w:rsidR="00581CF7" w:rsidRPr="00382917">
        <w:t>when</w:t>
      </w:r>
      <w:r w:rsidR="00EE4FC3">
        <w:t xml:space="preserve"> </w:t>
      </w:r>
      <w:r w:rsidR="00581CF7" w:rsidRPr="00382917">
        <w:t>my</w:t>
      </w:r>
      <w:r w:rsidR="00EE4FC3">
        <w:t xml:space="preserve"> </w:t>
      </w:r>
      <w:r w:rsidR="00581CF7" w:rsidRPr="00382917">
        <w:t>youthful</w:t>
      </w:r>
      <w:r w:rsidR="00EE4FC3">
        <w:t xml:space="preserve"> </w:t>
      </w:r>
      <w:r w:rsidR="00581CF7" w:rsidRPr="00382917">
        <w:t>Host</w:t>
      </w:r>
      <w:r w:rsidR="00EE4FC3">
        <w:t xml:space="preserve"> </w:t>
      </w:r>
      <w:r w:rsidR="00581CF7" w:rsidRPr="00382917">
        <w:t>began</w:t>
      </w:r>
      <w:r w:rsidR="00EE4FC3">
        <w:t xml:space="preserve"> </w:t>
      </w:r>
      <w:r w:rsidR="00581CF7" w:rsidRPr="00382917">
        <w:t>to</w:t>
      </w:r>
      <w:r w:rsidR="00EE4FC3">
        <w:t xml:space="preserve"> </w:t>
      </w:r>
      <w:r w:rsidR="00581CF7" w:rsidRPr="00382917">
        <w:t>converse</w:t>
      </w:r>
      <w:r w:rsidR="00EE4FC3">
        <w:t xml:space="preserve"> </w:t>
      </w:r>
      <w:r w:rsidR="00581CF7" w:rsidRPr="00382917">
        <w:t>with</w:t>
      </w:r>
      <w:r w:rsidR="00EE4FC3">
        <w:t xml:space="preserve"> </w:t>
      </w:r>
      <w:r w:rsidR="00581CF7" w:rsidRPr="00382917">
        <w:t>me.</w:t>
      </w:r>
      <w:r w:rsidR="00EE4FC3">
        <w:t xml:space="preserve">  </w:t>
      </w:r>
      <w:r w:rsidRPr="00382917">
        <w:t>‘</w:t>
      </w:r>
      <w:r w:rsidR="00581CF7" w:rsidRPr="00382917">
        <w:t>Whom,</w:t>
      </w:r>
      <w:r w:rsidR="00EE4FC3">
        <w:t xml:space="preserve"> </w:t>
      </w:r>
      <w:r w:rsidR="00581CF7" w:rsidRPr="00382917">
        <w:t>after</w:t>
      </w:r>
      <w:r w:rsidR="00EE4FC3">
        <w:t xml:space="preserve"> </w:t>
      </w:r>
      <w:r w:rsidR="00581CF7" w:rsidRPr="00382917">
        <w:t>Siyyid</w:t>
      </w:r>
      <w:r w:rsidR="00EE4FC3">
        <w:t xml:space="preserve"> </w:t>
      </w:r>
      <w:r w:rsidR="00581CF7" w:rsidRPr="00382917">
        <w:t>Káẓim,</w:t>
      </w:r>
      <w:r w:rsidR="00EE4FC3">
        <w:t xml:space="preserve"> </w:t>
      </w:r>
      <w:r w:rsidR="00581CF7" w:rsidRPr="00382917">
        <w:t>do</w:t>
      </w:r>
      <w:r w:rsidR="00EE4FC3">
        <w:t xml:space="preserve"> </w:t>
      </w:r>
      <w:r w:rsidR="00581CF7" w:rsidRPr="00382917">
        <w:t>you</w:t>
      </w:r>
      <w:r w:rsidR="00EE4FC3">
        <w:t xml:space="preserve"> </w:t>
      </w:r>
      <w:r w:rsidR="00581CF7" w:rsidRPr="00382917">
        <w:t>regard</w:t>
      </w:r>
      <w:r w:rsidR="00EE4FC3">
        <w:t xml:space="preserve"> </w:t>
      </w:r>
      <w:r w:rsidR="00581CF7" w:rsidRPr="00382917">
        <w:t>as</w:t>
      </w:r>
      <w:r w:rsidR="00EE4FC3">
        <w:t xml:space="preserve"> </w:t>
      </w:r>
      <w:r w:rsidR="00581CF7" w:rsidRPr="00382917">
        <w:t>your</w:t>
      </w:r>
      <w:r w:rsidR="00EE4FC3">
        <w:t xml:space="preserve"> </w:t>
      </w:r>
      <w:r w:rsidR="00581CF7" w:rsidRPr="00382917">
        <w:t>leader?</w:t>
      </w:r>
      <w:r w:rsidRPr="00382917">
        <w:t>’</w:t>
      </w:r>
    </w:p>
    <w:p w:rsidR="00581CF7" w:rsidRPr="00382917" w:rsidRDefault="009C713D" w:rsidP="009C713D">
      <w:pPr>
        <w:pStyle w:val="Text"/>
      </w:pPr>
      <w:r w:rsidRPr="00382917">
        <w:t>“</w:t>
      </w:r>
      <w:r w:rsidR="00581CF7" w:rsidRPr="00382917">
        <w:t>I</w:t>
      </w:r>
      <w:r w:rsidR="00EE4FC3">
        <w:t xml:space="preserve"> </w:t>
      </w:r>
      <w:r w:rsidR="00581CF7" w:rsidRPr="00382917">
        <w:t>answered</w:t>
      </w:r>
      <w:r w:rsidR="00EE4FC3">
        <w:t xml:space="preserve"> </w:t>
      </w:r>
      <w:r w:rsidR="00581CF7" w:rsidRPr="00382917">
        <w:t>Him:</w:t>
      </w:r>
      <w:r w:rsidR="00EE4FC3">
        <w:t xml:space="preserve">  </w:t>
      </w:r>
      <w:r w:rsidRPr="00382917">
        <w:t>‘</w:t>
      </w:r>
      <w:r w:rsidR="00581CF7" w:rsidRPr="00382917">
        <w:t>At</w:t>
      </w:r>
      <w:r w:rsidR="00EE4FC3">
        <w:t xml:space="preserve"> </w:t>
      </w:r>
      <w:r w:rsidR="00581CF7" w:rsidRPr="00382917">
        <w:t>the</w:t>
      </w:r>
      <w:r w:rsidR="00EE4FC3">
        <w:t xml:space="preserve"> </w:t>
      </w:r>
      <w:r w:rsidR="00581CF7" w:rsidRPr="00382917">
        <w:t>hour</w:t>
      </w:r>
      <w:r w:rsidR="00EE4FC3">
        <w:t xml:space="preserve"> </w:t>
      </w:r>
      <w:r w:rsidR="00581CF7" w:rsidRPr="00382917">
        <w:t>of</w:t>
      </w:r>
      <w:r w:rsidR="00EE4FC3">
        <w:t xml:space="preserve"> </w:t>
      </w:r>
      <w:r w:rsidR="00581CF7" w:rsidRPr="00382917">
        <w:t>his</w:t>
      </w:r>
      <w:r w:rsidR="00EE4FC3">
        <w:t xml:space="preserve"> </w:t>
      </w:r>
      <w:r w:rsidR="00581CF7" w:rsidRPr="00382917">
        <w:t>death,</w:t>
      </w:r>
      <w:r w:rsidR="00EE4FC3">
        <w:t xml:space="preserve"> </w:t>
      </w:r>
      <w:r w:rsidR="00581CF7" w:rsidRPr="00382917">
        <w:t>Siyyid</w:t>
      </w:r>
      <w:r w:rsidR="00EE4FC3">
        <w:t xml:space="preserve"> </w:t>
      </w:r>
      <w:r w:rsidR="00581CF7" w:rsidRPr="00382917">
        <w:t>Ká</w:t>
      </w:r>
      <w:r w:rsidRPr="00382917">
        <w:t>ẓ</w:t>
      </w:r>
      <w:r w:rsidR="00581CF7" w:rsidRPr="00382917">
        <w:t>im</w:t>
      </w:r>
      <w:r w:rsidR="00EE4FC3">
        <w:t xml:space="preserve"> </w:t>
      </w:r>
      <w:r w:rsidR="00581CF7" w:rsidRPr="00382917">
        <w:t>exhorted</w:t>
      </w:r>
      <w:r w:rsidR="00EE4FC3">
        <w:t xml:space="preserve"> </w:t>
      </w:r>
      <w:r w:rsidR="00581CF7" w:rsidRPr="00382917">
        <w:t>each</w:t>
      </w:r>
      <w:r w:rsidR="00EE4FC3">
        <w:t xml:space="preserve"> </w:t>
      </w:r>
      <w:r w:rsidR="00581CF7" w:rsidRPr="00382917">
        <w:t>of</w:t>
      </w:r>
      <w:r w:rsidR="00EE4FC3">
        <w:t xml:space="preserve"> </w:t>
      </w:r>
      <w:r w:rsidR="00581CF7" w:rsidRPr="00382917">
        <w:t>us</w:t>
      </w:r>
      <w:r w:rsidR="00EE4FC3">
        <w:t xml:space="preserve"> </w:t>
      </w:r>
      <w:r w:rsidR="00581CF7" w:rsidRPr="00382917">
        <w:t>to</w:t>
      </w:r>
      <w:r w:rsidR="00EE4FC3">
        <w:t xml:space="preserve"> </w:t>
      </w:r>
      <w:r w:rsidR="00581CF7" w:rsidRPr="00382917">
        <w:t>forsake</w:t>
      </w:r>
      <w:r w:rsidR="00EE4FC3">
        <w:t xml:space="preserve"> </w:t>
      </w:r>
      <w:r w:rsidR="00581CF7" w:rsidRPr="00382917">
        <w:t>our</w:t>
      </w:r>
      <w:r w:rsidR="00EE4FC3">
        <w:t xml:space="preserve"> </w:t>
      </w:r>
      <w:r w:rsidR="00581CF7" w:rsidRPr="00382917">
        <w:t>homes,</w:t>
      </w:r>
      <w:r w:rsidR="00EE4FC3">
        <w:t xml:space="preserve"> </w:t>
      </w:r>
      <w:r w:rsidR="00581CF7" w:rsidRPr="00382917">
        <w:t>to</w:t>
      </w:r>
      <w:r w:rsidR="00EE4FC3">
        <w:t xml:space="preserve"> </w:t>
      </w:r>
      <w:r w:rsidR="00581CF7" w:rsidRPr="00382917">
        <w:t>scatter</w:t>
      </w:r>
      <w:r w:rsidR="00EE4FC3">
        <w:t xml:space="preserve"> </w:t>
      </w:r>
      <w:r w:rsidR="00581CF7" w:rsidRPr="00382917">
        <w:t>far</w:t>
      </w:r>
      <w:r w:rsidR="00EE4FC3">
        <w:t xml:space="preserve"> </w:t>
      </w:r>
      <w:r w:rsidR="00581CF7" w:rsidRPr="00382917">
        <w:t>and</w:t>
      </w:r>
      <w:r w:rsidR="00EE4FC3">
        <w:t xml:space="preserve"> </w:t>
      </w:r>
      <w:r w:rsidR="00581CF7" w:rsidRPr="00382917">
        <w:t>wide</w:t>
      </w:r>
      <w:r w:rsidR="00EE4FC3">
        <w:t xml:space="preserve"> </w:t>
      </w:r>
      <w:r w:rsidR="00581CF7" w:rsidRPr="00382917">
        <w:t>in</w:t>
      </w:r>
      <w:r w:rsidR="00EE4FC3">
        <w:t xml:space="preserve"> </w:t>
      </w:r>
      <w:r w:rsidR="00581CF7" w:rsidRPr="00382917">
        <w:t>quest</w:t>
      </w:r>
      <w:r w:rsidR="00EE4FC3">
        <w:t xml:space="preserve"> </w:t>
      </w:r>
      <w:r w:rsidR="00581CF7" w:rsidRPr="00382917">
        <w:t>of</w:t>
      </w:r>
      <w:r w:rsidR="00EE4FC3">
        <w:t xml:space="preserve"> </w:t>
      </w:r>
      <w:r w:rsidR="00581CF7" w:rsidRPr="00382917">
        <w:t>the</w:t>
      </w:r>
      <w:r w:rsidR="00EE4FC3">
        <w:t xml:space="preserve"> </w:t>
      </w:r>
      <w:r w:rsidR="00581CF7" w:rsidRPr="00382917">
        <w:t>promised</w:t>
      </w:r>
      <w:r w:rsidR="00EE4FC3">
        <w:t xml:space="preserve"> </w:t>
      </w:r>
      <w:r w:rsidR="00581CF7" w:rsidRPr="00382917">
        <w:t>Beloved.</w:t>
      </w:r>
      <w:r w:rsidR="00EE4FC3">
        <w:t xml:space="preserve">  </w:t>
      </w:r>
      <w:r w:rsidR="00581CF7" w:rsidRPr="00382917">
        <w:t>I</w:t>
      </w:r>
      <w:r w:rsidR="00EE4FC3">
        <w:t xml:space="preserve"> </w:t>
      </w:r>
      <w:r w:rsidR="00581CF7" w:rsidRPr="00382917">
        <w:t>have</w:t>
      </w:r>
      <w:r w:rsidR="00EE4FC3">
        <w:t xml:space="preserve"> </w:t>
      </w:r>
      <w:r w:rsidR="00581CF7" w:rsidRPr="00382917">
        <w:t>journeyed</w:t>
      </w:r>
      <w:r w:rsidR="00EE4FC3">
        <w:t xml:space="preserve"> </w:t>
      </w:r>
      <w:r w:rsidR="00581CF7" w:rsidRPr="00382917">
        <w:t>to</w:t>
      </w:r>
      <w:r w:rsidR="00EE4FC3">
        <w:t xml:space="preserve"> </w:t>
      </w:r>
      <w:r w:rsidR="00581CF7" w:rsidRPr="00382917">
        <w:t>Persia,</w:t>
      </w:r>
      <w:r w:rsidR="00EE4FC3">
        <w:t xml:space="preserve"> </w:t>
      </w:r>
      <w:r w:rsidR="00581CF7" w:rsidRPr="00382917">
        <w:t>and</w:t>
      </w:r>
      <w:r w:rsidR="00EE4FC3">
        <w:t xml:space="preserve"> </w:t>
      </w:r>
      <w:r w:rsidR="00581CF7" w:rsidRPr="00382917">
        <w:t>am</w:t>
      </w:r>
      <w:r w:rsidR="00EE4FC3">
        <w:t xml:space="preserve"> </w:t>
      </w:r>
      <w:r w:rsidR="00581CF7" w:rsidRPr="00382917">
        <w:t>still</w:t>
      </w:r>
      <w:r w:rsidR="00EE4FC3">
        <w:t xml:space="preserve"> </w:t>
      </w:r>
      <w:r w:rsidR="00581CF7" w:rsidRPr="00382917">
        <w:t>engaged</w:t>
      </w:r>
      <w:r w:rsidR="00EE4FC3">
        <w:t xml:space="preserve"> </w:t>
      </w:r>
      <w:r w:rsidR="00581CF7" w:rsidRPr="00382917">
        <w:t>in</w:t>
      </w:r>
      <w:r w:rsidR="00EE4FC3">
        <w:t xml:space="preserve"> </w:t>
      </w:r>
      <w:r w:rsidR="00581CF7" w:rsidRPr="00382917">
        <w:t>my</w:t>
      </w:r>
      <w:r w:rsidR="00EE4FC3">
        <w:t xml:space="preserve"> </w:t>
      </w:r>
      <w:r w:rsidR="00581CF7" w:rsidRPr="00382917">
        <w:t>quest.</w:t>
      </w:r>
      <w:r w:rsidRPr="00382917">
        <w:t>’</w:t>
      </w:r>
    </w:p>
    <w:p w:rsidR="00581CF7" w:rsidRPr="00382917" w:rsidRDefault="009C713D" w:rsidP="006D18A4">
      <w:pPr>
        <w:pStyle w:val="Text"/>
      </w:pPr>
      <w:r w:rsidRPr="00382917">
        <w:t>“‘</w:t>
      </w:r>
      <w:r w:rsidR="00581CF7" w:rsidRPr="00382917">
        <w:t>Has</w:t>
      </w:r>
      <w:r w:rsidR="00EE4FC3">
        <w:t xml:space="preserve"> </w:t>
      </w:r>
      <w:r w:rsidR="00581CF7" w:rsidRPr="00382917">
        <w:t>your</w:t>
      </w:r>
      <w:r w:rsidR="00EE4FC3">
        <w:t xml:space="preserve"> </w:t>
      </w:r>
      <w:r w:rsidR="00581CF7" w:rsidRPr="00382917">
        <w:t>teacher</w:t>
      </w:r>
      <w:r w:rsidR="00EE4FC3">
        <w:t xml:space="preserve"> </w:t>
      </w:r>
      <w:r w:rsidR="00581CF7" w:rsidRPr="00382917">
        <w:t>given</w:t>
      </w:r>
      <w:r w:rsidR="00EE4FC3">
        <w:t xml:space="preserve"> </w:t>
      </w:r>
      <w:r w:rsidR="00581CF7" w:rsidRPr="00382917">
        <w:t>you</w:t>
      </w:r>
      <w:r w:rsidR="00EE4FC3">
        <w:t xml:space="preserve"> </w:t>
      </w:r>
      <w:r w:rsidR="00581CF7" w:rsidRPr="00382917">
        <w:t>any</w:t>
      </w:r>
      <w:r w:rsidR="00EE4FC3">
        <w:t xml:space="preserve"> </w:t>
      </w:r>
      <w:r w:rsidR="00581CF7" w:rsidRPr="00382917">
        <w:t>detailed</w:t>
      </w:r>
      <w:r w:rsidR="00EE4FC3">
        <w:t xml:space="preserve"> </w:t>
      </w:r>
      <w:r w:rsidR="00581CF7" w:rsidRPr="00382917">
        <w:t>indications</w:t>
      </w:r>
      <w:r w:rsidR="00EE4FC3">
        <w:t xml:space="preserve"> </w:t>
      </w:r>
      <w:r w:rsidR="00581CF7" w:rsidRPr="00382917">
        <w:t>as</w:t>
      </w:r>
      <w:r w:rsidR="00EE4FC3">
        <w:t xml:space="preserve"> </w:t>
      </w:r>
      <w:r w:rsidR="00581CF7" w:rsidRPr="00382917">
        <w:t>to</w:t>
      </w:r>
      <w:r w:rsidR="00EE4FC3">
        <w:t xml:space="preserve"> </w:t>
      </w:r>
      <w:r w:rsidR="00581CF7" w:rsidRPr="00382917">
        <w:t>the</w:t>
      </w:r>
      <w:r w:rsidR="00EE4FC3">
        <w:t xml:space="preserve"> </w:t>
      </w:r>
      <w:r w:rsidR="00581CF7" w:rsidRPr="00382917">
        <w:t>distinguishing</w:t>
      </w:r>
      <w:r w:rsidR="00EE4FC3">
        <w:t xml:space="preserve"> </w:t>
      </w:r>
      <w:r w:rsidR="00581CF7" w:rsidRPr="00382917">
        <w:t>features</w:t>
      </w:r>
      <w:r w:rsidR="00EE4FC3">
        <w:t xml:space="preserve"> </w:t>
      </w:r>
      <w:r w:rsidR="00581CF7" w:rsidRPr="00382917">
        <w:t>of</w:t>
      </w:r>
      <w:r w:rsidR="00EE4FC3">
        <w:t xml:space="preserve"> </w:t>
      </w:r>
      <w:r w:rsidR="00581CF7" w:rsidRPr="00382917">
        <w:t>the</w:t>
      </w:r>
      <w:r w:rsidR="00EE4FC3">
        <w:t xml:space="preserve"> </w:t>
      </w:r>
      <w:r w:rsidR="00581CF7" w:rsidRPr="00382917">
        <w:t>Promised</w:t>
      </w:r>
      <w:r w:rsidR="00EE4FC3">
        <w:t xml:space="preserve"> </w:t>
      </w:r>
      <w:r w:rsidR="00581CF7" w:rsidRPr="00382917">
        <w:t>One?</w:t>
      </w:r>
      <w:r w:rsidRPr="00382917">
        <w:t>’</w:t>
      </w:r>
    </w:p>
    <w:p w:rsidR="00581CF7" w:rsidRPr="00382917" w:rsidRDefault="009C713D" w:rsidP="006D18A4">
      <w:pPr>
        <w:pStyle w:val="Text"/>
      </w:pPr>
      <w:r w:rsidRPr="00382917">
        <w:t>“</w:t>
      </w:r>
      <w:r w:rsidR="00581CF7" w:rsidRPr="00382917">
        <w:t>I</w:t>
      </w:r>
      <w:r w:rsidR="00EE4FC3">
        <w:t xml:space="preserve"> </w:t>
      </w:r>
      <w:r w:rsidR="00581CF7" w:rsidRPr="00382917">
        <w:t>enumerated</w:t>
      </w:r>
      <w:r w:rsidR="00EE4FC3">
        <w:t xml:space="preserve"> </w:t>
      </w:r>
      <w:r w:rsidR="00581CF7" w:rsidRPr="00382917">
        <w:t>all</w:t>
      </w:r>
      <w:r w:rsidR="00EE4FC3">
        <w:t xml:space="preserve"> </w:t>
      </w:r>
      <w:r w:rsidR="00581CF7" w:rsidRPr="00382917">
        <w:t>the</w:t>
      </w:r>
      <w:r w:rsidR="00EE4FC3">
        <w:t xml:space="preserve"> </w:t>
      </w:r>
      <w:r w:rsidR="00581CF7" w:rsidRPr="00382917">
        <w:t>things</w:t>
      </w:r>
      <w:r w:rsidR="00EE4FC3">
        <w:t xml:space="preserve"> </w:t>
      </w:r>
      <w:r w:rsidR="00581CF7" w:rsidRPr="00382917">
        <w:t>that</w:t>
      </w:r>
      <w:r w:rsidR="00EE4FC3">
        <w:t xml:space="preserve"> </w:t>
      </w:r>
      <w:r w:rsidR="00581CF7" w:rsidRPr="00382917">
        <w:t>Siyyid</w:t>
      </w:r>
      <w:r w:rsidR="00EE4FC3">
        <w:t xml:space="preserve"> </w:t>
      </w:r>
      <w:r w:rsidR="00581CF7" w:rsidRPr="00382917">
        <w:t>Káẓim</w:t>
      </w:r>
      <w:r w:rsidR="00EE4FC3">
        <w:t xml:space="preserve"> </w:t>
      </w:r>
      <w:r w:rsidR="00581CF7" w:rsidRPr="00382917">
        <w:t>had</w:t>
      </w:r>
      <w:r w:rsidR="00EE4FC3">
        <w:t xml:space="preserve"> </w:t>
      </w:r>
      <w:r w:rsidR="00581CF7" w:rsidRPr="00382917">
        <w:t>told</w:t>
      </w:r>
      <w:r w:rsidR="00EE4FC3">
        <w:t xml:space="preserve"> </w:t>
      </w:r>
      <w:r w:rsidR="00581CF7" w:rsidRPr="00382917">
        <w:t>us</w:t>
      </w:r>
      <w:r w:rsidR="00EE4FC3">
        <w:t xml:space="preserve"> </w:t>
      </w:r>
      <w:r w:rsidR="00581CF7" w:rsidRPr="00382917">
        <w:t>to</w:t>
      </w:r>
      <w:r w:rsidR="00EE4FC3">
        <w:t xml:space="preserve"> </w:t>
      </w:r>
      <w:r w:rsidR="00581CF7" w:rsidRPr="00382917">
        <w:t>look</w:t>
      </w:r>
      <w:r w:rsidR="00EE4FC3">
        <w:t xml:space="preserve"> </w:t>
      </w:r>
      <w:r w:rsidR="00581CF7" w:rsidRPr="00382917">
        <w:t>for</w:t>
      </w:r>
      <w:r w:rsidR="00EE4FC3">
        <w:t xml:space="preserve"> </w:t>
      </w:r>
      <w:r w:rsidR="00581CF7" w:rsidRPr="00382917">
        <w:t>in</w:t>
      </w:r>
      <w:r w:rsidR="00EE4FC3">
        <w:t xml:space="preserve"> </w:t>
      </w:r>
      <w:r w:rsidR="00581CF7" w:rsidRPr="00382917">
        <w:t>that</w:t>
      </w:r>
      <w:r w:rsidR="00EE4FC3">
        <w:t xml:space="preserve"> </w:t>
      </w:r>
      <w:r w:rsidR="00581CF7" w:rsidRPr="00382917">
        <w:t>Beloved</w:t>
      </w:r>
      <w:r w:rsidR="00EE4FC3">
        <w:t xml:space="preserve"> </w:t>
      </w:r>
      <w:r w:rsidR="00581CF7" w:rsidRPr="00382917">
        <w:t>One</w:t>
      </w:r>
      <w:r w:rsidR="00EE4FC3">
        <w:t xml:space="preserve"> </w:t>
      </w:r>
      <w:r w:rsidR="00581CF7" w:rsidRPr="00382917">
        <w:t>of</w:t>
      </w:r>
      <w:r w:rsidR="00EE4FC3">
        <w:t xml:space="preserve"> </w:t>
      </w:r>
      <w:r w:rsidR="00581CF7" w:rsidRPr="00382917">
        <w:t>God.</w:t>
      </w:r>
    </w:p>
    <w:p w:rsidR="00581CF7" w:rsidRPr="00382917" w:rsidRDefault="009C713D" w:rsidP="006D18A4">
      <w:pPr>
        <w:pStyle w:val="Text"/>
      </w:pPr>
      <w:r w:rsidRPr="00382917">
        <w:t>“</w:t>
      </w:r>
      <w:r w:rsidR="00581CF7" w:rsidRPr="00382917">
        <w:t>My</w:t>
      </w:r>
      <w:r w:rsidR="00EE4FC3">
        <w:t xml:space="preserve"> </w:t>
      </w:r>
      <w:r w:rsidR="00581CF7" w:rsidRPr="00382917">
        <w:t>Host-paused</w:t>
      </w:r>
      <w:r w:rsidR="00EE4FC3">
        <w:t xml:space="preserve"> </w:t>
      </w:r>
      <w:r w:rsidR="00581CF7" w:rsidRPr="00382917">
        <w:t>for</w:t>
      </w:r>
      <w:r w:rsidR="00EE4FC3">
        <w:t xml:space="preserve"> </w:t>
      </w:r>
      <w:r w:rsidR="00581CF7" w:rsidRPr="00382917">
        <w:t>some</w:t>
      </w:r>
      <w:r w:rsidR="00EE4FC3">
        <w:t xml:space="preserve"> </w:t>
      </w:r>
      <w:r w:rsidR="00581CF7" w:rsidRPr="00382917">
        <w:t>time,</w:t>
      </w:r>
      <w:r w:rsidR="00EE4FC3">
        <w:t xml:space="preserve"> </w:t>
      </w:r>
      <w:r w:rsidR="00581CF7" w:rsidRPr="00382917">
        <w:t>then</w:t>
      </w:r>
      <w:r w:rsidR="00EE4FC3">
        <w:t xml:space="preserve"> </w:t>
      </w:r>
      <w:r w:rsidR="00581CF7" w:rsidRPr="00382917">
        <w:t>with</w:t>
      </w:r>
      <w:r w:rsidR="00EE4FC3">
        <w:t xml:space="preserve"> </w:t>
      </w:r>
      <w:r w:rsidR="00581CF7" w:rsidRPr="00382917">
        <w:t>a</w:t>
      </w:r>
      <w:r w:rsidR="00EE4FC3">
        <w:t xml:space="preserve"> </w:t>
      </w:r>
      <w:r w:rsidR="00581CF7" w:rsidRPr="00382917">
        <w:t>vibrant</w:t>
      </w:r>
      <w:r w:rsidR="00EE4FC3">
        <w:t xml:space="preserve"> </w:t>
      </w:r>
      <w:r w:rsidR="00581CF7" w:rsidRPr="00382917">
        <w:t>voice</w:t>
      </w:r>
      <w:r w:rsidR="00EE4FC3">
        <w:t xml:space="preserve"> </w:t>
      </w:r>
      <w:r w:rsidR="00581CF7" w:rsidRPr="00382917">
        <w:t>He</w:t>
      </w:r>
      <w:r w:rsidR="00EE4FC3">
        <w:t xml:space="preserve"> </w:t>
      </w:r>
      <w:r w:rsidR="00581CF7" w:rsidRPr="00382917">
        <w:t>startled</w:t>
      </w:r>
      <w:r w:rsidR="00EE4FC3">
        <w:t xml:space="preserve"> </w:t>
      </w:r>
      <w:r w:rsidR="00581CF7" w:rsidRPr="00382917">
        <w:t>me</w:t>
      </w:r>
      <w:r w:rsidR="00EE4FC3">
        <w:t xml:space="preserve"> </w:t>
      </w:r>
      <w:r w:rsidR="00581CF7" w:rsidRPr="00382917">
        <w:t>with</w:t>
      </w:r>
      <w:r w:rsidR="00EE4FC3">
        <w:t xml:space="preserve"> </w:t>
      </w:r>
      <w:r w:rsidR="00581CF7" w:rsidRPr="00382917">
        <w:t>the</w:t>
      </w:r>
      <w:r w:rsidR="00EE4FC3">
        <w:t xml:space="preserve"> </w:t>
      </w:r>
      <w:r w:rsidR="00581CF7" w:rsidRPr="00382917">
        <w:t>words:</w:t>
      </w:r>
      <w:r w:rsidR="00EE4FC3">
        <w:t xml:space="preserve"> </w:t>
      </w:r>
      <w:r w:rsidRPr="00382917">
        <w:t>‘</w:t>
      </w:r>
      <w:r w:rsidR="00581CF7" w:rsidRPr="00382917">
        <w:t>Behold!</w:t>
      </w:r>
      <w:r w:rsidR="00EE4FC3">
        <w:t xml:space="preserve">  </w:t>
      </w:r>
      <w:r w:rsidR="00581CF7" w:rsidRPr="00382917">
        <w:t>All</w:t>
      </w:r>
      <w:r w:rsidR="00EE4FC3">
        <w:t xml:space="preserve"> </w:t>
      </w:r>
      <w:r w:rsidR="00581CF7" w:rsidRPr="00382917">
        <w:t>These</w:t>
      </w:r>
      <w:r w:rsidR="00EE4FC3">
        <w:t xml:space="preserve"> </w:t>
      </w:r>
      <w:r w:rsidR="00581CF7" w:rsidRPr="00382917">
        <w:t>signs</w:t>
      </w:r>
      <w:r w:rsidR="00EE4FC3">
        <w:t xml:space="preserve"> </w:t>
      </w:r>
      <w:r w:rsidR="00581CF7" w:rsidRPr="00382917">
        <w:t>are</w:t>
      </w:r>
      <w:r w:rsidR="00EE4FC3">
        <w:t xml:space="preserve"> </w:t>
      </w:r>
      <w:r w:rsidR="00581CF7" w:rsidRPr="00382917">
        <w:t>manifest</w:t>
      </w:r>
      <w:r w:rsidR="00EE4FC3">
        <w:t xml:space="preserve"> </w:t>
      </w:r>
      <w:r w:rsidR="00581CF7" w:rsidRPr="00382917">
        <w:t>in</w:t>
      </w:r>
      <w:r w:rsidR="00EE4FC3">
        <w:t xml:space="preserve"> </w:t>
      </w:r>
      <w:proofErr w:type="gramStart"/>
      <w:r w:rsidR="00581CF7" w:rsidRPr="00382917">
        <w:t>Me</w:t>
      </w:r>
      <w:proofErr w:type="gramEnd"/>
      <w:r w:rsidR="00581CF7" w:rsidRPr="00382917">
        <w:t>!</w:t>
      </w:r>
      <w:r w:rsidRPr="00382917">
        <w:t>’</w:t>
      </w:r>
    </w:p>
    <w:p w:rsidR="00581CF7" w:rsidRPr="00382917" w:rsidRDefault="009C713D" w:rsidP="006D18A4">
      <w:pPr>
        <w:pStyle w:val="Text"/>
      </w:pPr>
      <w:r w:rsidRPr="00382917">
        <w:t>“</w:t>
      </w:r>
      <w:r w:rsidR="00581CF7" w:rsidRPr="00382917">
        <w:t>He</w:t>
      </w:r>
      <w:r w:rsidR="00EE4FC3">
        <w:t xml:space="preserve"> </w:t>
      </w:r>
      <w:r w:rsidR="00581CF7" w:rsidRPr="00382917">
        <w:t>then</w:t>
      </w:r>
      <w:r w:rsidR="00EE4FC3">
        <w:t xml:space="preserve"> </w:t>
      </w:r>
      <w:r w:rsidR="00581CF7" w:rsidRPr="00382917">
        <w:t>carefully</w:t>
      </w:r>
      <w:r w:rsidR="00EE4FC3">
        <w:t xml:space="preserve"> </w:t>
      </w:r>
      <w:r w:rsidR="00581CF7" w:rsidRPr="00382917">
        <w:t>considered</w:t>
      </w:r>
      <w:r w:rsidR="00EE4FC3">
        <w:t xml:space="preserve"> </w:t>
      </w:r>
      <w:r w:rsidR="00581CF7" w:rsidRPr="00382917">
        <w:t>each</w:t>
      </w:r>
      <w:r w:rsidR="00EE4FC3">
        <w:t xml:space="preserve"> </w:t>
      </w:r>
      <w:r w:rsidR="00581CF7" w:rsidRPr="00382917">
        <w:t>of</w:t>
      </w:r>
      <w:r w:rsidR="00EE4FC3">
        <w:t xml:space="preserve"> </w:t>
      </w:r>
      <w:r w:rsidR="00581CF7" w:rsidRPr="00382917">
        <w:t>the</w:t>
      </w:r>
      <w:r w:rsidR="00EE4FC3">
        <w:t xml:space="preserve"> </w:t>
      </w:r>
      <w:r w:rsidR="00581CF7" w:rsidRPr="00382917">
        <w:t>above</w:t>
      </w:r>
      <w:r w:rsidR="00EE4FC3">
        <w:t xml:space="preserve"> </w:t>
      </w:r>
      <w:r w:rsidR="00581CF7" w:rsidRPr="00382917">
        <w:t>signs</w:t>
      </w:r>
      <w:r w:rsidR="00EE4FC3">
        <w:t xml:space="preserve"> </w:t>
      </w:r>
      <w:r w:rsidR="00581CF7" w:rsidRPr="00382917">
        <w:t>separately,</w:t>
      </w:r>
      <w:r w:rsidR="00EE4FC3">
        <w:t xml:space="preserve"> </w:t>
      </w:r>
      <w:r w:rsidR="00581CF7" w:rsidRPr="00382917">
        <w:t>and</w:t>
      </w:r>
      <w:r w:rsidR="00EE4FC3">
        <w:t xml:space="preserve"> </w:t>
      </w:r>
      <w:r w:rsidR="00581CF7" w:rsidRPr="00382917">
        <w:t>conclusively</w:t>
      </w:r>
      <w:r w:rsidR="00EE4FC3">
        <w:t xml:space="preserve"> </w:t>
      </w:r>
      <w:r w:rsidR="00581CF7" w:rsidRPr="00382917">
        <w:t>demonstrated</w:t>
      </w:r>
      <w:r w:rsidR="00EE4FC3">
        <w:t xml:space="preserve"> </w:t>
      </w:r>
      <w:r w:rsidR="00581CF7" w:rsidRPr="00382917">
        <w:t>that</w:t>
      </w:r>
      <w:r w:rsidR="00EE4FC3">
        <w:t xml:space="preserve"> </w:t>
      </w:r>
      <w:r w:rsidR="00581CF7" w:rsidRPr="00382917">
        <w:t>each</w:t>
      </w:r>
      <w:r w:rsidR="00EE4FC3">
        <w:t xml:space="preserve"> </w:t>
      </w:r>
      <w:r w:rsidR="00581CF7" w:rsidRPr="00382917">
        <w:t>and</w:t>
      </w:r>
      <w:r w:rsidR="00EE4FC3">
        <w:t xml:space="preserve"> </w:t>
      </w:r>
      <w:r w:rsidR="00581CF7" w:rsidRPr="00382917">
        <w:t>all</w:t>
      </w:r>
      <w:r w:rsidR="00EE4FC3">
        <w:t xml:space="preserve"> </w:t>
      </w:r>
      <w:r w:rsidR="00581CF7" w:rsidRPr="00382917">
        <w:t>were</w:t>
      </w:r>
      <w:r w:rsidR="00EE4FC3">
        <w:t xml:space="preserve"> </w:t>
      </w:r>
      <w:r w:rsidR="00581CF7" w:rsidRPr="00382917">
        <w:t>indeed</w:t>
      </w:r>
      <w:r w:rsidR="00EE4FC3">
        <w:t xml:space="preserve"> </w:t>
      </w:r>
      <w:r w:rsidR="00581CF7" w:rsidRPr="00382917">
        <w:t>applicable</w:t>
      </w:r>
      <w:r w:rsidR="00EE4FC3">
        <w:t xml:space="preserve"> </w:t>
      </w:r>
      <w:r w:rsidR="00581CF7" w:rsidRPr="00382917">
        <w:t>to</w:t>
      </w:r>
      <w:r w:rsidR="00EE4FC3">
        <w:t xml:space="preserve"> </w:t>
      </w:r>
      <w:r w:rsidR="00581CF7" w:rsidRPr="00382917">
        <w:t>His</w:t>
      </w:r>
      <w:r w:rsidR="00EE4FC3">
        <w:t xml:space="preserve"> </w:t>
      </w:r>
      <w:r w:rsidR="00581CF7" w:rsidRPr="00382917">
        <w:t>person.</w:t>
      </w:r>
      <w:r w:rsidR="00EE4FC3">
        <w:t xml:space="preserve">  </w:t>
      </w:r>
      <w:r w:rsidR="00581CF7" w:rsidRPr="00382917">
        <w:t>I</w:t>
      </w:r>
      <w:r w:rsidR="00EE4FC3">
        <w:t xml:space="preserve"> </w:t>
      </w:r>
      <w:r w:rsidR="00581CF7" w:rsidRPr="00382917">
        <w:t>was</w:t>
      </w:r>
      <w:r w:rsidR="00EE4FC3">
        <w:t xml:space="preserve"> </w:t>
      </w:r>
      <w:r w:rsidR="00581CF7" w:rsidRPr="00382917">
        <w:t>greatly</w:t>
      </w:r>
      <w:r w:rsidR="00EE4FC3">
        <w:t xml:space="preserve"> </w:t>
      </w:r>
      <w:r w:rsidR="00581CF7" w:rsidRPr="00382917">
        <w:t>surprised</w:t>
      </w:r>
      <w:r w:rsidR="00EE4FC3">
        <w:t xml:space="preserve"> </w:t>
      </w:r>
      <w:r w:rsidR="00581CF7" w:rsidRPr="00382917">
        <w:t>and</w:t>
      </w:r>
      <w:r w:rsidR="00EE4FC3">
        <w:t xml:space="preserve"> </w:t>
      </w:r>
      <w:r w:rsidR="00581CF7" w:rsidRPr="00382917">
        <w:t>deeply</w:t>
      </w:r>
      <w:r w:rsidR="00EE4FC3">
        <w:t xml:space="preserve"> </w:t>
      </w:r>
      <w:r w:rsidR="00581CF7" w:rsidRPr="00382917">
        <w:t>moved.</w:t>
      </w:r>
      <w:r w:rsidR="00EE4FC3">
        <w:t xml:space="preserve">  </w:t>
      </w:r>
      <w:r w:rsidR="00581CF7" w:rsidRPr="00382917">
        <w:t>Politely</w:t>
      </w:r>
      <w:r w:rsidR="00EE4FC3">
        <w:t xml:space="preserve"> </w:t>
      </w:r>
      <w:r w:rsidR="00581CF7" w:rsidRPr="00382917">
        <w:t>I</w:t>
      </w:r>
      <w:r w:rsidR="00EE4FC3">
        <w:t xml:space="preserve"> </w:t>
      </w:r>
      <w:r w:rsidR="00581CF7" w:rsidRPr="00382917">
        <w:t>observed:</w:t>
      </w:r>
      <w:r w:rsidR="00EE4FC3">
        <w:t xml:space="preserve">  </w:t>
      </w:r>
      <w:r w:rsidRPr="00382917">
        <w:t>‘</w:t>
      </w:r>
      <w:r w:rsidR="00581CF7" w:rsidRPr="00382917">
        <w:t>He</w:t>
      </w:r>
      <w:r w:rsidR="00EE4FC3">
        <w:t xml:space="preserve"> </w:t>
      </w:r>
      <w:r w:rsidR="00581CF7" w:rsidRPr="00382917">
        <w:t>whose</w:t>
      </w:r>
      <w:r w:rsidR="00EE4FC3">
        <w:t xml:space="preserve"> </w:t>
      </w:r>
      <w:r w:rsidR="00581CF7" w:rsidRPr="00382917">
        <w:t>advent</w:t>
      </w:r>
      <w:r w:rsidR="00EE4FC3">
        <w:t xml:space="preserve"> </w:t>
      </w:r>
      <w:r w:rsidR="00581CF7" w:rsidRPr="00382917">
        <w:t>we</w:t>
      </w:r>
      <w:r w:rsidR="00EE4FC3">
        <w:t xml:space="preserve"> </w:t>
      </w:r>
      <w:r w:rsidR="00581CF7" w:rsidRPr="00382917">
        <w:t>await</w:t>
      </w:r>
      <w:r w:rsidR="00EE4FC3">
        <w:t xml:space="preserve"> </w:t>
      </w:r>
      <w:r w:rsidR="00581CF7" w:rsidRPr="00382917">
        <w:t>is</w:t>
      </w:r>
      <w:r w:rsidR="00EE4FC3">
        <w:t xml:space="preserve"> </w:t>
      </w:r>
      <w:r w:rsidR="00581CF7" w:rsidRPr="00382917">
        <w:t>a</w:t>
      </w:r>
      <w:r w:rsidR="00EE4FC3">
        <w:t xml:space="preserve"> </w:t>
      </w:r>
      <w:r w:rsidR="00581CF7" w:rsidRPr="00382917">
        <w:t>Man</w:t>
      </w:r>
      <w:r w:rsidR="00EE4FC3">
        <w:t xml:space="preserve"> </w:t>
      </w:r>
      <w:r w:rsidR="00581CF7" w:rsidRPr="00382917">
        <w:t>of</w:t>
      </w:r>
      <w:r w:rsidR="00EE4FC3">
        <w:t xml:space="preserve"> </w:t>
      </w:r>
      <w:r w:rsidR="00581CF7" w:rsidRPr="00382917">
        <w:t>un-</w:t>
      </w:r>
    </w:p>
    <w:p w:rsidR="006D18A4" w:rsidRPr="00382917" w:rsidRDefault="006D18A4">
      <w:pPr>
        <w:widowControl/>
        <w:kinsoku/>
        <w:overflowPunct/>
        <w:textAlignment w:val="auto"/>
      </w:pPr>
      <w:r w:rsidRPr="00382917">
        <w:br w:type="page"/>
      </w:r>
    </w:p>
    <w:p w:rsidR="00581CF7" w:rsidRPr="00382917" w:rsidRDefault="00581CF7" w:rsidP="006D18A4">
      <w:pPr>
        <w:pStyle w:val="Textcts"/>
      </w:pPr>
      <w:proofErr w:type="gramStart"/>
      <w:r w:rsidRPr="00382917">
        <w:t>surpassed</w:t>
      </w:r>
      <w:proofErr w:type="gramEnd"/>
      <w:r w:rsidR="00EE4FC3">
        <w:t xml:space="preserve"> </w:t>
      </w:r>
      <w:r w:rsidRPr="00382917">
        <w:t>holiness,</w:t>
      </w:r>
      <w:r w:rsidR="00EE4FC3">
        <w:t xml:space="preserve"> </w:t>
      </w:r>
      <w:r w:rsidRPr="00382917">
        <w:t>and</w:t>
      </w:r>
      <w:r w:rsidR="00EE4FC3">
        <w:t xml:space="preserve"> </w:t>
      </w:r>
      <w:r w:rsidRPr="00382917">
        <w:t>the</w:t>
      </w:r>
      <w:r w:rsidR="00EE4FC3">
        <w:t xml:space="preserve"> </w:t>
      </w:r>
      <w:r w:rsidRPr="00382917">
        <w:t>Cause</w:t>
      </w:r>
      <w:r w:rsidR="00EE4FC3">
        <w:t xml:space="preserve"> </w:t>
      </w:r>
      <w:r w:rsidRPr="00382917">
        <w:t>He</w:t>
      </w:r>
      <w:r w:rsidR="00EE4FC3">
        <w:t xml:space="preserve"> </w:t>
      </w:r>
      <w:r w:rsidRPr="00382917">
        <w:t>is</w:t>
      </w:r>
      <w:r w:rsidR="00EE4FC3">
        <w:t xml:space="preserve"> </w:t>
      </w:r>
      <w:r w:rsidRPr="00382917">
        <w:t>to</w:t>
      </w:r>
      <w:r w:rsidR="00EE4FC3">
        <w:t xml:space="preserve"> </w:t>
      </w:r>
      <w:r w:rsidRPr="00382917">
        <w:t>reveal</w:t>
      </w:r>
      <w:r w:rsidR="00EE4FC3">
        <w:t xml:space="preserve"> </w:t>
      </w:r>
      <w:r w:rsidRPr="00382917">
        <w:t>is</w:t>
      </w:r>
      <w:r w:rsidR="00EE4FC3">
        <w:t xml:space="preserve"> </w:t>
      </w:r>
      <w:r w:rsidRPr="00382917">
        <w:t>a</w:t>
      </w:r>
      <w:r w:rsidR="00EE4FC3">
        <w:t xml:space="preserve"> </w:t>
      </w:r>
      <w:r w:rsidRPr="00382917">
        <w:t>Cause</w:t>
      </w:r>
      <w:r w:rsidR="00EE4FC3">
        <w:t xml:space="preserve"> </w:t>
      </w:r>
      <w:r w:rsidRPr="00382917">
        <w:t>of</w:t>
      </w:r>
      <w:r w:rsidR="00EE4FC3">
        <w:t xml:space="preserve"> </w:t>
      </w:r>
      <w:r w:rsidRPr="00382917">
        <w:t>tremendous</w:t>
      </w:r>
      <w:r w:rsidR="00EE4FC3">
        <w:t xml:space="preserve"> </w:t>
      </w:r>
      <w:r w:rsidRPr="00382917">
        <w:t>power.</w:t>
      </w:r>
      <w:r w:rsidR="009C713D" w:rsidRPr="00382917">
        <w:t>’</w:t>
      </w:r>
    </w:p>
    <w:p w:rsidR="00581CF7" w:rsidRPr="00382917" w:rsidRDefault="009C713D" w:rsidP="006D18A4">
      <w:pPr>
        <w:pStyle w:val="Text"/>
      </w:pPr>
      <w:r w:rsidRPr="00382917">
        <w:t>“</w:t>
      </w:r>
      <w:r w:rsidR="00581CF7" w:rsidRPr="00382917">
        <w:t>No</w:t>
      </w:r>
      <w:r w:rsidR="00EE4FC3">
        <w:t xml:space="preserve"> </w:t>
      </w:r>
      <w:r w:rsidR="00581CF7" w:rsidRPr="00382917">
        <w:t>sooner</w:t>
      </w:r>
      <w:r w:rsidR="00EE4FC3">
        <w:t xml:space="preserve"> </w:t>
      </w:r>
      <w:r w:rsidR="00581CF7" w:rsidRPr="00382917">
        <w:t>had</w:t>
      </w:r>
      <w:r w:rsidR="00EE4FC3">
        <w:t xml:space="preserve"> </w:t>
      </w:r>
      <w:r w:rsidR="00581CF7" w:rsidRPr="00382917">
        <w:t>those</w:t>
      </w:r>
      <w:r w:rsidR="00EE4FC3">
        <w:t xml:space="preserve"> </w:t>
      </w:r>
      <w:r w:rsidR="00581CF7" w:rsidRPr="00382917">
        <w:t>words</w:t>
      </w:r>
      <w:r w:rsidR="00EE4FC3">
        <w:t xml:space="preserve"> </w:t>
      </w:r>
      <w:r w:rsidR="00581CF7" w:rsidRPr="00382917">
        <w:t>dropped</w:t>
      </w:r>
      <w:r w:rsidR="00EE4FC3">
        <w:t xml:space="preserve"> </w:t>
      </w:r>
      <w:r w:rsidR="00581CF7" w:rsidRPr="00382917">
        <w:t>from</w:t>
      </w:r>
      <w:r w:rsidR="00EE4FC3">
        <w:t xml:space="preserve"> </w:t>
      </w:r>
      <w:r w:rsidR="00581CF7" w:rsidRPr="00382917">
        <w:t>my</w:t>
      </w:r>
      <w:r w:rsidR="00EE4FC3">
        <w:t xml:space="preserve"> </w:t>
      </w:r>
      <w:r w:rsidR="00581CF7" w:rsidRPr="00382917">
        <w:t>lips</w:t>
      </w:r>
      <w:r w:rsidR="00EE4FC3">
        <w:t xml:space="preserve"> </w:t>
      </w:r>
      <w:r w:rsidR="00581CF7" w:rsidRPr="00382917">
        <w:t>than</w:t>
      </w:r>
      <w:r w:rsidR="00EE4FC3">
        <w:t xml:space="preserve"> </w:t>
      </w:r>
      <w:r w:rsidR="00581CF7" w:rsidRPr="00382917">
        <w:t>I</w:t>
      </w:r>
      <w:r w:rsidR="00EE4FC3">
        <w:t xml:space="preserve"> </w:t>
      </w:r>
      <w:r w:rsidR="00581CF7" w:rsidRPr="00382917">
        <w:t>found</w:t>
      </w:r>
      <w:r w:rsidR="00EE4FC3">
        <w:t xml:space="preserve"> </w:t>
      </w:r>
      <w:r w:rsidR="00581CF7" w:rsidRPr="00382917">
        <w:t>myself</w:t>
      </w:r>
      <w:r w:rsidR="00EE4FC3">
        <w:t xml:space="preserve"> </w:t>
      </w:r>
      <w:r w:rsidR="00581CF7" w:rsidRPr="00382917">
        <w:t>seized</w:t>
      </w:r>
      <w:r w:rsidR="00EE4FC3">
        <w:t xml:space="preserve"> </w:t>
      </w:r>
      <w:r w:rsidR="00581CF7" w:rsidRPr="00382917">
        <w:t>with</w:t>
      </w:r>
      <w:r w:rsidR="00EE4FC3">
        <w:t xml:space="preserve"> </w:t>
      </w:r>
      <w:r w:rsidR="00581CF7" w:rsidRPr="00382917">
        <w:t>fear</w:t>
      </w:r>
      <w:r w:rsidR="00EE4FC3">
        <w:t xml:space="preserve"> </w:t>
      </w:r>
      <w:r w:rsidR="00581CF7" w:rsidRPr="00382917">
        <w:t>and</w:t>
      </w:r>
      <w:r w:rsidR="00EE4FC3">
        <w:t xml:space="preserve"> </w:t>
      </w:r>
      <w:r w:rsidR="00581CF7" w:rsidRPr="00382917">
        <w:t>remorse,</w:t>
      </w:r>
      <w:r w:rsidR="00EE4FC3">
        <w:t xml:space="preserve"> </w:t>
      </w:r>
      <w:r w:rsidR="00581CF7" w:rsidRPr="00382917">
        <w:t>such</w:t>
      </w:r>
      <w:r w:rsidR="00EE4FC3">
        <w:t xml:space="preserve"> </w:t>
      </w:r>
      <w:r w:rsidR="00581CF7" w:rsidRPr="00382917">
        <w:t>as</w:t>
      </w:r>
      <w:r w:rsidR="00EE4FC3">
        <w:t xml:space="preserve"> </w:t>
      </w:r>
      <w:r w:rsidR="00581CF7" w:rsidRPr="00382917">
        <w:t>I</w:t>
      </w:r>
      <w:r w:rsidR="00EE4FC3">
        <w:t xml:space="preserve"> </w:t>
      </w:r>
      <w:r w:rsidR="00581CF7" w:rsidRPr="00382917">
        <w:t>could</w:t>
      </w:r>
      <w:r w:rsidR="00EE4FC3">
        <w:t xml:space="preserve"> </w:t>
      </w:r>
      <w:r w:rsidR="00581CF7" w:rsidRPr="00382917">
        <w:t>neither</w:t>
      </w:r>
      <w:r w:rsidR="00EE4FC3">
        <w:t xml:space="preserve"> </w:t>
      </w:r>
      <w:r w:rsidR="00581CF7" w:rsidRPr="00382917">
        <w:t>conceal</w:t>
      </w:r>
      <w:r w:rsidR="00EE4FC3">
        <w:t xml:space="preserve"> </w:t>
      </w:r>
      <w:r w:rsidR="00581CF7" w:rsidRPr="00382917">
        <w:t>nor</w:t>
      </w:r>
      <w:r w:rsidR="00EE4FC3">
        <w:t xml:space="preserve"> </w:t>
      </w:r>
      <w:r w:rsidR="00581CF7" w:rsidRPr="00382917">
        <w:t>explain.</w:t>
      </w:r>
      <w:r w:rsidR="00EE4FC3">
        <w:t xml:space="preserve">  </w:t>
      </w:r>
      <w:r w:rsidR="00581CF7" w:rsidRPr="00382917">
        <w:t>I</w:t>
      </w:r>
      <w:r w:rsidR="00EE4FC3">
        <w:t xml:space="preserve"> </w:t>
      </w:r>
      <w:r w:rsidR="00581CF7" w:rsidRPr="00382917">
        <w:t>bitterly</w:t>
      </w:r>
      <w:r w:rsidR="00EE4FC3">
        <w:t xml:space="preserve"> </w:t>
      </w:r>
      <w:r w:rsidR="00581CF7" w:rsidRPr="00382917">
        <w:t>reproved</w:t>
      </w:r>
      <w:r w:rsidR="00EE4FC3">
        <w:t xml:space="preserve"> </w:t>
      </w:r>
      <w:r w:rsidR="00581CF7" w:rsidRPr="00382917">
        <w:t>myself,</w:t>
      </w:r>
      <w:r w:rsidR="00EE4FC3">
        <w:t xml:space="preserve"> </w:t>
      </w:r>
      <w:r w:rsidR="00581CF7" w:rsidRPr="00382917">
        <w:t>and</w:t>
      </w:r>
      <w:r w:rsidR="00EE4FC3">
        <w:t xml:space="preserve"> </w:t>
      </w:r>
      <w:r w:rsidR="00581CF7" w:rsidRPr="00382917">
        <w:t>resolved</w:t>
      </w:r>
      <w:r w:rsidR="00EE4FC3">
        <w:t xml:space="preserve"> </w:t>
      </w:r>
      <w:r w:rsidR="00581CF7" w:rsidRPr="00382917">
        <w:t>to</w:t>
      </w:r>
      <w:r w:rsidR="00EE4FC3">
        <w:t xml:space="preserve"> </w:t>
      </w:r>
      <w:r w:rsidR="00581CF7" w:rsidRPr="00382917">
        <w:t>alter</w:t>
      </w:r>
      <w:r w:rsidR="00EE4FC3">
        <w:t xml:space="preserve"> </w:t>
      </w:r>
      <w:r w:rsidR="00581CF7" w:rsidRPr="00382917">
        <w:t>my</w:t>
      </w:r>
      <w:r w:rsidR="00EE4FC3">
        <w:t xml:space="preserve"> </w:t>
      </w:r>
      <w:r w:rsidR="00581CF7" w:rsidRPr="00382917">
        <w:t>attitude</w:t>
      </w:r>
      <w:r w:rsidR="00EE4FC3">
        <w:t xml:space="preserve"> </w:t>
      </w:r>
      <w:r w:rsidR="00581CF7" w:rsidRPr="00382917">
        <w:t>and</w:t>
      </w:r>
      <w:r w:rsidR="00EE4FC3">
        <w:t xml:space="preserve"> </w:t>
      </w:r>
      <w:r w:rsidR="00581CF7" w:rsidRPr="00382917">
        <w:t>to</w:t>
      </w:r>
      <w:r w:rsidR="00EE4FC3">
        <w:t xml:space="preserve"> </w:t>
      </w:r>
      <w:r w:rsidR="00581CF7" w:rsidRPr="00382917">
        <w:t>soften</w:t>
      </w:r>
      <w:r w:rsidR="00EE4FC3">
        <w:t xml:space="preserve"> </w:t>
      </w:r>
      <w:r w:rsidR="00581CF7" w:rsidRPr="00382917">
        <w:t>my</w:t>
      </w:r>
      <w:r w:rsidR="00EE4FC3">
        <w:t xml:space="preserve"> </w:t>
      </w:r>
      <w:r w:rsidR="00581CF7" w:rsidRPr="00382917">
        <w:t>tone.</w:t>
      </w:r>
      <w:r w:rsidR="00EE4FC3">
        <w:t xml:space="preserve">  </w:t>
      </w:r>
      <w:r w:rsidR="00581CF7" w:rsidRPr="00382917">
        <w:t>I</w:t>
      </w:r>
      <w:r w:rsidR="00EE4FC3">
        <w:t xml:space="preserve"> </w:t>
      </w:r>
      <w:r w:rsidR="00581CF7" w:rsidRPr="00382917">
        <w:t>vowed</w:t>
      </w:r>
      <w:r w:rsidR="00EE4FC3">
        <w:t xml:space="preserve"> </w:t>
      </w:r>
      <w:r w:rsidR="00581CF7" w:rsidRPr="00382917">
        <w:t>to</w:t>
      </w:r>
      <w:r w:rsidR="00EE4FC3">
        <w:t xml:space="preserve"> </w:t>
      </w:r>
      <w:r w:rsidR="00581CF7" w:rsidRPr="00382917">
        <w:t>God</w:t>
      </w:r>
      <w:r w:rsidR="00EE4FC3">
        <w:t xml:space="preserve"> </w:t>
      </w:r>
      <w:r w:rsidR="00581CF7" w:rsidRPr="00382917">
        <w:t>that</w:t>
      </w:r>
      <w:r w:rsidR="00EE4FC3">
        <w:t xml:space="preserve"> </w:t>
      </w:r>
      <w:r w:rsidR="00581CF7" w:rsidRPr="00382917">
        <w:t>should</w:t>
      </w:r>
      <w:r w:rsidR="00EE4FC3">
        <w:t xml:space="preserve"> </w:t>
      </w:r>
      <w:r w:rsidR="00581CF7" w:rsidRPr="00382917">
        <w:t>my</w:t>
      </w:r>
      <w:r w:rsidR="00EE4FC3">
        <w:t xml:space="preserve"> </w:t>
      </w:r>
      <w:r w:rsidR="00581CF7" w:rsidRPr="00382917">
        <w:t>Host</w:t>
      </w:r>
      <w:r w:rsidR="00EE4FC3">
        <w:t xml:space="preserve"> </w:t>
      </w:r>
      <w:r w:rsidR="00581CF7" w:rsidRPr="00382917">
        <w:t>again</w:t>
      </w:r>
      <w:r w:rsidR="00EE4FC3">
        <w:t xml:space="preserve"> </w:t>
      </w:r>
      <w:r w:rsidR="00581CF7" w:rsidRPr="00382917">
        <w:t>refer</w:t>
      </w:r>
      <w:r w:rsidR="00EE4FC3">
        <w:t xml:space="preserve"> </w:t>
      </w:r>
      <w:r w:rsidR="00581CF7" w:rsidRPr="00382917">
        <w:t>to</w:t>
      </w:r>
      <w:r w:rsidR="00EE4FC3">
        <w:t xml:space="preserve"> </w:t>
      </w:r>
      <w:r w:rsidR="00581CF7" w:rsidRPr="00382917">
        <w:t>the</w:t>
      </w:r>
      <w:r w:rsidR="00EE4FC3">
        <w:t xml:space="preserve"> </w:t>
      </w:r>
      <w:r w:rsidR="00581CF7" w:rsidRPr="00382917">
        <w:t>subject,</w:t>
      </w:r>
      <w:r w:rsidR="00EE4FC3">
        <w:t xml:space="preserve"> </w:t>
      </w:r>
      <w:r w:rsidR="00581CF7" w:rsidRPr="00382917">
        <w:t>I</w:t>
      </w:r>
      <w:r w:rsidR="00EE4FC3">
        <w:t xml:space="preserve"> </w:t>
      </w:r>
      <w:r w:rsidR="00581CF7" w:rsidRPr="00382917">
        <w:t>would,</w:t>
      </w:r>
      <w:r w:rsidR="00EE4FC3">
        <w:t xml:space="preserve"> </w:t>
      </w:r>
      <w:r w:rsidR="00581CF7" w:rsidRPr="00382917">
        <w:t>with</w:t>
      </w:r>
      <w:r w:rsidR="00EE4FC3">
        <w:t xml:space="preserve"> </w:t>
      </w:r>
      <w:r w:rsidR="00581CF7" w:rsidRPr="00382917">
        <w:t>the</w:t>
      </w:r>
      <w:r w:rsidR="00EE4FC3">
        <w:t xml:space="preserve"> </w:t>
      </w:r>
      <w:r w:rsidR="00581CF7" w:rsidRPr="00382917">
        <w:t>utmost</w:t>
      </w:r>
      <w:r w:rsidR="00EE4FC3">
        <w:t xml:space="preserve"> </w:t>
      </w:r>
      <w:r w:rsidR="00581CF7" w:rsidRPr="00382917">
        <w:t>humility,</w:t>
      </w:r>
      <w:r w:rsidR="00EE4FC3">
        <w:t xml:space="preserve"> </w:t>
      </w:r>
      <w:r w:rsidR="00581CF7" w:rsidRPr="00382917">
        <w:t>answer</w:t>
      </w:r>
      <w:r w:rsidR="00EE4FC3">
        <w:t xml:space="preserve"> </w:t>
      </w:r>
      <w:r w:rsidR="00581CF7" w:rsidRPr="00382917">
        <w:t>Him</w:t>
      </w:r>
      <w:r w:rsidR="00EE4FC3">
        <w:t xml:space="preserve"> </w:t>
      </w:r>
      <w:r w:rsidR="00581CF7" w:rsidRPr="00382917">
        <w:t>and</w:t>
      </w:r>
      <w:r w:rsidR="00EE4FC3">
        <w:t xml:space="preserve"> </w:t>
      </w:r>
      <w:r w:rsidR="00581CF7" w:rsidRPr="00382917">
        <w:t>say:</w:t>
      </w:r>
      <w:r w:rsidR="00EE4FC3">
        <w:t xml:space="preserve">  </w:t>
      </w:r>
      <w:r w:rsidRPr="00382917">
        <w:t>‘</w:t>
      </w:r>
      <w:r w:rsidR="00581CF7" w:rsidRPr="00382917">
        <w:t>If</w:t>
      </w:r>
      <w:r w:rsidR="00EE4FC3">
        <w:t xml:space="preserve"> </w:t>
      </w:r>
      <w:r w:rsidR="00581CF7" w:rsidRPr="00382917">
        <w:t>you</w:t>
      </w:r>
      <w:r w:rsidR="00EE4FC3">
        <w:t xml:space="preserve"> </w:t>
      </w:r>
      <w:r w:rsidR="00581CF7" w:rsidRPr="00382917">
        <w:t>be</w:t>
      </w:r>
      <w:r w:rsidR="00EE4FC3">
        <w:t xml:space="preserve"> </w:t>
      </w:r>
      <w:r w:rsidR="00581CF7" w:rsidRPr="00382917">
        <w:t>willing</w:t>
      </w:r>
      <w:r w:rsidR="00EE4FC3">
        <w:t xml:space="preserve"> </w:t>
      </w:r>
      <w:r w:rsidR="00581CF7" w:rsidRPr="00382917">
        <w:t>to</w:t>
      </w:r>
      <w:r w:rsidR="00EE4FC3">
        <w:t xml:space="preserve"> </w:t>
      </w:r>
      <w:r w:rsidR="00581CF7" w:rsidRPr="00382917">
        <w:t>substantiate</w:t>
      </w:r>
      <w:r w:rsidR="00EE4FC3">
        <w:t xml:space="preserve"> </w:t>
      </w:r>
      <w:r w:rsidR="00581CF7" w:rsidRPr="00382917">
        <w:t>your</w:t>
      </w:r>
      <w:r w:rsidR="00EE4FC3">
        <w:t xml:space="preserve"> </w:t>
      </w:r>
      <w:r w:rsidR="00581CF7" w:rsidRPr="00382917">
        <w:t>claim,</w:t>
      </w:r>
      <w:r w:rsidR="00EE4FC3">
        <w:t xml:space="preserve"> </w:t>
      </w:r>
      <w:r w:rsidR="00581CF7" w:rsidRPr="00382917">
        <w:t>you</w:t>
      </w:r>
      <w:r w:rsidR="00EE4FC3">
        <w:t xml:space="preserve"> </w:t>
      </w:r>
      <w:r w:rsidR="00581CF7" w:rsidRPr="00382917">
        <w:t>will</w:t>
      </w:r>
      <w:r w:rsidR="00EE4FC3">
        <w:t xml:space="preserve"> </w:t>
      </w:r>
      <w:r w:rsidR="00581CF7" w:rsidRPr="00382917">
        <w:t>most</w:t>
      </w:r>
      <w:r w:rsidR="00EE4FC3">
        <w:t xml:space="preserve"> </w:t>
      </w:r>
      <w:r w:rsidR="00581CF7" w:rsidRPr="00382917">
        <w:t>assuredly</w:t>
      </w:r>
      <w:r w:rsidR="00EE4FC3">
        <w:t xml:space="preserve"> </w:t>
      </w:r>
      <w:r w:rsidR="00581CF7" w:rsidRPr="00382917">
        <w:t>deliver</w:t>
      </w:r>
      <w:r w:rsidR="00EE4FC3">
        <w:t xml:space="preserve"> </w:t>
      </w:r>
      <w:r w:rsidR="00581CF7" w:rsidRPr="00382917">
        <w:t>me</w:t>
      </w:r>
      <w:r w:rsidR="00EE4FC3">
        <w:t xml:space="preserve"> </w:t>
      </w:r>
      <w:r w:rsidR="00581CF7" w:rsidRPr="00382917">
        <w:t>from</w:t>
      </w:r>
      <w:r w:rsidR="00EE4FC3">
        <w:t xml:space="preserve"> </w:t>
      </w:r>
      <w:r w:rsidR="00581CF7" w:rsidRPr="00382917">
        <w:t>the</w:t>
      </w:r>
      <w:r w:rsidR="00EE4FC3">
        <w:t xml:space="preserve"> </w:t>
      </w:r>
      <w:r w:rsidR="00581CF7" w:rsidRPr="00382917">
        <w:t>anxiety</w:t>
      </w:r>
      <w:r w:rsidR="00EE4FC3">
        <w:t xml:space="preserve"> </w:t>
      </w:r>
      <w:r w:rsidR="00581CF7" w:rsidRPr="00382917">
        <w:t>and</w:t>
      </w:r>
      <w:r w:rsidR="00EE4FC3">
        <w:t xml:space="preserve"> </w:t>
      </w:r>
      <w:r w:rsidR="00581CF7" w:rsidRPr="00382917">
        <w:t>suspense</w:t>
      </w:r>
      <w:r w:rsidR="00EE4FC3">
        <w:t xml:space="preserve"> </w:t>
      </w:r>
      <w:r w:rsidR="00581CF7" w:rsidRPr="00382917">
        <w:t>which</w:t>
      </w:r>
      <w:r w:rsidR="00EE4FC3">
        <w:t xml:space="preserve"> </w:t>
      </w:r>
      <w:r w:rsidR="00581CF7" w:rsidRPr="00382917">
        <w:t>so</w:t>
      </w:r>
      <w:r w:rsidR="00EE4FC3">
        <w:t xml:space="preserve"> </w:t>
      </w:r>
      <w:r w:rsidR="00581CF7" w:rsidRPr="00382917">
        <w:t>heavily</w:t>
      </w:r>
      <w:r w:rsidR="00EE4FC3">
        <w:t xml:space="preserve"> </w:t>
      </w:r>
      <w:r w:rsidR="00581CF7" w:rsidRPr="00382917">
        <w:t>oppress</w:t>
      </w:r>
      <w:r w:rsidR="00EE4FC3">
        <w:t xml:space="preserve"> </w:t>
      </w:r>
      <w:r w:rsidR="00581CF7" w:rsidRPr="00382917">
        <w:t>my</w:t>
      </w:r>
      <w:r w:rsidR="00EE4FC3">
        <w:t xml:space="preserve"> </w:t>
      </w:r>
      <w:r w:rsidR="00581CF7" w:rsidRPr="00382917">
        <w:t>soul.</w:t>
      </w:r>
      <w:r w:rsidR="00EE4FC3">
        <w:t xml:space="preserve">  </w:t>
      </w:r>
      <w:r w:rsidR="00581CF7" w:rsidRPr="00382917">
        <w:t>I</w:t>
      </w:r>
      <w:r w:rsidR="00EE4FC3">
        <w:t xml:space="preserve"> </w:t>
      </w:r>
      <w:r w:rsidR="00581CF7" w:rsidRPr="00382917">
        <w:t>shall</w:t>
      </w:r>
      <w:r w:rsidR="00EE4FC3">
        <w:t xml:space="preserve"> </w:t>
      </w:r>
      <w:r w:rsidR="00581CF7" w:rsidRPr="00382917">
        <w:t>truly</w:t>
      </w:r>
      <w:r w:rsidR="00EE4FC3">
        <w:t xml:space="preserve"> </w:t>
      </w:r>
      <w:r w:rsidR="00581CF7" w:rsidRPr="00382917">
        <w:t>be</w:t>
      </w:r>
      <w:r w:rsidR="00EE4FC3">
        <w:t xml:space="preserve"> </w:t>
      </w:r>
      <w:r w:rsidR="00581CF7" w:rsidRPr="00382917">
        <w:t>indebted</w:t>
      </w:r>
      <w:r w:rsidR="00EE4FC3">
        <w:t xml:space="preserve"> </w:t>
      </w:r>
      <w:r w:rsidR="00581CF7" w:rsidRPr="00382917">
        <w:t>to</w:t>
      </w:r>
      <w:r w:rsidR="00EE4FC3">
        <w:t xml:space="preserve"> </w:t>
      </w:r>
      <w:r w:rsidR="00581CF7" w:rsidRPr="00382917">
        <w:t>you</w:t>
      </w:r>
      <w:r w:rsidR="00EE4FC3">
        <w:t xml:space="preserve"> </w:t>
      </w:r>
      <w:r w:rsidR="00581CF7" w:rsidRPr="00382917">
        <w:t>for</w:t>
      </w:r>
      <w:r w:rsidR="00EE4FC3">
        <w:t xml:space="preserve"> </w:t>
      </w:r>
      <w:r w:rsidR="00581CF7" w:rsidRPr="00382917">
        <w:t>such</w:t>
      </w:r>
      <w:r w:rsidR="00EE4FC3">
        <w:t xml:space="preserve"> </w:t>
      </w:r>
      <w:r w:rsidR="00581CF7" w:rsidRPr="00382917">
        <w:t>deliverance.</w:t>
      </w:r>
      <w:r w:rsidRPr="00382917">
        <w:t>’”</w:t>
      </w:r>
    </w:p>
    <w:p w:rsidR="00581CF7" w:rsidRPr="00382917" w:rsidRDefault="00581CF7" w:rsidP="00CE7A86">
      <w:pPr>
        <w:pStyle w:val="Text"/>
      </w:pPr>
      <w:r w:rsidRPr="00382917">
        <w:t>The</w:t>
      </w:r>
      <w:r w:rsidR="00EE4FC3">
        <w:t xml:space="preserve"> </w:t>
      </w:r>
      <w:r w:rsidRPr="00382917">
        <w:t>name</w:t>
      </w:r>
      <w:r w:rsidR="00EE4FC3">
        <w:t xml:space="preserve"> </w:t>
      </w:r>
      <w:r w:rsidRPr="00382917">
        <w:t>of</w:t>
      </w:r>
      <w:r w:rsidR="00EE4FC3">
        <w:t xml:space="preserve"> </w:t>
      </w:r>
      <w:r w:rsidRPr="00382917">
        <w:t>Mullá</w:t>
      </w:r>
      <w:r w:rsidR="00EE4FC3">
        <w:t xml:space="preserve"> </w:t>
      </w:r>
      <w:proofErr w:type="spellStart"/>
      <w:r w:rsidR="00964C11" w:rsidRPr="00382917">
        <w:t>Ḥusayn</w:t>
      </w:r>
      <w:r w:rsidR="009C713D" w:rsidRPr="00382917">
        <w:t>’</w:t>
      </w:r>
      <w:r w:rsidRPr="00382917">
        <w:t>s</w:t>
      </w:r>
      <w:proofErr w:type="spellEnd"/>
      <w:r w:rsidR="00EE4FC3">
        <w:t xml:space="preserve"> </w:t>
      </w:r>
      <w:r w:rsidRPr="00382917">
        <w:t>host</w:t>
      </w:r>
      <w:r w:rsidR="00EE4FC3">
        <w:t xml:space="preserve"> </w:t>
      </w:r>
      <w:r w:rsidRPr="00382917">
        <w:t>was</w:t>
      </w:r>
      <w:r w:rsidR="00EE4FC3">
        <w:t xml:space="preserve"> </w:t>
      </w:r>
      <w:r w:rsidR="009C713D" w:rsidRPr="00382917">
        <w:t>‘</w:t>
      </w:r>
      <w:r w:rsidRPr="00382917">
        <w:t>Alí</w:t>
      </w:r>
      <w:r w:rsidR="00EE4FC3">
        <w:t xml:space="preserve"> </w:t>
      </w:r>
      <w:r w:rsidRPr="00382917">
        <w:t>Muḥammad.</w:t>
      </w:r>
      <w:r w:rsidR="00EE4FC3">
        <w:t xml:space="preserve">  </w:t>
      </w:r>
      <w:r w:rsidRPr="00382917">
        <w:t>This</w:t>
      </w:r>
      <w:r w:rsidR="00EE4FC3">
        <w:t xml:space="preserve"> </w:t>
      </w:r>
      <w:r w:rsidRPr="00382917">
        <w:t>young</w:t>
      </w:r>
      <w:r w:rsidR="00EE4FC3">
        <w:t xml:space="preserve"> </w:t>
      </w:r>
      <w:r w:rsidRPr="00382917">
        <w:t>man</w:t>
      </w:r>
      <w:r w:rsidR="00EE4FC3">
        <w:t xml:space="preserve"> </w:t>
      </w:r>
      <w:r w:rsidRPr="00382917">
        <w:t>had</w:t>
      </w:r>
      <w:r w:rsidR="00EE4FC3">
        <w:t xml:space="preserve"> </w:t>
      </w:r>
      <w:r w:rsidRPr="00382917">
        <w:t>spent</w:t>
      </w:r>
      <w:r w:rsidR="00EE4FC3">
        <w:t xml:space="preserve"> </w:t>
      </w:r>
      <w:r w:rsidRPr="00382917">
        <w:t>several</w:t>
      </w:r>
      <w:r w:rsidR="00EE4FC3">
        <w:t xml:space="preserve"> </w:t>
      </w:r>
      <w:r w:rsidRPr="00382917">
        <w:t>years</w:t>
      </w:r>
      <w:r w:rsidR="00EE4FC3">
        <w:t xml:space="preserve"> </w:t>
      </w:r>
      <w:r w:rsidRPr="00382917">
        <w:t>working</w:t>
      </w:r>
      <w:r w:rsidR="00EE4FC3">
        <w:t xml:space="preserve"> </w:t>
      </w:r>
      <w:r w:rsidRPr="00382917">
        <w:t>as</w:t>
      </w:r>
      <w:r w:rsidR="00EE4FC3">
        <w:t xml:space="preserve"> </w:t>
      </w:r>
      <w:r w:rsidRPr="00382917">
        <w:t>a</w:t>
      </w:r>
      <w:r w:rsidR="00EE4FC3">
        <w:t xml:space="preserve"> </w:t>
      </w:r>
      <w:r w:rsidRPr="00382917">
        <w:t>merchant</w:t>
      </w:r>
      <w:r w:rsidR="00EE4FC3">
        <w:t xml:space="preserve"> </w:t>
      </w:r>
      <w:r w:rsidRPr="00382917">
        <w:t>for</w:t>
      </w:r>
      <w:r w:rsidR="00EE4FC3">
        <w:t xml:space="preserve"> </w:t>
      </w:r>
      <w:r w:rsidRPr="00382917">
        <w:t>his</w:t>
      </w:r>
      <w:r w:rsidR="00EE4FC3">
        <w:t xml:space="preserve"> </w:t>
      </w:r>
      <w:r w:rsidRPr="00382917">
        <w:t>uncle</w:t>
      </w:r>
      <w:r w:rsidR="00EE4FC3">
        <w:t xml:space="preserve"> </w:t>
      </w:r>
      <w:r w:rsidRPr="00382917">
        <w:t>in</w:t>
      </w:r>
      <w:r w:rsidR="00EE4FC3">
        <w:t xml:space="preserve"> </w:t>
      </w:r>
      <w:r w:rsidRPr="00382917">
        <w:t>the</w:t>
      </w:r>
      <w:r w:rsidR="00EE4FC3">
        <w:t xml:space="preserve"> </w:t>
      </w:r>
      <w:r w:rsidRPr="00382917">
        <w:t>city</w:t>
      </w:r>
      <w:r w:rsidR="00EE4FC3">
        <w:t xml:space="preserve"> </w:t>
      </w:r>
      <w:r w:rsidRPr="00382917">
        <w:t>of</w:t>
      </w:r>
      <w:r w:rsidR="00EE4FC3">
        <w:t xml:space="preserve"> </w:t>
      </w:r>
      <w:r w:rsidR="00CE7A86" w:rsidRPr="00382917">
        <w:t>Bú</w:t>
      </w:r>
      <w:r w:rsidR="00CE7A86" w:rsidRPr="00CE7A86">
        <w:rPr>
          <w:u w:val="single"/>
        </w:rPr>
        <w:t>sh</w:t>
      </w:r>
      <w:r w:rsidR="00CE7A86" w:rsidRPr="00382917">
        <w:t>ihr</w:t>
      </w:r>
      <w:r w:rsidR="00EE4FC3">
        <w:t xml:space="preserve"> </w:t>
      </w:r>
      <w:r w:rsidRPr="00382917">
        <w:t>before</w:t>
      </w:r>
      <w:r w:rsidR="00EE4FC3">
        <w:t xml:space="preserve"> </w:t>
      </w:r>
      <w:r w:rsidRPr="00382917">
        <w:t>coming</w:t>
      </w:r>
      <w:r w:rsidR="00EE4FC3">
        <w:t xml:space="preserve"> </w:t>
      </w:r>
      <w:r w:rsidRPr="00382917">
        <w:t>to</w:t>
      </w:r>
      <w:r w:rsidR="00EE4FC3">
        <w:t xml:space="preserve"> </w:t>
      </w:r>
      <w:r w:rsidRPr="00382917">
        <w:t>live</w:t>
      </w:r>
      <w:r w:rsidR="00EE4FC3">
        <w:t xml:space="preserve"> </w:t>
      </w:r>
      <w:r w:rsidRPr="00382917">
        <w:t>at</w:t>
      </w:r>
      <w:r w:rsidR="00EE4FC3">
        <w:t xml:space="preserve"> </w:t>
      </w:r>
      <w:r w:rsidRPr="00382917">
        <w:t>this</w:t>
      </w:r>
      <w:r w:rsidR="00EE4FC3">
        <w:t xml:space="preserve"> </w:t>
      </w:r>
      <w:r w:rsidRPr="00382917">
        <w:t>time</w:t>
      </w:r>
      <w:r w:rsidR="00EE4FC3">
        <w:t xml:space="preserve"> </w:t>
      </w:r>
      <w:r w:rsidRPr="00382917">
        <w:t>with</w:t>
      </w:r>
      <w:r w:rsidR="00EE4FC3">
        <w:t xml:space="preserve"> </w:t>
      </w:r>
      <w:r w:rsidRPr="00382917">
        <w:t>his</w:t>
      </w:r>
      <w:r w:rsidR="00EE4FC3">
        <w:t xml:space="preserve"> </w:t>
      </w:r>
      <w:r w:rsidRPr="00382917">
        <w:t>uncle</w:t>
      </w:r>
      <w:r w:rsidR="00EE4FC3">
        <w:t xml:space="preserve"> </w:t>
      </w:r>
      <w:r w:rsidRPr="00382917">
        <w:t>in</w:t>
      </w:r>
      <w:r w:rsidR="00EE4FC3">
        <w:t xml:space="preserve"> </w:t>
      </w:r>
      <w:r w:rsidR="008A073E" w:rsidRPr="00382917">
        <w:rPr>
          <w:u w:val="single"/>
        </w:rPr>
        <w:t>Sh</w:t>
      </w:r>
      <w:r w:rsidR="008A073E" w:rsidRPr="00382917">
        <w:t>íráz</w:t>
      </w:r>
      <w:r w:rsidRPr="00382917">
        <w:t>.</w:t>
      </w:r>
      <w:r w:rsidR="00EE4FC3">
        <w:t xml:space="preserve">  </w:t>
      </w:r>
      <w:r w:rsidRPr="00382917">
        <w:t>As</w:t>
      </w:r>
      <w:r w:rsidR="00EE4FC3">
        <w:t xml:space="preserve"> </w:t>
      </w:r>
      <w:r w:rsidRPr="00382917">
        <w:t>Mullá</w:t>
      </w:r>
      <w:r w:rsidR="00EE4FC3">
        <w:t xml:space="preserve"> </w:t>
      </w:r>
      <w:r w:rsidR="00964C11" w:rsidRPr="00382917">
        <w:t>Ḥusayn</w:t>
      </w:r>
      <w:r w:rsidR="00EE4FC3">
        <w:t xml:space="preserve"> </w:t>
      </w:r>
      <w:r w:rsidRPr="00382917">
        <w:t>looked</w:t>
      </w:r>
      <w:r w:rsidR="00EE4FC3">
        <w:t xml:space="preserve"> </w:t>
      </w:r>
      <w:r w:rsidRPr="00382917">
        <w:t>upon</w:t>
      </w:r>
      <w:r w:rsidR="00EE4FC3">
        <w:t xml:space="preserve"> </w:t>
      </w:r>
      <w:r w:rsidRPr="00382917">
        <w:t>the</w:t>
      </w:r>
      <w:r w:rsidR="00EE4FC3">
        <w:t xml:space="preserve"> </w:t>
      </w:r>
      <w:r w:rsidRPr="00382917">
        <w:t>beautiful</w:t>
      </w:r>
      <w:r w:rsidR="00EE4FC3">
        <w:t xml:space="preserve"> </w:t>
      </w:r>
      <w:r w:rsidRPr="00382917">
        <w:t>face</w:t>
      </w:r>
      <w:r w:rsidR="00EE4FC3">
        <w:t xml:space="preserve"> </w:t>
      </w:r>
      <w:r w:rsidRPr="00382917">
        <w:t>of</w:t>
      </w:r>
      <w:r w:rsidR="00EE4FC3">
        <w:t xml:space="preserve"> </w:t>
      </w:r>
      <w:r w:rsidRPr="00382917">
        <w:t>his</w:t>
      </w:r>
      <w:r w:rsidR="00EE4FC3">
        <w:t xml:space="preserve"> </w:t>
      </w:r>
      <w:r w:rsidRPr="00382917">
        <w:t>host</w:t>
      </w:r>
      <w:r w:rsidR="00EE4FC3">
        <w:t xml:space="preserve"> </w:t>
      </w:r>
      <w:r w:rsidRPr="00382917">
        <w:t>what</w:t>
      </w:r>
      <w:r w:rsidR="00EE4FC3">
        <w:t xml:space="preserve"> </w:t>
      </w:r>
      <w:r w:rsidRPr="00382917">
        <w:t>thoughts</w:t>
      </w:r>
      <w:r w:rsidR="00EE4FC3">
        <w:t xml:space="preserve"> </w:t>
      </w:r>
      <w:r w:rsidRPr="00382917">
        <w:t>must</w:t>
      </w:r>
      <w:r w:rsidR="00EE4FC3">
        <w:t xml:space="preserve"> </w:t>
      </w:r>
      <w:r w:rsidRPr="00382917">
        <w:t>have</w:t>
      </w:r>
      <w:r w:rsidR="00EE4FC3">
        <w:t xml:space="preserve"> </w:t>
      </w:r>
      <w:r w:rsidRPr="00382917">
        <w:t>coursed</w:t>
      </w:r>
      <w:r w:rsidR="00EE4FC3">
        <w:t xml:space="preserve"> </w:t>
      </w:r>
      <w:r w:rsidRPr="00382917">
        <w:t>through</w:t>
      </w:r>
      <w:r w:rsidR="00EE4FC3">
        <w:t xml:space="preserve"> </w:t>
      </w:r>
      <w:r w:rsidRPr="00382917">
        <w:t>his</w:t>
      </w:r>
      <w:r w:rsidR="00EE4FC3">
        <w:t xml:space="preserve"> </w:t>
      </w:r>
      <w:r w:rsidRPr="00382917">
        <w:t>mind,</w:t>
      </w:r>
      <w:r w:rsidR="00EE4FC3">
        <w:t xml:space="preserve"> </w:t>
      </w:r>
      <w:r w:rsidRPr="00382917">
        <w:t>for</w:t>
      </w:r>
      <w:r w:rsidR="00EE4FC3">
        <w:t xml:space="preserve"> </w:t>
      </w:r>
      <w:r w:rsidRPr="00382917">
        <w:t>in</w:t>
      </w:r>
      <w:r w:rsidR="00EE4FC3">
        <w:t xml:space="preserve"> </w:t>
      </w:r>
      <w:r w:rsidRPr="00382917">
        <w:t>his</w:t>
      </w:r>
      <w:r w:rsidR="00EE4FC3">
        <w:t xml:space="preserve"> </w:t>
      </w:r>
      <w:r w:rsidRPr="00382917">
        <w:t>name</w:t>
      </w:r>
      <w:r w:rsidR="00EE4FC3">
        <w:t xml:space="preserve"> </w:t>
      </w:r>
      <w:r w:rsidRPr="00382917">
        <w:t>the</w:t>
      </w:r>
      <w:r w:rsidR="00EE4FC3">
        <w:t xml:space="preserve"> </w:t>
      </w:r>
      <w:r w:rsidRPr="00382917">
        <w:t>name</w:t>
      </w:r>
      <w:r w:rsidR="00EE4FC3">
        <w:t xml:space="preserve"> </w:t>
      </w:r>
      <w:r w:rsidRPr="00382917">
        <w:t>of</w:t>
      </w:r>
      <w:r w:rsidR="00EE4FC3">
        <w:t xml:space="preserve"> </w:t>
      </w:r>
      <w:r w:rsidRPr="00382917">
        <w:t>the</w:t>
      </w:r>
      <w:r w:rsidR="00EE4FC3">
        <w:t xml:space="preserve"> </w:t>
      </w:r>
      <w:r w:rsidRPr="00382917">
        <w:t>Guardian</w:t>
      </w:r>
      <w:r w:rsidR="00EE4FC3">
        <w:t xml:space="preserve"> </w:t>
      </w:r>
      <w:r w:rsidRPr="00382917">
        <w:t>[</w:t>
      </w:r>
      <w:r w:rsidR="009C713D" w:rsidRPr="00382917">
        <w:t>‘</w:t>
      </w:r>
      <w:r w:rsidRPr="00382917">
        <w:t>Alí]</w:t>
      </w:r>
      <w:r w:rsidR="00EE4FC3">
        <w:t xml:space="preserve"> </w:t>
      </w:r>
      <w:r w:rsidRPr="00382917">
        <w:t>preceded</w:t>
      </w:r>
      <w:r w:rsidR="00EE4FC3">
        <w:t xml:space="preserve"> </w:t>
      </w:r>
      <w:r w:rsidRPr="00382917">
        <w:t>that</w:t>
      </w:r>
      <w:r w:rsidR="00EE4FC3">
        <w:t xml:space="preserve"> </w:t>
      </w:r>
      <w:r w:rsidRPr="00382917">
        <w:t>of</w:t>
      </w:r>
      <w:r w:rsidR="00EE4FC3">
        <w:t xml:space="preserve"> </w:t>
      </w:r>
      <w:r w:rsidRPr="00382917">
        <w:t>the</w:t>
      </w:r>
      <w:r w:rsidR="00EE4FC3">
        <w:t xml:space="preserve"> </w:t>
      </w:r>
      <w:r w:rsidRPr="00382917">
        <w:t>Prophet</w:t>
      </w:r>
      <w:r w:rsidR="00EE4FC3">
        <w:t xml:space="preserve"> </w:t>
      </w:r>
      <w:r w:rsidRPr="00382917">
        <w:t>[Muḥammad]!</w:t>
      </w:r>
      <w:r w:rsidR="00EE4FC3">
        <w:t xml:space="preserve">  </w:t>
      </w:r>
      <w:r w:rsidRPr="00382917">
        <w:t>He</w:t>
      </w:r>
      <w:r w:rsidR="00EE4FC3">
        <w:t xml:space="preserve"> </w:t>
      </w:r>
      <w:r w:rsidRPr="00382917">
        <w:t>came</w:t>
      </w:r>
      <w:r w:rsidR="00EE4FC3">
        <w:t xml:space="preserve"> </w:t>
      </w:r>
      <w:r w:rsidRPr="00382917">
        <w:t>from</w:t>
      </w:r>
      <w:r w:rsidR="00EE4FC3">
        <w:t xml:space="preserve"> </w:t>
      </w:r>
      <w:r w:rsidRPr="00382917">
        <w:t>the</w:t>
      </w:r>
      <w:r w:rsidR="00EE4FC3">
        <w:t xml:space="preserve"> </w:t>
      </w:r>
      <w:r w:rsidRPr="00382917">
        <w:t>land</w:t>
      </w:r>
      <w:r w:rsidR="00EE4FC3">
        <w:t xml:space="preserve"> </w:t>
      </w:r>
      <w:r w:rsidRPr="00382917">
        <w:t>of</w:t>
      </w:r>
      <w:r w:rsidR="00EE4FC3">
        <w:t xml:space="preserve"> </w:t>
      </w:r>
      <w:r w:rsidRPr="00382917">
        <w:t>Persia.</w:t>
      </w:r>
      <w:r w:rsidR="00EE4FC3">
        <w:t xml:space="preserve">  </w:t>
      </w:r>
      <w:r w:rsidRPr="00382917">
        <w:t>He</w:t>
      </w:r>
      <w:r w:rsidR="00EE4FC3">
        <w:t xml:space="preserve"> </w:t>
      </w:r>
      <w:r w:rsidRPr="00382917">
        <w:t>was</w:t>
      </w:r>
      <w:r w:rsidR="00EE4FC3">
        <w:t xml:space="preserve"> </w:t>
      </w:r>
      <w:r w:rsidRPr="00382917">
        <w:t>announcing</w:t>
      </w:r>
      <w:r w:rsidR="00EE4FC3">
        <w:t xml:space="preserve"> </w:t>
      </w:r>
      <w:r w:rsidRPr="00382917">
        <w:t>himself</w:t>
      </w:r>
      <w:r w:rsidR="00EE4FC3">
        <w:t xml:space="preserve"> </w:t>
      </w:r>
      <w:r w:rsidRPr="00382917">
        <w:t>now</w:t>
      </w:r>
      <w:r w:rsidR="00EE4FC3">
        <w:t xml:space="preserve"> </w:t>
      </w:r>
      <w:r w:rsidRPr="00382917">
        <w:t>in</w:t>
      </w:r>
      <w:r w:rsidR="00EE4FC3">
        <w:t xml:space="preserve"> </w:t>
      </w:r>
      <w:r w:rsidRPr="00382917">
        <w:t>the</w:t>
      </w:r>
      <w:r w:rsidR="00EE4FC3">
        <w:t xml:space="preserve"> </w:t>
      </w:r>
      <w:r w:rsidRPr="00382917">
        <w:t>year</w:t>
      </w:r>
      <w:r w:rsidR="00EE4FC3">
        <w:t xml:space="preserve"> </w:t>
      </w:r>
      <w:r w:rsidR="00CE7A86">
        <w:t>’</w:t>
      </w:r>
      <w:r w:rsidRPr="00382917">
        <w:t>60</w:t>
      </w:r>
      <w:r w:rsidR="00EE4FC3">
        <w:t xml:space="preserve"> </w:t>
      </w:r>
      <w:r w:rsidRPr="00382917">
        <w:t>[1844].</w:t>
      </w:r>
      <w:r w:rsidR="00EE4FC3">
        <w:t xml:space="preserve">  </w:t>
      </w:r>
      <w:r w:rsidRPr="00382917">
        <w:t>Was</w:t>
      </w:r>
      <w:r w:rsidR="00EE4FC3">
        <w:t xml:space="preserve"> </w:t>
      </w:r>
      <w:r w:rsidRPr="00382917">
        <w:t>not</w:t>
      </w:r>
      <w:r w:rsidR="00EE4FC3">
        <w:t xml:space="preserve"> </w:t>
      </w:r>
      <w:r w:rsidRPr="00382917">
        <w:t>all</w:t>
      </w:r>
      <w:r w:rsidR="00EE4FC3">
        <w:t xml:space="preserve"> </w:t>
      </w:r>
      <w:r w:rsidRPr="00382917">
        <w:t>this</w:t>
      </w:r>
      <w:r w:rsidR="00EE4FC3">
        <w:t xml:space="preserve"> </w:t>
      </w:r>
      <w:r w:rsidRPr="00382917">
        <w:t>foretold</w:t>
      </w:r>
      <w:r w:rsidR="00EE4FC3">
        <w:t xml:space="preserve"> </w:t>
      </w:r>
      <w:r w:rsidRPr="00382917">
        <w:t>by</w:t>
      </w:r>
      <w:r w:rsidR="00EE4FC3">
        <w:t xml:space="preserve"> </w:t>
      </w:r>
      <w:r w:rsidRPr="00382917">
        <w:t>Siyyid</w:t>
      </w:r>
      <w:r w:rsidR="00EE4FC3">
        <w:t xml:space="preserve"> </w:t>
      </w:r>
      <w:r w:rsidRPr="00382917">
        <w:t>Káẓim?</w:t>
      </w:r>
    </w:p>
    <w:p w:rsidR="00581CF7" w:rsidRPr="00382917" w:rsidRDefault="00581CF7" w:rsidP="006D18A4">
      <w:pPr>
        <w:pStyle w:val="Text"/>
      </w:pPr>
      <w:r w:rsidRPr="00382917">
        <w:t>Mullá</w:t>
      </w:r>
      <w:r w:rsidR="00EE4FC3">
        <w:t xml:space="preserve"> </w:t>
      </w:r>
      <w:r w:rsidR="00964C11" w:rsidRPr="00382917">
        <w:t>Ḥusayn</w:t>
      </w:r>
      <w:r w:rsidR="00EE4FC3">
        <w:t xml:space="preserve"> </w:t>
      </w:r>
      <w:r w:rsidRPr="00382917">
        <w:t>had</w:t>
      </w:r>
      <w:r w:rsidR="00EE4FC3">
        <w:t xml:space="preserve"> </w:t>
      </w:r>
      <w:r w:rsidRPr="00382917">
        <w:t>two</w:t>
      </w:r>
      <w:r w:rsidR="00EE4FC3">
        <w:t xml:space="preserve"> </w:t>
      </w:r>
      <w:r w:rsidRPr="00382917">
        <w:t>standards</w:t>
      </w:r>
      <w:r w:rsidR="00EE4FC3">
        <w:t xml:space="preserve"> </w:t>
      </w:r>
      <w:r w:rsidRPr="00382917">
        <w:t>whereby</w:t>
      </w:r>
      <w:r w:rsidR="00EE4FC3">
        <w:t xml:space="preserve"> </w:t>
      </w:r>
      <w:r w:rsidRPr="00382917">
        <w:t>he</w:t>
      </w:r>
      <w:r w:rsidR="00EE4FC3">
        <w:t xml:space="preserve"> </w:t>
      </w:r>
      <w:r w:rsidRPr="00382917">
        <w:t>hoped</w:t>
      </w:r>
      <w:r w:rsidR="00EE4FC3">
        <w:t xml:space="preserve"> </w:t>
      </w:r>
      <w:r w:rsidRPr="00382917">
        <w:t>to</w:t>
      </w:r>
      <w:r w:rsidR="00EE4FC3">
        <w:t xml:space="preserve"> </w:t>
      </w:r>
      <w:r w:rsidRPr="00382917">
        <w:t>determine</w:t>
      </w:r>
      <w:r w:rsidR="00EE4FC3">
        <w:t xml:space="preserve"> </w:t>
      </w:r>
      <w:r w:rsidRPr="00382917">
        <w:t>the</w:t>
      </w:r>
      <w:r w:rsidR="00EE4FC3">
        <w:t xml:space="preserve"> </w:t>
      </w:r>
      <w:r w:rsidRPr="00382917">
        <w:t>truth</w:t>
      </w:r>
      <w:r w:rsidR="00EE4FC3">
        <w:t xml:space="preserve"> </w:t>
      </w:r>
      <w:r w:rsidRPr="00382917">
        <w:t>of</w:t>
      </w:r>
      <w:r w:rsidR="00EE4FC3">
        <w:t xml:space="preserve"> </w:t>
      </w:r>
      <w:r w:rsidRPr="00382917">
        <w:t>whoever</w:t>
      </w:r>
      <w:r w:rsidR="00EE4FC3">
        <w:t xml:space="preserve"> </w:t>
      </w:r>
      <w:r w:rsidRPr="00382917">
        <w:t>claimed</w:t>
      </w:r>
      <w:r w:rsidR="00EE4FC3">
        <w:t xml:space="preserve"> </w:t>
      </w:r>
      <w:r w:rsidRPr="00382917">
        <w:t>to</w:t>
      </w:r>
      <w:r w:rsidR="00EE4FC3">
        <w:t xml:space="preserve"> </w:t>
      </w:r>
      <w:r w:rsidRPr="00382917">
        <w:t>be</w:t>
      </w:r>
      <w:r w:rsidR="00EE4FC3">
        <w:t xml:space="preserve"> </w:t>
      </w:r>
      <w:r w:rsidRPr="00382917">
        <w:t>that</w:t>
      </w:r>
      <w:r w:rsidR="00EE4FC3">
        <w:t xml:space="preserve"> </w:t>
      </w:r>
      <w:r w:rsidRPr="00382917">
        <w:t>great</w:t>
      </w:r>
      <w:r w:rsidR="00EE4FC3">
        <w:t xml:space="preserve"> </w:t>
      </w:r>
      <w:r w:rsidRPr="00382917">
        <w:t>Messenger.</w:t>
      </w:r>
      <w:r w:rsidR="00EE4FC3">
        <w:t xml:space="preserve">  </w:t>
      </w:r>
      <w:r w:rsidRPr="00382917">
        <w:t>The</w:t>
      </w:r>
      <w:r w:rsidR="00EE4FC3">
        <w:t xml:space="preserve"> </w:t>
      </w:r>
      <w:r w:rsidRPr="00382917">
        <w:t>first</w:t>
      </w:r>
      <w:r w:rsidR="00EE4FC3">
        <w:t xml:space="preserve"> </w:t>
      </w:r>
      <w:r w:rsidRPr="00382917">
        <w:t>was</w:t>
      </w:r>
      <w:r w:rsidR="00EE4FC3">
        <w:t xml:space="preserve"> </w:t>
      </w:r>
      <w:r w:rsidRPr="00382917">
        <w:t>a</w:t>
      </w:r>
      <w:r w:rsidR="00EE4FC3">
        <w:t xml:space="preserve"> </w:t>
      </w:r>
      <w:r w:rsidRPr="00382917">
        <w:t>treatise</w:t>
      </w:r>
      <w:r w:rsidR="00EE4FC3">
        <w:t xml:space="preserve"> </w:t>
      </w:r>
      <w:r w:rsidRPr="00382917">
        <w:t>which</w:t>
      </w:r>
      <w:r w:rsidR="00EE4FC3">
        <w:t xml:space="preserve"> </w:t>
      </w:r>
      <w:r w:rsidRPr="00382917">
        <w:t>he</w:t>
      </w:r>
      <w:r w:rsidR="00EE4FC3">
        <w:t xml:space="preserve"> </w:t>
      </w:r>
      <w:r w:rsidRPr="00382917">
        <w:t>had</w:t>
      </w:r>
      <w:r w:rsidR="00EE4FC3">
        <w:t xml:space="preserve"> </w:t>
      </w:r>
      <w:r w:rsidRPr="00382917">
        <w:t>composed</w:t>
      </w:r>
      <w:r w:rsidR="00EE4FC3">
        <w:t xml:space="preserve"> </w:t>
      </w:r>
      <w:r w:rsidRPr="00382917">
        <w:t>himself.</w:t>
      </w:r>
      <w:r w:rsidR="00EE4FC3">
        <w:t xml:space="preserve">  </w:t>
      </w:r>
      <w:r w:rsidRPr="00382917">
        <w:t>It</w:t>
      </w:r>
      <w:r w:rsidR="00EE4FC3">
        <w:t xml:space="preserve"> </w:t>
      </w:r>
      <w:r w:rsidRPr="00382917">
        <w:t>dealt</w:t>
      </w:r>
      <w:r w:rsidR="00EE4FC3">
        <w:t xml:space="preserve"> </w:t>
      </w:r>
      <w:r w:rsidRPr="00382917">
        <w:t>with</w:t>
      </w:r>
      <w:r w:rsidR="00EE4FC3">
        <w:t xml:space="preserve"> </w:t>
      </w:r>
      <w:r w:rsidRPr="00382917">
        <w:t>the</w:t>
      </w:r>
      <w:r w:rsidR="00EE4FC3">
        <w:t xml:space="preserve"> </w:t>
      </w:r>
      <w:r w:rsidRPr="00382917">
        <w:t>most</w:t>
      </w:r>
      <w:r w:rsidR="00EE4FC3">
        <w:t xml:space="preserve"> </w:t>
      </w:r>
      <w:r w:rsidRPr="00382917">
        <w:t>difficult</w:t>
      </w:r>
      <w:r w:rsidR="00EE4FC3">
        <w:t xml:space="preserve"> </w:t>
      </w:r>
      <w:r w:rsidRPr="00382917">
        <w:t>hidden</w:t>
      </w:r>
      <w:r w:rsidR="00EE4FC3">
        <w:t xml:space="preserve"> </w:t>
      </w:r>
      <w:r w:rsidRPr="00382917">
        <w:t>teachings</w:t>
      </w:r>
      <w:r w:rsidR="00EE4FC3">
        <w:t xml:space="preserve"> </w:t>
      </w:r>
      <w:r w:rsidRPr="00382917">
        <w:t>of</w:t>
      </w:r>
      <w:r w:rsidR="00EE4FC3">
        <w:t xml:space="preserve"> </w:t>
      </w:r>
      <w:r w:rsidR="008A073E" w:rsidRPr="00382917">
        <w:rPr>
          <w:u w:val="single"/>
        </w:rPr>
        <w:t>Sh</w:t>
      </w:r>
      <w:r w:rsidR="008A073E" w:rsidRPr="00382917">
        <w:t>ay</w:t>
      </w:r>
      <w:r w:rsidR="008A073E" w:rsidRPr="00382917">
        <w:rPr>
          <w:u w:val="single"/>
        </w:rPr>
        <w:t>kh</w:t>
      </w:r>
      <w:r w:rsidR="00EE4FC3">
        <w:t xml:space="preserve"> </w:t>
      </w:r>
      <w:r w:rsidRPr="00382917">
        <w:t>Aḥmad</w:t>
      </w:r>
      <w:r w:rsidR="00EE4FC3">
        <w:t xml:space="preserve"> </w:t>
      </w:r>
      <w:r w:rsidRPr="00382917">
        <w:t>and</w:t>
      </w:r>
      <w:r w:rsidR="00EE4FC3">
        <w:t xml:space="preserve"> </w:t>
      </w:r>
      <w:r w:rsidRPr="00382917">
        <w:t>Siyyid</w:t>
      </w:r>
      <w:r w:rsidR="00EE4FC3">
        <w:t xml:space="preserve"> </w:t>
      </w:r>
      <w:r w:rsidRPr="00382917">
        <w:t>Káẓim.</w:t>
      </w:r>
      <w:r w:rsidR="00EE4FC3">
        <w:t xml:space="preserve">  </w:t>
      </w:r>
      <w:r w:rsidRPr="00382917">
        <w:t>Whoever</w:t>
      </w:r>
      <w:r w:rsidR="00EE4FC3">
        <w:t xml:space="preserve"> </w:t>
      </w:r>
      <w:r w:rsidRPr="00382917">
        <w:t>seemed</w:t>
      </w:r>
      <w:r w:rsidR="00EE4FC3">
        <w:t xml:space="preserve"> </w:t>
      </w:r>
      <w:r w:rsidRPr="00382917">
        <w:t>capable</w:t>
      </w:r>
      <w:r w:rsidR="00EE4FC3">
        <w:t xml:space="preserve"> </w:t>
      </w:r>
      <w:r w:rsidRPr="00382917">
        <w:t>of</w:t>
      </w:r>
      <w:r w:rsidR="00EE4FC3">
        <w:t xml:space="preserve"> </w:t>
      </w:r>
      <w:r w:rsidRPr="00382917">
        <w:t>unravelling</w:t>
      </w:r>
      <w:r w:rsidR="00EE4FC3">
        <w:t xml:space="preserve"> </w:t>
      </w:r>
      <w:r w:rsidRPr="00382917">
        <w:t>its</w:t>
      </w:r>
      <w:r w:rsidR="00EE4FC3">
        <w:t xml:space="preserve"> </w:t>
      </w:r>
      <w:r w:rsidRPr="00382917">
        <w:t>mysteries</w:t>
      </w:r>
      <w:r w:rsidR="00EE4FC3">
        <w:t xml:space="preserve"> </w:t>
      </w:r>
      <w:r w:rsidRPr="00382917">
        <w:t>would</w:t>
      </w:r>
      <w:r w:rsidR="00EE4FC3">
        <w:t xml:space="preserve"> </w:t>
      </w:r>
      <w:r w:rsidRPr="00382917">
        <w:t>then</w:t>
      </w:r>
      <w:r w:rsidR="00EE4FC3">
        <w:t xml:space="preserve"> </w:t>
      </w:r>
      <w:r w:rsidRPr="00382917">
        <w:t>be</w:t>
      </w:r>
      <w:r w:rsidR="00EE4FC3">
        <w:t xml:space="preserve"> </w:t>
      </w:r>
      <w:r w:rsidRPr="00382917">
        <w:t>put</w:t>
      </w:r>
      <w:r w:rsidR="00EE4FC3">
        <w:t xml:space="preserve"> </w:t>
      </w:r>
      <w:r w:rsidRPr="00382917">
        <w:t>to</w:t>
      </w:r>
      <w:r w:rsidR="00EE4FC3">
        <w:t xml:space="preserve"> </w:t>
      </w:r>
      <w:r w:rsidRPr="00382917">
        <w:t>the</w:t>
      </w:r>
      <w:r w:rsidR="00EE4FC3">
        <w:t xml:space="preserve"> </w:t>
      </w:r>
      <w:r w:rsidRPr="00382917">
        <w:t>test</w:t>
      </w:r>
      <w:r w:rsidR="00EE4FC3">
        <w:t xml:space="preserve"> </w:t>
      </w:r>
      <w:r w:rsidRPr="00382917">
        <w:t>of</w:t>
      </w:r>
      <w:r w:rsidR="00EE4FC3">
        <w:t xml:space="preserve"> </w:t>
      </w:r>
      <w:r w:rsidRPr="00382917">
        <w:t>revealing</w:t>
      </w:r>
      <w:r w:rsidR="00EE4FC3">
        <w:t xml:space="preserve"> </w:t>
      </w:r>
      <w:r w:rsidRPr="00382917">
        <w:t>the</w:t>
      </w:r>
      <w:r w:rsidR="00EE4FC3">
        <w:t xml:space="preserve"> </w:t>
      </w:r>
      <w:r w:rsidRPr="00382917">
        <w:t>commentary</w:t>
      </w:r>
      <w:r w:rsidR="00EE4FC3">
        <w:t xml:space="preserve"> </w:t>
      </w:r>
      <w:r w:rsidRPr="00382917">
        <w:t>on</w:t>
      </w:r>
      <w:r w:rsidR="00EE4FC3">
        <w:t xml:space="preserve"> </w:t>
      </w:r>
      <w:r w:rsidRPr="00382917">
        <w:t>the</w:t>
      </w:r>
      <w:r w:rsidR="00EE4FC3">
        <w:t xml:space="preserve"> </w:t>
      </w:r>
      <w:r w:rsidRPr="00382917">
        <w:t>chapter</w:t>
      </w:r>
      <w:r w:rsidR="00EE4FC3">
        <w:t xml:space="preserve"> </w:t>
      </w:r>
      <w:r w:rsidRPr="00382917">
        <w:t>of</w:t>
      </w:r>
      <w:r w:rsidR="00EE4FC3">
        <w:t xml:space="preserve"> </w:t>
      </w:r>
      <w:r w:rsidRPr="00382917">
        <w:t>Joseph.</w:t>
      </w:r>
      <w:r w:rsidR="00EE4FC3">
        <w:t xml:space="preserve">  </w:t>
      </w:r>
      <w:r w:rsidRPr="00382917">
        <w:t>Mullá</w:t>
      </w:r>
      <w:r w:rsidR="00EE4FC3">
        <w:t xml:space="preserve"> </w:t>
      </w:r>
      <w:r w:rsidR="00964C11" w:rsidRPr="00382917">
        <w:t>Ḥusayn</w:t>
      </w:r>
      <w:r w:rsidR="00EE4FC3">
        <w:t xml:space="preserve"> </w:t>
      </w:r>
      <w:r w:rsidRPr="00382917">
        <w:t>recalls</w:t>
      </w:r>
      <w:r w:rsidR="00EE4FC3">
        <w:t xml:space="preserve"> </w:t>
      </w:r>
      <w:r w:rsidRPr="00382917">
        <w:t>the</w:t>
      </w:r>
      <w:r w:rsidR="00EE4FC3">
        <w:t xml:space="preserve"> </w:t>
      </w:r>
      <w:r w:rsidRPr="00382917">
        <w:t>suspense</w:t>
      </w:r>
      <w:r w:rsidR="00EE4FC3">
        <w:t xml:space="preserve"> </w:t>
      </w:r>
      <w:r w:rsidRPr="00382917">
        <w:t>of</w:t>
      </w:r>
      <w:r w:rsidR="00EE4FC3">
        <w:t xml:space="preserve"> </w:t>
      </w:r>
      <w:r w:rsidRPr="00382917">
        <w:t>that</w:t>
      </w:r>
      <w:r w:rsidR="00EE4FC3">
        <w:t xml:space="preserve"> </w:t>
      </w:r>
      <w:r w:rsidRPr="00382917">
        <w:t>moment</w:t>
      </w:r>
      <w:r w:rsidR="00EE4FC3">
        <w:t xml:space="preserve"> </w:t>
      </w:r>
      <w:r w:rsidRPr="00382917">
        <w:t>in</w:t>
      </w:r>
      <w:r w:rsidR="00EE4FC3">
        <w:t xml:space="preserve"> </w:t>
      </w:r>
      <w:r w:rsidRPr="00382917">
        <w:t>these</w:t>
      </w:r>
      <w:r w:rsidR="00EE4FC3">
        <w:t xml:space="preserve"> </w:t>
      </w:r>
      <w:r w:rsidRPr="00382917">
        <w:t>words:</w:t>
      </w:r>
    </w:p>
    <w:p w:rsidR="00581CF7" w:rsidRPr="00382917" w:rsidRDefault="009C713D" w:rsidP="006D18A4">
      <w:pPr>
        <w:pStyle w:val="Text"/>
      </w:pPr>
      <w:r w:rsidRPr="00382917">
        <w:t>“</w:t>
      </w:r>
      <w:r w:rsidR="00581CF7" w:rsidRPr="00382917">
        <w:t>While</w:t>
      </w:r>
      <w:r w:rsidR="00EE4FC3">
        <w:t xml:space="preserve"> </w:t>
      </w:r>
      <w:r w:rsidR="00581CF7" w:rsidRPr="00382917">
        <w:t>I</w:t>
      </w:r>
      <w:r w:rsidR="00EE4FC3">
        <w:t xml:space="preserve"> </w:t>
      </w:r>
      <w:r w:rsidR="00581CF7" w:rsidRPr="00382917">
        <w:t>was</w:t>
      </w:r>
      <w:r w:rsidR="00EE4FC3">
        <w:t xml:space="preserve"> </w:t>
      </w:r>
      <w:r w:rsidR="00581CF7" w:rsidRPr="00382917">
        <w:t>thinking</w:t>
      </w:r>
      <w:r w:rsidR="00EE4FC3">
        <w:t xml:space="preserve"> </w:t>
      </w:r>
      <w:r w:rsidR="00581CF7" w:rsidRPr="00382917">
        <w:t>about</w:t>
      </w:r>
      <w:r w:rsidR="00EE4FC3">
        <w:t xml:space="preserve"> </w:t>
      </w:r>
      <w:r w:rsidR="00581CF7" w:rsidRPr="00382917">
        <w:t>these</w:t>
      </w:r>
      <w:r w:rsidR="00EE4FC3">
        <w:t xml:space="preserve"> </w:t>
      </w:r>
      <w:r w:rsidR="00581CF7" w:rsidRPr="00382917">
        <w:t>things,</w:t>
      </w:r>
      <w:r w:rsidR="00EE4FC3">
        <w:t xml:space="preserve"> </w:t>
      </w:r>
      <w:r w:rsidR="00581CF7" w:rsidRPr="00382917">
        <w:t>my</w:t>
      </w:r>
      <w:r w:rsidR="00EE4FC3">
        <w:t xml:space="preserve"> </w:t>
      </w:r>
      <w:r w:rsidR="00581CF7" w:rsidRPr="00382917">
        <w:t>distinguished</w:t>
      </w:r>
      <w:r w:rsidR="00EE4FC3">
        <w:t xml:space="preserve"> </w:t>
      </w:r>
      <w:r w:rsidR="00581CF7" w:rsidRPr="00382917">
        <w:t>Host</w:t>
      </w:r>
      <w:r w:rsidR="00EE4FC3">
        <w:t xml:space="preserve"> </w:t>
      </w:r>
      <w:r w:rsidR="00581CF7" w:rsidRPr="00382917">
        <w:t>again</w:t>
      </w:r>
      <w:r w:rsidR="00EE4FC3">
        <w:t xml:space="preserve"> </w:t>
      </w:r>
      <w:r w:rsidR="00581CF7" w:rsidRPr="00382917">
        <w:t>remarked:</w:t>
      </w:r>
      <w:r w:rsidR="00EE4FC3">
        <w:t xml:space="preserve">  </w:t>
      </w:r>
      <w:r w:rsidRPr="00382917">
        <w:t>‘</w:t>
      </w:r>
      <w:r w:rsidR="00581CF7" w:rsidRPr="00382917">
        <w:t>Observe</w:t>
      </w:r>
      <w:r w:rsidR="00EE4FC3">
        <w:t xml:space="preserve"> </w:t>
      </w:r>
      <w:r w:rsidR="00581CF7" w:rsidRPr="00382917">
        <w:t>attentively.</w:t>
      </w:r>
      <w:r w:rsidR="00EE4FC3">
        <w:t xml:space="preserve">  </w:t>
      </w:r>
      <w:r w:rsidR="00581CF7" w:rsidRPr="00382917">
        <w:t>Might</w:t>
      </w:r>
      <w:r w:rsidR="00EE4FC3">
        <w:t xml:space="preserve"> </w:t>
      </w:r>
      <w:r w:rsidR="00581CF7" w:rsidRPr="00382917">
        <w:t>not</w:t>
      </w:r>
      <w:r w:rsidR="00EE4FC3">
        <w:t xml:space="preserve"> </w:t>
      </w:r>
      <w:r w:rsidR="00581CF7" w:rsidRPr="00382917">
        <w:t>the</w:t>
      </w:r>
      <w:r w:rsidR="00EE4FC3">
        <w:t xml:space="preserve"> </w:t>
      </w:r>
      <w:r w:rsidR="00581CF7" w:rsidRPr="00382917">
        <w:t>Person</w:t>
      </w:r>
      <w:r w:rsidR="00EE4FC3">
        <w:t xml:space="preserve"> </w:t>
      </w:r>
      <w:r w:rsidR="00581CF7" w:rsidRPr="00382917">
        <w:t>intended</w:t>
      </w:r>
      <w:r w:rsidR="00EE4FC3">
        <w:t xml:space="preserve"> </w:t>
      </w:r>
      <w:r w:rsidR="00581CF7" w:rsidRPr="00382917">
        <w:t>by</w:t>
      </w:r>
      <w:r w:rsidR="00EE4FC3">
        <w:t xml:space="preserve"> </w:t>
      </w:r>
      <w:r w:rsidR="00581CF7" w:rsidRPr="00382917">
        <w:t>Siyyid</w:t>
      </w:r>
      <w:r w:rsidR="00EE4FC3">
        <w:t xml:space="preserve"> </w:t>
      </w:r>
      <w:r w:rsidR="00581CF7" w:rsidRPr="00382917">
        <w:t>Káẓim</w:t>
      </w:r>
      <w:r w:rsidR="00EE4FC3">
        <w:t xml:space="preserve"> </w:t>
      </w:r>
      <w:r w:rsidR="00581CF7" w:rsidRPr="00382917">
        <w:t>be</w:t>
      </w:r>
      <w:r w:rsidR="00EE4FC3">
        <w:t xml:space="preserve"> </w:t>
      </w:r>
      <w:r w:rsidR="00581CF7" w:rsidRPr="00382917">
        <w:t>none</w:t>
      </w:r>
      <w:r w:rsidR="00EE4FC3">
        <w:t xml:space="preserve"> </w:t>
      </w:r>
      <w:r w:rsidR="00581CF7" w:rsidRPr="00382917">
        <w:t>other</w:t>
      </w:r>
      <w:r w:rsidR="00EE4FC3">
        <w:t xml:space="preserve"> </w:t>
      </w:r>
      <w:r w:rsidR="00581CF7" w:rsidRPr="00382917">
        <w:t>than</w:t>
      </w:r>
      <w:r w:rsidR="00EE4FC3">
        <w:t xml:space="preserve"> </w:t>
      </w:r>
      <w:r w:rsidR="00581CF7" w:rsidRPr="00382917">
        <w:t>I?</w:t>
      </w:r>
      <w:r w:rsidRPr="00382917">
        <w:t>’</w:t>
      </w:r>
    </w:p>
    <w:p w:rsidR="00581CF7" w:rsidRPr="00382917" w:rsidRDefault="009C713D" w:rsidP="006D18A4">
      <w:pPr>
        <w:pStyle w:val="Text"/>
      </w:pPr>
      <w:r w:rsidRPr="00382917">
        <w:t>“</w:t>
      </w:r>
      <w:r w:rsidR="00581CF7" w:rsidRPr="00382917">
        <w:t>I</w:t>
      </w:r>
      <w:r w:rsidR="00EE4FC3">
        <w:t xml:space="preserve"> </w:t>
      </w:r>
      <w:r w:rsidR="00581CF7" w:rsidRPr="00382917">
        <w:t>thereupon</w:t>
      </w:r>
      <w:r w:rsidR="00EE4FC3">
        <w:t xml:space="preserve"> </w:t>
      </w:r>
      <w:r w:rsidR="00581CF7" w:rsidRPr="00382917">
        <w:t>felt</w:t>
      </w:r>
      <w:r w:rsidR="00EE4FC3">
        <w:t xml:space="preserve"> </w:t>
      </w:r>
      <w:r w:rsidR="00581CF7" w:rsidRPr="00382917">
        <w:t>impelled</w:t>
      </w:r>
      <w:r w:rsidR="00EE4FC3">
        <w:t xml:space="preserve"> </w:t>
      </w:r>
      <w:r w:rsidR="00581CF7" w:rsidRPr="00382917">
        <w:t>to</w:t>
      </w:r>
      <w:r w:rsidR="00EE4FC3">
        <w:t xml:space="preserve"> </w:t>
      </w:r>
      <w:r w:rsidR="00581CF7" w:rsidRPr="00382917">
        <w:t>offer</w:t>
      </w:r>
      <w:r w:rsidR="00EE4FC3">
        <w:t xml:space="preserve"> </w:t>
      </w:r>
      <w:r w:rsidR="00581CF7" w:rsidRPr="00382917">
        <w:t>Him</w:t>
      </w:r>
      <w:r w:rsidR="00EE4FC3">
        <w:t xml:space="preserve"> </w:t>
      </w:r>
      <w:r w:rsidR="00581CF7" w:rsidRPr="00382917">
        <w:t>my</w:t>
      </w:r>
      <w:r w:rsidR="00EE4FC3">
        <w:t xml:space="preserve"> </w:t>
      </w:r>
      <w:r w:rsidR="00581CF7" w:rsidRPr="00382917">
        <w:t>own</w:t>
      </w:r>
      <w:r w:rsidR="00EE4FC3">
        <w:t xml:space="preserve"> </w:t>
      </w:r>
      <w:r w:rsidR="00581CF7" w:rsidRPr="00382917">
        <w:t>treatise.</w:t>
      </w:r>
      <w:r w:rsidR="00EE4FC3">
        <w:t xml:space="preserve">  </w:t>
      </w:r>
      <w:r w:rsidRPr="00382917">
        <w:t>‘</w:t>
      </w:r>
      <w:r w:rsidR="00581CF7" w:rsidRPr="00382917">
        <w:t>Will</w:t>
      </w:r>
      <w:r w:rsidR="00EE4FC3">
        <w:t xml:space="preserve"> </w:t>
      </w:r>
      <w:r w:rsidR="00581CF7" w:rsidRPr="00382917">
        <w:t>you</w:t>
      </w:r>
      <w:r w:rsidR="00EE4FC3">
        <w:t xml:space="preserve"> </w:t>
      </w:r>
      <w:r w:rsidR="00581CF7" w:rsidRPr="00382917">
        <w:t>read</w:t>
      </w:r>
      <w:r w:rsidR="00EE4FC3">
        <w:t xml:space="preserve"> </w:t>
      </w:r>
      <w:r w:rsidR="00581CF7" w:rsidRPr="00382917">
        <w:t>this</w:t>
      </w:r>
      <w:r w:rsidR="00EE4FC3">
        <w:t xml:space="preserve"> </w:t>
      </w:r>
      <w:r w:rsidR="00581CF7" w:rsidRPr="00382917">
        <w:t>book</w:t>
      </w:r>
      <w:r w:rsidR="00EE4FC3">
        <w:t xml:space="preserve"> </w:t>
      </w:r>
      <w:r w:rsidR="00581CF7" w:rsidRPr="00382917">
        <w:t>of</w:t>
      </w:r>
      <w:r w:rsidR="00EE4FC3">
        <w:t xml:space="preserve"> </w:t>
      </w:r>
      <w:r w:rsidR="00581CF7" w:rsidRPr="00382917">
        <w:t>mine,</w:t>
      </w:r>
      <w:r w:rsidRPr="00382917">
        <w:t>’</w:t>
      </w:r>
      <w:r w:rsidR="00EE4FC3">
        <w:t xml:space="preserve"> </w:t>
      </w:r>
      <w:r w:rsidR="00581CF7" w:rsidRPr="00382917">
        <w:t>I</w:t>
      </w:r>
      <w:r w:rsidR="00EE4FC3">
        <w:t xml:space="preserve"> </w:t>
      </w:r>
      <w:r w:rsidR="00581CF7" w:rsidRPr="00382917">
        <w:t>asked</w:t>
      </w:r>
      <w:r w:rsidR="00EE4FC3">
        <w:t xml:space="preserve"> </w:t>
      </w:r>
      <w:r w:rsidR="00581CF7" w:rsidRPr="00382917">
        <w:t>Him,</w:t>
      </w:r>
      <w:r w:rsidR="00EE4FC3">
        <w:t xml:space="preserve"> </w:t>
      </w:r>
      <w:r w:rsidRPr="00382917">
        <w:t>‘</w:t>
      </w:r>
      <w:r w:rsidR="00581CF7" w:rsidRPr="00382917">
        <w:t>and</w:t>
      </w:r>
      <w:r w:rsidR="00EE4FC3">
        <w:t xml:space="preserve"> </w:t>
      </w:r>
      <w:r w:rsidR="00581CF7" w:rsidRPr="00382917">
        <w:t>look</w:t>
      </w:r>
      <w:r w:rsidR="00EE4FC3">
        <w:t xml:space="preserve"> </w:t>
      </w:r>
      <w:r w:rsidR="00581CF7" w:rsidRPr="00382917">
        <w:t>at</w:t>
      </w:r>
      <w:r w:rsidR="00EE4FC3">
        <w:t xml:space="preserve"> </w:t>
      </w:r>
      <w:r w:rsidR="00581CF7" w:rsidRPr="00382917">
        <w:t>its</w:t>
      </w:r>
      <w:r w:rsidR="00EE4FC3">
        <w:t xml:space="preserve"> </w:t>
      </w:r>
      <w:r w:rsidR="00581CF7" w:rsidRPr="00382917">
        <w:t>pages</w:t>
      </w:r>
      <w:r w:rsidR="00EE4FC3">
        <w:t xml:space="preserve"> </w:t>
      </w:r>
      <w:r w:rsidR="00581CF7" w:rsidRPr="00382917">
        <w:t>with</w:t>
      </w:r>
      <w:r w:rsidR="00EE4FC3">
        <w:t xml:space="preserve"> </w:t>
      </w:r>
      <w:r w:rsidR="00581CF7" w:rsidRPr="00382917">
        <w:t>indulgent</w:t>
      </w:r>
      <w:r w:rsidR="00EE4FC3">
        <w:t xml:space="preserve"> </w:t>
      </w:r>
      <w:r w:rsidR="00581CF7" w:rsidRPr="00382917">
        <w:t>eyes?</w:t>
      </w:r>
      <w:r w:rsidRPr="00382917">
        <w:t>’</w:t>
      </w:r>
    </w:p>
    <w:p w:rsidR="00581CF7" w:rsidRPr="00382917" w:rsidRDefault="009C713D" w:rsidP="006D18A4">
      <w:pPr>
        <w:pStyle w:val="Text"/>
      </w:pPr>
      <w:r w:rsidRPr="00382917">
        <w:t>“</w:t>
      </w:r>
      <w:r w:rsidR="00581CF7" w:rsidRPr="00382917">
        <w:t>He</w:t>
      </w:r>
      <w:r w:rsidR="00EE4FC3">
        <w:t xml:space="preserve"> </w:t>
      </w:r>
      <w:r w:rsidR="00581CF7" w:rsidRPr="00382917">
        <w:t>opened</w:t>
      </w:r>
      <w:r w:rsidR="00EE4FC3">
        <w:t xml:space="preserve"> </w:t>
      </w:r>
      <w:r w:rsidR="00581CF7" w:rsidRPr="00382917">
        <w:t>the</w:t>
      </w:r>
      <w:r w:rsidR="00EE4FC3">
        <w:t xml:space="preserve"> </w:t>
      </w:r>
      <w:r w:rsidR="00581CF7" w:rsidRPr="00382917">
        <w:t>book,</w:t>
      </w:r>
      <w:r w:rsidR="00EE4FC3">
        <w:t xml:space="preserve"> </w:t>
      </w:r>
      <w:r w:rsidR="00581CF7" w:rsidRPr="00382917">
        <w:t>glanced</w:t>
      </w:r>
      <w:r w:rsidR="00EE4FC3">
        <w:t xml:space="preserve"> </w:t>
      </w:r>
      <w:r w:rsidR="00581CF7" w:rsidRPr="00382917">
        <w:t>briefly</w:t>
      </w:r>
      <w:r w:rsidR="00EE4FC3">
        <w:t xml:space="preserve"> </w:t>
      </w:r>
      <w:r w:rsidR="00581CF7" w:rsidRPr="00382917">
        <w:t>at</w:t>
      </w:r>
      <w:r w:rsidR="00EE4FC3">
        <w:t xml:space="preserve"> </w:t>
      </w:r>
      <w:r w:rsidR="00581CF7" w:rsidRPr="00382917">
        <w:t>certain</w:t>
      </w:r>
      <w:r w:rsidR="00EE4FC3">
        <w:t xml:space="preserve"> </w:t>
      </w:r>
      <w:r w:rsidR="00581CF7" w:rsidRPr="00382917">
        <w:t>passages,</w:t>
      </w:r>
      <w:r w:rsidR="00EE4FC3">
        <w:t xml:space="preserve"> </w:t>
      </w:r>
      <w:r w:rsidR="00581CF7" w:rsidRPr="00382917">
        <w:t>closed</w:t>
      </w:r>
      <w:r w:rsidR="00EE4FC3">
        <w:t xml:space="preserve"> </w:t>
      </w:r>
      <w:r w:rsidR="00581CF7" w:rsidRPr="00382917">
        <w:t>it,</w:t>
      </w:r>
      <w:r w:rsidR="00EE4FC3">
        <w:t xml:space="preserve"> </w:t>
      </w:r>
      <w:r w:rsidR="00581CF7" w:rsidRPr="00382917">
        <w:t>and</w:t>
      </w:r>
      <w:r w:rsidR="00EE4FC3">
        <w:t xml:space="preserve"> </w:t>
      </w:r>
      <w:r w:rsidR="00581CF7" w:rsidRPr="00382917">
        <w:t>began</w:t>
      </w:r>
      <w:r w:rsidR="00EE4FC3">
        <w:t xml:space="preserve"> </w:t>
      </w:r>
      <w:r w:rsidR="00581CF7" w:rsidRPr="00382917">
        <w:t>to</w:t>
      </w:r>
      <w:r w:rsidR="00EE4FC3">
        <w:t xml:space="preserve"> </w:t>
      </w:r>
      <w:r w:rsidR="00581CF7" w:rsidRPr="00382917">
        <w:t>speak</w:t>
      </w:r>
      <w:r w:rsidR="00EE4FC3">
        <w:t xml:space="preserve"> </w:t>
      </w:r>
      <w:r w:rsidR="00581CF7" w:rsidRPr="00382917">
        <w:t>to</w:t>
      </w:r>
      <w:r w:rsidR="00EE4FC3">
        <w:t xml:space="preserve"> </w:t>
      </w:r>
      <w:r w:rsidR="00581CF7" w:rsidRPr="00382917">
        <w:t>me.</w:t>
      </w:r>
      <w:r w:rsidR="00EE4FC3">
        <w:t xml:space="preserve">  </w:t>
      </w:r>
      <w:r w:rsidR="00581CF7" w:rsidRPr="00382917">
        <w:t>Within</w:t>
      </w:r>
      <w:r w:rsidR="00EE4FC3">
        <w:t xml:space="preserve"> </w:t>
      </w:r>
      <w:r w:rsidR="00581CF7" w:rsidRPr="00382917">
        <w:t>a</w:t>
      </w:r>
      <w:r w:rsidR="00EE4FC3">
        <w:t xml:space="preserve"> </w:t>
      </w:r>
      <w:r w:rsidR="00581CF7" w:rsidRPr="00382917">
        <w:t>few</w:t>
      </w:r>
      <w:r w:rsidR="00EE4FC3">
        <w:t xml:space="preserve"> </w:t>
      </w:r>
      <w:r w:rsidR="00581CF7" w:rsidRPr="00382917">
        <w:t>minutes</w:t>
      </w:r>
      <w:r w:rsidR="00EE4FC3">
        <w:t xml:space="preserve"> </w:t>
      </w:r>
      <w:r w:rsidR="00581CF7" w:rsidRPr="00382917">
        <w:t>He</w:t>
      </w:r>
      <w:r w:rsidR="00EE4FC3">
        <w:t xml:space="preserve"> </w:t>
      </w:r>
      <w:r w:rsidR="00581CF7" w:rsidRPr="00382917">
        <w:t>had,</w:t>
      </w:r>
      <w:r w:rsidR="00EE4FC3">
        <w:t xml:space="preserve"> </w:t>
      </w:r>
      <w:r w:rsidR="00581CF7" w:rsidRPr="00382917">
        <w:t>with</w:t>
      </w:r>
      <w:r w:rsidR="00EE4FC3">
        <w:t xml:space="preserve"> </w:t>
      </w:r>
      <w:proofErr w:type="spellStart"/>
      <w:r w:rsidR="00581CF7" w:rsidRPr="00382917">
        <w:t>vigor</w:t>
      </w:r>
      <w:proofErr w:type="spellEnd"/>
      <w:r w:rsidR="00EE4FC3">
        <w:t xml:space="preserve"> </w:t>
      </w:r>
      <w:r w:rsidR="00581CF7" w:rsidRPr="00382917">
        <w:t>and</w:t>
      </w:r>
      <w:r w:rsidR="00EE4FC3">
        <w:t xml:space="preserve"> </w:t>
      </w:r>
      <w:r w:rsidR="00581CF7" w:rsidRPr="00382917">
        <w:t>charm,</w:t>
      </w:r>
      <w:r w:rsidR="00EE4FC3">
        <w:t xml:space="preserve"> </w:t>
      </w:r>
      <w:r w:rsidR="00581CF7" w:rsidRPr="00382917">
        <w:t>unravelled</w:t>
      </w:r>
      <w:r w:rsidR="00EE4FC3">
        <w:t xml:space="preserve"> </w:t>
      </w:r>
      <w:r w:rsidR="00581CF7" w:rsidRPr="00382917">
        <w:t>all</w:t>
      </w:r>
      <w:r w:rsidR="00EE4FC3">
        <w:t xml:space="preserve"> </w:t>
      </w:r>
      <w:r w:rsidR="00581CF7" w:rsidRPr="00382917">
        <w:t>its</w:t>
      </w:r>
      <w:r w:rsidR="00EE4FC3">
        <w:t xml:space="preserve"> </w:t>
      </w:r>
      <w:r w:rsidR="00581CF7" w:rsidRPr="00382917">
        <w:t>mysteries</w:t>
      </w:r>
      <w:r w:rsidR="00EE4FC3">
        <w:t xml:space="preserve"> </w:t>
      </w:r>
      <w:r w:rsidR="00581CF7" w:rsidRPr="00382917">
        <w:t>and</w:t>
      </w:r>
      <w:r w:rsidR="00EE4FC3">
        <w:t xml:space="preserve"> </w:t>
      </w:r>
      <w:r w:rsidR="00581CF7" w:rsidRPr="00382917">
        <w:t>resolved</w:t>
      </w:r>
      <w:r w:rsidR="00EE4FC3">
        <w:t xml:space="preserve"> </w:t>
      </w:r>
      <w:r w:rsidR="00581CF7" w:rsidRPr="00382917">
        <w:t>all</w:t>
      </w:r>
      <w:r w:rsidR="00EE4FC3">
        <w:t xml:space="preserve"> </w:t>
      </w:r>
      <w:r w:rsidR="00581CF7" w:rsidRPr="00382917">
        <w:t>the</w:t>
      </w:r>
      <w:r w:rsidR="00EE4FC3">
        <w:t xml:space="preserve"> </w:t>
      </w:r>
      <w:r w:rsidR="00581CF7" w:rsidRPr="00382917">
        <w:t>problems</w:t>
      </w:r>
      <w:r w:rsidR="00EE4FC3">
        <w:t xml:space="preserve"> </w:t>
      </w:r>
      <w:r w:rsidR="00581CF7" w:rsidRPr="00382917">
        <w:t>that</w:t>
      </w:r>
      <w:r w:rsidR="00EE4FC3">
        <w:t xml:space="preserve"> </w:t>
      </w:r>
      <w:r w:rsidR="00581CF7" w:rsidRPr="00382917">
        <w:t>had</w:t>
      </w:r>
      <w:r w:rsidR="00EE4FC3">
        <w:t xml:space="preserve"> </w:t>
      </w:r>
      <w:r w:rsidR="00581CF7" w:rsidRPr="00382917">
        <w:t>troubled</w:t>
      </w:r>
      <w:r w:rsidR="00EE4FC3">
        <w:t xml:space="preserve"> </w:t>
      </w:r>
      <w:r w:rsidR="00581CF7" w:rsidRPr="00382917">
        <w:t>me.</w:t>
      </w:r>
      <w:r w:rsidR="00EE4FC3">
        <w:t xml:space="preserve">  </w:t>
      </w:r>
      <w:r w:rsidR="00581CF7" w:rsidRPr="00382917">
        <w:t>He,</w:t>
      </w:r>
      <w:r w:rsidR="00EE4FC3">
        <w:t xml:space="preserve"> </w:t>
      </w:r>
      <w:r w:rsidR="00581CF7" w:rsidRPr="00382917">
        <w:t>further,</w:t>
      </w:r>
      <w:r w:rsidR="00EE4FC3">
        <w:t xml:space="preserve"> </w:t>
      </w:r>
      <w:r w:rsidR="00581CF7" w:rsidRPr="00382917">
        <w:t>informed</w:t>
      </w:r>
      <w:r w:rsidR="00EE4FC3">
        <w:t xml:space="preserve"> </w:t>
      </w:r>
      <w:r w:rsidR="00581CF7" w:rsidRPr="00382917">
        <w:t>me</w:t>
      </w:r>
      <w:r w:rsidR="00EE4FC3">
        <w:t xml:space="preserve"> </w:t>
      </w:r>
      <w:r w:rsidR="00581CF7" w:rsidRPr="00382917">
        <w:t>of</w:t>
      </w:r>
      <w:r w:rsidR="00EE4FC3">
        <w:t xml:space="preserve"> </w:t>
      </w:r>
      <w:r w:rsidR="00581CF7" w:rsidRPr="00382917">
        <w:t>certain</w:t>
      </w:r>
      <w:r w:rsidR="00EE4FC3">
        <w:t xml:space="preserve"> </w:t>
      </w:r>
      <w:r w:rsidR="00581CF7" w:rsidRPr="00382917">
        <w:t>truths</w:t>
      </w:r>
      <w:r w:rsidR="00EE4FC3">
        <w:t xml:space="preserve"> </w:t>
      </w:r>
      <w:r w:rsidR="00581CF7" w:rsidRPr="00382917">
        <w:t>which</w:t>
      </w:r>
      <w:r w:rsidR="00EE4FC3">
        <w:t xml:space="preserve"> </w:t>
      </w:r>
      <w:r w:rsidR="00581CF7" w:rsidRPr="00382917">
        <w:t>could</w:t>
      </w:r>
      <w:r w:rsidR="00EE4FC3">
        <w:t xml:space="preserve"> </w:t>
      </w:r>
      <w:r w:rsidR="00581CF7" w:rsidRPr="00382917">
        <w:t>not</w:t>
      </w:r>
      <w:r w:rsidR="00EE4FC3">
        <w:t xml:space="preserve"> </w:t>
      </w:r>
      <w:r w:rsidR="00581CF7" w:rsidRPr="00382917">
        <w:t>be</w:t>
      </w:r>
      <w:r w:rsidR="00EE4FC3">
        <w:t xml:space="preserve"> </w:t>
      </w:r>
      <w:r w:rsidR="00581CF7" w:rsidRPr="00382917">
        <w:t>found</w:t>
      </w:r>
      <w:r w:rsidR="00EE4FC3">
        <w:t xml:space="preserve"> </w:t>
      </w:r>
      <w:r w:rsidR="00581CF7" w:rsidRPr="00382917">
        <w:t>in</w:t>
      </w:r>
      <w:r w:rsidR="00EE4FC3">
        <w:t xml:space="preserve"> </w:t>
      </w:r>
      <w:r w:rsidR="00581CF7" w:rsidRPr="00382917">
        <w:t>any</w:t>
      </w:r>
      <w:r w:rsidR="00EE4FC3">
        <w:t xml:space="preserve"> </w:t>
      </w:r>
      <w:r w:rsidR="00581CF7" w:rsidRPr="00382917">
        <w:t>of</w:t>
      </w:r>
      <w:r w:rsidR="00EE4FC3">
        <w:t xml:space="preserve"> </w:t>
      </w:r>
      <w:r w:rsidR="00581CF7" w:rsidRPr="00382917">
        <w:t>the</w:t>
      </w:r>
      <w:r w:rsidR="00EE4FC3">
        <w:t xml:space="preserve"> </w:t>
      </w:r>
      <w:r w:rsidR="00581CF7" w:rsidRPr="00382917">
        <w:t>writings</w:t>
      </w:r>
      <w:r w:rsidR="00EE4FC3">
        <w:t xml:space="preserve"> </w:t>
      </w:r>
      <w:r w:rsidR="00581CF7" w:rsidRPr="00382917">
        <w:t>of</w:t>
      </w:r>
      <w:r w:rsidR="00EE4FC3">
        <w:t xml:space="preserve"> </w:t>
      </w:r>
      <w:r w:rsidR="00581CF7" w:rsidRPr="00382917">
        <w:t>Siyyid</w:t>
      </w:r>
      <w:r w:rsidR="00EE4FC3">
        <w:t xml:space="preserve"> </w:t>
      </w:r>
      <w:r w:rsidR="00581CF7" w:rsidRPr="00382917">
        <w:t>Káẓim</w:t>
      </w:r>
      <w:r w:rsidR="00EE4FC3">
        <w:t xml:space="preserve"> </w:t>
      </w:r>
      <w:r w:rsidR="00581CF7" w:rsidRPr="00382917">
        <w:t>or</w:t>
      </w:r>
      <w:r w:rsidR="00EE4FC3">
        <w:t xml:space="preserve"> </w:t>
      </w:r>
      <w:r w:rsidR="008A073E" w:rsidRPr="00382917">
        <w:rPr>
          <w:u w:val="single"/>
        </w:rPr>
        <w:t>Sh</w:t>
      </w:r>
      <w:r w:rsidR="008A073E" w:rsidRPr="00382917">
        <w:t>ay</w:t>
      </w:r>
      <w:r w:rsidR="008A073E" w:rsidRPr="00382917">
        <w:rPr>
          <w:u w:val="single"/>
        </w:rPr>
        <w:t>kh</w:t>
      </w:r>
      <w:r w:rsidR="00EE4FC3">
        <w:t xml:space="preserve"> </w:t>
      </w:r>
      <w:r w:rsidR="00581CF7" w:rsidRPr="00382917">
        <w:t>Aḥmad.</w:t>
      </w:r>
      <w:r w:rsidR="00EE4FC3">
        <w:t xml:space="preserve">  </w:t>
      </w:r>
      <w:r w:rsidR="00581CF7" w:rsidRPr="00382917">
        <w:t>These</w:t>
      </w:r>
      <w:r w:rsidR="00EE4FC3">
        <w:t xml:space="preserve"> </w:t>
      </w:r>
      <w:r w:rsidR="00581CF7" w:rsidRPr="00382917">
        <w:t>teachings,</w:t>
      </w:r>
      <w:r w:rsidR="00EE4FC3">
        <w:t xml:space="preserve"> </w:t>
      </w:r>
      <w:r w:rsidR="00581CF7" w:rsidRPr="00382917">
        <w:t>which</w:t>
      </w:r>
      <w:r w:rsidR="00EE4FC3">
        <w:t xml:space="preserve"> </w:t>
      </w:r>
      <w:r w:rsidR="00581CF7" w:rsidRPr="00382917">
        <w:t>I</w:t>
      </w:r>
      <w:r w:rsidR="00EE4FC3">
        <w:t xml:space="preserve"> </w:t>
      </w:r>
      <w:r w:rsidR="00581CF7" w:rsidRPr="00382917">
        <w:t>had</w:t>
      </w:r>
      <w:r w:rsidR="00EE4FC3">
        <w:t xml:space="preserve"> </w:t>
      </w:r>
      <w:r w:rsidR="00581CF7" w:rsidRPr="00382917">
        <w:t>never</w:t>
      </w:r>
      <w:r w:rsidR="00EE4FC3">
        <w:t xml:space="preserve"> </w:t>
      </w:r>
      <w:r w:rsidR="00581CF7" w:rsidRPr="00382917">
        <w:t>heard</w:t>
      </w:r>
    </w:p>
    <w:p w:rsidR="006D18A4" w:rsidRPr="00382917" w:rsidRDefault="006D18A4">
      <w:pPr>
        <w:widowControl/>
        <w:kinsoku/>
        <w:overflowPunct/>
        <w:textAlignment w:val="auto"/>
      </w:pPr>
      <w:r w:rsidRPr="00382917">
        <w:br w:type="page"/>
      </w:r>
    </w:p>
    <w:p w:rsidR="00581CF7" w:rsidRPr="00382917" w:rsidRDefault="00581CF7" w:rsidP="006D18A4">
      <w:pPr>
        <w:pStyle w:val="Textcts"/>
      </w:pPr>
      <w:proofErr w:type="gramStart"/>
      <w:r w:rsidRPr="00382917">
        <w:t>before</w:t>
      </w:r>
      <w:proofErr w:type="gramEnd"/>
      <w:r w:rsidRPr="00382917">
        <w:t>,</w:t>
      </w:r>
      <w:r w:rsidR="00EE4FC3">
        <w:t xml:space="preserve"> </w:t>
      </w:r>
      <w:r w:rsidRPr="00382917">
        <w:t>seemed</w:t>
      </w:r>
      <w:r w:rsidR="00EE4FC3">
        <w:t xml:space="preserve"> </w:t>
      </w:r>
      <w:r w:rsidRPr="00382917">
        <w:t>to</w:t>
      </w:r>
      <w:r w:rsidR="00EE4FC3">
        <w:t xml:space="preserve"> </w:t>
      </w:r>
      <w:r w:rsidRPr="00382917">
        <w:t>be</w:t>
      </w:r>
      <w:r w:rsidR="00EE4FC3">
        <w:t xml:space="preserve"> </w:t>
      </w:r>
      <w:r w:rsidRPr="00382917">
        <w:t>endowed</w:t>
      </w:r>
      <w:r w:rsidR="00EE4FC3">
        <w:t xml:space="preserve"> </w:t>
      </w:r>
      <w:r w:rsidRPr="00382917">
        <w:t>with</w:t>
      </w:r>
      <w:r w:rsidR="00EE4FC3">
        <w:t xml:space="preserve"> </w:t>
      </w:r>
      <w:r w:rsidRPr="00382917">
        <w:t>a</w:t>
      </w:r>
      <w:r w:rsidR="00EE4FC3">
        <w:t xml:space="preserve"> </w:t>
      </w:r>
      <w:r w:rsidRPr="00382917">
        <w:t>refreshing</w:t>
      </w:r>
      <w:r w:rsidR="00EE4FC3">
        <w:t xml:space="preserve"> </w:t>
      </w:r>
      <w:r w:rsidRPr="00382917">
        <w:t>vividness</w:t>
      </w:r>
      <w:r w:rsidR="00EE4FC3">
        <w:t xml:space="preserve"> </w:t>
      </w:r>
      <w:r w:rsidRPr="00382917">
        <w:t>and</w:t>
      </w:r>
      <w:r w:rsidR="00EE4FC3">
        <w:t xml:space="preserve"> </w:t>
      </w:r>
      <w:r w:rsidRPr="00382917">
        <w:t>power.</w:t>
      </w:r>
    </w:p>
    <w:p w:rsidR="00581CF7" w:rsidRPr="00382917" w:rsidRDefault="009C713D" w:rsidP="006D18A4">
      <w:pPr>
        <w:pStyle w:val="Text"/>
      </w:pPr>
      <w:r w:rsidRPr="00382917">
        <w:t>“‘</w:t>
      </w:r>
      <w:r w:rsidR="00581CF7" w:rsidRPr="00382917">
        <w:t>By</w:t>
      </w:r>
      <w:r w:rsidR="00EE4FC3">
        <w:t xml:space="preserve"> </w:t>
      </w:r>
      <w:r w:rsidR="00581CF7" w:rsidRPr="00382917">
        <w:t>the</w:t>
      </w:r>
      <w:r w:rsidR="00EE4FC3">
        <w:t xml:space="preserve"> </w:t>
      </w:r>
      <w:r w:rsidR="00581CF7" w:rsidRPr="00382917">
        <w:t>righteousness</w:t>
      </w:r>
      <w:r w:rsidR="00EE4FC3">
        <w:t xml:space="preserve"> </w:t>
      </w:r>
      <w:r w:rsidR="00581CF7" w:rsidRPr="00382917">
        <w:t>of</w:t>
      </w:r>
      <w:r w:rsidR="00EE4FC3">
        <w:t xml:space="preserve"> </w:t>
      </w:r>
      <w:r w:rsidR="00581CF7" w:rsidRPr="00382917">
        <w:t>God!</w:t>
      </w:r>
      <w:proofErr w:type="gramStart"/>
      <w:r w:rsidRPr="00382917">
        <w:t>’</w:t>
      </w:r>
      <w:r w:rsidR="00EE4FC3">
        <w:t xml:space="preserve"> </w:t>
      </w:r>
      <w:proofErr w:type="gramEnd"/>
      <w:r w:rsidR="00581CF7" w:rsidRPr="00382917">
        <w:t>He</w:t>
      </w:r>
      <w:r w:rsidR="00EE4FC3">
        <w:t xml:space="preserve"> </w:t>
      </w:r>
      <w:r w:rsidR="00581CF7" w:rsidRPr="00382917">
        <w:t>exclaimed,</w:t>
      </w:r>
      <w:r w:rsidR="00EE4FC3">
        <w:t xml:space="preserve"> </w:t>
      </w:r>
      <w:r w:rsidR="00CE7A86">
        <w:t>‘</w:t>
      </w:r>
      <w:r w:rsidR="00581CF7" w:rsidRPr="00382917">
        <w:t>It</w:t>
      </w:r>
      <w:r w:rsidR="00EE4FC3">
        <w:t xml:space="preserve"> </w:t>
      </w:r>
      <w:proofErr w:type="spellStart"/>
      <w:r w:rsidR="00581CF7" w:rsidRPr="00382917">
        <w:t>behooves</w:t>
      </w:r>
      <w:proofErr w:type="spellEnd"/>
      <w:r w:rsidR="00EE4FC3">
        <w:t xml:space="preserve"> </w:t>
      </w:r>
      <w:r w:rsidR="00581CF7" w:rsidRPr="00382917">
        <w:t>in</w:t>
      </w:r>
      <w:r w:rsidR="00EE4FC3">
        <w:t xml:space="preserve"> </w:t>
      </w:r>
      <w:r w:rsidR="00581CF7" w:rsidRPr="00382917">
        <w:t>this</w:t>
      </w:r>
      <w:r w:rsidR="00EE4FC3">
        <w:t xml:space="preserve"> </w:t>
      </w:r>
      <w:r w:rsidR="00581CF7" w:rsidRPr="00382917">
        <w:t>day,</w:t>
      </w:r>
      <w:r w:rsidR="00EE4FC3">
        <w:t xml:space="preserve"> </w:t>
      </w:r>
      <w:r w:rsidR="00581CF7" w:rsidRPr="00382917">
        <w:t>the</w:t>
      </w:r>
      <w:r w:rsidR="00EE4FC3">
        <w:t xml:space="preserve"> </w:t>
      </w:r>
      <w:r w:rsidR="00581CF7" w:rsidRPr="00382917">
        <w:t>peoples</w:t>
      </w:r>
      <w:r w:rsidR="00EE4FC3">
        <w:t xml:space="preserve"> </w:t>
      </w:r>
      <w:r w:rsidR="00581CF7" w:rsidRPr="00382917">
        <w:t>and</w:t>
      </w:r>
      <w:r w:rsidR="00EE4FC3">
        <w:t xml:space="preserve"> </w:t>
      </w:r>
      <w:r w:rsidR="00581CF7" w:rsidRPr="00382917">
        <w:t>nations</w:t>
      </w:r>
      <w:r w:rsidR="00EE4FC3">
        <w:t xml:space="preserve"> </w:t>
      </w:r>
      <w:r w:rsidR="00581CF7" w:rsidRPr="00382917">
        <w:t>of</w:t>
      </w:r>
      <w:r w:rsidR="00EE4FC3">
        <w:t xml:space="preserve"> </w:t>
      </w:r>
      <w:r w:rsidR="00581CF7" w:rsidRPr="00382917">
        <w:t>both</w:t>
      </w:r>
      <w:r w:rsidR="00EE4FC3">
        <w:t xml:space="preserve"> </w:t>
      </w:r>
      <w:r w:rsidR="00581CF7" w:rsidRPr="00382917">
        <w:t>the</w:t>
      </w:r>
      <w:r w:rsidR="00EE4FC3">
        <w:t xml:space="preserve"> </w:t>
      </w:r>
      <w:r w:rsidR="00581CF7" w:rsidRPr="00382917">
        <w:t>East</w:t>
      </w:r>
      <w:r w:rsidR="00EE4FC3">
        <w:t xml:space="preserve"> </w:t>
      </w:r>
      <w:r w:rsidR="00581CF7" w:rsidRPr="00382917">
        <w:t>and</w:t>
      </w:r>
      <w:r w:rsidR="00EE4FC3">
        <w:t xml:space="preserve"> </w:t>
      </w:r>
      <w:r w:rsidR="00581CF7" w:rsidRPr="00382917">
        <w:t>the</w:t>
      </w:r>
      <w:r w:rsidR="00EE4FC3">
        <w:t xml:space="preserve"> </w:t>
      </w:r>
      <w:r w:rsidR="00581CF7" w:rsidRPr="00382917">
        <w:t>West</w:t>
      </w:r>
      <w:r w:rsidR="00EE4FC3">
        <w:t xml:space="preserve"> </w:t>
      </w:r>
      <w:r w:rsidR="00581CF7" w:rsidRPr="00382917">
        <w:t>to</w:t>
      </w:r>
      <w:r w:rsidR="00EE4FC3">
        <w:t xml:space="preserve"> </w:t>
      </w:r>
      <w:r w:rsidR="00581CF7" w:rsidRPr="00382917">
        <w:t>hasten</w:t>
      </w:r>
      <w:r w:rsidR="00EE4FC3">
        <w:t xml:space="preserve"> </w:t>
      </w:r>
      <w:r w:rsidR="00581CF7" w:rsidRPr="00382917">
        <w:t>to</w:t>
      </w:r>
      <w:r w:rsidR="00EE4FC3">
        <w:t xml:space="preserve"> </w:t>
      </w:r>
      <w:r w:rsidR="00581CF7" w:rsidRPr="00382917">
        <w:t>this</w:t>
      </w:r>
      <w:r w:rsidR="00EE4FC3">
        <w:t xml:space="preserve"> </w:t>
      </w:r>
      <w:r w:rsidR="00581CF7" w:rsidRPr="00382917">
        <w:t>threshold.</w:t>
      </w:r>
      <w:r w:rsidR="00EE4FC3">
        <w:t xml:space="preserve">  </w:t>
      </w:r>
      <w:r w:rsidR="00581CF7" w:rsidRPr="00382917">
        <w:t>It</w:t>
      </w:r>
      <w:r w:rsidR="00EE4FC3">
        <w:t xml:space="preserve"> </w:t>
      </w:r>
      <w:proofErr w:type="spellStart"/>
      <w:r w:rsidR="00581CF7" w:rsidRPr="00382917">
        <w:t>behooves</w:t>
      </w:r>
      <w:proofErr w:type="spellEnd"/>
      <w:r w:rsidR="00EE4FC3">
        <w:t xml:space="preserve"> </w:t>
      </w:r>
      <w:r w:rsidR="00581CF7" w:rsidRPr="00382917">
        <w:t>them</w:t>
      </w:r>
      <w:r w:rsidR="00EE4FC3">
        <w:t xml:space="preserve"> </w:t>
      </w:r>
      <w:r w:rsidR="00581CF7" w:rsidRPr="00382917">
        <w:t>to</w:t>
      </w:r>
      <w:r w:rsidR="00EE4FC3">
        <w:t xml:space="preserve"> </w:t>
      </w:r>
      <w:r w:rsidR="00581CF7" w:rsidRPr="00382917">
        <w:t>arise,</w:t>
      </w:r>
      <w:r w:rsidR="00EE4FC3">
        <w:t xml:space="preserve"> </w:t>
      </w:r>
      <w:r w:rsidR="00581CF7" w:rsidRPr="00382917">
        <w:t>as</w:t>
      </w:r>
      <w:r w:rsidR="00EE4FC3">
        <w:t xml:space="preserve"> </w:t>
      </w:r>
      <w:r w:rsidR="00581CF7" w:rsidRPr="00382917">
        <w:t>earnestly</w:t>
      </w:r>
      <w:r w:rsidR="00EE4FC3">
        <w:t xml:space="preserve"> </w:t>
      </w:r>
      <w:r w:rsidR="00581CF7" w:rsidRPr="00382917">
        <w:t>and</w:t>
      </w:r>
      <w:r w:rsidR="00EE4FC3">
        <w:t xml:space="preserve"> </w:t>
      </w:r>
      <w:r w:rsidR="00581CF7" w:rsidRPr="00382917">
        <w:t>as</w:t>
      </w:r>
      <w:r w:rsidR="00EE4FC3">
        <w:t xml:space="preserve"> </w:t>
      </w:r>
      <w:r w:rsidR="00581CF7" w:rsidRPr="00382917">
        <w:t>spontaneously</w:t>
      </w:r>
      <w:r w:rsidR="00EE4FC3">
        <w:t xml:space="preserve"> </w:t>
      </w:r>
      <w:r w:rsidR="00581CF7" w:rsidRPr="00382917">
        <w:t>as</w:t>
      </w:r>
      <w:r w:rsidR="00EE4FC3">
        <w:t xml:space="preserve"> </w:t>
      </w:r>
      <w:r w:rsidR="00581CF7" w:rsidRPr="00382917">
        <w:t>you</w:t>
      </w:r>
      <w:r w:rsidR="00EE4FC3">
        <w:t xml:space="preserve"> </w:t>
      </w:r>
      <w:r w:rsidR="00581CF7" w:rsidRPr="00382917">
        <w:t>have</w:t>
      </w:r>
      <w:r w:rsidR="00EE4FC3">
        <w:t xml:space="preserve"> </w:t>
      </w:r>
      <w:r w:rsidR="00581CF7" w:rsidRPr="00382917">
        <w:t>arisen,</w:t>
      </w:r>
      <w:r w:rsidR="00EE4FC3">
        <w:t xml:space="preserve"> </w:t>
      </w:r>
      <w:r w:rsidR="00581CF7" w:rsidRPr="00382917">
        <w:t>and</w:t>
      </w:r>
      <w:r w:rsidR="00EE4FC3">
        <w:t xml:space="preserve"> </w:t>
      </w:r>
      <w:r w:rsidR="00581CF7" w:rsidRPr="00382917">
        <w:t>to</w:t>
      </w:r>
      <w:r w:rsidR="00EE4FC3">
        <w:t xml:space="preserve"> </w:t>
      </w:r>
      <w:r w:rsidR="00581CF7" w:rsidRPr="00382917">
        <w:t>seek</w:t>
      </w:r>
      <w:r w:rsidR="00EE4FC3">
        <w:t xml:space="preserve"> </w:t>
      </w:r>
      <w:r w:rsidR="00581CF7" w:rsidRPr="00382917">
        <w:t>with</w:t>
      </w:r>
      <w:r w:rsidR="00EE4FC3">
        <w:t xml:space="preserve"> </w:t>
      </w:r>
      <w:r w:rsidR="00581CF7" w:rsidRPr="00382917">
        <w:t>determination</w:t>
      </w:r>
      <w:r w:rsidR="00EE4FC3">
        <w:t xml:space="preserve"> </w:t>
      </w:r>
      <w:r w:rsidR="00581CF7" w:rsidRPr="00382917">
        <w:t>and</w:t>
      </w:r>
      <w:r w:rsidR="00EE4FC3">
        <w:t xml:space="preserve"> </w:t>
      </w:r>
      <w:r w:rsidR="00581CF7" w:rsidRPr="00382917">
        <w:t>constancy</w:t>
      </w:r>
      <w:r w:rsidR="00EE4FC3">
        <w:t xml:space="preserve"> </w:t>
      </w:r>
      <w:r w:rsidR="00581CF7" w:rsidRPr="00382917">
        <w:t>their</w:t>
      </w:r>
      <w:r w:rsidR="00EE4FC3">
        <w:t xml:space="preserve"> </w:t>
      </w:r>
      <w:r w:rsidR="00581CF7" w:rsidRPr="00382917">
        <w:t>promised</w:t>
      </w:r>
      <w:r w:rsidR="00EE4FC3">
        <w:t xml:space="preserve"> </w:t>
      </w:r>
      <w:r w:rsidR="00581CF7" w:rsidRPr="00382917">
        <w:t>Beloved.</w:t>
      </w:r>
      <w:r w:rsidRPr="00382917">
        <w:t>’</w:t>
      </w:r>
    </w:p>
    <w:p w:rsidR="00581CF7" w:rsidRPr="00382917" w:rsidRDefault="009C713D" w:rsidP="006D18A4">
      <w:pPr>
        <w:pStyle w:val="Text"/>
      </w:pPr>
      <w:r w:rsidRPr="00382917">
        <w:t>“</w:t>
      </w:r>
      <w:r w:rsidR="00581CF7" w:rsidRPr="00382917">
        <w:t>Then</w:t>
      </w:r>
      <w:r w:rsidR="00EE4FC3">
        <w:t xml:space="preserve"> </w:t>
      </w:r>
      <w:r w:rsidR="00581CF7" w:rsidRPr="00382917">
        <w:t>He</w:t>
      </w:r>
      <w:r w:rsidR="00EE4FC3">
        <w:t xml:space="preserve"> </w:t>
      </w:r>
      <w:r w:rsidR="00581CF7" w:rsidRPr="00382917">
        <w:t>looked</w:t>
      </w:r>
      <w:r w:rsidR="00EE4FC3">
        <w:t xml:space="preserve"> </w:t>
      </w:r>
      <w:r w:rsidR="00581CF7" w:rsidRPr="00382917">
        <w:t>at</w:t>
      </w:r>
      <w:r w:rsidR="00EE4FC3">
        <w:t xml:space="preserve"> </w:t>
      </w:r>
      <w:r w:rsidR="00581CF7" w:rsidRPr="00382917">
        <w:t>me,</w:t>
      </w:r>
      <w:r w:rsidR="00EE4FC3">
        <w:t xml:space="preserve"> </w:t>
      </w:r>
      <w:r w:rsidR="00581CF7" w:rsidRPr="00382917">
        <w:t>smiled,</w:t>
      </w:r>
      <w:r w:rsidR="00EE4FC3">
        <w:t xml:space="preserve"> </w:t>
      </w:r>
      <w:r w:rsidR="00581CF7" w:rsidRPr="00382917">
        <w:t>and</w:t>
      </w:r>
      <w:r w:rsidR="00EE4FC3">
        <w:t xml:space="preserve"> </w:t>
      </w:r>
      <w:r w:rsidR="00581CF7" w:rsidRPr="00382917">
        <w:t>said:</w:t>
      </w:r>
      <w:r w:rsidR="00EE4FC3">
        <w:t xml:space="preserve">  </w:t>
      </w:r>
      <w:r w:rsidRPr="00382917">
        <w:t>‘</w:t>
      </w:r>
      <w:r w:rsidR="00581CF7" w:rsidRPr="00382917">
        <w:t>Now</w:t>
      </w:r>
      <w:r w:rsidR="00EE4FC3">
        <w:t xml:space="preserve"> </w:t>
      </w:r>
      <w:r w:rsidR="00581CF7" w:rsidRPr="00382917">
        <w:t>is</w:t>
      </w:r>
      <w:r w:rsidR="00EE4FC3">
        <w:t xml:space="preserve"> </w:t>
      </w:r>
      <w:r w:rsidR="00581CF7" w:rsidRPr="00382917">
        <w:t>the</w:t>
      </w:r>
      <w:r w:rsidR="00EE4FC3">
        <w:t xml:space="preserve"> </w:t>
      </w:r>
      <w:r w:rsidR="00581CF7" w:rsidRPr="00382917">
        <w:t>time</w:t>
      </w:r>
      <w:r w:rsidR="00EE4FC3">
        <w:t xml:space="preserve"> </w:t>
      </w:r>
      <w:r w:rsidR="00581CF7" w:rsidRPr="00382917">
        <w:t>to</w:t>
      </w:r>
      <w:r w:rsidR="00EE4FC3">
        <w:t xml:space="preserve"> </w:t>
      </w:r>
      <w:r w:rsidR="00581CF7" w:rsidRPr="00382917">
        <w:t>reveal</w:t>
      </w:r>
      <w:r w:rsidR="00EE4FC3">
        <w:t xml:space="preserve"> </w:t>
      </w:r>
      <w:r w:rsidR="00581CF7" w:rsidRPr="00382917">
        <w:t>the</w:t>
      </w:r>
      <w:r w:rsidR="00EE4FC3">
        <w:t xml:space="preserve"> </w:t>
      </w:r>
      <w:r w:rsidR="00581CF7" w:rsidRPr="00382917">
        <w:t>commentary</w:t>
      </w:r>
      <w:r w:rsidR="00EE4FC3">
        <w:t xml:space="preserve"> </w:t>
      </w:r>
      <w:r w:rsidR="00581CF7" w:rsidRPr="00382917">
        <w:t>on</w:t>
      </w:r>
      <w:r w:rsidR="00EE4FC3">
        <w:t xml:space="preserve"> </w:t>
      </w:r>
      <w:r w:rsidR="00581CF7" w:rsidRPr="00382917">
        <w:t>the</w:t>
      </w:r>
      <w:r w:rsidR="00EE4FC3">
        <w:t xml:space="preserve"> </w:t>
      </w:r>
      <w:r w:rsidR="00581CF7" w:rsidRPr="00382917">
        <w:t>Súrih</w:t>
      </w:r>
      <w:r w:rsidR="00EE4FC3">
        <w:t xml:space="preserve"> </w:t>
      </w:r>
      <w:r w:rsidR="00581CF7" w:rsidRPr="00382917">
        <w:t>[Chapter]</w:t>
      </w:r>
      <w:r w:rsidR="00EE4FC3">
        <w:t xml:space="preserve"> </w:t>
      </w:r>
      <w:r w:rsidR="00581CF7" w:rsidRPr="00382917">
        <w:t>of</w:t>
      </w:r>
      <w:r w:rsidR="00EE4FC3">
        <w:t xml:space="preserve"> </w:t>
      </w:r>
      <w:r w:rsidR="00581CF7" w:rsidRPr="00382917">
        <w:t>Joseph.</w:t>
      </w:r>
      <w:r w:rsidRPr="00382917">
        <w:t>’”</w:t>
      </w:r>
    </w:p>
    <w:p w:rsidR="00581CF7" w:rsidRPr="00382917" w:rsidRDefault="00581CF7" w:rsidP="006D18A4">
      <w:pPr>
        <w:pStyle w:val="Text"/>
      </w:pPr>
      <w:r w:rsidRPr="00382917">
        <w:t>It</w:t>
      </w:r>
      <w:r w:rsidR="00EE4FC3">
        <w:t xml:space="preserve"> </w:t>
      </w:r>
      <w:r w:rsidRPr="00382917">
        <w:t>all</w:t>
      </w:r>
      <w:r w:rsidR="00EE4FC3">
        <w:t xml:space="preserve"> </w:t>
      </w:r>
      <w:r w:rsidRPr="00382917">
        <w:t>happened</w:t>
      </w:r>
      <w:r w:rsidR="00EE4FC3">
        <w:t xml:space="preserve"> </w:t>
      </w:r>
      <w:r w:rsidRPr="00382917">
        <w:t>just</w:t>
      </w:r>
      <w:r w:rsidR="00EE4FC3">
        <w:t xml:space="preserve"> </w:t>
      </w:r>
      <w:r w:rsidRPr="00382917">
        <w:t>as</w:t>
      </w:r>
      <w:r w:rsidR="00EE4FC3">
        <w:t xml:space="preserve"> </w:t>
      </w:r>
      <w:r w:rsidRPr="00382917">
        <w:t>Siyyid</w:t>
      </w:r>
      <w:r w:rsidR="00EE4FC3">
        <w:t xml:space="preserve"> </w:t>
      </w:r>
      <w:r w:rsidRPr="00382917">
        <w:t>Káẓim</w:t>
      </w:r>
      <w:r w:rsidR="00EE4FC3">
        <w:t xml:space="preserve"> </w:t>
      </w:r>
      <w:r w:rsidRPr="00382917">
        <w:t>had</w:t>
      </w:r>
      <w:r w:rsidR="00EE4FC3">
        <w:t xml:space="preserve"> </w:t>
      </w:r>
      <w:r w:rsidRPr="00382917">
        <w:t>foretold</w:t>
      </w:r>
      <w:r w:rsidR="00EE4FC3">
        <w:t xml:space="preserve"> </w:t>
      </w:r>
      <w:r w:rsidRPr="00382917">
        <w:t>it</w:t>
      </w:r>
      <w:r w:rsidR="00EE4FC3">
        <w:t xml:space="preserve"> </w:t>
      </w:r>
      <w:r w:rsidRPr="00382917">
        <w:t>to</w:t>
      </w:r>
      <w:r w:rsidR="00EE4FC3">
        <w:t xml:space="preserve"> </w:t>
      </w:r>
      <w:r w:rsidRPr="00382917">
        <w:t>Mullá</w:t>
      </w:r>
      <w:r w:rsidR="00EE4FC3">
        <w:t xml:space="preserve"> </w:t>
      </w:r>
      <w:r w:rsidR="00964C11" w:rsidRPr="00382917">
        <w:t>Ḥusayn</w:t>
      </w:r>
      <w:r w:rsidRPr="00382917">
        <w:t>.</w:t>
      </w:r>
      <w:r w:rsidR="00EE4FC3">
        <w:t xml:space="preserve">  </w:t>
      </w:r>
      <w:r w:rsidR="009C713D" w:rsidRPr="00382917">
        <w:t>“</w:t>
      </w:r>
      <w:r w:rsidRPr="00382917">
        <w:t>The</w:t>
      </w:r>
      <w:r w:rsidR="00EE4FC3">
        <w:t xml:space="preserve"> </w:t>
      </w:r>
      <w:r w:rsidRPr="00382917">
        <w:t>Beloved</w:t>
      </w:r>
      <w:r w:rsidR="00EE4FC3">
        <w:t xml:space="preserve"> </w:t>
      </w:r>
      <w:r w:rsidRPr="00382917">
        <w:t>in</w:t>
      </w:r>
      <w:r w:rsidR="00EE4FC3">
        <w:t xml:space="preserve"> </w:t>
      </w:r>
      <w:r w:rsidRPr="00382917">
        <w:t>that</w:t>
      </w:r>
      <w:r w:rsidR="00EE4FC3">
        <w:t xml:space="preserve"> </w:t>
      </w:r>
      <w:r w:rsidRPr="00382917">
        <w:t>hour,</w:t>
      </w:r>
      <w:r w:rsidR="009C713D" w:rsidRPr="00382917">
        <w:t>”</w:t>
      </w:r>
      <w:r w:rsidR="00EE4FC3">
        <w:t xml:space="preserve"> </w:t>
      </w:r>
      <w:r w:rsidRPr="00382917">
        <w:t>he</w:t>
      </w:r>
      <w:r w:rsidR="00EE4FC3">
        <w:t xml:space="preserve"> </w:t>
      </w:r>
      <w:r w:rsidRPr="00382917">
        <w:t>had</w:t>
      </w:r>
      <w:r w:rsidR="00EE4FC3">
        <w:t xml:space="preserve"> </w:t>
      </w:r>
      <w:r w:rsidRPr="00382917">
        <w:t>promised,</w:t>
      </w:r>
      <w:r w:rsidR="00EE4FC3">
        <w:t xml:space="preserve"> </w:t>
      </w:r>
      <w:r w:rsidR="009C713D" w:rsidRPr="00382917">
        <w:t>“</w:t>
      </w:r>
      <w:r w:rsidRPr="00382917">
        <w:t>will</w:t>
      </w:r>
      <w:r w:rsidR="00EE4FC3">
        <w:t xml:space="preserve"> </w:t>
      </w:r>
      <w:r w:rsidRPr="00382917">
        <w:t>reveal</w:t>
      </w:r>
      <w:r w:rsidR="00EE4FC3">
        <w:t xml:space="preserve"> </w:t>
      </w:r>
      <w:r w:rsidRPr="00382917">
        <w:t>the</w:t>
      </w:r>
      <w:r w:rsidR="00EE4FC3">
        <w:t xml:space="preserve"> </w:t>
      </w:r>
      <w:r w:rsidRPr="00382917">
        <w:t>commentary</w:t>
      </w:r>
      <w:r w:rsidR="00EE4FC3">
        <w:t xml:space="preserve"> </w:t>
      </w:r>
      <w:r w:rsidRPr="00382917">
        <w:t>on</w:t>
      </w:r>
      <w:r w:rsidR="00EE4FC3">
        <w:t xml:space="preserve"> </w:t>
      </w:r>
      <w:r w:rsidRPr="00382917">
        <w:t>the</w:t>
      </w:r>
      <w:r w:rsidR="00EE4FC3">
        <w:t xml:space="preserve"> </w:t>
      </w:r>
      <w:r w:rsidRPr="00382917">
        <w:t>story</w:t>
      </w:r>
      <w:r w:rsidR="00EE4FC3">
        <w:t xml:space="preserve"> </w:t>
      </w:r>
      <w:r w:rsidRPr="00382917">
        <w:t>of</w:t>
      </w:r>
      <w:r w:rsidR="00EE4FC3">
        <w:t xml:space="preserve"> </w:t>
      </w:r>
      <w:r w:rsidRPr="00382917">
        <w:t>Joseph,</w:t>
      </w:r>
      <w:r w:rsidR="00EE4FC3">
        <w:t xml:space="preserve"> </w:t>
      </w:r>
      <w:r w:rsidRPr="00382917">
        <w:t>unasked!</w:t>
      </w:r>
      <w:r w:rsidR="009C713D" w:rsidRPr="00382917">
        <w:t>”</w:t>
      </w:r>
    </w:p>
    <w:p w:rsidR="00581CF7" w:rsidRPr="00382917" w:rsidRDefault="00581CF7" w:rsidP="006D18A4">
      <w:pPr>
        <w:pStyle w:val="Text"/>
      </w:pPr>
      <w:r w:rsidRPr="00382917">
        <w:t>The</w:t>
      </w:r>
      <w:r w:rsidR="00EE4FC3">
        <w:t xml:space="preserve"> </w:t>
      </w:r>
      <w:r w:rsidRPr="00382917">
        <w:t>Báb</w:t>
      </w:r>
      <w:r w:rsidR="00EE4FC3">
        <w:t xml:space="preserve"> </w:t>
      </w:r>
      <w:r w:rsidRPr="00382917">
        <w:t>took</w:t>
      </w:r>
      <w:r w:rsidR="00EE4FC3">
        <w:t xml:space="preserve"> </w:t>
      </w:r>
      <w:r w:rsidRPr="00382917">
        <w:t>up</w:t>
      </w:r>
      <w:r w:rsidR="00EE4FC3">
        <w:t xml:space="preserve"> </w:t>
      </w:r>
      <w:r w:rsidRPr="00382917">
        <w:t>His</w:t>
      </w:r>
      <w:r w:rsidR="00EE4FC3">
        <w:t xml:space="preserve"> </w:t>
      </w:r>
      <w:r w:rsidRPr="00382917">
        <w:t>pen</w:t>
      </w:r>
      <w:r w:rsidR="00EE4FC3">
        <w:t xml:space="preserve"> </w:t>
      </w:r>
      <w:r w:rsidRPr="00382917">
        <w:t>and</w:t>
      </w:r>
      <w:r w:rsidR="00EE4FC3">
        <w:t xml:space="preserve"> </w:t>
      </w:r>
      <w:r w:rsidRPr="00382917">
        <w:t>with</w:t>
      </w:r>
      <w:r w:rsidR="00EE4FC3">
        <w:t xml:space="preserve"> </w:t>
      </w:r>
      <w:r w:rsidRPr="00382917">
        <w:t>incredible</w:t>
      </w:r>
      <w:r w:rsidR="00EE4FC3">
        <w:t xml:space="preserve"> </w:t>
      </w:r>
      <w:r w:rsidRPr="00382917">
        <w:t>rapidity</w:t>
      </w:r>
      <w:r w:rsidR="00EE4FC3">
        <w:t xml:space="preserve"> </w:t>
      </w:r>
      <w:r w:rsidRPr="00382917">
        <w:t>revealed</w:t>
      </w:r>
      <w:r w:rsidR="00EE4FC3">
        <w:t xml:space="preserve"> </w:t>
      </w:r>
      <w:r w:rsidRPr="00382917">
        <w:t>the</w:t>
      </w:r>
      <w:r w:rsidR="00EE4FC3">
        <w:t xml:space="preserve"> </w:t>
      </w:r>
      <w:r w:rsidRPr="00382917">
        <w:t>entire</w:t>
      </w:r>
      <w:r w:rsidR="00EE4FC3">
        <w:t xml:space="preserve"> </w:t>
      </w:r>
      <w:r w:rsidRPr="00382917">
        <w:t>first</w:t>
      </w:r>
      <w:r w:rsidR="00EE4FC3">
        <w:t xml:space="preserve"> </w:t>
      </w:r>
      <w:r w:rsidRPr="00382917">
        <w:t>chapter</w:t>
      </w:r>
      <w:r w:rsidR="00EE4FC3">
        <w:t xml:space="preserve"> </w:t>
      </w:r>
      <w:r w:rsidRPr="00382917">
        <w:t>of</w:t>
      </w:r>
      <w:r w:rsidR="00EE4FC3">
        <w:t xml:space="preserve"> </w:t>
      </w:r>
      <w:r w:rsidRPr="00382917">
        <w:t>His</w:t>
      </w:r>
      <w:r w:rsidR="00EE4FC3">
        <w:t xml:space="preserve"> </w:t>
      </w:r>
      <w:r w:rsidRPr="00382917">
        <w:t>commentary</w:t>
      </w:r>
      <w:r w:rsidR="00EE4FC3">
        <w:t xml:space="preserve"> </w:t>
      </w:r>
      <w:r w:rsidRPr="00382917">
        <w:t>on</w:t>
      </w:r>
      <w:r w:rsidR="00EE4FC3">
        <w:t xml:space="preserve"> </w:t>
      </w:r>
      <w:r w:rsidRPr="00382917">
        <w:t>thee</w:t>
      </w:r>
      <w:r w:rsidR="00EE4FC3">
        <w:t xml:space="preserve"> </w:t>
      </w:r>
      <w:r w:rsidRPr="00382917">
        <w:t>chapter</w:t>
      </w:r>
      <w:r w:rsidR="00EE4FC3">
        <w:t xml:space="preserve"> </w:t>
      </w:r>
      <w:r w:rsidRPr="00382917">
        <w:t>of</w:t>
      </w:r>
      <w:r w:rsidR="00EE4FC3">
        <w:t xml:space="preserve"> </w:t>
      </w:r>
      <w:r w:rsidRPr="00382917">
        <w:t>Joseph.</w:t>
      </w:r>
      <w:r w:rsidR="00EE4FC3">
        <w:t xml:space="preserve">  </w:t>
      </w:r>
      <w:r w:rsidRPr="00382917">
        <w:t>In</w:t>
      </w:r>
      <w:r w:rsidR="00EE4FC3">
        <w:t xml:space="preserve"> </w:t>
      </w:r>
      <w:r w:rsidRPr="00382917">
        <w:t>this</w:t>
      </w:r>
      <w:r w:rsidR="00EE4FC3">
        <w:t xml:space="preserve"> </w:t>
      </w:r>
      <w:r w:rsidRPr="00382917">
        <w:t>book,</w:t>
      </w:r>
      <w:r w:rsidR="00EE4FC3">
        <w:t xml:space="preserve"> </w:t>
      </w:r>
      <w:r w:rsidRPr="00382917">
        <w:t>He</w:t>
      </w:r>
      <w:r w:rsidR="00EE4FC3">
        <w:t xml:space="preserve"> </w:t>
      </w:r>
      <w:r w:rsidRPr="00382917">
        <w:t>prophesied</w:t>
      </w:r>
      <w:r w:rsidR="00EE4FC3">
        <w:t xml:space="preserve"> </w:t>
      </w:r>
      <w:r w:rsidRPr="00382917">
        <w:t>His</w:t>
      </w:r>
      <w:r w:rsidR="00EE4FC3">
        <w:t xml:space="preserve"> </w:t>
      </w:r>
      <w:r w:rsidRPr="00382917">
        <w:t>own</w:t>
      </w:r>
      <w:r w:rsidR="00EE4FC3">
        <w:t xml:space="preserve"> </w:t>
      </w:r>
      <w:r w:rsidRPr="00382917">
        <w:t>martyrdom.</w:t>
      </w:r>
      <w:r w:rsidR="00EE4FC3">
        <w:t xml:space="preserve">  </w:t>
      </w:r>
      <w:r w:rsidRPr="00382917">
        <w:t>The</w:t>
      </w:r>
      <w:r w:rsidR="00EE4FC3">
        <w:t xml:space="preserve"> </w:t>
      </w:r>
      <w:r w:rsidRPr="00382917">
        <w:t>overpowering</w:t>
      </w:r>
      <w:r w:rsidR="00EE4FC3">
        <w:t xml:space="preserve"> </w:t>
      </w:r>
      <w:r w:rsidRPr="00382917">
        <w:t>effect</w:t>
      </w:r>
      <w:r w:rsidR="00EE4FC3">
        <w:t xml:space="preserve"> </w:t>
      </w:r>
      <w:r w:rsidRPr="00382917">
        <w:t>of</w:t>
      </w:r>
      <w:r w:rsidR="00EE4FC3">
        <w:t xml:space="preserve"> </w:t>
      </w:r>
      <w:r w:rsidRPr="00382917">
        <w:t>the</w:t>
      </w:r>
      <w:r w:rsidR="00EE4FC3">
        <w:t xml:space="preserve"> </w:t>
      </w:r>
      <w:r w:rsidRPr="00382917">
        <w:t>manner</w:t>
      </w:r>
      <w:r w:rsidR="00EE4FC3">
        <w:t xml:space="preserve"> </w:t>
      </w:r>
      <w:r w:rsidRPr="00382917">
        <w:t>in</w:t>
      </w:r>
      <w:r w:rsidR="00EE4FC3">
        <w:t xml:space="preserve"> </w:t>
      </w:r>
      <w:r w:rsidRPr="00382917">
        <w:t>which</w:t>
      </w:r>
      <w:r w:rsidR="00EE4FC3">
        <w:t xml:space="preserve"> </w:t>
      </w:r>
      <w:r w:rsidRPr="00382917">
        <w:t>he</w:t>
      </w:r>
      <w:r w:rsidR="00EE4FC3">
        <w:t xml:space="preserve"> </w:t>
      </w:r>
      <w:r w:rsidRPr="00382917">
        <w:t>wrote</w:t>
      </w:r>
      <w:r w:rsidR="00EE4FC3">
        <w:t xml:space="preserve"> </w:t>
      </w:r>
      <w:r w:rsidRPr="00382917">
        <w:t>was</w:t>
      </w:r>
      <w:r w:rsidR="00EE4FC3">
        <w:t xml:space="preserve"> </w:t>
      </w:r>
      <w:r w:rsidRPr="00382917">
        <w:t>heightened</w:t>
      </w:r>
      <w:r w:rsidR="00EE4FC3">
        <w:t xml:space="preserve"> </w:t>
      </w:r>
      <w:r w:rsidRPr="00382917">
        <w:t>by</w:t>
      </w:r>
      <w:r w:rsidR="00EE4FC3">
        <w:t xml:space="preserve"> </w:t>
      </w:r>
      <w:r w:rsidRPr="00382917">
        <w:t>the</w:t>
      </w:r>
      <w:r w:rsidR="00EE4FC3">
        <w:t xml:space="preserve"> </w:t>
      </w:r>
      <w:r w:rsidRPr="00382917">
        <w:t>gentle</w:t>
      </w:r>
      <w:r w:rsidR="00EE4FC3">
        <w:t xml:space="preserve"> </w:t>
      </w:r>
      <w:r w:rsidRPr="00382917">
        <w:t>intonation</w:t>
      </w:r>
      <w:r w:rsidR="00EE4FC3">
        <w:t xml:space="preserve"> </w:t>
      </w:r>
      <w:r w:rsidRPr="00382917">
        <w:t>of</w:t>
      </w:r>
      <w:r w:rsidR="00EE4FC3">
        <w:t xml:space="preserve"> </w:t>
      </w:r>
      <w:r w:rsidRPr="00382917">
        <w:t>His</w:t>
      </w:r>
      <w:r w:rsidR="00EE4FC3">
        <w:t xml:space="preserve"> </w:t>
      </w:r>
      <w:r w:rsidRPr="00382917">
        <w:t>voice</w:t>
      </w:r>
      <w:r w:rsidR="00EE4FC3">
        <w:t xml:space="preserve"> </w:t>
      </w:r>
      <w:r w:rsidRPr="00382917">
        <w:t>which</w:t>
      </w:r>
      <w:r w:rsidR="00EE4FC3">
        <w:t xml:space="preserve"> </w:t>
      </w:r>
      <w:r w:rsidRPr="00382917">
        <w:t>accompanied</w:t>
      </w:r>
      <w:r w:rsidR="00EE4FC3">
        <w:t xml:space="preserve"> </w:t>
      </w:r>
      <w:r w:rsidRPr="00382917">
        <w:t>His</w:t>
      </w:r>
      <w:r w:rsidR="00EE4FC3">
        <w:t xml:space="preserve"> </w:t>
      </w:r>
      <w:r w:rsidRPr="00382917">
        <w:t>writing.</w:t>
      </w:r>
      <w:r w:rsidR="00EE4FC3">
        <w:t xml:space="preserve">  </w:t>
      </w:r>
      <w:r w:rsidRPr="00382917">
        <w:t>Not</w:t>
      </w:r>
      <w:r w:rsidR="00EE4FC3">
        <w:t xml:space="preserve"> </w:t>
      </w:r>
      <w:r w:rsidRPr="00382917">
        <w:t>for</w:t>
      </w:r>
      <w:r w:rsidR="00EE4FC3">
        <w:t xml:space="preserve"> </w:t>
      </w:r>
      <w:r w:rsidRPr="00382917">
        <w:t>one</w:t>
      </w:r>
      <w:r w:rsidR="00EE4FC3">
        <w:t xml:space="preserve"> </w:t>
      </w:r>
      <w:r w:rsidRPr="00382917">
        <w:t>moment</w:t>
      </w:r>
      <w:r w:rsidR="00EE4FC3">
        <w:t xml:space="preserve"> </w:t>
      </w:r>
      <w:r w:rsidRPr="00382917">
        <w:t>did</w:t>
      </w:r>
      <w:r w:rsidR="00EE4FC3">
        <w:t xml:space="preserve"> </w:t>
      </w:r>
      <w:r w:rsidRPr="00382917">
        <w:t>He</w:t>
      </w:r>
      <w:r w:rsidR="00EE4FC3">
        <w:t xml:space="preserve"> </w:t>
      </w:r>
      <w:r w:rsidRPr="00382917">
        <w:t>interrupt</w:t>
      </w:r>
      <w:r w:rsidR="00EE4FC3">
        <w:t xml:space="preserve"> </w:t>
      </w:r>
      <w:r w:rsidRPr="00382917">
        <w:t>the</w:t>
      </w:r>
      <w:r w:rsidR="00EE4FC3">
        <w:t xml:space="preserve"> </w:t>
      </w:r>
      <w:r w:rsidRPr="00382917">
        <w:t>flow</w:t>
      </w:r>
      <w:r w:rsidR="00EE4FC3">
        <w:t xml:space="preserve"> </w:t>
      </w:r>
      <w:r w:rsidRPr="00382917">
        <w:t>of</w:t>
      </w:r>
      <w:r w:rsidR="00EE4FC3">
        <w:t xml:space="preserve"> </w:t>
      </w:r>
      <w:r w:rsidRPr="00382917">
        <w:t>the</w:t>
      </w:r>
      <w:r w:rsidR="00EE4FC3">
        <w:t xml:space="preserve"> </w:t>
      </w:r>
      <w:r w:rsidRPr="00382917">
        <w:t>verses</w:t>
      </w:r>
      <w:r w:rsidR="00EE4FC3">
        <w:t xml:space="preserve"> </w:t>
      </w:r>
      <w:r w:rsidRPr="00382917">
        <w:t>which</w:t>
      </w:r>
      <w:r w:rsidR="00EE4FC3">
        <w:t xml:space="preserve"> </w:t>
      </w:r>
      <w:r w:rsidRPr="00382917">
        <w:t>streamed</w:t>
      </w:r>
      <w:r w:rsidR="00EE4FC3">
        <w:t xml:space="preserve"> </w:t>
      </w:r>
      <w:r w:rsidRPr="00382917">
        <w:t>from</w:t>
      </w:r>
      <w:r w:rsidR="00EE4FC3">
        <w:t xml:space="preserve"> </w:t>
      </w:r>
      <w:r w:rsidRPr="00382917">
        <w:t>His</w:t>
      </w:r>
      <w:r w:rsidR="00EE4FC3">
        <w:t xml:space="preserve"> </w:t>
      </w:r>
      <w:r w:rsidRPr="00382917">
        <w:t>pen.</w:t>
      </w:r>
      <w:r w:rsidR="00EE4FC3">
        <w:t xml:space="preserve">  </w:t>
      </w:r>
      <w:r w:rsidRPr="00382917">
        <w:t>Not</w:t>
      </w:r>
      <w:r w:rsidR="00EE4FC3">
        <w:t xml:space="preserve"> </w:t>
      </w:r>
      <w:r w:rsidRPr="00382917">
        <w:t>once</w:t>
      </w:r>
      <w:r w:rsidR="00EE4FC3">
        <w:t xml:space="preserve"> </w:t>
      </w:r>
      <w:r w:rsidRPr="00382917">
        <w:t>did</w:t>
      </w:r>
      <w:r w:rsidR="00EE4FC3">
        <w:t xml:space="preserve"> </w:t>
      </w:r>
      <w:r w:rsidRPr="00382917">
        <w:t>he</w:t>
      </w:r>
      <w:r w:rsidR="00EE4FC3">
        <w:t xml:space="preserve"> </w:t>
      </w:r>
      <w:r w:rsidRPr="00382917">
        <w:t>pause</w:t>
      </w:r>
      <w:r w:rsidR="00EE4FC3">
        <w:t xml:space="preserve"> </w:t>
      </w:r>
      <w:r w:rsidRPr="00382917">
        <w:t>until</w:t>
      </w:r>
      <w:r w:rsidR="00EE4FC3">
        <w:t xml:space="preserve"> </w:t>
      </w:r>
      <w:r w:rsidRPr="00382917">
        <w:t>it</w:t>
      </w:r>
      <w:r w:rsidR="00EE4FC3">
        <w:t xml:space="preserve"> </w:t>
      </w:r>
      <w:r w:rsidRPr="00382917">
        <w:t>was</w:t>
      </w:r>
      <w:r w:rsidR="00EE4FC3">
        <w:t xml:space="preserve"> </w:t>
      </w:r>
      <w:r w:rsidRPr="00382917">
        <w:t>finished.</w:t>
      </w:r>
    </w:p>
    <w:p w:rsidR="00E13D49" w:rsidRPr="00382917" w:rsidRDefault="00581CF7" w:rsidP="000A60A4">
      <w:pPr>
        <w:pStyle w:val="Text"/>
      </w:pPr>
      <w:r w:rsidRPr="00382917">
        <w:t>The</w:t>
      </w:r>
      <w:r w:rsidR="00EE4FC3">
        <w:t xml:space="preserve"> </w:t>
      </w:r>
      <w:r w:rsidRPr="00382917">
        <w:t>historian</w:t>
      </w:r>
      <w:r w:rsidR="00EE4FC3">
        <w:t xml:space="preserve"> </w:t>
      </w:r>
      <w:r w:rsidRPr="00382917">
        <w:t>Comte</w:t>
      </w:r>
      <w:r w:rsidR="00EE4FC3">
        <w:t xml:space="preserve"> </w:t>
      </w:r>
      <w:r w:rsidRPr="00382917">
        <w:t>de</w:t>
      </w:r>
      <w:r w:rsidR="00EE4FC3">
        <w:t xml:space="preserve"> </w:t>
      </w:r>
      <w:proofErr w:type="spellStart"/>
      <w:r w:rsidRPr="00382917">
        <w:t>Gobineau</w:t>
      </w:r>
      <w:proofErr w:type="spellEnd"/>
      <w:r w:rsidR="00EE4FC3">
        <w:t xml:space="preserve"> </w:t>
      </w:r>
      <w:r w:rsidRPr="00382917">
        <w:t>writes,</w:t>
      </w:r>
      <w:r w:rsidR="00EE4FC3">
        <w:t xml:space="preserve"> </w:t>
      </w:r>
      <w:r w:rsidR="009C713D" w:rsidRPr="00382917">
        <w:t>“</w:t>
      </w:r>
      <w:proofErr w:type="gramStart"/>
      <w:r w:rsidRPr="00382917">
        <w:t>that</w:t>
      </w:r>
      <w:proofErr w:type="gramEnd"/>
      <w:r w:rsidR="00EE4FC3">
        <w:t xml:space="preserve"> </w:t>
      </w:r>
      <w:r w:rsidRPr="00382917">
        <w:t>which</w:t>
      </w:r>
      <w:r w:rsidR="00EE4FC3">
        <w:t xml:space="preserve"> </w:t>
      </w:r>
      <w:r w:rsidRPr="00382917">
        <w:t>one</w:t>
      </w:r>
      <w:r w:rsidR="00EE4FC3">
        <w:t xml:space="preserve"> </w:t>
      </w:r>
      <w:r w:rsidRPr="00382917">
        <w:t>never</w:t>
      </w:r>
      <w:r w:rsidR="00EE4FC3">
        <w:t xml:space="preserve"> </w:t>
      </w:r>
      <w:r w:rsidRPr="00382917">
        <w:t>tired</w:t>
      </w:r>
      <w:r w:rsidR="00EE4FC3">
        <w:t xml:space="preserve"> </w:t>
      </w:r>
      <w:r w:rsidRPr="00382917">
        <w:t>of</w:t>
      </w:r>
      <w:r w:rsidR="00EE4FC3">
        <w:t xml:space="preserve"> </w:t>
      </w:r>
      <w:r w:rsidRPr="00382917">
        <w:t>admiring</w:t>
      </w:r>
      <w:r w:rsidR="00EE4FC3">
        <w:t xml:space="preserve"> </w:t>
      </w:r>
      <w:r w:rsidRPr="00382917">
        <w:t>was</w:t>
      </w:r>
      <w:r w:rsidR="00EE4FC3">
        <w:t xml:space="preserve"> </w:t>
      </w:r>
      <w:r w:rsidRPr="00382917">
        <w:t>the</w:t>
      </w:r>
      <w:r w:rsidR="00EE4FC3">
        <w:t xml:space="preserve"> </w:t>
      </w:r>
      <w:r w:rsidRPr="00382917">
        <w:t>elegance</w:t>
      </w:r>
      <w:r w:rsidR="00EE4FC3">
        <w:t xml:space="preserve"> </w:t>
      </w:r>
      <w:r w:rsidRPr="00382917">
        <w:t>and</w:t>
      </w:r>
      <w:r w:rsidR="00EE4FC3">
        <w:t xml:space="preserve"> </w:t>
      </w:r>
      <w:r w:rsidRPr="00382917">
        <w:t>beauty</w:t>
      </w:r>
      <w:r w:rsidR="00EE4FC3">
        <w:t xml:space="preserve"> </w:t>
      </w:r>
      <w:r w:rsidRPr="00382917">
        <w:t>of</w:t>
      </w:r>
      <w:r w:rsidR="00EE4FC3">
        <w:t xml:space="preserve"> </w:t>
      </w:r>
      <w:r w:rsidRPr="00382917">
        <w:t>the</w:t>
      </w:r>
      <w:r w:rsidR="00EE4FC3">
        <w:t xml:space="preserve"> </w:t>
      </w:r>
      <w:r w:rsidRPr="00382917">
        <w:t>Arabic</w:t>
      </w:r>
      <w:r w:rsidR="00EE4FC3">
        <w:t xml:space="preserve"> </w:t>
      </w:r>
      <w:r w:rsidRPr="00382917">
        <w:t>style</w:t>
      </w:r>
      <w:r w:rsidR="00EE4FC3">
        <w:t xml:space="preserve"> </w:t>
      </w:r>
      <w:r w:rsidRPr="00382917">
        <w:t>used</w:t>
      </w:r>
      <w:r w:rsidR="00EE4FC3">
        <w:t xml:space="preserve"> </w:t>
      </w:r>
      <w:r w:rsidRPr="00382917">
        <w:t>in</w:t>
      </w:r>
      <w:r w:rsidR="00EE4FC3">
        <w:t xml:space="preserve"> </w:t>
      </w:r>
      <w:r w:rsidRPr="00382917">
        <w:t>those</w:t>
      </w:r>
      <w:r w:rsidR="00EE4FC3">
        <w:t xml:space="preserve"> </w:t>
      </w:r>
      <w:r w:rsidRPr="00382917">
        <w:t>writings.</w:t>
      </w:r>
      <w:r w:rsidR="00EE4FC3">
        <w:t xml:space="preserve">  </w:t>
      </w:r>
      <w:r w:rsidRPr="00382917">
        <w:t>They</w:t>
      </w:r>
      <w:r w:rsidR="00EE4FC3">
        <w:t xml:space="preserve"> </w:t>
      </w:r>
      <w:r w:rsidRPr="00382917">
        <w:t>soon</w:t>
      </w:r>
      <w:r w:rsidR="00EE4FC3">
        <w:t xml:space="preserve"> </w:t>
      </w:r>
      <w:r w:rsidRPr="00382917">
        <w:t>had</w:t>
      </w:r>
      <w:r w:rsidR="00EE4FC3">
        <w:t xml:space="preserve"> </w:t>
      </w:r>
      <w:r w:rsidRPr="00382917">
        <w:t>enthusiastic</w:t>
      </w:r>
      <w:r w:rsidR="00EE4FC3">
        <w:t xml:space="preserve"> </w:t>
      </w:r>
      <w:r w:rsidRPr="00382917">
        <w:t>admirers</w:t>
      </w:r>
      <w:r w:rsidR="00EE4FC3">
        <w:t xml:space="preserve"> </w:t>
      </w:r>
      <w:r w:rsidRPr="00382917">
        <w:t>who</w:t>
      </w:r>
      <w:r w:rsidR="00EE4FC3">
        <w:t xml:space="preserve"> </w:t>
      </w:r>
      <w:r w:rsidRPr="00382917">
        <w:t>did</w:t>
      </w:r>
      <w:r w:rsidR="00EE4FC3">
        <w:t xml:space="preserve"> </w:t>
      </w:r>
      <w:r w:rsidRPr="00382917">
        <w:t>not</w:t>
      </w:r>
      <w:r w:rsidR="00EE4FC3">
        <w:t xml:space="preserve"> </w:t>
      </w:r>
      <w:r w:rsidRPr="00382917">
        <w:t>fear</w:t>
      </w:r>
      <w:r w:rsidR="00EE4FC3">
        <w:t xml:space="preserve"> </w:t>
      </w:r>
      <w:r w:rsidRPr="00382917">
        <w:t>to</w:t>
      </w:r>
      <w:r w:rsidR="00EE4FC3">
        <w:t xml:space="preserve"> </w:t>
      </w:r>
      <w:r w:rsidRPr="00382917">
        <w:t>prefer</w:t>
      </w:r>
      <w:r w:rsidR="00EE4FC3">
        <w:t xml:space="preserve"> </w:t>
      </w:r>
      <w:r w:rsidRPr="00382917">
        <w:t>them</w:t>
      </w:r>
      <w:r w:rsidR="00EE4FC3">
        <w:t xml:space="preserve"> </w:t>
      </w:r>
      <w:r w:rsidRPr="00382917">
        <w:t>to</w:t>
      </w:r>
      <w:r w:rsidR="00EE4FC3">
        <w:t xml:space="preserve"> </w:t>
      </w:r>
      <w:r w:rsidRPr="00382917">
        <w:t>the</w:t>
      </w:r>
      <w:r w:rsidR="00EE4FC3">
        <w:t xml:space="preserve"> </w:t>
      </w:r>
      <w:r w:rsidRPr="00382917">
        <w:t>finest</w:t>
      </w:r>
      <w:r w:rsidR="00EE4FC3">
        <w:t xml:space="preserve"> </w:t>
      </w:r>
      <w:r w:rsidRPr="00382917">
        <w:t>passages</w:t>
      </w:r>
      <w:r w:rsidR="00EE4FC3">
        <w:t xml:space="preserve"> </w:t>
      </w:r>
      <w:r w:rsidRPr="00382917">
        <w:t>in</w:t>
      </w:r>
      <w:r w:rsidR="00EE4FC3">
        <w:t xml:space="preserve"> </w:t>
      </w:r>
      <w:r w:rsidRPr="00382917">
        <w:t>the</w:t>
      </w:r>
      <w:r w:rsidR="00EE4FC3">
        <w:t xml:space="preserve"> </w:t>
      </w:r>
      <w:r w:rsidR="00382917">
        <w:t>Qur’án</w:t>
      </w:r>
      <w:r w:rsidRPr="00382917">
        <w:t>.</w:t>
      </w:r>
      <w:r w:rsidR="009C713D" w:rsidRPr="00382917">
        <w:t>”</w:t>
      </w:r>
      <w:r w:rsidR="000A60A4">
        <w:rPr>
          <w:rStyle w:val="FootnoteReference"/>
        </w:rPr>
        <w:footnoteReference w:id="13"/>
      </w:r>
    </w:p>
    <w:p w:rsidR="00581CF7" w:rsidRPr="00382917" w:rsidRDefault="009C713D" w:rsidP="004A0E58">
      <w:pPr>
        <w:pStyle w:val="Text"/>
      </w:pPr>
      <w:r w:rsidRPr="00382917">
        <w:t>“</w:t>
      </w:r>
      <w:r w:rsidR="00581CF7" w:rsidRPr="00382917">
        <w:t>I</w:t>
      </w:r>
      <w:r w:rsidR="00EE4FC3">
        <w:t xml:space="preserve"> </w:t>
      </w:r>
      <w:r w:rsidR="00581CF7" w:rsidRPr="00382917">
        <w:t>sat</w:t>
      </w:r>
      <w:r w:rsidR="00EE4FC3">
        <w:t xml:space="preserve"> </w:t>
      </w:r>
      <w:r w:rsidR="00581CF7" w:rsidRPr="00382917">
        <w:t>enraptured</w:t>
      </w:r>
      <w:r w:rsidR="00EE4FC3">
        <w:t xml:space="preserve"> </w:t>
      </w:r>
      <w:r w:rsidR="00581CF7" w:rsidRPr="00382917">
        <w:t>by</w:t>
      </w:r>
      <w:r w:rsidR="00EE4FC3">
        <w:t xml:space="preserve"> </w:t>
      </w:r>
      <w:r w:rsidR="00581CF7" w:rsidRPr="00382917">
        <w:t>the</w:t>
      </w:r>
      <w:r w:rsidR="00EE4FC3">
        <w:t xml:space="preserve"> </w:t>
      </w:r>
      <w:r w:rsidR="00581CF7" w:rsidRPr="00382917">
        <w:t>magic</w:t>
      </w:r>
      <w:r w:rsidR="00EE4FC3">
        <w:t xml:space="preserve"> </w:t>
      </w:r>
      <w:r w:rsidR="00581CF7" w:rsidRPr="00382917">
        <w:t>of</w:t>
      </w:r>
      <w:r w:rsidR="00EE4FC3">
        <w:t xml:space="preserve"> </w:t>
      </w:r>
      <w:r w:rsidR="00581CF7" w:rsidRPr="00382917">
        <w:t>His</w:t>
      </w:r>
      <w:r w:rsidR="00EE4FC3">
        <w:t xml:space="preserve"> </w:t>
      </w:r>
      <w:r w:rsidR="00581CF7" w:rsidRPr="00382917">
        <w:t>voice</w:t>
      </w:r>
      <w:r w:rsidR="00EE4FC3">
        <w:t xml:space="preserve"> </w:t>
      </w:r>
      <w:r w:rsidR="00581CF7" w:rsidRPr="00382917">
        <w:t>and</w:t>
      </w:r>
      <w:r w:rsidR="00EE4FC3">
        <w:t xml:space="preserve"> </w:t>
      </w:r>
      <w:r w:rsidR="00581CF7" w:rsidRPr="00382917">
        <w:t>the</w:t>
      </w:r>
      <w:r w:rsidR="00EE4FC3">
        <w:t xml:space="preserve"> </w:t>
      </w:r>
      <w:r w:rsidR="00581CF7" w:rsidRPr="00382917">
        <w:t>sweeping</w:t>
      </w:r>
      <w:r w:rsidR="00EE4FC3">
        <w:t xml:space="preserve"> </w:t>
      </w:r>
      <w:r w:rsidR="00581CF7" w:rsidRPr="00382917">
        <w:t>force</w:t>
      </w:r>
      <w:r w:rsidR="00EE4FC3">
        <w:t xml:space="preserve"> </w:t>
      </w:r>
      <w:r w:rsidR="00581CF7" w:rsidRPr="00382917">
        <w:t>of</w:t>
      </w:r>
      <w:r w:rsidR="00EE4FC3">
        <w:t xml:space="preserve"> </w:t>
      </w:r>
      <w:r w:rsidR="00581CF7" w:rsidRPr="00382917">
        <w:t>His</w:t>
      </w:r>
      <w:r w:rsidR="00EE4FC3">
        <w:t xml:space="preserve"> </w:t>
      </w:r>
      <w:r w:rsidR="00581CF7" w:rsidRPr="00382917">
        <w:t>revelation,</w:t>
      </w:r>
      <w:r w:rsidRPr="00382917">
        <w:t>”</w:t>
      </w:r>
      <w:r w:rsidR="00EE4FC3">
        <w:t xml:space="preserve"> </w:t>
      </w:r>
      <w:r w:rsidR="00581CF7" w:rsidRPr="00382917">
        <w:t>Mullá</w:t>
      </w:r>
      <w:r w:rsidR="00EE4FC3">
        <w:t xml:space="preserve"> </w:t>
      </w:r>
      <w:r w:rsidR="00964C11" w:rsidRPr="00382917">
        <w:t>Ḥusayn</w:t>
      </w:r>
      <w:r w:rsidR="00EE4FC3">
        <w:t xml:space="preserve"> </w:t>
      </w:r>
      <w:r w:rsidR="00581CF7" w:rsidRPr="00382917">
        <w:t>said.</w:t>
      </w:r>
      <w:r w:rsidR="00EE4FC3">
        <w:t xml:space="preserve">  </w:t>
      </w:r>
      <w:r w:rsidRPr="00382917">
        <w:t>“</w:t>
      </w:r>
      <w:r w:rsidR="00581CF7" w:rsidRPr="00382917">
        <w:t>At</w:t>
      </w:r>
      <w:r w:rsidR="00EE4FC3">
        <w:t xml:space="preserve"> </w:t>
      </w:r>
      <w:r w:rsidR="00581CF7" w:rsidRPr="00382917">
        <w:t>last</w:t>
      </w:r>
      <w:r w:rsidR="00EE4FC3">
        <w:t xml:space="preserve"> </w:t>
      </w:r>
      <w:r w:rsidR="00581CF7" w:rsidRPr="00382917">
        <w:t>I</w:t>
      </w:r>
      <w:r w:rsidR="00EE4FC3">
        <w:t xml:space="preserve"> </w:t>
      </w:r>
      <w:r w:rsidR="00581CF7" w:rsidRPr="00382917">
        <w:t>reluctantly</w:t>
      </w:r>
      <w:r w:rsidR="00EE4FC3">
        <w:t xml:space="preserve"> </w:t>
      </w:r>
      <w:r w:rsidR="00581CF7" w:rsidRPr="00382917">
        <w:t>arose</w:t>
      </w:r>
      <w:r w:rsidR="00EE4FC3">
        <w:t xml:space="preserve"> </w:t>
      </w:r>
      <w:r w:rsidR="00581CF7" w:rsidRPr="00382917">
        <w:t>from</w:t>
      </w:r>
      <w:r w:rsidR="00EE4FC3">
        <w:t xml:space="preserve"> </w:t>
      </w:r>
      <w:r w:rsidR="00581CF7" w:rsidRPr="00382917">
        <w:t>my</w:t>
      </w:r>
      <w:r w:rsidR="00EE4FC3">
        <w:t xml:space="preserve"> </w:t>
      </w:r>
      <w:r w:rsidR="00581CF7" w:rsidRPr="00382917">
        <w:t>seat</w:t>
      </w:r>
      <w:r w:rsidR="00EE4FC3">
        <w:t xml:space="preserve"> </w:t>
      </w:r>
      <w:r w:rsidR="00581CF7" w:rsidRPr="00382917">
        <w:t>and</w:t>
      </w:r>
      <w:r w:rsidR="00EE4FC3">
        <w:t xml:space="preserve"> </w:t>
      </w:r>
      <w:r w:rsidR="00581CF7" w:rsidRPr="00382917">
        <w:t>begged</w:t>
      </w:r>
      <w:r w:rsidR="00EE4FC3">
        <w:t xml:space="preserve"> </w:t>
      </w:r>
      <w:r w:rsidR="00581CF7" w:rsidRPr="00382917">
        <w:t>leave</w:t>
      </w:r>
      <w:r w:rsidR="00EE4FC3">
        <w:t xml:space="preserve"> </w:t>
      </w:r>
      <w:r w:rsidR="00581CF7" w:rsidRPr="00382917">
        <w:t>to</w:t>
      </w:r>
      <w:r w:rsidR="00EE4FC3">
        <w:t xml:space="preserve"> </w:t>
      </w:r>
      <w:r w:rsidR="00581CF7" w:rsidRPr="00382917">
        <w:t>depart.</w:t>
      </w:r>
      <w:r w:rsidR="00EE4FC3">
        <w:t xml:space="preserve">  </w:t>
      </w:r>
      <w:r w:rsidR="00581CF7" w:rsidRPr="00382917">
        <w:t>He</w:t>
      </w:r>
      <w:r w:rsidR="00EE4FC3">
        <w:t xml:space="preserve"> </w:t>
      </w:r>
      <w:r w:rsidR="00581CF7" w:rsidRPr="00382917">
        <w:t>smilingly</w:t>
      </w:r>
      <w:r w:rsidR="00EE4FC3">
        <w:t xml:space="preserve"> </w:t>
      </w:r>
      <w:r w:rsidR="00581CF7" w:rsidRPr="00382917">
        <w:t>bade</w:t>
      </w:r>
      <w:r w:rsidR="00EE4FC3">
        <w:t xml:space="preserve"> </w:t>
      </w:r>
      <w:r w:rsidR="00581CF7" w:rsidRPr="00382917">
        <w:t>me</w:t>
      </w:r>
      <w:r w:rsidR="00EE4FC3">
        <w:t xml:space="preserve"> </w:t>
      </w:r>
      <w:r w:rsidR="00581CF7" w:rsidRPr="00382917">
        <w:t>to</w:t>
      </w:r>
      <w:r w:rsidR="00EE4FC3">
        <w:t xml:space="preserve"> </w:t>
      </w:r>
      <w:r w:rsidR="00581CF7" w:rsidRPr="00382917">
        <w:t>be</w:t>
      </w:r>
      <w:r w:rsidR="00EE4FC3">
        <w:t xml:space="preserve"> </w:t>
      </w:r>
      <w:r w:rsidR="00581CF7" w:rsidRPr="00382917">
        <w:t>seated,</w:t>
      </w:r>
      <w:r w:rsidR="00EE4FC3">
        <w:t xml:space="preserve"> </w:t>
      </w:r>
      <w:r w:rsidR="00581CF7" w:rsidRPr="00382917">
        <w:t>and</w:t>
      </w:r>
      <w:r w:rsidR="00EE4FC3">
        <w:t xml:space="preserve"> </w:t>
      </w:r>
      <w:r w:rsidR="00581CF7" w:rsidRPr="00382917">
        <w:t>said:</w:t>
      </w:r>
      <w:r w:rsidR="00EE4FC3">
        <w:t xml:space="preserve">  </w:t>
      </w:r>
      <w:r w:rsidRPr="00382917">
        <w:t>‘</w:t>
      </w:r>
      <w:proofErr w:type="gramStart"/>
      <w:r w:rsidR="00581CF7" w:rsidRPr="00382917">
        <w:t>If</w:t>
      </w:r>
      <w:proofErr w:type="gramEnd"/>
      <w:r w:rsidR="00EE4FC3">
        <w:t xml:space="preserve"> </w:t>
      </w:r>
      <w:r w:rsidR="00581CF7" w:rsidRPr="00382917">
        <w:t>you</w:t>
      </w:r>
      <w:r w:rsidR="00EE4FC3">
        <w:t xml:space="preserve"> </w:t>
      </w:r>
      <w:r w:rsidR="00581CF7" w:rsidRPr="00382917">
        <w:t>leave</w:t>
      </w:r>
      <w:r w:rsidR="00EE4FC3">
        <w:t xml:space="preserve"> </w:t>
      </w:r>
      <w:r w:rsidR="00581CF7" w:rsidRPr="00382917">
        <w:t>in</w:t>
      </w:r>
      <w:r w:rsidR="00EE4FC3">
        <w:t xml:space="preserve"> </w:t>
      </w:r>
      <w:r w:rsidR="00581CF7" w:rsidRPr="00382917">
        <w:t>such</w:t>
      </w:r>
      <w:r w:rsidR="00EE4FC3">
        <w:t xml:space="preserve"> </w:t>
      </w:r>
      <w:r w:rsidR="00581CF7" w:rsidRPr="00382917">
        <w:t>a</w:t>
      </w:r>
      <w:r w:rsidR="00EE4FC3">
        <w:t xml:space="preserve"> </w:t>
      </w:r>
      <w:r w:rsidR="00581CF7" w:rsidRPr="00382917">
        <w:t>state,</w:t>
      </w:r>
      <w:r w:rsidR="00EE4FC3">
        <w:t xml:space="preserve"> </w:t>
      </w:r>
      <w:r w:rsidR="00581CF7" w:rsidRPr="00382917">
        <w:t>whoever</w:t>
      </w:r>
      <w:r w:rsidR="00EE4FC3">
        <w:t xml:space="preserve"> </w:t>
      </w:r>
      <w:r w:rsidR="00581CF7" w:rsidRPr="00382917">
        <w:t>sees</w:t>
      </w:r>
      <w:r w:rsidR="00EE4FC3">
        <w:t xml:space="preserve"> </w:t>
      </w:r>
      <w:r w:rsidR="00581CF7" w:rsidRPr="00382917">
        <w:t>you</w:t>
      </w:r>
      <w:r w:rsidR="00EE4FC3">
        <w:t xml:space="preserve"> </w:t>
      </w:r>
      <w:r w:rsidR="00581CF7" w:rsidRPr="00382917">
        <w:t>will</w:t>
      </w:r>
      <w:r w:rsidR="00EE4FC3">
        <w:t xml:space="preserve"> </w:t>
      </w:r>
      <w:r w:rsidR="00581CF7" w:rsidRPr="00382917">
        <w:t>assuredly</w:t>
      </w:r>
      <w:r w:rsidR="00EE4FC3">
        <w:t xml:space="preserve"> </w:t>
      </w:r>
      <w:r w:rsidR="00581CF7" w:rsidRPr="00382917">
        <w:t>say:</w:t>
      </w:r>
      <w:r w:rsidR="00EE4FC3">
        <w:t xml:space="preserve"> </w:t>
      </w:r>
      <w:r w:rsidRPr="00382917">
        <w:t>“</w:t>
      </w:r>
      <w:r w:rsidR="00581CF7" w:rsidRPr="00382917">
        <w:t>This</w:t>
      </w:r>
      <w:r w:rsidR="00EE4FC3">
        <w:t xml:space="preserve"> </w:t>
      </w:r>
      <w:r w:rsidR="00581CF7" w:rsidRPr="00382917">
        <w:t>poor</w:t>
      </w:r>
      <w:r w:rsidR="00EE4FC3">
        <w:t xml:space="preserve"> </w:t>
      </w:r>
      <w:r w:rsidR="00581CF7" w:rsidRPr="00382917">
        <w:t>youth</w:t>
      </w:r>
      <w:r w:rsidR="00EE4FC3">
        <w:t xml:space="preserve"> </w:t>
      </w:r>
      <w:r w:rsidR="00581CF7" w:rsidRPr="00382917">
        <w:t>has</w:t>
      </w:r>
      <w:r w:rsidR="00EE4FC3">
        <w:t xml:space="preserve"> </w:t>
      </w:r>
      <w:r w:rsidR="00581CF7" w:rsidRPr="00382917">
        <w:t>lost</w:t>
      </w:r>
      <w:r w:rsidR="00EE4FC3">
        <w:t xml:space="preserve"> </w:t>
      </w:r>
      <w:r w:rsidR="00581CF7" w:rsidRPr="00382917">
        <w:t>his</w:t>
      </w:r>
      <w:r w:rsidR="00EE4FC3">
        <w:t xml:space="preserve"> </w:t>
      </w:r>
      <w:r w:rsidR="00581CF7" w:rsidRPr="00382917">
        <w:t>mind.</w:t>
      </w:r>
      <w:r w:rsidR="00792F56" w:rsidRPr="00382917">
        <w:t>”</w:t>
      </w:r>
      <w:r w:rsidR="00792F56">
        <w:t>’”</w:t>
      </w:r>
    </w:p>
    <w:p w:rsidR="00581CF7" w:rsidRPr="00382917" w:rsidRDefault="00581CF7" w:rsidP="006D18A4">
      <w:pPr>
        <w:pStyle w:val="Text"/>
      </w:pPr>
      <w:r w:rsidRPr="00382917">
        <w:t>At</w:t>
      </w:r>
      <w:r w:rsidR="00EE4FC3">
        <w:t xml:space="preserve"> </w:t>
      </w:r>
      <w:r w:rsidRPr="00382917">
        <w:t>that</w:t>
      </w:r>
      <w:r w:rsidR="00EE4FC3">
        <w:t xml:space="preserve"> </w:t>
      </w:r>
      <w:r w:rsidRPr="00382917">
        <w:t>moment</w:t>
      </w:r>
      <w:r w:rsidR="00EE4FC3">
        <w:t xml:space="preserve"> </w:t>
      </w:r>
      <w:r w:rsidRPr="00382917">
        <w:t>the</w:t>
      </w:r>
      <w:r w:rsidR="00EE4FC3">
        <w:t xml:space="preserve"> </w:t>
      </w:r>
      <w:r w:rsidRPr="00382917">
        <w:t>clock</w:t>
      </w:r>
      <w:r w:rsidR="00EE4FC3">
        <w:t xml:space="preserve"> </w:t>
      </w:r>
      <w:r w:rsidRPr="00382917">
        <w:t>registered</w:t>
      </w:r>
      <w:r w:rsidR="00EE4FC3">
        <w:t xml:space="preserve"> </w:t>
      </w:r>
      <w:r w:rsidRPr="00382917">
        <w:t>two</w:t>
      </w:r>
      <w:r w:rsidR="00EE4FC3">
        <w:t xml:space="preserve"> </w:t>
      </w:r>
      <w:r w:rsidRPr="00382917">
        <w:t>hours</w:t>
      </w:r>
      <w:r w:rsidR="00EE4FC3">
        <w:t xml:space="preserve"> </w:t>
      </w:r>
      <w:r w:rsidRPr="00382917">
        <w:t>and</w:t>
      </w:r>
      <w:r w:rsidR="00EE4FC3">
        <w:t xml:space="preserve"> </w:t>
      </w:r>
      <w:r w:rsidRPr="00382917">
        <w:t>eleven</w:t>
      </w:r>
      <w:r w:rsidR="00EE4FC3">
        <w:t xml:space="preserve"> </w:t>
      </w:r>
      <w:r w:rsidRPr="00382917">
        <w:t>minutes</w:t>
      </w:r>
      <w:r w:rsidR="00EE4FC3">
        <w:t xml:space="preserve"> </w:t>
      </w:r>
      <w:r w:rsidRPr="00382917">
        <w:t>after</w:t>
      </w:r>
      <w:r w:rsidR="00EE4FC3">
        <w:t xml:space="preserve"> </w:t>
      </w:r>
      <w:r w:rsidRPr="00382917">
        <w:t>sunset.</w:t>
      </w:r>
      <w:r w:rsidR="00EE4FC3">
        <w:t xml:space="preserve">  </w:t>
      </w:r>
      <w:r w:rsidRPr="00382917">
        <w:t>It</w:t>
      </w:r>
      <w:r w:rsidR="00EE4FC3">
        <w:t xml:space="preserve"> </w:t>
      </w:r>
      <w:r w:rsidRPr="00382917">
        <w:t>was</w:t>
      </w:r>
      <w:r w:rsidR="00EE4FC3">
        <w:t xml:space="preserve"> </w:t>
      </w:r>
      <w:r w:rsidRPr="00382917">
        <w:t>on</w:t>
      </w:r>
      <w:r w:rsidR="00EE4FC3">
        <w:t xml:space="preserve"> </w:t>
      </w:r>
      <w:r w:rsidRPr="00382917">
        <w:t>the</w:t>
      </w:r>
      <w:r w:rsidR="00EE4FC3">
        <w:t xml:space="preserve"> </w:t>
      </w:r>
      <w:r w:rsidRPr="00382917">
        <w:t>eve</w:t>
      </w:r>
      <w:r w:rsidR="00EE4FC3">
        <w:t xml:space="preserve"> </w:t>
      </w:r>
      <w:r w:rsidRPr="00382917">
        <w:t>of</w:t>
      </w:r>
      <w:r w:rsidR="00EE4FC3">
        <w:t xml:space="preserve"> </w:t>
      </w:r>
      <w:r w:rsidRPr="00382917">
        <w:t>23</w:t>
      </w:r>
      <w:r w:rsidR="00EE4FC3">
        <w:t xml:space="preserve"> </w:t>
      </w:r>
      <w:r w:rsidRPr="00382917">
        <w:t>May</w:t>
      </w:r>
      <w:r w:rsidR="00EE4FC3">
        <w:t xml:space="preserve"> </w:t>
      </w:r>
      <w:r w:rsidRPr="00382917">
        <w:t>1844.</w:t>
      </w:r>
    </w:p>
    <w:p w:rsidR="00581CF7" w:rsidRPr="00382917" w:rsidRDefault="009C713D" w:rsidP="004A0E58">
      <w:pPr>
        <w:pStyle w:val="Text"/>
      </w:pPr>
      <w:r w:rsidRPr="00382917">
        <w:t>“</w:t>
      </w:r>
      <w:r w:rsidR="00581CF7" w:rsidRPr="00382917">
        <w:t>This</w:t>
      </w:r>
      <w:r w:rsidR="00EE4FC3">
        <w:t xml:space="preserve"> </w:t>
      </w:r>
      <w:r w:rsidR="00581CF7" w:rsidRPr="00382917">
        <w:t>night,</w:t>
      </w:r>
      <w:r w:rsidRPr="00382917">
        <w:t>”</w:t>
      </w:r>
      <w:r w:rsidR="00EE4FC3">
        <w:t xml:space="preserve"> </w:t>
      </w:r>
      <w:r w:rsidR="00581CF7" w:rsidRPr="00382917">
        <w:t>the</w:t>
      </w:r>
      <w:r w:rsidR="00EE4FC3">
        <w:t xml:space="preserve"> </w:t>
      </w:r>
      <w:r w:rsidR="00581CF7" w:rsidRPr="00382917">
        <w:t>Báb</w:t>
      </w:r>
      <w:r w:rsidR="00EE4FC3">
        <w:t xml:space="preserve"> </w:t>
      </w:r>
      <w:r w:rsidR="00581CF7" w:rsidRPr="00382917">
        <w:t>told</w:t>
      </w:r>
      <w:r w:rsidR="00EE4FC3">
        <w:t xml:space="preserve"> </w:t>
      </w:r>
      <w:r w:rsidR="00581CF7" w:rsidRPr="00382917">
        <w:t>Mullá</w:t>
      </w:r>
      <w:r w:rsidR="00EE4FC3">
        <w:t xml:space="preserve"> </w:t>
      </w:r>
      <w:r w:rsidR="00964C11" w:rsidRPr="00382917">
        <w:t>Ḥusayn</w:t>
      </w:r>
      <w:r w:rsidR="00581CF7" w:rsidRPr="00382917">
        <w:t>,</w:t>
      </w:r>
      <w:r w:rsidR="00EE4FC3">
        <w:t xml:space="preserve"> </w:t>
      </w:r>
      <w:r w:rsidRPr="00382917">
        <w:t>“</w:t>
      </w:r>
      <w:r w:rsidR="00581CF7" w:rsidRPr="00382917">
        <w:t>this</w:t>
      </w:r>
      <w:r w:rsidR="00EE4FC3">
        <w:t xml:space="preserve"> </w:t>
      </w:r>
      <w:r w:rsidR="00581CF7" w:rsidRPr="00382917">
        <w:t>very</w:t>
      </w:r>
      <w:r w:rsidR="00EE4FC3">
        <w:t xml:space="preserve"> </w:t>
      </w:r>
      <w:r w:rsidR="00581CF7" w:rsidRPr="00382917">
        <w:t>hour</w:t>
      </w:r>
      <w:r w:rsidR="00EE4FC3">
        <w:t xml:space="preserve"> </w:t>
      </w:r>
      <w:r w:rsidR="00581CF7" w:rsidRPr="00382917">
        <w:t>will,</w:t>
      </w:r>
      <w:r w:rsidR="00EE4FC3">
        <w:t xml:space="preserve"> </w:t>
      </w:r>
      <w:r w:rsidR="00581CF7" w:rsidRPr="00382917">
        <w:t>in</w:t>
      </w:r>
      <w:r w:rsidR="00EE4FC3">
        <w:t xml:space="preserve"> </w:t>
      </w:r>
      <w:r w:rsidR="00581CF7" w:rsidRPr="00382917">
        <w:t>days</w:t>
      </w:r>
      <w:r w:rsidR="00EE4FC3">
        <w:t xml:space="preserve"> </w:t>
      </w:r>
      <w:r w:rsidR="00581CF7" w:rsidRPr="00382917">
        <w:t>to</w:t>
      </w:r>
      <w:r w:rsidR="00EE4FC3">
        <w:t xml:space="preserve"> </w:t>
      </w:r>
      <w:r w:rsidR="00581CF7" w:rsidRPr="00382917">
        <w:t>come,</w:t>
      </w:r>
      <w:r w:rsidR="00EE4FC3">
        <w:t xml:space="preserve"> </w:t>
      </w:r>
      <w:r w:rsidR="00581CF7" w:rsidRPr="00382917">
        <w:t>be</w:t>
      </w:r>
      <w:r w:rsidR="00EE4FC3">
        <w:t xml:space="preserve"> </w:t>
      </w:r>
      <w:r w:rsidR="00581CF7" w:rsidRPr="00382917">
        <w:t>celebrated</w:t>
      </w:r>
      <w:r w:rsidR="00EE4FC3">
        <w:t xml:space="preserve"> </w:t>
      </w:r>
      <w:r w:rsidR="00581CF7" w:rsidRPr="00382917">
        <w:t>as</w:t>
      </w:r>
      <w:r w:rsidR="00EE4FC3">
        <w:t xml:space="preserve"> </w:t>
      </w:r>
      <w:r w:rsidR="00581CF7" w:rsidRPr="00382917">
        <w:t>one</w:t>
      </w:r>
      <w:r w:rsidR="00EE4FC3">
        <w:t xml:space="preserve"> </w:t>
      </w:r>
      <w:r w:rsidR="00581CF7" w:rsidRPr="00382917">
        <w:t>of</w:t>
      </w:r>
      <w:r w:rsidR="00EE4FC3">
        <w:t xml:space="preserve"> </w:t>
      </w:r>
      <w:r w:rsidR="00581CF7" w:rsidRPr="00382917">
        <w:t>the</w:t>
      </w:r>
      <w:r w:rsidR="00EE4FC3">
        <w:t xml:space="preserve"> </w:t>
      </w:r>
      <w:r w:rsidR="00581CF7" w:rsidRPr="00382917">
        <w:t>greatest</w:t>
      </w:r>
      <w:r w:rsidR="00EE4FC3">
        <w:t xml:space="preserve"> </w:t>
      </w:r>
      <w:r w:rsidR="00581CF7" w:rsidRPr="00382917">
        <w:t>and</w:t>
      </w:r>
      <w:r w:rsidR="00EE4FC3">
        <w:t xml:space="preserve"> </w:t>
      </w:r>
      <w:r w:rsidR="00581CF7" w:rsidRPr="00382917">
        <w:t>most</w:t>
      </w:r>
      <w:r w:rsidR="00EE4FC3">
        <w:t xml:space="preserve"> </w:t>
      </w:r>
      <w:r w:rsidR="00581CF7" w:rsidRPr="00382917">
        <w:t>significant</w:t>
      </w:r>
      <w:r w:rsidR="00EE4FC3">
        <w:t xml:space="preserve"> </w:t>
      </w:r>
      <w:r w:rsidR="00581CF7" w:rsidRPr="00382917">
        <w:t>of</w:t>
      </w:r>
      <w:r w:rsidR="00EE4FC3">
        <w:t xml:space="preserve"> </w:t>
      </w:r>
      <w:r w:rsidR="00581CF7" w:rsidRPr="00382917">
        <w:t>all</w:t>
      </w:r>
      <w:r w:rsidR="00EE4FC3">
        <w:t xml:space="preserve"> </w:t>
      </w:r>
      <w:r w:rsidR="00581CF7" w:rsidRPr="00382917">
        <w:t>festivals.</w:t>
      </w:r>
      <w:r w:rsidRPr="00382917">
        <w:t>”</w:t>
      </w:r>
      <w:r w:rsidR="004A0E58">
        <w:rPr>
          <w:rStyle w:val="FootnoteReference"/>
        </w:rPr>
        <w:footnoteReference w:id="14"/>
      </w:r>
    </w:p>
    <w:p w:rsidR="00581CF7" w:rsidRPr="00382917" w:rsidRDefault="00581CF7" w:rsidP="006D18A4">
      <w:pPr>
        <w:pStyle w:val="Text"/>
      </w:pPr>
      <w:r w:rsidRPr="00382917">
        <w:t>Jesus</w:t>
      </w:r>
      <w:r w:rsidR="00EE4FC3">
        <w:t xml:space="preserve"> </w:t>
      </w:r>
      <w:r w:rsidRPr="00382917">
        <w:t>first</w:t>
      </w:r>
      <w:r w:rsidR="00EE4FC3">
        <w:t xml:space="preserve"> </w:t>
      </w:r>
      <w:r w:rsidRPr="00382917">
        <w:t>spoke</w:t>
      </w:r>
      <w:r w:rsidR="00EE4FC3">
        <w:t xml:space="preserve"> </w:t>
      </w:r>
      <w:r w:rsidRPr="00382917">
        <w:t>of</w:t>
      </w:r>
      <w:r w:rsidR="00EE4FC3">
        <w:t xml:space="preserve"> </w:t>
      </w:r>
      <w:r w:rsidRPr="00382917">
        <w:t>His</w:t>
      </w:r>
      <w:r w:rsidR="00EE4FC3">
        <w:t xml:space="preserve"> </w:t>
      </w:r>
      <w:r w:rsidRPr="00382917">
        <w:t>Mission</w:t>
      </w:r>
      <w:r w:rsidR="00EE4FC3">
        <w:t xml:space="preserve"> </w:t>
      </w:r>
      <w:r w:rsidRPr="00382917">
        <w:t>to</w:t>
      </w:r>
      <w:r w:rsidR="00EE4FC3">
        <w:t xml:space="preserve"> </w:t>
      </w:r>
      <w:r w:rsidRPr="00382917">
        <w:t>simple</w:t>
      </w:r>
      <w:r w:rsidR="00EE4FC3">
        <w:t xml:space="preserve"> </w:t>
      </w:r>
      <w:r w:rsidRPr="00382917">
        <w:t>fishermen.</w:t>
      </w:r>
      <w:r w:rsidR="00EE4FC3">
        <w:t xml:space="preserve">  </w:t>
      </w:r>
      <w:r w:rsidRPr="00382917">
        <w:t>Now</w:t>
      </w:r>
      <w:r w:rsidR="00EE4FC3">
        <w:t xml:space="preserve"> </w:t>
      </w:r>
      <w:r w:rsidRPr="00382917">
        <w:t>the</w:t>
      </w:r>
      <w:r w:rsidR="00EE4FC3">
        <w:t xml:space="preserve"> </w:t>
      </w:r>
      <w:r w:rsidRPr="00382917">
        <w:t>Promised</w:t>
      </w:r>
      <w:r w:rsidR="00EE4FC3">
        <w:t xml:space="preserve"> </w:t>
      </w:r>
      <w:r w:rsidRPr="00382917">
        <w:t>One</w:t>
      </w:r>
      <w:r w:rsidR="00EE4FC3">
        <w:t xml:space="preserve"> </w:t>
      </w:r>
      <w:r w:rsidRPr="00382917">
        <w:t>of</w:t>
      </w:r>
      <w:r w:rsidR="00EE4FC3">
        <w:t xml:space="preserve"> </w:t>
      </w:r>
      <w:r w:rsidRPr="00382917">
        <w:t>this</w:t>
      </w:r>
      <w:r w:rsidR="00EE4FC3">
        <w:t xml:space="preserve"> </w:t>
      </w:r>
      <w:r w:rsidRPr="00382917">
        <w:t>age</w:t>
      </w:r>
      <w:r w:rsidR="00EE4FC3">
        <w:t xml:space="preserve"> </w:t>
      </w:r>
      <w:r w:rsidRPr="00382917">
        <w:t>had</w:t>
      </w:r>
      <w:r w:rsidR="00EE4FC3">
        <w:t xml:space="preserve"> </w:t>
      </w:r>
      <w:r w:rsidRPr="00382917">
        <w:t>given</w:t>
      </w:r>
      <w:r w:rsidR="00EE4FC3">
        <w:t xml:space="preserve"> </w:t>
      </w:r>
      <w:r w:rsidRPr="00382917">
        <w:t>the</w:t>
      </w:r>
      <w:r w:rsidR="00EE4FC3">
        <w:t xml:space="preserve"> </w:t>
      </w:r>
      <w:r w:rsidRPr="00382917">
        <w:t>first</w:t>
      </w:r>
      <w:r w:rsidR="00EE4FC3">
        <w:t xml:space="preserve"> </w:t>
      </w:r>
      <w:r w:rsidRPr="00382917">
        <w:t>declaration</w:t>
      </w:r>
      <w:r w:rsidR="00EE4FC3">
        <w:t xml:space="preserve"> </w:t>
      </w:r>
      <w:r w:rsidRPr="00382917">
        <w:t>of</w:t>
      </w:r>
      <w:r w:rsidR="00EE4FC3">
        <w:t xml:space="preserve"> </w:t>
      </w:r>
      <w:r w:rsidRPr="00382917">
        <w:t>His</w:t>
      </w:r>
      <w:r w:rsidR="00EE4FC3">
        <w:t xml:space="preserve"> </w:t>
      </w:r>
      <w:r w:rsidRPr="00382917">
        <w:t>Mission</w:t>
      </w:r>
      <w:r w:rsidR="00EE4FC3">
        <w:t xml:space="preserve"> </w:t>
      </w:r>
      <w:r w:rsidRPr="00382917">
        <w:t>to</w:t>
      </w:r>
      <w:r w:rsidR="00EE4FC3">
        <w:t xml:space="preserve"> </w:t>
      </w:r>
      <w:r w:rsidRPr="00382917">
        <w:t>this</w:t>
      </w:r>
      <w:r w:rsidR="00EE4FC3">
        <w:t xml:space="preserve"> </w:t>
      </w:r>
      <w:r w:rsidRPr="00382917">
        <w:t>humble</w:t>
      </w:r>
      <w:r w:rsidR="00EE4FC3">
        <w:t xml:space="preserve"> </w:t>
      </w:r>
      <w:r w:rsidRPr="00382917">
        <w:t>Persian</w:t>
      </w:r>
      <w:r w:rsidR="00EE4FC3">
        <w:t xml:space="preserve"> </w:t>
      </w:r>
      <w:r w:rsidRPr="00382917">
        <w:t>student,</w:t>
      </w:r>
      <w:r w:rsidR="00EE4FC3">
        <w:t xml:space="preserve"> </w:t>
      </w:r>
      <w:r w:rsidRPr="00382917">
        <w:t>Mullá</w:t>
      </w:r>
      <w:r w:rsidR="00EE4FC3">
        <w:t xml:space="preserve"> </w:t>
      </w:r>
      <w:r w:rsidR="00964C11" w:rsidRPr="00382917">
        <w:t>Ḥusayn</w:t>
      </w:r>
      <w:r w:rsidRPr="00382917">
        <w:t>.</w:t>
      </w:r>
      <w:r w:rsidR="00EE4FC3">
        <w:t xml:space="preserve">  </w:t>
      </w:r>
      <w:r w:rsidRPr="00382917">
        <w:t>Never</w:t>
      </w:r>
      <w:r w:rsidR="00EE4FC3">
        <w:t xml:space="preserve"> </w:t>
      </w:r>
      <w:r w:rsidRPr="00382917">
        <w:t>before</w:t>
      </w:r>
      <w:r w:rsidR="00EE4FC3">
        <w:t xml:space="preserve"> </w:t>
      </w:r>
      <w:r w:rsidRPr="00382917">
        <w:t>in</w:t>
      </w:r>
      <w:r w:rsidR="00EE4FC3">
        <w:t xml:space="preserve"> </w:t>
      </w:r>
      <w:r w:rsidRPr="00382917">
        <w:t>the</w:t>
      </w:r>
      <w:r w:rsidR="00EE4FC3">
        <w:t xml:space="preserve"> </w:t>
      </w:r>
      <w:r w:rsidRPr="00382917">
        <w:t>history</w:t>
      </w:r>
      <w:r w:rsidR="00EE4FC3">
        <w:t xml:space="preserve"> </w:t>
      </w:r>
      <w:r w:rsidRPr="00382917">
        <w:t>of</w:t>
      </w:r>
      <w:r w:rsidR="00EE4FC3">
        <w:t xml:space="preserve"> </w:t>
      </w:r>
      <w:r w:rsidRPr="00382917">
        <w:t>a</w:t>
      </w:r>
      <w:r w:rsidR="00EE4FC3">
        <w:t xml:space="preserve"> </w:t>
      </w:r>
      <w:r w:rsidRPr="00382917">
        <w:t>religion</w:t>
      </w:r>
      <w:r w:rsidR="00EE4FC3">
        <w:t xml:space="preserve"> </w:t>
      </w:r>
      <w:r w:rsidRPr="00382917">
        <w:t>have</w:t>
      </w:r>
      <w:r w:rsidR="00EE4FC3">
        <w:t xml:space="preserve"> </w:t>
      </w:r>
      <w:r w:rsidRPr="00382917">
        <w:t>the</w:t>
      </w:r>
      <w:r w:rsidR="00EE4FC3">
        <w:t xml:space="preserve"> </w:t>
      </w:r>
      <w:r w:rsidRPr="00382917">
        <w:t>exact</w:t>
      </w:r>
      <w:r w:rsidR="00EE4FC3">
        <w:t xml:space="preserve"> </w:t>
      </w:r>
      <w:r w:rsidRPr="00382917">
        <w:t>words</w:t>
      </w:r>
      <w:r w:rsidR="00EE4FC3">
        <w:t xml:space="preserve"> </w:t>
      </w:r>
      <w:r w:rsidRPr="00382917">
        <w:t>of</w:t>
      </w:r>
      <w:r w:rsidR="00EE4FC3">
        <w:t xml:space="preserve"> </w:t>
      </w:r>
      <w:r w:rsidRPr="00382917">
        <w:t>such</w:t>
      </w:r>
      <w:r w:rsidR="00EE4FC3">
        <w:t xml:space="preserve"> </w:t>
      </w:r>
      <w:r w:rsidRPr="00382917">
        <w:t>an</w:t>
      </w:r>
      <w:r w:rsidR="00EE4FC3">
        <w:t xml:space="preserve"> </w:t>
      </w:r>
      <w:r w:rsidRPr="00382917">
        <w:t>unforgettable</w:t>
      </w:r>
      <w:r w:rsidR="00EE4FC3">
        <w:t xml:space="preserve"> </w:t>
      </w:r>
      <w:r w:rsidRPr="00382917">
        <w:t>meeting</w:t>
      </w:r>
      <w:r w:rsidR="00EE4FC3">
        <w:t xml:space="preserve"> </w:t>
      </w:r>
      <w:r w:rsidRPr="00382917">
        <w:t>been</w:t>
      </w:r>
      <w:r w:rsidR="00EE4FC3">
        <w:t xml:space="preserve"> </w:t>
      </w:r>
      <w:r w:rsidRPr="00382917">
        <w:t>preserved</w:t>
      </w:r>
      <w:r w:rsidR="00EE4FC3">
        <w:t xml:space="preserve"> </w:t>
      </w:r>
      <w:r w:rsidRPr="00382917">
        <w:t>by</w:t>
      </w:r>
      <w:r w:rsidR="00EE4FC3">
        <w:t xml:space="preserve"> </w:t>
      </w:r>
      <w:r w:rsidRPr="00382917">
        <w:t>an</w:t>
      </w:r>
      <w:r w:rsidR="00EE4FC3">
        <w:t xml:space="preserve"> </w:t>
      </w:r>
      <w:r w:rsidRPr="00382917">
        <w:t>eye-witness.</w:t>
      </w:r>
      <w:r w:rsidR="00EE4FC3">
        <w:t xml:space="preserve">  </w:t>
      </w:r>
      <w:r w:rsidRPr="00382917">
        <w:t>Mullá</w:t>
      </w:r>
      <w:r w:rsidR="00EE4FC3">
        <w:t xml:space="preserve"> </w:t>
      </w:r>
      <w:proofErr w:type="spellStart"/>
      <w:r w:rsidRPr="00382917">
        <w:t>Ḥu</w:t>
      </w:r>
      <w:proofErr w:type="spellEnd"/>
      <w:r w:rsidRPr="00382917">
        <w:t>-</w:t>
      </w:r>
    </w:p>
    <w:p w:rsidR="00581CF7" w:rsidRPr="00382917" w:rsidRDefault="00581CF7">
      <w:pPr>
        <w:widowControl/>
        <w:kinsoku/>
        <w:overflowPunct/>
        <w:textAlignment w:val="auto"/>
      </w:pPr>
      <w:r w:rsidRPr="00382917">
        <w:br w:type="page"/>
      </w:r>
    </w:p>
    <w:p w:rsidR="006D18A4" w:rsidRPr="00382917" w:rsidRDefault="006D18A4" w:rsidP="009C713D">
      <w:pPr>
        <w:pStyle w:val="Textcts"/>
      </w:pPr>
      <w:proofErr w:type="spellStart"/>
      <w:proofErr w:type="gramStart"/>
      <w:r w:rsidRPr="00382917">
        <w:t>sayn</w:t>
      </w:r>
      <w:proofErr w:type="spellEnd"/>
      <w:proofErr w:type="gramEnd"/>
      <w:r w:rsidRPr="00382917">
        <w:t>,</w:t>
      </w:r>
      <w:r w:rsidR="00EE4FC3">
        <w:t xml:space="preserve"> </w:t>
      </w:r>
      <w:r w:rsidRPr="00382917">
        <w:t>however,</w:t>
      </w:r>
      <w:r w:rsidR="00EE4FC3">
        <w:t xml:space="preserve"> </w:t>
      </w:r>
      <w:r w:rsidRPr="00382917">
        <w:t>has</w:t>
      </w:r>
      <w:r w:rsidR="00EE4FC3">
        <w:t xml:space="preserve"> </w:t>
      </w:r>
      <w:r w:rsidRPr="00382917">
        <w:t>left</w:t>
      </w:r>
      <w:r w:rsidR="00EE4FC3">
        <w:t xml:space="preserve"> </w:t>
      </w:r>
      <w:r w:rsidRPr="00382917">
        <w:t>in</w:t>
      </w:r>
      <w:r w:rsidR="00EE4FC3">
        <w:t xml:space="preserve"> </w:t>
      </w:r>
      <w:r w:rsidRPr="00382917">
        <w:t>everlasting</w:t>
      </w:r>
      <w:r w:rsidR="00EE4FC3">
        <w:t xml:space="preserve"> </w:t>
      </w:r>
      <w:r w:rsidRPr="00382917">
        <w:t>language</w:t>
      </w:r>
      <w:r w:rsidR="00EE4FC3">
        <w:t xml:space="preserve"> </w:t>
      </w:r>
      <w:r w:rsidRPr="00382917">
        <w:t>a</w:t>
      </w:r>
      <w:r w:rsidR="00EE4FC3">
        <w:t xml:space="preserve"> </w:t>
      </w:r>
      <w:r w:rsidRPr="00382917">
        <w:t>memory</w:t>
      </w:r>
      <w:r w:rsidR="00EE4FC3">
        <w:t xml:space="preserve"> </w:t>
      </w:r>
      <w:r w:rsidRPr="00382917">
        <w:t>of</w:t>
      </w:r>
      <w:r w:rsidR="00EE4FC3">
        <w:t xml:space="preserve"> </w:t>
      </w:r>
      <w:r w:rsidRPr="00382917">
        <w:t>that</w:t>
      </w:r>
      <w:r w:rsidR="00EE4FC3">
        <w:t xml:space="preserve"> </w:t>
      </w:r>
      <w:r w:rsidRPr="00382917">
        <w:t>first</w:t>
      </w:r>
      <w:r w:rsidR="00EE4FC3">
        <w:t xml:space="preserve"> </w:t>
      </w:r>
      <w:r w:rsidRPr="00382917">
        <w:t>announcement</w:t>
      </w:r>
      <w:r w:rsidR="00EE4FC3">
        <w:t xml:space="preserve"> </w:t>
      </w:r>
      <w:r w:rsidRPr="00382917">
        <w:t>by</w:t>
      </w:r>
      <w:r w:rsidR="00EE4FC3">
        <w:t xml:space="preserve"> </w:t>
      </w:r>
      <w:r w:rsidR="009C713D" w:rsidRPr="00382917">
        <w:t>‘</w:t>
      </w:r>
      <w:r w:rsidRPr="00382917">
        <w:t>Al</w:t>
      </w:r>
      <w:r w:rsidR="009C713D" w:rsidRPr="00382917">
        <w:t>í</w:t>
      </w:r>
      <w:r w:rsidR="00EE4FC3">
        <w:t xml:space="preserve"> </w:t>
      </w:r>
      <w:r w:rsidRPr="00382917">
        <w:t>Muḥammad,</w:t>
      </w:r>
      <w:r w:rsidR="00EE4FC3">
        <w:t xml:space="preserve"> </w:t>
      </w:r>
      <w:r w:rsidRPr="00382917">
        <w:t>the</w:t>
      </w:r>
      <w:r w:rsidR="00EE4FC3">
        <w:t xml:space="preserve"> </w:t>
      </w:r>
      <w:r w:rsidRPr="00382917">
        <w:t>Báb.</w:t>
      </w:r>
      <w:r w:rsidR="00EE4FC3">
        <w:t xml:space="preserve">  </w:t>
      </w:r>
      <w:r w:rsidRPr="00382917">
        <w:t>He</w:t>
      </w:r>
      <w:r w:rsidR="00EE4FC3">
        <w:t xml:space="preserve"> </w:t>
      </w:r>
      <w:r w:rsidRPr="00382917">
        <w:t>could</w:t>
      </w:r>
      <w:r w:rsidR="00EE4FC3">
        <w:t xml:space="preserve"> </w:t>
      </w:r>
      <w:r w:rsidRPr="00382917">
        <w:t>never</w:t>
      </w:r>
      <w:r w:rsidR="00EE4FC3">
        <w:t xml:space="preserve"> </w:t>
      </w:r>
      <w:r w:rsidRPr="00382917">
        <w:t>forget</w:t>
      </w:r>
      <w:r w:rsidR="00EE4FC3">
        <w:t xml:space="preserve"> </w:t>
      </w:r>
      <w:r w:rsidRPr="00382917">
        <w:t>the</w:t>
      </w:r>
      <w:r w:rsidR="00EE4FC3">
        <w:t xml:space="preserve"> </w:t>
      </w:r>
      <w:r w:rsidRPr="00382917">
        <w:t>inner</w:t>
      </w:r>
      <w:r w:rsidR="00EE4FC3">
        <w:t xml:space="preserve"> </w:t>
      </w:r>
      <w:r w:rsidRPr="00382917">
        <w:t>peace</w:t>
      </w:r>
      <w:r w:rsidR="00EE4FC3">
        <w:t xml:space="preserve"> </w:t>
      </w:r>
      <w:r w:rsidRPr="00382917">
        <w:t>and</w:t>
      </w:r>
      <w:r w:rsidR="00EE4FC3">
        <w:t xml:space="preserve"> </w:t>
      </w:r>
      <w:r w:rsidRPr="00382917">
        <w:t>serenity</w:t>
      </w:r>
      <w:r w:rsidR="00EE4FC3">
        <w:t xml:space="preserve"> </w:t>
      </w:r>
      <w:r w:rsidRPr="00382917">
        <w:t>which</w:t>
      </w:r>
      <w:r w:rsidR="00EE4FC3">
        <w:t xml:space="preserve"> </w:t>
      </w:r>
      <w:r w:rsidRPr="00382917">
        <w:t>he</w:t>
      </w:r>
      <w:r w:rsidR="00EE4FC3">
        <w:t xml:space="preserve"> </w:t>
      </w:r>
      <w:r w:rsidRPr="00382917">
        <w:t>had</w:t>
      </w:r>
      <w:r w:rsidR="00EE4FC3">
        <w:t xml:space="preserve"> </w:t>
      </w:r>
      <w:r w:rsidRPr="00382917">
        <w:t>felt</w:t>
      </w:r>
      <w:r w:rsidR="00EE4FC3">
        <w:t xml:space="preserve"> </w:t>
      </w:r>
      <w:r w:rsidRPr="00382917">
        <w:t>in</w:t>
      </w:r>
      <w:r w:rsidR="00EE4FC3">
        <w:t xml:space="preserve"> </w:t>
      </w:r>
      <w:r w:rsidRPr="00382917">
        <w:t>the</w:t>
      </w:r>
      <w:r w:rsidR="00EE4FC3">
        <w:t xml:space="preserve"> </w:t>
      </w:r>
      <w:r w:rsidRPr="00382917">
        <w:t>life-creating</w:t>
      </w:r>
      <w:r w:rsidR="00EE4FC3">
        <w:t xml:space="preserve"> </w:t>
      </w:r>
      <w:r w:rsidRPr="00382917">
        <w:t>presence</w:t>
      </w:r>
      <w:r w:rsidR="00EE4FC3">
        <w:t xml:space="preserve"> </w:t>
      </w:r>
      <w:r w:rsidRPr="00382917">
        <w:t>of</w:t>
      </w:r>
      <w:r w:rsidR="00EE4FC3">
        <w:t xml:space="preserve"> </w:t>
      </w:r>
      <w:r w:rsidRPr="00382917">
        <w:t>the</w:t>
      </w:r>
      <w:r w:rsidR="00EE4FC3">
        <w:t xml:space="preserve"> </w:t>
      </w:r>
      <w:r w:rsidRPr="00382917">
        <w:t>Báb.</w:t>
      </w:r>
      <w:r w:rsidR="00EE4FC3">
        <w:t xml:space="preserve">  </w:t>
      </w:r>
      <w:r w:rsidRPr="00382917">
        <w:t>He</w:t>
      </w:r>
      <w:r w:rsidR="00EE4FC3">
        <w:t xml:space="preserve"> </w:t>
      </w:r>
      <w:r w:rsidRPr="00382917">
        <w:t>spoke</w:t>
      </w:r>
      <w:r w:rsidR="00EE4FC3">
        <w:t xml:space="preserve"> </w:t>
      </w:r>
      <w:r w:rsidRPr="00382917">
        <w:t>often</w:t>
      </w:r>
      <w:r w:rsidR="00EE4FC3">
        <w:t xml:space="preserve"> </w:t>
      </w:r>
      <w:r w:rsidRPr="00382917">
        <w:t>to</w:t>
      </w:r>
      <w:r w:rsidR="00EE4FC3">
        <w:t xml:space="preserve"> </w:t>
      </w:r>
      <w:r w:rsidRPr="00382917">
        <w:t>his</w:t>
      </w:r>
      <w:r w:rsidR="00EE4FC3">
        <w:t xml:space="preserve"> </w:t>
      </w:r>
      <w:r w:rsidRPr="00382917">
        <w:t>companions</w:t>
      </w:r>
      <w:r w:rsidR="00EE4FC3">
        <w:t xml:space="preserve"> </w:t>
      </w:r>
      <w:r w:rsidRPr="00382917">
        <w:t>of</w:t>
      </w:r>
      <w:r w:rsidR="00EE4FC3">
        <w:t xml:space="preserve"> </w:t>
      </w:r>
      <w:r w:rsidRPr="00382917">
        <w:t>that</w:t>
      </w:r>
      <w:r w:rsidR="00EE4FC3">
        <w:t xml:space="preserve"> </w:t>
      </w:r>
      <w:r w:rsidRPr="00382917">
        <w:t>wondrous</w:t>
      </w:r>
      <w:r w:rsidR="00EE4FC3">
        <w:t xml:space="preserve"> </w:t>
      </w:r>
      <w:r w:rsidRPr="00382917">
        <w:t>night.</w:t>
      </w:r>
    </w:p>
    <w:p w:rsidR="006D18A4" w:rsidRPr="00382917" w:rsidRDefault="009C713D" w:rsidP="006D18A4">
      <w:pPr>
        <w:pStyle w:val="Text"/>
      </w:pPr>
      <w:r w:rsidRPr="00382917">
        <w:t>“</w:t>
      </w:r>
      <w:r w:rsidR="006D18A4" w:rsidRPr="00382917">
        <w:t>I</w:t>
      </w:r>
      <w:r w:rsidR="00EE4FC3">
        <w:t xml:space="preserve"> </w:t>
      </w:r>
      <w:r w:rsidR="006D18A4" w:rsidRPr="00382917">
        <w:t>sat</w:t>
      </w:r>
      <w:r w:rsidR="00EE4FC3">
        <w:t xml:space="preserve"> </w:t>
      </w:r>
      <w:r w:rsidR="006D18A4" w:rsidRPr="00382917">
        <w:t>spellbound</w:t>
      </w:r>
      <w:r w:rsidR="00EE4FC3">
        <w:t xml:space="preserve"> </w:t>
      </w:r>
      <w:r w:rsidR="006D18A4" w:rsidRPr="00382917">
        <w:t>by</w:t>
      </w:r>
      <w:r w:rsidR="00EE4FC3">
        <w:t xml:space="preserve"> </w:t>
      </w:r>
      <w:r w:rsidR="006D18A4" w:rsidRPr="00382917">
        <w:t>His</w:t>
      </w:r>
      <w:r w:rsidR="00EE4FC3">
        <w:t xml:space="preserve"> </w:t>
      </w:r>
      <w:r w:rsidR="006D18A4" w:rsidRPr="00382917">
        <w:t>utterance,</w:t>
      </w:r>
      <w:r w:rsidRPr="00382917">
        <w:t>”</w:t>
      </w:r>
      <w:r w:rsidR="00EE4FC3">
        <w:t xml:space="preserve"> </w:t>
      </w:r>
      <w:r w:rsidR="006D18A4" w:rsidRPr="00382917">
        <w:t>he</w:t>
      </w:r>
      <w:r w:rsidR="00EE4FC3">
        <w:t xml:space="preserve"> </w:t>
      </w:r>
      <w:r w:rsidR="006D18A4" w:rsidRPr="00382917">
        <w:t>said.</w:t>
      </w:r>
      <w:r w:rsidR="00EE4FC3">
        <w:t xml:space="preserve">  </w:t>
      </w:r>
      <w:r w:rsidRPr="00382917">
        <w:t>“</w:t>
      </w:r>
      <w:r w:rsidR="006D18A4" w:rsidRPr="00382917">
        <w:t>All</w:t>
      </w:r>
      <w:r w:rsidR="00EE4FC3">
        <w:t xml:space="preserve"> </w:t>
      </w:r>
      <w:r w:rsidR="006D18A4" w:rsidRPr="00382917">
        <w:t>the</w:t>
      </w:r>
      <w:r w:rsidR="00EE4FC3">
        <w:t xml:space="preserve"> </w:t>
      </w:r>
      <w:r w:rsidR="006D18A4" w:rsidRPr="00382917">
        <w:t>delights</w:t>
      </w:r>
      <w:r w:rsidR="00EE4FC3">
        <w:t xml:space="preserve"> </w:t>
      </w:r>
      <w:r w:rsidR="006D18A4" w:rsidRPr="00382917">
        <w:t>[of</w:t>
      </w:r>
      <w:r w:rsidR="00EE4FC3">
        <w:t xml:space="preserve"> </w:t>
      </w:r>
      <w:r w:rsidR="006D18A4" w:rsidRPr="00382917">
        <w:t>Paradise]</w:t>
      </w:r>
      <w:r w:rsidR="00EE4FC3">
        <w:t xml:space="preserve"> </w:t>
      </w:r>
      <w:r w:rsidR="006D18A4" w:rsidRPr="00382917">
        <w:t>I</w:t>
      </w:r>
      <w:r w:rsidR="00EE4FC3">
        <w:t xml:space="preserve"> </w:t>
      </w:r>
      <w:r w:rsidR="006D18A4" w:rsidRPr="00382917">
        <w:t>seemed</w:t>
      </w:r>
      <w:r w:rsidR="00EE4FC3">
        <w:t xml:space="preserve"> </w:t>
      </w:r>
      <w:r w:rsidR="006D18A4" w:rsidRPr="00382917">
        <w:t>to</w:t>
      </w:r>
      <w:r w:rsidR="00EE4FC3">
        <w:t xml:space="preserve"> </w:t>
      </w:r>
      <w:r w:rsidR="006D18A4" w:rsidRPr="00382917">
        <w:t>be</w:t>
      </w:r>
      <w:r w:rsidR="00EE4FC3">
        <w:t xml:space="preserve"> </w:t>
      </w:r>
      <w:r w:rsidR="006D18A4" w:rsidRPr="00382917">
        <w:t>experiencing</w:t>
      </w:r>
      <w:r w:rsidR="00EE4FC3">
        <w:t xml:space="preserve"> </w:t>
      </w:r>
      <w:r w:rsidR="006D18A4" w:rsidRPr="00382917">
        <w:t>that</w:t>
      </w:r>
      <w:r w:rsidR="00EE4FC3">
        <w:t xml:space="preserve"> </w:t>
      </w:r>
      <w:r w:rsidR="006D18A4" w:rsidRPr="00382917">
        <w:t>night.</w:t>
      </w:r>
      <w:r w:rsidR="00EE4FC3">
        <w:t xml:space="preserve">  </w:t>
      </w:r>
      <w:r w:rsidR="006D18A4" w:rsidRPr="00382917">
        <w:t>Methinks</w:t>
      </w:r>
      <w:r w:rsidR="00EE4FC3">
        <w:t xml:space="preserve"> </w:t>
      </w:r>
      <w:r w:rsidR="006D18A4" w:rsidRPr="00382917">
        <w:t>I</w:t>
      </w:r>
      <w:r w:rsidR="00EE4FC3">
        <w:t xml:space="preserve"> </w:t>
      </w:r>
      <w:r w:rsidR="006D18A4" w:rsidRPr="00382917">
        <w:t>was</w:t>
      </w:r>
      <w:r w:rsidR="00EE4FC3">
        <w:t xml:space="preserve"> </w:t>
      </w:r>
      <w:r w:rsidR="006D18A4" w:rsidRPr="00382917">
        <w:t>in</w:t>
      </w:r>
      <w:r w:rsidR="00EE4FC3">
        <w:t xml:space="preserve"> </w:t>
      </w:r>
      <w:r w:rsidR="006D18A4" w:rsidRPr="00382917">
        <w:t>a</w:t>
      </w:r>
      <w:r w:rsidR="00EE4FC3">
        <w:t xml:space="preserve"> </w:t>
      </w:r>
      <w:r w:rsidR="006D18A4" w:rsidRPr="00382917">
        <w:t>place</w:t>
      </w:r>
      <w:r w:rsidR="00EE4FC3">
        <w:t xml:space="preserve"> </w:t>
      </w:r>
      <w:r w:rsidR="006D18A4" w:rsidRPr="00382917">
        <w:t>of</w:t>
      </w:r>
      <w:r w:rsidR="00EE4FC3">
        <w:t xml:space="preserve"> </w:t>
      </w:r>
      <w:r w:rsidR="006D18A4" w:rsidRPr="00382917">
        <w:t>which</w:t>
      </w:r>
      <w:r w:rsidR="00EE4FC3">
        <w:t xml:space="preserve"> </w:t>
      </w:r>
      <w:r w:rsidR="006D18A4" w:rsidRPr="00382917">
        <w:t>it</w:t>
      </w:r>
      <w:r w:rsidR="00EE4FC3">
        <w:t xml:space="preserve"> </w:t>
      </w:r>
      <w:r w:rsidR="006D18A4" w:rsidRPr="00382917">
        <w:t>could</w:t>
      </w:r>
      <w:r w:rsidR="00EE4FC3">
        <w:t xml:space="preserve"> </w:t>
      </w:r>
      <w:r w:rsidR="006D18A4" w:rsidRPr="00382917">
        <w:t>be</w:t>
      </w:r>
      <w:r w:rsidR="00EE4FC3">
        <w:t xml:space="preserve"> </w:t>
      </w:r>
      <w:r w:rsidR="006D18A4" w:rsidRPr="00382917">
        <w:t>truly</w:t>
      </w:r>
      <w:r w:rsidR="00EE4FC3">
        <w:t xml:space="preserve"> </w:t>
      </w:r>
      <w:r w:rsidR="006D18A4" w:rsidRPr="00382917">
        <w:t>said:</w:t>
      </w:r>
      <w:r w:rsidR="00EE4FC3">
        <w:t xml:space="preserve">  </w:t>
      </w:r>
      <w:r w:rsidRPr="00382917">
        <w:t>‘</w:t>
      </w:r>
      <w:r w:rsidR="006D18A4" w:rsidRPr="00382917">
        <w:t>Therein</w:t>
      </w:r>
      <w:r w:rsidR="00EE4FC3">
        <w:t xml:space="preserve"> </w:t>
      </w:r>
      <w:r w:rsidR="006D18A4" w:rsidRPr="00382917">
        <w:t>no</w:t>
      </w:r>
      <w:r w:rsidR="00EE4FC3">
        <w:t xml:space="preserve"> </w:t>
      </w:r>
      <w:r w:rsidR="006D18A4" w:rsidRPr="00382917">
        <w:t>toil</w:t>
      </w:r>
      <w:r w:rsidR="00EE4FC3">
        <w:t xml:space="preserve"> </w:t>
      </w:r>
      <w:r w:rsidR="006D18A4" w:rsidRPr="00382917">
        <w:t>shall</w:t>
      </w:r>
      <w:r w:rsidR="00EE4FC3">
        <w:t xml:space="preserve"> </w:t>
      </w:r>
      <w:r w:rsidR="006D18A4" w:rsidRPr="00382917">
        <w:t>reach</w:t>
      </w:r>
      <w:r w:rsidR="00EE4FC3">
        <w:t xml:space="preserve"> </w:t>
      </w:r>
      <w:proofErr w:type="gramStart"/>
      <w:r w:rsidR="006D18A4" w:rsidRPr="00382917">
        <w:t>us,</w:t>
      </w:r>
      <w:r w:rsidR="00EE4FC3">
        <w:t xml:space="preserve"> </w:t>
      </w:r>
      <w:r w:rsidR="00F04416" w:rsidRPr="00382917">
        <w:t>…</w:t>
      </w:r>
      <w:proofErr w:type="gramEnd"/>
      <w:r w:rsidR="00EE4FC3">
        <w:t xml:space="preserve"> </w:t>
      </w:r>
      <w:r w:rsidR="006D18A4" w:rsidRPr="00382917">
        <w:t>but</w:t>
      </w:r>
      <w:r w:rsidR="00EE4FC3">
        <w:t xml:space="preserve"> </w:t>
      </w:r>
      <w:r w:rsidR="006D18A4" w:rsidRPr="00382917">
        <w:t>only</w:t>
      </w:r>
      <w:r w:rsidR="00EE4FC3">
        <w:t xml:space="preserve"> </w:t>
      </w:r>
      <w:r w:rsidR="006D18A4" w:rsidRPr="00382917">
        <w:t>the</w:t>
      </w:r>
      <w:r w:rsidR="00EE4FC3">
        <w:t xml:space="preserve"> </w:t>
      </w:r>
      <w:r w:rsidR="006D18A4" w:rsidRPr="00382917">
        <w:t>cry,</w:t>
      </w:r>
      <w:r w:rsidR="00EE4FC3">
        <w:t xml:space="preserve"> </w:t>
      </w:r>
      <w:r w:rsidR="006D18A4" w:rsidRPr="00382917">
        <w:t>Peace!</w:t>
      </w:r>
      <w:r w:rsidR="00EE4FC3">
        <w:t xml:space="preserve">  </w:t>
      </w:r>
      <w:r w:rsidR="006D18A4" w:rsidRPr="00382917">
        <w:t>Peace!</w:t>
      </w:r>
      <w:r w:rsidRPr="00382917">
        <w:t>’”</w:t>
      </w:r>
      <w:r w:rsidR="00EE4FC3">
        <w:t xml:space="preserve">  </w:t>
      </w:r>
      <w:r w:rsidR="006D18A4" w:rsidRPr="00382917">
        <w:t>Sleep</w:t>
      </w:r>
      <w:r w:rsidR="00EE4FC3">
        <w:t xml:space="preserve"> </w:t>
      </w:r>
      <w:r w:rsidR="006D18A4" w:rsidRPr="00382917">
        <w:t>had</w:t>
      </w:r>
      <w:r w:rsidR="00EE4FC3">
        <w:t xml:space="preserve"> </w:t>
      </w:r>
      <w:r w:rsidR="006D18A4" w:rsidRPr="00382917">
        <w:t>departed</w:t>
      </w:r>
      <w:r w:rsidR="00EE4FC3">
        <w:t xml:space="preserve"> </w:t>
      </w:r>
      <w:r w:rsidR="006D18A4" w:rsidRPr="00382917">
        <w:t>from</w:t>
      </w:r>
      <w:r w:rsidR="00EE4FC3">
        <w:t xml:space="preserve"> </w:t>
      </w:r>
      <w:r w:rsidR="006D18A4" w:rsidRPr="00382917">
        <w:t>Mullá</w:t>
      </w:r>
      <w:r w:rsidR="00EE4FC3">
        <w:t xml:space="preserve"> </w:t>
      </w:r>
      <w:r w:rsidR="00964C11" w:rsidRPr="00382917">
        <w:t>Ḥusayn</w:t>
      </w:r>
      <w:r w:rsidR="00EE4FC3">
        <w:t xml:space="preserve"> </w:t>
      </w:r>
      <w:r w:rsidR="006D18A4" w:rsidRPr="00382917">
        <w:t>as</w:t>
      </w:r>
      <w:r w:rsidR="00EE4FC3">
        <w:t xml:space="preserve"> </w:t>
      </w:r>
      <w:r w:rsidR="006D18A4" w:rsidRPr="00382917">
        <w:t>he</w:t>
      </w:r>
      <w:r w:rsidR="00EE4FC3">
        <w:t xml:space="preserve"> </w:t>
      </w:r>
      <w:r w:rsidR="006D18A4" w:rsidRPr="00382917">
        <w:t>listened</w:t>
      </w:r>
      <w:r w:rsidR="00EE4FC3">
        <w:t xml:space="preserve"> </w:t>
      </w:r>
      <w:r w:rsidR="006D18A4" w:rsidRPr="00382917">
        <w:t>to</w:t>
      </w:r>
      <w:r w:rsidR="00EE4FC3">
        <w:t xml:space="preserve"> </w:t>
      </w:r>
      <w:r w:rsidR="006D18A4" w:rsidRPr="00382917">
        <w:t>the</w:t>
      </w:r>
      <w:r w:rsidR="00EE4FC3">
        <w:t xml:space="preserve"> </w:t>
      </w:r>
      <w:r w:rsidR="006D18A4" w:rsidRPr="00382917">
        <w:t>music</w:t>
      </w:r>
      <w:r w:rsidR="00EE4FC3">
        <w:t xml:space="preserve"> </w:t>
      </w:r>
      <w:r w:rsidR="006D18A4" w:rsidRPr="00382917">
        <w:t>of</w:t>
      </w:r>
      <w:r w:rsidR="00EE4FC3">
        <w:t xml:space="preserve"> </w:t>
      </w:r>
      <w:r w:rsidR="006D18A4" w:rsidRPr="00382917">
        <w:t>his</w:t>
      </w:r>
      <w:r w:rsidR="00EE4FC3">
        <w:t xml:space="preserve"> </w:t>
      </w:r>
      <w:r w:rsidR="006D18A4" w:rsidRPr="00382917">
        <w:t>Beloved</w:t>
      </w:r>
      <w:r w:rsidRPr="00382917">
        <w:t>’</w:t>
      </w:r>
      <w:r w:rsidR="006D18A4" w:rsidRPr="00382917">
        <w:t>s</w:t>
      </w:r>
      <w:r w:rsidR="00EE4FC3">
        <w:t xml:space="preserve"> </w:t>
      </w:r>
      <w:r w:rsidR="006D18A4" w:rsidRPr="00382917">
        <w:t>voice.</w:t>
      </w:r>
    </w:p>
    <w:p w:rsidR="006D18A4" w:rsidRPr="00382917" w:rsidRDefault="009C713D" w:rsidP="006D18A4">
      <w:pPr>
        <w:pStyle w:val="Text"/>
      </w:pPr>
      <w:proofErr w:type="gramStart"/>
      <w:r w:rsidRPr="00382917">
        <w:t>“‘</w:t>
      </w:r>
      <w:r w:rsidR="006D18A4" w:rsidRPr="00382917">
        <w:t>O</w:t>
      </w:r>
      <w:r w:rsidR="00EE4FC3">
        <w:t xml:space="preserve"> </w:t>
      </w:r>
      <w:r w:rsidR="006D18A4" w:rsidRPr="00382917">
        <w:t>thou</w:t>
      </w:r>
      <w:r w:rsidR="00EE4FC3">
        <w:t xml:space="preserve"> </w:t>
      </w:r>
      <w:r w:rsidR="006D18A4" w:rsidRPr="00382917">
        <w:t>who</w:t>
      </w:r>
      <w:r w:rsidR="00EE4FC3">
        <w:t xml:space="preserve"> </w:t>
      </w:r>
      <w:r w:rsidR="006D18A4" w:rsidRPr="00382917">
        <w:t>are</w:t>
      </w:r>
      <w:r w:rsidR="00EE4FC3">
        <w:t xml:space="preserve"> </w:t>
      </w:r>
      <w:r w:rsidR="006D18A4" w:rsidRPr="00382917">
        <w:t>the</w:t>
      </w:r>
      <w:r w:rsidR="00EE4FC3">
        <w:t xml:space="preserve"> </w:t>
      </w:r>
      <w:r w:rsidR="006D18A4" w:rsidRPr="00382917">
        <w:t>first</w:t>
      </w:r>
      <w:r w:rsidR="00EE4FC3">
        <w:t xml:space="preserve"> </w:t>
      </w:r>
      <w:r w:rsidR="006D18A4" w:rsidRPr="00382917">
        <w:t>to</w:t>
      </w:r>
      <w:r w:rsidR="00EE4FC3">
        <w:t xml:space="preserve"> </w:t>
      </w:r>
      <w:r w:rsidR="006D18A4" w:rsidRPr="00382917">
        <w:t>believe</w:t>
      </w:r>
      <w:r w:rsidR="00EE4FC3">
        <w:t xml:space="preserve"> </w:t>
      </w:r>
      <w:r w:rsidR="006D18A4" w:rsidRPr="00382917">
        <w:t>in</w:t>
      </w:r>
      <w:r w:rsidR="00EE4FC3">
        <w:t xml:space="preserve"> </w:t>
      </w:r>
      <w:r w:rsidR="006D18A4" w:rsidRPr="00382917">
        <w:t>Me.</w:t>
      </w:r>
      <w:proofErr w:type="gramEnd"/>
      <w:r w:rsidR="00EE4FC3">
        <w:t xml:space="preserve">  </w:t>
      </w:r>
      <w:r w:rsidR="006D18A4" w:rsidRPr="00382917">
        <w:t>Verily,</w:t>
      </w:r>
      <w:r w:rsidR="00EE4FC3">
        <w:t xml:space="preserve"> </w:t>
      </w:r>
      <w:r w:rsidR="006D18A4" w:rsidRPr="00382917">
        <w:t>I</w:t>
      </w:r>
      <w:r w:rsidR="00EE4FC3">
        <w:t xml:space="preserve"> </w:t>
      </w:r>
      <w:r w:rsidR="006D18A4" w:rsidRPr="00382917">
        <w:t>am</w:t>
      </w:r>
      <w:r w:rsidR="00EE4FC3">
        <w:t xml:space="preserve"> </w:t>
      </w:r>
      <w:r w:rsidR="006D18A4" w:rsidRPr="00382917">
        <w:t>the</w:t>
      </w:r>
      <w:r w:rsidR="00EE4FC3">
        <w:t xml:space="preserve"> </w:t>
      </w:r>
      <w:r w:rsidR="006D18A4" w:rsidRPr="00382917">
        <w:t>Báb,</w:t>
      </w:r>
      <w:r w:rsidR="00EE4FC3">
        <w:t xml:space="preserve"> </w:t>
      </w:r>
      <w:r w:rsidR="006D18A4" w:rsidRPr="00382917">
        <w:t>the</w:t>
      </w:r>
      <w:r w:rsidR="00EE4FC3">
        <w:t xml:space="preserve"> </w:t>
      </w:r>
      <w:r w:rsidR="006D18A4" w:rsidRPr="00382917">
        <w:t>Gate</w:t>
      </w:r>
      <w:r w:rsidR="00EE4FC3">
        <w:t xml:space="preserve"> </w:t>
      </w:r>
      <w:r w:rsidR="006D18A4" w:rsidRPr="00382917">
        <w:t>of</w:t>
      </w:r>
      <w:r w:rsidR="00EE4FC3">
        <w:t xml:space="preserve"> </w:t>
      </w:r>
      <w:r w:rsidR="006D18A4" w:rsidRPr="00382917">
        <w:t>God.</w:t>
      </w:r>
      <w:r w:rsidRPr="00382917">
        <w:t>’”</w:t>
      </w:r>
    </w:p>
    <w:p w:rsidR="006D18A4" w:rsidRPr="00382917" w:rsidRDefault="006D18A4" w:rsidP="006D18A4">
      <w:pPr>
        <w:pStyle w:val="Text"/>
      </w:pPr>
      <w:r w:rsidRPr="00382917">
        <w:t>To</w:t>
      </w:r>
      <w:r w:rsidR="00EE4FC3">
        <w:t xml:space="preserve"> </w:t>
      </w:r>
      <w:r w:rsidRPr="00382917">
        <w:t>Mullá</w:t>
      </w:r>
      <w:r w:rsidR="00EE4FC3">
        <w:t xml:space="preserve"> </w:t>
      </w:r>
      <w:r w:rsidR="00964C11" w:rsidRPr="00382917">
        <w:t>Ḥusayn</w:t>
      </w:r>
      <w:r w:rsidRPr="00382917">
        <w:t>,</w:t>
      </w:r>
      <w:r w:rsidR="00EE4FC3">
        <w:t xml:space="preserve"> </w:t>
      </w:r>
      <w:r w:rsidRPr="00382917">
        <w:t>the</w:t>
      </w:r>
      <w:r w:rsidR="00EE4FC3">
        <w:t xml:space="preserve"> </w:t>
      </w:r>
      <w:r w:rsidRPr="00382917">
        <w:t>first</w:t>
      </w:r>
      <w:r w:rsidR="00EE4FC3">
        <w:t xml:space="preserve"> </w:t>
      </w:r>
      <w:r w:rsidRPr="00382917">
        <w:t>to</w:t>
      </w:r>
      <w:r w:rsidR="00EE4FC3">
        <w:t xml:space="preserve"> </w:t>
      </w:r>
      <w:r w:rsidRPr="00382917">
        <w:t>believe</w:t>
      </w:r>
      <w:r w:rsidR="00EE4FC3">
        <w:t xml:space="preserve"> </w:t>
      </w:r>
      <w:r w:rsidRPr="00382917">
        <w:t>in</w:t>
      </w:r>
      <w:r w:rsidR="00EE4FC3">
        <w:t xml:space="preserve"> </w:t>
      </w:r>
      <w:r w:rsidRPr="00382917">
        <w:t>Him,</w:t>
      </w:r>
      <w:r w:rsidR="00EE4FC3">
        <w:t xml:space="preserve"> </w:t>
      </w:r>
      <w:r w:rsidRPr="00382917">
        <w:t>the</w:t>
      </w:r>
      <w:r w:rsidR="00EE4FC3">
        <w:t xml:space="preserve"> </w:t>
      </w:r>
      <w:r w:rsidRPr="00382917">
        <w:t>Báb</w:t>
      </w:r>
      <w:r w:rsidR="00EE4FC3">
        <w:t xml:space="preserve"> </w:t>
      </w:r>
      <w:r w:rsidRPr="00382917">
        <w:t>gave</w:t>
      </w:r>
      <w:r w:rsidR="00EE4FC3">
        <w:t xml:space="preserve"> </w:t>
      </w:r>
      <w:r w:rsidRPr="00382917">
        <w:t>the</w:t>
      </w:r>
      <w:r w:rsidR="00EE4FC3">
        <w:t xml:space="preserve"> </w:t>
      </w:r>
      <w:r w:rsidRPr="00382917">
        <w:t>title:</w:t>
      </w:r>
      <w:r w:rsidR="00EE4FC3">
        <w:t xml:space="preserve">  </w:t>
      </w:r>
      <w:r w:rsidRPr="00382917">
        <w:t>the</w:t>
      </w:r>
      <w:r w:rsidR="00EE4FC3">
        <w:t xml:space="preserve"> </w:t>
      </w:r>
      <w:r w:rsidRPr="00382917">
        <w:t>Bábu</w:t>
      </w:r>
      <w:r w:rsidR="009C713D" w:rsidRPr="00382917">
        <w:t>’</w:t>
      </w:r>
      <w:r w:rsidRPr="00382917">
        <w:t>l-Báb,</w:t>
      </w:r>
      <w:r w:rsidR="00EE4FC3">
        <w:t xml:space="preserve"> </w:t>
      </w:r>
      <w:r w:rsidRPr="00382917">
        <w:t>the</w:t>
      </w:r>
      <w:r w:rsidR="00EE4FC3">
        <w:t xml:space="preserve"> </w:t>
      </w:r>
      <w:r w:rsidRPr="00382917">
        <w:t>gate</w:t>
      </w:r>
      <w:r w:rsidR="00EE4FC3">
        <w:t xml:space="preserve"> </w:t>
      </w:r>
      <w:r w:rsidRPr="00382917">
        <w:t>of</w:t>
      </w:r>
      <w:r w:rsidR="00EE4FC3">
        <w:t xml:space="preserve"> </w:t>
      </w:r>
      <w:r w:rsidRPr="00382917">
        <w:t>the</w:t>
      </w:r>
      <w:r w:rsidR="00EE4FC3">
        <w:t xml:space="preserve"> </w:t>
      </w:r>
      <w:r w:rsidRPr="00382917">
        <w:t>Gate.</w:t>
      </w:r>
      <w:r w:rsidR="00EE4FC3">
        <w:t xml:space="preserve">  </w:t>
      </w:r>
      <w:r w:rsidRPr="00382917">
        <w:t>In</w:t>
      </w:r>
      <w:r w:rsidR="00EE4FC3">
        <w:t xml:space="preserve"> </w:t>
      </w:r>
      <w:r w:rsidRPr="00382917">
        <w:t>that</w:t>
      </w:r>
      <w:r w:rsidR="00EE4FC3">
        <w:t xml:space="preserve"> </w:t>
      </w:r>
      <w:r w:rsidRPr="00382917">
        <w:t>hour,</w:t>
      </w:r>
      <w:r w:rsidR="00EE4FC3">
        <w:t xml:space="preserve"> </w:t>
      </w:r>
      <w:r w:rsidRPr="00382917">
        <w:t>the</w:t>
      </w:r>
      <w:r w:rsidR="00EE4FC3">
        <w:t xml:space="preserve"> </w:t>
      </w:r>
      <w:r w:rsidRPr="00382917">
        <w:t>Báb</w:t>
      </w:r>
      <w:r w:rsidR="00EE4FC3">
        <w:t xml:space="preserve"> </w:t>
      </w:r>
      <w:r w:rsidRPr="00382917">
        <w:t>proclaimed</w:t>
      </w:r>
      <w:r w:rsidR="00EE4FC3">
        <w:t xml:space="preserve"> </w:t>
      </w:r>
      <w:r w:rsidRPr="00382917">
        <w:t>that</w:t>
      </w:r>
      <w:r w:rsidR="00EE4FC3">
        <w:t xml:space="preserve"> </w:t>
      </w:r>
      <w:r w:rsidRPr="00382917">
        <w:t>He</w:t>
      </w:r>
      <w:r w:rsidR="00EE4FC3">
        <w:t xml:space="preserve"> </w:t>
      </w:r>
      <w:r w:rsidRPr="00382917">
        <w:t>was</w:t>
      </w:r>
      <w:r w:rsidR="00EE4FC3">
        <w:t xml:space="preserve"> </w:t>
      </w:r>
      <w:r w:rsidRPr="00382917">
        <w:t>the</w:t>
      </w:r>
      <w:r w:rsidR="00EE4FC3">
        <w:t xml:space="preserve"> </w:t>
      </w:r>
      <w:r w:rsidRPr="00382917">
        <w:t>One</w:t>
      </w:r>
      <w:r w:rsidR="00EE4FC3">
        <w:t xml:space="preserve"> </w:t>
      </w:r>
      <w:r w:rsidRPr="00382917">
        <w:t>foretold</w:t>
      </w:r>
      <w:r w:rsidR="00EE4FC3">
        <w:t xml:space="preserve"> </w:t>
      </w:r>
      <w:r w:rsidRPr="00382917">
        <w:t>in</w:t>
      </w:r>
      <w:r w:rsidR="00EE4FC3">
        <w:t xml:space="preserve"> </w:t>
      </w:r>
      <w:r w:rsidRPr="00382917">
        <w:t>all</w:t>
      </w:r>
      <w:r w:rsidR="00EE4FC3">
        <w:t xml:space="preserve"> </w:t>
      </w:r>
      <w:r w:rsidRPr="00382917">
        <w:t>the</w:t>
      </w:r>
      <w:r w:rsidR="00EE4FC3">
        <w:t xml:space="preserve"> </w:t>
      </w:r>
      <w:r w:rsidRPr="00382917">
        <w:t>holy</w:t>
      </w:r>
      <w:r w:rsidR="00EE4FC3">
        <w:t xml:space="preserve"> </w:t>
      </w:r>
      <w:r w:rsidRPr="00382917">
        <w:t>Books</w:t>
      </w:r>
      <w:r w:rsidR="00EE4FC3">
        <w:t xml:space="preserve"> </w:t>
      </w:r>
      <w:r w:rsidRPr="00382917">
        <w:t>of</w:t>
      </w:r>
      <w:r w:rsidR="00EE4FC3">
        <w:t xml:space="preserve"> </w:t>
      </w:r>
      <w:r w:rsidRPr="00382917">
        <w:t>the</w:t>
      </w:r>
      <w:r w:rsidR="00EE4FC3">
        <w:t xml:space="preserve"> </w:t>
      </w:r>
      <w:r w:rsidRPr="00382917">
        <w:t>past.</w:t>
      </w:r>
      <w:r w:rsidR="00EE4FC3">
        <w:t xml:space="preserve">  </w:t>
      </w:r>
      <w:r w:rsidRPr="00382917">
        <w:t>He</w:t>
      </w:r>
      <w:r w:rsidR="00EE4FC3">
        <w:t xml:space="preserve"> </w:t>
      </w:r>
      <w:r w:rsidRPr="00382917">
        <w:t>said</w:t>
      </w:r>
      <w:r w:rsidR="00EE4FC3">
        <w:t xml:space="preserve"> </w:t>
      </w:r>
      <w:r w:rsidRPr="00382917">
        <w:t>that</w:t>
      </w:r>
      <w:r w:rsidR="00EE4FC3">
        <w:t xml:space="preserve"> </w:t>
      </w:r>
      <w:r w:rsidRPr="00382917">
        <w:t>He</w:t>
      </w:r>
      <w:r w:rsidR="00EE4FC3">
        <w:t xml:space="preserve"> </w:t>
      </w:r>
      <w:r w:rsidRPr="00382917">
        <w:t>had</w:t>
      </w:r>
      <w:r w:rsidR="00EE4FC3">
        <w:t xml:space="preserve"> </w:t>
      </w:r>
      <w:r w:rsidRPr="00382917">
        <w:t>come</w:t>
      </w:r>
      <w:r w:rsidR="00EE4FC3">
        <w:t xml:space="preserve"> </w:t>
      </w:r>
      <w:r w:rsidRPr="00382917">
        <w:t>to</w:t>
      </w:r>
      <w:r w:rsidR="00EE4FC3">
        <w:t xml:space="preserve"> </w:t>
      </w:r>
      <w:r w:rsidRPr="00382917">
        <w:t>usher</w:t>
      </w:r>
      <w:r w:rsidR="00EE4FC3">
        <w:t xml:space="preserve"> </w:t>
      </w:r>
      <w:r w:rsidRPr="00382917">
        <w:t>in</w:t>
      </w:r>
      <w:r w:rsidR="00EE4FC3">
        <w:t xml:space="preserve"> </w:t>
      </w:r>
      <w:r w:rsidRPr="00382917">
        <w:t>a</w:t>
      </w:r>
      <w:r w:rsidR="00EE4FC3">
        <w:t xml:space="preserve"> </w:t>
      </w:r>
      <w:r w:rsidRPr="00382917">
        <w:t>new</w:t>
      </w:r>
      <w:r w:rsidR="00EE4FC3">
        <w:t xml:space="preserve"> </w:t>
      </w:r>
      <w:r w:rsidRPr="00382917">
        <w:t>era,</w:t>
      </w:r>
      <w:r w:rsidR="00EE4FC3">
        <w:t xml:space="preserve"> </w:t>
      </w:r>
      <w:r w:rsidRPr="00382917">
        <w:t>a</w:t>
      </w:r>
      <w:r w:rsidR="00EE4FC3">
        <w:t xml:space="preserve"> </w:t>
      </w:r>
      <w:r w:rsidRPr="00382917">
        <w:t>fresh</w:t>
      </w:r>
      <w:r w:rsidR="00EE4FC3">
        <w:t xml:space="preserve"> </w:t>
      </w:r>
      <w:r w:rsidRPr="00382917">
        <w:t>springtime</w:t>
      </w:r>
      <w:r w:rsidR="00EE4FC3">
        <w:t xml:space="preserve"> </w:t>
      </w:r>
      <w:r w:rsidRPr="00382917">
        <w:t>in</w:t>
      </w:r>
      <w:r w:rsidR="00EE4FC3">
        <w:t xml:space="preserve"> </w:t>
      </w:r>
      <w:r w:rsidRPr="00382917">
        <w:t>the</w:t>
      </w:r>
      <w:r w:rsidR="00EE4FC3">
        <w:t xml:space="preserve"> </w:t>
      </w:r>
      <w:r w:rsidRPr="00382917">
        <w:t>hearts</w:t>
      </w:r>
      <w:r w:rsidR="00EE4FC3">
        <w:t xml:space="preserve"> </w:t>
      </w:r>
      <w:r w:rsidRPr="00382917">
        <w:t>of</w:t>
      </w:r>
      <w:r w:rsidR="00EE4FC3">
        <w:t xml:space="preserve"> </w:t>
      </w:r>
      <w:r w:rsidRPr="00382917">
        <w:t>men.</w:t>
      </w:r>
      <w:r w:rsidR="00EE4FC3">
        <w:t xml:space="preserve">  </w:t>
      </w:r>
      <w:r w:rsidRPr="00382917">
        <w:t>His</w:t>
      </w:r>
      <w:r w:rsidR="00EE4FC3">
        <w:t xml:space="preserve"> </w:t>
      </w:r>
      <w:r w:rsidRPr="00382917">
        <w:t>name,</w:t>
      </w:r>
      <w:r w:rsidR="00EE4FC3">
        <w:t xml:space="preserve"> </w:t>
      </w:r>
      <w:r w:rsidRPr="00382917">
        <w:t>the</w:t>
      </w:r>
      <w:r w:rsidR="00EE4FC3">
        <w:t xml:space="preserve"> </w:t>
      </w:r>
      <w:r w:rsidRPr="00382917">
        <w:t>Báb,</w:t>
      </w:r>
      <w:r w:rsidR="00EE4FC3">
        <w:t xml:space="preserve"> </w:t>
      </w:r>
      <w:r w:rsidRPr="00382917">
        <w:t>meant</w:t>
      </w:r>
      <w:r w:rsidR="00EE4FC3">
        <w:t xml:space="preserve"> </w:t>
      </w:r>
      <w:r w:rsidRPr="00382917">
        <w:t>the</w:t>
      </w:r>
      <w:r w:rsidR="00EE4FC3">
        <w:t xml:space="preserve"> </w:t>
      </w:r>
      <w:r w:rsidRPr="00382917">
        <w:t>door</w:t>
      </w:r>
      <w:r w:rsidR="00EE4FC3">
        <w:t xml:space="preserve"> </w:t>
      </w:r>
      <w:r w:rsidRPr="00382917">
        <w:t>or</w:t>
      </w:r>
      <w:r w:rsidR="00EE4FC3">
        <w:t xml:space="preserve"> </w:t>
      </w:r>
      <w:r w:rsidRPr="00382917">
        <w:t>gate.</w:t>
      </w:r>
      <w:r w:rsidR="00EE4FC3">
        <w:t xml:space="preserve">  </w:t>
      </w:r>
      <w:r w:rsidRPr="00382917">
        <w:t>His</w:t>
      </w:r>
      <w:r w:rsidR="00EE4FC3">
        <w:t xml:space="preserve"> </w:t>
      </w:r>
      <w:r w:rsidRPr="00382917">
        <w:t>teaching,</w:t>
      </w:r>
      <w:r w:rsidR="00EE4FC3">
        <w:t xml:space="preserve"> </w:t>
      </w:r>
      <w:r w:rsidRPr="00382917">
        <w:t>He</w:t>
      </w:r>
      <w:r w:rsidR="00EE4FC3">
        <w:t xml:space="preserve"> </w:t>
      </w:r>
      <w:r w:rsidRPr="00382917">
        <w:t>said,</w:t>
      </w:r>
      <w:r w:rsidR="00EE4FC3">
        <w:t xml:space="preserve"> </w:t>
      </w:r>
      <w:r w:rsidRPr="00382917">
        <w:t>was</w:t>
      </w:r>
      <w:r w:rsidR="00EE4FC3">
        <w:t xml:space="preserve"> </w:t>
      </w:r>
      <w:r w:rsidRPr="00382917">
        <w:t>to</w:t>
      </w:r>
      <w:r w:rsidR="00EE4FC3">
        <w:t xml:space="preserve"> </w:t>
      </w:r>
      <w:r w:rsidRPr="00382917">
        <w:t>open</w:t>
      </w:r>
      <w:r w:rsidR="00EE4FC3">
        <w:t xml:space="preserve"> </w:t>
      </w:r>
      <w:r w:rsidRPr="00382917">
        <w:t>the</w:t>
      </w:r>
      <w:r w:rsidR="00EE4FC3">
        <w:t xml:space="preserve"> </w:t>
      </w:r>
      <w:r w:rsidRPr="00382917">
        <w:t>door</w:t>
      </w:r>
      <w:r w:rsidR="00EE4FC3">
        <w:t xml:space="preserve"> </w:t>
      </w:r>
      <w:r w:rsidRPr="00382917">
        <w:t>or</w:t>
      </w:r>
      <w:r w:rsidR="00EE4FC3">
        <w:t xml:space="preserve"> </w:t>
      </w:r>
      <w:r w:rsidRPr="00382917">
        <w:t>the</w:t>
      </w:r>
      <w:r w:rsidR="00EE4FC3">
        <w:t xml:space="preserve"> </w:t>
      </w:r>
      <w:r w:rsidRPr="00382917">
        <w:t>gate</w:t>
      </w:r>
      <w:r w:rsidR="00EE4FC3">
        <w:t xml:space="preserve"> </w:t>
      </w:r>
      <w:r w:rsidRPr="00382917">
        <w:t>to</w:t>
      </w:r>
      <w:r w:rsidR="00EE4FC3">
        <w:t xml:space="preserve"> </w:t>
      </w:r>
      <w:r w:rsidRPr="00382917">
        <w:t>a</w:t>
      </w:r>
      <w:r w:rsidR="00EE4FC3">
        <w:t xml:space="preserve"> </w:t>
      </w:r>
      <w:r w:rsidRPr="00382917">
        <w:t>new</w:t>
      </w:r>
      <w:r w:rsidR="00EE4FC3">
        <w:t xml:space="preserve"> </w:t>
      </w:r>
      <w:r w:rsidRPr="00382917">
        <w:t>age</w:t>
      </w:r>
      <w:r w:rsidR="00EE4FC3">
        <w:t xml:space="preserve"> </w:t>
      </w:r>
      <w:r w:rsidRPr="00382917">
        <w:t>of</w:t>
      </w:r>
      <w:r w:rsidR="00EE4FC3">
        <w:t xml:space="preserve"> </w:t>
      </w:r>
      <w:r w:rsidRPr="00382917">
        <w:t>unity</w:t>
      </w:r>
      <w:r w:rsidR="00EE4FC3">
        <w:t xml:space="preserve"> </w:t>
      </w:r>
      <w:r w:rsidRPr="00382917">
        <w:t>in</w:t>
      </w:r>
      <w:r w:rsidR="00EE4FC3">
        <w:t xml:space="preserve"> </w:t>
      </w:r>
      <w:r w:rsidRPr="00382917">
        <w:t>which</w:t>
      </w:r>
      <w:r w:rsidR="00EE4FC3">
        <w:t xml:space="preserve"> </w:t>
      </w:r>
      <w:r w:rsidRPr="00382917">
        <w:t>men</w:t>
      </w:r>
      <w:r w:rsidR="00EE4FC3">
        <w:t xml:space="preserve"> </w:t>
      </w:r>
      <w:r w:rsidRPr="00382917">
        <w:t>would</w:t>
      </w:r>
      <w:r w:rsidR="00EE4FC3">
        <w:t xml:space="preserve"> </w:t>
      </w:r>
      <w:r w:rsidRPr="00382917">
        <w:t>recognize</w:t>
      </w:r>
      <w:r w:rsidR="00EE4FC3">
        <w:t xml:space="preserve"> </w:t>
      </w:r>
      <w:r w:rsidRPr="00382917">
        <w:t>one</w:t>
      </w:r>
      <w:r w:rsidR="00EE4FC3">
        <w:t xml:space="preserve"> </w:t>
      </w:r>
      <w:r w:rsidRPr="00382917">
        <w:t>God</w:t>
      </w:r>
      <w:r w:rsidR="00EE4FC3">
        <w:t xml:space="preserve"> </w:t>
      </w:r>
      <w:r w:rsidRPr="00382917">
        <w:t>and</w:t>
      </w:r>
      <w:r w:rsidR="00EE4FC3">
        <w:t xml:space="preserve"> </w:t>
      </w:r>
      <w:r w:rsidRPr="00382917">
        <w:t>worship</w:t>
      </w:r>
      <w:r w:rsidR="00EE4FC3">
        <w:t xml:space="preserve"> </w:t>
      </w:r>
      <w:r w:rsidRPr="00382917">
        <w:t>in</w:t>
      </w:r>
      <w:r w:rsidR="00EE4FC3">
        <w:t xml:space="preserve"> </w:t>
      </w:r>
      <w:r w:rsidRPr="00382917">
        <w:t>one</w:t>
      </w:r>
      <w:r w:rsidR="00EE4FC3">
        <w:t xml:space="preserve"> </w:t>
      </w:r>
      <w:r w:rsidRPr="00382917">
        <w:t>religion—the</w:t>
      </w:r>
      <w:r w:rsidR="00EE4FC3">
        <w:t xml:space="preserve"> </w:t>
      </w:r>
      <w:r w:rsidRPr="00382917">
        <w:t>same</w:t>
      </w:r>
      <w:r w:rsidR="00EE4FC3">
        <w:t xml:space="preserve"> </w:t>
      </w:r>
      <w:r w:rsidRPr="00382917">
        <w:t>religion</w:t>
      </w:r>
      <w:r w:rsidR="00EE4FC3">
        <w:t xml:space="preserve"> </w:t>
      </w:r>
      <w:r w:rsidRPr="00382917">
        <w:t>which</w:t>
      </w:r>
      <w:r w:rsidR="00EE4FC3">
        <w:t xml:space="preserve"> </w:t>
      </w:r>
      <w:r w:rsidRPr="00382917">
        <w:t>all</w:t>
      </w:r>
      <w:r w:rsidR="00EE4FC3">
        <w:t xml:space="preserve"> </w:t>
      </w:r>
      <w:r w:rsidRPr="00382917">
        <w:t>of</w:t>
      </w:r>
      <w:r w:rsidR="00EE4FC3">
        <w:t xml:space="preserve"> </w:t>
      </w:r>
      <w:r w:rsidRPr="00382917">
        <w:t>God</w:t>
      </w:r>
      <w:r w:rsidR="009C713D" w:rsidRPr="00382917">
        <w:t>’</w:t>
      </w:r>
      <w:r w:rsidRPr="00382917">
        <w:t>s</w:t>
      </w:r>
      <w:r w:rsidR="00EE4FC3">
        <w:t xml:space="preserve"> </w:t>
      </w:r>
      <w:r w:rsidRPr="00382917">
        <w:t>prophets</w:t>
      </w:r>
      <w:r w:rsidR="00EE4FC3">
        <w:t xml:space="preserve"> </w:t>
      </w:r>
      <w:r w:rsidRPr="00382917">
        <w:t>had</w:t>
      </w:r>
      <w:r w:rsidR="00EE4FC3">
        <w:t xml:space="preserve"> </w:t>
      </w:r>
      <w:r w:rsidRPr="00382917">
        <w:t>taught</w:t>
      </w:r>
      <w:r w:rsidR="00EE4FC3">
        <w:t xml:space="preserve"> </w:t>
      </w:r>
      <w:r w:rsidRPr="00382917">
        <w:t>from</w:t>
      </w:r>
      <w:r w:rsidR="00EE4FC3">
        <w:t xml:space="preserve"> </w:t>
      </w:r>
      <w:r w:rsidRPr="00382917">
        <w:t>the</w:t>
      </w:r>
      <w:r w:rsidR="00EE4FC3">
        <w:t xml:space="preserve"> </w:t>
      </w:r>
      <w:r w:rsidRPr="00382917">
        <w:t>beginning</w:t>
      </w:r>
      <w:r w:rsidR="00EE4FC3">
        <w:t xml:space="preserve"> </w:t>
      </w:r>
      <w:r w:rsidRPr="00382917">
        <w:t>of</w:t>
      </w:r>
      <w:r w:rsidR="00EE4FC3">
        <w:t xml:space="preserve"> </w:t>
      </w:r>
      <w:r w:rsidRPr="00382917">
        <w:t>time.</w:t>
      </w:r>
      <w:r w:rsidR="00EE4FC3">
        <w:t xml:space="preserve">  </w:t>
      </w:r>
      <w:r w:rsidRPr="00382917">
        <w:t>It</w:t>
      </w:r>
      <w:r w:rsidR="00EE4FC3">
        <w:t xml:space="preserve"> </w:t>
      </w:r>
      <w:r w:rsidRPr="00382917">
        <w:t>would</w:t>
      </w:r>
      <w:r w:rsidR="00EE4FC3">
        <w:t xml:space="preserve"> </w:t>
      </w:r>
      <w:r w:rsidRPr="00382917">
        <w:t>be</w:t>
      </w:r>
      <w:r w:rsidR="00EE4FC3">
        <w:t xml:space="preserve"> </w:t>
      </w:r>
      <w:r w:rsidRPr="00382917">
        <w:t>an</w:t>
      </w:r>
      <w:r w:rsidR="00EE4FC3">
        <w:t xml:space="preserve"> </w:t>
      </w:r>
      <w:r w:rsidRPr="00382917">
        <w:t>age</w:t>
      </w:r>
      <w:r w:rsidR="00EE4FC3">
        <w:t xml:space="preserve"> </w:t>
      </w:r>
      <w:r w:rsidRPr="00382917">
        <w:t>in</w:t>
      </w:r>
      <w:r w:rsidR="00EE4FC3">
        <w:t xml:space="preserve"> </w:t>
      </w:r>
      <w:r w:rsidRPr="00382917">
        <w:t>which</w:t>
      </w:r>
      <w:r w:rsidR="00EE4FC3">
        <w:t xml:space="preserve"> </w:t>
      </w:r>
      <w:r w:rsidRPr="00382917">
        <w:t>all</w:t>
      </w:r>
      <w:r w:rsidR="00EE4FC3">
        <w:t xml:space="preserve"> </w:t>
      </w:r>
      <w:r w:rsidRPr="00382917">
        <w:t>men</w:t>
      </w:r>
      <w:r w:rsidR="00EE4FC3">
        <w:t xml:space="preserve"> </w:t>
      </w:r>
      <w:r w:rsidRPr="00382917">
        <w:t>would</w:t>
      </w:r>
      <w:r w:rsidR="00EE4FC3">
        <w:t xml:space="preserve"> </w:t>
      </w:r>
      <w:r w:rsidRPr="00382917">
        <w:t>live</w:t>
      </w:r>
      <w:r w:rsidR="00EE4FC3">
        <w:t xml:space="preserve"> </w:t>
      </w:r>
      <w:r w:rsidRPr="00382917">
        <w:t>as</w:t>
      </w:r>
      <w:r w:rsidR="00EE4FC3">
        <w:t xml:space="preserve"> </w:t>
      </w:r>
      <w:r w:rsidRPr="00382917">
        <w:t>brothers.</w:t>
      </w:r>
    </w:p>
    <w:p w:rsidR="006D18A4" w:rsidRPr="00382917" w:rsidRDefault="006D18A4" w:rsidP="006D18A4">
      <w:pPr>
        <w:pStyle w:val="Text"/>
      </w:pPr>
      <w:r w:rsidRPr="00382917">
        <w:t>The</w:t>
      </w:r>
      <w:r w:rsidR="00EE4FC3">
        <w:t xml:space="preserve"> </w:t>
      </w:r>
      <w:r w:rsidRPr="00382917">
        <w:t>Báb</w:t>
      </w:r>
      <w:r w:rsidR="00EE4FC3">
        <w:t xml:space="preserve"> </w:t>
      </w:r>
      <w:r w:rsidRPr="00382917">
        <w:t>cautioned</w:t>
      </w:r>
      <w:r w:rsidR="00EE4FC3">
        <w:t xml:space="preserve"> </w:t>
      </w:r>
      <w:r w:rsidRPr="00382917">
        <w:t>Mullá</w:t>
      </w:r>
      <w:r w:rsidR="00EE4FC3">
        <w:t xml:space="preserve"> </w:t>
      </w:r>
      <w:r w:rsidR="00964C11" w:rsidRPr="00382917">
        <w:t>Ḥusayn</w:t>
      </w:r>
      <w:r w:rsidR="00EE4FC3">
        <w:t xml:space="preserve"> </w:t>
      </w:r>
      <w:r w:rsidRPr="00382917">
        <w:t>not</w:t>
      </w:r>
      <w:r w:rsidR="00EE4FC3">
        <w:t xml:space="preserve"> </w:t>
      </w:r>
      <w:r w:rsidRPr="00382917">
        <w:t>to</w:t>
      </w:r>
      <w:r w:rsidR="00EE4FC3">
        <w:t xml:space="preserve"> </w:t>
      </w:r>
      <w:r w:rsidRPr="00382917">
        <w:t>tell</w:t>
      </w:r>
      <w:r w:rsidR="00EE4FC3">
        <w:t xml:space="preserve"> </w:t>
      </w:r>
      <w:r w:rsidRPr="00382917">
        <w:t>either</w:t>
      </w:r>
      <w:r w:rsidR="00EE4FC3">
        <w:t xml:space="preserve"> </w:t>
      </w:r>
      <w:r w:rsidRPr="00382917">
        <w:t>his</w:t>
      </w:r>
      <w:r w:rsidR="00EE4FC3">
        <w:t xml:space="preserve"> </w:t>
      </w:r>
      <w:r w:rsidRPr="00382917">
        <w:t>companions</w:t>
      </w:r>
      <w:r w:rsidR="00EE4FC3">
        <w:t xml:space="preserve"> </w:t>
      </w:r>
      <w:r w:rsidRPr="00382917">
        <w:t>or</w:t>
      </w:r>
      <w:r w:rsidR="00EE4FC3">
        <w:t xml:space="preserve"> </w:t>
      </w:r>
      <w:r w:rsidRPr="00382917">
        <w:t>any</w:t>
      </w:r>
      <w:r w:rsidR="00EE4FC3">
        <w:t xml:space="preserve"> </w:t>
      </w:r>
      <w:r w:rsidRPr="00382917">
        <w:t>other</w:t>
      </w:r>
      <w:r w:rsidR="00EE4FC3">
        <w:t xml:space="preserve"> </w:t>
      </w:r>
      <w:r w:rsidRPr="00382917">
        <w:t>soul</w:t>
      </w:r>
      <w:r w:rsidR="00EE4FC3">
        <w:t xml:space="preserve"> </w:t>
      </w:r>
      <w:r w:rsidRPr="00382917">
        <w:t>what</w:t>
      </w:r>
      <w:r w:rsidR="00EE4FC3">
        <w:t xml:space="preserve"> </w:t>
      </w:r>
      <w:r w:rsidRPr="00382917">
        <w:t>he</w:t>
      </w:r>
      <w:r w:rsidR="00EE4FC3">
        <w:t xml:space="preserve"> </w:t>
      </w:r>
      <w:r w:rsidRPr="00382917">
        <w:t>had</w:t>
      </w:r>
      <w:r w:rsidR="00EE4FC3">
        <w:t xml:space="preserve"> </w:t>
      </w:r>
      <w:r w:rsidRPr="00382917">
        <w:t>seen</w:t>
      </w:r>
      <w:r w:rsidR="00EE4FC3">
        <w:t xml:space="preserve"> </w:t>
      </w:r>
      <w:r w:rsidRPr="00382917">
        <w:t>and</w:t>
      </w:r>
      <w:r w:rsidR="00EE4FC3">
        <w:t xml:space="preserve"> </w:t>
      </w:r>
      <w:r w:rsidRPr="00382917">
        <w:t>heard.</w:t>
      </w:r>
      <w:r w:rsidR="00EE4FC3">
        <w:t xml:space="preserve">  </w:t>
      </w:r>
      <w:r w:rsidRPr="00382917">
        <w:t>In</w:t>
      </w:r>
      <w:r w:rsidR="00EE4FC3">
        <w:t xml:space="preserve"> </w:t>
      </w:r>
      <w:r w:rsidRPr="00382917">
        <w:t>the</w:t>
      </w:r>
      <w:r w:rsidR="00EE4FC3">
        <w:t xml:space="preserve"> </w:t>
      </w:r>
      <w:r w:rsidRPr="00382917">
        <w:t>beginning,</w:t>
      </w:r>
      <w:r w:rsidR="00EE4FC3">
        <w:t xml:space="preserve"> </w:t>
      </w:r>
      <w:r w:rsidRPr="00382917">
        <w:t>eighteen</w:t>
      </w:r>
      <w:r w:rsidR="00EE4FC3">
        <w:t xml:space="preserve"> </w:t>
      </w:r>
      <w:r w:rsidRPr="00382917">
        <w:t>souls</w:t>
      </w:r>
      <w:r w:rsidR="00EE4FC3">
        <w:t xml:space="preserve"> </w:t>
      </w:r>
      <w:r w:rsidRPr="00382917">
        <w:t>must</w:t>
      </w:r>
      <w:r w:rsidR="00EE4FC3">
        <w:t xml:space="preserve"> </w:t>
      </w:r>
      <w:r w:rsidRPr="00382917">
        <w:t>spontaneously</w:t>
      </w:r>
      <w:r w:rsidR="00EE4FC3">
        <w:t xml:space="preserve"> </w:t>
      </w:r>
      <w:r w:rsidRPr="00382917">
        <w:t>and</w:t>
      </w:r>
      <w:r w:rsidR="00EE4FC3">
        <w:t xml:space="preserve"> </w:t>
      </w:r>
      <w:r w:rsidRPr="00382917">
        <w:t>of</w:t>
      </w:r>
      <w:r w:rsidR="00EE4FC3">
        <w:t xml:space="preserve"> </w:t>
      </w:r>
      <w:r w:rsidRPr="00382917">
        <w:t>their</w:t>
      </w:r>
      <w:r w:rsidR="00EE4FC3">
        <w:t xml:space="preserve"> </w:t>
      </w:r>
      <w:r w:rsidRPr="00382917">
        <w:t>own</w:t>
      </w:r>
      <w:r w:rsidR="00EE4FC3">
        <w:t xml:space="preserve"> </w:t>
      </w:r>
      <w:r w:rsidRPr="00382917">
        <w:t>accord</w:t>
      </w:r>
      <w:r w:rsidR="00EE4FC3">
        <w:t xml:space="preserve"> </w:t>
      </w:r>
      <w:r w:rsidRPr="00382917">
        <w:t>seek</w:t>
      </w:r>
      <w:r w:rsidR="00EE4FC3">
        <w:t xml:space="preserve"> </w:t>
      </w:r>
      <w:r w:rsidRPr="00382917">
        <w:t>and</w:t>
      </w:r>
      <w:r w:rsidR="00EE4FC3">
        <w:t xml:space="preserve"> </w:t>
      </w:r>
      <w:r w:rsidRPr="00382917">
        <w:t>accept</w:t>
      </w:r>
      <w:r w:rsidR="00EE4FC3">
        <w:t xml:space="preserve"> </w:t>
      </w:r>
      <w:r w:rsidRPr="00382917">
        <w:t>Him</w:t>
      </w:r>
      <w:r w:rsidR="00EE4FC3">
        <w:t xml:space="preserve"> </w:t>
      </w:r>
      <w:r w:rsidRPr="00382917">
        <w:t>and</w:t>
      </w:r>
      <w:r w:rsidR="00EE4FC3">
        <w:t xml:space="preserve"> </w:t>
      </w:r>
      <w:r w:rsidRPr="00382917">
        <w:t>recognize</w:t>
      </w:r>
      <w:r w:rsidR="00EE4FC3">
        <w:t xml:space="preserve"> </w:t>
      </w:r>
      <w:r w:rsidRPr="00382917">
        <w:t>the</w:t>
      </w:r>
      <w:r w:rsidR="00EE4FC3">
        <w:t xml:space="preserve"> </w:t>
      </w:r>
      <w:r w:rsidRPr="00382917">
        <w:t>truth</w:t>
      </w:r>
      <w:r w:rsidR="00EE4FC3">
        <w:t xml:space="preserve"> </w:t>
      </w:r>
      <w:r w:rsidRPr="00382917">
        <w:t>of</w:t>
      </w:r>
      <w:r w:rsidR="00EE4FC3">
        <w:t xml:space="preserve"> </w:t>
      </w:r>
      <w:r w:rsidRPr="00382917">
        <w:t>His</w:t>
      </w:r>
      <w:r w:rsidR="00EE4FC3">
        <w:t xml:space="preserve"> </w:t>
      </w:r>
      <w:r w:rsidRPr="00382917">
        <w:t>Revelation.</w:t>
      </w:r>
      <w:r w:rsidR="00EE4FC3">
        <w:t xml:space="preserve">  </w:t>
      </w:r>
      <w:r w:rsidRPr="00382917">
        <w:t>When</w:t>
      </w:r>
      <w:r w:rsidR="00EE4FC3">
        <w:t xml:space="preserve"> </w:t>
      </w:r>
      <w:r w:rsidRPr="00382917">
        <w:t>their</w:t>
      </w:r>
      <w:r w:rsidR="00EE4FC3">
        <w:t xml:space="preserve"> </w:t>
      </w:r>
      <w:r w:rsidRPr="00382917">
        <w:t>number</w:t>
      </w:r>
      <w:r w:rsidR="00EE4FC3">
        <w:t xml:space="preserve"> </w:t>
      </w:r>
      <w:r w:rsidRPr="00382917">
        <w:t>was</w:t>
      </w:r>
      <w:r w:rsidR="00EE4FC3">
        <w:t xml:space="preserve"> </w:t>
      </w:r>
      <w:r w:rsidRPr="00382917">
        <w:t>complete,</w:t>
      </w:r>
      <w:r w:rsidR="00EE4FC3">
        <w:t xml:space="preserve"> </w:t>
      </w:r>
      <w:r w:rsidRPr="00382917">
        <w:t>He</w:t>
      </w:r>
      <w:r w:rsidR="00EE4FC3">
        <w:t xml:space="preserve"> </w:t>
      </w:r>
      <w:r w:rsidRPr="00382917">
        <w:t>would</w:t>
      </w:r>
      <w:r w:rsidR="00EE4FC3">
        <w:t xml:space="preserve"> </w:t>
      </w:r>
      <w:r w:rsidRPr="00382917">
        <w:t>send</w:t>
      </w:r>
      <w:r w:rsidR="00EE4FC3">
        <w:t xml:space="preserve"> </w:t>
      </w:r>
      <w:r w:rsidRPr="00382917">
        <w:t>them</w:t>
      </w:r>
      <w:r w:rsidR="00EE4FC3">
        <w:t xml:space="preserve"> </w:t>
      </w:r>
      <w:r w:rsidRPr="00382917">
        <w:t>forth</w:t>
      </w:r>
      <w:r w:rsidR="00EE4FC3">
        <w:t xml:space="preserve"> </w:t>
      </w:r>
      <w:r w:rsidRPr="00382917">
        <w:t>to</w:t>
      </w:r>
      <w:r w:rsidR="00EE4FC3">
        <w:t xml:space="preserve"> </w:t>
      </w:r>
      <w:r w:rsidRPr="00382917">
        <w:t>teach</w:t>
      </w:r>
      <w:r w:rsidR="00EE4FC3">
        <w:t xml:space="preserve"> </w:t>
      </w:r>
      <w:r w:rsidRPr="00382917">
        <w:t>the</w:t>
      </w:r>
      <w:r w:rsidR="00EE4FC3">
        <w:t xml:space="preserve"> </w:t>
      </w:r>
      <w:r w:rsidRPr="00382917">
        <w:t>Word</w:t>
      </w:r>
      <w:r w:rsidR="00EE4FC3">
        <w:t xml:space="preserve"> </w:t>
      </w:r>
      <w:r w:rsidRPr="00382917">
        <w:t>of</w:t>
      </w:r>
      <w:r w:rsidR="00EE4FC3">
        <w:t xml:space="preserve"> </w:t>
      </w:r>
      <w:r w:rsidRPr="00382917">
        <w:t>God.</w:t>
      </w:r>
    </w:p>
    <w:p w:rsidR="006D18A4" w:rsidRPr="00382917" w:rsidRDefault="006D18A4" w:rsidP="006D18A4">
      <w:pPr>
        <w:pStyle w:val="Text"/>
      </w:pPr>
      <w:r w:rsidRPr="00382917">
        <w:t>Mullá</w:t>
      </w:r>
      <w:r w:rsidR="00EE4FC3">
        <w:t xml:space="preserve"> </w:t>
      </w:r>
      <w:proofErr w:type="spellStart"/>
      <w:r w:rsidR="00964C11" w:rsidRPr="00382917">
        <w:t>Ḥusayn</w:t>
      </w:r>
      <w:r w:rsidR="009C713D" w:rsidRPr="00382917">
        <w:t>’</w:t>
      </w:r>
      <w:r w:rsidRPr="00382917">
        <w:t>s</w:t>
      </w:r>
      <w:proofErr w:type="spellEnd"/>
      <w:r w:rsidR="00EE4FC3">
        <w:t xml:space="preserve"> </w:t>
      </w:r>
      <w:r w:rsidRPr="00382917">
        <w:t>long</w:t>
      </w:r>
      <w:r w:rsidR="00EE4FC3">
        <w:t xml:space="preserve"> </w:t>
      </w:r>
      <w:r w:rsidRPr="00382917">
        <w:t>search</w:t>
      </w:r>
      <w:r w:rsidR="00EE4FC3">
        <w:t xml:space="preserve"> </w:t>
      </w:r>
      <w:r w:rsidRPr="00382917">
        <w:t>was</w:t>
      </w:r>
      <w:r w:rsidR="00EE4FC3">
        <w:t xml:space="preserve"> </w:t>
      </w:r>
      <w:r w:rsidRPr="00382917">
        <w:t>at</w:t>
      </w:r>
      <w:r w:rsidR="00EE4FC3">
        <w:t xml:space="preserve"> </w:t>
      </w:r>
      <w:r w:rsidRPr="00382917">
        <w:t>an</w:t>
      </w:r>
      <w:r w:rsidR="00EE4FC3">
        <w:t xml:space="preserve"> </w:t>
      </w:r>
      <w:r w:rsidRPr="00382917">
        <w:t>end.</w:t>
      </w:r>
      <w:r w:rsidR="00EE4FC3">
        <w:t xml:space="preserve">  </w:t>
      </w:r>
      <w:r w:rsidRPr="00382917">
        <w:t>His</w:t>
      </w:r>
      <w:r w:rsidR="00EE4FC3">
        <w:t xml:space="preserve"> </w:t>
      </w:r>
      <w:r w:rsidRPr="00382917">
        <w:t>own</w:t>
      </w:r>
      <w:r w:rsidR="00EE4FC3">
        <w:t xml:space="preserve"> </w:t>
      </w:r>
      <w:r w:rsidRPr="00382917">
        <w:t>words</w:t>
      </w:r>
      <w:r w:rsidR="00EE4FC3">
        <w:t xml:space="preserve"> </w:t>
      </w:r>
      <w:r w:rsidRPr="00382917">
        <w:t>can</w:t>
      </w:r>
      <w:r w:rsidR="00EE4FC3">
        <w:t xml:space="preserve"> </w:t>
      </w:r>
      <w:r w:rsidRPr="00382917">
        <w:t>best</w:t>
      </w:r>
      <w:r w:rsidR="00EE4FC3">
        <w:t xml:space="preserve"> </w:t>
      </w:r>
      <w:r w:rsidRPr="00382917">
        <w:t>describe</w:t>
      </w:r>
      <w:r w:rsidR="00EE4FC3">
        <w:t xml:space="preserve"> </w:t>
      </w:r>
      <w:r w:rsidRPr="00382917">
        <w:t>the</w:t>
      </w:r>
      <w:r w:rsidR="00EE4FC3">
        <w:t xml:space="preserve"> </w:t>
      </w:r>
      <w:r w:rsidRPr="00382917">
        <w:t>depth</w:t>
      </w:r>
      <w:r w:rsidR="00EE4FC3">
        <w:t xml:space="preserve"> </w:t>
      </w:r>
      <w:r w:rsidRPr="00382917">
        <w:t>of</w:t>
      </w:r>
      <w:r w:rsidR="00EE4FC3">
        <w:t xml:space="preserve"> </w:t>
      </w:r>
      <w:r w:rsidRPr="00382917">
        <w:t>that</w:t>
      </w:r>
      <w:r w:rsidR="00EE4FC3">
        <w:t xml:space="preserve"> </w:t>
      </w:r>
      <w:r w:rsidRPr="00382917">
        <w:t>unique</w:t>
      </w:r>
      <w:r w:rsidR="00EE4FC3">
        <w:t xml:space="preserve"> </w:t>
      </w:r>
      <w:r w:rsidRPr="00382917">
        <w:t>experience.</w:t>
      </w:r>
    </w:p>
    <w:p w:rsidR="00E13D49" w:rsidRPr="00382917" w:rsidRDefault="009C713D" w:rsidP="006D18A4">
      <w:pPr>
        <w:pStyle w:val="Text"/>
      </w:pPr>
      <w:r w:rsidRPr="00382917">
        <w:t>“</w:t>
      </w:r>
      <w:r w:rsidR="006D18A4" w:rsidRPr="00382917">
        <w:t>I</w:t>
      </w:r>
      <w:r w:rsidR="00EE4FC3">
        <w:t xml:space="preserve"> </w:t>
      </w:r>
      <w:r w:rsidR="006D18A4" w:rsidRPr="00382917">
        <w:t>was</w:t>
      </w:r>
      <w:r w:rsidR="00EE4FC3">
        <w:t xml:space="preserve"> </w:t>
      </w:r>
      <w:r w:rsidR="006D18A4" w:rsidRPr="00382917">
        <w:t>blinded</w:t>
      </w:r>
      <w:r w:rsidR="00EE4FC3">
        <w:t xml:space="preserve"> </w:t>
      </w:r>
      <w:r w:rsidR="006D18A4" w:rsidRPr="00382917">
        <w:t>by</w:t>
      </w:r>
      <w:r w:rsidR="00EE4FC3">
        <w:t xml:space="preserve"> </w:t>
      </w:r>
      <w:r w:rsidR="006D18A4" w:rsidRPr="00382917">
        <w:t>the</w:t>
      </w:r>
      <w:r w:rsidR="00EE4FC3">
        <w:t xml:space="preserve"> </w:t>
      </w:r>
      <w:r w:rsidR="006D18A4" w:rsidRPr="00382917">
        <w:t>dazzling</w:t>
      </w:r>
      <w:r w:rsidR="00EE4FC3">
        <w:t xml:space="preserve"> </w:t>
      </w:r>
      <w:proofErr w:type="spellStart"/>
      <w:r w:rsidR="006D18A4" w:rsidRPr="00382917">
        <w:t>splendor</w:t>
      </w:r>
      <w:proofErr w:type="spellEnd"/>
      <w:r w:rsidR="00EE4FC3">
        <w:t xml:space="preserve"> </w:t>
      </w:r>
      <w:r w:rsidR="006D18A4" w:rsidRPr="00382917">
        <w:t>of</w:t>
      </w:r>
      <w:r w:rsidR="00EE4FC3">
        <w:t xml:space="preserve"> </w:t>
      </w:r>
      <w:r w:rsidR="006D18A4" w:rsidRPr="00382917">
        <w:t>this</w:t>
      </w:r>
      <w:r w:rsidR="00EE4FC3">
        <w:t xml:space="preserve"> </w:t>
      </w:r>
      <w:r w:rsidR="006D18A4" w:rsidRPr="00382917">
        <w:t>new</w:t>
      </w:r>
      <w:r w:rsidR="00EE4FC3">
        <w:t xml:space="preserve"> </w:t>
      </w:r>
      <w:r w:rsidR="006D18A4" w:rsidRPr="00382917">
        <w:t>Revelation,</w:t>
      </w:r>
      <w:r w:rsidRPr="00382917">
        <w:t>”</w:t>
      </w:r>
      <w:r w:rsidR="00EE4FC3">
        <w:t xml:space="preserve"> </w:t>
      </w:r>
      <w:r w:rsidR="006D18A4" w:rsidRPr="00382917">
        <w:t>he</w:t>
      </w:r>
      <w:r w:rsidR="00EE4FC3">
        <w:t xml:space="preserve"> </w:t>
      </w:r>
      <w:r w:rsidR="006D18A4" w:rsidRPr="00382917">
        <w:t>said,</w:t>
      </w:r>
      <w:r w:rsidR="00EE4FC3">
        <w:t xml:space="preserve"> </w:t>
      </w:r>
      <w:r w:rsidRPr="00382917">
        <w:t>“</w:t>
      </w:r>
      <w:r w:rsidR="006D18A4" w:rsidRPr="00382917">
        <w:t>and</w:t>
      </w:r>
      <w:r w:rsidR="00EE4FC3">
        <w:t xml:space="preserve"> </w:t>
      </w:r>
      <w:r w:rsidR="006D18A4" w:rsidRPr="00382917">
        <w:t>overwhelmed</w:t>
      </w:r>
      <w:r w:rsidR="00EE4FC3">
        <w:t xml:space="preserve"> </w:t>
      </w:r>
      <w:r w:rsidR="006D18A4" w:rsidRPr="00382917">
        <w:t>by</w:t>
      </w:r>
      <w:r w:rsidR="00EE4FC3">
        <w:t xml:space="preserve"> </w:t>
      </w:r>
      <w:r w:rsidR="006D18A4" w:rsidRPr="00382917">
        <w:t>its</w:t>
      </w:r>
      <w:r w:rsidR="00EE4FC3">
        <w:t xml:space="preserve"> </w:t>
      </w:r>
      <w:r w:rsidR="006D18A4" w:rsidRPr="00382917">
        <w:t>crushing</w:t>
      </w:r>
      <w:r w:rsidR="00EE4FC3">
        <w:t xml:space="preserve"> </w:t>
      </w:r>
      <w:r w:rsidR="006D18A4" w:rsidRPr="00382917">
        <w:t>force.</w:t>
      </w:r>
      <w:r w:rsidR="00EE4FC3">
        <w:t xml:space="preserve">  </w:t>
      </w:r>
      <w:r w:rsidR="006D18A4" w:rsidRPr="00382917">
        <w:t>Predominant</w:t>
      </w:r>
      <w:r w:rsidR="00EE4FC3">
        <w:t xml:space="preserve"> </w:t>
      </w:r>
      <w:r w:rsidR="006D18A4" w:rsidRPr="00382917">
        <w:t>among</w:t>
      </w:r>
      <w:r w:rsidR="00EE4FC3">
        <w:t xml:space="preserve"> </w:t>
      </w:r>
      <w:r w:rsidR="006D18A4" w:rsidRPr="00382917">
        <w:t>all</w:t>
      </w:r>
      <w:r w:rsidR="00EE4FC3">
        <w:t xml:space="preserve"> </w:t>
      </w:r>
      <w:r w:rsidR="006D18A4" w:rsidRPr="00382917">
        <w:t>my</w:t>
      </w:r>
      <w:r w:rsidR="00EE4FC3">
        <w:t xml:space="preserve"> </w:t>
      </w:r>
      <w:r w:rsidR="006D18A4" w:rsidRPr="00382917">
        <w:t>emotions</w:t>
      </w:r>
      <w:r w:rsidR="00EE4FC3">
        <w:t xml:space="preserve"> </w:t>
      </w:r>
      <w:r w:rsidR="006D18A4" w:rsidRPr="00382917">
        <w:t>was</w:t>
      </w:r>
      <w:r w:rsidR="00EE4FC3">
        <w:t xml:space="preserve"> </w:t>
      </w:r>
      <w:r w:rsidR="006D18A4" w:rsidRPr="00382917">
        <w:t>a</w:t>
      </w:r>
      <w:r w:rsidR="00EE4FC3">
        <w:t xml:space="preserve"> </w:t>
      </w:r>
      <w:r w:rsidR="006D18A4" w:rsidRPr="00382917">
        <w:t>sense</w:t>
      </w:r>
      <w:r w:rsidR="00EE4FC3">
        <w:t xml:space="preserve"> </w:t>
      </w:r>
      <w:r w:rsidR="006D18A4" w:rsidRPr="00382917">
        <w:t>of</w:t>
      </w:r>
      <w:r w:rsidR="00EE4FC3">
        <w:t xml:space="preserve"> </w:t>
      </w:r>
      <w:r w:rsidR="006D18A4" w:rsidRPr="00382917">
        <w:t>gladness</w:t>
      </w:r>
      <w:r w:rsidR="00EE4FC3">
        <w:t xml:space="preserve"> </w:t>
      </w:r>
      <w:r w:rsidR="006D18A4" w:rsidRPr="00382917">
        <w:t>and</w:t>
      </w:r>
      <w:r w:rsidR="00EE4FC3">
        <w:t xml:space="preserve"> </w:t>
      </w:r>
      <w:r w:rsidR="006D18A4" w:rsidRPr="00382917">
        <w:t>strength</w:t>
      </w:r>
      <w:r w:rsidR="00EE4FC3">
        <w:t xml:space="preserve"> </w:t>
      </w:r>
      <w:r w:rsidR="006D18A4" w:rsidRPr="00382917">
        <w:t>which</w:t>
      </w:r>
      <w:r w:rsidR="00EE4FC3">
        <w:t xml:space="preserve"> </w:t>
      </w:r>
      <w:r w:rsidR="006D18A4" w:rsidRPr="00382917">
        <w:t>seemed</w:t>
      </w:r>
      <w:r w:rsidR="00EE4FC3">
        <w:t xml:space="preserve"> </w:t>
      </w:r>
      <w:r w:rsidR="006D18A4" w:rsidRPr="00382917">
        <w:t>to</w:t>
      </w:r>
      <w:r w:rsidR="00EE4FC3">
        <w:t xml:space="preserve"> </w:t>
      </w:r>
      <w:r w:rsidR="006D18A4" w:rsidRPr="00382917">
        <w:t>have</w:t>
      </w:r>
      <w:r w:rsidR="00EE4FC3">
        <w:t xml:space="preserve"> </w:t>
      </w:r>
      <w:r w:rsidR="006D18A4" w:rsidRPr="00382917">
        <w:t>transfigured</w:t>
      </w:r>
      <w:r w:rsidR="00EE4FC3">
        <w:t xml:space="preserve"> </w:t>
      </w:r>
      <w:r w:rsidR="006D18A4" w:rsidRPr="00382917">
        <w:t>me.</w:t>
      </w:r>
      <w:r w:rsidR="00EE4FC3">
        <w:t xml:space="preserve">  </w:t>
      </w:r>
      <w:r w:rsidR="006D18A4" w:rsidRPr="00382917">
        <w:t>How</w:t>
      </w:r>
      <w:r w:rsidR="00EE4FC3">
        <w:t xml:space="preserve"> </w:t>
      </w:r>
      <w:r w:rsidR="006D18A4" w:rsidRPr="00382917">
        <w:t>feeble</w:t>
      </w:r>
      <w:r w:rsidR="00EE4FC3">
        <w:t xml:space="preserve"> </w:t>
      </w:r>
      <w:r w:rsidR="006D18A4" w:rsidRPr="00382917">
        <w:t>and</w:t>
      </w:r>
      <w:r w:rsidR="00EE4FC3">
        <w:t xml:space="preserve"> </w:t>
      </w:r>
      <w:r w:rsidR="006D18A4" w:rsidRPr="00382917">
        <w:t>impotent,</w:t>
      </w:r>
      <w:r w:rsidR="00EE4FC3">
        <w:t xml:space="preserve"> </w:t>
      </w:r>
      <w:r w:rsidR="006D18A4" w:rsidRPr="00382917">
        <w:t>how</w:t>
      </w:r>
      <w:r w:rsidR="00EE4FC3">
        <w:t xml:space="preserve"> </w:t>
      </w:r>
      <w:r w:rsidR="006D18A4" w:rsidRPr="00382917">
        <w:t>dejected</w:t>
      </w:r>
      <w:r w:rsidR="00EE4FC3">
        <w:t xml:space="preserve"> </w:t>
      </w:r>
      <w:r w:rsidR="006D18A4" w:rsidRPr="00382917">
        <w:t>and</w:t>
      </w:r>
      <w:r w:rsidR="00EE4FC3">
        <w:t xml:space="preserve"> </w:t>
      </w:r>
      <w:r w:rsidR="006D18A4" w:rsidRPr="00382917">
        <w:t>timid,</w:t>
      </w:r>
      <w:r w:rsidR="00EE4FC3">
        <w:t xml:space="preserve"> </w:t>
      </w:r>
      <w:r w:rsidR="006D18A4" w:rsidRPr="00382917">
        <w:t>I</w:t>
      </w:r>
      <w:r w:rsidR="00EE4FC3">
        <w:t xml:space="preserve"> </w:t>
      </w:r>
      <w:r w:rsidR="006D18A4" w:rsidRPr="00382917">
        <w:t>had</w:t>
      </w:r>
      <w:r w:rsidR="00EE4FC3">
        <w:t xml:space="preserve"> </w:t>
      </w:r>
      <w:r w:rsidR="006D18A4" w:rsidRPr="00382917">
        <w:t>felt</w:t>
      </w:r>
      <w:r w:rsidR="00EE4FC3">
        <w:t xml:space="preserve"> </w:t>
      </w:r>
      <w:r w:rsidR="006D18A4" w:rsidRPr="00382917">
        <w:t>previously!</w:t>
      </w:r>
      <w:r w:rsidR="00EE4FC3">
        <w:t xml:space="preserve">  </w:t>
      </w:r>
      <w:r w:rsidR="006D18A4" w:rsidRPr="00382917">
        <w:t>Then</w:t>
      </w:r>
      <w:r w:rsidR="00EE4FC3">
        <w:t xml:space="preserve"> </w:t>
      </w:r>
      <w:r w:rsidR="006D18A4" w:rsidRPr="00382917">
        <w:t>I</w:t>
      </w:r>
      <w:r w:rsidR="00EE4FC3">
        <w:t xml:space="preserve"> </w:t>
      </w:r>
      <w:r w:rsidR="006D18A4" w:rsidRPr="00382917">
        <w:t>could</w:t>
      </w:r>
      <w:r w:rsidR="00EE4FC3">
        <w:t xml:space="preserve"> </w:t>
      </w:r>
      <w:r w:rsidR="006D18A4" w:rsidRPr="00382917">
        <w:t>neither</w:t>
      </w:r>
      <w:r w:rsidR="00EE4FC3">
        <w:t xml:space="preserve"> </w:t>
      </w:r>
      <w:r w:rsidR="006D18A4" w:rsidRPr="00382917">
        <w:t>write</w:t>
      </w:r>
      <w:r w:rsidR="00EE4FC3">
        <w:t xml:space="preserve"> </w:t>
      </w:r>
      <w:r w:rsidR="006D18A4" w:rsidRPr="00382917">
        <w:t>nor</w:t>
      </w:r>
      <w:r w:rsidR="00EE4FC3">
        <w:t xml:space="preserve"> </w:t>
      </w:r>
      <w:r w:rsidR="006D18A4" w:rsidRPr="00382917">
        <w:t>walk,</w:t>
      </w:r>
      <w:r w:rsidR="00EE4FC3">
        <w:t xml:space="preserve"> </w:t>
      </w:r>
      <w:r w:rsidR="006D18A4" w:rsidRPr="00382917">
        <w:t>so</w:t>
      </w:r>
      <w:r w:rsidR="00EE4FC3">
        <w:t xml:space="preserve"> </w:t>
      </w:r>
      <w:r w:rsidR="006D18A4" w:rsidRPr="00382917">
        <w:t>tremulous</w:t>
      </w:r>
      <w:r w:rsidR="00EE4FC3">
        <w:t xml:space="preserve"> </w:t>
      </w:r>
      <w:r w:rsidR="006D18A4" w:rsidRPr="00382917">
        <w:t>were</w:t>
      </w:r>
      <w:r w:rsidR="00EE4FC3">
        <w:t xml:space="preserve"> </w:t>
      </w:r>
      <w:r w:rsidR="006D18A4" w:rsidRPr="00382917">
        <w:t>my</w:t>
      </w:r>
      <w:r w:rsidR="00EE4FC3">
        <w:t xml:space="preserve"> </w:t>
      </w:r>
      <w:r w:rsidR="006D18A4" w:rsidRPr="00382917">
        <w:t>hands</w:t>
      </w:r>
      <w:r w:rsidR="00EE4FC3">
        <w:t xml:space="preserve"> </w:t>
      </w:r>
      <w:r w:rsidR="006D18A4" w:rsidRPr="00382917">
        <w:t>and</w:t>
      </w:r>
      <w:r w:rsidR="00EE4FC3">
        <w:t xml:space="preserve"> </w:t>
      </w:r>
      <w:r w:rsidR="006D18A4" w:rsidRPr="00382917">
        <w:t>feet.</w:t>
      </w:r>
      <w:r w:rsidR="00EE4FC3">
        <w:t xml:space="preserve">  </w:t>
      </w:r>
      <w:r w:rsidR="006D18A4" w:rsidRPr="00382917">
        <w:t>Now,</w:t>
      </w:r>
      <w:r w:rsidR="00EE4FC3">
        <w:t xml:space="preserve"> </w:t>
      </w:r>
      <w:r w:rsidR="006D18A4" w:rsidRPr="00382917">
        <w:t>the</w:t>
      </w:r>
      <w:r w:rsidR="00EE4FC3">
        <w:t xml:space="preserve"> </w:t>
      </w:r>
      <w:r w:rsidR="006D18A4" w:rsidRPr="00382917">
        <w:t>knowledge</w:t>
      </w:r>
      <w:r w:rsidR="00EE4FC3">
        <w:t xml:space="preserve"> </w:t>
      </w:r>
      <w:r w:rsidR="006D18A4" w:rsidRPr="00382917">
        <w:t>of</w:t>
      </w:r>
      <w:r w:rsidR="00EE4FC3">
        <w:t xml:space="preserve"> </w:t>
      </w:r>
      <w:r w:rsidR="006D18A4" w:rsidRPr="00382917">
        <w:t>His</w:t>
      </w:r>
      <w:r w:rsidR="00EE4FC3">
        <w:t xml:space="preserve"> </w:t>
      </w:r>
      <w:r w:rsidR="006D18A4" w:rsidRPr="00382917">
        <w:t>Revelation</w:t>
      </w:r>
      <w:r w:rsidR="00EE4FC3">
        <w:t xml:space="preserve"> </w:t>
      </w:r>
      <w:r w:rsidR="006D18A4" w:rsidRPr="00382917">
        <w:t>had</w:t>
      </w:r>
      <w:r w:rsidR="00EE4FC3">
        <w:t xml:space="preserve"> </w:t>
      </w:r>
      <w:r w:rsidR="006D18A4" w:rsidRPr="00382917">
        <w:t>galvanized</w:t>
      </w:r>
      <w:r w:rsidR="00EE4FC3">
        <w:t xml:space="preserve"> </w:t>
      </w:r>
      <w:r w:rsidR="006D18A4" w:rsidRPr="00382917">
        <w:t>my</w:t>
      </w:r>
      <w:r w:rsidR="00EE4FC3">
        <w:t xml:space="preserve"> </w:t>
      </w:r>
      <w:r w:rsidR="006D18A4" w:rsidRPr="00382917">
        <w:t>being.</w:t>
      </w:r>
      <w:r w:rsidR="00EE4FC3">
        <w:t xml:space="preserve">  </w:t>
      </w:r>
      <w:r w:rsidR="006D18A4" w:rsidRPr="00382917">
        <w:t>I</w:t>
      </w:r>
      <w:r w:rsidR="00EE4FC3">
        <w:t xml:space="preserve"> </w:t>
      </w:r>
      <w:r w:rsidR="006D18A4" w:rsidRPr="00382917">
        <w:t>felt</w:t>
      </w:r>
      <w:r w:rsidR="00EE4FC3">
        <w:t xml:space="preserve"> </w:t>
      </w:r>
      <w:r w:rsidR="006D18A4" w:rsidRPr="00382917">
        <w:t>possessed</w:t>
      </w:r>
      <w:r w:rsidR="00EE4FC3">
        <w:t xml:space="preserve"> </w:t>
      </w:r>
      <w:r w:rsidR="006D18A4" w:rsidRPr="00382917">
        <w:t>of</w:t>
      </w:r>
      <w:r w:rsidR="00EE4FC3">
        <w:t xml:space="preserve"> </w:t>
      </w:r>
      <w:r w:rsidR="006D18A4" w:rsidRPr="00382917">
        <w:t>such</w:t>
      </w:r>
      <w:r w:rsidR="00EE4FC3">
        <w:t xml:space="preserve"> </w:t>
      </w:r>
      <w:r w:rsidR="006D18A4" w:rsidRPr="00382917">
        <w:t>courage</w:t>
      </w:r>
      <w:r w:rsidR="00EE4FC3">
        <w:t xml:space="preserve"> </w:t>
      </w:r>
      <w:r w:rsidR="006D18A4" w:rsidRPr="00382917">
        <w:t>and</w:t>
      </w:r>
      <w:r w:rsidR="00EE4FC3">
        <w:t xml:space="preserve"> </w:t>
      </w:r>
      <w:r w:rsidR="006D18A4" w:rsidRPr="00382917">
        <w:t>power</w:t>
      </w:r>
      <w:r w:rsidR="00EE4FC3">
        <w:t xml:space="preserve"> </w:t>
      </w:r>
      <w:r w:rsidR="006D18A4" w:rsidRPr="00382917">
        <w:t>that</w:t>
      </w:r>
      <w:r w:rsidR="00EE4FC3">
        <w:t xml:space="preserve"> </w:t>
      </w:r>
      <w:r w:rsidR="006D18A4" w:rsidRPr="00382917">
        <w:t>were</w:t>
      </w:r>
      <w:r w:rsidR="00EE4FC3">
        <w:t xml:space="preserve"> </w:t>
      </w:r>
      <w:r w:rsidR="006D18A4" w:rsidRPr="00382917">
        <w:t>the</w:t>
      </w:r>
      <w:r w:rsidR="00EE4FC3">
        <w:t xml:space="preserve"> </w:t>
      </w:r>
      <w:r w:rsidR="006D18A4" w:rsidRPr="00382917">
        <w:t>world,</w:t>
      </w:r>
      <w:r w:rsidR="00EE4FC3">
        <w:t xml:space="preserve"> </w:t>
      </w:r>
      <w:r w:rsidR="006D18A4" w:rsidRPr="00382917">
        <w:t>all</w:t>
      </w:r>
      <w:r w:rsidR="00EE4FC3">
        <w:t xml:space="preserve"> </w:t>
      </w:r>
      <w:r w:rsidR="006D18A4" w:rsidRPr="00382917">
        <w:t>its</w:t>
      </w:r>
      <w:r w:rsidR="00EE4FC3">
        <w:t xml:space="preserve"> </w:t>
      </w:r>
      <w:r w:rsidR="006D18A4" w:rsidRPr="00382917">
        <w:t>people</w:t>
      </w:r>
      <w:r w:rsidR="00EE4FC3">
        <w:t xml:space="preserve"> </w:t>
      </w:r>
      <w:r w:rsidR="006D18A4" w:rsidRPr="00382917">
        <w:t>and</w:t>
      </w:r>
      <w:r w:rsidR="00EE4FC3">
        <w:t xml:space="preserve"> </w:t>
      </w:r>
      <w:r w:rsidR="006D18A4" w:rsidRPr="00382917">
        <w:t>its</w:t>
      </w:r>
      <w:r w:rsidR="00EE4FC3">
        <w:t xml:space="preserve"> </w:t>
      </w:r>
      <w:r w:rsidR="006D18A4" w:rsidRPr="00382917">
        <w:t>rulers,</w:t>
      </w:r>
      <w:r w:rsidR="00EE4FC3">
        <w:t xml:space="preserve"> </w:t>
      </w:r>
      <w:r w:rsidR="006D18A4" w:rsidRPr="00382917">
        <w:t>to</w:t>
      </w:r>
      <w:r w:rsidR="00EE4FC3">
        <w:t xml:space="preserve"> </w:t>
      </w:r>
      <w:r w:rsidR="006D18A4" w:rsidRPr="00382917">
        <w:t>rise</w:t>
      </w:r>
      <w:r w:rsidR="00EE4FC3">
        <w:t xml:space="preserve"> </w:t>
      </w:r>
      <w:r w:rsidR="006D18A4" w:rsidRPr="00382917">
        <w:t>against</w:t>
      </w:r>
      <w:r w:rsidR="00EE4FC3">
        <w:t xml:space="preserve"> </w:t>
      </w:r>
      <w:r w:rsidR="006D18A4" w:rsidRPr="00382917">
        <w:t>me,</w:t>
      </w:r>
      <w:r w:rsidR="00EE4FC3">
        <w:t xml:space="preserve"> </w:t>
      </w:r>
      <w:r w:rsidR="006D18A4" w:rsidRPr="00382917">
        <w:t>I</w:t>
      </w:r>
      <w:r w:rsidR="00EE4FC3">
        <w:t xml:space="preserve"> </w:t>
      </w:r>
      <w:r w:rsidR="006D18A4" w:rsidRPr="00382917">
        <w:t>would</w:t>
      </w:r>
      <w:r w:rsidR="00EE4FC3">
        <w:t xml:space="preserve"> </w:t>
      </w:r>
      <w:r w:rsidR="006D18A4" w:rsidRPr="00382917">
        <w:t>alone</w:t>
      </w:r>
      <w:r w:rsidR="00EE4FC3">
        <w:t xml:space="preserve"> </w:t>
      </w:r>
      <w:r w:rsidR="006D18A4" w:rsidRPr="00382917">
        <w:t>and</w:t>
      </w:r>
      <w:r w:rsidR="00EE4FC3">
        <w:t xml:space="preserve"> </w:t>
      </w:r>
      <w:r w:rsidR="006D18A4" w:rsidRPr="00382917">
        <w:t>un-</w:t>
      </w:r>
    </w:p>
    <w:p w:rsidR="006D18A4" w:rsidRPr="00382917" w:rsidRDefault="006D18A4">
      <w:pPr>
        <w:widowControl/>
        <w:kinsoku/>
        <w:overflowPunct/>
        <w:textAlignment w:val="auto"/>
      </w:pPr>
      <w:r w:rsidRPr="00382917">
        <w:br w:type="page"/>
      </w:r>
    </w:p>
    <w:p w:rsidR="006D18A4" w:rsidRPr="00382917" w:rsidRDefault="006D18A4" w:rsidP="006D18A4">
      <w:pPr>
        <w:pStyle w:val="Textcts"/>
      </w:pPr>
      <w:proofErr w:type="gramStart"/>
      <w:r w:rsidRPr="00382917">
        <w:t>daunted</w:t>
      </w:r>
      <w:proofErr w:type="gramEnd"/>
      <w:r w:rsidR="00EE4FC3">
        <w:t xml:space="preserve"> </w:t>
      </w:r>
      <w:r w:rsidRPr="00382917">
        <w:t>withstand</w:t>
      </w:r>
      <w:r w:rsidR="00EE4FC3">
        <w:t xml:space="preserve"> </w:t>
      </w:r>
      <w:r w:rsidRPr="00382917">
        <w:t>their</w:t>
      </w:r>
      <w:r w:rsidR="00EE4FC3">
        <w:t xml:space="preserve"> </w:t>
      </w:r>
      <w:r w:rsidRPr="00382917">
        <w:t>onslaught.</w:t>
      </w:r>
      <w:r w:rsidR="00EE4FC3">
        <w:t xml:space="preserve">  </w:t>
      </w:r>
      <w:r w:rsidRPr="00382917">
        <w:t>The</w:t>
      </w:r>
      <w:r w:rsidR="00EE4FC3">
        <w:t xml:space="preserve"> </w:t>
      </w:r>
      <w:r w:rsidRPr="00382917">
        <w:t>universe</w:t>
      </w:r>
      <w:r w:rsidR="00EE4FC3">
        <w:t xml:space="preserve"> </w:t>
      </w:r>
      <w:r w:rsidRPr="00382917">
        <w:t>seemed</w:t>
      </w:r>
      <w:r w:rsidR="00EE4FC3">
        <w:t xml:space="preserve"> </w:t>
      </w:r>
      <w:r w:rsidRPr="00382917">
        <w:t>but</w:t>
      </w:r>
      <w:r w:rsidR="00EE4FC3">
        <w:t xml:space="preserve"> </w:t>
      </w:r>
      <w:r w:rsidRPr="00382917">
        <w:t>a</w:t>
      </w:r>
      <w:r w:rsidR="00EE4FC3">
        <w:t xml:space="preserve"> </w:t>
      </w:r>
      <w:r w:rsidRPr="00382917">
        <w:t>handful</w:t>
      </w:r>
      <w:r w:rsidR="00EE4FC3">
        <w:t xml:space="preserve"> </w:t>
      </w:r>
      <w:r w:rsidRPr="00382917">
        <w:t>of</w:t>
      </w:r>
      <w:r w:rsidR="00EE4FC3">
        <w:t xml:space="preserve"> </w:t>
      </w:r>
      <w:r w:rsidRPr="00382917">
        <w:t>dust</w:t>
      </w:r>
      <w:r w:rsidR="00EE4FC3">
        <w:t xml:space="preserve"> </w:t>
      </w:r>
      <w:r w:rsidRPr="00382917">
        <w:t>in</w:t>
      </w:r>
      <w:r w:rsidR="00EE4FC3">
        <w:t xml:space="preserve"> </w:t>
      </w:r>
      <w:r w:rsidRPr="00382917">
        <w:t>my</w:t>
      </w:r>
      <w:r w:rsidR="00EE4FC3">
        <w:t xml:space="preserve"> </w:t>
      </w:r>
      <w:r w:rsidRPr="00382917">
        <w:t>grasp.</w:t>
      </w:r>
      <w:r w:rsidR="00EE4FC3">
        <w:t xml:space="preserve">  </w:t>
      </w:r>
      <w:r w:rsidRPr="00382917">
        <w:t>I</w:t>
      </w:r>
      <w:r w:rsidR="00EE4FC3">
        <w:t xml:space="preserve"> </w:t>
      </w:r>
      <w:r w:rsidRPr="00382917">
        <w:t>seemed</w:t>
      </w:r>
      <w:r w:rsidR="00EE4FC3">
        <w:t xml:space="preserve"> </w:t>
      </w:r>
      <w:r w:rsidRPr="00382917">
        <w:t>to</w:t>
      </w:r>
      <w:r w:rsidR="00EE4FC3">
        <w:t xml:space="preserve"> </w:t>
      </w:r>
      <w:r w:rsidRPr="00382917">
        <w:t>be</w:t>
      </w:r>
      <w:r w:rsidR="00EE4FC3">
        <w:t xml:space="preserve"> </w:t>
      </w:r>
      <w:r w:rsidRPr="00382917">
        <w:t>the</w:t>
      </w:r>
      <w:r w:rsidR="00EE4FC3">
        <w:t xml:space="preserve"> </w:t>
      </w:r>
      <w:r w:rsidRPr="00382917">
        <w:t>Voice</w:t>
      </w:r>
      <w:r w:rsidR="00EE4FC3">
        <w:t xml:space="preserve"> </w:t>
      </w:r>
      <w:r w:rsidRPr="00382917">
        <w:t>of</w:t>
      </w:r>
      <w:r w:rsidR="00EE4FC3">
        <w:t xml:space="preserve"> </w:t>
      </w:r>
      <w:r w:rsidRPr="00382917">
        <w:t>Gabriel</w:t>
      </w:r>
      <w:r w:rsidR="00EE4FC3">
        <w:t xml:space="preserve"> </w:t>
      </w:r>
      <w:r w:rsidRPr="00382917">
        <w:t>personified,</w:t>
      </w:r>
      <w:r w:rsidR="00EE4FC3">
        <w:t xml:space="preserve"> </w:t>
      </w:r>
      <w:r w:rsidRPr="00382917">
        <w:t>calling</w:t>
      </w:r>
      <w:r w:rsidR="00EE4FC3">
        <w:t xml:space="preserve"> </w:t>
      </w:r>
      <w:r w:rsidRPr="00382917">
        <w:t>unto</w:t>
      </w:r>
      <w:r w:rsidR="00EE4FC3">
        <w:t xml:space="preserve"> </w:t>
      </w:r>
      <w:r w:rsidRPr="00382917">
        <w:t>all</w:t>
      </w:r>
      <w:r w:rsidR="00EE4FC3">
        <w:t xml:space="preserve"> </w:t>
      </w:r>
      <w:r w:rsidRPr="00382917">
        <w:t>mankind:</w:t>
      </w:r>
      <w:r w:rsidR="00EE4FC3">
        <w:t xml:space="preserve">  </w:t>
      </w:r>
      <w:r w:rsidR="009C713D" w:rsidRPr="00382917">
        <w:t>‘</w:t>
      </w:r>
      <w:r w:rsidRPr="00382917">
        <w:t>Awake,</w:t>
      </w:r>
      <w:r w:rsidR="00EE4FC3">
        <w:t xml:space="preserve"> </w:t>
      </w:r>
      <w:r w:rsidRPr="00382917">
        <w:t>for</w:t>
      </w:r>
      <w:r w:rsidR="00EE4FC3">
        <w:t xml:space="preserve"> </w:t>
      </w:r>
      <w:r w:rsidRPr="00382917">
        <w:t>lo</w:t>
      </w:r>
      <w:proofErr w:type="gramStart"/>
      <w:r w:rsidRPr="00382917">
        <w:t>!</w:t>
      </w:r>
      <w:r w:rsidR="00EE4FC3">
        <w:t xml:space="preserve"> </w:t>
      </w:r>
      <w:r w:rsidRPr="00382917">
        <w:t>the</w:t>
      </w:r>
      <w:proofErr w:type="gramEnd"/>
      <w:r w:rsidR="00EE4FC3">
        <w:t xml:space="preserve"> </w:t>
      </w:r>
      <w:r w:rsidRPr="00382917">
        <w:t>morning</w:t>
      </w:r>
      <w:r w:rsidR="00EE4FC3">
        <w:t xml:space="preserve"> </w:t>
      </w:r>
      <w:r w:rsidRPr="00382917">
        <w:t>Light</w:t>
      </w:r>
      <w:r w:rsidR="00EE4FC3">
        <w:t xml:space="preserve"> </w:t>
      </w:r>
      <w:r w:rsidRPr="00382917">
        <w:t>has</w:t>
      </w:r>
      <w:r w:rsidR="00EE4FC3">
        <w:t xml:space="preserve"> </w:t>
      </w:r>
      <w:r w:rsidRPr="00382917">
        <w:t>broken.</w:t>
      </w:r>
      <w:r w:rsidR="00EE4FC3">
        <w:t xml:space="preserve">  </w:t>
      </w:r>
      <w:r w:rsidRPr="00382917">
        <w:t>Arise,</w:t>
      </w:r>
      <w:r w:rsidR="00EE4FC3">
        <w:t xml:space="preserve"> </w:t>
      </w:r>
      <w:r w:rsidRPr="00382917">
        <w:t>for</w:t>
      </w:r>
      <w:r w:rsidR="00EE4FC3">
        <w:t xml:space="preserve"> </w:t>
      </w:r>
      <w:r w:rsidRPr="00382917">
        <w:t>His</w:t>
      </w:r>
      <w:r w:rsidR="00EE4FC3">
        <w:t xml:space="preserve"> </w:t>
      </w:r>
      <w:r w:rsidRPr="00382917">
        <w:t>Cause</w:t>
      </w:r>
      <w:r w:rsidR="00EE4FC3">
        <w:t xml:space="preserve"> </w:t>
      </w:r>
      <w:r w:rsidRPr="00382917">
        <w:t>is</w:t>
      </w:r>
      <w:r w:rsidR="00EE4FC3">
        <w:t xml:space="preserve"> </w:t>
      </w:r>
      <w:r w:rsidRPr="00382917">
        <w:t>made</w:t>
      </w:r>
      <w:r w:rsidR="00EE4FC3">
        <w:t xml:space="preserve"> </w:t>
      </w:r>
      <w:r w:rsidRPr="00382917">
        <w:t>manifest.</w:t>
      </w:r>
      <w:r w:rsidR="00EE4FC3">
        <w:t xml:space="preserve">  </w:t>
      </w:r>
      <w:r w:rsidRPr="00382917">
        <w:t>The</w:t>
      </w:r>
      <w:r w:rsidR="00EE4FC3">
        <w:t xml:space="preserve"> </w:t>
      </w:r>
      <w:r w:rsidRPr="00382917">
        <w:t>portal</w:t>
      </w:r>
      <w:r w:rsidR="00EE4FC3">
        <w:t xml:space="preserve"> </w:t>
      </w:r>
      <w:r w:rsidRPr="00382917">
        <w:t>of</w:t>
      </w:r>
      <w:r w:rsidR="00EE4FC3">
        <w:t xml:space="preserve"> </w:t>
      </w:r>
      <w:r w:rsidRPr="00382917">
        <w:t>His</w:t>
      </w:r>
      <w:r w:rsidR="00EE4FC3">
        <w:t xml:space="preserve"> </w:t>
      </w:r>
      <w:r w:rsidRPr="00382917">
        <w:t>grace</w:t>
      </w:r>
      <w:r w:rsidR="00EE4FC3">
        <w:t xml:space="preserve"> </w:t>
      </w:r>
      <w:r w:rsidRPr="00382917">
        <w:t>is</w:t>
      </w:r>
      <w:r w:rsidR="00EE4FC3">
        <w:t xml:space="preserve"> </w:t>
      </w:r>
      <w:r w:rsidRPr="00382917">
        <w:t>open</w:t>
      </w:r>
      <w:r w:rsidR="00EE4FC3">
        <w:t xml:space="preserve"> </w:t>
      </w:r>
      <w:r w:rsidRPr="00382917">
        <w:t>wide;</w:t>
      </w:r>
      <w:r w:rsidR="00EE4FC3">
        <w:t xml:space="preserve"> </w:t>
      </w:r>
      <w:r w:rsidRPr="00382917">
        <w:t>enter</w:t>
      </w:r>
      <w:r w:rsidR="00EE4FC3">
        <w:t xml:space="preserve"> </w:t>
      </w:r>
      <w:r w:rsidRPr="00382917">
        <w:t>therein,</w:t>
      </w:r>
      <w:r w:rsidR="00EE4FC3">
        <w:t xml:space="preserve"> </w:t>
      </w:r>
      <w:r w:rsidRPr="00382917">
        <w:t>O</w:t>
      </w:r>
      <w:r w:rsidR="00EE4FC3">
        <w:t xml:space="preserve"> </w:t>
      </w:r>
      <w:r w:rsidRPr="00382917">
        <w:t>peoples</w:t>
      </w:r>
      <w:r w:rsidR="00EE4FC3">
        <w:t xml:space="preserve"> </w:t>
      </w:r>
      <w:r w:rsidRPr="00382917">
        <w:t>of</w:t>
      </w:r>
      <w:r w:rsidR="00EE4FC3">
        <w:t xml:space="preserve"> </w:t>
      </w:r>
      <w:r w:rsidRPr="00382917">
        <w:t>the</w:t>
      </w:r>
      <w:r w:rsidR="00EE4FC3">
        <w:t xml:space="preserve"> </w:t>
      </w:r>
      <w:r w:rsidRPr="00382917">
        <w:t>world!</w:t>
      </w:r>
      <w:r w:rsidR="00EE4FC3">
        <w:t xml:space="preserve">  </w:t>
      </w:r>
      <w:r w:rsidRPr="00382917">
        <w:t>For</w:t>
      </w:r>
      <w:r w:rsidR="00EE4FC3">
        <w:t xml:space="preserve"> </w:t>
      </w:r>
      <w:r w:rsidRPr="00382917">
        <w:t>He</w:t>
      </w:r>
      <w:r w:rsidR="00EE4FC3">
        <w:t xml:space="preserve"> </w:t>
      </w:r>
      <w:proofErr w:type="gramStart"/>
      <w:r w:rsidRPr="00382917">
        <w:t>Who</w:t>
      </w:r>
      <w:proofErr w:type="gramEnd"/>
      <w:r w:rsidR="00EE4FC3">
        <w:t xml:space="preserve"> </w:t>
      </w:r>
      <w:r w:rsidRPr="00382917">
        <w:t>is</w:t>
      </w:r>
      <w:r w:rsidR="00EE4FC3">
        <w:t xml:space="preserve"> </w:t>
      </w:r>
      <w:r w:rsidRPr="00382917">
        <w:t>your</w:t>
      </w:r>
      <w:r w:rsidR="00EE4FC3">
        <w:t xml:space="preserve"> </w:t>
      </w:r>
      <w:r w:rsidRPr="00382917">
        <w:t>Promised</w:t>
      </w:r>
      <w:r w:rsidR="00EE4FC3">
        <w:t xml:space="preserve"> </w:t>
      </w:r>
      <w:r w:rsidRPr="00382917">
        <w:t>One</w:t>
      </w:r>
      <w:r w:rsidR="00EE4FC3">
        <w:t xml:space="preserve"> </w:t>
      </w:r>
      <w:r w:rsidRPr="00382917">
        <w:t>is</w:t>
      </w:r>
      <w:r w:rsidR="00EE4FC3">
        <w:t xml:space="preserve"> </w:t>
      </w:r>
      <w:r w:rsidRPr="00382917">
        <w:t>come!</w:t>
      </w:r>
      <w:r w:rsidR="009C713D" w:rsidRPr="00382917">
        <w:t>’</w:t>
      </w:r>
    </w:p>
    <w:p w:rsidR="006D18A4" w:rsidRPr="00382917" w:rsidRDefault="009C713D" w:rsidP="006D18A4">
      <w:pPr>
        <w:pStyle w:val="Text"/>
      </w:pPr>
      <w:r w:rsidRPr="00382917">
        <w:t>“</w:t>
      </w:r>
      <w:r w:rsidR="006D18A4" w:rsidRPr="00382917">
        <w:t>In</w:t>
      </w:r>
      <w:r w:rsidR="00EE4FC3">
        <w:t xml:space="preserve"> </w:t>
      </w:r>
      <w:r w:rsidR="006D18A4" w:rsidRPr="00382917">
        <w:t>such</w:t>
      </w:r>
      <w:r w:rsidR="00EE4FC3">
        <w:t xml:space="preserve"> </w:t>
      </w:r>
      <w:r w:rsidR="006D18A4" w:rsidRPr="00382917">
        <w:t>a</w:t>
      </w:r>
      <w:r w:rsidR="00EE4FC3">
        <w:t xml:space="preserve"> </w:t>
      </w:r>
      <w:r w:rsidR="006D18A4" w:rsidRPr="00382917">
        <w:t>state</w:t>
      </w:r>
      <w:r w:rsidR="00EE4FC3">
        <w:t xml:space="preserve"> </w:t>
      </w:r>
      <w:r w:rsidR="006D18A4" w:rsidRPr="00382917">
        <w:t>I</w:t>
      </w:r>
      <w:r w:rsidR="00EE4FC3">
        <w:t xml:space="preserve"> </w:t>
      </w:r>
      <w:r w:rsidR="006D18A4" w:rsidRPr="00382917">
        <w:t>left</w:t>
      </w:r>
      <w:r w:rsidR="00EE4FC3">
        <w:t xml:space="preserve"> </w:t>
      </w:r>
      <w:r w:rsidR="006D18A4" w:rsidRPr="00382917">
        <w:t>His</w:t>
      </w:r>
      <w:r w:rsidR="00EE4FC3">
        <w:t xml:space="preserve"> </w:t>
      </w:r>
      <w:r w:rsidR="006D18A4" w:rsidRPr="00382917">
        <w:t>house</w:t>
      </w:r>
      <w:r w:rsidR="00EE4FC3">
        <w:t xml:space="preserve"> </w:t>
      </w:r>
      <w:r w:rsidR="006D18A4" w:rsidRPr="00382917">
        <w:t>and</w:t>
      </w:r>
      <w:r w:rsidR="00EE4FC3">
        <w:t xml:space="preserve"> </w:t>
      </w:r>
      <w:r w:rsidR="006D18A4" w:rsidRPr="00382917">
        <w:t>joined</w:t>
      </w:r>
      <w:r w:rsidR="00EE4FC3">
        <w:t xml:space="preserve"> </w:t>
      </w:r>
      <w:r w:rsidR="006D18A4" w:rsidRPr="00382917">
        <w:t>my</w:t>
      </w:r>
      <w:r w:rsidR="00EE4FC3">
        <w:t xml:space="preserve"> </w:t>
      </w:r>
      <w:r w:rsidR="006D18A4" w:rsidRPr="00382917">
        <w:t>brother</w:t>
      </w:r>
      <w:r w:rsidR="00EE4FC3">
        <w:t xml:space="preserve"> </w:t>
      </w:r>
      <w:r w:rsidR="006D18A4" w:rsidRPr="00382917">
        <w:t>and</w:t>
      </w:r>
      <w:r w:rsidR="00EE4FC3">
        <w:t xml:space="preserve"> </w:t>
      </w:r>
      <w:r w:rsidR="006D18A4" w:rsidRPr="00382917">
        <w:t>nephew.</w:t>
      </w:r>
      <w:r w:rsidR="00EE4FC3">
        <w:t xml:space="preserve">  </w:t>
      </w:r>
      <w:r w:rsidR="006D18A4" w:rsidRPr="00382917">
        <w:t>The</w:t>
      </w:r>
      <w:r w:rsidR="00EE4FC3">
        <w:t xml:space="preserve"> </w:t>
      </w:r>
      <w:r w:rsidR="006D18A4" w:rsidRPr="00382917">
        <w:t>words</w:t>
      </w:r>
      <w:r w:rsidR="00EE4FC3">
        <w:t xml:space="preserve"> </w:t>
      </w:r>
      <w:r w:rsidR="006D18A4" w:rsidRPr="00382917">
        <w:t>of</w:t>
      </w:r>
      <w:r w:rsidR="00EE4FC3">
        <w:t xml:space="preserve"> </w:t>
      </w:r>
      <w:r w:rsidR="006D18A4" w:rsidRPr="00382917">
        <w:t>the</w:t>
      </w:r>
      <w:r w:rsidR="00EE4FC3">
        <w:t xml:space="preserve"> </w:t>
      </w:r>
      <w:r w:rsidR="006D18A4" w:rsidRPr="00382917">
        <w:t>Báb</w:t>
      </w:r>
      <w:r w:rsidR="00EE4FC3">
        <w:t xml:space="preserve"> </w:t>
      </w:r>
      <w:r w:rsidR="006D18A4" w:rsidRPr="00382917">
        <w:t>were</w:t>
      </w:r>
      <w:r w:rsidR="00EE4FC3">
        <w:t xml:space="preserve"> </w:t>
      </w:r>
      <w:r w:rsidR="006D18A4" w:rsidRPr="00382917">
        <w:t>ringing</w:t>
      </w:r>
      <w:r w:rsidR="00EE4FC3">
        <w:t xml:space="preserve"> </w:t>
      </w:r>
      <w:r w:rsidR="006D18A4" w:rsidRPr="00382917">
        <w:t>their</w:t>
      </w:r>
      <w:r w:rsidR="00EE4FC3">
        <w:t xml:space="preserve"> </w:t>
      </w:r>
      <w:r w:rsidR="006D18A4" w:rsidRPr="00382917">
        <w:t>melody</w:t>
      </w:r>
      <w:r w:rsidR="00EE4FC3">
        <w:t xml:space="preserve"> </w:t>
      </w:r>
      <w:r w:rsidR="006D18A4" w:rsidRPr="00382917">
        <w:t>of</w:t>
      </w:r>
      <w:r w:rsidR="00EE4FC3">
        <w:t xml:space="preserve"> </w:t>
      </w:r>
      <w:r w:rsidR="006D18A4" w:rsidRPr="00382917">
        <w:t>joy</w:t>
      </w:r>
      <w:r w:rsidR="00EE4FC3">
        <w:t xml:space="preserve"> </w:t>
      </w:r>
      <w:r w:rsidR="006D18A4" w:rsidRPr="00382917">
        <w:t>in</w:t>
      </w:r>
      <w:r w:rsidR="00EE4FC3">
        <w:t xml:space="preserve"> </w:t>
      </w:r>
      <w:r w:rsidR="006D18A4" w:rsidRPr="00382917">
        <w:t>my</w:t>
      </w:r>
      <w:r w:rsidR="00EE4FC3">
        <w:t xml:space="preserve"> </w:t>
      </w:r>
      <w:r w:rsidR="006D18A4" w:rsidRPr="00382917">
        <w:t>heart:</w:t>
      </w:r>
      <w:r w:rsidR="00EE4FC3">
        <w:t xml:space="preserve">  </w:t>
      </w:r>
      <w:r w:rsidRPr="00382917">
        <w:t>‘</w:t>
      </w:r>
      <w:r w:rsidR="006D18A4" w:rsidRPr="00382917">
        <w:t>Render</w:t>
      </w:r>
      <w:r w:rsidR="00EE4FC3">
        <w:t xml:space="preserve"> </w:t>
      </w:r>
      <w:r w:rsidR="006D18A4" w:rsidRPr="00382917">
        <w:t>thanks</w:t>
      </w:r>
      <w:r w:rsidR="00EE4FC3">
        <w:t xml:space="preserve"> </w:t>
      </w:r>
      <w:r w:rsidR="006D18A4" w:rsidRPr="00382917">
        <w:t>unto</w:t>
      </w:r>
      <w:r w:rsidR="00EE4FC3">
        <w:t xml:space="preserve"> </w:t>
      </w:r>
      <w:r w:rsidR="006D18A4" w:rsidRPr="00382917">
        <w:t>God</w:t>
      </w:r>
      <w:r w:rsidR="00EE4FC3">
        <w:t xml:space="preserve"> </w:t>
      </w:r>
      <w:r w:rsidR="006D18A4" w:rsidRPr="00382917">
        <w:t>for</w:t>
      </w:r>
      <w:r w:rsidR="00EE4FC3">
        <w:t xml:space="preserve"> </w:t>
      </w:r>
      <w:r w:rsidR="006D18A4" w:rsidRPr="00382917">
        <w:t>having</w:t>
      </w:r>
      <w:r w:rsidR="00EE4FC3">
        <w:t xml:space="preserve"> </w:t>
      </w:r>
      <w:r w:rsidR="006D18A4" w:rsidRPr="00382917">
        <w:t>graciously</w:t>
      </w:r>
      <w:r w:rsidR="00EE4FC3">
        <w:t xml:space="preserve"> </w:t>
      </w:r>
      <w:r w:rsidR="006D18A4" w:rsidRPr="00382917">
        <w:t>assisted</w:t>
      </w:r>
      <w:r w:rsidR="00EE4FC3">
        <w:t xml:space="preserve"> </w:t>
      </w:r>
      <w:r w:rsidR="006D18A4" w:rsidRPr="00382917">
        <w:t>you</w:t>
      </w:r>
      <w:r w:rsidR="00EE4FC3">
        <w:t xml:space="preserve"> </w:t>
      </w:r>
      <w:r w:rsidR="006D18A4" w:rsidRPr="00382917">
        <w:t>to</w:t>
      </w:r>
      <w:r w:rsidR="00EE4FC3">
        <w:t xml:space="preserve"> </w:t>
      </w:r>
      <w:r w:rsidR="006D18A4" w:rsidRPr="00382917">
        <w:t>attain</w:t>
      </w:r>
      <w:r w:rsidR="00EE4FC3">
        <w:t xml:space="preserve"> </w:t>
      </w:r>
      <w:r w:rsidR="006D18A4" w:rsidRPr="00382917">
        <w:t>your</w:t>
      </w:r>
      <w:r w:rsidR="00EE4FC3">
        <w:t xml:space="preserve"> </w:t>
      </w:r>
      <w:r w:rsidR="006D18A4" w:rsidRPr="00382917">
        <w:t>heart</w:t>
      </w:r>
      <w:r w:rsidRPr="00382917">
        <w:t>’</w:t>
      </w:r>
      <w:r w:rsidR="006D18A4" w:rsidRPr="00382917">
        <w:t>s</w:t>
      </w:r>
      <w:r w:rsidR="00EE4FC3">
        <w:t xml:space="preserve"> </w:t>
      </w:r>
      <w:r w:rsidR="006D18A4" w:rsidRPr="00382917">
        <w:t>desire.</w:t>
      </w:r>
      <w:r w:rsidRPr="00382917">
        <w:t>”</w:t>
      </w:r>
    </w:p>
    <w:p w:rsidR="006D18A4" w:rsidRPr="00382917" w:rsidRDefault="006D18A4" w:rsidP="006D18A4"/>
    <w:p w:rsidR="006D18A4" w:rsidRPr="00382917" w:rsidRDefault="006D18A4" w:rsidP="006D18A4">
      <w:pPr>
        <w:sectPr w:rsidR="006D18A4" w:rsidRPr="00382917" w:rsidSect="009073C7">
          <w:footnotePr>
            <w:numRestart w:val="eachPage"/>
          </w:footnotePr>
          <w:type w:val="evenPage"/>
          <w:pgSz w:w="8618" w:h="12984" w:code="188"/>
          <w:pgMar w:top="720" w:right="720" w:bottom="720" w:left="720" w:header="720" w:footer="567" w:gutter="357"/>
          <w:cols w:space="708"/>
          <w:noEndnote/>
          <w:titlePg/>
          <w:docGrid w:linePitch="272"/>
        </w:sectPr>
      </w:pPr>
    </w:p>
    <w:p w:rsidR="006D18A4" w:rsidRPr="00382917" w:rsidRDefault="00F01842" w:rsidP="00417538">
      <w:r w:rsidRPr="00382917">
        <w:rPr>
          <w:sz w:val="12"/>
          <w:szCs w:val="12"/>
        </w:rPr>
        <w:fldChar w:fldCharType="begin"/>
      </w:r>
      <w:r w:rsidR="00EE4FC3">
        <w:rPr>
          <w:sz w:val="12"/>
          <w:szCs w:val="12"/>
        </w:rPr>
        <w:instrText xml:space="preserve"> </w:instrText>
      </w:r>
      <w:proofErr w:type="gramStart"/>
      <w:r w:rsidRPr="00382917">
        <w:rPr>
          <w:sz w:val="12"/>
          <w:szCs w:val="12"/>
        </w:rPr>
        <w:instrText>TC</w:instrText>
      </w:r>
      <w:r w:rsidR="00EE4FC3">
        <w:rPr>
          <w:sz w:val="12"/>
          <w:szCs w:val="12"/>
        </w:rPr>
        <w:instrText xml:space="preserve">  </w:instrText>
      </w:r>
      <w:r w:rsidRPr="00382917">
        <w:rPr>
          <w:sz w:val="12"/>
          <w:szCs w:val="12"/>
        </w:rPr>
        <w:instrText>“</w:instrText>
      </w:r>
      <w:bookmarkStart w:id="5" w:name="_Toc206658601"/>
      <w:proofErr w:type="gramEnd"/>
      <w:r>
        <w:rPr>
          <w:sz w:val="12"/>
          <w:szCs w:val="12"/>
        </w:rPr>
        <w:tab/>
        <w:instrText>3.</w:instrText>
      </w:r>
      <w:r>
        <w:rPr>
          <w:sz w:val="12"/>
          <w:szCs w:val="12"/>
        </w:rPr>
        <w:tab/>
      </w:r>
      <w:r w:rsidRPr="00F01842">
        <w:rPr>
          <w:sz w:val="12"/>
          <w:szCs w:val="12"/>
        </w:rPr>
        <w:instrText>The</w:instrText>
      </w:r>
      <w:r w:rsidR="00EE4FC3">
        <w:rPr>
          <w:sz w:val="12"/>
          <w:szCs w:val="12"/>
        </w:rPr>
        <w:instrText xml:space="preserve"> </w:instrText>
      </w:r>
      <w:r w:rsidR="00417538">
        <w:rPr>
          <w:sz w:val="12"/>
          <w:szCs w:val="12"/>
        </w:rPr>
        <w:instrText>p</w:instrText>
      </w:r>
      <w:r w:rsidRPr="00F01842">
        <w:rPr>
          <w:sz w:val="12"/>
          <w:szCs w:val="12"/>
        </w:rPr>
        <w:instrText>romise</w:instrText>
      </w:r>
      <w:r w:rsidR="00EE4FC3">
        <w:rPr>
          <w:sz w:val="12"/>
          <w:szCs w:val="12"/>
        </w:rPr>
        <w:instrText xml:space="preserve"> </w:instrText>
      </w:r>
      <w:r w:rsidRPr="00F01842">
        <w:rPr>
          <w:sz w:val="12"/>
          <w:szCs w:val="12"/>
        </w:rPr>
        <w:instrText>is</w:instrText>
      </w:r>
      <w:r w:rsidR="00EE4FC3">
        <w:rPr>
          <w:sz w:val="12"/>
          <w:szCs w:val="12"/>
        </w:rPr>
        <w:instrText xml:space="preserve"> </w:instrText>
      </w:r>
      <w:r w:rsidRPr="00F01842">
        <w:rPr>
          <w:sz w:val="12"/>
          <w:szCs w:val="12"/>
        </w:rPr>
        <w:instrText>fulfilled</w:instrText>
      </w:r>
      <w:proofErr w:type="gramStart"/>
      <w:r w:rsidRPr="00382917">
        <w:rPr>
          <w:color w:val="FFFFFF" w:themeColor="background1"/>
          <w:sz w:val="12"/>
          <w:szCs w:val="12"/>
        </w:rPr>
        <w:instrText>..</w:instrText>
      </w:r>
      <w:proofErr w:type="gramEnd"/>
      <w:r w:rsidRPr="00382917">
        <w:rPr>
          <w:sz w:val="12"/>
          <w:szCs w:val="12"/>
        </w:rPr>
        <w:tab/>
      </w:r>
      <w:r w:rsidRPr="00382917">
        <w:rPr>
          <w:color w:val="FFFFFF" w:themeColor="background1"/>
          <w:sz w:val="12"/>
          <w:szCs w:val="12"/>
        </w:rPr>
        <w:instrText>.</w:instrText>
      </w:r>
      <w:bookmarkEnd w:id="5"/>
      <w:proofErr w:type="gramStart"/>
      <w:r w:rsidRPr="00382917">
        <w:rPr>
          <w:sz w:val="12"/>
          <w:szCs w:val="12"/>
        </w:rPr>
        <w:instrText>”</w:instrText>
      </w:r>
      <w:r w:rsidR="00EE4FC3">
        <w:rPr>
          <w:sz w:val="12"/>
          <w:szCs w:val="12"/>
        </w:rPr>
        <w:instrText xml:space="preserve"> </w:instrText>
      </w:r>
      <w:proofErr w:type="gramEnd"/>
      <w:r w:rsidRPr="00382917">
        <w:rPr>
          <w:sz w:val="12"/>
          <w:szCs w:val="12"/>
        </w:rPr>
        <w:instrText>\l</w:instrText>
      </w:r>
      <w:r w:rsidR="00EE4FC3">
        <w:rPr>
          <w:sz w:val="12"/>
          <w:szCs w:val="12"/>
        </w:rPr>
        <w:instrText xml:space="preserve"> </w:instrText>
      </w:r>
      <w:r w:rsidRPr="00382917">
        <w:rPr>
          <w:sz w:val="12"/>
          <w:szCs w:val="12"/>
        </w:rPr>
        <w:instrText>1</w:instrText>
      </w:r>
      <w:r w:rsidR="00EE4FC3">
        <w:rPr>
          <w:sz w:val="12"/>
          <w:szCs w:val="12"/>
        </w:rPr>
        <w:instrText xml:space="preserve"> </w:instrText>
      </w:r>
      <w:r w:rsidRPr="00382917">
        <w:rPr>
          <w:sz w:val="12"/>
          <w:szCs w:val="12"/>
        </w:rPr>
        <w:fldChar w:fldCharType="end"/>
      </w:r>
    </w:p>
    <w:p w:rsidR="006D18A4" w:rsidRPr="00382917" w:rsidRDefault="006D18A4" w:rsidP="006D18A4"/>
    <w:p w:rsidR="006D18A4" w:rsidRPr="00382917" w:rsidRDefault="006D18A4" w:rsidP="00417538">
      <w:pPr>
        <w:pStyle w:val="Myheadc"/>
      </w:pPr>
      <w:r w:rsidRPr="00382917">
        <w:t>3</w:t>
      </w:r>
      <w:r w:rsidR="00417538">
        <w:br/>
      </w:r>
      <w:r w:rsidRPr="00382917">
        <w:rPr>
          <w:noProof/>
          <w:lang w:val="en-AU" w:eastAsia="en-AU"/>
          <w14:numForm w14:val="default"/>
          <w14:numSpacing w14:val="default"/>
        </w:rPr>
        <w:drawing>
          <wp:inline distT="0" distB="0" distL="0" distR="0" wp14:anchorId="3CDCD331" wp14:editId="7E9ED38B">
            <wp:extent cx="396000" cy="392400"/>
            <wp:effectExtent l="0" t="0" r="4445" b="825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p.emf"/>
                    <pic:cNvPicPr/>
                  </pic:nvPicPr>
                  <pic:blipFill>
                    <a:blip r:embed="rId17">
                      <a:extLst>
                        <a:ext uri="{28A0092B-C50C-407E-A947-70E740481C1C}">
                          <a14:useLocalDpi xmlns:a14="http://schemas.microsoft.com/office/drawing/2010/main" val="0"/>
                        </a:ext>
                      </a:extLst>
                    </a:blip>
                    <a:stretch>
                      <a:fillRect/>
                    </a:stretch>
                  </pic:blipFill>
                  <pic:spPr>
                    <a:xfrm>
                      <a:off x="0" y="0"/>
                      <a:ext cx="396000" cy="392400"/>
                    </a:xfrm>
                    <a:prstGeom prst="rect">
                      <a:avLst/>
                    </a:prstGeom>
                  </pic:spPr>
                </pic:pic>
              </a:graphicData>
            </a:graphic>
          </wp:inline>
        </w:drawing>
      </w:r>
      <w:r w:rsidR="00417538">
        <w:br/>
      </w:r>
      <w:r w:rsidRPr="00382917">
        <w:t>The</w:t>
      </w:r>
      <w:r w:rsidR="00EE4FC3">
        <w:t xml:space="preserve"> </w:t>
      </w:r>
      <w:r w:rsidR="00417538">
        <w:t>p</w:t>
      </w:r>
      <w:r w:rsidRPr="00382917">
        <w:t>romise</w:t>
      </w:r>
      <w:r w:rsidR="00EE4FC3">
        <w:t xml:space="preserve"> </w:t>
      </w:r>
      <w:r w:rsidRPr="00382917">
        <w:t>is</w:t>
      </w:r>
      <w:r w:rsidR="00EE4FC3">
        <w:t xml:space="preserve"> </w:t>
      </w:r>
      <w:r w:rsidRPr="00382917">
        <w:t>fulfilled</w:t>
      </w:r>
    </w:p>
    <w:p w:rsidR="006D18A4" w:rsidRPr="00382917" w:rsidRDefault="006D18A4" w:rsidP="006D18A4">
      <w:pPr>
        <w:pStyle w:val="Text"/>
      </w:pPr>
      <w:r w:rsidRPr="00382917">
        <w:t>Mullá</w:t>
      </w:r>
      <w:r w:rsidR="00EE4FC3">
        <w:t xml:space="preserve"> </w:t>
      </w:r>
      <w:r w:rsidR="00964C11" w:rsidRPr="00382917">
        <w:t>Ḥusayn</w:t>
      </w:r>
      <w:r w:rsidR="00EE4FC3">
        <w:t xml:space="preserve"> </w:t>
      </w:r>
      <w:r w:rsidRPr="00382917">
        <w:t>was</w:t>
      </w:r>
      <w:r w:rsidR="00EE4FC3">
        <w:t xml:space="preserve"> </w:t>
      </w:r>
      <w:r w:rsidRPr="00382917">
        <w:t>faithful</w:t>
      </w:r>
      <w:r w:rsidR="00EE4FC3">
        <w:t xml:space="preserve"> </w:t>
      </w:r>
      <w:r w:rsidRPr="00382917">
        <w:t>to</w:t>
      </w:r>
      <w:r w:rsidR="00EE4FC3">
        <w:t xml:space="preserve"> </w:t>
      </w:r>
      <w:r w:rsidRPr="00382917">
        <w:t>the</w:t>
      </w:r>
      <w:r w:rsidR="00EE4FC3">
        <w:t xml:space="preserve"> </w:t>
      </w:r>
      <w:r w:rsidRPr="00382917">
        <w:t>Báb</w:t>
      </w:r>
      <w:r w:rsidR="009C713D" w:rsidRPr="00382917">
        <w:t>’</w:t>
      </w:r>
      <w:r w:rsidRPr="00382917">
        <w:t>s</w:t>
      </w:r>
      <w:r w:rsidR="00EE4FC3">
        <w:t xml:space="preserve"> </w:t>
      </w:r>
      <w:r w:rsidRPr="00382917">
        <w:t>instructions.</w:t>
      </w:r>
      <w:r w:rsidR="00EE4FC3">
        <w:t xml:space="preserve">  </w:t>
      </w:r>
      <w:r w:rsidRPr="00382917">
        <w:t>He</w:t>
      </w:r>
      <w:r w:rsidR="00EE4FC3">
        <w:t xml:space="preserve"> </w:t>
      </w:r>
      <w:r w:rsidRPr="00382917">
        <w:t>told</w:t>
      </w:r>
      <w:r w:rsidR="00EE4FC3">
        <w:t xml:space="preserve"> </w:t>
      </w:r>
      <w:r w:rsidRPr="00382917">
        <w:t>no</w:t>
      </w:r>
      <w:r w:rsidR="00EE4FC3">
        <w:t xml:space="preserve"> </w:t>
      </w:r>
      <w:r w:rsidRPr="00382917">
        <w:t>one</w:t>
      </w:r>
      <w:r w:rsidR="00EE4FC3">
        <w:t xml:space="preserve"> </w:t>
      </w:r>
      <w:r w:rsidRPr="00382917">
        <w:t>of</w:t>
      </w:r>
      <w:r w:rsidR="00EE4FC3">
        <w:t xml:space="preserve"> </w:t>
      </w:r>
      <w:r w:rsidRPr="00382917">
        <w:t>his</w:t>
      </w:r>
      <w:r w:rsidR="00EE4FC3">
        <w:t xml:space="preserve"> </w:t>
      </w:r>
      <w:r w:rsidRPr="00382917">
        <w:t>discovery,</w:t>
      </w:r>
      <w:r w:rsidR="00EE4FC3">
        <w:t xml:space="preserve"> </w:t>
      </w:r>
      <w:r w:rsidRPr="00382917">
        <w:t>even</w:t>
      </w:r>
      <w:r w:rsidR="00EE4FC3">
        <w:t xml:space="preserve"> </w:t>
      </w:r>
      <w:r w:rsidRPr="00382917">
        <w:t>though</w:t>
      </w:r>
      <w:r w:rsidR="00EE4FC3">
        <w:t xml:space="preserve"> </w:t>
      </w:r>
      <w:r w:rsidRPr="00382917">
        <w:t>a</w:t>
      </w:r>
      <w:r w:rsidR="00EE4FC3">
        <w:t xml:space="preserve"> </w:t>
      </w:r>
      <w:r w:rsidRPr="00382917">
        <w:t>large</w:t>
      </w:r>
      <w:r w:rsidR="00EE4FC3">
        <w:t xml:space="preserve"> </w:t>
      </w:r>
      <w:r w:rsidRPr="00382917">
        <w:t>number</w:t>
      </w:r>
      <w:r w:rsidR="00EE4FC3">
        <w:t xml:space="preserve"> </w:t>
      </w:r>
      <w:r w:rsidRPr="00382917">
        <w:t>of</w:t>
      </w:r>
      <w:r w:rsidR="00EE4FC3">
        <w:t xml:space="preserve"> </w:t>
      </w:r>
      <w:r w:rsidRPr="00382917">
        <w:t>the</w:t>
      </w:r>
      <w:r w:rsidR="00EE4FC3">
        <w:t xml:space="preserve"> </w:t>
      </w:r>
      <w:r w:rsidRPr="00382917">
        <w:t>followers</w:t>
      </w:r>
      <w:r w:rsidR="00EE4FC3">
        <w:t xml:space="preserve"> </w:t>
      </w:r>
      <w:r w:rsidRPr="00382917">
        <w:t>of</w:t>
      </w:r>
      <w:r w:rsidR="00EE4FC3">
        <w:t xml:space="preserve"> </w:t>
      </w:r>
      <w:r w:rsidRPr="00382917">
        <w:t>Siyyid</w:t>
      </w:r>
      <w:r w:rsidR="00EE4FC3">
        <w:t xml:space="preserve"> </w:t>
      </w:r>
      <w:r w:rsidRPr="00382917">
        <w:t>Káẓim</w:t>
      </w:r>
      <w:r w:rsidR="00EE4FC3">
        <w:t xml:space="preserve"> </w:t>
      </w:r>
      <w:r w:rsidRPr="00382917">
        <w:t>soon</w:t>
      </w:r>
      <w:r w:rsidR="00EE4FC3">
        <w:t xml:space="preserve"> </w:t>
      </w:r>
      <w:r w:rsidRPr="00382917">
        <w:t>gathered</w:t>
      </w:r>
      <w:r w:rsidR="00EE4FC3">
        <w:t xml:space="preserve"> </w:t>
      </w:r>
      <w:r w:rsidRPr="00382917">
        <w:t>about</w:t>
      </w:r>
      <w:r w:rsidR="00EE4FC3">
        <w:t xml:space="preserve"> </w:t>
      </w:r>
      <w:r w:rsidRPr="00382917">
        <w:t>him.</w:t>
      </w:r>
      <w:r w:rsidR="00EE4FC3">
        <w:t xml:space="preserve">  </w:t>
      </w:r>
      <w:r w:rsidRPr="00382917">
        <w:t>They</w:t>
      </w:r>
      <w:r w:rsidR="00EE4FC3">
        <w:t xml:space="preserve"> </w:t>
      </w:r>
      <w:r w:rsidRPr="00382917">
        <w:t>recognized</w:t>
      </w:r>
      <w:r w:rsidR="00EE4FC3">
        <w:t xml:space="preserve"> </w:t>
      </w:r>
      <w:r w:rsidRPr="00382917">
        <w:t>a</w:t>
      </w:r>
      <w:r w:rsidR="00EE4FC3">
        <w:t xml:space="preserve"> </w:t>
      </w:r>
      <w:r w:rsidRPr="00382917">
        <w:t>new</w:t>
      </w:r>
      <w:r w:rsidR="00EE4FC3">
        <w:t xml:space="preserve"> </w:t>
      </w:r>
      <w:r w:rsidRPr="00382917">
        <w:t>spirit</w:t>
      </w:r>
      <w:r w:rsidR="00EE4FC3">
        <w:t xml:space="preserve"> </w:t>
      </w:r>
      <w:r w:rsidRPr="00382917">
        <w:t>in</w:t>
      </w:r>
      <w:r w:rsidR="00EE4FC3">
        <w:t xml:space="preserve"> </w:t>
      </w:r>
      <w:r w:rsidRPr="00382917">
        <w:t>Mullá</w:t>
      </w:r>
      <w:r w:rsidR="00EE4FC3">
        <w:t xml:space="preserve"> </w:t>
      </w:r>
      <w:proofErr w:type="spellStart"/>
      <w:r w:rsidR="00964C11" w:rsidRPr="00382917">
        <w:t>Ḥusayn</w:t>
      </w:r>
      <w:r w:rsidR="009C713D" w:rsidRPr="00382917">
        <w:t>’</w:t>
      </w:r>
      <w:r w:rsidRPr="00382917">
        <w:t>s</w:t>
      </w:r>
      <w:proofErr w:type="spellEnd"/>
      <w:r w:rsidR="00EE4FC3">
        <w:t xml:space="preserve"> </w:t>
      </w:r>
      <w:r w:rsidRPr="00382917">
        <w:t>speech,</w:t>
      </w:r>
      <w:r w:rsidR="00EE4FC3">
        <w:t xml:space="preserve"> </w:t>
      </w:r>
      <w:r w:rsidRPr="00382917">
        <w:t>and</w:t>
      </w:r>
      <w:r w:rsidR="00EE4FC3">
        <w:t xml:space="preserve"> </w:t>
      </w:r>
      <w:r w:rsidRPr="00382917">
        <w:t>marvelled</w:t>
      </w:r>
      <w:r w:rsidR="00EE4FC3">
        <w:t xml:space="preserve"> </w:t>
      </w:r>
      <w:r w:rsidRPr="00382917">
        <w:t>at</w:t>
      </w:r>
      <w:r w:rsidR="00EE4FC3">
        <w:t xml:space="preserve"> </w:t>
      </w:r>
      <w:r w:rsidRPr="00382917">
        <w:t>it,</w:t>
      </w:r>
      <w:r w:rsidR="00EE4FC3">
        <w:t xml:space="preserve"> </w:t>
      </w:r>
      <w:r w:rsidRPr="00382917">
        <w:t>unaware</w:t>
      </w:r>
      <w:r w:rsidR="00EE4FC3">
        <w:t xml:space="preserve"> </w:t>
      </w:r>
      <w:r w:rsidRPr="00382917">
        <w:t>that</w:t>
      </w:r>
      <w:r w:rsidR="00EE4FC3">
        <w:t xml:space="preserve"> </w:t>
      </w:r>
      <w:r w:rsidRPr="00382917">
        <w:t>the</w:t>
      </w:r>
      <w:r w:rsidR="00EE4FC3">
        <w:t xml:space="preserve"> </w:t>
      </w:r>
      <w:r w:rsidRPr="00382917">
        <w:t>source</w:t>
      </w:r>
      <w:r w:rsidR="00EE4FC3">
        <w:t xml:space="preserve"> </w:t>
      </w:r>
      <w:r w:rsidRPr="00382917">
        <w:t>of</w:t>
      </w:r>
      <w:r w:rsidR="00EE4FC3">
        <w:t xml:space="preserve"> </w:t>
      </w:r>
      <w:r w:rsidRPr="00382917">
        <w:t>his</w:t>
      </w:r>
      <w:r w:rsidR="00EE4FC3">
        <w:t xml:space="preserve"> </w:t>
      </w:r>
      <w:r w:rsidRPr="00382917">
        <w:t>knowledge</w:t>
      </w:r>
      <w:r w:rsidR="00EE4FC3">
        <w:t xml:space="preserve"> </w:t>
      </w:r>
      <w:r w:rsidRPr="00382917">
        <w:t>and</w:t>
      </w:r>
      <w:r w:rsidR="00EE4FC3">
        <w:t xml:space="preserve"> </w:t>
      </w:r>
      <w:r w:rsidRPr="00382917">
        <w:t>power</w:t>
      </w:r>
      <w:r w:rsidR="00EE4FC3">
        <w:t xml:space="preserve"> </w:t>
      </w:r>
      <w:r w:rsidRPr="00382917">
        <w:t>flowed</w:t>
      </w:r>
      <w:r w:rsidR="00EE4FC3">
        <w:t xml:space="preserve"> </w:t>
      </w:r>
      <w:r w:rsidRPr="00382917">
        <w:t>from</w:t>
      </w:r>
      <w:r w:rsidR="00EE4FC3">
        <w:t xml:space="preserve"> </w:t>
      </w:r>
      <w:r w:rsidRPr="00382917">
        <w:t>the</w:t>
      </w:r>
      <w:r w:rsidR="00EE4FC3">
        <w:t xml:space="preserve"> </w:t>
      </w:r>
      <w:r w:rsidRPr="00382917">
        <w:t>Báb</w:t>
      </w:r>
      <w:r w:rsidR="00EE4FC3">
        <w:t xml:space="preserve"> </w:t>
      </w:r>
      <w:proofErr w:type="gramStart"/>
      <w:r w:rsidRPr="00382917">
        <w:t>Whose</w:t>
      </w:r>
      <w:proofErr w:type="gramEnd"/>
      <w:r w:rsidR="00EE4FC3">
        <w:t xml:space="preserve"> </w:t>
      </w:r>
      <w:r w:rsidRPr="00382917">
        <w:t>coming</w:t>
      </w:r>
      <w:r w:rsidR="00EE4FC3">
        <w:t xml:space="preserve"> </w:t>
      </w:r>
      <w:r w:rsidRPr="00382917">
        <w:t>all</w:t>
      </w:r>
      <w:r w:rsidR="00EE4FC3">
        <w:t xml:space="preserve"> </w:t>
      </w:r>
      <w:r w:rsidRPr="00382917">
        <w:t>of</w:t>
      </w:r>
      <w:r w:rsidR="00EE4FC3">
        <w:t xml:space="preserve"> </w:t>
      </w:r>
      <w:r w:rsidRPr="00382917">
        <w:t>them</w:t>
      </w:r>
      <w:r w:rsidR="00EE4FC3">
        <w:t xml:space="preserve"> </w:t>
      </w:r>
      <w:r w:rsidRPr="00382917">
        <w:t>were</w:t>
      </w:r>
      <w:r w:rsidR="00EE4FC3">
        <w:t xml:space="preserve"> </w:t>
      </w:r>
      <w:r w:rsidRPr="00382917">
        <w:t>so</w:t>
      </w:r>
      <w:r w:rsidR="00EE4FC3">
        <w:t xml:space="preserve"> </w:t>
      </w:r>
      <w:r w:rsidRPr="00382917">
        <w:t>eagerly</w:t>
      </w:r>
      <w:r w:rsidR="00EE4FC3">
        <w:t xml:space="preserve"> </w:t>
      </w:r>
      <w:r w:rsidRPr="00382917">
        <w:t>awaiting.</w:t>
      </w:r>
    </w:p>
    <w:p w:rsidR="006D18A4" w:rsidRPr="00382917" w:rsidRDefault="009C713D" w:rsidP="006D18A4">
      <w:pPr>
        <w:pStyle w:val="Text"/>
      </w:pPr>
      <w:r w:rsidRPr="00382917">
        <w:t>“</w:t>
      </w:r>
      <w:r w:rsidR="006D18A4" w:rsidRPr="00382917">
        <w:t>During</w:t>
      </w:r>
      <w:r w:rsidR="00EE4FC3">
        <w:t xml:space="preserve"> </w:t>
      </w:r>
      <w:r w:rsidR="006D18A4" w:rsidRPr="00382917">
        <w:t>those</w:t>
      </w:r>
      <w:r w:rsidR="00EE4FC3">
        <w:t xml:space="preserve"> </w:t>
      </w:r>
      <w:r w:rsidR="006D18A4" w:rsidRPr="00382917">
        <w:t>days,</w:t>
      </w:r>
      <w:r w:rsidRPr="00382917">
        <w:t>”</w:t>
      </w:r>
      <w:r w:rsidR="00EE4FC3">
        <w:t xml:space="preserve"> </w:t>
      </w:r>
      <w:r w:rsidR="006D18A4" w:rsidRPr="00382917">
        <w:t>Mullá</w:t>
      </w:r>
      <w:r w:rsidR="00EE4FC3">
        <w:t xml:space="preserve"> </w:t>
      </w:r>
      <w:r w:rsidR="00964C11" w:rsidRPr="00382917">
        <w:t>Ḥusayn</w:t>
      </w:r>
      <w:r w:rsidR="00EE4FC3">
        <w:t xml:space="preserve"> </w:t>
      </w:r>
      <w:r w:rsidR="006D18A4" w:rsidRPr="00382917">
        <w:t>states,</w:t>
      </w:r>
      <w:r w:rsidR="00EE4FC3">
        <w:t xml:space="preserve"> </w:t>
      </w:r>
      <w:r w:rsidRPr="00382917">
        <w:t>“</w:t>
      </w:r>
      <w:r w:rsidR="006D18A4" w:rsidRPr="00382917">
        <w:t>I</w:t>
      </w:r>
      <w:r w:rsidR="00EE4FC3">
        <w:t xml:space="preserve"> </w:t>
      </w:r>
      <w:r w:rsidR="006D18A4" w:rsidRPr="00382917">
        <w:t>was</w:t>
      </w:r>
      <w:r w:rsidR="00EE4FC3">
        <w:t xml:space="preserve"> </w:t>
      </w:r>
      <w:r w:rsidR="006D18A4" w:rsidRPr="00382917">
        <w:t>summoned</w:t>
      </w:r>
      <w:r w:rsidR="00EE4FC3">
        <w:t xml:space="preserve"> </w:t>
      </w:r>
      <w:r w:rsidR="006D18A4" w:rsidRPr="00382917">
        <w:t>to</w:t>
      </w:r>
      <w:r w:rsidR="00EE4FC3">
        <w:t xml:space="preserve"> </w:t>
      </w:r>
      <w:r w:rsidR="006D18A4" w:rsidRPr="00382917">
        <w:t>visit</w:t>
      </w:r>
      <w:r w:rsidR="00EE4FC3">
        <w:t xml:space="preserve"> </w:t>
      </w:r>
      <w:r w:rsidR="006D18A4" w:rsidRPr="00382917">
        <w:t>the</w:t>
      </w:r>
      <w:r w:rsidR="00EE4FC3">
        <w:t xml:space="preserve"> </w:t>
      </w:r>
      <w:r w:rsidR="006D18A4" w:rsidRPr="00382917">
        <w:t>Báb</w:t>
      </w:r>
      <w:r w:rsidR="00EE4FC3">
        <w:t xml:space="preserve"> </w:t>
      </w:r>
      <w:r w:rsidR="006D18A4" w:rsidRPr="00382917">
        <w:t>on</w:t>
      </w:r>
      <w:r w:rsidR="00EE4FC3">
        <w:t xml:space="preserve"> </w:t>
      </w:r>
      <w:r w:rsidR="006D18A4" w:rsidRPr="00382917">
        <w:t>several</w:t>
      </w:r>
      <w:r w:rsidR="00EE4FC3">
        <w:t xml:space="preserve"> </w:t>
      </w:r>
      <w:r w:rsidR="006D18A4" w:rsidRPr="00382917">
        <w:t>occasions.</w:t>
      </w:r>
      <w:r w:rsidR="00EE4FC3">
        <w:t xml:space="preserve">  </w:t>
      </w:r>
      <w:r w:rsidR="006D18A4" w:rsidRPr="00382917">
        <w:t>Every</w:t>
      </w:r>
      <w:r w:rsidR="00EE4FC3">
        <w:t xml:space="preserve"> </w:t>
      </w:r>
      <w:r w:rsidR="006D18A4" w:rsidRPr="00382917">
        <w:t>time</w:t>
      </w:r>
      <w:r w:rsidR="00EE4FC3">
        <w:t xml:space="preserve"> </w:t>
      </w:r>
      <w:r w:rsidR="006D18A4" w:rsidRPr="00382917">
        <w:t>I</w:t>
      </w:r>
      <w:r w:rsidR="00EE4FC3">
        <w:t xml:space="preserve"> </w:t>
      </w:r>
      <w:r w:rsidR="006D18A4" w:rsidRPr="00382917">
        <w:t>visited</w:t>
      </w:r>
      <w:r w:rsidR="00EE4FC3">
        <w:t xml:space="preserve"> </w:t>
      </w:r>
      <w:r w:rsidR="006D18A4" w:rsidRPr="00382917">
        <w:t>Him,</w:t>
      </w:r>
      <w:r w:rsidR="00EE4FC3">
        <w:t xml:space="preserve"> </w:t>
      </w:r>
      <w:r w:rsidR="006D18A4" w:rsidRPr="00382917">
        <w:t>I</w:t>
      </w:r>
      <w:r w:rsidR="00EE4FC3">
        <w:t xml:space="preserve"> </w:t>
      </w:r>
      <w:r w:rsidR="006D18A4" w:rsidRPr="00382917">
        <w:t>spent</w:t>
      </w:r>
      <w:r w:rsidR="00EE4FC3">
        <w:t xml:space="preserve"> </w:t>
      </w:r>
      <w:r w:rsidR="006D18A4" w:rsidRPr="00382917">
        <w:t>the</w:t>
      </w:r>
      <w:r w:rsidR="00EE4FC3">
        <w:t xml:space="preserve"> </w:t>
      </w:r>
      <w:r w:rsidR="006D18A4" w:rsidRPr="00382917">
        <w:t>entire</w:t>
      </w:r>
      <w:r w:rsidR="00EE4FC3">
        <w:t xml:space="preserve"> </w:t>
      </w:r>
      <w:r w:rsidR="006D18A4" w:rsidRPr="00382917">
        <w:t>night</w:t>
      </w:r>
      <w:r w:rsidR="00EE4FC3">
        <w:t xml:space="preserve"> </w:t>
      </w:r>
      <w:r w:rsidR="006D18A4" w:rsidRPr="00382917">
        <w:t>in</w:t>
      </w:r>
      <w:r w:rsidR="00EE4FC3">
        <w:t xml:space="preserve"> </w:t>
      </w:r>
      <w:r w:rsidR="006D18A4" w:rsidRPr="00382917">
        <w:t>His</w:t>
      </w:r>
      <w:r w:rsidR="00EE4FC3">
        <w:t xml:space="preserve"> </w:t>
      </w:r>
      <w:r w:rsidR="006D18A4" w:rsidRPr="00382917">
        <w:t>presence.</w:t>
      </w:r>
      <w:r w:rsidR="00EE4FC3">
        <w:t xml:space="preserve">  </w:t>
      </w:r>
      <w:r w:rsidR="006D18A4" w:rsidRPr="00382917">
        <w:t>Wakeful</w:t>
      </w:r>
      <w:r w:rsidR="00EE4FC3">
        <w:t xml:space="preserve"> </w:t>
      </w:r>
      <w:r w:rsidR="006D18A4" w:rsidRPr="00382917">
        <w:t>until</w:t>
      </w:r>
      <w:r w:rsidR="00EE4FC3">
        <w:t xml:space="preserve"> </w:t>
      </w:r>
      <w:r w:rsidR="006D18A4" w:rsidRPr="00382917">
        <w:t>dawn,</w:t>
      </w:r>
      <w:r w:rsidR="00EE4FC3">
        <w:t xml:space="preserve"> </w:t>
      </w:r>
      <w:r w:rsidR="006D18A4" w:rsidRPr="00382917">
        <w:t>I</w:t>
      </w:r>
      <w:r w:rsidR="00EE4FC3">
        <w:t xml:space="preserve"> </w:t>
      </w:r>
      <w:r w:rsidR="006D18A4" w:rsidRPr="00382917">
        <w:t>sat</w:t>
      </w:r>
      <w:r w:rsidR="00EE4FC3">
        <w:t xml:space="preserve"> </w:t>
      </w:r>
      <w:r w:rsidR="006D18A4" w:rsidRPr="00382917">
        <w:t>at</w:t>
      </w:r>
      <w:r w:rsidR="00EE4FC3">
        <w:t xml:space="preserve"> </w:t>
      </w:r>
      <w:r w:rsidR="006D18A4" w:rsidRPr="00382917">
        <w:t>His</w:t>
      </w:r>
      <w:r w:rsidR="00EE4FC3">
        <w:t xml:space="preserve"> </w:t>
      </w:r>
      <w:r w:rsidR="006D18A4" w:rsidRPr="00382917">
        <w:t>feet</w:t>
      </w:r>
      <w:r w:rsidR="00EE4FC3">
        <w:t xml:space="preserve"> </w:t>
      </w:r>
      <w:r w:rsidR="006D18A4" w:rsidRPr="00382917">
        <w:t>fascinated</w:t>
      </w:r>
      <w:r w:rsidR="00EE4FC3">
        <w:t xml:space="preserve"> </w:t>
      </w:r>
      <w:r w:rsidR="006D18A4" w:rsidRPr="00382917">
        <w:t>by</w:t>
      </w:r>
      <w:r w:rsidR="00EE4FC3">
        <w:t xml:space="preserve"> </w:t>
      </w:r>
      <w:r w:rsidR="006D18A4" w:rsidRPr="00382917">
        <w:t>the</w:t>
      </w:r>
      <w:r w:rsidR="00EE4FC3">
        <w:t xml:space="preserve"> </w:t>
      </w:r>
      <w:r w:rsidR="006D18A4" w:rsidRPr="00382917">
        <w:t>charm</w:t>
      </w:r>
      <w:r w:rsidR="00EE4FC3">
        <w:t xml:space="preserve"> </w:t>
      </w:r>
      <w:r w:rsidR="006D18A4" w:rsidRPr="00382917">
        <w:t>of</w:t>
      </w:r>
      <w:r w:rsidR="00EE4FC3">
        <w:t xml:space="preserve"> </w:t>
      </w:r>
      <w:r w:rsidR="006D18A4" w:rsidRPr="00382917">
        <w:t>His</w:t>
      </w:r>
      <w:r w:rsidR="00EE4FC3">
        <w:t xml:space="preserve"> </w:t>
      </w:r>
      <w:r w:rsidR="006D18A4" w:rsidRPr="00382917">
        <w:t>utterance,</w:t>
      </w:r>
      <w:r w:rsidR="00EE4FC3">
        <w:t xml:space="preserve"> </w:t>
      </w:r>
      <w:r w:rsidR="006D18A4" w:rsidRPr="00382917">
        <w:t>and</w:t>
      </w:r>
      <w:r w:rsidR="00EE4FC3">
        <w:t xml:space="preserve"> </w:t>
      </w:r>
      <w:r w:rsidR="006D18A4" w:rsidRPr="00382917">
        <w:t>oblivious</w:t>
      </w:r>
      <w:r w:rsidR="00EE4FC3">
        <w:t xml:space="preserve"> </w:t>
      </w:r>
      <w:r w:rsidR="006D18A4" w:rsidRPr="00382917">
        <w:t>of</w:t>
      </w:r>
      <w:r w:rsidR="00EE4FC3">
        <w:t xml:space="preserve"> </w:t>
      </w:r>
      <w:r w:rsidR="006D18A4" w:rsidRPr="00382917">
        <w:t>the</w:t>
      </w:r>
      <w:r w:rsidR="00EE4FC3">
        <w:t xml:space="preserve"> </w:t>
      </w:r>
      <w:r w:rsidR="006D18A4" w:rsidRPr="00382917">
        <w:t>world</w:t>
      </w:r>
      <w:r w:rsidR="00EE4FC3">
        <w:t xml:space="preserve"> </w:t>
      </w:r>
      <w:r w:rsidR="006D18A4" w:rsidRPr="00382917">
        <w:t>and</w:t>
      </w:r>
      <w:r w:rsidR="00EE4FC3">
        <w:t xml:space="preserve"> </w:t>
      </w:r>
      <w:r w:rsidR="006D18A4" w:rsidRPr="00382917">
        <w:t>its</w:t>
      </w:r>
      <w:r w:rsidR="00EE4FC3">
        <w:t xml:space="preserve"> </w:t>
      </w:r>
      <w:r w:rsidR="006D18A4" w:rsidRPr="00382917">
        <w:t>cares.</w:t>
      </w:r>
      <w:r w:rsidR="00EE4FC3">
        <w:t xml:space="preserve">  </w:t>
      </w:r>
      <w:r w:rsidR="006D18A4" w:rsidRPr="00382917">
        <w:t>How</w:t>
      </w:r>
      <w:r w:rsidR="00EE4FC3">
        <w:t xml:space="preserve"> </w:t>
      </w:r>
      <w:r w:rsidR="006D18A4" w:rsidRPr="00382917">
        <w:t>rapidly</w:t>
      </w:r>
      <w:r w:rsidR="00EE4FC3">
        <w:t xml:space="preserve"> </w:t>
      </w:r>
      <w:r w:rsidR="006D18A4" w:rsidRPr="00382917">
        <w:t>those</w:t>
      </w:r>
      <w:r w:rsidR="00EE4FC3">
        <w:t xml:space="preserve"> </w:t>
      </w:r>
      <w:r w:rsidR="006D18A4" w:rsidRPr="00382917">
        <w:t>precious</w:t>
      </w:r>
      <w:r w:rsidR="00EE4FC3">
        <w:t xml:space="preserve"> </w:t>
      </w:r>
      <w:r w:rsidR="006D18A4" w:rsidRPr="00382917">
        <w:t>hours</w:t>
      </w:r>
      <w:r w:rsidR="00EE4FC3">
        <w:t xml:space="preserve"> </w:t>
      </w:r>
      <w:r w:rsidR="006D18A4" w:rsidRPr="00382917">
        <w:t>flew</w:t>
      </w:r>
      <w:r w:rsidR="00EE4FC3">
        <w:t xml:space="preserve"> </w:t>
      </w:r>
      <w:r w:rsidR="006D18A4" w:rsidRPr="00382917">
        <w:t>by!</w:t>
      </w:r>
      <w:r w:rsidR="00EE4FC3">
        <w:t xml:space="preserve">  </w:t>
      </w:r>
      <w:proofErr w:type="gramStart"/>
      <w:r w:rsidR="006D18A4" w:rsidRPr="00382917">
        <w:t>At</w:t>
      </w:r>
      <w:r w:rsidR="00EE4FC3">
        <w:t xml:space="preserve"> </w:t>
      </w:r>
      <w:r w:rsidR="006D18A4" w:rsidRPr="00382917">
        <w:t>each</w:t>
      </w:r>
      <w:r w:rsidR="00EE4FC3">
        <w:t xml:space="preserve"> </w:t>
      </w:r>
      <w:r w:rsidR="006D18A4" w:rsidRPr="00382917">
        <w:t>daybreak</w:t>
      </w:r>
      <w:proofErr w:type="gramEnd"/>
      <w:r w:rsidR="00EE4FC3">
        <w:t xml:space="preserve"> </w:t>
      </w:r>
      <w:r w:rsidR="006D18A4" w:rsidRPr="00382917">
        <w:t>I</w:t>
      </w:r>
      <w:r w:rsidR="00EE4FC3">
        <w:t xml:space="preserve"> </w:t>
      </w:r>
      <w:r w:rsidR="006D18A4" w:rsidRPr="00382917">
        <w:t>would</w:t>
      </w:r>
      <w:r w:rsidR="00EE4FC3">
        <w:t xml:space="preserve"> </w:t>
      </w:r>
      <w:r w:rsidR="006D18A4" w:rsidRPr="00382917">
        <w:t>reluctantly</w:t>
      </w:r>
      <w:r w:rsidR="00EE4FC3">
        <w:t xml:space="preserve"> </w:t>
      </w:r>
      <w:r w:rsidR="006D18A4" w:rsidRPr="00382917">
        <w:t>withdraw</w:t>
      </w:r>
      <w:r w:rsidR="00EE4FC3">
        <w:t xml:space="preserve"> </w:t>
      </w:r>
      <w:r w:rsidR="006D18A4" w:rsidRPr="00382917">
        <w:t>from</w:t>
      </w:r>
      <w:r w:rsidR="00EE4FC3">
        <w:t xml:space="preserve"> </w:t>
      </w:r>
      <w:r w:rsidR="006D18A4" w:rsidRPr="00382917">
        <w:t>His</w:t>
      </w:r>
      <w:r w:rsidR="00EE4FC3">
        <w:t xml:space="preserve"> </w:t>
      </w:r>
      <w:r w:rsidR="006D18A4" w:rsidRPr="00382917">
        <w:t>presence.</w:t>
      </w:r>
      <w:r w:rsidR="00EE4FC3">
        <w:t xml:space="preserve">  </w:t>
      </w:r>
      <w:r w:rsidR="006D18A4" w:rsidRPr="00382917">
        <w:t>How</w:t>
      </w:r>
      <w:r w:rsidR="00EE4FC3">
        <w:t xml:space="preserve"> </w:t>
      </w:r>
      <w:r w:rsidR="006D18A4" w:rsidRPr="00382917">
        <w:t>eagerly</w:t>
      </w:r>
      <w:r w:rsidR="00EE4FC3">
        <w:t xml:space="preserve"> </w:t>
      </w:r>
      <w:r w:rsidR="006D18A4" w:rsidRPr="00382917">
        <w:t>in</w:t>
      </w:r>
      <w:r w:rsidR="00EE4FC3">
        <w:t xml:space="preserve"> </w:t>
      </w:r>
      <w:r w:rsidR="006D18A4" w:rsidRPr="00382917">
        <w:t>those</w:t>
      </w:r>
      <w:r w:rsidR="00EE4FC3">
        <w:t xml:space="preserve"> </w:t>
      </w:r>
      <w:r w:rsidR="006D18A4" w:rsidRPr="00382917">
        <w:t>days</w:t>
      </w:r>
      <w:r w:rsidR="00EE4FC3">
        <w:t xml:space="preserve"> </w:t>
      </w:r>
      <w:r w:rsidR="006D18A4" w:rsidRPr="00382917">
        <w:t>I</w:t>
      </w:r>
      <w:r w:rsidR="00EE4FC3">
        <w:t xml:space="preserve"> </w:t>
      </w:r>
      <w:r w:rsidR="006D18A4" w:rsidRPr="00382917">
        <w:t>looked</w:t>
      </w:r>
      <w:r w:rsidR="00EE4FC3">
        <w:t xml:space="preserve"> </w:t>
      </w:r>
      <w:r w:rsidR="006D18A4" w:rsidRPr="00382917">
        <w:t>forward</w:t>
      </w:r>
      <w:r w:rsidR="00EE4FC3">
        <w:t xml:space="preserve"> </w:t>
      </w:r>
      <w:r w:rsidR="006D18A4" w:rsidRPr="00382917">
        <w:t>to</w:t>
      </w:r>
      <w:r w:rsidR="00EE4FC3">
        <w:t xml:space="preserve"> </w:t>
      </w:r>
      <w:r w:rsidR="006D18A4" w:rsidRPr="00382917">
        <w:t>the</w:t>
      </w:r>
      <w:r w:rsidR="00EE4FC3">
        <w:t xml:space="preserve"> </w:t>
      </w:r>
      <w:r w:rsidR="006D18A4" w:rsidRPr="00382917">
        <w:t>approach</w:t>
      </w:r>
      <w:r w:rsidR="00EE4FC3">
        <w:t xml:space="preserve"> </w:t>
      </w:r>
      <w:r w:rsidR="006D18A4" w:rsidRPr="00382917">
        <w:t>of</w:t>
      </w:r>
      <w:r w:rsidR="00EE4FC3">
        <w:t xml:space="preserve"> </w:t>
      </w:r>
      <w:r w:rsidR="006D18A4" w:rsidRPr="00382917">
        <w:t>the</w:t>
      </w:r>
      <w:r w:rsidR="00EE4FC3">
        <w:t xml:space="preserve"> </w:t>
      </w:r>
      <w:r w:rsidR="006D18A4" w:rsidRPr="00382917">
        <w:t>evening</w:t>
      </w:r>
      <w:r w:rsidR="00EE4FC3">
        <w:t xml:space="preserve"> </w:t>
      </w:r>
      <w:r w:rsidR="006D18A4" w:rsidRPr="00382917">
        <w:t>hour.</w:t>
      </w:r>
      <w:r w:rsidR="00EE4FC3">
        <w:t xml:space="preserve">  </w:t>
      </w:r>
      <w:r w:rsidR="006D18A4" w:rsidRPr="00382917">
        <w:t>With</w:t>
      </w:r>
      <w:r w:rsidR="00EE4FC3">
        <w:t xml:space="preserve"> </w:t>
      </w:r>
      <w:r w:rsidR="006D18A4" w:rsidRPr="00382917">
        <w:t>what</w:t>
      </w:r>
      <w:r w:rsidR="00EE4FC3">
        <w:t xml:space="preserve"> </w:t>
      </w:r>
      <w:r w:rsidR="006D18A4" w:rsidRPr="00382917">
        <w:t>feelings</w:t>
      </w:r>
      <w:r w:rsidR="00EE4FC3">
        <w:t xml:space="preserve"> </w:t>
      </w:r>
      <w:r w:rsidR="006D18A4" w:rsidRPr="00382917">
        <w:t>of</w:t>
      </w:r>
      <w:r w:rsidR="00EE4FC3">
        <w:t xml:space="preserve"> </w:t>
      </w:r>
      <w:r w:rsidR="006D18A4" w:rsidRPr="00382917">
        <w:t>sadness</w:t>
      </w:r>
      <w:r w:rsidR="00EE4FC3">
        <w:t xml:space="preserve"> </w:t>
      </w:r>
      <w:r w:rsidR="006D18A4" w:rsidRPr="00382917">
        <w:t>and</w:t>
      </w:r>
      <w:r w:rsidR="00EE4FC3">
        <w:t xml:space="preserve"> </w:t>
      </w:r>
      <w:r w:rsidR="006D18A4" w:rsidRPr="00382917">
        <w:t>regret</w:t>
      </w:r>
      <w:r w:rsidR="00EE4FC3">
        <w:t xml:space="preserve"> </w:t>
      </w:r>
      <w:r w:rsidR="006D18A4" w:rsidRPr="00382917">
        <w:t>I</w:t>
      </w:r>
      <w:r w:rsidR="00EE4FC3">
        <w:t xml:space="preserve"> </w:t>
      </w:r>
      <w:r w:rsidR="006D18A4" w:rsidRPr="00382917">
        <w:t>beheld</w:t>
      </w:r>
      <w:r w:rsidR="00EE4FC3">
        <w:t xml:space="preserve"> </w:t>
      </w:r>
      <w:r w:rsidR="006D18A4" w:rsidRPr="00382917">
        <w:t>the</w:t>
      </w:r>
      <w:r w:rsidR="00EE4FC3">
        <w:t xml:space="preserve"> </w:t>
      </w:r>
      <w:r w:rsidR="006D18A4" w:rsidRPr="00382917">
        <w:t>dawning</w:t>
      </w:r>
      <w:r w:rsidR="00EE4FC3">
        <w:t xml:space="preserve"> </w:t>
      </w:r>
      <w:r w:rsidR="006D18A4" w:rsidRPr="00382917">
        <w:t>of</w:t>
      </w:r>
      <w:r w:rsidR="00EE4FC3">
        <w:t xml:space="preserve"> </w:t>
      </w:r>
      <w:r w:rsidR="006D18A4" w:rsidRPr="00382917">
        <w:t>day!</w:t>
      </w:r>
    </w:p>
    <w:p w:rsidR="006D18A4" w:rsidRPr="00382917" w:rsidRDefault="009C713D" w:rsidP="00F01842">
      <w:pPr>
        <w:pStyle w:val="Text"/>
      </w:pPr>
      <w:r w:rsidRPr="00382917">
        <w:t>“</w:t>
      </w:r>
      <w:r w:rsidR="006D18A4" w:rsidRPr="00382917">
        <w:t>In</w:t>
      </w:r>
      <w:r w:rsidR="00EE4FC3">
        <w:t xml:space="preserve"> </w:t>
      </w:r>
      <w:r w:rsidR="006D18A4" w:rsidRPr="00382917">
        <w:t>the</w:t>
      </w:r>
      <w:r w:rsidR="00EE4FC3">
        <w:t xml:space="preserve"> </w:t>
      </w:r>
      <w:r w:rsidR="006D18A4" w:rsidRPr="00382917">
        <w:t>course</w:t>
      </w:r>
      <w:r w:rsidR="00EE4FC3">
        <w:t xml:space="preserve"> </w:t>
      </w:r>
      <w:r w:rsidR="006D18A4" w:rsidRPr="00382917">
        <w:t>of</w:t>
      </w:r>
      <w:r w:rsidR="00EE4FC3">
        <w:t xml:space="preserve"> </w:t>
      </w:r>
      <w:r w:rsidR="006D18A4" w:rsidRPr="00382917">
        <w:t>one</w:t>
      </w:r>
      <w:r w:rsidR="00EE4FC3">
        <w:t xml:space="preserve"> </w:t>
      </w:r>
      <w:r w:rsidR="006D18A4" w:rsidRPr="00382917">
        <w:t>of</w:t>
      </w:r>
      <w:r w:rsidR="00EE4FC3">
        <w:t xml:space="preserve"> </w:t>
      </w:r>
      <w:r w:rsidR="006D18A4" w:rsidRPr="00382917">
        <w:t>these</w:t>
      </w:r>
      <w:r w:rsidR="00EE4FC3">
        <w:t xml:space="preserve"> </w:t>
      </w:r>
      <w:r w:rsidR="006D18A4" w:rsidRPr="00382917">
        <w:t>nightly</w:t>
      </w:r>
      <w:r w:rsidR="00EE4FC3">
        <w:t xml:space="preserve"> </w:t>
      </w:r>
      <w:r w:rsidR="006D18A4" w:rsidRPr="00382917">
        <w:t>visits,</w:t>
      </w:r>
      <w:r w:rsidR="00EE4FC3">
        <w:t xml:space="preserve"> </w:t>
      </w:r>
      <w:r w:rsidR="006D18A4" w:rsidRPr="00382917">
        <w:t>the</w:t>
      </w:r>
      <w:r w:rsidR="00EE4FC3">
        <w:t xml:space="preserve"> </w:t>
      </w:r>
      <w:r w:rsidR="006D18A4" w:rsidRPr="00382917">
        <w:t>Báb</w:t>
      </w:r>
      <w:r w:rsidR="00EE4FC3">
        <w:t xml:space="preserve"> </w:t>
      </w:r>
      <w:r w:rsidR="006D18A4" w:rsidRPr="00382917">
        <w:t>addressed</w:t>
      </w:r>
      <w:r w:rsidR="00EE4FC3">
        <w:t xml:space="preserve"> </w:t>
      </w:r>
      <w:r w:rsidR="006D18A4" w:rsidRPr="00382917">
        <w:t>me</w:t>
      </w:r>
      <w:r w:rsidR="00EE4FC3">
        <w:t xml:space="preserve"> </w:t>
      </w:r>
      <w:r w:rsidR="006D18A4" w:rsidRPr="00382917">
        <w:t>in</w:t>
      </w:r>
      <w:r w:rsidR="00EE4FC3">
        <w:t xml:space="preserve"> </w:t>
      </w:r>
      <w:r w:rsidR="006D18A4" w:rsidRPr="00382917">
        <w:t>these</w:t>
      </w:r>
      <w:r w:rsidR="00EE4FC3">
        <w:t xml:space="preserve"> </w:t>
      </w:r>
      <w:r w:rsidR="006D18A4" w:rsidRPr="00382917">
        <w:t>words:</w:t>
      </w:r>
      <w:r w:rsidR="00EE4FC3">
        <w:t xml:space="preserve">  </w:t>
      </w:r>
      <w:r w:rsidRPr="00382917">
        <w:t>‘</w:t>
      </w:r>
      <w:r w:rsidR="006D18A4" w:rsidRPr="00382917">
        <w:t>Tomorrow</w:t>
      </w:r>
      <w:r w:rsidR="00EE4FC3">
        <w:t xml:space="preserve"> </w:t>
      </w:r>
      <w:r w:rsidR="006D18A4" w:rsidRPr="00382917">
        <w:t>thirteen</w:t>
      </w:r>
      <w:r w:rsidR="00EE4FC3">
        <w:t xml:space="preserve"> </w:t>
      </w:r>
      <w:r w:rsidR="006D18A4" w:rsidRPr="00382917">
        <w:t>of</w:t>
      </w:r>
      <w:r w:rsidR="00EE4FC3">
        <w:t xml:space="preserve"> </w:t>
      </w:r>
      <w:r w:rsidR="006D18A4" w:rsidRPr="00382917">
        <w:t>your</w:t>
      </w:r>
      <w:r w:rsidR="00EE4FC3">
        <w:t xml:space="preserve"> </w:t>
      </w:r>
      <w:r w:rsidR="006D18A4" w:rsidRPr="00382917">
        <w:t>companions</w:t>
      </w:r>
      <w:r w:rsidR="00EE4FC3">
        <w:t xml:space="preserve"> </w:t>
      </w:r>
      <w:r w:rsidR="006D18A4" w:rsidRPr="00382917">
        <w:t>will</w:t>
      </w:r>
      <w:r w:rsidR="00EE4FC3">
        <w:t xml:space="preserve"> </w:t>
      </w:r>
      <w:r w:rsidR="006D18A4" w:rsidRPr="00382917">
        <w:t>arrive.</w:t>
      </w:r>
      <w:r w:rsidR="00EE4FC3">
        <w:t xml:space="preserve">  </w:t>
      </w:r>
      <w:r w:rsidR="006D18A4" w:rsidRPr="00382917">
        <w:t>To</w:t>
      </w:r>
      <w:r w:rsidR="00EE4FC3">
        <w:t xml:space="preserve"> </w:t>
      </w:r>
      <w:r w:rsidR="006D18A4" w:rsidRPr="00382917">
        <w:t>each</w:t>
      </w:r>
      <w:r w:rsidR="00EE4FC3">
        <w:t xml:space="preserve"> </w:t>
      </w:r>
      <w:r w:rsidR="006D18A4" w:rsidRPr="00382917">
        <w:t>of</w:t>
      </w:r>
      <w:r w:rsidR="00EE4FC3">
        <w:t xml:space="preserve"> </w:t>
      </w:r>
      <w:r w:rsidR="006D18A4" w:rsidRPr="00382917">
        <w:t>them</w:t>
      </w:r>
      <w:r w:rsidR="00EE4FC3">
        <w:t xml:space="preserve"> </w:t>
      </w:r>
      <w:r w:rsidR="006D18A4" w:rsidRPr="00382917">
        <w:t>extend</w:t>
      </w:r>
      <w:r w:rsidR="00EE4FC3">
        <w:t xml:space="preserve"> </w:t>
      </w:r>
      <w:r w:rsidR="006D18A4" w:rsidRPr="00382917">
        <w:t>the</w:t>
      </w:r>
      <w:r w:rsidR="00EE4FC3">
        <w:t xml:space="preserve"> </w:t>
      </w:r>
      <w:r w:rsidR="006D18A4" w:rsidRPr="00382917">
        <w:t>utmost</w:t>
      </w:r>
      <w:r w:rsidR="00EE4FC3">
        <w:t xml:space="preserve"> </w:t>
      </w:r>
      <w:r w:rsidR="006D18A4" w:rsidRPr="00382917">
        <w:t>loving</w:t>
      </w:r>
      <w:r w:rsidR="00EE4FC3">
        <w:t xml:space="preserve"> </w:t>
      </w:r>
      <w:r w:rsidR="006D18A4" w:rsidRPr="00382917">
        <w:t>kindness.</w:t>
      </w:r>
      <w:r w:rsidR="00EE4FC3">
        <w:t xml:space="preserve">  </w:t>
      </w:r>
      <w:r w:rsidR="006D18A4" w:rsidRPr="00382917">
        <w:t>Pray</w:t>
      </w:r>
      <w:r w:rsidR="00EE4FC3">
        <w:t xml:space="preserve"> </w:t>
      </w:r>
      <w:r w:rsidR="006D18A4" w:rsidRPr="00382917">
        <w:t>to</w:t>
      </w:r>
      <w:r w:rsidR="00EE4FC3">
        <w:t xml:space="preserve"> </w:t>
      </w:r>
      <w:r w:rsidR="006D18A4" w:rsidRPr="00382917">
        <w:t>God</w:t>
      </w:r>
      <w:r w:rsidR="00EE4FC3">
        <w:t xml:space="preserve"> </w:t>
      </w:r>
      <w:r w:rsidR="006D18A4" w:rsidRPr="00382917">
        <w:t>that</w:t>
      </w:r>
      <w:r w:rsidR="00EE4FC3">
        <w:t xml:space="preserve"> </w:t>
      </w:r>
      <w:r w:rsidR="006D18A4" w:rsidRPr="00382917">
        <w:t>He</w:t>
      </w:r>
      <w:r w:rsidR="00EE4FC3">
        <w:t xml:space="preserve"> </w:t>
      </w:r>
      <w:r w:rsidR="006D18A4" w:rsidRPr="00382917">
        <w:t>may</w:t>
      </w:r>
      <w:r w:rsidR="00EE4FC3">
        <w:t xml:space="preserve"> </w:t>
      </w:r>
      <w:r w:rsidR="006D18A4" w:rsidRPr="00382917">
        <w:t>graciously</w:t>
      </w:r>
      <w:r w:rsidR="00EE4FC3">
        <w:t xml:space="preserve"> </w:t>
      </w:r>
      <w:r w:rsidR="006D18A4" w:rsidRPr="00382917">
        <w:t>enable</w:t>
      </w:r>
      <w:r w:rsidR="00EE4FC3">
        <w:t xml:space="preserve"> </w:t>
      </w:r>
      <w:r w:rsidR="006D18A4" w:rsidRPr="00382917">
        <w:t>them</w:t>
      </w:r>
      <w:r w:rsidR="00EE4FC3">
        <w:t xml:space="preserve"> </w:t>
      </w:r>
      <w:r w:rsidR="006D18A4" w:rsidRPr="00382917">
        <w:t>to</w:t>
      </w:r>
      <w:r w:rsidR="00EE4FC3">
        <w:t xml:space="preserve"> </w:t>
      </w:r>
      <w:r w:rsidR="006D18A4" w:rsidRPr="00382917">
        <w:t>walk</w:t>
      </w:r>
      <w:r w:rsidR="00EE4FC3">
        <w:t xml:space="preserve"> </w:t>
      </w:r>
      <w:r w:rsidR="006D18A4" w:rsidRPr="00382917">
        <w:t>securely</w:t>
      </w:r>
      <w:r w:rsidR="00EE4FC3">
        <w:t xml:space="preserve"> </w:t>
      </w:r>
      <w:r w:rsidR="006D18A4" w:rsidRPr="00382917">
        <w:t>in</w:t>
      </w:r>
      <w:r w:rsidR="00EE4FC3">
        <w:t xml:space="preserve"> </w:t>
      </w:r>
      <w:r w:rsidR="006D18A4" w:rsidRPr="00382917">
        <w:t>that</w:t>
      </w:r>
      <w:r w:rsidR="00EE4FC3">
        <w:t xml:space="preserve"> </w:t>
      </w:r>
      <w:r w:rsidR="006D18A4" w:rsidRPr="00382917">
        <w:t>path</w:t>
      </w:r>
      <w:r w:rsidR="00EE4FC3">
        <w:t xml:space="preserve"> </w:t>
      </w:r>
      <w:r w:rsidR="006D18A4" w:rsidRPr="00382917">
        <w:t>which</w:t>
      </w:r>
      <w:r w:rsidR="00EE4FC3">
        <w:t xml:space="preserve"> </w:t>
      </w:r>
      <w:r w:rsidR="006D18A4" w:rsidRPr="00382917">
        <w:t>is</w:t>
      </w:r>
      <w:r w:rsidR="00EE4FC3">
        <w:t xml:space="preserve"> </w:t>
      </w:r>
      <w:r w:rsidR="006D18A4" w:rsidRPr="00382917">
        <w:t>finer</w:t>
      </w:r>
      <w:r w:rsidR="00EE4FC3">
        <w:t xml:space="preserve"> </w:t>
      </w:r>
      <w:r w:rsidR="006D18A4" w:rsidRPr="00382917">
        <w:t>than</w:t>
      </w:r>
      <w:r w:rsidR="00EE4FC3">
        <w:t xml:space="preserve"> </w:t>
      </w:r>
      <w:r w:rsidR="006D18A4" w:rsidRPr="00382917">
        <w:t>a</w:t>
      </w:r>
      <w:r w:rsidR="00EE4FC3">
        <w:t xml:space="preserve"> </w:t>
      </w:r>
      <w:r w:rsidR="006D18A4" w:rsidRPr="00382917">
        <w:t>hair</w:t>
      </w:r>
      <w:r w:rsidR="00EE4FC3">
        <w:t xml:space="preserve"> </w:t>
      </w:r>
      <w:r w:rsidR="006D18A4" w:rsidRPr="00382917">
        <w:t>and</w:t>
      </w:r>
      <w:r w:rsidR="00EE4FC3">
        <w:t xml:space="preserve"> </w:t>
      </w:r>
      <w:r w:rsidR="006D18A4" w:rsidRPr="00382917">
        <w:t>keener</w:t>
      </w:r>
      <w:r w:rsidR="00EE4FC3">
        <w:t xml:space="preserve"> </w:t>
      </w:r>
      <w:r w:rsidR="006D18A4" w:rsidRPr="00382917">
        <w:t>than</w:t>
      </w:r>
      <w:r w:rsidR="00EE4FC3">
        <w:t xml:space="preserve"> </w:t>
      </w:r>
      <w:r w:rsidR="006D18A4" w:rsidRPr="00382917">
        <w:t>a</w:t>
      </w:r>
      <w:r w:rsidR="00EE4FC3">
        <w:t xml:space="preserve"> </w:t>
      </w:r>
      <w:r w:rsidR="006D18A4" w:rsidRPr="00382917">
        <w:t>sword.</w:t>
      </w:r>
      <w:r w:rsidRPr="00382917">
        <w:t>’”</w:t>
      </w:r>
      <w:r w:rsidR="00F01842">
        <w:rPr>
          <w:rStyle w:val="FootnoteReference"/>
        </w:rPr>
        <w:footnoteReference w:id="15"/>
      </w:r>
    </w:p>
    <w:p w:rsidR="006D18A4" w:rsidRPr="00382917" w:rsidRDefault="006D18A4" w:rsidP="006D18A4">
      <w:pPr>
        <w:pStyle w:val="Text"/>
      </w:pPr>
      <w:r w:rsidRPr="00382917">
        <w:t>Some</w:t>
      </w:r>
      <w:r w:rsidR="00EE4FC3">
        <w:t xml:space="preserve"> </w:t>
      </w:r>
      <w:r w:rsidRPr="00382917">
        <w:t>of</w:t>
      </w:r>
      <w:r w:rsidR="00EE4FC3">
        <w:t xml:space="preserve"> </w:t>
      </w:r>
      <w:r w:rsidRPr="00382917">
        <w:t>these</w:t>
      </w:r>
      <w:r w:rsidR="00EE4FC3">
        <w:t xml:space="preserve"> </w:t>
      </w:r>
      <w:r w:rsidRPr="00382917">
        <w:t>companions,</w:t>
      </w:r>
      <w:r w:rsidR="00EE4FC3">
        <w:t xml:space="preserve"> </w:t>
      </w:r>
      <w:r w:rsidRPr="00382917">
        <w:t>the</w:t>
      </w:r>
      <w:r w:rsidR="00EE4FC3">
        <w:t xml:space="preserve"> </w:t>
      </w:r>
      <w:r w:rsidRPr="00382917">
        <w:t>Báb</w:t>
      </w:r>
      <w:r w:rsidR="00EE4FC3">
        <w:t xml:space="preserve"> </w:t>
      </w:r>
      <w:r w:rsidRPr="00382917">
        <w:t>told</w:t>
      </w:r>
      <w:r w:rsidR="00EE4FC3">
        <w:t xml:space="preserve"> </w:t>
      </w:r>
      <w:r w:rsidRPr="00382917">
        <w:t>Mullá</w:t>
      </w:r>
      <w:r w:rsidR="00EE4FC3">
        <w:t xml:space="preserve"> </w:t>
      </w:r>
      <w:r w:rsidR="00964C11" w:rsidRPr="00382917">
        <w:t>Ḥusayn</w:t>
      </w:r>
      <w:r w:rsidRPr="00382917">
        <w:t>,</w:t>
      </w:r>
      <w:r w:rsidR="00EE4FC3">
        <w:t xml:space="preserve"> </w:t>
      </w:r>
      <w:r w:rsidRPr="00382917">
        <w:t>would</w:t>
      </w:r>
      <w:r w:rsidR="00EE4FC3">
        <w:t xml:space="preserve"> </w:t>
      </w:r>
      <w:r w:rsidRPr="00382917">
        <w:t>become</w:t>
      </w:r>
      <w:r w:rsidR="00EE4FC3">
        <w:t xml:space="preserve"> </w:t>
      </w:r>
      <w:r w:rsidRPr="00382917">
        <w:t>His</w:t>
      </w:r>
      <w:r w:rsidR="00EE4FC3">
        <w:t xml:space="preserve"> </w:t>
      </w:r>
      <w:r w:rsidRPr="00382917">
        <w:t>chosen</w:t>
      </w:r>
      <w:r w:rsidR="00EE4FC3">
        <w:t xml:space="preserve"> </w:t>
      </w:r>
      <w:r w:rsidRPr="00382917">
        <w:t>disciples.</w:t>
      </w:r>
      <w:r w:rsidR="00EE4FC3">
        <w:t xml:space="preserve">  </w:t>
      </w:r>
      <w:r w:rsidRPr="00382917">
        <w:t>Others</w:t>
      </w:r>
      <w:r w:rsidR="00EE4FC3">
        <w:t xml:space="preserve"> </w:t>
      </w:r>
      <w:r w:rsidRPr="00382917">
        <w:t>would</w:t>
      </w:r>
      <w:r w:rsidR="00EE4FC3">
        <w:t xml:space="preserve"> </w:t>
      </w:r>
      <w:r w:rsidRPr="00382917">
        <w:t>be</w:t>
      </w:r>
      <w:r w:rsidR="00EE4FC3">
        <w:t xml:space="preserve"> </w:t>
      </w:r>
      <w:r w:rsidRPr="00382917">
        <w:t>neither</w:t>
      </w:r>
      <w:r w:rsidR="00EE4FC3">
        <w:t xml:space="preserve"> </w:t>
      </w:r>
      <w:r w:rsidRPr="00382917">
        <w:t>warm</w:t>
      </w:r>
      <w:r w:rsidR="00EE4FC3">
        <w:t xml:space="preserve"> </w:t>
      </w:r>
      <w:r w:rsidRPr="00382917">
        <w:t>nor</w:t>
      </w:r>
    </w:p>
    <w:p w:rsidR="006D18A4" w:rsidRPr="00382917" w:rsidRDefault="006D18A4">
      <w:pPr>
        <w:widowControl/>
        <w:kinsoku/>
        <w:overflowPunct/>
        <w:textAlignment w:val="auto"/>
      </w:pPr>
      <w:r w:rsidRPr="00382917">
        <w:br w:type="page"/>
      </w:r>
    </w:p>
    <w:p w:rsidR="006D18A4" w:rsidRPr="00382917" w:rsidRDefault="006D18A4" w:rsidP="006D18A4">
      <w:pPr>
        <w:pStyle w:val="Textcts"/>
      </w:pPr>
      <w:proofErr w:type="gramStart"/>
      <w:r w:rsidRPr="00382917">
        <w:t>cold</w:t>
      </w:r>
      <w:proofErr w:type="gramEnd"/>
      <w:r w:rsidRPr="00382917">
        <w:t>,</w:t>
      </w:r>
      <w:r w:rsidR="00EE4FC3">
        <w:t xml:space="preserve"> </w:t>
      </w:r>
      <w:r w:rsidRPr="00382917">
        <w:t>while</w:t>
      </w:r>
      <w:r w:rsidR="00EE4FC3">
        <w:t xml:space="preserve"> </w:t>
      </w:r>
      <w:r w:rsidRPr="00382917">
        <w:t>still</w:t>
      </w:r>
      <w:r w:rsidR="00EE4FC3">
        <w:t xml:space="preserve"> </w:t>
      </w:r>
      <w:r w:rsidRPr="00382917">
        <w:t>others</w:t>
      </w:r>
      <w:r w:rsidR="00EE4FC3">
        <w:t xml:space="preserve"> </w:t>
      </w:r>
      <w:r w:rsidRPr="00382917">
        <w:t>would</w:t>
      </w:r>
      <w:r w:rsidR="00EE4FC3">
        <w:t xml:space="preserve"> </w:t>
      </w:r>
      <w:r w:rsidRPr="00382917">
        <w:t>remain</w:t>
      </w:r>
      <w:r w:rsidR="00EE4FC3">
        <w:t xml:space="preserve"> </w:t>
      </w:r>
      <w:r w:rsidRPr="00382917">
        <w:t>undeclared</w:t>
      </w:r>
      <w:r w:rsidR="00EE4FC3">
        <w:t xml:space="preserve"> </w:t>
      </w:r>
      <w:r w:rsidRPr="00382917">
        <w:t>until</w:t>
      </w:r>
      <w:r w:rsidR="00EE4FC3">
        <w:t xml:space="preserve"> </w:t>
      </w:r>
      <w:r w:rsidRPr="00382917">
        <w:t>that</w:t>
      </w:r>
      <w:r w:rsidR="00EE4FC3">
        <w:t xml:space="preserve"> </w:t>
      </w:r>
      <w:r w:rsidRPr="00382917">
        <w:t>future</w:t>
      </w:r>
      <w:r w:rsidR="00EE4FC3">
        <w:t xml:space="preserve"> </w:t>
      </w:r>
      <w:r w:rsidRPr="00382917">
        <w:t>day</w:t>
      </w:r>
      <w:r w:rsidR="00EE4FC3">
        <w:t xml:space="preserve"> </w:t>
      </w:r>
      <w:r w:rsidRPr="00382917">
        <w:t>when</w:t>
      </w:r>
      <w:r w:rsidR="00EE4FC3">
        <w:t xml:space="preserve"> </w:t>
      </w:r>
      <w:r w:rsidRPr="00382917">
        <w:t>He,</w:t>
      </w:r>
      <w:r w:rsidR="00EE4FC3">
        <w:t xml:space="preserve"> </w:t>
      </w:r>
      <w:r w:rsidRPr="00382917">
        <w:t>for</w:t>
      </w:r>
      <w:r w:rsidR="00EE4FC3">
        <w:t xml:space="preserve"> </w:t>
      </w:r>
      <w:r w:rsidRPr="00382917">
        <w:t>whom</w:t>
      </w:r>
      <w:r w:rsidR="00EE4FC3">
        <w:t xml:space="preserve"> </w:t>
      </w:r>
      <w:r w:rsidRPr="00382917">
        <w:t>the</w:t>
      </w:r>
      <w:r w:rsidR="00EE4FC3">
        <w:t xml:space="preserve"> </w:t>
      </w:r>
      <w:r w:rsidRPr="00382917">
        <w:t>Báb</w:t>
      </w:r>
      <w:r w:rsidR="00EE4FC3">
        <w:t xml:space="preserve"> </w:t>
      </w:r>
      <w:r w:rsidRPr="00382917">
        <w:t>Himself</w:t>
      </w:r>
      <w:r w:rsidR="00EE4FC3">
        <w:t xml:space="preserve"> </w:t>
      </w:r>
      <w:r w:rsidRPr="00382917">
        <w:t>was</w:t>
      </w:r>
      <w:r w:rsidR="00EE4FC3">
        <w:t xml:space="preserve"> </w:t>
      </w:r>
      <w:r w:rsidRPr="00382917">
        <w:t>but</w:t>
      </w:r>
      <w:r w:rsidR="00EE4FC3">
        <w:t xml:space="preserve"> </w:t>
      </w:r>
      <w:r w:rsidRPr="00382917">
        <w:t>the</w:t>
      </w:r>
      <w:r w:rsidR="00EE4FC3">
        <w:t xml:space="preserve"> </w:t>
      </w:r>
      <w:r w:rsidRPr="00382917">
        <w:t>Herald,</w:t>
      </w:r>
      <w:r w:rsidR="00EE4FC3">
        <w:t xml:space="preserve"> </w:t>
      </w:r>
      <w:r w:rsidRPr="00382917">
        <w:t>appeared.</w:t>
      </w:r>
    </w:p>
    <w:p w:rsidR="006D18A4" w:rsidRPr="00382917" w:rsidRDefault="006D18A4" w:rsidP="006D18A4">
      <w:pPr>
        <w:pStyle w:val="Text"/>
      </w:pPr>
      <w:proofErr w:type="gramStart"/>
      <w:r w:rsidRPr="00382917">
        <w:t>The</w:t>
      </w:r>
      <w:r w:rsidR="00EE4FC3">
        <w:t xml:space="preserve"> </w:t>
      </w:r>
      <w:r w:rsidRPr="00382917">
        <w:t>next</w:t>
      </w:r>
      <w:r w:rsidR="00EE4FC3">
        <w:t xml:space="preserve"> </w:t>
      </w:r>
      <w:r w:rsidRPr="00382917">
        <w:t>morning,</w:t>
      </w:r>
      <w:r w:rsidR="00EE4FC3">
        <w:t xml:space="preserve"> </w:t>
      </w:r>
      <w:r w:rsidRPr="00382917">
        <w:t>Mullá</w:t>
      </w:r>
      <w:r w:rsidR="00EE4FC3">
        <w:t xml:space="preserve"> </w:t>
      </w:r>
      <w:r w:rsidR="009C713D" w:rsidRPr="00382917">
        <w:t>‘</w:t>
      </w:r>
      <w:r w:rsidRPr="00382917">
        <w:t>Alí,</w:t>
      </w:r>
      <w:r w:rsidR="00EE4FC3">
        <w:t xml:space="preserve"> </w:t>
      </w:r>
      <w:r w:rsidRPr="00382917">
        <w:t>Mullá</w:t>
      </w:r>
      <w:r w:rsidR="00EE4FC3">
        <w:t xml:space="preserve"> </w:t>
      </w:r>
      <w:proofErr w:type="spellStart"/>
      <w:r w:rsidR="00964C11" w:rsidRPr="00382917">
        <w:t>Ḥusayn</w:t>
      </w:r>
      <w:r w:rsidR="009C713D" w:rsidRPr="00382917">
        <w:t>’</w:t>
      </w:r>
      <w:r w:rsidRPr="00382917">
        <w:t>s</w:t>
      </w:r>
      <w:proofErr w:type="spellEnd"/>
      <w:r w:rsidR="00EE4FC3">
        <w:t xml:space="preserve"> </w:t>
      </w:r>
      <w:r w:rsidRPr="00382917">
        <w:t>close</w:t>
      </w:r>
      <w:r w:rsidR="00EE4FC3">
        <w:t xml:space="preserve"> </w:t>
      </w:r>
      <w:r w:rsidRPr="00382917">
        <w:t>friend</w:t>
      </w:r>
      <w:r w:rsidR="00EE4FC3">
        <w:t xml:space="preserve"> </w:t>
      </w:r>
      <w:r w:rsidRPr="00382917">
        <w:t>arrived</w:t>
      </w:r>
      <w:r w:rsidR="00EE4FC3">
        <w:t xml:space="preserve"> </w:t>
      </w:r>
      <w:r w:rsidRPr="00382917">
        <w:t>in</w:t>
      </w:r>
      <w:r w:rsidR="00EE4FC3">
        <w:t xml:space="preserve"> </w:t>
      </w:r>
      <w:r w:rsidR="008A073E" w:rsidRPr="00382917">
        <w:rPr>
          <w:u w:val="single"/>
        </w:rPr>
        <w:t>Sh</w:t>
      </w:r>
      <w:r w:rsidR="008A073E" w:rsidRPr="00382917">
        <w:t>íráz</w:t>
      </w:r>
      <w:r w:rsidRPr="00382917">
        <w:t>,</w:t>
      </w:r>
      <w:r w:rsidR="00EE4FC3">
        <w:t xml:space="preserve"> </w:t>
      </w:r>
      <w:r w:rsidRPr="00382917">
        <w:t>accompanied</w:t>
      </w:r>
      <w:r w:rsidR="00EE4FC3">
        <w:t xml:space="preserve"> </w:t>
      </w:r>
      <w:r w:rsidRPr="00382917">
        <w:t>by</w:t>
      </w:r>
      <w:r w:rsidR="00EE4FC3">
        <w:t xml:space="preserve"> </w:t>
      </w:r>
      <w:r w:rsidRPr="00382917">
        <w:t>twelve</w:t>
      </w:r>
      <w:r w:rsidR="00EE4FC3">
        <w:t xml:space="preserve"> </w:t>
      </w:r>
      <w:r w:rsidRPr="00382917">
        <w:t>companions.</w:t>
      </w:r>
      <w:proofErr w:type="gramEnd"/>
      <w:r w:rsidR="00EE4FC3">
        <w:t xml:space="preserve">  </w:t>
      </w:r>
      <w:r w:rsidRPr="00382917">
        <w:t>He</w:t>
      </w:r>
      <w:r w:rsidR="00EE4FC3">
        <w:t xml:space="preserve"> </w:t>
      </w:r>
      <w:r w:rsidRPr="00382917">
        <w:t>at</w:t>
      </w:r>
      <w:r w:rsidR="00EE4FC3">
        <w:t xml:space="preserve"> </w:t>
      </w:r>
      <w:r w:rsidRPr="00382917">
        <w:t>once</w:t>
      </w:r>
      <w:r w:rsidR="00EE4FC3">
        <w:t xml:space="preserve"> </w:t>
      </w:r>
      <w:r w:rsidRPr="00382917">
        <w:t>noted</w:t>
      </w:r>
      <w:r w:rsidR="00EE4FC3">
        <w:t xml:space="preserve"> </w:t>
      </w:r>
      <w:r w:rsidRPr="00382917">
        <w:t>the</w:t>
      </w:r>
      <w:r w:rsidR="00EE4FC3">
        <w:t xml:space="preserve"> </w:t>
      </w:r>
      <w:r w:rsidRPr="00382917">
        <w:t>great</w:t>
      </w:r>
      <w:r w:rsidR="00EE4FC3">
        <w:t xml:space="preserve"> </w:t>
      </w:r>
      <w:r w:rsidRPr="00382917">
        <w:t>change</w:t>
      </w:r>
      <w:r w:rsidR="00EE4FC3">
        <w:t xml:space="preserve"> </w:t>
      </w:r>
      <w:r w:rsidRPr="00382917">
        <w:t>which</w:t>
      </w:r>
      <w:r w:rsidR="00EE4FC3">
        <w:t xml:space="preserve"> </w:t>
      </w:r>
      <w:r w:rsidRPr="00382917">
        <w:t>had</w:t>
      </w:r>
      <w:r w:rsidR="00EE4FC3">
        <w:t xml:space="preserve"> </w:t>
      </w:r>
      <w:r w:rsidRPr="00382917">
        <w:t>taken</w:t>
      </w:r>
      <w:r w:rsidR="00EE4FC3">
        <w:t xml:space="preserve"> </w:t>
      </w:r>
      <w:r w:rsidRPr="00382917">
        <w:t>place</w:t>
      </w:r>
      <w:r w:rsidR="00EE4FC3">
        <w:t xml:space="preserve"> </w:t>
      </w:r>
      <w:r w:rsidRPr="00382917">
        <w:t>in</w:t>
      </w:r>
      <w:r w:rsidR="00EE4FC3">
        <w:t xml:space="preserve"> </w:t>
      </w:r>
      <w:r w:rsidRPr="00382917">
        <w:t>Mullá</w:t>
      </w:r>
      <w:r w:rsidR="00EE4FC3">
        <w:t xml:space="preserve"> </w:t>
      </w:r>
      <w:r w:rsidR="00964C11" w:rsidRPr="00382917">
        <w:t>Ḥusayn</w:t>
      </w:r>
      <w:r w:rsidRPr="00382917">
        <w:t>.</w:t>
      </w:r>
      <w:r w:rsidR="00EE4FC3">
        <w:t xml:space="preserve">  </w:t>
      </w:r>
      <w:r w:rsidRPr="00382917">
        <w:t>He</w:t>
      </w:r>
      <w:r w:rsidR="00EE4FC3">
        <w:t xml:space="preserve"> </w:t>
      </w:r>
      <w:r w:rsidRPr="00382917">
        <w:t>was</w:t>
      </w:r>
      <w:r w:rsidR="00EE4FC3">
        <w:t xml:space="preserve"> </w:t>
      </w:r>
      <w:r w:rsidRPr="00382917">
        <w:t>struck</w:t>
      </w:r>
      <w:r w:rsidR="00EE4FC3">
        <w:t xml:space="preserve"> </w:t>
      </w:r>
      <w:r w:rsidRPr="00382917">
        <w:t>by</w:t>
      </w:r>
      <w:r w:rsidR="00EE4FC3">
        <w:t xml:space="preserve"> </w:t>
      </w:r>
      <w:r w:rsidRPr="00382917">
        <w:t>the</w:t>
      </w:r>
      <w:r w:rsidR="00EE4FC3">
        <w:t xml:space="preserve"> </w:t>
      </w:r>
      <w:r w:rsidRPr="00382917">
        <w:t>tranquil</w:t>
      </w:r>
      <w:r w:rsidR="00EE4FC3">
        <w:t xml:space="preserve"> </w:t>
      </w:r>
      <w:r w:rsidRPr="00382917">
        <w:t>radiance</w:t>
      </w:r>
      <w:r w:rsidR="00EE4FC3">
        <w:t xml:space="preserve"> </w:t>
      </w:r>
      <w:r w:rsidRPr="00382917">
        <w:t>of</w:t>
      </w:r>
      <w:r w:rsidR="00EE4FC3">
        <w:t xml:space="preserve"> </w:t>
      </w:r>
      <w:r w:rsidRPr="00382917">
        <w:t>his</w:t>
      </w:r>
      <w:r w:rsidR="00EE4FC3">
        <w:t xml:space="preserve"> </w:t>
      </w:r>
      <w:r w:rsidRPr="00382917">
        <w:t>face</w:t>
      </w:r>
      <w:r w:rsidR="00EE4FC3">
        <w:t xml:space="preserve"> </w:t>
      </w:r>
      <w:r w:rsidRPr="00382917">
        <w:t>and</w:t>
      </w:r>
      <w:r w:rsidR="00EE4FC3">
        <w:t xml:space="preserve"> </w:t>
      </w:r>
      <w:r w:rsidRPr="00382917">
        <w:t>suspected</w:t>
      </w:r>
      <w:r w:rsidR="00EE4FC3">
        <w:t xml:space="preserve"> </w:t>
      </w:r>
      <w:r w:rsidRPr="00382917">
        <w:t>the</w:t>
      </w:r>
      <w:r w:rsidR="00EE4FC3">
        <w:t xml:space="preserve"> </w:t>
      </w:r>
      <w:r w:rsidRPr="00382917">
        <w:t>truth.</w:t>
      </w:r>
    </w:p>
    <w:p w:rsidR="006D18A4" w:rsidRPr="00382917" w:rsidRDefault="009C713D" w:rsidP="006D18A4">
      <w:pPr>
        <w:pStyle w:val="Text"/>
      </w:pPr>
      <w:r w:rsidRPr="00382917">
        <w:t>“</w:t>
      </w:r>
      <w:r w:rsidR="006D18A4" w:rsidRPr="00382917">
        <w:t>How</w:t>
      </w:r>
      <w:r w:rsidR="00EE4FC3">
        <w:t xml:space="preserve"> </w:t>
      </w:r>
      <w:r w:rsidR="006D18A4" w:rsidRPr="00382917">
        <w:t>is</w:t>
      </w:r>
      <w:r w:rsidR="00EE4FC3">
        <w:t xml:space="preserve"> </w:t>
      </w:r>
      <w:r w:rsidR="006D18A4" w:rsidRPr="00382917">
        <w:t>it,</w:t>
      </w:r>
      <w:r w:rsidRPr="00382917">
        <w:t>”</w:t>
      </w:r>
      <w:r w:rsidR="00EE4FC3">
        <w:t xml:space="preserve"> </w:t>
      </w:r>
      <w:r w:rsidR="006D18A4" w:rsidRPr="00382917">
        <w:t>Mullá</w:t>
      </w:r>
      <w:r w:rsidR="00EE4FC3">
        <w:t xml:space="preserve"> </w:t>
      </w:r>
      <w:r w:rsidRPr="00382917">
        <w:t>‘</w:t>
      </w:r>
      <w:r w:rsidR="006D18A4" w:rsidRPr="00382917">
        <w:t>Alí</w:t>
      </w:r>
      <w:r w:rsidR="00EE4FC3">
        <w:t xml:space="preserve"> </w:t>
      </w:r>
      <w:r w:rsidR="006D18A4" w:rsidRPr="00382917">
        <w:t>asked,</w:t>
      </w:r>
      <w:r w:rsidR="00EE4FC3">
        <w:t xml:space="preserve"> </w:t>
      </w:r>
      <w:r w:rsidRPr="00382917">
        <w:t>“</w:t>
      </w:r>
      <w:r w:rsidR="006D18A4" w:rsidRPr="00382917">
        <w:t>that</w:t>
      </w:r>
      <w:r w:rsidR="00EE4FC3">
        <w:t xml:space="preserve"> </w:t>
      </w:r>
      <w:r w:rsidR="006D18A4" w:rsidRPr="00382917">
        <w:t>we</w:t>
      </w:r>
      <w:r w:rsidR="00EE4FC3">
        <w:t xml:space="preserve"> </w:t>
      </w:r>
      <w:r w:rsidR="006D18A4" w:rsidRPr="00382917">
        <w:t>see</w:t>
      </w:r>
      <w:r w:rsidR="00EE4FC3">
        <w:t xml:space="preserve"> </w:t>
      </w:r>
      <w:r w:rsidR="006D18A4" w:rsidRPr="00382917">
        <w:t>you</w:t>
      </w:r>
      <w:r w:rsidR="00EE4FC3">
        <w:t xml:space="preserve"> </w:t>
      </w:r>
      <w:r w:rsidR="006D18A4" w:rsidRPr="00382917">
        <w:t>teaching</w:t>
      </w:r>
      <w:r w:rsidR="00EE4FC3">
        <w:t xml:space="preserve"> </w:t>
      </w:r>
      <w:r w:rsidR="006D18A4" w:rsidRPr="00382917">
        <w:t>the</w:t>
      </w:r>
      <w:r w:rsidR="00EE4FC3">
        <w:t xml:space="preserve"> </w:t>
      </w:r>
      <w:r w:rsidR="006D18A4" w:rsidRPr="00382917">
        <w:t>people</w:t>
      </w:r>
      <w:r w:rsidR="00EE4FC3">
        <w:t xml:space="preserve"> </w:t>
      </w:r>
      <w:r w:rsidR="006D18A4" w:rsidRPr="00382917">
        <w:t>with</w:t>
      </w:r>
      <w:r w:rsidR="00EE4FC3">
        <w:t xml:space="preserve"> </w:t>
      </w:r>
      <w:r w:rsidR="006D18A4" w:rsidRPr="00382917">
        <w:t>the</w:t>
      </w:r>
      <w:r w:rsidR="00EE4FC3">
        <w:t xml:space="preserve"> </w:t>
      </w:r>
      <w:r w:rsidR="006D18A4" w:rsidRPr="00382917">
        <w:t>utmost</w:t>
      </w:r>
      <w:r w:rsidR="00EE4FC3">
        <w:t xml:space="preserve"> </w:t>
      </w:r>
      <w:proofErr w:type="spellStart"/>
      <w:r w:rsidR="006D18A4" w:rsidRPr="00382917">
        <w:t>tranquility</w:t>
      </w:r>
      <w:proofErr w:type="spellEnd"/>
      <w:r w:rsidR="00EE4FC3">
        <w:t xml:space="preserve"> </w:t>
      </w:r>
      <w:r w:rsidR="006D18A4" w:rsidRPr="00382917">
        <w:t>and</w:t>
      </w:r>
      <w:r w:rsidR="00EE4FC3">
        <w:t xml:space="preserve"> </w:t>
      </w:r>
      <w:r w:rsidR="006D18A4" w:rsidRPr="00382917">
        <w:t>no</w:t>
      </w:r>
      <w:r w:rsidR="00EE4FC3">
        <w:t xml:space="preserve"> </w:t>
      </w:r>
      <w:r w:rsidR="006D18A4" w:rsidRPr="00382917">
        <w:t>longer</w:t>
      </w:r>
      <w:r w:rsidR="00EE4FC3">
        <w:t xml:space="preserve"> </w:t>
      </w:r>
      <w:r w:rsidR="006D18A4" w:rsidRPr="00382917">
        <w:t>searching?</w:t>
      </w:r>
      <w:r w:rsidR="00EE4FC3">
        <w:t xml:space="preserve">  </w:t>
      </w:r>
      <w:r w:rsidR="006D18A4" w:rsidRPr="00382917">
        <w:t>Agitation</w:t>
      </w:r>
      <w:r w:rsidR="00EE4FC3">
        <w:t xml:space="preserve"> </w:t>
      </w:r>
      <w:r w:rsidR="006D18A4" w:rsidRPr="00382917">
        <w:t>and</w:t>
      </w:r>
      <w:r w:rsidR="00EE4FC3">
        <w:t xml:space="preserve"> </w:t>
      </w:r>
      <w:r w:rsidR="006D18A4" w:rsidRPr="00382917">
        <w:t>expectancy</w:t>
      </w:r>
      <w:r w:rsidR="00EE4FC3">
        <w:t xml:space="preserve"> </w:t>
      </w:r>
      <w:r w:rsidR="006D18A4" w:rsidRPr="00382917">
        <w:t>have</w:t>
      </w:r>
      <w:r w:rsidR="00EE4FC3">
        <w:t xml:space="preserve"> </w:t>
      </w:r>
      <w:r w:rsidR="006D18A4" w:rsidRPr="00382917">
        <w:t>vanished</w:t>
      </w:r>
      <w:r w:rsidR="00EE4FC3">
        <w:t xml:space="preserve"> </w:t>
      </w:r>
      <w:r w:rsidR="006D18A4" w:rsidRPr="00382917">
        <w:t>from</w:t>
      </w:r>
      <w:r w:rsidR="00EE4FC3">
        <w:t xml:space="preserve"> </w:t>
      </w:r>
      <w:r w:rsidR="006D18A4" w:rsidRPr="00382917">
        <w:t>your</w:t>
      </w:r>
      <w:r w:rsidR="00EE4FC3">
        <w:t xml:space="preserve"> </w:t>
      </w:r>
      <w:r w:rsidR="006D18A4" w:rsidRPr="00382917">
        <w:t>face.</w:t>
      </w:r>
      <w:r w:rsidR="00EE4FC3">
        <w:t xml:space="preserve">  </w:t>
      </w:r>
      <w:r w:rsidR="006D18A4" w:rsidRPr="00382917">
        <w:t>I</w:t>
      </w:r>
      <w:r w:rsidR="00EE4FC3">
        <w:t xml:space="preserve"> </w:t>
      </w:r>
      <w:r w:rsidR="006D18A4" w:rsidRPr="00382917">
        <w:t>beg</w:t>
      </w:r>
      <w:r w:rsidR="00EE4FC3">
        <w:t xml:space="preserve"> </w:t>
      </w:r>
      <w:r w:rsidR="006D18A4" w:rsidRPr="00382917">
        <w:t>of</w:t>
      </w:r>
      <w:r w:rsidR="00EE4FC3">
        <w:t xml:space="preserve"> </w:t>
      </w:r>
      <w:r w:rsidR="006D18A4" w:rsidRPr="00382917">
        <w:t>you,</w:t>
      </w:r>
      <w:r w:rsidR="00EE4FC3">
        <w:t xml:space="preserve"> </w:t>
      </w:r>
      <w:r w:rsidR="006D18A4" w:rsidRPr="00382917">
        <w:t>bestow</w:t>
      </w:r>
      <w:r w:rsidR="00EE4FC3">
        <w:t xml:space="preserve"> </w:t>
      </w:r>
      <w:r w:rsidR="006D18A4" w:rsidRPr="00382917">
        <w:t>upon</w:t>
      </w:r>
      <w:r w:rsidR="00EE4FC3">
        <w:t xml:space="preserve"> </w:t>
      </w:r>
      <w:r w:rsidR="006D18A4" w:rsidRPr="00382917">
        <w:t>me</w:t>
      </w:r>
      <w:r w:rsidR="00EE4FC3">
        <w:t xml:space="preserve"> </w:t>
      </w:r>
      <w:r w:rsidR="006D18A4" w:rsidRPr="00382917">
        <w:t>a</w:t>
      </w:r>
      <w:r w:rsidR="00EE4FC3">
        <w:t xml:space="preserve"> </w:t>
      </w:r>
      <w:r w:rsidR="006D18A4" w:rsidRPr="00382917">
        <w:t>portion</w:t>
      </w:r>
      <w:r w:rsidR="00EE4FC3">
        <w:t xml:space="preserve"> </w:t>
      </w:r>
      <w:r w:rsidR="006D18A4" w:rsidRPr="00382917">
        <w:t>of</w:t>
      </w:r>
      <w:r w:rsidR="00EE4FC3">
        <w:t xml:space="preserve"> </w:t>
      </w:r>
      <w:r w:rsidR="006D18A4" w:rsidRPr="00382917">
        <w:t>what</w:t>
      </w:r>
      <w:r w:rsidR="00EE4FC3">
        <w:t xml:space="preserve"> </w:t>
      </w:r>
      <w:r w:rsidR="006D18A4" w:rsidRPr="00382917">
        <w:t>you</w:t>
      </w:r>
      <w:r w:rsidR="00EE4FC3">
        <w:t xml:space="preserve"> </w:t>
      </w:r>
      <w:r w:rsidR="006D18A4" w:rsidRPr="00382917">
        <w:t>have</w:t>
      </w:r>
      <w:r w:rsidR="00EE4FC3">
        <w:t xml:space="preserve"> </w:t>
      </w:r>
      <w:r w:rsidR="006D18A4" w:rsidRPr="00382917">
        <w:t>found,</w:t>
      </w:r>
      <w:r w:rsidR="00EE4FC3">
        <w:t xml:space="preserve"> </w:t>
      </w:r>
      <w:r w:rsidR="006D18A4" w:rsidRPr="00382917">
        <w:t>for</w:t>
      </w:r>
      <w:r w:rsidR="00EE4FC3">
        <w:t xml:space="preserve"> </w:t>
      </w:r>
      <w:r w:rsidR="006D18A4" w:rsidRPr="00382917">
        <w:t>only</w:t>
      </w:r>
      <w:r w:rsidR="00EE4FC3">
        <w:t xml:space="preserve"> </w:t>
      </w:r>
      <w:r w:rsidR="006D18A4" w:rsidRPr="00382917">
        <w:t>that</w:t>
      </w:r>
      <w:r w:rsidR="00EE4FC3">
        <w:t xml:space="preserve"> </w:t>
      </w:r>
      <w:r w:rsidR="006D18A4" w:rsidRPr="00382917">
        <w:t>can</w:t>
      </w:r>
      <w:r w:rsidR="00EE4FC3">
        <w:t xml:space="preserve"> </w:t>
      </w:r>
      <w:r w:rsidR="006D18A4" w:rsidRPr="00382917">
        <w:t>quench</w:t>
      </w:r>
      <w:r w:rsidR="00EE4FC3">
        <w:t xml:space="preserve"> </w:t>
      </w:r>
      <w:r w:rsidR="006D18A4" w:rsidRPr="00382917">
        <w:t>my</w:t>
      </w:r>
      <w:r w:rsidR="00EE4FC3">
        <w:t xml:space="preserve"> </w:t>
      </w:r>
      <w:r w:rsidR="006D18A4" w:rsidRPr="00382917">
        <w:t>thirst</w:t>
      </w:r>
      <w:r w:rsidR="00EE4FC3">
        <w:t xml:space="preserve"> </w:t>
      </w:r>
      <w:r w:rsidR="006D18A4" w:rsidRPr="00382917">
        <w:t>and</w:t>
      </w:r>
      <w:r w:rsidR="00EE4FC3">
        <w:t xml:space="preserve"> </w:t>
      </w:r>
      <w:r w:rsidR="006D18A4" w:rsidRPr="00382917">
        <w:t>ease</w:t>
      </w:r>
      <w:r w:rsidR="00EE4FC3">
        <w:t xml:space="preserve"> </w:t>
      </w:r>
      <w:r w:rsidR="006D18A4" w:rsidRPr="00382917">
        <w:t>the</w:t>
      </w:r>
      <w:r w:rsidR="00EE4FC3">
        <w:t xml:space="preserve"> </w:t>
      </w:r>
      <w:r w:rsidR="006D18A4" w:rsidRPr="00382917">
        <w:t>pain</w:t>
      </w:r>
      <w:r w:rsidR="00EE4FC3">
        <w:t xml:space="preserve"> </w:t>
      </w:r>
      <w:r w:rsidR="006D18A4" w:rsidRPr="00382917">
        <w:t>of</w:t>
      </w:r>
      <w:r w:rsidR="00EE4FC3">
        <w:t xml:space="preserve"> </w:t>
      </w:r>
      <w:r w:rsidR="006D18A4" w:rsidRPr="00382917">
        <w:t>longing</w:t>
      </w:r>
      <w:r w:rsidR="00EE4FC3">
        <w:t xml:space="preserve"> </w:t>
      </w:r>
      <w:r w:rsidR="006D18A4" w:rsidRPr="00382917">
        <w:t>in</w:t>
      </w:r>
      <w:r w:rsidR="00EE4FC3">
        <w:t xml:space="preserve"> </w:t>
      </w:r>
      <w:r w:rsidR="006D18A4" w:rsidRPr="00382917">
        <w:t>my</w:t>
      </w:r>
      <w:r w:rsidR="00EE4FC3">
        <w:t xml:space="preserve"> </w:t>
      </w:r>
      <w:r w:rsidR="006D18A4" w:rsidRPr="00382917">
        <w:t>heart.</w:t>
      </w:r>
      <w:r w:rsidRPr="00382917">
        <w:t>”</w:t>
      </w:r>
    </w:p>
    <w:p w:rsidR="006D18A4" w:rsidRPr="00382917" w:rsidRDefault="006D18A4" w:rsidP="006D18A4">
      <w:pPr>
        <w:pStyle w:val="Text"/>
      </w:pPr>
      <w:r w:rsidRPr="00382917">
        <w:t>Mullá</w:t>
      </w:r>
      <w:r w:rsidR="00EE4FC3">
        <w:t xml:space="preserve"> </w:t>
      </w:r>
      <w:r w:rsidR="00964C11" w:rsidRPr="00382917">
        <w:t>Ḥusayn</w:t>
      </w:r>
      <w:r w:rsidR="00EE4FC3">
        <w:t xml:space="preserve"> </w:t>
      </w:r>
      <w:r w:rsidRPr="00382917">
        <w:t>refused.</w:t>
      </w:r>
      <w:r w:rsidR="00EE4FC3">
        <w:t xml:space="preserve">  </w:t>
      </w:r>
      <w:r w:rsidR="009C713D" w:rsidRPr="00382917">
        <w:t>“</w:t>
      </w:r>
      <w:r w:rsidRPr="00382917">
        <w:t>Do</w:t>
      </w:r>
      <w:r w:rsidR="00EE4FC3">
        <w:t xml:space="preserve"> </w:t>
      </w:r>
      <w:r w:rsidRPr="00382917">
        <w:t>not</w:t>
      </w:r>
      <w:r w:rsidR="00EE4FC3">
        <w:t xml:space="preserve"> </w:t>
      </w:r>
      <w:r w:rsidRPr="00382917">
        <w:t>entreat</w:t>
      </w:r>
      <w:r w:rsidR="00EE4FC3">
        <w:t xml:space="preserve"> </w:t>
      </w:r>
      <w:r w:rsidRPr="00382917">
        <w:t>me</w:t>
      </w:r>
      <w:r w:rsidR="00EE4FC3">
        <w:t xml:space="preserve"> </w:t>
      </w:r>
      <w:r w:rsidRPr="00382917">
        <w:t>to</w:t>
      </w:r>
      <w:r w:rsidR="00EE4FC3">
        <w:t xml:space="preserve"> </w:t>
      </w:r>
      <w:r w:rsidRPr="00382917">
        <w:t>grant</w:t>
      </w:r>
      <w:r w:rsidR="00EE4FC3">
        <w:t xml:space="preserve"> </w:t>
      </w:r>
      <w:r w:rsidRPr="00382917">
        <w:t>this</w:t>
      </w:r>
      <w:r w:rsidR="00EE4FC3">
        <w:t xml:space="preserve"> </w:t>
      </w:r>
      <w:proofErr w:type="spellStart"/>
      <w:r w:rsidRPr="00382917">
        <w:t>favor</w:t>
      </w:r>
      <w:proofErr w:type="spellEnd"/>
      <w:r w:rsidRPr="00382917">
        <w:t>,</w:t>
      </w:r>
      <w:r w:rsidR="009C713D" w:rsidRPr="00382917">
        <w:t>”</w:t>
      </w:r>
      <w:r w:rsidR="00EE4FC3">
        <w:t xml:space="preserve"> </w:t>
      </w:r>
      <w:r w:rsidRPr="00382917">
        <w:t>he</w:t>
      </w:r>
      <w:r w:rsidR="00EE4FC3">
        <w:t xml:space="preserve"> </w:t>
      </w:r>
      <w:r w:rsidRPr="00382917">
        <w:t>begged</w:t>
      </w:r>
      <w:r w:rsidR="00EE4FC3">
        <w:t xml:space="preserve"> </w:t>
      </w:r>
      <w:r w:rsidRPr="00382917">
        <w:t>Mullá</w:t>
      </w:r>
      <w:r w:rsidR="00EE4FC3">
        <w:t xml:space="preserve"> </w:t>
      </w:r>
      <w:r w:rsidR="009C713D" w:rsidRPr="00382917">
        <w:t>‘</w:t>
      </w:r>
      <w:r w:rsidRPr="00382917">
        <w:t>Alí.</w:t>
      </w:r>
      <w:r w:rsidR="00EE4FC3">
        <w:t xml:space="preserve">  </w:t>
      </w:r>
      <w:r w:rsidR="009C713D" w:rsidRPr="00382917">
        <w:t>“</w:t>
      </w:r>
      <w:r w:rsidRPr="00382917">
        <w:t>Let</w:t>
      </w:r>
      <w:r w:rsidR="00EE4FC3">
        <w:t xml:space="preserve"> </w:t>
      </w:r>
      <w:r w:rsidRPr="00382917">
        <w:t>your</w:t>
      </w:r>
      <w:r w:rsidR="00EE4FC3">
        <w:t xml:space="preserve"> </w:t>
      </w:r>
      <w:r w:rsidRPr="00382917">
        <w:t>trust</w:t>
      </w:r>
      <w:r w:rsidR="00EE4FC3">
        <w:t xml:space="preserve"> </w:t>
      </w:r>
      <w:r w:rsidRPr="00382917">
        <w:t>be</w:t>
      </w:r>
      <w:r w:rsidR="00EE4FC3">
        <w:t xml:space="preserve"> </w:t>
      </w:r>
      <w:r w:rsidRPr="00382917">
        <w:t>in</w:t>
      </w:r>
      <w:r w:rsidR="00EE4FC3">
        <w:t xml:space="preserve"> </w:t>
      </w:r>
      <w:r w:rsidRPr="00382917">
        <w:t>God,</w:t>
      </w:r>
      <w:r w:rsidR="00EE4FC3">
        <w:t xml:space="preserve"> </w:t>
      </w:r>
      <w:r w:rsidRPr="00382917">
        <w:t>for</w:t>
      </w:r>
      <w:r w:rsidR="00EE4FC3">
        <w:t xml:space="preserve"> </w:t>
      </w:r>
      <w:r w:rsidRPr="00382917">
        <w:t>He</w:t>
      </w:r>
      <w:r w:rsidR="00EE4FC3">
        <w:t xml:space="preserve"> </w:t>
      </w:r>
      <w:r w:rsidRPr="00382917">
        <w:t>will</w:t>
      </w:r>
      <w:r w:rsidR="00EE4FC3">
        <w:t xml:space="preserve"> </w:t>
      </w:r>
      <w:r w:rsidRPr="00382917">
        <w:t>surely</w:t>
      </w:r>
      <w:r w:rsidR="00EE4FC3">
        <w:t xml:space="preserve"> </w:t>
      </w:r>
      <w:r w:rsidRPr="00382917">
        <w:t>guide</w:t>
      </w:r>
      <w:r w:rsidR="00EE4FC3">
        <w:t xml:space="preserve"> </w:t>
      </w:r>
      <w:r w:rsidRPr="00382917">
        <w:t>your</w:t>
      </w:r>
      <w:r w:rsidR="00EE4FC3">
        <w:t xml:space="preserve"> </w:t>
      </w:r>
      <w:r w:rsidRPr="00382917">
        <w:t>steps.</w:t>
      </w:r>
      <w:r w:rsidR="009C713D" w:rsidRPr="00382917">
        <w:t>”</w:t>
      </w:r>
    </w:p>
    <w:p w:rsidR="006D18A4" w:rsidRPr="00382917" w:rsidRDefault="006D18A4" w:rsidP="006D18A4">
      <w:pPr>
        <w:pStyle w:val="Text"/>
      </w:pPr>
      <w:r w:rsidRPr="00382917">
        <w:t>So</w:t>
      </w:r>
      <w:r w:rsidR="00EE4FC3">
        <w:t xml:space="preserve"> </w:t>
      </w:r>
      <w:r w:rsidRPr="00382917">
        <w:t>great</w:t>
      </w:r>
      <w:r w:rsidR="00EE4FC3">
        <w:t xml:space="preserve"> </w:t>
      </w:r>
      <w:r w:rsidRPr="00382917">
        <w:t>was</w:t>
      </w:r>
      <w:r w:rsidR="00EE4FC3">
        <w:t xml:space="preserve"> </w:t>
      </w:r>
      <w:r w:rsidRPr="00382917">
        <w:t>the</w:t>
      </w:r>
      <w:r w:rsidR="00EE4FC3">
        <w:t xml:space="preserve"> </w:t>
      </w:r>
      <w:r w:rsidRPr="00382917">
        <w:t>joy</w:t>
      </w:r>
      <w:r w:rsidR="00EE4FC3">
        <w:t xml:space="preserve"> </w:t>
      </w:r>
      <w:r w:rsidRPr="00382917">
        <w:t>that</w:t>
      </w:r>
      <w:r w:rsidR="00EE4FC3">
        <w:t xml:space="preserve"> </w:t>
      </w:r>
      <w:r w:rsidRPr="00382917">
        <w:t>shone</w:t>
      </w:r>
      <w:r w:rsidR="00EE4FC3">
        <w:t xml:space="preserve"> </w:t>
      </w:r>
      <w:r w:rsidRPr="00382917">
        <w:t>from</w:t>
      </w:r>
      <w:r w:rsidR="00EE4FC3">
        <w:t xml:space="preserve"> </w:t>
      </w:r>
      <w:r w:rsidRPr="00382917">
        <w:t>Mullá</w:t>
      </w:r>
      <w:r w:rsidR="00EE4FC3">
        <w:t xml:space="preserve"> </w:t>
      </w:r>
      <w:proofErr w:type="spellStart"/>
      <w:r w:rsidR="00964C11" w:rsidRPr="00382917">
        <w:t>Ḥusayn</w:t>
      </w:r>
      <w:r w:rsidR="009C713D" w:rsidRPr="00382917">
        <w:t>’</w:t>
      </w:r>
      <w:r w:rsidRPr="00382917">
        <w:t>s</w:t>
      </w:r>
      <w:proofErr w:type="spellEnd"/>
      <w:r w:rsidR="00EE4FC3">
        <w:t xml:space="preserve"> </w:t>
      </w:r>
      <w:r w:rsidRPr="00382917">
        <w:t>face,</w:t>
      </w:r>
      <w:r w:rsidR="00EE4FC3">
        <w:t xml:space="preserve"> </w:t>
      </w:r>
      <w:r w:rsidRPr="00382917">
        <w:t>that</w:t>
      </w:r>
      <w:r w:rsidR="00EE4FC3">
        <w:t xml:space="preserve"> </w:t>
      </w:r>
      <w:r w:rsidRPr="00382917">
        <w:t>Mullá</w:t>
      </w:r>
      <w:r w:rsidR="00EE4FC3">
        <w:t xml:space="preserve"> </w:t>
      </w:r>
      <w:r w:rsidR="009C713D" w:rsidRPr="00382917">
        <w:t>‘</w:t>
      </w:r>
      <w:r w:rsidRPr="00382917">
        <w:t>Alí</w:t>
      </w:r>
      <w:r w:rsidR="00EE4FC3">
        <w:t xml:space="preserve"> </w:t>
      </w:r>
      <w:r w:rsidRPr="00382917">
        <w:t>could</w:t>
      </w:r>
      <w:r w:rsidR="00EE4FC3">
        <w:t xml:space="preserve"> </w:t>
      </w:r>
      <w:r w:rsidRPr="00382917">
        <w:t>no</w:t>
      </w:r>
      <w:r w:rsidR="00EE4FC3">
        <w:t xml:space="preserve"> </w:t>
      </w:r>
      <w:r w:rsidRPr="00382917">
        <w:t>longer</w:t>
      </w:r>
      <w:r w:rsidR="00EE4FC3">
        <w:t xml:space="preserve"> </w:t>
      </w:r>
      <w:r w:rsidRPr="00382917">
        <w:t>bear</w:t>
      </w:r>
      <w:r w:rsidR="00EE4FC3">
        <w:t xml:space="preserve"> </w:t>
      </w:r>
      <w:r w:rsidRPr="00382917">
        <w:t>to</w:t>
      </w:r>
      <w:r w:rsidR="00EE4FC3">
        <w:t xml:space="preserve"> </w:t>
      </w:r>
      <w:r w:rsidRPr="00382917">
        <w:t>be</w:t>
      </w:r>
      <w:r w:rsidR="00EE4FC3">
        <w:t xml:space="preserve"> </w:t>
      </w:r>
      <w:r w:rsidRPr="00382917">
        <w:t>deprived</w:t>
      </w:r>
      <w:r w:rsidR="00EE4FC3">
        <w:t xml:space="preserve"> </w:t>
      </w:r>
      <w:r w:rsidRPr="00382917">
        <w:t>of</w:t>
      </w:r>
      <w:r w:rsidR="00EE4FC3">
        <w:t xml:space="preserve"> </w:t>
      </w:r>
      <w:r w:rsidRPr="00382917">
        <w:t>that</w:t>
      </w:r>
      <w:r w:rsidR="00EE4FC3">
        <w:t xml:space="preserve"> </w:t>
      </w:r>
      <w:r w:rsidRPr="00382917">
        <w:t>secret.</w:t>
      </w:r>
      <w:r w:rsidR="00EE4FC3">
        <w:t xml:space="preserve">  </w:t>
      </w:r>
      <w:r w:rsidRPr="00382917">
        <w:t>By</w:t>
      </w:r>
      <w:r w:rsidR="00EE4FC3">
        <w:t xml:space="preserve"> </w:t>
      </w:r>
      <w:r w:rsidRPr="00382917">
        <w:t>prayer</w:t>
      </w:r>
      <w:r w:rsidR="00EE4FC3">
        <w:t xml:space="preserve"> </w:t>
      </w:r>
      <w:r w:rsidRPr="00382917">
        <w:t>and</w:t>
      </w:r>
      <w:r w:rsidR="00EE4FC3">
        <w:t xml:space="preserve"> </w:t>
      </w:r>
      <w:r w:rsidRPr="00382917">
        <w:t>fasting</w:t>
      </w:r>
      <w:r w:rsidR="00EE4FC3">
        <w:t xml:space="preserve"> </w:t>
      </w:r>
      <w:r w:rsidRPr="00382917">
        <w:t>he</w:t>
      </w:r>
      <w:r w:rsidR="00EE4FC3">
        <w:t xml:space="preserve"> </w:t>
      </w:r>
      <w:r w:rsidRPr="00382917">
        <w:t>sought</w:t>
      </w:r>
      <w:r w:rsidR="00EE4FC3">
        <w:t xml:space="preserve"> </w:t>
      </w:r>
      <w:r w:rsidRPr="00382917">
        <w:t>desperately</w:t>
      </w:r>
      <w:r w:rsidR="00EE4FC3">
        <w:t xml:space="preserve"> </w:t>
      </w:r>
      <w:r w:rsidRPr="00382917">
        <w:t>to</w:t>
      </w:r>
      <w:r w:rsidR="00EE4FC3">
        <w:t xml:space="preserve"> </w:t>
      </w:r>
      <w:r w:rsidRPr="00382917">
        <w:t>remove</w:t>
      </w:r>
      <w:r w:rsidR="00EE4FC3">
        <w:t xml:space="preserve"> </w:t>
      </w:r>
      <w:r w:rsidRPr="00382917">
        <w:t>the</w:t>
      </w:r>
      <w:r w:rsidR="00EE4FC3">
        <w:t xml:space="preserve"> </w:t>
      </w:r>
      <w:r w:rsidRPr="00382917">
        <w:t>veil</w:t>
      </w:r>
      <w:r w:rsidR="00EE4FC3">
        <w:t xml:space="preserve"> </w:t>
      </w:r>
      <w:r w:rsidRPr="00382917">
        <w:t>that</w:t>
      </w:r>
      <w:r w:rsidR="00EE4FC3">
        <w:t xml:space="preserve"> </w:t>
      </w:r>
      <w:r w:rsidRPr="00382917">
        <w:t>separated</w:t>
      </w:r>
      <w:r w:rsidR="00EE4FC3">
        <w:t xml:space="preserve"> </w:t>
      </w:r>
      <w:r w:rsidRPr="00382917">
        <w:t>him</w:t>
      </w:r>
      <w:r w:rsidR="00EE4FC3">
        <w:t xml:space="preserve"> </w:t>
      </w:r>
      <w:r w:rsidRPr="00382917">
        <w:t>from</w:t>
      </w:r>
      <w:r w:rsidR="00EE4FC3">
        <w:t xml:space="preserve"> </w:t>
      </w:r>
      <w:r w:rsidRPr="00382917">
        <w:t>the</w:t>
      </w:r>
      <w:r w:rsidR="00EE4FC3">
        <w:t xml:space="preserve"> </w:t>
      </w:r>
      <w:r w:rsidRPr="00382917">
        <w:t>Beloved.</w:t>
      </w:r>
      <w:r w:rsidR="00EE4FC3">
        <w:t xml:space="preserve">  </w:t>
      </w:r>
      <w:r w:rsidRPr="00382917">
        <w:t>On</w:t>
      </w:r>
      <w:r w:rsidR="00EE4FC3">
        <w:t xml:space="preserve"> </w:t>
      </w:r>
      <w:r w:rsidRPr="00382917">
        <w:t>the</w:t>
      </w:r>
      <w:r w:rsidR="00EE4FC3">
        <w:t xml:space="preserve"> </w:t>
      </w:r>
      <w:r w:rsidRPr="00382917">
        <w:t>third</w:t>
      </w:r>
      <w:r w:rsidR="00EE4FC3">
        <w:t xml:space="preserve"> </w:t>
      </w:r>
      <w:r w:rsidRPr="00382917">
        <w:t>night</w:t>
      </w:r>
      <w:r w:rsidR="00EE4FC3">
        <w:t xml:space="preserve"> </w:t>
      </w:r>
      <w:r w:rsidRPr="00382917">
        <w:t>of</w:t>
      </w:r>
      <w:r w:rsidR="00EE4FC3">
        <w:t xml:space="preserve"> </w:t>
      </w:r>
      <w:r w:rsidRPr="00382917">
        <w:t>his</w:t>
      </w:r>
      <w:r w:rsidR="00EE4FC3">
        <w:t xml:space="preserve"> </w:t>
      </w:r>
      <w:r w:rsidRPr="00382917">
        <w:t>retirement,</w:t>
      </w:r>
      <w:r w:rsidR="00EE4FC3">
        <w:t xml:space="preserve"> </w:t>
      </w:r>
      <w:r w:rsidRPr="00382917">
        <w:t>while</w:t>
      </w:r>
      <w:r w:rsidR="00EE4FC3">
        <w:t xml:space="preserve"> </w:t>
      </w:r>
      <w:proofErr w:type="spellStart"/>
      <w:r w:rsidRPr="00382917">
        <w:t>wrapt</w:t>
      </w:r>
      <w:proofErr w:type="spellEnd"/>
      <w:r w:rsidR="00EE4FC3">
        <w:t xml:space="preserve"> </w:t>
      </w:r>
      <w:r w:rsidRPr="00382917">
        <w:t>in</w:t>
      </w:r>
      <w:r w:rsidR="00EE4FC3">
        <w:t xml:space="preserve"> </w:t>
      </w:r>
      <w:r w:rsidRPr="00382917">
        <w:t>deep</w:t>
      </w:r>
      <w:r w:rsidR="00EE4FC3">
        <w:t xml:space="preserve"> </w:t>
      </w:r>
      <w:r w:rsidRPr="00382917">
        <w:t>prayer,</w:t>
      </w:r>
      <w:r w:rsidR="00EE4FC3">
        <w:t xml:space="preserve"> </w:t>
      </w:r>
      <w:r w:rsidRPr="00382917">
        <w:t>Mullá</w:t>
      </w:r>
      <w:r w:rsidR="00EE4FC3">
        <w:t xml:space="preserve"> </w:t>
      </w:r>
      <w:r w:rsidR="009C713D" w:rsidRPr="00382917">
        <w:t>‘</w:t>
      </w:r>
      <w:r w:rsidRPr="00382917">
        <w:t>Alí</w:t>
      </w:r>
      <w:r w:rsidR="00EE4FC3">
        <w:t xml:space="preserve"> </w:t>
      </w:r>
      <w:r w:rsidRPr="00382917">
        <w:t>had</w:t>
      </w:r>
      <w:r w:rsidR="00EE4FC3">
        <w:t xml:space="preserve"> </w:t>
      </w:r>
      <w:r w:rsidRPr="00382917">
        <w:t>a</w:t>
      </w:r>
      <w:r w:rsidR="00EE4FC3">
        <w:t xml:space="preserve"> </w:t>
      </w:r>
      <w:r w:rsidRPr="00382917">
        <w:t>vision.</w:t>
      </w:r>
      <w:r w:rsidR="00EE4FC3">
        <w:t xml:space="preserve">  </w:t>
      </w:r>
      <w:r w:rsidRPr="00382917">
        <w:t>There</w:t>
      </w:r>
      <w:r w:rsidR="00EE4FC3">
        <w:t xml:space="preserve"> </w:t>
      </w:r>
      <w:r w:rsidRPr="00382917">
        <w:t>appeared</w:t>
      </w:r>
      <w:r w:rsidR="00EE4FC3">
        <w:t xml:space="preserve"> </w:t>
      </w:r>
      <w:r w:rsidRPr="00382917">
        <w:t>before</w:t>
      </w:r>
      <w:r w:rsidR="00EE4FC3">
        <w:t xml:space="preserve"> </w:t>
      </w:r>
      <w:r w:rsidRPr="00382917">
        <w:t>his</w:t>
      </w:r>
      <w:r w:rsidR="00EE4FC3">
        <w:t xml:space="preserve"> </w:t>
      </w:r>
      <w:r w:rsidRPr="00382917">
        <w:t>eyes</w:t>
      </w:r>
      <w:r w:rsidR="00EE4FC3">
        <w:t xml:space="preserve"> </w:t>
      </w:r>
      <w:r w:rsidRPr="00382917">
        <w:t>a</w:t>
      </w:r>
      <w:r w:rsidR="00EE4FC3">
        <w:t xml:space="preserve"> </w:t>
      </w:r>
      <w:r w:rsidRPr="00382917">
        <w:t>light,</w:t>
      </w:r>
      <w:r w:rsidR="00EE4FC3">
        <w:t xml:space="preserve"> </w:t>
      </w:r>
      <w:r w:rsidRPr="00382917">
        <w:t>and</w:t>
      </w:r>
      <w:r w:rsidR="00EE4FC3">
        <w:t xml:space="preserve"> </w:t>
      </w:r>
      <w:r w:rsidRPr="00382917">
        <w:t>lo</w:t>
      </w:r>
      <w:proofErr w:type="gramStart"/>
      <w:r w:rsidRPr="00382917">
        <w:t>!</w:t>
      </w:r>
      <w:r w:rsidR="00EE4FC3">
        <w:t xml:space="preserve"> </w:t>
      </w:r>
      <w:r w:rsidRPr="00382917">
        <w:t>it</w:t>
      </w:r>
      <w:proofErr w:type="gramEnd"/>
      <w:r w:rsidR="00EE4FC3">
        <w:t xml:space="preserve"> </w:t>
      </w:r>
      <w:r w:rsidRPr="00382917">
        <w:t>moved</w:t>
      </w:r>
      <w:r w:rsidR="00EE4FC3">
        <w:t xml:space="preserve"> </w:t>
      </w:r>
      <w:r w:rsidRPr="00382917">
        <w:t>off</w:t>
      </w:r>
      <w:r w:rsidR="00EE4FC3">
        <w:t xml:space="preserve"> </w:t>
      </w:r>
      <w:r w:rsidRPr="00382917">
        <w:t>before</w:t>
      </w:r>
      <w:r w:rsidR="00EE4FC3">
        <w:t xml:space="preserve"> </w:t>
      </w:r>
      <w:r w:rsidRPr="00382917">
        <w:t>him.</w:t>
      </w:r>
      <w:r w:rsidR="00EE4FC3">
        <w:t xml:space="preserve">  </w:t>
      </w:r>
      <w:r w:rsidRPr="00382917">
        <w:t>Allured</w:t>
      </w:r>
      <w:r w:rsidR="00EE4FC3">
        <w:t xml:space="preserve"> </w:t>
      </w:r>
      <w:r w:rsidRPr="00382917">
        <w:t>by</w:t>
      </w:r>
      <w:r w:rsidR="00EE4FC3">
        <w:t xml:space="preserve"> </w:t>
      </w:r>
      <w:r w:rsidRPr="00382917">
        <w:t>its</w:t>
      </w:r>
      <w:r w:rsidR="00EE4FC3">
        <w:t xml:space="preserve"> </w:t>
      </w:r>
      <w:r w:rsidRPr="00382917">
        <w:t>matchless</w:t>
      </w:r>
      <w:r w:rsidR="00EE4FC3">
        <w:t xml:space="preserve"> </w:t>
      </w:r>
      <w:r w:rsidRPr="00382917">
        <w:t>beauty,</w:t>
      </w:r>
      <w:r w:rsidR="00EE4FC3">
        <w:t xml:space="preserve"> </w:t>
      </w:r>
      <w:r w:rsidRPr="00382917">
        <w:t>he</w:t>
      </w:r>
      <w:r w:rsidR="00EE4FC3">
        <w:t xml:space="preserve"> </w:t>
      </w:r>
      <w:r w:rsidRPr="00382917">
        <w:t>followed</w:t>
      </w:r>
      <w:r w:rsidR="00EE4FC3">
        <w:t xml:space="preserve"> </w:t>
      </w:r>
      <w:r w:rsidRPr="00382917">
        <w:t>it</w:t>
      </w:r>
      <w:r w:rsidR="00EE4FC3">
        <w:t xml:space="preserve"> </w:t>
      </w:r>
      <w:r w:rsidRPr="00382917">
        <w:t>until</w:t>
      </w:r>
      <w:r w:rsidR="00EE4FC3">
        <w:t xml:space="preserve"> </w:t>
      </w:r>
      <w:r w:rsidRPr="00382917">
        <w:t>at</w:t>
      </w:r>
      <w:r w:rsidR="00EE4FC3">
        <w:t xml:space="preserve"> </w:t>
      </w:r>
      <w:r w:rsidRPr="00382917">
        <w:t>last</w:t>
      </w:r>
      <w:r w:rsidR="00EE4FC3">
        <w:t xml:space="preserve"> </w:t>
      </w:r>
      <w:r w:rsidRPr="00382917">
        <w:t>it</w:t>
      </w:r>
      <w:r w:rsidR="00EE4FC3">
        <w:t xml:space="preserve"> </w:t>
      </w:r>
      <w:r w:rsidRPr="00382917">
        <w:t>led</w:t>
      </w:r>
      <w:r w:rsidR="00EE4FC3">
        <w:t xml:space="preserve"> </w:t>
      </w:r>
      <w:r w:rsidRPr="00382917">
        <w:t>him</w:t>
      </w:r>
      <w:r w:rsidR="00EE4FC3">
        <w:t xml:space="preserve"> </w:t>
      </w:r>
      <w:r w:rsidRPr="00382917">
        <w:t>to</w:t>
      </w:r>
      <w:r w:rsidR="00EE4FC3">
        <w:t xml:space="preserve"> </w:t>
      </w:r>
      <w:r w:rsidRPr="00382917">
        <w:t>a</w:t>
      </w:r>
      <w:r w:rsidR="00EE4FC3">
        <w:t xml:space="preserve"> </w:t>
      </w:r>
      <w:r w:rsidRPr="00382917">
        <w:t>certain</w:t>
      </w:r>
      <w:r w:rsidR="00EE4FC3">
        <w:t xml:space="preserve"> </w:t>
      </w:r>
      <w:r w:rsidRPr="00382917">
        <w:t>door.</w:t>
      </w:r>
      <w:r w:rsidR="00EE4FC3">
        <w:t xml:space="preserve">  </w:t>
      </w:r>
      <w:r w:rsidRPr="00382917">
        <w:t>He</w:t>
      </w:r>
      <w:r w:rsidR="00EE4FC3">
        <w:t xml:space="preserve"> </w:t>
      </w:r>
      <w:r w:rsidRPr="00382917">
        <w:t>knew</w:t>
      </w:r>
      <w:r w:rsidR="00EE4FC3">
        <w:t xml:space="preserve"> </w:t>
      </w:r>
      <w:r w:rsidRPr="00382917">
        <w:t>immediately</w:t>
      </w:r>
      <w:r w:rsidR="00EE4FC3">
        <w:t xml:space="preserve"> </w:t>
      </w:r>
      <w:r w:rsidRPr="00382917">
        <w:t>that</w:t>
      </w:r>
      <w:r w:rsidR="00EE4FC3">
        <w:t xml:space="preserve"> </w:t>
      </w:r>
      <w:r w:rsidRPr="00382917">
        <w:t>the</w:t>
      </w:r>
      <w:r w:rsidR="00EE4FC3">
        <w:t xml:space="preserve"> </w:t>
      </w:r>
      <w:r w:rsidRPr="00382917">
        <w:t>Treasure</w:t>
      </w:r>
      <w:r w:rsidR="00EE4FC3">
        <w:t xml:space="preserve"> </w:t>
      </w:r>
      <w:r w:rsidRPr="00382917">
        <w:t>was</w:t>
      </w:r>
      <w:r w:rsidR="00EE4FC3">
        <w:t xml:space="preserve"> </w:t>
      </w:r>
      <w:r w:rsidRPr="00382917">
        <w:t>within.</w:t>
      </w:r>
      <w:r w:rsidR="00EE4FC3">
        <w:t xml:space="preserve">  </w:t>
      </w:r>
      <w:r w:rsidRPr="00382917">
        <w:t>He</w:t>
      </w:r>
      <w:r w:rsidR="00EE4FC3">
        <w:t xml:space="preserve"> </w:t>
      </w:r>
      <w:r w:rsidRPr="00382917">
        <w:t>awoke</w:t>
      </w:r>
      <w:r w:rsidR="00EE4FC3">
        <w:t xml:space="preserve"> </w:t>
      </w:r>
      <w:r w:rsidRPr="00382917">
        <w:t>in</w:t>
      </w:r>
      <w:r w:rsidR="00EE4FC3">
        <w:t xml:space="preserve"> </w:t>
      </w:r>
      <w:r w:rsidRPr="00382917">
        <w:t>a</w:t>
      </w:r>
      <w:r w:rsidR="00EE4FC3">
        <w:t xml:space="preserve"> </w:t>
      </w:r>
      <w:r w:rsidRPr="00382917">
        <w:t>state</w:t>
      </w:r>
      <w:r w:rsidR="00EE4FC3">
        <w:t xml:space="preserve"> </w:t>
      </w:r>
      <w:r w:rsidRPr="00382917">
        <w:t>of</w:t>
      </w:r>
      <w:r w:rsidR="00EE4FC3">
        <w:t xml:space="preserve"> </w:t>
      </w:r>
      <w:r w:rsidRPr="00382917">
        <w:t>great</w:t>
      </w:r>
      <w:r w:rsidR="00EE4FC3">
        <w:t xml:space="preserve"> </w:t>
      </w:r>
      <w:r w:rsidRPr="00382917">
        <w:t>rapture.</w:t>
      </w:r>
    </w:p>
    <w:p w:rsidR="006D18A4" w:rsidRPr="00382917" w:rsidRDefault="006D18A4" w:rsidP="006D18A4">
      <w:pPr>
        <w:pStyle w:val="Text"/>
      </w:pPr>
      <w:r w:rsidRPr="00382917">
        <w:t>Although</w:t>
      </w:r>
      <w:r w:rsidR="00EE4FC3">
        <w:t xml:space="preserve"> </w:t>
      </w:r>
      <w:r w:rsidRPr="00382917">
        <w:t>it</w:t>
      </w:r>
      <w:r w:rsidR="00EE4FC3">
        <w:t xml:space="preserve"> </w:t>
      </w:r>
      <w:r w:rsidRPr="00382917">
        <w:t>was</w:t>
      </w:r>
      <w:r w:rsidR="00EE4FC3">
        <w:t xml:space="preserve"> </w:t>
      </w:r>
      <w:r w:rsidRPr="00382917">
        <w:t>the</w:t>
      </w:r>
      <w:r w:rsidR="00EE4FC3">
        <w:t xml:space="preserve"> </w:t>
      </w:r>
      <w:r w:rsidRPr="00382917">
        <w:t>middle</w:t>
      </w:r>
      <w:r w:rsidR="00EE4FC3">
        <w:t xml:space="preserve"> </w:t>
      </w:r>
      <w:r w:rsidRPr="00382917">
        <w:t>of</w:t>
      </w:r>
      <w:r w:rsidR="00EE4FC3">
        <w:t xml:space="preserve"> </w:t>
      </w:r>
      <w:r w:rsidRPr="00382917">
        <w:t>the</w:t>
      </w:r>
      <w:r w:rsidR="00EE4FC3">
        <w:t xml:space="preserve"> </w:t>
      </w:r>
      <w:r w:rsidRPr="00382917">
        <w:t>night,</w:t>
      </w:r>
      <w:r w:rsidR="00EE4FC3">
        <w:t xml:space="preserve"> </w:t>
      </w:r>
      <w:r w:rsidRPr="00382917">
        <w:t>he</w:t>
      </w:r>
      <w:r w:rsidR="00EE4FC3">
        <w:t xml:space="preserve"> </w:t>
      </w:r>
      <w:r w:rsidRPr="00382917">
        <w:t>rushed</w:t>
      </w:r>
      <w:r w:rsidR="00EE4FC3">
        <w:t xml:space="preserve"> </w:t>
      </w:r>
      <w:r w:rsidRPr="00382917">
        <w:t>to</w:t>
      </w:r>
      <w:r w:rsidR="00EE4FC3">
        <w:t xml:space="preserve"> </w:t>
      </w:r>
      <w:r w:rsidRPr="00382917">
        <w:t>Mullá</w:t>
      </w:r>
      <w:r w:rsidR="00EE4FC3">
        <w:t xml:space="preserve"> </w:t>
      </w:r>
      <w:r w:rsidR="00964C11" w:rsidRPr="00382917">
        <w:t>Ḥusayn</w:t>
      </w:r>
      <w:r w:rsidRPr="00382917">
        <w:t>.</w:t>
      </w:r>
      <w:r w:rsidR="00EE4FC3">
        <w:t xml:space="preserve">  </w:t>
      </w:r>
      <w:r w:rsidRPr="00382917">
        <w:t>His</w:t>
      </w:r>
      <w:r w:rsidR="00EE4FC3">
        <w:t xml:space="preserve"> </w:t>
      </w:r>
      <w:r w:rsidRPr="00382917">
        <w:t>face</w:t>
      </w:r>
      <w:r w:rsidR="00EE4FC3">
        <w:t xml:space="preserve"> </w:t>
      </w:r>
      <w:r w:rsidRPr="00382917">
        <w:t>was</w:t>
      </w:r>
      <w:r w:rsidR="00EE4FC3">
        <w:t xml:space="preserve"> </w:t>
      </w:r>
      <w:r w:rsidRPr="00382917">
        <w:t>aglow</w:t>
      </w:r>
      <w:r w:rsidR="00EE4FC3">
        <w:t xml:space="preserve"> </w:t>
      </w:r>
      <w:r w:rsidRPr="00382917">
        <w:t>with</w:t>
      </w:r>
      <w:r w:rsidR="00EE4FC3">
        <w:t xml:space="preserve"> </w:t>
      </w:r>
      <w:r w:rsidRPr="00382917">
        <w:t>happiness.</w:t>
      </w:r>
      <w:r w:rsidR="00EE4FC3">
        <w:t xml:space="preserve">  </w:t>
      </w:r>
      <w:r w:rsidRPr="00382917">
        <w:t>He</w:t>
      </w:r>
      <w:r w:rsidR="00EE4FC3">
        <w:t xml:space="preserve"> </w:t>
      </w:r>
      <w:r w:rsidRPr="00382917">
        <w:t>threw</w:t>
      </w:r>
      <w:r w:rsidR="00EE4FC3">
        <w:t xml:space="preserve"> </w:t>
      </w:r>
      <w:r w:rsidRPr="00382917">
        <w:t>himself</w:t>
      </w:r>
      <w:r w:rsidR="00EE4FC3">
        <w:t xml:space="preserve"> </w:t>
      </w:r>
      <w:r w:rsidRPr="00382917">
        <w:t>into</w:t>
      </w:r>
      <w:r w:rsidR="00EE4FC3">
        <w:t xml:space="preserve"> </w:t>
      </w:r>
      <w:r w:rsidRPr="00382917">
        <w:t>the</w:t>
      </w:r>
      <w:r w:rsidR="00EE4FC3">
        <w:t xml:space="preserve"> </w:t>
      </w:r>
      <w:r w:rsidRPr="00382917">
        <w:t>arms</w:t>
      </w:r>
      <w:r w:rsidR="00EE4FC3">
        <w:t xml:space="preserve"> </w:t>
      </w:r>
      <w:r w:rsidRPr="00382917">
        <w:t>of</w:t>
      </w:r>
      <w:r w:rsidR="00EE4FC3">
        <w:t xml:space="preserve"> </w:t>
      </w:r>
      <w:r w:rsidRPr="00382917">
        <w:t>his</w:t>
      </w:r>
      <w:r w:rsidR="00EE4FC3">
        <w:t xml:space="preserve"> </w:t>
      </w:r>
      <w:r w:rsidRPr="00382917">
        <w:t>friend.</w:t>
      </w:r>
      <w:r w:rsidR="00EE4FC3">
        <w:t xml:space="preserve">  </w:t>
      </w:r>
      <w:r w:rsidRPr="00382917">
        <w:t>Mullá</w:t>
      </w:r>
      <w:r w:rsidR="00EE4FC3">
        <w:t xml:space="preserve"> </w:t>
      </w:r>
      <w:r w:rsidR="00964C11" w:rsidRPr="00382917">
        <w:t>Ḥusayn</w:t>
      </w:r>
      <w:r w:rsidR="00EE4FC3">
        <w:t xml:space="preserve"> </w:t>
      </w:r>
      <w:r w:rsidRPr="00382917">
        <w:t>realized</w:t>
      </w:r>
      <w:r w:rsidR="00EE4FC3">
        <w:t xml:space="preserve"> </w:t>
      </w:r>
      <w:r w:rsidRPr="00382917">
        <w:t>at</w:t>
      </w:r>
      <w:r w:rsidR="00EE4FC3">
        <w:t xml:space="preserve"> </w:t>
      </w:r>
      <w:r w:rsidRPr="00382917">
        <w:t>once</w:t>
      </w:r>
      <w:r w:rsidR="00EE4FC3">
        <w:t xml:space="preserve"> </w:t>
      </w:r>
      <w:r w:rsidRPr="00382917">
        <w:t>that</w:t>
      </w:r>
      <w:r w:rsidR="00EE4FC3">
        <w:t xml:space="preserve"> </w:t>
      </w:r>
      <w:r w:rsidRPr="00382917">
        <w:t>Mullá</w:t>
      </w:r>
      <w:r w:rsidR="00EE4FC3">
        <w:t xml:space="preserve"> </w:t>
      </w:r>
      <w:r w:rsidR="009C713D" w:rsidRPr="00382917">
        <w:t>‘</w:t>
      </w:r>
      <w:r w:rsidRPr="00382917">
        <w:t>Alí</w:t>
      </w:r>
      <w:r w:rsidR="00EE4FC3">
        <w:t xml:space="preserve"> </w:t>
      </w:r>
      <w:r w:rsidRPr="00382917">
        <w:t>at</w:t>
      </w:r>
      <w:r w:rsidR="00EE4FC3">
        <w:t xml:space="preserve"> </w:t>
      </w:r>
      <w:r w:rsidRPr="00382917">
        <w:t>last</w:t>
      </w:r>
      <w:r w:rsidR="00EE4FC3">
        <w:t xml:space="preserve"> </w:t>
      </w:r>
      <w:r w:rsidRPr="00382917">
        <w:t>knew</w:t>
      </w:r>
      <w:r w:rsidR="00EE4FC3">
        <w:t xml:space="preserve"> </w:t>
      </w:r>
      <w:r w:rsidRPr="00382917">
        <w:t>the</w:t>
      </w:r>
      <w:r w:rsidR="00EE4FC3">
        <w:t xml:space="preserve"> </w:t>
      </w:r>
      <w:r w:rsidRPr="00382917">
        <w:t>truth.</w:t>
      </w:r>
      <w:r w:rsidR="00EE4FC3">
        <w:t xml:space="preserve">  </w:t>
      </w:r>
      <w:r w:rsidRPr="00382917">
        <w:t>He</w:t>
      </w:r>
      <w:r w:rsidR="00EE4FC3">
        <w:t xml:space="preserve"> </w:t>
      </w:r>
      <w:r w:rsidRPr="00382917">
        <w:t>knew</w:t>
      </w:r>
      <w:r w:rsidR="00EE4FC3">
        <w:t xml:space="preserve"> </w:t>
      </w:r>
      <w:r w:rsidRPr="00382917">
        <w:t>where</w:t>
      </w:r>
      <w:r w:rsidR="00EE4FC3">
        <w:t xml:space="preserve"> </w:t>
      </w:r>
      <w:r w:rsidRPr="00382917">
        <w:t>to</w:t>
      </w:r>
      <w:r w:rsidR="00EE4FC3">
        <w:t xml:space="preserve"> </w:t>
      </w:r>
      <w:r w:rsidRPr="00382917">
        <w:t>find</w:t>
      </w:r>
      <w:r w:rsidR="00EE4FC3">
        <w:t xml:space="preserve"> </w:t>
      </w:r>
      <w:r w:rsidRPr="00382917">
        <w:t>his</w:t>
      </w:r>
      <w:r w:rsidR="00EE4FC3">
        <w:t xml:space="preserve"> </w:t>
      </w:r>
      <w:r w:rsidRPr="00382917">
        <w:t>Beloved.</w:t>
      </w:r>
    </w:p>
    <w:p w:rsidR="006D18A4" w:rsidRPr="00382917" w:rsidRDefault="006D18A4" w:rsidP="006D18A4">
      <w:pPr>
        <w:pStyle w:val="Text"/>
      </w:pPr>
      <w:r w:rsidRPr="00382917">
        <w:t>He</w:t>
      </w:r>
      <w:r w:rsidR="00EE4FC3">
        <w:t xml:space="preserve"> </w:t>
      </w:r>
      <w:r w:rsidRPr="00382917">
        <w:t>embraced</w:t>
      </w:r>
      <w:r w:rsidR="00EE4FC3">
        <w:t xml:space="preserve"> </w:t>
      </w:r>
      <w:r w:rsidRPr="00382917">
        <w:t>Mullá</w:t>
      </w:r>
      <w:r w:rsidR="00EE4FC3">
        <w:t xml:space="preserve"> </w:t>
      </w:r>
      <w:r w:rsidR="009C713D" w:rsidRPr="00382917">
        <w:t>‘</w:t>
      </w:r>
      <w:r w:rsidRPr="00382917">
        <w:t>Alí</w:t>
      </w:r>
      <w:r w:rsidR="00EE4FC3">
        <w:t xml:space="preserve"> </w:t>
      </w:r>
      <w:r w:rsidRPr="00382917">
        <w:t>lovingly,</w:t>
      </w:r>
      <w:r w:rsidR="00EE4FC3">
        <w:t xml:space="preserve"> </w:t>
      </w:r>
      <w:r w:rsidRPr="00382917">
        <w:t>and</w:t>
      </w:r>
      <w:r w:rsidR="00EE4FC3">
        <w:t xml:space="preserve"> </w:t>
      </w:r>
      <w:r w:rsidRPr="00382917">
        <w:t>said:</w:t>
      </w:r>
      <w:r w:rsidR="00EE4FC3">
        <w:t xml:space="preserve">  </w:t>
      </w:r>
      <w:r w:rsidR="009C713D" w:rsidRPr="00382917">
        <w:t>“</w:t>
      </w:r>
      <w:r w:rsidRPr="00382917">
        <w:t>Praise</w:t>
      </w:r>
      <w:r w:rsidR="00EE4FC3">
        <w:t xml:space="preserve"> </w:t>
      </w:r>
      <w:proofErr w:type="gramStart"/>
      <w:r w:rsidRPr="00382917">
        <w:t>be</w:t>
      </w:r>
      <w:proofErr w:type="gramEnd"/>
      <w:r w:rsidR="00EE4FC3">
        <w:t xml:space="preserve"> </w:t>
      </w:r>
      <w:r w:rsidRPr="00382917">
        <w:t>to</w:t>
      </w:r>
      <w:r w:rsidR="00EE4FC3">
        <w:t xml:space="preserve"> </w:t>
      </w:r>
      <w:r w:rsidRPr="00382917">
        <w:t>God</w:t>
      </w:r>
      <w:r w:rsidR="00EE4FC3">
        <w:t xml:space="preserve"> </w:t>
      </w:r>
      <w:r w:rsidRPr="00382917">
        <w:t>Who</w:t>
      </w:r>
      <w:r w:rsidR="00EE4FC3">
        <w:t xml:space="preserve"> </w:t>
      </w:r>
      <w:r w:rsidRPr="00382917">
        <w:t>hath</w:t>
      </w:r>
      <w:r w:rsidR="00EE4FC3">
        <w:t xml:space="preserve"> </w:t>
      </w:r>
      <w:r w:rsidRPr="00382917">
        <w:t>guided</w:t>
      </w:r>
      <w:r w:rsidR="00EE4FC3">
        <w:t xml:space="preserve"> </w:t>
      </w:r>
      <w:r w:rsidRPr="00382917">
        <w:t>us.</w:t>
      </w:r>
      <w:r w:rsidR="009C713D" w:rsidRPr="00382917">
        <w:t>”</w:t>
      </w:r>
    </w:p>
    <w:p w:rsidR="006D18A4" w:rsidRPr="00382917" w:rsidRDefault="006D18A4" w:rsidP="006D18A4">
      <w:pPr>
        <w:pStyle w:val="Text"/>
      </w:pPr>
      <w:r w:rsidRPr="00382917">
        <w:t>That</w:t>
      </w:r>
      <w:r w:rsidR="00EE4FC3">
        <w:t xml:space="preserve"> </w:t>
      </w:r>
      <w:r w:rsidRPr="00382917">
        <w:t>very</w:t>
      </w:r>
      <w:r w:rsidR="00EE4FC3">
        <w:t xml:space="preserve"> </w:t>
      </w:r>
      <w:r w:rsidRPr="00382917">
        <w:t>morning,</w:t>
      </w:r>
      <w:r w:rsidR="00EE4FC3">
        <w:t xml:space="preserve"> </w:t>
      </w:r>
      <w:r w:rsidRPr="00382917">
        <w:t>at</w:t>
      </w:r>
      <w:r w:rsidR="00EE4FC3">
        <w:t xml:space="preserve"> </w:t>
      </w:r>
      <w:r w:rsidRPr="00382917">
        <w:t>break</w:t>
      </w:r>
      <w:r w:rsidR="00EE4FC3">
        <w:t xml:space="preserve"> </w:t>
      </w:r>
      <w:r w:rsidRPr="00382917">
        <w:t>of</w:t>
      </w:r>
      <w:r w:rsidR="00EE4FC3">
        <w:t xml:space="preserve"> </w:t>
      </w:r>
      <w:r w:rsidRPr="00382917">
        <w:t>day,</w:t>
      </w:r>
      <w:r w:rsidR="00EE4FC3">
        <w:t xml:space="preserve"> </w:t>
      </w:r>
      <w:r w:rsidRPr="00382917">
        <w:t>Mullá</w:t>
      </w:r>
      <w:r w:rsidR="00EE4FC3">
        <w:t xml:space="preserve"> </w:t>
      </w:r>
      <w:r w:rsidR="00964C11" w:rsidRPr="00382917">
        <w:t>Ḥusayn</w:t>
      </w:r>
      <w:r w:rsidR="00EE4FC3">
        <w:t xml:space="preserve"> </w:t>
      </w:r>
      <w:r w:rsidRPr="00382917">
        <w:t>followed</w:t>
      </w:r>
      <w:r w:rsidR="00EE4FC3">
        <w:t xml:space="preserve"> </w:t>
      </w:r>
      <w:r w:rsidRPr="00382917">
        <w:t>by</w:t>
      </w:r>
      <w:r w:rsidR="00EE4FC3">
        <w:t xml:space="preserve"> </w:t>
      </w:r>
      <w:r w:rsidRPr="00382917">
        <w:t>Mullá</w:t>
      </w:r>
      <w:r w:rsidR="00EE4FC3">
        <w:t xml:space="preserve"> </w:t>
      </w:r>
      <w:r w:rsidR="009C713D" w:rsidRPr="00382917">
        <w:t>‘</w:t>
      </w:r>
      <w:r w:rsidRPr="00382917">
        <w:t>Alí</w:t>
      </w:r>
      <w:r w:rsidR="00EE4FC3">
        <w:t xml:space="preserve"> </w:t>
      </w:r>
      <w:r w:rsidRPr="00382917">
        <w:t>hastened</w:t>
      </w:r>
      <w:r w:rsidR="00EE4FC3">
        <w:t xml:space="preserve"> </w:t>
      </w:r>
      <w:r w:rsidRPr="00382917">
        <w:t>to</w:t>
      </w:r>
      <w:r w:rsidR="00EE4FC3">
        <w:t xml:space="preserve"> </w:t>
      </w:r>
      <w:r w:rsidRPr="00382917">
        <w:t>the</w:t>
      </w:r>
      <w:r w:rsidR="00EE4FC3">
        <w:t xml:space="preserve"> </w:t>
      </w:r>
      <w:r w:rsidRPr="00382917">
        <w:t>residence</w:t>
      </w:r>
      <w:r w:rsidR="00EE4FC3">
        <w:t xml:space="preserve"> </w:t>
      </w:r>
      <w:r w:rsidRPr="00382917">
        <w:t>of</w:t>
      </w:r>
      <w:r w:rsidR="00EE4FC3">
        <w:t xml:space="preserve"> </w:t>
      </w:r>
      <w:r w:rsidRPr="00382917">
        <w:t>the</w:t>
      </w:r>
      <w:r w:rsidR="00EE4FC3">
        <w:t xml:space="preserve"> </w:t>
      </w:r>
      <w:r w:rsidRPr="00382917">
        <w:t>Báb.</w:t>
      </w:r>
      <w:r w:rsidR="00EE4FC3">
        <w:t xml:space="preserve">  </w:t>
      </w:r>
      <w:r w:rsidRPr="00382917">
        <w:t>At</w:t>
      </w:r>
      <w:r w:rsidR="00EE4FC3">
        <w:t xml:space="preserve"> </w:t>
      </w:r>
      <w:r w:rsidRPr="00382917">
        <w:t>the</w:t>
      </w:r>
      <w:r w:rsidR="00EE4FC3">
        <w:t xml:space="preserve"> </w:t>
      </w:r>
      <w:r w:rsidRPr="00382917">
        <w:t>entrance</w:t>
      </w:r>
      <w:r w:rsidR="00EE4FC3">
        <w:t xml:space="preserve"> </w:t>
      </w:r>
      <w:r w:rsidRPr="00382917">
        <w:t>they</w:t>
      </w:r>
      <w:r w:rsidR="00EE4FC3">
        <w:t xml:space="preserve"> </w:t>
      </w:r>
      <w:r w:rsidRPr="00382917">
        <w:t>were</w:t>
      </w:r>
      <w:r w:rsidR="00EE4FC3">
        <w:t xml:space="preserve"> </w:t>
      </w:r>
      <w:r w:rsidRPr="00382917">
        <w:t>met</w:t>
      </w:r>
      <w:r w:rsidR="00EE4FC3">
        <w:t xml:space="preserve"> </w:t>
      </w:r>
      <w:r w:rsidRPr="00382917">
        <w:t>by</w:t>
      </w:r>
      <w:r w:rsidR="00EE4FC3">
        <w:t xml:space="preserve"> </w:t>
      </w:r>
      <w:r w:rsidRPr="00382917">
        <w:t>the</w:t>
      </w:r>
      <w:r w:rsidR="00EE4FC3">
        <w:t xml:space="preserve"> </w:t>
      </w:r>
      <w:r w:rsidRPr="00382917">
        <w:t>Báb</w:t>
      </w:r>
      <w:r w:rsidR="009C713D" w:rsidRPr="00382917">
        <w:t>’</w:t>
      </w:r>
      <w:r w:rsidRPr="00382917">
        <w:t>s</w:t>
      </w:r>
      <w:r w:rsidR="00EE4FC3">
        <w:t xml:space="preserve"> </w:t>
      </w:r>
      <w:r w:rsidRPr="00382917">
        <w:t>much</w:t>
      </w:r>
      <w:r w:rsidR="00EE4FC3">
        <w:t xml:space="preserve"> </w:t>
      </w:r>
      <w:r w:rsidRPr="00382917">
        <w:t>loved</w:t>
      </w:r>
      <w:r w:rsidR="00EE4FC3">
        <w:t xml:space="preserve"> </w:t>
      </w:r>
      <w:r w:rsidRPr="00382917">
        <w:t>Ethiopian</w:t>
      </w:r>
      <w:r w:rsidR="00EE4FC3">
        <w:t xml:space="preserve"> </w:t>
      </w:r>
      <w:r w:rsidRPr="00382917">
        <w:t>servant,</w:t>
      </w:r>
      <w:r w:rsidR="00EE4FC3">
        <w:t xml:space="preserve"> </w:t>
      </w:r>
      <w:r w:rsidRPr="00382917">
        <w:t>who</w:t>
      </w:r>
      <w:r w:rsidR="00EE4FC3">
        <w:t xml:space="preserve"> </w:t>
      </w:r>
      <w:r w:rsidRPr="00382917">
        <w:t>immediately</w:t>
      </w:r>
      <w:r w:rsidR="00EE4FC3">
        <w:t xml:space="preserve"> </w:t>
      </w:r>
      <w:r w:rsidRPr="00382917">
        <w:t>recognized</w:t>
      </w:r>
      <w:r w:rsidR="00EE4FC3">
        <w:t xml:space="preserve"> </w:t>
      </w:r>
      <w:r w:rsidRPr="00382917">
        <w:t>them.</w:t>
      </w:r>
      <w:r w:rsidR="00EE4FC3">
        <w:t xml:space="preserve">  </w:t>
      </w:r>
      <w:r w:rsidRPr="00382917">
        <w:t>He</w:t>
      </w:r>
      <w:r w:rsidR="00EE4FC3">
        <w:t xml:space="preserve"> </w:t>
      </w:r>
      <w:r w:rsidRPr="00382917">
        <w:t>greeted</w:t>
      </w:r>
      <w:r w:rsidR="00EE4FC3">
        <w:t xml:space="preserve"> </w:t>
      </w:r>
      <w:r w:rsidRPr="00382917">
        <w:t>them</w:t>
      </w:r>
      <w:r w:rsidR="00EE4FC3">
        <w:t xml:space="preserve"> </w:t>
      </w:r>
      <w:r w:rsidRPr="00382917">
        <w:t>with</w:t>
      </w:r>
      <w:r w:rsidR="00EE4FC3">
        <w:t xml:space="preserve"> </w:t>
      </w:r>
      <w:r w:rsidRPr="00382917">
        <w:t>these</w:t>
      </w:r>
      <w:r w:rsidR="00EE4FC3">
        <w:t xml:space="preserve"> </w:t>
      </w:r>
      <w:r w:rsidRPr="00382917">
        <w:t>words:</w:t>
      </w:r>
    </w:p>
    <w:p w:rsidR="006D18A4" w:rsidRPr="00382917" w:rsidRDefault="009C713D" w:rsidP="006D18A4">
      <w:pPr>
        <w:pStyle w:val="Text"/>
      </w:pPr>
      <w:r w:rsidRPr="00382917">
        <w:t>“</w:t>
      </w:r>
      <w:r w:rsidR="006D18A4" w:rsidRPr="00382917">
        <w:t>Before</w:t>
      </w:r>
      <w:r w:rsidR="00EE4FC3">
        <w:t xml:space="preserve"> </w:t>
      </w:r>
      <w:r w:rsidR="006D18A4" w:rsidRPr="00382917">
        <w:t>break</w:t>
      </w:r>
      <w:r w:rsidR="00EE4FC3">
        <w:t xml:space="preserve"> </w:t>
      </w:r>
      <w:r w:rsidR="006D18A4" w:rsidRPr="00382917">
        <w:t>of</w:t>
      </w:r>
      <w:r w:rsidR="00EE4FC3">
        <w:t xml:space="preserve"> </w:t>
      </w:r>
      <w:r w:rsidR="006D18A4" w:rsidRPr="00382917">
        <w:t>day</w:t>
      </w:r>
      <w:r w:rsidR="00EE4FC3">
        <w:t xml:space="preserve"> </w:t>
      </w:r>
      <w:r w:rsidR="006D18A4" w:rsidRPr="00382917">
        <w:t>I</w:t>
      </w:r>
      <w:r w:rsidR="00EE4FC3">
        <w:t xml:space="preserve"> </w:t>
      </w:r>
      <w:r w:rsidR="006D18A4" w:rsidRPr="00382917">
        <w:t>was</w:t>
      </w:r>
      <w:r w:rsidR="00EE4FC3">
        <w:t xml:space="preserve"> </w:t>
      </w:r>
      <w:r w:rsidR="006D18A4" w:rsidRPr="00382917">
        <w:t>summoned</w:t>
      </w:r>
      <w:r w:rsidR="00EE4FC3">
        <w:t xml:space="preserve"> </w:t>
      </w:r>
      <w:r w:rsidR="006D18A4" w:rsidRPr="00382917">
        <w:t>to</w:t>
      </w:r>
      <w:r w:rsidR="00EE4FC3">
        <w:t xml:space="preserve"> </w:t>
      </w:r>
      <w:r w:rsidR="006D18A4" w:rsidRPr="00382917">
        <w:t>the</w:t>
      </w:r>
      <w:r w:rsidR="00EE4FC3">
        <w:t xml:space="preserve"> </w:t>
      </w:r>
      <w:r w:rsidR="006D18A4" w:rsidRPr="00382917">
        <w:t>presence</w:t>
      </w:r>
      <w:r w:rsidR="00EE4FC3">
        <w:t xml:space="preserve"> </w:t>
      </w:r>
      <w:r w:rsidR="006D18A4" w:rsidRPr="00382917">
        <w:t>of</w:t>
      </w:r>
      <w:r w:rsidR="00EE4FC3">
        <w:t xml:space="preserve"> </w:t>
      </w:r>
      <w:r w:rsidR="006D18A4" w:rsidRPr="00382917">
        <w:t>my</w:t>
      </w:r>
      <w:r w:rsidR="00EE4FC3">
        <w:t xml:space="preserve"> </w:t>
      </w:r>
      <w:r w:rsidR="006D18A4" w:rsidRPr="00382917">
        <w:t>Master</w:t>
      </w:r>
      <w:r w:rsidR="00EE4FC3">
        <w:t xml:space="preserve"> </w:t>
      </w:r>
      <w:r w:rsidR="006D18A4" w:rsidRPr="00382917">
        <w:t>who</w:t>
      </w:r>
      <w:r w:rsidR="00EE4FC3">
        <w:t xml:space="preserve"> </w:t>
      </w:r>
      <w:r w:rsidR="006D18A4" w:rsidRPr="00382917">
        <w:t>instructed</w:t>
      </w:r>
      <w:r w:rsidR="00EE4FC3">
        <w:t xml:space="preserve"> </w:t>
      </w:r>
      <w:r w:rsidR="006D18A4" w:rsidRPr="00382917">
        <w:t>me</w:t>
      </w:r>
      <w:r w:rsidR="00EE4FC3">
        <w:t xml:space="preserve"> </w:t>
      </w:r>
      <w:r w:rsidR="006D18A4" w:rsidRPr="00382917">
        <w:t>to</w:t>
      </w:r>
      <w:r w:rsidR="00EE4FC3">
        <w:t xml:space="preserve"> </w:t>
      </w:r>
      <w:r w:rsidR="006D18A4" w:rsidRPr="00382917">
        <w:t>open</w:t>
      </w:r>
      <w:r w:rsidR="00EE4FC3">
        <w:t xml:space="preserve"> </w:t>
      </w:r>
      <w:r w:rsidR="006D18A4" w:rsidRPr="00382917">
        <w:t>the</w:t>
      </w:r>
      <w:r w:rsidR="00EE4FC3">
        <w:t xml:space="preserve"> </w:t>
      </w:r>
      <w:r w:rsidR="006D18A4" w:rsidRPr="00382917">
        <w:t>door</w:t>
      </w:r>
      <w:r w:rsidR="00EE4FC3">
        <w:t xml:space="preserve"> </w:t>
      </w:r>
      <w:r w:rsidR="006D18A4" w:rsidRPr="00382917">
        <w:t>of</w:t>
      </w:r>
      <w:r w:rsidR="00EE4FC3">
        <w:t xml:space="preserve"> </w:t>
      </w:r>
      <w:r w:rsidR="006D18A4" w:rsidRPr="00382917">
        <w:t>the</w:t>
      </w:r>
      <w:r w:rsidR="00EE4FC3">
        <w:t xml:space="preserve"> </w:t>
      </w:r>
      <w:r w:rsidR="006D18A4" w:rsidRPr="00382917">
        <w:t>house</w:t>
      </w:r>
      <w:r w:rsidR="00EE4FC3">
        <w:t xml:space="preserve"> </w:t>
      </w:r>
      <w:r w:rsidR="006D18A4" w:rsidRPr="00382917">
        <w:t>and</w:t>
      </w:r>
      <w:r w:rsidR="00EE4FC3">
        <w:t xml:space="preserve"> </w:t>
      </w:r>
      <w:r w:rsidR="006D18A4" w:rsidRPr="00382917">
        <w:t>to</w:t>
      </w:r>
      <w:r w:rsidR="00EE4FC3">
        <w:t xml:space="preserve"> </w:t>
      </w:r>
      <w:r w:rsidR="006D18A4" w:rsidRPr="00382917">
        <w:t>stand</w:t>
      </w:r>
      <w:r w:rsidR="00EE4FC3">
        <w:t xml:space="preserve"> </w:t>
      </w:r>
      <w:r w:rsidR="006D18A4" w:rsidRPr="00382917">
        <w:t>expectant</w:t>
      </w:r>
      <w:r w:rsidR="00EE4FC3">
        <w:t xml:space="preserve"> </w:t>
      </w:r>
      <w:r w:rsidR="006D18A4" w:rsidRPr="00382917">
        <w:t>at</w:t>
      </w:r>
      <w:r w:rsidR="00EE4FC3">
        <w:t xml:space="preserve"> </w:t>
      </w:r>
      <w:r w:rsidR="006D18A4" w:rsidRPr="00382917">
        <w:t>its</w:t>
      </w:r>
      <w:r w:rsidR="00EE4FC3">
        <w:t xml:space="preserve"> </w:t>
      </w:r>
      <w:r w:rsidR="006D18A4" w:rsidRPr="00382917">
        <w:t>threshold.</w:t>
      </w:r>
    </w:p>
    <w:p w:rsidR="006D18A4" w:rsidRPr="00382917" w:rsidRDefault="009C713D" w:rsidP="00DD6267">
      <w:pPr>
        <w:pStyle w:val="Text"/>
      </w:pPr>
      <w:r w:rsidRPr="00382917">
        <w:t>“</w:t>
      </w:r>
      <w:r w:rsidR="00DD6267">
        <w:t>‘</w:t>
      </w:r>
      <w:r w:rsidR="006D18A4" w:rsidRPr="00382917">
        <w:t>Two</w:t>
      </w:r>
      <w:r w:rsidR="00EE4FC3">
        <w:t xml:space="preserve"> </w:t>
      </w:r>
      <w:r w:rsidR="006D18A4" w:rsidRPr="00382917">
        <w:t>guests,</w:t>
      </w:r>
      <w:r w:rsidRPr="00382917">
        <w:t>’</w:t>
      </w:r>
      <w:r w:rsidR="00EE4FC3">
        <w:t xml:space="preserve"> </w:t>
      </w:r>
      <w:r w:rsidR="006D18A4" w:rsidRPr="00382917">
        <w:t>He</w:t>
      </w:r>
      <w:r w:rsidR="00EE4FC3">
        <w:t xml:space="preserve"> </w:t>
      </w:r>
      <w:r w:rsidR="006D18A4" w:rsidRPr="00382917">
        <w:t>told</w:t>
      </w:r>
      <w:r w:rsidR="00EE4FC3">
        <w:t xml:space="preserve"> </w:t>
      </w:r>
      <w:r w:rsidR="006D18A4" w:rsidRPr="00382917">
        <w:t>me,</w:t>
      </w:r>
      <w:r w:rsidR="00EE4FC3">
        <w:t xml:space="preserve"> </w:t>
      </w:r>
      <w:r w:rsidRPr="00382917">
        <w:t>‘</w:t>
      </w:r>
      <w:r w:rsidR="006D18A4" w:rsidRPr="00382917">
        <w:t>are</w:t>
      </w:r>
      <w:r w:rsidR="00EE4FC3">
        <w:t xml:space="preserve"> </w:t>
      </w:r>
      <w:r w:rsidR="006D18A4" w:rsidRPr="00382917">
        <w:t>to</w:t>
      </w:r>
      <w:r w:rsidR="00EE4FC3">
        <w:t xml:space="preserve"> </w:t>
      </w:r>
      <w:r w:rsidR="006D18A4" w:rsidRPr="00382917">
        <w:t>arrive</w:t>
      </w:r>
      <w:r w:rsidR="00EE4FC3">
        <w:t xml:space="preserve"> </w:t>
      </w:r>
      <w:r w:rsidR="006D18A4" w:rsidRPr="00382917">
        <w:t>early</w:t>
      </w:r>
      <w:r w:rsidR="00EE4FC3">
        <w:t xml:space="preserve"> </w:t>
      </w:r>
      <w:r w:rsidR="006D18A4" w:rsidRPr="00382917">
        <w:t>this</w:t>
      </w:r>
      <w:r w:rsidR="00EE4FC3">
        <w:t xml:space="preserve"> </w:t>
      </w:r>
      <w:r w:rsidR="006D18A4" w:rsidRPr="00382917">
        <w:t>morning.</w:t>
      </w:r>
    </w:p>
    <w:p w:rsidR="006D18A4" w:rsidRPr="00382917" w:rsidRDefault="006D18A4">
      <w:pPr>
        <w:widowControl/>
        <w:kinsoku/>
        <w:overflowPunct/>
        <w:textAlignment w:val="auto"/>
      </w:pPr>
      <w:r w:rsidRPr="00382917">
        <w:br w:type="page"/>
      </w:r>
    </w:p>
    <w:p w:rsidR="006D18A4" w:rsidRPr="00382917" w:rsidRDefault="006D18A4" w:rsidP="00792F56">
      <w:pPr>
        <w:pStyle w:val="Textcts"/>
      </w:pPr>
      <w:r w:rsidRPr="00382917">
        <w:t>Extend</w:t>
      </w:r>
      <w:r w:rsidR="00EE4FC3">
        <w:t xml:space="preserve"> </w:t>
      </w:r>
      <w:r w:rsidRPr="00382917">
        <w:t>to</w:t>
      </w:r>
      <w:r w:rsidR="00EE4FC3">
        <w:t xml:space="preserve"> </w:t>
      </w:r>
      <w:r w:rsidRPr="00382917">
        <w:t>them</w:t>
      </w:r>
      <w:r w:rsidR="00EE4FC3">
        <w:t xml:space="preserve"> </w:t>
      </w:r>
      <w:r w:rsidRPr="00382917">
        <w:t>in</w:t>
      </w:r>
      <w:r w:rsidR="00EE4FC3">
        <w:t xml:space="preserve"> </w:t>
      </w:r>
      <w:proofErr w:type="gramStart"/>
      <w:r w:rsidRPr="00382917">
        <w:t>My</w:t>
      </w:r>
      <w:proofErr w:type="gramEnd"/>
      <w:r w:rsidR="00EE4FC3">
        <w:t xml:space="preserve"> </w:t>
      </w:r>
      <w:r w:rsidRPr="00382917">
        <w:t>name</w:t>
      </w:r>
      <w:r w:rsidR="00EE4FC3">
        <w:t xml:space="preserve"> </w:t>
      </w:r>
      <w:r w:rsidRPr="00382917">
        <w:t>a</w:t>
      </w:r>
      <w:r w:rsidR="00EE4FC3">
        <w:t xml:space="preserve"> </w:t>
      </w:r>
      <w:r w:rsidRPr="00382917">
        <w:t>warm</w:t>
      </w:r>
      <w:r w:rsidR="00EE4FC3">
        <w:t xml:space="preserve"> </w:t>
      </w:r>
      <w:r w:rsidRPr="00382917">
        <w:t>welcome.</w:t>
      </w:r>
      <w:r w:rsidR="00EE4FC3">
        <w:t xml:space="preserve">  </w:t>
      </w:r>
      <w:r w:rsidRPr="00382917">
        <w:t>Say</w:t>
      </w:r>
      <w:r w:rsidR="00EE4FC3">
        <w:t xml:space="preserve"> </w:t>
      </w:r>
      <w:r w:rsidRPr="00382917">
        <w:t>to</w:t>
      </w:r>
      <w:r w:rsidR="00EE4FC3">
        <w:t xml:space="preserve"> </w:t>
      </w:r>
      <w:r w:rsidRPr="00382917">
        <w:t>them</w:t>
      </w:r>
      <w:r w:rsidR="00EE4FC3">
        <w:t xml:space="preserve"> </w:t>
      </w:r>
      <w:r w:rsidRPr="00382917">
        <w:t>from</w:t>
      </w:r>
      <w:r w:rsidR="00EE4FC3">
        <w:t xml:space="preserve"> </w:t>
      </w:r>
      <w:proofErr w:type="gramStart"/>
      <w:r w:rsidRPr="00382917">
        <w:t>Me</w:t>
      </w:r>
      <w:proofErr w:type="gramEnd"/>
      <w:r w:rsidRPr="00382917">
        <w:t>:</w:t>
      </w:r>
      <w:r w:rsidR="00EE4FC3">
        <w:t xml:space="preserve">  </w:t>
      </w:r>
      <w:r w:rsidR="009C713D" w:rsidRPr="00382917">
        <w:t>“</w:t>
      </w:r>
      <w:r w:rsidRPr="00382917">
        <w:t>Enter</w:t>
      </w:r>
      <w:r w:rsidR="00EE4FC3">
        <w:t xml:space="preserve"> </w:t>
      </w:r>
      <w:r w:rsidRPr="00382917">
        <w:t>therein</w:t>
      </w:r>
      <w:r w:rsidR="00EE4FC3">
        <w:t xml:space="preserve"> </w:t>
      </w:r>
      <w:r w:rsidRPr="00382917">
        <w:t>in</w:t>
      </w:r>
      <w:r w:rsidR="00EE4FC3">
        <w:t xml:space="preserve"> </w:t>
      </w:r>
      <w:r w:rsidRPr="00382917">
        <w:t>the</w:t>
      </w:r>
      <w:r w:rsidR="00EE4FC3">
        <w:t xml:space="preserve"> </w:t>
      </w:r>
      <w:r w:rsidRPr="00382917">
        <w:t>name</w:t>
      </w:r>
      <w:r w:rsidR="00EE4FC3">
        <w:t xml:space="preserve"> </w:t>
      </w:r>
      <w:r w:rsidRPr="00382917">
        <w:t>of</w:t>
      </w:r>
      <w:r w:rsidR="00EE4FC3">
        <w:t xml:space="preserve"> </w:t>
      </w:r>
      <w:r w:rsidRPr="00382917">
        <w:t>God.</w:t>
      </w:r>
      <w:r w:rsidR="00792F56" w:rsidRPr="00382917">
        <w:t>”</w:t>
      </w:r>
      <w:r w:rsidR="00792F56">
        <w:t>’”</w:t>
      </w:r>
    </w:p>
    <w:p w:rsidR="00E13D49" w:rsidRPr="00382917" w:rsidRDefault="006D18A4" w:rsidP="00792F56">
      <w:pPr>
        <w:pStyle w:val="Text"/>
      </w:pPr>
      <w:r w:rsidRPr="00382917">
        <w:t>The</w:t>
      </w:r>
      <w:r w:rsidR="00EE4FC3">
        <w:t xml:space="preserve"> </w:t>
      </w:r>
      <w:r w:rsidRPr="00382917">
        <w:t>first</w:t>
      </w:r>
      <w:r w:rsidR="00EE4FC3">
        <w:t xml:space="preserve"> </w:t>
      </w:r>
      <w:r w:rsidRPr="00382917">
        <w:t>meeting</w:t>
      </w:r>
      <w:r w:rsidR="00EE4FC3">
        <w:t xml:space="preserve"> </w:t>
      </w:r>
      <w:r w:rsidRPr="00382917">
        <w:t>of</w:t>
      </w:r>
      <w:r w:rsidR="00EE4FC3">
        <w:t xml:space="preserve"> </w:t>
      </w:r>
      <w:r w:rsidRPr="00382917">
        <w:t>Mullá</w:t>
      </w:r>
      <w:r w:rsidR="00EE4FC3">
        <w:t xml:space="preserve"> </w:t>
      </w:r>
      <w:r w:rsidR="009C713D" w:rsidRPr="00382917">
        <w:t>‘</w:t>
      </w:r>
      <w:r w:rsidRPr="00382917">
        <w:t>Alí</w:t>
      </w:r>
      <w:r w:rsidR="00EE4FC3">
        <w:t xml:space="preserve"> </w:t>
      </w:r>
      <w:r w:rsidRPr="00382917">
        <w:t>with</w:t>
      </w:r>
      <w:r w:rsidR="00EE4FC3">
        <w:t xml:space="preserve"> </w:t>
      </w:r>
      <w:r w:rsidRPr="00382917">
        <w:t>the</w:t>
      </w:r>
      <w:r w:rsidR="00EE4FC3">
        <w:t xml:space="preserve"> </w:t>
      </w:r>
      <w:r w:rsidRPr="00382917">
        <w:t>Báb</w:t>
      </w:r>
      <w:r w:rsidR="00EE4FC3">
        <w:t xml:space="preserve"> </w:t>
      </w:r>
      <w:r w:rsidRPr="00382917">
        <w:t>differed</w:t>
      </w:r>
      <w:r w:rsidR="00EE4FC3">
        <w:t xml:space="preserve"> </w:t>
      </w:r>
      <w:r w:rsidRPr="00382917">
        <w:t>greatly</w:t>
      </w:r>
      <w:r w:rsidR="00EE4FC3">
        <w:t xml:space="preserve"> </w:t>
      </w:r>
      <w:r w:rsidRPr="00382917">
        <w:t>from</w:t>
      </w:r>
      <w:r w:rsidR="00EE4FC3">
        <w:t xml:space="preserve"> </w:t>
      </w:r>
      <w:r w:rsidRPr="00382917">
        <w:t>the</w:t>
      </w:r>
      <w:r w:rsidR="00EE4FC3">
        <w:t xml:space="preserve"> </w:t>
      </w:r>
      <w:r w:rsidRPr="00382917">
        <w:t>first</w:t>
      </w:r>
      <w:r w:rsidR="00EE4FC3">
        <w:t xml:space="preserve"> </w:t>
      </w:r>
      <w:r w:rsidRPr="00382917">
        <w:t>meeting</w:t>
      </w:r>
      <w:r w:rsidR="00EE4FC3">
        <w:t xml:space="preserve"> </w:t>
      </w:r>
      <w:r w:rsidRPr="00382917">
        <w:t>of</w:t>
      </w:r>
      <w:r w:rsidR="00EE4FC3">
        <w:t xml:space="preserve"> </w:t>
      </w:r>
      <w:r w:rsidRPr="00382917">
        <w:t>Mullá</w:t>
      </w:r>
      <w:r w:rsidR="00EE4FC3">
        <w:t xml:space="preserve"> </w:t>
      </w:r>
      <w:r w:rsidR="00964C11" w:rsidRPr="00382917">
        <w:t>Ḥusayn</w:t>
      </w:r>
      <w:r w:rsidR="00EE4FC3">
        <w:t xml:space="preserve"> </w:t>
      </w:r>
      <w:r w:rsidRPr="00382917">
        <w:t>with</w:t>
      </w:r>
      <w:r w:rsidR="00EE4FC3">
        <w:t xml:space="preserve"> </w:t>
      </w:r>
      <w:r w:rsidRPr="00382917">
        <w:t>the</w:t>
      </w:r>
      <w:r w:rsidR="00EE4FC3">
        <w:t xml:space="preserve"> </w:t>
      </w:r>
      <w:r w:rsidRPr="00382917">
        <w:t>Báb.</w:t>
      </w:r>
      <w:r w:rsidR="00EE4FC3">
        <w:t xml:space="preserve">  </w:t>
      </w:r>
      <w:r w:rsidRPr="00382917">
        <w:t>At</w:t>
      </w:r>
      <w:r w:rsidR="00EE4FC3">
        <w:t xml:space="preserve"> </w:t>
      </w:r>
      <w:r w:rsidRPr="00382917">
        <w:t>the</w:t>
      </w:r>
      <w:r w:rsidR="00EE4FC3">
        <w:t xml:space="preserve"> </w:t>
      </w:r>
      <w:r w:rsidRPr="00382917">
        <w:t>previous</w:t>
      </w:r>
      <w:r w:rsidR="00EE4FC3">
        <w:t xml:space="preserve"> </w:t>
      </w:r>
      <w:r w:rsidRPr="00382917">
        <w:t>meeting</w:t>
      </w:r>
      <w:r w:rsidR="00EE4FC3">
        <w:t xml:space="preserve"> </w:t>
      </w:r>
      <w:r w:rsidRPr="00382917">
        <w:t>the</w:t>
      </w:r>
      <w:r w:rsidR="00EE4FC3">
        <w:t xml:space="preserve"> </w:t>
      </w:r>
      <w:r w:rsidRPr="00382917">
        <w:t>Báb</w:t>
      </w:r>
      <w:r w:rsidR="00EE4FC3">
        <w:t xml:space="preserve"> </w:t>
      </w:r>
      <w:r w:rsidRPr="00382917">
        <w:t>had</w:t>
      </w:r>
      <w:r w:rsidR="00EE4FC3">
        <w:t xml:space="preserve"> </w:t>
      </w:r>
      <w:r w:rsidRPr="00382917">
        <w:t>offered</w:t>
      </w:r>
      <w:r w:rsidR="00EE4FC3">
        <w:t xml:space="preserve"> </w:t>
      </w:r>
      <w:r w:rsidRPr="00382917">
        <w:t>proofs</w:t>
      </w:r>
      <w:r w:rsidR="00EE4FC3">
        <w:t xml:space="preserve"> </w:t>
      </w:r>
      <w:r w:rsidRPr="00382917">
        <w:t>of</w:t>
      </w:r>
      <w:r w:rsidR="00EE4FC3">
        <w:t xml:space="preserve"> </w:t>
      </w:r>
      <w:r w:rsidRPr="00382917">
        <w:t>His</w:t>
      </w:r>
      <w:r w:rsidR="00EE4FC3">
        <w:t xml:space="preserve"> </w:t>
      </w:r>
      <w:r w:rsidRPr="00382917">
        <w:t>Mission</w:t>
      </w:r>
      <w:r w:rsidR="00EE4FC3">
        <w:t xml:space="preserve"> </w:t>
      </w:r>
      <w:r w:rsidRPr="00382917">
        <w:t>for</w:t>
      </w:r>
      <w:r w:rsidR="00EE4FC3">
        <w:t xml:space="preserve"> </w:t>
      </w:r>
      <w:r w:rsidRPr="00382917">
        <w:t>Mullá</w:t>
      </w:r>
      <w:r w:rsidR="00EE4FC3">
        <w:t xml:space="preserve"> </w:t>
      </w:r>
      <w:r w:rsidR="00964C11" w:rsidRPr="00382917">
        <w:t>Ḥusayn</w:t>
      </w:r>
      <w:r w:rsidR="00EE4FC3">
        <w:t xml:space="preserve"> </w:t>
      </w:r>
      <w:r w:rsidRPr="00382917">
        <w:t>to</w:t>
      </w:r>
      <w:r w:rsidR="00EE4FC3">
        <w:t xml:space="preserve"> </w:t>
      </w:r>
      <w:r w:rsidRPr="00382917">
        <w:t>weigh</w:t>
      </w:r>
      <w:r w:rsidR="00EE4FC3">
        <w:t xml:space="preserve"> </w:t>
      </w:r>
      <w:r w:rsidRPr="00382917">
        <w:t>and</w:t>
      </w:r>
      <w:r w:rsidR="00EE4FC3">
        <w:t xml:space="preserve"> </w:t>
      </w:r>
      <w:r w:rsidRPr="00382917">
        <w:t>study.</w:t>
      </w:r>
      <w:r w:rsidR="00EE4FC3">
        <w:t xml:space="preserve">  </w:t>
      </w:r>
      <w:r w:rsidRPr="00382917">
        <w:t>At</w:t>
      </w:r>
      <w:r w:rsidR="00EE4FC3">
        <w:t xml:space="preserve"> </w:t>
      </w:r>
      <w:r w:rsidRPr="00382917">
        <w:t>this</w:t>
      </w:r>
      <w:r w:rsidR="00EE4FC3">
        <w:t xml:space="preserve"> </w:t>
      </w:r>
      <w:r w:rsidRPr="00382917">
        <w:t>meeting,</w:t>
      </w:r>
      <w:r w:rsidR="00EE4FC3">
        <w:t xml:space="preserve"> </w:t>
      </w:r>
      <w:r w:rsidRPr="00382917">
        <w:t>all</w:t>
      </w:r>
      <w:r w:rsidR="00EE4FC3">
        <w:t xml:space="preserve"> </w:t>
      </w:r>
      <w:r w:rsidRPr="00382917">
        <w:t>such</w:t>
      </w:r>
      <w:r w:rsidR="00EE4FC3">
        <w:t xml:space="preserve"> </w:t>
      </w:r>
      <w:r w:rsidRPr="00382917">
        <w:t>matters</w:t>
      </w:r>
      <w:r w:rsidR="00EE4FC3">
        <w:t xml:space="preserve"> </w:t>
      </w:r>
      <w:r w:rsidRPr="00382917">
        <w:t>had</w:t>
      </w:r>
      <w:r w:rsidR="00EE4FC3">
        <w:t xml:space="preserve"> </w:t>
      </w:r>
      <w:r w:rsidRPr="00382917">
        <w:t>been</w:t>
      </w:r>
      <w:r w:rsidR="00EE4FC3">
        <w:t xml:space="preserve"> </w:t>
      </w:r>
      <w:r w:rsidRPr="00382917">
        <w:t>put</w:t>
      </w:r>
      <w:r w:rsidR="00EE4FC3">
        <w:t xml:space="preserve"> </w:t>
      </w:r>
      <w:r w:rsidRPr="00382917">
        <w:t>aside</w:t>
      </w:r>
      <w:r w:rsidR="00EE4FC3">
        <w:t xml:space="preserve"> </w:t>
      </w:r>
      <w:r w:rsidRPr="00382917">
        <w:t>and</w:t>
      </w:r>
      <w:r w:rsidR="00EE4FC3">
        <w:t xml:space="preserve"> </w:t>
      </w:r>
      <w:r w:rsidRPr="00382917">
        <w:t>a</w:t>
      </w:r>
      <w:r w:rsidR="00EE4FC3">
        <w:t xml:space="preserve"> </w:t>
      </w:r>
      <w:r w:rsidRPr="00382917">
        <w:t>spirit</w:t>
      </w:r>
      <w:r w:rsidR="00EE4FC3">
        <w:t xml:space="preserve"> </w:t>
      </w:r>
      <w:r w:rsidRPr="00382917">
        <w:t>of</w:t>
      </w:r>
      <w:r w:rsidR="00EE4FC3">
        <w:t xml:space="preserve"> </w:t>
      </w:r>
      <w:r w:rsidRPr="00382917">
        <w:t>intense</w:t>
      </w:r>
      <w:r w:rsidR="00EE4FC3">
        <w:t xml:space="preserve"> </w:t>
      </w:r>
      <w:r w:rsidRPr="00382917">
        <w:t>love</w:t>
      </w:r>
      <w:r w:rsidR="00EE4FC3">
        <w:t xml:space="preserve"> </w:t>
      </w:r>
      <w:r w:rsidRPr="00382917">
        <w:t>and</w:t>
      </w:r>
      <w:r w:rsidR="00EE4FC3">
        <w:t xml:space="preserve"> </w:t>
      </w:r>
      <w:r w:rsidRPr="00382917">
        <w:t>ardent</w:t>
      </w:r>
      <w:r w:rsidR="00EE4FC3">
        <w:t xml:space="preserve"> </w:t>
      </w:r>
      <w:r w:rsidRPr="00382917">
        <w:t>fellowship</w:t>
      </w:r>
      <w:r w:rsidR="00EE4FC3">
        <w:t xml:space="preserve"> </w:t>
      </w:r>
      <w:r w:rsidRPr="00382917">
        <w:t>prevailed.</w:t>
      </w:r>
      <w:r w:rsidR="00EE4FC3">
        <w:t xml:space="preserve">  </w:t>
      </w:r>
      <w:r w:rsidRPr="00382917">
        <w:t>The</w:t>
      </w:r>
      <w:r w:rsidR="00EE4FC3">
        <w:t xml:space="preserve"> </w:t>
      </w:r>
      <w:r w:rsidRPr="00382917">
        <w:t>very</w:t>
      </w:r>
      <w:r w:rsidR="00EE4FC3">
        <w:t xml:space="preserve"> </w:t>
      </w:r>
      <w:r w:rsidRPr="00382917">
        <w:t>chamber,</w:t>
      </w:r>
      <w:r w:rsidR="00EE4FC3">
        <w:t xml:space="preserve"> </w:t>
      </w:r>
      <w:r w:rsidRPr="00382917">
        <w:t>said</w:t>
      </w:r>
      <w:r w:rsidR="00EE4FC3">
        <w:t xml:space="preserve"> </w:t>
      </w:r>
      <w:r w:rsidRPr="00382917">
        <w:t>Mullá</w:t>
      </w:r>
      <w:r w:rsidR="00EE4FC3">
        <w:t xml:space="preserve"> </w:t>
      </w:r>
      <w:r w:rsidR="009C713D" w:rsidRPr="00382917">
        <w:t>‘</w:t>
      </w:r>
      <w:r w:rsidRPr="00382917">
        <w:t>Alí,</w:t>
      </w:r>
      <w:r w:rsidR="00EE4FC3">
        <w:t xml:space="preserve"> </w:t>
      </w:r>
      <w:r w:rsidRPr="00382917">
        <w:t>seemed</w:t>
      </w:r>
      <w:r w:rsidR="00EE4FC3">
        <w:t xml:space="preserve"> </w:t>
      </w:r>
      <w:r w:rsidRPr="00382917">
        <w:t>to</w:t>
      </w:r>
      <w:r w:rsidR="00EE4FC3">
        <w:t xml:space="preserve"> </w:t>
      </w:r>
      <w:r w:rsidRPr="00382917">
        <w:t>have</w:t>
      </w:r>
      <w:r w:rsidR="00EE4FC3">
        <w:t xml:space="preserve"> </w:t>
      </w:r>
      <w:r w:rsidRPr="00382917">
        <w:t>been</w:t>
      </w:r>
      <w:r w:rsidR="00EE4FC3">
        <w:t xml:space="preserve"> </w:t>
      </w:r>
      <w:r w:rsidRPr="00382917">
        <w:t>vitalized</w:t>
      </w:r>
      <w:r w:rsidR="00EE4FC3">
        <w:t xml:space="preserve"> </w:t>
      </w:r>
      <w:r w:rsidRPr="00382917">
        <w:t>by</w:t>
      </w:r>
      <w:r w:rsidR="00EE4FC3">
        <w:t xml:space="preserve"> </w:t>
      </w:r>
      <w:r w:rsidRPr="00382917">
        <w:t>His</w:t>
      </w:r>
      <w:r w:rsidR="00EE4FC3">
        <w:t xml:space="preserve"> </w:t>
      </w:r>
      <w:r w:rsidRPr="00382917">
        <w:t>utterance.</w:t>
      </w:r>
      <w:r w:rsidR="00EE4FC3">
        <w:t xml:space="preserve">  </w:t>
      </w:r>
      <w:r w:rsidRPr="00382917">
        <w:t>Everything</w:t>
      </w:r>
      <w:r w:rsidR="00EE4FC3">
        <w:t xml:space="preserve"> </w:t>
      </w:r>
      <w:r w:rsidRPr="00382917">
        <w:t>in</w:t>
      </w:r>
      <w:r w:rsidR="00EE4FC3">
        <w:t xml:space="preserve"> </w:t>
      </w:r>
      <w:r w:rsidRPr="00382917">
        <w:t>the</w:t>
      </w:r>
      <w:r w:rsidR="00EE4FC3">
        <w:t xml:space="preserve"> </w:t>
      </w:r>
      <w:r w:rsidRPr="00382917">
        <w:t>room</w:t>
      </w:r>
      <w:r w:rsidR="00EE4FC3">
        <w:t xml:space="preserve"> </w:t>
      </w:r>
      <w:r w:rsidRPr="00382917">
        <w:t>seemed</w:t>
      </w:r>
      <w:r w:rsidR="00EE4FC3">
        <w:t xml:space="preserve"> </w:t>
      </w:r>
      <w:r w:rsidRPr="00382917">
        <w:t>to</w:t>
      </w:r>
      <w:r w:rsidR="00EE4FC3">
        <w:t xml:space="preserve"> </w:t>
      </w:r>
      <w:r w:rsidRPr="00382917">
        <w:t>be</w:t>
      </w:r>
      <w:r w:rsidR="00EE4FC3">
        <w:t xml:space="preserve"> </w:t>
      </w:r>
      <w:r w:rsidRPr="00382917">
        <w:t>vibrating</w:t>
      </w:r>
      <w:r w:rsidR="00EE4FC3">
        <w:t xml:space="preserve"> </w:t>
      </w:r>
      <w:r w:rsidRPr="00382917">
        <w:t>with</w:t>
      </w:r>
      <w:r w:rsidR="00EE4FC3">
        <w:t xml:space="preserve"> </w:t>
      </w:r>
      <w:r w:rsidRPr="00382917">
        <w:t>this</w:t>
      </w:r>
      <w:r w:rsidR="00EE4FC3">
        <w:t xml:space="preserve"> </w:t>
      </w:r>
      <w:r w:rsidRPr="00382917">
        <w:t>testimony:</w:t>
      </w:r>
      <w:r w:rsidR="00EE4FC3">
        <w:t xml:space="preserve">  </w:t>
      </w:r>
      <w:r w:rsidR="009C713D" w:rsidRPr="00382917">
        <w:t>“</w:t>
      </w:r>
      <w:r w:rsidRPr="00382917">
        <w:t>Verily,</w:t>
      </w:r>
      <w:r w:rsidR="00EE4FC3">
        <w:t xml:space="preserve"> </w:t>
      </w:r>
      <w:r w:rsidRPr="00382917">
        <w:t>the</w:t>
      </w:r>
      <w:r w:rsidR="00EE4FC3">
        <w:t xml:space="preserve"> </w:t>
      </w:r>
      <w:r w:rsidRPr="00382917">
        <w:t>dawn</w:t>
      </w:r>
      <w:r w:rsidR="00EE4FC3">
        <w:t xml:space="preserve"> </w:t>
      </w:r>
      <w:r w:rsidRPr="00382917">
        <w:t>of</w:t>
      </w:r>
      <w:r w:rsidR="00EE4FC3">
        <w:t xml:space="preserve"> </w:t>
      </w:r>
      <w:r w:rsidRPr="00382917">
        <w:t>a</w:t>
      </w:r>
      <w:r w:rsidR="00EE4FC3">
        <w:t xml:space="preserve"> </w:t>
      </w:r>
      <w:r w:rsidRPr="00382917">
        <w:t>new</w:t>
      </w:r>
      <w:r w:rsidR="00EE4FC3">
        <w:t xml:space="preserve"> </w:t>
      </w:r>
      <w:r w:rsidRPr="00382917">
        <w:t>day</w:t>
      </w:r>
      <w:r w:rsidR="00EE4FC3">
        <w:t xml:space="preserve"> </w:t>
      </w:r>
      <w:r w:rsidRPr="00382917">
        <w:t>has</w:t>
      </w:r>
      <w:r w:rsidR="00EE4FC3">
        <w:t xml:space="preserve"> </w:t>
      </w:r>
      <w:r w:rsidRPr="00382917">
        <w:t>broken.</w:t>
      </w:r>
      <w:r w:rsidR="00EE4FC3">
        <w:t xml:space="preserve">  </w:t>
      </w:r>
      <w:r w:rsidRPr="00382917">
        <w:t>The</w:t>
      </w:r>
      <w:r w:rsidR="00EE4FC3">
        <w:t xml:space="preserve"> </w:t>
      </w:r>
      <w:r w:rsidRPr="00382917">
        <w:t>Promised</w:t>
      </w:r>
      <w:r w:rsidR="00EE4FC3">
        <w:t xml:space="preserve"> </w:t>
      </w:r>
      <w:r w:rsidRPr="00382917">
        <w:t>One</w:t>
      </w:r>
      <w:r w:rsidR="00EE4FC3">
        <w:t xml:space="preserve"> </w:t>
      </w:r>
      <w:r w:rsidRPr="00382917">
        <w:t>is</w:t>
      </w:r>
      <w:r w:rsidR="00EE4FC3">
        <w:t xml:space="preserve"> </w:t>
      </w:r>
      <w:r w:rsidRPr="00382917">
        <w:t>enthroned</w:t>
      </w:r>
      <w:r w:rsidR="00EE4FC3">
        <w:t xml:space="preserve"> </w:t>
      </w:r>
      <w:r w:rsidRPr="00382917">
        <w:t>in</w:t>
      </w:r>
      <w:r w:rsidR="00EE4FC3">
        <w:t xml:space="preserve"> </w:t>
      </w:r>
      <w:r w:rsidRPr="00382917">
        <w:t>the</w:t>
      </w:r>
      <w:r w:rsidR="00EE4FC3">
        <w:t xml:space="preserve"> </w:t>
      </w:r>
      <w:r w:rsidRPr="00382917">
        <w:t>hearts</w:t>
      </w:r>
      <w:r w:rsidR="00EE4FC3">
        <w:t xml:space="preserve"> </w:t>
      </w:r>
      <w:r w:rsidRPr="00382917">
        <w:t>of</w:t>
      </w:r>
      <w:r w:rsidR="00EE4FC3">
        <w:t xml:space="preserve"> </w:t>
      </w:r>
      <w:r w:rsidRPr="00382917">
        <w:t>men.</w:t>
      </w:r>
      <w:r w:rsidR="00EE4FC3">
        <w:t xml:space="preserve">  </w:t>
      </w:r>
      <w:r w:rsidRPr="00382917">
        <w:t>In</w:t>
      </w:r>
      <w:r w:rsidR="00EE4FC3">
        <w:t xml:space="preserve"> </w:t>
      </w:r>
      <w:r w:rsidRPr="00382917">
        <w:t>His</w:t>
      </w:r>
      <w:r w:rsidR="00EE4FC3">
        <w:t xml:space="preserve"> </w:t>
      </w:r>
      <w:r w:rsidRPr="00382917">
        <w:t>hand</w:t>
      </w:r>
      <w:r w:rsidR="00EE4FC3">
        <w:t xml:space="preserve"> </w:t>
      </w:r>
      <w:r w:rsidRPr="00382917">
        <w:t>He</w:t>
      </w:r>
      <w:r w:rsidR="00EE4FC3">
        <w:t xml:space="preserve"> </w:t>
      </w:r>
      <w:r w:rsidRPr="00382917">
        <w:t>holds</w:t>
      </w:r>
      <w:r w:rsidR="00EE4FC3">
        <w:t xml:space="preserve"> </w:t>
      </w:r>
      <w:r w:rsidRPr="00382917">
        <w:t>the</w:t>
      </w:r>
      <w:r w:rsidR="00EE4FC3">
        <w:t xml:space="preserve"> </w:t>
      </w:r>
      <w:r w:rsidRPr="00382917">
        <w:t>mystic</w:t>
      </w:r>
      <w:r w:rsidR="00EE4FC3">
        <w:t xml:space="preserve"> </w:t>
      </w:r>
      <w:r w:rsidRPr="00382917">
        <w:t>cup</w:t>
      </w:r>
      <w:r w:rsidR="00EE4FC3">
        <w:t xml:space="preserve"> </w:t>
      </w:r>
      <w:r w:rsidRPr="00382917">
        <w:t>of</w:t>
      </w:r>
      <w:r w:rsidR="00EE4FC3">
        <w:t xml:space="preserve"> </w:t>
      </w:r>
      <w:r w:rsidRPr="00382917">
        <w:t>immortality,</w:t>
      </w:r>
      <w:r w:rsidR="00EE4FC3">
        <w:t xml:space="preserve"> </w:t>
      </w:r>
      <w:r w:rsidRPr="00382917">
        <w:t>and</w:t>
      </w:r>
      <w:r w:rsidR="00EE4FC3">
        <w:t xml:space="preserve"> </w:t>
      </w:r>
      <w:r w:rsidRPr="00382917">
        <w:t>blessed</w:t>
      </w:r>
      <w:r w:rsidR="00EE4FC3">
        <w:t xml:space="preserve"> </w:t>
      </w:r>
      <w:r w:rsidRPr="00382917">
        <w:t>is</w:t>
      </w:r>
      <w:r w:rsidR="00EE4FC3">
        <w:t xml:space="preserve"> </w:t>
      </w:r>
      <w:r w:rsidRPr="00382917">
        <w:t>he</w:t>
      </w:r>
      <w:r w:rsidR="00EE4FC3">
        <w:t xml:space="preserve"> </w:t>
      </w:r>
      <w:r w:rsidRPr="00382917">
        <w:t>who</w:t>
      </w:r>
      <w:r w:rsidR="00EE4FC3">
        <w:t xml:space="preserve"> </w:t>
      </w:r>
      <w:r w:rsidRPr="00382917">
        <w:t>drinks</w:t>
      </w:r>
      <w:r w:rsidR="00EE4FC3">
        <w:t xml:space="preserve"> </w:t>
      </w:r>
      <w:r w:rsidRPr="00382917">
        <w:t>therefrom!</w:t>
      </w:r>
      <w:r w:rsidR="009C713D" w:rsidRPr="00382917">
        <w:t>”</w:t>
      </w:r>
      <w:r w:rsidR="00792F56">
        <w:rPr>
          <w:rStyle w:val="FootnoteReference"/>
        </w:rPr>
        <w:footnoteReference w:id="16"/>
      </w:r>
    </w:p>
    <w:p w:rsidR="006D18A4" w:rsidRPr="00382917" w:rsidRDefault="006D18A4" w:rsidP="006D18A4">
      <w:pPr>
        <w:pStyle w:val="Text"/>
      </w:pPr>
      <w:r w:rsidRPr="00382917">
        <w:t>One</w:t>
      </w:r>
      <w:r w:rsidR="00EE4FC3">
        <w:t xml:space="preserve"> </w:t>
      </w:r>
      <w:r w:rsidRPr="00382917">
        <w:t>by</w:t>
      </w:r>
      <w:r w:rsidR="00EE4FC3">
        <w:t xml:space="preserve"> </w:t>
      </w:r>
      <w:r w:rsidRPr="00382917">
        <w:t>one,</w:t>
      </w:r>
      <w:r w:rsidR="00EE4FC3">
        <w:t xml:space="preserve"> </w:t>
      </w:r>
      <w:r w:rsidRPr="00382917">
        <w:t>seventeen</w:t>
      </w:r>
      <w:r w:rsidR="00EE4FC3">
        <w:t xml:space="preserve"> </w:t>
      </w:r>
      <w:r w:rsidRPr="00382917">
        <w:t>separate</w:t>
      </w:r>
      <w:r w:rsidR="00EE4FC3">
        <w:t xml:space="preserve"> </w:t>
      </w:r>
      <w:r w:rsidRPr="00382917">
        <w:t>souls</w:t>
      </w:r>
      <w:r w:rsidR="00EE4FC3">
        <w:t xml:space="preserve"> </w:t>
      </w:r>
      <w:r w:rsidRPr="00382917">
        <w:t>searched</w:t>
      </w:r>
      <w:r w:rsidR="00EE4FC3">
        <w:t xml:space="preserve"> </w:t>
      </w:r>
      <w:r w:rsidRPr="00382917">
        <w:t>for</w:t>
      </w:r>
      <w:r w:rsidR="00EE4FC3">
        <w:t xml:space="preserve"> </w:t>
      </w:r>
      <w:r w:rsidRPr="00382917">
        <w:t>the</w:t>
      </w:r>
      <w:r w:rsidR="00EE4FC3">
        <w:t xml:space="preserve"> </w:t>
      </w:r>
      <w:r w:rsidRPr="00382917">
        <w:t>Báb,</w:t>
      </w:r>
      <w:r w:rsidR="00EE4FC3">
        <w:t xml:space="preserve"> </w:t>
      </w:r>
      <w:r w:rsidRPr="00382917">
        <w:t>met</w:t>
      </w:r>
      <w:r w:rsidR="00EE4FC3">
        <w:t xml:space="preserve"> </w:t>
      </w:r>
      <w:r w:rsidRPr="00382917">
        <w:t>Him,</w:t>
      </w:r>
      <w:r w:rsidR="00EE4FC3">
        <w:t xml:space="preserve"> </w:t>
      </w:r>
      <w:r w:rsidRPr="00382917">
        <w:t>and</w:t>
      </w:r>
      <w:r w:rsidR="00EE4FC3">
        <w:t xml:space="preserve"> </w:t>
      </w:r>
      <w:r w:rsidRPr="00382917">
        <w:t>accepted</w:t>
      </w:r>
      <w:r w:rsidR="00EE4FC3">
        <w:t xml:space="preserve"> </w:t>
      </w:r>
      <w:r w:rsidRPr="00382917">
        <w:t>His</w:t>
      </w:r>
      <w:r w:rsidR="00EE4FC3">
        <w:t xml:space="preserve"> </w:t>
      </w:r>
      <w:r w:rsidRPr="00382917">
        <w:t>teachings.</w:t>
      </w:r>
    </w:p>
    <w:p w:rsidR="006D18A4" w:rsidRPr="00382917" w:rsidRDefault="006D18A4" w:rsidP="006D18A4">
      <w:pPr>
        <w:pStyle w:val="Text"/>
      </w:pPr>
      <w:r w:rsidRPr="00382917">
        <w:t>Among</w:t>
      </w:r>
      <w:r w:rsidR="00EE4FC3">
        <w:t xml:space="preserve"> </w:t>
      </w:r>
      <w:r w:rsidRPr="00382917">
        <w:t>these</w:t>
      </w:r>
      <w:r w:rsidR="00EE4FC3">
        <w:t xml:space="preserve"> </w:t>
      </w:r>
      <w:r w:rsidRPr="00382917">
        <w:t>disciples,</w:t>
      </w:r>
      <w:r w:rsidR="00EE4FC3">
        <w:t xml:space="preserve"> </w:t>
      </w:r>
      <w:r w:rsidRPr="00382917">
        <w:t>there</w:t>
      </w:r>
      <w:r w:rsidR="00EE4FC3">
        <w:t xml:space="preserve"> </w:t>
      </w:r>
      <w:r w:rsidRPr="00382917">
        <w:t>was</w:t>
      </w:r>
      <w:r w:rsidR="00EE4FC3">
        <w:t xml:space="preserve"> </w:t>
      </w:r>
      <w:r w:rsidRPr="00382917">
        <w:t>one</w:t>
      </w:r>
      <w:r w:rsidR="00EE4FC3">
        <w:t xml:space="preserve"> </w:t>
      </w:r>
      <w:r w:rsidRPr="00382917">
        <w:t>woman.</w:t>
      </w:r>
      <w:r w:rsidR="00EE4FC3">
        <w:t xml:space="preserve">  </w:t>
      </w:r>
      <w:r w:rsidRPr="00382917">
        <w:t>She</w:t>
      </w:r>
      <w:r w:rsidR="00EE4FC3">
        <w:t xml:space="preserve"> </w:t>
      </w:r>
      <w:r w:rsidRPr="00382917">
        <w:t>was</w:t>
      </w:r>
      <w:r w:rsidR="00EE4FC3">
        <w:t xml:space="preserve"> </w:t>
      </w:r>
      <w:r w:rsidRPr="00382917">
        <w:t>called</w:t>
      </w:r>
      <w:r w:rsidR="00EE4FC3">
        <w:t xml:space="preserve"> </w:t>
      </w:r>
      <w:r w:rsidRPr="00382917">
        <w:t>Ṭáhirih,</w:t>
      </w:r>
      <w:r w:rsidR="00EE4FC3">
        <w:t xml:space="preserve"> </w:t>
      </w:r>
      <w:r w:rsidRPr="00382917">
        <w:t>the</w:t>
      </w:r>
      <w:r w:rsidR="00EE4FC3">
        <w:t xml:space="preserve"> </w:t>
      </w:r>
      <w:r w:rsidRPr="00382917">
        <w:t>Pure.</w:t>
      </w:r>
      <w:r w:rsidR="00EE4FC3">
        <w:t xml:space="preserve">  </w:t>
      </w:r>
      <w:r w:rsidRPr="00382917">
        <w:t>She</w:t>
      </w:r>
      <w:r w:rsidR="00EE4FC3">
        <w:t xml:space="preserve"> </w:t>
      </w:r>
      <w:r w:rsidRPr="00382917">
        <w:t>accepted</w:t>
      </w:r>
      <w:r w:rsidR="00EE4FC3">
        <w:t xml:space="preserve"> </w:t>
      </w:r>
      <w:r w:rsidRPr="00382917">
        <w:t>the</w:t>
      </w:r>
      <w:r w:rsidR="00EE4FC3">
        <w:t xml:space="preserve"> </w:t>
      </w:r>
      <w:r w:rsidRPr="00382917">
        <w:t>Báb</w:t>
      </w:r>
      <w:r w:rsidR="00EE4FC3">
        <w:t xml:space="preserve"> </w:t>
      </w:r>
      <w:r w:rsidRPr="00382917">
        <w:t>without</w:t>
      </w:r>
      <w:r w:rsidR="00EE4FC3">
        <w:t xml:space="preserve"> </w:t>
      </w:r>
      <w:r w:rsidRPr="00382917">
        <w:t>ever</w:t>
      </w:r>
      <w:r w:rsidR="00EE4FC3">
        <w:t xml:space="preserve"> </w:t>
      </w:r>
      <w:r w:rsidRPr="00382917">
        <w:t>attaining</w:t>
      </w:r>
      <w:r w:rsidR="00EE4FC3">
        <w:t xml:space="preserve"> </w:t>
      </w:r>
      <w:r w:rsidRPr="00382917">
        <w:t>to</w:t>
      </w:r>
      <w:r w:rsidR="00EE4FC3">
        <w:t xml:space="preserve"> </w:t>
      </w:r>
      <w:r w:rsidRPr="00382917">
        <w:t>His</w:t>
      </w:r>
      <w:r w:rsidR="00EE4FC3">
        <w:t xml:space="preserve"> </w:t>
      </w:r>
      <w:r w:rsidRPr="00382917">
        <w:t>presence.</w:t>
      </w:r>
      <w:r w:rsidR="00EE4FC3">
        <w:t xml:space="preserve">  </w:t>
      </w:r>
      <w:r w:rsidRPr="00382917">
        <w:t>She</w:t>
      </w:r>
      <w:r w:rsidR="00EE4FC3">
        <w:t xml:space="preserve"> </w:t>
      </w:r>
      <w:r w:rsidRPr="00382917">
        <w:t>saw</w:t>
      </w:r>
      <w:r w:rsidR="00EE4FC3">
        <w:t xml:space="preserve"> </w:t>
      </w:r>
      <w:r w:rsidRPr="00382917">
        <w:t>Him</w:t>
      </w:r>
      <w:r w:rsidR="00EE4FC3">
        <w:t xml:space="preserve"> </w:t>
      </w:r>
      <w:r w:rsidRPr="00382917">
        <w:t>in</w:t>
      </w:r>
      <w:r w:rsidR="00EE4FC3">
        <w:t xml:space="preserve"> </w:t>
      </w:r>
      <w:r w:rsidRPr="00382917">
        <w:t>the</w:t>
      </w:r>
      <w:r w:rsidR="00EE4FC3">
        <w:t xml:space="preserve"> </w:t>
      </w:r>
      <w:r w:rsidRPr="00382917">
        <w:t>world</w:t>
      </w:r>
      <w:r w:rsidR="00EE4FC3">
        <w:t xml:space="preserve"> </w:t>
      </w:r>
      <w:r w:rsidRPr="00382917">
        <w:t>of</w:t>
      </w:r>
      <w:r w:rsidR="00EE4FC3">
        <w:t xml:space="preserve"> </w:t>
      </w:r>
      <w:r w:rsidRPr="00382917">
        <w:t>vision,</w:t>
      </w:r>
      <w:r w:rsidR="00EE4FC3">
        <w:t xml:space="preserve"> </w:t>
      </w:r>
      <w:r w:rsidRPr="00382917">
        <w:t>and</w:t>
      </w:r>
      <w:r w:rsidR="00EE4FC3">
        <w:t xml:space="preserve"> </w:t>
      </w:r>
      <w:r w:rsidRPr="00382917">
        <w:t>became</w:t>
      </w:r>
      <w:r w:rsidR="00EE4FC3">
        <w:t xml:space="preserve"> </w:t>
      </w:r>
      <w:r w:rsidRPr="00382917">
        <w:t>a</w:t>
      </w:r>
      <w:r w:rsidR="00EE4FC3">
        <w:t xml:space="preserve"> </w:t>
      </w:r>
      <w:r w:rsidRPr="00382917">
        <w:t>staunch</w:t>
      </w:r>
      <w:r w:rsidR="00EE4FC3">
        <w:t xml:space="preserve"> </w:t>
      </w:r>
      <w:r w:rsidRPr="00382917">
        <w:t>believer,</w:t>
      </w:r>
      <w:r w:rsidR="00EE4FC3">
        <w:t xml:space="preserve"> </w:t>
      </w:r>
      <w:r w:rsidRPr="00382917">
        <w:t>a</w:t>
      </w:r>
      <w:r w:rsidR="00EE4FC3">
        <w:t xml:space="preserve"> </w:t>
      </w:r>
      <w:r w:rsidRPr="00382917">
        <w:t>courageous</w:t>
      </w:r>
      <w:r w:rsidR="00EE4FC3">
        <w:t xml:space="preserve"> </w:t>
      </w:r>
      <w:r w:rsidRPr="00382917">
        <w:t>teacher,</w:t>
      </w:r>
      <w:r w:rsidR="00EE4FC3">
        <w:t xml:space="preserve"> </w:t>
      </w:r>
      <w:r w:rsidRPr="00382917">
        <w:t>and</w:t>
      </w:r>
      <w:r w:rsidR="00EE4FC3">
        <w:t xml:space="preserve"> </w:t>
      </w:r>
      <w:r w:rsidRPr="00382917">
        <w:t>finally</w:t>
      </w:r>
      <w:r w:rsidR="00EE4FC3">
        <w:t xml:space="preserve"> </w:t>
      </w:r>
      <w:r w:rsidRPr="00382917">
        <w:t>a</w:t>
      </w:r>
      <w:r w:rsidR="00EE4FC3">
        <w:t xml:space="preserve"> </w:t>
      </w:r>
      <w:r w:rsidRPr="00382917">
        <w:t>martyr.</w:t>
      </w:r>
    </w:p>
    <w:p w:rsidR="006D18A4" w:rsidRPr="00382917" w:rsidRDefault="006D18A4" w:rsidP="006D18A4">
      <w:pPr>
        <w:pStyle w:val="Text"/>
      </w:pPr>
      <w:r w:rsidRPr="00382917">
        <w:t>One</w:t>
      </w:r>
      <w:r w:rsidR="00EE4FC3">
        <w:t xml:space="preserve"> </w:t>
      </w:r>
      <w:r w:rsidRPr="00382917">
        <w:t>night</w:t>
      </w:r>
      <w:r w:rsidR="00EE4FC3">
        <w:t xml:space="preserve"> </w:t>
      </w:r>
      <w:r w:rsidRPr="00382917">
        <w:t>while</w:t>
      </w:r>
      <w:r w:rsidR="00EE4FC3">
        <w:t xml:space="preserve"> </w:t>
      </w:r>
      <w:r w:rsidRPr="00382917">
        <w:t>conversing</w:t>
      </w:r>
      <w:r w:rsidR="00EE4FC3">
        <w:t xml:space="preserve"> </w:t>
      </w:r>
      <w:r w:rsidRPr="00382917">
        <w:t>with</w:t>
      </w:r>
      <w:r w:rsidR="00EE4FC3">
        <w:t xml:space="preserve"> </w:t>
      </w:r>
      <w:r w:rsidRPr="00382917">
        <w:t>Mullá</w:t>
      </w:r>
      <w:r w:rsidR="00EE4FC3">
        <w:t xml:space="preserve"> </w:t>
      </w:r>
      <w:r w:rsidR="00964C11" w:rsidRPr="00382917">
        <w:t>Ḥusayn</w:t>
      </w:r>
      <w:r w:rsidRPr="00382917">
        <w:t>,</w:t>
      </w:r>
      <w:r w:rsidR="00EE4FC3">
        <w:t xml:space="preserve"> </w:t>
      </w:r>
      <w:r w:rsidRPr="00382917">
        <w:t>the</w:t>
      </w:r>
      <w:r w:rsidR="00EE4FC3">
        <w:t xml:space="preserve"> </w:t>
      </w:r>
      <w:r w:rsidRPr="00382917">
        <w:t>Báb</w:t>
      </w:r>
      <w:r w:rsidR="00EE4FC3">
        <w:t xml:space="preserve"> </w:t>
      </w:r>
      <w:r w:rsidRPr="00382917">
        <w:t>said</w:t>
      </w:r>
      <w:r w:rsidR="00EE4FC3">
        <w:t xml:space="preserve"> </w:t>
      </w:r>
      <w:r w:rsidRPr="00382917">
        <w:t>to</w:t>
      </w:r>
      <w:r w:rsidR="00EE4FC3">
        <w:t xml:space="preserve"> </w:t>
      </w:r>
      <w:r w:rsidRPr="00382917">
        <w:t>him,</w:t>
      </w:r>
      <w:r w:rsidR="00EE4FC3">
        <w:t xml:space="preserve"> </w:t>
      </w:r>
      <w:r w:rsidR="009C713D" w:rsidRPr="00382917">
        <w:t>“</w:t>
      </w:r>
      <w:r w:rsidRPr="00382917">
        <w:t>Seventeen</w:t>
      </w:r>
      <w:r w:rsidR="00EE4FC3">
        <w:t xml:space="preserve"> </w:t>
      </w:r>
      <w:r w:rsidRPr="00382917">
        <w:t>have</w:t>
      </w:r>
      <w:r w:rsidR="00EE4FC3">
        <w:t xml:space="preserve"> </w:t>
      </w:r>
      <w:r w:rsidRPr="00382917">
        <w:t>thus</w:t>
      </w:r>
      <w:r w:rsidR="00EE4FC3">
        <w:t xml:space="preserve"> </w:t>
      </w:r>
      <w:r w:rsidRPr="00382917">
        <w:t>far</w:t>
      </w:r>
      <w:r w:rsidR="00EE4FC3">
        <w:t xml:space="preserve"> </w:t>
      </w:r>
      <w:r w:rsidRPr="00382917">
        <w:t>enlisted</w:t>
      </w:r>
      <w:r w:rsidR="00EE4FC3">
        <w:t xml:space="preserve"> </w:t>
      </w:r>
      <w:r w:rsidRPr="00382917">
        <w:t>under</w:t>
      </w:r>
      <w:r w:rsidR="00EE4FC3">
        <w:t xml:space="preserve"> </w:t>
      </w:r>
      <w:r w:rsidRPr="00382917">
        <w:t>the</w:t>
      </w:r>
      <w:r w:rsidR="00EE4FC3">
        <w:t xml:space="preserve"> </w:t>
      </w:r>
      <w:r w:rsidRPr="00382917">
        <w:t>standard</w:t>
      </w:r>
      <w:r w:rsidR="00EE4FC3">
        <w:t xml:space="preserve"> </w:t>
      </w:r>
      <w:r w:rsidRPr="00382917">
        <w:t>of</w:t>
      </w:r>
      <w:r w:rsidR="00EE4FC3">
        <w:t xml:space="preserve"> </w:t>
      </w:r>
      <w:r w:rsidRPr="00382917">
        <w:t>the</w:t>
      </w:r>
      <w:r w:rsidR="00EE4FC3">
        <w:t xml:space="preserve"> </w:t>
      </w:r>
      <w:r w:rsidRPr="00382917">
        <w:t>Faith</w:t>
      </w:r>
      <w:r w:rsidR="00EE4FC3">
        <w:t xml:space="preserve"> </w:t>
      </w:r>
      <w:r w:rsidRPr="00382917">
        <w:t>of</w:t>
      </w:r>
      <w:r w:rsidR="00EE4FC3">
        <w:t xml:space="preserve"> </w:t>
      </w:r>
      <w:r w:rsidRPr="00382917">
        <w:t>God</w:t>
      </w:r>
      <w:r w:rsidR="00EE4FC3">
        <w:t xml:space="preserve"> </w:t>
      </w:r>
      <w:r w:rsidR="00F04416" w:rsidRPr="00382917">
        <w:t>…</w:t>
      </w:r>
      <w:r w:rsidR="0032274A">
        <w:t>.</w:t>
      </w:r>
      <w:r w:rsidR="00EE4FC3">
        <w:t xml:space="preserve">  </w:t>
      </w:r>
      <w:r w:rsidRPr="00382917">
        <w:t>Tomorrow</w:t>
      </w:r>
      <w:r w:rsidR="00EE4FC3">
        <w:t xml:space="preserve"> </w:t>
      </w:r>
      <w:r w:rsidRPr="00382917">
        <w:t>night</w:t>
      </w:r>
      <w:r w:rsidR="00EE4FC3">
        <w:t xml:space="preserve"> </w:t>
      </w:r>
      <w:r w:rsidRPr="00382917">
        <w:t>the</w:t>
      </w:r>
      <w:r w:rsidR="00EE4FC3">
        <w:t xml:space="preserve"> </w:t>
      </w:r>
      <w:r w:rsidRPr="00382917">
        <w:t>remaining</w:t>
      </w:r>
      <w:r w:rsidR="00EE4FC3">
        <w:t xml:space="preserve"> </w:t>
      </w:r>
      <w:r w:rsidRPr="00382917">
        <w:t>Letter</w:t>
      </w:r>
      <w:r w:rsidR="00EE4FC3">
        <w:t xml:space="preserve"> </w:t>
      </w:r>
      <w:r w:rsidRPr="00382917">
        <w:t>will</w:t>
      </w:r>
      <w:r w:rsidR="00EE4FC3">
        <w:t xml:space="preserve"> </w:t>
      </w:r>
      <w:r w:rsidRPr="00382917">
        <w:t>arrive</w:t>
      </w:r>
      <w:r w:rsidR="00EE4FC3">
        <w:t xml:space="preserve"> </w:t>
      </w:r>
      <w:r w:rsidRPr="00382917">
        <w:t>and</w:t>
      </w:r>
      <w:r w:rsidR="00EE4FC3">
        <w:t xml:space="preserve"> </w:t>
      </w:r>
      <w:r w:rsidRPr="00382917">
        <w:t>will</w:t>
      </w:r>
      <w:r w:rsidR="00EE4FC3">
        <w:t xml:space="preserve"> </w:t>
      </w:r>
      <w:r w:rsidRPr="00382917">
        <w:t>complete</w:t>
      </w:r>
      <w:r w:rsidR="00EE4FC3">
        <w:t xml:space="preserve"> </w:t>
      </w:r>
      <w:r w:rsidRPr="00382917">
        <w:t>the</w:t>
      </w:r>
      <w:r w:rsidR="00EE4FC3">
        <w:t xml:space="preserve"> </w:t>
      </w:r>
      <w:r w:rsidRPr="00382917">
        <w:t>number</w:t>
      </w:r>
      <w:r w:rsidR="00EE4FC3">
        <w:t xml:space="preserve"> </w:t>
      </w:r>
      <w:r w:rsidRPr="00382917">
        <w:t>of</w:t>
      </w:r>
      <w:r w:rsidR="00EE4FC3">
        <w:t xml:space="preserve"> </w:t>
      </w:r>
      <w:proofErr w:type="gramStart"/>
      <w:r w:rsidRPr="00382917">
        <w:t>My</w:t>
      </w:r>
      <w:proofErr w:type="gramEnd"/>
      <w:r w:rsidR="00EE4FC3">
        <w:t xml:space="preserve"> </w:t>
      </w:r>
      <w:r w:rsidRPr="00382917">
        <w:t>chosen</w:t>
      </w:r>
      <w:r w:rsidR="00EE4FC3">
        <w:t xml:space="preserve"> </w:t>
      </w:r>
      <w:r w:rsidRPr="00382917">
        <w:t>disciples.</w:t>
      </w:r>
      <w:r w:rsidR="009C713D" w:rsidRPr="00382917">
        <w:t>”</w:t>
      </w:r>
    </w:p>
    <w:p w:rsidR="006D18A4" w:rsidRPr="00382917" w:rsidRDefault="006D18A4" w:rsidP="006D18A4">
      <w:pPr>
        <w:pStyle w:val="Text"/>
      </w:pPr>
      <w:r w:rsidRPr="00382917">
        <w:t>The</w:t>
      </w:r>
      <w:r w:rsidR="00EE4FC3">
        <w:t xml:space="preserve"> </w:t>
      </w:r>
      <w:r w:rsidRPr="00382917">
        <w:t>next</w:t>
      </w:r>
      <w:r w:rsidR="00EE4FC3">
        <w:t xml:space="preserve"> </w:t>
      </w:r>
      <w:r w:rsidRPr="00382917">
        <w:t>evening</w:t>
      </w:r>
      <w:r w:rsidR="00EE4FC3">
        <w:t xml:space="preserve"> </w:t>
      </w:r>
      <w:r w:rsidRPr="00382917">
        <w:t>as</w:t>
      </w:r>
      <w:r w:rsidR="00EE4FC3">
        <w:t xml:space="preserve"> </w:t>
      </w:r>
      <w:r w:rsidRPr="00382917">
        <w:t>the</w:t>
      </w:r>
      <w:r w:rsidR="00EE4FC3">
        <w:t xml:space="preserve"> </w:t>
      </w:r>
      <w:r w:rsidRPr="00382917">
        <w:t>Báb,</w:t>
      </w:r>
      <w:r w:rsidR="00EE4FC3">
        <w:t xml:space="preserve"> </w:t>
      </w:r>
      <w:r w:rsidRPr="00382917">
        <w:t>followed</w:t>
      </w:r>
      <w:r w:rsidR="00EE4FC3">
        <w:t xml:space="preserve"> </w:t>
      </w:r>
      <w:r w:rsidRPr="00382917">
        <w:t>by</w:t>
      </w:r>
      <w:r w:rsidR="00EE4FC3">
        <w:t xml:space="preserve"> </w:t>
      </w:r>
      <w:r w:rsidRPr="00382917">
        <w:t>Mullá</w:t>
      </w:r>
      <w:r w:rsidR="00EE4FC3">
        <w:t xml:space="preserve"> </w:t>
      </w:r>
      <w:r w:rsidR="00964C11" w:rsidRPr="00382917">
        <w:t>Ḥusayn</w:t>
      </w:r>
      <w:r w:rsidRPr="00382917">
        <w:t>,</w:t>
      </w:r>
      <w:r w:rsidR="00EE4FC3">
        <w:t xml:space="preserve"> </w:t>
      </w:r>
      <w:r w:rsidRPr="00382917">
        <w:t>was</w:t>
      </w:r>
      <w:r w:rsidR="00EE4FC3">
        <w:t xml:space="preserve"> </w:t>
      </w:r>
      <w:r w:rsidRPr="00382917">
        <w:t>returning</w:t>
      </w:r>
      <w:r w:rsidR="00EE4FC3">
        <w:t xml:space="preserve"> </w:t>
      </w:r>
      <w:r w:rsidRPr="00382917">
        <w:t>to</w:t>
      </w:r>
      <w:r w:rsidR="00EE4FC3">
        <w:t xml:space="preserve"> </w:t>
      </w:r>
      <w:r w:rsidRPr="00382917">
        <w:t>His</w:t>
      </w:r>
      <w:r w:rsidR="00EE4FC3">
        <w:t xml:space="preserve"> </w:t>
      </w:r>
      <w:r w:rsidRPr="00382917">
        <w:t>home,</w:t>
      </w:r>
      <w:r w:rsidR="00EE4FC3">
        <w:t xml:space="preserve"> </w:t>
      </w:r>
      <w:r w:rsidRPr="00382917">
        <w:t>a</w:t>
      </w:r>
      <w:r w:rsidR="00EE4FC3">
        <w:t xml:space="preserve"> </w:t>
      </w:r>
      <w:r w:rsidRPr="00382917">
        <w:t>youth</w:t>
      </w:r>
      <w:r w:rsidR="00EE4FC3">
        <w:t xml:space="preserve"> </w:t>
      </w:r>
      <w:r w:rsidRPr="00382917">
        <w:t>appeared.</w:t>
      </w:r>
      <w:r w:rsidR="00EE4FC3">
        <w:t xml:space="preserve">  </w:t>
      </w:r>
      <w:r w:rsidRPr="00382917">
        <w:t>He</w:t>
      </w:r>
      <w:r w:rsidR="00EE4FC3">
        <w:t xml:space="preserve"> </w:t>
      </w:r>
      <w:r w:rsidRPr="00382917">
        <w:t>was</w:t>
      </w:r>
      <w:r w:rsidR="00EE4FC3">
        <w:t xml:space="preserve"> </w:t>
      </w:r>
      <w:r w:rsidRPr="00382917">
        <w:t>travel-stained</w:t>
      </w:r>
      <w:r w:rsidR="00EE4FC3">
        <w:t xml:space="preserve"> </w:t>
      </w:r>
      <w:r w:rsidRPr="00382917">
        <w:t>and</w:t>
      </w:r>
      <w:r w:rsidR="00EE4FC3">
        <w:t xml:space="preserve"> </w:t>
      </w:r>
      <w:r w:rsidRPr="00382917">
        <w:t>weary</w:t>
      </w:r>
      <w:r w:rsidR="00EE4FC3">
        <w:t xml:space="preserve"> </w:t>
      </w:r>
      <w:r w:rsidRPr="00382917">
        <w:t>from</w:t>
      </w:r>
      <w:r w:rsidR="00EE4FC3">
        <w:t xml:space="preserve"> </w:t>
      </w:r>
      <w:r w:rsidRPr="00382917">
        <w:t>his</w:t>
      </w:r>
      <w:r w:rsidR="00EE4FC3">
        <w:t xml:space="preserve"> </w:t>
      </w:r>
      <w:r w:rsidRPr="00382917">
        <w:t>long</w:t>
      </w:r>
      <w:r w:rsidR="00EE4FC3">
        <w:t xml:space="preserve"> </w:t>
      </w:r>
      <w:r w:rsidRPr="00382917">
        <w:t>journey.</w:t>
      </w:r>
      <w:r w:rsidR="00EE4FC3">
        <w:t xml:space="preserve">  </w:t>
      </w:r>
      <w:r w:rsidRPr="00382917">
        <w:t>His</w:t>
      </w:r>
      <w:r w:rsidR="00EE4FC3">
        <w:t xml:space="preserve"> </w:t>
      </w:r>
      <w:r w:rsidRPr="00382917">
        <w:t>name</w:t>
      </w:r>
      <w:r w:rsidR="00EE4FC3">
        <w:t xml:space="preserve"> </w:t>
      </w:r>
      <w:r w:rsidRPr="00382917">
        <w:t>was</w:t>
      </w:r>
      <w:r w:rsidR="00EE4FC3">
        <w:t xml:space="preserve"> </w:t>
      </w:r>
      <w:r w:rsidRPr="00382917">
        <w:t>Quddús.</w:t>
      </w:r>
      <w:r w:rsidR="00EE4FC3">
        <w:t xml:space="preserve">  </w:t>
      </w:r>
      <w:r w:rsidRPr="00382917">
        <w:t>He</w:t>
      </w:r>
      <w:r w:rsidR="00EE4FC3">
        <w:t xml:space="preserve"> </w:t>
      </w:r>
      <w:r w:rsidRPr="00382917">
        <w:t>approached</w:t>
      </w:r>
      <w:r w:rsidR="00EE4FC3">
        <w:t xml:space="preserve"> </w:t>
      </w:r>
      <w:r w:rsidRPr="00382917">
        <w:t>Mullá</w:t>
      </w:r>
      <w:r w:rsidR="00EE4FC3">
        <w:t xml:space="preserve"> </w:t>
      </w:r>
      <w:r w:rsidR="00964C11" w:rsidRPr="00382917">
        <w:t>Ḥusayn</w:t>
      </w:r>
      <w:r w:rsidRPr="00382917">
        <w:t>,</w:t>
      </w:r>
      <w:r w:rsidR="00EE4FC3">
        <w:t xml:space="preserve"> </w:t>
      </w:r>
      <w:r w:rsidRPr="00382917">
        <w:t>embraced</w:t>
      </w:r>
      <w:r w:rsidR="00EE4FC3">
        <w:t xml:space="preserve"> </w:t>
      </w:r>
      <w:r w:rsidRPr="00382917">
        <w:t>him,</w:t>
      </w:r>
      <w:r w:rsidR="00EE4FC3">
        <w:t xml:space="preserve"> </w:t>
      </w:r>
      <w:r w:rsidRPr="00382917">
        <w:t>and</w:t>
      </w:r>
      <w:r w:rsidR="00EE4FC3">
        <w:t xml:space="preserve"> </w:t>
      </w:r>
      <w:r w:rsidRPr="00382917">
        <w:t>asked</w:t>
      </w:r>
      <w:r w:rsidR="00EE4FC3">
        <w:t xml:space="preserve"> </w:t>
      </w:r>
      <w:r w:rsidRPr="00382917">
        <w:t>him</w:t>
      </w:r>
      <w:r w:rsidR="00EE4FC3">
        <w:t xml:space="preserve"> </w:t>
      </w:r>
      <w:r w:rsidRPr="00382917">
        <w:t>if</w:t>
      </w:r>
      <w:r w:rsidR="00EE4FC3">
        <w:t xml:space="preserve"> </w:t>
      </w:r>
      <w:r w:rsidRPr="00382917">
        <w:t>he</w:t>
      </w:r>
      <w:r w:rsidR="00EE4FC3">
        <w:t xml:space="preserve"> </w:t>
      </w:r>
      <w:r w:rsidRPr="00382917">
        <w:t>had</w:t>
      </w:r>
      <w:r w:rsidR="00EE4FC3">
        <w:t xml:space="preserve"> </w:t>
      </w:r>
      <w:r w:rsidRPr="00382917">
        <w:t>yet</w:t>
      </w:r>
      <w:r w:rsidR="00EE4FC3">
        <w:t xml:space="preserve"> </w:t>
      </w:r>
      <w:r w:rsidRPr="00382917">
        <w:t>attained</w:t>
      </w:r>
      <w:r w:rsidR="00EE4FC3">
        <w:t xml:space="preserve"> </w:t>
      </w:r>
      <w:r w:rsidRPr="00382917">
        <w:t>to</w:t>
      </w:r>
      <w:r w:rsidR="00EE4FC3">
        <w:t xml:space="preserve"> </w:t>
      </w:r>
      <w:r w:rsidRPr="00382917">
        <w:t>his</w:t>
      </w:r>
      <w:r w:rsidR="00EE4FC3">
        <w:t xml:space="preserve"> </w:t>
      </w:r>
      <w:r w:rsidRPr="00382917">
        <w:t>heart</w:t>
      </w:r>
      <w:r w:rsidR="009C713D" w:rsidRPr="00382917">
        <w:t>’</w:t>
      </w:r>
      <w:r w:rsidRPr="00382917">
        <w:t>s</w:t>
      </w:r>
      <w:r w:rsidR="00EE4FC3">
        <w:t xml:space="preserve"> </w:t>
      </w:r>
      <w:r w:rsidRPr="00382917">
        <w:t>desire.</w:t>
      </w:r>
    </w:p>
    <w:p w:rsidR="006D18A4" w:rsidRPr="00382917" w:rsidRDefault="006D18A4" w:rsidP="006D18A4">
      <w:pPr>
        <w:pStyle w:val="Text"/>
      </w:pPr>
      <w:r w:rsidRPr="00382917">
        <w:t>Mullá</w:t>
      </w:r>
      <w:r w:rsidR="00EE4FC3">
        <w:t xml:space="preserve"> </w:t>
      </w:r>
      <w:r w:rsidR="00964C11" w:rsidRPr="00382917">
        <w:t>Ḥusayn</w:t>
      </w:r>
      <w:r w:rsidR="00EE4FC3">
        <w:t xml:space="preserve"> </w:t>
      </w:r>
      <w:r w:rsidRPr="00382917">
        <w:t>tried</w:t>
      </w:r>
      <w:r w:rsidR="00EE4FC3">
        <w:t xml:space="preserve"> </w:t>
      </w:r>
      <w:r w:rsidRPr="00382917">
        <w:t>to</w:t>
      </w:r>
      <w:r w:rsidR="00EE4FC3">
        <w:t xml:space="preserve"> </w:t>
      </w:r>
      <w:r w:rsidRPr="00382917">
        <w:t>calm</w:t>
      </w:r>
      <w:r w:rsidR="00EE4FC3">
        <w:t xml:space="preserve"> </w:t>
      </w:r>
      <w:r w:rsidRPr="00382917">
        <w:t>him.</w:t>
      </w:r>
      <w:r w:rsidR="00EE4FC3">
        <w:t xml:space="preserve">  </w:t>
      </w:r>
      <w:r w:rsidRPr="00382917">
        <w:t>He</w:t>
      </w:r>
      <w:r w:rsidR="00EE4FC3">
        <w:t xml:space="preserve"> </w:t>
      </w:r>
      <w:r w:rsidRPr="00382917">
        <w:t>advised</w:t>
      </w:r>
      <w:r w:rsidR="00EE4FC3">
        <w:t xml:space="preserve"> </w:t>
      </w:r>
      <w:r w:rsidRPr="00382917">
        <w:t>him</w:t>
      </w:r>
      <w:r w:rsidR="00EE4FC3">
        <w:t xml:space="preserve"> </w:t>
      </w:r>
      <w:r w:rsidRPr="00382917">
        <w:t>to</w:t>
      </w:r>
      <w:r w:rsidR="00EE4FC3">
        <w:t xml:space="preserve"> </w:t>
      </w:r>
      <w:r w:rsidRPr="00382917">
        <w:t>rest</w:t>
      </w:r>
      <w:r w:rsidR="00EE4FC3">
        <w:t xml:space="preserve"> </w:t>
      </w:r>
      <w:r w:rsidRPr="00382917">
        <w:t>for</w:t>
      </w:r>
      <w:r w:rsidR="00EE4FC3">
        <w:t xml:space="preserve"> </w:t>
      </w:r>
      <w:r w:rsidRPr="00382917">
        <w:t>a</w:t>
      </w:r>
      <w:r w:rsidR="00EE4FC3">
        <w:t xml:space="preserve"> </w:t>
      </w:r>
      <w:r w:rsidRPr="00382917">
        <w:t>while,</w:t>
      </w:r>
      <w:r w:rsidR="00EE4FC3">
        <w:t xml:space="preserve"> </w:t>
      </w:r>
      <w:r w:rsidRPr="00382917">
        <w:t>saying</w:t>
      </w:r>
      <w:r w:rsidR="00EE4FC3">
        <w:t xml:space="preserve"> </w:t>
      </w:r>
      <w:r w:rsidRPr="00382917">
        <w:t>that</w:t>
      </w:r>
      <w:r w:rsidR="00EE4FC3">
        <w:t xml:space="preserve"> </w:t>
      </w:r>
      <w:r w:rsidRPr="00382917">
        <w:t>he</w:t>
      </w:r>
      <w:r w:rsidR="00EE4FC3">
        <w:t xml:space="preserve"> </w:t>
      </w:r>
      <w:r w:rsidRPr="00382917">
        <w:t>would</w:t>
      </w:r>
      <w:r w:rsidR="00EE4FC3">
        <w:t xml:space="preserve"> </w:t>
      </w:r>
      <w:r w:rsidRPr="00382917">
        <w:t>speak</w:t>
      </w:r>
      <w:r w:rsidR="00EE4FC3">
        <w:t xml:space="preserve"> </w:t>
      </w:r>
      <w:r w:rsidRPr="00382917">
        <w:t>to</w:t>
      </w:r>
      <w:r w:rsidR="00EE4FC3">
        <w:t xml:space="preserve"> </w:t>
      </w:r>
      <w:r w:rsidRPr="00382917">
        <w:t>him</w:t>
      </w:r>
      <w:r w:rsidR="00EE4FC3">
        <w:t xml:space="preserve"> </w:t>
      </w:r>
      <w:r w:rsidRPr="00382917">
        <w:t>later.</w:t>
      </w:r>
      <w:r w:rsidR="00EE4FC3">
        <w:t xml:space="preserve">  </w:t>
      </w:r>
      <w:r w:rsidRPr="00382917">
        <w:t>The</w:t>
      </w:r>
      <w:r w:rsidR="00EE4FC3">
        <w:t xml:space="preserve"> </w:t>
      </w:r>
      <w:r w:rsidRPr="00382917">
        <w:t>youth,</w:t>
      </w:r>
      <w:r w:rsidR="00EE4FC3">
        <w:t xml:space="preserve"> </w:t>
      </w:r>
      <w:r w:rsidRPr="00382917">
        <w:t>however,</w:t>
      </w:r>
      <w:r w:rsidR="00EE4FC3">
        <w:t xml:space="preserve"> </w:t>
      </w:r>
      <w:r w:rsidRPr="00382917">
        <w:t>refused</w:t>
      </w:r>
      <w:r w:rsidR="00EE4FC3">
        <w:t xml:space="preserve"> </w:t>
      </w:r>
      <w:r w:rsidRPr="00382917">
        <w:t>to</w:t>
      </w:r>
      <w:r w:rsidR="00EE4FC3">
        <w:t xml:space="preserve"> </w:t>
      </w:r>
      <w:r w:rsidRPr="00382917">
        <w:t>rest.</w:t>
      </w:r>
      <w:r w:rsidR="00EE4FC3">
        <w:t xml:space="preserve">  </w:t>
      </w:r>
      <w:r w:rsidRPr="00382917">
        <w:t>He</w:t>
      </w:r>
      <w:r w:rsidR="00EE4FC3">
        <w:t xml:space="preserve"> </w:t>
      </w:r>
      <w:r w:rsidRPr="00382917">
        <w:t>looked</w:t>
      </w:r>
      <w:r w:rsidR="00EE4FC3">
        <w:t xml:space="preserve"> </w:t>
      </w:r>
      <w:r w:rsidRPr="00382917">
        <w:t>past</w:t>
      </w:r>
      <w:r w:rsidR="00EE4FC3">
        <w:t xml:space="preserve"> </w:t>
      </w:r>
      <w:r w:rsidRPr="00382917">
        <w:t>Mullá</w:t>
      </w:r>
      <w:r w:rsidR="00EE4FC3">
        <w:t xml:space="preserve"> </w:t>
      </w:r>
      <w:r w:rsidR="00964C11" w:rsidRPr="00382917">
        <w:t>Ḥusayn</w:t>
      </w:r>
      <w:r w:rsidR="00EE4FC3">
        <w:t xml:space="preserve"> </w:t>
      </w:r>
      <w:r w:rsidRPr="00382917">
        <w:t>at</w:t>
      </w:r>
      <w:r w:rsidR="00EE4FC3">
        <w:t xml:space="preserve"> </w:t>
      </w:r>
      <w:r w:rsidRPr="00382917">
        <w:t>the</w:t>
      </w:r>
      <w:r w:rsidR="00EE4FC3">
        <w:t xml:space="preserve"> </w:t>
      </w:r>
      <w:r w:rsidRPr="00382917">
        <w:t>retreating</w:t>
      </w:r>
      <w:r w:rsidR="00EE4FC3">
        <w:t xml:space="preserve"> </w:t>
      </w:r>
      <w:r w:rsidRPr="00382917">
        <w:t>figure</w:t>
      </w:r>
      <w:r w:rsidR="00EE4FC3">
        <w:t xml:space="preserve"> </w:t>
      </w:r>
      <w:r w:rsidRPr="00382917">
        <w:t>of</w:t>
      </w:r>
      <w:r w:rsidR="00EE4FC3">
        <w:t xml:space="preserve"> </w:t>
      </w:r>
      <w:r w:rsidRPr="00382917">
        <w:t>the</w:t>
      </w:r>
      <w:r w:rsidR="00EE4FC3">
        <w:t xml:space="preserve"> </w:t>
      </w:r>
      <w:r w:rsidRPr="00382917">
        <w:t>Báb.</w:t>
      </w:r>
      <w:r w:rsidR="00EE4FC3">
        <w:t xml:space="preserve">  </w:t>
      </w:r>
      <w:r w:rsidRPr="00382917">
        <w:t>Then</w:t>
      </w:r>
      <w:r w:rsidR="00EE4FC3">
        <w:t xml:space="preserve"> </w:t>
      </w:r>
      <w:r w:rsidRPr="00382917">
        <w:t>turning</w:t>
      </w:r>
      <w:r w:rsidR="00EE4FC3">
        <w:t xml:space="preserve"> </w:t>
      </w:r>
      <w:r w:rsidRPr="00382917">
        <w:t>to</w:t>
      </w:r>
      <w:r w:rsidR="00EE4FC3">
        <w:t xml:space="preserve"> </w:t>
      </w:r>
      <w:r w:rsidRPr="00382917">
        <w:t>Mullá</w:t>
      </w:r>
      <w:r w:rsidR="00EE4FC3">
        <w:t xml:space="preserve"> </w:t>
      </w:r>
      <w:r w:rsidR="00964C11" w:rsidRPr="00382917">
        <w:t>Ḥusayn</w:t>
      </w:r>
      <w:r w:rsidRPr="00382917">
        <w:t>,</w:t>
      </w:r>
      <w:r w:rsidR="00EE4FC3">
        <w:t xml:space="preserve"> </w:t>
      </w:r>
      <w:r w:rsidRPr="00382917">
        <w:t>he</w:t>
      </w:r>
      <w:r w:rsidR="00EE4FC3">
        <w:t xml:space="preserve"> </w:t>
      </w:r>
      <w:r w:rsidRPr="00382917">
        <w:t>said:</w:t>
      </w:r>
      <w:r w:rsidR="00EE4FC3">
        <w:t xml:space="preserve">  </w:t>
      </w:r>
      <w:r w:rsidR="009C713D" w:rsidRPr="00382917">
        <w:t>“</w:t>
      </w:r>
      <w:r w:rsidRPr="00382917">
        <w:t>Why</w:t>
      </w:r>
      <w:r w:rsidR="00EE4FC3">
        <w:t xml:space="preserve"> </w:t>
      </w:r>
      <w:r w:rsidRPr="00382917">
        <w:t>do</w:t>
      </w:r>
      <w:r w:rsidR="00EE4FC3">
        <w:t xml:space="preserve"> </w:t>
      </w:r>
      <w:r w:rsidRPr="00382917">
        <w:t>you</w:t>
      </w:r>
      <w:r w:rsidR="00EE4FC3">
        <w:t xml:space="preserve"> </w:t>
      </w:r>
      <w:r w:rsidRPr="00382917">
        <w:t>seek</w:t>
      </w:r>
      <w:r w:rsidR="00EE4FC3">
        <w:t xml:space="preserve"> </w:t>
      </w:r>
      <w:r w:rsidRPr="00382917">
        <w:t>to</w:t>
      </w:r>
      <w:r w:rsidR="00EE4FC3">
        <w:t xml:space="preserve"> </w:t>
      </w:r>
      <w:r w:rsidRPr="00382917">
        <w:t>hide</w:t>
      </w:r>
      <w:r w:rsidR="00EE4FC3">
        <w:t xml:space="preserve"> </w:t>
      </w:r>
      <w:r w:rsidRPr="00382917">
        <w:t>Him</w:t>
      </w:r>
      <w:r w:rsidR="00EE4FC3">
        <w:t xml:space="preserve"> </w:t>
      </w:r>
      <w:r w:rsidRPr="00382917">
        <w:t>from</w:t>
      </w:r>
      <w:r w:rsidR="00EE4FC3">
        <w:t xml:space="preserve"> </w:t>
      </w:r>
      <w:r w:rsidRPr="00382917">
        <w:t>me.</w:t>
      </w:r>
      <w:r w:rsidR="00EE4FC3">
        <w:t xml:space="preserve">  </w:t>
      </w:r>
      <w:r w:rsidRPr="00382917">
        <w:t>I</w:t>
      </w:r>
      <w:r w:rsidR="00EE4FC3">
        <w:t xml:space="preserve"> </w:t>
      </w:r>
      <w:r w:rsidRPr="00382917">
        <w:t>can</w:t>
      </w:r>
      <w:r w:rsidR="00EE4FC3">
        <w:t xml:space="preserve"> </w:t>
      </w:r>
      <w:r w:rsidRPr="00382917">
        <w:t>recognize</w:t>
      </w:r>
      <w:r w:rsidR="00EE4FC3">
        <w:t xml:space="preserve"> </w:t>
      </w:r>
      <w:r w:rsidRPr="00382917">
        <w:t>Him</w:t>
      </w:r>
      <w:r w:rsidR="00EE4FC3">
        <w:t xml:space="preserve"> </w:t>
      </w:r>
      <w:r w:rsidRPr="00382917">
        <w:t>by</w:t>
      </w:r>
      <w:r w:rsidR="00EE4FC3">
        <w:t xml:space="preserve"> </w:t>
      </w:r>
      <w:r w:rsidRPr="00382917">
        <w:t>His</w:t>
      </w:r>
      <w:r w:rsidR="00EE4FC3">
        <w:t xml:space="preserve"> </w:t>
      </w:r>
      <w:r w:rsidRPr="00382917">
        <w:t>gait.</w:t>
      </w:r>
      <w:r w:rsidR="00EE4FC3">
        <w:t xml:space="preserve">  </w:t>
      </w:r>
      <w:r w:rsidRPr="00382917">
        <w:t>I</w:t>
      </w:r>
      <w:r w:rsidR="00EE4FC3">
        <w:t xml:space="preserve"> </w:t>
      </w:r>
      <w:r w:rsidRPr="00382917">
        <w:t>testify</w:t>
      </w:r>
      <w:r w:rsidR="00EE4FC3">
        <w:t xml:space="preserve"> </w:t>
      </w:r>
      <w:r w:rsidRPr="00382917">
        <w:t>that</w:t>
      </w:r>
      <w:r w:rsidR="00EE4FC3">
        <w:t xml:space="preserve"> </w:t>
      </w:r>
      <w:r w:rsidRPr="00382917">
        <w:t>none</w:t>
      </w:r>
      <w:r w:rsidR="00EE4FC3">
        <w:t xml:space="preserve"> </w:t>
      </w:r>
      <w:r w:rsidRPr="00382917">
        <w:t>beside</w:t>
      </w:r>
      <w:r w:rsidR="00EE4FC3">
        <w:t xml:space="preserve"> </w:t>
      </w:r>
      <w:r w:rsidRPr="00382917">
        <w:t>Him,</w:t>
      </w:r>
      <w:r w:rsidR="00EE4FC3">
        <w:t xml:space="preserve"> </w:t>
      </w:r>
      <w:r w:rsidRPr="00382917">
        <w:t>whether</w:t>
      </w:r>
      <w:r w:rsidR="00EE4FC3">
        <w:t xml:space="preserve"> </w:t>
      </w:r>
      <w:r w:rsidRPr="00382917">
        <w:t>in</w:t>
      </w:r>
      <w:r w:rsidR="00EE4FC3">
        <w:t xml:space="preserve"> </w:t>
      </w:r>
      <w:r w:rsidRPr="00382917">
        <w:t>the</w:t>
      </w:r>
      <w:r w:rsidR="00EE4FC3">
        <w:t xml:space="preserve"> </w:t>
      </w:r>
      <w:r w:rsidRPr="00382917">
        <w:t>East</w:t>
      </w:r>
      <w:r w:rsidR="00EE4FC3">
        <w:t xml:space="preserve"> </w:t>
      </w:r>
      <w:r w:rsidRPr="00382917">
        <w:t>or</w:t>
      </w:r>
      <w:r w:rsidR="00EE4FC3">
        <w:t xml:space="preserve"> </w:t>
      </w:r>
      <w:r w:rsidRPr="00382917">
        <w:t>the</w:t>
      </w:r>
      <w:r w:rsidR="00EE4FC3">
        <w:t xml:space="preserve"> </w:t>
      </w:r>
      <w:r w:rsidRPr="00382917">
        <w:t>West,</w:t>
      </w:r>
      <w:r w:rsidR="00EE4FC3">
        <w:t xml:space="preserve"> </w:t>
      </w:r>
      <w:r w:rsidRPr="00382917">
        <w:t>can</w:t>
      </w:r>
      <w:r w:rsidR="00EE4FC3">
        <w:t xml:space="preserve"> </w:t>
      </w:r>
      <w:r w:rsidRPr="00382917">
        <w:t>claim</w:t>
      </w:r>
      <w:r w:rsidR="00EE4FC3">
        <w:t xml:space="preserve"> </w:t>
      </w:r>
      <w:r w:rsidRPr="00382917">
        <w:t>to</w:t>
      </w:r>
      <w:r w:rsidR="00EE4FC3">
        <w:t xml:space="preserve"> </w:t>
      </w:r>
      <w:r w:rsidRPr="00382917">
        <w:t>be</w:t>
      </w:r>
      <w:r w:rsidR="00EE4FC3">
        <w:t xml:space="preserve"> </w:t>
      </w:r>
      <w:r w:rsidRPr="00382917">
        <w:t>the</w:t>
      </w:r>
      <w:r w:rsidR="00EE4FC3">
        <w:t xml:space="preserve"> </w:t>
      </w:r>
      <w:r w:rsidRPr="00382917">
        <w:t>Truth.</w:t>
      </w:r>
      <w:r w:rsidR="00EE4FC3">
        <w:t xml:space="preserve">  </w:t>
      </w:r>
      <w:r w:rsidRPr="00382917">
        <w:t>None</w:t>
      </w:r>
      <w:r w:rsidR="00EE4FC3">
        <w:t xml:space="preserve"> </w:t>
      </w:r>
      <w:r w:rsidRPr="00382917">
        <w:t>other</w:t>
      </w:r>
      <w:r w:rsidR="00EE4FC3">
        <w:t xml:space="preserve"> </w:t>
      </w:r>
      <w:r w:rsidRPr="00382917">
        <w:t>can</w:t>
      </w:r>
      <w:r w:rsidR="00EE4FC3">
        <w:t xml:space="preserve"> </w:t>
      </w:r>
      <w:r w:rsidRPr="00382917">
        <w:t>manifest</w:t>
      </w:r>
      <w:r w:rsidR="00EE4FC3">
        <w:t xml:space="preserve"> </w:t>
      </w:r>
      <w:r w:rsidRPr="00382917">
        <w:t>the</w:t>
      </w:r>
      <w:r w:rsidR="00EE4FC3">
        <w:t xml:space="preserve"> </w:t>
      </w:r>
      <w:r w:rsidRPr="00382917">
        <w:t>power</w:t>
      </w:r>
      <w:r w:rsidR="00EE4FC3">
        <w:t xml:space="preserve"> </w:t>
      </w:r>
      <w:r w:rsidRPr="00382917">
        <w:t>and</w:t>
      </w:r>
      <w:r w:rsidR="00EE4FC3">
        <w:t xml:space="preserve"> </w:t>
      </w:r>
      <w:r w:rsidRPr="00382917">
        <w:t>the</w:t>
      </w:r>
      <w:r w:rsidR="00EE4FC3">
        <w:t xml:space="preserve"> </w:t>
      </w:r>
      <w:r w:rsidRPr="00382917">
        <w:t>majesty</w:t>
      </w:r>
      <w:r w:rsidR="00EE4FC3">
        <w:t xml:space="preserve"> </w:t>
      </w:r>
      <w:r w:rsidRPr="00382917">
        <w:t>that</w:t>
      </w:r>
      <w:r w:rsidR="00EE4FC3">
        <w:t xml:space="preserve"> </w:t>
      </w:r>
      <w:r w:rsidRPr="00382917">
        <w:t>radiate</w:t>
      </w:r>
      <w:r w:rsidR="00EE4FC3">
        <w:t xml:space="preserve"> </w:t>
      </w:r>
      <w:r w:rsidRPr="00382917">
        <w:t>from</w:t>
      </w:r>
      <w:r w:rsidR="00EE4FC3">
        <w:t xml:space="preserve"> </w:t>
      </w:r>
      <w:r w:rsidRPr="00382917">
        <w:t>His</w:t>
      </w:r>
      <w:r w:rsidR="00EE4FC3">
        <w:t xml:space="preserve"> </w:t>
      </w:r>
      <w:r w:rsidRPr="00382917">
        <w:t>Holy</w:t>
      </w:r>
      <w:r w:rsidR="00EE4FC3">
        <w:t xml:space="preserve"> </w:t>
      </w:r>
      <w:r w:rsidRPr="00382917">
        <w:t>person.</w:t>
      </w:r>
      <w:r w:rsidR="009C713D" w:rsidRPr="00382917">
        <w:t>”</w:t>
      </w:r>
    </w:p>
    <w:p w:rsidR="006D18A4" w:rsidRPr="00382917" w:rsidRDefault="006D18A4" w:rsidP="006D18A4">
      <w:pPr>
        <w:pStyle w:val="Text"/>
      </w:pPr>
      <w:r w:rsidRPr="00382917">
        <w:t>Mullá</w:t>
      </w:r>
      <w:r w:rsidR="00EE4FC3">
        <w:t xml:space="preserve"> </w:t>
      </w:r>
      <w:r w:rsidR="00964C11" w:rsidRPr="00382917">
        <w:t>Ḥusayn</w:t>
      </w:r>
      <w:r w:rsidR="00EE4FC3">
        <w:t xml:space="preserve"> </w:t>
      </w:r>
      <w:proofErr w:type="spellStart"/>
      <w:r w:rsidRPr="00382917">
        <w:t>marveled</w:t>
      </w:r>
      <w:proofErr w:type="spellEnd"/>
      <w:r w:rsidR="00EE4FC3">
        <w:t xml:space="preserve"> </w:t>
      </w:r>
      <w:r w:rsidRPr="00382917">
        <w:t>at</w:t>
      </w:r>
      <w:r w:rsidR="00EE4FC3">
        <w:t xml:space="preserve"> </w:t>
      </w:r>
      <w:r w:rsidRPr="00382917">
        <w:t>these</w:t>
      </w:r>
      <w:r w:rsidR="00EE4FC3">
        <w:t xml:space="preserve"> </w:t>
      </w:r>
      <w:r w:rsidRPr="00382917">
        <w:t>words.</w:t>
      </w:r>
      <w:r w:rsidR="00EE4FC3">
        <w:t xml:space="preserve">  </w:t>
      </w:r>
      <w:r w:rsidRPr="00382917">
        <w:t>He</w:t>
      </w:r>
      <w:r w:rsidR="00EE4FC3">
        <w:t xml:space="preserve"> </w:t>
      </w:r>
      <w:r w:rsidRPr="00382917">
        <w:t>pleaded</w:t>
      </w:r>
      <w:r w:rsidR="00EE4FC3">
        <w:t xml:space="preserve"> </w:t>
      </w:r>
      <w:r w:rsidRPr="00382917">
        <w:t>with</w:t>
      </w:r>
      <w:r w:rsidR="00EE4FC3">
        <w:t xml:space="preserve"> </w:t>
      </w:r>
      <w:r w:rsidRPr="00382917">
        <w:t>him</w:t>
      </w:r>
      <w:r w:rsidR="00EE4FC3">
        <w:t xml:space="preserve"> </w:t>
      </w:r>
      <w:r w:rsidRPr="00382917">
        <w:t>to</w:t>
      </w:r>
      <w:r w:rsidR="00EE4FC3">
        <w:t xml:space="preserve"> </w:t>
      </w:r>
      <w:r w:rsidRPr="00382917">
        <w:t>restrain</w:t>
      </w:r>
      <w:r w:rsidR="00EE4FC3">
        <w:t xml:space="preserve"> </w:t>
      </w:r>
      <w:r w:rsidRPr="00382917">
        <w:t>his</w:t>
      </w:r>
      <w:r w:rsidR="00EE4FC3">
        <w:t xml:space="preserve"> </w:t>
      </w:r>
      <w:r w:rsidRPr="00382917">
        <w:t>feelings,</w:t>
      </w:r>
      <w:r w:rsidR="00EE4FC3">
        <w:t xml:space="preserve"> </w:t>
      </w:r>
      <w:r w:rsidRPr="00382917">
        <w:t>promising</w:t>
      </w:r>
      <w:r w:rsidR="00EE4FC3">
        <w:t xml:space="preserve"> </w:t>
      </w:r>
      <w:r w:rsidRPr="00382917">
        <w:t>that</w:t>
      </w:r>
      <w:r w:rsidR="00EE4FC3">
        <w:t xml:space="preserve"> </w:t>
      </w:r>
      <w:r w:rsidRPr="00382917">
        <w:t>the</w:t>
      </w:r>
      <w:r w:rsidR="00EE4FC3">
        <w:t xml:space="preserve"> </w:t>
      </w:r>
      <w:r w:rsidRPr="00382917">
        <w:t>truth</w:t>
      </w:r>
      <w:r w:rsidR="00EE4FC3">
        <w:t xml:space="preserve"> </w:t>
      </w:r>
      <w:r w:rsidRPr="00382917">
        <w:t>would</w:t>
      </w:r>
      <w:r w:rsidR="00EE4FC3">
        <w:t xml:space="preserve"> </w:t>
      </w:r>
      <w:r w:rsidRPr="00382917">
        <w:t>be</w:t>
      </w:r>
      <w:r w:rsidR="00EE4FC3">
        <w:t xml:space="preserve"> </w:t>
      </w:r>
      <w:r w:rsidRPr="00382917">
        <w:t>unveiled</w:t>
      </w:r>
    </w:p>
    <w:p w:rsidR="006D18A4" w:rsidRPr="00382917" w:rsidRDefault="006D18A4">
      <w:pPr>
        <w:widowControl/>
        <w:kinsoku/>
        <w:overflowPunct/>
        <w:textAlignment w:val="auto"/>
      </w:pPr>
      <w:r w:rsidRPr="00382917">
        <w:br w:type="page"/>
      </w:r>
    </w:p>
    <w:p w:rsidR="006D18A4" w:rsidRPr="00382917" w:rsidRDefault="006D18A4" w:rsidP="006D18A4">
      <w:pPr>
        <w:pStyle w:val="Textcts"/>
      </w:pPr>
      <w:proofErr w:type="gramStart"/>
      <w:r w:rsidRPr="00382917">
        <w:t>to</w:t>
      </w:r>
      <w:proofErr w:type="gramEnd"/>
      <w:r w:rsidR="00EE4FC3">
        <w:t xml:space="preserve"> </w:t>
      </w:r>
      <w:r w:rsidRPr="00382917">
        <w:t>him</w:t>
      </w:r>
      <w:r w:rsidR="00EE4FC3">
        <w:t xml:space="preserve"> </w:t>
      </w:r>
      <w:r w:rsidRPr="00382917">
        <w:t>soon.</w:t>
      </w:r>
      <w:r w:rsidR="00EE4FC3">
        <w:t xml:space="preserve">  </w:t>
      </w:r>
      <w:r w:rsidRPr="00382917">
        <w:t>Leaving</w:t>
      </w:r>
      <w:r w:rsidR="00EE4FC3">
        <w:t xml:space="preserve"> </w:t>
      </w:r>
      <w:r w:rsidRPr="00382917">
        <w:t>him,</w:t>
      </w:r>
      <w:r w:rsidR="00EE4FC3">
        <w:t xml:space="preserve"> </w:t>
      </w:r>
      <w:r w:rsidRPr="00382917">
        <w:t>Mullá</w:t>
      </w:r>
      <w:r w:rsidR="00EE4FC3">
        <w:t xml:space="preserve"> </w:t>
      </w:r>
      <w:r w:rsidR="00964C11" w:rsidRPr="00382917">
        <w:t>Ḥusayn</w:t>
      </w:r>
      <w:r w:rsidR="00EE4FC3">
        <w:t xml:space="preserve"> </w:t>
      </w:r>
      <w:r w:rsidRPr="00382917">
        <w:t>hastened</w:t>
      </w:r>
      <w:r w:rsidR="00EE4FC3">
        <w:t xml:space="preserve"> </w:t>
      </w:r>
      <w:r w:rsidRPr="00382917">
        <w:t>to</w:t>
      </w:r>
      <w:r w:rsidR="00EE4FC3">
        <w:t xml:space="preserve"> </w:t>
      </w:r>
      <w:r w:rsidRPr="00382917">
        <w:t>join</w:t>
      </w:r>
      <w:r w:rsidR="00EE4FC3">
        <w:t xml:space="preserve"> </w:t>
      </w:r>
      <w:r w:rsidRPr="00382917">
        <w:t>the</w:t>
      </w:r>
      <w:r w:rsidR="00EE4FC3">
        <w:t xml:space="preserve"> </w:t>
      </w:r>
      <w:r w:rsidRPr="00382917">
        <w:t>Báb.</w:t>
      </w:r>
      <w:r w:rsidR="00EE4FC3">
        <w:t xml:space="preserve">  </w:t>
      </w:r>
      <w:r w:rsidRPr="00382917">
        <w:t>He</w:t>
      </w:r>
      <w:r w:rsidR="00EE4FC3">
        <w:t xml:space="preserve"> </w:t>
      </w:r>
      <w:r w:rsidRPr="00382917">
        <w:t>told</w:t>
      </w:r>
      <w:r w:rsidR="00EE4FC3">
        <w:t xml:space="preserve"> </w:t>
      </w:r>
      <w:r w:rsidRPr="00382917">
        <w:t>Him</w:t>
      </w:r>
      <w:r w:rsidR="00EE4FC3">
        <w:t xml:space="preserve"> </w:t>
      </w:r>
      <w:r w:rsidRPr="00382917">
        <w:t>of</w:t>
      </w:r>
      <w:r w:rsidR="00EE4FC3">
        <w:t xml:space="preserve"> </w:t>
      </w:r>
      <w:r w:rsidRPr="00382917">
        <w:t>his</w:t>
      </w:r>
      <w:r w:rsidR="00EE4FC3">
        <w:t xml:space="preserve"> </w:t>
      </w:r>
      <w:r w:rsidRPr="00382917">
        <w:t>conversation</w:t>
      </w:r>
      <w:r w:rsidR="00EE4FC3">
        <w:t xml:space="preserve"> </w:t>
      </w:r>
      <w:r w:rsidRPr="00382917">
        <w:t>with</w:t>
      </w:r>
      <w:r w:rsidR="00EE4FC3">
        <w:t xml:space="preserve"> </w:t>
      </w:r>
      <w:r w:rsidRPr="00382917">
        <w:t>the</w:t>
      </w:r>
      <w:r w:rsidR="00EE4FC3">
        <w:t xml:space="preserve"> </w:t>
      </w:r>
      <w:r w:rsidRPr="00382917">
        <w:t>young</w:t>
      </w:r>
      <w:r w:rsidR="00EE4FC3">
        <w:t xml:space="preserve"> </w:t>
      </w:r>
      <w:r w:rsidRPr="00382917">
        <w:t>man.</w:t>
      </w:r>
    </w:p>
    <w:p w:rsidR="006D18A4" w:rsidRPr="00382917" w:rsidRDefault="009C713D" w:rsidP="006D18A4">
      <w:pPr>
        <w:pStyle w:val="Text"/>
      </w:pPr>
      <w:r w:rsidRPr="00382917">
        <w:t>“</w:t>
      </w:r>
      <w:r w:rsidR="006D18A4" w:rsidRPr="00382917">
        <w:t>Marvel</w:t>
      </w:r>
      <w:r w:rsidR="00EE4FC3">
        <w:t xml:space="preserve"> </w:t>
      </w:r>
      <w:r w:rsidR="006D18A4" w:rsidRPr="00382917">
        <w:t>not</w:t>
      </w:r>
      <w:r w:rsidR="00EE4FC3">
        <w:t xml:space="preserve"> </w:t>
      </w:r>
      <w:r w:rsidR="006D18A4" w:rsidRPr="00382917">
        <w:t>at</w:t>
      </w:r>
      <w:r w:rsidR="00EE4FC3">
        <w:t xml:space="preserve"> </w:t>
      </w:r>
      <w:r w:rsidR="006D18A4" w:rsidRPr="00382917">
        <w:t>this</w:t>
      </w:r>
      <w:r w:rsidR="00EE4FC3">
        <w:t xml:space="preserve"> </w:t>
      </w:r>
      <w:r w:rsidR="006D18A4" w:rsidRPr="00382917">
        <w:t>strange</w:t>
      </w:r>
      <w:r w:rsidR="00EE4FC3">
        <w:t xml:space="preserve"> </w:t>
      </w:r>
      <w:proofErr w:type="spellStart"/>
      <w:r w:rsidR="006D18A4" w:rsidRPr="00382917">
        <w:t>behavior</w:t>
      </w:r>
      <w:proofErr w:type="spellEnd"/>
      <w:r w:rsidR="006D18A4" w:rsidRPr="00382917">
        <w:t>,</w:t>
      </w:r>
      <w:r w:rsidRPr="00382917">
        <w:t>”</w:t>
      </w:r>
      <w:r w:rsidR="00EE4FC3">
        <w:t xml:space="preserve"> </w:t>
      </w:r>
      <w:r w:rsidR="006D18A4" w:rsidRPr="00382917">
        <w:t>the</w:t>
      </w:r>
      <w:r w:rsidR="00EE4FC3">
        <w:t xml:space="preserve"> </w:t>
      </w:r>
      <w:r w:rsidR="006D18A4" w:rsidRPr="00382917">
        <w:t>Báb</w:t>
      </w:r>
      <w:r w:rsidR="00EE4FC3">
        <w:t xml:space="preserve"> </w:t>
      </w:r>
      <w:r w:rsidR="006D18A4" w:rsidRPr="00382917">
        <w:t>said,</w:t>
      </w:r>
      <w:r w:rsidR="00EE4FC3">
        <w:t xml:space="preserve"> </w:t>
      </w:r>
      <w:r w:rsidRPr="00382917">
        <w:t>“</w:t>
      </w:r>
      <w:r w:rsidR="006D18A4" w:rsidRPr="00382917">
        <w:t>We</w:t>
      </w:r>
      <w:r w:rsidR="00EE4FC3">
        <w:t xml:space="preserve"> </w:t>
      </w:r>
      <w:r w:rsidR="006D18A4" w:rsidRPr="00382917">
        <w:t>have</w:t>
      </w:r>
      <w:r w:rsidR="00EE4FC3">
        <w:t xml:space="preserve"> </w:t>
      </w:r>
      <w:r w:rsidR="006D18A4" w:rsidRPr="00382917">
        <w:t>in</w:t>
      </w:r>
      <w:r w:rsidR="00EE4FC3">
        <w:t xml:space="preserve"> </w:t>
      </w:r>
      <w:r w:rsidR="006D18A4" w:rsidRPr="00382917">
        <w:t>the</w:t>
      </w:r>
      <w:r w:rsidR="00EE4FC3">
        <w:t xml:space="preserve"> </w:t>
      </w:r>
      <w:r w:rsidR="006D18A4" w:rsidRPr="00382917">
        <w:t>world</w:t>
      </w:r>
      <w:r w:rsidR="00EE4FC3">
        <w:t xml:space="preserve"> </w:t>
      </w:r>
      <w:r w:rsidR="006D18A4" w:rsidRPr="00382917">
        <w:t>of</w:t>
      </w:r>
      <w:r w:rsidR="00EE4FC3">
        <w:t xml:space="preserve"> </w:t>
      </w:r>
      <w:r w:rsidR="006D18A4" w:rsidRPr="00382917">
        <w:t>the</w:t>
      </w:r>
      <w:r w:rsidR="00EE4FC3">
        <w:t xml:space="preserve"> </w:t>
      </w:r>
      <w:r w:rsidR="006D18A4" w:rsidRPr="00382917">
        <w:t>spirit</w:t>
      </w:r>
      <w:r w:rsidR="00EE4FC3">
        <w:t xml:space="preserve"> </w:t>
      </w:r>
      <w:r w:rsidR="006D18A4" w:rsidRPr="00382917">
        <w:t>been</w:t>
      </w:r>
      <w:r w:rsidR="00EE4FC3">
        <w:t xml:space="preserve"> </w:t>
      </w:r>
      <w:r w:rsidR="006D18A4" w:rsidRPr="00382917">
        <w:t>communing</w:t>
      </w:r>
      <w:r w:rsidR="00EE4FC3">
        <w:t xml:space="preserve"> </w:t>
      </w:r>
      <w:r w:rsidR="006D18A4" w:rsidRPr="00382917">
        <w:t>with</w:t>
      </w:r>
      <w:r w:rsidR="00EE4FC3">
        <w:t xml:space="preserve"> </w:t>
      </w:r>
      <w:r w:rsidR="006D18A4" w:rsidRPr="00382917">
        <w:t>that</w:t>
      </w:r>
      <w:r w:rsidR="00EE4FC3">
        <w:t xml:space="preserve"> </w:t>
      </w:r>
      <w:r w:rsidR="006D18A4" w:rsidRPr="00382917">
        <w:t>youth.</w:t>
      </w:r>
      <w:r w:rsidR="00EE4FC3">
        <w:t xml:space="preserve">  </w:t>
      </w:r>
      <w:r w:rsidR="006D18A4" w:rsidRPr="00382917">
        <w:t>We</w:t>
      </w:r>
      <w:r w:rsidR="00EE4FC3">
        <w:t xml:space="preserve"> </w:t>
      </w:r>
      <w:r w:rsidR="006D18A4" w:rsidRPr="00382917">
        <w:t>know</w:t>
      </w:r>
      <w:r w:rsidR="00EE4FC3">
        <w:t xml:space="preserve"> </w:t>
      </w:r>
      <w:r w:rsidR="006D18A4" w:rsidRPr="00382917">
        <w:t>him</w:t>
      </w:r>
      <w:r w:rsidR="00EE4FC3">
        <w:t xml:space="preserve"> </w:t>
      </w:r>
      <w:r w:rsidR="006D18A4" w:rsidRPr="00382917">
        <w:t>already.</w:t>
      </w:r>
      <w:r w:rsidR="00EE4FC3">
        <w:t xml:space="preserve">  </w:t>
      </w:r>
      <w:r w:rsidR="006D18A4" w:rsidRPr="00382917">
        <w:t>We</w:t>
      </w:r>
      <w:r w:rsidR="00EE4FC3">
        <w:t xml:space="preserve"> </w:t>
      </w:r>
      <w:r w:rsidR="006D18A4" w:rsidRPr="00382917">
        <w:t>indeed</w:t>
      </w:r>
      <w:r w:rsidR="00EE4FC3">
        <w:t xml:space="preserve"> </w:t>
      </w:r>
      <w:r w:rsidR="006D18A4" w:rsidRPr="00382917">
        <w:t>awaited</w:t>
      </w:r>
      <w:r w:rsidR="00EE4FC3">
        <w:t xml:space="preserve"> </w:t>
      </w:r>
      <w:r w:rsidR="006D18A4" w:rsidRPr="00382917">
        <w:t>his</w:t>
      </w:r>
      <w:r w:rsidR="00EE4FC3">
        <w:t xml:space="preserve"> </w:t>
      </w:r>
      <w:r w:rsidR="006D18A4" w:rsidRPr="00382917">
        <w:t>coming.</w:t>
      </w:r>
      <w:r w:rsidR="00EE4FC3">
        <w:t xml:space="preserve">  </w:t>
      </w:r>
      <w:r w:rsidR="006D18A4" w:rsidRPr="00382917">
        <w:t>Go</w:t>
      </w:r>
      <w:r w:rsidR="00EE4FC3">
        <w:t xml:space="preserve"> </w:t>
      </w:r>
      <w:r w:rsidR="006D18A4" w:rsidRPr="00382917">
        <w:t>to</w:t>
      </w:r>
      <w:r w:rsidR="00EE4FC3">
        <w:t xml:space="preserve"> </w:t>
      </w:r>
      <w:r w:rsidR="006D18A4" w:rsidRPr="00382917">
        <w:t>him</w:t>
      </w:r>
      <w:r w:rsidR="00EE4FC3">
        <w:t xml:space="preserve"> </w:t>
      </w:r>
      <w:r w:rsidR="006D18A4" w:rsidRPr="00382917">
        <w:t>and</w:t>
      </w:r>
      <w:r w:rsidR="00EE4FC3">
        <w:t xml:space="preserve"> </w:t>
      </w:r>
      <w:r w:rsidR="006D18A4" w:rsidRPr="00382917">
        <w:t>summon</w:t>
      </w:r>
      <w:r w:rsidR="00EE4FC3">
        <w:t xml:space="preserve"> </w:t>
      </w:r>
      <w:r w:rsidR="006D18A4" w:rsidRPr="00382917">
        <w:t>him</w:t>
      </w:r>
      <w:r w:rsidR="00EE4FC3">
        <w:t xml:space="preserve"> </w:t>
      </w:r>
      <w:r w:rsidR="006D18A4" w:rsidRPr="00382917">
        <w:t>forthwith</w:t>
      </w:r>
      <w:r w:rsidR="00EE4FC3">
        <w:t xml:space="preserve"> </w:t>
      </w:r>
      <w:r w:rsidR="006D18A4" w:rsidRPr="00382917">
        <w:t>to</w:t>
      </w:r>
      <w:r w:rsidR="00EE4FC3">
        <w:t xml:space="preserve"> </w:t>
      </w:r>
      <w:proofErr w:type="gramStart"/>
      <w:r w:rsidR="006D18A4" w:rsidRPr="00382917">
        <w:t>Our</w:t>
      </w:r>
      <w:proofErr w:type="gramEnd"/>
      <w:r w:rsidR="00EE4FC3">
        <w:t xml:space="preserve"> </w:t>
      </w:r>
      <w:r w:rsidR="006D18A4" w:rsidRPr="00382917">
        <w:t>presence.</w:t>
      </w:r>
      <w:r w:rsidRPr="00382917">
        <w:t>”</w:t>
      </w:r>
    </w:p>
    <w:p w:rsidR="00E13D49" w:rsidRPr="00382917" w:rsidRDefault="006D18A4" w:rsidP="0032274A">
      <w:pPr>
        <w:pStyle w:val="Text"/>
      </w:pPr>
      <w:r w:rsidRPr="00382917">
        <w:t>Mullá</w:t>
      </w:r>
      <w:r w:rsidR="00EE4FC3">
        <w:t xml:space="preserve"> </w:t>
      </w:r>
      <w:r w:rsidR="00964C11" w:rsidRPr="00382917">
        <w:t>Ḥusayn</w:t>
      </w:r>
      <w:r w:rsidR="00EE4FC3">
        <w:t xml:space="preserve"> </w:t>
      </w:r>
      <w:r w:rsidRPr="00382917">
        <w:t>instantly</w:t>
      </w:r>
      <w:r w:rsidR="00EE4FC3">
        <w:t xml:space="preserve"> </w:t>
      </w:r>
      <w:r w:rsidRPr="00382917">
        <w:t>recalled</w:t>
      </w:r>
      <w:r w:rsidR="00EE4FC3">
        <w:t xml:space="preserve"> </w:t>
      </w:r>
      <w:r w:rsidRPr="00382917">
        <w:t>the</w:t>
      </w:r>
      <w:r w:rsidR="00EE4FC3">
        <w:t xml:space="preserve"> </w:t>
      </w:r>
      <w:r w:rsidRPr="00382917">
        <w:t>prophecy</w:t>
      </w:r>
      <w:r w:rsidR="00EE4FC3">
        <w:t xml:space="preserve"> </w:t>
      </w:r>
      <w:r w:rsidRPr="00382917">
        <w:t>given</w:t>
      </w:r>
      <w:r w:rsidR="00EE4FC3">
        <w:t xml:space="preserve"> </w:t>
      </w:r>
      <w:r w:rsidRPr="00382917">
        <w:t>for</w:t>
      </w:r>
      <w:r w:rsidR="00EE4FC3">
        <w:t xml:space="preserve"> </w:t>
      </w:r>
      <w:r w:rsidRPr="00382917">
        <w:t>the</w:t>
      </w:r>
      <w:r w:rsidR="00EE4FC3">
        <w:t xml:space="preserve"> </w:t>
      </w:r>
      <w:r w:rsidRPr="00382917">
        <w:t>time</w:t>
      </w:r>
      <w:r w:rsidR="00EE4FC3">
        <w:t xml:space="preserve"> </w:t>
      </w:r>
      <w:r w:rsidRPr="00382917">
        <w:t>of</w:t>
      </w:r>
      <w:r w:rsidR="00EE4FC3">
        <w:t xml:space="preserve"> </w:t>
      </w:r>
      <w:r w:rsidRPr="00382917">
        <w:t>the</w:t>
      </w:r>
      <w:r w:rsidR="00EE4FC3">
        <w:t xml:space="preserve"> </w:t>
      </w:r>
      <w:r w:rsidRPr="00382917">
        <w:t>end:</w:t>
      </w:r>
      <w:r w:rsidR="00EE4FC3">
        <w:t xml:space="preserve">  </w:t>
      </w:r>
      <w:r w:rsidR="009C713D" w:rsidRPr="00382917">
        <w:t>“</w:t>
      </w:r>
      <w:r w:rsidRPr="00382917">
        <w:t>On</w:t>
      </w:r>
      <w:r w:rsidR="00EE4FC3">
        <w:t xml:space="preserve"> </w:t>
      </w:r>
      <w:r w:rsidRPr="00382917">
        <w:t>the</w:t>
      </w:r>
      <w:r w:rsidR="00EE4FC3">
        <w:t xml:space="preserve"> </w:t>
      </w:r>
      <w:r w:rsidRPr="00382917">
        <w:t>last</w:t>
      </w:r>
      <w:r w:rsidR="00EE4FC3">
        <w:t xml:space="preserve"> </w:t>
      </w:r>
      <w:r w:rsidRPr="00382917">
        <w:t>Day,</w:t>
      </w:r>
      <w:r w:rsidR="00EE4FC3">
        <w:t xml:space="preserve"> </w:t>
      </w:r>
      <w:r w:rsidRPr="00382917">
        <w:t>the</w:t>
      </w:r>
      <w:r w:rsidR="00EE4FC3">
        <w:t xml:space="preserve"> </w:t>
      </w:r>
      <w:r w:rsidRPr="00382917">
        <w:t>men</w:t>
      </w:r>
      <w:r w:rsidR="00EE4FC3">
        <w:t xml:space="preserve"> </w:t>
      </w:r>
      <w:r w:rsidRPr="00382917">
        <w:t>of</w:t>
      </w:r>
      <w:r w:rsidR="00EE4FC3">
        <w:t xml:space="preserve"> </w:t>
      </w:r>
      <w:r w:rsidRPr="00382917">
        <w:t>the</w:t>
      </w:r>
      <w:r w:rsidR="00EE4FC3">
        <w:t xml:space="preserve"> </w:t>
      </w:r>
      <w:r w:rsidRPr="00382917">
        <w:t>unseen</w:t>
      </w:r>
      <w:r w:rsidR="00EE4FC3">
        <w:t xml:space="preserve"> </w:t>
      </w:r>
      <w:r w:rsidRPr="00382917">
        <w:t>shall,</w:t>
      </w:r>
      <w:r w:rsidR="00EE4FC3">
        <w:t xml:space="preserve"> </w:t>
      </w:r>
      <w:r w:rsidRPr="00382917">
        <w:t>on</w:t>
      </w:r>
      <w:r w:rsidR="00EE4FC3">
        <w:t xml:space="preserve"> </w:t>
      </w:r>
      <w:r w:rsidRPr="00382917">
        <w:t>the</w:t>
      </w:r>
      <w:r w:rsidR="00EE4FC3">
        <w:t xml:space="preserve"> </w:t>
      </w:r>
      <w:r w:rsidRPr="00382917">
        <w:t>wings</w:t>
      </w:r>
      <w:r w:rsidR="00EE4FC3">
        <w:t xml:space="preserve"> </w:t>
      </w:r>
      <w:r w:rsidRPr="00382917">
        <w:t>of</w:t>
      </w:r>
      <w:r w:rsidR="00EE4FC3">
        <w:t xml:space="preserve"> </w:t>
      </w:r>
      <w:r w:rsidRPr="00382917">
        <w:t>the</w:t>
      </w:r>
      <w:r w:rsidR="00EE4FC3">
        <w:t xml:space="preserve"> </w:t>
      </w:r>
      <w:r w:rsidRPr="00382917">
        <w:t>spirit,</w:t>
      </w:r>
      <w:r w:rsidR="00EE4FC3">
        <w:t xml:space="preserve"> </w:t>
      </w:r>
      <w:r w:rsidRPr="00382917">
        <w:t>traverse</w:t>
      </w:r>
      <w:r w:rsidR="00EE4FC3">
        <w:t xml:space="preserve"> </w:t>
      </w:r>
      <w:r w:rsidRPr="00382917">
        <w:t>the</w:t>
      </w:r>
      <w:r w:rsidR="00EE4FC3">
        <w:t xml:space="preserve"> </w:t>
      </w:r>
      <w:r w:rsidRPr="00382917">
        <w:t>immensity</w:t>
      </w:r>
      <w:r w:rsidR="00EE4FC3">
        <w:t xml:space="preserve"> </w:t>
      </w:r>
      <w:r w:rsidRPr="00382917">
        <w:t>of</w:t>
      </w:r>
      <w:r w:rsidR="00EE4FC3">
        <w:t xml:space="preserve"> </w:t>
      </w:r>
      <w:r w:rsidRPr="00382917">
        <w:t>the</w:t>
      </w:r>
      <w:r w:rsidR="00EE4FC3">
        <w:t xml:space="preserve"> </w:t>
      </w:r>
      <w:r w:rsidRPr="00382917">
        <w:t>earth,</w:t>
      </w:r>
      <w:r w:rsidR="00EE4FC3">
        <w:t xml:space="preserve"> </w:t>
      </w:r>
      <w:r w:rsidRPr="00382917">
        <w:t>shall</w:t>
      </w:r>
      <w:r w:rsidR="00EE4FC3">
        <w:t xml:space="preserve"> </w:t>
      </w:r>
      <w:r w:rsidRPr="00382917">
        <w:t>attain</w:t>
      </w:r>
      <w:r w:rsidR="00EE4FC3">
        <w:t xml:space="preserve"> </w:t>
      </w:r>
      <w:r w:rsidRPr="00382917">
        <w:t>the</w:t>
      </w:r>
      <w:r w:rsidR="00EE4FC3">
        <w:t xml:space="preserve"> </w:t>
      </w:r>
      <w:r w:rsidRPr="00382917">
        <w:t>presence</w:t>
      </w:r>
      <w:r w:rsidR="00EE4FC3">
        <w:t xml:space="preserve"> </w:t>
      </w:r>
      <w:r w:rsidRPr="00382917">
        <w:t>of</w:t>
      </w:r>
      <w:r w:rsidR="00EE4FC3">
        <w:t xml:space="preserve"> </w:t>
      </w:r>
      <w:r w:rsidRPr="00382917">
        <w:t>the</w:t>
      </w:r>
      <w:r w:rsidR="00EE4FC3">
        <w:t xml:space="preserve"> </w:t>
      </w:r>
      <w:r w:rsidRPr="00382917">
        <w:t>Promised</w:t>
      </w:r>
      <w:r w:rsidR="00EE4FC3">
        <w:t xml:space="preserve"> </w:t>
      </w:r>
      <w:r w:rsidRPr="00382917">
        <w:t>One</w:t>
      </w:r>
      <w:r w:rsidR="00EE4FC3">
        <w:t xml:space="preserve"> </w:t>
      </w:r>
      <w:r w:rsidRPr="00382917">
        <w:t>and</w:t>
      </w:r>
      <w:r w:rsidR="00EE4FC3">
        <w:t xml:space="preserve"> </w:t>
      </w:r>
      <w:r w:rsidRPr="00382917">
        <w:t>shall</w:t>
      </w:r>
      <w:r w:rsidR="00EE4FC3">
        <w:t xml:space="preserve"> </w:t>
      </w:r>
      <w:r w:rsidRPr="00382917">
        <w:t>seek</w:t>
      </w:r>
      <w:r w:rsidR="00EE4FC3">
        <w:t xml:space="preserve"> </w:t>
      </w:r>
      <w:r w:rsidRPr="00382917">
        <w:t>from</w:t>
      </w:r>
      <w:r w:rsidR="00EE4FC3">
        <w:t xml:space="preserve"> </w:t>
      </w:r>
      <w:r w:rsidRPr="00382917">
        <w:t>Him</w:t>
      </w:r>
      <w:r w:rsidR="00EE4FC3">
        <w:t xml:space="preserve"> </w:t>
      </w:r>
      <w:r w:rsidRPr="00382917">
        <w:t>the</w:t>
      </w:r>
      <w:r w:rsidR="00EE4FC3">
        <w:t xml:space="preserve"> </w:t>
      </w:r>
      <w:r w:rsidRPr="00382917">
        <w:t>secret</w:t>
      </w:r>
      <w:r w:rsidR="00EE4FC3">
        <w:t xml:space="preserve"> </w:t>
      </w:r>
      <w:r w:rsidRPr="00382917">
        <w:t>that</w:t>
      </w:r>
      <w:r w:rsidR="00EE4FC3">
        <w:t xml:space="preserve"> </w:t>
      </w:r>
      <w:r w:rsidRPr="00382917">
        <w:t>will</w:t>
      </w:r>
      <w:r w:rsidR="00EE4FC3">
        <w:t xml:space="preserve"> </w:t>
      </w:r>
      <w:r w:rsidRPr="00382917">
        <w:t>resolve</w:t>
      </w:r>
      <w:r w:rsidR="00EE4FC3">
        <w:t xml:space="preserve"> </w:t>
      </w:r>
      <w:r w:rsidRPr="00382917">
        <w:t>their</w:t>
      </w:r>
      <w:r w:rsidR="00EE4FC3">
        <w:t xml:space="preserve"> </w:t>
      </w:r>
      <w:r w:rsidRPr="00382917">
        <w:t>problems</w:t>
      </w:r>
      <w:r w:rsidR="00EE4FC3">
        <w:t xml:space="preserve"> </w:t>
      </w:r>
      <w:r w:rsidRPr="00382917">
        <w:t>and</w:t>
      </w:r>
      <w:r w:rsidR="00EE4FC3">
        <w:t xml:space="preserve"> </w:t>
      </w:r>
      <w:r w:rsidRPr="00382917">
        <w:t>remove</w:t>
      </w:r>
      <w:r w:rsidR="00EE4FC3">
        <w:t xml:space="preserve"> </w:t>
      </w:r>
      <w:r w:rsidRPr="00382917">
        <w:t>their</w:t>
      </w:r>
      <w:r w:rsidR="00EE4FC3">
        <w:t xml:space="preserve"> </w:t>
      </w:r>
      <w:r w:rsidRPr="00382917">
        <w:t>perplexities.</w:t>
      </w:r>
      <w:r w:rsidR="009C713D" w:rsidRPr="00382917">
        <w:t>”</w:t>
      </w:r>
      <w:r w:rsidR="0032274A">
        <w:rPr>
          <w:rStyle w:val="FootnoteReference"/>
        </w:rPr>
        <w:footnoteReference w:id="17"/>
      </w:r>
    </w:p>
    <w:p w:rsidR="00E13D49" w:rsidRPr="00382917" w:rsidRDefault="006D18A4" w:rsidP="00EE5C62">
      <w:pPr>
        <w:pStyle w:val="Text"/>
      </w:pPr>
      <w:r w:rsidRPr="00382917">
        <w:t>Now</w:t>
      </w:r>
      <w:r w:rsidR="00EE4FC3">
        <w:t xml:space="preserve"> </w:t>
      </w:r>
      <w:r w:rsidRPr="00382917">
        <w:t>when</w:t>
      </w:r>
      <w:r w:rsidR="00EE4FC3">
        <w:t xml:space="preserve"> </w:t>
      </w:r>
      <w:r w:rsidRPr="00382917">
        <w:t>this</w:t>
      </w:r>
      <w:r w:rsidR="00EE4FC3">
        <w:t xml:space="preserve"> </w:t>
      </w:r>
      <w:r w:rsidRPr="00382917">
        <w:t>eighteenth</w:t>
      </w:r>
      <w:r w:rsidR="00EE4FC3">
        <w:t xml:space="preserve"> </w:t>
      </w:r>
      <w:r w:rsidRPr="00382917">
        <w:t>disciple,</w:t>
      </w:r>
      <w:r w:rsidR="00EE4FC3">
        <w:t xml:space="preserve"> </w:t>
      </w:r>
      <w:r w:rsidRPr="00382917">
        <w:t>known</w:t>
      </w:r>
      <w:r w:rsidR="00EE4FC3">
        <w:t xml:space="preserve"> </w:t>
      </w:r>
      <w:r w:rsidRPr="00382917">
        <w:t>as</w:t>
      </w:r>
      <w:r w:rsidR="00EE4FC3">
        <w:t xml:space="preserve"> </w:t>
      </w:r>
      <w:r w:rsidRPr="00382917">
        <w:t>Quddús,</w:t>
      </w:r>
      <w:r w:rsidR="00EE4FC3">
        <w:t xml:space="preserve"> </w:t>
      </w:r>
      <w:r w:rsidRPr="00382917">
        <w:t>had</w:t>
      </w:r>
      <w:r w:rsidR="00EE4FC3">
        <w:t xml:space="preserve"> </w:t>
      </w:r>
      <w:r w:rsidRPr="00382917">
        <w:t>accepted</w:t>
      </w:r>
      <w:r w:rsidR="00EE4FC3">
        <w:t xml:space="preserve"> </w:t>
      </w:r>
      <w:r w:rsidRPr="00382917">
        <w:t>Him,</w:t>
      </w:r>
      <w:r w:rsidR="00EE4FC3">
        <w:t xml:space="preserve"> </w:t>
      </w:r>
      <w:r w:rsidRPr="00382917">
        <w:t>the</w:t>
      </w:r>
      <w:r w:rsidR="00EE4FC3">
        <w:t xml:space="preserve"> </w:t>
      </w:r>
      <w:r w:rsidRPr="00382917">
        <w:t>Báb</w:t>
      </w:r>
      <w:r w:rsidR="00EE4FC3">
        <w:t xml:space="preserve"> </w:t>
      </w:r>
      <w:r w:rsidRPr="00382917">
        <w:t>addressed</w:t>
      </w:r>
      <w:r w:rsidR="00EE4FC3">
        <w:t xml:space="preserve"> </w:t>
      </w:r>
      <w:r w:rsidRPr="00382917">
        <w:t>them,</w:t>
      </w:r>
      <w:r w:rsidR="00EE4FC3">
        <w:t xml:space="preserve"> </w:t>
      </w:r>
      <w:r w:rsidRPr="00382917">
        <w:t>saying:</w:t>
      </w:r>
      <w:r w:rsidR="00EE4FC3">
        <w:t xml:space="preserve">  </w:t>
      </w:r>
      <w:r w:rsidR="009C713D" w:rsidRPr="00382917">
        <w:t>“</w:t>
      </w:r>
      <w:r w:rsidRPr="00382917">
        <w:t>Raise</w:t>
      </w:r>
      <w:r w:rsidR="00EE4FC3">
        <w:t xml:space="preserve"> </w:t>
      </w:r>
      <w:r w:rsidRPr="00382917">
        <w:t>the</w:t>
      </w:r>
      <w:r w:rsidR="00EE4FC3">
        <w:t xml:space="preserve"> </w:t>
      </w:r>
      <w:r w:rsidRPr="00382917">
        <w:t>cry:</w:t>
      </w:r>
      <w:r w:rsidR="00EE4FC3">
        <w:t xml:space="preserve">  </w:t>
      </w:r>
      <w:r w:rsidRPr="00382917">
        <w:t>Awake</w:t>
      </w:r>
      <w:proofErr w:type="gramStart"/>
      <w:r w:rsidRPr="00382917">
        <w:t>!</w:t>
      </w:r>
      <w:r w:rsidR="00EE4FC3">
        <w:t xml:space="preserve"> </w:t>
      </w:r>
      <w:proofErr w:type="gramEnd"/>
      <w:r w:rsidRPr="00382917">
        <w:t>awake,</w:t>
      </w:r>
      <w:r w:rsidR="00EE4FC3">
        <w:t xml:space="preserve"> </w:t>
      </w:r>
      <w:r w:rsidRPr="00382917">
        <w:t>for</w:t>
      </w:r>
      <w:r w:rsidR="00EE4FC3">
        <w:t xml:space="preserve"> </w:t>
      </w:r>
      <w:r w:rsidRPr="00382917">
        <w:t>lo</w:t>
      </w:r>
      <w:proofErr w:type="gramStart"/>
      <w:r w:rsidRPr="00382917">
        <w:t>!</w:t>
      </w:r>
      <w:r w:rsidR="00EE4FC3">
        <w:t xml:space="preserve"> </w:t>
      </w:r>
      <w:r w:rsidRPr="00382917">
        <w:t>the</w:t>
      </w:r>
      <w:proofErr w:type="gramEnd"/>
      <w:r w:rsidR="00EE4FC3">
        <w:t xml:space="preserve"> </w:t>
      </w:r>
      <w:r w:rsidRPr="00382917">
        <w:t>Gate</w:t>
      </w:r>
      <w:r w:rsidR="00EE4FC3">
        <w:t xml:space="preserve"> </w:t>
      </w:r>
      <w:r w:rsidRPr="00382917">
        <w:t>of</w:t>
      </w:r>
      <w:r w:rsidR="00EE4FC3">
        <w:t xml:space="preserve"> </w:t>
      </w:r>
      <w:r w:rsidRPr="00382917">
        <w:t>God</w:t>
      </w:r>
      <w:r w:rsidR="00EE4FC3">
        <w:t xml:space="preserve"> </w:t>
      </w:r>
      <w:r w:rsidRPr="00382917">
        <w:t>is</w:t>
      </w:r>
      <w:r w:rsidR="00EE4FC3">
        <w:t xml:space="preserve"> </w:t>
      </w:r>
      <w:r w:rsidRPr="00382917">
        <w:t>open,</w:t>
      </w:r>
      <w:r w:rsidR="00EE4FC3">
        <w:t xml:space="preserve"> </w:t>
      </w:r>
      <w:r w:rsidRPr="00382917">
        <w:t>and</w:t>
      </w:r>
      <w:r w:rsidR="00EE4FC3">
        <w:t xml:space="preserve"> </w:t>
      </w:r>
      <w:r w:rsidRPr="00382917">
        <w:t>the</w:t>
      </w:r>
      <w:r w:rsidR="00EE4FC3">
        <w:t xml:space="preserve"> </w:t>
      </w:r>
      <w:r w:rsidRPr="00382917">
        <w:t>morning</w:t>
      </w:r>
      <w:r w:rsidR="00EE4FC3">
        <w:t xml:space="preserve"> </w:t>
      </w:r>
      <w:r w:rsidRPr="00382917">
        <w:t>light</w:t>
      </w:r>
      <w:r w:rsidR="00EE4FC3">
        <w:t xml:space="preserve"> </w:t>
      </w:r>
      <w:r w:rsidRPr="00382917">
        <w:t>is</w:t>
      </w:r>
      <w:r w:rsidR="00EE4FC3">
        <w:t xml:space="preserve"> </w:t>
      </w:r>
      <w:r w:rsidRPr="00382917">
        <w:t>shedding</w:t>
      </w:r>
      <w:r w:rsidR="00EE4FC3">
        <w:t xml:space="preserve"> </w:t>
      </w:r>
      <w:r w:rsidRPr="00382917">
        <w:t>its</w:t>
      </w:r>
      <w:r w:rsidR="00EE4FC3">
        <w:t xml:space="preserve"> </w:t>
      </w:r>
      <w:r w:rsidRPr="00382917">
        <w:t>radiance</w:t>
      </w:r>
      <w:r w:rsidR="00EE4FC3">
        <w:t xml:space="preserve"> </w:t>
      </w:r>
      <w:r w:rsidRPr="00382917">
        <w:t>upon</w:t>
      </w:r>
      <w:r w:rsidR="00EE4FC3">
        <w:t xml:space="preserve"> </w:t>
      </w:r>
      <w:r w:rsidRPr="00382917">
        <w:t>all</w:t>
      </w:r>
      <w:r w:rsidR="00EE4FC3">
        <w:t xml:space="preserve"> </w:t>
      </w:r>
      <w:r w:rsidRPr="00382917">
        <w:t>mankind!</w:t>
      </w:r>
      <w:r w:rsidR="00EE4FC3">
        <w:t xml:space="preserve">  </w:t>
      </w:r>
      <w:r w:rsidRPr="00382917">
        <w:t>The</w:t>
      </w:r>
      <w:r w:rsidR="00EE4FC3">
        <w:t xml:space="preserve"> </w:t>
      </w:r>
      <w:r w:rsidRPr="00382917">
        <w:t>Promised</w:t>
      </w:r>
      <w:r w:rsidR="00EE4FC3">
        <w:t xml:space="preserve"> </w:t>
      </w:r>
      <w:r w:rsidRPr="00382917">
        <w:t>One</w:t>
      </w:r>
      <w:r w:rsidR="00EE4FC3">
        <w:t xml:space="preserve"> </w:t>
      </w:r>
      <w:r w:rsidRPr="00382917">
        <w:t>has</w:t>
      </w:r>
      <w:r w:rsidR="00EE4FC3">
        <w:t xml:space="preserve"> </w:t>
      </w:r>
      <w:r w:rsidRPr="00382917">
        <w:t>come,</w:t>
      </w:r>
      <w:r w:rsidR="00EE4FC3">
        <w:t xml:space="preserve"> </w:t>
      </w:r>
      <w:r w:rsidRPr="00382917">
        <w:t>prepare</w:t>
      </w:r>
      <w:r w:rsidR="00EE4FC3">
        <w:t xml:space="preserve"> </w:t>
      </w:r>
      <w:r w:rsidRPr="00382917">
        <w:t>the</w:t>
      </w:r>
      <w:r w:rsidR="00EE4FC3">
        <w:t xml:space="preserve"> </w:t>
      </w:r>
      <w:r w:rsidRPr="00382917">
        <w:t>way</w:t>
      </w:r>
      <w:r w:rsidR="00EE4FC3">
        <w:t xml:space="preserve"> </w:t>
      </w:r>
      <w:r w:rsidRPr="00382917">
        <w:t>for</w:t>
      </w:r>
      <w:r w:rsidR="00EE4FC3">
        <w:t xml:space="preserve"> </w:t>
      </w:r>
      <w:r w:rsidRPr="00382917">
        <w:t>Him,</w:t>
      </w:r>
      <w:r w:rsidR="00EE4FC3">
        <w:t xml:space="preserve"> </w:t>
      </w:r>
      <w:r w:rsidRPr="00382917">
        <w:t>O</w:t>
      </w:r>
      <w:r w:rsidR="00EE4FC3">
        <w:t xml:space="preserve"> </w:t>
      </w:r>
      <w:r w:rsidRPr="00382917">
        <w:t>people</w:t>
      </w:r>
      <w:r w:rsidR="00EE4FC3">
        <w:t xml:space="preserve"> </w:t>
      </w:r>
      <w:r w:rsidRPr="00382917">
        <w:t>of</w:t>
      </w:r>
      <w:r w:rsidR="00EE4FC3">
        <w:t xml:space="preserve"> </w:t>
      </w:r>
      <w:r w:rsidRPr="00382917">
        <w:t>the</w:t>
      </w:r>
      <w:r w:rsidR="00EE4FC3">
        <w:t xml:space="preserve"> </w:t>
      </w:r>
      <w:r w:rsidRPr="00382917">
        <w:t>world!</w:t>
      </w:r>
      <w:r w:rsidR="009C713D" w:rsidRPr="00382917">
        <w:t>”</w:t>
      </w:r>
      <w:r w:rsidR="00EE5C62">
        <w:rPr>
          <w:rStyle w:val="FootnoteReference"/>
        </w:rPr>
        <w:footnoteReference w:id="18"/>
      </w:r>
    </w:p>
    <w:p w:rsidR="006D18A4" w:rsidRPr="00382917" w:rsidRDefault="006D18A4" w:rsidP="006D18A4">
      <w:pPr>
        <w:pStyle w:val="Text"/>
      </w:pPr>
      <w:r w:rsidRPr="00382917">
        <w:t>The</w:t>
      </w:r>
      <w:r w:rsidR="00EE4FC3">
        <w:t xml:space="preserve"> </w:t>
      </w:r>
      <w:r w:rsidRPr="00382917">
        <w:t>Báb</w:t>
      </w:r>
      <w:r w:rsidR="00EE4FC3">
        <w:t xml:space="preserve"> </w:t>
      </w:r>
      <w:r w:rsidRPr="00382917">
        <w:t>gave</w:t>
      </w:r>
      <w:r w:rsidR="00EE4FC3">
        <w:t xml:space="preserve"> </w:t>
      </w:r>
      <w:r w:rsidRPr="00382917">
        <w:t>a</w:t>
      </w:r>
      <w:r w:rsidR="00EE4FC3">
        <w:t xml:space="preserve"> </w:t>
      </w:r>
      <w:r w:rsidRPr="00382917">
        <w:t>special</w:t>
      </w:r>
      <w:r w:rsidR="00EE4FC3">
        <w:t xml:space="preserve"> </w:t>
      </w:r>
      <w:r w:rsidRPr="00382917">
        <w:t>message</w:t>
      </w:r>
      <w:r w:rsidR="00EE4FC3">
        <w:t xml:space="preserve"> </w:t>
      </w:r>
      <w:r w:rsidRPr="00382917">
        <w:t>of</w:t>
      </w:r>
      <w:r w:rsidR="00EE4FC3">
        <w:t xml:space="preserve"> </w:t>
      </w:r>
      <w:r w:rsidRPr="00382917">
        <w:t>assurance</w:t>
      </w:r>
      <w:r w:rsidR="00EE4FC3">
        <w:t xml:space="preserve"> </w:t>
      </w:r>
      <w:r w:rsidRPr="00382917">
        <w:t>to</w:t>
      </w:r>
      <w:r w:rsidR="00EE4FC3">
        <w:t xml:space="preserve"> </w:t>
      </w:r>
      <w:r w:rsidRPr="00382917">
        <w:t>Mullá</w:t>
      </w:r>
      <w:r w:rsidR="00EE4FC3">
        <w:t xml:space="preserve"> </w:t>
      </w:r>
      <w:r w:rsidR="009C713D" w:rsidRPr="00382917">
        <w:t>‘</w:t>
      </w:r>
      <w:r w:rsidRPr="00382917">
        <w:t>Alí.</w:t>
      </w:r>
      <w:r w:rsidR="00EE4FC3">
        <w:t xml:space="preserve">  </w:t>
      </w:r>
      <w:r w:rsidR="009C713D" w:rsidRPr="00382917">
        <w:t>“</w:t>
      </w:r>
      <w:r w:rsidRPr="00382917">
        <w:t>Your</w:t>
      </w:r>
      <w:r w:rsidR="00EE4FC3">
        <w:t xml:space="preserve"> </w:t>
      </w:r>
      <w:r w:rsidRPr="00382917">
        <w:t>faith</w:t>
      </w:r>
      <w:r w:rsidR="00EE4FC3">
        <w:t xml:space="preserve"> </w:t>
      </w:r>
      <w:r w:rsidRPr="00382917">
        <w:t>must</w:t>
      </w:r>
      <w:r w:rsidR="00EE4FC3">
        <w:t xml:space="preserve"> </w:t>
      </w:r>
      <w:r w:rsidRPr="00382917">
        <w:t>be</w:t>
      </w:r>
      <w:r w:rsidR="00EE4FC3">
        <w:t xml:space="preserve"> </w:t>
      </w:r>
      <w:r w:rsidRPr="00382917">
        <w:t>immovable</w:t>
      </w:r>
      <w:r w:rsidR="00EE4FC3">
        <w:t xml:space="preserve"> </w:t>
      </w:r>
      <w:r w:rsidRPr="00382917">
        <w:t>as</w:t>
      </w:r>
      <w:r w:rsidR="00EE4FC3">
        <w:t xml:space="preserve"> </w:t>
      </w:r>
      <w:r w:rsidRPr="00382917">
        <w:t>the</w:t>
      </w:r>
      <w:r w:rsidR="00EE4FC3">
        <w:t xml:space="preserve"> </w:t>
      </w:r>
      <w:r w:rsidRPr="00382917">
        <w:t>rock,</w:t>
      </w:r>
      <w:r w:rsidR="00EE4FC3">
        <w:t xml:space="preserve"> </w:t>
      </w:r>
      <w:r w:rsidRPr="00382917">
        <w:t>must</w:t>
      </w:r>
      <w:r w:rsidR="00EE4FC3">
        <w:t xml:space="preserve"> </w:t>
      </w:r>
      <w:r w:rsidRPr="00382917">
        <w:t>weather</w:t>
      </w:r>
      <w:r w:rsidR="00EE4FC3">
        <w:t xml:space="preserve"> </w:t>
      </w:r>
      <w:r w:rsidRPr="00382917">
        <w:t>every</w:t>
      </w:r>
      <w:r w:rsidR="00EE4FC3">
        <w:t xml:space="preserve"> </w:t>
      </w:r>
      <w:r w:rsidRPr="00382917">
        <w:t>storm</w:t>
      </w:r>
      <w:r w:rsidR="00EE4FC3">
        <w:t xml:space="preserve"> </w:t>
      </w:r>
      <w:r w:rsidRPr="00382917">
        <w:t>and</w:t>
      </w:r>
      <w:r w:rsidR="00EE4FC3">
        <w:t xml:space="preserve"> </w:t>
      </w:r>
      <w:r w:rsidRPr="00382917">
        <w:t>survive</w:t>
      </w:r>
      <w:r w:rsidR="00EE4FC3">
        <w:t xml:space="preserve"> </w:t>
      </w:r>
      <w:r w:rsidRPr="00382917">
        <w:t>every</w:t>
      </w:r>
      <w:r w:rsidR="00EE4FC3">
        <w:t xml:space="preserve"> </w:t>
      </w:r>
      <w:r w:rsidRPr="00382917">
        <w:t>calamity.</w:t>
      </w:r>
      <w:r w:rsidR="00EE4FC3">
        <w:t xml:space="preserve">  </w:t>
      </w:r>
      <w:r w:rsidRPr="00382917">
        <w:t>Suffer</w:t>
      </w:r>
      <w:r w:rsidR="00EE4FC3">
        <w:t xml:space="preserve"> </w:t>
      </w:r>
      <w:r w:rsidRPr="00382917">
        <w:t>not</w:t>
      </w:r>
      <w:r w:rsidR="00EE4FC3">
        <w:t xml:space="preserve"> </w:t>
      </w:r>
      <w:r w:rsidRPr="00382917">
        <w:t>the</w:t>
      </w:r>
      <w:r w:rsidR="00EE4FC3">
        <w:t xml:space="preserve"> </w:t>
      </w:r>
      <w:r w:rsidRPr="00382917">
        <w:t>denunciations</w:t>
      </w:r>
      <w:r w:rsidR="00EE4FC3">
        <w:t xml:space="preserve"> </w:t>
      </w:r>
      <w:r w:rsidRPr="00382917">
        <w:t>of</w:t>
      </w:r>
      <w:r w:rsidR="00EE4FC3">
        <w:t xml:space="preserve"> </w:t>
      </w:r>
      <w:r w:rsidRPr="00382917">
        <w:t>the</w:t>
      </w:r>
      <w:r w:rsidR="00EE4FC3">
        <w:t xml:space="preserve"> </w:t>
      </w:r>
      <w:r w:rsidRPr="00382917">
        <w:t>foolish</w:t>
      </w:r>
      <w:r w:rsidR="00EE4FC3">
        <w:t xml:space="preserve"> </w:t>
      </w:r>
      <w:r w:rsidRPr="00382917">
        <w:t>to</w:t>
      </w:r>
      <w:r w:rsidR="00EE4FC3">
        <w:t xml:space="preserve"> </w:t>
      </w:r>
      <w:r w:rsidRPr="00382917">
        <w:t>turn</w:t>
      </w:r>
      <w:r w:rsidR="00EE4FC3">
        <w:t xml:space="preserve"> </w:t>
      </w:r>
      <w:r w:rsidRPr="00382917">
        <w:t>you</w:t>
      </w:r>
      <w:r w:rsidR="00EE4FC3">
        <w:t xml:space="preserve"> </w:t>
      </w:r>
      <w:r w:rsidRPr="00382917">
        <w:t>from</w:t>
      </w:r>
      <w:r w:rsidR="00EE4FC3">
        <w:t xml:space="preserve"> </w:t>
      </w:r>
      <w:r w:rsidRPr="00382917">
        <w:t>your</w:t>
      </w:r>
      <w:r w:rsidR="00EE4FC3">
        <w:t xml:space="preserve"> </w:t>
      </w:r>
      <w:r w:rsidRPr="00382917">
        <w:t>purpose.</w:t>
      </w:r>
      <w:r w:rsidR="00EE4FC3">
        <w:t xml:space="preserve">  </w:t>
      </w:r>
      <w:r w:rsidRPr="00382917">
        <w:t>You</w:t>
      </w:r>
      <w:r w:rsidR="00EE4FC3">
        <w:t xml:space="preserve"> </w:t>
      </w:r>
      <w:r w:rsidRPr="00382917">
        <w:t>are</w:t>
      </w:r>
      <w:r w:rsidR="00EE4FC3">
        <w:t xml:space="preserve"> </w:t>
      </w:r>
      <w:r w:rsidRPr="00382917">
        <w:t>the</w:t>
      </w:r>
      <w:r w:rsidR="00EE4FC3">
        <w:t xml:space="preserve"> </w:t>
      </w:r>
      <w:r w:rsidRPr="00382917">
        <w:t>first</w:t>
      </w:r>
      <w:r w:rsidR="00EE4FC3">
        <w:t xml:space="preserve"> </w:t>
      </w:r>
      <w:r w:rsidRPr="00382917">
        <w:t>to</w:t>
      </w:r>
      <w:r w:rsidR="00EE4FC3">
        <w:t xml:space="preserve"> </w:t>
      </w:r>
      <w:r w:rsidRPr="00382917">
        <w:t>leave</w:t>
      </w:r>
      <w:r w:rsidR="00EE4FC3">
        <w:t xml:space="preserve"> </w:t>
      </w:r>
      <w:r w:rsidRPr="00382917">
        <w:t>the</w:t>
      </w:r>
      <w:r w:rsidR="00EE4FC3">
        <w:t xml:space="preserve"> </w:t>
      </w:r>
      <w:r w:rsidRPr="00382917">
        <w:t>House</w:t>
      </w:r>
      <w:r w:rsidR="00EE4FC3">
        <w:t xml:space="preserve"> </w:t>
      </w:r>
      <w:r w:rsidRPr="00382917">
        <w:t>of</w:t>
      </w:r>
      <w:r w:rsidR="00EE4FC3">
        <w:t xml:space="preserve"> </w:t>
      </w:r>
      <w:r w:rsidRPr="00382917">
        <w:t>God,</w:t>
      </w:r>
      <w:r w:rsidR="00EE4FC3">
        <w:t xml:space="preserve"> </w:t>
      </w:r>
      <w:r w:rsidRPr="00382917">
        <w:t>and</w:t>
      </w:r>
      <w:r w:rsidR="00EE4FC3">
        <w:t xml:space="preserve"> </w:t>
      </w:r>
      <w:r w:rsidRPr="00382917">
        <w:t>to</w:t>
      </w:r>
      <w:r w:rsidR="00EE4FC3">
        <w:t xml:space="preserve"> </w:t>
      </w:r>
      <w:r w:rsidRPr="00382917">
        <w:t>suffer</w:t>
      </w:r>
      <w:r w:rsidR="00EE4FC3">
        <w:t xml:space="preserve"> </w:t>
      </w:r>
      <w:r w:rsidRPr="00382917">
        <w:t>for</w:t>
      </w:r>
      <w:r w:rsidR="00EE4FC3">
        <w:t xml:space="preserve"> </w:t>
      </w:r>
      <w:r w:rsidRPr="00382917">
        <w:t>His</w:t>
      </w:r>
      <w:r w:rsidR="00EE4FC3">
        <w:t xml:space="preserve"> </w:t>
      </w:r>
      <w:r w:rsidRPr="00382917">
        <w:t>sake.</w:t>
      </w:r>
      <w:r w:rsidR="00EE4FC3">
        <w:t xml:space="preserve">  </w:t>
      </w:r>
      <w:r w:rsidRPr="00382917">
        <w:t>If</w:t>
      </w:r>
      <w:r w:rsidR="00EE4FC3">
        <w:t xml:space="preserve"> </w:t>
      </w:r>
      <w:r w:rsidRPr="00382917">
        <w:t>you</w:t>
      </w:r>
      <w:r w:rsidR="00EE4FC3">
        <w:t xml:space="preserve"> </w:t>
      </w:r>
      <w:r w:rsidRPr="00382917">
        <w:t>be</w:t>
      </w:r>
      <w:r w:rsidR="00EE4FC3">
        <w:t xml:space="preserve"> </w:t>
      </w:r>
      <w:r w:rsidRPr="00382917">
        <w:t>slain</w:t>
      </w:r>
      <w:r w:rsidR="00EE4FC3">
        <w:t xml:space="preserve"> </w:t>
      </w:r>
      <w:r w:rsidRPr="00382917">
        <w:t>in</w:t>
      </w:r>
      <w:r w:rsidR="00EE4FC3">
        <w:t xml:space="preserve"> </w:t>
      </w:r>
      <w:r w:rsidRPr="00382917">
        <w:t>His</w:t>
      </w:r>
      <w:r w:rsidR="00EE4FC3">
        <w:t xml:space="preserve"> </w:t>
      </w:r>
      <w:r w:rsidRPr="00382917">
        <w:t>path,</w:t>
      </w:r>
      <w:r w:rsidR="00EE4FC3">
        <w:t xml:space="preserve"> </w:t>
      </w:r>
      <w:r w:rsidRPr="00382917">
        <w:t>remember</w:t>
      </w:r>
      <w:r w:rsidR="00EE4FC3">
        <w:t xml:space="preserve"> </w:t>
      </w:r>
      <w:r w:rsidRPr="00382917">
        <w:t>that</w:t>
      </w:r>
      <w:r w:rsidR="00EE4FC3">
        <w:t xml:space="preserve"> </w:t>
      </w:r>
      <w:r w:rsidRPr="00382917">
        <w:t>great</w:t>
      </w:r>
      <w:r w:rsidR="00EE4FC3">
        <w:t xml:space="preserve"> </w:t>
      </w:r>
      <w:r w:rsidRPr="00382917">
        <w:t>will</w:t>
      </w:r>
      <w:r w:rsidR="00EE4FC3">
        <w:t xml:space="preserve"> </w:t>
      </w:r>
      <w:r w:rsidRPr="00382917">
        <w:t>be</w:t>
      </w:r>
      <w:r w:rsidR="00EE4FC3">
        <w:t xml:space="preserve"> </w:t>
      </w:r>
      <w:r w:rsidRPr="00382917">
        <w:t>your</w:t>
      </w:r>
      <w:r w:rsidR="00EE4FC3">
        <w:t xml:space="preserve"> </w:t>
      </w:r>
      <w:r w:rsidRPr="00382917">
        <w:t>reward,</w:t>
      </w:r>
      <w:r w:rsidR="00EE4FC3">
        <w:t xml:space="preserve"> </w:t>
      </w:r>
      <w:r w:rsidRPr="00382917">
        <w:t>and</w:t>
      </w:r>
      <w:r w:rsidR="00EE4FC3">
        <w:t xml:space="preserve"> </w:t>
      </w:r>
      <w:r w:rsidRPr="00382917">
        <w:t>goodly</w:t>
      </w:r>
      <w:r w:rsidR="00EE4FC3">
        <w:t xml:space="preserve"> </w:t>
      </w:r>
      <w:r w:rsidRPr="00382917">
        <w:t>the</w:t>
      </w:r>
      <w:r w:rsidR="00EE4FC3">
        <w:t xml:space="preserve"> </w:t>
      </w:r>
      <w:r w:rsidRPr="00382917">
        <w:t>gift</w:t>
      </w:r>
      <w:r w:rsidR="00EE4FC3">
        <w:t xml:space="preserve"> </w:t>
      </w:r>
      <w:r w:rsidRPr="00382917">
        <w:t>which</w:t>
      </w:r>
      <w:r w:rsidR="00EE4FC3">
        <w:t xml:space="preserve"> </w:t>
      </w:r>
      <w:r w:rsidRPr="00382917">
        <w:t>will</w:t>
      </w:r>
      <w:r w:rsidR="00EE4FC3">
        <w:t xml:space="preserve"> </w:t>
      </w:r>
      <w:r w:rsidRPr="00382917">
        <w:t>be</w:t>
      </w:r>
      <w:r w:rsidR="00EE4FC3">
        <w:t xml:space="preserve"> </w:t>
      </w:r>
      <w:r w:rsidRPr="00382917">
        <w:t>bestowed</w:t>
      </w:r>
      <w:r w:rsidR="00EE4FC3">
        <w:t xml:space="preserve"> </w:t>
      </w:r>
      <w:r w:rsidRPr="00382917">
        <w:t>upon</w:t>
      </w:r>
      <w:r w:rsidR="00EE4FC3">
        <w:t xml:space="preserve"> </w:t>
      </w:r>
      <w:r w:rsidRPr="00382917">
        <w:t>you.</w:t>
      </w:r>
      <w:r w:rsidR="009C713D" w:rsidRPr="00382917">
        <w:t>”</w:t>
      </w:r>
    </w:p>
    <w:p w:rsidR="006D18A4" w:rsidRPr="00382917" w:rsidRDefault="006D18A4" w:rsidP="006D18A4">
      <w:pPr>
        <w:pStyle w:val="Text"/>
      </w:pPr>
      <w:r w:rsidRPr="00382917">
        <w:t>No</w:t>
      </w:r>
      <w:r w:rsidR="00EE4FC3">
        <w:t xml:space="preserve"> </w:t>
      </w:r>
      <w:r w:rsidRPr="00382917">
        <w:t>sooner</w:t>
      </w:r>
      <w:r w:rsidR="00EE4FC3">
        <w:t xml:space="preserve"> </w:t>
      </w:r>
      <w:r w:rsidRPr="00382917">
        <w:t>were</w:t>
      </w:r>
      <w:r w:rsidR="00EE4FC3">
        <w:t xml:space="preserve"> </w:t>
      </w:r>
      <w:r w:rsidRPr="00382917">
        <w:t>these</w:t>
      </w:r>
      <w:r w:rsidR="00EE4FC3">
        <w:t xml:space="preserve"> </w:t>
      </w:r>
      <w:r w:rsidRPr="00382917">
        <w:t>words</w:t>
      </w:r>
      <w:r w:rsidR="00EE4FC3">
        <w:t xml:space="preserve"> </w:t>
      </w:r>
      <w:r w:rsidRPr="00382917">
        <w:t>uttered</w:t>
      </w:r>
      <w:r w:rsidR="00EE4FC3">
        <w:t xml:space="preserve"> </w:t>
      </w:r>
      <w:r w:rsidRPr="00382917">
        <w:t>than</w:t>
      </w:r>
      <w:r w:rsidR="00EE4FC3">
        <w:t xml:space="preserve"> </w:t>
      </w:r>
      <w:r w:rsidRPr="00382917">
        <w:t>Mullá</w:t>
      </w:r>
      <w:r w:rsidR="00EE4FC3">
        <w:t xml:space="preserve"> </w:t>
      </w:r>
      <w:r w:rsidR="009C713D" w:rsidRPr="00382917">
        <w:t>‘</w:t>
      </w:r>
      <w:r w:rsidRPr="00382917">
        <w:t>Alí</w:t>
      </w:r>
      <w:r w:rsidR="00EE4FC3">
        <w:t xml:space="preserve"> </w:t>
      </w:r>
      <w:r w:rsidRPr="00382917">
        <w:t>arose</w:t>
      </w:r>
      <w:r w:rsidR="00EE4FC3">
        <w:t xml:space="preserve"> </w:t>
      </w:r>
      <w:r w:rsidRPr="00382917">
        <w:t>from</w:t>
      </w:r>
      <w:r w:rsidR="00EE4FC3">
        <w:t xml:space="preserve"> </w:t>
      </w:r>
      <w:r w:rsidRPr="00382917">
        <w:t>his</w:t>
      </w:r>
      <w:r w:rsidR="00EE4FC3">
        <w:t xml:space="preserve"> </w:t>
      </w:r>
      <w:r w:rsidRPr="00382917">
        <w:t>seat</w:t>
      </w:r>
      <w:r w:rsidR="00EE4FC3">
        <w:t xml:space="preserve"> </w:t>
      </w:r>
      <w:r w:rsidRPr="00382917">
        <w:t>and</w:t>
      </w:r>
      <w:r w:rsidR="00EE4FC3">
        <w:t xml:space="preserve"> </w:t>
      </w:r>
      <w:r w:rsidRPr="00382917">
        <w:t>set</w:t>
      </w:r>
      <w:r w:rsidR="00EE4FC3">
        <w:t xml:space="preserve"> </w:t>
      </w:r>
      <w:r w:rsidRPr="00382917">
        <w:t>out</w:t>
      </w:r>
      <w:r w:rsidR="00EE4FC3">
        <w:t xml:space="preserve"> </w:t>
      </w:r>
      <w:r w:rsidRPr="00382917">
        <w:t>to</w:t>
      </w:r>
      <w:r w:rsidR="00EE4FC3">
        <w:t xml:space="preserve"> </w:t>
      </w:r>
      <w:r w:rsidRPr="00382917">
        <w:t>teach</w:t>
      </w:r>
      <w:r w:rsidR="00EE4FC3">
        <w:t xml:space="preserve"> </w:t>
      </w:r>
      <w:r w:rsidRPr="00382917">
        <w:t>the</w:t>
      </w:r>
      <w:r w:rsidR="00EE4FC3">
        <w:t xml:space="preserve"> </w:t>
      </w:r>
      <w:r w:rsidRPr="00382917">
        <w:t>Faith</w:t>
      </w:r>
      <w:r w:rsidR="00EE4FC3">
        <w:t xml:space="preserve"> </w:t>
      </w:r>
      <w:r w:rsidRPr="00382917">
        <w:t>of</w:t>
      </w:r>
      <w:r w:rsidR="00EE4FC3">
        <w:t xml:space="preserve"> </w:t>
      </w:r>
      <w:r w:rsidRPr="00382917">
        <w:t>the</w:t>
      </w:r>
      <w:r w:rsidR="00EE4FC3">
        <w:t xml:space="preserve"> </w:t>
      </w:r>
      <w:r w:rsidRPr="00382917">
        <w:t>Báb.</w:t>
      </w:r>
    </w:p>
    <w:p w:rsidR="00E13D49" w:rsidRPr="00382917" w:rsidRDefault="006D18A4" w:rsidP="00664069">
      <w:pPr>
        <w:pStyle w:val="Text"/>
      </w:pPr>
      <w:r w:rsidRPr="00382917">
        <w:t>True</w:t>
      </w:r>
      <w:r w:rsidR="00EE4FC3">
        <w:t xml:space="preserve"> </w:t>
      </w:r>
      <w:r w:rsidRPr="00382917">
        <w:t>to</w:t>
      </w:r>
      <w:r w:rsidR="00EE4FC3">
        <w:t xml:space="preserve"> </w:t>
      </w:r>
      <w:r w:rsidRPr="00382917">
        <w:t>the</w:t>
      </w:r>
      <w:r w:rsidR="00EE4FC3">
        <w:t xml:space="preserve"> </w:t>
      </w:r>
      <w:r w:rsidRPr="00382917">
        <w:t>Báb</w:t>
      </w:r>
      <w:r w:rsidR="009C713D" w:rsidRPr="00382917">
        <w:t>’</w:t>
      </w:r>
      <w:r w:rsidRPr="00382917">
        <w:t>s</w:t>
      </w:r>
      <w:r w:rsidR="00EE4FC3">
        <w:t xml:space="preserve"> </w:t>
      </w:r>
      <w:r w:rsidRPr="00382917">
        <w:t>forewarnings,</w:t>
      </w:r>
      <w:r w:rsidR="00EE4FC3">
        <w:t xml:space="preserve"> </w:t>
      </w:r>
      <w:r w:rsidRPr="00382917">
        <w:t>Mullá</w:t>
      </w:r>
      <w:r w:rsidR="00EE4FC3">
        <w:t xml:space="preserve"> </w:t>
      </w:r>
      <w:r w:rsidR="009C713D" w:rsidRPr="00382917">
        <w:t>‘</w:t>
      </w:r>
      <w:r w:rsidRPr="00382917">
        <w:t>Alí</w:t>
      </w:r>
      <w:r w:rsidR="00EE4FC3">
        <w:t xml:space="preserve"> </w:t>
      </w:r>
      <w:r w:rsidRPr="00382917">
        <w:t>was</w:t>
      </w:r>
      <w:r w:rsidR="00EE4FC3">
        <w:t xml:space="preserve"> </w:t>
      </w:r>
      <w:r w:rsidRPr="00382917">
        <w:t>overtaken</w:t>
      </w:r>
      <w:r w:rsidR="00EE4FC3">
        <w:t xml:space="preserve"> </w:t>
      </w:r>
      <w:r w:rsidRPr="00382917">
        <w:t>and</w:t>
      </w:r>
      <w:r w:rsidR="00EE4FC3">
        <w:t xml:space="preserve"> </w:t>
      </w:r>
      <w:r w:rsidRPr="00382917">
        <w:t>beaten</w:t>
      </w:r>
      <w:r w:rsidR="00EE4FC3">
        <w:t xml:space="preserve"> </w:t>
      </w:r>
      <w:r w:rsidRPr="00382917">
        <w:t>just</w:t>
      </w:r>
      <w:r w:rsidR="00EE4FC3">
        <w:t xml:space="preserve"> </w:t>
      </w:r>
      <w:r w:rsidRPr="00382917">
        <w:t>beyond</w:t>
      </w:r>
      <w:r w:rsidR="00EE4FC3">
        <w:t xml:space="preserve"> </w:t>
      </w:r>
      <w:r w:rsidRPr="00382917">
        <w:t>the</w:t>
      </w:r>
      <w:r w:rsidR="00EE4FC3">
        <w:t xml:space="preserve"> </w:t>
      </w:r>
      <w:r w:rsidRPr="00382917">
        <w:t>gate</w:t>
      </w:r>
      <w:r w:rsidR="00EE4FC3">
        <w:t xml:space="preserve"> </w:t>
      </w:r>
      <w:r w:rsidRPr="00382917">
        <w:t>of</w:t>
      </w:r>
      <w:r w:rsidR="00EE4FC3">
        <w:t xml:space="preserve"> </w:t>
      </w:r>
      <w:r w:rsidR="008A073E" w:rsidRPr="00382917">
        <w:rPr>
          <w:u w:val="single"/>
        </w:rPr>
        <w:t>Sh</w:t>
      </w:r>
      <w:r w:rsidR="008A073E" w:rsidRPr="00382917">
        <w:t>íráz</w:t>
      </w:r>
      <w:r w:rsidRPr="00382917">
        <w:t>.</w:t>
      </w:r>
      <w:r w:rsidR="00EE4FC3">
        <w:t xml:space="preserve">  </w:t>
      </w:r>
      <w:r w:rsidRPr="00382917">
        <w:t>He</w:t>
      </w:r>
      <w:r w:rsidR="00EE4FC3">
        <w:t xml:space="preserve"> </w:t>
      </w:r>
      <w:r w:rsidRPr="00382917">
        <w:t>was</w:t>
      </w:r>
      <w:r w:rsidR="00EE4FC3">
        <w:t xml:space="preserve"> </w:t>
      </w:r>
      <w:r w:rsidRPr="00382917">
        <w:t>the</w:t>
      </w:r>
      <w:r w:rsidR="00EE4FC3">
        <w:t xml:space="preserve"> </w:t>
      </w:r>
      <w:r w:rsidRPr="00382917">
        <w:t>first</w:t>
      </w:r>
      <w:r w:rsidR="00EE4FC3">
        <w:t xml:space="preserve"> </w:t>
      </w:r>
      <w:r w:rsidRPr="00382917">
        <w:t>to</w:t>
      </w:r>
      <w:r w:rsidR="00EE4FC3">
        <w:t xml:space="preserve"> </w:t>
      </w:r>
      <w:r w:rsidRPr="00382917">
        <w:t>suffer</w:t>
      </w:r>
      <w:r w:rsidR="00EE4FC3">
        <w:t xml:space="preserve"> </w:t>
      </w:r>
      <w:r w:rsidRPr="00382917">
        <w:t>for</w:t>
      </w:r>
      <w:r w:rsidR="00EE4FC3">
        <w:t xml:space="preserve"> </w:t>
      </w:r>
      <w:r w:rsidRPr="00382917">
        <w:t>the</w:t>
      </w:r>
      <w:r w:rsidR="00EE4FC3">
        <w:t xml:space="preserve"> </w:t>
      </w:r>
      <w:r w:rsidRPr="00382917">
        <w:t>new</w:t>
      </w:r>
      <w:r w:rsidR="00EE4FC3">
        <w:t xml:space="preserve"> </w:t>
      </w:r>
      <w:r w:rsidRPr="00382917">
        <w:t>Faith.</w:t>
      </w:r>
      <w:r w:rsidR="00EE4FC3">
        <w:t xml:space="preserve">  </w:t>
      </w:r>
      <w:r w:rsidRPr="00382917">
        <w:t>He</w:t>
      </w:r>
      <w:r w:rsidR="00EE4FC3">
        <w:t xml:space="preserve"> </w:t>
      </w:r>
      <w:r w:rsidRPr="00382917">
        <w:t>was</w:t>
      </w:r>
      <w:r w:rsidR="00EE4FC3">
        <w:t xml:space="preserve"> </w:t>
      </w:r>
      <w:r w:rsidRPr="00382917">
        <w:t>also</w:t>
      </w:r>
      <w:r w:rsidR="00EE4FC3">
        <w:t xml:space="preserve"> </w:t>
      </w:r>
      <w:r w:rsidRPr="00382917">
        <w:t>the</w:t>
      </w:r>
      <w:r w:rsidR="00EE4FC3">
        <w:t xml:space="preserve"> </w:t>
      </w:r>
      <w:r w:rsidRPr="00382917">
        <w:t>first</w:t>
      </w:r>
      <w:r w:rsidR="00EE4FC3">
        <w:t xml:space="preserve"> </w:t>
      </w:r>
      <w:r w:rsidRPr="00382917">
        <w:t>to</w:t>
      </w:r>
      <w:r w:rsidR="00EE4FC3">
        <w:t xml:space="preserve"> </w:t>
      </w:r>
      <w:r w:rsidRPr="00382917">
        <w:t>bring</w:t>
      </w:r>
      <w:r w:rsidR="00EE4FC3">
        <w:t xml:space="preserve"> </w:t>
      </w:r>
      <w:r w:rsidRPr="00382917">
        <w:t>news</w:t>
      </w:r>
      <w:r w:rsidR="00EE4FC3">
        <w:t xml:space="preserve"> </w:t>
      </w:r>
      <w:r w:rsidRPr="00382917">
        <w:t>of</w:t>
      </w:r>
      <w:r w:rsidR="00EE4FC3">
        <w:t xml:space="preserve"> </w:t>
      </w:r>
      <w:r w:rsidRPr="00382917">
        <w:t>the</w:t>
      </w:r>
      <w:r w:rsidR="00EE4FC3">
        <w:t xml:space="preserve"> </w:t>
      </w:r>
      <w:r w:rsidRPr="00382917">
        <w:t>Báb</w:t>
      </w:r>
      <w:r w:rsidR="00EE4FC3">
        <w:t xml:space="preserve"> </w:t>
      </w:r>
      <w:r w:rsidRPr="00382917">
        <w:t>to</w:t>
      </w:r>
      <w:r w:rsidR="00EE4FC3">
        <w:t xml:space="preserve"> </w:t>
      </w:r>
      <w:r w:rsidRPr="00382917">
        <w:t>Ṭáhirih.</w:t>
      </w:r>
      <w:r w:rsidR="00EE4FC3">
        <w:t xml:space="preserve">  </w:t>
      </w:r>
      <w:r w:rsidRPr="00382917">
        <w:t>In</w:t>
      </w:r>
      <w:r w:rsidR="00EE4FC3">
        <w:t xml:space="preserve"> </w:t>
      </w:r>
      <w:r w:rsidRPr="00382917">
        <w:t>Najaf</w:t>
      </w:r>
      <w:r w:rsidR="00EE4FC3">
        <w:t xml:space="preserve"> </w:t>
      </w:r>
      <w:r w:rsidRPr="00382917">
        <w:t>he</w:t>
      </w:r>
      <w:r w:rsidR="00EE4FC3">
        <w:t xml:space="preserve"> </w:t>
      </w:r>
      <w:r w:rsidRPr="00382917">
        <w:t>was</w:t>
      </w:r>
      <w:r w:rsidR="00EE4FC3">
        <w:t xml:space="preserve"> </w:t>
      </w:r>
      <w:r w:rsidRPr="00382917">
        <w:t>arrested</w:t>
      </w:r>
      <w:r w:rsidR="00EE4FC3">
        <w:t xml:space="preserve"> </w:t>
      </w:r>
      <w:r w:rsidRPr="00382917">
        <w:t>for</w:t>
      </w:r>
      <w:r w:rsidR="00EE4FC3">
        <w:t xml:space="preserve"> </w:t>
      </w:r>
      <w:r w:rsidRPr="00382917">
        <w:t>fearlessly</w:t>
      </w:r>
      <w:r w:rsidR="00EE4FC3">
        <w:t xml:space="preserve"> </w:t>
      </w:r>
      <w:r w:rsidRPr="00382917">
        <w:t>proclaiming</w:t>
      </w:r>
      <w:r w:rsidR="00EE4FC3">
        <w:t xml:space="preserve"> </w:t>
      </w:r>
      <w:r w:rsidRPr="00382917">
        <w:t>the</w:t>
      </w:r>
      <w:r w:rsidR="00EE4FC3">
        <w:t xml:space="preserve"> </w:t>
      </w:r>
      <w:r w:rsidRPr="00382917">
        <w:t>Faith.</w:t>
      </w:r>
      <w:r w:rsidR="00EE4FC3">
        <w:t xml:space="preserve">  </w:t>
      </w:r>
      <w:r w:rsidRPr="00382917">
        <w:t>He</w:t>
      </w:r>
      <w:r w:rsidR="00EE4FC3">
        <w:t xml:space="preserve"> </w:t>
      </w:r>
      <w:r w:rsidRPr="00382917">
        <w:t>was</w:t>
      </w:r>
      <w:r w:rsidR="00EE4FC3">
        <w:t xml:space="preserve"> </w:t>
      </w:r>
      <w:r w:rsidRPr="00382917">
        <w:t>bound</w:t>
      </w:r>
      <w:r w:rsidR="00EE4FC3">
        <w:t xml:space="preserve"> </w:t>
      </w:r>
      <w:r w:rsidRPr="00382917">
        <w:t>with</w:t>
      </w:r>
      <w:r w:rsidR="00EE4FC3">
        <w:t xml:space="preserve"> </w:t>
      </w:r>
      <w:r w:rsidRPr="00382917">
        <w:t>chains</w:t>
      </w:r>
      <w:r w:rsidR="00EE4FC3">
        <w:t xml:space="preserve"> </w:t>
      </w:r>
      <w:r w:rsidRPr="00382917">
        <w:t>and</w:t>
      </w:r>
      <w:r w:rsidR="00EE4FC3">
        <w:t xml:space="preserve"> </w:t>
      </w:r>
      <w:r w:rsidRPr="00382917">
        <w:t>taken</w:t>
      </w:r>
      <w:r w:rsidR="00EE4FC3">
        <w:t xml:space="preserve"> </w:t>
      </w:r>
      <w:r w:rsidRPr="00382917">
        <w:t>to</w:t>
      </w:r>
      <w:r w:rsidR="00EE4FC3">
        <w:t xml:space="preserve"> </w:t>
      </w:r>
      <w:r w:rsidR="00664069" w:rsidRPr="00382917">
        <w:t>Ba</w:t>
      </w:r>
      <w:r w:rsidR="00664069" w:rsidRPr="00664069">
        <w:rPr>
          <w:u w:val="single"/>
        </w:rPr>
        <w:t>gh</w:t>
      </w:r>
      <w:r w:rsidR="00664069" w:rsidRPr="00382917">
        <w:t>d</w:t>
      </w:r>
      <w:r w:rsidR="00664069" w:rsidRPr="00664069">
        <w:t>á</w:t>
      </w:r>
      <w:r w:rsidR="00664069" w:rsidRPr="00382917">
        <w:t>d</w:t>
      </w:r>
      <w:r w:rsidR="00EE4FC3">
        <w:t xml:space="preserve"> </w:t>
      </w:r>
      <w:r w:rsidRPr="00382917">
        <w:t>under</w:t>
      </w:r>
      <w:r w:rsidR="00EE4FC3">
        <w:t xml:space="preserve"> </w:t>
      </w:r>
      <w:r w:rsidRPr="00382917">
        <w:t>sentence</w:t>
      </w:r>
      <w:r w:rsidR="00EE4FC3">
        <w:t xml:space="preserve"> </w:t>
      </w:r>
      <w:r w:rsidRPr="00382917">
        <w:t>of</w:t>
      </w:r>
      <w:r w:rsidR="00EE4FC3">
        <w:t xml:space="preserve"> </w:t>
      </w:r>
      <w:r w:rsidRPr="00382917">
        <w:t>death.</w:t>
      </w:r>
      <w:r w:rsidR="00EE4FC3">
        <w:t xml:space="preserve">  </w:t>
      </w:r>
      <w:r w:rsidRPr="00382917">
        <w:t>He</w:t>
      </w:r>
      <w:r w:rsidR="00EE4FC3">
        <w:t xml:space="preserve"> </w:t>
      </w:r>
      <w:r w:rsidRPr="00382917">
        <w:t>was</w:t>
      </w:r>
      <w:r w:rsidR="00EE4FC3">
        <w:t xml:space="preserve"> </w:t>
      </w:r>
      <w:r w:rsidRPr="00382917">
        <w:t>cast</w:t>
      </w:r>
      <w:r w:rsidR="00EE4FC3">
        <w:t xml:space="preserve"> </w:t>
      </w:r>
      <w:r w:rsidRPr="00382917">
        <w:t>into</w:t>
      </w:r>
      <w:r w:rsidR="00EE4FC3">
        <w:t xml:space="preserve"> </w:t>
      </w:r>
      <w:r w:rsidRPr="00382917">
        <w:t>prison,</w:t>
      </w:r>
      <w:r w:rsidR="00EE4FC3">
        <w:t xml:space="preserve"> </w:t>
      </w:r>
      <w:r w:rsidRPr="00382917">
        <w:t>tried</w:t>
      </w:r>
      <w:r w:rsidR="00EE4FC3">
        <w:t xml:space="preserve"> </w:t>
      </w:r>
      <w:r w:rsidRPr="00382917">
        <w:t>again,</w:t>
      </w:r>
      <w:r w:rsidR="00EE4FC3">
        <w:t xml:space="preserve"> </w:t>
      </w:r>
      <w:r w:rsidRPr="00382917">
        <w:t>and,</w:t>
      </w:r>
      <w:r w:rsidR="00EE4FC3">
        <w:t xml:space="preserve"> </w:t>
      </w:r>
      <w:r w:rsidRPr="00382917">
        <w:t>still</w:t>
      </w:r>
      <w:r w:rsidR="00EE4FC3">
        <w:t xml:space="preserve"> </w:t>
      </w:r>
      <w:r w:rsidRPr="00382917">
        <w:t>in</w:t>
      </w:r>
      <w:r w:rsidR="00EE4FC3">
        <w:t xml:space="preserve"> </w:t>
      </w:r>
      <w:r w:rsidRPr="00382917">
        <w:t>chains,</w:t>
      </w:r>
      <w:r w:rsidR="00EE4FC3">
        <w:t xml:space="preserve"> </w:t>
      </w:r>
      <w:r w:rsidRPr="00382917">
        <w:t>ordered</w:t>
      </w:r>
      <w:r w:rsidR="00EE4FC3">
        <w:t xml:space="preserve"> </w:t>
      </w:r>
      <w:r w:rsidRPr="00382917">
        <w:t>to</w:t>
      </w:r>
      <w:r w:rsidR="00EE4FC3">
        <w:t xml:space="preserve"> </w:t>
      </w:r>
      <w:r w:rsidRPr="00382917">
        <w:t>Constantinople.</w:t>
      </w:r>
      <w:r w:rsidR="00EE4FC3">
        <w:t xml:space="preserve">  </w:t>
      </w:r>
      <w:r w:rsidRPr="00382917">
        <w:t>Some</w:t>
      </w:r>
      <w:r w:rsidR="00EE4FC3">
        <w:t xml:space="preserve"> </w:t>
      </w:r>
      <w:r w:rsidRPr="00382917">
        <w:t>say</w:t>
      </w:r>
      <w:r w:rsidR="00EE4FC3">
        <w:t xml:space="preserve"> </w:t>
      </w:r>
      <w:r w:rsidRPr="00382917">
        <w:t>he</w:t>
      </w:r>
      <w:r w:rsidR="00EE4FC3">
        <w:t xml:space="preserve"> </w:t>
      </w:r>
      <w:r w:rsidRPr="00382917">
        <w:t>died</w:t>
      </w:r>
      <w:r w:rsidR="00EE4FC3">
        <w:t xml:space="preserve"> </w:t>
      </w:r>
      <w:proofErr w:type="spellStart"/>
      <w:r w:rsidRPr="00382917">
        <w:t>enroute</w:t>
      </w:r>
      <w:proofErr w:type="spellEnd"/>
      <w:r w:rsidRPr="00382917">
        <w:t>,</w:t>
      </w:r>
      <w:r w:rsidR="00EE4FC3">
        <w:t xml:space="preserve"> </w:t>
      </w:r>
      <w:r w:rsidRPr="00382917">
        <w:t>some</w:t>
      </w:r>
      <w:r w:rsidR="00EE4FC3">
        <w:t xml:space="preserve"> </w:t>
      </w:r>
      <w:r w:rsidRPr="00382917">
        <w:t>say</w:t>
      </w:r>
      <w:r w:rsidR="00EE4FC3">
        <w:t xml:space="preserve"> </w:t>
      </w:r>
      <w:r w:rsidRPr="00382917">
        <w:t>he</w:t>
      </w:r>
      <w:r w:rsidR="00EE4FC3">
        <w:t xml:space="preserve"> </w:t>
      </w:r>
      <w:r w:rsidRPr="00382917">
        <w:t>was</w:t>
      </w:r>
      <w:r w:rsidR="00EE4FC3">
        <w:t xml:space="preserve"> </w:t>
      </w:r>
      <w:r w:rsidRPr="00382917">
        <w:t>later</w:t>
      </w:r>
      <w:r w:rsidR="00EE4FC3">
        <w:t xml:space="preserve"> </w:t>
      </w:r>
      <w:r w:rsidRPr="00382917">
        <w:t>martyred.</w:t>
      </w:r>
      <w:r w:rsidR="00EE4FC3">
        <w:t xml:space="preserve">  </w:t>
      </w:r>
      <w:r w:rsidRPr="00382917">
        <w:t>No</w:t>
      </w:r>
      <w:r w:rsidR="00EE4FC3">
        <w:t xml:space="preserve"> </w:t>
      </w:r>
      <w:r w:rsidRPr="00382917">
        <w:t>one</w:t>
      </w:r>
      <w:r w:rsidR="00EE4FC3">
        <w:t xml:space="preserve"> </w:t>
      </w:r>
      <w:r w:rsidRPr="00382917">
        <w:t>knows</w:t>
      </w:r>
      <w:r w:rsidR="00EE4FC3">
        <w:t xml:space="preserve"> </w:t>
      </w:r>
      <w:r w:rsidRPr="00382917">
        <w:t>what</w:t>
      </w:r>
      <w:r w:rsidR="00EE4FC3">
        <w:t xml:space="preserve"> </w:t>
      </w:r>
      <w:r w:rsidRPr="00382917">
        <w:t>eventually</w:t>
      </w:r>
      <w:r w:rsidR="00EE4FC3">
        <w:t xml:space="preserve"> </w:t>
      </w:r>
      <w:r w:rsidRPr="00382917">
        <w:t>befell</w:t>
      </w:r>
      <w:r w:rsidR="00EE4FC3">
        <w:t xml:space="preserve"> </w:t>
      </w:r>
      <w:r w:rsidRPr="00382917">
        <w:t>this</w:t>
      </w:r>
      <w:r w:rsidR="00EE4FC3">
        <w:t xml:space="preserve"> </w:t>
      </w:r>
      <w:r w:rsidRPr="00382917">
        <w:t>hero</w:t>
      </w:r>
      <w:r w:rsidR="00EE4FC3">
        <w:t xml:space="preserve"> </w:t>
      </w:r>
      <w:r w:rsidRPr="00382917">
        <w:t>of</w:t>
      </w:r>
      <w:r w:rsidR="00EE4FC3">
        <w:t xml:space="preserve"> </w:t>
      </w:r>
      <w:r w:rsidRPr="00382917">
        <w:t>God.</w:t>
      </w:r>
      <w:r w:rsidR="00664069">
        <w:rPr>
          <w:rStyle w:val="FootnoteReference"/>
        </w:rPr>
        <w:footnoteReference w:id="19"/>
      </w:r>
    </w:p>
    <w:p w:rsidR="006D18A4" w:rsidRPr="00382917" w:rsidRDefault="006D18A4" w:rsidP="006D18A4">
      <w:pPr>
        <w:pStyle w:val="Text"/>
      </w:pPr>
      <w:r w:rsidRPr="00382917">
        <w:t>The</w:t>
      </w:r>
      <w:r w:rsidR="00EE4FC3">
        <w:t xml:space="preserve"> </w:t>
      </w:r>
      <w:r w:rsidRPr="00382917">
        <w:t>Báb</w:t>
      </w:r>
      <w:r w:rsidR="00EE4FC3">
        <w:t xml:space="preserve"> </w:t>
      </w:r>
      <w:r w:rsidRPr="00382917">
        <w:t>summoned</w:t>
      </w:r>
      <w:r w:rsidR="00EE4FC3">
        <w:t xml:space="preserve"> </w:t>
      </w:r>
      <w:r w:rsidRPr="00382917">
        <w:t>all</w:t>
      </w:r>
      <w:r w:rsidR="00EE4FC3">
        <w:t xml:space="preserve"> </w:t>
      </w:r>
      <w:r w:rsidRPr="00382917">
        <w:t>of</w:t>
      </w:r>
      <w:r w:rsidR="00EE4FC3">
        <w:t xml:space="preserve"> </w:t>
      </w:r>
      <w:r w:rsidRPr="00382917">
        <w:t>the</w:t>
      </w:r>
      <w:r w:rsidR="00EE4FC3">
        <w:t xml:space="preserve"> </w:t>
      </w:r>
      <w:r w:rsidRPr="00382917">
        <w:t>others</w:t>
      </w:r>
      <w:r w:rsidR="00EE4FC3">
        <w:t xml:space="preserve"> </w:t>
      </w:r>
      <w:r w:rsidRPr="00382917">
        <w:t>to</w:t>
      </w:r>
      <w:r w:rsidR="00EE4FC3">
        <w:t xml:space="preserve"> </w:t>
      </w:r>
      <w:r w:rsidRPr="00382917">
        <w:t>His</w:t>
      </w:r>
      <w:r w:rsidR="00EE4FC3">
        <w:t xml:space="preserve"> </w:t>
      </w:r>
      <w:r w:rsidRPr="00382917">
        <w:t>presence</w:t>
      </w:r>
      <w:r w:rsidR="00EE4FC3">
        <w:t xml:space="preserve"> </w:t>
      </w:r>
      <w:r w:rsidRPr="00382917">
        <w:t>and</w:t>
      </w:r>
      <w:r w:rsidR="00EE4FC3">
        <w:t xml:space="preserve"> </w:t>
      </w:r>
      <w:r w:rsidRPr="00382917">
        <w:t>to</w:t>
      </w:r>
      <w:r w:rsidR="00EE4FC3">
        <w:t xml:space="preserve"> </w:t>
      </w:r>
      <w:r w:rsidRPr="00382917">
        <w:t>each</w:t>
      </w:r>
      <w:r w:rsidR="00EE4FC3">
        <w:t xml:space="preserve"> </w:t>
      </w:r>
      <w:r w:rsidRPr="00382917">
        <w:t>one</w:t>
      </w:r>
      <w:r w:rsidR="00EE4FC3">
        <w:t xml:space="preserve"> </w:t>
      </w:r>
      <w:r w:rsidRPr="00382917">
        <w:t>He</w:t>
      </w:r>
      <w:r w:rsidR="00EE4FC3">
        <w:t xml:space="preserve"> </w:t>
      </w:r>
      <w:r w:rsidRPr="00382917">
        <w:t>gave</w:t>
      </w:r>
      <w:r w:rsidR="00EE4FC3">
        <w:t xml:space="preserve"> </w:t>
      </w:r>
      <w:r w:rsidRPr="00382917">
        <w:t>a</w:t>
      </w:r>
      <w:r w:rsidR="00EE4FC3">
        <w:t xml:space="preserve"> </w:t>
      </w:r>
      <w:r w:rsidRPr="00382917">
        <w:t>special</w:t>
      </w:r>
      <w:r w:rsidR="00EE4FC3">
        <w:t xml:space="preserve"> </w:t>
      </w:r>
      <w:r w:rsidRPr="00382917">
        <w:t>command</w:t>
      </w:r>
      <w:r w:rsidR="00EE4FC3">
        <w:t xml:space="preserve"> </w:t>
      </w:r>
      <w:r w:rsidRPr="00382917">
        <w:t>and</w:t>
      </w:r>
      <w:r w:rsidR="00EE4FC3">
        <w:t xml:space="preserve"> </w:t>
      </w:r>
      <w:r w:rsidRPr="00382917">
        <w:t>a</w:t>
      </w:r>
      <w:r w:rsidR="00EE4FC3">
        <w:t xml:space="preserve"> </w:t>
      </w:r>
      <w:r w:rsidRPr="00382917">
        <w:t>special</w:t>
      </w:r>
      <w:r w:rsidR="00EE4FC3">
        <w:t xml:space="preserve"> </w:t>
      </w:r>
      <w:r w:rsidRPr="00382917">
        <w:t>task.</w:t>
      </w:r>
      <w:r w:rsidR="00EE4FC3">
        <w:t xml:space="preserve">  </w:t>
      </w:r>
      <w:r w:rsidRPr="00382917">
        <w:t>He</w:t>
      </w:r>
      <w:r w:rsidR="00EE4FC3">
        <w:t xml:space="preserve"> </w:t>
      </w:r>
      <w:r w:rsidRPr="00382917">
        <w:t>spoke</w:t>
      </w:r>
      <w:r w:rsidR="00EE4FC3">
        <w:t xml:space="preserve"> </w:t>
      </w:r>
      <w:r w:rsidRPr="00382917">
        <w:t>to</w:t>
      </w:r>
      <w:r w:rsidR="00EE4FC3">
        <w:t xml:space="preserve"> </w:t>
      </w:r>
      <w:r w:rsidRPr="00382917">
        <w:t>all</w:t>
      </w:r>
      <w:r w:rsidR="00EE4FC3">
        <w:t xml:space="preserve"> </w:t>
      </w:r>
      <w:r w:rsidRPr="00382917">
        <w:t>of</w:t>
      </w:r>
      <w:r w:rsidR="00EE4FC3">
        <w:t xml:space="preserve"> </w:t>
      </w:r>
      <w:r w:rsidRPr="00382917">
        <w:t>them</w:t>
      </w:r>
      <w:r w:rsidR="00EE4FC3">
        <w:t xml:space="preserve"> </w:t>
      </w:r>
      <w:r w:rsidRPr="00382917">
        <w:t>these</w:t>
      </w:r>
      <w:r w:rsidR="00EE4FC3">
        <w:t xml:space="preserve"> </w:t>
      </w:r>
      <w:r w:rsidRPr="00382917">
        <w:t>parting</w:t>
      </w:r>
      <w:r w:rsidR="00EE4FC3">
        <w:t xml:space="preserve"> </w:t>
      </w:r>
      <w:r w:rsidRPr="00382917">
        <w:t>words:</w:t>
      </w:r>
    </w:p>
    <w:p w:rsidR="006D18A4" w:rsidRPr="00382917" w:rsidRDefault="009C713D" w:rsidP="006D18A4">
      <w:pPr>
        <w:pStyle w:val="Text"/>
      </w:pPr>
      <w:r w:rsidRPr="00382917">
        <w:t>“</w:t>
      </w:r>
      <w:r w:rsidR="006D18A4" w:rsidRPr="00382917">
        <w:t>O</w:t>
      </w:r>
      <w:r w:rsidR="00EE4FC3">
        <w:t xml:space="preserve"> </w:t>
      </w:r>
      <w:proofErr w:type="gramStart"/>
      <w:r w:rsidR="006D18A4" w:rsidRPr="00382917">
        <w:t>My</w:t>
      </w:r>
      <w:proofErr w:type="gramEnd"/>
      <w:r w:rsidR="00EE4FC3">
        <w:t xml:space="preserve"> </w:t>
      </w:r>
      <w:r w:rsidR="006D18A4" w:rsidRPr="00382917">
        <w:t>beloved</w:t>
      </w:r>
      <w:r w:rsidR="00EE4FC3">
        <w:t xml:space="preserve"> </w:t>
      </w:r>
      <w:r w:rsidR="006D18A4" w:rsidRPr="00382917">
        <w:t>friends!</w:t>
      </w:r>
      <w:r w:rsidR="00EE4FC3">
        <w:t xml:space="preserve">  </w:t>
      </w:r>
      <w:r w:rsidR="006D18A4" w:rsidRPr="00382917">
        <w:t>You</w:t>
      </w:r>
      <w:r w:rsidR="00EE4FC3">
        <w:t xml:space="preserve"> </w:t>
      </w:r>
      <w:r w:rsidR="006D18A4" w:rsidRPr="00382917">
        <w:t>are</w:t>
      </w:r>
      <w:r w:rsidR="00EE4FC3">
        <w:t xml:space="preserve"> </w:t>
      </w:r>
      <w:r w:rsidR="006D18A4" w:rsidRPr="00382917">
        <w:t>the</w:t>
      </w:r>
      <w:r w:rsidR="00EE4FC3">
        <w:t xml:space="preserve"> </w:t>
      </w:r>
      <w:r w:rsidR="006D18A4" w:rsidRPr="00382917">
        <w:t>bearers</w:t>
      </w:r>
      <w:r w:rsidR="00EE4FC3">
        <w:t xml:space="preserve"> </w:t>
      </w:r>
      <w:r w:rsidR="006D18A4" w:rsidRPr="00382917">
        <w:t>of</w:t>
      </w:r>
      <w:r w:rsidR="00EE4FC3">
        <w:t xml:space="preserve"> </w:t>
      </w:r>
      <w:r w:rsidR="006D18A4" w:rsidRPr="00382917">
        <w:t>the</w:t>
      </w:r>
      <w:r w:rsidR="00EE4FC3">
        <w:t xml:space="preserve"> </w:t>
      </w:r>
      <w:r w:rsidR="006D18A4" w:rsidRPr="00382917">
        <w:t>name</w:t>
      </w:r>
      <w:r w:rsidR="00EE4FC3">
        <w:t xml:space="preserve"> </w:t>
      </w:r>
      <w:r w:rsidR="006D18A4" w:rsidRPr="00382917">
        <w:t>of</w:t>
      </w:r>
      <w:r w:rsidR="00EE4FC3">
        <w:t xml:space="preserve"> </w:t>
      </w:r>
      <w:r w:rsidR="006D18A4" w:rsidRPr="00382917">
        <w:t>God</w:t>
      </w:r>
      <w:r w:rsidR="00EE4FC3">
        <w:t xml:space="preserve"> </w:t>
      </w:r>
      <w:r w:rsidR="006D18A4" w:rsidRPr="00382917">
        <w:t>in</w:t>
      </w:r>
      <w:r w:rsidR="00EE4FC3">
        <w:t xml:space="preserve"> </w:t>
      </w:r>
      <w:r w:rsidR="006D18A4" w:rsidRPr="00382917">
        <w:t>this</w:t>
      </w:r>
      <w:r w:rsidR="00EE4FC3">
        <w:t xml:space="preserve"> </w:t>
      </w:r>
      <w:r w:rsidR="006D18A4" w:rsidRPr="00382917">
        <w:t>Day</w:t>
      </w:r>
      <w:proofErr w:type="gramStart"/>
      <w:r w:rsidR="006D18A4" w:rsidRPr="00382917">
        <w:t>.</w:t>
      </w:r>
      <w:r w:rsidR="00EE4FC3">
        <w:t xml:space="preserve"> </w:t>
      </w:r>
      <w:r w:rsidR="00F04416" w:rsidRPr="00382917">
        <w:t>…</w:t>
      </w:r>
      <w:r w:rsidR="00EE4FC3">
        <w:t xml:space="preserve"> </w:t>
      </w:r>
      <w:proofErr w:type="gramEnd"/>
      <w:r w:rsidR="006D18A4" w:rsidRPr="00382917">
        <w:t>The</w:t>
      </w:r>
      <w:r w:rsidR="00EE4FC3">
        <w:t xml:space="preserve"> </w:t>
      </w:r>
      <w:r w:rsidR="006D18A4" w:rsidRPr="00382917">
        <w:t>very</w:t>
      </w:r>
      <w:r w:rsidR="00EE4FC3">
        <w:t xml:space="preserve"> </w:t>
      </w:r>
      <w:r w:rsidR="006D18A4" w:rsidRPr="00382917">
        <w:t>members</w:t>
      </w:r>
      <w:r w:rsidR="00EE4FC3">
        <w:t xml:space="preserve"> </w:t>
      </w:r>
      <w:r w:rsidR="006D18A4" w:rsidRPr="00382917">
        <w:t>of</w:t>
      </w:r>
      <w:r w:rsidR="00EE4FC3">
        <w:t xml:space="preserve"> </w:t>
      </w:r>
      <w:r w:rsidR="006D18A4" w:rsidRPr="00382917">
        <w:t>your</w:t>
      </w:r>
      <w:r w:rsidR="00EE4FC3">
        <w:t xml:space="preserve"> </w:t>
      </w:r>
      <w:r w:rsidR="006D18A4" w:rsidRPr="00382917">
        <w:t>body</w:t>
      </w:r>
      <w:r w:rsidR="00EE4FC3">
        <w:t xml:space="preserve"> </w:t>
      </w:r>
      <w:r w:rsidR="006D18A4" w:rsidRPr="00382917">
        <w:t>must</w:t>
      </w:r>
      <w:r w:rsidR="00EE4FC3">
        <w:t xml:space="preserve"> </w:t>
      </w:r>
      <w:r w:rsidR="006D18A4" w:rsidRPr="00382917">
        <w:t>bear</w:t>
      </w:r>
      <w:r w:rsidR="00EE4FC3">
        <w:t xml:space="preserve"> </w:t>
      </w:r>
      <w:r w:rsidR="006D18A4" w:rsidRPr="00382917">
        <w:t>witness</w:t>
      </w:r>
    </w:p>
    <w:p w:rsidR="006D18A4" w:rsidRPr="00382917" w:rsidRDefault="006D18A4">
      <w:pPr>
        <w:widowControl/>
        <w:kinsoku/>
        <w:overflowPunct/>
        <w:textAlignment w:val="auto"/>
      </w:pPr>
      <w:r w:rsidRPr="00382917">
        <w:br w:type="page"/>
      </w:r>
    </w:p>
    <w:p w:rsidR="006D18A4" w:rsidRPr="00382917" w:rsidRDefault="006D18A4" w:rsidP="009F0F0D">
      <w:pPr>
        <w:pStyle w:val="Textcts"/>
      </w:pPr>
      <w:proofErr w:type="gramStart"/>
      <w:r w:rsidRPr="00382917">
        <w:t>to</w:t>
      </w:r>
      <w:proofErr w:type="gramEnd"/>
      <w:r w:rsidR="00EE4FC3">
        <w:t xml:space="preserve"> </w:t>
      </w:r>
      <w:r w:rsidRPr="00382917">
        <w:t>the</w:t>
      </w:r>
      <w:r w:rsidR="00EE4FC3">
        <w:t xml:space="preserve"> </w:t>
      </w:r>
      <w:r w:rsidRPr="00382917">
        <w:t>loftiness</w:t>
      </w:r>
      <w:r w:rsidR="00EE4FC3">
        <w:t xml:space="preserve"> </w:t>
      </w:r>
      <w:r w:rsidRPr="00382917">
        <w:t>of</w:t>
      </w:r>
      <w:r w:rsidR="00EE4FC3">
        <w:t xml:space="preserve"> </w:t>
      </w:r>
      <w:r w:rsidRPr="00382917">
        <w:t>your</w:t>
      </w:r>
      <w:r w:rsidR="00EE4FC3">
        <w:t xml:space="preserve"> </w:t>
      </w:r>
      <w:r w:rsidRPr="00382917">
        <w:t>purpose,</w:t>
      </w:r>
      <w:r w:rsidR="00EE4FC3">
        <w:t xml:space="preserve"> </w:t>
      </w:r>
      <w:r w:rsidRPr="00382917">
        <w:t>the</w:t>
      </w:r>
      <w:r w:rsidR="00EE4FC3">
        <w:t xml:space="preserve"> </w:t>
      </w:r>
      <w:r w:rsidRPr="00382917">
        <w:t>integrity</w:t>
      </w:r>
      <w:r w:rsidR="00EE4FC3">
        <w:t xml:space="preserve"> </w:t>
      </w:r>
      <w:r w:rsidRPr="00382917">
        <w:t>of</w:t>
      </w:r>
      <w:r w:rsidR="00EE4FC3">
        <w:t xml:space="preserve"> </w:t>
      </w:r>
      <w:r w:rsidRPr="00382917">
        <w:t>your</w:t>
      </w:r>
      <w:r w:rsidR="00EE4FC3">
        <w:t xml:space="preserve"> </w:t>
      </w:r>
      <w:r w:rsidRPr="00382917">
        <w:t>life,</w:t>
      </w:r>
      <w:r w:rsidR="00EE4FC3">
        <w:t xml:space="preserve"> </w:t>
      </w:r>
      <w:r w:rsidRPr="00382917">
        <w:t>the</w:t>
      </w:r>
      <w:r w:rsidR="00EE4FC3">
        <w:t xml:space="preserve"> </w:t>
      </w:r>
      <w:r w:rsidRPr="00382917">
        <w:t>reality</w:t>
      </w:r>
      <w:r w:rsidR="00EE4FC3">
        <w:t xml:space="preserve"> </w:t>
      </w:r>
      <w:r w:rsidRPr="00382917">
        <w:t>of</w:t>
      </w:r>
      <w:r w:rsidR="00EE4FC3">
        <w:t xml:space="preserve"> </w:t>
      </w:r>
      <w:r w:rsidRPr="00382917">
        <w:t>your</w:t>
      </w:r>
      <w:r w:rsidR="00EE4FC3">
        <w:t xml:space="preserve"> </w:t>
      </w:r>
      <w:r w:rsidRPr="00382917">
        <w:t>faith,</w:t>
      </w:r>
      <w:r w:rsidR="00EE4FC3">
        <w:t xml:space="preserve"> </w:t>
      </w:r>
      <w:r w:rsidRPr="00382917">
        <w:t>and</w:t>
      </w:r>
      <w:r w:rsidR="00EE4FC3">
        <w:t xml:space="preserve"> </w:t>
      </w:r>
      <w:r w:rsidRPr="00382917">
        <w:t>the</w:t>
      </w:r>
      <w:r w:rsidR="00EE4FC3">
        <w:t xml:space="preserve"> </w:t>
      </w:r>
      <w:r w:rsidRPr="00382917">
        <w:t>exalted</w:t>
      </w:r>
      <w:r w:rsidR="00EE4FC3">
        <w:t xml:space="preserve"> </w:t>
      </w:r>
      <w:r w:rsidRPr="00382917">
        <w:t>character</w:t>
      </w:r>
      <w:r w:rsidR="00EE4FC3">
        <w:t xml:space="preserve"> </w:t>
      </w:r>
      <w:r w:rsidRPr="00382917">
        <w:t>of</w:t>
      </w:r>
      <w:r w:rsidR="00EE4FC3">
        <w:t xml:space="preserve"> </w:t>
      </w:r>
      <w:r w:rsidRPr="00382917">
        <w:t>your</w:t>
      </w:r>
      <w:r w:rsidR="00EE4FC3">
        <w:t xml:space="preserve"> </w:t>
      </w:r>
      <w:r w:rsidRPr="00382917">
        <w:t>devotion</w:t>
      </w:r>
      <w:r w:rsidR="00EE4FC3">
        <w:t xml:space="preserve"> </w:t>
      </w:r>
      <w:r w:rsidR="00F04416" w:rsidRPr="00382917">
        <w:t>…</w:t>
      </w:r>
      <w:r w:rsidRPr="00382917">
        <w:t>.</w:t>
      </w:r>
    </w:p>
    <w:p w:rsidR="006D18A4" w:rsidRPr="00382917" w:rsidRDefault="009C713D" w:rsidP="009F0F0D">
      <w:pPr>
        <w:pStyle w:val="Text"/>
      </w:pPr>
      <w:r w:rsidRPr="00382917">
        <w:t>“</w:t>
      </w:r>
      <w:r w:rsidR="006D18A4" w:rsidRPr="00382917">
        <w:t>Ponder</w:t>
      </w:r>
      <w:r w:rsidR="00EE4FC3">
        <w:t xml:space="preserve"> </w:t>
      </w:r>
      <w:r w:rsidR="006D18A4" w:rsidRPr="00382917">
        <w:t>the</w:t>
      </w:r>
      <w:r w:rsidR="00EE4FC3">
        <w:t xml:space="preserve"> </w:t>
      </w:r>
      <w:r w:rsidR="006D18A4" w:rsidRPr="00382917">
        <w:t>words</w:t>
      </w:r>
      <w:r w:rsidR="00EE4FC3">
        <w:t xml:space="preserve"> </w:t>
      </w:r>
      <w:r w:rsidR="006D18A4" w:rsidRPr="00382917">
        <w:t>of</w:t>
      </w:r>
      <w:r w:rsidR="00EE4FC3">
        <w:t xml:space="preserve"> </w:t>
      </w:r>
      <w:r w:rsidR="006D18A4" w:rsidRPr="00382917">
        <w:t>Jesus</w:t>
      </w:r>
      <w:r w:rsidR="00EE4FC3">
        <w:t xml:space="preserve"> </w:t>
      </w:r>
      <w:r w:rsidR="006D18A4" w:rsidRPr="00382917">
        <w:t>addressed</w:t>
      </w:r>
      <w:r w:rsidR="00EE4FC3">
        <w:t xml:space="preserve"> </w:t>
      </w:r>
      <w:r w:rsidR="006D18A4" w:rsidRPr="00382917">
        <w:t>to</w:t>
      </w:r>
      <w:r w:rsidR="00EE4FC3">
        <w:t xml:space="preserve"> </w:t>
      </w:r>
      <w:r w:rsidR="006D18A4" w:rsidRPr="00382917">
        <w:t>His</w:t>
      </w:r>
      <w:r w:rsidR="00EE4FC3">
        <w:t xml:space="preserve"> </w:t>
      </w:r>
      <w:r w:rsidR="006D18A4" w:rsidRPr="00382917">
        <w:t>disciples</w:t>
      </w:r>
      <w:r w:rsidR="00EE4FC3">
        <w:t xml:space="preserve"> </w:t>
      </w:r>
      <w:r w:rsidR="006D18A4" w:rsidRPr="00382917">
        <w:t>as</w:t>
      </w:r>
      <w:r w:rsidR="00EE4FC3">
        <w:t xml:space="preserve"> </w:t>
      </w:r>
      <w:r w:rsidR="006D18A4" w:rsidRPr="00382917">
        <w:t>He</w:t>
      </w:r>
      <w:r w:rsidR="00EE4FC3">
        <w:t xml:space="preserve"> </w:t>
      </w:r>
      <w:r w:rsidR="006D18A4" w:rsidRPr="00382917">
        <w:t>sent</w:t>
      </w:r>
      <w:r w:rsidR="00EE4FC3">
        <w:t xml:space="preserve"> </w:t>
      </w:r>
      <w:r w:rsidR="006D18A4" w:rsidRPr="00382917">
        <w:t>them</w:t>
      </w:r>
      <w:r w:rsidR="00EE4FC3">
        <w:t xml:space="preserve"> </w:t>
      </w:r>
      <w:r w:rsidR="006D18A4" w:rsidRPr="00382917">
        <w:t>forth</w:t>
      </w:r>
      <w:r w:rsidR="00EE4FC3">
        <w:t xml:space="preserve"> </w:t>
      </w:r>
      <w:r w:rsidR="006D18A4" w:rsidRPr="00382917">
        <w:t>to</w:t>
      </w:r>
      <w:r w:rsidR="00EE4FC3">
        <w:t xml:space="preserve"> </w:t>
      </w:r>
      <w:r w:rsidR="006D18A4" w:rsidRPr="00382917">
        <w:t>propagate</w:t>
      </w:r>
      <w:r w:rsidR="00EE4FC3">
        <w:t xml:space="preserve"> </w:t>
      </w:r>
      <w:r w:rsidR="006D18A4" w:rsidRPr="00382917">
        <w:t>the</w:t>
      </w:r>
      <w:r w:rsidR="00EE4FC3">
        <w:t xml:space="preserve"> </w:t>
      </w:r>
      <w:r w:rsidR="006D18A4" w:rsidRPr="00382917">
        <w:t>Cause</w:t>
      </w:r>
      <w:r w:rsidR="00EE4FC3">
        <w:t xml:space="preserve"> </w:t>
      </w:r>
      <w:r w:rsidR="006D18A4" w:rsidRPr="00382917">
        <w:t>of</w:t>
      </w:r>
      <w:r w:rsidR="00EE4FC3">
        <w:t xml:space="preserve"> </w:t>
      </w:r>
      <w:r w:rsidR="006D18A4" w:rsidRPr="00382917">
        <w:t>God:</w:t>
      </w:r>
      <w:r w:rsidR="00EE4FC3">
        <w:t xml:space="preserve">  </w:t>
      </w:r>
      <w:r w:rsidRPr="00382917">
        <w:t>‘</w:t>
      </w:r>
      <w:r w:rsidR="006D18A4" w:rsidRPr="00382917">
        <w:t>Ye</w:t>
      </w:r>
      <w:r w:rsidR="00EE4FC3">
        <w:t xml:space="preserve"> </w:t>
      </w:r>
      <w:r w:rsidR="006D18A4" w:rsidRPr="00382917">
        <w:t>are</w:t>
      </w:r>
      <w:r w:rsidR="00EE4FC3">
        <w:t xml:space="preserve"> </w:t>
      </w:r>
      <w:r w:rsidR="006D18A4" w:rsidRPr="00382917">
        <w:t>even</w:t>
      </w:r>
      <w:r w:rsidR="00EE4FC3">
        <w:t xml:space="preserve"> </w:t>
      </w:r>
      <w:r w:rsidR="006D18A4" w:rsidRPr="00382917">
        <w:t>as</w:t>
      </w:r>
      <w:r w:rsidR="00EE4FC3">
        <w:t xml:space="preserve"> </w:t>
      </w:r>
      <w:r w:rsidR="006D18A4" w:rsidRPr="00382917">
        <w:t>the</w:t>
      </w:r>
      <w:r w:rsidR="00EE4FC3">
        <w:t xml:space="preserve"> </w:t>
      </w:r>
      <w:r w:rsidR="006D18A4" w:rsidRPr="00382917">
        <w:t>fire</w:t>
      </w:r>
      <w:r w:rsidR="00EE4FC3">
        <w:t xml:space="preserve"> </w:t>
      </w:r>
      <w:r w:rsidR="006D18A4" w:rsidRPr="00382917">
        <w:t>which</w:t>
      </w:r>
      <w:r w:rsidR="00EE4FC3">
        <w:t xml:space="preserve"> </w:t>
      </w:r>
      <w:r w:rsidR="006D18A4" w:rsidRPr="00382917">
        <w:t>in</w:t>
      </w:r>
      <w:r w:rsidR="00EE4FC3">
        <w:t xml:space="preserve"> </w:t>
      </w:r>
      <w:r w:rsidR="006D18A4" w:rsidRPr="00382917">
        <w:t>the</w:t>
      </w:r>
      <w:r w:rsidR="00EE4FC3">
        <w:t xml:space="preserve"> </w:t>
      </w:r>
      <w:r w:rsidR="006D18A4" w:rsidRPr="00382917">
        <w:t>darkness</w:t>
      </w:r>
      <w:r w:rsidR="00EE4FC3">
        <w:t xml:space="preserve"> </w:t>
      </w:r>
      <w:r w:rsidR="006D18A4" w:rsidRPr="00382917">
        <w:t>of</w:t>
      </w:r>
      <w:r w:rsidR="00EE4FC3">
        <w:t xml:space="preserve"> </w:t>
      </w:r>
      <w:r w:rsidR="006D18A4" w:rsidRPr="00382917">
        <w:t>the</w:t>
      </w:r>
      <w:r w:rsidR="00EE4FC3">
        <w:t xml:space="preserve"> </w:t>
      </w:r>
      <w:r w:rsidR="006D18A4" w:rsidRPr="00382917">
        <w:t>night</w:t>
      </w:r>
      <w:r w:rsidR="00EE4FC3">
        <w:t xml:space="preserve"> </w:t>
      </w:r>
      <w:r w:rsidR="006D18A4" w:rsidRPr="00382917">
        <w:t>has</w:t>
      </w:r>
      <w:r w:rsidR="00EE4FC3">
        <w:t xml:space="preserve"> </w:t>
      </w:r>
      <w:r w:rsidR="006D18A4" w:rsidRPr="00382917">
        <w:t>been</w:t>
      </w:r>
      <w:r w:rsidR="00EE4FC3">
        <w:t xml:space="preserve"> </w:t>
      </w:r>
      <w:r w:rsidR="006D18A4" w:rsidRPr="00382917">
        <w:t>kindled</w:t>
      </w:r>
      <w:r w:rsidR="00EE4FC3">
        <w:t xml:space="preserve"> </w:t>
      </w:r>
      <w:r w:rsidR="006D18A4" w:rsidRPr="00382917">
        <w:t>upon</w:t>
      </w:r>
      <w:r w:rsidR="00EE4FC3">
        <w:t xml:space="preserve"> </w:t>
      </w:r>
      <w:r w:rsidR="006D18A4" w:rsidRPr="00382917">
        <w:t>the</w:t>
      </w:r>
      <w:r w:rsidR="00EE4FC3">
        <w:t xml:space="preserve"> </w:t>
      </w:r>
      <w:r w:rsidR="006D18A4" w:rsidRPr="00382917">
        <w:t>mountain-top.</w:t>
      </w:r>
      <w:r w:rsidR="00EE4FC3">
        <w:t xml:space="preserve">  </w:t>
      </w:r>
      <w:r w:rsidR="006D18A4" w:rsidRPr="00382917">
        <w:t>Such</w:t>
      </w:r>
      <w:r w:rsidR="00EE4FC3">
        <w:t xml:space="preserve"> </w:t>
      </w:r>
      <w:r w:rsidR="006D18A4" w:rsidRPr="00382917">
        <w:t>must</w:t>
      </w:r>
      <w:r w:rsidR="00EE4FC3">
        <w:t xml:space="preserve"> </w:t>
      </w:r>
      <w:r w:rsidR="006D18A4" w:rsidRPr="00382917">
        <w:t>be</w:t>
      </w:r>
      <w:r w:rsidR="00EE4FC3">
        <w:t xml:space="preserve"> </w:t>
      </w:r>
      <w:r w:rsidR="006D18A4" w:rsidRPr="00382917">
        <w:t>the</w:t>
      </w:r>
      <w:r w:rsidR="00EE4FC3">
        <w:t xml:space="preserve"> </w:t>
      </w:r>
      <w:r w:rsidR="006D18A4" w:rsidRPr="00382917">
        <w:t>purity</w:t>
      </w:r>
      <w:r w:rsidR="00EE4FC3">
        <w:t xml:space="preserve"> </w:t>
      </w:r>
      <w:r w:rsidR="006D18A4" w:rsidRPr="00382917">
        <w:t>of</w:t>
      </w:r>
      <w:r w:rsidR="00EE4FC3">
        <w:t xml:space="preserve"> </w:t>
      </w:r>
      <w:r w:rsidR="006D18A4" w:rsidRPr="00382917">
        <w:t>your</w:t>
      </w:r>
      <w:r w:rsidR="00EE4FC3">
        <w:t xml:space="preserve"> </w:t>
      </w:r>
      <w:r w:rsidR="006D18A4" w:rsidRPr="00382917">
        <w:t>character</w:t>
      </w:r>
      <w:r w:rsidR="00EE4FC3">
        <w:t xml:space="preserve"> </w:t>
      </w:r>
      <w:r w:rsidR="006D18A4" w:rsidRPr="00382917">
        <w:t>and</w:t>
      </w:r>
      <w:r w:rsidR="00EE4FC3">
        <w:t xml:space="preserve"> </w:t>
      </w:r>
      <w:r w:rsidR="006D18A4" w:rsidRPr="00382917">
        <w:t>the</w:t>
      </w:r>
      <w:r w:rsidR="00EE4FC3">
        <w:t xml:space="preserve"> </w:t>
      </w:r>
      <w:r w:rsidR="006D18A4" w:rsidRPr="00382917">
        <w:t>degree</w:t>
      </w:r>
      <w:r w:rsidR="00EE4FC3">
        <w:t xml:space="preserve"> </w:t>
      </w:r>
      <w:r w:rsidR="006D18A4" w:rsidRPr="00382917">
        <w:t>of</w:t>
      </w:r>
      <w:r w:rsidR="00EE4FC3">
        <w:t xml:space="preserve"> </w:t>
      </w:r>
      <w:r w:rsidR="006D18A4" w:rsidRPr="00382917">
        <w:t>your</w:t>
      </w:r>
      <w:r w:rsidR="00EE4FC3">
        <w:t xml:space="preserve"> </w:t>
      </w:r>
      <w:r w:rsidR="006D18A4" w:rsidRPr="00382917">
        <w:t>renunciation,</w:t>
      </w:r>
      <w:r w:rsidR="00EE4FC3">
        <w:t xml:space="preserve"> </w:t>
      </w:r>
      <w:r w:rsidR="006D18A4" w:rsidRPr="00382917">
        <w:t>that</w:t>
      </w:r>
      <w:r w:rsidR="00EE4FC3">
        <w:t xml:space="preserve"> </w:t>
      </w:r>
      <w:r w:rsidR="006D18A4" w:rsidRPr="00382917">
        <w:t>the</w:t>
      </w:r>
      <w:r w:rsidR="00EE4FC3">
        <w:t xml:space="preserve"> </w:t>
      </w:r>
      <w:r w:rsidR="006D18A4" w:rsidRPr="00382917">
        <w:t>people</w:t>
      </w:r>
      <w:r w:rsidR="00EE4FC3">
        <w:t xml:space="preserve"> </w:t>
      </w:r>
      <w:r w:rsidR="006D18A4" w:rsidRPr="00382917">
        <w:t>of</w:t>
      </w:r>
      <w:r w:rsidR="00EE4FC3">
        <w:t xml:space="preserve"> </w:t>
      </w:r>
      <w:r w:rsidR="006D18A4" w:rsidRPr="00382917">
        <w:t>the</w:t>
      </w:r>
      <w:r w:rsidR="00EE4FC3">
        <w:t xml:space="preserve"> </w:t>
      </w:r>
      <w:r w:rsidR="006D18A4" w:rsidRPr="00382917">
        <w:t>earth</w:t>
      </w:r>
      <w:r w:rsidR="00EE4FC3">
        <w:t xml:space="preserve"> </w:t>
      </w:r>
      <w:r w:rsidR="006D18A4" w:rsidRPr="00382917">
        <w:t>may</w:t>
      </w:r>
      <w:r w:rsidR="00EE4FC3">
        <w:t xml:space="preserve"> </w:t>
      </w:r>
      <w:r w:rsidR="006D18A4" w:rsidRPr="00382917">
        <w:t>through</w:t>
      </w:r>
      <w:r w:rsidR="00EE4FC3">
        <w:t xml:space="preserve"> </w:t>
      </w:r>
      <w:r w:rsidR="006D18A4" w:rsidRPr="00382917">
        <w:t>you</w:t>
      </w:r>
      <w:r w:rsidR="00EE4FC3">
        <w:t xml:space="preserve"> </w:t>
      </w:r>
      <w:r w:rsidR="006D18A4" w:rsidRPr="00382917">
        <w:t>recognize</w:t>
      </w:r>
      <w:r w:rsidR="00EE4FC3">
        <w:t xml:space="preserve"> </w:t>
      </w:r>
      <w:r w:rsidR="006D18A4" w:rsidRPr="00382917">
        <w:t>and</w:t>
      </w:r>
      <w:r w:rsidR="00EE4FC3">
        <w:t xml:space="preserve"> </w:t>
      </w:r>
      <w:r w:rsidR="006D18A4" w:rsidRPr="00382917">
        <w:t>be</w:t>
      </w:r>
      <w:r w:rsidR="00EE4FC3">
        <w:t xml:space="preserve"> </w:t>
      </w:r>
      <w:r w:rsidR="006D18A4" w:rsidRPr="00382917">
        <w:t>drawn</w:t>
      </w:r>
      <w:r w:rsidR="00EE4FC3">
        <w:t xml:space="preserve"> </w:t>
      </w:r>
      <w:r w:rsidR="006D18A4" w:rsidRPr="00382917">
        <w:t>closer</w:t>
      </w:r>
      <w:r w:rsidR="00EE4FC3">
        <w:t xml:space="preserve"> </w:t>
      </w:r>
      <w:r w:rsidR="006D18A4" w:rsidRPr="00382917">
        <w:t>to</w:t>
      </w:r>
      <w:r w:rsidR="00EE4FC3">
        <w:t xml:space="preserve"> </w:t>
      </w:r>
      <w:r w:rsidR="006D18A4" w:rsidRPr="00382917">
        <w:t>the</w:t>
      </w:r>
      <w:r w:rsidR="00EE4FC3">
        <w:t xml:space="preserve"> </w:t>
      </w:r>
      <w:r w:rsidR="006D18A4" w:rsidRPr="00382917">
        <w:t>heavenly</w:t>
      </w:r>
      <w:r w:rsidR="00EE4FC3">
        <w:t xml:space="preserve"> </w:t>
      </w:r>
      <w:r w:rsidR="006D18A4" w:rsidRPr="00382917">
        <w:t>Father</w:t>
      </w:r>
      <w:r w:rsidR="00EE4FC3">
        <w:t xml:space="preserve"> </w:t>
      </w:r>
      <w:r w:rsidR="006D18A4" w:rsidRPr="00382917">
        <w:t>Who</w:t>
      </w:r>
      <w:r w:rsidR="00EE4FC3">
        <w:t xml:space="preserve"> </w:t>
      </w:r>
      <w:r w:rsidR="006D18A4" w:rsidRPr="00382917">
        <w:t>is</w:t>
      </w:r>
      <w:r w:rsidR="00EE4FC3">
        <w:t xml:space="preserve"> </w:t>
      </w:r>
      <w:r w:rsidR="006D18A4" w:rsidRPr="00382917">
        <w:t>the</w:t>
      </w:r>
      <w:r w:rsidR="00EE4FC3">
        <w:t xml:space="preserve"> </w:t>
      </w:r>
      <w:r w:rsidR="006D18A4" w:rsidRPr="00382917">
        <w:t>source</w:t>
      </w:r>
      <w:r w:rsidR="00EE4FC3">
        <w:t xml:space="preserve"> </w:t>
      </w:r>
      <w:r w:rsidR="006D18A4" w:rsidRPr="00382917">
        <w:t>of</w:t>
      </w:r>
      <w:r w:rsidR="00EE4FC3">
        <w:t xml:space="preserve"> </w:t>
      </w:r>
      <w:r w:rsidR="006D18A4" w:rsidRPr="00382917">
        <w:t>purity</w:t>
      </w:r>
      <w:r w:rsidR="00EE4FC3">
        <w:t xml:space="preserve"> </w:t>
      </w:r>
      <w:r w:rsidR="006D18A4" w:rsidRPr="00382917">
        <w:t>and</w:t>
      </w:r>
      <w:r w:rsidR="00EE4FC3">
        <w:t xml:space="preserve"> </w:t>
      </w:r>
      <w:r w:rsidR="006D18A4" w:rsidRPr="00382917">
        <w:t>grace.</w:t>
      </w:r>
      <w:r w:rsidRPr="00382917">
        <w:t>’</w:t>
      </w:r>
    </w:p>
    <w:p w:rsidR="006D18A4" w:rsidRPr="00382917" w:rsidRDefault="006D18A4" w:rsidP="009F0F0D">
      <w:pPr>
        <w:pStyle w:val="Text"/>
      </w:pPr>
      <w:r w:rsidRPr="00382917">
        <w:t>In</w:t>
      </w:r>
      <w:r w:rsidR="00EE4FC3">
        <w:t xml:space="preserve"> </w:t>
      </w:r>
      <w:r w:rsidRPr="00382917">
        <w:t>His</w:t>
      </w:r>
      <w:r w:rsidR="00EE4FC3">
        <w:t xml:space="preserve"> </w:t>
      </w:r>
      <w:r w:rsidRPr="00382917">
        <w:t>parting</w:t>
      </w:r>
      <w:r w:rsidR="00EE4FC3">
        <w:t xml:space="preserve"> </w:t>
      </w:r>
      <w:r w:rsidRPr="00382917">
        <w:t>message</w:t>
      </w:r>
      <w:r w:rsidR="00EE4FC3">
        <w:t xml:space="preserve"> </w:t>
      </w:r>
      <w:r w:rsidRPr="00382917">
        <w:t>to</w:t>
      </w:r>
      <w:r w:rsidR="00EE4FC3">
        <w:t xml:space="preserve"> </w:t>
      </w:r>
      <w:r w:rsidRPr="00382917">
        <w:t>His</w:t>
      </w:r>
      <w:r w:rsidR="00EE4FC3">
        <w:t xml:space="preserve"> </w:t>
      </w:r>
      <w:r w:rsidRPr="00382917">
        <w:t>disciples</w:t>
      </w:r>
      <w:r w:rsidR="00EE4FC3">
        <w:t xml:space="preserve"> </w:t>
      </w:r>
      <w:r w:rsidRPr="00382917">
        <w:t>the</w:t>
      </w:r>
      <w:r w:rsidR="00EE4FC3">
        <w:t xml:space="preserve"> </w:t>
      </w:r>
      <w:r w:rsidRPr="00382917">
        <w:t>Báb</w:t>
      </w:r>
      <w:r w:rsidR="00EE4FC3">
        <w:t xml:space="preserve"> </w:t>
      </w:r>
      <w:r w:rsidRPr="00382917">
        <w:t>once</w:t>
      </w:r>
      <w:r w:rsidR="00EE4FC3">
        <w:t xml:space="preserve"> </w:t>
      </w:r>
      <w:r w:rsidRPr="00382917">
        <w:t>again</w:t>
      </w:r>
      <w:r w:rsidR="00EE4FC3">
        <w:t xml:space="preserve"> </w:t>
      </w:r>
      <w:r w:rsidRPr="00382917">
        <w:t>called</w:t>
      </w:r>
      <w:r w:rsidR="00EE4FC3">
        <w:t xml:space="preserve"> </w:t>
      </w:r>
      <w:r w:rsidRPr="00382917">
        <w:t>their</w:t>
      </w:r>
      <w:r w:rsidR="00EE4FC3">
        <w:t xml:space="preserve"> </w:t>
      </w:r>
      <w:r w:rsidRPr="00382917">
        <w:t>attention</w:t>
      </w:r>
      <w:r w:rsidR="00EE4FC3">
        <w:t xml:space="preserve"> </w:t>
      </w:r>
      <w:r w:rsidRPr="00382917">
        <w:t>to</w:t>
      </w:r>
      <w:r w:rsidR="00EE4FC3">
        <w:t xml:space="preserve"> </w:t>
      </w:r>
      <w:r w:rsidRPr="00382917">
        <w:t>the</w:t>
      </w:r>
      <w:r w:rsidR="00EE4FC3">
        <w:t xml:space="preserve"> </w:t>
      </w:r>
      <w:r w:rsidRPr="00382917">
        <w:t>One</w:t>
      </w:r>
      <w:r w:rsidR="00EE4FC3">
        <w:t xml:space="preserve"> </w:t>
      </w:r>
      <w:r w:rsidRPr="00382917">
        <w:t>Who</w:t>
      </w:r>
      <w:r w:rsidR="00EE4FC3">
        <w:t xml:space="preserve"> </w:t>
      </w:r>
      <w:r w:rsidRPr="00382917">
        <w:t>was</w:t>
      </w:r>
      <w:r w:rsidR="00EE4FC3">
        <w:t xml:space="preserve"> </w:t>
      </w:r>
      <w:r w:rsidRPr="00382917">
        <w:t>soon</w:t>
      </w:r>
      <w:r w:rsidR="00EE4FC3">
        <w:t xml:space="preserve"> </w:t>
      </w:r>
      <w:r w:rsidRPr="00382917">
        <w:t>to</w:t>
      </w:r>
      <w:r w:rsidR="00EE4FC3">
        <w:t xml:space="preserve"> </w:t>
      </w:r>
      <w:r w:rsidRPr="00382917">
        <w:t>come</w:t>
      </w:r>
      <w:r w:rsidR="00EE4FC3">
        <w:t xml:space="preserve"> </w:t>
      </w:r>
      <w:r w:rsidRPr="00382917">
        <w:t>after</w:t>
      </w:r>
      <w:r w:rsidR="00EE4FC3">
        <w:t xml:space="preserve"> </w:t>
      </w:r>
      <w:r w:rsidRPr="00382917">
        <w:t>Him,</w:t>
      </w:r>
      <w:r w:rsidR="00EE4FC3">
        <w:t xml:space="preserve"> </w:t>
      </w:r>
      <w:r w:rsidRPr="00382917">
        <w:t>and</w:t>
      </w:r>
      <w:r w:rsidR="00EE4FC3">
        <w:t xml:space="preserve"> </w:t>
      </w:r>
      <w:r w:rsidRPr="00382917">
        <w:t>for</w:t>
      </w:r>
      <w:r w:rsidR="00EE4FC3">
        <w:t xml:space="preserve"> </w:t>
      </w:r>
      <w:r w:rsidRPr="00382917">
        <w:t>Whom</w:t>
      </w:r>
      <w:r w:rsidR="00EE4FC3">
        <w:t xml:space="preserve"> </w:t>
      </w:r>
      <w:r w:rsidRPr="00382917">
        <w:t>He</w:t>
      </w:r>
      <w:r w:rsidR="00EE4FC3">
        <w:t xml:space="preserve"> </w:t>
      </w:r>
      <w:r w:rsidRPr="00382917">
        <w:t>was</w:t>
      </w:r>
      <w:r w:rsidR="00EE4FC3">
        <w:t xml:space="preserve"> </w:t>
      </w:r>
      <w:r w:rsidRPr="00382917">
        <w:t>but</w:t>
      </w:r>
      <w:r w:rsidR="00EE4FC3">
        <w:t xml:space="preserve"> </w:t>
      </w:r>
      <w:r w:rsidRPr="00382917">
        <w:t>the</w:t>
      </w:r>
      <w:r w:rsidR="00EE4FC3">
        <w:t xml:space="preserve"> </w:t>
      </w:r>
      <w:r w:rsidRPr="00382917">
        <w:t>Herald.</w:t>
      </w:r>
      <w:r w:rsidR="00EE4FC3">
        <w:t xml:space="preserve">  </w:t>
      </w:r>
      <w:r w:rsidRPr="00382917">
        <w:t>He</w:t>
      </w:r>
      <w:r w:rsidR="00EE4FC3">
        <w:t xml:space="preserve"> </w:t>
      </w:r>
      <w:r w:rsidRPr="00382917">
        <w:t>sent</w:t>
      </w:r>
      <w:r w:rsidR="00EE4FC3">
        <w:t xml:space="preserve"> </w:t>
      </w:r>
      <w:r w:rsidRPr="00382917">
        <w:t>each</w:t>
      </w:r>
      <w:r w:rsidR="00EE4FC3">
        <w:t xml:space="preserve"> </w:t>
      </w:r>
      <w:r w:rsidRPr="00382917">
        <w:t>one</w:t>
      </w:r>
      <w:r w:rsidR="00EE4FC3">
        <w:t xml:space="preserve"> </w:t>
      </w:r>
      <w:r w:rsidRPr="00382917">
        <w:t>of</w:t>
      </w:r>
      <w:r w:rsidR="00EE4FC3">
        <w:t xml:space="preserve"> </w:t>
      </w:r>
      <w:r w:rsidRPr="00382917">
        <w:t>them</w:t>
      </w:r>
      <w:r w:rsidR="00EE4FC3">
        <w:t xml:space="preserve"> </w:t>
      </w:r>
      <w:r w:rsidRPr="00382917">
        <w:t>back</w:t>
      </w:r>
      <w:r w:rsidR="00EE4FC3">
        <w:t xml:space="preserve"> </w:t>
      </w:r>
      <w:r w:rsidRPr="00382917">
        <w:t>to</w:t>
      </w:r>
      <w:r w:rsidR="00EE4FC3">
        <w:t xml:space="preserve"> </w:t>
      </w:r>
      <w:r w:rsidRPr="00382917">
        <w:t>his</w:t>
      </w:r>
      <w:r w:rsidR="00EE4FC3">
        <w:t xml:space="preserve"> </w:t>
      </w:r>
      <w:r w:rsidRPr="00382917">
        <w:t>own</w:t>
      </w:r>
      <w:r w:rsidR="00EE4FC3">
        <w:t xml:space="preserve"> </w:t>
      </w:r>
      <w:r w:rsidRPr="00382917">
        <w:t>province</w:t>
      </w:r>
      <w:r w:rsidR="00EE4FC3">
        <w:t xml:space="preserve"> </w:t>
      </w:r>
      <w:r w:rsidRPr="00382917">
        <w:t>to</w:t>
      </w:r>
      <w:r w:rsidR="00EE4FC3">
        <w:t xml:space="preserve"> </w:t>
      </w:r>
      <w:r w:rsidRPr="00382917">
        <w:t>teach.</w:t>
      </w:r>
    </w:p>
    <w:p w:rsidR="006D18A4" w:rsidRPr="00382917" w:rsidRDefault="009C713D" w:rsidP="009F0F0D">
      <w:pPr>
        <w:pStyle w:val="Text"/>
      </w:pPr>
      <w:r w:rsidRPr="00382917">
        <w:t>“</w:t>
      </w:r>
      <w:r w:rsidR="006D18A4" w:rsidRPr="00382917">
        <w:t>I</w:t>
      </w:r>
      <w:r w:rsidR="00EE4FC3">
        <w:t xml:space="preserve"> </w:t>
      </w:r>
      <w:r w:rsidR="006D18A4" w:rsidRPr="00382917">
        <w:t>am</w:t>
      </w:r>
      <w:r w:rsidR="00EE4FC3">
        <w:t xml:space="preserve"> </w:t>
      </w:r>
      <w:r w:rsidR="006D18A4" w:rsidRPr="00382917">
        <w:t>preparing</w:t>
      </w:r>
      <w:r w:rsidR="00EE4FC3">
        <w:t xml:space="preserve"> </w:t>
      </w:r>
      <w:r w:rsidR="006D18A4" w:rsidRPr="00382917">
        <w:t>you</w:t>
      </w:r>
      <w:r w:rsidR="00EE4FC3">
        <w:t xml:space="preserve"> </w:t>
      </w:r>
      <w:r w:rsidR="006D18A4" w:rsidRPr="00382917">
        <w:t>for</w:t>
      </w:r>
      <w:r w:rsidR="00EE4FC3">
        <w:t xml:space="preserve"> </w:t>
      </w:r>
      <w:r w:rsidR="006D18A4" w:rsidRPr="00382917">
        <w:t>the</w:t>
      </w:r>
      <w:r w:rsidR="00EE4FC3">
        <w:t xml:space="preserve"> </w:t>
      </w:r>
      <w:r w:rsidR="006D18A4" w:rsidRPr="00382917">
        <w:t>advent</w:t>
      </w:r>
      <w:r w:rsidR="00EE4FC3">
        <w:t xml:space="preserve"> </w:t>
      </w:r>
      <w:r w:rsidR="006D18A4" w:rsidRPr="00382917">
        <w:t>of</w:t>
      </w:r>
      <w:r w:rsidR="00EE4FC3">
        <w:t xml:space="preserve"> </w:t>
      </w:r>
      <w:r w:rsidR="006D18A4" w:rsidRPr="00382917">
        <w:t>a</w:t>
      </w:r>
      <w:r w:rsidR="00EE4FC3">
        <w:t xml:space="preserve"> </w:t>
      </w:r>
      <w:r w:rsidR="006D18A4" w:rsidRPr="00382917">
        <w:t>mighty</w:t>
      </w:r>
      <w:r w:rsidR="00EE4FC3">
        <w:t xml:space="preserve"> </w:t>
      </w:r>
      <w:r w:rsidR="006D18A4" w:rsidRPr="00382917">
        <w:t>Day,</w:t>
      </w:r>
      <w:r w:rsidRPr="00382917">
        <w:t>”</w:t>
      </w:r>
      <w:r w:rsidR="00EE4FC3">
        <w:t xml:space="preserve"> </w:t>
      </w:r>
      <w:r w:rsidR="006D18A4" w:rsidRPr="00382917">
        <w:t>He</w:t>
      </w:r>
      <w:r w:rsidR="00EE4FC3">
        <w:t xml:space="preserve"> </w:t>
      </w:r>
      <w:r w:rsidR="006D18A4" w:rsidRPr="00382917">
        <w:t>told</w:t>
      </w:r>
      <w:r w:rsidR="00EE4FC3">
        <w:t xml:space="preserve"> </w:t>
      </w:r>
      <w:r w:rsidR="006D18A4" w:rsidRPr="00382917">
        <w:t>them.</w:t>
      </w:r>
      <w:r w:rsidR="00EE4FC3">
        <w:t xml:space="preserve">  </w:t>
      </w:r>
      <w:r w:rsidRPr="00382917">
        <w:t>“</w:t>
      </w:r>
      <w:r w:rsidR="006D18A4" w:rsidRPr="00382917">
        <w:t>Exert</w:t>
      </w:r>
      <w:r w:rsidR="00EE4FC3">
        <w:t xml:space="preserve"> </w:t>
      </w:r>
      <w:r w:rsidR="006D18A4" w:rsidRPr="00382917">
        <w:t>your</w:t>
      </w:r>
      <w:r w:rsidR="00EE4FC3">
        <w:t xml:space="preserve"> </w:t>
      </w:r>
      <w:r w:rsidR="006D18A4" w:rsidRPr="00382917">
        <w:t>utmost</w:t>
      </w:r>
      <w:r w:rsidR="00EE4FC3">
        <w:t xml:space="preserve"> </w:t>
      </w:r>
      <w:proofErr w:type="spellStart"/>
      <w:r w:rsidR="006D18A4" w:rsidRPr="00382917">
        <w:t>endeavor</w:t>
      </w:r>
      <w:proofErr w:type="spellEnd"/>
      <w:r w:rsidR="00EE4FC3">
        <w:t xml:space="preserve"> </w:t>
      </w:r>
      <w:r w:rsidR="006D18A4" w:rsidRPr="00382917">
        <w:t>that,</w:t>
      </w:r>
      <w:r w:rsidR="00EE4FC3">
        <w:t xml:space="preserve"> </w:t>
      </w:r>
      <w:r w:rsidR="006D18A4" w:rsidRPr="00382917">
        <w:t>in</w:t>
      </w:r>
      <w:r w:rsidR="00EE4FC3">
        <w:t xml:space="preserve"> </w:t>
      </w:r>
      <w:r w:rsidR="006D18A4" w:rsidRPr="00382917">
        <w:t>the</w:t>
      </w:r>
      <w:r w:rsidR="00EE4FC3">
        <w:t xml:space="preserve"> </w:t>
      </w:r>
      <w:r w:rsidR="006D18A4" w:rsidRPr="00382917">
        <w:t>world</w:t>
      </w:r>
      <w:r w:rsidR="00EE4FC3">
        <w:t xml:space="preserve"> </w:t>
      </w:r>
      <w:r w:rsidR="006D18A4" w:rsidRPr="00382917">
        <w:t>to</w:t>
      </w:r>
      <w:r w:rsidR="00EE4FC3">
        <w:t xml:space="preserve"> </w:t>
      </w:r>
      <w:r w:rsidR="006D18A4" w:rsidRPr="00382917">
        <w:t>come,</w:t>
      </w:r>
      <w:r w:rsidR="00EE4FC3">
        <w:t xml:space="preserve"> </w:t>
      </w:r>
      <w:r w:rsidR="006D18A4" w:rsidRPr="00382917">
        <w:t>I</w:t>
      </w:r>
      <w:r w:rsidR="00EE4FC3">
        <w:t xml:space="preserve"> </w:t>
      </w:r>
      <w:r w:rsidR="006D18A4" w:rsidRPr="00382917">
        <w:t>Who</w:t>
      </w:r>
      <w:r w:rsidR="00EE4FC3">
        <w:t xml:space="preserve"> </w:t>
      </w:r>
      <w:r w:rsidR="006D18A4" w:rsidRPr="00382917">
        <w:t>am</w:t>
      </w:r>
      <w:r w:rsidR="00EE4FC3">
        <w:t xml:space="preserve"> </w:t>
      </w:r>
      <w:r w:rsidR="006D18A4" w:rsidRPr="00382917">
        <w:t>now</w:t>
      </w:r>
      <w:r w:rsidR="00EE4FC3">
        <w:t xml:space="preserve"> </w:t>
      </w:r>
      <w:r w:rsidR="006D18A4" w:rsidRPr="00382917">
        <w:t>instructing</w:t>
      </w:r>
      <w:r w:rsidR="00EE4FC3">
        <w:t xml:space="preserve"> </w:t>
      </w:r>
      <w:r w:rsidR="006D18A4" w:rsidRPr="00382917">
        <w:t>you,</w:t>
      </w:r>
      <w:r w:rsidR="00EE4FC3">
        <w:t xml:space="preserve"> </w:t>
      </w:r>
      <w:r w:rsidR="006D18A4" w:rsidRPr="00382917">
        <w:t>may,</w:t>
      </w:r>
      <w:r w:rsidR="00EE4FC3">
        <w:t xml:space="preserve"> </w:t>
      </w:r>
      <w:r w:rsidR="006D18A4" w:rsidRPr="00382917">
        <w:t>before</w:t>
      </w:r>
      <w:r w:rsidR="00EE4FC3">
        <w:t xml:space="preserve"> </w:t>
      </w:r>
      <w:r w:rsidR="006D18A4" w:rsidRPr="00382917">
        <w:t>the</w:t>
      </w:r>
      <w:r w:rsidR="00EE4FC3">
        <w:t xml:space="preserve"> </w:t>
      </w:r>
      <w:r w:rsidR="006D18A4" w:rsidRPr="00382917">
        <w:t>mercy-seat</w:t>
      </w:r>
      <w:r w:rsidR="00EE4FC3">
        <w:t xml:space="preserve"> </w:t>
      </w:r>
      <w:r w:rsidR="006D18A4" w:rsidRPr="00382917">
        <w:t>of</w:t>
      </w:r>
      <w:r w:rsidR="00EE4FC3">
        <w:t xml:space="preserve"> </w:t>
      </w:r>
      <w:r w:rsidR="006D18A4" w:rsidRPr="00382917">
        <w:t>God,</w:t>
      </w:r>
      <w:r w:rsidR="00EE4FC3">
        <w:t xml:space="preserve"> </w:t>
      </w:r>
      <w:r w:rsidR="006D18A4" w:rsidRPr="00382917">
        <w:t>rejoice</w:t>
      </w:r>
      <w:r w:rsidR="00EE4FC3">
        <w:t xml:space="preserve"> </w:t>
      </w:r>
      <w:r w:rsidR="006D18A4" w:rsidRPr="00382917">
        <w:t>in</w:t>
      </w:r>
      <w:r w:rsidR="00EE4FC3">
        <w:t xml:space="preserve"> </w:t>
      </w:r>
      <w:r w:rsidR="006D18A4" w:rsidRPr="00382917">
        <w:t>your</w:t>
      </w:r>
      <w:r w:rsidR="00EE4FC3">
        <w:t xml:space="preserve"> </w:t>
      </w:r>
      <w:r w:rsidR="006D18A4" w:rsidRPr="00382917">
        <w:t>deeds</w:t>
      </w:r>
      <w:r w:rsidR="00EE4FC3">
        <w:t xml:space="preserve"> </w:t>
      </w:r>
      <w:r w:rsidR="006D18A4" w:rsidRPr="00382917">
        <w:t>and</w:t>
      </w:r>
      <w:r w:rsidR="00EE4FC3">
        <w:t xml:space="preserve"> </w:t>
      </w:r>
      <w:r w:rsidR="006D18A4" w:rsidRPr="00382917">
        <w:t>glory</w:t>
      </w:r>
      <w:r w:rsidR="00EE4FC3">
        <w:t xml:space="preserve"> </w:t>
      </w:r>
      <w:r w:rsidR="006D18A4" w:rsidRPr="00382917">
        <w:t>in</w:t>
      </w:r>
      <w:r w:rsidR="00EE4FC3">
        <w:t xml:space="preserve"> </w:t>
      </w:r>
      <w:r w:rsidR="006D18A4" w:rsidRPr="00382917">
        <w:t>your</w:t>
      </w:r>
      <w:r w:rsidR="00EE4FC3">
        <w:t xml:space="preserve"> </w:t>
      </w:r>
      <w:r w:rsidR="006D18A4" w:rsidRPr="00382917">
        <w:t>achievements.</w:t>
      </w:r>
      <w:r w:rsidR="00EE4FC3">
        <w:t xml:space="preserve">  </w:t>
      </w:r>
      <w:r w:rsidR="006D18A4" w:rsidRPr="00382917">
        <w:t>Scatter</w:t>
      </w:r>
      <w:r w:rsidR="00EE4FC3">
        <w:t xml:space="preserve"> </w:t>
      </w:r>
      <w:r w:rsidR="006D18A4" w:rsidRPr="00382917">
        <w:t>throughout</w:t>
      </w:r>
      <w:r w:rsidR="00EE4FC3">
        <w:t xml:space="preserve"> </w:t>
      </w:r>
      <w:r w:rsidR="006D18A4" w:rsidRPr="00382917">
        <w:t>the</w:t>
      </w:r>
      <w:r w:rsidR="00EE4FC3">
        <w:t xml:space="preserve"> </w:t>
      </w:r>
      <w:r w:rsidR="006D18A4" w:rsidRPr="00382917">
        <w:t>length</w:t>
      </w:r>
      <w:r w:rsidR="00EE4FC3">
        <w:t xml:space="preserve"> </w:t>
      </w:r>
      <w:r w:rsidR="006D18A4" w:rsidRPr="00382917">
        <w:t>and</w:t>
      </w:r>
      <w:r w:rsidR="00EE4FC3">
        <w:t xml:space="preserve"> </w:t>
      </w:r>
      <w:r w:rsidR="006D18A4" w:rsidRPr="00382917">
        <w:t>breadth</w:t>
      </w:r>
      <w:r w:rsidR="00EE4FC3">
        <w:t xml:space="preserve"> </w:t>
      </w:r>
      <w:r w:rsidR="006D18A4" w:rsidRPr="00382917">
        <w:t>of</w:t>
      </w:r>
      <w:r w:rsidR="00EE4FC3">
        <w:t xml:space="preserve"> </w:t>
      </w:r>
      <w:r w:rsidR="006D18A4" w:rsidRPr="00382917">
        <w:t>this</w:t>
      </w:r>
      <w:r w:rsidR="00EE4FC3">
        <w:t xml:space="preserve"> </w:t>
      </w:r>
      <w:r w:rsidR="006D18A4" w:rsidRPr="00382917">
        <w:t>land,</w:t>
      </w:r>
      <w:r w:rsidR="00EE4FC3">
        <w:t xml:space="preserve"> </w:t>
      </w:r>
      <w:r w:rsidR="006D18A4" w:rsidRPr="00382917">
        <w:t>and</w:t>
      </w:r>
      <w:r w:rsidR="00EE4FC3">
        <w:t xml:space="preserve"> </w:t>
      </w:r>
      <w:r w:rsidR="006D18A4" w:rsidRPr="00382917">
        <w:t>with</w:t>
      </w:r>
      <w:r w:rsidR="00EE4FC3">
        <w:t xml:space="preserve"> </w:t>
      </w:r>
      <w:r w:rsidR="006D18A4" w:rsidRPr="00382917">
        <w:t>steadfast</w:t>
      </w:r>
      <w:r w:rsidR="00EE4FC3">
        <w:t xml:space="preserve"> </w:t>
      </w:r>
      <w:r w:rsidR="006D18A4" w:rsidRPr="00382917">
        <w:t>feet</w:t>
      </w:r>
      <w:r w:rsidR="00EE4FC3">
        <w:t xml:space="preserve"> </w:t>
      </w:r>
      <w:r w:rsidR="006D18A4" w:rsidRPr="00382917">
        <w:t>and</w:t>
      </w:r>
      <w:r w:rsidR="00EE4FC3">
        <w:t xml:space="preserve"> </w:t>
      </w:r>
      <w:r w:rsidR="006D18A4" w:rsidRPr="00382917">
        <w:t>sanctified</w:t>
      </w:r>
      <w:r w:rsidR="00EE4FC3">
        <w:t xml:space="preserve"> </w:t>
      </w:r>
      <w:r w:rsidR="006D18A4" w:rsidRPr="00382917">
        <w:t>hearts,</w:t>
      </w:r>
      <w:r w:rsidR="00EE4FC3">
        <w:t xml:space="preserve"> </w:t>
      </w:r>
      <w:r w:rsidR="006D18A4" w:rsidRPr="00382917">
        <w:t>prepare</w:t>
      </w:r>
      <w:r w:rsidR="00EE4FC3">
        <w:t xml:space="preserve"> </w:t>
      </w:r>
      <w:r w:rsidR="006D18A4" w:rsidRPr="00382917">
        <w:t>the</w:t>
      </w:r>
      <w:r w:rsidR="00EE4FC3">
        <w:t xml:space="preserve"> </w:t>
      </w:r>
      <w:r w:rsidR="006D18A4" w:rsidRPr="00382917">
        <w:t>way</w:t>
      </w:r>
      <w:r w:rsidR="00EE4FC3">
        <w:t xml:space="preserve"> </w:t>
      </w:r>
      <w:r w:rsidR="006D18A4" w:rsidRPr="00382917">
        <w:t>for</w:t>
      </w:r>
      <w:r w:rsidR="00EE4FC3">
        <w:t xml:space="preserve"> </w:t>
      </w:r>
      <w:r w:rsidR="006D18A4" w:rsidRPr="00382917">
        <w:t>His</w:t>
      </w:r>
      <w:r w:rsidR="00EE4FC3">
        <w:t xml:space="preserve"> </w:t>
      </w:r>
      <w:r w:rsidR="006D18A4" w:rsidRPr="00382917">
        <w:t>coming.</w:t>
      </w:r>
    </w:p>
    <w:p w:rsidR="006D18A4" w:rsidRPr="00382917" w:rsidRDefault="009C713D" w:rsidP="00495647">
      <w:pPr>
        <w:pStyle w:val="Text"/>
      </w:pPr>
      <w:r w:rsidRPr="00382917">
        <w:t>“</w:t>
      </w:r>
      <w:r w:rsidR="006D18A4" w:rsidRPr="00382917">
        <w:t>Heed</w:t>
      </w:r>
      <w:r w:rsidR="00EE4FC3">
        <w:t xml:space="preserve"> </w:t>
      </w:r>
      <w:r w:rsidR="006D18A4" w:rsidRPr="00382917">
        <w:t>not</w:t>
      </w:r>
      <w:r w:rsidR="00EE4FC3">
        <w:t xml:space="preserve"> </w:t>
      </w:r>
      <w:r w:rsidR="006D18A4" w:rsidRPr="00382917">
        <w:t>your</w:t>
      </w:r>
      <w:r w:rsidR="00EE4FC3">
        <w:t xml:space="preserve"> </w:t>
      </w:r>
      <w:r w:rsidR="006D18A4" w:rsidRPr="00382917">
        <w:t>weaknesses</w:t>
      </w:r>
      <w:r w:rsidR="00EE4FC3">
        <w:t xml:space="preserve"> </w:t>
      </w:r>
      <w:r w:rsidR="006D18A4" w:rsidRPr="00382917">
        <w:t>and</w:t>
      </w:r>
      <w:r w:rsidR="00EE4FC3">
        <w:t xml:space="preserve"> </w:t>
      </w:r>
      <w:r w:rsidR="006D18A4" w:rsidRPr="00382917">
        <w:t>frailty:</w:t>
      </w:r>
      <w:r w:rsidR="00EE4FC3">
        <w:t xml:space="preserve">  </w:t>
      </w:r>
      <w:r w:rsidR="006D18A4" w:rsidRPr="00382917">
        <w:t>fix</w:t>
      </w:r>
      <w:r w:rsidR="00EE4FC3">
        <w:t xml:space="preserve"> </w:t>
      </w:r>
      <w:r w:rsidR="006D18A4" w:rsidRPr="00382917">
        <w:t>your</w:t>
      </w:r>
      <w:r w:rsidR="00EE4FC3">
        <w:t xml:space="preserve"> </w:t>
      </w:r>
      <w:r w:rsidR="006D18A4" w:rsidRPr="00382917">
        <w:t>gaze</w:t>
      </w:r>
      <w:r w:rsidR="00EE4FC3">
        <w:t xml:space="preserve"> </w:t>
      </w:r>
      <w:r w:rsidR="006D18A4" w:rsidRPr="00382917">
        <w:t>upon</w:t>
      </w:r>
      <w:r w:rsidR="00EE4FC3">
        <w:t xml:space="preserve"> </w:t>
      </w:r>
      <w:r w:rsidR="006D18A4" w:rsidRPr="00382917">
        <w:t>the</w:t>
      </w:r>
      <w:r w:rsidR="00EE4FC3">
        <w:t xml:space="preserve"> </w:t>
      </w:r>
      <w:r w:rsidR="006D18A4" w:rsidRPr="00382917">
        <w:t>invincible</w:t>
      </w:r>
      <w:r w:rsidR="00EE4FC3">
        <w:t xml:space="preserve"> </w:t>
      </w:r>
      <w:r w:rsidR="006D18A4" w:rsidRPr="00382917">
        <w:t>power</w:t>
      </w:r>
      <w:r w:rsidR="00EE4FC3">
        <w:t xml:space="preserve"> </w:t>
      </w:r>
      <w:r w:rsidR="006D18A4" w:rsidRPr="00382917">
        <w:t>of</w:t>
      </w:r>
      <w:r w:rsidR="00EE4FC3">
        <w:t xml:space="preserve"> </w:t>
      </w:r>
      <w:r w:rsidR="006D18A4" w:rsidRPr="00382917">
        <w:t>the</w:t>
      </w:r>
      <w:r w:rsidR="00EE4FC3">
        <w:t xml:space="preserve"> </w:t>
      </w:r>
      <w:r w:rsidR="006D18A4" w:rsidRPr="00382917">
        <w:t>Lord,</w:t>
      </w:r>
      <w:r w:rsidR="00EE4FC3">
        <w:t xml:space="preserve"> </w:t>
      </w:r>
      <w:r w:rsidR="006D18A4" w:rsidRPr="00382917">
        <w:t>your</w:t>
      </w:r>
      <w:r w:rsidR="00EE4FC3">
        <w:t xml:space="preserve"> </w:t>
      </w:r>
      <w:r w:rsidR="006D18A4" w:rsidRPr="00382917">
        <w:t>God,</w:t>
      </w:r>
      <w:r w:rsidR="00EE4FC3">
        <w:t xml:space="preserve"> </w:t>
      </w:r>
      <w:r w:rsidR="006D18A4" w:rsidRPr="00382917">
        <w:t>the</w:t>
      </w:r>
      <w:r w:rsidR="00EE4FC3">
        <w:t xml:space="preserve"> </w:t>
      </w:r>
      <w:r w:rsidR="006D18A4" w:rsidRPr="00382917">
        <w:t>Almighty</w:t>
      </w:r>
      <w:r w:rsidR="00EE4FC3">
        <w:t xml:space="preserve"> </w:t>
      </w:r>
      <w:r w:rsidR="00F04416" w:rsidRPr="00382917">
        <w:t>…</w:t>
      </w:r>
      <w:r w:rsidR="006D18A4" w:rsidRPr="00382917">
        <w:t>.</w:t>
      </w:r>
    </w:p>
    <w:p w:rsidR="006D18A4" w:rsidRPr="00382917" w:rsidRDefault="009C713D" w:rsidP="009F0F0D">
      <w:pPr>
        <w:pStyle w:val="Text"/>
      </w:pPr>
      <w:r w:rsidRPr="00382917">
        <w:t>“</w:t>
      </w:r>
      <w:r w:rsidR="006D18A4" w:rsidRPr="00382917">
        <w:t>Arise</w:t>
      </w:r>
      <w:r w:rsidR="00EE4FC3">
        <w:t xml:space="preserve"> </w:t>
      </w:r>
      <w:r w:rsidR="006D18A4" w:rsidRPr="00382917">
        <w:t>in</w:t>
      </w:r>
      <w:r w:rsidR="00EE4FC3">
        <w:t xml:space="preserve"> </w:t>
      </w:r>
      <w:r w:rsidR="006D18A4" w:rsidRPr="00382917">
        <w:t>His</w:t>
      </w:r>
      <w:r w:rsidR="00EE4FC3">
        <w:t xml:space="preserve"> </w:t>
      </w:r>
      <w:r w:rsidR="006D18A4" w:rsidRPr="00382917">
        <w:t>name,</w:t>
      </w:r>
      <w:r w:rsidR="00EE4FC3">
        <w:t xml:space="preserve"> </w:t>
      </w:r>
      <w:r w:rsidR="006D18A4" w:rsidRPr="00382917">
        <w:t>put</w:t>
      </w:r>
      <w:r w:rsidR="00EE4FC3">
        <w:t xml:space="preserve"> </w:t>
      </w:r>
      <w:r w:rsidR="006D18A4" w:rsidRPr="00382917">
        <w:t>your</w:t>
      </w:r>
      <w:r w:rsidR="00EE4FC3">
        <w:t xml:space="preserve"> </w:t>
      </w:r>
      <w:r w:rsidR="006D18A4" w:rsidRPr="00382917">
        <w:t>trust</w:t>
      </w:r>
      <w:r w:rsidR="00EE4FC3">
        <w:t xml:space="preserve"> </w:t>
      </w:r>
      <w:r w:rsidR="006D18A4" w:rsidRPr="00382917">
        <w:t>wholly</w:t>
      </w:r>
      <w:r w:rsidR="00EE4FC3">
        <w:t xml:space="preserve"> </w:t>
      </w:r>
      <w:r w:rsidR="006D18A4" w:rsidRPr="00382917">
        <w:t>in</w:t>
      </w:r>
      <w:r w:rsidR="00EE4FC3">
        <w:t xml:space="preserve"> </w:t>
      </w:r>
      <w:r w:rsidR="006D18A4" w:rsidRPr="00382917">
        <w:t>Him,</w:t>
      </w:r>
      <w:r w:rsidR="00EE4FC3">
        <w:t xml:space="preserve"> </w:t>
      </w:r>
      <w:r w:rsidR="006D18A4" w:rsidRPr="00382917">
        <w:t>and</w:t>
      </w:r>
      <w:r w:rsidR="00EE4FC3">
        <w:t xml:space="preserve"> </w:t>
      </w:r>
      <w:r w:rsidR="006D18A4" w:rsidRPr="00382917">
        <w:t>be</w:t>
      </w:r>
      <w:r w:rsidR="00EE4FC3">
        <w:t xml:space="preserve"> </w:t>
      </w:r>
      <w:r w:rsidR="006D18A4" w:rsidRPr="00382917">
        <w:t>assured</w:t>
      </w:r>
      <w:r w:rsidR="00EE4FC3">
        <w:t xml:space="preserve"> </w:t>
      </w:r>
      <w:r w:rsidR="006D18A4" w:rsidRPr="00382917">
        <w:t>of</w:t>
      </w:r>
      <w:r w:rsidR="00EE4FC3">
        <w:t xml:space="preserve"> </w:t>
      </w:r>
      <w:r w:rsidR="006D18A4" w:rsidRPr="00382917">
        <w:t>ultimate</w:t>
      </w:r>
      <w:r w:rsidR="00EE4FC3">
        <w:t xml:space="preserve"> </w:t>
      </w:r>
      <w:r w:rsidR="006D18A4" w:rsidRPr="00382917">
        <w:t>victory.</w:t>
      </w:r>
      <w:r w:rsidRPr="00382917">
        <w:t>”</w:t>
      </w:r>
    </w:p>
    <w:p w:rsidR="006D18A4" w:rsidRPr="00382917" w:rsidRDefault="006D18A4" w:rsidP="00495647">
      <w:pPr>
        <w:pStyle w:val="Text"/>
      </w:pPr>
      <w:r w:rsidRPr="00382917">
        <w:t>With</w:t>
      </w:r>
      <w:r w:rsidR="00EE4FC3">
        <w:t xml:space="preserve"> </w:t>
      </w:r>
      <w:r w:rsidRPr="00382917">
        <w:t>such</w:t>
      </w:r>
      <w:r w:rsidR="00EE4FC3">
        <w:t xml:space="preserve"> </w:t>
      </w:r>
      <w:r w:rsidRPr="00382917">
        <w:t>words</w:t>
      </w:r>
      <w:r w:rsidR="00EE4FC3">
        <w:t xml:space="preserve"> </w:t>
      </w:r>
      <w:r w:rsidRPr="00382917">
        <w:t>as</w:t>
      </w:r>
      <w:r w:rsidR="00EE4FC3">
        <w:t xml:space="preserve"> </w:t>
      </w:r>
      <w:r w:rsidRPr="00382917">
        <w:t>these,</w:t>
      </w:r>
      <w:r w:rsidR="00EE4FC3">
        <w:t xml:space="preserve"> </w:t>
      </w:r>
      <w:r w:rsidRPr="00382917">
        <w:t>the</w:t>
      </w:r>
      <w:r w:rsidR="00EE4FC3">
        <w:t xml:space="preserve"> </w:t>
      </w:r>
      <w:r w:rsidRPr="00382917">
        <w:t>Báb</w:t>
      </w:r>
      <w:r w:rsidR="00EE4FC3">
        <w:t xml:space="preserve"> </w:t>
      </w:r>
      <w:r w:rsidRPr="00382917">
        <w:t>quickened</w:t>
      </w:r>
      <w:r w:rsidR="00EE4FC3">
        <w:t xml:space="preserve"> </w:t>
      </w:r>
      <w:r w:rsidRPr="00382917">
        <w:t>the</w:t>
      </w:r>
      <w:r w:rsidR="00EE4FC3">
        <w:t xml:space="preserve"> </w:t>
      </w:r>
      <w:r w:rsidRPr="00382917">
        <w:t>faith</w:t>
      </w:r>
      <w:r w:rsidR="00EE4FC3">
        <w:t xml:space="preserve"> </w:t>
      </w:r>
      <w:r w:rsidRPr="00382917">
        <w:t>of</w:t>
      </w:r>
      <w:r w:rsidR="00EE4FC3">
        <w:t xml:space="preserve"> </w:t>
      </w:r>
      <w:r w:rsidRPr="00382917">
        <w:t>His</w:t>
      </w:r>
      <w:r w:rsidR="00EE4FC3">
        <w:t xml:space="preserve"> </w:t>
      </w:r>
      <w:r w:rsidRPr="00382917">
        <w:t>disciples</w:t>
      </w:r>
      <w:r w:rsidR="00EE4FC3">
        <w:t xml:space="preserve"> </w:t>
      </w:r>
      <w:r w:rsidRPr="00382917">
        <w:t>and</w:t>
      </w:r>
      <w:r w:rsidR="00EE4FC3">
        <w:t xml:space="preserve"> </w:t>
      </w:r>
      <w:r w:rsidRPr="00382917">
        <w:t>launched</w:t>
      </w:r>
      <w:r w:rsidR="00EE4FC3">
        <w:t xml:space="preserve"> </w:t>
      </w:r>
      <w:r w:rsidRPr="00382917">
        <w:t>them</w:t>
      </w:r>
      <w:r w:rsidR="00EE4FC3">
        <w:t xml:space="preserve"> </w:t>
      </w:r>
      <w:r w:rsidRPr="00382917">
        <w:t>upon</w:t>
      </w:r>
      <w:r w:rsidR="00EE4FC3">
        <w:t xml:space="preserve"> </w:t>
      </w:r>
      <w:r w:rsidRPr="00382917">
        <w:t>their</w:t>
      </w:r>
      <w:r w:rsidR="00EE4FC3">
        <w:t xml:space="preserve"> </w:t>
      </w:r>
      <w:r w:rsidRPr="00382917">
        <w:t>mission.</w:t>
      </w:r>
      <w:r w:rsidR="00495647">
        <w:rPr>
          <w:rStyle w:val="FootnoteReference"/>
        </w:rPr>
        <w:footnoteReference w:id="20"/>
      </w:r>
    </w:p>
    <w:p w:rsidR="009F0F0D" w:rsidRPr="00382917" w:rsidRDefault="009F0F0D">
      <w:pPr>
        <w:widowControl/>
        <w:kinsoku/>
        <w:overflowPunct/>
        <w:textAlignment w:val="auto"/>
      </w:pPr>
    </w:p>
    <w:p w:rsidR="00B85680" w:rsidRDefault="00B85680" w:rsidP="006D18A4">
      <w:pPr>
        <w:sectPr w:rsidR="00B85680" w:rsidSect="009073C7">
          <w:footnotePr>
            <w:numRestart w:val="eachPage"/>
          </w:footnotePr>
          <w:type w:val="evenPage"/>
          <w:pgSz w:w="8618" w:h="12984" w:code="188"/>
          <w:pgMar w:top="720" w:right="720" w:bottom="720" w:left="720" w:header="720" w:footer="567" w:gutter="357"/>
          <w:cols w:space="708"/>
          <w:noEndnote/>
          <w:titlePg/>
          <w:docGrid w:linePitch="272"/>
        </w:sectPr>
      </w:pPr>
    </w:p>
    <w:p w:rsidR="009F0F0D" w:rsidRPr="00382917" w:rsidRDefault="00417538" w:rsidP="00417538">
      <w:r w:rsidRPr="00382917">
        <w:rPr>
          <w:sz w:val="12"/>
          <w:szCs w:val="12"/>
        </w:rPr>
        <w:fldChar w:fldCharType="begin"/>
      </w:r>
      <w:r w:rsidR="00EE4FC3">
        <w:rPr>
          <w:sz w:val="12"/>
          <w:szCs w:val="12"/>
        </w:rPr>
        <w:instrText xml:space="preserve"> </w:instrText>
      </w:r>
      <w:proofErr w:type="gramStart"/>
      <w:r w:rsidRPr="00382917">
        <w:rPr>
          <w:sz w:val="12"/>
          <w:szCs w:val="12"/>
        </w:rPr>
        <w:instrText>TC</w:instrText>
      </w:r>
      <w:r w:rsidR="00EE4FC3">
        <w:rPr>
          <w:sz w:val="12"/>
          <w:szCs w:val="12"/>
        </w:rPr>
        <w:instrText xml:space="preserve">  </w:instrText>
      </w:r>
      <w:r w:rsidRPr="00382917">
        <w:rPr>
          <w:sz w:val="12"/>
          <w:szCs w:val="12"/>
        </w:rPr>
        <w:instrText>“</w:instrText>
      </w:r>
      <w:bookmarkStart w:id="6" w:name="_Toc206658602"/>
      <w:proofErr w:type="gramEnd"/>
      <w:r>
        <w:rPr>
          <w:sz w:val="12"/>
          <w:szCs w:val="12"/>
        </w:rPr>
        <w:tab/>
        <w:instrText>4.</w:instrText>
      </w:r>
      <w:r>
        <w:rPr>
          <w:sz w:val="12"/>
          <w:szCs w:val="12"/>
        </w:rPr>
        <w:tab/>
      </w:r>
      <w:r w:rsidRPr="00417538">
        <w:rPr>
          <w:sz w:val="12"/>
          <w:szCs w:val="12"/>
        </w:rPr>
        <w:instrText>The</w:instrText>
      </w:r>
      <w:r w:rsidR="00EE4FC3">
        <w:rPr>
          <w:sz w:val="12"/>
          <w:szCs w:val="12"/>
        </w:rPr>
        <w:instrText xml:space="preserve"> </w:instrText>
      </w:r>
      <w:r w:rsidRPr="00417538">
        <w:rPr>
          <w:sz w:val="12"/>
          <w:szCs w:val="12"/>
        </w:rPr>
        <w:instrText>pilgrimage</w:instrText>
      </w:r>
      <w:r w:rsidR="00EE4FC3">
        <w:rPr>
          <w:sz w:val="12"/>
          <w:szCs w:val="12"/>
        </w:rPr>
        <w:instrText xml:space="preserve"> </w:instrText>
      </w:r>
      <w:r w:rsidRPr="00417538">
        <w:rPr>
          <w:sz w:val="12"/>
          <w:szCs w:val="12"/>
        </w:rPr>
        <w:instrText>and</w:instrText>
      </w:r>
      <w:r w:rsidR="00EE4FC3">
        <w:rPr>
          <w:sz w:val="12"/>
          <w:szCs w:val="12"/>
        </w:rPr>
        <w:instrText xml:space="preserve"> </w:instrText>
      </w:r>
      <w:r w:rsidRPr="00417538">
        <w:rPr>
          <w:sz w:val="12"/>
          <w:szCs w:val="12"/>
        </w:rPr>
        <w:instrText>the</w:instrText>
      </w:r>
      <w:r w:rsidR="00EE4FC3">
        <w:rPr>
          <w:sz w:val="12"/>
          <w:szCs w:val="12"/>
        </w:rPr>
        <w:instrText xml:space="preserve"> </w:instrText>
      </w:r>
      <w:r w:rsidRPr="00417538">
        <w:rPr>
          <w:sz w:val="12"/>
          <w:szCs w:val="12"/>
        </w:rPr>
        <w:instrText>proclamation</w:instrText>
      </w:r>
      <w:proofErr w:type="gramStart"/>
      <w:r w:rsidRPr="00382917">
        <w:rPr>
          <w:color w:val="FFFFFF" w:themeColor="background1"/>
          <w:sz w:val="12"/>
          <w:szCs w:val="12"/>
        </w:rPr>
        <w:instrText>..</w:instrText>
      </w:r>
      <w:proofErr w:type="gramEnd"/>
      <w:r w:rsidRPr="00382917">
        <w:rPr>
          <w:sz w:val="12"/>
          <w:szCs w:val="12"/>
        </w:rPr>
        <w:tab/>
      </w:r>
      <w:r w:rsidRPr="00382917">
        <w:rPr>
          <w:color w:val="FFFFFF" w:themeColor="background1"/>
          <w:sz w:val="12"/>
          <w:szCs w:val="12"/>
        </w:rPr>
        <w:instrText>.</w:instrText>
      </w:r>
      <w:bookmarkEnd w:id="6"/>
      <w:proofErr w:type="gramStart"/>
      <w:r w:rsidRPr="00382917">
        <w:rPr>
          <w:sz w:val="12"/>
          <w:szCs w:val="12"/>
        </w:rPr>
        <w:instrText>”</w:instrText>
      </w:r>
      <w:r w:rsidR="00EE4FC3">
        <w:rPr>
          <w:sz w:val="12"/>
          <w:szCs w:val="12"/>
        </w:rPr>
        <w:instrText xml:space="preserve"> </w:instrText>
      </w:r>
      <w:proofErr w:type="gramEnd"/>
      <w:r w:rsidRPr="00382917">
        <w:rPr>
          <w:sz w:val="12"/>
          <w:szCs w:val="12"/>
        </w:rPr>
        <w:instrText>\l</w:instrText>
      </w:r>
      <w:r w:rsidR="00EE4FC3">
        <w:rPr>
          <w:sz w:val="12"/>
          <w:szCs w:val="12"/>
        </w:rPr>
        <w:instrText xml:space="preserve"> </w:instrText>
      </w:r>
      <w:r w:rsidRPr="00382917">
        <w:rPr>
          <w:sz w:val="12"/>
          <w:szCs w:val="12"/>
        </w:rPr>
        <w:instrText>1</w:instrText>
      </w:r>
      <w:r w:rsidR="00EE4FC3">
        <w:rPr>
          <w:sz w:val="12"/>
          <w:szCs w:val="12"/>
        </w:rPr>
        <w:instrText xml:space="preserve"> </w:instrText>
      </w:r>
      <w:r w:rsidRPr="00382917">
        <w:rPr>
          <w:sz w:val="12"/>
          <w:szCs w:val="12"/>
        </w:rPr>
        <w:fldChar w:fldCharType="end"/>
      </w:r>
    </w:p>
    <w:p w:rsidR="009F0F0D" w:rsidRPr="00382917" w:rsidRDefault="009F0F0D" w:rsidP="006D18A4"/>
    <w:p w:rsidR="006D18A4" w:rsidRPr="00382917" w:rsidRDefault="009F0F0D" w:rsidP="00417538">
      <w:pPr>
        <w:pStyle w:val="Myheadc"/>
      </w:pPr>
      <w:r w:rsidRPr="00382917">
        <w:t>4</w:t>
      </w:r>
      <w:r w:rsidR="00417538">
        <w:br/>
      </w:r>
      <w:r w:rsidRPr="00382917">
        <w:rPr>
          <w:noProof/>
          <w:lang w:val="en-AU" w:eastAsia="en-AU"/>
          <w14:numForm w14:val="default"/>
          <w14:numSpacing w14:val="default"/>
        </w:rPr>
        <w:drawing>
          <wp:inline distT="0" distB="0" distL="0" distR="0" wp14:anchorId="2E26660C" wp14:editId="12259914">
            <wp:extent cx="396000" cy="392400"/>
            <wp:effectExtent l="0" t="0" r="4445" b="825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p.emf"/>
                    <pic:cNvPicPr/>
                  </pic:nvPicPr>
                  <pic:blipFill>
                    <a:blip r:embed="rId17">
                      <a:extLst>
                        <a:ext uri="{28A0092B-C50C-407E-A947-70E740481C1C}">
                          <a14:useLocalDpi xmlns:a14="http://schemas.microsoft.com/office/drawing/2010/main" val="0"/>
                        </a:ext>
                      </a:extLst>
                    </a:blip>
                    <a:stretch>
                      <a:fillRect/>
                    </a:stretch>
                  </pic:blipFill>
                  <pic:spPr>
                    <a:xfrm>
                      <a:off x="0" y="0"/>
                      <a:ext cx="396000" cy="392400"/>
                    </a:xfrm>
                    <a:prstGeom prst="rect">
                      <a:avLst/>
                    </a:prstGeom>
                  </pic:spPr>
                </pic:pic>
              </a:graphicData>
            </a:graphic>
          </wp:inline>
        </w:drawing>
      </w:r>
      <w:r w:rsidR="00417538">
        <w:br/>
      </w:r>
      <w:r w:rsidR="006D18A4" w:rsidRPr="00382917">
        <w:t>T</w:t>
      </w:r>
      <w:r w:rsidRPr="00382917">
        <w:t>he</w:t>
      </w:r>
      <w:r w:rsidR="00EE4FC3">
        <w:t xml:space="preserve"> </w:t>
      </w:r>
      <w:r w:rsidRPr="00382917">
        <w:t>pilgrimage</w:t>
      </w:r>
      <w:r w:rsidR="00B85680">
        <w:br/>
      </w:r>
      <w:r w:rsidRPr="00382917">
        <w:t>and</w:t>
      </w:r>
      <w:r w:rsidR="00EE4FC3">
        <w:t xml:space="preserve"> </w:t>
      </w:r>
      <w:r w:rsidRPr="00382917">
        <w:t>the</w:t>
      </w:r>
      <w:r w:rsidR="00EE4FC3">
        <w:t xml:space="preserve"> </w:t>
      </w:r>
      <w:r w:rsidRPr="00382917">
        <w:t>proclamation</w:t>
      </w:r>
    </w:p>
    <w:p w:rsidR="006D18A4" w:rsidRPr="00382917" w:rsidRDefault="006D18A4" w:rsidP="009F0F0D">
      <w:pPr>
        <w:pStyle w:val="Text"/>
      </w:pPr>
      <w:r w:rsidRPr="00382917">
        <w:t>O</w:t>
      </w:r>
      <w:r w:rsidR="009F0F0D" w:rsidRPr="00382917">
        <w:t>ne</w:t>
      </w:r>
      <w:r w:rsidR="00EE4FC3">
        <w:t xml:space="preserve"> </w:t>
      </w:r>
      <w:r w:rsidR="009F0F0D" w:rsidRPr="00382917">
        <w:t>morning</w:t>
      </w:r>
      <w:r w:rsidR="00EE4FC3">
        <w:t xml:space="preserve"> </w:t>
      </w:r>
      <w:r w:rsidRPr="00382917">
        <w:t>shortly</w:t>
      </w:r>
      <w:r w:rsidR="00EE4FC3">
        <w:t xml:space="preserve"> </w:t>
      </w:r>
      <w:r w:rsidRPr="00382917">
        <w:t>after</w:t>
      </w:r>
      <w:r w:rsidR="00EE4FC3">
        <w:t xml:space="preserve"> </w:t>
      </w:r>
      <w:r w:rsidRPr="00382917">
        <w:t>this,</w:t>
      </w:r>
      <w:r w:rsidR="00EE4FC3">
        <w:t xml:space="preserve"> </w:t>
      </w:r>
      <w:r w:rsidRPr="00382917">
        <w:t>at</w:t>
      </w:r>
      <w:r w:rsidR="00EE4FC3">
        <w:t xml:space="preserve"> </w:t>
      </w:r>
      <w:r w:rsidRPr="00382917">
        <w:t>the</w:t>
      </w:r>
      <w:r w:rsidR="00EE4FC3">
        <w:t xml:space="preserve"> </w:t>
      </w:r>
      <w:r w:rsidRPr="00382917">
        <w:t>hour</w:t>
      </w:r>
      <w:r w:rsidR="00EE4FC3">
        <w:t xml:space="preserve"> </w:t>
      </w:r>
      <w:r w:rsidRPr="00382917">
        <w:t>of</w:t>
      </w:r>
      <w:r w:rsidR="00EE4FC3">
        <w:t xml:space="preserve"> </w:t>
      </w:r>
      <w:r w:rsidRPr="00382917">
        <w:t>dawn,</w:t>
      </w:r>
      <w:r w:rsidR="00EE4FC3">
        <w:t xml:space="preserve"> </w:t>
      </w:r>
      <w:r w:rsidRPr="00382917">
        <w:t>most</w:t>
      </w:r>
      <w:r w:rsidR="00EE4FC3">
        <w:t xml:space="preserve"> </w:t>
      </w:r>
      <w:r w:rsidRPr="00382917">
        <w:t>of</w:t>
      </w:r>
      <w:r w:rsidR="00EE4FC3">
        <w:t xml:space="preserve"> </w:t>
      </w:r>
      <w:r w:rsidRPr="00382917">
        <w:t>the</w:t>
      </w:r>
      <w:r w:rsidR="00EE4FC3">
        <w:t xml:space="preserve"> </w:t>
      </w:r>
      <w:r w:rsidRPr="00382917">
        <w:t>disciples</w:t>
      </w:r>
      <w:r w:rsidR="00EE4FC3">
        <w:t xml:space="preserve"> </w:t>
      </w:r>
      <w:r w:rsidRPr="00382917">
        <w:t>of</w:t>
      </w:r>
      <w:r w:rsidR="00EE4FC3">
        <w:t xml:space="preserve"> </w:t>
      </w:r>
      <w:r w:rsidRPr="00382917">
        <w:t>the</w:t>
      </w:r>
      <w:r w:rsidR="00EE4FC3">
        <w:t xml:space="preserve"> </w:t>
      </w:r>
      <w:r w:rsidRPr="00382917">
        <w:t>Báb</w:t>
      </w:r>
      <w:r w:rsidR="00EE4FC3">
        <w:t xml:space="preserve"> </w:t>
      </w:r>
      <w:r w:rsidRPr="00382917">
        <w:t>left</w:t>
      </w:r>
      <w:r w:rsidR="00EE4FC3">
        <w:t xml:space="preserve"> </w:t>
      </w:r>
      <w:r w:rsidR="008A073E" w:rsidRPr="00382917">
        <w:rPr>
          <w:u w:val="single"/>
        </w:rPr>
        <w:t>Sh</w:t>
      </w:r>
      <w:r w:rsidR="008A073E" w:rsidRPr="00382917">
        <w:t>íráz</w:t>
      </w:r>
      <w:r w:rsidR="00EE4FC3">
        <w:t xml:space="preserve"> </w:t>
      </w:r>
      <w:r w:rsidRPr="00382917">
        <w:t>to</w:t>
      </w:r>
      <w:r w:rsidR="00EE4FC3">
        <w:t xml:space="preserve"> </w:t>
      </w:r>
      <w:r w:rsidRPr="00382917">
        <w:t>carry</w:t>
      </w:r>
      <w:r w:rsidR="00EE4FC3">
        <w:t xml:space="preserve"> </w:t>
      </w:r>
      <w:r w:rsidRPr="00382917">
        <w:t>out</w:t>
      </w:r>
      <w:r w:rsidR="00EE4FC3">
        <w:t xml:space="preserve"> </w:t>
      </w:r>
      <w:r w:rsidRPr="00382917">
        <w:t>the</w:t>
      </w:r>
      <w:r w:rsidR="00EE4FC3">
        <w:t xml:space="preserve"> </w:t>
      </w:r>
      <w:r w:rsidRPr="00382917">
        <w:t>teaching</w:t>
      </w:r>
      <w:r w:rsidR="00EE4FC3">
        <w:t xml:space="preserve"> </w:t>
      </w:r>
      <w:r w:rsidRPr="00382917">
        <w:t>tasks</w:t>
      </w:r>
      <w:r w:rsidR="00EE4FC3">
        <w:t xml:space="preserve"> </w:t>
      </w:r>
      <w:r w:rsidRPr="00382917">
        <w:t>He</w:t>
      </w:r>
      <w:r w:rsidR="00EE4FC3">
        <w:t xml:space="preserve"> </w:t>
      </w:r>
      <w:r w:rsidRPr="00382917">
        <w:t>had</w:t>
      </w:r>
      <w:r w:rsidR="00EE4FC3">
        <w:t xml:space="preserve"> </w:t>
      </w:r>
      <w:r w:rsidRPr="00382917">
        <w:t>given</w:t>
      </w:r>
      <w:r w:rsidR="00EE4FC3">
        <w:t xml:space="preserve"> </w:t>
      </w:r>
      <w:r w:rsidRPr="00382917">
        <w:t>them.</w:t>
      </w:r>
      <w:r w:rsidR="00EE4FC3">
        <w:t xml:space="preserve">  </w:t>
      </w:r>
      <w:r w:rsidRPr="00382917">
        <w:t>The</w:t>
      </w:r>
      <w:r w:rsidR="00EE4FC3">
        <w:t xml:space="preserve"> </w:t>
      </w:r>
      <w:r w:rsidRPr="00382917">
        <w:t>first</w:t>
      </w:r>
      <w:r w:rsidR="00EE4FC3">
        <w:t xml:space="preserve"> </w:t>
      </w:r>
      <w:r w:rsidRPr="00382917">
        <w:t>disciple,</w:t>
      </w:r>
      <w:r w:rsidR="00EE4FC3">
        <w:t xml:space="preserve"> </w:t>
      </w:r>
      <w:r w:rsidRPr="00382917">
        <w:t>Mullá</w:t>
      </w:r>
      <w:r w:rsidR="00EE4FC3">
        <w:t xml:space="preserve"> </w:t>
      </w:r>
      <w:r w:rsidR="00964C11" w:rsidRPr="00382917">
        <w:t>Ḥusayn</w:t>
      </w:r>
      <w:r w:rsidRPr="00382917">
        <w:t>,</w:t>
      </w:r>
      <w:r w:rsidR="00EE4FC3">
        <w:t xml:space="preserve"> </w:t>
      </w:r>
      <w:r w:rsidRPr="00382917">
        <w:t>and</w:t>
      </w:r>
      <w:r w:rsidR="00EE4FC3">
        <w:t xml:space="preserve"> </w:t>
      </w:r>
      <w:r w:rsidRPr="00382917">
        <w:t>the</w:t>
      </w:r>
      <w:r w:rsidR="00EE4FC3">
        <w:t xml:space="preserve"> </w:t>
      </w:r>
      <w:r w:rsidRPr="00382917">
        <w:t>last,</w:t>
      </w:r>
      <w:r w:rsidR="00EE4FC3">
        <w:t xml:space="preserve"> </w:t>
      </w:r>
      <w:r w:rsidRPr="00382917">
        <w:t>Quddús,</w:t>
      </w:r>
      <w:r w:rsidR="00EE4FC3">
        <w:t xml:space="preserve"> </w:t>
      </w:r>
      <w:r w:rsidRPr="00382917">
        <w:t>remained</w:t>
      </w:r>
      <w:r w:rsidR="00EE4FC3">
        <w:t xml:space="preserve"> </w:t>
      </w:r>
      <w:r w:rsidRPr="00382917">
        <w:t>with</w:t>
      </w:r>
      <w:r w:rsidR="00EE4FC3">
        <w:t xml:space="preserve"> </w:t>
      </w:r>
      <w:r w:rsidRPr="00382917">
        <w:t>Him.</w:t>
      </w:r>
    </w:p>
    <w:p w:rsidR="006D18A4" w:rsidRPr="00382917" w:rsidRDefault="006D18A4" w:rsidP="009F0F0D">
      <w:pPr>
        <w:pStyle w:val="Text"/>
      </w:pPr>
      <w:r w:rsidRPr="00382917">
        <w:t>To</w:t>
      </w:r>
      <w:r w:rsidR="00EE4FC3">
        <w:t xml:space="preserve"> </w:t>
      </w:r>
      <w:r w:rsidRPr="00382917">
        <w:t>these</w:t>
      </w:r>
      <w:r w:rsidR="00EE4FC3">
        <w:t xml:space="preserve"> </w:t>
      </w:r>
      <w:r w:rsidRPr="00382917">
        <w:t>two</w:t>
      </w:r>
      <w:r w:rsidR="00EE4FC3">
        <w:t xml:space="preserve"> </w:t>
      </w:r>
      <w:r w:rsidRPr="00382917">
        <w:t>the</w:t>
      </w:r>
      <w:r w:rsidR="00EE4FC3">
        <w:t xml:space="preserve"> </w:t>
      </w:r>
      <w:r w:rsidRPr="00382917">
        <w:t>Báb</w:t>
      </w:r>
      <w:r w:rsidR="00EE4FC3">
        <w:t xml:space="preserve"> </w:t>
      </w:r>
      <w:r w:rsidRPr="00382917">
        <w:t>disclosed</w:t>
      </w:r>
      <w:r w:rsidR="00EE4FC3">
        <w:t xml:space="preserve"> </w:t>
      </w:r>
      <w:r w:rsidRPr="00382917">
        <w:t>His</w:t>
      </w:r>
      <w:r w:rsidR="00EE4FC3">
        <w:t xml:space="preserve"> </w:t>
      </w:r>
      <w:r w:rsidRPr="00382917">
        <w:t>intention</w:t>
      </w:r>
      <w:r w:rsidR="00EE4FC3">
        <w:t xml:space="preserve"> </w:t>
      </w:r>
      <w:r w:rsidRPr="00382917">
        <w:t>to</w:t>
      </w:r>
      <w:r w:rsidR="00EE4FC3">
        <w:t xml:space="preserve"> </w:t>
      </w:r>
      <w:r w:rsidRPr="00382917">
        <w:t>go</w:t>
      </w:r>
      <w:r w:rsidR="00EE4FC3">
        <w:t xml:space="preserve"> </w:t>
      </w:r>
      <w:r w:rsidRPr="00382917">
        <w:t>to</w:t>
      </w:r>
      <w:r w:rsidR="00EE4FC3">
        <w:t xml:space="preserve"> </w:t>
      </w:r>
      <w:r w:rsidRPr="00382917">
        <w:t>Mecca.</w:t>
      </w:r>
      <w:r w:rsidR="00EE4FC3">
        <w:t xml:space="preserve">  </w:t>
      </w:r>
      <w:r w:rsidRPr="00382917">
        <w:t>Just</w:t>
      </w:r>
      <w:r w:rsidR="00EE4FC3">
        <w:t xml:space="preserve"> </w:t>
      </w:r>
      <w:r w:rsidRPr="00382917">
        <w:t>as</w:t>
      </w:r>
      <w:r w:rsidR="00EE4FC3">
        <w:t xml:space="preserve"> </w:t>
      </w:r>
      <w:r w:rsidRPr="00382917">
        <w:t>Jesus</w:t>
      </w:r>
      <w:r w:rsidR="00EE4FC3">
        <w:t xml:space="preserve"> </w:t>
      </w:r>
      <w:r w:rsidRPr="00382917">
        <w:t>had</w:t>
      </w:r>
      <w:r w:rsidR="00EE4FC3">
        <w:t xml:space="preserve"> </w:t>
      </w:r>
      <w:r w:rsidRPr="00382917">
        <w:t>journeyed</w:t>
      </w:r>
      <w:r w:rsidR="00EE4FC3">
        <w:t xml:space="preserve"> </w:t>
      </w:r>
      <w:r w:rsidRPr="00382917">
        <w:t>to</w:t>
      </w:r>
      <w:r w:rsidR="00EE4FC3">
        <w:t xml:space="preserve"> </w:t>
      </w:r>
      <w:r w:rsidRPr="00382917">
        <w:t>Jerusalem,</w:t>
      </w:r>
      <w:r w:rsidR="00EE4FC3">
        <w:t xml:space="preserve"> </w:t>
      </w:r>
      <w:r w:rsidRPr="00382917">
        <w:t>the</w:t>
      </w:r>
      <w:r w:rsidR="00EE4FC3">
        <w:t xml:space="preserve"> </w:t>
      </w:r>
      <w:r w:rsidRPr="00382917">
        <w:t>stronghold</w:t>
      </w:r>
      <w:r w:rsidR="00EE4FC3">
        <w:t xml:space="preserve"> </w:t>
      </w:r>
      <w:r w:rsidRPr="00382917">
        <w:t>of</w:t>
      </w:r>
      <w:r w:rsidR="00EE4FC3">
        <w:t xml:space="preserve"> </w:t>
      </w:r>
      <w:r w:rsidRPr="00382917">
        <w:t>the</w:t>
      </w:r>
      <w:r w:rsidR="00EE4FC3">
        <w:t xml:space="preserve"> </w:t>
      </w:r>
      <w:r w:rsidRPr="00382917">
        <w:t>Jews,</w:t>
      </w:r>
      <w:r w:rsidR="00EE4FC3">
        <w:t xml:space="preserve"> </w:t>
      </w:r>
      <w:r w:rsidRPr="00382917">
        <w:t>to</w:t>
      </w:r>
      <w:r w:rsidR="00EE4FC3">
        <w:t xml:space="preserve"> </w:t>
      </w:r>
      <w:r w:rsidRPr="00382917">
        <w:t>proclaim</w:t>
      </w:r>
      <w:r w:rsidR="00EE4FC3">
        <w:t xml:space="preserve"> </w:t>
      </w:r>
      <w:r w:rsidRPr="00382917">
        <w:t>His</w:t>
      </w:r>
      <w:r w:rsidR="00EE4FC3">
        <w:t xml:space="preserve"> </w:t>
      </w:r>
      <w:r w:rsidRPr="00382917">
        <w:t>Mission,</w:t>
      </w:r>
      <w:r w:rsidR="00EE4FC3">
        <w:t xml:space="preserve"> </w:t>
      </w:r>
      <w:r w:rsidRPr="00382917">
        <w:t>so</w:t>
      </w:r>
      <w:r w:rsidR="00EE4FC3">
        <w:t xml:space="preserve"> </w:t>
      </w:r>
      <w:r w:rsidRPr="00382917">
        <w:t>did</w:t>
      </w:r>
      <w:r w:rsidR="00EE4FC3">
        <w:t xml:space="preserve"> </w:t>
      </w:r>
      <w:r w:rsidRPr="00382917">
        <w:t>the</w:t>
      </w:r>
      <w:r w:rsidR="00EE4FC3">
        <w:t xml:space="preserve"> </w:t>
      </w:r>
      <w:r w:rsidRPr="00382917">
        <w:t>Báb</w:t>
      </w:r>
      <w:r w:rsidR="00EE4FC3">
        <w:t xml:space="preserve"> </w:t>
      </w:r>
      <w:r w:rsidRPr="00382917">
        <w:t>make</w:t>
      </w:r>
      <w:r w:rsidR="00EE4FC3">
        <w:t xml:space="preserve"> </w:t>
      </w:r>
      <w:r w:rsidRPr="00382917">
        <w:t>plans</w:t>
      </w:r>
      <w:r w:rsidR="00EE4FC3">
        <w:t xml:space="preserve"> </w:t>
      </w:r>
      <w:r w:rsidRPr="00382917">
        <w:t>to</w:t>
      </w:r>
      <w:r w:rsidR="00EE4FC3">
        <w:t xml:space="preserve"> </w:t>
      </w:r>
      <w:r w:rsidRPr="00382917">
        <w:t>go</w:t>
      </w:r>
      <w:r w:rsidR="00EE4FC3">
        <w:t xml:space="preserve"> </w:t>
      </w:r>
      <w:r w:rsidRPr="00382917">
        <w:t>to</w:t>
      </w:r>
      <w:r w:rsidR="00EE4FC3">
        <w:t xml:space="preserve"> </w:t>
      </w:r>
      <w:r w:rsidRPr="00382917">
        <w:t>Mecca,</w:t>
      </w:r>
      <w:r w:rsidR="00EE4FC3">
        <w:t xml:space="preserve"> </w:t>
      </w:r>
      <w:r w:rsidRPr="00382917">
        <w:t>the</w:t>
      </w:r>
      <w:r w:rsidR="00EE4FC3">
        <w:t xml:space="preserve"> </w:t>
      </w:r>
      <w:r w:rsidRPr="00382917">
        <w:t>heart</w:t>
      </w:r>
      <w:r w:rsidR="00EE4FC3">
        <w:t xml:space="preserve"> </w:t>
      </w:r>
      <w:r w:rsidRPr="00382917">
        <w:t>of</w:t>
      </w:r>
      <w:r w:rsidR="00EE4FC3">
        <w:t xml:space="preserve"> </w:t>
      </w:r>
      <w:r w:rsidRPr="00382917">
        <w:t>the</w:t>
      </w:r>
      <w:r w:rsidR="00EE4FC3">
        <w:t xml:space="preserve"> </w:t>
      </w:r>
      <w:r w:rsidRPr="00382917">
        <w:t>Moslem</w:t>
      </w:r>
      <w:r w:rsidR="00EE4FC3">
        <w:t xml:space="preserve"> </w:t>
      </w:r>
      <w:proofErr w:type="gramStart"/>
      <w:r w:rsidRPr="00382917">
        <w:t>world.</w:t>
      </w:r>
      <w:proofErr w:type="gramEnd"/>
      <w:r w:rsidR="00EE4FC3">
        <w:t xml:space="preserve">  </w:t>
      </w:r>
      <w:r w:rsidRPr="00382917">
        <w:t>As</w:t>
      </w:r>
      <w:r w:rsidR="00EE4FC3">
        <w:t xml:space="preserve"> </w:t>
      </w:r>
      <w:r w:rsidRPr="00382917">
        <w:t>the</w:t>
      </w:r>
      <w:r w:rsidR="00EE4FC3">
        <w:t xml:space="preserve"> </w:t>
      </w:r>
      <w:r w:rsidRPr="00382917">
        <w:t>hour</w:t>
      </w:r>
      <w:r w:rsidR="00EE4FC3">
        <w:t xml:space="preserve"> </w:t>
      </w:r>
      <w:r w:rsidRPr="00382917">
        <w:t>of</w:t>
      </w:r>
      <w:r w:rsidR="00EE4FC3">
        <w:t xml:space="preserve"> </w:t>
      </w:r>
      <w:r w:rsidRPr="00382917">
        <w:t>His</w:t>
      </w:r>
      <w:r w:rsidR="00EE4FC3">
        <w:t xml:space="preserve"> </w:t>
      </w:r>
      <w:r w:rsidRPr="00382917">
        <w:t>departure</w:t>
      </w:r>
      <w:r w:rsidR="00EE4FC3">
        <w:t xml:space="preserve"> </w:t>
      </w:r>
      <w:r w:rsidRPr="00382917">
        <w:t>arrived,</w:t>
      </w:r>
      <w:r w:rsidR="00EE4FC3">
        <w:t xml:space="preserve"> </w:t>
      </w:r>
      <w:r w:rsidRPr="00382917">
        <w:t>He</w:t>
      </w:r>
      <w:r w:rsidR="00EE4FC3">
        <w:t xml:space="preserve"> </w:t>
      </w:r>
      <w:r w:rsidRPr="00382917">
        <w:t>called</w:t>
      </w:r>
      <w:r w:rsidR="00EE4FC3">
        <w:t xml:space="preserve"> </w:t>
      </w:r>
      <w:r w:rsidRPr="00382917">
        <w:t>Mullá</w:t>
      </w:r>
      <w:r w:rsidR="00EE4FC3">
        <w:t xml:space="preserve"> </w:t>
      </w:r>
      <w:r w:rsidR="00964C11" w:rsidRPr="00382917">
        <w:t>Ḥusayn</w:t>
      </w:r>
      <w:r w:rsidR="00EE4FC3">
        <w:t xml:space="preserve"> </w:t>
      </w:r>
      <w:r w:rsidRPr="00382917">
        <w:t>to</w:t>
      </w:r>
      <w:r w:rsidR="00EE4FC3">
        <w:t xml:space="preserve"> </w:t>
      </w:r>
      <w:r w:rsidRPr="00382917">
        <w:t>Him.</w:t>
      </w:r>
    </w:p>
    <w:p w:rsidR="006D18A4" w:rsidRPr="00382917" w:rsidRDefault="006D18A4" w:rsidP="009F0F0D">
      <w:pPr>
        <w:pStyle w:val="Text"/>
      </w:pPr>
      <w:r w:rsidRPr="00382917">
        <w:t>He</w:t>
      </w:r>
      <w:r w:rsidR="00EE4FC3">
        <w:t xml:space="preserve"> </w:t>
      </w:r>
      <w:r w:rsidRPr="00382917">
        <w:t>Himself</w:t>
      </w:r>
      <w:r w:rsidR="00EE4FC3">
        <w:t xml:space="preserve"> </w:t>
      </w:r>
      <w:r w:rsidRPr="00382917">
        <w:t>would</w:t>
      </w:r>
      <w:r w:rsidR="00EE4FC3">
        <w:t xml:space="preserve"> </w:t>
      </w:r>
      <w:r w:rsidRPr="00382917">
        <w:t>visit</w:t>
      </w:r>
      <w:r w:rsidR="00EE4FC3">
        <w:t xml:space="preserve"> </w:t>
      </w:r>
      <w:r w:rsidRPr="00382917">
        <w:t>Mecca</w:t>
      </w:r>
      <w:r w:rsidR="00EE4FC3">
        <w:t xml:space="preserve"> </w:t>
      </w:r>
      <w:r w:rsidRPr="00382917">
        <w:t>and</w:t>
      </w:r>
      <w:r w:rsidR="00EE4FC3">
        <w:t xml:space="preserve"> </w:t>
      </w:r>
      <w:r w:rsidRPr="00382917">
        <w:t>Medina,</w:t>
      </w:r>
      <w:r w:rsidR="00EE4FC3">
        <w:t xml:space="preserve"> </w:t>
      </w:r>
      <w:r w:rsidRPr="00382917">
        <w:t>He</w:t>
      </w:r>
      <w:r w:rsidR="00EE4FC3">
        <w:t xml:space="preserve"> </w:t>
      </w:r>
      <w:r w:rsidRPr="00382917">
        <w:t>told</w:t>
      </w:r>
      <w:r w:rsidR="00EE4FC3">
        <w:t xml:space="preserve"> </w:t>
      </w:r>
      <w:r w:rsidRPr="00382917">
        <w:t>him,</w:t>
      </w:r>
      <w:r w:rsidR="00EE4FC3">
        <w:t xml:space="preserve"> </w:t>
      </w:r>
      <w:r w:rsidRPr="00382917">
        <w:t>and</w:t>
      </w:r>
      <w:r w:rsidR="00EE4FC3">
        <w:t xml:space="preserve"> </w:t>
      </w:r>
      <w:r w:rsidRPr="00382917">
        <w:t>there</w:t>
      </w:r>
      <w:r w:rsidR="00EE4FC3">
        <w:t xml:space="preserve"> </w:t>
      </w:r>
      <w:proofErr w:type="spellStart"/>
      <w:r w:rsidRPr="00382917">
        <w:t>fulfill</w:t>
      </w:r>
      <w:proofErr w:type="spellEnd"/>
      <w:r w:rsidR="00EE4FC3">
        <w:t xml:space="preserve"> </w:t>
      </w:r>
      <w:r w:rsidRPr="00382917">
        <w:t>the</w:t>
      </w:r>
      <w:r w:rsidR="00EE4FC3">
        <w:t xml:space="preserve"> </w:t>
      </w:r>
      <w:r w:rsidRPr="00382917">
        <w:t>Mission</w:t>
      </w:r>
      <w:r w:rsidR="00EE4FC3">
        <w:t xml:space="preserve"> </w:t>
      </w:r>
      <w:r w:rsidRPr="00382917">
        <w:t>with</w:t>
      </w:r>
      <w:r w:rsidR="00EE4FC3">
        <w:t xml:space="preserve"> </w:t>
      </w:r>
      <w:r w:rsidRPr="00382917">
        <w:t>which</w:t>
      </w:r>
      <w:r w:rsidR="00EE4FC3">
        <w:t xml:space="preserve"> </w:t>
      </w:r>
      <w:r w:rsidRPr="00382917">
        <w:t>God</w:t>
      </w:r>
      <w:r w:rsidR="00EE4FC3">
        <w:t xml:space="preserve"> </w:t>
      </w:r>
      <w:r w:rsidRPr="00382917">
        <w:t>had</w:t>
      </w:r>
      <w:r w:rsidR="00EE4FC3">
        <w:t xml:space="preserve"> </w:t>
      </w:r>
      <w:r w:rsidRPr="00382917">
        <w:t>entrusted</w:t>
      </w:r>
      <w:r w:rsidR="00EE4FC3">
        <w:t xml:space="preserve"> </w:t>
      </w:r>
      <w:r w:rsidRPr="00382917">
        <w:t>Him.</w:t>
      </w:r>
      <w:r w:rsidR="00EE4FC3">
        <w:t xml:space="preserve">  </w:t>
      </w:r>
      <w:r w:rsidRPr="00382917">
        <w:t>He</w:t>
      </w:r>
      <w:r w:rsidR="00EE4FC3">
        <w:t xml:space="preserve"> </w:t>
      </w:r>
      <w:r w:rsidRPr="00382917">
        <w:t>had</w:t>
      </w:r>
      <w:r w:rsidR="00EE4FC3">
        <w:t xml:space="preserve"> </w:t>
      </w:r>
      <w:r w:rsidRPr="00382917">
        <w:t>chosen</w:t>
      </w:r>
      <w:r w:rsidR="00EE4FC3">
        <w:t xml:space="preserve"> </w:t>
      </w:r>
      <w:r w:rsidRPr="00382917">
        <w:t>Quddús</w:t>
      </w:r>
      <w:r w:rsidR="00EE4FC3">
        <w:t xml:space="preserve"> </w:t>
      </w:r>
      <w:r w:rsidRPr="00382917">
        <w:t>to</w:t>
      </w:r>
      <w:r w:rsidR="00EE4FC3">
        <w:t xml:space="preserve"> </w:t>
      </w:r>
      <w:r w:rsidRPr="00382917">
        <w:t>go</w:t>
      </w:r>
      <w:r w:rsidR="00EE4FC3">
        <w:t xml:space="preserve"> </w:t>
      </w:r>
      <w:r w:rsidRPr="00382917">
        <w:t>with</w:t>
      </w:r>
      <w:r w:rsidR="00EE4FC3">
        <w:t xml:space="preserve"> </w:t>
      </w:r>
      <w:r w:rsidRPr="00382917">
        <w:t>Him</w:t>
      </w:r>
      <w:r w:rsidR="00EE4FC3">
        <w:t xml:space="preserve"> </w:t>
      </w:r>
      <w:r w:rsidRPr="00382917">
        <w:t>and</w:t>
      </w:r>
      <w:r w:rsidR="00EE4FC3">
        <w:t xml:space="preserve"> </w:t>
      </w:r>
      <w:r w:rsidRPr="00382917">
        <w:t>left</w:t>
      </w:r>
      <w:r w:rsidR="00EE4FC3">
        <w:t xml:space="preserve"> </w:t>
      </w:r>
      <w:r w:rsidRPr="00382917">
        <w:t>Mullá</w:t>
      </w:r>
      <w:r w:rsidR="00EE4FC3">
        <w:t xml:space="preserve"> </w:t>
      </w:r>
      <w:r w:rsidR="00964C11" w:rsidRPr="00382917">
        <w:t>Ḥusayn</w:t>
      </w:r>
      <w:r w:rsidR="00EE4FC3">
        <w:t xml:space="preserve"> </w:t>
      </w:r>
      <w:r w:rsidRPr="00382917">
        <w:t>behind</w:t>
      </w:r>
      <w:r w:rsidR="00EE4FC3">
        <w:t xml:space="preserve"> </w:t>
      </w:r>
      <w:r w:rsidRPr="00382917">
        <w:t>to</w:t>
      </w:r>
      <w:r w:rsidR="00EE4FC3">
        <w:t xml:space="preserve"> </w:t>
      </w:r>
      <w:r w:rsidRPr="00382917">
        <w:t>face</w:t>
      </w:r>
      <w:r w:rsidR="00EE4FC3">
        <w:t xml:space="preserve"> </w:t>
      </w:r>
      <w:r w:rsidRPr="00382917">
        <w:t>the</w:t>
      </w:r>
      <w:r w:rsidR="00EE4FC3">
        <w:t xml:space="preserve"> </w:t>
      </w:r>
      <w:r w:rsidRPr="00382917">
        <w:t>onslaught</w:t>
      </w:r>
      <w:r w:rsidR="00EE4FC3">
        <w:t xml:space="preserve"> </w:t>
      </w:r>
      <w:r w:rsidRPr="00382917">
        <w:t>of</w:t>
      </w:r>
      <w:r w:rsidR="00EE4FC3">
        <w:t xml:space="preserve"> </w:t>
      </w:r>
      <w:r w:rsidRPr="00382917">
        <w:t>a</w:t>
      </w:r>
      <w:r w:rsidR="00EE4FC3">
        <w:t xml:space="preserve"> </w:t>
      </w:r>
      <w:r w:rsidRPr="00382917">
        <w:t>fierce</w:t>
      </w:r>
      <w:r w:rsidR="00EE4FC3">
        <w:t xml:space="preserve"> </w:t>
      </w:r>
      <w:r w:rsidRPr="00382917">
        <w:t>and</w:t>
      </w:r>
      <w:r w:rsidR="00EE4FC3">
        <w:t xml:space="preserve"> </w:t>
      </w:r>
      <w:r w:rsidRPr="00382917">
        <w:t>relentless</w:t>
      </w:r>
      <w:r w:rsidR="00EE4FC3">
        <w:t xml:space="preserve"> </w:t>
      </w:r>
      <w:r w:rsidRPr="00382917">
        <w:t>enemy.</w:t>
      </w:r>
      <w:r w:rsidR="00EE4FC3">
        <w:t xml:space="preserve">  </w:t>
      </w:r>
      <w:r w:rsidRPr="00382917">
        <w:t>He</w:t>
      </w:r>
      <w:r w:rsidR="00EE4FC3">
        <w:t xml:space="preserve"> </w:t>
      </w:r>
      <w:r w:rsidRPr="00382917">
        <w:t>assured</w:t>
      </w:r>
      <w:r w:rsidR="00EE4FC3">
        <w:t xml:space="preserve"> </w:t>
      </w:r>
      <w:r w:rsidRPr="00382917">
        <w:t>him,</w:t>
      </w:r>
      <w:r w:rsidR="00EE4FC3">
        <w:t xml:space="preserve"> </w:t>
      </w:r>
      <w:r w:rsidRPr="00382917">
        <w:t>however,</w:t>
      </w:r>
      <w:r w:rsidR="00EE4FC3">
        <w:t xml:space="preserve"> </w:t>
      </w:r>
      <w:r w:rsidRPr="00382917">
        <w:t>that</w:t>
      </w:r>
      <w:r w:rsidR="00EE4FC3">
        <w:t xml:space="preserve"> </w:t>
      </w:r>
      <w:r w:rsidRPr="00382917">
        <w:t>until</w:t>
      </w:r>
      <w:r w:rsidR="00EE4FC3">
        <w:t xml:space="preserve"> </w:t>
      </w:r>
      <w:r w:rsidRPr="00382917">
        <w:t>he</w:t>
      </w:r>
      <w:r w:rsidR="00EE4FC3">
        <w:t xml:space="preserve"> </w:t>
      </w:r>
      <w:r w:rsidRPr="00382917">
        <w:t>had</w:t>
      </w:r>
      <w:r w:rsidR="00EE4FC3">
        <w:t xml:space="preserve"> </w:t>
      </w:r>
      <w:r w:rsidRPr="00382917">
        <w:t>completely</w:t>
      </w:r>
      <w:r w:rsidR="00EE4FC3">
        <w:t xml:space="preserve"> </w:t>
      </w:r>
      <w:r w:rsidRPr="00382917">
        <w:t>finished</w:t>
      </w:r>
      <w:r w:rsidR="00EE4FC3">
        <w:t xml:space="preserve"> </w:t>
      </w:r>
      <w:r w:rsidRPr="00382917">
        <w:t>his</w:t>
      </w:r>
      <w:r w:rsidR="00EE4FC3">
        <w:t xml:space="preserve"> </w:t>
      </w:r>
      <w:r w:rsidRPr="00382917">
        <w:t>work,</w:t>
      </w:r>
      <w:r w:rsidR="00EE4FC3">
        <w:t xml:space="preserve"> </w:t>
      </w:r>
      <w:r w:rsidRPr="00382917">
        <w:t>no</w:t>
      </w:r>
      <w:r w:rsidR="00EE4FC3">
        <w:t xml:space="preserve"> </w:t>
      </w:r>
      <w:r w:rsidRPr="00382917">
        <w:t>power</w:t>
      </w:r>
      <w:r w:rsidR="00EE4FC3">
        <w:t xml:space="preserve"> </w:t>
      </w:r>
      <w:r w:rsidRPr="00382917">
        <w:t>on</w:t>
      </w:r>
      <w:r w:rsidR="00EE4FC3">
        <w:t xml:space="preserve"> </w:t>
      </w:r>
      <w:r w:rsidRPr="00382917">
        <w:t>earth</w:t>
      </w:r>
      <w:r w:rsidR="00EE4FC3">
        <w:t xml:space="preserve"> </w:t>
      </w:r>
      <w:r w:rsidRPr="00382917">
        <w:t>could</w:t>
      </w:r>
      <w:r w:rsidR="00EE4FC3">
        <w:t xml:space="preserve"> </w:t>
      </w:r>
      <w:r w:rsidRPr="00382917">
        <w:t>harm</w:t>
      </w:r>
      <w:r w:rsidR="00EE4FC3">
        <w:t xml:space="preserve"> </w:t>
      </w:r>
      <w:r w:rsidRPr="00382917">
        <w:t>him.</w:t>
      </w:r>
    </w:p>
    <w:p w:rsidR="00E13D49" w:rsidRPr="00382917" w:rsidRDefault="009C713D" w:rsidP="00E31586">
      <w:pPr>
        <w:pStyle w:val="Text"/>
      </w:pPr>
      <w:r w:rsidRPr="00382917">
        <w:t>“</w:t>
      </w:r>
      <w:r w:rsidR="006D18A4" w:rsidRPr="00382917">
        <w:t>He</w:t>
      </w:r>
      <w:r w:rsidR="00EE4FC3">
        <w:t xml:space="preserve"> </w:t>
      </w:r>
      <w:r w:rsidR="006D18A4" w:rsidRPr="00382917">
        <w:t>that</w:t>
      </w:r>
      <w:r w:rsidR="00EE4FC3">
        <w:t xml:space="preserve"> </w:t>
      </w:r>
      <w:r w:rsidR="006D18A4" w:rsidRPr="00382917">
        <w:t>loves</w:t>
      </w:r>
      <w:r w:rsidR="00EE4FC3">
        <w:t xml:space="preserve"> </w:t>
      </w:r>
      <w:proofErr w:type="gramStart"/>
      <w:r w:rsidR="006D18A4" w:rsidRPr="00382917">
        <w:t>you,</w:t>
      </w:r>
      <w:proofErr w:type="gramEnd"/>
      <w:r w:rsidR="00EE4FC3">
        <w:t xml:space="preserve"> </w:t>
      </w:r>
      <w:r w:rsidR="006D18A4" w:rsidRPr="00382917">
        <w:t>loves</w:t>
      </w:r>
      <w:r w:rsidR="00EE4FC3">
        <w:t xml:space="preserve"> </w:t>
      </w:r>
      <w:r w:rsidR="006D18A4" w:rsidRPr="00382917">
        <w:t>God</w:t>
      </w:r>
      <w:r w:rsidR="00EE4FC3">
        <w:t xml:space="preserve"> </w:t>
      </w:r>
      <w:r w:rsidR="00F04416" w:rsidRPr="00382917">
        <w:t>…</w:t>
      </w:r>
      <w:r w:rsidR="00E31586">
        <w:t>.</w:t>
      </w:r>
      <w:r w:rsidR="00EE4FC3">
        <w:t xml:space="preserve">  </w:t>
      </w:r>
      <w:r w:rsidR="006D18A4" w:rsidRPr="00382917">
        <w:t>Whoso</w:t>
      </w:r>
      <w:r w:rsidR="00EE4FC3">
        <w:t xml:space="preserve"> </w:t>
      </w:r>
      <w:r w:rsidR="006D18A4" w:rsidRPr="00382917">
        <w:t>befriends</w:t>
      </w:r>
      <w:r w:rsidR="00EE4FC3">
        <w:t xml:space="preserve"> </w:t>
      </w:r>
      <w:r w:rsidR="006D18A4" w:rsidRPr="00382917">
        <w:t>you,</w:t>
      </w:r>
      <w:r w:rsidR="00EE4FC3">
        <w:t xml:space="preserve"> </w:t>
      </w:r>
      <w:proofErr w:type="gramStart"/>
      <w:r w:rsidR="006D18A4" w:rsidRPr="00382917">
        <w:t>him</w:t>
      </w:r>
      <w:proofErr w:type="gramEnd"/>
      <w:r w:rsidR="00EE4FC3">
        <w:t xml:space="preserve"> </w:t>
      </w:r>
      <w:r w:rsidR="006D18A4" w:rsidRPr="00382917">
        <w:t>will</w:t>
      </w:r>
      <w:r w:rsidR="00EE4FC3">
        <w:t xml:space="preserve"> </w:t>
      </w:r>
      <w:r w:rsidR="006D18A4" w:rsidRPr="00382917">
        <w:t>God</w:t>
      </w:r>
      <w:r w:rsidR="00EE4FC3">
        <w:t xml:space="preserve"> </w:t>
      </w:r>
      <w:r w:rsidR="006D18A4" w:rsidRPr="00382917">
        <w:t>befriend;</w:t>
      </w:r>
      <w:r w:rsidR="00EE4FC3">
        <w:t xml:space="preserve"> </w:t>
      </w:r>
      <w:r w:rsidR="006D18A4" w:rsidRPr="00382917">
        <w:t>and</w:t>
      </w:r>
      <w:r w:rsidR="00EE4FC3">
        <w:t xml:space="preserve"> </w:t>
      </w:r>
      <w:r w:rsidR="006D18A4" w:rsidRPr="00382917">
        <w:t>whoso</w:t>
      </w:r>
      <w:r w:rsidR="00EE4FC3">
        <w:t xml:space="preserve"> </w:t>
      </w:r>
      <w:r w:rsidR="006D18A4" w:rsidRPr="00382917">
        <w:t>rejects</w:t>
      </w:r>
      <w:r w:rsidR="00EE4FC3">
        <w:t xml:space="preserve"> </w:t>
      </w:r>
      <w:r w:rsidR="006D18A4" w:rsidRPr="00382917">
        <w:t>you,</w:t>
      </w:r>
      <w:r w:rsidR="00EE4FC3">
        <w:t xml:space="preserve"> </w:t>
      </w:r>
      <w:r w:rsidR="006D18A4" w:rsidRPr="00382917">
        <w:t>him</w:t>
      </w:r>
      <w:r w:rsidR="00EE4FC3">
        <w:t xml:space="preserve"> </w:t>
      </w:r>
      <w:r w:rsidR="006D18A4" w:rsidRPr="00382917">
        <w:t>will</w:t>
      </w:r>
      <w:r w:rsidR="00EE4FC3">
        <w:t xml:space="preserve"> </w:t>
      </w:r>
      <w:r w:rsidR="006D18A4" w:rsidRPr="00382917">
        <w:t>God</w:t>
      </w:r>
      <w:r w:rsidR="00EE4FC3">
        <w:t xml:space="preserve"> </w:t>
      </w:r>
      <w:r w:rsidR="006D18A4" w:rsidRPr="00382917">
        <w:t>reject.</w:t>
      </w:r>
      <w:r w:rsidR="00EE4FC3">
        <w:t xml:space="preserve">  </w:t>
      </w:r>
      <w:r w:rsidR="006D18A4" w:rsidRPr="00382917">
        <w:t>His</w:t>
      </w:r>
      <w:r w:rsidR="00EE4FC3">
        <w:t xml:space="preserve"> </w:t>
      </w:r>
      <w:r w:rsidR="006D18A4" w:rsidRPr="00382917">
        <w:t>Almighty</w:t>
      </w:r>
      <w:r w:rsidR="00EE4FC3">
        <w:t xml:space="preserve"> </w:t>
      </w:r>
      <w:r w:rsidR="006D18A4" w:rsidRPr="00382917">
        <w:t>arms</w:t>
      </w:r>
      <w:r w:rsidR="00EE4FC3">
        <w:t xml:space="preserve"> </w:t>
      </w:r>
      <w:r w:rsidR="006D18A4" w:rsidRPr="00382917">
        <w:t>will</w:t>
      </w:r>
      <w:r w:rsidR="00EE4FC3">
        <w:t xml:space="preserve"> </w:t>
      </w:r>
      <w:r w:rsidR="006D18A4" w:rsidRPr="00382917">
        <w:t>surround</w:t>
      </w:r>
      <w:r w:rsidR="00EE4FC3">
        <w:t xml:space="preserve"> </w:t>
      </w:r>
      <w:r w:rsidR="006D18A4" w:rsidRPr="00382917">
        <w:t>you</w:t>
      </w:r>
      <w:r w:rsidR="00EE4FC3">
        <w:t xml:space="preserve"> </w:t>
      </w:r>
      <w:r w:rsidR="006D18A4" w:rsidRPr="00382917">
        <w:t>and</w:t>
      </w:r>
      <w:r w:rsidR="00EE4FC3">
        <w:t xml:space="preserve"> </w:t>
      </w:r>
      <w:r w:rsidR="006D18A4" w:rsidRPr="00382917">
        <w:t>guide</w:t>
      </w:r>
      <w:r w:rsidR="00EE4FC3">
        <w:t xml:space="preserve"> </w:t>
      </w:r>
      <w:r w:rsidR="006D18A4" w:rsidRPr="00382917">
        <w:t>your</w:t>
      </w:r>
      <w:r w:rsidR="00EE4FC3">
        <w:t xml:space="preserve"> </w:t>
      </w:r>
      <w:r w:rsidR="006D18A4" w:rsidRPr="00382917">
        <w:t>steps.</w:t>
      </w:r>
      <w:r w:rsidRPr="00382917">
        <w:t>”</w:t>
      </w:r>
      <w:r w:rsidR="00B85680">
        <w:rPr>
          <w:rStyle w:val="FootnoteReference"/>
        </w:rPr>
        <w:footnoteReference w:id="21"/>
      </w:r>
    </w:p>
    <w:p w:rsidR="006D18A4" w:rsidRPr="00382917" w:rsidRDefault="006D18A4" w:rsidP="00E31586">
      <w:pPr>
        <w:pStyle w:val="Text"/>
      </w:pPr>
      <w:r w:rsidRPr="00382917">
        <w:t>The</w:t>
      </w:r>
      <w:r w:rsidR="00EE4FC3">
        <w:t xml:space="preserve"> </w:t>
      </w:r>
      <w:r w:rsidRPr="00382917">
        <w:t>Báb,</w:t>
      </w:r>
      <w:r w:rsidR="00EE4FC3">
        <w:t xml:space="preserve"> </w:t>
      </w:r>
      <w:r w:rsidRPr="00382917">
        <w:t>accompanied</w:t>
      </w:r>
      <w:r w:rsidR="00EE4FC3">
        <w:t xml:space="preserve"> </w:t>
      </w:r>
      <w:r w:rsidRPr="00382917">
        <w:t>by</w:t>
      </w:r>
      <w:r w:rsidR="00EE4FC3">
        <w:t xml:space="preserve"> </w:t>
      </w:r>
      <w:r w:rsidRPr="00382917">
        <w:t>Quddús,</w:t>
      </w:r>
      <w:r w:rsidR="00EE4FC3">
        <w:t xml:space="preserve"> </w:t>
      </w:r>
      <w:r w:rsidRPr="00382917">
        <w:t>departed</w:t>
      </w:r>
      <w:r w:rsidR="00EE4FC3">
        <w:t xml:space="preserve"> </w:t>
      </w:r>
      <w:r w:rsidRPr="00382917">
        <w:t>for</w:t>
      </w:r>
      <w:r w:rsidR="00EE4FC3">
        <w:t xml:space="preserve"> </w:t>
      </w:r>
      <w:r w:rsidR="00CE7A86" w:rsidRPr="00382917">
        <w:t>Bú</w:t>
      </w:r>
      <w:r w:rsidR="00CE7A86" w:rsidRPr="00CE7A86">
        <w:rPr>
          <w:u w:val="single"/>
        </w:rPr>
        <w:t>sh</w:t>
      </w:r>
      <w:r w:rsidR="00CE7A86" w:rsidRPr="00382917">
        <w:t>ihr</w:t>
      </w:r>
      <w:r w:rsidR="00EE4FC3">
        <w:t xml:space="preserve"> </w:t>
      </w:r>
      <w:r w:rsidRPr="00382917">
        <w:t>on</w:t>
      </w:r>
      <w:r w:rsidR="00EE4FC3">
        <w:t xml:space="preserve"> </w:t>
      </w:r>
      <w:r w:rsidRPr="00382917">
        <w:t>the</w:t>
      </w:r>
      <w:r w:rsidR="00EE4FC3">
        <w:t xml:space="preserve"> </w:t>
      </w:r>
      <w:r w:rsidRPr="00382917">
        <w:t>Persian</w:t>
      </w:r>
      <w:r w:rsidR="00EE4FC3">
        <w:t xml:space="preserve"> </w:t>
      </w:r>
      <w:r w:rsidRPr="00382917">
        <w:t>Gulf</w:t>
      </w:r>
      <w:r w:rsidR="00EE4FC3">
        <w:t xml:space="preserve"> </w:t>
      </w:r>
      <w:r w:rsidRPr="00382917">
        <w:t>where</w:t>
      </w:r>
      <w:r w:rsidR="00EE4FC3">
        <w:t xml:space="preserve"> </w:t>
      </w:r>
      <w:r w:rsidRPr="00382917">
        <w:t>they</w:t>
      </w:r>
      <w:r w:rsidR="00EE4FC3">
        <w:t xml:space="preserve"> </w:t>
      </w:r>
      <w:r w:rsidRPr="00382917">
        <w:t>embarked</w:t>
      </w:r>
      <w:r w:rsidR="00EE4FC3">
        <w:t xml:space="preserve"> </w:t>
      </w:r>
      <w:r w:rsidRPr="00382917">
        <w:t>upon</w:t>
      </w:r>
      <w:r w:rsidR="00EE4FC3">
        <w:t xml:space="preserve"> </w:t>
      </w:r>
      <w:r w:rsidRPr="00382917">
        <w:t>a</w:t>
      </w:r>
      <w:r w:rsidR="00EE4FC3">
        <w:t xml:space="preserve"> </w:t>
      </w:r>
      <w:r w:rsidRPr="00382917">
        <w:t>sailing</w:t>
      </w:r>
      <w:r w:rsidR="00EE4FC3">
        <w:t xml:space="preserve"> </w:t>
      </w:r>
      <w:r w:rsidRPr="00382917">
        <w:t>vessel.</w:t>
      </w:r>
      <w:r w:rsidR="00EE4FC3">
        <w:t xml:space="preserve">  </w:t>
      </w:r>
      <w:r w:rsidRPr="00382917">
        <w:t>After</w:t>
      </w:r>
      <w:r w:rsidR="00EE4FC3">
        <w:t xml:space="preserve"> </w:t>
      </w:r>
      <w:r w:rsidRPr="00382917">
        <w:t>two</w:t>
      </w:r>
    </w:p>
    <w:p w:rsidR="009F0F0D" w:rsidRPr="00382917" w:rsidRDefault="009F0F0D">
      <w:pPr>
        <w:widowControl/>
        <w:kinsoku/>
        <w:overflowPunct/>
        <w:textAlignment w:val="auto"/>
      </w:pPr>
      <w:r w:rsidRPr="00382917">
        <w:br w:type="page"/>
      </w:r>
    </w:p>
    <w:p w:rsidR="006D18A4" w:rsidRPr="00382917" w:rsidRDefault="006D18A4" w:rsidP="009F0F0D">
      <w:pPr>
        <w:pStyle w:val="Textcts"/>
      </w:pPr>
      <w:proofErr w:type="gramStart"/>
      <w:r w:rsidRPr="00382917">
        <w:t>months</w:t>
      </w:r>
      <w:proofErr w:type="gramEnd"/>
      <w:r w:rsidR="00EE4FC3">
        <w:t xml:space="preserve"> </w:t>
      </w:r>
      <w:r w:rsidRPr="00382917">
        <w:t>of</w:t>
      </w:r>
      <w:r w:rsidR="00EE4FC3">
        <w:t xml:space="preserve"> </w:t>
      </w:r>
      <w:r w:rsidRPr="00382917">
        <w:t>sailing</w:t>
      </w:r>
      <w:r w:rsidR="00EE4FC3">
        <w:t xml:space="preserve"> </w:t>
      </w:r>
      <w:r w:rsidRPr="00382917">
        <w:t>on</w:t>
      </w:r>
      <w:r w:rsidR="00EE4FC3">
        <w:t xml:space="preserve"> </w:t>
      </w:r>
      <w:r w:rsidRPr="00382917">
        <w:t>stormy</w:t>
      </w:r>
      <w:r w:rsidR="00EE4FC3">
        <w:t xml:space="preserve"> </w:t>
      </w:r>
      <w:r w:rsidRPr="00382917">
        <w:t>seas,</w:t>
      </w:r>
      <w:r w:rsidR="00EE4FC3">
        <w:t xml:space="preserve"> </w:t>
      </w:r>
      <w:r w:rsidRPr="00382917">
        <w:t>they</w:t>
      </w:r>
      <w:r w:rsidR="00EE4FC3">
        <w:t xml:space="preserve"> </w:t>
      </w:r>
      <w:r w:rsidRPr="00382917">
        <w:t>landed</w:t>
      </w:r>
      <w:r w:rsidR="00EE4FC3">
        <w:t xml:space="preserve"> </w:t>
      </w:r>
      <w:r w:rsidRPr="00382917">
        <w:t>on</w:t>
      </w:r>
      <w:r w:rsidR="00EE4FC3">
        <w:t xml:space="preserve"> </w:t>
      </w:r>
      <w:r w:rsidRPr="00382917">
        <w:t>the</w:t>
      </w:r>
      <w:r w:rsidR="00EE4FC3">
        <w:t xml:space="preserve"> </w:t>
      </w:r>
      <w:r w:rsidRPr="00382917">
        <w:t>coast</w:t>
      </w:r>
      <w:r w:rsidR="00EE4FC3">
        <w:t xml:space="preserve"> </w:t>
      </w:r>
      <w:r w:rsidRPr="00382917">
        <w:t>of</w:t>
      </w:r>
      <w:r w:rsidR="00EE4FC3">
        <w:t xml:space="preserve"> </w:t>
      </w:r>
      <w:r w:rsidRPr="00382917">
        <w:t>Arabia.</w:t>
      </w:r>
      <w:r w:rsidR="00EE4FC3">
        <w:t xml:space="preserve">  </w:t>
      </w:r>
      <w:r w:rsidRPr="00382917">
        <w:t>A</w:t>
      </w:r>
      <w:r w:rsidR="00EE4FC3">
        <w:t xml:space="preserve"> </w:t>
      </w:r>
      <w:r w:rsidRPr="00382917">
        <w:t>fellow</w:t>
      </w:r>
      <w:r w:rsidR="00EE4FC3">
        <w:t xml:space="preserve"> </w:t>
      </w:r>
      <w:r w:rsidRPr="00382917">
        <w:t>passenger</w:t>
      </w:r>
      <w:r w:rsidR="00EE4FC3">
        <w:t xml:space="preserve"> </w:t>
      </w:r>
      <w:r w:rsidRPr="00382917">
        <w:t>during</w:t>
      </w:r>
      <w:r w:rsidR="00EE4FC3">
        <w:t xml:space="preserve"> </w:t>
      </w:r>
      <w:r w:rsidRPr="00382917">
        <w:t>this</w:t>
      </w:r>
      <w:r w:rsidR="00EE4FC3">
        <w:t xml:space="preserve"> </w:t>
      </w:r>
      <w:r w:rsidRPr="00382917">
        <w:t>voyage</w:t>
      </w:r>
      <w:r w:rsidR="00EE4FC3">
        <w:t xml:space="preserve"> </w:t>
      </w:r>
      <w:r w:rsidRPr="00382917">
        <w:t>has</w:t>
      </w:r>
      <w:r w:rsidR="00EE4FC3">
        <w:t xml:space="preserve"> </w:t>
      </w:r>
      <w:r w:rsidRPr="00382917">
        <w:t>recorded</w:t>
      </w:r>
      <w:r w:rsidR="00EE4FC3">
        <w:t xml:space="preserve"> </w:t>
      </w:r>
      <w:r w:rsidRPr="00382917">
        <w:t>the</w:t>
      </w:r>
      <w:r w:rsidR="00EE4FC3">
        <w:t xml:space="preserve"> </w:t>
      </w:r>
      <w:r w:rsidRPr="00382917">
        <w:t>following:</w:t>
      </w:r>
    </w:p>
    <w:p w:rsidR="006D18A4" w:rsidRPr="00382917" w:rsidRDefault="009C713D" w:rsidP="009F0F0D">
      <w:pPr>
        <w:pStyle w:val="Text"/>
      </w:pPr>
      <w:r w:rsidRPr="00382917">
        <w:t>“</w:t>
      </w:r>
      <w:r w:rsidR="006D18A4" w:rsidRPr="00382917">
        <w:t>From</w:t>
      </w:r>
      <w:r w:rsidR="00EE4FC3">
        <w:t xml:space="preserve"> </w:t>
      </w:r>
      <w:r w:rsidR="006D18A4" w:rsidRPr="00382917">
        <w:t>the</w:t>
      </w:r>
      <w:r w:rsidR="00EE4FC3">
        <w:t xml:space="preserve"> </w:t>
      </w:r>
      <w:r w:rsidR="006D18A4" w:rsidRPr="00382917">
        <w:t>day</w:t>
      </w:r>
      <w:r w:rsidR="00EE4FC3">
        <w:t xml:space="preserve"> </w:t>
      </w:r>
      <w:r w:rsidR="006D18A4" w:rsidRPr="00382917">
        <w:t>we</w:t>
      </w:r>
      <w:r w:rsidR="00EE4FC3">
        <w:t xml:space="preserve"> </w:t>
      </w:r>
      <w:r w:rsidR="006D18A4" w:rsidRPr="00382917">
        <w:t>embarked</w:t>
      </w:r>
      <w:r w:rsidR="00EE4FC3">
        <w:t xml:space="preserve"> </w:t>
      </w:r>
      <w:r w:rsidR="006D18A4" w:rsidRPr="00382917">
        <w:t>at</w:t>
      </w:r>
      <w:r w:rsidR="00EE4FC3">
        <w:t xml:space="preserve"> </w:t>
      </w:r>
      <w:r w:rsidR="00CE7A86" w:rsidRPr="00382917">
        <w:t>Bú</w:t>
      </w:r>
      <w:r w:rsidR="00CE7A86" w:rsidRPr="00CE7A86">
        <w:rPr>
          <w:u w:val="single"/>
        </w:rPr>
        <w:t>sh</w:t>
      </w:r>
      <w:r w:rsidR="00CE7A86" w:rsidRPr="00382917">
        <w:t>ihr</w:t>
      </w:r>
      <w:r w:rsidR="00EE4FC3">
        <w:t xml:space="preserve"> </w:t>
      </w:r>
      <w:r w:rsidR="006D18A4" w:rsidRPr="00382917">
        <w:t>until</w:t>
      </w:r>
      <w:r w:rsidR="00EE4FC3">
        <w:t xml:space="preserve"> </w:t>
      </w:r>
      <w:r w:rsidR="006D18A4" w:rsidRPr="00382917">
        <w:t>we</w:t>
      </w:r>
      <w:r w:rsidR="00EE4FC3">
        <w:t xml:space="preserve"> </w:t>
      </w:r>
      <w:r w:rsidR="006D18A4" w:rsidRPr="00382917">
        <w:t>landed,</w:t>
      </w:r>
      <w:r w:rsidR="00EE4FC3">
        <w:t xml:space="preserve"> </w:t>
      </w:r>
      <w:r w:rsidR="006D18A4" w:rsidRPr="00382917">
        <w:t>whenever</w:t>
      </w:r>
      <w:r w:rsidR="00EE4FC3">
        <w:t xml:space="preserve"> </w:t>
      </w:r>
      <w:r w:rsidR="006D18A4" w:rsidRPr="00382917">
        <w:t>I</w:t>
      </w:r>
      <w:r w:rsidR="00EE4FC3">
        <w:t xml:space="preserve"> </w:t>
      </w:r>
      <w:r w:rsidR="006D18A4" w:rsidRPr="00382917">
        <w:t>saw</w:t>
      </w:r>
      <w:r w:rsidR="00EE4FC3">
        <w:t xml:space="preserve"> </w:t>
      </w:r>
      <w:r w:rsidR="006D18A4" w:rsidRPr="00382917">
        <w:t>the</w:t>
      </w:r>
      <w:r w:rsidR="00EE4FC3">
        <w:t xml:space="preserve"> </w:t>
      </w:r>
      <w:r w:rsidR="006D18A4" w:rsidRPr="00382917">
        <w:t>Báb</w:t>
      </w:r>
      <w:r w:rsidR="00EE4FC3">
        <w:t xml:space="preserve"> </w:t>
      </w:r>
      <w:r w:rsidR="006D18A4" w:rsidRPr="00382917">
        <w:t>or</w:t>
      </w:r>
      <w:r w:rsidR="00EE4FC3">
        <w:t xml:space="preserve"> </w:t>
      </w:r>
      <w:r w:rsidR="006D18A4" w:rsidRPr="00382917">
        <w:t>Quddús,</w:t>
      </w:r>
      <w:r w:rsidR="00EE4FC3">
        <w:t xml:space="preserve"> </w:t>
      </w:r>
      <w:r w:rsidR="006D18A4" w:rsidRPr="00382917">
        <w:t>they</w:t>
      </w:r>
      <w:r w:rsidR="00EE4FC3">
        <w:t xml:space="preserve"> </w:t>
      </w:r>
      <w:r w:rsidR="006D18A4" w:rsidRPr="00382917">
        <w:t>were</w:t>
      </w:r>
      <w:r w:rsidR="00EE4FC3">
        <w:t xml:space="preserve"> </w:t>
      </w:r>
      <w:r w:rsidR="006D18A4" w:rsidRPr="00382917">
        <w:t>invariably</w:t>
      </w:r>
      <w:r w:rsidR="00EE4FC3">
        <w:t xml:space="preserve"> </w:t>
      </w:r>
      <w:r w:rsidR="006D18A4" w:rsidRPr="00382917">
        <w:t>together</w:t>
      </w:r>
      <w:r w:rsidR="00EE4FC3">
        <w:t xml:space="preserve"> </w:t>
      </w:r>
      <w:r w:rsidR="006D18A4" w:rsidRPr="00382917">
        <w:t>absorbed</w:t>
      </w:r>
      <w:r w:rsidR="00EE4FC3">
        <w:t xml:space="preserve"> </w:t>
      </w:r>
      <w:r w:rsidR="006D18A4" w:rsidRPr="00382917">
        <w:t>in</w:t>
      </w:r>
      <w:r w:rsidR="00EE4FC3">
        <w:t xml:space="preserve"> </w:t>
      </w:r>
      <w:r w:rsidR="006D18A4" w:rsidRPr="00382917">
        <w:t>their</w:t>
      </w:r>
      <w:r w:rsidR="00EE4FC3">
        <w:t xml:space="preserve"> </w:t>
      </w:r>
      <w:r w:rsidR="006D18A4" w:rsidRPr="00382917">
        <w:t>work.</w:t>
      </w:r>
      <w:r w:rsidR="00EE4FC3">
        <w:t xml:space="preserve">  </w:t>
      </w:r>
      <w:r w:rsidR="006D18A4" w:rsidRPr="00382917">
        <w:t>The</w:t>
      </w:r>
      <w:r w:rsidR="00EE4FC3">
        <w:t xml:space="preserve"> </w:t>
      </w:r>
      <w:r w:rsidR="006D18A4" w:rsidRPr="00382917">
        <w:t>Báb</w:t>
      </w:r>
      <w:r w:rsidR="00EE4FC3">
        <w:t xml:space="preserve"> </w:t>
      </w:r>
      <w:r w:rsidR="006D18A4" w:rsidRPr="00382917">
        <w:t>was</w:t>
      </w:r>
      <w:r w:rsidR="00EE4FC3">
        <w:t xml:space="preserve"> </w:t>
      </w:r>
      <w:r w:rsidR="006D18A4" w:rsidRPr="00382917">
        <w:t>dictating</w:t>
      </w:r>
      <w:r w:rsidR="00EE4FC3">
        <w:t xml:space="preserve"> </w:t>
      </w:r>
      <w:r w:rsidR="006D18A4" w:rsidRPr="00382917">
        <w:t>and</w:t>
      </w:r>
      <w:r w:rsidR="00EE4FC3">
        <w:t xml:space="preserve"> </w:t>
      </w:r>
      <w:r w:rsidR="006D18A4" w:rsidRPr="00382917">
        <w:t>Quddús</w:t>
      </w:r>
      <w:r w:rsidR="00EE4FC3">
        <w:t xml:space="preserve"> </w:t>
      </w:r>
      <w:r w:rsidR="006D18A4" w:rsidRPr="00382917">
        <w:t>was</w:t>
      </w:r>
      <w:r w:rsidR="00EE4FC3">
        <w:t xml:space="preserve"> </w:t>
      </w:r>
      <w:r w:rsidR="006D18A4" w:rsidRPr="00382917">
        <w:t>taking</w:t>
      </w:r>
      <w:r w:rsidR="00EE4FC3">
        <w:t xml:space="preserve"> </w:t>
      </w:r>
      <w:r w:rsidR="006D18A4" w:rsidRPr="00382917">
        <w:t>down</w:t>
      </w:r>
      <w:r w:rsidR="00EE4FC3">
        <w:t xml:space="preserve"> </w:t>
      </w:r>
      <w:r w:rsidR="006D18A4" w:rsidRPr="00382917">
        <w:t>whatever</w:t>
      </w:r>
      <w:r w:rsidR="00EE4FC3">
        <w:t xml:space="preserve"> </w:t>
      </w:r>
      <w:r w:rsidR="006D18A4" w:rsidRPr="00382917">
        <w:t>fell</w:t>
      </w:r>
      <w:r w:rsidR="00EE4FC3">
        <w:t xml:space="preserve"> </w:t>
      </w:r>
      <w:r w:rsidR="006D18A4" w:rsidRPr="00382917">
        <w:t>from</w:t>
      </w:r>
      <w:r w:rsidR="00EE4FC3">
        <w:t xml:space="preserve"> </w:t>
      </w:r>
      <w:r w:rsidR="006D18A4" w:rsidRPr="00382917">
        <w:t>His</w:t>
      </w:r>
      <w:r w:rsidR="00EE4FC3">
        <w:t xml:space="preserve"> </w:t>
      </w:r>
      <w:r w:rsidR="006D18A4" w:rsidRPr="00382917">
        <w:t>lips.</w:t>
      </w:r>
      <w:r w:rsidRPr="00382917">
        <w:t>”</w:t>
      </w:r>
    </w:p>
    <w:p w:rsidR="00E13D49" w:rsidRPr="00382917" w:rsidRDefault="006D18A4" w:rsidP="00E31586">
      <w:pPr>
        <w:pStyle w:val="Text"/>
      </w:pPr>
      <w:r w:rsidRPr="00382917">
        <w:t>Neither</w:t>
      </w:r>
      <w:r w:rsidR="00EE4FC3">
        <w:t xml:space="preserve"> </w:t>
      </w:r>
      <w:r w:rsidRPr="00382917">
        <w:t>the</w:t>
      </w:r>
      <w:r w:rsidR="00EE4FC3">
        <w:t xml:space="preserve"> </w:t>
      </w:r>
      <w:r w:rsidRPr="00382917">
        <w:t>storms</w:t>
      </w:r>
      <w:r w:rsidR="00EE4FC3">
        <w:t xml:space="preserve"> </w:t>
      </w:r>
      <w:r w:rsidRPr="00382917">
        <w:t>that</w:t>
      </w:r>
      <w:r w:rsidR="00EE4FC3">
        <w:t xml:space="preserve"> </w:t>
      </w:r>
      <w:r w:rsidRPr="00382917">
        <w:t>raged</w:t>
      </w:r>
      <w:r w:rsidR="00EE4FC3">
        <w:t xml:space="preserve"> </w:t>
      </w:r>
      <w:r w:rsidRPr="00382917">
        <w:t>about</w:t>
      </w:r>
      <w:r w:rsidR="00EE4FC3">
        <w:t xml:space="preserve"> </w:t>
      </w:r>
      <w:r w:rsidRPr="00382917">
        <w:t>them,</w:t>
      </w:r>
      <w:r w:rsidR="00EE4FC3">
        <w:t xml:space="preserve"> </w:t>
      </w:r>
      <w:r w:rsidRPr="00382917">
        <w:t>nor</w:t>
      </w:r>
      <w:r w:rsidR="00EE4FC3">
        <w:t xml:space="preserve"> </w:t>
      </w:r>
      <w:r w:rsidRPr="00382917">
        <w:t>the</w:t>
      </w:r>
      <w:r w:rsidR="00EE4FC3">
        <w:t xml:space="preserve"> </w:t>
      </w:r>
      <w:r w:rsidRPr="00382917">
        <w:t>sickness</w:t>
      </w:r>
      <w:r w:rsidR="00EE4FC3">
        <w:t xml:space="preserve"> </w:t>
      </w:r>
      <w:r w:rsidRPr="00382917">
        <w:t>which</w:t>
      </w:r>
      <w:r w:rsidR="00EE4FC3">
        <w:t xml:space="preserve"> </w:t>
      </w:r>
      <w:r w:rsidRPr="00382917">
        <w:t>seized</w:t>
      </w:r>
      <w:r w:rsidR="00EE4FC3">
        <w:t xml:space="preserve"> </w:t>
      </w:r>
      <w:r w:rsidRPr="00382917">
        <w:t>the</w:t>
      </w:r>
      <w:r w:rsidR="00EE4FC3">
        <w:t xml:space="preserve"> </w:t>
      </w:r>
      <w:r w:rsidRPr="00382917">
        <w:t>other</w:t>
      </w:r>
      <w:r w:rsidR="00EE4FC3">
        <w:t xml:space="preserve"> </w:t>
      </w:r>
      <w:r w:rsidRPr="00382917">
        <w:t>passengers,</w:t>
      </w:r>
      <w:r w:rsidR="00EE4FC3">
        <w:t xml:space="preserve"> </w:t>
      </w:r>
      <w:r w:rsidRPr="00382917">
        <w:t>could</w:t>
      </w:r>
      <w:r w:rsidR="00EE4FC3">
        <w:t xml:space="preserve"> </w:t>
      </w:r>
      <w:r w:rsidRPr="00382917">
        <w:t>disturb</w:t>
      </w:r>
      <w:r w:rsidR="00EE4FC3">
        <w:t xml:space="preserve"> </w:t>
      </w:r>
      <w:r w:rsidRPr="00382917">
        <w:t>their</w:t>
      </w:r>
      <w:r w:rsidR="00EE4FC3">
        <w:t xml:space="preserve"> </w:t>
      </w:r>
      <w:r w:rsidRPr="00382917">
        <w:t>serenity</w:t>
      </w:r>
      <w:r w:rsidR="00EE4FC3">
        <w:t xml:space="preserve"> </w:t>
      </w:r>
      <w:r w:rsidRPr="00382917">
        <w:t>or</w:t>
      </w:r>
      <w:r w:rsidR="00EE4FC3">
        <w:t xml:space="preserve"> </w:t>
      </w:r>
      <w:r w:rsidRPr="00382917">
        <w:t>interfere</w:t>
      </w:r>
      <w:r w:rsidR="00EE4FC3">
        <w:t xml:space="preserve"> </w:t>
      </w:r>
      <w:r w:rsidRPr="00382917">
        <w:t>with</w:t>
      </w:r>
      <w:r w:rsidR="00EE4FC3">
        <w:t xml:space="preserve"> </w:t>
      </w:r>
      <w:r w:rsidRPr="00382917">
        <w:t>their</w:t>
      </w:r>
      <w:r w:rsidR="00EE4FC3">
        <w:t xml:space="preserve"> </w:t>
      </w:r>
      <w:r w:rsidRPr="00382917">
        <w:t>work.</w:t>
      </w:r>
      <w:r w:rsidR="00E31586">
        <w:rPr>
          <w:rStyle w:val="FootnoteReference"/>
        </w:rPr>
        <w:footnoteReference w:id="22"/>
      </w:r>
    </w:p>
    <w:p w:rsidR="006D18A4" w:rsidRPr="00382917" w:rsidRDefault="006D18A4" w:rsidP="009F0F0D">
      <w:pPr>
        <w:pStyle w:val="Text"/>
      </w:pPr>
      <w:r w:rsidRPr="00382917">
        <w:t>The</w:t>
      </w:r>
      <w:r w:rsidR="00EE4FC3">
        <w:t xml:space="preserve"> </w:t>
      </w:r>
      <w:r w:rsidRPr="00382917">
        <w:t>Báb</w:t>
      </w:r>
      <w:r w:rsidR="00EE4FC3">
        <w:t xml:space="preserve"> </w:t>
      </w:r>
      <w:r w:rsidRPr="00382917">
        <w:t>entered</w:t>
      </w:r>
      <w:r w:rsidR="00EE4FC3">
        <w:t xml:space="preserve"> </w:t>
      </w:r>
      <w:r w:rsidRPr="00382917">
        <w:t>the</w:t>
      </w:r>
      <w:r w:rsidR="00EE4FC3">
        <w:t xml:space="preserve"> </w:t>
      </w:r>
      <w:r w:rsidRPr="00382917">
        <w:t>city</w:t>
      </w:r>
      <w:r w:rsidR="00EE4FC3">
        <w:t xml:space="preserve"> </w:t>
      </w:r>
      <w:r w:rsidRPr="00382917">
        <w:t>of</w:t>
      </w:r>
      <w:r w:rsidR="00EE4FC3">
        <w:t xml:space="preserve"> </w:t>
      </w:r>
      <w:r w:rsidRPr="00382917">
        <w:t>Mecca</w:t>
      </w:r>
      <w:r w:rsidR="00EE4FC3">
        <w:t xml:space="preserve"> </w:t>
      </w:r>
      <w:r w:rsidRPr="00382917">
        <w:t>seated</w:t>
      </w:r>
      <w:r w:rsidR="00EE4FC3">
        <w:t xml:space="preserve"> </w:t>
      </w:r>
      <w:r w:rsidRPr="00382917">
        <w:t>upon</w:t>
      </w:r>
      <w:r w:rsidR="00EE4FC3">
        <w:t xml:space="preserve"> </w:t>
      </w:r>
      <w:r w:rsidRPr="00382917">
        <w:t>a</w:t>
      </w:r>
      <w:r w:rsidR="00EE4FC3">
        <w:t xml:space="preserve"> </w:t>
      </w:r>
      <w:r w:rsidRPr="00382917">
        <w:t>camel,</w:t>
      </w:r>
      <w:r w:rsidR="00EE4FC3">
        <w:t xml:space="preserve"> </w:t>
      </w:r>
      <w:r w:rsidRPr="00382917">
        <w:t>as</w:t>
      </w:r>
      <w:r w:rsidR="00EE4FC3">
        <w:t xml:space="preserve"> </w:t>
      </w:r>
      <w:r w:rsidRPr="00382917">
        <w:t>Christ</w:t>
      </w:r>
      <w:r w:rsidR="00EE4FC3">
        <w:t xml:space="preserve"> </w:t>
      </w:r>
      <w:r w:rsidRPr="00382917">
        <w:t>had</w:t>
      </w:r>
      <w:r w:rsidR="00EE4FC3">
        <w:t xml:space="preserve"> </w:t>
      </w:r>
      <w:r w:rsidRPr="00382917">
        <w:t>entered</w:t>
      </w:r>
      <w:r w:rsidR="00EE4FC3">
        <w:t xml:space="preserve"> </w:t>
      </w:r>
      <w:r w:rsidRPr="00382917">
        <w:t>Jerusalem</w:t>
      </w:r>
      <w:r w:rsidR="00EE4FC3">
        <w:t xml:space="preserve"> </w:t>
      </w:r>
      <w:r w:rsidRPr="00382917">
        <w:t>seated</w:t>
      </w:r>
      <w:r w:rsidR="00EE4FC3">
        <w:t xml:space="preserve"> </w:t>
      </w:r>
      <w:r w:rsidRPr="00382917">
        <w:t>upon</w:t>
      </w:r>
      <w:r w:rsidR="00EE4FC3">
        <w:t xml:space="preserve"> </w:t>
      </w:r>
      <w:r w:rsidRPr="00382917">
        <w:t>an</w:t>
      </w:r>
      <w:r w:rsidR="00EE4FC3">
        <w:t xml:space="preserve"> </w:t>
      </w:r>
      <w:r w:rsidRPr="00382917">
        <w:t>ass.</w:t>
      </w:r>
      <w:r w:rsidR="00EE4FC3">
        <w:t xml:space="preserve">  </w:t>
      </w:r>
      <w:r w:rsidRPr="00382917">
        <w:t>Quddús</w:t>
      </w:r>
      <w:r w:rsidR="00EE4FC3">
        <w:t xml:space="preserve"> </w:t>
      </w:r>
      <w:r w:rsidRPr="00382917">
        <w:t>refused</w:t>
      </w:r>
      <w:r w:rsidR="00EE4FC3">
        <w:t xml:space="preserve"> </w:t>
      </w:r>
      <w:r w:rsidRPr="00382917">
        <w:t>to</w:t>
      </w:r>
      <w:r w:rsidR="00EE4FC3">
        <w:t xml:space="preserve"> </w:t>
      </w:r>
      <w:r w:rsidRPr="00382917">
        <w:t>ride</w:t>
      </w:r>
      <w:r w:rsidR="00EE4FC3">
        <w:t xml:space="preserve"> </w:t>
      </w:r>
      <w:r w:rsidRPr="00382917">
        <w:t>beside</w:t>
      </w:r>
      <w:r w:rsidR="00EE4FC3">
        <w:t xml:space="preserve"> </w:t>
      </w:r>
      <w:r w:rsidRPr="00382917">
        <w:t>Him</w:t>
      </w:r>
      <w:r w:rsidR="00EE4FC3">
        <w:t xml:space="preserve"> </w:t>
      </w:r>
      <w:r w:rsidRPr="00382917">
        <w:t>on</w:t>
      </w:r>
      <w:r w:rsidR="00EE4FC3">
        <w:t xml:space="preserve"> </w:t>
      </w:r>
      <w:r w:rsidRPr="00382917">
        <w:t>the</w:t>
      </w:r>
      <w:r w:rsidR="00EE4FC3">
        <w:t xml:space="preserve"> </w:t>
      </w:r>
      <w:r w:rsidRPr="00382917">
        <w:t>journey</w:t>
      </w:r>
      <w:r w:rsidR="00EE4FC3">
        <w:t xml:space="preserve"> </w:t>
      </w:r>
      <w:r w:rsidRPr="00382917">
        <w:t>inland.</w:t>
      </w:r>
      <w:r w:rsidR="00EE4FC3">
        <w:t xml:space="preserve">  </w:t>
      </w:r>
      <w:r w:rsidRPr="00382917">
        <w:t>He</w:t>
      </w:r>
      <w:r w:rsidR="00EE4FC3">
        <w:t xml:space="preserve"> </w:t>
      </w:r>
      <w:r w:rsidRPr="00382917">
        <w:t>preferred,</w:t>
      </w:r>
      <w:r w:rsidR="00EE4FC3">
        <w:t xml:space="preserve"> </w:t>
      </w:r>
      <w:r w:rsidRPr="00382917">
        <w:t>he</w:t>
      </w:r>
      <w:r w:rsidR="00EE4FC3">
        <w:t xml:space="preserve"> </w:t>
      </w:r>
      <w:r w:rsidRPr="00382917">
        <w:t>said,</w:t>
      </w:r>
      <w:r w:rsidR="00EE4FC3">
        <w:t xml:space="preserve"> </w:t>
      </w:r>
      <w:r w:rsidRPr="00382917">
        <w:t>to</w:t>
      </w:r>
      <w:r w:rsidR="00EE4FC3">
        <w:t xml:space="preserve"> </w:t>
      </w:r>
      <w:r w:rsidRPr="00382917">
        <w:t>accompany</w:t>
      </w:r>
      <w:r w:rsidR="00EE4FC3">
        <w:t xml:space="preserve"> </w:t>
      </w:r>
      <w:r w:rsidRPr="00382917">
        <w:t>Him</w:t>
      </w:r>
      <w:r w:rsidR="00EE4FC3">
        <w:t xml:space="preserve"> </w:t>
      </w:r>
      <w:r w:rsidRPr="00382917">
        <w:t>on</w:t>
      </w:r>
      <w:r w:rsidR="00EE4FC3">
        <w:t xml:space="preserve"> </w:t>
      </w:r>
      <w:r w:rsidRPr="00382917">
        <w:t>foot,</w:t>
      </w:r>
      <w:r w:rsidR="00EE4FC3">
        <w:t xml:space="preserve"> </w:t>
      </w:r>
      <w:r w:rsidRPr="00382917">
        <w:t>holding</w:t>
      </w:r>
      <w:r w:rsidR="00EE4FC3">
        <w:t xml:space="preserve"> </w:t>
      </w:r>
      <w:r w:rsidRPr="00382917">
        <w:t>the</w:t>
      </w:r>
      <w:r w:rsidR="00EE4FC3">
        <w:t xml:space="preserve"> </w:t>
      </w:r>
      <w:r w:rsidRPr="00382917">
        <w:t>bridle</w:t>
      </w:r>
      <w:r w:rsidR="00EE4FC3">
        <w:t xml:space="preserve"> </w:t>
      </w:r>
      <w:r w:rsidRPr="00382917">
        <w:t>of</w:t>
      </w:r>
      <w:r w:rsidR="00EE4FC3">
        <w:t xml:space="preserve"> </w:t>
      </w:r>
      <w:r w:rsidRPr="00382917">
        <w:t>the</w:t>
      </w:r>
      <w:r w:rsidR="00EE4FC3">
        <w:t xml:space="preserve"> </w:t>
      </w:r>
      <w:r w:rsidRPr="00382917">
        <w:t>camel.</w:t>
      </w:r>
      <w:r w:rsidR="00EE4FC3">
        <w:t xml:space="preserve">  </w:t>
      </w:r>
      <w:r w:rsidRPr="00382917">
        <w:t>Each</w:t>
      </w:r>
      <w:r w:rsidR="00EE4FC3">
        <w:t xml:space="preserve"> </w:t>
      </w:r>
      <w:r w:rsidRPr="00382917">
        <w:t>night</w:t>
      </w:r>
      <w:r w:rsidR="00EE4FC3">
        <w:t xml:space="preserve"> </w:t>
      </w:r>
      <w:r w:rsidRPr="00382917">
        <w:t>from</w:t>
      </w:r>
      <w:r w:rsidR="00EE4FC3">
        <w:t xml:space="preserve"> </w:t>
      </w:r>
      <w:r w:rsidRPr="00382917">
        <w:t>sunset</w:t>
      </w:r>
      <w:r w:rsidR="00EE4FC3">
        <w:t xml:space="preserve"> </w:t>
      </w:r>
      <w:r w:rsidRPr="00382917">
        <w:t>until</w:t>
      </w:r>
      <w:r w:rsidR="00EE4FC3">
        <w:t xml:space="preserve"> </w:t>
      </w:r>
      <w:r w:rsidRPr="00382917">
        <w:t>dawn,</w:t>
      </w:r>
      <w:r w:rsidR="00EE4FC3">
        <w:t xml:space="preserve"> </w:t>
      </w:r>
      <w:r w:rsidRPr="00382917">
        <w:t>Quddús</w:t>
      </w:r>
      <w:r w:rsidR="00EE4FC3">
        <w:t xml:space="preserve"> </w:t>
      </w:r>
      <w:r w:rsidRPr="00382917">
        <w:t>would</w:t>
      </w:r>
      <w:r w:rsidR="00EE4FC3">
        <w:t xml:space="preserve"> </w:t>
      </w:r>
      <w:r w:rsidRPr="00382917">
        <w:t>stand</w:t>
      </w:r>
      <w:r w:rsidR="00EE4FC3">
        <w:t xml:space="preserve"> </w:t>
      </w:r>
      <w:r w:rsidRPr="00382917">
        <w:t>watch</w:t>
      </w:r>
      <w:r w:rsidR="00EE4FC3">
        <w:t xml:space="preserve"> </w:t>
      </w:r>
      <w:r w:rsidRPr="00382917">
        <w:t>over</w:t>
      </w:r>
      <w:r w:rsidR="00EE4FC3">
        <w:t xml:space="preserve"> </w:t>
      </w:r>
      <w:r w:rsidRPr="00382917">
        <w:t>His</w:t>
      </w:r>
      <w:r w:rsidR="00EE4FC3">
        <w:t xml:space="preserve"> </w:t>
      </w:r>
      <w:r w:rsidRPr="00382917">
        <w:t>Beloved.</w:t>
      </w:r>
    </w:p>
    <w:p w:rsidR="006D18A4" w:rsidRPr="00382917" w:rsidRDefault="006D18A4" w:rsidP="000E185B">
      <w:pPr>
        <w:pStyle w:val="Text"/>
      </w:pPr>
      <w:r w:rsidRPr="00382917">
        <w:t>One</w:t>
      </w:r>
      <w:r w:rsidR="00EE4FC3">
        <w:t xml:space="preserve"> </w:t>
      </w:r>
      <w:r w:rsidRPr="00382917">
        <w:t>day</w:t>
      </w:r>
      <w:r w:rsidR="00EE4FC3">
        <w:t xml:space="preserve"> </w:t>
      </w:r>
      <w:r w:rsidRPr="00382917">
        <w:t>during</w:t>
      </w:r>
      <w:r w:rsidR="00EE4FC3">
        <w:t xml:space="preserve"> </w:t>
      </w:r>
      <w:r w:rsidRPr="00382917">
        <w:t>His</w:t>
      </w:r>
      <w:r w:rsidR="00EE4FC3">
        <w:t xml:space="preserve"> </w:t>
      </w:r>
      <w:r w:rsidRPr="00382917">
        <w:t>visit</w:t>
      </w:r>
      <w:r w:rsidR="00EE4FC3">
        <w:t xml:space="preserve"> </w:t>
      </w:r>
      <w:r w:rsidRPr="00382917">
        <w:t>in</w:t>
      </w:r>
      <w:r w:rsidR="00EE4FC3">
        <w:t xml:space="preserve"> </w:t>
      </w:r>
      <w:r w:rsidRPr="00382917">
        <w:t>Mecca,</w:t>
      </w:r>
      <w:r w:rsidR="00EE4FC3">
        <w:t xml:space="preserve"> </w:t>
      </w:r>
      <w:r w:rsidRPr="00382917">
        <w:t>the</w:t>
      </w:r>
      <w:r w:rsidR="00EE4FC3">
        <w:t xml:space="preserve"> </w:t>
      </w:r>
      <w:r w:rsidRPr="00382917">
        <w:t>Báb</w:t>
      </w:r>
      <w:r w:rsidR="00EE4FC3">
        <w:t xml:space="preserve"> </w:t>
      </w:r>
      <w:r w:rsidRPr="00382917">
        <w:t>approached</w:t>
      </w:r>
      <w:r w:rsidR="00EE4FC3">
        <w:t xml:space="preserve"> </w:t>
      </w:r>
      <w:r w:rsidRPr="00382917">
        <w:t>a</w:t>
      </w:r>
      <w:r w:rsidR="00EE4FC3">
        <w:t xml:space="preserve"> </w:t>
      </w:r>
      <w:r w:rsidRPr="00382917">
        <w:t>man</w:t>
      </w:r>
      <w:r w:rsidR="00EE4FC3">
        <w:t xml:space="preserve"> </w:t>
      </w:r>
      <w:r w:rsidRPr="00382917">
        <w:t>named</w:t>
      </w:r>
      <w:r w:rsidR="00EE4FC3">
        <w:t xml:space="preserve"> </w:t>
      </w:r>
      <w:r w:rsidRPr="00382917">
        <w:t>Muḥíṭ.</w:t>
      </w:r>
      <w:r w:rsidR="00EE4FC3">
        <w:t xml:space="preserve">  </w:t>
      </w:r>
      <w:r w:rsidRPr="00382917">
        <w:t>The</w:t>
      </w:r>
      <w:r w:rsidR="00EE4FC3">
        <w:t xml:space="preserve"> </w:t>
      </w:r>
      <w:r w:rsidRPr="00382917">
        <w:t>Báb</w:t>
      </w:r>
      <w:r w:rsidR="00EE4FC3">
        <w:t xml:space="preserve"> </w:t>
      </w:r>
      <w:r w:rsidRPr="00382917">
        <w:t>recognized</w:t>
      </w:r>
      <w:r w:rsidR="00EE4FC3">
        <w:t xml:space="preserve"> </w:t>
      </w:r>
      <w:r w:rsidRPr="00382917">
        <w:t>him</w:t>
      </w:r>
      <w:r w:rsidR="00EE4FC3">
        <w:t xml:space="preserve"> </w:t>
      </w:r>
      <w:r w:rsidRPr="00382917">
        <w:t>as</w:t>
      </w:r>
      <w:r w:rsidR="00EE4FC3">
        <w:t xml:space="preserve"> </w:t>
      </w:r>
      <w:r w:rsidRPr="00382917">
        <w:t>a</w:t>
      </w:r>
      <w:r w:rsidR="00EE4FC3">
        <w:t xml:space="preserve"> </w:t>
      </w:r>
      <w:r w:rsidRPr="00382917">
        <w:t>distinguished</w:t>
      </w:r>
      <w:r w:rsidR="00EE4FC3">
        <w:t xml:space="preserve"> </w:t>
      </w:r>
      <w:r w:rsidRPr="00382917">
        <w:t>follower</w:t>
      </w:r>
      <w:r w:rsidR="00EE4FC3">
        <w:t xml:space="preserve"> </w:t>
      </w:r>
      <w:r w:rsidRPr="00382917">
        <w:t>of</w:t>
      </w:r>
      <w:r w:rsidR="00EE4FC3">
        <w:t xml:space="preserve"> </w:t>
      </w:r>
      <w:r w:rsidR="008A073E" w:rsidRPr="00382917">
        <w:rPr>
          <w:u w:val="single"/>
        </w:rPr>
        <w:t>Sh</w:t>
      </w:r>
      <w:r w:rsidR="008A073E" w:rsidRPr="00382917">
        <w:t>ay</w:t>
      </w:r>
      <w:r w:rsidR="008A073E" w:rsidRPr="00382917">
        <w:rPr>
          <w:u w:val="single"/>
        </w:rPr>
        <w:t>kh</w:t>
      </w:r>
      <w:r w:rsidR="00EE4FC3">
        <w:t xml:space="preserve"> </w:t>
      </w:r>
      <w:r w:rsidRPr="00382917">
        <w:t>Aḥmad.</w:t>
      </w:r>
      <w:r w:rsidR="00EE4FC3">
        <w:t xml:space="preserve">  </w:t>
      </w:r>
      <w:r w:rsidRPr="00382917">
        <w:t>He</w:t>
      </w:r>
      <w:r w:rsidR="00EE4FC3">
        <w:t xml:space="preserve"> </w:t>
      </w:r>
      <w:r w:rsidRPr="00382917">
        <w:t>knew</w:t>
      </w:r>
      <w:r w:rsidR="00EE4FC3">
        <w:t xml:space="preserve"> </w:t>
      </w:r>
      <w:r w:rsidRPr="00382917">
        <w:t>that</w:t>
      </w:r>
      <w:r w:rsidR="00EE4FC3">
        <w:t xml:space="preserve"> </w:t>
      </w:r>
      <w:r w:rsidRPr="00382917">
        <w:t>if</w:t>
      </w:r>
      <w:r w:rsidR="00EE4FC3">
        <w:t xml:space="preserve"> </w:t>
      </w:r>
      <w:r w:rsidRPr="00382917">
        <w:t>Mu</w:t>
      </w:r>
      <w:r w:rsidR="000E185B" w:rsidRPr="000E185B">
        <w:t>ḥíṭ</w:t>
      </w:r>
      <w:r w:rsidR="00EE4FC3">
        <w:t xml:space="preserve"> </w:t>
      </w:r>
      <w:r w:rsidRPr="00382917">
        <w:t>were</w:t>
      </w:r>
      <w:r w:rsidR="00EE4FC3">
        <w:t xml:space="preserve"> </w:t>
      </w:r>
      <w:r w:rsidRPr="00382917">
        <w:t>faithful</w:t>
      </w:r>
      <w:r w:rsidR="00EE4FC3">
        <w:t xml:space="preserve"> </w:t>
      </w:r>
      <w:r w:rsidRPr="00382917">
        <w:t>to</w:t>
      </w:r>
      <w:r w:rsidR="00EE4FC3">
        <w:t xml:space="preserve"> </w:t>
      </w:r>
      <w:r w:rsidRPr="00382917">
        <w:t>his</w:t>
      </w:r>
      <w:r w:rsidR="00EE4FC3">
        <w:t xml:space="preserve"> </w:t>
      </w:r>
      <w:r w:rsidRPr="00382917">
        <w:t>master</w:t>
      </w:r>
      <w:r w:rsidR="009C713D" w:rsidRPr="00382917">
        <w:t>’</w:t>
      </w:r>
      <w:r w:rsidRPr="00382917">
        <w:t>s</w:t>
      </w:r>
      <w:r w:rsidR="00EE4FC3">
        <w:t xml:space="preserve"> </w:t>
      </w:r>
      <w:r w:rsidRPr="00382917">
        <w:t>instructions,</w:t>
      </w:r>
      <w:r w:rsidR="00EE4FC3">
        <w:t xml:space="preserve"> </w:t>
      </w:r>
      <w:r w:rsidRPr="00382917">
        <w:t>he</w:t>
      </w:r>
      <w:r w:rsidR="00EE4FC3">
        <w:t xml:space="preserve"> </w:t>
      </w:r>
      <w:r w:rsidRPr="00382917">
        <w:t>would</w:t>
      </w:r>
      <w:r w:rsidR="00EE4FC3">
        <w:t xml:space="preserve"> </w:t>
      </w:r>
      <w:r w:rsidRPr="00382917">
        <w:t>now</w:t>
      </w:r>
      <w:r w:rsidR="00EE4FC3">
        <w:t xml:space="preserve"> </w:t>
      </w:r>
      <w:r w:rsidRPr="00382917">
        <w:t>be</w:t>
      </w:r>
      <w:r w:rsidR="00EE4FC3">
        <w:t xml:space="preserve"> </w:t>
      </w:r>
      <w:r w:rsidRPr="00382917">
        <w:t>energetically</w:t>
      </w:r>
      <w:r w:rsidR="00EE4FC3">
        <w:t xml:space="preserve"> </w:t>
      </w:r>
      <w:r w:rsidRPr="00382917">
        <w:t>searching</w:t>
      </w:r>
      <w:r w:rsidR="00EE4FC3">
        <w:t xml:space="preserve"> </w:t>
      </w:r>
      <w:r w:rsidRPr="00382917">
        <w:t>for</w:t>
      </w:r>
      <w:r w:rsidR="00EE4FC3">
        <w:t xml:space="preserve"> </w:t>
      </w:r>
      <w:r w:rsidRPr="00382917">
        <w:t>the</w:t>
      </w:r>
      <w:r w:rsidR="00EE4FC3">
        <w:t xml:space="preserve"> </w:t>
      </w:r>
      <w:r w:rsidRPr="00382917">
        <w:t>Promised</w:t>
      </w:r>
      <w:r w:rsidR="00EE4FC3">
        <w:t xml:space="preserve"> </w:t>
      </w:r>
      <w:r w:rsidRPr="00382917">
        <w:t>One.</w:t>
      </w:r>
      <w:r w:rsidR="00EE4FC3">
        <w:t xml:space="preserve">  </w:t>
      </w:r>
      <w:r w:rsidRPr="00382917">
        <w:t>The</w:t>
      </w:r>
      <w:r w:rsidR="00EE4FC3">
        <w:t xml:space="preserve"> </w:t>
      </w:r>
      <w:r w:rsidRPr="00382917">
        <w:t>Báb</w:t>
      </w:r>
      <w:r w:rsidR="00EE4FC3">
        <w:t xml:space="preserve"> </w:t>
      </w:r>
      <w:r w:rsidRPr="00382917">
        <w:t>spoke</w:t>
      </w:r>
      <w:r w:rsidR="00EE4FC3">
        <w:t xml:space="preserve"> </w:t>
      </w:r>
      <w:r w:rsidRPr="00382917">
        <w:t>to</w:t>
      </w:r>
      <w:r w:rsidR="00EE4FC3">
        <w:t xml:space="preserve"> </w:t>
      </w:r>
      <w:r w:rsidRPr="00382917">
        <w:t>him.</w:t>
      </w:r>
    </w:p>
    <w:p w:rsidR="006D18A4" w:rsidRPr="00382917" w:rsidRDefault="009C713D" w:rsidP="000E185B">
      <w:pPr>
        <w:pStyle w:val="Text"/>
      </w:pPr>
      <w:r w:rsidRPr="00382917">
        <w:t>“</w:t>
      </w:r>
      <w:r w:rsidR="006D18A4" w:rsidRPr="00382917">
        <w:t>Oh</w:t>
      </w:r>
      <w:r w:rsidR="00EE4FC3">
        <w:t xml:space="preserve"> </w:t>
      </w:r>
      <w:r w:rsidR="006D18A4" w:rsidRPr="00382917">
        <w:t>Muḥíṭ!</w:t>
      </w:r>
      <w:proofErr w:type="gramStart"/>
      <w:r w:rsidRPr="00382917">
        <w:t>”</w:t>
      </w:r>
      <w:r w:rsidR="00EE4FC3">
        <w:t xml:space="preserve"> </w:t>
      </w:r>
      <w:proofErr w:type="gramEnd"/>
      <w:r w:rsidR="006D18A4" w:rsidRPr="00382917">
        <w:t>He</w:t>
      </w:r>
      <w:r w:rsidR="00EE4FC3">
        <w:t xml:space="preserve"> </w:t>
      </w:r>
      <w:r w:rsidR="006D18A4" w:rsidRPr="00382917">
        <w:t>said,</w:t>
      </w:r>
      <w:r w:rsidR="00EE4FC3">
        <w:t xml:space="preserve"> </w:t>
      </w:r>
      <w:r w:rsidRPr="00382917">
        <w:t>“</w:t>
      </w:r>
      <w:r w:rsidR="006D18A4" w:rsidRPr="00382917">
        <w:t>Behold,</w:t>
      </w:r>
      <w:r w:rsidR="00EE4FC3">
        <w:t xml:space="preserve"> </w:t>
      </w:r>
      <w:r w:rsidR="006D18A4" w:rsidRPr="00382917">
        <w:t>we</w:t>
      </w:r>
      <w:r w:rsidR="00EE4FC3">
        <w:t xml:space="preserve"> </w:t>
      </w:r>
      <w:r w:rsidR="006D18A4" w:rsidRPr="00382917">
        <w:t>are</w:t>
      </w:r>
      <w:r w:rsidR="00EE4FC3">
        <w:t xml:space="preserve"> </w:t>
      </w:r>
      <w:r w:rsidR="006D18A4" w:rsidRPr="00382917">
        <w:t>both</w:t>
      </w:r>
      <w:r w:rsidR="00EE4FC3">
        <w:t xml:space="preserve"> </w:t>
      </w:r>
      <w:r w:rsidR="006D18A4" w:rsidRPr="00382917">
        <w:t>now</w:t>
      </w:r>
      <w:r w:rsidR="00EE4FC3">
        <w:t xml:space="preserve"> </w:t>
      </w:r>
      <w:r w:rsidR="006D18A4" w:rsidRPr="00382917">
        <w:t>standing</w:t>
      </w:r>
      <w:r w:rsidR="00EE4FC3">
        <w:t xml:space="preserve"> </w:t>
      </w:r>
      <w:r w:rsidR="006D18A4" w:rsidRPr="00382917">
        <w:t>within</w:t>
      </w:r>
      <w:r w:rsidR="00EE4FC3">
        <w:t xml:space="preserve"> </w:t>
      </w:r>
      <w:r w:rsidR="006D18A4" w:rsidRPr="00382917">
        <w:t>this</w:t>
      </w:r>
      <w:r w:rsidR="00EE4FC3">
        <w:t xml:space="preserve"> </w:t>
      </w:r>
      <w:r w:rsidR="006D18A4" w:rsidRPr="00382917">
        <w:t>most</w:t>
      </w:r>
      <w:r w:rsidR="00EE4FC3">
        <w:t xml:space="preserve"> </w:t>
      </w:r>
      <w:r w:rsidR="006D18A4" w:rsidRPr="00382917">
        <w:t>sacred</w:t>
      </w:r>
      <w:r w:rsidR="00EE4FC3">
        <w:t xml:space="preserve"> </w:t>
      </w:r>
      <w:r w:rsidR="006D18A4" w:rsidRPr="00382917">
        <w:t>Shrine</w:t>
      </w:r>
      <w:proofErr w:type="gramStart"/>
      <w:r w:rsidR="000E185B">
        <w:t>.</w:t>
      </w:r>
      <w:r w:rsidR="00EE4FC3">
        <w:t xml:space="preserve"> </w:t>
      </w:r>
      <w:proofErr w:type="gramEnd"/>
      <w:r w:rsidR="00F04416" w:rsidRPr="00382917">
        <w:t>…</w:t>
      </w:r>
      <w:r w:rsidR="00EE4FC3">
        <w:t xml:space="preserve">  </w:t>
      </w:r>
      <w:r w:rsidR="006D18A4" w:rsidRPr="00382917">
        <w:t>He</w:t>
      </w:r>
      <w:r w:rsidR="00EE4FC3">
        <w:t xml:space="preserve"> </w:t>
      </w:r>
      <w:proofErr w:type="gramStart"/>
      <w:r w:rsidR="006D18A4" w:rsidRPr="00382917">
        <w:t>Whose</w:t>
      </w:r>
      <w:proofErr w:type="gramEnd"/>
      <w:r w:rsidR="00EE4FC3">
        <w:t xml:space="preserve"> </w:t>
      </w:r>
      <w:r w:rsidR="006D18A4" w:rsidRPr="00382917">
        <w:t>spirit</w:t>
      </w:r>
      <w:r w:rsidR="00EE4FC3">
        <w:t xml:space="preserve"> </w:t>
      </w:r>
      <w:r w:rsidR="006D18A4" w:rsidRPr="00382917">
        <w:t>dwells</w:t>
      </w:r>
      <w:r w:rsidR="00EE4FC3">
        <w:t xml:space="preserve"> </w:t>
      </w:r>
      <w:r w:rsidR="006D18A4" w:rsidRPr="00382917">
        <w:t>in</w:t>
      </w:r>
      <w:r w:rsidR="00EE4FC3">
        <w:t xml:space="preserve"> </w:t>
      </w:r>
      <w:r w:rsidR="006D18A4" w:rsidRPr="00382917">
        <w:t>this</w:t>
      </w:r>
      <w:r w:rsidR="00EE4FC3">
        <w:t xml:space="preserve"> </w:t>
      </w:r>
      <w:r w:rsidR="006D18A4" w:rsidRPr="00382917">
        <w:t>place</w:t>
      </w:r>
      <w:r w:rsidR="00EE4FC3">
        <w:t xml:space="preserve"> </w:t>
      </w:r>
      <w:r w:rsidR="006D18A4" w:rsidRPr="00382917">
        <w:t>can</w:t>
      </w:r>
      <w:r w:rsidR="00EE4FC3">
        <w:t xml:space="preserve"> </w:t>
      </w:r>
      <w:r w:rsidR="006D18A4" w:rsidRPr="00382917">
        <w:t>cause</w:t>
      </w:r>
      <w:r w:rsidR="00EE4FC3">
        <w:t xml:space="preserve"> </w:t>
      </w:r>
      <w:r w:rsidR="006D18A4" w:rsidRPr="00382917">
        <w:t>Truth</w:t>
      </w:r>
      <w:r w:rsidR="00EE4FC3">
        <w:t xml:space="preserve"> </w:t>
      </w:r>
      <w:r w:rsidR="006D18A4" w:rsidRPr="00382917">
        <w:t>to</w:t>
      </w:r>
      <w:r w:rsidR="00EE4FC3">
        <w:t xml:space="preserve"> </w:t>
      </w:r>
      <w:r w:rsidR="006D18A4" w:rsidRPr="00382917">
        <w:t>be</w:t>
      </w:r>
      <w:r w:rsidR="00EE4FC3">
        <w:t xml:space="preserve"> </w:t>
      </w:r>
      <w:r w:rsidR="006D18A4" w:rsidRPr="00382917">
        <w:t>known</w:t>
      </w:r>
      <w:r w:rsidR="00EE4FC3">
        <w:t xml:space="preserve"> </w:t>
      </w:r>
      <w:r w:rsidR="006D18A4" w:rsidRPr="00382917">
        <w:t>from</w:t>
      </w:r>
      <w:r w:rsidR="00EE4FC3">
        <w:t xml:space="preserve"> </w:t>
      </w:r>
      <w:r w:rsidR="006D18A4" w:rsidRPr="00382917">
        <w:t>falsehood</w:t>
      </w:r>
      <w:r w:rsidR="00EE4FC3">
        <w:t xml:space="preserve"> </w:t>
      </w:r>
      <w:r w:rsidR="00F04416" w:rsidRPr="00382917">
        <w:t>…</w:t>
      </w:r>
      <w:r w:rsidR="006D18A4" w:rsidRPr="00382917">
        <w:t>.</w:t>
      </w:r>
      <w:r w:rsidR="00EE4FC3">
        <w:t xml:space="preserve">  </w:t>
      </w:r>
      <w:r w:rsidR="006D18A4" w:rsidRPr="00382917">
        <w:t>Verily,</w:t>
      </w:r>
      <w:r w:rsidR="00EE4FC3">
        <w:t xml:space="preserve"> </w:t>
      </w:r>
      <w:r w:rsidR="006D18A4" w:rsidRPr="00382917">
        <w:t>I</w:t>
      </w:r>
      <w:r w:rsidR="00EE4FC3">
        <w:t xml:space="preserve"> </w:t>
      </w:r>
      <w:r w:rsidR="006D18A4" w:rsidRPr="00382917">
        <w:t>declare,</w:t>
      </w:r>
      <w:r w:rsidR="00EE4FC3">
        <w:t xml:space="preserve"> </w:t>
      </w:r>
      <w:r w:rsidR="006D18A4" w:rsidRPr="00382917">
        <w:t>none</w:t>
      </w:r>
      <w:r w:rsidR="00EE4FC3">
        <w:t xml:space="preserve"> </w:t>
      </w:r>
      <w:r w:rsidR="006D18A4" w:rsidRPr="00382917">
        <w:t>beside</w:t>
      </w:r>
      <w:r w:rsidR="00EE4FC3">
        <w:t xml:space="preserve"> </w:t>
      </w:r>
      <w:r w:rsidR="006D18A4" w:rsidRPr="00382917">
        <w:t>Me</w:t>
      </w:r>
      <w:r w:rsidR="00EE4FC3">
        <w:t xml:space="preserve"> </w:t>
      </w:r>
      <w:r w:rsidR="006D18A4" w:rsidRPr="00382917">
        <w:t>in</w:t>
      </w:r>
      <w:r w:rsidR="00EE4FC3">
        <w:t xml:space="preserve"> </w:t>
      </w:r>
      <w:r w:rsidR="006D18A4" w:rsidRPr="00382917">
        <w:t>this</w:t>
      </w:r>
      <w:r w:rsidR="00EE4FC3">
        <w:t xml:space="preserve"> </w:t>
      </w:r>
      <w:r w:rsidR="006D18A4" w:rsidRPr="00382917">
        <w:t>day,</w:t>
      </w:r>
      <w:r w:rsidR="00EE4FC3">
        <w:t xml:space="preserve"> </w:t>
      </w:r>
      <w:r w:rsidR="006D18A4" w:rsidRPr="00382917">
        <w:t>whether</w:t>
      </w:r>
      <w:r w:rsidR="00EE4FC3">
        <w:t xml:space="preserve"> </w:t>
      </w:r>
      <w:r w:rsidR="006D18A4" w:rsidRPr="00382917">
        <w:t>in</w:t>
      </w:r>
      <w:r w:rsidR="00EE4FC3">
        <w:t xml:space="preserve"> </w:t>
      </w:r>
      <w:r w:rsidR="006D18A4" w:rsidRPr="00382917">
        <w:t>the</w:t>
      </w:r>
      <w:r w:rsidR="00EE4FC3">
        <w:t xml:space="preserve"> </w:t>
      </w:r>
      <w:r w:rsidR="006D18A4" w:rsidRPr="00382917">
        <w:t>East</w:t>
      </w:r>
      <w:r w:rsidR="00EE4FC3">
        <w:t xml:space="preserve"> </w:t>
      </w:r>
      <w:r w:rsidR="006D18A4" w:rsidRPr="00382917">
        <w:t>or</w:t>
      </w:r>
      <w:r w:rsidR="00EE4FC3">
        <w:t xml:space="preserve"> </w:t>
      </w:r>
      <w:r w:rsidR="006D18A4" w:rsidRPr="00382917">
        <w:t>in</w:t>
      </w:r>
      <w:r w:rsidR="00EE4FC3">
        <w:t xml:space="preserve"> </w:t>
      </w:r>
      <w:r w:rsidR="006D18A4" w:rsidRPr="00382917">
        <w:t>the</w:t>
      </w:r>
      <w:r w:rsidR="00EE4FC3">
        <w:t xml:space="preserve"> </w:t>
      </w:r>
      <w:r w:rsidR="006D18A4" w:rsidRPr="00382917">
        <w:t>West,</w:t>
      </w:r>
      <w:r w:rsidR="00EE4FC3">
        <w:t xml:space="preserve"> </w:t>
      </w:r>
      <w:r w:rsidR="006D18A4" w:rsidRPr="00382917">
        <w:t>can</w:t>
      </w:r>
      <w:r w:rsidR="00EE4FC3">
        <w:t xml:space="preserve"> </w:t>
      </w:r>
      <w:r w:rsidR="006D18A4" w:rsidRPr="00382917">
        <w:t>claim</w:t>
      </w:r>
      <w:r w:rsidR="00EE4FC3">
        <w:t xml:space="preserve"> </w:t>
      </w:r>
      <w:r w:rsidR="006D18A4" w:rsidRPr="00382917">
        <w:t>to</w:t>
      </w:r>
      <w:r w:rsidR="00EE4FC3">
        <w:t xml:space="preserve"> </w:t>
      </w:r>
      <w:r w:rsidR="006D18A4" w:rsidRPr="00382917">
        <w:t>be</w:t>
      </w:r>
      <w:r w:rsidR="00EE4FC3">
        <w:t xml:space="preserve"> </w:t>
      </w:r>
      <w:r w:rsidR="006D18A4" w:rsidRPr="00382917">
        <w:t>the</w:t>
      </w:r>
      <w:r w:rsidR="00EE4FC3">
        <w:t xml:space="preserve"> </w:t>
      </w:r>
      <w:r w:rsidR="006D18A4" w:rsidRPr="00382917">
        <w:t>Gate</w:t>
      </w:r>
      <w:r w:rsidR="00EE4FC3">
        <w:t xml:space="preserve"> </w:t>
      </w:r>
      <w:r w:rsidR="006D18A4" w:rsidRPr="00382917">
        <w:t>that</w:t>
      </w:r>
      <w:r w:rsidR="00EE4FC3">
        <w:t xml:space="preserve"> </w:t>
      </w:r>
      <w:r w:rsidR="006D18A4" w:rsidRPr="00382917">
        <w:t>leads</w:t>
      </w:r>
      <w:r w:rsidR="00EE4FC3">
        <w:t xml:space="preserve"> </w:t>
      </w:r>
      <w:r w:rsidR="006D18A4" w:rsidRPr="00382917">
        <w:t>men</w:t>
      </w:r>
      <w:r w:rsidR="00EE4FC3">
        <w:t xml:space="preserve"> </w:t>
      </w:r>
      <w:r w:rsidR="006D18A4" w:rsidRPr="00382917">
        <w:t>to</w:t>
      </w:r>
      <w:r w:rsidR="00EE4FC3">
        <w:t xml:space="preserve"> </w:t>
      </w:r>
      <w:r w:rsidR="006D18A4" w:rsidRPr="00382917">
        <w:t>the</w:t>
      </w:r>
      <w:r w:rsidR="00EE4FC3">
        <w:t xml:space="preserve"> </w:t>
      </w:r>
      <w:r w:rsidR="006D18A4" w:rsidRPr="00382917">
        <w:t>knowledge</w:t>
      </w:r>
      <w:r w:rsidR="00EE4FC3">
        <w:t xml:space="preserve"> </w:t>
      </w:r>
      <w:r w:rsidR="006D18A4" w:rsidRPr="00382917">
        <w:t>of</w:t>
      </w:r>
      <w:r w:rsidR="00EE4FC3">
        <w:t xml:space="preserve"> </w:t>
      </w:r>
      <w:r w:rsidR="006D18A4" w:rsidRPr="00382917">
        <w:t>God</w:t>
      </w:r>
      <w:proofErr w:type="gramStart"/>
      <w:r w:rsidR="000E185B">
        <w:t>.</w:t>
      </w:r>
      <w:r w:rsidR="00EE4FC3">
        <w:t xml:space="preserve"> </w:t>
      </w:r>
      <w:proofErr w:type="gramEnd"/>
      <w:r w:rsidR="00F04416" w:rsidRPr="00382917">
        <w:t>…</w:t>
      </w:r>
      <w:r w:rsidR="00EE4FC3">
        <w:t xml:space="preserve">  </w:t>
      </w:r>
      <w:r w:rsidR="006D18A4" w:rsidRPr="00382917">
        <w:t>Ask</w:t>
      </w:r>
      <w:r w:rsidR="00EE4FC3">
        <w:t xml:space="preserve"> </w:t>
      </w:r>
      <w:r w:rsidR="006D18A4" w:rsidRPr="00382917">
        <w:t>Me</w:t>
      </w:r>
      <w:r w:rsidR="00EE4FC3">
        <w:t xml:space="preserve"> </w:t>
      </w:r>
      <w:r w:rsidR="006D18A4" w:rsidRPr="00382917">
        <w:t>whatsoever</w:t>
      </w:r>
      <w:r w:rsidR="00EE4FC3">
        <w:t xml:space="preserve"> </w:t>
      </w:r>
      <w:r w:rsidR="006D18A4" w:rsidRPr="00382917">
        <w:t>you</w:t>
      </w:r>
      <w:r w:rsidR="00EE4FC3">
        <w:t xml:space="preserve"> </w:t>
      </w:r>
      <w:r w:rsidR="006D18A4" w:rsidRPr="00382917">
        <w:t>please;</w:t>
      </w:r>
      <w:r w:rsidR="00EE4FC3">
        <w:t xml:space="preserve"> </w:t>
      </w:r>
      <w:r w:rsidR="006D18A4" w:rsidRPr="00382917">
        <w:t>now,</w:t>
      </w:r>
      <w:r w:rsidR="00EE4FC3">
        <w:t xml:space="preserve"> </w:t>
      </w:r>
      <w:r w:rsidR="006D18A4" w:rsidRPr="00382917">
        <w:t>at</w:t>
      </w:r>
      <w:r w:rsidR="00EE4FC3">
        <w:t xml:space="preserve"> </w:t>
      </w:r>
      <w:r w:rsidR="006D18A4" w:rsidRPr="00382917">
        <w:t>this</w:t>
      </w:r>
      <w:r w:rsidR="00EE4FC3">
        <w:t xml:space="preserve"> </w:t>
      </w:r>
      <w:r w:rsidR="006D18A4" w:rsidRPr="00382917">
        <w:t>very</w:t>
      </w:r>
      <w:r w:rsidR="00EE4FC3">
        <w:t xml:space="preserve"> </w:t>
      </w:r>
      <w:r w:rsidR="006D18A4" w:rsidRPr="00382917">
        <w:t>moment,</w:t>
      </w:r>
      <w:r w:rsidR="00EE4FC3">
        <w:t xml:space="preserve"> </w:t>
      </w:r>
      <w:r w:rsidR="006D18A4" w:rsidRPr="00382917">
        <w:t>I</w:t>
      </w:r>
      <w:r w:rsidR="00EE4FC3">
        <w:t xml:space="preserve"> </w:t>
      </w:r>
      <w:r w:rsidR="006D18A4" w:rsidRPr="00382917">
        <w:t>pledge</w:t>
      </w:r>
      <w:r w:rsidR="00EE4FC3">
        <w:t xml:space="preserve"> </w:t>
      </w:r>
      <w:proofErr w:type="gramStart"/>
      <w:r w:rsidR="006D18A4" w:rsidRPr="00382917">
        <w:t>Myself</w:t>
      </w:r>
      <w:proofErr w:type="gramEnd"/>
      <w:r w:rsidR="00EE4FC3">
        <w:t xml:space="preserve"> </w:t>
      </w:r>
      <w:r w:rsidR="006D18A4" w:rsidRPr="00382917">
        <w:t>to</w:t>
      </w:r>
      <w:r w:rsidR="00EE4FC3">
        <w:t xml:space="preserve"> </w:t>
      </w:r>
      <w:r w:rsidR="006D18A4" w:rsidRPr="00382917">
        <w:t>reveal</w:t>
      </w:r>
      <w:r w:rsidR="00EE4FC3">
        <w:t xml:space="preserve"> </w:t>
      </w:r>
      <w:r w:rsidR="006D18A4" w:rsidRPr="00382917">
        <w:t>such</w:t>
      </w:r>
      <w:r w:rsidR="00EE4FC3">
        <w:t xml:space="preserve"> </w:t>
      </w:r>
      <w:r w:rsidR="006D18A4" w:rsidRPr="00382917">
        <w:t>verses</w:t>
      </w:r>
      <w:r w:rsidR="00EE4FC3">
        <w:t xml:space="preserve"> </w:t>
      </w:r>
      <w:r w:rsidR="006D18A4" w:rsidRPr="00382917">
        <w:t>as</w:t>
      </w:r>
      <w:r w:rsidR="00EE4FC3">
        <w:t xml:space="preserve"> </w:t>
      </w:r>
      <w:r w:rsidR="006D18A4" w:rsidRPr="00382917">
        <w:t>can</w:t>
      </w:r>
      <w:r w:rsidR="00EE4FC3">
        <w:t xml:space="preserve"> </w:t>
      </w:r>
      <w:r w:rsidR="006D18A4" w:rsidRPr="00382917">
        <w:t>demonstrate</w:t>
      </w:r>
      <w:r w:rsidR="00EE4FC3">
        <w:t xml:space="preserve"> </w:t>
      </w:r>
      <w:r w:rsidR="006D18A4" w:rsidRPr="00382917">
        <w:t>the</w:t>
      </w:r>
      <w:r w:rsidR="00EE4FC3">
        <w:t xml:space="preserve"> </w:t>
      </w:r>
      <w:r w:rsidR="006D18A4" w:rsidRPr="00382917">
        <w:t>Truth</w:t>
      </w:r>
      <w:r w:rsidR="00EE4FC3">
        <w:t xml:space="preserve"> </w:t>
      </w:r>
      <w:r w:rsidR="006D18A4" w:rsidRPr="00382917">
        <w:t>of</w:t>
      </w:r>
      <w:r w:rsidR="00EE4FC3">
        <w:t xml:space="preserve"> </w:t>
      </w:r>
      <w:r w:rsidR="006D18A4" w:rsidRPr="00382917">
        <w:t>My</w:t>
      </w:r>
      <w:r w:rsidR="00EE4FC3">
        <w:t xml:space="preserve"> </w:t>
      </w:r>
      <w:r w:rsidR="006D18A4" w:rsidRPr="00382917">
        <w:t>Mission.</w:t>
      </w:r>
      <w:r w:rsidRPr="00382917">
        <w:t>”</w:t>
      </w:r>
    </w:p>
    <w:p w:rsidR="006D18A4" w:rsidRPr="00382917" w:rsidRDefault="006D18A4" w:rsidP="009F0F0D">
      <w:pPr>
        <w:pStyle w:val="Text"/>
      </w:pPr>
      <w:r w:rsidRPr="00382917">
        <w:t>This</w:t>
      </w:r>
      <w:r w:rsidR="00EE4FC3">
        <w:t xml:space="preserve"> </w:t>
      </w:r>
      <w:r w:rsidRPr="00382917">
        <w:t>sudden,</w:t>
      </w:r>
      <w:r w:rsidR="00EE4FC3">
        <w:t xml:space="preserve"> </w:t>
      </w:r>
      <w:r w:rsidRPr="00382917">
        <w:t>unexpected</w:t>
      </w:r>
      <w:r w:rsidR="00EE4FC3">
        <w:t xml:space="preserve"> </w:t>
      </w:r>
      <w:r w:rsidRPr="00382917">
        <w:t>and</w:t>
      </w:r>
      <w:r w:rsidR="00EE4FC3">
        <w:t xml:space="preserve"> </w:t>
      </w:r>
      <w:r w:rsidRPr="00382917">
        <w:t>direct</w:t>
      </w:r>
      <w:r w:rsidR="00EE4FC3">
        <w:t xml:space="preserve"> </w:t>
      </w:r>
      <w:r w:rsidRPr="00382917">
        <w:t>challenge</w:t>
      </w:r>
      <w:r w:rsidR="00EE4FC3">
        <w:t xml:space="preserve"> </w:t>
      </w:r>
      <w:r w:rsidRPr="00382917">
        <w:t>unnerved</w:t>
      </w:r>
      <w:r w:rsidR="00EE4FC3">
        <w:t xml:space="preserve"> </w:t>
      </w:r>
      <w:r w:rsidRPr="00382917">
        <w:t>Muḥíṭ.</w:t>
      </w:r>
      <w:r w:rsidR="00EE4FC3">
        <w:t xml:space="preserve">  </w:t>
      </w:r>
      <w:r w:rsidRPr="00382917">
        <w:t>He</w:t>
      </w:r>
      <w:r w:rsidR="00EE4FC3">
        <w:t xml:space="preserve"> </w:t>
      </w:r>
      <w:r w:rsidRPr="00382917">
        <w:t>was</w:t>
      </w:r>
      <w:r w:rsidR="00EE4FC3">
        <w:t xml:space="preserve"> </w:t>
      </w:r>
      <w:r w:rsidRPr="00382917">
        <w:t>anxious</w:t>
      </w:r>
      <w:r w:rsidR="00EE4FC3">
        <w:t xml:space="preserve"> </w:t>
      </w:r>
      <w:r w:rsidRPr="00382917">
        <w:t>to</w:t>
      </w:r>
      <w:r w:rsidR="00EE4FC3">
        <w:t xml:space="preserve"> </w:t>
      </w:r>
      <w:r w:rsidRPr="00382917">
        <w:t>depart.</w:t>
      </w:r>
    </w:p>
    <w:p w:rsidR="00E13D49" w:rsidRPr="00382917" w:rsidRDefault="009C713D" w:rsidP="000E185B">
      <w:pPr>
        <w:pStyle w:val="Text"/>
      </w:pPr>
      <w:r w:rsidRPr="00382917">
        <w:t>“</w:t>
      </w:r>
      <w:r w:rsidR="006D18A4" w:rsidRPr="00382917">
        <w:t>I</w:t>
      </w:r>
      <w:r w:rsidR="00EE4FC3">
        <w:t xml:space="preserve"> </w:t>
      </w:r>
      <w:r w:rsidR="006D18A4" w:rsidRPr="00382917">
        <w:t>am</w:t>
      </w:r>
      <w:r w:rsidR="00EE4FC3">
        <w:t xml:space="preserve"> </w:t>
      </w:r>
      <w:r w:rsidR="006D18A4" w:rsidRPr="00382917">
        <w:t>expected</w:t>
      </w:r>
      <w:r w:rsidR="00EE4FC3">
        <w:t xml:space="preserve"> </w:t>
      </w:r>
      <w:r w:rsidR="006D18A4" w:rsidRPr="00382917">
        <w:t>at</w:t>
      </w:r>
      <w:r w:rsidR="00EE4FC3">
        <w:t xml:space="preserve"> </w:t>
      </w:r>
      <w:r w:rsidR="006D18A4" w:rsidRPr="00382917">
        <w:t>once</w:t>
      </w:r>
      <w:r w:rsidR="00EE4FC3">
        <w:t xml:space="preserve"> </w:t>
      </w:r>
      <w:r w:rsidR="006D18A4" w:rsidRPr="00382917">
        <w:t>in</w:t>
      </w:r>
      <w:r w:rsidR="00EE4FC3">
        <w:t xml:space="preserve"> </w:t>
      </w:r>
      <w:r w:rsidR="006D18A4" w:rsidRPr="00382917">
        <w:t>Medina,</w:t>
      </w:r>
      <w:r w:rsidRPr="00382917">
        <w:t>”</w:t>
      </w:r>
      <w:r w:rsidR="00EE4FC3">
        <w:t xml:space="preserve"> </w:t>
      </w:r>
      <w:r w:rsidR="006D18A4" w:rsidRPr="00382917">
        <w:t>he</w:t>
      </w:r>
      <w:r w:rsidR="00EE4FC3">
        <w:t xml:space="preserve"> </w:t>
      </w:r>
      <w:r w:rsidR="006D18A4" w:rsidRPr="00382917">
        <w:t>said.</w:t>
      </w:r>
      <w:r w:rsidR="00EE4FC3">
        <w:t xml:space="preserve">  </w:t>
      </w:r>
      <w:r w:rsidR="006D18A4" w:rsidRPr="00382917">
        <w:t>He</w:t>
      </w:r>
      <w:r w:rsidR="00EE4FC3">
        <w:t xml:space="preserve"> </w:t>
      </w:r>
      <w:r w:rsidR="006D18A4" w:rsidRPr="00382917">
        <w:t>did</w:t>
      </w:r>
      <w:r w:rsidR="00EE4FC3">
        <w:t xml:space="preserve"> </w:t>
      </w:r>
      <w:r w:rsidR="006D18A4" w:rsidRPr="00382917">
        <w:t>not</w:t>
      </w:r>
      <w:r w:rsidR="00EE4FC3">
        <w:t xml:space="preserve"> </w:t>
      </w:r>
      <w:r w:rsidR="006D18A4" w:rsidRPr="00382917">
        <w:t>look</w:t>
      </w:r>
      <w:r w:rsidR="00EE4FC3">
        <w:t xml:space="preserve"> </w:t>
      </w:r>
      <w:r w:rsidR="006D18A4" w:rsidRPr="00382917">
        <w:t>at</w:t>
      </w:r>
      <w:r w:rsidR="00EE4FC3">
        <w:t xml:space="preserve"> </w:t>
      </w:r>
      <w:r w:rsidR="006D18A4" w:rsidRPr="00382917">
        <w:t>the</w:t>
      </w:r>
      <w:r w:rsidR="00EE4FC3">
        <w:t xml:space="preserve"> </w:t>
      </w:r>
      <w:r w:rsidR="006D18A4" w:rsidRPr="00382917">
        <w:t>Báb</w:t>
      </w:r>
      <w:r w:rsidR="00EE4FC3">
        <w:t xml:space="preserve"> </w:t>
      </w:r>
      <w:r w:rsidR="006D18A4" w:rsidRPr="00382917">
        <w:t>as</w:t>
      </w:r>
      <w:r w:rsidR="00EE4FC3">
        <w:t xml:space="preserve"> </w:t>
      </w:r>
      <w:r w:rsidR="006D18A4" w:rsidRPr="00382917">
        <w:t>he</w:t>
      </w:r>
      <w:r w:rsidR="00EE4FC3">
        <w:t xml:space="preserve"> </w:t>
      </w:r>
      <w:r w:rsidR="006D18A4" w:rsidRPr="00382917">
        <w:t>spoke.</w:t>
      </w:r>
      <w:r w:rsidR="00EE4FC3">
        <w:t xml:space="preserve">  </w:t>
      </w:r>
      <w:r w:rsidR="006D18A4" w:rsidRPr="00382917">
        <w:t>Unable</w:t>
      </w:r>
      <w:r w:rsidR="00EE4FC3">
        <w:t xml:space="preserve"> </w:t>
      </w:r>
      <w:r w:rsidR="006D18A4" w:rsidRPr="00382917">
        <w:t>to</w:t>
      </w:r>
      <w:r w:rsidR="00EE4FC3">
        <w:t xml:space="preserve"> </w:t>
      </w:r>
      <w:r w:rsidR="006D18A4" w:rsidRPr="00382917">
        <w:t>remain</w:t>
      </w:r>
      <w:r w:rsidR="00EE4FC3">
        <w:t xml:space="preserve"> </w:t>
      </w:r>
      <w:r w:rsidR="006D18A4" w:rsidRPr="00382917">
        <w:t>in</w:t>
      </w:r>
      <w:r w:rsidR="00EE4FC3">
        <w:t xml:space="preserve"> </w:t>
      </w:r>
      <w:r w:rsidR="006D18A4" w:rsidRPr="00382917">
        <w:t>His</w:t>
      </w:r>
      <w:r w:rsidR="00EE4FC3">
        <w:t xml:space="preserve"> </w:t>
      </w:r>
      <w:r w:rsidR="006D18A4" w:rsidRPr="00382917">
        <w:t>presence,</w:t>
      </w:r>
      <w:r w:rsidR="00EE4FC3">
        <w:t xml:space="preserve"> </w:t>
      </w:r>
      <w:r w:rsidR="006D18A4" w:rsidRPr="00382917">
        <w:t>he</w:t>
      </w:r>
      <w:r w:rsidR="00EE4FC3">
        <w:t xml:space="preserve"> </w:t>
      </w:r>
      <w:r w:rsidR="006D18A4" w:rsidRPr="00382917">
        <w:t>fled</w:t>
      </w:r>
      <w:r w:rsidR="00EE4FC3">
        <w:t xml:space="preserve"> </w:t>
      </w:r>
      <w:r w:rsidR="006D18A4" w:rsidRPr="00382917">
        <w:t>in</w:t>
      </w:r>
      <w:r w:rsidR="00EE4FC3">
        <w:t xml:space="preserve"> </w:t>
      </w:r>
      <w:r w:rsidR="006D18A4" w:rsidRPr="00382917">
        <w:t>terror</w:t>
      </w:r>
      <w:r w:rsidR="00EE4FC3">
        <w:t xml:space="preserve"> </w:t>
      </w:r>
      <w:r w:rsidR="006D18A4" w:rsidRPr="00382917">
        <w:t>from</w:t>
      </w:r>
      <w:r w:rsidR="00EE4FC3">
        <w:t xml:space="preserve"> </w:t>
      </w:r>
      <w:r w:rsidR="006D18A4" w:rsidRPr="00382917">
        <w:t>His</w:t>
      </w:r>
      <w:r w:rsidR="00EE4FC3">
        <w:t xml:space="preserve"> </w:t>
      </w:r>
      <w:r w:rsidR="006D18A4" w:rsidRPr="00382917">
        <w:t>face</w:t>
      </w:r>
      <w:r w:rsidR="00EE4FC3">
        <w:t xml:space="preserve"> </w:t>
      </w:r>
      <w:r w:rsidR="006D18A4" w:rsidRPr="00382917">
        <w:t>and</w:t>
      </w:r>
      <w:r w:rsidR="00EE4FC3">
        <w:t xml:space="preserve"> </w:t>
      </w:r>
      <w:r w:rsidR="006D18A4" w:rsidRPr="00382917">
        <w:t>hurried</w:t>
      </w:r>
      <w:r w:rsidR="00EE4FC3">
        <w:t xml:space="preserve"> </w:t>
      </w:r>
      <w:r w:rsidR="006D18A4" w:rsidRPr="00382917">
        <w:t>from</w:t>
      </w:r>
      <w:r w:rsidR="00EE4FC3">
        <w:t xml:space="preserve"> </w:t>
      </w:r>
      <w:r w:rsidR="006D18A4" w:rsidRPr="00382917">
        <w:t>the</w:t>
      </w:r>
      <w:r w:rsidR="00EE4FC3">
        <w:t xml:space="preserve"> </w:t>
      </w:r>
      <w:r w:rsidR="006D18A4" w:rsidRPr="00382917">
        <w:t>Shrine.</w:t>
      </w:r>
      <w:r w:rsidR="000E185B">
        <w:rPr>
          <w:rStyle w:val="FootnoteReference"/>
        </w:rPr>
        <w:footnoteReference w:id="23"/>
      </w:r>
    </w:p>
    <w:p w:rsidR="006D18A4" w:rsidRPr="00382917" w:rsidRDefault="006D18A4" w:rsidP="009F0F0D">
      <w:pPr>
        <w:pStyle w:val="Text"/>
      </w:pPr>
      <w:r w:rsidRPr="00382917">
        <w:t>The</w:t>
      </w:r>
      <w:r w:rsidR="00EE4FC3">
        <w:t xml:space="preserve"> </w:t>
      </w:r>
      <w:r w:rsidRPr="00382917">
        <w:t>Báb</w:t>
      </w:r>
      <w:r w:rsidR="00EE4FC3">
        <w:t xml:space="preserve"> </w:t>
      </w:r>
      <w:r w:rsidRPr="00382917">
        <w:t>found</w:t>
      </w:r>
      <w:r w:rsidR="00EE4FC3">
        <w:t xml:space="preserve"> </w:t>
      </w:r>
      <w:r w:rsidRPr="00382917">
        <w:t>no</w:t>
      </w:r>
      <w:r w:rsidR="00EE4FC3">
        <w:t xml:space="preserve"> </w:t>
      </w:r>
      <w:r w:rsidRPr="00382917">
        <w:t>one</w:t>
      </w:r>
      <w:r w:rsidR="00EE4FC3">
        <w:t xml:space="preserve"> </w:t>
      </w:r>
      <w:r w:rsidRPr="00382917">
        <w:t>who</w:t>
      </w:r>
      <w:r w:rsidR="00EE4FC3">
        <w:t xml:space="preserve"> </w:t>
      </w:r>
      <w:r w:rsidRPr="00382917">
        <w:t>would</w:t>
      </w:r>
      <w:r w:rsidR="00EE4FC3">
        <w:t xml:space="preserve"> </w:t>
      </w:r>
      <w:r w:rsidRPr="00382917">
        <w:t>listen.</w:t>
      </w:r>
      <w:r w:rsidR="00EE4FC3">
        <w:t xml:space="preserve">  </w:t>
      </w:r>
      <w:r w:rsidRPr="00382917">
        <w:t>They</w:t>
      </w:r>
      <w:r w:rsidR="00EE4FC3">
        <w:t xml:space="preserve"> </w:t>
      </w:r>
      <w:r w:rsidRPr="00382917">
        <w:t>were</w:t>
      </w:r>
      <w:r w:rsidR="00EE4FC3">
        <w:t xml:space="preserve"> </w:t>
      </w:r>
      <w:r w:rsidRPr="00382917">
        <w:t>indifferent,</w:t>
      </w:r>
      <w:r w:rsidR="00EE4FC3">
        <w:t xml:space="preserve"> </w:t>
      </w:r>
      <w:r w:rsidRPr="00382917">
        <w:t>antagonistic,</w:t>
      </w:r>
      <w:r w:rsidR="00EE4FC3">
        <w:t xml:space="preserve"> </w:t>
      </w:r>
      <w:r w:rsidRPr="00382917">
        <w:t>or</w:t>
      </w:r>
      <w:r w:rsidR="00EE4FC3">
        <w:t xml:space="preserve"> </w:t>
      </w:r>
      <w:r w:rsidRPr="00382917">
        <w:t>afraid.</w:t>
      </w:r>
      <w:r w:rsidR="00EE4FC3">
        <w:t xml:space="preserve">  </w:t>
      </w:r>
      <w:r w:rsidRPr="00382917">
        <w:t>He</w:t>
      </w:r>
      <w:r w:rsidR="00EE4FC3">
        <w:t xml:space="preserve"> </w:t>
      </w:r>
      <w:r w:rsidRPr="00382917">
        <w:t>made</w:t>
      </w:r>
      <w:r w:rsidR="00EE4FC3">
        <w:t xml:space="preserve"> </w:t>
      </w:r>
      <w:r w:rsidRPr="00382917">
        <w:t>one</w:t>
      </w:r>
      <w:r w:rsidR="00EE4FC3">
        <w:t xml:space="preserve"> </w:t>
      </w:r>
      <w:r w:rsidRPr="00382917">
        <w:t>last</w:t>
      </w:r>
      <w:r w:rsidR="00EE4FC3">
        <w:t xml:space="preserve"> </w:t>
      </w:r>
      <w:r w:rsidRPr="00382917">
        <w:t>effort</w:t>
      </w:r>
      <w:r w:rsidR="00EE4FC3">
        <w:t xml:space="preserve"> </w:t>
      </w:r>
      <w:r w:rsidRPr="00382917">
        <w:t>to</w:t>
      </w:r>
      <w:r w:rsidR="00EE4FC3">
        <w:t xml:space="preserve"> </w:t>
      </w:r>
      <w:r w:rsidRPr="00382917">
        <w:t>awaken</w:t>
      </w:r>
      <w:r w:rsidR="00EE4FC3">
        <w:t xml:space="preserve"> </w:t>
      </w:r>
      <w:r w:rsidRPr="00382917">
        <w:t>the</w:t>
      </w:r>
      <w:r w:rsidR="00EE4FC3">
        <w:t xml:space="preserve"> </w:t>
      </w:r>
      <w:r w:rsidRPr="00382917">
        <w:t>people</w:t>
      </w:r>
      <w:r w:rsidR="00EE4FC3">
        <w:t xml:space="preserve"> </w:t>
      </w:r>
      <w:r w:rsidRPr="00382917">
        <w:t>in</w:t>
      </w:r>
      <w:r w:rsidR="00EE4FC3">
        <w:t xml:space="preserve"> </w:t>
      </w:r>
      <w:r w:rsidRPr="00382917">
        <w:t>that</w:t>
      </w:r>
      <w:r w:rsidR="00EE4FC3">
        <w:t xml:space="preserve"> </w:t>
      </w:r>
      <w:r w:rsidRPr="00382917">
        <w:t>holy</w:t>
      </w:r>
      <w:r w:rsidR="00EE4FC3">
        <w:t xml:space="preserve"> </w:t>
      </w:r>
      <w:r w:rsidRPr="00382917">
        <w:t>city</w:t>
      </w:r>
      <w:r w:rsidR="00EE4FC3">
        <w:t xml:space="preserve"> </w:t>
      </w:r>
      <w:r w:rsidRPr="00382917">
        <w:t>of</w:t>
      </w:r>
      <w:r w:rsidR="00EE4FC3">
        <w:t xml:space="preserve"> </w:t>
      </w:r>
      <w:r w:rsidRPr="00382917">
        <w:t>the</w:t>
      </w:r>
      <w:r w:rsidR="00EE4FC3">
        <w:t xml:space="preserve"> </w:t>
      </w:r>
      <w:r w:rsidRPr="00382917">
        <w:t>Muslims.</w:t>
      </w:r>
      <w:r w:rsidR="00EE4FC3">
        <w:t xml:space="preserve">  </w:t>
      </w:r>
      <w:r w:rsidRPr="00382917">
        <w:t>He</w:t>
      </w:r>
      <w:r w:rsidR="00EE4FC3">
        <w:t xml:space="preserve"> </w:t>
      </w:r>
      <w:r w:rsidRPr="00382917">
        <w:t>wrote</w:t>
      </w:r>
      <w:r w:rsidR="00EE4FC3">
        <w:t xml:space="preserve"> </w:t>
      </w:r>
      <w:r w:rsidRPr="00382917">
        <w:t>a</w:t>
      </w:r>
      <w:r w:rsidR="00EE4FC3">
        <w:t xml:space="preserve"> </w:t>
      </w:r>
      <w:r w:rsidRPr="00382917">
        <w:t>letter</w:t>
      </w:r>
      <w:r w:rsidR="00EE4FC3">
        <w:t xml:space="preserve"> </w:t>
      </w:r>
      <w:r w:rsidRPr="00382917">
        <w:t>to</w:t>
      </w:r>
      <w:r w:rsidR="00EE4FC3">
        <w:t xml:space="preserve"> </w:t>
      </w:r>
      <w:r w:rsidRPr="00382917">
        <w:t>the</w:t>
      </w:r>
      <w:r w:rsidR="00EE4FC3">
        <w:t xml:space="preserve"> </w:t>
      </w:r>
      <w:proofErr w:type="spellStart"/>
      <w:r w:rsidRPr="00382917">
        <w:t>Sherif</w:t>
      </w:r>
      <w:proofErr w:type="spellEnd"/>
      <w:r w:rsidR="00EE4FC3">
        <w:t xml:space="preserve"> </w:t>
      </w:r>
      <w:r w:rsidRPr="00382917">
        <w:t>of</w:t>
      </w:r>
      <w:r w:rsidR="00EE4FC3">
        <w:t xml:space="preserve"> </w:t>
      </w:r>
      <w:r w:rsidRPr="00382917">
        <w:t>Mecca,</w:t>
      </w:r>
      <w:r w:rsidR="00CA305C">
        <w:rPr>
          <w:rStyle w:val="FootnoteReference"/>
        </w:rPr>
        <w:footnoteReference w:id="24"/>
      </w:r>
      <w:r w:rsidR="00EE4FC3">
        <w:t xml:space="preserve"> </w:t>
      </w:r>
      <w:r w:rsidRPr="00382917">
        <w:t>hoping</w:t>
      </w:r>
      <w:r w:rsidR="00EE4FC3">
        <w:t xml:space="preserve"> </w:t>
      </w:r>
      <w:r w:rsidRPr="00382917">
        <w:t>that</w:t>
      </w:r>
      <w:r w:rsidR="00EE4FC3">
        <w:t xml:space="preserve"> </w:t>
      </w:r>
      <w:r w:rsidRPr="00382917">
        <w:t>through</w:t>
      </w:r>
      <w:r w:rsidR="00EE4FC3">
        <w:t xml:space="preserve"> </w:t>
      </w:r>
      <w:r w:rsidRPr="00382917">
        <w:t>him</w:t>
      </w:r>
      <w:r w:rsidR="00EE4FC3">
        <w:t xml:space="preserve"> </w:t>
      </w:r>
      <w:r w:rsidRPr="00382917">
        <w:t>He</w:t>
      </w:r>
      <w:r w:rsidR="00EE4FC3">
        <w:t xml:space="preserve"> </w:t>
      </w:r>
      <w:r w:rsidRPr="00382917">
        <w:t>might</w:t>
      </w:r>
      <w:r w:rsidR="00EE4FC3">
        <w:t xml:space="preserve"> </w:t>
      </w:r>
      <w:r w:rsidRPr="00382917">
        <w:t>reach</w:t>
      </w:r>
      <w:r w:rsidR="00EE4FC3">
        <w:t xml:space="preserve"> </w:t>
      </w:r>
      <w:r w:rsidRPr="00382917">
        <w:t>the</w:t>
      </w:r>
      <w:r w:rsidR="00EE4FC3">
        <w:t xml:space="preserve"> </w:t>
      </w:r>
      <w:r w:rsidRPr="00382917">
        <w:t>hearts</w:t>
      </w:r>
      <w:r w:rsidR="00EE4FC3">
        <w:t xml:space="preserve"> </w:t>
      </w:r>
      <w:r w:rsidRPr="00382917">
        <w:t>of</w:t>
      </w:r>
      <w:r w:rsidR="00EE4FC3">
        <w:t xml:space="preserve"> </w:t>
      </w:r>
      <w:r w:rsidRPr="00382917">
        <w:t>the</w:t>
      </w:r>
      <w:r w:rsidR="00EE4FC3">
        <w:t xml:space="preserve"> </w:t>
      </w:r>
      <w:r w:rsidRPr="00382917">
        <w:t>people.</w:t>
      </w:r>
    </w:p>
    <w:p w:rsidR="006D18A4" w:rsidRPr="00382917" w:rsidRDefault="006D18A4" w:rsidP="009F0F0D">
      <w:pPr>
        <w:pStyle w:val="Text"/>
      </w:pPr>
      <w:r w:rsidRPr="00382917">
        <w:t>In</w:t>
      </w:r>
      <w:r w:rsidR="00EE4FC3">
        <w:t xml:space="preserve"> </w:t>
      </w:r>
      <w:r w:rsidRPr="00382917">
        <w:t>that</w:t>
      </w:r>
      <w:r w:rsidR="00EE4FC3">
        <w:t xml:space="preserve"> </w:t>
      </w:r>
      <w:r w:rsidRPr="00382917">
        <w:t>letter,</w:t>
      </w:r>
      <w:r w:rsidR="00EE4FC3">
        <w:t xml:space="preserve"> </w:t>
      </w:r>
      <w:r w:rsidRPr="00382917">
        <w:t>he</w:t>
      </w:r>
      <w:r w:rsidR="00EE4FC3">
        <w:t xml:space="preserve"> </w:t>
      </w:r>
      <w:r w:rsidRPr="00382917">
        <w:t>set</w:t>
      </w:r>
      <w:r w:rsidR="00EE4FC3">
        <w:t xml:space="preserve"> </w:t>
      </w:r>
      <w:r w:rsidRPr="00382917">
        <w:t>forth</w:t>
      </w:r>
      <w:r w:rsidR="00EE4FC3">
        <w:t xml:space="preserve"> </w:t>
      </w:r>
      <w:r w:rsidRPr="00382917">
        <w:t>in</w:t>
      </w:r>
      <w:r w:rsidR="00EE4FC3">
        <w:t xml:space="preserve"> </w:t>
      </w:r>
      <w:r w:rsidRPr="00382917">
        <w:t>clear</w:t>
      </w:r>
      <w:r w:rsidR="00EE4FC3">
        <w:t xml:space="preserve"> </w:t>
      </w:r>
      <w:r w:rsidRPr="00382917">
        <w:t>and</w:t>
      </w:r>
      <w:r w:rsidR="00EE4FC3">
        <w:t xml:space="preserve"> </w:t>
      </w:r>
      <w:r w:rsidRPr="00382917">
        <w:t>unmistakable</w:t>
      </w:r>
      <w:r w:rsidR="00EE4FC3">
        <w:t xml:space="preserve"> </w:t>
      </w:r>
      <w:r w:rsidRPr="00382917">
        <w:t>terms</w:t>
      </w:r>
      <w:r w:rsidR="00EE4FC3">
        <w:t xml:space="preserve"> </w:t>
      </w:r>
      <w:r w:rsidRPr="00382917">
        <w:t>the</w:t>
      </w:r>
      <w:r w:rsidR="00EE4FC3">
        <w:t xml:space="preserve"> </w:t>
      </w:r>
      <w:r w:rsidRPr="00382917">
        <w:t>distinguishing</w:t>
      </w:r>
      <w:r w:rsidR="00EE4FC3">
        <w:t xml:space="preserve"> </w:t>
      </w:r>
      <w:r w:rsidRPr="00382917">
        <w:t>features</w:t>
      </w:r>
      <w:r w:rsidR="00EE4FC3">
        <w:t xml:space="preserve"> </w:t>
      </w:r>
      <w:r w:rsidRPr="00382917">
        <w:t>of</w:t>
      </w:r>
      <w:r w:rsidR="00EE4FC3">
        <w:t xml:space="preserve"> </w:t>
      </w:r>
      <w:r w:rsidRPr="00382917">
        <w:t>His</w:t>
      </w:r>
      <w:r w:rsidR="00EE4FC3">
        <w:t xml:space="preserve"> </w:t>
      </w:r>
      <w:r w:rsidRPr="00382917">
        <w:t>Mission</w:t>
      </w:r>
      <w:r w:rsidR="00EE4FC3">
        <w:t xml:space="preserve"> </w:t>
      </w:r>
      <w:r w:rsidRPr="00382917">
        <w:t>and</w:t>
      </w:r>
      <w:r w:rsidR="00EE4FC3">
        <w:t xml:space="preserve"> </w:t>
      </w:r>
      <w:r w:rsidRPr="00382917">
        <w:t>called</w:t>
      </w:r>
      <w:r w:rsidR="00EE4FC3">
        <w:t xml:space="preserve"> </w:t>
      </w:r>
      <w:r w:rsidRPr="00382917">
        <w:t>upon</w:t>
      </w:r>
      <w:r w:rsidR="00EE4FC3">
        <w:t xml:space="preserve"> </w:t>
      </w:r>
      <w:r w:rsidRPr="00382917">
        <w:t>the</w:t>
      </w:r>
      <w:r w:rsidR="00EE4FC3">
        <w:t xml:space="preserve"> </w:t>
      </w:r>
      <w:proofErr w:type="spellStart"/>
      <w:r w:rsidRPr="00382917">
        <w:t>Sherif</w:t>
      </w:r>
      <w:proofErr w:type="spellEnd"/>
      <w:r w:rsidR="00EE4FC3">
        <w:t xml:space="preserve"> </w:t>
      </w:r>
      <w:r w:rsidRPr="00382917">
        <w:t>to</w:t>
      </w:r>
      <w:r w:rsidR="00EE4FC3">
        <w:t xml:space="preserve"> </w:t>
      </w:r>
      <w:r w:rsidRPr="00382917">
        <w:t>arise</w:t>
      </w:r>
      <w:r w:rsidR="00EE4FC3">
        <w:t xml:space="preserve"> </w:t>
      </w:r>
      <w:r w:rsidRPr="00382917">
        <w:t>and</w:t>
      </w:r>
      <w:r w:rsidR="00EE4FC3">
        <w:t xml:space="preserve"> </w:t>
      </w:r>
      <w:r w:rsidRPr="00382917">
        <w:t>embrace</w:t>
      </w:r>
      <w:r w:rsidR="00EE4FC3">
        <w:t xml:space="preserve"> </w:t>
      </w:r>
      <w:r w:rsidRPr="00382917">
        <w:t>His</w:t>
      </w:r>
      <w:r w:rsidR="00EE4FC3">
        <w:t xml:space="preserve"> </w:t>
      </w:r>
      <w:r w:rsidRPr="00382917">
        <w:t>Cause.</w:t>
      </w:r>
    </w:p>
    <w:p w:rsidR="006D18A4" w:rsidRPr="00382917" w:rsidRDefault="006D18A4" w:rsidP="009F0F0D">
      <w:pPr>
        <w:pStyle w:val="Text"/>
      </w:pPr>
      <w:r w:rsidRPr="00382917">
        <w:t>The</w:t>
      </w:r>
      <w:r w:rsidR="00EE4FC3">
        <w:t xml:space="preserve"> </w:t>
      </w:r>
      <w:proofErr w:type="spellStart"/>
      <w:r w:rsidRPr="00382917">
        <w:t>Sherif</w:t>
      </w:r>
      <w:proofErr w:type="spellEnd"/>
      <w:r w:rsidR="00EE4FC3">
        <w:t xml:space="preserve"> </w:t>
      </w:r>
      <w:r w:rsidRPr="00382917">
        <w:t>did</w:t>
      </w:r>
      <w:r w:rsidR="00EE4FC3">
        <w:t xml:space="preserve"> </w:t>
      </w:r>
      <w:r w:rsidRPr="00382917">
        <w:t>not</w:t>
      </w:r>
      <w:r w:rsidR="00EE4FC3">
        <w:t xml:space="preserve"> </w:t>
      </w:r>
      <w:r w:rsidRPr="00382917">
        <w:t>bother</w:t>
      </w:r>
      <w:r w:rsidR="00EE4FC3">
        <w:t xml:space="preserve"> </w:t>
      </w:r>
      <w:r w:rsidRPr="00382917">
        <w:t>to</w:t>
      </w:r>
      <w:r w:rsidR="00EE4FC3">
        <w:t xml:space="preserve"> </w:t>
      </w:r>
      <w:r w:rsidRPr="00382917">
        <w:t>read</w:t>
      </w:r>
      <w:r w:rsidR="00EE4FC3">
        <w:t xml:space="preserve"> </w:t>
      </w:r>
      <w:r w:rsidRPr="00382917">
        <w:t>the</w:t>
      </w:r>
      <w:r w:rsidR="00EE4FC3">
        <w:t xml:space="preserve"> </w:t>
      </w:r>
      <w:r w:rsidRPr="00382917">
        <w:t>letter</w:t>
      </w:r>
      <w:r w:rsidR="00EE4FC3">
        <w:t xml:space="preserve"> </w:t>
      </w:r>
      <w:r w:rsidRPr="00382917">
        <w:t>or</w:t>
      </w:r>
      <w:r w:rsidR="00EE4FC3">
        <w:t xml:space="preserve"> </w:t>
      </w:r>
      <w:r w:rsidRPr="00382917">
        <w:t>to</w:t>
      </w:r>
      <w:r w:rsidR="00EE4FC3">
        <w:t xml:space="preserve"> </w:t>
      </w:r>
      <w:r w:rsidRPr="00382917">
        <w:t>share</w:t>
      </w:r>
      <w:r w:rsidR="00EE4FC3">
        <w:t xml:space="preserve"> </w:t>
      </w:r>
      <w:r w:rsidRPr="00382917">
        <w:t>it</w:t>
      </w:r>
      <w:r w:rsidR="00EE4FC3">
        <w:t xml:space="preserve"> </w:t>
      </w:r>
      <w:r w:rsidRPr="00382917">
        <w:t>with</w:t>
      </w:r>
      <w:r w:rsidR="00EE4FC3">
        <w:t xml:space="preserve"> </w:t>
      </w:r>
      <w:r w:rsidRPr="00382917">
        <w:t>his</w:t>
      </w:r>
    </w:p>
    <w:p w:rsidR="009F0F0D" w:rsidRPr="00382917" w:rsidRDefault="009F0F0D">
      <w:pPr>
        <w:widowControl/>
        <w:kinsoku/>
        <w:overflowPunct/>
        <w:textAlignment w:val="auto"/>
      </w:pPr>
      <w:r w:rsidRPr="00382917">
        <w:br w:type="page"/>
      </w:r>
    </w:p>
    <w:p w:rsidR="006D18A4" w:rsidRPr="00382917" w:rsidRDefault="006D18A4" w:rsidP="009F0F0D">
      <w:pPr>
        <w:pStyle w:val="Textcts"/>
      </w:pPr>
      <w:proofErr w:type="gramStart"/>
      <w:r w:rsidRPr="00382917">
        <w:t>friends</w:t>
      </w:r>
      <w:proofErr w:type="gramEnd"/>
      <w:r w:rsidR="00EE4FC3">
        <w:t xml:space="preserve"> </w:t>
      </w:r>
      <w:r w:rsidRPr="00382917">
        <w:t>who</w:t>
      </w:r>
      <w:r w:rsidR="00EE4FC3">
        <w:t xml:space="preserve"> </w:t>
      </w:r>
      <w:r w:rsidRPr="00382917">
        <w:t>were</w:t>
      </w:r>
      <w:r w:rsidR="00EE4FC3">
        <w:t xml:space="preserve"> </w:t>
      </w:r>
      <w:r w:rsidRPr="00382917">
        <w:t>all</w:t>
      </w:r>
      <w:r w:rsidR="00EE4FC3">
        <w:t xml:space="preserve"> </w:t>
      </w:r>
      <w:r w:rsidRPr="00382917">
        <w:t>too</w:t>
      </w:r>
      <w:r w:rsidR="00EE4FC3">
        <w:t xml:space="preserve"> </w:t>
      </w:r>
      <w:r w:rsidRPr="00382917">
        <w:t>much</w:t>
      </w:r>
      <w:r w:rsidR="00EE4FC3">
        <w:t xml:space="preserve"> </w:t>
      </w:r>
      <w:r w:rsidRPr="00382917">
        <w:t>absorbed</w:t>
      </w:r>
      <w:r w:rsidR="00EE4FC3">
        <w:t xml:space="preserve"> </w:t>
      </w:r>
      <w:r w:rsidRPr="00382917">
        <w:t>in</w:t>
      </w:r>
      <w:r w:rsidR="00EE4FC3">
        <w:t xml:space="preserve"> </w:t>
      </w:r>
      <w:r w:rsidRPr="00382917">
        <w:t>their</w:t>
      </w:r>
      <w:r w:rsidR="00EE4FC3">
        <w:t xml:space="preserve"> </w:t>
      </w:r>
      <w:r w:rsidRPr="00382917">
        <w:t>own</w:t>
      </w:r>
      <w:r w:rsidR="00EE4FC3">
        <w:t xml:space="preserve"> </w:t>
      </w:r>
      <w:r w:rsidRPr="00382917">
        <w:t>affairs</w:t>
      </w:r>
      <w:r w:rsidR="00EE4FC3">
        <w:t xml:space="preserve"> </w:t>
      </w:r>
      <w:r w:rsidRPr="00382917">
        <w:t>to</w:t>
      </w:r>
      <w:r w:rsidR="00EE4FC3">
        <w:t xml:space="preserve"> </w:t>
      </w:r>
      <w:r w:rsidRPr="00382917">
        <w:t>respond</w:t>
      </w:r>
      <w:r w:rsidR="00EE4FC3">
        <w:t xml:space="preserve"> </w:t>
      </w:r>
      <w:r w:rsidRPr="00382917">
        <w:t>to</w:t>
      </w:r>
      <w:r w:rsidR="00EE4FC3">
        <w:t xml:space="preserve"> </w:t>
      </w:r>
      <w:r w:rsidRPr="00382917">
        <w:t>the</w:t>
      </w:r>
      <w:r w:rsidR="00EE4FC3">
        <w:t xml:space="preserve"> </w:t>
      </w:r>
      <w:r w:rsidRPr="00382917">
        <w:t>call</w:t>
      </w:r>
      <w:r w:rsidR="00EE4FC3">
        <w:t xml:space="preserve"> </w:t>
      </w:r>
      <w:r w:rsidRPr="00382917">
        <w:t>of</w:t>
      </w:r>
      <w:r w:rsidR="00EE4FC3">
        <w:t xml:space="preserve"> </w:t>
      </w:r>
      <w:r w:rsidRPr="00382917">
        <w:t>the</w:t>
      </w:r>
      <w:r w:rsidR="00EE4FC3">
        <w:t xml:space="preserve"> </w:t>
      </w:r>
      <w:r w:rsidRPr="00382917">
        <w:t>Báb.</w:t>
      </w:r>
    </w:p>
    <w:p w:rsidR="00E13D49" w:rsidRPr="00382917" w:rsidRDefault="006D18A4" w:rsidP="00030BA2">
      <w:pPr>
        <w:pStyle w:val="Text"/>
      </w:pPr>
      <w:r w:rsidRPr="00382917">
        <w:t>Later,</w:t>
      </w:r>
      <w:r w:rsidR="00EE4FC3">
        <w:t xml:space="preserve"> </w:t>
      </w:r>
      <w:r w:rsidRPr="00382917">
        <w:t>the</w:t>
      </w:r>
      <w:r w:rsidR="00EE4FC3">
        <w:t xml:space="preserve"> </w:t>
      </w:r>
      <w:proofErr w:type="spellStart"/>
      <w:r w:rsidRPr="00382917">
        <w:t>Sherif</w:t>
      </w:r>
      <w:proofErr w:type="spellEnd"/>
      <w:r w:rsidR="00EE4FC3">
        <w:t xml:space="preserve"> </w:t>
      </w:r>
      <w:r w:rsidRPr="00382917">
        <w:t>admitted</w:t>
      </w:r>
      <w:r w:rsidR="00EE4FC3">
        <w:t xml:space="preserve"> </w:t>
      </w:r>
      <w:r w:rsidRPr="00382917">
        <w:t>his</w:t>
      </w:r>
      <w:r w:rsidR="00EE4FC3">
        <w:t xml:space="preserve"> </w:t>
      </w:r>
      <w:r w:rsidRPr="00382917">
        <w:t>indifference.</w:t>
      </w:r>
      <w:r w:rsidR="00EE4FC3">
        <w:t xml:space="preserve">  </w:t>
      </w:r>
      <w:r w:rsidR="009C713D" w:rsidRPr="00382917">
        <w:t>“</w:t>
      </w:r>
      <w:r w:rsidRPr="00382917">
        <w:t>In</w:t>
      </w:r>
      <w:r w:rsidR="00EE4FC3">
        <w:t xml:space="preserve"> </w:t>
      </w:r>
      <w:r w:rsidRPr="00382917">
        <w:t>the</w:t>
      </w:r>
      <w:r w:rsidR="00EE4FC3">
        <w:t xml:space="preserve"> </w:t>
      </w:r>
      <w:r w:rsidRPr="00382917">
        <w:t>year</w:t>
      </w:r>
      <w:r w:rsidR="00EE4FC3">
        <w:t xml:space="preserve"> </w:t>
      </w:r>
      <w:r w:rsidRPr="00382917">
        <w:t>1844,</w:t>
      </w:r>
      <w:r w:rsidR="009C713D" w:rsidRPr="00382917">
        <w:t>”</w:t>
      </w:r>
      <w:r w:rsidR="00EE4FC3">
        <w:t xml:space="preserve"> </w:t>
      </w:r>
      <w:r w:rsidRPr="00382917">
        <w:t>he</w:t>
      </w:r>
      <w:r w:rsidR="00EE4FC3">
        <w:t xml:space="preserve"> </w:t>
      </w:r>
      <w:r w:rsidRPr="00382917">
        <w:t>said,</w:t>
      </w:r>
      <w:r w:rsidR="00EE4FC3">
        <w:t xml:space="preserve"> </w:t>
      </w:r>
      <w:r w:rsidR="009C713D" w:rsidRPr="00382917">
        <w:t>“</w:t>
      </w:r>
      <w:r w:rsidRPr="00382917">
        <w:t>I</w:t>
      </w:r>
      <w:r w:rsidR="00EE4FC3">
        <w:t xml:space="preserve"> </w:t>
      </w:r>
      <w:r w:rsidRPr="00382917">
        <w:t>recall</w:t>
      </w:r>
      <w:r w:rsidR="00EE4FC3">
        <w:t xml:space="preserve"> </w:t>
      </w:r>
      <w:r w:rsidRPr="00382917">
        <w:t>that</w:t>
      </w:r>
      <w:r w:rsidR="00EE4FC3">
        <w:t xml:space="preserve"> </w:t>
      </w:r>
      <w:r w:rsidRPr="00382917">
        <w:t>a</w:t>
      </w:r>
      <w:r w:rsidR="00EE4FC3">
        <w:t xml:space="preserve"> </w:t>
      </w:r>
      <w:r w:rsidRPr="00382917">
        <w:t>young</w:t>
      </w:r>
      <w:r w:rsidR="00EE4FC3">
        <w:t xml:space="preserve"> </w:t>
      </w:r>
      <w:r w:rsidRPr="00382917">
        <w:t>man</w:t>
      </w:r>
      <w:r w:rsidR="00EE4FC3">
        <w:t xml:space="preserve"> </w:t>
      </w:r>
      <w:r w:rsidRPr="00382917">
        <w:t>came</w:t>
      </w:r>
      <w:r w:rsidR="00EE4FC3">
        <w:t xml:space="preserve"> </w:t>
      </w:r>
      <w:r w:rsidRPr="00382917">
        <w:t>to</w:t>
      </w:r>
      <w:r w:rsidR="00EE4FC3">
        <w:t xml:space="preserve"> </w:t>
      </w:r>
      <w:r w:rsidRPr="00382917">
        <w:t>see</w:t>
      </w:r>
      <w:r w:rsidR="00EE4FC3">
        <w:t xml:space="preserve"> </w:t>
      </w:r>
      <w:r w:rsidRPr="00382917">
        <w:t>me.</w:t>
      </w:r>
      <w:r w:rsidR="00EE4FC3">
        <w:t xml:space="preserve">  </w:t>
      </w:r>
      <w:r w:rsidRPr="00382917">
        <w:t>He</w:t>
      </w:r>
      <w:r w:rsidR="00EE4FC3">
        <w:t xml:space="preserve"> </w:t>
      </w:r>
      <w:r w:rsidRPr="00382917">
        <w:t>gave</w:t>
      </w:r>
      <w:r w:rsidR="00EE4FC3">
        <w:t xml:space="preserve"> </w:t>
      </w:r>
      <w:r w:rsidRPr="00382917">
        <w:t>me</w:t>
      </w:r>
      <w:r w:rsidR="00EE4FC3">
        <w:t xml:space="preserve"> </w:t>
      </w:r>
      <w:r w:rsidRPr="00382917">
        <w:t>a</w:t>
      </w:r>
      <w:r w:rsidR="00EE4FC3">
        <w:t xml:space="preserve"> </w:t>
      </w:r>
      <w:r w:rsidRPr="00382917">
        <w:t>book,</w:t>
      </w:r>
      <w:r w:rsidR="00EE4FC3">
        <w:t xml:space="preserve"> </w:t>
      </w:r>
      <w:r w:rsidRPr="00382917">
        <w:t>but</w:t>
      </w:r>
      <w:r w:rsidR="00EE4FC3">
        <w:t xml:space="preserve"> </w:t>
      </w:r>
      <w:r w:rsidRPr="00382917">
        <w:t>I</w:t>
      </w:r>
      <w:r w:rsidR="00EE4FC3">
        <w:t xml:space="preserve"> </w:t>
      </w:r>
      <w:r w:rsidRPr="00382917">
        <w:t>was</w:t>
      </w:r>
      <w:r w:rsidR="00EE4FC3">
        <w:t xml:space="preserve"> </w:t>
      </w:r>
      <w:r w:rsidRPr="00382917">
        <w:t>too</w:t>
      </w:r>
      <w:r w:rsidR="00EE4FC3">
        <w:t xml:space="preserve"> </w:t>
      </w:r>
      <w:r w:rsidRPr="00382917">
        <w:t>occupied</w:t>
      </w:r>
      <w:r w:rsidR="00EE4FC3">
        <w:t xml:space="preserve"> </w:t>
      </w:r>
      <w:r w:rsidRPr="00382917">
        <w:t>to</w:t>
      </w:r>
      <w:r w:rsidR="00EE4FC3">
        <w:t xml:space="preserve"> </w:t>
      </w:r>
      <w:r w:rsidRPr="00382917">
        <w:t>read</w:t>
      </w:r>
      <w:r w:rsidR="00EE4FC3">
        <w:t xml:space="preserve"> </w:t>
      </w:r>
      <w:r w:rsidRPr="00382917">
        <w:t>it</w:t>
      </w:r>
      <w:r w:rsidR="00EE4FC3">
        <w:t xml:space="preserve"> </w:t>
      </w:r>
      <w:r w:rsidRPr="00382917">
        <w:t>at</w:t>
      </w:r>
      <w:r w:rsidR="00EE4FC3">
        <w:t xml:space="preserve"> </w:t>
      </w:r>
      <w:r w:rsidRPr="00382917">
        <w:t>that</w:t>
      </w:r>
      <w:r w:rsidR="00EE4FC3">
        <w:t xml:space="preserve"> </w:t>
      </w:r>
      <w:r w:rsidRPr="00382917">
        <w:t>time.</w:t>
      </w:r>
      <w:r w:rsidR="00EE4FC3">
        <w:t xml:space="preserve">  </w:t>
      </w:r>
      <w:r w:rsidRPr="00382917">
        <w:t>A</w:t>
      </w:r>
      <w:r w:rsidR="00EE4FC3">
        <w:t xml:space="preserve"> </w:t>
      </w:r>
      <w:r w:rsidRPr="00382917">
        <w:t>few</w:t>
      </w:r>
      <w:r w:rsidR="00EE4FC3">
        <w:t xml:space="preserve"> </w:t>
      </w:r>
      <w:r w:rsidRPr="00382917">
        <w:t>days</w:t>
      </w:r>
      <w:r w:rsidR="00EE4FC3">
        <w:t xml:space="preserve"> </w:t>
      </w:r>
      <w:r w:rsidRPr="00382917">
        <w:t>later</w:t>
      </w:r>
      <w:r w:rsidR="00EE4FC3">
        <w:t xml:space="preserve"> </w:t>
      </w:r>
      <w:r w:rsidRPr="00382917">
        <w:t>I</w:t>
      </w:r>
      <w:r w:rsidR="00EE4FC3">
        <w:t xml:space="preserve"> </w:t>
      </w:r>
      <w:r w:rsidRPr="00382917">
        <w:t>met</w:t>
      </w:r>
      <w:r w:rsidR="00EE4FC3">
        <w:t xml:space="preserve"> </w:t>
      </w:r>
      <w:r w:rsidRPr="00382917">
        <w:t>him</w:t>
      </w:r>
      <w:r w:rsidR="00EE4FC3">
        <w:t xml:space="preserve"> </w:t>
      </w:r>
      <w:r w:rsidRPr="00382917">
        <w:t>again.</w:t>
      </w:r>
      <w:r w:rsidR="00EE4FC3">
        <w:t xml:space="preserve">  </w:t>
      </w:r>
      <w:r w:rsidRPr="00382917">
        <w:t>He</w:t>
      </w:r>
      <w:r w:rsidR="00EE4FC3">
        <w:t xml:space="preserve"> </w:t>
      </w:r>
      <w:r w:rsidRPr="00382917">
        <w:t>asked</w:t>
      </w:r>
      <w:r w:rsidR="00EE4FC3">
        <w:t xml:space="preserve"> </w:t>
      </w:r>
      <w:r w:rsidRPr="00382917">
        <w:t>me</w:t>
      </w:r>
      <w:r w:rsidR="00EE4FC3">
        <w:t xml:space="preserve"> </w:t>
      </w:r>
      <w:r w:rsidRPr="00382917">
        <w:t>if</w:t>
      </w:r>
      <w:r w:rsidR="00EE4FC3">
        <w:t xml:space="preserve"> </w:t>
      </w:r>
      <w:r w:rsidRPr="00382917">
        <w:t>I</w:t>
      </w:r>
      <w:r w:rsidR="00EE4FC3">
        <w:t xml:space="preserve"> </w:t>
      </w:r>
      <w:r w:rsidRPr="00382917">
        <w:t>had</w:t>
      </w:r>
      <w:r w:rsidR="00EE4FC3">
        <w:t xml:space="preserve"> </w:t>
      </w:r>
      <w:r w:rsidRPr="00382917">
        <w:t>any</w:t>
      </w:r>
      <w:r w:rsidR="00EE4FC3">
        <w:t xml:space="preserve"> </w:t>
      </w:r>
      <w:r w:rsidRPr="00382917">
        <w:t>reply</w:t>
      </w:r>
      <w:r w:rsidR="00EE4FC3">
        <w:t xml:space="preserve"> </w:t>
      </w:r>
      <w:r w:rsidRPr="00382917">
        <w:t>to</w:t>
      </w:r>
      <w:r w:rsidR="00EE4FC3">
        <w:t xml:space="preserve"> </w:t>
      </w:r>
      <w:r w:rsidRPr="00382917">
        <w:t>make</w:t>
      </w:r>
      <w:r w:rsidR="00EE4FC3">
        <w:t xml:space="preserve"> </w:t>
      </w:r>
      <w:r w:rsidRPr="00382917">
        <w:t>to</w:t>
      </w:r>
      <w:r w:rsidR="00EE4FC3">
        <w:t xml:space="preserve"> </w:t>
      </w:r>
      <w:r w:rsidRPr="00382917">
        <w:t>his</w:t>
      </w:r>
      <w:r w:rsidR="00EE4FC3">
        <w:t xml:space="preserve"> </w:t>
      </w:r>
      <w:r w:rsidRPr="00382917">
        <w:t>message.</w:t>
      </w:r>
      <w:r w:rsidR="00EE4FC3">
        <w:t xml:space="preserve">  </w:t>
      </w:r>
      <w:r w:rsidRPr="00382917">
        <w:t>Pressure</w:t>
      </w:r>
      <w:r w:rsidR="00EE4FC3">
        <w:t xml:space="preserve"> </w:t>
      </w:r>
      <w:r w:rsidRPr="00382917">
        <w:t>of</w:t>
      </w:r>
      <w:r w:rsidR="00EE4FC3">
        <w:t xml:space="preserve"> </w:t>
      </w:r>
      <w:r w:rsidRPr="00382917">
        <w:t>work</w:t>
      </w:r>
      <w:r w:rsidR="00EE4FC3">
        <w:t xml:space="preserve"> </w:t>
      </w:r>
      <w:r w:rsidRPr="00382917">
        <w:t>had</w:t>
      </w:r>
      <w:r w:rsidR="00EE4FC3">
        <w:t xml:space="preserve"> </w:t>
      </w:r>
      <w:r w:rsidRPr="00382917">
        <w:t>prevented</w:t>
      </w:r>
      <w:r w:rsidR="00EE4FC3">
        <w:t xml:space="preserve"> </w:t>
      </w:r>
      <w:r w:rsidRPr="00382917">
        <w:t>me</w:t>
      </w:r>
      <w:r w:rsidR="00EE4FC3">
        <w:t xml:space="preserve"> </w:t>
      </w:r>
      <w:r w:rsidRPr="00382917">
        <w:t>from</w:t>
      </w:r>
      <w:r w:rsidR="00EE4FC3">
        <w:t xml:space="preserve"> </w:t>
      </w:r>
      <w:r w:rsidRPr="00382917">
        <w:t>reading</w:t>
      </w:r>
      <w:r w:rsidR="00EE4FC3">
        <w:t xml:space="preserve"> </w:t>
      </w:r>
      <w:r w:rsidRPr="00382917">
        <w:t>the</w:t>
      </w:r>
      <w:r w:rsidR="00EE4FC3">
        <w:t xml:space="preserve"> </w:t>
      </w:r>
      <w:r w:rsidRPr="00382917">
        <w:t>contents</w:t>
      </w:r>
      <w:r w:rsidR="00EE4FC3">
        <w:t xml:space="preserve"> </w:t>
      </w:r>
      <w:r w:rsidRPr="00382917">
        <w:t>of</w:t>
      </w:r>
      <w:r w:rsidR="00EE4FC3">
        <w:t xml:space="preserve"> </w:t>
      </w:r>
      <w:r w:rsidRPr="00382917">
        <w:t>that</w:t>
      </w:r>
      <w:r w:rsidR="00EE4FC3">
        <w:t xml:space="preserve"> </w:t>
      </w:r>
      <w:r w:rsidRPr="00382917">
        <w:t>book,</w:t>
      </w:r>
      <w:r w:rsidR="00EE4FC3">
        <w:t xml:space="preserve"> </w:t>
      </w:r>
      <w:r w:rsidRPr="00382917">
        <w:t>so</w:t>
      </w:r>
      <w:r w:rsidR="00EE4FC3">
        <w:t xml:space="preserve"> </w:t>
      </w:r>
      <w:r w:rsidRPr="00382917">
        <w:t>I</w:t>
      </w:r>
      <w:r w:rsidR="00EE4FC3">
        <w:t xml:space="preserve"> </w:t>
      </w:r>
      <w:r w:rsidRPr="00382917">
        <w:t>told</w:t>
      </w:r>
      <w:r w:rsidR="00EE4FC3">
        <w:t xml:space="preserve"> </w:t>
      </w:r>
      <w:r w:rsidRPr="00382917">
        <w:t>him</w:t>
      </w:r>
      <w:r w:rsidR="00EE4FC3">
        <w:t xml:space="preserve"> </w:t>
      </w:r>
      <w:r w:rsidRPr="00382917">
        <w:t>that</w:t>
      </w:r>
      <w:r w:rsidR="00EE4FC3">
        <w:t xml:space="preserve"> </w:t>
      </w:r>
      <w:r w:rsidRPr="00382917">
        <w:t>I</w:t>
      </w:r>
      <w:r w:rsidR="00EE4FC3">
        <w:t xml:space="preserve"> </w:t>
      </w:r>
      <w:r w:rsidRPr="00382917">
        <w:t>had</w:t>
      </w:r>
      <w:r w:rsidR="00EE4FC3">
        <w:t xml:space="preserve"> </w:t>
      </w:r>
      <w:r w:rsidRPr="00382917">
        <w:t>no</w:t>
      </w:r>
      <w:r w:rsidR="00EE4FC3">
        <w:t xml:space="preserve"> </w:t>
      </w:r>
      <w:r w:rsidRPr="00382917">
        <w:t>answer</w:t>
      </w:r>
      <w:r w:rsidR="00EE4FC3">
        <w:t xml:space="preserve"> </w:t>
      </w:r>
      <w:r w:rsidRPr="00382917">
        <w:t>to</w:t>
      </w:r>
      <w:r w:rsidR="00EE4FC3">
        <w:t xml:space="preserve"> </w:t>
      </w:r>
      <w:r w:rsidRPr="00382917">
        <w:t>give</w:t>
      </w:r>
      <w:r w:rsidR="00EE4FC3">
        <w:t xml:space="preserve"> </w:t>
      </w:r>
      <w:r w:rsidRPr="00382917">
        <w:t>him.</w:t>
      </w:r>
      <w:r w:rsidR="009C713D" w:rsidRPr="00382917">
        <w:t>”</w:t>
      </w:r>
      <w:r w:rsidR="00030BA2">
        <w:rPr>
          <w:rStyle w:val="FootnoteReference"/>
        </w:rPr>
        <w:footnoteReference w:id="25"/>
      </w:r>
    </w:p>
    <w:p w:rsidR="00E13D49" w:rsidRPr="00382917" w:rsidRDefault="006D18A4" w:rsidP="00C059F4">
      <w:pPr>
        <w:pStyle w:val="Text"/>
      </w:pPr>
      <w:r w:rsidRPr="00382917">
        <w:t>The</w:t>
      </w:r>
      <w:r w:rsidR="00EE4FC3">
        <w:t xml:space="preserve"> </w:t>
      </w:r>
      <w:r w:rsidRPr="00382917">
        <w:t>Báb</w:t>
      </w:r>
      <w:r w:rsidR="00EE4FC3">
        <w:t xml:space="preserve"> </w:t>
      </w:r>
      <w:r w:rsidRPr="00382917">
        <w:t>was</w:t>
      </w:r>
      <w:r w:rsidR="00EE4FC3">
        <w:t xml:space="preserve"> </w:t>
      </w:r>
      <w:r w:rsidRPr="00382917">
        <w:t>treated</w:t>
      </w:r>
      <w:r w:rsidR="00EE4FC3">
        <w:t xml:space="preserve"> </w:t>
      </w:r>
      <w:r w:rsidRPr="00382917">
        <w:t>as</w:t>
      </w:r>
      <w:r w:rsidR="00EE4FC3">
        <w:t xml:space="preserve"> </w:t>
      </w:r>
      <w:r w:rsidRPr="00382917">
        <w:t>Christ</w:t>
      </w:r>
      <w:r w:rsidR="00EE4FC3">
        <w:t xml:space="preserve"> </w:t>
      </w:r>
      <w:r w:rsidRPr="00382917">
        <w:t>had</w:t>
      </w:r>
      <w:r w:rsidR="00EE4FC3">
        <w:t xml:space="preserve"> </w:t>
      </w:r>
      <w:r w:rsidRPr="00382917">
        <w:t>been</w:t>
      </w:r>
      <w:r w:rsidR="00EE4FC3">
        <w:t xml:space="preserve"> </w:t>
      </w:r>
      <w:r w:rsidRPr="00382917">
        <w:t>treated,</w:t>
      </w:r>
      <w:r w:rsidR="00EE4FC3">
        <w:t xml:space="preserve"> </w:t>
      </w:r>
      <w:r w:rsidRPr="00382917">
        <w:t>with</w:t>
      </w:r>
      <w:r w:rsidR="00EE4FC3">
        <w:t xml:space="preserve"> </w:t>
      </w:r>
      <w:r w:rsidRPr="00382917">
        <w:t>ridicule</w:t>
      </w:r>
      <w:r w:rsidR="00EE4FC3">
        <w:t xml:space="preserve"> </w:t>
      </w:r>
      <w:r w:rsidRPr="00382917">
        <w:t>and</w:t>
      </w:r>
      <w:r w:rsidR="00EE4FC3">
        <w:t xml:space="preserve"> </w:t>
      </w:r>
      <w:r w:rsidRPr="00382917">
        <w:t>contempt.</w:t>
      </w:r>
      <w:r w:rsidR="00EE4FC3">
        <w:t xml:space="preserve">  </w:t>
      </w:r>
      <w:r w:rsidRPr="00382917">
        <w:t>It</w:t>
      </w:r>
      <w:r w:rsidR="00EE4FC3">
        <w:t xml:space="preserve"> </w:t>
      </w:r>
      <w:r w:rsidRPr="00382917">
        <w:t>was</w:t>
      </w:r>
      <w:r w:rsidR="00EE4FC3">
        <w:t xml:space="preserve"> </w:t>
      </w:r>
      <w:r w:rsidRPr="00382917">
        <w:t>the</w:t>
      </w:r>
      <w:r w:rsidR="00EE4FC3">
        <w:t xml:space="preserve"> </w:t>
      </w:r>
      <w:r w:rsidRPr="00382917">
        <w:t>same</w:t>
      </w:r>
      <w:r w:rsidR="00EE4FC3">
        <w:t xml:space="preserve"> </w:t>
      </w:r>
      <w:r w:rsidRPr="00382917">
        <w:t>as</w:t>
      </w:r>
      <w:r w:rsidR="00EE4FC3">
        <w:t xml:space="preserve"> </w:t>
      </w:r>
      <w:r w:rsidRPr="00382917">
        <w:t>it</w:t>
      </w:r>
      <w:r w:rsidR="00EE4FC3">
        <w:t xml:space="preserve"> </w:t>
      </w:r>
      <w:r w:rsidRPr="00382917">
        <w:t>had</w:t>
      </w:r>
      <w:r w:rsidR="00EE4FC3">
        <w:t xml:space="preserve"> </w:t>
      </w:r>
      <w:r w:rsidRPr="00382917">
        <w:t>been</w:t>
      </w:r>
      <w:r w:rsidR="00EE4FC3">
        <w:t xml:space="preserve"> </w:t>
      </w:r>
      <w:r w:rsidRPr="00382917">
        <w:t>in</w:t>
      </w:r>
      <w:r w:rsidR="00EE4FC3">
        <w:t xml:space="preserve"> </w:t>
      </w:r>
      <w:r w:rsidRPr="00382917">
        <w:t>those</w:t>
      </w:r>
      <w:r w:rsidR="00EE4FC3">
        <w:t xml:space="preserve"> </w:t>
      </w:r>
      <w:r w:rsidRPr="00382917">
        <w:t>days</w:t>
      </w:r>
      <w:r w:rsidR="00EE4FC3">
        <w:t xml:space="preserve"> </w:t>
      </w:r>
      <w:r w:rsidRPr="00382917">
        <w:t>when</w:t>
      </w:r>
      <w:r w:rsidR="00EE4FC3">
        <w:t xml:space="preserve"> </w:t>
      </w:r>
      <w:r w:rsidRPr="00382917">
        <w:t>Jesus</w:t>
      </w:r>
      <w:r w:rsidR="00EE4FC3">
        <w:t xml:space="preserve"> </w:t>
      </w:r>
      <w:r w:rsidRPr="00382917">
        <w:t>accused</w:t>
      </w:r>
      <w:r w:rsidR="00EE4FC3">
        <w:t xml:space="preserve"> </w:t>
      </w:r>
      <w:r w:rsidRPr="00382917">
        <w:t>the</w:t>
      </w:r>
      <w:r w:rsidR="00EE4FC3">
        <w:t xml:space="preserve"> </w:t>
      </w:r>
      <w:r w:rsidRPr="00382917">
        <w:t>leaders</w:t>
      </w:r>
      <w:r w:rsidR="00EE4FC3">
        <w:t xml:space="preserve"> </w:t>
      </w:r>
      <w:r w:rsidRPr="00382917">
        <w:t>of</w:t>
      </w:r>
      <w:r w:rsidR="00EE4FC3">
        <w:t xml:space="preserve"> </w:t>
      </w:r>
      <w:r w:rsidRPr="00382917">
        <w:t>His</w:t>
      </w:r>
      <w:r w:rsidR="00EE4FC3">
        <w:t xml:space="preserve"> </w:t>
      </w:r>
      <w:r w:rsidRPr="00382917">
        <w:t>day,</w:t>
      </w:r>
      <w:r w:rsidR="00EE4FC3">
        <w:t xml:space="preserve"> </w:t>
      </w:r>
      <w:r w:rsidRPr="00382917">
        <w:t>saying:</w:t>
      </w:r>
      <w:r w:rsidR="00EE4FC3">
        <w:t xml:space="preserve"> </w:t>
      </w:r>
      <w:r w:rsidR="009C713D" w:rsidRPr="00382917">
        <w:t>“</w:t>
      </w:r>
      <w:r w:rsidRPr="00382917">
        <w:t>Woe</w:t>
      </w:r>
      <w:r w:rsidR="00EE4FC3">
        <w:t xml:space="preserve"> </w:t>
      </w:r>
      <w:r w:rsidRPr="00382917">
        <w:t>unto</w:t>
      </w:r>
      <w:r w:rsidR="00EE4FC3">
        <w:t xml:space="preserve"> </w:t>
      </w:r>
      <w:r w:rsidRPr="00382917">
        <w:t>you</w:t>
      </w:r>
      <w:proofErr w:type="gramStart"/>
      <w:r w:rsidRPr="00382917">
        <w:t>!</w:t>
      </w:r>
      <w:r w:rsidR="00EE4FC3">
        <w:t xml:space="preserve"> </w:t>
      </w:r>
      <w:r w:rsidR="00F04416" w:rsidRPr="00382917">
        <w:t>…</w:t>
      </w:r>
      <w:r w:rsidR="00EE4FC3">
        <w:t xml:space="preserve">  </w:t>
      </w:r>
      <w:r w:rsidRPr="00382917">
        <w:t>ye</w:t>
      </w:r>
      <w:proofErr w:type="gramEnd"/>
      <w:r w:rsidR="00EE4FC3">
        <w:t xml:space="preserve"> </w:t>
      </w:r>
      <w:r w:rsidRPr="00382917">
        <w:t>entered</w:t>
      </w:r>
      <w:r w:rsidR="00EE4FC3">
        <w:t xml:space="preserve"> </w:t>
      </w:r>
      <w:r w:rsidRPr="00382917">
        <w:t>not</w:t>
      </w:r>
      <w:r w:rsidR="00EE4FC3">
        <w:t xml:space="preserve"> </w:t>
      </w:r>
      <w:r w:rsidRPr="00382917">
        <w:t>in</w:t>
      </w:r>
      <w:r w:rsidR="00EE4FC3">
        <w:t xml:space="preserve"> </w:t>
      </w:r>
      <w:r w:rsidRPr="00382917">
        <w:t>yourselves,</w:t>
      </w:r>
      <w:r w:rsidR="00EE4FC3">
        <w:t xml:space="preserve"> </w:t>
      </w:r>
      <w:r w:rsidRPr="00382917">
        <w:t>and</w:t>
      </w:r>
      <w:r w:rsidR="00EE4FC3">
        <w:t xml:space="preserve"> </w:t>
      </w:r>
      <w:r w:rsidRPr="00382917">
        <w:t>them</w:t>
      </w:r>
      <w:r w:rsidR="00EE4FC3">
        <w:t xml:space="preserve"> </w:t>
      </w:r>
      <w:r w:rsidRPr="00382917">
        <w:t>that</w:t>
      </w:r>
      <w:r w:rsidR="00EE4FC3">
        <w:t xml:space="preserve"> </w:t>
      </w:r>
      <w:r w:rsidRPr="00382917">
        <w:t>were</w:t>
      </w:r>
      <w:r w:rsidR="00EE4FC3">
        <w:t xml:space="preserve"> </w:t>
      </w:r>
      <w:r w:rsidRPr="00382917">
        <w:t>entering</w:t>
      </w:r>
      <w:r w:rsidR="00EE4FC3">
        <w:t xml:space="preserve"> </w:t>
      </w:r>
      <w:r w:rsidRPr="00382917">
        <w:t>in</w:t>
      </w:r>
      <w:r w:rsidR="00EE4FC3">
        <w:t xml:space="preserve"> </w:t>
      </w:r>
      <w:r w:rsidRPr="00382917">
        <w:t>ye</w:t>
      </w:r>
      <w:r w:rsidR="00EE4FC3">
        <w:t xml:space="preserve"> </w:t>
      </w:r>
      <w:r w:rsidRPr="00382917">
        <w:t>hindered.</w:t>
      </w:r>
      <w:r w:rsidR="009C713D" w:rsidRPr="00382917">
        <w:t>”</w:t>
      </w:r>
      <w:r w:rsidR="00C059F4">
        <w:rPr>
          <w:rStyle w:val="FootnoteReference"/>
        </w:rPr>
        <w:footnoteReference w:id="26"/>
      </w:r>
    </w:p>
    <w:p w:rsidR="006D18A4" w:rsidRPr="00382917" w:rsidRDefault="006D18A4" w:rsidP="00462BDF">
      <w:pPr>
        <w:pStyle w:val="Text"/>
      </w:pPr>
      <w:r w:rsidRPr="00382917">
        <w:t>The</w:t>
      </w:r>
      <w:r w:rsidR="00EE4FC3">
        <w:t xml:space="preserve"> </w:t>
      </w:r>
      <w:r w:rsidRPr="00382917">
        <w:t>people</w:t>
      </w:r>
      <w:r w:rsidR="00EE4FC3">
        <w:t xml:space="preserve"> </w:t>
      </w:r>
      <w:r w:rsidRPr="00382917">
        <w:t>did</w:t>
      </w:r>
      <w:r w:rsidR="00EE4FC3">
        <w:t xml:space="preserve"> </w:t>
      </w:r>
      <w:r w:rsidRPr="00382917">
        <w:t>not</w:t>
      </w:r>
      <w:r w:rsidR="00EE4FC3">
        <w:t xml:space="preserve"> </w:t>
      </w:r>
      <w:r w:rsidRPr="00382917">
        <w:t>understand</w:t>
      </w:r>
      <w:r w:rsidR="00EE4FC3">
        <w:t xml:space="preserve"> </w:t>
      </w:r>
      <w:r w:rsidRPr="00382917">
        <w:t>Him,</w:t>
      </w:r>
      <w:r w:rsidR="00EE4FC3">
        <w:t xml:space="preserve"> </w:t>
      </w:r>
      <w:r w:rsidRPr="00382917">
        <w:t>whether</w:t>
      </w:r>
      <w:r w:rsidR="00EE4FC3">
        <w:t xml:space="preserve"> </w:t>
      </w:r>
      <w:r w:rsidRPr="00382917">
        <w:t>He</w:t>
      </w:r>
      <w:r w:rsidR="00EE4FC3">
        <w:t xml:space="preserve"> </w:t>
      </w:r>
      <w:r w:rsidRPr="00382917">
        <w:t>spoke</w:t>
      </w:r>
      <w:r w:rsidR="00EE4FC3">
        <w:t xml:space="preserve"> </w:t>
      </w:r>
      <w:r w:rsidRPr="00382917">
        <w:t>plain</w:t>
      </w:r>
      <w:r w:rsidR="00EE4FC3">
        <w:t xml:space="preserve"> </w:t>
      </w:r>
      <w:r w:rsidRPr="00382917">
        <w:t>truths</w:t>
      </w:r>
      <w:r w:rsidR="00EE4FC3">
        <w:t xml:space="preserve"> </w:t>
      </w:r>
      <w:r w:rsidRPr="00382917">
        <w:t>or</w:t>
      </w:r>
      <w:r w:rsidR="00EE4FC3">
        <w:t xml:space="preserve"> </w:t>
      </w:r>
      <w:r w:rsidRPr="00382917">
        <w:t>in</w:t>
      </w:r>
      <w:r w:rsidR="00EE4FC3">
        <w:t xml:space="preserve"> </w:t>
      </w:r>
      <w:r w:rsidRPr="00382917">
        <w:t>symbols.</w:t>
      </w:r>
      <w:r w:rsidR="00EE4FC3">
        <w:t xml:space="preserve">  </w:t>
      </w:r>
      <w:r w:rsidRPr="00382917">
        <w:t>The</w:t>
      </w:r>
      <w:r w:rsidR="00EE4FC3">
        <w:t xml:space="preserve"> </w:t>
      </w:r>
      <w:r w:rsidRPr="00382917">
        <w:t>historian</w:t>
      </w:r>
      <w:r w:rsidR="00EE4FC3">
        <w:t xml:space="preserve"> </w:t>
      </w:r>
      <w:r w:rsidRPr="00382917">
        <w:t>Nicolas</w:t>
      </w:r>
      <w:r w:rsidR="00EE4FC3">
        <w:t xml:space="preserve"> </w:t>
      </w:r>
      <w:r w:rsidRPr="00382917">
        <w:t>writes</w:t>
      </w:r>
      <w:r w:rsidR="00EE4FC3">
        <w:t xml:space="preserve"> </w:t>
      </w:r>
      <w:r w:rsidRPr="00382917">
        <w:t>that</w:t>
      </w:r>
      <w:r w:rsidR="00EE4FC3">
        <w:t xml:space="preserve"> </w:t>
      </w:r>
      <w:r w:rsidRPr="00382917">
        <w:t>the</w:t>
      </w:r>
      <w:r w:rsidR="00EE4FC3">
        <w:t xml:space="preserve"> </w:t>
      </w:r>
      <w:r w:rsidRPr="00382917">
        <w:t>Báb,</w:t>
      </w:r>
      <w:r w:rsidR="00EE4FC3">
        <w:t xml:space="preserve"> </w:t>
      </w:r>
      <w:r w:rsidRPr="00382917">
        <w:t>throughout</w:t>
      </w:r>
      <w:r w:rsidR="00EE4FC3">
        <w:t xml:space="preserve"> </w:t>
      </w:r>
      <w:r w:rsidRPr="00382917">
        <w:t>His</w:t>
      </w:r>
      <w:r w:rsidR="00EE4FC3">
        <w:t xml:space="preserve"> </w:t>
      </w:r>
      <w:r w:rsidRPr="00382917">
        <w:t>Mission,</w:t>
      </w:r>
      <w:r w:rsidR="00EE4FC3">
        <w:t xml:space="preserve"> </w:t>
      </w:r>
      <w:r w:rsidRPr="00382917">
        <w:t>had</w:t>
      </w:r>
      <w:r w:rsidR="00EE4FC3">
        <w:t xml:space="preserve"> </w:t>
      </w:r>
      <w:r w:rsidRPr="00382917">
        <w:t>to</w:t>
      </w:r>
      <w:r w:rsidR="00EE4FC3">
        <w:t xml:space="preserve"> </w:t>
      </w:r>
      <w:r w:rsidRPr="00382917">
        <w:t>act</w:t>
      </w:r>
      <w:r w:rsidR="00EE4FC3">
        <w:t xml:space="preserve"> </w:t>
      </w:r>
      <w:r w:rsidR="009C713D" w:rsidRPr="00382917">
        <w:t>“</w:t>
      </w:r>
      <w:r w:rsidRPr="00382917">
        <w:t>as</w:t>
      </w:r>
      <w:r w:rsidR="00EE4FC3">
        <w:t xml:space="preserve"> </w:t>
      </w:r>
      <w:r w:rsidRPr="00382917">
        <w:t>does</w:t>
      </w:r>
      <w:r w:rsidR="00EE4FC3">
        <w:t xml:space="preserve"> </w:t>
      </w:r>
      <w:r w:rsidRPr="00382917">
        <w:t>a</w:t>
      </w:r>
      <w:r w:rsidR="00EE4FC3">
        <w:t xml:space="preserve"> </w:t>
      </w:r>
      <w:r w:rsidRPr="00382917">
        <w:t>physician</w:t>
      </w:r>
      <w:r w:rsidR="00EE4FC3">
        <w:t xml:space="preserve"> </w:t>
      </w:r>
      <w:r w:rsidRPr="00382917">
        <w:t>to</w:t>
      </w:r>
      <w:r w:rsidR="00EE4FC3">
        <w:t xml:space="preserve"> </w:t>
      </w:r>
      <w:r w:rsidRPr="00382917">
        <w:t>children,</w:t>
      </w:r>
      <w:r w:rsidR="00EE4FC3">
        <w:t xml:space="preserve"> </w:t>
      </w:r>
      <w:r w:rsidRPr="00382917">
        <w:t>who</w:t>
      </w:r>
      <w:r w:rsidR="00EE4FC3">
        <w:t xml:space="preserve"> </w:t>
      </w:r>
      <w:r w:rsidRPr="00382917">
        <w:t>must</w:t>
      </w:r>
      <w:r w:rsidR="00EE4FC3">
        <w:t xml:space="preserve"> </w:t>
      </w:r>
      <w:r w:rsidRPr="00382917">
        <w:t>disguise</w:t>
      </w:r>
      <w:r w:rsidR="00EE4FC3">
        <w:t xml:space="preserve"> </w:t>
      </w:r>
      <w:r w:rsidRPr="00382917">
        <w:t>a</w:t>
      </w:r>
      <w:r w:rsidR="00EE4FC3">
        <w:t xml:space="preserve"> </w:t>
      </w:r>
      <w:r w:rsidRPr="00382917">
        <w:t>bitter</w:t>
      </w:r>
      <w:r w:rsidR="00EE4FC3">
        <w:t xml:space="preserve"> </w:t>
      </w:r>
      <w:r w:rsidRPr="00382917">
        <w:t>medicine</w:t>
      </w:r>
      <w:r w:rsidR="00EE4FC3">
        <w:t xml:space="preserve"> </w:t>
      </w:r>
      <w:r w:rsidRPr="00382917">
        <w:t>in</w:t>
      </w:r>
      <w:r w:rsidR="00EE4FC3">
        <w:t xml:space="preserve"> </w:t>
      </w:r>
      <w:r w:rsidRPr="00382917">
        <w:t>a</w:t>
      </w:r>
      <w:r w:rsidR="00EE4FC3">
        <w:t xml:space="preserve"> </w:t>
      </w:r>
      <w:r w:rsidRPr="00382917">
        <w:t>sweet</w:t>
      </w:r>
      <w:r w:rsidR="00EE4FC3">
        <w:t xml:space="preserve"> </w:t>
      </w:r>
      <w:r w:rsidRPr="00382917">
        <w:t>coating</w:t>
      </w:r>
      <w:r w:rsidR="00EE4FC3">
        <w:t xml:space="preserve"> </w:t>
      </w:r>
      <w:r w:rsidRPr="00382917">
        <w:t>in</w:t>
      </w:r>
      <w:r w:rsidR="00EE4FC3">
        <w:t xml:space="preserve"> </w:t>
      </w:r>
      <w:r w:rsidRPr="00382917">
        <w:t>order</w:t>
      </w:r>
      <w:r w:rsidR="00EE4FC3">
        <w:t xml:space="preserve"> </w:t>
      </w:r>
      <w:r w:rsidRPr="00382917">
        <w:t>to</w:t>
      </w:r>
      <w:r w:rsidR="00EE4FC3">
        <w:t xml:space="preserve"> </w:t>
      </w:r>
      <w:r w:rsidRPr="00382917">
        <w:t>win</w:t>
      </w:r>
      <w:r w:rsidR="00EE4FC3">
        <w:t xml:space="preserve"> </w:t>
      </w:r>
      <w:r w:rsidRPr="00382917">
        <w:t>over</w:t>
      </w:r>
      <w:r w:rsidR="00EE4FC3">
        <w:t xml:space="preserve"> </w:t>
      </w:r>
      <w:r w:rsidRPr="00382917">
        <w:t>his</w:t>
      </w:r>
      <w:r w:rsidR="00EE4FC3">
        <w:t xml:space="preserve"> </w:t>
      </w:r>
      <w:r w:rsidRPr="00382917">
        <w:t>young</w:t>
      </w:r>
      <w:r w:rsidR="00EE4FC3">
        <w:t xml:space="preserve"> </w:t>
      </w:r>
      <w:r w:rsidRPr="00382917">
        <w:t>patients.</w:t>
      </w:r>
      <w:r w:rsidR="00EE4FC3">
        <w:t xml:space="preserve">  </w:t>
      </w:r>
      <w:r w:rsidRPr="00382917">
        <w:t>The</w:t>
      </w:r>
      <w:r w:rsidR="00EE4FC3">
        <w:t xml:space="preserve"> </w:t>
      </w:r>
      <w:r w:rsidRPr="00382917">
        <w:t>people</w:t>
      </w:r>
      <w:r w:rsidR="00EE4FC3">
        <w:t xml:space="preserve"> </w:t>
      </w:r>
      <w:r w:rsidRPr="00382917">
        <w:t>in</w:t>
      </w:r>
      <w:r w:rsidR="00EE4FC3">
        <w:t xml:space="preserve"> </w:t>
      </w:r>
      <w:r w:rsidRPr="00382917">
        <w:t>the</w:t>
      </w:r>
      <w:r w:rsidR="00EE4FC3">
        <w:t xml:space="preserve"> </w:t>
      </w:r>
      <w:r w:rsidRPr="00382917">
        <w:t>midst</w:t>
      </w:r>
      <w:r w:rsidR="00EE4FC3">
        <w:t xml:space="preserve"> </w:t>
      </w:r>
      <w:r w:rsidRPr="00382917">
        <w:t>of</w:t>
      </w:r>
      <w:r w:rsidR="00EE4FC3">
        <w:t xml:space="preserve"> </w:t>
      </w:r>
      <w:r w:rsidRPr="00382917">
        <w:t>whom</w:t>
      </w:r>
      <w:r w:rsidR="00EE4FC3">
        <w:t xml:space="preserve"> </w:t>
      </w:r>
      <w:r w:rsidRPr="00382917">
        <w:t>he</w:t>
      </w:r>
      <w:r w:rsidR="00EE4FC3">
        <w:t xml:space="preserve"> </w:t>
      </w:r>
      <w:r w:rsidRPr="00382917">
        <w:t>[the</w:t>
      </w:r>
      <w:r w:rsidR="00EE4FC3">
        <w:t xml:space="preserve"> </w:t>
      </w:r>
      <w:r w:rsidRPr="00382917">
        <w:t>Báb]</w:t>
      </w:r>
      <w:r w:rsidR="00EE4FC3">
        <w:t xml:space="preserve"> </w:t>
      </w:r>
      <w:r w:rsidRPr="00382917">
        <w:t>appeared</w:t>
      </w:r>
      <w:r w:rsidR="00EE4FC3">
        <w:t xml:space="preserve"> </w:t>
      </w:r>
      <w:r w:rsidRPr="00382917">
        <w:t>were,</w:t>
      </w:r>
      <w:r w:rsidR="00EE4FC3">
        <w:t xml:space="preserve"> </w:t>
      </w:r>
      <w:r w:rsidRPr="00382917">
        <w:t>and</w:t>
      </w:r>
      <w:r w:rsidR="00EE4FC3">
        <w:t xml:space="preserve"> </w:t>
      </w:r>
      <w:r w:rsidRPr="00382917">
        <w:t>still</w:t>
      </w:r>
      <w:r w:rsidR="00EE4FC3">
        <w:t xml:space="preserve"> </w:t>
      </w:r>
      <w:r w:rsidRPr="00382917">
        <w:t>are,</w:t>
      </w:r>
      <w:r w:rsidR="00EE4FC3">
        <w:t xml:space="preserve"> </w:t>
      </w:r>
      <w:r w:rsidRPr="00382917">
        <w:t>alas,</w:t>
      </w:r>
      <w:r w:rsidR="00EE4FC3">
        <w:t xml:space="preserve"> </w:t>
      </w:r>
      <w:r w:rsidRPr="00382917">
        <w:t>more</w:t>
      </w:r>
      <w:r w:rsidR="00EE4FC3">
        <w:t xml:space="preserve"> </w:t>
      </w:r>
      <w:r w:rsidRPr="00382917">
        <w:t>fanatical</w:t>
      </w:r>
      <w:r w:rsidR="00EE4FC3">
        <w:t xml:space="preserve"> </w:t>
      </w:r>
      <w:r w:rsidRPr="00382917">
        <w:t>than</w:t>
      </w:r>
      <w:r w:rsidR="00EE4FC3">
        <w:t xml:space="preserve"> </w:t>
      </w:r>
      <w:r w:rsidRPr="00382917">
        <w:t>the</w:t>
      </w:r>
      <w:r w:rsidR="00EE4FC3">
        <w:t xml:space="preserve"> </w:t>
      </w:r>
      <w:r w:rsidRPr="00382917">
        <w:t>Jews</w:t>
      </w:r>
      <w:r w:rsidR="00EE4FC3">
        <w:t xml:space="preserve"> </w:t>
      </w:r>
      <w:r w:rsidRPr="00382917">
        <w:t>were</w:t>
      </w:r>
      <w:r w:rsidR="00EE4FC3">
        <w:t xml:space="preserve"> </w:t>
      </w:r>
      <w:r w:rsidRPr="00382917">
        <w:t>at</w:t>
      </w:r>
      <w:r w:rsidR="00EE4FC3">
        <w:t xml:space="preserve"> </w:t>
      </w:r>
      <w:r w:rsidRPr="00382917">
        <w:t>the</w:t>
      </w:r>
      <w:r w:rsidR="00EE4FC3">
        <w:t xml:space="preserve"> </w:t>
      </w:r>
      <w:r w:rsidRPr="00382917">
        <w:t>time</w:t>
      </w:r>
      <w:r w:rsidR="00EE4FC3">
        <w:t xml:space="preserve"> </w:t>
      </w:r>
      <w:r w:rsidRPr="00382917">
        <w:t>of</w:t>
      </w:r>
      <w:r w:rsidR="00EE4FC3">
        <w:t xml:space="preserve"> </w:t>
      </w:r>
      <w:r w:rsidRPr="00382917">
        <w:t>Jesus</w:t>
      </w:r>
      <w:proofErr w:type="gramStart"/>
      <w:r w:rsidR="00462BDF">
        <w:t>.</w:t>
      </w:r>
      <w:r w:rsidR="00EE4FC3">
        <w:t xml:space="preserve"> </w:t>
      </w:r>
      <w:proofErr w:type="gramEnd"/>
      <w:r w:rsidR="00F04416" w:rsidRPr="00382917">
        <w:t>…</w:t>
      </w:r>
      <w:r w:rsidR="00EE4FC3">
        <w:t xml:space="preserve">  </w:t>
      </w:r>
      <w:r w:rsidRPr="00382917">
        <w:t>Therefore,</w:t>
      </w:r>
      <w:r w:rsidR="00EE4FC3">
        <w:t xml:space="preserve"> </w:t>
      </w:r>
      <w:r w:rsidRPr="00382917">
        <w:t>if</w:t>
      </w:r>
      <w:r w:rsidR="00EE4FC3">
        <w:t xml:space="preserve"> </w:t>
      </w:r>
      <w:r w:rsidRPr="00382917">
        <w:t>Christ,</w:t>
      </w:r>
      <w:r w:rsidR="00EE4FC3">
        <w:t xml:space="preserve"> </w:t>
      </w:r>
      <w:r w:rsidRPr="00382917">
        <w:t>in</w:t>
      </w:r>
      <w:r w:rsidR="00EE4FC3">
        <w:t xml:space="preserve"> </w:t>
      </w:r>
      <w:r w:rsidRPr="00382917">
        <w:t>spite</w:t>
      </w:r>
      <w:r w:rsidR="00EE4FC3">
        <w:t xml:space="preserve"> </w:t>
      </w:r>
      <w:r w:rsidRPr="00382917">
        <w:t>of</w:t>
      </w:r>
      <w:r w:rsidR="00EE4FC3">
        <w:t xml:space="preserve"> </w:t>
      </w:r>
      <w:r w:rsidRPr="00382917">
        <w:t>the</w:t>
      </w:r>
      <w:r w:rsidR="00EE4FC3">
        <w:t xml:space="preserve"> </w:t>
      </w:r>
      <w:r w:rsidRPr="00382917">
        <w:t>relative</w:t>
      </w:r>
      <w:r w:rsidR="00EE4FC3">
        <w:t xml:space="preserve"> </w:t>
      </w:r>
      <w:r w:rsidRPr="00382917">
        <w:t>calm</w:t>
      </w:r>
      <w:r w:rsidR="00EE4FC3">
        <w:t xml:space="preserve"> </w:t>
      </w:r>
      <w:r w:rsidRPr="00382917">
        <w:t>of</w:t>
      </w:r>
      <w:r w:rsidR="00EE4FC3">
        <w:t xml:space="preserve"> </w:t>
      </w:r>
      <w:r w:rsidRPr="00382917">
        <w:t>the</w:t>
      </w:r>
      <w:r w:rsidR="00EE4FC3">
        <w:t xml:space="preserve"> </w:t>
      </w:r>
      <w:r w:rsidRPr="00382917">
        <w:t>surroundings</w:t>
      </w:r>
      <w:r w:rsidR="00EE4FC3">
        <w:t xml:space="preserve"> </w:t>
      </w:r>
      <w:r w:rsidRPr="00382917">
        <w:t>in</w:t>
      </w:r>
      <w:r w:rsidR="00EE4FC3">
        <w:t xml:space="preserve"> </w:t>
      </w:r>
      <w:r w:rsidRPr="00382917">
        <w:t>which</w:t>
      </w:r>
      <w:r w:rsidR="00EE4FC3">
        <w:t xml:space="preserve"> </w:t>
      </w:r>
      <w:r w:rsidRPr="00382917">
        <w:t>He</w:t>
      </w:r>
      <w:r w:rsidR="00EE4FC3">
        <w:t xml:space="preserve"> </w:t>
      </w:r>
      <w:r w:rsidRPr="00382917">
        <w:t>preached,</w:t>
      </w:r>
      <w:r w:rsidR="00EE4FC3">
        <w:t xml:space="preserve"> </w:t>
      </w:r>
      <w:r w:rsidRPr="00382917">
        <w:t>thought</w:t>
      </w:r>
      <w:r w:rsidR="00EE4FC3">
        <w:t xml:space="preserve"> </w:t>
      </w:r>
      <w:r w:rsidRPr="00382917">
        <w:t>it</w:t>
      </w:r>
      <w:r w:rsidR="00EE4FC3">
        <w:t xml:space="preserve"> </w:t>
      </w:r>
      <w:r w:rsidRPr="00382917">
        <w:t>necessary</w:t>
      </w:r>
      <w:r w:rsidR="00EE4FC3">
        <w:t xml:space="preserve"> </w:t>
      </w:r>
      <w:r w:rsidRPr="00382917">
        <w:t>to</w:t>
      </w:r>
      <w:r w:rsidR="00EE4FC3">
        <w:t xml:space="preserve"> </w:t>
      </w:r>
      <w:r w:rsidRPr="00382917">
        <w:t>employ</w:t>
      </w:r>
      <w:r w:rsidR="00EE4FC3">
        <w:t xml:space="preserve"> </w:t>
      </w:r>
      <w:r w:rsidRPr="00382917">
        <w:t>the</w:t>
      </w:r>
      <w:r w:rsidR="00EE4FC3">
        <w:t xml:space="preserve"> </w:t>
      </w:r>
      <w:r w:rsidRPr="00382917">
        <w:t>parable,</w:t>
      </w:r>
      <w:r w:rsidR="00EE4FC3">
        <w:t xml:space="preserve"> </w:t>
      </w:r>
      <w:r w:rsidRPr="00382917">
        <w:t>the</w:t>
      </w:r>
      <w:r w:rsidR="00EE4FC3">
        <w:t xml:space="preserve"> </w:t>
      </w:r>
      <w:r w:rsidRPr="00382917">
        <w:t>Báb</w:t>
      </w:r>
      <w:r w:rsidR="00EE4FC3">
        <w:t xml:space="preserve"> </w:t>
      </w:r>
      <w:r w:rsidRPr="00382917">
        <w:t>was</w:t>
      </w:r>
      <w:r w:rsidR="00EE4FC3">
        <w:t xml:space="preserve"> </w:t>
      </w:r>
      <w:r w:rsidRPr="00382917">
        <w:t>obliged</w:t>
      </w:r>
      <w:r w:rsidR="00EE4FC3">
        <w:t xml:space="preserve"> </w:t>
      </w:r>
      <w:r w:rsidRPr="00382917">
        <w:t>to</w:t>
      </w:r>
      <w:r w:rsidR="00EE4FC3">
        <w:t xml:space="preserve"> </w:t>
      </w:r>
      <w:r w:rsidRPr="00382917">
        <w:t>pour</w:t>
      </w:r>
      <w:r w:rsidR="00EE4FC3">
        <w:t xml:space="preserve"> </w:t>
      </w:r>
      <w:r w:rsidRPr="00382917">
        <w:t>out</w:t>
      </w:r>
      <w:r w:rsidR="00EE4FC3">
        <w:t xml:space="preserve"> </w:t>
      </w:r>
      <w:r w:rsidRPr="00382917">
        <w:t>one</w:t>
      </w:r>
      <w:r w:rsidR="00EE4FC3">
        <w:t xml:space="preserve"> </w:t>
      </w:r>
      <w:r w:rsidRPr="00382917">
        <w:t>drop</w:t>
      </w:r>
      <w:r w:rsidR="00EE4FC3">
        <w:t xml:space="preserve"> </w:t>
      </w:r>
      <w:r w:rsidRPr="00382917">
        <w:t>at</w:t>
      </w:r>
      <w:r w:rsidR="00EE4FC3">
        <w:t xml:space="preserve"> </w:t>
      </w:r>
      <w:r w:rsidRPr="00382917">
        <w:t>a</w:t>
      </w:r>
      <w:r w:rsidR="00EE4FC3">
        <w:t xml:space="preserve"> </w:t>
      </w:r>
      <w:r w:rsidRPr="00382917">
        <w:t>time,</w:t>
      </w:r>
      <w:r w:rsidR="00EE4FC3">
        <w:t xml:space="preserve"> </w:t>
      </w:r>
      <w:r w:rsidRPr="00382917">
        <w:t>the</w:t>
      </w:r>
      <w:r w:rsidR="00EE4FC3">
        <w:t xml:space="preserve"> </w:t>
      </w:r>
      <w:r w:rsidRPr="00382917">
        <w:t>filter</w:t>
      </w:r>
      <w:r w:rsidR="00EE4FC3">
        <w:t xml:space="preserve"> </w:t>
      </w:r>
      <w:r w:rsidRPr="00382917">
        <w:t>of</w:t>
      </w:r>
      <w:r w:rsidR="00EE4FC3">
        <w:t xml:space="preserve"> </w:t>
      </w:r>
      <w:r w:rsidRPr="00382917">
        <w:t>his</w:t>
      </w:r>
      <w:r w:rsidR="00EE4FC3">
        <w:t xml:space="preserve"> </w:t>
      </w:r>
      <w:r w:rsidRPr="00382917">
        <w:t>divine</w:t>
      </w:r>
      <w:r w:rsidR="00EE4FC3">
        <w:t xml:space="preserve"> </w:t>
      </w:r>
      <w:r w:rsidRPr="00382917">
        <w:t>truths.</w:t>
      </w:r>
      <w:r w:rsidR="00EE4FC3">
        <w:t xml:space="preserve">  </w:t>
      </w:r>
      <w:r w:rsidRPr="00382917">
        <w:t>He</w:t>
      </w:r>
      <w:r w:rsidR="00EE4FC3">
        <w:t xml:space="preserve"> </w:t>
      </w:r>
      <w:r w:rsidRPr="00382917">
        <w:t>brings</w:t>
      </w:r>
      <w:r w:rsidR="00EE4FC3">
        <w:t xml:space="preserve"> </w:t>
      </w:r>
      <w:r w:rsidRPr="00382917">
        <w:t>up</w:t>
      </w:r>
      <w:r w:rsidR="00EE4FC3">
        <w:t xml:space="preserve"> </w:t>
      </w:r>
      <w:r w:rsidRPr="00382917">
        <w:t>his</w:t>
      </w:r>
      <w:r w:rsidR="00EE4FC3">
        <w:t xml:space="preserve"> </w:t>
      </w:r>
      <w:r w:rsidRPr="00382917">
        <w:t>child,</w:t>
      </w:r>
      <w:r w:rsidR="00EE4FC3">
        <w:t xml:space="preserve"> </w:t>
      </w:r>
      <w:r w:rsidRPr="00382917">
        <w:t>humanity;</w:t>
      </w:r>
      <w:r w:rsidR="00EE4FC3">
        <w:t xml:space="preserve"> </w:t>
      </w:r>
      <w:r w:rsidRPr="00382917">
        <w:t>he</w:t>
      </w:r>
      <w:r w:rsidR="00EE4FC3">
        <w:t xml:space="preserve"> </w:t>
      </w:r>
      <w:r w:rsidRPr="00382917">
        <w:t>guides</w:t>
      </w:r>
      <w:r w:rsidR="00EE4FC3">
        <w:t xml:space="preserve"> </w:t>
      </w:r>
      <w:r w:rsidRPr="00382917">
        <w:t>it,</w:t>
      </w:r>
      <w:r w:rsidR="00EE4FC3">
        <w:t xml:space="preserve"> </w:t>
      </w:r>
      <w:proofErr w:type="spellStart"/>
      <w:r w:rsidRPr="00382917">
        <w:t>endeavoring</w:t>
      </w:r>
      <w:proofErr w:type="spellEnd"/>
      <w:r w:rsidR="00EE4FC3">
        <w:t xml:space="preserve"> </w:t>
      </w:r>
      <w:r w:rsidRPr="00382917">
        <w:t>always</w:t>
      </w:r>
      <w:r w:rsidR="00EE4FC3">
        <w:t xml:space="preserve"> </w:t>
      </w:r>
      <w:r w:rsidRPr="00382917">
        <w:t>not</w:t>
      </w:r>
      <w:r w:rsidR="00EE4FC3">
        <w:t xml:space="preserve"> </w:t>
      </w:r>
      <w:r w:rsidRPr="00382917">
        <w:t>to</w:t>
      </w:r>
      <w:r w:rsidR="00EE4FC3">
        <w:t xml:space="preserve"> </w:t>
      </w:r>
      <w:r w:rsidRPr="00382917">
        <w:t>frighten</w:t>
      </w:r>
      <w:r w:rsidR="00EE4FC3">
        <w:t xml:space="preserve"> </w:t>
      </w:r>
      <w:r w:rsidRPr="00382917">
        <w:t>it</w:t>
      </w:r>
      <w:r w:rsidR="00EE4FC3">
        <w:t xml:space="preserve"> </w:t>
      </w:r>
      <w:r w:rsidRPr="00382917">
        <w:t>and</w:t>
      </w:r>
      <w:r w:rsidR="00EE4FC3">
        <w:t xml:space="preserve"> </w:t>
      </w:r>
      <w:r w:rsidRPr="00382917">
        <w:t>directs</w:t>
      </w:r>
      <w:r w:rsidR="00EE4FC3">
        <w:t xml:space="preserve"> </w:t>
      </w:r>
      <w:r w:rsidRPr="00382917">
        <w:t>its</w:t>
      </w:r>
      <w:r w:rsidR="00EE4FC3">
        <w:t xml:space="preserve"> </w:t>
      </w:r>
      <w:r w:rsidRPr="00382917">
        <w:t>first</w:t>
      </w:r>
      <w:r w:rsidR="00EE4FC3">
        <w:t xml:space="preserve"> </w:t>
      </w:r>
      <w:r w:rsidRPr="00382917">
        <w:t>steps</w:t>
      </w:r>
      <w:r w:rsidR="00EE4FC3">
        <w:t xml:space="preserve"> </w:t>
      </w:r>
      <w:r w:rsidRPr="00382917">
        <w:t>on</w:t>
      </w:r>
      <w:r w:rsidR="00EE4FC3">
        <w:t xml:space="preserve"> </w:t>
      </w:r>
      <w:r w:rsidRPr="00382917">
        <w:t>a</w:t>
      </w:r>
      <w:r w:rsidR="00EE4FC3">
        <w:t xml:space="preserve"> </w:t>
      </w:r>
      <w:r w:rsidRPr="00382917">
        <w:t>path</w:t>
      </w:r>
      <w:r w:rsidR="00EE4FC3">
        <w:t xml:space="preserve"> </w:t>
      </w:r>
      <w:r w:rsidRPr="00382917">
        <w:t>which</w:t>
      </w:r>
      <w:r w:rsidR="00EE4FC3">
        <w:t xml:space="preserve"> </w:t>
      </w:r>
      <w:r w:rsidRPr="00382917">
        <w:t>leads</w:t>
      </w:r>
      <w:r w:rsidR="00EE4FC3">
        <w:t xml:space="preserve"> </w:t>
      </w:r>
      <w:r w:rsidRPr="00382917">
        <w:t>it</w:t>
      </w:r>
      <w:r w:rsidR="00EE4FC3">
        <w:t xml:space="preserve"> </w:t>
      </w:r>
      <w:r w:rsidRPr="00382917">
        <w:t>slowly</w:t>
      </w:r>
      <w:r w:rsidR="00EE4FC3">
        <w:t xml:space="preserve"> </w:t>
      </w:r>
      <w:r w:rsidRPr="00382917">
        <w:t>but</w:t>
      </w:r>
      <w:r w:rsidR="00EE4FC3">
        <w:t xml:space="preserve"> </w:t>
      </w:r>
      <w:r w:rsidRPr="00382917">
        <w:t>surely</w:t>
      </w:r>
      <w:r w:rsidR="00EE4FC3">
        <w:t xml:space="preserve"> </w:t>
      </w:r>
      <w:r w:rsidRPr="00382917">
        <w:t>so</w:t>
      </w:r>
      <w:r w:rsidR="00EE4FC3">
        <w:t xml:space="preserve"> </w:t>
      </w:r>
      <w:r w:rsidRPr="00382917">
        <w:t>that</w:t>
      </w:r>
      <w:r w:rsidR="00EE4FC3">
        <w:t xml:space="preserve"> </w:t>
      </w:r>
      <w:r w:rsidRPr="00382917">
        <w:t>as</w:t>
      </w:r>
      <w:r w:rsidR="00EE4FC3">
        <w:t xml:space="preserve"> </w:t>
      </w:r>
      <w:r w:rsidRPr="00382917">
        <w:t>soon</w:t>
      </w:r>
      <w:r w:rsidR="00EE4FC3">
        <w:t xml:space="preserve"> </w:t>
      </w:r>
      <w:r w:rsidRPr="00382917">
        <w:t>as</w:t>
      </w:r>
      <w:r w:rsidR="00EE4FC3">
        <w:t xml:space="preserve"> </w:t>
      </w:r>
      <w:r w:rsidRPr="00382917">
        <w:t>it</w:t>
      </w:r>
      <w:r w:rsidR="00EE4FC3">
        <w:t xml:space="preserve"> </w:t>
      </w:r>
      <w:r w:rsidRPr="00382917">
        <w:t>can</w:t>
      </w:r>
      <w:r w:rsidR="00EE4FC3">
        <w:t xml:space="preserve"> </w:t>
      </w:r>
      <w:r w:rsidRPr="00382917">
        <w:t>proceed</w:t>
      </w:r>
      <w:r w:rsidR="00EE4FC3">
        <w:t xml:space="preserve"> </w:t>
      </w:r>
      <w:r w:rsidRPr="00382917">
        <w:t>alone,</w:t>
      </w:r>
      <w:r w:rsidR="00EE4FC3">
        <w:t xml:space="preserve"> </w:t>
      </w:r>
      <w:r w:rsidRPr="00382917">
        <w:t>it</w:t>
      </w:r>
      <w:r w:rsidR="00EE4FC3">
        <w:t xml:space="preserve"> </w:t>
      </w:r>
      <w:r w:rsidRPr="00382917">
        <w:t>reaches</w:t>
      </w:r>
      <w:r w:rsidR="00EE4FC3">
        <w:t xml:space="preserve"> </w:t>
      </w:r>
      <w:r w:rsidRPr="00382917">
        <w:t>the</w:t>
      </w:r>
      <w:r w:rsidR="00EE4FC3">
        <w:t xml:space="preserve"> </w:t>
      </w:r>
      <w:r w:rsidRPr="00382917">
        <w:t>goal</w:t>
      </w:r>
      <w:r w:rsidR="00EE4FC3">
        <w:t xml:space="preserve"> </w:t>
      </w:r>
      <w:r w:rsidRPr="00382917">
        <w:t>preordained</w:t>
      </w:r>
      <w:r w:rsidR="00EE4FC3">
        <w:t xml:space="preserve"> </w:t>
      </w:r>
      <w:r w:rsidRPr="00382917">
        <w:t>for</w:t>
      </w:r>
      <w:r w:rsidR="00EE4FC3">
        <w:t xml:space="preserve"> </w:t>
      </w:r>
      <w:r w:rsidRPr="00382917">
        <w:t>it</w:t>
      </w:r>
      <w:r w:rsidR="00EE4FC3">
        <w:t xml:space="preserve"> </w:t>
      </w:r>
      <w:r w:rsidRPr="00382917">
        <w:t>from</w:t>
      </w:r>
      <w:r w:rsidR="00EE4FC3">
        <w:t xml:space="preserve"> </w:t>
      </w:r>
      <w:r w:rsidRPr="00382917">
        <w:t>all</w:t>
      </w:r>
      <w:r w:rsidR="00EE4FC3">
        <w:t xml:space="preserve"> </w:t>
      </w:r>
      <w:r w:rsidRPr="00382917">
        <w:t>eternity.</w:t>
      </w:r>
      <w:r w:rsidR="009C713D" w:rsidRPr="00382917">
        <w:t>”</w:t>
      </w:r>
      <w:r w:rsidR="00462BDF">
        <w:rPr>
          <w:rStyle w:val="FootnoteReference"/>
        </w:rPr>
        <w:footnoteReference w:id="27"/>
      </w:r>
    </w:p>
    <w:p w:rsidR="006D18A4" w:rsidRPr="00382917" w:rsidRDefault="006D18A4" w:rsidP="009F0F0D">
      <w:pPr>
        <w:pStyle w:val="Text"/>
      </w:pPr>
      <w:r w:rsidRPr="00382917">
        <w:t>Before</w:t>
      </w:r>
      <w:r w:rsidR="00EE4FC3">
        <w:t xml:space="preserve"> </w:t>
      </w:r>
      <w:r w:rsidRPr="00382917">
        <w:t>leaving</w:t>
      </w:r>
      <w:r w:rsidR="00EE4FC3">
        <w:t xml:space="preserve"> </w:t>
      </w:r>
      <w:r w:rsidRPr="00382917">
        <w:t>the</w:t>
      </w:r>
      <w:r w:rsidR="00EE4FC3">
        <w:t xml:space="preserve"> </w:t>
      </w:r>
      <w:r w:rsidRPr="00382917">
        <w:t>cities</w:t>
      </w:r>
      <w:r w:rsidR="00EE4FC3">
        <w:t xml:space="preserve"> </w:t>
      </w:r>
      <w:r w:rsidRPr="00382917">
        <w:t>of</w:t>
      </w:r>
      <w:r w:rsidR="00EE4FC3">
        <w:t xml:space="preserve"> </w:t>
      </w:r>
      <w:r w:rsidRPr="00382917">
        <w:t>Mecca</w:t>
      </w:r>
      <w:r w:rsidR="00EE4FC3">
        <w:t xml:space="preserve"> </w:t>
      </w:r>
      <w:r w:rsidRPr="00382917">
        <w:t>and</w:t>
      </w:r>
      <w:r w:rsidR="00EE4FC3">
        <w:t xml:space="preserve"> </w:t>
      </w:r>
      <w:r w:rsidRPr="00382917">
        <w:t>Medina,</w:t>
      </w:r>
      <w:r w:rsidR="00EE4FC3">
        <w:t xml:space="preserve"> </w:t>
      </w:r>
      <w:r w:rsidRPr="00382917">
        <w:t>the</w:t>
      </w:r>
      <w:r w:rsidR="00EE4FC3">
        <w:t xml:space="preserve"> </w:t>
      </w:r>
      <w:r w:rsidRPr="00382917">
        <w:t>Báb</w:t>
      </w:r>
      <w:r w:rsidR="00EE4FC3">
        <w:t xml:space="preserve"> </w:t>
      </w:r>
      <w:r w:rsidRPr="00382917">
        <w:t>beseeched</w:t>
      </w:r>
      <w:r w:rsidR="00EE4FC3">
        <w:t xml:space="preserve"> </w:t>
      </w:r>
      <w:r w:rsidRPr="00382917">
        <w:t>God</w:t>
      </w:r>
      <w:r w:rsidR="00EE4FC3">
        <w:t xml:space="preserve"> </w:t>
      </w:r>
      <w:r w:rsidRPr="00382917">
        <w:t>to</w:t>
      </w:r>
      <w:r w:rsidR="00EE4FC3">
        <w:t xml:space="preserve"> </w:t>
      </w:r>
      <w:r w:rsidRPr="00382917">
        <w:t>hasten</w:t>
      </w:r>
      <w:r w:rsidR="00EE4FC3">
        <w:t xml:space="preserve"> </w:t>
      </w:r>
      <w:r w:rsidRPr="00382917">
        <w:t>the</w:t>
      </w:r>
      <w:r w:rsidR="00EE4FC3">
        <w:t xml:space="preserve"> </w:t>
      </w:r>
      <w:r w:rsidRPr="00382917">
        <w:t>hour</w:t>
      </w:r>
      <w:r w:rsidR="00EE4FC3">
        <w:t xml:space="preserve"> </w:t>
      </w:r>
      <w:r w:rsidRPr="00382917">
        <w:t>of</w:t>
      </w:r>
      <w:r w:rsidR="00EE4FC3">
        <w:t xml:space="preserve"> </w:t>
      </w:r>
      <w:r w:rsidRPr="00382917">
        <w:t>His</w:t>
      </w:r>
      <w:r w:rsidR="00EE4FC3">
        <w:t xml:space="preserve"> </w:t>
      </w:r>
      <w:r w:rsidRPr="00382917">
        <w:t>martyrdom</w:t>
      </w:r>
      <w:r w:rsidR="00EE4FC3">
        <w:t xml:space="preserve"> </w:t>
      </w:r>
      <w:r w:rsidRPr="00382917">
        <w:t>so</w:t>
      </w:r>
      <w:r w:rsidR="00EE4FC3">
        <w:t xml:space="preserve"> </w:t>
      </w:r>
      <w:r w:rsidRPr="00382917">
        <w:t>that</w:t>
      </w:r>
      <w:r w:rsidR="00EE4FC3">
        <w:t xml:space="preserve"> </w:t>
      </w:r>
      <w:r w:rsidRPr="00382917">
        <w:t>by</w:t>
      </w:r>
      <w:r w:rsidR="00EE4FC3">
        <w:t xml:space="preserve"> </w:t>
      </w:r>
      <w:r w:rsidRPr="00382917">
        <w:t>this</w:t>
      </w:r>
      <w:r w:rsidR="00EE4FC3">
        <w:t xml:space="preserve"> </w:t>
      </w:r>
      <w:r w:rsidRPr="00382917">
        <w:t>sacrifice</w:t>
      </w:r>
      <w:r w:rsidR="00EE4FC3">
        <w:t xml:space="preserve"> </w:t>
      </w:r>
      <w:r w:rsidRPr="00382917">
        <w:t>men</w:t>
      </w:r>
      <w:r w:rsidR="00EE4FC3">
        <w:t xml:space="preserve"> </w:t>
      </w:r>
      <w:r w:rsidRPr="00382917">
        <w:t>might</w:t>
      </w:r>
      <w:r w:rsidR="00EE4FC3">
        <w:t xml:space="preserve"> </w:t>
      </w:r>
      <w:r w:rsidRPr="00382917">
        <w:t>know</w:t>
      </w:r>
      <w:r w:rsidR="00EE4FC3">
        <w:t xml:space="preserve"> </w:t>
      </w:r>
      <w:r w:rsidRPr="00382917">
        <w:t>the</w:t>
      </w:r>
      <w:r w:rsidR="00EE4FC3">
        <w:t xml:space="preserve"> </w:t>
      </w:r>
      <w:r w:rsidRPr="00382917">
        <w:t>truth.</w:t>
      </w:r>
    </w:p>
    <w:p w:rsidR="006D18A4" w:rsidRPr="00382917" w:rsidRDefault="009C713D" w:rsidP="00593FC8">
      <w:pPr>
        <w:pStyle w:val="Text"/>
      </w:pPr>
      <w:r w:rsidRPr="00382917">
        <w:t>“</w:t>
      </w:r>
      <w:r w:rsidR="006D18A4" w:rsidRPr="00382917">
        <w:t>The</w:t>
      </w:r>
      <w:r w:rsidR="00EE4FC3">
        <w:t xml:space="preserve"> </w:t>
      </w:r>
      <w:r w:rsidR="006D18A4" w:rsidRPr="00382917">
        <w:t>drops</w:t>
      </w:r>
      <w:r w:rsidR="00EE4FC3">
        <w:t xml:space="preserve"> </w:t>
      </w:r>
      <w:r w:rsidR="006D18A4" w:rsidRPr="00382917">
        <w:t>of</w:t>
      </w:r>
      <w:r w:rsidR="00EE4FC3">
        <w:t xml:space="preserve"> </w:t>
      </w:r>
      <w:r w:rsidR="006D18A4" w:rsidRPr="00382917">
        <w:t>this</w:t>
      </w:r>
      <w:r w:rsidR="00EE4FC3">
        <w:t xml:space="preserve"> </w:t>
      </w:r>
      <w:r w:rsidR="006D18A4" w:rsidRPr="00382917">
        <w:t>consecrated</w:t>
      </w:r>
      <w:r w:rsidR="00EE4FC3">
        <w:t xml:space="preserve"> </w:t>
      </w:r>
      <w:r w:rsidR="006D18A4" w:rsidRPr="00382917">
        <w:t>blood,</w:t>
      </w:r>
      <w:r w:rsidRPr="00382917">
        <w:t>”</w:t>
      </w:r>
      <w:r w:rsidR="00EE4FC3">
        <w:t xml:space="preserve"> </w:t>
      </w:r>
      <w:r w:rsidR="006D18A4" w:rsidRPr="00382917">
        <w:t>He</w:t>
      </w:r>
      <w:r w:rsidR="00EE4FC3">
        <w:t xml:space="preserve"> </w:t>
      </w:r>
      <w:r w:rsidR="006D18A4" w:rsidRPr="00382917">
        <w:t>said,</w:t>
      </w:r>
      <w:r w:rsidR="00EE4FC3">
        <w:t xml:space="preserve"> </w:t>
      </w:r>
      <w:r w:rsidRPr="00382917">
        <w:t>“</w:t>
      </w:r>
      <w:r w:rsidR="006D18A4" w:rsidRPr="00382917">
        <w:t>will</w:t>
      </w:r>
      <w:r w:rsidR="00EE4FC3">
        <w:t xml:space="preserve"> </w:t>
      </w:r>
      <w:r w:rsidR="006D18A4" w:rsidRPr="00382917">
        <w:t>be</w:t>
      </w:r>
      <w:r w:rsidR="00EE4FC3">
        <w:t xml:space="preserve"> </w:t>
      </w:r>
      <w:r w:rsidR="006D18A4" w:rsidRPr="00382917">
        <w:t>the</w:t>
      </w:r>
      <w:r w:rsidR="00EE4FC3">
        <w:t xml:space="preserve"> </w:t>
      </w:r>
      <w:r w:rsidR="006D18A4" w:rsidRPr="00382917">
        <w:t>seed</w:t>
      </w:r>
      <w:r w:rsidR="00EE4FC3">
        <w:t xml:space="preserve"> </w:t>
      </w:r>
      <w:r w:rsidR="006D18A4" w:rsidRPr="00382917">
        <w:t>out</w:t>
      </w:r>
      <w:r w:rsidR="00EE4FC3">
        <w:t xml:space="preserve"> </w:t>
      </w:r>
      <w:r w:rsidR="006D18A4" w:rsidRPr="00382917">
        <w:t>of</w:t>
      </w:r>
      <w:r w:rsidR="00EE4FC3">
        <w:t xml:space="preserve"> </w:t>
      </w:r>
      <w:r w:rsidR="006D18A4" w:rsidRPr="00382917">
        <w:t>which</w:t>
      </w:r>
      <w:r w:rsidR="00EE4FC3">
        <w:t xml:space="preserve"> </w:t>
      </w:r>
      <w:r w:rsidR="006D18A4" w:rsidRPr="00382917">
        <w:t>will</w:t>
      </w:r>
      <w:r w:rsidR="00EE4FC3">
        <w:t xml:space="preserve"> </w:t>
      </w:r>
      <w:r w:rsidR="006D18A4" w:rsidRPr="00382917">
        <w:t>arise</w:t>
      </w:r>
      <w:r w:rsidR="00EE4FC3">
        <w:t xml:space="preserve"> </w:t>
      </w:r>
      <w:r w:rsidR="006D18A4" w:rsidRPr="00382917">
        <w:t>the</w:t>
      </w:r>
      <w:r w:rsidR="00EE4FC3">
        <w:t xml:space="preserve"> </w:t>
      </w:r>
      <w:r w:rsidR="006D18A4" w:rsidRPr="00382917">
        <w:t>mighty</w:t>
      </w:r>
      <w:r w:rsidR="00EE4FC3">
        <w:t xml:space="preserve"> </w:t>
      </w:r>
      <w:r w:rsidR="006D18A4" w:rsidRPr="00382917">
        <w:t>Tree</w:t>
      </w:r>
      <w:r w:rsidR="00EE4FC3">
        <w:t xml:space="preserve"> </w:t>
      </w:r>
      <w:r w:rsidR="006D18A4" w:rsidRPr="00382917">
        <w:t>of</w:t>
      </w:r>
      <w:r w:rsidR="00EE4FC3">
        <w:t xml:space="preserve"> </w:t>
      </w:r>
      <w:r w:rsidR="006D18A4" w:rsidRPr="00382917">
        <w:t>God,</w:t>
      </w:r>
      <w:r w:rsidR="00EE4FC3">
        <w:t xml:space="preserve"> </w:t>
      </w:r>
      <w:r w:rsidR="006D18A4" w:rsidRPr="00382917">
        <w:t>the</w:t>
      </w:r>
      <w:r w:rsidR="00EE4FC3">
        <w:t xml:space="preserve"> </w:t>
      </w:r>
      <w:r w:rsidR="006D18A4" w:rsidRPr="00382917">
        <w:t>Tree</w:t>
      </w:r>
      <w:r w:rsidR="00EE4FC3">
        <w:t xml:space="preserve"> </w:t>
      </w:r>
      <w:r w:rsidR="006D18A4" w:rsidRPr="00382917">
        <w:t>that</w:t>
      </w:r>
      <w:r w:rsidR="00EE4FC3">
        <w:t xml:space="preserve"> </w:t>
      </w:r>
      <w:r w:rsidR="006D18A4" w:rsidRPr="00382917">
        <w:t>will</w:t>
      </w:r>
      <w:r w:rsidR="00EE4FC3">
        <w:t xml:space="preserve"> </w:t>
      </w:r>
      <w:r w:rsidR="006D18A4" w:rsidRPr="00382917">
        <w:t>gather</w:t>
      </w:r>
      <w:r w:rsidR="00EE4FC3">
        <w:t xml:space="preserve"> </w:t>
      </w:r>
      <w:r w:rsidR="006D18A4" w:rsidRPr="00382917">
        <w:t>beneath</w:t>
      </w:r>
      <w:r w:rsidR="00EE4FC3">
        <w:t xml:space="preserve"> </w:t>
      </w:r>
      <w:r w:rsidR="006D18A4" w:rsidRPr="00382917">
        <w:t>its</w:t>
      </w:r>
      <w:r w:rsidR="00EE4FC3">
        <w:t xml:space="preserve"> </w:t>
      </w:r>
      <w:r w:rsidR="006D18A4" w:rsidRPr="00382917">
        <w:t>all-embracing</w:t>
      </w:r>
      <w:r w:rsidR="00EE4FC3">
        <w:t xml:space="preserve"> </w:t>
      </w:r>
      <w:r w:rsidR="006D18A4" w:rsidRPr="00382917">
        <w:t>shadow</w:t>
      </w:r>
      <w:r w:rsidR="00EE4FC3">
        <w:t xml:space="preserve"> </w:t>
      </w:r>
      <w:r w:rsidR="006D18A4" w:rsidRPr="00382917">
        <w:t>the</w:t>
      </w:r>
      <w:r w:rsidR="00EE4FC3">
        <w:t xml:space="preserve"> </w:t>
      </w:r>
      <w:r w:rsidR="006D18A4" w:rsidRPr="00382917">
        <w:t>peoples</w:t>
      </w:r>
      <w:r w:rsidR="00EE4FC3">
        <w:t xml:space="preserve"> </w:t>
      </w:r>
      <w:r w:rsidR="006D18A4" w:rsidRPr="00382917">
        <w:t>and</w:t>
      </w:r>
      <w:r w:rsidR="00EE4FC3">
        <w:t xml:space="preserve"> </w:t>
      </w:r>
      <w:proofErr w:type="spellStart"/>
      <w:r w:rsidR="006D18A4" w:rsidRPr="00382917">
        <w:t>kindreds</w:t>
      </w:r>
      <w:proofErr w:type="spellEnd"/>
      <w:r w:rsidR="00EE4FC3">
        <w:t xml:space="preserve"> </w:t>
      </w:r>
      <w:r w:rsidR="006D18A4" w:rsidRPr="00382917">
        <w:t>of</w:t>
      </w:r>
      <w:r w:rsidR="00EE4FC3">
        <w:t xml:space="preserve"> </w:t>
      </w:r>
      <w:r w:rsidR="006D18A4" w:rsidRPr="00382917">
        <w:t>the</w:t>
      </w:r>
      <w:r w:rsidR="00EE4FC3">
        <w:t xml:space="preserve"> </w:t>
      </w:r>
      <w:r w:rsidR="006D18A4" w:rsidRPr="00382917">
        <w:t>earth.</w:t>
      </w:r>
      <w:r w:rsidR="00EE4FC3">
        <w:t xml:space="preserve">  </w:t>
      </w:r>
      <w:r w:rsidR="006D18A4" w:rsidRPr="00382917">
        <w:t>Grieve</w:t>
      </w:r>
      <w:r w:rsidR="00EE4FC3">
        <w:t xml:space="preserve"> </w:t>
      </w:r>
      <w:r w:rsidR="006D18A4" w:rsidRPr="00382917">
        <w:t>not,</w:t>
      </w:r>
      <w:r w:rsidR="00EE4FC3">
        <w:t xml:space="preserve"> </w:t>
      </w:r>
      <w:r w:rsidR="006D18A4" w:rsidRPr="00382917">
        <w:t>therefore,</w:t>
      </w:r>
      <w:r w:rsidR="00EE4FC3">
        <w:t xml:space="preserve"> </w:t>
      </w:r>
      <w:r w:rsidR="006D18A4" w:rsidRPr="00382917">
        <w:t>if</w:t>
      </w:r>
      <w:r w:rsidR="00EE4FC3">
        <w:t xml:space="preserve"> </w:t>
      </w:r>
      <w:r w:rsidR="006D18A4" w:rsidRPr="00382917">
        <w:t>I</w:t>
      </w:r>
      <w:r w:rsidR="00EE4FC3">
        <w:t xml:space="preserve"> </w:t>
      </w:r>
      <w:r w:rsidR="006D18A4" w:rsidRPr="00382917">
        <w:t>depart</w:t>
      </w:r>
      <w:r w:rsidR="00EE4FC3">
        <w:t xml:space="preserve"> </w:t>
      </w:r>
      <w:r w:rsidR="006D18A4" w:rsidRPr="00382917">
        <w:t>out</w:t>
      </w:r>
      <w:r w:rsidR="00EE4FC3">
        <w:t xml:space="preserve"> </w:t>
      </w:r>
      <w:r w:rsidR="006D18A4" w:rsidRPr="00382917">
        <w:t>of</w:t>
      </w:r>
      <w:r w:rsidR="00EE4FC3">
        <w:t xml:space="preserve"> </w:t>
      </w:r>
      <w:r w:rsidR="006D18A4" w:rsidRPr="00382917">
        <w:t>this</w:t>
      </w:r>
      <w:r w:rsidR="00EE4FC3">
        <w:t xml:space="preserve"> </w:t>
      </w:r>
      <w:r w:rsidR="006D18A4" w:rsidRPr="00382917">
        <w:t>land,</w:t>
      </w:r>
      <w:r w:rsidR="00EE4FC3">
        <w:t xml:space="preserve"> </w:t>
      </w:r>
      <w:r w:rsidR="006D18A4" w:rsidRPr="00382917">
        <w:t>for</w:t>
      </w:r>
      <w:r w:rsidR="00EE4FC3">
        <w:t xml:space="preserve"> </w:t>
      </w:r>
      <w:r w:rsidR="006D18A4" w:rsidRPr="00382917">
        <w:t>I</w:t>
      </w:r>
      <w:r w:rsidR="00EE4FC3">
        <w:t xml:space="preserve"> </w:t>
      </w:r>
      <w:r w:rsidR="006D18A4" w:rsidRPr="00382917">
        <w:t>am</w:t>
      </w:r>
      <w:r w:rsidR="00EE4FC3">
        <w:t xml:space="preserve"> </w:t>
      </w:r>
      <w:r w:rsidR="006D18A4" w:rsidRPr="00382917">
        <w:t>hastening</w:t>
      </w:r>
      <w:r w:rsidR="00EE4FC3">
        <w:t xml:space="preserve"> </w:t>
      </w:r>
      <w:r w:rsidR="006D18A4" w:rsidRPr="00382917">
        <w:t>to</w:t>
      </w:r>
      <w:r w:rsidR="00EE4FC3">
        <w:t xml:space="preserve"> </w:t>
      </w:r>
      <w:proofErr w:type="spellStart"/>
      <w:r w:rsidR="006D18A4" w:rsidRPr="00382917">
        <w:t>fulfill</w:t>
      </w:r>
      <w:proofErr w:type="spellEnd"/>
      <w:r w:rsidR="00EE4FC3">
        <w:t xml:space="preserve"> </w:t>
      </w:r>
      <w:proofErr w:type="gramStart"/>
      <w:r w:rsidR="006D18A4" w:rsidRPr="00382917">
        <w:t>My</w:t>
      </w:r>
      <w:proofErr w:type="gramEnd"/>
      <w:r w:rsidR="00EE4FC3">
        <w:t xml:space="preserve"> </w:t>
      </w:r>
      <w:r w:rsidR="006D18A4" w:rsidRPr="00382917">
        <w:t>destiny.</w:t>
      </w:r>
      <w:r w:rsidRPr="00382917">
        <w:t>”</w:t>
      </w:r>
      <w:r w:rsidR="00593FC8">
        <w:rPr>
          <w:rStyle w:val="FootnoteReference"/>
        </w:rPr>
        <w:footnoteReference w:id="28"/>
      </w:r>
    </w:p>
    <w:p w:rsidR="009F0F0D" w:rsidRPr="00382917" w:rsidRDefault="009F0F0D" w:rsidP="006D18A4"/>
    <w:p w:rsidR="009F0F0D" w:rsidRPr="00382917" w:rsidRDefault="009F0F0D" w:rsidP="006D18A4">
      <w:pPr>
        <w:sectPr w:rsidR="009F0F0D" w:rsidRPr="00382917" w:rsidSect="009073C7">
          <w:footnotePr>
            <w:numRestart w:val="eachPage"/>
          </w:footnotePr>
          <w:type w:val="oddPage"/>
          <w:pgSz w:w="8618" w:h="12984" w:code="188"/>
          <w:pgMar w:top="720" w:right="720" w:bottom="720" w:left="720" w:header="720" w:footer="567" w:gutter="357"/>
          <w:cols w:space="708"/>
          <w:noEndnote/>
          <w:titlePg/>
          <w:docGrid w:linePitch="272"/>
        </w:sectPr>
      </w:pPr>
    </w:p>
    <w:p w:rsidR="009F0F0D" w:rsidRPr="00382917" w:rsidRDefault="00417538" w:rsidP="00417538">
      <w:r w:rsidRPr="00382917">
        <w:rPr>
          <w:sz w:val="12"/>
          <w:szCs w:val="12"/>
        </w:rPr>
        <w:fldChar w:fldCharType="begin"/>
      </w:r>
      <w:r w:rsidR="00EE4FC3">
        <w:rPr>
          <w:sz w:val="12"/>
          <w:szCs w:val="12"/>
        </w:rPr>
        <w:instrText xml:space="preserve"> </w:instrText>
      </w:r>
      <w:proofErr w:type="gramStart"/>
      <w:r w:rsidRPr="00382917">
        <w:rPr>
          <w:sz w:val="12"/>
          <w:szCs w:val="12"/>
        </w:rPr>
        <w:instrText>TC</w:instrText>
      </w:r>
      <w:r w:rsidR="00EE4FC3">
        <w:rPr>
          <w:sz w:val="12"/>
          <w:szCs w:val="12"/>
        </w:rPr>
        <w:instrText xml:space="preserve">  </w:instrText>
      </w:r>
      <w:r w:rsidRPr="00382917">
        <w:rPr>
          <w:sz w:val="12"/>
          <w:szCs w:val="12"/>
        </w:rPr>
        <w:instrText>“</w:instrText>
      </w:r>
      <w:bookmarkStart w:id="7" w:name="_Toc206658603"/>
      <w:proofErr w:type="gramEnd"/>
      <w:r>
        <w:rPr>
          <w:sz w:val="12"/>
          <w:szCs w:val="12"/>
        </w:rPr>
        <w:tab/>
        <w:instrText>5.</w:instrText>
      </w:r>
      <w:r>
        <w:rPr>
          <w:sz w:val="12"/>
          <w:szCs w:val="12"/>
        </w:rPr>
        <w:tab/>
      </w:r>
      <w:r w:rsidRPr="00417538">
        <w:rPr>
          <w:sz w:val="12"/>
          <w:szCs w:val="12"/>
        </w:rPr>
        <w:instrText>The</w:instrText>
      </w:r>
      <w:r w:rsidR="00EE4FC3">
        <w:rPr>
          <w:sz w:val="12"/>
          <w:szCs w:val="12"/>
        </w:rPr>
        <w:instrText xml:space="preserve"> </w:instrText>
      </w:r>
      <w:r w:rsidRPr="00417538">
        <w:rPr>
          <w:sz w:val="12"/>
          <w:szCs w:val="12"/>
        </w:rPr>
        <w:instrText>persecution</w:instrText>
      </w:r>
      <w:r w:rsidR="00EE4FC3">
        <w:rPr>
          <w:sz w:val="12"/>
          <w:szCs w:val="12"/>
        </w:rPr>
        <w:instrText xml:space="preserve"> </w:instrText>
      </w:r>
      <w:r w:rsidRPr="00417538">
        <w:rPr>
          <w:sz w:val="12"/>
          <w:szCs w:val="12"/>
        </w:rPr>
        <w:instrText>begins</w:instrText>
      </w:r>
      <w:proofErr w:type="gramStart"/>
      <w:r w:rsidRPr="00382917">
        <w:rPr>
          <w:color w:val="FFFFFF" w:themeColor="background1"/>
          <w:sz w:val="12"/>
          <w:szCs w:val="12"/>
        </w:rPr>
        <w:instrText>..</w:instrText>
      </w:r>
      <w:proofErr w:type="gramEnd"/>
      <w:r w:rsidRPr="00382917">
        <w:rPr>
          <w:sz w:val="12"/>
          <w:szCs w:val="12"/>
        </w:rPr>
        <w:tab/>
      </w:r>
      <w:r w:rsidRPr="00382917">
        <w:rPr>
          <w:color w:val="FFFFFF" w:themeColor="background1"/>
          <w:sz w:val="12"/>
          <w:szCs w:val="12"/>
        </w:rPr>
        <w:instrText>.</w:instrText>
      </w:r>
      <w:bookmarkEnd w:id="7"/>
      <w:proofErr w:type="gramStart"/>
      <w:r w:rsidRPr="00382917">
        <w:rPr>
          <w:sz w:val="12"/>
          <w:szCs w:val="12"/>
        </w:rPr>
        <w:instrText>”</w:instrText>
      </w:r>
      <w:r w:rsidR="00EE4FC3">
        <w:rPr>
          <w:sz w:val="12"/>
          <w:szCs w:val="12"/>
        </w:rPr>
        <w:instrText xml:space="preserve"> </w:instrText>
      </w:r>
      <w:proofErr w:type="gramEnd"/>
      <w:r w:rsidRPr="00382917">
        <w:rPr>
          <w:sz w:val="12"/>
          <w:szCs w:val="12"/>
        </w:rPr>
        <w:instrText>\l</w:instrText>
      </w:r>
      <w:r w:rsidR="00EE4FC3">
        <w:rPr>
          <w:sz w:val="12"/>
          <w:szCs w:val="12"/>
        </w:rPr>
        <w:instrText xml:space="preserve"> </w:instrText>
      </w:r>
      <w:r w:rsidRPr="00382917">
        <w:rPr>
          <w:sz w:val="12"/>
          <w:szCs w:val="12"/>
        </w:rPr>
        <w:instrText>1</w:instrText>
      </w:r>
      <w:r w:rsidR="00EE4FC3">
        <w:rPr>
          <w:sz w:val="12"/>
          <w:szCs w:val="12"/>
        </w:rPr>
        <w:instrText xml:space="preserve"> </w:instrText>
      </w:r>
      <w:r w:rsidRPr="00382917">
        <w:rPr>
          <w:sz w:val="12"/>
          <w:szCs w:val="12"/>
        </w:rPr>
        <w:fldChar w:fldCharType="end"/>
      </w:r>
    </w:p>
    <w:p w:rsidR="009F0F0D" w:rsidRPr="00382917" w:rsidRDefault="009F0F0D" w:rsidP="006D18A4"/>
    <w:p w:rsidR="006D18A4" w:rsidRPr="00382917" w:rsidRDefault="009F0F0D" w:rsidP="00417538">
      <w:pPr>
        <w:pStyle w:val="Myheadc"/>
      </w:pPr>
      <w:r w:rsidRPr="00382917">
        <w:t>5</w:t>
      </w:r>
      <w:r w:rsidR="00417538">
        <w:br/>
      </w:r>
      <w:r w:rsidRPr="00382917">
        <w:rPr>
          <w:noProof/>
          <w:lang w:val="en-AU" w:eastAsia="en-AU"/>
          <w14:numForm w14:val="default"/>
          <w14:numSpacing w14:val="default"/>
        </w:rPr>
        <w:drawing>
          <wp:inline distT="0" distB="0" distL="0" distR="0" wp14:anchorId="476E4904" wp14:editId="6CF3F37F">
            <wp:extent cx="396000" cy="392400"/>
            <wp:effectExtent l="0" t="0" r="4445" b="825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p.emf"/>
                    <pic:cNvPicPr/>
                  </pic:nvPicPr>
                  <pic:blipFill>
                    <a:blip r:embed="rId17">
                      <a:extLst>
                        <a:ext uri="{28A0092B-C50C-407E-A947-70E740481C1C}">
                          <a14:useLocalDpi xmlns:a14="http://schemas.microsoft.com/office/drawing/2010/main" val="0"/>
                        </a:ext>
                      </a:extLst>
                    </a:blip>
                    <a:stretch>
                      <a:fillRect/>
                    </a:stretch>
                  </pic:blipFill>
                  <pic:spPr>
                    <a:xfrm>
                      <a:off x="0" y="0"/>
                      <a:ext cx="396000" cy="392400"/>
                    </a:xfrm>
                    <a:prstGeom prst="rect">
                      <a:avLst/>
                    </a:prstGeom>
                  </pic:spPr>
                </pic:pic>
              </a:graphicData>
            </a:graphic>
          </wp:inline>
        </w:drawing>
      </w:r>
      <w:r w:rsidR="00417538">
        <w:br/>
      </w:r>
      <w:r w:rsidR="006D18A4" w:rsidRPr="00382917">
        <w:t>T</w:t>
      </w:r>
      <w:r w:rsidRPr="00382917">
        <w:t>he</w:t>
      </w:r>
      <w:r w:rsidR="00EE4FC3">
        <w:t xml:space="preserve"> </w:t>
      </w:r>
      <w:r w:rsidRPr="00382917">
        <w:t>persecution</w:t>
      </w:r>
      <w:r w:rsidR="00EE4FC3">
        <w:t xml:space="preserve"> </w:t>
      </w:r>
      <w:r w:rsidRPr="00382917">
        <w:t>begins</w:t>
      </w:r>
    </w:p>
    <w:p w:rsidR="006D18A4" w:rsidRPr="00382917" w:rsidRDefault="006D18A4" w:rsidP="009F0F0D">
      <w:pPr>
        <w:pStyle w:val="Text"/>
      </w:pPr>
      <w:r w:rsidRPr="00382917">
        <w:t>T</w:t>
      </w:r>
      <w:r w:rsidR="009F0F0D" w:rsidRPr="00382917">
        <w:t>he</w:t>
      </w:r>
      <w:r w:rsidR="00EE4FC3">
        <w:t xml:space="preserve"> </w:t>
      </w:r>
      <w:r w:rsidR="009F0F0D" w:rsidRPr="00382917">
        <w:t>Báb</w:t>
      </w:r>
      <w:r w:rsidR="00EE4FC3">
        <w:t xml:space="preserve"> </w:t>
      </w:r>
      <w:r w:rsidR="009F0F0D" w:rsidRPr="00382917">
        <w:t>returned</w:t>
      </w:r>
      <w:r w:rsidR="00EE4FC3">
        <w:t xml:space="preserve"> </w:t>
      </w:r>
      <w:r w:rsidRPr="00382917">
        <w:t>with</w:t>
      </w:r>
      <w:r w:rsidR="00EE4FC3">
        <w:t xml:space="preserve"> </w:t>
      </w:r>
      <w:r w:rsidRPr="00382917">
        <w:t>Quddús</w:t>
      </w:r>
      <w:r w:rsidR="00EE4FC3">
        <w:t xml:space="preserve"> </w:t>
      </w:r>
      <w:r w:rsidRPr="00382917">
        <w:t>to</w:t>
      </w:r>
      <w:r w:rsidR="00EE4FC3">
        <w:t xml:space="preserve"> </w:t>
      </w:r>
      <w:r w:rsidR="00CE7A86" w:rsidRPr="00382917">
        <w:t>Bú</w:t>
      </w:r>
      <w:r w:rsidR="00CE7A86" w:rsidRPr="00CE7A86">
        <w:rPr>
          <w:u w:val="single"/>
        </w:rPr>
        <w:t>sh</w:t>
      </w:r>
      <w:r w:rsidR="00CE7A86" w:rsidRPr="00382917">
        <w:t>ihr</w:t>
      </w:r>
      <w:r w:rsidRPr="00382917">
        <w:t>.</w:t>
      </w:r>
      <w:r w:rsidR="00EE4FC3">
        <w:t xml:space="preserve">  </w:t>
      </w:r>
      <w:r w:rsidRPr="00382917">
        <w:t>A</w:t>
      </w:r>
      <w:r w:rsidR="00EE4FC3">
        <w:t xml:space="preserve"> </w:t>
      </w:r>
      <w:r w:rsidRPr="00382917">
        <w:t>short</w:t>
      </w:r>
      <w:r w:rsidR="00EE4FC3">
        <w:t xml:space="preserve"> </w:t>
      </w:r>
      <w:r w:rsidRPr="00382917">
        <w:t>time</w:t>
      </w:r>
      <w:r w:rsidR="00EE4FC3">
        <w:t xml:space="preserve"> </w:t>
      </w:r>
      <w:r w:rsidRPr="00382917">
        <w:t>later</w:t>
      </w:r>
      <w:r w:rsidR="00EE4FC3">
        <w:t xml:space="preserve"> </w:t>
      </w:r>
      <w:r w:rsidRPr="00382917">
        <w:t>He</w:t>
      </w:r>
      <w:r w:rsidR="00EE4FC3">
        <w:t xml:space="preserve"> </w:t>
      </w:r>
      <w:r w:rsidRPr="00382917">
        <w:t>sent</w:t>
      </w:r>
      <w:r w:rsidR="00EE4FC3">
        <w:t xml:space="preserve"> </w:t>
      </w:r>
      <w:r w:rsidRPr="00382917">
        <w:t>him</w:t>
      </w:r>
      <w:r w:rsidR="00EE4FC3">
        <w:t xml:space="preserve"> </w:t>
      </w:r>
      <w:r w:rsidRPr="00382917">
        <w:t>on</w:t>
      </w:r>
      <w:r w:rsidR="00EE4FC3">
        <w:t xml:space="preserve"> </w:t>
      </w:r>
      <w:r w:rsidRPr="00382917">
        <w:t>to</w:t>
      </w:r>
      <w:r w:rsidR="00EE4FC3">
        <w:t xml:space="preserve"> </w:t>
      </w:r>
      <w:r w:rsidR="008A073E" w:rsidRPr="00382917">
        <w:rPr>
          <w:u w:val="single"/>
        </w:rPr>
        <w:t>Sh</w:t>
      </w:r>
      <w:r w:rsidR="008A073E" w:rsidRPr="00382917">
        <w:t>íráz</w:t>
      </w:r>
      <w:r w:rsidR="00EE4FC3">
        <w:t xml:space="preserve"> </w:t>
      </w:r>
      <w:r w:rsidRPr="00382917">
        <w:t>to</w:t>
      </w:r>
      <w:r w:rsidR="00EE4FC3">
        <w:t xml:space="preserve"> </w:t>
      </w:r>
      <w:r w:rsidRPr="00382917">
        <w:t>bring</w:t>
      </w:r>
      <w:r w:rsidR="00EE4FC3">
        <w:t xml:space="preserve"> </w:t>
      </w:r>
      <w:r w:rsidRPr="00382917">
        <w:t>greetings</w:t>
      </w:r>
      <w:r w:rsidR="00EE4FC3">
        <w:t xml:space="preserve"> </w:t>
      </w:r>
      <w:r w:rsidRPr="00382917">
        <w:t>and</w:t>
      </w:r>
      <w:r w:rsidR="00EE4FC3">
        <w:t xml:space="preserve"> </w:t>
      </w:r>
      <w:r w:rsidRPr="00382917">
        <w:t>instructions</w:t>
      </w:r>
      <w:r w:rsidR="00EE4FC3">
        <w:t xml:space="preserve"> </w:t>
      </w:r>
      <w:r w:rsidRPr="00382917">
        <w:t>to</w:t>
      </w:r>
      <w:r w:rsidR="00EE4FC3">
        <w:t xml:space="preserve"> </w:t>
      </w:r>
      <w:r w:rsidRPr="00382917">
        <w:t>His</w:t>
      </w:r>
      <w:r w:rsidR="00EE4FC3">
        <w:t xml:space="preserve"> </w:t>
      </w:r>
      <w:r w:rsidRPr="00382917">
        <w:t>family</w:t>
      </w:r>
      <w:r w:rsidR="00EE4FC3">
        <w:t xml:space="preserve"> </w:t>
      </w:r>
      <w:r w:rsidRPr="00382917">
        <w:t>and</w:t>
      </w:r>
      <w:r w:rsidR="00EE4FC3">
        <w:t xml:space="preserve"> </w:t>
      </w:r>
      <w:r w:rsidRPr="00382917">
        <w:t>to</w:t>
      </w:r>
      <w:r w:rsidR="00EE4FC3">
        <w:t xml:space="preserve"> </w:t>
      </w:r>
      <w:r w:rsidRPr="00382917">
        <w:t>the</w:t>
      </w:r>
      <w:r w:rsidR="00EE4FC3">
        <w:t xml:space="preserve"> </w:t>
      </w:r>
      <w:r w:rsidRPr="00382917">
        <w:t>believers</w:t>
      </w:r>
      <w:r w:rsidR="00EE4FC3">
        <w:t xml:space="preserve"> </w:t>
      </w:r>
      <w:r w:rsidRPr="00382917">
        <w:t>there.</w:t>
      </w:r>
      <w:r w:rsidR="00EE4FC3">
        <w:t xml:space="preserve">  </w:t>
      </w:r>
      <w:r w:rsidRPr="00382917">
        <w:t>The</w:t>
      </w:r>
      <w:r w:rsidR="00EE4FC3">
        <w:t xml:space="preserve"> </w:t>
      </w:r>
      <w:r w:rsidRPr="00382917">
        <w:t>Báb</w:t>
      </w:r>
      <w:r w:rsidR="00EE4FC3">
        <w:t xml:space="preserve"> </w:t>
      </w:r>
      <w:r w:rsidRPr="00382917">
        <w:t>also</w:t>
      </w:r>
      <w:r w:rsidR="00EE4FC3">
        <w:t xml:space="preserve"> </w:t>
      </w:r>
      <w:r w:rsidRPr="00382917">
        <w:t>sent</w:t>
      </w:r>
      <w:r w:rsidR="00EE4FC3">
        <w:t xml:space="preserve"> </w:t>
      </w:r>
      <w:r w:rsidRPr="00382917">
        <w:t>some</w:t>
      </w:r>
      <w:r w:rsidR="00EE4FC3">
        <w:t xml:space="preserve"> </w:t>
      </w:r>
      <w:r w:rsidRPr="00382917">
        <w:t>of</w:t>
      </w:r>
      <w:r w:rsidR="00EE4FC3">
        <w:t xml:space="preserve"> </w:t>
      </w:r>
      <w:r w:rsidRPr="00382917">
        <w:t>His</w:t>
      </w:r>
      <w:r w:rsidR="00EE4FC3">
        <w:t xml:space="preserve"> </w:t>
      </w:r>
      <w:r w:rsidRPr="00382917">
        <w:t>writings</w:t>
      </w:r>
      <w:r w:rsidR="00EE4FC3">
        <w:t xml:space="preserve"> </w:t>
      </w:r>
      <w:r w:rsidRPr="00382917">
        <w:t>to</w:t>
      </w:r>
      <w:r w:rsidR="00EE4FC3">
        <w:t xml:space="preserve"> </w:t>
      </w:r>
      <w:r w:rsidRPr="00382917">
        <w:t>be</w:t>
      </w:r>
      <w:r w:rsidR="00EE4FC3">
        <w:t xml:space="preserve"> </w:t>
      </w:r>
      <w:r w:rsidRPr="00382917">
        <w:t>shared</w:t>
      </w:r>
      <w:r w:rsidR="00EE4FC3">
        <w:t xml:space="preserve"> </w:t>
      </w:r>
      <w:r w:rsidRPr="00382917">
        <w:t>with</w:t>
      </w:r>
      <w:r w:rsidR="00EE4FC3">
        <w:t xml:space="preserve"> </w:t>
      </w:r>
      <w:r w:rsidRPr="00382917">
        <w:t>them.</w:t>
      </w:r>
      <w:r w:rsidR="00EE4FC3">
        <w:t xml:space="preserve">  </w:t>
      </w:r>
      <w:r w:rsidRPr="00382917">
        <w:t>He</w:t>
      </w:r>
      <w:r w:rsidR="00EE4FC3">
        <w:t xml:space="preserve"> </w:t>
      </w:r>
      <w:r w:rsidRPr="00382917">
        <w:t>bade</w:t>
      </w:r>
      <w:r w:rsidR="00EE4FC3">
        <w:t xml:space="preserve"> </w:t>
      </w:r>
      <w:r w:rsidRPr="00382917">
        <w:t>Quddús</w:t>
      </w:r>
      <w:r w:rsidR="00EE4FC3">
        <w:t xml:space="preserve"> </w:t>
      </w:r>
      <w:r w:rsidRPr="00382917">
        <w:t>farewell</w:t>
      </w:r>
      <w:r w:rsidR="00EE4FC3">
        <w:t xml:space="preserve"> </w:t>
      </w:r>
      <w:r w:rsidRPr="00382917">
        <w:t>with</w:t>
      </w:r>
      <w:r w:rsidR="00EE4FC3">
        <w:t xml:space="preserve"> </w:t>
      </w:r>
      <w:r w:rsidRPr="00382917">
        <w:t>the</w:t>
      </w:r>
      <w:r w:rsidR="00EE4FC3">
        <w:t xml:space="preserve"> </w:t>
      </w:r>
      <w:r w:rsidRPr="00382917">
        <w:t>greatest</w:t>
      </w:r>
      <w:r w:rsidR="00EE4FC3">
        <w:t xml:space="preserve"> </w:t>
      </w:r>
      <w:r w:rsidRPr="00382917">
        <w:t>kindness.</w:t>
      </w:r>
    </w:p>
    <w:p w:rsidR="00E13D49" w:rsidRPr="00382917" w:rsidRDefault="009C713D" w:rsidP="00CA305C">
      <w:pPr>
        <w:pStyle w:val="Text"/>
      </w:pPr>
      <w:r w:rsidRPr="00382917">
        <w:t>“</w:t>
      </w:r>
      <w:r w:rsidR="006D18A4" w:rsidRPr="00382917">
        <w:t>The</w:t>
      </w:r>
      <w:r w:rsidR="00EE4FC3">
        <w:t xml:space="preserve"> </w:t>
      </w:r>
      <w:r w:rsidR="006D18A4" w:rsidRPr="00382917">
        <w:t>days</w:t>
      </w:r>
      <w:r w:rsidR="00EE4FC3">
        <w:t xml:space="preserve"> </w:t>
      </w:r>
      <w:r w:rsidR="006D18A4" w:rsidRPr="00382917">
        <w:t>of</w:t>
      </w:r>
      <w:r w:rsidR="00EE4FC3">
        <w:t xml:space="preserve"> </w:t>
      </w:r>
      <w:r w:rsidR="006D18A4" w:rsidRPr="00382917">
        <w:t>your</w:t>
      </w:r>
      <w:r w:rsidR="00EE4FC3">
        <w:t xml:space="preserve"> </w:t>
      </w:r>
      <w:r w:rsidR="006D18A4" w:rsidRPr="00382917">
        <w:t>companionship</w:t>
      </w:r>
      <w:r w:rsidR="00EE4FC3">
        <w:t xml:space="preserve"> </w:t>
      </w:r>
      <w:r w:rsidR="006D18A4" w:rsidRPr="00382917">
        <w:t>with</w:t>
      </w:r>
      <w:r w:rsidR="00EE4FC3">
        <w:t xml:space="preserve"> </w:t>
      </w:r>
      <w:r w:rsidR="006D18A4" w:rsidRPr="00382917">
        <w:t>Me,</w:t>
      </w:r>
      <w:r w:rsidRPr="00382917">
        <w:t>”</w:t>
      </w:r>
      <w:r w:rsidR="00EE4FC3">
        <w:t xml:space="preserve"> </w:t>
      </w:r>
      <w:r w:rsidR="006D18A4" w:rsidRPr="00382917">
        <w:t>He</w:t>
      </w:r>
      <w:r w:rsidR="00EE4FC3">
        <w:t xml:space="preserve"> </w:t>
      </w:r>
      <w:r w:rsidR="006D18A4" w:rsidRPr="00382917">
        <w:t>told</w:t>
      </w:r>
      <w:r w:rsidR="00EE4FC3">
        <w:t xml:space="preserve"> </w:t>
      </w:r>
      <w:r w:rsidR="006D18A4" w:rsidRPr="00382917">
        <w:t>him,</w:t>
      </w:r>
      <w:r w:rsidR="00EE4FC3">
        <w:t xml:space="preserve"> </w:t>
      </w:r>
      <w:r w:rsidRPr="00382917">
        <w:t>“</w:t>
      </w:r>
      <w:r w:rsidR="006D18A4" w:rsidRPr="00382917">
        <w:t>are</w:t>
      </w:r>
      <w:r w:rsidR="00EE4FC3">
        <w:t xml:space="preserve"> </w:t>
      </w:r>
      <w:r w:rsidR="006D18A4" w:rsidRPr="00382917">
        <w:t>drawing</w:t>
      </w:r>
      <w:r w:rsidR="00EE4FC3">
        <w:t xml:space="preserve"> </w:t>
      </w:r>
      <w:r w:rsidR="006D18A4" w:rsidRPr="00382917">
        <w:t>to</w:t>
      </w:r>
      <w:r w:rsidR="00EE4FC3">
        <w:t xml:space="preserve"> </w:t>
      </w:r>
      <w:r w:rsidR="006D18A4" w:rsidRPr="00382917">
        <w:t>a</w:t>
      </w:r>
      <w:r w:rsidR="00EE4FC3">
        <w:t xml:space="preserve"> </w:t>
      </w:r>
      <w:r w:rsidR="006D18A4" w:rsidRPr="00382917">
        <w:t>close</w:t>
      </w:r>
      <w:proofErr w:type="gramStart"/>
      <w:r w:rsidR="00CA305C">
        <w:t>.</w:t>
      </w:r>
      <w:r w:rsidR="00EE4FC3">
        <w:t xml:space="preserve"> </w:t>
      </w:r>
      <w:proofErr w:type="gramEnd"/>
      <w:r w:rsidR="00F04416" w:rsidRPr="00382917">
        <w:t>…</w:t>
      </w:r>
      <w:r w:rsidR="00EE4FC3">
        <w:t xml:space="preserve">  </w:t>
      </w:r>
      <w:r w:rsidR="006D18A4" w:rsidRPr="00382917">
        <w:t>In</w:t>
      </w:r>
      <w:r w:rsidR="00EE4FC3">
        <w:t xml:space="preserve"> </w:t>
      </w:r>
      <w:r w:rsidR="006D18A4" w:rsidRPr="00382917">
        <w:t>this</w:t>
      </w:r>
      <w:r w:rsidR="00EE4FC3">
        <w:t xml:space="preserve"> </w:t>
      </w:r>
      <w:r w:rsidR="006D18A4" w:rsidRPr="00382917">
        <w:t>world</w:t>
      </w:r>
      <w:r w:rsidR="00EE4FC3">
        <w:t xml:space="preserve"> </w:t>
      </w:r>
      <w:r w:rsidR="006D18A4" w:rsidRPr="00382917">
        <w:t>of</w:t>
      </w:r>
      <w:r w:rsidR="00EE4FC3">
        <w:t xml:space="preserve"> </w:t>
      </w:r>
      <w:r w:rsidR="006D18A4" w:rsidRPr="00382917">
        <w:t>dust,</w:t>
      </w:r>
      <w:r w:rsidR="00EE4FC3">
        <w:t xml:space="preserve"> </w:t>
      </w:r>
      <w:r w:rsidR="006D18A4" w:rsidRPr="00382917">
        <w:t>no</w:t>
      </w:r>
      <w:r w:rsidR="00EE4FC3">
        <w:t xml:space="preserve"> </w:t>
      </w:r>
      <w:r w:rsidR="006D18A4" w:rsidRPr="00382917">
        <w:t>more</w:t>
      </w:r>
      <w:r w:rsidR="00EE4FC3">
        <w:t xml:space="preserve"> </w:t>
      </w:r>
      <w:r w:rsidR="006D18A4" w:rsidRPr="00382917">
        <w:t>than</w:t>
      </w:r>
      <w:r w:rsidR="00EE4FC3">
        <w:t xml:space="preserve"> </w:t>
      </w:r>
      <w:r w:rsidR="006D18A4" w:rsidRPr="00382917">
        <w:t>a</w:t>
      </w:r>
      <w:r w:rsidR="00EE4FC3">
        <w:t xml:space="preserve"> </w:t>
      </w:r>
      <w:r w:rsidR="006D18A4" w:rsidRPr="00382917">
        <w:t>few</w:t>
      </w:r>
      <w:r w:rsidR="00EE4FC3">
        <w:t xml:space="preserve"> </w:t>
      </w:r>
      <w:r w:rsidR="006D18A4" w:rsidRPr="00382917">
        <w:t>fleeting</w:t>
      </w:r>
      <w:r w:rsidR="00EE4FC3">
        <w:t xml:space="preserve"> </w:t>
      </w:r>
      <w:r w:rsidR="006D18A4" w:rsidRPr="00382917">
        <w:t>months</w:t>
      </w:r>
      <w:r w:rsidR="00EE4FC3">
        <w:t xml:space="preserve"> </w:t>
      </w:r>
      <w:r w:rsidR="006D18A4" w:rsidRPr="00382917">
        <w:t>of</w:t>
      </w:r>
      <w:r w:rsidR="00EE4FC3">
        <w:t xml:space="preserve"> </w:t>
      </w:r>
      <w:r w:rsidR="006D18A4" w:rsidRPr="00382917">
        <w:t>association</w:t>
      </w:r>
      <w:r w:rsidR="00EE4FC3">
        <w:t xml:space="preserve"> </w:t>
      </w:r>
      <w:r w:rsidR="006D18A4" w:rsidRPr="00382917">
        <w:t>with</w:t>
      </w:r>
      <w:r w:rsidR="00EE4FC3">
        <w:t xml:space="preserve"> </w:t>
      </w:r>
      <w:r w:rsidR="006D18A4" w:rsidRPr="00382917">
        <w:t>Me</w:t>
      </w:r>
      <w:r w:rsidR="00EE4FC3">
        <w:t xml:space="preserve"> </w:t>
      </w:r>
      <w:r w:rsidR="006D18A4" w:rsidRPr="00382917">
        <w:t>have</w:t>
      </w:r>
      <w:r w:rsidR="00EE4FC3">
        <w:t xml:space="preserve"> </w:t>
      </w:r>
      <w:r w:rsidR="006D18A4" w:rsidRPr="00382917">
        <w:t>been</w:t>
      </w:r>
      <w:r w:rsidR="00EE4FC3">
        <w:t xml:space="preserve"> </w:t>
      </w:r>
      <w:r w:rsidR="006D18A4" w:rsidRPr="00382917">
        <w:t>allotted</w:t>
      </w:r>
      <w:r w:rsidR="00EE4FC3">
        <w:t xml:space="preserve"> </w:t>
      </w:r>
      <w:r w:rsidR="006D18A4" w:rsidRPr="00382917">
        <w:t>to</w:t>
      </w:r>
      <w:r w:rsidR="00EE4FC3">
        <w:t xml:space="preserve"> </w:t>
      </w:r>
      <w:r w:rsidR="006D18A4" w:rsidRPr="00382917">
        <w:t>you</w:t>
      </w:r>
      <w:proofErr w:type="gramStart"/>
      <w:r w:rsidR="00CA305C">
        <w:t>.</w:t>
      </w:r>
      <w:r w:rsidR="00EE4FC3">
        <w:t xml:space="preserve"> </w:t>
      </w:r>
      <w:proofErr w:type="gramEnd"/>
      <w:r w:rsidR="00F04416" w:rsidRPr="00382917">
        <w:t>…</w:t>
      </w:r>
      <w:r w:rsidR="00EE4FC3">
        <w:t xml:space="preserve">  </w:t>
      </w:r>
      <w:r w:rsidR="006D18A4" w:rsidRPr="00382917">
        <w:t>The</w:t>
      </w:r>
      <w:r w:rsidR="00EE4FC3">
        <w:t xml:space="preserve"> </w:t>
      </w:r>
      <w:r w:rsidR="006D18A4" w:rsidRPr="00382917">
        <w:t>hand</w:t>
      </w:r>
      <w:r w:rsidR="00EE4FC3">
        <w:t xml:space="preserve"> </w:t>
      </w:r>
      <w:r w:rsidR="006D18A4" w:rsidRPr="00382917">
        <w:t>of</w:t>
      </w:r>
      <w:r w:rsidR="00EE4FC3">
        <w:t xml:space="preserve"> </w:t>
      </w:r>
      <w:r w:rsidR="006D18A4" w:rsidRPr="00382917">
        <w:t>destiny</w:t>
      </w:r>
      <w:r w:rsidR="00EE4FC3">
        <w:t xml:space="preserve"> </w:t>
      </w:r>
      <w:r w:rsidR="006D18A4" w:rsidRPr="00382917">
        <w:t>ere</w:t>
      </w:r>
      <w:r w:rsidR="00EE4FC3">
        <w:t xml:space="preserve"> </w:t>
      </w:r>
      <w:r w:rsidR="006D18A4" w:rsidRPr="00382917">
        <w:t>long</w:t>
      </w:r>
      <w:r w:rsidR="00EE4FC3">
        <w:t xml:space="preserve"> </w:t>
      </w:r>
      <w:r w:rsidR="006D18A4" w:rsidRPr="00382917">
        <w:t>will</w:t>
      </w:r>
      <w:r w:rsidR="00EE4FC3">
        <w:t xml:space="preserve"> </w:t>
      </w:r>
      <w:r w:rsidR="006D18A4" w:rsidRPr="00382917">
        <w:t>plunge</w:t>
      </w:r>
      <w:r w:rsidR="00EE4FC3">
        <w:t xml:space="preserve"> </w:t>
      </w:r>
      <w:r w:rsidR="006D18A4" w:rsidRPr="00382917">
        <w:t>you</w:t>
      </w:r>
      <w:r w:rsidR="00EE4FC3">
        <w:t xml:space="preserve"> </w:t>
      </w:r>
      <w:r w:rsidR="006D18A4" w:rsidRPr="00382917">
        <w:t>into</w:t>
      </w:r>
      <w:r w:rsidR="00EE4FC3">
        <w:t xml:space="preserve"> </w:t>
      </w:r>
      <w:r w:rsidR="006D18A4" w:rsidRPr="00382917">
        <w:t>an</w:t>
      </w:r>
      <w:r w:rsidR="00EE4FC3">
        <w:t xml:space="preserve"> </w:t>
      </w:r>
      <w:r w:rsidR="006D18A4" w:rsidRPr="00382917">
        <w:t>ocean</w:t>
      </w:r>
      <w:r w:rsidR="00EE4FC3">
        <w:t xml:space="preserve"> </w:t>
      </w:r>
      <w:r w:rsidR="006D18A4" w:rsidRPr="00382917">
        <w:t>of</w:t>
      </w:r>
      <w:r w:rsidR="00EE4FC3">
        <w:t xml:space="preserve"> </w:t>
      </w:r>
      <w:r w:rsidR="006D18A4" w:rsidRPr="00382917">
        <w:t>tribulation</w:t>
      </w:r>
      <w:r w:rsidR="00F04416" w:rsidRPr="00382917">
        <w:t>…</w:t>
      </w:r>
      <w:r w:rsidR="00C03C91">
        <w:t>.</w:t>
      </w:r>
      <w:r w:rsidR="00EE4FC3">
        <w:t xml:space="preserve">  </w:t>
      </w:r>
      <w:r w:rsidR="006D18A4" w:rsidRPr="00382917">
        <w:t>In</w:t>
      </w:r>
      <w:r w:rsidR="00EE4FC3">
        <w:t xml:space="preserve"> </w:t>
      </w:r>
      <w:r w:rsidR="006D18A4" w:rsidRPr="00382917">
        <w:t>the</w:t>
      </w:r>
      <w:r w:rsidR="00EE4FC3">
        <w:t xml:space="preserve"> </w:t>
      </w:r>
      <w:r w:rsidR="006D18A4" w:rsidRPr="00382917">
        <w:t>streets</w:t>
      </w:r>
      <w:r w:rsidR="00EE4FC3">
        <w:t xml:space="preserve"> </w:t>
      </w:r>
      <w:r w:rsidR="006D18A4" w:rsidRPr="00382917">
        <w:t>of</w:t>
      </w:r>
      <w:r w:rsidR="00EE4FC3">
        <w:t xml:space="preserve"> </w:t>
      </w:r>
      <w:r w:rsidR="008A073E" w:rsidRPr="00382917">
        <w:rPr>
          <w:u w:val="single"/>
        </w:rPr>
        <w:t>Sh</w:t>
      </w:r>
      <w:r w:rsidR="008A073E" w:rsidRPr="00382917">
        <w:t>íráz</w:t>
      </w:r>
      <w:r w:rsidR="006D18A4" w:rsidRPr="00382917">
        <w:t>,</w:t>
      </w:r>
      <w:r w:rsidR="00EE4FC3">
        <w:t xml:space="preserve"> </w:t>
      </w:r>
      <w:r w:rsidR="006D18A4" w:rsidRPr="00382917">
        <w:t>indignities</w:t>
      </w:r>
      <w:r w:rsidR="00EE4FC3">
        <w:t xml:space="preserve"> </w:t>
      </w:r>
      <w:r w:rsidR="006D18A4" w:rsidRPr="00382917">
        <w:t>will</w:t>
      </w:r>
      <w:r w:rsidR="00EE4FC3">
        <w:t xml:space="preserve"> </w:t>
      </w:r>
      <w:r w:rsidR="006D18A4" w:rsidRPr="00382917">
        <w:t>be</w:t>
      </w:r>
      <w:r w:rsidR="00EE4FC3">
        <w:t xml:space="preserve"> </w:t>
      </w:r>
      <w:r w:rsidR="006D18A4" w:rsidRPr="00382917">
        <w:t>heaped</w:t>
      </w:r>
      <w:r w:rsidR="00EE4FC3">
        <w:t xml:space="preserve"> </w:t>
      </w:r>
      <w:r w:rsidR="006D18A4" w:rsidRPr="00382917">
        <w:t>upon</w:t>
      </w:r>
      <w:r w:rsidR="00EE4FC3">
        <w:t xml:space="preserve"> </w:t>
      </w:r>
      <w:r w:rsidR="006D18A4" w:rsidRPr="00382917">
        <w:t>you,</w:t>
      </w:r>
      <w:r w:rsidR="00EE4FC3">
        <w:t xml:space="preserve"> </w:t>
      </w:r>
      <w:r w:rsidR="006D18A4" w:rsidRPr="00382917">
        <w:t>and</w:t>
      </w:r>
      <w:r w:rsidR="00EE4FC3">
        <w:t xml:space="preserve"> </w:t>
      </w:r>
      <w:r w:rsidR="006D18A4" w:rsidRPr="00382917">
        <w:t>the</w:t>
      </w:r>
      <w:r w:rsidR="00EE4FC3">
        <w:t xml:space="preserve"> </w:t>
      </w:r>
      <w:r w:rsidR="006D18A4" w:rsidRPr="00382917">
        <w:t>severest</w:t>
      </w:r>
      <w:r w:rsidR="00EE4FC3">
        <w:t xml:space="preserve"> </w:t>
      </w:r>
      <w:r w:rsidR="006D18A4" w:rsidRPr="00382917">
        <w:t>injuries</w:t>
      </w:r>
      <w:r w:rsidR="00EE4FC3">
        <w:t xml:space="preserve"> </w:t>
      </w:r>
      <w:r w:rsidR="006D18A4" w:rsidRPr="00382917">
        <w:t>will</w:t>
      </w:r>
      <w:r w:rsidR="00EE4FC3">
        <w:t xml:space="preserve"> </w:t>
      </w:r>
      <w:r w:rsidR="006D18A4" w:rsidRPr="00382917">
        <w:t>afflict</w:t>
      </w:r>
      <w:r w:rsidR="00EE4FC3">
        <w:t xml:space="preserve"> </w:t>
      </w:r>
      <w:r w:rsidR="006D18A4" w:rsidRPr="00382917">
        <w:t>your</w:t>
      </w:r>
      <w:r w:rsidR="00EE4FC3">
        <w:t xml:space="preserve"> </w:t>
      </w:r>
      <w:r w:rsidR="006D18A4" w:rsidRPr="00382917">
        <w:t>body</w:t>
      </w:r>
      <w:r w:rsidR="00C03C91">
        <w:t>.</w:t>
      </w:r>
      <w:r w:rsidR="00EE4FC3">
        <w:t xml:space="preserve">  </w:t>
      </w:r>
      <w:r w:rsidR="006D18A4" w:rsidRPr="00382917">
        <w:t>You</w:t>
      </w:r>
      <w:r w:rsidR="00EE4FC3">
        <w:t xml:space="preserve"> </w:t>
      </w:r>
      <w:r w:rsidR="006D18A4" w:rsidRPr="00382917">
        <w:t>will</w:t>
      </w:r>
      <w:r w:rsidR="00EE4FC3">
        <w:t xml:space="preserve"> </w:t>
      </w:r>
      <w:r w:rsidR="006D18A4" w:rsidRPr="00382917">
        <w:t>survive</w:t>
      </w:r>
      <w:r w:rsidR="00EE4FC3">
        <w:t xml:space="preserve"> </w:t>
      </w:r>
      <w:r w:rsidR="00F04416" w:rsidRPr="00382917">
        <w:t>…</w:t>
      </w:r>
      <w:r w:rsidR="00EE4FC3">
        <w:t xml:space="preserve"> </w:t>
      </w:r>
      <w:r w:rsidR="006D18A4" w:rsidRPr="00382917">
        <w:t>and</w:t>
      </w:r>
      <w:r w:rsidR="00EE4FC3">
        <w:t xml:space="preserve"> </w:t>
      </w:r>
      <w:r w:rsidR="006D18A4" w:rsidRPr="00382917">
        <w:t>will</w:t>
      </w:r>
      <w:r w:rsidR="00EE4FC3">
        <w:t xml:space="preserve"> </w:t>
      </w:r>
      <w:r w:rsidR="006D18A4" w:rsidRPr="00382917">
        <w:t>attain</w:t>
      </w:r>
      <w:r w:rsidR="00EE4FC3">
        <w:t xml:space="preserve"> </w:t>
      </w:r>
      <w:r w:rsidR="006D18A4" w:rsidRPr="00382917">
        <w:t>the</w:t>
      </w:r>
      <w:r w:rsidR="00EE4FC3">
        <w:t xml:space="preserve"> </w:t>
      </w:r>
      <w:r w:rsidR="006D18A4" w:rsidRPr="00382917">
        <w:t>presence</w:t>
      </w:r>
      <w:r w:rsidR="00EE4FC3">
        <w:t xml:space="preserve"> </w:t>
      </w:r>
      <w:r w:rsidR="006D18A4" w:rsidRPr="00382917">
        <w:t>of</w:t>
      </w:r>
      <w:r w:rsidR="00EE4FC3">
        <w:t xml:space="preserve"> </w:t>
      </w:r>
      <w:r w:rsidR="006D18A4" w:rsidRPr="00382917">
        <w:t>Him</w:t>
      </w:r>
      <w:r w:rsidR="00EE4FC3">
        <w:t xml:space="preserve"> </w:t>
      </w:r>
      <w:r w:rsidR="006D18A4" w:rsidRPr="00382917">
        <w:t>who</w:t>
      </w:r>
      <w:r w:rsidR="00EE4FC3">
        <w:t xml:space="preserve"> </w:t>
      </w:r>
      <w:r w:rsidR="006D18A4" w:rsidRPr="00382917">
        <w:t>is</w:t>
      </w:r>
      <w:r w:rsidR="00EE4FC3">
        <w:t xml:space="preserve"> </w:t>
      </w:r>
      <w:r w:rsidR="006D18A4" w:rsidRPr="00382917">
        <w:t>the</w:t>
      </w:r>
      <w:r w:rsidR="00EE4FC3">
        <w:t xml:space="preserve"> </w:t>
      </w:r>
      <w:r w:rsidR="006D18A4" w:rsidRPr="00382917">
        <w:t>object</w:t>
      </w:r>
      <w:r w:rsidR="00EE4FC3">
        <w:t xml:space="preserve"> </w:t>
      </w:r>
      <w:r w:rsidR="006D18A4" w:rsidRPr="00382917">
        <w:t>of</w:t>
      </w:r>
      <w:r w:rsidR="00EE4FC3">
        <w:t xml:space="preserve"> </w:t>
      </w:r>
      <w:r w:rsidR="006D18A4" w:rsidRPr="00382917">
        <w:t>our</w:t>
      </w:r>
      <w:r w:rsidR="00EE4FC3">
        <w:t xml:space="preserve"> </w:t>
      </w:r>
      <w:r w:rsidR="006D18A4" w:rsidRPr="00382917">
        <w:t>adoration</w:t>
      </w:r>
      <w:r w:rsidR="00EE4FC3">
        <w:t xml:space="preserve"> </w:t>
      </w:r>
      <w:r w:rsidR="00F04416" w:rsidRPr="00382917">
        <w:t>…</w:t>
      </w:r>
      <w:r w:rsidR="00EE4FC3">
        <w:t xml:space="preserve"> </w:t>
      </w:r>
      <w:r w:rsidR="006D18A4" w:rsidRPr="00382917">
        <w:t>[that</w:t>
      </w:r>
      <w:r w:rsidR="00EE4FC3">
        <w:t xml:space="preserve"> </w:t>
      </w:r>
      <w:r w:rsidR="006D18A4" w:rsidRPr="00382917">
        <w:t>great</w:t>
      </w:r>
      <w:r w:rsidR="00EE4FC3">
        <w:t xml:space="preserve"> </w:t>
      </w:r>
      <w:r w:rsidR="006D18A4" w:rsidRPr="00382917">
        <w:t>Figure</w:t>
      </w:r>
      <w:r w:rsidR="00EE4FC3">
        <w:t xml:space="preserve"> </w:t>
      </w:r>
      <w:r w:rsidR="006D18A4" w:rsidRPr="00382917">
        <w:t>Who</w:t>
      </w:r>
      <w:r w:rsidR="00EE4FC3">
        <w:t xml:space="preserve"> </w:t>
      </w:r>
      <w:r w:rsidR="006D18A4" w:rsidRPr="00382917">
        <w:t>is</w:t>
      </w:r>
      <w:r w:rsidR="00EE4FC3">
        <w:t xml:space="preserve"> </w:t>
      </w:r>
      <w:r w:rsidR="006D18A4" w:rsidRPr="00382917">
        <w:t>yet</w:t>
      </w:r>
      <w:r w:rsidR="00EE4FC3">
        <w:t xml:space="preserve"> </w:t>
      </w:r>
      <w:r w:rsidR="006D18A4" w:rsidRPr="00382917">
        <w:t>to</w:t>
      </w:r>
      <w:r w:rsidR="00EE4FC3">
        <w:t xml:space="preserve"> </w:t>
      </w:r>
      <w:r w:rsidR="006D18A4" w:rsidRPr="00382917">
        <w:t>come].</w:t>
      </w:r>
      <w:r w:rsidRPr="00382917">
        <w:t>”</w:t>
      </w:r>
      <w:r w:rsidR="00CA305C">
        <w:rPr>
          <w:rStyle w:val="FootnoteReference"/>
        </w:rPr>
        <w:footnoteReference w:id="29"/>
      </w:r>
    </w:p>
    <w:p w:rsidR="006D18A4" w:rsidRPr="00382917" w:rsidRDefault="006D18A4" w:rsidP="009F0F0D">
      <w:pPr>
        <w:pStyle w:val="Text"/>
      </w:pPr>
      <w:r w:rsidRPr="00382917">
        <w:t>In</w:t>
      </w:r>
      <w:r w:rsidR="00EE4FC3">
        <w:t xml:space="preserve"> </w:t>
      </w:r>
      <w:r w:rsidRPr="00382917">
        <w:t>a</w:t>
      </w:r>
      <w:r w:rsidR="00EE4FC3">
        <w:t xml:space="preserve"> </w:t>
      </w:r>
      <w:r w:rsidRPr="00382917">
        <w:t>short</w:t>
      </w:r>
      <w:r w:rsidR="00EE4FC3">
        <w:t xml:space="preserve"> </w:t>
      </w:r>
      <w:r w:rsidRPr="00382917">
        <w:t>time,</w:t>
      </w:r>
      <w:r w:rsidR="00EE4FC3">
        <w:t xml:space="preserve"> </w:t>
      </w:r>
      <w:r w:rsidRPr="00382917">
        <w:t>Quddús</w:t>
      </w:r>
      <w:r w:rsidR="00EE4FC3">
        <w:t xml:space="preserve"> </w:t>
      </w:r>
      <w:r w:rsidRPr="00382917">
        <w:t>arrived</w:t>
      </w:r>
      <w:r w:rsidR="00EE4FC3">
        <w:t xml:space="preserve"> </w:t>
      </w:r>
      <w:r w:rsidRPr="00382917">
        <w:t>in</w:t>
      </w:r>
      <w:r w:rsidR="00EE4FC3">
        <w:t xml:space="preserve"> </w:t>
      </w:r>
      <w:r w:rsidR="008A073E" w:rsidRPr="00382917">
        <w:rPr>
          <w:u w:val="single"/>
        </w:rPr>
        <w:t>Sh</w:t>
      </w:r>
      <w:r w:rsidR="008A073E" w:rsidRPr="00382917">
        <w:t>íráz</w:t>
      </w:r>
      <w:r w:rsidR="00C03C91">
        <w:t>.</w:t>
      </w:r>
      <w:r w:rsidR="00EE4FC3">
        <w:t xml:space="preserve">  </w:t>
      </w:r>
      <w:r w:rsidRPr="00382917">
        <w:t>He</w:t>
      </w:r>
      <w:r w:rsidR="00EE4FC3">
        <w:t xml:space="preserve"> </w:t>
      </w:r>
      <w:r w:rsidRPr="00382917">
        <w:t>began</w:t>
      </w:r>
      <w:r w:rsidR="00EE4FC3">
        <w:t xml:space="preserve"> </w:t>
      </w:r>
      <w:r w:rsidRPr="00382917">
        <w:t>to</w:t>
      </w:r>
      <w:r w:rsidR="00EE4FC3">
        <w:t xml:space="preserve"> </w:t>
      </w:r>
      <w:r w:rsidRPr="00382917">
        <w:t>speak</w:t>
      </w:r>
      <w:r w:rsidR="00EE4FC3">
        <w:t xml:space="preserve"> </w:t>
      </w:r>
      <w:r w:rsidRPr="00382917">
        <w:t>everywhere</w:t>
      </w:r>
      <w:r w:rsidR="00EE4FC3">
        <w:t xml:space="preserve"> </w:t>
      </w:r>
      <w:r w:rsidRPr="00382917">
        <w:t>of</w:t>
      </w:r>
      <w:r w:rsidR="00EE4FC3">
        <w:t xml:space="preserve"> </w:t>
      </w:r>
      <w:r w:rsidRPr="00382917">
        <w:t>the</w:t>
      </w:r>
      <w:r w:rsidR="00EE4FC3">
        <w:t xml:space="preserve"> </w:t>
      </w:r>
      <w:proofErr w:type="spellStart"/>
      <w:r w:rsidRPr="00382917">
        <w:t>wonderous</w:t>
      </w:r>
      <w:proofErr w:type="spellEnd"/>
      <w:r w:rsidR="00EE4FC3">
        <w:t xml:space="preserve"> </w:t>
      </w:r>
      <w:r w:rsidRPr="00382917">
        <w:t>days</w:t>
      </w:r>
      <w:r w:rsidR="00EE4FC3">
        <w:t xml:space="preserve"> </w:t>
      </w:r>
      <w:r w:rsidRPr="00382917">
        <w:t>he</w:t>
      </w:r>
      <w:r w:rsidR="00EE4FC3">
        <w:t xml:space="preserve"> </w:t>
      </w:r>
      <w:r w:rsidRPr="00382917">
        <w:t>had</w:t>
      </w:r>
      <w:r w:rsidR="00EE4FC3">
        <w:t xml:space="preserve"> </w:t>
      </w:r>
      <w:r w:rsidRPr="00382917">
        <w:t>spent</w:t>
      </w:r>
      <w:r w:rsidR="00EE4FC3">
        <w:t xml:space="preserve"> </w:t>
      </w:r>
      <w:r w:rsidRPr="00382917">
        <w:t>with</w:t>
      </w:r>
      <w:r w:rsidR="00EE4FC3">
        <w:t xml:space="preserve"> </w:t>
      </w:r>
      <w:r w:rsidRPr="00382917">
        <w:t>the</w:t>
      </w:r>
      <w:r w:rsidR="00EE4FC3">
        <w:t xml:space="preserve"> </w:t>
      </w:r>
      <w:r w:rsidRPr="00382917">
        <w:t>Báb</w:t>
      </w:r>
      <w:r w:rsidR="00C03C91">
        <w:t>.</w:t>
      </w:r>
      <w:r w:rsidR="00EE4FC3">
        <w:t xml:space="preserve">  </w:t>
      </w:r>
      <w:r w:rsidRPr="00382917">
        <w:t>He</w:t>
      </w:r>
      <w:r w:rsidR="00EE4FC3">
        <w:t xml:space="preserve"> </w:t>
      </w:r>
      <w:r w:rsidRPr="00382917">
        <w:t>aroused</w:t>
      </w:r>
      <w:r w:rsidR="00EE4FC3">
        <w:t xml:space="preserve"> </w:t>
      </w:r>
      <w:r w:rsidRPr="00382917">
        <w:t>the</w:t>
      </w:r>
      <w:r w:rsidR="00EE4FC3">
        <w:t xml:space="preserve"> </w:t>
      </w:r>
      <w:r w:rsidRPr="00382917">
        <w:t>whole</w:t>
      </w:r>
      <w:r w:rsidR="00EE4FC3">
        <w:t xml:space="preserve"> </w:t>
      </w:r>
      <w:r w:rsidRPr="00382917">
        <w:t>city</w:t>
      </w:r>
      <w:r w:rsidR="00EE4FC3">
        <w:t xml:space="preserve"> </w:t>
      </w:r>
      <w:r w:rsidRPr="00382917">
        <w:t>with</w:t>
      </w:r>
      <w:r w:rsidR="00EE4FC3">
        <w:t xml:space="preserve"> </w:t>
      </w:r>
      <w:r w:rsidRPr="00382917">
        <w:t>his</w:t>
      </w:r>
      <w:r w:rsidR="00EE4FC3">
        <w:t xml:space="preserve"> </w:t>
      </w:r>
      <w:r w:rsidRPr="00382917">
        <w:t>inspired</w:t>
      </w:r>
      <w:r w:rsidR="00EE4FC3">
        <w:t xml:space="preserve"> </w:t>
      </w:r>
      <w:r w:rsidRPr="00382917">
        <w:t>words</w:t>
      </w:r>
      <w:r w:rsidR="00C03C91">
        <w:t>.</w:t>
      </w:r>
      <w:r w:rsidR="00EE4FC3">
        <w:t xml:space="preserve">  </w:t>
      </w:r>
      <w:r w:rsidRPr="00382917">
        <w:t>He</w:t>
      </w:r>
      <w:r w:rsidR="00EE4FC3">
        <w:t xml:space="preserve"> </w:t>
      </w:r>
      <w:r w:rsidRPr="00382917">
        <w:t>became</w:t>
      </w:r>
      <w:r w:rsidR="00EE4FC3">
        <w:t xml:space="preserve"> </w:t>
      </w:r>
      <w:r w:rsidRPr="00382917">
        <w:t>very</w:t>
      </w:r>
      <w:r w:rsidR="00EE4FC3">
        <w:t xml:space="preserve"> </w:t>
      </w:r>
      <w:r w:rsidRPr="00382917">
        <w:t>friendly</w:t>
      </w:r>
      <w:r w:rsidR="00EE4FC3">
        <w:t xml:space="preserve"> </w:t>
      </w:r>
      <w:r w:rsidRPr="00382917">
        <w:t>with</w:t>
      </w:r>
      <w:r w:rsidR="00EE4FC3">
        <w:t xml:space="preserve"> </w:t>
      </w:r>
      <w:r w:rsidRPr="00382917">
        <w:t>an</w:t>
      </w:r>
      <w:r w:rsidR="00EE4FC3">
        <w:t xml:space="preserve"> </w:t>
      </w:r>
      <w:r w:rsidRPr="00382917">
        <w:t>old</w:t>
      </w:r>
      <w:r w:rsidR="00EE4FC3">
        <w:t xml:space="preserve"> </w:t>
      </w:r>
      <w:r w:rsidRPr="00382917">
        <w:t>man</w:t>
      </w:r>
      <w:r w:rsidR="00EE4FC3">
        <w:t xml:space="preserve"> </w:t>
      </w:r>
      <w:r w:rsidRPr="00382917">
        <w:t>named</w:t>
      </w:r>
      <w:r w:rsidR="00EE4FC3">
        <w:t xml:space="preserve"> </w:t>
      </w:r>
      <w:r w:rsidRPr="00382917">
        <w:t>Mullá</w:t>
      </w:r>
      <w:r w:rsidR="00EE4FC3">
        <w:t xml:space="preserve"> </w:t>
      </w:r>
      <w:r w:rsidRPr="00382917">
        <w:t>Ṣádiq,</w:t>
      </w:r>
      <w:r w:rsidR="00EE4FC3">
        <w:t xml:space="preserve"> </w:t>
      </w:r>
      <w:r w:rsidRPr="00382917">
        <w:t>and</w:t>
      </w:r>
      <w:r w:rsidR="00EE4FC3">
        <w:t xml:space="preserve"> </w:t>
      </w:r>
      <w:r w:rsidRPr="00382917">
        <w:t>gave</w:t>
      </w:r>
      <w:r w:rsidR="00EE4FC3">
        <w:t xml:space="preserve"> </w:t>
      </w:r>
      <w:r w:rsidRPr="00382917">
        <w:t>him</w:t>
      </w:r>
      <w:r w:rsidR="00EE4FC3">
        <w:t xml:space="preserve"> </w:t>
      </w:r>
      <w:r w:rsidRPr="00382917">
        <w:t>a</w:t>
      </w:r>
      <w:r w:rsidR="00EE4FC3">
        <w:t xml:space="preserve"> </w:t>
      </w:r>
      <w:r w:rsidRPr="00382917">
        <w:t>copy</w:t>
      </w:r>
      <w:r w:rsidR="00EE4FC3">
        <w:t xml:space="preserve"> </w:t>
      </w:r>
      <w:r w:rsidRPr="00382917">
        <w:t>of</w:t>
      </w:r>
      <w:r w:rsidR="00EE4FC3">
        <w:t xml:space="preserve"> </w:t>
      </w:r>
      <w:r w:rsidRPr="00382917">
        <w:t>one</w:t>
      </w:r>
      <w:r w:rsidR="00EE4FC3">
        <w:t xml:space="preserve"> </w:t>
      </w:r>
      <w:r w:rsidRPr="00382917">
        <w:t>of</w:t>
      </w:r>
      <w:r w:rsidR="00EE4FC3">
        <w:t xml:space="preserve"> </w:t>
      </w:r>
      <w:r w:rsidRPr="00382917">
        <w:t>the</w:t>
      </w:r>
      <w:r w:rsidR="00EE4FC3">
        <w:t xml:space="preserve"> </w:t>
      </w:r>
      <w:r w:rsidRPr="00382917">
        <w:t>Báb</w:t>
      </w:r>
      <w:r w:rsidR="009C713D" w:rsidRPr="00382917">
        <w:t>’</w:t>
      </w:r>
      <w:r w:rsidRPr="00382917">
        <w:t>s</w:t>
      </w:r>
      <w:r w:rsidR="00EE4FC3">
        <w:t xml:space="preserve"> </w:t>
      </w:r>
      <w:r w:rsidRPr="00382917">
        <w:t>writings.</w:t>
      </w:r>
    </w:p>
    <w:p w:rsidR="006D18A4" w:rsidRPr="00382917" w:rsidRDefault="006D18A4" w:rsidP="004F6339">
      <w:pPr>
        <w:pStyle w:val="Text"/>
      </w:pPr>
      <w:r w:rsidRPr="00382917">
        <w:t>In</w:t>
      </w:r>
      <w:r w:rsidR="00EE4FC3">
        <w:t xml:space="preserve"> </w:t>
      </w:r>
      <w:r w:rsidRPr="00382917">
        <w:t>this</w:t>
      </w:r>
      <w:r w:rsidR="00EE4FC3">
        <w:t xml:space="preserve"> </w:t>
      </w:r>
      <w:r w:rsidRPr="00382917">
        <w:t>writing</w:t>
      </w:r>
      <w:r w:rsidR="00EE4FC3">
        <w:t xml:space="preserve"> </w:t>
      </w:r>
      <w:r w:rsidRPr="00382917">
        <w:t>the</w:t>
      </w:r>
      <w:r w:rsidR="00EE4FC3">
        <w:t xml:space="preserve"> </w:t>
      </w:r>
      <w:r w:rsidRPr="00382917">
        <w:t>Báb</w:t>
      </w:r>
      <w:r w:rsidR="00EE4FC3">
        <w:t xml:space="preserve"> </w:t>
      </w:r>
      <w:r w:rsidRPr="00382917">
        <w:t>once</w:t>
      </w:r>
      <w:r w:rsidR="00EE4FC3">
        <w:t xml:space="preserve"> </w:t>
      </w:r>
      <w:r w:rsidRPr="00382917">
        <w:t>again</w:t>
      </w:r>
      <w:r w:rsidR="00EE4FC3">
        <w:t xml:space="preserve"> </w:t>
      </w:r>
      <w:r w:rsidRPr="00382917">
        <w:t>intimated</w:t>
      </w:r>
      <w:r w:rsidR="00EE4FC3">
        <w:t xml:space="preserve"> </w:t>
      </w:r>
      <w:r w:rsidRPr="00382917">
        <w:t>that,</w:t>
      </w:r>
      <w:r w:rsidR="00EE4FC3">
        <w:t xml:space="preserve"> </w:t>
      </w:r>
      <w:r w:rsidRPr="00382917">
        <w:t>just</w:t>
      </w:r>
      <w:r w:rsidR="00EE4FC3">
        <w:t xml:space="preserve"> </w:t>
      </w:r>
      <w:r w:rsidRPr="00382917">
        <w:t>as</w:t>
      </w:r>
      <w:r w:rsidR="00EE4FC3">
        <w:t xml:space="preserve"> </w:t>
      </w:r>
      <w:r w:rsidR="008A073E" w:rsidRPr="00382917">
        <w:rPr>
          <w:u w:val="single"/>
        </w:rPr>
        <w:t>Sh</w:t>
      </w:r>
      <w:r w:rsidR="008A073E" w:rsidRPr="00382917">
        <w:t>ay</w:t>
      </w:r>
      <w:r w:rsidR="008A073E" w:rsidRPr="00382917">
        <w:rPr>
          <w:u w:val="single"/>
        </w:rPr>
        <w:t>kh</w:t>
      </w:r>
      <w:r w:rsidR="00EE4FC3">
        <w:t xml:space="preserve"> </w:t>
      </w:r>
      <w:r w:rsidR="008A073E" w:rsidRPr="00382917">
        <w:t>Aḥmad</w:t>
      </w:r>
      <w:r w:rsidR="00EE4FC3">
        <w:t xml:space="preserve"> </w:t>
      </w:r>
      <w:r w:rsidRPr="00382917">
        <w:t>and</w:t>
      </w:r>
      <w:r w:rsidR="00EE4FC3">
        <w:t xml:space="preserve"> </w:t>
      </w:r>
      <w:r w:rsidRPr="00382917">
        <w:t>Siyyid</w:t>
      </w:r>
      <w:r w:rsidR="00EE4FC3">
        <w:t xml:space="preserve"> </w:t>
      </w:r>
      <w:r w:rsidRPr="00382917">
        <w:t>Káẓim</w:t>
      </w:r>
      <w:r w:rsidR="00EE4FC3">
        <w:t xml:space="preserve"> </w:t>
      </w:r>
      <w:r w:rsidRPr="00382917">
        <w:t>had</w:t>
      </w:r>
      <w:r w:rsidR="00EE4FC3">
        <w:t xml:space="preserve"> </w:t>
      </w:r>
      <w:r w:rsidRPr="00382917">
        <w:t>promised,</w:t>
      </w:r>
      <w:r w:rsidR="00EE4FC3">
        <w:t xml:space="preserve"> </w:t>
      </w:r>
      <w:r w:rsidRPr="00382917">
        <w:t>there</w:t>
      </w:r>
      <w:r w:rsidR="00EE4FC3">
        <w:t xml:space="preserve"> </w:t>
      </w:r>
      <w:r w:rsidRPr="00382917">
        <w:t>would</w:t>
      </w:r>
      <w:r w:rsidR="00EE4FC3">
        <w:t xml:space="preserve"> </w:t>
      </w:r>
      <w:r w:rsidRPr="00382917">
        <w:t>be</w:t>
      </w:r>
      <w:r w:rsidR="00EE4FC3">
        <w:t xml:space="preserve"> </w:t>
      </w:r>
      <w:r w:rsidRPr="00382917">
        <w:t>two</w:t>
      </w:r>
      <w:r w:rsidR="00EE4FC3">
        <w:t xml:space="preserve"> </w:t>
      </w:r>
      <w:r w:rsidRPr="00382917">
        <w:t>Messengers</w:t>
      </w:r>
      <w:r w:rsidR="00EE4FC3">
        <w:t xml:space="preserve"> </w:t>
      </w:r>
      <w:r w:rsidRPr="00382917">
        <w:t>of</w:t>
      </w:r>
      <w:r w:rsidR="00EE4FC3">
        <w:t xml:space="preserve"> </w:t>
      </w:r>
      <w:r w:rsidRPr="00382917">
        <w:t>God</w:t>
      </w:r>
      <w:r w:rsidR="00EE4FC3">
        <w:t xml:space="preserve"> </w:t>
      </w:r>
      <w:r w:rsidRPr="00382917">
        <w:t>following</w:t>
      </w:r>
      <w:r w:rsidR="00EE4FC3">
        <w:t xml:space="preserve"> </w:t>
      </w:r>
      <w:r w:rsidRPr="00382917">
        <w:t>close</w:t>
      </w:r>
      <w:r w:rsidR="00EE4FC3">
        <w:t xml:space="preserve"> </w:t>
      </w:r>
      <w:r w:rsidRPr="00382917">
        <w:t>upon</w:t>
      </w:r>
      <w:r w:rsidR="00EE4FC3">
        <w:t xml:space="preserve"> </w:t>
      </w:r>
      <w:r w:rsidRPr="00382917">
        <w:t>each</w:t>
      </w:r>
      <w:r w:rsidR="00EE4FC3">
        <w:t xml:space="preserve"> </w:t>
      </w:r>
      <w:r w:rsidRPr="00382917">
        <w:t>other</w:t>
      </w:r>
      <w:r w:rsidR="00EE4FC3">
        <w:t xml:space="preserve"> </w:t>
      </w:r>
      <w:r w:rsidRPr="00382917">
        <w:t>in</w:t>
      </w:r>
      <w:r w:rsidR="00EE4FC3">
        <w:t xml:space="preserve"> </w:t>
      </w:r>
      <w:r w:rsidRPr="00382917">
        <w:t>this</w:t>
      </w:r>
      <w:r w:rsidR="00EE4FC3">
        <w:t xml:space="preserve"> </w:t>
      </w:r>
      <w:r w:rsidRPr="00382917">
        <w:t>day.</w:t>
      </w:r>
    </w:p>
    <w:p w:rsidR="009F0F0D" w:rsidRPr="00382917" w:rsidRDefault="009F0F0D">
      <w:pPr>
        <w:widowControl/>
        <w:kinsoku/>
        <w:overflowPunct/>
        <w:textAlignment w:val="auto"/>
      </w:pPr>
      <w:r w:rsidRPr="00382917">
        <w:br w:type="page"/>
      </w:r>
    </w:p>
    <w:p w:rsidR="006D18A4" w:rsidRPr="00382917" w:rsidRDefault="006D18A4" w:rsidP="004F6339">
      <w:pPr>
        <w:pStyle w:val="Textcts"/>
      </w:pPr>
      <w:r w:rsidRPr="00382917">
        <w:t>He</w:t>
      </w:r>
      <w:r w:rsidR="00EE4FC3">
        <w:t xml:space="preserve"> </w:t>
      </w:r>
      <w:r w:rsidRPr="00382917">
        <w:t>was</w:t>
      </w:r>
      <w:r w:rsidR="00EE4FC3">
        <w:t xml:space="preserve"> </w:t>
      </w:r>
      <w:r w:rsidRPr="00382917">
        <w:t>but</w:t>
      </w:r>
      <w:r w:rsidR="00EE4FC3">
        <w:t xml:space="preserve"> </w:t>
      </w:r>
      <w:r w:rsidRPr="00382917">
        <w:t>the</w:t>
      </w:r>
      <w:r w:rsidR="00EE4FC3">
        <w:t xml:space="preserve"> </w:t>
      </w:r>
      <w:r w:rsidRPr="00382917">
        <w:t>Herald</w:t>
      </w:r>
      <w:r w:rsidR="00EE4FC3">
        <w:t xml:space="preserve"> </w:t>
      </w:r>
      <w:r w:rsidRPr="00382917">
        <w:t>and</w:t>
      </w:r>
      <w:r w:rsidR="00EE4FC3">
        <w:t xml:space="preserve"> </w:t>
      </w:r>
      <w:r w:rsidRPr="00382917">
        <w:t>the</w:t>
      </w:r>
      <w:r w:rsidR="00EE4FC3">
        <w:t xml:space="preserve"> </w:t>
      </w:r>
      <w:r w:rsidRPr="00382917">
        <w:t>servant</w:t>
      </w:r>
      <w:r w:rsidR="00EE4FC3">
        <w:t xml:space="preserve"> </w:t>
      </w:r>
      <w:r w:rsidRPr="00382917">
        <w:t>of</w:t>
      </w:r>
      <w:r w:rsidR="00EE4FC3">
        <w:t xml:space="preserve"> </w:t>
      </w:r>
      <w:r w:rsidRPr="00382917">
        <w:t>that</w:t>
      </w:r>
      <w:r w:rsidR="00EE4FC3">
        <w:t xml:space="preserve"> </w:t>
      </w:r>
      <w:r w:rsidRPr="00382917">
        <w:t>great</w:t>
      </w:r>
      <w:r w:rsidR="00EE4FC3">
        <w:t xml:space="preserve"> </w:t>
      </w:r>
      <w:r w:rsidRPr="00382917">
        <w:t>One</w:t>
      </w:r>
      <w:r w:rsidR="00EE4FC3">
        <w:t xml:space="preserve"> </w:t>
      </w:r>
      <w:r w:rsidRPr="00382917">
        <w:t>yet</w:t>
      </w:r>
      <w:r w:rsidR="00EE4FC3">
        <w:t xml:space="preserve"> </w:t>
      </w:r>
      <w:r w:rsidRPr="00382917">
        <w:t>to</w:t>
      </w:r>
      <w:r w:rsidR="00EE4FC3">
        <w:t xml:space="preserve"> </w:t>
      </w:r>
      <w:r w:rsidRPr="00382917">
        <w:t>come.</w:t>
      </w:r>
    </w:p>
    <w:p w:rsidR="006D18A4" w:rsidRPr="00382917" w:rsidRDefault="006D18A4" w:rsidP="009F0F0D">
      <w:pPr>
        <w:pStyle w:val="Text"/>
      </w:pPr>
      <w:r w:rsidRPr="00382917">
        <w:t>The</w:t>
      </w:r>
      <w:r w:rsidR="00EE4FC3">
        <w:t xml:space="preserve"> </w:t>
      </w:r>
      <w:r w:rsidRPr="00382917">
        <w:t>enthusiasm</w:t>
      </w:r>
      <w:r w:rsidR="00EE4FC3">
        <w:t xml:space="preserve"> </w:t>
      </w:r>
      <w:r w:rsidRPr="00382917">
        <w:t>which</w:t>
      </w:r>
      <w:r w:rsidR="00EE4FC3">
        <w:t xml:space="preserve"> </w:t>
      </w:r>
      <w:r w:rsidRPr="00382917">
        <w:t>greeted</w:t>
      </w:r>
      <w:r w:rsidR="00EE4FC3">
        <w:t xml:space="preserve"> </w:t>
      </w:r>
      <w:r w:rsidRPr="00382917">
        <w:t>the</w:t>
      </w:r>
      <w:r w:rsidR="00EE4FC3">
        <w:t xml:space="preserve"> </w:t>
      </w:r>
      <w:r w:rsidRPr="00382917">
        <w:t>teaching</w:t>
      </w:r>
      <w:r w:rsidR="00EE4FC3">
        <w:t xml:space="preserve"> </w:t>
      </w:r>
      <w:r w:rsidRPr="00382917">
        <w:t>of</w:t>
      </w:r>
      <w:r w:rsidR="00EE4FC3">
        <w:t xml:space="preserve"> </w:t>
      </w:r>
      <w:r w:rsidRPr="00382917">
        <w:t>Quddús</w:t>
      </w:r>
      <w:r w:rsidR="00EE4FC3">
        <w:t xml:space="preserve"> </w:t>
      </w:r>
      <w:r w:rsidRPr="00382917">
        <w:t>and</w:t>
      </w:r>
      <w:r w:rsidR="00EE4FC3">
        <w:t xml:space="preserve"> </w:t>
      </w:r>
      <w:r w:rsidRPr="00382917">
        <w:t>Mullá</w:t>
      </w:r>
      <w:r w:rsidR="00EE4FC3">
        <w:t xml:space="preserve"> </w:t>
      </w:r>
      <w:r w:rsidR="009F0F0D" w:rsidRPr="00382917">
        <w:t>Ṣ</w:t>
      </w:r>
      <w:r w:rsidRPr="00382917">
        <w:t>ádiq</w:t>
      </w:r>
      <w:r w:rsidR="00EE4FC3">
        <w:t xml:space="preserve"> </w:t>
      </w:r>
      <w:r w:rsidRPr="00382917">
        <w:t>alarmed</w:t>
      </w:r>
      <w:r w:rsidR="00EE4FC3">
        <w:t xml:space="preserve"> </w:t>
      </w:r>
      <w:r w:rsidRPr="00382917">
        <w:t>the</w:t>
      </w:r>
      <w:r w:rsidR="00EE4FC3">
        <w:t xml:space="preserve"> </w:t>
      </w:r>
      <w:r w:rsidRPr="00382917">
        <w:t>city</w:t>
      </w:r>
      <w:r w:rsidR="00C03C91">
        <w:t>.</w:t>
      </w:r>
      <w:r w:rsidR="00EE4FC3">
        <w:t xml:space="preserve">  </w:t>
      </w:r>
      <w:r w:rsidRPr="00382917">
        <w:t>Thousands</w:t>
      </w:r>
      <w:r w:rsidR="00EE4FC3">
        <w:t xml:space="preserve"> </w:t>
      </w:r>
      <w:r w:rsidRPr="00382917">
        <w:t>of</w:t>
      </w:r>
      <w:r w:rsidR="00EE4FC3">
        <w:t xml:space="preserve"> </w:t>
      </w:r>
      <w:r w:rsidRPr="00382917">
        <w:t>protests</w:t>
      </w:r>
      <w:r w:rsidR="00EE4FC3">
        <w:t xml:space="preserve"> </w:t>
      </w:r>
      <w:r w:rsidRPr="00382917">
        <w:t>poured</w:t>
      </w:r>
      <w:r w:rsidR="00EE4FC3">
        <w:t xml:space="preserve"> </w:t>
      </w:r>
      <w:r w:rsidRPr="00382917">
        <w:t>into</w:t>
      </w:r>
      <w:r w:rsidR="00EE4FC3">
        <w:t xml:space="preserve"> </w:t>
      </w:r>
      <w:r w:rsidRPr="00382917">
        <w:t>the</w:t>
      </w:r>
      <w:r w:rsidR="00EE4FC3">
        <w:t xml:space="preserve"> </w:t>
      </w:r>
      <w:r w:rsidRPr="00382917">
        <w:t>office</w:t>
      </w:r>
      <w:r w:rsidR="00EE4FC3">
        <w:t xml:space="preserve"> </w:t>
      </w:r>
      <w:r w:rsidRPr="00382917">
        <w:t>of</w:t>
      </w:r>
      <w:r w:rsidR="00EE4FC3">
        <w:t xml:space="preserve"> </w:t>
      </w:r>
      <w:r w:rsidRPr="00382917">
        <w:t>the</w:t>
      </w:r>
      <w:r w:rsidR="00EE4FC3">
        <w:t xml:space="preserve"> </w:t>
      </w:r>
      <w:r w:rsidRPr="00382917">
        <w:t>governor,</w:t>
      </w:r>
      <w:r w:rsidR="00EE4FC3">
        <w:t xml:space="preserve"> </w:t>
      </w:r>
      <w:r w:rsidR="00964C11" w:rsidRPr="00382917">
        <w:t>Ḥusayn</w:t>
      </w:r>
      <w:r w:rsidR="00EE4FC3">
        <w:t xml:space="preserve"> </w:t>
      </w:r>
      <w:r w:rsidRPr="0040329F">
        <w:rPr>
          <w:u w:val="single"/>
        </w:rPr>
        <w:t>Kh</w:t>
      </w:r>
      <w:r w:rsidRPr="00382917">
        <w:t>án.</w:t>
      </w:r>
    </w:p>
    <w:p w:rsidR="006D18A4" w:rsidRPr="00382917" w:rsidRDefault="006D18A4" w:rsidP="009F0F0D">
      <w:pPr>
        <w:pStyle w:val="Text"/>
      </w:pPr>
      <w:r w:rsidRPr="00382917">
        <w:t>Quddús</w:t>
      </w:r>
      <w:r w:rsidR="00EE4FC3">
        <w:t xml:space="preserve"> </w:t>
      </w:r>
      <w:r w:rsidRPr="00382917">
        <w:t>claims</w:t>
      </w:r>
      <w:r w:rsidR="00EE4FC3">
        <w:t xml:space="preserve"> </w:t>
      </w:r>
      <w:r w:rsidRPr="00382917">
        <w:t>that</w:t>
      </w:r>
      <w:r w:rsidR="00EE4FC3">
        <w:t xml:space="preserve"> </w:t>
      </w:r>
      <w:r w:rsidRPr="00382917">
        <w:t>the</w:t>
      </w:r>
      <w:r w:rsidR="00EE4FC3">
        <w:t xml:space="preserve"> </w:t>
      </w:r>
      <w:r w:rsidRPr="00382917">
        <w:t>Báb</w:t>
      </w:r>
      <w:r w:rsidR="00EE4FC3">
        <w:t xml:space="preserve"> </w:t>
      </w:r>
      <w:r w:rsidRPr="00382917">
        <w:t>is</w:t>
      </w:r>
      <w:r w:rsidR="00EE4FC3">
        <w:t xml:space="preserve"> </w:t>
      </w:r>
      <w:r w:rsidRPr="00382917">
        <w:t>the</w:t>
      </w:r>
      <w:r w:rsidR="00EE4FC3">
        <w:t xml:space="preserve"> </w:t>
      </w:r>
      <w:r w:rsidRPr="00382917">
        <w:t>author</w:t>
      </w:r>
      <w:r w:rsidR="00EE4FC3">
        <w:t xml:space="preserve"> </w:t>
      </w:r>
      <w:r w:rsidRPr="00382917">
        <w:t>of</w:t>
      </w:r>
      <w:r w:rsidR="00EE4FC3">
        <w:t xml:space="preserve"> </w:t>
      </w:r>
      <w:r w:rsidRPr="00382917">
        <w:t>a</w:t>
      </w:r>
      <w:r w:rsidR="00EE4FC3">
        <w:t xml:space="preserve"> </w:t>
      </w:r>
      <w:r w:rsidRPr="00382917">
        <w:t>new</w:t>
      </w:r>
      <w:r w:rsidR="00EE4FC3">
        <w:t xml:space="preserve"> </w:t>
      </w:r>
      <w:r w:rsidRPr="00382917">
        <w:t>Revelation,</w:t>
      </w:r>
      <w:r w:rsidR="00EE4FC3">
        <w:t xml:space="preserve"> </w:t>
      </w:r>
      <w:r w:rsidRPr="00382917">
        <w:t>the</w:t>
      </w:r>
      <w:r w:rsidR="00EE4FC3">
        <w:t xml:space="preserve"> </w:t>
      </w:r>
      <w:r w:rsidRPr="00382917">
        <w:t>governor</w:t>
      </w:r>
      <w:r w:rsidR="00EE4FC3">
        <w:t xml:space="preserve"> </w:t>
      </w:r>
      <w:r w:rsidRPr="00382917">
        <w:t>was</w:t>
      </w:r>
      <w:r w:rsidR="00EE4FC3">
        <w:t xml:space="preserve"> </w:t>
      </w:r>
      <w:r w:rsidRPr="00382917">
        <w:t>told</w:t>
      </w:r>
      <w:r w:rsidR="00C03C91">
        <w:t>.</w:t>
      </w:r>
      <w:r w:rsidR="00EE4FC3">
        <w:t xml:space="preserve">  </w:t>
      </w:r>
      <w:r w:rsidRPr="00382917">
        <w:t>He</w:t>
      </w:r>
      <w:r w:rsidR="00EE4FC3">
        <w:t xml:space="preserve"> </w:t>
      </w:r>
      <w:r w:rsidRPr="00382917">
        <w:t>has</w:t>
      </w:r>
      <w:r w:rsidR="00EE4FC3">
        <w:t xml:space="preserve"> </w:t>
      </w:r>
      <w:r w:rsidRPr="00382917">
        <w:t>written</w:t>
      </w:r>
      <w:r w:rsidR="00EE4FC3">
        <w:t xml:space="preserve"> </w:t>
      </w:r>
      <w:r w:rsidRPr="00382917">
        <w:t>a</w:t>
      </w:r>
      <w:r w:rsidR="00EE4FC3">
        <w:t xml:space="preserve"> </w:t>
      </w:r>
      <w:r w:rsidRPr="00382917">
        <w:t>book</w:t>
      </w:r>
      <w:r w:rsidR="00EE4FC3">
        <w:t xml:space="preserve"> </w:t>
      </w:r>
      <w:r w:rsidRPr="00382917">
        <w:t>which</w:t>
      </w:r>
      <w:r w:rsidR="00EE4FC3">
        <w:t xml:space="preserve"> </w:t>
      </w:r>
      <w:r w:rsidRPr="00382917">
        <w:t>is</w:t>
      </w:r>
      <w:r w:rsidR="00EE4FC3">
        <w:t xml:space="preserve"> </w:t>
      </w:r>
      <w:r w:rsidRPr="00382917">
        <w:t>divinely</w:t>
      </w:r>
      <w:r w:rsidR="00EE4FC3">
        <w:t xml:space="preserve"> </w:t>
      </w:r>
      <w:r w:rsidRPr="00382917">
        <w:t>inspired</w:t>
      </w:r>
      <w:r w:rsidR="00C03C91">
        <w:t>.</w:t>
      </w:r>
      <w:r w:rsidR="00EE4FC3">
        <w:t xml:space="preserve">  </w:t>
      </w:r>
      <w:r w:rsidRPr="00382917">
        <w:t>Now</w:t>
      </w:r>
      <w:r w:rsidR="00EE4FC3">
        <w:t xml:space="preserve"> </w:t>
      </w:r>
      <w:r w:rsidRPr="00382917">
        <w:t>Mullá</w:t>
      </w:r>
      <w:r w:rsidR="00EE4FC3">
        <w:t xml:space="preserve"> </w:t>
      </w:r>
      <w:r w:rsidRPr="00382917">
        <w:t>Ṣádiq</w:t>
      </w:r>
      <w:r w:rsidR="00EE4FC3">
        <w:t xml:space="preserve"> </w:t>
      </w:r>
      <w:r w:rsidRPr="00382917">
        <w:t>has</w:t>
      </w:r>
      <w:r w:rsidR="00EE4FC3">
        <w:t xml:space="preserve"> </w:t>
      </w:r>
      <w:r w:rsidRPr="00382917">
        <w:t>embraced</w:t>
      </w:r>
      <w:r w:rsidR="00EE4FC3">
        <w:t xml:space="preserve"> </w:t>
      </w:r>
      <w:r w:rsidRPr="00382917">
        <w:t>this</w:t>
      </w:r>
      <w:r w:rsidR="00EE4FC3">
        <w:t xml:space="preserve"> </w:t>
      </w:r>
      <w:r w:rsidRPr="00382917">
        <w:t>Faith,</w:t>
      </w:r>
      <w:r w:rsidR="00EE4FC3">
        <w:t xml:space="preserve"> </w:t>
      </w:r>
      <w:r w:rsidRPr="00382917">
        <w:t>and</w:t>
      </w:r>
      <w:r w:rsidR="00EE4FC3">
        <w:t xml:space="preserve"> </w:t>
      </w:r>
      <w:r w:rsidRPr="00382917">
        <w:t>is</w:t>
      </w:r>
      <w:r w:rsidR="00EE4FC3">
        <w:t xml:space="preserve"> </w:t>
      </w:r>
      <w:r w:rsidRPr="00382917">
        <w:t>fearlessly</w:t>
      </w:r>
      <w:r w:rsidR="00EE4FC3">
        <w:t xml:space="preserve"> </w:t>
      </w:r>
      <w:r w:rsidRPr="00382917">
        <w:t>summoning</w:t>
      </w:r>
      <w:r w:rsidR="00EE4FC3">
        <w:t xml:space="preserve"> </w:t>
      </w:r>
      <w:r w:rsidRPr="00382917">
        <w:t>our</w:t>
      </w:r>
      <w:r w:rsidR="00EE4FC3">
        <w:t xml:space="preserve"> </w:t>
      </w:r>
      <w:r w:rsidRPr="00382917">
        <w:t>people</w:t>
      </w:r>
      <w:r w:rsidR="00EE4FC3">
        <w:t xml:space="preserve"> </w:t>
      </w:r>
      <w:r w:rsidRPr="00382917">
        <w:t>to</w:t>
      </w:r>
      <w:r w:rsidR="00EE4FC3">
        <w:t xml:space="preserve"> </w:t>
      </w:r>
      <w:r w:rsidRPr="00382917">
        <w:t>accept</w:t>
      </w:r>
      <w:r w:rsidR="00EE4FC3">
        <w:t xml:space="preserve"> </w:t>
      </w:r>
      <w:r w:rsidRPr="00382917">
        <w:t>as</w:t>
      </w:r>
      <w:r w:rsidR="00EE4FC3">
        <w:t xml:space="preserve"> </w:t>
      </w:r>
      <w:r w:rsidRPr="00382917">
        <w:t>well.</w:t>
      </w:r>
    </w:p>
    <w:p w:rsidR="006D18A4" w:rsidRPr="00382917" w:rsidRDefault="006D18A4" w:rsidP="009F0F0D">
      <w:pPr>
        <w:pStyle w:val="Text"/>
      </w:pPr>
      <w:r w:rsidRPr="00382917">
        <w:t>The</w:t>
      </w:r>
      <w:r w:rsidR="00EE4FC3">
        <w:t xml:space="preserve"> </w:t>
      </w:r>
      <w:r w:rsidRPr="00382917">
        <w:t>governor</w:t>
      </w:r>
      <w:r w:rsidR="00EE4FC3">
        <w:t xml:space="preserve"> </w:t>
      </w:r>
      <w:r w:rsidRPr="00382917">
        <w:t>ordered</w:t>
      </w:r>
      <w:r w:rsidR="00EE4FC3">
        <w:t xml:space="preserve"> </w:t>
      </w:r>
      <w:r w:rsidRPr="00382917">
        <w:t>the</w:t>
      </w:r>
      <w:r w:rsidR="00EE4FC3">
        <w:t xml:space="preserve"> </w:t>
      </w:r>
      <w:r w:rsidRPr="00382917">
        <w:t>arrest</w:t>
      </w:r>
      <w:r w:rsidR="00EE4FC3">
        <w:t xml:space="preserve"> </w:t>
      </w:r>
      <w:r w:rsidRPr="00382917">
        <w:t>of</w:t>
      </w:r>
      <w:r w:rsidR="00EE4FC3">
        <w:t xml:space="preserve"> </w:t>
      </w:r>
      <w:r w:rsidRPr="00382917">
        <w:t>both</w:t>
      </w:r>
      <w:r w:rsidR="00EE4FC3">
        <w:t xml:space="preserve"> </w:t>
      </w:r>
      <w:r w:rsidRPr="00382917">
        <w:t>Quddús</w:t>
      </w:r>
      <w:r w:rsidR="00EE4FC3">
        <w:t xml:space="preserve"> </w:t>
      </w:r>
      <w:r w:rsidRPr="00382917">
        <w:t>and</w:t>
      </w:r>
      <w:r w:rsidR="00EE4FC3">
        <w:t xml:space="preserve"> </w:t>
      </w:r>
      <w:r w:rsidRPr="00382917">
        <w:t>Mullá</w:t>
      </w:r>
      <w:r w:rsidR="00EE4FC3">
        <w:t xml:space="preserve"> </w:t>
      </w:r>
      <w:r w:rsidRPr="00382917">
        <w:t>Ṣádiq</w:t>
      </w:r>
      <w:r w:rsidR="00C03C91">
        <w:t>.</w:t>
      </w:r>
      <w:r w:rsidR="00EE4FC3">
        <w:t xml:space="preserve">  </w:t>
      </w:r>
      <w:r w:rsidRPr="00382917">
        <w:t>They</w:t>
      </w:r>
      <w:r w:rsidR="00EE4FC3">
        <w:t xml:space="preserve"> </w:t>
      </w:r>
      <w:r w:rsidRPr="00382917">
        <w:t>were</w:t>
      </w:r>
      <w:r w:rsidR="00EE4FC3">
        <w:t xml:space="preserve"> </w:t>
      </w:r>
      <w:r w:rsidRPr="00382917">
        <w:t>delivered</w:t>
      </w:r>
      <w:r w:rsidR="00EE4FC3">
        <w:t xml:space="preserve"> </w:t>
      </w:r>
      <w:r w:rsidRPr="00382917">
        <w:t>in</w:t>
      </w:r>
      <w:r w:rsidR="00EE4FC3">
        <w:t xml:space="preserve"> </w:t>
      </w:r>
      <w:r w:rsidRPr="00382917">
        <w:t>irons</w:t>
      </w:r>
      <w:r w:rsidR="00EE4FC3">
        <w:t xml:space="preserve"> </w:t>
      </w:r>
      <w:r w:rsidRPr="00382917">
        <w:t>to</w:t>
      </w:r>
      <w:r w:rsidR="00EE4FC3">
        <w:t xml:space="preserve"> </w:t>
      </w:r>
      <w:r w:rsidRPr="00382917">
        <w:t>him</w:t>
      </w:r>
      <w:r w:rsidR="00C03C91">
        <w:t>.</w:t>
      </w:r>
      <w:r w:rsidR="00EE4FC3">
        <w:t xml:space="preserve">  </w:t>
      </w:r>
      <w:r w:rsidRPr="00382917">
        <w:t>The</w:t>
      </w:r>
      <w:r w:rsidR="00EE4FC3">
        <w:t xml:space="preserve"> </w:t>
      </w:r>
      <w:r w:rsidRPr="00382917">
        <w:t>commentary</w:t>
      </w:r>
      <w:r w:rsidR="00EE4FC3">
        <w:t xml:space="preserve"> </w:t>
      </w:r>
      <w:r w:rsidRPr="00382917">
        <w:t>which</w:t>
      </w:r>
      <w:r w:rsidR="00EE4FC3">
        <w:t xml:space="preserve"> </w:t>
      </w:r>
      <w:r w:rsidRPr="00382917">
        <w:t>the</w:t>
      </w:r>
      <w:r w:rsidR="00EE4FC3">
        <w:t xml:space="preserve"> </w:t>
      </w:r>
      <w:r w:rsidRPr="00382917">
        <w:t>Báb</w:t>
      </w:r>
      <w:r w:rsidR="00EE4FC3">
        <w:t xml:space="preserve"> </w:t>
      </w:r>
      <w:r w:rsidRPr="00382917">
        <w:t>had</w:t>
      </w:r>
      <w:r w:rsidR="00EE4FC3">
        <w:t xml:space="preserve"> </w:t>
      </w:r>
      <w:r w:rsidRPr="00382917">
        <w:t>written</w:t>
      </w:r>
      <w:r w:rsidR="00EE4FC3">
        <w:t xml:space="preserve"> </w:t>
      </w:r>
      <w:r w:rsidRPr="00382917">
        <w:t>for</w:t>
      </w:r>
      <w:r w:rsidR="00EE4FC3">
        <w:t xml:space="preserve"> </w:t>
      </w:r>
      <w:r w:rsidRPr="00382917">
        <w:t>Mullá</w:t>
      </w:r>
      <w:r w:rsidR="00EE4FC3">
        <w:t xml:space="preserve"> </w:t>
      </w:r>
      <w:r w:rsidR="00964C11" w:rsidRPr="00382917">
        <w:t>Ḥusayn</w:t>
      </w:r>
      <w:r w:rsidR="00EE4FC3">
        <w:t xml:space="preserve"> </w:t>
      </w:r>
      <w:r w:rsidRPr="00382917">
        <w:t>on</w:t>
      </w:r>
      <w:r w:rsidR="00EE4FC3">
        <w:t xml:space="preserve"> </w:t>
      </w:r>
      <w:r w:rsidRPr="00382917">
        <w:t>the</w:t>
      </w:r>
      <w:r w:rsidR="00EE4FC3">
        <w:t xml:space="preserve"> </w:t>
      </w:r>
      <w:r w:rsidRPr="00382917">
        <w:t>night</w:t>
      </w:r>
      <w:r w:rsidR="00EE4FC3">
        <w:t xml:space="preserve"> </w:t>
      </w:r>
      <w:r w:rsidRPr="00382917">
        <w:t>He</w:t>
      </w:r>
      <w:r w:rsidR="00EE4FC3">
        <w:t xml:space="preserve"> </w:t>
      </w:r>
      <w:r w:rsidRPr="00382917">
        <w:t>had</w:t>
      </w:r>
      <w:r w:rsidR="00EE4FC3">
        <w:t xml:space="preserve"> </w:t>
      </w:r>
      <w:r w:rsidRPr="00382917">
        <w:t>announced</w:t>
      </w:r>
      <w:r w:rsidR="00EE4FC3">
        <w:t xml:space="preserve"> </w:t>
      </w:r>
      <w:r w:rsidRPr="00382917">
        <w:t>His</w:t>
      </w:r>
      <w:r w:rsidR="00EE4FC3">
        <w:t xml:space="preserve"> </w:t>
      </w:r>
      <w:r w:rsidRPr="00382917">
        <w:t>Mission</w:t>
      </w:r>
      <w:r w:rsidR="00EE4FC3">
        <w:t xml:space="preserve"> </w:t>
      </w:r>
      <w:r w:rsidRPr="00382917">
        <w:t>was</w:t>
      </w:r>
      <w:r w:rsidR="00EE4FC3">
        <w:t xml:space="preserve"> </w:t>
      </w:r>
      <w:r w:rsidRPr="00382917">
        <w:t>turned</w:t>
      </w:r>
      <w:r w:rsidR="00EE4FC3">
        <w:t xml:space="preserve"> </w:t>
      </w:r>
      <w:r w:rsidRPr="00382917">
        <w:t>over</w:t>
      </w:r>
      <w:r w:rsidR="00EE4FC3">
        <w:t xml:space="preserve"> </w:t>
      </w:r>
      <w:r w:rsidRPr="00382917">
        <w:t>to</w:t>
      </w:r>
      <w:r w:rsidR="00EE4FC3">
        <w:t xml:space="preserve"> </w:t>
      </w:r>
      <w:r w:rsidRPr="00382917">
        <w:t>the</w:t>
      </w:r>
      <w:r w:rsidR="00EE4FC3">
        <w:t xml:space="preserve"> </w:t>
      </w:r>
      <w:r w:rsidRPr="00382917">
        <w:t>governor</w:t>
      </w:r>
      <w:r w:rsidR="00C03C91">
        <w:t>.</w:t>
      </w:r>
      <w:r w:rsidR="00EE4FC3">
        <w:t xml:space="preserve">  </w:t>
      </w:r>
      <w:r w:rsidRPr="00382917">
        <w:t>It</w:t>
      </w:r>
      <w:r w:rsidR="00EE4FC3">
        <w:t xml:space="preserve"> </w:t>
      </w:r>
      <w:r w:rsidRPr="00382917">
        <w:t>had</w:t>
      </w:r>
      <w:r w:rsidR="00EE4FC3">
        <w:t xml:space="preserve"> </w:t>
      </w:r>
      <w:r w:rsidRPr="00382917">
        <w:t>been</w:t>
      </w:r>
      <w:r w:rsidR="00EE4FC3">
        <w:t xml:space="preserve"> </w:t>
      </w:r>
      <w:r w:rsidRPr="00382917">
        <w:t>seized</w:t>
      </w:r>
      <w:r w:rsidR="00EE4FC3">
        <w:t xml:space="preserve"> </w:t>
      </w:r>
      <w:r w:rsidRPr="00382917">
        <w:t>from</w:t>
      </w:r>
      <w:r w:rsidR="00EE4FC3">
        <w:t xml:space="preserve"> </w:t>
      </w:r>
      <w:r w:rsidRPr="00382917">
        <w:t>Mullá</w:t>
      </w:r>
      <w:r w:rsidR="00EE4FC3">
        <w:t xml:space="preserve"> </w:t>
      </w:r>
      <w:r w:rsidRPr="00382917">
        <w:t>Ṣádiq.</w:t>
      </w:r>
    </w:p>
    <w:p w:rsidR="006D18A4" w:rsidRPr="00382917" w:rsidRDefault="00964C11" w:rsidP="009F0F0D">
      <w:pPr>
        <w:pStyle w:val="Text"/>
      </w:pPr>
      <w:r w:rsidRPr="00382917">
        <w:t>Ḥusayn</w:t>
      </w:r>
      <w:r w:rsidR="00EE4FC3">
        <w:t xml:space="preserve"> </w:t>
      </w:r>
      <w:r w:rsidR="0040329F" w:rsidRPr="0040329F">
        <w:rPr>
          <w:u w:val="single"/>
        </w:rPr>
        <w:t>Kh</w:t>
      </w:r>
      <w:r w:rsidR="0040329F" w:rsidRPr="00382917">
        <w:t>án</w:t>
      </w:r>
      <w:r w:rsidR="00EE4FC3">
        <w:t xml:space="preserve"> </w:t>
      </w:r>
      <w:r w:rsidR="006D18A4" w:rsidRPr="00382917">
        <w:t>ignored</w:t>
      </w:r>
      <w:r w:rsidR="00EE4FC3">
        <w:t xml:space="preserve"> </w:t>
      </w:r>
      <w:r w:rsidR="006D18A4" w:rsidRPr="00382917">
        <w:t>Quddús</w:t>
      </w:r>
      <w:r w:rsidR="00EE4FC3">
        <w:t xml:space="preserve"> </w:t>
      </w:r>
      <w:r w:rsidR="006D18A4" w:rsidRPr="00382917">
        <w:t>because</w:t>
      </w:r>
      <w:r w:rsidR="00EE4FC3">
        <w:t xml:space="preserve"> </w:t>
      </w:r>
      <w:r w:rsidR="006D18A4" w:rsidRPr="00382917">
        <w:t>of</w:t>
      </w:r>
      <w:r w:rsidR="00EE4FC3">
        <w:t xml:space="preserve"> </w:t>
      </w:r>
      <w:r w:rsidR="006D18A4" w:rsidRPr="00382917">
        <w:t>his</w:t>
      </w:r>
      <w:r w:rsidR="00EE4FC3">
        <w:t xml:space="preserve"> </w:t>
      </w:r>
      <w:r w:rsidR="006D18A4" w:rsidRPr="00382917">
        <w:t>extreme</w:t>
      </w:r>
      <w:r w:rsidR="00EE4FC3">
        <w:t xml:space="preserve"> </w:t>
      </w:r>
      <w:r w:rsidR="006D18A4" w:rsidRPr="00382917">
        <w:t>youth</w:t>
      </w:r>
      <w:r w:rsidR="00C03C91">
        <w:t>.</w:t>
      </w:r>
      <w:r w:rsidR="00EE4FC3">
        <w:t xml:space="preserve">  </w:t>
      </w:r>
      <w:r w:rsidR="006D18A4" w:rsidRPr="00382917">
        <w:t>He</w:t>
      </w:r>
      <w:r w:rsidR="00EE4FC3">
        <w:t xml:space="preserve"> </w:t>
      </w:r>
      <w:r w:rsidR="006D18A4" w:rsidRPr="00382917">
        <w:t>directed</w:t>
      </w:r>
      <w:r w:rsidR="00EE4FC3">
        <w:t xml:space="preserve"> </w:t>
      </w:r>
      <w:r w:rsidR="006D18A4" w:rsidRPr="00382917">
        <w:t>his</w:t>
      </w:r>
      <w:r w:rsidR="00EE4FC3">
        <w:t xml:space="preserve"> </w:t>
      </w:r>
      <w:r w:rsidR="006D18A4" w:rsidRPr="00382917">
        <w:t>questions</w:t>
      </w:r>
      <w:r w:rsidR="00EE4FC3">
        <w:t xml:space="preserve"> </w:t>
      </w:r>
      <w:r w:rsidR="006D18A4" w:rsidRPr="00382917">
        <w:t>to</w:t>
      </w:r>
      <w:r w:rsidR="00EE4FC3">
        <w:t xml:space="preserve"> </w:t>
      </w:r>
      <w:r w:rsidR="006D18A4" w:rsidRPr="00382917">
        <w:t>Mullá</w:t>
      </w:r>
      <w:r w:rsidR="00EE4FC3">
        <w:t xml:space="preserve"> </w:t>
      </w:r>
      <w:r w:rsidR="009F0F0D" w:rsidRPr="00382917">
        <w:t>Ṣ</w:t>
      </w:r>
      <w:r w:rsidR="006D18A4" w:rsidRPr="00382917">
        <w:t>ádiq</w:t>
      </w:r>
      <w:r w:rsidR="00EE4FC3">
        <w:t xml:space="preserve"> </w:t>
      </w:r>
      <w:r w:rsidR="006D18A4" w:rsidRPr="00382917">
        <w:t>who</w:t>
      </w:r>
      <w:r w:rsidR="00EE4FC3">
        <w:t xml:space="preserve"> </w:t>
      </w:r>
      <w:r w:rsidR="006D18A4" w:rsidRPr="00382917">
        <w:t>was</w:t>
      </w:r>
      <w:r w:rsidR="00EE4FC3">
        <w:t xml:space="preserve"> </w:t>
      </w:r>
      <w:r w:rsidR="006D18A4" w:rsidRPr="00382917">
        <w:t>older</w:t>
      </w:r>
      <w:r w:rsidR="00C03C91">
        <w:t>.</w:t>
      </w:r>
      <w:r w:rsidR="00EE4FC3">
        <w:t xml:space="preserve">  </w:t>
      </w:r>
      <w:r w:rsidR="006D18A4" w:rsidRPr="00382917">
        <w:t>Angrily</w:t>
      </w:r>
      <w:r w:rsidR="00EE4FC3">
        <w:t xml:space="preserve"> </w:t>
      </w:r>
      <w:r w:rsidR="006D18A4" w:rsidRPr="00382917">
        <w:t>he</w:t>
      </w:r>
      <w:r w:rsidR="00EE4FC3">
        <w:t xml:space="preserve"> </w:t>
      </w:r>
      <w:r w:rsidR="006D18A4" w:rsidRPr="00382917">
        <w:t>tapped</w:t>
      </w:r>
      <w:r w:rsidR="00EE4FC3">
        <w:t xml:space="preserve"> </w:t>
      </w:r>
      <w:r w:rsidR="006D18A4" w:rsidRPr="00382917">
        <w:t>the</w:t>
      </w:r>
      <w:r w:rsidR="00EE4FC3">
        <w:t xml:space="preserve"> </w:t>
      </w:r>
      <w:r w:rsidR="006D18A4" w:rsidRPr="00382917">
        <w:t>commentary</w:t>
      </w:r>
      <w:r w:rsidR="00EE4FC3">
        <w:t xml:space="preserve"> </w:t>
      </w:r>
      <w:r w:rsidR="006D18A4" w:rsidRPr="00382917">
        <w:t>of</w:t>
      </w:r>
      <w:r w:rsidR="00EE4FC3">
        <w:t xml:space="preserve"> </w:t>
      </w:r>
      <w:r w:rsidR="006D18A4" w:rsidRPr="00382917">
        <w:t>the</w:t>
      </w:r>
      <w:r w:rsidR="00EE4FC3">
        <w:t xml:space="preserve"> </w:t>
      </w:r>
      <w:r w:rsidR="006D18A4" w:rsidRPr="00382917">
        <w:t>Báb,</w:t>
      </w:r>
      <w:r w:rsidR="00EE4FC3">
        <w:t xml:space="preserve"> </w:t>
      </w:r>
      <w:r w:rsidR="006D18A4" w:rsidRPr="00382917">
        <w:t>which</w:t>
      </w:r>
      <w:r w:rsidR="00EE4FC3">
        <w:t xml:space="preserve"> </w:t>
      </w:r>
      <w:r w:rsidR="006D18A4" w:rsidRPr="00382917">
        <w:t>he</w:t>
      </w:r>
      <w:r w:rsidR="00EE4FC3">
        <w:t xml:space="preserve"> </w:t>
      </w:r>
      <w:r w:rsidR="006D18A4" w:rsidRPr="00382917">
        <w:t>held</w:t>
      </w:r>
      <w:r w:rsidR="00EE4FC3">
        <w:t xml:space="preserve"> </w:t>
      </w:r>
      <w:r w:rsidR="006D18A4" w:rsidRPr="00382917">
        <w:t>in</w:t>
      </w:r>
      <w:r w:rsidR="00EE4FC3">
        <w:t xml:space="preserve"> </w:t>
      </w:r>
      <w:r w:rsidR="006D18A4" w:rsidRPr="00382917">
        <w:t>his</w:t>
      </w:r>
      <w:r w:rsidR="00EE4FC3">
        <w:t xml:space="preserve"> </w:t>
      </w:r>
      <w:r w:rsidR="006D18A4" w:rsidRPr="00382917">
        <w:t>hand,</w:t>
      </w:r>
      <w:r w:rsidR="00EE4FC3">
        <w:t xml:space="preserve"> </w:t>
      </w:r>
      <w:r w:rsidR="006D18A4" w:rsidRPr="00382917">
        <w:t>showing</w:t>
      </w:r>
      <w:r w:rsidR="00EE4FC3">
        <w:t xml:space="preserve"> </w:t>
      </w:r>
      <w:r w:rsidR="006D18A4" w:rsidRPr="00382917">
        <w:t>his</w:t>
      </w:r>
      <w:r w:rsidR="00EE4FC3">
        <w:t xml:space="preserve"> </w:t>
      </w:r>
      <w:r w:rsidR="006D18A4" w:rsidRPr="00382917">
        <w:t>displeasure</w:t>
      </w:r>
      <w:r w:rsidR="00EE4FC3">
        <w:t xml:space="preserve"> </w:t>
      </w:r>
      <w:r w:rsidR="006D18A4" w:rsidRPr="00382917">
        <w:t>with</w:t>
      </w:r>
      <w:r w:rsidR="00EE4FC3">
        <w:t xml:space="preserve"> </w:t>
      </w:r>
      <w:r w:rsidR="006D18A4" w:rsidRPr="00382917">
        <w:t>it.</w:t>
      </w:r>
    </w:p>
    <w:p w:rsidR="006D18A4" w:rsidRPr="00382917" w:rsidRDefault="009C713D" w:rsidP="009F0F0D">
      <w:pPr>
        <w:pStyle w:val="Text"/>
      </w:pPr>
      <w:r w:rsidRPr="00382917">
        <w:t>“</w:t>
      </w:r>
      <w:r w:rsidR="006D18A4" w:rsidRPr="00382917">
        <w:t>Tell</w:t>
      </w:r>
      <w:r w:rsidR="00EE4FC3">
        <w:t xml:space="preserve"> </w:t>
      </w:r>
      <w:r w:rsidR="006D18A4" w:rsidRPr="00382917">
        <w:t>me,</w:t>
      </w:r>
      <w:r w:rsidRPr="00382917">
        <w:t>”</w:t>
      </w:r>
      <w:r w:rsidR="00EE4FC3">
        <w:t xml:space="preserve"> </w:t>
      </w:r>
      <w:r w:rsidR="006D18A4" w:rsidRPr="00382917">
        <w:t>he</w:t>
      </w:r>
      <w:r w:rsidR="00EE4FC3">
        <w:t xml:space="preserve"> </w:t>
      </w:r>
      <w:r w:rsidR="006D18A4" w:rsidRPr="00382917">
        <w:t>asked</w:t>
      </w:r>
      <w:r w:rsidR="00EE4FC3">
        <w:t xml:space="preserve"> </w:t>
      </w:r>
      <w:r w:rsidR="006D18A4" w:rsidRPr="00382917">
        <w:t>Mullá</w:t>
      </w:r>
      <w:r w:rsidR="00EE4FC3">
        <w:t xml:space="preserve"> </w:t>
      </w:r>
      <w:r w:rsidR="006D18A4" w:rsidRPr="00382917">
        <w:t>Ṣádiq,</w:t>
      </w:r>
      <w:r w:rsidR="00EE4FC3">
        <w:t xml:space="preserve"> </w:t>
      </w:r>
      <w:r w:rsidRPr="00382917">
        <w:t>“</w:t>
      </w:r>
      <w:r w:rsidR="006D18A4" w:rsidRPr="00382917">
        <w:t>if</w:t>
      </w:r>
      <w:r w:rsidR="00EE4FC3">
        <w:t xml:space="preserve"> </w:t>
      </w:r>
      <w:r w:rsidR="006D18A4" w:rsidRPr="00382917">
        <w:t>you</w:t>
      </w:r>
      <w:r w:rsidR="00EE4FC3">
        <w:t xml:space="preserve"> </w:t>
      </w:r>
      <w:r w:rsidR="006D18A4" w:rsidRPr="00382917">
        <w:t>are</w:t>
      </w:r>
      <w:r w:rsidR="00EE4FC3">
        <w:t xml:space="preserve"> </w:t>
      </w:r>
      <w:r w:rsidR="006D18A4" w:rsidRPr="00382917">
        <w:t>aware</w:t>
      </w:r>
      <w:r w:rsidR="00EE4FC3">
        <w:t xml:space="preserve"> </w:t>
      </w:r>
      <w:r w:rsidR="006D18A4" w:rsidRPr="00382917">
        <w:t>of</w:t>
      </w:r>
      <w:r w:rsidR="00EE4FC3">
        <w:t xml:space="preserve"> </w:t>
      </w:r>
      <w:r w:rsidR="006D18A4" w:rsidRPr="00382917">
        <w:t>the</w:t>
      </w:r>
      <w:r w:rsidR="00EE4FC3">
        <w:t xml:space="preserve"> </w:t>
      </w:r>
      <w:r w:rsidR="006D18A4" w:rsidRPr="00382917">
        <w:t>opening</w:t>
      </w:r>
      <w:r w:rsidR="00EE4FC3">
        <w:t xml:space="preserve"> </w:t>
      </w:r>
      <w:r w:rsidR="006D18A4" w:rsidRPr="00382917">
        <w:t>words</w:t>
      </w:r>
      <w:r w:rsidR="00EE4FC3">
        <w:t xml:space="preserve"> </w:t>
      </w:r>
      <w:r w:rsidR="006D18A4" w:rsidRPr="00382917">
        <w:t>of</w:t>
      </w:r>
      <w:r w:rsidR="00EE4FC3">
        <w:t xml:space="preserve"> </w:t>
      </w:r>
      <w:r w:rsidR="006D18A4" w:rsidRPr="00382917">
        <w:t>this</w:t>
      </w:r>
      <w:r w:rsidR="00EE4FC3">
        <w:t xml:space="preserve"> </w:t>
      </w:r>
      <w:r w:rsidR="006D18A4" w:rsidRPr="00382917">
        <w:t>book</w:t>
      </w:r>
      <w:r w:rsidR="00C03C91">
        <w:t>.</w:t>
      </w:r>
      <w:r w:rsidR="00EE4FC3">
        <w:t xml:space="preserve">  </w:t>
      </w:r>
      <w:r w:rsidR="006D18A4" w:rsidRPr="00382917">
        <w:t>Do</w:t>
      </w:r>
      <w:r w:rsidR="00EE4FC3">
        <w:t xml:space="preserve"> </w:t>
      </w:r>
      <w:r w:rsidR="006D18A4" w:rsidRPr="00382917">
        <w:t>you</w:t>
      </w:r>
      <w:r w:rsidR="00EE4FC3">
        <w:t xml:space="preserve"> </w:t>
      </w:r>
      <w:r w:rsidR="006D18A4" w:rsidRPr="00382917">
        <w:t>know</w:t>
      </w:r>
      <w:r w:rsidR="00EE4FC3">
        <w:t xml:space="preserve"> </w:t>
      </w:r>
      <w:r w:rsidR="006D18A4" w:rsidRPr="00382917">
        <w:t>that</w:t>
      </w:r>
      <w:r w:rsidR="00EE4FC3">
        <w:t xml:space="preserve"> </w:t>
      </w:r>
      <w:r w:rsidR="006D18A4" w:rsidRPr="00382917">
        <w:t>the</w:t>
      </w:r>
      <w:r w:rsidR="00EE4FC3">
        <w:t xml:space="preserve"> </w:t>
      </w:r>
      <w:r w:rsidR="006D18A4" w:rsidRPr="00382917">
        <w:t>Báb</w:t>
      </w:r>
      <w:r w:rsidR="00EE4FC3">
        <w:t xml:space="preserve"> </w:t>
      </w:r>
      <w:r w:rsidR="006D18A4" w:rsidRPr="00382917">
        <w:t>addresses</w:t>
      </w:r>
      <w:r w:rsidR="00EE4FC3">
        <w:t xml:space="preserve"> </w:t>
      </w:r>
      <w:r w:rsidR="006D18A4" w:rsidRPr="00382917">
        <w:t>the</w:t>
      </w:r>
      <w:r w:rsidR="00EE4FC3">
        <w:t xml:space="preserve"> </w:t>
      </w:r>
      <w:r w:rsidR="006D18A4" w:rsidRPr="00382917">
        <w:t>rulers</w:t>
      </w:r>
      <w:r w:rsidR="00EE4FC3">
        <w:t xml:space="preserve"> </w:t>
      </w:r>
      <w:r w:rsidR="006D18A4" w:rsidRPr="00382917">
        <w:t>and</w:t>
      </w:r>
      <w:r w:rsidR="00EE4FC3">
        <w:t xml:space="preserve"> </w:t>
      </w:r>
      <w:r w:rsidR="006D18A4" w:rsidRPr="00382917">
        <w:t>kings</w:t>
      </w:r>
      <w:r w:rsidR="00EE4FC3">
        <w:t xml:space="preserve"> </w:t>
      </w:r>
      <w:r w:rsidR="006D18A4" w:rsidRPr="00382917">
        <w:t>of</w:t>
      </w:r>
      <w:r w:rsidR="00EE4FC3">
        <w:t xml:space="preserve"> </w:t>
      </w:r>
      <w:r w:rsidR="006D18A4" w:rsidRPr="00382917">
        <w:t>the</w:t>
      </w:r>
      <w:r w:rsidR="00EE4FC3">
        <w:t xml:space="preserve"> </w:t>
      </w:r>
      <w:r w:rsidR="006D18A4" w:rsidRPr="00382917">
        <w:t>earth</w:t>
      </w:r>
      <w:r w:rsidR="00EE4FC3">
        <w:t xml:space="preserve"> </w:t>
      </w:r>
      <w:r w:rsidR="006D18A4" w:rsidRPr="00382917">
        <w:t>in</w:t>
      </w:r>
      <w:r w:rsidR="00EE4FC3">
        <w:t xml:space="preserve"> </w:t>
      </w:r>
      <w:r w:rsidR="006D18A4" w:rsidRPr="00382917">
        <w:t>harsh</w:t>
      </w:r>
      <w:r w:rsidR="00EE4FC3">
        <w:t xml:space="preserve"> </w:t>
      </w:r>
      <w:r w:rsidR="006D18A4" w:rsidRPr="00382917">
        <w:t>terms?</w:t>
      </w:r>
      <w:r w:rsidR="00EE4FC3">
        <w:t xml:space="preserve">  </w:t>
      </w:r>
      <w:r w:rsidR="006D18A4" w:rsidRPr="00382917">
        <w:t>He</w:t>
      </w:r>
      <w:r w:rsidR="00EE4FC3">
        <w:t xml:space="preserve"> </w:t>
      </w:r>
      <w:r w:rsidR="006D18A4" w:rsidRPr="00382917">
        <w:t>says</w:t>
      </w:r>
      <w:r w:rsidR="00C03C91">
        <w:t>:</w:t>
      </w:r>
      <w:r w:rsidR="00EE4FC3">
        <w:t xml:space="preserve">  </w:t>
      </w:r>
      <w:r w:rsidRPr="00382917">
        <w:t>‘</w:t>
      </w:r>
      <w:r w:rsidR="006D18A4" w:rsidRPr="00382917">
        <w:t>Divest</w:t>
      </w:r>
      <w:r w:rsidR="00EE4FC3">
        <w:t xml:space="preserve"> </w:t>
      </w:r>
      <w:r w:rsidR="006D18A4" w:rsidRPr="00382917">
        <w:t>yourselves</w:t>
      </w:r>
      <w:r w:rsidR="00EE4FC3">
        <w:t xml:space="preserve"> </w:t>
      </w:r>
      <w:r w:rsidR="006D18A4" w:rsidRPr="00382917">
        <w:t>of</w:t>
      </w:r>
      <w:r w:rsidR="00EE4FC3">
        <w:t xml:space="preserve"> </w:t>
      </w:r>
      <w:r w:rsidR="006D18A4" w:rsidRPr="00382917">
        <w:t>sovereignty,</w:t>
      </w:r>
      <w:r w:rsidR="00EE4FC3">
        <w:t xml:space="preserve"> </w:t>
      </w:r>
      <w:r w:rsidR="006D18A4" w:rsidRPr="00382917">
        <w:t>for</w:t>
      </w:r>
      <w:r w:rsidR="00EE4FC3">
        <w:t xml:space="preserve"> </w:t>
      </w:r>
      <w:r w:rsidR="006D18A4" w:rsidRPr="00382917">
        <w:t>He</w:t>
      </w:r>
      <w:r w:rsidR="00EE4FC3">
        <w:t xml:space="preserve"> </w:t>
      </w:r>
      <w:r w:rsidR="006D18A4" w:rsidRPr="00382917">
        <w:t>who</w:t>
      </w:r>
      <w:r w:rsidR="00EE4FC3">
        <w:t xml:space="preserve"> </w:t>
      </w:r>
      <w:r w:rsidR="006D18A4" w:rsidRPr="00382917">
        <w:t>is</w:t>
      </w:r>
      <w:r w:rsidR="00EE4FC3">
        <w:t xml:space="preserve"> </w:t>
      </w:r>
      <w:r w:rsidR="006D18A4" w:rsidRPr="00382917">
        <w:t>the</w:t>
      </w:r>
      <w:r w:rsidR="00EE4FC3">
        <w:t xml:space="preserve"> </w:t>
      </w:r>
      <w:r w:rsidR="006D18A4" w:rsidRPr="00382917">
        <w:t>King</w:t>
      </w:r>
      <w:r w:rsidR="00EE4FC3">
        <w:t xml:space="preserve"> </w:t>
      </w:r>
      <w:r w:rsidR="006D18A4" w:rsidRPr="00382917">
        <w:t>in</w:t>
      </w:r>
      <w:r w:rsidR="00EE4FC3">
        <w:t xml:space="preserve"> </w:t>
      </w:r>
      <w:r w:rsidR="006D18A4" w:rsidRPr="00382917">
        <w:t>truth</w:t>
      </w:r>
      <w:r w:rsidR="00EE4FC3">
        <w:t xml:space="preserve"> </w:t>
      </w:r>
      <w:r w:rsidR="006D18A4" w:rsidRPr="00382917">
        <w:t>has</w:t>
      </w:r>
      <w:r w:rsidR="00EE4FC3">
        <w:t xml:space="preserve"> </w:t>
      </w:r>
      <w:r w:rsidR="006D18A4" w:rsidRPr="00382917">
        <w:t>been</w:t>
      </w:r>
      <w:r w:rsidR="00EE4FC3">
        <w:t xml:space="preserve"> </w:t>
      </w:r>
      <w:r w:rsidR="006D18A4" w:rsidRPr="00382917">
        <w:t>made</w:t>
      </w:r>
      <w:r w:rsidR="00EE4FC3">
        <w:t xml:space="preserve"> </w:t>
      </w:r>
      <w:r w:rsidR="006D18A4" w:rsidRPr="00382917">
        <w:t>manifest</w:t>
      </w:r>
      <w:r w:rsidR="00C03C91">
        <w:t>.</w:t>
      </w:r>
      <w:r w:rsidR="00EE4FC3">
        <w:t xml:space="preserve">  </w:t>
      </w:r>
      <w:r w:rsidR="006D18A4" w:rsidRPr="00382917">
        <w:t>The</w:t>
      </w:r>
      <w:r w:rsidR="00EE4FC3">
        <w:t xml:space="preserve"> </w:t>
      </w:r>
      <w:r w:rsidR="006D18A4" w:rsidRPr="00382917">
        <w:t>Kingdom</w:t>
      </w:r>
      <w:r w:rsidR="00EE4FC3">
        <w:t xml:space="preserve"> </w:t>
      </w:r>
      <w:r w:rsidR="006D18A4" w:rsidRPr="00382917">
        <w:t>is</w:t>
      </w:r>
      <w:r w:rsidR="00EE4FC3">
        <w:t xml:space="preserve"> </w:t>
      </w:r>
      <w:r w:rsidR="006D18A4" w:rsidRPr="00382917">
        <w:t>God</w:t>
      </w:r>
      <w:r w:rsidRPr="00382917">
        <w:t>’</w:t>
      </w:r>
      <w:r w:rsidR="006D18A4" w:rsidRPr="00382917">
        <w:t>s!</w:t>
      </w:r>
      <w:r w:rsidRPr="00382917">
        <w:t>’”</w:t>
      </w:r>
    </w:p>
    <w:p w:rsidR="006D18A4" w:rsidRPr="00382917" w:rsidRDefault="006D18A4" w:rsidP="009F0F0D">
      <w:pPr>
        <w:pStyle w:val="Text"/>
      </w:pPr>
      <w:r w:rsidRPr="00382917">
        <w:t>The</w:t>
      </w:r>
      <w:r w:rsidR="00EE4FC3">
        <w:t xml:space="preserve"> </w:t>
      </w:r>
      <w:r w:rsidRPr="00382917">
        <w:t>governor</w:t>
      </w:r>
      <w:r w:rsidR="009C713D" w:rsidRPr="00382917">
        <w:t>’</w:t>
      </w:r>
      <w:r w:rsidRPr="00382917">
        <w:t>s</w:t>
      </w:r>
      <w:r w:rsidR="00EE4FC3">
        <w:t xml:space="preserve"> </w:t>
      </w:r>
      <w:r w:rsidRPr="00382917">
        <w:t>wrath</w:t>
      </w:r>
      <w:r w:rsidR="00EE4FC3">
        <w:t xml:space="preserve"> </w:t>
      </w:r>
      <w:r w:rsidRPr="00382917">
        <w:t>increased</w:t>
      </w:r>
      <w:r w:rsidR="00C03C91">
        <w:t>.</w:t>
      </w:r>
      <w:r w:rsidR="00EE4FC3">
        <w:t xml:space="preserve">  </w:t>
      </w:r>
      <w:r w:rsidR="009C713D" w:rsidRPr="00382917">
        <w:t>“</w:t>
      </w:r>
      <w:r w:rsidRPr="00382917">
        <w:t>Does</w:t>
      </w:r>
      <w:r w:rsidR="00EE4FC3">
        <w:t xml:space="preserve"> </w:t>
      </w:r>
      <w:r w:rsidRPr="00382917">
        <w:t>this</w:t>
      </w:r>
      <w:r w:rsidR="00EE4FC3">
        <w:t xml:space="preserve"> </w:t>
      </w:r>
      <w:r w:rsidRPr="00382917">
        <w:t>mean</w:t>
      </w:r>
      <w:r w:rsidR="00EE4FC3">
        <w:t xml:space="preserve"> </w:t>
      </w:r>
      <w:r w:rsidRPr="00382917">
        <w:t>that</w:t>
      </w:r>
      <w:r w:rsidR="00EE4FC3">
        <w:t xml:space="preserve"> </w:t>
      </w:r>
      <w:r w:rsidRPr="00382917">
        <w:t>my</w:t>
      </w:r>
      <w:r w:rsidR="00EE4FC3">
        <w:t xml:space="preserve"> </w:t>
      </w:r>
      <w:r w:rsidRPr="00382917">
        <w:t>sovereign,</w:t>
      </w:r>
      <w:r w:rsidR="00EE4FC3">
        <w:t xml:space="preserve"> </w:t>
      </w:r>
      <w:r w:rsidRPr="00382917">
        <w:t>the</w:t>
      </w:r>
      <w:r w:rsidR="00EE4FC3">
        <w:t xml:space="preserve"> </w:t>
      </w:r>
      <w:r w:rsidRPr="004F6339">
        <w:rPr>
          <w:u w:val="single"/>
        </w:rPr>
        <w:t>Sh</w:t>
      </w:r>
      <w:r w:rsidRPr="00382917">
        <w:t>áh,</w:t>
      </w:r>
      <w:r w:rsidR="00EE4FC3">
        <w:t xml:space="preserve"> </w:t>
      </w:r>
      <w:r w:rsidRPr="00382917">
        <w:t>whom</w:t>
      </w:r>
      <w:r w:rsidR="00EE4FC3">
        <w:t xml:space="preserve"> </w:t>
      </w:r>
      <w:r w:rsidRPr="00382917">
        <w:t>I</w:t>
      </w:r>
      <w:r w:rsidR="00EE4FC3">
        <w:t xml:space="preserve"> </w:t>
      </w:r>
      <w:r w:rsidRPr="00382917">
        <w:t>represent</w:t>
      </w:r>
      <w:r w:rsidR="00EE4FC3">
        <w:t xml:space="preserve"> </w:t>
      </w:r>
      <w:r w:rsidRPr="00382917">
        <w:t>as</w:t>
      </w:r>
      <w:r w:rsidR="00EE4FC3">
        <w:t xml:space="preserve"> </w:t>
      </w:r>
      <w:r w:rsidRPr="00382917">
        <w:t>Chief</w:t>
      </w:r>
      <w:r w:rsidR="00EE4FC3">
        <w:t xml:space="preserve"> </w:t>
      </w:r>
      <w:r w:rsidRPr="00382917">
        <w:t>Magistrate</w:t>
      </w:r>
      <w:r w:rsidR="00EE4FC3">
        <w:t xml:space="preserve"> </w:t>
      </w:r>
      <w:r w:rsidRPr="00382917">
        <w:t>in</w:t>
      </w:r>
      <w:r w:rsidR="00EE4FC3">
        <w:t xml:space="preserve"> </w:t>
      </w:r>
      <w:r w:rsidRPr="00382917">
        <w:t>this</w:t>
      </w:r>
      <w:r w:rsidR="00EE4FC3">
        <w:t xml:space="preserve"> </w:t>
      </w:r>
      <w:r w:rsidRPr="00382917">
        <w:t>region,</w:t>
      </w:r>
      <w:r w:rsidR="00EE4FC3">
        <w:t xml:space="preserve"> </w:t>
      </w:r>
      <w:r w:rsidRPr="00382917">
        <w:t>must</w:t>
      </w:r>
      <w:r w:rsidR="00EE4FC3">
        <w:t xml:space="preserve"> </w:t>
      </w:r>
      <w:r w:rsidRPr="00382917">
        <w:t>lay</w:t>
      </w:r>
      <w:r w:rsidR="00EE4FC3">
        <w:t xml:space="preserve"> </w:t>
      </w:r>
      <w:r w:rsidRPr="00382917">
        <w:t>down</w:t>
      </w:r>
      <w:r w:rsidR="00EE4FC3">
        <w:t xml:space="preserve"> </w:t>
      </w:r>
      <w:r w:rsidRPr="00382917">
        <w:t>his</w:t>
      </w:r>
      <w:r w:rsidR="00EE4FC3">
        <w:t xml:space="preserve"> </w:t>
      </w:r>
      <w:r w:rsidRPr="00382917">
        <w:t>crown</w:t>
      </w:r>
      <w:r w:rsidR="00EE4FC3">
        <w:t xml:space="preserve"> </w:t>
      </w:r>
      <w:r w:rsidRPr="00382917">
        <w:t>because</w:t>
      </w:r>
      <w:r w:rsidR="00EE4FC3">
        <w:t xml:space="preserve"> </w:t>
      </w:r>
      <w:r w:rsidRPr="00382917">
        <w:t>of</w:t>
      </w:r>
      <w:r w:rsidR="00EE4FC3">
        <w:t xml:space="preserve"> </w:t>
      </w:r>
      <w:r w:rsidRPr="00382917">
        <w:t>the</w:t>
      </w:r>
      <w:r w:rsidR="00EE4FC3">
        <w:t xml:space="preserve"> </w:t>
      </w:r>
      <w:r w:rsidRPr="00382917">
        <w:t>ravings</w:t>
      </w:r>
      <w:r w:rsidR="00EE4FC3">
        <w:t xml:space="preserve"> </w:t>
      </w:r>
      <w:r w:rsidRPr="00382917">
        <w:t>of</w:t>
      </w:r>
      <w:r w:rsidR="00EE4FC3">
        <w:t xml:space="preserve"> </w:t>
      </w:r>
      <w:r w:rsidRPr="00382917">
        <w:t>this</w:t>
      </w:r>
      <w:r w:rsidR="00EE4FC3">
        <w:t xml:space="preserve"> </w:t>
      </w:r>
      <w:r w:rsidRPr="00382917">
        <w:t>unlettered</w:t>
      </w:r>
      <w:r w:rsidR="00EE4FC3">
        <w:t xml:space="preserve"> </w:t>
      </w:r>
      <w:r w:rsidRPr="00382917">
        <w:t>youth?</w:t>
      </w:r>
      <w:r w:rsidR="00EE4FC3">
        <w:t xml:space="preserve">  </w:t>
      </w:r>
      <w:r w:rsidRPr="00382917">
        <w:t>Does</w:t>
      </w:r>
      <w:r w:rsidR="00EE4FC3">
        <w:t xml:space="preserve"> </w:t>
      </w:r>
      <w:r w:rsidRPr="00382917">
        <w:t>it</w:t>
      </w:r>
      <w:r w:rsidR="00EE4FC3">
        <w:t xml:space="preserve"> </w:t>
      </w:r>
      <w:r w:rsidRPr="00382917">
        <w:t>also</w:t>
      </w:r>
      <w:r w:rsidR="00EE4FC3">
        <w:t xml:space="preserve"> </w:t>
      </w:r>
      <w:r w:rsidRPr="00382917">
        <w:t>mean</w:t>
      </w:r>
      <w:r w:rsidR="00EE4FC3">
        <w:t xml:space="preserve"> </w:t>
      </w:r>
      <w:r w:rsidRPr="00382917">
        <w:t>that</w:t>
      </w:r>
      <w:r w:rsidR="00EE4FC3">
        <w:t xml:space="preserve"> </w:t>
      </w:r>
      <w:r w:rsidRPr="00382917">
        <w:t>I,</w:t>
      </w:r>
      <w:r w:rsidR="00EE4FC3">
        <w:t xml:space="preserve"> </w:t>
      </w:r>
      <w:r w:rsidRPr="00382917">
        <w:t>the</w:t>
      </w:r>
      <w:r w:rsidR="00EE4FC3">
        <w:t xml:space="preserve"> </w:t>
      </w:r>
      <w:r w:rsidRPr="00382917">
        <w:t>governor,</w:t>
      </w:r>
      <w:r w:rsidR="00EE4FC3">
        <w:t xml:space="preserve"> </w:t>
      </w:r>
      <w:r w:rsidRPr="00382917">
        <w:t>must</w:t>
      </w:r>
      <w:r w:rsidR="00EE4FC3">
        <w:t xml:space="preserve"> </w:t>
      </w:r>
      <w:r w:rsidRPr="00382917">
        <w:t>relinquish</w:t>
      </w:r>
      <w:r w:rsidR="00EE4FC3">
        <w:t xml:space="preserve"> </w:t>
      </w:r>
      <w:r w:rsidRPr="00382917">
        <w:t>my</w:t>
      </w:r>
      <w:r w:rsidR="00EE4FC3">
        <w:t xml:space="preserve"> </w:t>
      </w:r>
      <w:r w:rsidRPr="00382917">
        <w:t>position?</w:t>
      </w:r>
      <w:r w:rsidR="009C713D" w:rsidRPr="00382917">
        <w:t>”</w:t>
      </w:r>
    </w:p>
    <w:p w:rsidR="006D18A4" w:rsidRPr="00382917" w:rsidRDefault="006D18A4" w:rsidP="009F0F0D">
      <w:pPr>
        <w:pStyle w:val="Text"/>
      </w:pPr>
      <w:r w:rsidRPr="00382917">
        <w:t>Mullá</w:t>
      </w:r>
      <w:r w:rsidR="00EE4FC3">
        <w:t xml:space="preserve"> </w:t>
      </w:r>
      <w:r w:rsidRPr="00382917">
        <w:t>Ṣádiq</w:t>
      </w:r>
      <w:r w:rsidR="00EE4FC3">
        <w:t xml:space="preserve"> </w:t>
      </w:r>
      <w:r w:rsidRPr="00382917">
        <w:t>replied</w:t>
      </w:r>
      <w:r w:rsidR="00EE4FC3">
        <w:t xml:space="preserve"> </w:t>
      </w:r>
      <w:r w:rsidRPr="00382917">
        <w:t>unhesitatingly,</w:t>
      </w:r>
      <w:r w:rsidR="00EE4FC3">
        <w:t xml:space="preserve"> </w:t>
      </w:r>
      <w:r w:rsidRPr="00382917">
        <w:t>saying,</w:t>
      </w:r>
      <w:r w:rsidR="00EE4FC3">
        <w:t xml:space="preserve"> </w:t>
      </w:r>
      <w:r w:rsidRPr="00382917">
        <w:t>that</w:t>
      </w:r>
      <w:r w:rsidR="00EE4FC3">
        <w:t xml:space="preserve"> </w:t>
      </w:r>
      <w:r w:rsidRPr="00382917">
        <w:t>if</w:t>
      </w:r>
      <w:r w:rsidR="00EE4FC3">
        <w:t xml:space="preserve"> </w:t>
      </w:r>
      <w:r w:rsidRPr="00382917">
        <w:t>the</w:t>
      </w:r>
      <w:r w:rsidR="00EE4FC3">
        <w:t xml:space="preserve"> </w:t>
      </w:r>
      <w:r w:rsidRPr="00382917">
        <w:t>words</w:t>
      </w:r>
      <w:r w:rsidR="00EE4FC3">
        <w:t xml:space="preserve"> </w:t>
      </w:r>
      <w:r w:rsidRPr="00382917">
        <w:t>spoken</w:t>
      </w:r>
      <w:r w:rsidR="00EE4FC3">
        <w:t xml:space="preserve"> </w:t>
      </w:r>
      <w:r w:rsidRPr="00382917">
        <w:t>by</w:t>
      </w:r>
      <w:r w:rsidR="00EE4FC3">
        <w:t xml:space="preserve"> </w:t>
      </w:r>
      <w:r w:rsidRPr="00382917">
        <w:t>the</w:t>
      </w:r>
      <w:r w:rsidR="00EE4FC3">
        <w:t xml:space="preserve"> </w:t>
      </w:r>
      <w:r w:rsidRPr="00382917">
        <w:t>Báb</w:t>
      </w:r>
      <w:r w:rsidR="00EE4FC3">
        <w:t xml:space="preserve"> </w:t>
      </w:r>
      <w:r w:rsidRPr="00382917">
        <w:t>were</w:t>
      </w:r>
      <w:r w:rsidR="00EE4FC3">
        <w:t xml:space="preserve"> </w:t>
      </w:r>
      <w:r w:rsidRPr="00382917">
        <w:t>true</w:t>
      </w:r>
      <w:r w:rsidR="00EE4FC3">
        <w:t xml:space="preserve"> </w:t>
      </w:r>
      <w:r w:rsidRPr="00382917">
        <w:t>and</w:t>
      </w:r>
      <w:r w:rsidR="00EE4FC3">
        <w:t xml:space="preserve"> </w:t>
      </w:r>
      <w:r w:rsidRPr="00382917">
        <w:t>that</w:t>
      </w:r>
      <w:r w:rsidR="00EE4FC3">
        <w:t xml:space="preserve"> </w:t>
      </w:r>
      <w:r w:rsidRPr="00382917">
        <w:t>He</w:t>
      </w:r>
      <w:r w:rsidR="00EE4FC3">
        <w:t xml:space="preserve"> </w:t>
      </w:r>
      <w:r w:rsidRPr="00382917">
        <w:t>were</w:t>
      </w:r>
      <w:r w:rsidR="00EE4FC3">
        <w:t xml:space="preserve"> </w:t>
      </w:r>
      <w:r w:rsidRPr="00382917">
        <w:t>indeed</w:t>
      </w:r>
      <w:r w:rsidR="00EE4FC3">
        <w:t xml:space="preserve"> </w:t>
      </w:r>
      <w:r w:rsidRPr="00382917">
        <w:t>a</w:t>
      </w:r>
      <w:r w:rsidR="00EE4FC3">
        <w:t xml:space="preserve"> </w:t>
      </w:r>
      <w:r w:rsidRPr="00382917">
        <w:t>Messenger</w:t>
      </w:r>
      <w:r w:rsidR="00EE4FC3">
        <w:t xml:space="preserve"> </w:t>
      </w:r>
      <w:r w:rsidRPr="00382917">
        <w:t>of</w:t>
      </w:r>
      <w:r w:rsidR="00EE4FC3">
        <w:t xml:space="preserve"> </w:t>
      </w:r>
      <w:r w:rsidRPr="00382917">
        <w:t>God,</w:t>
      </w:r>
      <w:r w:rsidR="00EE4FC3">
        <w:t xml:space="preserve"> </w:t>
      </w:r>
      <w:r w:rsidRPr="00382917">
        <w:t>then</w:t>
      </w:r>
      <w:r w:rsidR="00EE4FC3">
        <w:t xml:space="preserve"> </w:t>
      </w:r>
      <w:r w:rsidRPr="00382917">
        <w:t>everything</w:t>
      </w:r>
      <w:r w:rsidR="00EE4FC3">
        <w:t xml:space="preserve"> </w:t>
      </w:r>
      <w:r w:rsidRPr="00382917">
        <w:t>else</w:t>
      </w:r>
      <w:r w:rsidR="00EE4FC3">
        <w:t xml:space="preserve"> </w:t>
      </w:r>
      <w:r w:rsidRPr="00382917">
        <w:t>that</w:t>
      </w:r>
      <w:r w:rsidR="00EE4FC3">
        <w:t xml:space="preserve"> </w:t>
      </w:r>
      <w:r w:rsidRPr="00382917">
        <w:t>was</w:t>
      </w:r>
      <w:r w:rsidR="00EE4FC3">
        <w:t xml:space="preserve"> </w:t>
      </w:r>
      <w:r w:rsidRPr="00382917">
        <w:t>happening</w:t>
      </w:r>
      <w:r w:rsidR="00EE4FC3">
        <w:t xml:space="preserve"> </w:t>
      </w:r>
      <w:r w:rsidRPr="00382917">
        <w:t>in</w:t>
      </w:r>
      <w:r w:rsidR="00EE4FC3">
        <w:t xml:space="preserve"> </w:t>
      </w:r>
      <w:r w:rsidRPr="00382917">
        <w:t>the</w:t>
      </w:r>
      <w:r w:rsidR="00EE4FC3">
        <w:t xml:space="preserve"> </w:t>
      </w:r>
      <w:r w:rsidRPr="00382917">
        <w:t>world</w:t>
      </w:r>
      <w:r w:rsidR="00EE4FC3">
        <w:t xml:space="preserve"> </w:t>
      </w:r>
      <w:r w:rsidRPr="00382917">
        <w:t>was</w:t>
      </w:r>
      <w:r w:rsidR="00EE4FC3">
        <w:t xml:space="preserve"> </w:t>
      </w:r>
      <w:r w:rsidRPr="00382917">
        <w:t>of</w:t>
      </w:r>
      <w:r w:rsidR="00EE4FC3">
        <w:t xml:space="preserve"> </w:t>
      </w:r>
      <w:r w:rsidRPr="00382917">
        <w:t>little</w:t>
      </w:r>
      <w:r w:rsidR="00EE4FC3">
        <w:t xml:space="preserve"> </w:t>
      </w:r>
      <w:r w:rsidRPr="00382917">
        <w:t>importance</w:t>
      </w:r>
      <w:r w:rsidR="00C03C91">
        <w:t>.</w:t>
      </w:r>
      <w:r w:rsidR="00EE4FC3">
        <w:t xml:space="preserve">  </w:t>
      </w:r>
      <w:r w:rsidRPr="00382917">
        <w:t>Kingdoms</w:t>
      </w:r>
      <w:r w:rsidR="00EE4FC3">
        <w:t xml:space="preserve"> </w:t>
      </w:r>
      <w:r w:rsidRPr="00382917">
        <w:t>and</w:t>
      </w:r>
      <w:r w:rsidR="00EE4FC3">
        <w:t xml:space="preserve"> </w:t>
      </w:r>
      <w:r w:rsidRPr="00382917">
        <w:t>ages</w:t>
      </w:r>
      <w:r w:rsidR="00EE4FC3">
        <w:t xml:space="preserve"> </w:t>
      </w:r>
      <w:r w:rsidRPr="00382917">
        <w:t>would</w:t>
      </w:r>
      <w:r w:rsidR="00EE4FC3">
        <w:t xml:space="preserve"> </w:t>
      </w:r>
      <w:r w:rsidRPr="00382917">
        <w:t>pass</w:t>
      </w:r>
      <w:r w:rsidR="00EE4FC3">
        <w:t xml:space="preserve"> </w:t>
      </w:r>
      <w:r w:rsidRPr="00382917">
        <w:t>into</w:t>
      </w:r>
      <w:r w:rsidR="00EE4FC3">
        <w:t xml:space="preserve"> </w:t>
      </w:r>
      <w:r w:rsidRPr="00382917">
        <w:t>dust,</w:t>
      </w:r>
      <w:r w:rsidR="00EE4FC3">
        <w:t xml:space="preserve"> </w:t>
      </w:r>
      <w:r w:rsidRPr="00382917">
        <w:t>but</w:t>
      </w:r>
      <w:r w:rsidR="00EE4FC3">
        <w:t xml:space="preserve"> </w:t>
      </w:r>
      <w:r w:rsidRPr="00382917">
        <w:t>the</w:t>
      </w:r>
      <w:r w:rsidR="00EE4FC3">
        <w:t xml:space="preserve"> </w:t>
      </w:r>
      <w:r w:rsidRPr="00382917">
        <w:t>Word</w:t>
      </w:r>
      <w:r w:rsidR="00EE4FC3">
        <w:t xml:space="preserve"> </w:t>
      </w:r>
      <w:r w:rsidRPr="00382917">
        <w:t>of</w:t>
      </w:r>
      <w:r w:rsidR="00EE4FC3">
        <w:t xml:space="preserve"> </w:t>
      </w:r>
      <w:r w:rsidRPr="00382917">
        <w:t>God</w:t>
      </w:r>
      <w:r w:rsidR="00EE4FC3">
        <w:t xml:space="preserve"> </w:t>
      </w:r>
      <w:r w:rsidRPr="00382917">
        <w:t>would</w:t>
      </w:r>
      <w:r w:rsidR="00EE4FC3">
        <w:t xml:space="preserve"> </w:t>
      </w:r>
      <w:r w:rsidRPr="00382917">
        <w:t>endure.</w:t>
      </w:r>
    </w:p>
    <w:p w:rsidR="006D18A4" w:rsidRPr="00382917" w:rsidRDefault="00964C11" w:rsidP="009F0F0D">
      <w:pPr>
        <w:pStyle w:val="Text"/>
      </w:pPr>
      <w:r w:rsidRPr="00382917">
        <w:t>Ḥusayn</w:t>
      </w:r>
      <w:r w:rsidR="00EE4FC3">
        <w:t xml:space="preserve"> </w:t>
      </w:r>
      <w:r w:rsidR="0040329F" w:rsidRPr="0040329F">
        <w:rPr>
          <w:u w:val="single"/>
        </w:rPr>
        <w:t>Kh</w:t>
      </w:r>
      <w:r w:rsidR="0040329F" w:rsidRPr="00382917">
        <w:t>án</w:t>
      </w:r>
      <w:r w:rsidR="00EE4FC3">
        <w:t xml:space="preserve"> </w:t>
      </w:r>
      <w:r w:rsidR="006D18A4" w:rsidRPr="00382917">
        <w:t>was</w:t>
      </w:r>
      <w:r w:rsidR="00EE4FC3">
        <w:t xml:space="preserve"> </w:t>
      </w:r>
      <w:r w:rsidR="006D18A4" w:rsidRPr="00382917">
        <w:t>displeased</w:t>
      </w:r>
      <w:r w:rsidR="00EE4FC3">
        <w:t xml:space="preserve"> </w:t>
      </w:r>
      <w:r w:rsidR="006D18A4" w:rsidRPr="00382917">
        <w:t>with</w:t>
      </w:r>
      <w:r w:rsidR="00EE4FC3">
        <w:t xml:space="preserve"> </w:t>
      </w:r>
      <w:r w:rsidR="006D18A4" w:rsidRPr="00382917">
        <w:t>the</w:t>
      </w:r>
      <w:r w:rsidR="00EE4FC3">
        <w:t xml:space="preserve"> </w:t>
      </w:r>
      <w:r w:rsidR="006D18A4" w:rsidRPr="00382917">
        <w:t>answer</w:t>
      </w:r>
      <w:r w:rsidR="00C03C91">
        <w:t>.</w:t>
      </w:r>
      <w:r w:rsidR="00EE4FC3">
        <w:t xml:space="preserve">  </w:t>
      </w:r>
      <w:r w:rsidR="006D18A4" w:rsidRPr="00382917">
        <w:t>He</w:t>
      </w:r>
      <w:r w:rsidR="00EE4FC3">
        <w:t xml:space="preserve"> </w:t>
      </w:r>
      <w:r w:rsidR="006D18A4" w:rsidRPr="00382917">
        <w:t>cursed</w:t>
      </w:r>
      <w:r w:rsidR="00EE4FC3">
        <w:t xml:space="preserve"> </w:t>
      </w:r>
      <w:r w:rsidR="006D18A4" w:rsidRPr="00382917">
        <w:t>Mullá</w:t>
      </w:r>
      <w:r w:rsidR="00EE4FC3">
        <w:t xml:space="preserve"> </w:t>
      </w:r>
      <w:r w:rsidR="006D18A4" w:rsidRPr="00382917">
        <w:t>Ṣádiq</w:t>
      </w:r>
      <w:r w:rsidR="00EE4FC3">
        <w:t xml:space="preserve"> </w:t>
      </w:r>
      <w:r w:rsidR="006D18A4" w:rsidRPr="00382917">
        <w:t>and</w:t>
      </w:r>
      <w:r w:rsidR="00EE4FC3">
        <w:t xml:space="preserve"> </w:t>
      </w:r>
      <w:r w:rsidR="006D18A4" w:rsidRPr="00382917">
        <w:t>Quddús</w:t>
      </w:r>
      <w:r w:rsidR="00C03C91">
        <w:t>.</w:t>
      </w:r>
      <w:r w:rsidR="00EE4FC3">
        <w:t xml:space="preserve">  </w:t>
      </w:r>
      <w:r w:rsidR="006D18A4" w:rsidRPr="00382917">
        <w:t>He</w:t>
      </w:r>
      <w:r w:rsidR="00EE4FC3">
        <w:t xml:space="preserve"> </w:t>
      </w:r>
      <w:r w:rsidR="006D18A4" w:rsidRPr="00382917">
        <w:t>ordered</w:t>
      </w:r>
      <w:r w:rsidR="00EE4FC3">
        <w:t xml:space="preserve"> </w:t>
      </w:r>
      <w:r w:rsidR="006D18A4" w:rsidRPr="00382917">
        <w:t>his</w:t>
      </w:r>
      <w:r w:rsidR="00EE4FC3">
        <w:t xml:space="preserve"> </w:t>
      </w:r>
      <w:r w:rsidR="006D18A4" w:rsidRPr="00382917">
        <w:t>attendants</w:t>
      </w:r>
      <w:r w:rsidR="00EE4FC3">
        <w:t xml:space="preserve"> </w:t>
      </w:r>
      <w:r w:rsidR="006D18A4" w:rsidRPr="00382917">
        <w:t>to</w:t>
      </w:r>
      <w:r w:rsidR="00EE4FC3">
        <w:t xml:space="preserve"> </w:t>
      </w:r>
      <w:r w:rsidR="006D18A4" w:rsidRPr="00382917">
        <w:t>strip</w:t>
      </w:r>
      <w:r w:rsidR="00EE4FC3">
        <w:t xml:space="preserve"> </w:t>
      </w:r>
      <w:r w:rsidR="006D18A4" w:rsidRPr="00382917">
        <w:t>Mullá</w:t>
      </w:r>
      <w:r w:rsidR="00EE4FC3">
        <w:t xml:space="preserve"> </w:t>
      </w:r>
      <w:r w:rsidR="006D18A4" w:rsidRPr="00382917">
        <w:t>Ṣádiq</w:t>
      </w:r>
      <w:r w:rsidR="00EE4FC3">
        <w:t xml:space="preserve"> </w:t>
      </w:r>
      <w:r w:rsidR="006D18A4" w:rsidRPr="00382917">
        <w:t>of</w:t>
      </w:r>
      <w:r w:rsidR="00EE4FC3">
        <w:t xml:space="preserve"> </w:t>
      </w:r>
      <w:r w:rsidR="006D18A4" w:rsidRPr="00382917">
        <w:t>his</w:t>
      </w:r>
      <w:r w:rsidR="00EE4FC3">
        <w:t xml:space="preserve"> </w:t>
      </w:r>
      <w:r w:rsidR="006D18A4" w:rsidRPr="00382917">
        <w:t>garments</w:t>
      </w:r>
      <w:r w:rsidR="00EE4FC3">
        <w:t xml:space="preserve"> </w:t>
      </w:r>
      <w:r w:rsidR="006D18A4" w:rsidRPr="00382917">
        <w:t>and</w:t>
      </w:r>
      <w:r w:rsidR="00EE4FC3">
        <w:t xml:space="preserve"> </w:t>
      </w:r>
      <w:r w:rsidR="006D18A4" w:rsidRPr="00382917">
        <w:t>to</w:t>
      </w:r>
      <w:r w:rsidR="00EE4FC3">
        <w:t xml:space="preserve"> </w:t>
      </w:r>
      <w:r w:rsidR="006D18A4" w:rsidRPr="00382917">
        <w:t>scourge</w:t>
      </w:r>
      <w:r w:rsidR="00EE4FC3">
        <w:t xml:space="preserve"> </w:t>
      </w:r>
      <w:r w:rsidR="006D18A4" w:rsidRPr="00382917">
        <w:t>him</w:t>
      </w:r>
      <w:r w:rsidR="00EE4FC3">
        <w:t xml:space="preserve"> </w:t>
      </w:r>
      <w:r w:rsidR="006D18A4" w:rsidRPr="00382917">
        <w:t>with</w:t>
      </w:r>
      <w:r w:rsidR="00EE4FC3">
        <w:t xml:space="preserve"> </w:t>
      </w:r>
      <w:r w:rsidR="006D18A4" w:rsidRPr="00382917">
        <w:t>a</w:t>
      </w:r>
      <w:r w:rsidR="00EE4FC3">
        <w:t xml:space="preserve"> </w:t>
      </w:r>
      <w:r w:rsidR="006D18A4" w:rsidRPr="00382917">
        <w:t>thousand</w:t>
      </w:r>
      <w:r w:rsidR="00EE4FC3">
        <w:t xml:space="preserve"> </w:t>
      </w:r>
      <w:r w:rsidR="006D18A4" w:rsidRPr="00382917">
        <w:t>lashes</w:t>
      </w:r>
      <w:r w:rsidR="00C03C91">
        <w:t>.</w:t>
      </w:r>
      <w:r w:rsidR="00EE4FC3">
        <w:t xml:space="preserve">  </w:t>
      </w:r>
      <w:r w:rsidR="006D18A4" w:rsidRPr="00382917">
        <w:t>He</w:t>
      </w:r>
      <w:r w:rsidR="00EE4FC3">
        <w:t xml:space="preserve"> </w:t>
      </w:r>
      <w:r w:rsidR="006D18A4" w:rsidRPr="00382917">
        <w:t>then</w:t>
      </w:r>
      <w:r w:rsidR="00EE4FC3">
        <w:t xml:space="preserve"> </w:t>
      </w:r>
      <w:r w:rsidR="006D18A4" w:rsidRPr="00382917">
        <w:t>commanded</w:t>
      </w:r>
      <w:r w:rsidR="00EE4FC3">
        <w:t xml:space="preserve"> </w:t>
      </w:r>
      <w:r w:rsidR="006D18A4" w:rsidRPr="00382917">
        <w:t>that</w:t>
      </w:r>
      <w:r w:rsidR="00EE4FC3">
        <w:t xml:space="preserve"> </w:t>
      </w:r>
      <w:r w:rsidR="006D18A4" w:rsidRPr="00382917">
        <w:t>the</w:t>
      </w:r>
      <w:r w:rsidR="00EE4FC3">
        <w:t xml:space="preserve"> </w:t>
      </w:r>
      <w:r w:rsidR="006D18A4" w:rsidRPr="00382917">
        <w:t>beards</w:t>
      </w:r>
      <w:r w:rsidR="00EE4FC3">
        <w:t xml:space="preserve"> </w:t>
      </w:r>
      <w:r w:rsidR="006D18A4" w:rsidRPr="00382917">
        <w:t>of</w:t>
      </w:r>
      <w:r w:rsidR="00EE4FC3">
        <w:t xml:space="preserve"> </w:t>
      </w:r>
      <w:r w:rsidR="006D18A4" w:rsidRPr="00382917">
        <w:t>both</w:t>
      </w:r>
      <w:r w:rsidR="00EE4FC3">
        <w:t xml:space="preserve"> </w:t>
      </w:r>
      <w:r w:rsidR="006D18A4" w:rsidRPr="00382917">
        <w:t>men</w:t>
      </w:r>
      <w:r w:rsidR="00EE4FC3">
        <w:t xml:space="preserve"> </w:t>
      </w:r>
      <w:r w:rsidR="006D18A4" w:rsidRPr="00382917">
        <w:t>should</w:t>
      </w:r>
      <w:r w:rsidR="00EE4FC3">
        <w:t xml:space="preserve"> </w:t>
      </w:r>
      <w:r w:rsidR="006D18A4" w:rsidRPr="00382917">
        <w:t>be</w:t>
      </w:r>
      <w:r w:rsidR="00EE4FC3">
        <w:t xml:space="preserve"> </w:t>
      </w:r>
      <w:r w:rsidR="006D18A4" w:rsidRPr="00382917">
        <w:t>burned,</w:t>
      </w:r>
      <w:r w:rsidR="00EE4FC3">
        <w:t xml:space="preserve"> </w:t>
      </w:r>
      <w:r w:rsidR="006D18A4" w:rsidRPr="00382917">
        <w:t>their</w:t>
      </w:r>
      <w:r w:rsidR="00EE4FC3">
        <w:t xml:space="preserve"> </w:t>
      </w:r>
      <w:r w:rsidR="006D18A4" w:rsidRPr="00382917">
        <w:t>noses</w:t>
      </w:r>
      <w:r w:rsidR="00EE4FC3">
        <w:t xml:space="preserve"> </w:t>
      </w:r>
      <w:r w:rsidR="006D18A4" w:rsidRPr="00382917">
        <w:t>pierced,</w:t>
      </w:r>
      <w:r w:rsidR="00EE4FC3">
        <w:t xml:space="preserve"> </w:t>
      </w:r>
      <w:r w:rsidR="006D18A4" w:rsidRPr="00382917">
        <w:t>and</w:t>
      </w:r>
      <w:r w:rsidR="00EE4FC3">
        <w:t xml:space="preserve"> </w:t>
      </w:r>
      <w:r w:rsidR="006D18A4" w:rsidRPr="00382917">
        <w:t>that</w:t>
      </w:r>
      <w:r w:rsidR="00EE4FC3">
        <w:t xml:space="preserve"> </w:t>
      </w:r>
      <w:r w:rsidR="006D18A4" w:rsidRPr="00382917">
        <w:t>a</w:t>
      </w:r>
      <w:r w:rsidR="00EE4FC3">
        <w:t xml:space="preserve"> </w:t>
      </w:r>
      <w:r w:rsidR="006D18A4" w:rsidRPr="00382917">
        <w:t>cord</w:t>
      </w:r>
      <w:r w:rsidR="00EE4FC3">
        <w:t xml:space="preserve"> </w:t>
      </w:r>
      <w:r w:rsidR="006D18A4" w:rsidRPr="00382917">
        <w:t>should</w:t>
      </w:r>
      <w:r w:rsidR="00EE4FC3">
        <w:t xml:space="preserve"> </w:t>
      </w:r>
      <w:r w:rsidR="006D18A4" w:rsidRPr="00382917">
        <w:t>be</w:t>
      </w:r>
      <w:r w:rsidR="00EE4FC3">
        <w:t xml:space="preserve"> </w:t>
      </w:r>
      <w:r w:rsidR="006D18A4" w:rsidRPr="00382917">
        <w:t>passed</w:t>
      </w:r>
      <w:r w:rsidR="00EE4FC3">
        <w:t xml:space="preserve"> </w:t>
      </w:r>
      <w:r w:rsidR="006D18A4" w:rsidRPr="00382917">
        <w:t>through</w:t>
      </w:r>
      <w:r w:rsidR="00EE4FC3">
        <w:t xml:space="preserve"> </w:t>
      </w:r>
      <w:r w:rsidR="006D18A4" w:rsidRPr="00382917">
        <w:t>this</w:t>
      </w:r>
      <w:r w:rsidR="00EE4FC3">
        <w:t xml:space="preserve"> </w:t>
      </w:r>
      <w:r w:rsidR="006D18A4" w:rsidRPr="00382917">
        <w:t>incision.</w:t>
      </w:r>
    </w:p>
    <w:p w:rsidR="009F0F0D" w:rsidRPr="00382917" w:rsidRDefault="009F0F0D">
      <w:pPr>
        <w:widowControl/>
        <w:kinsoku/>
        <w:overflowPunct/>
        <w:textAlignment w:val="auto"/>
      </w:pPr>
      <w:r w:rsidRPr="00382917">
        <w:br w:type="page"/>
      </w:r>
    </w:p>
    <w:p w:rsidR="003B2D0A" w:rsidRPr="00382917" w:rsidRDefault="009C713D" w:rsidP="003B2D0A">
      <w:pPr>
        <w:pStyle w:val="Text"/>
      </w:pPr>
      <w:r w:rsidRPr="00382917">
        <w:t>“</w:t>
      </w:r>
      <w:r w:rsidR="003B2D0A" w:rsidRPr="00382917">
        <w:t>Let</w:t>
      </w:r>
      <w:r w:rsidR="00EE4FC3">
        <w:t xml:space="preserve"> </w:t>
      </w:r>
      <w:r w:rsidR="003B2D0A" w:rsidRPr="00382917">
        <w:t>them</w:t>
      </w:r>
      <w:r w:rsidR="00EE4FC3">
        <w:t xml:space="preserve"> </w:t>
      </w:r>
      <w:r w:rsidR="003B2D0A" w:rsidRPr="00382917">
        <w:t>be</w:t>
      </w:r>
      <w:r w:rsidR="00EE4FC3">
        <w:t xml:space="preserve"> </w:t>
      </w:r>
      <w:r w:rsidR="003B2D0A" w:rsidRPr="00382917">
        <w:t>led</w:t>
      </w:r>
      <w:r w:rsidR="00EE4FC3">
        <w:t xml:space="preserve"> </w:t>
      </w:r>
      <w:r w:rsidR="003B2D0A" w:rsidRPr="00382917">
        <w:t>through</w:t>
      </w:r>
      <w:r w:rsidR="00EE4FC3">
        <w:t xml:space="preserve"> </w:t>
      </w:r>
      <w:r w:rsidR="003B2D0A" w:rsidRPr="00382917">
        <w:t>the</w:t>
      </w:r>
      <w:r w:rsidR="00EE4FC3">
        <w:t xml:space="preserve"> </w:t>
      </w:r>
      <w:r w:rsidR="003B2D0A" w:rsidRPr="00382917">
        <w:t>streets</w:t>
      </w:r>
      <w:r w:rsidR="00EE4FC3">
        <w:t xml:space="preserve"> </w:t>
      </w:r>
      <w:r w:rsidR="003B2D0A" w:rsidRPr="00382917">
        <w:t>of</w:t>
      </w:r>
      <w:r w:rsidR="00EE4FC3">
        <w:t xml:space="preserve"> </w:t>
      </w:r>
      <w:r w:rsidR="003B2D0A" w:rsidRPr="00382917">
        <w:t>the</w:t>
      </w:r>
      <w:r w:rsidR="00EE4FC3">
        <w:t xml:space="preserve"> </w:t>
      </w:r>
      <w:r w:rsidR="003B2D0A" w:rsidRPr="00382917">
        <w:t>city</w:t>
      </w:r>
      <w:r w:rsidR="00EE4FC3">
        <w:t xml:space="preserve"> </w:t>
      </w:r>
      <w:r w:rsidR="003B2D0A" w:rsidRPr="00382917">
        <w:t>by</w:t>
      </w:r>
      <w:r w:rsidR="00EE4FC3">
        <w:t xml:space="preserve"> </w:t>
      </w:r>
      <w:r w:rsidR="003B2D0A" w:rsidRPr="00382917">
        <w:t>this</w:t>
      </w:r>
      <w:r w:rsidR="00EE4FC3">
        <w:t xml:space="preserve"> </w:t>
      </w:r>
      <w:r w:rsidR="003B2D0A" w:rsidRPr="00382917">
        <w:t>halter,</w:t>
      </w:r>
      <w:r w:rsidRPr="00382917">
        <w:t>”</w:t>
      </w:r>
      <w:r w:rsidR="00EE4FC3">
        <w:t xml:space="preserve"> </w:t>
      </w:r>
      <w:r w:rsidR="003B2D0A" w:rsidRPr="00382917">
        <w:t>he</w:t>
      </w:r>
      <w:r w:rsidR="00EE4FC3">
        <w:t xml:space="preserve"> </w:t>
      </w:r>
      <w:r w:rsidR="003B2D0A" w:rsidRPr="00382917">
        <w:t>commanded</w:t>
      </w:r>
      <w:r w:rsidR="00C03C91">
        <w:t>.</w:t>
      </w:r>
      <w:r w:rsidR="00EE4FC3">
        <w:t xml:space="preserve">  </w:t>
      </w:r>
      <w:r w:rsidRPr="00382917">
        <w:t>“</w:t>
      </w:r>
      <w:r w:rsidR="003B2D0A" w:rsidRPr="00382917">
        <w:t>It</w:t>
      </w:r>
      <w:r w:rsidR="00EE4FC3">
        <w:t xml:space="preserve"> </w:t>
      </w:r>
      <w:r w:rsidR="003B2D0A" w:rsidRPr="00382917">
        <w:t>will</w:t>
      </w:r>
      <w:r w:rsidR="00EE4FC3">
        <w:t xml:space="preserve"> </w:t>
      </w:r>
      <w:r w:rsidR="003B2D0A" w:rsidRPr="00382917">
        <w:t>be</w:t>
      </w:r>
      <w:r w:rsidR="00EE4FC3">
        <w:t xml:space="preserve"> </w:t>
      </w:r>
      <w:r w:rsidR="003B2D0A" w:rsidRPr="00382917">
        <w:t>an</w:t>
      </w:r>
      <w:r w:rsidR="00EE4FC3">
        <w:t xml:space="preserve"> </w:t>
      </w:r>
      <w:r w:rsidR="003B2D0A" w:rsidRPr="00382917">
        <w:t>object</w:t>
      </w:r>
      <w:r w:rsidR="00EE4FC3">
        <w:t xml:space="preserve"> </w:t>
      </w:r>
      <w:r w:rsidR="003B2D0A" w:rsidRPr="00382917">
        <w:t>lesson</w:t>
      </w:r>
      <w:r w:rsidR="00EE4FC3">
        <w:t xml:space="preserve"> </w:t>
      </w:r>
      <w:r w:rsidR="003B2D0A" w:rsidRPr="00382917">
        <w:t>to</w:t>
      </w:r>
      <w:r w:rsidR="00EE4FC3">
        <w:t xml:space="preserve"> </w:t>
      </w:r>
      <w:r w:rsidR="003B2D0A" w:rsidRPr="00382917">
        <w:t>the</w:t>
      </w:r>
      <w:r w:rsidR="00EE4FC3">
        <w:t xml:space="preserve"> </w:t>
      </w:r>
      <w:r w:rsidR="003B2D0A" w:rsidRPr="00382917">
        <w:t>people</w:t>
      </w:r>
      <w:r w:rsidR="00EE4FC3">
        <w:t xml:space="preserve"> </w:t>
      </w:r>
      <w:r w:rsidR="003B2D0A" w:rsidRPr="00382917">
        <w:t>of</w:t>
      </w:r>
      <w:r w:rsidR="00EE4FC3">
        <w:t xml:space="preserve"> </w:t>
      </w:r>
      <w:r w:rsidR="008A073E" w:rsidRPr="00382917">
        <w:rPr>
          <w:u w:val="single"/>
        </w:rPr>
        <w:t>Sh</w:t>
      </w:r>
      <w:r w:rsidR="008A073E" w:rsidRPr="00382917">
        <w:t>íráz</w:t>
      </w:r>
      <w:r w:rsidR="00C03C91">
        <w:t>.</w:t>
      </w:r>
      <w:r w:rsidR="00EE4FC3">
        <w:t xml:space="preserve">  </w:t>
      </w:r>
      <w:r w:rsidR="003B2D0A" w:rsidRPr="00382917">
        <w:t>It</w:t>
      </w:r>
      <w:r w:rsidR="00EE4FC3">
        <w:t xml:space="preserve"> </w:t>
      </w:r>
      <w:r w:rsidR="003B2D0A" w:rsidRPr="00382917">
        <w:t>will</w:t>
      </w:r>
      <w:r w:rsidR="00EE4FC3">
        <w:t xml:space="preserve"> </w:t>
      </w:r>
      <w:r w:rsidR="003B2D0A" w:rsidRPr="00382917">
        <w:t>teach</w:t>
      </w:r>
      <w:r w:rsidR="00EE4FC3">
        <w:t xml:space="preserve"> </w:t>
      </w:r>
      <w:r w:rsidR="003B2D0A" w:rsidRPr="00382917">
        <w:t>everyone</w:t>
      </w:r>
      <w:r w:rsidR="00EE4FC3">
        <w:t xml:space="preserve"> </w:t>
      </w:r>
      <w:r w:rsidR="003B2D0A" w:rsidRPr="00382917">
        <w:t>who</w:t>
      </w:r>
      <w:r w:rsidR="00EE4FC3">
        <w:t xml:space="preserve"> </w:t>
      </w:r>
      <w:r w:rsidR="003B2D0A" w:rsidRPr="00382917">
        <w:t>is</w:t>
      </w:r>
      <w:r w:rsidR="00EE4FC3">
        <w:t xml:space="preserve"> </w:t>
      </w:r>
      <w:r w:rsidR="003B2D0A" w:rsidRPr="00382917">
        <w:t>thinking</w:t>
      </w:r>
      <w:r w:rsidR="00EE4FC3">
        <w:t xml:space="preserve"> </w:t>
      </w:r>
      <w:r w:rsidR="003B2D0A" w:rsidRPr="00382917">
        <w:t>of</w:t>
      </w:r>
      <w:r w:rsidR="00EE4FC3">
        <w:t xml:space="preserve"> </w:t>
      </w:r>
      <w:r w:rsidR="003B2D0A" w:rsidRPr="00382917">
        <w:t>embracing</w:t>
      </w:r>
      <w:r w:rsidR="00EE4FC3">
        <w:t xml:space="preserve"> </w:t>
      </w:r>
      <w:r w:rsidR="003B2D0A" w:rsidRPr="00382917">
        <w:t>this</w:t>
      </w:r>
      <w:r w:rsidR="00EE4FC3">
        <w:t xml:space="preserve"> </w:t>
      </w:r>
      <w:r w:rsidR="003B2D0A" w:rsidRPr="00382917">
        <w:t>Faith</w:t>
      </w:r>
      <w:r w:rsidR="00EE4FC3">
        <w:t xml:space="preserve"> </w:t>
      </w:r>
      <w:r w:rsidR="003B2D0A" w:rsidRPr="00382917">
        <w:t>just</w:t>
      </w:r>
      <w:r w:rsidR="00EE4FC3">
        <w:t xml:space="preserve"> </w:t>
      </w:r>
      <w:r w:rsidR="003B2D0A" w:rsidRPr="00382917">
        <w:t>what</w:t>
      </w:r>
      <w:r w:rsidR="00EE4FC3">
        <w:t xml:space="preserve"> </w:t>
      </w:r>
      <w:r w:rsidR="003B2D0A" w:rsidRPr="00382917">
        <w:t>the</w:t>
      </w:r>
      <w:r w:rsidR="00EE4FC3">
        <w:t xml:space="preserve"> </w:t>
      </w:r>
      <w:r w:rsidR="003B2D0A" w:rsidRPr="00382917">
        <w:t>punishment</w:t>
      </w:r>
      <w:r w:rsidR="00EE4FC3">
        <w:t xml:space="preserve"> </w:t>
      </w:r>
      <w:r w:rsidR="003B2D0A" w:rsidRPr="00382917">
        <w:t>for</w:t>
      </w:r>
      <w:r w:rsidR="00EE4FC3">
        <w:t xml:space="preserve"> </w:t>
      </w:r>
      <w:r w:rsidR="003B2D0A" w:rsidRPr="00382917">
        <w:t>such</w:t>
      </w:r>
      <w:r w:rsidR="00EE4FC3">
        <w:t xml:space="preserve"> </w:t>
      </w:r>
      <w:r w:rsidR="003B2D0A" w:rsidRPr="00382917">
        <w:t>action</w:t>
      </w:r>
      <w:r w:rsidR="00EE4FC3">
        <w:t xml:space="preserve"> </w:t>
      </w:r>
      <w:r w:rsidR="003B2D0A" w:rsidRPr="00382917">
        <w:t>will</w:t>
      </w:r>
      <w:r w:rsidR="00EE4FC3">
        <w:t xml:space="preserve"> </w:t>
      </w:r>
      <w:r w:rsidR="003B2D0A" w:rsidRPr="00382917">
        <w:t>be!</w:t>
      </w:r>
      <w:r w:rsidRPr="00382917">
        <w:t>”</w:t>
      </w:r>
    </w:p>
    <w:p w:rsidR="003B2D0A" w:rsidRPr="00382917" w:rsidRDefault="003B2D0A" w:rsidP="003B2D0A">
      <w:pPr>
        <w:pStyle w:val="Text"/>
      </w:pPr>
      <w:r w:rsidRPr="00382917">
        <w:t>Mullá</w:t>
      </w:r>
      <w:r w:rsidR="00EE4FC3">
        <w:t xml:space="preserve"> </w:t>
      </w:r>
      <w:r w:rsidRPr="00382917">
        <w:t>Ṣádiq</w:t>
      </w:r>
      <w:r w:rsidR="00EE4FC3">
        <w:t xml:space="preserve"> </w:t>
      </w:r>
      <w:r w:rsidRPr="00382917">
        <w:t>was</w:t>
      </w:r>
      <w:r w:rsidR="00EE4FC3">
        <w:t xml:space="preserve"> </w:t>
      </w:r>
      <w:r w:rsidRPr="00382917">
        <w:t>so</w:t>
      </w:r>
      <w:r w:rsidR="00EE4FC3">
        <w:t xml:space="preserve"> </w:t>
      </w:r>
      <w:r w:rsidRPr="00382917">
        <w:t>advanced</w:t>
      </w:r>
      <w:r w:rsidR="00EE4FC3">
        <w:t xml:space="preserve"> </w:t>
      </w:r>
      <w:r w:rsidRPr="00382917">
        <w:t>in</w:t>
      </w:r>
      <w:r w:rsidR="00EE4FC3">
        <w:t xml:space="preserve"> </w:t>
      </w:r>
      <w:r w:rsidRPr="00382917">
        <w:t>age</w:t>
      </w:r>
      <w:r w:rsidR="00EE4FC3">
        <w:t xml:space="preserve"> </w:t>
      </w:r>
      <w:r w:rsidRPr="00382917">
        <w:t>that</w:t>
      </w:r>
      <w:r w:rsidR="00EE4FC3">
        <w:t xml:space="preserve"> </w:t>
      </w:r>
      <w:r w:rsidRPr="00382917">
        <w:t>he</w:t>
      </w:r>
      <w:r w:rsidR="00EE4FC3">
        <w:t xml:space="preserve"> </w:t>
      </w:r>
      <w:r w:rsidRPr="00382917">
        <w:t>knew</w:t>
      </w:r>
      <w:r w:rsidR="00EE4FC3">
        <w:t xml:space="preserve"> </w:t>
      </w:r>
      <w:r w:rsidRPr="00382917">
        <w:t>that</w:t>
      </w:r>
      <w:r w:rsidR="00EE4FC3">
        <w:t xml:space="preserve"> </w:t>
      </w:r>
      <w:r w:rsidRPr="00382917">
        <w:t>he</w:t>
      </w:r>
      <w:r w:rsidR="00EE4FC3">
        <w:t xml:space="preserve"> </w:t>
      </w:r>
      <w:r w:rsidRPr="00382917">
        <w:t>could</w:t>
      </w:r>
      <w:r w:rsidR="00EE4FC3">
        <w:t xml:space="preserve"> </w:t>
      </w:r>
      <w:r w:rsidRPr="00382917">
        <w:t>not</w:t>
      </w:r>
      <w:r w:rsidR="00EE4FC3">
        <w:t xml:space="preserve"> </w:t>
      </w:r>
      <w:r w:rsidRPr="00382917">
        <w:t>possibly</w:t>
      </w:r>
      <w:r w:rsidR="00EE4FC3">
        <w:t xml:space="preserve"> </w:t>
      </w:r>
      <w:r w:rsidRPr="00382917">
        <w:t>survive</w:t>
      </w:r>
      <w:r w:rsidR="00EE4FC3">
        <w:t xml:space="preserve"> </w:t>
      </w:r>
      <w:r w:rsidRPr="00382917">
        <w:t>such</w:t>
      </w:r>
      <w:r w:rsidR="00EE4FC3">
        <w:t xml:space="preserve"> </w:t>
      </w:r>
      <w:r w:rsidRPr="00382917">
        <w:t>torture</w:t>
      </w:r>
      <w:r w:rsidR="00C03C91">
        <w:t>.</w:t>
      </w:r>
      <w:r w:rsidR="00EE4FC3">
        <w:t xml:space="preserve">  </w:t>
      </w:r>
      <w:r w:rsidRPr="00382917">
        <w:t>Yet</w:t>
      </w:r>
      <w:r w:rsidR="00EE4FC3">
        <w:t xml:space="preserve"> </w:t>
      </w:r>
      <w:r w:rsidRPr="00382917">
        <w:t>he</w:t>
      </w:r>
      <w:r w:rsidR="00EE4FC3">
        <w:t xml:space="preserve"> </w:t>
      </w:r>
      <w:r w:rsidRPr="00382917">
        <w:t>was</w:t>
      </w:r>
      <w:r w:rsidR="00EE4FC3">
        <w:t xml:space="preserve"> </w:t>
      </w:r>
      <w:r w:rsidRPr="00382917">
        <w:t>calm</w:t>
      </w:r>
      <w:r w:rsidR="00EE4FC3">
        <w:t xml:space="preserve"> </w:t>
      </w:r>
      <w:r w:rsidRPr="00382917">
        <w:t>and</w:t>
      </w:r>
      <w:r w:rsidR="00EE4FC3">
        <w:t xml:space="preserve"> </w:t>
      </w:r>
      <w:r w:rsidRPr="00382917">
        <w:t>self-possessed</w:t>
      </w:r>
      <w:r w:rsidR="00C03C91">
        <w:t>.</w:t>
      </w:r>
      <w:r w:rsidR="00EE4FC3">
        <w:t xml:space="preserve">  </w:t>
      </w:r>
      <w:r w:rsidRPr="00382917">
        <w:t>He</w:t>
      </w:r>
      <w:r w:rsidR="00EE4FC3">
        <w:t xml:space="preserve"> </w:t>
      </w:r>
      <w:r w:rsidRPr="00382917">
        <w:t>raised</w:t>
      </w:r>
      <w:r w:rsidR="00EE4FC3">
        <w:t xml:space="preserve"> </w:t>
      </w:r>
      <w:r w:rsidRPr="00382917">
        <w:t>his</w:t>
      </w:r>
      <w:r w:rsidR="00EE4FC3">
        <w:t xml:space="preserve"> </w:t>
      </w:r>
      <w:r w:rsidRPr="00382917">
        <w:t>eyes</w:t>
      </w:r>
      <w:r w:rsidR="00EE4FC3">
        <w:t xml:space="preserve"> </w:t>
      </w:r>
      <w:r w:rsidRPr="00382917">
        <w:t>to</w:t>
      </w:r>
      <w:r w:rsidR="00EE4FC3">
        <w:t xml:space="preserve"> </w:t>
      </w:r>
      <w:r w:rsidRPr="00382917">
        <w:t>heaven</w:t>
      </w:r>
      <w:r w:rsidR="00EE4FC3">
        <w:t xml:space="preserve"> </w:t>
      </w:r>
      <w:r w:rsidRPr="00382917">
        <w:t>and</w:t>
      </w:r>
      <w:r w:rsidR="00EE4FC3">
        <w:t xml:space="preserve"> </w:t>
      </w:r>
      <w:r w:rsidRPr="00382917">
        <w:t>offered</w:t>
      </w:r>
      <w:r w:rsidR="00EE4FC3">
        <w:t xml:space="preserve"> </w:t>
      </w:r>
      <w:r w:rsidRPr="00382917">
        <w:t>a</w:t>
      </w:r>
      <w:r w:rsidR="00EE4FC3">
        <w:t xml:space="preserve"> </w:t>
      </w:r>
      <w:r w:rsidRPr="00382917">
        <w:t>last</w:t>
      </w:r>
      <w:r w:rsidR="00EE4FC3">
        <w:t xml:space="preserve"> </w:t>
      </w:r>
      <w:r w:rsidRPr="00382917">
        <w:t>prayer.</w:t>
      </w:r>
    </w:p>
    <w:p w:rsidR="003B2D0A" w:rsidRPr="00382917" w:rsidRDefault="009C713D" w:rsidP="003B2D0A">
      <w:pPr>
        <w:pStyle w:val="Text"/>
      </w:pPr>
      <w:r w:rsidRPr="00382917">
        <w:t>“</w:t>
      </w:r>
      <w:r w:rsidR="003B2D0A" w:rsidRPr="00382917">
        <w:t>O</w:t>
      </w:r>
      <w:r w:rsidR="00EE4FC3">
        <w:t xml:space="preserve"> </w:t>
      </w:r>
      <w:r w:rsidR="003B2D0A" w:rsidRPr="00382917">
        <w:t>Lord,</w:t>
      </w:r>
      <w:r w:rsidR="00EE4FC3">
        <w:t xml:space="preserve"> </w:t>
      </w:r>
      <w:r w:rsidR="003B2D0A" w:rsidRPr="00382917">
        <w:t>our</w:t>
      </w:r>
      <w:r w:rsidR="00EE4FC3">
        <w:t xml:space="preserve"> </w:t>
      </w:r>
      <w:r w:rsidR="003B2D0A" w:rsidRPr="00382917">
        <w:t>God!</w:t>
      </w:r>
      <w:r w:rsidR="00EE4FC3">
        <w:t xml:space="preserve">  </w:t>
      </w:r>
      <w:r w:rsidR="003B2D0A" w:rsidRPr="00382917">
        <w:t>We</w:t>
      </w:r>
      <w:r w:rsidR="00EE4FC3">
        <w:t xml:space="preserve"> </w:t>
      </w:r>
      <w:r w:rsidR="003B2D0A" w:rsidRPr="00382917">
        <w:t>have</w:t>
      </w:r>
      <w:r w:rsidR="00EE4FC3">
        <w:t xml:space="preserve"> </w:t>
      </w:r>
      <w:r w:rsidR="003B2D0A" w:rsidRPr="00382917">
        <w:t>heard</w:t>
      </w:r>
      <w:r w:rsidR="00EE4FC3">
        <w:t xml:space="preserve"> </w:t>
      </w:r>
      <w:r w:rsidR="003B2D0A" w:rsidRPr="00382917">
        <w:t>the</w:t>
      </w:r>
      <w:r w:rsidR="00EE4FC3">
        <w:t xml:space="preserve"> </w:t>
      </w:r>
      <w:r w:rsidR="003B2D0A" w:rsidRPr="00382917">
        <w:t>voice</w:t>
      </w:r>
      <w:r w:rsidR="00EE4FC3">
        <w:t xml:space="preserve"> </w:t>
      </w:r>
      <w:r w:rsidR="003B2D0A" w:rsidRPr="00382917">
        <w:t>of</w:t>
      </w:r>
      <w:r w:rsidR="00EE4FC3">
        <w:t xml:space="preserve"> </w:t>
      </w:r>
      <w:r w:rsidR="003B2D0A" w:rsidRPr="00382917">
        <w:t>the</w:t>
      </w:r>
      <w:r w:rsidR="00EE4FC3">
        <w:t xml:space="preserve"> </w:t>
      </w:r>
      <w:r w:rsidR="003B2D0A" w:rsidRPr="00382917">
        <w:t>One</w:t>
      </w:r>
      <w:r w:rsidR="00EE4FC3">
        <w:t xml:space="preserve"> </w:t>
      </w:r>
      <w:r w:rsidR="003B2D0A" w:rsidRPr="00382917">
        <w:t>that</w:t>
      </w:r>
      <w:r w:rsidR="00EE4FC3">
        <w:t xml:space="preserve"> </w:t>
      </w:r>
      <w:r w:rsidR="003B2D0A" w:rsidRPr="00382917">
        <w:t>called</w:t>
      </w:r>
      <w:r w:rsidR="00C03C91">
        <w:t>.</w:t>
      </w:r>
      <w:r w:rsidR="00EE4FC3">
        <w:t xml:space="preserve">  </w:t>
      </w:r>
      <w:r w:rsidR="003B2D0A" w:rsidRPr="00382917">
        <w:t>He</w:t>
      </w:r>
      <w:r w:rsidR="00EE4FC3">
        <w:t xml:space="preserve"> </w:t>
      </w:r>
      <w:r w:rsidR="003B2D0A" w:rsidRPr="00382917">
        <w:t>called</w:t>
      </w:r>
      <w:r w:rsidR="00EE4FC3">
        <w:t xml:space="preserve"> </w:t>
      </w:r>
      <w:r w:rsidR="003B2D0A" w:rsidRPr="00382917">
        <w:t>us</w:t>
      </w:r>
      <w:r w:rsidR="00EE4FC3">
        <w:t xml:space="preserve"> </w:t>
      </w:r>
      <w:r w:rsidR="003B2D0A" w:rsidRPr="00382917">
        <w:t>to</w:t>
      </w:r>
      <w:r w:rsidR="00EE4FC3">
        <w:t xml:space="preserve"> </w:t>
      </w:r>
      <w:r w:rsidR="003B2D0A" w:rsidRPr="00382917">
        <w:t>His</w:t>
      </w:r>
      <w:r w:rsidR="00EE4FC3">
        <w:t xml:space="preserve"> </w:t>
      </w:r>
      <w:r w:rsidR="003B2D0A" w:rsidRPr="00382917">
        <w:t>Faith,</w:t>
      </w:r>
      <w:r w:rsidR="00EE4FC3">
        <w:t xml:space="preserve"> </w:t>
      </w:r>
      <w:r w:rsidR="003B2D0A" w:rsidRPr="00382917">
        <w:t>saying</w:t>
      </w:r>
      <w:r w:rsidR="00C03C91">
        <w:t>:</w:t>
      </w:r>
      <w:r w:rsidR="00EE4FC3">
        <w:t xml:space="preserve">  </w:t>
      </w:r>
      <w:r w:rsidRPr="00382917">
        <w:t>‘</w:t>
      </w:r>
      <w:r w:rsidR="003B2D0A" w:rsidRPr="00382917">
        <w:t>Believe</w:t>
      </w:r>
      <w:r w:rsidR="00EE4FC3">
        <w:t xml:space="preserve"> </w:t>
      </w:r>
      <w:r w:rsidR="003B2D0A" w:rsidRPr="00382917">
        <w:t>ye</w:t>
      </w:r>
      <w:r w:rsidR="00EE4FC3">
        <w:t xml:space="preserve"> </w:t>
      </w:r>
      <w:r w:rsidR="003B2D0A" w:rsidRPr="00382917">
        <w:t>on</w:t>
      </w:r>
      <w:r w:rsidR="00EE4FC3">
        <w:t xml:space="preserve"> </w:t>
      </w:r>
      <w:r w:rsidR="003B2D0A" w:rsidRPr="00382917">
        <w:t>the</w:t>
      </w:r>
      <w:r w:rsidR="00EE4FC3">
        <w:t xml:space="preserve"> </w:t>
      </w:r>
      <w:r w:rsidR="003B2D0A" w:rsidRPr="00382917">
        <w:t>Lord</w:t>
      </w:r>
      <w:r w:rsidR="00EE4FC3">
        <w:t xml:space="preserve"> </w:t>
      </w:r>
      <w:r w:rsidR="003B2D0A" w:rsidRPr="00382917">
        <w:t>your</w:t>
      </w:r>
      <w:r w:rsidR="00EE4FC3">
        <w:t xml:space="preserve"> </w:t>
      </w:r>
      <w:r w:rsidR="003B2D0A" w:rsidRPr="00382917">
        <w:t>God!</w:t>
      </w:r>
      <w:r w:rsidRPr="00382917">
        <w:t>’</w:t>
      </w:r>
      <w:r w:rsidR="00EE4FC3">
        <w:t xml:space="preserve">  </w:t>
      </w:r>
      <w:r w:rsidR="003B2D0A" w:rsidRPr="00382917">
        <w:t>We</w:t>
      </w:r>
      <w:r w:rsidR="00EE4FC3">
        <w:t xml:space="preserve"> </w:t>
      </w:r>
      <w:r w:rsidR="003B2D0A" w:rsidRPr="00382917">
        <w:t>have</w:t>
      </w:r>
      <w:r w:rsidR="00EE4FC3">
        <w:t xml:space="preserve"> </w:t>
      </w:r>
      <w:r w:rsidR="003B2D0A" w:rsidRPr="00382917">
        <w:t>believed,</w:t>
      </w:r>
      <w:r w:rsidR="00EE4FC3">
        <w:t xml:space="preserve"> </w:t>
      </w:r>
      <w:r w:rsidR="003B2D0A" w:rsidRPr="00382917">
        <w:t>O</w:t>
      </w:r>
      <w:r w:rsidR="00EE4FC3">
        <w:t xml:space="preserve"> </w:t>
      </w:r>
      <w:r w:rsidR="003B2D0A" w:rsidRPr="00382917">
        <w:t>God</w:t>
      </w:r>
      <w:r w:rsidR="00C03C91">
        <w:t>.</w:t>
      </w:r>
      <w:r w:rsidR="00EE4FC3">
        <w:t xml:space="preserve">  </w:t>
      </w:r>
      <w:r w:rsidR="003B2D0A" w:rsidRPr="00382917">
        <w:t>Forgive</w:t>
      </w:r>
      <w:r w:rsidR="00EE4FC3">
        <w:t xml:space="preserve"> </w:t>
      </w:r>
      <w:r w:rsidR="003B2D0A" w:rsidRPr="00382917">
        <w:t>us</w:t>
      </w:r>
      <w:r w:rsidR="00EE4FC3">
        <w:t xml:space="preserve"> </w:t>
      </w:r>
      <w:r w:rsidR="003B2D0A" w:rsidRPr="00382917">
        <w:t>then</w:t>
      </w:r>
      <w:r w:rsidR="00EE4FC3">
        <w:t xml:space="preserve"> </w:t>
      </w:r>
      <w:r w:rsidR="003B2D0A" w:rsidRPr="00382917">
        <w:t>for</w:t>
      </w:r>
      <w:r w:rsidR="00EE4FC3">
        <w:t xml:space="preserve"> </w:t>
      </w:r>
      <w:r w:rsidR="003B2D0A" w:rsidRPr="00382917">
        <w:t>our</w:t>
      </w:r>
      <w:r w:rsidR="00EE4FC3">
        <w:t xml:space="preserve"> </w:t>
      </w:r>
      <w:r w:rsidR="003B2D0A" w:rsidRPr="00382917">
        <w:t>sins,</w:t>
      </w:r>
      <w:r w:rsidR="00EE4FC3">
        <w:t xml:space="preserve"> </w:t>
      </w:r>
      <w:r w:rsidR="003B2D0A" w:rsidRPr="00382917">
        <w:t>and</w:t>
      </w:r>
      <w:r w:rsidR="00EE4FC3">
        <w:t xml:space="preserve"> </w:t>
      </w:r>
      <w:r w:rsidR="003B2D0A" w:rsidRPr="00382917">
        <w:t>cause</w:t>
      </w:r>
      <w:r w:rsidR="00EE4FC3">
        <w:t xml:space="preserve"> </w:t>
      </w:r>
      <w:r w:rsidR="003B2D0A" w:rsidRPr="00382917">
        <w:t>us</w:t>
      </w:r>
      <w:r w:rsidR="00EE4FC3">
        <w:t xml:space="preserve"> </w:t>
      </w:r>
      <w:r w:rsidR="003B2D0A" w:rsidRPr="00382917">
        <w:t>to</w:t>
      </w:r>
      <w:r w:rsidR="00EE4FC3">
        <w:t xml:space="preserve"> </w:t>
      </w:r>
      <w:r w:rsidR="003B2D0A" w:rsidRPr="00382917">
        <w:t>die</w:t>
      </w:r>
      <w:r w:rsidR="00EE4FC3">
        <w:t xml:space="preserve"> </w:t>
      </w:r>
      <w:r w:rsidR="003B2D0A" w:rsidRPr="00382917">
        <w:t>with</w:t>
      </w:r>
      <w:r w:rsidR="00EE4FC3">
        <w:t xml:space="preserve"> </w:t>
      </w:r>
      <w:r w:rsidR="003B2D0A" w:rsidRPr="00382917">
        <w:t>righteousness.</w:t>
      </w:r>
      <w:r w:rsidRPr="00382917">
        <w:t>”</w:t>
      </w:r>
    </w:p>
    <w:p w:rsidR="003B2D0A" w:rsidRPr="00382917" w:rsidRDefault="003B2D0A" w:rsidP="003B2D0A">
      <w:pPr>
        <w:pStyle w:val="Text"/>
      </w:pPr>
      <w:r w:rsidRPr="00382917">
        <w:t>An</w:t>
      </w:r>
      <w:r w:rsidR="00EE4FC3">
        <w:t xml:space="preserve"> </w:t>
      </w:r>
      <w:r w:rsidRPr="00382917">
        <w:t>eye-witness</w:t>
      </w:r>
      <w:r w:rsidR="00EE4FC3">
        <w:t xml:space="preserve"> </w:t>
      </w:r>
      <w:r w:rsidRPr="00382917">
        <w:t>to</w:t>
      </w:r>
      <w:r w:rsidR="00EE4FC3">
        <w:t xml:space="preserve"> </w:t>
      </w:r>
      <w:r w:rsidRPr="00382917">
        <w:t>the</w:t>
      </w:r>
      <w:r w:rsidR="00EE4FC3">
        <w:t xml:space="preserve"> </w:t>
      </w:r>
      <w:r w:rsidRPr="00382917">
        <w:t>torture</w:t>
      </w:r>
      <w:r w:rsidR="00EE4FC3">
        <w:t xml:space="preserve"> </w:t>
      </w:r>
      <w:r w:rsidRPr="00382917">
        <w:t>of</w:t>
      </w:r>
      <w:r w:rsidR="00EE4FC3">
        <w:t xml:space="preserve"> </w:t>
      </w:r>
      <w:r w:rsidRPr="00382917">
        <w:t>Mullá</w:t>
      </w:r>
      <w:r w:rsidR="00EE4FC3">
        <w:t xml:space="preserve"> </w:t>
      </w:r>
      <w:r w:rsidRPr="00382917">
        <w:t>Ṣádiq</w:t>
      </w:r>
      <w:r w:rsidR="00EE4FC3">
        <w:t xml:space="preserve"> </w:t>
      </w:r>
      <w:r w:rsidRPr="00382917">
        <w:t>has</w:t>
      </w:r>
      <w:r w:rsidR="00EE4FC3">
        <w:t xml:space="preserve"> </w:t>
      </w:r>
      <w:r w:rsidRPr="00382917">
        <w:t>given</w:t>
      </w:r>
      <w:r w:rsidR="00EE4FC3">
        <w:t xml:space="preserve"> </w:t>
      </w:r>
      <w:r w:rsidRPr="00382917">
        <w:t>the</w:t>
      </w:r>
      <w:r w:rsidR="00EE4FC3">
        <w:t xml:space="preserve"> </w:t>
      </w:r>
      <w:r w:rsidRPr="00382917">
        <w:t>following</w:t>
      </w:r>
      <w:r w:rsidR="00EE4FC3">
        <w:t xml:space="preserve"> </w:t>
      </w:r>
      <w:r w:rsidRPr="00382917">
        <w:t>testimony:</w:t>
      </w:r>
    </w:p>
    <w:p w:rsidR="003B2D0A" w:rsidRPr="00382917" w:rsidRDefault="009C713D" w:rsidP="003B2D0A">
      <w:pPr>
        <w:pStyle w:val="Text"/>
      </w:pPr>
      <w:r w:rsidRPr="00382917">
        <w:t>“</w:t>
      </w:r>
      <w:r w:rsidR="003B2D0A" w:rsidRPr="00382917">
        <w:t>I</w:t>
      </w:r>
      <w:r w:rsidR="00EE4FC3">
        <w:t xml:space="preserve"> </w:t>
      </w:r>
      <w:r w:rsidR="003B2D0A" w:rsidRPr="00382917">
        <w:t>was</w:t>
      </w:r>
      <w:r w:rsidR="00EE4FC3">
        <w:t xml:space="preserve"> </w:t>
      </w:r>
      <w:r w:rsidR="003B2D0A" w:rsidRPr="00382917">
        <w:t>present</w:t>
      </w:r>
      <w:r w:rsidR="00EE4FC3">
        <w:t xml:space="preserve"> </w:t>
      </w:r>
      <w:r w:rsidR="003B2D0A" w:rsidRPr="00382917">
        <w:t>when</w:t>
      </w:r>
      <w:r w:rsidR="00EE4FC3">
        <w:t xml:space="preserve"> </w:t>
      </w:r>
      <w:r w:rsidR="003B2D0A" w:rsidRPr="00382917">
        <w:t>Mullá</w:t>
      </w:r>
      <w:r w:rsidR="00EE4FC3">
        <w:t xml:space="preserve"> </w:t>
      </w:r>
      <w:r w:rsidR="003B2D0A" w:rsidRPr="00382917">
        <w:t>Ṣádiq</w:t>
      </w:r>
      <w:r w:rsidR="00EE4FC3">
        <w:t xml:space="preserve"> </w:t>
      </w:r>
      <w:r w:rsidR="003B2D0A" w:rsidRPr="00382917">
        <w:t>was</w:t>
      </w:r>
      <w:r w:rsidR="00EE4FC3">
        <w:t xml:space="preserve"> </w:t>
      </w:r>
      <w:r w:rsidR="003B2D0A" w:rsidRPr="00382917">
        <w:t>being</w:t>
      </w:r>
      <w:r w:rsidR="00EE4FC3">
        <w:t xml:space="preserve"> </w:t>
      </w:r>
      <w:r w:rsidR="003B2D0A" w:rsidRPr="00382917">
        <w:t>scourged</w:t>
      </w:r>
      <w:r w:rsidR="00C03C91">
        <w:t>.</w:t>
      </w:r>
      <w:r w:rsidR="00EE4FC3">
        <w:t xml:space="preserve">  </w:t>
      </w:r>
      <w:r w:rsidR="003B2D0A" w:rsidRPr="00382917">
        <w:t>I</w:t>
      </w:r>
      <w:r w:rsidR="00EE4FC3">
        <w:t xml:space="preserve"> </w:t>
      </w:r>
      <w:r w:rsidR="003B2D0A" w:rsidRPr="00382917">
        <w:t>watched</w:t>
      </w:r>
      <w:r w:rsidR="00EE4FC3">
        <w:t xml:space="preserve"> </w:t>
      </w:r>
      <w:r w:rsidR="003B2D0A" w:rsidRPr="00382917">
        <w:t>them</w:t>
      </w:r>
      <w:r w:rsidR="00EE4FC3">
        <w:t xml:space="preserve"> </w:t>
      </w:r>
      <w:r w:rsidR="003B2D0A" w:rsidRPr="00382917">
        <w:t>stroke</w:t>
      </w:r>
      <w:r w:rsidR="00EE4FC3">
        <w:t xml:space="preserve"> </w:t>
      </w:r>
      <w:r w:rsidR="003B2D0A" w:rsidRPr="00382917">
        <w:t>the</w:t>
      </w:r>
      <w:r w:rsidR="00EE4FC3">
        <w:t xml:space="preserve"> </w:t>
      </w:r>
      <w:r w:rsidR="003B2D0A" w:rsidRPr="00382917">
        <w:t>lash</w:t>
      </w:r>
      <w:r w:rsidR="00EE4FC3">
        <w:t xml:space="preserve"> </w:t>
      </w:r>
      <w:r w:rsidR="003B2D0A" w:rsidRPr="00382917">
        <w:t>to</w:t>
      </w:r>
      <w:r w:rsidR="00EE4FC3">
        <w:t xml:space="preserve"> </w:t>
      </w:r>
      <w:r w:rsidR="003B2D0A" w:rsidRPr="00382917">
        <w:t>his</w:t>
      </w:r>
      <w:r w:rsidR="00EE4FC3">
        <w:t xml:space="preserve"> </w:t>
      </w:r>
      <w:r w:rsidR="003B2D0A" w:rsidRPr="00382917">
        <w:t>bleeding</w:t>
      </w:r>
      <w:r w:rsidR="00EE4FC3">
        <w:t xml:space="preserve"> </w:t>
      </w:r>
      <w:r w:rsidR="003B2D0A" w:rsidRPr="00382917">
        <w:t>shoulders</w:t>
      </w:r>
      <w:r w:rsidR="00EE4FC3">
        <w:t xml:space="preserve"> </w:t>
      </w:r>
      <w:r w:rsidR="003B2D0A" w:rsidRPr="00382917">
        <w:t>until</w:t>
      </w:r>
      <w:r w:rsidR="00EE4FC3">
        <w:t xml:space="preserve"> </w:t>
      </w:r>
      <w:r w:rsidR="003B2D0A" w:rsidRPr="00382917">
        <w:t>he</w:t>
      </w:r>
      <w:r w:rsidR="00EE4FC3">
        <w:t xml:space="preserve"> </w:t>
      </w:r>
      <w:r w:rsidR="003B2D0A" w:rsidRPr="00382917">
        <w:t>became</w:t>
      </w:r>
      <w:r w:rsidR="00EE4FC3">
        <w:t xml:space="preserve"> </w:t>
      </w:r>
      <w:r w:rsidR="003B2D0A" w:rsidRPr="00382917">
        <w:t>exhausted</w:t>
      </w:r>
      <w:r w:rsidR="00C03C91">
        <w:t>.</w:t>
      </w:r>
      <w:r w:rsidR="00EE4FC3">
        <w:t xml:space="preserve">  </w:t>
      </w:r>
      <w:r w:rsidR="003B2D0A" w:rsidRPr="00382917">
        <w:t>No</w:t>
      </w:r>
      <w:r w:rsidR="00EE4FC3">
        <w:t xml:space="preserve"> </w:t>
      </w:r>
      <w:r w:rsidR="003B2D0A" w:rsidRPr="00382917">
        <w:t>one</w:t>
      </w:r>
      <w:r w:rsidR="00EE4FC3">
        <w:t xml:space="preserve"> </w:t>
      </w:r>
      <w:r w:rsidR="003B2D0A" w:rsidRPr="00382917">
        <w:t>watching</w:t>
      </w:r>
      <w:r w:rsidR="00EE4FC3">
        <w:t xml:space="preserve"> </w:t>
      </w:r>
      <w:r w:rsidR="003B2D0A" w:rsidRPr="00382917">
        <w:t>believed</w:t>
      </w:r>
      <w:r w:rsidR="00EE4FC3">
        <w:t xml:space="preserve"> </w:t>
      </w:r>
      <w:r w:rsidR="003B2D0A" w:rsidRPr="00382917">
        <w:t>he</w:t>
      </w:r>
      <w:r w:rsidR="00EE4FC3">
        <w:t xml:space="preserve"> </w:t>
      </w:r>
      <w:r w:rsidR="003B2D0A" w:rsidRPr="00382917">
        <w:t>could</w:t>
      </w:r>
      <w:r w:rsidR="00EE4FC3">
        <w:t xml:space="preserve"> </w:t>
      </w:r>
      <w:r w:rsidR="003B2D0A" w:rsidRPr="00382917">
        <w:t>outlast</w:t>
      </w:r>
      <w:r w:rsidR="00EE4FC3">
        <w:t xml:space="preserve"> </w:t>
      </w:r>
      <w:r w:rsidR="003B2D0A" w:rsidRPr="00382917">
        <w:t>fifty</w:t>
      </w:r>
      <w:r w:rsidR="00EE4FC3">
        <w:t xml:space="preserve"> </w:t>
      </w:r>
      <w:r w:rsidR="003B2D0A" w:rsidRPr="00382917">
        <w:t>such</w:t>
      </w:r>
      <w:r w:rsidR="00EE4FC3">
        <w:t xml:space="preserve"> </w:t>
      </w:r>
      <w:r w:rsidR="003B2D0A" w:rsidRPr="00382917">
        <w:t>savage</w:t>
      </w:r>
      <w:r w:rsidR="00EE4FC3">
        <w:t xml:space="preserve"> </w:t>
      </w:r>
      <w:r w:rsidR="003B2D0A" w:rsidRPr="00382917">
        <w:t>strokes</w:t>
      </w:r>
      <w:r w:rsidR="00EE4FC3">
        <w:t xml:space="preserve"> </w:t>
      </w:r>
      <w:r w:rsidR="003B2D0A" w:rsidRPr="00382917">
        <w:t>without</w:t>
      </w:r>
      <w:r w:rsidR="00EE4FC3">
        <w:t xml:space="preserve"> </w:t>
      </w:r>
      <w:r w:rsidR="003B2D0A" w:rsidRPr="00382917">
        <w:t>dying</w:t>
      </w:r>
      <w:r w:rsidR="00C03C91">
        <w:t>.</w:t>
      </w:r>
      <w:r w:rsidR="00EE4FC3">
        <w:t xml:space="preserve">  </w:t>
      </w:r>
      <w:r w:rsidR="003B2D0A" w:rsidRPr="00382917">
        <w:t>He</w:t>
      </w:r>
      <w:r w:rsidR="00EE4FC3">
        <w:t xml:space="preserve"> </w:t>
      </w:r>
      <w:r w:rsidR="003B2D0A" w:rsidRPr="00382917">
        <w:t>was</w:t>
      </w:r>
      <w:r w:rsidR="00EE4FC3">
        <w:t xml:space="preserve"> </w:t>
      </w:r>
      <w:r w:rsidR="003B2D0A" w:rsidRPr="00382917">
        <w:t>a</w:t>
      </w:r>
      <w:r w:rsidR="00EE4FC3">
        <w:t xml:space="preserve"> </w:t>
      </w:r>
      <w:r w:rsidR="003B2D0A" w:rsidRPr="00382917">
        <w:t>very</w:t>
      </w:r>
      <w:r w:rsidR="00EE4FC3">
        <w:t xml:space="preserve"> </w:t>
      </w:r>
      <w:r w:rsidR="003B2D0A" w:rsidRPr="00382917">
        <w:t>old</w:t>
      </w:r>
      <w:r w:rsidR="00EE4FC3">
        <w:t xml:space="preserve"> </w:t>
      </w:r>
      <w:r w:rsidR="003B2D0A" w:rsidRPr="00382917">
        <w:t>man</w:t>
      </w:r>
      <w:r w:rsidR="00C03C91">
        <w:t>.</w:t>
      </w:r>
      <w:r w:rsidR="00EE4FC3">
        <w:t xml:space="preserve">  </w:t>
      </w:r>
      <w:r w:rsidR="003B2D0A" w:rsidRPr="00382917">
        <w:t>We</w:t>
      </w:r>
      <w:r w:rsidR="00EE4FC3">
        <w:t xml:space="preserve"> </w:t>
      </w:r>
      <w:proofErr w:type="spellStart"/>
      <w:r w:rsidR="003B2D0A" w:rsidRPr="00382917">
        <w:t>marveled</w:t>
      </w:r>
      <w:proofErr w:type="spellEnd"/>
      <w:r w:rsidR="00EE4FC3">
        <w:t xml:space="preserve"> </w:t>
      </w:r>
      <w:r w:rsidR="003B2D0A" w:rsidRPr="00382917">
        <w:t>at</w:t>
      </w:r>
      <w:r w:rsidR="00EE4FC3">
        <w:t xml:space="preserve"> </w:t>
      </w:r>
      <w:r w:rsidR="003B2D0A" w:rsidRPr="00382917">
        <w:t>his</w:t>
      </w:r>
      <w:r w:rsidR="00EE4FC3">
        <w:t xml:space="preserve"> </w:t>
      </w:r>
      <w:r w:rsidR="003B2D0A" w:rsidRPr="00382917">
        <w:t>courage.</w:t>
      </w:r>
    </w:p>
    <w:p w:rsidR="003B2D0A" w:rsidRPr="00382917" w:rsidRDefault="009C713D" w:rsidP="003B2D0A">
      <w:pPr>
        <w:pStyle w:val="Text"/>
      </w:pPr>
      <w:r w:rsidRPr="00382917">
        <w:t>“</w:t>
      </w:r>
      <w:r w:rsidR="003B2D0A" w:rsidRPr="00382917">
        <w:t>Yet</w:t>
      </w:r>
      <w:r w:rsidR="00EE4FC3">
        <w:t xml:space="preserve"> </w:t>
      </w:r>
      <w:r w:rsidR="003B2D0A" w:rsidRPr="00382917">
        <w:t>when</w:t>
      </w:r>
      <w:r w:rsidR="00EE4FC3">
        <w:t xml:space="preserve"> </w:t>
      </w:r>
      <w:r w:rsidR="003B2D0A" w:rsidRPr="00382917">
        <w:t>the</w:t>
      </w:r>
      <w:r w:rsidR="00EE4FC3">
        <w:t xml:space="preserve"> </w:t>
      </w:r>
      <w:r w:rsidR="003B2D0A" w:rsidRPr="00382917">
        <w:t>number</w:t>
      </w:r>
      <w:r w:rsidR="00EE4FC3">
        <w:t xml:space="preserve"> </w:t>
      </w:r>
      <w:r w:rsidR="003B2D0A" w:rsidRPr="00382917">
        <w:t>of</w:t>
      </w:r>
      <w:r w:rsidR="00EE4FC3">
        <w:t xml:space="preserve"> </w:t>
      </w:r>
      <w:r w:rsidR="003B2D0A" w:rsidRPr="00382917">
        <w:t>strokes</w:t>
      </w:r>
      <w:r w:rsidR="00EE4FC3">
        <w:t xml:space="preserve"> </w:t>
      </w:r>
      <w:r w:rsidR="003B2D0A" w:rsidRPr="00382917">
        <w:t>already</w:t>
      </w:r>
      <w:r w:rsidR="00EE4FC3">
        <w:t xml:space="preserve"> </w:t>
      </w:r>
      <w:r w:rsidR="003B2D0A" w:rsidRPr="00382917">
        <w:t>exceeded</w:t>
      </w:r>
      <w:r w:rsidR="00EE4FC3">
        <w:t xml:space="preserve"> </w:t>
      </w:r>
      <w:r w:rsidR="003B2D0A" w:rsidRPr="00382917">
        <w:t>nine</w:t>
      </w:r>
      <w:r w:rsidR="00EE4FC3">
        <w:t xml:space="preserve"> </w:t>
      </w:r>
      <w:r w:rsidR="003B2D0A" w:rsidRPr="00382917">
        <w:t>hundred,</w:t>
      </w:r>
      <w:r w:rsidR="00EE4FC3">
        <w:t xml:space="preserve"> </w:t>
      </w:r>
      <w:r w:rsidR="003B2D0A" w:rsidRPr="00382917">
        <w:t>his</w:t>
      </w:r>
      <w:r w:rsidR="00EE4FC3">
        <w:t xml:space="preserve"> </w:t>
      </w:r>
      <w:r w:rsidR="003B2D0A" w:rsidRPr="00382917">
        <w:t>face</w:t>
      </w:r>
      <w:r w:rsidR="00EE4FC3">
        <w:t xml:space="preserve"> </w:t>
      </w:r>
      <w:r w:rsidR="003B2D0A" w:rsidRPr="00382917">
        <w:t>still</w:t>
      </w:r>
      <w:r w:rsidR="00EE4FC3">
        <w:t xml:space="preserve"> </w:t>
      </w:r>
      <w:r w:rsidR="003B2D0A" w:rsidRPr="00382917">
        <w:t>retained</w:t>
      </w:r>
      <w:r w:rsidR="00EE4FC3">
        <w:t xml:space="preserve"> </w:t>
      </w:r>
      <w:r w:rsidR="003B2D0A" w:rsidRPr="00382917">
        <w:t>its</w:t>
      </w:r>
      <w:r w:rsidR="00EE4FC3">
        <w:t xml:space="preserve"> </w:t>
      </w:r>
      <w:r w:rsidR="003B2D0A" w:rsidRPr="00382917">
        <w:t>original</w:t>
      </w:r>
      <w:r w:rsidR="00EE4FC3">
        <w:t xml:space="preserve"> </w:t>
      </w:r>
      <w:r w:rsidR="003B2D0A" w:rsidRPr="00382917">
        <w:t>serenity</w:t>
      </w:r>
      <w:r w:rsidR="00EE4FC3">
        <w:t xml:space="preserve"> </w:t>
      </w:r>
      <w:r w:rsidR="003B2D0A" w:rsidRPr="00382917">
        <w:t>and</w:t>
      </w:r>
      <w:r w:rsidR="00EE4FC3">
        <w:t xml:space="preserve"> </w:t>
      </w:r>
      <w:r w:rsidR="003B2D0A" w:rsidRPr="00382917">
        <w:t>calm.</w:t>
      </w:r>
    </w:p>
    <w:p w:rsidR="003B2D0A" w:rsidRPr="00382917" w:rsidRDefault="009C713D" w:rsidP="003B2D0A">
      <w:pPr>
        <w:pStyle w:val="Text"/>
      </w:pPr>
      <w:r w:rsidRPr="00382917">
        <w:t>“</w:t>
      </w:r>
      <w:r w:rsidR="003B2D0A" w:rsidRPr="00382917">
        <w:t>When</w:t>
      </w:r>
      <w:r w:rsidR="00EE4FC3">
        <w:t xml:space="preserve"> </w:t>
      </w:r>
      <w:r w:rsidR="003B2D0A" w:rsidRPr="00382917">
        <w:t>he</w:t>
      </w:r>
      <w:r w:rsidR="00EE4FC3">
        <w:t xml:space="preserve"> </w:t>
      </w:r>
      <w:r w:rsidR="003B2D0A" w:rsidRPr="00382917">
        <w:t>was</w:t>
      </w:r>
      <w:r w:rsidR="00EE4FC3">
        <w:t xml:space="preserve"> </w:t>
      </w:r>
      <w:r w:rsidR="003B2D0A" w:rsidRPr="00382917">
        <w:t>later</w:t>
      </w:r>
      <w:r w:rsidR="00EE4FC3">
        <w:t xml:space="preserve"> </w:t>
      </w:r>
      <w:r w:rsidR="003B2D0A" w:rsidRPr="00382917">
        <w:t>being</w:t>
      </w:r>
      <w:r w:rsidR="00EE4FC3">
        <w:t xml:space="preserve"> </w:t>
      </w:r>
      <w:r w:rsidR="003B2D0A" w:rsidRPr="00382917">
        <w:t>expelled</w:t>
      </w:r>
      <w:r w:rsidR="00EE4FC3">
        <w:t xml:space="preserve"> </w:t>
      </w:r>
      <w:r w:rsidR="003B2D0A" w:rsidRPr="00382917">
        <w:t>from</w:t>
      </w:r>
      <w:r w:rsidR="00EE4FC3">
        <w:t xml:space="preserve"> </w:t>
      </w:r>
      <w:r w:rsidR="003B2D0A" w:rsidRPr="00382917">
        <w:t>the</w:t>
      </w:r>
      <w:r w:rsidR="00EE4FC3">
        <w:t xml:space="preserve"> </w:t>
      </w:r>
      <w:r w:rsidR="003B2D0A" w:rsidRPr="00382917">
        <w:t>city,</w:t>
      </w:r>
      <w:r w:rsidR="00EE4FC3">
        <w:t xml:space="preserve"> </w:t>
      </w:r>
      <w:r w:rsidR="003B2D0A" w:rsidRPr="00382917">
        <w:t>I</w:t>
      </w:r>
      <w:r w:rsidR="00EE4FC3">
        <w:t xml:space="preserve"> </w:t>
      </w:r>
      <w:r w:rsidR="003B2D0A" w:rsidRPr="00382917">
        <w:t>approached</w:t>
      </w:r>
      <w:r w:rsidR="00EE4FC3">
        <w:t xml:space="preserve"> </w:t>
      </w:r>
      <w:r w:rsidR="003B2D0A" w:rsidRPr="00382917">
        <w:t>him</w:t>
      </w:r>
      <w:r w:rsidR="00EE4FC3">
        <w:t xml:space="preserve"> </w:t>
      </w:r>
      <w:r w:rsidR="003B2D0A" w:rsidRPr="00382917">
        <w:t>with</w:t>
      </w:r>
      <w:r w:rsidR="00EE4FC3">
        <w:t xml:space="preserve"> </w:t>
      </w:r>
      <w:r w:rsidR="003B2D0A" w:rsidRPr="00382917">
        <w:t>great</w:t>
      </w:r>
      <w:r w:rsidR="00EE4FC3">
        <w:t xml:space="preserve"> </w:t>
      </w:r>
      <w:r w:rsidR="003B2D0A" w:rsidRPr="00382917">
        <w:t>admiration</w:t>
      </w:r>
      <w:r w:rsidR="00EE4FC3">
        <w:t xml:space="preserve"> </w:t>
      </w:r>
      <w:r w:rsidR="003B2D0A" w:rsidRPr="00382917">
        <w:t>and</w:t>
      </w:r>
      <w:r w:rsidR="00EE4FC3">
        <w:t xml:space="preserve"> </w:t>
      </w:r>
      <w:r w:rsidR="003B2D0A" w:rsidRPr="00382917">
        <w:t>asked</w:t>
      </w:r>
      <w:r w:rsidR="00EE4FC3">
        <w:t xml:space="preserve"> </w:t>
      </w:r>
      <w:r w:rsidR="003B2D0A" w:rsidRPr="00382917">
        <w:t>him</w:t>
      </w:r>
      <w:r w:rsidR="00EE4FC3">
        <w:t xml:space="preserve"> </w:t>
      </w:r>
      <w:r w:rsidR="003B2D0A" w:rsidRPr="00382917">
        <w:t>how</w:t>
      </w:r>
      <w:r w:rsidR="00EE4FC3">
        <w:t xml:space="preserve"> </w:t>
      </w:r>
      <w:r w:rsidR="003B2D0A" w:rsidRPr="00382917">
        <w:t>he</w:t>
      </w:r>
      <w:r w:rsidR="00EE4FC3">
        <w:t xml:space="preserve"> </w:t>
      </w:r>
      <w:r w:rsidR="003B2D0A" w:rsidRPr="00382917">
        <w:t>had</w:t>
      </w:r>
      <w:r w:rsidR="00EE4FC3">
        <w:t xml:space="preserve"> </w:t>
      </w:r>
      <w:r w:rsidR="003B2D0A" w:rsidRPr="00382917">
        <w:t>been</w:t>
      </w:r>
      <w:r w:rsidR="00EE4FC3">
        <w:t xml:space="preserve"> </w:t>
      </w:r>
      <w:r w:rsidR="003B2D0A" w:rsidRPr="00382917">
        <w:t>able</w:t>
      </w:r>
      <w:r w:rsidR="00EE4FC3">
        <w:t xml:space="preserve"> </w:t>
      </w:r>
      <w:r w:rsidR="003B2D0A" w:rsidRPr="00382917">
        <w:t>to</w:t>
      </w:r>
      <w:r w:rsidR="00EE4FC3">
        <w:t xml:space="preserve"> </w:t>
      </w:r>
      <w:r w:rsidR="003B2D0A" w:rsidRPr="00382917">
        <w:t>withstand</w:t>
      </w:r>
      <w:r w:rsidR="00EE4FC3">
        <w:t xml:space="preserve"> </w:t>
      </w:r>
      <w:r w:rsidR="003B2D0A" w:rsidRPr="00382917">
        <w:t>such</w:t>
      </w:r>
      <w:r w:rsidR="00EE4FC3">
        <w:t xml:space="preserve"> </w:t>
      </w:r>
      <w:r w:rsidR="003B2D0A" w:rsidRPr="00382917">
        <w:t>punishment.</w:t>
      </w:r>
    </w:p>
    <w:p w:rsidR="003B2D0A" w:rsidRPr="00382917" w:rsidRDefault="009C713D" w:rsidP="003B2D0A">
      <w:pPr>
        <w:pStyle w:val="Text"/>
      </w:pPr>
      <w:r w:rsidRPr="00382917">
        <w:t>“</w:t>
      </w:r>
      <w:r w:rsidR="003B2D0A" w:rsidRPr="00382917">
        <w:t>He</w:t>
      </w:r>
      <w:r w:rsidR="00EE4FC3">
        <w:t xml:space="preserve"> </w:t>
      </w:r>
      <w:r w:rsidR="003B2D0A" w:rsidRPr="00382917">
        <w:t>replied</w:t>
      </w:r>
      <w:r w:rsidR="00C03C91">
        <w:t>:</w:t>
      </w:r>
      <w:r w:rsidR="00EE4FC3">
        <w:t xml:space="preserve">  </w:t>
      </w:r>
      <w:r w:rsidRPr="00382917">
        <w:t>‘</w:t>
      </w:r>
      <w:r w:rsidR="003B2D0A" w:rsidRPr="00382917">
        <w:t>The</w:t>
      </w:r>
      <w:r w:rsidR="00EE4FC3">
        <w:t xml:space="preserve"> </w:t>
      </w:r>
      <w:r w:rsidR="003B2D0A" w:rsidRPr="00382917">
        <w:t>first</w:t>
      </w:r>
      <w:r w:rsidR="00EE4FC3">
        <w:t xml:space="preserve"> </w:t>
      </w:r>
      <w:r w:rsidR="003B2D0A" w:rsidRPr="00382917">
        <w:t>seven</w:t>
      </w:r>
      <w:r w:rsidR="00EE4FC3">
        <w:t xml:space="preserve"> </w:t>
      </w:r>
      <w:r w:rsidR="003B2D0A" w:rsidRPr="00382917">
        <w:t>strokes</w:t>
      </w:r>
      <w:r w:rsidR="00EE4FC3">
        <w:t xml:space="preserve"> </w:t>
      </w:r>
      <w:r w:rsidR="003B2D0A" w:rsidRPr="00382917">
        <w:t>were</w:t>
      </w:r>
      <w:r w:rsidR="00EE4FC3">
        <w:t xml:space="preserve"> </w:t>
      </w:r>
      <w:r w:rsidR="003B2D0A" w:rsidRPr="00382917">
        <w:t>severely</w:t>
      </w:r>
      <w:r w:rsidR="00EE4FC3">
        <w:t xml:space="preserve"> </w:t>
      </w:r>
      <w:r w:rsidR="003B2D0A" w:rsidRPr="00382917">
        <w:t>painful</w:t>
      </w:r>
      <w:r w:rsidR="00C03C91">
        <w:t>.</w:t>
      </w:r>
      <w:r w:rsidR="00EE4FC3">
        <w:t xml:space="preserve">  </w:t>
      </w:r>
      <w:r w:rsidR="003B2D0A" w:rsidRPr="00382917">
        <w:t>To</w:t>
      </w:r>
      <w:r w:rsidR="00EE4FC3">
        <w:t xml:space="preserve"> </w:t>
      </w:r>
      <w:r w:rsidR="003B2D0A" w:rsidRPr="00382917">
        <w:t>the</w:t>
      </w:r>
      <w:r w:rsidR="00EE4FC3">
        <w:t xml:space="preserve"> </w:t>
      </w:r>
      <w:r w:rsidR="003B2D0A" w:rsidRPr="00382917">
        <w:t>rest</w:t>
      </w:r>
      <w:r w:rsidR="00EE4FC3">
        <w:t xml:space="preserve"> </w:t>
      </w:r>
      <w:r w:rsidR="003B2D0A" w:rsidRPr="00382917">
        <w:t>I</w:t>
      </w:r>
      <w:r w:rsidR="00EE4FC3">
        <w:t xml:space="preserve"> </w:t>
      </w:r>
      <w:r w:rsidR="003B2D0A" w:rsidRPr="00382917">
        <w:t>seemed</w:t>
      </w:r>
      <w:r w:rsidR="00EE4FC3">
        <w:t xml:space="preserve"> </w:t>
      </w:r>
      <w:r w:rsidR="003B2D0A" w:rsidRPr="00382917">
        <w:t>to</w:t>
      </w:r>
      <w:r w:rsidR="00EE4FC3">
        <w:t xml:space="preserve"> </w:t>
      </w:r>
      <w:r w:rsidR="003B2D0A" w:rsidRPr="00382917">
        <w:t>have</w:t>
      </w:r>
      <w:r w:rsidR="00EE4FC3">
        <w:t xml:space="preserve"> </w:t>
      </w:r>
      <w:r w:rsidR="003B2D0A" w:rsidRPr="00382917">
        <w:t>grown</w:t>
      </w:r>
      <w:r w:rsidR="00EE4FC3">
        <w:t xml:space="preserve"> </w:t>
      </w:r>
      <w:r w:rsidR="003B2D0A" w:rsidRPr="00382917">
        <w:t>indifferent</w:t>
      </w:r>
      <w:r w:rsidR="00C03C91">
        <w:t>.</w:t>
      </w:r>
      <w:r w:rsidR="00EE4FC3">
        <w:t xml:space="preserve">  </w:t>
      </w:r>
      <w:r w:rsidR="003B2D0A" w:rsidRPr="00382917">
        <w:t>I</w:t>
      </w:r>
      <w:r w:rsidR="00EE4FC3">
        <w:t xml:space="preserve"> </w:t>
      </w:r>
      <w:r w:rsidR="003B2D0A" w:rsidRPr="00382917">
        <w:t>was</w:t>
      </w:r>
      <w:r w:rsidR="00EE4FC3">
        <w:t xml:space="preserve"> </w:t>
      </w:r>
      <w:r w:rsidR="003B2D0A" w:rsidRPr="00382917">
        <w:t>wondering</w:t>
      </w:r>
      <w:r w:rsidR="00EE4FC3">
        <w:t xml:space="preserve"> </w:t>
      </w:r>
      <w:r w:rsidR="003B2D0A" w:rsidRPr="00382917">
        <w:t>whether</w:t>
      </w:r>
      <w:r w:rsidR="00EE4FC3">
        <w:t xml:space="preserve"> </w:t>
      </w:r>
      <w:r w:rsidR="003B2D0A" w:rsidRPr="00382917">
        <w:t>the</w:t>
      </w:r>
      <w:r w:rsidR="00EE4FC3">
        <w:t xml:space="preserve"> </w:t>
      </w:r>
      <w:r w:rsidR="003B2D0A" w:rsidRPr="00382917">
        <w:t>strokes</w:t>
      </w:r>
      <w:r w:rsidR="00EE4FC3">
        <w:t xml:space="preserve"> </w:t>
      </w:r>
      <w:r w:rsidR="003B2D0A" w:rsidRPr="00382917">
        <w:t>that</w:t>
      </w:r>
      <w:r w:rsidR="00EE4FC3">
        <w:t xml:space="preserve"> </w:t>
      </w:r>
      <w:r w:rsidR="003B2D0A" w:rsidRPr="00382917">
        <w:t>followed</w:t>
      </w:r>
      <w:r w:rsidR="00EE4FC3">
        <w:t xml:space="preserve"> </w:t>
      </w:r>
      <w:r w:rsidR="003B2D0A" w:rsidRPr="00382917">
        <w:t>were</w:t>
      </w:r>
      <w:r w:rsidR="00EE4FC3">
        <w:t xml:space="preserve"> </w:t>
      </w:r>
      <w:r w:rsidR="003B2D0A" w:rsidRPr="00382917">
        <w:t>actually</w:t>
      </w:r>
      <w:r w:rsidR="00EE4FC3">
        <w:t xml:space="preserve"> </w:t>
      </w:r>
      <w:r w:rsidR="003B2D0A" w:rsidRPr="00382917">
        <w:t>being</w:t>
      </w:r>
      <w:r w:rsidR="00EE4FC3">
        <w:t xml:space="preserve"> </w:t>
      </w:r>
      <w:r w:rsidR="003B2D0A" w:rsidRPr="00382917">
        <w:t>applied</w:t>
      </w:r>
      <w:r w:rsidR="00EE4FC3">
        <w:t xml:space="preserve"> </w:t>
      </w:r>
      <w:r w:rsidR="003B2D0A" w:rsidRPr="00382917">
        <w:t>to</w:t>
      </w:r>
      <w:r w:rsidR="00EE4FC3">
        <w:t xml:space="preserve"> </w:t>
      </w:r>
      <w:r w:rsidR="003B2D0A" w:rsidRPr="00382917">
        <w:t>my</w:t>
      </w:r>
      <w:r w:rsidR="00EE4FC3">
        <w:t xml:space="preserve"> </w:t>
      </w:r>
      <w:r w:rsidR="003B2D0A" w:rsidRPr="00382917">
        <w:t>own</w:t>
      </w:r>
      <w:r w:rsidR="00EE4FC3">
        <w:t xml:space="preserve"> </w:t>
      </w:r>
      <w:r w:rsidR="003B2D0A" w:rsidRPr="00382917">
        <w:t>body</w:t>
      </w:r>
      <w:r w:rsidR="00C03C91">
        <w:t>.</w:t>
      </w:r>
      <w:r w:rsidR="00EE4FC3">
        <w:t xml:space="preserve">  </w:t>
      </w:r>
      <w:r w:rsidR="003B2D0A" w:rsidRPr="00382917">
        <w:t>A</w:t>
      </w:r>
      <w:r w:rsidR="00EE4FC3">
        <w:t xml:space="preserve"> </w:t>
      </w:r>
      <w:r w:rsidR="003B2D0A" w:rsidRPr="00382917">
        <w:t>feeling</w:t>
      </w:r>
      <w:r w:rsidR="00EE4FC3">
        <w:t xml:space="preserve"> </w:t>
      </w:r>
      <w:r w:rsidR="003B2D0A" w:rsidRPr="00382917">
        <w:t>of</w:t>
      </w:r>
      <w:r w:rsidR="00EE4FC3">
        <w:t xml:space="preserve"> </w:t>
      </w:r>
      <w:r w:rsidR="003B2D0A" w:rsidRPr="00382917">
        <w:t>joy</w:t>
      </w:r>
      <w:r w:rsidR="00EE4FC3">
        <w:t xml:space="preserve"> </w:t>
      </w:r>
      <w:r w:rsidR="003B2D0A" w:rsidRPr="00382917">
        <w:t>seized</w:t>
      </w:r>
      <w:r w:rsidR="00EE4FC3">
        <w:t xml:space="preserve"> </w:t>
      </w:r>
      <w:r w:rsidR="003B2D0A" w:rsidRPr="00382917">
        <w:t>me</w:t>
      </w:r>
      <w:r w:rsidR="00C03C91">
        <w:t>.</w:t>
      </w:r>
      <w:r w:rsidR="00EE4FC3">
        <w:t xml:space="preserve">  </w:t>
      </w:r>
      <w:r w:rsidR="003B2D0A" w:rsidRPr="00382917">
        <w:t>I</w:t>
      </w:r>
      <w:r w:rsidR="00EE4FC3">
        <w:t xml:space="preserve"> </w:t>
      </w:r>
      <w:r w:rsidR="003B2D0A" w:rsidRPr="00382917">
        <w:t>was</w:t>
      </w:r>
      <w:r w:rsidR="00EE4FC3">
        <w:t xml:space="preserve"> </w:t>
      </w:r>
      <w:r w:rsidR="003B2D0A" w:rsidRPr="00382917">
        <w:t>trying</w:t>
      </w:r>
      <w:r w:rsidR="00EE4FC3">
        <w:t xml:space="preserve"> </w:t>
      </w:r>
      <w:r w:rsidR="003B2D0A" w:rsidRPr="00382917">
        <w:t>to</w:t>
      </w:r>
      <w:r w:rsidR="00EE4FC3">
        <w:t xml:space="preserve"> </w:t>
      </w:r>
      <w:r w:rsidR="003B2D0A" w:rsidRPr="00382917">
        <w:t>repress</w:t>
      </w:r>
      <w:r w:rsidR="00EE4FC3">
        <w:t xml:space="preserve"> </w:t>
      </w:r>
      <w:r w:rsidR="003B2D0A" w:rsidRPr="00382917">
        <w:t>my</w:t>
      </w:r>
      <w:r w:rsidR="00EE4FC3">
        <w:t xml:space="preserve"> </w:t>
      </w:r>
      <w:r w:rsidR="003B2D0A" w:rsidRPr="00382917">
        <w:t>feelings</w:t>
      </w:r>
      <w:r w:rsidR="00EE4FC3">
        <w:t xml:space="preserve"> </w:t>
      </w:r>
      <w:r w:rsidR="003B2D0A" w:rsidRPr="00382917">
        <w:t>and</w:t>
      </w:r>
      <w:r w:rsidR="00EE4FC3">
        <w:t xml:space="preserve"> </w:t>
      </w:r>
      <w:r w:rsidR="003B2D0A" w:rsidRPr="00382917">
        <w:t>restrain</w:t>
      </w:r>
      <w:r w:rsidR="00EE4FC3">
        <w:t xml:space="preserve"> </w:t>
      </w:r>
      <w:r w:rsidR="003B2D0A" w:rsidRPr="00382917">
        <w:t>my</w:t>
      </w:r>
      <w:r w:rsidR="00EE4FC3">
        <w:t xml:space="preserve"> </w:t>
      </w:r>
      <w:r w:rsidR="003B2D0A" w:rsidRPr="00382917">
        <w:t>laughter.</w:t>
      </w:r>
      <w:r w:rsidRPr="00382917">
        <w:t>’”</w:t>
      </w:r>
    </w:p>
    <w:p w:rsidR="003B2D0A" w:rsidRPr="00382917" w:rsidRDefault="003B2D0A" w:rsidP="003B2D0A">
      <w:pPr>
        <w:pStyle w:val="Text"/>
      </w:pPr>
      <w:r w:rsidRPr="00382917">
        <w:t>Mullá</w:t>
      </w:r>
      <w:r w:rsidR="00EE4FC3">
        <w:t xml:space="preserve"> </w:t>
      </w:r>
      <w:r w:rsidRPr="00382917">
        <w:t>Ṣádiq</w:t>
      </w:r>
      <w:r w:rsidR="00EE4FC3">
        <w:t xml:space="preserve"> </w:t>
      </w:r>
      <w:r w:rsidRPr="00382917">
        <w:t>looked</w:t>
      </w:r>
      <w:r w:rsidR="00EE4FC3">
        <w:t xml:space="preserve"> </w:t>
      </w:r>
      <w:r w:rsidRPr="00382917">
        <w:t>at</w:t>
      </w:r>
      <w:r w:rsidR="00EE4FC3">
        <w:t xml:space="preserve"> </w:t>
      </w:r>
      <w:r w:rsidRPr="00382917">
        <w:t>this</w:t>
      </w:r>
      <w:r w:rsidR="00EE4FC3">
        <w:t xml:space="preserve"> </w:t>
      </w:r>
      <w:r w:rsidRPr="00382917">
        <w:t>eye-witness,</w:t>
      </w:r>
      <w:r w:rsidR="00EE4FC3">
        <w:t xml:space="preserve"> </w:t>
      </w:r>
      <w:r w:rsidRPr="00382917">
        <w:t>as</w:t>
      </w:r>
      <w:r w:rsidR="00EE4FC3">
        <w:t xml:space="preserve"> </w:t>
      </w:r>
      <w:r w:rsidRPr="00382917">
        <w:t>though</w:t>
      </w:r>
      <w:r w:rsidR="00EE4FC3">
        <w:t xml:space="preserve"> </w:t>
      </w:r>
      <w:r w:rsidRPr="00382917">
        <w:t>trying</w:t>
      </w:r>
      <w:r w:rsidR="00EE4FC3">
        <w:t xml:space="preserve"> </w:t>
      </w:r>
      <w:r w:rsidRPr="00382917">
        <w:t>to</w:t>
      </w:r>
      <w:r w:rsidR="00EE4FC3">
        <w:t xml:space="preserve"> </w:t>
      </w:r>
      <w:r w:rsidRPr="00382917">
        <w:t>convey</w:t>
      </w:r>
      <w:r w:rsidR="00EE4FC3">
        <w:t xml:space="preserve"> </w:t>
      </w:r>
      <w:r w:rsidRPr="00382917">
        <w:t>to</w:t>
      </w:r>
      <w:r w:rsidR="00EE4FC3">
        <w:t xml:space="preserve"> </w:t>
      </w:r>
      <w:r w:rsidRPr="00382917">
        <w:t>him</w:t>
      </w:r>
      <w:r w:rsidR="00EE4FC3">
        <w:t xml:space="preserve"> </w:t>
      </w:r>
      <w:r w:rsidRPr="00382917">
        <w:t>an</w:t>
      </w:r>
      <w:r w:rsidR="00EE4FC3">
        <w:t xml:space="preserve"> </w:t>
      </w:r>
      <w:r w:rsidRPr="00382917">
        <w:t>important</w:t>
      </w:r>
      <w:r w:rsidR="00EE4FC3">
        <w:t xml:space="preserve"> </w:t>
      </w:r>
      <w:r w:rsidRPr="00382917">
        <w:t>truth</w:t>
      </w:r>
      <w:r w:rsidR="00EE4FC3">
        <w:t xml:space="preserve"> </w:t>
      </w:r>
      <w:r w:rsidRPr="00382917">
        <w:t>which</w:t>
      </w:r>
      <w:r w:rsidR="00EE4FC3">
        <w:t xml:space="preserve"> </w:t>
      </w:r>
      <w:r w:rsidRPr="00382917">
        <w:t>he</w:t>
      </w:r>
      <w:r w:rsidR="00EE4FC3">
        <w:t xml:space="preserve"> </w:t>
      </w:r>
      <w:r w:rsidRPr="00382917">
        <w:t>felt</w:t>
      </w:r>
      <w:r w:rsidR="00EE4FC3">
        <w:t xml:space="preserve"> </w:t>
      </w:r>
      <w:r w:rsidRPr="00382917">
        <w:t>all</w:t>
      </w:r>
      <w:r w:rsidR="00EE4FC3">
        <w:t xml:space="preserve"> </w:t>
      </w:r>
      <w:r w:rsidRPr="00382917">
        <w:t>men</w:t>
      </w:r>
      <w:r w:rsidR="00EE4FC3">
        <w:t xml:space="preserve"> </w:t>
      </w:r>
      <w:r w:rsidRPr="00382917">
        <w:t>should</w:t>
      </w:r>
      <w:r w:rsidR="00EE4FC3">
        <w:t xml:space="preserve"> </w:t>
      </w:r>
      <w:r w:rsidRPr="00382917">
        <w:t>know</w:t>
      </w:r>
      <w:r w:rsidR="00C03C91">
        <w:t>:</w:t>
      </w:r>
      <w:r w:rsidR="00EE4FC3">
        <w:t xml:space="preserve">  </w:t>
      </w:r>
      <w:r w:rsidRPr="00382917">
        <w:t>that</w:t>
      </w:r>
      <w:r w:rsidR="00EE4FC3">
        <w:t xml:space="preserve"> </w:t>
      </w:r>
      <w:r w:rsidRPr="00382917">
        <w:t>suffering,</w:t>
      </w:r>
      <w:r w:rsidR="00EE4FC3">
        <w:t xml:space="preserve"> </w:t>
      </w:r>
      <w:r w:rsidRPr="00382917">
        <w:t>pain</w:t>
      </w:r>
      <w:r w:rsidR="00EE4FC3">
        <w:t xml:space="preserve"> </w:t>
      </w:r>
      <w:r w:rsidRPr="00382917">
        <w:t>and</w:t>
      </w:r>
      <w:r w:rsidR="00EE4FC3">
        <w:t xml:space="preserve"> </w:t>
      </w:r>
      <w:r w:rsidRPr="00382917">
        <w:t>persecution</w:t>
      </w:r>
      <w:r w:rsidR="00EE4FC3">
        <w:t xml:space="preserve"> </w:t>
      </w:r>
      <w:r w:rsidRPr="00382917">
        <w:t>are</w:t>
      </w:r>
      <w:r w:rsidR="00EE4FC3">
        <w:t xml:space="preserve"> </w:t>
      </w:r>
      <w:r w:rsidRPr="00382917">
        <w:t>only</w:t>
      </w:r>
      <w:r w:rsidR="00EE4FC3">
        <w:t xml:space="preserve"> </w:t>
      </w:r>
      <w:r w:rsidRPr="00382917">
        <w:t>unbearable</w:t>
      </w:r>
      <w:r w:rsidR="00EE4FC3">
        <w:t xml:space="preserve"> </w:t>
      </w:r>
      <w:r w:rsidRPr="00382917">
        <w:t>to</w:t>
      </w:r>
      <w:r w:rsidR="00EE4FC3">
        <w:t xml:space="preserve"> </w:t>
      </w:r>
      <w:r w:rsidRPr="00382917">
        <w:t>those</w:t>
      </w:r>
      <w:r w:rsidR="00EE4FC3">
        <w:t xml:space="preserve"> </w:t>
      </w:r>
      <w:r w:rsidRPr="00382917">
        <w:t>who</w:t>
      </w:r>
      <w:r w:rsidR="00EE4FC3">
        <w:t xml:space="preserve"> </w:t>
      </w:r>
      <w:r w:rsidRPr="00382917">
        <w:t>had</w:t>
      </w:r>
      <w:r w:rsidR="00EE4FC3">
        <w:t xml:space="preserve"> </w:t>
      </w:r>
      <w:r w:rsidRPr="00382917">
        <w:t>no</w:t>
      </w:r>
      <w:r w:rsidR="00EE4FC3">
        <w:t xml:space="preserve"> </w:t>
      </w:r>
      <w:r w:rsidRPr="00382917">
        <w:t>purpose</w:t>
      </w:r>
      <w:r w:rsidR="00EE4FC3">
        <w:t xml:space="preserve"> </w:t>
      </w:r>
      <w:r w:rsidRPr="00382917">
        <w:t>in</w:t>
      </w:r>
      <w:r w:rsidR="00EE4FC3">
        <w:t xml:space="preserve"> </w:t>
      </w:r>
      <w:r w:rsidRPr="00382917">
        <w:t>life,</w:t>
      </w:r>
      <w:r w:rsidR="00EE4FC3">
        <w:t xml:space="preserve"> </w:t>
      </w:r>
      <w:r w:rsidRPr="00382917">
        <w:t>no</w:t>
      </w:r>
      <w:r w:rsidR="00EE4FC3">
        <w:t xml:space="preserve"> </w:t>
      </w:r>
      <w:r w:rsidRPr="00382917">
        <w:t>hope</w:t>
      </w:r>
      <w:r w:rsidR="00EE4FC3">
        <w:t xml:space="preserve"> </w:t>
      </w:r>
      <w:r w:rsidRPr="00382917">
        <w:t>for</w:t>
      </w:r>
      <w:r w:rsidR="00EE4FC3">
        <w:t xml:space="preserve"> </w:t>
      </w:r>
      <w:r w:rsidRPr="00382917">
        <w:t>the</w:t>
      </w:r>
      <w:r w:rsidR="00EE4FC3">
        <w:t xml:space="preserve"> </w:t>
      </w:r>
      <w:r w:rsidRPr="00382917">
        <w:t>future;</w:t>
      </w:r>
      <w:r w:rsidR="00EE4FC3">
        <w:t xml:space="preserve"> </w:t>
      </w:r>
      <w:r w:rsidRPr="00382917">
        <w:t>if</w:t>
      </w:r>
      <w:r w:rsidR="00EE4FC3">
        <w:t xml:space="preserve"> </w:t>
      </w:r>
      <w:r w:rsidRPr="00382917">
        <w:t>they</w:t>
      </w:r>
      <w:r w:rsidR="00EE4FC3">
        <w:t xml:space="preserve"> </w:t>
      </w:r>
      <w:r w:rsidRPr="00382917">
        <w:t>were</w:t>
      </w:r>
      <w:r w:rsidR="00EE4FC3">
        <w:t xml:space="preserve"> </w:t>
      </w:r>
      <w:r w:rsidRPr="00382917">
        <w:t>withstood</w:t>
      </w:r>
      <w:r w:rsidR="00EE4FC3">
        <w:t xml:space="preserve"> </w:t>
      </w:r>
      <w:r w:rsidRPr="00382917">
        <w:t>for</w:t>
      </w:r>
      <w:r w:rsidR="00EE4FC3">
        <w:t xml:space="preserve"> </w:t>
      </w:r>
      <w:r w:rsidRPr="00382917">
        <w:t>the</w:t>
      </w:r>
      <w:r w:rsidR="00EE4FC3">
        <w:t xml:space="preserve"> </w:t>
      </w:r>
      <w:r w:rsidRPr="00382917">
        <w:t>love</w:t>
      </w:r>
      <w:r w:rsidR="00EE4FC3">
        <w:t xml:space="preserve"> </w:t>
      </w:r>
      <w:r w:rsidRPr="00382917">
        <w:t>of</w:t>
      </w:r>
      <w:r w:rsidR="00EE4FC3">
        <w:t xml:space="preserve"> </w:t>
      </w:r>
      <w:r w:rsidRPr="00382917">
        <w:t>God,</w:t>
      </w:r>
      <w:r w:rsidR="00EE4FC3">
        <w:t xml:space="preserve"> </w:t>
      </w:r>
      <w:r w:rsidRPr="00382917">
        <w:t>then</w:t>
      </w:r>
      <w:r w:rsidR="00EE4FC3">
        <w:t xml:space="preserve"> </w:t>
      </w:r>
      <w:r w:rsidRPr="00382917">
        <w:t>the</w:t>
      </w:r>
      <w:r w:rsidR="00EE4FC3">
        <w:t xml:space="preserve"> </w:t>
      </w:r>
      <w:r w:rsidRPr="00382917">
        <w:t>pain</w:t>
      </w:r>
      <w:r w:rsidR="00EE4FC3">
        <w:t xml:space="preserve"> </w:t>
      </w:r>
      <w:r w:rsidRPr="00382917">
        <w:t>became</w:t>
      </w:r>
      <w:r w:rsidR="00EE4FC3">
        <w:t xml:space="preserve"> </w:t>
      </w:r>
      <w:r w:rsidRPr="00382917">
        <w:t>pleasure</w:t>
      </w:r>
      <w:r w:rsidR="00EE4FC3">
        <w:t xml:space="preserve"> </w:t>
      </w:r>
      <w:r w:rsidRPr="00382917">
        <w:t>in</w:t>
      </w:r>
      <w:r w:rsidR="00EE4FC3">
        <w:t xml:space="preserve"> </w:t>
      </w:r>
      <w:r w:rsidRPr="00382917">
        <w:t>this</w:t>
      </w:r>
      <w:r w:rsidR="00EE4FC3">
        <w:t xml:space="preserve"> </w:t>
      </w:r>
      <w:r w:rsidRPr="00382917">
        <w:t>world,</w:t>
      </w:r>
      <w:r w:rsidR="00EE4FC3">
        <w:t xml:space="preserve"> </w:t>
      </w:r>
      <w:r w:rsidRPr="00382917">
        <w:t>and</w:t>
      </w:r>
      <w:r w:rsidR="00EE4FC3">
        <w:t xml:space="preserve"> </w:t>
      </w:r>
      <w:r w:rsidRPr="00382917">
        <w:t>the</w:t>
      </w:r>
      <w:r w:rsidR="00EE4FC3">
        <w:t xml:space="preserve"> </w:t>
      </w:r>
      <w:r w:rsidRPr="00382917">
        <w:t>sufferings</w:t>
      </w:r>
      <w:r w:rsidR="00EE4FC3">
        <w:t xml:space="preserve"> </w:t>
      </w:r>
      <w:r w:rsidRPr="00382917">
        <w:t>became</w:t>
      </w:r>
      <w:r w:rsidR="00EE4FC3">
        <w:t xml:space="preserve"> </w:t>
      </w:r>
      <w:r w:rsidRPr="00382917">
        <w:t>a</w:t>
      </w:r>
      <w:r w:rsidR="00EE4FC3">
        <w:t xml:space="preserve"> </w:t>
      </w:r>
      <w:r w:rsidRPr="00382917">
        <w:t>means</w:t>
      </w:r>
      <w:r w:rsidR="00EE4FC3">
        <w:t xml:space="preserve"> </w:t>
      </w:r>
      <w:r w:rsidRPr="00382917">
        <w:t>of</w:t>
      </w:r>
      <w:r w:rsidR="00EE4FC3">
        <w:t xml:space="preserve"> </w:t>
      </w:r>
      <w:r w:rsidRPr="00382917">
        <w:t>being</w:t>
      </w:r>
      <w:r w:rsidR="00EE4FC3">
        <w:t xml:space="preserve"> </w:t>
      </w:r>
      <w:r w:rsidRPr="00382917">
        <w:t>closer</w:t>
      </w:r>
      <w:r w:rsidR="00EE4FC3">
        <w:t xml:space="preserve"> </w:t>
      </w:r>
      <w:r w:rsidRPr="00382917">
        <w:t>to</w:t>
      </w:r>
      <w:r w:rsidR="00EE4FC3">
        <w:t xml:space="preserve"> </w:t>
      </w:r>
      <w:r w:rsidRPr="00382917">
        <w:t>God</w:t>
      </w:r>
      <w:r w:rsidR="00EE4FC3">
        <w:t xml:space="preserve"> </w:t>
      </w:r>
      <w:r w:rsidRPr="00382917">
        <w:t>in</w:t>
      </w:r>
      <w:r w:rsidR="00EE4FC3">
        <w:t xml:space="preserve"> </w:t>
      </w:r>
      <w:r w:rsidRPr="00382917">
        <w:t>the</w:t>
      </w:r>
      <w:r w:rsidR="00EE4FC3">
        <w:t xml:space="preserve"> </w:t>
      </w:r>
      <w:r w:rsidRPr="00382917">
        <w:t>next.</w:t>
      </w:r>
    </w:p>
    <w:p w:rsidR="003B2D0A" w:rsidRPr="00382917" w:rsidRDefault="009C713D" w:rsidP="003B2D0A">
      <w:pPr>
        <w:pStyle w:val="Text"/>
      </w:pPr>
      <w:r w:rsidRPr="00382917">
        <w:t>“</w:t>
      </w:r>
      <w:r w:rsidR="003B2D0A" w:rsidRPr="00382917">
        <w:t>I</w:t>
      </w:r>
      <w:r w:rsidR="00EE4FC3">
        <w:t xml:space="preserve"> </w:t>
      </w:r>
      <w:r w:rsidR="003B2D0A" w:rsidRPr="00382917">
        <w:t>can</w:t>
      </w:r>
      <w:r w:rsidR="00EE4FC3">
        <w:t xml:space="preserve"> </w:t>
      </w:r>
      <w:r w:rsidR="003B2D0A" w:rsidRPr="00382917">
        <w:t>now</w:t>
      </w:r>
      <w:r w:rsidR="00EE4FC3">
        <w:t xml:space="preserve"> </w:t>
      </w:r>
      <w:r w:rsidR="003B2D0A" w:rsidRPr="00382917">
        <w:t>realize,</w:t>
      </w:r>
      <w:r w:rsidRPr="00382917">
        <w:t>”</w:t>
      </w:r>
      <w:r w:rsidR="00EE4FC3">
        <w:t xml:space="preserve"> </w:t>
      </w:r>
      <w:r w:rsidR="003B2D0A" w:rsidRPr="00382917">
        <w:t>he</w:t>
      </w:r>
      <w:r w:rsidR="00EE4FC3">
        <w:t xml:space="preserve"> </w:t>
      </w:r>
      <w:r w:rsidR="003B2D0A" w:rsidRPr="00382917">
        <w:t>told</w:t>
      </w:r>
      <w:r w:rsidR="00EE4FC3">
        <w:t xml:space="preserve"> </w:t>
      </w:r>
      <w:r w:rsidR="003B2D0A" w:rsidRPr="00382917">
        <w:t>him,</w:t>
      </w:r>
      <w:r w:rsidR="00EE4FC3">
        <w:t xml:space="preserve"> </w:t>
      </w:r>
      <w:r w:rsidRPr="00382917">
        <w:t>“</w:t>
      </w:r>
      <w:r w:rsidR="003B2D0A" w:rsidRPr="00382917">
        <w:t>how</w:t>
      </w:r>
      <w:r w:rsidR="00EE4FC3">
        <w:t xml:space="preserve"> </w:t>
      </w:r>
      <w:r w:rsidR="003B2D0A" w:rsidRPr="00382917">
        <w:t>the</w:t>
      </w:r>
      <w:r w:rsidR="00EE4FC3">
        <w:t xml:space="preserve"> </w:t>
      </w:r>
      <w:r w:rsidR="003B2D0A" w:rsidRPr="00382917">
        <w:t>Almighty</w:t>
      </w:r>
      <w:r w:rsidR="00EE4FC3">
        <w:t xml:space="preserve"> </w:t>
      </w:r>
      <w:r w:rsidR="003B2D0A" w:rsidRPr="00382917">
        <w:t>is</w:t>
      </w:r>
      <w:r w:rsidR="00EE4FC3">
        <w:t xml:space="preserve"> </w:t>
      </w:r>
      <w:r w:rsidR="003B2D0A" w:rsidRPr="00382917">
        <w:t>able,</w:t>
      </w:r>
      <w:r w:rsidR="00EE4FC3">
        <w:t xml:space="preserve"> </w:t>
      </w:r>
      <w:r w:rsidR="003B2D0A" w:rsidRPr="00382917">
        <w:t>in</w:t>
      </w:r>
      <w:r w:rsidR="00EE4FC3">
        <w:t xml:space="preserve"> </w:t>
      </w:r>
      <w:r w:rsidR="003B2D0A" w:rsidRPr="00382917">
        <w:t>the</w:t>
      </w:r>
      <w:r w:rsidR="00EE4FC3">
        <w:t xml:space="preserve"> </w:t>
      </w:r>
      <w:r w:rsidR="003B2D0A" w:rsidRPr="00382917">
        <w:t>twinkling</w:t>
      </w:r>
      <w:r w:rsidR="00EE4FC3">
        <w:t xml:space="preserve"> </w:t>
      </w:r>
      <w:r w:rsidR="003B2D0A" w:rsidRPr="00382917">
        <w:t>of</w:t>
      </w:r>
      <w:r w:rsidR="00EE4FC3">
        <w:t xml:space="preserve"> </w:t>
      </w:r>
      <w:r w:rsidR="003B2D0A" w:rsidRPr="00382917">
        <w:t>an</w:t>
      </w:r>
      <w:r w:rsidR="00EE4FC3">
        <w:t xml:space="preserve"> </w:t>
      </w:r>
      <w:r w:rsidR="003B2D0A" w:rsidRPr="00382917">
        <w:t>eye,</w:t>
      </w:r>
      <w:r w:rsidR="00EE4FC3">
        <w:t xml:space="preserve"> </w:t>
      </w:r>
      <w:r w:rsidR="003B2D0A" w:rsidRPr="00382917">
        <w:t>to</w:t>
      </w:r>
      <w:r w:rsidR="00EE4FC3">
        <w:t xml:space="preserve"> </w:t>
      </w:r>
      <w:r w:rsidR="003B2D0A" w:rsidRPr="00382917">
        <w:t>turn</w:t>
      </w:r>
      <w:r w:rsidR="00EE4FC3">
        <w:t xml:space="preserve"> </w:t>
      </w:r>
      <w:r w:rsidR="003B2D0A" w:rsidRPr="00382917">
        <w:t>pain</w:t>
      </w:r>
      <w:r w:rsidR="00EE4FC3">
        <w:t xml:space="preserve"> </w:t>
      </w:r>
      <w:r w:rsidR="003B2D0A" w:rsidRPr="00382917">
        <w:t>into</w:t>
      </w:r>
      <w:r w:rsidR="00EE4FC3">
        <w:t xml:space="preserve"> </w:t>
      </w:r>
      <w:r w:rsidR="003B2D0A" w:rsidRPr="00382917">
        <w:t>ease</w:t>
      </w:r>
      <w:r w:rsidR="00EE4FC3">
        <w:t xml:space="preserve"> </w:t>
      </w:r>
      <w:r w:rsidR="003B2D0A" w:rsidRPr="00382917">
        <w:t>and</w:t>
      </w:r>
      <w:r w:rsidR="00EE4FC3">
        <w:t xml:space="preserve"> </w:t>
      </w:r>
      <w:r w:rsidR="003B2D0A" w:rsidRPr="00382917">
        <w:t>sorrow</w:t>
      </w:r>
      <w:r w:rsidR="00EE4FC3">
        <w:t xml:space="preserve"> </w:t>
      </w:r>
      <w:r w:rsidR="003B2D0A" w:rsidRPr="00382917">
        <w:t>into</w:t>
      </w:r>
      <w:r w:rsidR="00EE4FC3">
        <w:t xml:space="preserve"> </w:t>
      </w:r>
      <w:r w:rsidR="003B2D0A" w:rsidRPr="00382917">
        <w:t>gladness</w:t>
      </w:r>
      <w:r w:rsidR="00C03C91">
        <w:t>.</w:t>
      </w:r>
      <w:r w:rsidR="00EE4FC3">
        <w:t xml:space="preserve">  </w:t>
      </w:r>
      <w:r w:rsidR="003B2D0A" w:rsidRPr="00382917">
        <w:t>Immensely</w:t>
      </w:r>
      <w:r w:rsidR="00EE4FC3">
        <w:t xml:space="preserve"> </w:t>
      </w:r>
      <w:r w:rsidR="003B2D0A" w:rsidRPr="00382917">
        <w:t>exalted</w:t>
      </w:r>
      <w:r w:rsidR="00EE4FC3">
        <w:t xml:space="preserve"> </w:t>
      </w:r>
      <w:r w:rsidR="003B2D0A" w:rsidRPr="00382917">
        <w:t>is</w:t>
      </w:r>
      <w:r w:rsidR="00EE4FC3">
        <w:t xml:space="preserve"> </w:t>
      </w:r>
      <w:r w:rsidR="003B2D0A" w:rsidRPr="00382917">
        <w:t>His</w:t>
      </w:r>
      <w:r w:rsidR="00EE4FC3">
        <w:t xml:space="preserve"> </w:t>
      </w:r>
      <w:r w:rsidR="003B2D0A" w:rsidRPr="00382917">
        <w:t>power</w:t>
      </w:r>
      <w:r w:rsidR="00EE4FC3">
        <w:t xml:space="preserve"> </w:t>
      </w:r>
      <w:r w:rsidR="003B2D0A" w:rsidRPr="00382917">
        <w:t>above</w:t>
      </w:r>
      <w:r w:rsidR="00EE4FC3">
        <w:t xml:space="preserve"> </w:t>
      </w:r>
      <w:r w:rsidR="003B2D0A" w:rsidRPr="00382917">
        <w:t>the</w:t>
      </w:r>
      <w:r w:rsidR="00EE4FC3">
        <w:t xml:space="preserve"> </w:t>
      </w:r>
      <w:r w:rsidR="003B2D0A" w:rsidRPr="00382917">
        <w:t>weak</w:t>
      </w:r>
      <w:r w:rsidR="00EE4FC3">
        <w:t xml:space="preserve"> </w:t>
      </w:r>
      <w:r w:rsidR="003B2D0A" w:rsidRPr="00382917">
        <w:t>imagining</w:t>
      </w:r>
      <w:r w:rsidR="00EE4FC3">
        <w:t xml:space="preserve"> </w:t>
      </w:r>
      <w:r w:rsidR="003B2D0A" w:rsidRPr="00382917">
        <w:t>of</w:t>
      </w:r>
      <w:r w:rsidR="00EE4FC3">
        <w:t xml:space="preserve"> </w:t>
      </w:r>
      <w:r w:rsidR="003B2D0A" w:rsidRPr="00382917">
        <w:t>His</w:t>
      </w:r>
      <w:r w:rsidR="00EE4FC3">
        <w:t xml:space="preserve"> </w:t>
      </w:r>
      <w:r w:rsidR="003B2D0A" w:rsidRPr="00382917">
        <w:t>mortal</w:t>
      </w:r>
      <w:r w:rsidR="00EE4FC3">
        <w:t xml:space="preserve"> </w:t>
      </w:r>
      <w:r w:rsidR="003B2D0A" w:rsidRPr="00382917">
        <w:t>creatures.</w:t>
      </w:r>
      <w:r w:rsidRPr="00382917">
        <w:t>”</w:t>
      </w:r>
    </w:p>
    <w:p w:rsidR="003B2D0A" w:rsidRPr="00382917" w:rsidRDefault="003B2D0A">
      <w:pPr>
        <w:widowControl/>
        <w:kinsoku/>
        <w:overflowPunct/>
        <w:textAlignment w:val="auto"/>
      </w:pPr>
      <w:r w:rsidRPr="00382917">
        <w:br w:type="page"/>
      </w:r>
    </w:p>
    <w:p w:rsidR="003B2D0A" w:rsidRPr="00382917" w:rsidRDefault="003B2D0A" w:rsidP="003B2D0A">
      <w:pPr>
        <w:pStyle w:val="Text"/>
      </w:pPr>
      <w:r w:rsidRPr="00382917">
        <w:t>Both</w:t>
      </w:r>
      <w:r w:rsidR="00EE4FC3">
        <w:t xml:space="preserve"> </w:t>
      </w:r>
      <w:r w:rsidRPr="00382917">
        <w:t>Mullá</w:t>
      </w:r>
      <w:r w:rsidR="00EE4FC3">
        <w:t xml:space="preserve"> </w:t>
      </w:r>
      <w:r w:rsidRPr="00382917">
        <w:t>Ṣádiq</w:t>
      </w:r>
      <w:r w:rsidR="00EE4FC3">
        <w:t xml:space="preserve"> </w:t>
      </w:r>
      <w:r w:rsidRPr="00382917">
        <w:t>and</w:t>
      </w:r>
      <w:r w:rsidR="00EE4FC3">
        <w:t xml:space="preserve"> </w:t>
      </w:r>
      <w:r w:rsidRPr="00382917">
        <w:t>Quddús</w:t>
      </w:r>
      <w:r w:rsidR="00EE4FC3">
        <w:t xml:space="preserve"> </w:t>
      </w:r>
      <w:r w:rsidRPr="00382917">
        <w:t>withstood</w:t>
      </w:r>
      <w:r w:rsidR="00EE4FC3">
        <w:t xml:space="preserve"> </w:t>
      </w:r>
      <w:r w:rsidRPr="00382917">
        <w:t>their</w:t>
      </w:r>
      <w:r w:rsidR="00EE4FC3">
        <w:t xml:space="preserve"> </w:t>
      </w:r>
      <w:r w:rsidRPr="00382917">
        <w:t>torture</w:t>
      </w:r>
      <w:r w:rsidR="00EE4FC3">
        <w:t xml:space="preserve"> </w:t>
      </w:r>
      <w:r w:rsidRPr="00382917">
        <w:t>with</w:t>
      </w:r>
      <w:r w:rsidR="00EE4FC3">
        <w:t xml:space="preserve"> </w:t>
      </w:r>
      <w:r w:rsidRPr="00382917">
        <w:t>great</w:t>
      </w:r>
      <w:r w:rsidR="00EE4FC3">
        <w:t xml:space="preserve"> </w:t>
      </w:r>
      <w:r w:rsidRPr="00382917">
        <w:t>fortitude</w:t>
      </w:r>
      <w:r w:rsidR="00C03C91">
        <w:t>.</w:t>
      </w:r>
      <w:r w:rsidR="00EE4FC3">
        <w:t xml:space="preserve">  </w:t>
      </w:r>
      <w:r w:rsidRPr="00382917">
        <w:t>For</w:t>
      </w:r>
      <w:r w:rsidR="00EE4FC3">
        <w:t xml:space="preserve"> </w:t>
      </w:r>
      <w:r w:rsidRPr="00382917">
        <w:t>Quddús,</w:t>
      </w:r>
      <w:r w:rsidR="00EE4FC3">
        <w:t xml:space="preserve"> </w:t>
      </w:r>
      <w:r w:rsidRPr="00382917">
        <w:t>this</w:t>
      </w:r>
      <w:r w:rsidR="00EE4FC3">
        <w:t xml:space="preserve"> </w:t>
      </w:r>
      <w:r w:rsidRPr="00382917">
        <w:t>was</w:t>
      </w:r>
      <w:r w:rsidR="00EE4FC3">
        <w:t xml:space="preserve"> </w:t>
      </w:r>
      <w:r w:rsidRPr="00382917">
        <w:t>but</w:t>
      </w:r>
      <w:r w:rsidR="00EE4FC3">
        <w:t xml:space="preserve"> </w:t>
      </w:r>
      <w:r w:rsidRPr="00382917">
        <w:t>the</w:t>
      </w:r>
      <w:r w:rsidR="00EE4FC3">
        <w:t xml:space="preserve"> </w:t>
      </w:r>
      <w:r w:rsidRPr="00382917">
        <w:t>beginning</w:t>
      </w:r>
      <w:r w:rsidR="00EE4FC3">
        <w:t xml:space="preserve"> </w:t>
      </w:r>
      <w:r w:rsidRPr="00382917">
        <w:t>of</w:t>
      </w:r>
      <w:r w:rsidR="00EE4FC3">
        <w:t xml:space="preserve"> </w:t>
      </w:r>
      <w:r w:rsidRPr="00382917">
        <w:t>greater</w:t>
      </w:r>
      <w:r w:rsidR="00EE4FC3">
        <w:t xml:space="preserve"> </w:t>
      </w:r>
      <w:r w:rsidRPr="00382917">
        <w:t>suffering</w:t>
      </w:r>
      <w:r w:rsidR="00EE4FC3">
        <w:t xml:space="preserve"> </w:t>
      </w:r>
      <w:r w:rsidRPr="00382917">
        <w:t>to</w:t>
      </w:r>
      <w:r w:rsidR="00EE4FC3">
        <w:t xml:space="preserve"> </w:t>
      </w:r>
      <w:r w:rsidRPr="00382917">
        <w:t>come</w:t>
      </w:r>
      <w:r w:rsidR="00C03C91">
        <w:t>.</w:t>
      </w:r>
      <w:r w:rsidR="00EE4FC3">
        <w:t xml:space="preserve">  </w:t>
      </w:r>
      <w:r w:rsidRPr="00382917">
        <w:t>Exhausted</w:t>
      </w:r>
      <w:r w:rsidR="00EE4FC3">
        <w:t xml:space="preserve"> </w:t>
      </w:r>
      <w:r w:rsidRPr="00382917">
        <w:t>and</w:t>
      </w:r>
      <w:r w:rsidR="00EE4FC3">
        <w:t xml:space="preserve"> </w:t>
      </w:r>
      <w:r w:rsidRPr="00382917">
        <w:t>bleeding,</w:t>
      </w:r>
      <w:r w:rsidR="00EE4FC3">
        <w:t xml:space="preserve"> </w:t>
      </w:r>
      <w:r w:rsidRPr="00382917">
        <w:t>they</w:t>
      </w:r>
      <w:r w:rsidR="00EE4FC3">
        <w:t xml:space="preserve"> </w:t>
      </w:r>
      <w:r w:rsidRPr="00382917">
        <w:t>were</w:t>
      </w:r>
      <w:r w:rsidR="00EE4FC3">
        <w:t xml:space="preserve"> </w:t>
      </w:r>
      <w:r w:rsidRPr="00382917">
        <w:t>driven</w:t>
      </w:r>
      <w:r w:rsidR="00EE4FC3">
        <w:t xml:space="preserve"> </w:t>
      </w:r>
      <w:r w:rsidRPr="00382917">
        <w:t>out</w:t>
      </w:r>
      <w:r w:rsidR="00EE4FC3">
        <w:t xml:space="preserve"> </w:t>
      </w:r>
      <w:r w:rsidRPr="00382917">
        <w:t>of</w:t>
      </w:r>
      <w:r w:rsidR="00EE4FC3">
        <w:t xml:space="preserve"> </w:t>
      </w:r>
      <w:r w:rsidR="008A073E" w:rsidRPr="00382917">
        <w:rPr>
          <w:u w:val="single"/>
        </w:rPr>
        <w:t>Sh</w:t>
      </w:r>
      <w:r w:rsidR="008A073E" w:rsidRPr="00382917">
        <w:t>íráz</w:t>
      </w:r>
      <w:r w:rsidR="00C03C91">
        <w:t>.</w:t>
      </w:r>
      <w:r w:rsidR="00EE4FC3">
        <w:t xml:space="preserve">  </w:t>
      </w:r>
      <w:r w:rsidRPr="00382917">
        <w:t>They</w:t>
      </w:r>
      <w:r w:rsidR="00EE4FC3">
        <w:t xml:space="preserve"> </w:t>
      </w:r>
      <w:r w:rsidRPr="00382917">
        <w:t>were</w:t>
      </w:r>
      <w:r w:rsidR="00EE4FC3">
        <w:t xml:space="preserve"> </w:t>
      </w:r>
      <w:r w:rsidRPr="00382917">
        <w:t>warned</w:t>
      </w:r>
      <w:r w:rsidR="00EE4FC3">
        <w:t xml:space="preserve"> </w:t>
      </w:r>
      <w:r w:rsidRPr="00382917">
        <w:t>at</w:t>
      </w:r>
      <w:r w:rsidR="00EE4FC3">
        <w:t xml:space="preserve"> </w:t>
      </w:r>
      <w:r w:rsidRPr="00382917">
        <w:t>the</w:t>
      </w:r>
      <w:r w:rsidR="00EE4FC3">
        <w:t xml:space="preserve"> </w:t>
      </w:r>
      <w:r w:rsidRPr="00382917">
        <w:t>city</w:t>
      </w:r>
      <w:r w:rsidR="00EE4FC3">
        <w:t xml:space="preserve"> </w:t>
      </w:r>
      <w:r w:rsidRPr="00382917">
        <w:t>gates</w:t>
      </w:r>
      <w:r w:rsidR="00EE4FC3">
        <w:t xml:space="preserve"> </w:t>
      </w:r>
      <w:r w:rsidRPr="00382917">
        <w:t>that</w:t>
      </w:r>
      <w:r w:rsidR="00EE4FC3">
        <w:t xml:space="preserve"> </w:t>
      </w:r>
      <w:r w:rsidRPr="00382917">
        <w:t>if</w:t>
      </w:r>
      <w:r w:rsidR="00EE4FC3">
        <w:t xml:space="preserve"> </w:t>
      </w:r>
      <w:r w:rsidRPr="00382917">
        <w:t>they</w:t>
      </w:r>
      <w:r w:rsidR="00EE4FC3">
        <w:t xml:space="preserve"> </w:t>
      </w:r>
      <w:r w:rsidRPr="00382917">
        <w:t>ever</w:t>
      </w:r>
      <w:r w:rsidR="00EE4FC3">
        <w:t xml:space="preserve"> </w:t>
      </w:r>
      <w:r w:rsidRPr="00382917">
        <w:t>returned,</w:t>
      </w:r>
      <w:r w:rsidR="00EE4FC3">
        <w:t xml:space="preserve"> </w:t>
      </w:r>
      <w:r w:rsidRPr="00382917">
        <w:t>they</w:t>
      </w:r>
      <w:r w:rsidR="00EE4FC3">
        <w:t xml:space="preserve"> </w:t>
      </w:r>
      <w:r w:rsidRPr="00382917">
        <w:t>would</w:t>
      </w:r>
      <w:r w:rsidR="00EE4FC3">
        <w:t xml:space="preserve"> </w:t>
      </w:r>
      <w:r w:rsidRPr="00382917">
        <w:t>both</w:t>
      </w:r>
      <w:r w:rsidR="00EE4FC3">
        <w:t xml:space="preserve"> </w:t>
      </w:r>
      <w:r w:rsidRPr="00382917">
        <w:t>be</w:t>
      </w:r>
      <w:r w:rsidR="00EE4FC3">
        <w:t xml:space="preserve"> </w:t>
      </w:r>
      <w:r w:rsidRPr="00382917">
        <w:t>crucified.</w:t>
      </w:r>
    </w:p>
    <w:p w:rsidR="003B2D0A" w:rsidRPr="00382917" w:rsidRDefault="003B2D0A" w:rsidP="004F6339">
      <w:pPr>
        <w:pStyle w:val="Text"/>
      </w:pPr>
      <w:r w:rsidRPr="00382917">
        <w:t>Mullá</w:t>
      </w:r>
      <w:r w:rsidR="00EE4FC3">
        <w:t xml:space="preserve"> </w:t>
      </w:r>
      <w:proofErr w:type="spellStart"/>
      <w:r w:rsidRPr="00382917">
        <w:t>Sádiq</w:t>
      </w:r>
      <w:proofErr w:type="spellEnd"/>
      <w:r w:rsidR="00EE4FC3">
        <w:t xml:space="preserve"> </w:t>
      </w:r>
      <w:r w:rsidRPr="00382917">
        <w:t>and</w:t>
      </w:r>
      <w:r w:rsidR="00EE4FC3">
        <w:t xml:space="preserve"> </w:t>
      </w:r>
      <w:r w:rsidRPr="00382917">
        <w:t>Quddús</w:t>
      </w:r>
      <w:r w:rsidR="00EE4FC3">
        <w:t xml:space="preserve"> </w:t>
      </w:r>
      <w:r w:rsidRPr="00382917">
        <w:t>were</w:t>
      </w:r>
      <w:r w:rsidR="00EE4FC3">
        <w:t xml:space="preserve"> </w:t>
      </w:r>
      <w:r w:rsidRPr="00382917">
        <w:t>among</w:t>
      </w:r>
      <w:r w:rsidR="00EE4FC3">
        <w:t xml:space="preserve"> </w:t>
      </w:r>
      <w:r w:rsidRPr="00382917">
        <w:t>the</w:t>
      </w:r>
      <w:r w:rsidR="00EE4FC3">
        <w:t xml:space="preserve"> </w:t>
      </w:r>
      <w:r w:rsidRPr="00382917">
        <w:t>first</w:t>
      </w:r>
      <w:r w:rsidR="00EE4FC3">
        <w:t xml:space="preserve"> </w:t>
      </w:r>
      <w:r w:rsidRPr="00382917">
        <w:t>followers</w:t>
      </w:r>
      <w:r w:rsidR="00EE4FC3">
        <w:t xml:space="preserve"> </w:t>
      </w:r>
      <w:r w:rsidRPr="00382917">
        <w:t>of</w:t>
      </w:r>
      <w:r w:rsidR="00EE4FC3">
        <w:t xml:space="preserve"> </w:t>
      </w:r>
      <w:r w:rsidRPr="00382917">
        <w:t>the</w:t>
      </w:r>
      <w:r w:rsidR="00EE4FC3">
        <w:t xml:space="preserve"> </w:t>
      </w:r>
      <w:r w:rsidRPr="00382917">
        <w:t>Báb</w:t>
      </w:r>
      <w:r w:rsidR="00EE4FC3">
        <w:t xml:space="preserve"> </w:t>
      </w:r>
      <w:r w:rsidRPr="00382917">
        <w:t>to</w:t>
      </w:r>
      <w:r w:rsidR="00EE4FC3">
        <w:t xml:space="preserve"> </w:t>
      </w:r>
      <w:r w:rsidRPr="00382917">
        <w:t>suffer</w:t>
      </w:r>
      <w:r w:rsidR="00EE4FC3">
        <w:t xml:space="preserve"> </w:t>
      </w:r>
      <w:r w:rsidRPr="00382917">
        <w:t>persecution</w:t>
      </w:r>
      <w:r w:rsidR="00EE4FC3">
        <w:t xml:space="preserve"> </w:t>
      </w:r>
      <w:r w:rsidRPr="00382917">
        <w:t>on</w:t>
      </w:r>
      <w:r w:rsidR="00EE4FC3">
        <w:t xml:space="preserve"> </w:t>
      </w:r>
      <w:r w:rsidRPr="00382917">
        <w:t>Persian</w:t>
      </w:r>
      <w:r w:rsidR="00EE4FC3">
        <w:t xml:space="preserve"> </w:t>
      </w:r>
      <w:r w:rsidRPr="00382917">
        <w:t>soil.</w:t>
      </w:r>
      <w:r w:rsidR="004F6339">
        <w:rPr>
          <w:rStyle w:val="FootnoteReference"/>
        </w:rPr>
        <w:footnoteReference w:id="30"/>
      </w:r>
    </w:p>
    <w:p w:rsidR="003B2D0A" w:rsidRPr="00382917" w:rsidRDefault="003B2D0A" w:rsidP="003B2D0A"/>
    <w:p w:rsidR="003B2D0A" w:rsidRPr="00382917" w:rsidRDefault="003B2D0A" w:rsidP="003B2D0A">
      <w:pPr>
        <w:sectPr w:rsidR="003B2D0A" w:rsidRPr="00382917" w:rsidSect="009073C7">
          <w:footnotePr>
            <w:numRestart w:val="eachPage"/>
          </w:footnotePr>
          <w:type w:val="evenPage"/>
          <w:pgSz w:w="8618" w:h="12984" w:code="188"/>
          <w:pgMar w:top="720" w:right="720" w:bottom="720" w:left="720" w:header="720" w:footer="567" w:gutter="357"/>
          <w:cols w:space="708"/>
          <w:noEndnote/>
          <w:titlePg/>
          <w:docGrid w:linePitch="272"/>
        </w:sectPr>
      </w:pPr>
    </w:p>
    <w:p w:rsidR="003B2D0A" w:rsidRPr="00382917" w:rsidRDefault="00417538" w:rsidP="00417538">
      <w:r w:rsidRPr="00382917">
        <w:rPr>
          <w:sz w:val="12"/>
          <w:szCs w:val="12"/>
        </w:rPr>
        <w:fldChar w:fldCharType="begin"/>
      </w:r>
      <w:r w:rsidR="00EE4FC3">
        <w:rPr>
          <w:sz w:val="12"/>
          <w:szCs w:val="12"/>
        </w:rPr>
        <w:instrText xml:space="preserve"> </w:instrText>
      </w:r>
      <w:proofErr w:type="gramStart"/>
      <w:r w:rsidRPr="00382917">
        <w:rPr>
          <w:sz w:val="12"/>
          <w:szCs w:val="12"/>
        </w:rPr>
        <w:instrText>TC</w:instrText>
      </w:r>
      <w:r w:rsidR="00EE4FC3">
        <w:rPr>
          <w:sz w:val="12"/>
          <w:szCs w:val="12"/>
        </w:rPr>
        <w:instrText xml:space="preserve">  </w:instrText>
      </w:r>
      <w:r w:rsidRPr="00382917">
        <w:rPr>
          <w:sz w:val="12"/>
          <w:szCs w:val="12"/>
        </w:rPr>
        <w:instrText>“</w:instrText>
      </w:r>
      <w:bookmarkStart w:id="8" w:name="_Toc206658604"/>
      <w:proofErr w:type="gramEnd"/>
      <w:r>
        <w:rPr>
          <w:sz w:val="12"/>
          <w:szCs w:val="12"/>
        </w:rPr>
        <w:tab/>
        <w:instrText>6.</w:instrText>
      </w:r>
      <w:r>
        <w:rPr>
          <w:sz w:val="12"/>
          <w:szCs w:val="12"/>
        </w:rPr>
        <w:tab/>
      </w:r>
      <w:r w:rsidRPr="00417538">
        <w:rPr>
          <w:sz w:val="12"/>
          <w:szCs w:val="12"/>
        </w:rPr>
        <w:instrText>The</w:instrText>
      </w:r>
      <w:r w:rsidR="00EE4FC3">
        <w:rPr>
          <w:sz w:val="12"/>
          <w:szCs w:val="12"/>
        </w:rPr>
        <w:instrText xml:space="preserve"> </w:instrText>
      </w:r>
      <w:r w:rsidRPr="00417538">
        <w:rPr>
          <w:sz w:val="12"/>
          <w:szCs w:val="12"/>
        </w:rPr>
        <w:instrText>gentle</w:instrText>
      </w:r>
      <w:r w:rsidR="00EE4FC3">
        <w:rPr>
          <w:sz w:val="12"/>
          <w:szCs w:val="12"/>
        </w:rPr>
        <w:instrText xml:space="preserve"> </w:instrText>
      </w:r>
      <w:r w:rsidRPr="00417538">
        <w:rPr>
          <w:sz w:val="12"/>
          <w:szCs w:val="12"/>
        </w:rPr>
        <w:instrText>arrest</w:instrText>
      </w:r>
      <w:proofErr w:type="gramStart"/>
      <w:r w:rsidRPr="00382917">
        <w:rPr>
          <w:color w:val="FFFFFF" w:themeColor="background1"/>
          <w:sz w:val="12"/>
          <w:szCs w:val="12"/>
        </w:rPr>
        <w:instrText>..</w:instrText>
      </w:r>
      <w:proofErr w:type="gramEnd"/>
      <w:r w:rsidRPr="00382917">
        <w:rPr>
          <w:sz w:val="12"/>
          <w:szCs w:val="12"/>
        </w:rPr>
        <w:tab/>
      </w:r>
      <w:r w:rsidRPr="00382917">
        <w:rPr>
          <w:color w:val="FFFFFF" w:themeColor="background1"/>
          <w:sz w:val="12"/>
          <w:szCs w:val="12"/>
        </w:rPr>
        <w:instrText>.</w:instrText>
      </w:r>
      <w:bookmarkEnd w:id="8"/>
      <w:proofErr w:type="gramStart"/>
      <w:r w:rsidRPr="00382917">
        <w:rPr>
          <w:sz w:val="12"/>
          <w:szCs w:val="12"/>
        </w:rPr>
        <w:instrText>”</w:instrText>
      </w:r>
      <w:r w:rsidR="00EE4FC3">
        <w:rPr>
          <w:sz w:val="12"/>
          <w:szCs w:val="12"/>
        </w:rPr>
        <w:instrText xml:space="preserve"> </w:instrText>
      </w:r>
      <w:proofErr w:type="gramEnd"/>
      <w:r w:rsidRPr="00382917">
        <w:rPr>
          <w:sz w:val="12"/>
          <w:szCs w:val="12"/>
        </w:rPr>
        <w:instrText>\l</w:instrText>
      </w:r>
      <w:r w:rsidR="00EE4FC3">
        <w:rPr>
          <w:sz w:val="12"/>
          <w:szCs w:val="12"/>
        </w:rPr>
        <w:instrText xml:space="preserve"> </w:instrText>
      </w:r>
      <w:r w:rsidRPr="00382917">
        <w:rPr>
          <w:sz w:val="12"/>
          <w:szCs w:val="12"/>
        </w:rPr>
        <w:instrText>1</w:instrText>
      </w:r>
      <w:r w:rsidR="00EE4FC3">
        <w:rPr>
          <w:sz w:val="12"/>
          <w:szCs w:val="12"/>
        </w:rPr>
        <w:instrText xml:space="preserve"> </w:instrText>
      </w:r>
      <w:r w:rsidRPr="00382917">
        <w:rPr>
          <w:sz w:val="12"/>
          <w:szCs w:val="12"/>
        </w:rPr>
        <w:fldChar w:fldCharType="end"/>
      </w:r>
    </w:p>
    <w:p w:rsidR="003B2D0A" w:rsidRPr="00382917" w:rsidRDefault="003B2D0A" w:rsidP="003B2D0A"/>
    <w:p w:rsidR="003B2D0A" w:rsidRPr="00382917" w:rsidRDefault="003B2D0A" w:rsidP="00417538">
      <w:pPr>
        <w:pStyle w:val="Myheadc"/>
      </w:pPr>
      <w:r w:rsidRPr="00382917">
        <w:t>6</w:t>
      </w:r>
      <w:r w:rsidR="00417538">
        <w:br/>
      </w:r>
      <w:r w:rsidRPr="00382917">
        <w:rPr>
          <w:noProof/>
          <w:lang w:val="en-AU" w:eastAsia="en-AU"/>
          <w14:numForm w14:val="default"/>
          <w14:numSpacing w14:val="default"/>
        </w:rPr>
        <w:drawing>
          <wp:inline distT="0" distB="0" distL="0" distR="0" wp14:anchorId="65D12F31" wp14:editId="250C65C3">
            <wp:extent cx="396000" cy="392400"/>
            <wp:effectExtent l="0" t="0" r="4445" b="825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p.emf"/>
                    <pic:cNvPicPr/>
                  </pic:nvPicPr>
                  <pic:blipFill>
                    <a:blip r:embed="rId17">
                      <a:extLst>
                        <a:ext uri="{28A0092B-C50C-407E-A947-70E740481C1C}">
                          <a14:useLocalDpi xmlns:a14="http://schemas.microsoft.com/office/drawing/2010/main" val="0"/>
                        </a:ext>
                      </a:extLst>
                    </a:blip>
                    <a:stretch>
                      <a:fillRect/>
                    </a:stretch>
                  </pic:blipFill>
                  <pic:spPr>
                    <a:xfrm>
                      <a:off x="0" y="0"/>
                      <a:ext cx="396000" cy="392400"/>
                    </a:xfrm>
                    <a:prstGeom prst="rect">
                      <a:avLst/>
                    </a:prstGeom>
                  </pic:spPr>
                </pic:pic>
              </a:graphicData>
            </a:graphic>
          </wp:inline>
        </w:drawing>
      </w:r>
      <w:r w:rsidR="00417538">
        <w:br/>
      </w:r>
      <w:r w:rsidRPr="00382917">
        <w:t>The</w:t>
      </w:r>
      <w:r w:rsidR="00EE4FC3">
        <w:t xml:space="preserve"> </w:t>
      </w:r>
      <w:r w:rsidRPr="00382917">
        <w:t>gentle</w:t>
      </w:r>
      <w:r w:rsidR="00EE4FC3">
        <w:t xml:space="preserve"> </w:t>
      </w:r>
      <w:r w:rsidRPr="00382917">
        <w:t>arrest</w:t>
      </w:r>
    </w:p>
    <w:p w:rsidR="003B2D0A" w:rsidRPr="00382917" w:rsidRDefault="00964C11" w:rsidP="003B2D0A">
      <w:pPr>
        <w:pStyle w:val="Text"/>
      </w:pPr>
      <w:r w:rsidRPr="00382917">
        <w:t>Ḥusayn</w:t>
      </w:r>
      <w:r w:rsidR="00EE4FC3">
        <w:t xml:space="preserve"> </w:t>
      </w:r>
      <w:proofErr w:type="spellStart"/>
      <w:r w:rsidR="0040329F" w:rsidRPr="0040329F">
        <w:rPr>
          <w:u w:val="single"/>
        </w:rPr>
        <w:t>Kh</w:t>
      </w:r>
      <w:r w:rsidR="0040329F" w:rsidRPr="00382917">
        <w:t>án</w:t>
      </w:r>
      <w:r w:rsidR="009C713D" w:rsidRPr="00382917">
        <w:t>’</w:t>
      </w:r>
      <w:r w:rsidR="003B2D0A" w:rsidRPr="00382917">
        <w:t>s</w:t>
      </w:r>
      <w:proofErr w:type="spellEnd"/>
      <w:r w:rsidR="00EE4FC3">
        <w:t xml:space="preserve"> </w:t>
      </w:r>
      <w:r w:rsidR="003B2D0A" w:rsidRPr="00382917">
        <w:t>anger</w:t>
      </w:r>
      <w:r w:rsidR="00EE4FC3">
        <w:t xml:space="preserve"> </w:t>
      </w:r>
      <w:r w:rsidR="003B2D0A" w:rsidRPr="00382917">
        <w:t>was</w:t>
      </w:r>
      <w:r w:rsidR="00EE4FC3">
        <w:t xml:space="preserve"> </w:t>
      </w:r>
      <w:r w:rsidR="003B2D0A" w:rsidRPr="00382917">
        <w:t>not</w:t>
      </w:r>
      <w:r w:rsidR="00EE4FC3">
        <w:t xml:space="preserve"> </w:t>
      </w:r>
      <w:r w:rsidR="003B2D0A" w:rsidRPr="00382917">
        <w:t>satisfied</w:t>
      </w:r>
      <w:r w:rsidR="00EE4FC3">
        <w:t xml:space="preserve"> </w:t>
      </w:r>
      <w:r w:rsidR="003B2D0A" w:rsidRPr="00382917">
        <w:t>by</w:t>
      </w:r>
      <w:r w:rsidR="00EE4FC3">
        <w:t xml:space="preserve"> </w:t>
      </w:r>
      <w:r w:rsidR="003B2D0A" w:rsidRPr="00382917">
        <w:t>the</w:t>
      </w:r>
      <w:r w:rsidR="00EE4FC3">
        <w:t xml:space="preserve"> </w:t>
      </w:r>
      <w:r w:rsidR="003B2D0A" w:rsidRPr="00382917">
        <w:t>punishment</w:t>
      </w:r>
      <w:r w:rsidR="00EE4FC3">
        <w:t xml:space="preserve"> </w:t>
      </w:r>
      <w:r w:rsidR="003B2D0A" w:rsidRPr="00382917">
        <w:t>he</w:t>
      </w:r>
      <w:r w:rsidR="00EE4FC3">
        <w:t xml:space="preserve"> </w:t>
      </w:r>
      <w:r w:rsidR="003B2D0A" w:rsidRPr="00382917">
        <w:t>had</w:t>
      </w:r>
      <w:r w:rsidR="00EE4FC3">
        <w:t xml:space="preserve"> </w:t>
      </w:r>
      <w:r w:rsidR="003B2D0A" w:rsidRPr="00382917">
        <w:t>inflicted</w:t>
      </w:r>
      <w:r w:rsidR="00EE4FC3">
        <w:t xml:space="preserve"> </w:t>
      </w:r>
      <w:r w:rsidR="003B2D0A" w:rsidRPr="00382917">
        <w:t>upon</w:t>
      </w:r>
      <w:r w:rsidR="00EE4FC3">
        <w:t xml:space="preserve"> </w:t>
      </w:r>
      <w:r w:rsidR="003B2D0A" w:rsidRPr="00382917">
        <w:t>Mullá</w:t>
      </w:r>
      <w:r w:rsidR="00EE4FC3">
        <w:t xml:space="preserve"> </w:t>
      </w:r>
      <w:r w:rsidR="003B2D0A" w:rsidRPr="00382917">
        <w:t>Ṣádiq</w:t>
      </w:r>
      <w:r w:rsidR="00EE4FC3">
        <w:t xml:space="preserve"> </w:t>
      </w:r>
      <w:r w:rsidR="003B2D0A" w:rsidRPr="00382917">
        <w:t>and</w:t>
      </w:r>
      <w:r w:rsidR="00EE4FC3">
        <w:t xml:space="preserve"> </w:t>
      </w:r>
      <w:r w:rsidR="003B2D0A" w:rsidRPr="00382917">
        <w:t>Quddús</w:t>
      </w:r>
      <w:r w:rsidR="00C03C91">
        <w:t>.</w:t>
      </w:r>
      <w:r w:rsidR="00EE4FC3">
        <w:t xml:space="preserve">  </w:t>
      </w:r>
      <w:r w:rsidR="003B2D0A" w:rsidRPr="00382917">
        <w:t>He</w:t>
      </w:r>
      <w:r w:rsidR="00EE4FC3">
        <w:t xml:space="preserve"> </w:t>
      </w:r>
      <w:r w:rsidR="003B2D0A" w:rsidRPr="00382917">
        <w:t>now</w:t>
      </w:r>
      <w:r w:rsidR="00EE4FC3">
        <w:t xml:space="preserve"> </w:t>
      </w:r>
      <w:r w:rsidR="003B2D0A" w:rsidRPr="00382917">
        <w:t>directed</w:t>
      </w:r>
      <w:r w:rsidR="00EE4FC3">
        <w:t xml:space="preserve"> </w:t>
      </w:r>
      <w:r w:rsidR="003B2D0A" w:rsidRPr="00382917">
        <w:t>his</w:t>
      </w:r>
      <w:r w:rsidR="00EE4FC3">
        <w:t xml:space="preserve"> </w:t>
      </w:r>
      <w:r w:rsidR="003B2D0A" w:rsidRPr="00382917">
        <w:t>attack</w:t>
      </w:r>
      <w:r w:rsidR="00EE4FC3">
        <w:t xml:space="preserve"> </w:t>
      </w:r>
      <w:r w:rsidR="003B2D0A" w:rsidRPr="00382917">
        <w:t>upon</w:t>
      </w:r>
      <w:r w:rsidR="00EE4FC3">
        <w:t xml:space="preserve"> </w:t>
      </w:r>
      <w:r w:rsidR="003B2D0A" w:rsidRPr="00382917">
        <w:t>the</w:t>
      </w:r>
      <w:r w:rsidR="00EE4FC3">
        <w:t xml:space="preserve"> </w:t>
      </w:r>
      <w:r w:rsidR="003B2D0A" w:rsidRPr="00382917">
        <w:t>Báb</w:t>
      </w:r>
      <w:r w:rsidR="00EE4FC3">
        <w:t xml:space="preserve"> </w:t>
      </w:r>
      <w:r w:rsidR="003B2D0A" w:rsidRPr="00382917">
        <w:t>Himself</w:t>
      </w:r>
      <w:r w:rsidR="00C03C91">
        <w:t>.</w:t>
      </w:r>
      <w:r w:rsidR="00EE4FC3">
        <w:t xml:space="preserve">  </w:t>
      </w:r>
      <w:r w:rsidR="003B2D0A" w:rsidRPr="00382917">
        <w:t>He</w:t>
      </w:r>
      <w:r w:rsidR="00EE4FC3">
        <w:t xml:space="preserve"> </w:t>
      </w:r>
      <w:r w:rsidR="003B2D0A" w:rsidRPr="00382917">
        <w:t>sent</w:t>
      </w:r>
      <w:r w:rsidR="00EE4FC3">
        <w:t xml:space="preserve"> </w:t>
      </w:r>
      <w:r w:rsidR="003B2D0A" w:rsidRPr="00382917">
        <w:t>a</w:t>
      </w:r>
      <w:r w:rsidR="00EE4FC3">
        <w:t xml:space="preserve"> </w:t>
      </w:r>
      <w:r w:rsidR="003B2D0A" w:rsidRPr="00382917">
        <w:t>mounted</w:t>
      </w:r>
      <w:r w:rsidR="00EE4FC3">
        <w:t xml:space="preserve"> </w:t>
      </w:r>
      <w:r w:rsidR="003B2D0A" w:rsidRPr="00382917">
        <w:t>escort</w:t>
      </w:r>
      <w:r w:rsidR="00EE4FC3">
        <w:t xml:space="preserve"> </w:t>
      </w:r>
      <w:r w:rsidR="003B2D0A" w:rsidRPr="00382917">
        <w:t>to</w:t>
      </w:r>
      <w:r w:rsidR="00EE4FC3">
        <w:t xml:space="preserve"> </w:t>
      </w:r>
      <w:r w:rsidR="00CE7A86" w:rsidRPr="00382917">
        <w:t>Bú</w:t>
      </w:r>
      <w:r w:rsidR="00CE7A86" w:rsidRPr="00CE7A86">
        <w:rPr>
          <w:u w:val="single"/>
        </w:rPr>
        <w:t>sh</w:t>
      </w:r>
      <w:r w:rsidR="00CE7A86" w:rsidRPr="00382917">
        <w:t>ihr</w:t>
      </w:r>
      <w:r w:rsidR="003B2D0A" w:rsidRPr="00382917">
        <w:t>,</w:t>
      </w:r>
      <w:r w:rsidR="00EE4FC3">
        <w:t xml:space="preserve"> </w:t>
      </w:r>
      <w:r w:rsidR="003B2D0A" w:rsidRPr="00382917">
        <w:t>and</w:t>
      </w:r>
      <w:r w:rsidR="00EE4FC3">
        <w:t xml:space="preserve"> </w:t>
      </w:r>
      <w:r w:rsidR="003B2D0A" w:rsidRPr="00382917">
        <w:t>ordered</w:t>
      </w:r>
      <w:r w:rsidR="00EE4FC3">
        <w:t xml:space="preserve"> </w:t>
      </w:r>
      <w:r w:rsidR="003B2D0A" w:rsidRPr="00382917">
        <w:t>them</w:t>
      </w:r>
      <w:r w:rsidR="00EE4FC3">
        <w:t xml:space="preserve"> </w:t>
      </w:r>
      <w:r w:rsidR="003B2D0A" w:rsidRPr="00382917">
        <w:t>to</w:t>
      </w:r>
      <w:r w:rsidR="00EE4FC3">
        <w:t xml:space="preserve"> </w:t>
      </w:r>
      <w:r w:rsidR="003B2D0A" w:rsidRPr="00382917">
        <w:t>arrest</w:t>
      </w:r>
      <w:r w:rsidR="00EE4FC3">
        <w:t xml:space="preserve"> </w:t>
      </w:r>
      <w:r w:rsidR="003B2D0A" w:rsidRPr="00382917">
        <w:t>the</w:t>
      </w:r>
      <w:r w:rsidR="00EE4FC3">
        <w:t xml:space="preserve"> </w:t>
      </w:r>
      <w:r w:rsidR="003B2D0A" w:rsidRPr="00382917">
        <w:t>Báb</w:t>
      </w:r>
      <w:r w:rsidR="00EE4FC3">
        <w:t xml:space="preserve"> </w:t>
      </w:r>
      <w:r w:rsidR="003B2D0A" w:rsidRPr="00382917">
        <w:t>and</w:t>
      </w:r>
      <w:r w:rsidR="00EE4FC3">
        <w:t xml:space="preserve"> </w:t>
      </w:r>
      <w:r w:rsidR="003B2D0A" w:rsidRPr="00382917">
        <w:t>to</w:t>
      </w:r>
      <w:r w:rsidR="00EE4FC3">
        <w:t xml:space="preserve"> </w:t>
      </w:r>
      <w:r w:rsidR="003B2D0A" w:rsidRPr="00382917">
        <w:t>bring</w:t>
      </w:r>
      <w:r w:rsidR="00EE4FC3">
        <w:t xml:space="preserve"> </w:t>
      </w:r>
      <w:r w:rsidR="003B2D0A" w:rsidRPr="00382917">
        <w:t>Him</w:t>
      </w:r>
      <w:r w:rsidR="00EE4FC3">
        <w:t xml:space="preserve"> </w:t>
      </w:r>
      <w:r w:rsidR="003B2D0A" w:rsidRPr="00382917">
        <w:t>back</w:t>
      </w:r>
      <w:r w:rsidR="00EE4FC3">
        <w:t xml:space="preserve"> </w:t>
      </w:r>
      <w:r w:rsidR="003B2D0A" w:rsidRPr="00382917">
        <w:t>in</w:t>
      </w:r>
      <w:r w:rsidR="00EE4FC3">
        <w:t xml:space="preserve"> </w:t>
      </w:r>
      <w:r w:rsidR="003B2D0A" w:rsidRPr="00382917">
        <w:t>chains</w:t>
      </w:r>
      <w:r w:rsidR="00EE4FC3">
        <w:t xml:space="preserve"> </w:t>
      </w:r>
      <w:r w:rsidR="003B2D0A" w:rsidRPr="00382917">
        <w:t>to</w:t>
      </w:r>
      <w:r w:rsidR="00EE4FC3">
        <w:t xml:space="preserve"> </w:t>
      </w:r>
      <w:r w:rsidR="008A073E" w:rsidRPr="00382917">
        <w:rPr>
          <w:u w:val="single"/>
        </w:rPr>
        <w:t>Sh</w:t>
      </w:r>
      <w:r w:rsidR="008A073E" w:rsidRPr="00382917">
        <w:t>íráz</w:t>
      </w:r>
      <w:r w:rsidR="00C03C91">
        <w:t>.</w:t>
      </w:r>
      <w:r w:rsidR="00EE4FC3">
        <w:t xml:space="preserve">  </w:t>
      </w:r>
      <w:r w:rsidR="003B2D0A" w:rsidRPr="00382917">
        <w:t>This</w:t>
      </w:r>
      <w:r w:rsidR="00EE4FC3">
        <w:t xml:space="preserve"> </w:t>
      </w:r>
      <w:r w:rsidR="003B2D0A" w:rsidRPr="00382917">
        <w:t>spectacle,</w:t>
      </w:r>
      <w:r w:rsidR="00EE4FC3">
        <w:t xml:space="preserve"> </w:t>
      </w:r>
      <w:r w:rsidR="003B2D0A" w:rsidRPr="00382917">
        <w:t>he</w:t>
      </w:r>
      <w:r w:rsidR="00EE4FC3">
        <w:t xml:space="preserve"> </w:t>
      </w:r>
      <w:r w:rsidR="003B2D0A" w:rsidRPr="00382917">
        <w:t>felt,</w:t>
      </w:r>
      <w:r w:rsidR="00EE4FC3">
        <w:t xml:space="preserve"> </w:t>
      </w:r>
      <w:r w:rsidR="003B2D0A" w:rsidRPr="00382917">
        <w:t>would</w:t>
      </w:r>
      <w:r w:rsidR="00EE4FC3">
        <w:t xml:space="preserve"> </w:t>
      </w:r>
      <w:r w:rsidR="003B2D0A" w:rsidRPr="00382917">
        <w:t>dampen</w:t>
      </w:r>
      <w:r w:rsidR="00EE4FC3">
        <w:t xml:space="preserve"> </w:t>
      </w:r>
      <w:r w:rsidR="003B2D0A" w:rsidRPr="00382917">
        <w:t>the</w:t>
      </w:r>
      <w:r w:rsidR="00EE4FC3">
        <w:t xml:space="preserve"> </w:t>
      </w:r>
      <w:r w:rsidR="003B2D0A" w:rsidRPr="00382917">
        <w:t>enthusiasm</w:t>
      </w:r>
      <w:r w:rsidR="00EE4FC3">
        <w:t xml:space="preserve"> </w:t>
      </w:r>
      <w:r w:rsidR="003B2D0A" w:rsidRPr="00382917">
        <w:t>of</w:t>
      </w:r>
      <w:r w:rsidR="00EE4FC3">
        <w:t xml:space="preserve"> </w:t>
      </w:r>
      <w:r w:rsidR="003B2D0A" w:rsidRPr="00382917">
        <w:t>the</w:t>
      </w:r>
      <w:r w:rsidR="00EE4FC3">
        <w:t xml:space="preserve"> </w:t>
      </w:r>
      <w:r w:rsidR="003B2D0A" w:rsidRPr="00382917">
        <w:t>people</w:t>
      </w:r>
      <w:r w:rsidR="00EE4FC3">
        <w:t xml:space="preserve"> </w:t>
      </w:r>
      <w:r w:rsidR="003B2D0A" w:rsidRPr="00382917">
        <w:t>for</w:t>
      </w:r>
      <w:r w:rsidR="00EE4FC3">
        <w:t xml:space="preserve"> </w:t>
      </w:r>
      <w:r w:rsidR="003B2D0A" w:rsidRPr="00382917">
        <w:t>His</w:t>
      </w:r>
      <w:r w:rsidR="00EE4FC3">
        <w:t xml:space="preserve"> </w:t>
      </w:r>
      <w:r w:rsidR="003B2D0A" w:rsidRPr="00382917">
        <w:t>Cause.</w:t>
      </w:r>
    </w:p>
    <w:p w:rsidR="003B2D0A" w:rsidRPr="00382917" w:rsidRDefault="003B2D0A" w:rsidP="003B2D0A">
      <w:pPr>
        <w:pStyle w:val="Text"/>
      </w:pPr>
      <w:r w:rsidRPr="00382917">
        <w:t>The</w:t>
      </w:r>
      <w:r w:rsidR="00EE4FC3">
        <w:t xml:space="preserve"> </w:t>
      </w:r>
      <w:r w:rsidRPr="00382917">
        <w:t>guards</w:t>
      </w:r>
      <w:r w:rsidR="00EE4FC3">
        <w:t xml:space="preserve"> </w:t>
      </w:r>
      <w:r w:rsidRPr="00382917">
        <w:t>set</w:t>
      </w:r>
      <w:r w:rsidR="00EE4FC3">
        <w:t xml:space="preserve"> </w:t>
      </w:r>
      <w:r w:rsidRPr="00382917">
        <w:t>out</w:t>
      </w:r>
      <w:r w:rsidR="00EE4FC3">
        <w:t xml:space="preserve"> </w:t>
      </w:r>
      <w:r w:rsidRPr="00382917">
        <w:t>at</w:t>
      </w:r>
      <w:r w:rsidR="00EE4FC3">
        <w:t xml:space="preserve"> </w:t>
      </w:r>
      <w:r w:rsidRPr="00382917">
        <w:t>once</w:t>
      </w:r>
      <w:r w:rsidR="00EE4FC3">
        <w:t xml:space="preserve"> </w:t>
      </w:r>
      <w:r w:rsidRPr="00382917">
        <w:t>to</w:t>
      </w:r>
      <w:r w:rsidR="00EE4FC3">
        <w:t xml:space="preserve"> </w:t>
      </w:r>
      <w:r w:rsidRPr="00382917">
        <w:t>make</w:t>
      </w:r>
      <w:r w:rsidR="00EE4FC3">
        <w:t xml:space="preserve"> </w:t>
      </w:r>
      <w:r w:rsidRPr="00382917">
        <w:t>the</w:t>
      </w:r>
      <w:r w:rsidR="00EE4FC3">
        <w:t xml:space="preserve"> </w:t>
      </w:r>
      <w:r w:rsidRPr="00382917">
        <w:t>arrest</w:t>
      </w:r>
      <w:r w:rsidR="00C03C91">
        <w:t>.</w:t>
      </w:r>
      <w:r w:rsidR="00EE4FC3">
        <w:t xml:space="preserve">  </w:t>
      </w:r>
      <w:r w:rsidRPr="00382917">
        <w:t>As</w:t>
      </w:r>
      <w:r w:rsidR="00EE4FC3">
        <w:t xml:space="preserve"> </w:t>
      </w:r>
      <w:r w:rsidRPr="00382917">
        <w:t>they</w:t>
      </w:r>
      <w:r w:rsidR="00EE4FC3">
        <w:t xml:space="preserve"> </w:t>
      </w:r>
      <w:r w:rsidRPr="00382917">
        <w:t>were</w:t>
      </w:r>
      <w:r w:rsidR="00EE4FC3">
        <w:t xml:space="preserve"> </w:t>
      </w:r>
      <w:r w:rsidRPr="00382917">
        <w:t>marching</w:t>
      </w:r>
      <w:r w:rsidR="00EE4FC3">
        <w:t xml:space="preserve"> </w:t>
      </w:r>
      <w:r w:rsidRPr="00382917">
        <w:t>across</w:t>
      </w:r>
      <w:r w:rsidR="00EE4FC3">
        <w:t xml:space="preserve"> </w:t>
      </w:r>
      <w:r w:rsidRPr="00382917">
        <w:t>the</w:t>
      </w:r>
      <w:r w:rsidR="00EE4FC3">
        <w:t xml:space="preserve"> </w:t>
      </w:r>
      <w:r w:rsidRPr="00382917">
        <w:t>wilderness</w:t>
      </w:r>
      <w:r w:rsidR="00EE4FC3">
        <w:t xml:space="preserve"> </w:t>
      </w:r>
      <w:proofErr w:type="spellStart"/>
      <w:r w:rsidRPr="00382917">
        <w:t>enroute</w:t>
      </w:r>
      <w:proofErr w:type="spellEnd"/>
      <w:r w:rsidR="00EE4FC3">
        <w:t xml:space="preserve"> </w:t>
      </w:r>
      <w:r w:rsidRPr="00382917">
        <w:t>to</w:t>
      </w:r>
      <w:r w:rsidR="00EE4FC3">
        <w:t xml:space="preserve"> </w:t>
      </w:r>
      <w:r w:rsidR="00CE7A86" w:rsidRPr="00382917">
        <w:t>Bú</w:t>
      </w:r>
      <w:r w:rsidR="00CE7A86" w:rsidRPr="00CE7A86">
        <w:rPr>
          <w:u w:val="single"/>
        </w:rPr>
        <w:t>sh</w:t>
      </w:r>
      <w:r w:rsidR="00CE7A86" w:rsidRPr="00382917">
        <w:t>ihr</w:t>
      </w:r>
      <w:r w:rsidRPr="00382917">
        <w:t>,</w:t>
      </w:r>
      <w:r w:rsidR="00EE4FC3">
        <w:t xml:space="preserve"> </w:t>
      </w:r>
      <w:r w:rsidRPr="00382917">
        <w:t>they</w:t>
      </w:r>
      <w:r w:rsidR="00EE4FC3">
        <w:t xml:space="preserve"> </w:t>
      </w:r>
      <w:r w:rsidRPr="00382917">
        <w:t>met</w:t>
      </w:r>
      <w:r w:rsidR="00EE4FC3">
        <w:t xml:space="preserve"> </w:t>
      </w:r>
      <w:r w:rsidRPr="00382917">
        <w:t>a</w:t>
      </w:r>
      <w:r w:rsidR="00EE4FC3">
        <w:t xml:space="preserve"> </w:t>
      </w:r>
      <w:r w:rsidRPr="00382917">
        <w:t>horseman</w:t>
      </w:r>
      <w:r w:rsidR="00C03C91">
        <w:t>.</w:t>
      </w:r>
      <w:r w:rsidR="00EE4FC3">
        <w:t xml:space="preserve">  </w:t>
      </w:r>
      <w:r w:rsidRPr="00382917">
        <w:t>It</w:t>
      </w:r>
      <w:r w:rsidR="00EE4FC3">
        <w:t xml:space="preserve"> </w:t>
      </w:r>
      <w:r w:rsidRPr="00382917">
        <w:t>was</w:t>
      </w:r>
      <w:r w:rsidR="00EE4FC3">
        <w:t xml:space="preserve"> </w:t>
      </w:r>
      <w:r w:rsidRPr="00382917">
        <w:t>the</w:t>
      </w:r>
      <w:r w:rsidR="00EE4FC3">
        <w:t xml:space="preserve"> </w:t>
      </w:r>
      <w:r w:rsidRPr="00382917">
        <w:t>Báb,</w:t>
      </w:r>
      <w:r w:rsidR="00EE4FC3">
        <w:t xml:space="preserve"> </w:t>
      </w:r>
      <w:r w:rsidRPr="00382917">
        <w:t>Who</w:t>
      </w:r>
      <w:r w:rsidR="00EE4FC3">
        <w:t xml:space="preserve"> </w:t>
      </w:r>
      <w:r w:rsidRPr="00382917">
        <w:t>had</w:t>
      </w:r>
      <w:r w:rsidR="00EE4FC3">
        <w:t xml:space="preserve"> </w:t>
      </w:r>
      <w:r w:rsidRPr="00382917">
        <w:t>come</w:t>
      </w:r>
      <w:r w:rsidR="00EE4FC3">
        <w:t xml:space="preserve"> </w:t>
      </w:r>
      <w:r w:rsidRPr="00382917">
        <w:t>to</w:t>
      </w:r>
      <w:r w:rsidR="00EE4FC3">
        <w:t xml:space="preserve"> </w:t>
      </w:r>
      <w:r w:rsidRPr="00382917">
        <w:t>meet</w:t>
      </w:r>
      <w:r w:rsidR="00EE4FC3">
        <w:t xml:space="preserve"> </w:t>
      </w:r>
      <w:r w:rsidRPr="00382917">
        <w:t>them</w:t>
      </w:r>
      <w:r w:rsidR="00C03C91">
        <w:t>.</w:t>
      </w:r>
      <w:r w:rsidR="00EE4FC3">
        <w:t xml:space="preserve">  </w:t>
      </w:r>
      <w:r w:rsidRPr="00382917">
        <w:t>The</w:t>
      </w:r>
      <w:r w:rsidR="00EE4FC3">
        <w:t xml:space="preserve"> </w:t>
      </w:r>
      <w:r w:rsidRPr="00382917">
        <w:t>leader</w:t>
      </w:r>
      <w:r w:rsidR="00EE4FC3">
        <w:t xml:space="preserve"> </w:t>
      </w:r>
      <w:r w:rsidRPr="00382917">
        <w:t>of</w:t>
      </w:r>
      <w:r w:rsidR="00EE4FC3">
        <w:t xml:space="preserve"> </w:t>
      </w:r>
      <w:r w:rsidRPr="00382917">
        <w:t>the</w:t>
      </w:r>
      <w:r w:rsidR="00EE4FC3">
        <w:t xml:space="preserve"> </w:t>
      </w:r>
      <w:r w:rsidRPr="00382917">
        <w:t>escort</w:t>
      </w:r>
      <w:r w:rsidR="00EE4FC3">
        <w:t xml:space="preserve"> </w:t>
      </w:r>
      <w:r w:rsidRPr="00382917">
        <w:t>has</w:t>
      </w:r>
      <w:r w:rsidR="00EE4FC3">
        <w:t xml:space="preserve"> </w:t>
      </w:r>
      <w:r w:rsidRPr="00382917">
        <w:t>himself</w:t>
      </w:r>
      <w:r w:rsidR="00EE4FC3">
        <w:t xml:space="preserve"> </w:t>
      </w:r>
      <w:r w:rsidRPr="00382917">
        <w:t>related</w:t>
      </w:r>
      <w:r w:rsidR="00EE4FC3">
        <w:t xml:space="preserve"> </w:t>
      </w:r>
      <w:r w:rsidRPr="00382917">
        <w:t>the</w:t>
      </w:r>
      <w:r w:rsidR="00EE4FC3">
        <w:t xml:space="preserve"> </w:t>
      </w:r>
      <w:r w:rsidRPr="00382917">
        <w:t>incident:</w:t>
      </w:r>
    </w:p>
    <w:p w:rsidR="003B2D0A" w:rsidRPr="00382917" w:rsidRDefault="009C713D" w:rsidP="003B2D0A">
      <w:pPr>
        <w:pStyle w:val="Text"/>
      </w:pPr>
      <w:r w:rsidRPr="00382917">
        <w:t>“</w:t>
      </w:r>
      <w:r w:rsidR="003B2D0A" w:rsidRPr="00382917">
        <w:t>As</w:t>
      </w:r>
      <w:r w:rsidR="00EE4FC3">
        <w:t xml:space="preserve"> </w:t>
      </w:r>
      <w:r w:rsidR="003B2D0A" w:rsidRPr="00382917">
        <w:t>we</w:t>
      </w:r>
      <w:r w:rsidR="00EE4FC3">
        <w:t xml:space="preserve"> </w:t>
      </w:r>
      <w:r w:rsidR="003B2D0A" w:rsidRPr="00382917">
        <w:t>approached</w:t>
      </w:r>
      <w:r w:rsidR="00EE4FC3">
        <w:t xml:space="preserve"> </w:t>
      </w:r>
      <w:r w:rsidR="003B2D0A" w:rsidRPr="00382917">
        <w:t>him,</w:t>
      </w:r>
      <w:r w:rsidR="00EE4FC3">
        <w:t xml:space="preserve"> </w:t>
      </w:r>
      <w:r w:rsidR="003B2D0A" w:rsidRPr="00382917">
        <w:t>he</w:t>
      </w:r>
      <w:r w:rsidR="00EE4FC3">
        <w:t xml:space="preserve"> </w:t>
      </w:r>
      <w:r w:rsidR="003B2D0A" w:rsidRPr="00382917">
        <w:t>saluted</w:t>
      </w:r>
      <w:r w:rsidR="00EE4FC3">
        <w:t xml:space="preserve"> </w:t>
      </w:r>
      <w:r w:rsidR="003B2D0A" w:rsidRPr="00382917">
        <w:t>us</w:t>
      </w:r>
      <w:r w:rsidR="00EE4FC3">
        <w:t xml:space="preserve"> </w:t>
      </w:r>
      <w:r w:rsidR="003B2D0A" w:rsidRPr="00382917">
        <w:t>and</w:t>
      </w:r>
      <w:r w:rsidR="00EE4FC3">
        <w:t xml:space="preserve"> </w:t>
      </w:r>
      <w:r w:rsidR="003B2D0A" w:rsidRPr="00382917">
        <w:t>asked</w:t>
      </w:r>
      <w:r w:rsidR="00EE4FC3">
        <w:t xml:space="preserve"> </w:t>
      </w:r>
      <w:r w:rsidR="003B2D0A" w:rsidRPr="00382917">
        <w:t>our</w:t>
      </w:r>
      <w:r w:rsidR="00EE4FC3">
        <w:t xml:space="preserve"> </w:t>
      </w:r>
      <w:r w:rsidR="003B2D0A" w:rsidRPr="00382917">
        <w:t>destination</w:t>
      </w:r>
      <w:r w:rsidR="00C03C91">
        <w:t>.</w:t>
      </w:r>
      <w:r w:rsidR="00EE4FC3">
        <w:t xml:space="preserve">  </w:t>
      </w:r>
      <w:r w:rsidR="003B2D0A" w:rsidRPr="00382917">
        <w:t>I</w:t>
      </w:r>
      <w:r w:rsidR="00EE4FC3">
        <w:t xml:space="preserve"> </w:t>
      </w:r>
      <w:r w:rsidR="003B2D0A" w:rsidRPr="00382917">
        <w:t>said</w:t>
      </w:r>
      <w:r w:rsidR="00EE4FC3">
        <w:t xml:space="preserve"> </w:t>
      </w:r>
      <w:r w:rsidR="003B2D0A" w:rsidRPr="00382917">
        <w:t>that</w:t>
      </w:r>
      <w:r w:rsidR="00EE4FC3">
        <w:t xml:space="preserve"> </w:t>
      </w:r>
      <w:r w:rsidR="003B2D0A" w:rsidRPr="00382917">
        <w:t>the</w:t>
      </w:r>
      <w:r w:rsidR="00EE4FC3">
        <w:t xml:space="preserve"> </w:t>
      </w:r>
      <w:r w:rsidR="003B2D0A" w:rsidRPr="00382917">
        <w:t>governor,</w:t>
      </w:r>
      <w:r w:rsidR="00EE4FC3">
        <w:t xml:space="preserve"> </w:t>
      </w:r>
      <w:r w:rsidR="00964C11" w:rsidRPr="00382917">
        <w:t>Ḥusayn</w:t>
      </w:r>
      <w:r w:rsidR="00EE4FC3">
        <w:t xml:space="preserve"> </w:t>
      </w:r>
      <w:r w:rsidR="0040329F" w:rsidRPr="0040329F">
        <w:rPr>
          <w:u w:val="single"/>
        </w:rPr>
        <w:t>Kh</w:t>
      </w:r>
      <w:r w:rsidR="0040329F" w:rsidRPr="00382917">
        <w:t>án</w:t>
      </w:r>
      <w:r w:rsidR="003B2D0A" w:rsidRPr="00382917">
        <w:t>,</w:t>
      </w:r>
      <w:r w:rsidR="00EE4FC3">
        <w:t xml:space="preserve"> </w:t>
      </w:r>
      <w:r w:rsidR="003B2D0A" w:rsidRPr="00382917">
        <w:t>had</w:t>
      </w:r>
      <w:r w:rsidR="00EE4FC3">
        <w:t xml:space="preserve"> </w:t>
      </w:r>
      <w:r w:rsidR="003B2D0A" w:rsidRPr="00382917">
        <w:t>commanded</w:t>
      </w:r>
      <w:r w:rsidR="00EE4FC3">
        <w:t xml:space="preserve"> </w:t>
      </w:r>
      <w:r w:rsidR="003B2D0A" w:rsidRPr="00382917">
        <w:t>us</w:t>
      </w:r>
      <w:r w:rsidR="00EE4FC3">
        <w:t xml:space="preserve"> </w:t>
      </w:r>
      <w:r w:rsidR="003B2D0A" w:rsidRPr="00382917">
        <w:t>to</w:t>
      </w:r>
      <w:r w:rsidR="00EE4FC3">
        <w:t xml:space="preserve"> </w:t>
      </w:r>
      <w:r w:rsidR="003B2D0A" w:rsidRPr="00382917">
        <w:t>go</w:t>
      </w:r>
      <w:r w:rsidR="00EE4FC3">
        <w:t xml:space="preserve"> </w:t>
      </w:r>
      <w:r w:rsidR="003B2D0A" w:rsidRPr="00382917">
        <w:t>to</w:t>
      </w:r>
      <w:r w:rsidR="00EE4FC3">
        <w:t xml:space="preserve"> </w:t>
      </w:r>
      <w:r w:rsidR="00CE7A86" w:rsidRPr="00382917">
        <w:t>Bú</w:t>
      </w:r>
      <w:r w:rsidR="00CE7A86" w:rsidRPr="00CE7A86">
        <w:rPr>
          <w:u w:val="single"/>
        </w:rPr>
        <w:t>sh</w:t>
      </w:r>
      <w:r w:rsidR="00CE7A86" w:rsidRPr="00382917">
        <w:t>ihr</w:t>
      </w:r>
      <w:r w:rsidR="00EE4FC3">
        <w:t xml:space="preserve"> </w:t>
      </w:r>
      <w:r w:rsidR="003B2D0A" w:rsidRPr="00382917">
        <w:t>to</w:t>
      </w:r>
      <w:r w:rsidR="00EE4FC3">
        <w:t xml:space="preserve"> </w:t>
      </w:r>
      <w:r w:rsidR="003B2D0A" w:rsidRPr="00382917">
        <w:t>make</w:t>
      </w:r>
      <w:r w:rsidR="00EE4FC3">
        <w:t xml:space="preserve"> </w:t>
      </w:r>
      <w:r w:rsidR="003B2D0A" w:rsidRPr="00382917">
        <w:t>an</w:t>
      </w:r>
      <w:r w:rsidR="00EE4FC3">
        <w:t xml:space="preserve"> </w:t>
      </w:r>
      <w:r w:rsidR="003B2D0A" w:rsidRPr="00382917">
        <w:t>inquiry.</w:t>
      </w:r>
    </w:p>
    <w:p w:rsidR="003B2D0A" w:rsidRPr="00382917" w:rsidRDefault="009C713D" w:rsidP="003B2D0A">
      <w:pPr>
        <w:pStyle w:val="Text"/>
      </w:pPr>
      <w:r w:rsidRPr="00382917">
        <w:t>“</w:t>
      </w:r>
      <w:r w:rsidR="003B2D0A" w:rsidRPr="00382917">
        <w:t>He</w:t>
      </w:r>
      <w:r w:rsidR="00EE4FC3">
        <w:t xml:space="preserve"> </w:t>
      </w:r>
      <w:r w:rsidR="003B2D0A" w:rsidRPr="00382917">
        <w:t>smilingly</w:t>
      </w:r>
      <w:r w:rsidR="00EE4FC3">
        <w:t xml:space="preserve"> </w:t>
      </w:r>
      <w:r w:rsidR="003B2D0A" w:rsidRPr="00382917">
        <w:t>observed,</w:t>
      </w:r>
      <w:r w:rsidR="00EE4FC3">
        <w:t xml:space="preserve"> </w:t>
      </w:r>
      <w:r w:rsidRPr="00382917">
        <w:t>‘</w:t>
      </w:r>
      <w:r w:rsidR="003B2D0A" w:rsidRPr="00382917">
        <w:t>The</w:t>
      </w:r>
      <w:r w:rsidR="00EE4FC3">
        <w:t xml:space="preserve"> </w:t>
      </w:r>
      <w:r w:rsidR="003B2D0A" w:rsidRPr="00382917">
        <w:t>governor</w:t>
      </w:r>
      <w:r w:rsidR="00EE4FC3">
        <w:t xml:space="preserve"> </w:t>
      </w:r>
      <w:r w:rsidR="003B2D0A" w:rsidRPr="00382917">
        <w:t>has</w:t>
      </w:r>
      <w:r w:rsidR="00EE4FC3">
        <w:t xml:space="preserve"> </w:t>
      </w:r>
      <w:r w:rsidR="003B2D0A" w:rsidRPr="00382917">
        <w:t>sent</w:t>
      </w:r>
      <w:r w:rsidR="00EE4FC3">
        <w:t xml:space="preserve"> </w:t>
      </w:r>
      <w:r w:rsidR="003B2D0A" w:rsidRPr="00382917">
        <w:t>you</w:t>
      </w:r>
      <w:r w:rsidR="00EE4FC3">
        <w:t xml:space="preserve"> </w:t>
      </w:r>
      <w:r w:rsidR="003B2D0A" w:rsidRPr="00382917">
        <w:t>to</w:t>
      </w:r>
      <w:r w:rsidR="00EE4FC3">
        <w:t xml:space="preserve"> </w:t>
      </w:r>
      <w:r w:rsidR="003B2D0A" w:rsidRPr="00382917">
        <w:t>arrest</w:t>
      </w:r>
      <w:r w:rsidR="00EE4FC3">
        <w:t xml:space="preserve"> </w:t>
      </w:r>
      <w:proofErr w:type="gramStart"/>
      <w:r w:rsidR="003B2D0A" w:rsidRPr="00382917">
        <w:t>Me</w:t>
      </w:r>
      <w:proofErr w:type="gramEnd"/>
      <w:r w:rsidR="00C03C91">
        <w:t>.</w:t>
      </w:r>
      <w:r w:rsidR="00EE4FC3">
        <w:t xml:space="preserve">  </w:t>
      </w:r>
      <w:r w:rsidR="003B2D0A" w:rsidRPr="00382917">
        <w:t>Here</w:t>
      </w:r>
      <w:r w:rsidR="00EE4FC3">
        <w:t xml:space="preserve"> </w:t>
      </w:r>
      <w:r w:rsidR="003B2D0A" w:rsidRPr="00382917">
        <w:t>I</w:t>
      </w:r>
      <w:r w:rsidR="00EE4FC3">
        <w:t xml:space="preserve"> </w:t>
      </w:r>
      <w:r w:rsidR="003B2D0A" w:rsidRPr="00382917">
        <w:t>am</w:t>
      </w:r>
      <w:r w:rsidR="00C03C91">
        <w:t>.</w:t>
      </w:r>
      <w:r w:rsidR="00EE4FC3">
        <w:t xml:space="preserve">  </w:t>
      </w:r>
      <w:r w:rsidR="003B2D0A" w:rsidRPr="00382917">
        <w:t>Do</w:t>
      </w:r>
      <w:r w:rsidR="00EE4FC3">
        <w:t xml:space="preserve"> </w:t>
      </w:r>
      <w:r w:rsidR="003B2D0A" w:rsidRPr="00382917">
        <w:t>with</w:t>
      </w:r>
      <w:r w:rsidR="00EE4FC3">
        <w:t xml:space="preserve"> </w:t>
      </w:r>
      <w:r w:rsidR="003B2D0A" w:rsidRPr="00382917">
        <w:t>me</w:t>
      </w:r>
      <w:r w:rsidR="00EE4FC3">
        <w:t xml:space="preserve"> </w:t>
      </w:r>
      <w:r w:rsidR="003B2D0A" w:rsidRPr="00382917">
        <w:t>as</w:t>
      </w:r>
      <w:r w:rsidR="00EE4FC3">
        <w:t xml:space="preserve"> </w:t>
      </w:r>
      <w:r w:rsidR="003B2D0A" w:rsidRPr="00382917">
        <w:t>you</w:t>
      </w:r>
      <w:r w:rsidR="00EE4FC3">
        <w:t xml:space="preserve"> </w:t>
      </w:r>
      <w:r w:rsidR="003B2D0A" w:rsidRPr="00382917">
        <w:t>please.</w:t>
      </w:r>
      <w:r w:rsidRPr="00382917">
        <w:t>’</w:t>
      </w:r>
    </w:p>
    <w:p w:rsidR="003B2D0A" w:rsidRPr="00382917" w:rsidRDefault="009C713D" w:rsidP="003B2D0A">
      <w:pPr>
        <w:pStyle w:val="Text"/>
      </w:pPr>
      <w:r w:rsidRPr="00382917">
        <w:t>“</w:t>
      </w:r>
      <w:r w:rsidR="003B2D0A" w:rsidRPr="00382917">
        <w:t>I</w:t>
      </w:r>
      <w:r w:rsidR="00EE4FC3">
        <w:t xml:space="preserve"> </w:t>
      </w:r>
      <w:r w:rsidR="003B2D0A" w:rsidRPr="00382917">
        <w:t>was</w:t>
      </w:r>
      <w:r w:rsidR="00EE4FC3">
        <w:t xml:space="preserve"> </w:t>
      </w:r>
      <w:r w:rsidR="003B2D0A" w:rsidRPr="00382917">
        <w:t>startled</w:t>
      </w:r>
      <w:r w:rsidR="00EE4FC3">
        <w:t xml:space="preserve"> </w:t>
      </w:r>
      <w:r w:rsidR="003B2D0A" w:rsidRPr="00382917">
        <w:t>by</w:t>
      </w:r>
      <w:r w:rsidR="00EE4FC3">
        <w:t xml:space="preserve"> </w:t>
      </w:r>
      <w:r w:rsidR="003B2D0A" w:rsidRPr="00382917">
        <w:t>his</w:t>
      </w:r>
      <w:r w:rsidR="00EE4FC3">
        <w:t xml:space="preserve"> </w:t>
      </w:r>
      <w:r w:rsidR="003B2D0A" w:rsidRPr="00382917">
        <w:t>remark</w:t>
      </w:r>
      <w:r w:rsidR="00EE4FC3">
        <w:t xml:space="preserve"> </w:t>
      </w:r>
      <w:r w:rsidR="003B2D0A" w:rsidRPr="00382917">
        <w:t>and</w:t>
      </w:r>
      <w:r w:rsidR="00EE4FC3">
        <w:t xml:space="preserve"> </w:t>
      </w:r>
      <w:r w:rsidR="003B2D0A" w:rsidRPr="00382917">
        <w:t>his</w:t>
      </w:r>
      <w:r w:rsidR="00EE4FC3">
        <w:t xml:space="preserve"> </w:t>
      </w:r>
      <w:r w:rsidR="003B2D0A" w:rsidRPr="00382917">
        <w:t>straightforwardness</w:t>
      </w:r>
      <w:r w:rsidR="00C03C91">
        <w:t>.</w:t>
      </w:r>
      <w:r w:rsidR="00EE4FC3">
        <w:t xml:space="preserve">  </w:t>
      </w:r>
      <w:r w:rsidR="003B2D0A" w:rsidRPr="00382917">
        <w:t>I</w:t>
      </w:r>
      <w:r w:rsidR="00EE4FC3">
        <w:t xml:space="preserve"> </w:t>
      </w:r>
      <w:r w:rsidR="003B2D0A" w:rsidRPr="00382917">
        <w:t>could</w:t>
      </w:r>
      <w:r w:rsidR="00EE4FC3">
        <w:t xml:space="preserve"> </w:t>
      </w:r>
      <w:r w:rsidR="003B2D0A" w:rsidRPr="00382917">
        <w:t>not</w:t>
      </w:r>
      <w:r w:rsidR="00EE4FC3">
        <w:t xml:space="preserve"> </w:t>
      </w:r>
      <w:r w:rsidR="003B2D0A" w:rsidRPr="00382917">
        <w:t>understand</w:t>
      </w:r>
      <w:r w:rsidR="00EE4FC3">
        <w:t xml:space="preserve"> </w:t>
      </w:r>
      <w:r w:rsidR="003B2D0A" w:rsidRPr="00382917">
        <w:t>his</w:t>
      </w:r>
      <w:r w:rsidR="00EE4FC3">
        <w:t xml:space="preserve"> </w:t>
      </w:r>
      <w:r w:rsidR="003B2D0A" w:rsidRPr="00382917">
        <w:t>readiness</w:t>
      </w:r>
      <w:r w:rsidR="00EE4FC3">
        <w:t xml:space="preserve"> </w:t>
      </w:r>
      <w:r w:rsidR="003B2D0A" w:rsidRPr="00382917">
        <w:t>to</w:t>
      </w:r>
      <w:r w:rsidR="00EE4FC3">
        <w:t xml:space="preserve"> </w:t>
      </w:r>
      <w:r w:rsidR="003B2D0A" w:rsidRPr="00382917">
        <w:t>subject</w:t>
      </w:r>
      <w:r w:rsidR="00EE4FC3">
        <w:t xml:space="preserve"> </w:t>
      </w:r>
      <w:r w:rsidR="003B2D0A" w:rsidRPr="00382917">
        <w:t>himself</w:t>
      </w:r>
      <w:r w:rsidR="00EE4FC3">
        <w:t xml:space="preserve"> </w:t>
      </w:r>
      <w:r w:rsidR="003B2D0A" w:rsidRPr="00382917">
        <w:t>to</w:t>
      </w:r>
      <w:r w:rsidR="00EE4FC3">
        <w:t xml:space="preserve"> </w:t>
      </w:r>
      <w:r w:rsidR="00964C11" w:rsidRPr="00382917">
        <w:t>Ḥusayn</w:t>
      </w:r>
      <w:r w:rsidR="00EE4FC3">
        <w:t xml:space="preserve"> </w:t>
      </w:r>
      <w:r w:rsidR="0040329F" w:rsidRPr="0040329F">
        <w:rPr>
          <w:u w:val="single"/>
        </w:rPr>
        <w:t>Kh</w:t>
      </w:r>
      <w:r w:rsidR="0040329F" w:rsidRPr="00382917">
        <w:t>án</w:t>
      </w:r>
      <w:r w:rsidR="003B2D0A" w:rsidRPr="00382917">
        <w:t>,</w:t>
      </w:r>
      <w:r w:rsidR="00EE4FC3">
        <w:t xml:space="preserve"> </w:t>
      </w:r>
      <w:r w:rsidR="003B2D0A" w:rsidRPr="00382917">
        <w:t>thus</w:t>
      </w:r>
      <w:r w:rsidR="00EE4FC3">
        <w:t xml:space="preserve"> </w:t>
      </w:r>
      <w:r w:rsidR="003B2D0A" w:rsidRPr="00382917">
        <w:t>risking</w:t>
      </w:r>
      <w:r w:rsidR="00EE4FC3">
        <w:t xml:space="preserve"> </w:t>
      </w:r>
      <w:r w:rsidR="003B2D0A" w:rsidRPr="00382917">
        <w:t>his</w:t>
      </w:r>
      <w:r w:rsidR="00EE4FC3">
        <w:t xml:space="preserve"> </w:t>
      </w:r>
      <w:r w:rsidR="003B2D0A" w:rsidRPr="00382917">
        <w:t>safety</w:t>
      </w:r>
      <w:r w:rsidR="00EE4FC3">
        <w:t xml:space="preserve"> </w:t>
      </w:r>
      <w:r w:rsidR="003B2D0A" w:rsidRPr="00382917">
        <w:t>and</w:t>
      </w:r>
      <w:r w:rsidR="00EE4FC3">
        <w:t xml:space="preserve"> </w:t>
      </w:r>
      <w:r w:rsidR="003B2D0A" w:rsidRPr="00382917">
        <w:t>life.</w:t>
      </w:r>
      <w:r w:rsidRPr="00382917">
        <w:t>”</w:t>
      </w:r>
    </w:p>
    <w:p w:rsidR="003B2D0A" w:rsidRPr="00382917" w:rsidRDefault="003B2D0A" w:rsidP="003B2D0A">
      <w:pPr>
        <w:pStyle w:val="Text"/>
      </w:pPr>
      <w:r w:rsidRPr="00382917">
        <w:t>The</w:t>
      </w:r>
      <w:r w:rsidR="00EE4FC3">
        <w:t xml:space="preserve"> </w:t>
      </w:r>
      <w:r w:rsidRPr="00382917">
        <w:t>commander</w:t>
      </w:r>
      <w:r w:rsidR="00EE4FC3">
        <w:t xml:space="preserve"> </w:t>
      </w:r>
      <w:r w:rsidRPr="00382917">
        <w:t>of</w:t>
      </w:r>
      <w:r w:rsidR="00EE4FC3">
        <w:t xml:space="preserve"> </w:t>
      </w:r>
      <w:r w:rsidRPr="00382917">
        <w:t>the</w:t>
      </w:r>
      <w:r w:rsidR="00EE4FC3">
        <w:t xml:space="preserve"> </w:t>
      </w:r>
      <w:r w:rsidRPr="00382917">
        <w:t>escort</w:t>
      </w:r>
      <w:r w:rsidR="00EE4FC3">
        <w:t xml:space="preserve"> </w:t>
      </w:r>
      <w:r w:rsidRPr="00382917">
        <w:t>was</w:t>
      </w:r>
      <w:r w:rsidR="00EE4FC3">
        <w:t xml:space="preserve"> </w:t>
      </w:r>
      <w:r w:rsidRPr="00382917">
        <w:t>very</w:t>
      </w:r>
      <w:r w:rsidR="00EE4FC3">
        <w:t xml:space="preserve"> </w:t>
      </w:r>
      <w:r w:rsidRPr="00382917">
        <w:t>taken</w:t>
      </w:r>
      <w:r w:rsidR="00EE4FC3">
        <w:t xml:space="preserve"> </w:t>
      </w:r>
      <w:r w:rsidRPr="00382917">
        <w:t>with</w:t>
      </w:r>
      <w:r w:rsidR="00EE4FC3">
        <w:t xml:space="preserve"> </w:t>
      </w:r>
      <w:r w:rsidRPr="00382917">
        <w:t>the</w:t>
      </w:r>
      <w:r w:rsidR="00EE4FC3">
        <w:t xml:space="preserve"> </w:t>
      </w:r>
      <w:r w:rsidRPr="00382917">
        <w:t>Báb</w:t>
      </w:r>
      <w:r w:rsidR="00C03C91">
        <w:t>.</w:t>
      </w:r>
      <w:r w:rsidR="00EE4FC3">
        <w:t xml:space="preserve">  </w:t>
      </w:r>
      <w:r w:rsidRPr="00382917">
        <w:t>He</w:t>
      </w:r>
      <w:r w:rsidR="00EE4FC3">
        <w:t xml:space="preserve"> </w:t>
      </w:r>
      <w:r w:rsidRPr="00382917">
        <w:t>did</w:t>
      </w:r>
      <w:r w:rsidR="00EE4FC3">
        <w:t xml:space="preserve"> </w:t>
      </w:r>
      <w:r w:rsidRPr="00382917">
        <w:t>not</w:t>
      </w:r>
      <w:r w:rsidR="00EE4FC3">
        <w:t xml:space="preserve"> </w:t>
      </w:r>
      <w:r w:rsidRPr="00382917">
        <w:t>wish</w:t>
      </w:r>
      <w:r w:rsidR="00EE4FC3">
        <w:t xml:space="preserve"> </w:t>
      </w:r>
      <w:r w:rsidRPr="00382917">
        <w:t>Him</w:t>
      </w:r>
      <w:r w:rsidR="00EE4FC3">
        <w:t xml:space="preserve"> </w:t>
      </w:r>
      <w:r w:rsidRPr="00382917">
        <w:t>to</w:t>
      </w:r>
      <w:r w:rsidR="00EE4FC3">
        <w:t xml:space="preserve"> </w:t>
      </w:r>
      <w:r w:rsidRPr="00382917">
        <w:t>fall</w:t>
      </w:r>
      <w:r w:rsidR="00EE4FC3">
        <w:t xml:space="preserve"> </w:t>
      </w:r>
      <w:r w:rsidRPr="00382917">
        <w:t>into</w:t>
      </w:r>
      <w:r w:rsidR="00EE4FC3">
        <w:t xml:space="preserve"> </w:t>
      </w:r>
      <w:r w:rsidRPr="00382917">
        <w:t>the</w:t>
      </w:r>
      <w:r w:rsidR="00EE4FC3">
        <w:t xml:space="preserve"> </w:t>
      </w:r>
      <w:r w:rsidRPr="00382917">
        <w:t>hands</w:t>
      </w:r>
      <w:r w:rsidR="00EE4FC3">
        <w:t xml:space="preserve"> </w:t>
      </w:r>
      <w:r w:rsidRPr="00382917">
        <w:t>of</w:t>
      </w:r>
      <w:r w:rsidR="00EE4FC3">
        <w:t xml:space="preserve"> </w:t>
      </w:r>
      <w:r w:rsidRPr="00382917">
        <w:t>the</w:t>
      </w:r>
      <w:r w:rsidR="00EE4FC3">
        <w:t xml:space="preserve"> </w:t>
      </w:r>
      <w:r w:rsidRPr="00382917">
        <w:t>governor</w:t>
      </w:r>
      <w:r w:rsidR="00C03C91">
        <w:t>.</w:t>
      </w:r>
      <w:r w:rsidR="00EE4FC3">
        <w:t xml:space="preserve">  </w:t>
      </w:r>
      <w:r w:rsidRPr="00382917">
        <w:t>He</w:t>
      </w:r>
      <w:r w:rsidR="00EE4FC3">
        <w:t xml:space="preserve"> </w:t>
      </w:r>
      <w:r w:rsidRPr="00382917">
        <w:t>pretended</w:t>
      </w:r>
      <w:r w:rsidR="00EE4FC3">
        <w:t xml:space="preserve"> </w:t>
      </w:r>
      <w:r w:rsidRPr="00382917">
        <w:t>that</w:t>
      </w:r>
      <w:r w:rsidR="00EE4FC3">
        <w:t xml:space="preserve"> </w:t>
      </w:r>
      <w:r w:rsidRPr="00382917">
        <w:t>he</w:t>
      </w:r>
      <w:r w:rsidR="00EE4FC3">
        <w:t xml:space="preserve"> </w:t>
      </w:r>
      <w:r w:rsidRPr="00382917">
        <w:t>did</w:t>
      </w:r>
      <w:r w:rsidR="00EE4FC3">
        <w:t xml:space="preserve"> </w:t>
      </w:r>
      <w:r w:rsidRPr="00382917">
        <w:t>not</w:t>
      </w:r>
      <w:r w:rsidR="00EE4FC3">
        <w:t xml:space="preserve"> </w:t>
      </w:r>
      <w:r w:rsidRPr="00382917">
        <w:t>recognize</w:t>
      </w:r>
      <w:r w:rsidR="00EE4FC3">
        <w:t xml:space="preserve"> </w:t>
      </w:r>
      <w:r w:rsidRPr="00382917">
        <w:t>the</w:t>
      </w:r>
      <w:r w:rsidR="00EE4FC3">
        <w:t xml:space="preserve"> </w:t>
      </w:r>
      <w:r w:rsidRPr="00382917">
        <w:t>Báb,</w:t>
      </w:r>
      <w:r w:rsidR="00EE4FC3">
        <w:t xml:space="preserve"> </w:t>
      </w:r>
      <w:r w:rsidRPr="00382917">
        <w:t>and</w:t>
      </w:r>
      <w:r w:rsidR="00EE4FC3">
        <w:t xml:space="preserve"> </w:t>
      </w:r>
      <w:r w:rsidRPr="00382917">
        <w:t>ordered</w:t>
      </w:r>
      <w:r w:rsidR="00EE4FC3">
        <w:t xml:space="preserve"> </w:t>
      </w:r>
      <w:r w:rsidRPr="00382917">
        <w:t>his</w:t>
      </w:r>
      <w:r w:rsidR="00EE4FC3">
        <w:t xml:space="preserve"> </w:t>
      </w:r>
      <w:r w:rsidRPr="00382917">
        <w:t>men</w:t>
      </w:r>
      <w:r w:rsidR="00EE4FC3">
        <w:t xml:space="preserve"> </w:t>
      </w:r>
      <w:r w:rsidRPr="00382917">
        <w:t>to</w:t>
      </w:r>
      <w:r w:rsidR="00EE4FC3">
        <w:t xml:space="preserve"> </w:t>
      </w:r>
      <w:r w:rsidRPr="00382917">
        <w:t>move</w:t>
      </w:r>
      <w:r w:rsidR="00EE4FC3">
        <w:t xml:space="preserve"> </w:t>
      </w:r>
      <w:r w:rsidRPr="00382917">
        <w:t>on.</w:t>
      </w:r>
    </w:p>
    <w:p w:rsidR="003B2D0A" w:rsidRPr="00382917" w:rsidRDefault="003B2D0A">
      <w:pPr>
        <w:widowControl/>
        <w:kinsoku/>
        <w:overflowPunct/>
        <w:textAlignment w:val="auto"/>
      </w:pPr>
      <w:r w:rsidRPr="00382917">
        <w:br w:type="page"/>
      </w:r>
    </w:p>
    <w:p w:rsidR="003B2D0A" w:rsidRPr="00382917" w:rsidRDefault="009C713D" w:rsidP="00C03C91">
      <w:pPr>
        <w:pStyle w:val="Text"/>
      </w:pPr>
      <w:r w:rsidRPr="00382917">
        <w:t>“</w:t>
      </w:r>
      <w:r w:rsidR="003B2D0A" w:rsidRPr="00382917">
        <w:t>I</w:t>
      </w:r>
      <w:r w:rsidR="00EE4FC3">
        <w:t xml:space="preserve"> </w:t>
      </w:r>
      <w:r w:rsidR="003B2D0A" w:rsidRPr="00382917">
        <w:t>tried</w:t>
      </w:r>
      <w:r w:rsidR="00EE4FC3">
        <w:t xml:space="preserve"> </w:t>
      </w:r>
      <w:r w:rsidR="003B2D0A" w:rsidRPr="00382917">
        <w:t>to</w:t>
      </w:r>
      <w:r w:rsidR="00EE4FC3">
        <w:t xml:space="preserve"> </w:t>
      </w:r>
      <w:r w:rsidR="003B2D0A" w:rsidRPr="00382917">
        <w:t>ignore</w:t>
      </w:r>
      <w:r w:rsidR="00EE4FC3">
        <w:t xml:space="preserve"> </w:t>
      </w:r>
      <w:r w:rsidR="003B2D0A" w:rsidRPr="00382917">
        <w:t>him</w:t>
      </w:r>
      <w:r w:rsidR="00EE4FC3">
        <w:t xml:space="preserve"> </w:t>
      </w:r>
      <w:r w:rsidR="003B2D0A" w:rsidRPr="00382917">
        <w:t>and</w:t>
      </w:r>
      <w:r w:rsidR="00EE4FC3">
        <w:t xml:space="preserve"> </w:t>
      </w:r>
      <w:r w:rsidR="003B2D0A" w:rsidRPr="00382917">
        <w:t>prepared</w:t>
      </w:r>
      <w:r w:rsidR="00EE4FC3">
        <w:t xml:space="preserve"> </w:t>
      </w:r>
      <w:r w:rsidR="003B2D0A" w:rsidRPr="00382917">
        <w:t>to</w:t>
      </w:r>
      <w:r w:rsidR="00EE4FC3">
        <w:t xml:space="preserve"> </w:t>
      </w:r>
      <w:r w:rsidR="003B2D0A" w:rsidRPr="00382917">
        <w:t>leave,</w:t>
      </w:r>
      <w:r w:rsidRPr="00382917">
        <w:t>”</w:t>
      </w:r>
      <w:r w:rsidR="00EE4FC3">
        <w:t xml:space="preserve"> </w:t>
      </w:r>
      <w:r w:rsidR="003B2D0A" w:rsidRPr="00382917">
        <w:t>the</w:t>
      </w:r>
      <w:r w:rsidR="00EE4FC3">
        <w:t xml:space="preserve"> </w:t>
      </w:r>
      <w:r w:rsidR="003B2D0A" w:rsidRPr="00382917">
        <w:t>commander</w:t>
      </w:r>
      <w:r w:rsidR="00EE4FC3">
        <w:t xml:space="preserve"> </w:t>
      </w:r>
      <w:r w:rsidR="003B2D0A" w:rsidRPr="00382917">
        <w:t>reported,</w:t>
      </w:r>
      <w:r w:rsidR="00EE4FC3">
        <w:t xml:space="preserve"> </w:t>
      </w:r>
      <w:r w:rsidRPr="00382917">
        <w:t>“</w:t>
      </w:r>
      <w:r w:rsidR="003B2D0A" w:rsidRPr="00382917">
        <w:t>but</w:t>
      </w:r>
      <w:r w:rsidR="00EE4FC3">
        <w:t xml:space="preserve"> </w:t>
      </w:r>
      <w:r w:rsidR="003B2D0A" w:rsidRPr="00382917">
        <w:t>he</w:t>
      </w:r>
      <w:r w:rsidR="00EE4FC3">
        <w:t xml:space="preserve"> </w:t>
      </w:r>
      <w:r w:rsidR="003B2D0A" w:rsidRPr="00382917">
        <w:t>approached</w:t>
      </w:r>
      <w:r w:rsidR="00EE4FC3">
        <w:t xml:space="preserve"> </w:t>
      </w:r>
      <w:r w:rsidR="003B2D0A" w:rsidRPr="00382917">
        <w:t>me</w:t>
      </w:r>
      <w:r w:rsidR="00EE4FC3">
        <w:t xml:space="preserve"> </w:t>
      </w:r>
      <w:r w:rsidR="003B2D0A" w:rsidRPr="00382917">
        <w:t>again</w:t>
      </w:r>
      <w:r w:rsidR="00C03C91">
        <w:t>.</w:t>
      </w:r>
      <w:r w:rsidR="00EE4FC3">
        <w:t xml:space="preserve">  </w:t>
      </w:r>
      <w:r w:rsidRPr="00382917">
        <w:t>‘</w:t>
      </w:r>
      <w:r w:rsidR="003B2D0A" w:rsidRPr="00382917">
        <w:t>I</w:t>
      </w:r>
      <w:r w:rsidR="00EE4FC3">
        <w:t xml:space="preserve"> </w:t>
      </w:r>
      <w:r w:rsidR="003B2D0A" w:rsidRPr="00382917">
        <w:t>know</w:t>
      </w:r>
      <w:r w:rsidR="00EE4FC3">
        <w:t xml:space="preserve"> </w:t>
      </w:r>
      <w:r w:rsidR="003B2D0A" w:rsidRPr="00382917">
        <w:t>that</w:t>
      </w:r>
      <w:r w:rsidR="00EE4FC3">
        <w:t xml:space="preserve"> </w:t>
      </w:r>
      <w:r w:rsidR="003B2D0A" w:rsidRPr="00382917">
        <w:t>you</w:t>
      </w:r>
      <w:r w:rsidR="00EE4FC3">
        <w:t xml:space="preserve"> </w:t>
      </w:r>
      <w:r w:rsidR="003B2D0A" w:rsidRPr="00382917">
        <w:t>are</w:t>
      </w:r>
      <w:r w:rsidR="00EE4FC3">
        <w:t xml:space="preserve"> </w:t>
      </w:r>
      <w:r w:rsidR="003B2D0A" w:rsidRPr="00382917">
        <w:t>seeking</w:t>
      </w:r>
      <w:r w:rsidR="00EE4FC3">
        <w:t xml:space="preserve"> </w:t>
      </w:r>
      <w:proofErr w:type="gramStart"/>
      <w:r w:rsidR="003B2D0A" w:rsidRPr="00382917">
        <w:t>Me</w:t>
      </w:r>
      <w:proofErr w:type="gramEnd"/>
      <w:r w:rsidR="00C03C91">
        <w:t>.</w:t>
      </w:r>
      <w:r w:rsidR="00EE4FC3">
        <w:t xml:space="preserve">  </w:t>
      </w:r>
      <w:r w:rsidR="003B2D0A" w:rsidRPr="00382917">
        <w:t>I</w:t>
      </w:r>
      <w:r w:rsidR="00EE4FC3">
        <w:t xml:space="preserve"> </w:t>
      </w:r>
      <w:r w:rsidR="003B2D0A" w:rsidRPr="00382917">
        <w:t>prefer</w:t>
      </w:r>
      <w:r w:rsidR="00EE4FC3">
        <w:t xml:space="preserve"> </w:t>
      </w:r>
      <w:r w:rsidR="003B2D0A" w:rsidRPr="00382917">
        <w:t>to</w:t>
      </w:r>
      <w:r w:rsidR="00EE4FC3">
        <w:t xml:space="preserve"> </w:t>
      </w:r>
      <w:r w:rsidR="003B2D0A" w:rsidRPr="00382917">
        <w:t>deliver</w:t>
      </w:r>
      <w:r w:rsidR="00EE4FC3">
        <w:t xml:space="preserve"> </w:t>
      </w:r>
      <w:r w:rsidR="003B2D0A" w:rsidRPr="00382917">
        <w:t>myself</w:t>
      </w:r>
      <w:r w:rsidR="00EE4FC3">
        <w:t xml:space="preserve"> </w:t>
      </w:r>
      <w:r w:rsidR="003B2D0A" w:rsidRPr="00382917">
        <w:t>into</w:t>
      </w:r>
      <w:r w:rsidR="00EE4FC3">
        <w:t xml:space="preserve"> </w:t>
      </w:r>
      <w:r w:rsidR="003B2D0A" w:rsidRPr="00382917">
        <w:t>your</w:t>
      </w:r>
      <w:r w:rsidR="00EE4FC3">
        <w:t xml:space="preserve"> </w:t>
      </w:r>
      <w:r w:rsidR="003B2D0A" w:rsidRPr="00382917">
        <w:t>hands</w:t>
      </w:r>
      <w:r w:rsidR="00EE4FC3">
        <w:t xml:space="preserve"> </w:t>
      </w:r>
      <w:r w:rsidR="003B2D0A" w:rsidRPr="00382917">
        <w:t>rather</w:t>
      </w:r>
      <w:r w:rsidR="00EE4FC3">
        <w:t xml:space="preserve"> </w:t>
      </w:r>
      <w:r w:rsidR="003B2D0A" w:rsidRPr="00382917">
        <w:t>than</w:t>
      </w:r>
      <w:r w:rsidR="00EE4FC3">
        <w:t xml:space="preserve"> </w:t>
      </w:r>
      <w:r w:rsidR="003B2D0A" w:rsidRPr="00382917">
        <w:t>subject</w:t>
      </w:r>
      <w:r w:rsidR="00EE4FC3">
        <w:t xml:space="preserve"> </w:t>
      </w:r>
      <w:r w:rsidR="003B2D0A" w:rsidRPr="00382917">
        <w:t>you</w:t>
      </w:r>
      <w:r w:rsidR="00EE4FC3">
        <w:t xml:space="preserve"> </w:t>
      </w:r>
      <w:r w:rsidR="003B2D0A" w:rsidRPr="00382917">
        <w:t>and</w:t>
      </w:r>
      <w:r w:rsidR="00EE4FC3">
        <w:t xml:space="preserve"> </w:t>
      </w:r>
      <w:r w:rsidR="003B2D0A" w:rsidRPr="00382917">
        <w:t>your</w:t>
      </w:r>
      <w:r w:rsidR="00EE4FC3">
        <w:t xml:space="preserve"> </w:t>
      </w:r>
      <w:r w:rsidR="003B2D0A" w:rsidRPr="00382917">
        <w:t>companions</w:t>
      </w:r>
      <w:r w:rsidR="00EE4FC3">
        <w:t xml:space="preserve"> </w:t>
      </w:r>
      <w:r w:rsidR="003B2D0A" w:rsidRPr="00382917">
        <w:t>to</w:t>
      </w:r>
      <w:r w:rsidR="00EE4FC3">
        <w:t xml:space="preserve"> </w:t>
      </w:r>
      <w:r w:rsidR="003B2D0A" w:rsidRPr="00382917">
        <w:t>unnecessary</w:t>
      </w:r>
      <w:r w:rsidR="00EE4FC3">
        <w:t xml:space="preserve"> </w:t>
      </w:r>
      <w:r w:rsidR="003B2D0A" w:rsidRPr="00382917">
        <w:t>annoyance</w:t>
      </w:r>
      <w:r w:rsidR="00EE4FC3">
        <w:t xml:space="preserve"> </w:t>
      </w:r>
      <w:r w:rsidR="003B2D0A" w:rsidRPr="00382917">
        <w:t>for</w:t>
      </w:r>
      <w:r w:rsidR="00EE4FC3">
        <w:t xml:space="preserve"> </w:t>
      </w:r>
      <w:proofErr w:type="gramStart"/>
      <w:r w:rsidR="003B2D0A" w:rsidRPr="00382917">
        <w:t>My</w:t>
      </w:r>
      <w:proofErr w:type="gramEnd"/>
      <w:r w:rsidR="00EE4FC3">
        <w:t xml:space="preserve"> </w:t>
      </w:r>
      <w:r w:rsidR="003B2D0A" w:rsidRPr="00382917">
        <w:t>sake</w:t>
      </w:r>
      <w:r w:rsidR="00C03C91">
        <w:t>.’”</w:t>
      </w:r>
    </w:p>
    <w:p w:rsidR="003B2D0A" w:rsidRPr="00382917" w:rsidRDefault="003B2D0A" w:rsidP="003B2D0A">
      <w:pPr>
        <w:pStyle w:val="Text"/>
      </w:pPr>
      <w:r w:rsidRPr="00382917">
        <w:t>The</w:t>
      </w:r>
      <w:r w:rsidR="00EE4FC3">
        <w:t xml:space="preserve"> </w:t>
      </w:r>
      <w:r w:rsidRPr="00382917">
        <w:t>commander</w:t>
      </w:r>
      <w:r w:rsidR="00EE4FC3">
        <w:t xml:space="preserve"> </w:t>
      </w:r>
      <w:r w:rsidRPr="00382917">
        <w:t>pleaded</w:t>
      </w:r>
      <w:r w:rsidR="00EE4FC3">
        <w:t xml:space="preserve"> </w:t>
      </w:r>
      <w:r w:rsidRPr="00382917">
        <w:t>with</w:t>
      </w:r>
      <w:r w:rsidR="00EE4FC3">
        <w:t xml:space="preserve"> </w:t>
      </w:r>
      <w:r w:rsidRPr="00382917">
        <w:t>the</w:t>
      </w:r>
      <w:r w:rsidR="00EE4FC3">
        <w:t xml:space="preserve"> </w:t>
      </w:r>
      <w:r w:rsidRPr="00382917">
        <w:t>Báb,</w:t>
      </w:r>
      <w:r w:rsidR="00EE4FC3">
        <w:t xml:space="preserve"> </w:t>
      </w:r>
      <w:r w:rsidRPr="00382917">
        <w:t>telling</w:t>
      </w:r>
      <w:r w:rsidR="00EE4FC3">
        <w:t xml:space="preserve"> </w:t>
      </w:r>
      <w:r w:rsidRPr="00382917">
        <w:t>Him</w:t>
      </w:r>
      <w:r w:rsidR="00EE4FC3">
        <w:t xml:space="preserve"> </w:t>
      </w:r>
      <w:r w:rsidRPr="00382917">
        <w:t>to</w:t>
      </w:r>
      <w:r w:rsidR="00EE4FC3">
        <w:t xml:space="preserve"> </w:t>
      </w:r>
      <w:r w:rsidRPr="00382917">
        <w:t>flee</w:t>
      </w:r>
      <w:r w:rsidR="00EE4FC3">
        <w:t xml:space="preserve"> </w:t>
      </w:r>
      <w:r w:rsidRPr="00382917">
        <w:t>from</w:t>
      </w:r>
      <w:r w:rsidR="00EE4FC3">
        <w:t xml:space="preserve"> </w:t>
      </w:r>
      <w:r w:rsidR="00964C11" w:rsidRPr="00382917">
        <w:t>Ḥusayn</w:t>
      </w:r>
      <w:r w:rsidR="00EE4FC3">
        <w:t xml:space="preserve"> </w:t>
      </w:r>
      <w:r w:rsidR="0040329F" w:rsidRPr="0040329F">
        <w:rPr>
          <w:u w:val="single"/>
        </w:rPr>
        <w:t>Kh</w:t>
      </w:r>
      <w:r w:rsidR="0040329F" w:rsidRPr="00382917">
        <w:t>án</w:t>
      </w:r>
      <w:r w:rsidR="00C03C91">
        <w:t>.</w:t>
      </w:r>
      <w:r w:rsidR="00EE4FC3">
        <w:t xml:space="preserve">  </w:t>
      </w:r>
      <w:r w:rsidRPr="00382917">
        <w:t>He</w:t>
      </w:r>
      <w:r w:rsidR="00EE4FC3">
        <w:t xml:space="preserve"> </w:t>
      </w:r>
      <w:r w:rsidRPr="00382917">
        <w:t>told</w:t>
      </w:r>
      <w:r w:rsidR="00EE4FC3">
        <w:t xml:space="preserve"> </w:t>
      </w:r>
      <w:r w:rsidRPr="00382917">
        <w:t>Him</w:t>
      </w:r>
      <w:r w:rsidR="00EE4FC3">
        <w:t xml:space="preserve"> </w:t>
      </w:r>
      <w:r w:rsidRPr="00382917">
        <w:t>of</w:t>
      </w:r>
      <w:r w:rsidR="00EE4FC3">
        <w:t xml:space="preserve"> </w:t>
      </w:r>
      <w:r w:rsidRPr="00382917">
        <w:t>the</w:t>
      </w:r>
      <w:r w:rsidR="00EE4FC3">
        <w:t xml:space="preserve"> </w:t>
      </w:r>
      <w:r w:rsidRPr="00382917">
        <w:t>suffering</w:t>
      </w:r>
      <w:r w:rsidR="00EE4FC3">
        <w:t xml:space="preserve"> </w:t>
      </w:r>
      <w:r w:rsidRPr="00382917">
        <w:t>and</w:t>
      </w:r>
      <w:r w:rsidR="00EE4FC3">
        <w:t xml:space="preserve"> </w:t>
      </w:r>
      <w:r w:rsidRPr="00382917">
        <w:t>torture</w:t>
      </w:r>
      <w:r w:rsidR="00EE4FC3">
        <w:t xml:space="preserve"> </w:t>
      </w:r>
      <w:r w:rsidRPr="00382917">
        <w:t>which</w:t>
      </w:r>
      <w:r w:rsidR="00EE4FC3">
        <w:t xml:space="preserve"> </w:t>
      </w:r>
      <w:r w:rsidRPr="00382917">
        <w:t>the</w:t>
      </w:r>
      <w:r w:rsidR="00EE4FC3">
        <w:t xml:space="preserve"> </w:t>
      </w:r>
      <w:r w:rsidRPr="00382917">
        <w:t>governor</w:t>
      </w:r>
      <w:r w:rsidR="00EE4FC3">
        <w:t xml:space="preserve"> </w:t>
      </w:r>
      <w:r w:rsidRPr="00382917">
        <w:t>had</w:t>
      </w:r>
      <w:r w:rsidR="00EE4FC3">
        <w:t xml:space="preserve"> </w:t>
      </w:r>
      <w:r w:rsidRPr="00382917">
        <w:t>caused</w:t>
      </w:r>
      <w:r w:rsidR="00EE4FC3">
        <w:t xml:space="preserve"> </w:t>
      </w:r>
      <w:r w:rsidRPr="00382917">
        <w:t>Mullá</w:t>
      </w:r>
      <w:r w:rsidR="00EE4FC3">
        <w:t xml:space="preserve"> </w:t>
      </w:r>
      <w:r w:rsidRPr="00382917">
        <w:t>Ṣádiq</w:t>
      </w:r>
      <w:r w:rsidR="00EE4FC3">
        <w:t xml:space="preserve"> </w:t>
      </w:r>
      <w:r w:rsidRPr="00382917">
        <w:t>and</w:t>
      </w:r>
      <w:r w:rsidR="00EE4FC3">
        <w:t xml:space="preserve"> </w:t>
      </w:r>
      <w:r w:rsidRPr="00382917">
        <w:t>Quddús.</w:t>
      </w:r>
    </w:p>
    <w:p w:rsidR="003B2D0A" w:rsidRPr="00382917" w:rsidRDefault="009C713D" w:rsidP="003B2D0A">
      <w:pPr>
        <w:pStyle w:val="Text"/>
      </w:pPr>
      <w:r w:rsidRPr="00382917">
        <w:t>“</w:t>
      </w:r>
      <w:r w:rsidR="003B2D0A" w:rsidRPr="00382917">
        <w:t>He</w:t>
      </w:r>
      <w:r w:rsidR="00EE4FC3">
        <w:t xml:space="preserve"> </w:t>
      </w:r>
      <w:r w:rsidR="003B2D0A" w:rsidRPr="00382917">
        <w:t>is</w:t>
      </w:r>
      <w:r w:rsidR="00EE4FC3">
        <w:t xml:space="preserve"> </w:t>
      </w:r>
      <w:r w:rsidR="003B2D0A" w:rsidRPr="00382917">
        <w:t>ruthless,</w:t>
      </w:r>
      <w:r w:rsidRPr="00382917">
        <w:t>”</w:t>
      </w:r>
      <w:r w:rsidR="00EE4FC3">
        <w:t xml:space="preserve"> </w:t>
      </w:r>
      <w:r w:rsidR="003B2D0A" w:rsidRPr="00382917">
        <w:t>the</w:t>
      </w:r>
      <w:r w:rsidR="00EE4FC3">
        <w:t xml:space="preserve"> </w:t>
      </w:r>
      <w:r w:rsidR="003B2D0A" w:rsidRPr="00382917">
        <w:t>commander</w:t>
      </w:r>
      <w:r w:rsidR="00EE4FC3">
        <w:t xml:space="preserve"> </w:t>
      </w:r>
      <w:r w:rsidR="003B2D0A" w:rsidRPr="00382917">
        <w:t>said</w:t>
      </w:r>
      <w:r w:rsidR="00C03C91">
        <w:t>.</w:t>
      </w:r>
      <w:r w:rsidR="00EE4FC3">
        <w:t xml:space="preserve">  </w:t>
      </w:r>
      <w:r w:rsidRPr="00382917">
        <w:t>“</w:t>
      </w:r>
      <w:r w:rsidR="003B2D0A" w:rsidRPr="00382917">
        <w:t>I</w:t>
      </w:r>
      <w:r w:rsidR="00EE4FC3">
        <w:t xml:space="preserve"> </w:t>
      </w:r>
      <w:r w:rsidR="003B2D0A" w:rsidRPr="00382917">
        <w:t>do</w:t>
      </w:r>
      <w:r w:rsidR="00EE4FC3">
        <w:t xml:space="preserve"> </w:t>
      </w:r>
      <w:r w:rsidR="003B2D0A" w:rsidRPr="00382917">
        <w:t>not</w:t>
      </w:r>
      <w:r w:rsidR="00EE4FC3">
        <w:t xml:space="preserve"> </w:t>
      </w:r>
      <w:r w:rsidR="003B2D0A" w:rsidRPr="00382917">
        <w:t>wish</w:t>
      </w:r>
      <w:r w:rsidR="00EE4FC3">
        <w:t xml:space="preserve"> </w:t>
      </w:r>
      <w:r w:rsidR="003B2D0A" w:rsidRPr="00382917">
        <w:t>to</w:t>
      </w:r>
      <w:r w:rsidR="00EE4FC3">
        <w:t xml:space="preserve"> </w:t>
      </w:r>
      <w:r w:rsidR="003B2D0A" w:rsidRPr="00382917">
        <w:t>be</w:t>
      </w:r>
      <w:r w:rsidR="00EE4FC3">
        <w:t xml:space="preserve"> </w:t>
      </w:r>
      <w:r w:rsidR="003B2D0A" w:rsidRPr="00382917">
        <w:t>his</w:t>
      </w:r>
      <w:r w:rsidR="00EE4FC3">
        <w:t xml:space="preserve"> </w:t>
      </w:r>
      <w:r w:rsidR="003B2D0A" w:rsidRPr="00382917">
        <w:t>instrument</w:t>
      </w:r>
      <w:r w:rsidR="00EE4FC3">
        <w:t xml:space="preserve"> </w:t>
      </w:r>
      <w:r w:rsidR="003B2D0A" w:rsidRPr="00382917">
        <w:t>for</w:t>
      </w:r>
      <w:r w:rsidR="00EE4FC3">
        <w:t xml:space="preserve"> </w:t>
      </w:r>
      <w:r w:rsidR="003B2D0A" w:rsidRPr="00382917">
        <w:t>persecuting</w:t>
      </w:r>
      <w:r w:rsidR="00EE4FC3">
        <w:t xml:space="preserve"> </w:t>
      </w:r>
      <w:r w:rsidR="003B2D0A" w:rsidRPr="00382917">
        <w:t>you,</w:t>
      </w:r>
      <w:r w:rsidR="00EE4FC3">
        <w:t xml:space="preserve"> </w:t>
      </w:r>
      <w:r w:rsidR="003B2D0A" w:rsidRPr="00382917">
        <w:t>an</w:t>
      </w:r>
      <w:r w:rsidR="00EE4FC3">
        <w:t xml:space="preserve"> </w:t>
      </w:r>
      <w:r w:rsidR="003B2D0A" w:rsidRPr="00382917">
        <w:t>innocent</w:t>
      </w:r>
      <w:r w:rsidR="00EE4FC3">
        <w:t xml:space="preserve"> </w:t>
      </w:r>
      <w:r w:rsidR="003B2D0A" w:rsidRPr="00382917">
        <w:t>person</w:t>
      </w:r>
      <w:r w:rsidR="00C03C91">
        <w:t>.</w:t>
      </w:r>
      <w:r w:rsidR="00EE4FC3">
        <w:t xml:space="preserve">  </w:t>
      </w:r>
      <w:r w:rsidR="003B2D0A" w:rsidRPr="00382917">
        <w:t>Escape</w:t>
      </w:r>
      <w:r w:rsidR="00EE4FC3">
        <w:t xml:space="preserve"> </w:t>
      </w:r>
      <w:r w:rsidR="003B2D0A" w:rsidRPr="00382917">
        <w:t>to</w:t>
      </w:r>
      <w:r w:rsidR="00EE4FC3">
        <w:t xml:space="preserve"> </w:t>
      </w:r>
      <w:r w:rsidR="008A0ADC" w:rsidRPr="00382917">
        <w:t>Ma</w:t>
      </w:r>
      <w:r w:rsidR="008A0ADC" w:rsidRPr="008A0ADC">
        <w:rPr>
          <w:u w:val="single"/>
        </w:rPr>
        <w:t>sh</w:t>
      </w:r>
      <w:r w:rsidR="008A0ADC" w:rsidRPr="00382917">
        <w:t>had</w:t>
      </w:r>
      <w:r w:rsidR="003B2D0A" w:rsidRPr="00382917">
        <w:t>.</w:t>
      </w:r>
      <w:r w:rsidRPr="00382917">
        <w:t>”</w:t>
      </w:r>
    </w:p>
    <w:p w:rsidR="003B2D0A" w:rsidRPr="00382917" w:rsidRDefault="009C713D" w:rsidP="005B7FB6">
      <w:pPr>
        <w:pStyle w:val="Text"/>
      </w:pPr>
      <w:r w:rsidRPr="00382917">
        <w:t>“</w:t>
      </w:r>
      <w:r w:rsidR="003B2D0A" w:rsidRPr="00382917">
        <w:t>Deliver</w:t>
      </w:r>
      <w:r w:rsidR="00EE4FC3">
        <w:t xml:space="preserve"> </w:t>
      </w:r>
      <w:r w:rsidR="003B2D0A" w:rsidRPr="00382917">
        <w:t>Me</w:t>
      </w:r>
      <w:r w:rsidR="00EE4FC3">
        <w:t xml:space="preserve"> </w:t>
      </w:r>
      <w:r w:rsidR="003B2D0A" w:rsidRPr="00382917">
        <w:t>into</w:t>
      </w:r>
      <w:r w:rsidR="00EE4FC3">
        <w:t xml:space="preserve"> </w:t>
      </w:r>
      <w:r w:rsidR="003B2D0A" w:rsidRPr="00382917">
        <w:t>the</w:t>
      </w:r>
      <w:r w:rsidR="00EE4FC3">
        <w:t xml:space="preserve"> </w:t>
      </w:r>
      <w:r w:rsidR="003B2D0A" w:rsidRPr="00382917">
        <w:t>hands</w:t>
      </w:r>
      <w:r w:rsidR="00EE4FC3">
        <w:t xml:space="preserve"> </w:t>
      </w:r>
      <w:r w:rsidR="003B2D0A" w:rsidRPr="00382917">
        <w:t>of</w:t>
      </w:r>
      <w:r w:rsidR="00EE4FC3">
        <w:t xml:space="preserve"> </w:t>
      </w:r>
      <w:r w:rsidR="003B2D0A" w:rsidRPr="00382917">
        <w:t>your</w:t>
      </w:r>
      <w:r w:rsidR="00EE4FC3">
        <w:t xml:space="preserve"> </w:t>
      </w:r>
      <w:r w:rsidR="003B2D0A" w:rsidRPr="00382917">
        <w:t>master,</w:t>
      </w:r>
      <w:r w:rsidRPr="00382917">
        <w:t>”</w:t>
      </w:r>
      <w:r w:rsidR="00EE4FC3">
        <w:t xml:space="preserve"> </w:t>
      </w:r>
      <w:r w:rsidR="003B2D0A" w:rsidRPr="00382917">
        <w:t>the</w:t>
      </w:r>
      <w:r w:rsidR="00EE4FC3">
        <w:t xml:space="preserve"> </w:t>
      </w:r>
      <w:r w:rsidR="003B2D0A" w:rsidRPr="00382917">
        <w:t>Báb</w:t>
      </w:r>
      <w:r w:rsidR="00EE4FC3">
        <w:t xml:space="preserve"> </w:t>
      </w:r>
      <w:r w:rsidR="003B2D0A" w:rsidRPr="00382917">
        <w:t>replied</w:t>
      </w:r>
      <w:r w:rsidR="00C03C91">
        <w:t>.</w:t>
      </w:r>
      <w:r w:rsidR="00EE4FC3">
        <w:t xml:space="preserve">  </w:t>
      </w:r>
      <w:r w:rsidRPr="00382917">
        <w:t>“</w:t>
      </w:r>
      <w:r w:rsidR="003B2D0A" w:rsidRPr="00382917">
        <w:t>Be</w:t>
      </w:r>
      <w:r w:rsidR="00EE4FC3">
        <w:t xml:space="preserve"> </w:t>
      </w:r>
      <w:r w:rsidR="003B2D0A" w:rsidRPr="00382917">
        <w:t>not</w:t>
      </w:r>
      <w:r w:rsidR="00EE4FC3">
        <w:t xml:space="preserve"> </w:t>
      </w:r>
      <w:r w:rsidR="003B2D0A" w:rsidRPr="00382917">
        <w:t>afraid,</w:t>
      </w:r>
      <w:r w:rsidR="00EE4FC3">
        <w:t xml:space="preserve"> </w:t>
      </w:r>
      <w:r w:rsidR="003B2D0A" w:rsidRPr="00382917">
        <w:t>for</w:t>
      </w:r>
      <w:r w:rsidR="00EE4FC3">
        <w:t xml:space="preserve"> </w:t>
      </w:r>
      <w:r w:rsidR="003B2D0A" w:rsidRPr="00382917">
        <w:t>no</w:t>
      </w:r>
      <w:r w:rsidR="00EE4FC3">
        <w:t xml:space="preserve"> </w:t>
      </w:r>
      <w:r w:rsidR="003B2D0A" w:rsidRPr="00382917">
        <w:t>one</w:t>
      </w:r>
      <w:r w:rsidR="00EE4FC3">
        <w:t xml:space="preserve"> </w:t>
      </w:r>
      <w:r w:rsidR="003B2D0A" w:rsidRPr="00382917">
        <w:t>will</w:t>
      </w:r>
      <w:r w:rsidR="00EE4FC3">
        <w:t xml:space="preserve"> </w:t>
      </w:r>
      <w:r w:rsidR="003B2D0A" w:rsidRPr="00382917">
        <w:t>blame</w:t>
      </w:r>
      <w:r w:rsidR="00EE4FC3">
        <w:t xml:space="preserve"> </w:t>
      </w:r>
      <w:r w:rsidR="003B2D0A" w:rsidRPr="00382917">
        <w:t>you</w:t>
      </w:r>
      <w:r w:rsidR="00C03C91">
        <w:t>.</w:t>
      </w:r>
      <w:r w:rsidR="00EE4FC3">
        <w:t xml:space="preserve">  </w:t>
      </w:r>
      <w:r w:rsidR="003B2D0A" w:rsidRPr="00382917">
        <w:t>Until</w:t>
      </w:r>
      <w:r w:rsidR="00EE4FC3">
        <w:t xml:space="preserve"> </w:t>
      </w:r>
      <w:proofErr w:type="gramStart"/>
      <w:r w:rsidR="003B2D0A" w:rsidRPr="00382917">
        <w:t>My</w:t>
      </w:r>
      <w:proofErr w:type="gramEnd"/>
      <w:r w:rsidR="00EE4FC3">
        <w:t xml:space="preserve"> </w:t>
      </w:r>
      <w:r w:rsidR="003B2D0A" w:rsidRPr="00382917">
        <w:t>last</w:t>
      </w:r>
      <w:r w:rsidR="00EE4FC3">
        <w:t xml:space="preserve"> </w:t>
      </w:r>
      <w:r w:rsidR="003B2D0A" w:rsidRPr="00382917">
        <w:t>hour</w:t>
      </w:r>
      <w:r w:rsidR="00EE4FC3">
        <w:t xml:space="preserve"> </w:t>
      </w:r>
      <w:r w:rsidR="003B2D0A" w:rsidRPr="00382917">
        <w:t>is</w:t>
      </w:r>
      <w:r w:rsidR="00EE4FC3">
        <w:t xml:space="preserve"> </w:t>
      </w:r>
      <w:r w:rsidR="003B2D0A" w:rsidRPr="00382917">
        <w:t>at</w:t>
      </w:r>
      <w:r w:rsidR="00EE4FC3">
        <w:t xml:space="preserve"> </w:t>
      </w:r>
      <w:r w:rsidR="003B2D0A" w:rsidRPr="00382917">
        <w:t>hand,</w:t>
      </w:r>
      <w:r w:rsidR="00EE4FC3">
        <w:t xml:space="preserve"> </w:t>
      </w:r>
      <w:r w:rsidR="003B2D0A" w:rsidRPr="00382917">
        <w:t>none</w:t>
      </w:r>
      <w:r w:rsidR="00EE4FC3">
        <w:t xml:space="preserve"> </w:t>
      </w:r>
      <w:r w:rsidR="003B2D0A" w:rsidRPr="00382917">
        <w:t>dare</w:t>
      </w:r>
      <w:r w:rsidR="00EE4FC3">
        <w:t xml:space="preserve"> </w:t>
      </w:r>
      <w:r w:rsidR="003B2D0A" w:rsidRPr="00382917">
        <w:t>assail</w:t>
      </w:r>
      <w:r w:rsidR="00EE4FC3">
        <w:t xml:space="preserve"> </w:t>
      </w:r>
      <w:r w:rsidR="003B2D0A" w:rsidRPr="00382917">
        <w:t>Me,</w:t>
      </w:r>
      <w:r w:rsidR="00EE4FC3">
        <w:t xml:space="preserve"> </w:t>
      </w:r>
      <w:r w:rsidR="003B2D0A" w:rsidRPr="00382917">
        <w:t>none</w:t>
      </w:r>
      <w:r w:rsidR="00EE4FC3">
        <w:t xml:space="preserve"> </w:t>
      </w:r>
      <w:r w:rsidR="003B2D0A" w:rsidRPr="00382917">
        <w:t>can</w:t>
      </w:r>
      <w:r w:rsidR="00EE4FC3">
        <w:t xml:space="preserve"> </w:t>
      </w:r>
      <w:r w:rsidR="003B2D0A" w:rsidRPr="00382917">
        <w:t>frustrate</w:t>
      </w:r>
      <w:r w:rsidR="00EE4FC3">
        <w:t xml:space="preserve"> </w:t>
      </w:r>
      <w:r w:rsidR="003B2D0A" w:rsidRPr="00382917">
        <w:t>the</w:t>
      </w:r>
      <w:r w:rsidR="00EE4FC3">
        <w:t xml:space="preserve"> </w:t>
      </w:r>
      <w:r w:rsidR="003B2D0A" w:rsidRPr="00382917">
        <w:t>plan</w:t>
      </w:r>
      <w:r w:rsidR="00EE4FC3">
        <w:t xml:space="preserve"> </w:t>
      </w:r>
      <w:r w:rsidR="003B2D0A" w:rsidRPr="00382917">
        <w:t>of</w:t>
      </w:r>
      <w:r w:rsidR="00EE4FC3">
        <w:t xml:space="preserve"> </w:t>
      </w:r>
      <w:r w:rsidR="003B2D0A" w:rsidRPr="00382917">
        <w:t>the</w:t>
      </w:r>
      <w:r w:rsidR="00EE4FC3">
        <w:t xml:space="preserve"> </w:t>
      </w:r>
      <w:r w:rsidR="003B2D0A" w:rsidRPr="00382917">
        <w:t>Almighty</w:t>
      </w:r>
      <w:r w:rsidR="00C03C91">
        <w:t>.</w:t>
      </w:r>
      <w:r w:rsidR="00EE4FC3">
        <w:t xml:space="preserve">  </w:t>
      </w:r>
      <w:r w:rsidR="003B2D0A" w:rsidRPr="00382917">
        <w:t>And</w:t>
      </w:r>
      <w:r w:rsidR="00EE4FC3">
        <w:t xml:space="preserve"> </w:t>
      </w:r>
      <w:r w:rsidR="003B2D0A" w:rsidRPr="00382917">
        <w:t>when</w:t>
      </w:r>
      <w:r w:rsidR="00EE4FC3">
        <w:t xml:space="preserve"> </w:t>
      </w:r>
      <w:proofErr w:type="gramStart"/>
      <w:r w:rsidR="003B2D0A" w:rsidRPr="00382917">
        <w:t>My</w:t>
      </w:r>
      <w:proofErr w:type="gramEnd"/>
      <w:r w:rsidR="00EE4FC3">
        <w:t xml:space="preserve"> </w:t>
      </w:r>
      <w:r w:rsidR="003B2D0A" w:rsidRPr="00382917">
        <w:t>hour</w:t>
      </w:r>
      <w:r w:rsidR="00EE4FC3">
        <w:t xml:space="preserve"> </w:t>
      </w:r>
      <w:r w:rsidR="003B2D0A" w:rsidRPr="00382917">
        <w:t>is</w:t>
      </w:r>
      <w:r w:rsidR="00EE4FC3">
        <w:t xml:space="preserve"> </w:t>
      </w:r>
      <w:r w:rsidR="003B2D0A" w:rsidRPr="00382917">
        <w:t>come,</w:t>
      </w:r>
      <w:r w:rsidR="00EE4FC3">
        <w:t xml:space="preserve"> </w:t>
      </w:r>
      <w:r w:rsidR="003B2D0A" w:rsidRPr="00382917">
        <w:t>how</w:t>
      </w:r>
      <w:r w:rsidR="00EE4FC3">
        <w:t xml:space="preserve"> </w:t>
      </w:r>
      <w:r w:rsidR="003B2D0A" w:rsidRPr="00382917">
        <w:t>great</w:t>
      </w:r>
      <w:r w:rsidR="00EE4FC3">
        <w:t xml:space="preserve"> </w:t>
      </w:r>
      <w:r w:rsidR="003B2D0A" w:rsidRPr="00382917">
        <w:t>will</w:t>
      </w:r>
      <w:r w:rsidR="00EE4FC3">
        <w:t xml:space="preserve"> </w:t>
      </w:r>
      <w:r w:rsidR="003B2D0A" w:rsidRPr="00382917">
        <w:t>be</w:t>
      </w:r>
      <w:r w:rsidR="00EE4FC3">
        <w:t xml:space="preserve"> </w:t>
      </w:r>
      <w:r w:rsidR="003B2D0A" w:rsidRPr="00382917">
        <w:t>My</w:t>
      </w:r>
      <w:r w:rsidR="00EE4FC3">
        <w:t xml:space="preserve"> </w:t>
      </w:r>
      <w:r w:rsidR="003B2D0A" w:rsidRPr="00382917">
        <w:t>joy</w:t>
      </w:r>
      <w:r w:rsidR="00EE4FC3">
        <w:t xml:space="preserve"> </w:t>
      </w:r>
      <w:r w:rsidR="003B2D0A" w:rsidRPr="00382917">
        <w:t>to</w:t>
      </w:r>
      <w:r w:rsidR="00EE4FC3">
        <w:t xml:space="preserve"> </w:t>
      </w:r>
      <w:r w:rsidR="003B2D0A" w:rsidRPr="00382917">
        <w:t>quaff</w:t>
      </w:r>
      <w:r w:rsidR="00EE4FC3">
        <w:t xml:space="preserve"> </w:t>
      </w:r>
      <w:r w:rsidR="003B2D0A" w:rsidRPr="00382917">
        <w:t>the</w:t>
      </w:r>
      <w:r w:rsidR="00EE4FC3">
        <w:t xml:space="preserve"> </w:t>
      </w:r>
      <w:r w:rsidR="003B2D0A" w:rsidRPr="00382917">
        <w:t>cup</w:t>
      </w:r>
      <w:r w:rsidR="00EE4FC3">
        <w:t xml:space="preserve"> </w:t>
      </w:r>
      <w:r w:rsidR="003B2D0A" w:rsidRPr="00382917">
        <w:t>of</w:t>
      </w:r>
      <w:r w:rsidR="00EE4FC3">
        <w:t xml:space="preserve"> </w:t>
      </w:r>
      <w:r w:rsidR="003B2D0A" w:rsidRPr="00382917">
        <w:t>martyrdom</w:t>
      </w:r>
      <w:r w:rsidR="00EE4FC3">
        <w:t xml:space="preserve"> </w:t>
      </w:r>
      <w:r w:rsidR="003B2D0A" w:rsidRPr="00382917">
        <w:t>in</w:t>
      </w:r>
      <w:r w:rsidR="00EE4FC3">
        <w:t xml:space="preserve"> </w:t>
      </w:r>
      <w:r w:rsidR="003B2D0A" w:rsidRPr="00382917">
        <w:t>His</w:t>
      </w:r>
      <w:r w:rsidR="00EE4FC3">
        <w:t xml:space="preserve"> </w:t>
      </w:r>
      <w:r w:rsidR="003B2D0A" w:rsidRPr="00382917">
        <w:t>name.</w:t>
      </w:r>
      <w:r w:rsidRPr="00382917">
        <w:t>”</w:t>
      </w:r>
      <w:r w:rsidR="005B7FB6">
        <w:rPr>
          <w:rStyle w:val="FootnoteReference"/>
        </w:rPr>
        <w:footnoteReference w:id="31"/>
      </w:r>
    </w:p>
    <w:p w:rsidR="003B2D0A" w:rsidRPr="00382917" w:rsidRDefault="003B2D0A" w:rsidP="003B2D0A">
      <w:pPr>
        <w:pStyle w:val="Text"/>
      </w:pPr>
      <w:r w:rsidRPr="00382917">
        <w:t>The</w:t>
      </w:r>
      <w:r w:rsidR="00EE4FC3">
        <w:t xml:space="preserve"> </w:t>
      </w:r>
      <w:r w:rsidRPr="00382917">
        <w:t>commander</w:t>
      </w:r>
      <w:r w:rsidR="00EE4FC3">
        <w:t xml:space="preserve"> </w:t>
      </w:r>
      <w:r w:rsidRPr="00382917">
        <w:t>bowed</w:t>
      </w:r>
      <w:r w:rsidR="00EE4FC3">
        <w:t xml:space="preserve"> </w:t>
      </w:r>
      <w:r w:rsidRPr="00382917">
        <w:t>his</w:t>
      </w:r>
      <w:r w:rsidR="00EE4FC3">
        <w:t xml:space="preserve"> </w:t>
      </w:r>
      <w:r w:rsidRPr="00382917">
        <w:t>head</w:t>
      </w:r>
      <w:r w:rsidR="00EE4FC3">
        <w:t xml:space="preserve"> </w:t>
      </w:r>
      <w:r w:rsidRPr="00382917">
        <w:t>in</w:t>
      </w:r>
      <w:r w:rsidR="00EE4FC3">
        <w:t xml:space="preserve"> </w:t>
      </w:r>
      <w:r w:rsidRPr="00382917">
        <w:t>consent</w:t>
      </w:r>
      <w:r w:rsidR="00EE4FC3">
        <w:t xml:space="preserve"> </w:t>
      </w:r>
      <w:r w:rsidRPr="00382917">
        <w:t>and</w:t>
      </w:r>
      <w:r w:rsidR="00EE4FC3">
        <w:t xml:space="preserve"> </w:t>
      </w:r>
      <w:r w:rsidRPr="00382917">
        <w:t>carried</w:t>
      </w:r>
      <w:r w:rsidR="00EE4FC3">
        <w:t xml:space="preserve"> </w:t>
      </w:r>
      <w:r w:rsidRPr="00382917">
        <w:t>out</w:t>
      </w:r>
      <w:r w:rsidR="00EE4FC3">
        <w:t xml:space="preserve"> </w:t>
      </w:r>
      <w:r w:rsidRPr="00382917">
        <w:t>the</w:t>
      </w:r>
      <w:r w:rsidR="00EE4FC3">
        <w:t xml:space="preserve"> </w:t>
      </w:r>
      <w:r w:rsidRPr="00382917">
        <w:t>Báb</w:t>
      </w:r>
      <w:r w:rsidR="009C713D" w:rsidRPr="00382917">
        <w:t>’</w:t>
      </w:r>
      <w:r w:rsidRPr="00382917">
        <w:t>s</w:t>
      </w:r>
      <w:r w:rsidR="00EE4FC3">
        <w:t xml:space="preserve"> </w:t>
      </w:r>
      <w:r w:rsidRPr="00382917">
        <w:t>wishes</w:t>
      </w:r>
      <w:r w:rsidR="00C03C91">
        <w:t>.</w:t>
      </w:r>
      <w:r w:rsidR="00EE4FC3">
        <w:t xml:space="preserve">  </w:t>
      </w:r>
      <w:r w:rsidRPr="00382917">
        <w:t>He</w:t>
      </w:r>
      <w:r w:rsidR="00EE4FC3">
        <w:t xml:space="preserve"> </w:t>
      </w:r>
      <w:r w:rsidRPr="00382917">
        <w:t>ordered</w:t>
      </w:r>
      <w:r w:rsidR="00EE4FC3">
        <w:t xml:space="preserve"> </w:t>
      </w:r>
      <w:r w:rsidRPr="00382917">
        <w:t>his</w:t>
      </w:r>
      <w:r w:rsidR="00EE4FC3">
        <w:t xml:space="preserve"> </w:t>
      </w:r>
      <w:r w:rsidRPr="00382917">
        <w:t>escort</w:t>
      </w:r>
      <w:r w:rsidR="00EE4FC3">
        <w:t xml:space="preserve"> </w:t>
      </w:r>
      <w:r w:rsidRPr="00382917">
        <w:t>to</w:t>
      </w:r>
      <w:r w:rsidR="00EE4FC3">
        <w:t xml:space="preserve"> </w:t>
      </w:r>
      <w:r w:rsidRPr="00382917">
        <w:t>permit</w:t>
      </w:r>
      <w:r w:rsidR="00EE4FC3">
        <w:t xml:space="preserve"> </w:t>
      </w:r>
      <w:r w:rsidRPr="00382917">
        <w:t>the</w:t>
      </w:r>
      <w:r w:rsidR="00EE4FC3">
        <w:t xml:space="preserve"> </w:t>
      </w:r>
      <w:r w:rsidRPr="00382917">
        <w:t>Báb</w:t>
      </w:r>
      <w:r w:rsidR="00EE4FC3">
        <w:t xml:space="preserve"> </w:t>
      </w:r>
      <w:r w:rsidRPr="00382917">
        <w:t>to</w:t>
      </w:r>
      <w:r w:rsidR="00EE4FC3">
        <w:t xml:space="preserve"> </w:t>
      </w:r>
      <w:r w:rsidRPr="00382917">
        <w:t>ride</w:t>
      </w:r>
      <w:r w:rsidR="00EE4FC3">
        <w:t xml:space="preserve"> </w:t>
      </w:r>
      <w:r w:rsidRPr="00382917">
        <w:t>on</w:t>
      </w:r>
      <w:r w:rsidR="00EE4FC3">
        <w:t xml:space="preserve"> </w:t>
      </w:r>
      <w:r w:rsidRPr="00382917">
        <w:t>ahead</w:t>
      </w:r>
      <w:r w:rsidR="00EE4FC3">
        <w:t xml:space="preserve"> </w:t>
      </w:r>
      <w:r w:rsidRPr="00382917">
        <w:t>of</w:t>
      </w:r>
      <w:r w:rsidR="00EE4FC3">
        <w:t xml:space="preserve"> </w:t>
      </w:r>
      <w:r w:rsidRPr="00382917">
        <w:t>them</w:t>
      </w:r>
      <w:r w:rsidR="00EE4FC3">
        <w:t xml:space="preserve"> </w:t>
      </w:r>
      <w:r w:rsidRPr="00382917">
        <w:t>as</w:t>
      </w:r>
      <w:r w:rsidR="00EE4FC3">
        <w:t xml:space="preserve"> </w:t>
      </w:r>
      <w:r w:rsidRPr="00382917">
        <w:t>though</w:t>
      </w:r>
      <w:r w:rsidR="00EE4FC3">
        <w:t xml:space="preserve"> </w:t>
      </w:r>
      <w:r w:rsidRPr="00382917">
        <w:t>they</w:t>
      </w:r>
      <w:r w:rsidR="00EE4FC3">
        <w:t xml:space="preserve"> </w:t>
      </w:r>
      <w:r w:rsidRPr="00382917">
        <w:t>were</w:t>
      </w:r>
      <w:r w:rsidR="00EE4FC3">
        <w:t xml:space="preserve"> </w:t>
      </w:r>
      <w:r w:rsidRPr="00382917">
        <w:t>a</w:t>
      </w:r>
      <w:r w:rsidR="00EE4FC3">
        <w:t xml:space="preserve"> </w:t>
      </w:r>
      <w:r w:rsidRPr="00382917">
        <w:t>guard</w:t>
      </w:r>
      <w:r w:rsidR="00EE4FC3">
        <w:t xml:space="preserve"> </w:t>
      </w:r>
      <w:r w:rsidRPr="00382917">
        <w:t>of</w:t>
      </w:r>
      <w:r w:rsidR="00EE4FC3">
        <w:t xml:space="preserve"> </w:t>
      </w:r>
      <w:proofErr w:type="spellStart"/>
      <w:r w:rsidRPr="00382917">
        <w:t>honor</w:t>
      </w:r>
      <w:proofErr w:type="spellEnd"/>
      <w:r w:rsidR="00EE4FC3">
        <w:t xml:space="preserve"> </w:t>
      </w:r>
      <w:r w:rsidRPr="00382917">
        <w:t>rather</w:t>
      </w:r>
      <w:r w:rsidR="00EE4FC3">
        <w:t xml:space="preserve"> </w:t>
      </w:r>
      <w:r w:rsidRPr="00382917">
        <w:t>than</w:t>
      </w:r>
      <w:r w:rsidR="00EE4FC3">
        <w:t xml:space="preserve"> </w:t>
      </w:r>
      <w:r w:rsidRPr="00382917">
        <w:t>a</w:t>
      </w:r>
      <w:r w:rsidR="00EE4FC3">
        <w:t xml:space="preserve"> </w:t>
      </w:r>
      <w:r w:rsidRPr="00382917">
        <w:t>party</w:t>
      </w:r>
      <w:r w:rsidR="00EE4FC3">
        <w:t xml:space="preserve"> </w:t>
      </w:r>
      <w:r w:rsidRPr="00382917">
        <w:t>of</w:t>
      </w:r>
      <w:r w:rsidR="00EE4FC3">
        <w:t xml:space="preserve"> </w:t>
      </w:r>
      <w:r w:rsidRPr="00382917">
        <w:t>arrest</w:t>
      </w:r>
      <w:r w:rsidR="00C03C91">
        <w:t>.</w:t>
      </w:r>
      <w:r w:rsidR="00EE4FC3">
        <w:t xml:space="preserve">  </w:t>
      </w:r>
      <w:r w:rsidRPr="00382917">
        <w:t>They</w:t>
      </w:r>
      <w:r w:rsidR="00EE4FC3">
        <w:t xml:space="preserve"> </w:t>
      </w:r>
      <w:r w:rsidRPr="00382917">
        <w:t>continued</w:t>
      </w:r>
      <w:r w:rsidR="00EE4FC3">
        <w:t xml:space="preserve"> </w:t>
      </w:r>
      <w:r w:rsidRPr="00382917">
        <w:t>in</w:t>
      </w:r>
      <w:r w:rsidR="00EE4FC3">
        <w:t xml:space="preserve"> </w:t>
      </w:r>
      <w:r w:rsidRPr="00382917">
        <w:t>this</w:t>
      </w:r>
      <w:r w:rsidR="00EE4FC3">
        <w:t xml:space="preserve"> </w:t>
      </w:r>
      <w:r w:rsidRPr="00382917">
        <w:t>fashion</w:t>
      </w:r>
      <w:r w:rsidR="00EE4FC3">
        <w:t xml:space="preserve"> </w:t>
      </w:r>
      <w:r w:rsidRPr="00382917">
        <w:t>until</w:t>
      </w:r>
      <w:r w:rsidR="00EE4FC3">
        <w:t xml:space="preserve"> </w:t>
      </w:r>
      <w:r w:rsidRPr="00382917">
        <w:t>they</w:t>
      </w:r>
      <w:r w:rsidR="00EE4FC3">
        <w:t xml:space="preserve"> </w:t>
      </w:r>
      <w:r w:rsidRPr="00382917">
        <w:t>reached</w:t>
      </w:r>
      <w:r w:rsidR="00EE4FC3">
        <w:t xml:space="preserve"> </w:t>
      </w:r>
      <w:r w:rsidR="008A073E" w:rsidRPr="00382917">
        <w:rPr>
          <w:u w:val="single"/>
        </w:rPr>
        <w:t>Sh</w:t>
      </w:r>
      <w:r w:rsidR="008A073E" w:rsidRPr="00382917">
        <w:t>íráz</w:t>
      </w:r>
      <w:r w:rsidRPr="00382917">
        <w:t>.</w:t>
      </w:r>
    </w:p>
    <w:p w:rsidR="003B2D0A" w:rsidRPr="00382917" w:rsidRDefault="003B2D0A" w:rsidP="003B2D0A">
      <w:pPr>
        <w:pStyle w:val="Text"/>
      </w:pPr>
      <w:r w:rsidRPr="00382917">
        <w:t>People</w:t>
      </w:r>
      <w:r w:rsidR="00EE4FC3">
        <w:t xml:space="preserve"> </w:t>
      </w:r>
      <w:r w:rsidRPr="00382917">
        <w:t>turned</w:t>
      </w:r>
      <w:r w:rsidR="00EE4FC3">
        <w:t xml:space="preserve"> </w:t>
      </w:r>
      <w:r w:rsidRPr="00382917">
        <w:t>around</w:t>
      </w:r>
      <w:r w:rsidR="00EE4FC3">
        <w:t xml:space="preserve"> </w:t>
      </w:r>
      <w:r w:rsidRPr="00382917">
        <w:t>in</w:t>
      </w:r>
      <w:r w:rsidR="00EE4FC3">
        <w:t xml:space="preserve"> </w:t>
      </w:r>
      <w:r w:rsidRPr="00382917">
        <w:t>the</w:t>
      </w:r>
      <w:r w:rsidR="00EE4FC3">
        <w:t xml:space="preserve"> </w:t>
      </w:r>
      <w:r w:rsidRPr="00382917">
        <w:t>street</w:t>
      </w:r>
      <w:r w:rsidR="00EE4FC3">
        <w:t xml:space="preserve"> </w:t>
      </w:r>
      <w:r w:rsidRPr="00382917">
        <w:t>to</w:t>
      </w:r>
      <w:r w:rsidR="00EE4FC3">
        <w:t xml:space="preserve"> </w:t>
      </w:r>
      <w:r w:rsidRPr="00382917">
        <w:t>watch</w:t>
      </w:r>
      <w:r w:rsidR="00EE4FC3">
        <w:t xml:space="preserve"> </w:t>
      </w:r>
      <w:r w:rsidRPr="00382917">
        <w:t>them</w:t>
      </w:r>
      <w:r w:rsidR="00EE4FC3">
        <w:t xml:space="preserve"> </w:t>
      </w:r>
      <w:r w:rsidRPr="00382917">
        <w:t>and</w:t>
      </w:r>
      <w:r w:rsidR="00EE4FC3">
        <w:t xml:space="preserve"> </w:t>
      </w:r>
      <w:r w:rsidRPr="00382917">
        <w:t>to</w:t>
      </w:r>
      <w:r w:rsidR="00EE4FC3">
        <w:t xml:space="preserve"> </w:t>
      </w:r>
      <w:r w:rsidRPr="00382917">
        <w:t>marvel</w:t>
      </w:r>
      <w:r w:rsidR="00EE4FC3">
        <w:t xml:space="preserve"> </w:t>
      </w:r>
      <w:r w:rsidRPr="00382917">
        <w:t>at</w:t>
      </w:r>
      <w:r w:rsidR="00EE4FC3">
        <w:t xml:space="preserve"> </w:t>
      </w:r>
      <w:r w:rsidRPr="00382917">
        <w:t>this</w:t>
      </w:r>
      <w:r w:rsidR="00EE4FC3">
        <w:t xml:space="preserve"> </w:t>
      </w:r>
      <w:r w:rsidRPr="00382917">
        <w:t>spectacle</w:t>
      </w:r>
      <w:r w:rsidR="00C03C91">
        <w:t>.</w:t>
      </w:r>
      <w:r w:rsidR="00EE4FC3">
        <w:t xml:space="preserve">  </w:t>
      </w:r>
      <w:r w:rsidRPr="00382917">
        <w:t>The</w:t>
      </w:r>
      <w:r w:rsidR="00EE4FC3">
        <w:t xml:space="preserve"> </w:t>
      </w:r>
      <w:r w:rsidRPr="00382917">
        <w:t>escort,</w:t>
      </w:r>
      <w:r w:rsidR="00EE4FC3">
        <w:t xml:space="preserve"> </w:t>
      </w:r>
      <w:r w:rsidRPr="00382917">
        <w:t>which</w:t>
      </w:r>
      <w:r w:rsidR="00EE4FC3">
        <w:t xml:space="preserve"> </w:t>
      </w:r>
      <w:r w:rsidRPr="00382917">
        <w:t>had</w:t>
      </w:r>
      <w:r w:rsidR="00EE4FC3">
        <w:t xml:space="preserve"> </w:t>
      </w:r>
      <w:r w:rsidRPr="00382917">
        <w:t>been</w:t>
      </w:r>
      <w:r w:rsidR="00EE4FC3">
        <w:t xml:space="preserve"> </w:t>
      </w:r>
      <w:r w:rsidRPr="00382917">
        <w:t>commanded</w:t>
      </w:r>
      <w:r w:rsidR="00EE4FC3">
        <w:t xml:space="preserve"> </w:t>
      </w:r>
      <w:r w:rsidRPr="00382917">
        <w:t>to</w:t>
      </w:r>
      <w:r w:rsidR="00EE4FC3">
        <w:t xml:space="preserve"> </w:t>
      </w:r>
      <w:r w:rsidRPr="00382917">
        <w:t>bring</w:t>
      </w:r>
      <w:r w:rsidR="00EE4FC3">
        <w:t xml:space="preserve"> </w:t>
      </w:r>
      <w:r w:rsidRPr="00382917">
        <w:t>the</w:t>
      </w:r>
      <w:r w:rsidR="00EE4FC3">
        <w:t xml:space="preserve"> </w:t>
      </w:r>
      <w:r w:rsidRPr="00382917">
        <w:t>Báb</w:t>
      </w:r>
      <w:r w:rsidR="00EE4FC3">
        <w:t xml:space="preserve"> </w:t>
      </w:r>
      <w:r w:rsidRPr="00382917">
        <w:t>back</w:t>
      </w:r>
      <w:r w:rsidR="00EE4FC3">
        <w:t xml:space="preserve"> </w:t>
      </w:r>
      <w:r w:rsidRPr="00382917">
        <w:t>in</w:t>
      </w:r>
      <w:r w:rsidR="00EE4FC3">
        <w:t xml:space="preserve"> </w:t>
      </w:r>
      <w:r w:rsidRPr="00382917">
        <w:t>chains,</w:t>
      </w:r>
      <w:r w:rsidR="00EE4FC3">
        <w:t xml:space="preserve"> </w:t>
      </w:r>
      <w:r w:rsidRPr="00382917">
        <w:t>had</w:t>
      </w:r>
      <w:r w:rsidR="00EE4FC3">
        <w:t xml:space="preserve"> </w:t>
      </w:r>
      <w:r w:rsidRPr="00382917">
        <w:t>returned</w:t>
      </w:r>
      <w:r w:rsidR="00EE4FC3">
        <w:t xml:space="preserve"> </w:t>
      </w:r>
      <w:r w:rsidRPr="00382917">
        <w:t>Him</w:t>
      </w:r>
      <w:r w:rsidR="00EE4FC3">
        <w:t xml:space="preserve"> </w:t>
      </w:r>
      <w:r w:rsidRPr="00382917">
        <w:t>instead</w:t>
      </w:r>
      <w:r w:rsidR="00EE4FC3">
        <w:t xml:space="preserve"> </w:t>
      </w:r>
      <w:r w:rsidRPr="00382917">
        <w:t>with</w:t>
      </w:r>
      <w:r w:rsidR="00EE4FC3">
        <w:t xml:space="preserve"> </w:t>
      </w:r>
      <w:r w:rsidRPr="00382917">
        <w:t>every</w:t>
      </w:r>
      <w:r w:rsidR="00EE4FC3">
        <w:t xml:space="preserve"> </w:t>
      </w:r>
      <w:r w:rsidRPr="00382917">
        <w:t>sign</w:t>
      </w:r>
      <w:r w:rsidR="00EE4FC3">
        <w:t xml:space="preserve"> </w:t>
      </w:r>
      <w:r w:rsidRPr="00382917">
        <w:t>of</w:t>
      </w:r>
      <w:r w:rsidR="00EE4FC3">
        <w:t xml:space="preserve"> </w:t>
      </w:r>
      <w:r w:rsidRPr="00382917">
        <w:t>the</w:t>
      </w:r>
      <w:r w:rsidR="00EE4FC3">
        <w:t xml:space="preserve"> </w:t>
      </w:r>
      <w:r w:rsidRPr="00382917">
        <w:t>respect</w:t>
      </w:r>
      <w:r w:rsidR="00EE4FC3">
        <w:t xml:space="preserve"> </w:t>
      </w:r>
      <w:r w:rsidRPr="00382917">
        <w:t>due</w:t>
      </w:r>
      <w:r w:rsidR="00EE4FC3">
        <w:t xml:space="preserve"> </w:t>
      </w:r>
      <w:r w:rsidRPr="00382917">
        <w:t>to</w:t>
      </w:r>
      <w:r w:rsidR="00EE4FC3">
        <w:t xml:space="preserve"> </w:t>
      </w:r>
      <w:r w:rsidRPr="00382917">
        <w:t>royalty.</w:t>
      </w:r>
    </w:p>
    <w:p w:rsidR="003B2D0A" w:rsidRPr="00382917" w:rsidRDefault="00964C11" w:rsidP="003B2D0A">
      <w:pPr>
        <w:pStyle w:val="Text"/>
      </w:pPr>
      <w:r w:rsidRPr="00382917">
        <w:t>Ḥusayn</w:t>
      </w:r>
      <w:r w:rsidR="00EE4FC3">
        <w:t xml:space="preserve"> </w:t>
      </w:r>
      <w:r w:rsidR="0040329F" w:rsidRPr="0040329F">
        <w:rPr>
          <w:u w:val="single"/>
        </w:rPr>
        <w:t>Kh</w:t>
      </w:r>
      <w:r w:rsidR="0040329F" w:rsidRPr="00382917">
        <w:t>án</w:t>
      </w:r>
      <w:r w:rsidR="00EE4FC3">
        <w:t xml:space="preserve"> </w:t>
      </w:r>
      <w:r w:rsidR="003B2D0A" w:rsidRPr="00382917">
        <w:t>was</w:t>
      </w:r>
      <w:r w:rsidR="00EE4FC3">
        <w:t xml:space="preserve"> </w:t>
      </w:r>
      <w:r w:rsidR="003B2D0A" w:rsidRPr="00382917">
        <w:t>furious</w:t>
      </w:r>
      <w:r w:rsidR="00C03C91">
        <w:t>.</w:t>
      </w:r>
      <w:r w:rsidR="00EE4FC3">
        <w:t xml:space="preserve">  </w:t>
      </w:r>
      <w:r w:rsidR="003B2D0A" w:rsidRPr="00382917">
        <w:t>He</w:t>
      </w:r>
      <w:r w:rsidR="00EE4FC3">
        <w:t xml:space="preserve"> </w:t>
      </w:r>
      <w:r w:rsidR="003B2D0A" w:rsidRPr="00382917">
        <w:t>rebuked</w:t>
      </w:r>
      <w:r w:rsidR="00EE4FC3">
        <w:t xml:space="preserve"> </w:t>
      </w:r>
      <w:r w:rsidR="003B2D0A" w:rsidRPr="00382917">
        <w:t>the</w:t>
      </w:r>
      <w:r w:rsidR="00EE4FC3">
        <w:t xml:space="preserve"> </w:t>
      </w:r>
      <w:r w:rsidR="003B2D0A" w:rsidRPr="00382917">
        <w:t>Báb</w:t>
      </w:r>
      <w:r w:rsidR="00EE4FC3">
        <w:t xml:space="preserve"> </w:t>
      </w:r>
      <w:r w:rsidR="003B2D0A" w:rsidRPr="00382917">
        <w:t>publicly</w:t>
      </w:r>
      <w:r w:rsidR="00C03C91">
        <w:t>.</w:t>
      </w:r>
      <w:r w:rsidR="00EE4FC3">
        <w:t xml:space="preserve">  </w:t>
      </w:r>
      <w:r w:rsidR="003B2D0A" w:rsidRPr="00382917">
        <w:t>In</w:t>
      </w:r>
      <w:r w:rsidR="00EE4FC3">
        <w:t xml:space="preserve"> </w:t>
      </w:r>
      <w:r w:rsidR="003B2D0A" w:rsidRPr="00382917">
        <w:t>abusive</w:t>
      </w:r>
      <w:r w:rsidR="00EE4FC3">
        <w:t xml:space="preserve"> </w:t>
      </w:r>
      <w:r w:rsidR="003B2D0A" w:rsidRPr="00382917">
        <w:t>language,</w:t>
      </w:r>
      <w:r w:rsidR="00EE4FC3">
        <w:t xml:space="preserve"> </w:t>
      </w:r>
      <w:r w:rsidR="003B2D0A" w:rsidRPr="00382917">
        <w:t>he</w:t>
      </w:r>
      <w:r w:rsidR="00EE4FC3">
        <w:t xml:space="preserve"> </w:t>
      </w:r>
      <w:r w:rsidR="003B2D0A" w:rsidRPr="00382917">
        <w:t>denounced</w:t>
      </w:r>
      <w:r w:rsidR="00EE4FC3">
        <w:t xml:space="preserve"> </w:t>
      </w:r>
      <w:r w:rsidR="003B2D0A" w:rsidRPr="00382917">
        <w:t>His</w:t>
      </w:r>
      <w:r w:rsidR="00EE4FC3">
        <w:t xml:space="preserve"> </w:t>
      </w:r>
      <w:r w:rsidR="003B2D0A" w:rsidRPr="00382917">
        <w:t>conduct.</w:t>
      </w:r>
    </w:p>
    <w:p w:rsidR="003B2D0A" w:rsidRPr="00382917" w:rsidRDefault="009C713D" w:rsidP="003B2D0A">
      <w:pPr>
        <w:pStyle w:val="Text"/>
      </w:pPr>
      <w:r w:rsidRPr="00382917">
        <w:t>“</w:t>
      </w:r>
      <w:r w:rsidR="003B2D0A" w:rsidRPr="00382917">
        <w:t>Do</w:t>
      </w:r>
      <w:r w:rsidR="00EE4FC3">
        <w:t xml:space="preserve"> </w:t>
      </w:r>
      <w:r w:rsidR="003B2D0A" w:rsidRPr="00382917">
        <w:t>you</w:t>
      </w:r>
      <w:r w:rsidR="00EE4FC3">
        <w:t xml:space="preserve"> </w:t>
      </w:r>
      <w:r w:rsidR="003B2D0A" w:rsidRPr="00382917">
        <w:t>realize</w:t>
      </w:r>
      <w:r w:rsidR="00EE4FC3">
        <w:t xml:space="preserve"> </w:t>
      </w:r>
      <w:r w:rsidR="003B2D0A" w:rsidRPr="00382917">
        <w:t>what</w:t>
      </w:r>
      <w:r w:rsidR="00EE4FC3">
        <w:t xml:space="preserve"> </w:t>
      </w:r>
      <w:r w:rsidR="003B2D0A" w:rsidRPr="00382917">
        <w:t>mischief</w:t>
      </w:r>
      <w:r w:rsidR="00EE4FC3">
        <w:t xml:space="preserve"> </w:t>
      </w:r>
      <w:r w:rsidR="003B2D0A" w:rsidRPr="00382917">
        <w:t>you</w:t>
      </w:r>
      <w:r w:rsidR="00EE4FC3">
        <w:t xml:space="preserve"> </w:t>
      </w:r>
      <w:r w:rsidR="003B2D0A" w:rsidRPr="00382917">
        <w:t>have</w:t>
      </w:r>
      <w:r w:rsidR="00EE4FC3">
        <w:t xml:space="preserve"> </w:t>
      </w:r>
      <w:r w:rsidR="003B2D0A" w:rsidRPr="00382917">
        <w:t>caused?</w:t>
      </w:r>
      <w:r w:rsidRPr="00382917">
        <w:t>”</w:t>
      </w:r>
      <w:r w:rsidR="00EE4FC3">
        <w:t xml:space="preserve"> </w:t>
      </w:r>
      <w:r w:rsidR="003B2D0A" w:rsidRPr="00382917">
        <w:t>he</w:t>
      </w:r>
      <w:r w:rsidR="00EE4FC3">
        <w:t xml:space="preserve"> </w:t>
      </w:r>
      <w:r w:rsidR="003B2D0A" w:rsidRPr="00382917">
        <w:t>asked</w:t>
      </w:r>
      <w:r w:rsidR="00EE4FC3">
        <w:t xml:space="preserve"> </w:t>
      </w:r>
      <w:r w:rsidR="003B2D0A" w:rsidRPr="00382917">
        <w:t>insolently</w:t>
      </w:r>
      <w:r w:rsidR="00C03C91">
        <w:t>.</w:t>
      </w:r>
      <w:r w:rsidR="00EE4FC3">
        <w:t xml:space="preserve">  </w:t>
      </w:r>
      <w:r w:rsidRPr="00382917">
        <w:t>“</w:t>
      </w:r>
      <w:r w:rsidR="003B2D0A" w:rsidRPr="00382917">
        <w:t>Are</w:t>
      </w:r>
      <w:r w:rsidR="00EE4FC3">
        <w:t xml:space="preserve"> </w:t>
      </w:r>
      <w:r w:rsidR="003B2D0A" w:rsidRPr="00382917">
        <w:t>you</w:t>
      </w:r>
      <w:r w:rsidR="00EE4FC3">
        <w:t xml:space="preserve"> </w:t>
      </w:r>
      <w:r w:rsidR="003B2D0A" w:rsidRPr="00382917">
        <w:t>not</w:t>
      </w:r>
      <w:r w:rsidR="00EE4FC3">
        <w:t xml:space="preserve"> </w:t>
      </w:r>
      <w:r w:rsidR="003B2D0A" w:rsidRPr="00382917">
        <w:t>the</w:t>
      </w:r>
      <w:r w:rsidR="00EE4FC3">
        <w:t xml:space="preserve"> </w:t>
      </w:r>
      <w:r w:rsidR="003B2D0A" w:rsidRPr="00382917">
        <w:t>man</w:t>
      </w:r>
      <w:r w:rsidR="00EE4FC3">
        <w:t xml:space="preserve"> </w:t>
      </w:r>
      <w:r w:rsidR="003B2D0A" w:rsidRPr="00382917">
        <w:t>who</w:t>
      </w:r>
      <w:r w:rsidR="00EE4FC3">
        <w:t xml:space="preserve"> </w:t>
      </w:r>
      <w:r w:rsidR="003B2D0A" w:rsidRPr="00382917">
        <w:t>claims</w:t>
      </w:r>
      <w:r w:rsidR="00EE4FC3">
        <w:t xml:space="preserve"> </w:t>
      </w:r>
      <w:r w:rsidR="003B2D0A" w:rsidRPr="00382917">
        <w:t>to</w:t>
      </w:r>
      <w:r w:rsidR="00EE4FC3">
        <w:t xml:space="preserve"> </w:t>
      </w:r>
      <w:r w:rsidR="003B2D0A" w:rsidRPr="00382917">
        <w:t>be</w:t>
      </w:r>
      <w:r w:rsidR="00EE4FC3">
        <w:t xml:space="preserve"> </w:t>
      </w:r>
      <w:r w:rsidR="003B2D0A" w:rsidRPr="00382917">
        <w:t>the</w:t>
      </w:r>
      <w:r w:rsidR="00EE4FC3">
        <w:t xml:space="preserve"> </w:t>
      </w:r>
      <w:r w:rsidR="003B2D0A" w:rsidRPr="00382917">
        <w:t>author</w:t>
      </w:r>
      <w:r w:rsidR="00EE4FC3">
        <w:t xml:space="preserve"> </w:t>
      </w:r>
      <w:r w:rsidR="003B2D0A" w:rsidRPr="00382917">
        <w:t>of</w:t>
      </w:r>
      <w:r w:rsidR="00EE4FC3">
        <w:t xml:space="preserve"> </w:t>
      </w:r>
      <w:r w:rsidR="003B2D0A" w:rsidRPr="00382917">
        <w:t>a</w:t>
      </w:r>
      <w:r w:rsidR="00EE4FC3">
        <w:t xml:space="preserve"> </w:t>
      </w:r>
      <w:r w:rsidR="003B2D0A" w:rsidRPr="00382917">
        <w:t>new</w:t>
      </w:r>
      <w:r w:rsidR="00EE4FC3">
        <w:t xml:space="preserve"> </w:t>
      </w:r>
      <w:r w:rsidR="003B2D0A" w:rsidRPr="00382917">
        <w:t>revelation?</w:t>
      </w:r>
      <w:r w:rsidRPr="00382917">
        <w:t>”</w:t>
      </w:r>
    </w:p>
    <w:p w:rsidR="003B2D0A" w:rsidRPr="00382917" w:rsidRDefault="003B2D0A" w:rsidP="003B2D0A">
      <w:pPr>
        <w:pStyle w:val="Text"/>
      </w:pPr>
      <w:r w:rsidRPr="00382917">
        <w:t>The</w:t>
      </w:r>
      <w:r w:rsidR="00EE4FC3">
        <w:t xml:space="preserve"> </w:t>
      </w:r>
      <w:r w:rsidRPr="00382917">
        <w:t>Báb</w:t>
      </w:r>
      <w:r w:rsidR="009C713D" w:rsidRPr="00382917">
        <w:t>’</w:t>
      </w:r>
      <w:r w:rsidRPr="00382917">
        <w:t>s</w:t>
      </w:r>
      <w:r w:rsidR="00EE4FC3">
        <w:t xml:space="preserve"> </w:t>
      </w:r>
      <w:r w:rsidRPr="00382917">
        <w:t>gentle</w:t>
      </w:r>
      <w:r w:rsidR="00EE4FC3">
        <w:t xml:space="preserve"> </w:t>
      </w:r>
      <w:r w:rsidRPr="00382917">
        <w:t>manners</w:t>
      </w:r>
      <w:r w:rsidR="00EE4FC3">
        <w:t xml:space="preserve"> </w:t>
      </w:r>
      <w:r w:rsidRPr="00382917">
        <w:t>and</w:t>
      </w:r>
      <w:r w:rsidR="00EE4FC3">
        <w:t xml:space="preserve"> </w:t>
      </w:r>
      <w:r w:rsidRPr="00382917">
        <w:t>courtesy</w:t>
      </w:r>
      <w:r w:rsidR="00EE4FC3">
        <w:t xml:space="preserve"> </w:t>
      </w:r>
      <w:r w:rsidRPr="00382917">
        <w:t>only</w:t>
      </w:r>
      <w:r w:rsidR="00EE4FC3">
        <w:t xml:space="preserve"> </w:t>
      </w:r>
      <w:r w:rsidRPr="00382917">
        <w:t>added</w:t>
      </w:r>
      <w:r w:rsidR="00EE4FC3">
        <w:t xml:space="preserve"> </w:t>
      </w:r>
      <w:r w:rsidRPr="00382917">
        <w:t>to</w:t>
      </w:r>
      <w:r w:rsidR="00EE4FC3">
        <w:t xml:space="preserve"> </w:t>
      </w:r>
      <w:r w:rsidRPr="00382917">
        <w:t>the</w:t>
      </w:r>
      <w:r w:rsidR="00EE4FC3">
        <w:t xml:space="preserve"> </w:t>
      </w:r>
      <w:r w:rsidRPr="00382917">
        <w:t>governor</w:t>
      </w:r>
      <w:r w:rsidR="009C713D" w:rsidRPr="00382917">
        <w:t>’</w:t>
      </w:r>
      <w:r w:rsidRPr="00382917">
        <w:t>s</w:t>
      </w:r>
      <w:r w:rsidR="00EE4FC3">
        <w:t xml:space="preserve"> </w:t>
      </w:r>
      <w:r w:rsidRPr="00382917">
        <w:t>anger</w:t>
      </w:r>
      <w:r w:rsidR="00C03C91">
        <w:t>.</w:t>
      </w:r>
      <w:r w:rsidR="00EE4FC3">
        <w:t xml:space="preserve">  </w:t>
      </w:r>
      <w:r w:rsidRPr="00382917">
        <w:t>The</w:t>
      </w:r>
      <w:r w:rsidR="00EE4FC3">
        <w:t xml:space="preserve"> </w:t>
      </w:r>
      <w:r w:rsidRPr="00382917">
        <w:t>historian</w:t>
      </w:r>
      <w:r w:rsidR="00EE4FC3">
        <w:t xml:space="preserve"> </w:t>
      </w:r>
      <w:r w:rsidRPr="00382917">
        <w:t>Nicolas</w:t>
      </w:r>
      <w:r w:rsidR="00EE4FC3">
        <w:t xml:space="preserve"> </w:t>
      </w:r>
      <w:r w:rsidRPr="00382917">
        <w:t>wrote</w:t>
      </w:r>
      <w:r w:rsidR="00C03C91">
        <w:t>:</w:t>
      </w:r>
      <w:r w:rsidR="00EE4FC3">
        <w:t xml:space="preserve">  </w:t>
      </w:r>
      <w:r w:rsidR="009C713D" w:rsidRPr="00382917">
        <w:t>“</w:t>
      </w:r>
      <w:r w:rsidRPr="00382917">
        <w:t>We</w:t>
      </w:r>
      <w:r w:rsidR="00EE4FC3">
        <w:t xml:space="preserve"> </w:t>
      </w:r>
      <w:r w:rsidRPr="00382917">
        <w:t>know</w:t>
      </w:r>
      <w:r w:rsidR="00EE4FC3">
        <w:t xml:space="preserve"> </w:t>
      </w:r>
      <w:r w:rsidRPr="00382917">
        <w:t>that</w:t>
      </w:r>
      <w:r w:rsidR="00EE4FC3">
        <w:t xml:space="preserve"> </w:t>
      </w:r>
      <w:r w:rsidRPr="00382917">
        <w:t>the</w:t>
      </w:r>
      <w:r w:rsidR="00EE4FC3">
        <w:t xml:space="preserve"> </w:t>
      </w:r>
      <w:r w:rsidRPr="00382917">
        <w:t>Báb</w:t>
      </w:r>
      <w:r w:rsidR="00EE4FC3">
        <w:t xml:space="preserve"> </w:t>
      </w:r>
      <w:r w:rsidRPr="00382917">
        <w:t>especially</w:t>
      </w:r>
      <w:r w:rsidR="00EE4FC3">
        <w:t xml:space="preserve"> </w:t>
      </w:r>
      <w:r w:rsidRPr="00382917">
        <w:t>commended</w:t>
      </w:r>
      <w:r w:rsidR="00EE4FC3">
        <w:t xml:space="preserve"> </w:t>
      </w:r>
      <w:r w:rsidRPr="00382917">
        <w:t>politeness</w:t>
      </w:r>
      <w:r w:rsidR="00EE4FC3">
        <w:t xml:space="preserve"> </w:t>
      </w:r>
      <w:r w:rsidRPr="00382917">
        <w:t>and</w:t>
      </w:r>
      <w:r w:rsidR="00EE4FC3">
        <w:t xml:space="preserve"> </w:t>
      </w:r>
      <w:r w:rsidRPr="00382917">
        <w:t>the</w:t>
      </w:r>
      <w:r w:rsidR="00EE4FC3">
        <w:t xml:space="preserve"> </w:t>
      </w:r>
      <w:r w:rsidRPr="00382917">
        <w:t>most</w:t>
      </w:r>
      <w:r w:rsidR="00EE4FC3">
        <w:t xml:space="preserve"> </w:t>
      </w:r>
      <w:r w:rsidRPr="00382917">
        <w:t>refined</w:t>
      </w:r>
      <w:r w:rsidR="00EE4FC3">
        <w:t xml:space="preserve"> </w:t>
      </w:r>
      <w:r w:rsidRPr="00382917">
        <w:t>courtesy</w:t>
      </w:r>
      <w:r w:rsidR="00EE4FC3">
        <w:t xml:space="preserve"> </w:t>
      </w:r>
      <w:r w:rsidRPr="00382917">
        <w:t>in</w:t>
      </w:r>
      <w:r w:rsidR="00EE4FC3">
        <w:t xml:space="preserve"> </w:t>
      </w:r>
      <w:r w:rsidRPr="00382917">
        <w:t>all</w:t>
      </w:r>
      <w:r w:rsidR="00EE4FC3">
        <w:t xml:space="preserve"> </w:t>
      </w:r>
      <w:r w:rsidRPr="00382917">
        <w:t>social</w:t>
      </w:r>
      <w:r w:rsidR="00EE4FC3">
        <w:t xml:space="preserve"> </w:t>
      </w:r>
      <w:r w:rsidRPr="00382917">
        <w:t>relations</w:t>
      </w:r>
      <w:r w:rsidR="00C03C91">
        <w:t>.</w:t>
      </w:r>
      <w:r w:rsidR="00EE4FC3">
        <w:t xml:space="preserve">  </w:t>
      </w:r>
      <w:r w:rsidR="009C713D" w:rsidRPr="00382917">
        <w:t>‘</w:t>
      </w:r>
      <w:r w:rsidRPr="00382917">
        <w:t>Never</w:t>
      </w:r>
      <w:r w:rsidR="00EE4FC3">
        <w:t xml:space="preserve"> </w:t>
      </w:r>
      <w:r w:rsidRPr="00382917">
        <w:t>sadden</w:t>
      </w:r>
      <w:r w:rsidR="00EE4FC3">
        <w:t xml:space="preserve"> </w:t>
      </w:r>
      <w:r w:rsidRPr="00382917">
        <w:t>anyone,</w:t>
      </w:r>
      <w:r w:rsidR="00EE4FC3">
        <w:t xml:space="preserve"> </w:t>
      </w:r>
      <w:r w:rsidRPr="00382917">
        <w:t>no</w:t>
      </w:r>
      <w:r w:rsidR="00EE4FC3">
        <w:t xml:space="preserve"> </w:t>
      </w:r>
      <w:r w:rsidRPr="00382917">
        <w:t>matter</w:t>
      </w:r>
      <w:r w:rsidR="00EE4FC3">
        <w:t xml:space="preserve"> </w:t>
      </w:r>
      <w:r w:rsidRPr="00382917">
        <w:t>whom,</w:t>
      </w:r>
      <w:r w:rsidR="00EE4FC3">
        <w:t xml:space="preserve"> </w:t>
      </w:r>
      <w:r w:rsidRPr="00382917">
        <w:t>for</w:t>
      </w:r>
      <w:r w:rsidR="00EE4FC3">
        <w:t xml:space="preserve"> </w:t>
      </w:r>
      <w:r w:rsidRPr="00382917">
        <w:t>no</w:t>
      </w:r>
      <w:r w:rsidR="00EE4FC3">
        <w:t xml:space="preserve"> </w:t>
      </w:r>
      <w:r w:rsidRPr="00382917">
        <w:t>matter</w:t>
      </w:r>
      <w:r w:rsidR="00EE4FC3">
        <w:t xml:space="preserve"> </w:t>
      </w:r>
      <w:r w:rsidRPr="00382917">
        <w:t>what,</w:t>
      </w:r>
      <w:r w:rsidR="009C713D" w:rsidRPr="00382917">
        <w:t>’</w:t>
      </w:r>
      <w:r w:rsidR="00EE4FC3">
        <w:t xml:space="preserve"> </w:t>
      </w:r>
      <w:r w:rsidRPr="00382917">
        <w:t>he</w:t>
      </w:r>
      <w:r w:rsidR="00EE4FC3">
        <w:t xml:space="preserve"> </w:t>
      </w:r>
      <w:r w:rsidRPr="00382917">
        <w:t>enjoined.</w:t>
      </w:r>
      <w:r w:rsidR="009C713D" w:rsidRPr="00382917">
        <w:t>”</w:t>
      </w:r>
    </w:p>
    <w:p w:rsidR="00E13D49" w:rsidRPr="00382917" w:rsidRDefault="009C713D" w:rsidP="00ED2737">
      <w:pPr>
        <w:pStyle w:val="Text"/>
      </w:pPr>
      <w:proofErr w:type="gramStart"/>
      <w:r w:rsidRPr="00382917">
        <w:t>“</w:t>
      </w:r>
      <w:r w:rsidR="00F04416" w:rsidRPr="00382917">
        <w:t>…</w:t>
      </w:r>
      <w:r w:rsidR="00EE4FC3">
        <w:t xml:space="preserve"> </w:t>
      </w:r>
      <w:proofErr w:type="gramEnd"/>
      <w:r w:rsidR="003B2D0A" w:rsidRPr="00382917">
        <w:t>I</w:t>
      </w:r>
      <w:r w:rsidR="00EE4FC3">
        <w:t xml:space="preserve"> </w:t>
      </w:r>
      <w:r w:rsidR="003B2D0A" w:rsidRPr="00382917">
        <w:t>have</w:t>
      </w:r>
      <w:r w:rsidR="00EE4FC3">
        <w:t xml:space="preserve"> </w:t>
      </w:r>
      <w:r w:rsidR="003B2D0A" w:rsidRPr="00382917">
        <w:t>taught</w:t>
      </w:r>
      <w:r w:rsidR="00EE4FC3">
        <w:t xml:space="preserve"> </w:t>
      </w:r>
      <w:r w:rsidR="003B2D0A" w:rsidRPr="00382917">
        <w:t>the</w:t>
      </w:r>
      <w:r w:rsidR="00EE4FC3">
        <w:t xml:space="preserve"> </w:t>
      </w:r>
      <w:r w:rsidR="003B2D0A" w:rsidRPr="00382917">
        <w:t>believer</w:t>
      </w:r>
      <w:r w:rsidR="00EE4FC3">
        <w:t xml:space="preserve"> </w:t>
      </w:r>
      <w:r w:rsidR="003B2D0A" w:rsidRPr="00382917">
        <w:t>in</w:t>
      </w:r>
      <w:r w:rsidR="00EE4FC3">
        <w:t xml:space="preserve"> </w:t>
      </w:r>
      <w:r w:rsidR="003B2D0A" w:rsidRPr="00382917">
        <w:t>my</w:t>
      </w:r>
      <w:r w:rsidR="00EE4FC3">
        <w:t xml:space="preserve"> </w:t>
      </w:r>
      <w:r w:rsidR="003B2D0A" w:rsidRPr="00382917">
        <w:t>religion,</w:t>
      </w:r>
      <w:r w:rsidRPr="00382917">
        <w:t>”</w:t>
      </w:r>
      <w:r w:rsidR="00EE4FC3">
        <w:t xml:space="preserve"> </w:t>
      </w:r>
      <w:r w:rsidR="003B2D0A" w:rsidRPr="00382917">
        <w:t>He</w:t>
      </w:r>
      <w:r w:rsidR="00EE4FC3">
        <w:t xml:space="preserve"> </w:t>
      </w:r>
      <w:r w:rsidR="003B2D0A" w:rsidRPr="00382917">
        <w:t>says</w:t>
      </w:r>
      <w:r w:rsidR="00EE4FC3">
        <w:t xml:space="preserve"> </w:t>
      </w:r>
      <w:r w:rsidR="003B2D0A" w:rsidRPr="00382917">
        <w:t>Himself,</w:t>
      </w:r>
      <w:r w:rsidR="00EE4FC3">
        <w:t xml:space="preserve"> </w:t>
      </w:r>
      <w:r w:rsidRPr="00382917">
        <w:t>“</w:t>
      </w:r>
      <w:r w:rsidR="003B2D0A" w:rsidRPr="00382917">
        <w:t>never</w:t>
      </w:r>
      <w:r w:rsidR="00EE4FC3">
        <w:t xml:space="preserve"> </w:t>
      </w:r>
      <w:r w:rsidR="003B2D0A" w:rsidRPr="00382917">
        <w:t>to</w:t>
      </w:r>
      <w:r w:rsidR="00EE4FC3">
        <w:t xml:space="preserve"> </w:t>
      </w:r>
      <w:r w:rsidR="003B2D0A" w:rsidRPr="00382917">
        <w:t>rejoice</w:t>
      </w:r>
      <w:r w:rsidR="00EE4FC3">
        <w:t xml:space="preserve"> </w:t>
      </w:r>
      <w:r w:rsidR="003B2D0A" w:rsidRPr="00382917">
        <w:t>over</w:t>
      </w:r>
      <w:r w:rsidR="00EE4FC3">
        <w:t xml:space="preserve"> </w:t>
      </w:r>
      <w:r w:rsidR="003B2D0A" w:rsidRPr="00382917">
        <w:t>the</w:t>
      </w:r>
      <w:r w:rsidR="00EE4FC3">
        <w:t xml:space="preserve"> </w:t>
      </w:r>
      <w:r w:rsidR="003B2D0A" w:rsidRPr="00382917">
        <w:t>misfortune</w:t>
      </w:r>
      <w:r w:rsidR="00EE4FC3">
        <w:t xml:space="preserve"> </w:t>
      </w:r>
      <w:r w:rsidR="003B2D0A" w:rsidRPr="00382917">
        <w:t>of</w:t>
      </w:r>
      <w:r w:rsidR="00EE4FC3">
        <w:t xml:space="preserve"> </w:t>
      </w:r>
      <w:r w:rsidR="003B2D0A" w:rsidRPr="00382917">
        <w:t>anyone.</w:t>
      </w:r>
      <w:r w:rsidRPr="00382917">
        <w:t>”</w:t>
      </w:r>
      <w:r w:rsidR="00ED2737">
        <w:rPr>
          <w:rStyle w:val="FootnoteReference"/>
        </w:rPr>
        <w:footnoteReference w:id="32"/>
      </w:r>
    </w:p>
    <w:p w:rsidR="003B2D0A" w:rsidRPr="00382917" w:rsidRDefault="003B2D0A" w:rsidP="003B2D0A">
      <w:pPr>
        <w:pStyle w:val="Text"/>
      </w:pPr>
      <w:r w:rsidRPr="00382917">
        <w:t>Lovingly,</w:t>
      </w:r>
      <w:r w:rsidR="00EE4FC3">
        <w:t xml:space="preserve"> </w:t>
      </w:r>
      <w:r w:rsidRPr="00382917">
        <w:t>but</w:t>
      </w:r>
      <w:r w:rsidR="00EE4FC3">
        <w:t xml:space="preserve"> </w:t>
      </w:r>
      <w:r w:rsidRPr="00382917">
        <w:t>firmly</w:t>
      </w:r>
      <w:r w:rsidR="00EE4FC3">
        <w:t xml:space="preserve"> </w:t>
      </w:r>
      <w:r w:rsidRPr="00382917">
        <w:t>the</w:t>
      </w:r>
      <w:r w:rsidR="00EE4FC3">
        <w:t xml:space="preserve"> </w:t>
      </w:r>
      <w:r w:rsidRPr="00382917">
        <w:t>Báb</w:t>
      </w:r>
      <w:r w:rsidR="00EE4FC3">
        <w:t xml:space="preserve"> </w:t>
      </w:r>
      <w:r w:rsidRPr="00382917">
        <w:t>reminded</w:t>
      </w:r>
      <w:r w:rsidR="00EE4FC3">
        <w:t xml:space="preserve"> </w:t>
      </w:r>
      <w:r w:rsidR="00964C11" w:rsidRPr="00382917">
        <w:t>Ḥusayn</w:t>
      </w:r>
      <w:r w:rsidR="00EE4FC3">
        <w:t xml:space="preserve"> </w:t>
      </w:r>
      <w:r w:rsidR="0040329F" w:rsidRPr="0040329F">
        <w:rPr>
          <w:u w:val="single"/>
        </w:rPr>
        <w:t>Kh</w:t>
      </w:r>
      <w:r w:rsidR="0040329F" w:rsidRPr="00382917">
        <w:t>án</w:t>
      </w:r>
      <w:r w:rsidR="00EE4FC3">
        <w:t xml:space="preserve"> </w:t>
      </w:r>
      <w:r w:rsidRPr="00382917">
        <w:t>that</w:t>
      </w:r>
      <w:r w:rsidR="00EE4FC3">
        <w:t xml:space="preserve"> </w:t>
      </w:r>
      <w:r w:rsidRPr="00382917">
        <w:t>as</w:t>
      </w:r>
      <w:r w:rsidR="00EE4FC3">
        <w:t xml:space="preserve"> </w:t>
      </w:r>
      <w:r w:rsidRPr="00382917">
        <w:t>governor</w:t>
      </w:r>
      <w:r w:rsidR="00EE4FC3">
        <w:t xml:space="preserve"> </w:t>
      </w:r>
      <w:r w:rsidRPr="00382917">
        <w:t>of</w:t>
      </w:r>
      <w:r w:rsidR="00EE4FC3">
        <w:t xml:space="preserve"> </w:t>
      </w:r>
      <w:r w:rsidRPr="00382917">
        <w:t>the</w:t>
      </w:r>
      <w:r w:rsidR="00EE4FC3">
        <w:t xml:space="preserve"> </w:t>
      </w:r>
      <w:r w:rsidRPr="00382917">
        <w:t>Province</w:t>
      </w:r>
      <w:r w:rsidR="00EE4FC3">
        <w:t xml:space="preserve"> </w:t>
      </w:r>
      <w:r w:rsidRPr="00382917">
        <w:t>of</w:t>
      </w:r>
      <w:r w:rsidR="00EE4FC3">
        <w:t xml:space="preserve"> </w:t>
      </w:r>
      <w:r w:rsidRPr="00382917">
        <w:t>Fárs</w:t>
      </w:r>
      <w:r w:rsidR="00EE4FC3">
        <w:t xml:space="preserve"> </w:t>
      </w:r>
      <w:r w:rsidRPr="00382917">
        <w:t>his</w:t>
      </w:r>
      <w:r w:rsidR="00EE4FC3">
        <w:t xml:space="preserve"> </w:t>
      </w:r>
      <w:r w:rsidRPr="00382917">
        <w:t>duty</w:t>
      </w:r>
      <w:r w:rsidR="00EE4FC3">
        <w:t xml:space="preserve"> </w:t>
      </w:r>
      <w:r w:rsidRPr="00382917">
        <w:t>was</w:t>
      </w:r>
      <w:r w:rsidR="00EE4FC3">
        <w:t xml:space="preserve"> </w:t>
      </w:r>
      <w:r w:rsidRPr="00382917">
        <w:t>to</w:t>
      </w:r>
      <w:r w:rsidR="00EE4FC3">
        <w:t xml:space="preserve"> </w:t>
      </w:r>
      <w:r w:rsidRPr="00382917">
        <w:t>determine</w:t>
      </w:r>
      <w:r w:rsidR="00EE4FC3">
        <w:t xml:space="preserve"> </w:t>
      </w:r>
      <w:r w:rsidRPr="00382917">
        <w:t>the</w:t>
      </w:r>
    </w:p>
    <w:p w:rsidR="003B2D0A" w:rsidRPr="00382917" w:rsidRDefault="003B2D0A">
      <w:pPr>
        <w:widowControl/>
        <w:kinsoku/>
        <w:overflowPunct/>
        <w:textAlignment w:val="auto"/>
      </w:pPr>
      <w:r w:rsidRPr="00382917">
        <w:br w:type="page"/>
      </w:r>
    </w:p>
    <w:p w:rsidR="003B2D0A" w:rsidRPr="00382917" w:rsidRDefault="003B2D0A" w:rsidP="003B2D0A">
      <w:pPr>
        <w:pStyle w:val="Textcts"/>
      </w:pPr>
      <w:proofErr w:type="gramStart"/>
      <w:r w:rsidRPr="00382917">
        <w:t>truth</w:t>
      </w:r>
      <w:proofErr w:type="gramEnd"/>
      <w:r w:rsidR="00EE4FC3">
        <w:t xml:space="preserve"> </w:t>
      </w:r>
      <w:r w:rsidRPr="00382917">
        <w:t>about</w:t>
      </w:r>
      <w:r w:rsidR="00EE4FC3">
        <w:t xml:space="preserve"> </w:t>
      </w:r>
      <w:r w:rsidRPr="00382917">
        <w:t>the</w:t>
      </w:r>
      <w:r w:rsidR="00EE4FC3">
        <w:t xml:space="preserve"> </w:t>
      </w:r>
      <w:r w:rsidRPr="00382917">
        <w:t>affairs</w:t>
      </w:r>
      <w:r w:rsidR="00EE4FC3">
        <w:t xml:space="preserve"> </w:t>
      </w:r>
      <w:r w:rsidRPr="00382917">
        <w:t>in</w:t>
      </w:r>
      <w:r w:rsidR="00EE4FC3">
        <w:t xml:space="preserve"> </w:t>
      </w:r>
      <w:r w:rsidRPr="00382917">
        <w:t>his</w:t>
      </w:r>
      <w:r w:rsidR="00EE4FC3">
        <w:t xml:space="preserve"> </w:t>
      </w:r>
      <w:r w:rsidRPr="00382917">
        <w:t>region</w:t>
      </w:r>
      <w:r w:rsidR="00EE4FC3">
        <w:t xml:space="preserve"> </w:t>
      </w:r>
      <w:r w:rsidRPr="00382917">
        <w:t>and</w:t>
      </w:r>
      <w:r w:rsidR="00EE4FC3">
        <w:t xml:space="preserve"> </w:t>
      </w:r>
      <w:r w:rsidRPr="00382917">
        <w:t>not</w:t>
      </w:r>
      <w:r w:rsidR="00EE4FC3">
        <w:t xml:space="preserve"> </w:t>
      </w:r>
      <w:r w:rsidRPr="00382917">
        <w:t>to</w:t>
      </w:r>
      <w:r w:rsidR="00EE4FC3">
        <w:t xml:space="preserve"> </w:t>
      </w:r>
      <w:r w:rsidRPr="00382917">
        <w:t>make</w:t>
      </w:r>
      <w:r w:rsidR="00EE4FC3">
        <w:t xml:space="preserve"> </w:t>
      </w:r>
      <w:r w:rsidRPr="00382917">
        <w:t>unjust</w:t>
      </w:r>
      <w:r w:rsidR="00EE4FC3">
        <w:t xml:space="preserve"> </w:t>
      </w:r>
      <w:r w:rsidRPr="00382917">
        <w:t>decisions</w:t>
      </w:r>
      <w:r w:rsidR="00EE4FC3">
        <w:t xml:space="preserve"> </w:t>
      </w:r>
      <w:r w:rsidRPr="00382917">
        <w:t>without</w:t>
      </w:r>
      <w:r w:rsidR="00EE4FC3">
        <w:t xml:space="preserve"> </w:t>
      </w:r>
      <w:r w:rsidRPr="00382917">
        <w:t>first</w:t>
      </w:r>
      <w:r w:rsidR="00EE4FC3">
        <w:t xml:space="preserve"> </w:t>
      </w:r>
      <w:r w:rsidRPr="00382917">
        <w:t>investigating</w:t>
      </w:r>
      <w:r w:rsidR="00EE4FC3">
        <w:t xml:space="preserve"> </w:t>
      </w:r>
      <w:r w:rsidRPr="00382917">
        <w:t>personally.</w:t>
      </w:r>
    </w:p>
    <w:p w:rsidR="003B2D0A" w:rsidRPr="00382917" w:rsidRDefault="003B2D0A" w:rsidP="003B2D0A">
      <w:pPr>
        <w:pStyle w:val="Text"/>
      </w:pPr>
      <w:r w:rsidRPr="00382917">
        <w:t>These</w:t>
      </w:r>
      <w:r w:rsidR="00EE4FC3">
        <w:t xml:space="preserve"> </w:t>
      </w:r>
      <w:r w:rsidRPr="00382917">
        <w:t>words</w:t>
      </w:r>
      <w:r w:rsidR="00EE4FC3">
        <w:t xml:space="preserve"> </w:t>
      </w:r>
      <w:r w:rsidRPr="00382917">
        <w:t>made</w:t>
      </w:r>
      <w:r w:rsidR="00EE4FC3">
        <w:t xml:space="preserve"> </w:t>
      </w:r>
      <w:r w:rsidRPr="00382917">
        <w:t>the</w:t>
      </w:r>
      <w:r w:rsidR="00EE4FC3">
        <w:t xml:space="preserve"> </w:t>
      </w:r>
      <w:r w:rsidRPr="00382917">
        <w:t>governor</w:t>
      </w:r>
      <w:r w:rsidR="009C713D" w:rsidRPr="00382917">
        <w:t>’</w:t>
      </w:r>
      <w:r w:rsidRPr="00382917">
        <w:t>s</w:t>
      </w:r>
      <w:r w:rsidR="00EE4FC3">
        <w:t xml:space="preserve"> </w:t>
      </w:r>
      <w:r w:rsidRPr="00382917">
        <w:t>temper</w:t>
      </w:r>
      <w:r w:rsidR="00EE4FC3">
        <w:t xml:space="preserve"> </w:t>
      </w:r>
      <w:r w:rsidRPr="00382917">
        <w:t>flame</w:t>
      </w:r>
      <w:r w:rsidR="00C03C91">
        <w:t>.</w:t>
      </w:r>
      <w:r w:rsidR="00EE4FC3">
        <w:t xml:space="preserve">  </w:t>
      </w:r>
      <w:r w:rsidRPr="00382917">
        <w:t>He</w:t>
      </w:r>
      <w:r w:rsidR="00EE4FC3">
        <w:t xml:space="preserve"> </w:t>
      </w:r>
      <w:r w:rsidRPr="00382917">
        <w:t>repaid</w:t>
      </w:r>
      <w:r w:rsidR="00EE4FC3">
        <w:t xml:space="preserve"> </w:t>
      </w:r>
      <w:r w:rsidRPr="00382917">
        <w:t>the</w:t>
      </w:r>
      <w:r w:rsidR="00EE4FC3">
        <w:t xml:space="preserve"> </w:t>
      </w:r>
      <w:r w:rsidRPr="00382917">
        <w:t>Báb</w:t>
      </w:r>
      <w:r w:rsidR="009C713D" w:rsidRPr="00382917">
        <w:t>’</w:t>
      </w:r>
      <w:r w:rsidRPr="00382917">
        <w:t>s</w:t>
      </w:r>
      <w:r w:rsidR="00EE4FC3">
        <w:t xml:space="preserve"> </w:t>
      </w:r>
      <w:r w:rsidRPr="00382917">
        <w:t>courtesy</w:t>
      </w:r>
      <w:r w:rsidR="00EE4FC3">
        <w:t xml:space="preserve"> </w:t>
      </w:r>
      <w:r w:rsidRPr="00382917">
        <w:t>by</w:t>
      </w:r>
      <w:r w:rsidR="00EE4FC3">
        <w:t xml:space="preserve"> </w:t>
      </w:r>
      <w:r w:rsidRPr="00382917">
        <w:t>turning</w:t>
      </w:r>
      <w:r w:rsidR="00EE4FC3">
        <w:t xml:space="preserve"> </w:t>
      </w:r>
      <w:r w:rsidRPr="00382917">
        <w:t>to</w:t>
      </w:r>
      <w:r w:rsidR="00EE4FC3">
        <w:t xml:space="preserve"> </w:t>
      </w:r>
      <w:r w:rsidRPr="00382917">
        <w:t>his</w:t>
      </w:r>
      <w:r w:rsidR="00EE4FC3">
        <w:t xml:space="preserve"> </w:t>
      </w:r>
      <w:r w:rsidRPr="00382917">
        <w:t>attendant</w:t>
      </w:r>
      <w:r w:rsidR="00EE4FC3">
        <w:t xml:space="preserve"> </w:t>
      </w:r>
      <w:r w:rsidRPr="00382917">
        <w:t>and</w:t>
      </w:r>
      <w:r w:rsidR="00EE4FC3">
        <w:t xml:space="preserve"> </w:t>
      </w:r>
      <w:r w:rsidRPr="00382917">
        <w:t>commanding</w:t>
      </w:r>
      <w:r w:rsidR="00EE4FC3">
        <w:t xml:space="preserve"> </w:t>
      </w:r>
      <w:r w:rsidRPr="00382917">
        <w:t>him</w:t>
      </w:r>
      <w:r w:rsidR="00EE4FC3">
        <w:t xml:space="preserve"> </w:t>
      </w:r>
      <w:r w:rsidRPr="00382917">
        <w:t>to</w:t>
      </w:r>
      <w:r w:rsidR="00EE4FC3">
        <w:t xml:space="preserve"> </w:t>
      </w:r>
      <w:r w:rsidRPr="00382917">
        <w:t>strike</w:t>
      </w:r>
      <w:r w:rsidR="00EE4FC3">
        <w:t xml:space="preserve"> </w:t>
      </w:r>
      <w:r w:rsidRPr="00382917">
        <w:t>the</w:t>
      </w:r>
      <w:r w:rsidR="00EE4FC3">
        <w:t xml:space="preserve"> </w:t>
      </w:r>
      <w:r w:rsidRPr="00382917">
        <w:t>Báb</w:t>
      </w:r>
      <w:r w:rsidR="00EE4FC3">
        <w:t xml:space="preserve"> </w:t>
      </w:r>
      <w:r w:rsidRPr="00382917">
        <w:t>in</w:t>
      </w:r>
      <w:r w:rsidR="00EE4FC3">
        <w:t xml:space="preserve"> </w:t>
      </w:r>
      <w:r w:rsidRPr="00382917">
        <w:t>the</w:t>
      </w:r>
      <w:r w:rsidR="00EE4FC3">
        <w:t xml:space="preserve"> </w:t>
      </w:r>
      <w:r w:rsidRPr="00382917">
        <w:t>face.</w:t>
      </w:r>
    </w:p>
    <w:p w:rsidR="003B2D0A" w:rsidRPr="00382917" w:rsidRDefault="003B2D0A" w:rsidP="00C03C91">
      <w:pPr>
        <w:pStyle w:val="Text"/>
      </w:pPr>
      <w:r w:rsidRPr="00382917">
        <w:t>The</w:t>
      </w:r>
      <w:r w:rsidR="00EE4FC3">
        <w:t xml:space="preserve"> </w:t>
      </w:r>
      <w:r w:rsidRPr="00382917">
        <w:t>blow</w:t>
      </w:r>
      <w:r w:rsidR="00EE4FC3">
        <w:t xml:space="preserve"> </w:t>
      </w:r>
      <w:r w:rsidRPr="00382917">
        <w:t>was</w:t>
      </w:r>
      <w:r w:rsidR="00EE4FC3">
        <w:t xml:space="preserve"> </w:t>
      </w:r>
      <w:r w:rsidRPr="00382917">
        <w:t>so</w:t>
      </w:r>
      <w:r w:rsidR="00EE4FC3">
        <w:t xml:space="preserve"> </w:t>
      </w:r>
      <w:r w:rsidRPr="00382917">
        <w:t>violent</w:t>
      </w:r>
      <w:r w:rsidR="00EE4FC3">
        <w:t xml:space="preserve"> </w:t>
      </w:r>
      <w:r w:rsidRPr="00382917">
        <w:t>that</w:t>
      </w:r>
      <w:r w:rsidR="00EE4FC3">
        <w:t xml:space="preserve"> </w:t>
      </w:r>
      <w:r w:rsidRPr="00382917">
        <w:t>it</w:t>
      </w:r>
      <w:r w:rsidR="00EE4FC3">
        <w:t xml:space="preserve"> </w:t>
      </w:r>
      <w:r w:rsidRPr="00382917">
        <w:t>dislodged</w:t>
      </w:r>
      <w:r w:rsidR="00EE4FC3">
        <w:t xml:space="preserve"> </w:t>
      </w:r>
      <w:r w:rsidRPr="00382917">
        <w:t>the</w:t>
      </w:r>
      <w:r w:rsidR="00EE4FC3">
        <w:t xml:space="preserve"> </w:t>
      </w:r>
      <w:r w:rsidRPr="00382917">
        <w:t>Báb</w:t>
      </w:r>
      <w:r w:rsidR="009C713D" w:rsidRPr="00382917">
        <w:t>’</w:t>
      </w:r>
      <w:r w:rsidRPr="00382917">
        <w:t>s</w:t>
      </w:r>
      <w:r w:rsidR="00EE4FC3">
        <w:t xml:space="preserve"> </w:t>
      </w:r>
      <w:r w:rsidRPr="00382917">
        <w:t>headdress</w:t>
      </w:r>
      <w:r w:rsidR="00C03C91">
        <w:t>.</w:t>
      </w:r>
      <w:r w:rsidR="00EE4FC3">
        <w:t xml:space="preserve">  </w:t>
      </w:r>
      <w:r w:rsidRPr="00382917">
        <w:t>The</w:t>
      </w:r>
      <w:r w:rsidR="00EE4FC3">
        <w:t xml:space="preserve"> </w:t>
      </w:r>
      <w:r w:rsidRPr="00382917">
        <w:t>governor</w:t>
      </w:r>
      <w:r w:rsidR="00EE4FC3">
        <w:t xml:space="preserve"> </w:t>
      </w:r>
      <w:r w:rsidRPr="00382917">
        <w:t>ordered</w:t>
      </w:r>
      <w:r w:rsidR="00EE4FC3">
        <w:t xml:space="preserve"> </w:t>
      </w:r>
      <w:r w:rsidRPr="00382917">
        <w:t>the</w:t>
      </w:r>
      <w:r w:rsidR="00EE4FC3">
        <w:t xml:space="preserve"> </w:t>
      </w:r>
      <w:r w:rsidRPr="00382917">
        <w:t>Báb</w:t>
      </w:r>
      <w:r w:rsidR="00EE4FC3">
        <w:t xml:space="preserve"> </w:t>
      </w:r>
      <w:r w:rsidRPr="00382917">
        <w:t>to</w:t>
      </w:r>
      <w:r w:rsidR="00EE4FC3">
        <w:t xml:space="preserve"> </w:t>
      </w:r>
      <w:r w:rsidRPr="00382917">
        <w:t>remain</w:t>
      </w:r>
      <w:r w:rsidR="00EE4FC3">
        <w:t xml:space="preserve"> </w:t>
      </w:r>
      <w:r w:rsidRPr="00382917">
        <w:t>confined</w:t>
      </w:r>
      <w:r w:rsidR="00EE4FC3">
        <w:t xml:space="preserve"> </w:t>
      </w:r>
      <w:r w:rsidRPr="00382917">
        <w:t>within</w:t>
      </w:r>
      <w:r w:rsidR="00EE4FC3">
        <w:t xml:space="preserve"> </w:t>
      </w:r>
      <w:r w:rsidRPr="00382917">
        <w:t>the</w:t>
      </w:r>
      <w:r w:rsidR="00EE4FC3">
        <w:t xml:space="preserve"> </w:t>
      </w:r>
      <w:r w:rsidRPr="00382917">
        <w:t>home</w:t>
      </w:r>
      <w:r w:rsidR="00EE4FC3">
        <w:t xml:space="preserve"> </w:t>
      </w:r>
      <w:r w:rsidRPr="00382917">
        <w:t>of</w:t>
      </w:r>
      <w:r w:rsidR="00EE4FC3">
        <w:t xml:space="preserve"> </w:t>
      </w:r>
      <w:r w:rsidRPr="00382917">
        <w:t>His</w:t>
      </w:r>
      <w:r w:rsidR="00EE4FC3">
        <w:t xml:space="preserve"> </w:t>
      </w:r>
      <w:r w:rsidRPr="00382917">
        <w:t>uncle,</w:t>
      </w:r>
      <w:r w:rsidR="00EE4FC3">
        <w:t xml:space="preserve"> </w:t>
      </w:r>
      <w:r w:rsidRPr="00382917">
        <w:t>Ḥájí</w:t>
      </w:r>
      <w:r w:rsidR="00EE4FC3">
        <w:t xml:space="preserve"> </w:t>
      </w:r>
      <w:r w:rsidRPr="00382917">
        <w:t>M</w:t>
      </w:r>
      <w:r w:rsidR="00C03C91" w:rsidRPr="00C03C91">
        <w:t>í</w:t>
      </w:r>
      <w:r w:rsidRPr="00382917">
        <w:t>rzá</w:t>
      </w:r>
      <w:r w:rsidR="00EE4FC3">
        <w:t xml:space="preserve"> </w:t>
      </w:r>
      <w:r w:rsidRPr="00382917">
        <w:t>Siyyid</w:t>
      </w:r>
      <w:r w:rsidR="00EE4FC3">
        <w:t xml:space="preserve"> </w:t>
      </w:r>
      <w:r w:rsidR="009C713D" w:rsidRPr="00382917">
        <w:t>‘</w:t>
      </w:r>
      <w:r w:rsidRPr="00382917">
        <w:t>Alí,</w:t>
      </w:r>
      <w:r w:rsidR="00EE4FC3">
        <w:t xml:space="preserve"> </w:t>
      </w:r>
      <w:r w:rsidRPr="00382917">
        <w:t>until</w:t>
      </w:r>
      <w:r w:rsidR="00EE4FC3">
        <w:t xml:space="preserve"> </w:t>
      </w:r>
      <w:r w:rsidRPr="00382917">
        <w:t>he</w:t>
      </w:r>
      <w:r w:rsidR="00EE4FC3">
        <w:t xml:space="preserve"> </w:t>
      </w:r>
      <w:r w:rsidRPr="00382917">
        <w:t>had</w:t>
      </w:r>
      <w:r w:rsidR="00EE4FC3">
        <w:t xml:space="preserve"> </w:t>
      </w:r>
      <w:r w:rsidRPr="00382917">
        <w:t>decided</w:t>
      </w:r>
      <w:r w:rsidR="00EE4FC3">
        <w:t xml:space="preserve"> </w:t>
      </w:r>
      <w:r w:rsidRPr="00382917">
        <w:t>what</w:t>
      </w:r>
      <w:r w:rsidR="00EE4FC3">
        <w:t xml:space="preserve"> </w:t>
      </w:r>
      <w:r w:rsidRPr="00382917">
        <w:t>to</w:t>
      </w:r>
      <w:r w:rsidR="00EE4FC3">
        <w:t xml:space="preserve"> </w:t>
      </w:r>
      <w:r w:rsidRPr="00382917">
        <w:t>do</w:t>
      </w:r>
      <w:r w:rsidR="00EE4FC3">
        <w:t xml:space="preserve"> </w:t>
      </w:r>
      <w:r w:rsidRPr="00382917">
        <w:t>with</w:t>
      </w:r>
      <w:r w:rsidR="00EE4FC3">
        <w:t xml:space="preserve"> </w:t>
      </w:r>
      <w:r w:rsidRPr="00382917">
        <w:t>Him</w:t>
      </w:r>
      <w:r w:rsidR="00C03C91">
        <w:t>.</w:t>
      </w:r>
      <w:r w:rsidR="00EE4FC3">
        <w:t xml:space="preserve">  </w:t>
      </w:r>
      <w:r w:rsidRPr="00382917">
        <w:t>He</w:t>
      </w:r>
      <w:r w:rsidR="00EE4FC3">
        <w:t xml:space="preserve"> </w:t>
      </w:r>
      <w:r w:rsidRPr="00382917">
        <w:t>instructed</w:t>
      </w:r>
      <w:r w:rsidR="00EE4FC3">
        <w:t xml:space="preserve"> </w:t>
      </w:r>
      <w:r w:rsidRPr="00382917">
        <w:t>the</w:t>
      </w:r>
      <w:r w:rsidR="00EE4FC3">
        <w:t xml:space="preserve"> </w:t>
      </w:r>
      <w:r w:rsidRPr="00382917">
        <w:t>uncle</w:t>
      </w:r>
      <w:r w:rsidR="00EE4FC3">
        <w:t xml:space="preserve"> </w:t>
      </w:r>
      <w:r w:rsidRPr="00382917">
        <w:t>to</w:t>
      </w:r>
      <w:r w:rsidR="00EE4FC3">
        <w:t xml:space="preserve"> </w:t>
      </w:r>
      <w:r w:rsidRPr="00382917">
        <w:t>be</w:t>
      </w:r>
      <w:r w:rsidR="00EE4FC3">
        <w:t xml:space="preserve"> </w:t>
      </w:r>
      <w:r w:rsidRPr="00382917">
        <w:t>prepared</w:t>
      </w:r>
      <w:r w:rsidR="00EE4FC3">
        <w:t xml:space="preserve"> </w:t>
      </w:r>
      <w:r w:rsidRPr="00382917">
        <w:t>to</w:t>
      </w:r>
      <w:r w:rsidR="00EE4FC3">
        <w:t xml:space="preserve"> </w:t>
      </w:r>
      <w:r w:rsidRPr="00382917">
        <w:t>surrender</w:t>
      </w:r>
      <w:r w:rsidR="00EE4FC3">
        <w:t xml:space="preserve"> </w:t>
      </w:r>
      <w:r w:rsidRPr="00382917">
        <w:t>the</w:t>
      </w:r>
      <w:r w:rsidR="00EE4FC3">
        <w:t xml:space="preserve"> </w:t>
      </w:r>
      <w:r w:rsidRPr="00382917">
        <w:t>Báb</w:t>
      </w:r>
      <w:r w:rsidR="00EE4FC3">
        <w:t xml:space="preserve"> </w:t>
      </w:r>
      <w:r w:rsidRPr="00382917">
        <w:t>to</w:t>
      </w:r>
      <w:r w:rsidR="00EE4FC3">
        <w:t xml:space="preserve"> </w:t>
      </w:r>
      <w:r w:rsidRPr="00382917">
        <w:t>the</w:t>
      </w:r>
      <w:r w:rsidR="00EE4FC3">
        <w:t xml:space="preserve"> </w:t>
      </w:r>
      <w:r w:rsidRPr="00382917">
        <w:t>governor</w:t>
      </w:r>
      <w:r w:rsidR="009C713D" w:rsidRPr="00382917">
        <w:t>’</w:t>
      </w:r>
      <w:r w:rsidRPr="00382917">
        <w:t>s</w:t>
      </w:r>
      <w:r w:rsidR="00EE4FC3">
        <w:t xml:space="preserve"> </w:t>
      </w:r>
      <w:r w:rsidRPr="00382917">
        <w:t>office</w:t>
      </w:r>
      <w:r w:rsidR="00EE4FC3">
        <w:t xml:space="preserve"> </w:t>
      </w:r>
      <w:r w:rsidRPr="00382917">
        <w:t>for</w:t>
      </w:r>
      <w:r w:rsidR="00EE4FC3">
        <w:t xml:space="preserve"> </w:t>
      </w:r>
      <w:r w:rsidRPr="00382917">
        <w:t>punishment</w:t>
      </w:r>
      <w:r w:rsidR="00EE4FC3">
        <w:t xml:space="preserve"> </w:t>
      </w:r>
      <w:r w:rsidRPr="00382917">
        <w:t>at</w:t>
      </w:r>
      <w:r w:rsidR="00EE4FC3">
        <w:t xml:space="preserve"> </w:t>
      </w:r>
      <w:r w:rsidRPr="00382917">
        <w:t>a</w:t>
      </w:r>
      <w:r w:rsidR="00EE4FC3">
        <w:t xml:space="preserve"> </w:t>
      </w:r>
      <w:r w:rsidRPr="00382917">
        <w:t>moment</w:t>
      </w:r>
      <w:r w:rsidR="009C713D" w:rsidRPr="00382917">
        <w:t>’</w:t>
      </w:r>
      <w:r w:rsidRPr="00382917">
        <w:t>s</w:t>
      </w:r>
      <w:r w:rsidR="00EE4FC3">
        <w:t xml:space="preserve"> </w:t>
      </w:r>
      <w:r w:rsidRPr="00382917">
        <w:t>notice.</w:t>
      </w:r>
    </w:p>
    <w:p w:rsidR="003B2D0A" w:rsidRPr="00382917" w:rsidRDefault="003B2D0A" w:rsidP="003B2D0A">
      <w:pPr>
        <w:pStyle w:val="Text"/>
      </w:pPr>
      <w:r w:rsidRPr="00382917">
        <w:t>For</w:t>
      </w:r>
      <w:r w:rsidR="00EE4FC3">
        <w:t xml:space="preserve"> </w:t>
      </w:r>
      <w:r w:rsidRPr="00382917">
        <w:t>a</w:t>
      </w:r>
      <w:r w:rsidR="00EE4FC3">
        <w:t xml:space="preserve"> </w:t>
      </w:r>
      <w:r w:rsidRPr="00382917">
        <w:t>while,</w:t>
      </w:r>
      <w:r w:rsidR="00EE4FC3">
        <w:t xml:space="preserve"> </w:t>
      </w:r>
      <w:r w:rsidRPr="00382917">
        <w:t>the</w:t>
      </w:r>
      <w:r w:rsidR="00EE4FC3">
        <w:t xml:space="preserve"> </w:t>
      </w:r>
      <w:r w:rsidRPr="00382917">
        <w:t>Báb</w:t>
      </w:r>
      <w:r w:rsidR="00EE4FC3">
        <w:t xml:space="preserve"> </w:t>
      </w:r>
      <w:r w:rsidRPr="00382917">
        <w:t>led</w:t>
      </w:r>
      <w:r w:rsidR="00EE4FC3">
        <w:t xml:space="preserve"> </w:t>
      </w:r>
      <w:r w:rsidRPr="00382917">
        <w:t>a</w:t>
      </w:r>
      <w:r w:rsidR="00EE4FC3">
        <w:t xml:space="preserve"> </w:t>
      </w:r>
      <w:r w:rsidRPr="00382917">
        <w:t>life</w:t>
      </w:r>
      <w:r w:rsidR="00EE4FC3">
        <w:t xml:space="preserve"> </w:t>
      </w:r>
      <w:r w:rsidRPr="00382917">
        <w:t>of</w:t>
      </w:r>
      <w:r w:rsidR="00EE4FC3">
        <w:t xml:space="preserve"> </w:t>
      </w:r>
      <w:r w:rsidRPr="00382917">
        <w:t>comparative</w:t>
      </w:r>
      <w:r w:rsidR="00EE4FC3">
        <w:t xml:space="preserve"> </w:t>
      </w:r>
      <w:r w:rsidRPr="00382917">
        <w:t>peace</w:t>
      </w:r>
      <w:r w:rsidR="00C03C91">
        <w:t>.</w:t>
      </w:r>
      <w:r w:rsidR="00EE4FC3">
        <w:t xml:space="preserve">  </w:t>
      </w:r>
      <w:r w:rsidRPr="00382917">
        <w:t>During</w:t>
      </w:r>
      <w:r w:rsidR="00EE4FC3">
        <w:t xml:space="preserve"> </w:t>
      </w:r>
      <w:r w:rsidRPr="00382917">
        <w:t>this</w:t>
      </w:r>
      <w:r w:rsidR="00EE4FC3">
        <w:t xml:space="preserve"> </w:t>
      </w:r>
      <w:r w:rsidRPr="00382917">
        <w:t>period</w:t>
      </w:r>
      <w:r w:rsidR="00EE4FC3">
        <w:t xml:space="preserve"> </w:t>
      </w:r>
      <w:r w:rsidRPr="00382917">
        <w:t>His</w:t>
      </w:r>
      <w:r w:rsidR="00EE4FC3">
        <w:t xml:space="preserve"> </w:t>
      </w:r>
      <w:r w:rsidRPr="00382917">
        <w:t>followers</w:t>
      </w:r>
      <w:r w:rsidR="00EE4FC3">
        <w:t xml:space="preserve"> </w:t>
      </w:r>
      <w:r w:rsidRPr="00382917">
        <w:t>met</w:t>
      </w:r>
      <w:r w:rsidR="00EE4FC3">
        <w:t xml:space="preserve"> </w:t>
      </w:r>
      <w:r w:rsidRPr="00382917">
        <w:t>Him</w:t>
      </w:r>
      <w:r w:rsidR="00EE4FC3">
        <w:t xml:space="preserve"> </w:t>
      </w:r>
      <w:r w:rsidRPr="00382917">
        <w:t>in</w:t>
      </w:r>
      <w:r w:rsidR="00EE4FC3">
        <w:t xml:space="preserve"> </w:t>
      </w:r>
      <w:r w:rsidRPr="00382917">
        <w:t>secret</w:t>
      </w:r>
      <w:r w:rsidR="00EE4FC3">
        <w:t xml:space="preserve"> </w:t>
      </w:r>
      <w:r w:rsidRPr="00382917">
        <w:t>in</w:t>
      </w:r>
      <w:r w:rsidR="00EE4FC3">
        <w:t xml:space="preserve"> </w:t>
      </w:r>
      <w:r w:rsidRPr="00382917">
        <w:t>the</w:t>
      </w:r>
      <w:r w:rsidR="00EE4FC3">
        <w:t xml:space="preserve"> </w:t>
      </w:r>
      <w:r w:rsidRPr="00382917">
        <w:t>home</w:t>
      </w:r>
      <w:r w:rsidR="00EE4FC3">
        <w:t xml:space="preserve"> </w:t>
      </w:r>
      <w:r w:rsidRPr="00382917">
        <w:t>of</w:t>
      </w:r>
      <w:r w:rsidR="00EE4FC3">
        <w:t xml:space="preserve"> </w:t>
      </w:r>
      <w:r w:rsidRPr="00382917">
        <w:t>His</w:t>
      </w:r>
      <w:r w:rsidR="00EE4FC3">
        <w:t xml:space="preserve"> </w:t>
      </w:r>
      <w:r w:rsidRPr="00382917">
        <w:t>uncle</w:t>
      </w:r>
      <w:r w:rsidR="00C03C91">
        <w:t>.</w:t>
      </w:r>
      <w:r w:rsidR="00EE4FC3">
        <w:t xml:space="preserve">  </w:t>
      </w:r>
      <w:r w:rsidRPr="00382917">
        <w:t>One</w:t>
      </w:r>
      <w:r w:rsidR="00EE4FC3">
        <w:t xml:space="preserve"> </w:t>
      </w:r>
      <w:r w:rsidRPr="00382917">
        <w:t>such</w:t>
      </w:r>
      <w:r w:rsidR="00EE4FC3">
        <w:t xml:space="preserve"> </w:t>
      </w:r>
      <w:r w:rsidRPr="00382917">
        <w:t>visitor</w:t>
      </w:r>
      <w:r w:rsidR="00EE4FC3">
        <w:t xml:space="preserve"> </w:t>
      </w:r>
      <w:r w:rsidRPr="00382917">
        <w:t>was</w:t>
      </w:r>
      <w:r w:rsidR="00EE4FC3">
        <w:t xml:space="preserve"> </w:t>
      </w:r>
      <w:r w:rsidRPr="00382917">
        <w:t>the</w:t>
      </w:r>
      <w:r w:rsidR="00EE4FC3">
        <w:t xml:space="preserve"> </w:t>
      </w:r>
      <w:r w:rsidRPr="00382917">
        <w:t>well-known</w:t>
      </w:r>
      <w:r w:rsidR="00EE4FC3">
        <w:t xml:space="preserve"> </w:t>
      </w:r>
      <w:r w:rsidRPr="00382917">
        <w:t>scholar</w:t>
      </w:r>
      <w:r w:rsidR="00EE4FC3">
        <w:t xml:space="preserve"> </w:t>
      </w:r>
      <w:r w:rsidRPr="00382917">
        <w:t>and</w:t>
      </w:r>
      <w:r w:rsidR="00EE4FC3">
        <w:t xml:space="preserve"> </w:t>
      </w:r>
      <w:r w:rsidRPr="00382917">
        <w:t>priest</w:t>
      </w:r>
      <w:r w:rsidR="00EE4FC3">
        <w:t xml:space="preserve"> </w:t>
      </w:r>
      <w:r w:rsidR="009C713D" w:rsidRPr="00382917">
        <w:t>‘</w:t>
      </w:r>
      <w:r w:rsidRPr="00382917">
        <w:t>Abdu</w:t>
      </w:r>
      <w:r w:rsidR="009C713D" w:rsidRPr="00382917">
        <w:t>’</w:t>
      </w:r>
      <w:r w:rsidRPr="00382917">
        <w:t>l</w:t>
      </w:r>
      <w:r w:rsidR="00EE4FC3">
        <w:t xml:space="preserve"> </w:t>
      </w:r>
      <w:r w:rsidRPr="00382917">
        <w:t>Karím.</w:t>
      </w:r>
    </w:p>
    <w:p w:rsidR="003B2D0A" w:rsidRPr="00382917" w:rsidRDefault="009C713D" w:rsidP="003B2D0A">
      <w:pPr>
        <w:pStyle w:val="Text"/>
      </w:pPr>
      <w:r w:rsidRPr="00382917">
        <w:t>‘</w:t>
      </w:r>
      <w:r w:rsidR="003B2D0A" w:rsidRPr="00382917">
        <w:t>Abdu</w:t>
      </w:r>
      <w:r w:rsidRPr="00382917">
        <w:t>’</w:t>
      </w:r>
      <w:r w:rsidR="003B2D0A" w:rsidRPr="00382917">
        <w:t>l-Karím</w:t>
      </w:r>
      <w:r w:rsidR="00EE4FC3">
        <w:t xml:space="preserve"> </w:t>
      </w:r>
      <w:r w:rsidR="003B2D0A" w:rsidRPr="00382917">
        <w:t>was</w:t>
      </w:r>
      <w:r w:rsidR="00EE4FC3">
        <w:t xml:space="preserve"> </w:t>
      </w:r>
      <w:r w:rsidR="003B2D0A" w:rsidRPr="00382917">
        <w:t>from</w:t>
      </w:r>
      <w:r w:rsidR="00EE4FC3">
        <w:t xml:space="preserve"> </w:t>
      </w:r>
      <w:r w:rsidR="003B2D0A" w:rsidRPr="00382917">
        <w:t>the</w:t>
      </w:r>
      <w:r w:rsidR="00EE4FC3">
        <w:t xml:space="preserve"> </w:t>
      </w:r>
      <w:r w:rsidR="003B2D0A" w:rsidRPr="00382917">
        <w:t>village</w:t>
      </w:r>
      <w:r w:rsidR="00EE4FC3">
        <w:t xml:space="preserve"> </w:t>
      </w:r>
      <w:r w:rsidR="003B2D0A" w:rsidRPr="00382917">
        <w:t>of</w:t>
      </w:r>
      <w:r w:rsidR="00EE4FC3">
        <w:t xml:space="preserve"> </w:t>
      </w:r>
      <w:r w:rsidR="003B2D0A" w:rsidRPr="00382917">
        <w:t>Qazvín</w:t>
      </w:r>
      <w:r w:rsidR="00C03C91">
        <w:t>.</w:t>
      </w:r>
      <w:r w:rsidR="00EE4FC3">
        <w:t xml:space="preserve">  </w:t>
      </w:r>
      <w:r w:rsidR="003B2D0A" w:rsidRPr="00382917">
        <w:t>He</w:t>
      </w:r>
      <w:r w:rsidR="00EE4FC3">
        <w:t xml:space="preserve"> </w:t>
      </w:r>
      <w:r w:rsidR="003B2D0A" w:rsidRPr="00382917">
        <w:t>was</w:t>
      </w:r>
      <w:r w:rsidR="00EE4FC3">
        <w:t xml:space="preserve"> </w:t>
      </w:r>
      <w:r w:rsidR="003B2D0A" w:rsidRPr="00382917">
        <w:t>a</w:t>
      </w:r>
      <w:r w:rsidR="00EE4FC3">
        <w:t xml:space="preserve"> </w:t>
      </w:r>
      <w:r w:rsidR="003B2D0A" w:rsidRPr="00382917">
        <w:t>merchant,</w:t>
      </w:r>
      <w:r w:rsidR="00EE4FC3">
        <w:t xml:space="preserve"> </w:t>
      </w:r>
      <w:r w:rsidR="003B2D0A" w:rsidRPr="00382917">
        <w:t>but,</w:t>
      </w:r>
      <w:r w:rsidR="00EE4FC3">
        <w:t xml:space="preserve"> </w:t>
      </w:r>
      <w:r w:rsidR="003B2D0A" w:rsidRPr="00382917">
        <w:t>so</w:t>
      </w:r>
      <w:r w:rsidR="00EE4FC3">
        <w:t xml:space="preserve"> </w:t>
      </w:r>
      <w:r w:rsidR="003B2D0A" w:rsidRPr="00382917">
        <w:t>great</w:t>
      </w:r>
      <w:r w:rsidR="00EE4FC3">
        <w:t xml:space="preserve"> </w:t>
      </w:r>
      <w:r w:rsidR="003B2D0A" w:rsidRPr="00382917">
        <w:t>was</w:t>
      </w:r>
      <w:r w:rsidR="00EE4FC3">
        <w:t xml:space="preserve"> </w:t>
      </w:r>
      <w:r w:rsidR="003B2D0A" w:rsidRPr="00382917">
        <w:t>his</w:t>
      </w:r>
      <w:r w:rsidR="00EE4FC3">
        <w:t xml:space="preserve"> </w:t>
      </w:r>
      <w:r w:rsidR="003B2D0A" w:rsidRPr="00382917">
        <w:t>longing</w:t>
      </w:r>
      <w:r w:rsidR="00EE4FC3">
        <w:t xml:space="preserve"> </w:t>
      </w:r>
      <w:r w:rsidR="003B2D0A" w:rsidRPr="00382917">
        <w:t>to</w:t>
      </w:r>
      <w:r w:rsidR="00EE4FC3">
        <w:t xml:space="preserve"> </w:t>
      </w:r>
      <w:r w:rsidR="003B2D0A" w:rsidRPr="00382917">
        <w:t>know</w:t>
      </w:r>
      <w:r w:rsidR="00EE4FC3">
        <w:t xml:space="preserve"> </w:t>
      </w:r>
      <w:r w:rsidR="003B2D0A" w:rsidRPr="00382917">
        <w:t>about</w:t>
      </w:r>
      <w:r w:rsidR="00EE4FC3">
        <w:t xml:space="preserve"> </w:t>
      </w:r>
      <w:r w:rsidR="003B2D0A" w:rsidRPr="00382917">
        <w:t>God,</w:t>
      </w:r>
      <w:r w:rsidR="00EE4FC3">
        <w:t xml:space="preserve"> </w:t>
      </w:r>
      <w:r w:rsidR="003B2D0A" w:rsidRPr="00382917">
        <w:t>that</w:t>
      </w:r>
      <w:r w:rsidR="00EE4FC3">
        <w:t xml:space="preserve"> </w:t>
      </w:r>
      <w:r w:rsidR="003B2D0A" w:rsidRPr="00382917">
        <w:t>he</w:t>
      </w:r>
      <w:r w:rsidR="00EE4FC3">
        <w:t xml:space="preserve"> </w:t>
      </w:r>
      <w:r w:rsidR="003B2D0A" w:rsidRPr="00382917">
        <w:t>gave</w:t>
      </w:r>
      <w:r w:rsidR="00EE4FC3">
        <w:t xml:space="preserve"> </w:t>
      </w:r>
      <w:r w:rsidR="003B2D0A" w:rsidRPr="00382917">
        <w:t>up</w:t>
      </w:r>
      <w:r w:rsidR="00EE4FC3">
        <w:t xml:space="preserve"> </w:t>
      </w:r>
      <w:r w:rsidR="003B2D0A" w:rsidRPr="00382917">
        <w:t>his</w:t>
      </w:r>
      <w:r w:rsidR="00EE4FC3">
        <w:t xml:space="preserve"> </w:t>
      </w:r>
      <w:r w:rsidR="003B2D0A" w:rsidRPr="00382917">
        <w:t>business</w:t>
      </w:r>
      <w:r w:rsidR="00EE4FC3">
        <w:t xml:space="preserve"> </w:t>
      </w:r>
      <w:r w:rsidR="003B2D0A" w:rsidRPr="00382917">
        <w:t>and</w:t>
      </w:r>
      <w:r w:rsidR="00EE4FC3">
        <w:t xml:space="preserve"> </w:t>
      </w:r>
      <w:r w:rsidR="003B2D0A" w:rsidRPr="00382917">
        <w:t>devoted</w:t>
      </w:r>
      <w:r w:rsidR="00EE4FC3">
        <w:t xml:space="preserve"> </w:t>
      </w:r>
      <w:r w:rsidR="003B2D0A" w:rsidRPr="00382917">
        <w:t>his</w:t>
      </w:r>
      <w:r w:rsidR="00EE4FC3">
        <w:t xml:space="preserve"> </w:t>
      </w:r>
      <w:r w:rsidR="003B2D0A" w:rsidRPr="00382917">
        <w:t>life</w:t>
      </w:r>
      <w:r w:rsidR="00EE4FC3">
        <w:t xml:space="preserve"> </w:t>
      </w:r>
      <w:r w:rsidR="003B2D0A" w:rsidRPr="00382917">
        <w:t>to</w:t>
      </w:r>
      <w:r w:rsidR="00EE4FC3">
        <w:t xml:space="preserve"> </w:t>
      </w:r>
      <w:r w:rsidR="003B2D0A" w:rsidRPr="00382917">
        <w:t>study</w:t>
      </w:r>
      <w:r w:rsidR="00C03C91">
        <w:t>.</w:t>
      </w:r>
      <w:r w:rsidR="00EE4FC3">
        <w:t xml:space="preserve">  </w:t>
      </w:r>
      <w:r w:rsidR="003B2D0A" w:rsidRPr="00382917">
        <w:t>Because</w:t>
      </w:r>
      <w:r w:rsidR="00EE4FC3">
        <w:t xml:space="preserve"> </w:t>
      </w:r>
      <w:r w:rsidR="003B2D0A" w:rsidRPr="00382917">
        <w:t>of</w:t>
      </w:r>
      <w:r w:rsidR="00EE4FC3">
        <w:t xml:space="preserve"> </w:t>
      </w:r>
      <w:r w:rsidR="003B2D0A" w:rsidRPr="00382917">
        <w:t>his</w:t>
      </w:r>
      <w:r w:rsidR="00EE4FC3">
        <w:t xml:space="preserve"> </w:t>
      </w:r>
      <w:r w:rsidR="003B2D0A" w:rsidRPr="00382917">
        <w:t>great</w:t>
      </w:r>
      <w:r w:rsidR="00EE4FC3">
        <w:t xml:space="preserve"> </w:t>
      </w:r>
      <w:r w:rsidR="003B2D0A" w:rsidRPr="00382917">
        <w:t>thirst</w:t>
      </w:r>
      <w:r w:rsidR="00EE4FC3">
        <w:t xml:space="preserve"> </w:t>
      </w:r>
      <w:r w:rsidR="003B2D0A" w:rsidRPr="00382917">
        <w:t>for</w:t>
      </w:r>
      <w:r w:rsidR="00EE4FC3">
        <w:t xml:space="preserve"> </w:t>
      </w:r>
      <w:r w:rsidR="003B2D0A" w:rsidRPr="00382917">
        <w:t>knowledge,</w:t>
      </w:r>
      <w:r w:rsidR="00EE4FC3">
        <w:t xml:space="preserve"> </w:t>
      </w:r>
      <w:r w:rsidR="003B2D0A" w:rsidRPr="00382917">
        <w:t>he</w:t>
      </w:r>
      <w:r w:rsidR="00EE4FC3">
        <w:t xml:space="preserve"> </w:t>
      </w:r>
      <w:r w:rsidR="003B2D0A" w:rsidRPr="00382917">
        <w:t>soon</w:t>
      </w:r>
      <w:r w:rsidR="00EE4FC3">
        <w:t xml:space="preserve"> </w:t>
      </w:r>
      <w:r w:rsidR="003B2D0A" w:rsidRPr="00382917">
        <w:t>eclipsed</w:t>
      </w:r>
      <w:r w:rsidR="00EE4FC3">
        <w:t xml:space="preserve"> </w:t>
      </w:r>
      <w:r w:rsidR="003B2D0A" w:rsidRPr="00382917">
        <w:t>his</w:t>
      </w:r>
      <w:r w:rsidR="00EE4FC3">
        <w:t xml:space="preserve"> </w:t>
      </w:r>
      <w:r w:rsidR="003B2D0A" w:rsidRPr="00382917">
        <w:t>fellow</w:t>
      </w:r>
      <w:r w:rsidR="00EE4FC3">
        <w:t xml:space="preserve"> </w:t>
      </w:r>
      <w:r w:rsidR="003B2D0A" w:rsidRPr="00382917">
        <w:t>students</w:t>
      </w:r>
      <w:r w:rsidR="00C03C91">
        <w:t>.</w:t>
      </w:r>
      <w:r w:rsidR="00EE4FC3">
        <w:t xml:space="preserve">  </w:t>
      </w:r>
      <w:r w:rsidR="003B2D0A" w:rsidRPr="00382917">
        <w:t>He</w:t>
      </w:r>
      <w:r w:rsidR="00EE4FC3">
        <w:t xml:space="preserve"> </w:t>
      </w:r>
      <w:r w:rsidR="003B2D0A" w:rsidRPr="00382917">
        <w:t>was</w:t>
      </w:r>
      <w:r w:rsidR="00EE4FC3">
        <w:t xml:space="preserve"> </w:t>
      </w:r>
      <w:r w:rsidR="003B2D0A" w:rsidRPr="00382917">
        <w:t>elevated</w:t>
      </w:r>
      <w:r w:rsidR="00EE4FC3">
        <w:t xml:space="preserve"> </w:t>
      </w:r>
      <w:r w:rsidR="003B2D0A" w:rsidRPr="00382917">
        <w:t>to</w:t>
      </w:r>
      <w:r w:rsidR="00EE4FC3">
        <w:t xml:space="preserve"> </w:t>
      </w:r>
      <w:r w:rsidR="003B2D0A" w:rsidRPr="00382917">
        <w:t>the</w:t>
      </w:r>
      <w:r w:rsidR="00EE4FC3">
        <w:t xml:space="preserve"> </w:t>
      </w:r>
      <w:r w:rsidR="003B2D0A" w:rsidRPr="00382917">
        <w:t>station</w:t>
      </w:r>
      <w:r w:rsidR="00EE4FC3">
        <w:t xml:space="preserve"> </w:t>
      </w:r>
      <w:r w:rsidR="003B2D0A" w:rsidRPr="00382917">
        <w:t>of</w:t>
      </w:r>
      <w:r w:rsidR="00EE4FC3">
        <w:t xml:space="preserve"> </w:t>
      </w:r>
      <w:r w:rsidR="003B2D0A" w:rsidRPr="00382917">
        <w:t>a</w:t>
      </w:r>
      <w:r w:rsidR="00EE4FC3">
        <w:t xml:space="preserve"> </w:t>
      </w:r>
      <w:r w:rsidR="003B2D0A" w:rsidRPr="00382917">
        <w:t>teacher</w:t>
      </w:r>
      <w:r w:rsidR="00C03C91">
        <w:t>.</w:t>
      </w:r>
      <w:r w:rsidR="00EE4FC3">
        <w:t xml:space="preserve">  </w:t>
      </w:r>
      <w:r w:rsidR="003B2D0A" w:rsidRPr="00382917">
        <w:t>He</w:t>
      </w:r>
      <w:r w:rsidR="00EE4FC3">
        <w:t xml:space="preserve"> </w:t>
      </w:r>
      <w:r w:rsidR="003B2D0A" w:rsidRPr="00382917">
        <w:t>was</w:t>
      </w:r>
      <w:r w:rsidR="00EE4FC3">
        <w:t xml:space="preserve"> </w:t>
      </w:r>
      <w:r w:rsidR="003B2D0A" w:rsidRPr="00382917">
        <w:t>told</w:t>
      </w:r>
      <w:r w:rsidR="00EE4FC3">
        <w:t xml:space="preserve"> </w:t>
      </w:r>
      <w:r w:rsidR="003B2D0A" w:rsidRPr="00382917">
        <w:t>that</w:t>
      </w:r>
      <w:r w:rsidR="00EE4FC3">
        <w:t xml:space="preserve"> </w:t>
      </w:r>
      <w:r w:rsidR="003B2D0A" w:rsidRPr="00382917">
        <w:t>he</w:t>
      </w:r>
      <w:r w:rsidR="00EE4FC3">
        <w:t xml:space="preserve"> </w:t>
      </w:r>
      <w:r w:rsidR="003B2D0A" w:rsidRPr="00382917">
        <w:t>need</w:t>
      </w:r>
      <w:r w:rsidR="00EE4FC3">
        <w:t xml:space="preserve"> </w:t>
      </w:r>
      <w:r w:rsidR="003B2D0A" w:rsidRPr="00382917">
        <w:t>no</w:t>
      </w:r>
      <w:r w:rsidR="00EE4FC3">
        <w:t xml:space="preserve"> </w:t>
      </w:r>
      <w:r w:rsidR="003B2D0A" w:rsidRPr="00382917">
        <w:t>longer</w:t>
      </w:r>
      <w:r w:rsidR="00EE4FC3">
        <w:t xml:space="preserve"> </w:t>
      </w:r>
      <w:r w:rsidR="003B2D0A" w:rsidRPr="00382917">
        <w:t>attend</w:t>
      </w:r>
      <w:r w:rsidR="00EE4FC3">
        <w:t xml:space="preserve"> </w:t>
      </w:r>
      <w:r w:rsidR="003B2D0A" w:rsidRPr="00382917">
        <w:t>the</w:t>
      </w:r>
      <w:r w:rsidR="00EE4FC3">
        <w:t xml:space="preserve"> </w:t>
      </w:r>
      <w:r w:rsidR="003B2D0A" w:rsidRPr="00382917">
        <w:t>classes,</w:t>
      </w:r>
      <w:r w:rsidR="00EE4FC3">
        <w:t xml:space="preserve"> </w:t>
      </w:r>
      <w:r w:rsidR="003B2D0A" w:rsidRPr="00382917">
        <w:t>for</w:t>
      </w:r>
      <w:r w:rsidR="00EE4FC3">
        <w:t xml:space="preserve"> </w:t>
      </w:r>
      <w:r w:rsidR="003B2D0A" w:rsidRPr="00382917">
        <w:t>he</w:t>
      </w:r>
      <w:r w:rsidR="00EE4FC3">
        <w:t xml:space="preserve"> </w:t>
      </w:r>
      <w:r w:rsidR="003B2D0A" w:rsidRPr="00382917">
        <w:t>now</w:t>
      </w:r>
      <w:r w:rsidR="00EE4FC3">
        <w:t xml:space="preserve"> </w:t>
      </w:r>
      <w:r w:rsidR="003B2D0A" w:rsidRPr="00382917">
        <w:t>knew</w:t>
      </w:r>
      <w:r w:rsidR="00EE4FC3">
        <w:t xml:space="preserve"> </w:t>
      </w:r>
      <w:r w:rsidR="003B2D0A" w:rsidRPr="00382917">
        <w:t>as</w:t>
      </w:r>
      <w:r w:rsidR="00EE4FC3">
        <w:t xml:space="preserve"> </w:t>
      </w:r>
      <w:r w:rsidR="003B2D0A" w:rsidRPr="00382917">
        <w:t>much</w:t>
      </w:r>
      <w:r w:rsidR="00EE4FC3">
        <w:t xml:space="preserve"> </w:t>
      </w:r>
      <w:r w:rsidR="003B2D0A" w:rsidRPr="00382917">
        <w:t>as</w:t>
      </w:r>
      <w:r w:rsidR="00EE4FC3">
        <w:t xml:space="preserve"> </w:t>
      </w:r>
      <w:r w:rsidR="003B2D0A" w:rsidRPr="00382917">
        <w:t>the</w:t>
      </w:r>
      <w:r w:rsidR="00EE4FC3">
        <w:t xml:space="preserve"> </w:t>
      </w:r>
      <w:r w:rsidR="003B2D0A" w:rsidRPr="00382917">
        <w:t>wisest</w:t>
      </w:r>
      <w:r w:rsidR="00EE4FC3">
        <w:t xml:space="preserve"> </w:t>
      </w:r>
      <w:r w:rsidR="003B2D0A" w:rsidRPr="00382917">
        <w:t>doctor</w:t>
      </w:r>
      <w:r w:rsidR="00EE4FC3">
        <w:t xml:space="preserve"> </w:t>
      </w:r>
      <w:r w:rsidR="003B2D0A" w:rsidRPr="00382917">
        <w:t>of</w:t>
      </w:r>
      <w:r w:rsidR="00EE4FC3">
        <w:t xml:space="preserve"> </w:t>
      </w:r>
      <w:r w:rsidR="003B2D0A" w:rsidRPr="00382917">
        <w:t>religion</w:t>
      </w:r>
      <w:r w:rsidR="00C03C91">
        <w:t>.</w:t>
      </w:r>
      <w:r w:rsidR="00EE4FC3">
        <w:t xml:space="preserve">  </w:t>
      </w:r>
      <w:r w:rsidR="003B2D0A" w:rsidRPr="00382917">
        <w:t>Therefore,</w:t>
      </w:r>
      <w:r w:rsidR="00EE4FC3">
        <w:t xml:space="preserve"> </w:t>
      </w:r>
      <w:r w:rsidR="003B2D0A" w:rsidRPr="00382917">
        <w:t>he,</w:t>
      </w:r>
      <w:r w:rsidR="00EE4FC3">
        <w:t xml:space="preserve"> </w:t>
      </w:r>
      <w:r w:rsidRPr="00382917">
        <w:t>‘</w:t>
      </w:r>
      <w:r w:rsidR="003B2D0A" w:rsidRPr="00382917">
        <w:t>Abdul-Karim,</w:t>
      </w:r>
      <w:r w:rsidR="00EE4FC3">
        <w:t xml:space="preserve"> </w:t>
      </w:r>
      <w:r w:rsidR="003B2D0A" w:rsidRPr="00382917">
        <w:t>could</w:t>
      </w:r>
      <w:r w:rsidR="00EE4FC3">
        <w:t xml:space="preserve"> </w:t>
      </w:r>
      <w:r w:rsidR="003B2D0A" w:rsidRPr="00382917">
        <w:t>now</w:t>
      </w:r>
      <w:r w:rsidR="00EE4FC3">
        <w:t xml:space="preserve"> </w:t>
      </w:r>
      <w:r w:rsidR="003B2D0A" w:rsidRPr="00382917">
        <w:t>teach</w:t>
      </w:r>
      <w:r w:rsidR="00EE4FC3">
        <w:t xml:space="preserve"> </w:t>
      </w:r>
      <w:r w:rsidR="003B2D0A" w:rsidRPr="00382917">
        <w:t>others.</w:t>
      </w:r>
    </w:p>
    <w:p w:rsidR="003B2D0A" w:rsidRPr="00382917" w:rsidRDefault="003B2D0A" w:rsidP="003B2D0A">
      <w:pPr>
        <w:pStyle w:val="Text"/>
      </w:pPr>
      <w:r w:rsidRPr="00382917">
        <w:t>This</w:t>
      </w:r>
      <w:r w:rsidR="00EE4FC3">
        <w:t xml:space="preserve"> </w:t>
      </w:r>
      <w:r w:rsidRPr="00382917">
        <w:t>troubled</w:t>
      </w:r>
      <w:r w:rsidR="00EE4FC3">
        <w:t xml:space="preserve"> </w:t>
      </w:r>
      <w:r w:rsidR="009C713D" w:rsidRPr="00382917">
        <w:t>‘</w:t>
      </w:r>
      <w:r w:rsidRPr="00382917">
        <w:t>Abdu</w:t>
      </w:r>
      <w:r w:rsidR="009C713D" w:rsidRPr="00382917">
        <w:t>’</w:t>
      </w:r>
      <w:r w:rsidRPr="00382917">
        <w:t>l-</w:t>
      </w:r>
      <w:proofErr w:type="spellStart"/>
      <w:r w:rsidRPr="00382917">
        <w:t>Karím</w:t>
      </w:r>
      <w:r w:rsidR="009C713D" w:rsidRPr="00382917">
        <w:t>’</w:t>
      </w:r>
      <w:r w:rsidRPr="00382917">
        <w:t>s</w:t>
      </w:r>
      <w:proofErr w:type="spellEnd"/>
      <w:r w:rsidR="00EE4FC3">
        <w:t xml:space="preserve"> </w:t>
      </w:r>
      <w:r w:rsidRPr="00382917">
        <w:t>heart</w:t>
      </w:r>
      <w:r w:rsidR="00EE4FC3">
        <w:t xml:space="preserve"> </w:t>
      </w:r>
      <w:r w:rsidRPr="00382917">
        <w:t>very</w:t>
      </w:r>
      <w:r w:rsidR="00EE4FC3">
        <w:t xml:space="preserve"> </w:t>
      </w:r>
      <w:r w:rsidRPr="00382917">
        <w:t>greatly,</w:t>
      </w:r>
      <w:r w:rsidR="00EE4FC3">
        <w:t xml:space="preserve"> </w:t>
      </w:r>
      <w:r w:rsidRPr="00382917">
        <w:t>for</w:t>
      </w:r>
      <w:r w:rsidR="00EE4FC3">
        <w:t xml:space="preserve"> </w:t>
      </w:r>
      <w:r w:rsidRPr="00382917">
        <w:t>he</w:t>
      </w:r>
      <w:r w:rsidR="00EE4FC3">
        <w:t xml:space="preserve"> </w:t>
      </w:r>
      <w:r w:rsidRPr="00382917">
        <w:t>knew</w:t>
      </w:r>
      <w:r w:rsidR="00EE4FC3">
        <w:t xml:space="preserve"> </w:t>
      </w:r>
      <w:r w:rsidRPr="00382917">
        <w:t>that</w:t>
      </w:r>
      <w:r w:rsidR="00EE4FC3">
        <w:t xml:space="preserve"> </w:t>
      </w:r>
      <w:r w:rsidRPr="00382917">
        <w:t>in</w:t>
      </w:r>
      <w:r w:rsidR="00EE4FC3">
        <w:t xml:space="preserve"> </w:t>
      </w:r>
      <w:r w:rsidRPr="00382917">
        <w:t>truth</w:t>
      </w:r>
      <w:r w:rsidR="00EE4FC3">
        <w:t xml:space="preserve"> </w:t>
      </w:r>
      <w:r w:rsidRPr="00382917">
        <w:t>he</w:t>
      </w:r>
      <w:r w:rsidR="00EE4FC3">
        <w:t xml:space="preserve"> </w:t>
      </w:r>
      <w:r w:rsidRPr="00382917">
        <w:t>knew</w:t>
      </w:r>
      <w:r w:rsidR="00EE4FC3">
        <w:t xml:space="preserve"> </w:t>
      </w:r>
      <w:r w:rsidRPr="00382917">
        <w:t>nothing</w:t>
      </w:r>
      <w:r w:rsidR="00C03C91">
        <w:t>.</w:t>
      </w:r>
      <w:r w:rsidR="00EE4FC3">
        <w:t xml:space="preserve">  </w:t>
      </w:r>
      <w:r w:rsidRPr="00382917">
        <w:t>If</w:t>
      </w:r>
      <w:r w:rsidR="00EE4FC3">
        <w:t xml:space="preserve"> </w:t>
      </w:r>
      <w:r w:rsidRPr="00382917">
        <w:t>he</w:t>
      </w:r>
      <w:r w:rsidR="00EE4FC3">
        <w:t xml:space="preserve"> </w:t>
      </w:r>
      <w:r w:rsidRPr="00382917">
        <w:t>were</w:t>
      </w:r>
      <w:r w:rsidR="00EE4FC3">
        <w:t xml:space="preserve"> </w:t>
      </w:r>
      <w:r w:rsidRPr="00382917">
        <w:t>considered</w:t>
      </w:r>
      <w:r w:rsidR="00EE4FC3">
        <w:t xml:space="preserve"> </w:t>
      </w:r>
      <w:r w:rsidRPr="00382917">
        <w:t>to</w:t>
      </w:r>
      <w:r w:rsidR="00EE4FC3">
        <w:t xml:space="preserve"> </w:t>
      </w:r>
      <w:r w:rsidRPr="00382917">
        <w:t>be</w:t>
      </w:r>
      <w:r w:rsidR="00EE4FC3">
        <w:t xml:space="preserve"> </w:t>
      </w:r>
      <w:r w:rsidRPr="00382917">
        <w:t>among</w:t>
      </w:r>
      <w:r w:rsidR="00EE4FC3">
        <w:t xml:space="preserve"> </w:t>
      </w:r>
      <w:r w:rsidRPr="00382917">
        <w:t>the</w:t>
      </w:r>
      <w:r w:rsidR="00EE4FC3">
        <w:t xml:space="preserve"> </w:t>
      </w:r>
      <w:r w:rsidRPr="00382917">
        <w:t>wisest</w:t>
      </w:r>
      <w:r w:rsidR="00EE4FC3">
        <w:t xml:space="preserve"> </w:t>
      </w:r>
      <w:r w:rsidRPr="00382917">
        <w:t>of</w:t>
      </w:r>
      <w:r w:rsidR="00EE4FC3">
        <w:t xml:space="preserve"> </w:t>
      </w:r>
      <w:r w:rsidRPr="00382917">
        <w:t>all,</w:t>
      </w:r>
      <w:r w:rsidR="00EE4FC3">
        <w:t xml:space="preserve"> </w:t>
      </w:r>
      <w:r w:rsidRPr="00382917">
        <w:t>who</w:t>
      </w:r>
      <w:r w:rsidR="00EE4FC3">
        <w:t xml:space="preserve"> </w:t>
      </w:r>
      <w:r w:rsidRPr="00382917">
        <w:t>was</w:t>
      </w:r>
      <w:r w:rsidR="00EE4FC3">
        <w:t xml:space="preserve"> </w:t>
      </w:r>
      <w:r w:rsidRPr="00382917">
        <w:t>there</w:t>
      </w:r>
      <w:r w:rsidR="00EE4FC3">
        <w:t xml:space="preserve"> </w:t>
      </w:r>
      <w:r w:rsidRPr="00382917">
        <w:t>on</w:t>
      </w:r>
      <w:r w:rsidR="00EE4FC3">
        <w:t xml:space="preserve"> </w:t>
      </w:r>
      <w:r w:rsidRPr="00382917">
        <w:t>earth</w:t>
      </w:r>
      <w:r w:rsidR="00EE4FC3">
        <w:t xml:space="preserve"> </w:t>
      </w:r>
      <w:r w:rsidRPr="00382917">
        <w:t>who</w:t>
      </w:r>
      <w:r w:rsidR="00EE4FC3">
        <w:t xml:space="preserve"> </w:t>
      </w:r>
      <w:r w:rsidRPr="00382917">
        <w:t>really</w:t>
      </w:r>
      <w:r w:rsidR="00EE4FC3">
        <w:t xml:space="preserve"> </w:t>
      </w:r>
      <w:r w:rsidRPr="00382917">
        <w:t>new</w:t>
      </w:r>
      <w:r w:rsidR="00EE4FC3">
        <w:t xml:space="preserve"> </w:t>
      </w:r>
      <w:r w:rsidRPr="00382917">
        <w:t>anything</w:t>
      </w:r>
      <w:r w:rsidR="00EE4FC3">
        <w:t xml:space="preserve"> </w:t>
      </w:r>
      <w:r w:rsidRPr="00382917">
        <w:t>about</w:t>
      </w:r>
      <w:r w:rsidR="00EE4FC3">
        <w:t xml:space="preserve"> </w:t>
      </w:r>
      <w:r w:rsidRPr="00382917">
        <w:t>Almighty</w:t>
      </w:r>
      <w:r w:rsidR="00EE4FC3">
        <w:t xml:space="preserve"> </w:t>
      </w:r>
      <w:r w:rsidRPr="00382917">
        <w:t>God</w:t>
      </w:r>
      <w:r w:rsidR="00EE4FC3">
        <w:t xml:space="preserve"> </w:t>
      </w:r>
      <w:r w:rsidRPr="00382917">
        <w:t>at</w:t>
      </w:r>
      <w:r w:rsidR="00EE4FC3">
        <w:t xml:space="preserve"> </w:t>
      </w:r>
      <w:r w:rsidRPr="00382917">
        <w:t>all?</w:t>
      </w:r>
      <w:r w:rsidR="00EE4FC3">
        <w:t xml:space="preserve">  </w:t>
      </w:r>
      <w:r w:rsidR="009C713D" w:rsidRPr="00382917">
        <w:t>‘</w:t>
      </w:r>
      <w:r w:rsidRPr="00382917">
        <w:t>Abdul-Karim</w:t>
      </w:r>
      <w:r w:rsidR="00EE4FC3">
        <w:t xml:space="preserve"> </w:t>
      </w:r>
      <w:r w:rsidRPr="00382917">
        <w:t>refused</w:t>
      </w:r>
      <w:r w:rsidR="00EE4FC3">
        <w:t xml:space="preserve"> </w:t>
      </w:r>
      <w:r w:rsidRPr="00382917">
        <w:t>to</w:t>
      </w:r>
      <w:r w:rsidR="00EE4FC3">
        <w:t xml:space="preserve"> </w:t>
      </w:r>
      <w:r w:rsidRPr="00382917">
        <w:t>teach</w:t>
      </w:r>
      <w:r w:rsidR="00EE4FC3">
        <w:t xml:space="preserve"> </w:t>
      </w:r>
      <w:r w:rsidRPr="00382917">
        <w:t>others</w:t>
      </w:r>
      <w:r w:rsidR="00EE4FC3">
        <w:t xml:space="preserve"> </w:t>
      </w:r>
      <w:r w:rsidRPr="00382917">
        <w:t>for</w:t>
      </w:r>
      <w:r w:rsidR="00EE4FC3">
        <w:t xml:space="preserve"> </w:t>
      </w:r>
      <w:r w:rsidRPr="00382917">
        <w:t>he</w:t>
      </w:r>
      <w:r w:rsidR="00EE4FC3">
        <w:t xml:space="preserve"> </w:t>
      </w:r>
      <w:r w:rsidRPr="00382917">
        <w:t>felt</w:t>
      </w:r>
      <w:r w:rsidR="00EE4FC3">
        <w:t xml:space="preserve"> </w:t>
      </w:r>
      <w:r w:rsidRPr="00382917">
        <w:t>himself</w:t>
      </w:r>
      <w:r w:rsidR="00EE4FC3">
        <w:t xml:space="preserve"> </w:t>
      </w:r>
      <w:r w:rsidRPr="00382917">
        <w:t>unworthy.</w:t>
      </w:r>
    </w:p>
    <w:p w:rsidR="003B2D0A" w:rsidRPr="00382917" w:rsidRDefault="003B2D0A" w:rsidP="003B2D0A">
      <w:pPr>
        <w:pStyle w:val="Text"/>
      </w:pPr>
      <w:r w:rsidRPr="00382917">
        <w:t>Night</w:t>
      </w:r>
      <w:r w:rsidR="00EE4FC3">
        <w:t xml:space="preserve"> </w:t>
      </w:r>
      <w:r w:rsidRPr="00382917">
        <w:t>after</w:t>
      </w:r>
      <w:r w:rsidR="00EE4FC3">
        <w:t xml:space="preserve"> </w:t>
      </w:r>
      <w:r w:rsidRPr="00382917">
        <w:t>night</w:t>
      </w:r>
      <w:r w:rsidR="00EE4FC3">
        <w:t xml:space="preserve"> </w:t>
      </w:r>
      <w:r w:rsidRPr="00382917">
        <w:t>he</w:t>
      </w:r>
      <w:r w:rsidR="00EE4FC3">
        <w:t xml:space="preserve"> </w:t>
      </w:r>
      <w:r w:rsidRPr="00382917">
        <w:t>would</w:t>
      </w:r>
      <w:r w:rsidR="00EE4FC3">
        <w:t xml:space="preserve"> </w:t>
      </w:r>
      <w:r w:rsidRPr="00382917">
        <w:t>withdraw</w:t>
      </w:r>
      <w:r w:rsidR="00EE4FC3">
        <w:t xml:space="preserve"> </w:t>
      </w:r>
      <w:r w:rsidRPr="00382917">
        <w:t>to</w:t>
      </w:r>
      <w:r w:rsidR="00EE4FC3">
        <w:t xml:space="preserve"> </w:t>
      </w:r>
      <w:r w:rsidRPr="00382917">
        <w:t>his</w:t>
      </w:r>
      <w:r w:rsidR="00EE4FC3">
        <w:t xml:space="preserve"> </w:t>
      </w:r>
      <w:r w:rsidRPr="00382917">
        <w:t>room</w:t>
      </w:r>
      <w:r w:rsidR="00EE4FC3">
        <w:t xml:space="preserve"> </w:t>
      </w:r>
      <w:r w:rsidRPr="00382917">
        <w:t>and</w:t>
      </w:r>
      <w:r w:rsidR="00EE4FC3">
        <w:t xml:space="preserve"> </w:t>
      </w:r>
      <w:r w:rsidRPr="00382917">
        <w:t>implore</w:t>
      </w:r>
      <w:r w:rsidR="00EE4FC3">
        <w:t xml:space="preserve"> </w:t>
      </w:r>
      <w:r w:rsidRPr="00382917">
        <w:t>God</w:t>
      </w:r>
      <w:r w:rsidR="00EE4FC3">
        <w:t xml:space="preserve"> </w:t>
      </w:r>
      <w:r w:rsidRPr="00382917">
        <w:t>for</w:t>
      </w:r>
      <w:r w:rsidR="00EE4FC3">
        <w:t xml:space="preserve"> </w:t>
      </w:r>
      <w:r w:rsidRPr="00382917">
        <w:t>guidance</w:t>
      </w:r>
      <w:r w:rsidR="00C03C91">
        <w:t>.</w:t>
      </w:r>
      <w:r w:rsidR="00EE4FC3">
        <w:t xml:space="preserve">  </w:t>
      </w:r>
      <w:r w:rsidRPr="00382917">
        <w:t>Of</w:t>
      </w:r>
      <w:r w:rsidR="00EE4FC3">
        <w:t xml:space="preserve"> </w:t>
      </w:r>
      <w:r w:rsidRPr="00382917">
        <w:t>one</w:t>
      </w:r>
      <w:r w:rsidR="00EE4FC3">
        <w:t xml:space="preserve"> </w:t>
      </w:r>
      <w:r w:rsidRPr="00382917">
        <w:t>of</w:t>
      </w:r>
      <w:r w:rsidR="00EE4FC3">
        <w:t xml:space="preserve"> </w:t>
      </w:r>
      <w:r w:rsidRPr="00382917">
        <w:t>those</w:t>
      </w:r>
      <w:r w:rsidR="00EE4FC3">
        <w:t xml:space="preserve"> </w:t>
      </w:r>
      <w:r w:rsidRPr="00382917">
        <w:t>nights,</w:t>
      </w:r>
      <w:r w:rsidR="00EE4FC3">
        <w:t xml:space="preserve"> </w:t>
      </w:r>
      <w:r w:rsidR="009C713D" w:rsidRPr="00382917">
        <w:t>‘</w:t>
      </w:r>
      <w:r w:rsidRPr="00382917">
        <w:t>Abdul-Karim</w:t>
      </w:r>
      <w:r w:rsidR="00EE4FC3">
        <w:t xml:space="preserve"> </w:t>
      </w:r>
      <w:r w:rsidRPr="00382917">
        <w:t>himself</w:t>
      </w:r>
      <w:r w:rsidR="00EE4FC3">
        <w:t xml:space="preserve"> </w:t>
      </w:r>
      <w:r w:rsidRPr="00382917">
        <w:t>has</w:t>
      </w:r>
      <w:r w:rsidR="00EE4FC3">
        <w:t xml:space="preserve"> </w:t>
      </w:r>
      <w:r w:rsidRPr="00382917">
        <w:t>related:</w:t>
      </w:r>
    </w:p>
    <w:p w:rsidR="003B2D0A" w:rsidRPr="00382917" w:rsidRDefault="009C713D" w:rsidP="003B2D0A">
      <w:pPr>
        <w:pStyle w:val="Text"/>
      </w:pPr>
      <w:r w:rsidRPr="00382917">
        <w:t>“</w:t>
      </w:r>
      <w:r w:rsidR="003B2D0A" w:rsidRPr="00382917">
        <w:t>I</w:t>
      </w:r>
      <w:r w:rsidR="00EE4FC3">
        <w:t xml:space="preserve"> </w:t>
      </w:r>
      <w:r w:rsidR="003B2D0A" w:rsidRPr="00382917">
        <w:t>would</w:t>
      </w:r>
      <w:r w:rsidR="00EE4FC3">
        <w:t xml:space="preserve"> </w:t>
      </w:r>
      <w:r w:rsidR="003B2D0A" w:rsidRPr="00382917">
        <w:t>remain</w:t>
      </w:r>
      <w:r w:rsidR="00EE4FC3">
        <w:t xml:space="preserve"> </w:t>
      </w:r>
      <w:r w:rsidR="003B2D0A" w:rsidRPr="00382917">
        <w:t>absorbed</w:t>
      </w:r>
      <w:r w:rsidR="00EE4FC3">
        <w:t xml:space="preserve"> </w:t>
      </w:r>
      <w:r w:rsidR="003B2D0A" w:rsidRPr="00382917">
        <w:t>in</w:t>
      </w:r>
      <w:r w:rsidR="00EE4FC3">
        <w:t xml:space="preserve"> </w:t>
      </w:r>
      <w:r w:rsidR="003B2D0A" w:rsidRPr="00382917">
        <w:t>my</w:t>
      </w:r>
      <w:r w:rsidR="00EE4FC3">
        <w:t xml:space="preserve"> </w:t>
      </w:r>
      <w:r w:rsidR="003B2D0A" w:rsidRPr="00382917">
        <w:t>thoughts</w:t>
      </w:r>
      <w:r w:rsidR="00EE4FC3">
        <w:t xml:space="preserve"> </w:t>
      </w:r>
      <w:r w:rsidR="003B2D0A" w:rsidRPr="00382917">
        <w:t>each</w:t>
      </w:r>
      <w:r w:rsidR="00EE4FC3">
        <w:t xml:space="preserve"> </w:t>
      </w:r>
      <w:r w:rsidR="003B2D0A" w:rsidRPr="00382917">
        <w:t>night</w:t>
      </w:r>
      <w:r w:rsidR="00EE4FC3">
        <w:t xml:space="preserve"> </w:t>
      </w:r>
      <w:r w:rsidR="003B2D0A" w:rsidRPr="00382917">
        <w:t>until</w:t>
      </w:r>
      <w:r w:rsidR="00EE4FC3">
        <w:t xml:space="preserve"> </w:t>
      </w:r>
      <w:r w:rsidR="003B2D0A" w:rsidRPr="00382917">
        <w:t>dawn</w:t>
      </w:r>
      <w:r w:rsidR="00C03C91">
        <w:t>.</w:t>
      </w:r>
      <w:r w:rsidR="00EE4FC3">
        <w:t xml:space="preserve">  </w:t>
      </w:r>
      <w:r w:rsidR="003B2D0A" w:rsidRPr="00382917">
        <w:t>I</w:t>
      </w:r>
      <w:r w:rsidR="00EE4FC3">
        <w:t xml:space="preserve"> </w:t>
      </w:r>
      <w:r w:rsidR="003B2D0A" w:rsidRPr="00382917">
        <w:t>neither</w:t>
      </w:r>
      <w:r w:rsidR="00EE4FC3">
        <w:t xml:space="preserve"> </w:t>
      </w:r>
      <w:r w:rsidR="003B2D0A" w:rsidRPr="00382917">
        <w:t>ate</w:t>
      </w:r>
      <w:r w:rsidR="00EE4FC3">
        <w:t xml:space="preserve"> </w:t>
      </w:r>
      <w:r w:rsidR="003B2D0A" w:rsidRPr="00382917">
        <w:t>nor</w:t>
      </w:r>
      <w:r w:rsidR="00EE4FC3">
        <w:t xml:space="preserve"> </w:t>
      </w:r>
      <w:r w:rsidR="003B2D0A" w:rsidRPr="00382917">
        <w:t>slept</w:t>
      </w:r>
      <w:r w:rsidR="00C03C91">
        <w:t>.</w:t>
      </w:r>
      <w:r w:rsidR="00EE4FC3">
        <w:t xml:space="preserve">  </w:t>
      </w:r>
      <w:r w:rsidR="003B2D0A" w:rsidRPr="00382917">
        <w:t>At</w:t>
      </w:r>
      <w:r w:rsidR="00EE4FC3">
        <w:t xml:space="preserve"> </w:t>
      </w:r>
      <w:r w:rsidR="003B2D0A" w:rsidRPr="00382917">
        <w:t>times</w:t>
      </w:r>
      <w:r w:rsidR="00EE4FC3">
        <w:t xml:space="preserve"> </w:t>
      </w:r>
      <w:r w:rsidR="003B2D0A" w:rsidRPr="00382917">
        <w:t>I</w:t>
      </w:r>
      <w:r w:rsidR="00EE4FC3">
        <w:t xml:space="preserve"> </w:t>
      </w:r>
      <w:r w:rsidR="003B2D0A" w:rsidRPr="00382917">
        <w:t>would</w:t>
      </w:r>
      <w:r w:rsidR="00EE4FC3">
        <w:t xml:space="preserve"> </w:t>
      </w:r>
      <w:r w:rsidR="003B2D0A" w:rsidRPr="00382917">
        <w:t>commune</w:t>
      </w:r>
      <w:r w:rsidR="00EE4FC3">
        <w:t xml:space="preserve"> </w:t>
      </w:r>
      <w:r w:rsidR="003B2D0A" w:rsidRPr="00382917">
        <w:t>with</w:t>
      </w:r>
      <w:r w:rsidR="00EE4FC3">
        <w:t xml:space="preserve"> </w:t>
      </w:r>
      <w:r w:rsidR="003B2D0A" w:rsidRPr="00382917">
        <w:t>God</w:t>
      </w:r>
      <w:r w:rsidR="00C03C91">
        <w:t>.</w:t>
      </w:r>
      <w:r w:rsidR="00EE4FC3">
        <w:t xml:space="preserve">  </w:t>
      </w:r>
      <w:r w:rsidRPr="00382917">
        <w:t>‘</w:t>
      </w:r>
      <w:r w:rsidR="003B2D0A" w:rsidRPr="00382917">
        <w:t>Thou</w:t>
      </w:r>
      <w:r w:rsidR="00EE4FC3">
        <w:t xml:space="preserve"> </w:t>
      </w:r>
      <w:proofErr w:type="spellStart"/>
      <w:r w:rsidR="003B2D0A" w:rsidRPr="00382917">
        <w:t>seest</w:t>
      </w:r>
      <w:proofErr w:type="spellEnd"/>
      <w:r w:rsidR="00EE4FC3">
        <w:t xml:space="preserve"> </w:t>
      </w:r>
      <w:r w:rsidR="003B2D0A" w:rsidRPr="00382917">
        <w:t>me,</w:t>
      </w:r>
      <w:r w:rsidR="00EE4FC3">
        <w:t xml:space="preserve"> </w:t>
      </w:r>
      <w:r w:rsidR="00665A7A" w:rsidRPr="00382917">
        <w:t>O</w:t>
      </w:r>
      <w:r w:rsidR="00EE4FC3">
        <w:t xml:space="preserve"> </w:t>
      </w:r>
      <w:r w:rsidR="003B2D0A" w:rsidRPr="00382917">
        <w:t>my</w:t>
      </w:r>
      <w:r w:rsidR="00EE4FC3">
        <w:t xml:space="preserve"> </w:t>
      </w:r>
      <w:r w:rsidR="003B2D0A" w:rsidRPr="00382917">
        <w:t>Lord,</w:t>
      </w:r>
      <w:r w:rsidR="00EE4FC3">
        <w:t xml:space="preserve"> </w:t>
      </w:r>
      <w:r w:rsidR="003B2D0A" w:rsidRPr="00382917">
        <w:t>and</w:t>
      </w:r>
      <w:r w:rsidR="00EE4FC3">
        <w:t xml:space="preserve"> </w:t>
      </w:r>
      <w:proofErr w:type="spellStart"/>
      <w:r w:rsidR="003B2D0A" w:rsidRPr="00382917">
        <w:t>beholdest</w:t>
      </w:r>
      <w:proofErr w:type="spellEnd"/>
      <w:r w:rsidR="00EE4FC3">
        <w:t xml:space="preserve"> </w:t>
      </w:r>
      <w:r w:rsidR="003B2D0A" w:rsidRPr="00382917">
        <w:t>my</w:t>
      </w:r>
      <w:r w:rsidR="00EE4FC3">
        <w:t xml:space="preserve"> </w:t>
      </w:r>
      <w:r w:rsidR="003B2D0A" w:rsidRPr="00382917">
        <w:t>plight</w:t>
      </w:r>
      <w:r w:rsidR="00C03C91">
        <w:t>.</w:t>
      </w:r>
      <w:r w:rsidR="00EE4FC3">
        <w:t xml:space="preserve">  </w:t>
      </w:r>
      <w:r w:rsidR="003B2D0A" w:rsidRPr="00382917">
        <w:t>I</w:t>
      </w:r>
      <w:r w:rsidR="00EE4FC3">
        <w:t xml:space="preserve"> </w:t>
      </w:r>
      <w:r w:rsidR="003B2D0A" w:rsidRPr="00382917">
        <w:t>am</w:t>
      </w:r>
      <w:r w:rsidR="00EE4FC3">
        <w:t xml:space="preserve"> </w:t>
      </w:r>
      <w:r w:rsidR="003B2D0A" w:rsidRPr="00382917">
        <w:t>deeply</w:t>
      </w:r>
      <w:r w:rsidR="00EE4FC3">
        <w:t xml:space="preserve"> </w:t>
      </w:r>
      <w:r w:rsidR="003B2D0A" w:rsidRPr="00382917">
        <w:t>troubled</w:t>
      </w:r>
      <w:r w:rsidR="00EE4FC3">
        <w:t xml:space="preserve"> </w:t>
      </w:r>
      <w:r w:rsidR="003B2D0A" w:rsidRPr="00382917">
        <w:t>when</w:t>
      </w:r>
      <w:r w:rsidR="00EE4FC3">
        <w:t xml:space="preserve"> </w:t>
      </w:r>
      <w:r w:rsidR="003B2D0A" w:rsidRPr="00382917">
        <w:t>I</w:t>
      </w:r>
      <w:r w:rsidR="00EE4FC3">
        <w:t xml:space="preserve"> </w:t>
      </w:r>
      <w:r w:rsidR="003B2D0A" w:rsidRPr="00382917">
        <w:t>see</w:t>
      </w:r>
      <w:r w:rsidR="00EE4FC3">
        <w:t xml:space="preserve"> </w:t>
      </w:r>
      <w:r w:rsidR="003B2D0A" w:rsidRPr="00382917">
        <w:t>the</w:t>
      </w:r>
      <w:r w:rsidR="00EE4FC3">
        <w:t xml:space="preserve"> </w:t>
      </w:r>
      <w:r w:rsidR="003B2D0A" w:rsidRPr="00382917">
        <w:t>divisions</w:t>
      </w:r>
      <w:r w:rsidR="00EE4FC3">
        <w:t xml:space="preserve"> </w:t>
      </w:r>
      <w:r w:rsidR="003B2D0A" w:rsidRPr="00382917">
        <w:t>that</w:t>
      </w:r>
      <w:r w:rsidR="00EE4FC3">
        <w:t xml:space="preserve"> </w:t>
      </w:r>
      <w:r w:rsidR="003B2D0A" w:rsidRPr="00382917">
        <w:t>have</w:t>
      </w:r>
      <w:r w:rsidR="00EE4FC3">
        <w:t xml:space="preserve"> </w:t>
      </w:r>
      <w:r w:rsidR="003B2D0A" w:rsidRPr="00382917">
        <w:t>torn</w:t>
      </w:r>
      <w:r w:rsidR="00EE4FC3">
        <w:t xml:space="preserve"> </w:t>
      </w:r>
      <w:r w:rsidR="003B2D0A" w:rsidRPr="00382917">
        <w:t>Thy</w:t>
      </w:r>
      <w:r w:rsidR="00EE4FC3">
        <w:t xml:space="preserve"> </w:t>
      </w:r>
      <w:r w:rsidR="003B2D0A" w:rsidRPr="00382917">
        <w:t>religion</w:t>
      </w:r>
      <w:r w:rsidR="00C03C91">
        <w:t>.</w:t>
      </w:r>
      <w:r w:rsidR="00EE4FC3">
        <w:t xml:space="preserve">  </w:t>
      </w:r>
      <w:r w:rsidR="003B2D0A" w:rsidRPr="00382917">
        <w:t>What</w:t>
      </w:r>
      <w:r w:rsidR="00EE4FC3">
        <w:t xml:space="preserve"> </w:t>
      </w:r>
      <w:r w:rsidR="003B2D0A" w:rsidRPr="00382917">
        <w:t>is</w:t>
      </w:r>
      <w:r w:rsidR="00EE4FC3">
        <w:t xml:space="preserve"> </w:t>
      </w:r>
      <w:r w:rsidR="003B2D0A" w:rsidRPr="00382917">
        <w:t>the</w:t>
      </w:r>
      <w:r w:rsidR="00EE4FC3">
        <w:t xml:space="preserve"> </w:t>
      </w:r>
      <w:r w:rsidR="003B2D0A" w:rsidRPr="00382917">
        <w:t>truth?</w:t>
      </w:r>
      <w:r w:rsidR="00EE4FC3">
        <w:t xml:space="preserve">  </w:t>
      </w:r>
      <w:r w:rsidR="003B2D0A" w:rsidRPr="00382917">
        <w:t>Wilt</w:t>
      </w:r>
      <w:r w:rsidR="00EE4FC3">
        <w:t xml:space="preserve"> </w:t>
      </w:r>
      <w:r w:rsidR="003B2D0A" w:rsidRPr="00382917">
        <w:t>Thou</w:t>
      </w:r>
      <w:r w:rsidR="00EE4FC3">
        <w:t xml:space="preserve"> </w:t>
      </w:r>
      <w:r w:rsidR="003B2D0A" w:rsidRPr="00382917">
        <w:t>not</w:t>
      </w:r>
      <w:r w:rsidR="00EE4FC3">
        <w:t xml:space="preserve"> </w:t>
      </w:r>
      <w:r w:rsidR="003B2D0A" w:rsidRPr="00382917">
        <w:t>guide</w:t>
      </w:r>
      <w:r w:rsidR="00EE4FC3">
        <w:t xml:space="preserve"> </w:t>
      </w:r>
      <w:r w:rsidR="003B2D0A" w:rsidRPr="00382917">
        <w:t>me</w:t>
      </w:r>
      <w:r w:rsidR="00EE4FC3">
        <w:t xml:space="preserve"> </w:t>
      </w:r>
      <w:r w:rsidR="003B2D0A" w:rsidRPr="00382917">
        <w:t>and</w:t>
      </w:r>
      <w:r w:rsidR="00EE4FC3">
        <w:t xml:space="preserve"> </w:t>
      </w:r>
      <w:r w:rsidR="003B2D0A" w:rsidRPr="00382917">
        <w:t>relieve</w:t>
      </w:r>
      <w:r w:rsidR="00EE4FC3">
        <w:t xml:space="preserve"> </w:t>
      </w:r>
      <w:r w:rsidR="003B2D0A" w:rsidRPr="00382917">
        <w:t>my</w:t>
      </w:r>
      <w:r w:rsidR="00EE4FC3">
        <w:t xml:space="preserve"> </w:t>
      </w:r>
      <w:r w:rsidR="003B2D0A" w:rsidRPr="00382917">
        <w:t>doubts?</w:t>
      </w:r>
      <w:r w:rsidR="00EE4FC3">
        <w:t xml:space="preserve">  </w:t>
      </w:r>
      <w:r w:rsidR="003B2D0A" w:rsidRPr="00382917">
        <w:t>Whither</w:t>
      </w:r>
      <w:r w:rsidR="00EE4FC3">
        <w:t xml:space="preserve"> </w:t>
      </w:r>
      <w:r w:rsidR="003B2D0A" w:rsidRPr="00382917">
        <w:t>am</w:t>
      </w:r>
      <w:r w:rsidR="00EE4FC3">
        <w:t xml:space="preserve"> </w:t>
      </w:r>
      <w:r w:rsidR="003B2D0A" w:rsidRPr="00382917">
        <w:t>I</w:t>
      </w:r>
      <w:r w:rsidR="00EE4FC3">
        <w:t xml:space="preserve"> </w:t>
      </w:r>
      <w:r w:rsidR="003B2D0A" w:rsidRPr="00382917">
        <w:t>to</w:t>
      </w:r>
      <w:r w:rsidR="00EE4FC3">
        <w:t xml:space="preserve"> </w:t>
      </w:r>
      <w:r w:rsidR="003B2D0A" w:rsidRPr="00382917">
        <w:t>turn</w:t>
      </w:r>
      <w:r w:rsidR="00EE4FC3">
        <w:t xml:space="preserve"> </w:t>
      </w:r>
      <w:r w:rsidR="003B2D0A" w:rsidRPr="00382917">
        <w:t>for</w:t>
      </w:r>
      <w:r w:rsidR="00EE4FC3">
        <w:t xml:space="preserve"> </w:t>
      </w:r>
      <w:r w:rsidR="003B2D0A" w:rsidRPr="00382917">
        <w:t>consolation</w:t>
      </w:r>
      <w:r w:rsidR="00EE4FC3">
        <w:t xml:space="preserve"> </w:t>
      </w:r>
      <w:r w:rsidR="003B2D0A" w:rsidRPr="00382917">
        <w:t>and</w:t>
      </w:r>
      <w:r w:rsidR="00EE4FC3">
        <w:t xml:space="preserve"> </w:t>
      </w:r>
      <w:r w:rsidR="003B2D0A" w:rsidRPr="00382917">
        <w:t>guidance?</w:t>
      </w:r>
      <w:r w:rsidRPr="00382917">
        <w:t>’</w:t>
      </w:r>
    </w:p>
    <w:p w:rsidR="003B2D0A" w:rsidRPr="00382917" w:rsidRDefault="009C713D" w:rsidP="003B2D0A">
      <w:pPr>
        <w:pStyle w:val="Text"/>
      </w:pPr>
      <w:r w:rsidRPr="00382917">
        <w:t>“</w:t>
      </w:r>
      <w:r w:rsidR="003B2D0A" w:rsidRPr="00382917">
        <w:t>I</w:t>
      </w:r>
      <w:r w:rsidR="00EE4FC3">
        <w:t xml:space="preserve"> </w:t>
      </w:r>
      <w:r w:rsidR="003B2D0A" w:rsidRPr="00382917">
        <w:t>wept</w:t>
      </w:r>
      <w:r w:rsidR="00EE4FC3">
        <w:t xml:space="preserve"> </w:t>
      </w:r>
      <w:r w:rsidR="003B2D0A" w:rsidRPr="00382917">
        <w:t>so</w:t>
      </w:r>
      <w:r w:rsidR="00EE4FC3">
        <w:t xml:space="preserve"> </w:t>
      </w:r>
      <w:r w:rsidR="003B2D0A" w:rsidRPr="00382917">
        <w:t>bitterly</w:t>
      </w:r>
      <w:r w:rsidR="00EE4FC3">
        <w:t xml:space="preserve"> </w:t>
      </w:r>
      <w:r w:rsidR="003B2D0A" w:rsidRPr="00382917">
        <w:t>that</w:t>
      </w:r>
      <w:r w:rsidR="00EE4FC3">
        <w:t xml:space="preserve"> </w:t>
      </w:r>
      <w:r w:rsidR="003B2D0A" w:rsidRPr="00382917">
        <w:t>I</w:t>
      </w:r>
      <w:r w:rsidR="00EE4FC3">
        <w:t xml:space="preserve"> </w:t>
      </w:r>
      <w:r w:rsidR="003B2D0A" w:rsidRPr="00382917">
        <w:t>seemed</w:t>
      </w:r>
      <w:r w:rsidR="00EE4FC3">
        <w:t xml:space="preserve"> </w:t>
      </w:r>
      <w:r w:rsidR="003B2D0A" w:rsidRPr="00382917">
        <w:t>to</w:t>
      </w:r>
      <w:r w:rsidR="00EE4FC3">
        <w:t xml:space="preserve"> </w:t>
      </w:r>
      <w:r w:rsidR="003B2D0A" w:rsidRPr="00382917">
        <w:t>have</w:t>
      </w:r>
      <w:r w:rsidR="00EE4FC3">
        <w:t xml:space="preserve"> </w:t>
      </w:r>
      <w:r w:rsidR="003B2D0A" w:rsidRPr="00382917">
        <w:t>lost</w:t>
      </w:r>
      <w:r w:rsidR="00EE4FC3">
        <w:t xml:space="preserve"> </w:t>
      </w:r>
      <w:r w:rsidR="003B2D0A" w:rsidRPr="00382917">
        <w:t>consciousness</w:t>
      </w:r>
      <w:r w:rsidR="00C03C91">
        <w:t>.</w:t>
      </w:r>
      <w:r w:rsidR="00EE4FC3">
        <w:t xml:space="preserve">  </w:t>
      </w:r>
      <w:r w:rsidR="003B2D0A" w:rsidRPr="00382917">
        <w:t>There</w:t>
      </w:r>
      <w:r w:rsidR="00EE4FC3">
        <w:t xml:space="preserve"> </w:t>
      </w:r>
      <w:r w:rsidR="003B2D0A" w:rsidRPr="00382917">
        <w:t>suddenly</w:t>
      </w:r>
      <w:r w:rsidR="00EE4FC3">
        <w:t xml:space="preserve"> </w:t>
      </w:r>
      <w:r w:rsidR="003B2D0A" w:rsidRPr="00382917">
        <w:t>came</w:t>
      </w:r>
      <w:r w:rsidR="00EE4FC3">
        <w:t xml:space="preserve"> </w:t>
      </w:r>
      <w:r w:rsidR="003B2D0A" w:rsidRPr="00382917">
        <w:t>to</w:t>
      </w:r>
      <w:r w:rsidR="00EE4FC3">
        <w:t xml:space="preserve"> </w:t>
      </w:r>
      <w:r w:rsidR="003B2D0A" w:rsidRPr="00382917">
        <w:t>me</w:t>
      </w:r>
      <w:r w:rsidR="00EE4FC3">
        <w:t xml:space="preserve"> </w:t>
      </w:r>
      <w:r w:rsidR="003B2D0A" w:rsidRPr="00382917">
        <w:t>the</w:t>
      </w:r>
      <w:r w:rsidR="00EE4FC3">
        <w:t xml:space="preserve"> </w:t>
      </w:r>
      <w:r w:rsidR="003B2D0A" w:rsidRPr="00382917">
        <w:t>vision</w:t>
      </w:r>
      <w:r w:rsidR="00EE4FC3">
        <w:t xml:space="preserve"> </w:t>
      </w:r>
      <w:r w:rsidR="003B2D0A" w:rsidRPr="00382917">
        <w:t>of</w:t>
      </w:r>
      <w:r w:rsidR="00EE4FC3">
        <w:t xml:space="preserve"> </w:t>
      </w:r>
      <w:r w:rsidR="003B2D0A" w:rsidRPr="00382917">
        <w:t>a</w:t>
      </w:r>
      <w:r w:rsidR="00EE4FC3">
        <w:t xml:space="preserve"> </w:t>
      </w:r>
      <w:r w:rsidR="003B2D0A" w:rsidRPr="00382917">
        <w:t>great</w:t>
      </w:r>
      <w:r w:rsidR="00EE4FC3">
        <w:t xml:space="preserve"> </w:t>
      </w:r>
      <w:r w:rsidR="003B2D0A" w:rsidRPr="00382917">
        <w:t>gathering</w:t>
      </w:r>
      <w:r w:rsidR="00EE4FC3">
        <w:t xml:space="preserve"> </w:t>
      </w:r>
      <w:r w:rsidR="003B2D0A" w:rsidRPr="00382917">
        <w:t>of</w:t>
      </w:r>
      <w:r w:rsidR="00EE4FC3">
        <w:t xml:space="preserve"> </w:t>
      </w:r>
      <w:r w:rsidR="003B2D0A" w:rsidRPr="00382917">
        <w:t>people</w:t>
      </w:r>
      <w:r w:rsidR="00C03C91">
        <w:t>.</w:t>
      </w:r>
      <w:r w:rsidR="00EE4FC3">
        <w:t xml:space="preserve">  </w:t>
      </w:r>
      <w:r w:rsidR="003B2D0A" w:rsidRPr="00382917">
        <w:t>A</w:t>
      </w:r>
      <w:r w:rsidR="00EE4FC3">
        <w:t xml:space="preserve"> </w:t>
      </w:r>
      <w:r w:rsidR="003B2D0A" w:rsidRPr="00382917">
        <w:t>noble</w:t>
      </w:r>
      <w:r w:rsidR="00EE4FC3">
        <w:t xml:space="preserve"> </w:t>
      </w:r>
      <w:r w:rsidR="003B2D0A" w:rsidRPr="00382917">
        <w:t>figure</w:t>
      </w:r>
      <w:r w:rsidR="00EE4FC3">
        <w:t xml:space="preserve"> </w:t>
      </w:r>
      <w:r w:rsidR="003B2D0A" w:rsidRPr="00382917">
        <w:t>was</w:t>
      </w:r>
      <w:r w:rsidR="00EE4FC3">
        <w:t xml:space="preserve"> </w:t>
      </w:r>
      <w:r w:rsidR="003B2D0A" w:rsidRPr="00382917">
        <w:t>speaking</w:t>
      </w:r>
      <w:r w:rsidR="00EE4FC3">
        <w:t xml:space="preserve"> </w:t>
      </w:r>
      <w:r w:rsidR="003B2D0A" w:rsidRPr="00382917">
        <w:t>to</w:t>
      </w:r>
      <w:r w:rsidR="00EE4FC3">
        <w:t xml:space="preserve"> </w:t>
      </w:r>
      <w:r w:rsidR="003B2D0A" w:rsidRPr="00382917">
        <w:t>them</w:t>
      </w:r>
      <w:r w:rsidR="00C03C91">
        <w:t>:</w:t>
      </w:r>
      <w:r w:rsidR="00EE4FC3">
        <w:t xml:space="preserve">  </w:t>
      </w:r>
      <w:r w:rsidRPr="00382917">
        <w:t>‘</w:t>
      </w:r>
      <w:r w:rsidR="003B2D0A" w:rsidRPr="00382917">
        <w:t>Whoso</w:t>
      </w:r>
      <w:r w:rsidR="00EE4FC3">
        <w:t xml:space="preserve"> </w:t>
      </w:r>
      <w:proofErr w:type="spellStart"/>
      <w:r w:rsidR="003B2D0A" w:rsidRPr="00382917">
        <w:t>maketh</w:t>
      </w:r>
      <w:proofErr w:type="spellEnd"/>
      <w:r w:rsidR="00EE4FC3">
        <w:t xml:space="preserve"> </w:t>
      </w:r>
      <w:r w:rsidR="003B2D0A" w:rsidRPr="00382917">
        <w:t>efforts</w:t>
      </w:r>
      <w:r w:rsidR="00EE4FC3">
        <w:t xml:space="preserve"> </w:t>
      </w:r>
      <w:r w:rsidR="003B2D0A" w:rsidRPr="00382917">
        <w:t>for</w:t>
      </w:r>
      <w:r w:rsidR="00EE4FC3">
        <w:t xml:space="preserve"> </w:t>
      </w:r>
      <w:r w:rsidR="003B2D0A" w:rsidRPr="00382917">
        <w:t>us,</w:t>
      </w:r>
      <w:r w:rsidRPr="00382917">
        <w:t>’</w:t>
      </w:r>
    </w:p>
    <w:p w:rsidR="003B2D0A" w:rsidRPr="00382917" w:rsidRDefault="003B2D0A">
      <w:pPr>
        <w:widowControl/>
        <w:kinsoku/>
        <w:overflowPunct/>
        <w:textAlignment w:val="auto"/>
      </w:pPr>
      <w:r w:rsidRPr="00382917">
        <w:br w:type="page"/>
      </w:r>
    </w:p>
    <w:p w:rsidR="003B2D0A" w:rsidRPr="00382917" w:rsidRDefault="003B2D0A" w:rsidP="003B2D0A">
      <w:pPr>
        <w:pStyle w:val="Textcts"/>
      </w:pPr>
      <w:proofErr w:type="gramStart"/>
      <w:r w:rsidRPr="00382917">
        <w:t>he</w:t>
      </w:r>
      <w:proofErr w:type="gramEnd"/>
      <w:r w:rsidR="00EE4FC3">
        <w:t xml:space="preserve"> </w:t>
      </w:r>
      <w:r w:rsidRPr="00382917">
        <w:t>said,</w:t>
      </w:r>
      <w:r w:rsidR="00EE4FC3">
        <w:t xml:space="preserve"> </w:t>
      </w:r>
      <w:r w:rsidR="009C713D" w:rsidRPr="00382917">
        <w:t>‘</w:t>
      </w:r>
      <w:r w:rsidRPr="00382917">
        <w:t>in</w:t>
      </w:r>
      <w:r w:rsidR="00EE4FC3">
        <w:t xml:space="preserve"> </w:t>
      </w:r>
      <w:r w:rsidRPr="00382917">
        <w:t>our</w:t>
      </w:r>
      <w:r w:rsidR="00EE4FC3">
        <w:t xml:space="preserve"> </w:t>
      </w:r>
      <w:r w:rsidRPr="00382917">
        <w:t>ways</w:t>
      </w:r>
      <w:r w:rsidR="00EE4FC3">
        <w:t xml:space="preserve"> </w:t>
      </w:r>
      <w:r w:rsidRPr="00382917">
        <w:t>will</w:t>
      </w:r>
      <w:r w:rsidR="00EE4FC3">
        <w:t xml:space="preserve"> </w:t>
      </w:r>
      <w:r w:rsidRPr="00382917">
        <w:t>we</w:t>
      </w:r>
      <w:r w:rsidR="00EE4FC3">
        <w:t xml:space="preserve"> </w:t>
      </w:r>
      <w:r w:rsidRPr="00382917">
        <w:t>guide</w:t>
      </w:r>
      <w:r w:rsidR="00EE4FC3">
        <w:t xml:space="preserve"> </w:t>
      </w:r>
      <w:r w:rsidRPr="00382917">
        <w:t>them.</w:t>
      </w:r>
      <w:r w:rsidR="009C713D" w:rsidRPr="00382917">
        <w:t>’</w:t>
      </w:r>
      <w:r w:rsidR="00EE4FC3">
        <w:t xml:space="preserve">  </w:t>
      </w:r>
      <w:r w:rsidRPr="00382917">
        <w:t>I</w:t>
      </w:r>
      <w:r w:rsidR="00EE4FC3">
        <w:t xml:space="preserve"> </w:t>
      </w:r>
      <w:r w:rsidRPr="00382917">
        <w:t>was</w:t>
      </w:r>
      <w:r w:rsidR="00EE4FC3">
        <w:t xml:space="preserve"> </w:t>
      </w:r>
      <w:r w:rsidRPr="00382917">
        <w:t>fascinated</w:t>
      </w:r>
      <w:r w:rsidR="00EE4FC3">
        <w:t xml:space="preserve"> </w:t>
      </w:r>
      <w:r w:rsidRPr="00382917">
        <w:t>by</w:t>
      </w:r>
      <w:r w:rsidR="00EE4FC3">
        <w:t xml:space="preserve"> </w:t>
      </w:r>
      <w:r w:rsidRPr="00382917">
        <w:t>his</w:t>
      </w:r>
      <w:r w:rsidR="00EE4FC3">
        <w:t xml:space="preserve"> </w:t>
      </w:r>
      <w:r w:rsidRPr="00382917">
        <w:t>face</w:t>
      </w:r>
      <w:r w:rsidR="00C03C91">
        <w:t>.</w:t>
      </w:r>
      <w:r w:rsidR="00EE4FC3">
        <w:t xml:space="preserve">  </w:t>
      </w:r>
      <w:r w:rsidRPr="00382917">
        <w:t>I</w:t>
      </w:r>
      <w:r w:rsidR="00EE4FC3">
        <w:t xml:space="preserve"> </w:t>
      </w:r>
      <w:r w:rsidRPr="00382917">
        <w:t>arose</w:t>
      </w:r>
      <w:r w:rsidR="00EE4FC3">
        <w:t xml:space="preserve"> </w:t>
      </w:r>
      <w:r w:rsidRPr="00382917">
        <w:t>and</w:t>
      </w:r>
      <w:r w:rsidR="00EE4FC3">
        <w:t xml:space="preserve"> </w:t>
      </w:r>
      <w:r w:rsidRPr="00382917">
        <w:t>advanced</w:t>
      </w:r>
      <w:r w:rsidR="00EE4FC3">
        <w:t xml:space="preserve"> </w:t>
      </w:r>
      <w:r w:rsidRPr="00382917">
        <w:t>toward</w:t>
      </w:r>
      <w:r w:rsidR="00EE4FC3">
        <w:t xml:space="preserve"> </w:t>
      </w:r>
      <w:r w:rsidRPr="00382917">
        <w:t>him</w:t>
      </w:r>
      <w:r w:rsidR="00EE4FC3">
        <w:t xml:space="preserve"> </w:t>
      </w:r>
      <w:r w:rsidRPr="00382917">
        <w:t>and</w:t>
      </w:r>
      <w:r w:rsidR="00EE4FC3">
        <w:t xml:space="preserve"> </w:t>
      </w:r>
      <w:r w:rsidRPr="00382917">
        <w:t>was</w:t>
      </w:r>
      <w:r w:rsidR="00EE4FC3">
        <w:t xml:space="preserve"> </w:t>
      </w:r>
      <w:r w:rsidRPr="00382917">
        <w:t>about</w:t>
      </w:r>
      <w:r w:rsidR="00EE4FC3">
        <w:t xml:space="preserve"> </w:t>
      </w:r>
      <w:r w:rsidRPr="00382917">
        <w:t>to</w:t>
      </w:r>
      <w:r w:rsidR="00EE4FC3">
        <w:t xml:space="preserve"> </w:t>
      </w:r>
      <w:r w:rsidRPr="00382917">
        <w:t>throw</w:t>
      </w:r>
      <w:r w:rsidR="00EE4FC3">
        <w:t xml:space="preserve"> </w:t>
      </w:r>
      <w:r w:rsidRPr="00382917">
        <w:t>myself</w:t>
      </w:r>
      <w:r w:rsidR="00EE4FC3">
        <w:t xml:space="preserve"> </w:t>
      </w:r>
      <w:r w:rsidRPr="00382917">
        <w:t>at</w:t>
      </w:r>
      <w:r w:rsidR="00EE4FC3">
        <w:t xml:space="preserve"> </w:t>
      </w:r>
      <w:r w:rsidRPr="00382917">
        <w:t>his</w:t>
      </w:r>
      <w:r w:rsidR="00EE4FC3">
        <w:t xml:space="preserve"> </w:t>
      </w:r>
      <w:r w:rsidRPr="00382917">
        <w:t>feet</w:t>
      </w:r>
      <w:r w:rsidR="00EE4FC3">
        <w:t xml:space="preserve"> </w:t>
      </w:r>
      <w:r w:rsidRPr="00382917">
        <w:t>when</w:t>
      </w:r>
      <w:r w:rsidR="00EE4FC3">
        <w:t xml:space="preserve"> </w:t>
      </w:r>
      <w:r w:rsidRPr="00382917">
        <w:t>the</w:t>
      </w:r>
      <w:r w:rsidR="00EE4FC3">
        <w:t xml:space="preserve"> </w:t>
      </w:r>
      <w:r w:rsidRPr="00382917">
        <w:t>vision</w:t>
      </w:r>
      <w:r w:rsidR="00EE4FC3">
        <w:t xml:space="preserve"> </w:t>
      </w:r>
      <w:r w:rsidRPr="00382917">
        <w:t>vanished</w:t>
      </w:r>
      <w:r w:rsidR="00C03C91">
        <w:t>.</w:t>
      </w:r>
      <w:r w:rsidR="00EE4FC3">
        <w:t xml:space="preserve">  </w:t>
      </w:r>
      <w:r w:rsidRPr="00382917">
        <w:t>My</w:t>
      </w:r>
      <w:r w:rsidR="00EE4FC3">
        <w:t xml:space="preserve"> </w:t>
      </w:r>
      <w:r w:rsidRPr="00382917">
        <w:t>heart</w:t>
      </w:r>
      <w:r w:rsidR="00EE4FC3">
        <w:t xml:space="preserve"> </w:t>
      </w:r>
      <w:r w:rsidRPr="00382917">
        <w:t>was</w:t>
      </w:r>
      <w:r w:rsidR="00EE4FC3">
        <w:t xml:space="preserve"> </w:t>
      </w:r>
      <w:r w:rsidRPr="00382917">
        <w:t>flooded</w:t>
      </w:r>
      <w:r w:rsidR="00EE4FC3">
        <w:t xml:space="preserve"> </w:t>
      </w:r>
      <w:r w:rsidRPr="00382917">
        <w:t>with</w:t>
      </w:r>
      <w:r w:rsidR="00EE4FC3">
        <w:t xml:space="preserve"> </w:t>
      </w:r>
      <w:r w:rsidRPr="00382917">
        <w:t>light</w:t>
      </w:r>
      <w:r w:rsidR="00C03C91">
        <w:t>.</w:t>
      </w:r>
      <w:r w:rsidR="00EE4FC3">
        <w:t xml:space="preserve">  </w:t>
      </w:r>
      <w:r w:rsidRPr="00382917">
        <w:t>My</w:t>
      </w:r>
      <w:r w:rsidR="00EE4FC3">
        <w:t xml:space="preserve"> </w:t>
      </w:r>
      <w:r w:rsidRPr="00382917">
        <w:t>joy</w:t>
      </w:r>
      <w:r w:rsidR="00EE4FC3">
        <w:t xml:space="preserve"> </w:t>
      </w:r>
      <w:r w:rsidRPr="00382917">
        <w:t>was</w:t>
      </w:r>
      <w:r w:rsidR="00EE4FC3">
        <w:t xml:space="preserve"> </w:t>
      </w:r>
      <w:r w:rsidRPr="00382917">
        <w:t>indescribable.</w:t>
      </w:r>
      <w:r w:rsidR="009C713D" w:rsidRPr="00382917">
        <w:t>”</w:t>
      </w:r>
    </w:p>
    <w:p w:rsidR="003B2D0A" w:rsidRPr="00382917" w:rsidRDefault="009C713D" w:rsidP="003B2D0A">
      <w:pPr>
        <w:pStyle w:val="Text"/>
      </w:pPr>
      <w:r w:rsidRPr="00382917">
        <w:t>‘</w:t>
      </w:r>
      <w:r w:rsidR="003B2D0A" w:rsidRPr="00382917">
        <w:t>Abdul-Karim</w:t>
      </w:r>
      <w:r w:rsidR="00EE4FC3">
        <w:t xml:space="preserve"> </w:t>
      </w:r>
      <w:r w:rsidR="003B2D0A" w:rsidRPr="00382917">
        <w:t>set</w:t>
      </w:r>
      <w:r w:rsidR="00EE4FC3">
        <w:t xml:space="preserve"> </w:t>
      </w:r>
      <w:r w:rsidR="003B2D0A" w:rsidRPr="00382917">
        <w:t>out</w:t>
      </w:r>
      <w:r w:rsidR="00EE4FC3">
        <w:t xml:space="preserve"> </w:t>
      </w:r>
      <w:r w:rsidR="003B2D0A" w:rsidRPr="00382917">
        <w:t>at</w:t>
      </w:r>
      <w:r w:rsidR="00EE4FC3">
        <w:t xml:space="preserve"> </w:t>
      </w:r>
      <w:r w:rsidR="003B2D0A" w:rsidRPr="00382917">
        <w:t>once</w:t>
      </w:r>
      <w:r w:rsidR="00EE4FC3">
        <w:t xml:space="preserve"> </w:t>
      </w:r>
      <w:r w:rsidR="003B2D0A" w:rsidRPr="00382917">
        <w:t>for</w:t>
      </w:r>
      <w:r w:rsidR="00EE4FC3">
        <w:t xml:space="preserve"> </w:t>
      </w:r>
      <w:r w:rsidR="003B2D0A" w:rsidRPr="00382917">
        <w:t>Karbilá</w:t>
      </w:r>
      <w:r w:rsidR="00C03C91">
        <w:t>.</w:t>
      </w:r>
      <w:r w:rsidR="00EE4FC3">
        <w:t xml:space="preserve">  </w:t>
      </w:r>
      <w:r w:rsidR="003B2D0A" w:rsidRPr="00382917">
        <w:t>There</w:t>
      </w:r>
      <w:r w:rsidR="00EE4FC3">
        <w:t xml:space="preserve"> </w:t>
      </w:r>
      <w:r w:rsidR="003B2D0A" w:rsidRPr="00382917">
        <w:t>he</w:t>
      </w:r>
      <w:r w:rsidR="00EE4FC3">
        <w:t xml:space="preserve"> </w:t>
      </w:r>
      <w:r w:rsidR="003B2D0A" w:rsidRPr="00382917">
        <w:t>saw</w:t>
      </w:r>
      <w:r w:rsidR="00EE4FC3">
        <w:t xml:space="preserve"> </w:t>
      </w:r>
      <w:r w:rsidR="003B2D0A" w:rsidRPr="00382917">
        <w:t>Siyyid</w:t>
      </w:r>
      <w:r w:rsidR="00EE4FC3">
        <w:t xml:space="preserve"> </w:t>
      </w:r>
      <w:r w:rsidR="003B2D0A" w:rsidRPr="00382917">
        <w:t>Káẓim</w:t>
      </w:r>
      <w:r w:rsidR="00C03C91">
        <w:t>.</w:t>
      </w:r>
      <w:r w:rsidR="00EE4FC3">
        <w:t xml:space="preserve">  </w:t>
      </w:r>
      <w:r w:rsidR="003B2D0A" w:rsidRPr="00382917">
        <w:t>He</w:t>
      </w:r>
      <w:r w:rsidR="00EE4FC3">
        <w:t xml:space="preserve"> </w:t>
      </w:r>
      <w:r w:rsidR="003B2D0A" w:rsidRPr="00382917">
        <w:t>was</w:t>
      </w:r>
      <w:r w:rsidR="00EE4FC3">
        <w:t xml:space="preserve"> </w:t>
      </w:r>
      <w:r w:rsidR="003B2D0A" w:rsidRPr="00382917">
        <w:t>standing</w:t>
      </w:r>
      <w:r w:rsidR="00EE4FC3">
        <w:t xml:space="preserve"> </w:t>
      </w:r>
      <w:r w:rsidR="003B2D0A" w:rsidRPr="00382917">
        <w:t>addressing</w:t>
      </w:r>
      <w:r w:rsidR="00EE4FC3">
        <w:t xml:space="preserve"> </w:t>
      </w:r>
      <w:r w:rsidR="003B2D0A" w:rsidRPr="00382917">
        <w:t>a</w:t>
      </w:r>
      <w:r w:rsidR="00EE4FC3">
        <w:t xml:space="preserve"> </w:t>
      </w:r>
      <w:r w:rsidR="003B2D0A" w:rsidRPr="00382917">
        <w:t>crowd</w:t>
      </w:r>
      <w:r w:rsidR="00EE4FC3">
        <w:t xml:space="preserve"> </w:t>
      </w:r>
      <w:r w:rsidR="003B2D0A" w:rsidRPr="00382917">
        <w:t>just</w:t>
      </w:r>
      <w:r w:rsidR="00EE4FC3">
        <w:t xml:space="preserve"> </w:t>
      </w:r>
      <w:r w:rsidR="003B2D0A" w:rsidRPr="00382917">
        <w:t>as</w:t>
      </w:r>
      <w:r w:rsidR="00EE4FC3">
        <w:t xml:space="preserve"> </w:t>
      </w:r>
      <w:r w:rsidRPr="00382917">
        <w:t>‘</w:t>
      </w:r>
      <w:r w:rsidR="003B2D0A" w:rsidRPr="00382917">
        <w:t>Abdu</w:t>
      </w:r>
      <w:r w:rsidRPr="00382917">
        <w:t>’</w:t>
      </w:r>
      <w:r w:rsidR="003B2D0A" w:rsidRPr="00382917">
        <w:t>l-Karím</w:t>
      </w:r>
      <w:r w:rsidR="00EE4FC3">
        <w:t xml:space="preserve"> </w:t>
      </w:r>
      <w:r w:rsidR="003B2D0A" w:rsidRPr="00382917">
        <w:t>had</w:t>
      </w:r>
      <w:r w:rsidR="00EE4FC3">
        <w:t xml:space="preserve"> </w:t>
      </w:r>
      <w:r w:rsidR="003B2D0A" w:rsidRPr="00382917">
        <w:t>seen</w:t>
      </w:r>
      <w:r w:rsidR="00EE4FC3">
        <w:t xml:space="preserve"> </w:t>
      </w:r>
      <w:r w:rsidR="003B2D0A" w:rsidRPr="00382917">
        <w:t>him</w:t>
      </w:r>
      <w:r w:rsidR="00EE4FC3">
        <w:t xml:space="preserve"> </w:t>
      </w:r>
      <w:r w:rsidR="003B2D0A" w:rsidRPr="00382917">
        <w:t>in</w:t>
      </w:r>
      <w:r w:rsidR="00EE4FC3">
        <w:t xml:space="preserve"> </w:t>
      </w:r>
      <w:r w:rsidR="003B2D0A" w:rsidRPr="00382917">
        <w:t>his</w:t>
      </w:r>
      <w:r w:rsidR="00EE4FC3">
        <w:t xml:space="preserve"> </w:t>
      </w:r>
      <w:r w:rsidR="003B2D0A" w:rsidRPr="00382917">
        <w:t>dream</w:t>
      </w:r>
      <w:r w:rsidR="00C03C91">
        <w:t>.</w:t>
      </w:r>
      <w:r w:rsidR="00EE4FC3">
        <w:t xml:space="preserve">  </w:t>
      </w:r>
      <w:r w:rsidR="003B2D0A" w:rsidRPr="00382917">
        <w:t>He</w:t>
      </w:r>
      <w:r w:rsidR="00EE4FC3">
        <w:t xml:space="preserve"> </w:t>
      </w:r>
      <w:r w:rsidR="003B2D0A" w:rsidRPr="00382917">
        <w:t>was</w:t>
      </w:r>
      <w:r w:rsidR="00EE4FC3">
        <w:t xml:space="preserve"> </w:t>
      </w:r>
      <w:r w:rsidR="003B2D0A" w:rsidRPr="00382917">
        <w:t>speaking</w:t>
      </w:r>
      <w:r w:rsidR="00EE4FC3">
        <w:t xml:space="preserve"> </w:t>
      </w:r>
      <w:r w:rsidR="003B2D0A" w:rsidRPr="00382917">
        <w:t>those</w:t>
      </w:r>
      <w:r w:rsidR="00EE4FC3">
        <w:t xml:space="preserve"> </w:t>
      </w:r>
      <w:r w:rsidR="003B2D0A" w:rsidRPr="00382917">
        <w:t>very</w:t>
      </w:r>
      <w:r w:rsidR="00EE4FC3">
        <w:t xml:space="preserve"> </w:t>
      </w:r>
      <w:r w:rsidR="003B2D0A" w:rsidRPr="00382917">
        <w:t>same</w:t>
      </w:r>
      <w:r w:rsidR="00EE4FC3">
        <w:t xml:space="preserve"> </w:t>
      </w:r>
      <w:r w:rsidR="003B2D0A" w:rsidRPr="00382917">
        <w:t>words</w:t>
      </w:r>
      <w:r w:rsidR="00C03C91">
        <w:t>.</w:t>
      </w:r>
      <w:r w:rsidR="00EE4FC3">
        <w:t xml:space="preserve">  </w:t>
      </w:r>
      <w:r w:rsidRPr="00382917">
        <w:t>‘</w:t>
      </w:r>
      <w:r w:rsidR="003B2D0A" w:rsidRPr="00382917">
        <w:t>Abdu</w:t>
      </w:r>
      <w:r w:rsidRPr="00382917">
        <w:t>’</w:t>
      </w:r>
      <w:r w:rsidR="003B2D0A" w:rsidRPr="00382917">
        <w:t>l-Karím</w:t>
      </w:r>
      <w:r w:rsidR="00EE4FC3">
        <w:t xml:space="preserve"> </w:t>
      </w:r>
      <w:r w:rsidR="003B2D0A" w:rsidRPr="00382917">
        <w:t>spent</w:t>
      </w:r>
      <w:r w:rsidR="00EE4FC3">
        <w:t xml:space="preserve"> </w:t>
      </w:r>
      <w:r w:rsidR="003B2D0A" w:rsidRPr="00382917">
        <w:t>an</w:t>
      </w:r>
      <w:r w:rsidR="00EE4FC3">
        <w:t xml:space="preserve"> </w:t>
      </w:r>
      <w:r w:rsidR="003B2D0A" w:rsidRPr="00382917">
        <w:t>entire</w:t>
      </w:r>
      <w:r w:rsidR="00EE4FC3">
        <w:t xml:space="preserve"> </w:t>
      </w:r>
      <w:r w:rsidR="003B2D0A" w:rsidRPr="00382917">
        <w:t>winter</w:t>
      </w:r>
      <w:r w:rsidR="00EE4FC3">
        <w:t xml:space="preserve"> </w:t>
      </w:r>
      <w:r w:rsidR="003B2D0A" w:rsidRPr="00382917">
        <w:t>in</w:t>
      </w:r>
      <w:r w:rsidR="00EE4FC3">
        <w:t xml:space="preserve"> </w:t>
      </w:r>
      <w:r w:rsidR="003B2D0A" w:rsidRPr="00382917">
        <w:t>close</w:t>
      </w:r>
      <w:r w:rsidR="00EE4FC3">
        <w:t xml:space="preserve"> </w:t>
      </w:r>
      <w:r w:rsidR="003B2D0A" w:rsidRPr="00382917">
        <w:t>companionship</w:t>
      </w:r>
      <w:r w:rsidR="00EE4FC3">
        <w:t xml:space="preserve"> </w:t>
      </w:r>
      <w:r w:rsidR="003B2D0A" w:rsidRPr="00382917">
        <w:t>with</w:t>
      </w:r>
      <w:r w:rsidR="00EE4FC3">
        <w:t xml:space="preserve"> </w:t>
      </w:r>
      <w:r w:rsidR="003B2D0A" w:rsidRPr="00382917">
        <w:t>Siyyid</w:t>
      </w:r>
      <w:r w:rsidR="00EE4FC3">
        <w:t xml:space="preserve"> </w:t>
      </w:r>
      <w:r w:rsidR="003B2D0A" w:rsidRPr="00382917">
        <w:t>Káẓim,</w:t>
      </w:r>
      <w:r w:rsidR="00EE4FC3">
        <w:t xml:space="preserve"> </w:t>
      </w:r>
      <w:r w:rsidR="003B2D0A" w:rsidRPr="00382917">
        <w:t>who</w:t>
      </w:r>
      <w:r w:rsidR="00EE4FC3">
        <w:t xml:space="preserve"> </w:t>
      </w:r>
      <w:r w:rsidR="003B2D0A" w:rsidRPr="00382917">
        <w:t>spoke</w:t>
      </w:r>
      <w:r w:rsidR="00EE4FC3">
        <w:t xml:space="preserve"> </w:t>
      </w:r>
      <w:r w:rsidR="003B2D0A" w:rsidRPr="00382917">
        <w:t>constantly</w:t>
      </w:r>
      <w:r w:rsidR="00EE4FC3">
        <w:t xml:space="preserve"> </w:t>
      </w:r>
      <w:r w:rsidR="003B2D0A" w:rsidRPr="00382917">
        <w:t>of</w:t>
      </w:r>
      <w:r w:rsidR="00EE4FC3">
        <w:t xml:space="preserve"> </w:t>
      </w:r>
      <w:r w:rsidR="003B2D0A" w:rsidRPr="00382917">
        <w:t>the</w:t>
      </w:r>
      <w:r w:rsidR="00EE4FC3">
        <w:t xml:space="preserve"> </w:t>
      </w:r>
      <w:r w:rsidR="003B2D0A" w:rsidRPr="00382917">
        <w:t>coming</w:t>
      </w:r>
      <w:r w:rsidR="00EE4FC3">
        <w:t xml:space="preserve"> </w:t>
      </w:r>
      <w:r w:rsidR="003B2D0A" w:rsidRPr="00382917">
        <w:t>Messenger.</w:t>
      </w:r>
    </w:p>
    <w:p w:rsidR="003B2D0A" w:rsidRPr="00382917" w:rsidRDefault="009C713D" w:rsidP="003B2D0A">
      <w:pPr>
        <w:pStyle w:val="Text"/>
      </w:pPr>
      <w:r w:rsidRPr="00382917">
        <w:t>“</w:t>
      </w:r>
      <w:r w:rsidR="003B2D0A" w:rsidRPr="00382917">
        <w:t>The</w:t>
      </w:r>
      <w:r w:rsidR="00EE4FC3">
        <w:t xml:space="preserve"> </w:t>
      </w:r>
      <w:r w:rsidR="003B2D0A" w:rsidRPr="00382917">
        <w:t>Promised</w:t>
      </w:r>
      <w:r w:rsidR="00EE4FC3">
        <w:t xml:space="preserve"> </w:t>
      </w:r>
      <w:r w:rsidR="003B2D0A" w:rsidRPr="00382917">
        <w:t>One</w:t>
      </w:r>
      <w:r w:rsidR="00EE4FC3">
        <w:t xml:space="preserve"> </w:t>
      </w:r>
      <w:r w:rsidR="003B2D0A" w:rsidRPr="00382917">
        <w:t>lives</w:t>
      </w:r>
      <w:r w:rsidR="00EE4FC3">
        <w:t xml:space="preserve"> </w:t>
      </w:r>
      <w:r w:rsidR="003B2D0A" w:rsidRPr="00382917">
        <w:t>in</w:t>
      </w:r>
      <w:r w:rsidR="00EE4FC3">
        <w:t xml:space="preserve"> </w:t>
      </w:r>
      <w:r w:rsidR="003B2D0A" w:rsidRPr="00382917">
        <w:t>the</w:t>
      </w:r>
      <w:r w:rsidR="00EE4FC3">
        <w:t xml:space="preserve"> </w:t>
      </w:r>
      <w:r w:rsidR="003B2D0A" w:rsidRPr="00382917">
        <w:t>midst</w:t>
      </w:r>
      <w:r w:rsidR="00EE4FC3">
        <w:t xml:space="preserve"> </w:t>
      </w:r>
      <w:r w:rsidR="003B2D0A" w:rsidRPr="00382917">
        <w:t>of</w:t>
      </w:r>
      <w:r w:rsidR="00EE4FC3">
        <w:t xml:space="preserve"> </w:t>
      </w:r>
      <w:r w:rsidR="003B2D0A" w:rsidRPr="00382917">
        <w:t>this</w:t>
      </w:r>
      <w:r w:rsidR="00EE4FC3">
        <w:t xml:space="preserve"> </w:t>
      </w:r>
      <w:r w:rsidR="003B2D0A" w:rsidRPr="00382917">
        <w:t>people,</w:t>
      </w:r>
      <w:r w:rsidRPr="00382917">
        <w:t>”</w:t>
      </w:r>
      <w:r w:rsidR="00EE4FC3">
        <w:t xml:space="preserve"> </w:t>
      </w:r>
      <w:r w:rsidR="003B2D0A" w:rsidRPr="00382917">
        <w:t>he</w:t>
      </w:r>
      <w:r w:rsidR="00EE4FC3">
        <w:t xml:space="preserve"> </w:t>
      </w:r>
      <w:r w:rsidR="003B2D0A" w:rsidRPr="00382917">
        <w:t>declared</w:t>
      </w:r>
      <w:r w:rsidR="00C03C91">
        <w:t>.</w:t>
      </w:r>
      <w:r w:rsidR="00EE4FC3">
        <w:t xml:space="preserve">  </w:t>
      </w:r>
      <w:r w:rsidRPr="00382917">
        <w:t>“</w:t>
      </w:r>
      <w:r w:rsidR="003B2D0A" w:rsidRPr="00382917">
        <w:t>The</w:t>
      </w:r>
      <w:r w:rsidR="00EE4FC3">
        <w:t xml:space="preserve"> </w:t>
      </w:r>
      <w:r w:rsidR="003B2D0A" w:rsidRPr="00382917">
        <w:t>appointed</w:t>
      </w:r>
      <w:r w:rsidR="00EE4FC3">
        <w:t xml:space="preserve"> </w:t>
      </w:r>
      <w:r w:rsidR="003B2D0A" w:rsidRPr="00382917">
        <w:t>time</w:t>
      </w:r>
      <w:r w:rsidR="00EE4FC3">
        <w:t xml:space="preserve"> </w:t>
      </w:r>
      <w:r w:rsidR="003B2D0A" w:rsidRPr="00382917">
        <w:t>for</w:t>
      </w:r>
      <w:r w:rsidR="00EE4FC3">
        <w:t xml:space="preserve"> </w:t>
      </w:r>
      <w:r w:rsidR="003B2D0A" w:rsidRPr="00382917">
        <w:t>His</w:t>
      </w:r>
      <w:r w:rsidR="00EE4FC3">
        <w:t xml:space="preserve"> </w:t>
      </w:r>
      <w:r w:rsidR="003B2D0A" w:rsidRPr="00382917">
        <w:t>appearance</w:t>
      </w:r>
      <w:r w:rsidR="00EE4FC3">
        <w:t xml:space="preserve"> </w:t>
      </w:r>
      <w:r w:rsidR="003B2D0A" w:rsidRPr="00382917">
        <w:t>is</w:t>
      </w:r>
      <w:r w:rsidR="00EE4FC3">
        <w:t xml:space="preserve"> </w:t>
      </w:r>
      <w:r w:rsidR="003B2D0A" w:rsidRPr="00382917">
        <w:t>fast</w:t>
      </w:r>
      <w:r w:rsidR="00EE4FC3">
        <w:t xml:space="preserve"> </w:t>
      </w:r>
      <w:r w:rsidR="003B2D0A" w:rsidRPr="00382917">
        <w:t>approaching</w:t>
      </w:r>
      <w:r w:rsidR="00C03C91">
        <w:t>.</w:t>
      </w:r>
      <w:r w:rsidR="00EE4FC3">
        <w:t xml:space="preserve">  </w:t>
      </w:r>
      <w:r w:rsidR="003B2D0A" w:rsidRPr="00382917">
        <w:t>Purify</w:t>
      </w:r>
      <w:r w:rsidR="00EE4FC3">
        <w:t xml:space="preserve"> </w:t>
      </w:r>
      <w:r w:rsidR="003B2D0A" w:rsidRPr="00382917">
        <w:t>yourselves</w:t>
      </w:r>
      <w:r w:rsidR="00EE4FC3">
        <w:t xml:space="preserve"> </w:t>
      </w:r>
      <w:r w:rsidR="003B2D0A" w:rsidRPr="00382917">
        <w:t>that</w:t>
      </w:r>
      <w:r w:rsidR="00EE4FC3">
        <w:t xml:space="preserve"> </w:t>
      </w:r>
      <w:r w:rsidR="003B2D0A" w:rsidRPr="00382917">
        <w:t>you</w:t>
      </w:r>
      <w:r w:rsidR="00EE4FC3">
        <w:t xml:space="preserve"> </w:t>
      </w:r>
      <w:r w:rsidR="003B2D0A" w:rsidRPr="00382917">
        <w:t>may</w:t>
      </w:r>
      <w:r w:rsidR="00EE4FC3">
        <w:t xml:space="preserve"> </w:t>
      </w:r>
      <w:r w:rsidR="003B2D0A" w:rsidRPr="00382917">
        <w:t>recognize</w:t>
      </w:r>
      <w:r w:rsidR="00EE4FC3">
        <w:t xml:space="preserve"> </w:t>
      </w:r>
      <w:r w:rsidR="003B2D0A" w:rsidRPr="00382917">
        <w:t>His</w:t>
      </w:r>
      <w:r w:rsidR="00EE4FC3">
        <w:t xml:space="preserve"> </w:t>
      </w:r>
      <w:r w:rsidR="003B2D0A" w:rsidRPr="00382917">
        <w:t>beauty</w:t>
      </w:r>
      <w:r w:rsidR="00C03C91">
        <w:t>.</w:t>
      </w:r>
      <w:r w:rsidR="00EE4FC3">
        <w:t xml:space="preserve">  </w:t>
      </w:r>
      <w:r w:rsidR="003B2D0A" w:rsidRPr="00382917">
        <w:t>After</w:t>
      </w:r>
      <w:r w:rsidR="00EE4FC3">
        <w:t xml:space="preserve"> </w:t>
      </w:r>
      <w:r w:rsidR="003B2D0A" w:rsidRPr="00382917">
        <w:t>my</w:t>
      </w:r>
      <w:r w:rsidR="00EE4FC3">
        <w:t xml:space="preserve"> </w:t>
      </w:r>
      <w:r w:rsidR="003B2D0A" w:rsidRPr="00382917">
        <w:t>departure,</w:t>
      </w:r>
      <w:r w:rsidR="00EE4FC3">
        <w:t xml:space="preserve"> </w:t>
      </w:r>
      <w:r w:rsidR="003B2D0A" w:rsidRPr="00382917">
        <w:t>arise</w:t>
      </w:r>
      <w:r w:rsidR="00EE4FC3">
        <w:t xml:space="preserve"> </w:t>
      </w:r>
      <w:r w:rsidR="003B2D0A" w:rsidRPr="00382917">
        <w:t>and</w:t>
      </w:r>
      <w:r w:rsidR="00EE4FC3">
        <w:t xml:space="preserve"> </w:t>
      </w:r>
      <w:r w:rsidR="003B2D0A" w:rsidRPr="00382917">
        <w:t>seek</w:t>
      </w:r>
      <w:r w:rsidR="00EE4FC3">
        <w:t xml:space="preserve"> </w:t>
      </w:r>
      <w:r w:rsidR="003B2D0A" w:rsidRPr="00382917">
        <w:t>Him</w:t>
      </w:r>
      <w:r w:rsidR="00C03C91">
        <w:t>.</w:t>
      </w:r>
      <w:r w:rsidR="00EE4FC3">
        <w:t xml:space="preserve">  </w:t>
      </w:r>
      <w:r w:rsidR="003B2D0A" w:rsidRPr="00382917">
        <w:t>Do</w:t>
      </w:r>
      <w:r w:rsidR="00EE4FC3">
        <w:t xml:space="preserve"> </w:t>
      </w:r>
      <w:r w:rsidR="003B2D0A" w:rsidRPr="00382917">
        <w:t>not</w:t>
      </w:r>
      <w:r w:rsidR="00EE4FC3">
        <w:t xml:space="preserve"> </w:t>
      </w:r>
      <w:r w:rsidR="003B2D0A" w:rsidRPr="00382917">
        <w:t>rest</w:t>
      </w:r>
      <w:r w:rsidR="00EE4FC3">
        <w:t xml:space="preserve"> </w:t>
      </w:r>
      <w:r w:rsidR="003B2D0A" w:rsidRPr="00382917">
        <w:t>for</w:t>
      </w:r>
      <w:r w:rsidR="00EE4FC3">
        <w:t xml:space="preserve"> </w:t>
      </w:r>
      <w:r w:rsidR="003B2D0A" w:rsidRPr="00382917">
        <w:t>a</w:t>
      </w:r>
      <w:r w:rsidR="00EE4FC3">
        <w:t xml:space="preserve"> </w:t>
      </w:r>
      <w:r w:rsidR="003B2D0A" w:rsidRPr="00382917">
        <w:t>moment</w:t>
      </w:r>
      <w:r w:rsidR="00EE4FC3">
        <w:t xml:space="preserve"> </w:t>
      </w:r>
      <w:r w:rsidR="003B2D0A" w:rsidRPr="00382917">
        <w:t>until</w:t>
      </w:r>
      <w:r w:rsidR="00EE4FC3">
        <w:t xml:space="preserve"> </w:t>
      </w:r>
      <w:r w:rsidR="003B2D0A" w:rsidRPr="00382917">
        <w:t>you</w:t>
      </w:r>
      <w:r w:rsidR="00EE4FC3">
        <w:t xml:space="preserve"> </w:t>
      </w:r>
      <w:r w:rsidR="003B2D0A" w:rsidRPr="00382917">
        <w:t>find</w:t>
      </w:r>
      <w:r w:rsidR="00EE4FC3">
        <w:t xml:space="preserve"> </w:t>
      </w:r>
      <w:proofErr w:type="gramStart"/>
      <w:r w:rsidR="003B2D0A" w:rsidRPr="00382917">
        <w:t>Him.</w:t>
      </w:r>
      <w:proofErr w:type="gramEnd"/>
      <w:r w:rsidRPr="00382917">
        <w:t>”</w:t>
      </w:r>
    </w:p>
    <w:p w:rsidR="003B2D0A" w:rsidRPr="00382917" w:rsidRDefault="003B2D0A" w:rsidP="003B2D0A">
      <w:pPr>
        <w:pStyle w:val="Text"/>
      </w:pPr>
      <w:r w:rsidRPr="00382917">
        <w:t>On</w:t>
      </w:r>
      <w:r w:rsidR="00EE4FC3">
        <w:t xml:space="preserve"> </w:t>
      </w:r>
      <w:r w:rsidRPr="00382917">
        <w:t>the</w:t>
      </w:r>
      <w:r w:rsidR="00EE4FC3">
        <w:t xml:space="preserve"> </w:t>
      </w:r>
      <w:r w:rsidRPr="00382917">
        <w:t>day</w:t>
      </w:r>
      <w:r w:rsidR="00EE4FC3">
        <w:t xml:space="preserve"> </w:t>
      </w:r>
      <w:r w:rsidRPr="00382917">
        <w:t>when</w:t>
      </w:r>
      <w:r w:rsidR="00EE4FC3">
        <w:t xml:space="preserve"> </w:t>
      </w:r>
      <w:r w:rsidR="009C713D" w:rsidRPr="00382917">
        <w:t>‘</w:t>
      </w:r>
      <w:r w:rsidRPr="00382917">
        <w:t>Abdu</w:t>
      </w:r>
      <w:r w:rsidR="009C713D" w:rsidRPr="00382917">
        <w:t>’</w:t>
      </w:r>
      <w:r w:rsidRPr="00382917">
        <w:t>l-Karím</w:t>
      </w:r>
      <w:r w:rsidR="00EE4FC3">
        <w:t xml:space="preserve"> </w:t>
      </w:r>
      <w:r w:rsidRPr="00382917">
        <w:t>parted</w:t>
      </w:r>
      <w:r w:rsidR="00EE4FC3">
        <w:t xml:space="preserve"> </w:t>
      </w:r>
      <w:r w:rsidRPr="00382917">
        <w:t>from</w:t>
      </w:r>
      <w:r w:rsidR="00EE4FC3">
        <w:t xml:space="preserve"> </w:t>
      </w:r>
      <w:r w:rsidRPr="00382917">
        <w:t>Siyyid</w:t>
      </w:r>
      <w:r w:rsidR="00EE4FC3">
        <w:t xml:space="preserve"> </w:t>
      </w:r>
      <w:r w:rsidR="005A51DE" w:rsidRPr="00382917">
        <w:t>Káẓim</w:t>
      </w:r>
      <w:r w:rsidRPr="00382917">
        <w:t>,</w:t>
      </w:r>
      <w:r w:rsidR="00EE4FC3">
        <w:t xml:space="preserve"> </w:t>
      </w:r>
      <w:r w:rsidRPr="00382917">
        <w:t>he</w:t>
      </w:r>
      <w:r w:rsidR="00EE4FC3">
        <w:t xml:space="preserve"> </w:t>
      </w:r>
      <w:r w:rsidRPr="00382917">
        <w:t>told</w:t>
      </w:r>
      <w:r w:rsidR="00EE4FC3">
        <w:t xml:space="preserve"> </w:t>
      </w:r>
      <w:r w:rsidRPr="00382917">
        <w:t>him</w:t>
      </w:r>
      <w:r w:rsidR="00C03C91">
        <w:t>:</w:t>
      </w:r>
      <w:r w:rsidR="00EE4FC3">
        <w:t xml:space="preserve">  </w:t>
      </w:r>
      <w:r w:rsidR="009C713D" w:rsidRPr="00382917">
        <w:t>“</w:t>
      </w:r>
      <w:r w:rsidRPr="00382917">
        <w:t>Rest</w:t>
      </w:r>
      <w:r w:rsidR="00EE4FC3">
        <w:t xml:space="preserve"> </w:t>
      </w:r>
      <w:r w:rsidRPr="00382917">
        <w:t>assured,</w:t>
      </w:r>
      <w:r w:rsidR="00EE4FC3">
        <w:t xml:space="preserve"> </w:t>
      </w:r>
      <w:r w:rsidRPr="00382917">
        <w:t>O</w:t>
      </w:r>
      <w:r w:rsidR="00EE4FC3">
        <w:t xml:space="preserve"> </w:t>
      </w:r>
      <w:r w:rsidR="009C713D" w:rsidRPr="00382917">
        <w:t>‘</w:t>
      </w:r>
      <w:r w:rsidRPr="00382917">
        <w:t>Abdu</w:t>
      </w:r>
      <w:r w:rsidR="009C713D" w:rsidRPr="00382917">
        <w:t>’</w:t>
      </w:r>
      <w:r w:rsidRPr="00382917">
        <w:t>l-</w:t>
      </w:r>
      <w:proofErr w:type="gramStart"/>
      <w:r w:rsidRPr="00382917">
        <w:t>Karím,</w:t>
      </w:r>
      <w:r w:rsidR="00EE4FC3">
        <w:t xml:space="preserve"> </w:t>
      </w:r>
      <w:r w:rsidRPr="00382917">
        <w:t>that</w:t>
      </w:r>
      <w:proofErr w:type="gramEnd"/>
      <w:r w:rsidR="00EE4FC3">
        <w:t xml:space="preserve"> </w:t>
      </w:r>
      <w:r w:rsidRPr="00382917">
        <w:t>you</w:t>
      </w:r>
      <w:r w:rsidR="00EE4FC3">
        <w:t xml:space="preserve"> </w:t>
      </w:r>
      <w:r w:rsidRPr="00382917">
        <w:t>are</w:t>
      </w:r>
      <w:r w:rsidR="00EE4FC3">
        <w:t xml:space="preserve"> </w:t>
      </w:r>
      <w:r w:rsidRPr="00382917">
        <w:t>one</w:t>
      </w:r>
      <w:r w:rsidR="00EE4FC3">
        <w:t xml:space="preserve"> </w:t>
      </w:r>
      <w:r w:rsidRPr="00382917">
        <w:t>of</w:t>
      </w:r>
      <w:r w:rsidR="00EE4FC3">
        <w:t xml:space="preserve"> </w:t>
      </w:r>
      <w:r w:rsidRPr="00382917">
        <w:t>those</w:t>
      </w:r>
      <w:r w:rsidR="00EE4FC3">
        <w:t xml:space="preserve"> </w:t>
      </w:r>
      <w:r w:rsidRPr="00382917">
        <w:t>who,</w:t>
      </w:r>
      <w:r w:rsidR="00EE4FC3">
        <w:t xml:space="preserve"> </w:t>
      </w:r>
      <w:r w:rsidRPr="00382917">
        <w:t>in</w:t>
      </w:r>
      <w:r w:rsidR="00EE4FC3">
        <w:t xml:space="preserve"> </w:t>
      </w:r>
      <w:r w:rsidRPr="00382917">
        <w:t>the</w:t>
      </w:r>
      <w:r w:rsidR="00EE4FC3">
        <w:t xml:space="preserve"> </w:t>
      </w:r>
      <w:r w:rsidRPr="00382917">
        <w:t>day</w:t>
      </w:r>
      <w:r w:rsidR="00EE4FC3">
        <w:t xml:space="preserve"> </w:t>
      </w:r>
      <w:r w:rsidRPr="00382917">
        <w:t>of</w:t>
      </w:r>
      <w:r w:rsidR="00EE4FC3">
        <w:t xml:space="preserve"> </w:t>
      </w:r>
      <w:r w:rsidRPr="00382917">
        <w:t>His</w:t>
      </w:r>
      <w:r w:rsidR="00EE4FC3">
        <w:t xml:space="preserve"> </w:t>
      </w:r>
      <w:r w:rsidRPr="00382917">
        <w:t>appearance,</w:t>
      </w:r>
      <w:r w:rsidR="00EE4FC3">
        <w:t xml:space="preserve"> </w:t>
      </w:r>
      <w:r w:rsidRPr="00382917">
        <w:t>will</w:t>
      </w:r>
      <w:r w:rsidR="00EE4FC3">
        <w:t xml:space="preserve"> </w:t>
      </w:r>
      <w:r w:rsidRPr="00382917">
        <w:t>arise</w:t>
      </w:r>
      <w:r w:rsidR="00EE4FC3">
        <w:t xml:space="preserve"> </w:t>
      </w:r>
      <w:r w:rsidRPr="00382917">
        <w:t>for</w:t>
      </w:r>
      <w:r w:rsidR="00EE4FC3">
        <w:t xml:space="preserve"> </w:t>
      </w:r>
      <w:r w:rsidRPr="00382917">
        <w:t>the</w:t>
      </w:r>
      <w:r w:rsidR="00EE4FC3">
        <w:t xml:space="preserve"> </w:t>
      </w:r>
      <w:r w:rsidRPr="00382917">
        <w:t>triumph</w:t>
      </w:r>
      <w:r w:rsidR="00EE4FC3">
        <w:t xml:space="preserve"> </w:t>
      </w:r>
      <w:r w:rsidRPr="00382917">
        <w:t>of</w:t>
      </w:r>
      <w:r w:rsidR="00EE4FC3">
        <w:t xml:space="preserve"> </w:t>
      </w:r>
      <w:r w:rsidRPr="00382917">
        <w:t>His</w:t>
      </w:r>
      <w:r w:rsidR="00EE4FC3">
        <w:t xml:space="preserve"> </w:t>
      </w:r>
      <w:r w:rsidRPr="00382917">
        <w:t>Cause</w:t>
      </w:r>
      <w:r w:rsidR="00C03C91">
        <w:t>.</w:t>
      </w:r>
      <w:r w:rsidR="00EE4FC3">
        <w:t xml:space="preserve">  </w:t>
      </w:r>
      <w:r w:rsidRPr="00382917">
        <w:t>You</w:t>
      </w:r>
      <w:r w:rsidR="00EE4FC3">
        <w:t xml:space="preserve"> </w:t>
      </w:r>
      <w:r w:rsidRPr="00382917">
        <w:t>will,</w:t>
      </w:r>
      <w:r w:rsidR="00EE4FC3">
        <w:t xml:space="preserve"> </w:t>
      </w:r>
      <w:r w:rsidRPr="00382917">
        <w:t>I</w:t>
      </w:r>
      <w:r w:rsidR="00EE4FC3">
        <w:t xml:space="preserve"> </w:t>
      </w:r>
      <w:r w:rsidRPr="00382917">
        <w:t>hope,</w:t>
      </w:r>
      <w:r w:rsidR="00EE4FC3">
        <w:t xml:space="preserve"> </w:t>
      </w:r>
      <w:r w:rsidRPr="00382917">
        <w:t>remember</w:t>
      </w:r>
      <w:r w:rsidR="00EE4FC3">
        <w:t xml:space="preserve"> </w:t>
      </w:r>
      <w:r w:rsidRPr="00382917">
        <w:t>me</w:t>
      </w:r>
      <w:r w:rsidR="00EE4FC3">
        <w:t xml:space="preserve"> </w:t>
      </w:r>
      <w:r w:rsidRPr="00382917">
        <w:t>on</w:t>
      </w:r>
      <w:r w:rsidR="00EE4FC3">
        <w:t xml:space="preserve"> </w:t>
      </w:r>
      <w:r w:rsidRPr="00382917">
        <w:t>that</w:t>
      </w:r>
      <w:r w:rsidR="00EE4FC3">
        <w:t xml:space="preserve"> </w:t>
      </w:r>
      <w:r w:rsidRPr="00382917">
        <w:t>blessed</w:t>
      </w:r>
      <w:r w:rsidR="00EE4FC3">
        <w:t xml:space="preserve"> </w:t>
      </w:r>
      <w:r w:rsidRPr="00382917">
        <w:t>day.</w:t>
      </w:r>
      <w:r w:rsidR="009C713D" w:rsidRPr="00382917">
        <w:t>”</w:t>
      </w:r>
    </w:p>
    <w:p w:rsidR="003B2D0A" w:rsidRPr="00382917" w:rsidRDefault="009C713D" w:rsidP="003B2D0A">
      <w:pPr>
        <w:pStyle w:val="Text"/>
      </w:pPr>
      <w:r w:rsidRPr="00382917">
        <w:t>‘</w:t>
      </w:r>
      <w:r w:rsidR="003B2D0A" w:rsidRPr="00382917">
        <w:t>Abdul-Karim</w:t>
      </w:r>
      <w:r w:rsidR="00EE4FC3">
        <w:t xml:space="preserve"> </w:t>
      </w:r>
      <w:r w:rsidR="003B2D0A" w:rsidRPr="00382917">
        <w:t>returned</w:t>
      </w:r>
      <w:r w:rsidR="00EE4FC3">
        <w:t xml:space="preserve"> </w:t>
      </w:r>
      <w:r w:rsidR="003B2D0A" w:rsidRPr="00382917">
        <w:t>to</w:t>
      </w:r>
      <w:r w:rsidR="00EE4FC3">
        <w:t xml:space="preserve"> </w:t>
      </w:r>
      <w:r w:rsidR="003B2D0A" w:rsidRPr="00382917">
        <w:t>his</w:t>
      </w:r>
      <w:r w:rsidR="00EE4FC3">
        <w:t xml:space="preserve"> </w:t>
      </w:r>
      <w:r w:rsidR="003B2D0A" w:rsidRPr="00382917">
        <w:t>home</w:t>
      </w:r>
      <w:r w:rsidR="00EE4FC3">
        <w:t xml:space="preserve"> </w:t>
      </w:r>
      <w:r w:rsidR="003B2D0A" w:rsidRPr="00382917">
        <w:t>in</w:t>
      </w:r>
      <w:r w:rsidR="00EE4FC3">
        <w:t xml:space="preserve"> </w:t>
      </w:r>
      <w:r w:rsidR="003B2D0A" w:rsidRPr="00382917">
        <w:t>Qazvín</w:t>
      </w:r>
      <w:r w:rsidR="00EE4FC3">
        <w:t xml:space="preserve"> </w:t>
      </w:r>
      <w:r w:rsidR="003B2D0A" w:rsidRPr="00382917">
        <w:t>to</w:t>
      </w:r>
      <w:r w:rsidR="00EE4FC3">
        <w:t xml:space="preserve"> </w:t>
      </w:r>
      <w:proofErr w:type="gramStart"/>
      <w:r w:rsidR="003B2D0A" w:rsidRPr="00382917">
        <w:t>await</w:t>
      </w:r>
      <w:proofErr w:type="gramEnd"/>
      <w:r w:rsidR="00EE4FC3">
        <w:t xml:space="preserve"> </w:t>
      </w:r>
      <w:r w:rsidR="003B2D0A" w:rsidRPr="00382917">
        <w:t>that</w:t>
      </w:r>
      <w:r w:rsidR="00EE4FC3">
        <w:t xml:space="preserve"> </w:t>
      </w:r>
      <w:r w:rsidR="003B2D0A" w:rsidRPr="00382917">
        <w:t>wonderful</w:t>
      </w:r>
      <w:r w:rsidR="00EE4FC3">
        <w:t xml:space="preserve"> </w:t>
      </w:r>
      <w:r w:rsidR="003B2D0A" w:rsidRPr="00382917">
        <w:t>day</w:t>
      </w:r>
      <w:r w:rsidR="00C03C91">
        <w:t>.</w:t>
      </w:r>
      <w:r w:rsidR="00EE4FC3">
        <w:t xml:space="preserve">  </w:t>
      </w:r>
      <w:r w:rsidR="003B2D0A" w:rsidRPr="00382917">
        <w:t>A</w:t>
      </w:r>
      <w:r w:rsidR="00EE4FC3">
        <w:t xml:space="preserve"> </w:t>
      </w:r>
      <w:r w:rsidR="003B2D0A" w:rsidRPr="00382917">
        <w:t>few</w:t>
      </w:r>
      <w:r w:rsidR="00EE4FC3">
        <w:t xml:space="preserve"> </w:t>
      </w:r>
      <w:r w:rsidR="003B2D0A" w:rsidRPr="00382917">
        <w:t>years</w:t>
      </w:r>
      <w:r w:rsidR="00EE4FC3">
        <w:t xml:space="preserve"> </w:t>
      </w:r>
      <w:r w:rsidR="003B2D0A" w:rsidRPr="00382917">
        <w:t>passed</w:t>
      </w:r>
      <w:r w:rsidR="00EE4FC3">
        <w:t xml:space="preserve"> </w:t>
      </w:r>
      <w:r w:rsidR="003B2D0A" w:rsidRPr="00382917">
        <w:t>with</w:t>
      </w:r>
      <w:r w:rsidR="00EE4FC3">
        <w:t xml:space="preserve"> </w:t>
      </w:r>
      <w:r w:rsidR="003B2D0A" w:rsidRPr="00382917">
        <w:t>no</w:t>
      </w:r>
      <w:r w:rsidR="00EE4FC3">
        <w:t xml:space="preserve"> </w:t>
      </w:r>
      <w:r w:rsidR="003B2D0A" w:rsidRPr="00382917">
        <w:t>sign</w:t>
      </w:r>
      <w:r w:rsidR="00EE4FC3">
        <w:t xml:space="preserve"> </w:t>
      </w:r>
      <w:r w:rsidR="003B2D0A" w:rsidRPr="00382917">
        <w:t>of</w:t>
      </w:r>
      <w:r w:rsidR="00EE4FC3">
        <w:t xml:space="preserve"> </w:t>
      </w:r>
      <w:r w:rsidR="003B2D0A" w:rsidRPr="00382917">
        <w:t>the</w:t>
      </w:r>
      <w:r w:rsidR="00EE4FC3">
        <w:t xml:space="preserve"> </w:t>
      </w:r>
      <w:r w:rsidR="003B2D0A" w:rsidRPr="00382917">
        <w:t>Promised</w:t>
      </w:r>
      <w:r w:rsidR="00EE4FC3">
        <w:t xml:space="preserve"> </w:t>
      </w:r>
      <w:r w:rsidR="003B2D0A" w:rsidRPr="00382917">
        <w:t>One</w:t>
      </w:r>
      <w:r w:rsidRPr="00382917">
        <w:t>’</w:t>
      </w:r>
      <w:r w:rsidR="003B2D0A" w:rsidRPr="00382917">
        <w:t>s</w:t>
      </w:r>
      <w:r w:rsidR="00EE4FC3">
        <w:t xml:space="preserve"> </w:t>
      </w:r>
      <w:r w:rsidR="003B2D0A" w:rsidRPr="00382917">
        <w:t>coming,</w:t>
      </w:r>
      <w:r w:rsidR="00EE4FC3">
        <w:t xml:space="preserve"> </w:t>
      </w:r>
      <w:r w:rsidR="003B2D0A" w:rsidRPr="00382917">
        <w:t>but</w:t>
      </w:r>
      <w:r w:rsidR="00EE4FC3">
        <w:t xml:space="preserve"> </w:t>
      </w:r>
      <w:r w:rsidRPr="00382917">
        <w:t>‘</w:t>
      </w:r>
      <w:r w:rsidR="003B2D0A" w:rsidRPr="00382917">
        <w:t>Abdu</w:t>
      </w:r>
      <w:r w:rsidRPr="00382917">
        <w:t>’</w:t>
      </w:r>
      <w:r w:rsidR="003B2D0A" w:rsidRPr="00382917">
        <w:t>l-</w:t>
      </w:r>
      <w:proofErr w:type="spellStart"/>
      <w:r w:rsidR="003B2D0A" w:rsidRPr="00382917">
        <w:t>Karím</w:t>
      </w:r>
      <w:r w:rsidRPr="00382917">
        <w:t>’</w:t>
      </w:r>
      <w:r w:rsidR="003B2D0A" w:rsidRPr="00382917">
        <w:t>s</w:t>
      </w:r>
      <w:proofErr w:type="spellEnd"/>
      <w:r w:rsidR="00EE4FC3">
        <w:t xml:space="preserve"> </w:t>
      </w:r>
      <w:r w:rsidR="003B2D0A" w:rsidRPr="00382917">
        <w:t>heart</w:t>
      </w:r>
      <w:r w:rsidR="00EE4FC3">
        <w:t xml:space="preserve"> </w:t>
      </w:r>
      <w:r w:rsidR="003B2D0A" w:rsidRPr="00382917">
        <w:t>was</w:t>
      </w:r>
      <w:r w:rsidR="00EE4FC3">
        <w:t xml:space="preserve"> </w:t>
      </w:r>
      <w:r w:rsidR="003B2D0A" w:rsidRPr="00382917">
        <w:t>assured.</w:t>
      </w:r>
    </w:p>
    <w:p w:rsidR="003B2D0A" w:rsidRPr="00382917" w:rsidRDefault="003B2D0A" w:rsidP="003B2D0A">
      <w:pPr>
        <w:pStyle w:val="Text"/>
      </w:pPr>
      <w:r w:rsidRPr="00382917">
        <w:t>He</w:t>
      </w:r>
      <w:r w:rsidR="00EE4FC3">
        <w:t xml:space="preserve"> </w:t>
      </w:r>
      <w:r w:rsidRPr="00382917">
        <w:t>returned</w:t>
      </w:r>
      <w:r w:rsidR="00EE4FC3">
        <w:t xml:space="preserve"> </w:t>
      </w:r>
      <w:r w:rsidRPr="00382917">
        <w:t>to</w:t>
      </w:r>
      <w:r w:rsidR="00EE4FC3">
        <w:t xml:space="preserve"> </w:t>
      </w:r>
      <w:r w:rsidRPr="00382917">
        <w:t>his</w:t>
      </w:r>
      <w:r w:rsidR="00EE4FC3">
        <w:t xml:space="preserve"> </w:t>
      </w:r>
      <w:r w:rsidRPr="00382917">
        <w:t>business</w:t>
      </w:r>
      <w:r w:rsidR="00EE4FC3">
        <w:t xml:space="preserve"> </w:t>
      </w:r>
      <w:r w:rsidRPr="00382917">
        <w:t>as</w:t>
      </w:r>
      <w:r w:rsidR="00EE4FC3">
        <w:t xml:space="preserve"> </w:t>
      </w:r>
      <w:r w:rsidRPr="00382917">
        <w:t>a</w:t>
      </w:r>
      <w:r w:rsidR="00EE4FC3">
        <w:t xml:space="preserve"> </w:t>
      </w:r>
      <w:r w:rsidRPr="00382917">
        <w:t>merchant,</w:t>
      </w:r>
      <w:r w:rsidR="00EE4FC3">
        <w:t xml:space="preserve"> </w:t>
      </w:r>
      <w:r w:rsidRPr="00382917">
        <w:t>but</w:t>
      </w:r>
      <w:r w:rsidR="00EE4FC3">
        <w:t xml:space="preserve"> </w:t>
      </w:r>
      <w:r w:rsidRPr="00382917">
        <w:t>each</w:t>
      </w:r>
      <w:r w:rsidR="00EE4FC3">
        <w:t xml:space="preserve"> </w:t>
      </w:r>
      <w:r w:rsidRPr="00382917">
        <w:t>night</w:t>
      </w:r>
      <w:r w:rsidR="00EE4FC3">
        <w:t xml:space="preserve"> </w:t>
      </w:r>
      <w:r w:rsidRPr="00382917">
        <w:t>he</w:t>
      </w:r>
      <w:r w:rsidR="00EE4FC3">
        <w:t xml:space="preserve"> </w:t>
      </w:r>
      <w:r w:rsidRPr="00382917">
        <w:t>would</w:t>
      </w:r>
      <w:r w:rsidR="00EE4FC3">
        <w:t xml:space="preserve"> </w:t>
      </w:r>
      <w:r w:rsidRPr="00382917">
        <w:t>come</w:t>
      </w:r>
      <w:r w:rsidR="00EE4FC3">
        <w:t xml:space="preserve"> </w:t>
      </w:r>
      <w:r w:rsidRPr="00382917">
        <w:t>home</w:t>
      </w:r>
      <w:r w:rsidR="00EE4FC3">
        <w:t xml:space="preserve"> </w:t>
      </w:r>
      <w:r w:rsidRPr="00382917">
        <w:t>and</w:t>
      </w:r>
      <w:r w:rsidR="00EE4FC3">
        <w:t xml:space="preserve"> </w:t>
      </w:r>
      <w:r w:rsidRPr="00382917">
        <w:t>withdraw</w:t>
      </w:r>
      <w:r w:rsidR="00EE4FC3">
        <w:t xml:space="preserve"> </w:t>
      </w:r>
      <w:r w:rsidRPr="00382917">
        <w:t>to</w:t>
      </w:r>
      <w:r w:rsidR="00EE4FC3">
        <w:t xml:space="preserve"> </w:t>
      </w:r>
      <w:r w:rsidRPr="00382917">
        <w:t>the</w:t>
      </w:r>
      <w:r w:rsidR="00EE4FC3">
        <w:t xml:space="preserve"> </w:t>
      </w:r>
      <w:r w:rsidRPr="00382917">
        <w:t>quiet</w:t>
      </w:r>
      <w:r w:rsidR="00EE4FC3">
        <w:t xml:space="preserve"> </w:t>
      </w:r>
      <w:r w:rsidRPr="00382917">
        <w:t>of</w:t>
      </w:r>
      <w:r w:rsidR="00EE4FC3">
        <w:t xml:space="preserve"> </w:t>
      </w:r>
      <w:r w:rsidRPr="00382917">
        <w:t>his</w:t>
      </w:r>
      <w:r w:rsidR="00EE4FC3">
        <w:t xml:space="preserve"> </w:t>
      </w:r>
      <w:r w:rsidRPr="00382917">
        <w:t>room</w:t>
      </w:r>
      <w:r w:rsidR="00C03C91">
        <w:t>.</w:t>
      </w:r>
      <w:r w:rsidR="00EE4FC3">
        <w:t xml:space="preserve">  </w:t>
      </w:r>
      <w:r w:rsidRPr="00382917">
        <w:t>He</w:t>
      </w:r>
      <w:r w:rsidR="00EE4FC3">
        <w:t xml:space="preserve"> </w:t>
      </w:r>
      <w:r w:rsidRPr="00382917">
        <w:t>would</w:t>
      </w:r>
      <w:r w:rsidR="00EE4FC3">
        <w:t xml:space="preserve"> </w:t>
      </w:r>
      <w:r w:rsidRPr="00382917">
        <w:t>beseech</w:t>
      </w:r>
      <w:r w:rsidR="00EE4FC3">
        <w:t xml:space="preserve"> </w:t>
      </w:r>
      <w:r w:rsidRPr="00382917">
        <w:t>God</w:t>
      </w:r>
      <w:r w:rsidR="00EE4FC3">
        <w:t xml:space="preserve"> </w:t>
      </w:r>
      <w:r w:rsidRPr="00382917">
        <w:t>with</w:t>
      </w:r>
      <w:r w:rsidR="00EE4FC3">
        <w:t xml:space="preserve"> </w:t>
      </w:r>
      <w:r w:rsidRPr="00382917">
        <w:t>all</w:t>
      </w:r>
      <w:r w:rsidR="00EE4FC3">
        <w:t xml:space="preserve"> </w:t>
      </w:r>
      <w:r w:rsidRPr="00382917">
        <w:t>his</w:t>
      </w:r>
      <w:r w:rsidR="00EE4FC3">
        <w:t xml:space="preserve"> </w:t>
      </w:r>
      <w:r w:rsidRPr="00382917">
        <w:t>heart,</w:t>
      </w:r>
      <w:r w:rsidR="00EE4FC3">
        <w:t xml:space="preserve"> </w:t>
      </w:r>
      <w:r w:rsidRPr="00382917">
        <w:t>saying,</w:t>
      </w:r>
      <w:r w:rsidR="00EE4FC3">
        <w:t xml:space="preserve"> </w:t>
      </w:r>
      <w:r w:rsidR="009C713D" w:rsidRPr="00382917">
        <w:t>“</w:t>
      </w:r>
      <w:r w:rsidRPr="00382917">
        <w:t>Thou</w:t>
      </w:r>
      <w:r w:rsidR="00EE4FC3">
        <w:t xml:space="preserve"> </w:t>
      </w:r>
      <w:r w:rsidRPr="00382917">
        <w:t>hast,</w:t>
      </w:r>
      <w:r w:rsidR="00EE4FC3">
        <w:t xml:space="preserve"> </w:t>
      </w:r>
      <w:r w:rsidRPr="00382917">
        <w:t>by</w:t>
      </w:r>
      <w:r w:rsidR="00EE4FC3">
        <w:t xml:space="preserve"> </w:t>
      </w:r>
      <w:r w:rsidRPr="00382917">
        <w:t>the</w:t>
      </w:r>
      <w:r w:rsidR="00EE4FC3">
        <w:t xml:space="preserve"> </w:t>
      </w:r>
      <w:r w:rsidRPr="00382917">
        <w:t>mouth</w:t>
      </w:r>
      <w:r w:rsidR="00EE4FC3">
        <w:t xml:space="preserve"> </w:t>
      </w:r>
      <w:r w:rsidRPr="00382917">
        <w:t>of</w:t>
      </w:r>
      <w:r w:rsidR="00EE4FC3">
        <w:t xml:space="preserve"> </w:t>
      </w:r>
      <w:r w:rsidRPr="00382917">
        <w:t>an</w:t>
      </w:r>
      <w:r w:rsidR="00EE4FC3">
        <w:t xml:space="preserve"> </w:t>
      </w:r>
      <w:r w:rsidRPr="00382917">
        <w:t>inspired</w:t>
      </w:r>
      <w:r w:rsidR="00EE4FC3">
        <w:t xml:space="preserve"> </w:t>
      </w:r>
      <w:r w:rsidRPr="00382917">
        <w:t>servant</w:t>
      </w:r>
      <w:r w:rsidR="00EE4FC3">
        <w:t xml:space="preserve"> </w:t>
      </w:r>
      <w:r w:rsidRPr="00382917">
        <w:t>of</w:t>
      </w:r>
      <w:r w:rsidR="00EE4FC3">
        <w:t xml:space="preserve"> </w:t>
      </w:r>
      <w:r w:rsidRPr="00382917">
        <w:t>Thine,</w:t>
      </w:r>
      <w:r w:rsidR="00EE4FC3">
        <w:t xml:space="preserve"> </w:t>
      </w:r>
      <w:r w:rsidRPr="00382917">
        <w:t>promised</w:t>
      </w:r>
      <w:r w:rsidR="00EE4FC3">
        <w:t xml:space="preserve"> </w:t>
      </w:r>
      <w:r w:rsidRPr="00382917">
        <w:t>that</w:t>
      </w:r>
      <w:r w:rsidR="00EE4FC3">
        <w:t xml:space="preserve"> </w:t>
      </w:r>
      <w:r w:rsidRPr="00382917">
        <w:t>I</w:t>
      </w:r>
      <w:r w:rsidR="00EE4FC3">
        <w:t xml:space="preserve"> </w:t>
      </w:r>
      <w:r w:rsidRPr="00382917">
        <w:t>shall</w:t>
      </w:r>
      <w:r w:rsidR="00EE4FC3">
        <w:t xml:space="preserve"> </w:t>
      </w:r>
      <w:r w:rsidRPr="00382917">
        <w:t>attain</w:t>
      </w:r>
      <w:r w:rsidR="00EE4FC3">
        <w:t xml:space="preserve"> </w:t>
      </w:r>
      <w:r w:rsidRPr="00382917">
        <w:t>unto</w:t>
      </w:r>
      <w:r w:rsidR="00EE4FC3">
        <w:t xml:space="preserve"> </w:t>
      </w:r>
      <w:r w:rsidRPr="00382917">
        <w:t>the</w:t>
      </w:r>
      <w:r w:rsidR="00EE4FC3">
        <w:t xml:space="preserve"> </w:t>
      </w:r>
      <w:r w:rsidRPr="00382917">
        <w:t>presence</w:t>
      </w:r>
      <w:r w:rsidR="00EE4FC3">
        <w:t xml:space="preserve"> </w:t>
      </w:r>
      <w:r w:rsidRPr="00382917">
        <w:t>of</w:t>
      </w:r>
      <w:r w:rsidR="00EE4FC3">
        <w:t xml:space="preserve"> </w:t>
      </w:r>
      <w:r w:rsidRPr="00382917">
        <w:t>Thy</w:t>
      </w:r>
      <w:r w:rsidR="00EE4FC3">
        <w:t xml:space="preserve"> </w:t>
      </w:r>
      <w:r w:rsidRPr="00382917">
        <w:t>Messenger</w:t>
      </w:r>
      <w:r w:rsidR="00EE4FC3">
        <w:t xml:space="preserve"> </w:t>
      </w:r>
      <w:r w:rsidRPr="00382917">
        <w:t>and</w:t>
      </w:r>
      <w:r w:rsidR="00EE4FC3">
        <w:t xml:space="preserve"> </w:t>
      </w:r>
      <w:r w:rsidRPr="00382917">
        <w:t>hear</w:t>
      </w:r>
      <w:r w:rsidR="00EE4FC3">
        <w:t xml:space="preserve"> </w:t>
      </w:r>
      <w:r w:rsidRPr="00382917">
        <w:t>Thy</w:t>
      </w:r>
      <w:r w:rsidR="00EE4FC3">
        <w:t xml:space="preserve"> </w:t>
      </w:r>
      <w:r w:rsidRPr="00382917">
        <w:t>Word</w:t>
      </w:r>
      <w:r w:rsidR="00C03C91">
        <w:t>.</w:t>
      </w:r>
      <w:r w:rsidR="00EE4FC3">
        <w:t xml:space="preserve">  </w:t>
      </w:r>
      <w:r w:rsidRPr="00382917">
        <w:t>How</w:t>
      </w:r>
      <w:r w:rsidR="00EE4FC3">
        <w:t xml:space="preserve"> </w:t>
      </w:r>
      <w:r w:rsidRPr="00382917">
        <w:t>long</w:t>
      </w:r>
      <w:r w:rsidR="00EE4FC3">
        <w:t xml:space="preserve"> </w:t>
      </w:r>
      <w:r w:rsidRPr="00382917">
        <w:t>wilt</w:t>
      </w:r>
      <w:r w:rsidR="00EE4FC3">
        <w:t xml:space="preserve"> </w:t>
      </w:r>
      <w:r w:rsidRPr="00382917">
        <w:t>Thou</w:t>
      </w:r>
      <w:r w:rsidR="00EE4FC3">
        <w:t xml:space="preserve"> </w:t>
      </w:r>
      <w:r w:rsidRPr="00382917">
        <w:t>withhold</w:t>
      </w:r>
      <w:r w:rsidR="00EE4FC3">
        <w:t xml:space="preserve"> </w:t>
      </w:r>
      <w:r w:rsidRPr="00382917">
        <w:t>me</w:t>
      </w:r>
      <w:r w:rsidR="00EE4FC3">
        <w:t xml:space="preserve"> </w:t>
      </w:r>
      <w:r w:rsidRPr="00382917">
        <w:t>from</w:t>
      </w:r>
      <w:r w:rsidR="00EE4FC3">
        <w:t xml:space="preserve"> </w:t>
      </w:r>
      <w:r w:rsidRPr="00382917">
        <w:t>my</w:t>
      </w:r>
      <w:r w:rsidR="00EE4FC3">
        <w:t xml:space="preserve"> </w:t>
      </w:r>
      <w:r w:rsidRPr="00382917">
        <w:t>promise?</w:t>
      </w:r>
      <w:r w:rsidR="009C713D" w:rsidRPr="00382917">
        <w:t>”</w:t>
      </w:r>
      <w:r w:rsidR="00EE4FC3">
        <w:t xml:space="preserve">  </w:t>
      </w:r>
      <w:r w:rsidRPr="00382917">
        <w:t>Each</w:t>
      </w:r>
      <w:r w:rsidR="00EE4FC3">
        <w:t xml:space="preserve"> </w:t>
      </w:r>
      <w:r w:rsidRPr="00382917">
        <w:t>night</w:t>
      </w:r>
      <w:r w:rsidR="00EE4FC3">
        <w:t xml:space="preserve"> </w:t>
      </w:r>
      <w:r w:rsidRPr="00382917">
        <w:t>he</w:t>
      </w:r>
      <w:r w:rsidR="00EE4FC3">
        <w:t xml:space="preserve"> </w:t>
      </w:r>
      <w:r w:rsidRPr="00382917">
        <w:t>would</w:t>
      </w:r>
      <w:r w:rsidR="00EE4FC3">
        <w:t xml:space="preserve"> </w:t>
      </w:r>
      <w:r w:rsidRPr="00382917">
        <w:t>renew</w:t>
      </w:r>
      <w:r w:rsidR="00EE4FC3">
        <w:t xml:space="preserve"> </w:t>
      </w:r>
      <w:r w:rsidRPr="00382917">
        <w:t>this</w:t>
      </w:r>
      <w:r w:rsidR="00EE4FC3">
        <w:t xml:space="preserve"> </w:t>
      </w:r>
      <w:r w:rsidRPr="00382917">
        <w:t>prayer</w:t>
      </w:r>
      <w:r w:rsidR="00EE4FC3">
        <w:t xml:space="preserve"> </w:t>
      </w:r>
      <w:r w:rsidRPr="00382917">
        <w:t>and</w:t>
      </w:r>
      <w:r w:rsidR="00EE4FC3">
        <w:t xml:space="preserve"> </w:t>
      </w:r>
      <w:r w:rsidRPr="00382917">
        <w:t>would</w:t>
      </w:r>
      <w:r w:rsidR="00EE4FC3">
        <w:t xml:space="preserve"> </w:t>
      </w:r>
      <w:r w:rsidRPr="00382917">
        <w:t>continue</w:t>
      </w:r>
      <w:r w:rsidR="00EE4FC3">
        <w:t xml:space="preserve"> </w:t>
      </w:r>
      <w:r w:rsidRPr="00382917">
        <w:t>in</w:t>
      </w:r>
      <w:r w:rsidR="00EE4FC3">
        <w:t xml:space="preserve"> </w:t>
      </w:r>
      <w:r w:rsidRPr="00382917">
        <w:t>his</w:t>
      </w:r>
      <w:r w:rsidR="00EE4FC3">
        <w:t xml:space="preserve"> </w:t>
      </w:r>
      <w:r w:rsidRPr="00382917">
        <w:t>supplications</w:t>
      </w:r>
      <w:r w:rsidR="00EE4FC3">
        <w:t xml:space="preserve"> </w:t>
      </w:r>
      <w:r w:rsidRPr="00382917">
        <w:t>until</w:t>
      </w:r>
      <w:r w:rsidR="00EE4FC3">
        <w:t xml:space="preserve"> </w:t>
      </w:r>
      <w:r w:rsidRPr="00382917">
        <w:t>the</w:t>
      </w:r>
      <w:r w:rsidR="00EE4FC3">
        <w:t xml:space="preserve"> </w:t>
      </w:r>
      <w:r w:rsidRPr="00382917">
        <w:t>break</w:t>
      </w:r>
      <w:r w:rsidR="00EE4FC3">
        <w:t xml:space="preserve"> </w:t>
      </w:r>
      <w:r w:rsidRPr="00382917">
        <w:t>of</w:t>
      </w:r>
      <w:r w:rsidR="00EE4FC3">
        <w:t xml:space="preserve"> </w:t>
      </w:r>
      <w:r w:rsidRPr="00382917">
        <w:t>day.</w:t>
      </w:r>
    </w:p>
    <w:p w:rsidR="003B2D0A" w:rsidRPr="00382917" w:rsidRDefault="009C713D" w:rsidP="00ED2737">
      <w:pPr>
        <w:pStyle w:val="Text"/>
      </w:pPr>
      <w:r w:rsidRPr="00382917">
        <w:t>“</w:t>
      </w:r>
      <w:r w:rsidR="003B2D0A" w:rsidRPr="00382917">
        <w:t>One</w:t>
      </w:r>
      <w:r w:rsidR="00EE4FC3">
        <w:t xml:space="preserve"> </w:t>
      </w:r>
      <w:r w:rsidR="003B2D0A" w:rsidRPr="00382917">
        <w:t>night</w:t>
      </w:r>
      <w:r w:rsidR="00EE4FC3">
        <w:t xml:space="preserve"> </w:t>
      </w:r>
      <w:r w:rsidR="003B2D0A" w:rsidRPr="00382917">
        <w:t>I</w:t>
      </w:r>
      <w:r w:rsidR="00EE4FC3">
        <w:t xml:space="preserve"> </w:t>
      </w:r>
      <w:r w:rsidR="003B2D0A" w:rsidRPr="00382917">
        <w:t>was</w:t>
      </w:r>
      <w:r w:rsidR="00EE4FC3">
        <w:t xml:space="preserve"> </w:t>
      </w:r>
      <w:r w:rsidR="003B2D0A" w:rsidRPr="00382917">
        <w:t>once</w:t>
      </w:r>
      <w:r w:rsidR="00EE4FC3">
        <w:t xml:space="preserve"> </w:t>
      </w:r>
      <w:r w:rsidR="003B2D0A" w:rsidRPr="00382917">
        <w:t>again</w:t>
      </w:r>
      <w:r w:rsidR="00EE4FC3">
        <w:t xml:space="preserve"> </w:t>
      </w:r>
      <w:r w:rsidR="003B2D0A" w:rsidRPr="00382917">
        <w:t>so</w:t>
      </w:r>
      <w:r w:rsidR="00EE4FC3">
        <w:t xml:space="preserve"> </w:t>
      </w:r>
      <w:proofErr w:type="spellStart"/>
      <w:r w:rsidR="003B2D0A" w:rsidRPr="00382917">
        <w:t>wrapt</w:t>
      </w:r>
      <w:proofErr w:type="spellEnd"/>
      <w:r w:rsidR="00EE4FC3">
        <w:t xml:space="preserve"> </w:t>
      </w:r>
      <w:r w:rsidR="003B2D0A" w:rsidRPr="00382917">
        <w:t>in</w:t>
      </w:r>
      <w:r w:rsidR="00EE4FC3">
        <w:t xml:space="preserve"> </w:t>
      </w:r>
      <w:r w:rsidR="003B2D0A" w:rsidRPr="00382917">
        <w:t>prayer</w:t>
      </w:r>
      <w:r w:rsidR="00EE4FC3">
        <w:t xml:space="preserve"> </w:t>
      </w:r>
      <w:r w:rsidR="003B2D0A" w:rsidRPr="00382917">
        <w:t>that</w:t>
      </w:r>
      <w:r w:rsidR="00EE4FC3">
        <w:t xml:space="preserve"> </w:t>
      </w:r>
      <w:r w:rsidR="003B2D0A" w:rsidRPr="00382917">
        <w:t>I</w:t>
      </w:r>
      <w:r w:rsidR="00EE4FC3">
        <w:t xml:space="preserve"> </w:t>
      </w:r>
      <w:r w:rsidR="003B2D0A" w:rsidRPr="00382917">
        <w:t>seemed</w:t>
      </w:r>
      <w:r w:rsidR="00EE4FC3">
        <w:t xml:space="preserve"> </w:t>
      </w:r>
      <w:r w:rsidR="003B2D0A" w:rsidRPr="00382917">
        <w:t>to</w:t>
      </w:r>
      <w:r w:rsidR="00EE4FC3">
        <w:t xml:space="preserve"> </w:t>
      </w:r>
      <w:r w:rsidR="003B2D0A" w:rsidRPr="00382917">
        <w:t>have</w:t>
      </w:r>
      <w:r w:rsidR="00EE4FC3">
        <w:t xml:space="preserve"> </w:t>
      </w:r>
      <w:r w:rsidR="003B2D0A" w:rsidRPr="00382917">
        <w:t>fallen</w:t>
      </w:r>
      <w:r w:rsidR="00EE4FC3">
        <w:t xml:space="preserve"> </w:t>
      </w:r>
      <w:r w:rsidR="003B2D0A" w:rsidRPr="00382917">
        <w:t>into</w:t>
      </w:r>
      <w:r w:rsidR="00EE4FC3">
        <w:t xml:space="preserve"> </w:t>
      </w:r>
      <w:r w:rsidR="003B2D0A" w:rsidRPr="00382917">
        <w:t>a</w:t>
      </w:r>
      <w:r w:rsidR="00EE4FC3">
        <w:t xml:space="preserve"> </w:t>
      </w:r>
      <w:r w:rsidR="003B2D0A" w:rsidRPr="00382917">
        <w:t>trance,</w:t>
      </w:r>
      <w:r w:rsidRPr="00382917">
        <w:t>”</w:t>
      </w:r>
      <w:r w:rsidR="00EE4FC3">
        <w:t xml:space="preserve"> </w:t>
      </w:r>
      <w:r w:rsidR="003B2D0A" w:rsidRPr="00382917">
        <w:t>he</w:t>
      </w:r>
      <w:r w:rsidR="00EE4FC3">
        <w:t xml:space="preserve"> </w:t>
      </w:r>
      <w:r w:rsidR="003B2D0A" w:rsidRPr="00382917">
        <w:t>related</w:t>
      </w:r>
      <w:r w:rsidR="00C03C91">
        <w:t>.</w:t>
      </w:r>
      <w:r w:rsidR="00EE4FC3">
        <w:t xml:space="preserve">  </w:t>
      </w:r>
      <w:r w:rsidRPr="00382917">
        <w:t>“</w:t>
      </w:r>
      <w:r w:rsidR="003B2D0A" w:rsidRPr="00382917">
        <w:t>There</w:t>
      </w:r>
      <w:r w:rsidR="00EE4FC3">
        <w:t xml:space="preserve"> </w:t>
      </w:r>
      <w:r w:rsidR="003B2D0A" w:rsidRPr="00382917">
        <w:t>appeared</w:t>
      </w:r>
      <w:r w:rsidR="00EE4FC3">
        <w:t xml:space="preserve"> </w:t>
      </w:r>
      <w:r w:rsidR="003B2D0A" w:rsidRPr="00382917">
        <w:t>before</w:t>
      </w:r>
      <w:r w:rsidR="00EE4FC3">
        <w:t xml:space="preserve"> </w:t>
      </w:r>
      <w:r w:rsidR="003B2D0A" w:rsidRPr="00382917">
        <w:t>me</w:t>
      </w:r>
      <w:r w:rsidR="00EE4FC3">
        <w:t xml:space="preserve"> </w:t>
      </w:r>
      <w:r w:rsidR="003B2D0A" w:rsidRPr="00382917">
        <w:t>a</w:t>
      </w:r>
      <w:r w:rsidR="00EE4FC3">
        <w:t xml:space="preserve"> </w:t>
      </w:r>
      <w:r w:rsidR="003B2D0A" w:rsidRPr="00382917">
        <w:t>bird,</w:t>
      </w:r>
      <w:r w:rsidR="00EE4FC3">
        <w:t xml:space="preserve"> </w:t>
      </w:r>
      <w:r w:rsidR="003B2D0A" w:rsidRPr="00382917">
        <w:t>white</w:t>
      </w:r>
      <w:r w:rsidR="00EE4FC3">
        <w:t xml:space="preserve"> </w:t>
      </w:r>
      <w:r w:rsidR="003B2D0A" w:rsidRPr="00382917">
        <w:t>as</w:t>
      </w:r>
      <w:r w:rsidR="00EE4FC3">
        <w:t xml:space="preserve"> </w:t>
      </w:r>
      <w:r w:rsidR="003B2D0A" w:rsidRPr="00382917">
        <w:t>snow,</w:t>
      </w:r>
      <w:r w:rsidR="00EE4FC3">
        <w:t xml:space="preserve"> </w:t>
      </w:r>
      <w:r w:rsidR="003B2D0A" w:rsidRPr="00382917">
        <w:t>which</w:t>
      </w:r>
      <w:r w:rsidR="00EE4FC3">
        <w:t xml:space="preserve"> </w:t>
      </w:r>
      <w:r w:rsidR="003B2D0A" w:rsidRPr="00382917">
        <w:t>hovered</w:t>
      </w:r>
      <w:r w:rsidR="00EE4FC3">
        <w:t xml:space="preserve"> </w:t>
      </w:r>
      <w:r w:rsidR="003B2D0A" w:rsidRPr="00382917">
        <w:t>above</w:t>
      </w:r>
      <w:r w:rsidR="00EE4FC3">
        <w:t xml:space="preserve"> </w:t>
      </w:r>
      <w:r w:rsidR="003B2D0A" w:rsidRPr="00382917">
        <w:t>my</w:t>
      </w:r>
      <w:r w:rsidR="00EE4FC3">
        <w:t xml:space="preserve"> </w:t>
      </w:r>
      <w:r w:rsidR="003B2D0A" w:rsidRPr="00382917">
        <w:t>head</w:t>
      </w:r>
      <w:r w:rsidR="00EE4FC3">
        <w:t xml:space="preserve"> </w:t>
      </w:r>
      <w:r w:rsidR="003B2D0A" w:rsidRPr="00382917">
        <w:t>and</w:t>
      </w:r>
      <w:r w:rsidR="00EE4FC3">
        <w:t xml:space="preserve"> </w:t>
      </w:r>
      <w:r w:rsidR="003B2D0A" w:rsidRPr="00382917">
        <w:t>alighted</w:t>
      </w:r>
      <w:r w:rsidR="00EE4FC3">
        <w:t xml:space="preserve"> </w:t>
      </w:r>
      <w:r w:rsidR="003B2D0A" w:rsidRPr="00382917">
        <w:t>upon</w:t>
      </w:r>
      <w:r w:rsidR="00EE4FC3">
        <w:t xml:space="preserve"> </w:t>
      </w:r>
      <w:r w:rsidR="003B2D0A" w:rsidRPr="00382917">
        <w:t>the</w:t>
      </w:r>
      <w:r w:rsidR="00EE4FC3">
        <w:t xml:space="preserve"> </w:t>
      </w:r>
      <w:r w:rsidR="003B2D0A" w:rsidRPr="00382917">
        <w:t>twig</w:t>
      </w:r>
      <w:r w:rsidR="00EE4FC3">
        <w:t xml:space="preserve"> </w:t>
      </w:r>
      <w:r w:rsidR="003B2D0A" w:rsidRPr="00382917">
        <w:t>of</w:t>
      </w:r>
      <w:r w:rsidR="00EE4FC3">
        <w:t xml:space="preserve"> </w:t>
      </w:r>
      <w:r w:rsidR="003B2D0A" w:rsidRPr="00382917">
        <w:t>a</w:t>
      </w:r>
      <w:r w:rsidR="00EE4FC3">
        <w:t xml:space="preserve"> </w:t>
      </w:r>
      <w:r w:rsidR="003B2D0A" w:rsidRPr="00382917">
        <w:t>tree</w:t>
      </w:r>
      <w:r w:rsidR="00EE4FC3">
        <w:t xml:space="preserve"> </w:t>
      </w:r>
      <w:r w:rsidR="003B2D0A" w:rsidRPr="00382917">
        <w:t>beside</w:t>
      </w:r>
      <w:r w:rsidR="00EE4FC3">
        <w:t xml:space="preserve"> </w:t>
      </w:r>
      <w:r w:rsidR="003B2D0A" w:rsidRPr="00382917">
        <w:t>me</w:t>
      </w:r>
      <w:r w:rsidR="00C03C91">
        <w:t>.</w:t>
      </w:r>
      <w:r w:rsidR="00EE4FC3">
        <w:t xml:space="preserve">  </w:t>
      </w:r>
      <w:r w:rsidR="003B2D0A" w:rsidRPr="00382917">
        <w:t>In</w:t>
      </w:r>
      <w:r w:rsidR="00EE4FC3">
        <w:t xml:space="preserve"> </w:t>
      </w:r>
      <w:r w:rsidR="003B2D0A" w:rsidRPr="00382917">
        <w:t>accents</w:t>
      </w:r>
      <w:r w:rsidR="00EE4FC3">
        <w:t xml:space="preserve"> </w:t>
      </w:r>
      <w:r w:rsidR="003B2D0A" w:rsidRPr="00382917">
        <w:t>of</w:t>
      </w:r>
      <w:r w:rsidR="00EE4FC3">
        <w:t xml:space="preserve"> </w:t>
      </w:r>
      <w:r w:rsidR="003B2D0A" w:rsidRPr="00382917">
        <w:t>indescribable</w:t>
      </w:r>
      <w:r w:rsidR="00EE4FC3">
        <w:t xml:space="preserve"> </w:t>
      </w:r>
      <w:r w:rsidR="003B2D0A" w:rsidRPr="00382917">
        <w:t>sweetness,</w:t>
      </w:r>
      <w:r w:rsidR="00EE4FC3">
        <w:t xml:space="preserve"> </w:t>
      </w:r>
      <w:r w:rsidR="003B2D0A" w:rsidRPr="00382917">
        <w:t>that</w:t>
      </w:r>
      <w:r w:rsidR="00EE4FC3">
        <w:t xml:space="preserve"> </w:t>
      </w:r>
      <w:r w:rsidR="003B2D0A" w:rsidRPr="00382917">
        <w:t>bird</w:t>
      </w:r>
      <w:r w:rsidR="00EE4FC3">
        <w:t xml:space="preserve"> </w:t>
      </w:r>
      <w:r w:rsidR="003B2D0A" w:rsidRPr="00382917">
        <w:t>spoke</w:t>
      </w:r>
      <w:r w:rsidR="00EE4FC3">
        <w:t xml:space="preserve"> </w:t>
      </w:r>
      <w:r w:rsidR="003B2D0A" w:rsidRPr="00382917">
        <w:t>these</w:t>
      </w:r>
      <w:r w:rsidR="00EE4FC3">
        <w:t xml:space="preserve"> </w:t>
      </w:r>
      <w:r w:rsidR="003B2D0A" w:rsidRPr="00382917">
        <w:t>words</w:t>
      </w:r>
      <w:r w:rsidR="00C03C91">
        <w:t>:</w:t>
      </w:r>
      <w:r w:rsidR="00EE4FC3">
        <w:t xml:space="preserve">  </w:t>
      </w:r>
      <w:r w:rsidRPr="00382917">
        <w:t>‘</w:t>
      </w:r>
      <w:r w:rsidR="003B2D0A" w:rsidRPr="00382917">
        <w:t>Are</w:t>
      </w:r>
      <w:r w:rsidR="00EE4FC3">
        <w:t xml:space="preserve"> </w:t>
      </w:r>
      <w:r w:rsidR="003B2D0A" w:rsidRPr="00382917">
        <w:t>you</w:t>
      </w:r>
      <w:r w:rsidR="00EE4FC3">
        <w:t xml:space="preserve"> </w:t>
      </w:r>
      <w:r w:rsidR="003B2D0A" w:rsidRPr="00382917">
        <w:t>seeking</w:t>
      </w:r>
      <w:r w:rsidR="00EE4FC3">
        <w:t xml:space="preserve"> </w:t>
      </w:r>
      <w:r w:rsidR="003B2D0A" w:rsidRPr="00382917">
        <w:t>the</w:t>
      </w:r>
      <w:r w:rsidR="00EE4FC3">
        <w:t xml:space="preserve"> </w:t>
      </w:r>
      <w:r w:rsidR="003B2D0A" w:rsidRPr="00382917">
        <w:t>Promised</w:t>
      </w:r>
      <w:r w:rsidR="00EE4FC3">
        <w:t xml:space="preserve"> </w:t>
      </w:r>
      <w:r w:rsidR="003B2D0A" w:rsidRPr="00382917">
        <w:t>One,</w:t>
      </w:r>
      <w:r w:rsidR="00EE4FC3">
        <w:t xml:space="preserve"> </w:t>
      </w:r>
      <w:r w:rsidR="003B2D0A" w:rsidRPr="00382917">
        <w:t>O</w:t>
      </w:r>
      <w:r w:rsidR="00EE4FC3">
        <w:t xml:space="preserve"> </w:t>
      </w:r>
      <w:r w:rsidRPr="00382917">
        <w:t>‘</w:t>
      </w:r>
      <w:r w:rsidR="003B2D0A" w:rsidRPr="00382917">
        <w:t>Abdul-Karím?</w:t>
      </w:r>
      <w:r w:rsidR="00EE4FC3">
        <w:t xml:space="preserve">  </w:t>
      </w:r>
      <w:proofErr w:type="gramStart"/>
      <w:r w:rsidR="003B2D0A" w:rsidRPr="00382917">
        <w:t>Lo,</w:t>
      </w:r>
      <w:r w:rsidR="00EE4FC3">
        <w:t xml:space="preserve"> </w:t>
      </w:r>
      <w:r w:rsidR="003B2D0A" w:rsidRPr="00382917">
        <w:t>the</w:t>
      </w:r>
      <w:r w:rsidR="00EE4FC3">
        <w:t xml:space="preserve"> </w:t>
      </w:r>
      <w:r w:rsidR="003B2D0A" w:rsidRPr="00382917">
        <w:t>year</w:t>
      </w:r>
      <w:r w:rsidR="00EE4FC3">
        <w:t xml:space="preserve"> </w:t>
      </w:r>
      <w:r w:rsidR="00ED2737">
        <w:t>’</w:t>
      </w:r>
      <w:r w:rsidR="003B2D0A" w:rsidRPr="00382917">
        <w:t>60</w:t>
      </w:r>
      <w:r w:rsidRPr="00382917">
        <w:t>’</w:t>
      </w:r>
      <w:r w:rsidR="00C03C91">
        <w:t>.</w:t>
      </w:r>
      <w:proofErr w:type="gramEnd"/>
      <w:r w:rsidR="00EE4FC3">
        <w:t xml:space="preserve">  </w:t>
      </w:r>
      <w:r w:rsidR="003B2D0A" w:rsidRPr="00382917">
        <w:t>Immediately</w:t>
      </w:r>
      <w:r w:rsidR="00EE4FC3">
        <w:t xml:space="preserve"> </w:t>
      </w:r>
      <w:r w:rsidR="003B2D0A" w:rsidRPr="00382917">
        <w:t>the</w:t>
      </w:r>
      <w:r w:rsidR="00EE4FC3">
        <w:t xml:space="preserve"> </w:t>
      </w:r>
      <w:r w:rsidR="003B2D0A" w:rsidRPr="00382917">
        <w:t>bird</w:t>
      </w:r>
      <w:r w:rsidR="00EE4FC3">
        <w:t xml:space="preserve"> </w:t>
      </w:r>
      <w:r w:rsidR="003B2D0A" w:rsidRPr="00382917">
        <w:t>flew</w:t>
      </w:r>
      <w:r w:rsidR="00EE4FC3">
        <w:t xml:space="preserve"> </w:t>
      </w:r>
      <w:r w:rsidR="003B2D0A" w:rsidRPr="00382917">
        <w:t>away</w:t>
      </w:r>
      <w:r w:rsidR="00EE4FC3">
        <w:t xml:space="preserve"> </w:t>
      </w:r>
      <w:r w:rsidR="003B2D0A" w:rsidRPr="00382917">
        <w:t>and</w:t>
      </w:r>
      <w:r w:rsidR="00EE4FC3">
        <w:t xml:space="preserve"> </w:t>
      </w:r>
      <w:r w:rsidR="003B2D0A" w:rsidRPr="00382917">
        <w:t>vanished.</w:t>
      </w:r>
    </w:p>
    <w:p w:rsidR="003B2D0A" w:rsidRPr="00382917" w:rsidRDefault="009C713D" w:rsidP="00ED2737">
      <w:pPr>
        <w:pStyle w:val="Text"/>
      </w:pPr>
      <w:r w:rsidRPr="00382917">
        <w:t>“</w:t>
      </w:r>
      <w:r w:rsidR="003B2D0A" w:rsidRPr="00382917">
        <w:t>The</w:t>
      </w:r>
      <w:r w:rsidR="00EE4FC3">
        <w:t xml:space="preserve"> </w:t>
      </w:r>
      <w:r w:rsidR="003B2D0A" w:rsidRPr="00382917">
        <w:t>mystery</w:t>
      </w:r>
      <w:r w:rsidR="00EE4FC3">
        <w:t xml:space="preserve"> </w:t>
      </w:r>
      <w:r w:rsidR="003B2D0A" w:rsidRPr="00382917">
        <w:t>of</w:t>
      </w:r>
      <w:r w:rsidR="00EE4FC3">
        <w:t xml:space="preserve"> </w:t>
      </w:r>
      <w:r w:rsidR="003B2D0A" w:rsidRPr="00382917">
        <w:t>those</w:t>
      </w:r>
      <w:r w:rsidR="00EE4FC3">
        <w:t xml:space="preserve"> </w:t>
      </w:r>
      <w:r w:rsidR="003B2D0A" w:rsidRPr="00382917">
        <w:t>words</w:t>
      </w:r>
      <w:r w:rsidR="00EE4FC3">
        <w:t xml:space="preserve"> </w:t>
      </w:r>
      <w:r w:rsidR="003B2D0A" w:rsidRPr="00382917">
        <w:t>greatly</w:t>
      </w:r>
      <w:r w:rsidR="00EE4FC3">
        <w:t xml:space="preserve"> </w:t>
      </w:r>
      <w:r w:rsidR="003B2D0A" w:rsidRPr="00382917">
        <w:t>agitated</w:t>
      </w:r>
      <w:r w:rsidR="00EE4FC3">
        <w:t xml:space="preserve"> </w:t>
      </w:r>
      <w:r w:rsidR="003B2D0A" w:rsidRPr="00382917">
        <w:t>me</w:t>
      </w:r>
      <w:r w:rsidR="00C03C91">
        <w:t>.</w:t>
      </w:r>
      <w:r w:rsidR="00EE4FC3">
        <w:t xml:space="preserve">  </w:t>
      </w:r>
      <w:r w:rsidR="003B2D0A" w:rsidRPr="00382917">
        <w:t>The</w:t>
      </w:r>
      <w:r w:rsidR="00EE4FC3">
        <w:t xml:space="preserve"> </w:t>
      </w:r>
      <w:r w:rsidR="003B2D0A" w:rsidRPr="00382917">
        <w:t>memory</w:t>
      </w:r>
      <w:r w:rsidR="00EE4FC3">
        <w:t xml:space="preserve"> </w:t>
      </w:r>
      <w:r w:rsidR="003B2D0A" w:rsidRPr="00382917">
        <w:t>of</w:t>
      </w:r>
      <w:r w:rsidR="00EE4FC3">
        <w:t xml:space="preserve"> </w:t>
      </w:r>
      <w:r w:rsidR="003B2D0A" w:rsidRPr="00382917">
        <w:t>that</w:t>
      </w:r>
      <w:r w:rsidR="00EE4FC3">
        <w:t xml:space="preserve"> </w:t>
      </w:r>
      <w:r w:rsidR="003B2D0A" w:rsidRPr="00382917">
        <w:t>voice</w:t>
      </w:r>
      <w:r w:rsidR="00EE4FC3">
        <w:t xml:space="preserve"> </w:t>
      </w:r>
      <w:r w:rsidR="003B2D0A" w:rsidRPr="00382917">
        <w:t>lingered</w:t>
      </w:r>
      <w:r w:rsidR="00EE4FC3">
        <w:t xml:space="preserve"> </w:t>
      </w:r>
      <w:r w:rsidR="003B2D0A" w:rsidRPr="00382917">
        <w:t>in</w:t>
      </w:r>
      <w:r w:rsidR="00EE4FC3">
        <w:t xml:space="preserve"> </w:t>
      </w:r>
      <w:r w:rsidR="003B2D0A" w:rsidRPr="00382917">
        <w:t>my</w:t>
      </w:r>
      <w:r w:rsidR="00EE4FC3">
        <w:t xml:space="preserve"> </w:t>
      </w:r>
      <w:r w:rsidR="003B2D0A" w:rsidRPr="00382917">
        <w:t>memory</w:t>
      </w:r>
      <w:r w:rsidR="00EE4FC3">
        <w:t xml:space="preserve"> </w:t>
      </w:r>
      <w:r w:rsidR="003B2D0A" w:rsidRPr="00382917">
        <w:t>both</w:t>
      </w:r>
      <w:r w:rsidR="00EE4FC3">
        <w:t xml:space="preserve"> </w:t>
      </w:r>
      <w:r w:rsidR="003B2D0A" w:rsidRPr="00382917">
        <w:t>sleeping</w:t>
      </w:r>
      <w:r w:rsidR="00EE4FC3">
        <w:t xml:space="preserve"> </w:t>
      </w:r>
      <w:r w:rsidR="003B2D0A" w:rsidRPr="00382917">
        <w:t>and</w:t>
      </w:r>
      <w:r w:rsidR="00EE4FC3">
        <w:t xml:space="preserve"> </w:t>
      </w:r>
      <w:r w:rsidR="003B2D0A" w:rsidRPr="00382917">
        <w:t>waking</w:t>
      </w:r>
      <w:r w:rsidR="00C03C91">
        <w:t>.</w:t>
      </w:r>
      <w:r w:rsidR="00EE4FC3">
        <w:t xml:space="preserve">  </w:t>
      </w:r>
      <w:r w:rsidR="003B2D0A" w:rsidRPr="00382917">
        <w:t>When</w:t>
      </w:r>
      <w:r w:rsidR="00EE4FC3">
        <w:t xml:space="preserve"> </w:t>
      </w:r>
      <w:r w:rsidR="003B2D0A" w:rsidRPr="00382917">
        <w:t>in</w:t>
      </w:r>
      <w:r w:rsidR="00EE4FC3">
        <w:t xml:space="preserve"> </w:t>
      </w:r>
      <w:r w:rsidR="003B2D0A" w:rsidRPr="00382917">
        <w:t>the</w:t>
      </w:r>
      <w:r w:rsidR="00EE4FC3">
        <w:t xml:space="preserve"> </w:t>
      </w:r>
      <w:r w:rsidR="003B2D0A" w:rsidRPr="00382917">
        <w:t>year</w:t>
      </w:r>
      <w:r w:rsidR="00EE4FC3">
        <w:t xml:space="preserve"> </w:t>
      </w:r>
      <w:r w:rsidR="00ED2737">
        <w:t>’</w:t>
      </w:r>
      <w:r w:rsidR="003B2D0A" w:rsidRPr="00382917">
        <w:t>60</w:t>
      </w:r>
      <w:r w:rsidR="00EE4FC3">
        <w:t xml:space="preserve"> </w:t>
      </w:r>
      <w:r w:rsidR="003B2D0A" w:rsidRPr="00382917">
        <w:t>I</w:t>
      </w:r>
      <w:r w:rsidR="00EE4FC3">
        <w:t xml:space="preserve"> </w:t>
      </w:r>
      <w:r w:rsidR="003B2D0A" w:rsidRPr="00382917">
        <w:t>heard</w:t>
      </w:r>
      <w:r w:rsidR="00EE4FC3">
        <w:t xml:space="preserve"> </w:t>
      </w:r>
      <w:r w:rsidR="003B2D0A" w:rsidRPr="00382917">
        <w:t>of</w:t>
      </w:r>
      <w:r w:rsidR="00EE4FC3">
        <w:t xml:space="preserve"> </w:t>
      </w:r>
      <w:r w:rsidR="003B2D0A" w:rsidRPr="00382917">
        <w:t>a</w:t>
      </w:r>
      <w:r w:rsidR="00EE4FC3">
        <w:t xml:space="preserve"> </w:t>
      </w:r>
      <w:r w:rsidR="003B2D0A" w:rsidRPr="00382917">
        <w:t>wondrous</w:t>
      </w:r>
      <w:r w:rsidR="00EE4FC3">
        <w:t xml:space="preserve"> </w:t>
      </w:r>
      <w:r w:rsidR="003B2D0A" w:rsidRPr="00382917">
        <w:t>personage</w:t>
      </w:r>
      <w:r w:rsidR="00EE4FC3">
        <w:t xml:space="preserve"> </w:t>
      </w:r>
      <w:r w:rsidR="003B2D0A" w:rsidRPr="00382917">
        <w:t>in</w:t>
      </w:r>
      <w:r w:rsidR="00EE4FC3">
        <w:t xml:space="preserve"> </w:t>
      </w:r>
      <w:r w:rsidR="003B2D0A" w:rsidRPr="00ED2737">
        <w:rPr>
          <w:u w:val="single"/>
        </w:rPr>
        <w:t>Sh</w:t>
      </w:r>
      <w:r w:rsidR="00C03C91" w:rsidRPr="00C03C91">
        <w:t>í</w:t>
      </w:r>
      <w:r w:rsidR="003B2D0A" w:rsidRPr="00382917">
        <w:t>ráz,</w:t>
      </w:r>
      <w:r w:rsidR="00EE4FC3">
        <w:t xml:space="preserve"> </w:t>
      </w:r>
      <w:r w:rsidR="003B2D0A" w:rsidRPr="00382917">
        <w:t>I</w:t>
      </w:r>
      <w:r w:rsidR="00EE4FC3">
        <w:t xml:space="preserve"> </w:t>
      </w:r>
      <w:r w:rsidR="003B2D0A" w:rsidRPr="00382917">
        <w:t>hastened</w:t>
      </w:r>
      <w:r w:rsidR="00EE4FC3">
        <w:t xml:space="preserve"> </w:t>
      </w:r>
      <w:r w:rsidR="003B2D0A" w:rsidRPr="00382917">
        <w:t>to</w:t>
      </w:r>
      <w:r w:rsidR="00EE4FC3">
        <w:t xml:space="preserve"> </w:t>
      </w:r>
      <w:r w:rsidR="003B2D0A" w:rsidRPr="00382917">
        <w:t>that</w:t>
      </w:r>
      <w:r w:rsidR="00EE4FC3">
        <w:t xml:space="preserve"> </w:t>
      </w:r>
      <w:r w:rsidR="003B2D0A" w:rsidRPr="00382917">
        <w:t>city.</w:t>
      </w:r>
    </w:p>
    <w:p w:rsidR="003B2D0A" w:rsidRPr="00382917" w:rsidRDefault="009C713D" w:rsidP="003B2D0A">
      <w:pPr>
        <w:pStyle w:val="Text"/>
      </w:pPr>
      <w:r w:rsidRPr="00382917">
        <w:t>“</w:t>
      </w:r>
      <w:r w:rsidR="003B2D0A" w:rsidRPr="00382917">
        <w:t>Eventually</w:t>
      </w:r>
      <w:r w:rsidR="00EE4FC3">
        <w:t xml:space="preserve"> </w:t>
      </w:r>
      <w:r w:rsidR="003B2D0A" w:rsidRPr="00382917">
        <w:t>I</w:t>
      </w:r>
      <w:r w:rsidR="00EE4FC3">
        <w:t xml:space="preserve"> </w:t>
      </w:r>
      <w:r w:rsidR="003B2D0A" w:rsidRPr="00382917">
        <w:t>attained</w:t>
      </w:r>
      <w:r w:rsidR="00EE4FC3">
        <w:t xml:space="preserve"> </w:t>
      </w:r>
      <w:r w:rsidR="003B2D0A" w:rsidRPr="00382917">
        <w:t>the</w:t>
      </w:r>
      <w:r w:rsidR="00EE4FC3">
        <w:t xml:space="preserve"> </w:t>
      </w:r>
      <w:r w:rsidR="003B2D0A" w:rsidRPr="00382917">
        <w:t>presence</w:t>
      </w:r>
      <w:r w:rsidR="00EE4FC3">
        <w:t xml:space="preserve"> </w:t>
      </w:r>
      <w:r w:rsidR="003B2D0A" w:rsidRPr="00382917">
        <w:t>of</w:t>
      </w:r>
      <w:r w:rsidR="00EE4FC3">
        <w:t xml:space="preserve"> </w:t>
      </w:r>
      <w:r w:rsidR="003B2D0A" w:rsidRPr="00382917">
        <w:t>the</w:t>
      </w:r>
      <w:r w:rsidR="00EE4FC3">
        <w:t xml:space="preserve"> </w:t>
      </w:r>
      <w:r w:rsidR="003B2D0A" w:rsidRPr="00382917">
        <w:t>Báb</w:t>
      </w:r>
      <w:r w:rsidR="00C03C91">
        <w:t>.</w:t>
      </w:r>
      <w:r w:rsidR="00EE4FC3">
        <w:t xml:space="preserve">  </w:t>
      </w:r>
      <w:r w:rsidR="003B2D0A" w:rsidRPr="00382917">
        <w:t>He</w:t>
      </w:r>
      <w:r w:rsidR="00EE4FC3">
        <w:t xml:space="preserve"> </w:t>
      </w:r>
      <w:r w:rsidR="003B2D0A" w:rsidRPr="00382917">
        <w:t>turned</w:t>
      </w:r>
      <w:r w:rsidR="00EE4FC3">
        <w:t xml:space="preserve"> </w:t>
      </w:r>
      <w:r w:rsidR="003B2D0A" w:rsidRPr="00382917">
        <w:t>to</w:t>
      </w:r>
      <w:r w:rsidR="00EE4FC3">
        <w:t xml:space="preserve"> </w:t>
      </w:r>
      <w:r w:rsidR="003B2D0A" w:rsidRPr="00382917">
        <w:t>me</w:t>
      </w:r>
    </w:p>
    <w:p w:rsidR="003B2D0A" w:rsidRPr="00382917" w:rsidRDefault="003B2D0A">
      <w:pPr>
        <w:widowControl/>
        <w:kinsoku/>
        <w:overflowPunct/>
        <w:textAlignment w:val="auto"/>
      </w:pPr>
      <w:r w:rsidRPr="00382917">
        <w:br w:type="page"/>
      </w:r>
    </w:p>
    <w:p w:rsidR="003B2D0A" w:rsidRPr="00382917" w:rsidRDefault="003B2D0A" w:rsidP="003B2D0A">
      <w:pPr>
        <w:pStyle w:val="Textcts"/>
      </w:pPr>
      <w:proofErr w:type="gramStart"/>
      <w:r w:rsidRPr="00382917">
        <w:t>and</w:t>
      </w:r>
      <w:proofErr w:type="gramEnd"/>
      <w:r w:rsidR="00EE4FC3">
        <w:t xml:space="preserve"> </w:t>
      </w:r>
      <w:r w:rsidRPr="00382917">
        <w:t>in</w:t>
      </w:r>
      <w:r w:rsidR="00EE4FC3">
        <w:t xml:space="preserve"> </w:t>
      </w:r>
      <w:r w:rsidRPr="00382917">
        <w:t>the</w:t>
      </w:r>
      <w:r w:rsidR="00EE4FC3">
        <w:t xml:space="preserve"> </w:t>
      </w:r>
      <w:r w:rsidRPr="00382917">
        <w:t>same</w:t>
      </w:r>
      <w:r w:rsidR="00EE4FC3">
        <w:t xml:space="preserve"> </w:t>
      </w:r>
      <w:r w:rsidRPr="00382917">
        <w:t>sweet</w:t>
      </w:r>
      <w:r w:rsidR="00EE4FC3">
        <w:t xml:space="preserve"> </w:t>
      </w:r>
      <w:r w:rsidRPr="00382917">
        <w:t>melodious</w:t>
      </w:r>
      <w:r w:rsidR="00EE4FC3">
        <w:t xml:space="preserve"> </w:t>
      </w:r>
      <w:r w:rsidRPr="00382917">
        <w:t>voice</w:t>
      </w:r>
      <w:r w:rsidR="00EE4FC3">
        <w:t xml:space="preserve"> </w:t>
      </w:r>
      <w:r w:rsidRPr="00382917">
        <w:t>of</w:t>
      </w:r>
      <w:r w:rsidR="00EE4FC3">
        <w:t xml:space="preserve"> </w:t>
      </w:r>
      <w:r w:rsidRPr="00382917">
        <w:t>the</w:t>
      </w:r>
      <w:r w:rsidR="00EE4FC3">
        <w:t xml:space="preserve"> </w:t>
      </w:r>
      <w:r w:rsidRPr="00382917">
        <w:t>white</w:t>
      </w:r>
      <w:r w:rsidR="00EE4FC3">
        <w:t xml:space="preserve"> </w:t>
      </w:r>
      <w:r w:rsidRPr="00382917">
        <w:t>bird,</w:t>
      </w:r>
      <w:r w:rsidR="00EE4FC3">
        <w:t xml:space="preserve"> </w:t>
      </w:r>
      <w:r w:rsidRPr="00382917">
        <w:t>He</w:t>
      </w:r>
      <w:r w:rsidR="00EE4FC3">
        <w:t xml:space="preserve"> </w:t>
      </w:r>
      <w:r w:rsidRPr="00382917">
        <w:t>asked</w:t>
      </w:r>
      <w:r w:rsidR="00EE4FC3">
        <w:t xml:space="preserve"> </w:t>
      </w:r>
      <w:r w:rsidRPr="00382917">
        <w:t>me</w:t>
      </w:r>
      <w:r w:rsidR="00C03C91">
        <w:t>:</w:t>
      </w:r>
      <w:r w:rsidR="00EE4FC3">
        <w:t xml:space="preserve">  </w:t>
      </w:r>
      <w:r w:rsidR="009C713D" w:rsidRPr="00382917">
        <w:t>‘</w:t>
      </w:r>
      <w:r w:rsidRPr="00382917">
        <w:t>Are</w:t>
      </w:r>
      <w:r w:rsidR="00EE4FC3">
        <w:t xml:space="preserve"> </w:t>
      </w:r>
      <w:r w:rsidRPr="00382917">
        <w:t>you</w:t>
      </w:r>
      <w:r w:rsidR="00EE4FC3">
        <w:t xml:space="preserve"> </w:t>
      </w:r>
      <w:r w:rsidRPr="00382917">
        <w:t>seeking</w:t>
      </w:r>
      <w:r w:rsidR="00EE4FC3">
        <w:t xml:space="preserve"> </w:t>
      </w:r>
      <w:r w:rsidRPr="00382917">
        <w:t>the</w:t>
      </w:r>
      <w:r w:rsidR="00EE4FC3">
        <w:t xml:space="preserve"> </w:t>
      </w:r>
      <w:r w:rsidRPr="00382917">
        <w:t>Manifestation</w:t>
      </w:r>
      <w:r w:rsidR="00EE4FC3">
        <w:t xml:space="preserve"> </w:t>
      </w:r>
      <w:r w:rsidRPr="00382917">
        <w:t>[Promised</w:t>
      </w:r>
      <w:r w:rsidR="00EE4FC3">
        <w:t xml:space="preserve"> </w:t>
      </w:r>
      <w:r w:rsidRPr="00382917">
        <w:t>One]?</w:t>
      </w:r>
      <w:r w:rsidR="009C713D" w:rsidRPr="00382917">
        <w:t>”</w:t>
      </w:r>
    </w:p>
    <w:p w:rsidR="00E13D49" w:rsidRPr="00382917" w:rsidRDefault="009C713D" w:rsidP="00ED2737">
      <w:pPr>
        <w:pStyle w:val="Text"/>
      </w:pPr>
      <w:r w:rsidRPr="00382917">
        <w:t>‘</w:t>
      </w:r>
      <w:r w:rsidR="003B2D0A" w:rsidRPr="00382917">
        <w:t>Abdu</w:t>
      </w:r>
      <w:r w:rsidRPr="00382917">
        <w:t>’</w:t>
      </w:r>
      <w:r w:rsidR="003B2D0A" w:rsidRPr="00382917">
        <w:t>l-Karím</w:t>
      </w:r>
      <w:r w:rsidR="00EE4FC3">
        <w:t xml:space="preserve"> </w:t>
      </w:r>
      <w:r w:rsidR="003B2D0A" w:rsidRPr="00382917">
        <w:t>burst</w:t>
      </w:r>
      <w:r w:rsidR="00EE4FC3">
        <w:t xml:space="preserve"> </w:t>
      </w:r>
      <w:r w:rsidR="003B2D0A" w:rsidRPr="00382917">
        <w:t>into</w:t>
      </w:r>
      <w:r w:rsidR="00EE4FC3">
        <w:t xml:space="preserve"> </w:t>
      </w:r>
      <w:r w:rsidR="003B2D0A" w:rsidRPr="00382917">
        <w:t>tears</w:t>
      </w:r>
      <w:r w:rsidR="00EE4FC3">
        <w:t xml:space="preserve"> </w:t>
      </w:r>
      <w:r w:rsidR="003B2D0A" w:rsidRPr="00382917">
        <w:t>and</w:t>
      </w:r>
      <w:r w:rsidR="00EE4FC3">
        <w:t xml:space="preserve"> </w:t>
      </w:r>
      <w:r w:rsidR="003B2D0A" w:rsidRPr="00382917">
        <w:t>threw</w:t>
      </w:r>
      <w:r w:rsidR="00EE4FC3">
        <w:t xml:space="preserve"> </w:t>
      </w:r>
      <w:r w:rsidR="003B2D0A" w:rsidRPr="00382917">
        <w:t>himself</w:t>
      </w:r>
      <w:r w:rsidR="00EE4FC3">
        <w:t xml:space="preserve"> </w:t>
      </w:r>
      <w:r w:rsidR="003B2D0A" w:rsidRPr="00382917">
        <w:t>at</w:t>
      </w:r>
      <w:r w:rsidR="00EE4FC3">
        <w:t xml:space="preserve"> </w:t>
      </w:r>
      <w:r w:rsidR="003B2D0A" w:rsidRPr="00382917">
        <w:t>the</w:t>
      </w:r>
      <w:r w:rsidR="00EE4FC3">
        <w:t xml:space="preserve"> </w:t>
      </w:r>
      <w:r w:rsidR="003B2D0A" w:rsidRPr="00382917">
        <w:t>feet</w:t>
      </w:r>
      <w:r w:rsidR="00EE4FC3">
        <w:t xml:space="preserve"> </w:t>
      </w:r>
      <w:r w:rsidR="003B2D0A" w:rsidRPr="00382917">
        <w:t>of</w:t>
      </w:r>
      <w:r w:rsidR="00EE4FC3">
        <w:t xml:space="preserve"> </w:t>
      </w:r>
      <w:r w:rsidR="003B2D0A" w:rsidRPr="00382917">
        <w:t>the</w:t>
      </w:r>
      <w:r w:rsidR="00EE4FC3">
        <w:t xml:space="preserve"> </w:t>
      </w:r>
      <w:r w:rsidR="003B2D0A" w:rsidRPr="00382917">
        <w:t>Báb</w:t>
      </w:r>
      <w:r w:rsidR="00EE4FC3">
        <w:t xml:space="preserve"> </w:t>
      </w:r>
      <w:r w:rsidR="003B2D0A" w:rsidRPr="00382917">
        <w:t>in</w:t>
      </w:r>
      <w:r w:rsidR="00EE4FC3">
        <w:t xml:space="preserve"> </w:t>
      </w:r>
      <w:r w:rsidR="003B2D0A" w:rsidRPr="00382917">
        <w:t>a</w:t>
      </w:r>
      <w:r w:rsidR="00EE4FC3">
        <w:t xml:space="preserve"> </w:t>
      </w:r>
      <w:r w:rsidR="003B2D0A" w:rsidRPr="00382917">
        <w:t>state</w:t>
      </w:r>
      <w:r w:rsidR="00EE4FC3">
        <w:t xml:space="preserve"> </w:t>
      </w:r>
      <w:r w:rsidR="003B2D0A" w:rsidRPr="00382917">
        <w:t>of</w:t>
      </w:r>
      <w:r w:rsidR="00EE4FC3">
        <w:t xml:space="preserve"> </w:t>
      </w:r>
      <w:r w:rsidR="003B2D0A" w:rsidRPr="00382917">
        <w:t>profound</w:t>
      </w:r>
      <w:r w:rsidR="00EE4FC3">
        <w:t xml:space="preserve"> </w:t>
      </w:r>
      <w:r w:rsidR="003B2D0A" w:rsidRPr="00382917">
        <w:t>ecstasy,</w:t>
      </w:r>
      <w:r w:rsidR="00EE4FC3">
        <w:t xml:space="preserve"> </w:t>
      </w:r>
      <w:r w:rsidR="003B2D0A" w:rsidRPr="00382917">
        <w:t>much</w:t>
      </w:r>
      <w:r w:rsidR="00EE4FC3">
        <w:t xml:space="preserve"> </w:t>
      </w:r>
      <w:r w:rsidR="003B2D0A" w:rsidRPr="00382917">
        <w:t>to</w:t>
      </w:r>
      <w:r w:rsidR="00EE4FC3">
        <w:t xml:space="preserve"> </w:t>
      </w:r>
      <w:r w:rsidR="003B2D0A" w:rsidRPr="00382917">
        <w:t>the</w:t>
      </w:r>
      <w:r w:rsidR="00EE4FC3">
        <w:t xml:space="preserve"> </w:t>
      </w:r>
      <w:r w:rsidR="003B2D0A" w:rsidRPr="00382917">
        <w:t>astonishment</w:t>
      </w:r>
      <w:r w:rsidR="00EE4FC3">
        <w:t xml:space="preserve"> </w:t>
      </w:r>
      <w:r w:rsidR="003B2D0A" w:rsidRPr="00382917">
        <w:t>of</w:t>
      </w:r>
      <w:r w:rsidR="00EE4FC3">
        <w:t xml:space="preserve"> </w:t>
      </w:r>
      <w:r w:rsidR="003B2D0A" w:rsidRPr="00382917">
        <w:t>his</w:t>
      </w:r>
      <w:r w:rsidR="00EE4FC3">
        <w:t xml:space="preserve"> </w:t>
      </w:r>
      <w:r w:rsidR="003B2D0A" w:rsidRPr="00382917">
        <w:t>companions</w:t>
      </w:r>
      <w:r w:rsidR="00C03C91">
        <w:t>.</w:t>
      </w:r>
      <w:r w:rsidR="00EE4FC3">
        <w:t xml:space="preserve">  </w:t>
      </w:r>
      <w:r w:rsidR="003B2D0A" w:rsidRPr="00382917">
        <w:t>The</w:t>
      </w:r>
      <w:r w:rsidR="00EE4FC3">
        <w:t xml:space="preserve"> </w:t>
      </w:r>
      <w:r w:rsidR="003B2D0A" w:rsidRPr="00382917">
        <w:t>Báb</w:t>
      </w:r>
      <w:r w:rsidR="00EE4FC3">
        <w:t xml:space="preserve"> </w:t>
      </w:r>
      <w:r w:rsidR="003B2D0A" w:rsidRPr="00382917">
        <w:t>took</w:t>
      </w:r>
      <w:r w:rsidR="00EE4FC3">
        <w:t xml:space="preserve"> </w:t>
      </w:r>
      <w:r w:rsidR="003B2D0A" w:rsidRPr="00382917">
        <w:t>him</w:t>
      </w:r>
      <w:r w:rsidR="00EE4FC3">
        <w:t xml:space="preserve"> </w:t>
      </w:r>
      <w:r w:rsidR="003B2D0A" w:rsidRPr="00382917">
        <w:t>lovingly</w:t>
      </w:r>
      <w:r w:rsidR="00EE4FC3">
        <w:t xml:space="preserve"> </w:t>
      </w:r>
      <w:r w:rsidR="003B2D0A" w:rsidRPr="00382917">
        <w:t>in</w:t>
      </w:r>
      <w:r w:rsidR="00EE4FC3">
        <w:t xml:space="preserve"> </w:t>
      </w:r>
      <w:r w:rsidR="003B2D0A" w:rsidRPr="00382917">
        <w:t>His</w:t>
      </w:r>
      <w:r w:rsidR="00EE4FC3">
        <w:t xml:space="preserve"> </w:t>
      </w:r>
      <w:r w:rsidR="003B2D0A" w:rsidRPr="00382917">
        <w:t>arms,</w:t>
      </w:r>
      <w:r w:rsidR="00EE4FC3">
        <w:t xml:space="preserve"> </w:t>
      </w:r>
      <w:r w:rsidR="003B2D0A" w:rsidRPr="00382917">
        <w:t>kissed</w:t>
      </w:r>
      <w:r w:rsidR="00EE4FC3">
        <w:t xml:space="preserve"> </w:t>
      </w:r>
      <w:r w:rsidR="003B2D0A" w:rsidRPr="00382917">
        <w:t>his</w:t>
      </w:r>
      <w:r w:rsidR="00EE4FC3">
        <w:t xml:space="preserve"> </w:t>
      </w:r>
      <w:r w:rsidR="003B2D0A" w:rsidRPr="00382917">
        <w:t>forehead,</w:t>
      </w:r>
      <w:r w:rsidR="00EE4FC3">
        <w:t xml:space="preserve"> </w:t>
      </w:r>
      <w:r w:rsidR="003B2D0A" w:rsidRPr="00382917">
        <w:t>and</w:t>
      </w:r>
      <w:r w:rsidR="00EE4FC3">
        <w:t xml:space="preserve"> </w:t>
      </w:r>
      <w:r w:rsidR="003B2D0A" w:rsidRPr="00382917">
        <w:t>invited</w:t>
      </w:r>
      <w:r w:rsidR="00EE4FC3">
        <w:t xml:space="preserve"> </w:t>
      </w:r>
      <w:r w:rsidR="003B2D0A" w:rsidRPr="00382917">
        <w:t>him</w:t>
      </w:r>
      <w:r w:rsidR="00EE4FC3">
        <w:t xml:space="preserve"> </w:t>
      </w:r>
      <w:r w:rsidR="003B2D0A" w:rsidRPr="00382917">
        <w:t>to</w:t>
      </w:r>
      <w:r w:rsidR="00EE4FC3">
        <w:t xml:space="preserve"> </w:t>
      </w:r>
      <w:r w:rsidR="003B2D0A" w:rsidRPr="00382917">
        <w:t>be</w:t>
      </w:r>
      <w:r w:rsidR="00EE4FC3">
        <w:t xml:space="preserve"> </w:t>
      </w:r>
      <w:r w:rsidR="003B2D0A" w:rsidRPr="00382917">
        <w:t>seated</w:t>
      </w:r>
      <w:r w:rsidR="00EE4FC3">
        <w:t xml:space="preserve"> </w:t>
      </w:r>
      <w:r w:rsidR="003B2D0A" w:rsidRPr="00382917">
        <w:t>by</w:t>
      </w:r>
      <w:r w:rsidR="00EE4FC3">
        <w:t xml:space="preserve"> </w:t>
      </w:r>
      <w:r w:rsidR="003B2D0A" w:rsidRPr="00382917">
        <w:t>His</w:t>
      </w:r>
      <w:r w:rsidR="00EE4FC3">
        <w:t xml:space="preserve"> </w:t>
      </w:r>
      <w:r w:rsidR="003B2D0A" w:rsidRPr="00382917">
        <w:t>side</w:t>
      </w:r>
      <w:r w:rsidR="00C03C91">
        <w:t>.</w:t>
      </w:r>
      <w:r w:rsidR="00EE4FC3">
        <w:t xml:space="preserve">  </w:t>
      </w:r>
      <w:r w:rsidR="003B2D0A" w:rsidRPr="00382917">
        <w:t>In</w:t>
      </w:r>
      <w:r w:rsidR="00EE4FC3">
        <w:t xml:space="preserve"> </w:t>
      </w:r>
      <w:r w:rsidR="003B2D0A" w:rsidRPr="00382917">
        <w:t>a</w:t>
      </w:r>
      <w:r w:rsidR="00EE4FC3">
        <w:t xml:space="preserve"> </w:t>
      </w:r>
      <w:r w:rsidR="003B2D0A" w:rsidRPr="00382917">
        <w:t>tone</w:t>
      </w:r>
      <w:r w:rsidR="00EE4FC3">
        <w:t xml:space="preserve"> </w:t>
      </w:r>
      <w:r w:rsidR="003B2D0A" w:rsidRPr="00382917">
        <w:t>of</w:t>
      </w:r>
      <w:r w:rsidR="00EE4FC3">
        <w:t xml:space="preserve"> </w:t>
      </w:r>
      <w:r w:rsidR="003B2D0A" w:rsidRPr="00382917">
        <w:t>tender</w:t>
      </w:r>
      <w:r w:rsidR="00EE4FC3">
        <w:t xml:space="preserve"> </w:t>
      </w:r>
      <w:r w:rsidR="003B2D0A" w:rsidRPr="00382917">
        <w:t>affection,</w:t>
      </w:r>
      <w:r w:rsidR="00EE4FC3">
        <w:t xml:space="preserve"> </w:t>
      </w:r>
      <w:r w:rsidR="003B2D0A" w:rsidRPr="00382917">
        <w:t>He</w:t>
      </w:r>
      <w:r w:rsidR="00EE4FC3">
        <w:t xml:space="preserve"> </w:t>
      </w:r>
      <w:r w:rsidR="003B2D0A" w:rsidRPr="00382917">
        <w:t>succeeded</w:t>
      </w:r>
      <w:r w:rsidR="00EE4FC3">
        <w:t xml:space="preserve"> </w:t>
      </w:r>
      <w:r w:rsidR="003B2D0A" w:rsidRPr="00382917">
        <w:t>in</w:t>
      </w:r>
      <w:r w:rsidR="00EE4FC3">
        <w:t xml:space="preserve"> </w:t>
      </w:r>
      <w:r w:rsidR="003B2D0A" w:rsidRPr="00382917">
        <w:t>appeasing</w:t>
      </w:r>
      <w:r w:rsidR="00EE4FC3">
        <w:t xml:space="preserve"> </w:t>
      </w:r>
      <w:r w:rsidR="003B2D0A" w:rsidRPr="00382917">
        <w:t>the</w:t>
      </w:r>
      <w:r w:rsidR="00EE4FC3">
        <w:t xml:space="preserve"> </w:t>
      </w:r>
      <w:r w:rsidR="003B2D0A" w:rsidRPr="00382917">
        <w:t>tumult</w:t>
      </w:r>
      <w:r w:rsidR="00EE4FC3">
        <w:t xml:space="preserve"> </w:t>
      </w:r>
      <w:r w:rsidR="003B2D0A" w:rsidRPr="00382917">
        <w:t>of</w:t>
      </w:r>
      <w:r w:rsidR="00EE4FC3">
        <w:t xml:space="preserve"> </w:t>
      </w:r>
      <w:r w:rsidR="003B2D0A" w:rsidRPr="00382917">
        <w:t>his</w:t>
      </w:r>
      <w:r w:rsidR="00EE4FC3">
        <w:t xml:space="preserve"> </w:t>
      </w:r>
      <w:r w:rsidR="003B2D0A" w:rsidRPr="00382917">
        <w:t>heart.</w:t>
      </w:r>
      <w:r w:rsidR="00ED2737">
        <w:rPr>
          <w:rStyle w:val="FootnoteReference"/>
        </w:rPr>
        <w:footnoteReference w:id="33"/>
      </w:r>
    </w:p>
    <w:p w:rsidR="003B2D0A" w:rsidRPr="00382917" w:rsidRDefault="003B2D0A" w:rsidP="003B2D0A">
      <w:pPr>
        <w:pStyle w:val="Text"/>
      </w:pPr>
      <w:r w:rsidRPr="00382917">
        <w:t>In</w:t>
      </w:r>
      <w:r w:rsidR="00EE4FC3">
        <w:t xml:space="preserve"> </w:t>
      </w:r>
      <w:r w:rsidRPr="00382917">
        <w:t>spite</w:t>
      </w:r>
      <w:r w:rsidR="00EE4FC3">
        <w:t xml:space="preserve"> </w:t>
      </w:r>
      <w:r w:rsidRPr="00382917">
        <w:t>of</w:t>
      </w:r>
      <w:r w:rsidR="00EE4FC3">
        <w:t xml:space="preserve"> </w:t>
      </w:r>
      <w:r w:rsidR="00964C11" w:rsidRPr="00382917">
        <w:t>Ḥusayn</w:t>
      </w:r>
      <w:r w:rsidR="00EE4FC3">
        <w:t xml:space="preserve"> </w:t>
      </w:r>
      <w:proofErr w:type="spellStart"/>
      <w:r w:rsidR="0040329F" w:rsidRPr="0040329F">
        <w:rPr>
          <w:u w:val="single"/>
        </w:rPr>
        <w:t>Kh</w:t>
      </w:r>
      <w:r w:rsidR="0040329F" w:rsidRPr="00382917">
        <w:t>án</w:t>
      </w:r>
      <w:r w:rsidR="009C713D" w:rsidRPr="00382917">
        <w:t>’</w:t>
      </w:r>
      <w:r w:rsidRPr="00382917">
        <w:t>s</w:t>
      </w:r>
      <w:proofErr w:type="spellEnd"/>
      <w:r w:rsidR="00EE4FC3">
        <w:t xml:space="preserve"> </w:t>
      </w:r>
      <w:r w:rsidRPr="00382917">
        <w:t>close</w:t>
      </w:r>
      <w:r w:rsidR="00EE4FC3">
        <w:t xml:space="preserve"> </w:t>
      </w:r>
      <w:r w:rsidRPr="00382917">
        <w:t>supervision,</w:t>
      </w:r>
      <w:r w:rsidR="00EE4FC3">
        <w:t xml:space="preserve"> </w:t>
      </w:r>
      <w:r w:rsidRPr="00382917">
        <w:t>many</w:t>
      </w:r>
      <w:r w:rsidR="00EE4FC3">
        <w:t xml:space="preserve"> </w:t>
      </w:r>
      <w:r w:rsidRPr="00382917">
        <w:t>such</w:t>
      </w:r>
      <w:r w:rsidR="00EE4FC3">
        <w:t xml:space="preserve"> </w:t>
      </w:r>
      <w:r w:rsidRPr="00382917">
        <w:t>great</w:t>
      </w:r>
      <w:r w:rsidR="00EE4FC3">
        <w:t xml:space="preserve"> </w:t>
      </w:r>
      <w:r w:rsidRPr="00382917">
        <w:t>figures</w:t>
      </w:r>
      <w:r w:rsidR="00EE4FC3">
        <w:t xml:space="preserve"> </w:t>
      </w:r>
      <w:r w:rsidRPr="00382917">
        <w:t>came</w:t>
      </w:r>
      <w:r w:rsidR="00EE4FC3">
        <w:t xml:space="preserve"> </w:t>
      </w:r>
      <w:r w:rsidRPr="00382917">
        <w:t>to</w:t>
      </w:r>
      <w:r w:rsidR="00EE4FC3">
        <w:t xml:space="preserve"> </w:t>
      </w:r>
      <w:r w:rsidRPr="00382917">
        <w:t>visit</w:t>
      </w:r>
      <w:r w:rsidR="00EE4FC3">
        <w:t xml:space="preserve"> </w:t>
      </w:r>
      <w:r w:rsidRPr="00382917">
        <w:t>the</w:t>
      </w:r>
      <w:r w:rsidR="00EE4FC3">
        <w:t xml:space="preserve"> </w:t>
      </w:r>
      <w:r w:rsidRPr="00382917">
        <w:t>Báb</w:t>
      </w:r>
      <w:r w:rsidR="00C03C91">
        <w:t>.</w:t>
      </w:r>
      <w:r w:rsidR="00EE4FC3">
        <w:t xml:space="preserve">  </w:t>
      </w:r>
      <w:proofErr w:type="gramStart"/>
      <w:r w:rsidRPr="00382917">
        <w:t>Stories</w:t>
      </w:r>
      <w:r w:rsidR="00EE4FC3">
        <w:t xml:space="preserve"> </w:t>
      </w:r>
      <w:r w:rsidRPr="00382917">
        <w:t>of</w:t>
      </w:r>
      <w:r w:rsidR="00EE4FC3">
        <w:t xml:space="preserve"> </w:t>
      </w:r>
      <w:r w:rsidRPr="00382917">
        <w:t>conversions</w:t>
      </w:r>
      <w:r w:rsidR="00EE4FC3">
        <w:t xml:space="preserve"> </w:t>
      </w:r>
      <w:r w:rsidRPr="00382917">
        <w:t>similar</w:t>
      </w:r>
      <w:r w:rsidR="00EE4FC3">
        <w:t xml:space="preserve"> </w:t>
      </w:r>
      <w:r w:rsidRPr="00382917">
        <w:t>to</w:t>
      </w:r>
      <w:r w:rsidR="00EE4FC3">
        <w:t xml:space="preserve"> </w:t>
      </w:r>
      <w:r w:rsidRPr="00382917">
        <w:t>that</w:t>
      </w:r>
      <w:r w:rsidR="00EE4FC3">
        <w:t xml:space="preserve"> </w:t>
      </w:r>
      <w:r w:rsidRPr="00382917">
        <w:t>of</w:t>
      </w:r>
      <w:r w:rsidR="00EE4FC3">
        <w:t xml:space="preserve"> </w:t>
      </w:r>
      <w:r w:rsidR="009C713D" w:rsidRPr="00382917">
        <w:t>‘</w:t>
      </w:r>
      <w:r w:rsidRPr="00382917">
        <w:t>Abdu</w:t>
      </w:r>
      <w:r w:rsidR="009C713D" w:rsidRPr="00382917">
        <w:t>’</w:t>
      </w:r>
      <w:r w:rsidRPr="00382917">
        <w:t>l-Karím</w:t>
      </w:r>
      <w:r w:rsidR="00EE4FC3">
        <w:t xml:space="preserve"> </w:t>
      </w:r>
      <w:r w:rsidRPr="00382917">
        <w:t>caused</w:t>
      </w:r>
      <w:r w:rsidR="00EE4FC3">
        <w:t xml:space="preserve"> </w:t>
      </w:r>
      <w:r w:rsidRPr="00382917">
        <w:t>great</w:t>
      </w:r>
      <w:r w:rsidR="00EE4FC3">
        <w:t xml:space="preserve"> </w:t>
      </w:r>
      <w:r w:rsidRPr="00382917">
        <w:t>excitement</w:t>
      </w:r>
      <w:r w:rsidR="00EE4FC3">
        <w:t xml:space="preserve"> </w:t>
      </w:r>
      <w:r w:rsidRPr="00382917">
        <w:t>in</w:t>
      </w:r>
      <w:r w:rsidR="00EE4FC3">
        <w:t xml:space="preserve"> </w:t>
      </w:r>
      <w:r w:rsidR="008A073E" w:rsidRPr="00382917">
        <w:rPr>
          <w:u w:val="single"/>
        </w:rPr>
        <w:t>Sh</w:t>
      </w:r>
      <w:r w:rsidR="008A073E" w:rsidRPr="00382917">
        <w:t>íráz</w:t>
      </w:r>
      <w:r w:rsidR="00C03C91">
        <w:t>.</w:t>
      </w:r>
      <w:proofErr w:type="gramEnd"/>
      <w:r w:rsidR="00EE4FC3">
        <w:t xml:space="preserve">  </w:t>
      </w:r>
      <w:r w:rsidRPr="00382917">
        <w:t>Both</w:t>
      </w:r>
      <w:r w:rsidR="00EE4FC3">
        <w:t xml:space="preserve"> </w:t>
      </w:r>
      <w:r w:rsidRPr="00382917">
        <w:t>the</w:t>
      </w:r>
      <w:r w:rsidR="00EE4FC3">
        <w:t xml:space="preserve"> </w:t>
      </w:r>
      <w:r w:rsidRPr="00382917">
        <w:t>famous</w:t>
      </w:r>
      <w:r w:rsidR="00EE4FC3">
        <w:t xml:space="preserve"> </w:t>
      </w:r>
      <w:r w:rsidRPr="00382917">
        <w:t>and</w:t>
      </w:r>
      <w:r w:rsidR="00EE4FC3">
        <w:t xml:space="preserve"> </w:t>
      </w:r>
      <w:r w:rsidRPr="00382917">
        <w:t>the</w:t>
      </w:r>
      <w:r w:rsidR="00EE4FC3">
        <w:t xml:space="preserve"> </w:t>
      </w:r>
      <w:r w:rsidRPr="00382917">
        <w:t>lowly</w:t>
      </w:r>
      <w:r w:rsidR="00EE4FC3">
        <w:t xml:space="preserve"> </w:t>
      </w:r>
      <w:r w:rsidRPr="00382917">
        <w:t>were</w:t>
      </w:r>
      <w:r w:rsidR="00EE4FC3">
        <w:t xml:space="preserve"> </w:t>
      </w:r>
      <w:r w:rsidRPr="00382917">
        <w:t>willing</w:t>
      </w:r>
      <w:r w:rsidR="00EE4FC3">
        <w:t xml:space="preserve"> </w:t>
      </w:r>
      <w:r w:rsidRPr="00382917">
        <w:t>to</w:t>
      </w:r>
      <w:r w:rsidR="00EE4FC3">
        <w:t xml:space="preserve"> </w:t>
      </w:r>
      <w:r w:rsidRPr="00382917">
        <w:t>take</w:t>
      </w:r>
      <w:r w:rsidR="00EE4FC3">
        <w:t xml:space="preserve"> </w:t>
      </w:r>
      <w:r w:rsidRPr="00382917">
        <w:t>whatever</w:t>
      </w:r>
      <w:r w:rsidR="00EE4FC3">
        <w:t xml:space="preserve"> </w:t>
      </w:r>
      <w:r w:rsidRPr="00382917">
        <w:t>risk</w:t>
      </w:r>
      <w:r w:rsidR="00EE4FC3">
        <w:t xml:space="preserve"> </w:t>
      </w:r>
      <w:r w:rsidRPr="00382917">
        <w:t>was</w:t>
      </w:r>
      <w:r w:rsidR="00EE4FC3">
        <w:t xml:space="preserve"> </w:t>
      </w:r>
      <w:r w:rsidRPr="00382917">
        <w:t>necessary</w:t>
      </w:r>
      <w:r w:rsidR="00EE4FC3">
        <w:t xml:space="preserve"> </w:t>
      </w:r>
      <w:r w:rsidRPr="00382917">
        <w:t>to</w:t>
      </w:r>
      <w:r w:rsidR="00EE4FC3">
        <w:t xml:space="preserve"> </w:t>
      </w:r>
      <w:r w:rsidRPr="00382917">
        <w:t>gain</w:t>
      </w:r>
      <w:r w:rsidR="00EE4FC3">
        <w:t xml:space="preserve"> </w:t>
      </w:r>
      <w:r w:rsidRPr="00382917">
        <w:t>His</w:t>
      </w:r>
      <w:r w:rsidR="00EE4FC3">
        <w:t xml:space="preserve"> </w:t>
      </w:r>
      <w:r w:rsidRPr="00382917">
        <w:t>presence</w:t>
      </w:r>
      <w:r w:rsidR="00C03C91">
        <w:t>.</w:t>
      </w:r>
      <w:r w:rsidR="00EE4FC3">
        <w:t xml:space="preserve">  </w:t>
      </w:r>
      <w:r w:rsidRPr="00382917">
        <w:t>People</w:t>
      </w:r>
      <w:r w:rsidR="00EE4FC3">
        <w:t xml:space="preserve"> </w:t>
      </w:r>
      <w:r w:rsidRPr="00382917">
        <w:t>met</w:t>
      </w:r>
      <w:r w:rsidR="00EE4FC3">
        <w:t xml:space="preserve"> </w:t>
      </w:r>
      <w:r w:rsidRPr="00382917">
        <w:t>in</w:t>
      </w:r>
      <w:r w:rsidR="00EE4FC3">
        <w:t xml:space="preserve"> </w:t>
      </w:r>
      <w:r w:rsidRPr="00382917">
        <w:t>groups</w:t>
      </w:r>
      <w:r w:rsidR="00EE4FC3">
        <w:t xml:space="preserve"> </w:t>
      </w:r>
      <w:r w:rsidRPr="00382917">
        <w:t>on</w:t>
      </w:r>
      <w:r w:rsidR="00EE4FC3">
        <w:t xml:space="preserve"> </w:t>
      </w:r>
      <w:r w:rsidRPr="00382917">
        <w:t>the</w:t>
      </w:r>
      <w:r w:rsidR="00EE4FC3">
        <w:t xml:space="preserve"> </w:t>
      </w:r>
      <w:r w:rsidRPr="00382917">
        <w:t>street</w:t>
      </w:r>
      <w:r w:rsidR="00EE4FC3">
        <w:t xml:space="preserve"> </w:t>
      </w:r>
      <w:r w:rsidRPr="00382917">
        <w:t>to</w:t>
      </w:r>
      <w:r w:rsidR="00EE4FC3">
        <w:t xml:space="preserve"> </w:t>
      </w:r>
      <w:r w:rsidRPr="00382917">
        <w:t>discuss</w:t>
      </w:r>
      <w:r w:rsidR="00EE4FC3">
        <w:t xml:space="preserve"> </w:t>
      </w:r>
      <w:r w:rsidRPr="00382917">
        <w:t>Him,</w:t>
      </w:r>
      <w:r w:rsidR="00EE4FC3">
        <w:t xml:space="preserve"> </w:t>
      </w:r>
      <w:r w:rsidRPr="00382917">
        <w:t>some</w:t>
      </w:r>
      <w:r w:rsidR="00EE4FC3">
        <w:t xml:space="preserve"> </w:t>
      </w:r>
      <w:r w:rsidRPr="00382917">
        <w:t>blaming,</w:t>
      </w:r>
      <w:r w:rsidR="00EE4FC3">
        <w:t xml:space="preserve"> </w:t>
      </w:r>
      <w:proofErr w:type="gramStart"/>
      <w:r w:rsidRPr="00382917">
        <w:t>some</w:t>
      </w:r>
      <w:proofErr w:type="gramEnd"/>
      <w:r w:rsidR="00EE4FC3">
        <w:t xml:space="preserve"> </w:t>
      </w:r>
      <w:r w:rsidRPr="00382917">
        <w:t>approving.</w:t>
      </w:r>
    </w:p>
    <w:p w:rsidR="003B2D0A" w:rsidRPr="00382917" w:rsidRDefault="00964C11" w:rsidP="003B2D0A">
      <w:pPr>
        <w:pStyle w:val="Text"/>
      </w:pPr>
      <w:r w:rsidRPr="00382917">
        <w:t>Ḥusayn</w:t>
      </w:r>
      <w:r w:rsidR="00EE4FC3">
        <w:t xml:space="preserve"> </w:t>
      </w:r>
      <w:r w:rsidR="0040329F" w:rsidRPr="0040329F">
        <w:rPr>
          <w:u w:val="single"/>
        </w:rPr>
        <w:t>Kh</w:t>
      </w:r>
      <w:r w:rsidR="0040329F" w:rsidRPr="00382917">
        <w:t>án</w:t>
      </w:r>
      <w:r w:rsidR="00EE4FC3">
        <w:t xml:space="preserve"> </w:t>
      </w:r>
      <w:r w:rsidR="003B2D0A" w:rsidRPr="00382917">
        <w:t>was</w:t>
      </w:r>
      <w:r w:rsidR="00EE4FC3">
        <w:t xml:space="preserve"> </w:t>
      </w:r>
      <w:r w:rsidR="003B2D0A" w:rsidRPr="00382917">
        <w:t>infuriated</w:t>
      </w:r>
      <w:r w:rsidR="00EE4FC3">
        <w:t xml:space="preserve"> </w:t>
      </w:r>
      <w:r w:rsidR="003B2D0A" w:rsidRPr="00382917">
        <w:t>at</w:t>
      </w:r>
      <w:r w:rsidR="00EE4FC3">
        <w:t xml:space="preserve"> </w:t>
      </w:r>
      <w:r w:rsidR="003B2D0A" w:rsidRPr="00382917">
        <w:t>his</w:t>
      </w:r>
      <w:r w:rsidR="00EE4FC3">
        <w:t xml:space="preserve"> </w:t>
      </w:r>
      <w:r w:rsidR="003B2D0A" w:rsidRPr="00382917">
        <w:t>helplessness</w:t>
      </w:r>
      <w:r w:rsidR="00EE4FC3">
        <w:t xml:space="preserve"> </w:t>
      </w:r>
      <w:r w:rsidR="003B2D0A" w:rsidRPr="00382917">
        <w:t>and</w:t>
      </w:r>
      <w:r w:rsidR="00EE4FC3">
        <w:t xml:space="preserve"> </w:t>
      </w:r>
      <w:r w:rsidR="003B2D0A" w:rsidRPr="00382917">
        <w:t>inability</w:t>
      </w:r>
      <w:r w:rsidR="00EE4FC3">
        <w:t xml:space="preserve"> </w:t>
      </w:r>
      <w:r w:rsidR="003B2D0A" w:rsidRPr="00382917">
        <w:t>to</w:t>
      </w:r>
      <w:r w:rsidR="00EE4FC3">
        <w:t xml:space="preserve"> </w:t>
      </w:r>
      <w:r w:rsidR="003B2D0A" w:rsidRPr="00382917">
        <w:t>stem</w:t>
      </w:r>
      <w:r w:rsidR="00EE4FC3">
        <w:t xml:space="preserve"> </w:t>
      </w:r>
      <w:r w:rsidR="003B2D0A" w:rsidRPr="00382917">
        <w:t>the</w:t>
      </w:r>
      <w:r w:rsidR="00EE4FC3">
        <w:t xml:space="preserve"> </w:t>
      </w:r>
      <w:r w:rsidR="003B2D0A" w:rsidRPr="00382917">
        <w:t>flow</w:t>
      </w:r>
      <w:r w:rsidR="00EE4FC3">
        <w:t xml:space="preserve"> </w:t>
      </w:r>
      <w:r w:rsidR="003B2D0A" w:rsidRPr="00382917">
        <w:t>of</w:t>
      </w:r>
      <w:r w:rsidR="00EE4FC3">
        <w:t xml:space="preserve"> </w:t>
      </w:r>
      <w:r w:rsidR="003B2D0A" w:rsidRPr="00382917">
        <w:t>the</w:t>
      </w:r>
      <w:r w:rsidR="00EE4FC3">
        <w:t xml:space="preserve"> </w:t>
      </w:r>
      <w:r w:rsidR="003B2D0A" w:rsidRPr="00382917">
        <w:t>Báb</w:t>
      </w:r>
      <w:r w:rsidR="009C713D" w:rsidRPr="00382917">
        <w:t>’</w:t>
      </w:r>
      <w:r w:rsidR="003B2D0A" w:rsidRPr="00382917">
        <w:t>s</w:t>
      </w:r>
      <w:r w:rsidR="00EE4FC3">
        <w:t xml:space="preserve"> </w:t>
      </w:r>
      <w:r w:rsidR="003B2D0A" w:rsidRPr="00382917">
        <w:t>rising</w:t>
      </w:r>
      <w:r w:rsidR="00EE4FC3">
        <w:t xml:space="preserve"> </w:t>
      </w:r>
      <w:r w:rsidR="003B2D0A" w:rsidRPr="00382917">
        <w:t>popularity.</w:t>
      </w:r>
    </w:p>
    <w:p w:rsidR="003B2D0A" w:rsidRPr="00382917" w:rsidRDefault="003B2D0A" w:rsidP="003B2D0A"/>
    <w:p w:rsidR="003B2D0A" w:rsidRPr="00382917" w:rsidRDefault="003B2D0A" w:rsidP="003B2D0A">
      <w:pPr>
        <w:sectPr w:rsidR="003B2D0A" w:rsidRPr="00382917" w:rsidSect="009073C7">
          <w:footnotePr>
            <w:numRestart w:val="eachPage"/>
          </w:footnotePr>
          <w:type w:val="evenPage"/>
          <w:pgSz w:w="8618" w:h="12984" w:code="188"/>
          <w:pgMar w:top="720" w:right="720" w:bottom="720" w:left="720" w:header="720" w:footer="567" w:gutter="357"/>
          <w:cols w:space="708"/>
          <w:noEndnote/>
          <w:titlePg/>
          <w:docGrid w:linePitch="272"/>
        </w:sectPr>
      </w:pPr>
    </w:p>
    <w:p w:rsidR="003B2D0A" w:rsidRPr="00382917" w:rsidRDefault="00417538" w:rsidP="00417538">
      <w:r w:rsidRPr="00382917">
        <w:rPr>
          <w:sz w:val="12"/>
          <w:szCs w:val="12"/>
        </w:rPr>
        <w:fldChar w:fldCharType="begin"/>
      </w:r>
      <w:r w:rsidR="00EE4FC3">
        <w:rPr>
          <w:sz w:val="12"/>
          <w:szCs w:val="12"/>
        </w:rPr>
        <w:instrText xml:space="preserve"> </w:instrText>
      </w:r>
      <w:proofErr w:type="gramStart"/>
      <w:r w:rsidRPr="00382917">
        <w:rPr>
          <w:sz w:val="12"/>
          <w:szCs w:val="12"/>
        </w:rPr>
        <w:instrText>TC</w:instrText>
      </w:r>
      <w:r w:rsidR="00EE4FC3">
        <w:rPr>
          <w:sz w:val="12"/>
          <w:szCs w:val="12"/>
        </w:rPr>
        <w:instrText xml:space="preserve">  </w:instrText>
      </w:r>
      <w:r w:rsidRPr="00382917">
        <w:rPr>
          <w:sz w:val="12"/>
          <w:szCs w:val="12"/>
        </w:rPr>
        <w:instrText>“</w:instrText>
      </w:r>
      <w:bookmarkStart w:id="9" w:name="_Toc206658605"/>
      <w:proofErr w:type="gramEnd"/>
      <w:r>
        <w:rPr>
          <w:sz w:val="12"/>
          <w:szCs w:val="12"/>
        </w:rPr>
        <w:tab/>
        <w:instrText>7.</w:instrText>
      </w:r>
      <w:r>
        <w:rPr>
          <w:sz w:val="12"/>
          <w:szCs w:val="12"/>
        </w:rPr>
        <w:tab/>
      </w:r>
      <w:r w:rsidRPr="00417538">
        <w:rPr>
          <w:sz w:val="12"/>
          <w:szCs w:val="12"/>
        </w:rPr>
        <w:instrText>The</w:instrText>
      </w:r>
      <w:r w:rsidR="00EE4FC3">
        <w:rPr>
          <w:sz w:val="12"/>
          <w:szCs w:val="12"/>
        </w:rPr>
        <w:instrText xml:space="preserve"> </w:instrText>
      </w:r>
      <w:r w:rsidRPr="00417538">
        <w:rPr>
          <w:sz w:val="12"/>
          <w:szCs w:val="12"/>
        </w:rPr>
        <w:instrText>enchantment</w:instrText>
      </w:r>
      <w:r w:rsidR="00EE4FC3">
        <w:rPr>
          <w:sz w:val="12"/>
          <w:szCs w:val="12"/>
        </w:rPr>
        <w:instrText xml:space="preserve"> </w:instrText>
      </w:r>
      <w:r w:rsidRPr="00417538">
        <w:rPr>
          <w:sz w:val="12"/>
          <w:szCs w:val="12"/>
        </w:rPr>
        <w:instrText>of</w:instrText>
      </w:r>
      <w:r w:rsidR="00EE4FC3">
        <w:rPr>
          <w:sz w:val="12"/>
          <w:szCs w:val="12"/>
        </w:rPr>
        <w:instrText xml:space="preserve"> </w:instrText>
      </w:r>
      <w:r w:rsidRPr="00417538">
        <w:rPr>
          <w:sz w:val="12"/>
          <w:szCs w:val="12"/>
        </w:rPr>
        <w:instrText>the</w:instrText>
      </w:r>
      <w:r w:rsidR="00EE4FC3">
        <w:rPr>
          <w:sz w:val="12"/>
          <w:szCs w:val="12"/>
        </w:rPr>
        <w:instrText xml:space="preserve"> </w:instrText>
      </w:r>
      <w:r w:rsidRPr="00417538">
        <w:rPr>
          <w:sz w:val="12"/>
          <w:szCs w:val="12"/>
        </w:rPr>
        <w:instrText>King’s</w:instrText>
      </w:r>
      <w:r w:rsidR="00EE4FC3">
        <w:rPr>
          <w:sz w:val="12"/>
          <w:szCs w:val="12"/>
        </w:rPr>
        <w:instrText xml:space="preserve"> </w:instrText>
      </w:r>
      <w:r w:rsidRPr="00417538">
        <w:rPr>
          <w:sz w:val="12"/>
          <w:szCs w:val="12"/>
        </w:rPr>
        <w:instrText>messenger</w:instrText>
      </w:r>
      <w:proofErr w:type="gramStart"/>
      <w:r w:rsidRPr="00382917">
        <w:rPr>
          <w:color w:val="FFFFFF" w:themeColor="background1"/>
          <w:sz w:val="12"/>
          <w:szCs w:val="12"/>
        </w:rPr>
        <w:instrText>..</w:instrText>
      </w:r>
      <w:proofErr w:type="gramEnd"/>
      <w:r w:rsidRPr="00382917">
        <w:rPr>
          <w:sz w:val="12"/>
          <w:szCs w:val="12"/>
        </w:rPr>
        <w:tab/>
      </w:r>
      <w:r w:rsidRPr="00382917">
        <w:rPr>
          <w:color w:val="FFFFFF" w:themeColor="background1"/>
          <w:sz w:val="12"/>
          <w:szCs w:val="12"/>
        </w:rPr>
        <w:instrText>.</w:instrText>
      </w:r>
      <w:bookmarkEnd w:id="9"/>
      <w:proofErr w:type="gramStart"/>
      <w:r w:rsidRPr="00382917">
        <w:rPr>
          <w:sz w:val="12"/>
          <w:szCs w:val="12"/>
        </w:rPr>
        <w:instrText>”</w:instrText>
      </w:r>
      <w:r w:rsidR="00EE4FC3">
        <w:rPr>
          <w:sz w:val="12"/>
          <w:szCs w:val="12"/>
        </w:rPr>
        <w:instrText xml:space="preserve"> </w:instrText>
      </w:r>
      <w:proofErr w:type="gramEnd"/>
      <w:r w:rsidRPr="00382917">
        <w:rPr>
          <w:sz w:val="12"/>
          <w:szCs w:val="12"/>
        </w:rPr>
        <w:instrText>\l</w:instrText>
      </w:r>
      <w:r w:rsidR="00EE4FC3">
        <w:rPr>
          <w:sz w:val="12"/>
          <w:szCs w:val="12"/>
        </w:rPr>
        <w:instrText xml:space="preserve"> </w:instrText>
      </w:r>
      <w:r w:rsidRPr="00382917">
        <w:rPr>
          <w:sz w:val="12"/>
          <w:szCs w:val="12"/>
        </w:rPr>
        <w:instrText>1</w:instrText>
      </w:r>
      <w:r w:rsidR="00EE4FC3">
        <w:rPr>
          <w:sz w:val="12"/>
          <w:szCs w:val="12"/>
        </w:rPr>
        <w:instrText xml:space="preserve"> </w:instrText>
      </w:r>
      <w:r w:rsidRPr="00382917">
        <w:rPr>
          <w:sz w:val="12"/>
          <w:szCs w:val="12"/>
        </w:rPr>
        <w:fldChar w:fldCharType="end"/>
      </w:r>
    </w:p>
    <w:p w:rsidR="003B2D0A" w:rsidRPr="00382917" w:rsidRDefault="003B2D0A" w:rsidP="003B2D0A"/>
    <w:p w:rsidR="003B2D0A" w:rsidRPr="00382917" w:rsidRDefault="003B2D0A" w:rsidP="00417538">
      <w:pPr>
        <w:pStyle w:val="Myheadc"/>
      </w:pPr>
      <w:r w:rsidRPr="00382917">
        <w:t>7</w:t>
      </w:r>
      <w:r w:rsidR="00417538">
        <w:br/>
      </w:r>
      <w:r w:rsidRPr="00382917">
        <w:rPr>
          <w:noProof/>
          <w:lang w:val="en-AU" w:eastAsia="en-AU"/>
          <w14:numForm w14:val="default"/>
          <w14:numSpacing w14:val="default"/>
        </w:rPr>
        <w:drawing>
          <wp:inline distT="0" distB="0" distL="0" distR="0" wp14:anchorId="67A8A016" wp14:editId="4B125950">
            <wp:extent cx="396000" cy="392400"/>
            <wp:effectExtent l="0" t="0" r="4445" b="825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p.emf"/>
                    <pic:cNvPicPr/>
                  </pic:nvPicPr>
                  <pic:blipFill>
                    <a:blip r:embed="rId17">
                      <a:extLst>
                        <a:ext uri="{28A0092B-C50C-407E-A947-70E740481C1C}">
                          <a14:useLocalDpi xmlns:a14="http://schemas.microsoft.com/office/drawing/2010/main" val="0"/>
                        </a:ext>
                      </a:extLst>
                    </a:blip>
                    <a:stretch>
                      <a:fillRect/>
                    </a:stretch>
                  </pic:blipFill>
                  <pic:spPr>
                    <a:xfrm>
                      <a:off x="0" y="0"/>
                      <a:ext cx="396000" cy="392400"/>
                    </a:xfrm>
                    <a:prstGeom prst="rect">
                      <a:avLst/>
                    </a:prstGeom>
                  </pic:spPr>
                </pic:pic>
              </a:graphicData>
            </a:graphic>
          </wp:inline>
        </w:drawing>
      </w:r>
      <w:r w:rsidR="00417538">
        <w:br/>
      </w:r>
      <w:r w:rsidRPr="00382917">
        <w:t>The</w:t>
      </w:r>
      <w:r w:rsidR="00EE4FC3">
        <w:t xml:space="preserve"> </w:t>
      </w:r>
      <w:r w:rsidRPr="00382917">
        <w:t>enchantment</w:t>
      </w:r>
      <w:r w:rsidR="00417538">
        <w:br/>
      </w:r>
      <w:r w:rsidRPr="00382917">
        <w:t>of</w:t>
      </w:r>
      <w:r w:rsidR="00EE4FC3">
        <w:t xml:space="preserve"> </w:t>
      </w:r>
      <w:r w:rsidRPr="00382917">
        <w:t>the</w:t>
      </w:r>
      <w:r w:rsidR="00EE4FC3">
        <w:t xml:space="preserve"> </w:t>
      </w:r>
      <w:r w:rsidRPr="00382917">
        <w:t>King</w:t>
      </w:r>
      <w:r w:rsidR="009C713D" w:rsidRPr="00382917">
        <w:t>’</w:t>
      </w:r>
      <w:r w:rsidRPr="00382917">
        <w:t>s</w:t>
      </w:r>
      <w:r w:rsidR="00EE4FC3">
        <w:t xml:space="preserve"> </w:t>
      </w:r>
      <w:r w:rsidRPr="00382917">
        <w:t>messenger</w:t>
      </w:r>
    </w:p>
    <w:p w:rsidR="003B2D0A" w:rsidRPr="00382917" w:rsidRDefault="003B2D0A" w:rsidP="003B2D0A">
      <w:pPr>
        <w:pStyle w:val="Text"/>
      </w:pPr>
      <w:r w:rsidRPr="00382917">
        <w:t>Mullá</w:t>
      </w:r>
      <w:r w:rsidR="00EE4FC3">
        <w:t xml:space="preserve"> </w:t>
      </w:r>
      <w:r w:rsidR="00964C11" w:rsidRPr="00382917">
        <w:t>Ḥusayn</w:t>
      </w:r>
      <w:r w:rsidR="00EE4FC3">
        <w:t xml:space="preserve"> </w:t>
      </w:r>
      <w:r w:rsidRPr="00382917">
        <w:t>came</w:t>
      </w:r>
      <w:r w:rsidR="00EE4FC3">
        <w:t xml:space="preserve"> </w:t>
      </w:r>
      <w:r w:rsidRPr="00382917">
        <w:t>to</w:t>
      </w:r>
      <w:r w:rsidR="00EE4FC3">
        <w:t xml:space="preserve"> </w:t>
      </w:r>
      <w:r w:rsidRPr="00382917">
        <w:t>visit</w:t>
      </w:r>
      <w:r w:rsidR="00EE4FC3">
        <w:t xml:space="preserve"> </w:t>
      </w:r>
      <w:r w:rsidRPr="00382917">
        <w:t>the</w:t>
      </w:r>
      <w:r w:rsidR="00EE4FC3">
        <w:t xml:space="preserve"> </w:t>
      </w:r>
      <w:r w:rsidRPr="00382917">
        <w:t>Báb</w:t>
      </w:r>
      <w:r w:rsidR="00EE4FC3">
        <w:t xml:space="preserve"> </w:t>
      </w:r>
      <w:r w:rsidRPr="00382917">
        <w:t>in</w:t>
      </w:r>
      <w:r w:rsidR="00EE4FC3">
        <w:t xml:space="preserve"> </w:t>
      </w:r>
      <w:r w:rsidR="008A073E" w:rsidRPr="00382917">
        <w:rPr>
          <w:u w:val="single"/>
        </w:rPr>
        <w:t>Sh</w:t>
      </w:r>
      <w:r w:rsidR="008A073E" w:rsidRPr="00382917">
        <w:t>íráz</w:t>
      </w:r>
      <w:r w:rsidR="00C03C91">
        <w:t>.</w:t>
      </w:r>
      <w:r w:rsidR="00EE4FC3">
        <w:t xml:space="preserve">  </w:t>
      </w:r>
      <w:proofErr w:type="gramStart"/>
      <w:r w:rsidRPr="00382917">
        <w:t>Immediately</w:t>
      </w:r>
      <w:r w:rsidR="00EE4FC3">
        <w:t xml:space="preserve"> </w:t>
      </w:r>
      <w:r w:rsidRPr="00382917">
        <w:t>strong</w:t>
      </w:r>
      <w:r w:rsidR="00EE4FC3">
        <w:t xml:space="preserve"> </w:t>
      </w:r>
      <w:r w:rsidRPr="00382917">
        <w:t>voices</w:t>
      </w:r>
      <w:r w:rsidR="00EE4FC3">
        <w:t xml:space="preserve"> </w:t>
      </w:r>
      <w:r w:rsidRPr="00382917">
        <w:t>were</w:t>
      </w:r>
      <w:r w:rsidR="00EE4FC3">
        <w:t xml:space="preserve"> </w:t>
      </w:r>
      <w:r w:rsidRPr="00382917">
        <w:t>raised</w:t>
      </w:r>
      <w:r w:rsidR="00EE4FC3">
        <w:t xml:space="preserve"> </w:t>
      </w:r>
      <w:r w:rsidRPr="00382917">
        <w:t>against</w:t>
      </w:r>
      <w:r w:rsidR="00EE4FC3">
        <w:t xml:space="preserve"> </w:t>
      </w:r>
      <w:r w:rsidRPr="00382917">
        <w:t>him.</w:t>
      </w:r>
      <w:proofErr w:type="gramEnd"/>
    </w:p>
    <w:p w:rsidR="003B2D0A" w:rsidRPr="00382917" w:rsidRDefault="009C713D" w:rsidP="00C03C91">
      <w:pPr>
        <w:pStyle w:val="Text"/>
      </w:pPr>
      <w:r w:rsidRPr="00382917">
        <w:t>“</w:t>
      </w:r>
      <w:r w:rsidR="003B2D0A" w:rsidRPr="00382917">
        <w:t>Mullá</w:t>
      </w:r>
      <w:r w:rsidR="00EE4FC3">
        <w:t xml:space="preserve"> </w:t>
      </w:r>
      <w:r w:rsidR="00964C11" w:rsidRPr="00382917">
        <w:t>Ḥusayn</w:t>
      </w:r>
      <w:r w:rsidR="00EE4FC3">
        <w:t xml:space="preserve"> </w:t>
      </w:r>
      <w:r w:rsidR="003B2D0A" w:rsidRPr="00382917">
        <w:t>has</w:t>
      </w:r>
      <w:r w:rsidR="00EE4FC3">
        <w:t xml:space="preserve"> </w:t>
      </w:r>
      <w:r w:rsidR="003B2D0A" w:rsidRPr="00382917">
        <w:t>returned</w:t>
      </w:r>
      <w:r w:rsidR="00EE4FC3">
        <w:t xml:space="preserve"> </w:t>
      </w:r>
      <w:r w:rsidR="003B2D0A" w:rsidRPr="00382917">
        <w:t>to</w:t>
      </w:r>
      <w:r w:rsidR="00EE4FC3">
        <w:t xml:space="preserve"> </w:t>
      </w:r>
      <w:r w:rsidR="00BC0CAD" w:rsidRPr="00382917">
        <w:rPr>
          <w:u w:val="single"/>
        </w:rPr>
        <w:t>Sh</w:t>
      </w:r>
      <w:r w:rsidR="00BC0CAD" w:rsidRPr="00382917">
        <w:t>íráz</w:t>
      </w:r>
      <w:r w:rsidR="003B2D0A" w:rsidRPr="00382917">
        <w:t>,</w:t>
      </w:r>
      <w:r w:rsidRPr="00382917">
        <w:t>”</w:t>
      </w:r>
      <w:r w:rsidR="00EE4FC3">
        <w:t xml:space="preserve"> </w:t>
      </w:r>
      <w:r w:rsidR="003B2D0A" w:rsidRPr="00382917">
        <w:t>they</w:t>
      </w:r>
      <w:r w:rsidR="00EE4FC3">
        <w:t xml:space="preserve"> </w:t>
      </w:r>
      <w:r w:rsidR="003B2D0A" w:rsidRPr="00382917">
        <w:t>cried</w:t>
      </w:r>
      <w:r w:rsidR="00EE4FC3">
        <w:t xml:space="preserve"> </w:t>
      </w:r>
      <w:r w:rsidR="003B2D0A" w:rsidRPr="00382917">
        <w:t>to</w:t>
      </w:r>
      <w:r w:rsidR="00EE4FC3">
        <w:t xml:space="preserve"> </w:t>
      </w:r>
      <w:r w:rsidR="003B2D0A" w:rsidRPr="00382917">
        <w:t>the</w:t>
      </w:r>
      <w:r w:rsidR="00EE4FC3">
        <w:t xml:space="preserve"> </w:t>
      </w:r>
      <w:r w:rsidR="003B2D0A" w:rsidRPr="00382917">
        <w:t>authorities</w:t>
      </w:r>
      <w:r w:rsidR="00C03C91">
        <w:t>.</w:t>
      </w:r>
      <w:r w:rsidR="00EE4FC3">
        <w:t xml:space="preserve">  </w:t>
      </w:r>
      <w:r w:rsidRPr="00382917">
        <w:t>“</w:t>
      </w:r>
      <w:r w:rsidR="003B2D0A" w:rsidRPr="00382917">
        <w:t>No</w:t>
      </w:r>
      <w:r w:rsidR="00C03C91">
        <w:t>w</w:t>
      </w:r>
      <w:r w:rsidR="003B2D0A" w:rsidRPr="00382917">
        <w:t>,</w:t>
      </w:r>
      <w:r w:rsidR="00EE4FC3">
        <w:t xml:space="preserve"> </w:t>
      </w:r>
      <w:r w:rsidR="003B2D0A" w:rsidRPr="00382917">
        <w:t>with</w:t>
      </w:r>
      <w:r w:rsidR="00EE4FC3">
        <w:t xml:space="preserve"> </w:t>
      </w:r>
      <w:r w:rsidR="003B2D0A" w:rsidRPr="00382917">
        <w:t>his</w:t>
      </w:r>
      <w:r w:rsidR="00EE4FC3">
        <w:t xml:space="preserve"> </w:t>
      </w:r>
      <w:r w:rsidR="003B2D0A" w:rsidRPr="00382917">
        <w:t>chief,</w:t>
      </w:r>
      <w:r w:rsidR="00EE4FC3">
        <w:t xml:space="preserve"> </w:t>
      </w:r>
      <w:r w:rsidR="003B2D0A" w:rsidRPr="00382917">
        <w:t>the</w:t>
      </w:r>
      <w:r w:rsidR="00EE4FC3">
        <w:t xml:space="preserve"> </w:t>
      </w:r>
      <w:r w:rsidR="003B2D0A" w:rsidRPr="00382917">
        <w:t>Báb,</w:t>
      </w:r>
      <w:r w:rsidR="00EE4FC3">
        <w:t xml:space="preserve"> </w:t>
      </w:r>
      <w:r w:rsidR="003B2D0A" w:rsidRPr="00382917">
        <w:t>he</w:t>
      </w:r>
      <w:r w:rsidR="00EE4FC3">
        <w:t xml:space="preserve"> </w:t>
      </w:r>
      <w:r w:rsidR="003B2D0A" w:rsidRPr="00382917">
        <w:t>is</w:t>
      </w:r>
      <w:r w:rsidR="00EE4FC3">
        <w:t xml:space="preserve"> </w:t>
      </w:r>
      <w:proofErr w:type="gramStart"/>
      <w:r w:rsidR="003B2D0A" w:rsidRPr="00382917">
        <w:t>scheming</w:t>
      </w:r>
      <w:proofErr w:type="gramEnd"/>
      <w:r w:rsidR="00EE4FC3">
        <w:t xml:space="preserve"> </w:t>
      </w:r>
      <w:r w:rsidR="003B2D0A" w:rsidRPr="00382917">
        <w:t>some</w:t>
      </w:r>
      <w:r w:rsidR="00EE4FC3">
        <w:t xml:space="preserve"> </w:t>
      </w:r>
      <w:r w:rsidR="003B2D0A" w:rsidRPr="00382917">
        <w:t>fierce</w:t>
      </w:r>
      <w:r w:rsidR="00EE4FC3">
        <w:t xml:space="preserve"> </w:t>
      </w:r>
      <w:r w:rsidR="003B2D0A" w:rsidRPr="00382917">
        <w:t>onslaught</w:t>
      </w:r>
      <w:r w:rsidR="00EE4FC3">
        <w:t xml:space="preserve"> </w:t>
      </w:r>
      <w:r w:rsidR="003B2D0A" w:rsidRPr="00382917">
        <w:t>against</w:t>
      </w:r>
      <w:r w:rsidR="00EE4FC3">
        <w:t xml:space="preserve"> </w:t>
      </w:r>
      <w:r w:rsidR="003B2D0A" w:rsidRPr="00382917">
        <w:t>our</w:t>
      </w:r>
      <w:r w:rsidR="00EE4FC3">
        <w:t xml:space="preserve"> </w:t>
      </w:r>
      <w:r w:rsidR="003B2D0A" w:rsidRPr="00382917">
        <w:t>time</w:t>
      </w:r>
      <w:r w:rsidR="00EE4FC3">
        <w:t xml:space="preserve"> </w:t>
      </w:r>
      <w:proofErr w:type="spellStart"/>
      <w:r w:rsidR="003B2D0A" w:rsidRPr="00382917">
        <w:t>honored</w:t>
      </w:r>
      <w:proofErr w:type="spellEnd"/>
      <w:r w:rsidR="00EE4FC3">
        <w:t xml:space="preserve"> </w:t>
      </w:r>
      <w:r w:rsidR="003B2D0A" w:rsidRPr="00382917">
        <w:t>institutions!</w:t>
      </w:r>
      <w:r w:rsidRPr="00382917">
        <w:t>”</w:t>
      </w:r>
    </w:p>
    <w:p w:rsidR="003B2D0A" w:rsidRPr="00382917" w:rsidRDefault="003B2D0A" w:rsidP="003B2D0A">
      <w:pPr>
        <w:pStyle w:val="Text"/>
      </w:pPr>
      <w:r w:rsidRPr="00382917">
        <w:t>So</w:t>
      </w:r>
      <w:r w:rsidR="00EE4FC3">
        <w:t xml:space="preserve"> </w:t>
      </w:r>
      <w:r w:rsidRPr="00382917">
        <w:t>grave</w:t>
      </w:r>
      <w:r w:rsidR="00EE4FC3">
        <w:t xml:space="preserve"> </w:t>
      </w:r>
      <w:r w:rsidRPr="00382917">
        <w:t>and</w:t>
      </w:r>
      <w:r w:rsidR="00EE4FC3">
        <w:t xml:space="preserve"> </w:t>
      </w:r>
      <w:r w:rsidRPr="00382917">
        <w:t>menacing</w:t>
      </w:r>
      <w:r w:rsidR="00EE4FC3">
        <w:t xml:space="preserve"> </w:t>
      </w:r>
      <w:r w:rsidRPr="00382917">
        <w:t>was</w:t>
      </w:r>
      <w:r w:rsidR="00EE4FC3">
        <w:t xml:space="preserve"> </w:t>
      </w:r>
      <w:r w:rsidRPr="00382917">
        <w:t>the</w:t>
      </w:r>
      <w:r w:rsidR="00EE4FC3">
        <w:t xml:space="preserve"> </w:t>
      </w:r>
      <w:proofErr w:type="gramStart"/>
      <w:r w:rsidRPr="00382917">
        <w:t>situation,</w:t>
      </w:r>
      <w:r w:rsidR="00EE4FC3">
        <w:t xml:space="preserve"> </w:t>
      </w:r>
      <w:r w:rsidRPr="00382917">
        <w:t>that</w:t>
      </w:r>
      <w:proofErr w:type="gramEnd"/>
      <w:r w:rsidR="00EE4FC3">
        <w:t xml:space="preserve"> </w:t>
      </w:r>
      <w:r w:rsidRPr="00382917">
        <w:t>the</w:t>
      </w:r>
      <w:r w:rsidR="00EE4FC3">
        <w:t xml:space="preserve"> </w:t>
      </w:r>
      <w:r w:rsidRPr="00382917">
        <w:t>Báb</w:t>
      </w:r>
      <w:r w:rsidR="00EE4FC3">
        <w:t xml:space="preserve"> </w:t>
      </w:r>
      <w:r w:rsidRPr="00382917">
        <w:t>instructed</w:t>
      </w:r>
      <w:r w:rsidR="00EE4FC3">
        <w:t xml:space="preserve"> </w:t>
      </w:r>
      <w:r w:rsidRPr="00382917">
        <w:t>Mullá</w:t>
      </w:r>
      <w:r w:rsidR="00EE4FC3">
        <w:t xml:space="preserve"> </w:t>
      </w:r>
      <w:r w:rsidR="00964C11" w:rsidRPr="00382917">
        <w:t>Ḥusayn</w:t>
      </w:r>
      <w:r w:rsidR="00EE4FC3">
        <w:t xml:space="preserve"> </w:t>
      </w:r>
      <w:r w:rsidRPr="00382917">
        <w:t>to</w:t>
      </w:r>
      <w:r w:rsidR="00EE4FC3">
        <w:t xml:space="preserve"> </w:t>
      </w:r>
      <w:r w:rsidRPr="00382917">
        <w:t>return</w:t>
      </w:r>
      <w:r w:rsidR="00EE4FC3">
        <w:t xml:space="preserve"> </w:t>
      </w:r>
      <w:r w:rsidRPr="00382917">
        <w:t>to</w:t>
      </w:r>
      <w:r w:rsidR="00EE4FC3">
        <w:t xml:space="preserve"> </w:t>
      </w:r>
      <w:r w:rsidRPr="00382917">
        <w:t>his</w:t>
      </w:r>
      <w:r w:rsidR="00EE4FC3">
        <w:t xml:space="preserve"> </w:t>
      </w:r>
      <w:r w:rsidRPr="00382917">
        <w:t>home</w:t>
      </w:r>
      <w:r w:rsidR="00EE4FC3">
        <w:t xml:space="preserve"> </w:t>
      </w:r>
      <w:r w:rsidRPr="00382917">
        <w:t>province</w:t>
      </w:r>
      <w:r w:rsidR="00EE4FC3">
        <w:t xml:space="preserve"> </w:t>
      </w:r>
      <w:r w:rsidRPr="00382917">
        <w:t>of</w:t>
      </w:r>
      <w:r w:rsidR="00EE4FC3">
        <w:t xml:space="preserve"> </w:t>
      </w:r>
      <w:r w:rsidR="006225E8" w:rsidRPr="006225E8">
        <w:rPr>
          <w:u w:val="single"/>
        </w:rPr>
        <w:t>Kh</w:t>
      </w:r>
      <w:r w:rsidR="006225E8" w:rsidRPr="00382917">
        <w:t>urásán</w:t>
      </w:r>
      <w:r w:rsidR="00C03C91">
        <w:t>.</w:t>
      </w:r>
      <w:r w:rsidR="00EE4FC3">
        <w:t xml:space="preserve">  </w:t>
      </w:r>
      <w:r w:rsidRPr="00382917">
        <w:t>He</w:t>
      </w:r>
      <w:r w:rsidR="00EE4FC3">
        <w:t xml:space="preserve"> </w:t>
      </w:r>
      <w:r w:rsidRPr="00382917">
        <w:t>also</w:t>
      </w:r>
      <w:r w:rsidR="00EE4FC3">
        <w:t xml:space="preserve"> </w:t>
      </w:r>
      <w:r w:rsidRPr="00382917">
        <w:t>dismissed</w:t>
      </w:r>
      <w:r w:rsidR="00EE4FC3">
        <w:t xml:space="preserve"> </w:t>
      </w:r>
      <w:r w:rsidRPr="00382917">
        <w:t>all</w:t>
      </w:r>
      <w:r w:rsidR="00EE4FC3">
        <w:t xml:space="preserve"> </w:t>
      </w:r>
      <w:r w:rsidRPr="00382917">
        <w:t>the</w:t>
      </w:r>
      <w:r w:rsidR="00EE4FC3">
        <w:t xml:space="preserve"> </w:t>
      </w:r>
      <w:r w:rsidRPr="00382917">
        <w:t>rest</w:t>
      </w:r>
      <w:r w:rsidR="00EE4FC3">
        <w:t xml:space="preserve"> </w:t>
      </w:r>
      <w:r w:rsidRPr="00382917">
        <w:t>of</w:t>
      </w:r>
      <w:r w:rsidR="00EE4FC3">
        <w:t xml:space="preserve"> </w:t>
      </w:r>
      <w:r w:rsidRPr="00382917">
        <w:t>His</w:t>
      </w:r>
      <w:r w:rsidR="00EE4FC3">
        <w:t xml:space="preserve"> </w:t>
      </w:r>
      <w:r w:rsidRPr="00382917">
        <w:t>companions</w:t>
      </w:r>
      <w:r w:rsidR="00EE4FC3">
        <w:t xml:space="preserve"> </w:t>
      </w:r>
      <w:r w:rsidRPr="00382917">
        <w:t>except</w:t>
      </w:r>
      <w:r w:rsidR="00EE4FC3">
        <w:t xml:space="preserve"> </w:t>
      </w:r>
      <w:r w:rsidR="009C713D" w:rsidRPr="00382917">
        <w:t>‘</w:t>
      </w:r>
      <w:r w:rsidRPr="00382917">
        <w:t>Abdu</w:t>
      </w:r>
      <w:r w:rsidR="009C713D" w:rsidRPr="00382917">
        <w:t>’</w:t>
      </w:r>
      <w:r w:rsidRPr="00382917">
        <w:t>l-Karím,</w:t>
      </w:r>
      <w:r w:rsidR="00EE4FC3">
        <w:t xml:space="preserve"> </w:t>
      </w:r>
      <w:r w:rsidRPr="00382917">
        <w:t>whom</w:t>
      </w:r>
      <w:r w:rsidR="00EE4FC3">
        <w:t xml:space="preserve"> </w:t>
      </w:r>
      <w:r w:rsidRPr="00382917">
        <w:t>He</w:t>
      </w:r>
      <w:r w:rsidR="00EE4FC3">
        <w:t xml:space="preserve"> </w:t>
      </w:r>
      <w:r w:rsidRPr="00382917">
        <w:t>kept</w:t>
      </w:r>
      <w:r w:rsidR="00EE4FC3">
        <w:t xml:space="preserve"> </w:t>
      </w:r>
      <w:r w:rsidRPr="00382917">
        <w:t>with</w:t>
      </w:r>
      <w:r w:rsidR="00EE4FC3">
        <w:t xml:space="preserve"> </w:t>
      </w:r>
      <w:r w:rsidRPr="00382917">
        <w:t>Him</w:t>
      </w:r>
      <w:r w:rsidR="00EE4FC3">
        <w:t xml:space="preserve"> </w:t>
      </w:r>
      <w:r w:rsidRPr="00382917">
        <w:t>to</w:t>
      </w:r>
      <w:r w:rsidR="00EE4FC3">
        <w:t xml:space="preserve"> </w:t>
      </w:r>
      <w:r w:rsidRPr="00382917">
        <w:t>help</w:t>
      </w:r>
      <w:r w:rsidR="00EE4FC3">
        <w:t xml:space="preserve"> </w:t>
      </w:r>
      <w:r w:rsidRPr="00382917">
        <w:t>transcribe</w:t>
      </w:r>
      <w:r w:rsidR="00EE4FC3">
        <w:t xml:space="preserve"> </w:t>
      </w:r>
      <w:r w:rsidRPr="00382917">
        <w:t>His</w:t>
      </w:r>
      <w:r w:rsidR="00EE4FC3">
        <w:t xml:space="preserve"> </w:t>
      </w:r>
      <w:r w:rsidRPr="00382917">
        <w:t>writings.</w:t>
      </w:r>
    </w:p>
    <w:p w:rsidR="003B2D0A" w:rsidRPr="00382917" w:rsidRDefault="003B2D0A" w:rsidP="003B2D0A">
      <w:pPr>
        <w:pStyle w:val="Text"/>
      </w:pPr>
      <w:r w:rsidRPr="00382917">
        <w:t>His</w:t>
      </w:r>
      <w:r w:rsidR="00EE4FC3">
        <w:t xml:space="preserve"> </w:t>
      </w:r>
      <w:r w:rsidRPr="00382917">
        <w:t>disciples</w:t>
      </w:r>
      <w:r w:rsidR="00EE4FC3">
        <w:t xml:space="preserve"> </w:t>
      </w:r>
      <w:r w:rsidRPr="00382917">
        <w:t>spread</w:t>
      </w:r>
      <w:r w:rsidR="00EE4FC3">
        <w:t xml:space="preserve"> </w:t>
      </w:r>
      <w:r w:rsidRPr="00382917">
        <w:t>throughout</w:t>
      </w:r>
      <w:r w:rsidR="00EE4FC3">
        <w:t xml:space="preserve"> </w:t>
      </w:r>
      <w:r w:rsidRPr="00382917">
        <w:t>the</w:t>
      </w:r>
      <w:r w:rsidR="00EE4FC3">
        <w:t xml:space="preserve"> </w:t>
      </w:r>
      <w:r w:rsidRPr="00382917">
        <w:t>length</w:t>
      </w:r>
      <w:r w:rsidR="00EE4FC3">
        <w:t xml:space="preserve"> </w:t>
      </w:r>
      <w:r w:rsidRPr="00382917">
        <w:t>and</w:t>
      </w:r>
      <w:r w:rsidR="00EE4FC3">
        <w:t xml:space="preserve"> </w:t>
      </w:r>
      <w:r w:rsidRPr="00382917">
        <w:t>breadth</w:t>
      </w:r>
      <w:r w:rsidR="00EE4FC3">
        <w:t xml:space="preserve"> </w:t>
      </w:r>
      <w:r w:rsidRPr="00382917">
        <w:t>of</w:t>
      </w:r>
      <w:r w:rsidR="00EE4FC3">
        <w:t xml:space="preserve"> </w:t>
      </w:r>
      <w:r w:rsidRPr="00382917">
        <w:t>the</w:t>
      </w:r>
      <w:r w:rsidR="00EE4FC3">
        <w:t xml:space="preserve"> </w:t>
      </w:r>
      <w:r w:rsidRPr="00382917">
        <w:t>land</w:t>
      </w:r>
      <w:r w:rsidR="00EE4FC3">
        <w:t xml:space="preserve"> </w:t>
      </w:r>
      <w:r w:rsidRPr="00382917">
        <w:t>fearlessly</w:t>
      </w:r>
      <w:r w:rsidR="00EE4FC3">
        <w:t xml:space="preserve"> </w:t>
      </w:r>
      <w:r w:rsidRPr="00382917">
        <w:t>proclaiming</w:t>
      </w:r>
      <w:r w:rsidR="00EE4FC3">
        <w:t xml:space="preserve"> </w:t>
      </w:r>
      <w:r w:rsidRPr="00382917">
        <w:t>the</w:t>
      </w:r>
      <w:r w:rsidR="00EE4FC3">
        <w:t xml:space="preserve"> </w:t>
      </w:r>
      <w:r w:rsidRPr="00382917">
        <w:t>regenerating</w:t>
      </w:r>
      <w:r w:rsidR="00EE4FC3">
        <w:t xml:space="preserve"> </w:t>
      </w:r>
      <w:r w:rsidRPr="00382917">
        <w:t>power</w:t>
      </w:r>
      <w:r w:rsidR="00EE4FC3">
        <w:t xml:space="preserve"> </w:t>
      </w:r>
      <w:r w:rsidRPr="00382917">
        <w:t>of</w:t>
      </w:r>
      <w:r w:rsidR="00EE4FC3">
        <w:t xml:space="preserve"> </w:t>
      </w:r>
      <w:r w:rsidRPr="00382917">
        <w:t>the</w:t>
      </w:r>
      <w:r w:rsidR="00EE4FC3">
        <w:t xml:space="preserve"> </w:t>
      </w:r>
      <w:r w:rsidRPr="00382917">
        <w:t>new-born</w:t>
      </w:r>
      <w:r w:rsidR="00EE4FC3">
        <w:t xml:space="preserve"> </w:t>
      </w:r>
      <w:r w:rsidRPr="00382917">
        <w:t>Revelation.</w:t>
      </w:r>
    </w:p>
    <w:p w:rsidR="003B2D0A" w:rsidRPr="00382917" w:rsidRDefault="003B2D0A" w:rsidP="00BC0CAD">
      <w:pPr>
        <w:pStyle w:val="Text"/>
      </w:pPr>
      <w:r w:rsidRPr="00382917">
        <w:t>Soon</w:t>
      </w:r>
      <w:r w:rsidR="00EE4FC3">
        <w:t xml:space="preserve"> </w:t>
      </w:r>
      <w:r w:rsidRPr="00382917">
        <w:t>the</w:t>
      </w:r>
      <w:r w:rsidR="00EE4FC3">
        <w:t xml:space="preserve"> </w:t>
      </w:r>
      <w:r w:rsidRPr="00382917">
        <w:t>fame</w:t>
      </w:r>
      <w:r w:rsidR="00EE4FC3">
        <w:t xml:space="preserve"> </w:t>
      </w:r>
      <w:r w:rsidRPr="00382917">
        <w:t>of</w:t>
      </w:r>
      <w:r w:rsidR="00EE4FC3">
        <w:t xml:space="preserve"> </w:t>
      </w:r>
      <w:r w:rsidRPr="00382917">
        <w:t>the</w:t>
      </w:r>
      <w:r w:rsidR="00EE4FC3">
        <w:t xml:space="preserve"> </w:t>
      </w:r>
      <w:r w:rsidRPr="00382917">
        <w:t>Báb</w:t>
      </w:r>
      <w:r w:rsidR="00EE4FC3">
        <w:t xml:space="preserve"> </w:t>
      </w:r>
      <w:r w:rsidRPr="00382917">
        <w:t>spread</w:t>
      </w:r>
      <w:r w:rsidR="00EE4FC3">
        <w:t xml:space="preserve"> </w:t>
      </w:r>
      <w:r w:rsidRPr="00382917">
        <w:t>far</w:t>
      </w:r>
      <w:r w:rsidR="00EE4FC3">
        <w:t xml:space="preserve"> </w:t>
      </w:r>
      <w:r w:rsidRPr="00382917">
        <w:t>beyond</w:t>
      </w:r>
      <w:r w:rsidR="00EE4FC3">
        <w:t xml:space="preserve"> </w:t>
      </w:r>
      <w:r w:rsidRPr="00382917">
        <w:t>the</w:t>
      </w:r>
      <w:r w:rsidR="00EE4FC3">
        <w:t xml:space="preserve"> </w:t>
      </w:r>
      <w:r w:rsidRPr="00382917">
        <w:t>circle</w:t>
      </w:r>
      <w:r w:rsidR="00EE4FC3">
        <w:t xml:space="preserve"> </w:t>
      </w:r>
      <w:r w:rsidRPr="00382917">
        <w:t>of</w:t>
      </w:r>
      <w:r w:rsidR="00EE4FC3">
        <w:t xml:space="preserve"> </w:t>
      </w:r>
      <w:r w:rsidRPr="00382917">
        <w:t>His</w:t>
      </w:r>
      <w:r w:rsidR="00EE4FC3">
        <w:t xml:space="preserve"> </w:t>
      </w:r>
      <w:r w:rsidRPr="00382917">
        <w:t>disciples</w:t>
      </w:r>
      <w:r w:rsidR="00C03C91">
        <w:t>.</w:t>
      </w:r>
      <w:r w:rsidR="00EE4FC3">
        <w:t xml:space="preserve">  </w:t>
      </w:r>
      <w:r w:rsidRPr="00382917">
        <w:t>It</w:t>
      </w:r>
      <w:r w:rsidR="00EE4FC3">
        <w:t xml:space="preserve"> </w:t>
      </w:r>
      <w:r w:rsidRPr="00382917">
        <w:t>reached</w:t>
      </w:r>
      <w:r w:rsidR="00EE4FC3">
        <w:t xml:space="preserve"> </w:t>
      </w:r>
      <w:r w:rsidRPr="00382917">
        <w:t>the</w:t>
      </w:r>
      <w:r w:rsidR="00EE4FC3">
        <w:t xml:space="preserve"> </w:t>
      </w:r>
      <w:r w:rsidRPr="00382917">
        <w:t>authorities</w:t>
      </w:r>
      <w:r w:rsidR="00C03C91">
        <w:t>.</w:t>
      </w:r>
      <w:r w:rsidR="00EE4FC3">
        <w:t xml:space="preserve">  </w:t>
      </w:r>
      <w:r w:rsidRPr="00382917">
        <w:t>They</w:t>
      </w:r>
      <w:r w:rsidR="00EE4FC3">
        <w:t xml:space="preserve"> </w:t>
      </w:r>
      <w:r w:rsidRPr="00382917">
        <w:t>became</w:t>
      </w:r>
      <w:r w:rsidR="00EE4FC3">
        <w:t xml:space="preserve"> </w:t>
      </w:r>
      <w:r w:rsidRPr="00382917">
        <w:t>alarmed</w:t>
      </w:r>
      <w:r w:rsidR="00EE4FC3">
        <w:t xml:space="preserve"> </w:t>
      </w:r>
      <w:r w:rsidRPr="00382917">
        <w:t>at</w:t>
      </w:r>
      <w:r w:rsidR="00EE4FC3">
        <w:t xml:space="preserve"> </w:t>
      </w:r>
      <w:r w:rsidRPr="00382917">
        <w:t>the</w:t>
      </w:r>
      <w:r w:rsidR="00EE4FC3">
        <w:t xml:space="preserve"> </w:t>
      </w:r>
      <w:r w:rsidRPr="00382917">
        <w:t>enthusiasm</w:t>
      </w:r>
      <w:r w:rsidR="00EE4FC3">
        <w:t xml:space="preserve"> </w:t>
      </w:r>
      <w:r w:rsidRPr="00382917">
        <w:t>with</w:t>
      </w:r>
      <w:r w:rsidR="00EE4FC3">
        <w:t xml:space="preserve"> </w:t>
      </w:r>
      <w:r w:rsidRPr="00382917">
        <w:t>which</w:t>
      </w:r>
      <w:r w:rsidR="00EE4FC3">
        <w:t xml:space="preserve"> </w:t>
      </w:r>
      <w:r w:rsidRPr="00382917">
        <w:t>the</w:t>
      </w:r>
      <w:r w:rsidR="00EE4FC3">
        <w:t xml:space="preserve"> </w:t>
      </w:r>
      <w:r w:rsidRPr="00382917">
        <w:t>people</w:t>
      </w:r>
      <w:r w:rsidR="00EE4FC3">
        <w:t xml:space="preserve"> </w:t>
      </w:r>
      <w:r w:rsidRPr="00382917">
        <w:t>everywhere</w:t>
      </w:r>
      <w:r w:rsidR="00EE4FC3">
        <w:t xml:space="preserve"> </w:t>
      </w:r>
      <w:r w:rsidRPr="00382917">
        <w:t>accepted</w:t>
      </w:r>
      <w:r w:rsidR="00EE4FC3">
        <w:t xml:space="preserve"> </w:t>
      </w:r>
      <w:r w:rsidRPr="00382917">
        <w:t>His</w:t>
      </w:r>
      <w:r w:rsidR="00EE4FC3">
        <w:t xml:space="preserve"> </w:t>
      </w:r>
      <w:r w:rsidRPr="00382917">
        <w:t>message</w:t>
      </w:r>
      <w:r w:rsidR="00C03C91">
        <w:t>.</w:t>
      </w:r>
      <w:r w:rsidR="00EE4FC3">
        <w:t xml:space="preserve">  </w:t>
      </w:r>
      <w:r w:rsidRPr="00382917">
        <w:t>An</w:t>
      </w:r>
      <w:r w:rsidR="00EE4FC3">
        <w:t xml:space="preserve"> </w:t>
      </w:r>
      <w:r w:rsidRPr="00382917">
        <w:t>historical</w:t>
      </w:r>
      <w:r w:rsidR="00EE4FC3">
        <w:t xml:space="preserve"> </w:t>
      </w:r>
      <w:r w:rsidRPr="00382917">
        <w:t>account</w:t>
      </w:r>
      <w:r w:rsidR="00EE4FC3">
        <w:t xml:space="preserve"> </w:t>
      </w:r>
      <w:r w:rsidRPr="00382917">
        <w:t>states</w:t>
      </w:r>
      <w:r w:rsidR="00EE4FC3">
        <w:t xml:space="preserve"> </w:t>
      </w:r>
      <w:r w:rsidRPr="00382917">
        <w:t>that</w:t>
      </w:r>
      <w:r w:rsidR="00EE4FC3">
        <w:t xml:space="preserve"> </w:t>
      </w:r>
      <w:r w:rsidRPr="00382917">
        <w:t>the</w:t>
      </w:r>
      <w:r w:rsidR="00EE4FC3">
        <w:t xml:space="preserve"> </w:t>
      </w:r>
      <w:r w:rsidRPr="00382917">
        <w:t>followers</w:t>
      </w:r>
      <w:r w:rsidR="00EE4FC3">
        <w:t xml:space="preserve"> </w:t>
      </w:r>
      <w:r w:rsidRPr="00382917">
        <w:t>of</w:t>
      </w:r>
      <w:r w:rsidR="00EE4FC3">
        <w:t xml:space="preserve"> </w:t>
      </w:r>
      <w:r w:rsidRPr="00382917">
        <w:t>the</w:t>
      </w:r>
      <w:r w:rsidR="00EE4FC3">
        <w:t xml:space="preserve"> </w:t>
      </w:r>
      <w:r w:rsidRPr="00382917">
        <w:t>Báb</w:t>
      </w:r>
      <w:r w:rsidR="00EE4FC3">
        <w:t xml:space="preserve"> </w:t>
      </w:r>
      <w:r w:rsidRPr="00382917">
        <w:t>were</w:t>
      </w:r>
      <w:r w:rsidR="00EE4FC3">
        <w:t xml:space="preserve"> </w:t>
      </w:r>
      <w:r w:rsidR="009C713D" w:rsidRPr="00382917">
        <w:t>“</w:t>
      </w:r>
      <w:r w:rsidRPr="00382917">
        <w:t>ardent,</w:t>
      </w:r>
      <w:r w:rsidR="00EE4FC3">
        <w:t xml:space="preserve"> </w:t>
      </w:r>
      <w:r w:rsidRPr="00382917">
        <w:t>brave,</w:t>
      </w:r>
      <w:r w:rsidR="00EE4FC3">
        <w:t xml:space="preserve"> </w:t>
      </w:r>
      <w:r w:rsidRPr="00382917">
        <w:t>carried</w:t>
      </w:r>
      <w:r w:rsidR="00EE4FC3">
        <w:t xml:space="preserve"> </w:t>
      </w:r>
      <w:r w:rsidRPr="00382917">
        <w:t>away,</w:t>
      </w:r>
      <w:r w:rsidR="00EE4FC3">
        <w:t xml:space="preserve"> </w:t>
      </w:r>
      <w:r w:rsidRPr="00382917">
        <w:t>ready</w:t>
      </w:r>
      <w:r w:rsidR="00EE4FC3">
        <w:t xml:space="preserve"> </w:t>
      </w:r>
      <w:r w:rsidRPr="00382917">
        <w:t>for</w:t>
      </w:r>
      <w:r w:rsidR="00EE4FC3">
        <w:t xml:space="preserve"> </w:t>
      </w:r>
      <w:r w:rsidRPr="00382917">
        <w:t>anything</w:t>
      </w:r>
      <w:r w:rsidR="00EE4FC3">
        <w:t xml:space="preserve"> </w:t>
      </w:r>
      <w:r w:rsidR="00BC0CAD">
        <w:t>…</w:t>
      </w:r>
      <w:r w:rsidR="00EE4FC3">
        <w:t xml:space="preserve"> </w:t>
      </w:r>
      <w:r w:rsidRPr="00382917">
        <w:t>every</w:t>
      </w:r>
      <w:r w:rsidR="00EE4FC3">
        <w:t xml:space="preserve"> </w:t>
      </w:r>
      <w:r w:rsidRPr="00382917">
        <w:t>one</w:t>
      </w:r>
      <w:r w:rsidR="00EE4FC3">
        <w:t xml:space="preserve"> </w:t>
      </w:r>
      <w:r w:rsidRPr="00382917">
        <w:t>of</w:t>
      </w:r>
      <w:r w:rsidR="00EE4FC3">
        <w:t xml:space="preserve"> </w:t>
      </w:r>
      <w:r w:rsidRPr="00382917">
        <w:t>its</w:t>
      </w:r>
      <w:r w:rsidR="00EE4FC3">
        <w:t xml:space="preserve"> </w:t>
      </w:r>
      <w:r w:rsidRPr="00382917">
        <w:t>members</w:t>
      </w:r>
      <w:r w:rsidR="00EE4FC3">
        <w:t xml:space="preserve"> </w:t>
      </w:r>
      <w:r w:rsidRPr="00382917">
        <w:t>thought</w:t>
      </w:r>
      <w:r w:rsidR="00EE4FC3">
        <w:t xml:space="preserve"> </w:t>
      </w:r>
      <w:r w:rsidRPr="00382917">
        <w:t>himself</w:t>
      </w:r>
      <w:r w:rsidR="00EE4FC3">
        <w:t xml:space="preserve"> </w:t>
      </w:r>
      <w:r w:rsidRPr="00382917">
        <w:t>of</w:t>
      </w:r>
      <w:r w:rsidR="00EE4FC3">
        <w:t xml:space="preserve"> </w:t>
      </w:r>
      <w:r w:rsidRPr="00382917">
        <w:t>no</w:t>
      </w:r>
      <w:r w:rsidR="00EE4FC3">
        <w:t xml:space="preserve"> </w:t>
      </w:r>
      <w:r w:rsidRPr="00382917">
        <w:t>importance,</w:t>
      </w:r>
      <w:r w:rsidR="00EE4FC3">
        <w:t xml:space="preserve"> </w:t>
      </w:r>
      <w:r w:rsidRPr="00382917">
        <w:t>and</w:t>
      </w:r>
      <w:r w:rsidR="00EE4FC3">
        <w:t xml:space="preserve"> </w:t>
      </w:r>
      <w:r w:rsidRPr="00382917">
        <w:t>burned</w:t>
      </w:r>
      <w:r w:rsidR="00EE4FC3">
        <w:t xml:space="preserve"> </w:t>
      </w:r>
      <w:r w:rsidRPr="00382917">
        <w:t>with</w:t>
      </w:r>
      <w:r w:rsidR="00EE4FC3">
        <w:t xml:space="preserve"> </w:t>
      </w:r>
      <w:r w:rsidRPr="00382917">
        <w:t>a</w:t>
      </w:r>
      <w:r w:rsidR="00EE4FC3">
        <w:t xml:space="preserve"> </w:t>
      </w:r>
      <w:r w:rsidRPr="00382917">
        <w:t>desire</w:t>
      </w:r>
      <w:r w:rsidR="00EE4FC3">
        <w:t xml:space="preserve"> </w:t>
      </w:r>
      <w:r w:rsidRPr="00382917">
        <w:t>to</w:t>
      </w:r>
      <w:r w:rsidR="00EE4FC3">
        <w:t xml:space="preserve"> </w:t>
      </w:r>
      <w:r w:rsidRPr="00382917">
        <w:t>sacrifice</w:t>
      </w:r>
      <w:r w:rsidR="00EE4FC3">
        <w:t xml:space="preserve"> </w:t>
      </w:r>
      <w:r w:rsidRPr="00382917">
        <w:t>his</w:t>
      </w:r>
      <w:r w:rsidR="00EE4FC3">
        <w:t xml:space="preserve"> </w:t>
      </w:r>
      <w:r w:rsidRPr="00382917">
        <w:t>life-blood</w:t>
      </w:r>
      <w:r w:rsidR="00EE4FC3">
        <w:t xml:space="preserve"> </w:t>
      </w:r>
      <w:r w:rsidRPr="00382917">
        <w:t>and</w:t>
      </w:r>
      <w:r w:rsidR="00EE4FC3">
        <w:t xml:space="preserve"> </w:t>
      </w:r>
      <w:r w:rsidRPr="00382917">
        <w:t>his</w:t>
      </w:r>
      <w:r w:rsidR="00EE4FC3">
        <w:t xml:space="preserve"> </w:t>
      </w:r>
      <w:r w:rsidRPr="00382917">
        <w:t>belongings</w:t>
      </w:r>
      <w:r w:rsidR="00EE4FC3">
        <w:t xml:space="preserve"> </w:t>
      </w:r>
      <w:r w:rsidRPr="00382917">
        <w:t>for</w:t>
      </w:r>
      <w:r w:rsidR="00EE4FC3">
        <w:t xml:space="preserve"> </w:t>
      </w:r>
      <w:r w:rsidRPr="00382917">
        <w:t>the</w:t>
      </w:r>
    </w:p>
    <w:p w:rsidR="003B2D0A" w:rsidRPr="00382917" w:rsidRDefault="003B2D0A">
      <w:pPr>
        <w:widowControl/>
        <w:kinsoku/>
        <w:overflowPunct/>
        <w:textAlignment w:val="auto"/>
      </w:pPr>
      <w:r w:rsidRPr="00382917">
        <w:br w:type="page"/>
      </w:r>
    </w:p>
    <w:p w:rsidR="003B2D0A" w:rsidRPr="00382917" w:rsidRDefault="003B2D0A" w:rsidP="00BC0CAD">
      <w:pPr>
        <w:pStyle w:val="Textcts"/>
      </w:pPr>
      <w:proofErr w:type="gramStart"/>
      <w:r w:rsidRPr="00382917">
        <w:t>cause</w:t>
      </w:r>
      <w:proofErr w:type="gramEnd"/>
      <w:r w:rsidR="00EE4FC3">
        <w:t xml:space="preserve"> </w:t>
      </w:r>
      <w:r w:rsidRPr="00382917">
        <w:t>of</w:t>
      </w:r>
      <w:r w:rsidR="00EE4FC3">
        <w:t xml:space="preserve"> </w:t>
      </w:r>
      <w:r w:rsidRPr="00382917">
        <w:t>Truth.</w:t>
      </w:r>
      <w:r w:rsidR="009C713D" w:rsidRPr="00382917">
        <w:t>”</w:t>
      </w:r>
      <w:r w:rsidR="00BC0CAD">
        <w:rPr>
          <w:rStyle w:val="FootnoteReference"/>
        </w:rPr>
        <w:footnoteReference w:id="34"/>
      </w:r>
      <w:r w:rsidR="00EE4FC3">
        <w:t xml:space="preserve">  </w:t>
      </w:r>
      <w:r w:rsidRPr="00382917">
        <w:t>This</w:t>
      </w:r>
      <w:r w:rsidR="00EE4FC3">
        <w:t xml:space="preserve"> </w:t>
      </w:r>
      <w:r w:rsidRPr="00382917">
        <w:t>was</w:t>
      </w:r>
      <w:r w:rsidR="00EE4FC3">
        <w:t xml:space="preserve"> </w:t>
      </w:r>
      <w:r w:rsidRPr="00382917">
        <w:t>no</w:t>
      </w:r>
      <w:r w:rsidR="00EE4FC3">
        <w:t xml:space="preserve"> </w:t>
      </w:r>
      <w:r w:rsidRPr="00382917">
        <w:t>longer</w:t>
      </w:r>
      <w:r w:rsidR="00EE4FC3">
        <w:t xml:space="preserve"> </w:t>
      </w:r>
      <w:r w:rsidRPr="00382917">
        <w:t>a</w:t>
      </w:r>
      <w:r w:rsidR="00EE4FC3">
        <w:t xml:space="preserve"> </w:t>
      </w:r>
      <w:r w:rsidRPr="00382917">
        <w:t>local</w:t>
      </w:r>
      <w:r w:rsidR="00EE4FC3">
        <w:t xml:space="preserve"> </w:t>
      </w:r>
      <w:r w:rsidRPr="00382917">
        <w:t>matter,</w:t>
      </w:r>
      <w:r w:rsidR="00EE4FC3">
        <w:t xml:space="preserve"> </w:t>
      </w:r>
      <w:r w:rsidRPr="00382917">
        <w:t>the</w:t>
      </w:r>
      <w:r w:rsidR="00EE4FC3">
        <w:t xml:space="preserve"> </w:t>
      </w:r>
      <w:r w:rsidRPr="00382917">
        <w:t>authorities</w:t>
      </w:r>
      <w:r w:rsidR="00EE4FC3">
        <w:t xml:space="preserve"> </w:t>
      </w:r>
      <w:r w:rsidRPr="00382917">
        <w:t>argued.</w:t>
      </w:r>
    </w:p>
    <w:p w:rsidR="003B2D0A" w:rsidRPr="00382917" w:rsidRDefault="003B2D0A" w:rsidP="003B2D0A">
      <w:pPr>
        <w:pStyle w:val="Text"/>
      </w:pPr>
      <w:r w:rsidRPr="00382917">
        <w:t>The</w:t>
      </w:r>
      <w:r w:rsidR="00EE4FC3">
        <w:t xml:space="preserve"> </w:t>
      </w:r>
      <w:r w:rsidRPr="00382917">
        <w:t>same</w:t>
      </w:r>
      <w:r w:rsidR="00EE4FC3">
        <w:t xml:space="preserve"> </w:t>
      </w:r>
      <w:r w:rsidRPr="00382917">
        <w:t>flood</w:t>
      </w:r>
      <w:r w:rsidR="00EE4FC3">
        <w:t xml:space="preserve"> </w:t>
      </w:r>
      <w:r w:rsidRPr="00382917">
        <w:t>of</w:t>
      </w:r>
      <w:r w:rsidR="00EE4FC3">
        <w:t xml:space="preserve"> </w:t>
      </w:r>
      <w:r w:rsidRPr="00382917">
        <w:t>persecution</w:t>
      </w:r>
      <w:r w:rsidR="00EE4FC3">
        <w:t xml:space="preserve"> </w:t>
      </w:r>
      <w:r w:rsidRPr="00382917">
        <w:t>which</w:t>
      </w:r>
      <w:r w:rsidR="00EE4FC3">
        <w:t xml:space="preserve"> </w:t>
      </w:r>
      <w:r w:rsidRPr="00382917">
        <w:t>surrounded</w:t>
      </w:r>
      <w:r w:rsidR="00EE4FC3">
        <w:t xml:space="preserve"> </w:t>
      </w:r>
      <w:r w:rsidRPr="00382917">
        <w:t>Jesus,</w:t>
      </w:r>
      <w:r w:rsidR="00EE4FC3">
        <w:t xml:space="preserve"> </w:t>
      </w:r>
      <w:r w:rsidRPr="00382917">
        <w:t>now</w:t>
      </w:r>
      <w:r w:rsidR="00EE4FC3">
        <w:t xml:space="preserve"> </w:t>
      </w:r>
      <w:r w:rsidRPr="00382917">
        <w:t>gradually</w:t>
      </w:r>
      <w:r w:rsidR="00EE4FC3">
        <w:t xml:space="preserve"> </w:t>
      </w:r>
      <w:r w:rsidRPr="00382917">
        <w:t>engulfed</w:t>
      </w:r>
      <w:r w:rsidR="00EE4FC3">
        <w:t xml:space="preserve"> </w:t>
      </w:r>
      <w:r w:rsidRPr="00382917">
        <w:t>the</w:t>
      </w:r>
      <w:r w:rsidR="00EE4FC3">
        <w:t xml:space="preserve"> </w:t>
      </w:r>
      <w:r w:rsidRPr="00382917">
        <w:t>Báb</w:t>
      </w:r>
      <w:r w:rsidR="00C03C91">
        <w:t>.</w:t>
      </w:r>
      <w:r w:rsidR="00EE4FC3">
        <w:t xml:space="preserve">  </w:t>
      </w:r>
      <w:r w:rsidRPr="00382917">
        <w:t>The</w:t>
      </w:r>
      <w:r w:rsidR="00EE4FC3">
        <w:t xml:space="preserve"> </w:t>
      </w:r>
      <w:r w:rsidRPr="00382917">
        <w:t>combined</w:t>
      </w:r>
      <w:r w:rsidR="00EE4FC3">
        <w:t xml:space="preserve"> </w:t>
      </w:r>
      <w:r w:rsidRPr="00382917">
        <w:t>opposition</w:t>
      </w:r>
      <w:r w:rsidR="00EE4FC3">
        <w:t xml:space="preserve"> </w:t>
      </w:r>
      <w:r w:rsidRPr="00382917">
        <w:t>of</w:t>
      </w:r>
      <w:r w:rsidR="00EE4FC3">
        <w:t xml:space="preserve"> </w:t>
      </w:r>
      <w:r w:rsidRPr="00382917">
        <w:t>church</w:t>
      </w:r>
      <w:r w:rsidR="00EE4FC3">
        <w:t xml:space="preserve"> </w:t>
      </w:r>
      <w:r w:rsidRPr="00382917">
        <w:t>and</w:t>
      </w:r>
      <w:r w:rsidR="00EE4FC3">
        <w:t xml:space="preserve"> </w:t>
      </w:r>
      <w:r w:rsidRPr="00382917">
        <w:t>state</w:t>
      </w:r>
      <w:r w:rsidR="00EE4FC3">
        <w:t xml:space="preserve"> </w:t>
      </w:r>
      <w:r w:rsidRPr="00382917">
        <w:t>unleashed</w:t>
      </w:r>
      <w:r w:rsidR="00EE4FC3">
        <w:t xml:space="preserve"> </w:t>
      </w:r>
      <w:r w:rsidRPr="00382917">
        <w:t>what</w:t>
      </w:r>
      <w:r w:rsidR="00EE4FC3">
        <w:t xml:space="preserve"> </w:t>
      </w:r>
      <w:r w:rsidRPr="00382917">
        <w:t>historians</w:t>
      </w:r>
      <w:r w:rsidR="00EE4FC3">
        <w:t xml:space="preserve"> </w:t>
      </w:r>
      <w:r w:rsidRPr="00382917">
        <w:t>have</w:t>
      </w:r>
      <w:r w:rsidR="00EE4FC3">
        <w:t xml:space="preserve"> </w:t>
      </w:r>
      <w:r w:rsidRPr="00382917">
        <w:t>called</w:t>
      </w:r>
      <w:r w:rsidR="00EE4FC3">
        <w:t xml:space="preserve"> </w:t>
      </w:r>
      <w:r w:rsidRPr="00382917">
        <w:t>the</w:t>
      </w:r>
      <w:r w:rsidR="00EE4FC3">
        <w:t xml:space="preserve"> </w:t>
      </w:r>
      <w:r w:rsidRPr="00382917">
        <w:t>most</w:t>
      </w:r>
      <w:r w:rsidR="00EE4FC3">
        <w:t xml:space="preserve"> </w:t>
      </w:r>
      <w:r w:rsidRPr="00382917">
        <w:t>appalling</w:t>
      </w:r>
      <w:r w:rsidR="00EE4FC3">
        <w:t xml:space="preserve"> </w:t>
      </w:r>
      <w:r w:rsidRPr="00382917">
        <w:t>wave</w:t>
      </w:r>
      <w:r w:rsidR="00EE4FC3">
        <w:t xml:space="preserve"> </w:t>
      </w:r>
      <w:r w:rsidRPr="00382917">
        <w:t>of</w:t>
      </w:r>
      <w:r w:rsidR="00EE4FC3">
        <w:t xml:space="preserve"> </w:t>
      </w:r>
      <w:r w:rsidRPr="00382917">
        <w:t>hatred</w:t>
      </w:r>
      <w:r w:rsidR="00EE4FC3">
        <w:t xml:space="preserve"> </w:t>
      </w:r>
      <w:r w:rsidRPr="00382917">
        <w:t>imaginable</w:t>
      </w:r>
      <w:r w:rsidR="00C03C91">
        <w:t>.</w:t>
      </w:r>
      <w:r w:rsidR="00EE4FC3">
        <w:t xml:space="preserve">  </w:t>
      </w:r>
      <w:r w:rsidRPr="00382917">
        <w:t>Soon</w:t>
      </w:r>
      <w:r w:rsidR="00EE4FC3">
        <w:t xml:space="preserve"> </w:t>
      </w:r>
      <w:r w:rsidRPr="00382917">
        <w:t>the</w:t>
      </w:r>
      <w:r w:rsidR="00EE4FC3">
        <w:t xml:space="preserve"> </w:t>
      </w:r>
      <w:r w:rsidRPr="00382917">
        <w:t>sands</w:t>
      </w:r>
      <w:r w:rsidR="00EE4FC3">
        <w:t xml:space="preserve"> </w:t>
      </w:r>
      <w:r w:rsidRPr="00382917">
        <w:t>of</w:t>
      </w:r>
      <w:r w:rsidR="00EE4FC3">
        <w:t xml:space="preserve"> </w:t>
      </w:r>
      <w:r w:rsidRPr="00382917">
        <w:t>Persia</w:t>
      </w:r>
      <w:r w:rsidR="00EE4FC3">
        <w:t xml:space="preserve"> </w:t>
      </w:r>
      <w:r w:rsidRPr="00382917">
        <w:t>were</w:t>
      </w:r>
      <w:r w:rsidR="00EE4FC3">
        <w:t xml:space="preserve"> </w:t>
      </w:r>
      <w:r w:rsidRPr="00382917">
        <w:t>stained</w:t>
      </w:r>
      <w:r w:rsidR="00EE4FC3">
        <w:t xml:space="preserve"> </w:t>
      </w:r>
      <w:r w:rsidRPr="00382917">
        <w:t>by</w:t>
      </w:r>
      <w:r w:rsidR="00EE4FC3">
        <w:t xml:space="preserve"> </w:t>
      </w:r>
      <w:r w:rsidRPr="00382917">
        <w:t>a</w:t>
      </w:r>
      <w:r w:rsidR="00EE4FC3">
        <w:t xml:space="preserve"> </w:t>
      </w:r>
      <w:r w:rsidRPr="00382917">
        <w:t>freely</w:t>
      </w:r>
      <w:r w:rsidR="00EE4FC3">
        <w:t xml:space="preserve"> </w:t>
      </w:r>
      <w:r w:rsidRPr="00382917">
        <w:t>given,</w:t>
      </w:r>
      <w:r w:rsidR="00EE4FC3">
        <w:t xml:space="preserve"> </w:t>
      </w:r>
      <w:r w:rsidRPr="00382917">
        <w:t>red</w:t>
      </w:r>
      <w:r w:rsidR="00EE4FC3">
        <w:t xml:space="preserve"> </w:t>
      </w:r>
      <w:r w:rsidRPr="00382917">
        <w:t>river</w:t>
      </w:r>
      <w:r w:rsidR="00EE4FC3">
        <w:t xml:space="preserve"> </w:t>
      </w:r>
      <w:r w:rsidRPr="00382917">
        <w:t>of</w:t>
      </w:r>
      <w:r w:rsidR="00EE4FC3">
        <w:t xml:space="preserve"> </w:t>
      </w:r>
      <w:r w:rsidRPr="00382917">
        <w:t>human</w:t>
      </w:r>
      <w:r w:rsidR="00EE4FC3">
        <w:t xml:space="preserve"> </w:t>
      </w:r>
      <w:r w:rsidRPr="00382917">
        <w:t>martyrdom.</w:t>
      </w:r>
    </w:p>
    <w:p w:rsidR="003B2D0A" w:rsidRPr="00382917" w:rsidRDefault="003B2D0A" w:rsidP="003B2D0A">
      <w:pPr>
        <w:pStyle w:val="Text"/>
      </w:pPr>
      <w:r w:rsidRPr="00382917">
        <w:t>The</w:t>
      </w:r>
      <w:r w:rsidR="00EE4FC3">
        <w:t xml:space="preserve"> </w:t>
      </w:r>
      <w:r w:rsidRPr="00382917">
        <w:t>officials</w:t>
      </w:r>
      <w:r w:rsidR="00EE4FC3">
        <w:t xml:space="preserve"> </w:t>
      </w:r>
      <w:r w:rsidRPr="00382917">
        <w:t>arranged</w:t>
      </w:r>
      <w:r w:rsidR="00EE4FC3">
        <w:t xml:space="preserve"> </w:t>
      </w:r>
      <w:r w:rsidRPr="00382917">
        <w:t>great</w:t>
      </w:r>
      <w:r w:rsidR="00EE4FC3">
        <w:t xml:space="preserve"> </w:t>
      </w:r>
      <w:r w:rsidRPr="00382917">
        <w:t>public</w:t>
      </w:r>
      <w:r w:rsidR="00EE4FC3">
        <w:t xml:space="preserve"> </w:t>
      </w:r>
      <w:r w:rsidRPr="00382917">
        <w:t>debates</w:t>
      </w:r>
      <w:r w:rsidR="00EE4FC3">
        <w:t xml:space="preserve"> </w:t>
      </w:r>
      <w:r w:rsidRPr="00382917">
        <w:t>in</w:t>
      </w:r>
      <w:r w:rsidR="00EE4FC3">
        <w:t xml:space="preserve"> </w:t>
      </w:r>
      <w:r w:rsidR="008A073E" w:rsidRPr="00382917">
        <w:rPr>
          <w:u w:val="single"/>
        </w:rPr>
        <w:t>Sh</w:t>
      </w:r>
      <w:r w:rsidR="008A073E" w:rsidRPr="00382917">
        <w:t>íráz</w:t>
      </w:r>
      <w:r w:rsidR="00EE4FC3">
        <w:t xml:space="preserve"> </w:t>
      </w:r>
      <w:r w:rsidRPr="00382917">
        <w:t>and</w:t>
      </w:r>
      <w:r w:rsidR="00EE4FC3">
        <w:t xml:space="preserve"> </w:t>
      </w:r>
      <w:r w:rsidRPr="00382917">
        <w:t>invited</w:t>
      </w:r>
      <w:r w:rsidR="00EE4FC3">
        <w:t xml:space="preserve"> </w:t>
      </w:r>
      <w:r w:rsidRPr="00382917">
        <w:t>the</w:t>
      </w:r>
      <w:r w:rsidR="00EE4FC3">
        <w:t xml:space="preserve"> </w:t>
      </w:r>
      <w:r w:rsidRPr="00382917">
        <w:t>governor,</w:t>
      </w:r>
      <w:r w:rsidR="00EE4FC3">
        <w:t xml:space="preserve"> </w:t>
      </w:r>
      <w:r w:rsidRPr="00382917">
        <w:t>the</w:t>
      </w:r>
      <w:r w:rsidR="00EE4FC3">
        <w:t xml:space="preserve"> </w:t>
      </w:r>
      <w:r w:rsidRPr="00382917">
        <w:t>clergy,</w:t>
      </w:r>
      <w:r w:rsidR="00EE4FC3">
        <w:t xml:space="preserve"> </w:t>
      </w:r>
      <w:r w:rsidRPr="00382917">
        <w:t>the</w:t>
      </w:r>
      <w:r w:rsidR="00EE4FC3">
        <w:t xml:space="preserve"> </w:t>
      </w:r>
      <w:r w:rsidRPr="00382917">
        <w:t>military</w:t>
      </w:r>
      <w:r w:rsidR="00EE4FC3">
        <w:t xml:space="preserve"> </w:t>
      </w:r>
      <w:r w:rsidRPr="00382917">
        <w:t>chiefs,</w:t>
      </w:r>
      <w:r w:rsidR="00EE4FC3">
        <w:t xml:space="preserve"> </w:t>
      </w:r>
      <w:r w:rsidRPr="00382917">
        <w:t>as</w:t>
      </w:r>
      <w:r w:rsidR="00EE4FC3">
        <w:t xml:space="preserve"> </w:t>
      </w:r>
      <w:r w:rsidRPr="00382917">
        <w:t>well</w:t>
      </w:r>
      <w:r w:rsidR="00EE4FC3">
        <w:t xml:space="preserve"> </w:t>
      </w:r>
      <w:r w:rsidRPr="00382917">
        <w:t>as</w:t>
      </w:r>
      <w:r w:rsidR="00EE4FC3">
        <w:t xml:space="preserve"> </w:t>
      </w:r>
      <w:r w:rsidRPr="00382917">
        <w:t>the</w:t>
      </w:r>
      <w:r w:rsidR="00EE4FC3">
        <w:t xml:space="preserve"> </w:t>
      </w:r>
      <w:r w:rsidRPr="00382917">
        <w:t>people</w:t>
      </w:r>
      <w:r w:rsidR="00EE4FC3">
        <w:t xml:space="preserve"> </w:t>
      </w:r>
      <w:r w:rsidRPr="00382917">
        <w:t>to</w:t>
      </w:r>
      <w:r w:rsidR="00EE4FC3">
        <w:t xml:space="preserve"> </w:t>
      </w:r>
      <w:r w:rsidRPr="00382917">
        <w:t>attend</w:t>
      </w:r>
      <w:r w:rsidR="00C03C91">
        <w:t>.</w:t>
      </w:r>
      <w:r w:rsidR="00EE4FC3">
        <w:t xml:space="preserve">  </w:t>
      </w:r>
      <w:r w:rsidRPr="00382917">
        <w:t>They</w:t>
      </w:r>
      <w:r w:rsidR="00EE4FC3">
        <w:t xml:space="preserve"> </w:t>
      </w:r>
      <w:r w:rsidRPr="00382917">
        <w:t>hoped</w:t>
      </w:r>
      <w:r w:rsidR="00EE4FC3">
        <w:t xml:space="preserve"> </w:t>
      </w:r>
      <w:r w:rsidRPr="00382917">
        <w:t>that</w:t>
      </w:r>
      <w:r w:rsidR="00EE4FC3">
        <w:t xml:space="preserve"> </w:t>
      </w:r>
      <w:r w:rsidRPr="00382917">
        <w:t>in</w:t>
      </w:r>
      <w:r w:rsidR="00EE4FC3">
        <w:t xml:space="preserve"> </w:t>
      </w:r>
      <w:r w:rsidRPr="00382917">
        <w:t>this</w:t>
      </w:r>
      <w:r w:rsidR="00EE4FC3">
        <w:t xml:space="preserve"> </w:t>
      </w:r>
      <w:r w:rsidRPr="00382917">
        <w:t>manner</w:t>
      </w:r>
      <w:r w:rsidR="00EE4FC3">
        <w:t xml:space="preserve"> </w:t>
      </w:r>
      <w:r w:rsidRPr="00382917">
        <w:t>they</w:t>
      </w:r>
      <w:r w:rsidR="00EE4FC3">
        <w:t xml:space="preserve"> </w:t>
      </w:r>
      <w:r w:rsidRPr="00382917">
        <w:t>might</w:t>
      </w:r>
      <w:r w:rsidR="00EE4FC3">
        <w:t xml:space="preserve"> </w:t>
      </w:r>
      <w:r w:rsidRPr="00382917">
        <w:t>discredit</w:t>
      </w:r>
      <w:r w:rsidR="00EE4FC3">
        <w:t xml:space="preserve"> </w:t>
      </w:r>
      <w:r w:rsidRPr="00382917">
        <w:t>the</w:t>
      </w:r>
      <w:r w:rsidR="00EE4FC3">
        <w:t xml:space="preserve"> </w:t>
      </w:r>
      <w:r w:rsidRPr="00382917">
        <w:t>young</w:t>
      </w:r>
      <w:r w:rsidR="00EE4FC3">
        <w:t xml:space="preserve"> </w:t>
      </w:r>
      <w:r w:rsidRPr="00382917">
        <w:t>Prophet.</w:t>
      </w:r>
    </w:p>
    <w:p w:rsidR="00E13D49" w:rsidRPr="00382917" w:rsidRDefault="003B2D0A" w:rsidP="00CA5B9E">
      <w:pPr>
        <w:pStyle w:val="Text"/>
      </w:pPr>
      <w:r w:rsidRPr="00382917">
        <w:t>However,</w:t>
      </w:r>
      <w:r w:rsidR="00EE4FC3">
        <w:t xml:space="preserve"> </w:t>
      </w:r>
      <w:r w:rsidRPr="00382917">
        <w:t>the</w:t>
      </w:r>
      <w:r w:rsidR="00EE4FC3">
        <w:t xml:space="preserve"> </w:t>
      </w:r>
      <w:r w:rsidRPr="00382917">
        <w:t>Báb</w:t>
      </w:r>
      <w:r w:rsidR="00EE4FC3">
        <w:t xml:space="preserve"> </w:t>
      </w:r>
      <w:r w:rsidRPr="00382917">
        <w:t>spoke</w:t>
      </w:r>
      <w:r w:rsidR="00EE4FC3">
        <w:t xml:space="preserve"> </w:t>
      </w:r>
      <w:r w:rsidRPr="00382917">
        <w:t>such</w:t>
      </w:r>
      <w:r w:rsidR="00EE4FC3">
        <w:t xml:space="preserve"> </w:t>
      </w:r>
      <w:r w:rsidRPr="00382917">
        <w:t>searching</w:t>
      </w:r>
      <w:r w:rsidR="00EE4FC3">
        <w:t xml:space="preserve"> </w:t>
      </w:r>
      <w:r w:rsidRPr="00382917">
        <w:t>truths</w:t>
      </w:r>
      <w:r w:rsidR="00EE4FC3">
        <w:t xml:space="preserve"> </w:t>
      </w:r>
      <w:r w:rsidRPr="00382917">
        <w:t>on</w:t>
      </w:r>
      <w:r w:rsidR="00EE4FC3">
        <w:t xml:space="preserve"> </w:t>
      </w:r>
      <w:r w:rsidRPr="00382917">
        <w:t>these</w:t>
      </w:r>
      <w:r w:rsidR="00EE4FC3">
        <w:t xml:space="preserve"> </w:t>
      </w:r>
      <w:proofErr w:type="gramStart"/>
      <w:r w:rsidRPr="00382917">
        <w:t>occasions,</w:t>
      </w:r>
      <w:r w:rsidR="00EE4FC3">
        <w:t xml:space="preserve"> </w:t>
      </w:r>
      <w:r w:rsidRPr="00382917">
        <w:t>that</w:t>
      </w:r>
      <w:proofErr w:type="gramEnd"/>
      <w:r w:rsidR="00EE4FC3">
        <w:t xml:space="preserve"> </w:t>
      </w:r>
      <w:r w:rsidRPr="00382917">
        <w:t>day</w:t>
      </w:r>
      <w:r w:rsidR="00EE4FC3">
        <w:t xml:space="preserve"> </w:t>
      </w:r>
      <w:r w:rsidRPr="00382917">
        <w:t>by</w:t>
      </w:r>
      <w:r w:rsidR="00EE4FC3">
        <w:t xml:space="preserve"> </w:t>
      </w:r>
      <w:r w:rsidRPr="00382917">
        <w:t>day</w:t>
      </w:r>
      <w:r w:rsidR="00EE4FC3">
        <w:t xml:space="preserve"> </w:t>
      </w:r>
      <w:r w:rsidRPr="00382917">
        <w:t>the</w:t>
      </w:r>
      <w:r w:rsidR="00EE4FC3">
        <w:t xml:space="preserve"> </w:t>
      </w:r>
      <w:r w:rsidRPr="00382917">
        <w:t>crowds</w:t>
      </w:r>
      <w:r w:rsidR="00EE4FC3">
        <w:t xml:space="preserve"> </w:t>
      </w:r>
      <w:r w:rsidRPr="00382917">
        <w:t>that</w:t>
      </w:r>
      <w:r w:rsidR="00EE4FC3">
        <w:t xml:space="preserve"> </w:t>
      </w:r>
      <w:r w:rsidRPr="00382917">
        <w:t>followed</w:t>
      </w:r>
      <w:r w:rsidR="00EE4FC3">
        <w:t xml:space="preserve"> </w:t>
      </w:r>
      <w:r w:rsidRPr="00382917">
        <w:t>Him</w:t>
      </w:r>
      <w:r w:rsidR="00EE4FC3">
        <w:t xml:space="preserve"> </w:t>
      </w:r>
      <w:r w:rsidRPr="00382917">
        <w:t>greatly</w:t>
      </w:r>
      <w:r w:rsidR="00EE4FC3">
        <w:t xml:space="preserve"> </w:t>
      </w:r>
      <w:r w:rsidRPr="00382917">
        <w:t>increased</w:t>
      </w:r>
      <w:r w:rsidR="00EE4FC3">
        <w:t xml:space="preserve"> </w:t>
      </w:r>
      <w:r w:rsidRPr="00382917">
        <w:t>in</w:t>
      </w:r>
      <w:r w:rsidR="00EE4FC3">
        <w:t xml:space="preserve"> </w:t>
      </w:r>
      <w:r w:rsidRPr="00382917">
        <w:t>number</w:t>
      </w:r>
      <w:r w:rsidR="00C03C91">
        <w:t>.</w:t>
      </w:r>
      <w:r w:rsidR="00EE4FC3">
        <w:t xml:space="preserve">  </w:t>
      </w:r>
      <w:r w:rsidRPr="00382917">
        <w:t>His</w:t>
      </w:r>
      <w:r w:rsidR="00EE4FC3">
        <w:t xml:space="preserve"> </w:t>
      </w:r>
      <w:r w:rsidRPr="00382917">
        <w:t>purity</w:t>
      </w:r>
      <w:r w:rsidR="00EE4FC3">
        <w:t xml:space="preserve"> </w:t>
      </w:r>
      <w:r w:rsidRPr="00382917">
        <w:t>of</w:t>
      </w:r>
      <w:r w:rsidR="00EE4FC3">
        <w:t xml:space="preserve"> </w:t>
      </w:r>
      <w:r w:rsidRPr="00382917">
        <w:t>conduct</w:t>
      </w:r>
      <w:r w:rsidR="00EE4FC3">
        <w:t xml:space="preserve"> </w:t>
      </w:r>
      <w:r w:rsidRPr="00382917">
        <w:t>at</w:t>
      </w:r>
      <w:r w:rsidR="00EE4FC3">
        <w:t xml:space="preserve"> </w:t>
      </w:r>
      <w:r w:rsidRPr="00382917">
        <w:t>an</w:t>
      </w:r>
      <w:r w:rsidR="00EE4FC3">
        <w:t xml:space="preserve"> </w:t>
      </w:r>
      <w:r w:rsidRPr="00382917">
        <w:t>age</w:t>
      </w:r>
      <w:r w:rsidR="00EE4FC3">
        <w:t xml:space="preserve"> </w:t>
      </w:r>
      <w:r w:rsidRPr="00382917">
        <w:t>when</w:t>
      </w:r>
      <w:r w:rsidR="00EE4FC3">
        <w:t xml:space="preserve"> </w:t>
      </w:r>
      <w:r w:rsidRPr="00382917">
        <w:t>passions</w:t>
      </w:r>
      <w:r w:rsidR="00EE4FC3">
        <w:t xml:space="preserve"> </w:t>
      </w:r>
      <w:r w:rsidRPr="00382917">
        <w:t>are</w:t>
      </w:r>
      <w:r w:rsidR="00EE4FC3">
        <w:t xml:space="preserve"> </w:t>
      </w:r>
      <w:r w:rsidRPr="00382917">
        <w:t>intense</w:t>
      </w:r>
      <w:r w:rsidR="00EE4FC3">
        <w:t xml:space="preserve"> </w:t>
      </w:r>
      <w:r w:rsidRPr="00382917">
        <w:t>impressed</w:t>
      </w:r>
      <w:r w:rsidR="00EE4FC3">
        <w:t xml:space="preserve"> </w:t>
      </w:r>
      <w:r w:rsidRPr="00382917">
        <w:t>the</w:t>
      </w:r>
      <w:r w:rsidR="00EE4FC3">
        <w:t xml:space="preserve"> </w:t>
      </w:r>
      <w:r w:rsidRPr="00382917">
        <w:t>people</w:t>
      </w:r>
      <w:r w:rsidR="00EE4FC3">
        <w:t xml:space="preserve"> </w:t>
      </w:r>
      <w:r w:rsidRPr="00382917">
        <w:t>who</w:t>
      </w:r>
      <w:r w:rsidR="00EE4FC3">
        <w:t xml:space="preserve"> </w:t>
      </w:r>
      <w:r w:rsidRPr="00382917">
        <w:t>met</w:t>
      </w:r>
      <w:r w:rsidR="00EE4FC3">
        <w:t xml:space="preserve"> </w:t>
      </w:r>
      <w:r w:rsidRPr="00382917">
        <w:t>Him</w:t>
      </w:r>
      <w:r w:rsidR="00C03C91">
        <w:t>.</w:t>
      </w:r>
      <w:r w:rsidR="00EE4FC3">
        <w:t xml:space="preserve">  </w:t>
      </w:r>
      <w:r w:rsidRPr="00382917">
        <w:t>He</w:t>
      </w:r>
      <w:r w:rsidR="00EE4FC3">
        <w:t xml:space="preserve"> </w:t>
      </w:r>
      <w:r w:rsidRPr="00382917">
        <w:t>was</w:t>
      </w:r>
      <w:r w:rsidR="00EE4FC3">
        <w:t xml:space="preserve"> </w:t>
      </w:r>
      <w:r w:rsidRPr="00382917">
        <w:t>possessed</w:t>
      </w:r>
      <w:r w:rsidR="00EE4FC3">
        <w:t xml:space="preserve"> </w:t>
      </w:r>
      <w:r w:rsidRPr="00382917">
        <w:t>of</w:t>
      </w:r>
      <w:r w:rsidR="00EE4FC3">
        <w:t xml:space="preserve"> </w:t>
      </w:r>
      <w:r w:rsidRPr="00382917">
        <w:t>extraordinary</w:t>
      </w:r>
      <w:r w:rsidR="00EE4FC3">
        <w:t xml:space="preserve"> </w:t>
      </w:r>
      <w:r w:rsidRPr="00382917">
        <w:t>eloquence</w:t>
      </w:r>
      <w:r w:rsidR="00EE4FC3">
        <w:t xml:space="preserve"> </w:t>
      </w:r>
      <w:r w:rsidRPr="00382917">
        <w:t>and</w:t>
      </w:r>
      <w:r w:rsidR="00EE4FC3">
        <w:t xml:space="preserve"> </w:t>
      </w:r>
      <w:r w:rsidRPr="00382917">
        <w:t>daring</w:t>
      </w:r>
      <w:r w:rsidR="00C03C91">
        <w:t>.</w:t>
      </w:r>
      <w:r w:rsidR="00EE4FC3">
        <w:t xml:space="preserve">  </w:t>
      </w:r>
      <w:r w:rsidRPr="00382917">
        <w:t>An</w:t>
      </w:r>
      <w:r w:rsidR="00EE4FC3">
        <w:t xml:space="preserve"> </w:t>
      </w:r>
      <w:r w:rsidRPr="00382917">
        <w:t>historian</w:t>
      </w:r>
      <w:r w:rsidR="00EE4FC3">
        <w:t xml:space="preserve"> </w:t>
      </w:r>
      <w:r w:rsidRPr="00382917">
        <w:t>of</w:t>
      </w:r>
      <w:r w:rsidR="00EE4FC3">
        <w:t xml:space="preserve"> </w:t>
      </w:r>
      <w:r w:rsidRPr="00382917">
        <w:t>those</w:t>
      </w:r>
      <w:r w:rsidR="00EE4FC3">
        <w:t xml:space="preserve"> </w:t>
      </w:r>
      <w:r w:rsidRPr="00382917">
        <w:t>times,</w:t>
      </w:r>
      <w:r w:rsidR="00EE4FC3">
        <w:t xml:space="preserve"> </w:t>
      </w:r>
      <w:r w:rsidRPr="00382917">
        <w:t>Comte</w:t>
      </w:r>
      <w:r w:rsidR="00EE4FC3">
        <w:t xml:space="preserve"> </w:t>
      </w:r>
      <w:r w:rsidRPr="00382917">
        <w:t>de</w:t>
      </w:r>
      <w:r w:rsidR="00EE4FC3">
        <w:t xml:space="preserve"> </w:t>
      </w:r>
      <w:proofErr w:type="spellStart"/>
      <w:r w:rsidRPr="00382917">
        <w:t>Gobineau</w:t>
      </w:r>
      <w:proofErr w:type="spellEnd"/>
      <w:r w:rsidRPr="00382917">
        <w:t>,</w:t>
      </w:r>
      <w:r w:rsidR="00EE4FC3">
        <w:t xml:space="preserve"> </w:t>
      </w:r>
      <w:r w:rsidRPr="00382917">
        <w:t>writes</w:t>
      </w:r>
      <w:r w:rsidR="00C03C91">
        <w:t>:</w:t>
      </w:r>
      <w:r w:rsidR="00EE4FC3">
        <w:t xml:space="preserve">  </w:t>
      </w:r>
      <w:r w:rsidR="009C713D" w:rsidRPr="00382917">
        <w:t>“</w:t>
      </w:r>
      <w:r w:rsidRPr="00382917">
        <w:t>From</w:t>
      </w:r>
      <w:r w:rsidR="00EE4FC3">
        <w:t xml:space="preserve"> </w:t>
      </w:r>
      <w:r w:rsidRPr="00382917">
        <w:t>his</w:t>
      </w:r>
      <w:r w:rsidR="00EE4FC3">
        <w:t xml:space="preserve"> </w:t>
      </w:r>
      <w:r w:rsidRPr="00382917">
        <w:t>first</w:t>
      </w:r>
      <w:r w:rsidR="00EE4FC3">
        <w:t xml:space="preserve"> </w:t>
      </w:r>
      <w:r w:rsidRPr="00382917">
        <w:t>public</w:t>
      </w:r>
      <w:r w:rsidR="00EE4FC3">
        <w:t xml:space="preserve"> </w:t>
      </w:r>
      <w:r w:rsidRPr="00382917">
        <w:t>appearances,</w:t>
      </w:r>
      <w:r w:rsidR="00EE4FC3">
        <w:t xml:space="preserve"> </w:t>
      </w:r>
      <w:r w:rsidRPr="00382917">
        <w:t>they</w:t>
      </w:r>
      <w:r w:rsidR="00EE4FC3">
        <w:t xml:space="preserve"> </w:t>
      </w:r>
      <w:r w:rsidRPr="00382917">
        <w:t>sent</w:t>
      </w:r>
      <w:r w:rsidR="00EE4FC3">
        <w:t xml:space="preserve"> </w:t>
      </w:r>
      <w:r w:rsidRPr="00382917">
        <w:t>their</w:t>
      </w:r>
      <w:r w:rsidR="00EE4FC3">
        <w:t xml:space="preserve"> </w:t>
      </w:r>
      <w:r w:rsidRPr="00382917">
        <w:t>most</w:t>
      </w:r>
      <w:r w:rsidR="00EE4FC3">
        <w:t xml:space="preserve"> </w:t>
      </w:r>
      <w:r w:rsidRPr="00382917">
        <w:t>able</w:t>
      </w:r>
      <w:r w:rsidR="00EE4FC3">
        <w:t xml:space="preserve"> </w:t>
      </w:r>
      <w:proofErr w:type="spellStart"/>
      <w:r w:rsidRPr="00382917">
        <w:t>mullas</w:t>
      </w:r>
      <w:proofErr w:type="spellEnd"/>
      <w:r w:rsidR="00EE4FC3">
        <w:t xml:space="preserve"> </w:t>
      </w:r>
      <w:r w:rsidRPr="00382917">
        <w:t>[religious</w:t>
      </w:r>
      <w:r w:rsidR="00EE4FC3">
        <w:t xml:space="preserve"> </w:t>
      </w:r>
      <w:r w:rsidRPr="00382917">
        <w:t>leaders]</w:t>
      </w:r>
      <w:r w:rsidR="00EE4FC3">
        <w:t xml:space="preserve"> </w:t>
      </w:r>
      <w:r w:rsidRPr="00382917">
        <w:t>to</w:t>
      </w:r>
      <w:r w:rsidR="00EE4FC3">
        <w:t xml:space="preserve"> </w:t>
      </w:r>
      <w:r w:rsidRPr="00382917">
        <w:t>argue</w:t>
      </w:r>
      <w:r w:rsidR="00EE4FC3">
        <w:t xml:space="preserve"> </w:t>
      </w:r>
      <w:r w:rsidRPr="00382917">
        <w:t>with</w:t>
      </w:r>
      <w:r w:rsidR="00EE4FC3">
        <w:t xml:space="preserve"> </w:t>
      </w:r>
      <w:r w:rsidRPr="00382917">
        <w:t>him</w:t>
      </w:r>
      <w:r w:rsidR="00EE4FC3">
        <w:t xml:space="preserve"> </w:t>
      </w:r>
      <w:r w:rsidRPr="00382917">
        <w:t>and</w:t>
      </w:r>
      <w:r w:rsidR="00EE4FC3">
        <w:t xml:space="preserve"> </w:t>
      </w:r>
      <w:r w:rsidRPr="00382917">
        <w:t>confuse</w:t>
      </w:r>
      <w:r w:rsidR="00EE4FC3">
        <w:t xml:space="preserve"> </w:t>
      </w:r>
      <w:r w:rsidRPr="00382917">
        <w:t>him</w:t>
      </w:r>
      <w:r w:rsidR="00EE4FC3">
        <w:t xml:space="preserve"> </w:t>
      </w:r>
      <w:r w:rsidR="00F04416" w:rsidRPr="00382917">
        <w:t>…</w:t>
      </w:r>
      <w:r w:rsidR="00EE4FC3">
        <w:t xml:space="preserve"> </w:t>
      </w:r>
      <w:r w:rsidRPr="00382917">
        <w:t>instead</w:t>
      </w:r>
      <w:r w:rsidR="00EE4FC3">
        <w:t xml:space="preserve"> </w:t>
      </w:r>
      <w:r w:rsidRPr="00382917">
        <w:t>of</w:t>
      </w:r>
      <w:r w:rsidR="00EE4FC3">
        <w:t xml:space="preserve"> </w:t>
      </w:r>
      <w:r w:rsidRPr="00382917">
        <w:t>benefiting</w:t>
      </w:r>
      <w:r w:rsidR="00EE4FC3">
        <w:t xml:space="preserve"> </w:t>
      </w:r>
      <w:r w:rsidRPr="00382917">
        <w:t>the</w:t>
      </w:r>
      <w:r w:rsidR="00EE4FC3">
        <w:t xml:space="preserve"> </w:t>
      </w:r>
      <w:proofErr w:type="gramStart"/>
      <w:r w:rsidRPr="00382917">
        <w:t>clergy,</w:t>
      </w:r>
      <w:proofErr w:type="gramEnd"/>
      <w:r w:rsidR="00EE4FC3">
        <w:t xml:space="preserve"> </w:t>
      </w:r>
      <w:r w:rsidRPr="00382917">
        <w:t>they</w:t>
      </w:r>
      <w:r w:rsidR="00EE4FC3">
        <w:t xml:space="preserve"> </w:t>
      </w:r>
      <w:r w:rsidRPr="00382917">
        <w:t>contributed</w:t>
      </w:r>
      <w:r w:rsidR="00EE4FC3">
        <w:t xml:space="preserve"> </w:t>
      </w:r>
      <w:r w:rsidRPr="00382917">
        <w:t>quite</w:t>
      </w:r>
      <w:r w:rsidR="00EE4FC3">
        <w:t xml:space="preserve"> </w:t>
      </w:r>
      <w:r w:rsidRPr="00382917">
        <w:t>a</w:t>
      </w:r>
      <w:r w:rsidR="00EE4FC3">
        <w:t xml:space="preserve"> </w:t>
      </w:r>
      <w:r w:rsidRPr="00382917">
        <w:t>little</w:t>
      </w:r>
      <w:r w:rsidR="00EE4FC3">
        <w:t xml:space="preserve"> </w:t>
      </w:r>
      <w:r w:rsidRPr="00382917">
        <w:t>to</w:t>
      </w:r>
      <w:r w:rsidR="00EE4FC3">
        <w:t xml:space="preserve"> </w:t>
      </w:r>
      <w:r w:rsidRPr="00382917">
        <w:t>spread</w:t>
      </w:r>
      <w:r w:rsidR="00EE4FC3">
        <w:t xml:space="preserve"> </w:t>
      </w:r>
      <w:r w:rsidRPr="00382917">
        <w:t>and</w:t>
      </w:r>
      <w:r w:rsidR="00EE4FC3">
        <w:t xml:space="preserve"> </w:t>
      </w:r>
      <w:r w:rsidRPr="00382917">
        <w:t>exalt,</w:t>
      </w:r>
      <w:r w:rsidR="00EE4FC3">
        <w:t xml:space="preserve"> </w:t>
      </w:r>
      <w:r w:rsidRPr="00382917">
        <w:t>at</w:t>
      </w:r>
      <w:r w:rsidR="00EE4FC3">
        <w:t xml:space="preserve"> </w:t>
      </w:r>
      <w:r w:rsidRPr="00382917">
        <w:t>their</w:t>
      </w:r>
      <w:r w:rsidR="00EE4FC3">
        <w:t xml:space="preserve"> </w:t>
      </w:r>
      <w:r w:rsidRPr="00382917">
        <w:t>own</w:t>
      </w:r>
      <w:r w:rsidR="00EE4FC3">
        <w:t xml:space="preserve"> </w:t>
      </w:r>
      <w:r w:rsidRPr="00382917">
        <w:t>expense,</w:t>
      </w:r>
      <w:r w:rsidR="00EE4FC3">
        <w:t xml:space="preserve"> </w:t>
      </w:r>
      <w:r w:rsidRPr="00382917">
        <w:t>the</w:t>
      </w:r>
      <w:r w:rsidR="00EE4FC3">
        <w:t xml:space="preserve"> </w:t>
      </w:r>
      <w:r w:rsidRPr="00382917">
        <w:t>renown</w:t>
      </w:r>
      <w:r w:rsidR="00EE4FC3">
        <w:t xml:space="preserve"> </w:t>
      </w:r>
      <w:r w:rsidRPr="00382917">
        <w:t>of</w:t>
      </w:r>
      <w:r w:rsidR="00EE4FC3">
        <w:t xml:space="preserve"> </w:t>
      </w:r>
      <w:r w:rsidRPr="00382917">
        <w:t>this</w:t>
      </w:r>
      <w:r w:rsidR="00EE4FC3">
        <w:t xml:space="preserve"> </w:t>
      </w:r>
      <w:r w:rsidRPr="00382917">
        <w:t>enthusiastic</w:t>
      </w:r>
      <w:r w:rsidR="00EE4FC3">
        <w:t xml:space="preserve"> </w:t>
      </w:r>
      <w:r w:rsidRPr="00382917">
        <w:t>teacher.</w:t>
      </w:r>
      <w:r w:rsidR="009C713D" w:rsidRPr="00382917">
        <w:t>”</w:t>
      </w:r>
      <w:r w:rsidR="00CA5B9E">
        <w:rPr>
          <w:rStyle w:val="FootnoteReference"/>
        </w:rPr>
        <w:footnoteReference w:id="35"/>
      </w:r>
    </w:p>
    <w:p w:rsidR="003B2D0A" w:rsidRPr="00382917" w:rsidRDefault="003B2D0A" w:rsidP="003B2D0A">
      <w:pPr>
        <w:pStyle w:val="Text"/>
      </w:pPr>
      <w:r w:rsidRPr="00382917">
        <w:t>The</w:t>
      </w:r>
      <w:r w:rsidR="00EE4FC3">
        <w:t xml:space="preserve"> </w:t>
      </w:r>
      <w:r w:rsidRPr="00382917">
        <w:t>Báb</w:t>
      </w:r>
      <w:r w:rsidR="00EE4FC3">
        <w:t xml:space="preserve"> </w:t>
      </w:r>
      <w:r w:rsidRPr="00382917">
        <w:t>exposed,</w:t>
      </w:r>
      <w:r w:rsidR="00EE4FC3">
        <w:t xml:space="preserve"> </w:t>
      </w:r>
      <w:r w:rsidRPr="00382917">
        <w:t>unsparingly,</w:t>
      </w:r>
      <w:r w:rsidR="00EE4FC3">
        <w:t xml:space="preserve"> </w:t>
      </w:r>
      <w:r w:rsidRPr="00382917">
        <w:t>their</w:t>
      </w:r>
      <w:r w:rsidR="00EE4FC3">
        <w:t xml:space="preserve"> </w:t>
      </w:r>
      <w:r w:rsidRPr="00382917">
        <w:t>vices</w:t>
      </w:r>
      <w:r w:rsidR="00EE4FC3">
        <w:t xml:space="preserve"> </w:t>
      </w:r>
      <w:r w:rsidRPr="00382917">
        <w:t>and</w:t>
      </w:r>
      <w:r w:rsidR="00EE4FC3">
        <w:t xml:space="preserve"> </w:t>
      </w:r>
      <w:r w:rsidRPr="00382917">
        <w:t>their</w:t>
      </w:r>
      <w:r w:rsidR="00EE4FC3">
        <w:t xml:space="preserve"> </w:t>
      </w:r>
      <w:r w:rsidRPr="00382917">
        <w:t>corruption</w:t>
      </w:r>
      <w:r w:rsidR="00C03C91">
        <w:t>.</w:t>
      </w:r>
      <w:r w:rsidR="00EE4FC3">
        <w:t xml:space="preserve">  </w:t>
      </w:r>
      <w:r w:rsidRPr="00382917">
        <w:t>Like</w:t>
      </w:r>
      <w:r w:rsidR="00EE4FC3">
        <w:t xml:space="preserve"> </w:t>
      </w:r>
      <w:r w:rsidRPr="00382917">
        <w:t>Jesus,</w:t>
      </w:r>
      <w:r w:rsidR="00EE4FC3">
        <w:t xml:space="preserve"> </w:t>
      </w:r>
      <w:r w:rsidRPr="00382917">
        <w:t>He</w:t>
      </w:r>
      <w:r w:rsidR="00EE4FC3">
        <w:t xml:space="preserve"> </w:t>
      </w:r>
      <w:r w:rsidRPr="00382917">
        <w:t>proved</w:t>
      </w:r>
      <w:r w:rsidR="00EE4FC3">
        <w:t xml:space="preserve"> </w:t>
      </w:r>
      <w:r w:rsidRPr="00382917">
        <w:t>their</w:t>
      </w:r>
      <w:r w:rsidR="00EE4FC3">
        <w:t xml:space="preserve"> </w:t>
      </w:r>
      <w:r w:rsidRPr="00382917">
        <w:t>infidelity</w:t>
      </w:r>
      <w:r w:rsidR="00EE4FC3">
        <w:t xml:space="preserve"> </w:t>
      </w:r>
      <w:r w:rsidRPr="00382917">
        <w:t>to</w:t>
      </w:r>
      <w:r w:rsidR="00EE4FC3">
        <w:t xml:space="preserve"> </w:t>
      </w:r>
      <w:r w:rsidRPr="00382917">
        <w:t>their</w:t>
      </w:r>
      <w:r w:rsidR="00EE4FC3">
        <w:t xml:space="preserve"> </w:t>
      </w:r>
      <w:r w:rsidRPr="00382917">
        <w:t>own</w:t>
      </w:r>
      <w:r w:rsidR="00EE4FC3">
        <w:t xml:space="preserve"> </w:t>
      </w:r>
      <w:r w:rsidRPr="00382917">
        <w:t>belief</w:t>
      </w:r>
      <w:r w:rsidR="00C03C91">
        <w:t>.</w:t>
      </w:r>
      <w:r w:rsidR="00EE4FC3">
        <w:t xml:space="preserve">  </w:t>
      </w:r>
      <w:r w:rsidRPr="00382917">
        <w:t>He</w:t>
      </w:r>
      <w:r w:rsidR="00EE4FC3">
        <w:t xml:space="preserve"> </w:t>
      </w:r>
      <w:r w:rsidRPr="00382917">
        <w:t>shamed</w:t>
      </w:r>
      <w:r w:rsidR="00EE4FC3">
        <w:t xml:space="preserve"> </w:t>
      </w:r>
      <w:r w:rsidRPr="00382917">
        <w:t>them</w:t>
      </w:r>
      <w:r w:rsidR="00EE4FC3">
        <w:t xml:space="preserve"> </w:t>
      </w:r>
      <w:r w:rsidRPr="00382917">
        <w:t>in</w:t>
      </w:r>
      <w:r w:rsidR="00EE4FC3">
        <w:t xml:space="preserve"> </w:t>
      </w:r>
      <w:r w:rsidRPr="00382917">
        <w:t>their</w:t>
      </w:r>
      <w:r w:rsidR="00EE4FC3">
        <w:t xml:space="preserve"> </w:t>
      </w:r>
      <w:r w:rsidRPr="00382917">
        <w:t>lives</w:t>
      </w:r>
      <w:r w:rsidR="00C03C91">
        <w:t>.</w:t>
      </w:r>
      <w:r w:rsidR="00EE4FC3">
        <w:t xml:space="preserve">  </w:t>
      </w:r>
      <w:r w:rsidRPr="00382917">
        <w:t>He</w:t>
      </w:r>
      <w:r w:rsidR="00EE4FC3">
        <w:t xml:space="preserve"> </w:t>
      </w:r>
      <w:r w:rsidRPr="00382917">
        <w:t>defeated</w:t>
      </w:r>
      <w:r w:rsidR="00EE4FC3">
        <w:t xml:space="preserve"> </w:t>
      </w:r>
      <w:r w:rsidRPr="00382917">
        <w:t>them</w:t>
      </w:r>
      <w:r w:rsidR="00EE4FC3">
        <w:t xml:space="preserve"> </w:t>
      </w:r>
      <w:r w:rsidRPr="00382917">
        <w:t>with</w:t>
      </w:r>
      <w:r w:rsidR="00EE4FC3">
        <w:t xml:space="preserve"> </w:t>
      </w:r>
      <w:r w:rsidRPr="00382917">
        <w:t>their</w:t>
      </w:r>
      <w:r w:rsidR="00EE4FC3">
        <w:t xml:space="preserve"> </w:t>
      </w:r>
      <w:r w:rsidRPr="00382917">
        <w:t>own</w:t>
      </w:r>
      <w:r w:rsidR="00EE4FC3">
        <w:t xml:space="preserve"> </w:t>
      </w:r>
      <w:r w:rsidRPr="00382917">
        <w:t>Holy</w:t>
      </w:r>
      <w:r w:rsidR="00EE4FC3">
        <w:t xml:space="preserve"> </w:t>
      </w:r>
      <w:r w:rsidRPr="00382917">
        <w:t>Book</w:t>
      </w:r>
      <w:r w:rsidR="00EE4FC3">
        <w:t xml:space="preserve"> </w:t>
      </w:r>
      <w:r w:rsidRPr="00382917">
        <w:t>in</w:t>
      </w:r>
      <w:r w:rsidR="00EE4FC3">
        <w:t xml:space="preserve"> </w:t>
      </w:r>
      <w:r w:rsidRPr="00382917">
        <w:t>His</w:t>
      </w:r>
      <w:r w:rsidR="00EE4FC3">
        <w:t xml:space="preserve"> </w:t>
      </w:r>
      <w:r w:rsidRPr="00382917">
        <w:t>hand.</w:t>
      </w:r>
    </w:p>
    <w:p w:rsidR="003B2D0A" w:rsidRPr="00382917" w:rsidRDefault="003B2D0A" w:rsidP="00FA566C">
      <w:pPr>
        <w:pStyle w:val="Text"/>
      </w:pPr>
      <w:proofErr w:type="spellStart"/>
      <w:r w:rsidRPr="00382917">
        <w:t>Gobineau</w:t>
      </w:r>
      <w:proofErr w:type="spellEnd"/>
      <w:r w:rsidR="00EE4FC3">
        <w:t xml:space="preserve"> </w:t>
      </w:r>
      <w:r w:rsidRPr="00382917">
        <w:t>says</w:t>
      </w:r>
      <w:r w:rsidR="00EE4FC3">
        <w:t xml:space="preserve"> </w:t>
      </w:r>
      <w:r w:rsidRPr="00382917">
        <w:t>further</w:t>
      </w:r>
      <w:r w:rsidR="00EE4FC3">
        <w:t xml:space="preserve"> </w:t>
      </w:r>
      <w:r w:rsidRPr="00382917">
        <w:t>that</w:t>
      </w:r>
      <w:r w:rsidR="00EE4FC3">
        <w:t xml:space="preserve"> </w:t>
      </w:r>
      <w:r w:rsidRPr="00382917">
        <w:t>the</w:t>
      </w:r>
      <w:r w:rsidR="00EE4FC3">
        <w:t xml:space="preserve"> </w:t>
      </w:r>
      <w:r w:rsidRPr="00382917">
        <w:t>Báb</w:t>
      </w:r>
      <w:r w:rsidR="00EE4FC3">
        <w:t xml:space="preserve"> </w:t>
      </w:r>
      <w:r w:rsidRPr="00382917">
        <w:t>was</w:t>
      </w:r>
      <w:r w:rsidR="00EE4FC3">
        <w:t xml:space="preserve"> </w:t>
      </w:r>
      <w:r w:rsidR="009C713D" w:rsidRPr="00382917">
        <w:t>“</w:t>
      </w:r>
      <w:r w:rsidRPr="00382917">
        <w:t>of</w:t>
      </w:r>
      <w:r w:rsidR="00EE4FC3">
        <w:t xml:space="preserve"> </w:t>
      </w:r>
      <w:r w:rsidRPr="00382917">
        <w:t>extreme</w:t>
      </w:r>
      <w:r w:rsidR="00EE4FC3">
        <w:t xml:space="preserve"> </w:t>
      </w:r>
      <w:r w:rsidRPr="00382917">
        <w:t>simplicity</w:t>
      </w:r>
      <w:r w:rsidR="00EE4FC3">
        <w:t xml:space="preserve"> </w:t>
      </w:r>
      <w:r w:rsidRPr="00382917">
        <w:t>of</w:t>
      </w:r>
      <w:r w:rsidR="00EE4FC3">
        <w:t xml:space="preserve"> </w:t>
      </w:r>
      <w:r w:rsidRPr="00382917">
        <w:t>manner,</w:t>
      </w:r>
      <w:r w:rsidR="00EE4FC3">
        <w:t xml:space="preserve"> </w:t>
      </w:r>
      <w:r w:rsidRPr="00382917">
        <w:t>of</w:t>
      </w:r>
      <w:r w:rsidR="00EE4FC3">
        <w:t xml:space="preserve"> </w:t>
      </w:r>
      <w:r w:rsidRPr="00382917">
        <w:t>a</w:t>
      </w:r>
      <w:r w:rsidR="00EE4FC3">
        <w:t xml:space="preserve"> </w:t>
      </w:r>
      <w:r w:rsidRPr="00382917">
        <w:t>fascinating</w:t>
      </w:r>
      <w:r w:rsidR="00EE4FC3">
        <w:t xml:space="preserve"> </w:t>
      </w:r>
      <w:r w:rsidRPr="00382917">
        <w:t>gentleness;</w:t>
      </w:r>
      <w:r w:rsidR="00EE4FC3">
        <w:t xml:space="preserve"> </w:t>
      </w:r>
      <w:r w:rsidRPr="00382917">
        <w:t>those</w:t>
      </w:r>
      <w:r w:rsidR="00EE4FC3">
        <w:t xml:space="preserve"> </w:t>
      </w:r>
      <w:r w:rsidRPr="00382917">
        <w:t>gifts</w:t>
      </w:r>
      <w:r w:rsidR="00EE4FC3">
        <w:t xml:space="preserve"> </w:t>
      </w:r>
      <w:r w:rsidRPr="00382917">
        <w:t>were</w:t>
      </w:r>
      <w:r w:rsidR="00EE4FC3">
        <w:t xml:space="preserve"> </w:t>
      </w:r>
      <w:r w:rsidRPr="00382917">
        <w:t>further</w:t>
      </w:r>
      <w:r w:rsidR="00EE4FC3">
        <w:t xml:space="preserve"> </w:t>
      </w:r>
      <w:r w:rsidRPr="00382917">
        <w:t>heightened</w:t>
      </w:r>
      <w:r w:rsidR="00EE4FC3">
        <w:t xml:space="preserve"> </w:t>
      </w:r>
      <w:r w:rsidRPr="00382917">
        <w:t>by</w:t>
      </w:r>
      <w:r w:rsidR="00EE4FC3">
        <w:t xml:space="preserve"> </w:t>
      </w:r>
      <w:r w:rsidRPr="00382917">
        <w:t>his</w:t>
      </w:r>
      <w:r w:rsidR="00EE4FC3">
        <w:t xml:space="preserve"> </w:t>
      </w:r>
      <w:r w:rsidRPr="00382917">
        <w:t>great</w:t>
      </w:r>
      <w:r w:rsidR="00EE4FC3">
        <w:t xml:space="preserve"> </w:t>
      </w:r>
      <w:r w:rsidRPr="00382917">
        <w:t>youth</w:t>
      </w:r>
      <w:r w:rsidR="00EE4FC3">
        <w:t xml:space="preserve"> </w:t>
      </w:r>
      <w:r w:rsidRPr="00382917">
        <w:t>and</w:t>
      </w:r>
      <w:r w:rsidR="00EE4FC3">
        <w:t xml:space="preserve"> </w:t>
      </w:r>
      <w:r w:rsidRPr="00382917">
        <w:t>his</w:t>
      </w:r>
      <w:r w:rsidR="00EE4FC3">
        <w:t xml:space="preserve"> </w:t>
      </w:r>
      <w:proofErr w:type="spellStart"/>
      <w:r w:rsidRPr="00382917">
        <w:t>marvelous</w:t>
      </w:r>
      <w:proofErr w:type="spellEnd"/>
      <w:r w:rsidR="00EE4FC3">
        <w:t xml:space="preserve"> </w:t>
      </w:r>
      <w:r w:rsidRPr="00382917">
        <w:t>charm</w:t>
      </w:r>
      <w:r w:rsidR="00C03C91">
        <w:t>.</w:t>
      </w:r>
      <w:r w:rsidR="00EE4FC3">
        <w:t xml:space="preserve">  </w:t>
      </w:r>
      <w:r w:rsidRPr="00382917">
        <w:t>He</w:t>
      </w:r>
      <w:r w:rsidR="00EE4FC3">
        <w:t xml:space="preserve"> </w:t>
      </w:r>
      <w:r w:rsidRPr="00382917">
        <w:t>drew</w:t>
      </w:r>
      <w:r w:rsidR="00EE4FC3">
        <w:t xml:space="preserve"> </w:t>
      </w:r>
      <w:r w:rsidRPr="00382917">
        <w:t>about</w:t>
      </w:r>
      <w:r w:rsidR="00EE4FC3">
        <w:t xml:space="preserve"> </w:t>
      </w:r>
      <w:r w:rsidRPr="00382917">
        <w:t>himself</w:t>
      </w:r>
      <w:r w:rsidR="00EE4FC3">
        <w:t xml:space="preserve"> </w:t>
      </w:r>
      <w:r w:rsidRPr="00382917">
        <w:t>a</w:t>
      </w:r>
      <w:r w:rsidR="00EE4FC3">
        <w:t xml:space="preserve"> </w:t>
      </w:r>
      <w:r w:rsidRPr="00382917">
        <w:t>number</w:t>
      </w:r>
      <w:r w:rsidR="00EE4FC3">
        <w:t xml:space="preserve"> </w:t>
      </w:r>
      <w:r w:rsidRPr="00382917">
        <w:t>of</w:t>
      </w:r>
      <w:r w:rsidR="00EE4FC3">
        <w:t xml:space="preserve"> </w:t>
      </w:r>
      <w:r w:rsidRPr="00382917">
        <w:t>persons</w:t>
      </w:r>
      <w:r w:rsidR="00EE4FC3">
        <w:t xml:space="preserve"> </w:t>
      </w:r>
      <w:r w:rsidRPr="00382917">
        <w:t>who</w:t>
      </w:r>
      <w:r w:rsidR="00EE4FC3">
        <w:t xml:space="preserve"> </w:t>
      </w:r>
      <w:r w:rsidRPr="00382917">
        <w:t>were</w:t>
      </w:r>
      <w:r w:rsidR="00EE4FC3">
        <w:t xml:space="preserve"> </w:t>
      </w:r>
      <w:r w:rsidRPr="00382917">
        <w:t>deeply</w:t>
      </w:r>
      <w:r w:rsidR="00EE4FC3">
        <w:t xml:space="preserve"> </w:t>
      </w:r>
      <w:r w:rsidRPr="00382917">
        <w:t>edified</w:t>
      </w:r>
      <w:proofErr w:type="gramStart"/>
      <w:r w:rsidR="00FA566C">
        <w:t>.</w:t>
      </w:r>
      <w:r w:rsidR="00EE4FC3">
        <w:t xml:space="preserve"> </w:t>
      </w:r>
      <w:proofErr w:type="gramEnd"/>
      <w:r w:rsidR="00F04416" w:rsidRPr="00382917">
        <w:t>…</w:t>
      </w:r>
      <w:r w:rsidR="00EE4FC3">
        <w:t xml:space="preserve">  </w:t>
      </w:r>
      <w:r w:rsidRPr="00382917">
        <w:t>He</w:t>
      </w:r>
      <w:r w:rsidR="00EE4FC3">
        <w:t xml:space="preserve"> </w:t>
      </w:r>
      <w:r w:rsidR="00FA566C">
        <w:t>could</w:t>
      </w:r>
      <w:r w:rsidR="00EE4FC3">
        <w:t xml:space="preserve"> </w:t>
      </w:r>
      <w:r w:rsidRPr="00382917">
        <w:t>not</w:t>
      </w:r>
      <w:r w:rsidR="00EE4FC3">
        <w:t xml:space="preserve"> </w:t>
      </w:r>
      <w:r w:rsidRPr="00382917">
        <w:t>open</w:t>
      </w:r>
      <w:r w:rsidR="00EE4FC3">
        <w:t xml:space="preserve"> </w:t>
      </w:r>
      <w:r w:rsidRPr="00382917">
        <w:t>his</w:t>
      </w:r>
      <w:r w:rsidR="00EE4FC3">
        <w:t xml:space="preserve"> </w:t>
      </w:r>
      <w:r w:rsidRPr="00382917">
        <w:t>lips</w:t>
      </w:r>
      <w:r w:rsidR="00EE4FC3">
        <w:t xml:space="preserve"> </w:t>
      </w:r>
      <w:r w:rsidRPr="00382917">
        <w:t>(we</w:t>
      </w:r>
      <w:r w:rsidR="00EE4FC3">
        <w:t xml:space="preserve"> </w:t>
      </w:r>
      <w:r w:rsidRPr="00382917">
        <w:t>are</w:t>
      </w:r>
      <w:r w:rsidR="00EE4FC3">
        <w:t xml:space="preserve"> </w:t>
      </w:r>
      <w:r w:rsidRPr="00382917">
        <w:t>assured</w:t>
      </w:r>
      <w:r w:rsidR="00EE4FC3">
        <w:t xml:space="preserve"> </w:t>
      </w:r>
      <w:r w:rsidRPr="00382917">
        <w:t>by</w:t>
      </w:r>
      <w:r w:rsidR="00EE4FC3">
        <w:t xml:space="preserve"> </w:t>
      </w:r>
      <w:r w:rsidRPr="00382917">
        <w:t>those</w:t>
      </w:r>
      <w:r w:rsidR="00EE4FC3">
        <w:t xml:space="preserve"> </w:t>
      </w:r>
      <w:r w:rsidRPr="00382917">
        <w:t>who</w:t>
      </w:r>
      <w:r w:rsidR="00EE4FC3">
        <w:t xml:space="preserve"> </w:t>
      </w:r>
      <w:r w:rsidRPr="00382917">
        <w:t>knew</w:t>
      </w:r>
      <w:r w:rsidR="00EE4FC3">
        <w:t xml:space="preserve"> </w:t>
      </w:r>
      <w:r w:rsidRPr="00382917">
        <w:t>him)</w:t>
      </w:r>
      <w:r w:rsidR="00EE4FC3">
        <w:t xml:space="preserve"> </w:t>
      </w:r>
      <w:r w:rsidRPr="00382917">
        <w:t>without</w:t>
      </w:r>
      <w:r w:rsidR="00EE4FC3">
        <w:t xml:space="preserve"> </w:t>
      </w:r>
      <w:r w:rsidRPr="00382917">
        <w:t>stirring</w:t>
      </w:r>
      <w:r w:rsidR="00EE4FC3">
        <w:t xml:space="preserve"> </w:t>
      </w:r>
      <w:r w:rsidRPr="00382917">
        <w:t>the</w:t>
      </w:r>
      <w:r w:rsidR="00EE4FC3">
        <w:t xml:space="preserve"> </w:t>
      </w:r>
      <w:r w:rsidRPr="00382917">
        <w:t>hearts</w:t>
      </w:r>
      <w:r w:rsidR="00EE4FC3">
        <w:t xml:space="preserve"> </w:t>
      </w:r>
      <w:r w:rsidRPr="00382917">
        <w:t>to</w:t>
      </w:r>
      <w:r w:rsidR="00EE4FC3">
        <w:t xml:space="preserve"> </w:t>
      </w:r>
      <w:r w:rsidRPr="00382917">
        <w:t>their</w:t>
      </w:r>
      <w:r w:rsidR="00EE4FC3">
        <w:t xml:space="preserve"> </w:t>
      </w:r>
      <w:r w:rsidRPr="00382917">
        <w:t>very</w:t>
      </w:r>
      <w:r w:rsidR="00EE4FC3">
        <w:t xml:space="preserve"> </w:t>
      </w:r>
      <w:r w:rsidRPr="00382917">
        <w:t>depths.</w:t>
      </w:r>
      <w:r w:rsidR="009C713D" w:rsidRPr="00382917">
        <w:t>”</w:t>
      </w:r>
      <w:r w:rsidR="00FA566C">
        <w:rPr>
          <w:rStyle w:val="FootnoteReference"/>
        </w:rPr>
        <w:footnoteReference w:id="36"/>
      </w:r>
    </w:p>
    <w:p w:rsidR="00E13D49" w:rsidRPr="00382917" w:rsidRDefault="003B2D0A" w:rsidP="00143A8B">
      <w:pPr>
        <w:pStyle w:val="Text"/>
      </w:pPr>
      <w:r w:rsidRPr="00382917">
        <w:t>Sir</w:t>
      </w:r>
      <w:r w:rsidR="00EE4FC3">
        <w:t xml:space="preserve"> </w:t>
      </w:r>
      <w:r w:rsidRPr="00382917">
        <w:t>Francis</w:t>
      </w:r>
      <w:r w:rsidR="00EE4FC3">
        <w:t xml:space="preserve"> </w:t>
      </w:r>
      <w:proofErr w:type="spellStart"/>
      <w:r w:rsidRPr="00382917">
        <w:t>Younghusband</w:t>
      </w:r>
      <w:proofErr w:type="spellEnd"/>
      <w:r w:rsidR="00EE4FC3">
        <w:t xml:space="preserve"> </w:t>
      </w:r>
      <w:r w:rsidRPr="00382917">
        <w:t>in</w:t>
      </w:r>
      <w:r w:rsidR="00EE4FC3">
        <w:t xml:space="preserve"> </w:t>
      </w:r>
      <w:r w:rsidRPr="00382917">
        <w:t>his</w:t>
      </w:r>
      <w:r w:rsidR="00EE4FC3">
        <w:t xml:space="preserve"> </w:t>
      </w:r>
      <w:r w:rsidRPr="00382917">
        <w:t>book,</w:t>
      </w:r>
      <w:r w:rsidR="00EE4FC3">
        <w:t xml:space="preserve"> </w:t>
      </w:r>
      <w:r w:rsidRPr="00BA11F7">
        <w:rPr>
          <w:i/>
          <w:iCs/>
        </w:rPr>
        <w:t>The</w:t>
      </w:r>
      <w:r w:rsidR="00EE4FC3">
        <w:rPr>
          <w:i/>
          <w:iCs/>
        </w:rPr>
        <w:t xml:space="preserve"> </w:t>
      </w:r>
      <w:r w:rsidRPr="00BA11F7">
        <w:rPr>
          <w:i/>
          <w:iCs/>
        </w:rPr>
        <w:t>Gleam</w:t>
      </w:r>
      <w:r w:rsidRPr="00382917">
        <w:t>,</w:t>
      </w:r>
      <w:r w:rsidR="00EE4FC3">
        <w:t xml:space="preserve"> </w:t>
      </w:r>
      <w:r w:rsidRPr="00382917">
        <w:t>writes</w:t>
      </w:r>
      <w:r w:rsidR="00EE4FC3">
        <w:t xml:space="preserve"> </w:t>
      </w:r>
      <w:r w:rsidRPr="00382917">
        <w:t>of</w:t>
      </w:r>
      <w:r w:rsidR="00EE4FC3">
        <w:t xml:space="preserve"> </w:t>
      </w:r>
      <w:r w:rsidRPr="00382917">
        <w:t>His</w:t>
      </w:r>
      <w:r w:rsidR="00EE4FC3">
        <w:t xml:space="preserve"> </w:t>
      </w:r>
      <w:r w:rsidR="009C713D" w:rsidRPr="00382917">
        <w:t>“</w:t>
      </w:r>
      <w:r w:rsidRPr="00382917">
        <w:t>wonderful</w:t>
      </w:r>
      <w:r w:rsidR="00EE4FC3">
        <w:t xml:space="preserve"> </w:t>
      </w:r>
      <w:r w:rsidRPr="00382917">
        <w:t>charm</w:t>
      </w:r>
      <w:r w:rsidR="00EE4FC3">
        <w:t xml:space="preserve"> </w:t>
      </w:r>
      <w:r w:rsidRPr="00382917">
        <w:t>of</w:t>
      </w:r>
      <w:r w:rsidR="00EE4FC3">
        <w:t xml:space="preserve"> </w:t>
      </w:r>
      <w:r w:rsidRPr="00382917">
        <w:t>appearance</w:t>
      </w:r>
      <w:r w:rsidR="00C03C91">
        <w:t>.</w:t>
      </w:r>
      <w:r w:rsidR="00EE4FC3">
        <w:t xml:space="preserve">  </w:t>
      </w:r>
      <w:r w:rsidRPr="00382917">
        <w:t>Men</w:t>
      </w:r>
      <w:r w:rsidR="00EE4FC3">
        <w:t xml:space="preserve"> </w:t>
      </w:r>
      <w:r w:rsidRPr="00382917">
        <w:t>were</w:t>
      </w:r>
      <w:r w:rsidR="00EE4FC3">
        <w:t xml:space="preserve"> </w:t>
      </w:r>
      <w:r w:rsidRPr="00382917">
        <w:t>impressed</w:t>
      </w:r>
      <w:r w:rsidR="00EE4FC3">
        <w:t xml:space="preserve"> </w:t>
      </w:r>
      <w:r w:rsidRPr="00382917">
        <w:t>by</w:t>
      </w:r>
      <w:r w:rsidR="00EE4FC3">
        <w:t xml:space="preserve"> </w:t>
      </w:r>
      <w:r w:rsidRPr="00382917">
        <w:t>his</w:t>
      </w:r>
      <w:r w:rsidR="00EE4FC3">
        <w:t xml:space="preserve"> </w:t>
      </w:r>
      <w:r w:rsidRPr="00382917">
        <w:t>knowledge</w:t>
      </w:r>
      <w:r w:rsidR="00EE4FC3">
        <w:t xml:space="preserve"> </w:t>
      </w:r>
      <w:r w:rsidRPr="00382917">
        <w:t>and</w:t>
      </w:r>
      <w:r w:rsidR="00EE4FC3">
        <w:t xml:space="preserve"> </w:t>
      </w:r>
      <w:r w:rsidRPr="00382917">
        <w:t>his</w:t>
      </w:r>
      <w:r w:rsidR="00EE4FC3">
        <w:t xml:space="preserve"> </w:t>
      </w:r>
      <w:r w:rsidRPr="00382917">
        <w:t>penetrating</w:t>
      </w:r>
      <w:r w:rsidR="00EE4FC3">
        <w:t xml:space="preserve"> </w:t>
      </w:r>
      <w:r w:rsidRPr="00382917">
        <w:t>eloquence</w:t>
      </w:r>
      <w:r w:rsidR="00EE4FC3">
        <w:t xml:space="preserve"> </w:t>
      </w:r>
      <w:r w:rsidRPr="00382917">
        <w:t>of</w:t>
      </w:r>
      <w:r w:rsidR="00EE4FC3">
        <w:t xml:space="preserve"> </w:t>
      </w:r>
      <w:r w:rsidRPr="00382917">
        <w:t>speech</w:t>
      </w:r>
      <w:proofErr w:type="gramStart"/>
      <w:r w:rsidR="00143A8B">
        <w:t>.</w:t>
      </w:r>
      <w:r w:rsidR="00EE4FC3">
        <w:t xml:space="preserve"> </w:t>
      </w:r>
      <w:proofErr w:type="gramEnd"/>
      <w:r w:rsidR="00F04416" w:rsidRPr="00382917">
        <w:t>…</w:t>
      </w:r>
      <w:r w:rsidR="00EE4FC3">
        <w:t xml:space="preserve">  </w:t>
      </w:r>
      <w:r w:rsidRPr="00382917">
        <w:t>As</w:t>
      </w:r>
      <w:r w:rsidR="00EE4FC3">
        <w:t xml:space="preserve"> </w:t>
      </w:r>
      <w:r w:rsidRPr="00382917">
        <w:t>soon</w:t>
      </w:r>
      <w:r w:rsidR="00EE4FC3">
        <w:t xml:space="preserve"> </w:t>
      </w:r>
      <w:r w:rsidRPr="00382917">
        <w:t>as</w:t>
      </w:r>
      <w:r w:rsidR="00EE4FC3">
        <w:t xml:space="preserve"> </w:t>
      </w:r>
      <w:r w:rsidRPr="00382917">
        <w:t>he</w:t>
      </w:r>
      <w:r w:rsidR="00EE4FC3">
        <w:t xml:space="preserve"> </w:t>
      </w:r>
      <w:r w:rsidRPr="00382917">
        <w:t>ascended</w:t>
      </w:r>
      <w:r w:rsidR="00EE4FC3">
        <w:t xml:space="preserve"> </w:t>
      </w:r>
      <w:r w:rsidRPr="00382917">
        <w:t>the</w:t>
      </w:r>
      <w:r w:rsidR="00EE4FC3">
        <w:t xml:space="preserve"> </w:t>
      </w:r>
      <w:r w:rsidRPr="00382917">
        <w:t>pulpit</w:t>
      </w:r>
      <w:r w:rsidR="00EE4FC3">
        <w:t xml:space="preserve"> </w:t>
      </w:r>
      <w:r w:rsidRPr="00382917">
        <w:t>there</w:t>
      </w:r>
      <w:r w:rsidR="00EE4FC3">
        <w:t xml:space="preserve"> </w:t>
      </w:r>
      <w:r w:rsidRPr="00382917">
        <w:t>was</w:t>
      </w:r>
      <w:r w:rsidR="00EE4FC3">
        <w:t xml:space="preserve"> </w:t>
      </w:r>
      <w:r w:rsidRPr="00382917">
        <w:t>silence.</w:t>
      </w:r>
      <w:r w:rsidR="009C713D" w:rsidRPr="00382917">
        <w:t>”</w:t>
      </w:r>
      <w:r w:rsidR="00BA11F7">
        <w:rPr>
          <w:rStyle w:val="FootnoteReference"/>
        </w:rPr>
        <w:footnoteReference w:id="37"/>
      </w:r>
    </w:p>
    <w:p w:rsidR="003B2D0A" w:rsidRPr="00382917" w:rsidRDefault="003B2D0A" w:rsidP="003B2D0A">
      <w:pPr>
        <w:pStyle w:val="Text"/>
      </w:pPr>
      <w:r w:rsidRPr="00382917">
        <w:t>Another</w:t>
      </w:r>
      <w:r w:rsidR="00EE4FC3">
        <w:t xml:space="preserve"> </w:t>
      </w:r>
      <w:r w:rsidRPr="00382917">
        <w:t>historical</w:t>
      </w:r>
      <w:r w:rsidR="00EE4FC3">
        <w:t xml:space="preserve"> </w:t>
      </w:r>
      <w:r w:rsidRPr="00382917">
        <w:t>document</w:t>
      </w:r>
      <w:r w:rsidR="00EE4FC3">
        <w:t xml:space="preserve"> </w:t>
      </w:r>
      <w:r w:rsidRPr="00382917">
        <w:t>states</w:t>
      </w:r>
      <w:r w:rsidR="00C03C91">
        <w:t>:</w:t>
      </w:r>
      <w:r w:rsidR="00EE4FC3">
        <w:t xml:space="preserve">  </w:t>
      </w:r>
      <w:r w:rsidR="009C713D" w:rsidRPr="00382917">
        <w:t>“</w:t>
      </w:r>
      <w:r w:rsidRPr="00382917">
        <w:t>By</w:t>
      </w:r>
      <w:r w:rsidR="00EE4FC3">
        <w:t xml:space="preserve"> </w:t>
      </w:r>
      <w:r w:rsidRPr="00382917">
        <w:t>the</w:t>
      </w:r>
      <w:r w:rsidR="00EE4FC3">
        <w:t xml:space="preserve"> </w:t>
      </w:r>
      <w:r w:rsidRPr="00382917">
        <w:t>uprightness</w:t>
      </w:r>
      <w:r w:rsidR="00EE4FC3">
        <w:t xml:space="preserve"> </w:t>
      </w:r>
      <w:r w:rsidRPr="00382917">
        <w:t>of</w:t>
      </w:r>
      <w:r w:rsidR="00EE4FC3">
        <w:t xml:space="preserve"> </w:t>
      </w:r>
      <w:r w:rsidRPr="00382917">
        <w:t>his</w:t>
      </w:r>
      <w:r w:rsidR="00EE4FC3">
        <w:t xml:space="preserve"> </w:t>
      </w:r>
      <w:r w:rsidRPr="00382917">
        <w:t>life</w:t>
      </w:r>
      <w:r w:rsidR="00EE4FC3">
        <w:t xml:space="preserve"> </w:t>
      </w:r>
      <w:r w:rsidRPr="00382917">
        <w:t>the</w:t>
      </w:r>
      <w:r w:rsidR="00EE4FC3">
        <w:t xml:space="preserve"> </w:t>
      </w:r>
      <w:r w:rsidRPr="00382917">
        <w:t>young</w:t>
      </w:r>
      <w:r w:rsidR="00EE4FC3">
        <w:t xml:space="preserve"> </w:t>
      </w:r>
      <w:r w:rsidRPr="00382917">
        <w:t>Siyyid</w:t>
      </w:r>
      <w:r w:rsidR="00EE4FC3">
        <w:t xml:space="preserve"> </w:t>
      </w:r>
      <w:r w:rsidRPr="00382917">
        <w:t>[the</w:t>
      </w:r>
      <w:r w:rsidR="00EE4FC3">
        <w:t xml:space="preserve"> </w:t>
      </w:r>
      <w:r w:rsidRPr="00382917">
        <w:t>Báb]</w:t>
      </w:r>
      <w:r w:rsidR="00EE4FC3">
        <w:t xml:space="preserve"> </w:t>
      </w:r>
      <w:r w:rsidRPr="00382917">
        <w:t>served</w:t>
      </w:r>
      <w:r w:rsidR="00EE4FC3">
        <w:t xml:space="preserve"> </w:t>
      </w:r>
      <w:r w:rsidRPr="00382917">
        <w:t>as</w:t>
      </w:r>
      <w:r w:rsidR="00EE4FC3">
        <w:t xml:space="preserve"> </w:t>
      </w:r>
      <w:r w:rsidRPr="00382917">
        <w:t>an</w:t>
      </w:r>
      <w:r w:rsidR="00EE4FC3">
        <w:t xml:space="preserve"> </w:t>
      </w:r>
      <w:r w:rsidRPr="00382917">
        <w:t>example</w:t>
      </w:r>
      <w:r w:rsidR="00EE4FC3">
        <w:t xml:space="preserve"> </w:t>
      </w:r>
      <w:r w:rsidRPr="00382917">
        <w:t>to</w:t>
      </w:r>
      <w:r w:rsidR="00EE4FC3">
        <w:t xml:space="preserve"> </w:t>
      </w:r>
      <w:r w:rsidRPr="00382917">
        <w:t>those</w:t>
      </w:r>
      <w:r w:rsidR="00EE4FC3">
        <w:t xml:space="preserve"> </w:t>
      </w:r>
      <w:r w:rsidRPr="00382917">
        <w:t>about</w:t>
      </w:r>
      <w:r w:rsidR="00EE4FC3">
        <w:t xml:space="preserve"> </w:t>
      </w:r>
      <w:r w:rsidRPr="00382917">
        <w:t>him</w:t>
      </w:r>
      <w:r w:rsidR="00C03C91">
        <w:t>.</w:t>
      </w:r>
      <w:r w:rsidR="00EE4FC3">
        <w:t xml:space="preserve">  </w:t>
      </w:r>
      <w:r w:rsidRPr="00382917">
        <w:t>He</w:t>
      </w:r>
      <w:r w:rsidR="00EE4FC3">
        <w:t xml:space="preserve"> </w:t>
      </w:r>
      <w:r w:rsidRPr="00382917">
        <w:t>was</w:t>
      </w:r>
      <w:r w:rsidR="00EE4FC3">
        <w:t xml:space="preserve"> </w:t>
      </w:r>
      <w:r w:rsidRPr="00382917">
        <w:t>willingly</w:t>
      </w:r>
      <w:r w:rsidR="00EE4FC3">
        <w:t xml:space="preserve"> </w:t>
      </w:r>
      <w:r w:rsidRPr="00382917">
        <w:t>listened</w:t>
      </w:r>
      <w:r w:rsidR="00EE4FC3">
        <w:t xml:space="preserve"> </w:t>
      </w:r>
      <w:r w:rsidRPr="00382917">
        <w:t>to</w:t>
      </w:r>
      <w:r w:rsidR="00EE4FC3">
        <w:t xml:space="preserve"> </w:t>
      </w:r>
      <w:r w:rsidR="00F04416" w:rsidRPr="00382917">
        <w:t>…</w:t>
      </w:r>
      <w:r w:rsidR="00EE4FC3">
        <w:t xml:space="preserve"> </w:t>
      </w:r>
      <w:r w:rsidRPr="00382917">
        <w:t>when</w:t>
      </w:r>
      <w:r w:rsidR="00EE4FC3">
        <w:t xml:space="preserve"> </w:t>
      </w:r>
      <w:r w:rsidRPr="00382917">
        <w:t>he</w:t>
      </w:r>
      <w:r w:rsidR="00EE4FC3">
        <w:t xml:space="preserve"> </w:t>
      </w:r>
      <w:r w:rsidRPr="00382917">
        <w:t>condemned</w:t>
      </w:r>
      <w:r w:rsidR="00EE4FC3">
        <w:t xml:space="preserve"> </w:t>
      </w:r>
      <w:r w:rsidRPr="00382917">
        <w:t>the</w:t>
      </w:r>
      <w:r w:rsidR="00EE4FC3">
        <w:t xml:space="preserve"> </w:t>
      </w:r>
      <w:r w:rsidRPr="00382917">
        <w:t>abuses</w:t>
      </w:r>
      <w:r w:rsidR="00EE4FC3">
        <w:t xml:space="preserve"> </w:t>
      </w:r>
      <w:r w:rsidRPr="00382917">
        <w:t>in</w:t>
      </w:r>
      <w:r w:rsidR="00EE4FC3">
        <w:t xml:space="preserve"> </w:t>
      </w:r>
      <w:r w:rsidRPr="00382917">
        <w:t>all</w:t>
      </w:r>
      <w:r w:rsidR="00EE4FC3">
        <w:t xml:space="preserve"> </w:t>
      </w:r>
      <w:r w:rsidRPr="00382917">
        <w:t>classes</w:t>
      </w:r>
      <w:r w:rsidR="00EE4FC3">
        <w:t xml:space="preserve"> </w:t>
      </w:r>
      <w:r w:rsidRPr="00382917">
        <w:t>of</w:t>
      </w:r>
      <w:r w:rsidR="00EE4FC3">
        <w:t xml:space="preserve"> </w:t>
      </w:r>
      <w:r w:rsidRPr="00382917">
        <w:t>society</w:t>
      </w:r>
      <w:r w:rsidR="00C03C91">
        <w:t>.</w:t>
      </w:r>
      <w:r w:rsidR="00EE4FC3">
        <w:t xml:space="preserve">  </w:t>
      </w:r>
      <w:r w:rsidRPr="00382917">
        <w:t>His</w:t>
      </w:r>
      <w:r w:rsidR="00EE4FC3">
        <w:t xml:space="preserve"> </w:t>
      </w:r>
      <w:r w:rsidRPr="00382917">
        <w:t>words</w:t>
      </w:r>
      <w:r w:rsidR="00EE4FC3">
        <w:t xml:space="preserve"> </w:t>
      </w:r>
      <w:r w:rsidRPr="00382917">
        <w:t>were</w:t>
      </w:r>
      <w:r w:rsidR="00EE4FC3">
        <w:t xml:space="preserve"> </w:t>
      </w:r>
      <w:r w:rsidRPr="00382917">
        <w:t>repeated</w:t>
      </w:r>
      <w:r w:rsidR="00EE4FC3">
        <w:t xml:space="preserve"> </w:t>
      </w:r>
      <w:r w:rsidRPr="00382917">
        <w:t>and</w:t>
      </w:r>
    </w:p>
    <w:p w:rsidR="003B2D0A" w:rsidRPr="00382917" w:rsidRDefault="003B2D0A">
      <w:pPr>
        <w:widowControl/>
        <w:kinsoku/>
        <w:overflowPunct/>
        <w:textAlignment w:val="auto"/>
      </w:pPr>
      <w:r w:rsidRPr="00382917">
        <w:br w:type="page"/>
      </w:r>
    </w:p>
    <w:p w:rsidR="00E13D49" w:rsidRPr="00382917" w:rsidRDefault="003B2D0A" w:rsidP="00143A8B">
      <w:pPr>
        <w:pStyle w:val="Textcts"/>
      </w:pPr>
      <w:proofErr w:type="gramStart"/>
      <w:r w:rsidRPr="00382917">
        <w:t>elaborated</w:t>
      </w:r>
      <w:proofErr w:type="gramEnd"/>
      <w:r w:rsidR="00EE4FC3">
        <w:t xml:space="preserve"> </w:t>
      </w:r>
      <w:r w:rsidRPr="00382917">
        <w:t>upon</w:t>
      </w:r>
      <w:r w:rsidR="00EE4FC3">
        <w:t xml:space="preserve"> </w:t>
      </w:r>
      <w:r w:rsidRPr="00382917">
        <w:t>and</w:t>
      </w:r>
      <w:r w:rsidR="00EE4FC3">
        <w:t xml:space="preserve"> </w:t>
      </w:r>
      <w:r w:rsidRPr="00382917">
        <w:t>they</w:t>
      </w:r>
      <w:r w:rsidR="00EE4FC3">
        <w:t xml:space="preserve"> </w:t>
      </w:r>
      <w:r w:rsidRPr="00382917">
        <w:t>spoke</w:t>
      </w:r>
      <w:r w:rsidR="00EE4FC3">
        <w:t xml:space="preserve"> </w:t>
      </w:r>
      <w:r w:rsidRPr="00382917">
        <w:t>of</w:t>
      </w:r>
      <w:r w:rsidR="00EE4FC3">
        <w:t xml:space="preserve"> </w:t>
      </w:r>
      <w:r w:rsidRPr="00382917">
        <w:t>him</w:t>
      </w:r>
      <w:r w:rsidR="00EE4FC3">
        <w:t xml:space="preserve"> </w:t>
      </w:r>
      <w:r w:rsidRPr="00382917">
        <w:t>as</w:t>
      </w:r>
      <w:r w:rsidR="00EE4FC3">
        <w:t xml:space="preserve"> </w:t>
      </w:r>
      <w:r w:rsidRPr="00382917">
        <w:t>the</w:t>
      </w:r>
      <w:r w:rsidR="00EE4FC3">
        <w:t xml:space="preserve"> </w:t>
      </w:r>
      <w:r w:rsidRPr="00382917">
        <w:t>true</w:t>
      </w:r>
      <w:r w:rsidR="00EE4FC3">
        <w:t xml:space="preserve"> </w:t>
      </w:r>
      <w:r w:rsidRPr="00382917">
        <w:t>Master</w:t>
      </w:r>
      <w:r w:rsidR="00EE4FC3">
        <w:t xml:space="preserve"> </w:t>
      </w:r>
      <w:r w:rsidRPr="00382917">
        <w:t>and</w:t>
      </w:r>
      <w:r w:rsidR="00EE4FC3">
        <w:t xml:space="preserve"> </w:t>
      </w:r>
      <w:r w:rsidRPr="00382917">
        <w:t>gave</w:t>
      </w:r>
      <w:r w:rsidR="00EE4FC3">
        <w:t xml:space="preserve"> </w:t>
      </w:r>
      <w:r w:rsidRPr="00382917">
        <w:t>themselves</w:t>
      </w:r>
      <w:r w:rsidR="00EE4FC3">
        <w:t xml:space="preserve"> </w:t>
      </w:r>
      <w:r w:rsidRPr="00382917">
        <w:t>to</w:t>
      </w:r>
      <w:r w:rsidR="00EE4FC3">
        <w:t xml:space="preserve"> </w:t>
      </w:r>
      <w:r w:rsidRPr="00382917">
        <w:t>him</w:t>
      </w:r>
      <w:r w:rsidR="00EE4FC3">
        <w:t xml:space="preserve"> </w:t>
      </w:r>
      <w:r w:rsidRPr="00382917">
        <w:t>unreservedly.</w:t>
      </w:r>
      <w:r w:rsidR="009C713D" w:rsidRPr="00382917">
        <w:t>”</w:t>
      </w:r>
      <w:r w:rsidR="00143A8B">
        <w:rPr>
          <w:rStyle w:val="FootnoteReference"/>
        </w:rPr>
        <w:footnoteReference w:id="38"/>
      </w:r>
    </w:p>
    <w:p w:rsidR="003B2D0A" w:rsidRPr="00382917" w:rsidRDefault="003B2D0A" w:rsidP="007946F8">
      <w:pPr>
        <w:pStyle w:val="Text"/>
      </w:pPr>
      <w:r w:rsidRPr="00382917">
        <w:t>These</w:t>
      </w:r>
      <w:r w:rsidR="00EE4FC3">
        <w:t xml:space="preserve"> </w:t>
      </w:r>
      <w:r w:rsidRPr="00382917">
        <w:t>impressions</w:t>
      </w:r>
      <w:r w:rsidR="00EE4FC3">
        <w:t xml:space="preserve"> </w:t>
      </w:r>
      <w:r w:rsidRPr="00382917">
        <w:t>of</w:t>
      </w:r>
      <w:r w:rsidR="00EE4FC3">
        <w:t xml:space="preserve"> </w:t>
      </w:r>
      <w:r w:rsidRPr="00382917">
        <w:t>the</w:t>
      </w:r>
      <w:r w:rsidR="00EE4FC3">
        <w:t xml:space="preserve"> </w:t>
      </w:r>
      <w:r w:rsidRPr="00382917">
        <w:t>Báb</w:t>
      </w:r>
      <w:r w:rsidR="00EE4FC3">
        <w:t xml:space="preserve"> </w:t>
      </w:r>
      <w:r w:rsidRPr="00382917">
        <w:t>did</w:t>
      </w:r>
      <w:r w:rsidR="00EE4FC3">
        <w:t xml:space="preserve"> </w:t>
      </w:r>
      <w:r w:rsidRPr="00382917">
        <w:t>not</w:t>
      </w:r>
      <w:r w:rsidR="00EE4FC3">
        <w:t xml:space="preserve"> </w:t>
      </w:r>
      <w:r w:rsidRPr="00382917">
        <w:t>come</w:t>
      </w:r>
      <w:r w:rsidR="00EE4FC3">
        <w:t xml:space="preserve"> </w:t>
      </w:r>
      <w:r w:rsidRPr="00382917">
        <w:t>from</w:t>
      </w:r>
      <w:r w:rsidR="00EE4FC3">
        <w:t xml:space="preserve"> </w:t>
      </w:r>
      <w:r w:rsidRPr="00382917">
        <w:t>His</w:t>
      </w:r>
      <w:r w:rsidR="00EE4FC3">
        <w:t xml:space="preserve"> </w:t>
      </w:r>
      <w:r w:rsidRPr="00382917">
        <w:t>followers</w:t>
      </w:r>
      <w:r w:rsidR="00EE4FC3">
        <w:t xml:space="preserve"> </w:t>
      </w:r>
      <w:r w:rsidRPr="00382917">
        <w:t>and</w:t>
      </w:r>
      <w:r w:rsidR="00EE4FC3">
        <w:t xml:space="preserve"> </w:t>
      </w:r>
      <w:r w:rsidRPr="00382917">
        <w:t>sympathizers</w:t>
      </w:r>
      <w:r w:rsidR="00EE4FC3">
        <w:t xml:space="preserve"> </w:t>
      </w:r>
      <w:r w:rsidRPr="00382917">
        <w:t>alone</w:t>
      </w:r>
      <w:r w:rsidR="00C03C91">
        <w:t>.</w:t>
      </w:r>
      <w:r w:rsidR="00EE4FC3">
        <w:t xml:space="preserve">  </w:t>
      </w:r>
      <w:r w:rsidRPr="00382917">
        <w:t>Comte</w:t>
      </w:r>
      <w:r w:rsidR="00EE4FC3">
        <w:t xml:space="preserve"> </w:t>
      </w:r>
      <w:r w:rsidRPr="00382917">
        <w:t>de</w:t>
      </w:r>
      <w:r w:rsidR="00EE4FC3">
        <w:t xml:space="preserve"> </w:t>
      </w:r>
      <w:proofErr w:type="spellStart"/>
      <w:r w:rsidRPr="00382917">
        <w:t>Gobineau</w:t>
      </w:r>
      <w:proofErr w:type="spellEnd"/>
      <w:r w:rsidR="00EE4FC3">
        <w:t xml:space="preserve"> </w:t>
      </w:r>
      <w:r w:rsidRPr="00382917">
        <w:t>states</w:t>
      </w:r>
      <w:r w:rsidR="00EE4FC3">
        <w:t xml:space="preserve"> </w:t>
      </w:r>
      <w:r w:rsidRPr="00382917">
        <w:t>in</w:t>
      </w:r>
      <w:r w:rsidR="00EE4FC3">
        <w:t xml:space="preserve"> </w:t>
      </w:r>
      <w:r w:rsidRPr="00382917">
        <w:t>his</w:t>
      </w:r>
      <w:r w:rsidR="00EE4FC3">
        <w:t xml:space="preserve"> </w:t>
      </w:r>
      <w:r w:rsidRPr="00382917">
        <w:t>history</w:t>
      </w:r>
      <w:r w:rsidR="00EE4FC3">
        <w:t xml:space="preserve"> </w:t>
      </w:r>
      <w:r w:rsidRPr="00382917">
        <w:t>of</w:t>
      </w:r>
      <w:r w:rsidR="00EE4FC3">
        <w:t xml:space="preserve"> </w:t>
      </w:r>
      <w:r w:rsidRPr="00382917">
        <w:t>the</w:t>
      </w:r>
      <w:r w:rsidR="00EE4FC3">
        <w:t xml:space="preserve"> </w:t>
      </w:r>
      <w:r w:rsidRPr="00382917">
        <w:t>times</w:t>
      </w:r>
      <w:r w:rsidR="00EE4FC3">
        <w:t xml:space="preserve"> </w:t>
      </w:r>
      <w:r w:rsidRPr="00382917">
        <w:t>that</w:t>
      </w:r>
      <w:r w:rsidR="00EE4FC3">
        <w:t xml:space="preserve"> </w:t>
      </w:r>
      <w:r w:rsidR="009C713D" w:rsidRPr="00382917">
        <w:t>“</w:t>
      </w:r>
      <w:r w:rsidRPr="00382917">
        <w:t>even</w:t>
      </w:r>
      <w:r w:rsidR="00EE4FC3">
        <w:t xml:space="preserve"> </w:t>
      </w:r>
      <w:r w:rsidRPr="00382917">
        <w:t>the</w:t>
      </w:r>
      <w:r w:rsidR="00EE4FC3">
        <w:t xml:space="preserve"> </w:t>
      </w:r>
      <w:r w:rsidRPr="00382917">
        <w:t>orthodox</w:t>
      </w:r>
      <w:r w:rsidR="00EE4FC3">
        <w:t xml:space="preserve"> </w:t>
      </w:r>
      <w:r w:rsidRPr="00382917">
        <w:t>Muhammadans</w:t>
      </w:r>
      <w:r w:rsidR="00EE4FC3">
        <w:t xml:space="preserve"> </w:t>
      </w:r>
      <w:r w:rsidRPr="00382917">
        <w:t>who</w:t>
      </w:r>
      <w:r w:rsidR="00EE4FC3">
        <w:t xml:space="preserve"> </w:t>
      </w:r>
      <w:r w:rsidRPr="00382917">
        <w:t>were</w:t>
      </w:r>
      <w:r w:rsidR="00EE4FC3">
        <w:t xml:space="preserve"> </w:t>
      </w:r>
      <w:r w:rsidRPr="00382917">
        <w:t>present</w:t>
      </w:r>
      <w:r w:rsidR="00EE4FC3">
        <w:t xml:space="preserve"> </w:t>
      </w:r>
      <w:r w:rsidRPr="00382917">
        <w:t>[at</w:t>
      </w:r>
      <w:r w:rsidR="00EE4FC3">
        <w:t xml:space="preserve"> </w:t>
      </w:r>
      <w:r w:rsidRPr="00382917">
        <w:t>these</w:t>
      </w:r>
      <w:r w:rsidR="00EE4FC3">
        <w:t xml:space="preserve"> </w:t>
      </w:r>
      <w:r w:rsidRPr="00382917">
        <w:t>meetings</w:t>
      </w:r>
      <w:r w:rsidR="00EE4FC3">
        <w:t xml:space="preserve"> </w:t>
      </w:r>
      <w:r w:rsidRPr="00382917">
        <w:t>when</w:t>
      </w:r>
      <w:r w:rsidR="00EE4FC3">
        <w:t xml:space="preserve"> </w:t>
      </w:r>
      <w:r w:rsidRPr="00382917">
        <w:t>the</w:t>
      </w:r>
      <w:r w:rsidR="00EE4FC3">
        <w:t xml:space="preserve"> </w:t>
      </w:r>
      <w:r w:rsidRPr="00382917">
        <w:t>Báb</w:t>
      </w:r>
      <w:r w:rsidR="00EE4FC3">
        <w:t xml:space="preserve"> </w:t>
      </w:r>
      <w:r w:rsidRPr="00382917">
        <w:t>spoke]</w:t>
      </w:r>
      <w:r w:rsidR="00EE4FC3">
        <w:t xml:space="preserve"> </w:t>
      </w:r>
      <w:r w:rsidRPr="00382917">
        <w:t>have</w:t>
      </w:r>
      <w:r w:rsidR="00EE4FC3">
        <w:t xml:space="preserve"> </w:t>
      </w:r>
      <w:r w:rsidRPr="00382917">
        <w:t>retained</w:t>
      </w:r>
      <w:r w:rsidR="00EE4FC3">
        <w:t xml:space="preserve"> </w:t>
      </w:r>
      <w:r w:rsidRPr="00382917">
        <w:t>an</w:t>
      </w:r>
      <w:r w:rsidR="00EE4FC3">
        <w:t xml:space="preserve"> </w:t>
      </w:r>
      <w:r w:rsidRPr="00382917">
        <w:t>indelible</w:t>
      </w:r>
      <w:r w:rsidR="00EE4FC3">
        <w:t xml:space="preserve"> </w:t>
      </w:r>
      <w:r w:rsidRPr="00382917">
        <w:t>memory</w:t>
      </w:r>
      <w:r w:rsidR="00EE4FC3">
        <w:t xml:space="preserve"> </w:t>
      </w:r>
      <w:r w:rsidRPr="00382917">
        <w:t>of</w:t>
      </w:r>
      <w:r w:rsidR="00EE4FC3">
        <w:t xml:space="preserve"> </w:t>
      </w:r>
      <w:r w:rsidRPr="00382917">
        <w:t>them</w:t>
      </w:r>
      <w:r w:rsidR="00EE4FC3">
        <w:t xml:space="preserve"> </w:t>
      </w:r>
      <w:r w:rsidRPr="00382917">
        <w:t>and</w:t>
      </w:r>
      <w:r w:rsidR="00EE4FC3">
        <w:t xml:space="preserve"> </w:t>
      </w:r>
      <w:r w:rsidRPr="00382917">
        <w:t>never</w:t>
      </w:r>
      <w:r w:rsidR="00EE4FC3">
        <w:t xml:space="preserve"> </w:t>
      </w:r>
      <w:r w:rsidRPr="00382917">
        <w:t>recall</w:t>
      </w:r>
      <w:r w:rsidR="00EE4FC3">
        <w:t xml:space="preserve"> </w:t>
      </w:r>
      <w:r w:rsidRPr="00382917">
        <w:t>them</w:t>
      </w:r>
      <w:r w:rsidR="00EE4FC3">
        <w:t xml:space="preserve"> </w:t>
      </w:r>
      <w:r w:rsidRPr="00382917">
        <w:t>without</w:t>
      </w:r>
      <w:r w:rsidR="00EE4FC3">
        <w:t xml:space="preserve"> </w:t>
      </w:r>
      <w:r w:rsidRPr="00382917">
        <w:t>a</w:t>
      </w:r>
      <w:r w:rsidR="00EE4FC3">
        <w:t xml:space="preserve"> </w:t>
      </w:r>
      <w:r w:rsidRPr="00382917">
        <w:t>sort</w:t>
      </w:r>
      <w:r w:rsidR="00EE4FC3">
        <w:t xml:space="preserve"> </w:t>
      </w:r>
      <w:r w:rsidRPr="00382917">
        <w:t>of</w:t>
      </w:r>
      <w:r w:rsidR="00EE4FC3">
        <w:t xml:space="preserve"> </w:t>
      </w:r>
      <w:r w:rsidRPr="00382917">
        <w:t>terror</w:t>
      </w:r>
      <w:r w:rsidR="00C03C91">
        <w:t>.</w:t>
      </w:r>
      <w:r w:rsidR="00EE4FC3">
        <w:t xml:space="preserve">  </w:t>
      </w:r>
      <w:r w:rsidRPr="00382917">
        <w:t>They</w:t>
      </w:r>
      <w:r w:rsidR="00EE4FC3">
        <w:t xml:space="preserve"> </w:t>
      </w:r>
      <w:r w:rsidRPr="00382917">
        <w:t>agreed</w:t>
      </w:r>
      <w:r w:rsidR="00EE4FC3">
        <w:t xml:space="preserve"> </w:t>
      </w:r>
      <w:r w:rsidRPr="00382917">
        <w:t>unanimously</w:t>
      </w:r>
      <w:r w:rsidR="00EE4FC3">
        <w:t xml:space="preserve"> </w:t>
      </w:r>
      <w:r w:rsidRPr="00382917">
        <w:t>that</w:t>
      </w:r>
      <w:r w:rsidR="00EE4FC3">
        <w:t xml:space="preserve"> </w:t>
      </w:r>
      <w:r w:rsidRPr="00382917">
        <w:t>[His]</w:t>
      </w:r>
      <w:r w:rsidR="00EE4FC3">
        <w:t xml:space="preserve"> </w:t>
      </w:r>
      <w:r w:rsidRPr="00382917">
        <w:t>eloquence</w:t>
      </w:r>
      <w:r w:rsidR="00EE4FC3">
        <w:t xml:space="preserve"> </w:t>
      </w:r>
      <w:r w:rsidR="00F04416" w:rsidRPr="00382917">
        <w:t>…</w:t>
      </w:r>
      <w:r w:rsidR="00EE4FC3">
        <w:t xml:space="preserve"> </w:t>
      </w:r>
      <w:r w:rsidRPr="00382917">
        <w:t>was</w:t>
      </w:r>
      <w:r w:rsidR="00EE4FC3">
        <w:t xml:space="preserve"> </w:t>
      </w:r>
      <w:r w:rsidRPr="00382917">
        <w:t>of</w:t>
      </w:r>
      <w:r w:rsidR="00EE4FC3">
        <w:t xml:space="preserve"> </w:t>
      </w:r>
      <w:r w:rsidRPr="00382917">
        <w:t>an</w:t>
      </w:r>
      <w:r w:rsidR="00EE4FC3">
        <w:t xml:space="preserve"> </w:t>
      </w:r>
      <w:r w:rsidRPr="00382917">
        <w:t>incomparable</w:t>
      </w:r>
      <w:r w:rsidR="00EE4FC3">
        <w:t xml:space="preserve"> </w:t>
      </w:r>
      <w:r w:rsidRPr="00382917">
        <w:t>kind,</w:t>
      </w:r>
      <w:r w:rsidR="00EE4FC3">
        <w:t xml:space="preserve"> </w:t>
      </w:r>
      <w:r w:rsidRPr="00382917">
        <w:t>such</w:t>
      </w:r>
      <w:r w:rsidR="00EE4FC3">
        <w:t xml:space="preserve"> </w:t>
      </w:r>
      <w:r w:rsidRPr="00382917">
        <w:t>that,</w:t>
      </w:r>
      <w:r w:rsidR="00EE4FC3">
        <w:t xml:space="preserve"> </w:t>
      </w:r>
      <w:r w:rsidRPr="00382917">
        <w:t>without</w:t>
      </w:r>
      <w:r w:rsidR="00EE4FC3">
        <w:t xml:space="preserve"> </w:t>
      </w:r>
      <w:r w:rsidRPr="00382917">
        <w:t>having</w:t>
      </w:r>
      <w:r w:rsidR="00EE4FC3">
        <w:t xml:space="preserve"> </w:t>
      </w:r>
      <w:r w:rsidRPr="00382917">
        <w:t>been</w:t>
      </w:r>
      <w:r w:rsidR="00EE4FC3">
        <w:t xml:space="preserve"> </w:t>
      </w:r>
      <w:r w:rsidRPr="00382917">
        <w:t>an</w:t>
      </w:r>
      <w:r w:rsidR="00EE4FC3">
        <w:t xml:space="preserve"> </w:t>
      </w:r>
      <w:r w:rsidRPr="00382917">
        <w:t>eye-witness,</w:t>
      </w:r>
      <w:r w:rsidR="00EE4FC3">
        <w:t xml:space="preserve"> </w:t>
      </w:r>
      <w:r w:rsidRPr="00382917">
        <w:t>one</w:t>
      </w:r>
      <w:r w:rsidR="00EE4FC3">
        <w:t xml:space="preserve"> </w:t>
      </w:r>
      <w:r w:rsidRPr="00382917">
        <w:t>could</w:t>
      </w:r>
      <w:r w:rsidR="00EE4FC3">
        <w:t xml:space="preserve"> </w:t>
      </w:r>
      <w:r w:rsidRPr="00382917">
        <w:t>not</w:t>
      </w:r>
      <w:r w:rsidR="00EE4FC3">
        <w:t xml:space="preserve"> </w:t>
      </w:r>
      <w:r w:rsidRPr="00382917">
        <w:t>possibly</w:t>
      </w:r>
      <w:r w:rsidR="00EE4FC3">
        <w:t xml:space="preserve"> </w:t>
      </w:r>
      <w:r w:rsidRPr="00382917">
        <w:t>imagine.</w:t>
      </w:r>
      <w:r w:rsidR="009C713D" w:rsidRPr="00382917">
        <w:t>”</w:t>
      </w:r>
      <w:r w:rsidR="007946F8">
        <w:rPr>
          <w:rStyle w:val="FootnoteReference"/>
        </w:rPr>
        <w:footnoteReference w:id="39"/>
      </w:r>
    </w:p>
    <w:p w:rsidR="003B2D0A" w:rsidRPr="00382917" w:rsidRDefault="003B2D0A" w:rsidP="003B2D0A">
      <w:pPr>
        <w:pStyle w:val="Text"/>
      </w:pPr>
      <w:r w:rsidRPr="00382917">
        <w:t>Soon</w:t>
      </w:r>
      <w:r w:rsidR="00EE4FC3">
        <w:t xml:space="preserve"> </w:t>
      </w:r>
      <w:r w:rsidRPr="00382917">
        <w:t>all</w:t>
      </w:r>
      <w:r w:rsidR="00EE4FC3">
        <w:t xml:space="preserve"> </w:t>
      </w:r>
      <w:r w:rsidRPr="00382917">
        <w:t>of</w:t>
      </w:r>
      <w:r w:rsidR="00EE4FC3">
        <w:t xml:space="preserve"> </w:t>
      </w:r>
      <w:r w:rsidRPr="00382917">
        <w:t>Persia</w:t>
      </w:r>
      <w:r w:rsidR="00EE4FC3">
        <w:t xml:space="preserve"> </w:t>
      </w:r>
      <w:r w:rsidRPr="00382917">
        <w:t>was</w:t>
      </w:r>
      <w:r w:rsidR="00EE4FC3">
        <w:t xml:space="preserve"> </w:t>
      </w:r>
      <w:r w:rsidRPr="00382917">
        <w:t>stirring</w:t>
      </w:r>
      <w:r w:rsidR="00EE4FC3">
        <w:t xml:space="preserve"> </w:t>
      </w:r>
      <w:r w:rsidRPr="00382917">
        <w:t>with</w:t>
      </w:r>
      <w:r w:rsidR="00EE4FC3">
        <w:t xml:space="preserve"> </w:t>
      </w:r>
      <w:r w:rsidRPr="00382917">
        <w:t>stories</w:t>
      </w:r>
      <w:r w:rsidR="00EE4FC3">
        <w:t xml:space="preserve"> </w:t>
      </w:r>
      <w:r w:rsidRPr="00382917">
        <w:t>about</w:t>
      </w:r>
      <w:r w:rsidR="00EE4FC3">
        <w:t xml:space="preserve"> </w:t>
      </w:r>
      <w:r w:rsidRPr="00382917">
        <w:t>the</w:t>
      </w:r>
      <w:r w:rsidR="00EE4FC3">
        <w:t xml:space="preserve"> </w:t>
      </w:r>
      <w:r w:rsidRPr="00382917">
        <w:t>Báb</w:t>
      </w:r>
      <w:r w:rsidR="00C03C91">
        <w:t>.</w:t>
      </w:r>
      <w:r w:rsidR="00EE4FC3">
        <w:t xml:space="preserve">  </w:t>
      </w:r>
      <w:r w:rsidRPr="00382917">
        <w:t>The</w:t>
      </w:r>
      <w:r w:rsidR="00EE4FC3">
        <w:t xml:space="preserve"> </w:t>
      </w:r>
      <w:r w:rsidRPr="00382917">
        <w:t>people</w:t>
      </w:r>
      <w:r w:rsidR="00EE4FC3">
        <w:t xml:space="preserve"> </w:t>
      </w:r>
      <w:r w:rsidRPr="00382917">
        <w:t>eagerly</w:t>
      </w:r>
      <w:r w:rsidR="00EE4FC3">
        <w:t xml:space="preserve"> </w:t>
      </w:r>
      <w:r w:rsidRPr="00382917">
        <w:t>hungered</w:t>
      </w:r>
      <w:r w:rsidR="00EE4FC3">
        <w:t xml:space="preserve"> </w:t>
      </w:r>
      <w:r w:rsidRPr="00382917">
        <w:t>for</w:t>
      </w:r>
      <w:r w:rsidR="00EE4FC3">
        <w:t xml:space="preserve"> </w:t>
      </w:r>
      <w:r w:rsidRPr="00382917">
        <w:t>more</w:t>
      </w:r>
      <w:r w:rsidR="00EE4FC3">
        <w:t xml:space="preserve"> </w:t>
      </w:r>
      <w:r w:rsidRPr="00382917">
        <w:t>news</w:t>
      </w:r>
      <w:r w:rsidR="00C03C91">
        <w:t>.</w:t>
      </w:r>
      <w:r w:rsidR="00EE4FC3">
        <w:t xml:space="preserve">  </w:t>
      </w:r>
      <w:r w:rsidRPr="00382917">
        <w:t>A</w:t>
      </w:r>
      <w:r w:rsidR="00EE4FC3">
        <w:t xml:space="preserve"> </w:t>
      </w:r>
      <w:r w:rsidRPr="00382917">
        <w:t>wave</w:t>
      </w:r>
      <w:r w:rsidR="00EE4FC3">
        <w:t xml:space="preserve"> </w:t>
      </w:r>
      <w:r w:rsidRPr="00382917">
        <w:t>of</w:t>
      </w:r>
      <w:r w:rsidR="00EE4FC3">
        <w:t xml:space="preserve"> </w:t>
      </w:r>
      <w:r w:rsidRPr="00382917">
        <w:t>enthusiasm</w:t>
      </w:r>
      <w:r w:rsidR="00EE4FC3">
        <w:t xml:space="preserve"> </w:t>
      </w:r>
      <w:r w:rsidRPr="00382917">
        <w:t>swept</w:t>
      </w:r>
      <w:r w:rsidR="00EE4FC3">
        <w:t xml:space="preserve"> </w:t>
      </w:r>
      <w:r w:rsidRPr="00382917">
        <w:t>over</w:t>
      </w:r>
      <w:r w:rsidR="00EE4FC3">
        <w:t xml:space="preserve"> </w:t>
      </w:r>
      <w:r w:rsidRPr="00382917">
        <w:t>the</w:t>
      </w:r>
      <w:r w:rsidR="00EE4FC3">
        <w:t xml:space="preserve"> </w:t>
      </w:r>
      <w:r w:rsidRPr="00382917">
        <w:t>country</w:t>
      </w:r>
      <w:r w:rsidR="00C03C91">
        <w:t>.</w:t>
      </w:r>
      <w:r w:rsidR="00EE4FC3">
        <w:t xml:space="preserve">  </w:t>
      </w:r>
      <w:r w:rsidRPr="00382917">
        <w:t>Leading</w:t>
      </w:r>
      <w:r w:rsidR="00EE4FC3">
        <w:t xml:space="preserve"> </w:t>
      </w:r>
      <w:r w:rsidRPr="00382917">
        <w:t>figures</w:t>
      </w:r>
      <w:r w:rsidR="00EE4FC3">
        <w:t xml:space="preserve"> </w:t>
      </w:r>
      <w:r w:rsidRPr="00382917">
        <w:t>of</w:t>
      </w:r>
      <w:r w:rsidR="00EE4FC3">
        <w:t xml:space="preserve"> </w:t>
      </w:r>
      <w:r w:rsidRPr="00382917">
        <w:t>both</w:t>
      </w:r>
      <w:r w:rsidR="00EE4FC3">
        <w:t xml:space="preserve"> </w:t>
      </w:r>
      <w:r w:rsidRPr="00382917">
        <w:t>State</w:t>
      </w:r>
      <w:r w:rsidR="00EE4FC3">
        <w:t xml:space="preserve"> </w:t>
      </w:r>
      <w:r w:rsidRPr="00382917">
        <w:t>and</w:t>
      </w:r>
      <w:r w:rsidR="00EE4FC3">
        <w:t xml:space="preserve"> </w:t>
      </w:r>
      <w:r w:rsidRPr="00382917">
        <w:t>Church</w:t>
      </w:r>
      <w:r w:rsidR="00EE4FC3">
        <w:t xml:space="preserve"> </w:t>
      </w:r>
      <w:r w:rsidRPr="00382917">
        <w:t>either</w:t>
      </w:r>
      <w:r w:rsidR="00EE4FC3">
        <w:t xml:space="preserve"> </w:t>
      </w:r>
      <w:r w:rsidRPr="00382917">
        <w:t>attended</w:t>
      </w:r>
      <w:r w:rsidR="00EE4FC3">
        <w:t xml:space="preserve"> </w:t>
      </w:r>
      <w:r w:rsidRPr="00382917">
        <w:t>these</w:t>
      </w:r>
      <w:r w:rsidR="00EE4FC3">
        <w:t xml:space="preserve"> </w:t>
      </w:r>
      <w:r w:rsidRPr="00382917">
        <w:t>meetings</w:t>
      </w:r>
      <w:r w:rsidR="00EE4FC3">
        <w:t xml:space="preserve"> </w:t>
      </w:r>
      <w:r w:rsidRPr="00382917">
        <w:t>in</w:t>
      </w:r>
      <w:r w:rsidR="00EE4FC3">
        <w:t xml:space="preserve"> </w:t>
      </w:r>
      <w:r w:rsidRPr="00382917">
        <w:t>person</w:t>
      </w:r>
      <w:r w:rsidR="00EE4FC3">
        <w:t xml:space="preserve"> </w:t>
      </w:r>
      <w:r w:rsidRPr="00382917">
        <w:t>or</w:t>
      </w:r>
      <w:r w:rsidR="00EE4FC3">
        <w:t xml:space="preserve"> </w:t>
      </w:r>
      <w:r w:rsidRPr="00382917">
        <w:t>delegated</w:t>
      </w:r>
      <w:r w:rsidR="00EE4FC3">
        <w:t xml:space="preserve"> </w:t>
      </w:r>
      <w:r w:rsidRPr="00382917">
        <w:t>their</w:t>
      </w:r>
      <w:r w:rsidR="00EE4FC3">
        <w:t xml:space="preserve"> </w:t>
      </w:r>
      <w:r w:rsidRPr="00382917">
        <w:t>most</w:t>
      </w:r>
      <w:r w:rsidR="00EE4FC3">
        <w:t xml:space="preserve"> </w:t>
      </w:r>
      <w:r w:rsidRPr="00382917">
        <w:t>able</w:t>
      </w:r>
      <w:r w:rsidR="00EE4FC3">
        <w:t xml:space="preserve"> </w:t>
      </w:r>
      <w:r w:rsidRPr="00382917">
        <w:t>representatives</w:t>
      </w:r>
      <w:r w:rsidR="00EE4FC3">
        <w:t xml:space="preserve"> </w:t>
      </w:r>
      <w:r w:rsidRPr="00382917">
        <w:t>to</w:t>
      </w:r>
      <w:r w:rsidR="00EE4FC3">
        <w:t xml:space="preserve"> </w:t>
      </w:r>
      <w:r w:rsidRPr="00382917">
        <w:t>inquire</w:t>
      </w:r>
      <w:r w:rsidR="00EE4FC3">
        <w:t xml:space="preserve"> </w:t>
      </w:r>
      <w:r w:rsidRPr="00382917">
        <w:t>into</w:t>
      </w:r>
      <w:r w:rsidR="00EE4FC3">
        <w:t xml:space="preserve"> </w:t>
      </w:r>
      <w:r w:rsidRPr="00382917">
        <w:t>the</w:t>
      </w:r>
      <w:r w:rsidR="00EE4FC3">
        <w:t xml:space="preserve"> </w:t>
      </w:r>
      <w:r w:rsidRPr="00382917">
        <w:t>truth</w:t>
      </w:r>
      <w:r w:rsidR="00EE4FC3">
        <w:t xml:space="preserve"> </w:t>
      </w:r>
      <w:r w:rsidRPr="00382917">
        <w:t>of</w:t>
      </w:r>
      <w:r w:rsidR="00EE4FC3">
        <w:t xml:space="preserve"> </w:t>
      </w:r>
      <w:r w:rsidRPr="00382917">
        <w:t>the</w:t>
      </w:r>
      <w:r w:rsidR="00EE4FC3">
        <w:t xml:space="preserve"> </w:t>
      </w:r>
      <w:r w:rsidRPr="00382917">
        <w:t>matter.</w:t>
      </w:r>
    </w:p>
    <w:p w:rsidR="00E13D49" w:rsidRPr="00382917" w:rsidRDefault="003B2D0A" w:rsidP="00400FC3">
      <w:pPr>
        <w:pStyle w:val="Text"/>
      </w:pPr>
      <w:r w:rsidRPr="00382917">
        <w:t>The</w:t>
      </w:r>
      <w:r w:rsidR="00EE4FC3">
        <w:t xml:space="preserve"> </w:t>
      </w:r>
      <w:r w:rsidR="001713B3" w:rsidRPr="001713B3">
        <w:rPr>
          <w:i/>
          <w:iCs/>
        </w:rPr>
        <w:t>Journal</w:t>
      </w:r>
      <w:r w:rsidR="00EE4FC3">
        <w:rPr>
          <w:i/>
          <w:iCs/>
        </w:rPr>
        <w:t xml:space="preserve"> </w:t>
      </w:r>
      <w:proofErr w:type="spellStart"/>
      <w:r w:rsidR="001713B3" w:rsidRPr="001713B3">
        <w:rPr>
          <w:i/>
          <w:iCs/>
        </w:rPr>
        <w:t>Asiatique</w:t>
      </w:r>
      <w:proofErr w:type="spellEnd"/>
      <w:r w:rsidR="00EE4FC3">
        <w:t xml:space="preserve"> </w:t>
      </w:r>
      <w:r w:rsidRPr="00382917">
        <w:t>states</w:t>
      </w:r>
      <w:r w:rsidR="00EE4FC3">
        <w:t xml:space="preserve"> </w:t>
      </w:r>
      <w:r w:rsidRPr="00382917">
        <w:t>that</w:t>
      </w:r>
      <w:r w:rsidR="00EE4FC3">
        <w:t xml:space="preserve"> </w:t>
      </w:r>
      <w:r w:rsidRPr="00382917">
        <w:t>the</w:t>
      </w:r>
      <w:r w:rsidR="00EE4FC3">
        <w:t xml:space="preserve"> </w:t>
      </w:r>
      <w:r w:rsidRPr="00382917">
        <w:t>Faith</w:t>
      </w:r>
      <w:r w:rsidR="00EE4FC3">
        <w:t xml:space="preserve"> </w:t>
      </w:r>
      <w:r w:rsidRPr="00382917">
        <w:t>of</w:t>
      </w:r>
      <w:r w:rsidR="00EE4FC3">
        <w:t xml:space="preserve"> </w:t>
      </w:r>
      <w:r w:rsidRPr="00382917">
        <w:t>the</w:t>
      </w:r>
      <w:r w:rsidR="00EE4FC3">
        <w:t xml:space="preserve"> </w:t>
      </w:r>
      <w:r w:rsidRPr="00382917">
        <w:t>Báb</w:t>
      </w:r>
      <w:r w:rsidR="00EE4FC3">
        <w:t xml:space="preserve"> </w:t>
      </w:r>
      <w:r w:rsidRPr="00382917">
        <w:t>had</w:t>
      </w:r>
      <w:r w:rsidR="00EE4FC3">
        <w:t xml:space="preserve"> </w:t>
      </w:r>
      <w:r w:rsidRPr="00382917">
        <w:t>many</w:t>
      </w:r>
      <w:r w:rsidR="00EE4FC3">
        <w:t xml:space="preserve"> </w:t>
      </w:r>
      <w:r w:rsidRPr="00382917">
        <w:t>followers</w:t>
      </w:r>
      <w:r w:rsidR="00EE4FC3">
        <w:t xml:space="preserve"> </w:t>
      </w:r>
      <w:r w:rsidR="009C713D" w:rsidRPr="00382917">
        <w:t>“</w:t>
      </w:r>
      <w:r w:rsidRPr="00382917">
        <w:t>in</w:t>
      </w:r>
      <w:r w:rsidR="00EE4FC3">
        <w:t xml:space="preserve"> </w:t>
      </w:r>
      <w:r w:rsidRPr="00382917">
        <w:t>all</w:t>
      </w:r>
      <w:r w:rsidR="00EE4FC3">
        <w:t xml:space="preserve"> </w:t>
      </w:r>
      <w:r w:rsidRPr="00382917">
        <w:t>classes</w:t>
      </w:r>
      <w:r w:rsidR="00EE4FC3">
        <w:t xml:space="preserve"> </w:t>
      </w:r>
      <w:r w:rsidRPr="00382917">
        <w:t>of</w:t>
      </w:r>
      <w:r w:rsidR="00EE4FC3">
        <w:t xml:space="preserve"> </w:t>
      </w:r>
      <w:r w:rsidRPr="00382917">
        <w:t>society,</w:t>
      </w:r>
      <w:r w:rsidR="00EE4FC3">
        <w:t xml:space="preserve"> </w:t>
      </w:r>
      <w:r w:rsidRPr="00382917">
        <w:t>and</w:t>
      </w:r>
      <w:r w:rsidR="00EE4FC3">
        <w:t xml:space="preserve"> </w:t>
      </w:r>
      <w:r w:rsidRPr="00382917">
        <w:t>many</w:t>
      </w:r>
      <w:r w:rsidR="00EE4FC3">
        <w:t xml:space="preserve"> </w:t>
      </w:r>
      <w:r w:rsidRPr="00382917">
        <w:t>among</w:t>
      </w:r>
      <w:r w:rsidR="00EE4FC3">
        <w:t xml:space="preserve"> </w:t>
      </w:r>
      <w:r w:rsidRPr="00382917">
        <w:t>them</w:t>
      </w:r>
      <w:r w:rsidR="00EE4FC3">
        <w:t xml:space="preserve"> </w:t>
      </w:r>
      <w:r w:rsidRPr="00382917">
        <w:t>were</w:t>
      </w:r>
      <w:r w:rsidR="00EE4FC3">
        <w:t xml:space="preserve"> </w:t>
      </w:r>
      <w:r w:rsidRPr="00382917">
        <w:t>of</w:t>
      </w:r>
      <w:r w:rsidR="00EE4FC3">
        <w:t xml:space="preserve"> </w:t>
      </w:r>
      <w:r w:rsidRPr="00382917">
        <w:t>important</w:t>
      </w:r>
      <w:r w:rsidR="00EE4FC3">
        <w:t xml:space="preserve"> </w:t>
      </w:r>
      <w:r w:rsidRPr="00382917">
        <w:t>standing;</w:t>
      </w:r>
      <w:r w:rsidR="00EE4FC3">
        <w:t xml:space="preserve"> </w:t>
      </w:r>
      <w:r w:rsidRPr="00382917">
        <w:t>great</w:t>
      </w:r>
      <w:r w:rsidR="00EE4FC3">
        <w:t xml:space="preserve"> </w:t>
      </w:r>
      <w:r w:rsidRPr="00382917">
        <w:t>lords,</w:t>
      </w:r>
      <w:r w:rsidR="00EE4FC3">
        <w:t xml:space="preserve"> </w:t>
      </w:r>
      <w:r w:rsidRPr="00382917">
        <w:t>members</w:t>
      </w:r>
      <w:r w:rsidR="00EE4FC3">
        <w:t xml:space="preserve"> </w:t>
      </w:r>
      <w:r w:rsidRPr="00382917">
        <w:t>of</w:t>
      </w:r>
      <w:r w:rsidR="00EE4FC3">
        <w:t xml:space="preserve"> </w:t>
      </w:r>
      <w:r w:rsidRPr="00382917">
        <w:t>the</w:t>
      </w:r>
      <w:r w:rsidR="00EE4FC3">
        <w:t xml:space="preserve"> </w:t>
      </w:r>
      <w:r w:rsidRPr="00382917">
        <w:t>clergy,</w:t>
      </w:r>
      <w:r w:rsidR="00EE4FC3">
        <w:t xml:space="preserve"> </w:t>
      </w:r>
      <w:r w:rsidRPr="00382917">
        <w:t>military</w:t>
      </w:r>
      <w:r w:rsidR="00EE4FC3">
        <w:t xml:space="preserve"> </w:t>
      </w:r>
      <w:r w:rsidRPr="00382917">
        <w:t>men</w:t>
      </w:r>
      <w:r w:rsidR="00EE4FC3">
        <w:t xml:space="preserve"> </w:t>
      </w:r>
      <w:r w:rsidRPr="00382917">
        <w:t>and</w:t>
      </w:r>
      <w:r w:rsidR="00EE4FC3">
        <w:t xml:space="preserve"> </w:t>
      </w:r>
      <w:r w:rsidRPr="00382917">
        <w:t>merchants</w:t>
      </w:r>
      <w:r w:rsidR="00EE4FC3">
        <w:t xml:space="preserve"> </w:t>
      </w:r>
      <w:r w:rsidRPr="00382917">
        <w:t>had</w:t>
      </w:r>
      <w:r w:rsidR="00EE4FC3">
        <w:t xml:space="preserve"> </w:t>
      </w:r>
      <w:r w:rsidRPr="00382917">
        <w:t>all</w:t>
      </w:r>
      <w:r w:rsidR="00EE4FC3">
        <w:t xml:space="preserve"> </w:t>
      </w:r>
      <w:r w:rsidRPr="00382917">
        <w:t>accepted</w:t>
      </w:r>
      <w:r w:rsidR="00EE4FC3">
        <w:t xml:space="preserve"> </w:t>
      </w:r>
      <w:r w:rsidRPr="00382917">
        <w:t>this</w:t>
      </w:r>
      <w:r w:rsidR="00EE4FC3">
        <w:t xml:space="preserve"> </w:t>
      </w:r>
      <w:r w:rsidRPr="00382917">
        <w:t>doctrine.</w:t>
      </w:r>
      <w:r w:rsidR="009C713D" w:rsidRPr="00382917">
        <w:t>”</w:t>
      </w:r>
      <w:r w:rsidR="00400FC3">
        <w:rPr>
          <w:rStyle w:val="FootnoteReference"/>
        </w:rPr>
        <w:footnoteReference w:id="40"/>
      </w:r>
    </w:p>
    <w:p w:rsidR="003B2D0A" w:rsidRPr="00382917" w:rsidRDefault="003B2D0A" w:rsidP="003B2D0A">
      <w:pPr>
        <w:pStyle w:val="Text"/>
      </w:pPr>
      <w:r w:rsidRPr="00382917">
        <w:t>Those</w:t>
      </w:r>
      <w:r w:rsidR="00EE4FC3">
        <w:t xml:space="preserve"> </w:t>
      </w:r>
      <w:r w:rsidRPr="00382917">
        <w:t>in</w:t>
      </w:r>
      <w:r w:rsidR="00EE4FC3">
        <w:t xml:space="preserve"> </w:t>
      </w:r>
      <w:r w:rsidRPr="00382917">
        <w:t>authority</w:t>
      </w:r>
      <w:r w:rsidR="00EE4FC3">
        <w:t xml:space="preserve"> </w:t>
      </w:r>
      <w:r w:rsidRPr="00382917">
        <w:t>began</w:t>
      </w:r>
      <w:r w:rsidR="00EE4FC3">
        <w:t xml:space="preserve"> </w:t>
      </w:r>
      <w:r w:rsidRPr="00382917">
        <w:t>to</w:t>
      </w:r>
      <w:r w:rsidR="00EE4FC3">
        <w:t xml:space="preserve"> </w:t>
      </w:r>
      <w:r w:rsidRPr="00382917">
        <w:t>ask</w:t>
      </w:r>
      <w:r w:rsidR="00EE4FC3">
        <w:t xml:space="preserve"> </w:t>
      </w:r>
      <w:r w:rsidRPr="00382917">
        <w:t>searching</w:t>
      </w:r>
      <w:r w:rsidR="00EE4FC3">
        <w:t xml:space="preserve"> </w:t>
      </w:r>
      <w:r w:rsidRPr="00382917">
        <w:t>questions</w:t>
      </w:r>
      <w:r w:rsidR="00C03C91">
        <w:t>.</w:t>
      </w:r>
      <w:r w:rsidR="00EE4FC3">
        <w:t xml:space="preserve">  </w:t>
      </w:r>
      <w:r w:rsidRPr="00382917">
        <w:t>Finally</w:t>
      </w:r>
      <w:r w:rsidR="00EE4FC3">
        <w:t xml:space="preserve"> </w:t>
      </w:r>
      <w:r w:rsidRPr="00382917">
        <w:t>the</w:t>
      </w:r>
      <w:r w:rsidR="00EE4FC3">
        <w:t xml:space="preserve"> </w:t>
      </w:r>
      <w:r w:rsidRPr="00382917">
        <w:t>Crown</w:t>
      </w:r>
      <w:r w:rsidR="00EE4FC3">
        <w:t xml:space="preserve"> </w:t>
      </w:r>
      <w:r w:rsidRPr="00382917">
        <w:t>itself</w:t>
      </w:r>
      <w:r w:rsidR="00EE4FC3">
        <w:t xml:space="preserve"> </w:t>
      </w:r>
      <w:r w:rsidRPr="00382917">
        <w:t>became</w:t>
      </w:r>
      <w:r w:rsidR="00EE4FC3">
        <w:t xml:space="preserve"> </w:t>
      </w:r>
      <w:r w:rsidRPr="00382917">
        <w:t>interested</w:t>
      </w:r>
      <w:r w:rsidR="00C03C91">
        <w:t>.</w:t>
      </w:r>
      <w:r w:rsidR="00EE4FC3">
        <w:t xml:space="preserve">  </w:t>
      </w:r>
      <w:r w:rsidRPr="00382917">
        <w:t>Muḥammad</w:t>
      </w:r>
      <w:r w:rsidR="00EE4FC3">
        <w:t xml:space="preserve"> </w:t>
      </w:r>
      <w:r w:rsidR="004F6339" w:rsidRPr="004F6339">
        <w:rPr>
          <w:u w:val="single"/>
        </w:rPr>
        <w:t>Sh</w:t>
      </w:r>
      <w:r w:rsidR="004F6339" w:rsidRPr="00382917">
        <w:t>áh</w:t>
      </w:r>
      <w:r w:rsidRPr="00382917">
        <w:t>,</w:t>
      </w:r>
      <w:r w:rsidR="00EE4FC3">
        <w:t xml:space="preserve"> </w:t>
      </w:r>
      <w:r w:rsidRPr="00382917">
        <w:t>the</w:t>
      </w:r>
      <w:r w:rsidR="00EE4FC3">
        <w:t xml:space="preserve"> </w:t>
      </w:r>
      <w:r w:rsidRPr="00382917">
        <w:t>king,</w:t>
      </w:r>
      <w:r w:rsidR="00EE4FC3">
        <w:t xml:space="preserve"> </w:t>
      </w:r>
      <w:r w:rsidRPr="00382917">
        <w:t>decided</w:t>
      </w:r>
      <w:r w:rsidR="00EE4FC3">
        <w:t xml:space="preserve"> </w:t>
      </w:r>
      <w:r w:rsidRPr="00382917">
        <w:t>to</w:t>
      </w:r>
      <w:r w:rsidR="00EE4FC3">
        <w:t xml:space="preserve"> </w:t>
      </w:r>
      <w:r w:rsidRPr="00382917">
        <w:t>investigate</w:t>
      </w:r>
      <w:r w:rsidR="00C03C91">
        <w:t>.</w:t>
      </w:r>
      <w:r w:rsidR="00EE4FC3">
        <w:t xml:space="preserve">  </w:t>
      </w:r>
      <w:r w:rsidRPr="00382917">
        <w:t>He</w:t>
      </w:r>
      <w:r w:rsidR="00EE4FC3">
        <w:t xml:space="preserve"> </w:t>
      </w:r>
      <w:r w:rsidRPr="00382917">
        <w:t>felt</w:t>
      </w:r>
      <w:r w:rsidR="00EE4FC3">
        <w:t xml:space="preserve"> </w:t>
      </w:r>
      <w:r w:rsidRPr="00382917">
        <w:t>that</w:t>
      </w:r>
      <w:r w:rsidR="00EE4FC3">
        <w:t xml:space="preserve"> </w:t>
      </w:r>
      <w:r w:rsidRPr="00382917">
        <w:t>he</w:t>
      </w:r>
      <w:r w:rsidR="00EE4FC3">
        <w:t xml:space="preserve"> </w:t>
      </w:r>
      <w:r w:rsidRPr="00382917">
        <w:t>should</w:t>
      </w:r>
      <w:r w:rsidR="00EE4FC3">
        <w:t xml:space="preserve"> </w:t>
      </w:r>
      <w:r w:rsidRPr="00382917">
        <w:t>know</w:t>
      </w:r>
      <w:r w:rsidR="00EE4FC3">
        <w:t xml:space="preserve"> </w:t>
      </w:r>
      <w:r w:rsidRPr="00382917">
        <w:t>if</w:t>
      </w:r>
      <w:r w:rsidR="00EE4FC3">
        <w:t xml:space="preserve"> </w:t>
      </w:r>
      <w:r w:rsidRPr="00382917">
        <w:t>the</w:t>
      </w:r>
      <w:r w:rsidR="00EE4FC3">
        <w:t xml:space="preserve"> </w:t>
      </w:r>
      <w:r w:rsidRPr="00382917">
        <w:t>reports</w:t>
      </w:r>
      <w:r w:rsidR="00EE4FC3">
        <w:t xml:space="preserve"> </w:t>
      </w:r>
      <w:r w:rsidRPr="00382917">
        <w:t>about</w:t>
      </w:r>
      <w:r w:rsidR="00EE4FC3">
        <w:t xml:space="preserve"> </w:t>
      </w:r>
      <w:r w:rsidRPr="00382917">
        <w:t>this</w:t>
      </w:r>
      <w:r w:rsidR="00EE4FC3">
        <w:t xml:space="preserve"> </w:t>
      </w:r>
      <w:r w:rsidRPr="00382917">
        <w:t>remarkable</w:t>
      </w:r>
      <w:r w:rsidR="00EE4FC3">
        <w:t xml:space="preserve"> </w:t>
      </w:r>
      <w:r w:rsidRPr="00382917">
        <w:t>young</w:t>
      </w:r>
      <w:r w:rsidR="00EE4FC3">
        <w:t xml:space="preserve"> </w:t>
      </w:r>
      <w:r w:rsidRPr="00382917">
        <w:t>man</w:t>
      </w:r>
      <w:r w:rsidR="00EE4FC3">
        <w:t xml:space="preserve"> </w:t>
      </w:r>
      <w:r w:rsidRPr="00382917">
        <w:t>were</w:t>
      </w:r>
      <w:r w:rsidR="00EE4FC3">
        <w:t xml:space="preserve"> </w:t>
      </w:r>
      <w:r w:rsidRPr="00382917">
        <w:t>true</w:t>
      </w:r>
      <w:r w:rsidR="00C03C91">
        <w:t>.</w:t>
      </w:r>
      <w:r w:rsidR="00EE4FC3">
        <w:t xml:space="preserve">  </w:t>
      </w:r>
      <w:r w:rsidRPr="00382917">
        <w:t>So</w:t>
      </w:r>
      <w:r w:rsidR="00EE4FC3">
        <w:t xml:space="preserve"> </w:t>
      </w:r>
      <w:r w:rsidRPr="00382917">
        <w:t>he</w:t>
      </w:r>
      <w:r w:rsidR="00EE4FC3">
        <w:t xml:space="preserve"> </w:t>
      </w:r>
      <w:r w:rsidRPr="00382917">
        <w:t>summoned</w:t>
      </w:r>
      <w:r w:rsidR="00EE4FC3">
        <w:t xml:space="preserve"> </w:t>
      </w:r>
      <w:r w:rsidRPr="00382917">
        <w:t>his</w:t>
      </w:r>
      <w:r w:rsidR="00EE4FC3">
        <w:t xml:space="preserve"> </w:t>
      </w:r>
      <w:r w:rsidRPr="00382917">
        <w:t>Prime</w:t>
      </w:r>
      <w:r w:rsidR="00EE4FC3">
        <w:t xml:space="preserve"> </w:t>
      </w:r>
      <w:r w:rsidRPr="00382917">
        <w:t>Minister.</w:t>
      </w:r>
    </w:p>
    <w:p w:rsidR="003B2D0A" w:rsidRPr="00382917" w:rsidRDefault="009C713D" w:rsidP="003B2D0A">
      <w:pPr>
        <w:pStyle w:val="Text"/>
      </w:pPr>
      <w:r w:rsidRPr="00382917">
        <w:t>“</w:t>
      </w:r>
      <w:r w:rsidR="003B2D0A" w:rsidRPr="00382917">
        <w:t>Who</w:t>
      </w:r>
      <w:r w:rsidR="00EE4FC3">
        <w:t xml:space="preserve"> </w:t>
      </w:r>
      <w:r w:rsidR="003B2D0A" w:rsidRPr="00382917">
        <w:t>is</w:t>
      </w:r>
      <w:r w:rsidR="00EE4FC3">
        <w:t xml:space="preserve"> </w:t>
      </w:r>
      <w:r w:rsidR="003B2D0A" w:rsidRPr="00382917">
        <w:t>there,</w:t>
      </w:r>
      <w:r w:rsidRPr="00382917">
        <w:t>”</w:t>
      </w:r>
      <w:r w:rsidR="00EE4FC3">
        <w:t xml:space="preserve"> </w:t>
      </w:r>
      <w:r w:rsidR="003B2D0A" w:rsidRPr="00382917">
        <w:t>he</w:t>
      </w:r>
      <w:r w:rsidR="00EE4FC3">
        <w:t xml:space="preserve"> </w:t>
      </w:r>
      <w:r w:rsidR="003B2D0A" w:rsidRPr="00382917">
        <w:t>asked,</w:t>
      </w:r>
      <w:r w:rsidR="00EE4FC3">
        <w:t xml:space="preserve"> </w:t>
      </w:r>
      <w:r w:rsidRPr="00382917">
        <w:t>“</w:t>
      </w:r>
      <w:r w:rsidR="003B2D0A" w:rsidRPr="00382917">
        <w:t>that</w:t>
      </w:r>
      <w:r w:rsidR="00EE4FC3">
        <w:t xml:space="preserve"> </w:t>
      </w:r>
      <w:r w:rsidR="003B2D0A" w:rsidRPr="00382917">
        <w:t>can</w:t>
      </w:r>
      <w:r w:rsidR="00EE4FC3">
        <w:t xml:space="preserve"> </w:t>
      </w:r>
      <w:r w:rsidR="003B2D0A" w:rsidRPr="00382917">
        <w:t>be</w:t>
      </w:r>
      <w:r w:rsidR="00EE4FC3">
        <w:t xml:space="preserve"> </w:t>
      </w:r>
      <w:r w:rsidR="003B2D0A" w:rsidRPr="00382917">
        <w:t>trusted</w:t>
      </w:r>
      <w:r w:rsidR="00EE4FC3">
        <w:t xml:space="preserve"> </w:t>
      </w:r>
      <w:r w:rsidR="003B2D0A" w:rsidRPr="00382917">
        <w:t>to</w:t>
      </w:r>
      <w:r w:rsidR="00EE4FC3">
        <w:t xml:space="preserve"> </w:t>
      </w:r>
      <w:r w:rsidR="003B2D0A" w:rsidRPr="00382917">
        <w:t>make</w:t>
      </w:r>
      <w:r w:rsidR="00EE4FC3">
        <w:t xml:space="preserve"> </w:t>
      </w:r>
      <w:r w:rsidR="003B2D0A" w:rsidRPr="00382917">
        <w:t>this</w:t>
      </w:r>
      <w:r w:rsidR="00EE4FC3">
        <w:t xml:space="preserve"> </w:t>
      </w:r>
      <w:r w:rsidR="003B2D0A" w:rsidRPr="00382917">
        <w:t>investigation?</w:t>
      </w:r>
      <w:r w:rsidRPr="00382917">
        <w:t>”</w:t>
      </w:r>
    </w:p>
    <w:p w:rsidR="00E13D49" w:rsidRPr="00382917" w:rsidRDefault="003B2D0A" w:rsidP="00050B87">
      <w:pPr>
        <w:pStyle w:val="Text"/>
      </w:pPr>
      <w:r w:rsidRPr="00382917">
        <w:t>After</w:t>
      </w:r>
      <w:r w:rsidR="00EE4FC3">
        <w:t xml:space="preserve"> </w:t>
      </w:r>
      <w:r w:rsidRPr="00382917">
        <w:t>much</w:t>
      </w:r>
      <w:r w:rsidR="00EE4FC3">
        <w:t xml:space="preserve"> </w:t>
      </w:r>
      <w:r w:rsidRPr="00382917">
        <w:t>consultation,</w:t>
      </w:r>
      <w:r w:rsidR="00EE4FC3">
        <w:t xml:space="preserve"> </w:t>
      </w:r>
      <w:r w:rsidRPr="00382917">
        <w:t>the</w:t>
      </w:r>
      <w:r w:rsidR="00EE4FC3">
        <w:t xml:space="preserve"> </w:t>
      </w:r>
      <w:r w:rsidRPr="00382917">
        <w:t>king</w:t>
      </w:r>
      <w:r w:rsidR="00EE4FC3">
        <w:t xml:space="preserve"> </w:t>
      </w:r>
      <w:r w:rsidRPr="00382917">
        <w:t>and</w:t>
      </w:r>
      <w:r w:rsidR="00EE4FC3">
        <w:t xml:space="preserve"> </w:t>
      </w:r>
      <w:r w:rsidRPr="00382917">
        <w:t>the</w:t>
      </w:r>
      <w:r w:rsidR="00EE4FC3">
        <w:t xml:space="preserve"> </w:t>
      </w:r>
      <w:r w:rsidRPr="00382917">
        <w:t>Prime</w:t>
      </w:r>
      <w:r w:rsidR="00EE4FC3">
        <w:t xml:space="preserve"> </w:t>
      </w:r>
      <w:r w:rsidRPr="00382917">
        <w:t>Minister</w:t>
      </w:r>
      <w:r w:rsidR="00EE4FC3">
        <w:t xml:space="preserve"> </w:t>
      </w:r>
      <w:r w:rsidRPr="00382917">
        <w:t>chose</w:t>
      </w:r>
      <w:r w:rsidR="00EE4FC3">
        <w:t xml:space="preserve"> </w:t>
      </w:r>
      <w:r w:rsidRPr="00382917">
        <w:t>someone</w:t>
      </w:r>
      <w:r w:rsidR="00EE4FC3">
        <w:t xml:space="preserve"> </w:t>
      </w:r>
      <w:r w:rsidRPr="00382917">
        <w:t>in</w:t>
      </w:r>
      <w:r w:rsidR="00EE4FC3">
        <w:t xml:space="preserve"> </w:t>
      </w:r>
      <w:r w:rsidRPr="00382917">
        <w:t>whom</w:t>
      </w:r>
      <w:r w:rsidR="00EE4FC3">
        <w:t xml:space="preserve"> </w:t>
      </w:r>
      <w:r w:rsidRPr="00382917">
        <w:t>they</w:t>
      </w:r>
      <w:r w:rsidR="00EE4FC3">
        <w:t xml:space="preserve"> </w:t>
      </w:r>
      <w:r w:rsidRPr="00382917">
        <w:t>both</w:t>
      </w:r>
      <w:r w:rsidR="00EE4FC3">
        <w:t xml:space="preserve"> </w:t>
      </w:r>
      <w:r w:rsidRPr="00382917">
        <w:t>had</w:t>
      </w:r>
      <w:r w:rsidR="00EE4FC3">
        <w:t xml:space="preserve"> </w:t>
      </w:r>
      <w:r w:rsidRPr="00382917">
        <w:t>the</w:t>
      </w:r>
      <w:r w:rsidR="00EE4FC3">
        <w:t xml:space="preserve"> </w:t>
      </w:r>
      <w:r w:rsidRPr="00382917">
        <w:t>greatest</w:t>
      </w:r>
      <w:r w:rsidR="00EE4FC3">
        <w:t xml:space="preserve"> </w:t>
      </w:r>
      <w:r w:rsidRPr="00382917">
        <w:t>faith</w:t>
      </w:r>
      <w:r w:rsidR="00C03C91">
        <w:t>.</w:t>
      </w:r>
      <w:r w:rsidR="00EE4FC3">
        <w:t xml:space="preserve">  </w:t>
      </w:r>
      <w:r w:rsidRPr="00382917">
        <w:t>He</w:t>
      </w:r>
      <w:r w:rsidR="00EE4FC3">
        <w:t xml:space="preserve"> </w:t>
      </w:r>
      <w:r w:rsidRPr="00382917">
        <w:t>was</w:t>
      </w:r>
      <w:r w:rsidR="00EE4FC3">
        <w:t xml:space="preserve"> </w:t>
      </w:r>
      <w:r w:rsidRPr="00382917">
        <w:t>surnamed</w:t>
      </w:r>
      <w:r w:rsidR="00EE4FC3">
        <w:t xml:space="preserve"> </w:t>
      </w:r>
      <w:r w:rsidRPr="00382917">
        <w:t>Vaḥíd.</w:t>
      </w:r>
      <w:r w:rsidR="00050B87">
        <w:rPr>
          <w:rStyle w:val="FootnoteReference"/>
        </w:rPr>
        <w:footnoteReference w:id="41"/>
      </w:r>
    </w:p>
    <w:p w:rsidR="003B2D0A" w:rsidRPr="00382917" w:rsidRDefault="003B2D0A" w:rsidP="00050B87">
      <w:pPr>
        <w:pStyle w:val="Text"/>
      </w:pPr>
      <w:r w:rsidRPr="00382917">
        <w:t>Vaḥíd</w:t>
      </w:r>
      <w:r w:rsidR="00EE4FC3">
        <w:t xml:space="preserve"> </w:t>
      </w:r>
      <w:r w:rsidRPr="00382917">
        <w:t>was</w:t>
      </w:r>
      <w:r w:rsidR="00EE4FC3">
        <w:t xml:space="preserve"> </w:t>
      </w:r>
      <w:r w:rsidRPr="00382917">
        <w:t>known</w:t>
      </w:r>
      <w:r w:rsidR="00EE4FC3">
        <w:t xml:space="preserve"> </w:t>
      </w:r>
      <w:r w:rsidRPr="00382917">
        <w:t>to</w:t>
      </w:r>
      <w:r w:rsidR="00EE4FC3">
        <w:t xml:space="preserve"> </w:t>
      </w:r>
      <w:r w:rsidRPr="00382917">
        <w:t>be</w:t>
      </w:r>
      <w:r w:rsidR="00EE4FC3">
        <w:t xml:space="preserve"> </w:t>
      </w:r>
      <w:r w:rsidRPr="00382917">
        <w:t>the</w:t>
      </w:r>
      <w:r w:rsidR="00EE4FC3">
        <w:t xml:space="preserve"> </w:t>
      </w:r>
      <w:r w:rsidRPr="00382917">
        <w:t>most</w:t>
      </w:r>
      <w:r w:rsidR="00EE4FC3">
        <w:t xml:space="preserve"> </w:t>
      </w:r>
      <w:r w:rsidRPr="00382917">
        <w:t>learned,</w:t>
      </w:r>
      <w:r w:rsidR="00EE4FC3">
        <w:t xml:space="preserve"> </w:t>
      </w:r>
      <w:r w:rsidRPr="00382917">
        <w:t>eloquent,</w:t>
      </w:r>
      <w:r w:rsidR="00EE4FC3">
        <w:t xml:space="preserve"> </w:t>
      </w:r>
      <w:r w:rsidRPr="00382917">
        <w:t>and</w:t>
      </w:r>
      <w:r w:rsidR="00EE4FC3">
        <w:t xml:space="preserve"> </w:t>
      </w:r>
      <w:r w:rsidRPr="00382917">
        <w:t>influential</w:t>
      </w:r>
      <w:r w:rsidR="00EE4FC3">
        <w:t xml:space="preserve"> </w:t>
      </w:r>
      <w:r w:rsidRPr="00382917">
        <w:t>of</w:t>
      </w:r>
      <w:r w:rsidR="00EE4FC3">
        <w:t xml:space="preserve"> </w:t>
      </w:r>
      <w:proofErr w:type="gramStart"/>
      <w:r w:rsidRPr="00382917">
        <w:t>all</w:t>
      </w:r>
      <w:r w:rsidR="00EE4FC3">
        <w:t xml:space="preserve"> </w:t>
      </w:r>
      <w:r w:rsidRPr="00382917">
        <w:t>the</w:t>
      </w:r>
      <w:proofErr w:type="gramEnd"/>
      <w:r w:rsidR="00EE4FC3">
        <w:t xml:space="preserve"> </w:t>
      </w:r>
      <w:r w:rsidRPr="00382917">
        <w:t>king</w:t>
      </w:r>
      <w:r w:rsidR="009C713D" w:rsidRPr="00382917">
        <w:t>’</w:t>
      </w:r>
      <w:r w:rsidRPr="00382917">
        <w:t>s</w:t>
      </w:r>
      <w:r w:rsidR="00EE4FC3">
        <w:t xml:space="preserve"> </w:t>
      </w:r>
      <w:r w:rsidRPr="00382917">
        <w:t>people</w:t>
      </w:r>
      <w:r w:rsidR="00C03C91">
        <w:t>.</w:t>
      </w:r>
      <w:r w:rsidR="00EE4FC3">
        <w:t xml:space="preserve">  </w:t>
      </w:r>
      <w:r w:rsidRPr="00382917">
        <w:t>If</w:t>
      </w:r>
      <w:r w:rsidR="00EE4FC3">
        <w:t xml:space="preserve"> </w:t>
      </w:r>
      <w:r w:rsidRPr="00382917">
        <w:t>anyone</w:t>
      </w:r>
      <w:r w:rsidR="00EE4FC3">
        <w:t xml:space="preserve"> </w:t>
      </w:r>
      <w:r w:rsidRPr="00382917">
        <w:t>could</w:t>
      </w:r>
      <w:r w:rsidR="00EE4FC3">
        <w:t xml:space="preserve"> </w:t>
      </w:r>
      <w:r w:rsidRPr="00382917">
        <w:t>silence</w:t>
      </w:r>
      <w:r w:rsidR="00EE4FC3">
        <w:t xml:space="preserve"> </w:t>
      </w:r>
      <w:r w:rsidRPr="00382917">
        <w:t>the</w:t>
      </w:r>
      <w:r w:rsidR="00EE4FC3">
        <w:t xml:space="preserve"> </w:t>
      </w:r>
      <w:r w:rsidRPr="00382917">
        <w:t>Báb,</w:t>
      </w:r>
      <w:r w:rsidR="00EE4FC3">
        <w:t xml:space="preserve"> </w:t>
      </w:r>
      <w:r w:rsidRPr="00382917">
        <w:t>it</w:t>
      </w:r>
      <w:r w:rsidR="00EE4FC3">
        <w:t xml:space="preserve"> </w:t>
      </w:r>
      <w:r w:rsidRPr="00382917">
        <w:t>would</w:t>
      </w:r>
      <w:r w:rsidR="00EE4FC3">
        <w:t xml:space="preserve"> </w:t>
      </w:r>
      <w:r w:rsidRPr="00382917">
        <w:t>be</w:t>
      </w:r>
      <w:r w:rsidR="00EE4FC3">
        <w:t xml:space="preserve"> </w:t>
      </w:r>
      <w:r w:rsidRPr="00382917">
        <w:t>he</w:t>
      </w:r>
      <w:r w:rsidR="00C03C91">
        <w:t>.</w:t>
      </w:r>
      <w:r w:rsidR="00EE4FC3">
        <w:t xml:space="preserve">  </w:t>
      </w:r>
      <w:r w:rsidRPr="00382917">
        <w:t>The</w:t>
      </w:r>
      <w:r w:rsidR="00EE4FC3">
        <w:t xml:space="preserve"> </w:t>
      </w:r>
      <w:r w:rsidRPr="00382917">
        <w:t>great</w:t>
      </w:r>
      <w:r w:rsidR="00EE4FC3">
        <w:t xml:space="preserve"> </w:t>
      </w:r>
      <w:r w:rsidRPr="00382917">
        <w:t>leaders</w:t>
      </w:r>
      <w:r w:rsidR="00EE4FC3">
        <w:t xml:space="preserve"> </w:t>
      </w:r>
      <w:r w:rsidRPr="00382917">
        <w:t>of</w:t>
      </w:r>
      <w:r w:rsidR="00EE4FC3">
        <w:t xml:space="preserve"> </w:t>
      </w:r>
      <w:r w:rsidRPr="00382917">
        <w:t>Persia</w:t>
      </w:r>
      <w:r w:rsidR="00EE4FC3">
        <w:t xml:space="preserve"> </w:t>
      </w:r>
      <w:r w:rsidRPr="00382917">
        <w:t>all</w:t>
      </w:r>
      <w:r w:rsidR="00EE4FC3">
        <w:t xml:space="preserve"> </w:t>
      </w:r>
      <w:r w:rsidRPr="00382917">
        <w:t>testified</w:t>
      </w:r>
      <w:r w:rsidR="00EE4FC3">
        <w:t xml:space="preserve"> </w:t>
      </w:r>
      <w:r w:rsidRPr="00382917">
        <w:t>to</w:t>
      </w:r>
      <w:r w:rsidR="00EE4FC3">
        <w:t xml:space="preserve"> </w:t>
      </w:r>
      <w:r w:rsidRPr="00382917">
        <w:t>his</w:t>
      </w:r>
      <w:r w:rsidR="00EE4FC3">
        <w:t xml:space="preserve"> </w:t>
      </w:r>
      <w:r w:rsidRPr="00382917">
        <w:t>knowledge</w:t>
      </w:r>
      <w:r w:rsidR="00EE4FC3">
        <w:t xml:space="preserve"> </w:t>
      </w:r>
      <w:r w:rsidRPr="00382917">
        <w:t>and</w:t>
      </w:r>
      <w:r w:rsidR="00EE4FC3">
        <w:t xml:space="preserve"> </w:t>
      </w:r>
      <w:r w:rsidRPr="00382917">
        <w:t>wisdom</w:t>
      </w:r>
      <w:r w:rsidR="00C03C91">
        <w:t>.</w:t>
      </w:r>
      <w:r w:rsidR="00EE4FC3">
        <w:t xml:space="preserve">  </w:t>
      </w:r>
      <w:r w:rsidRPr="00382917">
        <w:t>His</w:t>
      </w:r>
      <w:r w:rsidR="00EE4FC3">
        <w:t xml:space="preserve"> </w:t>
      </w:r>
      <w:r w:rsidRPr="00382917">
        <w:t>father</w:t>
      </w:r>
      <w:r w:rsidR="00EE4FC3">
        <w:t xml:space="preserve"> </w:t>
      </w:r>
      <w:r w:rsidRPr="00382917">
        <w:t>was</w:t>
      </w:r>
      <w:r w:rsidR="00EE4FC3">
        <w:t xml:space="preserve"> </w:t>
      </w:r>
      <w:r w:rsidRPr="00382917">
        <w:t>one</w:t>
      </w:r>
      <w:r w:rsidR="00EE4FC3">
        <w:t xml:space="preserve"> </w:t>
      </w:r>
      <w:r w:rsidRPr="00382917">
        <w:t>of</w:t>
      </w:r>
      <w:r w:rsidR="00EE4FC3">
        <w:t xml:space="preserve"> </w:t>
      </w:r>
      <w:r w:rsidRPr="00382917">
        <w:t>the</w:t>
      </w:r>
      <w:r w:rsidR="00EE4FC3">
        <w:t xml:space="preserve"> </w:t>
      </w:r>
      <w:r w:rsidRPr="00382917">
        <w:t>most</w:t>
      </w:r>
      <w:r w:rsidR="00EE4FC3">
        <w:t xml:space="preserve"> </w:t>
      </w:r>
      <w:r w:rsidRPr="00382917">
        <w:t>celebrated</w:t>
      </w:r>
      <w:r w:rsidR="00EE4FC3">
        <w:t xml:space="preserve"> </w:t>
      </w:r>
      <w:r w:rsidRPr="00382917">
        <w:t>religious</w:t>
      </w:r>
      <w:r w:rsidR="00EE4FC3">
        <w:t xml:space="preserve"> </w:t>
      </w:r>
      <w:r w:rsidRPr="00382917">
        <w:t>doctors</w:t>
      </w:r>
      <w:r w:rsidR="00EE4FC3">
        <w:t xml:space="preserve"> </w:t>
      </w:r>
      <w:r w:rsidRPr="00382917">
        <w:t>of</w:t>
      </w:r>
      <w:r w:rsidR="00EE4FC3">
        <w:t xml:space="preserve"> </w:t>
      </w:r>
      <w:r w:rsidRPr="00382917">
        <w:t>that</w:t>
      </w:r>
      <w:r w:rsidR="00EE4FC3">
        <w:t xml:space="preserve"> </w:t>
      </w:r>
      <w:r w:rsidRPr="00382917">
        <w:t>age,</w:t>
      </w:r>
      <w:r w:rsidR="00EE4FC3">
        <w:t xml:space="preserve"> </w:t>
      </w:r>
      <w:r w:rsidRPr="00382917">
        <w:t>and</w:t>
      </w:r>
      <w:r w:rsidR="00EE4FC3">
        <w:t xml:space="preserve"> </w:t>
      </w:r>
      <w:r w:rsidRPr="00382917">
        <w:t>now</w:t>
      </w:r>
      <w:r w:rsidR="00EE4FC3">
        <w:t xml:space="preserve"> </w:t>
      </w:r>
      <w:r w:rsidRPr="00382917">
        <w:t>Vaḥíd</w:t>
      </w:r>
      <w:r w:rsidR="00EE4FC3">
        <w:t xml:space="preserve"> </w:t>
      </w:r>
      <w:r w:rsidRPr="00382917">
        <w:t>had</w:t>
      </w:r>
      <w:r w:rsidR="00EE4FC3">
        <w:t xml:space="preserve"> </w:t>
      </w:r>
      <w:r w:rsidRPr="00382917">
        <w:t>followed</w:t>
      </w:r>
      <w:r w:rsidR="00EE4FC3">
        <w:t xml:space="preserve"> </w:t>
      </w:r>
      <w:r w:rsidRPr="00382917">
        <w:t>in</w:t>
      </w:r>
      <w:r w:rsidR="00EE4FC3">
        <w:t xml:space="preserve"> </w:t>
      </w:r>
      <w:r w:rsidRPr="00382917">
        <w:t>his</w:t>
      </w:r>
      <w:r w:rsidR="00EE4FC3">
        <w:t xml:space="preserve"> </w:t>
      </w:r>
      <w:r w:rsidRPr="00382917">
        <w:t>father</w:t>
      </w:r>
      <w:r w:rsidR="009C713D" w:rsidRPr="00382917">
        <w:t>’</w:t>
      </w:r>
      <w:r w:rsidRPr="00382917">
        <w:t>s</w:t>
      </w:r>
      <w:r w:rsidR="00EE4FC3">
        <w:t xml:space="preserve"> </w:t>
      </w:r>
      <w:r w:rsidRPr="00382917">
        <w:t>footsteps</w:t>
      </w:r>
      <w:r w:rsidR="00EE4FC3">
        <w:t xml:space="preserve"> </w:t>
      </w:r>
      <w:r w:rsidRPr="00382917">
        <w:t>and</w:t>
      </w:r>
      <w:r w:rsidR="00EE4FC3">
        <w:t xml:space="preserve"> </w:t>
      </w:r>
      <w:r w:rsidRPr="00382917">
        <w:t>even</w:t>
      </w:r>
      <w:r w:rsidR="00EE4FC3">
        <w:t xml:space="preserve"> </w:t>
      </w:r>
      <w:r w:rsidRPr="00382917">
        <w:t>eclipsed</w:t>
      </w:r>
      <w:r w:rsidR="00EE4FC3">
        <w:t xml:space="preserve"> </w:t>
      </w:r>
      <w:r w:rsidRPr="00382917">
        <w:t>him</w:t>
      </w:r>
      <w:r w:rsidR="00C03C91">
        <w:t>.</w:t>
      </w:r>
      <w:r w:rsidR="00EE4FC3">
        <w:t xml:space="preserve">  </w:t>
      </w:r>
      <w:r w:rsidRPr="00382917">
        <w:t>His</w:t>
      </w:r>
      <w:r w:rsidR="00EE4FC3">
        <w:t xml:space="preserve"> </w:t>
      </w:r>
      <w:r w:rsidRPr="00382917">
        <w:t>fame</w:t>
      </w:r>
      <w:r w:rsidR="00EE4FC3">
        <w:t xml:space="preserve"> </w:t>
      </w:r>
      <w:r w:rsidRPr="00382917">
        <w:t>and</w:t>
      </w:r>
      <w:r w:rsidR="00EE4FC3">
        <w:t xml:space="preserve"> </w:t>
      </w:r>
      <w:r w:rsidRPr="00382917">
        <w:t>popularity</w:t>
      </w:r>
      <w:r w:rsidR="00EE4FC3">
        <w:t xml:space="preserve"> </w:t>
      </w:r>
      <w:r w:rsidRPr="00382917">
        <w:t>were</w:t>
      </w:r>
      <w:r w:rsidR="00EE4FC3">
        <w:t xml:space="preserve"> </w:t>
      </w:r>
      <w:r w:rsidRPr="00382917">
        <w:t>known</w:t>
      </w:r>
      <w:r w:rsidR="00EE4FC3">
        <w:t xml:space="preserve"> </w:t>
      </w:r>
      <w:r w:rsidRPr="00382917">
        <w:t>throughout</w:t>
      </w:r>
      <w:r w:rsidR="00EE4FC3">
        <w:t xml:space="preserve"> </w:t>
      </w:r>
      <w:r w:rsidRPr="00382917">
        <w:t>the</w:t>
      </w:r>
      <w:r w:rsidR="00EE4FC3">
        <w:t xml:space="preserve"> </w:t>
      </w:r>
      <w:r w:rsidRPr="00382917">
        <w:t>land</w:t>
      </w:r>
      <w:r w:rsidR="00C03C91">
        <w:t>.</w:t>
      </w:r>
      <w:r w:rsidR="00EE4FC3">
        <w:t xml:space="preserve">  </w:t>
      </w:r>
      <w:r w:rsidRPr="00382917">
        <w:t>He</w:t>
      </w:r>
      <w:r w:rsidR="00EE4FC3">
        <w:t xml:space="preserve"> </w:t>
      </w:r>
      <w:r w:rsidRPr="00382917">
        <w:t>was</w:t>
      </w:r>
      <w:r w:rsidR="00EE4FC3">
        <w:t xml:space="preserve"> </w:t>
      </w:r>
      <w:r w:rsidRPr="00382917">
        <w:t>admitted</w:t>
      </w:r>
      <w:r w:rsidR="00EE4FC3">
        <w:t xml:space="preserve"> </w:t>
      </w:r>
      <w:r w:rsidRPr="00382917">
        <w:t>to</w:t>
      </w:r>
      <w:r w:rsidR="00EE4FC3">
        <w:t xml:space="preserve"> </w:t>
      </w:r>
      <w:r w:rsidRPr="00382917">
        <w:t>be</w:t>
      </w:r>
      <w:r w:rsidR="00EE4FC3">
        <w:t xml:space="preserve"> </w:t>
      </w:r>
      <w:r w:rsidRPr="00382917">
        <w:t>outstanding</w:t>
      </w:r>
      <w:r w:rsidR="00EE4FC3">
        <w:t xml:space="preserve"> </w:t>
      </w:r>
      <w:r w:rsidRPr="00382917">
        <w:t>among</w:t>
      </w:r>
      <w:r w:rsidR="00EE4FC3">
        <w:t xml:space="preserve"> </w:t>
      </w:r>
      <w:r w:rsidRPr="00382917">
        <w:t>all</w:t>
      </w:r>
      <w:r w:rsidR="00EE4FC3">
        <w:t xml:space="preserve"> </w:t>
      </w:r>
      <w:r w:rsidRPr="00382917">
        <w:t>the</w:t>
      </w:r>
      <w:r w:rsidR="00EE4FC3">
        <w:t xml:space="preserve"> </w:t>
      </w:r>
      <w:r w:rsidRPr="00382917">
        <w:t>leading</w:t>
      </w:r>
      <w:r w:rsidR="00EE4FC3">
        <w:t xml:space="preserve"> </w:t>
      </w:r>
      <w:r w:rsidRPr="00382917">
        <w:t>figures</w:t>
      </w:r>
      <w:r w:rsidR="00EE4FC3">
        <w:t xml:space="preserve"> </w:t>
      </w:r>
      <w:r w:rsidRPr="00382917">
        <w:t>of</w:t>
      </w:r>
      <w:r w:rsidR="00EE4FC3">
        <w:t xml:space="preserve"> </w:t>
      </w:r>
      <w:r w:rsidRPr="00382917">
        <w:t>Persia</w:t>
      </w:r>
      <w:r w:rsidR="00C03C91">
        <w:t>.</w:t>
      </w:r>
      <w:r w:rsidR="00EE4FC3">
        <w:t xml:space="preserve">  </w:t>
      </w:r>
      <w:r w:rsidRPr="00382917">
        <w:t>Whenever</w:t>
      </w:r>
      <w:r w:rsidR="00EE4FC3">
        <w:t xml:space="preserve"> </w:t>
      </w:r>
      <w:r w:rsidRPr="00382917">
        <w:t>he</w:t>
      </w:r>
      <w:r w:rsidR="00EE4FC3">
        <w:t xml:space="preserve"> </w:t>
      </w:r>
      <w:r w:rsidRPr="00382917">
        <w:t>was</w:t>
      </w:r>
      <w:r w:rsidR="00EE4FC3">
        <w:t xml:space="preserve"> </w:t>
      </w:r>
      <w:r w:rsidRPr="00382917">
        <w:t>present</w:t>
      </w:r>
      <w:r w:rsidR="00EE4FC3">
        <w:t xml:space="preserve"> </w:t>
      </w:r>
      <w:r w:rsidRPr="00382917">
        <w:t>at</w:t>
      </w:r>
      <w:r w:rsidR="00EE4FC3">
        <w:t xml:space="preserve"> </w:t>
      </w:r>
      <w:r w:rsidRPr="00382917">
        <w:t>a</w:t>
      </w:r>
      <w:r w:rsidR="00EE4FC3">
        <w:t xml:space="preserve"> </w:t>
      </w:r>
      <w:r w:rsidRPr="00382917">
        <w:t>meeting,</w:t>
      </w:r>
      <w:r w:rsidR="00EE4FC3">
        <w:t xml:space="preserve"> </w:t>
      </w:r>
      <w:r w:rsidRPr="00382917">
        <w:t>he</w:t>
      </w:r>
      <w:r w:rsidR="00EE4FC3">
        <w:t xml:space="preserve"> </w:t>
      </w:r>
      <w:r w:rsidRPr="00382917">
        <w:t>was</w:t>
      </w:r>
      <w:r w:rsidR="00EE4FC3">
        <w:t xml:space="preserve"> </w:t>
      </w:r>
      <w:r w:rsidRPr="00382917">
        <w:t>invariably</w:t>
      </w:r>
      <w:r w:rsidR="00EE4FC3">
        <w:t xml:space="preserve"> </w:t>
      </w:r>
      <w:r w:rsidRPr="00382917">
        <w:t>the</w:t>
      </w:r>
      <w:r w:rsidR="00EE4FC3">
        <w:t xml:space="preserve"> </w:t>
      </w:r>
      <w:r w:rsidRPr="00382917">
        <w:t>chief</w:t>
      </w:r>
      <w:r w:rsidR="00EE4FC3">
        <w:t xml:space="preserve"> </w:t>
      </w:r>
      <w:r w:rsidRPr="00382917">
        <w:t>speaker</w:t>
      </w:r>
      <w:r w:rsidR="00C03C91">
        <w:t>.</w:t>
      </w:r>
      <w:r w:rsidR="00EE4FC3">
        <w:t xml:space="preserve">  </w:t>
      </w:r>
      <w:r w:rsidRPr="00382917">
        <w:t>Furthermore,</w:t>
      </w:r>
      <w:r w:rsidR="00EE4FC3">
        <w:t xml:space="preserve"> </w:t>
      </w:r>
      <w:r w:rsidRPr="00382917">
        <w:t>Vaḥíd,</w:t>
      </w:r>
      <w:r w:rsidR="00EE4FC3">
        <w:t xml:space="preserve"> </w:t>
      </w:r>
      <w:r w:rsidRPr="00382917">
        <w:t>because</w:t>
      </w:r>
      <w:r w:rsidR="00EE4FC3">
        <w:t xml:space="preserve"> </w:t>
      </w:r>
      <w:r w:rsidRPr="00382917">
        <w:t>of</w:t>
      </w:r>
      <w:r w:rsidR="00EE4FC3">
        <w:t xml:space="preserve"> </w:t>
      </w:r>
      <w:r w:rsidRPr="00382917">
        <w:t>his</w:t>
      </w:r>
      <w:r w:rsidR="00EE4FC3">
        <w:t xml:space="preserve"> </w:t>
      </w:r>
      <w:r w:rsidRPr="00382917">
        <w:t>wisdom,</w:t>
      </w:r>
      <w:r w:rsidR="00EE4FC3">
        <w:t xml:space="preserve"> </w:t>
      </w:r>
      <w:r w:rsidRPr="00382917">
        <w:t>was</w:t>
      </w:r>
      <w:r w:rsidR="00EE4FC3">
        <w:t xml:space="preserve"> </w:t>
      </w:r>
      <w:r w:rsidRPr="00382917">
        <w:t>frequently</w:t>
      </w:r>
      <w:r w:rsidR="00EE4FC3">
        <w:t xml:space="preserve"> </w:t>
      </w:r>
      <w:r w:rsidRPr="00382917">
        <w:t>consulted</w:t>
      </w:r>
      <w:r w:rsidR="00EE4FC3">
        <w:t xml:space="preserve"> </w:t>
      </w:r>
      <w:r w:rsidRPr="00382917">
        <w:t>by</w:t>
      </w:r>
      <w:r w:rsidR="00EE4FC3">
        <w:t xml:space="preserve"> </w:t>
      </w:r>
      <w:r w:rsidRPr="00382917">
        <w:t>the</w:t>
      </w:r>
      <w:r w:rsidR="00EE4FC3">
        <w:t xml:space="preserve"> </w:t>
      </w:r>
      <w:r w:rsidRPr="00382917">
        <w:t>government</w:t>
      </w:r>
      <w:r w:rsidR="00EE4FC3">
        <w:t xml:space="preserve"> </w:t>
      </w:r>
      <w:r w:rsidRPr="00382917">
        <w:t>in</w:t>
      </w:r>
      <w:r w:rsidR="00EE4FC3">
        <w:t xml:space="preserve"> </w:t>
      </w:r>
      <w:r w:rsidRPr="00382917">
        <w:t>times</w:t>
      </w:r>
      <w:r w:rsidR="00EE4FC3">
        <w:t xml:space="preserve"> </w:t>
      </w:r>
      <w:r w:rsidRPr="00382917">
        <w:t>of</w:t>
      </w:r>
      <w:r w:rsidR="00EE4FC3">
        <w:t xml:space="preserve"> </w:t>
      </w:r>
      <w:r w:rsidRPr="00382917">
        <w:t>trouble.</w:t>
      </w:r>
      <w:r w:rsidR="00050B87">
        <w:rPr>
          <w:rStyle w:val="FootnoteReference"/>
        </w:rPr>
        <w:footnoteReference w:id="42"/>
      </w:r>
    </w:p>
    <w:p w:rsidR="003B2D0A" w:rsidRPr="00382917" w:rsidRDefault="003B2D0A">
      <w:pPr>
        <w:widowControl/>
        <w:kinsoku/>
        <w:overflowPunct/>
        <w:textAlignment w:val="auto"/>
      </w:pPr>
      <w:r w:rsidRPr="00382917">
        <w:br w:type="page"/>
      </w:r>
    </w:p>
    <w:p w:rsidR="003B2D0A" w:rsidRPr="00382917" w:rsidRDefault="003B2D0A" w:rsidP="003B2D0A">
      <w:pPr>
        <w:pStyle w:val="Text"/>
      </w:pPr>
      <w:r w:rsidRPr="00382917">
        <w:t>He</w:t>
      </w:r>
      <w:r w:rsidR="00EE4FC3">
        <w:t xml:space="preserve"> </w:t>
      </w:r>
      <w:r w:rsidRPr="00382917">
        <w:t>was</w:t>
      </w:r>
      <w:r w:rsidR="00EE4FC3">
        <w:t xml:space="preserve"> </w:t>
      </w:r>
      <w:r w:rsidRPr="00382917">
        <w:t>living</w:t>
      </w:r>
      <w:r w:rsidR="00EE4FC3">
        <w:t xml:space="preserve"> </w:t>
      </w:r>
      <w:r w:rsidRPr="00382917">
        <w:t>at</w:t>
      </w:r>
      <w:r w:rsidR="00EE4FC3">
        <w:t xml:space="preserve"> </w:t>
      </w:r>
      <w:r w:rsidRPr="00382917">
        <w:t>that</w:t>
      </w:r>
      <w:r w:rsidR="00EE4FC3">
        <w:t xml:space="preserve"> </w:t>
      </w:r>
      <w:r w:rsidRPr="00382917">
        <w:t>time</w:t>
      </w:r>
      <w:r w:rsidR="00EE4FC3">
        <w:t xml:space="preserve"> </w:t>
      </w:r>
      <w:r w:rsidRPr="00382917">
        <w:t>in</w:t>
      </w:r>
      <w:r w:rsidR="00EE4FC3">
        <w:t xml:space="preserve"> </w:t>
      </w:r>
      <w:r w:rsidRPr="00382917">
        <w:t>Ṭihrán</w:t>
      </w:r>
      <w:r w:rsidR="00EE4FC3">
        <w:t xml:space="preserve"> </w:t>
      </w:r>
      <w:r w:rsidRPr="00382917">
        <w:t>as</w:t>
      </w:r>
      <w:r w:rsidR="00EE4FC3">
        <w:t xml:space="preserve"> </w:t>
      </w:r>
      <w:r w:rsidRPr="00382917">
        <w:t>an</w:t>
      </w:r>
      <w:r w:rsidR="00EE4FC3">
        <w:t xml:space="preserve"> </w:t>
      </w:r>
      <w:proofErr w:type="spellStart"/>
      <w:r w:rsidRPr="00382917">
        <w:t>honored</w:t>
      </w:r>
      <w:proofErr w:type="spellEnd"/>
      <w:r w:rsidR="00EE4FC3">
        <w:t xml:space="preserve"> </w:t>
      </w:r>
      <w:r w:rsidRPr="00382917">
        <w:t>guest</w:t>
      </w:r>
      <w:r w:rsidR="00EE4FC3">
        <w:t xml:space="preserve"> </w:t>
      </w:r>
      <w:r w:rsidRPr="00382917">
        <w:t>of</w:t>
      </w:r>
      <w:r w:rsidR="00EE4FC3">
        <w:t xml:space="preserve"> </w:t>
      </w:r>
      <w:r w:rsidRPr="00382917">
        <w:t>the</w:t>
      </w:r>
      <w:r w:rsidR="00EE4FC3">
        <w:t xml:space="preserve"> </w:t>
      </w:r>
      <w:r w:rsidRPr="00382917">
        <w:t>king,</w:t>
      </w:r>
      <w:r w:rsidR="00EE4FC3">
        <w:t xml:space="preserve"> </w:t>
      </w:r>
      <w:r w:rsidRPr="00382917">
        <w:t>therefore</w:t>
      </w:r>
      <w:r w:rsidR="00EE4FC3">
        <w:t xml:space="preserve"> </w:t>
      </w:r>
      <w:r w:rsidRPr="00382917">
        <w:t>they</w:t>
      </w:r>
      <w:r w:rsidR="00EE4FC3">
        <w:t xml:space="preserve"> </w:t>
      </w:r>
      <w:r w:rsidRPr="00382917">
        <w:t>thought</w:t>
      </w:r>
      <w:r w:rsidR="00EE4FC3">
        <w:t xml:space="preserve"> </w:t>
      </w:r>
      <w:r w:rsidRPr="00382917">
        <w:t>at</w:t>
      </w:r>
      <w:r w:rsidR="00EE4FC3">
        <w:t xml:space="preserve"> </w:t>
      </w:r>
      <w:r w:rsidRPr="00382917">
        <w:t>once</w:t>
      </w:r>
      <w:r w:rsidR="00EE4FC3">
        <w:t xml:space="preserve"> </w:t>
      </w:r>
      <w:r w:rsidRPr="00382917">
        <w:t>of</w:t>
      </w:r>
      <w:r w:rsidR="00EE4FC3">
        <w:t xml:space="preserve"> </w:t>
      </w:r>
      <w:r w:rsidRPr="00382917">
        <w:t>Vaḥíd</w:t>
      </w:r>
      <w:r w:rsidR="00EE4FC3">
        <w:t xml:space="preserve"> </w:t>
      </w:r>
      <w:r w:rsidRPr="00382917">
        <w:t>when</w:t>
      </w:r>
      <w:r w:rsidR="00EE4FC3">
        <w:t xml:space="preserve"> </w:t>
      </w:r>
      <w:r w:rsidRPr="00382917">
        <w:t>he</w:t>
      </w:r>
      <w:r w:rsidR="00EE4FC3">
        <w:t xml:space="preserve"> </w:t>
      </w:r>
      <w:r w:rsidRPr="00382917">
        <w:t>sought</w:t>
      </w:r>
      <w:r w:rsidR="00EE4FC3">
        <w:t xml:space="preserve"> </w:t>
      </w:r>
      <w:r w:rsidRPr="00382917">
        <w:t>an</w:t>
      </w:r>
      <w:r w:rsidR="00EE4FC3">
        <w:t xml:space="preserve"> </w:t>
      </w:r>
      <w:r w:rsidRPr="00382917">
        <w:t>honest</w:t>
      </w:r>
      <w:r w:rsidR="00EE4FC3">
        <w:t xml:space="preserve"> </w:t>
      </w:r>
      <w:r w:rsidRPr="00382917">
        <w:t>person</w:t>
      </w:r>
      <w:r w:rsidR="00EE4FC3">
        <w:t xml:space="preserve"> </w:t>
      </w:r>
      <w:r w:rsidRPr="00382917">
        <w:t>to</w:t>
      </w:r>
      <w:r w:rsidR="00EE4FC3">
        <w:t xml:space="preserve"> </w:t>
      </w:r>
      <w:r w:rsidRPr="00382917">
        <w:t>send</w:t>
      </w:r>
      <w:r w:rsidR="00EE4FC3">
        <w:t xml:space="preserve"> </w:t>
      </w:r>
      <w:r w:rsidRPr="00382917">
        <w:t>on</w:t>
      </w:r>
      <w:r w:rsidR="00EE4FC3">
        <w:t xml:space="preserve"> </w:t>
      </w:r>
      <w:r w:rsidRPr="00382917">
        <w:t>this</w:t>
      </w:r>
      <w:r w:rsidR="00EE4FC3">
        <w:t xml:space="preserve"> </w:t>
      </w:r>
      <w:r w:rsidRPr="00382917">
        <w:t>important</w:t>
      </w:r>
      <w:r w:rsidR="00EE4FC3">
        <w:t xml:space="preserve"> </w:t>
      </w:r>
      <w:r w:rsidRPr="00382917">
        <w:t>mission</w:t>
      </w:r>
      <w:r w:rsidR="00C03C91">
        <w:t>.</w:t>
      </w:r>
      <w:r w:rsidR="00EE4FC3">
        <w:t xml:space="preserve">  </w:t>
      </w:r>
      <w:r w:rsidRPr="00382917">
        <w:t>The</w:t>
      </w:r>
      <w:r w:rsidR="00EE4FC3">
        <w:t xml:space="preserve"> </w:t>
      </w:r>
      <w:r w:rsidRPr="00382917">
        <w:t>king</w:t>
      </w:r>
      <w:r w:rsidR="00EE4FC3">
        <w:t xml:space="preserve"> </w:t>
      </w:r>
      <w:r w:rsidRPr="00382917">
        <w:t>was</w:t>
      </w:r>
      <w:r w:rsidR="00EE4FC3">
        <w:t xml:space="preserve"> </w:t>
      </w:r>
      <w:r w:rsidRPr="00382917">
        <w:t>very</w:t>
      </w:r>
      <w:r w:rsidR="00EE4FC3">
        <w:t xml:space="preserve"> </w:t>
      </w:r>
      <w:r w:rsidRPr="00382917">
        <w:t>disturbed</w:t>
      </w:r>
      <w:r w:rsidR="00C03C91">
        <w:t>.</w:t>
      </w:r>
      <w:r w:rsidR="00EE4FC3">
        <w:t xml:space="preserve">  </w:t>
      </w:r>
      <w:r w:rsidRPr="00382917">
        <w:t>He</w:t>
      </w:r>
      <w:r w:rsidR="00EE4FC3">
        <w:t xml:space="preserve"> </w:t>
      </w:r>
      <w:r w:rsidRPr="00382917">
        <w:t>wished</w:t>
      </w:r>
      <w:r w:rsidR="00EE4FC3">
        <w:t xml:space="preserve"> </w:t>
      </w:r>
      <w:r w:rsidRPr="00382917">
        <w:t>to</w:t>
      </w:r>
      <w:r w:rsidR="00EE4FC3">
        <w:t xml:space="preserve"> </w:t>
      </w:r>
      <w:r w:rsidRPr="00382917">
        <w:t>know</w:t>
      </w:r>
      <w:r w:rsidR="00EE4FC3">
        <w:t xml:space="preserve"> </w:t>
      </w:r>
      <w:r w:rsidRPr="00382917">
        <w:t>what</w:t>
      </w:r>
      <w:r w:rsidR="00EE4FC3">
        <w:t xml:space="preserve"> </w:t>
      </w:r>
      <w:r w:rsidRPr="00382917">
        <w:t>political</w:t>
      </w:r>
      <w:r w:rsidR="00EE4FC3">
        <w:t xml:space="preserve"> </w:t>
      </w:r>
      <w:r w:rsidRPr="00382917">
        <w:t>significance</w:t>
      </w:r>
      <w:r w:rsidR="00EE4FC3">
        <w:t xml:space="preserve"> </w:t>
      </w:r>
      <w:r w:rsidRPr="00382917">
        <w:t>the</w:t>
      </w:r>
      <w:r w:rsidR="00EE4FC3">
        <w:t xml:space="preserve"> </w:t>
      </w:r>
      <w:r w:rsidRPr="00382917">
        <w:t>rise</w:t>
      </w:r>
      <w:r w:rsidR="00EE4FC3">
        <w:t xml:space="preserve"> </w:t>
      </w:r>
      <w:r w:rsidRPr="00382917">
        <w:t>of</w:t>
      </w:r>
      <w:r w:rsidR="00EE4FC3">
        <w:t xml:space="preserve"> </w:t>
      </w:r>
      <w:r w:rsidRPr="00382917">
        <w:t>this</w:t>
      </w:r>
      <w:r w:rsidR="00EE4FC3">
        <w:t xml:space="preserve"> </w:t>
      </w:r>
      <w:r w:rsidRPr="00382917">
        <w:t>new</w:t>
      </w:r>
      <w:r w:rsidR="00EE4FC3">
        <w:t xml:space="preserve"> </w:t>
      </w:r>
      <w:r w:rsidRPr="00382917">
        <w:t>Faith</w:t>
      </w:r>
      <w:r w:rsidR="00EE4FC3">
        <w:t xml:space="preserve"> </w:t>
      </w:r>
      <w:r w:rsidRPr="00382917">
        <w:t>might</w:t>
      </w:r>
      <w:r w:rsidR="00EE4FC3">
        <w:t xml:space="preserve"> </w:t>
      </w:r>
      <w:r w:rsidRPr="00382917">
        <w:t>have,</w:t>
      </w:r>
      <w:r w:rsidR="00EE4FC3">
        <w:t xml:space="preserve"> </w:t>
      </w:r>
      <w:r w:rsidRPr="00382917">
        <w:t>so</w:t>
      </w:r>
      <w:r w:rsidR="00EE4FC3">
        <w:t xml:space="preserve"> </w:t>
      </w:r>
      <w:r w:rsidRPr="00382917">
        <w:t>he</w:t>
      </w:r>
      <w:r w:rsidR="00EE4FC3">
        <w:t xml:space="preserve"> </w:t>
      </w:r>
      <w:r w:rsidRPr="00382917">
        <w:t>gave</w:t>
      </w:r>
      <w:r w:rsidR="00EE4FC3">
        <w:t xml:space="preserve"> </w:t>
      </w:r>
      <w:r w:rsidRPr="00382917">
        <w:t>Vaḥíd</w:t>
      </w:r>
      <w:r w:rsidR="00EE4FC3">
        <w:t xml:space="preserve"> </w:t>
      </w:r>
      <w:r w:rsidRPr="00382917">
        <w:t>careful</w:t>
      </w:r>
      <w:r w:rsidR="00EE4FC3">
        <w:t xml:space="preserve"> </w:t>
      </w:r>
      <w:r w:rsidRPr="00382917">
        <w:t>instructions.</w:t>
      </w:r>
    </w:p>
    <w:p w:rsidR="003B2D0A" w:rsidRPr="00382917" w:rsidRDefault="009C713D" w:rsidP="003B2D0A">
      <w:pPr>
        <w:pStyle w:val="Text"/>
      </w:pPr>
      <w:r w:rsidRPr="00382917">
        <w:t>“</w:t>
      </w:r>
      <w:r w:rsidR="003B2D0A" w:rsidRPr="00382917">
        <w:t>Go</w:t>
      </w:r>
      <w:r w:rsidR="00EE4FC3">
        <w:t xml:space="preserve"> </w:t>
      </w:r>
      <w:r w:rsidR="003B2D0A" w:rsidRPr="00382917">
        <w:t>at</w:t>
      </w:r>
      <w:r w:rsidR="00EE4FC3">
        <w:t xml:space="preserve"> </w:t>
      </w:r>
      <w:r w:rsidR="003B2D0A" w:rsidRPr="00382917">
        <w:t>once</w:t>
      </w:r>
      <w:r w:rsidR="00EE4FC3">
        <w:t xml:space="preserve"> </w:t>
      </w:r>
      <w:r w:rsidR="003B2D0A" w:rsidRPr="00382917">
        <w:t>to</w:t>
      </w:r>
      <w:r w:rsidR="00EE4FC3">
        <w:t xml:space="preserve"> </w:t>
      </w:r>
      <w:r w:rsidR="008A073E" w:rsidRPr="00382917">
        <w:rPr>
          <w:u w:val="single"/>
        </w:rPr>
        <w:t>Sh</w:t>
      </w:r>
      <w:r w:rsidR="008A073E" w:rsidRPr="00382917">
        <w:t>íráz</w:t>
      </w:r>
      <w:r w:rsidR="00C03C91">
        <w:t>.</w:t>
      </w:r>
      <w:r w:rsidR="00EE4FC3">
        <w:t xml:space="preserve">  </w:t>
      </w:r>
      <w:r w:rsidR="003B2D0A" w:rsidRPr="00382917">
        <w:t>Interview</w:t>
      </w:r>
      <w:r w:rsidR="00EE4FC3">
        <w:t xml:space="preserve"> </w:t>
      </w:r>
      <w:r w:rsidR="003B2D0A" w:rsidRPr="00382917">
        <w:t>the</w:t>
      </w:r>
      <w:r w:rsidR="00EE4FC3">
        <w:t xml:space="preserve"> </w:t>
      </w:r>
      <w:r w:rsidR="003B2D0A" w:rsidRPr="00382917">
        <w:t>Báb</w:t>
      </w:r>
      <w:r w:rsidR="00C03C91">
        <w:t>.</w:t>
      </w:r>
      <w:r w:rsidR="00EE4FC3">
        <w:t xml:space="preserve">  </w:t>
      </w:r>
      <w:r w:rsidR="003B2D0A" w:rsidRPr="00382917">
        <w:t>Find</w:t>
      </w:r>
      <w:r w:rsidR="00EE4FC3">
        <w:t xml:space="preserve"> </w:t>
      </w:r>
      <w:r w:rsidR="003B2D0A" w:rsidRPr="00382917">
        <w:t>out</w:t>
      </w:r>
      <w:r w:rsidR="00EE4FC3">
        <w:t xml:space="preserve"> </w:t>
      </w:r>
      <w:r w:rsidR="003B2D0A" w:rsidRPr="00382917">
        <w:t>if</w:t>
      </w:r>
      <w:r w:rsidR="00EE4FC3">
        <w:t xml:space="preserve"> </w:t>
      </w:r>
      <w:r w:rsidR="003B2D0A" w:rsidRPr="00382917">
        <w:t>these</w:t>
      </w:r>
      <w:r w:rsidR="00EE4FC3">
        <w:t xml:space="preserve"> </w:t>
      </w:r>
      <w:r w:rsidR="003B2D0A" w:rsidRPr="00382917">
        <w:t>tales</w:t>
      </w:r>
      <w:r w:rsidR="00EE4FC3">
        <w:t xml:space="preserve"> </w:t>
      </w:r>
      <w:r w:rsidR="003B2D0A" w:rsidRPr="00382917">
        <w:t>of</w:t>
      </w:r>
      <w:r w:rsidR="00EE4FC3">
        <w:t xml:space="preserve"> </w:t>
      </w:r>
      <w:r w:rsidR="003B2D0A" w:rsidRPr="00382917">
        <w:t>wonder</w:t>
      </w:r>
      <w:r w:rsidR="00EE4FC3">
        <w:t xml:space="preserve"> </w:t>
      </w:r>
      <w:r w:rsidR="003B2D0A" w:rsidRPr="00382917">
        <w:t>we</w:t>
      </w:r>
      <w:r w:rsidR="00EE4FC3">
        <w:t xml:space="preserve"> </w:t>
      </w:r>
      <w:r w:rsidR="003B2D0A" w:rsidRPr="00382917">
        <w:t>hear</w:t>
      </w:r>
      <w:r w:rsidR="00EE4FC3">
        <w:t xml:space="preserve"> </w:t>
      </w:r>
      <w:r w:rsidR="003B2D0A" w:rsidRPr="00382917">
        <w:t>are</w:t>
      </w:r>
      <w:r w:rsidR="00EE4FC3">
        <w:t xml:space="preserve"> </w:t>
      </w:r>
      <w:r w:rsidR="003B2D0A" w:rsidRPr="00382917">
        <w:t>true</w:t>
      </w:r>
      <w:r w:rsidR="00C03C91">
        <w:t>.</w:t>
      </w:r>
      <w:r w:rsidR="00EE4FC3">
        <w:t xml:space="preserve">  </w:t>
      </w:r>
      <w:r w:rsidR="003B2D0A" w:rsidRPr="00382917">
        <w:t>Then</w:t>
      </w:r>
      <w:r w:rsidR="00EE4FC3">
        <w:t xml:space="preserve"> </w:t>
      </w:r>
      <w:r w:rsidR="003B2D0A" w:rsidRPr="00382917">
        <w:t>report</w:t>
      </w:r>
      <w:r w:rsidR="00EE4FC3">
        <w:t xml:space="preserve"> </w:t>
      </w:r>
      <w:r w:rsidR="003B2D0A" w:rsidRPr="00382917">
        <w:t>to</w:t>
      </w:r>
      <w:r w:rsidR="00EE4FC3">
        <w:t xml:space="preserve"> </w:t>
      </w:r>
      <w:r w:rsidR="003B2D0A" w:rsidRPr="00382917">
        <w:t>us</w:t>
      </w:r>
      <w:r w:rsidR="00EE4FC3">
        <w:t xml:space="preserve"> </w:t>
      </w:r>
      <w:r w:rsidR="003B2D0A" w:rsidRPr="00382917">
        <w:t>personally</w:t>
      </w:r>
      <w:r w:rsidR="00EE4FC3">
        <w:t xml:space="preserve"> </w:t>
      </w:r>
      <w:r w:rsidR="003B2D0A" w:rsidRPr="00382917">
        <w:t>and</w:t>
      </w:r>
      <w:r w:rsidR="00EE4FC3">
        <w:t xml:space="preserve"> </w:t>
      </w:r>
      <w:r w:rsidR="003B2D0A" w:rsidRPr="00382917">
        <w:t>in</w:t>
      </w:r>
      <w:r w:rsidR="00EE4FC3">
        <w:t xml:space="preserve"> </w:t>
      </w:r>
      <w:r w:rsidR="003B2D0A" w:rsidRPr="00382917">
        <w:t>detail</w:t>
      </w:r>
      <w:r w:rsidR="00EE4FC3">
        <w:t xml:space="preserve"> </w:t>
      </w:r>
      <w:r w:rsidR="003B2D0A" w:rsidRPr="00382917">
        <w:t>what</w:t>
      </w:r>
      <w:r w:rsidR="00EE4FC3">
        <w:t xml:space="preserve"> </w:t>
      </w:r>
      <w:r w:rsidR="003B2D0A" w:rsidRPr="00382917">
        <w:t>you</w:t>
      </w:r>
      <w:r w:rsidR="00EE4FC3">
        <w:t xml:space="preserve"> </w:t>
      </w:r>
      <w:r w:rsidR="003B2D0A" w:rsidRPr="00382917">
        <w:t>discover.</w:t>
      </w:r>
      <w:r w:rsidRPr="00382917">
        <w:t>”</w:t>
      </w:r>
    </w:p>
    <w:p w:rsidR="003B2D0A" w:rsidRPr="00382917" w:rsidRDefault="003B2D0A" w:rsidP="003B2D0A">
      <w:pPr>
        <w:pStyle w:val="Text"/>
      </w:pPr>
      <w:r w:rsidRPr="00382917">
        <w:t>The</w:t>
      </w:r>
      <w:r w:rsidR="00EE4FC3">
        <w:t xml:space="preserve"> </w:t>
      </w:r>
      <w:r w:rsidRPr="00382917">
        <w:t>Prime</w:t>
      </w:r>
      <w:r w:rsidR="00EE4FC3">
        <w:t xml:space="preserve"> </w:t>
      </w:r>
      <w:r w:rsidRPr="00382917">
        <w:t>Minister</w:t>
      </w:r>
      <w:r w:rsidR="00EE4FC3">
        <w:t xml:space="preserve"> </w:t>
      </w:r>
      <w:r w:rsidRPr="00382917">
        <w:t>was</w:t>
      </w:r>
      <w:r w:rsidR="00EE4FC3">
        <w:t xml:space="preserve"> </w:t>
      </w:r>
      <w:r w:rsidRPr="00382917">
        <w:t>not</w:t>
      </w:r>
      <w:r w:rsidR="00EE4FC3">
        <w:t xml:space="preserve"> </w:t>
      </w:r>
      <w:r w:rsidRPr="00382917">
        <w:t>above</w:t>
      </w:r>
      <w:r w:rsidR="00EE4FC3">
        <w:t xml:space="preserve"> </w:t>
      </w:r>
      <w:r w:rsidRPr="00382917">
        <w:t>planting</w:t>
      </w:r>
      <w:r w:rsidR="00EE4FC3">
        <w:t xml:space="preserve"> </w:t>
      </w:r>
      <w:r w:rsidRPr="00382917">
        <w:t>a</w:t>
      </w:r>
      <w:r w:rsidR="00EE4FC3">
        <w:t xml:space="preserve"> </w:t>
      </w:r>
      <w:r w:rsidRPr="00382917">
        <w:t>seed</w:t>
      </w:r>
      <w:r w:rsidR="00EE4FC3">
        <w:t xml:space="preserve"> </w:t>
      </w:r>
      <w:r w:rsidRPr="00382917">
        <w:t>in</w:t>
      </w:r>
      <w:r w:rsidR="00EE4FC3">
        <w:t xml:space="preserve"> </w:t>
      </w:r>
      <w:proofErr w:type="spellStart"/>
      <w:r w:rsidRPr="00382917">
        <w:t>Vaḥíd</w:t>
      </w:r>
      <w:r w:rsidR="009C713D" w:rsidRPr="00382917">
        <w:t>’</w:t>
      </w:r>
      <w:r w:rsidRPr="00382917">
        <w:t>s</w:t>
      </w:r>
      <w:proofErr w:type="spellEnd"/>
      <w:r w:rsidR="00EE4FC3">
        <w:t xml:space="preserve"> </w:t>
      </w:r>
      <w:r w:rsidRPr="00382917">
        <w:t>mind</w:t>
      </w:r>
      <w:r w:rsidR="00EE4FC3">
        <w:t xml:space="preserve"> </w:t>
      </w:r>
      <w:r w:rsidRPr="00382917">
        <w:t>before</w:t>
      </w:r>
      <w:r w:rsidR="00EE4FC3">
        <w:t xml:space="preserve"> </w:t>
      </w:r>
      <w:r w:rsidRPr="00382917">
        <w:t>he</w:t>
      </w:r>
      <w:r w:rsidR="00EE4FC3">
        <w:t xml:space="preserve"> </w:t>
      </w:r>
      <w:r w:rsidRPr="00382917">
        <w:t>left</w:t>
      </w:r>
      <w:r w:rsidR="00C03C91">
        <w:t>.</w:t>
      </w:r>
      <w:r w:rsidR="00EE4FC3">
        <w:t xml:space="preserve">  </w:t>
      </w:r>
      <w:r w:rsidR="009C713D" w:rsidRPr="00382917">
        <w:t>“</w:t>
      </w:r>
      <w:r w:rsidRPr="00382917">
        <w:t>If</w:t>
      </w:r>
      <w:r w:rsidR="00EE4FC3">
        <w:t xml:space="preserve"> </w:t>
      </w:r>
      <w:r w:rsidRPr="00382917">
        <w:t>you</w:t>
      </w:r>
      <w:r w:rsidR="00EE4FC3">
        <w:t xml:space="preserve"> </w:t>
      </w:r>
      <w:r w:rsidRPr="00382917">
        <w:t>can</w:t>
      </w:r>
      <w:r w:rsidR="00EE4FC3">
        <w:t xml:space="preserve"> </w:t>
      </w:r>
      <w:r w:rsidRPr="00382917">
        <w:t>discredit</w:t>
      </w:r>
      <w:r w:rsidR="00EE4FC3">
        <w:t xml:space="preserve"> </w:t>
      </w:r>
      <w:r w:rsidRPr="00382917">
        <w:t>and</w:t>
      </w:r>
      <w:r w:rsidR="00EE4FC3">
        <w:t xml:space="preserve"> </w:t>
      </w:r>
      <w:r w:rsidRPr="00382917">
        <w:t>unmask</w:t>
      </w:r>
      <w:r w:rsidR="00EE4FC3">
        <w:t xml:space="preserve"> </w:t>
      </w:r>
      <w:r w:rsidRPr="00382917">
        <w:t>him,</w:t>
      </w:r>
      <w:r w:rsidR="00EE4FC3">
        <w:t xml:space="preserve"> </w:t>
      </w:r>
      <w:r w:rsidRPr="00382917">
        <w:t>it</w:t>
      </w:r>
      <w:r w:rsidR="00EE4FC3">
        <w:t xml:space="preserve"> </w:t>
      </w:r>
      <w:r w:rsidRPr="00382917">
        <w:t>will</w:t>
      </w:r>
      <w:r w:rsidR="00EE4FC3">
        <w:t xml:space="preserve"> </w:t>
      </w:r>
      <w:r w:rsidRPr="00382917">
        <w:t>add</w:t>
      </w:r>
      <w:r w:rsidR="00EE4FC3">
        <w:t xml:space="preserve"> </w:t>
      </w:r>
      <w:r w:rsidRPr="00382917">
        <w:t>greatly</w:t>
      </w:r>
      <w:r w:rsidR="00EE4FC3">
        <w:t xml:space="preserve"> </w:t>
      </w:r>
      <w:r w:rsidRPr="00382917">
        <w:t>to</w:t>
      </w:r>
      <w:r w:rsidR="00EE4FC3">
        <w:t xml:space="preserve"> </w:t>
      </w:r>
      <w:r w:rsidRPr="00382917">
        <w:t>your</w:t>
      </w:r>
      <w:r w:rsidR="00EE4FC3">
        <w:t xml:space="preserve"> </w:t>
      </w:r>
      <w:r w:rsidRPr="00382917">
        <w:t>own</w:t>
      </w:r>
      <w:r w:rsidR="00EE4FC3">
        <w:t xml:space="preserve"> </w:t>
      </w:r>
      <w:r w:rsidRPr="00382917">
        <w:t>stature,</w:t>
      </w:r>
      <w:r w:rsidR="009C713D" w:rsidRPr="00382917">
        <w:t>”</w:t>
      </w:r>
      <w:r w:rsidR="00EE4FC3">
        <w:t xml:space="preserve"> </w:t>
      </w:r>
      <w:r w:rsidRPr="00382917">
        <w:t>he</w:t>
      </w:r>
      <w:r w:rsidR="00EE4FC3">
        <w:t xml:space="preserve"> </w:t>
      </w:r>
      <w:r w:rsidRPr="00382917">
        <w:t>told</w:t>
      </w:r>
      <w:r w:rsidR="00EE4FC3">
        <w:t xml:space="preserve"> </w:t>
      </w:r>
      <w:r w:rsidRPr="00382917">
        <w:t>him.</w:t>
      </w:r>
    </w:p>
    <w:p w:rsidR="003B2D0A" w:rsidRPr="00382917" w:rsidRDefault="003B2D0A" w:rsidP="00122F78">
      <w:pPr>
        <w:pStyle w:val="Text"/>
      </w:pPr>
      <w:r w:rsidRPr="00382917">
        <w:t>Vaḥíd</w:t>
      </w:r>
      <w:r w:rsidR="00EE4FC3">
        <w:t xml:space="preserve"> </w:t>
      </w:r>
      <w:r w:rsidRPr="00382917">
        <w:t>mounted</w:t>
      </w:r>
      <w:r w:rsidR="00EE4FC3">
        <w:t xml:space="preserve"> </w:t>
      </w:r>
      <w:r w:rsidRPr="00382917">
        <w:t>the</w:t>
      </w:r>
      <w:r w:rsidR="00EE4FC3">
        <w:t xml:space="preserve"> </w:t>
      </w:r>
      <w:r w:rsidRPr="00382917">
        <w:t>horse</w:t>
      </w:r>
      <w:r w:rsidR="00EE4FC3">
        <w:t xml:space="preserve"> </w:t>
      </w:r>
      <w:r w:rsidRPr="00382917">
        <w:t>which</w:t>
      </w:r>
      <w:r w:rsidR="00EE4FC3">
        <w:t xml:space="preserve"> </w:t>
      </w:r>
      <w:r w:rsidRPr="00382917">
        <w:t>had</w:t>
      </w:r>
      <w:r w:rsidR="00EE4FC3">
        <w:t xml:space="preserve"> </w:t>
      </w:r>
      <w:r w:rsidRPr="00382917">
        <w:t>been</w:t>
      </w:r>
      <w:r w:rsidR="00EE4FC3">
        <w:t xml:space="preserve"> </w:t>
      </w:r>
      <w:r w:rsidRPr="00382917">
        <w:t>given</w:t>
      </w:r>
      <w:r w:rsidR="00EE4FC3">
        <w:t xml:space="preserve"> </w:t>
      </w:r>
      <w:r w:rsidRPr="00382917">
        <w:t>to</w:t>
      </w:r>
      <w:r w:rsidR="00EE4FC3">
        <w:t xml:space="preserve"> </w:t>
      </w:r>
      <w:r w:rsidRPr="00382917">
        <w:t>him</w:t>
      </w:r>
      <w:r w:rsidR="00EE4FC3">
        <w:t xml:space="preserve"> </w:t>
      </w:r>
      <w:r w:rsidRPr="00382917">
        <w:t>by</w:t>
      </w:r>
      <w:r w:rsidR="00EE4FC3">
        <w:t xml:space="preserve"> </w:t>
      </w:r>
      <w:r w:rsidRPr="00382917">
        <w:t>the</w:t>
      </w:r>
      <w:r w:rsidR="00EE4FC3">
        <w:t xml:space="preserve"> </w:t>
      </w:r>
      <w:r w:rsidRPr="00382917">
        <w:t>king</w:t>
      </w:r>
      <w:r w:rsidR="00EE4FC3">
        <w:t xml:space="preserve"> </w:t>
      </w:r>
      <w:r w:rsidRPr="00382917">
        <w:t>and</w:t>
      </w:r>
      <w:r w:rsidR="00EE4FC3">
        <w:t xml:space="preserve"> </w:t>
      </w:r>
      <w:r w:rsidRPr="00382917">
        <w:t>left</w:t>
      </w:r>
      <w:r w:rsidR="00EE4FC3">
        <w:t xml:space="preserve"> </w:t>
      </w:r>
      <w:r w:rsidRPr="00382917">
        <w:t>immediately</w:t>
      </w:r>
      <w:r w:rsidR="00EE4FC3">
        <w:t xml:space="preserve"> </w:t>
      </w:r>
      <w:r w:rsidRPr="00382917">
        <w:t>for</w:t>
      </w:r>
      <w:r w:rsidR="00EE4FC3">
        <w:t xml:space="preserve"> </w:t>
      </w:r>
      <w:r w:rsidR="008A073E" w:rsidRPr="00382917">
        <w:rPr>
          <w:u w:val="single"/>
        </w:rPr>
        <w:t>Sh</w:t>
      </w:r>
      <w:r w:rsidR="008A073E" w:rsidRPr="00382917">
        <w:t>íráz</w:t>
      </w:r>
      <w:r w:rsidR="00C03C91">
        <w:t>.</w:t>
      </w:r>
      <w:r w:rsidR="00EE4FC3">
        <w:t xml:space="preserve">  </w:t>
      </w:r>
      <w:r w:rsidRPr="00382917">
        <w:t>On</w:t>
      </w:r>
      <w:r w:rsidR="00EE4FC3">
        <w:t xml:space="preserve"> </w:t>
      </w:r>
      <w:r w:rsidRPr="00382917">
        <w:t>his</w:t>
      </w:r>
      <w:r w:rsidR="00EE4FC3">
        <w:t xml:space="preserve"> </w:t>
      </w:r>
      <w:r w:rsidRPr="00382917">
        <w:t>way,</w:t>
      </w:r>
      <w:r w:rsidR="00EE4FC3">
        <w:t xml:space="preserve"> </w:t>
      </w:r>
      <w:r w:rsidRPr="00382917">
        <w:t>he</w:t>
      </w:r>
      <w:r w:rsidR="00EE4FC3">
        <w:t xml:space="preserve"> </w:t>
      </w:r>
      <w:r w:rsidRPr="00382917">
        <w:t>decided</w:t>
      </w:r>
      <w:r w:rsidR="00EE4FC3">
        <w:t xml:space="preserve"> </w:t>
      </w:r>
      <w:r w:rsidRPr="00382917">
        <w:t>upon</w:t>
      </w:r>
      <w:r w:rsidR="00EE4FC3">
        <w:t xml:space="preserve"> </w:t>
      </w:r>
      <w:r w:rsidRPr="00382917">
        <w:t>the</w:t>
      </w:r>
      <w:r w:rsidR="00EE4FC3">
        <w:t xml:space="preserve"> </w:t>
      </w:r>
      <w:r w:rsidRPr="00382917">
        <w:t>questions</w:t>
      </w:r>
      <w:r w:rsidR="00EE4FC3">
        <w:t xml:space="preserve"> </w:t>
      </w:r>
      <w:r w:rsidRPr="00382917">
        <w:t>which</w:t>
      </w:r>
      <w:r w:rsidR="00EE4FC3">
        <w:t xml:space="preserve"> </w:t>
      </w:r>
      <w:r w:rsidRPr="00382917">
        <w:t>he</w:t>
      </w:r>
      <w:r w:rsidR="00EE4FC3">
        <w:t xml:space="preserve"> </w:t>
      </w:r>
      <w:r w:rsidRPr="00382917">
        <w:t>would</w:t>
      </w:r>
      <w:r w:rsidR="00EE4FC3">
        <w:t xml:space="preserve"> </w:t>
      </w:r>
      <w:r w:rsidRPr="00382917">
        <w:t>ask</w:t>
      </w:r>
      <w:r w:rsidR="00EE4FC3">
        <w:t xml:space="preserve"> </w:t>
      </w:r>
      <w:r w:rsidRPr="00382917">
        <w:t>the</w:t>
      </w:r>
      <w:r w:rsidR="00EE4FC3">
        <w:t xml:space="preserve"> </w:t>
      </w:r>
      <w:r w:rsidRPr="00382917">
        <w:t>Báb</w:t>
      </w:r>
      <w:r w:rsidR="00C03C91">
        <w:t>.</w:t>
      </w:r>
      <w:r w:rsidR="00EE4FC3">
        <w:t xml:space="preserve">  </w:t>
      </w:r>
      <w:r w:rsidRPr="00382917">
        <w:t>These</w:t>
      </w:r>
      <w:r w:rsidR="00EE4FC3">
        <w:t xml:space="preserve"> </w:t>
      </w:r>
      <w:r w:rsidRPr="00382917">
        <w:t>questions</w:t>
      </w:r>
      <w:r w:rsidR="00EE4FC3">
        <w:t xml:space="preserve"> </w:t>
      </w:r>
      <w:r w:rsidRPr="00382917">
        <w:t>Vaḥíd</w:t>
      </w:r>
      <w:r w:rsidR="00EE4FC3">
        <w:t xml:space="preserve"> </w:t>
      </w:r>
      <w:r w:rsidRPr="00382917">
        <w:t>felt</w:t>
      </w:r>
      <w:r w:rsidR="00EE4FC3">
        <w:t xml:space="preserve"> </w:t>
      </w:r>
      <w:r w:rsidRPr="00382917">
        <w:t>would</w:t>
      </w:r>
      <w:r w:rsidR="00EE4FC3">
        <w:t xml:space="preserve"> </w:t>
      </w:r>
      <w:r w:rsidRPr="00382917">
        <w:t>test</w:t>
      </w:r>
      <w:r w:rsidR="00EE4FC3">
        <w:t xml:space="preserve"> </w:t>
      </w:r>
      <w:r w:rsidRPr="00382917">
        <w:t>the</w:t>
      </w:r>
      <w:r w:rsidR="00EE4FC3">
        <w:t xml:space="preserve"> </w:t>
      </w:r>
      <w:r w:rsidRPr="00382917">
        <w:t>Báb</w:t>
      </w:r>
      <w:r w:rsidR="009C713D" w:rsidRPr="00382917">
        <w:t>’</w:t>
      </w:r>
      <w:r w:rsidRPr="00382917">
        <w:t>s</w:t>
      </w:r>
      <w:r w:rsidR="00EE4FC3">
        <w:t xml:space="preserve"> </w:t>
      </w:r>
      <w:r w:rsidRPr="00382917">
        <w:t>knowledge</w:t>
      </w:r>
      <w:r w:rsidR="00EE4FC3">
        <w:t xml:space="preserve"> </w:t>
      </w:r>
      <w:r w:rsidRPr="00382917">
        <w:t>to</w:t>
      </w:r>
      <w:r w:rsidR="00EE4FC3">
        <w:t xml:space="preserve"> </w:t>
      </w:r>
      <w:r w:rsidRPr="00382917">
        <w:t>the</w:t>
      </w:r>
      <w:r w:rsidR="00EE4FC3">
        <w:t xml:space="preserve"> </w:t>
      </w:r>
      <w:proofErr w:type="gramStart"/>
      <w:r w:rsidRPr="00382917">
        <w:t>utmost,</w:t>
      </w:r>
      <w:proofErr w:type="gramEnd"/>
      <w:r w:rsidR="00EE4FC3">
        <w:t xml:space="preserve"> </w:t>
      </w:r>
      <w:r w:rsidRPr="00382917">
        <w:t>and</w:t>
      </w:r>
      <w:r w:rsidR="00EE4FC3">
        <w:t xml:space="preserve"> </w:t>
      </w:r>
      <w:r w:rsidRPr="00382917">
        <w:t>upon</w:t>
      </w:r>
      <w:r w:rsidR="00EE4FC3">
        <w:t xml:space="preserve"> </w:t>
      </w:r>
      <w:r w:rsidRPr="00382917">
        <w:t>the</w:t>
      </w:r>
      <w:r w:rsidR="00EE4FC3">
        <w:t xml:space="preserve"> </w:t>
      </w:r>
      <w:r w:rsidRPr="00382917">
        <w:t>answers</w:t>
      </w:r>
      <w:r w:rsidR="00EE4FC3">
        <w:t xml:space="preserve"> </w:t>
      </w:r>
      <w:r w:rsidRPr="00382917">
        <w:t>which</w:t>
      </w:r>
      <w:r w:rsidR="00EE4FC3">
        <w:t xml:space="preserve"> </w:t>
      </w:r>
      <w:r w:rsidRPr="00382917">
        <w:t>He</w:t>
      </w:r>
      <w:r w:rsidR="00EE4FC3">
        <w:t xml:space="preserve"> </w:t>
      </w:r>
      <w:r w:rsidRPr="00382917">
        <w:t>gave</w:t>
      </w:r>
      <w:r w:rsidR="00EE4FC3">
        <w:t xml:space="preserve"> </w:t>
      </w:r>
      <w:r w:rsidRPr="00382917">
        <w:t>would</w:t>
      </w:r>
      <w:r w:rsidR="00EE4FC3">
        <w:t xml:space="preserve"> </w:t>
      </w:r>
      <w:r w:rsidRPr="00382917">
        <w:t>rest,</w:t>
      </w:r>
      <w:r w:rsidR="00EE4FC3">
        <w:t xml:space="preserve"> </w:t>
      </w:r>
      <w:r w:rsidRPr="00382917">
        <w:t>in</w:t>
      </w:r>
      <w:r w:rsidR="00EE4FC3">
        <w:t xml:space="preserve"> </w:t>
      </w:r>
      <w:proofErr w:type="spellStart"/>
      <w:r w:rsidRPr="00382917">
        <w:t>Va</w:t>
      </w:r>
      <w:r w:rsidR="00122F78" w:rsidRPr="00382917">
        <w:t>ḥí</w:t>
      </w:r>
      <w:r w:rsidRPr="00382917">
        <w:t>d</w:t>
      </w:r>
      <w:r w:rsidR="009C713D" w:rsidRPr="00382917">
        <w:t>’</w:t>
      </w:r>
      <w:r w:rsidRPr="00382917">
        <w:t>s</w:t>
      </w:r>
      <w:proofErr w:type="spellEnd"/>
      <w:r w:rsidR="00EE4FC3">
        <w:t xml:space="preserve"> </w:t>
      </w:r>
      <w:r w:rsidRPr="00382917">
        <w:t>opinion,</w:t>
      </w:r>
      <w:r w:rsidR="00EE4FC3">
        <w:t xml:space="preserve"> </w:t>
      </w:r>
      <w:r w:rsidRPr="00382917">
        <w:t>the</w:t>
      </w:r>
      <w:r w:rsidR="00EE4FC3">
        <w:t xml:space="preserve"> </w:t>
      </w:r>
      <w:r w:rsidRPr="00382917">
        <w:t>truth</w:t>
      </w:r>
      <w:r w:rsidR="00EE4FC3">
        <w:t xml:space="preserve"> </w:t>
      </w:r>
      <w:r w:rsidRPr="00382917">
        <w:t>or</w:t>
      </w:r>
      <w:r w:rsidR="00EE4FC3">
        <w:t xml:space="preserve"> </w:t>
      </w:r>
      <w:r w:rsidRPr="00382917">
        <w:t>falsehood</w:t>
      </w:r>
      <w:r w:rsidR="00EE4FC3">
        <w:t xml:space="preserve"> </w:t>
      </w:r>
      <w:r w:rsidRPr="00382917">
        <w:t>of</w:t>
      </w:r>
      <w:r w:rsidR="00EE4FC3">
        <w:t xml:space="preserve"> </w:t>
      </w:r>
      <w:r w:rsidRPr="00382917">
        <w:t>His</w:t>
      </w:r>
      <w:r w:rsidR="00EE4FC3">
        <w:t xml:space="preserve"> </w:t>
      </w:r>
      <w:r w:rsidRPr="00382917">
        <w:t>claim</w:t>
      </w:r>
      <w:r w:rsidR="00EE4FC3">
        <w:t xml:space="preserve"> </w:t>
      </w:r>
      <w:r w:rsidRPr="00382917">
        <w:t>to</w:t>
      </w:r>
      <w:r w:rsidR="00EE4FC3">
        <w:t xml:space="preserve"> </w:t>
      </w:r>
      <w:r w:rsidRPr="00382917">
        <w:t>be</w:t>
      </w:r>
      <w:r w:rsidR="00EE4FC3">
        <w:t xml:space="preserve"> </w:t>
      </w:r>
      <w:r w:rsidRPr="00382917">
        <w:t>a</w:t>
      </w:r>
      <w:r w:rsidR="00EE4FC3">
        <w:t xml:space="preserve"> </w:t>
      </w:r>
      <w:r w:rsidRPr="00382917">
        <w:t>Messenger</w:t>
      </w:r>
      <w:r w:rsidR="00EE4FC3">
        <w:t xml:space="preserve"> </w:t>
      </w:r>
      <w:r w:rsidRPr="00382917">
        <w:t>of</w:t>
      </w:r>
      <w:r w:rsidR="00EE4FC3">
        <w:t xml:space="preserve"> </w:t>
      </w:r>
      <w:r w:rsidRPr="00382917">
        <w:t>God.</w:t>
      </w:r>
    </w:p>
    <w:p w:rsidR="003B2D0A" w:rsidRPr="00382917" w:rsidRDefault="003B2D0A" w:rsidP="00122F78">
      <w:pPr>
        <w:pStyle w:val="Text"/>
      </w:pPr>
      <w:r w:rsidRPr="00382917">
        <w:t>When</w:t>
      </w:r>
      <w:r w:rsidR="00EE4FC3">
        <w:t xml:space="preserve"> </w:t>
      </w:r>
      <w:r w:rsidRPr="00382917">
        <w:t>Vaḥíd</w:t>
      </w:r>
      <w:r w:rsidR="00EE4FC3">
        <w:t xml:space="preserve"> </w:t>
      </w:r>
      <w:r w:rsidRPr="00382917">
        <w:t>arrived</w:t>
      </w:r>
      <w:r w:rsidR="00EE4FC3">
        <w:t xml:space="preserve"> </w:t>
      </w:r>
      <w:r w:rsidRPr="00382917">
        <w:t>in</w:t>
      </w:r>
      <w:r w:rsidR="00EE4FC3">
        <w:t xml:space="preserve"> </w:t>
      </w:r>
      <w:r w:rsidR="008A073E" w:rsidRPr="00382917">
        <w:rPr>
          <w:u w:val="single"/>
        </w:rPr>
        <w:t>Sh</w:t>
      </w:r>
      <w:r w:rsidR="008A073E" w:rsidRPr="00382917">
        <w:t>íráz</w:t>
      </w:r>
      <w:r w:rsidRPr="00382917">
        <w:t>,</w:t>
      </w:r>
      <w:r w:rsidR="00EE4FC3">
        <w:t xml:space="preserve"> </w:t>
      </w:r>
      <w:r w:rsidRPr="00382917">
        <w:t>he</w:t>
      </w:r>
      <w:r w:rsidR="00EE4FC3">
        <w:t xml:space="preserve"> </w:t>
      </w:r>
      <w:r w:rsidRPr="00382917">
        <w:t>met</w:t>
      </w:r>
      <w:r w:rsidR="00EE4FC3">
        <w:t xml:space="preserve"> </w:t>
      </w:r>
      <w:r w:rsidRPr="00382917">
        <w:t>an</w:t>
      </w:r>
      <w:r w:rsidR="00EE4FC3">
        <w:t xml:space="preserve"> </w:t>
      </w:r>
      <w:r w:rsidRPr="00382917">
        <w:t>intimate</w:t>
      </w:r>
      <w:r w:rsidR="00EE4FC3">
        <w:t xml:space="preserve"> </w:t>
      </w:r>
      <w:r w:rsidRPr="00382917">
        <w:t>friend</w:t>
      </w:r>
      <w:r w:rsidR="00EE4FC3">
        <w:t xml:space="preserve"> </w:t>
      </w:r>
      <w:r w:rsidRPr="00382917">
        <w:t>whose</w:t>
      </w:r>
      <w:r w:rsidR="00EE4FC3">
        <w:t xml:space="preserve"> </w:t>
      </w:r>
      <w:r w:rsidRPr="00382917">
        <w:t>name</w:t>
      </w:r>
      <w:r w:rsidR="00EE4FC3">
        <w:t xml:space="preserve"> </w:t>
      </w:r>
      <w:r w:rsidRPr="00382917">
        <w:t>was</w:t>
      </w:r>
      <w:r w:rsidR="00EE4FC3">
        <w:t xml:space="preserve"> </w:t>
      </w:r>
      <w:r w:rsidR="009C713D" w:rsidRPr="00382917">
        <w:t>‘</w:t>
      </w:r>
      <w:r w:rsidRPr="00382917">
        <w:t>A</w:t>
      </w:r>
      <w:r w:rsidR="00122F78" w:rsidRPr="00382917">
        <w:t>ẓ</w:t>
      </w:r>
      <w:r w:rsidRPr="00382917">
        <w:t>ím</w:t>
      </w:r>
      <w:r w:rsidR="00C03C91">
        <w:t>.</w:t>
      </w:r>
      <w:r w:rsidR="00EE4FC3">
        <w:t xml:space="preserve">  </w:t>
      </w:r>
      <w:r w:rsidR="009C713D" w:rsidRPr="00382917">
        <w:t>“</w:t>
      </w:r>
      <w:r w:rsidRPr="00382917">
        <w:t>You</w:t>
      </w:r>
      <w:r w:rsidR="00EE4FC3">
        <w:t xml:space="preserve"> </w:t>
      </w:r>
      <w:r w:rsidRPr="00382917">
        <w:t>have</w:t>
      </w:r>
      <w:r w:rsidR="00EE4FC3">
        <w:t xml:space="preserve"> </w:t>
      </w:r>
      <w:r w:rsidRPr="00382917">
        <w:t>met</w:t>
      </w:r>
      <w:r w:rsidR="00EE4FC3">
        <w:t xml:space="preserve"> </w:t>
      </w:r>
      <w:r w:rsidRPr="00382917">
        <w:t>the</w:t>
      </w:r>
      <w:r w:rsidR="00EE4FC3">
        <w:t xml:space="preserve"> </w:t>
      </w:r>
      <w:r w:rsidRPr="00382917">
        <w:t>Báb,</w:t>
      </w:r>
      <w:r w:rsidR="009C713D" w:rsidRPr="00382917">
        <w:t>”</w:t>
      </w:r>
      <w:r w:rsidR="00EE4FC3">
        <w:t xml:space="preserve"> </w:t>
      </w:r>
      <w:r w:rsidRPr="00382917">
        <w:t>Vaḥíd</w:t>
      </w:r>
      <w:r w:rsidR="00EE4FC3">
        <w:t xml:space="preserve"> </w:t>
      </w:r>
      <w:r w:rsidRPr="00382917">
        <w:t>said</w:t>
      </w:r>
      <w:r w:rsidR="00EE4FC3">
        <w:t xml:space="preserve"> </w:t>
      </w:r>
      <w:r w:rsidRPr="00382917">
        <w:t>to</w:t>
      </w:r>
      <w:r w:rsidR="00EE4FC3">
        <w:t xml:space="preserve"> </w:t>
      </w:r>
      <w:r w:rsidRPr="00382917">
        <w:t>his</w:t>
      </w:r>
      <w:r w:rsidR="00EE4FC3">
        <w:t xml:space="preserve"> </w:t>
      </w:r>
      <w:r w:rsidRPr="00382917">
        <w:t>friend</w:t>
      </w:r>
      <w:r w:rsidR="00C03C91">
        <w:t>.</w:t>
      </w:r>
      <w:r w:rsidR="00EE4FC3">
        <w:t xml:space="preserve">  </w:t>
      </w:r>
      <w:r w:rsidR="009C713D" w:rsidRPr="00382917">
        <w:t>“</w:t>
      </w:r>
      <w:r w:rsidRPr="00382917">
        <w:t>What</w:t>
      </w:r>
      <w:r w:rsidR="00EE4FC3">
        <w:t xml:space="preserve"> </w:t>
      </w:r>
      <w:r w:rsidRPr="00382917">
        <w:t>do</w:t>
      </w:r>
      <w:r w:rsidR="00EE4FC3">
        <w:t xml:space="preserve"> </w:t>
      </w:r>
      <w:r w:rsidRPr="00382917">
        <w:t>you</w:t>
      </w:r>
      <w:r w:rsidR="00EE4FC3">
        <w:t xml:space="preserve"> </w:t>
      </w:r>
      <w:r w:rsidRPr="00382917">
        <w:t>think</w:t>
      </w:r>
      <w:r w:rsidR="00EE4FC3">
        <w:t xml:space="preserve"> </w:t>
      </w:r>
      <w:r w:rsidRPr="00382917">
        <w:t>of</w:t>
      </w:r>
      <w:r w:rsidR="00EE4FC3">
        <w:t xml:space="preserve"> </w:t>
      </w:r>
      <w:r w:rsidRPr="00382917">
        <w:t>him?</w:t>
      </w:r>
      <w:r w:rsidR="00EE4FC3">
        <w:t xml:space="preserve">  </w:t>
      </w:r>
      <w:r w:rsidRPr="00382917">
        <w:t>Are</w:t>
      </w:r>
      <w:r w:rsidR="00EE4FC3">
        <w:t xml:space="preserve"> </w:t>
      </w:r>
      <w:r w:rsidRPr="00382917">
        <w:t>you</w:t>
      </w:r>
      <w:r w:rsidR="00EE4FC3">
        <w:t xml:space="preserve"> </w:t>
      </w:r>
      <w:r w:rsidRPr="00382917">
        <w:t>satisfied</w:t>
      </w:r>
      <w:r w:rsidR="00EE4FC3">
        <w:t xml:space="preserve"> </w:t>
      </w:r>
      <w:r w:rsidRPr="00382917">
        <w:t>with</w:t>
      </w:r>
      <w:r w:rsidR="00EE4FC3">
        <w:t xml:space="preserve"> </w:t>
      </w:r>
      <w:r w:rsidRPr="00382917">
        <w:t>him?</w:t>
      </w:r>
      <w:r w:rsidR="00EE4FC3">
        <w:t xml:space="preserve">  </w:t>
      </w:r>
      <w:r w:rsidRPr="00382917">
        <w:t>Is</w:t>
      </w:r>
      <w:r w:rsidR="00EE4FC3">
        <w:t xml:space="preserve"> </w:t>
      </w:r>
      <w:r w:rsidRPr="00382917">
        <w:t>he</w:t>
      </w:r>
      <w:r w:rsidR="00EE4FC3">
        <w:t xml:space="preserve"> </w:t>
      </w:r>
      <w:r w:rsidRPr="00382917">
        <w:t>a</w:t>
      </w:r>
      <w:r w:rsidR="00EE4FC3">
        <w:t xml:space="preserve"> </w:t>
      </w:r>
      <w:r w:rsidRPr="00382917">
        <w:t>charlatan?</w:t>
      </w:r>
      <w:r w:rsidR="009C713D" w:rsidRPr="00382917">
        <w:t>”</w:t>
      </w:r>
    </w:p>
    <w:p w:rsidR="003B2D0A" w:rsidRPr="00382917" w:rsidRDefault="009C713D" w:rsidP="003B2D0A">
      <w:pPr>
        <w:pStyle w:val="Text"/>
      </w:pPr>
      <w:r w:rsidRPr="00382917">
        <w:t>“</w:t>
      </w:r>
      <w:r w:rsidR="003B2D0A" w:rsidRPr="00382917">
        <w:t>Meet</w:t>
      </w:r>
      <w:r w:rsidR="00EE4FC3">
        <w:t xml:space="preserve"> </w:t>
      </w:r>
      <w:r w:rsidR="003B2D0A" w:rsidRPr="00382917">
        <w:t>him</w:t>
      </w:r>
      <w:r w:rsidR="00EE4FC3">
        <w:t xml:space="preserve"> </w:t>
      </w:r>
      <w:r w:rsidR="003B2D0A" w:rsidRPr="00382917">
        <w:t>yourself,</w:t>
      </w:r>
      <w:r w:rsidRPr="00382917">
        <w:t>”</w:t>
      </w:r>
      <w:r w:rsidR="00EE4FC3">
        <w:t xml:space="preserve"> </w:t>
      </w:r>
      <w:r w:rsidRPr="00382917">
        <w:t>‘</w:t>
      </w:r>
      <w:r w:rsidR="003B2D0A" w:rsidRPr="00382917">
        <w:t>Aẓím</w:t>
      </w:r>
      <w:r w:rsidR="00EE4FC3">
        <w:t xml:space="preserve"> </w:t>
      </w:r>
      <w:r w:rsidR="003B2D0A" w:rsidRPr="00382917">
        <w:t>replied</w:t>
      </w:r>
      <w:r w:rsidR="00C03C91">
        <w:t>.</w:t>
      </w:r>
      <w:r w:rsidR="00EE4FC3">
        <w:t xml:space="preserve">  </w:t>
      </w:r>
      <w:r w:rsidRPr="00382917">
        <w:t>“</w:t>
      </w:r>
      <w:r w:rsidR="003B2D0A" w:rsidRPr="00382917">
        <w:t>Make</w:t>
      </w:r>
      <w:r w:rsidR="00EE4FC3">
        <w:t xml:space="preserve"> </w:t>
      </w:r>
      <w:r w:rsidR="003B2D0A" w:rsidRPr="00382917">
        <w:t>your</w:t>
      </w:r>
      <w:r w:rsidR="00EE4FC3">
        <w:t xml:space="preserve"> </w:t>
      </w:r>
      <w:r w:rsidR="003B2D0A" w:rsidRPr="00382917">
        <w:t>own</w:t>
      </w:r>
      <w:r w:rsidR="00EE4FC3">
        <w:t xml:space="preserve"> </w:t>
      </w:r>
      <w:r w:rsidR="003B2D0A" w:rsidRPr="00382917">
        <w:t>decision</w:t>
      </w:r>
      <w:r w:rsidR="00C03C91">
        <w:t>.</w:t>
      </w:r>
      <w:r w:rsidR="00EE4FC3">
        <w:t xml:space="preserve">  </w:t>
      </w:r>
      <w:r w:rsidR="003B2D0A" w:rsidRPr="00382917">
        <w:t>But,</w:t>
      </w:r>
      <w:r w:rsidR="00EE4FC3">
        <w:t xml:space="preserve"> </w:t>
      </w:r>
      <w:r w:rsidR="003B2D0A" w:rsidRPr="00382917">
        <w:t>as</w:t>
      </w:r>
      <w:r w:rsidR="00EE4FC3">
        <w:t xml:space="preserve"> </w:t>
      </w:r>
      <w:r w:rsidR="003B2D0A" w:rsidRPr="00382917">
        <w:t>a</w:t>
      </w:r>
      <w:r w:rsidR="00EE4FC3">
        <w:t xml:space="preserve"> </w:t>
      </w:r>
      <w:r w:rsidR="003B2D0A" w:rsidRPr="00382917">
        <w:t>friend,</w:t>
      </w:r>
      <w:r w:rsidR="00EE4FC3">
        <w:t xml:space="preserve"> </w:t>
      </w:r>
      <w:r w:rsidR="003B2D0A" w:rsidRPr="00382917">
        <w:t>I</w:t>
      </w:r>
      <w:r w:rsidR="00EE4FC3">
        <w:t xml:space="preserve"> </w:t>
      </w:r>
      <w:r w:rsidR="003B2D0A" w:rsidRPr="00382917">
        <w:t>would</w:t>
      </w:r>
      <w:r w:rsidR="00EE4FC3">
        <w:t xml:space="preserve"> </w:t>
      </w:r>
      <w:r w:rsidR="003B2D0A" w:rsidRPr="00382917">
        <w:t>advise</w:t>
      </w:r>
      <w:r w:rsidR="00EE4FC3">
        <w:t xml:space="preserve"> </w:t>
      </w:r>
      <w:r w:rsidR="003B2D0A" w:rsidRPr="00382917">
        <w:t>you</w:t>
      </w:r>
      <w:r w:rsidR="00EE4FC3">
        <w:t xml:space="preserve"> </w:t>
      </w:r>
      <w:r w:rsidR="003B2D0A" w:rsidRPr="00382917">
        <w:t>to</w:t>
      </w:r>
      <w:r w:rsidR="00EE4FC3">
        <w:t xml:space="preserve"> </w:t>
      </w:r>
      <w:r w:rsidR="003B2D0A" w:rsidRPr="00382917">
        <w:t>be</w:t>
      </w:r>
      <w:r w:rsidR="00EE4FC3">
        <w:t xml:space="preserve"> </w:t>
      </w:r>
      <w:r w:rsidR="003B2D0A" w:rsidRPr="00382917">
        <w:t>careful</w:t>
      </w:r>
      <w:r w:rsidR="00C03C91">
        <w:t>.</w:t>
      </w:r>
      <w:r w:rsidR="00EE4FC3">
        <w:t xml:space="preserve">  </w:t>
      </w:r>
      <w:r w:rsidR="003B2D0A" w:rsidRPr="00382917">
        <w:t>You</w:t>
      </w:r>
      <w:r w:rsidR="00EE4FC3">
        <w:t xml:space="preserve"> </w:t>
      </w:r>
      <w:r w:rsidR="003B2D0A" w:rsidRPr="00382917">
        <w:t>will</w:t>
      </w:r>
      <w:r w:rsidR="00EE4FC3">
        <w:t xml:space="preserve"> </w:t>
      </w:r>
      <w:r w:rsidR="003B2D0A" w:rsidRPr="00382917">
        <w:t>regret</w:t>
      </w:r>
      <w:r w:rsidR="00EE4FC3">
        <w:t xml:space="preserve"> </w:t>
      </w:r>
      <w:r w:rsidR="003B2D0A" w:rsidRPr="00382917">
        <w:t>any</w:t>
      </w:r>
      <w:r w:rsidR="00EE4FC3">
        <w:t xml:space="preserve"> </w:t>
      </w:r>
      <w:r w:rsidR="003B2D0A" w:rsidRPr="00382917">
        <w:t>discourtesy</w:t>
      </w:r>
      <w:r w:rsidR="00EE4FC3">
        <w:t xml:space="preserve"> </w:t>
      </w:r>
      <w:r w:rsidR="003B2D0A" w:rsidRPr="00382917">
        <w:t>which</w:t>
      </w:r>
      <w:r w:rsidR="00EE4FC3">
        <w:t xml:space="preserve"> </w:t>
      </w:r>
      <w:r w:rsidR="003B2D0A" w:rsidRPr="00382917">
        <w:t>you</w:t>
      </w:r>
      <w:r w:rsidR="00EE4FC3">
        <w:t xml:space="preserve"> </w:t>
      </w:r>
      <w:r w:rsidR="003B2D0A" w:rsidRPr="00382917">
        <w:t>show</w:t>
      </w:r>
      <w:r w:rsidR="00EE4FC3">
        <w:t xml:space="preserve"> </w:t>
      </w:r>
      <w:r w:rsidR="003B2D0A" w:rsidRPr="00382917">
        <w:t>to</w:t>
      </w:r>
      <w:r w:rsidR="00EE4FC3">
        <w:t xml:space="preserve"> </w:t>
      </w:r>
      <w:r w:rsidR="003B2D0A" w:rsidRPr="00382917">
        <w:t>him.</w:t>
      </w:r>
      <w:r w:rsidRPr="00382917">
        <w:t>”</w:t>
      </w:r>
    </w:p>
    <w:p w:rsidR="003B2D0A" w:rsidRPr="00382917" w:rsidRDefault="003B2D0A" w:rsidP="003B2D0A">
      <w:pPr>
        <w:pStyle w:val="Text"/>
      </w:pPr>
      <w:r w:rsidRPr="00382917">
        <w:t>Vaḥíd</w:t>
      </w:r>
      <w:r w:rsidR="00EE4FC3">
        <w:t xml:space="preserve"> </w:t>
      </w:r>
      <w:r w:rsidRPr="00382917">
        <w:t>arranged</w:t>
      </w:r>
      <w:r w:rsidR="00EE4FC3">
        <w:t xml:space="preserve"> </w:t>
      </w:r>
      <w:r w:rsidRPr="00382917">
        <w:t>to</w:t>
      </w:r>
      <w:r w:rsidR="00EE4FC3">
        <w:t xml:space="preserve"> </w:t>
      </w:r>
      <w:r w:rsidRPr="00382917">
        <w:t>meet</w:t>
      </w:r>
      <w:r w:rsidR="00EE4FC3">
        <w:t xml:space="preserve"> </w:t>
      </w:r>
      <w:r w:rsidRPr="00382917">
        <w:t>the</w:t>
      </w:r>
      <w:r w:rsidR="00EE4FC3">
        <w:t xml:space="preserve"> </w:t>
      </w:r>
      <w:r w:rsidRPr="00382917">
        <w:t>Báb,</w:t>
      </w:r>
      <w:r w:rsidR="00EE4FC3">
        <w:t xml:space="preserve"> </w:t>
      </w:r>
      <w:r w:rsidRPr="00382917">
        <w:t>Who</w:t>
      </w:r>
      <w:r w:rsidR="00EE4FC3">
        <w:t xml:space="preserve"> </w:t>
      </w:r>
      <w:r w:rsidRPr="00382917">
        <w:t>welcomed</w:t>
      </w:r>
      <w:r w:rsidR="00EE4FC3">
        <w:t xml:space="preserve"> </w:t>
      </w:r>
      <w:r w:rsidRPr="00382917">
        <w:t>him</w:t>
      </w:r>
      <w:r w:rsidR="00EE4FC3">
        <w:t xml:space="preserve"> </w:t>
      </w:r>
      <w:r w:rsidRPr="00382917">
        <w:t>with</w:t>
      </w:r>
      <w:r w:rsidR="00EE4FC3">
        <w:t xml:space="preserve"> </w:t>
      </w:r>
      <w:r w:rsidRPr="00382917">
        <w:t>affection</w:t>
      </w:r>
      <w:r w:rsidR="00C03C91">
        <w:t>.</w:t>
      </w:r>
      <w:r w:rsidR="00EE4FC3">
        <w:t xml:space="preserve">  </w:t>
      </w:r>
      <w:r w:rsidRPr="00382917">
        <w:t>For</w:t>
      </w:r>
      <w:r w:rsidR="00EE4FC3">
        <w:t xml:space="preserve"> </w:t>
      </w:r>
      <w:r w:rsidRPr="00382917">
        <w:t>nearly</w:t>
      </w:r>
      <w:r w:rsidR="00EE4FC3">
        <w:t xml:space="preserve"> </w:t>
      </w:r>
      <w:r w:rsidRPr="00382917">
        <w:t>two</w:t>
      </w:r>
      <w:r w:rsidR="00EE4FC3">
        <w:t xml:space="preserve"> </w:t>
      </w:r>
      <w:r w:rsidRPr="00382917">
        <w:t>hours</w:t>
      </w:r>
      <w:r w:rsidR="00EE4FC3">
        <w:t xml:space="preserve"> </w:t>
      </w:r>
      <w:r w:rsidRPr="00382917">
        <w:t>Vaḥíd</w:t>
      </w:r>
      <w:r w:rsidR="00EE4FC3">
        <w:t xml:space="preserve"> </w:t>
      </w:r>
      <w:r w:rsidRPr="00382917">
        <w:t>courteously</w:t>
      </w:r>
      <w:r w:rsidR="00EE4FC3">
        <w:t xml:space="preserve"> </w:t>
      </w:r>
      <w:r w:rsidRPr="00382917">
        <w:t>directed</w:t>
      </w:r>
      <w:r w:rsidR="00EE4FC3">
        <w:t xml:space="preserve"> </w:t>
      </w:r>
      <w:r w:rsidRPr="00382917">
        <w:t>question</w:t>
      </w:r>
      <w:r w:rsidR="00EE4FC3">
        <w:t xml:space="preserve"> </w:t>
      </w:r>
      <w:r w:rsidRPr="00382917">
        <w:t>after</w:t>
      </w:r>
      <w:r w:rsidR="00EE4FC3">
        <w:t xml:space="preserve"> </w:t>
      </w:r>
      <w:r w:rsidRPr="00382917">
        <w:t>question</w:t>
      </w:r>
      <w:r w:rsidR="00EE4FC3">
        <w:t xml:space="preserve"> </w:t>
      </w:r>
      <w:r w:rsidRPr="00382917">
        <w:t>at</w:t>
      </w:r>
      <w:r w:rsidR="00EE4FC3">
        <w:t xml:space="preserve"> </w:t>
      </w:r>
      <w:r w:rsidRPr="00382917">
        <w:t>the</w:t>
      </w:r>
      <w:r w:rsidR="00EE4FC3">
        <w:t xml:space="preserve"> </w:t>
      </w:r>
      <w:r w:rsidRPr="00382917">
        <w:t>Báb</w:t>
      </w:r>
      <w:r w:rsidR="00C03C91">
        <w:t>.</w:t>
      </w:r>
      <w:r w:rsidR="00EE4FC3">
        <w:t xml:space="preserve">  </w:t>
      </w:r>
      <w:r w:rsidRPr="00382917">
        <w:t>He</w:t>
      </w:r>
      <w:r w:rsidR="00EE4FC3">
        <w:t xml:space="preserve"> </w:t>
      </w:r>
      <w:r w:rsidRPr="00382917">
        <w:t>pointed</w:t>
      </w:r>
      <w:r w:rsidR="00EE4FC3">
        <w:t xml:space="preserve"> </w:t>
      </w:r>
      <w:r w:rsidRPr="00382917">
        <w:t>out</w:t>
      </w:r>
      <w:r w:rsidR="00EE4FC3">
        <w:t xml:space="preserve"> </w:t>
      </w:r>
      <w:r w:rsidRPr="00382917">
        <w:t>the</w:t>
      </w:r>
      <w:r w:rsidR="00EE4FC3">
        <w:t xml:space="preserve"> </w:t>
      </w:r>
      <w:r w:rsidRPr="00382917">
        <w:t>most</w:t>
      </w:r>
      <w:r w:rsidR="00EE4FC3">
        <w:t xml:space="preserve"> </w:t>
      </w:r>
      <w:r w:rsidRPr="00382917">
        <w:t>obscure</w:t>
      </w:r>
      <w:r w:rsidR="00EE4FC3">
        <w:t xml:space="preserve"> </w:t>
      </w:r>
      <w:r w:rsidRPr="00382917">
        <w:t>passages</w:t>
      </w:r>
      <w:r w:rsidR="00EE4FC3">
        <w:t xml:space="preserve"> </w:t>
      </w:r>
      <w:r w:rsidRPr="00382917">
        <w:t>of</w:t>
      </w:r>
      <w:r w:rsidR="00EE4FC3">
        <w:t xml:space="preserve"> </w:t>
      </w:r>
      <w:r w:rsidRPr="00382917">
        <w:t>Holy</w:t>
      </w:r>
      <w:r w:rsidR="00EE4FC3">
        <w:t xml:space="preserve"> </w:t>
      </w:r>
      <w:r w:rsidRPr="00382917">
        <w:t>Scripture</w:t>
      </w:r>
      <w:r w:rsidR="00C03C91">
        <w:t>.</w:t>
      </w:r>
      <w:r w:rsidR="00EE4FC3">
        <w:t xml:space="preserve">  </w:t>
      </w:r>
      <w:r w:rsidRPr="00382917">
        <w:t>He</w:t>
      </w:r>
      <w:r w:rsidR="00EE4FC3">
        <w:t xml:space="preserve"> </w:t>
      </w:r>
      <w:r w:rsidRPr="00382917">
        <w:t>dwelt</w:t>
      </w:r>
      <w:r w:rsidR="00EE4FC3">
        <w:t xml:space="preserve"> </w:t>
      </w:r>
      <w:r w:rsidRPr="00382917">
        <w:t>upon</w:t>
      </w:r>
      <w:r w:rsidR="00EE4FC3">
        <w:t xml:space="preserve"> </w:t>
      </w:r>
      <w:r w:rsidRPr="00382917">
        <w:t>the</w:t>
      </w:r>
      <w:r w:rsidR="00EE4FC3">
        <w:t xml:space="preserve"> </w:t>
      </w:r>
      <w:r w:rsidRPr="00382917">
        <w:t>mysterious</w:t>
      </w:r>
      <w:r w:rsidR="00EE4FC3">
        <w:t xml:space="preserve"> </w:t>
      </w:r>
      <w:r w:rsidRPr="00382917">
        <w:t>prophecies</w:t>
      </w:r>
      <w:r w:rsidR="00EE4FC3">
        <w:t xml:space="preserve"> </w:t>
      </w:r>
      <w:r w:rsidRPr="00382917">
        <w:t>and</w:t>
      </w:r>
      <w:r w:rsidR="00EE4FC3">
        <w:t xml:space="preserve"> </w:t>
      </w:r>
      <w:r w:rsidRPr="00382917">
        <w:t>traditions</w:t>
      </w:r>
      <w:r w:rsidR="00EE4FC3">
        <w:t xml:space="preserve"> </w:t>
      </w:r>
      <w:r w:rsidRPr="00382917">
        <w:t>which</w:t>
      </w:r>
      <w:r w:rsidR="00EE4FC3">
        <w:t xml:space="preserve"> </w:t>
      </w:r>
      <w:r w:rsidRPr="00382917">
        <w:t>must</w:t>
      </w:r>
      <w:r w:rsidR="00EE4FC3">
        <w:t xml:space="preserve"> </w:t>
      </w:r>
      <w:r w:rsidRPr="00382917">
        <w:t>be</w:t>
      </w:r>
      <w:r w:rsidR="00EE4FC3">
        <w:t xml:space="preserve"> </w:t>
      </w:r>
      <w:r w:rsidRPr="00382917">
        <w:t>fulfilled</w:t>
      </w:r>
      <w:r w:rsidR="00EE4FC3">
        <w:t xml:space="preserve"> </w:t>
      </w:r>
      <w:r w:rsidRPr="00382917">
        <w:t>at</w:t>
      </w:r>
      <w:r w:rsidR="00EE4FC3">
        <w:t xml:space="preserve"> </w:t>
      </w:r>
      <w:r w:rsidRPr="00382917">
        <w:t>the</w:t>
      </w:r>
      <w:r w:rsidR="00EE4FC3">
        <w:t xml:space="preserve"> </w:t>
      </w:r>
      <w:r w:rsidRPr="00382917">
        <w:t>time</w:t>
      </w:r>
      <w:r w:rsidR="00EE4FC3">
        <w:t xml:space="preserve"> </w:t>
      </w:r>
      <w:r w:rsidRPr="00382917">
        <w:t>of</w:t>
      </w:r>
      <w:r w:rsidR="00EE4FC3">
        <w:t xml:space="preserve"> </w:t>
      </w:r>
      <w:r w:rsidRPr="00382917">
        <w:t>the</w:t>
      </w:r>
      <w:r w:rsidR="00EE4FC3">
        <w:t xml:space="preserve"> </w:t>
      </w:r>
      <w:r w:rsidRPr="00382917">
        <w:t>coming</w:t>
      </w:r>
      <w:r w:rsidR="00EE4FC3">
        <w:t xml:space="preserve"> </w:t>
      </w:r>
      <w:r w:rsidRPr="00382917">
        <w:t>of</w:t>
      </w:r>
      <w:r w:rsidR="00EE4FC3">
        <w:t xml:space="preserve"> </w:t>
      </w:r>
      <w:r w:rsidRPr="00382917">
        <w:t>the</w:t>
      </w:r>
      <w:r w:rsidR="00EE4FC3">
        <w:t xml:space="preserve"> </w:t>
      </w:r>
      <w:r w:rsidRPr="00382917">
        <w:t>Promised</w:t>
      </w:r>
      <w:r w:rsidR="00EE4FC3">
        <w:t xml:space="preserve"> </w:t>
      </w:r>
      <w:r w:rsidRPr="00382917">
        <w:t>One</w:t>
      </w:r>
      <w:r w:rsidR="00C03C91">
        <w:t>.</w:t>
      </w:r>
      <w:r w:rsidR="00EE4FC3">
        <w:t xml:space="preserve">  </w:t>
      </w:r>
      <w:r w:rsidRPr="00382917">
        <w:t>He</w:t>
      </w:r>
      <w:r w:rsidR="00EE4FC3">
        <w:t xml:space="preserve"> </w:t>
      </w:r>
      <w:r w:rsidRPr="00382917">
        <w:t>spoke</w:t>
      </w:r>
      <w:r w:rsidR="00EE4FC3">
        <w:t xml:space="preserve"> </w:t>
      </w:r>
      <w:r w:rsidRPr="00382917">
        <w:t>at</w:t>
      </w:r>
      <w:r w:rsidR="00EE4FC3">
        <w:t xml:space="preserve"> </w:t>
      </w:r>
      <w:r w:rsidRPr="00382917">
        <w:t>great</w:t>
      </w:r>
      <w:r w:rsidR="00EE4FC3">
        <w:t xml:space="preserve"> </w:t>
      </w:r>
      <w:r w:rsidRPr="00382917">
        <w:t>length</w:t>
      </w:r>
      <w:r w:rsidR="00EE4FC3">
        <w:t xml:space="preserve"> </w:t>
      </w:r>
      <w:r w:rsidRPr="00382917">
        <w:t>of</w:t>
      </w:r>
      <w:r w:rsidR="00EE4FC3">
        <w:t xml:space="preserve"> </w:t>
      </w:r>
      <w:r w:rsidRPr="00382917">
        <w:t>certain</w:t>
      </w:r>
      <w:r w:rsidR="00EE4FC3">
        <w:t xml:space="preserve"> </w:t>
      </w:r>
      <w:r w:rsidRPr="00382917">
        <w:t>difficult</w:t>
      </w:r>
      <w:r w:rsidR="00EE4FC3">
        <w:t xml:space="preserve"> </w:t>
      </w:r>
      <w:r w:rsidRPr="00382917">
        <w:t>and</w:t>
      </w:r>
      <w:r w:rsidR="00EE4FC3">
        <w:t xml:space="preserve"> </w:t>
      </w:r>
      <w:r w:rsidRPr="00382917">
        <w:t>vague</w:t>
      </w:r>
      <w:r w:rsidR="00EE4FC3">
        <w:t xml:space="preserve"> </w:t>
      </w:r>
      <w:r w:rsidRPr="00382917">
        <w:t>metaphysical</w:t>
      </w:r>
      <w:r w:rsidR="00EE4FC3">
        <w:t xml:space="preserve"> </w:t>
      </w:r>
      <w:r w:rsidRPr="00382917">
        <w:t>themes.</w:t>
      </w:r>
    </w:p>
    <w:p w:rsidR="003B2D0A" w:rsidRPr="00382917" w:rsidRDefault="003B2D0A" w:rsidP="009D4E6D">
      <w:pPr>
        <w:pStyle w:val="Text"/>
      </w:pPr>
      <w:r w:rsidRPr="00382917">
        <w:t>The</w:t>
      </w:r>
      <w:r w:rsidR="00EE4FC3">
        <w:t xml:space="preserve"> </w:t>
      </w:r>
      <w:r w:rsidRPr="00382917">
        <w:t>Báb</w:t>
      </w:r>
      <w:r w:rsidR="00EE4FC3">
        <w:t xml:space="preserve"> </w:t>
      </w:r>
      <w:r w:rsidRPr="00382917">
        <w:t>listened</w:t>
      </w:r>
      <w:r w:rsidR="00EE4FC3">
        <w:t xml:space="preserve"> </w:t>
      </w:r>
      <w:r w:rsidRPr="00382917">
        <w:t>patiently</w:t>
      </w:r>
      <w:r w:rsidR="00EE4FC3">
        <w:t xml:space="preserve"> </w:t>
      </w:r>
      <w:r w:rsidRPr="00382917">
        <w:t>to</w:t>
      </w:r>
      <w:r w:rsidR="00EE4FC3">
        <w:t xml:space="preserve"> </w:t>
      </w:r>
      <w:proofErr w:type="spellStart"/>
      <w:r w:rsidRPr="00382917">
        <w:t>Vaḥíd</w:t>
      </w:r>
      <w:r w:rsidR="009C713D" w:rsidRPr="00382917">
        <w:t>’</w:t>
      </w:r>
      <w:r w:rsidRPr="00382917">
        <w:t>s</w:t>
      </w:r>
      <w:proofErr w:type="spellEnd"/>
      <w:r w:rsidR="00EE4FC3">
        <w:t xml:space="preserve"> </w:t>
      </w:r>
      <w:r w:rsidRPr="00382917">
        <w:t>learned</w:t>
      </w:r>
      <w:r w:rsidR="00EE4FC3">
        <w:t xml:space="preserve"> </w:t>
      </w:r>
      <w:r w:rsidRPr="00382917">
        <w:t>and</w:t>
      </w:r>
      <w:r w:rsidR="00EE4FC3">
        <w:t xml:space="preserve"> </w:t>
      </w:r>
      <w:r w:rsidRPr="00382917">
        <w:t>detailed</w:t>
      </w:r>
      <w:r w:rsidR="00EE4FC3">
        <w:t xml:space="preserve"> </w:t>
      </w:r>
      <w:r w:rsidRPr="00382917">
        <w:t>references,</w:t>
      </w:r>
      <w:r w:rsidR="00EE4FC3">
        <w:t xml:space="preserve"> </w:t>
      </w:r>
      <w:r w:rsidRPr="00382917">
        <w:t>quietly</w:t>
      </w:r>
      <w:r w:rsidR="00EE4FC3">
        <w:t xml:space="preserve"> </w:t>
      </w:r>
      <w:r w:rsidRPr="00382917">
        <w:t>noting</w:t>
      </w:r>
      <w:r w:rsidR="00EE4FC3">
        <w:t xml:space="preserve"> </w:t>
      </w:r>
      <w:r w:rsidRPr="00382917">
        <w:t>his</w:t>
      </w:r>
      <w:r w:rsidR="00EE4FC3">
        <w:t xml:space="preserve"> </w:t>
      </w:r>
      <w:r w:rsidRPr="00382917">
        <w:t>questions</w:t>
      </w:r>
      <w:r w:rsidR="00C03C91">
        <w:t>.</w:t>
      </w:r>
      <w:r w:rsidR="00EE4FC3">
        <w:t xml:space="preserve">  </w:t>
      </w:r>
      <w:r w:rsidRPr="00382917">
        <w:t>Vaḥíd</w:t>
      </w:r>
      <w:r w:rsidR="00EE4FC3">
        <w:t xml:space="preserve"> </w:t>
      </w:r>
      <w:r w:rsidRPr="00382917">
        <w:t>suddenly</w:t>
      </w:r>
      <w:r w:rsidR="00EE4FC3">
        <w:t xml:space="preserve"> </w:t>
      </w:r>
      <w:r w:rsidRPr="00382917">
        <w:t>felt</w:t>
      </w:r>
      <w:r w:rsidR="00EE4FC3">
        <w:t xml:space="preserve"> </w:t>
      </w:r>
      <w:r w:rsidRPr="00382917">
        <w:t>ashamed</w:t>
      </w:r>
      <w:r w:rsidR="00EE4FC3">
        <w:t xml:space="preserve"> </w:t>
      </w:r>
      <w:r w:rsidRPr="00382917">
        <w:t>of</w:t>
      </w:r>
      <w:r w:rsidR="00EE4FC3">
        <w:t xml:space="preserve"> </w:t>
      </w:r>
      <w:r w:rsidRPr="00382917">
        <w:t>this</w:t>
      </w:r>
      <w:r w:rsidR="00EE4FC3">
        <w:t xml:space="preserve"> </w:t>
      </w:r>
      <w:r w:rsidRPr="00382917">
        <w:t>long</w:t>
      </w:r>
      <w:r w:rsidR="00EE4FC3">
        <w:t xml:space="preserve"> </w:t>
      </w:r>
      <w:r w:rsidRPr="00382917">
        <w:t>and</w:t>
      </w:r>
      <w:r w:rsidR="00EE4FC3">
        <w:t xml:space="preserve"> </w:t>
      </w:r>
      <w:r w:rsidRPr="00382917">
        <w:t>showy</w:t>
      </w:r>
      <w:r w:rsidR="00EE4FC3">
        <w:t xml:space="preserve"> </w:t>
      </w:r>
      <w:r w:rsidRPr="00382917">
        <w:t>display</w:t>
      </w:r>
      <w:r w:rsidR="00EE4FC3">
        <w:t xml:space="preserve"> </w:t>
      </w:r>
      <w:r w:rsidRPr="00382917">
        <w:t>of</w:t>
      </w:r>
      <w:r w:rsidR="00EE4FC3">
        <w:t xml:space="preserve"> </w:t>
      </w:r>
      <w:r w:rsidRPr="00382917">
        <w:t>his</w:t>
      </w:r>
      <w:r w:rsidR="00EE4FC3">
        <w:t xml:space="preserve"> </w:t>
      </w:r>
      <w:r w:rsidRPr="00382917">
        <w:t>own</w:t>
      </w:r>
      <w:r w:rsidR="00EE4FC3">
        <w:t xml:space="preserve"> </w:t>
      </w:r>
      <w:r w:rsidRPr="00382917">
        <w:t>learning</w:t>
      </w:r>
      <w:r w:rsidR="00C03C91">
        <w:t>.</w:t>
      </w:r>
      <w:r w:rsidR="00EE4FC3">
        <w:t xml:space="preserve">  </w:t>
      </w:r>
      <w:r w:rsidRPr="00382917">
        <w:t>Later</w:t>
      </w:r>
      <w:r w:rsidR="00EE4FC3">
        <w:t xml:space="preserve"> </w:t>
      </w:r>
      <w:r w:rsidRPr="00382917">
        <w:t>he</w:t>
      </w:r>
      <w:r w:rsidR="00EE4FC3">
        <w:t xml:space="preserve"> </w:t>
      </w:r>
      <w:r w:rsidRPr="00382917">
        <w:t>reported:</w:t>
      </w:r>
    </w:p>
    <w:p w:rsidR="00E13D49" w:rsidRPr="00382917" w:rsidRDefault="009C713D" w:rsidP="003B2D0A">
      <w:pPr>
        <w:pStyle w:val="Text"/>
      </w:pPr>
      <w:r w:rsidRPr="00382917">
        <w:t>“</w:t>
      </w:r>
      <w:r w:rsidR="003B2D0A" w:rsidRPr="00382917">
        <w:t>Quietly</w:t>
      </w:r>
      <w:r w:rsidR="00EE4FC3">
        <w:t xml:space="preserve"> </w:t>
      </w:r>
      <w:r w:rsidR="003B2D0A" w:rsidRPr="00382917">
        <w:t>the</w:t>
      </w:r>
      <w:r w:rsidR="00EE4FC3">
        <w:t xml:space="preserve"> </w:t>
      </w:r>
      <w:r w:rsidR="003B2D0A" w:rsidRPr="00382917">
        <w:t>Báb</w:t>
      </w:r>
      <w:r w:rsidR="00EE4FC3">
        <w:t xml:space="preserve"> </w:t>
      </w:r>
      <w:r w:rsidR="003B2D0A" w:rsidRPr="00382917">
        <w:t>began</w:t>
      </w:r>
      <w:r w:rsidR="00EE4FC3">
        <w:t xml:space="preserve"> </w:t>
      </w:r>
      <w:r w:rsidR="003B2D0A" w:rsidRPr="00382917">
        <w:t>to</w:t>
      </w:r>
      <w:r w:rsidR="00EE4FC3">
        <w:t xml:space="preserve"> </w:t>
      </w:r>
      <w:r w:rsidR="003B2D0A" w:rsidRPr="00382917">
        <w:t>speak</w:t>
      </w:r>
      <w:r w:rsidR="00C03C91">
        <w:t>.</w:t>
      </w:r>
      <w:r w:rsidR="00EE4FC3">
        <w:t xml:space="preserve">  </w:t>
      </w:r>
      <w:r w:rsidR="003B2D0A" w:rsidRPr="00382917">
        <w:t>He</w:t>
      </w:r>
      <w:r w:rsidR="00EE4FC3">
        <w:t xml:space="preserve"> </w:t>
      </w:r>
      <w:r w:rsidR="003B2D0A" w:rsidRPr="00382917">
        <w:t>gave</w:t>
      </w:r>
      <w:r w:rsidR="00EE4FC3">
        <w:t xml:space="preserve"> </w:t>
      </w:r>
      <w:r w:rsidR="003B2D0A" w:rsidRPr="00382917">
        <w:t>brief</w:t>
      </w:r>
      <w:r w:rsidR="00EE4FC3">
        <w:t xml:space="preserve"> </w:t>
      </w:r>
      <w:r w:rsidR="003B2D0A" w:rsidRPr="00382917">
        <w:t>but</w:t>
      </w:r>
      <w:r w:rsidR="00EE4FC3">
        <w:t xml:space="preserve"> </w:t>
      </w:r>
      <w:r w:rsidR="003B2D0A" w:rsidRPr="00382917">
        <w:t>persuasive</w:t>
      </w:r>
      <w:r w:rsidR="00EE4FC3">
        <w:t xml:space="preserve"> </w:t>
      </w:r>
      <w:r w:rsidR="003B2D0A" w:rsidRPr="00382917">
        <w:t>answers</w:t>
      </w:r>
      <w:r w:rsidR="00EE4FC3">
        <w:t xml:space="preserve"> </w:t>
      </w:r>
      <w:r w:rsidR="003B2D0A" w:rsidRPr="00382917">
        <w:t>to</w:t>
      </w:r>
      <w:r w:rsidR="00EE4FC3">
        <w:t xml:space="preserve"> </w:t>
      </w:r>
      <w:r w:rsidR="003B2D0A" w:rsidRPr="00382917">
        <w:t>each</w:t>
      </w:r>
      <w:r w:rsidR="00EE4FC3">
        <w:t xml:space="preserve"> </w:t>
      </w:r>
      <w:r w:rsidR="003B2D0A" w:rsidRPr="00382917">
        <w:t>of</w:t>
      </w:r>
      <w:r w:rsidR="00EE4FC3">
        <w:t xml:space="preserve"> </w:t>
      </w:r>
      <w:r w:rsidR="003B2D0A" w:rsidRPr="00382917">
        <w:t>my</w:t>
      </w:r>
      <w:r w:rsidR="00EE4FC3">
        <w:t xml:space="preserve"> </w:t>
      </w:r>
      <w:r w:rsidR="003B2D0A" w:rsidRPr="00382917">
        <w:t>questions</w:t>
      </w:r>
      <w:r w:rsidR="00C03C91">
        <w:t>.</w:t>
      </w:r>
      <w:r w:rsidR="00EE4FC3">
        <w:t xml:space="preserve">  </w:t>
      </w:r>
      <w:r w:rsidR="003B2D0A" w:rsidRPr="00382917">
        <w:t>The</w:t>
      </w:r>
      <w:r w:rsidR="00EE4FC3">
        <w:t xml:space="preserve"> </w:t>
      </w:r>
      <w:r w:rsidR="003B2D0A" w:rsidRPr="00382917">
        <w:t>conciseness</w:t>
      </w:r>
      <w:r w:rsidR="00EE4FC3">
        <w:t xml:space="preserve"> </w:t>
      </w:r>
      <w:r w:rsidR="003B2D0A" w:rsidRPr="00382917">
        <w:t>and</w:t>
      </w:r>
      <w:r w:rsidR="00EE4FC3">
        <w:t xml:space="preserve"> </w:t>
      </w:r>
      <w:r w:rsidR="003B2D0A" w:rsidRPr="00382917">
        <w:t>clarity</w:t>
      </w:r>
      <w:r w:rsidR="00EE4FC3">
        <w:t xml:space="preserve"> </w:t>
      </w:r>
      <w:r w:rsidR="003B2D0A" w:rsidRPr="00382917">
        <w:t>of</w:t>
      </w:r>
      <w:r w:rsidR="00EE4FC3">
        <w:t xml:space="preserve"> </w:t>
      </w:r>
      <w:r w:rsidR="003B2D0A" w:rsidRPr="00382917">
        <w:t>his</w:t>
      </w:r>
      <w:r w:rsidR="00EE4FC3">
        <w:t xml:space="preserve"> </w:t>
      </w:r>
      <w:r w:rsidR="003B2D0A" w:rsidRPr="00382917">
        <w:t>replies</w:t>
      </w:r>
      <w:r w:rsidR="00EE4FC3">
        <w:t xml:space="preserve"> </w:t>
      </w:r>
      <w:r w:rsidR="003B2D0A" w:rsidRPr="00382917">
        <w:t>excited</w:t>
      </w:r>
      <w:r w:rsidR="00EE4FC3">
        <w:t xml:space="preserve"> </w:t>
      </w:r>
      <w:r w:rsidR="003B2D0A" w:rsidRPr="00382917">
        <w:t>my</w:t>
      </w:r>
      <w:r w:rsidR="00EE4FC3">
        <w:t xml:space="preserve"> </w:t>
      </w:r>
      <w:r w:rsidR="003B2D0A" w:rsidRPr="00382917">
        <w:t>admiration</w:t>
      </w:r>
      <w:r w:rsidR="00EE4FC3">
        <w:t xml:space="preserve"> </w:t>
      </w:r>
      <w:r w:rsidR="003B2D0A" w:rsidRPr="00382917">
        <w:t>and</w:t>
      </w:r>
      <w:r w:rsidR="00EE4FC3">
        <w:t xml:space="preserve"> </w:t>
      </w:r>
      <w:r w:rsidR="003B2D0A" w:rsidRPr="00382917">
        <w:t>wonder</w:t>
      </w:r>
      <w:r w:rsidR="00C03C91">
        <w:t>.</w:t>
      </w:r>
      <w:r w:rsidR="00EE4FC3">
        <w:t xml:space="preserve">  </w:t>
      </w:r>
      <w:r w:rsidR="003B2D0A" w:rsidRPr="00382917">
        <w:t>My</w:t>
      </w:r>
      <w:r w:rsidR="00EE4FC3">
        <w:t xml:space="preserve"> </w:t>
      </w:r>
      <w:r w:rsidR="003B2D0A" w:rsidRPr="00382917">
        <w:t>feeling</w:t>
      </w:r>
      <w:r w:rsidR="00EE4FC3">
        <w:t xml:space="preserve"> </w:t>
      </w:r>
      <w:r w:rsidR="003B2D0A" w:rsidRPr="00382917">
        <w:t>of</w:t>
      </w:r>
      <w:r w:rsidR="00EE4FC3">
        <w:t xml:space="preserve"> </w:t>
      </w:r>
      <w:r w:rsidR="003B2D0A" w:rsidRPr="00382917">
        <w:t>personal</w:t>
      </w:r>
      <w:r w:rsidR="00EE4FC3">
        <w:t xml:space="preserve"> </w:t>
      </w:r>
      <w:r w:rsidR="003B2D0A" w:rsidRPr="00382917">
        <w:t>superiority</w:t>
      </w:r>
      <w:r w:rsidR="00EE4FC3">
        <w:t xml:space="preserve"> </w:t>
      </w:r>
      <w:r w:rsidR="003B2D0A" w:rsidRPr="00382917">
        <w:t>vanished</w:t>
      </w:r>
      <w:r w:rsidR="00C03C91">
        <w:t>.</w:t>
      </w:r>
      <w:r w:rsidR="00EE4FC3">
        <w:t xml:space="preserve">  </w:t>
      </w:r>
      <w:r w:rsidR="003B2D0A" w:rsidRPr="00382917">
        <w:t>I</w:t>
      </w:r>
      <w:r w:rsidR="00EE4FC3">
        <w:t xml:space="preserve"> </w:t>
      </w:r>
      <w:r w:rsidR="003B2D0A" w:rsidRPr="00382917">
        <w:t>was</w:t>
      </w:r>
      <w:r w:rsidR="00EE4FC3">
        <w:t xml:space="preserve"> </w:t>
      </w:r>
      <w:r w:rsidR="003B2D0A" w:rsidRPr="00382917">
        <w:t>embarrassed</w:t>
      </w:r>
      <w:r w:rsidR="00EE4FC3">
        <w:t xml:space="preserve"> </w:t>
      </w:r>
      <w:r w:rsidR="003B2D0A" w:rsidRPr="00382917">
        <w:t>by</w:t>
      </w:r>
      <w:r w:rsidR="00EE4FC3">
        <w:t xml:space="preserve"> </w:t>
      </w:r>
      <w:r w:rsidR="003B2D0A" w:rsidRPr="00382917">
        <w:t>my</w:t>
      </w:r>
      <w:r w:rsidR="00EE4FC3">
        <w:t xml:space="preserve"> </w:t>
      </w:r>
      <w:r w:rsidR="003B2D0A" w:rsidRPr="00382917">
        <w:t>own</w:t>
      </w:r>
      <w:r w:rsidR="00EE4FC3">
        <w:t xml:space="preserve"> </w:t>
      </w:r>
      <w:r w:rsidR="003B2D0A" w:rsidRPr="00382917">
        <w:t>presumptuous-</w:t>
      </w:r>
    </w:p>
    <w:p w:rsidR="003B2D0A" w:rsidRPr="00382917" w:rsidRDefault="003B2D0A">
      <w:pPr>
        <w:widowControl/>
        <w:kinsoku/>
        <w:overflowPunct/>
        <w:textAlignment w:val="auto"/>
      </w:pPr>
      <w:r w:rsidRPr="00382917">
        <w:br w:type="page"/>
      </w:r>
    </w:p>
    <w:p w:rsidR="00122F78" w:rsidRPr="00382917" w:rsidRDefault="00122F78" w:rsidP="00122F78">
      <w:pPr>
        <w:pStyle w:val="Textcts"/>
      </w:pPr>
      <w:proofErr w:type="gramStart"/>
      <w:r w:rsidRPr="00382917">
        <w:t>ness</w:t>
      </w:r>
      <w:proofErr w:type="gramEnd"/>
      <w:r w:rsidR="00EE4FC3">
        <w:t xml:space="preserve"> </w:t>
      </w:r>
      <w:r w:rsidRPr="00382917">
        <w:t>and</w:t>
      </w:r>
      <w:r w:rsidR="00EE4FC3">
        <w:t xml:space="preserve"> </w:t>
      </w:r>
      <w:r w:rsidRPr="00382917">
        <w:t>pride</w:t>
      </w:r>
      <w:r w:rsidR="00C03C91">
        <w:t>.</w:t>
      </w:r>
      <w:r w:rsidR="00EE4FC3">
        <w:t xml:space="preserve">  </w:t>
      </w:r>
      <w:r w:rsidRPr="00382917">
        <w:t>I</w:t>
      </w:r>
      <w:r w:rsidR="00EE4FC3">
        <w:t xml:space="preserve"> </w:t>
      </w:r>
      <w:r w:rsidRPr="00382917">
        <w:t>felt</w:t>
      </w:r>
      <w:r w:rsidR="00EE4FC3">
        <w:t xml:space="preserve"> </w:t>
      </w:r>
      <w:r w:rsidRPr="00382917">
        <w:t>so</w:t>
      </w:r>
      <w:r w:rsidR="00EE4FC3">
        <w:t xml:space="preserve"> </w:t>
      </w:r>
      <w:r w:rsidRPr="00382917">
        <w:t>abased</w:t>
      </w:r>
      <w:r w:rsidR="00EE4FC3">
        <w:t xml:space="preserve"> </w:t>
      </w:r>
      <w:r w:rsidRPr="00382917">
        <w:t>that</w:t>
      </w:r>
      <w:r w:rsidR="00EE4FC3">
        <w:t xml:space="preserve"> </w:t>
      </w:r>
      <w:r w:rsidRPr="00382917">
        <w:t>I</w:t>
      </w:r>
      <w:r w:rsidR="00EE4FC3">
        <w:t xml:space="preserve"> </w:t>
      </w:r>
      <w:r w:rsidRPr="00382917">
        <w:t>hurriedly</w:t>
      </w:r>
      <w:r w:rsidR="00EE4FC3">
        <w:t xml:space="preserve"> </w:t>
      </w:r>
      <w:r w:rsidRPr="00382917">
        <w:t>asked</w:t>
      </w:r>
      <w:r w:rsidR="00EE4FC3">
        <w:t xml:space="preserve"> </w:t>
      </w:r>
      <w:r w:rsidRPr="00382917">
        <w:t>permission</w:t>
      </w:r>
      <w:r w:rsidR="00EE4FC3">
        <w:t xml:space="preserve"> </w:t>
      </w:r>
      <w:r w:rsidRPr="00382917">
        <w:t>to</w:t>
      </w:r>
      <w:r w:rsidR="00EE4FC3">
        <w:t xml:space="preserve"> </w:t>
      </w:r>
      <w:r w:rsidRPr="00382917">
        <w:t>retire</w:t>
      </w:r>
      <w:r w:rsidR="00C03C91">
        <w:t>.</w:t>
      </w:r>
      <w:r w:rsidR="00EE4FC3">
        <w:t xml:space="preserve">  </w:t>
      </w:r>
      <w:r w:rsidRPr="00382917">
        <w:t>I</w:t>
      </w:r>
      <w:r w:rsidR="00EE4FC3">
        <w:t xml:space="preserve"> </w:t>
      </w:r>
      <w:r w:rsidRPr="00382917">
        <w:t>told</w:t>
      </w:r>
      <w:r w:rsidR="00EE4FC3">
        <w:t xml:space="preserve"> </w:t>
      </w:r>
      <w:r w:rsidRPr="00382917">
        <w:t>him</w:t>
      </w:r>
      <w:r w:rsidR="00C03C91">
        <w:t>:</w:t>
      </w:r>
      <w:r w:rsidR="00EE4FC3">
        <w:t xml:space="preserve">  </w:t>
      </w:r>
      <w:r w:rsidR="009C713D" w:rsidRPr="00382917">
        <w:t>‘</w:t>
      </w:r>
      <w:r w:rsidRPr="00382917">
        <w:t>If</w:t>
      </w:r>
      <w:r w:rsidR="00EE4FC3">
        <w:t xml:space="preserve"> </w:t>
      </w:r>
      <w:r w:rsidRPr="00382917">
        <w:t>it</w:t>
      </w:r>
      <w:r w:rsidR="00EE4FC3">
        <w:t xml:space="preserve"> </w:t>
      </w:r>
      <w:proofErr w:type="gramStart"/>
      <w:r w:rsidRPr="00382917">
        <w:t>please</w:t>
      </w:r>
      <w:proofErr w:type="gramEnd"/>
      <w:r w:rsidR="00EE4FC3">
        <w:t xml:space="preserve"> </w:t>
      </w:r>
      <w:r w:rsidRPr="00382917">
        <w:t>God,</w:t>
      </w:r>
      <w:r w:rsidR="00EE4FC3">
        <w:t xml:space="preserve"> </w:t>
      </w:r>
      <w:r w:rsidRPr="00382917">
        <w:t>I</w:t>
      </w:r>
      <w:r w:rsidR="00EE4FC3">
        <w:t xml:space="preserve"> </w:t>
      </w:r>
      <w:r w:rsidRPr="00382917">
        <w:t>shall</w:t>
      </w:r>
      <w:r w:rsidR="00EE4FC3">
        <w:t xml:space="preserve"> </w:t>
      </w:r>
      <w:r w:rsidRPr="00382917">
        <w:t>in</w:t>
      </w:r>
      <w:r w:rsidR="00EE4FC3">
        <w:t xml:space="preserve"> </w:t>
      </w:r>
      <w:r w:rsidRPr="00382917">
        <w:t>my</w:t>
      </w:r>
      <w:r w:rsidR="00EE4FC3">
        <w:t xml:space="preserve"> </w:t>
      </w:r>
      <w:r w:rsidRPr="00382917">
        <w:t>next</w:t>
      </w:r>
      <w:r w:rsidR="00EE4FC3">
        <w:t xml:space="preserve"> </w:t>
      </w:r>
      <w:r w:rsidRPr="00382917">
        <w:t>interview</w:t>
      </w:r>
      <w:r w:rsidR="00EE4FC3">
        <w:t xml:space="preserve"> </w:t>
      </w:r>
      <w:r w:rsidRPr="00382917">
        <w:t>submit</w:t>
      </w:r>
      <w:r w:rsidR="00EE4FC3">
        <w:t xml:space="preserve"> </w:t>
      </w:r>
      <w:r w:rsidRPr="00382917">
        <w:t>the</w:t>
      </w:r>
      <w:r w:rsidR="00EE4FC3">
        <w:t xml:space="preserve"> </w:t>
      </w:r>
      <w:r w:rsidRPr="00382917">
        <w:t>rest</w:t>
      </w:r>
      <w:r w:rsidR="00EE4FC3">
        <w:t xml:space="preserve"> </w:t>
      </w:r>
      <w:r w:rsidRPr="00382917">
        <w:t>of</w:t>
      </w:r>
      <w:r w:rsidR="00EE4FC3">
        <w:t xml:space="preserve"> </w:t>
      </w:r>
      <w:r w:rsidRPr="00382917">
        <w:t>my</w:t>
      </w:r>
      <w:r w:rsidR="00EE4FC3">
        <w:t xml:space="preserve"> </w:t>
      </w:r>
      <w:r w:rsidRPr="00382917">
        <w:t>questions</w:t>
      </w:r>
      <w:r w:rsidR="00EE4FC3">
        <w:t xml:space="preserve"> </w:t>
      </w:r>
      <w:r w:rsidRPr="00382917">
        <w:t>and</w:t>
      </w:r>
      <w:r w:rsidR="00EE4FC3">
        <w:t xml:space="preserve"> </w:t>
      </w:r>
      <w:r w:rsidRPr="00382917">
        <w:t>conclude</w:t>
      </w:r>
      <w:r w:rsidR="00EE4FC3">
        <w:t xml:space="preserve"> </w:t>
      </w:r>
      <w:r w:rsidRPr="00382917">
        <w:t>my</w:t>
      </w:r>
      <w:r w:rsidR="00EE4FC3">
        <w:t xml:space="preserve"> </w:t>
      </w:r>
      <w:r w:rsidRPr="00382917">
        <w:t>inquiry.</w:t>
      </w:r>
      <w:r w:rsidR="009C713D" w:rsidRPr="00382917">
        <w:t>’”</w:t>
      </w:r>
    </w:p>
    <w:p w:rsidR="00122F78" w:rsidRPr="00382917" w:rsidRDefault="00122F78" w:rsidP="00122F78">
      <w:pPr>
        <w:pStyle w:val="Text"/>
      </w:pPr>
      <w:r w:rsidRPr="00382917">
        <w:t>Vaḥíd</w:t>
      </w:r>
      <w:r w:rsidR="00EE4FC3">
        <w:t xml:space="preserve"> </w:t>
      </w:r>
      <w:r w:rsidRPr="00382917">
        <w:t>withdrew</w:t>
      </w:r>
      <w:r w:rsidR="00C03C91">
        <w:t>.</w:t>
      </w:r>
      <w:r w:rsidR="00EE4FC3">
        <w:t xml:space="preserve">  </w:t>
      </w:r>
      <w:r w:rsidRPr="00382917">
        <w:t>As</w:t>
      </w:r>
      <w:r w:rsidR="00EE4FC3">
        <w:t xml:space="preserve"> </w:t>
      </w:r>
      <w:r w:rsidRPr="00382917">
        <w:t>soon</w:t>
      </w:r>
      <w:r w:rsidR="00EE4FC3">
        <w:t xml:space="preserve"> </w:t>
      </w:r>
      <w:r w:rsidRPr="00382917">
        <w:t>as</w:t>
      </w:r>
      <w:r w:rsidR="00EE4FC3">
        <w:t xml:space="preserve"> </w:t>
      </w:r>
      <w:r w:rsidRPr="00382917">
        <w:t>he</w:t>
      </w:r>
      <w:r w:rsidR="00EE4FC3">
        <w:t xml:space="preserve"> </w:t>
      </w:r>
      <w:r w:rsidRPr="00382917">
        <w:t>left</w:t>
      </w:r>
      <w:r w:rsidR="00EE4FC3">
        <w:t xml:space="preserve"> </w:t>
      </w:r>
      <w:r w:rsidRPr="00382917">
        <w:t>the</w:t>
      </w:r>
      <w:r w:rsidR="00EE4FC3">
        <w:t xml:space="preserve"> </w:t>
      </w:r>
      <w:r w:rsidRPr="00382917">
        <w:t>Báb</w:t>
      </w:r>
      <w:r w:rsidR="00EE4FC3">
        <w:t xml:space="preserve"> </w:t>
      </w:r>
      <w:r w:rsidRPr="00382917">
        <w:t>he</w:t>
      </w:r>
      <w:r w:rsidR="00EE4FC3">
        <w:t xml:space="preserve"> </w:t>
      </w:r>
      <w:r w:rsidRPr="00382917">
        <w:t>hastened</w:t>
      </w:r>
      <w:r w:rsidR="00EE4FC3">
        <w:t xml:space="preserve"> </w:t>
      </w:r>
      <w:r w:rsidRPr="00382917">
        <w:t>to</w:t>
      </w:r>
      <w:r w:rsidR="00EE4FC3">
        <w:t xml:space="preserve"> </w:t>
      </w:r>
      <w:r w:rsidRPr="00382917">
        <w:t>the</w:t>
      </w:r>
      <w:r w:rsidR="00EE4FC3">
        <w:t xml:space="preserve"> </w:t>
      </w:r>
      <w:r w:rsidRPr="00382917">
        <w:t>home</w:t>
      </w:r>
      <w:r w:rsidR="00EE4FC3">
        <w:t xml:space="preserve"> </w:t>
      </w:r>
      <w:r w:rsidRPr="00382917">
        <w:t>of</w:t>
      </w:r>
      <w:r w:rsidR="00EE4FC3">
        <w:t xml:space="preserve"> </w:t>
      </w:r>
      <w:r w:rsidRPr="00382917">
        <w:t>his</w:t>
      </w:r>
      <w:r w:rsidR="00EE4FC3">
        <w:t xml:space="preserve"> </w:t>
      </w:r>
      <w:r w:rsidRPr="00382917">
        <w:t>friend</w:t>
      </w:r>
      <w:r w:rsidR="00EE4FC3">
        <w:t xml:space="preserve"> </w:t>
      </w:r>
      <w:r w:rsidR="009C713D" w:rsidRPr="00382917">
        <w:t>‘</w:t>
      </w:r>
      <w:r w:rsidRPr="00382917">
        <w:t>Aẓím</w:t>
      </w:r>
      <w:r w:rsidR="00EE4FC3">
        <w:t xml:space="preserve"> </w:t>
      </w:r>
      <w:r w:rsidRPr="00382917">
        <w:t>and</w:t>
      </w:r>
      <w:r w:rsidR="00EE4FC3">
        <w:t xml:space="preserve"> </w:t>
      </w:r>
      <w:r w:rsidRPr="00382917">
        <w:t>told</w:t>
      </w:r>
      <w:r w:rsidR="00EE4FC3">
        <w:t xml:space="preserve"> </w:t>
      </w:r>
      <w:r w:rsidRPr="00382917">
        <w:t>him</w:t>
      </w:r>
      <w:r w:rsidR="00EE4FC3">
        <w:t xml:space="preserve"> </w:t>
      </w:r>
      <w:r w:rsidRPr="00382917">
        <w:t>what</w:t>
      </w:r>
      <w:r w:rsidR="00EE4FC3">
        <w:t xml:space="preserve"> </w:t>
      </w:r>
      <w:r w:rsidRPr="00382917">
        <w:t>had</w:t>
      </w:r>
      <w:r w:rsidR="00EE4FC3">
        <w:t xml:space="preserve"> </w:t>
      </w:r>
      <w:r w:rsidRPr="00382917">
        <w:t>happened</w:t>
      </w:r>
      <w:r w:rsidR="00EE4FC3">
        <w:t xml:space="preserve"> </w:t>
      </w:r>
      <w:r w:rsidRPr="00382917">
        <w:t>during</w:t>
      </w:r>
      <w:r w:rsidR="00EE4FC3">
        <w:t xml:space="preserve"> </w:t>
      </w:r>
      <w:r w:rsidRPr="00382917">
        <w:t>the</w:t>
      </w:r>
      <w:r w:rsidR="00EE4FC3">
        <w:t xml:space="preserve"> </w:t>
      </w:r>
      <w:r w:rsidRPr="00382917">
        <w:t>first</w:t>
      </w:r>
      <w:r w:rsidR="00EE4FC3">
        <w:t xml:space="preserve"> </w:t>
      </w:r>
      <w:r w:rsidRPr="00382917">
        <w:t>interview</w:t>
      </w:r>
      <w:r w:rsidR="00EE4FC3">
        <w:t xml:space="preserve"> </w:t>
      </w:r>
      <w:r w:rsidRPr="00382917">
        <w:t>to</w:t>
      </w:r>
      <w:r w:rsidR="00EE4FC3">
        <w:t xml:space="preserve"> </w:t>
      </w:r>
      <w:r w:rsidRPr="00382917">
        <w:t>cause</w:t>
      </w:r>
      <w:r w:rsidR="00EE4FC3">
        <w:t xml:space="preserve"> </w:t>
      </w:r>
      <w:r w:rsidRPr="00382917">
        <w:t>his</w:t>
      </w:r>
      <w:r w:rsidR="00EE4FC3">
        <w:t xml:space="preserve"> </w:t>
      </w:r>
      <w:r w:rsidRPr="00382917">
        <w:t>own</w:t>
      </w:r>
      <w:r w:rsidR="00EE4FC3">
        <w:t xml:space="preserve"> </w:t>
      </w:r>
      <w:r w:rsidRPr="00382917">
        <w:t>deep</w:t>
      </w:r>
      <w:r w:rsidR="00EE4FC3">
        <w:t xml:space="preserve"> </w:t>
      </w:r>
      <w:r w:rsidRPr="00382917">
        <w:t>humiliation.</w:t>
      </w:r>
    </w:p>
    <w:p w:rsidR="00122F78" w:rsidRPr="00382917" w:rsidRDefault="00122F78" w:rsidP="00122F78">
      <w:pPr>
        <w:pStyle w:val="Text"/>
      </w:pPr>
      <w:r w:rsidRPr="00382917">
        <w:t>Vaḥíd</w:t>
      </w:r>
      <w:r w:rsidR="00EE4FC3">
        <w:t xml:space="preserve"> </w:t>
      </w:r>
      <w:r w:rsidRPr="00382917">
        <w:t>was</w:t>
      </w:r>
      <w:r w:rsidR="00EE4FC3">
        <w:t xml:space="preserve"> </w:t>
      </w:r>
      <w:r w:rsidRPr="00382917">
        <w:t>confident</w:t>
      </w:r>
      <w:r w:rsidR="00EE4FC3">
        <w:t xml:space="preserve"> </w:t>
      </w:r>
      <w:r w:rsidRPr="00382917">
        <w:t>that</w:t>
      </w:r>
      <w:r w:rsidR="00EE4FC3">
        <w:t xml:space="preserve"> </w:t>
      </w:r>
      <w:r w:rsidRPr="00382917">
        <w:t>his</w:t>
      </w:r>
      <w:r w:rsidR="00EE4FC3">
        <w:t xml:space="preserve"> </w:t>
      </w:r>
      <w:r w:rsidRPr="00382917">
        <w:t>inquiry</w:t>
      </w:r>
      <w:r w:rsidR="00EE4FC3">
        <w:t xml:space="preserve"> </w:t>
      </w:r>
      <w:r w:rsidRPr="00382917">
        <w:t>into</w:t>
      </w:r>
      <w:r w:rsidR="00EE4FC3">
        <w:t xml:space="preserve"> </w:t>
      </w:r>
      <w:r w:rsidRPr="00382917">
        <w:t>the</w:t>
      </w:r>
      <w:r w:rsidR="00EE4FC3">
        <w:t xml:space="preserve"> </w:t>
      </w:r>
      <w:r w:rsidRPr="00382917">
        <w:t>Faith</w:t>
      </w:r>
      <w:r w:rsidR="00EE4FC3">
        <w:t xml:space="preserve"> </w:t>
      </w:r>
      <w:r w:rsidRPr="00382917">
        <w:t>of</w:t>
      </w:r>
      <w:r w:rsidR="00EE4FC3">
        <w:t xml:space="preserve"> </w:t>
      </w:r>
      <w:r w:rsidRPr="00382917">
        <w:t>the</w:t>
      </w:r>
      <w:r w:rsidR="00EE4FC3">
        <w:t xml:space="preserve"> </w:t>
      </w:r>
      <w:r w:rsidRPr="00382917">
        <w:t>Báb</w:t>
      </w:r>
      <w:r w:rsidR="00EE4FC3">
        <w:t xml:space="preserve"> </w:t>
      </w:r>
      <w:r w:rsidRPr="00382917">
        <w:t>would</w:t>
      </w:r>
      <w:r w:rsidR="00EE4FC3">
        <w:t xml:space="preserve"> </w:t>
      </w:r>
      <w:r w:rsidRPr="00382917">
        <w:t>end</w:t>
      </w:r>
      <w:r w:rsidR="00EE4FC3">
        <w:t xml:space="preserve"> </w:t>
      </w:r>
      <w:r w:rsidRPr="00382917">
        <w:t>with</w:t>
      </w:r>
      <w:r w:rsidR="00EE4FC3">
        <w:t xml:space="preserve"> </w:t>
      </w:r>
      <w:r w:rsidRPr="00382917">
        <w:t>the</w:t>
      </w:r>
      <w:r w:rsidR="00EE4FC3">
        <w:t xml:space="preserve"> </w:t>
      </w:r>
      <w:r w:rsidRPr="00382917">
        <w:t>second</w:t>
      </w:r>
      <w:r w:rsidR="00EE4FC3">
        <w:t xml:space="preserve"> </w:t>
      </w:r>
      <w:r w:rsidRPr="00382917">
        <w:t>interview</w:t>
      </w:r>
      <w:r w:rsidR="00C03C91">
        <w:t>.</w:t>
      </w:r>
      <w:r w:rsidR="00EE4FC3">
        <w:t xml:space="preserve">  </w:t>
      </w:r>
      <w:r w:rsidRPr="00382917">
        <w:t>He</w:t>
      </w:r>
      <w:r w:rsidR="00EE4FC3">
        <w:t xml:space="preserve"> </w:t>
      </w:r>
      <w:r w:rsidRPr="00382917">
        <w:t>had</w:t>
      </w:r>
      <w:r w:rsidR="00EE4FC3">
        <w:t xml:space="preserve"> </w:t>
      </w:r>
      <w:r w:rsidRPr="00382917">
        <w:t>his</w:t>
      </w:r>
      <w:r w:rsidR="00EE4FC3">
        <w:t xml:space="preserve"> </w:t>
      </w:r>
      <w:r w:rsidRPr="00382917">
        <w:t>questions</w:t>
      </w:r>
      <w:r w:rsidR="00EE4FC3">
        <w:t xml:space="preserve"> </w:t>
      </w:r>
      <w:r w:rsidRPr="00382917">
        <w:t>clearly</w:t>
      </w:r>
      <w:r w:rsidR="00EE4FC3">
        <w:t xml:space="preserve"> </w:t>
      </w:r>
      <w:r w:rsidRPr="00382917">
        <w:t>in</w:t>
      </w:r>
      <w:r w:rsidR="00EE4FC3">
        <w:t xml:space="preserve"> </w:t>
      </w:r>
      <w:r w:rsidRPr="00382917">
        <w:t>mind</w:t>
      </w:r>
      <w:r w:rsidR="00C03C91">
        <w:t>.</w:t>
      </w:r>
      <w:r w:rsidR="00EE4FC3">
        <w:t xml:space="preserve">  </w:t>
      </w:r>
      <w:r w:rsidRPr="00382917">
        <w:t>They</w:t>
      </w:r>
      <w:r w:rsidR="00EE4FC3">
        <w:t xml:space="preserve"> </w:t>
      </w:r>
      <w:r w:rsidRPr="00382917">
        <w:t>were</w:t>
      </w:r>
      <w:r w:rsidR="00EE4FC3">
        <w:t xml:space="preserve"> </w:t>
      </w:r>
      <w:r w:rsidRPr="00382917">
        <w:t>direct</w:t>
      </w:r>
      <w:r w:rsidR="00EE4FC3">
        <w:t xml:space="preserve"> </w:t>
      </w:r>
      <w:r w:rsidRPr="00382917">
        <w:t>and</w:t>
      </w:r>
      <w:r w:rsidR="00EE4FC3">
        <w:t xml:space="preserve"> </w:t>
      </w:r>
      <w:r w:rsidRPr="00382917">
        <w:t>to</w:t>
      </w:r>
      <w:r w:rsidR="00EE4FC3">
        <w:t xml:space="preserve"> </w:t>
      </w:r>
      <w:r w:rsidRPr="00382917">
        <w:t>the</w:t>
      </w:r>
      <w:r w:rsidR="00EE4FC3">
        <w:t xml:space="preserve"> </w:t>
      </w:r>
      <w:r w:rsidRPr="00382917">
        <w:t>point</w:t>
      </w:r>
      <w:r w:rsidR="00EE4FC3">
        <w:t xml:space="preserve"> </w:t>
      </w:r>
      <w:r w:rsidRPr="00382917">
        <w:t>this</w:t>
      </w:r>
      <w:r w:rsidR="00EE4FC3">
        <w:t xml:space="preserve"> </w:t>
      </w:r>
      <w:r w:rsidRPr="00382917">
        <w:t>time</w:t>
      </w:r>
      <w:r w:rsidR="00C03C91">
        <w:t>.</w:t>
      </w:r>
      <w:r w:rsidR="00EE4FC3">
        <w:t xml:space="preserve">  </w:t>
      </w:r>
      <w:r w:rsidRPr="00382917">
        <w:t>He</w:t>
      </w:r>
      <w:r w:rsidR="00EE4FC3">
        <w:t xml:space="preserve"> </w:t>
      </w:r>
      <w:r w:rsidRPr="00382917">
        <w:t>would</w:t>
      </w:r>
      <w:r w:rsidR="00EE4FC3">
        <w:t xml:space="preserve"> </w:t>
      </w:r>
      <w:r w:rsidRPr="00382917">
        <w:t>be</w:t>
      </w:r>
      <w:r w:rsidR="00EE4FC3">
        <w:t xml:space="preserve"> </w:t>
      </w:r>
      <w:r w:rsidRPr="00382917">
        <w:t>polite,</w:t>
      </w:r>
      <w:r w:rsidR="00EE4FC3">
        <w:t xml:space="preserve"> </w:t>
      </w:r>
      <w:r w:rsidRPr="00382917">
        <w:t>as</w:t>
      </w:r>
      <w:r w:rsidR="00EE4FC3">
        <w:t xml:space="preserve"> </w:t>
      </w:r>
      <w:r w:rsidR="009C713D" w:rsidRPr="00382917">
        <w:t>‘</w:t>
      </w:r>
      <w:r w:rsidRPr="00382917">
        <w:t>Aẓím</w:t>
      </w:r>
      <w:r w:rsidR="00EE4FC3">
        <w:t xml:space="preserve"> </w:t>
      </w:r>
      <w:r w:rsidRPr="00382917">
        <w:t>suggested,</w:t>
      </w:r>
      <w:r w:rsidR="00EE4FC3">
        <w:t xml:space="preserve"> </w:t>
      </w:r>
      <w:r w:rsidRPr="00382917">
        <w:t>but</w:t>
      </w:r>
      <w:r w:rsidR="00EE4FC3">
        <w:t xml:space="preserve"> </w:t>
      </w:r>
      <w:r w:rsidRPr="00382917">
        <w:t>firm.</w:t>
      </w:r>
    </w:p>
    <w:p w:rsidR="00122F78" w:rsidRPr="00382917" w:rsidRDefault="00122F78" w:rsidP="00122F78">
      <w:pPr>
        <w:pStyle w:val="Text"/>
      </w:pPr>
      <w:r w:rsidRPr="00382917">
        <w:t>However,</w:t>
      </w:r>
      <w:r w:rsidR="00EE4FC3">
        <w:t xml:space="preserve"> </w:t>
      </w:r>
      <w:r w:rsidRPr="00382917">
        <w:t>when</w:t>
      </w:r>
      <w:r w:rsidR="00EE4FC3">
        <w:t xml:space="preserve"> </w:t>
      </w:r>
      <w:r w:rsidRPr="00382917">
        <w:t>he</w:t>
      </w:r>
      <w:r w:rsidR="00EE4FC3">
        <w:t xml:space="preserve"> </w:t>
      </w:r>
      <w:r w:rsidRPr="00382917">
        <w:t>entered</w:t>
      </w:r>
      <w:r w:rsidR="00EE4FC3">
        <w:t xml:space="preserve"> </w:t>
      </w:r>
      <w:r w:rsidRPr="00382917">
        <w:t>the</w:t>
      </w:r>
      <w:r w:rsidR="00EE4FC3">
        <w:t xml:space="preserve"> </w:t>
      </w:r>
      <w:r w:rsidRPr="00382917">
        <w:t>Báb</w:t>
      </w:r>
      <w:r w:rsidR="009C713D" w:rsidRPr="00382917">
        <w:t>’</w:t>
      </w:r>
      <w:r w:rsidRPr="00382917">
        <w:t>s</w:t>
      </w:r>
      <w:r w:rsidR="00EE4FC3">
        <w:t xml:space="preserve"> </w:t>
      </w:r>
      <w:r w:rsidRPr="00382917">
        <w:t>presence</w:t>
      </w:r>
      <w:r w:rsidR="00EE4FC3">
        <w:t xml:space="preserve"> </w:t>
      </w:r>
      <w:r w:rsidRPr="00382917">
        <w:t>and</w:t>
      </w:r>
      <w:r w:rsidR="00EE4FC3">
        <w:t xml:space="preserve"> </w:t>
      </w:r>
      <w:r w:rsidRPr="00382917">
        <w:t>began</w:t>
      </w:r>
      <w:r w:rsidR="00EE4FC3">
        <w:t xml:space="preserve"> </w:t>
      </w:r>
      <w:r w:rsidRPr="00382917">
        <w:t>to</w:t>
      </w:r>
      <w:r w:rsidR="00EE4FC3">
        <w:t xml:space="preserve"> </w:t>
      </w:r>
      <w:r w:rsidRPr="00382917">
        <w:t>speak</w:t>
      </w:r>
      <w:r w:rsidR="00EE4FC3">
        <w:t xml:space="preserve"> </w:t>
      </w:r>
      <w:r w:rsidRPr="00382917">
        <w:t>with</w:t>
      </w:r>
      <w:r w:rsidR="00EE4FC3">
        <w:t xml:space="preserve"> </w:t>
      </w:r>
      <w:r w:rsidRPr="00382917">
        <w:t>Him,</w:t>
      </w:r>
      <w:r w:rsidR="00EE4FC3">
        <w:t xml:space="preserve"> </w:t>
      </w:r>
      <w:r w:rsidRPr="00382917">
        <w:t>Vaḥíd</w:t>
      </w:r>
      <w:r w:rsidR="00EE4FC3">
        <w:t xml:space="preserve"> </w:t>
      </w:r>
      <w:r w:rsidRPr="00382917">
        <w:t>found</w:t>
      </w:r>
      <w:r w:rsidR="00EE4FC3">
        <w:t xml:space="preserve"> </w:t>
      </w:r>
      <w:r w:rsidRPr="00382917">
        <w:t>himself</w:t>
      </w:r>
      <w:r w:rsidR="00EE4FC3">
        <w:t xml:space="preserve"> </w:t>
      </w:r>
      <w:r w:rsidRPr="00382917">
        <w:t>discussing</w:t>
      </w:r>
      <w:r w:rsidR="00EE4FC3">
        <w:t xml:space="preserve"> </w:t>
      </w:r>
      <w:r w:rsidRPr="00382917">
        <w:t>things</w:t>
      </w:r>
      <w:r w:rsidR="00EE4FC3">
        <w:t xml:space="preserve"> </w:t>
      </w:r>
      <w:r w:rsidRPr="00382917">
        <w:t>which</w:t>
      </w:r>
      <w:r w:rsidR="00EE4FC3">
        <w:t xml:space="preserve"> </w:t>
      </w:r>
      <w:r w:rsidRPr="00382917">
        <w:t>had</w:t>
      </w:r>
      <w:r w:rsidR="00EE4FC3">
        <w:t xml:space="preserve"> </w:t>
      </w:r>
      <w:r w:rsidRPr="00382917">
        <w:t>nothing</w:t>
      </w:r>
      <w:r w:rsidR="00EE4FC3">
        <w:t xml:space="preserve"> </w:t>
      </w:r>
      <w:r w:rsidRPr="00382917">
        <w:t>whatsoever</w:t>
      </w:r>
      <w:r w:rsidR="00EE4FC3">
        <w:t xml:space="preserve"> </w:t>
      </w:r>
      <w:r w:rsidRPr="00382917">
        <w:t>to</w:t>
      </w:r>
      <w:r w:rsidR="00EE4FC3">
        <w:t xml:space="preserve"> </w:t>
      </w:r>
      <w:r w:rsidRPr="00382917">
        <w:t>do</w:t>
      </w:r>
      <w:r w:rsidR="00EE4FC3">
        <w:t xml:space="preserve"> </w:t>
      </w:r>
      <w:r w:rsidRPr="00382917">
        <w:t>with</w:t>
      </w:r>
      <w:r w:rsidR="00EE4FC3">
        <w:t xml:space="preserve"> </w:t>
      </w:r>
      <w:r w:rsidRPr="00382917">
        <w:t>his</w:t>
      </w:r>
      <w:r w:rsidR="00EE4FC3">
        <w:t xml:space="preserve"> </w:t>
      </w:r>
      <w:r w:rsidRPr="00382917">
        <w:t>inquiry.</w:t>
      </w:r>
    </w:p>
    <w:p w:rsidR="00122F78" w:rsidRPr="00382917" w:rsidRDefault="00122F78" w:rsidP="00122F78">
      <w:pPr>
        <w:pStyle w:val="Text"/>
      </w:pPr>
      <w:r w:rsidRPr="00382917">
        <w:t>All</w:t>
      </w:r>
      <w:r w:rsidR="00EE4FC3">
        <w:t xml:space="preserve"> </w:t>
      </w:r>
      <w:r w:rsidRPr="00382917">
        <w:t>the</w:t>
      </w:r>
      <w:r w:rsidR="00EE4FC3">
        <w:t xml:space="preserve"> </w:t>
      </w:r>
      <w:r w:rsidRPr="00382917">
        <w:t>questions</w:t>
      </w:r>
      <w:r w:rsidR="00EE4FC3">
        <w:t xml:space="preserve"> </w:t>
      </w:r>
      <w:r w:rsidRPr="00382917">
        <w:t>which</w:t>
      </w:r>
      <w:r w:rsidR="00EE4FC3">
        <w:t xml:space="preserve"> </w:t>
      </w:r>
      <w:r w:rsidRPr="00382917">
        <w:t>he</w:t>
      </w:r>
      <w:r w:rsidR="00EE4FC3">
        <w:t xml:space="preserve"> </w:t>
      </w:r>
      <w:r w:rsidRPr="00382917">
        <w:t>had</w:t>
      </w:r>
      <w:r w:rsidR="00EE4FC3">
        <w:t xml:space="preserve"> </w:t>
      </w:r>
      <w:r w:rsidRPr="00382917">
        <w:t>intended</w:t>
      </w:r>
      <w:r w:rsidR="00EE4FC3">
        <w:t xml:space="preserve"> </w:t>
      </w:r>
      <w:r w:rsidRPr="00382917">
        <w:t>to</w:t>
      </w:r>
      <w:r w:rsidR="00EE4FC3">
        <w:t xml:space="preserve"> </w:t>
      </w:r>
      <w:r w:rsidRPr="00382917">
        <w:t>submit</w:t>
      </w:r>
      <w:r w:rsidR="00EE4FC3">
        <w:t xml:space="preserve"> </w:t>
      </w:r>
      <w:r w:rsidRPr="00382917">
        <w:t>to</w:t>
      </w:r>
      <w:r w:rsidR="00EE4FC3">
        <w:t xml:space="preserve"> </w:t>
      </w:r>
      <w:r w:rsidRPr="00382917">
        <w:t>the</w:t>
      </w:r>
      <w:r w:rsidR="00EE4FC3">
        <w:t xml:space="preserve"> </w:t>
      </w:r>
      <w:r w:rsidRPr="00382917">
        <w:t>Báb</w:t>
      </w:r>
      <w:r w:rsidR="00EE4FC3">
        <w:t xml:space="preserve"> </w:t>
      </w:r>
      <w:r w:rsidRPr="00382917">
        <w:t>had</w:t>
      </w:r>
      <w:r w:rsidR="00EE4FC3">
        <w:t xml:space="preserve"> </w:t>
      </w:r>
      <w:r w:rsidRPr="00382917">
        <w:t>disappeared</w:t>
      </w:r>
      <w:r w:rsidR="00EE4FC3">
        <w:t xml:space="preserve"> </w:t>
      </w:r>
      <w:r w:rsidRPr="00382917">
        <w:t>from</w:t>
      </w:r>
      <w:r w:rsidR="00EE4FC3">
        <w:t xml:space="preserve"> </w:t>
      </w:r>
      <w:r w:rsidRPr="00382917">
        <w:t>his</w:t>
      </w:r>
      <w:r w:rsidR="00EE4FC3">
        <w:t xml:space="preserve"> </w:t>
      </w:r>
      <w:r w:rsidRPr="00382917">
        <w:t>memory</w:t>
      </w:r>
      <w:r w:rsidR="00C03C91">
        <w:t>.</w:t>
      </w:r>
      <w:r w:rsidR="00EE4FC3">
        <w:t xml:space="preserve">  </w:t>
      </w:r>
      <w:r w:rsidRPr="00382917">
        <w:t>Then</w:t>
      </w:r>
      <w:r w:rsidR="00EE4FC3">
        <w:t xml:space="preserve"> </w:t>
      </w:r>
      <w:r w:rsidRPr="00382917">
        <w:t>later,</w:t>
      </w:r>
      <w:r w:rsidR="00EE4FC3">
        <w:t xml:space="preserve"> </w:t>
      </w:r>
      <w:r w:rsidRPr="00382917">
        <w:t>to</w:t>
      </w:r>
      <w:r w:rsidR="00EE4FC3">
        <w:t xml:space="preserve"> </w:t>
      </w:r>
      <w:r w:rsidRPr="00382917">
        <w:t>his</w:t>
      </w:r>
      <w:r w:rsidR="00EE4FC3">
        <w:t xml:space="preserve"> </w:t>
      </w:r>
      <w:r w:rsidRPr="00382917">
        <w:t>greater</w:t>
      </w:r>
      <w:r w:rsidR="00EE4FC3">
        <w:t xml:space="preserve"> </w:t>
      </w:r>
      <w:r w:rsidRPr="00382917">
        <w:t>surprise,</w:t>
      </w:r>
      <w:r w:rsidR="00EE4FC3">
        <w:t xml:space="preserve"> </w:t>
      </w:r>
      <w:r w:rsidRPr="00382917">
        <w:t>he</w:t>
      </w:r>
      <w:r w:rsidR="00EE4FC3">
        <w:t xml:space="preserve"> </w:t>
      </w:r>
      <w:r w:rsidRPr="00382917">
        <w:t>found</w:t>
      </w:r>
      <w:r w:rsidR="00EE4FC3">
        <w:t xml:space="preserve"> </w:t>
      </w:r>
      <w:r w:rsidRPr="00382917">
        <w:t>that</w:t>
      </w:r>
      <w:r w:rsidR="00EE4FC3">
        <w:t xml:space="preserve"> </w:t>
      </w:r>
      <w:r w:rsidRPr="00382917">
        <w:t>the</w:t>
      </w:r>
      <w:r w:rsidR="00EE4FC3">
        <w:t xml:space="preserve"> </w:t>
      </w:r>
      <w:r w:rsidRPr="00382917">
        <w:t>Báb</w:t>
      </w:r>
      <w:r w:rsidR="00EE4FC3">
        <w:t xml:space="preserve"> </w:t>
      </w:r>
      <w:r w:rsidRPr="00382917">
        <w:t>was</w:t>
      </w:r>
      <w:r w:rsidR="00EE4FC3">
        <w:t xml:space="preserve"> </w:t>
      </w:r>
      <w:r w:rsidRPr="00382917">
        <w:t>answering</w:t>
      </w:r>
      <w:r w:rsidR="00EE4FC3">
        <w:t xml:space="preserve"> </w:t>
      </w:r>
      <w:r w:rsidRPr="00382917">
        <w:t>those</w:t>
      </w:r>
      <w:r w:rsidR="00EE4FC3">
        <w:t xml:space="preserve"> </w:t>
      </w:r>
      <w:r w:rsidRPr="00382917">
        <w:t>forgotten</w:t>
      </w:r>
      <w:r w:rsidR="00EE4FC3">
        <w:t xml:space="preserve"> </w:t>
      </w:r>
      <w:r w:rsidRPr="00382917">
        <w:t>questions</w:t>
      </w:r>
      <w:r w:rsidR="00C03C91">
        <w:t>.</w:t>
      </w:r>
      <w:r w:rsidR="00EE4FC3">
        <w:t xml:space="preserve">  </w:t>
      </w:r>
      <w:r w:rsidRPr="00382917">
        <w:t>He</w:t>
      </w:r>
      <w:r w:rsidR="00EE4FC3">
        <w:t xml:space="preserve"> </w:t>
      </w:r>
      <w:r w:rsidRPr="00382917">
        <w:t>spoke</w:t>
      </w:r>
      <w:r w:rsidR="00EE4FC3">
        <w:t xml:space="preserve"> </w:t>
      </w:r>
      <w:r w:rsidRPr="00382917">
        <w:t>with</w:t>
      </w:r>
      <w:r w:rsidR="00EE4FC3">
        <w:t xml:space="preserve"> </w:t>
      </w:r>
      <w:r w:rsidRPr="00382917">
        <w:t>that</w:t>
      </w:r>
      <w:r w:rsidR="00EE4FC3">
        <w:t xml:space="preserve"> </w:t>
      </w:r>
      <w:r w:rsidRPr="00382917">
        <w:t>same</w:t>
      </w:r>
      <w:r w:rsidR="00EE4FC3">
        <w:t xml:space="preserve"> </w:t>
      </w:r>
      <w:r w:rsidRPr="00382917">
        <w:t>brevity</w:t>
      </w:r>
      <w:r w:rsidR="00EE4FC3">
        <w:t xml:space="preserve"> </w:t>
      </w:r>
      <w:r w:rsidRPr="00382917">
        <w:t>and</w:t>
      </w:r>
      <w:r w:rsidR="00EE4FC3">
        <w:t xml:space="preserve"> </w:t>
      </w:r>
      <w:r w:rsidRPr="00382917">
        <w:t>lucidity</w:t>
      </w:r>
      <w:r w:rsidR="00EE4FC3">
        <w:t xml:space="preserve"> </w:t>
      </w:r>
      <w:r w:rsidRPr="00382917">
        <w:t>which</w:t>
      </w:r>
      <w:r w:rsidR="00EE4FC3">
        <w:t xml:space="preserve"> </w:t>
      </w:r>
      <w:r w:rsidRPr="00382917">
        <w:t>had</w:t>
      </w:r>
      <w:r w:rsidR="00EE4FC3">
        <w:t xml:space="preserve"> </w:t>
      </w:r>
      <w:r w:rsidRPr="00382917">
        <w:t>so</w:t>
      </w:r>
      <w:r w:rsidR="00EE4FC3">
        <w:t xml:space="preserve"> </w:t>
      </w:r>
      <w:r w:rsidRPr="00382917">
        <w:t>excited</w:t>
      </w:r>
      <w:r w:rsidR="00EE4FC3">
        <w:t xml:space="preserve"> </w:t>
      </w:r>
      <w:r w:rsidRPr="00382917">
        <w:t>his</w:t>
      </w:r>
      <w:r w:rsidR="00EE4FC3">
        <w:t xml:space="preserve"> </w:t>
      </w:r>
      <w:r w:rsidRPr="00382917">
        <w:t>admiration</w:t>
      </w:r>
      <w:r w:rsidR="00EE4FC3">
        <w:t xml:space="preserve"> </w:t>
      </w:r>
      <w:r w:rsidRPr="00382917">
        <w:t>before.</w:t>
      </w:r>
    </w:p>
    <w:p w:rsidR="00122F78" w:rsidRPr="00382917" w:rsidRDefault="009C713D" w:rsidP="00122F78">
      <w:pPr>
        <w:pStyle w:val="Text"/>
      </w:pPr>
      <w:r w:rsidRPr="00382917">
        <w:t>“</w:t>
      </w:r>
      <w:r w:rsidR="00122F78" w:rsidRPr="00382917">
        <w:t>I</w:t>
      </w:r>
      <w:r w:rsidR="00EE4FC3">
        <w:t xml:space="preserve"> </w:t>
      </w:r>
      <w:r w:rsidR="00122F78" w:rsidRPr="00382917">
        <w:t>seemed</w:t>
      </w:r>
      <w:r w:rsidR="00EE4FC3">
        <w:t xml:space="preserve"> </w:t>
      </w:r>
      <w:r w:rsidR="00122F78" w:rsidRPr="00382917">
        <w:t>to</w:t>
      </w:r>
      <w:r w:rsidR="00EE4FC3">
        <w:t xml:space="preserve"> </w:t>
      </w:r>
      <w:r w:rsidR="00122F78" w:rsidRPr="00382917">
        <w:t>have</w:t>
      </w:r>
      <w:r w:rsidR="00EE4FC3">
        <w:t xml:space="preserve"> </w:t>
      </w:r>
      <w:r w:rsidR="00122F78" w:rsidRPr="00382917">
        <w:t>been</w:t>
      </w:r>
      <w:r w:rsidR="00EE4FC3">
        <w:t xml:space="preserve"> </w:t>
      </w:r>
      <w:r w:rsidR="00122F78" w:rsidRPr="00382917">
        <w:t>in</w:t>
      </w:r>
      <w:r w:rsidR="00EE4FC3">
        <w:t xml:space="preserve"> </w:t>
      </w:r>
      <w:r w:rsidR="00122F78" w:rsidRPr="00382917">
        <w:t>a</w:t>
      </w:r>
      <w:r w:rsidR="00EE4FC3">
        <w:t xml:space="preserve"> </w:t>
      </w:r>
      <w:r w:rsidR="00122F78" w:rsidRPr="00382917">
        <w:t>daze</w:t>
      </w:r>
      <w:r w:rsidR="00EE4FC3">
        <w:t xml:space="preserve"> </w:t>
      </w:r>
      <w:r w:rsidR="00122F78" w:rsidRPr="00382917">
        <w:t>during</w:t>
      </w:r>
      <w:r w:rsidR="00EE4FC3">
        <w:t xml:space="preserve"> </w:t>
      </w:r>
      <w:r w:rsidR="00122F78" w:rsidRPr="00382917">
        <w:t>the</w:t>
      </w:r>
      <w:r w:rsidR="00EE4FC3">
        <w:t xml:space="preserve"> </w:t>
      </w:r>
      <w:r w:rsidR="00122F78" w:rsidRPr="00382917">
        <w:t>first</w:t>
      </w:r>
      <w:r w:rsidR="00EE4FC3">
        <w:t xml:space="preserve"> </w:t>
      </w:r>
      <w:r w:rsidR="00122F78" w:rsidRPr="00382917">
        <w:t>part</w:t>
      </w:r>
      <w:r w:rsidR="00EE4FC3">
        <w:t xml:space="preserve"> </w:t>
      </w:r>
      <w:r w:rsidR="00122F78" w:rsidRPr="00382917">
        <w:t>of</w:t>
      </w:r>
      <w:r w:rsidR="00EE4FC3">
        <w:t xml:space="preserve"> </w:t>
      </w:r>
      <w:r w:rsidR="00122F78" w:rsidRPr="00382917">
        <w:t>that</w:t>
      </w:r>
      <w:r w:rsidR="00EE4FC3">
        <w:t xml:space="preserve"> </w:t>
      </w:r>
      <w:r w:rsidR="00122F78" w:rsidRPr="00382917">
        <w:t>interview,</w:t>
      </w:r>
      <w:r w:rsidRPr="00382917">
        <w:t>”</w:t>
      </w:r>
      <w:r w:rsidR="00EE4FC3">
        <w:t xml:space="preserve"> </w:t>
      </w:r>
      <w:r w:rsidR="00122F78" w:rsidRPr="00382917">
        <w:t>he</w:t>
      </w:r>
      <w:r w:rsidR="00EE4FC3">
        <w:t xml:space="preserve"> </w:t>
      </w:r>
      <w:r w:rsidR="00122F78" w:rsidRPr="00382917">
        <w:t>later</w:t>
      </w:r>
      <w:r w:rsidR="00EE4FC3">
        <w:t xml:space="preserve"> </w:t>
      </w:r>
      <w:r w:rsidR="00122F78" w:rsidRPr="00382917">
        <w:t>observed</w:t>
      </w:r>
      <w:r w:rsidR="00C03C91">
        <w:t>.</w:t>
      </w:r>
      <w:r w:rsidR="00EE4FC3">
        <w:t xml:space="preserve">  </w:t>
      </w:r>
      <w:r w:rsidRPr="00382917">
        <w:t>“</w:t>
      </w:r>
      <w:r w:rsidR="00122F78" w:rsidRPr="00382917">
        <w:t>Then,</w:t>
      </w:r>
      <w:r w:rsidR="00EE4FC3">
        <w:t xml:space="preserve"> </w:t>
      </w:r>
      <w:r w:rsidR="00122F78" w:rsidRPr="00382917">
        <w:t>when</w:t>
      </w:r>
      <w:r w:rsidR="00EE4FC3">
        <w:t xml:space="preserve"> </w:t>
      </w:r>
      <w:r w:rsidR="00122F78" w:rsidRPr="00382917">
        <w:t>I</w:t>
      </w:r>
      <w:r w:rsidR="00EE4FC3">
        <w:t xml:space="preserve"> </w:t>
      </w:r>
      <w:r w:rsidR="00122F78" w:rsidRPr="00382917">
        <w:t>realized</w:t>
      </w:r>
      <w:r w:rsidR="00EE4FC3">
        <w:t xml:space="preserve"> </w:t>
      </w:r>
      <w:r w:rsidR="00122F78" w:rsidRPr="00382917">
        <w:t>what</w:t>
      </w:r>
      <w:r w:rsidR="00EE4FC3">
        <w:t xml:space="preserve"> </w:t>
      </w:r>
      <w:r w:rsidR="00122F78" w:rsidRPr="00382917">
        <w:t>the</w:t>
      </w:r>
      <w:r w:rsidR="00EE4FC3">
        <w:t xml:space="preserve"> </w:t>
      </w:r>
      <w:r w:rsidR="00122F78" w:rsidRPr="00382917">
        <w:t>Báb</w:t>
      </w:r>
      <w:r w:rsidR="00EE4FC3">
        <w:t xml:space="preserve"> </w:t>
      </w:r>
      <w:r w:rsidR="00122F78" w:rsidRPr="00382917">
        <w:t>was</w:t>
      </w:r>
      <w:r w:rsidR="00EE4FC3">
        <w:t xml:space="preserve"> </w:t>
      </w:r>
      <w:r w:rsidR="00122F78" w:rsidRPr="00382917">
        <w:t>saying,</w:t>
      </w:r>
      <w:r w:rsidR="00EE4FC3">
        <w:t xml:space="preserve"> </w:t>
      </w:r>
      <w:r w:rsidR="00122F78" w:rsidRPr="00382917">
        <w:t>that</w:t>
      </w:r>
      <w:r w:rsidR="00EE4FC3">
        <w:t xml:space="preserve"> </w:t>
      </w:r>
      <w:r w:rsidR="00122F78" w:rsidRPr="00382917">
        <w:t>he</w:t>
      </w:r>
      <w:r w:rsidR="00EE4FC3">
        <w:t xml:space="preserve"> </w:t>
      </w:r>
      <w:r w:rsidR="00122F78" w:rsidRPr="00382917">
        <w:t>was</w:t>
      </w:r>
      <w:r w:rsidR="00EE4FC3">
        <w:t xml:space="preserve"> </w:t>
      </w:r>
      <w:r w:rsidR="00122F78" w:rsidRPr="00382917">
        <w:t>answering</w:t>
      </w:r>
      <w:r w:rsidR="00EE4FC3">
        <w:t xml:space="preserve"> </w:t>
      </w:r>
      <w:r w:rsidR="00122F78" w:rsidRPr="00382917">
        <w:t>my</w:t>
      </w:r>
      <w:r w:rsidR="00EE4FC3">
        <w:t xml:space="preserve"> </w:t>
      </w:r>
      <w:r w:rsidR="00122F78" w:rsidRPr="00382917">
        <w:t>unasked</w:t>
      </w:r>
      <w:r w:rsidR="00EE4FC3">
        <w:t xml:space="preserve"> </w:t>
      </w:r>
      <w:r w:rsidR="00122F78" w:rsidRPr="00382917">
        <w:t>questions,</w:t>
      </w:r>
      <w:r w:rsidR="00EE4FC3">
        <w:t xml:space="preserve"> </w:t>
      </w:r>
      <w:r w:rsidR="00122F78" w:rsidRPr="00382917">
        <w:t>I</w:t>
      </w:r>
      <w:r w:rsidR="00EE4FC3">
        <w:t xml:space="preserve"> </w:t>
      </w:r>
      <w:r w:rsidR="00122F78" w:rsidRPr="00382917">
        <w:t>awoke</w:t>
      </w:r>
      <w:r w:rsidR="00EE4FC3">
        <w:t xml:space="preserve"> </w:t>
      </w:r>
      <w:r w:rsidR="00122F78" w:rsidRPr="00382917">
        <w:t>with</w:t>
      </w:r>
      <w:r w:rsidR="00EE4FC3">
        <w:t xml:space="preserve"> </w:t>
      </w:r>
      <w:r w:rsidR="00122F78" w:rsidRPr="00382917">
        <w:t>a</w:t>
      </w:r>
      <w:r w:rsidR="00EE4FC3">
        <w:t xml:space="preserve"> </w:t>
      </w:r>
      <w:r w:rsidR="00122F78" w:rsidRPr="00382917">
        <w:t>start</w:t>
      </w:r>
      <w:r w:rsidR="00C03C91">
        <w:t>.</w:t>
      </w:r>
      <w:r w:rsidR="00EE4FC3">
        <w:t xml:space="preserve">  </w:t>
      </w:r>
      <w:r w:rsidR="00122F78" w:rsidRPr="00382917">
        <w:t>I</w:t>
      </w:r>
      <w:r w:rsidR="00EE4FC3">
        <w:t xml:space="preserve"> </w:t>
      </w:r>
      <w:r w:rsidR="00122F78" w:rsidRPr="00382917">
        <w:t>was</w:t>
      </w:r>
      <w:r w:rsidR="00EE4FC3">
        <w:t xml:space="preserve"> </w:t>
      </w:r>
      <w:r w:rsidR="00122F78" w:rsidRPr="00382917">
        <w:t>thrilled</w:t>
      </w:r>
      <w:r w:rsidR="00C03C91">
        <w:t>.</w:t>
      </w:r>
      <w:r w:rsidR="00EE4FC3">
        <w:t xml:space="preserve">  </w:t>
      </w:r>
      <w:r w:rsidR="00122F78" w:rsidRPr="00382917">
        <w:t>Yet,</w:t>
      </w:r>
      <w:r w:rsidR="00EE4FC3">
        <w:t xml:space="preserve"> </w:t>
      </w:r>
      <w:r w:rsidR="00122F78" w:rsidRPr="00382917">
        <w:t>in</w:t>
      </w:r>
      <w:r w:rsidR="00EE4FC3">
        <w:t xml:space="preserve"> </w:t>
      </w:r>
      <w:r w:rsidR="00122F78" w:rsidRPr="00382917">
        <w:t>spite</w:t>
      </w:r>
      <w:r w:rsidR="00EE4FC3">
        <w:t xml:space="preserve"> </w:t>
      </w:r>
      <w:r w:rsidR="00122F78" w:rsidRPr="00382917">
        <w:t>of</w:t>
      </w:r>
      <w:r w:rsidR="00EE4FC3">
        <w:t xml:space="preserve"> </w:t>
      </w:r>
      <w:r w:rsidR="00122F78" w:rsidRPr="00382917">
        <w:t>my</w:t>
      </w:r>
      <w:r w:rsidR="00EE4FC3">
        <w:t xml:space="preserve"> </w:t>
      </w:r>
      <w:r w:rsidR="00122F78" w:rsidRPr="00382917">
        <w:t>attraction</w:t>
      </w:r>
      <w:r w:rsidR="00EE4FC3">
        <w:t xml:space="preserve"> </w:t>
      </w:r>
      <w:r w:rsidR="00122F78" w:rsidRPr="00382917">
        <w:t>to</w:t>
      </w:r>
      <w:r w:rsidR="00EE4FC3">
        <w:t xml:space="preserve"> </w:t>
      </w:r>
      <w:r w:rsidR="00122F78" w:rsidRPr="00382917">
        <w:t>him,</w:t>
      </w:r>
      <w:r w:rsidR="00EE4FC3">
        <w:t xml:space="preserve"> </w:t>
      </w:r>
      <w:r w:rsidR="00122F78" w:rsidRPr="00382917">
        <w:t>a</w:t>
      </w:r>
      <w:r w:rsidR="00EE4FC3">
        <w:t xml:space="preserve"> </w:t>
      </w:r>
      <w:r w:rsidR="00122F78" w:rsidRPr="00382917">
        <w:t>voice</w:t>
      </w:r>
      <w:r w:rsidR="00EE4FC3">
        <w:t xml:space="preserve"> </w:t>
      </w:r>
      <w:r w:rsidR="00122F78" w:rsidRPr="00382917">
        <w:t>kept</w:t>
      </w:r>
      <w:r w:rsidR="00EE4FC3">
        <w:t xml:space="preserve"> </w:t>
      </w:r>
      <w:r w:rsidR="00122F78" w:rsidRPr="00382917">
        <w:t>whispering</w:t>
      </w:r>
      <w:r w:rsidR="00EE4FC3">
        <w:t xml:space="preserve"> </w:t>
      </w:r>
      <w:r w:rsidR="00122F78" w:rsidRPr="00382917">
        <w:t>to</w:t>
      </w:r>
      <w:r w:rsidR="00EE4FC3">
        <w:t xml:space="preserve"> </w:t>
      </w:r>
      <w:r w:rsidR="00122F78" w:rsidRPr="00382917">
        <w:t>me</w:t>
      </w:r>
      <w:r w:rsidR="00C03C91">
        <w:t>:</w:t>
      </w:r>
      <w:r w:rsidR="00EE4FC3">
        <w:t xml:space="preserve">  </w:t>
      </w:r>
      <w:r w:rsidRPr="00382917">
        <w:t>‘</w:t>
      </w:r>
      <w:r w:rsidR="00122F78" w:rsidRPr="00382917">
        <w:t>Might</w:t>
      </w:r>
      <w:r w:rsidR="00EE4FC3">
        <w:t xml:space="preserve"> </w:t>
      </w:r>
      <w:r w:rsidR="00122F78" w:rsidRPr="00382917">
        <w:t>not</w:t>
      </w:r>
      <w:r w:rsidR="00EE4FC3">
        <w:t xml:space="preserve"> </w:t>
      </w:r>
      <w:r w:rsidR="00122F78" w:rsidRPr="00382917">
        <w:t>this</w:t>
      </w:r>
      <w:r w:rsidR="00EE4FC3">
        <w:t xml:space="preserve"> </w:t>
      </w:r>
      <w:r w:rsidR="00122F78" w:rsidRPr="00382917">
        <w:t>all</w:t>
      </w:r>
      <w:r w:rsidR="00EE4FC3">
        <w:t xml:space="preserve"> </w:t>
      </w:r>
      <w:r w:rsidR="00122F78" w:rsidRPr="00382917">
        <w:t>be</w:t>
      </w:r>
      <w:r w:rsidR="00EE4FC3">
        <w:t xml:space="preserve"> </w:t>
      </w:r>
      <w:r w:rsidR="00122F78" w:rsidRPr="00382917">
        <w:t>a</w:t>
      </w:r>
      <w:r w:rsidR="00EE4FC3">
        <w:t xml:space="preserve"> </w:t>
      </w:r>
      <w:r w:rsidR="00122F78" w:rsidRPr="00382917">
        <w:t>mere</w:t>
      </w:r>
      <w:r w:rsidR="00EE4FC3">
        <w:t xml:space="preserve"> </w:t>
      </w:r>
      <w:r w:rsidR="00122F78" w:rsidRPr="00382917">
        <w:t>accidental</w:t>
      </w:r>
      <w:r w:rsidR="00EE4FC3">
        <w:t xml:space="preserve"> </w:t>
      </w:r>
      <w:r w:rsidR="00122F78" w:rsidRPr="00382917">
        <w:t>coincidence?</w:t>
      </w:r>
      <w:r w:rsidRPr="00382917">
        <w:t>’</w:t>
      </w:r>
      <w:r w:rsidR="00EE4FC3">
        <w:t xml:space="preserve">  </w:t>
      </w:r>
      <w:r w:rsidR="00122F78" w:rsidRPr="00382917">
        <w:t>I</w:t>
      </w:r>
      <w:r w:rsidR="00EE4FC3">
        <w:t xml:space="preserve"> </w:t>
      </w:r>
      <w:r w:rsidR="00122F78" w:rsidRPr="00382917">
        <w:t>became</w:t>
      </w:r>
      <w:r w:rsidR="00EE4FC3">
        <w:t xml:space="preserve"> </w:t>
      </w:r>
      <w:r w:rsidR="00122F78" w:rsidRPr="00382917">
        <w:t>so</w:t>
      </w:r>
      <w:r w:rsidR="00EE4FC3">
        <w:t xml:space="preserve"> </w:t>
      </w:r>
      <w:r w:rsidR="00122F78" w:rsidRPr="00382917">
        <w:t>agitated</w:t>
      </w:r>
      <w:r w:rsidR="00EE4FC3">
        <w:t xml:space="preserve"> </w:t>
      </w:r>
      <w:r w:rsidR="00122F78" w:rsidRPr="00382917">
        <w:t>that</w:t>
      </w:r>
      <w:r w:rsidR="00EE4FC3">
        <w:t xml:space="preserve"> </w:t>
      </w:r>
      <w:r w:rsidR="00122F78" w:rsidRPr="00382917">
        <w:t>I</w:t>
      </w:r>
      <w:r w:rsidR="00EE4FC3">
        <w:t xml:space="preserve"> </w:t>
      </w:r>
      <w:r w:rsidR="00122F78" w:rsidRPr="00382917">
        <w:t>could</w:t>
      </w:r>
      <w:r w:rsidR="00EE4FC3">
        <w:t xml:space="preserve"> </w:t>
      </w:r>
      <w:r w:rsidR="00122F78" w:rsidRPr="00382917">
        <w:t>not</w:t>
      </w:r>
      <w:r w:rsidR="00EE4FC3">
        <w:t xml:space="preserve"> </w:t>
      </w:r>
      <w:r w:rsidR="00122F78" w:rsidRPr="00382917">
        <w:t>collect</w:t>
      </w:r>
      <w:r w:rsidR="00EE4FC3">
        <w:t xml:space="preserve"> </w:t>
      </w:r>
      <w:r w:rsidR="00122F78" w:rsidRPr="00382917">
        <w:t>my</w:t>
      </w:r>
      <w:r w:rsidR="00EE4FC3">
        <w:t xml:space="preserve"> </w:t>
      </w:r>
      <w:r w:rsidR="00122F78" w:rsidRPr="00382917">
        <w:t>thoughts</w:t>
      </w:r>
      <w:r w:rsidR="00C03C91">
        <w:t>.</w:t>
      </w:r>
      <w:r w:rsidR="00EE4FC3">
        <w:t xml:space="preserve">  </w:t>
      </w:r>
      <w:r w:rsidR="00122F78" w:rsidRPr="00382917">
        <w:t>I</w:t>
      </w:r>
      <w:r w:rsidR="00EE4FC3">
        <w:t xml:space="preserve"> </w:t>
      </w:r>
      <w:r w:rsidR="00122F78" w:rsidRPr="00382917">
        <w:t>refused</w:t>
      </w:r>
      <w:r w:rsidR="00EE4FC3">
        <w:t xml:space="preserve"> </w:t>
      </w:r>
      <w:r w:rsidR="00122F78" w:rsidRPr="00382917">
        <w:t>to</w:t>
      </w:r>
      <w:r w:rsidR="00EE4FC3">
        <w:t xml:space="preserve"> </w:t>
      </w:r>
      <w:r w:rsidR="00122F78" w:rsidRPr="00382917">
        <w:t>remain</w:t>
      </w:r>
      <w:r w:rsidR="00C03C91">
        <w:t>.</w:t>
      </w:r>
      <w:r w:rsidR="00EE4FC3">
        <w:t xml:space="preserve">  </w:t>
      </w:r>
      <w:r w:rsidR="00122F78" w:rsidRPr="00382917">
        <w:t>A</w:t>
      </w:r>
      <w:r w:rsidR="00EE4FC3">
        <w:t xml:space="preserve"> </w:t>
      </w:r>
      <w:r w:rsidR="00122F78" w:rsidRPr="00382917">
        <w:t>second</w:t>
      </w:r>
      <w:r w:rsidR="00EE4FC3">
        <w:t xml:space="preserve"> </w:t>
      </w:r>
      <w:r w:rsidR="00122F78" w:rsidRPr="00382917">
        <w:t>time</w:t>
      </w:r>
      <w:r w:rsidR="00EE4FC3">
        <w:t xml:space="preserve"> </w:t>
      </w:r>
      <w:r w:rsidR="00122F78" w:rsidRPr="00382917">
        <w:t>I</w:t>
      </w:r>
      <w:r w:rsidR="00EE4FC3">
        <w:t xml:space="preserve"> </w:t>
      </w:r>
      <w:r w:rsidR="00122F78" w:rsidRPr="00382917">
        <w:t>begged</w:t>
      </w:r>
      <w:r w:rsidR="00EE4FC3">
        <w:t xml:space="preserve"> </w:t>
      </w:r>
      <w:r w:rsidR="00122F78" w:rsidRPr="00382917">
        <w:t>leave</w:t>
      </w:r>
      <w:r w:rsidR="00EE4FC3">
        <w:t xml:space="preserve"> </w:t>
      </w:r>
      <w:r w:rsidR="00122F78" w:rsidRPr="00382917">
        <w:t>to</w:t>
      </w:r>
      <w:r w:rsidR="00EE4FC3">
        <w:t xml:space="preserve"> </w:t>
      </w:r>
      <w:r w:rsidR="00122F78" w:rsidRPr="00382917">
        <w:t>retire.</w:t>
      </w:r>
      <w:r w:rsidRPr="00382917">
        <w:t>”</w:t>
      </w:r>
    </w:p>
    <w:p w:rsidR="00122F78" w:rsidRPr="00382917" w:rsidRDefault="00122F78" w:rsidP="004F2077">
      <w:pPr>
        <w:pStyle w:val="Text"/>
      </w:pPr>
      <w:r w:rsidRPr="00382917">
        <w:t>Va</w:t>
      </w:r>
      <w:r w:rsidR="004F2077" w:rsidRPr="004F2077">
        <w:t>ḥí</w:t>
      </w:r>
      <w:r w:rsidRPr="00382917">
        <w:t>d</w:t>
      </w:r>
      <w:r w:rsidR="00EE4FC3">
        <w:t xml:space="preserve"> </w:t>
      </w:r>
      <w:r w:rsidRPr="00382917">
        <w:t>returned</w:t>
      </w:r>
      <w:r w:rsidR="00EE4FC3">
        <w:t xml:space="preserve"> </w:t>
      </w:r>
      <w:r w:rsidRPr="00382917">
        <w:t>to</w:t>
      </w:r>
      <w:r w:rsidR="00EE4FC3">
        <w:t xml:space="preserve"> </w:t>
      </w:r>
      <w:r w:rsidR="004F2077" w:rsidRPr="00382917">
        <w:t>‘Aẓím</w:t>
      </w:r>
      <w:r w:rsidR="00EE4FC3">
        <w:t xml:space="preserve"> </w:t>
      </w:r>
      <w:r w:rsidRPr="00382917">
        <w:t>again</w:t>
      </w:r>
      <w:r w:rsidR="00EE4FC3">
        <w:t xml:space="preserve"> </w:t>
      </w:r>
      <w:r w:rsidRPr="00382917">
        <w:t>and</w:t>
      </w:r>
      <w:r w:rsidR="00EE4FC3">
        <w:t xml:space="preserve"> </w:t>
      </w:r>
      <w:r w:rsidRPr="00382917">
        <w:t>told</w:t>
      </w:r>
      <w:r w:rsidR="00EE4FC3">
        <w:t xml:space="preserve"> </w:t>
      </w:r>
      <w:r w:rsidRPr="00382917">
        <w:t>him</w:t>
      </w:r>
      <w:r w:rsidR="00EE4FC3">
        <w:t xml:space="preserve"> </w:t>
      </w:r>
      <w:r w:rsidRPr="00382917">
        <w:t>what</w:t>
      </w:r>
      <w:r w:rsidR="00EE4FC3">
        <w:t xml:space="preserve"> </w:t>
      </w:r>
      <w:r w:rsidRPr="00382917">
        <w:t>had</w:t>
      </w:r>
      <w:r w:rsidR="00EE4FC3">
        <w:t xml:space="preserve"> </w:t>
      </w:r>
      <w:r w:rsidRPr="00382917">
        <w:t>happened</w:t>
      </w:r>
      <w:r w:rsidR="00C03C91">
        <w:t>.</w:t>
      </w:r>
      <w:r w:rsidR="00EE4FC3">
        <w:t xml:space="preserve">  </w:t>
      </w:r>
      <w:r w:rsidR="009C713D" w:rsidRPr="00382917">
        <w:t>‘</w:t>
      </w:r>
      <w:r w:rsidRPr="00382917">
        <w:t>Aẓím</w:t>
      </w:r>
      <w:r w:rsidR="00EE4FC3">
        <w:t xml:space="preserve"> </w:t>
      </w:r>
      <w:r w:rsidRPr="00382917">
        <w:t>spoke</w:t>
      </w:r>
      <w:r w:rsidR="00EE4FC3">
        <w:t xml:space="preserve"> </w:t>
      </w:r>
      <w:r w:rsidRPr="00382917">
        <w:t>frankly</w:t>
      </w:r>
      <w:r w:rsidR="00EE4FC3">
        <w:t xml:space="preserve"> </w:t>
      </w:r>
      <w:r w:rsidRPr="00382917">
        <w:t>to</w:t>
      </w:r>
      <w:r w:rsidR="00EE4FC3">
        <w:t xml:space="preserve"> </w:t>
      </w:r>
      <w:r w:rsidRPr="00382917">
        <w:t>this</w:t>
      </w:r>
      <w:r w:rsidR="00EE4FC3">
        <w:t xml:space="preserve"> </w:t>
      </w:r>
      <w:r w:rsidRPr="00382917">
        <w:t>most</w:t>
      </w:r>
      <w:r w:rsidR="00EE4FC3">
        <w:t xml:space="preserve"> </w:t>
      </w:r>
      <w:r w:rsidRPr="00382917">
        <w:t>learned</w:t>
      </w:r>
      <w:r w:rsidR="00EE4FC3">
        <w:t xml:space="preserve"> </w:t>
      </w:r>
      <w:r w:rsidRPr="00382917">
        <w:t>of</w:t>
      </w:r>
      <w:r w:rsidR="00EE4FC3">
        <w:t xml:space="preserve"> </w:t>
      </w:r>
      <w:r w:rsidRPr="00382917">
        <w:t>the</w:t>
      </w:r>
      <w:r w:rsidR="00EE4FC3">
        <w:t xml:space="preserve"> </w:t>
      </w:r>
      <w:r w:rsidRPr="00382917">
        <w:t>Persians.</w:t>
      </w:r>
    </w:p>
    <w:p w:rsidR="00122F78" w:rsidRPr="00382917" w:rsidRDefault="009C713D" w:rsidP="00122F78">
      <w:pPr>
        <w:pStyle w:val="Text"/>
      </w:pPr>
      <w:r w:rsidRPr="00382917">
        <w:t>“</w:t>
      </w:r>
      <w:r w:rsidR="00122F78" w:rsidRPr="00382917">
        <w:t>Would</w:t>
      </w:r>
      <w:r w:rsidR="00EE4FC3">
        <w:t xml:space="preserve"> </w:t>
      </w:r>
      <w:r w:rsidR="00122F78" w:rsidRPr="00382917">
        <w:t>that</w:t>
      </w:r>
      <w:r w:rsidR="00EE4FC3">
        <w:t xml:space="preserve"> </w:t>
      </w:r>
      <w:r w:rsidR="00122F78" w:rsidRPr="00382917">
        <w:t>schools</w:t>
      </w:r>
      <w:r w:rsidR="00EE4FC3">
        <w:t xml:space="preserve"> </w:t>
      </w:r>
      <w:r w:rsidR="00122F78" w:rsidRPr="00382917">
        <w:t>had</w:t>
      </w:r>
      <w:r w:rsidR="00EE4FC3">
        <w:t xml:space="preserve"> </w:t>
      </w:r>
      <w:r w:rsidR="00122F78" w:rsidRPr="00382917">
        <w:t>been</w:t>
      </w:r>
      <w:r w:rsidR="00EE4FC3">
        <w:t xml:space="preserve"> </w:t>
      </w:r>
      <w:r w:rsidR="00122F78" w:rsidRPr="00382917">
        <w:t>utterly</w:t>
      </w:r>
      <w:r w:rsidR="00EE4FC3">
        <w:t xml:space="preserve"> </w:t>
      </w:r>
      <w:r w:rsidR="00122F78" w:rsidRPr="00382917">
        <w:t>abolished,</w:t>
      </w:r>
      <w:r w:rsidRPr="00382917">
        <w:t>”</w:t>
      </w:r>
      <w:r w:rsidR="00EE4FC3">
        <w:t xml:space="preserve"> </w:t>
      </w:r>
      <w:r w:rsidR="00122F78" w:rsidRPr="00382917">
        <w:t>he</w:t>
      </w:r>
      <w:r w:rsidR="00EE4FC3">
        <w:t xml:space="preserve"> </w:t>
      </w:r>
      <w:r w:rsidR="00122F78" w:rsidRPr="00382917">
        <w:t>said,</w:t>
      </w:r>
      <w:r w:rsidR="00EE4FC3">
        <w:t xml:space="preserve"> </w:t>
      </w:r>
      <w:r w:rsidRPr="00382917">
        <w:t>“</w:t>
      </w:r>
      <w:r w:rsidR="00122F78" w:rsidRPr="00382917">
        <w:t>and</w:t>
      </w:r>
      <w:r w:rsidR="00EE4FC3">
        <w:t xml:space="preserve"> </w:t>
      </w:r>
      <w:r w:rsidR="00122F78" w:rsidRPr="00382917">
        <w:t>that</w:t>
      </w:r>
      <w:r w:rsidR="00EE4FC3">
        <w:t xml:space="preserve"> </w:t>
      </w:r>
      <w:r w:rsidR="00122F78" w:rsidRPr="00382917">
        <w:t>neither</w:t>
      </w:r>
      <w:r w:rsidR="00EE4FC3">
        <w:t xml:space="preserve"> </w:t>
      </w:r>
      <w:r w:rsidR="00122F78" w:rsidRPr="00382917">
        <w:t>of</w:t>
      </w:r>
      <w:r w:rsidR="00EE4FC3">
        <w:t xml:space="preserve"> </w:t>
      </w:r>
      <w:r w:rsidR="00122F78" w:rsidRPr="00382917">
        <w:t>us</w:t>
      </w:r>
      <w:r w:rsidR="00EE4FC3">
        <w:t xml:space="preserve"> </w:t>
      </w:r>
      <w:r w:rsidR="00122F78" w:rsidRPr="00382917">
        <w:t>had</w:t>
      </w:r>
      <w:r w:rsidR="00EE4FC3">
        <w:t xml:space="preserve"> </w:t>
      </w:r>
      <w:r w:rsidR="00122F78" w:rsidRPr="00382917">
        <w:t>ever</w:t>
      </w:r>
      <w:r w:rsidR="00EE4FC3">
        <w:t xml:space="preserve"> </w:t>
      </w:r>
      <w:r w:rsidR="00122F78" w:rsidRPr="00382917">
        <w:t>entered</w:t>
      </w:r>
      <w:r w:rsidR="00EE4FC3">
        <w:t xml:space="preserve"> </w:t>
      </w:r>
      <w:r w:rsidR="00122F78" w:rsidRPr="00382917">
        <w:t>one,</w:t>
      </w:r>
      <w:r w:rsidR="00EE4FC3">
        <w:t xml:space="preserve"> </w:t>
      </w:r>
      <w:r w:rsidR="00122F78" w:rsidRPr="00382917">
        <w:t>if</w:t>
      </w:r>
      <w:r w:rsidR="00EE4FC3">
        <w:t xml:space="preserve"> </w:t>
      </w:r>
      <w:r w:rsidR="00122F78" w:rsidRPr="00382917">
        <w:t>through</w:t>
      </w:r>
      <w:r w:rsidR="00EE4FC3">
        <w:t xml:space="preserve"> </w:t>
      </w:r>
      <w:r w:rsidR="00122F78" w:rsidRPr="00382917">
        <w:t>our</w:t>
      </w:r>
      <w:r w:rsidR="00EE4FC3">
        <w:t xml:space="preserve"> </w:t>
      </w:r>
      <w:r w:rsidR="00122F78" w:rsidRPr="00382917">
        <w:t>little-mindedness</w:t>
      </w:r>
      <w:r w:rsidR="00EE4FC3">
        <w:t xml:space="preserve"> </w:t>
      </w:r>
      <w:r w:rsidR="00122F78" w:rsidRPr="00382917">
        <w:t>and</w:t>
      </w:r>
      <w:r w:rsidR="00EE4FC3">
        <w:t xml:space="preserve"> </w:t>
      </w:r>
      <w:r w:rsidR="00122F78" w:rsidRPr="00382917">
        <w:t>conceit</w:t>
      </w:r>
      <w:r w:rsidR="00EE4FC3">
        <w:t xml:space="preserve"> </w:t>
      </w:r>
      <w:r w:rsidR="00122F78" w:rsidRPr="00382917">
        <w:t>this</w:t>
      </w:r>
      <w:r w:rsidR="00EE4FC3">
        <w:t xml:space="preserve"> </w:t>
      </w:r>
      <w:r w:rsidR="00122F78" w:rsidRPr="00382917">
        <w:t>acquired</w:t>
      </w:r>
      <w:r w:rsidR="00EE4FC3">
        <w:t xml:space="preserve"> </w:t>
      </w:r>
      <w:r w:rsidR="00122F78" w:rsidRPr="00382917">
        <w:t>knowledge</w:t>
      </w:r>
      <w:r w:rsidR="00EE4FC3">
        <w:t xml:space="preserve"> </w:t>
      </w:r>
      <w:r w:rsidR="00122F78" w:rsidRPr="00382917">
        <w:t>is</w:t>
      </w:r>
      <w:r w:rsidR="00EE4FC3">
        <w:t xml:space="preserve"> </w:t>
      </w:r>
      <w:r w:rsidR="00122F78" w:rsidRPr="00382917">
        <w:t>withholding</w:t>
      </w:r>
      <w:r w:rsidR="00EE4FC3">
        <w:t xml:space="preserve"> </w:t>
      </w:r>
      <w:r w:rsidR="00122F78" w:rsidRPr="00382917">
        <w:t>us</w:t>
      </w:r>
      <w:r w:rsidR="00EE4FC3">
        <w:t xml:space="preserve"> </w:t>
      </w:r>
      <w:r w:rsidR="00122F78" w:rsidRPr="00382917">
        <w:t>from</w:t>
      </w:r>
      <w:r w:rsidR="00EE4FC3">
        <w:t xml:space="preserve"> </w:t>
      </w:r>
      <w:r w:rsidR="00122F78" w:rsidRPr="00382917">
        <w:t>the</w:t>
      </w:r>
      <w:r w:rsidR="00EE4FC3">
        <w:t xml:space="preserve"> </w:t>
      </w:r>
      <w:r w:rsidR="00122F78" w:rsidRPr="00382917">
        <w:t>redeeming</w:t>
      </w:r>
      <w:r w:rsidR="00EE4FC3">
        <w:t xml:space="preserve"> </w:t>
      </w:r>
      <w:r w:rsidR="00122F78" w:rsidRPr="00382917">
        <w:t>Grace</w:t>
      </w:r>
      <w:r w:rsidR="00EE4FC3">
        <w:t xml:space="preserve"> </w:t>
      </w:r>
      <w:r w:rsidR="00122F78" w:rsidRPr="00382917">
        <w:t>of</w:t>
      </w:r>
      <w:r w:rsidR="00EE4FC3">
        <w:t xml:space="preserve"> </w:t>
      </w:r>
      <w:r w:rsidR="00122F78" w:rsidRPr="00382917">
        <w:t>God,</w:t>
      </w:r>
      <w:r w:rsidR="00EE4FC3">
        <w:t xml:space="preserve"> </w:t>
      </w:r>
      <w:r w:rsidR="00122F78" w:rsidRPr="00382917">
        <w:t>and</w:t>
      </w:r>
      <w:r w:rsidR="00EE4FC3">
        <w:t xml:space="preserve"> </w:t>
      </w:r>
      <w:r w:rsidR="00122F78" w:rsidRPr="00382917">
        <w:t>is</w:t>
      </w:r>
      <w:r w:rsidR="00EE4FC3">
        <w:t xml:space="preserve"> </w:t>
      </w:r>
      <w:r w:rsidR="00122F78" w:rsidRPr="00382917">
        <w:t>causing</w:t>
      </w:r>
      <w:r w:rsidR="00EE4FC3">
        <w:t xml:space="preserve"> </w:t>
      </w:r>
      <w:r w:rsidR="00122F78" w:rsidRPr="00382917">
        <w:t>pain</w:t>
      </w:r>
      <w:r w:rsidR="00EE4FC3">
        <w:t xml:space="preserve"> </w:t>
      </w:r>
      <w:r w:rsidR="00122F78" w:rsidRPr="00382917">
        <w:t>to</w:t>
      </w:r>
      <w:r w:rsidR="00EE4FC3">
        <w:t xml:space="preserve"> </w:t>
      </w:r>
      <w:r w:rsidR="00122F78" w:rsidRPr="00382917">
        <w:t>Him</w:t>
      </w:r>
      <w:r w:rsidR="00EE4FC3">
        <w:t xml:space="preserve"> </w:t>
      </w:r>
      <w:r w:rsidR="00122F78" w:rsidRPr="00382917">
        <w:t>Who</w:t>
      </w:r>
      <w:r w:rsidR="00EE4FC3">
        <w:t xml:space="preserve"> </w:t>
      </w:r>
      <w:r w:rsidR="00122F78" w:rsidRPr="00382917">
        <w:t>is</w:t>
      </w:r>
      <w:r w:rsidR="00EE4FC3">
        <w:t xml:space="preserve"> </w:t>
      </w:r>
      <w:r w:rsidR="00122F78" w:rsidRPr="00382917">
        <w:t>the</w:t>
      </w:r>
      <w:r w:rsidR="00EE4FC3">
        <w:t xml:space="preserve"> </w:t>
      </w:r>
      <w:r w:rsidR="00122F78" w:rsidRPr="00382917">
        <w:t>bearer</w:t>
      </w:r>
      <w:r w:rsidR="00EE4FC3">
        <w:t xml:space="preserve"> </w:t>
      </w:r>
      <w:r w:rsidR="00122F78" w:rsidRPr="00382917">
        <w:t>of</w:t>
      </w:r>
      <w:r w:rsidR="00EE4FC3">
        <w:t xml:space="preserve"> </w:t>
      </w:r>
      <w:r w:rsidR="00122F78" w:rsidRPr="00382917">
        <w:t>His</w:t>
      </w:r>
      <w:r w:rsidR="00EE4FC3">
        <w:t xml:space="preserve"> </w:t>
      </w:r>
      <w:r w:rsidR="00122F78" w:rsidRPr="00382917">
        <w:t>Message.</w:t>
      </w:r>
      <w:r w:rsidRPr="00382917">
        <w:t>”</w:t>
      </w:r>
    </w:p>
    <w:p w:rsidR="00122F78" w:rsidRPr="00382917" w:rsidRDefault="00122F78" w:rsidP="009D4E6D">
      <w:pPr>
        <w:pStyle w:val="Text"/>
      </w:pPr>
      <w:r w:rsidRPr="00382917">
        <w:t>Vaḥíd</w:t>
      </w:r>
      <w:r w:rsidR="00EE4FC3">
        <w:t xml:space="preserve"> </w:t>
      </w:r>
      <w:r w:rsidRPr="00382917">
        <w:t>admitted</w:t>
      </w:r>
      <w:r w:rsidR="00EE4FC3">
        <w:t xml:space="preserve"> </w:t>
      </w:r>
      <w:r w:rsidRPr="00382917">
        <w:t>that</w:t>
      </w:r>
      <w:r w:rsidR="00EE4FC3">
        <w:t xml:space="preserve"> </w:t>
      </w:r>
      <w:r w:rsidRPr="00382917">
        <w:t>pride</w:t>
      </w:r>
      <w:r w:rsidR="00EE4FC3">
        <w:t xml:space="preserve"> </w:t>
      </w:r>
      <w:r w:rsidRPr="00382917">
        <w:t>in</w:t>
      </w:r>
      <w:r w:rsidR="00EE4FC3">
        <w:t xml:space="preserve"> </w:t>
      </w:r>
      <w:r w:rsidRPr="00382917">
        <w:t>his</w:t>
      </w:r>
      <w:r w:rsidR="00EE4FC3">
        <w:t xml:space="preserve"> </w:t>
      </w:r>
      <w:r w:rsidRPr="00382917">
        <w:t>own</w:t>
      </w:r>
      <w:r w:rsidR="00EE4FC3">
        <w:t xml:space="preserve"> </w:t>
      </w:r>
      <w:r w:rsidRPr="00382917">
        <w:t>knowledge</w:t>
      </w:r>
      <w:r w:rsidR="00EE4FC3">
        <w:t xml:space="preserve"> </w:t>
      </w:r>
      <w:r w:rsidRPr="00382917">
        <w:t>had</w:t>
      </w:r>
      <w:r w:rsidR="00EE4FC3">
        <w:t xml:space="preserve"> </w:t>
      </w:r>
      <w:r w:rsidRPr="00382917">
        <w:t>been</w:t>
      </w:r>
      <w:r w:rsidR="00EE4FC3">
        <w:t xml:space="preserve"> </w:t>
      </w:r>
      <w:r w:rsidRPr="00382917">
        <w:t>like</w:t>
      </w:r>
      <w:r w:rsidR="00EE4FC3">
        <w:t xml:space="preserve"> </w:t>
      </w:r>
      <w:r w:rsidRPr="00382917">
        <w:t>a</w:t>
      </w:r>
      <w:r w:rsidR="00EE4FC3">
        <w:t xml:space="preserve"> </w:t>
      </w:r>
      <w:r w:rsidRPr="00382917">
        <w:t>curtain</w:t>
      </w:r>
      <w:r w:rsidR="00EE4FC3">
        <w:t xml:space="preserve"> </w:t>
      </w:r>
      <w:r w:rsidRPr="00382917">
        <w:t>which</w:t>
      </w:r>
      <w:r w:rsidR="00EE4FC3">
        <w:t xml:space="preserve"> </w:t>
      </w:r>
      <w:r w:rsidRPr="00382917">
        <w:t>separated</w:t>
      </w:r>
      <w:r w:rsidR="00EE4FC3">
        <w:t xml:space="preserve"> </w:t>
      </w:r>
      <w:r w:rsidRPr="00382917">
        <w:t>him</w:t>
      </w:r>
      <w:r w:rsidR="00EE4FC3">
        <w:t xml:space="preserve"> </w:t>
      </w:r>
      <w:r w:rsidRPr="00382917">
        <w:t>from</w:t>
      </w:r>
      <w:r w:rsidR="00EE4FC3">
        <w:t xml:space="preserve"> </w:t>
      </w:r>
      <w:r w:rsidRPr="00382917">
        <w:t>the</w:t>
      </w:r>
      <w:r w:rsidR="00EE4FC3">
        <w:t xml:space="preserve"> </w:t>
      </w:r>
      <w:r w:rsidRPr="00382917">
        <w:t>Báb</w:t>
      </w:r>
      <w:r w:rsidR="00C03C91">
        <w:t>.</w:t>
      </w:r>
      <w:r w:rsidR="00EE4FC3">
        <w:t xml:space="preserve">  </w:t>
      </w:r>
      <w:r w:rsidR="009C713D" w:rsidRPr="00382917">
        <w:t>‘</w:t>
      </w:r>
      <w:r w:rsidRPr="00382917">
        <w:t>Aẓím</w:t>
      </w:r>
      <w:r w:rsidR="00EE4FC3">
        <w:t xml:space="preserve"> </w:t>
      </w:r>
      <w:r w:rsidRPr="00382917">
        <w:t>entreated</w:t>
      </w:r>
      <w:r w:rsidR="00EE4FC3">
        <w:t xml:space="preserve"> </w:t>
      </w:r>
      <w:r w:rsidRPr="00382917">
        <w:t>him,</w:t>
      </w:r>
      <w:r w:rsidR="00EE4FC3">
        <w:t xml:space="preserve"> </w:t>
      </w:r>
      <w:r w:rsidR="009C713D" w:rsidRPr="00382917">
        <w:t>“</w:t>
      </w:r>
      <w:r w:rsidRPr="00382917">
        <w:t>This</w:t>
      </w:r>
      <w:r w:rsidR="00EE4FC3">
        <w:t xml:space="preserve"> </w:t>
      </w:r>
      <w:r w:rsidRPr="00382917">
        <w:t>time</w:t>
      </w:r>
      <w:r w:rsidR="00EE4FC3">
        <w:t xml:space="preserve"> </w:t>
      </w:r>
      <w:r w:rsidRPr="00382917">
        <w:t>go</w:t>
      </w:r>
      <w:r w:rsidR="00EE4FC3">
        <w:t xml:space="preserve"> </w:t>
      </w:r>
      <w:r w:rsidRPr="00382917">
        <w:t>with</w:t>
      </w:r>
      <w:r w:rsidR="00EE4FC3">
        <w:t xml:space="preserve"> </w:t>
      </w:r>
      <w:r w:rsidRPr="00382917">
        <w:t>humility</w:t>
      </w:r>
      <w:r w:rsidR="00EE4FC3">
        <w:t xml:space="preserve"> </w:t>
      </w:r>
      <w:r w:rsidRPr="00382917">
        <w:t>and</w:t>
      </w:r>
      <w:r w:rsidR="00EE4FC3">
        <w:t xml:space="preserve"> </w:t>
      </w:r>
      <w:r w:rsidRPr="00382917">
        <w:t>detachment</w:t>
      </w:r>
      <w:r w:rsidR="00EE4FC3">
        <w:t xml:space="preserve"> </w:t>
      </w:r>
      <w:r w:rsidRPr="00382917">
        <w:t>from</w:t>
      </w:r>
      <w:r w:rsidR="00EE4FC3">
        <w:t xml:space="preserve"> </w:t>
      </w:r>
      <w:r w:rsidRPr="00382917">
        <w:t>all</w:t>
      </w:r>
      <w:r w:rsidR="00EE4FC3">
        <w:t xml:space="preserve"> </w:t>
      </w:r>
      <w:r w:rsidRPr="00382917">
        <w:t>that</w:t>
      </w:r>
      <w:r w:rsidR="00EE4FC3">
        <w:t xml:space="preserve"> </w:t>
      </w:r>
      <w:r w:rsidRPr="00382917">
        <w:t>you</w:t>
      </w:r>
      <w:r w:rsidR="00EE4FC3">
        <w:t xml:space="preserve"> </w:t>
      </w:r>
      <w:r w:rsidRPr="00382917">
        <w:t>have</w:t>
      </w:r>
      <w:r w:rsidR="00EE4FC3">
        <w:t xml:space="preserve"> </w:t>
      </w:r>
      <w:r w:rsidRPr="00382917">
        <w:t>learned</w:t>
      </w:r>
      <w:r w:rsidR="00EE4FC3">
        <w:t xml:space="preserve"> </w:t>
      </w:r>
      <w:r w:rsidRPr="00382917">
        <w:t>in</w:t>
      </w:r>
      <w:r w:rsidR="00EE4FC3">
        <w:t xml:space="preserve"> </w:t>
      </w:r>
      <w:r w:rsidRPr="00382917">
        <w:t>the</w:t>
      </w:r>
      <w:r w:rsidR="00EE4FC3">
        <w:t xml:space="preserve"> </w:t>
      </w:r>
      <w:r w:rsidRPr="00382917">
        <w:t>past</w:t>
      </w:r>
      <w:r w:rsidR="00C03C91">
        <w:t>.</w:t>
      </w:r>
      <w:r w:rsidR="00EE4FC3">
        <w:t xml:space="preserve">  </w:t>
      </w:r>
      <w:r w:rsidRPr="00382917">
        <w:t>Perhaps</w:t>
      </w:r>
      <w:r w:rsidR="00EE4FC3">
        <w:t xml:space="preserve"> </w:t>
      </w:r>
      <w:r w:rsidRPr="00382917">
        <w:t>he</w:t>
      </w:r>
      <w:r w:rsidR="00EE4FC3">
        <w:t xml:space="preserve"> </w:t>
      </w:r>
      <w:r w:rsidRPr="00382917">
        <w:t>will</w:t>
      </w:r>
      <w:r w:rsidR="00EE4FC3">
        <w:t xml:space="preserve"> </w:t>
      </w:r>
      <w:r w:rsidRPr="00382917">
        <w:t>relieve</w:t>
      </w:r>
      <w:r w:rsidR="00EE4FC3">
        <w:t xml:space="preserve"> </w:t>
      </w:r>
      <w:r w:rsidRPr="00382917">
        <w:t>your</w:t>
      </w:r>
      <w:r w:rsidR="00EE4FC3">
        <w:t xml:space="preserve"> </w:t>
      </w:r>
      <w:r w:rsidRPr="00382917">
        <w:t>doubt</w:t>
      </w:r>
      <w:r w:rsidR="00EE4FC3">
        <w:t xml:space="preserve"> </w:t>
      </w:r>
      <w:r w:rsidRPr="00382917">
        <w:t>and</w:t>
      </w:r>
      <w:r w:rsidR="00EE4FC3">
        <w:t xml:space="preserve"> </w:t>
      </w:r>
      <w:r w:rsidRPr="00382917">
        <w:t>perplexity.</w:t>
      </w:r>
      <w:r w:rsidR="009C713D" w:rsidRPr="00382917">
        <w:t>”</w:t>
      </w:r>
    </w:p>
    <w:p w:rsidR="00122F78" w:rsidRPr="00382917" w:rsidRDefault="00122F78" w:rsidP="00122F78">
      <w:pPr>
        <w:pStyle w:val="Text"/>
      </w:pPr>
      <w:r w:rsidRPr="00382917">
        <w:t>This</w:t>
      </w:r>
      <w:r w:rsidR="00EE4FC3">
        <w:t xml:space="preserve"> </w:t>
      </w:r>
      <w:r w:rsidRPr="00382917">
        <w:t>third</w:t>
      </w:r>
      <w:r w:rsidR="00EE4FC3">
        <w:t xml:space="preserve"> </w:t>
      </w:r>
      <w:r w:rsidRPr="00382917">
        <w:t>and</w:t>
      </w:r>
      <w:r w:rsidR="00EE4FC3">
        <w:t xml:space="preserve"> </w:t>
      </w:r>
      <w:r w:rsidRPr="00382917">
        <w:t>final</w:t>
      </w:r>
      <w:r w:rsidR="00EE4FC3">
        <w:t xml:space="preserve"> </w:t>
      </w:r>
      <w:r w:rsidRPr="00382917">
        <w:t>interview</w:t>
      </w:r>
      <w:r w:rsidR="00EE4FC3">
        <w:t xml:space="preserve"> </w:t>
      </w:r>
      <w:r w:rsidRPr="00382917">
        <w:t>has</w:t>
      </w:r>
      <w:r w:rsidR="00EE4FC3">
        <w:t xml:space="preserve"> </w:t>
      </w:r>
      <w:r w:rsidRPr="00382917">
        <w:t>been</w:t>
      </w:r>
      <w:r w:rsidR="00EE4FC3">
        <w:t xml:space="preserve"> </w:t>
      </w:r>
      <w:r w:rsidRPr="00382917">
        <w:t>reported</w:t>
      </w:r>
      <w:r w:rsidR="00EE4FC3">
        <w:t xml:space="preserve"> </w:t>
      </w:r>
      <w:r w:rsidRPr="00382917">
        <w:t>in</w:t>
      </w:r>
      <w:r w:rsidR="00EE4FC3">
        <w:t xml:space="preserve"> </w:t>
      </w:r>
      <w:r w:rsidRPr="00382917">
        <w:t>detail</w:t>
      </w:r>
      <w:r w:rsidR="00EE4FC3">
        <w:t xml:space="preserve"> </w:t>
      </w:r>
      <w:r w:rsidRPr="00382917">
        <w:t>by</w:t>
      </w:r>
    </w:p>
    <w:p w:rsidR="00122F78" w:rsidRPr="00382917" w:rsidRDefault="00122F78">
      <w:pPr>
        <w:widowControl/>
        <w:kinsoku/>
        <w:overflowPunct/>
        <w:textAlignment w:val="auto"/>
      </w:pPr>
      <w:r w:rsidRPr="00382917">
        <w:br w:type="page"/>
      </w:r>
    </w:p>
    <w:p w:rsidR="00122F78" w:rsidRPr="00382917" w:rsidRDefault="00122F78" w:rsidP="00122F78">
      <w:pPr>
        <w:pStyle w:val="Textcts"/>
      </w:pPr>
      <w:proofErr w:type="gramStart"/>
      <w:r w:rsidRPr="00382917">
        <w:t>Vaḥíd</w:t>
      </w:r>
      <w:r w:rsidR="00EE4FC3">
        <w:t xml:space="preserve"> </w:t>
      </w:r>
      <w:r w:rsidRPr="00382917">
        <w:t>not</w:t>
      </w:r>
      <w:r w:rsidR="00EE4FC3">
        <w:t xml:space="preserve"> </w:t>
      </w:r>
      <w:r w:rsidRPr="00382917">
        <w:t>only</w:t>
      </w:r>
      <w:r w:rsidR="00EE4FC3">
        <w:t xml:space="preserve"> </w:t>
      </w:r>
      <w:r w:rsidRPr="00382917">
        <w:t>for</w:t>
      </w:r>
      <w:r w:rsidR="00EE4FC3">
        <w:t xml:space="preserve"> </w:t>
      </w:r>
      <w:r w:rsidRPr="00382917">
        <w:t>the</w:t>
      </w:r>
      <w:r w:rsidR="00EE4FC3">
        <w:t xml:space="preserve"> </w:t>
      </w:r>
      <w:r w:rsidRPr="00382917">
        <w:t>king</w:t>
      </w:r>
      <w:r w:rsidR="00EE4FC3">
        <w:t xml:space="preserve"> </w:t>
      </w:r>
      <w:r w:rsidRPr="00382917">
        <w:t>and</w:t>
      </w:r>
      <w:r w:rsidR="00EE4FC3">
        <w:t xml:space="preserve"> </w:t>
      </w:r>
      <w:r w:rsidRPr="00382917">
        <w:t>Prime</w:t>
      </w:r>
      <w:r w:rsidR="00EE4FC3">
        <w:t xml:space="preserve"> </w:t>
      </w:r>
      <w:r w:rsidRPr="00382917">
        <w:t>Minister,</w:t>
      </w:r>
      <w:r w:rsidR="00EE4FC3">
        <w:t xml:space="preserve"> </w:t>
      </w:r>
      <w:r w:rsidRPr="00382917">
        <w:t>but</w:t>
      </w:r>
      <w:r w:rsidR="00EE4FC3">
        <w:t xml:space="preserve"> </w:t>
      </w:r>
      <w:r w:rsidRPr="00382917">
        <w:t>also</w:t>
      </w:r>
      <w:r w:rsidR="00EE4FC3">
        <w:t xml:space="preserve"> </w:t>
      </w:r>
      <w:r w:rsidRPr="00382917">
        <w:t>for</w:t>
      </w:r>
      <w:r w:rsidR="00EE4FC3">
        <w:t xml:space="preserve"> </w:t>
      </w:r>
      <w:r w:rsidRPr="00382917">
        <w:t>posterity</w:t>
      </w:r>
      <w:r w:rsidR="00C03C91">
        <w:t>.</w:t>
      </w:r>
      <w:proofErr w:type="gramEnd"/>
      <w:r w:rsidR="00EE4FC3">
        <w:t xml:space="preserve">  </w:t>
      </w:r>
      <w:r w:rsidRPr="00382917">
        <w:t>Vaḥíd</w:t>
      </w:r>
      <w:r w:rsidR="00EE4FC3">
        <w:t xml:space="preserve"> </w:t>
      </w:r>
      <w:r w:rsidRPr="00382917">
        <w:t>states:</w:t>
      </w:r>
    </w:p>
    <w:p w:rsidR="00122F78" w:rsidRPr="00382917" w:rsidRDefault="009C713D" w:rsidP="00122F78">
      <w:pPr>
        <w:pStyle w:val="Text"/>
      </w:pPr>
      <w:r w:rsidRPr="00382917">
        <w:t>“</w:t>
      </w:r>
      <w:r w:rsidR="00122F78" w:rsidRPr="00382917">
        <w:t>I</w:t>
      </w:r>
      <w:r w:rsidR="00EE4FC3">
        <w:t xml:space="preserve"> </w:t>
      </w:r>
      <w:r w:rsidR="00122F78" w:rsidRPr="00382917">
        <w:t>resolved</w:t>
      </w:r>
      <w:r w:rsidR="00EE4FC3">
        <w:t xml:space="preserve"> </w:t>
      </w:r>
      <w:r w:rsidR="00122F78" w:rsidRPr="00382917">
        <w:t>that</w:t>
      </w:r>
      <w:r w:rsidR="00EE4FC3">
        <w:t xml:space="preserve"> </w:t>
      </w:r>
      <w:r w:rsidR="00122F78" w:rsidRPr="00382917">
        <w:t>in</w:t>
      </w:r>
      <w:r w:rsidR="00EE4FC3">
        <w:t xml:space="preserve"> </w:t>
      </w:r>
      <w:r w:rsidR="00122F78" w:rsidRPr="00382917">
        <w:t>my</w:t>
      </w:r>
      <w:r w:rsidR="00EE4FC3">
        <w:t xml:space="preserve"> </w:t>
      </w:r>
      <w:r w:rsidR="00122F78" w:rsidRPr="00382917">
        <w:t>third</w:t>
      </w:r>
      <w:r w:rsidR="00EE4FC3">
        <w:t xml:space="preserve"> </w:t>
      </w:r>
      <w:r w:rsidR="00122F78" w:rsidRPr="00382917">
        <w:t>interview,</w:t>
      </w:r>
      <w:r w:rsidR="00EE4FC3">
        <w:t xml:space="preserve"> </w:t>
      </w:r>
      <w:r w:rsidR="00122F78" w:rsidRPr="00382917">
        <w:t>I</w:t>
      </w:r>
      <w:r w:rsidR="00EE4FC3">
        <w:t xml:space="preserve"> </w:t>
      </w:r>
      <w:r w:rsidR="00122F78" w:rsidRPr="00382917">
        <w:t>would</w:t>
      </w:r>
      <w:r w:rsidR="00EE4FC3">
        <w:t xml:space="preserve"> </w:t>
      </w:r>
      <w:r w:rsidR="00122F78" w:rsidRPr="00382917">
        <w:t>not</w:t>
      </w:r>
      <w:r w:rsidR="00EE4FC3">
        <w:t xml:space="preserve"> </w:t>
      </w:r>
      <w:r w:rsidR="00122F78" w:rsidRPr="00382917">
        <w:t>ask</w:t>
      </w:r>
      <w:r w:rsidR="00EE4FC3">
        <w:t xml:space="preserve"> </w:t>
      </w:r>
      <w:r w:rsidR="00122F78" w:rsidRPr="00382917">
        <w:t>aloud</w:t>
      </w:r>
      <w:r w:rsidR="00EE4FC3">
        <w:t xml:space="preserve"> </w:t>
      </w:r>
      <w:r w:rsidR="00122F78" w:rsidRPr="00382917">
        <w:t>for</w:t>
      </w:r>
      <w:r w:rsidR="00EE4FC3">
        <w:t xml:space="preserve"> </w:t>
      </w:r>
      <w:r w:rsidR="00122F78" w:rsidRPr="00382917">
        <w:t>proof</w:t>
      </w:r>
      <w:r w:rsidR="00EE4FC3">
        <w:t xml:space="preserve"> </w:t>
      </w:r>
      <w:r w:rsidR="00122F78" w:rsidRPr="00382917">
        <w:t>of</w:t>
      </w:r>
      <w:r w:rsidR="00EE4FC3">
        <w:t xml:space="preserve"> </w:t>
      </w:r>
      <w:r w:rsidR="00122F78" w:rsidRPr="00382917">
        <w:t>his</w:t>
      </w:r>
      <w:r w:rsidR="00EE4FC3">
        <w:t xml:space="preserve"> </w:t>
      </w:r>
      <w:r w:rsidR="00122F78" w:rsidRPr="00382917">
        <w:t>mission</w:t>
      </w:r>
      <w:r w:rsidR="00C03C91">
        <w:t>.</w:t>
      </w:r>
      <w:r w:rsidR="00EE4FC3">
        <w:t xml:space="preserve">  </w:t>
      </w:r>
      <w:r w:rsidR="00122F78" w:rsidRPr="00382917">
        <w:t>Instead,</w:t>
      </w:r>
      <w:r w:rsidR="00EE4FC3">
        <w:t xml:space="preserve"> </w:t>
      </w:r>
      <w:r w:rsidR="00122F78" w:rsidRPr="00382917">
        <w:t>in</w:t>
      </w:r>
      <w:r w:rsidR="00EE4FC3">
        <w:t xml:space="preserve"> </w:t>
      </w:r>
      <w:r w:rsidR="00122F78" w:rsidRPr="00382917">
        <w:t>my</w:t>
      </w:r>
      <w:r w:rsidR="00EE4FC3">
        <w:t xml:space="preserve"> </w:t>
      </w:r>
      <w:r w:rsidR="00122F78" w:rsidRPr="00382917">
        <w:t>innermost</w:t>
      </w:r>
      <w:r w:rsidR="00EE4FC3">
        <w:t xml:space="preserve"> </w:t>
      </w:r>
      <w:r w:rsidR="00122F78" w:rsidRPr="00382917">
        <w:t>heart,</w:t>
      </w:r>
      <w:r w:rsidR="00EE4FC3">
        <w:t xml:space="preserve"> </w:t>
      </w:r>
      <w:r w:rsidR="00122F78" w:rsidRPr="00382917">
        <w:t>I</w:t>
      </w:r>
      <w:r w:rsidR="00EE4FC3">
        <w:t xml:space="preserve"> </w:t>
      </w:r>
      <w:r w:rsidR="00122F78" w:rsidRPr="00382917">
        <w:t>would</w:t>
      </w:r>
      <w:r w:rsidR="00EE4FC3">
        <w:t xml:space="preserve"> </w:t>
      </w:r>
      <w:r w:rsidR="00122F78" w:rsidRPr="00382917">
        <w:t>request</w:t>
      </w:r>
      <w:r w:rsidR="00EE4FC3">
        <w:t xml:space="preserve"> </w:t>
      </w:r>
      <w:r w:rsidR="00122F78" w:rsidRPr="00382917">
        <w:t>the</w:t>
      </w:r>
      <w:r w:rsidR="00EE4FC3">
        <w:t xml:space="preserve"> </w:t>
      </w:r>
      <w:r w:rsidR="00122F78" w:rsidRPr="00382917">
        <w:t>Báb</w:t>
      </w:r>
      <w:r w:rsidR="00EE4FC3">
        <w:t xml:space="preserve"> </w:t>
      </w:r>
      <w:r w:rsidR="00122F78" w:rsidRPr="00382917">
        <w:t>to</w:t>
      </w:r>
      <w:r w:rsidR="00EE4FC3">
        <w:t xml:space="preserve"> </w:t>
      </w:r>
      <w:r w:rsidR="00122F78" w:rsidRPr="00382917">
        <w:t>write</w:t>
      </w:r>
      <w:r w:rsidR="00EE4FC3">
        <w:t xml:space="preserve"> </w:t>
      </w:r>
      <w:r w:rsidR="00122F78" w:rsidRPr="00382917">
        <w:t>a</w:t>
      </w:r>
      <w:r w:rsidR="00EE4FC3">
        <w:t xml:space="preserve"> </w:t>
      </w:r>
      <w:r w:rsidR="00122F78" w:rsidRPr="00382917">
        <w:t>commentary</w:t>
      </w:r>
      <w:r w:rsidR="00EE4FC3">
        <w:t xml:space="preserve"> </w:t>
      </w:r>
      <w:r w:rsidR="00122F78" w:rsidRPr="00382917">
        <w:t>upon</w:t>
      </w:r>
      <w:r w:rsidR="00EE4FC3">
        <w:t xml:space="preserve"> </w:t>
      </w:r>
      <w:r w:rsidR="00122F78" w:rsidRPr="00382917">
        <w:t>a</w:t>
      </w:r>
      <w:r w:rsidR="00EE4FC3">
        <w:t xml:space="preserve"> </w:t>
      </w:r>
      <w:r w:rsidR="00122F78" w:rsidRPr="00382917">
        <w:t>special</w:t>
      </w:r>
      <w:r w:rsidR="00EE4FC3">
        <w:t xml:space="preserve"> </w:t>
      </w:r>
      <w:r w:rsidR="00122F78" w:rsidRPr="00382917">
        <w:t>chapter</w:t>
      </w:r>
      <w:r w:rsidR="00EE4FC3">
        <w:t xml:space="preserve"> </w:t>
      </w:r>
      <w:r w:rsidR="00122F78" w:rsidRPr="00382917">
        <w:t>of</w:t>
      </w:r>
      <w:r w:rsidR="00EE4FC3">
        <w:t xml:space="preserve"> </w:t>
      </w:r>
      <w:r w:rsidR="00122F78" w:rsidRPr="00382917">
        <w:t>Holy</w:t>
      </w:r>
      <w:r w:rsidR="00EE4FC3">
        <w:t xml:space="preserve"> </w:t>
      </w:r>
      <w:r w:rsidR="00122F78" w:rsidRPr="00382917">
        <w:t>Scripture</w:t>
      </w:r>
      <w:r w:rsidR="00EE4FC3">
        <w:t xml:space="preserve"> </w:t>
      </w:r>
      <w:r w:rsidR="00122F78" w:rsidRPr="00382917">
        <w:t>which</w:t>
      </w:r>
      <w:r w:rsidR="00EE4FC3">
        <w:t xml:space="preserve"> </w:t>
      </w:r>
      <w:r w:rsidR="00122F78" w:rsidRPr="00382917">
        <w:t>had</w:t>
      </w:r>
      <w:r w:rsidR="00EE4FC3">
        <w:t xml:space="preserve"> </w:t>
      </w:r>
      <w:r w:rsidR="00122F78" w:rsidRPr="00382917">
        <w:t>always</w:t>
      </w:r>
      <w:r w:rsidR="00EE4FC3">
        <w:t xml:space="preserve"> </w:t>
      </w:r>
      <w:r w:rsidR="00122F78" w:rsidRPr="00382917">
        <w:t>interested</w:t>
      </w:r>
      <w:r w:rsidR="00EE4FC3">
        <w:t xml:space="preserve"> </w:t>
      </w:r>
      <w:r w:rsidR="00122F78" w:rsidRPr="00382917">
        <w:t>me.</w:t>
      </w:r>
    </w:p>
    <w:p w:rsidR="00122F78" w:rsidRPr="00382917" w:rsidRDefault="009C713D" w:rsidP="00122F78">
      <w:pPr>
        <w:pStyle w:val="Text"/>
      </w:pPr>
      <w:r w:rsidRPr="00382917">
        <w:t>“‘</w:t>
      </w:r>
      <w:r w:rsidR="00122F78" w:rsidRPr="00382917">
        <w:t>If</w:t>
      </w:r>
      <w:r w:rsidR="00EE4FC3">
        <w:t xml:space="preserve"> </w:t>
      </w:r>
      <w:r w:rsidR="00122F78" w:rsidRPr="00382917">
        <w:t>he</w:t>
      </w:r>
      <w:r w:rsidR="00EE4FC3">
        <w:t xml:space="preserve"> </w:t>
      </w:r>
      <w:r w:rsidR="00122F78" w:rsidRPr="00382917">
        <w:t>does</w:t>
      </w:r>
      <w:r w:rsidR="00EE4FC3">
        <w:t xml:space="preserve"> </w:t>
      </w:r>
      <w:r w:rsidR="00122F78" w:rsidRPr="00382917">
        <w:t>this,</w:t>
      </w:r>
      <w:r w:rsidRPr="00382917">
        <w:t>’</w:t>
      </w:r>
      <w:r w:rsidR="00EE4FC3">
        <w:t xml:space="preserve"> </w:t>
      </w:r>
      <w:r w:rsidR="00122F78" w:rsidRPr="00382917">
        <w:t>I</w:t>
      </w:r>
      <w:r w:rsidR="00EE4FC3">
        <w:t xml:space="preserve"> </w:t>
      </w:r>
      <w:r w:rsidR="00122F78" w:rsidRPr="00382917">
        <w:t>told</w:t>
      </w:r>
      <w:r w:rsidR="00EE4FC3">
        <w:t xml:space="preserve"> </w:t>
      </w:r>
      <w:r w:rsidR="00122F78" w:rsidRPr="00382917">
        <w:t>myself,</w:t>
      </w:r>
      <w:r w:rsidR="00EE4FC3">
        <w:t xml:space="preserve"> </w:t>
      </w:r>
      <w:r w:rsidRPr="00382917">
        <w:t>‘</w:t>
      </w:r>
      <w:r w:rsidR="00122F78" w:rsidRPr="00382917">
        <w:t>and</w:t>
      </w:r>
      <w:r w:rsidR="00EE4FC3">
        <w:t xml:space="preserve"> </w:t>
      </w:r>
      <w:r w:rsidR="00122F78" w:rsidRPr="00382917">
        <w:t>if</w:t>
      </w:r>
      <w:r w:rsidR="00EE4FC3">
        <w:t xml:space="preserve"> </w:t>
      </w:r>
      <w:proofErr w:type="gramStart"/>
      <w:r w:rsidR="00122F78" w:rsidRPr="00382917">
        <w:t>it</w:t>
      </w:r>
      <w:r w:rsidRPr="00382917">
        <w:t>’</w:t>
      </w:r>
      <w:r w:rsidR="00122F78" w:rsidRPr="00382917">
        <w:t>s</w:t>
      </w:r>
      <w:proofErr w:type="gramEnd"/>
      <w:r w:rsidR="00EE4FC3">
        <w:t xml:space="preserve"> </w:t>
      </w:r>
      <w:r w:rsidR="00122F78" w:rsidRPr="00382917">
        <w:t>style</w:t>
      </w:r>
      <w:r w:rsidR="00EE4FC3">
        <w:t xml:space="preserve"> </w:t>
      </w:r>
      <w:r w:rsidR="00122F78" w:rsidRPr="00382917">
        <w:t>and</w:t>
      </w:r>
      <w:r w:rsidR="00EE4FC3">
        <w:t xml:space="preserve"> </w:t>
      </w:r>
      <w:r w:rsidR="00122F78" w:rsidRPr="00382917">
        <w:t>truth</w:t>
      </w:r>
      <w:r w:rsidR="00EE4FC3">
        <w:t xml:space="preserve"> </w:t>
      </w:r>
      <w:r w:rsidR="00122F78" w:rsidRPr="00382917">
        <w:t>distinguish</w:t>
      </w:r>
      <w:r w:rsidR="00EE4FC3">
        <w:t xml:space="preserve"> </w:t>
      </w:r>
      <w:r w:rsidR="00122F78" w:rsidRPr="00382917">
        <w:t>it</w:t>
      </w:r>
      <w:r w:rsidR="00EE4FC3">
        <w:t xml:space="preserve"> </w:t>
      </w:r>
      <w:r w:rsidR="00122F78" w:rsidRPr="00382917">
        <w:t>from</w:t>
      </w:r>
      <w:r w:rsidR="00EE4FC3">
        <w:t xml:space="preserve"> </w:t>
      </w:r>
      <w:r w:rsidR="00122F78" w:rsidRPr="00382917">
        <w:t>the</w:t>
      </w:r>
      <w:r w:rsidR="00EE4FC3">
        <w:t xml:space="preserve"> </w:t>
      </w:r>
      <w:r w:rsidR="00122F78" w:rsidRPr="00382917">
        <w:t>standards</w:t>
      </w:r>
      <w:r w:rsidR="00EE4FC3">
        <w:t xml:space="preserve"> </w:t>
      </w:r>
      <w:r w:rsidR="00122F78" w:rsidRPr="00382917">
        <w:t>current</w:t>
      </w:r>
      <w:r w:rsidR="00EE4FC3">
        <w:t xml:space="preserve"> </w:t>
      </w:r>
      <w:r w:rsidR="00122F78" w:rsidRPr="00382917">
        <w:t>amongst</w:t>
      </w:r>
      <w:r w:rsidR="00EE4FC3">
        <w:t xml:space="preserve"> </w:t>
      </w:r>
      <w:r w:rsidR="00122F78" w:rsidRPr="00382917">
        <w:t>men,</w:t>
      </w:r>
      <w:r w:rsidR="00EE4FC3">
        <w:t xml:space="preserve"> </w:t>
      </w:r>
      <w:r w:rsidR="00122F78" w:rsidRPr="00382917">
        <w:t>then</w:t>
      </w:r>
      <w:r w:rsidR="00EE4FC3">
        <w:t xml:space="preserve"> </w:t>
      </w:r>
      <w:r w:rsidR="00122F78" w:rsidRPr="00382917">
        <w:t>I</w:t>
      </w:r>
      <w:r w:rsidR="00EE4FC3">
        <w:t xml:space="preserve"> </w:t>
      </w:r>
      <w:r w:rsidR="00122F78" w:rsidRPr="00382917">
        <w:t>shall</w:t>
      </w:r>
      <w:r w:rsidR="00EE4FC3">
        <w:t xml:space="preserve"> </w:t>
      </w:r>
      <w:r w:rsidR="00122F78" w:rsidRPr="00382917">
        <w:t>acknowledge</w:t>
      </w:r>
      <w:r w:rsidR="00EE4FC3">
        <w:t xml:space="preserve"> </w:t>
      </w:r>
      <w:r w:rsidR="00122F78" w:rsidRPr="00382917">
        <w:t>his</w:t>
      </w:r>
      <w:r w:rsidR="00EE4FC3">
        <w:t xml:space="preserve"> </w:t>
      </w:r>
      <w:r w:rsidR="00122F78" w:rsidRPr="00382917">
        <w:t>truth</w:t>
      </w:r>
      <w:r w:rsidR="00C03C91">
        <w:t>.</w:t>
      </w:r>
      <w:r w:rsidR="00EE4FC3">
        <w:t xml:space="preserve">  </w:t>
      </w:r>
      <w:r w:rsidR="00122F78" w:rsidRPr="00382917">
        <w:t>I</w:t>
      </w:r>
      <w:r w:rsidR="00EE4FC3">
        <w:t xml:space="preserve"> </w:t>
      </w:r>
      <w:r w:rsidR="00122F78" w:rsidRPr="00382917">
        <w:t>shall</w:t>
      </w:r>
      <w:r w:rsidR="00EE4FC3">
        <w:t xml:space="preserve"> </w:t>
      </w:r>
      <w:r w:rsidR="00122F78" w:rsidRPr="00382917">
        <w:t>even</w:t>
      </w:r>
      <w:r w:rsidR="00EE4FC3">
        <w:t xml:space="preserve"> </w:t>
      </w:r>
      <w:r w:rsidR="00122F78" w:rsidRPr="00382917">
        <w:t>embrace</w:t>
      </w:r>
      <w:r w:rsidR="00EE4FC3">
        <w:t xml:space="preserve"> </w:t>
      </w:r>
      <w:r w:rsidR="00122F78" w:rsidRPr="00382917">
        <w:t>his</w:t>
      </w:r>
      <w:r w:rsidR="00EE4FC3">
        <w:t xml:space="preserve"> </w:t>
      </w:r>
      <w:r w:rsidR="00122F78" w:rsidRPr="00382917">
        <w:t>cause</w:t>
      </w:r>
      <w:r w:rsidR="00C03C91">
        <w:t>.</w:t>
      </w:r>
      <w:r w:rsidR="00EE4FC3">
        <w:t xml:space="preserve">  </w:t>
      </w:r>
      <w:r w:rsidR="00122F78" w:rsidRPr="00382917">
        <w:t>However,</w:t>
      </w:r>
      <w:r w:rsidR="00EE4FC3">
        <w:t xml:space="preserve"> </w:t>
      </w:r>
      <w:r w:rsidR="00122F78" w:rsidRPr="00382917">
        <w:t>if</w:t>
      </w:r>
      <w:r w:rsidR="00EE4FC3">
        <w:t xml:space="preserve"> </w:t>
      </w:r>
      <w:r w:rsidR="00122F78" w:rsidRPr="00382917">
        <w:t>he</w:t>
      </w:r>
      <w:r w:rsidR="00EE4FC3">
        <w:t xml:space="preserve"> </w:t>
      </w:r>
      <w:r w:rsidR="00122F78" w:rsidRPr="00382917">
        <w:t>fails,</w:t>
      </w:r>
      <w:r w:rsidR="00EE4FC3">
        <w:t xml:space="preserve"> </w:t>
      </w:r>
      <w:r w:rsidR="00122F78" w:rsidRPr="00382917">
        <w:t>I</w:t>
      </w:r>
      <w:r w:rsidR="00EE4FC3">
        <w:t xml:space="preserve"> </w:t>
      </w:r>
      <w:r w:rsidR="00122F78" w:rsidRPr="00382917">
        <w:t>shall</w:t>
      </w:r>
      <w:r w:rsidR="00EE4FC3">
        <w:t xml:space="preserve"> </w:t>
      </w:r>
      <w:r w:rsidR="00122F78" w:rsidRPr="00382917">
        <w:t>denounce</w:t>
      </w:r>
      <w:r w:rsidR="00EE4FC3">
        <w:t xml:space="preserve"> </w:t>
      </w:r>
      <w:r w:rsidR="00122F78" w:rsidRPr="00382917">
        <w:t>him.</w:t>
      </w:r>
      <w:r w:rsidRPr="00382917">
        <w:t>’</w:t>
      </w:r>
    </w:p>
    <w:p w:rsidR="00122F78" w:rsidRPr="00382917" w:rsidRDefault="009C713D" w:rsidP="00122F78">
      <w:pPr>
        <w:pStyle w:val="Text"/>
      </w:pPr>
      <w:r w:rsidRPr="00382917">
        <w:t>“</w:t>
      </w:r>
      <w:r w:rsidR="00122F78" w:rsidRPr="00382917">
        <w:t>As</w:t>
      </w:r>
      <w:r w:rsidR="00EE4FC3">
        <w:t xml:space="preserve"> </w:t>
      </w:r>
      <w:r w:rsidR="00122F78" w:rsidRPr="00382917">
        <w:t>soon</w:t>
      </w:r>
      <w:r w:rsidR="00EE4FC3">
        <w:t xml:space="preserve"> </w:t>
      </w:r>
      <w:r w:rsidR="00122F78" w:rsidRPr="00382917">
        <w:t>as</w:t>
      </w:r>
      <w:r w:rsidR="00EE4FC3">
        <w:t xml:space="preserve"> </w:t>
      </w:r>
      <w:r w:rsidR="00122F78" w:rsidRPr="00382917">
        <w:t>I</w:t>
      </w:r>
      <w:r w:rsidR="00EE4FC3">
        <w:t xml:space="preserve"> </w:t>
      </w:r>
      <w:r w:rsidR="00122F78" w:rsidRPr="00382917">
        <w:t>was</w:t>
      </w:r>
      <w:r w:rsidR="00EE4FC3">
        <w:t xml:space="preserve"> </w:t>
      </w:r>
      <w:r w:rsidR="00122F78" w:rsidRPr="00382917">
        <w:t>ushered</w:t>
      </w:r>
      <w:r w:rsidR="00EE4FC3">
        <w:t xml:space="preserve"> </w:t>
      </w:r>
      <w:r w:rsidR="00122F78" w:rsidRPr="00382917">
        <w:t>into</w:t>
      </w:r>
      <w:r w:rsidR="00EE4FC3">
        <w:t xml:space="preserve"> </w:t>
      </w:r>
      <w:r w:rsidR="00122F78" w:rsidRPr="00382917">
        <w:t>the</w:t>
      </w:r>
      <w:r w:rsidR="00EE4FC3">
        <w:t xml:space="preserve"> </w:t>
      </w:r>
      <w:r w:rsidR="00122F78" w:rsidRPr="00382917">
        <w:t>Báb</w:t>
      </w:r>
      <w:r w:rsidRPr="00382917">
        <w:t>’</w:t>
      </w:r>
      <w:r w:rsidR="00122F78" w:rsidRPr="00382917">
        <w:t>s</w:t>
      </w:r>
      <w:r w:rsidR="00EE4FC3">
        <w:t xml:space="preserve"> </w:t>
      </w:r>
      <w:r w:rsidR="00122F78" w:rsidRPr="00382917">
        <w:t>presence,</w:t>
      </w:r>
      <w:r w:rsidR="00EE4FC3">
        <w:t xml:space="preserve"> </w:t>
      </w:r>
      <w:r w:rsidR="00122F78" w:rsidRPr="00382917">
        <w:t>a</w:t>
      </w:r>
      <w:r w:rsidR="00EE4FC3">
        <w:t xml:space="preserve"> </w:t>
      </w:r>
      <w:r w:rsidR="00122F78" w:rsidRPr="00382917">
        <w:t>sense</w:t>
      </w:r>
      <w:r w:rsidR="00EE4FC3">
        <w:t xml:space="preserve"> </w:t>
      </w:r>
      <w:r w:rsidR="00122F78" w:rsidRPr="00382917">
        <w:t>of</w:t>
      </w:r>
      <w:r w:rsidR="00EE4FC3">
        <w:t xml:space="preserve"> </w:t>
      </w:r>
      <w:r w:rsidR="00122F78" w:rsidRPr="00382917">
        <w:t>fear,</w:t>
      </w:r>
      <w:r w:rsidR="00EE4FC3">
        <w:t xml:space="preserve"> </w:t>
      </w:r>
      <w:r w:rsidR="00122F78" w:rsidRPr="00382917">
        <w:t>for</w:t>
      </w:r>
      <w:r w:rsidR="00EE4FC3">
        <w:t xml:space="preserve"> </w:t>
      </w:r>
      <w:r w:rsidR="00122F78" w:rsidRPr="00382917">
        <w:t>which</w:t>
      </w:r>
      <w:r w:rsidR="00EE4FC3">
        <w:t xml:space="preserve"> </w:t>
      </w:r>
      <w:r w:rsidR="00122F78" w:rsidRPr="00382917">
        <w:t>I</w:t>
      </w:r>
      <w:r w:rsidR="00EE4FC3">
        <w:t xml:space="preserve"> </w:t>
      </w:r>
      <w:r w:rsidR="00122F78" w:rsidRPr="00382917">
        <w:t>could</w:t>
      </w:r>
      <w:r w:rsidR="00EE4FC3">
        <w:t xml:space="preserve"> </w:t>
      </w:r>
      <w:r w:rsidR="00122F78" w:rsidRPr="00382917">
        <w:t>not</w:t>
      </w:r>
      <w:r w:rsidR="00EE4FC3">
        <w:t xml:space="preserve"> </w:t>
      </w:r>
      <w:r w:rsidR="00122F78" w:rsidRPr="00382917">
        <w:t>account,</w:t>
      </w:r>
      <w:r w:rsidR="00EE4FC3">
        <w:t xml:space="preserve"> </w:t>
      </w:r>
      <w:r w:rsidR="00122F78" w:rsidRPr="00382917">
        <w:t>seized</w:t>
      </w:r>
      <w:r w:rsidR="00EE4FC3">
        <w:t xml:space="preserve"> </w:t>
      </w:r>
      <w:r w:rsidR="00122F78" w:rsidRPr="00382917">
        <w:t>me</w:t>
      </w:r>
      <w:r w:rsidR="00C03C91">
        <w:t>.</w:t>
      </w:r>
      <w:r w:rsidR="00EE4FC3">
        <w:t xml:space="preserve">  </w:t>
      </w:r>
      <w:r w:rsidR="00122F78" w:rsidRPr="00382917">
        <w:t>My</w:t>
      </w:r>
      <w:r w:rsidR="00EE4FC3">
        <w:t xml:space="preserve"> </w:t>
      </w:r>
      <w:r w:rsidR="00122F78" w:rsidRPr="00382917">
        <w:t>limbs</w:t>
      </w:r>
      <w:r w:rsidR="00EE4FC3">
        <w:t xml:space="preserve"> </w:t>
      </w:r>
      <w:r w:rsidR="00122F78" w:rsidRPr="00382917">
        <w:t>quivered</w:t>
      </w:r>
      <w:r w:rsidR="00EE4FC3">
        <w:t xml:space="preserve"> </w:t>
      </w:r>
      <w:r w:rsidR="00122F78" w:rsidRPr="00382917">
        <w:t>as</w:t>
      </w:r>
      <w:r w:rsidR="00EE4FC3">
        <w:t xml:space="preserve"> </w:t>
      </w:r>
      <w:r w:rsidR="00122F78" w:rsidRPr="00382917">
        <w:t>I</w:t>
      </w:r>
      <w:r w:rsidR="00EE4FC3">
        <w:t xml:space="preserve"> </w:t>
      </w:r>
      <w:r w:rsidR="00122F78" w:rsidRPr="00382917">
        <w:t>beheld</w:t>
      </w:r>
      <w:r w:rsidR="00EE4FC3">
        <w:t xml:space="preserve"> </w:t>
      </w:r>
      <w:r w:rsidR="00122F78" w:rsidRPr="00382917">
        <w:t>his</w:t>
      </w:r>
      <w:r w:rsidR="00EE4FC3">
        <w:t xml:space="preserve"> </w:t>
      </w:r>
      <w:r w:rsidR="00122F78" w:rsidRPr="00382917">
        <w:t>face</w:t>
      </w:r>
      <w:r w:rsidR="00C03C91">
        <w:t>.</w:t>
      </w:r>
      <w:r w:rsidR="00EE4FC3">
        <w:t xml:space="preserve">  </w:t>
      </w:r>
      <w:r w:rsidR="00122F78" w:rsidRPr="00382917">
        <w:t>On</w:t>
      </w:r>
      <w:r w:rsidR="00EE4FC3">
        <w:t xml:space="preserve"> </w:t>
      </w:r>
      <w:r w:rsidR="00122F78" w:rsidRPr="00382917">
        <w:t>repeated</w:t>
      </w:r>
      <w:r w:rsidR="00EE4FC3">
        <w:t xml:space="preserve"> </w:t>
      </w:r>
      <w:r w:rsidR="00122F78" w:rsidRPr="00382917">
        <w:t>occasions</w:t>
      </w:r>
      <w:r w:rsidR="00EE4FC3">
        <w:t xml:space="preserve"> </w:t>
      </w:r>
      <w:r w:rsidR="00122F78" w:rsidRPr="00382917">
        <w:t>I</w:t>
      </w:r>
      <w:r w:rsidR="00EE4FC3">
        <w:t xml:space="preserve"> </w:t>
      </w:r>
      <w:r w:rsidR="00122F78" w:rsidRPr="00382917">
        <w:t>had</w:t>
      </w:r>
      <w:r w:rsidR="00EE4FC3">
        <w:t xml:space="preserve"> </w:t>
      </w:r>
      <w:r w:rsidR="00122F78" w:rsidRPr="00382917">
        <w:t>been</w:t>
      </w:r>
      <w:r w:rsidR="00EE4FC3">
        <w:t xml:space="preserve"> </w:t>
      </w:r>
      <w:r w:rsidR="00122F78" w:rsidRPr="00382917">
        <w:t>in</w:t>
      </w:r>
      <w:r w:rsidR="00EE4FC3">
        <w:t xml:space="preserve"> </w:t>
      </w:r>
      <w:r w:rsidR="00122F78" w:rsidRPr="00382917">
        <w:t>the</w:t>
      </w:r>
      <w:r w:rsidR="00EE4FC3">
        <w:t xml:space="preserve"> </w:t>
      </w:r>
      <w:r w:rsidR="00122F78" w:rsidRPr="00382917">
        <w:t>presence</w:t>
      </w:r>
      <w:r w:rsidR="00EE4FC3">
        <w:t xml:space="preserve"> </w:t>
      </w:r>
      <w:r w:rsidR="00122F78" w:rsidRPr="00382917">
        <w:t>of</w:t>
      </w:r>
      <w:r w:rsidR="00EE4FC3">
        <w:t xml:space="preserve"> </w:t>
      </w:r>
      <w:r w:rsidR="00122F78" w:rsidRPr="00382917">
        <w:t>the</w:t>
      </w:r>
      <w:r w:rsidR="00EE4FC3">
        <w:t xml:space="preserve"> </w:t>
      </w:r>
      <w:r w:rsidR="00122F78" w:rsidRPr="00382917">
        <w:t>king</w:t>
      </w:r>
      <w:r w:rsidR="00EE4FC3">
        <w:t xml:space="preserve"> </w:t>
      </w:r>
      <w:r w:rsidR="00122F78" w:rsidRPr="00382917">
        <w:t>without</w:t>
      </w:r>
      <w:r w:rsidR="00EE4FC3">
        <w:t xml:space="preserve"> </w:t>
      </w:r>
      <w:r w:rsidR="00122F78" w:rsidRPr="00382917">
        <w:t>feeling</w:t>
      </w:r>
      <w:r w:rsidR="00EE4FC3">
        <w:t xml:space="preserve"> </w:t>
      </w:r>
      <w:r w:rsidR="00122F78" w:rsidRPr="00382917">
        <w:t>the</w:t>
      </w:r>
      <w:r w:rsidR="00EE4FC3">
        <w:t xml:space="preserve"> </w:t>
      </w:r>
      <w:r w:rsidR="00122F78" w:rsidRPr="00382917">
        <w:t>slightest</w:t>
      </w:r>
      <w:r w:rsidR="00EE4FC3">
        <w:t xml:space="preserve"> </w:t>
      </w:r>
      <w:r w:rsidR="00122F78" w:rsidRPr="00382917">
        <w:t>trace</w:t>
      </w:r>
      <w:r w:rsidR="00EE4FC3">
        <w:t xml:space="preserve"> </w:t>
      </w:r>
      <w:r w:rsidR="00122F78" w:rsidRPr="00382917">
        <w:t>of</w:t>
      </w:r>
      <w:r w:rsidR="00EE4FC3">
        <w:t xml:space="preserve"> </w:t>
      </w:r>
      <w:r w:rsidR="00122F78" w:rsidRPr="00382917">
        <w:t>timidity,</w:t>
      </w:r>
      <w:r w:rsidR="00EE4FC3">
        <w:t xml:space="preserve"> </w:t>
      </w:r>
      <w:r w:rsidR="00122F78" w:rsidRPr="00382917">
        <w:t>but</w:t>
      </w:r>
      <w:r w:rsidR="00EE4FC3">
        <w:t xml:space="preserve"> </w:t>
      </w:r>
      <w:r w:rsidR="00122F78" w:rsidRPr="00382917">
        <w:t>I</w:t>
      </w:r>
      <w:r w:rsidR="00EE4FC3">
        <w:t xml:space="preserve"> </w:t>
      </w:r>
      <w:r w:rsidR="00122F78" w:rsidRPr="00382917">
        <w:t>was</w:t>
      </w:r>
      <w:r w:rsidR="00EE4FC3">
        <w:t xml:space="preserve"> </w:t>
      </w:r>
      <w:r w:rsidR="00122F78" w:rsidRPr="00382917">
        <w:t>now</w:t>
      </w:r>
      <w:r w:rsidR="00EE4FC3">
        <w:t xml:space="preserve"> </w:t>
      </w:r>
      <w:r w:rsidR="00122F78" w:rsidRPr="00382917">
        <w:t>so</w:t>
      </w:r>
      <w:r w:rsidR="00EE4FC3">
        <w:t xml:space="preserve"> </w:t>
      </w:r>
      <w:r w:rsidR="00122F78" w:rsidRPr="00382917">
        <w:t>awed</w:t>
      </w:r>
      <w:r w:rsidR="00EE4FC3">
        <w:t xml:space="preserve"> </w:t>
      </w:r>
      <w:r w:rsidR="00122F78" w:rsidRPr="00382917">
        <w:t>and</w:t>
      </w:r>
      <w:r w:rsidR="00EE4FC3">
        <w:t xml:space="preserve"> </w:t>
      </w:r>
      <w:r w:rsidR="00122F78" w:rsidRPr="00382917">
        <w:t>shaken</w:t>
      </w:r>
      <w:r w:rsidR="00EE4FC3">
        <w:t xml:space="preserve"> </w:t>
      </w:r>
      <w:r w:rsidR="00122F78" w:rsidRPr="00382917">
        <w:t>that</w:t>
      </w:r>
      <w:r w:rsidR="00EE4FC3">
        <w:t xml:space="preserve"> </w:t>
      </w:r>
      <w:r w:rsidR="00122F78" w:rsidRPr="00382917">
        <w:t>I</w:t>
      </w:r>
      <w:r w:rsidR="00EE4FC3">
        <w:t xml:space="preserve"> </w:t>
      </w:r>
      <w:r w:rsidR="00122F78" w:rsidRPr="00382917">
        <w:t>could</w:t>
      </w:r>
      <w:r w:rsidR="00EE4FC3">
        <w:t xml:space="preserve"> </w:t>
      </w:r>
      <w:r w:rsidR="00122F78" w:rsidRPr="00382917">
        <w:t>not</w:t>
      </w:r>
      <w:r w:rsidR="00EE4FC3">
        <w:t xml:space="preserve"> </w:t>
      </w:r>
      <w:r w:rsidR="00122F78" w:rsidRPr="00382917">
        <w:t>remain</w:t>
      </w:r>
      <w:r w:rsidR="00EE4FC3">
        <w:t xml:space="preserve"> </w:t>
      </w:r>
      <w:r w:rsidR="00122F78" w:rsidRPr="00382917">
        <w:t>standing</w:t>
      </w:r>
      <w:r w:rsidR="00EE4FC3">
        <w:t xml:space="preserve"> </w:t>
      </w:r>
      <w:r w:rsidR="00122F78" w:rsidRPr="00382917">
        <w:t>on</w:t>
      </w:r>
      <w:r w:rsidR="00EE4FC3">
        <w:t xml:space="preserve"> </w:t>
      </w:r>
      <w:r w:rsidR="00122F78" w:rsidRPr="00382917">
        <w:t>my</w:t>
      </w:r>
      <w:r w:rsidR="00EE4FC3">
        <w:t xml:space="preserve"> </w:t>
      </w:r>
      <w:r w:rsidR="00122F78" w:rsidRPr="00382917">
        <w:t>feet.</w:t>
      </w:r>
    </w:p>
    <w:p w:rsidR="00122F78" w:rsidRPr="00382917" w:rsidRDefault="009C713D" w:rsidP="00122F78">
      <w:pPr>
        <w:pStyle w:val="Text"/>
      </w:pPr>
      <w:r w:rsidRPr="00382917">
        <w:t>“</w:t>
      </w:r>
      <w:r w:rsidR="00122F78" w:rsidRPr="00382917">
        <w:t>The</w:t>
      </w:r>
      <w:r w:rsidR="00EE4FC3">
        <w:t xml:space="preserve"> </w:t>
      </w:r>
      <w:r w:rsidR="00122F78" w:rsidRPr="00382917">
        <w:t>Báb</w:t>
      </w:r>
      <w:r w:rsidR="00EE4FC3">
        <w:t xml:space="preserve"> </w:t>
      </w:r>
      <w:r w:rsidR="00122F78" w:rsidRPr="00382917">
        <w:t>beheld</w:t>
      </w:r>
      <w:r w:rsidR="00EE4FC3">
        <w:t xml:space="preserve"> </w:t>
      </w:r>
      <w:r w:rsidR="00122F78" w:rsidRPr="00382917">
        <w:t>my</w:t>
      </w:r>
      <w:r w:rsidR="00EE4FC3">
        <w:t xml:space="preserve"> </w:t>
      </w:r>
      <w:r w:rsidR="00122F78" w:rsidRPr="00382917">
        <w:t>plight</w:t>
      </w:r>
      <w:r w:rsidR="00C03C91">
        <w:t>.</w:t>
      </w:r>
      <w:r w:rsidR="00EE4FC3">
        <w:t xml:space="preserve">  </w:t>
      </w:r>
      <w:r w:rsidR="00122F78" w:rsidRPr="00382917">
        <w:t>He</w:t>
      </w:r>
      <w:r w:rsidR="00EE4FC3">
        <w:t xml:space="preserve"> </w:t>
      </w:r>
      <w:r w:rsidR="00122F78" w:rsidRPr="00382917">
        <w:t>arose</w:t>
      </w:r>
      <w:r w:rsidR="00EE4FC3">
        <w:t xml:space="preserve"> </w:t>
      </w:r>
      <w:r w:rsidR="00122F78" w:rsidRPr="00382917">
        <w:t>from</w:t>
      </w:r>
      <w:r w:rsidR="00EE4FC3">
        <w:t xml:space="preserve"> </w:t>
      </w:r>
      <w:r w:rsidR="00122F78" w:rsidRPr="00382917">
        <w:t>his</w:t>
      </w:r>
      <w:r w:rsidR="00EE4FC3">
        <w:t xml:space="preserve"> </w:t>
      </w:r>
      <w:r w:rsidR="00122F78" w:rsidRPr="00382917">
        <w:t>seat</w:t>
      </w:r>
      <w:r w:rsidR="00EE4FC3">
        <w:t xml:space="preserve"> </w:t>
      </w:r>
      <w:r w:rsidR="00122F78" w:rsidRPr="00382917">
        <w:t>and</w:t>
      </w:r>
      <w:r w:rsidR="00EE4FC3">
        <w:t xml:space="preserve"> </w:t>
      </w:r>
      <w:r w:rsidR="00122F78" w:rsidRPr="00382917">
        <w:t>came</w:t>
      </w:r>
      <w:r w:rsidR="00EE4FC3">
        <w:t xml:space="preserve"> </w:t>
      </w:r>
      <w:r w:rsidR="00122F78" w:rsidRPr="00382917">
        <w:t>to</w:t>
      </w:r>
      <w:r w:rsidR="00EE4FC3">
        <w:t xml:space="preserve"> </w:t>
      </w:r>
      <w:r w:rsidR="00122F78" w:rsidRPr="00382917">
        <w:t>me</w:t>
      </w:r>
      <w:r w:rsidR="00C03C91">
        <w:t>.</w:t>
      </w:r>
      <w:r w:rsidR="00EE4FC3">
        <w:t xml:space="preserve">  </w:t>
      </w:r>
      <w:r w:rsidR="00122F78" w:rsidRPr="00382917">
        <w:t>He</w:t>
      </w:r>
      <w:r w:rsidR="00EE4FC3">
        <w:t xml:space="preserve"> </w:t>
      </w:r>
      <w:r w:rsidR="00122F78" w:rsidRPr="00382917">
        <w:t>took</w:t>
      </w:r>
      <w:r w:rsidR="00EE4FC3">
        <w:t xml:space="preserve"> </w:t>
      </w:r>
      <w:r w:rsidR="00122F78" w:rsidRPr="00382917">
        <w:t>my</w:t>
      </w:r>
      <w:r w:rsidR="00EE4FC3">
        <w:t xml:space="preserve"> </w:t>
      </w:r>
      <w:r w:rsidR="00122F78" w:rsidRPr="00382917">
        <w:t>hand</w:t>
      </w:r>
      <w:r w:rsidR="00EE4FC3">
        <w:t xml:space="preserve"> </w:t>
      </w:r>
      <w:r w:rsidR="00122F78" w:rsidRPr="00382917">
        <w:t>and</w:t>
      </w:r>
      <w:r w:rsidR="00EE4FC3">
        <w:t xml:space="preserve"> </w:t>
      </w:r>
      <w:r w:rsidR="00122F78" w:rsidRPr="00382917">
        <w:t>seated</w:t>
      </w:r>
      <w:r w:rsidR="00EE4FC3">
        <w:t xml:space="preserve"> </w:t>
      </w:r>
      <w:r w:rsidR="00122F78" w:rsidRPr="00382917">
        <w:t>me</w:t>
      </w:r>
      <w:r w:rsidR="00EE4FC3">
        <w:t xml:space="preserve"> </w:t>
      </w:r>
      <w:r w:rsidR="00122F78" w:rsidRPr="00382917">
        <w:t>beside</w:t>
      </w:r>
      <w:r w:rsidR="00EE4FC3">
        <w:t xml:space="preserve"> </w:t>
      </w:r>
      <w:r w:rsidR="00122F78" w:rsidRPr="00382917">
        <w:t>him.</w:t>
      </w:r>
    </w:p>
    <w:p w:rsidR="00122F78" w:rsidRPr="00382917" w:rsidRDefault="009C713D" w:rsidP="00122F78">
      <w:pPr>
        <w:pStyle w:val="Text"/>
      </w:pPr>
      <w:r w:rsidRPr="00382917">
        <w:t>“‘</w:t>
      </w:r>
      <w:r w:rsidR="00122F78" w:rsidRPr="00382917">
        <w:t>Seek</w:t>
      </w:r>
      <w:r w:rsidR="00EE4FC3">
        <w:t xml:space="preserve"> </w:t>
      </w:r>
      <w:r w:rsidR="00122F78" w:rsidRPr="00382917">
        <w:t>from</w:t>
      </w:r>
      <w:r w:rsidR="00EE4FC3">
        <w:t xml:space="preserve"> </w:t>
      </w:r>
      <w:proofErr w:type="gramStart"/>
      <w:r w:rsidR="00122F78" w:rsidRPr="00382917">
        <w:t>Me</w:t>
      </w:r>
      <w:proofErr w:type="gramEnd"/>
      <w:r w:rsidR="004F2077">
        <w:t>,</w:t>
      </w:r>
      <w:r w:rsidRPr="00382917">
        <w:t>’</w:t>
      </w:r>
      <w:r w:rsidR="00EE4FC3">
        <w:t xml:space="preserve"> </w:t>
      </w:r>
      <w:r w:rsidR="00122F78" w:rsidRPr="00382917">
        <w:t>he</w:t>
      </w:r>
      <w:r w:rsidR="00EE4FC3">
        <w:t xml:space="preserve"> </w:t>
      </w:r>
      <w:r w:rsidR="00122F78" w:rsidRPr="00382917">
        <w:t>said</w:t>
      </w:r>
      <w:r w:rsidR="00C03C91">
        <w:t>.</w:t>
      </w:r>
      <w:r w:rsidR="00EE4FC3">
        <w:t xml:space="preserve">  </w:t>
      </w:r>
      <w:r w:rsidRPr="00382917">
        <w:t>‘</w:t>
      </w:r>
      <w:r w:rsidR="00122F78" w:rsidRPr="00382917">
        <w:t>Whatever</w:t>
      </w:r>
      <w:r w:rsidR="00EE4FC3">
        <w:t xml:space="preserve"> </w:t>
      </w:r>
      <w:r w:rsidR="00122F78" w:rsidRPr="00382917">
        <w:t>is</w:t>
      </w:r>
      <w:r w:rsidR="00EE4FC3">
        <w:t xml:space="preserve"> </w:t>
      </w:r>
      <w:r w:rsidR="00122F78" w:rsidRPr="00382917">
        <w:t>your</w:t>
      </w:r>
      <w:r w:rsidR="00EE4FC3">
        <w:t xml:space="preserve"> </w:t>
      </w:r>
      <w:r w:rsidR="00122F78" w:rsidRPr="00382917">
        <w:t>heart</w:t>
      </w:r>
      <w:r w:rsidRPr="00382917">
        <w:t>’</w:t>
      </w:r>
      <w:r w:rsidR="00122F78" w:rsidRPr="00382917">
        <w:t>s</w:t>
      </w:r>
      <w:r w:rsidR="00EE4FC3">
        <w:t xml:space="preserve"> </w:t>
      </w:r>
      <w:proofErr w:type="gramStart"/>
      <w:r w:rsidR="00122F78" w:rsidRPr="00382917">
        <w:t>desire.</w:t>
      </w:r>
      <w:proofErr w:type="gramEnd"/>
      <w:r w:rsidRPr="00382917">
        <w:t>’</w:t>
      </w:r>
      <w:r w:rsidR="00EE4FC3">
        <w:t xml:space="preserve">  </w:t>
      </w:r>
      <w:r w:rsidRPr="00382917">
        <w:t>‘</w:t>
      </w:r>
      <w:r w:rsidR="00122F78" w:rsidRPr="00382917">
        <w:t>I</w:t>
      </w:r>
      <w:r w:rsidR="00EE4FC3">
        <w:t xml:space="preserve"> </w:t>
      </w:r>
      <w:r w:rsidR="00122F78" w:rsidRPr="00382917">
        <w:t>will</w:t>
      </w:r>
      <w:r w:rsidR="00EE4FC3">
        <w:t xml:space="preserve"> </w:t>
      </w:r>
      <w:r w:rsidR="00122F78" w:rsidRPr="00382917">
        <w:t>readily</w:t>
      </w:r>
      <w:r w:rsidR="00EE4FC3">
        <w:t xml:space="preserve"> </w:t>
      </w:r>
      <w:r w:rsidR="00122F78" w:rsidRPr="00382917">
        <w:t>reveal</w:t>
      </w:r>
      <w:r w:rsidR="00EE4FC3">
        <w:t xml:space="preserve"> </w:t>
      </w:r>
      <w:r w:rsidR="00122F78" w:rsidRPr="00382917">
        <w:t>it</w:t>
      </w:r>
      <w:r w:rsidR="00EE4FC3">
        <w:t xml:space="preserve"> </w:t>
      </w:r>
      <w:r w:rsidR="00122F78" w:rsidRPr="00382917">
        <w:t>to</w:t>
      </w:r>
      <w:r w:rsidR="00EE4FC3">
        <w:t xml:space="preserve"> </w:t>
      </w:r>
      <w:r w:rsidR="00122F78" w:rsidRPr="00382917">
        <w:t>you.</w:t>
      </w:r>
      <w:r w:rsidRPr="00382917">
        <w:t>’</w:t>
      </w:r>
    </w:p>
    <w:p w:rsidR="00122F78" w:rsidRPr="00382917" w:rsidRDefault="009C713D" w:rsidP="00122F78">
      <w:pPr>
        <w:pStyle w:val="Text"/>
      </w:pPr>
      <w:r w:rsidRPr="00382917">
        <w:t>“</w:t>
      </w:r>
      <w:r w:rsidR="00122F78" w:rsidRPr="00382917">
        <w:t>I</w:t>
      </w:r>
      <w:r w:rsidR="00EE4FC3">
        <w:t xml:space="preserve"> </w:t>
      </w:r>
      <w:r w:rsidR="00122F78" w:rsidRPr="00382917">
        <w:t>was</w:t>
      </w:r>
      <w:r w:rsidR="00EE4FC3">
        <w:t xml:space="preserve"> </w:t>
      </w:r>
      <w:r w:rsidR="00122F78" w:rsidRPr="00382917">
        <w:t>helpless</w:t>
      </w:r>
      <w:r w:rsidR="00C03C91">
        <w:t>.</w:t>
      </w:r>
      <w:r w:rsidR="00EE4FC3">
        <w:t xml:space="preserve">  </w:t>
      </w:r>
      <w:r w:rsidR="00122F78" w:rsidRPr="00382917">
        <w:t>I</w:t>
      </w:r>
      <w:r w:rsidR="00EE4FC3">
        <w:t xml:space="preserve"> </w:t>
      </w:r>
      <w:r w:rsidR="00122F78" w:rsidRPr="00382917">
        <w:t>felt</w:t>
      </w:r>
      <w:r w:rsidR="00EE4FC3">
        <w:t xml:space="preserve"> </w:t>
      </w:r>
      <w:r w:rsidR="00122F78" w:rsidRPr="00382917">
        <w:t>powerless</w:t>
      </w:r>
      <w:r w:rsidR="00EE4FC3">
        <w:t xml:space="preserve"> </w:t>
      </w:r>
      <w:r w:rsidR="00122F78" w:rsidRPr="00382917">
        <w:t>to</w:t>
      </w:r>
      <w:r w:rsidR="00EE4FC3">
        <w:t xml:space="preserve"> </w:t>
      </w:r>
      <w:r w:rsidR="00122F78" w:rsidRPr="00382917">
        <w:t>speak</w:t>
      </w:r>
      <w:r w:rsidR="00C03C91">
        <w:t>.</w:t>
      </w:r>
      <w:r w:rsidR="00EE4FC3">
        <w:t xml:space="preserve">  </w:t>
      </w:r>
      <w:r w:rsidR="00122F78" w:rsidRPr="00382917">
        <w:t>He</w:t>
      </w:r>
      <w:r w:rsidR="00EE4FC3">
        <w:t xml:space="preserve"> </w:t>
      </w:r>
      <w:r w:rsidR="00122F78" w:rsidRPr="00382917">
        <w:t>looked</w:t>
      </w:r>
      <w:r w:rsidR="00EE4FC3">
        <w:t xml:space="preserve"> </w:t>
      </w:r>
      <w:r w:rsidR="00122F78" w:rsidRPr="00382917">
        <w:t>at</w:t>
      </w:r>
      <w:r w:rsidR="00EE4FC3">
        <w:t xml:space="preserve"> </w:t>
      </w:r>
      <w:r w:rsidR="00122F78" w:rsidRPr="00382917">
        <w:t>me,</w:t>
      </w:r>
      <w:r w:rsidR="00EE4FC3">
        <w:t xml:space="preserve"> </w:t>
      </w:r>
      <w:r w:rsidR="00122F78" w:rsidRPr="00382917">
        <w:t>smiled,</w:t>
      </w:r>
      <w:r w:rsidR="00EE4FC3">
        <w:t xml:space="preserve"> </w:t>
      </w:r>
      <w:r w:rsidR="00122F78" w:rsidRPr="00382917">
        <w:t>and</w:t>
      </w:r>
      <w:r w:rsidR="00EE4FC3">
        <w:t xml:space="preserve"> </w:t>
      </w:r>
      <w:r w:rsidR="00122F78" w:rsidRPr="00382917">
        <w:t>said,</w:t>
      </w:r>
      <w:r w:rsidR="00EE4FC3">
        <w:t xml:space="preserve"> </w:t>
      </w:r>
      <w:r w:rsidRPr="00382917">
        <w:t>‘</w:t>
      </w:r>
      <w:r w:rsidR="00122F78" w:rsidRPr="00382917">
        <w:t>Were</w:t>
      </w:r>
      <w:r w:rsidR="00EE4FC3">
        <w:t xml:space="preserve"> </w:t>
      </w:r>
      <w:r w:rsidR="00122F78" w:rsidRPr="00382917">
        <w:t>I</w:t>
      </w:r>
      <w:r w:rsidR="00EE4FC3">
        <w:t xml:space="preserve"> </w:t>
      </w:r>
      <w:r w:rsidR="00122F78" w:rsidRPr="00382917">
        <w:t>to</w:t>
      </w:r>
      <w:r w:rsidR="00EE4FC3">
        <w:t xml:space="preserve"> </w:t>
      </w:r>
      <w:r w:rsidR="00122F78" w:rsidRPr="00382917">
        <w:t>reveal</w:t>
      </w:r>
      <w:r w:rsidR="00EE4FC3">
        <w:t xml:space="preserve"> </w:t>
      </w:r>
      <w:r w:rsidR="00122F78" w:rsidRPr="00382917">
        <w:t>unto</w:t>
      </w:r>
      <w:r w:rsidR="00EE4FC3">
        <w:t xml:space="preserve"> </w:t>
      </w:r>
      <w:r w:rsidR="00122F78" w:rsidRPr="00382917">
        <w:t>you</w:t>
      </w:r>
      <w:r w:rsidR="00EE4FC3">
        <w:t xml:space="preserve"> </w:t>
      </w:r>
      <w:r w:rsidR="00122F78" w:rsidRPr="00382917">
        <w:t>the</w:t>
      </w:r>
      <w:r w:rsidR="00EE4FC3">
        <w:t xml:space="preserve"> </w:t>
      </w:r>
      <w:r w:rsidR="00122F78" w:rsidRPr="00382917">
        <w:t>commentary</w:t>
      </w:r>
      <w:r w:rsidR="00EE4FC3">
        <w:t xml:space="preserve"> </w:t>
      </w:r>
      <w:r w:rsidR="00122F78" w:rsidRPr="00382917">
        <w:t>on</w:t>
      </w:r>
      <w:r w:rsidR="00EE4FC3">
        <w:t xml:space="preserve"> </w:t>
      </w:r>
      <w:r w:rsidR="00122F78" w:rsidRPr="00382917">
        <w:t>the</w:t>
      </w:r>
      <w:r w:rsidR="00EE4FC3">
        <w:t xml:space="preserve"> </w:t>
      </w:r>
      <w:r w:rsidR="00122F78" w:rsidRPr="00382917">
        <w:t>Súrih</w:t>
      </w:r>
      <w:r w:rsidR="00EE4FC3">
        <w:t xml:space="preserve"> </w:t>
      </w:r>
      <w:r w:rsidR="00122F78" w:rsidRPr="00382917">
        <w:t>of</w:t>
      </w:r>
      <w:r w:rsidR="00EE4FC3">
        <w:t xml:space="preserve"> </w:t>
      </w:r>
      <w:r w:rsidR="00122F78" w:rsidRPr="00382917">
        <w:t>Kaw</w:t>
      </w:r>
      <w:r w:rsidR="00122F78" w:rsidRPr="00382917">
        <w:rPr>
          <w:u w:val="single"/>
        </w:rPr>
        <w:t>th</w:t>
      </w:r>
      <w:r w:rsidR="00122F78" w:rsidRPr="00382917">
        <w:t>ar,</w:t>
      </w:r>
      <w:r w:rsidR="00EE4FC3">
        <w:t xml:space="preserve"> </w:t>
      </w:r>
      <w:r w:rsidR="00122F78" w:rsidRPr="00382917">
        <w:t>would</w:t>
      </w:r>
      <w:r w:rsidR="00EE4FC3">
        <w:t xml:space="preserve"> </w:t>
      </w:r>
      <w:r w:rsidR="00122F78" w:rsidRPr="00382917">
        <w:t>you</w:t>
      </w:r>
      <w:r w:rsidR="00EE4FC3">
        <w:t xml:space="preserve"> </w:t>
      </w:r>
      <w:r w:rsidR="00122F78" w:rsidRPr="00382917">
        <w:t>acknowledge</w:t>
      </w:r>
      <w:r w:rsidR="00EE4FC3">
        <w:t xml:space="preserve"> </w:t>
      </w:r>
      <w:r w:rsidR="00122F78" w:rsidRPr="00382917">
        <w:t>that</w:t>
      </w:r>
      <w:r w:rsidR="00EE4FC3">
        <w:t xml:space="preserve"> </w:t>
      </w:r>
      <w:proofErr w:type="gramStart"/>
      <w:r w:rsidR="00122F78" w:rsidRPr="00382917">
        <w:t>My</w:t>
      </w:r>
      <w:proofErr w:type="gramEnd"/>
      <w:r w:rsidR="00EE4FC3">
        <w:t xml:space="preserve"> </w:t>
      </w:r>
      <w:r w:rsidR="00122F78" w:rsidRPr="00382917">
        <w:t>words</w:t>
      </w:r>
      <w:r w:rsidR="00EE4FC3">
        <w:t xml:space="preserve"> </w:t>
      </w:r>
      <w:r w:rsidR="00122F78" w:rsidRPr="00382917">
        <w:t>are</w:t>
      </w:r>
      <w:r w:rsidR="00EE4FC3">
        <w:t xml:space="preserve"> </w:t>
      </w:r>
      <w:r w:rsidR="00122F78" w:rsidRPr="00382917">
        <w:t>born</w:t>
      </w:r>
      <w:r w:rsidR="00EE4FC3">
        <w:t xml:space="preserve"> </w:t>
      </w:r>
      <w:r w:rsidR="00122F78" w:rsidRPr="00382917">
        <w:t>of</w:t>
      </w:r>
      <w:r w:rsidR="00EE4FC3">
        <w:t xml:space="preserve"> </w:t>
      </w:r>
      <w:r w:rsidR="00122F78" w:rsidRPr="00382917">
        <w:t>the</w:t>
      </w:r>
      <w:r w:rsidR="00EE4FC3">
        <w:t xml:space="preserve"> </w:t>
      </w:r>
      <w:r w:rsidR="00122F78" w:rsidRPr="00382917">
        <w:t>Spirit</w:t>
      </w:r>
      <w:r w:rsidR="00EE4FC3">
        <w:t xml:space="preserve"> </w:t>
      </w:r>
      <w:r w:rsidR="00122F78" w:rsidRPr="00382917">
        <w:t>of</w:t>
      </w:r>
      <w:r w:rsidR="00EE4FC3">
        <w:t xml:space="preserve"> </w:t>
      </w:r>
      <w:r w:rsidR="00122F78" w:rsidRPr="00382917">
        <w:t>God?</w:t>
      </w:r>
      <w:r w:rsidR="00EE4FC3">
        <w:t xml:space="preserve">  </w:t>
      </w:r>
      <w:r w:rsidR="00122F78" w:rsidRPr="00382917">
        <w:t>Would</w:t>
      </w:r>
      <w:r w:rsidR="00EE4FC3">
        <w:t xml:space="preserve"> </w:t>
      </w:r>
      <w:r w:rsidR="00122F78" w:rsidRPr="00382917">
        <w:t>you</w:t>
      </w:r>
      <w:r w:rsidR="00EE4FC3">
        <w:t xml:space="preserve"> </w:t>
      </w:r>
      <w:r w:rsidR="00122F78" w:rsidRPr="00382917">
        <w:t>recognize</w:t>
      </w:r>
      <w:r w:rsidR="00EE4FC3">
        <w:t xml:space="preserve"> </w:t>
      </w:r>
      <w:r w:rsidR="00122F78" w:rsidRPr="00382917">
        <w:t>that</w:t>
      </w:r>
      <w:r w:rsidR="00EE4FC3">
        <w:t xml:space="preserve"> </w:t>
      </w:r>
      <w:proofErr w:type="gramStart"/>
      <w:r w:rsidR="00122F78" w:rsidRPr="00382917">
        <w:t>My</w:t>
      </w:r>
      <w:proofErr w:type="gramEnd"/>
      <w:r w:rsidR="00EE4FC3">
        <w:t xml:space="preserve"> </w:t>
      </w:r>
      <w:r w:rsidR="00122F78" w:rsidRPr="00382917">
        <w:t>utterance</w:t>
      </w:r>
      <w:r w:rsidR="00EE4FC3">
        <w:t xml:space="preserve"> </w:t>
      </w:r>
      <w:r w:rsidR="00122F78" w:rsidRPr="00382917">
        <w:t>can</w:t>
      </w:r>
      <w:r w:rsidR="00EE4FC3">
        <w:t xml:space="preserve"> </w:t>
      </w:r>
      <w:r w:rsidR="00122F78" w:rsidRPr="00382917">
        <w:t>in</w:t>
      </w:r>
      <w:r w:rsidR="00EE4FC3">
        <w:t xml:space="preserve"> </w:t>
      </w:r>
      <w:r w:rsidR="00122F78" w:rsidRPr="00382917">
        <w:t>no</w:t>
      </w:r>
      <w:r w:rsidR="00EE4FC3">
        <w:t xml:space="preserve"> </w:t>
      </w:r>
      <w:r w:rsidR="00122F78" w:rsidRPr="00382917">
        <w:t>wise</w:t>
      </w:r>
      <w:r w:rsidR="00EE4FC3">
        <w:t xml:space="preserve"> </w:t>
      </w:r>
      <w:r w:rsidR="00122F78" w:rsidRPr="00382917">
        <w:t>be</w:t>
      </w:r>
      <w:r w:rsidR="00EE4FC3">
        <w:t xml:space="preserve"> </w:t>
      </w:r>
      <w:r w:rsidR="00122F78" w:rsidRPr="00382917">
        <w:t>associated</w:t>
      </w:r>
      <w:r w:rsidR="00EE4FC3">
        <w:t xml:space="preserve"> </w:t>
      </w:r>
      <w:r w:rsidR="00122F78" w:rsidRPr="00382917">
        <w:t>with</w:t>
      </w:r>
      <w:r w:rsidR="00EE4FC3">
        <w:t xml:space="preserve"> </w:t>
      </w:r>
      <w:r w:rsidR="00122F78" w:rsidRPr="00382917">
        <w:t>sorcery</w:t>
      </w:r>
      <w:r w:rsidR="00EE4FC3">
        <w:t xml:space="preserve"> </w:t>
      </w:r>
      <w:r w:rsidR="00122F78" w:rsidRPr="00382917">
        <w:t>or</w:t>
      </w:r>
      <w:r w:rsidR="00EE4FC3">
        <w:t xml:space="preserve"> </w:t>
      </w:r>
      <w:r w:rsidR="00122F78" w:rsidRPr="00382917">
        <w:t>magic?</w:t>
      </w:r>
      <w:r w:rsidRPr="00382917">
        <w:t>’</w:t>
      </w:r>
    </w:p>
    <w:p w:rsidR="00122F78" w:rsidRPr="00382917" w:rsidRDefault="009C713D" w:rsidP="00122F78">
      <w:pPr>
        <w:pStyle w:val="Text"/>
      </w:pPr>
      <w:r w:rsidRPr="00382917">
        <w:t>“</w:t>
      </w:r>
      <w:r w:rsidR="00122F78" w:rsidRPr="00382917">
        <w:t>Tears</w:t>
      </w:r>
      <w:r w:rsidR="00EE4FC3">
        <w:t xml:space="preserve"> </w:t>
      </w:r>
      <w:r w:rsidR="00122F78" w:rsidRPr="00382917">
        <w:t>came</w:t>
      </w:r>
      <w:r w:rsidR="00EE4FC3">
        <w:t xml:space="preserve"> </w:t>
      </w:r>
      <w:r w:rsidR="00122F78" w:rsidRPr="00382917">
        <w:t>to</w:t>
      </w:r>
      <w:r w:rsidR="00EE4FC3">
        <w:t xml:space="preserve"> </w:t>
      </w:r>
      <w:r w:rsidR="00122F78" w:rsidRPr="00382917">
        <w:t>my</w:t>
      </w:r>
      <w:r w:rsidR="00EE4FC3">
        <w:t xml:space="preserve"> </w:t>
      </w:r>
      <w:r w:rsidR="00122F78" w:rsidRPr="00382917">
        <w:t>eyes</w:t>
      </w:r>
      <w:r w:rsidR="00EE4FC3">
        <w:t xml:space="preserve"> </w:t>
      </w:r>
      <w:r w:rsidR="00122F78" w:rsidRPr="00382917">
        <w:t>as</w:t>
      </w:r>
      <w:r w:rsidR="00EE4FC3">
        <w:t xml:space="preserve"> </w:t>
      </w:r>
      <w:r w:rsidR="00122F78" w:rsidRPr="00382917">
        <w:t>I</w:t>
      </w:r>
      <w:r w:rsidR="00EE4FC3">
        <w:t xml:space="preserve"> </w:t>
      </w:r>
      <w:r w:rsidR="00122F78" w:rsidRPr="00382917">
        <w:t>heard</w:t>
      </w:r>
      <w:r w:rsidR="00EE4FC3">
        <w:t xml:space="preserve"> </w:t>
      </w:r>
      <w:r w:rsidR="00122F78" w:rsidRPr="00382917">
        <w:t>him</w:t>
      </w:r>
      <w:r w:rsidR="00EE4FC3">
        <w:t xml:space="preserve"> </w:t>
      </w:r>
      <w:r w:rsidR="00122F78" w:rsidRPr="00382917">
        <w:t>speak</w:t>
      </w:r>
      <w:r w:rsidR="00EE4FC3">
        <w:t xml:space="preserve"> </w:t>
      </w:r>
      <w:r w:rsidR="00122F78" w:rsidRPr="00382917">
        <w:t>these</w:t>
      </w:r>
      <w:r w:rsidR="00EE4FC3">
        <w:t xml:space="preserve"> </w:t>
      </w:r>
      <w:r w:rsidR="00122F78" w:rsidRPr="00382917">
        <w:t>words</w:t>
      </w:r>
      <w:r w:rsidR="00C03C91">
        <w:t>.</w:t>
      </w:r>
      <w:r w:rsidR="00EE4FC3">
        <w:t xml:space="preserve">  </w:t>
      </w:r>
      <w:r w:rsidR="00122F78" w:rsidRPr="00382917">
        <w:t>All</w:t>
      </w:r>
      <w:r w:rsidR="00EE4FC3">
        <w:t xml:space="preserve"> </w:t>
      </w:r>
      <w:r w:rsidR="00122F78" w:rsidRPr="00382917">
        <w:t>I</w:t>
      </w:r>
      <w:r w:rsidR="00EE4FC3">
        <w:t xml:space="preserve"> </w:t>
      </w:r>
      <w:r w:rsidR="00122F78" w:rsidRPr="00382917">
        <w:t>was</w:t>
      </w:r>
      <w:r w:rsidR="00EE4FC3">
        <w:t xml:space="preserve"> </w:t>
      </w:r>
      <w:r w:rsidR="00122F78" w:rsidRPr="00382917">
        <w:t>able</w:t>
      </w:r>
      <w:r w:rsidR="00EE4FC3">
        <w:t xml:space="preserve"> </w:t>
      </w:r>
      <w:r w:rsidR="00122F78" w:rsidRPr="00382917">
        <w:t>to</w:t>
      </w:r>
      <w:r w:rsidR="00EE4FC3">
        <w:t xml:space="preserve"> </w:t>
      </w:r>
      <w:r w:rsidR="00122F78" w:rsidRPr="00382917">
        <w:t>say</w:t>
      </w:r>
      <w:r w:rsidR="00EE4FC3">
        <w:t xml:space="preserve"> </w:t>
      </w:r>
      <w:r w:rsidR="00122F78" w:rsidRPr="00382917">
        <w:t>were</w:t>
      </w:r>
      <w:r w:rsidR="00EE4FC3">
        <w:t xml:space="preserve"> </w:t>
      </w:r>
      <w:r w:rsidR="00122F78" w:rsidRPr="00382917">
        <w:t>the</w:t>
      </w:r>
      <w:r w:rsidR="00EE4FC3">
        <w:t xml:space="preserve"> </w:t>
      </w:r>
      <w:r w:rsidR="00122F78" w:rsidRPr="00382917">
        <w:t>words</w:t>
      </w:r>
      <w:r w:rsidR="00C03C91">
        <w:t>:</w:t>
      </w:r>
      <w:r w:rsidR="00EE4FC3">
        <w:t xml:space="preserve">  </w:t>
      </w:r>
      <w:r w:rsidRPr="00382917">
        <w:t>‘</w:t>
      </w:r>
      <w:r w:rsidR="00122F78" w:rsidRPr="00382917">
        <w:t>O</w:t>
      </w:r>
      <w:r w:rsidR="00EE4FC3">
        <w:t xml:space="preserve"> </w:t>
      </w:r>
      <w:r w:rsidR="00122F78" w:rsidRPr="00382917">
        <w:t>our</w:t>
      </w:r>
      <w:r w:rsidR="00EE4FC3">
        <w:t xml:space="preserve"> </w:t>
      </w:r>
      <w:r w:rsidR="00122F78" w:rsidRPr="00382917">
        <w:t>Lord,</w:t>
      </w:r>
      <w:r w:rsidR="00EE4FC3">
        <w:t xml:space="preserve"> </w:t>
      </w:r>
      <w:r w:rsidR="00122F78" w:rsidRPr="00382917">
        <w:t>with</w:t>
      </w:r>
      <w:r w:rsidR="00EE4FC3">
        <w:t xml:space="preserve"> </w:t>
      </w:r>
      <w:r w:rsidR="00122F78" w:rsidRPr="00382917">
        <w:t>ourselves</w:t>
      </w:r>
      <w:r w:rsidR="00EE4FC3">
        <w:t xml:space="preserve"> </w:t>
      </w:r>
      <w:r w:rsidR="00122F78" w:rsidRPr="00382917">
        <w:t>we</w:t>
      </w:r>
      <w:r w:rsidR="00EE4FC3">
        <w:t xml:space="preserve"> </w:t>
      </w:r>
      <w:r w:rsidR="00122F78" w:rsidRPr="00382917">
        <w:t>have</w:t>
      </w:r>
      <w:r w:rsidR="00EE4FC3">
        <w:t xml:space="preserve"> </w:t>
      </w:r>
      <w:r w:rsidR="00122F78" w:rsidRPr="00382917">
        <w:t>dealt</w:t>
      </w:r>
      <w:r w:rsidR="00EE4FC3">
        <w:t xml:space="preserve"> </w:t>
      </w:r>
      <w:r w:rsidR="00122F78" w:rsidRPr="00382917">
        <w:t>unjustly</w:t>
      </w:r>
      <w:r w:rsidR="00C03C91">
        <w:t>:</w:t>
      </w:r>
      <w:r w:rsidR="00EE4FC3">
        <w:t xml:space="preserve">  </w:t>
      </w:r>
      <w:r w:rsidR="00122F78" w:rsidRPr="00382917">
        <w:t>if</w:t>
      </w:r>
      <w:r w:rsidR="00EE4FC3">
        <w:t xml:space="preserve"> </w:t>
      </w:r>
      <w:r w:rsidR="00122F78" w:rsidRPr="00382917">
        <w:t>Thou</w:t>
      </w:r>
      <w:r w:rsidR="00EE4FC3">
        <w:t xml:space="preserve"> </w:t>
      </w:r>
      <w:r w:rsidR="00122F78" w:rsidRPr="00382917">
        <w:t>forgive</w:t>
      </w:r>
      <w:r w:rsidR="00EE4FC3">
        <w:t xml:space="preserve"> </w:t>
      </w:r>
      <w:r w:rsidR="00122F78" w:rsidRPr="00382917">
        <w:t>us</w:t>
      </w:r>
      <w:r w:rsidR="00EE4FC3">
        <w:t xml:space="preserve"> </w:t>
      </w:r>
      <w:r w:rsidR="00122F78" w:rsidRPr="00382917">
        <w:t>not</w:t>
      </w:r>
      <w:r w:rsidR="00EE4FC3">
        <w:t xml:space="preserve"> </w:t>
      </w:r>
      <w:r w:rsidR="00122F78" w:rsidRPr="00382917">
        <w:t>and</w:t>
      </w:r>
      <w:r w:rsidR="00EE4FC3">
        <w:t xml:space="preserve"> </w:t>
      </w:r>
      <w:r w:rsidR="00122F78" w:rsidRPr="00382917">
        <w:t>have</w:t>
      </w:r>
      <w:r w:rsidR="00EE4FC3">
        <w:t xml:space="preserve"> </w:t>
      </w:r>
      <w:r w:rsidR="00122F78" w:rsidRPr="00382917">
        <w:t>not</w:t>
      </w:r>
      <w:r w:rsidR="00EE4FC3">
        <w:t xml:space="preserve"> </w:t>
      </w:r>
      <w:r w:rsidR="00122F78" w:rsidRPr="00382917">
        <w:t>pity</w:t>
      </w:r>
      <w:r w:rsidR="00EE4FC3">
        <w:t xml:space="preserve"> </w:t>
      </w:r>
      <w:r w:rsidR="00122F78" w:rsidRPr="00382917">
        <w:t>upon</w:t>
      </w:r>
      <w:r w:rsidR="00EE4FC3">
        <w:t xml:space="preserve"> </w:t>
      </w:r>
      <w:r w:rsidR="00122F78" w:rsidRPr="00382917">
        <w:t>us,</w:t>
      </w:r>
      <w:r w:rsidR="00EE4FC3">
        <w:t xml:space="preserve"> </w:t>
      </w:r>
      <w:r w:rsidR="00122F78" w:rsidRPr="00382917">
        <w:t>we</w:t>
      </w:r>
      <w:r w:rsidR="00EE4FC3">
        <w:t xml:space="preserve"> </w:t>
      </w:r>
      <w:r w:rsidR="00122F78" w:rsidRPr="00382917">
        <w:t>shall</w:t>
      </w:r>
      <w:r w:rsidR="00EE4FC3">
        <w:t xml:space="preserve"> </w:t>
      </w:r>
      <w:r w:rsidR="00122F78" w:rsidRPr="00382917">
        <w:t>surely</w:t>
      </w:r>
      <w:r w:rsidR="00EE4FC3">
        <w:t xml:space="preserve"> </w:t>
      </w:r>
      <w:r w:rsidR="00122F78" w:rsidRPr="00382917">
        <w:t>be</w:t>
      </w:r>
      <w:r w:rsidR="00EE4FC3">
        <w:t xml:space="preserve"> </w:t>
      </w:r>
      <w:r w:rsidR="00122F78" w:rsidRPr="00382917">
        <w:t>of</w:t>
      </w:r>
      <w:r w:rsidR="00EE4FC3">
        <w:t xml:space="preserve"> </w:t>
      </w:r>
      <w:r w:rsidR="00122F78" w:rsidRPr="00382917">
        <w:t>those</w:t>
      </w:r>
      <w:r w:rsidR="00EE4FC3">
        <w:t xml:space="preserve"> </w:t>
      </w:r>
      <w:r w:rsidR="00122F78" w:rsidRPr="00382917">
        <w:t>who</w:t>
      </w:r>
      <w:r w:rsidR="00EE4FC3">
        <w:t xml:space="preserve"> </w:t>
      </w:r>
      <w:r w:rsidR="00122F78" w:rsidRPr="00382917">
        <w:t>perish.</w:t>
      </w:r>
      <w:r w:rsidRPr="00382917">
        <w:t>”</w:t>
      </w:r>
    </w:p>
    <w:p w:rsidR="00122F78" w:rsidRPr="00382917" w:rsidRDefault="00122F78" w:rsidP="00122F78">
      <w:pPr>
        <w:pStyle w:val="Text"/>
      </w:pPr>
      <w:r w:rsidRPr="00382917">
        <w:t>Then</w:t>
      </w:r>
      <w:r w:rsidR="00EE4FC3">
        <w:t xml:space="preserve"> </w:t>
      </w:r>
      <w:r w:rsidRPr="00382917">
        <w:t>the</w:t>
      </w:r>
      <w:r w:rsidR="00EE4FC3">
        <w:t xml:space="preserve"> </w:t>
      </w:r>
      <w:r w:rsidRPr="00382917">
        <w:t>Báb</w:t>
      </w:r>
      <w:r w:rsidR="00EE4FC3">
        <w:t xml:space="preserve"> </w:t>
      </w:r>
      <w:r w:rsidRPr="00382917">
        <w:t>called</w:t>
      </w:r>
      <w:r w:rsidR="00EE4FC3">
        <w:t xml:space="preserve"> </w:t>
      </w:r>
      <w:r w:rsidRPr="00382917">
        <w:t>for</w:t>
      </w:r>
      <w:r w:rsidR="00EE4FC3">
        <w:t xml:space="preserve"> </w:t>
      </w:r>
      <w:r w:rsidRPr="00382917">
        <w:t>his</w:t>
      </w:r>
      <w:r w:rsidR="00EE4FC3">
        <w:t xml:space="preserve"> </w:t>
      </w:r>
      <w:r w:rsidRPr="00382917">
        <w:t>pen-case</w:t>
      </w:r>
      <w:r w:rsidR="00EE4FC3">
        <w:t xml:space="preserve"> </w:t>
      </w:r>
      <w:r w:rsidRPr="00382917">
        <w:t>and</w:t>
      </w:r>
      <w:r w:rsidR="00EE4FC3">
        <w:t xml:space="preserve"> </w:t>
      </w:r>
      <w:r w:rsidRPr="00382917">
        <w:t>some</w:t>
      </w:r>
      <w:r w:rsidR="00EE4FC3">
        <w:t xml:space="preserve"> </w:t>
      </w:r>
      <w:r w:rsidRPr="00382917">
        <w:t>paper</w:t>
      </w:r>
      <w:r w:rsidR="00C03C91">
        <w:t>.</w:t>
      </w:r>
      <w:r w:rsidR="00EE4FC3">
        <w:t xml:space="preserve">  </w:t>
      </w:r>
      <w:r w:rsidRPr="00382917">
        <w:t>He</w:t>
      </w:r>
      <w:r w:rsidR="00EE4FC3">
        <w:t xml:space="preserve"> </w:t>
      </w:r>
      <w:r w:rsidRPr="00382917">
        <w:t>began</w:t>
      </w:r>
      <w:r w:rsidR="00EE4FC3">
        <w:t xml:space="preserve"> </w:t>
      </w:r>
      <w:r w:rsidRPr="00382917">
        <w:t>to</w:t>
      </w:r>
      <w:r w:rsidR="00EE4FC3">
        <w:t xml:space="preserve"> </w:t>
      </w:r>
      <w:r w:rsidRPr="00382917">
        <w:t>reveal</w:t>
      </w:r>
      <w:r w:rsidR="00EE4FC3">
        <w:t xml:space="preserve"> </w:t>
      </w:r>
      <w:r w:rsidRPr="00382917">
        <w:t>the</w:t>
      </w:r>
      <w:r w:rsidR="00EE4FC3">
        <w:t xml:space="preserve"> </w:t>
      </w:r>
      <w:r w:rsidRPr="00382917">
        <w:t>commentary</w:t>
      </w:r>
      <w:r w:rsidR="00EE4FC3">
        <w:t xml:space="preserve"> </w:t>
      </w:r>
      <w:r w:rsidRPr="00382917">
        <w:t>which</w:t>
      </w:r>
      <w:r w:rsidR="00EE4FC3">
        <w:t xml:space="preserve"> </w:t>
      </w:r>
      <w:proofErr w:type="spellStart"/>
      <w:r w:rsidRPr="00382917">
        <w:t>Vaḥíd</w:t>
      </w:r>
      <w:r w:rsidR="009C713D" w:rsidRPr="00382917">
        <w:t>’</w:t>
      </w:r>
      <w:r w:rsidRPr="00382917">
        <w:t>s</w:t>
      </w:r>
      <w:proofErr w:type="spellEnd"/>
      <w:r w:rsidR="00EE4FC3">
        <w:t xml:space="preserve"> </w:t>
      </w:r>
      <w:r w:rsidRPr="00382917">
        <w:t>inmost</w:t>
      </w:r>
      <w:r w:rsidR="00EE4FC3">
        <w:t xml:space="preserve"> </w:t>
      </w:r>
      <w:r w:rsidRPr="00382917">
        <w:t>heart</w:t>
      </w:r>
      <w:r w:rsidR="00EE4FC3">
        <w:t xml:space="preserve"> </w:t>
      </w:r>
      <w:r w:rsidRPr="00382917">
        <w:t>had</w:t>
      </w:r>
      <w:r w:rsidR="00EE4FC3">
        <w:t xml:space="preserve"> </w:t>
      </w:r>
      <w:r w:rsidRPr="00382917">
        <w:t>requested.</w:t>
      </w:r>
    </w:p>
    <w:p w:rsidR="00122F78" w:rsidRPr="00382917" w:rsidRDefault="00122F78" w:rsidP="008A04AA">
      <w:pPr>
        <w:pStyle w:val="Text"/>
      </w:pPr>
      <w:r w:rsidRPr="00382917">
        <w:t>No</w:t>
      </w:r>
      <w:r w:rsidR="00EE4FC3">
        <w:t xml:space="preserve"> </w:t>
      </w:r>
      <w:r w:rsidRPr="00382917">
        <w:t>less</w:t>
      </w:r>
      <w:r w:rsidR="00EE4FC3">
        <w:t xml:space="preserve"> </w:t>
      </w:r>
      <w:r w:rsidRPr="00382917">
        <w:t>than</w:t>
      </w:r>
      <w:r w:rsidR="00EE4FC3">
        <w:t xml:space="preserve"> </w:t>
      </w:r>
      <w:r w:rsidRPr="00382917">
        <w:t>two</w:t>
      </w:r>
      <w:r w:rsidR="00EE4FC3">
        <w:t xml:space="preserve"> </w:t>
      </w:r>
      <w:r w:rsidRPr="00382917">
        <w:t>thousand</w:t>
      </w:r>
      <w:r w:rsidR="00EE4FC3">
        <w:t xml:space="preserve"> </w:t>
      </w:r>
      <w:r w:rsidRPr="00382917">
        <w:t>verses</w:t>
      </w:r>
      <w:r w:rsidR="00EE4FC3">
        <w:t xml:space="preserve"> </w:t>
      </w:r>
      <w:r w:rsidRPr="00382917">
        <w:t>were</w:t>
      </w:r>
      <w:r w:rsidR="00EE4FC3">
        <w:t xml:space="preserve"> </w:t>
      </w:r>
      <w:r w:rsidRPr="00382917">
        <w:t>revealed</w:t>
      </w:r>
      <w:r w:rsidR="00EE4FC3">
        <w:t xml:space="preserve"> </w:t>
      </w:r>
      <w:r w:rsidRPr="00382917">
        <w:t>by</w:t>
      </w:r>
      <w:r w:rsidR="00EE4FC3">
        <w:t xml:space="preserve"> </w:t>
      </w:r>
      <w:r w:rsidRPr="00382917">
        <w:t>the</w:t>
      </w:r>
      <w:r w:rsidR="00EE4FC3">
        <w:t xml:space="preserve"> </w:t>
      </w:r>
      <w:r w:rsidRPr="00382917">
        <w:t>Báb</w:t>
      </w:r>
      <w:r w:rsidR="00EE4FC3">
        <w:t xml:space="preserve"> </w:t>
      </w:r>
      <w:r w:rsidRPr="00382917">
        <w:t>on</w:t>
      </w:r>
      <w:r w:rsidR="00EE4FC3">
        <w:t xml:space="preserve"> </w:t>
      </w:r>
      <w:r w:rsidRPr="00382917">
        <w:t>that</w:t>
      </w:r>
      <w:r w:rsidR="00EE4FC3">
        <w:t xml:space="preserve"> </w:t>
      </w:r>
      <w:r w:rsidRPr="00382917">
        <w:t>occasion</w:t>
      </w:r>
      <w:r w:rsidR="00C03C91">
        <w:t>.</w:t>
      </w:r>
      <w:r w:rsidR="00EE4FC3">
        <w:t xml:space="preserve">  </w:t>
      </w:r>
      <w:r w:rsidRPr="00382917">
        <w:t>The</w:t>
      </w:r>
      <w:r w:rsidR="00EE4FC3">
        <w:t xml:space="preserve"> </w:t>
      </w:r>
      <w:r w:rsidRPr="00382917">
        <w:t>bewildering</w:t>
      </w:r>
      <w:r w:rsidR="00EE4FC3">
        <w:t xml:space="preserve"> </w:t>
      </w:r>
      <w:r w:rsidRPr="00382917">
        <w:t>rapidity</w:t>
      </w:r>
      <w:r w:rsidR="00EE4FC3">
        <w:t xml:space="preserve"> </w:t>
      </w:r>
      <w:r w:rsidRPr="00382917">
        <w:t>with</w:t>
      </w:r>
      <w:r w:rsidR="00EE4FC3">
        <w:t xml:space="preserve"> </w:t>
      </w:r>
      <w:r w:rsidRPr="00382917">
        <w:t>which</w:t>
      </w:r>
      <w:r w:rsidR="00EE4FC3">
        <w:t xml:space="preserve"> </w:t>
      </w:r>
      <w:r w:rsidRPr="00382917">
        <w:t>they</w:t>
      </w:r>
      <w:r w:rsidR="00EE4FC3">
        <w:t xml:space="preserve"> </w:t>
      </w:r>
      <w:r w:rsidRPr="00382917">
        <w:t>were</w:t>
      </w:r>
      <w:r w:rsidR="00EE4FC3">
        <w:t xml:space="preserve"> </w:t>
      </w:r>
      <w:r w:rsidRPr="00382917">
        <w:t>written</w:t>
      </w:r>
      <w:r w:rsidR="00EE4FC3">
        <w:t xml:space="preserve"> </w:t>
      </w:r>
      <w:r w:rsidRPr="00382917">
        <w:t>was</w:t>
      </w:r>
      <w:r w:rsidR="00EE4FC3">
        <w:t xml:space="preserve"> </w:t>
      </w:r>
      <w:r w:rsidRPr="00382917">
        <w:t>even</w:t>
      </w:r>
      <w:r w:rsidR="00EE4FC3">
        <w:t xml:space="preserve"> </w:t>
      </w:r>
      <w:r w:rsidRPr="00382917">
        <w:t>less</w:t>
      </w:r>
      <w:r w:rsidR="00EE4FC3">
        <w:t xml:space="preserve"> </w:t>
      </w:r>
      <w:r w:rsidRPr="00382917">
        <w:t>remarkable</w:t>
      </w:r>
      <w:r w:rsidR="00EE4FC3">
        <w:t xml:space="preserve"> </w:t>
      </w:r>
      <w:r w:rsidRPr="00382917">
        <w:t>than</w:t>
      </w:r>
      <w:r w:rsidR="00EE4FC3">
        <w:t xml:space="preserve"> </w:t>
      </w:r>
      <w:r w:rsidRPr="00382917">
        <w:t>their</w:t>
      </w:r>
      <w:r w:rsidR="00EE4FC3">
        <w:t xml:space="preserve"> </w:t>
      </w:r>
      <w:r w:rsidRPr="00382917">
        <w:t>matchless</w:t>
      </w:r>
      <w:r w:rsidR="00EE4FC3">
        <w:t xml:space="preserve"> </w:t>
      </w:r>
      <w:r w:rsidRPr="00382917">
        <w:t>beauty</w:t>
      </w:r>
      <w:r w:rsidR="00EE4FC3">
        <w:t xml:space="preserve"> </w:t>
      </w:r>
      <w:r w:rsidRPr="00382917">
        <w:t>and</w:t>
      </w:r>
      <w:r w:rsidR="00EE4FC3">
        <w:t xml:space="preserve"> </w:t>
      </w:r>
      <w:r w:rsidRPr="00382917">
        <w:t>profound</w:t>
      </w:r>
      <w:r w:rsidR="00EE4FC3">
        <w:t xml:space="preserve"> </w:t>
      </w:r>
      <w:r w:rsidRPr="00382917">
        <w:t>meaning.</w:t>
      </w:r>
      <w:r w:rsidR="004F2077">
        <w:rPr>
          <w:rStyle w:val="FootnoteReference"/>
        </w:rPr>
        <w:footnoteReference w:id="43"/>
      </w:r>
      <w:r w:rsidR="00EE4FC3">
        <w:t xml:space="preserve">  </w:t>
      </w:r>
      <w:r w:rsidRPr="00382917">
        <w:t>Even</w:t>
      </w:r>
      <w:r w:rsidR="00EE4FC3">
        <w:t xml:space="preserve"> </w:t>
      </w:r>
      <w:r w:rsidRPr="00382917">
        <w:t>more</w:t>
      </w:r>
      <w:r w:rsidR="00EE4FC3">
        <w:t xml:space="preserve"> </w:t>
      </w:r>
      <w:r w:rsidRPr="00382917">
        <w:t>startling</w:t>
      </w:r>
      <w:r w:rsidR="00EE4FC3">
        <w:t xml:space="preserve"> </w:t>
      </w:r>
      <w:r w:rsidRPr="00382917">
        <w:t>to</w:t>
      </w:r>
      <w:r w:rsidR="00EE4FC3">
        <w:t xml:space="preserve"> </w:t>
      </w:r>
      <w:r w:rsidRPr="00382917">
        <w:t>Vaḥíd</w:t>
      </w:r>
      <w:r w:rsidR="00EE4FC3">
        <w:t xml:space="preserve"> </w:t>
      </w:r>
      <w:r w:rsidRPr="00382917">
        <w:t>was</w:t>
      </w:r>
      <w:r w:rsidR="00EE4FC3">
        <w:t xml:space="preserve"> </w:t>
      </w:r>
      <w:r w:rsidRPr="00382917">
        <w:t>the</w:t>
      </w:r>
      <w:r w:rsidR="00EE4FC3">
        <w:t xml:space="preserve"> </w:t>
      </w:r>
      <w:r w:rsidRPr="00382917">
        <w:t>fact</w:t>
      </w:r>
      <w:r w:rsidR="00EE4FC3">
        <w:t xml:space="preserve"> </w:t>
      </w:r>
      <w:r w:rsidRPr="00382917">
        <w:t>that</w:t>
      </w:r>
      <w:r w:rsidR="00EE4FC3">
        <w:t xml:space="preserve"> </w:t>
      </w:r>
      <w:r w:rsidRPr="00382917">
        <w:t>this</w:t>
      </w:r>
      <w:r w:rsidR="00EE4FC3">
        <w:t xml:space="preserve"> </w:t>
      </w:r>
      <w:r w:rsidRPr="00382917">
        <w:t>explanation</w:t>
      </w:r>
      <w:r w:rsidR="00EE4FC3">
        <w:t xml:space="preserve"> </w:t>
      </w:r>
      <w:r w:rsidRPr="00382917">
        <w:t>which</w:t>
      </w:r>
      <w:r w:rsidR="00EE4FC3">
        <w:t xml:space="preserve"> </w:t>
      </w:r>
      <w:r w:rsidRPr="00382917">
        <w:t>the</w:t>
      </w:r>
      <w:r w:rsidR="00EE4FC3">
        <w:t xml:space="preserve"> </w:t>
      </w:r>
      <w:r w:rsidRPr="00382917">
        <w:t>Báb</w:t>
      </w:r>
      <w:r w:rsidR="00EE4FC3">
        <w:t xml:space="preserve"> </w:t>
      </w:r>
      <w:r w:rsidRPr="00382917">
        <w:t>gave</w:t>
      </w:r>
      <w:r w:rsidR="00EE4FC3">
        <w:t xml:space="preserve"> </w:t>
      </w:r>
      <w:r w:rsidRPr="00382917">
        <w:t>was</w:t>
      </w:r>
      <w:r w:rsidR="00EE4FC3">
        <w:t xml:space="preserve"> </w:t>
      </w:r>
      <w:r w:rsidRPr="00382917">
        <w:t>the</w:t>
      </w:r>
      <w:r w:rsidR="00EE4FC3">
        <w:t xml:space="preserve"> </w:t>
      </w:r>
      <w:r w:rsidRPr="00382917">
        <w:t>one</w:t>
      </w:r>
      <w:r w:rsidR="00EE4FC3">
        <w:t xml:space="preserve"> </w:t>
      </w:r>
      <w:r w:rsidRPr="00382917">
        <w:t>which</w:t>
      </w:r>
      <w:r w:rsidR="00EE4FC3">
        <w:t xml:space="preserve"> </w:t>
      </w:r>
      <w:r w:rsidRPr="00382917">
        <w:t>he</w:t>
      </w:r>
      <w:r w:rsidR="00EE4FC3">
        <w:t xml:space="preserve"> </w:t>
      </w:r>
      <w:r w:rsidRPr="00382917">
        <w:t>himself</w:t>
      </w:r>
      <w:r w:rsidR="00EE4FC3">
        <w:t xml:space="preserve"> </w:t>
      </w:r>
      <w:r w:rsidRPr="00382917">
        <w:t>had</w:t>
      </w:r>
      <w:r w:rsidR="00EE4FC3">
        <w:t xml:space="preserve"> </w:t>
      </w:r>
      <w:r w:rsidRPr="00382917">
        <w:t>discovered</w:t>
      </w:r>
      <w:r w:rsidR="00EE4FC3">
        <w:t xml:space="preserve"> </w:t>
      </w:r>
      <w:r w:rsidRPr="00382917">
        <w:t>after</w:t>
      </w:r>
      <w:r w:rsidR="00EE4FC3">
        <w:t xml:space="preserve"> </w:t>
      </w:r>
      <w:r w:rsidRPr="00382917">
        <w:t>long</w:t>
      </w:r>
      <w:r w:rsidR="00EE4FC3">
        <w:t xml:space="preserve"> </w:t>
      </w:r>
      <w:r w:rsidRPr="00382917">
        <w:t>meditation</w:t>
      </w:r>
      <w:r w:rsidR="00C03C91">
        <w:t>.</w:t>
      </w:r>
      <w:r w:rsidR="00EE4FC3">
        <w:t xml:space="preserve">  </w:t>
      </w:r>
      <w:r w:rsidRPr="00382917">
        <w:t>He</w:t>
      </w:r>
      <w:r w:rsidR="00EE4FC3">
        <w:t xml:space="preserve"> </w:t>
      </w:r>
      <w:r w:rsidRPr="00382917">
        <w:t>believed</w:t>
      </w:r>
      <w:r w:rsidR="00EE4FC3">
        <w:t xml:space="preserve"> </w:t>
      </w:r>
      <w:r w:rsidRPr="00382917">
        <w:t>himself</w:t>
      </w:r>
      <w:r w:rsidR="00EE4FC3">
        <w:t xml:space="preserve"> </w:t>
      </w:r>
      <w:r w:rsidRPr="00382917">
        <w:t>to</w:t>
      </w:r>
      <w:r w:rsidR="00EE4FC3">
        <w:t xml:space="preserve"> </w:t>
      </w:r>
      <w:r w:rsidRPr="00382917">
        <w:t>be</w:t>
      </w:r>
      <w:r w:rsidR="00EE4FC3">
        <w:t xml:space="preserve"> </w:t>
      </w:r>
      <w:r w:rsidRPr="00382917">
        <w:t>the</w:t>
      </w:r>
      <w:r w:rsidR="00EE4FC3">
        <w:t xml:space="preserve"> </w:t>
      </w:r>
      <w:r w:rsidRPr="00382917">
        <w:t>only</w:t>
      </w:r>
      <w:r w:rsidR="00EE4FC3">
        <w:t xml:space="preserve"> </w:t>
      </w:r>
      <w:r w:rsidRPr="00382917">
        <w:t>one</w:t>
      </w:r>
      <w:r w:rsidR="00EE4FC3">
        <w:t xml:space="preserve"> </w:t>
      </w:r>
      <w:r w:rsidRPr="00382917">
        <w:t>who</w:t>
      </w:r>
      <w:r w:rsidR="00EE4FC3">
        <w:t xml:space="preserve"> </w:t>
      </w:r>
      <w:r w:rsidRPr="00382917">
        <w:t>had</w:t>
      </w:r>
      <w:r w:rsidR="00EE4FC3">
        <w:t xml:space="preserve"> </w:t>
      </w:r>
      <w:r w:rsidRPr="00382917">
        <w:t>reached</w:t>
      </w:r>
      <w:r w:rsidR="00EE4FC3">
        <w:t xml:space="preserve"> </w:t>
      </w:r>
      <w:r w:rsidRPr="00382917">
        <w:t>this</w:t>
      </w:r>
      <w:r w:rsidR="00EE4FC3">
        <w:t xml:space="preserve"> </w:t>
      </w:r>
      <w:r w:rsidRPr="00382917">
        <w:t>hidden</w:t>
      </w:r>
      <w:r w:rsidR="00EE4FC3">
        <w:t xml:space="preserve"> </w:t>
      </w:r>
      <w:r w:rsidRPr="00382917">
        <w:t>meaning,</w:t>
      </w:r>
      <w:r w:rsidR="00EE4FC3">
        <w:t xml:space="preserve"> </w:t>
      </w:r>
      <w:r w:rsidRPr="00382917">
        <w:t>and</w:t>
      </w:r>
      <w:r w:rsidR="00EE4FC3">
        <w:t xml:space="preserve"> </w:t>
      </w:r>
      <w:r w:rsidRPr="00382917">
        <w:t>he</w:t>
      </w:r>
      <w:r w:rsidR="00EE4FC3">
        <w:t xml:space="preserve"> </w:t>
      </w:r>
      <w:r w:rsidRPr="00382917">
        <w:t>had</w:t>
      </w:r>
      <w:r w:rsidR="00EE4FC3">
        <w:t xml:space="preserve"> </w:t>
      </w:r>
      <w:r w:rsidRPr="00382917">
        <w:t>never</w:t>
      </w:r>
      <w:r w:rsidR="00EE4FC3">
        <w:t xml:space="preserve"> </w:t>
      </w:r>
      <w:r w:rsidRPr="00382917">
        <w:t>made</w:t>
      </w:r>
      <w:r w:rsidR="00EE4FC3">
        <w:t xml:space="preserve"> </w:t>
      </w:r>
      <w:r w:rsidRPr="00382917">
        <w:t>it</w:t>
      </w:r>
      <w:r w:rsidR="00EE4FC3">
        <w:t xml:space="preserve"> </w:t>
      </w:r>
      <w:r w:rsidRPr="00382917">
        <w:t>known</w:t>
      </w:r>
      <w:r w:rsidR="00EE4FC3">
        <w:t xml:space="preserve"> </w:t>
      </w:r>
      <w:r w:rsidRPr="00382917">
        <w:t>to</w:t>
      </w:r>
      <w:r w:rsidR="00EE4FC3">
        <w:t xml:space="preserve"> </w:t>
      </w:r>
      <w:r w:rsidRPr="00382917">
        <w:t>anyone.</w:t>
      </w:r>
      <w:r w:rsidR="008A04AA">
        <w:rPr>
          <w:rStyle w:val="FootnoteReference"/>
        </w:rPr>
        <w:footnoteReference w:id="44"/>
      </w:r>
    </w:p>
    <w:p w:rsidR="00122F78" w:rsidRPr="00382917" w:rsidRDefault="00122F78">
      <w:pPr>
        <w:widowControl/>
        <w:kinsoku/>
        <w:overflowPunct/>
        <w:textAlignment w:val="auto"/>
      </w:pPr>
      <w:r w:rsidRPr="00382917">
        <w:br w:type="page"/>
      </w:r>
    </w:p>
    <w:p w:rsidR="00122F78" w:rsidRPr="00382917" w:rsidRDefault="00122F78" w:rsidP="00122F78">
      <w:pPr>
        <w:pStyle w:val="Text"/>
      </w:pPr>
      <w:proofErr w:type="spellStart"/>
      <w:r w:rsidRPr="00382917">
        <w:t>Vaḥíd</w:t>
      </w:r>
      <w:r w:rsidR="009C713D" w:rsidRPr="00382917">
        <w:t>’</w:t>
      </w:r>
      <w:r w:rsidRPr="00382917">
        <w:t>s</w:t>
      </w:r>
      <w:proofErr w:type="spellEnd"/>
      <w:r w:rsidR="00EE4FC3">
        <w:t xml:space="preserve"> </w:t>
      </w:r>
      <w:r w:rsidRPr="00382917">
        <w:t>report</w:t>
      </w:r>
      <w:r w:rsidR="00EE4FC3">
        <w:t xml:space="preserve"> </w:t>
      </w:r>
      <w:r w:rsidRPr="00382917">
        <w:t>on</w:t>
      </w:r>
      <w:r w:rsidR="00EE4FC3">
        <w:t xml:space="preserve"> </w:t>
      </w:r>
      <w:r w:rsidRPr="00382917">
        <w:t>this</w:t>
      </w:r>
      <w:r w:rsidR="00EE4FC3">
        <w:t xml:space="preserve"> </w:t>
      </w:r>
      <w:r w:rsidRPr="00382917">
        <w:t>interview</w:t>
      </w:r>
      <w:r w:rsidR="00EE4FC3">
        <w:t xml:space="preserve"> </w:t>
      </w:r>
      <w:r w:rsidRPr="00382917">
        <w:t>communicates</w:t>
      </w:r>
      <w:r w:rsidR="00EE4FC3">
        <w:t xml:space="preserve"> </w:t>
      </w:r>
      <w:r w:rsidRPr="00382917">
        <w:t>his</w:t>
      </w:r>
      <w:r w:rsidR="00EE4FC3">
        <w:t xml:space="preserve"> </w:t>
      </w:r>
      <w:r w:rsidRPr="00382917">
        <w:t>sense</w:t>
      </w:r>
      <w:r w:rsidR="00EE4FC3">
        <w:t xml:space="preserve"> </w:t>
      </w:r>
      <w:r w:rsidRPr="00382917">
        <w:t>of</w:t>
      </w:r>
      <w:r w:rsidR="00EE4FC3">
        <w:t xml:space="preserve"> </w:t>
      </w:r>
      <w:r w:rsidRPr="00382917">
        <w:t>wonder</w:t>
      </w:r>
      <w:r w:rsidR="00C03C91">
        <w:t>:</w:t>
      </w:r>
      <w:r w:rsidR="00EE4FC3">
        <w:t xml:space="preserve">  </w:t>
      </w:r>
      <w:r w:rsidR="009C713D" w:rsidRPr="00382917">
        <w:t>“</w:t>
      </w:r>
      <w:r w:rsidRPr="00382917">
        <w:t>How</w:t>
      </w:r>
      <w:r w:rsidR="00EE4FC3">
        <w:t xml:space="preserve"> </w:t>
      </w:r>
      <w:r w:rsidRPr="00382917">
        <w:t>am</w:t>
      </w:r>
      <w:r w:rsidR="00EE4FC3">
        <w:t xml:space="preserve"> </w:t>
      </w:r>
      <w:r w:rsidRPr="00382917">
        <w:t>I</w:t>
      </w:r>
      <w:r w:rsidR="00EE4FC3">
        <w:t xml:space="preserve"> </w:t>
      </w:r>
      <w:r w:rsidRPr="00382917">
        <w:t>to</w:t>
      </w:r>
      <w:r w:rsidR="00EE4FC3">
        <w:t xml:space="preserve"> </w:t>
      </w:r>
      <w:r w:rsidRPr="00382917">
        <w:t>describe</w:t>
      </w:r>
      <w:r w:rsidR="00EE4FC3">
        <w:t xml:space="preserve"> </w:t>
      </w:r>
      <w:r w:rsidRPr="00382917">
        <w:t>this</w:t>
      </w:r>
      <w:r w:rsidR="00EE4FC3">
        <w:t xml:space="preserve"> </w:t>
      </w:r>
      <w:r w:rsidRPr="00382917">
        <w:t>scene</w:t>
      </w:r>
      <w:r w:rsidR="00EE4FC3">
        <w:t xml:space="preserve"> </w:t>
      </w:r>
      <w:r w:rsidRPr="00382917">
        <w:t>of</w:t>
      </w:r>
      <w:r w:rsidR="00EE4FC3">
        <w:t xml:space="preserve"> </w:t>
      </w:r>
      <w:r w:rsidRPr="00382917">
        <w:t>inexpressible</w:t>
      </w:r>
      <w:r w:rsidR="00EE4FC3">
        <w:t xml:space="preserve"> </w:t>
      </w:r>
      <w:r w:rsidRPr="00382917">
        <w:t>majesty?</w:t>
      </w:r>
      <w:r w:rsidR="00EE4FC3">
        <w:t xml:space="preserve">  </w:t>
      </w:r>
      <w:r w:rsidRPr="00382917">
        <w:t>Verses</w:t>
      </w:r>
      <w:r w:rsidR="00EE4FC3">
        <w:t xml:space="preserve"> </w:t>
      </w:r>
      <w:r w:rsidRPr="00382917">
        <w:t>streamed</w:t>
      </w:r>
      <w:r w:rsidR="00EE4FC3">
        <w:t xml:space="preserve"> </w:t>
      </w:r>
      <w:r w:rsidRPr="00382917">
        <w:t>from</w:t>
      </w:r>
      <w:r w:rsidR="00EE4FC3">
        <w:t xml:space="preserve"> </w:t>
      </w:r>
      <w:r w:rsidRPr="00382917">
        <w:t>His</w:t>
      </w:r>
      <w:r w:rsidR="00EE4FC3">
        <w:t xml:space="preserve"> </w:t>
      </w:r>
      <w:r w:rsidRPr="00382917">
        <w:t>pen</w:t>
      </w:r>
      <w:r w:rsidR="00EE4FC3">
        <w:t xml:space="preserve"> </w:t>
      </w:r>
      <w:r w:rsidRPr="00382917">
        <w:t>with</w:t>
      </w:r>
      <w:r w:rsidR="00EE4FC3">
        <w:t xml:space="preserve"> </w:t>
      </w:r>
      <w:r w:rsidRPr="00382917">
        <w:t>a</w:t>
      </w:r>
      <w:r w:rsidR="00EE4FC3">
        <w:t xml:space="preserve"> </w:t>
      </w:r>
      <w:r w:rsidRPr="00382917">
        <w:t>rapidity</w:t>
      </w:r>
      <w:r w:rsidR="00EE4FC3">
        <w:t xml:space="preserve"> </w:t>
      </w:r>
      <w:r w:rsidRPr="00382917">
        <w:t>that</w:t>
      </w:r>
      <w:r w:rsidR="00EE4FC3">
        <w:t xml:space="preserve"> </w:t>
      </w:r>
      <w:r w:rsidRPr="00382917">
        <w:t>was</w:t>
      </w:r>
      <w:r w:rsidR="00EE4FC3">
        <w:t xml:space="preserve"> </w:t>
      </w:r>
      <w:r w:rsidRPr="00382917">
        <w:t>truly</w:t>
      </w:r>
      <w:r w:rsidR="00EE4FC3">
        <w:t xml:space="preserve"> </w:t>
      </w:r>
      <w:r w:rsidRPr="00382917">
        <w:t>astounding</w:t>
      </w:r>
      <w:r w:rsidR="00C03C91">
        <w:t>.</w:t>
      </w:r>
      <w:r w:rsidR="00EE4FC3">
        <w:t xml:space="preserve">  </w:t>
      </w:r>
      <w:r w:rsidRPr="00382917">
        <w:t>The</w:t>
      </w:r>
      <w:r w:rsidR="00EE4FC3">
        <w:t xml:space="preserve"> </w:t>
      </w:r>
      <w:r w:rsidRPr="00382917">
        <w:t>incredible</w:t>
      </w:r>
      <w:r w:rsidR="00EE4FC3">
        <w:t xml:space="preserve"> </w:t>
      </w:r>
      <w:r w:rsidRPr="00382917">
        <w:t>swiftness</w:t>
      </w:r>
      <w:r w:rsidR="00EE4FC3">
        <w:t xml:space="preserve"> </w:t>
      </w:r>
      <w:r w:rsidRPr="00382917">
        <w:t>of</w:t>
      </w:r>
      <w:r w:rsidR="00EE4FC3">
        <w:t xml:space="preserve"> </w:t>
      </w:r>
      <w:r w:rsidRPr="00382917">
        <w:t>His</w:t>
      </w:r>
      <w:r w:rsidR="00EE4FC3">
        <w:t xml:space="preserve"> </w:t>
      </w:r>
      <w:r w:rsidRPr="00382917">
        <w:t>writing,</w:t>
      </w:r>
      <w:r w:rsidR="00EE4FC3">
        <w:t xml:space="preserve"> </w:t>
      </w:r>
      <w:r w:rsidRPr="00382917">
        <w:t>the</w:t>
      </w:r>
      <w:r w:rsidR="00EE4FC3">
        <w:t xml:space="preserve"> </w:t>
      </w:r>
      <w:r w:rsidRPr="00382917">
        <w:t>soft</w:t>
      </w:r>
      <w:r w:rsidR="00EE4FC3">
        <w:t xml:space="preserve"> </w:t>
      </w:r>
      <w:r w:rsidRPr="00382917">
        <w:t>and</w:t>
      </w:r>
      <w:r w:rsidR="00EE4FC3">
        <w:t xml:space="preserve"> </w:t>
      </w:r>
      <w:r w:rsidRPr="00382917">
        <w:t>gentle</w:t>
      </w:r>
      <w:r w:rsidR="00EE4FC3">
        <w:t xml:space="preserve"> </w:t>
      </w:r>
      <w:r w:rsidRPr="00382917">
        <w:t>murmur</w:t>
      </w:r>
      <w:r w:rsidR="00EE4FC3">
        <w:t xml:space="preserve"> </w:t>
      </w:r>
      <w:r w:rsidRPr="00382917">
        <w:t>of</w:t>
      </w:r>
      <w:r w:rsidR="00EE4FC3">
        <w:t xml:space="preserve"> </w:t>
      </w:r>
      <w:r w:rsidRPr="00382917">
        <w:t>His</w:t>
      </w:r>
      <w:r w:rsidR="00EE4FC3">
        <w:t xml:space="preserve"> </w:t>
      </w:r>
      <w:r w:rsidRPr="00382917">
        <w:t>voice,</w:t>
      </w:r>
      <w:r w:rsidR="00EE4FC3">
        <w:t xml:space="preserve"> </w:t>
      </w:r>
      <w:r w:rsidRPr="00382917">
        <w:t>the</w:t>
      </w:r>
      <w:r w:rsidR="00EE4FC3">
        <w:t xml:space="preserve"> </w:t>
      </w:r>
      <w:r w:rsidRPr="00382917">
        <w:t>stupendous</w:t>
      </w:r>
      <w:r w:rsidR="00EE4FC3">
        <w:t xml:space="preserve"> </w:t>
      </w:r>
      <w:r w:rsidRPr="00382917">
        <w:t>force</w:t>
      </w:r>
      <w:r w:rsidR="00EE4FC3">
        <w:t xml:space="preserve"> </w:t>
      </w:r>
      <w:r w:rsidRPr="00382917">
        <w:t>of</w:t>
      </w:r>
      <w:r w:rsidR="00EE4FC3">
        <w:t xml:space="preserve"> </w:t>
      </w:r>
      <w:r w:rsidRPr="00382917">
        <w:t>His</w:t>
      </w:r>
      <w:r w:rsidR="00EE4FC3">
        <w:t xml:space="preserve"> </w:t>
      </w:r>
      <w:r w:rsidRPr="00382917">
        <w:t>style,</w:t>
      </w:r>
      <w:r w:rsidR="00EE4FC3">
        <w:t xml:space="preserve"> </w:t>
      </w:r>
      <w:r w:rsidRPr="00382917">
        <w:t>all</w:t>
      </w:r>
      <w:r w:rsidR="00EE4FC3">
        <w:t xml:space="preserve"> </w:t>
      </w:r>
      <w:r w:rsidRPr="00382917">
        <w:t>amazed</w:t>
      </w:r>
      <w:r w:rsidR="00EE4FC3">
        <w:t xml:space="preserve"> </w:t>
      </w:r>
      <w:r w:rsidRPr="00382917">
        <w:t>and</w:t>
      </w:r>
      <w:r w:rsidR="00EE4FC3">
        <w:t xml:space="preserve"> </w:t>
      </w:r>
      <w:r w:rsidRPr="00382917">
        <w:t>bewildered</w:t>
      </w:r>
      <w:r w:rsidR="00EE4FC3">
        <w:t xml:space="preserve"> </w:t>
      </w:r>
      <w:r w:rsidRPr="00382917">
        <w:t>me</w:t>
      </w:r>
      <w:r w:rsidR="00C03C91">
        <w:t>.</w:t>
      </w:r>
      <w:r w:rsidR="00EE4FC3">
        <w:t xml:space="preserve">  </w:t>
      </w:r>
      <w:r w:rsidRPr="00382917">
        <w:t>He</w:t>
      </w:r>
      <w:r w:rsidR="00EE4FC3">
        <w:t xml:space="preserve"> </w:t>
      </w:r>
      <w:r w:rsidRPr="00382917">
        <w:t>continued</w:t>
      </w:r>
      <w:r w:rsidR="00EE4FC3">
        <w:t xml:space="preserve"> </w:t>
      </w:r>
      <w:r w:rsidRPr="00382917">
        <w:t>in</w:t>
      </w:r>
      <w:r w:rsidR="00EE4FC3">
        <w:t xml:space="preserve"> </w:t>
      </w:r>
      <w:r w:rsidRPr="00382917">
        <w:t>this</w:t>
      </w:r>
      <w:r w:rsidR="00EE4FC3">
        <w:t xml:space="preserve"> </w:t>
      </w:r>
      <w:r w:rsidRPr="00382917">
        <w:t>manner</w:t>
      </w:r>
      <w:r w:rsidR="00EE4FC3">
        <w:t xml:space="preserve"> </w:t>
      </w:r>
      <w:r w:rsidRPr="00382917">
        <w:t>until</w:t>
      </w:r>
      <w:r w:rsidR="00EE4FC3">
        <w:t xml:space="preserve"> </w:t>
      </w:r>
      <w:r w:rsidRPr="00382917">
        <w:t>the</w:t>
      </w:r>
      <w:r w:rsidR="00EE4FC3">
        <w:t xml:space="preserve"> </w:t>
      </w:r>
      <w:r w:rsidRPr="00382917">
        <w:t>approach</w:t>
      </w:r>
      <w:r w:rsidR="00EE4FC3">
        <w:t xml:space="preserve"> </w:t>
      </w:r>
      <w:r w:rsidRPr="00382917">
        <w:t>of</w:t>
      </w:r>
      <w:r w:rsidR="00EE4FC3">
        <w:t xml:space="preserve"> </w:t>
      </w:r>
      <w:r w:rsidRPr="00382917">
        <w:t>sunset,</w:t>
      </w:r>
      <w:r w:rsidR="00EE4FC3">
        <w:t xml:space="preserve"> </w:t>
      </w:r>
      <w:r w:rsidRPr="00382917">
        <w:t>not</w:t>
      </w:r>
      <w:r w:rsidR="00EE4FC3">
        <w:t xml:space="preserve"> </w:t>
      </w:r>
      <w:r w:rsidRPr="00382917">
        <w:t>pausing</w:t>
      </w:r>
      <w:r w:rsidR="00EE4FC3">
        <w:t xml:space="preserve"> </w:t>
      </w:r>
      <w:r w:rsidRPr="00382917">
        <w:t>until</w:t>
      </w:r>
      <w:r w:rsidR="00EE4FC3">
        <w:t xml:space="preserve"> </w:t>
      </w:r>
      <w:r w:rsidRPr="00382917">
        <w:t>the</w:t>
      </w:r>
      <w:r w:rsidR="00EE4FC3">
        <w:t xml:space="preserve"> </w:t>
      </w:r>
      <w:r w:rsidRPr="00382917">
        <w:t>entire</w:t>
      </w:r>
      <w:r w:rsidR="00EE4FC3">
        <w:t xml:space="preserve"> </w:t>
      </w:r>
      <w:r w:rsidRPr="00382917">
        <w:t>commentary</w:t>
      </w:r>
      <w:r w:rsidR="00EE4FC3">
        <w:t xml:space="preserve"> </w:t>
      </w:r>
      <w:r w:rsidRPr="00382917">
        <w:t>was</w:t>
      </w:r>
      <w:r w:rsidR="00EE4FC3">
        <w:t xml:space="preserve"> </w:t>
      </w:r>
      <w:r w:rsidRPr="00382917">
        <w:t>completed</w:t>
      </w:r>
      <w:r w:rsidR="00C03C91">
        <w:t>.</w:t>
      </w:r>
      <w:r w:rsidR="00EE4FC3">
        <w:t xml:space="preserve">  </w:t>
      </w:r>
      <w:r w:rsidRPr="00382917">
        <w:t>Then</w:t>
      </w:r>
      <w:r w:rsidR="00EE4FC3">
        <w:t xml:space="preserve"> </w:t>
      </w:r>
      <w:r w:rsidRPr="00382917">
        <w:t>he</w:t>
      </w:r>
      <w:r w:rsidR="00EE4FC3">
        <w:t xml:space="preserve"> </w:t>
      </w:r>
      <w:r w:rsidRPr="00382917">
        <w:t>laid</w:t>
      </w:r>
      <w:r w:rsidR="00EE4FC3">
        <w:t xml:space="preserve"> </w:t>
      </w:r>
      <w:r w:rsidRPr="00382917">
        <w:t>down</w:t>
      </w:r>
      <w:r w:rsidR="00EE4FC3">
        <w:t xml:space="preserve"> </w:t>
      </w:r>
      <w:r w:rsidRPr="00382917">
        <w:t>His</w:t>
      </w:r>
      <w:r w:rsidR="00EE4FC3">
        <w:t xml:space="preserve"> </w:t>
      </w:r>
      <w:r w:rsidRPr="00382917">
        <w:t>pen</w:t>
      </w:r>
      <w:r w:rsidR="00EE4FC3">
        <w:t xml:space="preserve"> </w:t>
      </w:r>
      <w:r w:rsidRPr="00382917">
        <w:t>and</w:t>
      </w:r>
      <w:r w:rsidR="00EE4FC3">
        <w:t xml:space="preserve"> </w:t>
      </w:r>
      <w:r w:rsidRPr="00382917">
        <w:t>asked</w:t>
      </w:r>
      <w:r w:rsidR="00EE4FC3">
        <w:t xml:space="preserve"> </w:t>
      </w:r>
      <w:r w:rsidRPr="00382917">
        <w:t>for</w:t>
      </w:r>
      <w:r w:rsidR="00EE4FC3">
        <w:t xml:space="preserve"> </w:t>
      </w:r>
      <w:r w:rsidRPr="00382917">
        <w:t>tea</w:t>
      </w:r>
      <w:r w:rsidR="00EE4FC3">
        <w:t xml:space="preserve"> </w:t>
      </w:r>
      <w:r w:rsidRPr="00382917">
        <w:t>to</w:t>
      </w:r>
      <w:r w:rsidR="00EE4FC3">
        <w:t xml:space="preserve"> </w:t>
      </w:r>
      <w:r w:rsidRPr="00382917">
        <w:t>be</w:t>
      </w:r>
      <w:r w:rsidR="00EE4FC3">
        <w:t xml:space="preserve"> </w:t>
      </w:r>
      <w:r w:rsidRPr="00382917">
        <w:t>brought</w:t>
      </w:r>
      <w:r w:rsidR="00C03C91">
        <w:t>.</w:t>
      </w:r>
      <w:r w:rsidR="00EE4FC3">
        <w:t xml:space="preserve">  </w:t>
      </w:r>
      <w:r w:rsidRPr="00382917">
        <w:t>Soon</w:t>
      </w:r>
      <w:r w:rsidR="00EE4FC3">
        <w:t xml:space="preserve"> </w:t>
      </w:r>
      <w:r w:rsidRPr="00382917">
        <w:t>after,</w:t>
      </w:r>
      <w:r w:rsidR="00EE4FC3">
        <w:t xml:space="preserve"> </w:t>
      </w:r>
      <w:r w:rsidRPr="00382917">
        <w:t>He</w:t>
      </w:r>
      <w:r w:rsidR="00EE4FC3">
        <w:t xml:space="preserve"> </w:t>
      </w:r>
      <w:r w:rsidRPr="00382917">
        <w:t>began</w:t>
      </w:r>
      <w:r w:rsidR="00EE4FC3">
        <w:t xml:space="preserve"> </w:t>
      </w:r>
      <w:r w:rsidRPr="00382917">
        <w:t>to</w:t>
      </w:r>
      <w:r w:rsidR="00EE4FC3">
        <w:t xml:space="preserve"> </w:t>
      </w:r>
      <w:r w:rsidRPr="00382917">
        <w:t>read</w:t>
      </w:r>
      <w:r w:rsidR="00EE4FC3">
        <w:t xml:space="preserve"> </w:t>
      </w:r>
      <w:r w:rsidRPr="00382917">
        <w:t>it</w:t>
      </w:r>
      <w:r w:rsidR="00EE4FC3">
        <w:t xml:space="preserve"> </w:t>
      </w:r>
      <w:r w:rsidRPr="00382917">
        <w:t>aloud</w:t>
      </w:r>
      <w:r w:rsidR="00EE4FC3">
        <w:t xml:space="preserve"> </w:t>
      </w:r>
      <w:r w:rsidRPr="00382917">
        <w:t>in</w:t>
      </w:r>
      <w:r w:rsidR="00EE4FC3">
        <w:t xml:space="preserve"> </w:t>
      </w:r>
      <w:r w:rsidRPr="00382917">
        <w:t>my</w:t>
      </w:r>
      <w:r w:rsidR="00EE4FC3">
        <w:t xml:space="preserve"> </w:t>
      </w:r>
      <w:r w:rsidRPr="00382917">
        <w:t>presence</w:t>
      </w:r>
      <w:r w:rsidR="00C03C91">
        <w:t>.</w:t>
      </w:r>
      <w:r w:rsidR="00EE4FC3">
        <w:t xml:space="preserve">  </w:t>
      </w:r>
      <w:r w:rsidRPr="00382917">
        <w:t>My</w:t>
      </w:r>
      <w:r w:rsidR="00EE4FC3">
        <w:t xml:space="preserve"> </w:t>
      </w:r>
      <w:r w:rsidRPr="00382917">
        <w:t>heart</w:t>
      </w:r>
      <w:r w:rsidR="00EE4FC3">
        <w:t xml:space="preserve"> </w:t>
      </w:r>
      <w:r w:rsidRPr="00382917">
        <w:t>leaped</w:t>
      </w:r>
      <w:r w:rsidR="00EE4FC3">
        <w:t xml:space="preserve"> </w:t>
      </w:r>
      <w:r w:rsidRPr="00382917">
        <w:t>madly</w:t>
      </w:r>
      <w:r w:rsidR="00EE4FC3">
        <w:t xml:space="preserve"> </w:t>
      </w:r>
      <w:r w:rsidRPr="00382917">
        <w:t>as</w:t>
      </w:r>
      <w:r w:rsidR="00EE4FC3">
        <w:t xml:space="preserve"> </w:t>
      </w:r>
      <w:r w:rsidRPr="00382917">
        <w:t>I</w:t>
      </w:r>
      <w:r w:rsidR="00EE4FC3">
        <w:t xml:space="preserve"> </w:t>
      </w:r>
      <w:r w:rsidRPr="00382917">
        <w:t>heard</w:t>
      </w:r>
      <w:r w:rsidR="00EE4FC3">
        <w:t xml:space="preserve"> </w:t>
      </w:r>
      <w:r w:rsidRPr="00382917">
        <w:t>Him</w:t>
      </w:r>
      <w:r w:rsidR="00EE4FC3">
        <w:t xml:space="preserve"> </w:t>
      </w:r>
      <w:r w:rsidRPr="00382917">
        <w:t>pour</w:t>
      </w:r>
      <w:r w:rsidR="00EE4FC3">
        <w:t xml:space="preserve"> </w:t>
      </w:r>
      <w:r w:rsidRPr="00382917">
        <w:t>out,</w:t>
      </w:r>
      <w:r w:rsidR="00EE4FC3">
        <w:t xml:space="preserve"> </w:t>
      </w:r>
      <w:r w:rsidRPr="00382917">
        <w:t>in</w:t>
      </w:r>
      <w:r w:rsidR="00EE4FC3">
        <w:t xml:space="preserve"> </w:t>
      </w:r>
      <w:r w:rsidRPr="00382917">
        <w:t>accents</w:t>
      </w:r>
      <w:r w:rsidR="00EE4FC3">
        <w:t xml:space="preserve"> </w:t>
      </w:r>
      <w:r w:rsidRPr="00382917">
        <w:t>of</w:t>
      </w:r>
      <w:r w:rsidR="00EE4FC3">
        <w:t xml:space="preserve"> </w:t>
      </w:r>
      <w:r w:rsidRPr="00382917">
        <w:t>unutterable</w:t>
      </w:r>
      <w:r w:rsidR="00EE4FC3">
        <w:t xml:space="preserve"> </w:t>
      </w:r>
      <w:r w:rsidRPr="00382917">
        <w:t>sweetness,</w:t>
      </w:r>
      <w:r w:rsidR="00EE4FC3">
        <w:t xml:space="preserve"> </w:t>
      </w:r>
      <w:r w:rsidRPr="00382917">
        <w:t>those</w:t>
      </w:r>
      <w:r w:rsidR="00EE4FC3">
        <w:t xml:space="preserve"> </w:t>
      </w:r>
      <w:r w:rsidRPr="00382917">
        <w:t>treasures</w:t>
      </w:r>
      <w:r w:rsidR="00EE4FC3">
        <w:t xml:space="preserve"> </w:t>
      </w:r>
      <w:r w:rsidRPr="00382917">
        <w:t>hidden</w:t>
      </w:r>
      <w:r w:rsidR="00EE4FC3">
        <w:t xml:space="preserve"> </w:t>
      </w:r>
      <w:r w:rsidRPr="00382917">
        <w:t>in</w:t>
      </w:r>
      <w:r w:rsidR="00EE4FC3">
        <w:t xml:space="preserve"> </w:t>
      </w:r>
      <w:r w:rsidRPr="00382917">
        <w:t>that</w:t>
      </w:r>
      <w:r w:rsidR="00EE4FC3">
        <w:t xml:space="preserve"> </w:t>
      </w:r>
      <w:r w:rsidRPr="00382917">
        <w:t>holy</w:t>
      </w:r>
      <w:r w:rsidR="00EE4FC3">
        <w:t xml:space="preserve"> </w:t>
      </w:r>
      <w:r w:rsidRPr="00382917">
        <w:t>chapter.</w:t>
      </w:r>
    </w:p>
    <w:p w:rsidR="00122F78" w:rsidRPr="00382917" w:rsidRDefault="009C713D" w:rsidP="00122F78">
      <w:pPr>
        <w:pStyle w:val="Text"/>
      </w:pPr>
      <w:r w:rsidRPr="00382917">
        <w:t>“</w:t>
      </w:r>
      <w:r w:rsidR="00122F78" w:rsidRPr="00382917">
        <w:t>I</w:t>
      </w:r>
      <w:r w:rsidR="00EE4FC3">
        <w:t xml:space="preserve"> </w:t>
      </w:r>
      <w:r w:rsidR="00122F78" w:rsidRPr="00382917">
        <w:t>was</w:t>
      </w:r>
      <w:r w:rsidR="00EE4FC3">
        <w:t xml:space="preserve"> </w:t>
      </w:r>
      <w:r w:rsidR="00122F78" w:rsidRPr="00382917">
        <w:t>so</w:t>
      </w:r>
      <w:r w:rsidR="00EE4FC3">
        <w:t xml:space="preserve"> </w:t>
      </w:r>
      <w:r w:rsidR="00122F78" w:rsidRPr="00382917">
        <w:t>entranced</w:t>
      </w:r>
      <w:r w:rsidR="00EE4FC3">
        <w:t xml:space="preserve"> </w:t>
      </w:r>
      <w:r w:rsidR="00122F78" w:rsidRPr="00382917">
        <w:t>by</w:t>
      </w:r>
      <w:r w:rsidR="00EE4FC3">
        <w:t xml:space="preserve"> </w:t>
      </w:r>
      <w:r w:rsidR="00122F78" w:rsidRPr="00382917">
        <w:t>its</w:t>
      </w:r>
      <w:r w:rsidR="00EE4FC3">
        <w:t xml:space="preserve"> </w:t>
      </w:r>
      <w:r w:rsidR="00122F78" w:rsidRPr="00382917">
        <w:t>beauty</w:t>
      </w:r>
      <w:r w:rsidR="00EE4FC3">
        <w:t xml:space="preserve"> </w:t>
      </w:r>
      <w:r w:rsidR="00122F78" w:rsidRPr="00382917">
        <w:t>that</w:t>
      </w:r>
      <w:r w:rsidR="00EE4FC3">
        <w:t xml:space="preserve"> </w:t>
      </w:r>
      <w:r w:rsidR="00122F78" w:rsidRPr="00382917">
        <w:t>three</w:t>
      </w:r>
      <w:r w:rsidR="00EE4FC3">
        <w:t xml:space="preserve"> </w:t>
      </w:r>
      <w:r w:rsidR="00122F78" w:rsidRPr="00382917">
        <w:t>times</w:t>
      </w:r>
      <w:r w:rsidR="00EE4FC3">
        <w:t xml:space="preserve"> </w:t>
      </w:r>
      <w:r w:rsidR="00122F78" w:rsidRPr="00382917">
        <w:t>I</w:t>
      </w:r>
      <w:r w:rsidR="00EE4FC3">
        <w:t xml:space="preserve"> </w:t>
      </w:r>
      <w:r w:rsidR="00122F78" w:rsidRPr="00382917">
        <w:t>was</w:t>
      </w:r>
      <w:r w:rsidR="00EE4FC3">
        <w:t xml:space="preserve"> </w:t>
      </w:r>
      <w:r w:rsidR="00122F78" w:rsidRPr="00382917">
        <w:t>on</w:t>
      </w:r>
      <w:r w:rsidR="00EE4FC3">
        <w:t xml:space="preserve"> </w:t>
      </w:r>
      <w:r w:rsidR="00122F78" w:rsidRPr="00382917">
        <w:t>the</w:t>
      </w:r>
      <w:r w:rsidR="00EE4FC3">
        <w:t xml:space="preserve"> </w:t>
      </w:r>
      <w:r w:rsidR="00122F78" w:rsidRPr="00382917">
        <w:t>verge</w:t>
      </w:r>
      <w:r w:rsidR="00EE4FC3">
        <w:t xml:space="preserve"> </w:t>
      </w:r>
      <w:r w:rsidR="00122F78" w:rsidRPr="00382917">
        <w:t>of</w:t>
      </w:r>
      <w:r w:rsidR="00EE4FC3">
        <w:t xml:space="preserve"> </w:t>
      </w:r>
      <w:r w:rsidR="00122F78" w:rsidRPr="00382917">
        <w:t>fainting</w:t>
      </w:r>
      <w:r w:rsidR="00C03C91">
        <w:t>.</w:t>
      </w:r>
      <w:r w:rsidR="00EE4FC3">
        <w:t xml:space="preserve">  </w:t>
      </w:r>
      <w:r w:rsidR="00122F78" w:rsidRPr="00382917">
        <w:t>The</w:t>
      </w:r>
      <w:r w:rsidR="00EE4FC3">
        <w:t xml:space="preserve"> </w:t>
      </w:r>
      <w:r w:rsidR="00122F78" w:rsidRPr="00382917">
        <w:t>Báb</w:t>
      </w:r>
      <w:r w:rsidR="00EE4FC3">
        <w:t xml:space="preserve"> </w:t>
      </w:r>
      <w:r w:rsidR="00122F78" w:rsidRPr="00382917">
        <w:t>revived</w:t>
      </w:r>
      <w:r w:rsidR="00EE4FC3">
        <w:t xml:space="preserve"> </w:t>
      </w:r>
      <w:r w:rsidR="00122F78" w:rsidRPr="00382917">
        <w:t>my</w:t>
      </w:r>
      <w:r w:rsidR="00EE4FC3">
        <w:t xml:space="preserve"> </w:t>
      </w:r>
      <w:r w:rsidR="00122F78" w:rsidRPr="00382917">
        <w:t>failing</w:t>
      </w:r>
      <w:r w:rsidR="00EE4FC3">
        <w:t xml:space="preserve"> </w:t>
      </w:r>
      <w:r w:rsidR="00122F78" w:rsidRPr="00382917">
        <w:t>strength</w:t>
      </w:r>
      <w:r w:rsidR="00EE4FC3">
        <w:t xml:space="preserve"> </w:t>
      </w:r>
      <w:r w:rsidR="00122F78" w:rsidRPr="00382917">
        <w:t>by</w:t>
      </w:r>
      <w:r w:rsidR="00EE4FC3">
        <w:t xml:space="preserve"> </w:t>
      </w:r>
      <w:r w:rsidR="00122F78" w:rsidRPr="00382917">
        <w:t>sprinkling</w:t>
      </w:r>
      <w:r w:rsidR="00EE4FC3">
        <w:t xml:space="preserve"> </w:t>
      </w:r>
      <w:r w:rsidR="00122F78" w:rsidRPr="00382917">
        <w:t>rose-water</w:t>
      </w:r>
      <w:r w:rsidR="00EE4FC3">
        <w:t xml:space="preserve"> </w:t>
      </w:r>
      <w:r w:rsidR="00122F78" w:rsidRPr="00382917">
        <w:t>upon</w:t>
      </w:r>
      <w:r w:rsidR="00EE4FC3">
        <w:t xml:space="preserve"> </w:t>
      </w:r>
      <w:r w:rsidR="00122F78" w:rsidRPr="00382917">
        <w:t>my</w:t>
      </w:r>
      <w:r w:rsidR="00EE4FC3">
        <w:t xml:space="preserve"> </w:t>
      </w:r>
      <w:r w:rsidR="00122F78" w:rsidRPr="00382917">
        <w:t>face</w:t>
      </w:r>
      <w:r w:rsidR="00C03C91">
        <w:t>.</w:t>
      </w:r>
      <w:r w:rsidR="00EE4FC3">
        <w:t xml:space="preserve">  </w:t>
      </w:r>
      <w:r w:rsidR="00122F78" w:rsidRPr="00382917">
        <w:t>When</w:t>
      </w:r>
      <w:r w:rsidR="00EE4FC3">
        <w:t xml:space="preserve"> </w:t>
      </w:r>
      <w:r w:rsidR="00122F78" w:rsidRPr="00382917">
        <w:t>He</w:t>
      </w:r>
      <w:r w:rsidR="00EE4FC3">
        <w:t xml:space="preserve"> </w:t>
      </w:r>
      <w:r w:rsidR="00122F78" w:rsidRPr="00382917">
        <w:t>had</w:t>
      </w:r>
      <w:r w:rsidR="00EE4FC3">
        <w:t xml:space="preserve"> </w:t>
      </w:r>
      <w:r w:rsidR="00122F78" w:rsidRPr="00382917">
        <w:t>completed</w:t>
      </w:r>
      <w:r w:rsidR="00EE4FC3">
        <w:t xml:space="preserve"> </w:t>
      </w:r>
      <w:r w:rsidR="00122F78" w:rsidRPr="00382917">
        <w:t>His</w:t>
      </w:r>
      <w:r w:rsidR="00EE4FC3">
        <w:t xml:space="preserve"> </w:t>
      </w:r>
      <w:r w:rsidR="00122F78" w:rsidRPr="00382917">
        <w:t>recital,</w:t>
      </w:r>
      <w:r w:rsidR="00EE4FC3">
        <w:t xml:space="preserve"> </w:t>
      </w:r>
      <w:r w:rsidR="00122F78" w:rsidRPr="00382917">
        <w:t>the</w:t>
      </w:r>
      <w:r w:rsidR="00EE4FC3">
        <w:t xml:space="preserve"> </w:t>
      </w:r>
      <w:r w:rsidR="00122F78" w:rsidRPr="00382917">
        <w:t>Báb</w:t>
      </w:r>
      <w:r w:rsidR="00EE4FC3">
        <w:t xml:space="preserve"> </w:t>
      </w:r>
      <w:r w:rsidR="00122F78" w:rsidRPr="00382917">
        <w:t>arose</w:t>
      </w:r>
      <w:r w:rsidR="00EE4FC3">
        <w:t xml:space="preserve"> </w:t>
      </w:r>
      <w:r w:rsidR="00122F78" w:rsidRPr="00382917">
        <w:t>to</w:t>
      </w:r>
      <w:r w:rsidR="00EE4FC3">
        <w:t xml:space="preserve"> </w:t>
      </w:r>
      <w:r w:rsidR="00122F78" w:rsidRPr="00382917">
        <w:t>depart.</w:t>
      </w:r>
      <w:r w:rsidRPr="00382917">
        <w:t>”</w:t>
      </w:r>
    </w:p>
    <w:p w:rsidR="00122F78" w:rsidRPr="00382917" w:rsidRDefault="00122F78" w:rsidP="00122F78">
      <w:pPr>
        <w:pStyle w:val="Text"/>
      </w:pPr>
      <w:r w:rsidRPr="00382917">
        <w:t>With</w:t>
      </w:r>
      <w:r w:rsidR="00EE4FC3">
        <w:t xml:space="preserve"> </w:t>
      </w:r>
      <w:r w:rsidR="009C713D" w:rsidRPr="00382917">
        <w:t>‘</w:t>
      </w:r>
      <w:r w:rsidRPr="00382917">
        <w:t>Abdu</w:t>
      </w:r>
      <w:r w:rsidR="009C713D" w:rsidRPr="00382917">
        <w:t>’</w:t>
      </w:r>
      <w:r w:rsidRPr="00382917">
        <w:t>l-Karím,</w:t>
      </w:r>
      <w:r w:rsidR="00EE4FC3">
        <w:t xml:space="preserve"> </w:t>
      </w:r>
      <w:r w:rsidRPr="00382917">
        <w:t>Vaḥíd</w:t>
      </w:r>
      <w:r w:rsidR="00EE4FC3">
        <w:t xml:space="preserve"> </w:t>
      </w:r>
      <w:r w:rsidRPr="00382917">
        <w:t>devoted</w:t>
      </w:r>
      <w:r w:rsidR="00EE4FC3">
        <w:t xml:space="preserve"> </w:t>
      </w:r>
      <w:r w:rsidRPr="00382917">
        <w:t>three</w:t>
      </w:r>
      <w:r w:rsidR="00EE4FC3">
        <w:t xml:space="preserve"> </w:t>
      </w:r>
      <w:r w:rsidRPr="00382917">
        <w:t>days</w:t>
      </w:r>
      <w:r w:rsidR="00EE4FC3">
        <w:t xml:space="preserve"> </w:t>
      </w:r>
      <w:r w:rsidRPr="00382917">
        <w:t>and</w:t>
      </w:r>
      <w:r w:rsidR="00EE4FC3">
        <w:t xml:space="preserve"> </w:t>
      </w:r>
      <w:r w:rsidRPr="00382917">
        <w:t>three</w:t>
      </w:r>
      <w:r w:rsidR="00EE4FC3">
        <w:t xml:space="preserve"> </w:t>
      </w:r>
      <w:r w:rsidRPr="00382917">
        <w:t>nights</w:t>
      </w:r>
      <w:r w:rsidR="00EE4FC3">
        <w:t xml:space="preserve"> </w:t>
      </w:r>
      <w:r w:rsidRPr="00382917">
        <w:t>to</w:t>
      </w:r>
      <w:r w:rsidR="00EE4FC3">
        <w:t xml:space="preserve"> </w:t>
      </w:r>
      <w:r w:rsidRPr="00382917">
        <w:t>transcribing</w:t>
      </w:r>
      <w:r w:rsidR="00EE4FC3">
        <w:t xml:space="preserve"> </w:t>
      </w:r>
      <w:r w:rsidRPr="00382917">
        <w:t>the</w:t>
      </w:r>
      <w:r w:rsidR="00EE4FC3">
        <w:t xml:space="preserve"> </w:t>
      </w:r>
      <w:r w:rsidRPr="00382917">
        <w:t>newly</w:t>
      </w:r>
      <w:r w:rsidR="00EE4FC3">
        <w:t xml:space="preserve"> </w:t>
      </w:r>
      <w:r w:rsidRPr="00382917">
        <w:t>revealed</w:t>
      </w:r>
      <w:r w:rsidR="00EE4FC3">
        <w:t xml:space="preserve"> </w:t>
      </w:r>
      <w:r w:rsidRPr="00382917">
        <w:t>commentary</w:t>
      </w:r>
      <w:r w:rsidR="00C03C91">
        <w:t>.</w:t>
      </w:r>
      <w:r w:rsidR="00EE4FC3">
        <w:t xml:space="preserve">  </w:t>
      </w:r>
      <w:r w:rsidRPr="00382917">
        <w:t>They</w:t>
      </w:r>
      <w:r w:rsidR="00EE4FC3">
        <w:t xml:space="preserve"> </w:t>
      </w:r>
      <w:r w:rsidRPr="00382917">
        <w:t>verified</w:t>
      </w:r>
      <w:r w:rsidR="00EE4FC3">
        <w:t xml:space="preserve"> </w:t>
      </w:r>
      <w:r w:rsidRPr="00382917">
        <w:t>all</w:t>
      </w:r>
      <w:r w:rsidR="00EE4FC3">
        <w:t xml:space="preserve"> </w:t>
      </w:r>
      <w:r w:rsidRPr="00382917">
        <w:t>the</w:t>
      </w:r>
      <w:r w:rsidR="00EE4FC3">
        <w:t xml:space="preserve"> </w:t>
      </w:r>
      <w:r w:rsidRPr="00382917">
        <w:t>prophecies</w:t>
      </w:r>
      <w:r w:rsidR="00EE4FC3">
        <w:t xml:space="preserve"> </w:t>
      </w:r>
      <w:r w:rsidRPr="00382917">
        <w:t>and</w:t>
      </w:r>
      <w:r w:rsidR="00EE4FC3">
        <w:t xml:space="preserve"> </w:t>
      </w:r>
      <w:r w:rsidRPr="00382917">
        <w:t>traditions</w:t>
      </w:r>
      <w:r w:rsidR="00EE4FC3">
        <w:t xml:space="preserve"> </w:t>
      </w:r>
      <w:r w:rsidRPr="00382917">
        <w:t>in</w:t>
      </w:r>
      <w:r w:rsidR="00EE4FC3">
        <w:t xml:space="preserve"> </w:t>
      </w:r>
      <w:r w:rsidRPr="00382917">
        <w:t>the</w:t>
      </w:r>
      <w:r w:rsidR="00EE4FC3">
        <w:t xml:space="preserve"> </w:t>
      </w:r>
      <w:r w:rsidRPr="00382917">
        <w:t>text</w:t>
      </w:r>
      <w:r w:rsidR="00EE4FC3">
        <w:t xml:space="preserve"> </w:t>
      </w:r>
      <w:r w:rsidRPr="00382917">
        <w:t>and</w:t>
      </w:r>
      <w:r w:rsidR="00EE4FC3">
        <w:t xml:space="preserve"> </w:t>
      </w:r>
      <w:r w:rsidRPr="00382917">
        <w:t>found</w:t>
      </w:r>
      <w:r w:rsidR="00EE4FC3">
        <w:t xml:space="preserve"> </w:t>
      </w:r>
      <w:r w:rsidRPr="00382917">
        <w:t>them</w:t>
      </w:r>
      <w:r w:rsidR="00EE4FC3">
        <w:t xml:space="preserve"> </w:t>
      </w:r>
      <w:r w:rsidRPr="00382917">
        <w:t>to</w:t>
      </w:r>
      <w:r w:rsidR="00EE4FC3">
        <w:t xml:space="preserve"> </w:t>
      </w:r>
      <w:r w:rsidRPr="00382917">
        <w:t>be</w:t>
      </w:r>
      <w:r w:rsidR="00EE4FC3">
        <w:t xml:space="preserve"> </w:t>
      </w:r>
      <w:r w:rsidRPr="00382917">
        <w:t>entirely</w:t>
      </w:r>
      <w:r w:rsidR="00EE4FC3">
        <w:t xml:space="preserve"> </w:t>
      </w:r>
      <w:r w:rsidRPr="00382917">
        <w:t>accurate.</w:t>
      </w:r>
    </w:p>
    <w:p w:rsidR="00122F78" w:rsidRPr="00382917" w:rsidRDefault="00122F78" w:rsidP="00122F78">
      <w:pPr>
        <w:pStyle w:val="Text"/>
      </w:pPr>
      <w:r w:rsidRPr="00382917">
        <w:t>Vaḥíd</w:t>
      </w:r>
      <w:r w:rsidR="00EE4FC3">
        <w:t xml:space="preserve"> </w:t>
      </w:r>
      <w:r w:rsidRPr="00382917">
        <w:t>summed</w:t>
      </w:r>
      <w:r w:rsidR="00EE4FC3">
        <w:t xml:space="preserve"> </w:t>
      </w:r>
      <w:r w:rsidRPr="00382917">
        <w:t>up</w:t>
      </w:r>
      <w:r w:rsidR="00EE4FC3">
        <w:t xml:space="preserve"> </w:t>
      </w:r>
      <w:r w:rsidRPr="00382917">
        <w:t>his</w:t>
      </w:r>
      <w:r w:rsidR="00EE4FC3">
        <w:t xml:space="preserve"> </w:t>
      </w:r>
      <w:r w:rsidRPr="00382917">
        <w:t>report</w:t>
      </w:r>
      <w:r w:rsidR="00EE4FC3">
        <w:t xml:space="preserve"> </w:t>
      </w:r>
      <w:r w:rsidRPr="00382917">
        <w:t>on</w:t>
      </w:r>
      <w:r w:rsidR="00EE4FC3">
        <w:t xml:space="preserve"> </w:t>
      </w:r>
      <w:r w:rsidRPr="00382917">
        <w:t>his</w:t>
      </w:r>
      <w:r w:rsidR="00EE4FC3">
        <w:t xml:space="preserve"> </w:t>
      </w:r>
      <w:r w:rsidRPr="00382917">
        <w:t>investigation</w:t>
      </w:r>
      <w:r w:rsidR="00EE4FC3">
        <w:t xml:space="preserve"> </w:t>
      </w:r>
      <w:r w:rsidRPr="00382917">
        <w:t>of</w:t>
      </w:r>
      <w:r w:rsidR="00EE4FC3">
        <w:t xml:space="preserve"> </w:t>
      </w:r>
      <w:r w:rsidRPr="00382917">
        <w:t>the</w:t>
      </w:r>
      <w:r w:rsidR="00EE4FC3">
        <w:t xml:space="preserve"> </w:t>
      </w:r>
      <w:r w:rsidRPr="00382917">
        <w:t>Báb</w:t>
      </w:r>
      <w:r w:rsidR="00EE4FC3">
        <w:t xml:space="preserve"> </w:t>
      </w:r>
      <w:r w:rsidRPr="00382917">
        <w:t>by</w:t>
      </w:r>
      <w:r w:rsidR="00EE4FC3">
        <w:t xml:space="preserve"> </w:t>
      </w:r>
      <w:r w:rsidRPr="00382917">
        <w:t>saying</w:t>
      </w:r>
      <w:r w:rsidR="00C03C91">
        <w:t>:</w:t>
      </w:r>
      <w:r w:rsidR="00EE4FC3">
        <w:t xml:space="preserve">  </w:t>
      </w:r>
      <w:r w:rsidR="009C713D" w:rsidRPr="00382917">
        <w:t>“</w:t>
      </w:r>
      <w:r w:rsidRPr="00382917">
        <w:t>Such</w:t>
      </w:r>
      <w:r w:rsidR="00EE4FC3">
        <w:t xml:space="preserve"> </w:t>
      </w:r>
      <w:r w:rsidRPr="00382917">
        <w:t>was</w:t>
      </w:r>
      <w:r w:rsidR="00EE4FC3">
        <w:t xml:space="preserve"> </w:t>
      </w:r>
      <w:r w:rsidRPr="00382917">
        <w:t>the</w:t>
      </w:r>
      <w:r w:rsidR="00EE4FC3">
        <w:t xml:space="preserve"> </w:t>
      </w:r>
      <w:r w:rsidRPr="00382917">
        <w:t>state</w:t>
      </w:r>
      <w:r w:rsidR="00EE4FC3">
        <w:t xml:space="preserve"> </w:t>
      </w:r>
      <w:r w:rsidRPr="00382917">
        <w:t>of</w:t>
      </w:r>
      <w:r w:rsidR="00EE4FC3">
        <w:t xml:space="preserve"> </w:t>
      </w:r>
      <w:r w:rsidRPr="00382917">
        <w:t>certitude</w:t>
      </w:r>
      <w:r w:rsidR="00EE4FC3">
        <w:t xml:space="preserve"> </w:t>
      </w:r>
      <w:r w:rsidRPr="00382917">
        <w:t>to</w:t>
      </w:r>
      <w:r w:rsidR="00EE4FC3">
        <w:t xml:space="preserve"> </w:t>
      </w:r>
      <w:r w:rsidRPr="00382917">
        <w:t>which</w:t>
      </w:r>
      <w:r w:rsidR="00EE4FC3">
        <w:t xml:space="preserve"> </w:t>
      </w:r>
      <w:r w:rsidRPr="00382917">
        <w:t>I</w:t>
      </w:r>
      <w:r w:rsidR="00EE4FC3">
        <w:t xml:space="preserve"> </w:t>
      </w:r>
      <w:r w:rsidRPr="00382917">
        <w:t>had</w:t>
      </w:r>
      <w:r w:rsidR="00EE4FC3">
        <w:t xml:space="preserve"> </w:t>
      </w:r>
      <w:r w:rsidRPr="00382917">
        <w:t>attained</w:t>
      </w:r>
      <w:r w:rsidR="00EE4FC3">
        <w:t xml:space="preserve"> </w:t>
      </w:r>
      <w:r w:rsidRPr="00382917">
        <w:t>that</w:t>
      </w:r>
      <w:r w:rsidR="00EE4FC3">
        <w:t xml:space="preserve"> </w:t>
      </w:r>
      <w:r w:rsidRPr="00382917">
        <w:t>nothing</w:t>
      </w:r>
      <w:r w:rsidR="00EE4FC3">
        <w:t xml:space="preserve"> </w:t>
      </w:r>
      <w:r w:rsidRPr="00382917">
        <w:t>could</w:t>
      </w:r>
      <w:r w:rsidR="00EE4FC3">
        <w:t xml:space="preserve"> </w:t>
      </w:r>
      <w:r w:rsidRPr="00382917">
        <w:t>shake</w:t>
      </w:r>
      <w:r w:rsidR="00EE4FC3">
        <w:t xml:space="preserve"> </w:t>
      </w:r>
      <w:r w:rsidRPr="00382917">
        <w:t>my</w:t>
      </w:r>
      <w:r w:rsidR="00EE4FC3">
        <w:t xml:space="preserve"> </w:t>
      </w:r>
      <w:r w:rsidRPr="00382917">
        <w:t>confidence</w:t>
      </w:r>
      <w:r w:rsidR="00EE4FC3">
        <w:t xml:space="preserve"> </w:t>
      </w:r>
      <w:r w:rsidRPr="00382917">
        <w:t>in</w:t>
      </w:r>
      <w:r w:rsidR="00EE4FC3">
        <w:t xml:space="preserve"> </w:t>
      </w:r>
      <w:r w:rsidRPr="00382917">
        <w:t>the</w:t>
      </w:r>
      <w:r w:rsidR="00EE4FC3">
        <w:t xml:space="preserve"> </w:t>
      </w:r>
      <w:r w:rsidRPr="00382917">
        <w:t>greatness</w:t>
      </w:r>
      <w:r w:rsidR="00EE4FC3">
        <w:t xml:space="preserve"> </w:t>
      </w:r>
      <w:r w:rsidRPr="00382917">
        <w:t>of</w:t>
      </w:r>
      <w:r w:rsidR="00EE4FC3">
        <w:t xml:space="preserve"> </w:t>
      </w:r>
      <w:r w:rsidRPr="00382917">
        <w:t>His</w:t>
      </w:r>
      <w:r w:rsidR="00EE4FC3">
        <w:t xml:space="preserve"> </w:t>
      </w:r>
      <w:r w:rsidRPr="00382917">
        <w:t>Cause.</w:t>
      </w:r>
      <w:r w:rsidR="009C713D" w:rsidRPr="00382917">
        <w:t>”</w:t>
      </w:r>
    </w:p>
    <w:p w:rsidR="00122F78" w:rsidRPr="00382917" w:rsidRDefault="008A04AA" w:rsidP="00122F78">
      <w:pPr>
        <w:pStyle w:val="Text"/>
      </w:pPr>
      <w:r w:rsidRPr="00382917">
        <w:t>Vaḥíd</w:t>
      </w:r>
      <w:r w:rsidR="00EE4FC3">
        <w:t xml:space="preserve"> </w:t>
      </w:r>
      <w:r w:rsidR="00122F78" w:rsidRPr="00382917">
        <w:t>discharged</w:t>
      </w:r>
      <w:r w:rsidR="00EE4FC3">
        <w:t xml:space="preserve"> </w:t>
      </w:r>
      <w:r w:rsidR="00122F78" w:rsidRPr="00382917">
        <w:t>his</w:t>
      </w:r>
      <w:r w:rsidR="00EE4FC3">
        <w:t xml:space="preserve"> </w:t>
      </w:r>
      <w:r w:rsidR="00122F78" w:rsidRPr="00382917">
        <w:t>responsibility</w:t>
      </w:r>
      <w:r w:rsidR="00EE4FC3">
        <w:t xml:space="preserve"> </w:t>
      </w:r>
      <w:r w:rsidR="00122F78" w:rsidRPr="00382917">
        <w:t>to</w:t>
      </w:r>
      <w:r w:rsidR="00EE4FC3">
        <w:t xml:space="preserve"> </w:t>
      </w:r>
      <w:r w:rsidR="00122F78" w:rsidRPr="00382917">
        <w:t>the</w:t>
      </w:r>
      <w:r w:rsidR="00EE4FC3">
        <w:t xml:space="preserve"> </w:t>
      </w:r>
      <w:r w:rsidR="00122F78" w:rsidRPr="00382917">
        <w:t>king,</w:t>
      </w:r>
      <w:r w:rsidR="00EE4FC3">
        <w:t xml:space="preserve"> </w:t>
      </w:r>
      <w:r w:rsidR="00122F78" w:rsidRPr="00382917">
        <w:t>writing</w:t>
      </w:r>
      <w:r w:rsidR="00EE4FC3">
        <w:t xml:space="preserve"> </w:t>
      </w:r>
      <w:r w:rsidR="00122F78" w:rsidRPr="00382917">
        <w:t>a</w:t>
      </w:r>
      <w:r w:rsidR="00EE4FC3">
        <w:t xml:space="preserve"> </w:t>
      </w:r>
      <w:r w:rsidR="00122F78" w:rsidRPr="00382917">
        <w:t>detailed</w:t>
      </w:r>
      <w:r w:rsidR="00EE4FC3">
        <w:t xml:space="preserve"> </w:t>
      </w:r>
      <w:r w:rsidR="00122F78" w:rsidRPr="00382917">
        <w:t>and</w:t>
      </w:r>
      <w:r w:rsidR="00EE4FC3">
        <w:t xml:space="preserve"> </w:t>
      </w:r>
      <w:r w:rsidR="00122F78" w:rsidRPr="00382917">
        <w:t>personal</w:t>
      </w:r>
      <w:r w:rsidR="00EE4FC3">
        <w:t xml:space="preserve"> </w:t>
      </w:r>
      <w:r w:rsidR="00122F78" w:rsidRPr="00382917">
        <w:t>account</w:t>
      </w:r>
      <w:r w:rsidR="00EE4FC3">
        <w:t xml:space="preserve"> </w:t>
      </w:r>
      <w:r w:rsidR="00122F78" w:rsidRPr="00382917">
        <w:t>of</w:t>
      </w:r>
      <w:r w:rsidR="00EE4FC3">
        <w:t xml:space="preserve"> </w:t>
      </w:r>
      <w:r w:rsidR="00122F78" w:rsidRPr="00382917">
        <w:t>his</w:t>
      </w:r>
      <w:r w:rsidR="00EE4FC3">
        <w:t xml:space="preserve"> </w:t>
      </w:r>
      <w:r w:rsidR="00122F78" w:rsidRPr="00382917">
        <w:t>investigation</w:t>
      </w:r>
      <w:r w:rsidR="00EE4FC3">
        <w:t xml:space="preserve"> </w:t>
      </w:r>
      <w:r w:rsidR="00122F78" w:rsidRPr="00382917">
        <w:t>of</w:t>
      </w:r>
      <w:r w:rsidR="00EE4FC3">
        <w:t xml:space="preserve"> </w:t>
      </w:r>
      <w:r w:rsidR="00122F78" w:rsidRPr="00382917">
        <w:t>the</w:t>
      </w:r>
      <w:r w:rsidR="00EE4FC3">
        <w:t xml:space="preserve"> </w:t>
      </w:r>
      <w:r w:rsidR="00122F78" w:rsidRPr="00382917">
        <w:t>Báb.</w:t>
      </w:r>
    </w:p>
    <w:p w:rsidR="00E13D49" w:rsidRPr="00382917" w:rsidRDefault="00122F78" w:rsidP="00B0573F">
      <w:pPr>
        <w:pStyle w:val="Text"/>
      </w:pPr>
      <w:r w:rsidRPr="00382917">
        <w:t>Vaḥíd</w:t>
      </w:r>
      <w:r w:rsidR="00EE4FC3">
        <w:t xml:space="preserve"> </w:t>
      </w:r>
      <w:r w:rsidRPr="00382917">
        <w:t>himself</w:t>
      </w:r>
      <w:r w:rsidR="00EE4FC3">
        <w:t xml:space="preserve"> </w:t>
      </w:r>
      <w:r w:rsidRPr="00382917">
        <w:t>did</w:t>
      </w:r>
      <w:r w:rsidR="00EE4FC3">
        <w:t xml:space="preserve"> </w:t>
      </w:r>
      <w:r w:rsidRPr="00382917">
        <w:t>not</w:t>
      </w:r>
      <w:r w:rsidR="00EE4FC3">
        <w:t xml:space="preserve"> </w:t>
      </w:r>
      <w:r w:rsidRPr="00382917">
        <w:t>return</w:t>
      </w:r>
      <w:r w:rsidR="00EE4FC3">
        <w:t xml:space="preserve"> </w:t>
      </w:r>
      <w:r w:rsidRPr="00382917">
        <w:t>to</w:t>
      </w:r>
      <w:r w:rsidR="00EE4FC3">
        <w:t xml:space="preserve"> </w:t>
      </w:r>
      <w:r w:rsidRPr="00382917">
        <w:t>the</w:t>
      </w:r>
      <w:r w:rsidR="00EE4FC3">
        <w:t xml:space="preserve"> </w:t>
      </w:r>
      <w:r w:rsidRPr="00382917">
        <w:t>capital</w:t>
      </w:r>
      <w:r w:rsidR="00C03C91">
        <w:t>.</w:t>
      </w:r>
      <w:r w:rsidR="00EE4FC3">
        <w:t xml:space="preserve">  </w:t>
      </w:r>
      <w:r w:rsidRPr="00382917">
        <w:t>He</w:t>
      </w:r>
      <w:r w:rsidR="00EE4FC3">
        <w:t xml:space="preserve"> </w:t>
      </w:r>
      <w:r w:rsidRPr="00382917">
        <w:t>began</w:t>
      </w:r>
      <w:r w:rsidR="00EE4FC3">
        <w:t xml:space="preserve"> </w:t>
      </w:r>
      <w:r w:rsidRPr="00382917">
        <w:t>to</w:t>
      </w:r>
      <w:r w:rsidR="00EE4FC3">
        <w:t xml:space="preserve"> </w:t>
      </w:r>
      <w:r w:rsidRPr="00382917">
        <w:t>summon</w:t>
      </w:r>
      <w:r w:rsidR="00EE4FC3">
        <w:t xml:space="preserve"> </w:t>
      </w:r>
      <w:r w:rsidRPr="00382917">
        <w:t>the</w:t>
      </w:r>
      <w:r w:rsidR="00EE4FC3">
        <w:t xml:space="preserve"> </w:t>
      </w:r>
      <w:r w:rsidRPr="00382917">
        <w:t>people</w:t>
      </w:r>
      <w:r w:rsidR="00EE4FC3">
        <w:t xml:space="preserve"> </w:t>
      </w:r>
      <w:r w:rsidRPr="00382917">
        <w:t>to</w:t>
      </w:r>
      <w:r w:rsidR="00EE4FC3">
        <w:t xml:space="preserve"> </w:t>
      </w:r>
      <w:r w:rsidRPr="00382917">
        <w:t>accept</w:t>
      </w:r>
      <w:r w:rsidR="00EE4FC3">
        <w:t xml:space="preserve"> </w:t>
      </w:r>
      <w:r w:rsidRPr="00382917">
        <w:t>the</w:t>
      </w:r>
      <w:r w:rsidR="00EE4FC3">
        <w:t xml:space="preserve"> </w:t>
      </w:r>
      <w:r w:rsidRPr="00382917">
        <w:t>new</w:t>
      </w:r>
      <w:r w:rsidR="00EE4FC3">
        <w:t xml:space="preserve"> </w:t>
      </w:r>
      <w:r w:rsidRPr="00382917">
        <w:t>Messenger</w:t>
      </w:r>
      <w:r w:rsidR="00EE4FC3">
        <w:t xml:space="preserve"> </w:t>
      </w:r>
      <w:r w:rsidRPr="00382917">
        <w:t>of</w:t>
      </w:r>
      <w:r w:rsidR="00EE4FC3">
        <w:t xml:space="preserve"> </w:t>
      </w:r>
      <w:r w:rsidRPr="00382917">
        <w:t>God</w:t>
      </w:r>
      <w:r w:rsidR="00C03C91">
        <w:t>.</w:t>
      </w:r>
      <w:r w:rsidR="00EE4FC3">
        <w:t xml:space="preserve">  </w:t>
      </w:r>
      <w:r w:rsidRPr="00382917">
        <w:t>Such</w:t>
      </w:r>
      <w:r w:rsidR="00EE4FC3">
        <w:t xml:space="preserve"> </w:t>
      </w:r>
      <w:r w:rsidRPr="00382917">
        <w:t>was</w:t>
      </w:r>
      <w:r w:rsidR="00EE4FC3">
        <w:t xml:space="preserve"> </w:t>
      </w:r>
      <w:r w:rsidRPr="00382917">
        <w:t>his</w:t>
      </w:r>
      <w:r w:rsidR="00EE4FC3">
        <w:t xml:space="preserve"> </w:t>
      </w:r>
      <w:r w:rsidRPr="00382917">
        <w:t>enthusiasm</w:t>
      </w:r>
      <w:r w:rsidR="00EE4FC3">
        <w:t xml:space="preserve"> </w:t>
      </w:r>
      <w:r w:rsidRPr="00382917">
        <w:t>and</w:t>
      </w:r>
      <w:r w:rsidR="00EE4FC3">
        <w:t xml:space="preserve"> </w:t>
      </w:r>
      <w:proofErr w:type="spellStart"/>
      <w:r w:rsidRPr="00382917">
        <w:t>fervor</w:t>
      </w:r>
      <w:proofErr w:type="spellEnd"/>
      <w:r w:rsidRPr="00382917">
        <w:t>,</w:t>
      </w:r>
      <w:r w:rsidR="00EE4FC3">
        <w:t xml:space="preserve"> </w:t>
      </w:r>
      <w:r w:rsidRPr="00382917">
        <w:t>that</w:t>
      </w:r>
      <w:r w:rsidR="00EE4FC3">
        <w:t xml:space="preserve"> </w:t>
      </w:r>
      <w:r w:rsidRPr="00382917">
        <w:t>other</w:t>
      </w:r>
      <w:r w:rsidR="00EE4FC3">
        <w:t xml:space="preserve"> </w:t>
      </w:r>
      <w:r w:rsidRPr="00382917">
        <w:t>learned</w:t>
      </w:r>
      <w:r w:rsidR="00EE4FC3">
        <w:t xml:space="preserve"> </w:t>
      </w:r>
      <w:r w:rsidRPr="00382917">
        <w:t>doctors</w:t>
      </w:r>
      <w:r w:rsidR="00EE4FC3">
        <w:t xml:space="preserve"> </w:t>
      </w:r>
      <w:r w:rsidRPr="00382917">
        <w:t>decided</w:t>
      </w:r>
      <w:r w:rsidR="00EE4FC3">
        <w:t xml:space="preserve"> </w:t>
      </w:r>
      <w:r w:rsidRPr="00382917">
        <w:t>Vaḥíd</w:t>
      </w:r>
      <w:r w:rsidR="00EE4FC3">
        <w:t xml:space="preserve"> </w:t>
      </w:r>
      <w:r w:rsidRPr="00382917">
        <w:t>must</w:t>
      </w:r>
      <w:r w:rsidR="00EE4FC3">
        <w:t xml:space="preserve"> </w:t>
      </w:r>
      <w:r w:rsidRPr="00382917">
        <w:t>have</w:t>
      </w:r>
      <w:r w:rsidR="00EE4FC3">
        <w:t xml:space="preserve"> </w:t>
      </w:r>
      <w:r w:rsidRPr="00382917">
        <w:t>suddenly</w:t>
      </w:r>
      <w:r w:rsidR="00EE4FC3">
        <w:t xml:space="preserve"> </w:t>
      </w:r>
      <w:r w:rsidRPr="00382917">
        <w:t>lost</w:t>
      </w:r>
      <w:r w:rsidR="00EE4FC3">
        <w:t xml:space="preserve"> </w:t>
      </w:r>
      <w:r w:rsidRPr="00382917">
        <w:t>his</w:t>
      </w:r>
      <w:r w:rsidR="00EE4FC3">
        <w:t xml:space="preserve"> </w:t>
      </w:r>
      <w:r w:rsidRPr="00382917">
        <w:t>mind</w:t>
      </w:r>
      <w:r w:rsidR="00C03C91">
        <w:t>.</w:t>
      </w:r>
      <w:r w:rsidR="00EE4FC3">
        <w:t xml:space="preserve">  </w:t>
      </w:r>
      <w:r w:rsidRPr="00382917">
        <w:t>A</w:t>
      </w:r>
      <w:r w:rsidR="00EE4FC3">
        <w:t xml:space="preserve"> </w:t>
      </w:r>
      <w:r w:rsidRPr="00382917">
        <w:t>history</w:t>
      </w:r>
      <w:r w:rsidR="00EE4FC3">
        <w:t xml:space="preserve"> </w:t>
      </w:r>
      <w:r w:rsidRPr="00382917">
        <w:t>of</w:t>
      </w:r>
      <w:r w:rsidR="00EE4FC3">
        <w:t xml:space="preserve"> </w:t>
      </w:r>
      <w:r w:rsidRPr="00382917">
        <w:t>the</w:t>
      </w:r>
      <w:r w:rsidR="00EE4FC3">
        <w:t xml:space="preserve"> </w:t>
      </w:r>
      <w:r w:rsidRPr="00382917">
        <w:t>times</w:t>
      </w:r>
      <w:r w:rsidR="00EE4FC3">
        <w:t xml:space="preserve"> </w:t>
      </w:r>
      <w:r w:rsidRPr="00382917">
        <w:t>states</w:t>
      </w:r>
      <w:r w:rsidR="00EE4FC3">
        <w:t xml:space="preserve"> </w:t>
      </w:r>
      <w:r w:rsidRPr="00382917">
        <w:t>that</w:t>
      </w:r>
      <w:r w:rsidR="00EE4FC3">
        <w:t xml:space="preserve"> </w:t>
      </w:r>
      <w:r w:rsidRPr="00382917">
        <w:t>Vaḥíd</w:t>
      </w:r>
      <w:r w:rsidR="00EE4FC3">
        <w:t xml:space="preserve"> </w:t>
      </w:r>
      <w:r w:rsidR="009C713D" w:rsidRPr="00382917">
        <w:t>“</w:t>
      </w:r>
      <w:r w:rsidRPr="00382917">
        <w:t>wrote</w:t>
      </w:r>
      <w:r w:rsidR="00EE4FC3">
        <w:t xml:space="preserve"> </w:t>
      </w:r>
      <w:r w:rsidRPr="00382917">
        <w:t>without</w:t>
      </w:r>
      <w:r w:rsidR="00EE4FC3">
        <w:t xml:space="preserve"> </w:t>
      </w:r>
      <w:r w:rsidRPr="00382917">
        <w:t>fear</w:t>
      </w:r>
      <w:r w:rsidR="00EE4FC3">
        <w:t xml:space="preserve"> </w:t>
      </w:r>
      <w:r w:rsidRPr="00382917">
        <w:t>or</w:t>
      </w:r>
      <w:r w:rsidR="00EE4FC3">
        <w:t xml:space="preserve"> </w:t>
      </w:r>
      <w:r w:rsidRPr="00382917">
        <w:t>care</w:t>
      </w:r>
      <w:r w:rsidR="00EE4FC3">
        <w:t xml:space="preserve"> </w:t>
      </w:r>
      <w:r w:rsidRPr="00382917">
        <w:t>a</w:t>
      </w:r>
      <w:r w:rsidR="00EE4FC3">
        <w:t xml:space="preserve"> </w:t>
      </w:r>
      <w:r w:rsidRPr="00382917">
        <w:t>detailed</w:t>
      </w:r>
      <w:r w:rsidR="00EE4FC3">
        <w:t xml:space="preserve"> </w:t>
      </w:r>
      <w:r w:rsidRPr="00382917">
        <w:t>account</w:t>
      </w:r>
      <w:r w:rsidR="00EE4FC3">
        <w:t xml:space="preserve"> </w:t>
      </w:r>
      <w:r w:rsidRPr="00382917">
        <w:t>of</w:t>
      </w:r>
      <w:r w:rsidR="00EE4FC3">
        <w:t xml:space="preserve"> </w:t>
      </w:r>
      <w:r w:rsidRPr="00382917">
        <w:t>his</w:t>
      </w:r>
      <w:r w:rsidR="00EE4FC3">
        <w:t xml:space="preserve"> </w:t>
      </w:r>
      <w:r w:rsidRPr="00382917">
        <w:t>observations</w:t>
      </w:r>
      <w:r w:rsidR="00EE4FC3">
        <w:t xml:space="preserve"> </w:t>
      </w:r>
      <w:r w:rsidRPr="00382917">
        <w:t>to</w:t>
      </w:r>
      <w:r w:rsidR="00EE4FC3">
        <w:t xml:space="preserve"> </w:t>
      </w:r>
      <w:r w:rsidRPr="00382917">
        <w:t>the</w:t>
      </w:r>
      <w:r w:rsidR="00EE4FC3">
        <w:t xml:space="preserve"> </w:t>
      </w:r>
      <w:r w:rsidR="00F04416" w:rsidRPr="00382917">
        <w:t>…</w:t>
      </w:r>
      <w:r w:rsidR="00EE4FC3">
        <w:t xml:space="preserve"> </w:t>
      </w:r>
      <w:r w:rsidRPr="00382917">
        <w:t>chamberlain</w:t>
      </w:r>
      <w:r w:rsidR="00EE4FC3">
        <w:t xml:space="preserve"> </w:t>
      </w:r>
      <w:r w:rsidRPr="00382917">
        <w:t>in</w:t>
      </w:r>
      <w:r w:rsidR="00EE4FC3">
        <w:t xml:space="preserve"> </w:t>
      </w:r>
      <w:r w:rsidRPr="00382917">
        <w:t>order</w:t>
      </w:r>
      <w:r w:rsidR="00EE4FC3">
        <w:t xml:space="preserve"> </w:t>
      </w:r>
      <w:r w:rsidRPr="00382917">
        <w:t>that</w:t>
      </w:r>
      <w:r w:rsidR="00EE4FC3">
        <w:t xml:space="preserve"> </w:t>
      </w:r>
      <w:r w:rsidRPr="00382917">
        <w:t>the</w:t>
      </w:r>
      <w:r w:rsidR="00EE4FC3">
        <w:t xml:space="preserve"> </w:t>
      </w:r>
      <w:r w:rsidRPr="00382917">
        <w:t>latter</w:t>
      </w:r>
      <w:r w:rsidR="00EE4FC3">
        <w:t xml:space="preserve"> </w:t>
      </w:r>
      <w:r w:rsidRPr="00382917">
        <w:t>might</w:t>
      </w:r>
      <w:r w:rsidR="00EE4FC3">
        <w:t xml:space="preserve"> </w:t>
      </w:r>
      <w:r w:rsidRPr="00382917">
        <w:t>submit</w:t>
      </w:r>
      <w:r w:rsidR="00EE4FC3">
        <w:t xml:space="preserve"> </w:t>
      </w:r>
      <w:r w:rsidRPr="00382917">
        <w:t>it</w:t>
      </w:r>
      <w:r w:rsidR="00EE4FC3">
        <w:t xml:space="preserve"> </w:t>
      </w:r>
      <w:r w:rsidRPr="00382917">
        <w:t>to</w:t>
      </w:r>
      <w:r w:rsidR="00EE4FC3">
        <w:t xml:space="preserve"> </w:t>
      </w:r>
      <w:r w:rsidRPr="00382917">
        <w:t>the</w:t>
      </w:r>
      <w:r w:rsidR="00EE4FC3">
        <w:t xml:space="preserve"> </w:t>
      </w:r>
      <w:r w:rsidRPr="00382917">
        <w:t>notice</w:t>
      </w:r>
      <w:r w:rsidR="00EE4FC3">
        <w:t xml:space="preserve"> </w:t>
      </w:r>
      <w:r w:rsidRPr="00382917">
        <w:t>of</w:t>
      </w:r>
      <w:r w:rsidR="00EE4FC3">
        <w:t xml:space="preserve"> </w:t>
      </w:r>
      <w:r w:rsidRPr="00382917">
        <w:t>the</w:t>
      </w:r>
      <w:r w:rsidR="00EE4FC3">
        <w:t xml:space="preserve"> </w:t>
      </w:r>
      <w:r w:rsidRPr="00382917">
        <w:t>late</w:t>
      </w:r>
      <w:r w:rsidR="00EE4FC3">
        <w:t xml:space="preserve"> </w:t>
      </w:r>
      <w:r w:rsidRPr="00382917">
        <w:t>king,</w:t>
      </w:r>
      <w:r w:rsidR="00EE4FC3">
        <w:t xml:space="preserve"> </w:t>
      </w:r>
      <w:r w:rsidRPr="00382917">
        <w:t>while</w:t>
      </w:r>
      <w:r w:rsidR="00EE4FC3">
        <w:t xml:space="preserve"> </w:t>
      </w:r>
      <w:r w:rsidRPr="00382917">
        <w:t>he</w:t>
      </w:r>
      <w:r w:rsidR="00EE4FC3">
        <w:t xml:space="preserve"> </w:t>
      </w:r>
      <w:r w:rsidRPr="00382917">
        <w:t>[Vaḥíd]</w:t>
      </w:r>
      <w:r w:rsidR="00EE4FC3">
        <w:t xml:space="preserve"> </w:t>
      </w:r>
      <w:r w:rsidRPr="00382917">
        <w:t>himself</w:t>
      </w:r>
      <w:r w:rsidR="00EE4FC3">
        <w:t xml:space="preserve"> </w:t>
      </w:r>
      <w:r w:rsidRPr="00382917">
        <w:t>journeyed</w:t>
      </w:r>
      <w:r w:rsidR="00EE4FC3">
        <w:t xml:space="preserve"> </w:t>
      </w:r>
      <w:r w:rsidRPr="00382917">
        <w:t>to</w:t>
      </w:r>
      <w:r w:rsidR="00EE4FC3">
        <w:t xml:space="preserve"> </w:t>
      </w:r>
      <w:r w:rsidRPr="00382917">
        <w:t>all</w:t>
      </w:r>
      <w:r w:rsidR="00EE4FC3">
        <w:t xml:space="preserve"> </w:t>
      </w:r>
      <w:r w:rsidRPr="00382917">
        <w:t>parts</w:t>
      </w:r>
      <w:r w:rsidR="00EE4FC3">
        <w:t xml:space="preserve"> </w:t>
      </w:r>
      <w:r w:rsidRPr="00382917">
        <w:t>of</w:t>
      </w:r>
      <w:r w:rsidR="00EE4FC3">
        <w:t xml:space="preserve"> </w:t>
      </w:r>
      <w:r w:rsidRPr="00382917">
        <w:t>Persia,</w:t>
      </w:r>
      <w:r w:rsidR="00EE4FC3">
        <w:t xml:space="preserve"> </w:t>
      </w:r>
      <w:r w:rsidRPr="00382917">
        <w:t>and</w:t>
      </w:r>
      <w:r w:rsidR="00EE4FC3">
        <w:t xml:space="preserve"> </w:t>
      </w:r>
      <w:r w:rsidRPr="00382917">
        <w:t>in</w:t>
      </w:r>
      <w:r w:rsidR="00EE4FC3">
        <w:t xml:space="preserve"> </w:t>
      </w:r>
      <w:r w:rsidRPr="00382917">
        <w:t>every</w:t>
      </w:r>
      <w:r w:rsidR="00EE4FC3">
        <w:t xml:space="preserve"> </w:t>
      </w:r>
      <w:r w:rsidRPr="00382917">
        <w:t>town</w:t>
      </w:r>
      <w:r w:rsidR="00EE4FC3">
        <w:t xml:space="preserve"> </w:t>
      </w:r>
      <w:r w:rsidRPr="00382917">
        <w:t>and</w:t>
      </w:r>
      <w:r w:rsidR="00EE4FC3">
        <w:t xml:space="preserve"> </w:t>
      </w:r>
      <w:r w:rsidRPr="00382917">
        <w:t>station</w:t>
      </w:r>
      <w:r w:rsidR="00EE4FC3">
        <w:t xml:space="preserve"> </w:t>
      </w:r>
      <w:r w:rsidRPr="00382917">
        <w:t>summoned</w:t>
      </w:r>
      <w:r w:rsidR="00EE4FC3">
        <w:t xml:space="preserve"> </w:t>
      </w:r>
      <w:r w:rsidRPr="00382917">
        <w:t>the</w:t>
      </w:r>
      <w:r w:rsidR="00EE4FC3">
        <w:t xml:space="preserve"> </w:t>
      </w:r>
      <w:r w:rsidRPr="00382917">
        <w:t>people</w:t>
      </w:r>
      <w:r w:rsidR="00EE4FC3">
        <w:t xml:space="preserve"> </w:t>
      </w:r>
      <w:r w:rsidRPr="00382917">
        <w:t>from</w:t>
      </w:r>
      <w:r w:rsidR="00EE4FC3">
        <w:t xml:space="preserve"> </w:t>
      </w:r>
      <w:r w:rsidRPr="00382917">
        <w:t>the</w:t>
      </w:r>
      <w:r w:rsidR="00EE4FC3">
        <w:t xml:space="preserve"> </w:t>
      </w:r>
      <w:r w:rsidRPr="00382917">
        <w:t>pulpit-tops</w:t>
      </w:r>
      <w:r w:rsidR="00EE4FC3">
        <w:t xml:space="preserve"> </w:t>
      </w:r>
      <w:r w:rsidRPr="00382917">
        <w:t>in</w:t>
      </w:r>
      <w:r w:rsidR="00EE4FC3">
        <w:t xml:space="preserve"> </w:t>
      </w:r>
      <w:r w:rsidRPr="00382917">
        <w:t>such</w:t>
      </w:r>
      <w:r w:rsidR="00EE4FC3">
        <w:t xml:space="preserve"> </w:t>
      </w:r>
      <w:r w:rsidRPr="00382917">
        <w:t>wise</w:t>
      </w:r>
      <w:r w:rsidR="00EE4FC3">
        <w:t xml:space="preserve"> </w:t>
      </w:r>
      <w:r w:rsidRPr="00382917">
        <w:t>that</w:t>
      </w:r>
      <w:r w:rsidR="00EE4FC3">
        <w:t xml:space="preserve"> </w:t>
      </w:r>
      <w:r w:rsidRPr="00382917">
        <w:t>other</w:t>
      </w:r>
      <w:r w:rsidR="00EE4FC3">
        <w:t xml:space="preserve"> </w:t>
      </w:r>
      <w:r w:rsidRPr="00382917">
        <w:t>learned</w:t>
      </w:r>
      <w:r w:rsidR="00EE4FC3">
        <w:t xml:space="preserve"> </w:t>
      </w:r>
      <w:r w:rsidRPr="00382917">
        <w:t>doctors</w:t>
      </w:r>
      <w:r w:rsidR="00EE4FC3">
        <w:t xml:space="preserve"> </w:t>
      </w:r>
      <w:r w:rsidRPr="00382917">
        <w:t>[leaders]</w:t>
      </w:r>
      <w:r w:rsidR="00EE4FC3">
        <w:t xml:space="preserve"> </w:t>
      </w:r>
      <w:r w:rsidRPr="00382917">
        <w:t>decided</w:t>
      </w:r>
      <w:r w:rsidR="00EE4FC3">
        <w:t xml:space="preserve"> </w:t>
      </w:r>
      <w:r w:rsidRPr="00382917">
        <w:t>that</w:t>
      </w:r>
      <w:r w:rsidR="00EE4FC3">
        <w:t xml:space="preserve"> </w:t>
      </w:r>
      <w:r w:rsidRPr="00382917">
        <w:t>he</w:t>
      </w:r>
      <w:r w:rsidR="00EE4FC3">
        <w:t xml:space="preserve"> </w:t>
      </w:r>
      <w:r w:rsidRPr="00382917">
        <w:t>must</w:t>
      </w:r>
      <w:r w:rsidR="00EE4FC3">
        <w:t xml:space="preserve"> </w:t>
      </w:r>
      <w:r w:rsidRPr="00382917">
        <w:t>be</w:t>
      </w:r>
      <w:r w:rsidR="00EE4FC3">
        <w:t xml:space="preserve"> </w:t>
      </w:r>
      <w:r w:rsidRPr="00382917">
        <w:t>mad,</w:t>
      </w:r>
      <w:r w:rsidR="00EE4FC3">
        <w:t xml:space="preserve"> </w:t>
      </w:r>
      <w:r w:rsidRPr="00382917">
        <w:t>accounting</w:t>
      </w:r>
      <w:r w:rsidR="00EE4FC3">
        <w:t xml:space="preserve"> </w:t>
      </w:r>
      <w:r w:rsidRPr="00382917">
        <w:t>it</w:t>
      </w:r>
      <w:r w:rsidR="00EE4FC3">
        <w:t xml:space="preserve"> </w:t>
      </w:r>
      <w:r w:rsidRPr="00382917">
        <w:t>a</w:t>
      </w:r>
      <w:r w:rsidR="00EE4FC3">
        <w:t xml:space="preserve"> </w:t>
      </w:r>
      <w:r w:rsidRPr="00382917">
        <w:t>sure</w:t>
      </w:r>
      <w:r w:rsidR="00EE4FC3">
        <w:t xml:space="preserve"> </w:t>
      </w:r>
      <w:r w:rsidRPr="00382917">
        <w:t>case</w:t>
      </w:r>
      <w:r w:rsidR="00EE4FC3">
        <w:t xml:space="preserve"> </w:t>
      </w:r>
      <w:r w:rsidRPr="00382917">
        <w:t>of</w:t>
      </w:r>
      <w:r w:rsidR="00EE4FC3">
        <w:t xml:space="preserve"> </w:t>
      </w:r>
      <w:r w:rsidRPr="00382917">
        <w:t>bewitchment.</w:t>
      </w:r>
      <w:r w:rsidR="009C713D" w:rsidRPr="00382917">
        <w:t>”</w:t>
      </w:r>
      <w:r w:rsidR="00B0573F">
        <w:rPr>
          <w:rStyle w:val="FootnoteReference"/>
        </w:rPr>
        <w:footnoteReference w:id="45"/>
      </w:r>
    </w:p>
    <w:p w:rsidR="00122F78" w:rsidRPr="00382917" w:rsidRDefault="00122F78" w:rsidP="00122F78">
      <w:pPr>
        <w:pStyle w:val="Text"/>
      </w:pPr>
      <w:r w:rsidRPr="00382917">
        <w:t>When</w:t>
      </w:r>
      <w:r w:rsidR="00EE4FC3">
        <w:t xml:space="preserve"> </w:t>
      </w:r>
      <w:r w:rsidRPr="00382917">
        <w:t>the</w:t>
      </w:r>
      <w:r w:rsidR="00EE4FC3">
        <w:t xml:space="preserve"> </w:t>
      </w:r>
      <w:r w:rsidRPr="00382917">
        <w:t>report</w:t>
      </w:r>
      <w:r w:rsidR="00EE4FC3">
        <w:t xml:space="preserve"> </w:t>
      </w:r>
      <w:r w:rsidRPr="00382917">
        <w:t>was</w:t>
      </w:r>
      <w:r w:rsidR="00EE4FC3">
        <w:t xml:space="preserve"> </w:t>
      </w:r>
      <w:r w:rsidRPr="00382917">
        <w:t>given</w:t>
      </w:r>
      <w:r w:rsidR="00EE4FC3">
        <w:t xml:space="preserve"> </w:t>
      </w:r>
      <w:r w:rsidRPr="00382917">
        <w:t>to</w:t>
      </w:r>
      <w:r w:rsidR="00EE4FC3">
        <w:t xml:space="preserve"> </w:t>
      </w:r>
      <w:r w:rsidRPr="00382917">
        <w:t>the</w:t>
      </w:r>
      <w:r w:rsidR="00EE4FC3">
        <w:t xml:space="preserve"> </w:t>
      </w:r>
      <w:r w:rsidRPr="00382917">
        <w:t>king</w:t>
      </w:r>
      <w:r w:rsidR="00EE4FC3">
        <w:t xml:space="preserve"> </w:t>
      </w:r>
      <w:r w:rsidRPr="00382917">
        <w:t>that</w:t>
      </w:r>
      <w:r w:rsidR="00EE4FC3">
        <w:t xml:space="preserve"> </w:t>
      </w:r>
      <w:r w:rsidRPr="00382917">
        <w:t>Vaḥíd</w:t>
      </w:r>
      <w:r w:rsidR="00EE4FC3">
        <w:t xml:space="preserve"> </w:t>
      </w:r>
      <w:r w:rsidRPr="00382917">
        <w:t>had</w:t>
      </w:r>
      <w:r w:rsidR="00EE4FC3">
        <w:t xml:space="preserve"> </w:t>
      </w:r>
      <w:r w:rsidRPr="00382917">
        <w:t>investigated</w:t>
      </w:r>
      <w:r w:rsidR="00EE4FC3">
        <w:t xml:space="preserve"> </w:t>
      </w:r>
      <w:r w:rsidRPr="00382917">
        <w:t>the</w:t>
      </w:r>
      <w:r w:rsidR="00EE4FC3">
        <w:t xml:space="preserve"> </w:t>
      </w:r>
      <w:r w:rsidRPr="00382917">
        <w:t>Báb,</w:t>
      </w:r>
      <w:r w:rsidR="00EE4FC3">
        <w:t xml:space="preserve"> </w:t>
      </w:r>
      <w:r w:rsidRPr="00382917">
        <w:t>found</w:t>
      </w:r>
      <w:r w:rsidR="00EE4FC3">
        <w:t xml:space="preserve"> </w:t>
      </w:r>
      <w:r w:rsidRPr="00382917">
        <w:t>His</w:t>
      </w:r>
      <w:r w:rsidR="00EE4FC3">
        <w:t xml:space="preserve"> </w:t>
      </w:r>
      <w:r w:rsidRPr="00382917">
        <w:t>Cause</w:t>
      </w:r>
      <w:r w:rsidR="00EE4FC3">
        <w:t xml:space="preserve"> </w:t>
      </w:r>
      <w:r w:rsidRPr="00382917">
        <w:t>to</w:t>
      </w:r>
      <w:r w:rsidR="00EE4FC3">
        <w:t xml:space="preserve"> </w:t>
      </w:r>
      <w:r w:rsidRPr="00382917">
        <w:t>be</w:t>
      </w:r>
      <w:r w:rsidR="00EE4FC3">
        <w:t xml:space="preserve"> </w:t>
      </w:r>
      <w:r w:rsidRPr="00382917">
        <w:t>the</w:t>
      </w:r>
      <w:r w:rsidR="00EE4FC3">
        <w:t xml:space="preserve"> </w:t>
      </w:r>
      <w:r w:rsidRPr="00382917">
        <w:t>truth,</w:t>
      </w:r>
      <w:r w:rsidR="00EE4FC3">
        <w:t xml:space="preserve"> </w:t>
      </w:r>
      <w:r w:rsidRPr="00382917">
        <w:t>and</w:t>
      </w:r>
      <w:r w:rsidR="00EE4FC3">
        <w:t xml:space="preserve"> </w:t>
      </w:r>
      <w:r w:rsidRPr="00382917">
        <w:t>had</w:t>
      </w:r>
      <w:r w:rsidR="00EE4FC3">
        <w:t xml:space="preserve"> </w:t>
      </w:r>
      <w:r w:rsidRPr="00382917">
        <w:t>accepted</w:t>
      </w:r>
      <w:r w:rsidR="00EE4FC3">
        <w:t xml:space="preserve"> </w:t>
      </w:r>
      <w:r w:rsidRPr="00382917">
        <w:t>it</w:t>
      </w:r>
      <w:r w:rsidR="00EE4FC3">
        <w:t xml:space="preserve"> </w:t>
      </w:r>
      <w:r w:rsidRPr="00382917">
        <w:t>himself,</w:t>
      </w:r>
      <w:r w:rsidR="00EE4FC3">
        <w:t xml:space="preserve"> </w:t>
      </w:r>
      <w:r w:rsidRPr="00382917">
        <w:t>the</w:t>
      </w:r>
      <w:r w:rsidR="00EE4FC3">
        <w:t xml:space="preserve"> </w:t>
      </w:r>
      <w:r w:rsidRPr="00382917">
        <w:t>king</w:t>
      </w:r>
      <w:r w:rsidR="00EE4FC3">
        <w:t xml:space="preserve"> </w:t>
      </w:r>
      <w:r w:rsidRPr="00382917">
        <w:t>was</w:t>
      </w:r>
      <w:r w:rsidR="00EE4FC3">
        <w:t xml:space="preserve"> </w:t>
      </w:r>
      <w:r w:rsidRPr="00382917">
        <w:t>greatly</w:t>
      </w:r>
      <w:r w:rsidR="00EE4FC3">
        <w:t xml:space="preserve"> </w:t>
      </w:r>
      <w:r w:rsidRPr="00382917">
        <w:t>troubled</w:t>
      </w:r>
      <w:r w:rsidR="00C03C91">
        <w:t>.</w:t>
      </w:r>
      <w:r w:rsidR="00EE4FC3">
        <w:t xml:space="preserve">  </w:t>
      </w:r>
      <w:r w:rsidRPr="00382917">
        <w:t>He</w:t>
      </w:r>
      <w:r w:rsidR="00EE4FC3">
        <w:t xml:space="preserve"> </w:t>
      </w:r>
      <w:r w:rsidRPr="00382917">
        <w:t>spoke</w:t>
      </w:r>
      <w:r w:rsidR="00EE4FC3">
        <w:t xml:space="preserve"> </w:t>
      </w:r>
      <w:r w:rsidRPr="00382917">
        <w:t>confidentially</w:t>
      </w:r>
      <w:r w:rsidR="00EE4FC3">
        <w:t xml:space="preserve"> </w:t>
      </w:r>
      <w:r w:rsidRPr="00382917">
        <w:t>to</w:t>
      </w:r>
      <w:r w:rsidR="00EE4FC3">
        <w:t xml:space="preserve"> </w:t>
      </w:r>
      <w:r w:rsidRPr="00382917">
        <w:t>his</w:t>
      </w:r>
      <w:r w:rsidR="00EE4FC3">
        <w:t xml:space="preserve"> </w:t>
      </w:r>
      <w:r w:rsidRPr="00382917">
        <w:t>Prime</w:t>
      </w:r>
      <w:r w:rsidR="00EE4FC3">
        <w:t xml:space="preserve"> </w:t>
      </w:r>
      <w:r w:rsidRPr="00382917">
        <w:t>Minister.</w:t>
      </w:r>
    </w:p>
    <w:p w:rsidR="00122F78" w:rsidRPr="00382917" w:rsidRDefault="00122F78">
      <w:pPr>
        <w:widowControl/>
        <w:kinsoku/>
        <w:overflowPunct/>
        <w:textAlignment w:val="auto"/>
      </w:pPr>
      <w:r w:rsidRPr="00382917">
        <w:br w:type="page"/>
      </w:r>
    </w:p>
    <w:p w:rsidR="00122F78" w:rsidRPr="00382917" w:rsidRDefault="009C713D" w:rsidP="00122F78">
      <w:pPr>
        <w:pStyle w:val="Text"/>
      </w:pPr>
      <w:r w:rsidRPr="00382917">
        <w:t>“</w:t>
      </w:r>
      <w:r w:rsidR="00122F78" w:rsidRPr="00382917">
        <w:t>We</w:t>
      </w:r>
      <w:r w:rsidR="00EE4FC3">
        <w:t xml:space="preserve"> </w:t>
      </w:r>
      <w:r w:rsidR="00122F78" w:rsidRPr="00382917">
        <w:t>have</w:t>
      </w:r>
      <w:r w:rsidR="00EE4FC3">
        <w:t xml:space="preserve"> </w:t>
      </w:r>
      <w:r w:rsidR="00122F78" w:rsidRPr="00382917">
        <w:t>been</w:t>
      </w:r>
      <w:r w:rsidR="00EE4FC3">
        <w:t xml:space="preserve"> </w:t>
      </w:r>
      <w:r w:rsidR="00122F78" w:rsidRPr="00382917">
        <w:t>told,</w:t>
      </w:r>
      <w:r w:rsidRPr="00382917">
        <w:t>”</w:t>
      </w:r>
      <w:r w:rsidR="00EE4FC3">
        <w:t xml:space="preserve"> </w:t>
      </w:r>
      <w:r w:rsidR="00122F78" w:rsidRPr="00382917">
        <w:t>he</w:t>
      </w:r>
      <w:r w:rsidR="00EE4FC3">
        <w:t xml:space="preserve"> </w:t>
      </w:r>
      <w:r w:rsidR="00122F78" w:rsidRPr="00382917">
        <w:t>said,</w:t>
      </w:r>
      <w:r w:rsidR="00EE4FC3">
        <w:t xml:space="preserve"> </w:t>
      </w:r>
      <w:r w:rsidRPr="00382917">
        <w:t>“</w:t>
      </w:r>
      <w:r w:rsidR="00122F78" w:rsidRPr="00382917">
        <w:t>that</w:t>
      </w:r>
      <w:r w:rsidR="00EE4FC3">
        <w:t xml:space="preserve"> </w:t>
      </w:r>
      <w:r w:rsidR="00122F78" w:rsidRPr="00382917">
        <w:t>Vaḥíd</w:t>
      </w:r>
      <w:r w:rsidR="00EE4FC3">
        <w:t xml:space="preserve"> </w:t>
      </w:r>
      <w:r w:rsidR="00122F78" w:rsidRPr="00382917">
        <w:t>has</w:t>
      </w:r>
      <w:r w:rsidR="00EE4FC3">
        <w:t xml:space="preserve"> </w:t>
      </w:r>
      <w:r w:rsidR="00122F78" w:rsidRPr="00382917">
        <w:t>become</w:t>
      </w:r>
      <w:r w:rsidR="00EE4FC3">
        <w:t xml:space="preserve"> </w:t>
      </w:r>
      <w:r w:rsidR="00122F78" w:rsidRPr="00382917">
        <w:t>a</w:t>
      </w:r>
      <w:r w:rsidR="00EE4FC3">
        <w:t xml:space="preserve"> </w:t>
      </w:r>
      <w:r w:rsidR="00122F78" w:rsidRPr="00382917">
        <w:t>follower</w:t>
      </w:r>
      <w:r w:rsidR="00EE4FC3">
        <w:t xml:space="preserve"> </w:t>
      </w:r>
      <w:r w:rsidR="00122F78" w:rsidRPr="00382917">
        <w:t>of</w:t>
      </w:r>
      <w:r w:rsidR="00EE4FC3">
        <w:t xml:space="preserve"> </w:t>
      </w:r>
      <w:r w:rsidR="00122F78" w:rsidRPr="00382917">
        <w:t>the</w:t>
      </w:r>
      <w:r w:rsidR="00EE4FC3">
        <w:t xml:space="preserve"> </w:t>
      </w:r>
      <w:r w:rsidR="00122F78" w:rsidRPr="00382917">
        <w:t>Báb</w:t>
      </w:r>
      <w:r w:rsidR="00C03C91">
        <w:t>.</w:t>
      </w:r>
      <w:r w:rsidR="00EE4FC3">
        <w:t xml:space="preserve">  </w:t>
      </w:r>
      <w:r w:rsidR="00122F78" w:rsidRPr="00382917">
        <w:t>If</w:t>
      </w:r>
      <w:r w:rsidR="00EE4FC3">
        <w:t xml:space="preserve"> </w:t>
      </w:r>
      <w:r w:rsidR="00122F78" w:rsidRPr="00382917">
        <w:t>this</w:t>
      </w:r>
      <w:r w:rsidR="00EE4FC3">
        <w:t xml:space="preserve"> </w:t>
      </w:r>
      <w:r w:rsidR="00122F78" w:rsidRPr="00382917">
        <w:t>is</w:t>
      </w:r>
      <w:r w:rsidR="00EE4FC3">
        <w:t xml:space="preserve"> </w:t>
      </w:r>
      <w:r w:rsidR="00122F78" w:rsidRPr="00382917">
        <w:t>true,</w:t>
      </w:r>
      <w:r w:rsidR="00EE4FC3">
        <w:t xml:space="preserve"> </w:t>
      </w:r>
      <w:r w:rsidR="00122F78" w:rsidRPr="00382917">
        <w:t>it</w:t>
      </w:r>
      <w:r w:rsidR="00EE4FC3">
        <w:t xml:space="preserve"> </w:t>
      </w:r>
      <w:r w:rsidR="00122F78" w:rsidRPr="00382917">
        <w:t>would</w:t>
      </w:r>
      <w:r w:rsidR="00EE4FC3">
        <w:t xml:space="preserve"> </w:t>
      </w:r>
      <w:r w:rsidR="00122F78" w:rsidRPr="00382917">
        <w:t>be</w:t>
      </w:r>
      <w:r w:rsidR="00EE4FC3">
        <w:t xml:space="preserve"> </w:t>
      </w:r>
      <w:r w:rsidR="00122F78" w:rsidRPr="00382917">
        <w:t>wise</w:t>
      </w:r>
      <w:r w:rsidR="00EE4FC3">
        <w:t xml:space="preserve"> </w:t>
      </w:r>
      <w:r w:rsidR="00122F78" w:rsidRPr="00382917">
        <w:t>for</w:t>
      </w:r>
      <w:r w:rsidR="00EE4FC3">
        <w:t xml:space="preserve"> </w:t>
      </w:r>
      <w:r w:rsidR="00122F78" w:rsidRPr="00382917">
        <w:t>us</w:t>
      </w:r>
      <w:r w:rsidR="00EE4FC3">
        <w:t xml:space="preserve"> </w:t>
      </w:r>
      <w:r w:rsidR="00122F78" w:rsidRPr="00382917">
        <w:t>to</w:t>
      </w:r>
      <w:r w:rsidR="00EE4FC3">
        <w:t xml:space="preserve"> </w:t>
      </w:r>
      <w:r w:rsidR="00122F78" w:rsidRPr="00382917">
        <w:t>cease</w:t>
      </w:r>
      <w:r w:rsidR="00EE4FC3">
        <w:t xml:space="preserve"> </w:t>
      </w:r>
      <w:r w:rsidR="00122F78" w:rsidRPr="00382917">
        <w:t>belittling</w:t>
      </w:r>
      <w:r w:rsidR="00EE4FC3">
        <w:t xml:space="preserve"> </w:t>
      </w:r>
      <w:r w:rsidR="00122F78" w:rsidRPr="00382917">
        <w:t>the</w:t>
      </w:r>
      <w:r w:rsidR="00EE4FC3">
        <w:t xml:space="preserve"> </w:t>
      </w:r>
      <w:r w:rsidR="00122F78" w:rsidRPr="00382917">
        <w:t>cause</w:t>
      </w:r>
      <w:r w:rsidR="00EE4FC3">
        <w:t xml:space="preserve"> </w:t>
      </w:r>
      <w:r w:rsidR="00122F78" w:rsidRPr="00382917">
        <w:t>of</w:t>
      </w:r>
      <w:r w:rsidR="00EE4FC3">
        <w:t xml:space="preserve"> </w:t>
      </w:r>
      <w:r w:rsidR="00122F78" w:rsidRPr="00382917">
        <w:t>this</w:t>
      </w:r>
      <w:r w:rsidR="00EE4FC3">
        <w:t xml:space="preserve"> </w:t>
      </w:r>
      <w:r w:rsidR="00122F78" w:rsidRPr="00382917">
        <w:t>young</w:t>
      </w:r>
      <w:r w:rsidR="00EE4FC3">
        <w:t xml:space="preserve"> </w:t>
      </w:r>
      <w:r w:rsidR="00122F78" w:rsidRPr="00382917">
        <w:t>man</w:t>
      </w:r>
      <w:r w:rsidR="00EE4FC3">
        <w:t xml:space="preserve"> </w:t>
      </w:r>
      <w:r w:rsidR="00122F78" w:rsidRPr="00382917">
        <w:t>from</w:t>
      </w:r>
      <w:r w:rsidR="00EE4FC3">
        <w:t xml:space="preserve"> </w:t>
      </w:r>
      <w:r w:rsidR="008A073E" w:rsidRPr="00382917">
        <w:rPr>
          <w:u w:val="single"/>
        </w:rPr>
        <w:t>Sh</w:t>
      </w:r>
      <w:r w:rsidR="008A073E" w:rsidRPr="00382917">
        <w:t>íráz</w:t>
      </w:r>
      <w:r w:rsidR="00122F78" w:rsidRPr="00382917">
        <w:t>.</w:t>
      </w:r>
      <w:r w:rsidRPr="00382917">
        <w:t>”</w:t>
      </w:r>
    </w:p>
    <w:p w:rsidR="00122F78" w:rsidRPr="00382917" w:rsidRDefault="00122F78" w:rsidP="00122F78">
      <w:pPr>
        <w:pStyle w:val="Text"/>
      </w:pPr>
      <w:r w:rsidRPr="00382917">
        <w:t>Immediately</w:t>
      </w:r>
      <w:r w:rsidR="00EE4FC3">
        <w:t xml:space="preserve"> </w:t>
      </w:r>
      <w:r w:rsidRPr="00382917">
        <w:t>the</w:t>
      </w:r>
      <w:r w:rsidR="00EE4FC3">
        <w:t xml:space="preserve"> </w:t>
      </w:r>
      <w:r w:rsidRPr="00382917">
        <w:t>Prime</w:t>
      </w:r>
      <w:r w:rsidR="00EE4FC3">
        <w:t xml:space="preserve"> </w:t>
      </w:r>
      <w:r w:rsidRPr="00382917">
        <w:t>Minister</w:t>
      </w:r>
      <w:r w:rsidR="00EE4FC3">
        <w:t xml:space="preserve"> </w:t>
      </w:r>
      <w:r w:rsidRPr="00382917">
        <w:t>began</w:t>
      </w:r>
      <w:r w:rsidR="00EE4FC3">
        <w:t xml:space="preserve"> </w:t>
      </w:r>
      <w:r w:rsidRPr="00382917">
        <w:t>to</w:t>
      </w:r>
      <w:r w:rsidR="00EE4FC3">
        <w:t xml:space="preserve"> </w:t>
      </w:r>
      <w:r w:rsidRPr="00382917">
        <w:t>attack</w:t>
      </w:r>
      <w:r w:rsidR="00EE4FC3">
        <w:t xml:space="preserve"> </w:t>
      </w:r>
      <w:r w:rsidRPr="00382917">
        <w:t>Vaḥíd</w:t>
      </w:r>
      <w:r w:rsidR="00EE4FC3">
        <w:t xml:space="preserve"> </w:t>
      </w:r>
      <w:r w:rsidRPr="00382917">
        <w:t>for</w:t>
      </w:r>
      <w:r w:rsidR="00EE4FC3">
        <w:t xml:space="preserve"> </w:t>
      </w:r>
      <w:r w:rsidRPr="00382917">
        <w:t>having</w:t>
      </w:r>
      <w:r w:rsidR="00EE4FC3">
        <w:t xml:space="preserve"> </w:t>
      </w:r>
      <w:r w:rsidRPr="00382917">
        <w:t>fallen</w:t>
      </w:r>
      <w:r w:rsidR="00EE4FC3">
        <w:t xml:space="preserve"> </w:t>
      </w:r>
      <w:r w:rsidRPr="00382917">
        <w:t>under</w:t>
      </w:r>
      <w:r w:rsidR="00EE4FC3">
        <w:t xml:space="preserve"> </w:t>
      </w:r>
      <w:r w:rsidRPr="00382917">
        <w:t>the</w:t>
      </w:r>
      <w:r w:rsidR="00EE4FC3">
        <w:t xml:space="preserve"> </w:t>
      </w:r>
      <w:r w:rsidRPr="00382917">
        <w:t>spell</w:t>
      </w:r>
      <w:r w:rsidR="00EE4FC3">
        <w:t xml:space="preserve"> </w:t>
      </w:r>
      <w:r w:rsidRPr="00382917">
        <w:t>of</w:t>
      </w:r>
      <w:r w:rsidR="00EE4FC3">
        <w:t xml:space="preserve"> </w:t>
      </w:r>
      <w:r w:rsidRPr="00382917">
        <w:t>a</w:t>
      </w:r>
      <w:r w:rsidR="00EE4FC3">
        <w:t xml:space="preserve"> </w:t>
      </w:r>
      <w:r w:rsidRPr="00382917">
        <w:t>sorcerer,</w:t>
      </w:r>
      <w:r w:rsidR="00EE4FC3">
        <w:t xml:space="preserve"> </w:t>
      </w:r>
      <w:r w:rsidRPr="00382917">
        <w:t>but</w:t>
      </w:r>
      <w:r w:rsidR="00EE4FC3">
        <w:t xml:space="preserve"> </w:t>
      </w:r>
      <w:r w:rsidRPr="00382917">
        <w:t>the</w:t>
      </w:r>
      <w:r w:rsidR="00EE4FC3">
        <w:t xml:space="preserve"> </w:t>
      </w:r>
      <w:r w:rsidRPr="00382917">
        <w:t>king</w:t>
      </w:r>
      <w:r w:rsidR="00EE4FC3">
        <w:t xml:space="preserve"> </w:t>
      </w:r>
      <w:r w:rsidRPr="00382917">
        <w:t>would</w:t>
      </w:r>
      <w:r w:rsidR="00EE4FC3">
        <w:t xml:space="preserve"> </w:t>
      </w:r>
      <w:r w:rsidRPr="00382917">
        <w:t>still</w:t>
      </w:r>
      <w:r w:rsidR="00EE4FC3">
        <w:t xml:space="preserve"> </w:t>
      </w:r>
      <w:r w:rsidRPr="00382917">
        <w:t>not</w:t>
      </w:r>
      <w:r w:rsidR="00EE4FC3">
        <w:t xml:space="preserve"> </w:t>
      </w:r>
      <w:r w:rsidRPr="00382917">
        <w:t>hear</w:t>
      </w:r>
      <w:r w:rsidR="00EE4FC3">
        <w:t xml:space="preserve"> </w:t>
      </w:r>
      <w:r w:rsidRPr="00382917">
        <w:t>any</w:t>
      </w:r>
      <w:r w:rsidR="00EE4FC3">
        <w:t xml:space="preserve"> </w:t>
      </w:r>
      <w:r w:rsidRPr="00382917">
        <w:t>evil</w:t>
      </w:r>
      <w:r w:rsidR="00EE4FC3">
        <w:t xml:space="preserve"> </w:t>
      </w:r>
      <w:r w:rsidRPr="00382917">
        <w:t>spoken</w:t>
      </w:r>
      <w:r w:rsidR="00EE4FC3">
        <w:t xml:space="preserve"> </w:t>
      </w:r>
      <w:r w:rsidRPr="00382917">
        <w:t>of</w:t>
      </w:r>
      <w:r w:rsidR="00EE4FC3">
        <w:t xml:space="preserve"> </w:t>
      </w:r>
      <w:r w:rsidRPr="00382917">
        <w:t>this</w:t>
      </w:r>
      <w:r w:rsidR="00EE4FC3">
        <w:t xml:space="preserve"> </w:t>
      </w:r>
      <w:r w:rsidRPr="00382917">
        <w:t>great</w:t>
      </w:r>
      <w:r w:rsidR="00EE4FC3">
        <w:t xml:space="preserve"> </w:t>
      </w:r>
      <w:r w:rsidRPr="00382917">
        <w:t>figure</w:t>
      </w:r>
      <w:r w:rsidR="00C03C91">
        <w:t>.</w:t>
      </w:r>
      <w:r w:rsidR="00EE4FC3">
        <w:t xml:space="preserve">  </w:t>
      </w:r>
      <w:r w:rsidRPr="00382917">
        <w:t>He</w:t>
      </w:r>
      <w:r w:rsidR="00EE4FC3">
        <w:t xml:space="preserve"> </w:t>
      </w:r>
      <w:r w:rsidRPr="00382917">
        <w:t>rebuked</w:t>
      </w:r>
      <w:r w:rsidR="00EE4FC3">
        <w:t xml:space="preserve"> </w:t>
      </w:r>
      <w:r w:rsidRPr="00382917">
        <w:t>the</w:t>
      </w:r>
      <w:r w:rsidR="00EE4FC3">
        <w:t xml:space="preserve"> </w:t>
      </w:r>
      <w:r w:rsidRPr="00382917">
        <w:t>Prime</w:t>
      </w:r>
      <w:r w:rsidR="00EE4FC3">
        <w:t xml:space="preserve"> </w:t>
      </w:r>
      <w:r w:rsidRPr="00382917">
        <w:t>Minister.</w:t>
      </w:r>
    </w:p>
    <w:p w:rsidR="00122F78" w:rsidRPr="00382917" w:rsidRDefault="009C713D" w:rsidP="00122F78">
      <w:pPr>
        <w:pStyle w:val="Text"/>
      </w:pPr>
      <w:r w:rsidRPr="00382917">
        <w:t>“</w:t>
      </w:r>
      <w:r w:rsidR="00122F78" w:rsidRPr="00382917">
        <w:t>Vaḥíd</w:t>
      </w:r>
      <w:r w:rsidR="00EE4FC3">
        <w:t xml:space="preserve"> </w:t>
      </w:r>
      <w:r w:rsidR="00122F78" w:rsidRPr="00382917">
        <w:t>is</w:t>
      </w:r>
      <w:r w:rsidR="00EE4FC3">
        <w:t xml:space="preserve"> </w:t>
      </w:r>
      <w:r w:rsidR="00122F78" w:rsidRPr="00382917">
        <w:t>a</w:t>
      </w:r>
      <w:r w:rsidR="00EE4FC3">
        <w:t xml:space="preserve"> </w:t>
      </w:r>
      <w:r w:rsidR="00122F78" w:rsidRPr="00382917">
        <w:t>man</w:t>
      </w:r>
      <w:r w:rsidR="00EE4FC3">
        <w:t xml:space="preserve"> </w:t>
      </w:r>
      <w:r w:rsidR="00122F78" w:rsidRPr="00382917">
        <w:t>of</w:t>
      </w:r>
      <w:r w:rsidR="00EE4FC3">
        <w:t xml:space="preserve"> </w:t>
      </w:r>
      <w:r w:rsidR="00122F78" w:rsidRPr="00382917">
        <w:t>noble</w:t>
      </w:r>
      <w:r w:rsidR="00EE4FC3">
        <w:t xml:space="preserve"> </w:t>
      </w:r>
      <w:r w:rsidR="00122F78" w:rsidRPr="00382917">
        <w:t>lineage</w:t>
      </w:r>
      <w:r w:rsidR="00C03C91">
        <w:t>.</w:t>
      </w:r>
      <w:r w:rsidR="00EE4FC3">
        <w:t xml:space="preserve">  </w:t>
      </w:r>
      <w:r w:rsidR="00122F78" w:rsidRPr="00382917">
        <w:t>He</w:t>
      </w:r>
      <w:r w:rsidR="00EE4FC3">
        <w:t xml:space="preserve"> </w:t>
      </w:r>
      <w:r w:rsidR="00122F78" w:rsidRPr="00382917">
        <w:t>is</w:t>
      </w:r>
      <w:r w:rsidR="00EE4FC3">
        <w:t xml:space="preserve"> </w:t>
      </w:r>
      <w:r w:rsidR="00122F78" w:rsidRPr="00382917">
        <w:t>also</w:t>
      </w:r>
      <w:r w:rsidR="00EE4FC3">
        <w:t xml:space="preserve"> </w:t>
      </w:r>
      <w:r w:rsidR="00122F78" w:rsidRPr="00382917">
        <w:t>a</w:t>
      </w:r>
      <w:r w:rsidR="00EE4FC3">
        <w:t xml:space="preserve"> </w:t>
      </w:r>
      <w:r w:rsidR="00122F78" w:rsidRPr="00382917">
        <w:t>man</w:t>
      </w:r>
      <w:r w:rsidR="00EE4FC3">
        <w:t xml:space="preserve"> </w:t>
      </w:r>
      <w:r w:rsidR="00122F78" w:rsidRPr="00382917">
        <w:t>of</w:t>
      </w:r>
      <w:r w:rsidR="00EE4FC3">
        <w:t xml:space="preserve"> </w:t>
      </w:r>
      <w:r w:rsidR="00122F78" w:rsidRPr="00382917">
        <w:t>great</w:t>
      </w:r>
      <w:r w:rsidR="00EE4FC3">
        <w:t xml:space="preserve"> </w:t>
      </w:r>
      <w:r w:rsidR="00122F78" w:rsidRPr="00382917">
        <w:t>learning</w:t>
      </w:r>
      <w:r w:rsidR="00EE4FC3">
        <w:t xml:space="preserve"> </w:t>
      </w:r>
      <w:r w:rsidR="00122F78" w:rsidRPr="00382917">
        <w:t>and</w:t>
      </w:r>
      <w:r w:rsidR="00EE4FC3">
        <w:t xml:space="preserve"> </w:t>
      </w:r>
      <w:r w:rsidR="00122F78" w:rsidRPr="00382917">
        <w:t>great</w:t>
      </w:r>
      <w:r w:rsidR="00EE4FC3">
        <w:t xml:space="preserve"> </w:t>
      </w:r>
      <w:r w:rsidR="00122F78" w:rsidRPr="00382917">
        <w:t>virtue.</w:t>
      </w:r>
      <w:r w:rsidRPr="00382917">
        <w:t>”</w:t>
      </w:r>
    </w:p>
    <w:p w:rsidR="00122F78" w:rsidRPr="00382917" w:rsidRDefault="00964C11" w:rsidP="00C03C91">
      <w:pPr>
        <w:pStyle w:val="Text"/>
      </w:pPr>
      <w:r w:rsidRPr="00382917">
        <w:t>Ḥusayn</w:t>
      </w:r>
      <w:r w:rsidR="00EE4FC3">
        <w:t xml:space="preserve"> </w:t>
      </w:r>
      <w:r w:rsidR="0040329F" w:rsidRPr="0040329F">
        <w:rPr>
          <w:u w:val="single"/>
        </w:rPr>
        <w:t>Kh</w:t>
      </w:r>
      <w:r w:rsidR="0040329F" w:rsidRPr="00382917">
        <w:t>án</w:t>
      </w:r>
      <w:r w:rsidR="00122F78" w:rsidRPr="00382917">
        <w:t>,</w:t>
      </w:r>
      <w:r w:rsidR="00EE4FC3">
        <w:t xml:space="preserve"> </w:t>
      </w:r>
      <w:r w:rsidR="00122F78" w:rsidRPr="00382917">
        <w:t>at</w:t>
      </w:r>
      <w:r w:rsidR="00EE4FC3">
        <w:t xml:space="preserve"> </w:t>
      </w:r>
      <w:r w:rsidR="00122F78" w:rsidRPr="00382917">
        <w:t>whose</w:t>
      </w:r>
      <w:r w:rsidR="00EE4FC3">
        <w:t xml:space="preserve"> </w:t>
      </w:r>
      <w:r w:rsidR="00122F78" w:rsidRPr="00382917">
        <w:t>home</w:t>
      </w:r>
      <w:r w:rsidR="00EE4FC3">
        <w:t xml:space="preserve"> </w:t>
      </w:r>
      <w:r w:rsidR="00122F78" w:rsidRPr="00382917">
        <w:t>Vaḥíd</w:t>
      </w:r>
      <w:r w:rsidR="00EE4FC3">
        <w:t xml:space="preserve"> </w:t>
      </w:r>
      <w:r w:rsidR="00122F78" w:rsidRPr="00382917">
        <w:t>stayed</w:t>
      </w:r>
      <w:r w:rsidR="00EE4FC3">
        <w:t xml:space="preserve"> </w:t>
      </w:r>
      <w:r w:rsidR="00122F78" w:rsidRPr="00382917">
        <w:t>during</w:t>
      </w:r>
      <w:r w:rsidR="00EE4FC3">
        <w:t xml:space="preserve"> </w:t>
      </w:r>
      <w:r w:rsidR="00122F78" w:rsidRPr="00382917">
        <w:t>his</w:t>
      </w:r>
      <w:r w:rsidR="00EE4FC3">
        <w:t xml:space="preserve"> </w:t>
      </w:r>
      <w:r w:rsidR="00122F78" w:rsidRPr="00382917">
        <w:t>interviews</w:t>
      </w:r>
      <w:r w:rsidR="00EE4FC3">
        <w:t xml:space="preserve"> </w:t>
      </w:r>
      <w:r w:rsidR="00122F78" w:rsidRPr="00382917">
        <w:t>with</w:t>
      </w:r>
      <w:r w:rsidR="00EE4FC3">
        <w:t xml:space="preserve"> </w:t>
      </w:r>
      <w:r w:rsidR="00122F78" w:rsidRPr="00382917">
        <w:t>the</w:t>
      </w:r>
      <w:r w:rsidR="00EE4FC3">
        <w:t xml:space="preserve"> </w:t>
      </w:r>
      <w:r w:rsidR="00122F78" w:rsidRPr="00382917">
        <w:t>Báb,</w:t>
      </w:r>
      <w:r w:rsidR="00EE4FC3">
        <w:t xml:space="preserve"> </w:t>
      </w:r>
      <w:r w:rsidR="00122F78" w:rsidRPr="00382917">
        <w:t>also</w:t>
      </w:r>
      <w:r w:rsidR="00EE4FC3">
        <w:t xml:space="preserve"> </w:t>
      </w:r>
      <w:r w:rsidR="00122F78" w:rsidRPr="00382917">
        <w:t>attacked</w:t>
      </w:r>
      <w:r w:rsidR="00EE4FC3">
        <w:t xml:space="preserve"> </w:t>
      </w:r>
      <w:r w:rsidR="00122F78" w:rsidRPr="00382917">
        <w:t>him</w:t>
      </w:r>
      <w:r w:rsidR="00EE4FC3">
        <w:t xml:space="preserve"> </w:t>
      </w:r>
      <w:r w:rsidR="00122F78" w:rsidRPr="00382917">
        <w:t>openly</w:t>
      </w:r>
      <w:r w:rsidR="00C03C91">
        <w:t>.</w:t>
      </w:r>
      <w:r w:rsidR="00EE4FC3">
        <w:t xml:space="preserve">  </w:t>
      </w:r>
      <w:r w:rsidR="00122F78" w:rsidRPr="00382917">
        <w:t>To</w:t>
      </w:r>
      <w:r w:rsidR="00EE4FC3">
        <w:t xml:space="preserve"> </w:t>
      </w:r>
      <w:r w:rsidR="00122F78" w:rsidRPr="00382917">
        <w:t>him</w:t>
      </w:r>
      <w:r w:rsidR="00EE4FC3">
        <w:t xml:space="preserve"> </w:t>
      </w:r>
      <w:r w:rsidR="00122F78" w:rsidRPr="00382917">
        <w:t>also</w:t>
      </w:r>
      <w:r w:rsidR="00EE4FC3">
        <w:t xml:space="preserve"> </w:t>
      </w:r>
      <w:r w:rsidR="00122F78" w:rsidRPr="00382917">
        <w:t>the</w:t>
      </w:r>
      <w:r w:rsidR="00EE4FC3">
        <w:t xml:space="preserve"> </w:t>
      </w:r>
      <w:r w:rsidR="00122F78" w:rsidRPr="00382917">
        <w:t>king</w:t>
      </w:r>
      <w:r w:rsidR="00EE4FC3">
        <w:t xml:space="preserve"> </w:t>
      </w:r>
      <w:r w:rsidR="00122F78" w:rsidRPr="00382917">
        <w:t>sent</w:t>
      </w:r>
      <w:r w:rsidR="00EE4FC3">
        <w:t xml:space="preserve"> </w:t>
      </w:r>
      <w:r w:rsidR="00122F78" w:rsidRPr="00382917">
        <w:t>an</w:t>
      </w:r>
      <w:r w:rsidR="00EE4FC3">
        <w:t xml:space="preserve"> </w:t>
      </w:r>
      <w:r w:rsidR="00122F78" w:rsidRPr="00382917">
        <w:t>imperial</w:t>
      </w:r>
      <w:r w:rsidR="00EE4FC3">
        <w:t xml:space="preserve"> </w:t>
      </w:r>
      <w:r w:rsidR="00122F78" w:rsidRPr="00382917">
        <w:t>command</w:t>
      </w:r>
      <w:r w:rsidR="00EE4FC3">
        <w:t xml:space="preserve"> </w:t>
      </w:r>
      <w:r w:rsidR="00122F78" w:rsidRPr="00382917">
        <w:t>which</w:t>
      </w:r>
      <w:r w:rsidR="00EE4FC3">
        <w:t xml:space="preserve"> </w:t>
      </w:r>
      <w:r w:rsidR="00122F78" w:rsidRPr="00382917">
        <w:t>read</w:t>
      </w:r>
      <w:r w:rsidR="00C03C91">
        <w:t>:</w:t>
      </w:r>
      <w:r w:rsidR="00EE4FC3">
        <w:t xml:space="preserve">  </w:t>
      </w:r>
      <w:r w:rsidR="009C713D" w:rsidRPr="00382917">
        <w:t>“</w:t>
      </w:r>
      <w:r w:rsidR="00122F78" w:rsidRPr="00382917">
        <w:t>It</w:t>
      </w:r>
      <w:r w:rsidR="00EE4FC3">
        <w:t xml:space="preserve"> </w:t>
      </w:r>
      <w:r w:rsidR="00122F78" w:rsidRPr="00382917">
        <w:t>is</w:t>
      </w:r>
      <w:r w:rsidR="00EE4FC3">
        <w:t xml:space="preserve"> </w:t>
      </w:r>
      <w:r w:rsidR="00122F78" w:rsidRPr="00382917">
        <w:t>strictly</w:t>
      </w:r>
      <w:r w:rsidR="00EE4FC3">
        <w:t xml:space="preserve"> </w:t>
      </w:r>
      <w:r w:rsidR="00122F78" w:rsidRPr="00382917">
        <w:t>forbidden</w:t>
      </w:r>
      <w:r w:rsidR="00EE4FC3">
        <w:t xml:space="preserve"> </w:t>
      </w:r>
      <w:r w:rsidR="00122F78" w:rsidRPr="00382917">
        <w:t>to</w:t>
      </w:r>
      <w:r w:rsidR="00EE4FC3">
        <w:t xml:space="preserve"> </w:t>
      </w:r>
      <w:r w:rsidR="00122F78" w:rsidRPr="00382917">
        <w:t>any</w:t>
      </w:r>
      <w:r w:rsidR="00EE4FC3">
        <w:t xml:space="preserve"> </w:t>
      </w:r>
      <w:r w:rsidR="00122F78" w:rsidRPr="00382917">
        <w:t>one</w:t>
      </w:r>
      <w:r w:rsidR="00EE4FC3">
        <w:t xml:space="preserve"> </w:t>
      </w:r>
      <w:r w:rsidR="00122F78" w:rsidRPr="00382917">
        <w:t>of</w:t>
      </w:r>
      <w:r w:rsidR="00EE4FC3">
        <w:t xml:space="preserve"> </w:t>
      </w:r>
      <w:r w:rsidR="00122F78" w:rsidRPr="00382917">
        <w:t>our</w:t>
      </w:r>
      <w:r w:rsidR="00EE4FC3">
        <w:t xml:space="preserve"> </w:t>
      </w:r>
      <w:r w:rsidR="00122F78" w:rsidRPr="00382917">
        <w:t>subjects</w:t>
      </w:r>
      <w:r w:rsidR="00EE4FC3">
        <w:t xml:space="preserve"> </w:t>
      </w:r>
      <w:r w:rsidR="00122F78" w:rsidRPr="00382917">
        <w:t>to</w:t>
      </w:r>
      <w:r w:rsidR="00EE4FC3">
        <w:t xml:space="preserve"> </w:t>
      </w:r>
      <w:r w:rsidR="00122F78" w:rsidRPr="00382917">
        <w:t>utter</w:t>
      </w:r>
      <w:r w:rsidR="00EE4FC3">
        <w:t xml:space="preserve"> </w:t>
      </w:r>
      <w:r w:rsidR="00122F78" w:rsidRPr="00382917">
        <w:t>any</w:t>
      </w:r>
      <w:r w:rsidR="00EE4FC3">
        <w:t xml:space="preserve"> </w:t>
      </w:r>
      <w:r w:rsidR="00122F78" w:rsidRPr="00382917">
        <w:t>such</w:t>
      </w:r>
      <w:r w:rsidR="00EE4FC3">
        <w:t xml:space="preserve"> </w:t>
      </w:r>
      <w:r w:rsidR="00122F78" w:rsidRPr="00382917">
        <w:t>words</w:t>
      </w:r>
      <w:r w:rsidR="00EE4FC3">
        <w:t xml:space="preserve"> </w:t>
      </w:r>
      <w:r w:rsidR="00122F78" w:rsidRPr="00382917">
        <w:t>as</w:t>
      </w:r>
      <w:r w:rsidR="00EE4FC3">
        <w:t xml:space="preserve"> </w:t>
      </w:r>
      <w:r w:rsidR="00122F78" w:rsidRPr="00382917">
        <w:t>would</w:t>
      </w:r>
      <w:r w:rsidR="00EE4FC3">
        <w:t xml:space="preserve"> </w:t>
      </w:r>
      <w:r w:rsidR="00122F78" w:rsidRPr="00382917">
        <w:t>detract</w:t>
      </w:r>
      <w:r w:rsidR="00EE4FC3">
        <w:t xml:space="preserve"> </w:t>
      </w:r>
      <w:r w:rsidR="00122F78" w:rsidRPr="00382917">
        <w:t>from</w:t>
      </w:r>
      <w:r w:rsidR="00EE4FC3">
        <w:t xml:space="preserve"> </w:t>
      </w:r>
      <w:r w:rsidR="00122F78" w:rsidRPr="00382917">
        <w:t>the</w:t>
      </w:r>
      <w:r w:rsidR="00EE4FC3">
        <w:t xml:space="preserve"> </w:t>
      </w:r>
      <w:r w:rsidR="00122F78" w:rsidRPr="00382917">
        <w:t>exalted</w:t>
      </w:r>
      <w:r w:rsidR="00EE4FC3">
        <w:t xml:space="preserve"> </w:t>
      </w:r>
      <w:r w:rsidR="00122F78" w:rsidRPr="00382917">
        <w:t>rank</w:t>
      </w:r>
      <w:r w:rsidR="00EE4FC3">
        <w:t xml:space="preserve"> </w:t>
      </w:r>
      <w:r w:rsidR="00122F78" w:rsidRPr="00382917">
        <w:t>of</w:t>
      </w:r>
      <w:r w:rsidR="00EE4FC3">
        <w:t xml:space="preserve"> </w:t>
      </w:r>
      <w:r w:rsidR="00122F78" w:rsidRPr="00382917">
        <w:t>Va</w:t>
      </w:r>
      <w:r w:rsidR="00C03C91" w:rsidRPr="00C03C91">
        <w:t>ḥí</w:t>
      </w:r>
      <w:r w:rsidR="00122F78" w:rsidRPr="00382917">
        <w:t>d</w:t>
      </w:r>
      <w:r w:rsidR="00C03C91">
        <w:t>.</w:t>
      </w:r>
      <w:r w:rsidR="00EE4FC3">
        <w:t xml:space="preserve">  </w:t>
      </w:r>
      <w:r w:rsidR="00122F78" w:rsidRPr="00382917">
        <w:t>He</w:t>
      </w:r>
      <w:r w:rsidR="00EE4FC3">
        <w:t xml:space="preserve"> </w:t>
      </w:r>
      <w:r w:rsidR="00122F78" w:rsidRPr="00382917">
        <w:t>will</w:t>
      </w:r>
      <w:r w:rsidR="00EE4FC3">
        <w:t xml:space="preserve"> </w:t>
      </w:r>
      <w:r w:rsidR="00122F78" w:rsidRPr="00382917">
        <w:t>never</w:t>
      </w:r>
      <w:r w:rsidR="00EE4FC3">
        <w:t xml:space="preserve"> </w:t>
      </w:r>
      <w:r w:rsidR="00122F78" w:rsidRPr="00382917">
        <w:t>incline</w:t>
      </w:r>
      <w:r w:rsidR="00EE4FC3">
        <w:t xml:space="preserve"> </w:t>
      </w:r>
      <w:r w:rsidR="00122F78" w:rsidRPr="00382917">
        <w:t>his</w:t>
      </w:r>
      <w:r w:rsidR="00EE4FC3">
        <w:t xml:space="preserve"> </w:t>
      </w:r>
      <w:r w:rsidR="00122F78" w:rsidRPr="00382917">
        <w:t>ear</w:t>
      </w:r>
      <w:r w:rsidR="00EE4FC3">
        <w:t xml:space="preserve"> </w:t>
      </w:r>
      <w:r w:rsidR="00122F78" w:rsidRPr="00382917">
        <w:t>to</w:t>
      </w:r>
      <w:r w:rsidR="00EE4FC3">
        <w:t xml:space="preserve"> </w:t>
      </w:r>
      <w:r w:rsidR="00122F78" w:rsidRPr="00382917">
        <w:t>any</w:t>
      </w:r>
      <w:r w:rsidR="00EE4FC3">
        <w:t xml:space="preserve"> </w:t>
      </w:r>
      <w:r w:rsidR="00122F78" w:rsidRPr="00382917">
        <w:t>Cause</w:t>
      </w:r>
      <w:r w:rsidR="00EE4FC3">
        <w:t xml:space="preserve"> </w:t>
      </w:r>
      <w:r w:rsidR="00122F78" w:rsidRPr="00382917">
        <w:t>unless</w:t>
      </w:r>
      <w:r w:rsidR="00EE4FC3">
        <w:t xml:space="preserve"> </w:t>
      </w:r>
      <w:r w:rsidR="00122F78" w:rsidRPr="00382917">
        <w:t>he</w:t>
      </w:r>
      <w:r w:rsidR="00EE4FC3">
        <w:t xml:space="preserve"> </w:t>
      </w:r>
      <w:r w:rsidR="00122F78" w:rsidRPr="00382917">
        <w:t>believes</w:t>
      </w:r>
      <w:r w:rsidR="00EE4FC3">
        <w:t xml:space="preserve"> </w:t>
      </w:r>
      <w:r w:rsidR="00122F78" w:rsidRPr="00382917">
        <w:t>it</w:t>
      </w:r>
      <w:r w:rsidR="00EE4FC3">
        <w:t xml:space="preserve"> </w:t>
      </w:r>
      <w:r w:rsidR="00122F78" w:rsidRPr="00382917">
        <w:t>will</w:t>
      </w:r>
      <w:r w:rsidR="00EE4FC3">
        <w:t xml:space="preserve"> </w:t>
      </w:r>
      <w:r w:rsidR="00122F78" w:rsidRPr="00382917">
        <w:t>be</w:t>
      </w:r>
      <w:r w:rsidR="00EE4FC3">
        <w:t xml:space="preserve"> </w:t>
      </w:r>
      <w:r w:rsidR="00122F78" w:rsidRPr="00382917">
        <w:t>for</w:t>
      </w:r>
      <w:r w:rsidR="00EE4FC3">
        <w:t xml:space="preserve"> </w:t>
      </w:r>
      <w:r w:rsidR="00122F78" w:rsidRPr="00382917">
        <w:t>the</w:t>
      </w:r>
      <w:r w:rsidR="00EE4FC3">
        <w:t xml:space="preserve"> </w:t>
      </w:r>
      <w:r w:rsidR="00122F78" w:rsidRPr="00382917">
        <w:t>advancement</w:t>
      </w:r>
      <w:r w:rsidR="00EE4FC3">
        <w:t xml:space="preserve"> </w:t>
      </w:r>
      <w:r w:rsidR="00122F78" w:rsidRPr="00382917">
        <w:t>of</w:t>
      </w:r>
      <w:r w:rsidR="00EE4FC3">
        <w:t xml:space="preserve"> </w:t>
      </w:r>
      <w:r w:rsidR="00122F78" w:rsidRPr="00382917">
        <w:t>the</w:t>
      </w:r>
      <w:r w:rsidR="00EE4FC3">
        <w:t xml:space="preserve"> </w:t>
      </w:r>
      <w:r w:rsidR="00122F78" w:rsidRPr="00382917">
        <w:t>best</w:t>
      </w:r>
      <w:r w:rsidR="00EE4FC3">
        <w:t xml:space="preserve"> </w:t>
      </w:r>
      <w:r w:rsidR="00122F78" w:rsidRPr="00382917">
        <w:t>interests</w:t>
      </w:r>
      <w:r w:rsidR="00EE4FC3">
        <w:t xml:space="preserve"> </w:t>
      </w:r>
      <w:r w:rsidR="00122F78" w:rsidRPr="00382917">
        <w:t>of</w:t>
      </w:r>
      <w:r w:rsidR="00EE4FC3">
        <w:t xml:space="preserve"> </w:t>
      </w:r>
      <w:r w:rsidR="00122F78" w:rsidRPr="00382917">
        <w:t>our</w:t>
      </w:r>
      <w:r w:rsidR="00EE4FC3">
        <w:t xml:space="preserve"> </w:t>
      </w:r>
      <w:r w:rsidR="00122F78" w:rsidRPr="00382917">
        <w:t>realm.</w:t>
      </w:r>
      <w:r w:rsidR="009C713D" w:rsidRPr="00382917">
        <w:t>”</w:t>
      </w:r>
    </w:p>
    <w:p w:rsidR="00122F78" w:rsidRPr="00382917" w:rsidRDefault="00122F78" w:rsidP="008F2DBE">
      <w:pPr>
        <w:pStyle w:val="Text"/>
      </w:pPr>
      <w:proofErr w:type="gramStart"/>
      <w:r w:rsidRPr="00382917">
        <w:t>Thus</w:t>
      </w:r>
      <w:r w:rsidR="00EE4FC3">
        <w:t xml:space="preserve"> </w:t>
      </w:r>
      <w:r w:rsidRPr="00382917">
        <w:t>ended</w:t>
      </w:r>
      <w:r w:rsidR="00EE4FC3">
        <w:t xml:space="preserve"> </w:t>
      </w:r>
      <w:r w:rsidRPr="00382917">
        <w:t>the</w:t>
      </w:r>
      <w:r w:rsidR="00EE4FC3">
        <w:t xml:space="preserve"> </w:t>
      </w:r>
      <w:r w:rsidRPr="00382917">
        <w:t>story</w:t>
      </w:r>
      <w:r w:rsidR="00EE4FC3">
        <w:t xml:space="preserve"> </w:t>
      </w:r>
      <w:r w:rsidRPr="00382917">
        <w:t>of</w:t>
      </w:r>
      <w:r w:rsidR="00EE4FC3">
        <w:t xml:space="preserve"> </w:t>
      </w:r>
      <w:r w:rsidRPr="00382917">
        <w:t>the</w:t>
      </w:r>
      <w:r w:rsidR="00EE4FC3">
        <w:t xml:space="preserve"> </w:t>
      </w:r>
      <w:r w:rsidRPr="00382917">
        <w:t>king</w:t>
      </w:r>
      <w:r w:rsidR="009C713D" w:rsidRPr="00382917">
        <w:t>’</w:t>
      </w:r>
      <w:r w:rsidRPr="00382917">
        <w:t>s</w:t>
      </w:r>
      <w:r w:rsidR="00EE4FC3">
        <w:t xml:space="preserve"> </w:t>
      </w:r>
      <w:r w:rsidRPr="00382917">
        <w:t>investigation</w:t>
      </w:r>
      <w:r w:rsidR="00EE4FC3">
        <w:t xml:space="preserve"> </w:t>
      </w:r>
      <w:r w:rsidRPr="00382917">
        <w:t>of</w:t>
      </w:r>
      <w:r w:rsidR="00EE4FC3">
        <w:t xml:space="preserve"> </w:t>
      </w:r>
      <w:r w:rsidRPr="00382917">
        <w:t>the</w:t>
      </w:r>
      <w:r w:rsidR="00EE4FC3">
        <w:t xml:space="preserve"> </w:t>
      </w:r>
      <w:r w:rsidRPr="00382917">
        <w:t>Cause</w:t>
      </w:r>
      <w:r w:rsidR="00EE4FC3">
        <w:t xml:space="preserve"> </w:t>
      </w:r>
      <w:r w:rsidRPr="00382917">
        <w:t>of</w:t>
      </w:r>
      <w:r w:rsidR="00EE4FC3">
        <w:t xml:space="preserve"> </w:t>
      </w:r>
      <w:r w:rsidRPr="00382917">
        <w:t>the</w:t>
      </w:r>
      <w:r w:rsidR="00EE4FC3">
        <w:t xml:space="preserve"> </w:t>
      </w:r>
      <w:r w:rsidRPr="00382917">
        <w:t>Báb</w:t>
      </w:r>
      <w:r w:rsidR="00C03C91">
        <w:t>.</w:t>
      </w:r>
      <w:proofErr w:type="gramEnd"/>
      <w:r w:rsidR="00EE4FC3">
        <w:t xml:space="preserve">  </w:t>
      </w:r>
      <w:r w:rsidRPr="00382917">
        <w:t>Vaḥíd,</w:t>
      </w:r>
      <w:r w:rsidR="00EE4FC3">
        <w:t xml:space="preserve"> </w:t>
      </w:r>
      <w:r w:rsidRPr="00382917">
        <w:t>acknowledged</w:t>
      </w:r>
      <w:r w:rsidR="00EE4FC3">
        <w:t xml:space="preserve"> </w:t>
      </w:r>
      <w:r w:rsidRPr="00382917">
        <w:t>as</w:t>
      </w:r>
      <w:r w:rsidR="00EE4FC3">
        <w:t xml:space="preserve"> </w:t>
      </w:r>
      <w:r w:rsidRPr="00382917">
        <w:t>the</w:t>
      </w:r>
      <w:r w:rsidR="00EE4FC3">
        <w:t xml:space="preserve"> </w:t>
      </w:r>
      <w:r w:rsidRPr="00382917">
        <w:t>most</w:t>
      </w:r>
      <w:r w:rsidR="00EE4FC3">
        <w:t xml:space="preserve"> </w:t>
      </w:r>
      <w:r w:rsidRPr="00382917">
        <w:t>outstanding</w:t>
      </w:r>
      <w:r w:rsidR="00EE4FC3">
        <w:t xml:space="preserve"> </w:t>
      </w:r>
      <w:r w:rsidRPr="00382917">
        <w:t>of</w:t>
      </w:r>
      <w:r w:rsidR="00EE4FC3">
        <w:t xml:space="preserve"> </w:t>
      </w:r>
      <w:r w:rsidRPr="00382917">
        <w:t>the</w:t>
      </w:r>
      <w:r w:rsidR="00EE4FC3">
        <w:t xml:space="preserve"> </w:t>
      </w:r>
      <w:r w:rsidRPr="00382917">
        <w:t>leaders</w:t>
      </w:r>
      <w:r w:rsidR="00EE4FC3">
        <w:t xml:space="preserve"> </w:t>
      </w:r>
      <w:r w:rsidRPr="00382917">
        <w:t>of</w:t>
      </w:r>
      <w:r w:rsidR="00EE4FC3">
        <w:t xml:space="preserve"> </w:t>
      </w:r>
      <w:r w:rsidRPr="00382917">
        <w:t>Persia,</w:t>
      </w:r>
      <w:r w:rsidR="00EE4FC3">
        <w:t xml:space="preserve"> </w:t>
      </w:r>
      <w:r w:rsidRPr="00382917">
        <w:t>selected</w:t>
      </w:r>
      <w:r w:rsidR="00EE4FC3">
        <w:t xml:space="preserve"> </w:t>
      </w:r>
      <w:r w:rsidRPr="00382917">
        <w:t>as</w:t>
      </w:r>
      <w:r w:rsidR="00EE4FC3">
        <w:t xml:space="preserve"> </w:t>
      </w:r>
      <w:r w:rsidRPr="00382917">
        <w:t>his</w:t>
      </w:r>
      <w:r w:rsidR="00EE4FC3">
        <w:t xml:space="preserve"> </w:t>
      </w:r>
      <w:r w:rsidRPr="00382917">
        <w:t>personal</w:t>
      </w:r>
      <w:r w:rsidR="00EE4FC3">
        <w:t xml:space="preserve"> </w:t>
      </w:r>
      <w:r w:rsidRPr="00382917">
        <w:t>messenger</w:t>
      </w:r>
      <w:r w:rsidR="00EE4FC3">
        <w:t xml:space="preserve"> </w:t>
      </w:r>
      <w:r w:rsidRPr="00382917">
        <w:t>by</w:t>
      </w:r>
      <w:r w:rsidR="00EE4FC3">
        <w:t xml:space="preserve"> </w:t>
      </w:r>
      <w:r w:rsidRPr="00382917">
        <w:t>the</w:t>
      </w:r>
      <w:r w:rsidR="00EE4FC3">
        <w:t xml:space="preserve"> </w:t>
      </w:r>
      <w:r w:rsidRPr="00382917">
        <w:t>king</w:t>
      </w:r>
      <w:r w:rsidR="00EE4FC3">
        <w:t xml:space="preserve"> </w:t>
      </w:r>
      <w:r w:rsidRPr="00382917">
        <w:t>himself,</w:t>
      </w:r>
      <w:r w:rsidR="00EE4FC3">
        <w:t xml:space="preserve"> </w:t>
      </w:r>
      <w:r w:rsidRPr="00382917">
        <w:t>embraced</w:t>
      </w:r>
      <w:r w:rsidR="00EE4FC3">
        <w:t xml:space="preserve"> </w:t>
      </w:r>
      <w:r w:rsidRPr="00382917">
        <w:t>the</w:t>
      </w:r>
      <w:r w:rsidR="00EE4FC3">
        <w:t xml:space="preserve"> </w:t>
      </w:r>
      <w:r w:rsidRPr="00382917">
        <w:t>Faith</w:t>
      </w:r>
      <w:r w:rsidR="00EE4FC3">
        <w:t xml:space="preserve"> </w:t>
      </w:r>
      <w:r w:rsidRPr="00382917">
        <w:t>of</w:t>
      </w:r>
      <w:r w:rsidR="00EE4FC3">
        <w:t xml:space="preserve"> </w:t>
      </w:r>
      <w:r w:rsidRPr="00382917">
        <w:t>the</w:t>
      </w:r>
      <w:r w:rsidR="00EE4FC3">
        <w:t xml:space="preserve"> </w:t>
      </w:r>
      <w:r w:rsidRPr="00382917">
        <w:t>Báb</w:t>
      </w:r>
      <w:r w:rsidR="00EE4FC3">
        <w:t xml:space="preserve"> </w:t>
      </w:r>
      <w:r w:rsidRPr="00382917">
        <w:t>and</w:t>
      </w:r>
      <w:r w:rsidR="00EE4FC3">
        <w:t xml:space="preserve"> </w:t>
      </w:r>
      <w:r w:rsidRPr="00382917">
        <w:t>began</w:t>
      </w:r>
      <w:r w:rsidR="00EE4FC3">
        <w:t xml:space="preserve"> </w:t>
      </w:r>
      <w:r w:rsidRPr="00382917">
        <w:t>to</w:t>
      </w:r>
      <w:r w:rsidR="00EE4FC3">
        <w:t xml:space="preserve"> </w:t>
      </w:r>
      <w:r w:rsidRPr="00382917">
        <w:t>teach</w:t>
      </w:r>
      <w:r w:rsidR="00EE4FC3">
        <w:t xml:space="preserve"> </w:t>
      </w:r>
      <w:r w:rsidRPr="00382917">
        <w:t>it</w:t>
      </w:r>
      <w:r w:rsidR="00C03C91">
        <w:t>.</w:t>
      </w:r>
      <w:r w:rsidR="00EE4FC3">
        <w:t xml:space="preserve">  </w:t>
      </w:r>
      <w:r w:rsidRPr="00382917">
        <w:t>To</w:t>
      </w:r>
      <w:r w:rsidR="00EE4FC3">
        <w:t xml:space="preserve"> </w:t>
      </w:r>
      <w:r w:rsidR="00964C11" w:rsidRPr="00382917">
        <w:t>Ḥusayn</w:t>
      </w:r>
      <w:r w:rsidR="00EE4FC3">
        <w:t xml:space="preserve"> </w:t>
      </w:r>
      <w:r w:rsidR="0040329F" w:rsidRPr="0040329F">
        <w:rPr>
          <w:u w:val="single"/>
        </w:rPr>
        <w:t>Kh</w:t>
      </w:r>
      <w:r w:rsidR="0040329F" w:rsidRPr="00382917">
        <w:t>án</w:t>
      </w:r>
      <w:r w:rsidRPr="00382917">
        <w:t>,</w:t>
      </w:r>
      <w:r w:rsidR="00EE4FC3">
        <w:t xml:space="preserve"> </w:t>
      </w:r>
      <w:r w:rsidRPr="00382917">
        <w:t>the</w:t>
      </w:r>
      <w:r w:rsidR="00EE4FC3">
        <w:t xml:space="preserve"> </w:t>
      </w:r>
      <w:r w:rsidRPr="00382917">
        <w:t>governor,</w:t>
      </w:r>
      <w:r w:rsidR="00EE4FC3">
        <w:t xml:space="preserve"> </w:t>
      </w:r>
      <w:r w:rsidRPr="00382917">
        <w:t>who</w:t>
      </w:r>
      <w:r w:rsidR="00EE4FC3">
        <w:t xml:space="preserve"> </w:t>
      </w:r>
      <w:r w:rsidRPr="00382917">
        <w:t>challenged</w:t>
      </w:r>
      <w:r w:rsidR="00EE4FC3">
        <w:t xml:space="preserve"> </w:t>
      </w:r>
      <w:r w:rsidRPr="00382917">
        <w:t>him,</w:t>
      </w:r>
      <w:r w:rsidR="00EE4FC3">
        <w:t xml:space="preserve"> </w:t>
      </w:r>
      <w:r w:rsidRPr="00382917">
        <w:t>saying,</w:t>
      </w:r>
      <w:r w:rsidR="00EE4FC3">
        <w:t xml:space="preserve"> </w:t>
      </w:r>
      <w:r w:rsidR="009C713D" w:rsidRPr="00382917">
        <w:t>“</w:t>
      </w:r>
      <w:r w:rsidRPr="00382917">
        <w:t>Have</w:t>
      </w:r>
      <w:r w:rsidR="00EE4FC3">
        <w:t xml:space="preserve"> </w:t>
      </w:r>
      <w:r w:rsidRPr="00382917">
        <w:t>you</w:t>
      </w:r>
      <w:r w:rsidR="00EE4FC3">
        <w:t xml:space="preserve"> </w:t>
      </w:r>
      <w:r w:rsidRPr="00382917">
        <w:t>fallen</w:t>
      </w:r>
      <w:r w:rsidR="00EE4FC3">
        <w:t xml:space="preserve"> </w:t>
      </w:r>
      <w:r w:rsidRPr="00382917">
        <w:t>under</w:t>
      </w:r>
      <w:r w:rsidR="00EE4FC3">
        <w:t xml:space="preserve"> </w:t>
      </w:r>
      <w:r w:rsidRPr="00382917">
        <w:t>the</w:t>
      </w:r>
      <w:r w:rsidR="00EE4FC3">
        <w:t xml:space="preserve"> </w:t>
      </w:r>
      <w:r w:rsidRPr="00382917">
        <w:t>enchantment</w:t>
      </w:r>
      <w:r w:rsidR="00EE4FC3">
        <w:t xml:space="preserve"> </w:t>
      </w:r>
      <w:r w:rsidRPr="00382917">
        <w:t>of</w:t>
      </w:r>
      <w:r w:rsidR="00EE4FC3">
        <w:t xml:space="preserve"> </w:t>
      </w:r>
      <w:r w:rsidRPr="00382917">
        <w:t>the</w:t>
      </w:r>
      <w:r w:rsidR="00EE4FC3">
        <w:t xml:space="preserve"> </w:t>
      </w:r>
      <w:r w:rsidRPr="00382917">
        <w:t>Báb</w:t>
      </w:r>
      <w:r w:rsidR="009C713D" w:rsidRPr="00382917">
        <w:t>’</w:t>
      </w:r>
      <w:r w:rsidRPr="00382917">
        <w:t>s</w:t>
      </w:r>
      <w:r w:rsidR="00EE4FC3">
        <w:t xml:space="preserve"> </w:t>
      </w:r>
      <w:r w:rsidRPr="00382917">
        <w:t>magic</w:t>
      </w:r>
      <w:r w:rsidR="00EE4FC3">
        <w:t xml:space="preserve"> </w:t>
      </w:r>
      <w:r w:rsidRPr="00382917">
        <w:t>spell?</w:t>
      </w:r>
      <w:r w:rsidR="009C713D" w:rsidRPr="00382917">
        <w:t>”</w:t>
      </w:r>
      <w:r w:rsidR="00EE4FC3">
        <w:t xml:space="preserve">  </w:t>
      </w:r>
      <w:r w:rsidRPr="00382917">
        <w:t>Vaḥíd</w:t>
      </w:r>
      <w:r w:rsidR="00EE4FC3">
        <w:t xml:space="preserve"> </w:t>
      </w:r>
      <w:r w:rsidRPr="00382917">
        <w:t>replied</w:t>
      </w:r>
      <w:r w:rsidR="00C03C91">
        <w:t>:</w:t>
      </w:r>
      <w:r w:rsidR="00EE4FC3">
        <w:t xml:space="preserve">  </w:t>
      </w:r>
      <w:r w:rsidR="009C713D" w:rsidRPr="00382917">
        <w:t>“</w:t>
      </w:r>
      <w:r w:rsidRPr="00382917">
        <w:t>No</w:t>
      </w:r>
      <w:r w:rsidR="00EE4FC3">
        <w:t xml:space="preserve"> </w:t>
      </w:r>
      <w:r w:rsidRPr="00382917">
        <w:t>one</w:t>
      </w:r>
      <w:r w:rsidR="00EE4FC3">
        <w:t xml:space="preserve"> </w:t>
      </w:r>
      <w:r w:rsidRPr="00382917">
        <w:t>but</w:t>
      </w:r>
      <w:r w:rsidR="00EE4FC3">
        <w:t xml:space="preserve"> </w:t>
      </w:r>
      <w:r w:rsidRPr="00382917">
        <w:t>God</w:t>
      </w:r>
      <w:r w:rsidR="00EE4FC3">
        <w:t xml:space="preserve"> </w:t>
      </w:r>
      <w:r w:rsidRPr="00382917">
        <w:t>can</w:t>
      </w:r>
      <w:r w:rsidR="00EE4FC3">
        <w:t xml:space="preserve"> </w:t>
      </w:r>
      <w:r w:rsidRPr="00382917">
        <w:t>captivate</w:t>
      </w:r>
      <w:r w:rsidR="00EE4FC3">
        <w:t xml:space="preserve"> </w:t>
      </w:r>
      <w:r w:rsidRPr="00382917">
        <w:t>the</w:t>
      </w:r>
      <w:r w:rsidR="00EE4FC3">
        <w:t xml:space="preserve"> </w:t>
      </w:r>
      <w:r w:rsidRPr="00382917">
        <w:t>heart</w:t>
      </w:r>
      <w:r w:rsidR="00EE4FC3">
        <w:t xml:space="preserve"> </w:t>
      </w:r>
      <w:r w:rsidRPr="00382917">
        <w:t>of</w:t>
      </w:r>
      <w:r w:rsidR="00EE4FC3">
        <w:t xml:space="preserve"> </w:t>
      </w:r>
      <w:r w:rsidRPr="00382917">
        <w:t>Vaḥíd</w:t>
      </w:r>
      <w:r w:rsidR="00C03C91">
        <w:t>.</w:t>
      </w:r>
      <w:r w:rsidR="00EE4FC3">
        <w:t xml:space="preserve">  </w:t>
      </w:r>
      <w:r w:rsidRPr="00382917">
        <w:t>He</w:t>
      </w:r>
      <w:r w:rsidR="00EE4FC3">
        <w:t xml:space="preserve"> </w:t>
      </w:r>
      <w:r w:rsidRPr="00382917">
        <w:t>alone</w:t>
      </w:r>
      <w:r w:rsidR="00EE4FC3">
        <w:t xml:space="preserve"> </w:t>
      </w:r>
      <w:r w:rsidRPr="00382917">
        <w:t>can</w:t>
      </w:r>
      <w:r w:rsidR="00EE4FC3">
        <w:t xml:space="preserve"> </w:t>
      </w:r>
      <w:r w:rsidRPr="00382917">
        <w:t>change</w:t>
      </w:r>
      <w:r w:rsidR="00EE4FC3">
        <w:t xml:space="preserve"> </w:t>
      </w:r>
      <w:r w:rsidRPr="00382917">
        <w:t>the</w:t>
      </w:r>
      <w:r w:rsidR="00EE4FC3">
        <w:t xml:space="preserve"> </w:t>
      </w:r>
      <w:r w:rsidRPr="00382917">
        <w:t>hearts</w:t>
      </w:r>
      <w:r w:rsidR="00EE4FC3">
        <w:t xml:space="preserve"> </w:t>
      </w:r>
      <w:r w:rsidRPr="00382917">
        <w:t>of</w:t>
      </w:r>
      <w:r w:rsidR="00EE4FC3">
        <w:t xml:space="preserve"> </w:t>
      </w:r>
      <w:r w:rsidRPr="00382917">
        <w:t>men</w:t>
      </w:r>
      <w:r w:rsidR="00C03C91">
        <w:t>.</w:t>
      </w:r>
      <w:r w:rsidR="00EE4FC3">
        <w:t xml:space="preserve">  </w:t>
      </w:r>
      <w:r w:rsidRPr="00382917">
        <w:t>Whosoever</w:t>
      </w:r>
      <w:r w:rsidR="00EE4FC3">
        <w:t xml:space="preserve"> </w:t>
      </w:r>
      <w:r w:rsidRPr="00382917">
        <w:t>can</w:t>
      </w:r>
      <w:r w:rsidR="00EE4FC3">
        <w:t xml:space="preserve"> </w:t>
      </w:r>
      <w:r w:rsidRPr="00382917">
        <w:t>ensnare</w:t>
      </w:r>
      <w:r w:rsidR="00EE4FC3">
        <w:t xml:space="preserve"> </w:t>
      </w:r>
      <w:r w:rsidRPr="00382917">
        <w:t>my</w:t>
      </w:r>
      <w:r w:rsidR="00EE4FC3">
        <w:t xml:space="preserve"> </w:t>
      </w:r>
      <w:r w:rsidRPr="00382917">
        <w:t>heart</w:t>
      </w:r>
      <w:r w:rsidR="00EE4FC3">
        <w:t xml:space="preserve"> </w:t>
      </w:r>
      <w:r w:rsidRPr="00382917">
        <w:t>is</w:t>
      </w:r>
      <w:r w:rsidR="00EE4FC3">
        <w:t xml:space="preserve"> </w:t>
      </w:r>
      <w:r w:rsidRPr="00382917">
        <w:t>of</w:t>
      </w:r>
      <w:r w:rsidR="00EE4FC3">
        <w:t xml:space="preserve"> </w:t>
      </w:r>
      <w:r w:rsidRPr="00382917">
        <w:t>God</w:t>
      </w:r>
      <w:r w:rsidR="00EE4FC3">
        <w:t xml:space="preserve"> </w:t>
      </w:r>
      <w:r w:rsidRPr="00382917">
        <w:t>and</w:t>
      </w:r>
      <w:r w:rsidR="00EE4FC3">
        <w:t xml:space="preserve"> </w:t>
      </w:r>
      <w:r w:rsidRPr="00382917">
        <w:t>His</w:t>
      </w:r>
      <w:r w:rsidR="00EE4FC3">
        <w:t xml:space="preserve"> </w:t>
      </w:r>
      <w:r w:rsidRPr="00382917">
        <w:t>word</w:t>
      </w:r>
      <w:r w:rsidR="00EE4FC3">
        <w:t xml:space="preserve"> </w:t>
      </w:r>
      <w:r w:rsidRPr="00382917">
        <w:t>is</w:t>
      </w:r>
      <w:r w:rsidR="00EE4FC3">
        <w:t xml:space="preserve"> </w:t>
      </w:r>
      <w:r w:rsidRPr="00382917">
        <w:t>unquestionably</w:t>
      </w:r>
      <w:r w:rsidR="00EE4FC3">
        <w:t xml:space="preserve"> </w:t>
      </w:r>
      <w:r w:rsidRPr="00382917">
        <w:t>the</w:t>
      </w:r>
      <w:r w:rsidR="00EE4FC3">
        <w:t xml:space="preserve"> </w:t>
      </w:r>
      <w:r w:rsidRPr="00382917">
        <w:t>voice</w:t>
      </w:r>
      <w:r w:rsidR="00EE4FC3">
        <w:t xml:space="preserve"> </w:t>
      </w:r>
      <w:r w:rsidRPr="00382917">
        <w:t>of</w:t>
      </w:r>
      <w:r w:rsidR="00EE4FC3">
        <w:t xml:space="preserve"> </w:t>
      </w:r>
      <w:r w:rsidRPr="00382917">
        <w:t>Truth.</w:t>
      </w:r>
      <w:r w:rsidR="009C713D" w:rsidRPr="00382917">
        <w:t>”</w:t>
      </w:r>
      <w:r w:rsidR="008F2DBE">
        <w:rPr>
          <w:rStyle w:val="FootnoteReference"/>
        </w:rPr>
        <w:footnoteReference w:id="46"/>
      </w:r>
    </w:p>
    <w:p w:rsidR="00122F78" w:rsidRPr="00382917" w:rsidRDefault="00122F78" w:rsidP="00122F78">
      <w:pPr>
        <w:pStyle w:val="Text"/>
      </w:pPr>
      <w:r w:rsidRPr="00382917">
        <w:t>Vaḥíd</w:t>
      </w:r>
      <w:r w:rsidR="00EE4FC3">
        <w:t xml:space="preserve"> </w:t>
      </w:r>
      <w:r w:rsidRPr="00382917">
        <w:t>was</w:t>
      </w:r>
      <w:r w:rsidR="00EE4FC3">
        <w:t xml:space="preserve"> </w:t>
      </w:r>
      <w:r w:rsidRPr="00382917">
        <w:t>but</w:t>
      </w:r>
      <w:r w:rsidR="00EE4FC3">
        <w:t xml:space="preserve"> </w:t>
      </w:r>
      <w:r w:rsidRPr="00382917">
        <w:t>one</w:t>
      </w:r>
      <w:r w:rsidR="00EE4FC3">
        <w:t xml:space="preserve"> </w:t>
      </w:r>
      <w:r w:rsidRPr="00382917">
        <w:t>of</w:t>
      </w:r>
      <w:r w:rsidR="00EE4FC3">
        <w:t xml:space="preserve"> </w:t>
      </w:r>
      <w:r w:rsidRPr="00382917">
        <w:t>many</w:t>
      </w:r>
      <w:r w:rsidR="00EE4FC3">
        <w:t xml:space="preserve"> </w:t>
      </w:r>
      <w:r w:rsidRPr="00382917">
        <w:t>illustrious</w:t>
      </w:r>
      <w:r w:rsidR="00EE4FC3">
        <w:t xml:space="preserve"> </w:t>
      </w:r>
      <w:r w:rsidRPr="00382917">
        <w:t>figures</w:t>
      </w:r>
      <w:r w:rsidR="00EE4FC3">
        <w:t xml:space="preserve"> </w:t>
      </w:r>
      <w:r w:rsidRPr="00382917">
        <w:t>who</w:t>
      </w:r>
      <w:r w:rsidR="00EE4FC3">
        <w:t xml:space="preserve"> </w:t>
      </w:r>
      <w:r w:rsidRPr="00382917">
        <w:t>were</w:t>
      </w:r>
      <w:r w:rsidR="00EE4FC3">
        <w:t xml:space="preserve"> </w:t>
      </w:r>
      <w:r w:rsidRPr="00382917">
        <w:t>being</w:t>
      </w:r>
      <w:r w:rsidR="00EE4FC3">
        <w:t xml:space="preserve"> </w:t>
      </w:r>
      <w:r w:rsidRPr="00382917">
        <w:t>attracted</w:t>
      </w:r>
      <w:r w:rsidR="00EE4FC3">
        <w:t xml:space="preserve"> </w:t>
      </w:r>
      <w:r w:rsidRPr="00382917">
        <w:t>to</w:t>
      </w:r>
      <w:r w:rsidR="00EE4FC3">
        <w:t xml:space="preserve"> </w:t>
      </w:r>
      <w:r w:rsidRPr="00382917">
        <w:t>the</w:t>
      </w:r>
      <w:r w:rsidR="00EE4FC3">
        <w:t xml:space="preserve"> </w:t>
      </w:r>
      <w:r w:rsidRPr="00382917">
        <w:t>Faith</w:t>
      </w:r>
      <w:r w:rsidR="00EE4FC3">
        <w:t xml:space="preserve"> </w:t>
      </w:r>
      <w:r w:rsidRPr="00382917">
        <w:t>of</w:t>
      </w:r>
      <w:r w:rsidR="00EE4FC3">
        <w:t xml:space="preserve"> </w:t>
      </w:r>
      <w:r w:rsidRPr="00382917">
        <w:t>the</w:t>
      </w:r>
      <w:r w:rsidR="00EE4FC3">
        <w:t xml:space="preserve"> </w:t>
      </w:r>
      <w:r w:rsidRPr="00382917">
        <w:t>Báb</w:t>
      </w:r>
      <w:r w:rsidR="00C03C91">
        <w:t>.</w:t>
      </w:r>
      <w:r w:rsidR="00EE4FC3">
        <w:t xml:space="preserve">  </w:t>
      </w:r>
      <w:r w:rsidRPr="00382917">
        <w:t>The</w:t>
      </w:r>
      <w:r w:rsidR="00EE4FC3">
        <w:t xml:space="preserve"> </w:t>
      </w:r>
      <w:r w:rsidRPr="00382917">
        <w:t>Prime</w:t>
      </w:r>
      <w:r w:rsidR="00EE4FC3">
        <w:t xml:space="preserve"> </w:t>
      </w:r>
      <w:r w:rsidRPr="00382917">
        <w:t>Minister</w:t>
      </w:r>
      <w:r w:rsidR="00EE4FC3">
        <w:t xml:space="preserve"> </w:t>
      </w:r>
      <w:r w:rsidRPr="00382917">
        <w:t>and</w:t>
      </w:r>
      <w:r w:rsidR="00EE4FC3">
        <w:t xml:space="preserve"> </w:t>
      </w:r>
      <w:r w:rsidRPr="00382917">
        <w:t>the</w:t>
      </w:r>
      <w:r w:rsidR="00EE4FC3">
        <w:t xml:space="preserve"> </w:t>
      </w:r>
      <w:r w:rsidRPr="00382917">
        <w:t>people</w:t>
      </w:r>
      <w:r w:rsidR="00EE4FC3">
        <w:t xml:space="preserve"> </w:t>
      </w:r>
      <w:r w:rsidRPr="00382917">
        <w:t>of</w:t>
      </w:r>
      <w:r w:rsidR="00EE4FC3">
        <w:t xml:space="preserve"> </w:t>
      </w:r>
      <w:r w:rsidRPr="00382917">
        <w:t>the</w:t>
      </w:r>
      <w:r w:rsidR="00EE4FC3">
        <w:t xml:space="preserve"> </w:t>
      </w:r>
      <w:r w:rsidRPr="00382917">
        <w:t>royal</w:t>
      </w:r>
      <w:r w:rsidR="00EE4FC3">
        <w:t xml:space="preserve"> </w:t>
      </w:r>
      <w:r w:rsidRPr="00382917">
        <w:t>court</w:t>
      </w:r>
      <w:r w:rsidR="00EE4FC3">
        <w:t xml:space="preserve"> </w:t>
      </w:r>
      <w:r w:rsidRPr="00382917">
        <w:t>tried</w:t>
      </w:r>
      <w:r w:rsidR="00EE4FC3">
        <w:t xml:space="preserve"> </w:t>
      </w:r>
      <w:r w:rsidRPr="00382917">
        <w:t>to</w:t>
      </w:r>
      <w:r w:rsidR="00EE4FC3">
        <w:t xml:space="preserve"> </w:t>
      </w:r>
      <w:r w:rsidRPr="00382917">
        <w:t>belittle</w:t>
      </w:r>
      <w:r w:rsidR="00EE4FC3">
        <w:t xml:space="preserve"> </w:t>
      </w:r>
      <w:r w:rsidRPr="00382917">
        <w:t>each</w:t>
      </w:r>
      <w:r w:rsidR="00EE4FC3">
        <w:t xml:space="preserve"> </w:t>
      </w:r>
      <w:r w:rsidRPr="00382917">
        <w:t>of</w:t>
      </w:r>
      <w:r w:rsidR="00EE4FC3">
        <w:t xml:space="preserve"> </w:t>
      </w:r>
      <w:r w:rsidRPr="00382917">
        <w:t>these</w:t>
      </w:r>
      <w:r w:rsidR="00EE4FC3">
        <w:t xml:space="preserve"> </w:t>
      </w:r>
      <w:r w:rsidRPr="00382917">
        <w:t>new</w:t>
      </w:r>
      <w:r w:rsidR="00EE4FC3">
        <w:t xml:space="preserve"> </w:t>
      </w:r>
      <w:r w:rsidRPr="00382917">
        <w:t>believers</w:t>
      </w:r>
      <w:r w:rsidR="00EE4FC3">
        <w:t xml:space="preserve"> </w:t>
      </w:r>
      <w:r w:rsidRPr="00382917">
        <w:t>in</w:t>
      </w:r>
      <w:r w:rsidR="00EE4FC3">
        <w:t xml:space="preserve"> </w:t>
      </w:r>
      <w:r w:rsidRPr="00382917">
        <w:t>the</w:t>
      </w:r>
      <w:r w:rsidR="00EE4FC3">
        <w:t xml:space="preserve"> </w:t>
      </w:r>
      <w:r w:rsidRPr="00382917">
        <w:t>eyes</w:t>
      </w:r>
      <w:r w:rsidR="00EE4FC3">
        <w:t xml:space="preserve"> </w:t>
      </w:r>
      <w:r w:rsidRPr="00382917">
        <w:t>of</w:t>
      </w:r>
      <w:r w:rsidR="00EE4FC3">
        <w:t xml:space="preserve"> </w:t>
      </w:r>
      <w:r w:rsidRPr="00382917">
        <w:t>the</w:t>
      </w:r>
      <w:r w:rsidR="00EE4FC3">
        <w:t xml:space="preserve"> </w:t>
      </w:r>
      <w:r w:rsidRPr="00382917">
        <w:t>king.</w:t>
      </w:r>
    </w:p>
    <w:p w:rsidR="00122F78" w:rsidRPr="00382917" w:rsidRDefault="00122F78" w:rsidP="00122F78">
      <w:pPr>
        <w:pStyle w:val="Text"/>
      </w:pPr>
      <w:r w:rsidRPr="00382917">
        <w:t>One</w:t>
      </w:r>
      <w:r w:rsidR="00EE4FC3">
        <w:t xml:space="preserve"> </w:t>
      </w:r>
      <w:r w:rsidRPr="00382917">
        <w:t>day</w:t>
      </w:r>
      <w:r w:rsidR="00EE4FC3">
        <w:t xml:space="preserve"> </w:t>
      </w:r>
      <w:r w:rsidRPr="00382917">
        <w:t>as</w:t>
      </w:r>
      <w:r w:rsidR="00EE4FC3">
        <w:t xml:space="preserve"> </w:t>
      </w:r>
      <w:r w:rsidRPr="00382917">
        <w:t>the</w:t>
      </w:r>
      <w:r w:rsidR="00EE4FC3">
        <w:t xml:space="preserve"> </w:t>
      </w:r>
      <w:r w:rsidR="004F6339" w:rsidRPr="004F6339">
        <w:rPr>
          <w:u w:val="single"/>
        </w:rPr>
        <w:t>Sh</w:t>
      </w:r>
      <w:r w:rsidR="004F6339" w:rsidRPr="00382917">
        <w:t>áh</w:t>
      </w:r>
      <w:r w:rsidR="00EE4FC3">
        <w:t xml:space="preserve"> </w:t>
      </w:r>
      <w:r w:rsidRPr="00382917">
        <w:t>was</w:t>
      </w:r>
      <w:r w:rsidR="00EE4FC3">
        <w:t xml:space="preserve"> </w:t>
      </w:r>
      <w:r w:rsidRPr="00382917">
        <w:t>riding</w:t>
      </w:r>
      <w:r w:rsidR="00EE4FC3">
        <w:t xml:space="preserve"> </w:t>
      </w:r>
      <w:r w:rsidRPr="00382917">
        <w:t>on</w:t>
      </w:r>
      <w:r w:rsidR="00EE4FC3">
        <w:t xml:space="preserve"> </w:t>
      </w:r>
      <w:r w:rsidRPr="00382917">
        <w:t>horseback,</w:t>
      </w:r>
      <w:r w:rsidR="00EE4FC3">
        <w:t xml:space="preserve"> </w:t>
      </w:r>
      <w:r w:rsidRPr="00382917">
        <w:t>an</w:t>
      </w:r>
      <w:r w:rsidR="00EE4FC3">
        <w:t xml:space="preserve"> </w:t>
      </w:r>
      <w:r w:rsidRPr="00382917">
        <w:t>old</w:t>
      </w:r>
      <w:r w:rsidR="00EE4FC3">
        <w:t xml:space="preserve"> </w:t>
      </w:r>
      <w:r w:rsidRPr="00382917">
        <w:t>man</w:t>
      </w:r>
      <w:r w:rsidR="00EE4FC3">
        <w:t xml:space="preserve"> </w:t>
      </w:r>
      <w:r w:rsidRPr="00382917">
        <w:t>crossed</w:t>
      </w:r>
      <w:r w:rsidR="00EE4FC3">
        <w:t xml:space="preserve"> </w:t>
      </w:r>
      <w:r w:rsidRPr="00382917">
        <w:t>the</w:t>
      </w:r>
      <w:r w:rsidR="00EE4FC3">
        <w:t xml:space="preserve"> </w:t>
      </w:r>
      <w:r w:rsidRPr="00382917">
        <w:t>street</w:t>
      </w:r>
      <w:r w:rsidR="00EE4FC3">
        <w:t xml:space="preserve"> </w:t>
      </w:r>
      <w:r w:rsidRPr="00382917">
        <w:t>in</w:t>
      </w:r>
      <w:r w:rsidR="00EE4FC3">
        <w:t xml:space="preserve"> </w:t>
      </w:r>
      <w:r w:rsidRPr="00382917">
        <w:t>front</w:t>
      </w:r>
      <w:r w:rsidR="00EE4FC3">
        <w:t xml:space="preserve"> </w:t>
      </w:r>
      <w:r w:rsidRPr="00382917">
        <w:t>of</w:t>
      </w:r>
      <w:r w:rsidR="00EE4FC3">
        <w:t xml:space="preserve"> </w:t>
      </w:r>
      <w:r w:rsidRPr="00382917">
        <w:t>him</w:t>
      </w:r>
      <w:r w:rsidR="00C03C91">
        <w:t>.</w:t>
      </w:r>
      <w:r w:rsidR="00EE4FC3">
        <w:t xml:space="preserve">  </w:t>
      </w:r>
      <w:r w:rsidRPr="00382917">
        <w:t>Undisturbed</w:t>
      </w:r>
      <w:r w:rsidR="00EE4FC3">
        <w:t xml:space="preserve"> </w:t>
      </w:r>
      <w:r w:rsidRPr="00382917">
        <w:t>by</w:t>
      </w:r>
      <w:r w:rsidR="00EE4FC3">
        <w:t xml:space="preserve"> </w:t>
      </w:r>
      <w:r w:rsidRPr="00382917">
        <w:t>the</w:t>
      </w:r>
      <w:r w:rsidR="00EE4FC3">
        <w:t xml:space="preserve"> </w:t>
      </w:r>
      <w:r w:rsidRPr="00382917">
        <w:t>presence</w:t>
      </w:r>
      <w:r w:rsidR="00EE4FC3">
        <w:t xml:space="preserve"> </w:t>
      </w:r>
      <w:r w:rsidRPr="00382917">
        <w:t>of</w:t>
      </w:r>
      <w:r w:rsidR="00EE4FC3">
        <w:t xml:space="preserve"> </w:t>
      </w:r>
      <w:r w:rsidRPr="00382917">
        <w:t>the</w:t>
      </w:r>
      <w:r w:rsidR="00EE4FC3">
        <w:t xml:space="preserve"> </w:t>
      </w:r>
      <w:r w:rsidRPr="00382917">
        <w:t>king,</w:t>
      </w:r>
      <w:r w:rsidR="00EE4FC3">
        <w:t xml:space="preserve"> </w:t>
      </w:r>
      <w:r w:rsidRPr="00382917">
        <w:t>the</w:t>
      </w:r>
      <w:r w:rsidR="00EE4FC3">
        <w:t xml:space="preserve"> </w:t>
      </w:r>
      <w:r w:rsidRPr="00382917">
        <w:t>old</w:t>
      </w:r>
      <w:r w:rsidR="00EE4FC3">
        <w:t xml:space="preserve"> </w:t>
      </w:r>
      <w:r w:rsidRPr="00382917">
        <w:t>man</w:t>
      </w:r>
      <w:r w:rsidR="00EE4FC3">
        <w:t xml:space="preserve"> </w:t>
      </w:r>
      <w:r w:rsidRPr="00382917">
        <w:t>approached</w:t>
      </w:r>
      <w:r w:rsidR="00EE4FC3">
        <w:t xml:space="preserve"> </w:t>
      </w:r>
      <w:r w:rsidRPr="00382917">
        <w:t>him</w:t>
      </w:r>
      <w:r w:rsidR="00EE4FC3">
        <w:t xml:space="preserve"> </w:t>
      </w:r>
      <w:r w:rsidRPr="00382917">
        <w:t>and</w:t>
      </w:r>
      <w:r w:rsidR="00EE4FC3">
        <w:t xml:space="preserve"> </w:t>
      </w:r>
      <w:r w:rsidRPr="00382917">
        <w:t>greeted</w:t>
      </w:r>
      <w:r w:rsidR="00EE4FC3">
        <w:t xml:space="preserve"> </w:t>
      </w:r>
      <w:r w:rsidRPr="00382917">
        <w:t>him</w:t>
      </w:r>
      <w:r w:rsidR="00EE4FC3">
        <w:t xml:space="preserve"> </w:t>
      </w:r>
      <w:r w:rsidRPr="00382917">
        <w:t>cheerfully</w:t>
      </w:r>
      <w:r w:rsidR="00C03C91">
        <w:t>.</w:t>
      </w:r>
      <w:r w:rsidR="00EE4FC3">
        <w:t xml:space="preserve">  </w:t>
      </w:r>
      <w:r w:rsidRPr="00382917">
        <w:t>The</w:t>
      </w:r>
      <w:r w:rsidR="00EE4FC3">
        <w:t xml:space="preserve"> </w:t>
      </w:r>
      <w:r w:rsidRPr="00382917">
        <w:t>king</w:t>
      </w:r>
      <w:r w:rsidR="00EE4FC3">
        <w:t xml:space="preserve"> </w:t>
      </w:r>
      <w:r w:rsidRPr="00382917">
        <w:t>was</w:t>
      </w:r>
      <w:r w:rsidR="00EE4FC3">
        <w:t xml:space="preserve"> </w:t>
      </w:r>
      <w:r w:rsidRPr="00382917">
        <w:t>very</w:t>
      </w:r>
      <w:r w:rsidR="00EE4FC3">
        <w:t xml:space="preserve"> </w:t>
      </w:r>
      <w:r w:rsidRPr="00382917">
        <w:t>much</w:t>
      </w:r>
      <w:r w:rsidR="00EE4FC3">
        <w:t xml:space="preserve"> </w:t>
      </w:r>
      <w:r w:rsidRPr="00382917">
        <w:t>taken</w:t>
      </w:r>
      <w:r w:rsidR="00EE4FC3">
        <w:t xml:space="preserve"> </w:t>
      </w:r>
      <w:r w:rsidRPr="00382917">
        <w:t>with</w:t>
      </w:r>
      <w:r w:rsidR="00EE4FC3">
        <w:t xml:space="preserve"> </w:t>
      </w:r>
      <w:r w:rsidRPr="00382917">
        <w:t>the</w:t>
      </w:r>
      <w:r w:rsidR="00EE4FC3">
        <w:t xml:space="preserve"> </w:t>
      </w:r>
      <w:r w:rsidRPr="00382917">
        <w:t>old</w:t>
      </w:r>
      <w:r w:rsidR="00EE4FC3">
        <w:t xml:space="preserve"> </w:t>
      </w:r>
      <w:r w:rsidRPr="00382917">
        <w:t>man</w:t>
      </w:r>
      <w:r w:rsidR="009C713D" w:rsidRPr="00382917">
        <w:t>’</w:t>
      </w:r>
      <w:r w:rsidRPr="00382917">
        <w:t>s</w:t>
      </w:r>
      <w:r w:rsidR="00EE4FC3">
        <w:t xml:space="preserve"> </w:t>
      </w:r>
      <w:r w:rsidRPr="00382917">
        <w:t>courtesy,</w:t>
      </w:r>
      <w:r w:rsidR="00EE4FC3">
        <w:t xml:space="preserve"> </w:t>
      </w:r>
      <w:r w:rsidRPr="00382917">
        <w:t>dignity</w:t>
      </w:r>
      <w:r w:rsidR="00EE4FC3">
        <w:t xml:space="preserve"> </w:t>
      </w:r>
      <w:r w:rsidRPr="00382917">
        <w:t>and</w:t>
      </w:r>
      <w:r w:rsidR="00EE4FC3">
        <w:t xml:space="preserve"> </w:t>
      </w:r>
      <w:r w:rsidRPr="00382917">
        <w:t>manner</w:t>
      </w:r>
      <w:r w:rsidR="00C03C91">
        <w:t>.</w:t>
      </w:r>
      <w:r w:rsidR="00EE4FC3">
        <w:t xml:space="preserve">  </w:t>
      </w:r>
      <w:r w:rsidRPr="00382917">
        <w:t>He</w:t>
      </w:r>
      <w:r w:rsidR="00EE4FC3">
        <w:t xml:space="preserve"> </w:t>
      </w:r>
      <w:r w:rsidRPr="00382917">
        <w:t>replied</w:t>
      </w:r>
      <w:r w:rsidR="00EE4FC3">
        <w:t xml:space="preserve"> </w:t>
      </w:r>
      <w:r w:rsidRPr="00382917">
        <w:t>to</w:t>
      </w:r>
      <w:r w:rsidR="00EE4FC3">
        <w:t xml:space="preserve"> </w:t>
      </w:r>
      <w:r w:rsidRPr="00382917">
        <w:t>the</w:t>
      </w:r>
      <w:r w:rsidR="00EE4FC3">
        <w:t xml:space="preserve"> </w:t>
      </w:r>
      <w:r w:rsidRPr="00382917">
        <w:t>greeting</w:t>
      </w:r>
      <w:r w:rsidR="00EE4FC3">
        <w:t xml:space="preserve"> </w:t>
      </w:r>
      <w:r w:rsidRPr="00382917">
        <w:t>and</w:t>
      </w:r>
      <w:r w:rsidR="00EE4FC3">
        <w:t xml:space="preserve"> </w:t>
      </w:r>
      <w:r w:rsidRPr="00382917">
        <w:t>invited</w:t>
      </w:r>
      <w:r w:rsidR="00EE4FC3">
        <w:t xml:space="preserve"> </w:t>
      </w:r>
      <w:r w:rsidRPr="00382917">
        <w:t>the</w:t>
      </w:r>
      <w:r w:rsidR="00EE4FC3">
        <w:t xml:space="preserve"> </w:t>
      </w:r>
      <w:r w:rsidRPr="00382917">
        <w:t>old</w:t>
      </w:r>
      <w:r w:rsidR="00EE4FC3">
        <w:t xml:space="preserve"> </w:t>
      </w:r>
      <w:r w:rsidRPr="00382917">
        <w:t>man</w:t>
      </w:r>
      <w:r w:rsidR="00EE4FC3">
        <w:t xml:space="preserve"> </w:t>
      </w:r>
      <w:r w:rsidRPr="00382917">
        <w:t>to</w:t>
      </w:r>
      <w:r w:rsidR="00EE4FC3">
        <w:t xml:space="preserve"> </w:t>
      </w:r>
      <w:r w:rsidRPr="00382917">
        <w:t>come</w:t>
      </w:r>
      <w:r w:rsidR="00EE4FC3">
        <w:t xml:space="preserve"> </w:t>
      </w:r>
      <w:r w:rsidRPr="00382917">
        <w:t>and</w:t>
      </w:r>
      <w:r w:rsidR="00EE4FC3">
        <w:t xml:space="preserve"> </w:t>
      </w:r>
      <w:r w:rsidRPr="00382917">
        <w:t>visit</w:t>
      </w:r>
      <w:r w:rsidR="00EE4FC3">
        <w:t xml:space="preserve"> </w:t>
      </w:r>
      <w:r w:rsidRPr="00382917">
        <w:t>him</w:t>
      </w:r>
      <w:r w:rsidR="00EE4FC3">
        <w:t xml:space="preserve"> </w:t>
      </w:r>
      <w:r w:rsidRPr="00382917">
        <w:t>at</w:t>
      </w:r>
      <w:r w:rsidR="00EE4FC3">
        <w:t xml:space="preserve"> </w:t>
      </w:r>
      <w:r w:rsidRPr="00382917">
        <w:t>the</w:t>
      </w:r>
      <w:r w:rsidR="00EE4FC3">
        <w:t xml:space="preserve"> </w:t>
      </w:r>
      <w:r w:rsidRPr="00382917">
        <w:t>palace.</w:t>
      </w:r>
    </w:p>
    <w:p w:rsidR="00122F78" w:rsidRPr="00382917" w:rsidRDefault="00122F78" w:rsidP="00122F78">
      <w:pPr>
        <w:pStyle w:val="Text"/>
      </w:pPr>
      <w:r w:rsidRPr="00382917">
        <w:t>Before</w:t>
      </w:r>
      <w:r w:rsidR="00EE4FC3">
        <w:t xml:space="preserve"> </w:t>
      </w:r>
      <w:r w:rsidRPr="00382917">
        <w:t>they</w:t>
      </w:r>
      <w:r w:rsidR="00EE4FC3">
        <w:t xml:space="preserve"> </w:t>
      </w:r>
      <w:r w:rsidRPr="00382917">
        <w:t>had</w:t>
      </w:r>
      <w:r w:rsidR="00EE4FC3">
        <w:t xml:space="preserve"> </w:t>
      </w:r>
      <w:r w:rsidRPr="00382917">
        <w:t>returned</w:t>
      </w:r>
      <w:r w:rsidR="00EE4FC3">
        <w:t xml:space="preserve"> </w:t>
      </w:r>
      <w:r w:rsidRPr="00382917">
        <w:t>to</w:t>
      </w:r>
      <w:r w:rsidR="00EE4FC3">
        <w:t xml:space="preserve"> </w:t>
      </w:r>
      <w:r w:rsidRPr="00382917">
        <w:t>the</w:t>
      </w:r>
      <w:r w:rsidR="00EE4FC3">
        <w:t xml:space="preserve"> </w:t>
      </w:r>
      <w:r w:rsidRPr="00382917">
        <w:t>royal</w:t>
      </w:r>
      <w:r w:rsidR="00EE4FC3">
        <w:t xml:space="preserve"> </w:t>
      </w:r>
      <w:r w:rsidRPr="00382917">
        <w:t>residence,</w:t>
      </w:r>
      <w:r w:rsidR="00EE4FC3">
        <w:t xml:space="preserve"> </w:t>
      </w:r>
      <w:r w:rsidRPr="00382917">
        <w:t>those</w:t>
      </w:r>
      <w:r w:rsidR="00EE4FC3">
        <w:t xml:space="preserve"> </w:t>
      </w:r>
      <w:r w:rsidRPr="00382917">
        <w:t>close</w:t>
      </w:r>
      <w:r w:rsidR="00EE4FC3">
        <w:t xml:space="preserve"> </w:t>
      </w:r>
      <w:r w:rsidRPr="00382917">
        <w:t>to</w:t>
      </w:r>
      <w:r w:rsidR="00EE4FC3">
        <w:t xml:space="preserve"> </w:t>
      </w:r>
      <w:r w:rsidRPr="00382917">
        <w:t>the</w:t>
      </w:r>
      <w:r w:rsidR="00EE4FC3">
        <w:t xml:space="preserve"> </w:t>
      </w:r>
      <w:r w:rsidRPr="00382917">
        <w:t>king</w:t>
      </w:r>
      <w:r w:rsidR="00EE4FC3">
        <w:t xml:space="preserve"> </w:t>
      </w:r>
      <w:r w:rsidRPr="00382917">
        <w:t>began</w:t>
      </w:r>
      <w:r w:rsidR="00EE4FC3">
        <w:t xml:space="preserve"> </w:t>
      </w:r>
      <w:r w:rsidRPr="00382917">
        <w:t>whispering</w:t>
      </w:r>
      <w:r w:rsidR="00EE4FC3">
        <w:t xml:space="preserve"> </w:t>
      </w:r>
      <w:r w:rsidRPr="00382917">
        <w:t>to</w:t>
      </w:r>
      <w:r w:rsidR="00EE4FC3">
        <w:t xml:space="preserve"> </w:t>
      </w:r>
      <w:r w:rsidRPr="00382917">
        <w:t>him.</w:t>
      </w:r>
    </w:p>
    <w:p w:rsidR="00122F78" w:rsidRPr="00382917" w:rsidRDefault="009C713D" w:rsidP="00122F78">
      <w:pPr>
        <w:pStyle w:val="Text"/>
      </w:pPr>
      <w:r w:rsidRPr="00382917">
        <w:t>“</w:t>
      </w:r>
      <w:r w:rsidR="00122F78" w:rsidRPr="00382917">
        <w:t>Does</w:t>
      </w:r>
      <w:r w:rsidR="00EE4FC3">
        <w:t xml:space="preserve"> </w:t>
      </w:r>
      <w:r w:rsidR="00122F78" w:rsidRPr="00382917">
        <w:t>your</w:t>
      </w:r>
      <w:r w:rsidR="00EE4FC3">
        <w:t xml:space="preserve"> </w:t>
      </w:r>
      <w:r w:rsidR="00122F78" w:rsidRPr="00382917">
        <w:t>Majesty</w:t>
      </w:r>
      <w:r w:rsidR="00EE4FC3">
        <w:t xml:space="preserve"> </w:t>
      </w:r>
      <w:r w:rsidR="00122F78" w:rsidRPr="00382917">
        <w:t>not</w:t>
      </w:r>
      <w:r w:rsidR="00EE4FC3">
        <w:t xml:space="preserve"> </w:t>
      </w:r>
      <w:r w:rsidR="00122F78" w:rsidRPr="00382917">
        <w:t>realize</w:t>
      </w:r>
      <w:r w:rsidR="00EE4FC3">
        <w:t xml:space="preserve"> </w:t>
      </w:r>
      <w:r w:rsidR="00122F78" w:rsidRPr="00382917">
        <w:t>that</w:t>
      </w:r>
      <w:r w:rsidR="00EE4FC3">
        <w:t xml:space="preserve"> </w:t>
      </w:r>
      <w:r w:rsidR="00122F78" w:rsidRPr="00382917">
        <w:t>this</w:t>
      </w:r>
      <w:r w:rsidR="00EE4FC3">
        <w:t xml:space="preserve"> </w:t>
      </w:r>
      <w:r w:rsidR="00122F78" w:rsidRPr="00382917">
        <w:t>old</w:t>
      </w:r>
      <w:r w:rsidR="00EE4FC3">
        <w:t xml:space="preserve"> </w:t>
      </w:r>
      <w:r w:rsidR="00122F78" w:rsidRPr="00382917">
        <w:t>man</w:t>
      </w:r>
      <w:r w:rsidR="00EE4FC3">
        <w:t xml:space="preserve"> </w:t>
      </w:r>
      <w:r w:rsidR="00122F78" w:rsidRPr="00382917">
        <w:t>is</w:t>
      </w:r>
      <w:r w:rsidR="00EE4FC3">
        <w:t xml:space="preserve"> </w:t>
      </w:r>
      <w:r w:rsidR="00122F78" w:rsidRPr="00382917">
        <w:t>none</w:t>
      </w:r>
      <w:r w:rsidR="00EE4FC3">
        <w:t xml:space="preserve"> </w:t>
      </w:r>
      <w:r w:rsidR="00122F78" w:rsidRPr="00382917">
        <w:t>other</w:t>
      </w:r>
      <w:r w:rsidR="00EE4FC3">
        <w:t xml:space="preserve"> </w:t>
      </w:r>
      <w:r w:rsidR="00122F78" w:rsidRPr="00382917">
        <w:t>than</w:t>
      </w:r>
      <w:r w:rsidR="00EE4FC3">
        <w:t xml:space="preserve"> </w:t>
      </w:r>
      <w:r w:rsidR="00122F78" w:rsidRPr="00382917">
        <w:t>one</w:t>
      </w:r>
      <w:r w:rsidR="00EE4FC3">
        <w:t xml:space="preserve"> </w:t>
      </w:r>
      <w:r w:rsidR="00122F78" w:rsidRPr="00382917">
        <w:t>of</w:t>
      </w:r>
      <w:r w:rsidR="00EE4FC3">
        <w:t xml:space="preserve"> </w:t>
      </w:r>
      <w:r w:rsidR="00122F78" w:rsidRPr="00382917">
        <w:t>the</w:t>
      </w:r>
      <w:r w:rsidR="00EE4FC3">
        <w:t xml:space="preserve"> </w:t>
      </w:r>
      <w:r w:rsidR="00122F78" w:rsidRPr="00382917">
        <w:t>famous</w:t>
      </w:r>
      <w:r w:rsidR="00EE4FC3">
        <w:t xml:space="preserve"> </w:t>
      </w:r>
      <w:r w:rsidR="00122F78" w:rsidRPr="00382917">
        <w:t>and</w:t>
      </w:r>
      <w:r w:rsidR="00EE4FC3">
        <w:t xml:space="preserve"> </w:t>
      </w:r>
      <w:r w:rsidR="00122F78" w:rsidRPr="00382917">
        <w:t>newly</w:t>
      </w:r>
      <w:r w:rsidR="00EE4FC3">
        <w:t xml:space="preserve"> </w:t>
      </w:r>
      <w:r w:rsidR="00122F78" w:rsidRPr="00382917">
        <w:t>converted</w:t>
      </w:r>
      <w:r w:rsidR="00EE4FC3">
        <w:t xml:space="preserve"> </w:t>
      </w:r>
      <w:r w:rsidR="00122F78" w:rsidRPr="00382917">
        <w:t>followers</w:t>
      </w:r>
      <w:r w:rsidR="00EE4FC3">
        <w:t xml:space="preserve"> </w:t>
      </w:r>
      <w:r w:rsidR="00122F78" w:rsidRPr="00382917">
        <w:t>of</w:t>
      </w:r>
      <w:r w:rsidR="00EE4FC3">
        <w:t xml:space="preserve"> </w:t>
      </w:r>
      <w:r w:rsidR="00122F78" w:rsidRPr="00382917">
        <w:t>the</w:t>
      </w:r>
      <w:r w:rsidR="00EE4FC3">
        <w:t xml:space="preserve"> </w:t>
      </w:r>
      <w:r w:rsidR="00122F78" w:rsidRPr="00382917">
        <w:t>Báb?</w:t>
      </w:r>
    </w:p>
    <w:p w:rsidR="00122F78" w:rsidRPr="00382917" w:rsidRDefault="00122F78">
      <w:pPr>
        <w:widowControl/>
        <w:kinsoku/>
        <w:overflowPunct/>
        <w:textAlignment w:val="auto"/>
      </w:pPr>
      <w:r w:rsidRPr="00382917">
        <w:br w:type="page"/>
      </w:r>
    </w:p>
    <w:p w:rsidR="00122F78" w:rsidRPr="00382917" w:rsidRDefault="00122F78" w:rsidP="00122F78">
      <w:pPr>
        <w:pStyle w:val="Textcts"/>
      </w:pPr>
      <w:r w:rsidRPr="00382917">
        <w:t>He</w:t>
      </w:r>
      <w:r w:rsidR="00EE4FC3">
        <w:t xml:space="preserve"> </w:t>
      </w:r>
      <w:r w:rsidRPr="00382917">
        <w:t>has</w:t>
      </w:r>
      <w:r w:rsidR="00EE4FC3">
        <w:t xml:space="preserve"> </w:t>
      </w:r>
      <w:r w:rsidRPr="00382917">
        <w:t>proclaimed</w:t>
      </w:r>
      <w:r w:rsidR="00EE4FC3">
        <w:t xml:space="preserve"> </w:t>
      </w:r>
      <w:r w:rsidRPr="00382917">
        <w:t>himself</w:t>
      </w:r>
      <w:r w:rsidR="00EE4FC3">
        <w:t xml:space="preserve"> </w:t>
      </w:r>
      <w:r w:rsidRPr="00382917">
        <w:t>so</w:t>
      </w:r>
      <w:r w:rsidR="00C03C91">
        <w:t>.</w:t>
      </w:r>
      <w:r w:rsidR="00EE4FC3">
        <w:t xml:space="preserve">  </w:t>
      </w:r>
      <w:r w:rsidRPr="00382917">
        <w:t>He</w:t>
      </w:r>
      <w:r w:rsidR="00EE4FC3">
        <w:t xml:space="preserve"> </w:t>
      </w:r>
      <w:r w:rsidRPr="00382917">
        <w:t>has</w:t>
      </w:r>
      <w:r w:rsidR="00EE4FC3">
        <w:t xml:space="preserve"> </w:t>
      </w:r>
      <w:r w:rsidRPr="00382917">
        <w:t>publicly</w:t>
      </w:r>
      <w:r w:rsidR="00EE4FC3">
        <w:t xml:space="preserve"> </w:t>
      </w:r>
      <w:r w:rsidRPr="00382917">
        <w:t>announced</w:t>
      </w:r>
      <w:r w:rsidR="00EE4FC3">
        <w:t xml:space="preserve"> </w:t>
      </w:r>
      <w:r w:rsidRPr="00382917">
        <w:t>his</w:t>
      </w:r>
      <w:r w:rsidR="00EE4FC3">
        <w:t xml:space="preserve"> </w:t>
      </w:r>
      <w:r w:rsidRPr="00382917">
        <w:t>undying</w:t>
      </w:r>
      <w:r w:rsidR="00EE4FC3">
        <w:t xml:space="preserve"> </w:t>
      </w:r>
      <w:r w:rsidRPr="00382917">
        <w:t>loyalty</w:t>
      </w:r>
      <w:r w:rsidR="00EE4FC3">
        <w:t xml:space="preserve"> </w:t>
      </w:r>
      <w:r w:rsidRPr="00382917">
        <w:t>to</w:t>
      </w:r>
      <w:r w:rsidR="00EE4FC3">
        <w:t xml:space="preserve"> </w:t>
      </w:r>
      <w:r w:rsidRPr="00382917">
        <w:t>the</w:t>
      </w:r>
      <w:r w:rsidR="00EE4FC3">
        <w:t xml:space="preserve"> </w:t>
      </w:r>
      <w:r w:rsidRPr="00382917">
        <w:t>cause</w:t>
      </w:r>
      <w:r w:rsidR="00EE4FC3">
        <w:t xml:space="preserve"> </w:t>
      </w:r>
      <w:r w:rsidRPr="00382917">
        <w:t>of</w:t>
      </w:r>
      <w:r w:rsidR="00EE4FC3">
        <w:t xml:space="preserve"> </w:t>
      </w:r>
      <w:r w:rsidRPr="00382917">
        <w:t>that</w:t>
      </w:r>
      <w:r w:rsidR="00EE4FC3">
        <w:t xml:space="preserve"> </w:t>
      </w:r>
      <w:r w:rsidRPr="00382917">
        <w:t>youth.</w:t>
      </w:r>
      <w:r w:rsidR="009C713D" w:rsidRPr="00382917">
        <w:t>”</w:t>
      </w:r>
    </w:p>
    <w:p w:rsidR="00122F78" w:rsidRPr="00382917" w:rsidRDefault="00122F78" w:rsidP="00122F78">
      <w:pPr>
        <w:pStyle w:val="Text"/>
      </w:pPr>
      <w:r w:rsidRPr="00382917">
        <w:t>The</w:t>
      </w:r>
      <w:r w:rsidR="00EE4FC3">
        <w:t xml:space="preserve"> </w:t>
      </w:r>
      <w:r w:rsidRPr="00382917">
        <w:t>king</w:t>
      </w:r>
      <w:r w:rsidR="00EE4FC3">
        <w:t xml:space="preserve"> </w:t>
      </w:r>
      <w:r w:rsidRPr="00382917">
        <w:t>knew</w:t>
      </w:r>
      <w:r w:rsidR="00EE4FC3">
        <w:t xml:space="preserve"> </w:t>
      </w:r>
      <w:r w:rsidRPr="00382917">
        <w:t>they</w:t>
      </w:r>
      <w:r w:rsidR="00EE4FC3">
        <w:t xml:space="preserve"> </w:t>
      </w:r>
      <w:r w:rsidRPr="00382917">
        <w:t>were</w:t>
      </w:r>
      <w:r w:rsidR="00EE4FC3">
        <w:t xml:space="preserve"> </w:t>
      </w:r>
      <w:r w:rsidRPr="00382917">
        <w:t>jealous</w:t>
      </w:r>
      <w:r w:rsidR="00EE4FC3">
        <w:t xml:space="preserve"> </w:t>
      </w:r>
      <w:r w:rsidRPr="00382917">
        <w:t>and</w:t>
      </w:r>
      <w:r w:rsidR="00EE4FC3">
        <w:t xml:space="preserve"> </w:t>
      </w:r>
      <w:r w:rsidRPr="00382917">
        <w:t>envious</w:t>
      </w:r>
      <w:r w:rsidR="00EE4FC3">
        <w:t xml:space="preserve"> </w:t>
      </w:r>
      <w:r w:rsidRPr="00382917">
        <w:t>of</w:t>
      </w:r>
      <w:r w:rsidR="00EE4FC3">
        <w:t xml:space="preserve"> </w:t>
      </w:r>
      <w:r w:rsidRPr="00382917">
        <w:t>the</w:t>
      </w:r>
      <w:r w:rsidR="00EE4FC3">
        <w:t xml:space="preserve"> </w:t>
      </w:r>
      <w:r w:rsidRPr="00382917">
        <w:t>attention</w:t>
      </w:r>
      <w:r w:rsidR="00EE4FC3">
        <w:t xml:space="preserve"> </w:t>
      </w:r>
      <w:r w:rsidRPr="00382917">
        <w:t>he</w:t>
      </w:r>
      <w:r w:rsidR="00EE4FC3">
        <w:t xml:space="preserve"> </w:t>
      </w:r>
      <w:r w:rsidRPr="00382917">
        <w:t>had</w:t>
      </w:r>
      <w:r w:rsidR="00EE4FC3">
        <w:t xml:space="preserve"> </w:t>
      </w:r>
      <w:r w:rsidRPr="00382917">
        <w:t>bestowed</w:t>
      </w:r>
      <w:r w:rsidR="00EE4FC3">
        <w:t xml:space="preserve"> </w:t>
      </w:r>
      <w:r w:rsidRPr="00382917">
        <w:t>upon</w:t>
      </w:r>
      <w:r w:rsidR="00EE4FC3">
        <w:t xml:space="preserve"> </w:t>
      </w:r>
      <w:r w:rsidRPr="00382917">
        <w:t>the</w:t>
      </w:r>
      <w:r w:rsidR="00EE4FC3">
        <w:t xml:space="preserve"> </w:t>
      </w:r>
      <w:r w:rsidRPr="00382917">
        <w:t>old</w:t>
      </w:r>
      <w:r w:rsidR="00EE4FC3">
        <w:t xml:space="preserve"> </w:t>
      </w:r>
      <w:r w:rsidRPr="00382917">
        <w:t>man</w:t>
      </w:r>
      <w:r w:rsidR="00C03C91">
        <w:t>.</w:t>
      </w:r>
      <w:r w:rsidR="00EE4FC3">
        <w:t xml:space="preserve">  </w:t>
      </w:r>
      <w:r w:rsidRPr="00382917">
        <w:t>He</w:t>
      </w:r>
      <w:r w:rsidR="00EE4FC3">
        <w:t xml:space="preserve"> </w:t>
      </w:r>
      <w:r w:rsidRPr="00382917">
        <w:t>was</w:t>
      </w:r>
      <w:r w:rsidR="00EE4FC3">
        <w:t xml:space="preserve"> </w:t>
      </w:r>
      <w:r w:rsidRPr="00382917">
        <w:t>displeased</w:t>
      </w:r>
      <w:r w:rsidR="00EE4FC3">
        <w:t xml:space="preserve"> </w:t>
      </w:r>
      <w:r w:rsidRPr="00382917">
        <w:t>with</w:t>
      </w:r>
      <w:r w:rsidR="00EE4FC3">
        <w:t xml:space="preserve"> </w:t>
      </w:r>
      <w:r w:rsidRPr="00382917">
        <w:t>them,</w:t>
      </w:r>
      <w:r w:rsidR="00EE4FC3">
        <w:t xml:space="preserve"> </w:t>
      </w:r>
      <w:r w:rsidRPr="00382917">
        <w:t>and</w:t>
      </w:r>
      <w:r w:rsidR="00EE4FC3">
        <w:t xml:space="preserve"> </w:t>
      </w:r>
      <w:r w:rsidRPr="00382917">
        <w:t>at</w:t>
      </w:r>
      <w:r w:rsidR="00EE4FC3">
        <w:t xml:space="preserve"> </w:t>
      </w:r>
      <w:r w:rsidRPr="00382917">
        <w:t>the</w:t>
      </w:r>
      <w:r w:rsidR="00EE4FC3">
        <w:t xml:space="preserve"> </w:t>
      </w:r>
      <w:r w:rsidRPr="00382917">
        <w:t>same</w:t>
      </w:r>
      <w:r w:rsidR="00EE4FC3">
        <w:t xml:space="preserve"> </w:t>
      </w:r>
      <w:r w:rsidRPr="00382917">
        <w:t>time</w:t>
      </w:r>
      <w:r w:rsidR="00EE4FC3">
        <w:t xml:space="preserve"> </w:t>
      </w:r>
      <w:r w:rsidRPr="00382917">
        <w:t>confused</w:t>
      </w:r>
      <w:r w:rsidR="00EE4FC3">
        <w:t xml:space="preserve"> </w:t>
      </w:r>
      <w:r w:rsidRPr="00382917">
        <w:t>by</w:t>
      </w:r>
      <w:r w:rsidR="00EE4FC3">
        <w:t xml:space="preserve"> </w:t>
      </w:r>
      <w:r w:rsidRPr="00382917">
        <w:t>their</w:t>
      </w:r>
      <w:r w:rsidR="00EE4FC3">
        <w:t xml:space="preserve"> </w:t>
      </w:r>
      <w:r w:rsidRPr="00382917">
        <w:t>constant</w:t>
      </w:r>
      <w:r w:rsidR="00EE4FC3">
        <w:t xml:space="preserve"> </w:t>
      </w:r>
      <w:r w:rsidRPr="00382917">
        <w:t>backbiting.</w:t>
      </w:r>
    </w:p>
    <w:p w:rsidR="00122F78" w:rsidRPr="00382917" w:rsidRDefault="009C713D" w:rsidP="00341A07">
      <w:pPr>
        <w:pStyle w:val="Text"/>
      </w:pPr>
      <w:r w:rsidRPr="00382917">
        <w:t>“</w:t>
      </w:r>
      <w:r w:rsidR="00122F78" w:rsidRPr="00382917">
        <w:t>How</w:t>
      </w:r>
      <w:r w:rsidR="00EE4FC3">
        <w:t xml:space="preserve"> </w:t>
      </w:r>
      <w:r w:rsidR="00122F78" w:rsidRPr="00382917">
        <w:t>strange!</w:t>
      </w:r>
      <w:r w:rsidRPr="00382917">
        <w:t>”</w:t>
      </w:r>
      <w:r w:rsidR="00EE4FC3">
        <w:t xml:space="preserve"> </w:t>
      </w:r>
      <w:r w:rsidR="00122F78" w:rsidRPr="00382917">
        <w:t>he</w:t>
      </w:r>
      <w:r w:rsidR="00EE4FC3">
        <w:t xml:space="preserve"> </w:t>
      </w:r>
      <w:r w:rsidR="00122F78" w:rsidRPr="00382917">
        <w:t>exclaimed</w:t>
      </w:r>
      <w:r w:rsidR="00C03C91">
        <w:t>.</w:t>
      </w:r>
      <w:r w:rsidR="00EE4FC3">
        <w:t xml:space="preserve">  </w:t>
      </w:r>
      <w:r w:rsidRPr="00382917">
        <w:t>“</w:t>
      </w:r>
      <w:r w:rsidR="00122F78" w:rsidRPr="00382917">
        <w:t>Whoever</w:t>
      </w:r>
      <w:r w:rsidR="00EE4FC3">
        <w:t xml:space="preserve"> </w:t>
      </w:r>
      <w:r w:rsidR="00122F78" w:rsidRPr="00382917">
        <w:t>is</w:t>
      </w:r>
      <w:r w:rsidR="00EE4FC3">
        <w:t xml:space="preserve"> </w:t>
      </w:r>
      <w:r w:rsidR="00122F78" w:rsidRPr="00382917">
        <w:t>distinguished</w:t>
      </w:r>
      <w:r w:rsidR="00EE4FC3">
        <w:t xml:space="preserve"> </w:t>
      </w:r>
      <w:r w:rsidR="00122F78" w:rsidRPr="00382917">
        <w:t>by</w:t>
      </w:r>
      <w:r w:rsidR="00EE4FC3">
        <w:t xml:space="preserve"> </w:t>
      </w:r>
      <w:r w:rsidR="00122F78" w:rsidRPr="00382917">
        <w:t>learning,</w:t>
      </w:r>
      <w:r w:rsidR="00EE4FC3">
        <w:t xml:space="preserve"> </w:t>
      </w:r>
      <w:r w:rsidR="00122F78" w:rsidRPr="00382917">
        <w:t>by</w:t>
      </w:r>
      <w:r w:rsidR="00EE4FC3">
        <w:t xml:space="preserve"> </w:t>
      </w:r>
      <w:r w:rsidR="00122F78" w:rsidRPr="00382917">
        <w:t>uprightness</w:t>
      </w:r>
      <w:r w:rsidR="00EE4FC3">
        <w:t xml:space="preserve"> </w:t>
      </w:r>
      <w:r w:rsidR="00122F78" w:rsidRPr="00382917">
        <w:t>of</w:t>
      </w:r>
      <w:r w:rsidR="00EE4FC3">
        <w:t xml:space="preserve"> </w:t>
      </w:r>
      <w:r w:rsidR="00122F78" w:rsidRPr="00382917">
        <w:t>conduct,</w:t>
      </w:r>
      <w:r w:rsidR="00EE4FC3">
        <w:t xml:space="preserve"> </w:t>
      </w:r>
      <w:r w:rsidR="00122F78" w:rsidRPr="00382917">
        <w:t>and</w:t>
      </w:r>
      <w:r w:rsidR="00EE4FC3">
        <w:t xml:space="preserve"> </w:t>
      </w:r>
      <w:r w:rsidR="00122F78" w:rsidRPr="00382917">
        <w:t>by</w:t>
      </w:r>
      <w:r w:rsidR="00EE4FC3">
        <w:t xml:space="preserve"> </w:t>
      </w:r>
      <w:r w:rsidR="00122F78" w:rsidRPr="00382917">
        <w:t>courtesy</w:t>
      </w:r>
      <w:r w:rsidR="00EE4FC3">
        <w:t xml:space="preserve"> </w:t>
      </w:r>
      <w:r w:rsidR="00122F78" w:rsidRPr="00382917">
        <w:t>of</w:t>
      </w:r>
      <w:r w:rsidR="00EE4FC3">
        <w:t xml:space="preserve"> </w:t>
      </w:r>
      <w:r w:rsidR="00122F78" w:rsidRPr="00382917">
        <w:t>manners,</w:t>
      </w:r>
      <w:r w:rsidR="00EE4FC3">
        <w:t xml:space="preserve"> </w:t>
      </w:r>
      <w:r w:rsidR="00122F78" w:rsidRPr="00382917">
        <w:t>my</w:t>
      </w:r>
      <w:r w:rsidR="00EE4FC3">
        <w:t xml:space="preserve"> </w:t>
      </w:r>
      <w:r w:rsidR="00122F78" w:rsidRPr="00382917">
        <w:t>own</w:t>
      </w:r>
      <w:r w:rsidR="00EE4FC3">
        <w:t xml:space="preserve"> </w:t>
      </w:r>
      <w:r w:rsidR="00122F78" w:rsidRPr="00382917">
        <w:t>court</w:t>
      </w:r>
      <w:r w:rsidR="00EE4FC3">
        <w:t xml:space="preserve"> </w:t>
      </w:r>
      <w:r w:rsidR="00122F78" w:rsidRPr="00382917">
        <w:t>immediately</w:t>
      </w:r>
      <w:r w:rsidR="00EE4FC3">
        <w:t xml:space="preserve"> </w:t>
      </w:r>
      <w:r w:rsidR="00122F78" w:rsidRPr="00382917">
        <w:t>denounces</w:t>
      </w:r>
      <w:r w:rsidR="00EE4FC3">
        <w:t xml:space="preserve"> </w:t>
      </w:r>
      <w:r w:rsidR="00122F78" w:rsidRPr="00382917">
        <w:t>as</w:t>
      </w:r>
      <w:r w:rsidR="00EE4FC3">
        <w:t xml:space="preserve"> </w:t>
      </w:r>
      <w:r w:rsidR="00122F78" w:rsidRPr="00382917">
        <w:t>a</w:t>
      </w:r>
      <w:r w:rsidR="00EE4FC3">
        <w:t xml:space="preserve"> </w:t>
      </w:r>
      <w:r w:rsidR="00122F78" w:rsidRPr="00382917">
        <w:t>follower</w:t>
      </w:r>
      <w:r w:rsidR="00EE4FC3">
        <w:t xml:space="preserve"> </w:t>
      </w:r>
      <w:r w:rsidR="00122F78" w:rsidRPr="00382917">
        <w:t>of</w:t>
      </w:r>
      <w:r w:rsidR="00EE4FC3">
        <w:t xml:space="preserve"> </w:t>
      </w:r>
      <w:r w:rsidR="00122F78" w:rsidRPr="00382917">
        <w:t>the</w:t>
      </w:r>
      <w:r w:rsidR="00EE4FC3">
        <w:t xml:space="preserve"> </w:t>
      </w:r>
      <w:r w:rsidR="00122F78" w:rsidRPr="00382917">
        <w:t>Báb?</w:t>
      </w:r>
      <w:r w:rsidR="00EE4FC3">
        <w:t xml:space="preserve">  </w:t>
      </w:r>
      <w:r w:rsidR="00122F78" w:rsidRPr="00382917">
        <w:t>Why?</w:t>
      </w:r>
      <w:r w:rsidR="00EE4FC3">
        <w:t xml:space="preserve">  </w:t>
      </w:r>
      <w:r w:rsidR="00122F78" w:rsidRPr="00382917">
        <w:t>Why</w:t>
      </w:r>
      <w:r w:rsidR="00EE4FC3">
        <w:t xml:space="preserve"> </w:t>
      </w:r>
      <w:r w:rsidR="00122F78" w:rsidRPr="00382917">
        <w:t>is</w:t>
      </w:r>
      <w:r w:rsidR="00EE4FC3">
        <w:t xml:space="preserve"> </w:t>
      </w:r>
      <w:r w:rsidR="00122F78" w:rsidRPr="00382917">
        <w:t>this?</w:t>
      </w:r>
      <w:r w:rsidRPr="00382917">
        <w:t>”</w:t>
      </w:r>
      <w:r w:rsidR="00341A07">
        <w:rPr>
          <w:rStyle w:val="FootnoteReference"/>
        </w:rPr>
        <w:footnoteReference w:id="47"/>
      </w:r>
    </w:p>
    <w:p w:rsidR="00122F78" w:rsidRPr="00382917" w:rsidRDefault="00122F78" w:rsidP="00122F78">
      <w:pPr>
        <w:pStyle w:val="Text"/>
      </w:pPr>
      <w:r w:rsidRPr="00382917">
        <w:t>Because</w:t>
      </w:r>
      <w:r w:rsidR="00EE4FC3">
        <w:t xml:space="preserve"> </w:t>
      </w:r>
      <w:r w:rsidRPr="00382917">
        <w:t>of</w:t>
      </w:r>
      <w:r w:rsidR="00EE4FC3">
        <w:t xml:space="preserve"> </w:t>
      </w:r>
      <w:r w:rsidRPr="00382917">
        <w:t>the</w:t>
      </w:r>
      <w:r w:rsidR="00EE4FC3">
        <w:t xml:space="preserve"> </w:t>
      </w:r>
      <w:r w:rsidRPr="00382917">
        <w:t>orders</w:t>
      </w:r>
      <w:r w:rsidR="00EE4FC3">
        <w:t xml:space="preserve"> </w:t>
      </w:r>
      <w:r w:rsidRPr="00382917">
        <w:t>of</w:t>
      </w:r>
      <w:r w:rsidR="00EE4FC3">
        <w:t xml:space="preserve"> </w:t>
      </w:r>
      <w:r w:rsidRPr="00382917">
        <w:t>the</w:t>
      </w:r>
      <w:r w:rsidR="00EE4FC3">
        <w:t xml:space="preserve"> </w:t>
      </w:r>
      <w:r w:rsidRPr="00382917">
        <w:t>king,</w:t>
      </w:r>
      <w:r w:rsidR="00EE4FC3">
        <w:t xml:space="preserve"> </w:t>
      </w:r>
      <w:r w:rsidR="00964C11" w:rsidRPr="00382917">
        <w:t>Ḥusayn</w:t>
      </w:r>
      <w:r w:rsidR="00EE4FC3">
        <w:t xml:space="preserve"> </w:t>
      </w:r>
      <w:r w:rsidR="0040329F" w:rsidRPr="0040329F">
        <w:rPr>
          <w:u w:val="single"/>
        </w:rPr>
        <w:t>Kh</w:t>
      </w:r>
      <w:r w:rsidR="0040329F" w:rsidRPr="00382917">
        <w:t>án</w:t>
      </w:r>
      <w:r w:rsidR="00EE4FC3">
        <w:t xml:space="preserve"> </w:t>
      </w:r>
      <w:r w:rsidRPr="00382917">
        <w:t>was</w:t>
      </w:r>
      <w:r w:rsidR="00EE4FC3">
        <w:t xml:space="preserve"> </w:t>
      </w:r>
      <w:r w:rsidRPr="00382917">
        <w:t>no</w:t>
      </w:r>
      <w:r w:rsidR="00EE4FC3">
        <w:t xml:space="preserve"> </w:t>
      </w:r>
      <w:r w:rsidRPr="00382917">
        <w:t>longer</w:t>
      </w:r>
      <w:r w:rsidR="00EE4FC3">
        <w:t xml:space="preserve"> </w:t>
      </w:r>
      <w:r w:rsidRPr="00382917">
        <w:t>able</w:t>
      </w:r>
      <w:r w:rsidR="00EE4FC3">
        <w:t xml:space="preserve"> </w:t>
      </w:r>
      <w:r w:rsidRPr="00382917">
        <w:t>to</w:t>
      </w:r>
      <w:r w:rsidR="00EE4FC3">
        <w:t xml:space="preserve"> </w:t>
      </w:r>
      <w:r w:rsidRPr="00382917">
        <w:t>express</w:t>
      </w:r>
      <w:r w:rsidR="00EE4FC3">
        <w:t xml:space="preserve"> </w:t>
      </w:r>
      <w:r w:rsidRPr="00382917">
        <w:t>his</w:t>
      </w:r>
      <w:r w:rsidR="00EE4FC3">
        <w:t xml:space="preserve"> </w:t>
      </w:r>
      <w:r w:rsidRPr="00382917">
        <w:t>hatred</w:t>
      </w:r>
      <w:r w:rsidR="00EE4FC3">
        <w:t xml:space="preserve"> </w:t>
      </w:r>
      <w:r w:rsidRPr="00382917">
        <w:t>of</w:t>
      </w:r>
      <w:r w:rsidR="00EE4FC3">
        <w:t xml:space="preserve"> </w:t>
      </w:r>
      <w:r w:rsidRPr="00382917">
        <w:t>Vaḥíd</w:t>
      </w:r>
      <w:r w:rsidR="00EE4FC3">
        <w:t xml:space="preserve"> </w:t>
      </w:r>
      <w:r w:rsidRPr="00382917">
        <w:t>openly;</w:t>
      </w:r>
      <w:r w:rsidR="00EE4FC3">
        <w:t xml:space="preserve"> </w:t>
      </w:r>
      <w:r w:rsidRPr="00382917">
        <w:t>therefore,</w:t>
      </w:r>
      <w:r w:rsidR="00EE4FC3">
        <w:t xml:space="preserve"> </w:t>
      </w:r>
      <w:r w:rsidRPr="00382917">
        <w:t>he</w:t>
      </w:r>
      <w:r w:rsidR="00EE4FC3">
        <w:t xml:space="preserve"> </w:t>
      </w:r>
      <w:r w:rsidRPr="00382917">
        <w:t>began</w:t>
      </w:r>
      <w:r w:rsidR="00EE4FC3">
        <w:t xml:space="preserve"> </w:t>
      </w:r>
      <w:r w:rsidRPr="00382917">
        <w:t>quietly</w:t>
      </w:r>
      <w:r w:rsidR="00EE4FC3">
        <w:t xml:space="preserve"> </w:t>
      </w:r>
      <w:r w:rsidRPr="00382917">
        <w:t>to</w:t>
      </w:r>
      <w:r w:rsidR="00EE4FC3">
        <w:t xml:space="preserve"> </w:t>
      </w:r>
      <w:r w:rsidRPr="00382917">
        <w:t>undermine</w:t>
      </w:r>
      <w:r w:rsidR="00EE4FC3">
        <w:t xml:space="preserve"> </w:t>
      </w:r>
      <w:proofErr w:type="spellStart"/>
      <w:r w:rsidRPr="00382917">
        <w:t>Vaḥíd</w:t>
      </w:r>
      <w:r w:rsidR="009C713D" w:rsidRPr="00382917">
        <w:t>’</w:t>
      </w:r>
      <w:r w:rsidRPr="00382917">
        <w:t>s</w:t>
      </w:r>
      <w:proofErr w:type="spellEnd"/>
      <w:r w:rsidR="00EE4FC3">
        <w:t xml:space="preserve"> </w:t>
      </w:r>
      <w:r w:rsidRPr="00382917">
        <w:t>friendship</w:t>
      </w:r>
      <w:r w:rsidR="00EE4FC3">
        <w:t xml:space="preserve"> </w:t>
      </w:r>
      <w:r w:rsidRPr="00382917">
        <w:t>with</w:t>
      </w:r>
      <w:r w:rsidR="00EE4FC3">
        <w:t xml:space="preserve"> </w:t>
      </w:r>
      <w:r w:rsidRPr="00382917">
        <w:t>the</w:t>
      </w:r>
      <w:r w:rsidR="00EE4FC3">
        <w:t xml:space="preserve"> </w:t>
      </w:r>
      <w:r w:rsidRPr="00382917">
        <w:t>king</w:t>
      </w:r>
      <w:r w:rsidR="00C03C91">
        <w:t>.</w:t>
      </w:r>
      <w:r w:rsidR="00EE4FC3">
        <w:t xml:space="preserve">  </w:t>
      </w:r>
      <w:r w:rsidRPr="00382917">
        <w:t>In</w:t>
      </w:r>
      <w:r w:rsidR="00EE4FC3">
        <w:t xml:space="preserve"> </w:t>
      </w:r>
      <w:r w:rsidRPr="00382917">
        <w:t>the</w:t>
      </w:r>
      <w:r w:rsidR="00EE4FC3">
        <w:t xml:space="preserve"> </w:t>
      </w:r>
      <w:r w:rsidRPr="00382917">
        <w:t>days</w:t>
      </w:r>
      <w:r w:rsidR="00EE4FC3">
        <w:t xml:space="preserve"> </w:t>
      </w:r>
      <w:r w:rsidRPr="00382917">
        <w:t>to</w:t>
      </w:r>
      <w:r w:rsidR="00EE4FC3">
        <w:t xml:space="preserve"> </w:t>
      </w:r>
      <w:r w:rsidRPr="00382917">
        <w:t>come</w:t>
      </w:r>
      <w:r w:rsidR="00EE4FC3">
        <w:t xml:space="preserve"> </w:t>
      </w:r>
      <w:r w:rsidRPr="00382917">
        <w:t>this</w:t>
      </w:r>
      <w:r w:rsidR="00EE4FC3">
        <w:t xml:space="preserve"> </w:t>
      </w:r>
      <w:r w:rsidRPr="00382917">
        <w:t>treachery</w:t>
      </w:r>
      <w:r w:rsidR="00EE4FC3">
        <w:t xml:space="preserve"> </w:t>
      </w:r>
      <w:r w:rsidRPr="00382917">
        <w:t>would</w:t>
      </w:r>
      <w:r w:rsidR="00EE4FC3">
        <w:t xml:space="preserve"> </w:t>
      </w:r>
      <w:r w:rsidRPr="00382917">
        <w:t>lead</w:t>
      </w:r>
      <w:r w:rsidR="00EE4FC3">
        <w:t xml:space="preserve"> </w:t>
      </w:r>
      <w:r w:rsidRPr="00382917">
        <w:t>to</w:t>
      </w:r>
      <w:r w:rsidR="00EE4FC3">
        <w:t xml:space="preserve"> </w:t>
      </w:r>
      <w:proofErr w:type="spellStart"/>
      <w:r w:rsidRPr="00382917">
        <w:t>Vaḥíd</w:t>
      </w:r>
      <w:r w:rsidR="009C713D" w:rsidRPr="00382917">
        <w:t>’</w:t>
      </w:r>
      <w:r w:rsidRPr="00382917">
        <w:t>s</w:t>
      </w:r>
      <w:proofErr w:type="spellEnd"/>
      <w:r w:rsidR="00EE4FC3">
        <w:t xml:space="preserve"> </w:t>
      </w:r>
      <w:r w:rsidRPr="00382917">
        <w:t>martyrdom</w:t>
      </w:r>
      <w:r w:rsidR="00EE4FC3">
        <w:t xml:space="preserve"> </w:t>
      </w:r>
      <w:r w:rsidRPr="00382917">
        <w:t>in</w:t>
      </w:r>
      <w:r w:rsidR="00EE4FC3">
        <w:t xml:space="preserve"> </w:t>
      </w:r>
      <w:r w:rsidRPr="00382917">
        <w:t>his</w:t>
      </w:r>
      <w:r w:rsidR="00EE4FC3">
        <w:t xml:space="preserve"> </w:t>
      </w:r>
      <w:r w:rsidRPr="00382917">
        <w:t>native</w:t>
      </w:r>
      <w:r w:rsidR="00EE4FC3">
        <w:t xml:space="preserve"> </w:t>
      </w:r>
      <w:r w:rsidRPr="00382917">
        <w:t>town</w:t>
      </w:r>
      <w:r w:rsidR="00EE4FC3">
        <w:t xml:space="preserve"> </w:t>
      </w:r>
      <w:r w:rsidRPr="00382917">
        <w:t>of</w:t>
      </w:r>
      <w:r w:rsidR="00EE4FC3">
        <w:t xml:space="preserve"> </w:t>
      </w:r>
      <w:r w:rsidRPr="00382917">
        <w:t>Nayríz.</w:t>
      </w:r>
    </w:p>
    <w:p w:rsidR="00122F78" w:rsidRPr="00382917" w:rsidRDefault="00122F78" w:rsidP="00122F78"/>
    <w:p w:rsidR="00122F78" w:rsidRPr="00382917" w:rsidRDefault="00122F78" w:rsidP="00122F78">
      <w:pPr>
        <w:sectPr w:rsidR="00122F78" w:rsidRPr="00382917" w:rsidSect="009073C7">
          <w:footnotePr>
            <w:numRestart w:val="eachPage"/>
          </w:footnotePr>
          <w:type w:val="oddPage"/>
          <w:pgSz w:w="8618" w:h="12984" w:code="188"/>
          <w:pgMar w:top="720" w:right="720" w:bottom="720" w:left="720" w:header="720" w:footer="567" w:gutter="357"/>
          <w:cols w:space="708"/>
          <w:noEndnote/>
          <w:titlePg/>
          <w:docGrid w:linePitch="272"/>
        </w:sectPr>
      </w:pPr>
    </w:p>
    <w:p w:rsidR="00122F78" w:rsidRPr="00382917" w:rsidRDefault="00417538" w:rsidP="00417538">
      <w:r w:rsidRPr="00382917">
        <w:rPr>
          <w:sz w:val="12"/>
          <w:szCs w:val="12"/>
        </w:rPr>
        <w:fldChar w:fldCharType="begin"/>
      </w:r>
      <w:r w:rsidR="00EE4FC3">
        <w:rPr>
          <w:sz w:val="12"/>
          <w:szCs w:val="12"/>
        </w:rPr>
        <w:instrText xml:space="preserve"> </w:instrText>
      </w:r>
      <w:proofErr w:type="gramStart"/>
      <w:r w:rsidRPr="00382917">
        <w:rPr>
          <w:sz w:val="12"/>
          <w:szCs w:val="12"/>
        </w:rPr>
        <w:instrText>TC</w:instrText>
      </w:r>
      <w:r w:rsidR="00EE4FC3">
        <w:rPr>
          <w:sz w:val="12"/>
          <w:szCs w:val="12"/>
        </w:rPr>
        <w:instrText xml:space="preserve">  </w:instrText>
      </w:r>
      <w:r w:rsidRPr="00382917">
        <w:rPr>
          <w:sz w:val="12"/>
          <w:szCs w:val="12"/>
        </w:rPr>
        <w:instrText>“</w:instrText>
      </w:r>
      <w:bookmarkStart w:id="10" w:name="_Toc206658606"/>
      <w:proofErr w:type="gramEnd"/>
      <w:r>
        <w:rPr>
          <w:sz w:val="12"/>
          <w:szCs w:val="12"/>
        </w:rPr>
        <w:tab/>
        <w:instrText>8.</w:instrText>
      </w:r>
      <w:r>
        <w:rPr>
          <w:sz w:val="12"/>
          <w:szCs w:val="12"/>
        </w:rPr>
        <w:tab/>
      </w:r>
      <w:r w:rsidRPr="00417538">
        <w:rPr>
          <w:sz w:val="12"/>
          <w:szCs w:val="12"/>
        </w:rPr>
        <w:instrText>The</w:instrText>
      </w:r>
      <w:r w:rsidR="00EE4FC3">
        <w:rPr>
          <w:sz w:val="12"/>
          <w:szCs w:val="12"/>
        </w:rPr>
        <w:instrText xml:space="preserve"> </w:instrText>
      </w:r>
      <w:r w:rsidRPr="00417538">
        <w:rPr>
          <w:sz w:val="12"/>
          <w:szCs w:val="12"/>
        </w:rPr>
        <w:instrText>enchantment</w:instrText>
      </w:r>
      <w:r w:rsidR="00EE4FC3">
        <w:rPr>
          <w:sz w:val="12"/>
          <w:szCs w:val="12"/>
        </w:rPr>
        <w:instrText xml:space="preserve"> </w:instrText>
      </w:r>
      <w:r w:rsidRPr="00417538">
        <w:rPr>
          <w:sz w:val="12"/>
          <w:szCs w:val="12"/>
        </w:rPr>
        <w:instrText>of</w:instrText>
      </w:r>
      <w:r w:rsidR="00EE4FC3">
        <w:rPr>
          <w:sz w:val="12"/>
          <w:szCs w:val="12"/>
        </w:rPr>
        <w:instrText xml:space="preserve"> </w:instrText>
      </w:r>
      <w:r w:rsidRPr="00417538">
        <w:rPr>
          <w:sz w:val="12"/>
          <w:szCs w:val="12"/>
        </w:rPr>
        <w:instrText>the</w:instrText>
      </w:r>
      <w:r w:rsidR="00EE4FC3">
        <w:rPr>
          <w:sz w:val="12"/>
          <w:szCs w:val="12"/>
        </w:rPr>
        <w:instrText xml:space="preserve"> </w:instrText>
      </w:r>
      <w:r w:rsidRPr="00417538">
        <w:rPr>
          <w:sz w:val="12"/>
          <w:szCs w:val="12"/>
        </w:rPr>
        <w:instrText>King’s</w:instrText>
      </w:r>
      <w:r w:rsidR="00EE4FC3">
        <w:rPr>
          <w:sz w:val="12"/>
          <w:szCs w:val="12"/>
        </w:rPr>
        <w:instrText xml:space="preserve"> </w:instrText>
      </w:r>
      <w:r w:rsidRPr="00417538">
        <w:rPr>
          <w:sz w:val="12"/>
          <w:szCs w:val="12"/>
        </w:rPr>
        <w:instrText>messenger</w:instrText>
      </w:r>
      <w:proofErr w:type="gramStart"/>
      <w:r w:rsidRPr="00382917">
        <w:rPr>
          <w:color w:val="FFFFFF" w:themeColor="background1"/>
          <w:sz w:val="12"/>
          <w:szCs w:val="12"/>
        </w:rPr>
        <w:instrText>..</w:instrText>
      </w:r>
      <w:proofErr w:type="gramEnd"/>
      <w:r w:rsidRPr="00382917">
        <w:rPr>
          <w:sz w:val="12"/>
          <w:szCs w:val="12"/>
        </w:rPr>
        <w:tab/>
      </w:r>
      <w:r w:rsidRPr="00382917">
        <w:rPr>
          <w:color w:val="FFFFFF" w:themeColor="background1"/>
          <w:sz w:val="12"/>
          <w:szCs w:val="12"/>
        </w:rPr>
        <w:instrText>.</w:instrText>
      </w:r>
      <w:bookmarkEnd w:id="10"/>
      <w:proofErr w:type="gramStart"/>
      <w:r w:rsidRPr="00382917">
        <w:rPr>
          <w:sz w:val="12"/>
          <w:szCs w:val="12"/>
        </w:rPr>
        <w:instrText>”</w:instrText>
      </w:r>
      <w:r w:rsidR="00EE4FC3">
        <w:rPr>
          <w:sz w:val="12"/>
          <w:szCs w:val="12"/>
        </w:rPr>
        <w:instrText xml:space="preserve"> </w:instrText>
      </w:r>
      <w:proofErr w:type="gramEnd"/>
      <w:r w:rsidRPr="00382917">
        <w:rPr>
          <w:sz w:val="12"/>
          <w:szCs w:val="12"/>
        </w:rPr>
        <w:instrText>\l</w:instrText>
      </w:r>
      <w:r w:rsidR="00EE4FC3">
        <w:rPr>
          <w:sz w:val="12"/>
          <w:szCs w:val="12"/>
        </w:rPr>
        <w:instrText xml:space="preserve"> </w:instrText>
      </w:r>
      <w:r w:rsidRPr="00382917">
        <w:rPr>
          <w:sz w:val="12"/>
          <w:szCs w:val="12"/>
        </w:rPr>
        <w:instrText>1</w:instrText>
      </w:r>
      <w:r w:rsidR="00EE4FC3">
        <w:rPr>
          <w:sz w:val="12"/>
          <w:szCs w:val="12"/>
        </w:rPr>
        <w:instrText xml:space="preserve"> </w:instrText>
      </w:r>
      <w:r w:rsidRPr="00382917">
        <w:rPr>
          <w:sz w:val="12"/>
          <w:szCs w:val="12"/>
        </w:rPr>
        <w:fldChar w:fldCharType="end"/>
      </w:r>
    </w:p>
    <w:p w:rsidR="00122F78" w:rsidRPr="00382917" w:rsidRDefault="00122F78" w:rsidP="00122F78"/>
    <w:p w:rsidR="00122F78" w:rsidRPr="00382917" w:rsidRDefault="00122F78" w:rsidP="00417538">
      <w:pPr>
        <w:pStyle w:val="Myheadc"/>
      </w:pPr>
      <w:r w:rsidRPr="00382917">
        <w:t>8</w:t>
      </w:r>
      <w:r w:rsidR="00417538">
        <w:br/>
      </w:r>
      <w:r w:rsidRPr="00382917">
        <w:rPr>
          <w:noProof/>
          <w:lang w:val="en-AU" w:eastAsia="en-AU"/>
          <w14:numForm w14:val="default"/>
          <w14:numSpacing w14:val="default"/>
        </w:rPr>
        <w:drawing>
          <wp:inline distT="0" distB="0" distL="0" distR="0" wp14:anchorId="19F92C6E" wp14:editId="072A2DB0">
            <wp:extent cx="396000" cy="392400"/>
            <wp:effectExtent l="0" t="0" r="4445"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p.emf"/>
                    <pic:cNvPicPr/>
                  </pic:nvPicPr>
                  <pic:blipFill>
                    <a:blip r:embed="rId17">
                      <a:extLst>
                        <a:ext uri="{28A0092B-C50C-407E-A947-70E740481C1C}">
                          <a14:useLocalDpi xmlns:a14="http://schemas.microsoft.com/office/drawing/2010/main" val="0"/>
                        </a:ext>
                      </a:extLst>
                    </a:blip>
                    <a:stretch>
                      <a:fillRect/>
                    </a:stretch>
                  </pic:blipFill>
                  <pic:spPr>
                    <a:xfrm>
                      <a:off x="0" y="0"/>
                      <a:ext cx="396000" cy="392400"/>
                    </a:xfrm>
                    <a:prstGeom prst="rect">
                      <a:avLst/>
                    </a:prstGeom>
                  </pic:spPr>
                </pic:pic>
              </a:graphicData>
            </a:graphic>
          </wp:inline>
        </w:drawing>
      </w:r>
      <w:r w:rsidR="00417538">
        <w:br/>
      </w:r>
      <w:r w:rsidRPr="00382917">
        <w:t>The</w:t>
      </w:r>
      <w:r w:rsidR="00EE4FC3">
        <w:t xml:space="preserve"> </w:t>
      </w:r>
      <w:r w:rsidRPr="00382917">
        <w:t>avenging</w:t>
      </w:r>
      <w:r w:rsidR="00EE4FC3">
        <w:t xml:space="preserve"> </w:t>
      </w:r>
      <w:r w:rsidRPr="00382917">
        <w:t>hand</w:t>
      </w:r>
      <w:r w:rsidR="00EE4FC3">
        <w:t xml:space="preserve"> </w:t>
      </w:r>
      <w:r w:rsidRPr="00382917">
        <w:t>of</w:t>
      </w:r>
      <w:r w:rsidR="00EE4FC3">
        <w:t xml:space="preserve"> </w:t>
      </w:r>
      <w:r w:rsidRPr="00382917">
        <w:t>God</w:t>
      </w:r>
    </w:p>
    <w:p w:rsidR="00122F78" w:rsidRPr="00382917" w:rsidRDefault="00122F78" w:rsidP="00122F78">
      <w:pPr>
        <w:pStyle w:val="Text"/>
      </w:pPr>
      <w:r w:rsidRPr="00382917">
        <w:t>The</w:t>
      </w:r>
      <w:r w:rsidR="00EE4FC3">
        <w:t xml:space="preserve"> </w:t>
      </w:r>
      <w:r w:rsidRPr="00382917">
        <w:t>few</w:t>
      </w:r>
      <w:r w:rsidR="00EE4FC3">
        <w:t xml:space="preserve"> </w:t>
      </w:r>
      <w:r w:rsidRPr="00382917">
        <w:t>months</w:t>
      </w:r>
      <w:r w:rsidR="00EE4FC3">
        <w:t xml:space="preserve"> </w:t>
      </w:r>
      <w:r w:rsidRPr="00382917">
        <w:t>which</w:t>
      </w:r>
      <w:r w:rsidR="00EE4FC3">
        <w:t xml:space="preserve"> </w:t>
      </w:r>
      <w:r w:rsidRPr="00382917">
        <w:t>the</w:t>
      </w:r>
      <w:r w:rsidR="00EE4FC3">
        <w:t xml:space="preserve"> </w:t>
      </w:r>
      <w:r w:rsidRPr="00382917">
        <w:t>Báb</w:t>
      </w:r>
      <w:r w:rsidR="00EE4FC3">
        <w:t xml:space="preserve"> </w:t>
      </w:r>
      <w:r w:rsidRPr="00382917">
        <w:t>spent</w:t>
      </w:r>
      <w:r w:rsidR="00EE4FC3">
        <w:t xml:space="preserve"> </w:t>
      </w:r>
      <w:r w:rsidRPr="00382917">
        <w:t>as</w:t>
      </w:r>
      <w:r w:rsidR="00EE4FC3">
        <w:t xml:space="preserve"> </w:t>
      </w:r>
      <w:r w:rsidRPr="00382917">
        <w:t>a</w:t>
      </w:r>
      <w:r w:rsidR="00EE4FC3">
        <w:t xml:space="preserve"> </w:t>
      </w:r>
      <w:r w:rsidRPr="00382917">
        <w:t>prisoner</w:t>
      </w:r>
      <w:r w:rsidR="00EE4FC3">
        <w:t xml:space="preserve"> </w:t>
      </w:r>
      <w:r w:rsidRPr="00382917">
        <w:t>in</w:t>
      </w:r>
      <w:r w:rsidR="00EE4FC3">
        <w:t xml:space="preserve"> </w:t>
      </w:r>
      <w:r w:rsidRPr="00382917">
        <w:t>the</w:t>
      </w:r>
      <w:r w:rsidR="00EE4FC3">
        <w:t xml:space="preserve"> </w:t>
      </w:r>
      <w:r w:rsidRPr="00382917">
        <w:t>house</w:t>
      </w:r>
      <w:r w:rsidR="00EE4FC3">
        <w:t xml:space="preserve"> </w:t>
      </w:r>
      <w:r w:rsidRPr="00382917">
        <w:t>of</w:t>
      </w:r>
      <w:r w:rsidR="00EE4FC3">
        <w:t xml:space="preserve"> </w:t>
      </w:r>
      <w:r w:rsidRPr="00382917">
        <w:t>His</w:t>
      </w:r>
      <w:r w:rsidR="00EE4FC3">
        <w:t xml:space="preserve"> </w:t>
      </w:r>
      <w:r w:rsidRPr="00382917">
        <w:t>uncle,</w:t>
      </w:r>
      <w:r w:rsidR="00EE4FC3">
        <w:t xml:space="preserve"> </w:t>
      </w:r>
      <w:r w:rsidRPr="00382917">
        <w:t>Ḥájí</w:t>
      </w:r>
      <w:r w:rsidR="00EE4FC3">
        <w:t xml:space="preserve"> </w:t>
      </w:r>
      <w:r w:rsidRPr="00382917">
        <w:t>Mírzá</w:t>
      </w:r>
      <w:r w:rsidR="00EE4FC3">
        <w:t xml:space="preserve"> </w:t>
      </w:r>
      <w:r w:rsidRPr="00382917">
        <w:t>Siyyid</w:t>
      </w:r>
      <w:r w:rsidR="00EE4FC3">
        <w:t xml:space="preserve"> </w:t>
      </w:r>
      <w:r w:rsidR="009C713D" w:rsidRPr="00382917">
        <w:t>‘</w:t>
      </w:r>
      <w:r w:rsidRPr="00382917">
        <w:t>Alí,</w:t>
      </w:r>
      <w:r w:rsidR="00EE4FC3">
        <w:t xml:space="preserve"> </w:t>
      </w:r>
      <w:r w:rsidRPr="00382917">
        <w:t>were</w:t>
      </w:r>
      <w:r w:rsidR="00EE4FC3">
        <w:t xml:space="preserve"> </w:t>
      </w:r>
      <w:r w:rsidRPr="00382917">
        <w:t>to</w:t>
      </w:r>
      <w:r w:rsidR="00EE4FC3">
        <w:t xml:space="preserve"> </w:t>
      </w:r>
      <w:r w:rsidRPr="00382917">
        <w:t>be</w:t>
      </w:r>
      <w:r w:rsidR="00EE4FC3">
        <w:t xml:space="preserve"> </w:t>
      </w:r>
      <w:r w:rsidRPr="00382917">
        <w:t>His</w:t>
      </w:r>
      <w:r w:rsidR="00EE4FC3">
        <w:t xml:space="preserve"> </w:t>
      </w:r>
      <w:r w:rsidRPr="00382917">
        <w:t>last</w:t>
      </w:r>
      <w:r w:rsidR="00EE4FC3">
        <w:t xml:space="preserve"> </w:t>
      </w:r>
      <w:r w:rsidRPr="00382917">
        <w:t>days</w:t>
      </w:r>
      <w:r w:rsidR="00EE4FC3">
        <w:t xml:space="preserve"> </w:t>
      </w:r>
      <w:r w:rsidRPr="00382917">
        <w:t>of</w:t>
      </w:r>
      <w:r w:rsidR="00EE4FC3">
        <w:t xml:space="preserve"> </w:t>
      </w:r>
      <w:r w:rsidRPr="00382917">
        <w:t>friendship</w:t>
      </w:r>
      <w:r w:rsidR="00EE4FC3">
        <w:t xml:space="preserve"> </w:t>
      </w:r>
      <w:r w:rsidRPr="00382917">
        <w:t>and</w:t>
      </w:r>
      <w:r w:rsidR="00EE4FC3">
        <w:t xml:space="preserve"> </w:t>
      </w:r>
      <w:proofErr w:type="spellStart"/>
      <w:r w:rsidRPr="00382917">
        <w:t>tranquility</w:t>
      </w:r>
      <w:proofErr w:type="spellEnd"/>
      <w:r w:rsidR="00C03C91">
        <w:t>.</w:t>
      </w:r>
      <w:r w:rsidR="00EE4FC3">
        <w:t xml:space="preserve">  </w:t>
      </w:r>
      <w:r w:rsidRPr="00382917">
        <w:t>They</w:t>
      </w:r>
      <w:r w:rsidR="00EE4FC3">
        <w:t xml:space="preserve"> </w:t>
      </w:r>
      <w:r w:rsidRPr="00382917">
        <w:t>were</w:t>
      </w:r>
      <w:r w:rsidR="00EE4FC3">
        <w:t xml:space="preserve"> </w:t>
      </w:r>
      <w:r w:rsidRPr="00382917">
        <w:t>now</w:t>
      </w:r>
      <w:r w:rsidR="00EE4FC3">
        <w:t xml:space="preserve"> </w:t>
      </w:r>
      <w:r w:rsidRPr="00382917">
        <w:t>drawing</w:t>
      </w:r>
      <w:r w:rsidR="00EE4FC3">
        <w:t xml:space="preserve"> </w:t>
      </w:r>
      <w:r w:rsidRPr="00382917">
        <w:t>rapidly</w:t>
      </w:r>
      <w:r w:rsidR="00EE4FC3">
        <w:t xml:space="preserve"> </w:t>
      </w:r>
      <w:r w:rsidRPr="00382917">
        <w:t>to</w:t>
      </w:r>
      <w:r w:rsidR="00EE4FC3">
        <w:t xml:space="preserve"> </w:t>
      </w:r>
      <w:r w:rsidRPr="00382917">
        <w:t>a</w:t>
      </w:r>
      <w:r w:rsidR="00EE4FC3">
        <w:t xml:space="preserve"> </w:t>
      </w:r>
      <w:r w:rsidRPr="00382917">
        <w:t>close.</w:t>
      </w:r>
    </w:p>
    <w:p w:rsidR="00122F78" w:rsidRPr="00382917" w:rsidRDefault="00122F78" w:rsidP="00122F78">
      <w:pPr>
        <w:pStyle w:val="Text"/>
      </w:pPr>
      <w:r w:rsidRPr="00382917">
        <w:t>What</w:t>
      </w:r>
      <w:r w:rsidR="00EE4FC3">
        <w:t xml:space="preserve"> </w:t>
      </w:r>
      <w:r w:rsidRPr="00382917">
        <w:t>memories</w:t>
      </w:r>
      <w:r w:rsidR="00EE4FC3">
        <w:t xml:space="preserve"> </w:t>
      </w:r>
      <w:r w:rsidRPr="00382917">
        <w:t>must</w:t>
      </w:r>
      <w:r w:rsidR="00EE4FC3">
        <w:t xml:space="preserve"> </w:t>
      </w:r>
      <w:r w:rsidRPr="00382917">
        <w:t>have</w:t>
      </w:r>
      <w:r w:rsidR="00EE4FC3">
        <w:t xml:space="preserve"> </w:t>
      </w:r>
      <w:r w:rsidRPr="00382917">
        <w:t>stirred</w:t>
      </w:r>
      <w:r w:rsidR="00EE4FC3">
        <w:t xml:space="preserve"> </w:t>
      </w:r>
      <w:r w:rsidRPr="00382917">
        <w:t>in</w:t>
      </w:r>
      <w:r w:rsidR="00EE4FC3">
        <w:t xml:space="preserve"> </w:t>
      </w:r>
      <w:r w:rsidRPr="00382917">
        <w:t>His</w:t>
      </w:r>
      <w:r w:rsidR="00EE4FC3">
        <w:t xml:space="preserve"> </w:t>
      </w:r>
      <w:r w:rsidRPr="00382917">
        <w:t>mind</w:t>
      </w:r>
      <w:r w:rsidR="00EE4FC3">
        <w:t xml:space="preserve"> </w:t>
      </w:r>
      <w:r w:rsidRPr="00382917">
        <w:t>as</w:t>
      </w:r>
      <w:r w:rsidR="00EE4FC3">
        <w:t xml:space="preserve"> </w:t>
      </w:r>
      <w:r w:rsidRPr="00382917">
        <w:t>He</w:t>
      </w:r>
      <w:r w:rsidR="00EE4FC3">
        <w:t xml:space="preserve"> </w:t>
      </w:r>
      <w:r w:rsidRPr="00382917">
        <w:t>shared</w:t>
      </w:r>
      <w:r w:rsidR="00EE4FC3">
        <w:t xml:space="preserve"> </w:t>
      </w:r>
      <w:r w:rsidRPr="00382917">
        <w:t>those</w:t>
      </w:r>
      <w:r w:rsidR="00EE4FC3">
        <w:t xml:space="preserve"> </w:t>
      </w:r>
      <w:r w:rsidRPr="00382917">
        <w:t>last</w:t>
      </w:r>
      <w:r w:rsidR="00EE4FC3">
        <w:t xml:space="preserve"> </w:t>
      </w:r>
      <w:r w:rsidRPr="00382917">
        <w:t>free</w:t>
      </w:r>
      <w:r w:rsidR="00EE4FC3">
        <w:t xml:space="preserve"> </w:t>
      </w:r>
      <w:r w:rsidRPr="00382917">
        <w:t>hours</w:t>
      </w:r>
      <w:r w:rsidR="00EE4FC3">
        <w:t xml:space="preserve"> </w:t>
      </w:r>
      <w:r w:rsidRPr="00382917">
        <w:t>with</w:t>
      </w:r>
      <w:r w:rsidR="00EE4FC3">
        <w:t xml:space="preserve"> </w:t>
      </w:r>
      <w:r w:rsidRPr="00382917">
        <w:t>His</w:t>
      </w:r>
      <w:r w:rsidR="00EE4FC3">
        <w:t xml:space="preserve"> </w:t>
      </w:r>
      <w:r w:rsidRPr="00382917">
        <w:t>family</w:t>
      </w:r>
      <w:r w:rsidR="00EE4FC3">
        <w:t xml:space="preserve"> </w:t>
      </w:r>
      <w:r w:rsidRPr="00382917">
        <w:t>and</w:t>
      </w:r>
      <w:r w:rsidR="00EE4FC3">
        <w:t xml:space="preserve"> </w:t>
      </w:r>
      <w:proofErr w:type="gramStart"/>
      <w:r w:rsidRPr="00382917">
        <w:t>friends</w:t>
      </w:r>
      <w:r w:rsidR="00C03C91">
        <w:t>.</w:t>
      </w:r>
      <w:proofErr w:type="gramEnd"/>
      <w:r w:rsidR="00EE4FC3">
        <w:t xml:space="preserve">  </w:t>
      </w:r>
      <w:r w:rsidRPr="00382917">
        <w:t>This</w:t>
      </w:r>
      <w:r w:rsidR="00EE4FC3">
        <w:t xml:space="preserve"> </w:t>
      </w:r>
      <w:r w:rsidRPr="00382917">
        <w:t>uncle</w:t>
      </w:r>
      <w:r w:rsidR="00EE4FC3">
        <w:t xml:space="preserve"> </w:t>
      </w:r>
      <w:r w:rsidRPr="00382917">
        <w:t>had</w:t>
      </w:r>
      <w:r w:rsidR="00EE4FC3">
        <w:t xml:space="preserve"> </w:t>
      </w:r>
      <w:r w:rsidRPr="00382917">
        <w:t>shown</w:t>
      </w:r>
      <w:r w:rsidR="00EE4FC3">
        <w:t xml:space="preserve"> </w:t>
      </w:r>
      <w:r w:rsidRPr="00382917">
        <w:t>great</w:t>
      </w:r>
      <w:r w:rsidR="00EE4FC3">
        <w:t xml:space="preserve"> </w:t>
      </w:r>
      <w:r w:rsidRPr="00382917">
        <w:t>love</w:t>
      </w:r>
      <w:r w:rsidR="00EE4FC3">
        <w:t xml:space="preserve"> </w:t>
      </w:r>
      <w:r w:rsidRPr="00382917">
        <w:t>for</w:t>
      </w:r>
      <w:r w:rsidR="00EE4FC3">
        <w:t xml:space="preserve"> </w:t>
      </w:r>
      <w:r w:rsidRPr="00382917">
        <w:t>the</w:t>
      </w:r>
      <w:r w:rsidR="00EE4FC3">
        <w:t xml:space="preserve"> </w:t>
      </w:r>
      <w:r w:rsidRPr="00382917">
        <w:t>Báb</w:t>
      </w:r>
      <w:r w:rsidR="00EE4FC3">
        <w:t xml:space="preserve"> </w:t>
      </w:r>
      <w:r w:rsidRPr="00382917">
        <w:t>throughout</w:t>
      </w:r>
      <w:r w:rsidR="00EE4FC3">
        <w:t xml:space="preserve"> </w:t>
      </w:r>
      <w:r w:rsidRPr="00382917">
        <w:t>His</w:t>
      </w:r>
      <w:r w:rsidR="00EE4FC3">
        <w:t xml:space="preserve"> </w:t>
      </w:r>
      <w:r w:rsidRPr="00382917">
        <w:t>entire</w:t>
      </w:r>
      <w:r w:rsidR="00EE4FC3">
        <w:t xml:space="preserve"> </w:t>
      </w:r>
      <w:r w:rsidRPr="00382917">
        <w:t>life</w:t>
      </w:r>
      <w:r w:rsidR="00C03C91">
        <w:t>.</w:t>
      </w:r>
      <w:r w:rsidR="00EE4FC3">
        <w:t xml:space="preserve">  </w:t>
      </w:r>
      <w:r w:rsidRPr="00382917">
        <w:t>In</w:t>
      </w:r>
      <w:r w:rsidR="00EE4FC3">
        <w:t xml:space="preserve"> </w:t>
      </w:r>
      <w:r w:rsidRPr="00382917">
        <w:t>His</w:t>
      </w:r>
      <w:r w:rsidR="00EE4FC3">
        <w:t xml:space="preserve"> </w:t>
      </w:r>
      <w:r w:rsidRPr="00382917">
        <w:t>early</w:t>
      </w:r>
      <w:r w:rsidR="00EE4FC3">
        <w:t xml:space="preserve"> </w:t>
      </w:r>
      <w:r w:rsidRPr="00382917">
        <w:t>childhood,</w:t>
      </w:r>
      <w:r w:rsidR="00EE4FC3">
        <w:t xml:space="preserve"> </w:t>
      </w:r>
      <w:r w:rsidRPr="00382917">
        <w:t>the</w:t>
      </w:r>
      <w:r w:rsidR="00EE4FC3">
        <w:t xml:space="preserve"> </w:t>
      </w:r>
      <w:r w:rsidRPr="00382917">
        <w:t>Báb</w:t>
      </w:r>
      <w:r w:rsidR="00EE4FC3">
        <w:t xml:space="preserve"> </w:t>
      </w:r>
      <w:r w:rsidRPr="00382917">
        <w:t>lost</w:t>
      </w:r>
      <w:r w:rsidR="00EE4FC3">
        <w:t xml:space="preserve"> </w:t>
      </w:r>
      <w:r w:rsidRPr="00382917">
        <w:t>His</w:t>
      </w:r>
      <w:r w:rsidR="00EE4FC3">
        <w:t xml:space="preserve"> </w:t>
      </w:r>
      <w:r w:rsidRPr="00382917">
        <w:t>father,</w:t>
      </w:r>
      <w:r w:rsidR="00EE4FC3">
        <w:t xml:space="preserve"> </w:t>
      </w:r>
      <w:r w:rsidRPr="00382917">
        <w:t>and</w:t>
      </w:r>
      <w:r w:rsidR="00EE4FC3">
        <w:t xml:space="preserve"> </w:t>
      </w:r>
      <w:r w:rsidRPr="00382917">
        <w:t>was</w:t>
      </w:r>
      <w:r w:rsidR="00EE4FC3">
        <w:t xml:space="preserve"> </w:t>
      </w:r>
      <w:r w:rsidRPr="00382917">
        <w:t>brought</w:t>
      </w:r>
      <w:r w:rsidR="00EE4FC3">
        <w:t xml:space="preserve"> </w:t>
      </w:r>
      <w:r w:rsidRPr="00382917">
        <w:t>up</w:t>
      </w:r>
      <w:r w:rsidR="00EE4FC3">
        <w:t xml:space="preserve"> </w:t>
      </w:r>
      <w:r w:rsidRPr="00382917">
        <w:t>by</w:t>
      </w:r>
      <w:r w:rsidR="00EE4FC3">
        <w:t xml:space="preserve"> </w:t>
      </w:r>
      <w:r w:rsidRPr="00382917">
        <w:t>this</w:t>
      </w:r>
      <w:r w:rsidR="00EE4FC3">
        <w:t xml:space="preserve"> </w:t>
      </w:r>
      <w:r w:rsidRPr="00382917">
        <w:t>same</w:t>
      </w:r>
      <w:r w:rsidR="00EE4FC3">
        <w:t xml:space="preserve"> </w:t>
      </w:r>
      <w:r w:rsidRPr="00382917">
        <w:t>uncle</w:t>
      </w:r>
      <w:r w:rsidR="00C03C91">
        <w:t>.</w:t>
      </w:r>
      <w:r w:rsidR="00EE4FC3">
        <w:t xml:space="preserve">  </w:t>
      </w:r>
      <w:r w:rsidRPr="00382917">
        <w:t>Anxious</w:t>
      </w:r>
      <w:r w:rsidR="00EE4FC3">
        <w:t xml:space="preserve"> </w:t>
      </w:r>
      <w:r w:rsidRPr="00382917">
        <w:t>to</w:t>
      </w:r>
      <w:r w:rsidR="00EE4FC3">
        <w:t xml:space="preserve"> </w:t>
      </w:r>
      <w:r w:rsidRPr="00382917">
        <w:t>give</w:t>
      </w:r>
      <w:r w:rsidR="00EE4FC3">
        <w:t xml:space="preserve"> </w:t>
      </w:r>
      <w:r w:rsidRPr="00382917">
        <w:t>Him</w:t>
      </w:r>
      <w:r w:rsidR="00EE4FC3">
        <w:t xml:space="preserve"> </w:t>
      </w:r>
      <w:r w:rsidRPr="00382917">
        <w:t>every</w:t>
      </w:r>
      <w:r w:rsidR="00EE4FC3">
        <w:t xml:space="preserve"> </w:t>
      </w:r>
      <w:r w:rsidRPr="00382917">
        <w:t>advantage,</w:t>
      </w:r>
      <w:r w:rsidR="00EE4FC3">
        <w:t xml:space="preserve"> </w:t>
      </w:r>
      <w:r w:rsidRPr="00382917">
        <w:t>Ḥájí</w:t>
      </w:r>
      <w:r w:rsidR="00EE4FC3">
        <w:t xml:space="preserve"> </w:t>
      </w:r>
      <w:r w:rsidRPr="00382917">
        <w:t>Mírzá</w:t>
      </w:r>
      <w:r w:rsidR="00EE4FC3">
        <w:t xml:space="preserve"> </w:t>
      </w:r>
      <w:r w:rsidRPr="00382917">
        <w:t>Siyyid</w:t>
      </w:r>
      <w:r w:rsidR="00EE4FC3">
        <w:t xml:space="preserve"> </w:t>
      </w:r>
      <w:r w:rsidR="009C713D" w:rsidRPr="00382917">
        <w:t>‘</w:t>
      </w:r>
      <w:r w:rsidRPr="00382917">
        <w:t>Alí</w:t>
      </w:r>
      <w:r w:rsidR="00EE4FC3">
        <w:t xml:space="preserve"> </w:t>
      </w:r>
      <w:r w:rsidRPr="00382917">
        <w:t>had</w:t>
      </w:r>
      <w:r w:rsidR="00EE4FC3">
        <w:t xml:space="preserve"> </w:t>
      </w:r>
      <w:r w:rsidRPr="00382917">
        <w:t>placed</w:t>
      </w:r>
      <w:r w:rsidR="00EE4FC3">
        <w:t xml:space="preserve"> </w:t>
      </w:r>
      <w:r w:rsidRPr="00382917">
        <w:t>the</w:t>
      </w:r>
      <w:r w:rsidR="00EE4FC3">
        <w:t xml:space="preserve"> </w:t>
      </w:r>
      <w:r w:rsidRPr="00382917">
        <w:t>Báb</w:t>
      </w:r>
      <w:r w:rsidR="00EE4FC3">
        <w:t xml:space="preserve"> </w:t>
      </w:r>
      <w:r w:rsidRPr="00382917">
        <w:t>under</w:t>
      </w:r>
      <w:r w:rsidR="00EE4FC3">
        <w:t xml:space="preserve"> </w:t>
      </w:r>
      <w:r w:rsidRPr="00382917">
        <w:t>the</w:t>
      </w:r>
      <w:r w:rsidR="00EE4FC3">
        <w:t xml:space="preserve"> </w:t>
      </w:r>
      <w:r w:rsidRPr="00382917">
        <w:t>care</w:t>
      </w:r>
      <w:r w:rsidR="00EE4FC3">
        <w:t xml:space="preserve"> </w:t>
      </w:r>
      <w:r w:rsidRPr="00382917">
        <w:t>of</w:t>
      </w:r>
      <w:r w:rsidR="00EE4FC3">
        <w:t xml:space="preserve"> </w:t>
      </w:r>
      <w:r w:rsidRPr="00382917">
        <w:t>a</w:t>
      </w:r>
      <w:r w:rsidR="00EE4FC3">
        <w:t xml:space="preserve"> </w:t>
      </w:r>
      <w:r w:rsidRPr="00382917">
        <w:t>tutor</w:t>
      </w:r>
      <w:r w:rsidR="00EE4FC3">
        <w:t xml:space="preserve"> </w:t>
      </w:r>
      <w:r w:rsidRPr="00382917">
        <w:t>while</w:t>
      </w:r>
      <w:r w:rsidR="00EE4FC3">
        <w:t xml:space="preserve"> </w:t>
      </w:r>
      <w:r w:rsidRPr="00382917">
        <w:t>He</w:t>
      </w:r>
      <w:r w:rsidR="00EE4FC3">
        <w:t xml:space="preserve"> </w:t>
      </w:r>
      <w:r w:rsidRPr="00382917">
        <w:t>was</w:t>
      </w:r>
      <w:r w:rsidR="00EE4FC3">
        <w:t xml:space="preserve"> </w:t>
      </w:r>
      <w:r w:rsidRPr="00382917">
        <w:t>still</w:t>
      </w:r>
      <w:r w:rsidR="00EE4FC3">
        <w:t xml:space="preserve"> </w:t>
      </w:r>
      <w:r w:rsidRPr="00382917">
        <w:t>a</w:t>
      </w:r>
      <w:r w:rsidR="00EE4FC3">
        <w:t xml:space="preserve"> </w:t>
      </w:r>
      <w:r w:rsidRPr="00382917">
        <w:t>child.</w:t>
      </w:r>
    </w:p>
    <w:p w:rsidR="00122F78" w:rsidRPr="00382917" w:rsidRDefault="00122F78" w:rsidP="00122F78">
      <w:pPr>
        <w:pStyle w:val="Text"/>
      </w:pPr>
      <w:r w:rsidRPr="00382917">
        <w:t>Those</w:t>
      </w:r>
      <w:r w:rsidR="00EE4FC3">
        <w:t xml:space="preserve"> </w:t>
      </w:r>
      <w:r w:rsidRPr="00382917">
        <w:t>days</w:t>
      </w:r>
      <w:r w:rsidR="00EE4FC3">
        <w:t xml:space="preserve"> </w:t>
      </w:r>
      <w:r w:rsidRPr="00382917">
        <w:t>have</w:t>
      </w:r>
      <w:r w:rsidR="00EE4FC3">
        <w:t xml:space="preserve"> </w:t>
      </w:r>
      <w:r w:rsidRPr="00382917">
        <w:t>been</w:t>
      </w:r>
      <w:r w:rsidR="00EE4FC3">
        <w:t xml:space="preserve"> </w:t>
      </w:r>
      <w:r w:rsidRPr="00382917">
        <w:t>preserved</w:t>
      </w:r>
      <w:r w:rsidR="00EE4FC3">
        <w:t xml:space="preserve"> </w:t>
      </w:r>
      <w:r w:rsidRPr="00382917">
        <w:t>for</w:t>
      </w:r>
      <w:r w:rsidR="00EE4FC3">
        <w:t xml:space="preserve"> </w:t>
      </w:r>
      <w:r w:rsidRPr="00382917">
        <w:t>history</w:t>
      </w:r>
      <w:r w:rsidR="00EE4FC3">
        <w:t xml:space="preserve"> </w:t>
      </w:r>
      <w:r w:rsidRPr="00382917">
        <w:t>through</w:t>
      </w:r>
      <w:r w:rsidR="00EE4FC3">
        <w:t xml:space="preserve"> </w:t>
      </w:r>
      <w:r w:rsidRPr="00382917">
        <w:t>the</w:t>
      </w:r>
      <w:r w:rsidR="00EE4FC3">
        <w:t xml:space="preserve"> </w:t>
      </w:r>
      <w:r w:rsidRPr="00382917">
        <w:t>words</w:t>
      </w:r>
      <w:r w:rsidR="00EE4FC3">
        <w:t xml:space="preserve"> </w:t>
      </w:r>
      <w:r w:rsidRPr="00382917">
        <w:t>of</w:t>
      </w:r>
      <w:r w:rsidR="00EE4FC3">
        <w:t xml:space="preserve"> </w:t>
      </w:r>
      <w:r w:rsidRPr="00382917">
        <w:t>that</w:t>
      </w:r>
      <w:r w:rsidR="00EE4FC3">
        <w:t xml:space="preserve"> </w:t>
      </w:r>
      <w:r w:rsidRPr="00382917">
        <w:t>tutor</w:t>
      </w:r>
      <w:r w:rsidR="00C03C91">
        <w:t>:</w:t>
      </w:r>
      <w:r w:rsidR="00EE4FC3">
        <w:t xml:space="preserve">  </w:t>
      </w:r>
      <w:r w:rsidR="009C713D" w:rsidRPr="00382917">
        <w:t>“</w:t>
      </w:r>
      <w:r w:rsidRPr="00382917">
        <w:t>The</w:t>
      </w:r>
      <w:r w:rsidR="00EE4FC3">
        <w:t xml:space="preserve"> </w:t>
      </w:r>
      <w:r w:rsidRPr="00382917">
        <w:t>sweetness</w:t>
      </w:r>
      <w:r w:rsidR="00EE4FC3">
        <w:t xml:space="preserve"> </w:t>
      </w:r>
      <w:r w:rsidRPr="00382917">
        <w:t>of</w:t>
      </w:r>
      <w:r w:rsidR="00EE4FC3">
        <w:t xml:space="preserve"> </w:t>
      </w:r>
      <w:r w:rsidRPr="00382917">
        <w:t>His</w:t>
      </w:r>
      <w:r w:rsidR="00EE4FC3">
        <w:t xml:space="preserve"> </w:t>
      </w:r>
      <w:r w:rsidRPr="00382917">
        <w:t>speech</w:t>
      </w:r>
      <w:r w:rsidR="00EE4FC3">
        <w:t xml:space="preserve"> </w:t>
      </w:r>
      <w:r w:rsidRPr="00382917">
        <w:t>utterance</w:t>
      </w:r>
      <w:r w:rsidR="00EE4FC3">
        <w:t xml:space="preserve"> </w:t>
      </w:r>
      <w:r w:rsidRPr="00382917">
        <w:t>still</w:t>
      </w:r>
      <w:r w:rsidR="00EE4FC3">
        <w:t xml:space="preserve"> </w:t>
      </w:r>
      <w:r w:rsidRPr="00382917">
        <w:t>lingers</w:t>
      </w:r>
      <w:r w:rsidR="00EE4FC3">
        <w:t xml:space="preserve"> </w:t>
      </w:r>
      <w:r w:rsidRPr="00382917">
        <w:t>in</w:t>
      </w:r>
      <w:r w:rsidR="00EE4FC3">
        <w:t xml:space="preserve"> </w:t>
      </w:r>
      <w:r w:rsidRPr="00382917">
        <w:t>my</w:t>
      </w:r>
      <w:r w:rsidR="00EE4FC3">
        <w:t xml:space="preserve"> </w:t>
      </w:r>
      <w:r w:rsidRPr="00382917">
        <w:t>memory</w:t>
      </w:r>
      <w:r w:rsidR="00C03C91">
        <w:t>.</w:t>
      </w:r>
      <w:r w:rsidR="00EE4FC3">
        <w:t xml:space="preserve">  </w:t>
      </w:r>
      <w:r w:rsidRPr="00382917">
        <w:t>I</w:t>
      </w:r>
      <w:r w:rsidR="00EE4FC3">
        <w:t xml:space="preserve"> </w:t>
      </w:r>
      <w:r w:rsidRPr="00382917">
        <w:t>felt</w:t>
      </w:r>
      <w:r w:rsidR="00EE4FC3">
        <w:t xml:space="preserve"> </w:t>
      </w:r>
      <w:r w:rsidRPr="00382917">
        <w:t>impelled</w:t>
      </w:r>
      <w:r w:rsidR="00EE4FC3">
        <w:t xml:space="preserve"> </w:t>
      </w:r>
      <w:r w:rsidRPr="00382917">
        <w:t>to</w:t>
      </w:r>
      <w:r w:rsidR="00EE4FC3">
        <w:t xml:space="preserve"> </w:t>
      </w:r>
      <w:r w:rsidRPr="00382917">
        <w:t>take</w:t>
      </w:r>
      <w:r w:rsidR="00EE4FC3">
        <w:t xml:space="preserve"> </w:t>
      </w:r>
      <w:r w:rsidRPr="00382917">
        <w:t>Him</w:t>
      </w:r>
      <w:r w:rsidR="00EE4FC3">
        <w:t xml:space="preserve"> </w:t>
      </w:r>
      <w:r w:rsidRPr="00382917">
        <w:t>back</w:t>
      </w:r>
      <w:r w:rsidR="00EE4FC3">
        <w:t xml:space="preserve"> </w:t>
      </w:r>
      <w:r w:rsidRPr="00382917">
        <w:t>to</w:t>
      </w:r>
      <w:r w:rsidR="00EE4FC3">
        <w:t xml:space="preserve"> </w:t>
      </w:r>
      <w:r w:rsidRPr="00382917">
        <w:t>His</w:t>
      </w:r>
      <w:r w:rsidR="00EE4FC3">
        <w:t xml:space="preserve"> </w:t>
      </w:r>
      <w:r w:rsidRPr="00382917">
        <w:t>uncle</w:t>
      </w:r>
      <w:r w:rsidR="00EE4FC3">
        <w:t xml:space="preserve"> </w:t>
      </w:r>
      <w:r w:rsidR="00F04416" w:rsidRPr="00382917">
        <w:t>…</w:t>
      </w:r>
      <w:r w:rsidR="00EE4FC3">
        <w:t xml:space="preserve"> </w:t>
      </w:r>
      <w:r w:rsidRPr="00382917">
        <w:t>to</w:t>
      </w:r>
      <w:r w:rsidR="00EE4FC3">
        <w:t xml:space="preserve"> </w:t>
      </w:r>
      <w:r w:rsidRPr="00382917">
        <w:t>tell</w:t>
      </w:r>
      <w:r w:rsidR="00EE4FC3">
        <w:t xml:space="preserve"> </w:t>
      </w:r>
      <w:r w:rsidRPr="00382917">
        <w:t>him</w:t>
      </w:r>
      <w:r w:rsidR="00EE4FC3">
        <w:t xml:space="preserve"> </w:t>
      </w:r>
      <w:r w:rsidRPr="00382917">
        <w:t>how</w:t>
      </w:r>
      <w:r w:rsidR="00EE4FC3">
        <w:t xml:space="preserve"> </w:t>
      </w:r>
      <w:r w:rsidRPr="00382917">
        <w:t>unworthy</w:t>
      </w:r>
      <w:r w:rsidR="00EE4FC3">
        <w:t xml:space="preserve"> </w:t>
      </w:r>
      <w:r w:rsidRPr="00382917">
        <w:t>I</w:t>
      </w:r>
      <w:r w:rsidR="00EE4FC3">
        <w:t xml:space="preserve"> </w:t>
      </w:r>
      <w:r w:rsidRPr="00382917">
        <w:t>felt</w:t>
      </w:r>
      <w:r w:rsidR="00EE4FC3">
        <w:t xml:space="preserve"> </w:t>
      </w:r>
      <w:r w:rsidRPr="00382917">
        <w:t>to</w:t>
      </w:r>
      <w:r w:rsidR="00EE4FC3">
        <w:t xml:space="preserve"> </w:t>
      </w:r>
      <w:r w:rsidRPr="00382917">
        <w:t>teach</w:t>
      </w:r>
      <w:r w:rsidR="00EE4FC3">
        <w:t xml:space="preserve"> </w:t>
      </w:r>
      <w:r w:rsidRPr="00382917">
        <w:t>so</w:t>
      </w:r>
      <w:r w:rsidR="00EE4FC3">
        <w:t xml:space="preserve"> </w:t>
      </w:r>
      <w:r w:rsidRPr="00382917">
        <w:t>remarkable</w:t>
      </w:r>
      <w:r w:rsidR="00EE4FC3">
        <w:t xml:space="preserve"> </w:t>
      </w:r>
      <w:r w:rsidRPr="00382917">
        <w:t>a</w:t>
      </w:r>
      <w:r w:rsidR="00EE4FC3">
        <w:t xml:space="preserve"> </w:t>
      </w:r>
      <w:r w:rsidRPr="00382917">
        <w:t>child.</w:t>
      </w:r>
    </w:p>
    <w:p w:rsidR="00122F78" w:rsidRPr="00382917" w:rsidRDefault="009C713D" w:rsidP="00122F78">
      <w:pPr>
        <w:pStyle w:val="Text"/>
      </w:pPr>
      <w:r w:rsidRPr="00382917">
        <w:t>“</w:t>
      </w:r>
      <w:r w:rsidR="00122F78" w:rsidRPr="00382917">
        <w:t>I</w:t>
      </w:r>
      <w:r w:rsidR="00EE4FC3">
        <w:t xml:space="preserve"> </w:t>
      </w:r>
      <w:r w:rsidR="00122F78" w:rsidRPr="00382917">
        <w:t>have</w:t>
      </w:r>
      <w:r w:rsidR="00EE4FC3">
        <w:t xml:space="preserve"> </w:t>
      </w:r>
      <w:r w:rsidR="00122F78" w:rsidRPr="00382917">
        <w:t>brought</w:t>
      </w:r>
      <w:r w:rsidR="00EE4FC3">
        <w:t xml:space="preserve"> </w:t>
      </w:r>
      <w:r w:rsidR="00122F78" w:rsidRPr="00382917">
        <w:t>Him</w:t>
      </w:r>
      <w:r w:rsidR="00EE4FC3">
        <w:t xml:space="preserve"> </w:t>
      </w:r>
      <w:r w:rsidR="00122F78" w:rsidRPr="00382917">
        <w:t>back</w:t>
      </w:r>
      <w:r w:rsidR="00EE4FC3">
        <w:t xml:space="preserve"> </w:t>
      </w:r>
      <w:r w:rsidR="00122F78" w:rsidRPr="00382917">
        <w:t>to</w:t>
      </w:r>
      <w:r w:rsidR="00EE4FC3">
        <w:t xml:space="preserve"> </w:t>
      </w:r>
      <w:r w:rsidR="00122F78" w:rsidRPr="00382917">
        <w:t>you,</w:t>
      </w:r>
      <w:r w:rsidRPr="00382917">
        <w:t>”</w:t>
      </w:r>
      <w:r w:rsidR="00EE4FC3">
        <w:t xml:space="preserve"> </w:t>
      </w:r>
      <w:r w:rsidR="00122F78" w:rsidRPr="00382917">
        <w:t>the</w:t>
      </w:r>
      <w:r w:rsidR="00EE4FC3">
        <w:t xml:space="preserve"> </w:t>
      </w:r>
      <w:r w:rsidR="00122F78" w:rsidRPr="00382917">
        <w:t>tutor</w:t>
      </w:r>
      <w:r w:rsidR="00EE4FC3">
        <w:t xml:space="preserve"> </w:t>
      </w:r>
      <w:r w:rsidR="00122F78" w:rsidRPr="00382917">
        <w:t>told</w:t>
      </w:r>
      <w:r w:rsidR="00EE4FC3">
        <w:t xml:space="preserve"> </w:t>
      </w:r>
      <w:r w:rsidR="00122F78" w:rsidRPr="00382917">
        <w:t>Ḥájí</w:t>
      </w:r>
      <w:r w:rsidR="00EE4FC3">
        <w:t xml:space="preserve"> </w:t>
      </w:r>
      <w:r w:rsidR="00122F78" w:rsidRPr="00382917">
        <w:t>Mírzá</w:t>
      </w:r>
      <w:r w:rsidR="00EE4FC3">
        <w:t xml:space="preserve"> </w:t>
      </w:r>
      <w:r w:rsidR="00122F78" w:rsidRPr="00382917">
        <w:t>Siyyid</w:t>
      </w:r>
      <w:r w:rsidR="00EE4FC3">
        <w:t xml:space="preserve"> </w:t>
      </w:r>
      <w:r w:rsidRPr="00382917">
        <w:t>‘</w:t>
      </w:r>
      <w:r w:rsidR="00122F78" w:rsidRPr="00382917">
        <w:t>Alí</w:t>
      </w:r>
      <w:r w:rsidR="00C03C91">
        <w:t>.</w:t>
      </w:r>
      <w:r w:rsidR="00EE4FC3">
        <w:t xml:space="preserve">  </w:t>
      </w:r>
      <w:r w:rsidRPr="00382917">
        <w:t>“</w:t>
      </w:r>
      <w:r w:rsidR="00122F78" w:rsidRPr="00382917">
        <w:t>And</w:t>
      </w:r>
      <w:r w:rsidR="00EE4FC3">
        <w:t xml:space="preserve"> </w:t>
      </w:r>
      <w:r w:rsidR="00122F78" w:rsidRPr="00382917">
        <w:t>commit</w:t>
      </w:r>
      <w:r w:rsidR="00EE4FC3">
        <w:t xml:space="preserve"> </w:t>
      </w:r>
      <w:r w:rsidR="00122F78" w:rsidRPr="00382917">
        <w:t>Him</w:t>
      </w:r>
      <w:r w:rsidR="00EE4FC3">
        <w:t xml:space="preserve"> </w:t>
      </w:r>
      <w:r w:rsidR="00122F78" w:rsidRPr="00382917">
        <w:t>into</w:t>
      </w:r>
      <w:r w:rsidR="00EE4FC3">
        <w:t xml:space="preserve"> </w:t>
      </w:r>
      <w:r w:rsidR="00122F78" w:rsidRPr="00382917">
        <w:t>your</w:t>
      </w:r>
      <w:r w:rsidR="00EE4FC3">
        <w:t xml:space="preserve"> </w:t>
      </w:r>
      <w:r w:rsidR="00122F78" w:rsidRPr="00382917">
        <w:t>protection</w:t>
      </w:r>
      <w:r w:rsidR="00C03C91">
        <w:t>.</w:t>
      </w:r>
      <w:r w:rsidR="00EE4FC3">
        <w:t xml:space="preserve">  </w:t>
      </w:r>
      <w:r w:rsidR="00122F78" w:rsidRPr="00382917">
        <w:t>He</w:t>
      </w:r>
      <w:r w:rsidR="00EE4FC3">
        <w:t xml:space="preserve"> </w:t>
      </w:r>
      <w:r w:rsidR="00122F78" w:rsidRPr="00382917">
        <w:t>is</w:t>
      </w:r>
      <w:r w:rsidR="00EE4FC3">
        <w:t xml:space="preserve"> </w:t>
      </w:r>
      <w:r w:rsidR="00122F78" w:rsidRPr="00382917">
        <w:t>not</w:t>
      </w:r>
      <w:r w:rsidR="00EE4FC3">
        <w:t xml:space="preserve"> </w:t>
      </w:r>
      <w:r w:rsidR="00122F78" w:rsidRPr="00382917">
        <w:t>to</w:t>
      </w:r>
      <w:r w:rsidR="00EE4FC3">
        <w:t xml:space="preserve"> </w:t>
      </w:r>
      <w:r w:rsidR="00122F78" w:rsidRPr="00382917">
        <w:t>be</w:t>
      </w:r>
      <w:r w:rsidR="00EE4FC3">
        <w:t xml:space="preserve"> </w:t>
      </w:r>
      <w:r w:rsidR="00122F78" w:rsidRPr="00382917">
        <w:t>treated</w:t>
      </w:r>
      <w:r w:rsidR="00EE4FC3">
        <w:t xml:space="preserve"> </w:t>
      </w:r>
      <w:r w:rsidR="00122F78" w:rsidRPr="00382917">
        <w:t>as</w:t>
      </w:r>
      <w:r w:rsidR="00EE4FC3">
        <w:t xml:space="preserve"> </w:t>
      </w:r>
      <w:r w:rsidR="00122F78" w:rsidRPr="00382917">
        <w:t>a</w:t>
      </w:r>
      <w:r w:rsidR="00EE4FC3">
        <w:t xml:space="preserve"> </w:t>
      </w:r>
      <w:r w:rsidR="00122F78" w:rsidRPr="00382917">
        <w:t>mere</w:t>
      </w:r>
      <w:r w:rsidR="00EE4FC3">
        <w:t xml:space="preserve"> </w:t>
      </w:r>
      <w:r w:rsidR="00122F78" w:rsidRPr="00382917">
        <w:t>child</w:t>
      </w:r>
      <w:r w:rsidR="00C03C91">
        <w:t>.</w:t>
      </w:r>
      <w:r w:rsidR="00EE4FC3">
        <w:t xml:space="preserve">  </w:t>
      </w:r>
      <w:r w:rsidR="00122F78" w:rsidRPr="00382917">
        <w:t>I</w:t>
      </w:r>
      <w:r w:rsidR="00EE4FC3">
        <w:t xml:space="preserve"> </w:t>
      </w:r>
      <w:r w:rsidR="00122F78" w:rsidRPr="00382917">
        <w:t>can</w:t>
      </w:r>
      <w:r w:rsidR="00EE4FC3">
        <w:t xml:space="preserve"> </w:t>
      </w:r>
      <w:r w:rsidR="00122F78" w:rsidRPr="00382917">
        <w:t>already</w:t>
      </w:r>
      <w:r w:rsidR="00EE4FC3">
        <w:t xml:space="preserve"> </w:t>
      </w:r>
      <w:r w:rsidR="00122F78" w:rsidRPr="00382917">
        <w:t>discern</w:t>
      </w:r>
      <w:r w:rsidR="00EE4FC3">
        <w:t xml:space="preserve"> </w:t>
      </w:r>
      <w:r w:rsidR="00122F78" w:rsidRPr="00382917">
        <w:t>evidences</w:t>
      </w:r>
      <w:r w:rsidR="00EE4FC3">
        <w:t xml:space="preserve"> </w:t>
      </w:r>
      <w:r w:rsidR="00122F78" w:rsidRPr="00382917">
        <w:t>in</w:t>
      </w:r>
      <w:r w:rsidR="00EE4FC3">
        <w:t xml:space="preserve"> </w:t>
      </w:r>
      <w:r w:rsidR="00122F78" w:rsidRPr="00382917">
        <w:t>Him</w:t>
      </w:r>
      <w:r w:rsidR="00EE4FC3">
        <w:t xml:space="preserve"> </w:t>
      </w:r>
      <w:r w:rsidR="00122F78" w:rsidRPr="00382917">
        <w:t>of</w:t>
      </w:r>
      <w:r w:rsidR="00EE4FC3">
        <w:t xml:space="preserve"> </w:t>
      </w:r>
      <w:r w:rsidR="00122F78" w:rsidRPr="00382917">
        <w:t>a</w:t>
      </w:r>
      <w:r w:rsidR="00EE4FC3">
        <w:t xml:space="preserve"> </w:t>
      </w:r>
      <w:r w:rsidR="00122F78" w:rsidRPr="00382917">
        <w:t>mysterious</w:t>
      </w:r>
      <w:r w:rsidR="00EE4FC3">
        <w:t xml:space="preserve"> </w:t>
      </w:r>
      <w:r w:rsidR="00122F78" w:rsidRPr="00382917">
        <w:t>power.</w:t>
      </w:r>
      <w:r w:rsidRPr="00382917">
        <w:t>”</w:t>
      </w:r>
    </w:p>
    <w:p w:rsidR="00122F78" w:rsidRPr="00382917" w:rsidRDefault="00122F78" w:rsidP="006C09A5">
      <w:pPr>
        <w:pStyle w:val="Text"/>
      </w:pPr>
      <w:r w:rsidRPr="00382917">
        <w:t>The</w:t>
      </w:r>
      <w:r w:rsidR="00EE4FC3">
        <w:t xml:space="preserve"> </w:t>
      </w:r>
      <w:r w:rsidRPr="00382917">
        <w:t>Báb</w:t>
      </w:r>
      <w:r w:rsidR="009C713D" w:rsidRPr="00382917">
        <w:t>’</w:t>
      </w:r>
      <w:r w:rsidRPr="00382917">
        <w:t>s</w:t>
      </w:r>
      <w:r w:rsidR="00EE4FC3">
        <w:t xml:space="preserve"> </w:t>
      </w:r>
      <w:r w:rsidRPr="00382917">
        <w:t>uncle</w:t>
      </w:r>
      <w:r w:rsidR="00EE4FC3">
        <w:t xml:space="preserve"> </w:t>
      </w:r>
      <w:r w:rsidRPr="00382917">
        <w:t>scolded</w:t>
      </w:r>
      <w:r w:rsidR="00EE4FC3">
        <w:t xml:space="preserve"> </w:t>
      </w:r>
      <w:r w:rsidRPr="00382917">
        <w:t>Him</w:t>
      </w:r>
      <w:r w:rsidR="00EE4FC3">
        <w:t xml:space="preserve"> </w:t>
      </w:r>
      <w:r w:rsidRPr="00382917">
        <w:t>and</w:t>
      </w:r>
      <w:r w:rsidR="00EE4FC3">
        <w:t xml:space="preserve"> </w:t>
      </w:r>
      <w:r w:rsidRPr="00382917">
        <w:t>said,</w:t>
      </w:r>
      <w:r w:rsidR="00EE4FC3">
        <w:t xml:space="preserve"> </w:t>
      </w:r>
      <w:r w:rsidR="009C713D" w:rsidRPr="00382917">
        <w:t>“</w:t>
      </w:r>
      <w:r w:rsidRPr="00382917">
        <w:t>Have</w:t>
      </w:r>
      <w:r w:rsidR="00EE4FC3">
        <w:t xml:space="preserve"> </w:t>
      </w:r>
      <w:r w:rsidRPr="00382917">
        <w:t>you</w:t>
      </w:r>
      <w:r w:rsidR="00EE4FC3">
        <w:t xml:space="preserve"> </w:t>
      </w:r>
      <w:r w:rsidRPr="00382917">
        <w:t>forgotten</w:t>
      </w:r>
      <w:r w:rsidR="00EE4FC3">
        <w:t xml:space="preserve"> </w:t>
      </w:r>
      <w:r w:rsidRPr="00382917">
        <w:t>my</w:t>
      </w:r>
      <w:r w:rsidR="00EE4FC3">
        <w:t xml:space="preserve"> </w:t>
      </w:r>
      <w:r w:rsidRPr="00382917">
        <w:t>instructions?</w:t>
      </w:r>
      <w:r w:rsidR="00EE4FC3">
        <w:t xml:space="preserve">  </w:t>
      </w:r>
      <w:r w:rsidRPr="00382917">
        <w:t>Return</w:t>
      </w:r>
      <w:r w:rsidR="00EE4FC3">
        <w:t xml:space="preserve"> </w:t>
      </w:r>
      <w:r w:rsidRPr="00382917">
        <w:t>to</w:t>
      </w:r>
      <w:r w:rsidR="00EE4FC3">
        <w:t xml:space="preserve"> </w:t>
      </w:r>
      <w:r w:rsidRPr="00382917">
        <w:t>school</w:t>
      </w:r>
      <w:r w:rsidR="00EE4FC3">
        <w:t xml:space="preserve"> </w:t>
      </w:r>
      <w:r w:rsidRPr="00382917">
        <w:t>and</w:t>
      </w:r>
      <w:r w:rsidR="00EE4FC3">
        <w:t xml:space="preserve"> </w:t>
      </w:r>
      <w:r w:rsidRPr="00382917">
        <w:t>follow</w:t>
      </w:r>
      <w:r w:rsidR="00EE4FC3">
        <w:t xml:space="preserve"> </w:t>
      </w:r>
      <w:r w:rsidRPr="00382917">
        <w:t>the</w:t>
      </w:r>
      <w:r w:rsidR="00EE4FC3">
        <w:t xml:space="preserve"> </w:t>
      </w:r>
      <w:r w:rsidRPr="00382917">
        <w:t>example</w:t>
      </w:r>
      <w:r w:rsidR="00EE4FC3">
        <w:t xml:space="preserve"> </w:t>
      </w:r>
      <w:r w:rsidRPr="00382917">
        <w:t>of</w:t>
      </w:r>
      <w:r w:rsidR="00EE4FC3">
        <w:t xml:space="preserve"> </w:t>
      </w:r>
      <w:r w:rsidRPr="00382917">
        <w:t>your</w:t>
      </w:r>
    </w:p>
    <w:p w:rsidR="00122F78" w:rsidRPr="00382917" w:rsidRDefault="00122F78">
      <w:pPr>
        <w:widowControl/>
        <w:kinsoku/>
        <w:overflowPunct/>
        <w:textAlignment w:val="auto"/>
      </w:pPr>
      <w:r w:rsidRPr="00382917">
        <w:br w:type="page"/>
      </w:r>
    </w:p>
    <w:p w:rsidR="00122F78" w:rsidRPr="00382917" w:rsidRDefault="00122F78" w:rsidP="00122F78">
      <w:pPr>
        <w:pStyle w:val="Textcts"/>
      </w:pPr>
      <w:proofErr w:type="gramStart"/>
      <w:r w:rsidRPr="00382917">
        <w:t>fellow</w:t>
      </w:r>
      <w:proofErr w:type="gramEnd"/>
      <w:r w:rsidR="00EE4FC3">
        <w:t xml:space="preserve"> </w:t>
      </w:r>
      <w:r w:rsidRPr="00382917">
        <w:t>pupils</w:t>
      </w:r>
      <w:r w:rsidR="00C03C91">
        <w:t>.</w:t>
      </w:r>
      <w:r w:rsidR="00EE4FC3">
        <w:t xml:space="preserve">  </w:t>
      </w:r>
      <w:r w:rsidRPr="00382917">
        <w:t>Do</w:t>
      </w:r>
      <w:r w:rsidR="00EE4FC3">
        <w:t xml:space="preserve"> </w:t>
      </w:r>
      <w:r w:rsidRPr="00382917">
        <w:t>not</w:t>
      </w:r>
      <w:r w:rsidR="00EE4FC3">
        <w:t xml:space="preserve"> </w:t>
      </w:r>
      <w:r w:rsidRPr="00382917">
        <w:t>speak</w:t>
      </w:r>
      <w:r w:rsidR="00EE4FC3">
        <w:t xml:space="preserve"> </w:t>
      </w:r>
      <w:r w:rsidRPr="00382917">
        <w:t>out,</w:t>
      </w:r>
      <w:r w:rsidR="00EE4FC3">
        <w:t xml:space="preserve"> </w:t>
      </w:r>
      <w:r w:rsidRPr="00382917">
        <w:t>but</w:t>
      </w:r>
      <w:r w:rsidR="00EE4FC3">
        <w:t xml:space="preserve"> </w:t>
      </w:r>
      <w:r w:rsidRPr="00382917">
        <w:t>observe</w:t>
      </w:r>
      <w:r w:rsidR="00EE4FC3">
        <w:t xml:space="preserve"> </w:t>
      </w:r>
      <w:r w:rsidRPr="00382917">
        <w:t>silence</w:t>
      </w:r>
      <w:r w:rsidR="00EE4FC3">
        <w:t xml:space="preserve"> </w:t>
      </w:r>
      <w:r w:rsidRPr="00382917">
        <w:t>and</w:t>
      </w:r>
      <w:r w:rsidR="00EE4FC3">
        <w:t xml:space="preserve"> </w:t>
      </w:r>
      <w:r w:rsidRPr="00382917">
        <w:t>listen</w:t>
      </w:r>
      <w:r w:rsidR="00EE4FC3">
        <w:t xml:space="preserve"> </w:t>
      </w:r>
      <w:r w:rsidRPr="00382917">
        <w:t>to</w:t>
      </w:r>
      <w:r w:rsidR="00EE4FC3">
        <w:t xml:space="preserve"> </w:t>
      </w:r>
      <w:r w:rsidRPr="00382917">
        <w:t>every</w:t>
      </w:r>
      <w:r w:rsidR="00EE4FC3">
        <w:t xml:space="preserve"> </w:t>
      </w:r>
      <w:r w:rsidRPr="00382917">
        <w:t>word</w:t>
      </w:r>
      <w:r w:rsidR="00EE4FC3">
        <w:t xml:space="preserve"> </w:t>
      </w:r>
      <w:r w:rsidRPr="00382917">
        <w:t>spoken</w:t>
      </w:r>
      <w:r w:rsidR="00EE4FC3">
        <w:t xml:space="preserve"> </w:t>
      </w:r>
      <w:r w:rsidRPr="00382917">
        <w:t>by</w:t>
      </w:r>
      <w:r w:rsidR="00EE4FC3">
        <w:t xml:space="preserve"> </w:t>
      </w:r>
      <w:r w:rsidRPr="00382917">
        <w:t>your</w:t>
      </w:r>
      <w:r w:rsidR="00EE4FC3">
        <w:t xml:space="preserve"> </w:t>
      </w:r>
      <w:r w:rsidRPr="00382917">
        <w:t>teacher.</w:t>
      </w:r>
      <w:r w:rsidR="009C713D" w:rsidRPr="00382917">
        <w:t>”</w:t>
      </w:r>
    </w:p>
    <w:p w:rsidR="00E13D49" w:rsidRPr="00382917" w:rsidRDefault="00122F78" w:rsidP="000B584D">
      <w:pPr>
        <w:pStyle w:val="Text"/>
      </w:pPr>
      <w:r w:rsidRPr="00382917">
        <w:t>The</w:t>
      </w:r>
      <w:r w:rsidR="00EE4FC3">
        <w:t xml:space="preserve"> </w:t>
      </w:r>
      <w:r w:rsidRPr="00382917">
        <w:t>little</w:t>
      </w:r>
      <w:r w:rsidR="00EE4FC3">
        <w:t xml:space="preserve"> </w:t>
      </w:r>
      <w:r w:rsidRPr="00382917">
        <w:t>boy</w:t>
      </w:r>
      <w:r w:rsidR="00EE4FC3">
        <w:t xml:space="preserve"> </w:t>
      </w:r>
      <w:r w:rsidRPr="00382917">
        <w:t>promised</w:t>
      </w:r>
      <w:r w:rsidR="00EE4FC3">
        <w:t xml:space="preserve"> </w:t>
      </w:r>
      <w:r w:rsidRPr="00382917">
        <w:t>to</w:t>
      </w:r>
      <w:r w:rsidR="00EE4FC3">
        <w:t xml:space="preserve"> </w:t>
      </w:r>
      <w:r w:rsidRPr="00382917">
        <w:t>obey</w:t>
      </w:r>
      <w:r w:rsidR="00EE4FC3">
        <w:t xml:space="preserve"> </w:t>
      </w:r>
      <w:r w:rsidRPr="00382917">
        <w:t>faithfully,</w:t>
      </w:r>
      <w:r w:rsidR="00EE4FC3">
        <w:t xml:space="preserve"> </w:t>
      </w:r>
      <w:r w:rsidRPr="00382917">
        <w:t>but</w:t>
      </w:r>
      <w:r w:rsidR="00EE4FC3">
        <w:t xml:space="preserve"> </w:t>
      </w:r>
      <w:r w:rsidRPr="00382917">
        <w:t>it</w:t>
      </w:r>
      <w:r w:rsidR="00EE4FC3">
        <w:t xml:space="preserve"> </w:t>
      </w:r>
      <w:r w:rsidRPr="00382917">
        <w:t>was</w:t>
      </w:r>
      <w:r w:rsidR="00EE4FC3">
        <w:t xml:space="preserve"> </w:t>
      </w:r>
      <w:r w:rsidRPr="00382917">
        <w:t>impossible</w:t>
      </w:r>
      <w:r w:rsidR="00EE4FC3">
        <w:t xml:space="preserve"> </w:t>
      </w:r>
      <w:r w:rsidRPr="00382917">
        <w:t>to</w:t>
      </w:r>
      <w:r w:rsidR="00EE4FC3">
        <w:t xml:space="preserve"> </w:t>
      </w:r>
      <w:r w:rsidRPr="00382917">
        <w:t>restrain</w:t>
      </w:r>
      <w:r w:rsidR="00EE4FC3">
        <w:t xml:space="preserve"> </w:t>
      </w:r>
      <w:r w:rsidRPr="00382917">
        <w:t>His</w:t>
      </w:r>
      <w:r w:rsidR="00EE4FC3">
        <w:t xml:space="preserve"> </w:t>
      </w:r>
      <w:r w:rsidRPr="00382917">
        <w:t>spirit</w:t>
      </w:r>
      <w:r w:rsidR="00C03C91">
        <w:t>.</w:t>
      </w:r>
      <w:r w:rsidR="00EE4FC3">
        <w:t xml:space="preserve">  </w:t>
      </w:r>
      <w:r w:rsidRPr="00382917">
        <w:t>The</w:t>
      </w:r>
      <w:r w:rsidR="00EE4FC3">
        <w:t xml:space="preserve"> </w:t>
      </w:r>
      <w:r w:rsidRPr="00382917">
        <w:t>tutor</w:t>
      </w:r>
      <w:r w:rsidR="00EE4FC3">
        <w:t xml:space="preserve"> </w:t>
      </w:r>
      <w:r w:rsidRPr="00382917">
        <w:t>said</w:t>
      </w:r>
      <w:r w:rsidR="00EE4FC3">
        <w:t xml:space="preserve"> </w:t>
      </w:r>
      <w:r w:rsidRPr="00382917">
        <w:t>frankly,</w:t>
      </w:r>
      <w:r w:rsidR="00EE4FC3">
        <w:t xml:space="preserve"> </w:t>
      </w:r>
      <w:r w:rsidR="009C713D" w:rsidRPr="00382917">
        <w:t>“</w:t>
      </w:r>
      <w:r w:rsidRPr="00382917">
        <w:t>Day</w:t>
      </w:r>
      <w:r w:rsidR="00EE4FC3">
        <w:t xml:space="preserve"> </w:t>
      </w:r>
      <w:r w:rsidRPr="00382917">
        <w:t>after</w:t>
      </w:r>
      <w:r w:rsidR="00EE4FC3">
        <w:t xml:space="preserve"> </w:t>
      </w:r>
      <w:r w:rsidRPr="00382917">
        <w:t>day</w:t>
      </w:r>
      <w:r w:rsidR="00EE4FC3">
        <w:t xml:space="preserve"> </w:t>
      </w:r>
      <w:r w:rsidRPr="00382917">
        <w:t>He</w:t>
      </w:r>
      <w:r w:rsidR="00EE4FC3">
        <w:t xml:space="preserve"> </w:t>
      </w:r>
      <w:r w:rsidRPr="00382917">
        <w:t>continued</w:t>
      </w:r>
      <w:r w:rsidR="00EE4FC3">
        <w:t xml:space="preserve"> </w:t>
      </w:r>
      <w:r w:rsidRPr="00382917">
        <w:t>to</w:t>
      </w:r>
      <w:r w:rsidR="00EE4FC3">
        <w:t xml:space="preserve"> </w:t>
      </w:r>
      <w:r w:rsidRPr="00382917">
        <w:t>display</w:t>
      </w:r>
      <w:r w:rsidR="00EE4FC3">
        <w:t xml:space="preserve"> </w:t>
      </w:r>
      <w:r w:rsidRPr="00382917">
        <w:t>such</w:t>
      </w:r>
      <w:r w:rsidR="00EE4FC3">
        <w:t xml:space="preserve"> </w:t>
      </w:r>
      <w:r w:rsidRPr="00382917">
        <w:t>remarkable</w:t>
      </w:r>
      <w:r w:rsidR="00EE4FC3">
        <w:t xml:space="preserve"> </w:t>
      </w:r>
      <w:r w:rsidRPr="00382917">
        <w:t>signs</w:t>
      </w:r>
      <w:r w:rsidR="00EE4FC3">
        <w:t xml:space="preserve"> </w:t>
      </w:r>
      <w:r w:rsidRPr="00382917">
        <w:t>of</w:t>
      </w:r>
      <w:r w:rsidR="00EE4FC3">
        <w:t xml:space="preserve"> </w:t>
      </w:r>
      <w:r w:rsidRPr="00382917">
        <w:t>wisdom</w:t>
      </w:r>
      <w:r w:rsidR="00EE4FC3">
        <w:t xml:space="preserve"> </w:t>
      </w:r>
      <w:r w:rsidRPr="00382917">
        <w:t>that</w:t>
      </w:r>
      <w:r w:rsidR="00EE4FC3">
        <w:t xml:space="preserve"> </w:t>
      </w:r>
      <w:r w:rsidRPr="00382917">
        <w:t>I</w:t>
      </w:r>
      <w:r w:rsidR="00EE4FC3">
        <w:t xml:space="preserve"> </w:t>
      </w:r>
      <w:r w:rsidRPr="00382917">
        <w:t>felt</w:t>
      </w:r>
      <w:r w:rsidR="00EE4FC3">
        <w:t xml:space="preserve"> </w:t>
      </w:r>
      <w:r w:rsidRPr="00382917">
        <w:t>helpless</w:t>
      </w:r>
      <w:r w:rsidR="00EE4FC3">
        <w:t xml:space="preserve"> </w:t>
      </w:r>
      <w:r w:rsidRPr="00382917">
        <w:t>to</w:t>
      </w:r>
      <w:r w:rsidR="00EE4FC3">
        <w:t xml:space="preserve"> </w:t>
      </w:r>
      <w:r w:rsidRPr="00382917">
        <w:t>teach</w:t>
      </w:r>
      <w:r w:rsidR="00EE4FC3">
        <w:t xml:space="preserve"> </w:t>
      </w:r>
      <w:r w:rsidRPr="00382917">
        <w:t>Him.</w:t>
      </w:r>
      <w:r w:rsidR="009C713D" w:rsidRPr="00382917">
        <w:t>”</w:t>
      </w:r>
      <w:r w:rsidR="000B584D">
        <w:rPr>
          <w:rStyle w:val="FootnoteReference"/>
        </w:rPr>
        <w:footnoteReference w:id="48"/>
      </w:r>
    </w:p>
    <w:p w:rsidR="00122F78" w:rsidRPr="00382917" w:rsidRDefault="00122F78" w:rsidP="00122F78">
      <w:pPr>
        <w:pStyle w:val="Text"/>
      </w:pPr>
      <w:r w:rsidRPr="00382917">
        <w:t>A</w:t>
      </w:r>
      <w:r w:rsidR="00EE4FC3">
        <w:t xml:space="preserve"> </w:t>
      </w:r>
      <w:r w:rsidRPr="00382917">
        <w:t>well-known</w:t>
      </w:r>
      <w:r w:rsidR="00EE4FC3">
        <w:t xml:space="preserve"> </w:t>
      </w:r>
      <w:r w:rsidRPr="00382917">
        <w:t>priest</w:t>
      </w:r>
      <w:r w:rsidR="00EE4FC3">
        <w:t xml:space="preserve"> </w:t>
      </w:r>
      <w:r w:rsidRPr="00382917">
        <w:t>went</w:t>
      </w:r>
      <w:r w:rsidR="00EE4FC3">
        <w:t xml:space="preserve"> </w:t>
      </w:r>
      <w:r w:rsidRPr="00382917">
        <w:t>to</w:t>
      </w:r>
      <w:r w:rsidR="00EE4FC3">
        <w:t xml:space="preserve"> </w:t>
      </w:r>
      <w:r w:rsidRPr="00382917">
        <w:t>the</w:t>
      </w:r>
      <w:r w:rsidR="00EE4FC3">
        <w:t xml:space="preserve"> </w:t>
      </w:r>
      <w:r w:rsidRPr="00382917">
        <w:t>home</w:t>
      </w:r>
      <w:r w:rsidR="00EE4FC3">
        <w:t xml:space="preserve"> </w:t>
      </w:r>
      <w:r w:rsidRPr="00382917">
        <w:t>of</w:t>
      </w:r>
      <w:r w:rsidR="00EE4FC3">
        <w:t xml:space="preserve"> </w:t>
      </w:r>
      <w:r w:rsidRPr="00382917">
        <w:t>the</w:t>
      </w:r>
      <w:r w:rsidR="00EE4FC3">
        <w:t xml:space="preserve"> </w:t>
      </w:r>
      <w:r w:rsidRPr="00382917">
        <w:t>Báb</w:t>
      </w:r>
      <w:r w:rsidR="009C713D" w:rsidRPr="00382917">
        <w:t>’</w:t>
      </w:r>
      <w:r w:rsidRPr="00382917">
        <w:t>s</w:t>
      </w:r>
      <w:r w:rsidR="00EE4FC3">
        <w:t xml:space="preserve"> </w:t>
      </w:r>
      <w:r w:rsidRPr="00382917">
        <w:t>uncle</w:t>
      </w:r>
      <w:r w:rsidR="00EE4FC3">
        <w:t xml:space="preserve"> </w:t>
      </w:r>
      <w:r w:rsidRPr="00382917">
        <w:t>at</w:t>
      </w:r>
      <w:r w:rsidR="00EE4FC3">
        <w:t xml:space="preserve"> </w:t>
      </w:r>
      <w:r w:rsidRPr="00382917">
        <w:t>this</w:t>
      </w:r>
      <w:r w:rsidR="00EE4FC3">
        <w:t xml:space="preserve"> </w:t>
      </w:r>
      <w:r w:rsidRPr="00382917">
        <w:t>time</w:t>
      </w:r>
      <w:r w:rsidR="00C03C91">
        <w:t>.</w:t>
      </w:r>
      <w:r w:rsidR="00EE4FC3">
        <w:t xml:space="preserve">  </w:t>
      </w:r>
      <w:r w:rsidRPr="00382917">
        <w:t>He</w:t>
      </w:r>
      <w:r w:rsidR="00EE4FC3">
        <w:t xml:space="preserve"> </w:t>
      </w:r>
      <w:r w:rsidRPr="00382917">
        <w:t>has</w:t>
      </w:r>
      <w:r w:rsidR="00EE4FC3">
        <w:t xml:space="preserve"> </w:t>
      </w:r>
      <w:r w:rsidRPr="00382917">
        <w:t>given</w:t>
      </w:r>
      <w:r w:rsidR="00EE4FC3">
        <w:t xml:space="preserve"> </w:t>
      </w:r>
      <w:r w:rsidRPr="00382917">
        <w:t>the</w:t>
      </w:r>
      <w:r w:rsidR="00EE4FC3">
        <w:t xml:space="preserve"> </w:t>
      </w:r>
      <w:r w:rsidRPr="00382917">
        <w:t>following</w:t>
      </w:r>
      <w:r w:rsidR="00EE4FC3">
        <w:t xml:space="preserve"> </w:t>
      </w:r>
      <w:r w:rsidRPr="00382917">
        <w:t>account</w:t>
      </w:r>
      <w:r w:rsidR="00EE4FC3">
        <w:t xml:space="preserve"> </w:t>
      </w:r>
      <w:r w:rsidRPr="00382917">
        <w:t>of</w:t>
      </w:r>
      <w:r w:rsidR="00EE4FC3">
        <w:t xml:space="preserve"> </w:t>
      </w:r>
      <w:r w:rsidRPr="00382917">
        <w:t>that</w:t>
      </w:r>
      <w:r w:rsidR="00EE4FC3">
        <w:t xml:space="preserve"> </w:t>
      </w:r>
      <w:r w:rsidRPr="00382917">
        <w:t>visit:</w:t>
      </w:r>
    </w:p>
    <w:p w:rsidR="00122F78" w:rsidRPr="00382917" w:rsidRDefault="009C713D" w:rsidP="00122F78">
      <w:pPr>
        <w:pStyle w:val="Text"/>
      </w:pPr>
      <w:r w:rsidRPr="00382917">
        <w:t>“</w:t>
      </w:r>
      <w:r w:rsidR="00122F78" w:rsidRPr="00382917">
        <w:t>Early</w:t>
      </w:r>
      <w:r w:rsidR="00EE4FC3">
        <w:t xml:space="preserve"> </w:t>
      </w:r>
      <w:r w:rsidR="00122F78" w:rsidRPr="00382917">
        <w:t>one</w:t>
      </w:r>
      <w:r w:rsidR="00EE4FC3">
        <w:t xml:space="preserve"> </w:t>
      </w:r>
      <w:r w:rsidR="00122F78" w:rsidRPr="00382917">
        <w:t>morning</w:t>
      </w:r>
      <w:r w:rsidR="00EE4FC3">
        <w:t xml:space="preserve"> </w:t>
      </w:r>
      <w:r w:rsidR="00122F78" w:rsidRPr="00382917">
        <w:t>I</w:t>
      </w:r>
      <w:r w:rsidR="00EE4FC3">
        <w:t xml:space="preserve"> </w:t>
      </w:r>
      <w:r w:rsidR="00122F78" w:rsidRPr="00382917">
        <w:t>heard</w:t>
      </w:r>
      <w:r w:rsidR="00EE4FC3">
        <w:t xml:space="preserve"> </w:t>
      </w:r>
      <w:r w:rsidR="00122F78" w:rsidRPr="00382917">
        <w:t>from</w:t>
      </w:r>
      <w:r w:rsidR="00EE4FC3">
        <w:t xml:space="preserve"> </w:t>
      </w:r>
      <w:r w:rsidR="00122F78" w:rsidRPr="00382917">
        <w:t>the</w:t>
      </w:r>
      <w:r w:rsidR="00EE4FC3">
        <w:t xml:space="preserve"> </w:t>
      </w:r>
      <w:r w:rsidR="00122F78" w:rsidRPr="00382917">
        <w:t>prayer-room,</w:t>
      </w:r>
      <w:r w:rsidR="00EE4FC3">
        <w:t xml:space="preserve"> </w:t>
      </w:r>
      <w:r w:rsidR="00122F78" w:rsidRPr="00382917">
        <w:t>which</w:t>
      </w:r>
      <w:r w:rsidR="00EE4FC3">
        <w:t xml:space="preserve"> </w:t>
      </w:r>
      <w:r w:rsidR="00122F78" w:rsidRPr="00382917">
        <w:t>was</w:t>
      </w:r>
      <w:r w:rsidR="00EE4FC3">
        <w:t xml:space="preserve"> </w:t>
      </w:r>
      <w:r w:rsidR="00122F78" w:rsidRPr="00382917">
        <w:t>next</w:t>
      </w:r>
      <w:r w:rsidR="00EE4FC3">
        <w:t xml:space="preserve"> </w:t>
      </w:r>
      <w:r w:rsidR="00122F78" w:rsidRPr="00382917">
        <w:t>to</w:t>
      </w:r>
      <w:r w:rsidR="00EE4FC3">
        <w:t xml:space="preserve"> </w:t>
      </w:r>
      <w:r w:rsidR="00122F78" w:rsidRPr="00382917">
        <w:t>mine,</w:t>
      </w:r>
      <w:r w:rsidR="00EE4FC3">
        <w:t xml:space="preserve"> </w:t>
      </w:r>
      <w:r w:rsidR="00122F78" w:rsidRPr="00382917">
        <w:t>a</w:t>
      </w:r>
      <w:r w:rsidR="00EE4FC3">
        <w:t xml:space="preserve"> </w:t>
      </w:r>
      <w:r w:rsidR="00122F78" w:rsidRPr="00382917">
        <w:t>tiny</w:t>
      </w:r>
      <w:r w:rsidR="00EE4FC3">
        <w:t xml:space="preserve"> </w:t>
      </w:r>
      <w:r w:rsidR="00122F78" w:rsidRPr="00382917">
        <w:t>sweet</w:t>
      </w:r>
      <w:r w:rsidR="00EE4FC3">
        <w:t xml:space="preserve"> </w:t>
      </w:r>
      <w:r w:rsidR="00122F78" w:rsidRPr="00382917">
        <w:t>voice</w:t>
      </w:r>
      <w:r w:rsidR="00C03C91">
        <w:t>.</w:t>
      </w:r>
      <w:r w:rsidR="00EE4FC3">
        <w:t xml:space="preserve">  </w:t>
      </w:r>
      <w:r w:rsidR="00122F78" w:rsidRPr="00382917">
        <w:t>It</w:t>
      </w:r>
      <w:r w:rsidR="00EE4FC3">
        <w:t xml:space="preserve"> </w:t>
      </w:r>
      <w:r w:rsidR="00122F78" w:rsidRPr="00382917">
        <w:t>was</w:t>
      </w:r>
      <w:r w:rsidR="00EE4FC3">
        <w:t xml:space="preserve"> </w:t>
      </w:r>
      <w:r w:rsidR="00122F78" w:rsidRPr="00382917">
        <w:t>a</w:t>
      </w:r>
      <w:r w:rsidR="00EE4FC3">
        <w:t xml:space="preserve"> </w:t>
      </w:r>
      <w:r w:rsidR="00122F78" w:rsidRPr="00382917">
        <w:t>little</w:t>
      </w:r>
      <w:r w:rsidR="00EE4FC3">
        <w:t xml:space="preserve"> </w:t>
      </w:r>
      <w:r w:rsidR="00122F78" w:rsidRPr="00382917">
        <w:t>child</w:t>
      </w:r>
      <w:r w:rsidRPr="00382917">
        <w:t>’</w:t>
      </w:r>
      <w:r w:rsidR="00122F78" w:rsidRPr="00382917">
        <w:t>s</w:t>
      </w:r>
      <w:r w:rsidR="00EE4FC3">
        <w:t xml:space="preserve"> </w:t>
      </w:r>
      <w:r w:rsidR="00122F78" w:rsidRPr="00382917">
        <w:t>voice</w:t>
      </w:r>
      <w:r w:rsidR="00EE4FC3">
        <w:t xml:space="preserve"> </w:t>
      </w:r>
      <w:r w:rsidR="00122F78" w:rsidRPr="00382917">
        <w:t>raised</w:t>
      </w:r>
      <w:r w:rsidR="00EE4FC3">
        <w:t xml:space="preserve"> </w:t>
      </w:r>
      <w:r w:rsidR="00122F78" w:rsidRPr="00382917">
        <w:t>in</w:t>
      </w:r>
      <w:r w:rsidR="00EE4FC3">
        <w:t xml:space="preserve"> </w:t>
      </w:r>
      <w:r w:rsidR="00122F78" w:rsidRPr="00382917">
        <w:t>prayer</w:t>
      </w:r>
      <w:r w:rsidR="00C03C91">
        <w:t>.</w:t>
      </w:r>
      <w:r w:rsidR="00EE4FC3">
        <w:t xml:space="preserve">  </w:t>
      </w:r>
      <w:proofErr w:type="gramStart"/>
      <w:r w:rsidR="00122F78" w:rsidRPr="00382917">
        <w:t>Such</w:t>
      </w:r>
      <w:r w:rsidR="00EE4FC3">
        <w:t xml:space="preserve"> </w:t>
      </w:r>
      <w:r w:rsidR="00122F78" w:rsidRPr="00382917">
        <w:t>prayers,</w:t>
      </w:r>
      <w:r w:rsidR="00EE4FC3">
        <w:t xml:space="preserve"> </w:t>
      </w:r>
      <w:r w:rsidR="00122F78" w:rsidRPr="00382917">
        <w:t>such</w:t>
      </w:r>
      <w:r w:rsidR="00EE4FC3">
        <w:t xml:space="preserve"> </w:t>
      </w:r>
      <w:r w:rsidR="00122F78" w:rsidRPr="00382917">
        <w:t>a</w:t>
      </w:r>
      <w:r w:rsidR="00EE4FC3">
        <w:t xml:space="preserve"> </w:t>
      </w:r>
      <w:r w:rsidR="00122F78" w:rsidRPr="00382917">
        <w:t>voice,</w:t>
      </w:r>
      <w:r w:rsidR="00EE4FC3">
        <w:t xml:space="preserve"> </w:t>
      </w:r>
      <w:r w:rsidR="00122F78" w:rsidRPr="00382917">
        <w:t>such</w:t>
      </w:r>
      <w:r w:rsidR="00EE4FC3">
        <w:t xml:space="preserve"> </w:t>
      </w:r>
      <w:r w:rsidR="00122F78" w:rsidRPr="00382917">
        <w:t>devotion</w:t>
      </w:r>
      <w:r w:rsidR="00EE4FC3">
        <w:t xml:space="preserve"> </w:t>
      </w:r>
      <w:r w:rsidR="00122F78" w:rsidRPr="00382917">
        <w:t>that</w:t>
      </w:r>
      <w:r w:rsidR="00EE4FC3">
        <w:t xml:space="preserve"> </w:t>
      </w:r>
      <w:r w:rsidR="00122F78" w:rsidRPr="00382917">
        <w:t>I</w:t>
      </w:r>
      <w:r w:rsidR="00EE4FC3">
        <w:t xml:space="preserve"> </w:t>
      </w:r>
      <w:r w:rsidR="00122F78" w:rsidRPr="00382917">
        <w:t>was</w:t>
      </w:r>
      <w:r w:rsidR="00EE4FC3">
        <w:t xml:space="preserve"> </w:t>
      </w:r>
      <w:r w:rsidR="00122F78" w:rsidRPr="00382917">
        <w:t>absolutely</w:t>
      </w:r>
      <w:r w:rsidR="00EE4FC3">
        <w:t xml:space="preserve"> </w:t>
      </w:r>
      <w:r w:rsidR="00122F78" w:rsidRPr="00382917">
        <w:t>enraptured</w:t>
      </w:r>
      <w:r w:rsidR="00C03C91">
        <w:t>.</w:t>
      </w:r>
      <w:proofErr w:type="gramEnd"/>
      <w:r w:rsidR="00EE4FC3">
        <w:t xml:space="preserve">  </w:t>
      </w:r>
      <w:r w:rsidR="00122F78" w:rsidRPr="00382917">
        <w:t>I</w:t>
      </w:r>
      <w:r w:rsidR="00EE4FC3">
        <w:t xml:space="preserve"> </w:t>
      </w:r>
      <w:r w:rsidR="00122F78" w:rsidRPr="00382917">
        <w:t>waited</w:t>
      </w:r>
      <w:r w:rsidR="00EE4FC3">
        <w:t xml:space="preserve"> </w:t>
      </w:r>
      <w:r w:rsidR="00122F78" w:rsidRPr="00382917">
        <w:t>patiently</w:t>
      </w:r>
      <w:r w:rsidR="00EE4FC3">
        <w:t xml:space="preserve"> </w:t>
      </w:r>
      <w:r w:rsidR="00122F78" w:rsidRPr="00382917">
        <w:t>until</w:t>
      </w:r>
      <w:r w:rsidR="00EE4FC3">
        <w:t xml:space="preserve"> </w:t>
      </w:r>
      <w:r w:rsidR="00122F78" w:rsidRPr="00382917">
        <w:t>dawn</w:t>
      </w:r>
      <w:r w:rsidR="00EE4FC3">
        <w:t xml:space="preserve"> </w:t>
      </w:r>
      <w:r w:rsidR="00122F78" w:rsidRPr="00382917">
        <w:t>and</w:t>
      </w:r>
      <w:r w:rsidR="00EE4FC3">
        <w:t xml:space="preserve"> </w:t>
      </w:r>
      <w:r w:rsidR="00122F78" w:rsidRPr="00382917">
        <w:t>then</w:t>
      </w:r>
      <w:r w:rsidR="00EE4FC3">
        <w:t xml:space="preserve"> </w:t>
      </w:r>
      <w:r w:rsidR="00122F78" w:rsidRPr="00382917">
        <w:t>I</w:t>
      </w:r>
      <w:r w:rsidR="00EE4FC3">
        <w:t xml:space="preserve"> </w:t>
      </w:r>
      <w:r w:rsidR="00122F78" w:rsidRPr="00382917">
        <w:t>saw</w:t>
      </w:r>
      <w:r w:rsidR="00EE4FC3">
        <w:t xml:space="preserve"> </w:t>
      </w:r>
      <w:r w:rsidR="00122F78" w:rsidRPr="00382917">
        <w:t>a</w:t>
      </w:r>
      <w:r w:rsidR="00EE4FC3">
        <w:t xml:space="preserve"> </w:t>
      </w:r>
      <w:r w:rsidR="00122F78" w:rsidRPr="00382917">
        <w:t>boy</w:t>
      </w:r>
      <w:r w:rsidR="00EE4FC3">
        <w:t xml:space="preserve"> </w:t>
      </w:r>
      <w:r w:rsidR="00122F78" w:rsidRPr="00382917">
        <w:t>of</w:t>
      </w:r>
      <w:r w:rsidR="00EE4FC3">
        <w:t xml:space="preserve"> </w:t>
      </w:r>
      <w:r w:rsidR="00122F78" w:rsidRPr="00382917">
        <w:t>about</w:t>
      </w:r>
      <w:r w:rsidR="00EE4FC3">
        <w:t xml:space="preserve"> </w:t>
      </w:r>
      <w:r w:rsidR="00122F78" w:rsidRPr="00382917">
        <w:t>seven</w:t>
      </w:r>
      <w:r w:rsidR="00EE4FC3">
        <w:t xml:space="preserve"> </w:t>
      </w:r>
      <w:r w:rsidR="00122F78" w:rsidRPr="00382917">
        <w:t>years</w:t>
      </w:r>
      <w:r w:rsidR="00EE4FC3">
        <w:t xml:space="preserve"> </w:t>
      </w:r>
      <w:r w:rsidR="00122F78" w:rsidRPr="00382917">
        <w:t>of</w:t>
      </w:r>
      <w:r w:rsidR="00EE4FC3">
        <w:t xml:space="preserve"> </w:t>
      </w:r>
      <w:r w:rsidR="00122F78" w:rsidRPr="00382917">
        <w:t>age</w:t>
      </w:r>
      <w:r w:rsidR="00C03C91">
        <w:t>.</w:t>
      </w:r>
      <w:r w:rsidR="00EE4FC3">
        <w:t xml:space="preserve">  </w:t>
      </w:r>
      <w:r w:rsidR="00122F78" w:rsidRPr="00382917">
        <w:t>As</w:t>
      </w:r>
      <w:r w:rsidR="00EE4FC3">
        <w:t xml:space="preserve"> </w:t>
      </w:r>
      <w:r w:rsidR="00122F78" w:rsidRPr="00382917">
        <w:t>soon</w:t>
      </w:r>
      <w:r w:rsidR="00EE4FC3">
        <w:t xml:space="preserve"> </w:t>
      </w:r>
      <w:r w:rsidR="00122F78" w:rsidRPr="00382917">
        <w:t>as</w:t>
      </w:r>
      <w:r w:rsidR="00EE4FC3">
        <w:t xml:space="preserve"> </w:t>
      </w:r>
      <w:r w:rsidR="00122F78" w:rsidRPr="00382917">
        <w:t>I</w:t>
      </w:r>
      <w:r w:rsidR="00EE4FC3">
        <w:t xml:space="preserve"> </w:t>
      </w:r>
      <w:r w:rsidR="00122F78" w:rsidRPr="00382917">
        <w:t>gazed</w:t>
      </w:r>
      <w:r w:rsidR="00EE4FC3">
        <w:t xml:space="preserve"> </w:t>
      </w:r>
      <w:r w:rsidR="00122F78" w:rsidRPr="00382917">
        <w:t>upon</w:t>
      </w:r>
      <w:r w:rsidR="00EE4FC3">
        <w:t xml:space="preserve"> </w:t>
      </w:r>
      <w:r w:rsidR="00122F78" w:rsidRPr="00382917">
        <w:t>the</w:t>
      </w:r>
      <w:r w:rsidR="00EE4FC3">
        <w:t xml:space="preserve"> </w:t>
      </w:r>
      <w:r w:rsidR="00122F78" w:rsidRPr="00382917">
        <w:t>child,</w:t>
      </w:r>
      <w:r w:rsidR="00EE4FC3">
        <w:t xml:space="preserve"> </w:t>
      </w:r>
      <w:r w:rsidR="00122F78" w:rsidRPr="00382917">
        <w:t>I</w:t>
      </w:r>
      <w:r w:rsidR="00EE4FC3">
        <w:t xml:space="preserve"> </w:t>
      </w:r>
      <w:r w:rsidR="00122F78" w:rsidRPr="00382917">
        <w:t>saw</w:t>
      </w:r>
      <w:r w:rsidR="00EE4FC3">
        <w:t xml:space="preserve"> </w:t>
      </w:r>
      <w:r w:rsidR="00122F78" w:rsidRPr="00382917">
        <w:t>such</w:t>
      </w:r>
      <w:r w:rsidR="00EE4FC3">
        <w:t xml:space="preserve"> </w:t>
      </w:r>
      <w:r w:rsidR="00122F78" w:rsidRPr="00382917">
        <w:t>a</w:t>
      </w:r>
      <w:r w:rsidR="00EE4FC3">
        <w:t xml:space="preserve"> </w:t>
      </w:r>
      <w:r w:rsidR="00122F78" w:rsidRPr="00382917">
        <w:t>beautiful</w:t>
      </w:r>
      <w:r w:rsidR="00EE4FC3">
        <w:t xml:space="preserve"> </w:t>
      </w:r>
      <w:r w:rsidR="00122F78" w:rsidRPr="00382917">
        <w:t>expression</w:t>
      </w:r>
      <w:r w:rsidR="00EE4FC3">
        <w:t xml:space="preserve"> </w:t>
      </w:r>
      <w:r w:rsidR="00122F78" w:rsidRPr="00382917">
        <w:t>that</w:t>
      </w:r>
      <w:r w:rsidR="00EE4FC3">
        <w:t xml:space="preserve"> </w:t>
      </w:r>
      <w:r w:rsidR="00122F78" w:rsidRPr="00382917">
        <w:t>I</w:t>
      </w:r>
      <w:r w:rsidR="00EE4FC3">
        <w:t xml:space="preserve"> </w:t>
      </w:r>
      <w:r w:rsidR="00122F78" w:rsidRPr="00382917">
        <w:t>felt</w:t>
      </w:r>
      <w:r w:rsidR="00EE4FC3">
        <w:t xml:space="preserve"> </w:t>
      </w:r>
      <w:r w:rsidR="00122F78" w:rsidRPr="00382917">
        <w:t>sure</w:t>
      </w:r>
      <w:r w:rsidR="00EE4FC3">
        <w:t xml:space="preserve"> </w:t>
      </w:r>
      <w:r w:rsidR="00122F78" w:rsidRPr="00382917">
        <w:t>that</w:t>
      </w:r>
      <w:r w:rsidR="00EE4FC3">
        <w:t xml:space="preserve"> </w:t>
      </w:r>
      <w:r w:rsidR="00122F78" w:rsidRPr="00382917">
        <w:t>I</w:t>
      </w:r>
      <w:r w:rsidR="00EE4FC3">
        <w:t xml:space="preserve"> </w:t>
      </w:r>
      <w:r w:rsidR="00122F78" w:rsidRPr="00382917">
        <w:t>could</w:t>
      </w:r>
      <w:r w:rsidR="00EE4FC3">
        <w:t xml:space="preserve"> </w:t>
      </w:r>
      <w:r w:rsidR="00122F78" w:rsidRPr="00382917">
        <w:t>never</w:t>
      </w:r>
      <w:r w:rsidR="00EE4FC3">
        <w:t xml:space="preserve"> </w:t>
      </w:r>
      <w:r w:rsidR="00122F78" w:rsidRPr="00382917">
        <w:t>find</w:t>
      </w:r>
      <w:r w:rsidR="00EE4FC3">
        <w:t xml:space="preserve"> </w:t>
      </w:r>
      <w:r w:rsidR="00122F78" w:rsidRPr="00382917">
        <w:t>another</w:t>
      </w:r>
      <w:r w:rsidR="00EE4FC3">
        <w:t xml:space="preserve"> </w:t>
      </w:r>
      <w:r w:rsidR="00122F78" w:rsidRPr="00382917">
        <w:t>like</w:t>
      </w:r>
      <w:r w:rsidR="00EE4FC3">
        <w:t xml:space="preserve"> </w:t>
      </w:r>
      <w:r w:rsidR="00122F78" w:rsidRPr="00382917">
        <w:t>Him</w:t>
      </w:r>
      <w:r w:rsidR="00EE4FC3">
        <w:t xml:space="preserve"> </w:t>
      </w:r>
      <w:r w:rsidR="00122F78" w:rsidRPr="00382917">
        <w:t>in</w:t>
      </w:r>
      <w:r w:rsidR="00EE4FC3">
        <w:t xml:space="preserve"> </w:t>
      </w:r>
      <w:r w:rsidR="00122F78" w:rsidRPr="00382917">
        <w:t>the</w:t>
      </w:r>
      <w:r w:rsidR="00EE4FC3">
        <w:t xml:space="preserve"> </w:t>
      </w:r>
      <w:r w:rsidR="00122F78" w:rsidRPr="00382917">
        <w:t>whole</w:t>
      </w:r>
      <w:r w:rsidR="00EE4FC3">
        <w:t xml:space="preserve"> </w:t>
      </w:r>
      <w:r w:rsidR="00122F78" w:rsidRPr="00382917">
        <w:t>human</w:t>
      </w:r>
      <w:r w:rsidR="00EE4FC3">
        <w:t xml:space="preserve"> </w:t>
      </w:r>
      <w:r w:rsidR="00122F78" w:rsidRPr="00382917">
        <w:t>race.</w:t>
      </w:r>
      <w:r w:rsidRPr="00382917">
        <w:t>”</w:t>
      </w:r>
    </w:p>
    <w:p w:rsidR="00122F78" w:rsidRPr="00382917" w:rsidRDefault="00122F78" w:rsidP="00122F78">
      <w:pPr>
        <w:pStyle w:val="Text"/>
      </w:pPr>
      <w:r w:rsidRPr="00382917">
        <w:t>The</w:t>
      </w:r>
      <w:r w:rsidR="00EE4FC3">
        <w:t xml:space="preserve"> </w:t>
      </w:r>
      <w:r w:rsidRPr="00382917">
        <w:t>priest</w:t>
      </w:r>
      <w:r w:rsidR="00EE4FC3">
        <w:t xml:space="preserve"> </w:t>
      </w:r>
      <w:r w:rsidRPr="00382917">
        <w:t>followed</w:t>
      </w:r>
      <w:r w:rsidR="00EE4FC3">
        <w:t xml:space="preserve"> </w:t>
      </w:r>
      <w:r w:rsidRPr="00382917">
        <w:t>the</w:t>
      </w:r>
      <w:r w:rsidR="00EE4FC3">
        <w:t xml:space="preserve"> </w:t>
      </w:r>
      <w:r w:rsidRPr="00382917">
        <w:t>boy</w:t>
      </w:r>
      <w:r w:rsidR="00EE4FC3">
        <w:t xml:space="preserve"> </w:t>
      </w:r>
      <w:r w:rsidRPr="00382917">
        <w:t>to</w:t>
      </w:r>
      <w:r w:rsidR="00EE4FC3">
        <w:t xml:space="preserve"> </w:t>
      </w:r>
      <w:r w:rsidRPr="00382917">
        <w:t>the</w:t>
      </w:r>
      <w:r w:rsidR="00EE4FC3">
        <w:t xml:space="preserve"> </w:t>
      </w:r>
      <w:r w:rsidRPr="00382917">
        <w:t>tiny</w:t>
      </w:r>
      <w:r w:rsidR="00EE4FC3">
        <w:t xml:space="preserve"> </w:t>
      </w:r>
      <w:r w:rsidRPr="00382917">
        <w:t>school</w:t>
      </w:r>
      <w:r w:rsidR="00EE4FC3">
        <w:t xml:space="preserve"> </w:t>
      </w:r>
      <w:r w:rsidRPr="00382917">
        <w:t>that</w:t>
      </w:r>
      <w:r w:rsidR="00EE4FC3">
        <w:t xml:space="preserve"> </w:t>
      </w:r>
      <w:r w:rsidRPr="00382917">
        <w:t>He</w:t>
      </w:r>
      <w:r w:rsidR="00EE4FC3">
        <w:t xml:space="preserve"> </w:t>
      </w:r>
      <w:r w:rsidRPr="00382917">
        <w:t>attended</w:t>
      </w:r>
      <w:r w:rsidR="00C03C91">
        <w:t>.</w:t>
      </w:r>
      <w:r w:rsidR="00EE4FC3">
        <w:t xml:space="preserve">  </w:t>
      </w:r>
      <w:r w:rsidRPr="00382917">
        <w:t>He</w:t>
      </w:r>
      <w:r w:rsidR="00EE4FC3">
        <w:t xml:space="preserve"> </w:t>
      </w:r>
      <w:r w:rsidRPr="00382917">
        <w:t>could</w:t>
      </w:r>
      <w:r w:rsidR="00EE4FC3">
        <w:t xml:space="preserve"> </w:t>
      </w:r>
      <w:r w:rsidRPr="00382917">
        <w:t>not</w:t>
      </w:r>
      <w:r w:rsidR="00EE4FC3">
        <w:t xml:space="preserve"> </w:t>
      </w:r>
      <w:r w:rsidRPr="00382917">
        <w:t>forget</w:t>
      </w:r>
      <w:r w:rsidR="00EE4FC3">
        <w:t xml:space="preserve"> </w:t>
      </w:r>
      <w:r w:rsidRPr="00382917">
        <w:t>that</w:t>
      </w:r>
      <w:r w:rsidR="00EE4FC3">
        <w:t xml:space="preserve"> </w:t>
      </w:r>
      <w:r w:rsidRPr="00382917">
        <w:t>face</w:t>
      </w:r>
      <w:r w:rsidR="00C03C91">
        <w:t>.</w:t>
      </w:r>
      <w:r w:rsidR="00EE4FC3">
        <w:t xml:space="preserve">  </w:t>
      </w:r>
      <w:r w:rsidRPr="00382917">
        <w:t>He</w:t>
      </w:r>
      <w:r w:rsidR="00EE4FC3">
        <w:t xml:space="preserve"> </w:t>
      </w:r>
      <w:r w:rsidRPr="00382917">
        <w:t>went</w:t>
      </w:r>
      <w:r w:rsidR="00EE4FC3">
        <w:t xml:space="preserve"> </w:t>
      </w:r>
      <w:r w:rsidRPr="00382917">
        <w:t>to</w:t>
      </w:r>
      <w:r w:rsidR="00EE4FC3">
        <w:t xml:space="preserve"> </w:t>
      </w:r>
      <w:r w:rsidRPr="00382917">
        <w:t>the</w:t>
      </w:r>
      <w:r w:rsidR="00EE4FC3">
        <w:t xml:space="preserve"> </w:t>
      </w:r>
      <w:r w:rsidRPr="00382917">
        <w:t>tutor</w:t>
      </w:r>
      <w:r w:rsidR="00EE4FC3">
        <w:t xml:space="preserve"> </w:t>
      </w:r>
      <w:r w:rsidRPr="00382917">
        <w:t>and</w:t>
      </w:r>
      <w:r w:rsidR="00EE4FC3">
        <w:t xml:space="preserve"> </w:t>
      </w:r>
      <w:r w:rsidRPr="00382917">
        <w:t>inquired</w:t>
      </w:r>
      <w:r w:rsidR="00EE4FC3">
        <w:t xml:space="preserve"> </w:t>
      </w:r>
      <w:r w:rsidRPr="00382917">
        <w:t>about</w:t>
      </w:r>
      <w:r w:rsidR="00EE4FC3">
        <w:t xml:space="preserve"> </w:t>
      </w:r>
      <w:r w:rsidRPr="00382917">
        <w:t>the</w:t>
      </w:r>
      <w:r w:rsidR="00EE4FC3">
        <w:t xml:space="preserve"> </w:t>
      </w:r>
      <w:r w:rsidRPr="00382917">
        <w:t>child.</w:t>
      </w:r>
    </w:p>
    <w:p w:rsidR="00122F78" w:rsidRPr="00382917" w:rsidRDefault="009C713D" w:rsidP="00122F78">
      <w:pPr>
        <w:pStyle w:val="Text"/>
      </w:pPr>
      <w:r w:rsidRPr="00382917">
        <w:t>“</w:t>
      </w:r>
      <w:r w:rsidR="00122F78" w:rsidRPr="00382917">
        <w:t>What</w:t>
      </w:r>
      <w:r w:rsidR="00EE4FC3">
        <w:t xml:space="preserve"> </w:t>
      </w:r>
      <w:r w:rsidR="00122F78" w:rsidRPr="00382917">
        <w:t>do</w:t>
      </w:r>
      <w:r w:rsidR="00EE4FC3">
        <w:t xml:space="preserve"> </w:t>
      </w:r>
      <w:r w:rsidR="00122F78" w:rsidRPr="00382917">
        <w:t>you</w:t>
      </w:r>
      <w:r w:rsidR="00EE4FC3">
        <w:t xml:space="preserve"> </w:t>
      </w:r>
      <w:r w:rsidR="00122F78" w:rsidRPr="00382917">
        <w:t>think</w:t>
      </w:r>
      <w:r w:rsidR="00EE4FC3">
        <w:t xml:space="preserve"> </w:t>
      </w:r>
      <w:r w:rsidR="00122F78" w:rsidRPr="00382917">
        <w:t>of</w:t>
      </w:r>
      <w:r w:rsidR="00EE4FC3">
        <w:t xml:space="preserve"> </w:t>
      </w:r>
      <w:r w:rsidR="00122F78" w:rsidRPr="00382917">
        <w:t>this</w:t>
      </w:r>
      <w:r w:rsidR="00EE4FC3">
        <w:t xml:space="preserve"> </w:t>
      </w:r>
      <w:r w:rsidR="00122F78" w:rsidRPr="00382917">
        <w:t>boy?</w:t>
      </w:r>
      <w:r w:rsidRPr="00382917">
        <w:t>”</w:t>
      </w:r>
      <w:r w:rsidR="00EE4FC3">
        <w:t xml:space="preserve"> </w:t>
      </w:r>
      <w:r w:rsidR="00122F78" w:rsidRPr="00382917">
        <w:t>he</w:t>
      </w:r>
      <w:r w:rsidR="00EE4FC3">
        <w:t xml:space="preserve"> </w:t>
      </w:r>
      <w:r w:rsidR="00122F78" w:rsidRPr="00382917">
        <w:t>asked.</w:t>
      </w:r>
    </w:p>
    <w:p w:rsidR="00122F78" w:rsidRPr="00382917" w:rsidRDefault="00122F78" w:rsidP="00122F78">
      <w:pPr>
        <w:pStyle w:val="Text"/>
      </w:pPr>
      <w:r w:rsidRPr="00382917">
        <w:t>The</w:t>
      </w:r>
      <w:r w:rsidR="00EE4FC3">
        <w:t xml:space="preserve"> </w:t>
      </w:r>
      <w:r w:rsidRPr="00382917">
        <w:t>tutor</w:t>
      </w:r>
      <w:r w:rsidR="00EE4FC3">
        <w:t xml:space="preserve"> </w:t>
      </w:r>
      <w:r w:rsidRPr="00382917">
        <w:t>spoke</w:t>
      </w:r>
      <w:r w:rsidR="00EE4FC3">
        <w:t xml:space="preserve"> </w:t>
      </w:r>
      <w:r w:rsidRPr="00382917">
        <w:t>with</w:t>
      </w:r>
      <w:r w:rsidR="00EE4FC3">
        <w:t xml:space="preserve"> </w:t>
      </w:r>
      <w:r w:rsidRPr="00382917">
        <w:t>great</w:t>
      </w:r>
      <w:r w:rsidR="00EE4FC3">
        <w:t xml:space="preserve"> </w:t>
      </w:r>
      <w:r w:rsidRPr="00382917">
        <w:t>feeling</w:t>
      </w:r>
      <w:r w:rsidR="00C03C91">
        <w:t>.</w:t>
      </w:r>
      <w:r w:rsidR="00EE4FC3">
        <w:t xml:space="preserve">  </w:t>
      </w:r>
      <w:r w:rsidR="009C713D" w:rsidRPr="00382917">
        <w:t>“</w:t>
      </w:r>
      <w:r w:rsidRPr="00382917">
        <w:t>What</w:t>
      </w:r>
      <w:r w:rsidR="00EE4FC3">
        <w:t xml:space="preserve"> </w:t>
      </w:r>
      <w:r w:rsidRPr="00382917">
        <w:t>can</w:t>
      </w:r>
      <w:r w:rsidR="00EE4FC3">
        <w:t xml:space="preserve"> </w:t>
      </w:r>
      <w:r w:rsidRPr="00382917">
        <w:t>I</w:t>
      </w:r>
      <w:r w:rsidR="00EE4FC3">
        <w:t xml:space="preserve"> </w:t>
      </w:r>
      <w:r w:rsidRPr="00382917">
        <w:t>say</w:t>
      </w:r>
      <w:r w:rsidR="00EE4FC3">
        <w:t xml:space="preserve"> </w:t>
      </w:r>
      <w:r w:rsidRPr="00382917">
        <w:t>about</w:t>
      </w:r>
      <w:r w:rsidR="00EE4FC3">
        <w:t xml:space="preserve"> </w:t>
      </w:r>
      <w:r w:rsidRPr="00382917">
        <w:t>this</w:t>
      </w:r>
      <w:r w:rsidR="00EE4FC3">
        <w:t xml:space="preserve"> </w:t>
      </w:r>
      <w:proofErr w:type="gramStart"/>
      <w:r w:rsidRPr="00382917">
        <w:t>child!</w:t>
      </w:r>
      <w:proofErr w:type="gramEnd"/>
      <w:r w:rsidR="00EE4FC3">
        <w:t xml:space="preserve">  </w:t>
      </w:r>
      <w:r w:rsidRPr="00382917">
        <w:t>He</w:t>
      </w:r>
      <w:r w:rsidR="00EE4FC3">
        <w:t xml:space="preserve"> </w:t>
      </w:r>
      <w:r w:rsidRPr="00382917">
        <w:t>comes</w:t>
      </w:r>
      <w:r w:rsidR="00EE4FC3">
        <w:t xml:space="preserve"> </w:t>
      </w:r>
      <w:r w:rsidRPr="00382917">
        <w:t>to</w:t>
      </w:r>
      <w:r w:rsidR="00EE4FC3">
        <w:t xml:space="preserve"> </w:t>
      </w:r>
      <w:r w:rsidRPr="00382917">
        <w:t>my</w:t>
      </w:r>
      <w:r w:rsidR="00EE4FC3">
        <w:t xml:space="preserve"> </w:t>
      </w:r>
      <w:r w:rsidRPr="00382917">
        <w:t>school</w:t>
      </w:r>
      <w:r w:rsidR="00EE4FC3">
        <w:t xml:space="preserve"> </w:t>
      </w:r>
      <w:r w:rsidRPr="00382917">
        <w:t>as</w:t>
      </w:r>
      <w:r w:rsidR="00EE4FC3">
        <w:t xml:space="preserve"> </w:t>
      </w:r>
      <w:r w:rsidRPr="00382917">
        <w:t>a</w:t>
      </w:r>
      <w:r w:rsidR="00EE4FC3">
        <w:t xml:space="preserve"> </w:t>
      </w:r>
      <w:r w:rsidRPr="00382917">
        <w:t>pupil,</w:t>
      </w:r>
      <w:r w:rsidR="00EE4FC3">
        <w:t xml:space="preserve"> </w:t>
      </w:r>
      <w:r w:rsidRPr="00382917">
        <w:t>but</w:t>
      </w:r>
      <w:r w:rsidR="00EE4FC3">
        <w:t xml:space="preserve"> </w:t>
      </w:r>
      <w:r w:rsidRPr="00382917">
        <w:t>in</w:t>
      </w:r>
      <w:r w:rsidR="00EE4FC3">
        <w:t xml:space="preserve"> </w:t>
      </w:r>
      <w:r w:rsidRPr="00382917">
        <w:t>reality,</w:t>
      </w:r>
      <w:r w:rsidR="00EE4FC3">
        <w:t xml:space="preserve"> </w:t>
      </w:r>
      <w:r w:rsidRPr="00382917">
        <w:t>He</w:t>
      </w:r>
      <w:r w:rsidR="00EE4FC3">
        <w:t xml:space="preserve"> </w:t>
      </w:r>
      <w:r w:rsidRPr="00382917">
        <w:t>is</w:t>
      </w:r>
      <w:r w:rsidR="00EE4FC3">
        <w:t xml:space="preserve"> </w:t>
      </w:r>
      <w:r w:rsidRPr="00382917">
        <w:t>the</w:t>
      </w:r>
      <w:r w:rsidR="00EE4FC3">
        <w:t xml:space="preserve"> </w:t>
      </w:r>
      <w:r w:rsidRPr="00382917">
        <w:t>teacher</w:t>
      </w:r>
      <w:r w:rsidR="00EE4FC3">
        <w:t xml:space="preserve"> </w:t>
      </w:r>
      <w:r w:rsidRPr="00382917">
        <w:t>and</w:t>
      </w:r>
      <w:r w:rsidR="00EE4FC3">
        <w:t xml:space="preserve"> </w:t>
      </w:r>
      <w:r w:rsidRPr="00382917">
        <w:t>I</w:t>
      </w:r>
      <w:r w:rsidR="00EE4FC3">
        <w:t xml:space="preserve"> </w:t>
      </w:r>
      <w:r w:rsidRPr="00382917">
        <w:t>am</w:t>
      </w:r>
      <w:r w:rsidR="00EE4FC3">
        <w:t xml:space="preserve"> </w:t>
      </w:r>
      <w:r w:rsidRPr="00382917">
        <w:t>the</w:t>
      </w:r>
      <w:r w:rsidR="00EE4FC3">
        <w:t xml:space="preserve"> </w:t>
      </w:r>
      <w:r w:rsidRPr="00382917">
        <w:t>pupil</w:t>
      </w:r>
      <w:r w:rsidR="00C03C91">
        <w:t>.</w:t>
      </w:r>
      <w:r w:rsidR="00EE4FC3">
        <w:t xml:space="preserve">  </w:t>
      </w:r>
      <w:r w:rsidRPr="00382917">
        <w:t>If</w:t>
      </w:r>
      <w:r w:rsidR="00EE4FC3">
        <w:t xml:space="preserve"> </w:t>
      </w:r>
      <w:r w:rsidRPr="00382917">
        <w:t>you</w:t>
      </w:r>
      <w:r w:rsidR="00EE4FC3">
        <w:t xml:space="preserve"> </w:t>
      </w:r>
      <w:r w:rsidRPr="00382917">
        <w:t>could</w:t>
      </w:r>
      <w:r w:rsidR="00EE4FC3">
        <w:t xml:space="preserve"> </w:t>
      </w:r>
      <w:r w:rsidRPr="00382917">
        <w:t>but</w:t>
      </w:r>
      <w:r w:rsidR="00EE4FC3">
        <w:t xml:space="preserve"> </w:t>
      </w:r>
      <w:r w:rsidRPr="00382917">
        <w:t>hear</w:t>
      </w:r>
      <w:r w:rsidR="00EE4FC3">
        <w:t xml:space="preserve"> </w:t>
      </w:r>
      <w:r w:rsidRPr="00382917">
        <w:t>the</w:t>
      </w:r>
      <w:r w:rsidR="00EE4FC3">
        <w:t xml:space="preserve"> </w:t>
      </w:r>
      <w:r w:rsidRPr="00382917">
        <w:t>wonderful</w:t>
      </w:r>
      <w:r w:rsidR="00EE4FC3">
        <w:t xml:space="preserve"> </w:t>
      </w:r>
      <w:r w:rsidRPr="00382917">
        <w:t>things</w:t>
      </w:r>
      <w:r w:rsidR="00EE4FC3">
        <w:t xml:space="preserve"> </w:t>
      </w:r>
      <w:r w:rsidRPr="00382917">
        <w:t>He</w:t>
      </w:r>
      <w:r w:rsidR="00EE4FC3">
        <w:t xml:space="preserve"> </w:t>
      </w:r>
      <w:r w:rsidRPr="00382917">
        <w:t>says</w:t>
      </w:r>
      <w:r w:rsidR="00EE4FC3">
        <w:t xml:space="preserve"> </w:t>
      </w:r>
      <w:r w:rsidRPr="00382917">
        <w:t>in</w:t>
      </w:r>
      <w:r w:rsidR="00EE4FC3">
        <w:t xml:space="preserve"> </w:t>
      </w:r>
      <w:r w:rsidRPr="00382917">
        <w:t>the</w:t>
      </w:r>
      <w:r w:rsidR="00EE4FC3">
        <w:t xml:space="preserve"> </w:t>
      </w:r>
      <w:r w:rsidRPr="00382917">
        <w:t>classroom</w:t>
      </w:r>
      <w:r w:rsidR="00C03C91">
        <w:t>.</w:t>
      </w:r>
      <w:r w:rsidR="00EE4FC3">
        <w:t xml:space="preserve">  </w:t>
      </w:r>
      <w:r w:rsidRPr="00382917">
        <w:t>Such</w:t>
      </w:r>
      <w:r w:rsidR="00EE4FC3">
        <w:t xml:space="preserve"> </w:t>
      </w:r>
      <w:r w:rsidRPr="00382917">
        <w:t>deep</w:t>
      </w:r>
      <w:r w:rsidR="00EE4FC3">
        <w:t xml:space="preserve"> </w:t>
      </w:r>
      <w:r w:rsidRPr="00382917">
        <w:t>and</w:t>
      </w:r>
      <w:r w:rsidR="00EE4FC3">
        <w:t xml:space="preserve"> </w:t>
      </w:r>
      <w:r w:rsidRPr="00382917">
        <w:t>important</w:t>
      </w:r>
      <w:r w:rsidR="00EE4FC3">
        <w:t xml:space="preserve"> </w:t>
      </w:r>
      <w:r w:rsidRPr="00382917">
        <w:t>questions</w:t>
      </w:r>
      <w:r w:rsidR="00EE4FC3">
        <w:t xml:space="preserve"> </w:t>
      </w:r>
      <w:r w:rsidRPr="00382917">
        <w:t>He</w:t>
      </w:r>
      <w:r w:rsidR="00EE4FC3">
        <w:t xml:space="preserve"> </w:t>
      </w:r>
      <w:r w:rsidRPr="00382917">
        <w:t>speaks</w:t>
      </w:r>
      <w:r w:rsidR="00EE4FC3">
        <w:t xml:space="preserve"> </w:t>
      </w:r>
      <w:r w:rsidRPr="00382917">
        <w:t>about</w:t>
      </w:r>
      <w:r w:rsidR="00C03C91">
        <w:t>.</w:t>
      </w:r>
      <w:r w:rsidR="00EE4FC3">
        <w:t xml:space="preserve">  </w:t>
      </w:r>
      <w:r w:rsidRPr="00382917">
        <w:t>What</w:t>
      </w:r>
      <w:r w:rsidR="00EE4FC3">
        <w:t xml:space="preserve"> </w:t>
      </w:r>
      <w:r w:rsidRPr="00382917">
        <w:t>can</w:t>
      </w:r>
      <w:r w:rsidR="00EE4FC3">
        <w:t xml:space="preserve"> </w:t>
      </w:r>
      <w:r w:rsidRPr="00382917">
        <w:t>I</w:t>
      </w:r>
      <w:r w:rsidR="00EE4FC3">
        <w:t xml:space="preserve"> </w:t>
      </w:r>
      <w:r w:rsidRPr="00382917">
        <w:t>say</w:t>
      </w:r>
      <w:r w:rsidR="00EE4FC3">
        <w:t xml:space="preserve"> </w:t>
      </w:r>
      <w:r w:rsidRPr="00382917">
        <w:t>about</w:t>
      </w:r>
      <w:r w:rsidR="00EE4FC3">
        <w:t xml:space="preserve"> </w:t>
      </w:r>
      <w:r w:rsidRPr="00382917">
        <w:t>this</w:t>
      </w:r>
      <w:r w:rsidR="00EE4FC3">
        <w:t xml:space="preserve"> </w:t>
      </w:r>
      <w:r w:rsidRPr="00382917">
        <w:t>child?</w:t>
      </w:r>
      <w:r w:rsidR="00EE4FC3">
        <w:t xml:space="preserve">  </w:t>
      </w:r>
      <w:r w:rsidRPr="00382917">
        <w:t>To</w:t>
      </w:r>
      <w:r w:rsidR="00EE4FC3">
        <w:t xml:space="preserve"> </w:t>
      </w:r>
      <w:r w:rsidRPr="00382917">
        <w:t>me</w:t>
      </w:r>
      <w:r w:rsidR="00EE4FC3">
        <w:t xml:space="preserve"> </w:t>
      </w:r>
      <w:r w:rsidRPr="00382917">
        <w:t>He</w:t>
      </w:r>
      <w:r w:rsidR="00EE4FC3">
        <w:t xml:space="preserve"> </w:t>
      </w:r>
      <w:r w:rsidRPr="00382917">
        <w:t>seems</w:t>
      </w:r>
      <w:r w:rsidR="00EE4FC3">
        <w:t xml:space="preserve"> </w:t>
      </w:r>
      <w:r w:rsidRPr="00382917">
        <w:t>to</w:t>
      </w:r>
      <w:r w:rsidR="00EE4FC3">
        <w:t xml:space="preserve"> </w:t>
      </w:r>
      <w:r w:rsidRPr="00382917">
        <w:t>be</w:t>
      </w:r>
      <w:r w:rsidR="00EE4FC3">
        <w:t xml:space="preserve"> </w:t>
      </w:r>
      <w:r w:rsidRPr="00382917">
        <w:t>ready</w:t>
      </w:r>
      <w:r w:rsidR="00EE4FC3">
        <w:t xml:space="preserve"> </w:t>
      </w:r>
      <w:r w:rsidRPr="00382917">
        <w:t>to</w:t>
      </w:r>
      <w:r w:rsidR="00EE4FC3">
        <w:t xml:space="preserve"> </w:t>
      </w:r>
      <w:r w:rsidRPr="00382917">
        <w:t>give</w:t>
      </w:r>
      <w:r w:rsidR="00EE4FC3">
        <w:t xml:space="preserve"> </w:t>
      </w:r>
      <w:r w:rsidRPr="00382917">
        <w:t>out</w:t>
      </w:r>
      <w:r w:rsidR="00EE4FC3">
        <w:t xml:space="preserve"> </w:t>
      </w:r>
      <w:r w:rsidRPr="00382917">
        <w:t>a</w:t>
      </w:r>
      <w:r w:rsidR="00EE4FC3">
        <w:t xml:space="preserve"> </w:t>
      </w:r>
      <w:r w:rsidRPr="00382917">
        <w:t>message</w:t>
      </w:r>
      <w:r w:rsidR="00EE4FC3">
        <w:t xml:space="preserve"> </w:t>
      </w:r>
      <w:r w:rsidRPr="00382917">
        <w:t>to</w:t>
      </w:r>
      <w:r w:rsidR="00EE4FC3">
        <w:t xml:space="preserve"> </w:t>
      </w:r>
      <w:r w:rsidRPr="00382917">
        <w:t>the</w:t>
      </w:r>
      <w:r w:rsidR="00EE4FC3">
        <w:t xml:space="preserve"> </w:t>
      </w:r>
      <w:r w:rsidRPr="00382917">
        <w:t>world.</w:t>
      </w:r>
      <w:r w:rsidR="009C713D" w:rsidRPr="00382917">
        <w:t>”</w:t>
      </w:r>
    </w:p>
    <w:p w:rsidR="00122F78" w:rsidRPr="00382917" w:rsidRDefault="00122F78" w:rsidP="00122F78">
      <w:pPr>
        <w:pStyle w:val="Text"/>
      </w:pPr>
      <w:r w:rsidRPr="00382917">
        <w:t>The</w:t>
      </w:r>
      <w:r w:rsidR="00EE4FC3">
        <w:t xml:space="preserve"> </w:t>
      </w:r>
      <w:r w:rsidRPr="00382917">
        <w:t>admiration</w:t>
      </w:r>
      <w:r w:rsidR="00EE4FC3">
        <w:t xml:space="preserve"> </w:t>
      </w:r>
      <w:r w:rsidRPr="00382917">
        <w:t>of</w:t>
      </w:r>
      <w:r w:rsidR="00EE4FC3">
        <w:t xml:space="preserve"> </w:t>
      </w:r>
      <w:r w:rsidRPr="00382917">
        <w:t>the</w:t>
      </w:r>
      <w:r w:rsidR="00EE4FC3">
        <w:t xml:space="preserve"> </w:t>
      </w:r>
      <w:r w:rsidRPr="00382917">
        <w:t>tutor</w:t>
      </w:r>
      <w:r w:rsidR="00EE4FC3">
        <w:t xml:space="preserve"> </w:t>
      </w:r>
      <w:r w:rsidRPr="00382917">
        <w:t>for</w:t>
      </w:r>
      <w:r w:rsidR="00EE4FC3">
        <w:t xml:space="preserve"> </w:t>
      </w:r>
      <w:r w:rsidRPr="00382917">
        <w:t>this</w:t>
      </w:r>
      <w:r w:rsidR="00EE4FC3">
        <w:t xml:space="preserve"> </w:t>
      </w:r>
      <w:r w:rsidRPr="00382917">
        <w:t>little</w:t>
      </w:r>
      <w:r w:rsidR="00EE4FC3">
        <w:t xml:space="preserve"> </w:t>
      </w:r>
      <w:r w:rsidRPr="00382917">
        <w:t>boy</w:t>
      </w:r>
      <w:r w:rsidR="00EE4FC3">
        <w:t xml:space="preserve"> </w:t>
      </w:r>
      <w:r w:rsidRPr="00382917">
        <w:t>increased</w:t>
      </w:r>
      <w:r w:rsidR="00EE4FC3">
        <w:t xml:space="preserve"> </w:t>
      </w:r>
      <w:r w:rsidRPr="00382917">
        <w:t>the</w:t>
      </w:r>
      <w:r w:rsidR="00EE4FC3">
        <w:t xml:space="preserve"> </w:t>
      </w:r>
      <w:r w:rsidRPr="00382917">
        <w:t>priest</w:t>
      </w:r>
      <w:r w:rsidR="009C713D" w:rsidRPr="00382917">
        <w:t>’</w:t>
      </w:r>
      <w:r w:rsidRPr="00382917">
        <w:t>s</w:t>
      </w:r>
      <w:r w:rsidR="00EE4FC3">
        <w:t xml:space="preserve"> </w:t>
      </w:r>
      <w:r w:rsidRPr="00382917">
        <w:t>interest</w:t>
      </w:r>
      <w:r w:rsidR="00EE4FC3">
        <w:t xml:space="preserve"> </w:t>
      </w:r>
      <w:r w:rsidRPr="00382917">
        <w:t>and</w:t>
      </w:r>
      <w:r w:rsidR="00EE4FC3">
        <w:t xml:space="preserve"> </w:t>
      </w:r>
      <w:r w:rsidRPr="00382917">
        <w:t>wonder</w:t>
      </w:r>
      <w:r w:rsidR="00C03C91">
        <w:t>.</w:t>
      </w:r>
      <w:r w:rsidR="00EE4FC3">
        <w:t xml:space="preserve">  </w:t>
      </w:r>
      <w:r w:rsidRPr="00382917">
        <w:t>He</w:t>
      </w:r>
      <w:r w:rsidR="00EE4FC3">
        <w:t xml:space="preserve"> </w:t>
      </w:r>
      <w:r w:rsidRPr="00382917">
        <w:t>returned</w:t>
      </w:r>
      <w:r w:rsidR="00EE4FC3">
        <w:t xml:space="preserve"> </w:t>
      </w:r>
      <w:r w:rsidRPr="00382917">
        <w:t>to</w:t>
      </w:r>
      <w:r w:rsidR="00EE4FC3">
        <w:t xml:space="preserve"> </w:t>
      </w:r>
      <w:r w:rsidRPr="00382917">
        <w:t>the</w:t>
      </w:r>
      <w:r w:rsidR="00EE4FC3">
        <w:t xml:space="preserve"> </w:t>
      </w:r>
      <w:r w:rsidRPr="00382917">
        <w:t>home</w:t>
      </w:r>
      <w:r w:rsidR="00EE4FC3">
        <w:t xml:space="preserve"> </w:t>
      </w:r>
      <w:r w:rsidRPr="00382917">
        <w:t>of</w:t>
      </w:r>
      <w:r w:rsidR="00EE4FC3">
        <w:t xml:space="preserve"> </w:t>
      </w:r>
      <w:r w:rsidRPr="00382917">
        <w:t>the</w:t>
      </w:r>
      <w:r w:rsidR="00EE4FC3">
        <w:t xml:space="preserve"> </w:t>
      </w:r>
      <w:r w:rsidRPr="00382917">
        <w:t>Báb</w:t>
      </w:r>
      <w:r w:rsidR="009C713D" w:rsidRPr="00382917">
        <w:t>’</w:t>
      </w:r>
      <w:r w:rsidRPr="00382917">
        <w:t>s</w:t>
      </w:r>
      <w:r w:rsidR="00EE4FC3">
        <w:t xml:space="preserve"> </w:t>
      </w:r>
      <w:r w:rsidRPr="00382917">
        <w:t>uncle</w:t>
      </w:r>
      <w:r w:rsidR="00EE4FC3">
        <w:t xml:space="preserve"> </w:t>
      </w:r>
      <w:r w:rsidRPr="00382917">
        <w:t>and</w:t>
      </w:r>
      <w:r w:rsidR="00EE4FC3">
        <w:t xml:space="preserve"> </w:t>
      </w:r>
      <w:r w:rsidRPr="00382917">
        <w:t>told</w:t>
      </w:r>
      <w:r w:rsidR="00EE4FC3">
        <w:t xml:space="preserve"> </w:t>
      </w:r>
      <w:r w:rsidRPr="00382917">
        <w:t>him</w:t>
      </w:r>
      <w:r w:rsidR="00EE4FC3">
        <w:t xml:space="preserve"> </w:t>
      </w:r>
      <w:r w:rsidRPr="00382917">
        <w:t>what</w:t>
      </w:r>
      <w:r w:rsidR="00EE4FC3">
        <w:t xml:space="preserve"> </w:t>
      </w:r>
      <w:r w:rsidRPr="00382917">
        <w:t>the</w:t>
      </w:r>
      <w:r w:rsidR="00EE4FC3">
        <w:t xml:space="preserve"> </w:t>
      </w:r>
      <w:r w:rsidRPr="00382917">
        <w:t>tutor</w:t>
      </w:r>
      <w:r w:rsidR="00EE4FC3">
        <w:t xml:space="preserve"> </w:t>
      </w:r>
      <w:r w:rsidRPr="00382917">
        <w:t>had</w:t>
      </w:r>
      <w:r w:rsidR="00EE4FC3">
        <w:t xml:space="preserve"> </w:t>
      </w:r>
      <w:r w:rsidRPr="00382917">
        <w:t>said</w:t>
      </w:r>
      <w:r w:rsidR="00C03C91">
        <w:t>.</w:t>
      </w:r>
      <w:r w:rsidR="00EE4FC3">
        <w:t xml:space="preserve">  </w:t>
      </w:r>
      <w:r w:rsidRPr="00382917">
        <w:t>The</w:t>
      </w:r>
      <w:r w:rsidR="00EE4FC3">
        <w:t xml:space="preserve"> </w:t>
      </w:r>
      <w:r w:rsidRPr="00382917">
        <w:t>uncle</w:t>
      </w:r>
      <w:r w:rsidR="00EE4FC3">
        <w:t xml:space="preserve"> </w:t>
      </w:r>
      <w:r w:rsidRPr="00382917">
        <w:t>then</w:t>
      </w:r>
      <w:r w:rsidR="00EE4FC3">
        <w:t xml:space="preserve"> </w:t>
      </w:r>
      <w:r w:rsidRPr="00382917">
        <w:t>confided</w:t>
      </w:r>
      <w:r w:rsidR="00EE4FC3">
        <w:t xml:space="preserve"> </w:t>
      </w:r>
      <w:r w:rsidRPr="00382917">
        <w:t>to</w:t>
      </w:r>
      <w:r w:rsidR="00EE4FC3">
        <w:t xml:space="preserve"> </w:t>
      </w:r>
      <w:r w:rsidRPr="00382917">
        <w:t>the</w:t>
      </w:r>
      <w:r w:rsidR="00EE4FC3">
        <w:t xml:space="preserve"> </w:t>
      </w:r>
      <w:r w:rsidRPr="00382917">
        <w:t>priest</w:t>
      </w:r>
      <w:r w:rsidR="00EE4FC3">
        <w:t xml:space="preserve"> </w:t>
      </w:r>
      <w:r w:rsidRPr="00382917">
        <w:t>the</w:t>
      </w:r>
      <w:r w:rsidR="00EE4FC3">
        <w:t xml:space="preserve"> </w:t>
      </w:r>
      <w:r w:rsidRPr="00382917">
        <w:t>dream</w:t>
      </w:r>
      <w:r w:rsidR="00EE4FC3">
        <w:t xml:space="preserve"> </w:t>
      </w:r>
      <w:r w:rsidRPr="00382917">
        <w:t>which</w:t>
      </w:r>
      <w:r w:rsidR="00EE4FC3">
        <w:t xml:space="preserve"> </w:t>
      </w:r>
      <w:r w:rsidRPr="00382917">
        <w:t>he</w:t>
      </w:r>
      <w:r w:rsidR="00EE4FC3">
        <w:t xml:space="preserve"> </w:t>
      </w:r>
      <w:r w:rsidRPr="00382917">
        <w:t>had</w:t>
      </w:r>
      <w:r w:rsidR="00EE4FC3">
        <w:t xml:space="preserve"> </w:t>
      </w:r>
      <w:r w:rsidRPr="00382917">
        <w:t>had</w:t>
      </w:r>
      <w:r w:rsidR="00EE4FC3">
        <w:t xml:space="preserve"> </w:t>
      </w:r>
      <w:r w:rsidRPr="00382917">
        <w:t>about</w:t>
      </w:r>
      <w:r w:rsidR="00EE4FC3">
        <w:t xml:space="preserve"> </w:t>
      </w:r>
      <w:r w:rsidRPr="00382917">
        <w:t>his</w:t>
      </w:r>
      <w:r w:rsidR="00EE4FC3">
        <w:t xml:space="preserve"> </w:t>
      </w:r>
      <w:r w:rsidRPr="00382917">
        <w:t>nephew</w:t>
      </w:r>
      <w:r w:rsidR="00EE4FC3">
        <w:t xml:space="preserve"> </w:t>
      </w:r>
      <w:r w:rsidRPr="00382917">
        <w:t>when</w:t>
      </w:r>
      <w:r w:rsidR="00EE4FC3">
        <w:t xml:space="preserve"> </w:t>
      </w:r>
      <w:r w:rsidRPr="00382917">
        <w:t>the</w:t>
      </w:r>
      <w:r w:rsidR="00EE4FC3">
        <w:t xml:space="preserve"> </w:t>
      </w:r>
      <w:r w:rsidRPr="00382917">
        <w:t>Báb</w:t>
      </w:r>
      <w:r w:rsidR="00EE4FC3">
        <w:t xml:space="preserve"> </w:t>
      </w:r>
      <w:r w:rsidRPr="00382917">
        <w:t>was</w:t>
      </w:r>
      <w:r w:rsidR="00EE4FC3">
        <w:t xml:space="preserve"> </w:t>
      </w:r>
      <w:r w:rsidRPr="00382917">
        <w:t>five</w:t>
      </w:r>
      <w:r w:rsidR="00EE4FC3">
        <w:t xml:space="preserve"> </w:t>
      </w:r>
      <w:r w:rsidRPr="00382917">
        <w:t>years</w:t>
      </w:r>
      <w:r w:rsidR="00EE4FC3">
        <w:t xml:space="preserve"> </w:t>
      </w:r>
      <w:r w:rsidRPr="00382917">
        <w:t>old.</w:t>
      </w:r>
    </w:p>
    <w:p w:rsidR="00122F78" w:rsidRPr="00382917" w:rsidRDefault="009C713D" w:rsidP="00122F78">
      <w:pPr>
        <w:pStyle w:val="Text"/>
      </w:pPr>
      <w:r w:rsidRPr="00382917">
        <w:t>“</w:t>
      </w:r>
      <w:r w:rsidR="00122F78" w:rsidRPr="00382917">
        <w:t>I</w:t>
      </w:r>
      <w:r w:rsidR="00EE4FC3">
        <w:t xml:space="preserve"> </w:t>
      </w:r>
      <w:r w:rsidR="00122F78" w:rsidRPr="00382917">
        <w:t>dreamed</w:t>
      </w:r>
      <w:r w:rsidR="00EE4FC3">
        <w:t xml:space="preserve"> </w:t>
      </w:r>
      <w:r w:rsidR="00122F78" w:rsidRPr="00382917">
        <w:t>that</w:t>
      </w:r>
      <w:r w:rsidR="00EE4FC3">
        <w:t xml:space="preserve"> </w:t>
      </w:r>
      <w:r w:rsidR="00122F78" w:rsidRPr="00382917">
        <w:t>a</w:t>
      </w:r>
      <w:r w:rsidR="00EE4FC3">
        <w:t xml:space="preserve"> </w:t>
      </w:r>
      <w:r w:rsidR="00122F78" w:rsidRPr="00382917">
        <w:t>pair</w:t>
      </w:r>
      <w:r w:rsidR="00EE4FC3">
        <w:t xml:space="preserve"> </w:t>
      </w:r>
      <w:r w:rsidR="00122F78" w:rsidRPr="00382917">
        <w:t>of</w:t>
      </w:r>
      <w:r w:rsidR="00EE4FC3">
        <w:t xml:space="preserve"> </w:t>
      </w:r>
      <w:r w:rsidR="00122F78" w:rsidRPr="00382917">
        <w:t>scales</w:t>
      </w:r>
      <w:r w:rsidR="00EE4FC3">
        <w:t xml:space="preserve"> </w:t>
      </w:r>
      <w:r w:rsidR="00122F78" w:rsidRPr="00382917">
        <w:t>hung</w:t>
      </w:r>
      <w:r w:rsidR="00EE4FC3">
        <w:t xml:space="preserve"> </w:t>
      </w:r>
      <w:r w:rsidR="00122F78" w:rsidRPr="00382917">
        <w:t>from</w:t>
      </w:r>
      <w:r w:rsidR="00EE4FC3">
        <w:t xml:space="preserve"> </w:t>
      </w:r>
      <w:r w:rsidR="00122F78" w:rsidRPr="00382917">
        <w:t>heaven,</w:t>
      </w:r>
      <w:r w:rsidRPr="00382917">
        <w:t>”</w:t>
      </w:r>
      <w:r w:rsidR="00EE4FC3">
        <w:t xml:space="preserve"> </w:t>
      </w:r>
      <w:r w:rsidR="00122F78" w:rsidRPr="00382917">
        <w:t>he</w:t>
      </w:r>
      <w:r w:rsidR="00EE4FC3">
        <w:t xml:space="preserve"> </w:t>
      </w:r>
      <w:r w:rsidR="00122F78" w:rsidRPr="00382917">
        <w:t>said</w:t>
      </w:r>
      <w:r w:rsidR="00C03C91">
        <w:t>.</w:t>
      </w:r>
      <w:r w:rsidR="00EE4FC3">
        <w:t xml:space="preserve">  </w:t>
      </w:r>
      <w:r w:rsidRPr="00382917">
        <w:t>“</w:t>
      </w:r>
      <w:r w:rsidR="00122F78" w:rsidRPr="00382917">
        <w:t>On</w:t>
      </w:r>
      <w:r w:rsidR="00EE4FC3">
        <w:t xml:space="preserve"> </w:t>
      </w:r>
      <w:r w:rsidR="00122F78" w:rsidRPr="00382917">
        <w:t>one</w:t>
      </w:r>
      <w:r w:rsidR="00EE4FC3">
        <w:t xml:space="preserve"> </w:t>
      </w:r>
      <w:r w:rsidR="00122F78" w:rsidRPr="00382917">
        <w:t>side</w:t>
      </w:r>
      <w:r w:rsidR="00EE4FC3">
        <w:t xml:space="preserve"> </w:t>
      </w:r>
      <w:r w:rsidR="00122F78" w:rsidRPr="00382917">
        <w:t>of</w:t>
      </w:r>
      <w:r w:rsidR="00EE4FC3">
        <w:t xml:space="preserve"> </w:t>
      </w:r>
      <w:r w:rsidR="00122F78" w:rsidRPr="00382917">
        <w:t>the</w:t>
      </w:r>
      <w:r w:rsidR="00EE4FC3">
        <w:t xml:space="preserve"> </w:t>
      </w:r>
      <w:r w:rsidR="00122F78" w:rsidRPr="00382917">
        <w:t>scales</w:t>
      </w:r>
      <w:r w:rsidR="00EE4FC3">
        <w:t xml:space="preserve"> </w:t>
      </w:r>
      <w:r w:rsidR="00122F78" w:rsidRPr="00382917">
        <w:t>was</w:t>
      </w:r>
      <w:r w:rsidR="00EE4FC3">
        <w:t xml:space="preserve"> </w:t>
      </w:r>
      <w:r w:rsidR="00122F78" w:rsidRPr="00382917">
        <w:t>one</w:t>
      </w:r>
      <w:r w:rsidR="00EE4FC3">
        <w:t xml:space="preserve"> </w:t>
      </w:r>
      <w:r w:rsidR="00122F78" w:rsidRPr="00382917">
        <w:t>of</w:t>
      </w:r>
      <w:r w:rsidR="00EE4FC3">
        <w:t xml:space="preserve"> </w:t>
      </w:r>
      <w:r w:rsidR="00122F78" w:rsidRPr="00382917">
        <w:t>the</w:t>
      </w:r>
      <w:r w:rsidR="00EE4FC3">
        <w:t xml:space="preserve"> </w:t>
      </w:r>
      <w:r w:rsidR="00122F78" w:rsidRPr="00382917">
        <w:t>Prophets</w:t>
      </w:r>
      <w:r w:rsidR="00C03C91">
        <w:t>.</w:t>
      </w:r>
      <w:r w:rsidR="00EE4FC3">
        <w:t xml:space="preserve">  </w:t>
      </w:r>
      <w:r w:rsidR="00122F78" w:rsidRPr="00382917">
        <w:t>On</w:t>
      </w:r>
      <w:r w:rsidR="00EE4FC3">
        <w:t xml:space="preserve"> </w:t>
      </w:r>
      <w:r w:rsidR="00122F78" w:rsidRPr="00382917">
        <w:t>the</w:t>
      </w:r>
      <w:r w:rsidR="00EE4FC3">
        <w:t xml:space="preserve"> </w:t>
      </w:r>
      <w:r w:rsidR="00122F78" w:rsidRPr="00382917">
        <w:t>other</w:t>
      </w:r>
      <w:r w:rsidR="00EE4FC3">
        <w:t xml:space="preserve"> </w:t>
      </w:r>
      <w:r w:rsidR="00122F78" w:rsidRPr="00382917">
        <w:t>side,</w:t>
      </w:r>
      <w:r w:rsidR="00EE4FC3">
        <w:t xml:space="preserve"> </w:t>
      </w:r>
      <w:r w:rsidR="00122F78" w:rsidRPr="00382917">
        <w:t>this</w:t>
      </w:r>
      <w:r w:rsidR="00EE4FC3">
        <w:t xml:space="preserve"> </w:t>
      </w:r>
      <w:r w:rsidR="00122F78" w:rsidRPr="00382917">
        <w:t>child</w:t>
      </w:r>
      <w:r w:rsidR="00EE4FC3">
        <w:t xml:space="preserve"> </w:t>
      </w:r>
      <w:r w:rsidR="00122F78" w:rsidRPr="00382917">
        <w:t>was</w:t>
      </w:r>
      <w:r w:rsidR="00EE4FC3">
        <w:t xml:space="preserve"> </w:t>
      </w:r>
      <w:r w:rsidR="00122F78" w:rsidRPr="00382917">
        <w:t>placed</w:t>
      </w:r>
      <w:r w:rsidR="00EE4FC3">
        <w:t xml:space="preserve"> </w:t>
      </w:r>
      <w:r w:rsidR="00122F78" w:rsidRPr="00382917">
        <w:t>by</w:t>
      </w:r>
      <w:r w:rsidR="00EE4FC3">
        <w:t xml:space="preserve"> </w:t>
      </w:r>
      <w:r w:rsidR="00122F78" w:rsidRPr="00382917">
        <w:t>an</w:t>
      </w:r>
      <w:r w:rsidR="00EE4FC3">
        <w:t xml:space="preserve"> </w:t>
      </w:r>
      <w:r w:rsidR="00122F78" w:rsidRPr="00382917">
        <w:t>invisible</w:t>
      </w:r>
      <w:r w:rsidR="00EE4FC3">
        <w:t xml:space="preserve"> </w:t>
      </w:r>
      <w:r w:rsidR="00122F78" w:rsidRPr="00382917">
        <w:t>hand</w:t>
      </w:r>
      <w:r w:rsidR="00C03C91">
        <w:t>.</w:t>
      </w:r>
      <w:r w:rsidR="00EE4FC3">
        <w:t xml:space="preserve">  </w:t>
      </w:r>
      <w:r w:rsidR="00122F78" w:rsidRPr="00382917">
        <w:t>Then,</w:t>
      </w:r>
      <w:r w:rsidR="00EE4FC3">
        <w:t xml:space="preserve"> </w:t>
      </w:r>
      <w:r w:rsidR="00122F78" w:rsidRPr="00382917">
        <w:t>the</w:t>
      </w:r>
      <w:r w:rsidR="00EE4FC3">
        <w:t xml:space="preserve"> </w:t>
      </w:r>
      <w:r w:rsidR="00122F78" w:rsidRPr="00382917">
        <w:t>side</w:t>
      </w:r>
      <w:r w:rsidR="00EE4FC3">
        <w:t xml:space="preserve"> </w:t>
      </w:r>
      <w:r w:rsidR="00122F78" w:rsidRPr="00382917">
        <w:t>with</w:t>
      </w:r>
      <w:r w:rsidR="00EE4FC3">
        <w:t xml:space="preserve"> </w:t>
      </w:r>
      <w:r w:rsidR="00122F78" w:rsidRPr="00382917">
        <w:t>the</w:t>
      </w:r>
      <w:r w:rsidR="00EE4FC3">
        <w:t xml:space="preserve"> </w:t>
      </w:r>
      <w:r w:rsidR="00122F78" w:rsidRPr="00382917">
        <w:t>child</w:t>
      </w:r>
      <w:r w:rsidR="00EE4FC3">
        <w:t xml:space="preserve"> </w:t>
      </w:r>
      <w:r w:rsidR="00122F78" w:rsidRPr="00382917">
        <w:t>slowly</w:t>
      </w:r>
      <w:r w:rsidR="00EE4FC3">
        <w:t xml:space="preserve"> </w:t>
      </w:r>
      <w:r w:rsidR="00122F78" w:rsidRPr="00382917">
        <w:t>weighed</w:t>
      </w:r>
      <w:r w:rsidR="00EE4FC3">
        <w:t xml:space="preserve"> </w:t>
      </w:r>
      <w:r w:rsidR="00122F78" w:rsidRPr="00382917">
        <w:t>down</w:t>
      </w:r>
      <w:r w:rsidR="00EE4FC3">
        <w:t xml:space="preserve"> </w:t>
      </w:r>
      <w:r w:rsidR="00122F78" w:rsidRPr="00382917">
        <w:t>the</w:t>
      </w:r>
      <w:r w:rsidR="00EE4FC3">
        <w:t xml:space="preserve"> </w:t>
      </w:r>
      <w:r w:rsidR="00122F78" w:rsidRPr="00382917">
        <w:t>other.</w:t>
      </w:r>
      <w:r w:rsidRPr="00382917">
        <w:t>”</w:t>
      </w:r>
      <w:r w:rsidR="00A23C7C">
        <w:rPr>
          <w:rStyle w:val="FootnoteReference"/>
        </w:rPr>
        <w:footnoteReference w:id="49"/>
      </w:r>
    </w:p>
    <w:p w:rsidR="00122F78" w:rsidRPr="00382917" w:rsidRDefault="00122F78" w:rsidP="00122F78">
      <w:pPr>
        <w:pStyle w:val="Text"/>
      </w:pPr>
      <w:r w:rsidRPr="00382917">
        <w:t>The</w:t>
      </w:r>
      <w:r w:rsidR="00EE4FC3">
        <w:t xml:space="preserve"> </w:t>
      </w:r>
      <w:r w:rsidRPr="00382917">
        <w:t>Báb</w:t>
      </w:r>
      <w:r w:rsidR="009C713D" w:rsidRPr="00382917">
        <w:t>’</w:t>
      </w:r>
      <w:r w:rsidRPr="00382917">
        <w:t>s</w:t>
      </w:r>
      <w:r w:rsidR="00EE4FC3">
        <w:t xml:space="preserve"> </w:t>
      </w:r>
      <w:r w:rsidRPr="00382917">
        <w:t>uncle</w:t>
      </w:r>
      <w:r w:rsidR="00EE4FC3">
        <w:t xml:space="preserve"> </w:t>
      </w:r>
      <w:r w:rsidRPr="00382917">
        <w:t>was</w:t>
      </w:r>
      <w:r w:rsidR="00EE4FC3">
        <w:t xml:space="preserve"> </w:t>
      </w:r>
      <w:r w:rsidRPr="00382917">
        <w:t>finally</w:t>
      </w:r>
      <w:r w:rsidR="00EE4FC3">
        <w:t xml:space="preserve"> </w:t>
      </w:r>
      <w:r w:rsidRPr="00382917">
        <w:t>persuaded</w:t>
      </w:r>
      <w:r w:rsidR="00EE4FC3">
        <w:t xml:space="preserve"> </w:t>
      </w:r>
      <w:r w:rsidRPr="00382917">
        <w:t>to</w:t>
      </w:r>
      <w:r w:rsidR="00EE4FC3">
        <w:t xml:space="preserve"> </w:t>
      </w:r>
      <w:r w:rsidRPr="00382917">
        <w:t>take</w:t>
      </w:r>
      <w:r w:rsidR="00EE4FC3">
        <w:t xml:space="preserve"> </w:t>
      </w:r>
      <w:r w:rsidRPr="00382917">
        <w:t>the</w:t>
      </w:r>
      <w:r w:rsidR="00EE4FC3">
        <w:t xml:space="preserve"> </w:t>
      </w:r>
      <w:r w:rsidRPr="00382917">
        <w:t>boy</w:t>
      </w:r>
      <w:r w:rsidR="00EE4FC3">
        <w:t xml:space="preserve"> </w:t>
      </w:r>
      <w:r w:rsidRPr="00382917">
        <w:t>out</w:t>
      </w:r>
      <w:r w:rsidR="00EE4FC3">
        <w:t xml:space="preserve"> </w:t>
      </w:r>
      <w:r w:rsidRPr="00382917">
        <w:t>of</w:t>
      </w:r>
      <w:r w:rsidR="00EE4FC3">
        <w:t xml:space="preserve"> </w:t>
      </w:r>
      <w:r w:rsidRPr="00382917">
        <w:t>school</w:t>
      </w:r>
      <w:r w:rsidR="00C03C91">
        <w:t>.</w:t>
      </w:r>
      <w:r w:rsidR="00EE4FC3">
        <w:t xml:space="preserve">  </w:t>
      </w:r>
      <w:r w:rsidRPr="00382917">
        <w:t>With</w:t>
      </w:r>
      <w:r w:rsidR="00EE4FC3">
        <w:t xml:space="preserve"> </w:t>
      </w:r>
      <w:r w:rsidRPr="00382917">
        <w:t>the</w:t>
      </w:r>
      <w:r w:rsidR="00EE4FC3">
        <w:t xml:space="preserve"> </w:t>
      </w:r>
      <w:r w:rsidRPr="00382917">
        <w:t>greatest</w:t>
      </w:r>
      <w:r w:rsidR="00EE4FC3">
        <w:t xml:space="preserve"> </w:t>
      </w:r>
      <w:r w:rsidRPr="00382917">
        <w:t>of</w:t>
      </w:r>
      <w:r w:rsidR="00EE4FC3">
        <w:t xml:space="preserve"> </w:t>
      </w:r>
      <w:r w:rsidRPr="00382917">
        <w:t>love</w:t>
      </w:r>
      <w:r w:rsidR="00EE4FC3">
        <w:t xml:space="preserve"> </w:t>
      </w:r>
      <w:r w:rsidRPr="00382917">
        <w:t>and</w:t>
      </w:r>
      <w:r w:rsidR="00EE4FC3">
        <w:t xml:space="preserve"> </w:t>
      </w:r>
      <w:r w:rsidRPr="00382917">
        <w:t>care</w:t>
      </w:r>
      <w:r w:rsidR="00EE4FC3">
        <w:t xml:space="preserve"> </w:t>
      </w:r>
      <w:r w:rsidRPr="00382917">
        <w:t>the</w:t>
      </w:r>
      <w:r w:rsidR="00EE4FC3">
        <w:t xml:space="preserve"> </w:t>
      </w:r>
      <w:r w:rsidRPr="00382917">
        <w:t>uncle</w:t>
      </w:r>
      <w:r w:rsidR="00EE4FC3">
        <w:t xml:space="preserve"> </w:t>
      </w:r>
      <w:r w:rsidRPr="00382917">
        <w:t>raised</w:t>
      </w:r>
      <w:r w:rsidR="00EE4FC3">
        <w:t xml:space="preserve"> </w:t>
      </w:r>
      <w:r w:rsidRPr="00382917">
        <w:t>the</w:t>
      </w:r>
      <w:r w:rsidR="00EE4FC3">
        <w:t xml:space="preserve"> </w:t>
      </w:r>
      <w:r w:rsidRPr="00382917">
        <w:t>child</w:t>
      </w:r>
      <w:r w:rsidR="00C03C91">
        <w:t>.</w:t>
      </w:r>
      <w:r w:rsidR="00EE4FC3">
        <w:t xml:space="preserve">  </w:t>
      </w:r>
      <w:proofErr w:type="gramStart"/>
      <w:r w:rsidRPr="00382917">
        <w:t>When</w:t>
      </w:r>
      <w:r w:rsidR="00EE4FC3">
        <w:t xml:space="preserve"> </w:t>
      </w:r>
      <w:r w:rsidRPr="00382917">
        <w:t>He</w:t>
      </w:r>
      <w:r w:rsidR="00EE4FC3">
        <w:t xml:space="preserve"> </w:t>
      </w:r>
      <w:r w:rsidRPr="00382917">
        <w:t>was</w:t>
      </w:r>
      <w:r w:rsidR="00EE4FC3">
        <w:t xml:space="preserve"> </w:t>
      </w:r>
      <w:r w:rsidRPr="00382917">
        <w:t>seventeen</w:t>
      </w:r>
      <w:r w:rsidR="00EE4FC3">
        <w:t xml:space="preserve"> </w:t>
      </w:r>
      <w:r w:rsidRPr="00382917">
        <w:t>the</w:t>
      </w:r>
      <w:r w:rsidR="00EE4FC3">
        <w:t xml:space="preserve"> </w:t>
      </w:r>
      <w:r w:rsidRPr="00382917">
        <w:t>Báb</w:t>
      </w:r>
      <w:r w:rsidR="00EE4FC3">
        <w:t xml:space="preserve"> </w:t>
      </w:r>
      <w:r w:rsidRPr="00382917">
        <w:t>left</w:t>
      </w:r>
      <w:r w:rsidR="00EE4FC3">
        <w:t xml:space="preserve"> </w:t>
      </w:r>
      <w:r w:rsidR="008A073E" w:rsidRPr="00382917">
        <w:rPr>
          <w:u w:val="single"/>
        </w:rPr>
        <w:t>Sh</w:t>
      </w:r>
      <w:r w:rsidR="008A073E" w:rsidRPr="00382917">
        <w:t>íráz</w:t>
      </w:r>
      <w:r w:rsidR="00EE4FC3">
        <w:t xml:space="preserve"> </w:t>
      </w:r>
      <w:r w:rsidRPr="00382917">
        <w:t>for</w:t>
      </w:r>
      <w:r w:rsidR="00EE4FC3">
        <w:t xml:space="preserve"> </w:t>
      </w:r>
      <w:r w:rsidR="00CE7A86" w:rsidRPr="00382917">
        <w:t>Bú</w:t>
      </w:r>
      <w:r w:rsidR="00CE7A86" w:rsidRPr="00CE7A86">
        <w:rPr>
          <w:u w:val="single"/>
        </w:rPr>
        <w:t>sh</w:t>
      </w:r>
      <w:r w:rsidR="00CE7A86" w:rsidRPr="00382917">
        <w:t>ihr</w:t>
      </w:r>
      <w:r w:rsidR="00EE4FC3">
        <w:t xml:space="preserve"> </w:t>
      </w:r>
      <w:r w:rsidRPr="00382917">
        <w:t>where</w:t>
      </w:r>
      <w:r w:rsidR="00EE4FC3">
        <w:t xml:space="preserve"> </w:t>
      </w:r>
      <w:r w:rsidRPr="00382917">
        <w:t>He</w:t>
      </w:r>
      <w:r w:rsidR="00EE4FC3">
        <w:t xml:space="preserve"> </w:t>
      </w:r>
      <w:r w:rsidRPr="00382917">
        <w:t>engaged</w:t>
      </w:r>
      <w:r w:rsidR="00EE4FC3">
        <w:t xml:space="preserve"> </w:t>
      </w:r>
      <w:r w:rsidRPr="00382917">
        <w:t>in</w:t>
      </w:r>
      <w:r w:rsidR="00EE4FC3">
        <w:t xml:space="preserve"> </w:t>
      </w:r>
      <w:r w:rsidRPr="00382917">
        <w:t>business</w:t>
      </w:r>
      <w:r w:rsidR="00EE4FC3">
        <w:t xml:space="preserve"> </w:t>
      </w:r>
      <w:r w:rsidRPr="00382917">
        <w:t>for</w:t>
      </w:r>
      <w:r w:rsidR="00EE4FC3">
        <w:t xml:space="preserve"> </w:t>
      </w:r>
      <w:r w:rsidRPr="00382917">
        <w:t>His</w:t>
      </w:r>
      <w:r w:rsidR="00EE4FC3">
        <w:t xml:space="preserve"> </w:t>
      </w:r>
      <w:r w:rsidRPr="00382917">
        <w:t>uncle</w:t>
      </w:r>
      <w:r w:rsidR="00EE4FC3">
        <w:t xml:space="preserve"> </w:t>
      </w:r>
      <w:r w:rsidRPr="00382917">
        <w:t>as</w:t>
      </w:r>
      <w:r w:rsidR="00EE4FC3">
        <w:t xml:space="preserve"> </w:t>
      </w:r>
      <w:r w:rsidRPr="00382917">
        <w:t>a</w:t>
      </w:r>
      <w:r w:rsidR="00EE4FC3">
        <w:t xml:space="preserve"> </w:t>
      </w:r>
      <w:r w:rsidRPr="00382917">
        <w:t>merchant</w:t>
      </w:r>
      <w:r w:rsidR="00C03C91">
        <w:t>.</w:t>
      </w:r>
      <w:proofErr w:type="gramEnd"/>
      <w:r w:rsidR="00EE4FC3">
        <w:t xml:space="preserve">  </w:t>
      </w:r>
      <w:r w:rsidRPr="00382917">
        <w:t>During</w:t>
      </w:r>
      <w:r w:rsidR="00EE4FC3">
        <w:t xml:space="preserve"> </w:t>
      </w:r>
      <w:r w:rsidRPr="00382917">
        <w:t>this</w:t>
      </w:r>
      <w:r w:rsidR="00EE4FC3">
        <w:t xml:space="preserve"> </w:t>
      </w:r>
      <w:r w:rsidRPr="00382917">
        <w:t>time</w:t>
      </w:r>
      <w:r w:rsidR="00EE4FC3">
        <w:t xml:space="preserve"> </w:t>
      </w:r>
      <w:r w:rsidRPr="00382917">
        <w:t>He</w:t>
      </w:r>
      <w:r w:rsidR="00EE4FC3">
        <w:t xml:space="preserve"> </w:t>
      </w:r>
      <w:r w:rsidRPr="00382917">
        <w:t>won</w:t>
      </w:r>
      <w:r w:rsidR="00EE4FC3">
        <w:t xml:space="preserve"> </w:t>
      </w:r>
      <w:r w:rsidRPr="00382917">
        <w:t>the</w:t>
      </w:r>
      <w:r w:rsidR="00EE4FC3">
        <w:t xml:space="preserve"> </w:t>
      </w:r>
      <w:r w:rsidRPr="00382917">
        <w:t>esteem</w:t>
      </w:r>
      <w:r w:rsidR="00EE4FC3">
        <w:t xml:space="preserve"> </w:t>
      </w:r>
      <w:r w:rsidRPr="00382917">
        <w:t>of</w:t>
      </w:r>
      <w:r w:rsidR="00EE4FC3">
        <w:t xml:space="preserve"> </w:t>
      </w:r>
      <w:r w:rsidRPr="00382917">
        <w:t>all</w:t>
      </w:r>
      <w:r w:rsidR="00EE4FC3">
        <w:t xml:space="preserve"> </w:t>
      </w:r>
      <w:r w:rsidRPr="00382917">
        <w:t>the</w:t>
      </w:r>
      <w:r w:rsidR="00EE4FC3">
        <w:t xml:space="preserve"> </w:t>
      </w:r>
      <w:r w:rsidRPr="00382917">
        <w:t>merchants</w:t>
      </w:r>
      <w:r w:rsidR="00EE4FC3">
        <w:t xml:space="preserve"> </w:t>
      </w:r>
      <w:r w:rsidRPr="00382917">
        <w:t>because</w:t>
      </w:r>
      <w:r w:rsidR="00EE4FC3">
        <w:t xml:space="preserve"> </w:t>
      </w:r>
      <w:r w:rsidRPr="00382917">
        <w:t>of</w:t>
      </w:r>
      <w:r w:rsidR="00EE4FC3">
        <w:t xml:space="preserve"> </w:t>
      </w:r>
      <w:r w:rsidRPr="00382917">
        <w:t>His</w:t>
      </w:r>
      <w:r w:rsidR="00EE4FC3">
        <w:t xml:space="preserve"> </w:t>
      </w:r>
      <w:r w:rsidRPr="00382917">
        <w:t>honesty</w:t>
      </w:r>
      <w:r w:rsidR="00EE4FC3">
        <w:t xml:space="preserve"> </w:t>
      </w:r>
      <w:r w:rsidRPr="00382917">
        <w:t>and</w:t>
      </w:r>
      <w:r w:rsidR="00EE4FC3">
        <w:t xml:space="preserve"> </w:t>
      </w:r>
      <w:r w:rsidRPr="00382917">
        <w:t>kindness.</w:t>
      </w:r>
    </w:p>
    <w:p w:rsidR="00122F78" w:rsidRPr="00382917" w:rsidRDefault="00122F78">
      <w:pPr>
        <w:widowControl/>
        <w:kinsoku/>
        <w:overflowPunct/>
        <w:textAlignment w:val="auto"/>
      </w:pPr>
      <w:r w:rsidRPr="00382917">
        <w:br w:type="page"/>
      </w:r>
    </w:p>
    <w:p w:rsidR="00E13D49" w:rsidRPr="00382917" w:rsidRDefault="00122F78" w:rsidP="00A23C7C">
      <w:pPr>
        <w:pStyle w:val="Text"/>
      </w:pPr>
      <w:r w:rsidRPr="00382917">
        <w:t>An</w:t>
      </w:r>
      <w:r w:rsidR="00EE4FC3">
        <w:t xml:space="preserve"> </w:t>
      </w:r>
      <w:r w:rsidRPr="00382917">
        <w:t>eye-witness</w:t>
      </w:r>
      <w:r w:rsidR="00EE4FC3">
        <w:t xml:space="preserve"> </w:t>
      </w:r>
      <w:r w:rsidRPr="00382917">
        <w:t>who</w:t>
      </w:r>
      <w:r w:rsidR="00EE4FC3">
        <w:t xml:space="preserve"> </w:t>
      </w:r>
      <w:r w:rsidRPr="00382917">
        <w:t>met</w:t>
      </w:r>
      <w:r w:rsidR="00EE4FC3">
        <w:t xml:space="preserve"> </w:t>
      </w:r>
      <w:r w:rsidRPr="00382917">
        <w:t>the</w:t>
      </w:r>
      <w:r w:rsidR="00EE4FC3">
        <w:t xml:space="preserve"> </w:t>
      </w:r>
      <w:r w:rsidRPr="00382917">
        <w:t>Báb</w:t>
      </w:r>
      <w:r w:rsidR="00EE4FC3">
        <w:t xml:space="preserve"> </w:t>
      </w:r>
      <w:r w:rsidRPr="00382917">
        <w:t>in</w:t>
      </w:r>
      <w:r w:rsidR="00EE4FC3">
        <w:t xml:space="preserve"> </w:t>
      </w:r>
      <w:r w:rsidRPr="00382917">
        <w:t>those</w:t>
      </w:r>
      <w:r w:rsidR="00EE4FC3">
        <w:t xml:space="preserve"> </w:t>
      </w:r>
      <w:r w:rsidRPr="00382917">
        <w:t>days</w:t>
      </w:r>
      <w:r w:rsidR="00EE4FC3">
        <w:t xml:space="preserve"> </w:t>
      </w:r>
      <w:r w:rsidRPr="00382917">
        <w:t>has</w:t>
      </w:r>
      <w:r w:rsidR="00EE4FC3">
        <w:t xml:space="preserve"> </w:t>
      </w:r>
      <w:r w:rsidRPr="00382917">
        <w:t>said</w:t>
      </w:r>
      <w:r w:rsidR="00C03C91">
        <w:t>:</w:t>
      </w:r>
      <w:r w:rsidR="00EE4FC3">
        <w:t xml:space="preserve">  </w:t>
      </w:r>
      <w:r w:rsidR="009C713D" w:rsidRPr="00382917">
        <w:t>“</w:t>
      </w:r>
      <w:r w:rsidRPr="00382917">
        <w:t>I</w:t>
      </w:r>
      <w:r w:rsidR="00EE4FC3">
        <w:t xml:space="preserve"> </w:t>
      </w:r>
      <w:r w:rsidRPr="00382917">
        <w:t>often</w:t>
      </w:r>
      <w:r w:rsidR="00EE4FC3">
        <w:t xml:space="preserve"> </w:t>
      </w:r>
      <w:r w:rsidRPr="00382917">
        <w:t>heard</w:t>
      </w:r>
      <w:r w:rsidR="00EE4FC3">
        <w:t xml:space="preserve"> </w:t>
      </w:r>
      <w:r w:rsidRPr="00382917">
        <w:t>those</w:t>
      </w:r>
      <w:r w:rsidR="00EE4FC3">
        <w:t xml:space="preserve"> </w:t>
      </w:r>
      <w:r w:rsidRPr="00382917">
        <w:t>who</w:t>
      </w:r>
      <w:r w:rsidR="00EE4FC3">
        <w:t xml:space="preserve"> </w:t>
      </w:r>
      <w:r w:rsidRPr="00382917">
        <w:t>were</w:t>
      </w:r>
      <w:r w:rsidR="00EE4FC3">
        <w:t xml:space="preserve"> </w:t>
      </w:r>
      <w:r w:rsidRPr="00382917">
        <w:t>closely</w:t>
      </w:r>
      <w:r w:rsidR="00EE4FC3">
        <w:t xml:space="preserve"> </w:t>
      </w:r>
      <w:r w:rsidRPr="00382917">
        <w:t>associated</w:t>
      </w:r>
      <w:r w:rsidR="00EE4FC3">
        <w:t xml:space="preserve"> </w:t>
      </w:r>
      <w:r w:rsidRPr="00382917">
        <w:t>with</w:t>
      </w:r>
      <w:r w:rsidR="00EE4FC3">
        <w:t xml:space="preserve"> </w:t>
      </w:r>
      <w:r w:rsidRPr="00382917">
        <w:t>Him</w:t>
      </w:r>
      <w:r w:rsidR="00EE4FC3">
        <w:t xml:space="preserve"> </w:t>
      </w:r>
      <w:r w:rsidRPr="00382917">
        <w:t>testify</w:t>
      </w:r>
      <w:r w:rsidR="00EE4FC3">
        <w:t xml:space="preserve"> </w:t>
      </w:r>
      <w:r w:rsidRPr="00382917">
        <w:t>to</w:t>
      </w:r>
      <w:r w:rsidR="00EE4FC3">
        <w:t xml:space="preserve"> </w:t>
      </w:r>
      <w:r w:rsidRPr="00382917">
        <w:t>the</w:t>
      </w:r>
      <w:r w:rsidR="00EE4FC3">
        <w:t xml:space="preserve"> </w:t>
      </w:r>
      <w:r w:rsidRPr="00382917">
        <w:t>purity</w:t>
      </w:r>
      <w:r w:rsidR="00EE4FC3">
        <w:t xml:space="preserve"> </w:t>
      </w:r>
      <w:r w:rsidRPr="00382917">
        <w:t>of</w:t>
      </w:r>
      <w:r w:rsidR="00EE4FC3">
        <w:t xml:space="preserve"> </w:t>
      </w:r>
      <w:r w:rsidRPr="00382917">
        <w:t>His</w:t>
      </w:r>
      <w:r w:rsidR="00EE4FC3">
        <w:t xml:space="preserve"> </w:t>
      </w:r>
      <w:r w:rsidRPr="00382917">
        <w:t>character,</w:t>
      </w:r>
      <w:r w:rsidR="00EE4FC3">
        <w:t xml:space="preserve"> </w:t>
      </w:r>
      <w:r w:rsidRPr="00382917">
        <w:t>to</w:t>
      </w:r>
      <w:r w:rsidR="00EE4FC3">
        <w:t xml:space="preserve"> </w:t>
      </w:r>
      <w:r w:rsidRPr="00382917">
        <w:t>the</w:t>
      </w:r>
      <w:r w:rsidR="00EE4FC3">
        <w:t xml:space="preserve"> </w:t>
      </w:r>
      <w:r w:rsidRPr="00382917">
        <w:t>charm</w:t>
      </w:r>
      <w:r w:rsidR="00EE4FC3">
        <w:t xml:space="preserve"> </w:t>
      </w:r>
      <w:r w:rsidRPr="00382917">
        <w:t>of</w:t>
      </w:r>
      <w:r w:rsidR="00EE4FC3">
        <w:t xml:space="preserve"> </w:t>
      </w:r>
      <w:r w:rsidRPr="00382917">
        <w:t>His</w:t>
      </w:r>
      <w:r w:rsidR="00EE4FC3">
        <w:t xml:space="preserve"> </w:t>
      </w:r>
      <w:r w:rsidRPr="00382917">
        <w:t>manners</w:t>
      </w:r>
      <w:r w:rsidR="00EE4FC3">
        <w:t xml:space="preserve"> </w:t>
      </w:r>
      <w:r w:rsidRPr="00382917">
        <w:t>and</w:t>
      </w:r>
      <w:r w:rsidR="00EE4FC3">
        <w:t xml:space="preserve"> </w:t>
      </w:r>
      <w:r w:rsidRPr="00382917">
        <w:t>to</w:t>
      </w:r>
      <w:r w:rsidR="00EE4FC3">
        <w:t xml:space="preserve"> </w:t>
      </w:r>
      <w:r w:rsidRPr="00382917">
        <w:t>His</w:t>
      </w:r>
      <w:r w:rsidR="00EE4FC3">
        <w:t xml:space="preserve"> </w:t>
      </w:r>
      <w:r w:rsidRPr="00382917">
        <w:t>high</w:t>
      </w:r>
      <w:r w:rsidR="00EE4FC3">
        <w:t xml:space="preserve"> </w:t>
      </w:r>
      <w:r w:rsidRPr="00382917">
        <w:t>integrity</w:t>
      </w:r>
      <w:r w:rsidR="00C03C91">
        <w:t>.</w:t>
      </w:r>
      <w:r w:rsidR="00EE4FC3">
        <w:t xml:space="preserve">  </w:t>
      </w:r>
      <w:r w:rsidRPr="00382917">
        <w:t>A</w:t>
      </w:r>
      <w:r w:rsidR="00EE4FC3">
        <w:t xml:space="preserve"> </w:t>
      </w:r>
      <w:r w:rsidRPr="00382917">
        <w:t>trust</w:t>
      </w:r>
      <w:r w:rsidR="00EE4FC3">
        <w:t xml:space="preserve"> </w:t>
      </w:r>
      <w:r w:rsidRPr="00382917">
        <w:t>was</w:t>
      </w:r>
      <w:r w:rsidR="00EE4FC3">
        <w:t xml:space="preserve"> </w:t>
      </w:r>
      <w:r w:rsidRPr="00382917">
        <w:t>confided</w:t>
      </w:r>
      <w:r w:rsidR="00EE4FC3">
        <w:t xml:space="preserve"> </w:t>
      </w:r>
      <w:r w:rsidRPr="00382917">
        <w:t>to</w:t>
      </w:r>
      <w:r w:rsidR="00EE4FC3">
        <w:t xml:space="preserve"> </w:t>
      </w:r>
      <w:r w:rsidRPr="00382917">
        <w:t>His</w:t>
      </w:r>
      <w:r w:rsidR="00EE4FC3">
        <w:t xml:space="preserve"> </w:t>
      </w:r>
      <w:r w:rsidRPr="00382917">
        <w:t>care</w:t>
      </w:r>
      <w:r w:rsidR="00EE4FC3">
        <w:t xml:space="preserve"> </w:t>
      </w:r>
      <w:r w:rsidRPr="00382917">
        <w:t>to</w:t>
      </w:r>
      <w:r w:rsidR="00EE4FC3">
        <w:t xml:space="preserve"> </w:t>
      </w:r>
      <w:r w:rsidRPr="00382917">
        <w:t>dispose</w:t>
      </w:r>
      <w:r w:rsidR="00EE4FC3">
        <w:t xml:space="preserve"> </w:t>
      </w:r>
      <w:r w:rsidRPr="00382917">
        <w:t>of,</w:t>
      </w:r>
      <w:r w:rsidR="00EE4FC3">
        <w:t xml:space="preserve"> </w:t>
      </w:r>
      <w:r w:rsidRPr="00382917">
        <w:t>at</w:t>
      </w:r>
      <w:r w:rsidR="00EE4FC3">
        <w:t xml:space="preserve"> </w:t>
      </w:r>
      <w:r w:rsidRPr="00382917">
        <w:t>a</w:t>
      </w:r>
      <w:r w:rsidR="00EE4FC3">
        <w:t xml:space="preserve"> </w:t>
      </w:r>
      <w:r w:rsidRPr="00382917">
        <w:t>fixed</w:t>
      </w:r>
      <w:r w:rsidR="00EE4FC3">
        <w:t xml:space="preserve"> </w:t>
      </w:r>
      <w:r w:rsidRPr="00382917">
        <w:t>price</w:t>
      </w:r>
      <w:r w:rsidR="00C03C91">
        <w:t>.</w:t>
      </w:r>
      <w:r w:rsidR="00EE4FC3">
        <w:t xml:space="preserve">  </w:t>
      </w:r>
      <w:r w:rsidRPr="00382917">
        <w:t>When</w:t>
      </w:r>
      <w:r w:rsidR="00EE4FC3">
        <w:t xml:space="preserve"> </w:t>
      </w:r>
      <w:r w:rsidRPr="00382917">
        <w:t>the</w:t>
      </w:r>
      <w:r w:rsidR="00EE4FC3">
        <w:t xml:space="preserve"> </w:t>
      </w:r>
      <w:r w:rsidRPr="00382917">
        <w:t>Báb</w:t>
      </w:r>
      <w:r w:rsidR="00EE4FC3">
        <w:t xml:space="preserve"> </w:t>
      </w:r>
      <w:r w:rsidRPr="00382917">
        <w:t>sent</w:t>
      </w:r>
      <w:r w:rsidR="00EE4FC3">
        <w:t xml:space="preserve"> </w:t>
      </w:r>
      <w:r w:rsidRPr="00382917">
        <w:t>the</w:t>
      </w:r>
      <w:r w:rsidR="00EE4FC3">
        <w:t xml:space="preserve"> </w:t>
      </w:r>
      <w:r w:rsidRPr="00382917">
        <w:t>payment,</w:t>
      </w:r>
      <w:r w:rsidR="00EE4FC3">
        <w:t xml:space="preserve"> </w:t>
      </w:r>
      <w:r w:rsidRPr="00382917">
        <w:t>it</w:t>
      </w:r>
      <w:r w:rsidR="00EE4FC3">
        <w:t xml:space="preserve"> </w:t>
      </w:r>
      <w:r w:rsidRPr="00382917">
        <w:t>far</w:t>
      </w:r>
      <w:r w:rsidR="00EE4FC3">
        <w:t xml:space="preserve"> </w:t>
      </w:r>
      <w:r w:rsidRPr="00382917">
        <w:t>exceeded</w:t>
      </w:r>
      <w:r w:rsidR="00EE4FC3">
        <w:t xml:space="preserve"> </w:t>
      </w:r>
      <w:r w:rsidRPr="00382917">
        <w:t>the</w:t>
      </w:r>
      <w:r w:rsidR="00EE4FC3">
        <w:t xml:space="preserve"> </w:t>
      </w:r>
      <w:r w:rsidRPr="00382917">
        <w:t>amount</w:t>
      </w:r>
      <w:r w:rsidR="00EE4FC3">
        <w:t xml:space="preserve"> </w:t>
      </w:r>
      <w:r w:rsidRPr="00382917">
        <w:t>fixed</w:t>
      </w:r>
      <w:r w:rsidR="00C03C91">
        <w:t>.</w:t>
      </w:r>
      <w:r w:rsidR="00EE4FC3">
        <w:t xml:space="preserve">  </w:t>
      </w:r>
      <w:r w:rsidRPr="00382917">
        <w:t>The</w:t>
      </w:r>
      <w:r w:rsidR="00EE4FC3">
        <w:t xml:space="preserve"> </w:t>
      </w:r>
      <w:r w:rsidRPr="00382917">
        <w:t>owner</w:t>
      </w:r>
      <w:r w:rsidR="00EE4FC3">
        <w:t xml:space="preserve"> </w:t>
      </w:r>
      <w:r w:rsidRPr="00382917">
        <w:t>wrote</w:t>
      </w:r>
      <w:r w:rsidR="00EE4FC3">
        <w:t xml:space="preserve"> </w:t>
      </w:r>
      <w:r w:rsidRPr="00382917">
        <w:t>the</w:t>
      </w:r>
      <w:r w:rsidR="00EE4FC3">
        <w:t xml:space="preserve"> </w:t>
      </w:r>
      <w:r w:rsidRPr="00382917">
        <w:t>Báb</w:t>
      </w:r>
      <w:r w:rsidR="00EE4FC3">
        <w:t xml:space="preserve"> </w:t>
      </w:r>
      <w:r w:rsidRPr="00382917">
        <w:t>asking</w:t>
      </w:r>
      <w:r w:rsidR="00EE4FC3">
        <w:t xml:space="preserve"> </w:t>
      </w:r>
      <w:r w:rsidRPr="00382917">
        <w:t>the</w:t>
      </w:r>
      <w:r w:rsidR="00EE4FC3">
        <w:t xml:space="preserve"> </w:t>
      </w:r>
      <w:r w:rsidRPr="00382917">
        <w:t>reason</w:t>
      </w:r>
      <w:r w:rsidR="00C03C91">
        <w:t>.</w:t>
      </w:r>
      <w:r w:rsidR="00EE4FC3">
        <w:t xml:space="preserve">  </w:t>
      </w:r>
      <w:r w:rsidRPr="00382917">
        <w:t>The</w:t>
      </w:r>
      <w:r w:rsidR="00EE4FC3">
        <w:t xml:space="preserve"> </w:t>
      </w:r>
      <w:r w:rsidRPr="00382917">
        <w:t>Báb</w:t>
      </w:r>
      <w:r w:rsidR="00EE4FC3">
        <w:t xml:space="preserve"> </w:t>
      </w:r>
      <w:r w:rsidRPr="00382917">
        <w:t>replied,</w:t>
      </w:r>
      <w:r w:rsidR="00EE4FC3">
        <w:t xml:space="preserve"> </w:t>
      </w:r>
      <w:r w:rsidR="009C713D" w:rsidRPr="00382917">
        <w:t>“</w:t>
      </w:r>
      <w:r w:rsidRPr="00382917">
        <w:t>What</w:t>
      </w:r>
      <w:r w:rsidR="00EE4FC3">
        <w:t xml:space="preserve"> </w:t>
      </w:r>
      <w:r w:rsidRPr="00382917">
        <w:t>I</w:t>
      </w:r>
      <w:r w:rsidR="00EE4FC3">
        <w:t xml:space="preserve"> </w:t>
      </w:r>
      <w:r w:rsidRPr="00382917">
        <w:t>have</w:t>
      </w:r>
      <w:r w:rsidR="00EE4FC3">
        <w:t xml:space="preserve"> </w:t>
      </w:r>
      <w:r w:rsidRPr="00382917">
        <w:t>sent</w:t>
      </w:r>
      <w:r w:rsidR="00EE4FC3">
        <w:t xml:space="preserve"> </w:t>
      </w:r>
      <w:r w:rsidRPr="00382917">
        <w:t>you</w:t>
      </w:r>
      <w:r w:rsidR="00EE4FC3">
        <w:t xml:space="preserve"> </w:t>
      </w:r>
      <w:r w:rsidRPr="00382917">
        <w:t>is</w:t>
      </w:r>
      <w:r w:rsidR="00EE4FC3">
        <w:t xml:space="preserve"> </w:t>
      </w:r>
      <w:r w:rsidRPr="00382917">
        <w:t>entirely</w:t>
      </w:r>
      <w:r w:rsidR="00EE4FC3">
        <w:t xml:space="preserve"> </w:t>
      </w:r>
      <w:r w:rsidRPr="00382917">
        <w:t>your</w:t>
      </w:r>
      <w:r w:rsidR="00EE4FC3">
        <w:t xml:space="preserve"> </w:t>
      </w:r>
      <w:r w:rsidRPr="00382917">
        <w:t>due</w:t>
      </w:r>
      <w:r w:rsidR="00C03C91">
        <w:t>.</w:t>
      </w:r>
      <w:r w:rsidR="00EE4FC3">
        <w:t xml:space="preserve">  </w:t>
      </w:r>
      <w:r w:rsidRPr="00382917">
        <w:t>There</w:t>
      </w:r>
      <w:r w:rsidR="00EE4FC3">
        <w:t xml:space="preserve"> </w:t>
      </w:r>
      <w:r w:rsidRPr="00382917">
        <w:t>is</w:t>
      </w:r>
      <w:r w:rsidR="00EE4FC3">
        <w:t xml:space="preserve"> </w:t>
      </w:r>
      <w:r w:rsidRPr="00382917">
        <w:t>not</w:t>
      </w:r>
      <w:r w:rsidR="00EE4FC3">
        <w:t xml:space="preserve"> </w:t>
      </w:r>
      <w:r w:rsidRPr="00382917">
        <w:t>a</w:t>
      </w:r>
      <w:r w:rsidR="00EE4FC3">
        <w:t xml:space="preserve"> </w:t>
      </w:r>
      <w:r w:rsidRPr="00382917">
        <w:t>single</w:t>
      </w:r>
      <w:r w:rsidR="00EE4FC3">
        <w:t xml:space="preserve"> </w:t>
      </w:r>
      <w:r w:rsidRPr="00382917">
        <w:t>farthing</w:t>
      </w:r>
      <w:r w:rsidR="00EE4FC3">
        <w:t xml:space="preserve"> </w:t>
      </w:r>
      <w:r w:rsidRPr="00382917">
        <w:t>in</w:t>
      </w:r>
      <w:r w:rsidR="00EE4FC3">
        <w:t xml:space="preserve"> </w:t>
      </w:r>
      <w:r w:rsidRPr="00382917">
        <w:t>excess</w:t>
      </w:r>
      <w:r w:rsidR="00EE4FC3">
        <w:t xml:space="preserve"> </w:t>
      </w:r>
      <w:r w:rsidRPr="00382917">
        <w:t>of</w:t>
      </w:r>
      <w:r w:rsidR="00EE4FC3">
        <w:t xml:space="preserve"> </w:t>
      </w:r>
      <w:r w:rsidRPr="00382917">
        <w:t>what</w:t>
      </w:r>
      <w:r w:rsidR="00EE4FC3">
        <w:t xml:space="preserve"> </w:t>
      </w:r>
      <w:r w:rsidRPr="00382917">
        <w:t>is</w:t>
      </w:r>
      <w:r w:rsidR="00EE4FC3">
        <w:t xml:space="preserve"> </w:t>
      </w:r>
      <w:r w:rsidRPr="00382917">
        <w:t>your</w:t>
      </w:r>
      <w:r w:rsidR="00EE4FC3">
        <w:t xml:space="preserve"> </w:t>
      </w:r>
      <w:r w:rsidRPr="00382917">
        <w:t>right</w:t>
      </w:r>
      <w:r w:rsidR="00C03C91">
        <w:t>.</w:t>
      </w:r>
      <w:r w:rsidR="00EE4FC3">
        <w:t xml:space="preserve">  </w:t>
      </w:r>
      <w:r w:rsidRPr="00382917">
        <w:t>There</w:t>
      </w:r>
      <w:r w:rsidR="00EE4FC3">
        <w:t xml:space="preserve"> </w:t>
      </w:r>
      <w:r w:rsidRPr="00382917">
        <w:t>was</w:t>
      </w:r>
      <w:r w:rsidR="00EE4FC3">
        <w:t xml:space="preserve"> </w:t>
      </w:r>
      <w:r w:rsidRPr="00382917">
        <w:t>a</w:t>
      </w:r>
      <w:r w:rsidR="00EE4FC3">
        <w:t xml:space="preserve"> </w:t>
      </w:r>
      <w:r w:rsidRPr="00382917">
        <w:t>time</w:t>
      </w:r>
      <w:r w:rsidR="00EE4FC3">
        <w:t xml:space="preserve"> </w:t>
      </w:r>
      <w:r w:rsidRPr="00382917">
        <w:t>when</w:t>
      </w:r>
      <w:r w:rsidR="00EE4FC3">
        <w:t xml:space="preserve"> </w:t>
      </w:r>
      <w:r w:rsidRPr="00382917">
        <w:t>the</w:t>
      </w:r>
      <w:r w:rsidR="00EE4FC3">
        <w:t xml:space="preserve"> </w:t>
      </w:r>
      <w:r w:rsidRPr="00382917">
        <w:t>trust</w:t>
      </w:r>
      <w:r w:rsidR="00EE4FC3">
        <w:t xml:space="preserve"> </w:t>
      </w:r>
      <w:r w:rsidRPr="00382917">
        <w:t>you</w:t>
      </w:r>
      <w:r w:rsidR="00EE4FC3">
        <w:t xml:space="preserve"> </w:t>
      </w:r>
      <w:r w:rsidRPr="00382917">
        <w:t>delivered</w:t>
      </w:r>
      <w:r w:rsidR="00EE4FC3">
        <w:t xml:space="preserve"> </w:t>
      </w:r>
      <w:r w:rsidRPr="00382917">
        <w:t>to</w:t>
      </w:r>
      <w:r w:rsidR="00EE4FC3">
        <w:t xml:space="preserve"> </w:t>
      </w:r>
      <w:r w:rsidRPr="00382917">
        <w:t>me</w:t>
      </w:r>
      <w:r w:rsidR="00EE4FC3">
        <w:t xml:space="preserve"> </w:t>
      </w:r>
      <w:r w:rsidRPr="00382917">
        <w:t>attained</w:t>
      </w:r>
      <w:r w:rsidR="00EE4FC3">
        <w:t xml:space="preserve"> </w:t>
      </w:r>
      <w:r w:rsidRPr="00382917">
        <w:t>this</w:t>
      </w:r>
      <w:r w:rsidR="00EE4FC3">
        <w:t xml:space="preserve"> </w:t>
      </w:r>
      <w:r w:rsidRPr="00382917">
        <w:t>value</w:t>
      </w:r>
      <w:r w:rsidR="00C03C91">
        <w:t>.</w:t>
      </w:r>
      <w:r w:rsidR="00EE4FC3">
        <w:t xml:space="preserve">  </w:t>
      </w:r>
      <w:r w:rsidRPr="00382917">
        <w:t>Failing</w:t>
      </w:r>
      <w:r w:rsidR="00EE4FC3">
        <w:t xml:space="preserve"> </w:t>
      </w:r>
      <w:r w:rsidRPr="00382917">
        <w:t>to</w:t>
      </w:r>
      <w:r w:rsidR="00EE4FC3">
        <w:t xml:space="preserve"> </w:t>
      </w:r>
      <w:r w:rsidRPr="00382917">
        <w:t>sell</w:t>
      </w:r>
      <w:r w:rsidR="00EE4FC3">
        <w:t xml:space="preserve"> </w:t>
      </w:r>
      <w:r w:rsidRPr="00382917">
        <w:t>it</w:t>
      </w:r>
      <w:r w:rsidR="00EE4FC3">
        <w:t xml:space="preserve"> </w:t>
      </w:r>
      <w:r w:rsidRPr="00382917">
        <w:t>at</w:t>
      </w:r>
      <w:r w:rsidR="00EE4FC3">
        <w:t xml:space="preserve"> </w:t>
      </w:r>
      <w:r w:rsidRPr="00382917">
        <w:t>that</w:t>
      </w:r>
      <w:r w:rsidR="00EE4FC3">
        <w:t xml:space="preserve"> </w:t>
      </w:r>
      <w:r w:rsidRPr="00382917">
        <w:t>price,</w:t>
      </w:r>
      <w:r w:rsidR="00EE4FC3">
        <w:t xml:space="preserve"> </w:t>
      </w:r>
      <w:r w:rsidRPr="00382917">
        <w:t>I</w:t>
      </w:r>
      <w:r w:rsidR="00EE4FC3">
        <w:t xml:space="preserve"> </w:t>
      </w:r>
      <w:r w:rsidRPr="00382917">
        <w:t>now</w:t>
      </w:r>
      <w:r w:rsidR="00EE4FC3">
        <w:t xml:space="preserve"> </w:t>
      </w:r>
      <w:r w:rsidRPr="00382917">
        <w:t>feel</w:t>
      </w:r>
      <w:r w:rsidR="00EE4FC3">
        <w:t xml:space="preserve"> </w:t>
      </w:r>
      <w:r w:rsidRPr="00382917">
        <w:t>it</w:t>
      </w:r>
      <w:r w:rsidR="00EE4FC3">
        <w:t xml:space="preserve"> </w:t>
      </w:r>
      <w:r w:rsidRPr="00382917">
        <w:t>my</w:t>
      </w:r>
      <w:r w:rsidR="00EE4FC3">
        <w:t xml:space="preserve"> </w:t>
      </w:r>
      <w:r w:rsidRPr="00382917">
        <w:t>duty</w:t>
      </w:r>
      <w:r w:rsidR="00EE4FC3">
        <w:t xml:space="preserve"> </w:t>
      </w:r>
      <w:r w:rsidRPr="00382917">
        <w:t>to</w:t>
      </w:r>
      <w:r w:rsidR="00EE4FC3">
        <w:t xml:space="preserve"> </w:t>
      </w:r>
      <w:r w:rsidRPr="00382917">
        <w:t>offer</w:t>
      </w:r>
      <w:r w:rsidR="00EE4FC3">
        <w:t xml:space="preserve"> </w:t>
      </w:r>
      <w:r w:rsidRPr="00382917">
        <w:t>you</w:t>
      </w:r>
      <w:r w:rsidR="00EE4FC3">
        <w:t xml:space="preserve"> </w:t>
      </w:r>
      <w:r w:rsidRPr="00382917">
        <w:t>the</w:t>
      </w:r>
      <w:r w:rsidR="00EE4FC3">
        <w:t xml:space="preserve"> </w:t>
      </w:r>
      <w:r w:rsidRPr="00382917">
        <w:t>whole</w:t>
      </w:r>
      <w:r w:rsidR="00EE4FC3">
        <w:t xml:space="preserve"> </w:t>
      </w:r>
      <w:r w:rsidRPr="00382917">
        <w:t>of</w:t>
      </w:r>
      <w:r w:rsidR="00EE4FC3">
        <w:t xml:space="preserve"> </w:t>
      </w:r>
      <w:r w:rsidRPr="00382917">
        <w:t>that</w:t>
      </w:r>
      <w:r w:rsidR="00EE4FC3">
        <w:t xml:space="preserve"> </w:t>
      </w:r>
      <w:r w:rsidRPr="00382917">
        <w:t>sum.</w:t>
      </w:r>
      <w:r w:rsidR="009C713D" w:rsidRPr="00382917">
        <w:t>”</w:t>
      </w:r>
      <w:r w:rsidR="00A23C7C">
        <w:rPr>
          <w:rStyle w:val="FootnoteReference"/>
        </w:rPr>
        <w:footnoteReference w:id="50"/>
      </w:r>
    </w:p>
    <w:p w:rsidR="00122F78" w:rsidRPr="00382917" w:rsidRDefault="00122F78" w:rsidP="00122F78">
      <w:pPr>
        <w:pStyle w:val="Text"/>
      </w:pPr>
      <w:r w:rsidRPr="00382917">
        <w:t>When</w:t>
      </w:r>
      <w:r w:rsidR="00EE4FC3">
        <w:t xml:space="preserve"> </w:t>
      </w:r>
      <w:r w:rsidRPr="00382917">
        <w:t>the</w:t>
      </w:r>
      <w:r w:rsidR="00EE4FC3">
        <w:t xml:space="preserve"> </w:t>
      </w:r>
      <w:r w:rsidRPr="00382917">
        <w:t>Báb</w:t>
      </w:r>
      <w:r w:rsidR="00EE4FC3">
        <w:t xml:space="preserve"> </w:t>
      </w:r>
      <w:r w:rsidRPr="00382917">
        <w:t>was</w:t>
      </w:r>
      <w:r w:rsidR="00EE4FC3">
        <w:t xml:space="preserve"> </w:t>
      </w:r>
      <w:r w:rsidRPr="00382917">
        <w:t>twenty-two,</w:t>
      </w:r>
      <w:r w:rsidR="00EE4FC3">
        <w:t xml:space="preserve"> </w:t>
      </w:r>
      <w:r w:rsidRPr="00382917">
        <w:t>He</w:t>
      </w:r>
      <w:r w:rsidR="00EE4FC3">
        <w:t xml:space="preserve"> </w:t>
      </w:r>
      <w:r w:rsidRPr="00382917">
        <w:t>married</w:t>
      </w:r>
      <w:r w:rsidR="00EE4FC3">
        <w:t xml:space="preserve"> </w:t>
      </w:r>
      <w:r w:rsidRPr="00382917">
        <w:t>and</w:t>
      </w:r>
      <w:r w:rsidR="00EE4FC3">
        <w:t xml:space="preserve"> </w:t>
      </w:r>
      <w:r w:rsidRPr="00382917">
        <w:t>had</w:t>
      </w:r>
      <w:r w:rsidR="00EE4FC3">
        <w:t xml:space="preserve"> </w:t>
      </w:r>
      <w:r w:rsidRPr="00382917">
        <w:t>one</w:t>
      </w:r>
      <w:r w:rsidR="00EE4FC3">
        <w:t xml:space="preserve"> </w:t>
      </w:r>
      <w:r w:rsidRPr="00382917">
        <w:t>child,</w:t>
      </w:r>
      <w:r w:rsidR="00EE4FC3">
        <w:t xml:space="preserve"> </w:t>
      </w:r>
      <w:r w:rsidRPr="00382917">
        <w:t>a</w:t>
      </w:r>
      <w:r w:rsidR="00EE4FC3">
        <w:t xml:space="preserve"> </w:t>
      </w:r>
      <w:r w:rsidRPr="00382917">
        <w:t>son,</w:t>
      </w:r>
      <w:r w:rsidR="00EE4FC3">
        <w:t xml:space="preserve"> </w:t>
      </w:r>
      <w:r w:rsidRPr="00382917">
        <w:t>whom</w:t>
      </w:r>
      <w:r w:rsidR="00EE4FC3">
        <w:t xml:space="preserve"> </w:t>
      </w:r>
      <w:r w:rsidRPr="00382917">
        <w:t>He</w:t>
      </w:r>
      <w:r w:rsidR="00EE4FC3">
        <w:t xml:space="preserve"> </w:t>
      </w:r>
      <w:r w:rsidRPr="00382917">
        <w:t>named</w:t>
      </w:r>
      <w:r w:rsidR="00EE4FC3">
        <w:t xml:space="preserve"> </w:t>
      </w:r>
      <w:r w:rsidR="008A073E" w:rsidRPr="00382917">
        <w:t>Aḥmad</w:t>
      </w:r>
      <w:r w:rsidR="00C03C91">
        <w:t>.</w:t>
      </w:r>
      <w:r w:rsidR="00EE4FC3">
        <w:t xml:space="preserve">  </w:t>
      </w:r>
      <w:r w:rsidRPr="00382917">
        <w:t>The</w:t>
      </w:r>
      <w:r w:rsidR="00EE4FC3">
        <w:t xml:space="preserve"> </w:t>
      </w:r>
      <w:r w:rsidRPr="00382917">
        <w:t>child</w:t>
      </w:r>
      <w:r w:rsidR="00EE4FC3">
        <w:t xml:space="preserve"> </w:t>
      </w:r>
      <w:r w:rsidRPr="00382917">
        <w:t>died</w:t>
      </w:r>
      <w:r w:rsidR="00EE4FC3">
        <w:t xml:space="preserve"> </w:t>
      </w:r>
      <w:r w:rsidRPr="00382917">
        <w:t>the</w:t>
      </w:r>
      <w:r w:rsidR="00EE4FC3">
        <w:t xml:space="preserve"> </w:t>
      </w:r>
      <w:r w:rsidRPr="00382917">
        <w:t>year</w:t>
      </w:r>
      <w:r w:rsidR="00EE4FC3">
        <w:t xml:space="preserve"> </w:t>
      </w:r>
      <w:r w:rsidRPr="00382917">
        <w:t>before</w:t>
      </w:r>
      <w:r w:rsidR="00EE4FC3">
        <w:t xml:space="preserve"> </w:t>
      </w:r>
      <w:r w:rsidRPr="00382917">
        <w:t>the</w:t>
      </w:r>
      <w:r w:rsidR="00EE4FC3">
        <w:t xml:space="preserve"> </w:t>
      </w:r>
      <w:r w:rsidRPr="00382917">
        <w:t>Báb</w:t>
      </w:r>
      <w:r w:rsidR="00EE4FC3">
        <w:t xml:space="preserve"> </w:t>
      </w:r>
      <w:r w:rsidRPr="00382917">
        <w:t>proclaimed</w:t>
      </w:r>
      <w:r w:rsidR="00EE4FC3">
        <w:t xml:space="preserve"> </w:t>
      </w:r>
      <w:r w:rsidRPr="00382917">
        <w:t>His</w:t>
      </w:r>
      <w:r w:rsidR="00EE4FC3">
        <w:t xml:space="preserve"> </w:t>
      </w:r>
      <w:r w:rsidRPr="00382917">
        <w:t>Mission</w:t>
      </w:r>
      <w:r w:rsidR="00C03C91">
        <w:t>.</w:t>
      </w:r>
      <w:r w:rsidR="00EE4FC3">
        <w:t xml:space="preserve">  </w:t>
      </w:r>
      <w:r w:rsidRPr="00382917">
        <w:t>He</w:t>
      </w:r>
      <w:r w:rsidR="00EE4FC3">
        <w:t xml:space="preserve"> </w:t>
      </w:r>
      <w:r w:rsidRPr="00382917">
        <w:t>wrote</w:t>
      </w:r>
      <w:r w:rsidR="00EE4FC3">
        <w:t xml:space="preserve"> </w:t>
      </w:r>
      <w:r w:rsidRPr="00382917">
        <w:t>movingly</w:t>
      </w:r>
      <w:r w:rsidR="00EE4FC3">
        <w:t xml:space="preserve"> </w:t>
      </w:r>
      <w:r w:rsidRPr="00382917">
        <w:t>of</w:t>
      </w:r>
      <w:r w:rsidR="00EE4FC3">
        <w:t xml:space="preserve"> </w:t>
      </w:r>
      <w:r w:rsidRPr="00382917">
        <w:t>the</w:t>
      </w:r>
      <w:r w:rsidR="00EE4FC3">
        <w:t xml:space="preserve"> </w:t>
      </w:r>
      <w:r w:rsidRPr="00382917">
        <w:t>passing</w:t>
      </w:r>
      <w:r w:rsidR="00EE4FC3">
        <w:t xml:space="preserve"> </w:t>
      </w:r>
      <w:r w:rsidRPr="00382917">
        <w:t>of</w:t>
      </w:r>
      <w:r w:rsidR="00EE4FC3">
        <w:t xml:space="preserve"> </w:t>
      </w:r>
      <w:r w:rsidRPr="00382917">
        <w:t>His</w:t>
      </w:r>
      <w:r w:rsidR="00EE4FC3">
        <w:t xml:space="preserve"> </w:t>
      </w:r>
      <w:r w:rsidRPr="00382917">
        <w:t>son</w:t>
      </w:r>
      <w:r w:rsidR="00EE4FC3">
        <w:t xml:space="preserve"> </w:t>
      </w:r>
      <w:r w:rsidRPr="00382917">
        <w:t>whom</w:t>
      </w:r>
      <w:r w:rsidR="00EE4FC3">
        <w:t xml:space="preserve"> </w:t>
      </w:r>
      <w:r w:rsidRPr="00382917">
        <w:t>He</w:t>
      </w:r>
      <w:r w:rsidR="00EE4FC3">
        <w:t xml:space="preserve"> </w:t>
      </w:r>
      <w:r w:rsidRPr="00382917">
        <w:t>had</w:t>
      </w:r>
      <w:r w:rsidR="00EE4FC3">
        <w:t xml:space="preserve"> </w:t>
      </w:r>
      <w:r w:rsidRPr="00382917">
        <w:t>loved</w:t>
      </w:r>
      <w:r w:rsidR="00EE4FC3">
        <w:t xml:space="preserve"> </w:t>
      </w:r>
      <w:r w:rsidRPr="00382917">
        <w:t>dearly.</w:t>
      </w:r>
    </w:p>
    <w:p w:rsidR="00E13D49" w:rsidRPr="00382917" w:rsidRDefault="009C713D" w:rsidP="00A23C7C">
      <w:pPr>
        <w:pStyle w:val="Text"/>
      </w:pPr>
      <w:r w:rsidRPr="00382917">
        <w:t>“</w:t>
      </w:r>
      <w:r w:rsidR="00122F78" w:rsidRPr="00382917">
        <w:t>O</w:t>
      </w:r>
      <w:r w:rsidR="00EE4FC3">
        <w:t xml:space="preserve"> </w:t>
      </w:r>
      <w:r w:rsidR="00122F78" w:rsidRPr="00382917">
        <w:t>God,</w:t>
      </w:r>
      <w:r w:rsidR="00EE4FC3">
        <w:t xml:space="preserve"> </w:t>
      </w:r>
      <w:r w:rsidR="00122F78" w:rsidRPr="00382917">
        <w:t>my</w:t>
      </w:r>
      <w:r w:rsidR="00EE4FC3">
        <w:t xml:space="preserve"> </w:t>
      </w:r>
      <w:r w:rsidR="00122F78" w:rsidRPr="00382917">
        <w:t>God!</w:t>
      </w:r>
      <w:proofErr w:type="gramStart"/>
      <w:r w:rsidRPr="00382917">
        <w:t>”</w:t>
      </w:r>
      <w:r w:rsidR="00EE4FC3">
        <w:t xml:space="preserve"> </w:t>
      </w:r>
      <w:proofErr w:type="gramEnd"/>
      <w:r w:rsidR="00122F78" w:rsidRPr="00382917">
        <w:t>He</w:t>
      </w:r>
      <w:r w:rsidR="00EE4FC3">
        <w:t xml:space="preserve"> </w:t>
      </w:r>
      <w:r w:rsidR="00122F78" w:rsidRPr="00382917">
        <w:t>said</w:t>
      </w:r>
      <w:r w:rsidR="00C03C91">
        <w:t>.</w:t>
      </w:r>
      <w:r w:rsidR="00EE4FC3">
        <w:t xml:space="preserve">  </w:t>
      </w:r>
      <w:r w:rsidRPr="00382917">
        <w:t>“</w:t>
      </w:r>
      <w:r w:rsidR="00122F78" w:rsidRPr="00382917">
        <w:t>Would</w:t>
      </w:r>
      <w:r w:rsidR="00EE4FC3">
        <w:t xml:space="preserve"> </w:t>
      </w:r>
      <w:r w:rsidR="00122F78" w:rsidRPr="00382917">
        <w:t>that</w:t>
      </w:r>
      <w:r w:rsidR="00EE4FC3">
        <w:t xml:space="preserve"> </w:t>
      </w:r>
      <w:r w:rsidR="00122F78" w:rsidRPr="00382917">
        <w:t>a</w:t>
      </w:r>
      <w:r w:rsidR="00EE4FC3">
        <w:t xml:space="preserve"> </w:t>
      </w:r>
      <w:r w:rsidR="00122F78" w:rsidRPr="00382917">
        <w:t>thousand</w:t>
      </w:r>
      <w:r w:rsidR="00EE4FC3">
        <w:t xml:space="preserve"> </w:t>
      </w:r>
      <w:r w:rsidR="00122F78" w:rsidRPr="00382917">
        <w:t>Ishmaels</w:t>
      </w:r>
      <w:r w:rsidR="00EE4FC3">
        <w:t xml:space="preserve"> </w:t>
      </w:r>
      <w:r w:rsidR="00122F78" w:rsidRPr="00382917">
        <w:t>were</w:t>
      </w:r>
      <w:r w:rsidR="00EE4FC3">
        <w:t xml:space="preserve"> </w:t>
      </w:r>
      <w:r w:rsidR="00122F78" w:rsidRPr="00382917">
        <w:t>given</w:t>
      </w:r>
      <w:r w:rsidR="00EE4FC3">
        <w:t xml:space="preserve"> </w:t>
      </w:r>
      <w:r w:rsidR="00122F78" w:rsidRPr="00382917">
        <w:t>to</w:t>
      </w:r>
      <w:r w:rsidR="00EE4FC3">
        <w:t xml:space="preserve"> </w:t>
      </w:r>
      <w:proofErr w:type="gramStart"/>
      <w:r w:rsidR="00122F78" w:rsidRPr="00382917">
        <w:t>Me</w:t>
      </w:r>
      <w:proofErr w:type="gramEnd"/>
      <w:r w:rsidR="00122F78" w:rsidRPr="00382917">
        <w:t>,</w:t>
      </w:r>
      <w:r w:rsidR="00EE4FC3">
        <w:t xml:space="preserve"> </w:t>
      </w:r>
      <w:r w:rsidR="00122F78" w:rsidRPr="00382917">
        <w:t>this</w:t>
      </w:r>
      <w:r w:rsidR="00EE4FC3">
        <w:t xml:space="preserve"> </w:t>
      </w:r>
      <w:r w:rsidR="00122F78" w:rsidRPr="00382917">
        <w:t>Abraham</w:t>
      </w:r>
      <w:r w:rsidR="00EE4FC3">
        <w:t xml:space="preserve"> </w:t>
      </w:r>
      <w:r w:rsidR="00122F78" w:rsidRPr="00382917">
        <w:t>of</w:t>
      </w:r>
      <w:r w:rsidR="00EE4FC3">
        <w:t xml:space="preserve"> </w:t>
      </w:r>
      <w:r w:rsidR="00122F78" w:rsidRPr="00382917">
        <w:t>Thine,</w:t>
      </w:r>
      <w:r w:rsidR="00EE4FC3">
        <w:t xml:space="preserve"> </w:t>
      </w:r>
      <w:r w:rsidR="00122F78" w:rsidRPr="00382917">
        <w:t>that</w:t>
      </w:r>
      <w:r w:rsidR="00EE4FC3">
        <w:t xml:space="preserve"> </w:t>
      </w:r>
      <w:r w:rsidR="00122F78" w:rsidRPr="00382917">
        <w:t>I</w:t>
      </w:r>
      <w:r w:rsidR="00EE4FC3">
        <w:t xml:space="preserve"> </w:t>
      </w:r>
      <w:r w:rsidR="00122F78" w:rsidRPr="00382917">
        <w:t>might</w:t>
      </w:r>
      <w:r w:rsidR="00EE4FC3">
        <w:t xml:space="preserve"> </w:t>
      </w:r>
      <w:r w:rsidR="00122F78" w:rsidRPr="00382917">
        <w:t>have</w:t>
      </w:r>
      <w:r w:rsidR="00EE4FC3">
        <w:t xml:space="preserve"> </w:t>
      </w:r>
      <w:r w:rsidR="00122F78" w:rsidRPr="00382917">
        <w:t>offered</w:t>
      </w:r>
      <w:r w:rsidR="00EE4FC3">
        <w:t xml:space="preserve"> </w:t>
      </w:r>
      <w:r w:rsidR="00122F78" w:rsidRPr="00382917">
        <w:t>them,</w:t>
      </w:r>
      <w:r w:rsidR="00EE4FC3">
        <w:t xml:space="preserve"> </w:t>
      </w:r>
      <w:r w:rsidR="00122F78" w:rsidRPr="00382917">
        <w:t>each</w:t>
      </w:r>
      <w:r w:rsidR="00EE4FC3">
        <w:t xml:space="preserve"> </w:t>
      </w:r>
      <w:r w:rsidR="00122F78" w:rsidRPr="00382917">
        <w:t>and</w:t>
      </w:r>
      <w:r w:rsidR="00EE4FC3">
        <w:t xml:space="preserve"> </w:t>
      </w:r>
      <w:r w:rsidR="00122F78" w:rsidRPr="00382917">
        <w:t>all,</w:t>
      </w:r>
      <w:r w:rsidR="00EE4FC3">
        <w:t xml:space="preserve"> </w:t>
      </w:r>
      <w:r w:rsidR="00122F78" w:rsidRPr="00382917">
        <w:t>as</w:t>
      </w:r>
      <w:r w:rsidR="00EE4FC3">
        <w:t xml:space="preserve"> </w:t>
      </w:r>
      <w:r w:rsidR="00122F78" w:rsidRPr="00382917">
        <w:t>a</w:t>
      </w:r>
      <w:r w:rsidR="00EE4FC3">
        <w:t xml:space="preserve"> </w:t>
      </w:r>
      <w:r w:rsidR="00122F78" w:rsidRPr="00382917">
        <w:t>loving</w:t>
      </w:r>
      <w:r w:rsidR="00EE4FC3">
        <w:t xml:space="preserve"> </w:t>
      </w:r>
      <w:r w:rsidR="00122F78" w:rsidRPr="00382917">
        <w:t>sacrifice</w:t>
      </w:r>
      <w:r w:rsidR="00EE4FC3">
        <w:t xml:space="preserve"> </w:t>
      </w:r>
      <w:r w:rsidR="00122F78" w:rsidRPr="00382917">
        <w:t>unto</w:t>
      </w:r>
      <w:r w:rsidR="00EE4FC3">
        <w:t xml:space="preserve"> </w:t>
      </w:r>
      <w:r w:rsidR="00122F78" w:rsidRPr="00382917">
        <w:t>Thee</w:t>
      </w:r>
      <w:r w:rsidR="00C03C91">
        <w:t>.</w:t>
      </w:r>
      <w:r w:rsidR="00EE4FC3">
        <w:t xml:space="preserve">  </w:t>
      </w:r>
      <w:r w:rsidR="00122F78" w:rsidRPr="00382917">
        <w:t>Grant</w:t>
      </w:r>
      <w:r w:rsidR="00EE4FC3">
        <w:t xml:space="preserve"> </w:t>
      </w:r>
      <w:r w:rsidR="00122F78" w:rsidRPr="00382917">
        <w:t>that</w:t>
      </w:r>
      <w:r w:rsidR="00EE4FC3">
        <w:t xml:space="preserve"> </w:t>
      </w:r>
      <w:r w:rsidR="00122F78" w:rsidRPr="00382917">
        <w:t>the</w:t>
      </w:r>
      <w:r w:rsidR="00EE4FC3">
        <w:t xml:space="preserve"> </w:t>
      </w:r>
      <w:r w:rsidR="00122F78" w:rsidRPr="00382917">
        <w:t>sacrifice</w:t>
      </w:r>
      <w:r w:rsidR="00EE4FC3">
        <w:t xml:space="preserve"> </w:t>
      </w:r>
      <w:r w:rsidR="00122F78" w:rsidRPr="00382917">
        <w:t>of</w:t>
      </w:r>
      <w:r w:rsidR="00EE4FC3">
        <w:t xml:space="preserve"> </w:t>
      </w:r>
      <w:proofErr w:type="gramStart"/>
      <w:r w:rsidR="00122F78" w:rsidRPr="00382917">
        <w:t>My</w:t>
      </w:r>
      <w:proofErr w:type="gramEnd"/>
      <w:r w:rsidR="00EE4FC3">
        <w:t xml:space="preserve"> </w:t>
      </w:r>
      <w:r w:rsidR="00122F78" w:rsidRPr="00382917">
        <w:t>son,</w:t>
      </w:r>
      <w:r w:rsidR="00EE4FC3">
        <w:t xml:space="preserve"> </w:t>
      </w:r>
      <w:r w:rsidR="00122F78" w:rsidRPr="00382917">
        <w:t>My</w:t>
      </w:r>
      <w:r w:rsidR="00EE4FC3">
        <w:t xml:space="preserve"> </w:t>
      </w:r>
      <w:r w:rsidR="00122F78" w:rsidRPr="00382917">
        <w:t>only</w:t>
      </w:r>
      <w:r w:rsidR="00EE4FC3">
        <w:t xml:space="preserve"> </w:t>
      </w:r>
      <w:r w:rsidR="00122F78" w:rsidRPr="00382917">
        <w:t>son,</w:t>
      </w:r>
      <w:r w:rsidR="00EE4FC3">
        <w:t xml:space="preserve"> </w:t>
      </w:r>
      <w:r w:rsidR="00122F78" w:rsidRPr="00382917">
        <w:t>may</w:t>
      </w:r>
      <w:r w:rsidR="00EE4FC3">
        <w:t xml:space="preserve"> </w:t>
      </w:r>
      <w:r w:rsidR="00122F78" w:rsidRPr="00382917">
        <w:t>be</w:t>
      </w:r>
      <w:r w:rsidR="00EE4FC3">
        <w:t xml:space="preserve"> </w:t>
      </w:r>
      <w:r w:rsidR="00122F78" w:rsidRPr="00382917">
        <w:t>acceptable</w:t>
      </w:r>
      <w:r w:rsidR="00EE4FC3">
        <w:t xml:space="preserve"> </w:t>
      </w:r>
      <w:r w:rsidR="00122F78" w:rsidRPr="00382917">
        <w:t>unto</w:t>
      </w:r>
      <w:r w:rsidR="00EE4FC3">
        <w:t xml:space="preserve"> </w:t>
      </w:r>
      <w:r w:rsidR="00122F78" w:rsidRPr="00382917">
        <w:t>Thee</w:t>
      </w:r>
      <w:r w:rsidR="00C03C91">
        <w:t>.</w:t>
      </w:r>
      <w:r w:rsidR="00EE4FC3">
        <w:t xml:space="preserve">  </w:t>
      </w:r>
      <w:r w:rsidR="00122F78" w:rsidRPr="00382917">
        <w:t>Grant</w:t>
      </w:r>
      <w:r w:rsidR="00EE4FC3">
        <w:t xml:space="preserve"> </w:t>
      </w:r>
      <w:r w:rsidR="00122F78" w:rsidRPr="00382917">
        <w:t>that</w:t>
      </w:r>
      <w:r w:rsidR="00EE4FC3">
        <w:t xml:space="preserve"> </w:t>
      </w:r>
      <w:r w:rsidR="00122F78" w:rsidRPr="00382917">
        <w:t>it</w:t>
      </w:r>
      <w:r w:rsidR="00EE4FC3">
        <w:t xml:space="preserve"> </w:t>
      </w:r>
      <w:r w:rsidR="00122F78" w:rsidRPr="00382917">
        <w:t>be</w:t>
      </w:r>
      <w:r w:rsidR="00EE4FC3">
        <w:t xml:space="preserve"> </w:t>
      </w:r>
      <w:r w:rsidR="00122F78" w:rsidRPr="00382917">
        <w:t>a</w:t>
      </w:r>
      <w:r w:rsidR="00EE4FC3">
        <w:t xml:space="preserve"> </w:t>
      </w:r>
      <w:r w:rsidR="00122F78" w:rsidRPr="00382917">
        <w:t>prelude</w:t>
      </w:r>
      <w:r w:rsidR="00EE4FC3">
        <w:t xml:space="preserve"> </w:t>
      </w:r>
      <w:r w:rsidR="00122F78" w:rsidRPr="00382917">
        <w:t>to</w:t>
      </w:r>
      <w:r w:rsidR="00EE4FC3">
        <w:t xml:space="preserve"> </w:t>
      </w:r>
      <w:r w:rsidR="00122F78" w:rsidRPr="00382917">
        <w:t>the</w:t>
      </w:r>
      <w:r w:rsidR="00EE4FC3">
        <w:t xml:space="preserve"> </w:t>
      </w:r>
      <w:r w:rsidR="00122F78" w:rsidRPr="00382917">
        <w:t>sacrifice</w:t>
      </w:r>
      <w:r w:rsidR="00EE4FC3">
        <w:t xml:space="preserve"> </w:t>
      </w:r>
      <w:r w:rsidR="00122F78" w:rsidRPr="00382917">
        <w:t>of</w:t>
      </w:r>
      <w:r w:rsidR="00EE4FC3">
        <w:t xml:space="preserve"> </w:t>
      </w:r>
      <w:proofErr w:type="gramStart"/>
      <w:r w:rsidR="00122F78" w:rsidRPr="00382917">
        <w:t>My</w:t>
      </w:r>
      <w:proofErr w:type="gramEnd"/>
      <w:r w:rsidR="00EE4FC3">
        <w:t xml:space="preserve"> </w:t>
      </w:r>
      <w:r w:rsidR="00122F78" w:rsidRPr="00382917">
        <w:t>own,</w:t>
      </w:r>
      <w:r w:rsidR="00EE4FC3">
        <w:t xml:space="preserve"> </w:t>
      </w:r>
      <w:r w:rsidR="00122F78" w:rsidRPr="00382917">
        <w:t>My</w:t>
      </w:r>
      <w:r w:rsidR="00EE4FC3">
        <w:t xml:space="preserve"> </w:t>
      </w:r>
      <w:r w:rsidR="00122F78" w:rsidRPr="00382917">
        <w:t>entire</w:t>
      </w:r>
      <w:r w:rsidR="00EE4FC3">
        <w:t xml:space="preserve"> </w:t>
      </w:r>
      <w:r w:rsidR="00122F78" w:rsidRPr="00382917">
        <w:t>self,</w:t>
      </w:r>
      <w:r w:rsidR="00EE4FC3">
        <w:t xml:space="preserve"> </w:t>
      </w:r>
      <w:r w:rsidR="00122F78" w:rsidRPr="00382917">
        <w:t>in</w:t>
      </w:r>
      <w:r w:rsidR="00EE4FC3">
        <w:t xml:space="preserve"> </w:t>
      </w:r>
      <w:r w:rsidR="00122F78" w:rsidRPr="00382917">
        <w:t>the</w:t>
      </w:r>
      <w:r w:rsidR="00EE4FC3">
        <w:t xml:space="preserve"> </w:t>
      </w:r>
      <w:r w:rsidR="00122F78" w:rsidRPr="00382917">
        <w:t>path</w:t>
      </w:r>
      <w:r w:rsidR="00EE4FC3">
        <w:t xml:space="preserve"> </w:t>
      </w:r>
      <w:r w:rsidR="00122F78" w:rsidRPr="00382917">
        <w:t>of</w:t>
      </w:r>
      <w:r w:rsidR="00EE4FC3">
        <w:t xml:space="preserve"> </w:t>
      </w:r>
      <w:r w:rsidR="00122F78" w:rsidRPr="00382917">
        <w:t>Thy</w:t>
      </w:r>
      <w:r w:rsidR="00EE4FC3">
        <w:t xml:space="preserve"> </w:t>
      </w:r>
      <w:r w:rsidR="00122F78" w:rsidRPr="00382917">
        <w:t>good</w:t>
      </w:r>
      <w:r w:rsidR="00EE4FC3">
        <w:t xml:space="preserve"> </w:t>
      </w:r>
      <w:r w:rsidR="00122F78" w:rsidRPr="00382917">
        <w:t>pleasure</w:t>
      </w:r>
      <w:r w:rsidR="00C03C91">
        <w:t>.</w:t>
      </w:r>
      <w:r w:rsidR="00EE4FC3">
        <w:t xml:space="preserve">  </w:t>
      </w:r>
      <w:r w:rsidR="00122F78" w:rsidRPr="00382917">
        <w:t>Endow</w:t>
      </w:r>
      <w:r w:rsidR="00EE4FC3">
        <w:t xml:space="preserve"> </w:t>
      </w:r>
      <w:r w:rsidR="00122F78" w:rsidRPr="00382917">
        <w:t>with</w:t>
      </w:r>
      <w:r w:rsidR="00EE4FC3">
        <w:t xml:space="preserve"> </w:t>
      </w:r>
      <w:r w:rsidR="00122F78" w:rsidRPr="00382917">
        <w:t>Thy</w:t>
      </w:r>
      <w:r w:rsidR="00EE4FC3">
        <w:t xml:space="preserve"> </w:t>
      </w:r>
      <w:r w:rsidR="00122F78" w:rsidRPr="00382917">
        <w:t>grace</w:t>
      </w:r>
      <w:r w:rsidR="00EE4FC3">
        <w:t xml:space="preserve"> </w:t>
      </w:r>
      <w:proofErr w:type="gramStart"/>
      <w:r w:rsidR="00122F78" w:rsidRPr="00382917">
        <w:t>My</w:t>
      </w:r>
      <w:proofErr w:type="gramEnd"/>
      <w:r w:rsidR="00EE4FC3">
        <w:t xml:space="preserve"> </w:t>
      </w:r>
      <w:r w:rsidR="00122F78" w:rsidRPr="00382917">
        <w:t>life-blood</w:t>
      </w:r>
      <w:r w:rsidR="00EE4FC3">
        <w:t xml:space="preserve"> </w:t>
      </w:r>
      <w:r w:rsidR="00122F78" w:rsidRPr="00382917">
        <w:t>which</w:t>
      </w:r>
      <w:r w:rsidR="00EE4FC3">
        <w:t xml:space="preserve"> </w:t>
      </w:r>
      <w:r w:rsidR="00122F78" w:rsidRPr="00382917">
        <w:t>I</w:t>
      </w:r>
      <w:r w:rsidR="00EE4FC3">
        <w:t xml:space="preserve"> </w:t>
      </w:r>
      <w:r w:rsidR="00122F78" w:rsidRPr="00382917">
        <w:t>yearn</w:t>
      </w:r>
      <w:r w:rsidR="00EE4FC3">
        <w:t xml:space="preserve"> </w:t>
      </w:r>
      <w:r w:rsidR="00122F78" w:rsidRPr="00382917">
        <w:t>to</w:t>
      </w:r>
      <w:r w:rsidR="00EE4FC3">
        <w:t xml:space="preserve"> </w:t>
      </w:r>
      <w:r w:rsidR="00122F78" w:rsidRPr="00382917">
        <w:t>shed</w:t>
      </w:r>
      <w:r w:rsidR="00EE4FC3">
        <w:t xml:space="preserve"> </w:t>
      </w:r>
      <w:r w:rsidR="00122F78" w:rsidRPr="00382917">
        <w:t>in</w:t>
      </w:r>
      <w:r w:rsidR="00EE4FC3">
        <w:t xml:space="preserve"> </w:t>
      </w:r>
      <w:r w:rsidR="00122F78" w:rsidRPr="00382917">
        <w:t>Thy</w:t>
      </w:r>
      <w:r w:rsidR="00EE4FC3">
        <w:t xml:space="preserve"> </w:t>
      </w:r>
      <w:r w:rsidR="00122F78" w:rsidRPr="00382917">
        <w:t>path</w:t>
      </w:r>
      <w:r w:rsidR="00C03C91">
        <w:t>.</w:t>
      </w:r>
      <w:r w:rsidR="00EE4FC3">
        <w:t xml:space="preserve">  </w:t>
      </w:r>
      <w:r w:rsidR="00122F78" w:rsidRPr="00382917">
        <w:t>Cause</w:t>
      </w:r>
      <w:r w:rsidR="00EE4FC3">
        <w:t xml:space="preserve"> </w:t>
      </w:r>
      <w:r w:rsidR="00122F78" w:rsidRPr="00382917">
        <w:t>it</w:t>
      </w:r>
      <w:r w:rsidR="00EE4FC3">
        <w:t xml:space="preserve"> </w:t>
      </w:r>
      <w:r w:rsidR="00122F78" w:rsidRPr="00382917">
        <w:t>to</w:t>
      </w:r>
      <w:r w:rsidR="00EE4FC3">
        <w:t xml:space="preserve"> </w:t>
      </w:r>
      <w:r w:rsidR="00122F78" w:rsidRPr="00382917">
        <w:t>water</w:t>
      </w:r>
      <w:r w:rsidR="00EE4FC3">
        <w:t xml:space="preserve"> </w:t>
      </w:r>
      <w:r w:rsidR="00122F78" w:rsidRPr="00382917">
        <w:t>and</w:t>
      </w:r>
      <w:r w:rsidR="00EE4FC3">
        <w:t xml:space="preserve"> </w:t>
      </w:r>
      <w:r w:rsidR="00122F78" w:rsidRPr="00382917">
        <w:t>nourish</w:t>
      </w:r>
      <w:r w:rsidR="00EE4FC3">
        <w:t xml:space="preserve"> </w:t>
      </w:r>
      <w:r w:rsidR="00122F78" w:rsidRPr="00382917">
        <w:t>the</w:t>
      </w:r>
      <w:r w:rsidR="00EE4FC3">
        <w:t xml:space="preserve"> </w:t>
      </w:r>
      <w:r w:rsidR="00122F78" w:rsidRPr="00382917">
        <w:t>seed</w:t>
      </w:r>
      <w:r w:rsidR="00EE4FC3">
        <w:t xml:space="preserve"> </w:t>
      </w:r>
      <w:r w:rsidR="00122F78" w:rsidRPr="00382917">
        <w:t>of</w:t>
      </w:r>
      <w:r w:rsidR="00EE4FC3">
        <w:t xml:space="preserve"> </w:t>
      </w:r>
      <w:r w:rsidR="00122F78" w:rsidRPr="00382917">
        <w:t>Thy</w:t>
      </w:r>
      <w:r w:rsidR="00EE4FC3">
        <w:t xml:space="preserve"> </w:t>
      </w:r>
      <w:r w:rsidR="00122F78" w:rsidRPr="00382917">
        <w:t>Faith</w:t>
      </w:r>
      <w:r w:rsidR="00C03C91">
        <w:t>.</w:t>
      </w:r>
      <w:r w:rsidR="00EE4FC3">
        <w:t xml:space="preserve">  </w:t>
      </w:r>
      <w:r w:rsidR="00122F78" w:rsidRPr="00382917">
        <w:t>Endow</w:t>
      </w:r>
      <w:r w:rsidR="00EE4FC3">
        <w:t xml:space="preserve"> </w:t>
      </w:r>
      <w:r w:rsidR="00122F78" w:rsidRPr="00382917">
        <w:t>it</w:t>
      </w:r>
      <w:r w:rsidR="00EE4FC3">
        <w:t xml:space="preserve"> </w:t>
      </w:r>
      <w:r w:rsidR="00122F78" w:rsidRPr="00382917">
        <w:t>with</w:t>
      </w:r>
      <w:r w:rsidR="00EE4FC3">
        <w:t xml:space="preserve"> </w:t>
      </w:r>
      <w:r w:rsidR="00122F78" w:rsidRPr="00382917">
        <w:t>celestial</w:t>
      </w:r>
      <w:r w:rsidR="00EE4FC3">
        <w:t xml:space="preserve"> </w:t>
      </w:r>
      <w:r w:rsidR="00122F78" w:rsidRPr="00382917">
        <w:t>potency,</w:t>
      </w:r>
      <w:r w:rsidR="00EE4FC3">
        <w:t xml:space="preserve"> </w:t>
      </w:r>
      <w:r w:rsidR="00122F78" w:rsidRPr="00382917">
        <w:t>that</w:t>
      </w:r>
      <w:r w:rsidR="00EE4FC3">
        <w:t xml:space="preserve"> </w:t>
      </w:r>
      <w:r w:rsidR="00122F78" w:rsidRPr="00382917">
        <w:t>this</w:t>
      </w:r>
      <w:r w:rsidR="00EE4FC3">
        <w:t xml:space="preserve"> </w:t>
      </w:r>
      <w:r w:rsidR="00122F78" w:rsidRPr="00382917">
        <w:t>infant</w:t>
      </w:r>
      <w:r w:rsidR="00EE4FC3">
        <w:t xml:space="preserve"> </w:t>
      </w:r>
      <w:r w:rsidR="00122F78" w:rsidRPr="00382917">
        <w:t>seed</w:t>
      </w:r>
      <w:r w:rsidR="00EE4FC3">
        <w:t xml:space="preserve"> </w:t>
      </w:r>
      <w:r w:rsidR="00122F78" w:rsidRPr="00382917">
        <w:t>of</w:t>
      </w:r>
      <w:r w:rsidR="00EE4FC3">
        <w:t xml:space="preserve"> </w:t>
      </w:r>
      <w:r w:rsidR="00122F78" w:rsidRPr="00382917">
        <w:t>God</w:t>
      </w:r>
      <w:r w:rsidR="00EE4FC3">
        <w:t xml:space="preserve"> </w:t>
      </w:r>
      <w:r w:rsidR="00122F78" w:rsidRPr="00382917">
        <w:t>may</w:t>
      </w:r>
      <w:r w:rsidR="00EE4FC3">
        <w:t xml:space="preserve"> </w:t>
      </w:r>
      <w:r w:rsidR="00122F78" w:rsidRPr="00382917">
        <w:t>germinate</w:t>
      </w:r>
      <w:r w:rsidR="00EE4FC3">
        <w:t xml:space="preserve"> </w:t>
      </w:r>
      <w:r w:rsidR="00122F78" w:rsidRPr="00382917">
        <w:t>in</w:t>
      </w:r>
      <w:r w:rsidR="00EE4FC3">
        <w:t xml:space="preserve"> </w:t>
      </w:r>
      <w:r w:rsidR="00122F78" w:rsidRPr="00382917">
        <w:t>the</w:t>
      </w:r>
      <w:r w:rsidR="00EE4FC3">
        <w:t xml:space="preserve"> </w:t>
      </w:r>
      <w:r w:rsidR="00122F78" w:rsidRPr="00382917">
        <w:t>hearts</w:t>
      </w:r>
      <w:r w:rsidR="00EE4FC3">
        <w:t xml:space="preserve"> </w:t>
      </w:r>
      <w:r w:rsidR="00122F78" w:rsidRPr="00382917">
        <w:t>of</w:t>
      </w:r>
      <w:r w:rsidR="00EE4FC3">
        <w:t xml:space="preserve"> </w:t>
      </w:r>
      <w:proofErr w:type="gramStart"/>
      <w:r w:rsidR="00122F78" w:rsidRPr="00382917">
        <w:t>men,</w:t>
      </w:r>
      <w:r w:rsidR="00EE4FC3">
        <w:t xml:space="preserve"> </w:t>
      </w:r>
      <w:r w:rsidR="00122F78" w:rsidRPr="00382917">
        <w:t>that</w:t>
      </w:r>
      <w:proofErr w:type="gramEnd"/>
      <w:r w:rsidR="00EE4FC3">
        <w:t xml:space="preserve"> </w:t>
      </w:r>
      <w:r w:rsidR="00122F78" w:rsidRPr="00382917">
        <w:t>it</w:t>
      </w:r>
      <w:r w:rsidR="00EE4FC3">
        <w:t xml:space="preserve"> </w:t>
      </w:r>
      <w:r w:rsidR="00122F78" w:rsidRPr="00382917">
        <w:t>may</w:t>
      </w:r>
      <w:r w:rsidR="00EE4FC3">
        <w:t xml:space="preserve"> </w:t>
      </w:r>
      <w:r w:rsidR="00122F78" w:rsidRPr="00382917">
        <w:t>thrive</w:t>
      </w:r>
      <w:r w:rsidR="00EE4FC3">
        <w:t xml:space="preserve"> </w:t>
      </w:r>
      <w:r w:rsidR="00122F78" w:rsidRPr="00382917">
        <w:t>and</w:t>
      </w:r>
      <w:r w:rsidR="00EE4FC3">
        <w:t xml:space="preserve"> </w:t>
      </w:r>
      <w:r w:rsidR="00122F78" w:rsidRPr="00382917">
        <w:t>prosper,</w:t>
      </w:r>
      <w:r w:rsidR="00EE4FC3">
        <w:t xml:space="preserve"> </w:t>
      </w:r>
      <w:r w:rsidR="00122F78" w:rsidRPr="00382917">
        <w:t>that</w:t>
      </w:r>
      <w:r w:rsidR="00EE4FC3">
        <w:t xml:space="preserve"> </w:t>
      </w:r>
      <w:r w:rsidR="00122F78" w:rsidRPr="00382917">
        <w:t>it</w:t>
      </w:r>
      <w:r w:rsidR="00EE4FC3">
        <w:t xml:space="preserve"> </w:t>
      </w:r>
      <w:r w:rsidR="00122F78" w:rsidRPr="00382917">
        <w:t>may</w:t>
      </w:r>
      <w:r w:rsidR="00EE4FC3">
        <w:t xml:space="preserve"> </w:t>
      </w:r>
      <w:r w:rsidR="00122F78" w:rsidRPr="00382917">
        <w:t>grow</w:t>
      </w:r>
      <w:r w:rsidR="00EE4FC3">
        <w:t xml:space="preserve"> </w:t>
      </w:r>
      <w:r w:rsidR="00122F78" w:rsidRPr="00382917">
        <w:t>to</w:t>
      </w:r>
      <w:r w:rsidR="00EE4FC3">
        <w:t xml:space="preserve"> </w:t>
      </w:r>
      <w:r w:rsidR="00122F78" w:rsidRPr="00382917">
        <w:t>become</w:t>
      </w:r>
      <w:r w:rsidR="00EE4FC3">
        <w:t xml:space="preserve"> </w:t>
      </w:r>
      <w:r w:rsidR="00122F78" w:rsidRPr="00382917">
        <w:t>a</w:t>
      </w:r>
      <w:r w:rsidR="00EE4FC3">
        <w:t xml:space="preserve"> </w:t>
      </w:r>
      <w:r w:rsidR="00122F78" w:rsidRPr="00382917">
        <w:t>mighty</w:t>
      </w:r>
      <w:r w:rsidR="00EE4FC3">
        <w:t xml:space="preserve"> </w:t>
      </w:r>
      <w:r w:rsidR="00122F78" w:rsidRPr="00382917">
        <w:t>tree,</w:t>
      </w:r>
      <w:r w:rsidR="00EE4FC3">
        <w:t xml:space="preserve"> </w:t>
      </w:r>
      <w:r w:rsidR="00122F78" w:rsidRPr="00382917">
        <w:t>beneath</w:t>
      </w:r>
      <w:r w:rsidR="00EE4FC3">
        <w:t xml:space="preserve"> </w:t>
      </w:r>
      <w:r w:rsidR="00122F78" w:rsidRPr="00382917">
        <w:t>the</w:t>
      </w:r>
      <w:r w:rsidR="00EE4FC3">
        <w:t xml:space="preserve"> </w:t>
      </w:r>
      <w:r w:rsidR="00122F78" w:rsidRPr="00382917">
        <w:t>shadow</w:t>
      </w:r>
      <w:r w:rsidR="00EE4FC3">
        <w:t xml:space="preserve"> </w:t>
      </w:r>
      <w:r w:rsidR="00122F78" w:rsidRPr="00382917">
        <w:t>of</w:t>
      </w:r>
      <w:r w:rsidR="00EE4FC3">
        <w:t xml:space="preserve"> </w:t>
      </w:r>
      <w:r w:rsidR="00122F78" w:rsidRPr="00382917">
        <w:t>which</w:t>
      </w:r>
      <w:r w:rsidR="00EE4FC3">
        <w:t xml:space="preserve"> </w:t>
      </w:r>
      <w:r w:rsidR="00122F78" w:rsidRPr="00382917">
        <w:t>all</w:t>
      </w:r>
      <w:r w:rsidR="00EE4FC3">
        <w:t xml:space="preserve"> </w:t>
      </w:r>
      <w:r w:rsidR="00122F78" w:rsidRPr="00382917">
        <w:t>the</w:t>
      </w:r>
      <w:r w:rsidR="00EE4FC3">
        <w:t xml:space="preserve"> </w:t>
      </w:r>
      <w:r w:rsidR="00122F78" w:rsidRPr="00382917">
        <w:t>peoples</w:t>
      </w:r>
      <w:r w:rsidR="00EE4FC3">
        <w:t xml:space="preserve"> </w:t>
      </w:r>
      <w:r w:rsidR="00122F78" w:rsidRPr="00382917">
        <w:t>of</w:t>
      </w:r>
      <w:r w:rsidR="00EE4FC3">
        <w:t xml:space="preserve"> </w:t>
      </w:r>
      <w:r w:rsidR="00122F78" w:rsidRPr="00382917">
        <w:t>the</w:t>
      </w:r>
      <w:r w:rsidR="00EE4FC3">
        <w:t xml:space="preserve"> </w:t>
      </w:r>
      <w:r w:rsidR="00122F78" w:rsidRPr="00382917">
        <w:t>earth</w:t>
      </w:r>
      <w:r w:rsidR="00EE4FC3">
        <w:t xml:space="preserve"> </w:t>
      </w:r>
      <w:r w:rsidR="00122F78" w:rsidRPr="00382917">
        <w:t>may</w:t>
      </w:r>
      <w:r w:rsidR="00EE4FC3">
        <w:t xml:space="preserve"> </w:t>
      </w:r>
      <w:r w:rsidR="00122F78" w:rsidRPr="00382917">
        <w:t>gather.</w:t>
      </w:r>
      <w:r w:rsidRPr="00382917">
        <w:t>”</w:t>
      </w:r>
      <w:r w:rsidR="00A23C7C">
        <w:rPr>
          <w:rStyle w:val="FootnoteReference"/>
        </w:rPr>
        <w:footnoteReference w:id="51"/>
      </w:r>
    </w:p>
    <w:p w:rsidR="00122F78" w:rsidRPr="00382917" w:rsidRDefault="00122F78" w:rsidP="00122F78">
      <w:pPr>
        <w:pStyle w:val="Text"/>
      </w:pPr>
      <w:r w:rsidRPr="00382917">
        <w:t>The</w:t>
      </w:r>
      <w:r w:rsidR="00EE4FC3">
        <w:t xml:space="preserve"> </w:t>
      </w:r>
      <w:r w:rsidRPr="00382917">
        <w:t>wife</w:t>
      </w:r>
      <w:r w:rsidR="00EE4FC3">
        <w:t xml:space="preserve"> </w:t>
      </w:r>
      <w:r w:rsidRPr="00382917">
        <w:t>of</w:t>
      </w:r>
      <w:r w:rsidR="00EE4FC3">
        <w:t xml:space="preserve"> </w:t>
      </w:r>
      <w:r w:rsidRPr="00382917">
        <w:t>the</w:t>
      </w:r>
      <w:r w:rsidR="00EE4FC3">
        <w:t xml:space="preserve"> </w:t>
      </w:r>
      <w:r w:rsidRPr="00382917">
        <w:t>Báb</w:t>
      </w:r>
      <w:r w:rsidR="00EE4FC3">
        <w:t xml:space="preserve"> </w:t>
      </w:r>
      <w:r w:rsidRPr="00382917">
        <w:t>understood</w:t>
      </w:r>
      <w:r w:rsidR="00EE4FC3">
        <w:t xml:space="preserve"> </w:t>
      </w:r>
      <w:r w:rsidRPr="00382917">
        <w:t>His</w:t>
      </w:r>
      <w:r w:rsidR="00EE4FC3">
        <w:t xml:space="preserve"> </w:t>
      </w:r>
      <w:r w:rsidRPr="00382917">
        <w:t>mission</w:t>
      </w:r>
      <w:r w:rsidR="00EE4FC3">
        <w:t xml:space="preserve"> </w:t>
      </w:r>
      <w:r w:rsidRPr="00382917">
        <w:t>from</w:t>
      </w:r>
      <w:r w:rsidR="00EE4FC3">
        <w:t xml:space="preserve"> </w:t>
      </w:r>
      <w:r w:rsidRPr="00382917">
        <w:t>the</w:t>
      </w:r>
      <w:r w:rsidR="00EE4FC3">
        <w:t xml:space="preserve"> </w:t>
      </w:r>
      <w:r w:rsidRPr="00382917">
        <w:t>very</w:t>
      </w:r>
      <w:r w:rsidR="00EE4FC3">
        <w:t xml:space="preserve"> </w:t>
      </w:r>
      <w:r w:rsidRPr="00382917">
        <w:t>beginning</w:t>
      </w:r>
      <w:r w:rsidR="00C03C91">
        <w:t>.</w:t>
      </w:r>
      <w:r w:rsidR="00EE4FC3">
        <w:t xml:space="preserve">  </w:t>
      </w:r>
      <w:r w:rsidRPr="00382917">
        <w:t>The</w:t>
      </w:r>
      <w:r w:rsidR="00EE4FC3">
        <w:t xml:space="preserve"> </w:t>
      </w:r>
      <w:r w:rsidRPr="00382917">
        <w:t>Báb</w:t>
      </w:r>
      <w:r w:rsidR="00EE4FC3">
        <w:t xml:space="preserve"> </w:t>
      </w:r>
      <w:r w:rsidRPr="00382917">
        <w:t>confided</w:t>
      </w:r>
      <w:r w:rsidR="00EE4FC3">
        <w:t xml:space="preserve"> </w:t>
      </w:r>
      <w:r w:rsidRPr="00382917">
        <w:t>to</w:t>
      </w:r>
      <w:r w:rsidR="00EE4FC3">
        <w:t xml:space="preserve"> </w:t>
      </w:r>
      <w:r w:rsidRPr="00382917">
        <w:t>her</w:t>
      </w:r>
      <w:r w:rsidR="00EE4FC3">
        <w:t xml:space="preserve"> </w:t>
      </w:r>
      <w:r w:rsidRPr="00382917">
        <w:t>the</w:t>
      </w:r>
      <w:r w:rsidR="00EE4FC3">
        <w:t xml:space="preserve"> </w:t>
      </w:r>
      <w:r w:rsidRPr="00382917">
        <w:t>secret</w:t>
      </w:r>
      <w:r w:rsidR="00EE4FC3">
        <w:t xml:space="preserve"> </w:t>
      </w:r>
      <w:r w:rsidRPr="00382917">
        <w:t>of</w:t>
      </w:r>
      <w:r w:rsidR="00EE4FC3">
        <w:t xml:space="preserve"> </w:t>
      </w:r>
      <w:r w:rsidRPr="00382917">
        <w:t>His</w:t>
      </w:r>
      <w:r w:rsidR="00EE4FC3">
        <w:t xml:space="preserve"> </w:t>
      </w:r>
      <w:r w:rsidRPr="00382917">
        <w:t>future</w:t>
      </w:r>
      <w:r w:rsidR="00EE4FC3">
        <w:t xml:space="preserve"> </w:t>
      </w:r>
      <w:r w:rsidRPr="00382917">
        <w:t>sufferings</w:t>
      </w:r>
      <w:r w:rsidR="00C03C91">
        <w:t>.</w:t>
      </w:r>
      <w:r w:rsidR="00EE4FC3">
        <w:t xml:space="preserve">  </w:t>
      </w:r>
      <w:r w:rsidRPr="00382917">
        <w:t>He</w:t>
      </w:r>
      <w:r w:rsidR="00EE4FC3">
        <w:t xml:space="preserve"> </w:t>
      </w:r>
      <w:r w:rsidRPr="00382917">
        <w:t>unfolded</w:t>
      </w:r>
      <w:r w:rsidR="00EE4FC3">
        <w:t xml:space="preserve"> </w:t>
      </w:r>
      <w:r w:rsidRPr="00382917">
        <w:t>to</w:t>
      </w:r>
      <w:r w:rsidR="00EE4FC3">
        <w:t xml:space="preserve"> </w:t>
      </w:r>
      <w:r w:rsidRPr="00382917">
        <w:t>her</w:t>
      </w:r>
      <w:r w:rsidR="00EE4FC3">
        <w:t xml:space="preserve"> </w:t>
      </w:r>
      <w:r w:rsidRPr="00382917">
        <w:t>eyes</w:t>
      </w:r>
      <w:r w:rsidR="00EE4FC3">
        <w:t xml:space="preserve"> </w:t>
      </w:r>
      <w:r w:rsidRPr="00382917">
        <w:t>the</w:t>
      </w:r>
      <w:r w:rsidR="00EE4FC3">
        <w:t xml:space="preserve"> </w:t>
      </w:r>
      <w:r w:rsidRPr="00382917">
        <w:t>significance</w:t>
      </w:r>
      <w:r w:rsidR="00EE4FC3">
        <w:t xml:space="preserve"> </w:t>
      </w:r>
      <w:r w:rsidRPr="00382917">
        <w:t>of</w:t>
      </w:r>
      <w:r w:rsidR="00EE4FC3">
        <w:t xml:space="preserve"> </w:t>
      </w:r>
      <w:r w:rsidRPr="00382917">
        <w:t>the</w:t>
      </w:r>
      <w:r w:rsidR="00EE4FC3">
        <w:t xml:space="preserve"> </w:t>
      </w:r>
      <w:r w:rsidRPr="00382917">
        <w:t>events</w:t>
      </w:r>
      <w:r w:rsidR="00EE4FC3">
        <w:t xml:space="preserve"> </w:t>
      </w:r>
      <w:r w:rsidRPr="00382917">
        <w:t>that</w:t>
      </w:r>
      <w:r w:rsidR="00EE4FC3">
        <w:t xml:space="preserve"> </w:t>
      </w:r>
      <w:r w:rsidRPr="00382917">
        <w:t>were</w:t>
      </w:r>
      <w:r w:rsidR="00EE4FC3">
        <w:t xml:space="preserve"> </w:t>
      </w:r>
      <w:r w:rsidRPr="00382917">
        <w:t>soon</w:t>
      </w:r>
      <w:r w:rsidR="00EE4FC3">
        <w:t xml:space="preserve"> </w:t>
      </w:r>
      <w:r w:rsidRPr="00382917">
        <w:t>to</w:t>
      </w:r>
      <w:r w:rsidR="00EE4FC3">
        <w:t xml:space="preserve"> </w:t>
      </w:r>
      <w:r w:rsidRPr="00382917">
        <w:t>take</w:t>
      </w:r>
      <w:r w:rsidR="00EE4FC3">
        <w:t xml:space="preserve"> </w:t>
      </w:r>
      <w:r w:rsidRPr="00382917">
        <w:t>place,</w:t>
      </w:r>
      <w:r w:rsidR="00EE4FC3">
        <w:t xml:space="preserve"> </w:t>
      </w:r>
      <w:r w:rsidRPr="00382917">
        <w:t>and</w:t>
      </w:r>
      <w:r w:rsidR="00EE4FC3">
        <w:t xml:space="preserve"> </w:t>
      </w:r>
      <w:r w:rsidRPr="00382917">
        <w:t>told</w:t>
      </w:r>
      <w:r w:rsidR="00EE4FC3">
        <w:t xml:space="preserve"> </w:t>
      </w:r>
      <w:r w:rsidRPr="00382917">
        <w:t>her</w:t>
      </w:r>
      <w:r w:rsidR="00EE4FC3">
        <w:t xml:space="preserve"> </w:t>
      </w:r>
      <w:r w:rsidRPr="00382917">
        <w:t>not</w:t>
      </w:r>
      <w:r w:rsidR="00EE4FC3">
        <w:t xml:space="preserve"> </w:t>
      </w:r>
      <w:r w:rsidRPr="00382917">
        <w:t>to</w:t>
      </w:r>
      <w:r w:rsidR="00EE4FC3">
        <w:t xml:space="preserve"> </w:t>
      </w:r>
      <w:r w:rsidRPr="00382917">
        <w:t>disclose</w:t>
      </w:r>
      <w:r w:rsidR="00EE4FC3">
        <w:t xml:space="preserve"> </w:t>
      </w:r>
      <w:r w:rsidRPr="00382917">
        <w:t>this</w:t>
      </w:r>
      <w:r w:rsidR="00EE4FC3">
        <w:t xml:space="preserve"> </w:t>
      </w:r>
      <w:r w:rsidRPr="00382917">
        <w:t>secret</w:t>
      </w:r>
      <w:r w:rsidR="00EE4FC3">
        <w:t xml:space="preserve"> </w:t>
      </w:r>
      <w:r w:rsidRPr="00382917">
        <w:t>to</w:t>
      </w:r>
      <w:r w:rsidR="00EE4FC3">
        <w:t xml:space="preserve"> </w:t>
      </w:r>
      <w:r w:rsidRPr="00382917">
        <w:t>anyone</w:t>
      </w:r>
      <w:r w:rsidR="00C03C91">
        <w:t>.</w:t>
      </w:r>
      <w:r w:rsidR="00EE4FC3">
        <w:t xml:space="preserve">  </w:t>
      </w:r>
      <w:r w:rsidRPr="00382917">
        <w:t>He</w:t>
      </w:r>
      <w:r w:rsidR="00EE4FC3">
        <w:t xml:space="preserve"> </w:t>
      </w:r>
      <w:r w:rsidRPr="00382917">
        <w:t>counselled</w:t>
      </w:r>
      <w:r w:rsidR="00EE4FC3">
        <w:t xml:space="preserve"> </w:t>
      </w:r>
      <w:r w:rsidRPr="00382917">
        <w:t>her</w:t>
      </w:r>
      <w:r w:rsidR="00EE4FC3">
        <w:t xml:space="preserve"> </w:t>
      </w:r>
      <w:r w:rsidRPr="00382917">
        <w:t>to</w:t>
      </w:r>
      <w:r w:rsidR="00EE4FC3">
        <w:t xml:space="preserve"> </w:t>
      </w:r>
      <w:r w:rsidRPr="00382917">
        <w:t>be</w:t>
      </w:r>
      <w:r w:rsidR="00EE4FC3">
        <w:t xml:space="preserve"> </w:t>
      </w:r>
      <w:r w:rsidRPr="00382917">
        <w:t>patient</w:t>
      </w:r>
      <w:r w:rsidR="00EE4FC3">
        <w:t xml:space="preserve"> </w:t>
      </w:r>
      <w:r w:rsidRPr="00382917">
        <w:t>and</w:t>
      </w:r>
      <w:r w:rsidR="00EE4FC3">
        <w:t xml:space="preserve"> </w:t>
      </w:r>
      <w:r w:rsidRPr="00382917">
        <w:t>resigned</w:t>
      </w:r>
      <w:r w:rsidR="00EE4FC3">
        <w:t xml:space="preserve"> </w:t>
      </w:r>
      <w:r w:rsidRPr="00382917">
        <w:t>to</w:t>
      </w:r>
      <w:r w:rsidR="00EE4FC3">
        <w:t xml:space="preserve"> </w:t>
      </w:r>
      <w:r w:rsidRPr="00382917">
        <w:t>the</w:t>
      </w:r>
      <w:r w:rsidR="00EE4FC3">
        <w:t xml:space="preserve"> </w:t>
      </w:r>
      <w:r w:rsidRPr="00382917">
        <w:t>Will</w:t>
      </w:r>
      <w:r w:rsidR="00EE4FC3">
        <w:t xml:space="preserve"> </w:t>
      </w:r>
      <w:r w:rsidRPr="00382917">
        <w:t>of</w:t>
      </w:r>
      <w:r w:rsidR="00EE4FC3">
        <w:t xml:space="preserve"> </w:t>
      </w:r>
      <w:r w:rsidRPr="00382917">
        <w:t>God.</w:t>
      </w:r>
    </w:p>
    <w:p w:rsidR="00122F78" w:rsidRPr="00382917" w:rsidRDefault="00122F78" w:rsidP="00122F78">
      <w:pPr>
        <w:pStyle w:val="Text"/>
      </w:pPr>
      <w:r w:rsidRPr="00382917">
        <w:t>In</w:t>
      </w:r>
      <w:r w:rsidR="00EE4FC3">
        <w:t xml:space="preserve"> </w:t>
      </w:r>
      <w:r w:rsidRPr="00382917">
        <w:t>order</w:t>
      </w:r>
      <w:r w:rsidR="00EE4FC3">
        <w:t xml:space="preserve"> </w:t>
      </w:r>
      <w:r w:rsidRPr="00382917">
        <w:t>to</w:t>
      </w:r>
      <w:r w:rsidR="00EE4FC3">
        <w:t xml:space="preserve"> </w:t>
      </w:r>
      <w:r w:rsidRPr="00382917">
        <w:t>lighten</w:t>
      </w:r>
      <w:r w:rsidR="00EE4FC3">
        <w:t xml:space="preserve"> </w:t>
      </w:r>
      <w:r w:rsidRPr="00382917">
        <w:t>the</w:t>
      </w:r>
      <w:r w:rsidR="00EE4FC3">
        <w:t xml:space="preserve"> </w:t>
      </w:r>
      <w:r w:rsidRPr="00382917">
        <w:t>burden</w:t>
      </w:r>
      <w:r w:rsidR="00EE4FC3">
        <w:t xml:space="preserve"> </w:t>
      </w:r>
      <w:r w:rsidRPr="00382917">
        <w:t>of</w:t>
      </w:r>
      <w:r w:rsidR="00EE4FC3">
        <w:t xml:space="preserve"> </w:t>
      </w:r>
      <w:r w:rsidRPr="00382917">
        <w:t>her</w:t>
      </w:r>
      <w:r w:rsidR="00EE4FC3">
        <w:t xml:space="preserve"> </w:t>
      </w:r>
      <w:r w:rsidRPr="00382917">
        <w:t>woes</w:t>
      </w:r>
      <w:r w:rsidR="00EE4FC3">
        <w:t xml:space="preserve"> </w:t>
      </w:r>
      <w:r w:rsidRPr="00382917">
        <w:t>in</w:t>
      </w:r>
      <w:r w:rsidR="00EE4FC3">
        <w:t xml:space="preserve"> </w:t>
      </w:r>
      <w:r w:rsidRPr="00382917">
        <w:t>the</w:t>
      </w:r>
      <w:r w:rsidR="00EE4FC3">
        <w:t xml:space="preserve"> </w:t>
      </w:r>
      <w:r w:rsidRPr="00382917">
        <w:t>days</w:t>
      </w:r>
      <w:r w:rsidR="00EE4FC3">
        <w:t xml:space="preserve"> </w:t>
      </w:r>
      <w:r w:rsidRPr="00382917">
        <w:t>to</w:t>
      </w:r>
      <w:r w:rsidR="00EE4FC3">
        <w:t xml:space="preserve"> </w:t>
      </w:r>
      <w:r w:rsidRPr="00382917">
        <w:t>come,</w:t>
      </w:r>
      <w:r w:rsidR="00EE4FC3">
        <w:t xml:space="preserve"> </w:t>
      </w:r>
      <w:r w:rsidRPr="00382917">
        <w:t>He</w:t>
      </w:r>
      <w:r w:rsidR="00EE4FC3">
        <w:t xml:space="preserve"> </w:t>
      </w:r>
      <w:r w:rsidRPr="00382917">
        <w:t>entrusted</w:t>
      </w:r>
      <w:r w:rsidR="00EE4FC3">
        <w:t xml:space="preserve"> </w:t>
      </w:r>
      <w:r w:rsidRPr="00382917">
        <w:t>her</w:t>
      </w:r>
      <w:r w:rsidR="00EE4FC3">
        <w:t xml:space="preserve"> </w:t>
      </w:r>
      <w:r w:rsidRPr="00382917">
        <w:t>with</w:t>
      </w:r>
      <w:r w:rsidR="00EE4FC3">
        <w:t xml:space="preserve"> </w:t>
      </w:r>
      <w:r w:rsidRPr="00382917">
        <w:t>a</w:t>
      </w:r>
      <w:r w:rsidR="00EE4FC3">
        <w:t xml:space="preserve"> </w:t>
      </w:r>
      <w:r w:rsidRPr="00382917">
        <w:t>special</w:t>
      </w:r>
      <w:r w:rsidR="00EE4FC3">
        <w:t xml:space="preserve"> </w:t>
      </w:r>
      <w:r w:rsidRPr="00382917">
        <w:t>prayer</w:t>
      </w:r>
      <w:r w:rsidR="00C03C91">
        <w:t>.</w:t>
      </w:r>
      <w:r w:rsidR="00EE4FC3">
        <w:t xml:space="preserve">  </w:t>
      </w:r>
      <w:r w:rsidRPr="00382917">
        <w:t>The</w:t>
      </w:r>
      <w:r w:rsidR="00EE4FC3">
        <w:t xml:space="preserve"> </w:t>
      </w:r>
      <w:r w:rsidRPr="00382917">
        <w:t>reading</w:t>
      </w:r>
      <w:r w:rsidR="00EE4FC3">
        <w:t xml:space="preserve"> </w:t>
      </w:r>
      <w:r w:rsidRPr="00382917">
        <w:t>of</w:t>
      </w:r>
      <w:r w:rsidR="00EE4FC3">
        <w:t xml:space="preserve"> </w:t>
      </w:r>
      <w:r w:rsidRPr="00382917">
        <w:t>this</w:t>
      </w:r>
      <w:r w:rsidR="00EE4FC3">
        <w:t xml:space="preserve"> </w:t>
      </w:r>
      <w:r w:rsidRPr="00382917">
        <w:t>prayer,</w:t>
      </w:r>
      <w:r w:rsidR="00EE4FC3">
        <w:t xml:space="preserve"> </w:t>
      </w:r>
      <w:r w:rsidRPr="00382917">
        <w:t>He</w:t>
      </w:r>
      <w:r w:rsidR="00EE4FC3">
        <w:t xml:space="preserve"> </w:t>
      </w:r>
      <w:r w:rsidRPr="00382917">
        <w:t>promised,</w:t>
      </w:r>
      <w:r w:rsidR="00EE4FC3">
        <w:t xml:space="preserve"> </w:t>
      </w:r>
      <w:r w:rsidRPr="00382917">
        <w:t>would</w:t>
      </w:r>
      <w:r w:rsidR="00EE4FC3">
        <w:t xml:space="preserve"> </w:t>
      </w:r>
      <w:r w:rsidRPr="00382917">
        <w:t>remove</w:t>
      </w:r>
      <w:r w:rsidR="00EE4FC3">
        <w:t xml:space="preserve"> </w:t>
      </w:r>
      <w:r w:rsidRPr="00382917">
        <w:t>her</w:t>
      </w:r>
      <w:r w:rsidR="00EE4FC3">
        <w:t xml:space="preserve"> </w:t>
      </w:r>
      <w:r w:rsidRPr="00382917">
        <w:t>difficulties.</w:t>
      </w:r>
    </w:p>
    <w:p w:rsidR="00E13D49" w:rsidRPr="00382917" w:rsidRDefault="009C713D" w:rsidP="00A23C7C">
      <w:pPr>
        <w:pStyle w:val="Text"/>
      </w:pPr>
      <w:r w:rsidRPr="00382917">
        <w:t>“</w:t>
      </w:r>
      <w:r w:rsidR="00122F78" w:rsidRPr="00382917">
        <w:t>In</w:t>
      </w:r>
      <w:r w:rsidR="00EE4FC3">
        <w:t xml:space="preserve"> </w:t>
      </w:r>
      <w:r w:rsidR="00122F78" w:rsidRPr="00382917">
        <w:t>the</w:t>
      </w:r>
      <w:r w:rsidR="00EE4FC3">
        <w:t xml:space="preserve"> </w:t>
      </w:r>
      <w:r w:rsidR="00122F78" w:rsidRPr="00382917">
        <w:t>hour</w:t>
      </w:r>
      <w:r w:rsidR="00EE4FC3">
        <w:t xml:space="preserve"> </w:t>
      </w:r>
      <w:r w:rsidR="00122F78" w:rsidRPr="00382917">
        <w:t>of</w:t>
      </w:r>
      <w:r w:rsidR="00EE4FC3">
        <w:t xml:space="preserve"> </w:t>
      </w:r>
      <w:r w:rsidR="00122F78" w:rsidRPr="00382917">
        <w:t>your</w:t>
      </w:r>
      <w:r w:rsidR="00EE4FC3">
        <w:t xml:space="preserve"> </w:t>
      </w:r>
      <w:r w:rsidR="00122F78" w:rsidRPr="00382917">
        <w:t>perplexity,</w:t>
      </w:r>
      <w:r w:rsidRPr="00382917">
        <w:t>”</w:t>
      </w:r>
      <w:r w:rsidR="00EE4FC3">
        <w:t xml:space="preserve"> </w:t>
      </w:r>
      <w:r w:rsidR="00122F78" w:rsidRPr="00382917">
        <w:t>He</w:t>
      </w:r>
      <w:r w:rsidR="00EE4FC3">
        <w:t xml:space="preserve"> </w:t>
      </w:r>
      <w:r w:rsidR="00122F78" w:rsidRPr="00382917">
        <w:t>directed</w:t>
      </w:r>
      <w:r w:rsidR="00EE4FC3">
        <w:t xml:space="preserve"> </w:t>
      </w:r>
      <w:r w:rsidR="00122F78" w:rsidRPr="00382917">
        <w:t>her,</w:t>
      </w:r>
      <w:r w:rsidR="00EE4FC3">
        <w:t xml:space="preserve"> </w:t>
      </w:r>
      <w:r w:rsidRPr="00382917">
        <w:t>“</w:t>
      </w:r>
      <w:r w:rsidR="00122F78" w:rsidRPr="00382917">
        <w:t>recite</w:t>
      </w:r>
      <w:r w:rsidR="00EE4FC3">
        <w:t xml:space="preserve"> </w:t>
      </w:r>
      <w:r w:rsidR="00122F78" w:rsidRPr="00382917">
        <w:t>this</w:t>
      </w:r>
      <w:r w:rsidR="00EE4FC3">
        <w:t xml:space="preserve"> </w:t>
      </w:r>
      <w:r w:rsidR="00122F78" w:rsidRPr="00382917">
        <w:t>prayer</w:t>
      </w:r>
      <w:r w:rsidR="00EE4FC3">
        <w:t xml:space="preserve"> </w:t>
      </w:r>
      <w:r w:rsidR="00122F78" w:rsidRPr="00382917">
        <w:t>ere</w:t>
      </w:r>
      <w:r w:rsidR="00EE4FC3">
        <w:t xml:space="preserve"> </w:t>
      </w:r>
      <w:r w:rsidR="00122F78" w:rsidRPr="00382917">
        <w:t>you</w:t>
      </w:r>
      <w:r w:rsidR="00EE4FC3">
        <w:t xml:space="preserve"> </w:t>
      </w:r>
      <w:r w:rsidR="00122F78" w:rsidRPr="00382917">
        <w:t>go</w:t>
      </w:r>
      <w:r w:rsidR="00EE4FC3">
        <w:t xml:space="preserve"> </w:t>
      </w:r>
      <w:r w:rsidR="00122F78" w:rsidRPr="00382917">
        <w:t>to</w:t>
      </w:r>
      <w:r w:rsidR="00EE4FC3">
        <w:t xml:space="preserve"> </w:t>
      </w:r>
      <w:r w:rsidR="00122F78" w:rsidRPr="00382917">
        <w:t>sleep</w:t>
      </w:r>
      <w:r w:rsidR="00C03C91">
        <w:t>.</w:t>
      </w:r>
      <w:r w:rsidR="00EE4FC3">
        <w:t xml:space="preserve">  </w:t>
      </w:r>
      <w:r w:rsidR="00122F78" w:rsidRPr="00382917">
        <w:t>I</w:t>
      </w:r>
      <w:r w:rsidR="00EE4FC3">
        <w:t xml:space="preserve"> </w:t>
      </w:r>
      <w:proofErr w:type="gramStart"/>
      <w:r w:rsidR="00122F78" w:rsidRPr="00382917">
        <w:t>Myself</w:t>
      </w:r>
      <w:proofErr w:type="gramEnd"/>
      <w:r w:rsidR="00EE4FC3">
        <w:t xml:space="preserve"> </w:t>
      </w:r>
      <w:r w:rsidR="00122F78" w:rsidRPr="00382917">
        <w:t>will</w:t>
      </w:r>
      <w:r w:rsidR="00EE4FC3">
        <w:t xml:space="preserve"> </w:t>
      </w:r>
      <w:r w:rsidR="00122F78" w:rsidRPr="00382917">
        <w:t>appear</w:t>
      </w:r>
      <w:r w:rsidR="00EE4FC3">
        <w:t xml:space="preserve"> </w:t>
      </w:r>
      <w:r w:rsidR="00122F78" w:rsidRPr="00382917">
        <w:t>to</w:t>
      </w:r>
      <w:r w:rsidR="00EE4FC3">
        <w:t xml:space="preserve"> </w:t>
      </w:r>
      <w:r w:rsidR="00122F78" w:rsidRPr="00382917">
        <w:t>you</w:t>
      </w:r>
      <w:r w:rsidR="00EE4FC3">
        <w:t xml:space="preserve"> </w:t>
      </w:r>
      <w:r w:rsidR="00122F78" w:rsidRPr="00382917">
        <w:t>and</w:t>
      </w:r>
      <w:r w:rsidR="00EE4FC3">
        <w:t xml:space="preserve"> </w:t>
      </w:r>
      <w:r w:rsidR="00122F78" w:rsidRPr="00382917">
        <w:t>will</w:t>
      </w:r>
      <w:r w:rsidR="00EE4FC3">
        <w:t xml:space="preserve"> </w:t>
      </w:r>
      <w:r w:rsidR="00122F78" w:rsidRPr="00382917">
        <w:t>banish</w:t>
      </w:r>
      <w:r w:rsidR="00EE4FC3">
        <w:t xml:space="preserve"> </w:t>
      </w:r>
      <w:r w:rsidR="00122F78" w:rsidRPr="00382917">
        <w:t>your</w:t>
      </w:r>
      <w:r w:rsidR="00EE4FC3">
        <w:t xml:space="preserve"> </w:t>
      </w:r>
      <w:r w:rsidR="00122F78" w:rsidRPr="00382917">
        <w:t>anxiety.</w:t>
      </w:r>
      <w:r w:rsidRPr="00382917">
        <w:t>”</w:t>
      </w:r>
      <w:r w:rsidR="00A23C7C">
        <w:rPr>
          <w:rStyle w:val="FootnoteReference"/>
        </w:rPr>
        <w:footnoteReference w:id="52"/>
      </w:r>
    </w:p>
    <w:p w:rsidR="00122F78" w:rsidRPr="00382917" w:rsidRDefault="00122F78" w:rsidP="00122F78">
      <w:pPr>
        <w:pStyle w:val="Text"/>
      </w:pPr>
      <w:r w:rsidRPr="00382917">
        <w:t>These</w:t>
      </w:r>
      <w:r w:rsidR="00EE4FC3">
        <w:t xml:space="preserve"> </w:t>
      </w:r>
      <w:r w:rsidRPr="00382917">
        <w:t>peaceful</w:t>
      </w:r>
      <w:r w:rsidR="00EE4FC3">
        <w:t xml:space="preserve"> </w:t>
      </w:r>
      <w:r w:rsidRPr="00382917">
        <w:t>days</w:t>
      </w:r>
      <w:r w:rsidR="00EE4FC3">
        <w:t xml:space="preserve"> </w:t>
      </w:r>
      <w:r w:rsidRPr="00382917">
        <w:t>within</w:t>
      </w:r>
      <w:r w:rsidR="00EE4FC3">
        <w:t xml:space="preserve"> </w:t>
      </w:r>
      <w:r w:rsidRPr="00382917">
        <w:t>the</w:t>
      </w:r>
      <w:r w:rsidR="00EE4FC3">
        <w:t xml:space="preserve"> </w:t>
      </w:r>
      <w:r w:rsidRPr="00382917">
        <w:t>circle</w:t>
      </w:r>
      <w:r w:rsidR="00EE4FC3">
        <w:t xml:space="preserve"> </w:t>
      </w:r>
      <w:r w:rsidRPr="00382917">
        <w:t>of</w:t>
      </w:r>
      <w:r w:rsidR="00EE4FC3">
        <w:t xml:space="preserve"> </w:t>
      </w:r>
      <w:r w:rsidRPr="00382917">
        <w:t>His</w:t>
      </w:r>
      <w:r w:rsidR="00EE4FC3">
        <w:t xml:space="preserve"> </w:t>
      </w:r>
      <w:r w:rsidRPr="00382917">
        <w:t>family</w:t>
      </w:r>
      <w:r w:rsidR="00EE4FC3">
        <w:t xml:space="preserve"> </w:t>
      </w:r>
      <w:r w:rsidRPr="00382917">
        <w:t>were</w:t>
      </w:r>
      <w:r w:rsidR="00EE4FC3">
        <w:t xml:space="preserve"> </w:t>
      </w:r>
      <w:r w:rsidRPr="00382917">
        <w:t>now</w:t>
      </w:r>
      <w:r w:rsidR="00EE4FC3">
        <w:t xml:space="preserve"> </w:t>
      </w:r>
      <w:r w:rsidRPr="00382917">
        <w:t>at</w:t>
      </w:r>
      <w:r w:rsidR="00EE4FC3">
        <w:t xml:space="preserve"> </w:t>
      </w:r>
      <w:r w:rsidRPr="00382917">
        <w:t>an</w:t>
      </w:r>
      <w:r w:rsidR="00EE4FC3">
        <w:t xml:space="preserve"> </w:t>
      </w:r>
      <w:r w:rsidRPr="00382917">
        <w:t>end</w:t>
      </w:r>
      <w:r w:rsidR="00C03C91">
        <w:t>.</w:t>
      </w:r>
      <w:r w:rsidR="00EE4FC3">
        <w:t xml:space="preserve">  </w:t>
      </w:r>
      <w:r w:rsidRPr="00382917">
        <w:t>He</w:t>
      </w:r>
      <w:r w:rsidR="00EE4FC3">
        <w:t xml:space="preserve"> </w:t>
      </w:r>
      <w:r w:rsidRPr="00382917">
        <w:t>would</w:t>
      </w:r>
      <w:r w:rsidR="00EE4FC3">
        <w:t xml:space="preserve"> </w:t>
      </w:r>
      <w:r w:rsidRPr="00382917">
        <w:t>soon</w:t>
      </w:r>
      <w:r w:rsidR="00EE4FC3">
        <w:t xml:space="preserve"> </w:t>
      </w:r>
      <w:r w:rsidRPr="00382917">
        <w:t>be</w:t>
      </w:r>
      <w:r w:rsidR="00EE4FC3">
        <w:t xml:space="preserve"> </w:t>
      </w:r>
      <w:r w:rsidRPr="00382917">
        <w:t>caught</w:t>
      </w:r>
      <w:r w:rsidR="00EE4FC3">
        <w:t xml:space="preserve"> </w:t>
      </w:r>
      <w:r w:rsidRPr="00382917">
        <w:t>up</w:t>
      </w:r>
      <w:r w:rsidR="00EE4FC3">
        <w:t xml:space="preserve"> </w:t>
      </w:r>
      <w:r w:rsidRPr="00382917">
        <w:t>in</w:t>
      </w:r>
      <w:r w:rsidR="00EE4FC3">
        <w:t xml:space="preserve"> </w:t>
      </w:r>
      <w:r w:rsidRPr="00382917">
        <w:t>a</w:t>
      </w:r>
      <w:r w:rsidR="00EE4FC3">
        <w:t xml:space="preserve"> </w:t>
      </w:r>
      <w:r w:rsidRPr="00382917">
        <w:t>whirlwind</w:t>
      </w:r>
      <w:r w:rsidR="00EE4FC3">
        <w:t xml:space="preserve"> </w:t>
      </w:r>
      <w:r w:rsidRPr="00382917">
        <w:t>of</w:t>
      </w:r>
      <w:r w:rsidR="00EE4FC3">
        <w:t xml:space="preserve"> </w:t>
      </w:r>
      <w:r w:rsidRPr="00382917">
        <w:t>adversity</w:t>
      </w:r>
    </w:p>
    <w:p w:rsidR="00122F78" w:rsidRPr="00382917" w:rsidRDefault="00122F78">
      <w:pPr>
        <w:widowControl/>
        <w:kinsoku/>
        <w:overflowPunct/>
        <w:textAlignment w:val="auto"/>
      </w:pPr>
      <w:r w:rsidRPr="00382917">
        <w:br w:type="page"/>
      </w:r>
    </w:p>
    <w:p w:rsidR="00122F78" w:rsidRPr="00382917" w:rsidRDefault="00122F78" w:rsidP="00122F78">
      <w:pPr>
        <w:pStyle w:val="Textcts"/>
      </w:pPr>
      <w:proofErr w:type="gramStart"/>
      <w:r w:rsidRPr="00382917">
        <w:t>which</w:t>
      </w:r>
      <w:proofErr w:type="gramEnd"/>
      <w:r w:rsidR="00EE4FC3">
        <w:t xml:space="preserve"> </w:t>
      </w:r>
      <w:r w:rsidRPr="00382917">
        <w:t>would</w:t>
      </w:r>
      <w:r w:rsidR="00EE4FC3">
        <w:t xml:space="preserve"> </w:t>
      </w:r>
      <w:r w:rsidRPr="00382917">
        <w:t>never</w:t>
      </w:r>
      <w:r w:rsidR="00EE4FC3">
        <w:t xml:space="preserve"> </w:t>
      </w:r>
      <w:r w:rsidRPr="00382917">
        <w:t>cease</w:t>
      </w:r>
      <w:r w:rsidR="00EE4FC3">
        <w:t xml:space="preserve"> </w:t>
      </w:r>
      <w:r w:rsidRPr="00382917">
        <w:t>until</w:t>
      </w:r>
      <w:r w:rsidR="00EE4FC3">
        <w:t xml:space="preserve"> </w:t>
      </w:r>
      <w:r w:rsidRPr="00382917">
        <w:t>it</w:t>
      </w:r>
      <w:r w:rsidR="00EE4FC3">
        <w:t xml:space="preserve"> </w:t>
      </w:r>
      <w:r w:rsidRPr="00382917">
        <w:t>had</w:t>
      </w:r>
      <w:r w:rsidR="00EE4FC3">
        <w:t xml:space="preserve"> </w:t>
      </w:r>
      <w:r w:rsidRPr="00382917">
        <w:t>carried</w:t>
      </w:r>
      <w:r w:rsidR="00EE4FC3">
        <w:t xml:space="preserve"> </w:t>
      </w:r>
      <w:r w:rsidRPr="00382917">
        <w:t>Him</w:t>
      </w:r>
      <w:r w:rsidR="00EE4FC3">
        <w:t xml:space="preserve"> </w:t>
      </w:r>
      <w:r w:rsidRPr="00382917">
        <w:t>swiftly</w:t>
      </w:r>
      <w:r w:rsidR="00EE4FC3">
        <w:t xml:space="preserve"> </w:t>
      </w:r>
      <w:r w:rsidRPr="00382917">
        <w:t>to</w:t>
      </w:r>
      <w:r w:rsidR="00EE4FC3">
        <w:t xml:space="preserve"> </w:t>
      </w:r>
      <w:r w:rsidRPr="00382917">
        <w:t>the</w:t>
      </w:r>
      <w:r w:rsidR="00EE4FC3">
        <w:t xml:space="preserve"> </w:t>
      </w:r>
      <w:r w:rsidRPr="00382917">
        <w:t>field</w:t>
      </w:r>
      <w:r w:rsidR="00EE4FC3">
        <w:t xml:space="preserve"> </w:t>
      </w:r>
      <w:r w:rsidRPr="00382917">
        <w:t>of</w:t>
      </w:r>
      <w:r w:rsidR="00EE4FC3">
        <w:t xml:space="preserve"> </w:t>
      </w:r>
      <w:r w:rsidRPr="00382917">
        <w:t>martyrdom.</w:t>
      </w:r>
    </w:p>
    <w:p w:rsidR="00122F78" w:rsidRPr="00382917" w:rsidRDefault="00122F78" w:rsidP="00A23C7C">
      <w:pPr>
        <w:pStyle w:val="Text"/>
      </w:pPr>
      <w:r w:rsidRPr="00382917">
        <w:t>The</w:t>
      </w:r>
      <w:r w:rsidR="00EE4FC3">
        <w:t xml:space="preserve"> </w:t>
      </w:r>
      <w:r w:rsidRPr="00382917">
        <w:t>governor</w:t>
      </w:r>
      <w:r w:rsidR="00EE4FC3">
        <w:t xml:space="preserve"> </w:t>
      </w:r>
      <w:r w:rsidRPr="00382917">
        <w:t>of</w:t>
      </w:r>
      <w:r w:rsidR="00EE4FC3">
        <w:t xml:space="preserve"> </w:t>
      </w:r>
      <w:r w:rsidR="008A073E" w:rsidRPr="00382917">
        <w:rPr>
          <w:u w:val="single"/>
        </w:rPr>
        <w:t>Sh</w:t>
      </w:r>
      <w:r w:rsidR="008A073E" w:rsidRPr="00382917">
        <w:t>íráz</w:t>
      </w:r>
      <w:r w:rsidRPr="00382917">
        <w:t>,</w:t>
      </w:r>
      <w:r w:rsidR="00EE4FC3">
        <w:t xml:space="preserve"> </w:t>
      </w:r>
      <w:r w:rsidR="00964C11" w:rsidRPr="00382917">
        <w:t>Ḥusayn</w:t>
      </w:r>
      <w:r w:rsidR="00EE4FC3">
        <w:t xml:space="preserve"> </w:t>
      </w:r>
      <w:r w:rsidR="0040329F" w:rsidRPr="0040329F">
        <w:rPr>
          <w:u w:val="single"/>
        </w:rPr>
        <w:t>Kh</w:t>
      </w:r>
      <w:r w:rsidR="0040329F" w:rsidRPr="00382917">
        <w:t>án</w:t>
      </w:r>
      <w:r w:rsidRPr="00382917">
        <w:t>,</w:t>
      </w:r>
      <w:r w:rsidR="00EE4FC3">
        <w:t xml:space="preserve"> </w:t>
      </w:r>
      <w:r w:rsidRPr="00382917">
        <w:t>exerted</w:t>
      </w:r>
      <w:r w:rsidR="00EE4FC3">
        <w:t xml:space="preserve"> </w:t>
      </w:r>
      <w:r w:rsidRPr="00382917">
        <w:t>every</w:t>
      </w:r>
      <w:r w:rsidR="00EE4FC3">
        <w:t xml:space="preserve"> </w:t>
      </w:r>
      <w:r w:rsidRPr="00382917">
        <w:t>effort</w:t>
      </w:r>
      <w:r w:rsidR="00EE4FC3">
        <w:t xml:space="preserve"> </w:t>
      </w:r>
      <w:r w:rsidRPr="00382917">
        <w:t>to</w:t>
      </w:r>
      <w:r w:rsidR="00EE4FC3">
        <w:t xml:space="preserve"> </w:t>
      </w:r>
      <w:r w:rsidRPr="00382917">
        <w:t>involve</w:t>
      </w:r>
      <w:r w:rsidR="00EE4FC3">
        <w:t xml:space="preserve"> </w:t>
      </w:r>
      <w:r w:rsidRPr="00382917">
        <w:t>the</w:t>
      </w:r>
      <w:r w:rsidR="00EE4FC3">
        <w:t xml:space="preserve"> </w:t>
      </w:r>
      <w:r w:rsidRPr="00382917">
        <w:t>Báb</w:t>
      </w:r>
      <w:r w:rsidR="00EE4FC3">
        <w:t xml:space="preserve"> </w:t>
      </w:r>
      <w:r w:rsidRPr="00382917">
        <w:t>in</w:t>
      </w:r>
      <w:r w:rsidR="00EE4FC3">
        <w:t xml:space="preserve"> </w:t>
      </w:r>
      <w:r w:rsidRPr="00382917">
        <w:t>fresh</w:t>
      </w:r>
      <w:r w:rsidR="00EE4FC3">
        <w:t xml:space="preserve"> </w:t>
      </w:r>
      <w:r w:rsidRPr="00382917">
        <w:t>embarrassments</w:t>
      </w:r>
      <w:r w:rsidR="00C03C91">
        <w:t>.</w:t>
      </w:r>
      <w:r w:rsidR="00EE4FC3">
        <w:t xml:space="preserve">  </w:t>
      </w:r>
      <w:r w:rsidRPr="00382917">
        <w:t>He</w:t>
      </w:r>
      <w:r w:rsidR="00EE4FC3">
        <w:t xml:space="preserve"> </w:t>
      </w:r>
      <w:r w:rsidRPr="00382917">
        <w:t>was</w:t>
      </w:r>
      <w:r w:rsidR="00EE4FC3">
        <w:t xml:space="preserve"> </w:t>
      </w:r>
      <w:r w:rsidRPr="00382917">
        <w:t>outraged</w:t>
      </w:r>
      <w:r w:rsidR="00EE4FC3">
        <w:t xml:space="preserve"> </w:t>
      </w:r>
      <w:r w:rsidRPr="00382917">
        <w:t>because</w:t>
      </w:r>
      <w:r w:rsidR="00EE4FC3">
        <w:t xml:space="preserve"> </w:t>
      </w:r>
      <w:proofErr w:type="spellStart"/>
      <w:r w:rsidRPr="00382917">
        <w:t>Vaḥíd</w:t>
      </w:r>
      <w:r w:rsidR="009C713D" w:rsidRPr="00382917">
        <w:t>’</w:t>
      </w:r>
      <w:r w:rsidRPr="00382917">
        <w:t>s</w:t>
      </w:r>
      <w:proofErr w:type="spellEnd"/>
      <w:r w:rsidR="00EE4FC3">
        <w:t xml:space="preserve"> </w:t>
      </w:r>
      <w:r w:rsidRPr="00382917">
        <w:t>acceptance</w:t>
      </w:r>
      <w:r w:rsidR="00EE4FC3">
        <w:t xml:space="preserve"> </w:t>
      </w:r>
      <w:r w:rsidRPr="00382917">
        <w:t>to</w:t>
      </w:r>
      <w:r w:rsidR="00EE4FC3">
        <w:t xml:space="preserve"> </w:t>
      </w:r>
      <w:r w:rsidRPr="00382917">
        <w:t>the</w:t>
      </w:r>
      <w:r w:rsidR="00EE4FC3">
        <w:t xml:space="preserve"> </w:t>
      </w:r>
      <w:r w:rsidRPr="00382917">
        <w:t>Báb</w:t>
      </w:r>
      <w:r w:rsidR="00EE4FC3">
        <w:t xml:space="preserve"> </w:t>
      </w:r>
      <w:r w:rsidRPr="00382917">
        <w:t>had</w:t>
      </w:r>
      <w:r w:rsidR="00EE4FC3">
        <w:t xml:space="preserve"> </w:t>
      </w:r>
      <w:r w:rsidRPr="00382917">
        <w:t>for</w:t>
      </w:r>
      <w:r w:rsidR="00EE4FC3">
        <w:t xml:space="preserve"> </w:t>
      </w:r>
      <w:r w:rsidRPr="00382917">
        <w:t>a</w:t>
      </w:r>
      <w:r w:rsidR="00EE4FC3">
        <w:t xml:space="preserve"> </w:t>
      </w:r>
      <w:r w:rsidRPr="00382917">
        <w:t>time</w:t>
      </w:r>
      <w:r w:rsidR="00EE4FC3">
        <w:t xml:space="preserve"> </w:t>
      </w:r>
      <w:r w:rsidRPr="00382917">
        <w:t>tied</w:t>
      </w:r>
      <w:r w:rsidR="00EE4FC3">
        <w:t xml:space="preserve"> </w:t>
      </w:r>
      <w:r w:rsidRPr="00382917">
        <w:t>his</w:t>
      </w:r>
      <w:r w:rsidR="00EE4FC3">
        <w:t xml:space="preserve"> </w:t>
      </w:r>
      <w:r w:rsidRPr="00382917">
        <w:t>hands</w:t>
      </w:r>
      <w:r w:rsidR="00C03C91">
        <w:t>.</w:t>
      </w:r>
      <w:r w:rsidR="00EE4FC3">
        <w:t xml:space="preserve">  </w:t>
      </w:r>
      <w:r w:rsidRPr="00382917">
        <w:t>He</w:t>
      </w:r>
      <w:r w:rsidR="00EE4FC3">
        <w:t xml:space="preserve"> </w:t>
      </w:r>
      <w:r w:rsidRPr="00382917">
        <w:t>feared</w:t>
      </w:r>
      <w:r w:rsidR="00EE4FC3">
        <w:t xml:space="preserve"> </w:t>
      </w:r>
      <w:r w:rsidRPr="00382917">
        <w:t>to</w:t>
      </w:r>
      <w:r w:rsidR="00EE4FC3">
        <w:t xml:space="preserve"> </w:t>
      </w:r>
      <w:r w:rsidRPr="00382917">
        <w:t>offend</w:t>
      </w:r>
      <w:r w:rsidR="00EE4FC3">
        <w:t xml:space="preserve"> </w:t>
      </w:r>
      <w:r w:rsidRPr="00382917">
        <w:t>the</w:t>
      </w:r>
      <w:r w:rsidR="00EE4FC3">
        <w:t xml:space="preserve"> </w:t>
      </w:r>
      <w:r w:rsidRPr="00382917">
        <w:t>king</w:t>
      </w:r>
      <w:r w:rsidR="00C03C91">
        <w:t>.</w:t>
      </w:r>
      <w:r w:rsidR="00EE4FC3">
        <w:t xml:space="preserve">  </w:t>
      </w:r>
      <w:r w:rsidRPr="00382917">
        <w:t>Yet</w:t>
      </w:r>
      <w:r w:rsidR="00EE4FC3">
        <w:t xml:space="preserve"> </w:t>
      </w:r>
      <w:r w:rsidRPr="00382917">
        <w:t>he</w:t>
      </w:r>
      <w:r w:rsidR="00EE4FC3">
        <w:t xml:space="preserve"> </w:t>
      </w:r>
      <w:r w:rsidRPr="00382917">
        <w:t>could</w:t>
      </w:r>
      <w:r w:rsidR="00EE4FC3">
        <w:t xml:space="preserve"> </w:t>
      </w:r>
      <w:r w:rsidRPr="00382917">
        <w:t>not</w:t>
      </w:r>
      <w:r w:rsidR="00EE4FC3">
        <w:t xml:space="preserve"> </w:t>
      </w:r>
      <w:r w:rsidRPr="00382917">
        <w:t>bear</w:t>
      </w:r>
      <w:r w:rsidR="00EE4FC3">
        <w:t xml:space="preserve"> </w:t>
      </w:r>
      <w:r w:rsidRPr="00382917">
        <w:t>to</w:t>
      </w:r>
      <w:r w:rsidR="00EE4FC3">
        <w:t xml:space="preserve"> </w:t>
      </w:r>
      <w:r w:rsidRPr="00382917">
        <w:t>see</w:t>
      </w:r>
      <w:r w:rsidR="00EE4FC3">
        <w:t xml:space="preserve"> </w:t>
      </w:r>
      <w:r w:rsidRPr="00382917">
        <w:t>the</w:t>
      </w:r>
      <w:r w:rsidR="00EE4FC3">
        <w:t xml:space="preserve"> </w:t>
      </w:r>
      <w:r w:rsidRPr="00382917">
        <w:t>Báb</w:t>
      </w:r>
      <w:r w:rsidR="00EE4FC3">
        <w:t xml:space="preserve"> </w:t>
      </w:r>
      <w:r w:rsidRPr="00382917">
        <w:t>moving</w:t>
      </w:r>
      <w:r w:rsidR="00EE4FC3">
        <w:t xml:space="preserve"> </w:t>
      </w:r>
      <w:r w:rsidRPr="00382917">
        <w:t>about</w:t>
      </w:r>
      <w:r w:rsidR="00EE4FC3">
        <w:t xml:space="preserve"> </w:t>
      </w:r>
      <w:r w:rsidRPr="00382917">
        <w:t>once</w:t>
      </w:r>
      <w:r w:rsidR="00EE4FC3">
        <w:t xml:space="preserve"> </w:t>
      </w:r>
      <w:r w:rsidRPr="00382917">
        <w:t>again</w:t>
      </w:r>
      <w:r w:rsidR="00EE4FC3">
        <w:t xml:space="preserve"> </w:t>
      </w:r>
      <w:r w:rsidRPr="00382917">
        <w:t>free</w:t>
      </w:r>
      <w:r w:rsidR="00EE4FC3">
        <w:t xml:space="preserve"> </w:t>
      </w:r>
      <w:r w:rsidRPr="00382917">
        <w:t>and</w:t>
      </w:r>
      <w:r w:rsidR="00EE4FC3">
        <w:t xml:space="preserve"> </w:t>
      </w:r>
      <w:r w:rsidRPr="00382917">
        <w:t>unmolested</w:t>
      </w:r>
      <w:r w:rsidR="00C03C91">
        <w:t>.</w:t>
      </w:r>
      <w:r w:rsidR="00EE4FC3">
        <w:t xml:space="preserve">  </w:t>
      </w:r>
      <w:r w:rsidRPr="00382917">
        <w:t>The</w:t>
      </w:r>
      <w:r w:rsidR="00EE4FC3">
        <w:t xml:space="preserve"> </w:t>
      </w:r>
      <w:r w:rsidRPr="00382917">
        <w:t>sight</w:t>
      </w:r>
      <w:r w:rsidR="00EE4FC3">
        <w:t xml:space="preserve"> </w:t>
      </w:r>
      <w:r w:rsidRPr="00382917">
        <w:t>of</w:t>
      </w:r>
      <w:r w:rsidR="00EE4FC3">
        <w:t xml:space="preserve"> </w:t>
      </w:r>
      <w:r w:rsidRPr="00382917">
        <w:t>the</w:t>
      </w:r>
      <w:r w:rsidR="00EE4FC3">
        <w:t xml:space="preserve"> </w:t>
      </w:r>
      <w:r w:rsidRPr="00382917">
        <w:t>constant</w:t>
      </w:r>
      <w:r w:rsidR="00EE4FC3">
        <w:t xml:space="preserve"> </w:t>
      </w:r>
      <w:r w:rsidRPr="00382917">
        <w:t>stream</w:t>
      </w:r>
      <w:r w:rsidR="00EE4FC3">
        <w:t xml:space="preserve"> </w:t>
      </w:r>
      <w:r w:rsidRPr="00382917">
        <w:t>of</w:t>
      </w:r>
      <w:r w:rsidR="00EE4FC3">
        <w:t xml:space="preserve"> </w:t>
      </w:r>
      <w:r w:rsidRPr="00382917">
        <w:t>followers</w:t>
      </w:r>
      <w:r w:rsidR="00EE4FC3">
        <w:t xml:space="preserve"> </w:t>
      </w:r>
      <w:r w:rsidRPr="00382917">
        <w:t>and</w:t>
      </w:r>
      <w:r w:rsidR="00EE4FC3">
        <w:t xml:space="preserve"> </w:t>
      </w:r>
      <w:r w:rsidRPr="00382917">
        <w:t>friends</w:t>
      </w:r>
      <w:r w:rsidR="00EE4FC3">
        <w:t xml:space="preserve"> </w:t>
      </w:r>
      <w:r w:rsidRPr="00382917">
        <w:t>who</w:t>
      </w:r>
      <w:r w:rsidR="00EE4FC3">
        <w:t xml:space="preserve"> </w:t>
      </w:r>
      <w:r w:rsidRPr="00382917">
        <w:t>were</w:t>
      </w:r>
      <w:r w:rsidR="00EE4FC3">
        <w:t xml:space="preserve"> </w:t>
      </w:r>
      <w:r w:rsidRPr="00382917">
        <w:t>once</w:t>
      </w:r>
      <w:r w:rsidR="00EE4FC3">
        <w:t xml:space="preserve"> </w:t>
      </w:r>
      <w:r w:rsidRPr="00382917">
        <w:t>more</w:t>
      </w:r>
      <w:r w:rsidR="00EE4FC3">
        <w:t xml:space="preserve"> </w:t>
      </w:r>
      <w:r w:rsidRPr="00382917">
        <w:t>entering</w:t>
      </w:r>
      <w:r w:rsidR="00EE4FC3">
        <w:t xml:space="preserve"> </w:t>
      </w:r>
      <w:r w:rsidRPr="00382917">
        <w:t>His</w:t>
      </w:r>
      <w:r w:rsidR="00EE4FC3">
        <w:t xml:space="preserve"> </w:t>
      </w:r>
      <w:r w:rsidRPr="00382917">
        <w:t>house</w:t>
      </w:r>
      <w:r w:rsidR="00EE4FC3">
        <w:t xml:space="preserve"> </w:t>
      </w:r>
      <w:r w:rsidRPr="00382917">
        <w:t>enraged</w:t>
      </w:r>
      <w:r w:rsidR="00EE4FC3">
        <w:t xml:space="preserve"> </w:t>
      </w:r>
      <w:r w:rsidRPr="00382917">
        <w:t>him.</w:t>
      </w:r>
    </w:p>
    <w:p w:rsidR="00122F78" w:rsidRPr="00382917" w:rsidRDefault="00122F78" w:rsidP="00A23C7C">
      <w:pPr>
        <w:pStyle w:val="Text"/>
      </w:pPr>
      <w:r w:rsidRPr="00382917">
        <w:t>The</w:t>
      </w:r>
      <w:r w:rsidR="00EE4FC3">
        <w:t xml:space="preserve"> </w:t>
      </w:r>
      <w:r w:rsidRPr="00382917">
        <w:t>Báb</w:t>
      </w:r>
      <w:r w:rsidR="00EE4FC3">
        <w:t xml:space="preserve"> </w:t>
      </w:r>
      <w:r w:rsidRPr="00382917">
        <w:t>was</w:t>
      </w:r>
      <w:r w:rsidR="00EE4FC3">
        <w:t xml:space="preserve"> </w:t>
      </w:r>
      <w:r w:rsidRPr="00382917">
        <w:t>very</w:t>
      </w:r>
      <w:r w:rsidR="00EE4FC3">
        <w:t xml:space="preserve"> </w:t>
      </w:r>
      <w:r w:rsidRPr="00382917">
        <w:t>courageous</w:t>
      </w:r>
      <w:r w:rsidR="00EE4FC3">
        <w:t xml:space="preserve"> </w:t>
      </w:r>
      <w:r w:rsidRPr="00382917">
        <w:t>in</w:t>
      </w:r>
      <w:r w:rsidR="00EE4FC3">
        <w:t xml:space="preserve"> </w:t>
      </w:r>
      <w:r w:rsidRPr="00382917">
        <w:t>proclaiming</w:t>
      </w:r>
      <w:r w:rsidR="00EE4FC3">
        <w:t xml:space="preserve"> </w:t>
      </w:r>
      <w:r w:rsidRPr="00382917">
        <w:t>His</w:t>
      </w:r>
      <w:r w:rsidR="00EE4FC3">
        <w:t xml:space="preserve"> </w:t>
      </w:r>
      <w:r w:rsidRPr="00382917">
        <w:t>Faith</w:t>
      </w:r>
      <w:r w:rsidR="00C03C91">
        <w:t>.</w:t>
      </w:r>
      <w:r w:rsidR="00EE4FC3">
        <w:t xml:space="preserve">  </w:t>
      </w:r>
      <w:r w:rsidRPr="00382917">
        <w:t>He</w:t>
      </w:r>
      <w:r w:rsidR="00EE4FC3">
        <w:t xml:space="preserve"> </w:t>
      </w:r>
      <w:r w:rsidRPr="00382917">
        <w:t>sent</w:t>
      </w:r>
      <w:r w:rsidR="00EE4FC3">
        <w:t xml:space="preserve"> </w:t>
      </w:r>
      <w:r w:rsidRPr="00382917">
        <w:t>a</w:t>
      </w:r>
      <w:r w:rsidR="00EE4FC3">
        <w:t xml:space="preserve"> </w:t>
      </w:r>
      <w:r w:rsidRPr="00382917">
        <w:t>message</w:t>
      </w:r>
      <w:r w:rsidR="00EE4FC3">
        <w:t xml:space="preserve"> </w:t>
      </w:r>
      <w:r w:rsidRPr="00382917">
        <w:t>to</w:t>
      </w:r>
      <w:r w:rsidR="00EE4FC3">
        <w:t xml:space="preserve"> </w:t>
      </w:r>
      <w:r w:rsidRPr="00382917">
        <w:t>one</w:t>
      </w:r>
      <w:r w:rsidR="00EE4FC3">
        <w:t xml:space="preserve"> </w:t>
      </w:r>
      <w:r w:rsidRPr="00382917">
        <w:t>of</w:t>
      </w:r>
      <w:r w:rsidR="00EE4FC3">
        <w:t xml:space="preserve"> </w:t>
      </w:r>
      <w:r w:rsidRPr="00382917">
        <w:t>the</w:t>
      </w:r>
      <w:r w:rsidR="00EE4FC3">
        <w:t xml:space="preserve"> </w:t>
      </w:r>
      <w:r w:rsidRPr="00382917">
        <w:t>leading</w:t>
      </w:r>
      <w:r w:rsidR="00EE4FC3">
        <w:t xml:space="preserve"> </w:t>
      </w:r>
      <w:r w:rsidRPr="00382917">
        <w:t>figures</w:t>
      </w:r>
      <w:r w:rsidR="00EE4FC3">
        <w:t xml:space="preserve"> </w:t>
      </w:r>
      <w:r w:rsidRPr="00382917">
        <w:t>of</w:t>
      </w:r>
      <w:r w:rsidR="00EE4FC3">
        <w:t xml:space="preserve"> </w:t>
      </w:r>
      <w:r w:rsidRPr="00382917">
        <w:t>the</w:t>
      </w:r>
      <w:r w:rsidR="00EE4FC3">
        <w:t xml:space="preserve"> </w:t>
      </w:r>
      <w:r w:rsidRPr="00382917">
        <w:t>city</w:t>
      </w:r>
      <w:r w:rsidR="00EE4FC3">
        <w:t xml:space="preserve"> </w:t>
      </w:r>
      <w:r w:rsidRPr="00382917">
        <w:t>of</w:t>
      </w:r>
      <w:r w:rsidR="00EE4FC3">
        <w:t xml:space="preserve"> </w:t>
      </w:r>
      <w:r w:rsidRPr="00382917">
        <w:t>Zanján,</w:t>
      </w:r>
      <w:r w:rsidR="00EE4FC3">
        <w:t xml:space="preserve"> </w:t>
      </w:r>
      <w:r w:rsidRPr="00382917">
        <w:t>saying</w:t>
      </w:r>
      <w:r w:rsidR="00C03C91">
        <w:t>:</w:t>
      </w:r>
      <w:r w:rsidR="00EE4FC3">
        <w:t xml:space="preserve">  </w:t>
      </w:r>
      <w:r w:rsidR="009C713D" w:rsidRPr="00382917">
        <w:t>“</w:t>
      </w:r>
      <w:r w:rsidRPr="00382917">
        <w:t>He</w:t>
      </w:r>
      <w:r w:rsidR="00EE4FC3">
        <w:t xml:space="preserve"> </w:t>
      </w:r>
      <w:proofErr w:type="gramStart"/>
      <w:r w:rsidRPr="00382917">
        <w:t>Whose</w:t>
      </w:r>
      <w:proofErr w:type="gramEnd"/>
      <w:r w:rsidR="00EE4FC3">
        <w:t xml:space="preserve"> </w:t>
      </w:r>
      <w:r w:rsidRPr="00382917">
        <w:t>virtues</w:t>
      </w:r>
      <w:r w:rsidR="00EE4FC3">
        <w:t xml:space="preserve"> </w:t>
      </w:r>
      <w:r w:rsidRPr="00382917">
        <w:t>the</w:t>
      </w:r>
      <w:r w:rsidR="00EE4FC3">
        <w:t xml:space="preserve"> </w:t>
      </w:r>
      <w:r w:rsidRPr="00382917">
        <w:t>late</w:t>
      </w:r>
      <w:r w:rsidR="00EE4FC3">
        <w:t xml:space="preserve"> </w:t>
      </w:r>
      <w:r w:rsidRPr="00382917">
        <w:t>Siyyid</w:t>
      </w:r>
      <w:r w:rsidR="00EE4FC3">
        <w:t xml:space="preserve"> </w:t>
      </w:r>
      <w:r w:rsidRPr="00382917">
        <w:t>Káẓim</w:t>
      </w:r>
      <w:r w:rsidR="00EE4FC3">
        <w:t xml:space="preserve"> </w:t>
      </w:r>
      <w:r w:rsidRPr="00382917">
        <w:t>unceasingly</w:t>
      </w:r>
      <w:r w:rsidR="00EE4FC3">
        <w:t xml:space="preserve"> </w:t>
      </w:r>
      <w:r w:rsidRPr="00382917">
        <w:t>extolled,</w:t>
      </w:r>
      <w:r w:rsidR="00EE4FC3">
        <w:t xml:space="preserve"> </w:t>
      </w:r>
      <w:r w:rsidRPr="00382917">
        <w:t>and</w:t>
      </w:r>
      <w:r w:rsidR="00EE4FC3">
        <w:t xml:space="preserve"> </w:t>
      </w:r>
      <w:r w:rsidRPr="00382917">
        <w:t>to</w:t>
      </w:r>
      <w:r w:rsidR="00EE4FC3">
        <w:t xml:space="preserve"> </w:t>
      </w:r>
      <w:r w:rsidRPr="00382917">
        <w:t>the</w:t>
      </w:r>
      <w:r w:rsidR="00EE4FC3">
        <w:t xml:space="preserve"> </w:t>
      </w:r>
      <w:r w:rsidRPr="00382917">
        <w:t>approach</w:t>
      </w:r>
      <w:r w:rsidR="00EE4FC3">
        <w:t xml:space="preserve"> </w:t>
      </w:r>
      <w:r w:rsidRPr="00382917">
        <w:t>of</w:t>
      </w:r>
      <w:r w:rsidR="00EE4FC3">
        <w:t xml:space="preserve"> </w:t>
      </w:r>
      <w:r w:rsidRPr="00382917">
        <w:t>Whose</w:t>
      </w:r>
      <w:r w:rsidR="00EE4FC3">
        <w:t xml:space="preserve"> </w:t>
      </w:r>
      <w:r w:rsidRPr="00382917">
        <w:t>Revelation</w:t>
      </w:r>
      <w:r w:rsidR="00EE4FC3">
        <w:t xml:space="preserve"> </w:t>
      </w:r>
      <w:r w:rsidRPr="00382917">
        <w:t>he</w:t>
      </w:r>
      <w:r w:rsidR="00EE4FC3">
        <w:t xml:space="preserve"> </w:t>
      </w:r>
      <w:r w:rsidRPr="00382917">
        <w:t>continually</w:t>
      </w:r>
      <w:r w:rsidR="00EE4FC3">
        <w:t xml:space="preserve"> </w:t>
      </w:r>
      <w:r w:rsidRPr="00382917">
        <w:t>alluded,</w:t>
      </w:r>
      <w:r w:rsidR="00EE4FC3">
        <w:t xml:space="preserve"> </w:t>
      </w:r>
      <w:r w:rsidRPr="00382917">
        <w:t>is</w:t>
      </w:r>
      <w:r w:rsidR="00EE4FC3">
        <w:t xml:space="preserve"> </w:t>
      </w:r>
      <w:r w:rsidRPr="00382917">
        <w:t>now</w:t>
      </w:r>
      <w:r w:rsidR="00EE4FC3">
        <w:t xml:space="preserve"> </w:t>
      </w:r>
      <w:r w:rsidRPr="00382917">
        <w:t>revealed</w:t>
      </w:r>
      <w:r w:rsidR="00C03C91">
        <w:t>.</w:t>
      </w:r>
      <w:r w:rsidR="00EE4FC3">
        <w:t xml:space="preserve">  </w:t>
      </w:r>
      <w:r w:rsidRPr="00382917">
        <w:t>I</w:t>
      </w:r>
      <w:r w:rsidR="00EE4FC3">
        <w:t xml:space="preserve"> </w:t>
      </w:r>
      <w:r w:rsidRPr="00382917">
        <w:t>am</w:t>
      </w:r>
      <w:r w:rsidR="00EE4FC3">
        <w:t xml:space="preserve"> </w:t>
      </w:r>
      <w:r w:rsidRPr="00382917">
        <w:t>that</w:t>
      </w:r>
      <w:r w:rsidR="00EE4FC3">
        <w:t xml:space="preserve"> </w:t>
      </w:r>
      <w:r w:rsidRPr="00382917">
        <w:t>Promised</w:t>
      </w:r>
      <w:r w:rsidR="00EE4FC3">
        <w:t xml:space="preserve"> </w:t>
      </w:r>
      <w:r w:rsidRPr="00382917">
        <w:t>One.</w:t>
      </w:r>
      <w:r w:rsidR="009C713D" w:rsidRPr="00382917">
        <w:t>”</w:t>
      </w:r>
      <w:r w:rsidR="00A23C7C">
        <w:rPr>
          <w:rStyle w:val="FootnoteReference"/>
        </w:rPr>
        <w:footnoteReference w:id="53"/>
      </w:r>
    </w:p>
    <w:p w:rsidR="00122F78" w:rsidRPr="00382917" w:rsidRDefault="00964C11" w:rsidP="00122F78">
      <w:pPr>
        <w:pStyle w:val="Text"/>
      </w:pPr>
      <w:r w:rsidRPr="00382917">
        <w:t>Ḥusayn</w:t>
      </w:r>
      <w:r w:rsidR="00EE4FC3">
        <w:t xml:space="preserve"> </w:t>
      </w:r>
      <w:r w:rsidR="0040329F" w:rsidRPr="0040329F">
        <w:rPr>
          <w:u w:val="single"/>
        </w:rPr>
        <w:t>Kh</w:t>
      </w:r>
      <w:r w:rsidR="0040329F" w:rsidRPr="00382917">
        <w:t>án</w:t>
      </w:r>
      <w:r w:rsidR="00EE4FC3">
        <w:t xml:space="preserve"> </w:t>
      </w:r>
      <w:r w:rsidR="00122F78" w:rsidRPr="00382917">
        <w:t>decided</w:t>
      </w:r>
      <w:r w:rsidR="00EE4FC3">
        <w:t xml:space="preserve"> </w:t>
      </w:r>
      <w:r w:rsidR="00122F78" w:rsidRPr="00382917">
        <w:t>to</w:t>
      </w:r>
      <w:r w:rsidR="00EE4FC3">
        <w:t xml:space="preserve"> </w:t>
      </w:r>
      <w:r w:rsidR="00122F78" w:rsidRPr="00382917">
        <w:t>employ</w:t>
      </w:r>
      <w:r w:rsidR="00EE4FC3">
        <w:t xml:space="preserve"> </w:t>
      </w:r>
      <w:r w:rsidR="00122F78" w:rsidRPr="00382917">
        <w:t>spies</w:t>
      </w:r>
      <w:r w:rsidR="00EE4FC3">
        <w:t xml:space="preserve"> </w:t>
      </w:r>
      <w:r w:rsidR="00122F78" w:rsidRPr="00382917">
        <w:t>to</w:t>
      </w:r>
      <w:r w:rsidR="00EE4FC3">
        <w:t xml:space="preserve"> </w:t>
      </w:r>
      <w:r w:rsidR="00122F78" w:rsidRPr="00382917">
        <w:t>watch</w:t>
      </w:r>
      <w:r w:rsidR="00EE4FC3">
        <w:t xml:space="preserve"> </w:t>
      </w:r>
      <w:r w:rsidR="00122F78" w:rsidRPr="00382917">
        <w:t>the</w:t>
      </w:r>
      <w:r w:rsidR="00EE4FC3">
        <w:t xml:space="preserve"> </w:t>
      </w:r>
      <w:r w:rsidR="00122F78" w:rsidRPr="00382917">
        <w:t>Báb</w:t>
      </w:r>
      <w:r w:rsidR="00EE4FC3">
        <w:t xml:space="preserve"> </w:t>
      </w:r>
      <w:r w:rsidR="00122F78" w:rsidRPr="00382917">
        <w:t>secretly</w:t>
      </w:r>
      <w:r w:rsidR="00EE4FC3">
        <w:t xml:space="preserve"> </w:t>
      </w:r>
      <w:r w:rsidR="00122F78" w:rsidRPr="00382917">
        <w:t>for</w:t>
      </w:r>
      <w:r w:rsidR="00EE4FC3">
        <w:t xml:space="preserve"> </w:t>
      </w:r>
      <w:r w:rsidR="00122F78" w:rsidRPr="00382917">
        <w:t>evidence</w:t>
      </w:r>
      <w:r w:rsidR="00EE4FC3">
        <w:t xml:space="preserve"> </w:t>
      </w:r>
      <w:r w:rsidR="00122F78" w:rsidRPr="00382917">
        <w:t>of</w:t>
      </w:r>
      <w:r w:rsidR="00EE4FC3">
        <w:t xml:space="preserve"> </w:t>
      </w:r>
      <w:r w:rsidR="00122F78" w:rsidRPr="00382917">
        <w:t>the</w:t>
      </w:r>
      <w:r w:rsidR="00EE4FC3">
        <w:t xml:space="preserve"> </w:t>
      </w:r>
      <w:r w:rsidR="00122F78" w:rsidRPr="00382917">
        <w:t>slightest</w:t>
      </w:r>
      <w:r w:rsidR="00EE4FC3">
        <w:t xml:space="preserve"> </w:t>
      </w:r>
      <w:r w:rsidR="00122F78" w:rsidRPr="00382917">
        <w:t>mistake</w:t>
      </w:r>
      <w:r w:rsidR="00EE4FC3">
        <w:t xml:space="preserve"> </w:t>
      </w:r>
      <w:r w:rsidR="00122F78" w:rsidRPr="00382917">
        <w:t>on</w:t>
      </w:r>
      <w:r w:rsidR="00EE4FC3">
        <w:t xml:space="preserve"> </w:t>
      </w:r>
      <w:r w:rsidR="00122F78" w:rsidRPr="00382917">
        <w:t>His</w:t>
      </w:r>
      <w:r w:rsidR="00EE4FC3">
        <w:t xml:space="preserve"> </w:t>
      </w:r>
      <w:r w:rsidR="00122F78" w:rsidRPr="00382917">
        <w:t>part</w:t>
      </w:r>
      <w:r w:rsidR="00C03C91">
        <w:t>.</w:t>
      </w:r>
      <w:r w:rsidR="00EE4FC3">
        <w:t xml:space="preserve">  </w:t>
      </w:r>
      <w:r w:rsidR="00122F78" w:rsidRPr="00382917">
        <w:t>The</w:t>
      </w:r>
      <w:r w:rsidR="00EE4FC3">
        <w:t xml:space="preserve"> </w:t>
      </w:r>
      <w:r w:rsidR="00122F78" w:rsidRPr="00382917">
        <w:t>governor</w:t>
      </w:r>
      <w:r w:rsidR="00EE4FC3">
        <w:t xml:space="preserve"> </w:t>
      </w:r>
      <w:r w:rsidR="00122F78" w:rsidRPr="00382917">
        <w:t>sent</w:t>
      </w:r>
      <w:r w:rsidR="00EE4FC3">
        <w:t xml:space="preserve"> </w:t>
      </w:r>
      <w:r w:rsidR="00122F78" w:rsidRPr="00382917">
        <w:t>repeated</w:t>
      </w:r>
      <w:r w:rsidR="00EE4FC3">
        <w:t xml:space="preserve"> </w:t>
      </w:r>
      <w:r w:rsidR="00122F78" w:rsidRPr="00382917">
        <w:t>letters</w:t>
      </w:r>
      <w:r w:rsidR="00EE4FC3">
        <w:t xml:space="preserve"> </w:t>
      </w:r>
      <w:r w:rsidR="00122F78" w:rsidRPr="00382917">
        <w:t>to</w:t>
      </w:r>
      <w:r w:rsidR="00EE4FC3">
        <w:t xml:space="preserve"> </w:t>
      </w:r>
      <w:r w:rsidR="00122F78" w:rsidRPr="00382917">
        <w:t>the</w:t>
      </w:r>
      <w:r w:rsidR="00EE4FC3">
        <w:t xml:space="preserve"> </w:t>
      </w:r>
      <w:r w:rsidR="00122F78" w:rsidRPr="00382917">
        <w:t>Prime</w:t>
      </w:r>
      <w:r w:rsidR="00EE4FC3">
        <w:t xml:space="preserve"> </w:t>
      </w:r>
      <w:r w:rsidR="00122F78" w:rsidRPr="00382917">
        <w:t>Minister,</w:t>
      </w:r>
      <w:r w:rsidR="00EE4FC3">
        <w:t xml:space="preserve"> </w:t>
      </w:r>
      <w:r w:rsidR="00122F78" w:rsidRPr="00382917">
        <w:t>Ḥájí</w:t>
      </w:r>
      <w:r w:rsidR="00EE4FC3">
        <w:t xml:space="preserve"> </w:t>
      </w:r>
      <w:r w:rsidR="00122F78" w:rsidRPr="00382917">
        <w:t>Mírzá</w:t>
      </w:r>
      <w:r w:rsidR="00EE4FC3">
        <w:t xml:space="preserve"> </w:t>
      </w:r>
      <w:r w:rsidR="00122F78" w:rsidRPr="00382917">
        <w:t>Áqásí,</w:t>
      </w:r>
      <w:r w:rsidR="00EE4FC3">
        <w:t xml:space="preserve"> </w:t>
      </w:r>
      <w:r w:rsidR="00122F78" w:rsidRPr="00382917">
        <w:t>expressing</w:t>
      </w:r>
      <w:r w:rsidR="00EE4FC3">
        <w:t xml:space="preserve"> </w:t>
      </w:r>
      <w:r w:rsidR="00122F78" w:rsidRPr="00382917">
        <w:t>his</w:t>
      </w:r>
      <w:r w:rsidR="00EE4FC3">
        <w:t xml:space="preserve"> </w:t>
      </w:r>
      <w:r w:rsidR="00122F78" w:rsidRPr="00382917">
        <w:t>grave</w:t>
      </w:r>
      <w:r w:rsidR="00EE4FC3">
        <w:t xml:space="preserve"> </w:t>
      </w:r>
      <w:r w:rsidR="00122F78" w:rsidRPr="00382917">
        <w:t>concern</w:t>
      </w:r>
      <w:r w:rsidR="00EE4FC3">
        <w:t xml:space="preserve"> </w:t>
      </w:r>
      <w:r w:rsidR="00122F78" w:rsidRPr="00382917">
        <w:t>at</w:t>
      </w:r>
      <w:r w:rsidR="00EE4FC3">
        <w:t xml:space="preserve"> </w:t>
      </w:r>
      <w:r w:rsidR="00122F78" w:rsidRPr="00382917">
        <w:t>the</w:t>
      </w:r>
      <w:r w:rsidR="00EE4FC3">
        <w:t xml:space="preserve"> </w:t>
      </w:r>
      <w:r w:rsidR="00122F78" w:rsidRPr="00382917">
        <w:t>huge</w:t>
      </w:r>
      <w:r w:rsidR="00EE4FC3">
        <w:t xml:space="preserve"> </w:t>
      </w:r>
      <w:r w:rsidR="00122F78" w:rsidRPr="00382917">
        <w:t>numbers</w:t>
      </w:r>
      <w:r w:rsidR="00EE4FC3">
        <w:t xml:space="preserve"> </w:t>
      </w:r>
      <w:r w:rsidR="00122F78" w:rsidRPr="00382917">
        <w:t>who</w:t>
      </w:r>
      <w:r w:rsidR="00EE4FC3">
        <w:t xml:space="preserve"> </w:t>
      </w:r>
      <w:r w:rsidR="00122F78" w:rsidRPr="00382917">
        <w:t>were</w:t>
      </w:r>
      <w:r w:rsidR="00EE4FC3">
        <w:t xml:space="preserve"> </w:t>
      </w:r>
      <w:r w:rsidR="00122F78" w:rsidRPr="00382917">
        <w:t>embracing</w:t>
      </w:r>
      <w:r w:rsidR="00EE4FC3">
        <w:t xml:space="preserve"> </w:t>
      </w:r>
      <w:r w:rsidR="00122F78" w:rsidRPr="00382917">
        <w:t>His</w:t>
      </w:r>
      <w:r w:rsidR="00EE4FC3">
        <w:t xml:space="preserve"> </w:t>
      </w:r>
      <w:r w:rsidR="00122F78" w:rsidRPr="00382917">
        <w:t>Cause</w:t>
      </w:r>
      <w:r w:rsidR="00C03C91">
        <w:t>.</w:t>
      </w:r>
      <w:r w:rsidR="00EE4FC3">
        <w:t xml:space="preserve">  </w:t>
      </w:r>
      <w:r w:rsidR="00122F78" w:rsidRPr="00382917">
        <w:t>The</w:t>
      </w:r>
      <w:r w:rsidR="00EE4FC3">
        <w:t xml:space="preserve"> </w:t>
      </w:r>
      <w:r w:rsidR="00122F78" w:rsidRPr="00382917">
        <w:t>Prime</w:t>
      </w:r>
      <w:r w:rsidR="00EE4FC3">
        <w:t xml:space="preserve"> </w:t>
      </w:r>
      <w:r w:rsidR="00122F78" w:rsidRPr="00382917">
        <w:t>Minister</w:t>
      </w:r>
      <w:r w:rsidR="00EE4FC3">
        <w:t xml:space="preserve"> </w:t>
      </w:r>
      <w:r w:rsidR="00122F78" w:rsidRPr="00382917">
        <w:t>responded</w:t>
      </w:r>
      <w:r w:rsidR="00EE4FC3">
        <w:t xml:space="preserve"> </w:t>
      </w:r>
      <w:r w:rsidR="00122F78" w:rsidRPr="00382917">
        <w:t>promptly</w:t>
      </w:r>
      <w:r w:rsidR="00EE4FC3">
        <w:t xml:space="preserve"> </w:t>
      </w:r>
      <w:r w:rsidR="00122F78" w:rsidRPr="00382917">
        <w:t>to</w:t>
      </w:r>
      <w:r w:rsidR="00EE4FC3">
        <w:t xml:space="preserve"> </w:t>
      </w:r>
      <w:r w:rsidR="00122F78" w:rsidRPr="00382917">
        <w:t>the</w:t>
      </w:r>
      <w:r w:rsidR="00EE4FC3">
        <w:t xml:space="preserve"> </w:t>
      </w:r>
      <w:r w:rsidR="00122F78" w:rsidRPr="00382917">
        <w:t>governor</w:t>
      </w:r>
      <w:r w:rsidR="009C713D" w:rsidRPr="00382917">
        <w:t>’</w:t>
      </w:r>
      <w:r w:rsidR="00122F78" w:rsidRPr="00382917">
        <w:t>s</w:t>
      </w:r>
      <w:r w:rsidR="00EE4FC3">
        <w:t xml:space="preserve"> </w:t>
      </w:r>
      <w:r w:rsidR="00122F78" w:rsidRPr="00382917">
        <w:t>entreaties</w:t>
      </w:r>
      <w:r w:rsidR="00C03C91">
        <w:t>.</w:t>
      </w:r>
      <w:r w:rsidR="00EE4FC3">
        <w:t xml:space="preserve">  </w:t>
      </w:r>
      <w:r w:rsidR="00122F78" w:rsidRPr="00382917">
        <w:t>He</w:t>
      </w:r>
      <w:r w:rsidR="00EE4FC3">
        <w:t xml:space="preserve"> </w:t>
      </w:r>
      <w:r w:rsidR="00122F78" w:rsidRPr="00382917">
        <w:t>told</w:t>
      </w:r>
      <w:r w:rsidR="00EE4FC3">
        <w:t xml:space="preserve"> </w:t>
      </w:r>
      <w:r w:rsidRPr="00382917">
        <w:t>Ḥusayn</w:t>
      </w:r>
      <w:r w:rsidR="00EE4FC3">
        <w:t xml:space="preserve"> </w:t>
      </w:r>
      <w:r w:rsidR="0040329F" w:rsidRPr="0040329F">
        <w:rPr>
          <w:u w:val="single"/>
        </w:rPr>
        <w:t>Kh</w:t>
      </w:r>
      <w:r w:rsidR="0040329F" w:rsidRPr="00382917">
        <w:t>án</w:t>
      </w:r>
      <w:r w:rsidR="00EE4FC3">
        <w:t xml:space="preserve"> </w:t>
      </w:r>
      <w:r w:rsidR="00122F78" w:rsidRPr="00382917">
        <w:t>that</w:t>
      </w:r>
      <w:r w:rsidR="00EE4FC3">
        <w:t xml:space="preserve"> </w:t>
      </w:r>
      <w:r w:rsidR="00122F78" w:rsidRPr="00382917">
        <w:t>he</w:t>
      </w:r>
      <w:r w:rsidR="00EE4FC3">
        <w:t xml:space="preserve"> </w:t>
      </w:r>
      <w:r w:rsidR="00122F78" w:rsidRPr="00382917">
        <w:t>was</w:t>
      </w:r>
      <w:r w:rsidR="00EE4FC3">
        <w:t xml:space="preserve"> </w:t>
      </w:r>
      <w:r w:rsidR="00122F78" w:rsidRPr="00382917">
        <w:t>sick</w:t>
      </w:r>
      <w:r w:rsidR="00EE4FC3">
        <w:t xml:space="preserve"> </w:t>
      </w:r>
      <w:r w:rsidR="00122F78" w:rsidRPr="00382917">
        <w:t>and</w:t>
      </w:r>
      <w:r w:rsidR="00EE4FC3">
        <w:t xml:space="preserve"> </w:t>
      </w:r>
      <w:r w:rsidR="00122F78" w:rsidRPr="00382917">
        <w:t>tired</w:t>
      </w:r>
      <w:r w:rsidR="00EE4FC3">
        <w:t xml:space="preserve"> </w:t>
      </w:r>
      <w:r w:rsidR="00122F78" w:rsidRPr="00382917">
        <w:t>of</w:t>
      </w:r>
      <w:r w:rsidR="00EE4FC3">
        <w:t xml:space="preserve"> </w:t>
      </w:r>
      <w:r w:rsidR="00122F78" w:rsidRPr="00382917">
        <w:t>the</w:t>
      </w:r>
      <w:r w:rsidR="00EE4FC3">
        <w:t xml:space="preserve"> </w:t>
      </w:r>
      <w:r w:rsidR="00122F78" w:rsidRPr="00382917">
        <w:t>turmoil</w:t>
      </w:r>
      <w:r w:rsidR="00EE4FC3">
        <w:t xml:space="preserve"> </w:t>
      </w:r>
      <w:r w:rsidR="00122F78" w:rsidRPr="00382917">
        <w:t>in</w:t>
      </w:r>
      <w:r w:rsidR="00EE4FC3">
        <w:t xml:space="preserve"> </w:t>
      </w:r>
      <w:r w:rsidR="008A073E" w:rsidRPr="00382917">
        <w:rPr>
          <w:u w:val="single"/>
        </w:rPr>
        <w:t>Sh</w:t>
      </w:r>
      <w:r w:rsidR="008A073E" w:rsidRPr="00382917">
        <w:t>íráz</w:t>
      </w:r>
      <w:r w:rsidR="00122F78" w:rsidRPr="00382917">
        <w:t>.</w:t>
      </w:r>
    </w:p>
    <w:p w:rsidR="00E13D49" w:rsidRPr="00382917" w:rsidRDefault="009C713D" w:rsidP="00A23C7C">
      <w:pPr>
        <w:pStyle w:val="Text"/>
      </w:pPr>
      <w:r w:rsidRPr="00382917">
        <w:t>“</w:t>
      </w:r>
      <w:r w:rsidR="00122F78" w:rsidRPr="00382917">
        <w:t>Have</w:t>
      </w:r>
      <w:r w:rsidR="00EE4FC3">
        <w:t xml:space="preserve"> </w:t>
      </w:r>
      <w:r w:rsidR="00122F78" w:rsidRPr="00382917">
        <w:t>done</w:t>
      </w:r>
      <w:r w:rsidR="00EE4FC3">
        <w:t xml:space="preserve"> </w:t>
      </w:r>
      <w:r w:rsidR="00122F78" w:rsidRPr="00382917">
        <w:t>with</w:t>
      </w:r>
      <w:r w:rsidR="00EE4FC3">
        <w:t xml:space="preserve"> </w:t>
      </w:r>
      <w:r w:rsidR="00122F78" w:rsidRPr="00382917">
        <w:t>the</w:t>
      </w:r>
      <w:r w:rsidR="00EE4FC3">
        <w:t xml:space="preserve"> </w:t>
      </w:r>
      <w:r w:rsidR="00122F78" w:rsidRPr="00382917">
        <w:t>reformer,</w:t>
      </w:r>
      <w:r w:rsidRPr="00382917">
        <w:t>”</w:t>
      </w:r>
      <w:r w:rsidR="00EE4FC3">
        <w:t xml:space="preserve"> </w:t>
      </w:r>
      <w:r w:rsidR="00122F78" w:rsidRPr="00382917">
        <w:t>he</w:t>
      </w:r>
      <w:r w:rsidR="00EE4FC3">
        <w:t xml:space="preserve"> </w:t>
      </w:r>
      <w:r w:rsidR="00122F78" w:rsidRPr="00382917">
        <w:t>ordered</w:t>
      </w:r>
      <w:r w:rsidR="00C03C91">
        <w:t>.</w:t>
      </w:r>
      <w:r w:rsidR="00EE4FC3">
        <w:t xml:space="preserve">  </w:t>
      </w:r>
      <w:r w:rsidRPr="00382917">
        <w:t>“</w:t>
      </w:r>
      <w:r w:rsidR="00122F78" w:rsidRPr="00382917">
        <w:t>Have</w:t>
      </w:r>
      <w:r w:rsidR="00EE4FC3">
        <w:t xml:space="preserve"> </w:t>
      </w:r>
      <w:r w:rsidR="00122F78" w:rsidRPr="00382917">
        <w:t>him</w:t>
      </w:r>
      <w:r w:rsidR="00EE4FC3">
        <w:t xml:space="preserve"> </w:t>
      </w:r>
      <w:r w:rsidR="00122F78" w:rsidRPr="00382917">
        <w:t>killed</w:t>
      </w:r>
      <w:r w:rsidR="00EE4FC3">
        <w:t xml:space="preserve"> </w:t>
      </w:r>
      <w:r w:rsidR="00122F78" w:rsidRPr="00382917">
        <w:t>immediately</w:t>
      </w:r>
      <w:r w:rsidR="00EE4FC3">
        <w:t xml:space="preserve"> </w:t>
      </w:r>
      <w:r w:rsidR="00122F78" w:rsidRPr="00382917">
        <w:t>and</w:t>
      </w:r>
      <w:r w:rsidR="00EE4FC3">
        <w:t xml:space="preserve"> </w:t>
      </w:r>
      <w:r w:rsidR="00122F78" w:rsidRPr="00382917">
        <w:t>secretly.</w:t>
      </w:r>
      <w:r w:rsidRPr="00382917">
        <w:t>”</w:t>
      </w:r>
      <w:r w:rsidR="00A23C7C">
        <w:rPr>
          <w:rStyle w:val="FootnoteReference"/>
        </w:rPr>
        <w:footnoteReference w:id="54"/>
      </w:r>
    </w:p>
    <w:p w:rsidR="00122F78" w:rsidRPr="00382917" w:rsidRDefault="00122F78" w:rsidP="00122F78">
      <w:pPr>
        <w:pStyle w:val="Text"/>
      </w:pPr>
      <w:r w:rsidRPr="00382917">
        <w:t>One</w:t>
      </w:r>
      <w:r w:rsidR="00EE4FC3">
        <w:t xml:space="preserve"> </w:t>
      </w:r>
      <w:r w:rsidRPr="00382917">
        <w:t>of</w:t>
      </w:r>
      <w:r w:rsidR="00EE4FC3">
        <w:t xml:space="preserve"> </w:t>
      </w:r>
      <w:r w:rsidR="00964C11" w:rsidRPr="00382917">
        <w:t>Ḥusayn</w:t>
      </w:r>
      <w:r w:rsidR="00EE4FC3">
        <w:t xml:space="preserve"> </w:t>
      </w:r>
      <w:proofErr w:type="spellStart"/>
      <w:r w:rsidR="0040329F" w:rsidRPr="0040329F">
        <w:rPr>
          <w:u w:val="single"/>
        </w:rPr>
        <w:t>Kh</w:t>
      </w:r>
      <w:r w:rsidR="0040329F" w:rsidRPr="00382917">
        <w:t>án</w:t>
      </w:r>
      <w:r w:rsidR="009C713D" w:rsidRPr="00382917">
        <w:t>’</w:t>
      </w:r>
      <w:r w:rsidRPr="00382917">
        <w:t>s</w:t>
      </w:r>
      <w:proofErr w:type="spellEnd"/>
      <w:r w:rsidR="00EE4FC3">
        <w:t xml:space="preserve"> </w:t>
      </w:r>
      <w:r w:rsidRPr="00382917">
        <w:t>agents</w:t>
      </w:r>
      <w:r w:rsidR="00EE4FC3">
        <w:t xml:space="preserve"> </w:t>
      </w:r>
      <w:r w:rsidRPr="00382917">
        <w:t>came</w:t>
      </w:r>
      <w:r w:rsidR="00EE4FC3">
        <w:t xml:space="preserve"> </w:t>
      </w:r>
      <w:r w:rsidRPr="00382917">
        <w:t>to</w:t>
      </w:r>
      <w:r w:rsidR="00EE4FC3">
        <w:t xml:space="preserve"> </w:t>
      </w:r>
      <w:r w:rsidRPr="00382917">
        <w:t>him</w:t>
      </w:r>
      <w:r w:rsidR="00EE4FC3">
        <w:t xml:space="preserve"> </w:t>
      </w:r>
      <w:r w:rsidRPr="00382917">
        <w:t>with</w:t>
      </w:r>
      <w:r w:rsidR="00EE4FC3">
        <w:t xml:space="preserve"> </w:t>
      </w:r>
      <w:r w:rsidRPr="00382917">
        <w:t>the</w:t>
      </w:r>
      <w:r w:rsidR="00EE4FC3">
        <w:t xml:space="preserve"> </w:t>
      </w:r>
      <w:r w:rsidRPr="00382917">
        <w:t>news</w:t>
      </w:r>
      <w:r w:rsidR="00EE4FC3">
        <w:t xml:space="preserve"> </w:t>
      </w:r>
      <w:r w:rsidRPr="00382917">
        <w:t>that</w:t>
      </w:r>
      <w:r w:rsidR="00EE4FC3">
        <w:t xml:space="preserve"> </w:t>
      </w:r>
      <w:r w:rsidRPr="00382917">
        <w:t>the</w:t>
      </w:r>
      <w:r w:rsidR="00EE4FC3">
        <w:t xml:space="preserve"> </w:t>
      </w:r>
      <w:r w:rsidRPr="00382917">
        <w:t>people</w:t>
      </w:r>
      <w:r w:rsidR="00EE4FC3">
        <w:t xml:space="preserve"> </w:t>
      </w:r>
      <w:r w:rsidRPr="00382917">
        <w:t>gathered</w:t>
      </w:r>
      <w:r w:rsidR="00EE4FC3">
        <w:t xml:space="preserve"> </w:t>
      </w:r>
      <w:r w:rsidRPr="00382917">
        <w:t>about</w:t>
      </w:r>
      <w:r w:rsidR="00EE4FC3">
        <w:t xml:space="preserve"> </w:t>
      </w:r>
      <w:r w:rsidRPr="00382917">
        <w:t>the</w:t>
      </w:r>
      <w:r w:rsidR="00EE4FC3">
        <w:t xml:space="preserve"> </w:t>
      </w:r>
      <w:r w:rsidRPr="00382917">
        <w:t>Báb</w:t>
      </w:r>
      <w:r w:rsidR="00EE4FC3">
        <w:t xml:space="preserve"> </w:t>
      </w:r>
      <w:r w:rsidRPr="00382917">
        <w:t>were</w:t>
      </w:r>
      <w:r w:rsidR="00EE4FC3">
        <w:t xml:space="preserve"> </w:t>
      </w:r>
      <w:r w:rsidRPr="00382917">
        <w:t>now</w:t>
      </w:r>
      <w:r w:rsidR="00EE4FC3">
        <w:t xml:space="preserve"> </w:t>
      </w:r>
      <w:r w:rsidRPr="00382917">
        <w:t>so</w:t>
      </w:r>
      <w:r w:rsidR="00EE4FC3">
        <w:t xml:space="preserve"> </w:t>
      </w:r>
      <w:r w:rsidRPr="00382917">
        <w:t>many</w:t>
      </w:r>
      <w:r w:rsidR="00EE4FC3">
        <w:t xml:space="preserve"> </w:t>
      </w:r>
      <w:r w:rsidRPr="00382917">
        <w:t>as</w:t>
      </w:r>
      <w:r w:rsidR="00EE4FC3">
        <w:t xml:space="preserve"> </w:t>
      </w:r>
      <w:r w:rsidRPr="00382917">
        <w:t>to</w:t>
      </w:r>
      <w:r w:rsidR="00EE4FC3">
        <w:t xml:space="preserve"> </w:t>
      </w:r>
      <w:r w:rsidRPr="00382917">
        <w:t>constitute</w:t>
      </w:r>
      <w:r w:rsidR="00EE4FC3">
        <w:t xml:space="preserve"> </w:t>
      </w:r>
      <w:r w:rsidRPr="00382917">
        <w:t>a</w:t>
      </w:r>
      <w:r w:rsidR="00EE4FC3">
        <w:t xml:space="preserve"> </w:t>
      </w:r>
      <w:r w:rsidRPr="00382917">
        <w:t>public</w:t>
      </w:r>
      <w:r w:rsidR="00EE4FC3">
        <w:t xml:space="preserve"> </w:t>
      </w:r>
      <w:r w:rsidRPr="00382917">
        <w:t>menace</w:t>
      </w:r>
      <w:r w:rsidR="00C03C91">
        <w:t>.</w:t>
      </w:r>
      <w:r w:rsidR="00EE4FC3">
        <w:t xml:space="preserve">  </w:t>
      </w:r>
      <w:r w:rsidRPr="00382917">
        <w:t>The</w:t>
      </w:r>
      <w:r w:rsidR="00EE4FC3">
        <w:t xml:space="preserve"> </w:t>
      </w:r>
      <w:r w:rsidRPr="00382917">
        <w:t>spy</w:t>
      </w:r>
      <w:r w:rsidR="00EE4FC3">
        <w:t xml:space="preserve"> </w:t>
      </w:r>
      <w:r w:rsidRPr="00382917">
        <w:t>reported</w:t>
      </w:r>
      <w:r w:rsidR="00C03C91">
        <w:t>:</w:t>
      </w:r>
      <w:r w:rsidR="00EE4FC3">
        <w:t xml:space="preserve">  </w:t>
      </w:r>
      <w:r w:rsidR="009C713D" w:rsidRPr="00382917">
        <w:t>“</w:t>
      </w:r>
      <w:r w:rsidRPr="00382917">
        <w:t>The</w:t>
      </w:r>
      <w:r w:rsidR="00EE4FC3">
        <w:t xml:space="preserve"> </w:t>
      </w:r>
      <w:r w:rsidRPr="00382917">
        <w:t>eager</w:t>
      </w:r>
      <w:r w:rsidR="00EE4FC3">
        <w:t xml:space="preserve"> </w:t>
      </w:r>
      <w:r w:rsidRPr="00382917">
        <w:t>crowd</w:t>
      </w:r>
      <w:r w:rsidR="00EE4FC3">
        <w:t xml:space="preserve"> </w:t>
      </w:r>
      <w:r w:rsidRPr="00382917">
        <w:t>that</w:t>
      </w:r>
      <w:r w:rsidR="00EE4FC3">
        <w:t xml:space="preserve"> </w:t>
      </w:r>
      <w:r w:rsidRPr="00382917">
        <w:t>presses</w:t>
      </w:r>
      <w:r w:rsidR="00EE4FC3">
        <w:t xml:space="preserve"> </w:t>
      </w:r>
      <w:r w:rsidRPr="00382917">
        <w:t>in</w:t>
      </w:r>
      <w:r w:rsidR="00EE4FC3">
        <w:t xml:space="preserve"> </w:t>
      </w:r>
      <w:r w:rsidRPr="00382917">
        <w:t>each</w:t>
      </w:r>
      <w:r w:rsidR="00EE4FC3">
        <w:t xml:space="preserve"> </w:t>
      </w:r>
      <w:r w:rsidRPr="00382917">
        <w:t>night</w:t>
      </w:r>
      <w:r w:rsidR="00EE4FC3">
        <w:t xml:space="preserve"> </w:t>
      </w:r>
      <w:r w:rsidRPr="00382917">
        <w:t>to</w:t>
      </w:r>
      <w:r w:rsidR="00EE4FC3">
        <w:t xml:space="preserve"> </w:t>
      </w:r>
      <w:r w:rsidRPr="00382917">
        <w:t>see</w:t>
      </w:r>
      <w:r w:rsidR="00EE4FC3">
        <w:t xml:space="preserve"> </w:t>
      </w:r>
      <w:r w:rsidRPr="00382917">
        <w:t>him</w:t>
      </w:r>
      <w:r w:rsidR="00EE4FC3">
        <w:t xml:space="preserve"> </w:t>
      </w:r>
      <w:r w:rsidRPr="00382917">
        <w:t>surpasses</w:t>
      </w:r>
      <w:r w:rsidR="00EE4FC3">
        <w:t xml:space="preserve"> </w:t>
      </w:r>
      <w:r w:rsidRPr="00382917">
        <w:t>in</w:t>
      </w:r>
      <w:r w:rsidR="00EE4FC3">
        <w:t xml:space="preserve"> </w:t>
      </w:r>
      <w:r w:rsidRPr="00382917">
        <w:t>number</w:t>
      </w:r>
      <w:r w:rsidR="00EE4FC3">
        <w:t xml:space="preserve"> </w:t>
      </w:r>
      <w:r w:rsidRPr="00382917">
        <w:t>those</w:t>
      </w:r>
      <w:r w:rsidR="00EE4FC3">
        <w:t xml:space="preserve"> </w:t>
      </w:r>
      <w:r w:rsidRPr="00382917">
        <w:t>that</w:t>
      </w:r>
      <w:r w:rsidR="00EE4FC3">
        <w:t xml:space="preserve"> </w:t>
      </w:r>
      <w:r w:rsidRPr="00382917">
        <w:t>gather</w:t>
      </w:r>
      <w:r w:rsidR="00EE4FC3">
        <w:t xml:space="preserve"> </w:t>
      </w:r>
      <w:r w:rsidRPr="00382917">
        <w:t>every</w:t>
      </w:r>
      <w:r w:rsidR="00EE4FC3">
        <w:t xml:space="preserve"> </w:t>
      </w:r>
      <w:r w:rsidRPr="00382917">
        <w:t>day</w:t>
      </w:r>
      <w:r w:rsidR="00EE4FC3">
        <w:t xml:space="preserve"> </w:t>
      </w:r>
      <w:r w:rsidRPr="00382917">
        <w:t>before</w:t>
      </w:r>
      <w:r w:rsidR="00EE4FC3">
        <w:t xml:space="preserve"> </w:t>
      </w:r>
      <w:r w:rsidRPr="00382917">
        <w:t>the</w:t>
      </w:r>
      <w:r w:rsidR="00EE4FC3">
        <w:t xml:space="preserve"> </w:t>
      </w:r>
      <w:r w:rsidRPr="00382917">
        <w:t>seat</w:t>
      </w:r>
      <w:r w:rsidR="00EE4FC3">
        <w:t xml:space="preserve"> </w:t>
      </w:r>
      <w:r w:rsidRPr="00382917">
        <w:t>of</w:t>
      </w:r>
      <w:r w:rsidR="00EE4FC3">
        <w:t xml:space="preserve"> </w:t>
      </w:r>
      <w:r w:rsidRPr="00382917">
        <w:t>your</w:t>
      </w:r>
      <w:r w:rsidR="00EE4FC3">
        <w:t xml:space="preserve"> </w:t>
      </w:r>
      <w:r w:rsidRPr="00382917">
        <w:t>government</w:t>
      </w:r>
      <w:r w:rsidR="00C03C91">
        <w:t>.</w:t>
      </w:r>
      <w:r w:rsidR="00EE4FC3">
        <w:t xml:space="preserve">  </w:t>
      </w:r>
      <w:r w:rsidRPr="00382917">
        <w:t>Among</w:t>
      </w:r>
      <w:r w:rsidR="00EE4FC3">
        <w:t xml:space="preserve"> </w:t>
      </w:r>
      <w:r w:rsidRPr="00382917">
        <w:t>them</w:t>
      </w:r>
      <w:r w:rsidR="00EE4FC3">
        <w:t xml:space="preserve"> </w:t>
      </w:r>
      <w:r w:rsidRPr="00382917">
        <w:t>are</w:t>
      </w:r>
      <w:r w:rsidR="00EE4FC3">
        <w:t xml:space="preserve"> </w:t>
      </w:r>
      <w:r w:rsidRPr="00382917">
        <w:t>men</w:t>
      </w:r>
      <w:r w:rsidR="00EE4FC3">
        <w:t xml:space="preserve"> </w:t>
      </w:r>
      <w:r w:rsidRPr="00382917">
        <w:t>who</w:t>
      </w:r>
      <w:r w:rsidR="00EE4FC3">
        <w:t xml:space="preserve"> </w:t>
      </w:r>
      <w:r w:rsidRPr="00382917">
        <w:t>are</w:t>
      </w:r>
      <w:r w:rsidR="00EE4FC3">
        <w:t xml:space="preserve"> </w:t>
      </w:r>
      <w:r w:rsidRPr="00382917">
        <w:t>celebrated</w:t>
      </w:r>
      <w:r w:rsidR="00EE4FC3">
        <w:t xml:space="preserve"> </w:t>
      </w:r>
      <w:r w:rsidRPr="00382917">
        <w:t>for</w:t>
      </w:r>
      <w:r w:rsidR="00EE4FC3">
        <w:t xml:space="preserve"> </w:t>
      </w:r>
      <w:r w:rsidRPr="00382917">
        <w:t>their</w:t>
      </w:r>
      <w:r w:rsidR="00EE4FC3">
        <w:t xml:space="preserve"> </w:t>
      </w:r>
      <w:r w:rsidRPr="00382917">
        <w:t>exalted</w:t>
      </w:r>
      <w:r w:rsidR="00EE4FC3">
        <w:t xml:space="preserve"> </w:t>
      </w:r>
      <w:r w:rsidRPr="00382917">
        <w:t>rank</w:t>
      </w:r>
      <w:r w:rsidR="00EE4FC3">
        <w:t xml:space="preserve"> </w:t>
      </w:r>
      <w:r w:rsidRPr="00382917">
        <w:t>as</w:t>
      </w:r>
      <w:r w:rsidR="00EE4FC3">
        <w:t xml:space="preserve"> </w:t>
      </w:r>
      <w:r w:rsidRPr="00382917">
        <w:t>well</w:t>
      </w:r>
      <w:r w:rsidR="00EE4FC3">
        <w:t xml:space="preserve"> </w:t>
      </w:r>
      <w:r w:rsidRPr="00382917">
        <w:t>as</w:t>
      </w:r>
      <w:r w:rsidR="00EE4FC3">
        <w:t xml:space="preserve"> </w:t>
      </w:r>
      <w:r w:rsidRPr="00382917">
        <w:t>for</w:t>
      </w:r>
      <w:r w:rsidR="00EE4FC3">
        <w:t xml:space="preserve"> </w:t>
      </w:r>
      <w:r w:rsidRPr="00382917">
        <w:t>their</w:t>
      </w:r>
      <w:r w:rsidR="00EE4FC3">
        <w:t xml:space="preserve"> </w:t>
      </w:r>
      <w:r w:rsidRPr="00382917">
        <w:t>profound</w:t>
      </w:r>
      <w:r w:rsidR="00EE4FC3">
        <w:t xml:space="preserve"> </w:t>
      </w:r>
      <w:r w:rsidRPr="00382917">
        <w:t>learning</w:t>
      </w:r>
      <w:r w:rsidR="00C03C91">
        <w:t>.</w:t>
      </w:r>
      <w:r w:rsidR="00EE4FC3">
        <w:t xml:space="preserve">  </w:t>
      </w:r>
      <w:r w:rsidRPr="00382917">
        <w:t>So</w:t>
      </w:r>
      <w:r w:rsidR="00EE4FC3">
        <w:t xml:space="preserve"> </w:t>
      </w:r>
      <w:r w:rsidRPr="00382917">
        <w:t>great</w:t>
      </w:r>
      <w:r w:rsidR="00EE4FC3">
        <w:t xml:space="preserve"> </w:t>
      </w:r>
      <w:r w:rsidRPr="00382917">
        <w:t>has</w:t>
      </w:r>
      <w:r w:rsidR="00EE4FC3">
        <w:t xml:space="preserve"> </w:t>
      </w:r>
      <w:r w:rsidRPr="00382917">
        <w:t>become</w:t>
      </w:r>
      <w:r w:rsidR="00EE4FC3">
        <w:t xml:space="preserve"> </w:t>
      </w:r>
      <w:r w:rsidRPr="00382917">
        <w:t>their</w:t>
      </w:r>
      <w:r w:rsidR="00EE4FC3">
        <w:t xml:space="preserve"> </w:t>
      </w:r>
      <w:r w:rsidRPr="00382917">
        <w:t>love</w:t>
      </w:r>
      <w:r w:rsidR="00EE4FC3">
        <w:t xml:space="preserve"> </w:t>
      </w:r>
      <w:r w:rsidRPr="00382917">
        <w:t>for</w:t>
      </w:r>
      <w:r w:rsidR="00EE4FC3">
        <w:t xml:space="preserve"> </w:t>
      </w:r>
      <w:r w:rsidRPr="00382917">
        <w:t>the</w:t>
      </w:r>
      <w:r w:rsidR="00EE4FC3">
        <w:t xml:space="preserve"> </w:t>
      </w:r>
      <w:r w:rsidRPr="00382917">
        <w:t>Báb,</w:t>
      </w:r>
      <w:r w:rsidR="00EE4FC3">
        <w:t xml:space="preserve"> </w:t>
      </w:r>
      <w:r w:rsidRPr="00382917">
        <w:t>that</w:t>
      </w:r>
      <w:r w:rsidR="00EE4FC3">
        <w:t xml:space="preserve"> </w:t>
      </w:r>
      <w:r w:rsidRPr="00382917">
        <w:t>none</w:t>
      </w:r>
      <w:r w:rsidR="00EE4FC3">
        <w:t xml:space="preserve"> </w:t>
      </w:r>
      <w:r w:rsidRPr="00382917">
        <w:t>of</w:t>
      </w:r>
      <w:r w:rsidR="00EE4FC3">
        <w:t xml:space="preserve"> </w:t>
      </w:r>
      <w:r w:rsidRPr="00382917">
        <w:t>your</w:t>
      </w:r>
      <w:r w:rsidR="00EE4FC3">
        <w:t xml:space="preserve"> </w:t>
      </w:r>
      <w:r w:rsidRPr="00382917">
        <w:t>subordinates</w:t>
      </w:r>
      <w:r w:rsidR="00EE4FC3">
        <w:t xml:space="preserve"> </w:t>
      </w:r>
      <w:r w:rsidRPr="00382917">
        <w:t>other</w:t>
      </w:r>
      <w:r w:rsidR="00EE4FC3">
        <w:t xml:space="preserve"> </w:t>
      </w:r>
      <w:r w:rsidRPr="00382917">
        <w:t>than</w:t>
      </w:r>
      <w:r w:rsidR="00EE4FC3">
        <w:t xml:space="preserve"> </w:t>
      </w:r>
      <w:r w:rsidRPr="00382917">
        <w:t>myself</w:t>
      </w:r>
      <w:r w:rsidR="00EE4FC3">
        <w:t xml:space="preserve"> </w:t>
      </w:r>
      <w:r w:rsidRPr="00382917">
        <w:t>is</w:t>
      </w:r>
      <w:r w:rsidR="00EE4FC3">
        <w:t xml:space="preserve"> </w:t>
      </w:r>
      <w:r w:rsidRPr="00382917">
        <w:t>willing</w:t>
      </w:r>
      <w:r w:rsidR="00EE4FC3">
        <w:t xml:space="preserve"> </w:t>
      </w:r>
      <w:r w:rsidRPr="00382917">
        <w:t>to</w:t>
      </w:r>
      <w:r w:rsidR="00EE4FC3">
        <w:t xml:space="preserve"> </w:t>
      </w:r>
      <w:r w:rsidRPr="00382917">
        <w:t>acquaint</w:t>
      </w:r>
      <w:r w:rsidR="00EE4FC3">
        <w:t xml:space="preserve"> </w:t>
      </w:r>
      <w:r w:rsidRPr="00382917">
        <w:t>you</w:t>
      </w:r>
      <w:r w:rsidR="00EE4FC3">
        <w:t xml:space="preserve"> </w:t>
      </w:r>
      <w:r w:rsidRPr="00382917">
        <w:t>with</w:t>
      </w:r>
      <w:r w:rsidR="00EE4FC3">
        <w:t xml:space="preserve"> </w:t>
      </w:r>
      <w:r w:rsidRPr="00382917">
        <w:t>the</w:t>
      </w:r>
      <w:r w:rsidR="00EE4FC3">
        <w:t xml:space="preserve"> </w:t>
      </w:r>
      <w:r w:rsidRPr="00382917">
        <w:t>truth</w:t>
      </w:r>
      <w:r w:rsidR="00EE4FC3">
        <w:t xml:space="preserve"> </w:t>
      </w:r>
      <w:r w:rsidRPr="00382917">
        <w:t>about</w:t>
      </w:r>
      <w:r w:rsidR="00EE4FC3">
        <w:t xml:space="preserve"> </w:t>
      </w:r>
      <w:r w:rsidRPr="00382917">
        <w:t>conditions.</w:t>
      </w:r>
      <w:r w:rsidR="009C713D" w:rsidRPr="00382917">
        <w:t>”</w:t>
      </w:r>
    </w:p>
    <w:p w:rsidR="00122F78" w:rsidRPr="00382917" w:rsidRDefault="00964C11" w:rsidP="00122F78">
      <w:pPr>
        <w:pStyle w:val="Text"/>
      </w:pPr>
      <w:r w:rsidRPr="00382917">
        <w:t>Ḥusayn</w:t>
      </w:r>
      <w:r w:rsidR="00EE4FC3">
        <w:t xml:space="preserve"> </w:t>
      </w:r>
      <w:proofErr w:type="spellStart"/>
      <w:r w:rsidR="0040329F" w:rsidRPr="0040329F">
        <w:rPr>
          <w:u w:val="single"/>
        </w:rPr>
        <w:t>Kh</w:t>
      </w:r>
      <w:r w:rsidR="0040329F" w:rsidRPr="00382917">
        <w:t>án</w:t>
      </w:r>
      <w:r w:rsidR="009C713D" w:rsidRPr="00382917">
        <w:t>’</w:t>
      </w:r>
      <w:r w:rsidR="00122F78" w:rsidRPr="00382917">
        <w:t>s</w:t>
      </w:r>
      <w:proofErr w:type="spellEnd"/>
      <w:r w:rsidR="00EE4FC3">
        <w:t xml:space="preserve"> </w:t>
      </w:r>
      <w:r w:rsidR="00122F78" w:rsidRPr="00382917">
        <w:t>anger</w:t>
      </w:r>
      <w:r w:rsidR="00EE4FC3">
        <w:t xml:space="preserve"> </w:t>
      </w:r>
      <w:r w:rsidR="00122F78" w:rsidRPr="00382917">
        <w:t>was</w:t>
      </w:r>
      <w:r w:rsidR="00EE4FC3">
        <w:t xml:space="preserve"> </w:t>
      </w:r>
      <w:r w:rsidR="00122F78" w:rsidRPr="00382917">
        <w:t>now</w:t>
      </w:r>
      <w:r w:rsidR="00EE4FC3">
        <w:t xml:space="preserve"> </w:t>
      </w:r>
      <w:r w:rsidR="00122F78" w:rsidRPr="00382917">
        <w:t>directed</w:t>
      </w:r>
      <w:r w:rsidR="00EE4FC3">
        <w:t xml:space="preserve"> </w:t>
      </w:r>
      <w:r w:rsidR="00122F78" w:rsidRPr="00382917">
        <w:t>not</w:t>
      </w:r>
      <w:r w:rsidR="00EE4FC3">
        <w:t xml:space="preserve"> </w:t>
      </w:r>
      <w:r w:rsidR="00122F78" w:rsidRPr="00382917">
        <w:t>only</w:t>
      </w:r>
      <w:r w:rsidR="00EE4FC3">
        <w:t xml:space="preserve"> </w:t>
      </w:r>
      <w:r w:rsidR="00122F78" w:rsidRPr="00382917">
        <w:t>at</w:t>
      </w:r>
      <w:r w:rsidR="00EE4FC3">
        <w:t xml:space="preserve"> </w:t>
      </w:r>
      <w:r w:rsidR="00122F78" w:rsidRPr="00382917">
        <w:t>the</w:t>
      </w:r>
      <w:r w:rsidR="00EE4FC3">
        <w:t xml:space="preserve"> </w:t>
      </w:r>
      <w:r w:rsidR="00122F78" w:rsidRPr="00382917">
        <w:t>Báb</w:t>
      </w:r>
      <w:r w:rsidR="00EE4FC3">
        <w:t xml:space="preserve"> </w:t>
      </w:r>
      <w:r w:rsidR="00122F78" w:rsidRPr="00382917">
        <w:t>and</w:t>
      </w:r>
      <w:r w:rsidR="00EE4FC3">
        <w:t xml:space="preserve"> </w:t>
      </w:r>
      <w:r w:rsidR="00122F78" w:rsidRPr="00382917">
        <w:t>His</w:t>
      </w:r>
      <w:r w:rsidR="00EE4FC3">
        <w:t xml:space="preserve"> </w:t>
      </w:r>
      <w:r w:rsidR="00122F78" w:rsidRPr="00382917">
        <w:t>companions,</w:t>
      </w:r>
      <w:r w:rsidR="00EE4FC3">
        <w:t xml:space="preserve"> </w:t>
      </w:r>
      <w:r w:rsidR="00122F78" w:rsidRPr="00382917">
        <w:t>but</w:t>
      </w:r>
      <w:r w:rsidR="00EE4FC3">
        <w:t xml:space="preserve"> </w:t>
      </w:r>
      <w:r w:rsidR="00122F78" w:rsidRPr="00382917">
        <w:t>also</w:t>
      </w:r>
      <w:r w:rsidR="00EE4FC3">
        <w:t xml:space="preserve"> </w:t>
      </w:r>
      <w:r w:rsidR="00122F78" w:rsidRPr="00382917">
        <w:t>at</w:t>
      </w:r>
      <w:r w:rsidR="00EE4FC3">
        <w:t xml:space="preserve"> </w:t>
      </w:r>
      <w:r w:rsidR="00122F78" w:rsidRPr="00382917">
        <w:t>his</w:t>
      </w:r>
      <w:r w:rsidR="00EE4FC3">
        <w:t xml:space="preserve"> </w:t>
      </w:r>
      <w:r w:rsidR="00122F78" w:rsidRPr="00382917">
        <w:t>own</w:t>
      </w:r>
      <w:r w:rsidR="00EE4FC3">
        <w:t xml:space="preserve"> </w:t>
      </w:r>
      <w:r w:rsidR="00122F78" w:rsidRPr="00382917">
        <w:t>untrustworthy</w:t>
      </w:r>
      <w:r w:rsidR="00EE4FC3">
        <w:t xml:space="preserve"> </w:t>
      </w:r>
      <w:r w:rsidR="00122F78" w:rsidRPr="00382917">
        <w:t>assistants</w:t>
      </w:r>
      <w:r w:rsidR="00C03C91">
        <w:t>.</w:t>
      </w:r>
      <w:r w:rsidR="00EE4FC3">
        <w:t xml:space="preserve">  </w:t>
      </w:r>
      <w:r w:rsidR="00122F78" w:rsidRPr="00382917">
        <w:t>The</w:t>
      </w:r>
      <w:r w:rsidR="00EE4FC3">
        <w:t xml:space="preserve"> </w:t>
      </w:r>
      <w:r w:rsidR="00122F78" w:rsidRPr="00382917">
        <w:t>spy</w:t>
      </w:r>
      <w:r w:rsidR="00EE4FC3">
        <w:t xml:space="preserve"> </w:t>
      </w:r>
      <w:r w:rsidR="00122F78" w:rsidRPr="00382917">
        <w:t>suggested</w:t>
      </w:r>
      <w:r w:rsidR="00EE4FC3">
        <w:t xml:space="preserve"> </w:t>
      </w:r>
      <w:r w:rsidR="00122F78" w:rsidRPr="00382917">
        <w:t>a</w:t>
      </w:r>
      <w:r w:rsidR="00EE4FC3">
        <w:t xml:space="preserve"> </w:t>
      </w:r>
      <w:r w:rsidR="00122F78" w:rsidRPr="00382917">
        <w:t>plan.</w:t>
      </w:r>
    </w:p>
    <w:p w:rsidR="00122F78" w:rsidRPr="00382917" w:rsidRDefault="009C713D" w:rsidP="00122F78">
      <w:pPr>
        <w:pStyle w:val="Text"/>
      </w:pPr>
      <w:r w:rsidRPr="00382917">
        <w:t>“</w:t>
      </w:r>
      <w:r w:rsidR="00122F78" w:rsidRPr="00382917">
        <w:t>If</w:t>
      </w:r>
      <w:r w:rsidR="00EE4FC3">
        <w:t xml:space="preserve"> </w:t>
      </w:r>
      <w:r w:rsidR="00122F78" w:rsidRPr="00382917">
        <w:t>you</w:t>
      </w:r>
      <w:r w:rsidR="00EE4FC3">
        <w:t xml:space="preserve"> </w:t>
      </w:r>
      <w:r w:rsidR="00122F78" w:rsidRPr="00382917">
        <w:t>will</w:t>
      </w:r>
      <w:r w:rsidR="00EE4FC3">
        <w:t xml:space="preserve"> </w:t>
      </w:r>
      <w:r w:rsidR="00122F78" w:rsidRPr="00382917">
        <w:t>permit</w:t>
      </w:r>
      <w:r w:rsidR="00EE4FC3">
        <w:t xml:space="preserve"> </w:t>
      </w:r>
      <w:r w:rsidR="00122F78" w:rsidRPr="00382917">
        <w:t>me,</w:t>
      </w:r>
      <w:r w:rsidRPr="00382917">
        <w:t>”</w:t>
      </w:r>
      <w:r w:rsidR="00EE4FC3">
        <w:t xml:space="preserve"> </w:t>
      </w:r>
      <w:r w:rsidR="00122F78" w:rsidRPr="00382917">
        <w:t>he</w:t>
      </w:r>
      <w:r w:rsidR="00EE4FC3">
        <w:t xml:space="preserve"> </w:t>
      </w:r>
      <w:r w:rsidR="00122F78" w:rsidRPr="00382917">
        <w:t>said,</w:t>
      </w:r>
      <w:r w:rsidR="00EE4FC3">
        <w:t xml:space="preserve"> </w:t>
      </w:r>
      <w:r w:rsidRPr="00382917">
        <w:t>“</w:t>
      </w:r>
      <w:r w:rsidR="00122F78" w:rsidRPr="00382917">
        <w:t>I</w:t>
      </w:r>
      <w:r w:rsidR="00EE4FC3">
        <w:t xml:space="preserve"> </w:t>
      </w:r>
      <w:r w:rsidR="00122F78" w:rsidRPr="00382917">
        <w:t>will</w:t>
      </w:r>
      <w:r w:rsidR="00EE4FC3">
        <w:t xml:space="preserve"> </w:t>
      </w:r>
      <w:r w:rsidR="00122F78" w:rsidRPr="00382917">
        <w:t>surprise</w:t>
      </w:r>
      <w:r w:rsidR="00EE4FC3">
        <w:t xml:space="preserve"> </w:t>
      </w:r>
      <w:r w:rsidR="00122F78" w:rsidRPr="00382917">
        <w:t>the</w:t>
      </w:r>
      <w:r w:rsidR="00EE4FC3">
        <w:t xml:space="preserve"> </w:t>
      </w:r>
      <w:r w:rsidR="00122F78" w:rsidRPr="00382917">
        <w:t>Báb</w:t>
      </w:r>
      <w:r w:rsidR="00EE4FC3">
        <w:t xml:space="preserve"> </w:t>
      </w:r>
      <w:r w:rsidR="00122F78" w:rsidRPr="00382917">
        <w:t>at</w:t>
      </w:r>
      <w:r w:rsidR="00EE4FC3">
        <w:t xml:space="preserve"> </w:t>
      </w:r>
      <w:r w:rsidR="00122F78" w:rsidRPr="00382917">
        <w:t>midnight</w:t>
      </w:r>
      <w:r w:rsidR="00EE4FC3">
        <w:t xml:space="preserve"> </w:t>
      </w:r>
      <w:r w:rsidR="00122F78" w:rsidRPr="00382917">
        <w:t>and</w:t>
      </w:r>
      <w:r w:rsidR="00EE4FC3">
        <w:t xml:space="preserve"> </w:t>
      </w:r>
      <w:r w:rsidR="00122F78" w:rsidRPr="00382917">
        <w:t>will</w:t>
      </w:r>
      <w:r w:rsidR="00EE4FC3">
        <w:t xml:space="preserve"> </w:t>
      </w:r>
      <w:r w:rsidR="00122F78" w:rsidRPr="00382917">
        <w:t>deliver</w:t>
      </w:r>
      <w:r w:rsidR="00EE4FC3">
        <w:t xml:space="preserve"> </w:t>
      </w:r>
      <w:r w:rsidR="00122F78" w:rsidRPr="00382917">
        <w:t>him</w:t>
      </w:r>
      <w:r w:rsidR="00EE4FC3">
        <w:t xml:space="preserve"> </w:t>
      </w:r>
      <w:r w:rsidR="00122F78" w:rsidRPr="00382917">
        <w:t>in</w:t>
      </w:r>
      <w:r w:rsidR="00EE4FC3">
        <w:t xml:space="preserve"> </w:t>
      </w:r>
      <w:r w:rsidR="00122F78" w:rsidRPr="00382917">
        <w:t>handcuffs</w:t>
      </w:r>
      <w:r w:rsidR="00EE4FC3">
        <w:t xml:space="preserve"> </w:t>
      </w:r>
      <w:r w:rsidR="00122F78" w:rsidRPr="00382917">
        <w:t>along</w:t>
      </w:r>
      <w:r w:rsidR="00EE4FC3">
        <w:t xml:space="preserve"> </w:t>
      </w:r>
      <w:r w:rsidR="00122F78" w:rsidRPr="00382917">
        <w:t>with</w:t>
      </w:r>
      <w:r w:rsidR="00EE4FC3">
        <w:t xml:space="preserve"> </w:t>
      </w:r>
      <w:r w:rsidR="00122F78" w:rsidRPr="00382917">
        <w:t>certain</w:t>
      </w:r>
      <w:r w:rsidR="00EE4FC3">
        <w:t xml:space="preserve"> </w:t>
      </w:r>
      <w:r w:rsidR="00122F78" w:rsidRPr="00382917">
        <w:t>of</w:t>
      </w:r>
      <w:r w:rsidR="00EE4FC3">
        <w:t xml:space="preserve"> </w:t>
      </w:r>
      <w:r w:rsidR="00122F78" w:rsidRPr="00382917">
        <w:t>his</w:t>
      </w:r>
      <w:r w:rsidR="00EE4FC3">
        <w:t xml:space="preserve"> </w:t>
      </w:r>
      <w:r w:rsidR="00122F78" w:rsidRPr="00382917">
        <w:t>companions</w:t>
      </w:r>
      <w:r w:rsidR="00EE4FC3">
        <w:t xml:space="preserve"> </w:t>
      </w:r>
      <w:r w:rsidR="00122F78" w:rsidRPr="00382917">
        <w:t>who</w:t>
      </w:r>
      <w:r w:rsidR="00EE4FC3">
        <w:t xml:space="preserve"> </w:t>
      </w:r>
      <w:r w:rsidR="00122F78" w:rsidRPr="00382917">
        <w:t>can</w:t>
      </w:r>
      <w:r w:rsidR="00EE4FC3">
        <w:t xml:space="preserve"> </w:t>
      </w:r>
      <w:r w:rsidR="00122F78" w:rsidRPr="00382917">
        <w:t>be</w:t>
      </w:r>
      <w:r w:rsidR="00EE4FC3">
        <w:t xml:space="preserve"> </w:t>
      </w:r>
      <w:r w:rsidR="00122F78" w:rsidRPr="00382917">
        <w:t>made</w:t>
      </w:r>
      <w:r w:rsidR="00EE4FC3">
        <w:t xml:space="preserve"> </w:t>
      </w:r>
      <w:r w:rsidR="00122F78" w:rsidRPr="00382917">
        <w:t>to</w:t>
      </w:r>
      <w:r w:rsidR="00EE4FC3">
        <w:t xml:space="preserve"> </w:t>
      </w:r>
      <w:r w:rsidR="00122F78" w:rsidRPr="00382917">
        <w:t>confirm</w:t>
      </w:r>
      <w:r w:rsidR="00EE4FC3">
        <w:t xml:space="preserve"> </w:t>
      </w:r>
      <w:r w:rsidR="00122F78" w:rsidRPr="00382917">
        <w:t>the</w:t>
      </w:r>
      <w:r w:rsidR="00EE4FC3">
        <w:t xml:space="preserve"> </w:t>
      </w:r>
      <w:r w:rsidR="00122F78" w:rsidRPr="00382917">
        <w:t>truth</w:t>
      </w:r>
      <w:r w:rsidR="00EE4FC3">
        <w:t xml:space="preserve"> </w:t>
      </w:r>
      <w:r w:rsidR="00122F78" w:rsidRPr="00382917">
        <w:t>of</w:t>
      </w:r>
      <w:r w:rsidR="00EE4FC3">
        <w:t xml:space="preserve"> </w:t>
      </w:r>
      <w:r w:rsidR="00122F78" w:rsidRPr="00382917">
        <w:t>my</w:t>
      </w:r>
      <w:r w:rsidR="00EE4FC3">
        <w:t xml:space="preserve"> </w:t>
      </w:r>
      <w:r w:rsidR="00122F78" w:rsidRPr="00382917">
        <w:t>statements.</w:t>
      </w:r>
      <w:r w:rsidRPr="00382917">
        <w:t>”</w:t>
      </w:r>
    </w:p>
    <w:p w:rsidR="00122F78" w:rsidRPr="00382917" w:rsidRDefault="00122F78" w:rsidP="00122F78">
      <w:pPr>
        <w:pStyle w:val="Text"/>
      </w:pPr>
      <w:r w:rsidRPr="00382917">
        <w:t>The</w:t>
      </w:r>
      <w:r w:rsidR="00EE4FC3">
        <w:t xml:space="preserve"> </w:t>
      </w:r>
      <w:r w:rsidRPr="00382917">
        <w:t>governor</w:t>
      </w:r>
      <w:r w:rsidR="00EE4FC3">
        <w:t xml:space="preserve"> </w:t>
      </w:r>
      <w:r w:rsidRPr="00382917">
        <w:t>refused</w:t>
      </w:r>
      <w:r w:rsidR="00C03C91">
        <w:t>.</w:t>
      </w:r>
      <w:r w:rsidR="00EE4FC3">
        <w:t xml:space="preserve">  </w:t>
      </w:r>
      <w:r w:rsidR="009C713D" w:rsidRPr="00382917">
        <w:t>“</w:t>
      </w:r>
      <w:r w:rsidRPr="00382917">
        <w:t>I</w:t>
      </w:r>
      <w:r w:rsidR="00EE4FC3">
        <w:t xml:space="preserve"> </w:t>
      </w:r>
      <w:r w:rsidRPr="00382917">
        <w:t>know</w:t>
      </w:r>
      <w:r w:rsidR="00EE4FC3">
        <w:t xml:space="preserve"> </w:t>
      </w:r>
      <w:r w:rsidRPr="00382917">
        <w:t>better</w:t>
      </w:r>
      <w:r w:rsidR="00EE4FC3">
        <w:t xml:space="preserve"> </w:t>
      </w:r>
      <w:r w:rsidRPr="00382917">
        <w:t>than</w:t>
      </w:r>
      <w:r w:rsidR="00EE4FC3">
        <w:t xml:space="preserve"> </w:t>
      </w:r>
      <w:r w:rsidRPr="00382917">
        <w:t>you</w:t>
      </w:r>
      <w:r w:rsidR="00EE4FC3">
        <w:t xml:space="preserve"> </w:t>
      </w:r>
      <w:r w:rsidRPr="00382917">
        <w:t>what</w:t>
      </w:r>
      <w:r w:rsidR="00EE4FC3">
        <w:t xml:space="preserve"> </w:t>
      </w:r>
      <w:r w:rsidRPr="00382917">
        <w:t>has</w:t>
      </w:r>
      <w:r w:rsidR="00EE4FC3">
        <w:t xml:space="preserve"> </w:t>
      </w:r>
      <w:r w:rsidRPr="00382917">
        <w:t>to</w:t>
      </w:r>
      <w:r w:rsidR="00EE4FC3">
        <w:t xml:space="preserve"> </w:t>
      </w:r>
      <w:r w:rsidRPr="00382917">
        <w:t>be</w:t>
      </w:r>
    </w:p>
    <w:p w:rsidR="00122F78" w:rsidRPr="00382917" w:rsidRDefault="00122F78">
      <w:pPr>
        <w:widowControl/>
        <w:kinsoku/>
        <w:overflowPunct/>
        <w:textAlignment w:val="auto"/>
      </w:pPr>
      <w:r w:rsidRPr="00382917">
        <w:br w:type="page"/>
      </w:r>
    </w:p>
    <w:p w:rsidR="00122F78" w:rsidRPr="00382917" w:rsidRDefault="00122F78" w:rsidP="00122F78">
      <w:pPr>
        <w:pStyle w:val="Textcts"/>
      </w:pPr>
      <w:proofErr w:type="gramStart"/>
      <w:r w:rsidRPr="00382917">
        <w:t>done</w:t>
      </w:r>
      <w:proofErr w:type="gramEnd"/>
      <w:r w:rsidRPr="00382917">
        <w:t>,</w:t>
      </w:r>
      <w:r w:rsidR="009C713D" w:rsidRPr="00382917">
        <w:t>”</w:t>
      </w:r>
      <w:r w:rsidR="00EE4FC3">
        <w:t xml:space="preserve"> </w:t>
      </w:r>
      <w:r w:rsidRPr="00382917">
        <w:t>he</w:t>
      </w:r>
      <w:r w:rsidR="00EE4FC3">
        <w:t xml:space="preserve"> </w:t>
      </w:r>
      <w:r w:rsidRPr="00382917">
        <w:t>said</w:t>
      </w:r>
      <w:r w:rsidR="00C03C91">
        <w:t>.</w:t>
      </w:r>
      <w:r w:rsidR="00EE4FC3">
        <w:t xml:space="preserve">  </w:t>
      </w:r>
      <w:r w:rsidR="009C713D" w:rsidRPr="00382917">
        <w:t>“</w:t>
      </w:r>
      <w:r w:rsidRPr="00382917">
        <w:t>Watch</w:t>
      </w:r>
      <w:r w:rsidR="00EE4FC3">
        <w:t xml:space="preserve"> </w:t>
      </w:r>
      <w:r w:rsidRPr="00382917">
        <w:t>me,</w:t>
      </w:r>
      <w:r w:rsidR="00EE4FC3">
        <w:t xml:space="preserve"> </w:t>
      </w:r>
      <w:r w:rsidRPr="00382917">
        <w:t>I</w:t>
      </w:r>
      <w:r w:rsidR="00EE4FC3">
        <w:t xml:space="preserve"> </w:t>
      </w:r>
      <w:r w:rsidRPr="00382917">
        <w:t>will</w:t>
      </w:r>
      <w:r w:rsidR="00EE4FC3">
        <w:t xml:space="preserve"> </w:t>
      </w:r>
      <w:r w:rsidRPr="00382917">
        <w:t>show</w:t>
      </w:r>
      <w:r w:rsidR="00EE4FC3">
        <w:t xml:space="preserve"> </w:t>
      </w:r>
      <w:r w:rsidRPr="00382917">
        <w:t>you</w:t>
      </w:r>
      <w:r w:rsidR="00EE4FC3">
        <w:t xml:space="preserve"> </w:t>
      </w:r>
      <w:r w:rsidRPr="00382917">
        <w:t>how</w:t>
      </w:r>
      <w:r w:rsidR="00EE4FC3">
        <w:t xml:space="preserve"> </w:t>
      </w:r>
      <w:r w:rsidRPr="00382917">
        <w:t>to</w:t>
      </w:r>
      <w:r w:rsidR="00EE4FC3">
        <w:t xml:space="preserve"> </w:t>
      </w:r>
      <w:r w:rsidRPr="00382917">
        <w:t>deal</w:t>
      </w:r>
      <w:r w:rsidR="00EE4FC3">
        <w:t xml:space="preserve"> </w:t>
      </w:r>
      <w:r w:rsidRPr="00382917">
        <w:t>with</w:t>
      </w:r>
      <w:r w:rsidR="00EE4FC3">
        <w:t xml:space="preserve"> </w:t>
      </w:r>
      <w:r w:rsidRPr="00382917">
        <w:t>him.</w:t>
      </w:r>
      <w:r w:rsidR="009C713D" w:rsidRPr="00382917">
        <w:t>”</w:t>
      </w:r>
      <w:r w:rsidR="00EE4FC3">
        <w:t xml:space="preserve">  </w:t>
      </w:r>
      <w:r w:rsidR="00964C11" w:rsidRPr="00382917">
        <w:t>Ḥusayn</w:t>
      </w:r>
      <w:r w:rsidR="00EE4FC3">
        <w:t xml:space="preserve"> </w:t>
      </w:r>
      <w:r w:rsidR="0040329F" w:rsidRPr="0040329F">
        <w:rPr>
          <w:u w:val="single"/>
        </w:rPr>
        <w:t>Kh</w:t>
      </w:r>
      <w:r w:rsidR="0040329F" w:rsidRPr="00382917">
        <w:t>án</w:t>
      </w:r>
      <w:r w:rsidR="00EE4FC3">
        <w:t xml:space="preserve"> </w:t>
      </w:r>
      <w:r w:rsidRPr="00382917">
        <w:t>summoned</w:t>
      </w:r>
      <w:r w:rsidR="00EE4FC3">
        <w:t xml:space="preserve"> </w:t>
      </w:r>
      <w:r w:rsidRPr="00382917">
        <w:t>the</w:t>
      </w:r>
      <w:r w:rsidR="00EE4FC3">
        <w:t xml:space="preserve"> </w:t>
      </w:r>
      <w:r w:rsidRPr="00382917">
        <w:t>chief</w:t>
      </w:r>
      <w:r w:rsidR="00EE4FC3">
        <w:t xml:space="preserve"> </w:t>
      </w:r>
      <w:r w:rsidRPr="00382917">
        <w:t>constable.</w:t>
      </w:r>
    </w:p>
    <w:p w:rsidR="00122F78" w:rsidRPr="00382917" w:rsidRDefault="009C713D" w:rsidP="00122F78">
      <w:pPr>
        <w:pStyle w:val="Text"/>
      </w:pPr>
      <w:r w:rsidRPr="00382917">
        <w:t>“</w:t>
      </w:r>
      <w:r w:rsidR="00122F78" w:rsidRPr="00382917">
        <w:t>Go</w:t>
      </w:r>
      <w:r w:rsidR="00EE4FC3">
        <w:t xml:space="preserve"> </w:t>
      </w:r>
      <w:r w:rsidR="00122F78" w:rsidRPr="00382917">
        <w:t>to</w:t>
      </w:r>
      <w:r w:rsidR="00EE4FC3">
        <w:t xml:space="preserve"> </w:t>
      </w:r>
      <w:r w:rsidR="00122F78" w:rsidRPr="00382917">
        <w:t>the</w:t>
      </w:r>
      <w:r w:rsidR="00EE4FC3">
        <w:t xml:space="preserve"> </w:t>
      </w:r>
      <w:r w:rsidR="00122F78" w:rsidRPr="00382917">
        <w:t>house</w:t>
      </w:r>
      <w:r w:rsidR="00EE4FC3">
        <w:t xml:space="preserve"> </w:t>
      </w:r>
      <w:r w:rsidR="00122F78" w:rsidRPr="00382917">
        <w:t>of</w:t>
      </w:r>
      <w:r w:rsidR="00EE4FC3">
        <w:t xml:space="preserve"> </w:t>
      </w:r>
      <w:r w:rsidR="00122F78" w:rsidRPr="00382917">
        <w:t>the</w:t>
      </w:r>
      <w:r w:rsidR="00EE4FC3">
        <w:t xml:space="preserve"> </w:t>
      </w:r>
      <w:r w:rsidR="00122F78" w:rsidRPr="00382917">
        <w:t>Báb</w:t>
      </w:r>
      <w:r w:rsidRPr="00382917">
        <w:t>’</w:t>
      </w:r>
      <w:r w:rsidR="00122F78" w:rsidRPr="00382917">
        <w:t>s</w:t>
      </w:r>
      <w:r w:rsidR="00EE4FC3">
        <w:t xml:space="preserve"> </w:t>
      </w:r>
      <w:r w:rsidR="00122F78" w:rsidRPr="00382917">
        <w:t>uncle,</w:t>
      </w:r>
      <w:r w:rsidRPr="00382917">
        <w:t>”</w:t>
      </w:r>
      <w:r w:rsidR="00EE4FC3">
        <w:t xml:space="preserve"> </w:t>
      </w:r>
      <w:r w:rsidR="00122F78" w:rsidRPr="00382917">
        <w:t>he</w:t>
      </w:r>
      <w:r w:rsidR="00EE4FC3">
        <w:t xml:space="preserve"> </w:t>
      </w:r>
      <w:r w:rsidR="00122F78" w:rsidRPr="00382917">
        <w:t>commanded</w:t>
      </w:r>
      <w:r w:rsidR="00C03C91">
        <w:t>.</w:t>
      </w:r>
      <w:r w:rsidR="00EE4FC3">
        <w:t xml:space="preserve">  </w:t>
      </w:r>
      <w:r w:rsidRPr="00382917">
        <w:t>“</w:t>
      </w:r>
      <w:r w:rsidR="00122F78" w:rsidRPr="00382917">
        <w:t>Quietly</w:t>
      </w:r>
      <w:r w:rsidR="00EE4FC3">
        <w:t xml:space="preserve"> </w:t>
      </w:r>
      <w:r w:rsidR="00122F78" w:rsidRPr="00382917">
        <w:t>and</w:t>
      </w:r>
      <w:r w:rsidR="00EE4FC3">
        <w:t xml:space="preserve"> </w:t>
      </w:r>
      <w:r w:rsidR="00122F78" w:rsidRPr="00382917">
        <w:t>unobserved,</w:t>
      </w:r>
      <w:r w:rsidR="00EE4FC3">
        <w:t xml:space="preserve"> </w:t>
      </w:r>
      <w:r w:rsidR="00122F78" w:rsidRPr="00382917">
        <w:t>scale</w:t>
      </w:r>
      <w:r w:rsidR="00EE4FC3">
        <w:t xml:space="preserve"> </w:t>
      </w:r>
      <w:r w:rsidR="00122F78" w:rsidRPr="00382917">
        <w:t>the</w:t>
      </w:r>
      <w:r w:rsidR="00EE4FC3">
        <w:t xml:space="preserve"> </w:t>
      </w:r>
      <w:r w:rsidR="00122F78" w:rsidRPr="00382917">
        <w:t>wall,</w:t>
      </w:r>
      <w:r w:rsidR="00EE4FC3">
        <w:t xml:space="preserve"> </w:t>
      </w:r>
      <w:r w:rsidR="00122F78" w:rsidRPr="00382917">
        <w:t>climb</w:t>
      </w:r>
      <w:r w:rsidR="00EE4FC3">
        <w:t xml:space="preserve"> </w:t>
      </w:r>
      <w:r w:rsidR="00122F78" w:rsidRPr="00382917">
        <w:t>to</w:t>
      </w:r>
      <w:r w:rsidR="00EE4FC3">
        <w:t xml:space="preserve"> </w:t>
      </w:r>
      <w:r w:rsidR="00122F78" w:rsidRPr="00382917">
        <w:t>the</w:t>
      </w:r>
      <w:r w:rsidR="00EE4FC3">
        <w:t xml:space="preserve"> </w:t>
      </w:r>
      <w:r w:rsidR="00122F78" w:rsidRPr="00382917">
        <w:t>roof</w:t>
      </w:r>
      <w:r w:rsidR="00EE4FC3">
        <w:t xml:space="preserve"> </w:t>
      </w:r>
      <w:r w:rsidR="00122F78" w:rsidRPr="00382917">
        <w:t>and</w:t>
      </w:r>
      <w:r w:rsidR="00EE4FC3">
        <w:t xml:space="preserve"> </w:t>
      </w:r>
      <w:r w:rsidR="00122F78" w:rsidRPr="00382917">
        <w:t>from</w:t>
      </w:r>
      <w:r w:rsidR="00EE4FC3">
        <w:t xml:space="preserve"> </w:t>
      </w:r>
      <w:r w:rsidR="00122F78" w:rsidRPr="00382917">
        <w:t>there</w:t>
      </w:r>
      <w:r w:rsidR="00EE4FC3">
        <w:t xml:space="preserve"> </w:t>
      </w:r>
      <w:r w:rsidR="00122F78" w:rsidRPr="00382917">
        <w:t>suddenly</w:t>
      </w:r>
      <w:r w:rsidR="00EE4FC3">
        <w:t xml:space="preserve"> </w:t>
      </w:r>
      <w:r w:rsidR="00122F78" w:rsidRPr="00382917">
        <w:t>enter</w:t>
      </w:r>
      <w:r w:rsidR="00EE4FC3">
        <w:t xml:space="preserve"> </w:t>
      </w:r>
      <w:r w:rsidR="00122F78" w:rsidRPr="00382917">
        <w:t>his</w:t>
      </w:r>
      <w:r w:rsidR="00EE4FC3">
        <w:t xml:space="preserve"> </w:t>
      </w:r>
      <w:r w:rsidR="00122F78" w:rsidRPr="00382917">
        <w:t>home</w:t>
      </w:r>
      <w:r w:rsidR="00C03C91">
        <w:t>.</w:t>
      </w:r>
      <w:r w:rsidR="00EE4FC3">
        <w:t xml:space="preserve">  </w:t>
      </w:r>
      <w:r w:rsidR="00122F78" w:rsidRPr="00382917">
        <w:t>Arrest</w:t>
      </w:r>
      <w:r w:rsidR="00EE4FC3">
        <w:t xml:space="preserve"> </w:t>
      </w:r>
      <w:r w:rsidR="00122F78" w:rsidRPr="00382917">
        <w:t>the</w:t>
      </w:r>
      <w:r w:rsidR="00EE4FC3">
        <w:t xml:space="preserve"> </w:t>
      </w:r>
      <w:r w:rsidR="00122F78" w:rsidRPr="00382917">
        <w:t>Báb</w:t>
      </w:r>
      <w:r w:rsidR="00EE4FC3">
        <w:t xml:space="preserve"> </w:t>
      </w:r>
      <w:r w:rsidR="00122F78" w:rsidRPr="00382917">
        <w:t>and</w:t>
      </w:r>
      <w:r w:rsidR="00EE4FC3">
        <w:t xml:space="preserve"> </w:t>
      </w:r>
      <w:r w:rsidR="00122F78" w:rsidRPr="00382917">
        <w:t>bring</w:t>
      </w:r>
      <w:r w:rsidR="00EE4FC3">
        <w:t xml:space="preserve"> </w:t>
      </w:r>
      <w:r w:rsidR="00122F78" w:rsidRPr="00382917">
        <w:t>him</w:t>
      </w:r>
      <w:r w:rsidR="00EE4FC3">
        <w:t xml:space="preserve"> </w:t>
      </w:r>
      <w:r w:rsidR="00122F78" w:rsidRPr="00382917">
        <w:t>here</w:t>
      </w:r>
      <w:r w:rsidR="00EE4FC3">
        <w:t xml:space="preserve"> </w:t>
      </w:r>
      <w:r w:rsidR="00122F78" w:rsidRPr="00382917">
        <w:t>to</w:t>
      </w:r>
      <w:r w:rsidR="00EE4FC3">
        <w:t xml:space="preserve"> </w:t>
      </w:r>
      <w:r w:rsidR="00122F78" w:rsidRPr="00382917">
        <w:t>me</w:t>
      </w:r>
      <w:r w:rsidR="00C03C91">
        <w:t>.</w:t>
      </w:r>
      <w:r w:rsidR="00EE4FC3">
        <w:t xml:space="preserve">  </w:t>
      </w:r>
      <w:r w:rsidR="00122F78" w:rsidRPr="00382917">
        <w:t>Bring</w:t>
      </w:r>
      <w:r w:rsidR="00EE4FC3">
        <w:t xml:space="preserve"> </w:t>
      </w:r>
      <w:r w:rsidR="00122F78" w:rsidRPr="00382917">
        <w:t>all</w:t>
      </w:r>
      <w:r w:rsidR="00EE4FC3">
        <w:t xml:space="preserve"> </w:t>
      </w:r>
      <w:r w:rsidR="00122F78" w:rsidRPr="00382917">
        <w:t>who</w:t>
      </w:r>
      <w:r w:rsidR="00EE4FC3">
        <w:t xml:space="preserve"> </w:t>
      </w:r>
      <w:r w:rsidR="00122F78" w:rsidRPr="00382917">
        <w:t>are</w:t>
      </w:r>
      <w:r w:rsidR="00EE4FC3">
        <w:t xml:space="preserve"> </w:t>
      </w:r>
      <w:r w:rsidR="00122F78" w:rsidRPr="00382917">
        <w:t>in</w:t>
      </w:r>
      <w:r w:rsidR="00EE4FC3">
        <w:t xml:space="preserve"> </w:t>
      </w:r>
      <w:r w:rsidR="00122F78" w:rsidRPr="00382917">
        <w:t>his</w:t>
      </w:r>
      <w:r w:rsidR="00EE4FC3">
        <w:t xml:space="preserve"> </w:t>
      </w:r>
      <w:r w:rsidR="00122F78" w:rsidRPr="00382917">
        <w:t>company,</w:t>
      </w:r>
      <w:r w:rsidR="00EE4FC3">
        <w:t xml:space="preserve"> </w:t>
      </w:r>
      <w:r w:rsidR="00122F78" w:rsidRPr="00382917">
        <w:t>and</w:t>
      </w:r>
      <w:r w:rsidR="00EE4FC3">
        <w:t xml:space="preserve"> </w:t>
      </w:r>
      <w:r w:rsidR="00122F78" w:rsidRPr="00382917">
        <w:t>seize</w:t>
      </w:r>
      <w:r w:rsidR="00EE4FC3">
        <w:t xml:space="preserve"> </w:t>
      </w:r>
      <w:r w:rsidR="00122F78" w:rsidRPr="00382917">
        <w:t>all</w:t>
      </w:r>
      <w:r w:rsidR="00EE4FC3">
        <w:t xml:space="preserve"> </w:t>
      </w:r>
      <w:r w:rsidR="00122F78" w:rsidRPr="00382917">
        <w:t>the</w:t>
      </w:r>
      <w:r w:rsidR="00EE4FC3">
        <w:t xml:space="preserve"> </w:t>
      </w:r>
      <w:r w:rsidR="00122F78" w:rsidRPr="00382917">
        <w:t>books</w:t>
      </w:r>
      <w:r w:rsidR="00EE4FC3">
        <w:t xml:space="preserve"> </w:t>
      </w:r>
      <w:r w:rsidR="00122F78" w:rsidRPr="00382917">
        <w:t>you</w:t>
      </w:r>
      <w:r w:rsidR="00EE4FC3">
        <w:t xml:space="preserve"> </w:t>
      </w:r>
      <w:r w:rsidR="00122F78" w:rsidRPr="00382917">
        <w:t>can</w:t>
      </w:r>
      <w:r w:rsidR="00EE4FC3">
        <w:t xml:space="preserve"> </w:t>
      </w:r>
      <w:r w:rsidR="00122F78" w:rsidRPr="00382917">
        <w:t>find.</w:t>
      </w:r>
      <w:r w:rsidRPr="00382917">
        <w:t>”</w:t>
      </w:r>
    </w:p>
    <w:p w:rsidR="00122F78" w:rsidRPr="00382917" w:rsidRDefault="00964C11" w:rsidP="00C3002D">
      <w:pPr>
        <w:pStyle w:val="Text"/>
      </w:pPr>
      <w:r w:rsidRPr="00382917">
        <w:t>Ḥusayn</w:t>
      </w:r>
      <w:r w:rsidR="00EE4FC3">
        <w:t xml:space="preserve"> </w:t>
      </w:r>
      <w:r w:rsidR="0040329F" w:rsidRPr="0040329F">
        <w:rPr>
          <w:u w:val="single"/>
        </w:rPr>
        <w:t>Kh</w:t>
      </w:r>
      <w:r w:rsidR="0040329F" w:rsidRPr="00382917">
        <w:t>án</w:t>
      </w:r>
      <w:r w:rsidR="00EE4FC3">
        <w:t xml:space="preserve"> </w:t>
      </w:r>
      <w:r w:rsidR="00122F78" w:rsidRPr="00382917">
        <w:t>slowly</w:t>
      </w:r>
      <w:r w:rsidR="00EE4FC3">
        <w:t xml:space="preserve"> </w:t>
      </w:r>
      <w:r w:rsidR="00122F78" w:rsidRPr="00382917">
        <w:t>closed</w:t>
      </w:r>
      <w:r w:rsidR="00EE4FC3">
        <w:t xml:space="preserve"> </w:t>
      </w:r>
      <w:r w:rsidR="00122F78" w:rsidRPr="00382917">
        <w:t>his</w:t>
      </w:r>
      <w:r w:rsidR="00EE4FC3">
        <w:t xml:space="preserve"> </w:t>
      </w:r>
      <w:r w:rsidR="00122F78" w:rsidRPr="00382917">
        <w:t>fingers</w:t>
      </w:r>
      <w:r w:rsidR="00EE4FC3">
        <w:t xml:space="preserve"> </w:t>
      </w:r>
      <w:r w:rsidR="00122F78" w:rsidRPr="00382917">
        <w:t>into</w:t>
      </w:r>
      <w:r w:rsidR="00EE4FC3">
        <w:t xml:space="preserve"> </w:t>
      </w:r>
      <w:r w:rsidR="00122F78" w:rsidRPr="00382917">
        <w:t>a</w:t>
      </w:r>
      <w:r w:rsidR="00EE4FC3">
        <w:t xml:space="preserve"> </w:t>
      </w:r>
      <w:r w:rsidR="00122F78" w:rsidRPr="00382917">
        <w:t>fist</w:t>
      </w:r>
      <w:r w:rsidR="00EE4FC3">
        <w:t xml:space="preserve"> </w:t>
      </w:r>
      <w:r w:rsidR="00122F78" w:rsidRPr="00382917">
        <w:t>as</w:t>
      </w:r>
      <w:r w:rsidR="00EE4FC3">
        <w:t xml:space="preserve"> </w:t>
      </w:r>
      <w:r w:rsidR="00122F78" w:rsidRPr="00382917">
        <w:t>though</w:t>
      </w:r>
      <w:r w:rsidR="00EE4FC3">
        <w:t xml:space="preserve"> </w:t>
      </w:r>
      <w:r w:rsidR="00122F78" w:rsidRPr="00382917">
        <w:t>he</w:t>
      </w:r>
      <w:r w:rsidR="00EE4FC3">
        <w:t xml:space="preserve"> </w:t>
      </w:r>
      <w:r w:rsidR="00122F78" w:rsidRPr="00382917">
        <w:t>were</w:t>
      </w:r>
      <w:r w:rsidR="00EE4FC3">
        <w:t xml:space="preserve"> </w:t>
      </w:r>
      <w:r w:rsidR="00122F78" w:rsidRPr="00382917">
        <w:t>crushing</w:t>
      </w:r>
      <w:r w:rsidR="00EE4FC3">
        <w:t xml:space="preserve"> </w:t>
      </w:r>
      <w:r w:rsidR="00122F78" w:rsidRPr="00382917">
        <w:t>some</w:t>
      </w:r>
      <w:r w:rsidR="00EE4FC3">
        <w:t xml:space="preserve"> </w:t>
      </w:r>
      <w:r w:rsidR="00122F78" w:rsidRPr="00382917">
        <w:t>hated</w:t>
      </w:r>
      <w:r w:rsidR="00EE4FC3">
        <w:t xml:space="preserve"> </w:t>
      </w:r>
      <w:r w:rsidR="00122F78" w:rsidRPr="00382917">
        <w:t>thing</w:t>
      </w:r>
      <w:r w:rsidR="00C03C91">
        <w:t>.</w:t>
      </w:r>
      <w:r w:rsidR="00EE4FC3">
        <w:t xml:space="preserve">  </w:t>
      </w:r>
      <w:r w:rsidR="009C713D" w:rsidRPr="00382917">
        <w:t>“</w:t>
      </w:r>
      <w:r w:rsidR="00122F78" w:rsidRPr="00382917">
        <w:t>I</w:t>
      </w:r>
      <w:r w:rsidR="00EE4FC3">
        <w:t xml:space="preserve"> </w:t>
      </w:r>
      <w:r w:rsidR="00122F78" w:rsidRPr="00382917">
        <w:t>swear</w:t>
      </w:r>
      <w:r w:rsidR="00EE4FC3">
        <w:t xml:space="preserve"> </w:t>
      </w:r>
      <w:r w:rsidR="00122F78" w:rsidRPr="00382917">
        <w:t>that</w:t>
      </w:r>
      <w:r w:rsidR="00EE4FC3">
        <w:t xml:space="preserve"> </w:t>
      </w:r>
      <w:r w:rsidR="00122F78" w:rsidRPr="00382917">
        <w:t>this</w:t>
      </w:r>
      <w:r w:rsidR="00EE4FC3">
        <w:t xml:space="preserve"> </w:t>
      </w:r>
      <w:r w:rsidR="00122F78" w:rsidRPr="00382917">
        <w:t>night</w:t>
      </w:r>
      <w:r w:rsidR="00EE4FC3">
        <w:t xml:space="preserve"> </w:t>
      </w:r>
      <w:r w:rsidR="00122F78" w:rsidRPr="00382917">
        <w:t>I</w:t>
      </w:r>
      <w:r w:rsidR="00EE4FC3">
        <w:t xml:space="preserve"> </w:t>
      </w:r>
      <w:r w:rsidR="00122F78" w:rsidRPr="00382917">
        <w:t>shall</w:t>
      </w:r>
      <w:r w:rsidR="00EE4FC3">
        <w:t xml:space="preserve"> </w:t>
      </w:r>
      <w:r w:rsidR="00122F78" w:rsidRPr="00382917">
        <w:t>have</w:t>
      </w:r>
      <w:r w:rsidR="00EE4FC3">
        <w:t xml:space="preserve"> </w:t>
      </w:r>
      <w:r w:rsidR="00122F78" w:rsidRPr="00382917">
        <w:t>the</w:t>
      </w:r>
      <w:r w:rsidR="00EE4FC3">
        <w:t xml:space="preserve"> </w:t>
      </w:r>
      <w:r w:rsidR="00122F78" w:rsidRPr="00382917">
        <w:t>Báb</w:t>
      </w:r>
      <w:r w:rsidR="00EE4FC3">
        <w:t xml:space="preserve"> </w:t>
      </w:r>
      <w:r w:rsidR="00122F78" w:rsidRPr="00382917">
        <w:t>executed</w:t>
      </w:r>
      <w:r w:rsidR="00EE4FC3">
        <w:t xml:space="preserve"> </w:t>
      </w:r>
      <w:r w:rsidR="00122F78" w:rsidRPr="00382917">
        <w:t>before</w:t>
      </w:r>
      <w:r w:rsidR="00EE4FC3">
        <w:t xml:space="preserve"> </w:t>
      </w:r>
      <w:r w:rsidR="00122F78" w:rsidRPr="00382917">
        <w:t>my</w:t>
      </w:r>
      <w:r w:rsidR="00EE4FC3">
        <w:t xml:space="preserve"> </w:t>
      </w:r>
      <w:r w:rsidR="00122F78" w:rsidRPr="00382917">
        <w:t>eyes,</w:t>
      </w:r>
      <w:r w:rsidR="009C713D" w:rsidRPr="00382917">
        <w:t>”</w:t>
      </w:r>
      <w:r w:rsidR="00EE4FC3">
        <w:t xml:space="preserve"> </w:t>
      </w:r>
      <w:r w:rsidR="00122F78" w:rsidRPr="00382917">
        <w:t>he</w:t>
      </w:r>
      <w:r w:rsidR="00EE4FC3">
        <w:t xml:space="preserve"> </w:t>
      </w:r>
      <w:r w:rsidR="00122F78" w:rsidRPr="00382917">
        <w:t>said</w:t>
      </w:r>
      <w:r w:rsidR="00C03C91">
        <w:t>.</w:t>
      </w:r>
      <w:r w:rsidR="00EE4FC3">
        <w:t xml:space="preserve">  </w:t>
      </w:r>
      <w:r w:rsidR="009C713D" w:rsidRPr="00382917">
        <w:t>“</w:t>
      </w:r>
      <w:r w:rsidR="00122F78" w:rsidRPr="00382917">
        <w:t>I</w:t>
      </w:r>
      <w:r w:rsidR="00EE4FC3">
        <w:t xml:space="preserve"> </w:t>
      </w:r>
      <w:r w:rsidR="00122F78" w:rsidRPr="00382917">
        <w:t>shall</w:t>
      </w:r>
      <w:r w:rsidR="00EE4FC3">
        <w:t xml:space="preserve"> </w:t>
      </w:r>
      <w:r w:rsidR="00122F78" w:rsidRPr="00382917">
        <w:t>slay</w:t>
      </w:r>
      <w:r w:rsidR="00EE4FC3">
        <w:t xml:space="preserve"> </w:t>
      </w:r>
      <w:r w:rsidR="00122F78" w:rsidRPr="00382917">
        <w:t>him</w:t>
      </w:r>
      <w:r w:rsidR="00EE4FC3">
        <w:t xml:space="preserve"> </w:t>
      </w:r>
      <w:r w:rsidR="00122F78" w:rsidRPr="00382917">
        <w:t>with</w:t>
      </w:r>
      <w:r w:rsidR="00EE4FC3">
        <w:t xml:space="preserve"> </w:t>
      </w:r>
      <w:r w:rsidR="00122F78" w:rsidRPr="00382917">
        <w:t>all</w:t>
      </w:r>
      <w:r w:rsidR="00EE4FC3">
        <w:t xml:space="preserve"> </w:t>
      </w:r>
      <w:r w:rsidR="00122F78" w:rsidRPr="00382917">
        <w:t>his</w:t>
      </w:r>
      <w:r w:rsidR="00EE4FC3">
        <w:t xml:space="preserve"> </w:t>
      </w:r>
      <w:r w:rsidR="00122F78" w:rsidRPr="00382917">
        <w:t>companions</w:t>
      </w:r>
      <w:r w:rsidR="00C03C91">
        <w:t>.</w:t>
      </w:r>
      <w:r w:rsidR="00EE4FC3">
        <w:t xml:space="preserve">  </w:t>
      </w:r>
      <w:r w:rsidR="00122F78" w:rsidRPr="00382917">
        <w:t>That</w:t>
      </w:r>
      <w:r w:rsidR="00EE4FC3">
        <w:t xml:space="preserve"> </w:t>
      </w:r>
      <w:r w:rsidR="00122F78" w:rsidRPr="00382917">
        <w:t>should</w:t>
      </w:r>
      <w:r w:rsidR="00EE4FC3">
        <w:t xml:space="preserve"> </w:t>
      </w:r>
      <w:r w:rsidR="00122F78" w:rsidRPr="00382917">
        <w:t>quench</w:t>
      </w:r>
      <w:r w:rsidR="00EE4FC3">
        <w:t xml:space="preserve"> </w:t>
      </w:r>
      <w:r w:rsidR="00122F78" w:rsidRPr="00382917">
        <w:t>the</w:t>
      </w:r>
      <w:r w:rsidR="00EE4FC3">
        <w:t xml:space="preserve"> </w:t>
      </w:r>
      <w:r w:rsidR="00122F78" w:rsidRPr="00382917">
        <w:t>fire</w:t>
      </w:r>
      <w:r w:rsidR="00EE4FC3">
        <w:t xml:space="preserve"> </w:t>
      </w:r>
      <w:r w:rsidR="00122F78" w:rsidRPr="00382917">
        <w:t>they</w:t>
      </w:r>
      <w:r w:rsidR="00EE4FC3">
        <w:t xml:space="preserve"> </w:t>
      </w:r>
      <w:r w:rsidR="00122F78" w:rsidRPr="00382917">
        <w:t>have</w:t>
      </w:r>
      <w:r w:rsidR="00EE4FC3">
        <w:t xml:space="preserve"> </w:t>
      </w:r>
      <w:r w:rsidR="00122F78" w:rsidRPr="00382917">
        <w:t>kindled</w:t>
      </w:r>
      <w:r w:rsidR="00EE4FC3">
        <w:t xml:space="preserve"> </w:t>
      </w:r>
      <w:r w:rsidR="00122F78" w:rsidRPr="00382917">
        <w:t>in</w:t>
      </w:r>
      <w:r w:rsidR="00EE4FC3">
        <w:t xml:space="preserve"> </w:t>
      </w:r>
      <w:r w:rsidR="00122F78" w:rsidRPr="00382917">
        <w:t>my</w:t>
      </w:r>
      <w:r w:rsidR="00EE4FC3">
        <w:t xml:space="preserve"> </w:t>
      </w:r>
      <w:r w:rsidR="00122F78" w:rsidRPr="00382917">
        <w:t>region</w:t>
      </w:r>
      <w:r w:rsidR="00C03C91">
        <w:t>.</w:t>
      </w:r>
      <w:r w:rsidR="00EE4FC3">
        <w:t xml:space="preserve">  </w:t>
      </w:r>
      <w:r w:rsidR="00122F78" w:rsidRPr="00382917">
        <w:t>It</w:t>
      </w:r>
      <w:r w:rsidR="00EE4FC3">
        <w:t xml:space="preserve"> </w:t>
      </w:r>
      <w:r w:rsidR="00122F78" w:rsidRPr="00382917">
        <w:t>will</w:t>
      </w:r>
      <w:r w:rsidR="00EE4FC3">
        <w:t xml:space="preserve"> </w:t>
      </w:r>
      <w:r w:rsidR="00122F78" w:rsidRPr="00382917">
        <w:t>be</w:t>
      </w:r>
      <w:r w:rsidR="00EE4FC3">
        <w:t xml:space="preserve"> </w:t>
      </w:r>
      <w:r w:rsidR="00122F78" w:rsidRPr="00382917">
        <w:t>a</w:t>
      </w:r>
      <w:r w:rsidR="00EE4FC3">
        <w:t xml:space="preserve"> </w:t>
      </w:r>
      <w:r w:rsidR="00122F78" w:rsidRPr="00382917">
        <w:t>final</w:t>
      </w:r>
      <w:r w:rsidR="00EE4FC3">
        <w:t xml:space="preserve"> </w:t>
      </w:r>
      <w:r w:rsidR="00122F78" w:rsidRPr="00382917">
        <w:t>warning</w:t>
      </w:r>
      <w:r w:rsidR="00EE4FC3">
        <w:t xml:space="preserve"> </w:t>
      </w:r>
      <w:r w:rsidR="00122F78" w:rsidRPr="00382917">
        <w:t>to</w:t>
      </w:r>
      <w:r w:rsidR="00EE4FC3">
        <w:t xml:space="preserve"> </w:t>
      </w:r>
      <w:r w:rsidR="00122F78" w:rsidRPr="00382917">
        <w:t>all</w:t>
      </w:r>
      <w:r w:rsidR="00EE4FC3">
        <w:t xml:space="preserve"> </w:t>
      </w:r>
      <w:r w:rsidR="00122F78" w:rsidRPr="00382917">
        <w:t>who</w:t>
      </w:r>
      <w:r w:rsidR="00EE4FC3">
        <w:t xml:space="preserve"> </w:t>
      </w:r>
      <w:r w:rsidR="00122F78" w:rsidRPr="00382917">
        <w:t>seek</w:t>
      </w:r>
      <w:r w:rsidR="00EE4FC3">
        <w:t xml:space="preserve"> </w:t>
      </w:r>
      <w:r w:rsidR="00122F78" w:rsidRPr="00382917">
        <w:t>to</w:t>
      </w:r>
      <w:r w:rsidR="00EE4FC3">
        <w:t xml:space="preserve"> </w:t>
      </w:r>
      <w:r w:rsidR="00122F78" w:rsidRPr="00382917">
        <w:t>disturb</w:t>
      </w:r>
      <w:r w:rsidR="00EE4FC3">
        <w:t xml:space="preserve"> </w:t>
      </w:r>
      <w:r w:rsidR="00122F78" w:rsidRPr="00382917">
        <w:t>the</w:t>
      </w:r>
      <w:r w:rsidR="00EE4FC3">
        <w:t xml:space="preserve"> </w:t>
      </w:r>
      <w:r w:rsidR="00122F78" w:rsidRPr="00382917">
        <w:t>peace</w:t>
      </w:r>
      <w:r w:rsidR="00EE4FC3">
        <w:t xml:space="preserve"> </w:t>
      </w:r>
      <w:r w:rsidR="00122F78" w:rsidRPr="00382917">
        <w:t>of</w:t>
      </w:r>
      <w:r w:rsidR="00EE4FC3">
        <w:t xml:space="preserve"> </w:t>
      </w:r>
      <w:r w:rsidR="00122F78" w:rsidRPr="00382917">
        <w:t>this</w:t>
      </w:r>
      <w:r w:rsidR="00EE4FC3">
        <w:t xml:space="preserve"> </w:t>
      </w:r>
      <w:r w:rsidR="00122F78" w:rsidRPr="00382917">
        <w:t>land</w:t>
      </w:r>
      <w:r w:rsidR="00C03C91">
        <w:t>.</w:t>
      </w:r>
      <w:r w:rsidR="00EE4FC3">
        <w:t xml:space="preserve">  </w:t>
      </w:r>
      <w:r w:rsidR="00122F78" w:rsidRPr="00382917">
        <w:t>By</w:t>
      </w:r>
      <w:r w:rsidR="00EE4FC3">
        <w:t xml:space="preserve"> </w:t>
      </w:r>
      <w:r w:rsidR="00122F78" w:rsidRPr="00382917">
        <w:t>this</w:t>
      </w:r>
      <w:r w:rsidR="00EE4FC3">
        <w:t xml:space="preserve"> </w:t>
      </w:r>
      <w:r w:rsidR="00122F78" w:rsidRPr="00382917">
        <w:t>act</w:t>
      </w:r>
      <w:r w:rsidR="00EE4FC3">
        <w:t xml:space="preserve"> </w:t>
      </w:r>
      <w:r w:rsidR="00122F78" w:rsidRPr="00382917">
        <w:t>tonight,</w:t>
      </w:r>
      <w:r w:rsidR="00EE4FC3">
        <w:t xml:space="preserve"> </w:t>
      </w:r>
      <w:r w:rsidR="00122F78" w:rsidRPr="00382917">
        <w:t>I</w:t>
      </w:r>
      <w:r w:rsidR="00EE4FC3">
        <w:t xml:space="preserve"> </w:t>
      </w:r>
      <w:r w:rsidR="00122F78" w:rsidRPr="00382917">
        <w:t>will</w:t>
      </w:r>
      <w:r w:rsidR="00EE4FC3">
        <w:t xml:space="preserve"> </w:t>
      </w:r>
      <w:r w:rsidR="00122F78" w:rsidRPr="00382917">
        <w:t>stamp</w:t>
      </w:r>
      <w:r w:rsidR="00EE4FC3">
        <w:t xml:space="preserve"> </w:t>
      </w:r>
      <w:r w:rsidR="00122F78" w:rsidRPr="00382917">
        <w:t>out</w:t>
      </w:r>
      <w:r w:rsidR="00EE4FC3">
        <w:t xml:space="preserve"> </w:t>
      </w:r>
      <w:r w:rsidR="00122F78" w:rsidRPr="00382917">
        <w:t>this</w:t>
      </w:r>
      <w:r w:rsidR="00EE4FC3">
        <w:t xml:space="preserve"> </w:t>
      </w:r>
      <w:r w:rsidR="00122F78" w:rsidRPr="00382917">
        <w:t>grave</w:t>
      </w:r>
      <w:r w:rsidR="00EE4FC3">
        <w:t xml:space="preserve"> </w:t>
      </w:r>
      <w:r w:rsidR="00122F78" w:rsidRPr="00382917">
        <w:t>menace</w:t>
      </w:r>
      <w:r w:rsidR="00EE4FC3">
        <w:t xml:space="preserve"> </w:t>
      </w:r>
      <w:r w:rsidR="00122F78" w:rsidRPr="00382917">
        <w:t>once</w:t>
      </w:r>
      <w:r w:rsidR="00EE4FC3">
        <w:t xml:space="preserve"> </w:t>
      </w:r>
      <w:r w:rsidR="00122F78" w:rsidRPr="00382917">
        <w:t>and</w:t>
      </w:r>
      <w:r w:rsidR="00EE4FC3">
        <w:t xml:space="preserve"> </w:t>
      </w:r>
      <w:r w:rsidR="00122F78" w:rsidRPr="00382917">
        <w:t>for</w:t>
      </w:r>
      <w:r w:rsidR="00EE4FC3">
        <w:t xml:space="preserve"> </w:t>
      </w:r>
      <w:r w:rsidR="00122F78" w:rsidRPr="00382917">
        <w:t>all.</w:t>
      </w:r>
      <w:r w:rsidR="009C713D" w:rsidRPr="00382917">
        <w:t>”</w:t>
      </w:r>
      <w:r w:rsidR="00C3002D">
        <w:rPr>
          <w:rStyle w:val="FootnoteReference"/>
        </w:rPr>
        <w:footnoteReference w:id="55"/>
      </w:r>
    </w:p>
    <w:p w:rsidR="00122F78" w:rsidRPr="00382917" w:rsidRDefault="00122F78" w:rsidP="00122F78">
      <w:pPr>
        <w:pStyle w:val="Text"/>
      </w:pPr>
      <w:r w:rsidRPr="00382917">
        <w:t>Later</w:t>
      </w:r>
      <w:r w:rsidR="00EE4FC3">
        <w:t xml:space="preserve"> </w:t>
      </w:r>
      <w:r w:rsidRPr="00382917">
        <w:t>that</w:t>
      </w:r>
      <w:r w:rsidR="00EE4FC3">
        <w:t xml:space="preserve"> </w:t>
      </w:r>
      <w:r w:rsidRPr="00382917">
        <w:t>night</w:t>
      </w:r>
      <w:r w:rsidR="00EE4FC3">
        <w:t xml:space="preserve"> </w:t>
      </w:r>
      <w:r w:rsidRPr="00382917">
        <w:t>the</w:t>
      </w:r>
      <w:r w:rsidR="00EE4FC3">
        <w:t xml:space="preserve"> </w:t>
      </w:r>
      <w:r w:rsidRPr="00382917">
        <w:t>chief</w:t>
      </w:r>
      <w:r w:rsidR="00EE4FC3">
        <w:t xml:space="preserve"> </w:t>
      </w:r>
      <w:r w:rsidRPr="00382917">
        <w:t>constable,</w:t>
      </w:r>
      <w:r w:rsidR="00EE4FC3">
        <w:t xml:space="preserve"> </w:t>
      </w:r>
      <w:r w:rsidRPr="00382917">
        <w:t>as</w:t>
      </w:r>
      <w:r w:rsidR="00EE4FC3">
        <w:t xml:space="preserve"> </w:t>
      </w:r>
      <w:r w:rsidRPr="00382917">
        <w:t>instructed,</w:t>
      </w:r>
      <w:r w:rsidR="00EE4FC3">
        <w:t xml:space="preserve"> </w:t>
      </w:r>
      <w:r w:rsidRPr="00382917">
        <w:t>broke</w:t>
      </w:r>
      <w:r w:rsidR="00EE4FC3">
        <w:t xml:space="preserve"> </w:t>
      </w:r>
      <w:r w:rsidRPr="00382917">
        <w:t>into</w:t>
      </w:r>
      <w:r w:rsidR="00EE4FC3">
        <w:t xml:space="preserve"> </w:t>
      </w:r>
      <w:r w:rsidRPr="00382917">
        <w:t>the</w:t>
      </w:r>
      <w:r w:rsidR="00EE4FC3">
        <w:t xml:space="preserve"> </w:t>
      </w:r>
      <w:r w:rsidRPr="00382917">
        <w:t>house,</w:t>
      </w:r>
      <w:r w:rsidR="00EE4FC3">
        <w:t xml:space="preserve"> </w:t>
      </w:r>
      <w:r w:rsidRPr="00382917">
        <w:t>arrested</w:t>
      </w:r>
      <w:r w:rsidR="00EE4FC3">
        <w:t xml:space="preserve"> </w:t>
      </w:r>
      <w:r w:rsidRPr="00382917">
        <w:t>the</w:t>
      </w:r>
      <w:r w:rsidR="00EE4FC3">
        <w:t xml:space="preserve"> </w:t>
      </w:r>
      <w:r w:rsidRPr="00382917">
        <w:t>Báb,</w:t>
      </w:r>
      <w:r w:rsidR="00EE4FC3">
        <w:t xml:space="preserve"> </w:t>
      </w:r>
      <w:r w:rsidRPr="00382917">
        <w:t>and</w:t>
      </w:r>
      <w:r w:rsidR="00EE4FC3">
        <w:t xml:space="preserve"> </w:t>
      </w:r>
      <w:r w:rsidRPr="00382917">
        <w:t>seized</w:t>
      </w:r>
      <w:r w:rsidR="00EE4FC3">
        <w:t xml:space="preserve"> </w:t>
      </w:r>
      <w:r w:rsidRPr="00382917">
        <w:t>all</w:t>
      </w:r>
      <w:r w:rsidR="00EE4FC3">
        <w:t xml:space="preserve"> </w:t>
      </w:r>
      <w:r w:rsidRPr="00382917">
        <w:t>documents</w:t>
      </w:r>
      <w:r w:rsidR="00C03C91">
        <w:t>.</w:t>
      </w:r>
      <w:r w:rsidR="00EE4FC3">
        <w:t xml:space="preserve">  </w:t>
      </w:r>
      <w:r w:rsidRPr="00382917">
        <w:t>He</w:t>
      </w:r>
      <w:r w:rsidR="00EE4FC3">
        <w:t xml:space="preserve"> </w:t>
      </w:r>
      <w:r w:rsidRPr="00382917">
        <w:t>ordered</w:t>
      </w:r>
      <w:r w:rsidR="00EE4FC3">
        <w:t xml:space="preserve"> </w:t>
      </w:r>
      <w:r w:rsidRPr="00382917">
        <w:t>the</w:t>
      </w:r>
      <w:r w:rsidR="00EE4FC3">
        <w:t xml:space="preserve"> </w:t>
      </w:r>
      <w:r w:rsidRPr="00382917">
        <w:t>Báb</w:t>
      </w:r>
      <w:r w:rsidR="00EE4FC3">
        <w:t xml:space="preserve"> </w:t>
      </w:r>
      <w:r w:rsidRPr="00382917">
        <w:t>and</w:t>
      </w:r>
      <w:r w:rsidR="00EE4FC3">
        <w:t xml:space="preserve"> </w:t>
      </w:r>
      <w:r w:rsidRPr="00382917">
        <w:t>His</w:t>
      </w:r>
      <w:r w:rsidR="00EE4FC3">
        <w:t xml:space="preserve"> </w:t>
      </w:r>
      <w:r w:rsidRPr="00382917">
        <w:t>companions</w:t>
      </w:r>
      <w:r w:rsidR="00EE4FC3">
        <w:t xml:space="preserve"> </w:t>
      </w:r>
      <w:r w:rsidRPr="00382917">
        <w:t>to</w:t>
      </w:r>
      <w:r w:rsidR="00EE4FC3">
        <w:t xml:space="preserve"> </w:t>
      </w:r>
      <w:r w:rsidRPr="00382917">
        <w:t>accompany</w:t>
      </w:r>
      <w:r w:rsidR="00EE4FC3">
        <w:t xml:space="preserve"> </w:t>
      </w:r>
      <w:r w:rsidRPr="00382917">
        <w:t>him</w:t>
      </w:r>
      <w:r w:rsidR="00EE4FC3">
        <w:t xml:space="preserve"> </w:t>
      </w:r>
      <w:r w:rsidRPr="00382917">
        <w:t>to</w:t>
      </w:r>
      <w:r w:rsidR="00EE4FC3">
        <w:t xml:space="preserve"> </w:t>
      </w:r>
      <w:r w:rsidRPr="00382917">
        <w:t>the</w:t>
      </w:r>
      <w:r w:rsidR="00EE4FC3">
        <w:t xml:space="preserve"> </w:t>
      </w:r>
      <w:r w:rsidRPr="00382917">
        <w:t>house</w:t>
      </w:r>
      <w:r w:rsidR="00EE4FC3">
        <w:t xml:space="preserve"> </w:t>
      </w:r>
      <w:r w:rsidRPr="00382917">
        <w:t>of</w:t>
      </w:r>
      <w:r w:rsidR="00EE4FC3">
        <w:t xml:space="preserve"> </w:t>
      </w:r>
      <w:r w:rsidRPr="00382917">
        <w:t>the</w:t>
      </w:r>
      <w:r w:rsidR="00EE4FC3">
        <w:t xml:space="preserve"> </w:t>
      </w:r>
      <w:r w:rsidRPr="00382917">
        <w:t>governor.</w:t>
      </w:r>
    </w:p>
    <w:p w:rsidR="00122F78" w:rsidRPr="00382917" w:rsidRDefault="00122F78" w:rsidP="00122F78">
      <w:pPr>
        <w:pStyle w:val="Text"/>
      </w:pPr>
      <w:r w:rsidRPr="00382917">
        <w:t>The</w:t>
      </w:r>
      <w:r w:rsidR="00EE4FC3">
        <w:t xml:space="preserve"> </w:t>
      </w:r>
      <w:r w:rsidRPr="00382917">
        <w:t>Báb</w:t>
      </w:r>
      <w:r w:rsidR="00EE4FC3">
        <w:t xml:space="preserve"> </w:t>
      </w:r>
      <w:r w:rsidRPr="00382917">
        <w:t>was</w:t>
      </w:r>
      <w:r w:rsidR="00EE4FC3">
        <w:t xml:space="preserve"> </w:t>
      </w:r>
      <w:r w:rsidRPr="00382917">
        <w:t>calm</w:t>
      </w:r>
      <w:r w:rsidR="00EE4FC3">
        <w:t xml:space="preserve"> </w:t>
      </w:r>
      <w:r w:rsidRPr="00382917">
        <w:t>and</w:t>
      </w:r>
      <w:r w:rsidR="00EE4FC3">
        <w:t xml:space="preserve"> </w:t>
      </w:r>
      <w:r w:rsidRPr="00382917">
        <w:t>unruffled</w:t>
      </w:r>
      <w:r w:rsidR="00C03C91">
        <w:t>.</w:t>
      </w:r>
      <w:r w:rsidR="00EE4FC3">
        <w:t xml:space="preserve">  </w:t>
      </w:r>
      <w:r w:rsidRPr="00382917">
        <w:t>He</w:t>
      </w:r>
      <w:r w:rsidR="00EE4FC3">
        <w:t xml:space="preserve"> </w:t>
      </w:r>
      <w:r w:rsidRPr="00382917">
        <w:t>knew</w:t>
      </w:r>
      <w:r w:rsidR="00EE4FC3">
        <w:t xml:space="preserve"> </w:t>
      </w:r>
      <w:r w:rsidRPr="00382917">
        <w:t>the</w:t>
      </w:r>
      <w:r w:rsidR="00EE4FC3">
        <w:t xml:space="preserve"> </w:t>
      </w:r>
      <w:r w:rsidRPr="00382917">
        <w:t>hour</w:t>
      </w:r>
      <w:r w:rsidR="00EE4FC3">
        <w:t xml:space="preserve"> </w:t>
      </w:r>
      <w:r w:rsidRPr="00382917">
        <w:t>of</w:t>
      </w:r>
      <w:r w:rsidR="00EE4FC3">
        <w:t xml:space="preserve"> </w:t>
      </w:r>
      <w:r w:rsidRPr="00382917">
        <w:t>separation</w:t>
      </w:r>
      <w:r w:rsidR="00EE4FC3">
        <w:t xml:space="preserve"> </w:t>
      </w:r>
      <w:r w:rsidRPr="00382917">
        <w:t>had</w:t>
      </w:r>
      <w:r w:rsidR="00EE4FC3">
        <w:t xml:space="preserve"> </w:t>
      </w:r>
      <w:r w:rsidRPr="00382917">
        <w:t>struck</w:t>
      </w:r>
      <w:r w:rsidR="00C03C91">
        <w:t>.</w:t>
      </w:r>
      <w:r w:rsidR="00EE4FC3">
        <w:t xml:space="preserve">  </w:t>
      </w:r>
      <w:r w:rsidRPr="00382917">
        <w:t>He</w:t>
      </w:r>
      <w:r w:rsidR="00EE4FC3">
        <w:t xml:space="preserve"> </w:t>
      </w:r>
      <w:r w:rsidRPr="00382917">
        <w:t>quoted</w:t>
      </w:r>
      <w:r w:rsidR="00EE4FC3">
        <w:t xml:space="preserve"> </w:t>
      </w:r>
      <w:r w:rsidRPr="00382917">
        <w:t>words</w:t>
      </w:r>
      <w:r w:rsidR="00EE4FC3">
        <w:t xml:space="preserve"> </w:t>
      </w:r>
      <w:r w:rsidRPr="00382917">
        <w:t>from</w:t>
      </w:r>
      <w:r w:rsidR="00EE4FC3">
        <w:t xml:space="preserve"> </w:t>
      </w:r>
      <w:r w:rsidRPr="00382917">
        <w:t>the</w:t>
      </w:r>
      <w:r w:rsidR="00EE4FC3">
        <w:t xml:space="preserve"> </w:t>
      </w:r>
      <w:r w:rsidRPr="00382917">
        <w:t>chief</w:t>
      </w:r>
      <w:r w:rsidR="00EE4FC3">
        <w:t xml:space="preserve"> </w:t>
      </w:r>
      <w:r w:rsidRPr="00382917">
        <w:t>constable</w:t>
      </w:r>
      <w:r w:rsidR="009C713D" w:rsidRPr="00382917">
        <w:t>’</w:t>
      </w:r>
      <w:r w:rsidRPr="00382917">
        <w:t>s</w:t>
      </w:r>
      <w:r w:rsidR="00EE4FC3">
        <w:t xml:space="preserve"> </w:t>
      </w:r>
      <w:r w:rsidRPr="00382917">
        <w:t>Holy</w:t>
      </w:r>
      <w:r w:rsidR="00EE4FC3">
        <w:t xml:space="preserve"> </w:t>
      </w:r>
      <w:r w:rsidRPr="00382917">
        <w:t>Book</w:t>
      </w:r>
      <w:r w:rsidR="00C03C91">
        <w:t>.</w:t>
      </w:r>
      <w:r w:rsidR="00EE4FC3">
        <w:t xml:space="preserve">  </w:t>
      </w:r>
      <w:r w:rsidR="009C713D" w:rsidRPr="00382917">
        <w:t>“</w:t>
      </w:r>
      <w:r w:rsidRPr="00382917">
        <w:t>That</w:t>
      </w:r>
      <w:r w:rsidR="00EE4FC3">
        <w:t xml:space="preserve"> </w:t>
      </w:r>
      <w:r w:rsidRPr="00382917">
        <w:t>with</w:t>
      </w:r>
      <w:r w:rsidR="00EE4FC3">
        <w:t xml:space="preserve"> </w:t>
      </w:r>
      <w:r w:rsidRPr="00382917">
        <w:t>which</w:t>
      </w:r>
      <w:r w:rsidR="00EE4FC3">
        <w:t xml:space="preserve"> </w:t>
      </w:r>
      <w:r w:rsidRPr="00382917">
        <w:t>they</w:t>
      </w:r>
      <w:r w:rsidR="00EE4FC3">
        <w:t xml:space="preserve"> </w:t>
      </w:r>
      <w:r w:rsidRPr="00382917">
        <w:t>are</w:t>
      </w:r>
      <w:r w:rsidR="00EE4FC3">
        <w:t xml:space="preserve"> </w:t>
      </w:r>
      <w:r w:rsidRPr="00382917">
        <w:t>threatened</w:t>
      </w:r>
      <w:r w:rsidR="00EE4FC3">
        <w:t xml:space="preserve"> </w:t>
      </w:r>
      <w:r w:rsidRPr="00382917">
        <w:t>is</w:t>
      </w:r>
      <w:r w:rsidR="00EE4FC3">
        <w:t xml:space="preserve"> </w:t>
      </w:r>
      <w:r w:rsidRPr="00382917">
        <w:t>for</w:t>
      </w:r>
      <w:r w:rsidR="00EE4FC3">
        <w:t xml:space="preserve"> </w:t>
      </w:r>
      <w:r w:rsidRPr="00382917">
        <w:t>the</w:t>
      </w:r>
      <w:r w:rsidR="00EE4FC3">
        <w:t xml:space="preserve"> </w:t>
      </w:r>
      <w:r w:rsidRPr="00382917">
        <w:t>morning.</w:t>
      </w:r>
      <w:r w:rsidR="009C713D" w:rsidRPr="00382917">
        <w:t>”</w:t>
      </w:r>
      <w:r w:rsidR="00EE4FC3">
        <w:t xml:space="preserve">  </w:t>
      </w:r>
      <w:r w:rsidRPr="00382917">
        <w:t>He</w:t>
      </w:r>
      <w:r w:rsidR="00EE4FC3">
        <w:t xml:space="preserve"> </w:t>
      </w:r>
      <w:r w:rsidRPr="00382917">
        <w:t>paused</w:t>
      </w:r>
      <w:r w:rsidR="00EE4FC3">
        <w:t xml:space="preserve"> </w:t>
      </w:r>
      <w:r w:rsidRPr="00382917">
        <w:t>significantly</w:t>
      </w:r>
      <w:r w:rsidR="00C03C91">
        <w:t>.</w:t>
      </w:r>
      <w:r w:rsidR="00EE4FC3">
        <w:t xml:space="preserve">  </w:t>
      </w:r>
      <w:r w:rsidR="009C713D" w:rsidRPr="00382917">
        <w:t>“</w:t>
      </w:r>
      <w:r w:rsidRPr="00382917">
        <w:t>Is</w:t>
      </w:r>
      <w:r w:rsidR="00EE4FC3">
        <w:t xml:space="preserve"> </w:t>
      </w:r>
      <w:r w:rsidRPr="00382917">
        <w:t>not</w:t>
      </w:r>
      <w:r w:rsidR="00EE4FC3">
        <w:t xml:space="preserve"> </w:t>
      </w:r>
      <w:r w:rsidRPr="00382917">
        <w:t>the</w:t>
      </w:r>
      <w:r w:rsidR="00EE4FC3">
        <w:t xml:space="preserve"> </w:t>
      </w:r>
      <w:r w:rsidRPr="00382917">
        <w:t>morning</w:t>
      </w:r>
      <w:r w:rsidR="00EE4FC3">
        <w:t xml:space="preserve"> </w:t>
      </w:r>
      <w:r w:rsidRPr="00382917">
        <w:t>near?</w:t>
      </w:r>
      <w:r w:rsidR="009C713D" w:rsidRPr="00382917">
        <w:t>”</w:t>
      </w:r>
    </w:p>
    <w:p w:rsidR="00122F78" w:rsidRPr="00382917" w:rsidRDefault="00122F78" w:rsidP="00122F78">
      <w:pPr>
        <w:pStyle w:val="Text"/>
      </w:pPr>
      <w:r w:rsidRPr="00382917">
        <w:t>The</w:t>
      </w:r>
      <w:r w:rsidR="00EE4FC3">
        <w:t xml:space="preserve"> </w:t>
      </w:r>
      <w:r w:rsidRPr="00382917">
        <w:t>chief</w:t>
      </w:r>
      <w:r w:rsidR="00EE4FC3">
        <w:t xml:space="preserve"> </w:t>
      </w:r>
      <w:r w:rsidRPr="00382917">
        <w:t>constable</w:t>
      </w:r>
      <w:r w:rsidR="00EE4FC3">
        <w:t xml:space="preserve"> </w:t>
      </w:r>
      <w:r w:rsidRPr="00382917">
        <w:t>did</w:t>
      </w:r>
      <w:r w:rsidR="00EE4FC3">
        <w:t xml:space="preserve"> </w:t>
      </w:r>
      <w:r w:rsidRPr="00382917">
        <w:t>not</w:t>
      </w:r>
      <w:r w:rsidR="00EE4FC3">
        <w:t xml:space="preserve"> </w:t>
      </w:r>
      <w:r w:rsidRPr="00382917">
        <w:t>understand</w:t>
      </w:r>
      <w:r w:rsidR="00EE4FC3">
        <w:t xml:space="preserve"> </w:t>
      </w:r>
      <w:r w:rsidRPr="00382917">
        <w:t>that</w:t>
      </w:r>
      <w:r w:rsidR="00EE4FC3">
        <w:t xml:space="preserve"> </w:t>
      </w:r>
      <w:r w:rsidRPr="00382917">
        <w:t>by</w:t>
      </w:r>
      <w:r w:rsidR="00EE4FC3">
        <w:t xml:space="preserve"> </w:t>
      </w:r>
      <w:r w:rsidRPr="00382917">
        <w:t>those</w:t>
      </w:r>
      <w:r w:rsidR="00EE4FC3">
        <w:t xml:space="preserve"> </w:t>
      </w:r>
      <w:r w:rsidRPr="00382917">
        <w:t>words</w:t>
      </w:r>
      <w:r w:rsidR="00EE4FC3">
        <w:t xml:space="preserve"> </w:t>
      </w:r>
      <w:r w:rsidRPr="00382917">
        <w:t>the</w:t>
      </w:r>
      <w:r w:rsidR="00EE4FC3">
        <w:t xml:space="preserve"> </w:t>
      </w:r>
      <w:r w:rsidRPr="00382917">
        <w:t>Báb</w:t>
      </w:r>
      <w:r w:rsidR="00EE4FC3">
        <w:t xml:space="preserve"> </w:t>
      </w:r>
      <w:r w:rsidRPr="00382917">
        <w:t>foretold</w:t>
      </w:r>
      <w:r w:rsidR="00EE4FC3">
        <w:t xml:space="preserve"> </w:t>
      </w:r>
      <w:r w:rsidRPr="00382917">
        <w:t>the</w:t>
      </w:r>
      <w:r w:rsidR="00EE4FC3">
        <w:t xml:space="preserve"> </w:t>
      </w:r>
      <w:r w:rsidRPr="00382917">
        <w:t>beginning</w:t>
      </w:r>
      <w:r w:rsidR="00EE4FC3">
        <w:t xml:space="preserve"> </w:t>
      </w:r>
      <w:r w:rsidRPr="00382917">
        <w:t>of</w:t>
      </w:r>
      <w:r w:rsidR="00EE4FC3">
        <w:t xml:space="preserve"> </w:t>
      </w:r>
      <w:r w:rsidRPr="00382917">
        <w:t>suffering</w:t>
      </w:r>
      <w:r w:rsidR="00EE4FC3">
        <w:t xml:space="preserve"> </w:t>
      </w:r>
      <w:r w:rsidRPr="00382917">
        <w:t>on</w:t>
      </w:r>
      <w:r w:rsidR="00EE4FC3">
        <w:t xml:space="preserve"> </w:t>
      </w:r>
      <w:r w:rsidRPr="00382917">
        <w:t>both</w:t>
      </w:r>
      <w:r w:rsidR="00EE4FC3">
        <w:t xml:space="preserve"> </w:t>
      </w:r>
      <w:r w:rsidRPr="00382917">
        <w:t>sides</w:t>
      </w:r>
      <w:r w:rsidR="00C03C91">
        <w:t>.</w:t>
      </w:r>
      <w:r w:rsidR="00EE4FC3">
        <w:t xml:space="preserve">  </w:t>
      </w:r>
      <w:r w:rsidRPr="00382917">
        <w:t>He</w:t>
      </w:r>
      <w:r w:rsidR="00EE4FC3">
        <w:t xml:space="preserve"> </w:t>
      </w:r>
      <w:r w:rsidRPr="00382917">
        <w:t>conducted</w:t>
      </w:r>
      <w:r w:rsidR="00EE4FC3">
        <w:t xml:space="preserve"> </w:t>
      </w:r>
      <w:r w:rsidRPr="00382917">
        <w:t>the</w:t>
      </w:r>
      <w:r w:rsidR="00EE4FC3">
        <w:t xml:space="preserve"> </w:t>
      </w:r>
      <w:r w:rsidRPr="00382917">
        <w:t>Báb</w:t>
      </w:r>
      <w:r w:rsidR="00EE4FC3">
        <w:t xml:space="preserve"> </w:t>
      </w:r>
      <w:r w:rsidRPr="00382917">
        <w:t>and</w:t>
      </w:r>
      <w:r w:rsidR="00EE4FC3">
        <w:t xml:space="preserve"> </w:t>
      </w:r>
      <w:r w:rsidRPr="00382917">
        <w:t>His</w:t>
      </w:r>
      <w:r w:rsidR="00EE4FC3">
        <w:t xml:space="preserve"> </w:t>
      </w:r>
      <w:r w:rsidRPr="00382917">
        <w:t>friends</w:t>
      </w:r>
      <w:r w:rsidR="00EE4FC3">
        <w:t xml:space="preserve"> </w:t>
      </w:r>
      <w:r w:rsidRPr="00382917">
        <w:t>into</w:t>
      </w:r>
      <w:r w:rsidR="00EE4FC3">
        <w:t xml:space="preserve"> </w:t>
      </w:r>
      <w:r w:rsidRPr="00382917">
        <w:t>the</w:t>
      </w:r>
      <w:r w:rsidR="00EE4FC3">
        <w:t xml:space="preserve"> </w:t>
      </w:r>
      <w:r w:rsidRPr="00382917">
        <w:t>street</w:t>
      </w:r>
      <w:r w:rsidR="00EE4FC3">
        <w:t xml:space="preserve"> </w:t>
      </w:r>
      <w:r w:rsidRPr="00382917">
        <w:t>where</w:t>
      </w:r>
      <w:r w:rsidR="00EE4FC3">
        <w:t xml:space="preserve"> </w:t>
      </w:r>
      <w:r w:rsidRPr="00382917">
        <w:t>he</w:t>
      </w:r>
      <w:r w:rsidR="00EE4FC3">
        <w:t xml:space="preserve"> </w:t>
      </w:r>
      <w:r w:rsidRPr="00382917">
        <w:t>put</w:t>
      </w:r>
      <w:r w:rsidR="00EE4FC3">
        <w:t xml:space="preserve"> </w:t>
      </w:r>
      <w:r w:rsidRPr="00382917">
        <w:t>them</w:t>
      </w:r>
      <w:r w:rsidR="00EE4FC3">
        <w:t xml:space="preserve"> </w:t>
      </w:r>
      <w:r w:rsidRPr="00382917">
        <w:t>under</w:t>
      </w:r>
      <w:r w:rsidR="00EE4FC3">
        <w:t xml:space="preserve"> </w:t>
      </w:r>
      <w:r w:rsidRPr="00382917">
        <w:t>guard.</w:t>
      </w:r>
    </w:p>
    <w:p w:rsidR="00122F78" w:rsidRPr="00382917" w:rsidRDefault="00122F78" w:rsidP="00122F78">
      <w:pPr>
        <w:pStyle w:val="Text"/>
      </w:pPr>
      <w:r w:rsidRPr="00382917">
        <w:t>As</w:t>
      </w:r>
      <w:r w:rsidR="00EE4FC3">
        <w:t xml:space="preserve"> </w:t>
      </w:r>
      <w:r w:rsidRPr="00382917">
        <w:t>they</w:t>
      </w:r>
      <w:r w:rsidR="00EE4FC3">
        <w:t xml:space="preserve"> </w:t>
      </w:r>
      <w:r w:rsidRPr="00382917">
        <w:t>were</w:t>
      </w:r>
      <w:r w:rsidR="00EE4FC3">
        <w:t xml:space="preserve"> </w:t>
      </w:r>
      <w:r w:rsidRPr="00382917">
        <w:t>approaching</w:t>
      </w:r>
      <w:r w:rsidR="00EE4FC3">
        <w:t xml:space="preserve"> </w:t>
      </w:r>
      <w:r w:rsidRPr="00382917">
        <w:t>the</w:t>
      </w:r>
      <w:r w:rsidR="00EE4FC3">
        <w:t xml:space="preserve"> </w:t>
      </w:r>
      <w:r w:rsidRPr="00382917">
        <w:t>market-place,</w:t>
      </w:r>
      <w:r w:rsidR="00EE4FC3">
        <w:t xml:space="preserve"> </w:t>
      </w:r>
      <w:r w:rsidRPr="00382917">
        <w:t>they</w:t>
      </w:r>
      <w:r w:rsidR="00EE4FC3">
        <w:t xml:space="preserve"> </w:t>
      </w:r>
      <w:r w:rsidRPr="00382917">
        <w:t>heard</w:t>
      </w:r>
      <w:r w:rsidR="00EE4FC3">
        <w:t xml:space="preserve"> </w:t>
      </w:r>
      <w:r w:rsidRPr="00382917">
        <w:t>cries</w:t>
      </w:r>
      <w:r w:rsidR="00EE4FC3">
        <w:t xml:space="preserve"> </w:t>
      </w:r>
      <w:r w:rsidRPr="00382917">
        <w:t>of</w:t>
      </w:r>
      <w:r w:rsidR="00EE4FC3">
        <w:t xml:space="preserve"> </w:t>
      </w:r>
      <w:r w:rsidRPr="00382917">
        <w:t>excitement</w:t>
      </w:r>
      <w:r w:rsidR="00C03C91">
        <w:t>.</w:t>
      </w:r>
      <w:r w:rsidR="00EE4FC3">
        <w:t xml:space="preserve">  </w:t>
      </w:r>
      <w:r w:rsidRPr="00382917">
        <w:t>People</w:t>
      </w:r>
      <w:r w:rsidR="00EE4FC3">
        <w:t xml:space="preserve"> </w:t>
      </w:r>
      <w:r w:rsidRPr="00382917">
        <w:t>were</w:t>
      </w:r>
      <w:r w:rsidR="00EE4FC3">
        <w:t xml:space="preserve"> </w:t>
      </w:r>
      <w:r w:rsidRPr="00382917">
        <w:t>rushing</w:t>
      </w:r>
      <w:r w:rsidR="00EE4FC3">
        <w:t xml:space="preserve"> </w:t>
      </w:r>
      <w:r w:rsidRPr="00382917">
        <w:t>frantically</w:t>
      </w:r>
      <w:r w:rsidR="00EE4FC3">
        <w:t xml:space="preserve"> </w:t>
      </w:r>
      <w:r w:rsidRPr="00382917">
        <w:t>from</w:t>
      </w:r>
      <w:r w:rsidR="00EE4FC3">
        <w:t xml:space="preserve"> </w:t>
      </w:r>
      <w:r w:rsidRPr="00382917">
        <w:t>the</w:t>
      </w:r>
      <w:r w:rsidR="00EE4FC3">
        <w:t xml:space="preserve"> </w:t>
      </w:r>
      <w:r w:rsidRPr="00382917">
        <w:t>city</w:t>
      </w:r>
      <w:r w:rsidR="00EE4FC3">
        <w:t xml:space="preserve"> </w:t>
      </w:r>
      <w:r w:rsidRPr="00382917">
        <w:t>as</w:t>
      </w:r>
      <w:r w:rsidR="00EE4FC3">
        <w:t xml:space="preserve"> </w:t>
      </w:r>
      <w:r w:rsidRPr="00382917">
        <w:t>though</w:t>
      </w:r>
      <w:r w:rsidR="00EE4FC3">
        <w:t xml:space="preserve"> </w:t>
      </w:r>
      <w:r w:rsidRPr="00382917">
        <w:t>fleeing</w:t>
      </w:r>
      <w:r w:rsidR="00EE4FC3">
        <w:t xml:space="preserve"> </w:t>
      </w:r>
      <w:r w:rsidRPr="00382917">
        <w:t>from</w:t>
      </w:r>
      <w:r w:rsidR="00EE4FC3">
        <w:t xml:space="preserve"> </w:t>
      </w:r>
      <w:r w:rsidRPr="00382917">
        <w:t>an</w:t>
      </w:r>
      <w:r w:rsidR="00EE4FC3">
        <w:t xml:space="preserve"> </w:t>
      </w:r>
      <w:r w:rsidRPr="00382917">
        <w:t>appalling</w:t>
      </w:r>
      <w:r w:rsidR="00EE4FC3">
        <w:t xml:space="preserve"> </w:t>
      </w:r>
      <w:r w:rsidRPr="00382917">
        <w:t>calamity.</w:t>
      </w:r>
    </w:p>
    <w:p w:rsidR="00122F78" w:rsidRPr="00382917" w:rsidRDefault="00122F78" w:rsidP="00122F78">
      <w:pPr>
        <w:pStyle w:val="Text"/>
      </w:pPr>
      <w:r w:rsidRPr="00382917">
        <w:t>The</w:t>
      </w:r>
      <w:r w:rsidR="00EE4FC3">
        <w:t xml:space="preserve"> </w:t>
      </w:r>
      <w:r w:rsidRPr="00382917">
        <w:t>constable</w:t>
      </w:r>
      <w:r w:rsidR="00EE4FC3">
        <w:t xml:space="preserve"> </w:t>
      </w:r>
      <w:r w:rsidRPr="00382917">
        <w:t>was</w:t>
      </w:r>
      <w:r w:rsidR="00EE4FC3">
        <w:t xml:space="preserve"> </w:t>
      </w:r>
      <w:r w:rsidRPr="00382917">
        <w:t>filled</w:t>
      </w:r>
      <w:r w:rsidR="00EE4FC3">
        <w:t xml:space="preserve"> </w:t>
      </w:r>
      <w:r w:rsidRPr="00382917">
        <w:t>with</w:t>
      </w:r>
      <w:r w:rsidR="00EE4FC3">
        <w:t xml:space="preserve"> </w:t>
      </w:r>
      <w:r w:rsidRPr="00382917">
        <w:t>dread</w:t>
      </w:r>
      <w:r w:rsidR="00EE4FC3">
        <w:t xml:space="preserve"> </w:t>
      </w:r>
      <w:r w:rsidRPr="00382917">
        <w:t>as</w:t>
      </w:r>
      <w:r w:rsidR="00EE4FC3">
        <w:t xml:space="preserve"> </w:t>
      </w:r>
      <w:r w:rsidRPr="00382917">
        <w:t>an</w:t>
      </w:r>
      <w:r w:rsidR="00EE4FC3">
        <w:t xml:space="preserve"> </w:t>
      </w:r>
      <w:r w:rsidRPr="00382917">
        <w:t>awesome</w:t>
      </w:r>
      <w:r w:rsidR="00EE4FC3">
        <w:t xml:space="preserve"> </w:t>
      </w:r>
      <w:r w:rsidRPr="00382917">
        <w:t>sight</w:t>
      </w:r>
      <w:r w:rsidR="00EE4FC3">
        <w:t xml:space="preserve"> </w:t>
      </w:r>
      <w:r w:rsidRPr="00382917">
        <w:t>passed</w:t>
      </w:r>
      <w:r w:rsidR="00EE4FC3">
        <w:t xml:space="preserve"> </w:t>
      </w:r>
      <w:r w:rsidRPr="00382917">
        <w:t>before</w:t>
      </w:r>
      <w:r w:rsidR="00EE4FC3">
        <w:t xml:space="preserve"> </w:t>
      </w:r>
      <w:r w:rsidRPr="00382917">
        <w:t>them</w:t>
      </w:r>
      <w:r w:rsidR="00C03C91">
        <w:t>.</w:t>
      </w:r>
      <w:r w:rsidR="00EE4FC3">
        <w:t xml:space="preserve">  </w:t>
      </w:r>
      <w:r w:rsidRPr="00382917">
        <w:t>A</w:t>
      </w:r>
      <w:r w:rsidR="00EE4FC3">
        <w:t xml:space="preserve"> </w:t>
      </w:r>
      <w:r w:rsidRPr="00382917">
        <w:t>long</w:t>
      </w:r>
      <w:r w:rsidR="00EE4FC3">
        <w:t xml:space="preserve"> </w:t>
      </w:r>
      <w:r w:rsidRPr="00382917">
        <w:t>train</w:t>
      </w:r>
      <w:r w:rsidR="00EE4FC3">
        <w:t xml:space="preserve"> </w:t>
      </w:r>
      <w:r w:rsidRPr="00382917">
        <w:t>of</w:t>
      </w:r>
      <w:r w:rsidR="00EE4FC3">
        <w:t xml:space="preserve"> </w:t>
      </w:r>
      <w:r w:rsidRPr="00382917">
        <w:t>coffins</w:t>
      </w:r>
      <w:r w:rsidR="00EE4FC3">
        <w:t xml:space="preserve"> </w:t>
      </w:r>
      <w:r w:rsidRPr="00382917">
        <w:t>was</w:t>
      </w:r>
      <w:r w:rsidR="00EE4FC3">
        <w:t xml:space="preserve"> </w:t>
      </w:r>
      <w:r w:rsidRPr="00382917">
        <w:t>being</w:t>
      </w:r>
      <w:r w:rsidR="00EE4FC3">
        <w:t xml:space="preserve"> </w:t>
      </w:r>
      <w:r w:rsidRPr="00382917">
        <w:t>hurried</w:t>
      </w:r>
      <w:r w:rsidR="00EE4FC3">
        <w:t xml:space="preserve"> </w:t>
      </w:r>
      <w:r w:rsidRPr="00382917">
        <w:t>through</w:t>
      </w:r>
      <w:r w:rsidR="00EE4FC3">
        <w:t xml:space="preserve"> </w:t>
      </w:r>
      <w:r w:rsidRPr="00382917">
        <w:t>the</w:t>
      </w:r>
      <w:r w:rsidR="00EE4FC3">
        <w:t xml:space="preserve"> </w:t>
      </w:r>
      <w:r w:rsidRPr="00382917">
        <w:t>streets</w:t>
      </w:r>
      <w:r w:rsidR="00C03C91">
        <w:t>.</w:t>
      </w:r>
      <w:r w:rsidR="00EE4FC3">
        <w:t xml:space="preserve">  </w:t>
      </w:r>
      <w:r w:rsidRPr="00382917">
        <w:t>Each</w:t>
      </w:r>
      <w:r w:rsidR="00EE4FC3">
        <w:t xml:space="preserve"> </w:t>
      </w:r>
      <w:r w:rsidRPr="00382917">
        <w:t>coffin</w:t>
      </w:r>
      <w:r w:rsidR="00EE4FC3">
        <w:t xml:space="preserve"> </w:t>
      </w:r>
      <w:r w:rsidRPr="00382917">
        <w:t>was</w:t>
      </w:r>
      <w:r w:rsidR="00EE4FC3">
        <w:t xml:space="preserve"> </w:t>
      </w:r>
      <w:r w:rsidRPr="00382917">
        <w:t>followed</w:t>
      </w:r>
      <w:r w:rsidR="00EE4FC3">
        <w:t xml:space="preserve"> </w:t>
      </w:r>
      <w:r w:rsidRPr="00382917">
        <w:t>by</w:t>
      </w:r>
      <w:r w:rsidR="00EE4FC3">
        <w:t xml:space="preserve"> </w:t>
      </w:r>
      <w:r w:rsidRPr="00382917">
        <w:t>a</w:t>
      </w:r>
      <w:r w:rsidR="00EE4FC3">
        <w:t xml:space="preserve"> </w:t>
      </w:r>
      <w:r w:rsidRPr="00382917">
        <w:t>procession</w:t>
      </w:r>
      <w:r w:rsidR="00EE4FC3">
        <w:t xml:space="preserve"> </w:t>
      </w:r>
      <w:r w:rsidRPr="00382917">
        <w:t>of</w:t>
      </w:r>
      <w:r w:rsidR="00EE4FC3">
        <w:t xml:space="preserve"> </w:t>
      </w:r>
      <w:r w:rsidRPr="00382917">
        <w:t>men</w:t>
      </w:r>
      <w:r w:rsidR="00EE4FC3">
        <w:t xml:space="preserve"> </w:t>
      </w:r>
      <w:r w:rsidRPr="00382917">
        <w:t>and</w:t>
      </w:r>
      <w:r w:rsidR="00EE4FC3">
        <w:t xml:space="preserve"> </w:t>
      </w:r>
      <w:r w:rsidRPr="00382917">
        <w:t>women</w:t>
      </w:r>
      <w:r w:rsidR="00EE4FC3">
        <w:t xml:space="preserve"> </w:t>
      </w:r>
      <w:r w:rsidRPr="00382917">
        <w:t>loudly</w:t>
      </w:r>
      <w:r w:rsidR="00EE4FC3">
        <w:t xml:space="preserve"> </w:t>
      </w:r>
      <w:r w:rsidRPr="00382917">
        <w:t>uttering</w:t>
      </w:r>
      <w:r w:rsidR="00EE4FC3">
        <w:t xml:space="preserve"> </w:t>
      </w:r>
      <w:r w:rsidRPr="00382917">
        <w:t>cries</w:t>
      </w:r>
      <w:r w:rsidR="00EE4FC3">
        <w:t xml:space="preserve"> </w:t>
      </w:r>
      <w:r w:rsidRPr="00382917">
        <w:t>of</w:t>
      </w:r>
      <w:r w:rsidR="00EE4FC3">
        <w:t xml:space="preserve"> </w:t>
      </w:r>
      <w:r w:rsidRPr="00382917">
        <w:t>anguish</w:t>
      </w:r>
      <w:r w:rsidR="00C03C91">
        <w:t>.</w:t>
      </w:r>
      <w:r w:rsidR="00EE4FC3">
        <w:t xml:space="preserve">  </w:t>
      </w:r>
      <w:r w:rsidRPr="00382917">
        <w:t>The</w:t>
      </w:r>
      <w:r w:rsidR="00EE4FC3">
        <w:t xml:space="preserve"> </w:t>
      </w:r>
      <w:r w:rsidRPr="00382917">
        <w:t>chief</w:t>
      </w:r>
      <w:r w:rsidR="00EE4FC3">
        <w:t xml:space="preserve"> </w:t>
      </w:r>
      <w:r w:rsidRPr="00382917">
        <w:t>constable</w:t>
      </w:r>
      <w:r w:rsidR="00EE4FC3">
        <w:t xml:space="preserve"> </w:t>
      </w:r>
      <w:r w:rsidRPr="00382917">
        <w:t>stopped</w:t>
      </w:r>
      <w:r w:rsidR="00EE4FC3">
        <w:t xml:space="preserve"> </w:t>
      </w:r>
      <w:r w:rsidRPr="00382917">
        <w:t>one</w:t>
      </w:r>
      <w:r w:rsidR="00EE4FC3">
        <w:t xml:space="preserve"> </w:t>
      </w:r>
      <w:r w:rsidRPr="00382917">
        <w:t>of</w:t>
      </w:r>
      <w:r w:rsidR="00EE4FC3">
        <w:t xml:space="preserve"> </w:t>
      </w:r>
      <w:r w:rsidRPr="00382917">
        <w:t>the</w:t>
      </w:r>
      <w:r w:rsidR="00EE4FC3">
        <w:t xml:space="preserve"> </w:t>
      </w:r>
      <w:r w:rsidRPr="00382917">
        <w:t>mourners.</w:t>
      </w:r>
    </w:p>
    <w:p w:rsidR="00122F78" w:rsidRPr="00382917" w:rsidRDefault="009C713D" w:rsidP="00122F78">
      <w:pPr>
        <w:pStyle w:val="Text"/>
      </w:pPr>
      <w:r w:rsidRPr="00382917">
        <w:t>“</w:t>
      </w:r>
      <w:r w:rsidR="00122F78" w:rsidRPr="00382917">
        <w:t>What</w:t>
      </w:r>
      <w:r w:rsidR="00EE4FC3">
        <w:t xml:space="preserve"> </w:t>
      </w:r>
      <w:r w:rsidR="00122F78" w:rsidRPr="00382917">
        <w:t>has</w:t>
      </w:r>
      <w:r w:rsidR="00EE4FC3">
        <w:t xml:space="preserve"> </w:t>
      </w:r>
      <w:r w:rsidR="00122F78" w:rsidRPr="00382917">
        <w:t>happened?</w:t>
      </w:r>
      <w:r w:rsidRPr="00382917">
        <w:t>”</w:t>
      </w:r>
      <w:r w:rsidR="00EE4FC3">
        <w:t xml:space="preserve"> </w:t>
      </w:r>
      <w:r w:rsidR="00122F78" w:rsidRPr="00382917">
        <w:t>he</w:t>
      </w:r>
      <w:r w:rsidR="00EE4FC3">
        <w:t xml:space="preserve"> </w:t>
      </w:r>
      <w:r w:rsidR="00122F78" w:rsidRPr="00382917">
        <w:t>cried</w:t>
      </w:r>
      <w:r w:rsidR="00C03C91">
        <w:t>.</w:t>
      </w:r>
      <w:r w:rsidR="00EE4FC3">
        <w:t xml:space="preserve">  </w:t>
      </w:r>
      <w:r w:rsidRPr="00382917">
        <w:t>“</w:t>
      </w:r>
      <w:r w:rsidR="00122F78" w:rsidRPr="00382917">
        <w:t>In</w:t>
      </w:r>
      <w:r w:rsidR="00EE4FC3">
        <w:t xml:space="preserve"> </w:t>
      </w:r>
      <w:r w:rsidR="00122F78" w:rsidRPr="00382917">
        <w:t>the</w:t>
      </w:r>
      <w:r w:rsidR="00EE4FC3">
        <w:t xml:space="preserve"> </w:t>
      </w:r>
      <w:r w:rsidR="00122F78" w:rsidRPr="00382917">
        <w:t>name</w:t>
      </w:r>
      <w:r w:rsidR="00EE4FC3">
        <w:t xml:space="preserve"> </w:t>
      </w:r>
      <w:r w:rsidR="00122F78" w:rsidRPr="00382917">
        <w:t>of</w:t>
      </w:r>
      <w:r w:rsidR="00EE4FC3">
        <w:t xml:space="preserve"> </w:t>
      </w:r>
      <w:r w:rsidR="00122F78" w:rsidRPr="00382917">
        <w:t>God,</w:t>
      </w:r>
      <w:r w:rsidR="00EE4FC3">
        <w:t xml:space="preserve"> </w:t>
      </w:r>
      <w:r w:rsidR="00122F78" w:rsidRPr="00382917">
        <w:t>answer</w:t>
      </w:r>
      <w:r w:rsidR="00EE4FC3">
        <w:t xml:space="preserve"> </w:t>
      </w:r>
      <w:r w:rsidR="00122F78" w:rsidRPr="00382917">
        <w:t>me!</w:t>
      </w:r>
      <w:r w:rsidR="00EE4FC3">
        <w:t xml:space="preserve">  </w:t>
      </w:r>
      <w:r w:rsidR="00122F78" w:rsidRPr="00382917">
        <w:t>What</w:t>
      </w:r>
      <w:r w:rsidR="00EE4FC3">
        <w:t xml:space="preserve"> </w:t>
      </w:r>
      <w:r w:rsidR="00122F78" w:rsidRPr="00382917">
        <w:t>dreadful</w:t>
      </w:r>
      <w:r w:rsidR="00EE4FC3">
        <w:t xml:space="preserve"> </w:t>
      </w:r>
      <w:r w:rsidR="00122F78" w:rsidRPr="00382917">
        <w:t>thing</w:t>
      </w:r>
      <w:r w:rsidR="00EE4FC3">
        <w:t xml:space="preserve"> </w:t>
      </w:r>
      <w:r w:rsidR="00122F78" w:rsidRPr="00382917">
        <w:t>has</w:t>
      </w:r>
      <w:r w:rsidR="00EE4FC3">
        <w:t xml:space="preserve"> </w:t>
      </w:r>
      <w:r w:rsidR="00122F78" w:rsidRPr="00382917">
        <w:t>struck</w:t>
      </w:r>
      <w:r w:rsidR="00EE4FC3">
        <w:t xml:space="preserve"> </w:t>
      </w:r>
      <w:r w:rsidR="00122F78" w:rsidRPr="00382917">
        <w:t>our</w:t>
      </w:r>
      <w:r w:rsidR="00EE4FC3">
        <w:t xml:space="preserve"> </w:t>
      </w:r>
      <w:r w:rsidR="00122F78" w:rsidRPr="00382917">
        <w:t>city?</w:t>
      </w:r>
      <w:r w:rsidRPr="00382917">
        <w:t>”</w:t>
      </w:r>
    </w:p>
    <w:p w:rsidR="00122F78" w:rsidRPr="00382917" w:rsidRDefault="009C713D" w:rsidP="00122F78">
      <w:pPr>
        <w:pStyle w:val="Text"/>
      </w:pPr>
      <w:r w:rsidRPr="00382917">
        <w:t>“</w:t>
      </w:r>
      <w:r w:rsidR="00122F78" w:rsidRPr="00382917">
        <w:t>Flee</w:t>
      </w:r>
      <w:r w:rsidR="00EE4FC3">
        <w:t xml:space="preserve"> </w:t>
      </w:r>
      <w:r w:rsidR="00122F78" w:rsidRPr="00382917">
        <w:t>for</w:t>
      </w:r>
      <w:r w:rsidR="00EE4FC3">
        <w:t xml:space="preserve"> </w:t>
      </w:r>
      <w:r w:rsidR="00122F78" w:rsidRPr="00382917">
        <w:t>your</w:t>
      </w:r>
      <w:r w:rsidR="00EE4FC3">
        <w:t xml:space="preserve"> </w:t>
      </w:r>
      <w:r w:rsidR="00122F78" w:rsidRPr="00382917">
        <w:t>life,</w:t>
      </w:r>
      <w:r w:rsidRPr="00382917">
        <w:t>”</w:t>
      </w:r>
      <w:r w:rsidR="00EE4FC3">
        <w:t xml:space="preserve"> </w:t>
      </w:r>
      <w:r w:rsidR="00122F78" w:rsidRPr="00382917">
        <w:t>he</w:t>
      </w:r>
      <w:r w:rsidR="00EE4FC3">
        <w:t xml:space="preserve"> </w:t>
      </w:r>
      <w:r w:rsidR="00122F78" w:rsidRPr="00382917">
        <w:t>was</w:t>
      </w:r>
      <w:r w:rsidR="00EE4FC3">
        <w:t xml:space="preserve"> </w:t>
      </w:r>
      <w:r w:rsidR="00122F78" w:rsidRPr="00382917">
        <w:t>warned</w:t>
      </w:r>
      <w:r w:rsidR="00C03C91">
        <w:t>.</w:t>
      </w:r>
      <w:r w:rsidR="00EE4FC3">
        <w:t xml:space="preserve">  </w:t>
      </w:r>
      <w:proofErr w:type="gramStart"/>
      <w:r w:rsidRPr="00382917">
        <w:t>“</w:t>
      </w:r>
      <w:r w:rsidR="00122F78" w:rsidRPr="00382917">
        <w:t>Cholera!</w:t>
      </w:r>
      <w:proofErr w:type="gramEnd"/>
      <w:r w:rsidR="00EE4FC3">
        <w:t xml:space="preserve">  </w:t>
      </w:r>
      <w:r w:rsidR="00122F78" w:rsidRPr="00382917">
        <w:t>A</w:t>
      </w:r>
      <w:r w:rsidR="00EE4FC3">
        <w:t xml:space="preserve"> </w:t>
      </w:r>
      <w:r w:rsidR="00122F78" w:rsidRPr="00382917">
        <w:t>violent</w:t>
      </w:r>
      <w:r w:rsidR="00EE4FC3">
        <w:t xml:space="preserve"> </w:t>
      </w:r>
      <w:r w:rsidR="00122F78" w:rsidRPr="00382917">
        <w:t>plague</w:t>
      </w:r>
      <w:r w:rsidR="00EE4FC3">
        <w:t xml:space="preserve"> </w:t>
      </w:r>
      <w:r w:rsidR="00122F78" w:rsidRPr="00382917">
        <w:t>has</w:t>
      </w:r>
      <w:r w:rsidR="00EE4FC3">
        <w:t xml:space="preserve"> </w:t>
      </w:r>
      <w:r w:rsidR="00122F78" w:rsidRPr="00382917">
        <w:t>suddenly</w:t>
      </w:r>
      <w:r w:rsidR="00EE4FC3">
        <w:t xml:space="preserve"> </w:t>
      </w:r>
      <w:r w:rsidR="00122F78" w:rsidRPr="00382917">
        <w:t>broken</w:t>
      </w:r>
      <w:r w:rsidR="00EE4FC3">
        <w:t xml:space="preserve"> </w:t>
      </w:r>
      <w:r w:rsidR="00122F78" w:rsidRPr="00382917">
        <w:t>out</w:t>
      </w:r>
      <w:r w:rsidR="00C03C91">
        <w:t>.</w:t>
      </w:r>
      <w:r w:rsidR="00EE4FC3">
        <w:t xml:space="preserve">  </w:t>
      </w:r>
      <w:r w:rsidR="00122F78" w:rsidRPr="00382917">
        <w:t>The</w:t>
      </w:r>
      <w:r w:rsidR="00EE4FC3">
        <w:t xml:space="preserve"> </w:t>
      </w:r>
      <w:r w:rsidR="00122F78" w:rsidRPr="00382917">
        <w:t>city</w:t>
      </w:r>
      <w:r w:rsidR="00EE4FC3">
        <w:t xml:space="preserve"> </w:t>
      </w:r>
      <w:r w:rsidR="00122F78" w:rsidRPr="00382917">
        <w:t>has</w:t>
      </w:r>
      <w:r w:rsidR="00EE4FC3">
        <w:t xml:space="preserve"> </w:t>
      </w:r>
      <w:r w:rsidR="00122F78" w:rsidRPr="00382917">
        <w:t>been</w:t>
      </w:r>
      <w:r w:rsidR="00EE4FC3">
        <w:t xml:space="preserve"> </w:t>
      </w:r>
      <w:r w:rsidR="00122F78" w:rsidRPr="00382917">
        <w:t>devastated</w:t>
      </w:r>
      <w:r w:rsidR="00C03C91">
        <w:t>.</w:t>
      </w:r>
      <w:r w:rsidR="00EE4FC3">
        <w:t xml:space="preserve">  </w:t>
      </w:r>
      <w:r w:rsidR="00122F78" w:rsidRPr="00382917">
        <w:t>Already</w:t>
      </w:r>
      <w:r w:rsidR="00EE4FC3">
        <w:t xml:space="preserve"> </w:t>
      </w:r>
      <w:r w:rsidR="00122F78" w:rsidRPr="00382917">
        <w:t>since</w:t>
      </w:r>
      <w:r w:rsidR="00EE4FC3">
        <w:t xml:space="preserve"> </w:t>
      </w:r>
      <w:r w:rsidR="00122F78" w:rsidRPr="00382917">
        <w:t>the</w:t>
      </w:r>
      <w:r w:rsidR="00EE4FC3">
        <w:t xml:space="preserve"> </w:t>
      </w:r>
      <w:r w:rsidR="00122F78" w:rsidRPr="00382917">
        <w:t>hour</w:t>
      </w:r>
      <w:r w:rsidR="00EE4FC3">
        <w:t xml:space="preserve"> </w:t>
      </w:r>
      <w:r w:rsidR="00122F78" w:rsidRPr="00382917">
        <w:t>of</w:t>
      </w:r>
      <w:r w:rsidR="00EE4FC3">
        <w:t xml:space="preserve"> </w:t>
      </w:r>
      <w:r w:rsidR="00122F78" w:rsidRPr="00382917">
        <w:t>midnight,</w:t>
      </w:r>
      <w:r w:rsidR="00EE4FC3">
        <w:t xml:space="preserve"> </w:t>
      </w:r>
      <w:r w:rsidR="00122F78" w:rsidRPr="00382917">
        <w:t>it</w:t>
      </w:r>
      <w:r w:rsidR="00EE4FC3">
        <w:t xml:space="preserve"> </w:t>
      </w:r>
      <w:r w:rsidR="00122F78" w:rsidRPr="00382917">
        <w:t>has</w:t>
      </w:r>
      <w:r w:rsidR="00EE4FC3">
        <w:t xml:space="preserve"> </w:t>
      </w:r>
      <w:r w:rsidR="00122F78" w:rsidRPr="00382917">
        <w:t>taken</w:t>
      </w:r>
      <w:r w:rsidR="00EE4FC3">
        <w:t xml:space="preserve"> </w:t>
      </w:r>
      <w:r w:rsidR="00122F78" w:rsidRPr="00382917">
        <w:t>the</w:t>
      </w:r>
      <w:r w:rsidR="00EE4FC3">
        <w:t xml:space="preserve"> </w:t>
      </w:r>
      <w:r w:rsidR="00122F78" w:rsidRPr="00382917">
        <w:t>lives</w:t>
      </w:r>
      <w:r w:rsidR="00EE4FC3">
        <w:t xml:space="preserve"> </w:t>
      </w:r>
      <w:r w:rsidR="00122F78" w:rsidRPr="00382917">
        <w:t>of</w:t>
      </w:r>
      <w:r w:rsidR="00EE4FC3">
        <w:t xml:space="preserve"> </w:t>
      </w:r>
      <w:r w:rsidR="00122F78" w:rsidRPr="00382917">
        <w:t>over</w:t>
      </w:r>
      <w:r w:rsidR="00EE4FC3">
        <w:t xml:space="preserve"> </w:t>
      </w:r>
      <w:r w:rsidR="00122F78" w:rsidRPr="00382917">
        <w:t>a</w:t>
      </w:r>
      <w:r w:rsidR="00EE4FC3">
        <w:t xml:space="preserve"> </w:t>
      </w:r>
      <w:r w:rsidR="00122F78" w:rsidRPr="00382917">
        <w:t>hundred</w:t>
      </w:r>
    </w:p>
    <w:p w:rsidR="00122F78" w:rsidRPr="00382917" w:rsidRDefault="00122F78">
      <w:pPr>
        <w:widowControl/>
        <w:kinsoku/>
        <w:overflowPunct/>
        <w:textAlignment w:val="auto"/>
      </w:pPr>
      <w:r w:rsidRPr="00382917">
        <w:br w:type="page"/>
      </w:r>
    </w:p>
    <w:p w:rsidR="0054338F" w:rsidRPr="00382917" w:rsidRDefault="0054338F" w:rsidP="009D4E6D">
      <w:pPr>
        <w:pStyle w:val="Textcts"/>
      </w:pPr>
      <w:proofErr w:type="gramStart"/>
      <w:r w:rsidRPr="00382917">
        <w:t>people</w:t>
      </w:r>
      <w:proofErr w:type="gramEnd"/>
      <w:r w:rsidR="00C03C91">
        <w:t>.</w:t>
      </w:r>
      <w:r w:rsidR="00EE4FC3">
        <w:t xml:space="preserve">  </w:t>
      </w:r>
      <w:r w:rsidRPr="00382917">
        <w:t>All</w:t>
      </w:r>
      <w:r w:rsidR="00EE4FC3">
        <w:t xml:space="preserve"> </w:t>
      </w:r>
      <w:r w:rsidRPr="00382917">
        <w:t>of</w:t>
      </w:r>
      <w:r w:rsidR="00EE4FC3">
        <w:t xml:space="preserve"> </w:t>
      </w:r>
      <w:r w:rsidRPr="00382917">
        <w:t>us</w:t>
      </w:r>
      <w:r w:rsidR="00EE4FC3">
        <w:t xml:space="preserve"> </w:t>
      </w:r>
      <w:r w:rsidRPr="00382917">
        <w:t>have</w:t>
      </w:r>
      <w:r w:rsidR="00EE4FC3">
        <w:t xml:space="preserve"> </w:t>
      </w:r>
      <w:r w:rsidRPr="00382917">
        <w:t>abandoned</w:t>
      </w:r>
      <w:r w:rsidR="00EE4FC3">
        <w:t xml:space="preserve"> </w:t>
      </w:r>
      <w:r w:rsidRPr="00382917">
        <w:t>our</w:t>
      </w:r>
      <w:r w:rsidR="00EE4FC3">
        <w:t xml:space="preserve"> </w:t>
      </w:r>
      <w:r w:rsidRPr="00382917">
        <w:t>homes</w:t>
      </w:r>
      <w:r w:rsidR="00EE4FC3">
        <w:t xml:space="preserve"> </w:t>
      </w:r>
      <w:r w:rsidRPr="00382917">
        <w:t>and</w:t>
      </w:r>
      <w:r w:rsidR="00EE4FC3">
        <w:t xml:space="preserve"> </w:t>
      </w:r>
      <w:r w:rsidRPr="00382917">
        <w:t>are</w:t>
      </w:r>
      <w:r w:rsidR="00EE4FC3">
        <w:t xml:space="preserve"> </w:t>
      </w:r>
      <w:r w:rsidRPr="00382917">
        <w:t>calling</w:t>
      </w:r>
      <w:r w:rsidR="00EE4FC3">
        <w:t xml:space="preserve"> </w:t>
      </w:r>
      <w:r w:rsidRPr="00382917">
        <w:t>upon</w:t>
      </w:r>
      <w:r w:rsidR="00EE4FC3">
        <w:t xml:space="preserve"> </w:t>
      </w:r>
      <w:r w:rsidRPr="00382917">
        <w:t>God</w:t>
      </w:r>
      <w:r w:rsidR="00EE4FC3">
        <w:t xml:space="preserve"> </w:t>
      </w:r>
      <w:r w:rsidRPr="00382917">
        <w:t>to</w:t>
      </w:r>
      <w:r w:rsidR="00EE4FC3">
        <w:t xml:space="preserve"> </w:t>
      </w:r>
      <w:r w:rsidRPr="00382917">
        <w:t>aid</w:t>
      </w:r>
      <w:r w:rsidR="00EE4FC3">
        <w:t xml:space="preserve"> </w:t>
      </w:r>
      <w:r w:rsidRPr="00382917">
        <w:t>us!</w:t>
      </w:r>
      <w:r w:rsidR="009C713D" w:rsidRPr="00382917">
        <w:t>”</w:t>
      </w:r>
    </w:p>
    <w:p w:rsidR="0054338F" w:rsidRPr="00382917" w:rsidRDefault="0054338F" w:rsidP="009D4E6D">
      <w:pPr>
        <w:pStyle w:val="Text"/>
      </w:pPr>
      <w:r w:rsidRPr="00382917">
        <w:t>The</w:t>
      </w:r>
      <w:r w:rsidR="00EE4FC3">
        <w:t xml:space="preserve"> </w:t>
      </w:r>
      <w:r w:rsidRPr="00382917">
        <w:t>chief</w:t>
      </w:r>
      <w:r w:rsidR="00EE4FC3">
        <w:t xml:space="preserve"> </w:t>
      </w:r>
      <w:r w:rsidRPr="00382917">
        <w:t>constable</w:t>
      </w:r>
      <w:r w:rsidR="00EE4FC3">
        <w:t xml:space="preserve"> </w:t>
      </w:r>
      <w:r w:rsidRPr="00382917">
        <w:t>rushed</w:t>
      </w:r>
      <w:r w:rsidR="00EE4FC3">
        <w:t xml:space="preserve"> </w:t>
      </w:r>
      <w:r w:rsidRPr="00382917">
        <w:t>his</w:t>
      </w:r>
      <w:r w:rsidR="00EE4FC3">
        <w:t xml:space="preserve"> </w:t>
      </w:r>
      <w:r w:rsidRPr="00382917">
        <w:t>prisoners</w:t>
      </w:r>
      <w:r w:rsidR="00EE4FC3">
        <w:t xml:space="preserve"> </w:t>
      </w:r>
      <w:r w:rsidRPr="00382917">
        <w:t>through</w:t>
      </w:r>
      <w:r w:rsidR="00EE4FC3">
        <w:t xml:space="preserve"> </w:t>
      </w:r>
      <w:r w:rsidRPr="00382917">
        <w:t>the</w:t>
      </w:r>
      <w:r w:rsidR="00EE4FC3">
        <w:t xml:space="preserve"> </w:t>
      </w:r>
      <w:r w:rsidRPr="00382917">
        <w:t>streets</w:t>
      </w:r>
      <w:r w:rsidR="00EE4FC3">
        <w:t xml:space="preserve"> </w:t>
      </w:r>
      <w:r w:rsidRPr="00382917">
        <w:t>to</w:t>
      </w:r>
      <w:r w:rsidR="00EE4FC3">
        <w:t xml:space="preserve"> </w:t>
      </w:r>
      <w:r w:rsidRPr="00382917">
        <w:t>the</w:t>
      </w:r>
      <w:r w:rsidR="00EE4FC3">
        <w:t xml:space="preserve"> </w:t>
      </w:r>
      <w:r w:rsidRPr="00382917">
        <w:t>home</w:t>
      </w:r>
      <w:r w:rsidR="00EE4FC3">
        <w:t xml:space="preserve"> </w:t>
      </w:r>
      <w:r w:rsidRPr="00382917">
        <w:t>of</w:t>
      </w:r>
      <w:r w:rsidR="00EE4FC3">
        <w:t xml:space="preserve"> </w:t>
      </w:r>
      <w:r w:rsidRPr="00382917">
        <w:t>the</w:t>
      </w:r>
      <w:r w:rsidR="00EE4FC3">
        <w:t xml:space="preserve"> </w:t>
      </w:r>
      <w:r w:rsidRPr="00382917">
        <w:t>governor</w:t>
      </w:r>
      <w:r w:rsidR="00C03C91">
        <w:t>.</w:t>
      </w:r>
      <w:r w:rsidR="00EE4FC3">
        <w:t xml:space="preserve">  </w:t>
      </w:r>
      <w:r w:rsidRPr="00382917">
        <w:t>The</w:t>
      </w:r>
      <w:r w:rsidR="00EE4FC3">
        <w:t xml:space="preserve"> </w:t>
      </w:r>
      <w:r w:rsidRPr="00382917">
        <w:t>house</w:t>
      </w:r>
      <w:r w:rsidR="00EE4FC3">
        <w:t xml:space="preserve"> </w:t>
      </w:r>
      <w:r w:rsidRPr="00382917">
        <w:t>was</w:t>
      </w:r>
      <w:r w:rsidR="00EE4FC3">
        <w:t xml:space="preserve"> </w:t>
      </w:r>
      <w:r w:rsidRPr="00382917">
        <w:t>deserted</w:t>
      </w:r>
      <w:r w:rsidR="00C03C91">
        <w:t>.</w:t>
      </w:r>
      <w:r w:rsidR="00EE4FC3">
        <w:t xml:space="preserve">  </w:t>
      </w:r>
      <w:r w:rsidRPr="00382917">
        <w:t>The</w:t>
      </w:r>
      <w:r w:rsidR="00EE4FC3">
        <w:t xml:space="preserve"> </w:t>
      </w:r>
      <w:r w:rsidRPr="00382917">
        <w:t>governor</w:t>
      </w:r>
      <w:r w:rsidR="00EE4FC3">
        <w:t xml:space="preserve"> </w:t>
      </w:r>
      <w:r w:rsidRPr="00382917">
        <w:t>had</w:t>
      </w:r>
      <w:r w:rsidR="00EE4FC3">
        <w:t xml:space="preserve"> </w:t>
      </w:r>
      <w:r w:rsidRPr="00382917">
        <w:t>fled.</w:t>
      </w:r>
    </w:p>
    <w:p w:rsidR="0054338F" w:rsidRPr="00382917" w:rsidRDefault="009C713D" w:rsidP="009D4E6D">
      <w:pPr>
        <w:pStyle w:val="Text"/>
      </w:pPr>
      <w:r w:rsidRPr="00382917">
        <w:t>“</w:t>
      </w:r>
      <w:r w:rsidR="0054338F" w:rsidRPr="00382917">
        <w:t>Where</w:t>
      </w:r>
      <w:r w:rsidR="00EE4FC3">
        <w:t xml:space="preserve"> </w:t>
      </w:r>
      <w:r w:rsidR="0054338F" w:rsidRPr="00382917">
        <w:t>has</w:t>
      </w:r>
      <w:r w:rsidR="00EE4FC3">
        <w:t xml:space="preserve"> </w:t>
      </w:r>
      <w:r w:rsidR="0054338F" w:rsidRPr="00382917">
        <w:t>he</w:t>
      </w:r>
      <w:r w:rsidR="00EE4FC3">
        <w:t xml:space="preserve"> </w:t>
      </w:r>
      <w:r w:rsidR="0054338F" w:rsidRPr="00382917">
        <w:t>gone,</w:t>
      </w:r>
      <w:r w:rsidRPr="00382917">
        <w:t>”</w:t>
      </w:r>
      <w:r w:rsidR="00EE4FC3">
        <w:t xml:space="preserve"> </w:t>
      </w:r>
      <w:r w:rsidR="0054338F" w:rsidRPr="00382917">
        <w:t>the</w:t>
      </w:r>
      <w:r w:rsidR="00EE4FC3">
        <w:t xml:space="preserve"> </w:t>
      </w:r>
      <w:r w:rsidR="0054338F" w:rsidRPr="00382917">
        <w:t>chief</w:t>
      </w:r>
      <w:r w:rsidR="00EE4FC3">
        <w:t xml:space="preserve"> </w:t>
      </w:r>
      <w:r w:rsidR="0054338F" w:rsidRPr="00382917">
        <w:t>constable</w:t>
      </w:r>
      <w:r w:rsidR="00EE4FC3">
        <w:t xml:space="preserve"> </w:t>
      </w:r>
      <w:r w:rsidR="0054338F" w:rsidRPr="00382917">
        <w:t>asked.</w:t>
      </w:r>
    </w:p>
    <w:p w:rsidR="0054338F" w:rsidRPr="00382917" w:rsidRDefault="009C713D" w:rsidP="009D4E6D">
      <w:pPr>
        <w:pStyle w:val="Text"/>
      </w:pPr>
      <w:r w:rsidRPr="00382917">
        <w:t>“</w:t>
      </w:r>
      <w:r w:rsidR="0054338F" w:rsidRPr="00382917">
        <w:t>Out</w:t>
      </w:r>
      <w:r w:rsidR="00EE4FC3">
        <w:t xml:space="preserve"> </w:t>
      </w:r>
      <w:r w:rsidR="0054338F" w:rsidRPr="00382917">
        <w:t>of</w:t>
      </w:r>
      <w:r w:rsidR="00EE4FC3">
        <w:t xml:space="preserve"> </w:t>
      </w:r>
      <w:r w:rsidR="0054338F" w:rsidRPr="00382917">
        <w:t>the</w:t>
      </w:r>
      <w:r w:rsidR="00EE4FC3">
        <w:t xml:space="preserve"> </w:t>
      </w:r>
      <w:r w:rsidR="0054338F" w:rsidRPr="00382917">
        <w:t>city,</w:t>
      </w:r>
      <w:r w:rsidRPr="00382917">
        <w:t>”</w:t>
      </w:r>
      <w:r w:rsidR="00EE4FC3">
        <w:t xml:space="preserve"> </w:t>
      </w:r>
      <w:r w:rsidR="0054338F" w:rsidRPr="00382917">
        <w:t>he</w:t>
      </w:r>
      <w:r w:rsidR="00EE4FC3">
        <w:t xml:space="preserve"> </w:t>
      </w:r>
      <w:r w:rsidR="0054338F" w:rsidRPr="00382917">
        <w:t>was</w:t>
      </w:r>
      <w:r w:rsidR="00EE4FC3">
        <w:t xml:space="preserve"> </w:t>
      </w:r>
      <w:r w:rsidR="0054338F" w:rsidRPr="00382917">
        <w:t>told</w:t>
      </w:r>
      <w:r w:rsidR="00C03C91">
        <w:t>.</w:t>
      </w:r>
      <w:r w:rsidR="00EE4FC3">
        <w:t xml:space="preserve">  </w:t>
      </w:r>
      <w:r w:rsidRPr="00382917">
        <w:t>“</w:t>
      </w:r>
      <w:r w:rsidR="0054338F" w:rsidRPr="00382917">
        <w:t>Already</w:t>
      </w:r>
      <w:r w:rsidR="00EE4FC3">
        <w:t xml:space="preserve"> </w:t>
      </w:r>
      <w:r w:rsidR="0054338F" w:rsidRPr="00382917">
        <w:t>three</w:t>
      </w:r>
      <w:r w:rsidR="00EE4FC3">
        <w:t xml:space="preserve"> </w:t>
      </w:r>
      <w:r w:rsidR="0054338F" w:rsidRPr="00382917">
        <w:t>of</w:t>
      </w:r>
      <w:r w:rsidR="00EE4FC3">
        <w:t xml:space="preserve"> </w:t>
      </w:r>
      <w:r w:rsidR="0054338F" w:rsidRPr="00382917">
        <w:t>his</w:t>
      </w:r>
      <w:r w:rsidR="00EE4FC3">
        <w:t xml:space="preserve"> </w:t>
      </w:r>
      <w:r w:rsidR="0054338F" w:rsidRPr="00382917">
        <w:t>servants</w:t>
      </w:r>
      <w:r w:rsidR="00EE4FC3">
        <w:t xml:space="preserve"> </w:t>
      </w:r>
      <w:r w:rsidR="0054338F" w:rsidRPr="00382917">
        <w:t>have</w:t>
      </w:r>
      <w:r w:rsidR="00EE4FC3">
        <w:t xml:space="preserve"> </w:t>
      </w:r>
      <w:r w:rsidR="0054338F" w:rsidRPr="00382917">
        <w:t>died</w:t>
      </w:r>
      <w:r w:rsidR="00EE4FC3">
        <w:t xml:space="preserve"> </w:t>
      </w:r>
      <w:r w:rsidR="0054338F" w:rsidRPr="00382917">
        <w:t>of</w:t>
      </w:r>
      <w:r w:rsidR="00EE4FC3">
        <w:t xml:space="preserve"> </w:t>
      </w:r>
      <w:r w:rsidR="0054338F" w:rsidRPr="00382917">
        <w:t>the</w:t>
      </w:r>
      <w:r w:rsidR="00EE4FC3">
        <w:t xml:space="preserve"> </w:t>
      </w:r>
      <w:r w:rsidR="0054338F" w:rsidRPr="00382917">
        <w:t>plague</w:t>
      </w:r>
      <w:r w:rsidR="00C03C91">
        <w:t>.</w:t>
      </w:r>
      <w:r w:rsidR="00EE4FC3">
        <w:t xml:space="preserve">  </w:t>
      </w:r>
      <w:r w:rsidR="0054338F" w:rsidRPr="00382917">
        <w:t>Several</w:t>
      </w:r>
      <w:r w:rsidR="00EE4FC3">
        <w:t xml:space="preserve"> </w:t>
      </w:r>
      <w:r w:rsidR="0054338F" w:rsidRPr="00382917">
        <w:t>members</w:t>
      </w:r>
      <w:r w:rsidR="00EE4FC3">
        <w:t xml:space="preserve"> </w:t>
      </w:r>
      <w:r w:rsidR="0054338F" w:rsidRPr="00382917">
        <w:t>of</w:t>
      </w:r>
      <w:r w:rsidR="00EE4FC3">
        <w:t xml:space="preserve"> </w:t>
      </w:r>
      <w:r w:rsidR="0054338F" w:rsidRPr="00382917">
        <w:t>his</w:t>
      </w:r>
      <w:r w:rsidR="00EE4FC3">
        <w:t xml:space="preserve"> </w:t>
      </w:r>
      <w:r w:rsidR="0054338F" w:rsidRPr="00382917">
        <w:t>family</w:t>
      </w:r>
      <w:r w:rsidR="00EE4FC3">
        <w:t xml:space="preserve"> </w:t>
      </w:r>
      <w:r w:rsidR="0054338F" w:rsidRPr="00382917">
        <w:t>are</w:t>
      </w:r>
      <w:r w:rsidR="00EE4FC3">
        <w:t xml:space="preserve"> </w:t>
      </w:r>
      <w:r w:rsidR="0054338F" w:rsidRPr="00382917">
        <w:t>now</w:t>
      </w:r>
      <w:r w:rsidR="00EE4FC3">
        <w:t xml:space="preserve"> </w:t>
      </w:r>
      <w:r w:rsidR="0054338F" w:rsidRPr="00382917">
        <w:t>dangerously</w:t>
      </w:r>
      <w:r w:rsidR="00EE4FC3">
        <w:t xml:space="preserve"> </w:t>
      </w:r>
      <w:r w:rsidR="0054338F" w:rsidRPr="00382917">
        <w:t>ill</w:t>
      </w:r>
      <w:r w:rsidR="00C03C91">
        <w:t>.</w:t>
      </w:r>
      <w:r w:rsidR="00EE4FC3">
        <w:t xml:space="preserve">  </w:t>
      </w:r>
      <w:r w:rsidR="0054338F" w:rsidRPr="00382917">
        <w:t>He</w:t>
      </w:r>
      <w:r w:rsidR="00EE4FC3">
        <w:t xml:space="preserve"> </w:t>
      </w:r>
      <w:r w:rsidR="0054338F" w:rsidRPr="00382917">
        <w:t>has</w:t>
      </w:r>
      <w:r w:rsidR="00EE4FC3">
        <w:t xml:space="preserve"> </w:t>
      </w:r>
      <w:r w:rsidR="0054338F" w:rsidRPr="00382917">
        <w:t>forsaken</w:t>
      </w:r>
      <w:r w:rsidR="00EE4FC3">
        <w:t xml:space="preserve"> </w:t>
      </w:r>
      <w:r w:rsidR="0054338F" w:rsidRPr="00382917">
        <w:t>them</w:t>
      </w:r>
      <w:r w:rsidR="00EE4FC3">
        <w:t xml:space="preserve"> </w:t>
      </w:r>
      <w:r w:rsidR="0054338F" w:rsidRPr="00382917">
        <w:t>and</w:t>
      </w:r>
      <w:r w:rsidR="00EE4FC3">
        <w:t xml:space="preserve"> </w:t>
      </w:r>
      <w:r w:rsidR="0054338F" w:rsidRPr="00382917">
        <w:t>sought</w:t>
      </w:r>
      <w:r w:rsidR="00EE4FC3">
        <w:t xml:space="preserve"> </w:t>
      </w:r>
      <w:r w:rsidR="0054338F" w:rsidRPr="00382917">
        <w:t>refuge</w:t>
      </w:r>
      <w:r w:rsidR="00EE4FC3">
        <w:t xml:space="preserve"> </w:t>
      </w:r>
      <w:r w:rsidR="0054338F" w:rsidRPr="00382917">
        <w:t>in</w:t>
      </w:r>
      <w:r w:rsidR="00EE4FC3">
        <w:t xml:space="preserve"> </w:t>
      </w:r>
      <w:r w:rsidR="0054338F" w:rsidRPr="00382917">
        <w:t>a</w:t>
      </w:r>
      <w:r w:rsidR="00EE4FC3">
        <w:t xml:space="preserve"> </w:t>
      </w:r>
      <w:r w:rsidR="0054338F" w:rsidRPr="00382917">
        <w:t>garden</w:t>
      </w:r>
      <w:r w:rsidR="00EE4FC3">
        <w:t xml:space="preserve"> </w:t>
      </w:r>
      <w:r w:rsidR="0054338F" w:rsidRPr="00382917">
        <w:t>outside</w:t>
      </w:r>
      <w:r w:rsidR="00EE4FC3">
        <w:t xml:space="preserve"> </w:t>
      </w:r>
      <w:r w:rsidR="0054338F" w:rsidRPr="00382917">
        <w:t>the</w:t>
      </w:r>
      <w:r w:rsidR="00EE4FC3">
        <w:t xml:space="preserve"> </w:t>
      </w:r>
      <w:r w:rsidR="0054338F" w:rsidRPr="00382917">
        <w:t>city.</w:t>
      </w:r>
      <w:r w:rsidRPr="00382917">
        <w:t>”</w:t>
      </w:r>
    </w:p>
    <w:p w:rsidR="0054338F" w:rsidRPr="00382917" w:rsidRDefault="0054338F" w:rsidP="009D4E6D">
      <w:pPr>
        <w:pStyle w:val="Text"/>
      </w:pPr>
      <w:r w:rsidRPr="00382917">
        <w:t>The</w:t>
      </w:r>
      <w:r w:rsidR="00EE4FC3">
        <w:t xml:space="preserve"> </w:t>
      </w:r>
      <w:r w:rsidRPr="00382917">
        <w:t>chief</w:t>
      </w:r>
      <w:r w:rsidR="00EE4FC3">
        <w:t xml:space="preserve"> </w:t>
      </w:r>
      <w:r w:rsidRPr="00382917">
        <w:t>constable</w:t>
      </w:r>
      <w:r w:rsidR="00EE4FC3">
        <w:t xml:space="preserve"> </w:t>
      </w:r>
      <w:r w:rsidRPr="00382917">
        <w:t>decided</w:t>
      </w:r>
      <w:r w:rsidR="00EE4FC3">
        <w:t xml:space="preserve"> </w:t>
      </w:r>
      <w:r w:rsidRPr="00382917">
        <w:t>to</w:t>
      </w:r>
      <w:r w:rsidR="00EE4FC3">
        <w:t xml:space="preserve"> </w:t>
      </w:r>
      <w:r w:rsidRPr="00382917">
        <w:t>take</w:t>
      </w:r>
      <w:r w:rsidR="00EE4FC3">
        <w:t xml:space="preserve"> </w:t>
      </w:r>
      <w:r w:rsidRPr="00382917">
        <w:t>the</w:t>
      </w:r>
      <w:r w:rsidR="00EE4FC3">
        <w:t xml:space="preserve"> </w:t>
      </w:r>
      <w:r w:rsidRPr="00382917">
        <w:t>Báb</w:t>
      </w:r>
      <w:r w:rsidR="00EE4FC3">
        <w:t xml:space="preserve"> </w:t>
      </w:r>
      <w:r w:rsidRPr="00382917">
        <w:t>to</w:t>
      </w:r>
      <w:r w:rsidR="00EE4FC3">
        <w:t xml:space="preserve"> </w:t>
      </w:r>
      <w:r w:rsidRPr="00382917">
        <w:t>his</w:t>
      </w:r>
      <w:r w:rsidR="00EE4FC3">
        <w:t xml:space="preserve"> </w:t>
      </w:r>
      <w:r w:rsidRPr="00382917">
        <w:t>own</w:t>
      </w:r>
      <w:r w:rsidR="00EE4FC3">
        <w:t xml:space="preserve"> </w:t>
      </w:r>
      <w:r w:rsidRPr="00382917">
        <w:t>home</w:t>
      </w:r>
      <w:r w:rsidR="00C03C91">
        <w:t>.</w:t>
      </w:r>
      <w:r w:rsidR="00EE4FC3">
        <w:t xml:space="preserve">  </w:t>
      </w:r>
      <w:r w:rsidRPr="00382917">
        <w:t>He</w:t>
      </w:r>
      <w:r w:rsidR="00EE4FC3">
        <w:t xml:space="preserve"> </w:t>
      </w:r>
      <w:r w:rsidRPr="00382917">
        <w:t>would</w:t>
      </w:r>
      <w:r w:rsidR="00EE4FC3">
        <w:t xml:space="preserve"> </w:t>
      </w:r>
      <w:r w:rsidRPr="00382917">
        <w:t>keep</w:t>
      </w:r>
      <w:r w:rsidR="00EE4FC3">
        <w:t xml:space="preserve"> </w:t>
      </w:r>
      <w:r w:rsidRPr="00382917">
        <w:t>Him</w:t>
      </w:r>
      <w:r w:rsidR="00EE4FC3">
        <w:t xml:space="preserve"> </w:t>
      </w:r>
      <w:r w:rsidRPr="00382917">
        <w:t>and</w:t>
      </w:r>
      <w:r w:rsidR="00EE4FC3">
        <w:t xml:space="preserve"> </w:t>
      </w:r>
      <w:r w:rsidRPr="00382917">
        <w:t>His</w:t>
      </w:r>
      <w:r w:rsidR="00EE4FC3">
        <w:t xml:space="preserve"> </w:t>
      </w:r>
      <w:r w:rsidRPr="00382917">
        <w:t>friends</w:t>
      </w:r>
      <w:r w:rsidR="00EE4FC3">
        <w:t xml:space="preserve"> </w:t>
      </w:r>
      <w:r w:rsidRPr="00382917">
        <w:t>there</w:t>
      </w:r>
      <w:r w:rsidR="00EE4FC3">
        <w:t xml:space="preserve"> </w:t>
      </w:r>
      <w:r w:rsidRPr="00382917">
        <w:t>until</w:t>
      </w:r>
      <w:r w:rsidR="00EE4FC3">
        <w:t xml:space="preserve"> </w:t>
      </w:r>
      <w:r w:rsidRPr="00382917">
        <w:t>he</w:t>
      </w:r>
      <w:r w:rsidR="00EE4FC3">
        <w:t xml:space="preserve"> </w:t>
      </w:r>
      <w:r w:rsidRPr="00382917">
        <w:t>received</w:t>
      </w:r>
      <w:r w:rsidR="00EE4FC3">
        <w:t xml:space="preserve"> </w:t>
      </w:r>
      <w:r w:rsidRPr="00382917">
        <w:t>further</w:t>
      </w:r>
      <w:r w:rsidR="00EE4FC3">
        <w:t xml:space="preserve"> </w:t>
      </w:r>
      <w:r w:rsidRPr="00382917">
        <w:t>instructions</w:t>
      </w:r>
      <w:r w:rsidR="00EE4FC3">
        <w:t xml:space="preserve"> </w:t>
      </w:r>
      <w:r w:rsidRPr="00382917">
        <w:t>from</w:t>
      </w:r>
      <w:r w:rsidR="00EE4FC3">
        <w:t xml:space="preserve"> </w:t>
      </w:r>
      <w:r w:rsidRPr="00382917">
        <w:t>the</w:t>
      </w:r>
      <w:r w:rsidR="00EE4FC3">
        <w:t xml:space="preserve"> </w:t>
      </w:r>
      <w:r w:rsidRPr="00382917">
        <w:t>governor.</w:t>
      </w:r>
    </w:p>
    <w:p w:rsidR="0054338F" w:rsidRPr="00382917" w:rsidRDefault="0054338F" w:rsidP="009D4E6D">
      <w:pPr>
        <w:pStyle w:val="Text"/>
      </w:pPr>
      <w:r w:rsidRPr="00382917">
        <w:t>As</w:t>
      </w:r>
      <w:r w:rsidR="00EE4FC3">
        <w:t xml:space="preserve"> </w:t>
      </w:r>
      <w:r w:rsidRPr="00382917">
        <w:t>he</w:t>
      </w:r>
      <w:r w:rsidR="00EE4FC3">
        <w:t xml:space="preserve"> </w:t>
      </w:r>
      <w:r w:rsidRPr="00382917">
        <w:t>approached</w:t>
      </w:r>
      <w:r w:rsidR="00EE4FC3">
        <w:t xml:space="preserve"> </w:t>
      </w:r>
      <w:r w:rsidRPr="00382917">
        <w:t>his</w:t>
      </w:r>
      <w:r w:rsidR="00EE4FC3">
        <w:t xml:space="preserve"> </w:t>
      </w:r>
      <w:r w:rsidRPr="00382917">
        <w:t>home,</w:t>
      </w:r>
      <w:r w:rsidR="00EE4FC3">
        <w:t xml:space="preserve"> </w:t>
      </w:r>
      <w:r w:rsidRPr="00382917">
        <w:t>he</w:t>
      </w:r>
      <w:r w:rsidR="00EE4FC3">
        <w:t xml:space="preserve"> </w:t>
      </w:r>
      <w:r w:rsidRPr="00382917">
        <w:t>heard</w:t>
      </w:r>
      <w:r w:rsidR="00EE4FC3">
        <w:t xml:space="preserve"> </w:t>
      </w:r>
      <w:r w:rsidRPr="00382917">
        <w:t>the</w:t>
      </w:r>
      <w:r w:rsidR="00EE4FC3">
        <w:t xml:space="preserve"> </w:t>
      </w:r>
      <w:r w:rsidRPr="00382917">
        <w:t>sound</w:t>
      </w:r>
      <w:r w:rsidR="00EE4FC3">
        <w:t xml:space="preserve"> </w:t>
      </w:r>
      <w:r w:rsidRPr="00382917">
        <w:t>of</w:t>
      </w:r>
      <w:r w:rsidR="00EE4FC3">
        <w:t xml:space="preserve"> </w:t>
      </w:r>
      <w:r w:rsidRPr="00382917">
        <w:t>weeping</w:t>
      </w:r>
      <w:r w:rsidR="00C03C91">
        <w:t>.</w:t>
      </w:r>
      <w:r w:rsidR="00EE4FC3">
        <w:t xml:space="preserve">  </w:t>
      </w:r>
      <w:r w:rsidRPr="00382917">
        <w:t>He</w:t>
      </w:r>
      <w:r w:rsidR="00EE4FC3">
        <w:t xml:space="preserve"> </w:t>
      </w:r>
      <w:r w:rsidRPr="00382917">
        <w:t>became</w:t>
      </w:r>
      <w:r w:rsidR="00EE4FC3">
        <w:t xml:space="preserve"> </w:t>
      </w:r>
      <w:r w:rsidRPr="00382917">
        <w:t>terrified</w:t>
      </w:r>
      <w:r w:rsidR="00C03C91">
        <w:t>.</w:t>
      </w:r>
      <w:r w:rsidR="00EE4FC3">
        <w:t xml:space="preserve">  </w:t>
      </w:r>
      <w:r w:rsidRPr="00382917">
        <w:t>As</w:t>
      </w:r>
      <w:r w:rsidR="00EE4FC3">
        <w:t xml:space="preserve"> </w:t>
      </w:r>
      <w:r w:rsidRPr="00382917">
        <w:t>he</w:t>
      </w:r>
      <w:r w:rsidR="00EE4FC3">
        <w:t xml:space="preserve"> </w:t>
      </w:r>
      <w:r w:rsidRPr="00382917">
        <w:t>rushed</w:t>
      </w:r>
      <w:r w:rsidR="00EE4FC3">
        <w:t xml:space="preserve"> </w:t>
      </w:r>
      <w:r w:rsidRPr="00382917">
        <w:t>forward,</w:t>
      </w:r>
      <w:r w:rsidR="00EE4FC3">
        <w:t xml:space="preserve"> </w:t>
      </w:r>
      <w:r w:rsidRPr="00382917">
        <w:t>he</w:t>
      </w:r>
      <w:r w:rsidR="00EE4FC3">
        <w:t xml:space="preserve"> </w:t>
      </w:r>
      <w:r w:rsidRPr="00382917">
        <w:t>remembered</w:t>
      </w:r>
      <w:r w:rsidR="00EE4FC3">
        <w:t xml:space="preserve"> </w:t>
      </w:r>
      <w:r w:rsidRPr="00382917">
        <w:t>those</w:t>
      </w:r>
      <w:r w:rsidR="00EE4FC3">
        <w:t xml:space="preserve"> </w:t>
      </w:r>
      <w:r w:rsidRPr="00382917">
        <w:t>words</w:t>
      </w:r>
      <w:r w:rsidR="00EE4FC3">
        <w:t xml:space="preserve"> </w:t>
      </w:r>
      <w:r w:rsidRPr="00382917">
        <w:t>of</w:t>
      </w:r>
      <w:r w:rsidR="00EE4FC3">
        <w:t xml:space="preserve"> </w:t>
      </w:r>
      <w:r w:rsidRPr="00382917">
        <w:t>the</w:t>
      </w:r>
      <w:r w:rsidR="00EE4FC3">
        <w:t xml:space="preserve"> </w:t>
      </w:r>
      <w:r w:rsidRPr="00382917">
        <w:t>Báb</w:t>
      </w:r>
      <w:r w:rsidR="009C713D" w:rsidRPr="00382917">
        <w:t>’</w:t>
      </w:r>
      <w:r w:rsidRPr="00382917">
        <w:t>s</w:t>
      </w:r>
      <w:r w:rsidR="00EE4FC3">
        <w:t xml:space="preserve"> </w:t>
      </w:r>
      <w:r w:rsidRPr="00382917">
        <w:t>spoken</w:t>
      </w:r>
      <w:r w:rsidR="00EE4FC3">
        <w:t xml:space="preserve"> </w:t>
      </w:r>
      <w:r w:rsidRPr="00382917">
        <w:t>such</w:t>
      </w:r>
      <w:r w:rsidR="00EE4FC3">
        <w:t xml:space="preserve"> </w:t>
      </w:r>
      <w:r w:rsidRPr="00382917">
        <w:t>a</w:t>
      </w:r>
      <w:r w:rsidR="00EE4FC3">
        <w:t xml:space="preserve"> </w:t>
      </w:r>
      <w:r w:rsidRPr="00382917">
        <w:t>short</w:t>
      </w:r>
      <w:r w:rsidR="00EE4FC3">
        <w:t xml:space="preserve"> </w:t>
      </w:r>
      <w:r w:rsidRPr="00382917">
        <w:t>time</w:t>
      </w:r>
      <w:r w:rsidR="00EE4FC3">
        <w:t xml:space="preserve"> </w:t>
      </w:r>
      <w:r w:rsidRPr="00382917">
        <w:t>before</w:t>
      </w:r>
      <w:r w:rsidR="00C03C91">
        <w:t>:</w:t>
      </w:r>
      <w:r w:rsidR="00EE4FC3">
        <w:t xml:space="preserve">  </w:t>
      </w:r>
      <w:r w:rsidR="009C713D" w:rsidRPr="00382917">
        <w:t>“</w:t>
      </w:r>
      <w:r w:rsidRPr="00382917">
        <w:t>That</w:t>
      </w:r>
      <w:r w:rsidR="00EE4FC3">
        <w:t xml:space="preserve"> </w:t>
      </w:r>
      <w:r w:rsidRPr="00382917">
        <w:t>with</w:t>
      </w:r>
      <w:r w:rsidR="00EE4FC3">
        <w:t xml:space="preserve"> </w:t>
      </w:r>
      <w:r w:rsidRPr="00382917">
        <w:t>which</w:t>
      </w:r>
      <w:r w:rsidR="00EE4FC3">
        <w:t xml:space="preserve"> </w:t>
      </w:r>
      <w:r w:rsidRPr="00382917">
        <w:t>they</w:t>
      </w:r>
      <w:r w:rsidR="00EE4FC3">
        <w:t xml:space="preserve"> </w:t>
      </w:r>
      <w:r w:rsidRPr="00382917">
        <w:t>are</w:t>
      </w:r>
      <w:r w:rsidR="00EE4FC3">
        <w:t xml:space="preserve"> </w:t>
      </w:r>
      <w:r w:rsidRPr="00382917">
        <w:t>threatened</w:t>
      </w:r>
      <w:r w:rsidR="00EE4FC3">
        <w:t xml:space="preserve"> </w:t>
      </w:r>
      <w:r w:rsidRPr="00382917">
        <w:t>is</w:t>
      </w:r>
      <w:r w:rsidR="00EE4FC3">
        <w:t xml:space="preserve"> </w:t>
      </w:r>
      <w:r w:rsidRPr="00382917">
        <w:t>for</w:t>
      </w:r>
      <w:r w:rsidR="00EE4FC3">
        <w:t xml:space="preserve"> </w:t>
      </w:r>
      <w:r w:rsidRPr="00382917">
        <w:t>the</w:t>
      </w:r>
      <w:r w:rsidR="00EE4FC3">
        <w:t xml:space="preserve"> </w:t>
      </w:r>
      <w:r w:rsidRPr="00382917">
        <w:t>morning,</w:t>
      </w:r>
      <w:r w:rsidR="00EE4FC3">
        <w:t xml:space="preserve"> </w:t>
      </w:r>
      <w:r w:rsidRPr="00382917">
        <w:t>is</w:t>
      </w:r>
      <w:r w:rsidR="00EE4FC3">
        <w:t xml:space="preserve"> </w:t>
      </w:r>
      <w:r w:rsidRPr="00382917">
        <w:t>not</w:t>
      </w:r>
      <w:r w:rsidR="00EE4FC3">
        <w:t xml:space="preserve"> </w:t>
      </w:r>
      <w:r w:rsidRPr="00382917">
        <w:t>the</w:t>
      </w:r>
      <w:r w:rsidR="00EE4FC3">
        <w:t xml:space="preserve"> </w:t>
      </w:r>
      <w:r w:rsidRPr="00382917">
        <w:t>morning</w:t>
      </w:r>
      <w:r w:rsidR="00EE4FC3">
        <w:t xml:space="preserve"> </w:t>
      </w:r>
      <w:r w:rsidRPr="00382917">
        <w:t>near?</w:t>
      </w:r>
      <w:r w:rsidR="009C713D" w:rsidRPr="00382917">
        <w:t>”</w:t>
      </w:r>
      <w:r w:rsidR="00EE4FC3">
        <w:t xml:space="preserve">  </w:t>
      </w:r>
      <w:r w:rsidRPr="00382917">
        <w:t>The</w:t>
      </w:r>
      <w:r w:rsidR="00EE4FC3">
        <w:t xml:space="preserve"> </w:t>
      </w:r>
      <w:r w:rsidRPr="00382917">
        <w:t>constable</w:t>
      </w:r>
      <w:r w:rsidR="00EE4FC3">
        <w:t xml:space="preserve"> </w:t>
      </w:r>
      <w:r w:rsidRPr="00382917">
        <w:t>was</w:t>
      </w:r>
      <w:r w:rsidR="00EE4FC3">
        <w:t xml:space="preserve"> </w:t>
      </w:r>
      <w:r w:rsidRPr="00382917">
        <w:t>told</w:t>
      </w:r>
      <w:r w:rsidR="00EE4FC3">
        <w:t xml:space="preserve"> </w:t>
      </w:r>
      <w:r w:rsidRPr="00382917">
        <w:t>that</w:t>
      </w:r>
      <w:r w:rsidR="00EE4FC3">
        <w:t xml:space="preserve"> </w:t>
      </w:r>
      <w:r w:rsidRPr="00382917">
        <w:t>his</w:t>
      </w:r>
      <w:r w:rsidR="00EE4FC3">
        <w:t xml:space="preserve"> </w:t>
      </w:r>
      <w:r w:rsidRPr="00382917">
        <w:t>own</w:t>
      </w:r>
      <w:r w:rsidR="00EE4FC3">
        <w:t xml:space="preserve"> </w:t>
      </w:r>
      <w:r w:rsidRPr="00382917">
        <w:t>son</w:t>
      </w:r>
      <w:r w:rsidR="00EE4FC3">
        <w:t xml:space="preserve"> </w:t>
      </w:r>
      <w:r w:rsidRPr="00382917">
        <w:t>had</w:t>
      </w:r>
      <w:r w:rsidR="00EE4FC3">
        <w:t xml:space="preserve"> </w:t>
      </w:r>
      <w:r w:rsidRPr="00382917">
        <w:t>been</w:t>
      </w:r>
      <w:r w:rsidR="00EE4FC3">
        <w:t xml:space="preserve"> </w:t>
      </w:r>
      <w:r w:rsidRPr="00382917">
        <w:t>stricken</w:t>
      </w:r>
      <w:r w:rsidR="00EE4FC3">
        <w:t xml:space="preserve"> </w:t>
      </w:r>
      <w:r w:rsidRPr="00382917">
        <w:t>with</w:t>
      </w:r>
      <w:r w:rsidR="00EE4FC3">
        <w:t xml:space="preserve"> </w:t>
      </w:r>
      <w:r w:rsidRPr="00382917">
        <w:t>the</w:t>
      </w:r>
      <w:r w:rsidR="00EE4FC3">
        <w:t xml:space="preserve"> </w:t>
      </w:r>
      <w:r w:rsidRPr="00382917">
        <w:t>cholera</w:t>
      </w:r>
      <w:r w:rsidR="00EE4FC3">
        <w:t xml:space="preserve"> </w:t>
      </w:r>
      <w:r w:rsidRPr="00382917">
        <w:t>and</w:t>
      </w:r>
      <w:r w:rsidR="00EE4FC3">
        <w:t xml:space="preserve"> </w:t>
      </w:r>
      <w:r w:rsidRPr="00382917">
        <w:t>was</w:t>
      </w:r>
      <w:r w:rsidR="00EE4FC3">
        <w:t xml:space="preserve"> </w:t>
      </w:r>
      <w:r w:rsidRPr="00382917">
        <w:t>almost</w:t>
      </w:r>
      <w:r w:rsidR="00EE4FC3">
        <w:t xml:space="preserve"> </w:t>
      </w:r>
      <w:r w:rsidRPr="00382917">
        <w:t>dead</w:t>
      </w:r>
      <w:r w:rsidR="00C03C91">
        <w:t>.</w:t>
      </w:r>
      <w:r w:rsidR="00EE4FC3">
        <w:t xml:space="preserve">  </w:t>
      </w:r>
      <w:r w:rsidRPr="00382917">
        <w:t>He</w:t>
      </w:r>
      <w:r w:rsidR="00EE4FC3">
        <w:t xml:space="preserve"> </w:t>
      </w:r>
      <w:r w:rsidRPr="00382917">
        <w:t>was</w:t>
      </w:r>
      <w:r w:rsidR="00EE4FC3">
        <w:t xml:space="preserve"> </w:t>
      </w:r>
      <w:r w:rsidRPr="00382917">
        <w:t>crushed</w:t>
      </w:r>
      <w:r w:rsidR="00EE4FC3">
        <w:t xml:space="preserve"> </w:t>
      </w:r>
      <w:r w:rsidRPr="00382917">
        <w:t>by</w:t>
      </w:r>
      <w:r w:rsidR="00EE4FC3">
        <w:t xml:space="preserve"> </w:t>
      </w:r>
      <w:r w:rsidRPr="00382917">
        <w:t>the</w:t>
      </w:r>
      <w:r w:rsidR="00EE4FC3">
        <w:t xml:space="preserve"> </w:t>
      </w:r>
      <w:r w:rsidRPr="00382917">
        <w:t>news.</w:t>
      </w:r>
    </w:p>
    <w:p w:rsidR="0054338F" w:rsidRPr="00382917" w:rsidRDefault="0054338F" w:rsidP="009D4E6D">
      <w:pPr>
        <w:pStyle w:val="Text"/>
      </w:pPr>
      <w:r w:rsidRPr="00382917">
        <w:t>Perhaps,</w:t>
      </w:r>
      <w:r w:rsidR="00EE4FC3">
        <w:t xml:space="preserve"> </w:t>
      </w:r>
      <w:r w:rsidRPr="00382917">
        <w:t>he</w:t>
      </w:r>
      <w:r w:rsidR="00EE4FC3">
        <w:t xml:space="preserve"> </w:t>
      </w:r>
      <w:r w:rsidRPr="00382917">
        <w:t>told</w:t>
      </w:r>
      <w:r w:rsidR="00EE4FC3">
        <w:t xml:space="preserve"> </w:t>
      </w:r>
      <w:r w:rsidRPr="00382917">
        <w:t>himself,</w:t>
      </w:r>
      <w:r w:rsidR="00EE4FC3">
        <w:t xml:space="preserve"> </w:t>
      </w:r>
      <w:r w:rsidRPr="00382917">
        <w:t>the</w:t>
      </w:r>
      <w:r w:rsidR="00EE4FC3">
        <w:t xml:space="preserve"> </w:t>
      </w:r>
      <w:r w:rsidRPr="00382917">
        <w:t>manner</w:t>
      </w:r>
      <w:r w:rsidR="00EE4FC3">
        <w:t xml:space="preserve"> </w:t>
      </w:r>
      <w:r w:rsidRPr="00382917">
        <w:t>in</w:t>
      </w:r>
      <w:r w:rsidR="00EE4FC3">
        <w:t xml:space="preserve"> </w:t>
      </w:r>
      <w:r w:rsidRPr="00382917">
        <w:t>which</w:t>
      </w:r>
      <w:r w:rsidR="00EE4FC3">
        <w:t xml:space="preserve"> </w:t>
      </w:r>
      <w:r w:rsidRPr="00382917">
        <w:t>he</w:t>
      </w:r>
      <w:r w:rsidR="00EE4FC3">
        <w:t xml:space="preserve"> </w:t>
      </w:r>
      <w:r w:rsidRPr="00382917">
        <w:t>and</w:t>
      </w:r>
      <w:r w:rsidR="00EE4FC3">
        <w:t xml:space="preserve"> </w:t>
      </w:r>
      <w:r w:rsidRPr="00382917">
        <w:t>the</w:t>
      </w:r>
      <w:r w:rsidR="00EE4FC3">
        <w:t xml:space="preserve"> </w:t>
      </w:r>
      <w:r w:rsidRPr="00382917">
        <w:t>governor</w:t>
      </w:r>
      <w:r w:rsidR="00EE4FC3">
        <w:t xml:space="preserve"> </w:t>
      </w:r>
      <w:r w:rsidRPr="00382917">
        <w:t>had</w:t>
      </w:r>
      <w:r w:rsidR="00EE4FC3">
        <w:t xml:space="preserve"> </w:t>
      </w:r>
      <w:r w:rsidRPr="00382917">
        <w:t>treated</w:t>
      </w:r>
      <w:r w:rsidR="00EE4FC3">
        <w:t xml:space="preserve"> </w:t>
      </w:r>
      <w:r w:rsidRPr="00382917">
        <w:t>their</w:t>
      </w:r>
      <w:r w:rsidR="00EE4FC3">
        <w:t xml:space="preserve"> </w:t>
      </w:r>
      <w:r w:rsidRPr="00382917">
        <w:t>prisoner</w:t>
      </w:r>
      <w:r w:rsidR="00EE4FC3">
        <w:t xml:space="preserve"> </w:t>
      </w:r>
      <w:r w:rsidRPr="00382917">
        <w:t>was</w:t>
      </w:r>
      <w:r w:rsidR="00EE4FC3">
        <w:t xml:space="preserve"> </w:t>
      </w:r>
      <w:r w:rsidRPr="00382917">
        <w:t>responsible</w:t>
      </w:r>
      <w:r w:rsidR="00EE4FC3">
        <w:t xml:space="preserve"> </w:t>
      </w:r>
      <w:r w:rsidRPr="00382917">
        <w:t>for</w:t>
      </w:r>
      <w:r w:rsidR="00EE4FC3">
        <w:t xml:space="preserve"> </w:t>
      </w:r>
      <w:r w:rsidRPr="00382917">
        <w:t>this</w:t>
      </w:r>
      <w:r w:rsidR="00EE4FC3">
        <w:t xml:space="preserve"> </w:t>
      </w:r>
      <w:r w:rsidRPr="00382917">
        <w:t>suffering</w:t>
      </w:r>
      <w:r w:rsidR="00C03C91">
        <w:t>.</w:t>
      </w:r>
      <w:r w:rsidR="00EE4FC3">
        <w:t xml:space="preserve">  </w:t>
      </w:r>
      <w:r w:rsidRPr="00382917">
        <w:t>He</w:t>
      </w:r>
      <w:r w:rsidR="00EE4FC3">
        <w:t xml:space="preserve"> </w:t>
      </w:r>
      <w:r w:rsidRPr="00382917">
        <w:t>turned</w:t>
      </w:r>
      <w:r w:rsidR="00EE4FC3">
        <w:t xml:space="preserve"> </w:t>
      </w:r>
      <w:r w:rsidRPr="00382917">
        <w:t>and</w:t>
      </w:r>
      <w:r w:rsidR="00EE4FC3">
        <w:t xml:space="preserve"> </w:t>
      </w:r>
      <w:r w:rsidRPr="00382917">
        <w:t>approached</w:t>
      </w:r>
      <w:r w:rsidR="00EE4FC3">
        <w:t xml:space="preserve"> </w:t>
      </w:r>
      <w:r w:rsidRPr="00382917">
        <w:t>the</w:t>
      </w:r>
      <w:r w:rsidR="00EE4FC3">
        <w:t xml:space="preserve"> </w:t>
      </w:r>
      <w:r w:rsidRPr="00382917">
        <w:t>Báb</w:t>
      </w:r>
      <w:r w:rsidR="00C03C91">
        <w:t>.</w:t>
      </w:r>
      <w:r w:rsidR="00EE4FC3">
        <w:t xml:space="preserve">  </w:t>
      </w:r>
      <w:r w:rsidRPr="00382917">
        <w:t>He</w:t>
      </w:r>
      <w:r w:rsidR="00EE4FC3">
        <w:t xml:space="preserve"> </w:t>
      </w:r>
      <w:r w:rsidRPr="00382917">
        <w:t>threw</w:t>
      </w:r>
      <w:r w:rsidR="00EE4FC3">
        <w:t xml:space="preserve"> </w:t>
      </w:r>
      <w:r w:rsidRPr="00382917">
        <w:t>himself</w:t>
      </w:r>
      <w:r w:rsidR="00EE4FC3">
        <w:t xml:space="preserve"> </w:t>
      </w:r>
      <w:r w:rsidRPr="00382917">
        <w:t>at</w:t>
      </w:r>
      <w:r w:rsidR="00EE4FC3">
        <w:t xml:space="preserve"> </w:t>
      </w:r>
      <w:r w:rsidRPr="00382917">
        <w:t>His</w:t>
      </w:r>
      <w:r w:rsidR="00EE4FC3">
        <w:t xml:space="preserve"> </w:t>
      </w:r>
      <w:r w:rsidRPr="00382917">
        <w:t>feet</w:t>
      </w:r>
      <w:r w:rsidR="00EE4FC3">
        <w:t xml:space="preserve"> </w:t>
      </w:r>
      <w:r w:rsidRPr="00382917">
        <w:t>and</w:t>
      </w:r>
      <w:r w:rsidR="00EE4FC3">
        <w:t xml:space="preserve"> </w:t>
      </w:r>
      <w:r w:rsidRPr="00382917">
        <w:t>implored</w:t>
      </w:r>
      <w:r w:rsidR="00EE4FC3">
        <w:t xml:space="preserve"> </w:t>
      </w:r>
      <w:r w:rsidRPr="00382917">
        <w:t>Him</w:t>
      </w:r>
      <w:r w:rsidR="00EE4FC3">
        <w:t xml:space="preserve"> </w:t>
      </w:r>
      <w:r w:rsidRPr="00382917">
        <w:t>to</w:t>
      </w:r>
      <w:r w:rsidR="00EE4FC3">
        <w:t xml:space="preserve"> </w:t>
      </w:r>
      <w:r w:rsidRPr="00382917">
        <w:t>save</w:t>
      </w:r>
      <w:r w:rsidR="00EE4FC3">
        <w:t xml:space="preserve"> </w:t>
      </w:r>
      <w:r w:rsidRPr="00382917">
        <w:t>the</w:t>
      </w:r>
      <w:r w:rsidR="00EE4FC3">
        <w:t xml:space="preserve"> </w:t>
      </w:r>
      <w:r w:rsidRPr="00382917">
        <w:t>life</w:t>
      </w:r>
      <w:r w:rsidR="00EE4FC3">
        <w:t xml:space="preserve"> </w:t>
      </w:r>
      <w:r w:rsidRPr="00382917">
        <w:t>of</w:t>
      </w:r>
      <w:r w:rsidR="00EE4FC3">
        <w:t xml:space="preserve"> </w:t>
      </w:r>
      <w:r w:rsidRPr="00382917">
        <w:t>his</w:t>
      </w:r>
      <w:r w:rsidR="00EE4FC3">
        <w:t xml:space="preserve"> </w:t>
      </w:r>
      <w:r w:rsidRPr="00382917">
        <w:t>son.</w:t>
      </w:r>
    </w:p>
    <w:p w:rsidR="0054338F" w:rsidRPr="00382917" w:rsidRDefault="009C713D" w:rsidP="009D4E6D">
      <w:pPr>
        <w:pStyle w:val="Text"/>
      </w:pPr>
      <w:r w:rsidRPr="00382917">
        <w:t>“</w:t>
      </w:r>
      <w:r w:rsidR="0054338F" w:rsidRPr="00382917">
        <w:t>Do</w:t>
      </w:r>
      <w:r w:rsidR="00EE4FC3">
        <w:t xml:space="preserve"> </w:t>
      </w:r>
      <w:r w:rsidR="0054338F" w:rsidRPr="00382917">
        <w:t>not</w:t>
      </w:r>
      <w:r w:rsidR="00EE4FC3">
        <w:t xml:space="preserve"> </w:t>
      </w:r>
      <w:r w:rsidR="0054338F" w:rsidRPr="00382917">
        <w:t>punish</w:t>
      </w:r>
      <w:r w:rsidR="00EE4FC3">
        <w:t xml:space="preserve"> </w:t>
      </w:r>
      <w:r w:rsidR="0054338F" w:rsidRPr="00382917">
        <w:t>him</w:t>
      </w:r>
      <w:r w:rsidR="00EE4FC3">
        <w:t xml:space="preserve"> </w:t>
      </w:r>
      <w:r w:rsidR="0054338F" w:rsidRPr="00382917">
        <w:t>for</w:t>
      </w:r>
      <w:r w:rsidR="00EE4FC3">
        <w:t xml:space="preserve"> </w:t>
      </w:r>
      <w:r w:rsidR="0054338F" w:rsidRPr="00382917">
        <w:t>the</w:t>
      </w:r>
      <w:r w:rsidR="00EE4FC3">
        <w:t xml:space="preserve"> </w:t>
      </w:r>
      <w:r w:rsidR="0054338F" w:rsidRPr="00382917">
        <w:t>guilt</w:t>
      </w:r>
      <w:r w:rsidR="00EE4FC3">
        <w:t xml:space="preserve"> </w:t>
      </w:r>
      <w:r w:rsidR="0054338F" w:rsidRPr="00382917">
        <w:t>which</w:t>
      </w:r>
      <w:r w:rsidR="00EE4FC3">
        <w:t xml:space="preserve"> </w:t>
      </w:r>
      <w:r w:rsidR="0054338F" w:rsidRPr="00382917">
        <w:t>his</w:t>
      </w:r>
      <w:r w:rsidR="00EE4FC3">
        <w:t xml:space="preserve"> </w:t>
      </w:r>
      <w:r w:rsidR="0054338F" w:rsidRPr="00382917">
        <w:t>father</w:t>
      </w:r>
      <w:r w:rsidR="00EE4FC3">
        <w:t xml:space="preserve"> </w:t>
      </w:r>
      <w:r w:rsidR="0054338F" w:rsidRPr="00382917">
        <w:t>has</w:t>
      </w:r>
      <w:r w:rsidR="00EE4FC3">
        <w:t xml:space="preserve"> </w:t>
      </w:r>
      <w:r w:rsidR="0054338F" w:rsidRPr="00382917">
        <w:t>committed,</w:t>
      </w:r>
      <w:r w:rsidRPr="00382917">
        <w:t>”</w:t>
      </w:r>
      <w:r w:rsidR="00EE4FC3">
        <w:t xml:space="preserve"> </w:t>
      </w:r>
      <w:r w:rsidR="0054338F" w:rsidRPr="00382917">
        <w:t>he</w:t>
      </w:r>
      <w:r w:rsidR="00EE4FC3">
        <w:t xml:space="preserve"> </w:t>
      </w:r>
      <w:r w:rsidR="0054338F" w:rsidRPr="00382917">
        <w:t>pleaded</w:t>
      </w:r>
      <w:r w:rsidR="00C03C91">
        <w:t>.</w:t>
      </w:r>
      <w:r w:rsidR="00EE4FC3">
        <w:t xml:space="preserve">  </w:t>
      </w:r>
      <w:r w:rsidRPr="00382917">
        <w:t>“</w:t>
      </w:r>
      <w:r w:rsidR="0054338F" w:rsidRPr="00382917">
        <w:t>I</w:t>
      </w:r>
      <w:r w:rsidR="00EE4FC3">
        <w:t xml:space="preserve"> </w:t>
      </w:r>
      <w:r w:rsidR="0054338F" w:rsidRPr="00382917">
        <w:t>repent</w:t>
      </w:r>
      <w:r w:rsidR="00EE4FC3">
        <w:t xml:space="preserve"> </w:t>
      </w:r>
      <w:r w:rsidR="0054338F" w:rsidRPr="00382917">
        <w:t>of</w:t>
      </w:r>
      <w:r w:rsidR="00EE4FC3">
        <w:t xml:space="preserve"> </w:t>
      </w:r>
      <w:r w:rsidR="0054338F" w:rsidRPr="00382917">
        <w:t>what</w:t>
      </w:r>
      <w:r w:rsidR="00EE4FC3">
        <w:t xml:space="preserve"> </w:t>
      </w:r>
      <w:r w:rsidR="0054338F" w:rsidRPr="00382917">
        <w:t>I</w:t>
      </w:r>
      <w:r w:rsidR="00EE4FC3">
        <w:t xml:space="preserve"> </w:t>
      </w:r>
      <w:r w:rsidR="0054338F" w:rsidRPr="00382917">
        <w:t>have</w:t>
      </w:r>
      <w:r w:rsidR="00EE4FC3">
        <w:t xml:space="preserve"> </w:t>
      </w:r>
      <w:r w:rsidR="0054338F" w:rsidRPr="00382917">
        <w:t>done</w:t>
      </w:r>
      <w:r w:rsidR="00C03C91">
        <w:t>.</w:t>
      </w:r>
      <w:r w:rsidR="00EE4FC3">
        <w:t xml:space="preserve">  </w:t>
      </w:r>
      <w:r w:rsidR="0054338F" w:rsidRPr="00382917">
        <w:t>I</w:t>
      </w:r>
      <w:r w:rsidR="00EE4FC3">
        <w:t xml:space="preserve"> </w:t>
      </w:r>
      <w:r w:rsidR="0054338F" w:rsidRPr="00382917">
        <w:t>swear</w:t>
      </w:r>
      <w:r w:rsidR="00EE4FC3">
        <w:t xml:space="preserve"> </w:t>
      </w:r>
      <w:r w:rsidR="0054338F" w:rsidRPr="00382917">
        <w:t>that</w:t>
      </w:r>
      <w:r w:rsidR="00EE4FC3">
        <w:t xml:space="preserve"> </w:t>
      </w:r>
      <w:r w:rsidR="0054338F" w:rsidRPr="00382917">
        <w:t>at</w:t>
      </w:r>
      <w:r w:rsidR="00EE4FC3">
        <w:t xml:space="preserve"> </w:t>
      </w:r>
      <w:r w:rsidR="0054338F" w:rsidRPr="00382917">
        <w:t>this</w:t>
      </w:r>
      <w:r w:rsidR="00EE4FC3">
        <w:t xml:space="preserve"> </w:t>
      </w:r>
      <w:r w:rsidR="0054338F" w:rsidRPr="00382917">
        <w:t>very</w:t>
      </w:r>
      <w:r w:rsidR="00EE4FC3">
        <w:t xml:space="preserve"> </w:t>
      </w:r>
      <w:r w:rsidR="0054338F" w:rsidRPr="00382917">
        <w:t>moment</w:t>
      </w:r>
      <w:r w:rsidR="00EE4FC3">
        <w:t xml:space="preserve"> </w:t>
      </w:r>
      <w:r w:rsidR="0054338F" w:rsidRPr="00382917">
        <w:t>I</w:t>
      </w:r>
      <w:r w:rsidR="00EE4FC3">
        <w:t xml:space="preserve"> </w:t>
      </w:r>
      <w:r w:rsidR="0054338F" w:rsidRPr="00382917">
        <w:t>have</w:t>
      </w:r>
      <w:r w:rsidR="00EE4FC3">
        <w:t xml:space="preserve"> </w:t>
      </w:r>
      <w:r w:rsidR="0054338F" w:rsidRPr="00382917">
        <w:t>resigned</w:t>
      </w:r>
      <w:r w:rsidR="00EE4FC3">
        <w:t xml:space="preserve"> </w:t>
      </w:r>
      <w:r w:rsidR="0054338F" w:rsidRPr="00382917">
        <w:t>my</w:t>
      </w:r>
      <w:r w:rsidR="00EE4FC3">
        <w:t xml:space="preserve"> </w:t>
      </w:r>
      <w:r w:rsidR="0054338F" w:rsidRPr="00382917">
        <w:t>post</w:t>
      </w:r>
      <w:r w:rsidR="00EE4FC3">
        <w:t xml:space="preserve"> </w:t>
      </w:r>
      <w:r w:rsidR="0054338F" w:rsidRPr="00382917">
        <w:t>under</w:t>
      </w:r>
      <w:r w:rsidR="00EE4FC3">
        <w:t xml:space="preserve"> </w:t>
      </w:r>
      <w:r w:rsidR="00964C11" w:rsidRPr="00382917">
        <w:t>Ḥusayn</w:t>
      </w:r>
      <w:r w:rsidR="00EE4FC3">
        <w:t xml:space="preserve"> </w:t>
      </w:r>
      <w:r w:rsidR="0040329F" w:rsidRPr="0040329F">
        <w:rPr>
          <w:u w:val="single"/>
        </w:rPr>
        <w:t>Kh</w:t>
      </w:r>
      <w:r w:rsidR="0040329F" w:rsidRPr="00382917">
        <w:t>án</w:t>
      </w:r>
      <w:r w:rsidR="0054338F" w:rsidRPr="00382917">
        <w:t>.</w:t>
      </w:r>
      <w:r w:rsidRPr="00382917">
        <w:t>”</w:t>
      </w:r>
    </w:p>
    <w:p w:rsidR="0054338F" w:rsidRPr="00382917" w:rsidRDefault="0054338F" w:rsidP="009D4E6D">
      <w:pPr>
        <w:pStyle w:val="Text"/>
      </w:pPr>
      <w:r w:rsidRPr="00382917">
        <w:t>The</w:t>
      </w:r>
      <w:r w:rsidR="00EE4FC3">
        <w:t xml:space="preserve"> </w:t>
      </w:r>
      <w:r w:rsidRPr="00382917">
        <w:t>Báb</w:t>
      </w:r>
      <w:r w:rsidR="00EE4FC3">
        <w:t xml:space="preserve"> </w:t>
      </w:r>
      <w:r w:rsidRPr="00382917">
        <w:t>comforted</w:t>
      </w:r>
      <w:r w:rsidR="00EE4FC3">
        <w:t xml:space="preserve"> </w:t>
      </w:r>
      <w:r w:rsidRPr="00382917">
        <w:t>the</w:t>
      </w:r>
      <w:r w:rsidR="00EE4FC3">
        <w:t xml:space="preserve"> </w:t>
      </w:r>
      <w:r w:rsidRPr="00382917">
        <w:t>constable</w:t>
      </w:r>
      <w:r w:rsidR="00C03C91">
        <w:t>.</w:t>
      </w:r>
      <w:r w:rsidR="00EE4FC3">
        <w:t xml:space="preserve">  </w:t>
      </w:r>
      <w:r w:rsidRPr="00382917">
        <w:t>He</w:t>
      </w:r>
      <w:r w:rsidR="00EE4FC3">
        <w:t xml:space="preserve"> </w:t>
      </w:r>
      <w:r w:rsidRPr="00382917">
        <w:t>directed</w:t>
      </w:r>
      <w:r w:rsidR="00EE4FC3">
        <w:t xml:space="preserve"> </w:t>
      </w:r>
      <w:r w:rsidRPr="00382917">
        <w:t>him</w:t>
      </w:r>
      <w:r w:rsidR="00EE4FC3">
        <w:t xml:space="preserve"> </w:t>
      </w:r>
      <w:r w:rsidRPr="00382917">
        <w:t>to</w:t>
      </w:r>
      <w:r w:rsidR="00EE4FC3">
        <w:t xml:space="preserve"> </w:t>
      </w:r>
      <w:r w:rsidRPr="00382917">
        <w:t>take</w:t>
      </w:r>
      <w:r w:rsidR="00EE4FC3">
        <w:t xml:space="preserve"> </w:t>
      </w:r>
      <w:r w:rsidRPr="00382917">
        <w:t>some</w:t>
      </w:r>
      <w:r w:rsidR="00EE4FC3">
        <w:t xml:space="preserve"> </w:t>
      </w:r>
      <w:r w:rsidRPr="00382917">
        <w:t>of</w:t>
      </w:r>
      <w:r w:rsidR="00EE4FC3">
        <w:t xml:space="preserve"> </w:t>
      </w:r>
      <w:r w:rsidRPr="00382917">
        <w:t>the</w:t>
      </w:r>
      <w:r w:rsidR="00EE4FC3">
        <w:t xml:space="preserve"> </w:t>
      </w:r>
      <w:r w:rsidRPr="00382917">
        <w:t>water</w:t>
      </w:r>
      <w:r w:rsidR="00EE4FC3">
        <w:t xml:space="preserve"> </w:t>
      </w:r>
      <w:r w:rsidRPr="00382917">
        <w:t>which</w:t>
      </w:r>
      <w:r w:rsidR="00EE4FC3">
        <w:t xml:space="preserve"> </w:t>
      </w:r>
      <w:r w:rsidRPr="00382917">
        <w:t>He</w:t>
      </w:r>
      <w:r w:rsidR="00EE4FC3">
        <w:t xml:space="preserve"> </w:t>
      </w:r>
      <w:r w:rsidRPr="00382917">
        <w:t>had</w:t>
      </w:r>
      <w:r w:rsidR="00EE4FC3">
        <w:t xml:space="preserve"> </w:t>
      </w:r>
      <w:r w:rsidRPr="00382917">
        <w:t>poured</w:t>
      </w:r>
      <w:r w:rsidR="00EE4FC3">
        <w:t xml:space="preserve"> </w:t>
      </w:r>
      <w:r w:rsidRPr="00382917">
        <w:t>out</w:t>
      </w:r>
      <w:r w:rsidR="00C03C91">
        <w:t>.</w:t>
      </w:r>
      <w:r w:rsidR="00EE4FC3">
        <w:t xml:space="preserve">  </w:t>
      </w:r>
      <w:r w:rsidRPr="00382917">
        <w:t>He</w:t>
      </w:r>
      <w:r w:rsidR="00EE4FC3">
        <w:t xml:space="preserve"> </w:t>
      </w:r>
      <w:r w:rsidRPr="00382917">
        <w:t>told</w:t>
      </w:r>
      <w:r w:rsidR="00EE4FC3">
        <w:t xml:space="preserve"> </w:t>
      </w:r>
      <w:r w:rsidRPr="00382917">
        <w:t>him</w:t>
      </w:r>
      <w:r w:rsidR="00EE4FC3">
        <w:t xml:space="preserve"> </w:t>
      </w:r>
      <w:r w:rsidRPr="00382917">
        <w:t>to</w:t>
      </w:r>
      <w:r w:rsidR="00EE4FC3">
        <w:t xml:space="preserve"> </w:t>
      </w:r>
      <w:r w:rsidRPr="00382917">
        <w:t>give</w:t>
      </w:r>
      <w:r w:rsidR="00EE4FC3">
        <w:t xml:space="preserve"> </w:t>
      </w:r>
      <w:r w:rsidRPr="00382917">
        <w:t>it</w:t>
      </w:r>
      <w:r w:rsidR="00EE4FC3">
        <w:t xml:space="preserve"> </w:t>
      </w:r>
      <w:r w:rsidRPr="00382917">
        <w:t>to</w:t>
      </w:r>
      <w:r w:rsidR="00EE4FC3">
        <w:t xml:space="preserve"> </w:t>
      </w:r>
      <w:r w:rsidRPr="00382917">
        <w:t>his</w:t>
      </w:r>
      <w:r w:rsidR="00EE4FC3">
        <w:t xml:space="preserve"> </w:t>
      </w:r>
      <w:r w:rsidRPr="00382917">
        <w:t>son</w:t>
      </w:r>
      <w:r w:rsidR="00EE4FC3">
        <w:t xml:space="preserve"> </w:t>
      </w:r>
      <w:r w:rsidRPr="00382917">
        <w:t>to</w:t>
      </w:r>
      <w:r w:rsidR="00EE4FC3">
        <w:t xml:space="preserve"> </w:t>
      </w:r>
      <w:r w:rsidRPr="00382917">
        <w:t>drink.</w:t>
      </w:r>
    </w:p>
    <w:p w:rsidR="0054338F" w:rsidRPr="00382917" w:rsidRDefault="009C713D" w:rsidP="009D4E6D">
      <w:pPr>
        <w:pStyle w:val="Text"/>
      </w:pPr>
      <w:r w:rsidRPr="00382917">
        <w:t>“</w:t>
      </w:r>
      <w:r w:rsidR="0054338F" w:rsidRPr="00382917">
        <w:t>It</w:t>
      </w:r>
      <w:r w:rsidR="00EE4FC3">
        <w:t xml:space="preserve"> </w:t>
      </w:r>
      <w:r w:rsidR="0054338F" w:rsidRPr="00382917">
        <w:t>will</w:t>
      </w:r>
      <w:r w:rsidR="00EE4FC3">
        <w:t xml:space="preserve"> </w:t>
      </w:r>
      <w:r w:rsidR="0054338F" w:rsidRPr="00382917">
        <w:t>save</w:t>
      </w:r>
      <w:r w:rsidR="00EE4FC3">
        <w:t xml:space="preserve"> </w:t>
      </w:r>
      <w:r w:rsidR="0054338F" w:rsidRPr="00382917">
        <w:t>his</w:t>
      </w:r>
      <w:r w:rsidR="00EE4FC3">
        <w:t xml:space="preserve"> </w:t>
      </w:r>
      <w:r w:rsidR="0054338F" w:rsidRPr="00382917">
        <w:t>life,</w:t>
      </w:r>
      <w:r w:rsidRPr="00382917">
        <w:t>”</w:t>
      </w:r>
      <w:r w:rsidR="00EE4FC3">
        <w:t xml:space="preserve"> </w:t>
      </w:r>
      <w:r w:rsidR="0054338F" w:rsidRPr="00382917">
        <w:t>He</w:t>
      </w:r>
      <w:r w:rsidR="00EE4FC3">
        <w:t xml:space="preserve"> </w:t>
      </w:r>
      <w:r w:rsidR="0054338F" w:rsidRPr="00382917">
        <w:t>promised.</w:t>
      </w:r>
    </w:p>
    <w:p w:rsidR="0054338F" w:rsidRPr="00382917" w:rsidRDefault="0054338F" w:rsidP="009D4E6D">
      <w:pPr>
        <w:pStyle w:val="Text"/>
      </w:pPr>
      <w:r w:rsidRPr="00382917">
        <w:t>The</w:t>
      </w:r>
      <w:r w:rsidR="00EE4FC3">
        <w:t xml:space="preserve"> </w:t>
      </w:r>
      <w:r w:rsidRPr="00382917">
        <w:t>chief</w:t>
      </w:r>
      <w:r w:rsidR="00EE4FC3">
        <w:t xml:space="preserve"> </w:t>
      </w:r>
      <w:r w:rsidRPr="00382917">
        <w:t>constable</w:t>
      </w:r>
      <w:r w:rsidR="00EE4FC3">
        <w:t xml:space="preserve"> </w:t>
      </w:r>
      <w:r w:rsidRPr="00382917">
        <w:t>followed</w:t>
      </w:r>
      <w:r w:rsidR="00EE4FC3">
        <w:t xml:space="preserve"> </w:t>
      </w:r>
      <w:r w:rsidRPr="00382917">
        <w:t>directions,</w:t>
      </w:r>
      <w:r w:rsidR="00EE4FC3">
        <w:t xml:space="preserve"> </w:t>
      </w:r>
      <w:r w:rsidRPr="00382917">
        <w:t>and</w:t>
      </w:r>
      <w:r w:rsidR="00EE4FC3">
        <w:t xml:space="preserve"> </w:t>
      </w:r>
      <w:r w:rsidRPr="00382917">
        <w:t>shortly</w:t>
      </w:r>
      <w:r w:rsidR="00EE4FC3">
        <w:t xml:space="preserve"> </w:t>
      </w:r>
      <w:r w:rsidRPr="00382917">
        <w:t>after</w:t>
      </w:r>
      <w:r w:rsidR="00EE4FC3">
        <w:t xml:space="preserve"> </w:t>
      </w:r>
      <w:r w:rsidRPr="00382917">
        <w:t>his</w:t>
      </w:r>
      <w:r w:rsidR="00EE4FC3">
        <w:t xml:space="preserve"> </w:t>
      </w:r>
      <w:r w:rsidRPr="00382917">
        <w:t>son</w:t>
      </w:r>
      <w:r w:rsidR="00EE4FC3">
        <w:t xml:space="preserve"> </w:t>
      </w:r>
      <w:r w:rsidRPr="00382917">
        <w:t>recovered</w:t>
      </w:r>
      <w:r w:rsidR="00C03C91">
        <w:t>.</w:t>
      </w:r>
      <w:r w:rsidR="00EE4FC3">
        <w:t xml:space="preserve">  </w:t>
      </w:r>
      <w:r w:rsidRPr="00382917">
        <w:t>As</w:t>
      </w:r>
      <w:r w:rsidR="00EE4FC3">
        <w:t xml:space="preserve"> </w:t>
      </w:r>
      <w:r w:rsidRPr="00382917">
        <w:t>soon</w:t>
      </w:r>
      <w:r w:rsidR="00EE4FC3">
        <w:t xml:space="preserve"> </w:t>
      </w:r>
      <w:r w:rsidRPr="00382917">
        <w:t>as</w:t>
      </w:r>
      <w:r w:rsidR="00EE4FC3">
        <w:t xml:space="preserve"> </w:t>
      </w:r>
      <w:r w:rsidRPr="00382917">
        <w:t>the</w:t>
      </w:r>
      <w:r w:rsidR="00EE4FC3">
        <w:t xml:space="preserve"> </w:t>
      </w:r>
      <w:r w:rsidRPr="00382917">
        <w:t>constable</w:t>
      </w:r>
      <w:r w:rsidR="00EE4FC3">
        <w:t xml:space="preserve"> </w:t>
      </w:r>
      <w:r w:rsidRPr="00382917">
        <w:t>saw</w:t>
      </w:r>
      <w:r w:rsidR="00EE4FC3">
        <w:t xml:space="preserve"> </w:t>
      </w:r>
      <w:r w:rsidRPr="00382917">
        <w:t>the</w:t>
      </w:r>
      <w:r w:rsidR="00EE4FC3">
        <w:t xml:space="preserve"> </w:t>
      </w:r>
      <w:r w:rsidRPr="00382917">
        <w:t>signs</w:t>
      </w:r>
      <w:r w:rsidR="00EE4FC3">
        <w:t xml:space="preserve"> </w:t>
      </w:r>
      <w:r w:rsidRPr="00382917">
        <w:t>of</w:t>
      </w:r>
      <w:r w:rsidR="00EE4FC3">
        <w:t xml:space="preserve"> </w:t>
      </w:r>
      <w:r w:rsidRPr="00382917">
        <w:t>recovery</w:t>
      </w:r>
      <w:r w:rsidR="00EE4FC3">
        <w:t xml:space="preserve"> </w:t>
      </w:r>
      <w:r w:rsidRPr="00382917">
        <w:t>in</w:t>
      </w:r>
      <w:r w:rsidR="00EE4FC3">
        <w:t xml:space="preserve"> </w:t>
      </w:r>
      <w:r w:rsidRPr="00382917">
        <w:t>his</w:t>
      </w:r>
      <w:r w:rsidR="00EE4FC3">
        <w:t xml:space="preserve"> </w:t>
      </w:r>
      <w:r w:rsidRPr="00382917">
        <w:t>son,</w:t>
      </w:r>
      <w:r w:rsidR="00EE4FC3">
        <w:t xml:space="preserve"> </w:t>
      </w:r>
      <w:r w:rsidRPr="00382917">
        <w:t>he</w:t>
      </w:r>
      <w:r w:rsidR="00EE4FC3">
        <w:t xml:space="preserve"> </w:t>
      </w:r>
      <w:r w:rsidRPr="00382917">
        <w:t>sat</w:t>
      </w:r>
      <w:r w:rsidR="00EE4FC3">
        <w:t xml:space="preserve"> </w:t>
      </w:r>
      <w:r w:rsidRPr="00382917">
        <w:t>down</w:t>
      </w:r>
      <w:r w:rsidR="00EE4FC3">
        <w:t xml:space="preserve"> </w:t>
      </w:r>
      <w:r w:rsidRPr="00382917">
        <w:t>and</w:t>
      </w:r>
      <w:r w:rsidR="00EE4FC3">
        <w:t xml:space="preserve"> </w:t>
      </w:r>
      <w:r w:rsidRPr="00382917">
        <w:t>wrote</w:t>
      </w:r>
      <w:r w:rsidR="00EE4FC3">
        <w:t xml:space="preserve"> </w:t>
      </w:r>
      <w:r w:rsidRPr="00382917">
        <w:t>a</w:t>
      </w:r>
      <w:r w:rsidR="00EE4FC3">
        <w:t xml:space="preserve"> </w:t>
      </w:r>
      <w:r w:rsidRPr="00382917">
        <w:t>long</w:t>
      </w:r>
      <w:r w:rsidR="00EE4FC3">
        <w:t xml:space="preserve"> </w:t>
      </w:r>
      <w:r w:rsidRPr="00382917">
        <w:t>letter</w:t>
      </w:r>
      <w:r w:rsidR="00EE4FC3">
        <w:t xml:space="preserve"> </w:t>
      </w:r>
      <w:r w:rsidRPr="00382917">
        <w:t>to</w:t>
      </w:r>
      <w:r w:rsidR="00EE4FC3">
        <w:t xml:space="preserve"> </w:t>
      </w:r>
      <w:r w:rsidR="00964C11" w:rsidRPr="00382917">
        <w:t>Ḥusayn</w:t>
      </w:r>
      <w:r w:rsidR="00EE4FC3">
        <w:t xml:space="preserve"> </w:t>
      </w:r>
      <w:r w:rsidR="0040329F" w:rsidRPr="0040329F">
        <w:rPr>
          <w:u w:val="single"/>
        </w:rPr>
        <w:t>Kh</w:t>
      </w:r>
      <w:r w:rsidR="0040329F" w:rsidRPr="00382917">
        <w:t>án</w:t>
      </w:r>
      <w:r w:rsidR="00C03C91">
        <w:t>.</w:t>
      </w:r>
      <w:r w:rsidR="00EE4FC3">
        <w:t xml:space="preserve">  </w:t>
      </w:r>
      <w:r w:rsidRPr="00382917">
        <w:t>He</w:t>
      </w:r>
      <w:r w:rsidR="00EE4FC3">
        <w:t xml:space="preserve"> </w:t>
      </w:r>
      <w:r w:rsidRPr="00382917">
        <w:t>told</w:t>
      </w:r>
      <w:r w:rsidR="00EE4FC3">
        <w:t xml:space="preserve"> </w:t>
      </w:r>
      <w:r w:rsidRPr="00382917">
        <w:t>the</w:t>
      </w:r>
      <w:r w:rsidR="00EE4FC3">
        <w:t xml:space="preserve"> </w:t>
      </w:r>
      <w:r w:rsidRPr="00382917">
        <w:t>governor</w:t>
      </w:r>
      <w:r w:rsidR="00EE4FC3">
        <w:t xml:space="preserve"> </w:t>
      </w:r>
      <w:r w:rsidRPr="00382917">
        <w:t>the</w:t>
      </w:r>
      <w:r w:rsidR="00EE4FC3">
        <w:t xml:space="preserve"> </w:t>
      </w:r>
      <w:r w:rsidRPr="00382917">
        <w:t>entire</w:t>
      </w:r>
      <w:r w:rsidR="00EE4FC3">
        <w:t xml:space="preserve"> </w:t>
      </w:r>
      <w:r w:rsidRPr="00382917">
        <w:t>story</w:t>
      </w:r>
      <w:r w:rsidR="00EE4FC3">
        <w:t xml:space="preserve"> </w:t>
      </w:r>
      <w:r w:rsidRPr="00382917">
        <w:t>of</w:t>
      </w:r>
      <w:r w:rsidR="00EE4FC3">
        <w:t xml:space="preserve"> </w:t>
      </w:r>
      <w:r w:rsidRPr="00382917">
        <w:t>that</w:t>
      </w:r>
      <w:r w:rsidR="00EE4FC3">
        <w:t xml:space="preserve"> </w:t>
      </w:r>
      <w:r w:rsidRPr="00382917">
        <w:t>night</w:t>
      </w:r>
      <w:r w:rsidR="00EE4FC3">
        <w:t xml:space="preserve"> </w:t>
      </w:r>
      <w:r w:rsidRPr="00382917">
        <w:t>of</w:t>
      </w:r>
      <w:r w:rsidR="00EE4FC3">
        <w:t xml:space="preserve"> </w:t>
      </w:r>
      <w:r w:rsidRPr="00382917">
        <w:t>panic,</w:t>
      </w:r>
      <w:r w:rsidR="00EE4FC3">
        <w:t xml:space="preserve"> </w:t>
      </w:r>
      <w:r w:rsidRPr="00382917">
        <w:t>and</w:t>
      </w:r>
      <w:r w:rsidR="00EE4FC3">
        <w:t xml:space="preserve"> </w:t>
      </w:r>
      <w:r w:rsidRPr="00382917">
        <w:t>begged</w:t>
      </w:r>
      <w:r w:rsidR="00EE4FC3">
        <w:t xml:space="preserve"> </w:t>
      </w:r>
      <w:r w:rsidRPr="00382917">
        <w:t>him</w:t>
      </w:r>
      <w:r w:rsidR="00EE4FC3">
        <w:t xml:space="preserve"> </w:t>
      </w:r>
      <w:r w:rsidRPr="00382917">
        <w:t>to</w:t>
      </w:r>
      <w:r w:rsidR="00EE4FC3">
        <w:t xml:space="preserve"> </w:t>
      </w:r>
      <w:r w:rsidRPr="00382917">
        <w:t>cease</w:t>
      </w:r>
      <w:r w:rsidR="00EE4FC3">
        <w:t xml:space="preserve"> </w:t>
      </w:r>
      <w:r w:rsidRPr="00382917">
        <w:t>his</w:t>
      </w:r>
      <w:r w:rsidR="00EE4FC3">
        <w:t xml:space="preserve"> </w:t>
      </w:r>
      <w:r w:rsidRPr="00382917">
        <w:t>attacks</w:t>
      </w:r>
      <w:r w:rsidR="00EE4FC3">
        <w:t xml:space="preserve"> </w:t>
      </w:r>
      <w:r w:rsidRPr="00382917">
        <w:t>on</w:t>
      </w:r>
      <w:r w:rsidR="00EE4FC3">
        <w:t xml:space="preserve"> </w:t>
      </w:r>
      <w:r w:rsidRPr="00382917">
        <w:t>the</w:t>
      </w:r>
      <w:r w:rsidR="00EE4FC3">
        <w:t xml:space="preserve"> </w:t>
      </w:r>
      <w:r w:rsidRPr="00382917">
        <w:t>Báb.</w:t>
      </w:r>
    </w:p>
    <w:p w:rsidR="0054338F" w:rsidRPr="00382917" w:rsidRDefault="009C713D" w:rsidP="009D4E6D">
      <w:pPr>
        <w:pStyle w:val="Text"/>
      </w:pPr>
      <w:r w:rsidRPr="00382917">
        <w:t>“</w:t>
      </w:r>
      <w:r w:rsidR="0054338F" w:rsidRPr="00382917">
        <w:t>Have</w:t>
      </w:r>
      <w:r w:rsidR="00EE4FC3">
        <w:t xml:space="preserve"> </w:t>
      </w:r>
      <w:r w:rsidR="0054338F" w:rsidRPr="00382917">
        <w:t>pity</w:t>
      </w:r>
      <w:r w:rsidR="00EE4FC3">
        <w:t xml:space="preserve"> </w:t>
      </w:r>
      <w:r w:rsidR="0054338F" w:rsidRPr="00382917">
        <w:t>on</w:t>
      </w:r>
      <w:r w:rsidR="00EE4FC3">
        <w:t xml:space="preserve"> </w:t>
      </w:r>
      <w:r w:rsidR="0054338F" w:rsidRPr="00382917">
        <w:t>yourself,</w:t>
      </w:r>
      <w:r w:rsidRPr="00382917">
        <w:t>”</w:t>
      </w:r>
      <w:r w:rsidR="00EE4FC3">
        <w:t xml:space="preserve"> </w:t>
      </w:r>
      <w:r w:rsidR="0054338F" w:rsidRPr="00382917">
        <w:t>he</w:t>
      </w:r>
      <w:r w:rsidR="00EE4FC3">
        <w:t xml:space="preserve"> </w:t>
      </w:r>
      <w:r w:rsidR="0054338F" w:rsidRPr="00382917">
        <w:t>wrote,</w:t>
      </w:r>
      <w:r w:rsidR="00EE4FC3">
        <w:t xml:space="preserve"> </w:t>
      </w:r>
      <w:r w:rsidRPr="00382917">
        <w:t>“</w:t>
      </w:r>
      <w:r w:rsidR="0054338F" w:rsidRPr="00382917">
        <w:t>as</w:t>
      </w:r>
      <w:r w:rsidR="00EE4FC3">
        <w:t xml:space="preserve"> </w:t>
      </w:r>
      <w:r w:rsidR="0054338F" w:rsidRPr="00382917">
        <w:t>well</w:t>
      </w:r>
      <w:r w:rsidR="00EE4FC3">
        <w:t xml:space="preserve"> </w:t>
      </w:r>
      <w:r w:rsidR="0054338F" w:rsidRPr="00382917">
        <w:t>as</w:t>
      </w:r>
      <w:r w:rsidR="00EE4FC3">
        <w:t xml:space="preserve"> </w:t>
      </w:r>
      <w:r w:rsidR="0054338F" w:rsidRPr="00382917">
        <w:t>on</w:t>
      </w:r>
      <w:r w:rsidR="00EE4FC3">
        <w:t xml:space="preserve"> </w:t>
      </w:r>
      <w:r w:rsidR="0054338F" w:rsidRPr="00382917">
        <w:t>those</w:t>
      </w:r>
      <w:r w:rsidR="00EE4FC3">
        <w:t xml:space="preserve"> </w:t>
      </w:r>
      <w:r w:rsidR="0054338F" w:rsidRPr="00382917">
        <w:t>who</w:t>
      </w:r>
      <w:r w:rsidR="00EE4FC3">
        <w:t xml:space="preserve"> </w:t>
      </w:r>
      <w:r w:rsidR="0054338F" w:rsidRPr="00382917">
        <w:t>are</w:t>
      </w:r>
      <w:r w:rsidR="00EE4FC3">
        <w:t xml:space="preserve"> </w:t>
      </w:r>
      <w:r w:rsidR="0054338F" w:rsidRPr="00382917">
        <w:t>entrusted</w:t>
      </w:r>
      <w:r w:rsidR="00EE4FC3">
        <w:t xml:space="preserve"> </w:t>
      </w:r>
      <w:r w:rsidR="0054338F" w:rsidRPr="00382917">
        <w:t>to</w:t>
      </w:r>
      <w:r w:rsidR="00EE4FC3">
        <w:t xml:space="preserve"> </w:t>
      </w:r>
      <w:r w:rsidR="0054338F" w:rsidRPr="00382917">
        <w:t>your</w:t>
      </w:r>
      <w:r w:rsidR="00EE4FC3">
        <w:t xml:space="preserve"> </w:t>
      </w:r>
      <w:r w:rsidR="0054338F" w:rsidRPr="00382917">
        <w:t>care.</w:t>
      </w:r>
      <w:r w:rsidRPr="00382917">
        <w:t>”</w:t>
      </w:r>
    </w:p>
    <w:p w:rsidR="0054338F" w:rsidRPr="00382917" w:rsidRDefault="0054338F" w:rsidP="009D4E6D">
      <w:pPr>
        <w:pStyle w:val="Text"/>
      </w:pPr>
      <w:r w:rsidRPr="00382917">
        <w:t>The</w:t>
      </w:r>
      <w:r w:rsidR="00EE4FC3">
        <w:t xml:space="preserve"> </w:t>
      </w:r>
      <w:r w:rsidRPr="00382917">
        <w:t>governor</w:t>
      </w:r>
      <w:r w:rsidR="00EE4FC3">
        <w:t xml:space="preserve"> </w:t>
      </w:r>
      <w:r w:rsidRPr="00382917">
        <w:t>replied</w:t>
      </w:r>
      <w:r w:rsidR="00C03C91">
        <w:t>:</w:t>
      </w:r>
      <w:r w:rsidR="00EE4FC3">
        <w:t xml:space="preserve">  </w:t>
      </w:r>
      <w:r w:rsidR="009C713D" w:rsidRPr="00382917">
        <w:t>“</w:t>
      </w:r>
      <w:r w:rsidRPr="00382917">
        <w:t>Release</w:t>
      </w:r>
      <w:r w:rsidR="00EE4FC3">
        <w:t xml:space="preserve"> </w:t>
      </w:r>
      <w:r w:rsidRPr="00382917">
        <w:t>him.</w:t>
      </w:r>
      <w:r w:rsidR="009C713D" w:rsidRPr="00382917">
        <w:t>”</w:t>
      </w:r>
    </w:p>
    <w:p w:rsidR="0054338F" w:rsidRPr="00382917" w:rsidRDefault="00964C11" w:rsidP="009D4E6D">
      <w:pPr>
        <w:pStyle w:val="Text"/>
      </w:pPr>
      <w:r w:rsidRPr="00382917">
        <w:t>Ḥusayn</w:t>
      </w:r>
      <w:r w:rsidR="00EE4FC3">
        <w:t xml:space="preserve"> </w:t>
      </w:r>
      <w:r w:rsidR="0040329F" w:rsidRPr="0040329F">
        <w:rPr>
          <w:u w:val="single"/>
        </w:rPr>
        <w:t>Kh</w:t>
      </w:r>
      <w:r w:rsidR="0040329F" w:rsidRPr="00382917">
        <w:t>án</w:t>
      </w:r>
      <w:r w:rsidR="00EE4FC3">
        <w:t xml:space="preserve"> </w:t>
      </w:r>
      <w:r w:rsidR="0054338F" w:rsidRPr="00382917">
        <w:t>insisted</w:t>
      </w:r>
      <w:r w:rsidR="00EE4FC3">
        <w:t xml:space="preserve"> </w:t>
      </w:r>
      <w:r w:rsidR="0054338F" w:rsidRPr="00382917">
        <w:t>however</w:t>
      </w:r>
      <w:r w:rsidR="00EE4FC3">
        <w:t xml:space="preserve"> </w:t>
      </w:r>
      <w:r w:rsidR="0054338F" w:rsidRPr="00382917">
        <w:t>that</w:t>
      </w:r>
      <w:r w:rsidR="00EE4FC3">
        <w:t xml:space="preserve"> </w:t>
      </w:r>
      <w:r w:rsidR="0054338F" w:rsidRPr="00382917">
        <w:t>the</w:t>
      </w:r>
      <w:r w:rsidR="00EE4FC3">
        <w:t xml:space="preserve"> </w:t>
      </w:r>
      <w:r w:rsidR="0054338F" w:rsidRPr="00382917">
        <w:t>Báb</w:t>
      </w:r>
      <w:r w:rsidR="00EE4FC3">
        <w:t xml:space="preserve"> </w:t>
      </w:r>
      <w:r w:rsidR="0054338F" w:rsidRPr="00382917">
        <w:t>leave</w:t>
      </w:r>
      <w:r w:rsidR="00EE4FC3">
        <w:t xml:space="preserve"> </w:t>
      </w:r>
      <w:r w:rsidR="0054338F" w:rsidRPr="00382917">
        <w:t>the</w:t>
      </w:r>
      <w:r w:rsidR="00EE4FC3">
        <w:t xml:space="preserve"> </w:t>
      </w:r>
      <w:r w:rsidR="0054338F" w:rsidRPr="00382917">
        <w:t>city</w:t>
      </w:r>
      <w:r w:rsidR="00EE4FC3">
        <w:t xml:space="preserve"> </w:t>
      </w:r>
      <w:r w:rsidR="0054338F" w:rsidRPr="00382917">
        <w:t>of</w:t>
      </w:r>
    </w:p>
    <w:p w:rsidR="009D4E6D" w:rsidRPr="00382917" w:rsidRDefault="009D4E6D">
      <w:pPr>
        <w:widowControl/>
        <w:kinsoku/>
        <w:overflowPunct/>
        <w:textAlignment w:val="auto"/>
      </w:pPr>
      <w:r w:rsidRPr="00382917">
        <w:br w:type="page"/>
      </w:r>
    </w:p>
    <w:p w:rsidR="0054338F" w:rsidRPr="00382917" w:rsidRDefault="008A073E" w:rsidP="00C3002D">
      <w:pPr>
        <w:pStyle w:val="Textcts"/>
      </w:pPr>
      <w:proofErr w:type="gramStart"/>
      <w:r w:rsidRPr="00382917">
        <w:rPr>
          <w:u w:val="single"/>
        </w:rPr>
        <w:t>Sh</w:t>
      </w:r>
      <w:r w:rsidRPr="00382917">
        <w:t>íráz</w:t>
      </w:r>
      <w:r w:rsidR="00EE4FC3">
        <w:t xml:space="preserve"> </w:t>
      </w:r>
      <w:r w:rsidR="0054338F" w:rsidRPr="00382917">
        <w:t>at</w:t>
      </w:r>
      <w:r w:rsidR="00EE4FC3">
        <w:t xml:space="preserve"> </w:t>
      </w:r>
      <w:r w:rsidR="0054338F" w:rsidRPr="00382917">
        <w:t>once.</w:t>
      </w:r>
      <w:proofErr w:type="gramEnd"/>
      <w:r w:rsidR="00C3002D">
        <w:rPr>
          <w:rStyle w:val="FootnoteReference"/>
        </w:rPr>
        <w:footnoteReference w:id="56"/>
      </w:r>
      <w:r w:rsidR="00EE4FC3">
        <w:t xml:space="preserve">  </w:t>
      </w:r>
      <w:r w:rsidR="0054338F" w:rsidRPr="00382917">
        <w:t>If</w:t>
      </w:r>
      <w:r w:rsidR="00EE4FC3">
        <w:t xml:space="preserve"> </w:t>
      </w:r>
      <w:r w:rsidR="0054338F" w:rsidRPr="00382917">
        <w:t>he</w:t>
      </w:r>
      <w:r w:rsidR="00EE4FC3">
        <w:t xml:space="preserve"> </w:t>
      </w:r>
      <w:r w:rsidR="0054338F" w:rsidRPr="00382917">
        <w:t>could</w:t>
      </w:r>
      <w:r w:rsidR="00EE4FC3">
        <w:t xml:space="preserve"> </w:t>
      </w:r>
      <w:r w:rsidR="0054338F" w:rsidRPr="00382917">
        <w:t>not</w:t>
      </w:r>
      <w:r w:rsidR="00EE4FC3">
        <w:t xml:space="preserve"> </w:t>
      </w:r>
      <w:r w:rsidR="0054338F" w:rsidRPr="00382917">
        <w:t>triumph</w:t>
      </w:r>
      <w:r w:rsidR="00EE4FC3">
        <w:t xml:space="preserve"> </w:t>
      </w:r>
      <w:r w:rsidR="0054338F" w:rsidRPr="00382917">
        <w:t>over</w:t>
      </w:r>
      <w:r w:rsidR="00EE4FC3">
        <w:t xml:space="preserve"> </w:t>
      </w:r>
      <w:r w:rsidR="0054338F" w:rsidRPr="00382917">
        <w:t>Him</w:t>
      </w:r>
      <w:r w:rsidR="00EE4FC3">
        <w:t xml:space="preserve"> </w:t>
      </w:r>
      <w:r w:rsidR="0054338F" w:rsidRPr="00382917">
        <w:t>personally,</w:t>
      </w:r>
      <w:r w:rsidR="00EE4FC3">
        <w:t xml:space="preserve"> </w:t>
      </w:r>
      <w:r w:rsidR="0054338F" w:rsidRPr="00382917">
        <w:t>he</w:t>
      </w:r>
      <w:r w:rsidR="00EE4FC3">
        <w:t xml:space="preserve"> </w:t>
      </w:r>
      <w:r w:rsidR="0054338F" w:rsidRPr="00382917">
        <w:t>could</w:t>
      </w:r>
      <w:r w:rsidR="00EE4FC3">
        <w:t xml:space="preserve"> </w:t>
      </w:r>
      <w:r w:rsidR="0054338F" w:rsidRPr="00382917">
        <w:t>at</w:t>
      </w:r>
      <w:r w:rsidR="00EE4FC3">
        <w:t xml:space="preserve"> </w:t>
      </w:r>
      <w:r w:rsidR="0054338F" w:rsidRPr="00382917">
        <w:t>least</w:t>
      </w:r>
      <w:r w:rsidR="00EE4FC3">
        <w:t xml:space="preserve"> </w:t>
      </w:r>
      <w:r w:rsidR="0054338F" w:rsidRPr="00382917">
        <w:t>drive</w:t>
      </w:r>
      <w:r w:rsidR="00EE4FC3">
        <w:t xml:space="preserve"> </w:t>
      </w:r>
      <w:r w:rsidR="0054338F" w:rsidRPr="00382917">
        <w:t>Him</w:t>
      </w:r>
      <w:r w:rsidR="00EE4FC3">
        <w:t xml:space="preserve"> </w:t>
      </w:r>
      <w:r w:rsidR="0054338F" w:rsidRPr="00382917">
        <w:t>out</w:t>
      </w:r>
      <w:r w:rsidR="00EE4FC3">
        <w:t xml:space="preserve"> </w:t>
      </w:r>
      <w:r w:rsidR="0054338F" w:rsidRPr="00382917">
        <w:t>from</w:t>
      </w:r>
      <w:r w:rsidR="00EE4FC3">
        <w:t xml:space="preserve"> </w:t>
      </w:r>
      <w:r w:rsidR="0054338F" w:rsidRPr="00382917">
        <w:t>the</w:t>
      </w:r>
      <w:r w:rsidR="00EE4FC3">
        <w:t xml:space="preserve"> </w:t>
      </w:r>
      <w:r w:rsidR="0054338F" w:rsidRPr="00382917">
        <w:t>circle</w:t>
      </w:r>
      <w:r w:rsidR="00EE4FC3">
        <w:t xml:space="preserve"> </w:t>
      </w:r>
      <w:r w:rsidR="0054338F" w:rsidRPr="00382917">
        <w:t>of</w:t>
      </w:r>
      <w:r w:rsidR="00EE4FC3">
        <w:t xml:space="preserve"> </w:t>
      </w:r>
      <w:r w:rsidR="0054338F" w:rsidRPr="00382917">
        <w:t>His</w:t>
      </w:r>
      <w:r w:rsidR="00EE4FC3">
        <w:t xml:space="preserve"> </w:t>
      </w:r>
      <w:r w:rsidR="0054338F" w:rsidRPr="00382917">
        <w:t>friends.</w:t>
      </w:r>
    </w:p>
    <w:p w:rsidR="0054338F" w:rsidRPr="00382917" w:rsidRDefault="0054338F" w:rsidP="009D4E6D">
      <w:pPr>
        <w:pStyle w:val="Text"/>
      </w:pPr>
      <w:r w:rsidRPr="00382917">
        <w:t>By</w:t>
      </w:r>
      <w:r w:rsidR="00EE4FC3">
        <w:t xml:space="preserve"> </w:t>
      </w:r>
      <w:r w:rsidRPr="00382917">
        <w:t>this</w:t>
      </w:r>
      <w:r w:rsidR="00EE4FC3">
        <w:t xml:space="preserve"> </w:t>
      </w:r>
      <w:r w:rsidRPr="00382917">
        <w:t>harsh</w:t>
      </w:r>
      <w:r w:rsidR="00EE4FC3">
        <w:t xml:space="preserve"> </w:t>
      </w:r>
      <w:r w:rsidRPr="00382917">
        <w:t>action,</w:t>
      </w:r>
      <w:r w:rsidR="00EE4FC3">
        <w:t xml:space="preserve"> </w:t>
      </w:r>
      <w:r w:rsidR="00964C11" w:rsidRPr="00382917">
        <w:t>Ḥusayn</w:t>
      </w:r>
      <w:r w:rsidR="00EE4FC3">
        <w:t xml:space="preserve"> </w:t>
      </w:r>
      <w:r w:rsidR="0040329F" w:rsidRPr="0040329F">
        <w:rPr>
          <w:u w:val="single"/>
        </w:rPr>
        <w:t>Kh</w:t>
      </w:r>
      <w:r w:rsidR="0040329F" w:rsidRPr="00382917">
        <w:t>án</w:t>
      </w:r>
      <w:r w:rsidR="00EE4FC3">
        <w:t xml:space="preserve"> </w:t>
      </w:r>
      <w:r w:rsidRPr="00382917">
        <w:t>brought</w:t>
      </w:r>
      <w:r w:rsidR="00EE4FC3">
        <w:t xml:space="preserve"> </w:t>
      </w:r>
      <w:r w:rsidRPr="00382917">
        <w:t>the</w:t>
      </w:r>
      <w:r w:rsidR="00EE4FC3">
        <w:t xml:space="preserve"> </w:t>
      </w:r>
      <w:r w:rsidRPr="00382917">
        <w:t>days</w:t>
      </w:r>
      <w:r w:rsidR="00EE4FC3">
        <w:t xml:space="preserve"> </w:t>
      </w:r>
      <w:r w:rsidRPr="00382917">
        <w:t>of</w:t>
      </w:r>
      <w:r w:rsidR="00EE4FC3">
        <w:t xml:space="preserve"> </w:t>
      </w:r>
      <w:r w:rsidRPr="00382917">
        <w:t>his</w:t>
      </w:r>
      <w:r w:rsidR="00EE4FC3">
        <w:t xml:space="preserve"> </w:t>
      </w:r>
      <w:r w:rsidRPr="00382917">
        <w:t>own</w:t>
      </w:r>
      <w:r w:rsidR="00EE4FC3">
        <w:t xml:space="preserve"> </w:t>
      </w:r>
      <w:r w:rsidRPr="00382917">
        <w:t>peace</w:t>
      </w:r>
      <w:r w:rsidR="00EE4FC3">
        <w:t xml:space="preserve"> </w:t>
      </w:r>
      <w:r w:rsidRPr="00382917">
        <w:t>and</w:t>
      </w:r>
      <w:r w:rsidR="00EE4FC3">
        <w:t xml:space="preserve"> </w:t>
      </w:r>
      <w:r w:rsidRPr="00382917">
        <w:t>prestige</w:t>
      </w:r>
      <w:r w:rsidR="00EE4FC3">
        <w:t xml:space="preserve"> </w:t>
      </w:r>
      <w:r w:rsidRPr="00382917">
        <w:t>to</w:t>
      </w:r>
      <w:r w:rsidR="00EE4FC3">
        <w:t xml:space="preserve"> </w:t>
      </w:r>
      <w:r w:rsidRPr="00382917">
        <w:t>an</w:t>
      </w:r>
      <w:r w:rsidR="00EE4FC3">
        <w:t xml:space="preserve"> </w:t>
      </w:r>
      <w:r w:rsidRPr="00382917">
        <w:t>end</w:t>
      </w:r>
      <w:r w:rsidR="00C03C91">
        <w:t>.</w:t>
      </w:r>
      <w:r w:rsidR="00EE4FC3">
        <w:t xml:space="preserve">  </w:t>
      </w:r>
      <w:r w:rsidRPr="00382917">
        <w:t>History</w:t>
      </w:r>
      <w:r w:rsidR="00EE4FC3">
        <w:t xml:space="preserve"> </w:t>
      </w:r>
      <w:r w:rsidRPr="00382917">
        <w:t>records</w:t>
      </w:r>
      <w:r w:rsidR="00EE4FC3">
        <w:t xml:space="preserve"> </w:t>
      </w:r>
      <w:r w:rsidRPr="00382917">
        <w:t>that</w:t>
      </w:r>
      <w:r w:rsidR="00EE4FC3">
        <w:t xml:space="preserve"> </w:t>
      </w:r>
      <w:r w:rsidRPr="00382917">
        <w:t>a</w:t>
      </w:r>
      <w:r w:rsidR="00EE4FC3">
        <w:t xml:space="preserve"> </w:t>
      </w:r>
      <w:r w:rsidRPr="00382917">
        <w:t>short</w:t>
      </w:r>
      <w:r w:rsidR="00EE4FC3">
        <w:t xml:space="preserve"> </w:t>
      </w:r>
      <w:r w:rsidRPr="00382917">
        <w:t>time</w:t>
      </w:r>
      <w:r w:rsidR="00EE4FC3">
        <w:t xml:space="preserve"> </w:t>
      </w:r>
      <w:r w:rsidRPr="00382917">
        <w:t>later</w:t>
      </w:r>
      <w:r w:rsidR="00EE4FC3">
        <w:t xml:space="preserve"> </w:t>
      </w:r>
      <w:r w:rsidRPr="00382917">
        <w:t>he</w:t>
      </w:r>
      <w:r w:rsidR="00EE4FC3">
        <w:t xml:space="preserve"> </w:t>
      </w:r>
      <w:r w:rsidRPr="00382917">
        <w:t>was</w:t>
      </w:r>
      <w:r w:rsidR="00EE4FC3">
        <w:t xml:space="preserve"> </w:t>
      </w:r>
      <w:r w:rsidRPr="00382917">
        <w:t>dismissed</w:t>
      </w:r>
      <w:r w:rsidR="00EE4FC3">
        <w:t xml:space="preserve"> </w:t>
      </w:r>
      <w:r w:rsidRPr="00382917">
        <w:t>from</w:t>
      </w:r>
      <w:r w:rsidR="00EE4FC3">
        <w:t xml:space="preserve"> </w:t>
      </w:r>
      <w:r w:rsidRPr="00382917">
        <w:t>office</w:t>
      </w:r>
      <w:r w:rsidR="00C03C91">
        <w:t>.</w:t>
      </w:r>
      <w:r w:rsidR="00EE4FC3">
        <w:t xml:space="preserve">  </w:t>
      </w:r>
      <w:r w:rsidRPr="00382917">
        <w:t>From</w:t>
      </w:r>
      <w:r w:rsidR="00EE4FC3">
        <w:t xml:space="preserve"> </w:t>
      </w:r>
      <w:r w:rsidRPr="00382917">
        <w:t>the</w:t>
      </w:r>
      <w:r w:rsidR="00EE4FC3">
        <w:t xml:space="preserve"> </w:t>
      </w:r>
      <w:r w:rsidRPr="00382917">
        <w:t>day</w:t>
      </w:r>
      <w:r w:rsidR="00EE4FC3">
        <w:t xml:space="preserve"> </w:t>
      </w:r>
      <w:r w:rsidRPr="00382917">
        <w:t>of</w:t>
      </w:r>
      <w:r w:rsidR="00EE4FC3">
        <w:t xml:space="preserve"> </w:t>
      </w:r>
      <w:r w:rsidRPr="00382917">
        <w:t>his</w:t>
      </w:r>
      <w:r w:rsidR="00EE4FC3">
        <w:t xml:space="preserve"> </w:t>
      </w:r>
      <w:r w:rsidRPr="00382917">
        <w:t>dismissal,</w:t>
      </w:r>
      <w:r w:rsidR="00EE4FC3">
        <w:t xml:space="preserve"> </w:t>
      </w:r>
      <w:r w:rsidRPr="00382917">
        <w:t>he</w:t>
      </w:r>
      <w:r w:rsidR="00EE4FC3">
        <w:t xml:space="preserve"> </w:t>
      </w:r>
      <w:proofErr w:type="gramStart"/>
      <w:r w:rsidRPr="00382917">
        <w:t>fell</w:t>
      </w:r>
      <w:proofErr w:type="gramEnd"/>
      <w:r w:rsidR="00EE4FC3">
        <w:t xml:space="preserve"> </w:t>
      </w:r>
      <w:r w:rsidRPr="00382917">
        <w:t>victim</w:t>
      </w:r>
      <w:r w:rsidR="00EE4FC3">
        <w:t xml:space="preserve"> </w:t>
      </w:r>
      <w:r w:rsidRPr="00382917">
        <w:t>to</w:t>
      </w:r>
      <w:r w:rsidR="00EE4FC3">
        <w:t xml:space="preserve"> </w:t>
      </w:r>
      <w:r w:rsidRPr="00382917">
        <w:t>several</w:t>
      </w:r>
      <w:r w:rsidR="00EE4FC3">
        <w:t xml:space="preserve"> </w:t>
      </w:r>
      <w:r w:rsidRPr="00382917">
        <w:t>misfortunes</w:t>
      </w:r>
      <w:r w:rsidR="00C03C91">
        <w:t>.</w:t>
      </w:r>
      <w:r w:rsidR="00EE4FC3">
        <w:t xml:space="preserve">  </w:t>
      </w:r>
      <w:r w:rsidRPr="00382917">
        <w:t>No</w:t>
      </w:r>
      <w:r w:rsidR="00EE4FC3">
        <w:t xml:space="preserve"> </w:t>
      </w:r>
      <w:r w:rsidRPr="00382917">
        <w:t>one</w:t>
      </w:r>
      <w:r w:rsidR="00EE4FC3">
        <w:t xml:space="preserve"> </w:t>
      </w:r>
      <w:r w:rsidRPr="00382917">
        <w:t>was</w:t>
      </w:r>
      <w:r w:rsidR="00EE4FC3">
        <w:t xml:space="preserve"> </w:t>
      </w:r>
      <w:r w:rsidRPr="00382917">
        <w:t>willing</w:t>
      </w:r>
      <w:r w:rsidR="00EE4FC3">
        <w:t xml:space="preserve"> </w:t>
      </w:r>
      <w:r w:rsidRPr="00382917">
        <w:t>to</w:t>
      </w:r>
      <w:r w:rsidR="00EE4FC3">
        <w:t xml:space="preserve"> </w:t>
      </w:r>
      <w:r w:rsidRPr="00382917">
        <w:t>come</w:t>
      </w:r>
      <w:r w:rsidR="00EE4FC3">
        <w:t xml:space="preserve"> </w:t>
      </w:r>
      <w:r w:rsidRPr="00382917">
        <w:t>to</w:t>
      </w:r>
      <w:r w:rsidR="00EE4FC3">
        <w:t xml:space="preserve"> </w:t>
      </w:r>
      <w:r w:rsidRPr="00382917">
        <w:t>his</w:t>
      </w:r>
      <w:r w:rsidR="00EE4FC3">
        <w:t xml:space="preserve"> </w:t>
      </w:r>
      <w:r w:rsidRPr="00382917">
        <w:t>assistance</w:t>
      </w:r>
      <w:r w:rsidR="00C03C91">
        <w:t>.</w:t>
      </w:r>
      <w:r w:rsidR="00EE4FC3">
        <w:t xml:space="preserve">  </w:t>
      </w:r>
      <w:r w:rsidRPr="00382917">
        <w:t>In</w:t>
      </w:r>
      <w:r w:rsidR="00EE4FC3">
        <w:t xml:space="preserve"> </w:t>
      </w:r>
      <w:r w:rsidRPr="00382917">
        <w:t>the</w:t>
      </w:r>
      <w:r w:rsidR="00EE4FC3">
        <w:t xml:space="preserve"> </w:t>
      </w:r>
      <w:r w:rsidRPr="00382917">
        <w:t>end</w:t>
      </w:r>
      <w:r w:rsidR="00EE4FC3">
        <w:t xml:space="preserve"> </w:t>
      </w:r>
      <w:r w:rsidRPr="00382917">
        <w:t>his</w:t>
      </w:r>
      <w:r w:rsidR="00EE4FC3">
        <w:t xml:space="preserve"> </w:t>
      </w:r>
      <w:r w:rsidRPr="00382917">
        <w:t>plight</w:t>
      </w:r>
      <w:r w:rsidR="00EE4FC3">
        <w:t xml:space="preserve"> </w:t>
      </w:r>
      <w:r w:rsidRPr="00382917">
        <w:t>was</w:t>
      </w:r>
      <w:r w:rsidR="00EE4FC3">
        <w:t xml:space="preserve"> </w:t>
      </w:r>
      <w:r w:rsidRPr="00382917">
        <w:t>so</w:t>
      </w:r>
      <w:r w:rsidR="00EE4FC3">
        <w:t xml:space="preserve"> </w:t>
      </w:r>
      <w:r w:rsidRPr="00382917">
        <w:t>tragic</w:t>
      </w:r>
      <w:r w:rsidR="00EE4FC3">
        <w:t xml:space="preserve"> </w:t>
      </w:r>
      <w:r w:rsidRPr="00382917">
        <w:t>that</w:t>
      </w:r>
      <w:r w:rsidR="00EE4FC3">
        <w:t xml:space="preserve"> </w:t>
      </w:r>
      <w:r w:rsidRPr="00382917">
        <w:t>he</w:t>
      </w:r>
      <w:r w:rsidR="00EE4FC3">
        <w:t xml:space="preserve"> </w:t>
      </w:r>
      <w:r w:rsidRPr="00382917">
        <w:t>was</w:t>
      </w:r>
      <w:r w:rsidR="00EE4FC3">
        <w:t xml:space="preserve"> </w:t>
      </w:r>
      <w:r w:rsidRPr="00382917">
        <w:t>unable</w:t>
      </w:r>
      <w:r w:rsidR="00EE4FC3">
        <w:t xml:space="preserve"> </w:t>
      </w:r>
      <w:r w:rsidRPr="00382917">
        <w:t>to</w:t>
      </w:r>
      <w:r w:rsidR="00EE4FC3">
        <w:t xml:space="preserve"> </w:t>
      </w:r>
      <w:r w:rsidRPr="00382917">
        <w:t>earn</w:t>
      </w:r>
      <w:r w:rsidR="00EE4FC3">
        <w:t xml:space="preserve"> </w:t>
      </w:r>
      <w:r w:rsidRPr="00382917">
        <w:t>his</w:t>
      </w:r>
      <w:r w:rsidR="00EE4FC3">
        <w:t xml:space="preserve"> </w:t>
      </w:r>
      <w:r w:rsidRPr="00382917">
        <w:t>daily</w:t>
      </w:r>
      <w:r w:rsidR="00EE4FC3">
        <w:t xml:space="preserve"> </w:t>
      </w:r>
      <w:r w:rsidRPr="00382917">
        <w:t>living</w:t>
      </w:r>
      <w:r w:rsidR="00C03C91">
        <w:t>.</w:t>
      </w:r>
      <w:r w:rsidR="00EE4FC3">
        <w:t xml:space="preserve">  </w:t>
      </w:r>
      <w:r w:rsidRPr="00382917">
        <w:t>Sunk</w:t>
      </w:r>
      <w:r w:rsidR="00EE4FC3">
        <w:t xml:space="preserve"> </w:t>
      </w:r>
      <w:r w:rsidRPr="00382917">
        <w:t>in</w:t>
      </w:r>
      <w:r w:rsidR="00EE4FC3">
        <w:t xml:space="preserve"> </w:t>
      </w:r>
      <w:r w:rsidRPr="00382917">
        <w:t>misery</w:t>
      </w:r>
      <w:r w:rsidR="00EE4FC3">
        <w:t xml:space="preserve"> </w:t>
      </w:r>
      <w:r w:rsidRPr="00382917">
        <w:t>and</w:t>
      </w:r>
      <w:r w:rsidR="00EE4FC3">
        <w:t xml:space="preserve"> </w:t>
      </w:r>
      <w:r w:rsidRPr="00382917">
        <w:t>shame,</w:t>
      </w:r>
      <w:r w:rsidR="00EE4FC3">
        <w:t xml:space="preserve"> </w:t>
      </w:r>
      <w:r w:rsidRPr="00382917">
        <w:t>he</w:t>
      </w:r>
      <w:r w:rsidR="00EE4FC3">
        <w:t xml:space="preserve"> </w:t>
      </w:r>
      <w:r w:rsidRPr="00382917">
        <w:t>languished</w:t>
      </w:r>
      <w:r w:rsidR="00EE4FC3">
        <w:t xml:space="preserve"> </w:t>
      </w:r>
      <w:r w:rsidRPr="00382917">
        <w:t>until</w:t>
      </w:r>
      <w:r w:rsidR="00EE4FC3">
        <w:t xml:space="preserve"> </w:t>
      </w:r>
      <w:r w:rsidRPr="00382917">
        <w:t>his</w:t>
      </w:r>
      <w:r w:rsidR="00EE4FC3">
        <w:t xml:space="preserve"> </w:t>
      </w:r>
      <w:r w:rsidRPr="00382917">
        <w:t>death.</w:t>
      </w:r>
    </w:p>
    <w:p w:rsidR="00C3002D" w:rsidRDefault="0054338F" w:rsidP="00C3002D">
      <w:pPr>
        <w:pStyle w:val="Text"/>
      </w:pPr>
      <w:r w:rsidRPr="00382917">
        <w:t>The</w:t>
      </w:r>
      <w:r w:rsidR="00EE4FC3">
        <w:t xml:space="preserve"> </w:t>
      </w:r>
      <w:r w:rsidRPr="00382917">
        <w:t>Báb</w:t>
      </w:r>
      <w:r w:rsidR="00EE4FC3">
        <w:t xml:space="preserve"> </w:t>
      </w:r>
      <w:r w:rsidRPr="00382917">
        <w:t>Himself</w:t>
      </w:r>
      <w:r w:rsidR="00EE4FC3">
        <w:t xml:space="preserve"> </w:t>
      </w:r>
      <w:r w:rsidRPr="00382917">
        <w:t>foretold</w:t>
      </w:r>
      <w:r w:rsidR="00EE4FC3">
        <w:t xml:space="preserve"> </w:t>
      </w:r>
      <w:r w:rsidRPr="00382917">
        <w:t>the</w:t>
      </w:r>
      <w:r w:rsidR="00EE4FC3">
        <w:t xml:space="preserve"> </w:t>
      </w:r>
      <w:r w:rsidRPr="00382917">
        <w:t>governor</w:t>
      </w:r>
      <w:r w:rsidR="009C713D" w:rsidRPr="00382917">
        <w:t>’</w:t>
      </w:r>
      <w:r w:rsidRPr="00382917">
        <w:t>s</w:t>
      </w:r>
      <w:r w:rsidR="00EE4FC3">
        <w:t xml:space="preserve"> </w:t>
      </w:r>
      <w:r w:rsidRPr="00382917">
        <w:t>downfall</w:t>
      </w:r>
      <w:r w:rsidR="00C03C91">
        <w:t>.</w:t>
      </w:r>
      <w:r w:rsidR="00EE4FC3">
        <w:t xml:space="preserve">  </w:t>
      </w:r>
      <w:r w:rsidRPr="00382917">
        <w:t>In</w:t>
      </w:r>
      <w:r w:rsidR="00EE4FC3">
        <w:t xml:space="preserve"> </w:t>
      </w:r>
      <w:r w:rsidRPr="00382917">
        <w:t>a</w:t>
      </w:r>
      <w:r w:rsidR="00EE4FC3">
        <w:t xml:space="preserve"> </w:t>
      </w:r>
      <w:r w:rsidRPr="00382917">
        <w:t>letter</w:t>
      </w:r>
      <w:r w:rsidR="00EE4FC3">
        <w:t xml:space="preserve"> </w:t>
      </w:r>
      <w:r w:rsidRPr="00382917">
        <w:t>written</w:t>
      </w:r>
      <w:r w:rsidR="00EE4FC3">
        <w:t xml:space="preserve"> </w:t>
      </w:r>
      <w:r w:rsidRPr="00382917">
        <w:t>to</w:t>
      </w:r>
      <w:r w:rsidR="00EE4FC3">
        <w:t xml:space="preserve"> </w:t>
      </w:r>
      <w:r w:rsidRPr="00382917">
        <w:t>the</w:t>
      </w:r>
      <w:r w:rsidR="00EE4FC3">
        <w:t xml:space="preserve"> </w:t>
      </w:r>
      <w:r w:rsidRPr="00382917">
        <w:t>Shah,</w:t>
      </w:r>
      <w:r w:rsidR="00EE4FC3">
        <w:t xml:space="preserve"> </w:t>
      </w:r>
      <w:r w:rsidRPr="00382917">
        <w:t>He</w:t>
      </w:r>
      <w:r w:rsidR="00EE4FC3">
        <w:t xml:space="preserve"> </w:t>
      </w:r>
      <w:r w:rsidRPr="00382917">
        <w:t>said</w:t>
      </w:r>
      <w:r w:rsidR="00EE4FC3">
        <w:t xml:space="preserve"> </w:t>
      </w:r>
      <w:r w:rsidRPr="00382917">
        <w:t>of</w:t>
      </w:r>
      <w:r w:rsidR="00EE4FC3">
        <w:t xml:space="preserve"> </w:t>
      </w:r>
      <w:r w:rsidR="00964C11" w:rsidRPr="00382917">
        <w:t>Ḥusayn</w:t>
      </w:r>
      <w:r w:rsidR="00EE4FC3">
        <w:t xml:space="preserve"> </w:t>
      </w:r>
      <w:r w:rsidR="0040329F" w:rsidRPr="0040329F">
        <w:rPr>
          <w:u w:val="single"/>
        </w:rPr>
        <w:t>Kh</w:t>
      </w:r>
      <w:r w:rsidR="0040329F" w:rsidRPr="00382917">
        <w:t>án</w:t>
      </w:r>
      <w:r w:rsidR="00C03C91">
        <w:t>:</w:t>
      </w:r>
      <w:r w:rsidR="00EE4FC3">
        <w:t xml:space="preserve">  </w:t>
      </w:r>
      <w:r w:rsidR="009C713D" w:rsidRPr="00382917">
        <w:t>“</w:t>
      </w:r>
      <w:r w:rsidRPr="00382917">
        <w:t>his</w:t>
      </w:r>
      <w:r w:rsidR="00EE4FC3">
        <w:t xml:space="preserve"> </w:t>
      </w:r>
      <w:r w:rsidRPr="00382917">
        <w:t>cruelty</w:t>
      </w:r>
      <w:r w:rsidR="00EE4FC3">
        <w:t xml:space="preserve"> </w:t>
      </w:r>
      <w:r w:rsidRPr="00382917">
        <w:t>has</w:t>
      </w:r>
      <w:r w:rsidR="00EE4FC3">
        <w:t xml:space="preserve"> </w:t>
      </w:r>
      <w:r w:rsidRPr="00382917">
        <w:t>drawn</w:t>
      </w:r>
      <w:r w:rsidR="00EE4FC3">
        <w:t xml:space="preserve"> </w:t>
      </w:r>
      <w:r w:rsidRPr="00382917">
        <w:t>the</w:t>
      </w:r>
      <w:r w:rsidR="00EE4FC3">
        <w:t xml:space="preserve"> </w:t>
      </w:r>
      <w:r w:rsidRPr="00382917">
        <w:t>punishment</w:t>
      </w:r>
      <w:r w:rsidR="00EE4FC3">
        <w:t xml:space="preserve"> </w:t>
      </w:r>
      <w:r w:rsidRPr="00382917">
        <w:t>of</w:t>
      </w:r>
      <w:r w:rsidR="00EE4FC3">
        <w:t xml:space="preserve"> </w:t>
      </w:r>
      <w:r w:rsidRPr="00382917">
        <w:t>heaven.</w:t>
      </w:r>
      <w:r w:rsidR="009C713D" w:rsidRPr="00382917">
        <w:t>”</w:t>
      </w:r>
      <w:r w:rsidR="00C3002D">
        <w:rPr>
          <w:rStyle w:val="FootnoteReference"/>
        </w:rPr>
        <w:footnoteReference w:id="57"/>
      </w:r>
    </w:p>
    <w:p w:rsidR="0054338F" w:rsidRPr="00382917" w:rsidRDefault="0054338F" w:rsidP="00C3002D">
      <w:pPr>
        <w:pStyle w:val="Text"/>
      </w:pPr>
      <w:r w:rsidRPr="00382917">
        <w:t>The</w:t>
      </w:r>
      <w:r w:rsidR="00EE4FC3">
        <w:t xml:space="preserve"> </w:t>
      </w:r>
      <w:r w:rsidRPr="00382917">
        <w:t>Báb</w:t>
      </w:r>
      <w:r w:rsidR="00EE4FC3">
        <w:t xml:space="preserve"> </w:t>
      </w:r>
      <w:r w:rsidRPr="00382917">
        <w:t>was</w:t>
      </w:r>
      <w:r w:rsidR="00EE4FC3">
        <w:t xml:space="preserve"> </w:t>
      </w:r>
      <w:r w:rsidRPr="00382917">
        <w:t>obedient</w:t>
      </w:r>
      <w:r w:rsidR="00EE4FC3">
        <w:t xml:space="preserve"> </w:t>
      </w:r>
      <w:r w:rsidRPr="00382917">
        <w:t>to</w:t>
      </w:r>
      <w:r w:rsidR="00EE4FC3">
        <w:t xml:space="preserve"> </w:t>
      </w:r>
      <w:r w:rsidRPr="00382917">
        <w:t>the</w:t>
      </w:r>
      <w:r w:rsidR="00EE4FC3">
        <w:t xml:space="preserve"> </w:t>
      </w:r>
      <w:r w:rsidRPr="00382917">
        <w:t>decree</w:t>
      </w:r>
      <w:r w:rsidR="00EE4FC3">
        <w:t xml:space="preserve"> </w:t>
      </w:r>
      <w:r w:rsidRPr="00382917">
        <w:t>of</w:t>
      </w:r>
      <w:r w:rsidR="00EE4FC3">
        <w:t xml:space="preserve"> </w:t>
      </w:r>
      <w:r w:rsidR="00964C11" w:rsidRPr="00382917">
        <w:t>Ḥusayn</w:t>
      </w:r>
      <w:r w:rsidR="00EE4FC3">
        <w:t xml:space="preserve"> </w:t>
      </w:r>
      <w:r w:rsidR="0040329F" w:rsidRPr="0040329F">
        <w:rPr>
          <w:u w:val="single"/>
        </w:rPr>
        <w:t>Kh</w:t>
      </w:r>
      <w:r w:rsidR="0040329F" w:rsidRPr="00382917">
        <w:t>án</w:t>
      </w:r>
      <w:r w:rsidR="00C03C91">
        <w:t>.</w:t>
      </w:r>
      <w:r w:rsidR="00EE4FC3">
        <w:t xml:space="preserve">  </w:t>
      </w:r>
      <w:r w:rsidRPr="00382917">
        <w:t>He</w:t>
      </w:r>
      <w:r w:rsidR="00EE4FC3">
        <w:t xml:space="preserve"> </w:t>
      </w:r>
      <w:r w:rsidRPr="00382917">
        <w:t>made</w:t>
      </w:r>
      <w:r w:rsidR="00EE4FC3">
        <w:t xml:space="preserve"> </w:t>
      </w:r>
      <w:r w:rsidRPr="00382917">
        <w:t>plans</w:t>
      </w:r>
      <w:r w:rsidR="00EE4FC3">
        <w:t xml:space="preserve"> </w:t>
      </w:r>
      <w:r w:rsidRPr="00382917">
        <w:t>to</w:t>
      </w:r>
      <w:r w:rsidR="00EE4FC3">
        <w:t xml:space="preserve"> </w:t>
      </w:r>
      <w:r w:rsidRPr="00382917">
        <w:t>leave</w:t>
      </w:r>
      <w:r w:rsidR="00EE4FC3">
        <w:t xml:space="preserve"> </w:t>
      </w:r>
      <w:r w:rsidR="008A073E" w:rsidRPr="00382917">
        <w:rPr>
          <w:u w:val="single"/>
        </w:rPr>
        <w:t>Sh</w:t>
      </w:r>
      <w:r w:rsidR="008A073E" w:rsidRPr="00382917">
        <w:t>íráz</w:t>
      </w:r>
      <w:r w:rsidR="00EE4FC3">
        <w:t xml:space="preserve"> </w:t>
      </w:r>
      <w:r w:rsidRPr="00382917">
        <w:t>at</w:t>
      </w:r>
      <w:r w:rsidR="00EE4FC3">
        <w:t xml:space="preserve"> </w:t>
      </w:r>
      <w:r w:rsidRPr="00382917">
        <w:t>once</w:t>
      </w:r>
      <w:r w:rsidR="00C03C91">
        <w:t>.</w:t>
      </w:r>
      <w:r w:rsidR="00EE4FC3">
        <w:t xml:space="preserve">  </w:t>
      </w:r>
      <w:r w:rsidRPr="00382917">
        <w:t>Thus,</w:t>
      </w:r>
      <w:r w:rsidR="00EE4FC3">
        <w:t xml:space="preserve"> </w:t>
      </w:r>
      <w:r w:rsidRPr="00382917">
        <w:t>in</w:t>
      </w:r>
      <w:r w:rsidR="00EE4FC3">
        <w:t xml:space="preserve"> </w:t>
      </w:r>
      <w:r w:rsidRPr="00382917">
        <w:t>the</w:t>
      </w:r>
      <w:r w:rsidR="00EE4FC3">
        <w:t xml:space="preserve"> </w:t>
      </w:r>
      <w:r w:rsidRPr="00382917">
        <w:t>summer</w:t>
      </w:r>
      <w:r w:rsidR="00EE4FC3">
        <w:t xml:space="preserve"> </w:t>
      </w:r>
      <w:r w:rsidRPr="00382917">
        <w:t>of</w:t>
      </w:r>
      <w:r w:rsidR="00EE4FC3">
        <w:t xml:space="preserve"> </w:t>
      </w:r>
      <w:r w:rsidRPr="00382917">
        <w:t>1846,</w:t>
      </w:r>
      <w:r w:rsidR="00EE4FC3">
        <w:t xml:space="preserve"> </w:t>
      </w:r>
      <w:r w:rsidRPr="00382917">
        <w:t>He</w:t>
      </w:r>
      <w:r w:rsidR="00EE4FC3">
        <w:t xml:space="preserve"> </w:t>
      </w:r>
      <w:r w:rsidRPr="00382917">
        <w:t>bade</w:t>
      </w:r>
      <w:r w:rsidR="00EE4FC3">
        <w:t xml:space="preserve"> </w:t>
      </w:r>
      <w:r w:rsidRPr="00382917">
        <w:t>farewell</w:t>
      </w:r>
      <w:r w:rsidR="00EE4FC3">
        <w:t xml:space="preserve"> </w:t>
      </w:r>
      <w:r w:rsidRPr="00382917">
        <w:t>to</w:t>
      </w:r>
      <w:r w:rsidR="00EE4FC3">
        <w:t xml:space="preserve"> </w:t>
      </w:r>
      <w:r w:rsidRPr="00382917">
        <w:t>His</w:t>
      </w:r>
      <w:r w:rsidR="00EE4FC3">
        <w:t xml:space="preserve"> </w:t>
      </w:r>
      <w:r w:rsidRPr="00382917">
        <w:t>native</w:t>
      </w:r>
      <w:r w:rsidR="00EE4FC3">
        <w:t xml:space="preserve"> </w:t>
      </w:r>
      <w:r w:rsidRPr="00382917">
        <w:t>town,</w:t>
      </w:r>
      <w:r w:rsidR="00EE4FC3">
        <w:t xml:space="preserve"> </w:t>
      </w:r>
      <w:r w:rsidRPr="00382917">
        <w:t>to</w:t>
      </w:r>
      <w:r w:rsidR="00EE4FC3">
        <w:t xml:space="preserve"> </w:t>
      </w:r>
      <w:r w:rsidRPr="00382917">
        <w:t>His</w:t>
      </w:r>
      <w:r w:rsidR="00EE4FC3">
        <w:t xml:space="preserve"> </w:t>
      </w:r>
      <w:r w:rsidRPr="00382917">
        <w:t>family,</w:t>
      </w:r>
      <w:r w:rsidR="00EE4FC3">
        <w:t xml:space="preserve"> </w:t>
      </w:r>
      <w:r w:rsidRPr="00382917">
        <w:t>and</w:t>
      </w:r>
      <w:r w:rsidR="00EE4FC3">
        <w:t xml:space="preserve"> </w:t>
      </w:r>
      <w:r w:rsidRPr="00382917">
        <w:t>to</w:t>
      </w:r>
      <w:r w:rsidR="00EE4FC3">
        <w:t xml:space="preserve"> </w:t>
      </w:r>
      <w:r w:rsidRPr="00382917">
        <w:t>His</w:t>
      </w:r>
      <w:r w:rsidR="00EE4FC3">
        <w:t xml:space="preserve"> </w:t>
      </w:r>
      <w:r w:rsidRPr="00382917">
        <w:t>friends.</w:t>
      </w:r>
    </w:p>
    <w:p w:rsidR="0054338F" w:rsidRPr="00382917" w:rsidRDefault="0054338F" w:rsidP="009D4E6D">
      <w:pPr>
        <w:pStyle w:val="Text"/>
      </w:pPr>
      <w:r w:rsidRPr="00382917">
        <w:t>He</w:t>
      </w:r>
      <w:r w:rsidR="00EE4FC3">
        <w:t xml:space="preserve"> </w:t>
      </w:r>
      <w:r w:rsidRPr="00382917">
        <w:t>left</w:t>
      </w:r>
      <w:r w:rsidR="00EE4FC3">
        <w:t xml:space="preserve"> </w:t>
      </w:r>
      <w:r w:rsidRPr="00382917">
        <w:t>His</w:t>
      </w:r>
      <w:r w:rsidR="00EE4FC3">
        <w:t xml:space="preserve"> </w:t>
      </w:r>
      <w:r w:rsidRPr="00382917">
        <w:t>family</w:t>
      </w:r>
      <w:r w:rsidR="00EE4FC3">
        <w:t xml:space="preserve"> </w:t>
      </w:r>
      <w:r w:rsidRPr="00382917">
        <w:t>in</w:t>
      </w:r>
      <w:r w:rsidR="00EE4FC3">
        <w:t xml:space="preserve"> </w:t>
      </w:r>
      <w:r w:rsidRPr="00382917">
        <w:t>the</w:t>
      </w:r>
      <w:r w:rsidR="00EE4FC3">
        <w:t xml:space="preserve"> </w:t>
      </w:r>
      <w:r w:rsidRPr="00382917">
        <w:t>care</w:t>
      </w:r>
      <w:r w:rsidR="00EE4FC3">
        <w:t xml:space="preserve"> </w:t>
      </w:r>
      <w:r w:rsidRPr="00382917">
        <w:t>of</w:t>
      </w:r>
      <w:r w:rsidR="00EE4FC3">
        <w:t xml:space="preserve"> </w:t>
      </w:r>
      <w:r w:rsidRPr="00382917">
        <w:t>His</w:t>
      </w:r>
      <w:r w:rsidR="00EE4FC3">
        <w:t xml:space="preserve"> </w:t>
      </w:r>
      <w:r w:rsidRPr="00382917">
        <w:t>uncle,</w:t>
      </w:r>
      <w:r w:rsidR="00EE4FC3">
        <w:t xml:space="preserve"> </w:t>
      </w:r>
      <w:r w:rsidRPr="00382917">
        <w:t>Ḥájí</w:t>
      </w:r>
      <w:r w:rsidR="00EE4FC3">
        <w:t xml:space="preserve"> </w:t>
      </w:r>
      <w:r w:rsidRPr="00382917">
        <w:t>Mírzá</w:t>
      </w:r>
      <w:r w:rsidR="00EE4FC3">
        <w:t xml:space="preserve"> </w:t>
      </w:r>
      <w:r w:rsidRPr="00382917">
        <w:t>Siyyid</w:t>
      </w:r>
      <w:r w:rsidR="00EE4FC3">
        <w:t xml:space="preserve"> </w:t>
      </w:r>
      <w:r w:rsidR="009C713D" w:rsidRPr="00382917">
        <w:t>‘</w:t>
      </w:r>
      <w:r w:rsidRPr="00382917">
        <w:t>Alí</w:t>
      </w:r>
      <w:r w:rsidR="00C03C91">
        <w:t>.</w:t>
      </w:r>
      <w:r w:rsidR="00EE4FC3">
        <w:t xml:space="preserve">  </w:t>
      </w:r>
      <w:r w:rsidRPr="00382917">
        <w:t>He</w:t>
      </w:r>
      <w:r w:rsidR="00EE4FC3">
        <w:t xml:space="preserve"> </w:t>
      </w:r>
      <w:r w:rsidRPr="00382917">
        <w:t>embraced</w:t>
      </w:r>
      <w:r w:rsidR="00EE4FC3">
        <w:t xml:space="preserve"> </w:t>
      </w:r>
      <w:r w:rsidRPr="00382917">
        <w:t>His</w:t>
      </w:r>
      <w:r w:rsidR="00EE4FC3">
        <w:t xml:space="preserve"> </w:t>
      </w:r>
      <w:r w:rsidRPr="00382917">
        <w:t>uncle</w:t>
      </w:r>
      <w:r w:rsidR="00EE4FC3">
        <w:t xml:space="preserve"> </w:t>
      </w:r>
      <w:r w:rsidRPr="00382917">
        <w:t>lovingly</w:t>
      </w:r>
      <w:r w:rsidR="00EE4FC3">
        <w:t xml:space="preserve"> </w:t>
      </w:r>
      <w:r w:rsidRPr="00382917">
        <w:t>in</w:t>
      </w:r>
      <w:r w:rsidR="00EE4FC3">
        <w:t xml:space="preserve"> </w:t>
      </w:r>
      <w:r w:rsidRPr="00382917">
        <w:t>parting.</w:t>
      </w:r>
    </w:p>
    <w:p w:rsidR="0054338F" w:rsidRPr="00382917" w:rsidRDefault="009C713D" w:rsidP="00873465">
      <w:pPr>
        <w:pStyle w:val="Text"/>
      </w:pPr>
      <w:r w:rsidRPr="00382917">
        <w:t>“</w:t>
      </w:r>
      <w:r w:rsidR="0054338F" w:rsidRPr="00382917">
        <w:t>I</w:t>
      </w:r>
      <w:r w:rsidR="00EE4FC3">
        <w:t xml:space="preserve"> </w:t>
      </w:r>
      <w:r w:rsidR="0054338F" w:rsidRPr="00382917">
        <w:t>will</w:t>
      </w:r>
      <w:r w:rsidR="00EE4FC3">
        <w:t xml:space="preserve"> </w:t>
      </w:r>
      <w:r w:rsidR="0054338F" w:rsidRPr="00382917">
        <w:t>again</w:t>
      </w:r>
      <w:r w:rsidR="00EE4FC3">
        <w:t xml:space="preserve"> </w:t>
      </w:r>
      <w:r w:rsidR="0054338F" w:rsidRPr="00382917">
        <w:t>meet</w:t>
      </w:r>
      <w:r w:rsidR="00EE4FC3">
        <w:t xml:space="preserve"> </w:t>
      </w:r>
      <w:r w:rsidR="0054338F" w:rsidRPr="00382917">
        <w:t>you,</w:t>
      </w:r>
      <w:r w:rsidRPr="00382917">
        <w:t>”</w:t>
      </w:r>
      <w:r w:rsidR="00EE4FC3">
        <w:t xml:space="preserve"> </w:t>
      </w:r>
      <w:r w:rsidR="0054338F" w:rsidRPr="00382917">
        <w:t>He</w:t>
      </w:r>
      <w:r w:rsidR="00EE4FC3">
        <w:t xml:space="preserve"> </w:t>
      </w:r>
      <w:r w:rsidR="0054338F" w:rsidRPr="00382917">
        <w:t>promised</w:t>
      </w:r>
      <w:r w:rsidR="00EE4FC3">
        <w:t xml:space="preserve"> </w:t>
      </w:r>
      <w:r w:rsidR="0054338F" w:rsidRPr="00382917">
        <w:t>him,</w:t>
      </w:r>
      <w:r w:rsidR="00EE4FC3">
        <w:t xml:space="preserve"> </w:t>
      </w:r>
      <w:r w:rsidRPr="00382917">
        <w:t>“</w:t>
      </w:r>
      <w:r w:rsidR="0054338F" w:rsidRPr="00382917">
        <w:t>amidst</w:t>
      </w:r>
      <w:r w:rsidR="00EE4FC3">
        <w:t xml:space="preserve"> </w:t>
      </w:r>
      <w:r w:rsidR="0054338F" w:rsidRPr="00382917">
        <w:t>the</w:t>
      </w:r>
      <w:r w:rsidR="00EE4FC3">
        <w:t xml:space="preserve"> </w:t>
      </w:r>
      <w:r w:rsidR="0054338F" w:rsidRPr="00382917">
        <w:t>mountains</w:t>
      </w:r>
      <w:r w:rsidR="00EE4FC3">
        <w:t xml:space="preserve"> </w:t>
      </w:r>
      <w:r w:rsidR="0054338F" w:rsidRPr="00382917">
        <w:t>of</w:t>
      </w:r>
      <w:r w:rsidR="00EE4FC3">
        <w:t xml:space="preserve"> </w:t>
      </w:r>
      <w:proofErr w:type="spellStart"/>
      <w:r w:rsidR="0054338F" w:rsidRPr="00382917">
        <w:t>A</w:t>
      </w:r>
      <w:r w:rsidR="0054338F" w:rsidRPr="00873465">
        <w:rPr>
          <w:u w:val="single"/>
        </w:rPr>
        <w:t>dh</w:t>
      </w:r>
      <w:r w:rsidR="0054338F" w:rsidRPr="00382917">
        <w:t>irbáyján</w:t>
      </w:r>
      <w:proofErr w:type="spellEnd"/>
      <w:r w:rsidR="0054338F" w:rsidRPr="00382917">
        <w:t>,</w:t>
      </w:r>
      <w:r w:rsidR="00EE4FC3">
        <w:t xml:space="preserve"> </w:t>
      </w:r>
      <w:r w:rsidR="0054338F" w:rsidRPr="00382917">
        <w:t>from</w:t>
      </w:r>
      <w:r w:rsidR="00EE4FC3">
        <w:t xml:space="preserve"> </w:t>
      </w:r>
      <w:r w:rsidR="0054338F" w:rsidRPr="00382917">
        <w:t>whence</w:t>
      </w:r>
      <w:r w:rsidR="00EE4FC3">
        <w:t xml:space="preserve"> </w:t>
      </w:r>
      <w:r w:rsidR="0054338F" w:rsidRPr="00382917">
        <w:t>I</w:t>
      </w:r>
      <w:r w:rsidR="00EE4FC3">
        <w:t xml:space="preserve"> </w:t>
      </w:r>
      <w:r w:rsidR="0054338F" w:rsidRPr="00382917">
        <w:t>will</w:t>
      </w:r>
      <w:r w:rsidR="00EE4FC3">
        <w:t xml:space="preserve"> </w:t>
      </w:r>
      <w:r w:rsidR="0054338F" w:rsidRPr="00382917">
        <w:t>send</w:t>
      </w:r>
      <w:r w:rsidR="00EE4FC3">
        <w:t xml:space="preserve"> </w:t>
      </w:r>
      <w:r w:rsidR="0054338F" w:rsidRPr="00382917">
        <w:t>you</w:t>
      </w:r>
      <w:r w:rsidR="00EE4FC3">
        <w:t xml:space="preserve"> </w:t>
      </w:r>
      <w:r w:rsidR="0054338F" w:rsidRPr="00382917">
        <w:t>forth</w:t>
      </w:r>
      <w:r w:rsidR="00EE4FC3">
        <w:t xml:space="preserve"> </w:t>
      </w:r>
      <w:r w:rsidR="0054338F" w:rsidRPr="00382917">
        <w:t>to</w:t>
      </w:r>
      <w:r w:rsidR="00EE4FC3">
        <w:t xml:space="preserve"> </w:t>
      </w:r>
      <w:r w:rsidR="0054338F" w:rsidRPr="00382917">
        <w:t>obtain</w:t>
      </w:r>
      <w:r w:rsidR="00EE4FC3">
        <w:t xml:space="preserve"> </w:t>
      </w:r>
      <w:r w:rsidR="0054338F" w:rsidRPr="00382917">
        <w:t>the</w:t>
      </w:r>
      <w:r w:rsidR="00EE4FC3">
        <w:t xml:space="preserve"> </w:t>
      </w:r>
      <w:r w:rsidR="0054338F" w:rsidRPr="00382917">
        <w:t>crown</w:t>
      </w:r>
      <w:r w:rsidR="00EE4FC3">
        <w:t xml:space="preserve"> </w:t>
      </w:r>
      <w:r w:rsidR="0054338F" w:rsidRPr="00382917">
        <w:t>of</w:t>
      </w:r>
      <w:r w:rsidR="00EE4FC3">
        <w:t xml:space="preserve"> </w:t>
      </w:r>
      <w:r w:rsidR="0054338F" w:rsidRPr="00382917">
        <w:t>martyrdom</w:t>
      </w:r>
      <w:r w:rsidR="00C03C91">
        <w:t>.</w:t>
      </w:r>
      <w:r w:rsidR="00EE4FC3">
        <w:t xml:space="preserve">  </w:t>
      </w:r>
      <w:r w:rsidR="0054338F" w:rsidRPr="00382917">
        <w:t>I</w:t>
      </w:r>
      <w:r w:rsidR="00EE4FC3">
        <w:t xml:space="preserve"> </w:t>
      </w:r>
      <w:r w:rsidR="0054338F" w:rsidRPr="00382917">
        <w:t>Myself</w:t>
      </w:r>
      <w:r w:rsidR="00EE4FC3">
        <w:t xml:space="preserve"> </w:t>
      </w:r>
      <w:r w:rsidR="0054338F" w:rsidRPr="00382917">
        <w:t>will</w:t>
      </w:r>
      <w:r w:rsidR="00EE4FC3">
        <w:t xml:space="preserve"> </w:t>
      </w:r>
      <w:r w:rsidR="0054338F" w:rsidRPr="00382917">
        <w:t>follow</w:t>
      </w:r>
      <w:r w:rsidR="00EE4FC3">
        <w:t xml:space="preserve"> </w:t>
      </w:r>
      <w:proofErr w:type="gramStart"/>
      <w:r w:rsidR="0054338F" w:rsidRPr="00382917">
        <w:t>you,</w:t>
      </w:r>
      <w:r w:rsidR="00EE4FC3">
        <w:t xml:space="preserve"> </w:t>
      </w:r>
      <w:r w:rsidR="00F04416" w:rsidRPr="00382917">
        <w:t>…</w:t>
      </w:r>
      <w:proofErr w:type="gramEnd"/>
      <w:r w:rsidR="00EE4FC3">
        <w:t xml:space="preserve"> </w:t>
      </w:r>
      <w:r w:rsidR="0054338F" w:rsidRPr="00382917">
        <w:t>and</w:t>
      </w:r>
      <w:r w:rsidR="00EE4FC3">
        <w:t xml:space="preserve"> </w:t>
      </w:r>
      <w:r w:rsidR="0054338F" w:rsidRPr="00382917">
        <w:t>will</w:t>
      </w:r>
      <w:r w:rsidR="00EE4FC3">
        <w:t xml:space="preserve"> </w:t>
      </w:r>
      <w:r w:rsidR="0054338F" w:rsidRPr="00382917">
        <w:t>join</w:t>
      </w:r>
      <w:r w:rsidR="00EE4FC3">
        <w:t xml:space="preserve"> </w:t>
      </w:r>
      <w:r w:rsidR="0054338F" w:rsidRPr="00382917">
        <w:t>you</w:t>
      </w:r>
      <w:r w:rsidR="00EE4FC3">
        <w:t xml:space="preserve"> </w:t>
      </w:r>
      <w:r w:rsidR="0054338F" w:rsidRPr="00382917">
        <w:t>in</w:t>
      </w:r>
      <w:r w:rsidR="00EE4FC3">
        <w:t xml:space="preserve"> </w:t>
      </w:r>
      <w:r w:rsidR="0054338F" w:rsidRPr="00382917">
        <w:t>the</w:t>
      </w:r>
      <w:r w:rsidR="00EE4FC3">
        <w:t xml:space="preserve"> </w:t>
      </w:r>
      <w:r w:rsidR="0054338F" w:rsidRPr="00382917">
        <w:t>realm</w:t>
      </w:r>
      <w:r w:rsidR="00EE4FC3">
        <w:t xml:space="preserve"> </w:t>
      </w:r>
      <w:r w:rsidR="0054338F" w:rsidRPr="00382917">
        <w:t>of</w:t>
      </w:r>
      <w:r w:rsidR="00EE4FC3">
        <w:t xml:space="preserve"> </w:t>
      </w:r>
      <w:r w:rsidR="0054338F" w:rsidRPr="00382917">
        <w:t>eternity.</w:t>
      </w:r>
      <w:r w:rsidRPr="00382917">
        <w:t>”</w:t>
      </w:r>
      <w:r w:rsidR="00873465">
        <w:rPr>
          <w:rStyle w:val="FootnoteReference"/>
        </w:rPr>
        <w:footnoteReference w:id="58"/>
      </w:r>
    </w:p>
    <w:p w:rsidR="009D4E6D" w:rsidRPr="00382917" w:rsidRDefault="009D4E6D" w:rsidP="0054338F"/>
    <w:p w:rsidR="009D4E6D" w:rsidRPr="00382917" w:rsidRDefault="009D4E6D" w:rsidP="0054338F">
      <w:pPr>
        <w:sectPr w:rsidR="009D4E6D" w:rsidRPr="00382917" w:rsidSect="009073C7">
          <w:footnotePr>
            <w:numRestart w:val="eachPage"/>
          </w:footnotePr>
          <w:type w:val="evenPage"/>
          <w:pgSz w:w="8618" w:h="12984" w:code="188"/>
          <w:pgMar w:top="720" w:right="720" w:bottom="720" w:left="720" w:header="720" w:footer="567" w:gutter="357"/>
          <w:cols w:space="708"/>
          <w:noEndnote/>
          <w:titlePg/>
          <w:docGrid w:linePitch="272"/>
        </w:sectPr>
      </w:pPr>
    </w:p>
    <w:p w:rsidR="009D4E6D" w:rsidRPr="00382917" w:rsidRDefault="00417538" w:rsidP="00417538">
      <w:r w:rsidRPr="00382917">
        <w:rPr>
          <w:sz w:val="12"/>
          <w:szCs w:val="12"/>
        </w:rPr>
        <w:fldChar w:fldCharType="begin"/>
      </w:r>
      <w:r w:rsidR="00EE4FC3">
        <w:rPr>
          <w:sz w:val="12"/>
          <w:szCs w:val="12"/>
        </w:rPr>
        <w:instrText xml:space="preserve"> </w:instrText>
      </w:r>
      <w:proofErr w:type="gramStart"/>
      <w:r w:rsidRPr="00382917">
        <w:rPr>
          <w:sz w:val="12"/>
          <w:szCs w:val="12"/>
        </w:rPr>
        <w:instrText>TC</w:instrText>
      </w:r>
      <w:r w:rsidR="00EE4FC3">
        <w:rPr>
          <w:sz w:val="12"/>
          <w:szCs w:val="12"/>
        </w:rPr>
        <w:instrText xml:space="preserve">  </w:instrText>
      </w:r>
      <w:r w:rsidRPr="00382917">
        <w:rPr>
          <w:sz w:val="12"/>
          <w:szCs w:val="12"/>
        </w:rPr>
        <w:instrText>“</w:instrText>
      </w:r>
      <w:bookmarkStart w:id="11" w:name="_Toc206658607"/>
      <w:proofErr w:type="gramEnd"/>
      <w:r>
        <w:rPr>
          <w:sz w:val="12"/>
          <w:szCs w:val="12"/>
        </w:rPr>
        <w:tab/>
        <w:instrText>9.</w:instrText>
      </w:r>
      <w:r>
        <w:rPr>
          <w:sz w:val="12"/>
          <w:szCs w:val="12"/>
        </w:rPr>
        <w:tab/>
      </w:r>
      <w:r w:rsidRPr="00417538">
        <w:rPr>
          <w:sz w:val="12"/>
          <w:szCs w:val="12"/>
        </w:rPr>
        <w:instrText>The</w:instrText>
      </w:r>
      <w:r w:rsidR="00EE4FC3">
        <w:rPr>
          <w:sz w:val="12"/>
          <w:szCs w:val="12"/>
        </w:rPr>
        <w:instrText xml:space="preserve"> </w:instrText>
      </w:r>
      <w:r w:rsidRPr="00417538">
        <w:rPr>
          <w:sz w:val="12"/>
          <w:szCs w:val="12"/>
        </w:rPr>
        <w:instrText>kindly</w:instrText>
      </w:r>
      <w:r w:rsidR="00EE4FC3">
        <w:rPr>
          <w:sz w:val="12"/>
          <w:szCs w:val="12"/>
        </w:rPr>
        <w:instrText xml:space="preserve"> </w:instrText>
      </w:r>
      <w:r w:rsidRPr="00417538">
        <w:rPr>
          <w:sz w:val="12"/>
          <w:szCs w:val="12"/>
        </w:rPr>
        <w:instrText>governor</w:instrText>
      </w:r>
      <w:proofErr w:type="gramStart"/>
      <w:r w:rsidRPr="00382917">
        <w:rPr>
          <w:color w:val="FFFFFF" w:themeColor="background1"/>
          <w:sz w:val="12"/>
          <w:szCs w:val="12"/>
        </w:rPr>
        <w:instrText>..</w:instrText>
      </w:r>
      <w:proofErr w:type="gramEnd"/>
      <w:r w:rsidRPr="00382917">
        <w:rPr>
          <w:sz w:val="12"/>
          <w:szCs w:val="12"/>
        </w:rPr>
        <w:tab/>
      </w:r>
      <w:r w:rsidRPr="00382917">
        <w:rPr>
          <w:color w:val="FFFFFF" w:themeColor="background1"/>
          <w:sz w:val="12"/>
          <w:szCs w:val="12"/>
        </w:rPr>
        <w:instrText>.</w:instrText>
      </w:r>
      <w:bookmarkEnd w:id="11"/>
      <w:proofErr w:type="gramStart"/>
      <w:r w:rsidRPr="00382917">
        <w:rPr>
          <w:sz w:val="12"/>
          <w:szCs w:val="12"/>
        </w:rPr>
        <w:instrText>”</w:instrText>
      </w:r>
      <w:r w:rsidR="00EE4FC3">
        <w:rPr>
          <w:sz w:val="12"/>
          <w:szCs w:val="12"/>
        </w:rPr>
        <w:instrText xml:space="preserve"> </w:instrText>
      </w:r>
      <w:proofErr w:type="gramEnd"/>
      <w:r w:rsidRPr="00382917">
        <w:rPr>
          <w:sz w:val="12"/>
          <w:szCs w:val="12"/>
        </w:rPr>
        <w:instrText>\l</w:instrText>
      </w:r>
      <w:r w:rsidR="00EE4FC3">
        <w:rPr>
          <w:sz w:val="12"/>
          <w:szCs w:val="12"/>
        </w:rPr>
        <w:instrText xml:space="preserve"> </w:instrText>
      </w:r>
      <w:r w:rsidRPr="00382917">
        <w:rPr>
          <w:sz w:val="12"/>
          <w:szCs w:val="12"/>
        </w:rPr>
        <w:instrText>1</w:instrText>
      </w:r>
      <w:r w:rsidR="00EE4FC3">
        <w:rPr>
          <w:sz w:val="12"/>
          <w:szCs w:val="12"/>
        </w:rPr>
        <w:instrText xml:space="preserve"> </w:instrText>
      </w:r>
      <w:r w:rsidRPr="00382917">
        <w:rPr>
          <w:sz w:val="12"/>
          <w:szCs w:val="12"/>
        </w:rPr>
        <w:fldChar w:fldCharType="end"/>
      </w:r>
    </w:p>
    <w:p w:rsidR="009D4E6D" w:rsidRPr="00382917" w:rsidRDefault="009D4E6D" w:rsidP="0054338F"/>
    <w:p w:rsidR="0054338F" w:rsidRPr="00382917" w:rsidRDefault="009D4E6D" w:rsidP="00417538">
      <w:pPr>
        <w:pStyle w:val="Myheadc"/>
      </w:pPr>
      <w:r w:rsidRPr="00382917">
        <w:t>9</w:t>
      </w:r>
      <w:r w:rsidR="00417538">
        <w:br/>
      </w:r>
      <w:r w:rsidRPr="00382917">
        <w:rPr>
          <w:noProof/>
          <w:lang w:val="en-AU" w:eastAsia="en-AU"/>
          <w14:numForm w14:val="default"/>
          <w14:numSpacing w14:val="default"/>
        </w:rPr>
        <w:drawing>
          <wp:inline distT="0" distB="0" distL="0" distR="0" wp14:anchorId="7827757A" wp14:editId="1CD2C089">
            <wp:extent cx="396000" cy="392400"/>
            <wp:effectExtent l="0" t="0" r="4445"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p.emf"/>
                    <pic:cNvPicPr/>
                  </pic:nvPicPr>
                  <pic:blipFill>
                    <a:blip r:embed="rId17">
                      <a:extLst>
                        <a:ext uri="{28A0092B-C50C-407E-A947-70E740481C1C}">
                          <a14:useLocalDpi xmlns:a14="http://schemas.microsoft.com/office/drawing/2010/main" val="0"/>
                        </a:ext>
                      </a:extLst>
                    </a:blip>
                    <a:stretch>
                      <a:fillRect/>
                    </a:stretch>
                  </pic:blipFill>
                  <pic:spPr>
                    <a:xfrm>
                      <a:off x="0" y="0"/>
                      <a:ext cx="396000" cy="392400"/>
                    </a:xfrm>
                    <a:prstGeom prst="rect">
                      <a:avLst/>
                    </a:prstGeom>
                  </pic:spPr>
                </pic:pic>
              </a:graphicData>
            </a:graphic>
          </wp:inline>
        </w:drawing>
      </w:r>
      <w:r w:rsidR="00417538">
        <w:br/>
      </w:r>
      <w:r w:rsidR="0054338F" w:rsidRPr="00382917">
        <w:t>T</w:t>
      </w:r>
      <w:r w:rsidRPr="00382917">
        <w:t>he</w:t>
      </w:r>
      <w:r w:rsidR="00EE4FC3">
        <w:t xml:space="preserve"> </w:t>
      </w:r>
      <w:r w:rsidRPr="00382917">
        <w:t>kindly</w:t>
      </w:r>
      <w:r w:rsidR="00EE4FC3">
        <w:t xml:space="preserve"> </w:t>
      </w:r>
      <w:r w:rsidRPr="00382917">
        <w:t>governor</w:t>
      </w:r>
    </w:p>
    <w:p w:rsidR="0054338F" w:rsidRPr="00382917" w:rsidRDefault="0054338F" w:rsidP="009D4E6D">
      <w:pPr>
        <w:pStyle w:val="Text"/>
      </w:pPr>
      <w:r w:rsidRPr="00382917">
        <w:t>The</w:t>
      </w:r>
      <w:r w:rsidR="00EE4FC3">
        <w:t xml:space="preserve"> </w:t>
      </w:r>
      <w:r w:rsidRPr="00382917">
        <w:t>Báb</w:t>
      </w:r>
      <w:r w:rsidR="00EE4FC3">
        <w:t xml:space="preserve"> </w:t>
      </w:r>
      <w:r w:rsidRPr="00382917">
        <w:t>departed</w:t>
      </w:r>
      <w:r w:rsidR="00EE4FC3">
        <w:t xml:space="preserve"> </w:t>
      </w:r>
      <w:r w:rsidRPr="00382917">
        <w:t>for</w:t>
      </w:r>
      <w:r w:rsidR="00EE4FC3">
        <w:t xml:space="preserve"> </w:t>
      </w:r>
      <w:r w:rsidRPr="00382917">
        <w:t>Iṣf</w:t>
      </w:r>
      <w:r w:rsidR="009D4E6D" w:rsidRPr="00382917">
        <w:t>a</w:t>
      </w:r>
      <w:r w:rsidRPr="00382917">
        <w:t>hán,</w:t>
      </w:r>
      <w:r w:rsidR="00EE4FC3">
        <w:t xml:space="preserve"> </w:t>
      </w:r>
      <w:r w:rsidRPr="00382917">
        <w:t>a</w:t>
      </w:r>
      <w:r w:rsidR="00EE4FC3">
        <w:t xml:space="preserve"> </w:t>
      </w:r>
      <w:r w:rsidRPr="00382917">
        <w:t>city</w:t>
      </w:r>
      <w:r w:rsidR="00EE4FC3">
        <w:t xml:space="preserve"> </w:t>
      </w:r>
      <w:r w:rsidRPr="00382917">
        <w:t>noted</w:t>
      </w:r>
      <w:r w:rsidR="00EE4FC3">
        <w:t xml:space="preserve"> </w:t>
      </w:r>
      <w:r w:rsidRPr="00382917">
        <w:t>for</w:t>
      </w:r>
      <w:r w:rsidR="00EE4FC3">
        <w:t xml:space="preserve"> </w:t>
      </w:r>
      <w:r w:rsidRPr="00382917">
        <w:t>the</w:t>
      </w:r>
      <w:r w:rsidR="00EE4FC3">
        <w:t xml:space="preserve"> </w:t>
      </w:r>
      <w:r w:rsidRPr="00382917">
        <w:t>learning</w:t>
      </w:r>
      <w:r w:rsidR="00EE4FC3">
        <w:t xml:space="preserve"> </w:t>
      </w:r>
      <w:r w:rsidRPr="00382917">
        <w:t>of</w:t>
      </w:r>
      <w:r w:rsidR="00EE4FC3">
        <w:t xml:space="preserve"> </w:t>
      </w:r>
      <w:r w:rsidRPr="00382917">
        <w:t>its</w:t>
      </w:r>
      <w:r w:rsidR="00EE4FC3">
        <w:t xml:space="preserve"> </w:t>
      </w:r>
      <w:r w:rsidRPr="00382917">
        <w:t>clergy</w:t>
      </w:r>
      <w:r w:rsidR="00C03C91">
        <w:t>.</w:t>
      </w:r>
      <w:r w:rsidR="00EE4FC3">
        <w:t xml:space="preserve">  </w:t>
      </w:r>
      <w:r w:rsidRPr="00382917">
        <w:t>Here</w:t>
      </w:r>
      <w:r w:rsidR="00EE4FC3">
        <w:t xml:space="preserve"> </w:t>
      </w:r>
      <w:r w:rsidRPr="00382917">
        <w:t>He</w:t>
      </w:r>
      <w:r w:rsidR="00EE4FC3">
        <w:t xml:space="preserve"> </w:t>
      </w:r>
      <w:r w:rsidRPr="00382917">
        <w:t>found</w:t>
      </w:r>
      <w:r w:rsidR="00EE4FC3">
        <w:t xml:space="preserve"> </w:t>
      </w:r>
      <w:r w:rsidRPr="00382917">
        <w:t>that</w:t>
      </w:r>
      <w:r w:rsidR="00EE4FC3">
        <w:t xml:space="preserve"> </w:t>
      </w:r>
      <w:r w:rsidRPr="00382917">
        <w:t>the</w:t>
      </w:r>
      <w:r w:rsidR="00EE4FC3">
        <w:t xml:space="preserve"> </w:t>
      </w:r>
      <w:r w:rsidRPr="00382917">
        <w:t>first</w:t>
      </w:r>
      <w:r w:rsidR="00EE4FC3">
        <w:t xml:space="preserve"> </w:t>
      </w:r>
      <w:r w:rsidRPr="00382917">
        <w:t>one</w:t>
      </w:r>
      <w:r w:rsidR="00EE4FC3">
        <w:t xml:space="preserve"> </w:t>
      </w:r>
      <w:r w:rsidRPr="00382917">
        <w:t>to</w:t>
      </w:r>
      <w:r w:rsidR="00EE4FC3">
        <w:t xml:space="preserve"> </w:t>
      </w:r>
      <w:r w:rsidRPr="00382917">
        <w:t>have</w:t>
      </w:r>
      <w:r w:rsidR="00EE4FC3">
        <w:t xml:space="preserve"> </w:t>
      </w:r>
      <w:r w:rsidRPr="00382917">
        <w:t>embraced</w:t>
      </w:r>
      <w:r w:rsidR="00EE4FC3">
        <w:t xml:space="preserve"> </w:t>
      </w:r>
      <w:r w:rsidRPr="00382917">
        <w:t>His</w:t>
      </w:r>
      <w:r w:rsidR="00EE4FC3">
        <w:t xml:space="preserve"> </w:t>
      </w:r>
      <w:r w:rsidRPr="00382917">
        <w:t>Faith</w:t>
      </w:r>
      <w:r w:rsidR="00EE4FC3">
        <w:t xml:space="preserve"> </w:t>
      </w:r>
      <w:r w:rsidRPr="00382917">
        <w:t>was</w:t>
      </w:r>
      <w:r w:rsidR="00EE4FC3">
        <w:t xml:space="preserve"> </w:t>
      </w:r>
      <w:r w:rsidRPr="00382917">
        <w:t>a</w:t>
      </w:r>
      <w:r w:rsidR="00EE4FC3">
        <w:t xml:space="preserve"> </w:t>
      </w:r>
      <w:r w:rsidRPr="00382917">
        <w:t>humble</w:t>
      </w:r>
      <w:r w:rsidR="00EE4FC3">
        <w:t xml:space="preserve"> </w:t>
      </w:r>
      <w:r w:rsidRPr="00382917">
        <w:t>sifter</w:t>
      </w:r>
      <w:r w:rsidR="00EE4FC3">
        <w:t xml:space="preserve"> </w:t>
      </w:r>
      <w:r w:rsidRPr="00382917">
        <w:t>of</w:t>
      </w:r>
      <w:r w:rsidR="00EE4FC3">
        <w:t xml:space="preserve"> </w:t>
      </w:r>
      <w:r w:rsidRPr="00382917">
        <w:t>wheat</w:t>
      </w:r>
      <w:r w:rsidR="00C03C91">
        <w:t>.</w:t>
      </w:r>
      <w:r w:rsidR="00EE4FC3">
        <w:t xml:space="preserve">  </w:t>
      </w:r>
      <w:r w:rsidRPr="00382917">
        <w:t>As</w:t>
      </w:r>
      <w:r w:rsidR="00EE4FC3">
        <w:t xml:space="preserve"> </w:t>
      </w:r>
      <w:r w:rsidRPr="00382917">
        <w:t>soon</w:t>
      </w:r>
      <w:r w:rsidR="00EE4FC3">
        <w:t xml:space="preserve"> </w:t>
      </w:r>
      <w:r w:rsidRPr="00382917">
        <w:t>as</w:t>
      </w:r>
      <w:r w:rsidR="00EE4FC3">
        <w:t xml:space="preserve"> </w:t>
      </w:r>
      <w:r w:rsidRPr="00382917">
        <w:t>he</w:t>
      </w:r>
      <w:r w:rsidR="00EE4FC3">
        <w:t xml:space="preserve"> </w:t>
      </w:r>
      <w:r w:rsidRPr="00382917">
        <w:t>had</w:t>
      </w:r>
      <w:r w:rsidR="00EE4FC3">
        <w:t xml:space="preserve"> </w:t>
      </w:r>
      <w:r w:rsidRPr="00382917">
        <w:t>been</w:t>
      </w:r>
      <w:r w:rsidR="00EE4FC3">
        <w:t xml:space="preserve"> </w:t>
      </w:r>
      <w:r w:rsidRPr="00382917">
        <w:t>given</w:t>
      </w:r>
      <w:r w:rsidR="00EE4FC3">
        <w:t xml:space="preserve"> </w:t>
      </w:r>
      <w:r w:rsidRPr="00382917">
        <w:t>the</w:t>
      </w:r>
      <w:r w:rsidR="00EE4FC3">
        <w:t xml:space="preserve"> </w:t>
      </w:r>
      <w:r w:rsidRPr="00382917">
        <w:t>Message</w:t>
      </w:r>
      <w:r w:rsidR="00EE4FC3">
        <w:t xml:space="preserve"> </w:t>
      </w:r>
      <w:r w:rsidRPr="00382917">
        <w:t>of</w:t>
      </w:r>
      <w:r w:rsidR="00EE4FC3">
        <w:t xml:space="preserve"> </w:t>
      </w:r>
      <w:r w:rsidRPr="00382917">
        <w:t>the</w:t>
      </w:r>
      <w:r w:rsidR="00EE4FC3">
        <w:t xml:space="preserve"> </w:t>
      </w:r>
      <w:r w:rsidRPr="00382917">
        <w:t>Báb</w:t>
      </w:r>
      <w:r w:rsidR="00EE4FC3">
        <w:t xml:space="preserve"> </w:t>
      </w:r>
      <w:r w:rsidRPr="00382917">
        <w:t>he</w:t>
      </w:r>
      <w:r w:rsidR="00EE4FC3">
        <w:t xml:space="preserve"> </w:t>
      </w:r>
      <w:r w:rsidRPr="00382917">
        <w:t>accepted</w:t>
      </w:r>
      <w:r w:rsidR="00EE4FC3">
        <w:t xml:space="preserve"> </w:t>
      </w:r>
      <w:r w:rsidRPr="00382917">
        <w:t>and</w:t>
      </w:r>
      <w:r w:rsidR="00EE4FC3">
        <w:t xml:space="preserve"> </w:t>
      </w:r>
      <w:r w:rsidRPr="00382917">
        <w:t>devoted</w:t>
      </w:r>
      <w:r w:rsidR="00EE4FC3">
        <w:t xml:space="preserve"> </w:t>
      </w:r>
      <w:r w:rsidRPr="00382917">
        <w:t>his</w:t>
      </w:r>
      <w:r w:rsidR="00EE4FC3">
        <w:t xml:space="preserve"> </w:t>
      </w:r>
      <w:r w:rsidRPr="00382917">
        <w:t>life</w:t>
      </w:r>
      <w:r w:rsidR="00EE4FC3">
        <w:t xml:space="preserve"> </w:t>
      </w:r>
      <w:r w:rsidRPr="00382917">
        <w:t>to</w:t>
      </w:r>
      <w:r w:rsidR="00EE4FC3">
        <w:t xml:space="preserve"> </w:t>
      </w:r>
      <w:r w:rsidRPr="00382917">
        <w:t>teaching</w:t>
      </w:r>
      <w:r w:rsidR="00EE4FC3">
        <w:t xml:space="preserve"> </w:t>
      </w:r>
      <w:r w:rsidRPr="00382917">
        <w:t>others</w:t>
      </w:r>
      <w:r w:rsidR="00C03C91">
        <w:t>.</w:t>
      </w:r>
      <w:r w:rsidR="00EE4FC3">
        <w:t xml:space="preserve">  </w:t>
      </w:r>
      <w:r w:rsidRPr="00382917">
        <w:t>A</w:t>
      </w:r>
      <w:r w:rsidR="00EE4FC3">
        <w:t xml:space="preserve"> </w:t>
      </w:r>
      <w:r w:rsidRPr="00382917">
        <w:t>few</w:t>
      </w:r>
      <w:r w:rsidR="00EE4FC3">
        <w:t xml:space="preserve"> </w:t>
      </w:r>
      <w:r w:rsidRPr="00382917">
        <w:t>years</w:t>
      </w:r>
      <w:r w:rsidR="00EE4FC3">
        <w:t xml:space="preserve"> </w:t>
      </w:r>
      <w:r w:rsidRPr="00382917">
        <w:t>later,</w:t>
      </w:r>
      <w:r w:rsidR="00EE4FC3">
        <w:t xml:space="preserve"> </w:t>
      </w:r>
      <w:r w:rsidRPr="00382917">
        <w:t>when</w:t>
      </w:r>
      <w:r w:rsidR="00EE4FC3">
        <w:t xml:space="preserve"> </w:t>
      </w:r>
      <w:r w:rsidRPr="00382917">
        <w:t>he</w:t>
      </w:r>
      <w:r w:rsidR="00EE4FC3">
        <w:t xml:space="preserve"> </w:t>
      </w:r>
      <w:r w:rsidRPr="00382917">
        <w:t>heard</w:t>
      </w:r>
      <w:r w:rsidR="00EE4FC3">
        <w:t xml:space="preserve"> </w:t>
      </w:r>
      <w:r w:rsidRPr="00382917">
        <w:t>that</w:t>
      </w:r>
      <w:r w:rsidR="00EE4FC3">
        <w:t xml:space="preserve"> </w:t>
      </w:r>
      <w:r w:rsidRPr="00382917">
        <w:t>some</w:t>
      </w:r>
      <w:r w:rsidR="00EE4FC3">
        <w:t xml:space="preserve"> </w:t>
      </w:r>
      <w:r w:rsidRPr="00382917">
        <w:t>of</w:t>
      </w:r>
      <w:r w:rsidR="00EE4FC3">
        <w:t xml:space="preserve"> </w:t>
      </w:r>
      <w:r w:rsidRPr="00382917">
        <w:t>his</w:t>
      </w:r>
      <w:r w:rsidR="00EE4FC3">
        <w:t xml:space="preserve"> </w:t>
      </w:r>
      <w:r w:rsidRPr="00382917">
        <w:t>fellow</w:t>
      </w:r>
      <w:r w:rsidR="00EE4FC3">
        <w:t xml:space="preserve"> </w:t>
      </w:r>
      <w:r w:rsidRPr="00382917">
        <w:t>believers</w:t>
      </w:r>
      <w:r w:rsidR="00EE4FC3">
        <w:t xml:space="preserve"> </w:t>
      </w:r>
      <w:r w:rsidRPr="00382917">
        <w:t>were</w:t>
      </w:r>
      <w:r w:rsidR="00EE4FC3">
        <w:t xml:space="preserve"> </w:t>
      </w:r>
      <w:r w:rsidRPr="00382917">
        <w:t>being</w:t>
      </w:r>
      <w:r w:rsidR="00EE4FC3">
        <w:t xml:space="preserve"> </w:t>
      </w:r>
      <w:r w:rsidRPr="00382917">
        <w:t>martyred,</w:t>
      </w:r>
      <w:r w:rsidR="00EE4FC3">
        <w:t xml:space="preserve"> </w:t>
      </w:r>
      <w:r w:rsidRPr="00382917">
        <w:t>he</w:t>
      </w:r>
      <w:r w:rsidR="00EE4FC3">
        <w:t xml:space="preserve"> </w:t>
      </w:r>
      <w:r w:rsidRPr="00382917">
        <w:t>left</w:t>
      </w:r>
      <w:r w:rsidR="00EE4FC3">
        <w:t xml:space="preserve"> </w:t>
      </w:r>
      <w:r w:rsidRPr="00382917">
        <w:t>his</w:t>
      </w:r>
      <w:r w:rsidR="00EE4FC3">
        <w:t xml:space="preserve"> </w:t>
      </w:r>
      <w:r w:rsidRPr="00382917">
        <w:t>work,</w:t>
      </w:r>
      <w:r w:rsidR="00EE4FC3">
        <w:t xml:space="preserve"> </w:t>
      </w:r>
      <w:r w:rsidRPr="00382917">
        <w:t>arose</w:t>
      </w:r>
      <w:r w:rsidR="00EE4FC3">
        <w:t xml:space="preserve"> </w:t>
      </w:r>
      <w:r w:rsidRPr="00382917">
        <w:t>and</w:t>
      </w:r>
      <w:r w:rsidR="00EE4FC3">
        <w:t xml:space="preserve"> </w:t>
      </w:r>
      <w:r w:rsidRPr="00382917">
        <w:t>carrying</w:t>
      </w:r>
      <w:r w:rsidR="00EE4FC3">
        <w:t xml:space="preserve"> </w:t>
      </w:r>
      <w:r w:rsidRPr="00382917">
        <w:t>his</w:t>
      </w:r>
      <w:r w:rsidR="00EE4FC3">
        <w:t xml:space="preserve"> </w:t>
      </w:r>
      <w:r w:rsidRPr="00382917">
        <w:t>sieve</w:t>
      </w:r>
      <w:r w:rsidR="00EE4FC3">
        <w:t xml:space="preserve"> </w:t>
      </w:r>
      <w:r w:rsidRPr="00382917">
        <w:t>in</w:t>
      </w:r>
      <w:r w:rsidR="00EE4FC3">
        <w:t xml:space="preserve"> </w:t>
      </w:r>
      <w:r w:rsidRPr="00382917">
        <w:t>his</w:t>
      </w:r>
      <w:r w:rsidR="00EE4FC3">
        <w:t xml:space="preserve"> </w:t>
      </w:r>
      <w:r w:rsidRPr="00382917">
        <w:t>hand</w:t>
      </w:r>
      <w:r w:rsidR="00EE4FC3">
        <w:t xml:space="preserve"> </w:t>
      </w:r>
      <w:r w:rsidRPr="00382917">
        <w:t>hurried</w:t>
      </w:r>
      <w:r w:rsidR="00EE4FC3">
        <w:t xml:space="preserve"> </w:t>
      </w:r>
      <w:r w:rsidRPr="00382917">
        <w:t>through</w:t>
      </w:r>
      <w:r w:rsidR="00EE4FC3">
        <w:t xml:space="preserve"> </w:t>
      </w:r>
      <w:r w:rsidRPr="00382917">
        <w:t>the</w:t>
      </w:r>
      <w:r w:rsidR="00EE4FC3">
        <w:t xml:space="preserve"> </w:t>
      </w:r>
      <w:r w:rsidRPr="00382917">
        <w:t>bazaars</w:t>
      </w:r>
      <w:r w:rsidR="00EE4FC3">
        <w:t xml:space="preserve"> </w:t>
      </w:r>
      <w:r w:rsidRPr="00382917">
        <w:t>of</w:t>
      </w:r>
      <w:r w:rsidR="00EE4FC3">
        <w:t xml:space="preserve"> </w:t>
      </w:r>
      <w:r w:rsidRPr="00382917">
        <w:t>Iṣf</w:t>
      </w:r>
      <w:r w:rsidR="009D4E6D" w:rsidRPr="00382917">
        <w:t>a</w:t>
      </w:r>
      <w:r w:rsidRPr="00382917">
        <w:t>hán.</w:t>
      </w:r>
    </w:p>
    <w:p w:rsidR="0054338F" w:rsidRPr="00382917" w:rsidRDefault="009C713D" w:rsidP="009D4E6D">
      <w:pPr>
        <w:pStyle w:val="Text"/>
      </w:pPr>
      <w:r w:rsidRPr="00382917">
        <w:t>“</w:t>
      </w:r>
      <w:r w:rsidR="0054338F" w:rsidRPr="00382917">
        <w:t>Why</w:t>
      </w:r>
      <w:r w:rsidR="00EE4FC3">
        <w:t xml:space="preserve"> </w:t>
      </w:r>
      <w:r w:rsidR="0054338F" w:rsidRPr="00382917">
        <w:t>leave</w:t>
      </w:r>
      <w:r w:rsidR="00EE4FC3">
        <w:t xml:space="preserve"> </w:t>
      </w:r>
      <w:r w:rsidR="0054338F" w:rsidRPr="00382917">
        <w:t>in</w:t>
      </w:r>
      <w:r w:rsidR="00EE4FC3">
        <w:t xml:space="preserve"> </w:t>
      </w:r>
      <w:r w:rsidR="0054338F" w:rsidRPr="00382917">
        <w:t>such</w:t>
      </w:r>
      <w:r w:rsidR="00EE4FC3">
        <w:t xml:space="preserve"> </w:t>
      </w:r>
      <w:r w:rsidR="0054338F" w:rsidRPr="00382917">
        <w:t>a</w:t>
      </w:r>
      <w:r w:rsidR="00EE4FC3">
        <w:t xml:space="preserve"> </w:t>
      </w:r>
      <w:r w:rsidR="0054338F" w:rsidRPr="00382917">
        <w:t>hurry?</w:t>
      </w:r>
      <w:r w:rsidRPr="00382917">
        <w:t>”</w:t>
      </w:r>
      <w:r w:rsidR="00EE4FC3">
        <w:t xml:space="preserve"> </w:t>
      </w:r>
      <w:r w:rsidR="0054338F" w:rsidRPr="00382917">
        <w:t>his</w:t>
      </w:r>
      <w:r w:rsidR="00EE4FC3">
        <w:t xml:space="preserve"> </w:t>
      </w:r>
      <w:r w:rsidR="0054338F" w:rsidRPr="00382917">
        <w:t>friends</w:t>
      </w:r>
      <w:r w:rsidR="00EE4FC3">
        <w:t xml:space="preserve"> </w:t>
      </w:r>
      <w:r w:rsidR="0054338F" w:rsidRPr="00382917">
        <w:t>asked.</w:t>
      </w:r>
    </w:p>
    <w:p w:rsidR="0054338F" w:rsidRPr="00382917" w:rsidRDefault="009C713D" w:rsidP="009D4E6D">
      <w:pPr>
        <w:pStyle w:val="Text"/>
      </w:pPr>
      <w:r w:rsidRPr="00382917">
        <w:t>“</w:t>
      </w:r>
      <w:r w:rsidR="0054338F" w:rsidRPr="00382917">
        <w:t>I</w:t>
      </w:r>
      <w:r w:rsidR="00EE4FC3">
        <w:t xml:space="preserve"> </w:t>
      </w:r>
      <w:r w:rsidR="0054338F" w:rsidRPr="00382917">
        <w:t>am</w:t>
      </w:r>
      <w:r w:rsidR="00EE4FC3">
        <w:t xml:space="preserve"> </w:t>
      </w:r>
      <w:r w:rsidR="0054338F" w:rsidRPr="00382917">
        <w:t>going</w:t>
      </w:r>
      <w:r w:rsidR="00EE4FC3">
        <w:t xml:space="preserve"> </w:t>
      </w:r>
      <w:r w:rsidR="0054338F" w:rsidRPr="00382917">
        <w:t>to</w:t>
      </w:r>
      <w:r w:rsidR="00EE4FC3">
        <w:t xml:space="preserve"> </w:t>
      </w:r>
      <w:r w:rsidR="0054338F" w:rsidRPr="00382917">
        <w:t>join</w:t>
      </w:r>
      <w:r w:rsidR="00EE4FC3">
        <w:t xml:space="preserve"> </w:t>
      </w:r>
      <w:r w:rsidR="0054338F" w:rsidRPr="00382917">
        <w:t>the</w:t>
      </w:r>
      <w:r w:rsidR="00EE4FC3">
        <w:t xml:space="preserve"> </w:t>
      </w:r>
      <w:r w:rsidR="0054338F" w:rsidRPr="00382917">
        <w:t>glorious</w:t>
      </w:r>
      <w:r w:rsidR="00EE4FC3">
        <w:t xml:space="preserve"> </w:t>
      </w:r>
      <w:r w:rsidR="0054338F" w:rsidRPr="00382917">
        <w:t>company</w:t>
      </w:r>
      <w:r w:rsidR="00EE4FC3">
        <w:t xml:space="preserve"> </w:t>
      </w:r>
      <w:r w:rsidR="0054338F" w:rsidRPr="00382917">
        <w:t>of</w:t>
      </w:r>
      <w:r w:rsidR="00EE4FC3">
        <w:t xml:space="preserve"> </w:t>
      </w:r>
      <w:r w:rsidR="0054338F" w:rsidRPr="00382917">
        <w:t>those</w:t>
      </w:r>
      <w:r w:rsidR="00EE4FC3">
        <w:t xml:space="preserve"> </w:t>
      </w:r>
      <w:r w:rsidR="0054338F" w:rsidRPr="00382917">
        <w:t>who</w:t>
      </w:r>
      <w:r w:rsidR="00EE4FC3">
        <w:t xml:space="preserve"> </w:t>
      </w:r>
      <w:r w:rsidR="0054338F" w:rsidRPr="00382917">
        <w:t>are</w:t>
      </w:r>
      <w:r w:rsidR="00EE4FC3">
        <w:t xml:space="preserve"> </w:t>
      </w:r>
      <w:r w:rsidR="0054338F" w:rsidRPr="00382917">
        <w:t>willing</w:t>
      </w:r>
      <w:r w:rsidR="00EE4FC3">
        <w:t xml:space="preserve"> </w:t>
      </w:r>
      <w:r w:rsidR="0054338F" w:rsidRPr="00382917">
        <w:t>to</w:t>
      </w:r>
      <w:r w:rsidR="00EE4FC3">
        <w:t xml:space="preserve"> </w:t>
      </w:r>
      <w:r w:rsidR="0054338F" w:rsidRPr="00382917">
        <w:t>give</w:t>
      </w:r>
      <w:r w:rsidR="00EE4FC3">
        <w:t xml:space="preserve"> </w:t>
      </w:r>
      <w:r w:rsidR="0054338F" w:rsidRPr="00382917">
        <w:t>their</w:t>
      </w:r>
      <w:r w:rsidR="00EE4FC3">
        <w:t xml:space="preserve"> </w:t>
      </w:r>
      <w:r w:rsidR="0054338F" w:rsidRPr="00382917">
        <w:t>life</w:t>
      </w:r>
      <w:r w:rsidR="00EE4FC3">
        <w:t xml:space="preserve"> </w:t>
      </w:r>
      <w:r w:rsidR="0054338F" w:rsidRPr="00382917">
        <w:t>for</w:t>
      </w:r>
      <w:r w:rsidR="00EE4FC3">
        <w:t xml:space="preserve"> </w:t>
      </w:r>
      <w:r w:rsidR="0054338F" w:rsidRPr="00382917">
        <w:t>their</w:t>
      </w:r>
      <w:r w:rsidR="00EE4FC3">
        <w:t xml:space="preserve"> </w:t>
      </w:r>
      <w:r w:rsidR="0054338F" w:rsidRPr="00382917">
        <w:t>faith</w:t>
      </w:r>
      <w:r w:rsidR="00C03C91">
        <w:t>.</w:t>
      </w:r>
      <w:r w:rsidR="00EE4FC3">
        <w:t xml:space="preserve">  </w:t>
      </w:r>
      <w:r w:rsidR="0054338F" w:rsidRPr="00382917">
        <w:t>With</w:t>
      </w:r>
      <w:r w:rsidR="00EE4FC3">
        <w:t xml:space="preserve"> </w:t>
      </w:r>
      <w:r w:rsidR="0054338F" w:rsidRPr="00382917">
        <w:t>this</w:t>
      </w:r>
      <w:r w:rsidR="00EE4FC3">
        <w:t xml:space="preserve"> </w:t>
      </w:r>
      <w:r w:rsidR="0054338F" w:rsidRPr="00382917">
        <w:t>sieve</w:t>
      </w:r>
      <w:r w:rsidR="00EE4FC3">
        <w:t xml:space="preserve"> </w:t>
      </w:r>
      <w:r w:rsidR="0054338F" w:rsidRPr="00382917">
        <w:t>which</w:t>
      </w:r>
      <w:r w:rsidR="00EE4FC3">
        <w:t xml:space="preserve"> </w:t>
      </w:r>
      <w:r w:rsidR="0054338F" w:rsidRPr="00382917">
        <w:t>I</w:t>
      </w:r>
      <w:r w:rsidR="00EE4FC3">
        <w:t xml:space="preserve"> </w:t>
      </w:r>
      <w:r w:rsidR="0054338F" w:rsidRPr="00382917">
        <w:t>carry</w:t>
      </w:r>
      <w:r w:rsidR="00EE4FC3">
        <w:t xml:space="preserve"> </w:t>
      </w:r>
      <w:r w:rsidR="0054338F" w:rsidRPr="00382917">
        <w:t>with</w:t>
      </w:r>
      <w:r w:rsidR="00EE4FC3">
        <w:t xml:space="preserve"> </w:t>
      </w:r>
      <w:r w:rsidR="0054338F" w:rsidRPr="00382917">
        <w:t>me,</w:t>
      </w:r>
      <w:r w:rsidR="00EE4FC3">
        <w:t xml:space="preserve"> </w:t>
      </w:r>
      <w:r w:rsidR="0054338F" w:rsidRPr="00382917">
        <w:t>I</w:t>
      </w:r>
      <w:r w:rsidR="00EE4FC3">
        <w:t xml:space="preserve"> </w:t>
      </w:r>
      <w:r w:rsidR="0054338F" w:rsidRPr="00382917">
        <w:t>intend</w:t>
      </w:r>
      <w:r w:rsidR="00EE4FC3">
        <w:t xml:space="preserve"> </w:t>
      </w:r>
      <w:r w:rsidR="0054338F" w:rsidRPr="00382917">
        <w:t>to</w:t>
      </w:r>
      <w:r w:rsidR="00EE4FC3">
        <w:t xml:space="preserve"> </w:t>
      </w:r>
      <w:r w:rsidR="0054338F" w:rsidRPr="00382917">
        <w:t>sift</w:t>
      </w:r>
      <w:r w:rsidR="00EE4FC3">
        <w:t xml:space="preserve"> </w:t>
      </w:r>
      <w:r w:rsidR="0054338F" w:rsidRPr="00382917">
        <w:t>people</w:t>
      </w:r>
      <w:r w:rsidR="00EE4FC3">
        <w:t xml:space="preserve"> </w:t>
      </w:r>
      <w:r w:rsidR="0054338F" w:rsidRPr="00382917">
        <w:t>in</w:t>
      </w:r>
      <w:r w:rsidR="00EE4FC3">
        <w:t xml:space="preserve"> </w:t>
      </w:r>
      <w:r w:rsidR="0054338F" w:rsidRPr="00382917">
        <w:t>every</w:t>
      </w:r>
      <w:r w:rsidR="00EE4FC3">
        <w:t xml:space="preserve"> </w:t>
      </w:r>
      <w:r w:rsidR="0054338F" w:rsidRPr="00382917">
        <w:t>village</w:t>
      </w:r>
      <w:r w:rsidR="00EE4FC3">
        <w:t xml:space="preserve"> </w:t>
      </w:r>
      <w:r w:rsidR="0054338F" w:rsidRPr="00382917">
        <w:t>through</w:t>
      </w:r>
      <w:r w:rsidR="00EE4FC3">
        <w:t xml:space="preserve"> </w:t>
      </w:r>
      <w:r w:rsidR="0054338F" w:rsidRPr="00382917">
        <w:t>which</w:t>
      </w:r>
      <w:r w:rsidR="00EE4FC3">
        <w:t xml:space="preserve"> </w:t>
      </w:r>
      <w:r w:rsidR="0054338F" w:rsidRPr="00382917">
        <w:t>I</w:t>
      </w:r>
      <w:r w:rsidR="00EE4FC3">
        <w:t xml:space="preserve"> </w:t>
      </w:r>
      <w:r w:rsidR="0054338F" w:rsidRPr="00382917">
        <w:t>pass</w:t>
      </w:r>
      <w:r w:rsidR="00C03C91">
        <w:t>.</w:t>
      </w:r>
      <w:r w:rsidR="00EE4FC3">
        <w:t xml:space="preserve">  </w:t>
      </w:r>
      <w:r w:rsidR="0054338F" w:rsidRPr="00382917">
        <w:t>Whoever</w:t>
      </w:r>
      <w:r w:rsidR="00EE4FC3">
        <w:t xml:space="preserve"> </w:t>
      </w:r>
      <w:r w:rsidR="0054338F" w:rsidRPr="00382917">
        <w:t>I</w:t>
      </w:r>
      <w:r w:rsidR="00EE4FC3">
        <w:t xml:space="preserve"> </w:t>
      </w:r>
      <w:r w:rsidR="0054338F" w:rsidRPr="00382917">
        <w:t>find</w:t>
      </w:r>
      <w:r w:rsidR="00EE4FC3">
        <w:t xml:space="preserve"> </w:t>
      </w:r>
      <w:r w:rsidR="0054338F" w:rsidRPr="00382917">
        <w:t>ready</w:t>
      </w:r>
      <w:r w:rsidR="00EE4FC3">
        <w:t xml:space="preserve"> </w:t>
      </w:r>
      <w:r w:rsidR="0054338F" w:rsidRPr="00382917">
        <w:t>to</w:t>
      </w:r>
      <w:r w:rsidR="00EE4FC3">
        <w:t xml:space="preserve"> </w:t>
      </w:r>
      <w:r w:rsidR="0054338F" w:rsidRPr="00382917">
        <w:t>embrace</w:t>
      </w:r>
      <w:r w:rsidR="00EE4FC3">
        <w:t xml:space="preserve"> </w:t>
      </w:r>
      <w:r w:rsidR="0054338F" w:rsidRPr="00382917">
        <w:t>this</w:t>
      </w:r>
      <w:r w:rsidR="00EE4FC3">
        <w:t xml:space="preserve"> </w:t>
      </w:r>
      <w:proofErr w:type="gramStart"/>
      <w:r w:rsidR="0054338F" w:rsidRPr="00382917">
        <w:t>Cause</w:t>
      </w:r>
      <w:proofErr w:type="gramEnd"/>
      <w:r w:rsidR="00EE4FC3">
        <w:t xml:space="preserve"> </w:t>
      </w:r>
      <w:r w:rsidR="0054338F" w:rsidRPr="00382917">
        <w:t>I</w:t>
      </w:r>
      <w:r w:rsidR="00EE4FC3">
        <w:t xml:space="preserve"> </w:t>
      </w:r>
      <w:r w:rsidR="0054338F" w:rsidRPr="00382917">
        <w:t>will</w:t>
      </w:r>
      <w:r w:rsidR="00EE4FC3">
        <w:t xml:space="preserve"> </w:t>
      </w:r>
      <w:r w:rsidR="0054338F" w:rsidRPr="00382917">
        <w:t>ask</w:t>
      </w:r>
      <w:r w:rsidR="00EE4FC3">
        <w:t xml:space="preserve"> </w:t>
      </w:r>
      <w:r w:rsidR="0054338F" w:rsidRPr="00382917">
        <w:t>to</w:t>
      </w:r>
      <w:r w:rsidR="00EE4FC3">
        <w:t xml:space="preserve"> </w:t>
      </w:r>
      <w:r w:rsidR="0054338F" w:rsidRPr="00382917">
        <w:t>join</w:t>
      </w:r>
      <w:r w:rsidR="00EE4FC3">
        <w:t xml:space="preserve"> </w:t>
      </w:r>
      <w:r w:rsidR="0054338F" w:rsidRPr="00382917">
        <w:t>me</w:t>
      </w:r>
      <w:r w:rsidR="00EE4FC3">
        <w:t xml:space="preserve"> </w:t>
      </w:r>
      <w:r w:rsidR="0054338F" w:rsidRPr="00382917">
        <w:t>and</w:t>
      </w:r>
      <w:r w:rsidR="00EE4FC3">
        <w:t xml:space="preserve"> </w:t>
      </w:r>
      <w:r w:rsidR="0054338F" w:rsidRPr="00382917">
        <w:t>hasten</w:t>
      </w:r>
      <w:r w:rsidR="00EE4FC3">
        <w:t xml:space="preserve"> </w:t>
      </w:r>
      <w:r w:rsidR="0054338F" w:rsidRPr="00382917">
        <w:t>to</w:t>
      </w:r>
      <w:r w:rsidR="00EE4FC3">
        <w:t xml:space="preserve"> </w:t>
      </w:r>
      <w:r w:rsidR="0054338F" w:rsidRPr="00382917">
        <w:t>the</w:t>
      </w:r>
      <w:r w:rsidR="00EE4FC3">
        <w:t xml:space="preserve"> </w:t>
      </w:r>
      <w:r w:rsidR="0054338F" w:rsidRPr="00382917">
        <w:t>fold</w:t>
      </w:r>
      <w:r w:rsidR="00EE4FC3">
        <w:t xml:space="preserve"> </w:t>
      </w:r>
      <w:r w:rsidR="0054338F" w:rsidRPr="00382917">
        <w:t>of</w:t>
      </w:r>
      <w:r w:rsidR="00EE4FC3">
        <w:t xml:space="preserve"> </w:t>
      </w:r>
      <w:r w:rsidR="0054338F" w:rsidRPr="00382917">
        <w:t>martyrdom.</w:t>
      </w:r>
      <w:r w:rsidRPr="00382917">
        <w:t>”</w:t>
      </w:r>
    </w:p>
    <w:p w:rsidR="0054338F" w:rsidRPr="00382917" w:rsidRDefault="0054338F" w:rsidP="00873465">
      <w:pPr>
        <w:pStyle w:val="Text"/>
      </w:pPr>
      <w:r w:rsidRPr="00382917">
        <w:t>Such</w:t>
      </w:r>
      <w:r w:rsidR="00EE4FC3">
        <w:t xml:space="preserve"> </w:t>
      </w:r>
      <w:r w:rsidRPr="00382917">
        <w:t>was</w:t>
      </w:r>
      <w:r w:rsidR="00EE4FC3">
        <w:t xml:space="preserve"> </w:t>
      </w:r>
      <w:r w:rsidRPr="00382917">
        <w:t>the</w:t>
      </w:r>
      <w:r w:rsidR="00EE4FC3">
        <w:t xml:space="preserve"> </w:t>
      </w:r>
      <w:r w:rsidRPr="00382917">
        <w:t>devotion</w:t>
      </w:r>
      <w:r w:rsidR="00EE4FC3">
        <w:t xml:space="preserve"> </w:t>
      </w:r>
      <w:r w:rsidRPr="00382917">
        <w:t>of</w:t>
      </w:r>
      <w:r w:rsidR="00EE4FC3">
        <w:t xml:space="preserve"> </w:t>
      </w:r>
      <w:r w:rsidRPr="00382917">
        <w:t>this</w:t>
      </w:r>
      <w:r w:rsidR="00EE4FC3">
        <w:t xml:space="preserve"> </w:t>
      </w:r>
      <w:r w:rsidRPr="00382917">
        <w:t>youth,</w:t>
      </w:r>
      <w:r w:rsidR="00EE4FC3">
        <w:t xml:space="preserve"> </w:t>
      </w:r>
      <w:r w:rsidRPr="00382917">
        <w:t>that</w:t>
      </w:r>
      <w:r w:rsidR="00EE4FC3">
        <w:t xml:space="preserve"> </w:t>
      </w:r>
      <w:r w:rsidRPr="00382917">
        <w:t>the</w:t>
      </w:r>
      <w:r w:rsidR="00EE4FC3">
        <w:t xml:space="preserve"> </w:t>
      </w:r>
      <w:r w:rsidRPr="00382917">
        <w:t>Báb</w:t>
      </w:r>
      <w:r w:rsidR="00EE4FC3">
        <w:t xml:space="preserve"> </w:t>
      </w:r>
      <w:r w:rsidRPr="00382917">
        <w:t>referred</w:t>
      </w:r>
      <w:r w:rsidR="00EE4FC3">
        <w:t xml:space="preserve"> </w:t>
      </w:r>
      <w:r w:rsidRPr="00382917">
        <w:t>to</w:t>
      </w:r>
      <w:r w:rsidR="00EE4FC3">
        <w:t xml:space="preserve"> </w:t>
      </w:r>
      <w:r w:rsidRPr="00382917">
        <w:t>him</w:t>
      </w:r>
      <w:r w:rsidR="00EE4FC3">
        <w:t xml:space="preserve"> </w:t>
      </w:r>
      <w:r w:rsidRPr="00382917">
        <w:t>with</w:t>
      </w:r>
      <w:r w:rsidR="00EE4FC3">
        <w:t xml:space="preserve"> </w:t>
      </w:r>
      <w:r w:rsidRPr="00382917">
        <w:t>great</w:t>
      </w:r>
      <w:r w:rsidR="00EE4FC3">
        <w:t xml:space="preserve"> </w:t>
      </w:r>
      <w:r w:rsidRPr="00382917">
        <w:t>love,</w:t>
      </w:r>
      <w:r w:rsidR="00EE4FC3">
        <w:t xml:space="preserve"> </w:t>
      </w:r>
      <w:r w:rsidRPr="00382917">
        <w:t>saying</w:t>
      </w:r>
      <w:r w:rsidR="00EE4FC3">
        <w:t xml:space="preserve"> </w:t>
      </w:r>
      <w:r w:rsidRPr="00382917">
        <w:t>that</w:t>
      </w:r>
      <w:r w:rsidR="00EE4FC3">
        <w:t xml:space="preserve"> </w:t>
      </w:r>
      <w:r w:rsidRPr="00382917">
        <w:t>Iṣf</w:t>
      </w:r>
      <w:r w:rsidR="00873465">
        <w:t>a</w:t>
      </w:r>
      <w:r w:rsidRPr="00382917">
        <w:t>hán</w:t>
      </w:r>
      <w:r w:rsidR="00EE4FC3">
        <w:t xml:space="preserve"> </w:t>
      </w:r>
      <w:r w:rsidRPr="00382917">
        <w:t>was</w:t>
      </w:r>
      <w:r w:rsidR="00EE4FC3">
        <w:t xml:space="preserve"> </w:t>
      </w:r>
      <w:r w:rsidRPr="00382917">
        <w:t>a</w:t>
      </w:r>
      <w:r w:rsidR="00EE4FC3">
        <w:t xml:space="preserve"> </w:t>
      </w:r>
      <w:r w:rsidRPr="00382917">
        <w:t>city</w:t>
      </w:r>
      <w:r w:rsidR="00EE4FC3">
        <w:t xml:space="preserve"> </w:t>
      </w:r>
      <w:r w:rsidRPr="00382917">
        <w:t>distinguished</w:t>
      </w:r>
      <w:r w:rsidR="00EE4FC3">
        <w:t xml:space="preserve"> </w:t>
      </w:r>
      <w:r w:rsidRPr="00382917">
        <w:t>by</w:t>
      </w:r>
      <w:r w:rsidR="00EE4FC3">
        <w:t xml:space="preserve"> </w:t>
      </w:r>
      <w:r w:rsidRPr="00382917">
        <w:t>the</w:t>
      </w:r>
      <w:r w:rsidR="00EE4FC3">
        <w:t xml:space="preserve"> </w:t>
      </w:r>
      <w:r w:rsidRPr="00382917">
        <w:t>religious</w:t>
      </w:r>
      <w:r w:rsidR="00EE4FC3">
        <w:t xml:space="preserve"> </w:t>
      </w:r>
      <w:proofErr w:type="spellStart"/>
      <w:r w:rsidRPr="00382917">
        <w:t>fervor</w:t>
      </w:r>
      <w:proofErr w:type="spellEnd"/>
      <w:r w:rsidR="00EE4FC3">
        <w:t xml:space="preserve"> </w:t>
      </w:r>
      <w:r w:rsidRPr="00382917">
        <w:t>of</w:t>
      </w:r>
      <w:r w:rsidR="00EE4FC3">
        <w:t xml:space="preserve"> </w:t>
      </w:r>
      <w:r w:rsidRPr="00382917">
        <w:t>its</w:t>
      </w:r>
      <w:r w:rsidR="00EE4FC3">
        <w:t xml:space="preserve"> </w:t>
      </w:r>
      <w:r w:rsidRPr="00382917">
        <w:t>inhabitants,</w:t>
      </w:r>
      <w:r w:rsidR="00EE4FC3">
        <w:t xml:space="preserve"> </w:t>
      </w:r>
      <w:r w:rsidRPr="00382917">
        <w:t>the</w:t>
      </w:r>
      <w:r w:rsidR="00EE4FC3">
        <w:t xml:space="preserve"> </w:t>
      </w:r>
      <w:r w:rsidRPr="00382917">
        <w:t>learning</w:t>
      </w:r>
      <w:r w:rsidR="00EE4FC3">
        <w:t xml:space="preserve"> </w:t>
      </w:r>
      <w:r w:rsidRPr="00382917">
        <w:t>of</w:t>
      </w:r>
      <w:r w:rsidR="00EE4FC3">
        <w:t xml:space="preserve"> </w:t>
      </w:r>
      <w:r w:rsidRPr="00382917">
        <w:t>its</w:t>
      </w:r>
      <w:r w:rsidR="00EE4FC3">
        <w:t xml:space="preserve"> </w:t>
      </w:r>
      <w:r w:rsidRPr="00382917">
        <w:t>priests,</w:t>
      </w:r>
      <w:r w:rsidR="00EE4FC3">
        <w:t xml:space="preserve"> </w:t>
      </w:r>
      <w:r w:rsidRPr="00382917">
        <w:t>and</w:t>
      </w:r>
      <w:r w:rsidR="00EE4FC3">
        <w:t xml:space="preserve"> </w:t>
      </w:r>
      <w:r w:rsidRPr="00382917">
        <w:t>high</w:t>
      </w:r>
      <w:r w:rsidR="00EE4FC3">
        <w:t xml:space="preserve"> </w:t>
      </w:r>
      <w:r w:rsidRPr="00382917">
        <w:t>and</w:t>
      </w:r>
      <w:r w:rsidR="00EE4FC3">
        <w:t xml:space="preserve"> </w:t>
      </w:r>
      <w:r w:rsidRPr="00382917">
        <w:t>low</w:t>
      </w:r>
      <w:r w:rsidR="00EE4FC3">
        <w:t xml:space="preserve"> </w:t>
      </w:r>
      <w:r w:rsidRPr="00382917">
        <w:t>alike</w:t>
      </w:r>
      <w:r w:rsidR="00EE4FC3">
        <w:t xml:space="preserve"> </w:t>
      </w:r>
      <w:r w:rsidRPr="00382917">
        <w:t>shared</w:t>
      </w:r>
      <w:r w:rsidR="00EE4FC3">
        <w:t xml:space="preserve"> </w:t>
      </w:r>
      <w:r w:rsidRPr="00382917">
        <w:t>the</w:t>
      </w:r>
      <w:r w:rsidR="00EE4FC3">
        <w:t xml:space="preserve"> </w:t>
      </w:r>
      <w:r w:rsidRPr="00382917">
        <w:t>eager</w:t>
      </w:r>
      <w:r w:rsidR="00EE4FC3">
        <w:t xml:space="preserve"> </w:t>
      </w:r>
      <w:r w:rsidRPr="00382917">
        <w:t>expectancy</w:t>
      </w:r>
      <w:r w:rsidR="00EE4FC3">
        <w:t xml:space="preserve"> </w:t>
      </w:r>
      <w:r w:rsidRPr="00382917">
        <w:t>of</w:t>
      </w:r>
      <w:r w:rsidR="00EE4FC3">
        <w:t xml:space="preserve"> </w:t>
      </w:r>
      <w:r w:rsidRPr="00382917">
        <w:t>the</w:t>
      </w:r>
      <w:r w:rsidR="00EE4FC3">
        <w:t xml:space="preserve"> </w:t>
      </w:r>
      <w:r w:rsidRPr="00382917">
        <w:t>coming</w:t>
      </w:r>
      <w:r w:rsidR="00EE4FC3">
        <w:t xml:space="preserve"> </w:t>
      </w:r>
      <w:r w:rsidRPr="00382917">
        <w:t>of</w:t>
      </w:r>
      <w:r w:rsidR="00EE4FC3">
        <w:t xml:space="preserve"> </w:t>
      </w:r>
      <w:r w:rsidRPr="00382917">
        <w:t>the</w:t>
      </w:r>
      <w:r w:rsidR="00EE4FC3">
        <w:t xml:space="preserve"> </w:t>
      </w:r>
      <w:r w:rsidRPr="00382917">
        <w:t>Promised</w:t>
      </w:r>
      <w:r w:rsidR="00EE4FC3">
        <w:t xml:space="preserve"> </w:t>
      </w:r>
      <w:r w:rsidRPr="00382917">
        <w:t>One</w:t>
      </w:r>
      <w:r w:rsidR="00C03C91">
        <w:t>.</w:t>
      </w:r>
      <w:r w:rsidR="00EE4FC3">
        <w:t xml:space="preserve">  </w:t>
      </w:r>
      <w:r w:rsidRPr="00382917">
        <w:t>Yet,</w:t>
      </w:r>
      <w:r w:rsidR="00EE4FC3">
        <w:t xml:space="preserve"> </w:t>
      </w:r>
      <w:r w:rsidRPr="00382917">
        <w:t>when</w:t>
      </w:r>
      <w:r w:rsidR="00EE4FC3">
        <w:t xml:space="preserve"> </w:t>
      </w:r>
      <w:r w:rsidRPr="00382917">
        <w:t>the</w:t>
      </w:r>
      <w:r w:rsidR="00EE4FC3">
        <w:t xml:space="preserve"> </w:t>
      </w:r>
      <w:r w:rsidRPr="00382917">
        <w:t>Messenger</w:t>
      </w:r>
      <w:r w:rsidR="00EE4FC3">
        <w:t xml:space="preserve"> </w:t>
      </w:r>
      <w:r w:rsidRPr="00382917">
        <w:t>of</w:t>
      </w:r>
      <w:r w:rsidR="00EE4FC3">
        <w:t xml:space="preserve"> </w:t>
      </w:r>
      <w:r w:rsidRPr="00382917">
        <w:t>God</w:t>
      </w:r>
      <w:r w:rsidR="00EE4FC3">
        <w:t xml:space="preserve"> </w:t>
      </w:r>
      <w:r w:rsidRPr="00382917">
        <w:t>appeared,</w:t>
      </w:r>
      <w:r w:rsidR="00EE4FC3">
        <w:t xml:space="preserve"> </w:t>
      </w:r>
      <w:r w:rsidRPr="00382917">
        <w:t>the</w:t>
      </w:r>
      <w:r w:rsidR="00EE4FC3">
        <w:t xml:space="preserve"> </w:t>
      </w:r>
      <w:r w:rsidRPr="00382917">
        <w:t>learned,</w:t>
      </w:r>
      <w:r w:rsidR="00EE4FC3">
        <w:t xml:space="preserve"> </w:t>
      </w:r>
      <w:r w:rsidRPr="00382917">
        <w:t>the</w:t>
      </w:r>
      <w:r w:rsidR="00EE4FC3">
        <w:t xml:space="preserve"> </w:t>
      </w:r>
      <w:r w:rsidRPr="00382917">
        <w:t>wise</w:t>
      </w:r>
      <w:r w:rsidR="00EE4FC3">
        <w:t xml:space="preserve"> </w:t>
      </w:r>
      <w:r w:rsidRPr="00382917">
        <w:t>and</w:t>
      </w:r>
      <w:r w:rsidR="00EE4FC3">
        <w:t xml:space="preserve"> </w:t>
      </w:r>
      <w:r w:rsidRPr="00382917">
        <w:t>the</w:t>
      </w:r>
      <w:r w:rsidR="00EE4FC3">
        <w:t xml:space="preserve"> </w:t>
      </w:r>
      <w:r w:rsidRPr="00382917">
        <w:t>religious</w:t>
      </w:r>
      <w:r w:rsidR="00EE4FC3">
        <w:t xml:space="preserve"> </w:t>
      </w:r>
      <w:r w:rsidRPr="00382917">
        <w:t>rejected</w:t>
      </w:r>
      <w:r w:rsidR="00EE4FC3">
        <w:t xml:space="preserve"> </w:t>
      </w:r>
      <w:r w:rsidRPr="00382917">
        <w:t>Him</w:t>
      </w:r>
      <w:r w:rsidR="00C03C91">
        <w:t>.</w:t>
      </w:r>
      <w:r w:rsidR="00EE4FC3">
        <w:t xml:space="preserve">  </w:t>
      </w:r>
      <w:r w:rsidRPr="00382917">
        <w:t>Of</w:t>
      </w:r>
      <w:r w:rsidR="00EE4FC3">
        <w:t xml:space="preserve"> </w:t>
      </w:r>
      <w:r w:rsidRPr="00382917">
        <w:t>all</w:t>
      </w:r>
      <w:r w:rsidR="00EE4FC3">
        <w:t xml:space="preserve"> </w:t>
      </w:r>
      <w:r w:rsidRPr="00382917">
        <w:t>the</w:t>
      </w:r>
      <w:r w:rsidR="00EE4FC3">
        <w:t xml:space="preserve"> </w:t>
      </w:r>
      <w:r w:rsidRPr="00382917">
        <w:t>inhabitants</w:t>
      </w:r>
      <w:r w:rsidR="00EE4FC3">
        <w:t xml:space="preserve"> </w:t>
      </w:r>
      <w:r w:rsidRPr="00382917">
        <w:t>of</w:t>
      </w:r>
      <w:r w:rsidR="00EE4FC3">
        <w:t xml:space="preserve"> </w:t>
      </w:r>
      <w:r w:rsidRPr="00382917">
        <w:t>that</w:t>
      </w:r>
      <w:r w:rsidR="00EE4FC3">
        <w:t xml:space="preserve"> </w:t>
      </w:r>
      <w:r w:rsidRPr="00382917">
        <w:t>seat</w:t>
      </w:r>
      <w:r w:rsidR="00EE4FC3">
        <w:t xml:space="preserve"> </w:t>
      </w:r>
      <w:r w:rsidRPr="00382917">
        <w:t>of</w:t>
      </w:r>
      <w:r w:rsidR="00EE4FC3">
        <w:t xml:space="preserve"> </w:t>
      </w:r>
      <w:r w:rsidRPr="00382917">
        <w:t>learning,</w:t>
      </w:r>
      <w:r w:rsidR="00EE4FC3">
        <w:t xml:space="preserve"> </w:t>
      </w:r>
      <w:r w:rsidRPr="00382917">
        <w:t>only</w:t>
      </w:r>
      <w:r w:rsidR="00EE4FC3">
        <w:t xml:space="preserve"> </w:t>
      </w:r>
      <w:r w:rsidRPr="00382917">
        <w:t>one</w:t>
      </w:r>
      <w:r w:rsidR="00EE4FC3">
        <w:t xml:space="preserve"> </w:t>
      </w:r>
      <w:r w:rsidRPr="00382917">
        <w:t>person,</w:t>
      </w:r>
      <w:r w:rsidR="00EE4FC3">
        <w:t xml:space="preserve"> </w:t>
      </w:r>
      <w:r w:rsidRPr="00382917">
        <w:t>a</w:t>
      </w:r>
      <w:r w:rsidR="00EE4FC3">
        <w:t xml:space="preserve"> </w:t>
      </w:r>
      <w:r w:rsidRPr="00382917">
        <w:t>sifter</w:t>
      </w:r>
      <w:r w:rsidR="00EE4FC3">
        <w:t xml:space="preserve"> </w:t>
      </w:r>
      <w:r w:rsidRPr="00382917">
        <w:t>of</w:t>
      </w:r>
      <w:r w:rsidR="00EE4FC3">
        <w:t xml:space="preserve"> </w:t>
      </w:r>
      <w:r w:rsidRPr="00382917">
        <w:t>wheat,</w:t>
      </w:r>
      <w:r w:rsidR="00EE4FC3">
        <w:t xml:space="preserve"> </w:t>
      </w:r>
      <w:r w:rsidRPr="00382917">
        <w:t>was</w:t>
      </w:r>
      <w:r w:rsidR="00EE4FC3">
        <w:t xml:space="preserve"> </w:t>
      </w:r>
      <w:r w:rsidRPr="00382917">
        <w:t>found</w:t>
      </w:r>
      <w:r w:rsidR="00EE4FC3">
        <w:t xml:space="preserve"> </w:t>
      </w:r>
      <w:r w:rsidRPr="00382917">
        <w:t>to</w:t>
      </w:r>
      <w:r w:rsidR="00EE4FC3">
        <w:t xml:space="preserve"> </w:t>
      </w:r>
      <w:r w:rsidRPr="00382917">
        <w:t>recognize</w:t>
      </w:r>
      <w:r w:rsidR="00EE4FC3">
        <w:t xml:space="preserve"> </w:t>
      </w:r>
      <w:r w:rsidRPr="00382917">
        <w:t>the</w:t>
      </w:r>
      <w:r w:rsidR="00EE4FC3">
        <w:t xml:space="preserve"> </w:t>
      </w:r>
      <w:r w:rsidRPr="00382917">
        <w:t>Truth.</w:t>
      </w:r>
    </w:p>
    <w:p w:rsidR="0054338F" w:rsidRPr="00382917" w:rsidRDefault="0054338F" w:rsidP="009D4E6D">
      <w:pPr>
        <w:pStyle w:val="Text"/>
      </w:pPr>
      <w:r w:rsidRPr="00382917">
        <w:t>This,</w:t>
      </w:r>
      <w:r w:rsidR="00EE4FC3">
        <w:t xml:space="preserve"> </w:t>
      </w:r>
      <w:r w:rsidRPr="00382917">
        <w:t>the</w:t>
      </w:r>
      <w:r w:rsidR="00EE4FC3">
        <w:t xml:space="preserve"> </w:t>
      </w:r>
      <w:r w:rsidRPr="00382917">
        <w:t>Báb</w:t>
      </w:r>
      <w:r w:rsidR="00EE4FC3">
        <w:t xml:space="preserve"> </w:t>
      </w:r>
      <w:r w:rsidRPr="00382917">
        <w:t>said,</w:t>
      </w:r>
      <w:r w:rsidR="00EE4FC3">
        <w:t xml:space="preserve"> </w:t>
      </w:r>
      <w:r w:rsidRPr="00382917">
        <w:t>was</w:t>
      </w:r>
      <w:r w:rsidR="00EE4FC3">
        <w:t xml:space="preserve"> </w:t>
      </w:r>
      <w:r w:rsidRPr="00382917">
        <w:t>the</w:t>
      </w:r>
      <w:r w:rsidR="00EE4FC3">
        <w:t xml:space="preserve"> </w:t>
      </w:r>
      <w:proofErr w:type="spellStart"/>
      <w:r w:rsidRPr="00382917">
        <w:t>fulfillment</w:t>
      </w:r>
      <w:proofErr w:type="spellEnd"/>
      <w:r w:rsidR="00EE4FC3">
        <w:t xml:space="preserve"> </w:t>
      </w:r>
      <w:r w:rsidRPr="00382917">
        <w:t>of</w:t>
      </w:r>
      <w:r w:rsidR="00EE4FC3">
        <w:t xml:space="preserve"> </w:t>
      </w:r>
      <w:r w:rsidRPr="00382917">
        <w:t>the</w:t>
      </w:r>
      <w:r w:rsidR="00EE4FC3">
        <w:t xml:space="preserve"> </w:t>
      </w:r>
      <w:r w:rsidRPr="00382917">
        <w:t>prophecy</w:t>
      </w:r>
      <w:r w:rsidR="00EE4FC3">
        <w:t xml:space="preserve"> </w:t>
      </w:r>
      <w:r w:rsidRPr="00382917">
        <w:t>of</w:t>
      </w:r>
      <w:r w:rsidR="00EE4FC3">
        <w:t xml:space="preserve"> </w:t>
      </w:r>
      <w:r w:rsidRPr="00382917">
        <w:t>the</w:t>
      </w:r>
    </w:p>
    <w:p w:rsidR="009D4E6D" w:rsidRPr="00382917" w:rsidRDefault="009D4E6D">
      <w:pPr>
        <w:widowControl/>
        <w:kinsoku/>
        <w:overflowPunct/>
        <w:textAlignment w:val="auto"/>
      </w:pPr>
      <w:r w:rsidRPr="00382917">
        <w:br w:type="page"/>
      </w:r>
    </w:p>
    <w:p w:rsidR="00E13D49" w:rsidRPr="00382917" w:rsidRDefault="0054338F" w:rsidP="00873465">
      <w:pPr>
        <w:pStyle w:val="Textcts"/>
      </w:pPr>
      <w:r w:rsidRPr="00382917">
        <w:t>Promised</w:t>
      </w:r>
      <w:r w:rsidR="00EE4FC3">
        <w:t xml:space="preserve"> </w:t>
      </w:r>
      <w:r w:rsidRPr="00382917">
        <w:t>One</w:t>
      </w:r>
      <w:r w:rsidR="00EE4FC3">
        <w:t xml:space="preserve"> </w:t>
      </w:r>
      <w:r w:rsidRPr="00382917">
        <w:t>which</w:t>
      </w:r>
      <w:r w:rsidR="00EE4FC3">
        <w:t xml:space="preserve"> </w:t>
      </w:r>
      <w:r w:rsidRPr="00382917">
        <w:t>said,</w:t>
      </w:r>
      <w:r w:rsidR="00EE4FC3">
        <w:t xml:space="preserve"> </w:t>
      </w:r>
      <w:r w:rsidR="009C713D" w:rsidRPr="00382917">
        <w:t>“</w:t>
      </w:r>
      <w:proofErr w:type="gramStart"/>
      <w:r w:rsidRPr="00382917">
        <w:t>the</w:t>
      </w:r>
      <w:proofErr w:type="gramEnd"/>
      <w:r w:rsidR="00EE4FC3">
        <w:t xml:space="preserve"> </w:t>
      </w:r>
      <w:r w:rsidRPr="00382917">
        <w:t>lowliest</w:t>
      </w:r>
      <w:r w:rsidR="00EE4FC3">
        <w:t xml:space="preserve"> </w:t>
      </w:r>
      <w:r w:rsidRPr="00382917">
        <w:t>of</w:t>
      </w:r>
      <w:r w:rsidR="00EE4FC3">
        <w:t xml:space="preserve"> </w:t>
      </w:r>
      <w:r w:rsidRPr="00382917">
        <w:t>the</w:t>
      </w:r>
      <w:r w:rsidR="00EE4FC3">
        <w:t xml:space="preserve"> </w:t>
      </w:r>
      <w:r w:rsidRPr="00382917">
        <w:t>creatures</w:t>
      </w:r>
      <w:r w:rsidR="00EE4FC3">
        <w:t xml:space="preserve"> </w:t>
      </w:r>
      <w:r w:rsidRPr="00382917">
        <w:t>shall</w:t>
      </w:r>
      <w:r w:rsidR="00EE4FC3">
        <w:t xml:space="preserve"> </w:t>
      </w:r>
      <w:r w:rsidRPr="00382917">
        <w:t>become</w:t>
      </w:r>
      <w:r w:rsidR="00EE4FC3">
        <w:t xml:space="preserve"> </w:t>
      </w:r>
      <w:r w:rsidRPr="00382917">
        <w:t>the</w:t>
      </w:r>
      <w:r w:rsidR="00EE4FC3">
        <w:t xml:space="preserve"> </w:t>
      </w:r>
      <w:r w:rsidRPr="00382917">
        <w:t>most</w:t>
      </w:r>
      <w:r w:rsidR="00EE4FC3">
        <w:t xml:space="preserve"> </w:t>
      </w:r>
      <w:r w:rsidRPr="00382917">
        <w:t>exalted,</w:t>
      </w:r>
      <w:r w:rsidR="00EE4FC3">
        <w:t xml:space="preserve"> </w:t>
      </w:r>
      <w:r w:rsidRPr="00382917">
        <w:t>and</w:t>
      </w:r>
      <w:r w:rsidR="00EE4FC3">
        <w:t xml:space="preserve"> </w:t>
      </w:r>
      <w:r w:rsidRPr="00382917">
        <w:t>the</w:t>
      </w:r>
      <w:r w:rsidR="00EE4FC3">
        <w:t xml:space="preserve"> </w:t>
      </w:r>
      <w:r w:rsidRPr="00382917">
        <w:t>most</w:t>
      </w:r>
      <w:r w:rsidR="00EE4FC3">
        <w:t xml:space="preserve"> </w:t>
      </w:r>
      <w:r w:rsidRPr="00382917">
        <w:t>exalted</w:t>
      </w:r>
      <w:r w:rsidR="00EE4FC3">
        <w:t xml:space="preserve"> </w:t>
      </w:r>
      <w:r w:rsidRPr="00382917">
        <w:t>shall</w:t>
      </w:r>
      <w:r w:rsidR="00EE4FC3">
        <w:t xml:space="preserve"> </w:t>
      </w:r>
      <w:r w:rsidRPr="00382917">
        <w:t>become</w:t>
      </w:r>
      <w:r w:rsidR="00EE4FC3">
        <w:t xml:space="preserve"> </w:t>
      </w:r>
      <w:r w:rsidRPr="00382917">
        <w:t>the</w:t>
      </w:r>
      <w:r w:rsidR="00EE4FC3">
        <w:t xml:space="preserve"> </w:t>
      </w:r>
      <w:r w:rsidRPr="00382917">
        <w:t>most</w:t>
      </w:r>
      <w:r w:rsidR="00EE4FC3">
        <w:t xml:space="preserve"> </w:t>
      </w:r>
      <w:r w:rsidRPr="00382917">
        <w:t>debased.</w:t>
      </w:r>
      <w:r w:rsidR="009C713D" w:rsidRPr="00382917">
        <w:t>”</w:t>
      </w:r>
      <w:r w:rsidR="00873465">
        <w:rPr>
          <w:rStyle w:val="FootnoteReference"/>
        </w:rPr>
        <w:footnoteReference w:id="59"/>
      </w:r>
    </w:p>
    <w:p w:rsidR="0054338F" w:rsidRPr="00382917" w:rsidRDefault="0054338F" w:rsidP="009D4E6D">
      <w:pPr>
        <w:pStyle w:val="Text"/>
      </w:pPr>
      <w:r w:rsidRPr="00382917">
        <w:t>As</w:t>
      </w:r>
      <w:r w:rsidR="00EE4FC3">
        <w:t xml:space="preserve"> </w:t>
      </w:r>
      <w:r w:rsidRPr="00382917">
        <w:t>the</w:t>
      </w:r>
      <w:r w:rsidR="00EE4FC3">
        <w:t xml:space="preserve"> </w:t>
      </w:r>
      <w:r w:rsidRPr="00382917">
        <w:t>Báb</w:t>
      </w:r>
      <w:r w:rsidR="00EE4FC3">
        <w:t xml:space="preserve"> </w:t>
      </w:r>
      <w:r w:rsidRPr="00382917">
        <w:t>approached</w:t>
      </w:r>
      <w:r w:rsidR="00EE4FC3">
        <w:t xml:space="preserve"> </w:t>
      </w:r>
      <w:r w:rsidRPr="00382917">
        <w:t>the</w:t>
      </w:r>
      <w:r w:rsidR="00EE4FC3">
        <w:t xml:space="preserve"> </w:t>
      </w:r>
      <w:r w:rsidRPr="00382917">
        <w:t>city</w:t>
      </w:r>
      <w:r w:rsidR="00EE4FC3">
        <w:t xml:space="preserve"> </w:t>
      </w:r>
      <w:r w:rsidRPr="00382917">
        <w:t>of</w:t>
      </w:r>
      <w:r w:rsidR="00EE4FC3">
        <w:t xml:space="preserve"> </w:t>
      </w:r>
      <w:r w:rsidRPr="00382917">
        <w:t>Iṣf</w:t>
      </w:r>
      <w:r w:rsidR="009D4E6D" w:rsidRPr="00382917">
        <w:t>a</w:t>
      </w:r>
      <w:r w:rsidRPr="00382917">
        <w:t>hán,</w:t>
      </w:r>
      <w:r w:rsidR="00EE4FC3">
        <w:t xml:space="preserve"> </w:t>
      </w:r>
      <w:r w:rsidRPr="00382917">
        <w:t>He</w:t>
      </w:r>
      <w:r w:rsidR="00EE4FC3">
        <w:t xml:space="preserve"> </w:t>
      </w:r>
      <w:r w:rsidRPr="00382917">
        <w:t>wrote</w:t>
      </w:r>
      <w:r w:rsidR="00EE4FC3">
        <w:t xml:space="preserve"> </w:t>
      </w:r>
      <w:r w:rsidRPr="00382917">
        <w:t>a</w:t>
      </w:r>
      <w:r w:rsidR="00EE4FC3">
        <w:t xml:space="preserve"> </w:t>
      </w:r>
      <w:r w:rsidRPr="00382917">
        <w:t>letter</w:t>
      </w:r>
      <w:r w:rsidR="00EE4FC3">
        <w:t xml:space="preserve"> </w:t>
      </w:r>
      <w:r w:rsidRPr="00382917">
        <w:t>to</w:t>
      </w:r>
      <w:r w:rsidR="00EE4FC3">
        <w:t xml:space="preserve"> </w:t>
      </w:r>
      <w:r w:rsidRPr="00382917">
        <w:t>the</w:t>
      </w:r>
      <w:r w:rsidR="00EE4FC3">
        <w:t xml:space="preserve"> </w:t>
      </w:r>
      <w:r w:rsidRPr="00382917">
        <w:t>governor</w:t>
      </w:r>
      <w:r w:rsidR="00EE4FC3">
        <w:t xml:space="preserve"> </w:t>
      </w:r>
      <w:r w:rsidRPr="00382917">
        <w:t>of</w:t>
      </w:r>
      <w:r w:rsidR="00EE4FC3">
        <w:t xml:space="preserve"> </w:t>
      </w:r>
      <w:r w:rsidRPr="00382917">
        <w:t>that</w:t>
      </w:r>
      <w:r w:rsidR="00EE4FC3">
        <w:t xml:space="preserve"> </w:t>
      </w:r>
      <w:r w:rsidRPr="00382917">
        <w:t>province,</w:t>
      </w:r>
      <w:r w:rsidR="00EE4FC3">
        <w:t xml:space="preserve"> </w:t>
      </w:r>
      <w:r w:rsidR="0040329F" w:rsidRPr="00382917">
        <w:t>Manú</w:t>
      </w:r>
      <w:r w:rsidR="0040329F" w:rsidRPr="0040329F">
        <w:rPr>
          <w:u w:val="single"/>
        </w:rPr>
        <w:t>ch</w:t>
      </w:r>
      <w:r w:rsidR="0040329F" w:rsidRPr="00382917">
        <w:t>ihr</w:t>
      </w:r>
      <w:r w:rsidR="00EE4FC3">
        <w:t xml:space="preserve"> </w:t>
      </w:r>
      <w:r w:rsidR="0040329F" w:rsidRPr="0040329F">
        <w:rPr>
          <w:u w:val="single"/>
        </w:rPr>
        <w:t>Kh</w:t>
      </w:r>
      <w:r w:rsidR="0040329F" w:rsidRPr="00382917">
        <w:t>án</w:t>
      </w:r>
      <w:r w:rsidR="00C03C91">
        <w:t>.</w:t>
      </w:r>
      <w:r w:rsidR="00EE4FC3">
        <w:t xml:space="preserve">  </w:t>
      </w:r>
      <w:r w:rsidRPr="00382917">
        <w:t>The</w:t>
      </w:r>
      <w:r w:rsidR="00EE4FC3">
        <w:t xml:space="preserve"> </w:t>
      </w:r>
      <w:r w:rsidRPr="00382917">
        <w:t>letter</w:t>
      </w:r>
      <w:r w:rsidR="00EE4FC3">
        <w:t xml:space="preserve"> </w:t>
      </w:r>
      <w:r w:rsidRPr="00382917">
        <w:t>was</w:t>
      </w:r>
      <w:r w:rsidR="00EE4FC3">
        <w:t xml:space="preserve"> </w:t>
      </w:r>
      <w:r w:rsidRPr="00382917">
        <w:t>so</w:t>
      </w:r>
      <w:r w:rsidR="00EE4FC3">
        <w:t xml:space="preserve"> </w:t>
      </w:r>
      <w:r w:rsidRPr="00382917">
        <w:t>courteous</w:t>
      </w:r>
      <w:r w:rsidR="00EE4FC3">
        <w:t xml:space="preserve"> </w:t>
      </w:r>
      <w:r w:rsidRPr="00382917">
        <w:t>and</w:t>
      </w:r>
      <w:r w:rsidR="00EE4FC3">
        <w:t xml:space="preserve"> </w:t>
      </w:r>
      <w:r w:rsidRPr="00382917">
        <w:t>friendly,</w:t>
      </w:r>
      <w:r w:rsidR="00EE4FC3">
        <w:t xml:space="preserve"> </w:t>
      </w:r>
      <w:r w:rsidRPr="00382917">
        <w:t>and</w:t>
      </w:r>
      <w:r w:rsidR="00EE4FC3">
        <w:t xml:space="preserve"> </w:t>
      </w:r>
      <w:r w:rsidRPr="00382917">
        <w:t>of</w:t>
      </w:r>
      <w:r w:rsidR="00EE4FC3">
        <w:t xml:space="preserve"> </w:t>
      </w:r>
      <w:r w:rsidRPr="00382917">
        <w:t>such</w:t>
      </w:r>
      <w:r w:rsidR="00EE4FC3">
        <w:t xml:space="preserve"> </w:t>
      </w:r>
      <w:r w:rsidRPr="00382917">
        <w:t>exquisite</w:t>
      </w:r>
      <w:r w:rsidR="00EE4FC3">
        <w:t xml:space="preserve"> </w:t>
      </w:r>
      <w:r w:rsidRPr="00382917">
        <w:t>penmanship,</w:t>
      </w:r>
      <w:r w:rsidR="00EE4FC3">
        <w:t xml:space="preserve"> </w:t>
      </w:r>
      <w:r w:rsidRPr="00382917">
        <w:t>that</w:t>
      </w:r>
      <w:r w:rsidR="00EE4FC3">
        <w:t xml:space="preserve"> </w:t>
      </w:r>
      <w:r w:rsidRPr="00382917">
        <w:t>it</w:t>
      </w:r>
      <w:r w:rsidR="00EE4FC3">
        <w:t xml:space="preserve"> </w:t>
      </w:r>
      <w:r w:rsidRPr="00382917">
        <w:t>immediately</w:t>
      </w:r>
      <w:r w:rsidR="00EE4FC3">
        <w:t xml:space="preserve"> </w:t>
      </w:r>
      <w:r w:rsidRPr="00382917">
        <w:t>attracted</w:t>
      </w:r>
      <w:r w:rsidR="00EE4FC3">
        <w:t xml:space="preserve"> </w:t>
      </w:r>
      <w:r w:rsidRPr="00382917">
        <w:t>the</w:t>
      </w:r>
      <w:r w:rsidR="00EE4FC3">
        <w:t xml:space="preserve"> </w:t>
      </w:r>
      <w:r w:rsidRPr="00382917">
        <w:t>attention</w:t>
      </w:r>
      <w:r w:rsidR="00EE4FC3">
        <w:t xml:space="preserve"> </w:t>
      </w:r>
      <w:r w:rsidRPr="00382917">
        <w:t>of</w:t>
      </w:r>
      <w:r w:rsidR="00EE4FC3">
        <w:t xml:space="preserve"> </w:t>
      </w:r>
      <w:r w:rsidRPr="00382917">
        <w:t>the</w:t>
      </w:r>
      <w:r w:rsidR="00EE4FC3">
        <w:t xml:space="preserve"> </w:t>
      </w:r>
      <w:r w:rsidRPr="00382917">
        <w:t>governor</w:t>
      </w:r>
      <w:r w:rsidR="00C03C91">
        <w:t>.</w:t>
      </w:r>
      <w:r w:rsidR="00EE4FC3">
        <w:t xml:space="preserve">  </w:t>
      </w:r>
      <w:r w:rsidRPr="00382917">
        <w:t>Unlike</w:t>
      </w:r>
      <w:r w:rsidR="00EE4FC3">
        <w:t xml:space="preserve"> </w:t>
      </w:r>
      <w:r w:rsidR="00964C11" w:rsidRPr="00382917">
        <w:t>Ḥusayn</w:t>
      </w:r>
      <w:r w:rsidR="00EE4FC3">
        <w:t xml:space="preserve"> </w:t>
      </w:r>
      <w:r w:rsidR="0040329F" w:rsidRPr="0040329F">
        <w:rPr>
          <w:u w:val="single"/>
        </w:rPr>
        <w:t>Kh</w:t>
      </w:r>
      <w:r w:rsidR="0040329F" w:rsidRPr="00382917">
        <w:t>án</w:t>
      </w:r>
      <w:r w:rsidRPr="00382917">
        <w:t>,</w:t>
      </w:r>
      <w:r w:rsidR="00EE4FC3">
        <w:t xml:space="preserve"> </w:t>
      </w:r>
      <w:r w:rsidRPr="00382917">
        <w:t>he</w:t>
      </w:r>
      <w:r w:rsidR="00EE4FC3">
        <w:t xml:space="preserve"> </w:t>
      </w:r>
      <w:r w:rsidRPr="00382917">
        <w:t>was</w:t>
      </w:r>
      <w:r w:rsidR="00EE4FC3">
        <w:t xml:space="preserve"> </w:t>
      </w:r>
      <w:r w:rsidRPr="00382917">
        <w:t>not</w:t>
      </w:r>
      <w:r w:rsidR="00EE4FC3">
        <w:t xml:space="preserve"> </w:t>
      </w:r>
      <w:r w:rsidRPr="00382917">
        <w:t>opposed</w:t>
      </w:r>
      <w:r w:rsidR="00EE4FC3">
        <w:t xml:space="preserve"> </w:t>
      </w:r>
      <w:r w:rsidRPr="00382917">
        <w:t>to</w:t>
      </w:r>
      <w:r w:rsidR="00EE4FC3">
        <w:t xml:space="preserve"> </w:t>
      </w:r>
      <w:r w:rsidRPr="00382917">
        <w:t>knowing</w:t>
      </w:r>
      <w:r w:rsidR="00EE4FC3">
        <w:t xml:space="preserve"> </w:t>
      </w:r>
      <w:r w:rsidRPr="00382917">
        <w:t>more</w:t>
      </w:r>
      <w:r w:rsidR="00EE4FC3">
        <w:t xml:space="preserve"> </w:t>
      </w:r>
      <w:r w:rsidRPr="00382917">
        <w:t>about</w:t>
      </w:r>
      <w:r w:rsidR="00EE4FC3">
        <w:t xml:space="preserve"> </w:t>
      </w:r>
      <w:r w:rsidRPr="00382917">
        <w:t>this</w:t>
      </w:r>
      <w:r w:rsidR="00EE4FC3">
        <w:t xml:space="preserve"> </w:t>
      </w:r>
      <w:r w:rsidRPr="00382917">
        <w:t>Young</w:t>
      </w:r>
      <w:r w:rsidR="00EE4FC3">
        <w:t xml:space="preserve"> </w:t>
      </w:r>
      <w:r w:rsidRPr="00382917">
        <w:t>Man</w:t>
      </w:r>
      <w:r w:rsidR="00C03C91">
        <w:t>.</w:t>
      </w:r>
      <w:r w:rsidR="00EE4FC3">
        <w:t xml:space="preserve">  </w:t>
      </w:r>
      <w:r w:rsidRPr="00382917">
        <w:t>He</w:t>
      </w:r>
      <w:r w:rsidR="00EE4FC3">
        <w:t xml:space="preserve"> </w:t>
      </w:r>
      <w:r w:rsidRPr="00382917">
        <w:t>decided</w:t>
      </w:r>
      <w:r w:rsidR="00EE4FC3">
        <w:t xml:space="preserve"> </w:t>
      </w:r>
      <w:r w:rsidRPr="00382917">
        <w:t>to</w:t>
      </w:r>
      <w:r w:rsidR="00EE4FC3">
        <w:t xml:space="preserve"> </w:t>
      </w:r>
      <w:r w:rsidRPr="00382917">
        <w:t>take</w:t>
      </w:r>
      <w:r w:rsidR="00EE4FC3">
        <w:t xml:space="preserve"> </w:t>
      </w:r>
      <w:r w:rsidRPr="00382917">
        <w:t>the</w:t>
      </w:r>
      <w:r w:rsidR="00EE4FC3">
        <w:t xml:space="preserve"> </w:t>
      </w:r>
      <w:r w:rsidRPr="00382917">
        <w:t>Báb</w:t>
      </w:r>
      <w:r w:rsidR="00EE4FC3">
        <w:t xml:space="preserve"> </w:t>
      </w:r>
      <w:r w:rsidRPr="00382917">
        <w:t>under</w:t>
      </w:r>
      <w:r w:rsidR="00EE4FC3">
        <w:t xml:space="preserve"> </w:t>
      </w:r>
      <w:r w:rsidRPr="00382917">
        <w:t>his</w:t>
      </w:r>
      <w:r w:rsidR="00EE4FC3">
        <w:t xml:space="preserve"> </w:t>
      </w:r>
      <w:r w:rsidRPr="00382917">
        <w:t>protection</w:t>
      </w:r>
      <w:r w:rsidR="00EE4FC3">
        <w:t xml:space="preserve"> </w:t>
      </w:r>
      <w:r w:rsidRPr="00382917">
        <w:t>until</w:t>
      </w:r>
      <w:r w:rsidR="00EE4FC3">
        <w:t xml:space="preserve"> </w:t>
      </w:r>
      <w:r w:rsidRPr="00382917">
        <w:t>he</w:t>
      </w:r>
      <w:r w:rsidR="00EE4FC3">
        <w:t xml:space="preserve"> </w:t>
      </w:r>
      <w:r w:rsidRPr="00382917">
        <w:t>could</w:t>
      </w:r>
      <w:r w:rsidR="00EE4FC3">
        <w:t xml:space="preserve"> </w:t>
      </w:r>
      <w:r w:rsidRPr="00382917">
        <w:t>investigate</w:t>
      </w:r>
      <w:r w:rsidR="00EE4FC3">
        <w:t xml:space="preserve"> </w:t>
      </w:r>
      <w:r w:rsidRPr="00382917">
        <w:t>the</w:t>
      </w:r>
      <w:r w:rsidR="00EE4FC3">
        <w:t xml:space="preserve"> </w:t>
      </w:r>
      <w:r w:rsidRPr="00382917">
        <w:t>truth</w:t>
      </w:r>
      <w:r w:rsidR="00EE4FC3">
        <w:t xml:space="preserve"> </w:t>
      </w:r>
      <w:r w:rsidRPr="00382917">
        <w:t>of</w:t>
      </w:r>
      <w:r w:rsidR="00EE4FC3">
        <w:t xml:space="preserve"> </w:t>
      </w:r>
      <w:r w:rsidRPr="00382917">
        <w:t>His</w:t>
      </w:r>
      <w:r w:rsidR="00EE4FC3">
        <w:t xml:space="preserve"> </w:t>
      </w:r>
      <w:r w:rsidRPr="00382917">
        <w:t>claim.</w:t>
      </w:r>
    </w:p>
    <w:p w:rsidR="0054338F" w:rsidRPr="00382917" w:rsidRDefault="0040329F" w:rsidP="009D4E6D">
      <w:pPr>
        <w:pStyle w:val="Text"/>
      </w:pPr>
      <w:r w:rsidRPr="00382917">
        <w:t>Manú</w:t>
      </w:r>
      <w:r w:rsidRPr="0040329F">
        <w:rPr>
          <w:u w:val="single"/>
        </w:rPr>
        <w:t>ch</w:t>
      </w:r>
      <w:r w:rsidRPr="00382917">
        <w:t>ihr</w:t>
      </w:r>
      <w:r w:rsidR="00EE4FC3">
        <w:t xml:space="preserve"> </w:t>
      </w:r>
      <w:r w:rsidRPr="0040329F">
        <w:rPr>
          <w:u w:val="single"/>
        </w:rPr>
        <w:t>Kh</w:t>
      </w:r>
      <w:r w:rsidRPr="00382917">
        <w:t>án</w:t>
      </w:r>
      <w:r w:rsidR="00EE4FC3">
        <w:t xml:space="preserve"> </w:t>
      </w:r>
      <w:r w:rsidR="0054338F" w:rsidRPr="00382917">
        <w:t>instructed</w:t>
      </w:r>
      <w:r w:rsidR="00EE4FC3">
        <w:t xml:space="preserve"> </w:t>
      </w:r>
      <w:r w:rsidR="0054338F" w:rsidRPr="00382917">
        <w:t>the</w:t>
      </w:r>
      <w:r w:rsidR="00EE4FC3">
        <w:t xml:space="preserve"> </w:t>
      </w:r>
      <w:r w:rsidR="0054338F" w:rsidRPr="00382917">
        <w:t>chief</w:t>
      </w:r>
      <w:r w:rsidR="00EE4FC3">
        <w:t xml:space="preserve"> </w:t>
      </w:r>
      <w:r w:rsidR="0054338F" w:rsidRPr="00382917">
        <w:t>priest</w:t>
      </w:r>
      <w:r w:rsidR="00EE4FC3">
        <w:t xml:space="preserve"> </w:t>
      </w:r>
      <w:r w:rsidR="0054338F" w:rsidRPr="00382917">
        <w:t>of</w:t>
      </w:r>
      <w:r w:rsidR="00EE4FC3">
        <w:t xml:space="preserve"> </w:t>
      </w:r>
      <w:r w:rsidR="0054338F" w:rsidRPr="00382917">
        <w:t>the</w:t>
      </w:r>
      <w:r w:rsidR="00EE4FC3">
        <w:t xml:space="preserve"> </w:t>
      </w:r>
      <w:r w:rsidR="0054338F" w:rsidRPr="00382917">
        <w:t>Province</w:t>
      </w:r>
      <w:r w:rsidR="00EE4FC3">
        <w:t xml:space="preserve"> </w:t>
      </w:r>
      <w:r w:rsidR="0054338F" w:rsidRPr="00382917">
        <w:t>to</w:t>
      </w:r>
      <w:r w:rsidR="00EE4FC3">
        <w:t xml:space="preserve"> </w:t>
      </w:r>
      <w:r w:rsidR="0054338F" w:rsidRPr="00382917">
        <w:t>meet</w:t>
      </w:r>
      <w:r w:rsidR="00EE4FC3">
        <w:t xml:space="preserve"> </w:t>
      </w:r>
      <w:r w:rsidR="0054338F" w:rsidRPr="00382917">
        <w:t>the</w:t>
      </w:r>
      <w:r w:rsidR="00EE4FC3">
        <w:t xml:space="preserve"> </w:t>
      </w:r>
      <w:r w:rsidR="0054338F" w:rsidRPr="00382917">
        <w:t>Báb</w:t>
      </w:r>
      <w:r w:rsidR="00EE4FC3">
        <w:t xml:space="preserve"> </w:t>
      </w:r>
      <w:r w:rsidR="0054338F" w:rsidRPr="00382917">
        <w:t>and</w:t>
      </w:r>
      <w:r w:rsidR="00EE4FC3">
        <w:t xml:space="preserve"> </w:t>
      </w:r>
      <w:r w:rsidR="0054338F" w:rsidRPr="00382917">
        <w:t>to</w:t>
      </w:r>
      <w:r w:rsidR="00EE4FC3">
        <w:t xml:space="preserve"> </w:t>
      </w:r>
      <w:r w:rsidR="0054338F" w:rsidRPr="00382917">
        <w:t>take</w:t>
      </w:r>
      <w:r w:rsidR="00EE4FC3">
        <w:t xml:space="preserve"> </w:t>
      </w:r>
      <w:r w:rsidR="0054338F" w:rsidRPr="00382917">
        <w:t>Him</w:t>
      </w:r>
      <w:r w:rsidR="00EE4FC3">
        <w:t xml:space="preserve"> </w:t>
      </w:r>
      <w:r w:rsidR="0054338F" w:rsidRPr="00382917">
        <w:t>into</w:t>
      </w:r>
      <w:r w:rsidR="00EE4FC3">
        <w:t xml:space="preserve"> </w:t>
      </w:r>
      <w:r w:rsidR="0054338F" w:rsidRPr="00382917">
        <w:t>his</w:t>
      </w:r>
      <w:r w:rsidR="00EE4FC3">
        <w:t xml:space="preserve"> </w:t>
      </w:r>
      <w:r w:rsidR="0054338F" w:rsidRPr="00382917">
        <w:t>own</w:t>
      </w:r>
      <w:r w:rsidR="00EE4FC3">
        <w:t xml:space="preserve"> </w:t>
      </w:r>
      <w:r w:rsidR="0054338F" w:rsidRPr="00382917">
        <w:t>home</w:t>
      </w:r>
      <w:r w:rsidR="00C03C91">
        <w:t>.</w:t>
      </w:r>
      <w:r w:rsidR="00EE4FC3">
        <w:t xml:space="preserve">  </w:t>
      </w:r>
      <w:r w:rsidR="0054338F" w:rsidRPr="00382917">
        <w:t>He</w:t>
      </w:r>
      <w:r w:rsidR="00EE4FC3">
        <w:t xml:space="preserve"> </w:t>
      </w:r>
      <w:r w:rsidR="0054338F" w:rsidRPr="00382917">
        <w:t>told</w:t>
      </w:r>
      <w:r w:rsidR="00EE4FC3">
        <w:t xml:space="preserve"> </w:t>
      </w:r>
      <w:r w:rsidR="0054338F" w:rsidRPr="00382917">
        <w:t>him</w:t>
      </w:r>
      <w:r w:rsidR="00EE4FC3">
        <w:t xml:space="preserve"> </w:t>
      </w:r>
      <w:r w:rsidR="0054338F" w:rsidRPr="00382917">
        <w:t>to</w:t>
      </w:r>
      <w:r w:rsidR="00EE4FC3">
        <w:t xml:space="preserve"> </w:t>
      </w:r>
      <w:r w:rsidR="0054338F" w:rsidRPr="00382917">
        <w:t>treat</w:t>
      </w:r>
      <w:r w:rsidR="00EE4FC3">
        <w:t xml:space="preserve"> </w:t>
      </w:r>
      <w:r w:rsidR="0054338F" w:rsidRPr="00382917">
        <w:t>the</w:t>
      </w:r>
      <w:r w:rsidR="00EE4FC3">
        <w:t xml:space="preserve"> </w:t>
      </w:r>
      <w:r w:rsidR="0054338F" w:rsidRPr="00382917">
        <w:t>Báb</w:t>
      </w:r>
      <w:r w:rsidR="00EE4FC3">
        <w:t xml:space="preserve"> </w:t>
      </w:r>
      <w:r w:rsidR="0054338F" w:rsidRPr="00382917">
        <w:t>with</w:t>
      </w:r>
      <w:r w:rsidR="00EE4FC3">
        <w:t xml:space="preserve"> </w:t>
      </w:r>
      <w:r w:rsidR="0054338F" w:rsidRPr="00382917">
        <w:t>great</w:t>
      </w:r>
      <w:r w:rsidR="00EE4FC3">
        <w:t xml:space="preserve"> </w:t>
      </w:r>
      <w:r w:rsidR="0054338F" w:rsidRPr="00382917">
        <w:t>kindness</w:t>
      </w:r>
      <w:r w:rsidR="00EE4FC3">
        <w:t xml:space="preserve"> </w:t>
      </w:r>
      <w:r w:rsidR="0054338F" w:rsidRPr="00382917">
        <w:t>and</w:t>
      </w:r>
      <w:r w:rsidR="00EE4FC3">
        <w:t xml:space="preserve"> </w:t>
      </w:r>
      <w:r w:rsidR="0054338F" w:rsidRPr="00382917">
        <w:t>consideration.</w:t>
      </w:r>
    </w:p>
    <w:p w:rsidR="0054338F" w:rsidRPr="00382917" w:rsidRDefault="0054338F" w:rsidP="009D4E6D">
      <w:pPr>
        <w:pStyle w:val="Text"/>
      </w:pPr>
      <w:r w:rsidRPr="00382917">
        <w:t>The</w:t>
      </w:r>
      <w:r w:rsidR="00EE4FC3">
        <w:t xml:space="preserve"> </w:t>
      </w:r>
      <w:r w:rsidRPr="00382917">
        <w:t>chief</w:t>
      </w:r>
      <w:r w:rsidR="00EE4FC3">
        <w:t xml:space="preserve"> </w:t>
      </w:r>
      <w:r w:rsidRPr="00382917">
        <w:t>priest</w:t>
      </w:r>
      <w:r w:rsidR="00EE4FC3">
        <w:t xml:space="preserve"> </w:t>
      </w:r>
      <w:r w:rsidRPr="00382917">
        <w:t>was</w:t>
      </w:r>
      <w:r w:rsidR="00EE4FC3">
        <w:t xml:space="preserve"> </w:t>
      </w:r>
      <w:r w:rsidRPr="00382917">
        <w:t>very</w:t>
      </w:r>
      <w:r w:rsidR="00EE4FC3">
        <w:t xml:space="preserve"> </w:t>
      </w:r>
      <w:r w:rsidRPr="00382917">
        <w:t>displeased</w:t>
      </w:r>
      <w:r w:rsidR="00EE4FC3">
        <w:t xml:space="preserve"> </w:t>
      </w:r>
      <w:r w:rsidRPr="00382917">
        <w:t>at</w:t>
      </w:r>
      <w:r w:rsidR="00EE4FC3">
        <w:t xml:space="preserve"> </w:t>
      </w:r>
      <w:r w:rsidRPr="00382917">
        <w:t>being</w:t>
      </w:r>
      <w:r w:rsidR="00EE4FC3">
        <w:t xml:space="preserve"> </w:t>
      </w:r>
      <w:r w:rsidRPr="00382917">
        <w:t>given</w:t>
      </w:r>
      <w:r w:rsidR="00EE4FC3">
        <w:t xml:space="preserve"> </w:t>
      </w:r>
      <w:r w:rsidRPr="00382917">
        <w:t>this</w:t>
      </w:r>
      <w:r w:rsidR="00EE4FC3">
        <w:t xml:space="preserve"> </w:t>
      </w:r>
      <w:r w:rsidRPr="00382917">
        <w:t>task</w:t>
      </w:r>
      <w:r w:rsidR="00C03C91">
        <w:t>.</w:t>
      </w:r>
      <w:r w:rsidR="00EE4FC3">
        <w:t xml:space="preserve">  </w:t>
      </w:r>
      <w:r w:rsidRPr="00382917">
        <w:t>However,</w:t>
      </w:r>
      <w:r w:rsidR="00EE4FC3">
        <w:t xml:space="preserve"> </w:t>
      </w:r>
      <w:r w:rsidRPr="00382917">
        <w:t>he</w:t>
      </w:r>
      <w:r w:rsidR="00EE4FC3">
        <w:t xml:space="preserve"> </w:t>
      </w:r>
      <w:r w:rsidRPr="00382917">
        <w:t>was</w:t>
      </w:r>
      <w:r w:rsidR="00EE4FC3">
        <w:t xml:space="preserve"> </w:t>
      </w:r>
      <w:r w:rsidRPr="00382917">
        <w:t>afraid</w:t>
      </w:r>
      <w:r w:rsidR="00EE4FC3">
        <w:t xml:space="preserve"> </w:t>
      </w:r>
      <w:r w:rsidRPr="00382917">
        <w:t>to</w:t>
      </w:r>
      <w:r w:rsidR="00EE4FC3">
        <w:t xml:space="preserve"> </w:t>
      </w:r>
      <w:r w:rsidRPr="00382917">
        <w:t>offend</w:t>
      </w:r>
      <w:r w:rsidR="00EE4FC3">
        <w:t xml:space="preserve"> </w:t>
      </w:r>
      <w:r w:rsidRPr="00382917">
        <w:t>the</w:t>
      </w:r>
      <w:r w:rsidR="00EE4FC3">
        <w:t xml:space="preserve"> </w:t>
      </w:r>
      <w:r w:rsidRPr="00382917">
        <w:t>powerful</w:t>
      </w:r>
      <w:r w:rsidR="00EE4FC3">
        <w:t xml:space="preserve"> </w:t>
      </w:r>
      <w:r w:rsidR="0040329F" w:rsidRPr="00382917">
        <w:t>Manú</w:t>
      </w:r>
      <w:r w:rsidR="0040329F" w:rsidRPr="0040329F">
        <w:rPr>
          <w:u w:val="single"/>
        </w:rPr>
        <w:t>ch</w:t>
      </w:r>
      <w:r w:rsidR="0040329F" w:rsidRPr="00382917">
        <w:t>ihr</w:t>
      </w:r>
      <w:r w:rsidR="00EE4FC3">
        <w:t xml:space="preserve"> </w:t>
      </w:r>
      <w:r w:rsidR="0040329F" w:rsidRPr="0040329F">
        <w:rPr>
          <w:u w:val="single"/>
        </w:rPr>
        <w:t>Kh</w:t>
      </w:r>
      <w:r w:rsidR="0040329F" w:rsidRPr="00382917">
        <w:t>án</w:t>
      </w:r>
      <w:r w:rsidRPr="00382917">
        <w:t>,</w:t>
      </w:r>
      <w:r w:rsidR="00EE4FC3">
        <w:t xml:space="preserve"> </w:t>
      </w:r>
      <w:r w:rsidRPr="00382917">
        <w:t>so</w:t>
      </w:r>
      <w:r w:rsidR="00EE4FC3">
        <w:t xml:space="preserve"> </w:t>
      </w:r>
      <w:r w:rsidRPr="00382917">
        <w:t>he</w:t>
      </w:r>
      <w:r w:rsidR="00EE4FC3">
        <w:t xml:space="preserve"> </w:t>
      </w:r>
      <w:r w:rsidRPr="00382917">
        <w:t>complied</w:t>
      </w:r>
      <w:r w:rsidR="00EE4FC3">
        <w:t xml:space="preserve"> </w:t>
      </w:r>
      <w:r w:rsidRPr="00382917">
        <w:t>grudgingly</w:t>
      </w:r>
      <w:r w:rsidR="00EE4FC3">
        <w:t xml:space="preserve"> </w:t>
      </w:r>
      <w:proofErr w:type="gramStart"/>
      <w:r w:rsidRPr="00382917">
        <w:t>to</w:t>
      </w:r>
      <w:proofErr w:type="gramEnd"/>
      <w:r w:rsidR="00EE4FC3">
        <w:t xml:space="preserve"> </w:t>
      </w:r>
      <w:r w:rsidRPr="00382917">
        <w:t>the</w:t>
      </w:r>
      <w:r w:rsidR="00EE4FC3">
        <w:t xml:space="preserve"> </w:t>
      </w:r>
      <w:r w:rsidRPr="00382917">
        <w:t>request</w:t>
      </w:r>
      <w:r w:rsidR="00C03C91">
        <w:t>.</w:t>
      </w:r>
      <w:r w:rsidR="00EE4FC3">
        <w:t xml:space="preserve">  </w:t>
      </w:r>
      <w:r w:rsidRPr="00382917">
        <w:t>Yet</w:t>
      </w:r>
      <w:r w:rsidR="00EE4FC3">
        <w:t xml:space="preserve"> </w:t>
      </w:r>
      <w:r w:rsidRPr="00382917">
        <w:t>even</w:t>
      </w:r>
      <w:r w:rsidR="00EE4FC3">
        <w:t xml:space="preserve"> </w:t>
      </w:r>
      <w:r w:rsidRPr="00382917">
        <w:t>he</w:t>
      </w:r>
      <w:r w:rsidR="00EE4FC3">
        <w:t xml:space="preserve"> </w:t>
      </w:r>
      <w:r w:rsidRPr="00382917">
        <w:t>admitted</w:t>
      </w:r>
      <w:r w:rsidR="00EE4FC3">
        <w:t xml:space="preserve"> </w:t>
      </w:r>
      <w:r w:rsidRPr="00382917">
        <w:t>that</w:t>
      </w:r>
      <w:r w:rsidR="00EE4FC3">
        <w:t xml:space="preserve"> </w:t>
      </w:r>
      <w:r w:rsidRPr="00382917">
        <w:t>in</w:t>
      </w:r>
      <w:r w:rsidR="00EE4FC3">
        <w:t xml:space="preserve"> </w:t>
      </w:r>
      <w:r w:rsidRPr="00382917">
        <w:t>spite</w:t>
      </w:r>
      <w:r w:rsidR="00EE4FC3">
        <w:t xml:space="preserve"> </w:t>
      </w:r>
      <w:r w:rsidRPr="00382917">
        <w:t>of</w:t>
      </w:r>
      <w:r w:rsidR="00EE4FC3">
        <w:t xml:space="preserve"> </w:t>
      </w:r>
      <w:r w:rsidRPr="00382917">
        <w:t>his</w:t>
      </w:r>
      <w:r w:rsidR="00EE4FC3">
        <w:t xml:space="preserve"> </w:t>
      </w:r>
      <w:r w:rsidRPr="00382917">
        <w:t>anger,</w:t>
      </w:r>
      <w:r w:rsidR="00EE4FC3">
        <w:t xml:space="preserve"> </w:t>
      </w:r>
      <w:r w:rsidRPr="00382917">
        <w:t>from</w:t>
      </w:r>
      <w:r w:rsidR="00EE4FC3">
        <w:t xml:space="preserve"> </w:t>
      </w:r>
      <w:r w:rsidRPr="00382917">
        <w:t>the</w:t>
      </w:r>
      <w:r w:rsidR="00EE4FC3">
        <w:t xml:space="preserve"> </w:t>
      </w:r>
      <w:r w:rsidRPr="00382917">
        <w:t>very</w:t>
      </w:r>
      <w:r w:rsidR="00EE4FC3">
        <w:t xml:space="preserve"> </w:t>
      </w:r>
      <w:r w:rsidRPr="00382917">
        <w:t>first</w:t>
      </w:r>
      <w:r w:rsidR="00EE4FC3">
        <w:t xml:space="preserve"> </w:t>
      </w:r>
      <w:r w:rsidRPr="00382917">
        <w:t>night,</w:t>
      </w:r>
      <w:r w:rsidR="00EE4FC3">
        <w:t xml:space="preserve"> </w:t>
      </w:r>
      <w:r w:rsidRPr="00382917">
        <w:t>he</w:t>
      </w:r>
      <w:r w:rsidR="00EE4FC3">
        <w:t xml:space="preserve"> </w:t>
      </w:r>
      <w:r w:rsidRPr="00382917">
        <w:t>fell</w:t>
      </w:r>
      <w:r w:rsidR="00EE4FC3">
        <w:t xml:space="preserve"> </w:t>
      </w:r>
      <w:r w:rsidRPr="00382917">
        <w:t>under</w:t>
      </w:r>
      <w:r w:rsidR="00EE4FC3">
        <w:t xml:space="preserve"> </w:t>
      </w:r>
      <w:r w:rsidRPr="00382917">
        <w:t>the</w:t>
      </w:r>
      <w:r w:rsidR="00EE4FC3">
        <w:t xml:space="preserve"> </w:t>
      </w:r>
      <w:r w:rsidRPr="00382917">
        <w:t>spell</w:t>
      </w:r>
      <w:r w:rsidR="00EE4FC3">
        <w:t xml:space="preserve"> </w:t>
      </w:r>
      <w:r w:rsidRPr="00382917">
        <w:t>of</w:t>
      </w:r>
      <w:r w:rsidR="00EE4FC3">
        <w:t xml:space="preserve"> </w:t>
      </w:r>
      <w:r w:rsidRPr="00382917">
        <w:t>the</w:t>
      </w:r>
      <w:r w:rsidR="00EE4FC3">
        <w:t xml:space="preserve"> </w:t>
      </w:r>
      <w:r w:rsidRPr="00382917">
        <w:t>Báb.</w:t>
      </w:r>
    </w:p>
    <w:p w:rsidR="0054338F" w:rsidRPr="00382917" w:rsidRDefault="0054338F" w:rsidP="00873465">
      <w:pPr>
        <w:pStyle w:val="Text"/>
      </w:pPr>
      <w:r w:rsidRPr="00382917">
        <w:t>The</w:t>
      </w:r>
      <w:r w:rsidR="00EE4FC3">
        <w:t xml:space="preserve"> </w:t>
      </w:r>
      <w:r w:rsidRPr="00382917">
        <w:t>Báb</w:t>
      </w:r>
      <w:r w:rsidR="009C713D" w:rsidRPr="00382917">
        <w:t>’</w:t>
      </w:r>
      <w:r w:rsidRPr="00382917">
        <w:t>s</w:t>
      </w:r>
      <w:r w:rsidR="00EE4FC3">
        <w:t xml:space="preserve"> </w:t>
      </w:r>
      <w:r w:rsidRPr="00382917">
        <w:t>presence</w:t>
      </w:r>
      <w:r w:rsidR="00EE4FC3">
        <w:t xml:space="preserve"> </w:t>
      </w:r>
      <w:r w:rsidRPr="00382917">
        <w:t>in</w:t>
      </w:r>
      <w:r w:rsidR="00EE4FC3">
        <w:t xml:space="preserve"> </w:t>
      </w:r>
      <w:r w:rsidRPr="00382917">
        <w:t>Iṣf</w:t>
      </w:r>
      <w:r w:rsidR="009D4E6D" w:rsidRPr="00382917">
        <w:t>a</w:t>
      </w:r>
      <w:r w:rsidRPr="00382917">
        <w:t>hán</w:t>
      </w:r>
      <w:r w:rsidR="00EE4FC3">
        <w:t xml:space="preserve"> </w:t>
      </w:r>
      <w:r w:rsidRPr="00382917">
        <w:t>caused</w:t>
      </w:r>
      <w:r w:rsidR="00EE4FC3">
        <w:t xml:space="preserve"> </w:t>
      </w:r>
      <w:r w:rsidRPr="00382917">
        <w:t>even</w:t>
      </w:r>
      <w:r w:rsidR="00EE4FC3">
        <w:t xml:space="preserve"> </w:t>
      </w:r>
      <w:r w:rsidRPr="00382917">
        <w:t>more</w:t>
      </w:r>
      <w:r w:rsidR="00EE4FC3">
        <w:t xml:space="preserve"> </w:t>
      </w:r>
      <w:r w:rsidRPr="00382917">
        <w:t>excitement</w:t>
      </w:r>
      <w:r w:rsidR="00EE4FC3">
        <w:t xml:space="preserve"> </w:t>
      </w:r>
      <w:r w:rsidRPr="00382917">
        <w:t>than</w:t>
      </w:r>
      <w:r w:rsidR="00EE4FC3">
        <w:t xml:space="preserve"> </w:t>
      </w:r>
      <w:r w:rsidRPr="00382917">
        <w:t>it</w:t>
      </w:r>
      <w:r w:rsidR="00EE4FC3">
        <w:t xml:space="preserve"> </w:t>
      </w:r>
      <w:r w:rsidRPr="00382917">
        <w:t>had</w:t>
      </w:r>
      <w:r w:rsidR="00EE4FC3">
        <w:t xml:space="preserve"> </w:t>
      </w:r>
      <w:r w:rsidRPr="00382917">
        <w:t>caused</w:t>
      </w:r>
      <w:r w:rsidR="00EE4FC3">
        <w:t xml:space="preserve"> </w:t>
      </w:r>
      <w:r w:rsidRPr="00382917">
        <w:t>in</w:t>
      </w:r>
      <w:r w:rsidR="00EE4FC3">
        <w:t xml:space="preserve"> </w:t>
      </w:r>
      <w:r w:rsidR="008A073E" w:rsidRPr="00382917">
        <w:rPr>
          <w:u w:val="single"/>
        </w:rPr>
        <w:t>Sh</w:t>
      </w:r>
      <w:r w:rsidR="008A073E" w:rsidRPr="00382917">
        <w:t>íráz</w:t>
      </w:r>
      <w:r w:rsidR="00C03C91">
        <w:t>.</w:t>
      </w:r>
      <w:r w:rsidR="00EE4FC3">
        <w:t xml:space="preserve">  </w:t>
      </w:r>
      <w:r w:rsidRPr="00382917">
        <w:t>An</w:t>
      </w:r>
      <w:r w:rsidR="00EE4FC3">
        <w:t xml:space="preserve"> </w:t>
      </w:r>
      <w:r w:rsidRPr="00382917">
        <w:t>unceasing</w:t>
      </w:r>
      <w:r w:rsidR="00EE4FC3">
        <w:t xml:space="preserve"> </w:t>
      </w:r>
      <w:r w:rsidRPr="00382917">
        <w:t>stream</w:t>
      </w:r>
      <w:r w:rsidR="00EE4FC3">
        <w:t xml:space="preserve"> </w:t>
      </w:r>
      <w:r w:rsidRPr="00382917">
        <w:t>of</w:t>
      </w:r>
      <w:r w:rsidR="00EE4FC3">
        <w:t xml:space="preserve"> </w:t>
      </w:r>
      <w:r w:rsidRPr="00382917">
        <w:t>visitors</w:t>
      </w:r>
      <w:r w:rsidR="00EE4FC3">
        <w:t xml:space="preserve"> </w:t>
      </w:r>
      <w:r w:rsidRPr="00382917">
        <w:t>and</w:t>
      </w:r>
      <w:r w:rsidR="00EE4FC3">
        <w:t xml:space="preserve"> </w:t>
      </w:r>
      <w:r w:rsidRPr="00382917">
        <w:t>friends</w:t>
      </w:r>
      <w:r w:rsidR="00EE4FC3">
        <w:t xml:space="preserve"> </w:t>
      </w:r>
      <w:r w:rsidRPr="00382917">
        <w:t>flowed</w:t>
      </w:r>
      <w:r w:rsidR="00EE4FC3">
        <w:t xml:space="preserve"> </w:t>
      </w:r>
      <w:r w:rsidRPr="00382917">
        <w:t>from</w:t>
      </w:r>
      <w:r w:rsidR="00EE4FC3">
        <w:t xml:space="preserve"> </w:t>
      </w:r>
      <w:r w:rsidRPr="00382917">
        <w:t>every</w:t>
      </w:r>
      <w:r w:rsidR="00EE4FC3">
        <w:t xml:space="preserve"> </w:t>
      </w:r>
      <w:r w:rsidRPr="00382917">
        <w:t>quarter</w:t>
      </w:r>
      <w:r w:rsidR="00EE4FC3">
        <w:t xml:space="preserve"> </w:t>
      </w:r>
      <w:r w:rsidRPr="00382917">
        <w:t>of</w:t>
      </w:r>
      <w:r w:rsidR="00EE4FC3">
        <w:t xml:space="preserve"> </w:t>
      </w:r>
      <w:r w:rsidRPr="00382917">
        <w:t>the</w:t>
      </w:r>
      <w:r w:rsidR="00EE4FC3">
        <w:t xml:space="preserve"> </w:t>
      </w:r>
      <w:r w:rsidRPr="00382917">
        <w:t>province</w:t>
      </w:r>
      <w:r w:rsidR="00EE4FC3">
        <w:t xml:space="preserve"> </w:t>
      </w:r>
      <w:r w:rsidRPr="00382917">
        <w:t>to</w:t>
      </w:r>
      <w:r w:rsidR="00EE4FC3">
        <w:t xml:space="preserve"> </w:t>
      </w:r>
      <w:r w:rsidRPr="00382917">
        <w:t>the</w:t>
      </w:r>
      <w:r w:rsidR="00EE4FC3">
        <w:t xml:space="preserve"> </w:t>
      </w:r>
      <w:r w:rsidRPr="00382917">
        <w:t>house</w:t>
      </w:r>
      <w:r w:rsidR="00EE4FC3">
        <w:t xml:space="preserve"> </w:t>
      </w:r>
      <w:r w:rsidRPr="00382917">
        <w:t>of</w:t>
      </w:r>
      <w:r w:rsidR="00EE4FC3">
        <w:t xml:space="preserve"> </w:t>
      </w:r>
      <w:r w:rsidRPr="00382917">
        <w:t>the</w:t>
      </w:r>
      <w:r w:rsidR="00EE4FC3">
        <w:t xml:space="preserve"> </w:t>
      </w:r>
      <w:r w:rsidRPr="00382917">
        <w:t>chief</w:t>
      </w:r>
      <w:r w:rsidR="00EE4FC3">
        <w:t xml:space="preserve"> </w:t>
      </w:r>
      <w:r w:rsidRPr="00382917">
        <w:t>priest</w:t>
      </w:r>
      <w:r w:rsidR="00C03C91">
        <w:t>.</w:t>
      </w:r>
      <w:r w:rsidR="00EE4FC3">
        <w:t xml:space="preserve">  </w:t>
      </w:r>
      <w:r w:rsidRPr="00382917">
        <w:t>Some</w:t>
      </w:r>
      <w:r w:rsidR="00EE4FC3">
        <w:t xml:space="preserve"> </w:t>
      </w:r>
      <w:r w:rsidRPr="00382917">
        <w:t>came</w:t>
      </w:r>
      <w:r w:rsidR="00EE4FC3">
        <w:t xml:space="preserve"> </w:t>
      </w:r>
      <w:r w:rsidRPr="00382917">
        <w:t>out</w:t>
      </w:r>
      <w:r w:rsidR="00EE4FC3">
        <w:t xml:space="preserve"> </w:t>
      </w:r>
      <w:r w:rsidRPr="00382917">
        <w:t>of</w:t>
      </w:r>
      <w:r w:rsidR="00EE4FC3">
        <w:t xml:space="preserve"> </w:t>
      </w:r>
      <w:proofErr w:type="gramStart"/>
      <w:r w:rsidRPr="00382917">
        <w:t>curiosity,</w:t>
      </w:r>
      <w:proofErr w:type="gramEnd"/>
      <w:r w:rsidR="00EE4FC3">
        <w:t xml:space="preserve"> </w:t>
      </w:r>
      <w:r w:rsidRPr="00382917">
        <w:t>some</w:t>
      </w:r>
      <w:r w:rsidR="00EE4FC3">
        <w:t xml:space="preserve"> </w:t>
      </w:r>
      <w:r w:rsidRPr="00382917">
        <w:t>came</w:t>
      </w:r>
      <w:r w:rsidR="00EE4FC3">
        <w:t xml:space="preserve"> </w:t>
      </w:r>
      <w:r w:rsidRPr="00382917">
        <w:t>to</w:t>
      </w:r>
      <w:r w:rsidR="00EE4FC3">
        <w:t xml:space="preserve"> </w:t>
      </w:r>
      <w:r w:rsidRPr="00382917">
        <w:t>gain</w:t>
      </w:r>
      <w:r w:rsidR="00EE4FC3">
        <w:t xml:space="preserve"> </w:t>
      </w:r>
      <w:r w:rsidRPr="00382917">
        <w:t>a</w:t>
      </w:r>
      <w:r w:rsidR="00EE4FC3">
        <w:t xml:space="preserve"> </w:t>
      </w:r>
      <w:r w:rsidRPr="00382917">
        <w:t>deeper</w:t>
      </w:r>
      <w:r w:rsidR="00EE4FC3">
        <w:t xml:space="preserve"> </w:t>
      </w:r>
      <w:r w:rsidRPr="00382917">
        <w:t>understanding</w:t>
      </w:r>
      <w:r w:rsidR="00EE4FC3">
        <w:t xml:space="preserve"> </w:t>
      </w:r>
      <w:r w:rsidRPr="00382917">
        <w:t>of</w:t>
      </w:r>
      <w:r w:rsidR="00EE4FC3">
        <w:t xml:space="preserve"> </w:t>
      </w:r>
      <w:r w:rsidRPr="00382917">
        <w:t>His</w:t>
      </w:r>
      <w:r w:rsidR="00EE4FC3">
        <w:t xml:space="preserve"> </w:t>
      </w:r>
      <w:r w:rsidRPr="00382917">
        <w:t>message</w:t>
      </w:r>
      <w:r w:rsidR="00C03C91">
        <w:t>.</w:t>
      </w:r>
      <w:r w:rsidR="00EE4FC3">
        <w:t xml:space="preserve">  </w:t>
      </w:r>
      <w:r w:rsidRPr="00382917">
        <w:t>Some</w:t>
      </w:r>
      <w:r w:rsidR="00EE4FC3">
        <w:t xml:space="preserve"> </w:t>
      </w:r>
      <w:r w:rsidRPr="00382917">
        <w:t>came,</w:t>
      </w:r>
      <w:r w:rsidR="00EE4FC3">
        <w:t xml:space="preserve"> </w:t>
      </w:r>
      <w:r w:rsidRPr="00382917">
        <w:t>as</w:t>
      </w:r>
      <w:r w:rsidR="00EE4FC3">
        <w:t xml:space="preserve"> </w:t>
      </w:r>
      <w:r w:rsidRPr="00382917">
        <w:t>they</w:t>
      </w:r>
      <w:r w:rsidR="00EE4FC3">
        <w:t xml:space="preserve"> </w:t>
      </w:r>
      <w:r w:rsidRPr="00382917">
        <w:t>had</w:t>
      </w:r>
      <w:r w:rsidR="00EE4FC3">
        <w:t xml:space="preserve"> </w:t>
      </w:r>
      <w:r w:rsidRPr="00382917">
        <w:t>to</w:t>
      </w:r>
      <w:r w:rsidR="00EE4FC3">
        <w:t xml:space="preserve"> </w:t>
      </w:r>
      <w:r w:rsidRPr="00382917">
        <w:t>Jesus,</w:t>
      </w:r>
      <w:r w:rsidR="00EE4FC3">
        <w:t xml:space="preserve"> </w:t>
      </w:r>
      <w:r w:rsidRPr="00382917">
        <w:t>to</w:t>
      </w:r>
      <w:r w:rsidR="00EE4FC3">
        <w:t xml:space="preserve"> </w:t>
      </w:r>
      <w:r w:rsidRPr="00382917">
        <w:t>seek</w:t>
      </w:r>
      <w:r w:rsidR="00EE4FC3">
        <w:t xml:space="preserve"> </w:t>
      </w:r>
      <w:r w:rsidRPr="00382917">
        <w:t>a</w:t>
      </w:r>
      <w:r w:rsidR="00EE4FC3">
        <w:t xml:space="preserve"> </w:t>
      </w:r>
      <w:r w:rsidRPr="00382917">
        <w:t>remedy</w:t>
      </w:r>
      <w:r w:rsidR="00EE4FC3">
        <w:t xml:space="preserve"> </w:t>
      </w:r>
      <w:r w:rsidRPr="00382917">
        <w:t>for</w:t>
      </w:r>
      <w:r w:rsidR="00EE4FC3">
        <w:t xml:space="preserve"> </w:t>
      </w:r>
      <w:r w:rsidRPr="00382917">
        <w:t>their</w:t>
      </w:r>
      <w:r w:rsidR="00EE4FC3">
        <w:t xml:space="preserve"> </w:t>
      </w:r>
      <w:r w:rsidRPr="00382917">
        <w:t>ills</w:t>
      </w:r>
      <w:r w:rsidR="00EE4FC3">
        <w:t xml:space="preserve"> </w:t>
      </w:r>
      <w:r w:rsidRPr="00382917">
        <w:t>or</w:t>
      </w:r>
      <w:r w:rsidR="00EE4FC3">
        <w:t xml:space="preserve"> </w:t>
      </w:r>
      <w:r w:rsidRPr="00382917">
        <w:t>suffering.</w:t>
      </w:r>
      <w:r w:rsidR="00873465">
        <w:rPr>
          <w:rStyle w:val="FootnoteReference"/>
        </w:rPr>
        <w:footnoteReference w:id="60"/>
      </w:r>
      <w:r w:rsidR="00EE4FC3">
        <w:t xml:space="preserve">  </w:t>
      </w:r>
      <w:r w:rsidRPr="00382917">
        <w:t>All</w:t>
      </w:r>
      <w:r w:rsidR="00EE4FC3">
        <w:t xml:space="preserve"> </w:t>
      </w:r>
      <w:r w:rsidRPr="00382917">
        <w:t>were</w:t>
      </w:r>
      <w:r w:rsidR="00EE4FC3">
        <w:t xml:space="preserve"> </w:t>
      </w:r>
      <w:r w:rsidRPr="00382917">
        <w:t>welcomed</w:t>
      </w:r>
      <w:r w:rsidR="00EE4FC3">
        <w:t xml:space="preserve"> </w:t>
      </w:r>
      <w:r w:rsidRPr="00382917">
        <w:t>and</w:t>
      </w:r>
      <w:r w:rsidR="00EE4FC3">
        <w:t xml:space="preserve"> </w:t>
      </w:r>
      <w:r w:rsidRPr="00382917">
        <w:t>were</w:t>
      </w:r>
      <w:r w:rsidR="00EE4FC3">
        <w:t xml:space="preserve"> </w:t>
      </w:r>
      <w:r w:rsidRPr="00382917">
        <w:t>helped</w:t>
      </w:r>
      <w:r w:rsidR="00EE4FC3">
        <w:t xml:space="preserve"> </w:t>
      </w:r>
      <w:r w:rsidRPr="00382917">
        <w:t>according</w:t>
      </w:r>
      <w:r w:rsidR="00EE4FC3">
        <w:t xml:space="preserve"> </w:t>
      </w:r>
      <w:r w:rsidRPr="00382917">
        <w:t>to</w:t>
      </w:r>
      <w:r w:rsidR="00EE4FC3">
        <w:t xml:space="preserve"> </w:t>
      </w:r>
      <w:r w:rsidRPr="00382917">
        <w:t>their</w:t>
      </w:r>
      <w:r w:rsidR="00EE4FC3">
        <w:t xml:space="preserve"> </w:t>
      </w:r>
      <w:r w:rsidRPr="00382917">
        <w:t>needs.</w:t>
      </w:r>
    </w:p>
    <w:p w:rsidR="0054338F" w:rsidRPr="00382917" w:rsidRDefault="0054338F" w:rsidP="009D4E6D">
      <w:pPr>
        <w:pStyle w:val="Text"/>
      </w:pPr>
      <w:r w:rsidRPr="00382917">
        <w:t>The</w:t>
      </w:r>
      <w:r w:rsidR="00EE4FC3">
        <w:t xml:space="preserve"> </w:t>
      </w:r>
      <w:r w:rsidRPr="00382917">
        <w:t>governor</w:t>
      </w:r>
      <w:r w:rsidR="00EE4FC3">
        <w:t xml:space="preserve"> </w:t>
      </w:r>
      <w:r w:rsidRPr="00382917">
        <w:t>himself,</w:t>
      </w:r>
      <w:r w:rsidR="00EE4FC3">
        <w:t xml:space="preserve"> </w:t>
      </w:r>
      <w:r w:rsidR="0040329F" w:rsidRPr="00382917">
        <w:t>Manú</w:t>
      </w:r>
      <w:r w:rsidR="0040329F" w:rsidRPr="0040329F">
        <w:rPr>
          <w:u w:val="single"/>
        </w:rPr>
        <w:t>ch</w:t>
      </w:r>
      <w:r w:rsidR="0040329F" w:rsidRPr="00382917">
        <w:t>ihr</w:t>
      </w:r>
      <w:r w:rsidR="00EE4FC3">
        <w:t xml:space="preserve"> </w:t>
      </w:r>
      <w:r w:rsidR="0040329F" w:rsidRPr="0040329F">
        <w:rPr>
          <w:u w:val="single"/>
        </w:rPr>
        <w:t>Kh</w:t>
      </w:r>
      <w:r w:rsidR="0040329F" w:rsidRPr="00382917">
        <w:t>án</w:t>
      </w:r>
      <w:r w:rsidRPr="00382917">
        <w:t>,</w:t>
      </w:r>
      <w:r w:rsidR="00EE4FC3">
        <w:t xml:space="preserve"> </w:t>
      </w:r>
      <w:r w:rsidRPr="00382917">
        <w:t>came</w:t>
      </w:r>
      <w:r w:rsidR="00EE4FC3">
        <w:t xml:space="preserve"> </w:t>
      </w:r>
      <w:r w:rsidRPr="00382917">
        <w:t>one</w:t>
      </w:r>
      <w:r w:rsidR="00EE4FC3">
        <w:t xml:space="preserve"> </w:t>
      </w:r>
      <w:r w:rsidRPr="00382917">
        <w:t>night</w:t>
      </w:r>
      <w:r w:rsidR="00EE4FC3">
        <w:t xml:space="preserve"> </w:t>
      </w:r>
      <w:r w:rsidRPr="00382917">
        <w:t>to</w:t>
      </w:r>
      <w:r w:rsidR="00EE4FC3">
        <w:t xml:space="preserve"> </w:t>
      </w:r>
      <w:r w:rsidRPr="00382917">
        <w:t>visit</w:t>
      </w:r>
      <w:r w:rsidR="00EE4FC3">
        <w:t xml:space="preserve"> </w:t>
      </w:r>
      <w:r w:rsidRPr="00382917">
        <w:t>the</w:t>
      </w:r>
      <w:r w:rsidR="00EE4FC3">
        <w:t xml:space="preserve"> </w:t>
      </w:r>
      <w:r w:rsidRPr="00382917">
        <w:t>Báb</w:t>
      </w:r>
      <w:r w:rsidR="00C03C91">
        <w:t>.</w:t>
      </w:r>
      <w:r w:rsidR="00EE4FC3">
        <w:t xml:space="preserve">  </w:t>
      </w:r>
      <w:r w:rsidRPr="00382917">
        <w:t>He</w:t>
      </w:r>
      <w:r w:rsidR="00EE4FC3">
        <w:t xml:space="preserve"> </w:t>
      </w:r>
      <w:r w:rsidRPr="00382917">
        <w:t>asked</w:t>
      </w:r>
      <w:r w:rsidR="00EE4FC3">
        <w:t xml:space="preserve"> </w:t>
      </w:r>
      <w:r w:rsidRPr="00382917">
        <w:t>Him</w:t>
      </w:r>
      <w:r w:rsidR="00EE4FC3">
        <w:t xml:space="preserve"> </w:t>
      </w:r>
      <w:r w:rsidRPr="00382917">
        <w:t>to</w:t>
      </w:r>
      <w:r w:rsidR="00EE4FC3">
        <w:t xml:space="preserve"> </w:t>
      </w:r>
      <w:r w:rsidRPr="00382917">
        <w:t>write</w:t>
      </w:r>
      <w:r w:rsidR="00EE4FC3">
        <w:t xml:space="preserve"> </w:t>
      </w:r>
      <w:r w:rsidRPr="00382917">
        <w:t>a</w:t>
      </w:r>
      <w:r w:rsidR="00EE4FC3">
        <w:t xml:space="preserve"> </w:t>
      </w:r>
      <w:r w:rsidRPr="00382917">
        <w:t>commentary</w:t>
      </w:r>
      <w:r w:rsidR="00EE4FC3">
        <w:t xml:space="preserve"> </w:t>
      </w:r>
      <w:r w:rsidRPr="00382917">
        <w:t>upon</w:t>
      </w:r>
      <w:r w:rsidR="00EE4FC3">
        <w:t xml:space="preserve"> </w:t>
      </w:r>
      <w:r w:rsidRPr="00382917">
        <w:t>the</w:t>
      </w:r>
      <w:r w:rsidR="00EE4FC3">
        <w:t xml:space="preserve"> </w:t>
      </w:r>
      <w:r w:rsidRPr="00382917">
        <w:t>specific</w:t>
      </w:r>
      <w:r w:rsidR="00EE4FC3">
        <w:t xml:space="preserve"> </w:t>
      </w:r>
      <w:r w:rsidRPr="00382917">
        <w:t>mission</w:t>
      </w:r>
      <w:r w:rsidR="00EE4FC3">
        <w:t xml:space="preserve"> </w:t>
      </w:r>
      <w:r w:rsidRPr="00382917">
        <w:t>which</w:t>
      </w:r>
      <w:r w:rsidR="00EE4FC3">
        <w:t xml:space="preserve"> </w:t>
      </w:r>
      <w:r w:rsidRPr="00382917">
        <w:t>Muḥammad</w:t>
      </w:r>
      <w:r w:rsidR="00EE4FC3">
        <w:t xml:space="preserve"> </w:t>
      </w:r>
      <w:r w:rsidRPr="00382917">
        <w:t>had</w:t>
      </w:r>
      <w:r w:rsidR="00EE4FC3">
        <w:t xml:space="preserve"> </w:t>
      </w:r>
      <w:r w:rsidRPr="00382917">
        <w:t>come</w:t>
      </w:r>
      <w:r w:rsidR="00EE4FC3">
        <w:t xml:space="preserve"> </w:t>
      </w:r>
      <w:r w:rsidRPr="00382917">
        <w:t>to</w:t>
      </w:r>
      <w:r w:rsidR="00EE4FC3">
        <w:t xml:space="preserve"> </w:t>
      </w:r>
      <w:r w:rsidRPr="00382917">
        <w:t>earth</w:t>
      </w:r>
      <w:r w:rsidR="00EE4FC3">
        <w:t xml:space="preserve"> </w:t>
      </w:r>
      <w:r w:rsidRPr="00382917">
        <w:t>to</w:t>
      </w:r>
      <w:r w:rsidR="00EE4FC3">
        <w:t xml:space="preserve"> </w:t>
      </w:r>
      <w:r w:rsidRPr="00382917">
        <w:t>discharge.</w:t>
      </w:r>
    </w:p>
    <w:p w:rsidR="0054338F" w:rsidRPr="00382917" w:rsidRDefault="0054338F" w:rsidP="009D4E6D">
      <w:pPr>
        <w:pStyle w:val="Text"/>
      </w:pPr>
      <w:r w:rsidRPr="00382917">
        <w:t>The</w:t>
      </w:r>
      <w:r w:rsidR="00EE4FC3">
        <w:t xml:space="preserve"> </w:t>
      </w:r>
      <w:r w:rsidRPr="00382917">
        <w:t>Báb</w:t>
      </w:r>
      <w:r w:rsidR="00EE4FC3">
        <w:t xml:space="preserve"> </w:t>
      </w:r>
      <w:r w:rsidRPr="00382917">
        <w:t>instantly</w:t>
      </w:r>
      <w:r w:rsidR="00EE4FC3">
        <w:t xml:space="preserve"> </w:t>
      </w:r>
      <w:r w:rsidRPr="00382917">
        <w:t>took</w:t>
      </w:r>
      <w:r w:rsidR="00EE4FC3">
        <w:t xml:space="preserve"> </w:t>
      </w:r>
      <w:r w:rsidRPr="00382917">
        <w:t>up</w:t>
      </w:r>
      <w:r w:rsidR="00EE4FC3">
        <w:t xml:space="preserve"> </w:t>
      </w:r>
      <w:r w:rsidRPr="00382917">
        <w:t>His</w:t>
      </w:r>
      <w:r w:rsidR="00EE4FC3">
        <w:t xml:space="preserve"> </w:t>
      </w:r>
      <w:r w:rsidRPr="00382917">
        <w:t>pen</w:t>
      </w:r>
      <w:r w:rsidR="00EE4FC3">
        <w:t xml:space="preserve"> </w:t>
      </w:r>
      <w:r w:rsidRPr="00382917">
        <w:t>and</w:t>
      </w:r>
      <w:r w:rsidR="00EE4FC3">
        <w:t xml:space="preserve"> </w:t>
      </w:r>
      <w:r w:rsidRPr="00382917">
        <w:t>began</w:t>
      </w:r>
      <w:r w:rsidR="00EE4FC3">
        <w:t xml:space="preserve"> </w:t>
      </w:r>
      <w:r w:rsidRPr="00382917">
        <w:t>to</w:t>
      </w:r>
      <w:r w:rsidR="00EE4FC3">
        <w:t xml:space="preserve"> </w:t>
      </w:r>
      <w:r w:rsidRPr="00382917">
        <w:t>write</w:t>
      </w:r>
      <w:r w:rsidR="00C03C91">
        <w:t>.</w:t>
      </w:r>
      <w:r w:rsidR="00EE4FC3">
        <w:t xml:space="preserve">  </w:t>
      </w:r>
      <w:r w:rsidRPr="00382917">
        <w:t>In</w:t>
      </w:r>
      <w:r w:rsidR="00EE4FC3">
        <w:t xml:space="preserve"> </w:t>
      </w:r>
      <w:r w:rsidRPr="00382917">
        <w:t>less</w:t>
      </w:r>
      <w:r w:rsidR="00EE4FC3">
        <w:t xml:space="preserve"> </w:t>
      </w:r>
      <w:r w:rsidRPr="00382917">
        <w:t>than</w:t>
      </w:r>
      <w:r w:rsidR="00EE4FC3">
        <w:t xml:space="preserve"> </w:t>
      </w:r>
      <w:r w:rsidRPr="00382917">
        <w:t>two</w:t>
      </w:r>
      <w:r w:rsidR="00EE4FC3">
        <w:t xml:space="preserve"> </w:t>
      </w:r>
      <w:r w:rsidRPr="00382917">
        <w:t>hours,</w:t>
      </w:r>
      <w:r w:rsidR="00EE4FC3">
        <w:t xml:space="preserve"> </w:t>
      </w:r>
      <w:r w:rsidRPr="00382917">
        <w:t>He</w:t>
      </w:r>
      <w:r w:rsidR="00EE4FC3">
        <w:t xml:space="preserve"> </w:t>
      </w:r>
      <w:r w:rsidRPr="00382917">
        <w:t>filled</w:t>
      </w:r>
      <w:r w:rsidR="00EE4FC3">
        <w:t xml:space="preserve"> </w:t>
      </w:r>
      <w:r w:rsidRPr="00382917">
        <w:t>about</w:t>
      </w:r>
      <w:r w:rsidR="00EE4FC3">
        <w:t xml:space="preserve"> </w:t>
      </w:r>
      <w:r w:rsidRPr="00382917">
        <w:t>fifty</w:t>
      </w:r>
      <w:r w:rsidR="00EE4FC3">
        <w:t xml:space="preserve"> </w:t>
      </w:r>
      <w:r w:rsidRPr="00382917">
        <w:t>pages</w:t>
      </w:r>
      <w:r w:rsidR="00C03C91">
        <w:t>.</w:t>
      </w:r>
      <w:r w:rsidR="00EE4FC3">
        <w:t xml:space="preserve">  </w:t>
      </w:r>
      <w:r w:rsidRPr="00382917">
        <w:t>The</w:t>
      </w:r>
      <w:r w:rsidR="00EE4FC3">
        <w:t xml:space="preserve"> </w:t>
      </w:r>
      <w:r w:rsidRPr="00382917">
        <w:t>governor</w:t>
      </w:r>
      <w:r w:rsidR="00EE4FC3">
        <w:t xml:space="preserve"> </w:t>
      </w:r>
      <w:r w:rsidRPr="00382917">
        <w:t>was</w:t>
      </w:r>
      <w:r w:rsidR="00EE4FC3">
        <w:t xml:space="preserve"> </w:t>
      </w:r>
      <w:r w:rsidRPr="00382917">
        <w:t>deeply</w:t>
      </w:r>
      <w:r w:rsidR="00EE4FC3">
        <w:t xml:space="preserve"> </w:t>
      </w:r>
      <w:r w:rsidRPr="00382917">
        <w:t>impressed</w:t>
      </w:r>
      <w:r w:rsidR="00EE4FC3">
        <w:t xml:space="preserve"> </w:t>
      </w:r>
      <w:r w:rsidRPr="00382917">
        <w:t>with</w:t>
      </w:r>
      <w:r w:rsidR="00EE4FC3">
        <w:t xml:space="preserve"> </w:t>
      </w:r>
      <w:r w:rsidRPr="00382917">
        <w:t>the</w:t>
      </w:r>
      <w:r w:rsidR="00EE4FC3">
        <w:t xml:space="preserve"> </w:t>
      </w:r>
      <w:r w:rsidRPr="00382917">
        <w:t>originality,</w:t>
      </w:r>
      <w:r w:rsidR="00EE4FC3">
        <w:t xml:space="preserve"> </w:t>
      </w:r>
      <w:proofErr w:type="spellStart"/>
      <w:r w:rsidRPr="00382917">
        <w:t>vigor</w:t>
      </w:r>
      <w:proofErr w:type="spellEnd"/>
      <w:r w:rsidRPr="00382917">
        <w:t>,</w:t>
      </w:r>
      <w:r w:rsidR="00EE4FC3">
        <w:t xml:space="preserve"> </w:t>
      </w:r>
      <w:r w:rsidRPr="00382917">
        <w:t>and</w:t>
      </w:r>
      <w:r w:rsidR="00EE4FC3">
        <w:t xml:space="preserve"> </w:t>
      </w:r>
      <w:r w:rsidRPr="00382917">
        <w:t>accuracy</w:t>
      </w:r>
      <w:r w:rsidR="00EE4FC3">
        <w:t xml:space="preserve"> </w:t>
      </w:r>
      <w:r w:rsidRPr="00382917">
        <w:t>of</w:t>
      </w:r>
      <w:r w:rsidR="00EE4FC3">
        <w:t xml:space="preserve"> </w:t>
      </w:r>
      <w:r w:rsidRPr="00382917">
        <w:t>that</w:t>
      </w:r>
      <w:r w:rsidR="00EE4FC3">
        <w:t xml:space="preserve"> </w:t>
      </w:r>
      <w:r w:rsidRPr="00382917">
        <w:t>commentary.</w:t>
      </w:r>
    </w:p>
    <w:p w:rsidR="00E13D49" w:rsidRPr="00382917" w:rsidRDefault="0054338F" w:rsidP="00E43E78">
      <w:pPr>
        <w:pStyle w:val="Text"/>
      </w:pPr>
      <w:r w:rsidRPr="00382917">
        <w:t>With</w:t>
      </w:r>
      <w:r w:rsidR="00EE4FC3">
        <w:t xml:space="preserve"> </w:t>
      </w:r>
      <w:r w:rsidRPr="00382917">
        <w:t>masterly</w:t>
      </w:r>
      <w:r w:rsidR="00EE4FC3">
        <w:t xml:space="preserve"> </w:t>
      </w:r>
      <w:r w:rsidRPr="00382917">
        <w:t>insight,</w:t>
      </w:r>
      <w:r w:rsidR="00EE4FC3">
        <w:t xml:space="preserve"> </w:t>
      </w:r>
      <w:r w:rsidRPr="00382917">
        <w:t>the</w:t>
      </w:r>
      <w:r w:rsidR="00EE4FC3">
        <w:t xml:space="preserve"> </w:t>
      </w:r>
      <w:r w:rsidRPr="00382917">
        <w:t>Báb</w:t>
      </w:r>
      <w:r w:rsidR="00EE4FC3">
        <w:t xml:space="preserve"> </w:t>
      </w:r>
      <w:r w:rsidRPr="00382917">
        <w:t>once</w:t>
      </w:r>
      <w:r w:rsidR="00EE4FC3">
        <w:t xml:space="preserve"> </w:t>
      </w:r>
      <w:r w:rsidRPr="00382917">
        <w:t>again</w:t>
      </w:r>
      <w:r w:rsidR="00EE4FC3">
        <w:t xml:space="preserve"> </w:t>
      </w:r>
      <w:r w:rsidRPr="00382917">
        <w:t>expressed</w:t>
      </w:r>
      <w:r w:rsidR="00EE4FC3">
        <w:t xml:space="preserve"> </w:t>
      </w:r>
      <w:r w:rsidRPr="00382917">
        <w:t>the</w:t>
      </w:r>
      <w:r w:rsidR="00EE4FC3">
        <w:t xml:space="preserve"> </w:t>
      </w:r>
      <w:r w:rsidRPr="00382917">
        <w:t>central</w:t>
      </w:r>
      <w:r w:rsidR="00EE4FC3">
        <w:t xml:space="preserve"> </w:t>
      </w:r>
      <w:r w:rsidRPr="00382917">
        <w:t>theme</w:t>
      </w:r>
      <w:r w:rsidR="00EE4FC3">
        <w:t xml:space="preserve"> </w:t>
      </w:r>
      <w:r w:rsidRPr="00382917">
        <w:t>of</w:t>
      </w:r>
      <w:r w:rsidR="00EE4FC3">
        <w:t xml:space="preserve"> </w:t>
      </w:r>
      <w:r w:rsidRPr="00382917">
        <w:t>His</w:t>
      </w:r>
      <w:r w:rsidR="00EE4FC3">
        <w:t xml:space="preserve"> </w:t>
      </w:r>
      <w:r w:rsidRPr="00382917">
        <w:t>teaching</w:t>
      </w:r>
      <w:r w:rsidR="00C03C91">
        <w:t>:</w:t>
      </w:r>
      <w:r w:rsidR="00EE4FC3">
        <w:t xml:space="preserve">  </w:t>
      </w:r>
      <w:r w:rsidRPr="00382917">
        <w:t>that</w:t>
      </w:r>
      <w:r w:rsidR="00EE4FC3">
        <w:t xml:space="preserve"> </w:t>
      </w:r>
      <w:r w:rsidRPr="00382917">
        <w:t>the</w:t>
      </w:r>
      <w:r w:rsidR="00EE4FC3">
        <w:t xml:space="preserve"> </w:t>
      </w:r>
      <w:r w:rsidRPr="00382917">
        <w:t>people</w:t>
      </w:r>
      <w:r w:rsidR="00EE4FC3">
        <w:t xml:space="preserve"> </w:t>
      </w:r>
      <w:r w:rsidRPr="00382917">
        <w:t>had</w:t>
      </w:r>
      <w:r w:rsidR="00EE4FC3">
        <w:t xml:space="preserve"> </w:t>
      </w:r>
      <w:r w:rsidRPr="00382917">
        <w:t>looked</w:t>
      </w:r>
      <w:r w:rsidR="00EE4FC3">
        <w:t xml:space="preserve"> </w:t>
      </w:r>
      <w:r w:rsidRPr="00382917">
        <w:t>for</w:t>
      </w:r>
      <w:r w:rsidR="00EE4FC3">
        <w:t xml:space="preserve"> </w:t>
      </w:r>
      <w:r w:rsidRPr="00382917">
        <w:t>the</w:t>
      </w:r>
      <w:r w:rsidR="00EE4FC3">
        <w:t xml:space="preserve"> </w:t>
      </w:r>
      <w:r w:rsidRPr="00382917">
        <w:t>arrival</w:t>
      </w:r>
      <w:r w:rsidR="00EE4FC3">
        <w:t xml:space="preserve"> </w:t>
      </w:r>
      <w:r w:rsidRPr="00382917">
        <w:t>of</w:t>
      </w:r>
      <w:r w:rsidR="00EE4FC3">
        <w:t xml:space="preserve"> </w:t>
      </w:r>
      <w:r w:rsidRPr="00382917">
        <w:t>the</w:t>
      </w:r>
      <w:r w:rsidR="00EE4FC3">
        <w:t xml:space="preserve"> </w:t>
      </w:r>
      <w:r w:rsidRPr="00382917">
        <w:t>Day</w:t>
      </w:r>
      <w:r w:rsidR="00EE4FC3">
        <w:t xml:space="preserve"> </w:t>
      </w:r>
      <w:r w:rsidRPr="00382917">
        <w:t>of</w:t>
      </w:r>
      <w:r w:rsidR="00EE4FC3">
        <w:t xml:space="preserve"> </w:t>
      </w:r>
      <w:r w:rsidRPr="00382917">
        <w:t>the</w:t>
      </w:r>
      <w:r w:rsidR="00EE4FC3">
        <w:t xml:space="preserve"> </w:t>
      </w:r>
      <w:r w:rsidRPr="00382917">
        <w:t>Promised</w:t>
      </w:r>
      <w:r w:rsidR="00EE4FC3">
        <w:t xml:space="preserve"> </w:t>
      </w:r>
      <w:r w:rsidRPr="00382917">
        <w:t>One,</w:t>
      </w:r>
      <w:r w:rsidR="00EE4FC3">
        <w:t xml:space="preserve"> </w:t>
      </w:r>
      <w:r w:rsidRPr="00382917">
        <w:t>and</w:t>
      </w:r>
      <w:r w:rsidR="00EE4FC3">
        <w:t xml:space="preserve"> </w:t>
      </w:r>
      <w:r w:rsidRPr="00382917">
        <w:t>now</w:t>
      </w:r>
      <w:r w:rsidR="00EE4FC3">
        <w:t xml:space="preserve"> </w:t>
      </w:r>
      <w:r w:rsidRPr="00382917">
        <w:t>that</w:t>
      </w:r>
      <w:r w:rsidR="00EE4FC3">
        <w:t xml:space="preserve"> </w:t>
      </w:r>
      <w:r w:rsidRPr="00382917">
        <w:t>Day</w:t>
      </w:r>
      <w:r w:rsidR="00EE4FC3">
        <w:t xml:space="preserve"> </w:t>
      </w:r>
      <w:r w:rsidRPr="00382917">
        <w:t>had</w:t>
      </w:r>
      <w:r w:rsidR="00EE4FC3">
        <w:t xml:space="preserve"> </w:t>
      </w:r>
      <w:r w:rsidRPr="00382917">
        <w:t>come</w:t>
      </w:r>
      <w:r w:rsidR="00C03C91">
        <w:t>.</w:t>
      </w:r>
      <w:r w:rsidR="00EE4FC3">
        <w:t xml:space="preserve">  </w:t>
      </w:r>
      <w:r w:rsidRPr="00382917">
        <w:t>He</w:t>
      </w:r>
      <w:r w:rsidR="00EE4FC3">
        <w:t xml:space="preserve"> </w:t>
      </w:r>
      <w:r w:rsidRPr="00382917">
        <w:t>argued</w:t>
      </w:r>
      <w:r w:rsidR="00EE4FC3">
        <w:t xml:space="preserve"> </w:t>
      </w:r>
      <w:r w:rsidRPr="00382917">
        <w:t>with</w:t>
      </w:r>
      <w:r w:rsidR="00EE4FC3">
        <w:t xml:space="preserve"> </w:t>
      </w:r>
      <w:r w:rsidRPr="00382917">
        <w:t>such</w:t>
      </w:r>
      <w:r w:rsidR="00EE4FC3">
        <w:t xml:space="preserve"> </w:t>
      </w:r>
      <w:r w:rsidRPr="00382917">
        <w:t>force</w:t>
      </w:r>
      <w:r w:rsidR="00EE4FC3">
        <w:t xml:space="preserve"> </w:t>
      </w:r>
      <w:r w:rsidRPr="00382917">
        <w:t>and</w:t>
      </w:r>
      <w:r w:rsidR="00EE4FC3">
        <w:t xml:space="preserve"> </w:t>
      </w:r>
      <w:r w:rsidRPr="00382917">
        <w:t>courage</w:t>
      </w:r>
      <w:r w:rsidR="00EE4FC3">
        <w:t xml:space="preserve"> </w:t>
      </w:r>
      <w:r w:rsidRPr="00382917">
        <w:t>that</w:t>
      </w:r>
      <w:r w:rsidR="00EE4FC3">
        <w:t xml:space="preserve"> </w:t>
      </w:r>
      <w:r w:rsidRPr="00382917">
        <w:t>those</w:t>
      </w:r>
      <w:r w:rsidR="00EE4FC3">
        <w:t xml:space="preserve"> </w:t>
      </w:r>
      <w:r w:rsidRPr="00382917">
        <w:t>who</w:t>
      </w:r>
      <w:r w:rsidR="00EE4FC3">
        <w:t xml:space="preserve"> </w:t>
      </w:r>
      <w:r w:rsidRPr="00382917">
        <w:t>heard</w:t>
      </w:r>
      <w:r w:rsidR="00EE4FC3">
        <w:t xml:space="preserve"> </w:t>
      </w:r>
      <w:r w:rsidRPr="00382917">
        <w:t>Him</w:t>
      </w:r>
      <w:r w:rsidR="00EE4FC3">
        <w:t xml:space="preserve"> </w:t>
      </w:r>
      <w:r w:rsidRPr="00382917">
        <w:t>were</w:t>
      </w:r>
      <w:r w:rsidR="00EE4FC3">
        <w:t xml:space="preserve"> </w:t>
      </w:r>
      <w:r w:rsidRPr="00382917">
        <w:t>amazed.</w:t>
      </w:r>
      <w:r w:rsidR="00E43E78">
        <w:rPr>
          <w:rStyle w:val="FootnoteReference"/>
        </w:rPr>
        <w:footnoteReference w:id="61"/>
      </w:r>
    </w:p>
    <w:p w:rsidR="0054338F" w:rsidRPr="00382917" w:rsidRDefault="0054338F" w:rsidP="009D4E6D">
      <w:pPr>
        <w:pStyle w:val="Text"/>
      </w:pPr>
      <w:r w:rsidRPr="00382917">
        <w:t>The</w:t>
      </w:r>
      <w:r w:rsidR="00EE4FC3">
        <w:t xml:space="preserve"> </w:t>
      </w:r>
      <w:r w:rsidRPr="00382917">
        <w:t>governor</w:t>
      </w:r>
      <w:r w:rsidR="00EE4FC3">
        <w:t xml:space="preserve"> </w:t>
      </w:r>
      <w:r w:rsidRPr="00382917">
        <w:t>was</w:t>
      </w:r>
      <w:r w:rsidR="00EE4FC3">
        <w:t xml:space="preserve"> </w:t>
      </w:r>
      <w:r w:rsidRPr="00382917">
        <w:t>enthusiastic</w:t>
      </w:r>
      <w:r w:rsidR="00C03C91">
        <w:t>.</w:t>
      </w:r>
      <w:r w:rsidR="00EE4FC3">
        <w:t xml:space="preserve">  </w:t>
      </w:r>
      <w:r w:rsidR="009C713D" w:rsidRPr="00382917">
        <w:t>“</w:t>
      </w:r>
      <w:r w:rsidRPr="00382917">
        <w:t>Hear</w:t>
      </w:r>
      <w:r w:rsidR="00EE4FC3">
        <w:t xml:space="preserve"> </w:t>
      </w:r>
      <w:r w:rsidRPr="00382917">
        <w:t>me!</w:t>
      </w:r>
      <w:r w:rsidR="009C713D" w:rsidRPr="00382917">
        <w:t>”</w:t>
      </w:r>
      <w:r w:rsidR="00EE4FC3">
        <w:t xml:space="preserve"> </w:t>
      </w:r>
      <w:r w:rsidRPr="00382917">
        <w:t>he</w:t>
      </w:r>
      <w:r w:rsidR="00EE4FC3">
        <w:t xml:space="preserve"> </w:t>
      </w:r>
      <w:r w:rsidRPr="00382917">
        <w:t>called</w:t>
      </w:r>
      <w:r w:rsidR="00EE4FC3">
        <w:t xml:space="preserve"> </w:t>
      </w:r>
      <w:r w:rsidRPr="00382917">
        <w:t>to</w:t>
      </w:r>
      <w:r w:rsidR="00EE4FC3">
        <w:t xml:space="preserve"> </w:t>
      </w:r>
      <w:r w:rsidRPr="00382917">
        <w:t>the</w:t>
      </w:r>
      <w:r w:rsidR="00EE4FC3">
        <w:t xml:space="preserve"> </w:t>
      </w:r>
      <w:r w:rsidRPr="00382917">
        <w:t>people</w:t>
      </w:r>
      <w:r w:rsidR="00EE4FC3">
        <w:t xml:space="preserve"> </w:t>
      </w:r>
      <w:r w:rsidRPr="00382917">
        <w:t>present</w:t>
      </w:r>
      <w:r w:rsidR="00EE4FC3">
        <w:t xml:space="preserve"> </w:t>
      </w:r>
      <w:r w:rsidRPr="00382917">
        <w:t>at</w:t>
      </w:r>
      <w:r w:rsidR="00EE4FC3">
        <w:t xml:space="preserve"> </w:t>
      </w:r>
      <w:r w:rsidRPr="00382917">
        <w:t>that</w:t>
      </w:r>
      <w:r w:rsidR="00EE4FC3">
        <w:t xml:space="preserve"> </w:t>
      </w:r>
      <w:r w:rsidRPr="00382917">
        <w:t>meeting</w:t>
      </w:r>
      <w:r w:rsidR="00C03C91">
        <w:t>.</w:t>
      </w:r>
      <w:r w:rsidR="00EE4FC3">
        <w:t xml:space="preserve">  </w:t>
      </w:r>
      <w:r w:rsidR="009C713D" w:rsidRPr="00382917">
        <w:t>“</w:t>
      </w:r>
      <w:r w:rsidRPr="00382917">
        <w:t>I</w:t>
      </w:r>
      <w:r w:rsidR="00EE4FC3">
        <w:t xml:space="preserve"> </w:t>
      </w:r>
      <w:r w:rsidRPr="00382917">
        <w:t>take</w:t>
      </w:r>
      <w:r w:rsidR="00EE4FC3">
        <w:t xml:space="preserve"> </w:t>
      </w:r>
      <w:r w:rsidRPr="00382917">
        <w:t>you</w:t>
      </w:r>
      <w:r w:rsidR="00EE4FC3">
        <w:t xml:space="preserve"> </w:t>
      </w:r>
      <w:r w:rsidRPr="00382917">
        <w:t>as</w:t>
      </w:r>
      <w:r w:rsidR="00EE4FC3">
        <w:t xml:space="preserve"> </w:t>
      </w:r>
      <w:r w:rsidRPr="00382917">
        <w:t>my</w:t>
      </w:r>
      <w:r w:rsidR="00EE4FC3">
        <w:t xml:space="preserve"> </w:t>
      </w:r>
      <w:r w:rsidRPr="00382917">
        <w:t>witnesses</w:t>
      </w:r>
      <w:r w:rsidR="00C03C91">
        <w:t>.</w:t>
      </w:r>
      <w:r w:rsidR="00EE4FC3">
        <w:t xml:space="preserve">  </w:t>
      </w:r>
      <w:r w:rsidRPr="00382917">
        <w:t>I</w:t>
      </w:r>
      <w:r w:rsidR="00EE4FC3">
        <w:t xml:space="preserve"> </w:t>
      </w:r>
      <w:r w:rsidRPr="00382917">
        <w:t>solemnly</w:t>
      </w:r>
      <w:r w:rsidR="00EE4FC3">
        <w:t xml:space="preserve"> </w:t>
      </w:r>
      <w:r w:rsidRPr="00382917">
        <w:t>testify</w:t>
      </w:r>
      <w:r w:rsidR="00EE4FC3">
        <w:t xml:space="preserve"> </w:t>
      </w:r>
      <w:r w:rsidRPr="00382917">
        <w:t>to</w:t>
      </w:r>
      <w:r w:rsidR="00EE4FC3">
        <w:t xml:space="preserve"> </w:t>
      </w:r>
      <w:r w:rsidRPr="00382917">
        <w:t>my</w:t>
      </w:r>
      <w:r w:rsidR="00EE4FC3">
        <w:t xml:space="preserve"> </w:t>
      </w:r>
      <w:r w:rsidRPr="00382917">
        <w:t>belief</w:t>
      </w:r>
      <w:r w:rsidR="00EE4FC3">
        <w:t xml:space="preserve"> </w:t>
      </w:r>
      <w:r w:rsidRPr="00382917">
        <w:t>in</w:t>
      </w:r>
      <w:r w:rsidR="00EE4FC3">
        <w:t xml:space="preserve"> </w:t>
      </w:r>
      <w:r w:rsidRPr="00382917">
        <w:t>the</w:t>
      </w:r>
      <w:r w:rsidR="00EE4FC3">
        <w:t xml:space="preserve"> </w:t>
      </w:r>
      <w:r w:rsidRPr="00382917">
        <w:t>superhuman</w:t>
      </w:r>
      <w:r w:rsidR="00EE4FC3">
        <w:t xml:space="preserve"> </w:t>
      </w:r>
      <w:r w:rsidRPr="00382917">
        <w:t>power</w:t>
      </w:r>
      <w:r w:rsidR="00EE4FC3">
        <w:t xml:space="preserve"> </w:t>
      </w:r>
      <w:r w:rsidRPr="00382917">
        <w:t>with</w:t>
      </w:r>
      <w:r w:rsidR="00EE4FC3">
        <w:t xml:space="preserve"> </w:t>
      </w:r>
      <w:r w:rsidRPr="00382917">
        <w:t>which</w:t>
      </w:r>
      <w:r w:rsidR="00EE4FC3">
        <w:t xml:space="preserve"> </w:t>
      </w:r>
      <w:r w:rsidRPr="00382917">
        <w:t>this</w:t>
      </w:r>
      <w:r w:rsidR="00EE4FC3">
        <w:t xml:space="preserve"> </w:t>
      </w:r>
      <w:r w:rsidRPr="00382917">
        <w:t>youth</w:t>
      </w:r>
    </w:p>
    <w:p w:rsidR="009D4E6D" w:rsidRPr="00382917" w:rsidRDefault="009D4E6D">
      <w:pPr>
        <w:widowControl/>
        <w:kinsoku/>
        <w:overflowPunct/>
        <w:textAlignment w:val="auto"/>
      </w:pPr>
      <w:r w:rsidRPr="00382917">
        <w:br w:type="page"/>
      </w:r>
    </w:p>
    <w:p w:rsidR="0054338F" w:rsidRPr="00382917" w:rsidRDefault="0054338F" w:rsidP="009D4E6D">
      <w:pPr>
        <w:pStyle w:val="Textcts"/>
      </w:pPr>
      <w:proofErr w:type="gramStart"/>
      <w:r w:rsidRPr="00382917">
        <w:t>is</w:t>
      </w:r>
      <w:proofErr w:type="gramEnd"/>
      <w:r w:rsidR="00EE4FC3">
        <w:t xml:space="preserve"> </w:t>
      </w:r>
      <w:r w:rsidRPr="00382917">
        <w:t>blessed</w:t>
      </w:r>
      <w:r w:rsidR="00C03C91">
        <w:t>.</w:t>
      </w:r>
      <w:r w:rsidR="00EE4FC3">
        <w:t xml:space="preserve">  </w:t>
      </w:r>
      <w:r w:rsidRPr="00382917">
        <w:t>It</w:t>
      </w:r>
      <w:r w:rsidR="00EE4FC3">
        <w:t xml:space="preserve"> </w:t>
      </w:r>
      <w:r w:rsidRPr="00382917">
        <w:t>is</w:t>
      </w:r>
      <w:r w:rsidR="00EE4FC3">
        <w:t xml:space="preserve"> </w:t>
      </w:r>
      <w:r w:rsidRPr="00382917">
        <w:t>a</w:t>
      </w:r>
      <w:r w:rsidR="00EE4FC3">
        <w:t xml:space="preserve"> </w:t>
      </w:r>
      <w:r w:rsidRPr="00382917">
        <w:t>power</w:t>
      </w:r>
      <w:r w:rsidR="00EE4FC3">
        <w:t xml:space="preserve"> </w:t>
      </w:r>
      <w:r w:rsidRPr="00382917">
        <w:t>that</w:t>
      </w:r>
      <w:r w:rsidR="00EE4FC3">
        <w:t xml:space="preserve"> </w:t>
      </w:r>
      <w:r w:rsidRPr="00382917">
        <w:t>no</w:t>
      </w:r>
      <w:r w:rsidR="00EE4FC3">
        <w:t xml:space="preserve"> </w:t>
      </w:r>
      <w:r w:rsidRPr="00382917">
        <w:t>amount</w:t>
      </w:r>
      <w:r w:rsidR="00EE4FC3">
        <w:t xml:space="preserve"> </w:t>
      </w:r>
      <w:r w:rsidRPr="00382917">
        <w:t>of</w:t>
      </w:r>
      <w:r w:rsidR="00EE4FC3">
        <w:t xml:space="preserve"> </w:t>
      </w:r>
      <w:r w:rsidRPr="00382917">
        <w:t>learning</w:t>
      </w:r>
      <w:r w:rsidR="00EE4FC3">
        <w:t xml:space="preserve"> </w:t>
      </w:r>
      <w:r w:rsidRPr="00382917">
        <w:t>can</w:t>
      </w:r>
      <w:r w:rsidR="00EE4FC3">
        <w:t xml:space="preserve"> </w:t>
      </w:r>
      <w:r w:rsidRPr="00382917">
        <w:t>ever</w:t>
      </w:r>
      <w:r w:rsidR="00EE4FC3">
        <w:t xml:space="preserve"> </w:t>
      </w:r>
      <w:r w:rsidRPr="00382917">
        <w:t>impart.</w:t>
      </w:r>
      <w:r w:rsidR="009C713D" w:rsidRPr="00382917">
        <w:t>”</w:t>
      </w:r>
    </w:p>
    <w:p w:rsidR="0054338F" w:rsidRPr="00382917" w:rsidRDefault="0054338F" w:rsidP="009D4E6D">
      <w:pPr>
        <w:pStyle w:val="Text"/>
      </w:pPr>
      <w:r w:rsidRPr="00382917">
        <w:t>With</w:t>
      </w:r>
      <w:r w:rsidR="00EE4FC3">
        <w:t xml:space="preserve"> </w:t>
      </w:r>
      <w:r w:rsidRPr="00382917">
        <w:t>these</w:t>
      </w:r>
      <w:r w:rsidR="00EE4FC3">
        <w:t xml:space="preserve"> </w:t>
      </w:r>
      <w:r w:rsidRPr="00382917">
        <w:t>words,</w:t>
      </w:r>
      <w:r w:rsidR="00EE4FC3">
        <w:t xml:space="preserve"> </w:t>
      </w:r>
      <w:r w:rsidRPr="00382917">
        <w:t>the</w:t>
      </w:r>
      <w:r w:rsidR="00EE4FC3">
        <w:t xml:space="preserve"> </w:t>
      </w:r>
      <w:r w:rsidRPr="00382917">
        <w:t>governor</w:t>
      </w:r>
      <w:r w:rsidR="00EE4FC3">
        <w:t xml:space="preserve"> </w:t>
      </w:r>
      <w:r w:rsidRPr="00382917">
        <w:t>brought</w:t>
      </w:r>
      <w:r w:rsidR="00EE4FC3">
        <w:t xml:space="preserve"> </w:t>
      </w:r>
      <w:r w:rsidRPr="00382917">
        <w:t>the</w:t>
      </w:r>
      <w:r w:rsidR="00EE4FC3">
        <w:t xml:space="preserve"> </w:t>
      </w:r>
      <w:r w:rsidRPr="00382917">
        <w:t>meeting</w:t>
      </w:r>
      <w:r w:rsidR="00EE4FC3">
        <w:t xml:space="preserve"> </w:t>
      </w:r>
      <w:r w:rsidRPr="00382917">
        <w:t>to</w:t>
      </w:r>
      <w:r w:rsidR="00EE4FC3">
        <w:t xml:space="preserve"> </w:t>
      </w:r>
      <w:r w:rsidRPr="00382917">
        <w:t>a</w:t>
      </w:r>
      <w:r w:rsidR="00EE4FC3">
        <w:t xml:space="preserve"> </w:t>
      </w:r>
      <w:r w:rsidRPr="00382917">
        <w:t>close.</w:t>
      </w:r>
    </w:p>
    <w:p w:rsidR="0054338F" w:rsidRPr="00382917" w:rsidRDefault="0054338F" w:rsidP="009D4E6D">
      <w:pPr>
        <w:pStyle w:val="Text"/>
      </w:pPr>
      <w:r w:rsidRPr="00382917">
        <w:t>The</w:t>
      </w:r>
      <w:r w:rsidR="00EE4FC3">
        <w:t xml:space="preserve"> </w:t>
      </w:r>
      <w:r w:rsidRPr="00382917">
        <w:t>brother</w:t>
      </w:r>
      <w:r w:rsidR="00EE4FC3">
        <w:t xml:space="preserve"> </w:t>
      </w:r>
      <w:r w:rsidRPr="00382917">
        <w:t>of</w:t>
      </w:r>
      <w:r w:rsidR="00EE4FC3">
        <w:t xml:space="preserve"> </w:t>
      </w:r>
      <w:r w:rsidRPr="00382917">
        <w:t>the</w:t>
      </w:r>
      <w:r w:rsidR="00EE4FC3">
        <w:t xml:space="preserve"> </w:t>
      </w:r>
      <w:r w:rsidRPr="00382917">
        <w:t>chief</w:t>
      </w:r>
      <w:r w:rsidR="00EE4FC3">
        <w:t xml:space="preserve"> </w:t>
      </w:r>
      <w:r w:rsidRPr="00382917">
        <w:t>priest</w:t>
      </w:r>
      <w:r w:rsidR="00EE4FC3">
        <w:t xml:space="preserve"> </w:t>
      </w:r>
      <w:r w:rsidRPr="00382917">
        <w:t>writhed</w:t>
      </w:r>
      <w:r w:rsidR="00EE4FC3">
        <w:t xml:space="preserve"> </w:t>
      </w:r>
      <w:r w:rsidRPr="00382917">
        <w:t>in</w:t>
      </w:r>
      <w:r w:rsidR="00EE4FC3">
        <w:t xml:space="preserve"> </w:t>
      </w:r>
      <w:r w:rsidRPr="00382917">
        <w:t>envy</w:t>
      </w:r>
      <w:r w:rsidR="00EE4FC3">
        <w:t xml:space="preserve"> </w:t>
      </w:r>
      <w:r w:rsidRPr="00382917">
        <w:t>at</w:t>
      </w:r>
      <w:r w:rsidR="00EE4FC3">
        <w:t xml:space="preserve"> </w:t>
      </w:r>
      <w:r w:rsidRPr="00382917">
        <w:t>this</w:t>
      </w:r>
      <w:r w:rsidR="00EE4FC3">
        <w:t xml:space="preserve"> </w:t>
      </w:r>
      <w:r w:rsidRPr="00382917">
        <w:t>statement</w:t>
      </w:r>
      <w:r w:rsidR="00C03C91">
        <w:t>.</w:t>
      </w:r>
      <w:r w:rsidR="00EE4FC3">
        <w:t xml:space="preserve">  </w:t>
      </w:r>
      <w:r w:rsidRPr="00382917">
        <w:t>He</w:t>
      </w:r>
      <w:r w:rsidR="00EE4FC3">
        <w:t xml:space="preserve"> </w:t>
      </w:r>
      <w:r w:rsidRPr="00382917">
        <w:t>was</w:t>
      </w:r>
      <w:r w:rsidR="00EE4FC3">
        <w:t xml:space="preserve"> </w:t>
      </w:r>
      <w:r w:rsidRPr="00382917">
        <w:t>jealous</w:t>
      </w:r>
      <w:r w:rsidR="00EE4FC3">
        <w:t xml:space="preserve"> </w:t>
      </w:r>
      <w:r w:rsidRPr="00382917">
        <w:t>of</w:t>
      </w:r>
      <w:r w:rsidR="00EE4FC3">
        <w:t xml:space="preserve"> </w:t>
      </w:r>
      <w:r w:rsidRPr="00382917">
        <w:t>the</w:t>
      </w:r>
      <w:r w:rsidR="00EE4FC3">
        <w:t xml:space="preserve"> </w:t>
      </w:r>
      <w:r w:rsidRPr="00382917">
        <w:t>attentions</w:t>
      </w:r>
      <w:r w:rsidR="00EE4FC3">
        <w:t xml:space="preserve"> </w:t>
      </w:r>
      <w:r w:rsidRPr="00382917">
        <w:t>which</w:t>
      </w:r>
      <w:r w:rsidR="00EE4FC3">
        <w:t xml:space="preserve"> </w:t>
      </w:r>
      <w:r w:rsidRPr="00382917">
        <w:t>the</w:t>
      </w:r>
      <w:r w:rsidR="00EE4FC3">
        <w:t xml:space="preserve"> </w:t>
      </w:r>
      <w:r w:rsidRPr="00382917">
        <w:t>governor</w:t>
      </w:r>
      <w:r w:rsidR="00EE4FC3">
        <w:t xml:space="preserve"> </w:t>
      </w:r>
      <w:r w:rsidRPr="00382917">
        <w:t>and</w:t>
      </w:r>
      <w:r w:rsidR="00EE4FC3">
        <w:t xml:space="preserve"> </w:t>
      </w:r>
      <w:r w:rsidRPr="00382917">
        <w:t>his</w:t>
      </w:r>
      <w:r w:rsidR="00EE4FC3">
        <w:t xml:space="preserve"> </w:t>
      </w:r>
      <w:r w:rsidRPr="00382917">
        <w:t>brother</w:t>
      </w:r>
      <w:r w:rsidR="00EE4FC3">
        <w:t xml:space="preserve"> </w:t>
      </w:r>
      <w:r w:rsidRPr="00382917">
        <w:t>showered</w:t>
      </w:r>
      <w:r w:rsidR="00EE4FC3">
        <w:t xml:space="preserve"> </w:t>
      </w:r>
      <w:r w:rsidRPr="00382917">
        <w:t>upon</w:t>
      </w:r>
      <w:r w:rsidR="00EE4FC3">
        <w:t xml:space="preserve"> </w:t>
      </w:r>
      <w:r w:rsidRPr="00382917">
        <w:t>the</w:t>
      </w:r>
      <w:r w:rsidR="00EE4FC3">
        <w:t xml:space="preserve"> </w:t>
      </w:r>
      <w:r w:rsidRPr="00382917">
        <w:t>Báb</w:t>
      </w:r>
      <w:r w:rsidR="00C03C91">
        <w:t>.</w:t>
      </w:r>
      <w:r w:rsidR="00EE4FC3">
        <w:t xml:space="preserve">  </w:t>
      </w:r>
      <w:r w:rsidRPr="00382917">
        <w:t>His</w:t>
      </w:r>
      <w:r w:rsidR="00EE4FC3">
        <w:t xml:space="preserve"> </w:t>
      </w:r>
      <w:r w:rsidRPr="00382917">
        <w:t>bitter</w:t>
      </w:r>
      <w:r w:rsidR="00EE4FC3">
        <w:t xml:space="preserve"> </w:t>
      </w:r>
      <w:r w:rsidRPr="00382917">
        <w:t>enmity</w:t>
      </w:r>
      <w:r w:rsidR="00EE4FC3">
        <w:t xml:space="preserve"> </w:t>
      </w:r>
      <w:r w:rsidRPr="00382917">
        <w:t>and</w:t>
      </w:r>
      <w:r w:rsidR="00EE4FC3">
        <w:t xml:space="preserve"> </w:t>
      </w:r>
      <w:r w:rsidRPr="00382917">
        <w:t>savage</w:t>
      </w:r>
      <w:r w:rsidR="00EE4FC3">
        <w:t xml:space="preserve"> </w:t>
      </w:r>
      <w:r w:rsidRPr="00382917">
        <w:t>cruelty</w:t>
      </w:r>
      <w:r w:rsidR="00EE4FC3">
        <w:t xml:space="preserve"> </w:t>
      </w:r>
      <w:r w:rsidRPr="00382917">
        <w:t>to</w:t>
      </w:r>
      <w:r w:rsidR="00EE4FC3">
        <w:t xml:space="preserve"> </w:t>
      </w:r>
      <w:r w:rsidRPr="00382917">
        <w:t>both</w:t>
      </w:r>
      <w:r w:rsidR="00EE4FC3">
        <w:t xml:space="preserve"> </w:t>
      </w:r>
      <w:r w:rsidRPr="00382917">
        <w:t>the</w:t>
      </w:r>
      <w:r w:rsidR="00EE4FC3">
        <w:t xml:space="preserve"> </w:t>
      </w:r>
      <w:r w:rsidRPr="00382917">
        <w:t>followers</w:t>
      </w:r>
      <w:r w:rsidR="00EE4FC3">
        <w:t xml:space="preserve"> </w:t>
      </w:r>
      <w:r w:rsidRPr="00382917">
        <w:t>of</w:t>
      </w:r>
      <w:r w:rsidR="00EE4FC3">
        <w:t xml:space="preserve"> </w:t>
      </w:r>
      <w:r w:rsidRPr="00382917">
        <w:t>the</w:t>
      </w:r>
      <w:r w:rsidR="00EE4FC3">
        <w:t xml:space="preserve"> </w:t>
      </w:r>
      <w:r w:rsidRPr="00382917">
        <w:t>Báb</w:t>
      </w:r>
      <w:r w:rsidR="00EE4FC3">
        <w:t xml:space="preserve"> </w:t>
      </w:r>
      <w:r w:rsidRPr="00382917">
        <w:t>and</w:t>
      </w:r>
      <w:r w:rsidR="00EE4FC3">
        <w:t xml:space="preserve"> </w:t>
      </w:r>
      <w:r w:rsidRPr="00382917">
        <w:t>to</w:t>
      </w:r>
      <w:r w:rsidR="00EE4FC3">
        <w:t xml:space="preserve"> </w:t>
      </w:r>
      <w:r w:rsidRPr="00382917">
        <w:t>the</w:t>
      </w:r>
      <w:r w:rsidR="00EE4FC3">
        <w:t xml:space="preserve"> </w:t>
      </w:r>
      <w:r w:rsidRPr="00382917">
        <w:t>followers</w:t>
      </w:r>
      <w:r w:rsidR="00EE4FC3">
        <w:t xml:space="preserve"> </w:t>
      </w:r>
      <w:r w:rsidRPr="00382917">
        <w:t>of</w:t>
      </w:r>
      <w:r w:rsidR="00EE4FC3">
        <w:t xml:space="preserve"> </w:t>
      </w:r>
      <w:r w:rsidRPr="00382917">
        <w:t>the</w:t>
      </w:r>
      <w:r w:rsidR="00EE4FC3">
        <w:t xml:space="preserve"> </w:t>
      </w:r>
      <w:r w:rsidRPr="00382917">
        <w:t>One</w:t>
      </w:r>
      <w:r w:rsidR="00EE4FC3">
        <w:t xml:space="preserve"> </w:t>
      </w:r>
      <w:r w:rsidRPr="00382917">
        <w:t>Whom</w:t>
      </w:r>
      <w:r w:rsidR="00EE4FC3">
        <w:t xml:space="preserve"> </w:t>
      </w:r>
      <w:r w:rsidRPr="00382917">
        <w:t>the</w:t>
      </w:r>
      <w:r w:rsidR="00EE4FC3">
        <w:t xml:space="preserve"> </w:t>
      </w:r>
      <w:r w:rsidRPr="00382917">
        <w:t>Báb</w:t>
      </w:r>
      <w:r w:rsidR="00EE4FC3">
        <w:t xml:space="preserve"> </w:t>
      </w:r>
      <w:r w:rsidRPr="00382917">
        <w:t>said</w:t>
      </w:r>
      <w:r w:rsidR="00EE4FC3">
        <w:t xml:space="preserve"> </w:t>
      </w:r>
      <w:r w:rsidRPr="00382917">
        <w:t>would</w:t>
      </w:r>
      <w:r w:rsidR="00EE4FC3">
        <w:t xml:space="preserve"> </w:t>
      </w:r>
      <w:r w:rsidRPr="00382917">
        <w:t>come</w:t>
      </w:r>
      <w:r w:rsidR="00EE4FC3">
        <w:t xml:space="preserve"> </w:t>
      </w:r>
      <w:r w:rsidRPr="00382917">
        <w:t>after</w:t>
      </w:r>
      <w:r w:rsidR="00EE4FC3">
        <w:t xml:space="preserve"> </w:t>
      </w:r>
      <w:r w:rsidRPr="00382917">
        <w:t>Him,</w:t>
      </w:r>
      <w:r w:rsidR="00EE4FC3">
        <w:t xml:space="preserve"> </w:t>
      </w:r>
      <w:r w:rsidRPr="00382917">
        <w:t>were</w:t>
      </w:r>
      <w:r w:rsidR="00EE4FC3">
        <w:t xml:space="preserve"> </w:t>
      </w:r>
      <w:r w:rsidRPr="00382917">
        <w:t>to</w:t>
      </w:r>
      <w:r w:rsidR="00EE4FC3">
        <w:t xml:space="preserve"> </w:t>
      </w:r>
      <w:r w:rsidRPr="00382917">
        <w:t>earn</w:t>
      </w:r>
      <w:r w:rsidR="00EE4FC3">
        <w:t xml:space="preserve"> </w:t>
      </w:r>
      <w:r w:rsidRPr="00382917">
        <w:t>him</w:t>
      </w:r>
      <w:r w:rsidR="00EE4FC3">
        <w:t xml:space="preserve"> </w:t>
      </w:r>
      <w:r w:rsidRPr="00382917">
        <w:t>in</w:t>
      </w:r>
      <w:r w:rsidR="00EE4FC3">
        <w:t xml:space="preserve"> </w:t>
      </w:r>
      <w:r w:rsidRPr="00382917">
        <w:t>the</w:t>
      </w:r>
      <w:r w:rsidR="00EE4FC3">
        <w:t xml:space="preserve"> </w:t>
      </w:r>
      <w:r w:rsidRPr="00382917">
        <w:t>future</w:t>
      </w:r>
      <w:r w:rsidR="00EE4FC3">
        <w:t xml:space="preserve"> </w:t>
      </w:r>
      <w:r w:rsidRPr="00382917">
        <w:t>the</w:t>
      </w:r>
      <w:r w:rsidR="00EE4FC3">
        <w:t xml:space="preserve"> </w:t>
      </w:r>
      <w:r w:rsidRPr="00382917">
        <w:t>title</w:t>
      </w:r>
      <w:r w:rsidR="00C03C91">
        <w:t>:</w:t>
      </w:r>
      <w:r w:rsidR="00EE4FC3">
        <w:t xml:space="preserve">  </w:t>
      </w:r>
      <w:r w:rsidR="009C713D" w:rsidRPr="00382917">
        <w:t>“</w:t>
      </w:r>
      <w:r w:rsidR="009D4E6D" w:rsidRPr="00382917">
        <w:t>Raq</w:t>
      </w:r>
      <w:r w:rsidR="009D4E6D" w:rsidRPr="00382917">
        <w:rPr>
          <w:u w:val="single"/>
        </w:rPr>
        <w:t>sh</w:t>
      </w:r>
      <w:r w:rsidR="009D4E6D" w:rsidRPr="00382917">
        <w:t>á</w:t>
      </w:r>
      <w:r w:rsidRPr="00382917">
        <w:t>—the</w:t>
      </w:r>
      <w:r w:rsidR="00EE4FC3">
        <w:t xml:space="preserve"> </w:t>
      </w:r>
      <w:r w:rsidRPr="00382917">
        <w:t>female</w:t>
      </w:r>
      <w:r w:rsidR="00EE4FC3">
        <w:t xml:space="preserve"> </w:t>
      </w:r>
      <w:r w:rsidRPr="00382917">
        <w:t>serpent.</w:t>
      </w:r>
      <w:r w:rsidR="009C713D" w:rsidRPr="00382917">
        <w:t>”</w:t>
      </w:r>
    </w:p>
    <w:p w:rsidR="0054338F" w:rsidRPr="00382917" w:rsidRDefault="0054338F" w:rsidP="009D4E6D">
      <w:pPr>
        <w:pStyle w:val="Text"/>
      </w:pPr>
      <w:r w:rsidRPr="00382917">
        <w:t>He</w:t>
      </w:r>
      <w:r w:rsidR="00EE4FC3">
        <w:t xml:space="preserve"> </w:t>
      </w:r>
      <w:r w:rsidRPr="00382917">
        <w:t>plotted</w:t>
      </w:r>
      <w:r w:rsidR="00EE4FC3">
        <w:t xml:space="preserve"> </w:t>
      </w:r>
      <w:r w:rsidRPr="00382917">
        <w:t>with</w:t>
      </w:r>
      <w:r w:rsidR="00EE4FC3">
        <w:t xml:space="preserve"> </w:t>
      </w:r>
      <w:r w:rsidRPr="00382917">
        <w:t>the</w:t>
      </w:r>
      <w:r w:rsidR="00EE4FC3">
        <w:t xml:space="preserve"> </w:t>
      </w:r>
      <w:r w:rsidRPr="00382917">
        <w:t>other</w:t>
      </w:r>
      <w:r w:rsidR="00EE4FC3">
        <w:t xml:space="preserve"> </w:t>
      </w:r>
      <w:r w:rsidRPr="00382917">
        <w:t>priests</w:t>
      </w:r>
      <w:r w:rsidR="00EE4FC3">
        <w:t xml:space="preserve"> </w:t>
      </w:r>
      <w:r w:rsidRPr="00382917">
        <w:t>of</w:t>
      </w:r>
      <w:r w:rsidR="00EE4FC3">
        <w:t xml:space="preserve"> </w:t>
      </w:r>
      <w:r w:rsidRPr="00382917">
        <w:t>the</w:t>
      </w:r>
      <w:r w:rsidR="00EE4FC3">
        <w:t xml:space="preserve"> </w:t>
      </w:r>
      <w:r w:rsidRPr="00382917">
        <w:t>region</w:t>
      </w:r>
      <w:r w:rsidR="00EE4FC3">
        <w:t xml:space="preserve"> </w:t>
      </w:r>
      <w:r w:rsidRPr="00382917">
        <w:t>to</w:t>
      </w:r>
      <w:r w:rsidR="00EE4FC3">
        <w:t xml:space="preserve"> </w:t>
      </w:r>
      <w:r w:rsidRPr="00382917">
        <w:t>undermine</w:t>
      </w:r>
      <w:r w:rsidR="00EE4FC3">
        <w:t xml:space="preserve"> </w:t>
      </w:r>
      <w:r w:rsidRPr="00382917">
        <w:t>the</w:t>
      </w:r>
      <w:r w:rsidR="00EE4FC3">
        <w:t xml:space="preserve"> </w:t>
      </w:r>
      <w:r w:rsidRPr="00382917">
        <w:t>Báb</w:t>
      </w:r>
      <w:r w:rsidR="009C713D" w:rsidRPr="00382917">
        <w:t>’</w:t>
      </w:r>
      <w:r w:rsidRPr="00382917">
        <w:t>s</w:t>
      </w:r>
      <w:r w:rsidR="00EE4FC3">
        <w:t xml:space="preserve"> </w:t>
      </w:r>
      <w:r w:rsidRPr="00382917">
        <w:t>growing</w:t>
      </w:r>
      <w:r w:rsidR="00EE4FC3">
        <w:t xml:space="preserve"> </w:t>
      </w:r>
      <w:r w:rsidRPr="00382917">
        <w:t>power</w:t>
      </w:r>
      <w:r w:rsidR="00C03C91">
        <w:t>.</w:t>
      </w:r>
      <w:r w:rsidR="00EE4FC3">
        <w:t xml:space="preserve">  </w:t>
      </w:r>
      <w:r w:rsidRPr="00382917">
        <w:t>It</w:t>
      </w:r>
      <w:r w:rsidR="00EE4FC3">
        <w:t xml:space="preserve"> </w:t>
      </w:r>
      <w:r w:rsidRPr="00382917">
        <w:t>was</w:t>
      </w:r>
      <w:r w:rsidR="00EE4FC3">
        <w:t xml:space="preserve"> </w:t>
      </w:r>
      <w:r w:rsidRPr="00382917">
        <w:t>easy</w:t>
      </w:r>
      <w:r w:rsidR="00EE4FC3">
        <w:t xml:space="preserve"> </w:t>
      </w:r>
      <w:r w:rsidRPr="00382917">
        <w:t>to</w:t>
      </w:r>
      <w:r w:rsidR="00EE4FC3">
        <w:t xml:space="preserve"> </w:t>
      </w:r>
      <w:r w:rsidRPr="00382917">
        <w:t>win</w:t>
      </w:r>
      <w:r w:rsidR="00EE4FC3">
        <w:t xml:space="preserve"> </w:t>
      </w:r>
      <w:r w:rsidRPr="00382917">
        <w:t>their</w:t>
      </w:r>
      <w:r w:rsidR="00EE4FC3">
        <w:t xml:space="preserve"> </w:t>
      </w:r>
      <w:r w:rsidRPr="00382917">
        <w:t>support,</w:t>
      </w:r>
      <w:r w:rsidR="00EE4FC3">
        <w:t xml:space="preserve"> </w:t>
      </w:r>
      <w:r w:rsidRPr="00382917">
        <w:t>for</w:t>
      </w:r>
      <w:r w:rsidR="00EE4FC3">
        <w:t xml:space="preserve"> </w:t>
      </w:r>
      <w:r w:rsidRPr="00382917">
        <w:t>they</w:t>
      </w:r>
      <w:r w:rsidR="00EE4FC3">
        <w:t xml:space="preserve"> </w:t>
      </w:r>
      <w:r w:rsidRPr="00382917">
        <w:t>firmly</w:t>
      </w:r>
      <w:r w:rsidR="00EE4FC3">
        <w:t xml:space="preserve"> </w:t>
      </w:r>
      <w:r w:rsidRPr="00382917">
        <w:t>believed</w:t>
      </w:r>
      <w:r w:rsidR="00EE4FC3">
        <w:t xml:space="preserve"> </w:t>
      </w:r>
      <w:r w:rsidRPr="00382917">
        <w:t>that</w:t>
      </w:r>
      <w:r w:rsidR="00EE4FC3">
        <w:t xml:space="preserve"> </w:t>
      </w:r>
      <w:r w:rsidRPr="00382917">
        <w:t>unless</w:t>
      </w:r>
      <w:r w:rsidR="00EE4FC3">
        <w:t xml:space="preserve"> </w:t>
      </w:r>
      <w:r w:rsidRPr="00382917">
        <w:t>they</w:t>
      </w:r>
      <w:r w:rsidR="00EE4FC3">
        <w:t xml:space="preserve"> </w:t>
      </w:r>
      <w:r w:rsidRPr="00382917">
        <w:t>arose</w:t>
      </w:r>
      <w:r w:rsidR="00EE4FC3">
        <w:t xml:space="preserve"> </w:t>
      </w:r>
      <w:r w:rsidRPr="00382917">
        <w:t>to</w:t>
      </w:r>
      <w:r w:rsidR="00EE4FC3">
        <w:t xml:space="preserve"> </w:t>
      </w:r>
      <w:r w:rsidRPr="00382917">
        <w:t>stem</w:t>
      </w:r>
      <w:r w:rsidR="00EE4FC3">
        <w:t xml:space="preserve"> </w:t>
      </w:r>
      <w:r w:rsidRPr="00382917">
        <w:t>the</w:t>
      </w:r>
      <w:r w:rsidR="00EE4FC3">
        <w:t xml:space="preserve"> </w:t>
      </w:r>
      <w:r w:rsidRPr="00382917">
        <w:t>tide</w:t>
      </w:r>
      <w:r w:rsidR="00EE4FC3">
        <w:t xml:space="preserve"> </w:t>
      </w:r>
      <w:r w:rsidRPr="00382917">
        <w:t>of</w:t>
      </w:r>
      <w:r w:rsidR="00EE4FC3">
        <w:t xml:space="preserve"> </w:t>
      </w:r>
      <w:r w:rsidRPr="00382917">
        <w:t>this</w:t>
      </w:r>
      <w:r w:rsidR="00EE4FC3">
        <w:t xml:space="preserve"> </w:t>
      </w:r>
      <w:r w:rsidRPr="00382917">
        <w:t>popular</w:t>
      </w:r>
      <w:r w:rsidR="00EE4FC3">
        <w:t xml:space="preserve"> </w:t>
      </w:r>
      <w:r w:rsidRPr="00382917">
        <w:t>enthusiasm</w:t>
      </w:r>
      <w:r w:rsidR="00EE4FC3">
        <w:t xml:space="preserve"> </w:t>
      </w:r>
      <w:r w:rsidRPr="00382917">
        <w:t>for</w:t>
      </w:r>
      <w:r w:rsidR="00EE4FC3">
        <w:t xml:space="preserve"> </w:t>
      </w:r>
      <w:r w:rsidRPr="00382917">
        <w:t>the</w:t>
      </w:r>
      <w:r w:rsidR="00EE4FC3">
        <w:t xml:space="preserve"> </w:t>
      </w:r>
      <w:r w:rsidRPr="00382917">
        <w:t>Báb,</w:t>
      </w:r>
      <w:r w:rsidR="00EE4FC3">
        <w:t xml:space="preserve"> </w:t>
      </w:r>
      <w:r w:rsidRPr="00382917">
        <w:t>the</w:t>
      </w:r>
      <w:r w:rsidR="00EE4FC3">
        <w:t xml:space="preserve"> </w:t>
      </w:r>
      <w:r w:rsidRPr="00382917">
        <w:t>foundations</w:t>
      </w:r>
      <w:r w:rsidR="00EE4FC3">
        <w:t xml:space="preserve"> </w:t>
      </w:r>
      <w:r w:rsidRPr="00382917">
        <w:t>of</w:t>
      </w:r>
      <w:r w:rsidR="00EE4FC3">
        <w:t xml:space="preserve"> </w:t>
      </w:r>
      <w:r w:rsidRPr="00382917">
        <w:t>their</w:t>
      </w:r>
      <w:r w:rsidR="00EE4FC3">
        <w:t xml:space="preserve"> </w:t>
      </w:r>
      <w:r w:rsidRPr="00382917">
        <w:t>own</w:t>
      </w:r>
      <w:r w:rsidR="00EE4FC3">
        <w:t xml:space="preserve"> </w:t>
      </w:r>
      <w:r w:rsidRPr="00382917">
        <w:t>livelihood</w:t>
      </w:r>
      <w:r w:rsidR="00EE4FC3">
        <w:t xml:space="preserve"> </w:t>
      </w:r>
      <w:r w:rsidRPr="00382917">
        <w:t>and</w:t>
      </w:r>
      <w:r w:rsidR="00EE4FC3">
        <w:t xml:space="preserve"> </w:t>
      </w:r>
      <w:r w:rsidRPr="00382917">
        <w:t>future</w:t>
      </w:r>
      <w:r w:rsidR="00EE4FC3">
        <w:t xml:space="preserve"> </w:t>
      </w:r>
      <w:r w:rsidRPr="00382917">
        <w:t>might</w:t>
      </w:r>
      <w:r w:rsidR="00EE4FC3">
        <w:t xml:space="preserve"> </w:t>
      </w:r>
      <w:r w:rsidRPr="00382917">
        <w:t>be</w:t>
      </w:r>
      <w:r w:rsidR="00EE4FC3">
        <w:t xml:space="preserve"> </w:t>
      </w:r>
      <w:r w:rsidRPr="00382917">
        <w:t>swept</w:t>
      </w:r>
      <w:r w:rsidR="00EE4FC3">
        <w:t xml:space="preserve"> </w:t>
      </w:r>
      <w:r w:rsidRPr="00382917">
        <w:t>away.</w:t>
      </w:r>
    </w:p>
    <w:p w:rsidR="0054338F" w:rsidRPr="00382917" w:rsidRDefault="0054338F" w:rsidP="009D4E6D">
      <w:pPr>
        <w:pStyle w:val="Text"/>
      </w:pPr>
      <w:r w:rsidRPr="00382917">
        <w:t>At</w:t>
      </w:r>
      <w:r w:rsidR="00EE4FC3">
        <w:t xml:space="preserve"> </w:t>
      </w:r>
      <w:r w:rsidRPr="00382917">
        <w:t>first</w:t>
      </w:r>
      <w:r w:rsidR="00EE4FC3">
        <w:t xml:space="preserve"> </w:t>
      </w:r>
      <w:r w:rsidRPr="00382917">
        <w:t>they</w:t>
      </w:r>
      <w:r w:rsidR="00EE4FC3">
        <w:t xml:space="preserve"> </w:t>
      </w:r>
      <w:r w:rsidRPr="00382917">
        <w:t>refrained</w:t>
      </w:r>
      <w:r w:rsidR="00EE4FC3">
        <w:t xml:space="preserve"> </w:t>
      </w:r>
      <w:r w:rsidRPr="00382917">
        <w:t>from</w:t>
      </w:r>
      <w:r w:rsidR="00EE4FC3">
        <w:t xml:space="preserve"> </w:t>
      </w:r>
      <w:r w:rsidRPr="00382917">
        <w:t>outright</w:t>
      </w:r>
      <w:r w:rsidR="00EE4FC3">
        <w:t xml:space="preserve"> </w:t>
      </w:r>
      <w:r w:rsidRPr="00382917">
        <w:t>hostility</w:t>
      </w:r>
      <w:r w:rsidR="00C03C91">
        <w:t>.</w:t>
      </w:r>
      <w:r w:rsidR="00EE4FC3">
        <w:t xml:space="preserve">  </w:t>
      </w:r>
      <w:r w:rsidRPr="00382917">
        <w:t>Instead,</w:t>
      </w:r>
      <w:r w:rsidR="00EE4FC3">
        <w:t xml:space="preserve"> </w:t>
      </w:r>
      <w:r w:rsidRPr="00382917">
        <w:t>they</w:t>
      </w:r>
      <w:r w:rsidR="00EE4FC3">
        <w:t xml:space="preserve"> </w:t>
      </w:r>
      <w:r w:rsidRPr="00382917">
        <w:t>began</w:t>
      </w:r>
      <w:r w:rsidR="00EE4FC3">
        <w:t xml:space="preserve"> </w:t>
      </w:r>
      <w:r w:rsidRPr="00382917">
        <w:t>circulating</w:t>
      </w:r>
      <w:r w:rsidR="00EE4FC3">
        <w:t xml:space="preserve"> </w:t>
      </w:r>
      <w:r w:rsidRPr="00382917">
        <w:t>wild</w:t>
      </w:r>
      <w:r w:rsidR="00EE4FC3">
        <w:t xml:space="preserve"> </w:t>
      </w:r>
      <w:proofErr w:type="spellStart"/>
      <w:r w:rsidRPr="00382917">
        <w:t>rumors</w:t>
      </w:r>
      <w:proofErr w:type="spellEnd"/>
      <w:r w:rsidR="00EE4FC3">
        <w:t xml:space="preserve"> </w:t>
      </w:r>
      <w:r w:rsidRPr="00382917">
        <w:t>and</w:t>
      </w:r>
      <w:r w:rsidR="00EE4FC3">
        <w:t xml:space="preserve"> </w:t>
      </w:r>
      <w:r w:rsidRPr="00382917">
        <w:t>base</w:t>
      </w:r>
      <w:r w:rsidR="00EE4FC3">
        <w:t xml:space="preserve"> </w:t>
      </w:r>
      <w:r w:rsidRPr="00382917">
        <w:t>accusations</w:t>
      </w:r>
      <w:r w:rsidR="00EE4FC3">
        <w:t xml:space="preserve"> </w:t>
      </w:r>
      <w:r w:rsidRPr="00382917">
        <w:t>concerning</w:t>
      </w:r>
      <w:r w:rsidR="00EE4FC3">
        <w:t xml:space="preserve"> </w:t>
      </w:r>
      <w:r w:rsidRPr="00382917">
        <w:t>the</w:t>
      </w:r>
      <w:r w:rsidR="00EE4FC3">
        <w:t xml:space="preserve"> </w:t>
      </w:r>
      <w:r w:rsidRPr="00382917">
        <w:t>teachings</w:t>
      </w:r>
      <w:r w:rsidR="00EE4FC3">
        <w:t xml:space="preserve"> </w:t>
      </w:r>
      <w:r w:rsidRPr="00382917">
        <w:t>of</w:t>
      </w:r>
      <w:r w:rsidR="00EE4FC3">
        <w:t xml:space="preserve"> </w:t>
      </w:r>
      <w:r w:rsidRPr="00382917">
        <w:t>the</w:t>
      </w:r>
      <w:r w:rsidR="00EE4FC3">
        <w:t xml:space="preserve"> </w:t>
      </w:r>
      <w:r w:rsidRPr="00382917">
        <w:t>Báb</w:t>
      </w:r>
      <w:r w:rsidR="00C03C91">
        <w:t>.</w:t>
      </w:r>
      <w:r w:rsidR="00EE4FC3">
        <w:t xml:space="preserve">  </w:t>
      </w:r>
      <w:r w:rsidRPr="00382917">
        <w:t>They</w:t>
      </w:r>
      <w:r w:rsidR="00EE4FC3">
        <w:t xml:space="preserve"> </w:t>
      </w:r>
      <w:r w:rsidRPr="00382917">
        <w:t>made</w:t>
      </w:r>
      <w:r w:rsidR="00EE4FC3">
        <w:t xml:space="preserve"> </w:t>
      </w:r>
      <w:r w:rsidRPr="00382917">
        <w:t>certain</w:t>
      </w:r>
      <w:r w:rsidR="00EE4FC3">
        <w:t xml:space="preserve"> </w:t>
      </w:r>
      <w:r w:rsidRPr="00382917">
        <w:t>that</w:t>
      </w:r>
      <w:r w:rsidR="00EE4FC3">
        <w:t xml:space="preserve"> </w:t>
      </w:r>
      <w:r w:rsidRPr="00382917">
        <w:t>these</w:t>
      </w:r>
      <w:r w:rsidR="00EE4FC3">
        <w:t xml:space="preserve"> </w:t>
      </w:r>
      <w:r w:rsidRPr="00382917">
        <w:t>false</w:t>
      </w:r>
      <w:r w:rsidR="00EE4FC3">
        <w:t xml:space="preserve"> </w:t>
      </w:r>
      <w:proofErr w:type="spellStart"/>
      <w:r w:rsidRPr="00382917">
        <w:t>rumors</w:t>
      </w:r>
      <w:proofErr w:type="spellEnd"/>
      <w:r w:rsidR="00EE4FC3">
        <w:t xml:space="preserve"> </w:t>
      </w:r>
      <w:r w:rsidRPr="00382917">
        <w:t>reached</w:t>
      </w:r>
      <w:r w:rsidR="00EE4FC3">
        <w:t xml:space="preserve"> </w:t>
      </w:r>
      <w:r w:rsidRPr="00382917">
        <w:t>the</w:t>
      </w:r>
      <w:r w:rsidR="00EE4FC3">
        <w:t xml:space="preserve"> </w:t>
      </w:r>
      <w:r w:rsidRPr="00382917">
        <w:t>capital</w:t>
      </w:r>
      <w:r w:rsidR="00EE4FC3">
        <w:t xml:space="preserve"> </w:t>
      </w:r>
      <w:r w:rsidRPr="00382917">
        <w:t>at</w:t>
      </w:r>
      <w:r w:rsidR="00EE4FC3">
        <w:t xml:space="preserve"> </w:t>
      </w:r>
      <w:r w:rsidRPr="00382917">
        <w:t>Ṭihrán</w:t>
      </w:r>
      <w:r w:rsidR="00EE4FC3">
        <w:t xml:space="preserve"> </w:t>
      </w:r>
      <w:r w:rsidRPr="00382917">
        <w:t>and</w:t>
      </w:r>
      <w:r w:rsidR="00EE4FC3">
        <w:t xml:space="preserve"> </w:t>
      </w:r>
      <w:r w:rsidRPr="00382917">
        <w:t>were</w:t>
      </w:r>
      <w:r w:rsidR="00EE4FC3">
        <w:t xml:space="preserve"> </w:t>
      </w:r>
      <w:r w:rsidRPr="00382917">
        <w:t>especially</w:t>
      </w:r>
      <w:r w:rsidR="00EE4FC3">
        <w:t xml:space="preserve"> </w:t>
      </w:r>
      <w:r w:rsidRPr="00382917">
        <w:t>made</w:t>
      </w:r>
      <w:r w:rsidR="00EE4FC3">
        <w:t xml:space="preserve"> </w:t>
      </w:r>
      <w:r w:rsidRPr="00382917">
        <w:t>known</w:t>
      </w:r>
      <w:r w:rsidR="00EE4FC3">
        <w:t xml:space="preserve"> </w:t>
      </w:r>
      <w:r w:rsidRPr="00382917">
        <w:t>to</w:t>
      </w:r>
      <w:r w:rsidR="00EE4FC3">
        <w:t xml:space="preserve"> </w:t>
      </w:r>
      <w:r w:rsidRPr="00382917">
        <w:t>the</w:t>
      </w:r>
      <w:r w:rsidR="00EE4FC3">
        <w:t xml:space="preserve"> </w:t>
      </w:r>
      <w:r w:rsidRPr="00382917">
        <w:t>Prime</w:t>
      </w:r>
      <w:r w:rsidR="00EE4FC3">
        <w:t xml:space="preserve"> </w:t>
      </w:r>
      <w:r w:rsidRPr="00382917">
        <w:t>Minister,</w:t>
      </w:r>
      <w:r w:rsidR="00EE4FC3">
        <w:t xml:space="preserve"> </w:t>
      </w:r>
      <w:r w:rsidRPr="00382917">
        <w:t>Ḥájí</w:t>
      </w:r>
      <w:r w:rsidR="00EE4FC3">
        <w:t xml:space="preserve"> </w:t>
      </w:r>
      <w:r w:rsidRPr="00382917">
        <w:t>Mírzá</w:t>
      </w:r>
      <w:r w:rsidR="00EE4FC3">
        <w:t xml:space="preserve"> </w:t>
      </w:r>
      <w:r w:rsidRPr="00382917">
        <w:t>Áqásí.</w:t>
      </w:r>
    </w:p>
    <w:p w:rsidR="0054338F" w:rsidRPr="00382917" w:rsidRDefault="0054338F" w:rsidP="00C03C91">
      <w:pPr>
        <w:pStyle w:val="Text"/>
      </w:pPr>
      <w:r w:rsidRPr="00382917">
        <w:t>The</w:t>
      </w:r>
      <w:r w:rsidR="00EE4FC3">
        <w:t xml:space="preserve"> </w:t>
      </w:r>
      <w:r w:rsidRPr="00382917">
        <w:t>Prime</w:t>
      </w:r>
      <w:r w:rsidR="00EE4FC3">
        <w:t xml:space="preserve"> </w:t>
      </w:r>
      <w:r w:rsidRPr="00382917">
        <w:t>Minister</w:t>
      </w:r>
      <w:r w:rsidR="00EE4FC3">
        <w:t xml:space="preserve"> </w:t>
      </w:r>
      <w:r w:rsidRPr="00382917">
        <w:t>was</w:t>
      </w:r>
      <w:r w:rsidR="00EE4FC3">
        <w:t xml:space="preserve"> </w:t>
      </w:r>
      <w:r w:rsidRPr="00382917">
        <w:t>already</w:t>
      </w:r>
      <w:r w:rsidR="00EE4FC3">
        <w:t xml:space="preserve"> </w:t>
      </w:r>
      <w:r w:rsidRPr="00382917">
        <w:t>fearful</w:t>
      </w:r>
      <w:r w:rsidR="00EE4FC3">
        <w:t xml:space="preserve"> </w:t>
      </w:r>
      <w:r w:rsidRPr="00382917">
        <w:t>that</w:t>
      </w:r>
      <w:r w:rsidR="00EE4FC3">
        <w:t xml:space="preserve"> </w:t>
      </w:r>
      <w:r w:rsidRPr="00382917">
        <w:t>the</w:t>
      </w:r>
      <w:r w:rsidR="00EE4FC3">
        <w:t xml:space="preserve"> </w:t>
      </w:r>
      <w:r w:rsidRPr="00382917">
        <w:t>king</w:t>
      </w:r>
      <w:r w:rsidR="00EE4FC3">
        <w:t xml:space="preserve"> </w:t>
      </w:r>
      <w:r w:rsidRPr="00382917">
        <w:t>might</w:t>
      </w:r>
      <w:r w:rsidR="00EE4FC3">
        <w:t xml:space="preserve"> </w:t>
      </w:r>
      <w:r w:rsidRPr="00382917">
        <w:t>be</w:t>
      </w:r>
      <w:r w:rsidR="00EE4FC3">
        <w:t xml:space="preserve"> </w:t>
      </w:r>
      <w:r w:rsidRPr="00382917">
        <w:t>inclined</w:t>
      </w:r>
      <w:r w:rsidR="00EE4FC3">
        <w:t xml:space="preserve"> </w:t>
      </w:r>
      <w:r w:rsidRPr="00382917">
        <w:t>to</w:t>
      </w:r>
      <w:r w:rsidR="00EE4FC3">
        <w:t xml:space="preserve"> </w:t>
      </w:r>
      <w:r w:rsidRPr="00382917">
        <w:t>befriend</w:t>
      </w:r>
      <w:r w:rsidR="00EE4FC3">
        <w:t xml:space="preserve"> </w:t>
      </w:r>
      <w:r w:rsidRPr="00382917">
        <w:t>the</w:t>
      </w:r>
      <w:r w:rsidR="00EE4FC3">
        <w:t xml:space="preserve"> </w:t>
      </w:r>
      <w:r w:rsidRPr="00382917">
        <w:t>Báb</w:t>
      </w:r>
      <w:r w:rsidR="00EE4FC3">
        <w:t xml:space="preserve"> </w:t>
      </w:r>
      <w:r w:rsidRPr="00382917">
        <w:t>because</w:t>
      </w:r>
      <w:r w:rsidR="00EE4FC3">
        <w:t xml:space="preserve"> </w:t>
      </w:r>
      <w:r w:rsidRPr="00382917">
        <w:t>of</w:t>
      </w:r>
      <w:r w:rsidR="00EE4FC3">
        <w:t xml:space="preserve"> </w:t>
      </w:r>
      <w:proofErr w:type="spellStart"/>
      <w:r w:rsidRPr="00382917">
        <w:t>Vaḥíd</w:t>
      </w:r>
      <w:r w:rsidR="009C713D" w:rsidRPr="00382917">
        <w:t>’</w:t>
      </w:r>
      <w:r w:rsidRPr="00382917">
        <w:t>s</w:t>
      </w:r>
      <w:proofErr w:type="spellEnd"/>
      <w:r w:rsidR="00EE4FC3">
        <w:t xml:space="preserve"> </w:t>
      </w:r>
      <w:r w:rsidRPr="00382917">
        <w:t>acceptance</w:t>
      </w:r>
      <w:r w:rsidR="00EE4FC3">
        <w:t xml:space="preserve"> </w:t>
      </w:r>
      <w:r w:rsidRPr="00382917">
        <w:t>of</w:t>
      </w:r>
      <w:r w:rsidR="00EE4FC3">
        <w:t xml:space="preserve"> </w:t>
      </w:r>
      <w:r w:rsidRPr="00382917">
        <w:t>Him</w:t>
      </w:r>
      <w:r w:rsidR="00C03C91">
        <w:t>.</w:t>
      </w:r>
      <w:r w:rsidR="00EE4FC3">
        <w:t xml:space="preserve">  </w:t>
      </w:r>
      <w:r w:rsidRPr="00382917">
        <w:t>He</w:t>
      </w:r>
      <w:r w:rsidR="00EE4FC3">
        <w:t xml:space="preserve"> </w:t>
      </w:r>
      <w:r w:rsidRPr="00382917">
        <w:t>knew</w:t>
      </w:r>
      <w:r w:rsidR="00EE4FC3">
        <w:t xml:space="preserve"> </w:t>
      </w:r>
      <w:r w:rsidRPr="00382917">
        <w:t>that</w:t>
      </w:r>
      <w:r w:rsidR="00EE4FC3">
        <w:t xml:space="preserve"> </w:t>
      </w:r>
      <w:r w:rsidRPr="00382917">
        <w:t>such</w:t>
      </w:r>
      <w:r w:rsidR="00EE4FC3">
        <w:t xml:space="preserve"> </w:t>
      </w:r>
      <w:r w:rsidRPr="00382917">
        <w:t>a</w:t>
      </w:r>
      <w:r w:rsidR="00EE4FC3">
        <w:t xml:space="preserve"> </w:t>
      </w:r>
      <w:r w:rsidRPr="00382917">
        <w:t>friendship</w:t>
      </w:r>
      <w:r w:rsidR="00EE4FC3">
        <w:t xml:space="preserve"> </w:t>
      </w:r>
      <w:r w:rsidRPr="00382917">
        <w:t>between</w:t>
      </w:r>
      <w:r w:rsidR="00EE4FC3">
        <w:t xml:space="preserve"> </w:t>
      </w:r>
      <w:r w:rsidRPr="00382917">
        <w:t>the</w:t>
      </w:r>
      <w:r w:rsidR="00EE4FC3">
        <w:t xml:space="preserve"> </w:t>
      </w:r>
      <w:r w:rsidR="004F6339" w:rsidRPr="004F6339">
        <w:rPr>
          <w:u w:val="single"/>
        </w:rPr>
        <w:t>Sh</w:t>
      </w:r>
      <w:r w:rsidR="004F6339" w:rsidRPr="00382917">
        <w:t>áh</w:t>
      </w:r>
      <w:r w:rsidR="00EE4FC3">
        <w:t xml:space="preserve"> </w:t>
      </w:r>
      <w:r w:rsidRPr="00382917">
        <w:t>and</w:t>
      </w:r>
      <w:r w:rsidR="00EE4FC3">
        <w:t xml:space="preserve"> </w:t>
      </w:r>
      <w:r w:rsidRPr="00382917">
        <w:t>the</w:t>
      </w:r>
      <w:r w:rsidR="00EE4FC3">
        <w:t xml:space="preserve"> </w:t>
      </w:r>
      <w:r w:rsidRPr="00382917">
        <w:t>Báb</w:t>
      </w:r>
      <w:r w:rsidR="00EE4FC3">
        <w:t xml:space="preserve"> </w:t>
      </w:r>
      <w:r w:rsidRPr="00382917">
        <w:t>might</w:t>
      </w:r>
      <w:r w:rsidR="00EE4FC3">
        <w:t xml:space="preserve"> </w:t>
      </w:r>
      <w:r w:rsidRPr="00382917">
        <w:t>easily</w:t>
      </w:r>
      <w:r w:rsidR="00EE4FC3">
        <w:t xml:space="preserve"> </w:t>
      </w:r>
      <w:r w:rsidRPr="00382917">
        <w:t>lead</w:t>
      </w:r>
      <w:r w:rsidR="00EE4FC3">
        <w:t xml:space="preserve"> </w:t>
      </w:r>
      <w:r w:rsidRPr="00382917">
        <w:t>to</w:t>
      </w:r>
      <w:r w:rsidR="00EE4FC3">
        <w:t xml:space="preserve"> </w:t>
      </w:r>
      <w:r w:rsidRPr="00382917">
        <w:t>his</w:t>
      </w:r>
      <w:r w:rsidR="00EE4FC3">
        <w:t xml:space="preserve"> </w:t>
      </w:r>
      <w:r w:rsidRPr="00382917">
        <w:t>own</w:t>
      </w:r>
      <w:r w:rsidR="00EE4FC3">
        <w:t xml:space="preserve"> </w:t>
      </w:r>
      <w:r w:rsidRPr="00382917">
        <w:t>downfall</w:t>
      </w:r>
      <w:r w:rsidR="00C03C91">
        <w:t>.</w:t>
      </w:r>
      <w:r w:rsidR="00EE4FC3">
        <w:t xml:space="preserve">  </w:t>
      </w:r>
      <w:r w:rsidRPr="00382917">
        <w:t>He</w:t>
      </w:r>
      <w:r w:rsidR="00EE4FC3">
        <w:t xml:space="preserve"> </w:t>
      </w:r>
      <w:r w:rsidRPr="00382917">
        <w:t>was</w:t>
      </w:r>
      <w:r w:rsidR="00EE4FC3">
        <w:t xml:space="preserve"> </w:t>
      </w:r>
      <w:r w:rsidRPr="00382917">
        <w:t>even</w:t>
      </w:r>
      <w:r w:rsidR="00EE4FC3">
        <w:t xml:space="preserve"> </w:t>
      </w:r>
      <w:r w:rsidRPr="00382917">
        <w:t>more</w:t>
      </w:r>
      <w:r w:rsidR="00EE4FC3">
        <w:t xml:space="preserve"> </w:t>
      </w:r>
      <w:r w:rsidRPr="00382917">
        <w:t>afraid</w:t>
      </w:r>
      <w:r w:rsidR="00EE4FC3">
        <w:t xml:space="preserve"> </w:t>
      </w:r>
      <w:r w:rsidRPr="00382917">
        <w:t>that</w:t>
      </w:r>
      <w:r w:rsidR="00EE4FC3">
        <w:t xml:space="preserve"> </w:t>
      </w:r>
      <w:r w:rsidRPr="00382917">
        <w:t>the</w:t>
      </w:r>
      <w:r w:rsidR="00EE4FC3">
        <w:t xml:space="preserve"> </w:t>
      </w:r>
      <w:r w:rsidRPr="00382917">
        <w:t>governor</w:t>
      </w:r>
      <w:r w:rsidR="00EE4FC3">
        <w:t xml:space="preserve"> </w:t>
      </w:r>
      <w:r w:rsidRPr="00382917">
        <w:t>of</w:t>
      </w:r>
      <w:r w:rsidR="00EE4FC3">
        <w:t xml:space="preserve"> </w:t>
      </w:r>
      <w:r w:rsidRPr="00382917">
        <w:t>I</w:t>
      </w:r>
      <w:r w:rsidR="009D4E6D" w:rsidRPr="00382917">
        <w:t>ṣ</w:t>
      </w:r>
      <w:r w:rsidRPr="00382917">
        <w:t>f</w:t>
      </w:r>
      <w:r w:rsidR="009D4E6D" w:rsidRPr="00382917">
        <w:t>a</w:t>
      </w:r>
      <w:r w:rsidRPr="00382917">
        <w:t>hán,</w:t>
      </w:r>
      <w:r w:rsidR="00EE4FC3">
        <w:t xml:space="preserve"> </w:t>
      </w:r>
      <w:r w:rsidR="0040329F" w:rsidRPr="00382917">
        <w:t>Manú</w:t>
      </w:r>
      <w:r w:rsidR="0040329F" w:rsidRPr="0040329F">
        <w:rPr>
          <w:u w:val="single"/>
        </w:rPr>
        <w:t>ch</w:t>
      </w:r>
      <w:r w:rsidR="0040329F" w:rsidRPr="00382917">
        <w:t>ihr</w:t>
      </w:r>
      <w:r w:rsidR="00EE4FC3">
        <w:t xml:space="preserve"> </w:t>
      </w:r>
      <w:r w:rsidR="0040329F" w:rsidRPr="0040329F">
        <w:rPr>
          <w:u w:val="single"/>
        </w:rPr>
        <w:t>Kh</w:t>
      </w:r>
      <w:r w:rsidR="0040329F" w:rsidRPr="00382917">
        <w:t>án</w:t>
      </w:r>
      <w:r w:rsidRPr="00382917">
        <w:t>,</w:t>
      </w:r>
      <w:r w:rsidR="00EE4FC3">
        <w:t xml:space="preserve"> </w:t>
      </w:r>
      <w:r w:rsidRPr="00382917">
        <w:t>might</w:t>
      </w:r>
      <w:r w:rsidR="00EE4FC3">
        <w:t xml:space="preserve"> </w:t>
      </w:r>
      <w:r w:rsidRPr="00382917">
        <w:t>try</w:t>
      </w:r>
      <w:r w:rsidR="00EE4FC3">
        <w:t xml:space="preserve"> </w:t>
      </w:r>
      <w:r w:rsidRPr="00382917">
        <w:t>to</w:t>
      </w:r>
      <w:r w:rsidR="00EE4FC3">
        <w:t xml:space="preserve"> </w:t>
      </w:r>
      <w:r w:rsidRPr="00382917">
        <w:t>arrange</w:t>
      </w:r>
      <w:r w:rsidR="00EE4FC3">
        <w:t xml:space="preserve"> </w:t>
      </w:r>
      <w:r w:rsidRPr="00382917">
        <w:t>an</w:t>
      </w:r>
      <w:r w:rsidR="00EE4FC3">
        <w:t xml:space="preserve"> </w:t>
      </w:r>
      <w:r w:rsidRPr="00382917">
        <w:t>interview</w:t>
      </w:r>
      <w:r w:rsidR="00EE4FC3">
        <w:t xml:space="preserve"> </w:t>
      </w:r>
      <w:r w:rsidRPr="00382917">
        <w:t>between</w:t>
      </w:r>
      <w:r w:rsidR="00EE4FC3">
        <w:t xml:space="preserve"> </w:t>
      </w:r>
      <w:r w:rsidRPr="00382917">
        <w:t>them,</w:t>
      </w:r>
      <w:r w:rsidR="00EE4FC3">
        <w:t xml:space="preserve"> </w:t>
      </w:r>
      <w:r w:rsidRPr="00382917">
        <w:t>as</w:t>
      </w:r>
      <w:r w:rsidR="00EE4FC3">
        <w:t xml:space="preserve"> </w:t>
      </w:r>
      <w:r w:rsidRPr="00382917">
        <w:t>the</w:t>
      </w:r>
      <w:r w:rsidR="00EE4FC3">
        <w:t xml:space="preserve"> </w:t>
      </w:r>
      <w:r w:rsidRPr="00382917">
        <w:t>governor</w:t>
      </w:r>
      <w:r w:rsidR="00EE4FC3">
        <w:t xml:space="preserve"> </w:t>
      </w:r>
      <w:r w:rsidRPr="00382917">
        <w:t>enjoyed</w:t>
      </w:r>
      <w:r w:rsidR="00EE4FC3">
        <w:t xml:space="preserve"> </w:t>
      </w:r>
      <w:r w:rsidRPr="00382917">
        <w:t>the</w:t>
      </w:r>
      <w:r w:rsidR="00EE4FC3">
        <w:t xml:space="preserve"> </w:t>
      </w:r>
      <w:r w:rsidRPr="00382917">
        <w:t>complete</w:t>
      </w:r>
      <w:r w:rsidR="00EE4FC3">
        <w:t xml:space="preserve"> </w:t>
      </w:r>
      <w:r w:rsidRPr="00382917">
        <w:t>confidence</w:t>
      </w:r>
      <w:r w:rsidR="00EE4FC3">
        <w:t xml:space="preserve"> </w:t>
      </w:r>
      <w:r w:rsidRPr="00382917">
        <w:t>of</w:t>
      </w:r>
      <w:r w:rsidR="00EE4FC3">
        <w:t xml:space="preserve"> </w:t>
      </w:r>
      <w:r w:rsidRPr="00382917">
        <w:t>the</w:t>
      </w:r>
      <w:r w:rsidR="00EE4FC3">
        <w:t xml:space="preserve"> </w:t>
      </w:r>
      <w:r w:rsidRPr="00382917">
        <w:t>king</w:t>
      </w:r>
      <w:r w:rsidR="00C03C91">
        <w:t>.</w:t>
      </w:r>
      <w:r w:rsidR="00EE4FC3">
        <w:t xml:space="preserve">  </w:t>
      </w:r>
      <w:r w:rsidRPr="00382917">
        <w:t>Ḥáj</w:t>
      </w:r>
      <w:r w:rsidR="00C03C91" w:rsidRPr="00C03C91">
        <w:t>í</w:t>
      </w:r>
      <w:r w:rsidR="00EE4FC3">
        <w:t xml:space="preserve"> </w:t>
      </w:r>
      <w:r w:rsidRPr="00382917">
        <w:t>Mírzá</w:t>
      </w:r>
      <w:r w:rsidR="00EE4FC3">
        <w:t xml:space="preserve"> </w:t>
      </w:r>
      <w:r w:rsidRPr="00382917">
        <w:t>Áqásí</w:t>
      </w:r>
      <w:r w:rsidR="00EE4FC3">
        <w:t xml:space="preserve"> </w:t>
      </w:r>
      <w:r w:rsidRPr="00382917">
        <w:t>knew</w:t>
      </w:r>
      <w:r w:rsidR="00EE4FC3">
        <w:t xml:space="preserve"> </w:t>
      </w:r>
      <w:r w:rsidRPr="00382917">
        <w:t>therefore</w:t>
      </w:r>
      <w:r w:rsidR="00EE4FC3">
        <w:t xml:space="preserve"> </w:t>
      </w:r>
      <w:r w:rsidRPr="00382917">
        <w:t>that</w:t>
      </w:r>
      <w:r w:rsidR="00EE4FC3">
        <w:t xml:space="preserve"> </w:t>
      </w:r>
      <w:r w:rsidRPr="00382917">
        <w:t>he</w:t>
      </w:r>
      <w:r w:rsidR="00EE4FC3">
        <w:t xml:space="preserve"> </w:t>
      </w:r>
      <w:r w:rsidRPr="00382917">
        <w:t>must</w:t>
      </w:r>
      <w:r w:rsidR="00EE4FC3">
        <w:t xml:space="preserve"> </w:t>
      </w:r>
      <w:r w:rsidRPr="00382917">
        <w:t>prevent</w:t>
      </w:r>
      <w:r w:rsidR="00EE4FC3">
        <w:t xml:space="preserve"> </w:t>
      </w:r>
      <w:r w:rsidRPr="00382917">
        <w:t>such</w:t>
      </w:r>
      <w:r w:rsidR="00EE4FC3">
        <w:t xml:space="preserve"> </w:t>
      </w:r>
      <w:r w:rsidRPr="00382917">
        <w:t>a</w:t>
      </w:r>
      <w:r w:rsidR="00EE4FC3">
        <w:t xml:space="preserve"> </w:t>
      </w:r>
      <w:r w:rsidRPr="00382917">
        <w:t>meeting</w:t>
      </w:r>
      <w:r w:rsidR="00C03C91">
        <w:t>.</w:t>
      </w:r>
      <w:r w:rsidR="00EE4FC3">
        <w:t xml:space="preserve">  </w:t>
      </w:r>
      <w:r w:rsidRPr="00382917">
        <w:t>He</w:t>
      </w:r>
      <w:r w:rsidR="00EE4FC3">
        <w:t xml:space="preserve"> </w:t>
      </w:r>
      <w:r w:rsidRPr="00382917">
        <w:t>wrote</w:t>
      </w:r>
      <w:r w:rsidR="00EE4FC3">
        <w:t xml:space="preserve"> </w:t>
      </w:r>
      <w:r w:rsidRPr="00382917">
        <w:t>a</w:t>
      </w:r>
      <w:r w:rsidR="00EE4FC3">
        <w:t xml:space="preserve"> </w:t>
      </w:r>
      <w:r w:rsidRPr="00382917">
        <w:t>strongly</w:t>
      </w:r>
      <w:r w:rsidR="00EE4FC3">
        <w:t xml:space="preserve"> </w:t>
      </w:r>
      <w:r w:rsidRPr="00382917">
        <w:t>worded</w:t>
      </w:r>
      <w:r w:rsidR="00EE4FC3">
        <w:t xml:space="preserve"> </w:t>
      </w:r>
      <w:r w:rsidRPr="00382917">
        <w:t>message</w:t>
      </w:r>
      <w:r w:rsidR="00EE4FC3">
        <w:t xml:space="preserve"> </w:t>
      </w:r>
      <w:r w:rsidRPr="00382917">
        <w:t>to</w:t>
      </w:r>
      <w:r w:rsidR="00EE4FC3">
        <w:t xml:space="preserve"> </w:t>
      </w:r>
      <w:r w:rsidRPr="00382917">
        <w:t>the</w:t>
      </w:r>
      <w:r w:rsidR="00EE4FC3">
        <w:t xml:space="preserve"> </w:t>
      </w:r>
      <w:r w:rsidRPr="00382917">
        <w:t>chief</w:t>
      </w:r>
      <w:r w:rsidR="00EE4FC3">
        <w:t xml:space="preserve"> </w:t>
      </w:r>
      <w:r w:rsidRPr="00382917">
        <w:t>priest</w:t>
      </w:r>
      <w:r w:rsidR="00EE4FC3">
        <w:t xml:space="preserve"> </w:t>
      </w:r>
      <w:r w:rsidRPr="00382917">
        <w:t>at</w:t>
      </w:r>
      <w:r w:rsidR="00EE4FC3">
        <w:t xml:space="preserve"> </w:t>
      </w:r>
      <w:r w:rsidRPr="00382917">
        <w:t>Iṣf</w:t>
      </w:r>
      <w:r w:rsidR="009D4E6D" w:rsidRPr="00382917">
        <w:t>a</w:t>
      </w:r>
      <w:r w:rsidRPr="00382917">
        <w:t>hán,</w:t>
      </w:r>
      <w:r w:rsidR="00EE4FC3">
        <w:t xml:space="preserve"> </w:t>
      </w:r>
      <w:r w:rsidRPr="00382917">
        <w:t>and</w:t>
      </w:r>
      <w:r w:rsidR="00EE4FC3">
        <w:t xml:space="preserve"> </w:t>
      </w:r>
      <w:r w:rsidRPr="00382917">
        <w:t>lashed</w:t>
      </w:r>
      <w:r w:rsidR="00EE4FC3">
        <w:t xml:space="preserve"> </w:t>
      </w:r>
      <w:r w:rsidRPr="00382917">
        <w:t>out</w:t>
      </w:r>
      <w:r w:rsidR="00EE4FC3">
        <w:t xml:space="preserve"> </w:t>
      </w:r>
      <w:r w:rsidRPr="00382917">
        <w:t>at</w:t>
      </w:r>
      <w:r w:rsidR="00EE4FC3">
        <w:t xml:space="preserve"> </w:t>
      </w:r>
      <w:r w:rsidRPr="00382917">
        <w:t>him</w:t>
      </w:r>
      <w:r w:rsidR="00EE4FC3">
        <w:t xml:space="preserve"> </w:t>
      </w:r>
      <w:r w:rsidRPr="00382917">
        <w:t>for</w:t>
      </w:r>
      <w:r w:rsidR="00EE4FC3">
        <w:t xml:space="preserve"> </w:t>
      </w:r>
      <w:r w:rsidRPr="00382917">
        <w:t>playing</w:t>
      </w:r>
      <w:r w:rsidR="00EE4FC3">
        <w:t xml:space="preserve"> </w:t>
      </w:r>
      <w:r w:rsidRPr="00382917">
        <w:t>host</w:t>
      </w:r>
      <w:r w:rsidR="00EE4FC3">
        <w:t xml:space="preserve"> </w:t>
      </w:r>
      <w:r w:rsidRPr="00382917">
        <w:t>to</w:t>
      </w:r>
      <w:r w:rsidR="00EE4FC3">
        <w:t xml:space="preserve"> </w:t>
      </w:r>
      <w:r w:rsidRPr="00382917">
        <w:t>the</w:t>
      </w:r>
      <w:r w:rsidR="00EE4FC3">
        <w:t xml:space="preserve"> </w:t>
      </w:r>
      <w:r w:rsidRPr="00382917">
        <w:t>Báb.</w:t>
      </w:r>
    </w:p>
    <w:p w:rsidR="0009276A" w:rsidRDefault="009C713D" w:rsidP="0009276A">
      <w:pPr>
        <w:pStyle w:val="Text"/>
      </w:pPr>
      <w:r w:rsidRPr="00382917">
        <w:t>“</w:t>
      </w:r>
      <w:r w:rsidR="0054338F" w:rsidRPr="00382917">
        <w:t>We</w:t>
      </w:r>
      <w:r w:rsidR="00EE4FC3">
        <w:t xml:space="preserve"> </w:t>
      </w:r>
      <w:r w:rsidR="0054338F" w:rsidRPr="00382917">
        <w:t>expected</w:t>
      </w:r>
      <w:r w:rsidR="00EE4FC3">
        <w:t xml:space="preserve"> </w:t>
      </w:r>
      <w:r w:rsidR="0054338F" w:rsidRPr="00382917">
        <w:t>you</w:t>
      </w:r>
      <w:r w:rsidR="00EE4FC3">
        <w:t xml:space="preserve"> </w:t>
      </w:r>
      <w:r w:rsidR="0054338F" w:rsidRPr="00382917">
        <w:t>to</w:t>
      </w:r>
      <w:r w:rsidR="00EE4FC3">
        <w:t xml:space="preserve"> </w:t>
      </w:r>
      <w:r w:rsidR="0054338F" w:rsidRPr="00382917">
        <w:t>resist</w:t>
      </w:r>
      <w:r w:rsidR="00EE4FC3">
        <w:t xml:space="preserve"> </w:t>
      </w:r>
      <w:r w:rsidR="0054338F" w:rsidRPr="00382917">
        <w:t>this</w:t>
      </w:r>
      <w:r w:rsidR="00EE4FC3">
        <w:t xml:space="preserve"> </w:t>
      </w:r>
      <w:r w:rsidR="0054338F" w:rsidRPr="00382917">
        <w:t>teaching</w:t>
      </w:r>
      <w:r w:rsidR="00EE4FC3">
        <w:t xml:space="preserve"> </w:t>
      </w:r>
      <w:r w:rsidR="0054338F" w:rsidRPr="00382917">
        <w:t>with</w:t>
      </w:r>
      <w:r w:rsidR="00EE4FC3">
        <w:t xml:space="preserve"> </w:t>
      </w:r>
      <w:r w:rsidR="0054338F" w:rsidRPr="00382917">
        <w:t>all</w:t>
      </w:r>
      <w:r w:rsidR="00EE4FC3">
        <w:t xml:space="preserve"> </w:t>
      </w:r>
      <w:proofErr w:type="spellStart"/>
      <w:r w:rsidR="0054338F" w:rsidRPr="00382917">
        <w:t>your</w:t>
      </w:r>
      <w:proofErr w:type="spellEnd"/>
      <w:r w:rsidR="00EE4FC3">
        <w:t xml:space="preserve"> </w:t>
      </w:r>
      <w:r w:rsidR="0054338F" w:rsidRPr="00382917">
        <w:t>might,</w:t>
      </w:r>
      <w:r w:rsidRPr="00382917">
        <w:t>”</w:t>
      </w:r>
      <w:r w:rsidR="00EE4FC3">
        <w:t xml:space="preserve"> </w:t>
      </w:r>
      <w:r w:rsidR="0054338F" w:rsidRPr="00382917">
        <w:t>he</w:t>
      </w:r>
      <w:r w:rsidR="00EE4FC3">
        <w:t xml:space="preserve"> </w:t>
      </w:r>
      <w:r w:rsidR="0054338F" w:rsidRPr="00382917">
        <w:t>said</w:t>
      </w:r>
      <w:r w:rsidR="00C03C91">
        <w:t>.</w:t>
      </w:r>
      <w:r w:rsidR="00EE4FC3">
        <w:t xml:space="preserve">  </w:t>
      </w:r>
      <w:r w:rsidRPr="00382917">
        <w:t>“</w:t>
      </w:r>
      <w:r w:rsidR="0054338F" w:rsidRPr="00382917">
        <w:t>Instead</w:t>
      </w:r>
      <w:r w:rsidR="00EE4FC3">
        <w:t xml:space="preserve"> </w:t>
      </w:r>
      <w:r w:rsidR="0054338F" w:rsidRPr="00382917">
        <w:t>you</w:t>
      </w:r>
      <w:r w:rsidR="00EE4FC3">
        <w:t xml:space="preserve"> </w:t>
      </w:r>
      <w:r w:rsidR="0054338F" w:rsidRPr="00382917">
        <w:t>befriend</w:t>
      </w:r>
      <w:r w:rsidR="00EE4FC3">
        <w:t xml:space="preserve"> </w:t>
      </w:r>
      <w:r w:rsidR="0054338F" w:rsidRPr="00382917">
        <w:t>an</w:t>
      </w:r>
      <w:r w:rsidR="00EE4FC3">
        <w:t xml:space="preserve"> </w:t>
      </w:r>
      <w:r w:rsidR="0054338F" w:rsidRPr="00382917">
        <w:t>arch-enemy</w:t>
      </w:r>
      <w:r w:rsidR="00C03C91">
        <w:t>.</w:t>
      </w:r>
      <w:r w:rsidR="00EE4FC3">
        <w:t xml:space="preserve">  </w:t>
      </w:r>
      <w:r w:rsidR="0054338F" w:rsidRPr="00382917">
        <w:t>You</w:t>
      </w:r>
      <w:r w:rsidR="00EE4FC3">
        <w:t xml:space="preserve"> </w:t>
      </w:r>
      <w:r w:rsidR="0054338F" w:rsidRPr="00382917">
        <w:t>have</w:t>
      </w:r>
      <w:r w:rsidR="00EE4FC3">
        <w:t xml:space="preserve"> </w:t>
      </w:r>
      <w:r w:rsidR="0054338F" w:rsidRPr="00382917">
        <w:t>sheltered</w:t>
      </w:r>
      <w:r w:rsidR="00EE4FC3">
        <w:t xml:space="preserve"> </w:t>
      </w:r>
      <w:r w:rsidR="0054338F" w:rsidRPr="00382917">
        <w:t>and</w:t>
      </w:r>
      <w:r w:rsidR="00EE4FC3">
        <w:t xml:space="preserve"> </w:t>
      </w:r>
      <w:r w:rsidR="0054338F" w:rsidRPr="00382917">
        <w:t>glorified</w:t>
      </w:r>
      <w:r w:rsidR="00EE4FC3">
        <w:t xml:space="preserve"> </w:t>
      </w:r>
      <w:r w:rsidR="0054338F" w:rsidRPr="00382917">
        <w:t>the</w:t>
      </w:r>
      <w:r w:rsidR="00EE4FC3">
        <w:t xml:space="preserve"> </w:t>
      </w:r>
      <w:r w:rsidR="0054338F" w:rsidRPr="00382917">
        <w:t>author</w:t>
      </w:r>
      <w:r w:rsidR="00EE4FC3">
        <w:t xml:space="preserve"> </w:t>
      </w:r>
      <w:r w:rsidR="0054338F" w:rsidRPr="00382917">
        <w:t>of</w:t>
      </w:r>
      <w:r w:rsidR="00EE4FC3">
        <w:t xml:space="preserve"> </w:t>
      </w:r>
      <w:r w:rsidR="0054338F" w:rsidRPr="00382917">
        <w:t>a</w:t>
      </w:r>
      <w:r w:rsidR="00EE4FC3">
        <w:t xml:space="preserve"> </w:t>
      </w:r>
      <w:r w:rsidR="0054338F" w:rsidRPr="00382917">
        <w:t>contemptible</w:t>
      </w:r>
      <w:r w:rsidR="00EE4FC3">
        <w:t xml:space="preserve"> </w:t>
      </w:r>
      <w:r w:rsidR="0054338F" w:rsidRPr="00382917">
        <w:t>and</w:t>
      </w:r>
      <w:r w:rsidR="00EE4FC3">
        <w:t xml:space="preserve"> </w:t>
      </w:r>
      <w:r w:rsidR="0054338F" w:rsidRPr="00382917">
        <w:t>dangerous</w:t>
      </w:r>
      <w:r w:rsidR="00EE4FC3">
        <w:t xml:space="preserve"> </w:t>
      </w:r>
      <w:r w:rsidR="0054338F" w:rsidRPr="00382917">
        <w:t>movement.</w:t>
      </w:r>
      <w:r w:rsidRPr="00382917">
        <w:t>”</w:t>
      </w:r>
    </w:p>
    <w:p w:rsidR="0054338F" w:rsidRPr="00382917" w:rsidRDefault="0054338F" w:rsidP="0009276A">
      <w:pPr>
        <w:pStyle w:val="Text"/>
      </w:pPr>
      <w:r w:rsidRPr="00382917">
        <w:t>The</w:t>
      </w:r>
      <w:r w:rsidR="00EE4FC3">
        <w:t xml:space="preserve"> </w:t>
      </w:r>
      <w:r w:rsidRPr="00382917">
        <w:t>Prime</w:t>
      </w:r>
      <w:r w:rsidR="00EE4FC3">
        <w:t xml:space="preserve"> </w:t>
      </w:r>
      <w:r w:rsidRPr="00382917">
        <w:t>Minister</w:t>
      </w:r>
      <w:r w:rsidR="00EE4FC3">
        <w:t xml:space="preserve"> </w:t>
      </w:r>
      <w:r w:rsidRPr="00382917">
        <w:t>wrote</w:t>
      </w:r>
      <w:r w:rsidR="00EE4FC3">
        <w:t xml:space="preserve"> </w:t>
      </w:r>
      <w:r w:rsidRPr="00382917">
        <w:t>to</w:t>
      </w:r>
      <w:r w:rsidR="00EE4FC3">
        <w:t xml:space="preserve"> </w:t>
      </w:r>
      <w:r w:rsidRPr="00382917">
        <w:t>all</w:t>
      </w:r>
      <w:r w:rsidR="00EE4FC3">
        <w:t xml:space="preserve"> </w:t>
      </w:r>
      <w:r w:rsidRPr="00382917">
        <w:t>the</w:t>
      </w:r>
      <w:r w:rsidR="00EE4FC3">
        <w:t xml:space="preserve"> </w:t>
      </w:r>
      <w:r w:rsidRPr="00382917">
        <w:t>other</w:t>
      </w:r>
      <w:r w:rsidR="00EE4FC3">
        <w:t xml:space="preserve"> </w:t>
      </w:r>
      <w:r w:rsidRPr="00382917">
        <w:t>priests</w:t>
      </w:r>
      <w:r w:rsidR="00EE4FC3">
        <w:t xml:space="preserve"> </w:t>
      </w:r>
      <w:r w:rsidRPr="00382917">
        <w:t>of</w:t>
      </w:r>
      <w:r w:rsidR="00EE4FC3">
        <w:t xml:space="preserve"> </w:t>
      </w:r>
      <w:r w:rsidRPr="00382917">
        <w:t>I</w:t>
      </w:r>
      <w:r w:rsidR="009D4E6D" w:rsidRPr="00382917">
        <w:t>ṣ</w:t>
      </w:r>
      <w:r w:rsidRPr="00382917">
        <w:t>f</w:t>
      </w:r>
      <w:r w:rsidR="009D4E6D" w:rsidRPr="00382917">
        <w:t>a</w:t>
      </w:r>
      <w:r w:rsidRPr="00382917">
        <w:t>hán</w:t>
      </w:r>
      <w:r w:rsidR="00EE4FC3">
        <w:t xml:space="preserve"> </w:t>
      </w:r>
      <w:r w:rsidRPr="00382917">
        <w:t>as</w:t>
      </w:r>
      <w:r w:rsidR="00EE4FC3">
        <w:t xml:space="preserve"> </w:t>
      </w:r>
      <w:r w:rsidRPr="00382917">
        <w:t>well</w:t>
      </w:r>
      <w:r w:rsidR="00C03C91">
        <w:t>.</w:t>
      </w:r>
      <w:r w:rsidR="00EE4FC3">
        <w:t xml:space="preserve">  </w:t>
      </w:r>
      <w:r w:rsidRPr="00382917">
        <w:t>Although</w:t>
      </w:r>
      <w:r w:rsidR="00EE4FC3">
        <w:t xml:space="preserve"> </w:t>
      </w:r>
      <w:r w:rsidRPr="00382917">
        <w:t>he</w:t>
      </w:r>
      <w:r w:rsidR="00EE4FC3">
        <w:t xml:space="preserve"> </w:t>
      </w:r>
      <w:r w:rsidRPr="00382917">
        <w:t>had</w:t>
      </w:r>
      <w:r w:rsidR="00EE4FC3">
        <w:t xml:space="preserve"> </w:t>
      </w:r>
      <w:r w:rsidRPr="00382917">
        <w:t>previously</w:t>
      </w:r>
      <w:r w:rsidR="00EE4FC3">
        <w:t xml:space="preserve"> </w:t>
      </w:r>
      <w:r w:rsidRPr="00382917">
        <w:t>ignored</w:t>
      </w:r>
      <w:r w:rsidR="00EE4FC3">
        <w:t xml:space="preserve"> </w:t>
      </w:r>
      <w:r w:rsidRPr="00382917">
        <w:t>them,</w:t>
      </w:r>
      <w:r w:rsidR="00EE4FC3">
        <w:t xml:space="preserve"> </w:t>
      </w:r>
      <w:r w:rsidRPr="00382917">
        <w:t>now</w:t>
      </w:r>
      <w:r w:rsidR="00EE4FC3">
        <w:t xml:space="preserve"> </w:t>
      </w:r>
      <w:r w:rsidRPr="00382917">
        <w:t>he</w:t>
      </w:r>
      <w:r w:rsidR="00EE4FC3">
        <w:t xml:space="preserve"> </w:t>
      </w:r>
      <w:r w:rsidRPr="00382917">
        <w:t>showered</w:t>
      </w:r>
      <w:r w:rsidR="00EE4FC3">
        <w:t xml:space="preserve"> </w:t>
      </w:r>
      <w:r w:rsidRPr="00382917">
        <w:t>his</w:t>
      </w:r>
      <w:r w:rsidR="00EE4FC3">
        <w:t xml:space="preserve"> </w:t>
      </w:r>
      <w:r w:rsidRPr="00382917">
        <w:t>attention</w:t>
      </w:r>
      <w:r w:rsidR="00EE4FC3">
        <w:t xml:space="preserve"> </w:t>
      </w:r>
      <w:r w:rsidRPr="00382917">
        <w:t>and</w:t>
      </w:r>
      <w:r w:rsidR="00EE4FC3">
        <w:t xml:space="preserve"> </w:t>
      </w:r>
      <w:proofErr w:type="spellStart"/>
      <w:r w:rsidRPr="00382917">
        <w:t>favors</w:t>
      </w:r>
      <w:proofErr w:type="spellEnd"/>
      <w:r w:rsidR="00EE4FC3">
        <w:t xml:space="preserve"> </w:t>
      </w:r>
      <w:r w:rsidRPr="00382917">
        <w:t>upon</w:t>
      </w:r>
      <w:r w:rsidR="00EE4FC3">
        <w:t xml:space="preserve"> </w:t>
      </w:r>
      <w:r w:rsidRPr="00382917">
        <w:t>them</w:t>
      </w:r>
      <w:r w:rsidR="00C03C91">
        <w:t>.</w:t>
      </w:r>
      <w:r w:rsidR="00EE4FC3">
        <w:t xml:space="preserve">  </w:t>
      </w:r>
      <w:r w:rsidRPr="00382917">
        <w:t>He</w:t>
      </w:r>
      <w:r w:rsidR="00EE4FC3">
        <w:t xml:space="preserve"> </w:t>
      </w:r>
      <w:r w:rsidRPr="00382917">
        <w:t>made</w:t>
      </w:r>
      <w:r w:rsidR="00EE4FC3">
        <w:t xml:space="preserve"> </w:t>
      </w:r>
      <w:r w:rsidRPr="00382917">
        <w:t>lavish</w:t>
      </w:r>
      <w:r w:rsidR="00EE4FC3">
        <w:t xml:space="preserve"> </w:t>
      </w:r>
      <w:r w:rsidRPr="00382917">
        <w:t>promises</w:t>
      </w:r>
      <w:r w:rsidR="00EE4FC3">
        <w:t xml:space="preserve"> </w:t>
      </w:r>
      <w:r w:rsidRPr="00382917">
        <w:t>to</w:t>
      </w:r>
      <w:r w:rsidR="00EE4FC3">
        <w:t xml:space="preserve"> </w:t>
      </w:r>
      <w:r w:rsidRPr="00382917">
        <w:t>them</w:t>
      </w:r>
      <w:r w:rsidR="00C03C91">
        <w:t>.</w:t>
      </w:r>
      <w:r w:rsidR="00EE4FC3">
        <w:t xml:space="preserve">  </w:t>
      </w:r>
      <w:r w:rsidRPr="00382917">
        <w:t>They</w:t>
      </w:r>
      <w:r w:rsidR="00EE4FC3">
        <w:t xml:space="preserve"> </w:t>
      </w:r>
      <w:r w:rsidRPr="00382917">
        <w:t>knew</w:t>
      </w:r>
      <w:r w:rsidR="00EE4FC3">
        <w:t xml:space="preserve"> </w:t>
      </w:r>
      <w:r w:rsidRPr="00382917">
        <w:t>what</w:t>
      </w:r>
      <w:r w:rsidR="00EE4FC3">
        <w:t xml:space="preserve"> </w:t>
      </w:r>
      <w:r w:rsidRPr="00382917">
        <w:t>he</w:t>
      </w:r>
      <w:r w:rsidR="00EE4FC3">
        <w:t xml:space="preserve"> </w:t>
      </w:r>
      <w:r w:rsidRPr="00382917">
        <w:t>wanted,</w:t>
      </w:r>
      <w:r w:rsidR="00EE4FC3">
        <w:t xml:space="preserve"> </w:t>
      </w:r>
      <w:r w:rsidRPr="00382917">
        <w:t>and</w:t>
      </w:r>
      <w:r w:rsidR="00EE4FC3">
        <w:t xml:space="preserve"> </w:t>
      </w:r>
      <w:r w:rsidRPr="00382917">
        <w:t>by</w:t>
      </w:r>
      <w:r w:rsidR="00EE4FC3">
        <w:t xml:space="preserve"> </w:t>
      </w:r>
      <w:r w:rsidRPr="00382917">
        <w:t>his</w:t>
      </w:r>
      <w:r w:rsidR="00EE4FC3">
        <w:t xml:space="preserve"> </w:t>
      </w:r>
      <w:r w:rsidRPr="00382917">
        <w:t>gifts</w:t>
      </w:r>
      <w:r w:rsidR="00EE4FC3">
        <w:t xml:space="preserve"> </w:t>
      </w:r>
      <w:r w:rsidRPr="00382917">
        <w:t>to</w:t>
      </w:r>
      <w:r w:rsidR="00EE4FC3">
        <w:t xml:space="preserve"> </w:t>
      </w:r>
      <w:r w:rsidRPr="00382917">
        <w:t>them,</w:t>
      </w:r>
      <w:r w:rsidR="00EE4FC3">
        <w:t xml:space="preserve"> </w:t>
      </w:r>
      <w:r w:rsidRPr="00382917">
        <w:t>he</w:t>
      </w:r>
      <w:r w:rsidR="00EE4FC3">
        <w:t xml:space="preserve"> </w:t>
      </w:r>
      <w:r w:rsidRPr="00382917">
        <w:t>welded</w:t>
      </w:r>
      <w:r w:rsidR="00EE4FC3">
        <w:t xml:space="preserve"> </w:t>
      </w:r>
      <w:r w:rsidRPr="00382917">
        <w:t>them</w:t>
      </w:r>
      <w:r w:rsidR="00EE4FC3">
        <w:t xml:space="preserve"> </w:t>
      </w:r>
      <w:r w:rsidRPr="00382917">
        <w:t>together</w:t>
      </w:r>
      <w:r w:rsidR="00EE4FC3">
        <w:t xml:space="preserve"> </w:t>
      </w:r>
      <w:r w:rsidRPr="00382917">
        <w:t>against</w:t>
      </w:r>
      <w:r w:rsidR="00EE4FC3">
        <w:t xml:space="preserve"> </w:t>
      </w:r>
      <w:r w:rsidRPr="00382917">
        <w:t>the</w:t>
      </w:r>
      <w:r w:rsidR="00EE4FC3">
        <w:t xml:space="preserve"> </w:t>
      </w:r>
      <w:r w:rsidRPr="00382917">
        <w:t>Báb.</w:t>
      </w:r>
    </w:p>
    <w:p w:rsidR="0054338F" w:rsidRPr="00382917" w:rsidRDefault="0054338F" w:rsidP="009D4E6D">
      <w:pPr>
        <w:pStyle w:val="Text"/>
      </w:pPr>
      <w:r w:rsidRPr="00382917">
        <w:t>The</w:t>
      </w:r>
      <w:r w:rsidR="00EE4FC3">
        <w:t xml:space="preserve"> </w:t>
      </w:r>
      <w:r w:rsidRPr="00382917">
        <w:t>chief</w:t>
      </w:r>
      <w:r w:rsidR="00EE4FC3">
        <w:t xml:space="preserve"> </w:t>
      </w:r>
      <w:r w:rsidRPr="00382917">
        <w:t>priest</w:t>
      </w:r>
      <w:r w:rsidR="00EE4FC3">
        <w:t xml:space="preserve"> </w:t>
      </w:r>
      <w:r w:rsidRPr="00382917">
        <w:t>still</w:t>
      </w:r>
      <w:r w:rsidR="00EE4FC3">
        <w:t xml:space="preserve"> </w:t>
      </w:r>
      <w:r w:rsidRPr="00382917">
        <w:t>was</w:t>
      </w:r>
      <w:r w:rsidR="00EE4FC3">
        <w:t xml:space="preserve"> </w:t>
      </w:r>
      <w:r w:rsidRPr="00382917">
        <w:t>afraid</w:t>
      </w:r>
      <w:r w:rsidR="00EE4FC3">
        <w:t xml:space="preserve"> </w:t>
      </w:r>
      <w:r w:rsidRPr="00382917">
        <w:t>to</w:t>
      </w:r>
      <w:r w:rsidR="00EE4FC3">
        <w:t xml:space="preserve"> </w:t>
      </w:r>
      <w:r w:rsidRPr="00382917">
        <w:t>come</w:t>
      </w:r>
      <w:r w:rsidR="00EE4FC3">
        <w:t xml:space="preserve"> </w:t>
      </w:r>
      <w:r w:rsidRPr="00382917">
        <w:t>out</w:t>
      </w:r>
      <w:r w:rsidR="00EE4FC3">
        <w:t xml:space="preserve"> </w:t>
      </w:r>
      <w:r w:rsidRPr="00382917">
        <w:t>openly</w:t>
      </w:r>
      <w:r w:rsidR="00EE4FC3">
        <w:t xml:space="preserve"> </w:t>
      </w:r>
      <w:r w:rsidRPr="00382917">
        <w:t>against</w:t>
      </w:r>
      <w:r w:rsidR="00EE4FC3">
        <w:t xml:space="preserve"> </w:t>
      </w:r>
      <w:r w:rsidRPr="00382917">
        <w:t>the</w:t>
      </w:r>
      <w:r w:rsidR="00EE4FC3">
        <w:t xml:space="preserve"> </w:t>
      </w:r>
      <w:r w:rsidRPr="00382917">
        <w:t>Báb</w:t>
      </w:r>
      <w:r w:rsidR="00EE4FC3">
        <w:t xml:space="preserve"> </w:t>
      </w:r>
      <w:r w:rsidRPr="00382917">
        <w:t>because</w:t>
      </w:r>
      <w:r w:rsidR="00EE4FC3">
        <w:t xml:space="preserve"> </w:t>
      </w:r>
      <w:r w:rsidRPr="00382917">
        <w:t>of</w:t>
      </w:r>
      <w:r w:rsidR="00EE4FC3">
        <w:t xml:space="preserve"> </w:t>
      </w:r>
      <w:r w:rsidRPr="00382917">
        <w:t>the</w:t>
      </w:r>
      <w:r w:rsidR="00EE4FC3">
        <w:t xml:space="preserve"> </w:t>
      </w:r>
      <w:r w:rsidRPr="00382917">
        <w:t>governor,</w:t>
      </w:r>
      <w:r w:rsidR="00EE4FC3">
        <w:t xml:space="preserve"> </w:t>
      </w:r>
      <w:r w:rsidR="0040329F" w:rsidRPr="00382917">
        <w:t>Manú</w:t>
      </w:r>
      <w:r w:rsidR="0040329F" w:rsidRPr="0040329F">
        <w:rPr>
          <w:u w:val="single"/>
        </w:rPr>
        <w:t>ch</w:t>
      </w:r>
      <w:r w:rsidR="0040329F" w:rsidRPr="00382917">
        <w:t>ihr</w:t>
      </w:r>
      <w:r w:rsidR="00EE4FC3">
        <w:t xml:space="preserve"> </w:t>
      </w:r>
      <w:r w:rsidR="0040329F" w:rsidRPr="0040329F">
        <w:rPr>
          <w:u w:val="single"/>
        </w:rPr>
        <w:t>Kh</w:t>
      </w:r>
      <w:r w:rsidR="0040329F" w:rsidRPr="00382917">
        <w:t>án</w:t>
      </w:r>
      <w:r w:rsidR="00C03C91">
        <w:t>.</w:t>
      </w:r>
      <w:r w:rsidR="00EE4FC3">
        <w:t xml:space="preserve">  </w:t>
      </w:r>
      <w:r w:rsidRPr="00382917">
        <w:t>He</w:t>
      </w:r>
      <w:r w:rsidR="00EE4FC3">
        <w:t xml:space="preserve"> </w:t>
      </w:r>
      <w:r w:rsidRPr="00382917">
        <w:t>did,</w:t>
      </w:r>
      <w:r w:rsidR="00EE4FC3">
        <w:t xml:space="preserve"> </w:t>
      </w:r>
      <w:r w:rsidRPr="00382917">
        <w:t>however,</w:t>
      </w:r>
      <w:r w:rsidR="00EE4FC3">
        <w:t xml:space="preserve"> </w:t>
      </w:r>
      <w:r w:rsidRPr="00382917">
        <w:t>take</w:t>
      </w:r>
      <w:r w:rsidR="00EE4FC3">
        <w:t xml:space="preserve"> </w:t>
      </w:r>
      <w:r w:rsidRPr="00382917">
        <w:t>steps</w:t>
      </w:r>
      <w:r w:rsidR="00EE4FC3">
        <w:t xml:space="preserve"> </w:t>
      </w:r>
      <w:r w:rsidRPr="00382917">
        <w:t>to</w:t>
      </w:r>
      <w:r w:rsidR="00EE4FC3">
        <w:t xml:space="preserve"> </w:t>
      </w:r>
      <w:r w:rsidRPr="00382917">
        <w:t>lessen</w:t>
      </w:r>
      <w:r w:rsidR="00EE4FC3">
        <w:t xml:space="preserve"> </w:t>
      </w:r>
      <w:r w:rsidRPr="00382917">
        <w:t>the</w:t>
      </w:r>
      <w:r w:rsidR="00EE4FC3">
        <w:t xml:space="preserve"> </w:t>
      </w:r>
      <w:r w:rsidRPr="00382917">
        <w:t>ever-increasing</w:t>
      </w:r>
      <w:r w:rsidR="00EE4FC3">
        <w:t xml:space="preserve"> </w:t>
      </w:r>
      <w:r w:rsidRPr="00382917">
        <w:t>number</w:t>
      </w:r>
      <w:r w:rsidR="00EE4FC3">
        <w:t xml:space="preserve"> </w:t>
      </w:r>
      <w:r w:rsidRPr="00382917">
        <w:t>of</w:t>
      </w:r>
      <w:r w:rsidR="00EE4FC3">
        <w:t xml:space="preserve"> </w:t>
      </w:r>
      <w:r w:rsidRPr="00382917">
        <w:t>visitors</w:t>
      </w:r>
      <w:r w:rsidR="00EE4FC3">
        <w:t xml:space="preserve"> </w:t>
      </w:r>
      <w:r w:rsidRPr="00382917">
        <w:t>who</w:t>
      </w:r>
    </w:p>
    <w:p w:rsidR="009D4E6D" w:rsidRPr="00382917" w:rsidRDefault="009D4E6D">
      <w:pPr>
        <w:widowControl/>
        <w:kinsoku/>
        <w:overflowPunct/>
        <w:textAlignment w:val="auto"/>
      </w:pPr>
      <w:r w:rsidRPr="00382917">
        <w:br w:type="page"/>
      </w:r>
    </w:p>
    <w:p w:rsidR="0054338F" w:rsidRPr="00382917" w:rsidRDefault="0054338F" w:rsidP="009D4E6D">
      <w:pPr>
        <w:pStyle w:val="Textcts"/>
      </w:pPr>
      <w:proofErr w:type="gramStart"/>
      <w:r w:rsidRPr="00382917">
        <w:t>thronged</w:t>
      </w:r>
      <w:proofErr w:type="gramEnd"/>
      <w:r w:rsidR="00EE4FC3">
        <w:t xml:space="preserve"> </w:t>
      </w:r>
      <w:r w:rsidRPr="00382917">
        <w:t>each</w:t>
      </w:r>
      <w:r w:rsidR="00EE4FC3">
        <w:t xml:space="preserve"> </w:t>
      </w:r>
      <w:r w:rsidRPr="00382917">
        <w:t>day</w:t>
      </w:r>
      <w:r w:rsidR="00EE4FC3">
        <w:t xml:space="preserve"> </w:t>
      </w:r>
      <w:r w:rsidRPr="00382917">
        <w:t>at</w:t>
      </w:r>
      <w:r w:rsidR="00EE4FC3">
        <w:t xml:space="preserve"> </w:t>
      </w:r>
      <w:r w:rsidRPr="00382917">
        <w:t>the</w:t>
      </w:r>
      <w:r w:rsidR="00EE4FC3">
        <w:t xml:space="preserve"> </w:t>
      </w:r>
      <w:r w:rsidRPr="00382917">
        <w:t>door</w:t>
      </w:r>
      <w:r w:rsidR="00EE4FC3">
        <w:t xml:space="preserve"> </w:t>
      </w:r>
      <w:r w:rsidRPr="00382917">
        <w:t>of</w:t>
      </w:r>
      <w:r w:rsidR="00EE4FC3">
        <w:t xml:space="preserve"> </w:t>
      </w:r>
      <w:r w:rsidRPr="00382917">
        <w:t>the</w:t>
      </w:r>
      <w:r w:rsidR="00EE4FC3">
        <w:t xml:space="preserve"> </w:t>
      </w:r>
      <w:r w:rsidRPr="00382917">
        <w:t>Báb</w:t>
      </w:r>
      <w:r w:rsidR="00C03C91">
        <w:t>.</w:t>
      </w:r>
      <w:r w:rsidR="00EE4FC3">
        <w:t xml:space="preserve">  </w:t>
      </w:r>
      <w:r w:rsidRPr="00382917">
        <w:t>The</w:t>
      </w:r>
      <w:r w:rsidR="00EE4FC3">
        <w:t xml:space="preserve"> </w:t>
      </w:r>
      <w:r w:rsidRPr="00382917">
        <w:t>chief</w:t>
      </w:r>
      <w:r w:rsidR="00EE4FC3">
        <w:t xml:space="preserve"> </w:t>
      </w:r>
      <w:r w:rsidRPr="00382917">
        <w:t>priest</w:t>
      </w:r>
      <w:r w:rsidR="009C713D" w:rsidRPr="00382917">
        <w:t>’</w:t>
      </w:r>
      <w:r w:rsidRPr="00382917">
        <w:t>s</w:t>
      </w:r>
      <w:r w:rsidR="00EE4FC3">
        <w:t xml:space="preserve"> </w:t>
      </w:r>
      <w:r w:rsidRPr="00382917">
        <w:t>brother</w:t>
      </w:r>
      <w:r w:rsidR="00EE4FC3">
        <w:t xml:space="preserve"> </w:t>
      </w:r>
      <w:r w:rsidRPr="00382917">
        <w:t>secretly</w:t>
      </w:r>
      <w:r w:rsidR="00EE4FC3">
        <w:t xml:space="preserve"> </w:t>
      </w:r>
      <w:r w:rsidRPr="00382917">
        <w:t>encouraged</w:t>
      </w:r>
      <w:r w:rsidR="00EE4FC3">
        <w:t xml:space="preserve"> </w:t>
      </w:r>
      <w:r w:rsidRPr="00382917">
        <w:t>the</w:t>
      </w:r>
      <w:r w:rsidR="00EE4FC3">
        <w:t xml:space="preserve"> </w:t>
      </w:r>
      <w:r w:rsidRPr="00382917">
        <w:t>other</w:t>
      </w:r>
      <w:r w:rsidR="00EE4FC3">
        <w:t xml:space="preserve"> </w:t>
      </w:r>
      <w:r w:rsidRPr="00382917">
        <w:t>priests</w:t>
      </w:r>
      <w:r w:rsidR="00EE4FC3">
        <w:t xml:space="preserve"> </w:t>
      </w:r>
      <w:r w:rsidRPr="00382917">
        <w:t>to</w:t>
      </w:r>
      <w:r w:rsidR="00EE4FC3">
        <w:t xml:space="preserve"> </w:t>
      </w:r>
      <w:r w:rsidRPr="00382917">
        <w:t>attack</w:t>
      </w:r>
      <w:r w:rsidR="00EE4FC3">
        <w:t xml:space="preserve"> </w:t>
      </w:r>
      <w:r w:rsidRPr="00382917">
        <w:t>the</w:t>
      </w:r>
      <w:r w:rsidR="00EE4FC3">
        <w:t xml:space="preserve"> </w:t>
      </w:r>
      <w:r w:rsidRPr="00382917">
        <w:t>Báb</w:t>
      </w:r>
      <w:r w:rsidR="00EE4FC3">
        <w:t xml:space="preserve"> </w:t>
      </w:r>
      <w:r w:rsidRPr="00382917">
        <w:t>directly</w:t>
      </w:r>
      <w:r w:rsidR="00C03C91">
        <w:t>.</w:t>
      </w:r>
      <w:r w:rsidR="00EE4FC3">
        <w:t xml:space="preserve">  </w:t>
      </w:r>
      <w:r w:rsidRPr="00382917">
        <w:t>He</w:t>
      </w:r>
      <w:r w:rsidR="00EE4FC3">
        <w:t xml:space="preserve"> </w:t>
      </w:r>
      <w:r w:rsidRPr="00382917">
        <w:t>induced</w:t>
      </w:r>
      <w:r w:rsidR="00EE4FC3">
        <w:t xml:space="preserve"> </w:t>
      </w:r>
      <w:r w:rsidRPr="00382917">
        <w:t>them</w:t>
      </w:r>
      <w:r w:rsidR="00EE4FC3">
        <w:t xml:space="preserve"> </w:t>
      </w:r>
      <w:r w:rsidRPr="00382917">
        <w:t>to</w:t>
      </w:r>
      <w:r w:rsidR="00EE4FC3">
        <w:t xml:space="preserve"> </w:t>
      </w:r>
      <w:r w:rsidRPr="00382917">
        <w:t>begin</w:t>
      </w:r>
      <w:r w:rsidR="00EE4FC3">
        <w:t xml:space="preserve"> </w:t>
      </w:r>
      <w:r w:rsidRPr="00382917">
        <w:t>preaching</w:t>
      </w:r>
      <w:r w:rsidR="00EE4FC3">
        <w:t xml:space="preserve"> </w:t>
      </w:r>
      <w:r w:rsidRPr="00382917">
        <w:t>against</w:t>
      </w:r>
      <w:r w:rsidR="00EE4FC3">
        <w:t xml:space="preserve"> </w:t>
      </w:r>
      <w:r w:rsidRPr="00382917">
        <w:t>Him</w:t>
      </w:r>
      <w:r w:rsidR="00EE4FC3">
        <w:t xml:space="preserve"> </w:t>
      </w:r>
      <w:r w:rsidRPr="00382917">
        <w:t>from</w:t>
      </w:r>
      <w:r w:rsidR="00EE4FC3">
        <w:t xml:space="preserve"> </w:t>
      </w:r>
      <w:r w:rsidRPr="00382917">
        <w:t>the</w:t>
      </w:r>
      <w:r w:rsidR="00EE4FC3">
        <w:t xml:space="preserve"> </w:t>
      </w:r>
      <w:r w:rsidRPr="00382917">
        <w:t>pulpit.</w:t>
      </w:r>
    </w:p>
    <w:p w:rsidR="0054338F" w:rsidRPr="00382917" w:rsidRDefault="0054338F" w:rsidP="009D4E6D">
      <w:pPr>
        <w:pStyle w:val="Text"/>
      </w:pPr>
      <w:r w:rsidRPr="00382917">
        <w:t>When</w:t>
      </w:r>
      <w:r w:rsidR="00EE4FC3">
        <w:t xml:space="preserve"> </w:t>
      </w:r>
      <w:r w:rsidR="0040329F" w:rsidRPr="00382917">
        <w:t>Manú</w:t>
      </w:r>
      <w:r w:rsidR="0040329F" w:rsidRPr="0040329F">
        <w:rPr>
          <w:u w:val="single"/>
        </w:rPr>
        <w:t>ch</w:t>
      </w:r>
      <w:r w:rsidR="0040329F" w:rsidRPr="00382917">
        <w:t>ihr</w:t>
      </w:r>
      <w:r w:rsidR="00EE4FC3">
        <w:t xml:space="preserve"> </w:t>
      </w:r>
      <w:r w:rsidR="0040329F" w:rsidRPr="0040329F">
        <w:rPr>
          <w:u w:val="single"/>
        </w:rPr>
        <w:t>Kh</w:t>
      </w:r>
      <w:r w:rsidR="0040329F" w:rsidRPr="00382917">
        <w:t>án</w:t>
      </w:r>
      <w:r w:rsidR="00EE4FC3">
        <w:t xml:space="preserve"> </w:t>
      </w:r>
      <w:r w:rsidRPr="00382917">
        <w:t>heard</w:t>
      </w:r>
      <w:r w:rsidR="00EE4FC3">
        <w:t xml:space="preserve"> </w:t>
      </w:r>
      <w:r w:rsidRPr="00382917">
        <w:t>of</w:t>
      </w:r>
      <w:r w:rsidR="00EE4FC3">
        <w:t xml:space="preserve"> </w:t>
      </w:r>
      <w:r w:rsidRPr="00382917">
        <w:t>this,</w:t>
      </w:r>
      <w:r w:rsidR="00EE4FC3">
        <w:t xml:space="preserve"> </w:t>
      </w:r>
      <w:r w:rsidRPr="00382917">
        <w:t>he</w:t>
      </w:r>
      <w:r w:rsidR="00EE4FC3">
        <w:t xml:space="preserve"> </w:t>
      </w:r>
      <w:r w:rsidRPr="00382917">
        <w:t>immediately</w:t>
      </w:r>
      <w:r w:rsidR="00EE4FC3">
        <w:t xml:space="preserve"> </w:t>
      </w:r>
      <w:r w:rsidRPr="00382917">
        <w:t>had</w:t>
      </w:r>
      <w:r w:rsidR="00EE4FC3">
        <w:t xml:space="preserve"> </w:t>
      </w:r>
      <w:r w:rsidRPr="00382917">
        <w:t>the</w:t>
      </w:r>
      <w:r w:rsidR="00EE4FC3">
        <w:t xml:space="preserve"> </w:t>
      </w:r>
      <w:r w:rsidRPr="00382917">
        <w:t>Báb</w:t>
      </w:r>
      <w:r w:rsidR="00EE4FC3">
        <w:t xml:space="preserve"> </w:t>
      </w:r>
      <w:r w:rsidRPr="00382917">
        <w:t>brought</w:t>
      </w:r>
      <w:r w:rsidR="00EE4FC3">
        <w:t xml:space="preserve"> </w:t>
      </w:r>
      <w:r w:rsidRPr="00382917">
        <w:t>into</w:t>
      </w:r>
      <w:r w:rsidR="00EE4FC3">
        <w:t xml:space="preserve"> </w:t>
      </w:r>
      <w:r w:rsidRPr="00382917">
        <w:t>the</w:t>
      </w:r>
      <w:r w:rsidR="00EE4FC3">
        <w:t xml:space="preserve"> </w:t>
      </w:r>
      <w:r w:rsidRPr="00382917">
        <w:t>safety</w:t>
      </w:r>
      <w:r w:rsidR="00EE4FC3">
        <w:t xml:space="preserve"> </w:t>
      </w:r>
      <w:r w:rsidRPr="00382917">
        <w:t>of</w:t>
      </w:r>
      <w:r w:rsidR="00EE4FC3">
        <w:t xml:space="preserve"> </w:t>
      </w:r>
      <w:r w:rsidRPr="00382917">
        <w:t>his</w:t>
      </w:r>
      <w:r w:rsidR="00EE4FC3">
        <w:t xml:space="preserve"> </w:t>
      </w:r>
      <w:r w:rsidRPr="00382917">
        <w:t>own</w:t>
      </w:r>
      <w:r w:rsidR="00EE4FC3">
        <w:t xml:space="preserve"> </w:t>
      </w:r>
      <w:r w:rsidRPr="00382917">
        <w:t>home</w:t>
      </w:r>
      <w:r w:rsidR="00C03C91">
        <w:t>.</w:t>
      </w:r>
      <w:r w:rsidR="00EE4FC3">
        <w:t xml:space="preserve">  </w:t>
      </w:r>
      <w:r w:rsidRPr="00382917">
        <w:t>This</w:t>
      </w:r>
      <w:r w:rsidR="00EE4FC3">
        <w:t xml:space="preserve"> </w:t>
      </w:r>
      <w:r w:rsidRPr="00382917">
        <w:t>protective</w:t>
      </w:r>
      <w:r w:rsidR="00EE4FC3">
        <w:t xml:space="preserve"> </w:t>
      </w:r>
      <w:r w:rsidRPr="00382917">
        <w:t>gesture</w:t>
      </w:r>
      <w:r w:rsidR="00EE4FC3">
        <w:t xml:space="preserve"> </w:t>
      </w:r>
      <w:r w:rsidRPr="00382917">
        <w:t>by</w:t>
      </w:r>
      <w:r w:rsidR="00EE4FC3">
        <w:t xml:space="preserve"> </w:t>
      </w:r>
      <w:r w:rsidRPr="00382917">
        <w:t>the</w:t>
      </w:r>
      <w:r w:rsidR="00EE4FC3">
        <w:t xml:space="preserve"> </w:t>
      </w:r>
      <w:r w:rsidRPr="00382917">
        <w:t>governor</w:t>
      </w:r>
      <w:r w:rsidR="00EE4FC3">
        <w:t xml:space="preserve"> </w:t>
      </w:r>
      <w:r w:rsidRPr="00382917">
        <w:t>further</w:t>
      </w:r>
      <w:r w:rsidR="00EE4FC3">
        <w:t xml:space="preserve"> </w:t>
      </w:r>
      <w:r w:rsidRPr="00382917">
        <w:t>inflamed</w:t>
      </w:r>
      <w:r w:rsidR="00EE4FC3">
        <w:t xml:space="preserve"> </w:t>
      </w:r>
      <w:r w:rsidRPr="00382917">
        <w:t>the</w:t>
      </w:r>
      <w:r w:rsidR="00EE4FC3">
        <w:t xml:space="preserve"> </w:t>
      </w:r>
      <w:r w:rsidRPr="00382917">
        <w:t>priests</w:t>
      </w:r>
      <w:r w:rsidR="00EE4FC3">
        <w:t xml:space="preserve"> </w:t>
      </w:r>
      <w:r w:rsidRPr="00382917">
        <w:t>of</w:t>
      </w:r>
      <w:r w:rsidR="00EE4FC3">
        <w:t xml:space="preserve"> </w:t>
      </w:r>
      <w:r w:rsidRPr="00382917">
        <w:t>I</w:t>
      </w:r>
      <w:r w:rsidR="009D4E6D" w:rsidRPr="00382917">
        <w:t>ṣ</w:t>
      </w:r>
      <w:r w:rsidRPr="00382917">
        <w:t>f</w:t>
      </w:r>
      <w:r w:rsidR="009D4E6D" w:rsidRPr="00382917">
        <w:t>a</w:t>
      </w:r>
      <w:r w:rsidRPr="00382917">
        <w:t>hán</w:t>
      </w:r>
      <w:r w:rsidR="00C03C91">
        <w:t>.</w:t>
      </w:r>
      <w:r w:rsidR="00EE4FC3">
        <w:t xml:space="preserve">  </w:t>
      </w:r>
      <w:r w:rsidRPr="00382917">
        <w:t>They</w:t>
      </w:r>
      <w:r w:rsidR="00EE4FC3">
        <w:t xml:space="preserve"> </w:t>
      </w:r>
      <w:r w:rsidRPr="00382917">
        <w:t>called</w:t>
      </w:r>
      <w:r w:rsidR="00EE4FC3">
        <w:t xml:space="preserve"> </w:t>
      </w:r>
      <w:r w:rsidRPr="00382917">
        <w:t>for</w:t>
      </w:r>
      <w:r w:rsidR="00EE4FC3">
        <w:t xml:space="preserve"> </w:t>
      </w:r>
      <w:r w:rsidRPr="00382917">
        <w:t>a</w:t>
      </w:r>
      <w:r w:rsidR="00EE4FC3">
        <w:t xml:space="preserve"> </w:t>
      </w:r>
      <w:r w:rsidRPr="00382917">
        <w:t>great</w:t>
      </w:r>
      <w:r w:rsidR="00EE4FC3">
        <w:t xml:space="preserve"> </w:t>
      </w:r>
      <w:r w:rsidRPr="00382917">
        <w:t>gathering</w:t>
      </w:r>
      <w:r w:rsidR="00EE4FC3">
        <w:t xml:space="preserve"> </w:t>
      </w:r>
      <w:r w:rsidRPr="00382917">
        <w:t>of</w:t>
      </w:r>
      <w:r w:rsidR="00EE4FC3">
        <w:t xml:space="preserve"> </w:t>
      </w:r>
      <w:r w:rsidRPr="00382917">
        <w:t>all</w:t>
      </w:r>
      <w:r w:rsidR="00EE4FC3">
        <w:t xml:space="preserve"> </w:t>
      </w:r>
      <w:r w:rsidRPr="00382917">
        <w:t>their</w:t>
      </w:r>
      <w:r w:rsidR="00EE4FC3">
        <w:t xml:space="preserve"> </w:t>
      </w:r>
      <w:r w:rsidRPr="00382917">
        <w:t>numbers</w:t>
      </w:r>
      <w:r w:rsidR="00C03C91">
        <w:t>.</w:t>
      </w:r>
      <w:r w:rsidR="00EE4FC3">
        <w:t xml:space="preserve">  </w:t>
      </w:r>
      <w:r w:rsidRPr="00382917">
        <w:t>Once</w:t>
      </w:r>
      <w:r w:rsidR="00EE4FC3">
        <w:t xml:space="preserve"> </w:t>
      </w:r>
      <w:r w:rsidRPr="00382917">
        <w:t>assembled,</w:t>
      </w:r>
      <w:r w:rsidR="00EE4FC3">
        <w:t xml:space="preserve"> </w:t>
      </w:r>
      <w:r w:rsidRPr="00382917">
        <w:t>they</w:t>
      </w:r>
      <w:r w:rsidR="00EE4FC3">
        <w:t xml:space="preserve"> </w:t>
      </w:r>
      <w:r w:rsidRPr="00382917">
        <w:t>issued</w:t>
      </w:r>
      <w:r w:rsidR="00EE4FC3">
        <w:t xml:space="preserve"> </w:t>
      </w:r>
      <w:r w:rsidRPr="00382917">
        <w:t>a</w:t>
      </w:r>
      <w:r w:rsidR="00EE4FC3">
        <w:t xml:space="preserve"> </w:t>
      </w:r>
      <w:r w:rsidRPr="00382917">
        <w:t>written</w:t>
      </w:r>
      <w:r w:rsidR="00EE4FC3">
        <w:t xml:space="preserve"> </w:t>
      </w:r>
      <w:r w:rsidRPr="00382917">
        <w:t>document</w:t>
      </w:r>
      <w:r w:rsidR="00EE4FC3">
        <w:t xml:space="preserve"> </w:t>
      </w:r>
      <w:r w:rsidRPr="00382917">
        <w:t>to</w:t>
      </w:r>
      <w:r w:rsidR="00EE4FC3">
        <w:t xml:space="preserve"> </w:t>
      </w:r>
      <w:r w:rsidRPr="00382917">
        <w:t>be</w:t>
      </w:r>
      <w:r w:rsidR="00EE4FC3">
        <w:t xml:space="preserve"> </w:t>
      </w:r>
      <w:r w:rsidRPr="00382917">
        <w:t>signed</w:t>
      </w:r>
      <w:r w:rsidR="00EE4FC3">
        <w:t xml:space="preserve"> </w:t>
      </w:r>
      <w:r w:rsidRPr="00382917">
        <w:t>and</w:t>
      </w:r>
      <w:r w:rsidR="00EE4FC3">
        <w:t xml:space="preserve"> </w:t>
      </w:r>
      <w:r w:rsidRPr="00382917">
        <w:t>sealed</w:t>
      </w:r>
      <w:r w:rsidR="00EE4FC3">
        <w:t xml:space="preserve"> </w:t>
      </w:r>
      <w:r w:rsidRPr="00382917">
        <w:t>by</w:t>
      </w:r>
      <w:r w:rsidR="00EE4FC3">
        <w:t xml:space="preserve"> </w:t>
      </w:r>
      <w:r w:rsidRPr="00382917">
        <w:t>all</w:t>
      </w:r>
      <w:r w:rsidR="00EE4FC3">
        <w:t xml:space="preserve"> </w:t>
      </w:r>
      <w:r w:rsidRPr="00382917">
        <w:t>the</w:t>
      </w:r>
      <w:r w:rsidR="00EE4FC3">
        <w:t xml:space="preserve"> </w:t>
      </w:r>
      <w:r w:rsidRPr="00382917">
        <w:t>religious</w:t>
      </w:r>
      <w:r w:rsidR="00EE4FC3">
        <w:t xml:space="preserve"> </w:t>
      </w:r>
      <w:r w:rsidRPr="00382917">
        <w:t>leaders</w:t>
      </w:r>
      <w:r w:rsidR="00EE4FC3">
        <w:t xml:space="preserve"> </w:t>
      </w:r>
      <w:r w:rsidRPr="00382917">
        <w:t>of</w:t>
      </w:r>
      <w:r w:rsidR="00EE4FC3">
        <w:t xml:space="preserve"> </w:t>
      </w:r>
      <w:r w:rsidRPr="00382917">
        <w:t>the</w:t>
      </w:r>
      <w:r w:rsidR="00EE4FC3">
        <w:t xml:space="preserve"> </w:t>
      </w:r>
      <w:r w:rsidRPr="00382917">
        <w:t>city</w:t>
      </w:r>
      <w:r w:rsidR="00C03C91">
        <w:t>.</w:t>
      </w:r>
      <w:r w:rsidR="00EE4FC3">
        <w:t xml:space="preserve">  </w:t>
      </w:r>
      <w:r w:rsidRPr="00382917">
        <w:t>It</w:t>
      </w:r>
      <w:r w:rsidR="00EE4FC3">
        <w:t xml:space="preserve"> </w:t>
      </w:r>
      <w:r w:rsidRPr="00382917">
        <w:t>condemned</w:t>
      </w:r>
      <w:r w:rsidR="00EE4FC3">
        <w:t xml:space="preserve"> </w:t>
      </w:r>
      <w:r w:rsidRPr="00382917">
        <w:t>the</w:t>
      </w:r>
      <w:r w:rsidR="00EE4FC3">
        <w:t xml:space="preserve"> </w:t>
      </w:r>
      <w:r w:rsidRPr="00382917">
        <w:t>Báb</w:t>
      </w:r>
      <w:r w:rsidR="00EE4FC3">
        <w:t xml:space="preserve"> </w:t>
      </w:r>
      <w:r w:rsidRPr="00382917">
        <w:t>to</w:t>
      </w:r>
      <w:r w:rsidR="00EE4FC3">
        <w:t xml:space="preserve"> </w:t>
      </w:r>
      <w:r w:rsidRPr="00382917">
        <w:t>death</w:t>
      </w:r>
      <w:r w:rsidR="00C03C91">
        <w:t>.</w:t>
      </w:r>
      <w:r w:rsidR="00EE4FC3">
        <w:t xml:space="preserve">  </w:t>
      </w:r>
      <w:r w:rsidRPr="00382917">
        <w:t>About</w:t>
      </w:r>
      <w:r w:rsidR="00EE4FC3">
        <w:t xml:space="preserve"> </w:t>
      </w:r>
      <w:r w:rsidRPr="00382917">
        <w:t>seventy</w:t>
      </w:r>
      <w:r w:rsidR="00EE4FC3">
        <w:t xml:space="preserve"> </w:t>
      </w:r>
      <w:r w:rsidRPr="00382917">
        <w:t>of</w:t>
      </w:r>
      <w:r w:rsidR="00EE4FC3">
        <w:t xml:space="preserve"> </w:t>
      </w:r>
      <w:r w:rsidRPr="00382917">
        <w:t>the</w:t>
      </w:r>
      <w:r w:rsidR="00EE4FC3">
        <w:t xml:space="preserve"> </w:t>
      </w:r>
      <w:r w:rsidRPr="00382917">
        <w:t>leading</w:t>
      </w:r>
      <w:r w:rsidR="00EE4FC3">
        <w:t xml:space="preserve"> </w:t>
      </w:r>
      <w:r w:rsidRPr="00382917">
        <w:t>members</w:t>
      </w:r>
      <w:r w:rsidR="00EE4FC3">
        <w:t xml:space="preserve"> </w:t>
      </w:r>
      <w:r w:rsidRPr="00382917">
        <w:t>of</w:t>
      </w:r>
      <w:r w:rsidR="00EE4FC3">
        <w:t xml:space="preserve"> </w:t>
      </w:r>
      <w:r w:rsidRPr="00382917">
        <w:t>the</w:t>
      </w:r>
      <w:r w:rsidR="00EE4FC3">
        <w:t xml:space="preserve"> </w:t>
      </w:r>
      <w:r w:rsidRPr="00382917">
        <w:t>clergy</w:t>
      </w:r>
      <w:r w:rsidR="00EE4FC3">
        <w:t xml:space="preserve"> </w:t>
      </w:r>
      <w:r w:rsidRPr="00382917">
        <w:t>set</w:t>
      </w:r>
      <w:r w:rsidR="00EE4FC3">
        <w:t xml:space="preserve"> </w:t>
      </w:r>
      <w:r w:rsidRPr="00382917">
        <w:t>their</w:t>
      </w:r>
      <w:r w:rsidR="00EE4FC3">
        <w:t xml:space="preserve"> </w:t>
      </w:r>
      <w:r w:rsidRPr="00382917">
        <w:t>seal</w:t>
      </w:r>
      <w:r w:rsidR="00EE4FC3">
        <w:t xml:space="preserve"> </w:t>
      </w:r>
      <w:r w:rsidRPr="00382917">
        <w:t>to</w:t>
      </w:r>
      <w:r w:rsidR="00EE4FC3">
        <w:t xml:space="preserve"> </w:t>
      </w:r>
      <w:r w:rsidRPr="00382917">
        <w:t>this</w:t>
      </w:r>
      <w:r w:rsidR="00EE4FC3">
        <w:t xml:space="preserve"> </w:t>
      </w:r>
      <w:r w:rsidRPr="00382917">
        <w:t>document.</w:t>
      </w:r>
    </w:p>
    <w:p w:rsidR="0054338F" w:rsidRPr="00382917" w:rsidRDefault="0054338F" w:rsidP="009D4E6D">
      <w:pPr>
        <w:pStyle w:val="Text"/>
      </w:pPr>
      <w:r w:rsidRPr="00382917">
        <w:t>Two</w:t>
      </w:r>
      <w:r w:rsidR="00EE4FC3">
        <w:t xml:space="preserve"> </w:t>
      </w:r>
      <w:r w:rsidRPr="00382917">
        <w:t>of</w:t>
      </w:r>
      <w:r w:rsidR="00EE4FC3">
        <w:t xml:space="preserve"> </w:t>
      </w:r>
      <w:r w:rsidRPr="00382917">
        <w:t>the</w:t>
      </w:r>
      <w:r w:rsidR="00EE4FC3">
        <w:t xml:space="preserve"> </w:t>
      </w:r>
      <w:r w:rsidRPr="00382917">
        <w:t>priests</w:t>
      </w:r>
      <w:r w:rsidR="00EE4FC3">
        <w:t xml:space="preserve"> </w:t>
      </w:r>
      <w:r w:rsidRPr="00382917">
        <w:t>refused</w:t>
      </w:r>
      <w:r w:rsidR="00EE4FC3">
        <w:t xml:space="preserve"> </w:t>
      </w:r>
      <w:r w:rsidRPr="00382917">
        <w:t>to</w:t>
      </w:r>
      <w:r w:rsidR="00EE4FC3">
        <w:t xml:space="preserve"> </w:t>
      </w:r>
      <w:r w:rsidRPr="00382917">
        <w:t>sign</w:t>
      </w:r>
      <w:r w:rsidR="00EE4FC3">
        <w:t xml:space="preserve"> </w:t>
      </w:r>
      <w:r w:rsidRPr="00382917">
        <w:t>it</w:t>
      </w:r>
      <w:r w:rsidR="00C03C91">
        <w:t>.</w:t>
      </w:r>
      <w:r w:rsidR="00EE4FC3">
        <w:t xml:space="preserve">  </w:t>
      </w:r>
      <w:r w:rsidRPr="00382917">
        <w:t>It</w:t>
      </w:r>
      <w:r w:rsidR="00EE4FC3">
        <w:t xml:space="preserve"> </w:t>
      </w:r>
      <w:r w:rsidRPr="00382917">
        <w:t>was</w:t>
      </w:r>
      <w:r w:rsidR="00EE4FC3">
        <w:t xml:space="preserve"> </w:t>
      </w:r>
      <w:r w:rsidRPr="00382917">
        <w:t>an</w:t>
      </w:r>
      <w:r w:rsidR="00EE4FC3">
        <w:t xml:space="preserve"> </w:t>
      </w:r>
      <w:r w:rsidRPr="00382917">
        <w:t>abusive</w:t>
      </w:r>
      <w:r w:rsidR="00EE4FC3">
        <w:t xml:space="preserve"> </w:t>
      </w:r>
      <w:r w:rsidRPr="00382917">
        <w:t>document,</w:t>
      </w:r>
      <w:r w:rsidR="00EE4FC3">
        <w:t xml:space="preserve"> </w:t>
      </w:r>
      <w:r w:rsidRPr="00382917">
        <w:t>they</w:t>
      </w:r>
      <w:r w:rsidR="00EE4FC3">
        <w:t xml:space="preserve"> </w:t>
      </w:r>
      <w:r w:rsidRPr="00382917">
        <w:t>said</w:t>
      </w:r>
      <w:r w:rsidR="00C03C91">
        <w:t>.</w:t>
      </w:r>
      <w:r w:rsidR="00EE4FC3">
        <w:t xml:space="preserve">  </w:t>
      </w:r>
      <w:r w:rsidRPr="00382917">
        <w:t>The</w:t>
      </w:r>
      <w:r w:rsidR="00EE4FC3">
        <w:t xml:space="preserve"> </w:t>
      </w:r>
      <w:r w:rsidRPr="00382917">
        <w:t>chief</w:t>
      </w:r>
      <w:r w:rsidR="00EE4FC3">
        <w:t xml:space="preserve"> </w:t>
      </w:r>
      <w:r w:rsidRPr="00382917">
        <w:t>priest</w:t>
      </w:r>
      <w:r w:rsidR="00EE4FC3">
        <w:t xml:space="preserve"> </w:t>
      </w:r>
      <w:r w:rsidRPr="00382917">
        <w:t>did</w:t>
      </w:r>
      <w:r w:rsidR="00EE4FC3">
        <w:t xml:space="preserve"> </w:t>
      </w:r>
      <w:r w:rsidRPr="00382917">
        <w:t>not</w:t>
      </w:r>
      <w:r w:rsidR="00EE4FC3">
        <w:t xml:space="preserve"> </w:t>
      </w:r>
      <w:r w:rsidRPr="00382917">
        <w:t>sign</w:t>
      </w:r>
      <w:r w:rsidR="00EE4FC3">
        <w:t xml:space="preserve"> </w:t>
      </w:r>
      <w:r w:rsidRPr="00382917">
        <w:t>it</w:t>
      </w:r>
      <w:r w:rsidR="00EE4FC3">
        <w:t xml:space="preserve"> </w:t>
      </w:r>
      <w:r w:rsidRPr="00382917">
        <w:t>because</w:t>
      </w:r>
      <w:r w:rsidR="00EE4FC3">
        <w:t xml:space="preserve"> </w:t>
      </w:r>
      <w:r w:rsidRPr="00382917">
        <w:t>he</w:t>
      </w:r>
      <w:r w:rsidR="00EE4FC3">
        <w:t xml:space="preserve"> </w:t>
      </w:r>
      <w:r w:rsidRPr="00382917">
        <w:t>feared</w:t>
      </w:r>
      <w:r w:rsidR="00EE4FC3">
        <w:t xml:space="preserve"> </w:t>
      </w:r>
      <w:r w:rsidRPr="00382917">
        <w:t>the</w:t>
      </w:r>
      <w:r w:rsidR="00EE4FC3">
        <w:t xml:space="preserve"> </w:t>
      </w:r>
      <w:r w:rsidRPr="00382917">
        <w:t>governor</w:t>
      </w:r>
      <w:r w:rsidR="009C713D" w:rsidRPr="00382917">
        <w:t>’</w:t>
      </w:r>
      <w:r w:rsidRPr="00382917">
        <w:t>s</w:t>
      </w:r>
      <w:r w:rsidR="00EE4FC3">
        <w:t xml:space="preserve"> </w:t>
      </w:r>
      <w:r w:rsidRPr="00382917">
        <w:t>wrath</w:t>
      </w:r>
      <w:r w:rsidR="00C03C91">
        <w:t>.</w:t>
      </w:r>
      <w:r w:rsidR="00EE4FC3">
        <w:t xml:space="preserve">  </w:t>
      </w:r>
      <w:r w:rsidRPr="00382917">
        <w:t>Instead</w:t>
      </w:r>
      <w:r w:rsidR="00EE4FC3">
        <w:t xml:space="preserve"> </w:t>
      </w:r>
      <w:r w:rsidRPr="00382917">
        <w:t>of</w:t>
      </w:r>
      <w:r w:rsidR="00EE4FC3">
        <w:t xml:space="preserve"> </w:t>
      </w:r>
      <w:r w:rsidRPr="00382917">
        <w:t>signing</w:t>
      </w:r>
      <w:r w:rsidR="00EE4FC3">
        <w:t xml:space="preserve"> </w:t>
      </w:r>
      <w:r w:rsidRPr="00382917">
        <w:t>it,</w:t>
      </w:r>
      <w:r w:rsidR="00EE4FC3">
        <w:t xml:space="preserve"> </w:t>
      </w:r>
      <w:r w:rsidRPr="00382917">
        <w:t>he</w:t>
      </w:r>
      <w:r w:rsidR="00EE4FC3">
        <w:t xml:space="preserve"> </w:t>
      </w:r>
      <w:r w:rsidRPr="00382917">
        <w:t>wrote</w:t>
      </w:r>
      <w:r w:rsidR="00EE4FC3">
        <w:t xml:space="preserve"> </w:t>
      </w:r>
      <w:r w:rsidRPr="00382917">
        <w:t>on</w:t>
      </w:r>
      <w:r w:rsidR="00EE4FC3">
        <w:t xml:space="preserve"> </w:t>
      </w:r>
      <w:r w:rsidRPr="00382917">
        <w:t>the</w:t>
      </w:r>
      <w:r w:rsidR="00EE4FC3">
        <w:t xml:space="preserve"> </w:t>
      </w:r>
      <w:r w:rsidRPr="00382917">
        <w:t>document</w:t>
      </w:r>
      <w:r w:rsidR="00EE4FC3">
        <w:t xml:space="preserve"> </w:t>
      </w:r>
      <w:r w:rsidRPr="00382917">
        <w:t>in</w:t>
      </w:r>
      <w:r w:rsidR="00EE4FC3">
        <w:t xml:space="preserve"> </w:t>
      </w:r>
      <w:r w:rsidRPr="00382917">
        <w:t>his</w:t>
      </w:r>
      <w:r w:rsidR="00EE4FC3">
        <w:t xml:space="preserve"> </w:t>
      </w:r>
      <w:r w:rsidRPr="00382917">
        <w:t>own</w:t>
      </w:r>
      <w:r w:rsidR="00EE4FC3">
        <w:t xml:space="preserve"> </w:t>
      </w:r>
      <w:r w:rsidRPr="00382917">
        <w:t>handwriting</w:t>
      </w:r>
      <w:r w:rsidR="00EE4FC3">
        <w:t xml:space="preserve"> </w:t>
      </w:r>
      <w:r w:rsidRPr="00382917">
        <w:t>saying</w:t>
      </w:r>
      <w:r w:rsidR="00EE4FC3">
        <w:t xml:space="preserve"> </w:t>
      </w:r>
      <w:r w:rsidRPr="00382917">
        <w:t>that</w:t>
      </w:r>
      <w:r w:rsidR="00EE4FC3">
        <w:t xml:space="preserve"> </w:t>
      </w:r>
      <w:r w:rsidRPr="00382917">
        <w:t>he</w:t>
      </w:r>
      <w:r w:rsidR="00EE4FC3">
        <w:t xml:space="preserve"> </w:t>
      </w:r>
      <w:r w:rsidRPr="00382917">
        <w:t>could</w:t>
      </w:r>
      <w:r w:rsidR="00EE4FC3">
        <w:t xml:space="preserve"> </w:t>
      </w:r>
      <w:r w:rsidRPr="00382917">
        <w:t>find</w:t>
      </w:r>
      <w:r w:rsidR="00EE4FC3">
        <w:t xml:space="preserve"> </w:t>
      </w:r>
      <w:r w:rsidRPr="00382917">
        <w:t>no</w:t>
      </w:r>
      <w:r w:rsidR="00EE4FC3">
        <w:t xml:space="preserve"> </w:t>
      </w:r>
      <w:r w:rsidRPr="00382917">
        <w:t>fault</w:t>
      </w:r>
      <w:r w:rsidR="00EE4FC3">
        <w:t xml:space="preserve"> </w:t>
      </w:r>
      <w:r w:rsidRPr="00382917">
        <w:t>with</w:t>
      </w:r>
      <w:r w:rsidR="00EE4FC3">
        <w:t xml:space="preserve"> </w:t>
      </w:r>
      <w:r w:rsidRPr="00382917">
        <w:t>the</w:t>
      </w:r>
      <w:r w:rsidR="00EE4FC3">
        <w:t xml:space="preserve"> </w:t>
      </w:r>
      <w:r w:rsidRPr="00382917">
        <w:t>Báb</w:t>
      </w:r>
      <w:r w:rsidR="009C713D" w:rsidRPr="00382917">
        <w:t>’</w:t>
      </w:r>
      <w:r w:rsidRPr="00382917">
        <w:t>s</w:t>
      </w:r>
      <w:r w:rsidR="00EE4FC3">
        <w:t xml:space="preserve"> </w:t>
      </w:r>
      <w:r w:rsidRPr="00382917">
        <w:t>character</w:t>
      </w:r>
      <w:r w:rsidR="00EE4FC3">
        <w:t xml:space="preserve"> </w:t>
      </w:r>
      <w:r w:rsidRPr="00382917">
        <w:t>or</w:t>
      </w:r>
      <w:r w:rsidR="00EE4FC3">
        <w:t xml:space="preserve"> </w:t>
      </w:r>
      <w:r w:rsidRPr="00382917">
        <w:t>person</w:t>
      </w:r>
      <w:r w:rsidR="00C03C91">
        <w:t>.</w:t>
      </w:r>
      <w:r w:rsidR="00EE4FC3">
        <w:t xml:space="preserve">  </w:t>
      </w:r>
      <w:r w:rsidRPr="00382917">
        <w:t>Then</w:t>
      </w:r>
      <w:r w:rsidR="00EE4FC3">
        <w:t xml:space="preserve"> </w:t>
      </w:r>
      <w:r w:rsidRPr="00382917">
        <w:t>he</w:t>
      </w:r>
      <w:r w:rsidR="00EE4FC3">
        <w:t xml:space="preserve"> </w:t>
      </w:r>
      <w:r w:rsidRPr="00382917">
        <w:t>added</w:t>
      </w:r>
      <w:r w:rsidR="00C03C91">
        <w:t>:</w:t>
      </w:r>
      <w:r w:rsidR="00EE4FC3">
        <w:t xml:space="preserve">  </w:t>
      </w:r>
      <w:r w:rsidR="009C713D" w:rsidRPr="00382917">
        <w:t>“</w:t>
      </w:r>
      <w:r w:rsidRPr="00382917">
        <w:t>However,</w:t>
      </w:r>
      <w:r w:rsidR="00EE4FC3">
        <w:t xml:space="preserve"> </w:t>
      </w:r>
      <w:r w:rsidRPr="00382917">
        <w:t>the</w:t>
      </w:r>
      <w:r w:rsidR="00EE4FC3">
        <w:t xml:space="preserve"> </w:t>
      </w:r>
      <w:r w:rsidRPr="00382917">
        <w:t>extravagance</w:t>
      </w:r>
      <w:r w:rsidR="00EE4FC3">
        <w:t xml:space="preserve"> </w:t>
      </w:r>
      <w:r w:rsidRPr="00382917">
        <w:t>of</w:t>
      </w:r>
      <w:r w:rsidR="00EE4FC3">
        <w:t xml:space="preserve"> </w:t>
      </w:r>
      <w:r w:rsidRPr="00382917">
        <w:t>his</w:t>
      </w:r>
      <w:r w:rsidR="00EE4FC3">
        <w:t xml:space="preserve"> </w:t>
      </w:r>
      <w:r w:rsidRPr="00382917">
        <w:t>claims</w:t>
      </w:r>
      <w:r w:rsidR="00EE4FC3">
        <w:t xml:space="preserve"> </w:t>
      </w:r>
      <w:r w:rsidRPr="00382917">
        <w:t>and</w:t>
      </w:r>
      <w:r w:rsidR="00EE4FC3">
        <w:t xml:space="preserve"> </w:t>
      </w:r>
      <w:r w:rsidRPr="00382917">
        <w:t>his</w:t>
      </w:r>
      <w:r w:rsidR="00EE4FC3">
        <w:t xml:space="preserve"> </w:t>
      </w:r>
      <w:r w:rsidRPr="00382917">
        <w:t>disdainful</w:t>
      </w:r>
      <w:r w:rsidR="00EE4FC3">
        <w:t xml:space="preserve"> </w:t>
      </w:r>
      <w:r w:rsidRPr="00382917">
        <w:t>contempt</w:t>
      </w:r>
      <w:r w:rsidR="00EE4FC3">
        <w:t xml:space="preserve"> </w:t>
      </w:r>
      <w:r w:rsidRPr="00382917">
        <w:t>for</w:t>
      </w:r>
      <w:r w:rsidR="00EE4FC3">
        <w:t xml:space="preserve"> </w:t>
      </w:r>
      <w:r w:rsidRPr="00382917">
        <w:t>the</w:t>
      </w:r>
      <w:r w:rsidR="00EE4FC3">
        <w:t xml:space="preserve"> </w:t>
      </w:r>
      <w:r w:rsidRPr="00382917">
        <w:t>things</w:t>
      </w:r>
      <w:r w:rsidR="00EE4FC3">
        <w:t xml:space="preserve"> </w:t>
      </w:r>
      <w:r w:rsidRPr="00382917">
        <w:t>of</w:t>
      </w:r>
      <w:r w:rsidR="00EE4FC3">
        <w:t xml:space="preserve"> </w:t>
      </w:r>
      <w:r w:rsidRPr="00382917">
        <w:t>this</w:t>
      </w:r>
      <w:r w:rsidR="00EE4FC3">
        <w:t xml:space="preserve"> </w:t>
      </w:r>
      <w:r w:rsidRPr="00382917">
        <w:t>world</w:t>
      </w:r>
      <w:r w:rsidR="00EE4FC3">
        <w:t xml:space="preserve"> </w:t>
      </w:r>
      <w:r w:rsidRPr="00382917">
        <w:t>incline</w:t>
      </w:r>
      <w:r w:rsidR="00EE4FC3">
        <w:t xml:space="preserve"> </w:t>
      </w:r>
      <w:r w:rsidRPr="00382917">
        <w:t>me</w:t>
      </w:r>
      <w:r w:rsidR="00EE4FC3">
        <w:t xml:space="preserve"> </w:t>
      </w:r>
      <w:r w:rsidRPr="00382917">
        <w:t>to</w:t>
      </w:r>
      <w:r w:rsidR="00EE4FC3">
        <w:t xml:space="preserve"> </w:t>
      </w:r>
      <w:r w:rsidRPr="00382917">
        <w:t>believe</w:t>
      </w:r>
      <w:r w:rsidR="00EE4FC3">
        <w:t xml:space="preserve"> </w:t>
      </w:r>
      <w:r w:rsidRPr="00382917">
        <w:t>that</w:t>
      </w:r>
      <w:r w:rsidR="00EE4FC3">
        <w:t xml:space="preserve"> </w:t>
      </w:r>
      <w:r w:rsidRPr="00382917">
        <w:t>he</w:t>
      </w:r>
      <w:r w:rsidR="00EE4FC3">
        <w:t xml:space="preserve"> </w:t>
      </w:r>
      <w:r w:rsidRPr="00382917">
        <w:t>is</w:t>
      </w:r>
      <w:r w:rsidR="00EE4FC3">
        <w:t xml:space="preserve"> </w:t>
      </w:r>
      <w:r w:rsidRPr="00382917">
        <w:t>devoid</w:t>
      </w:r>
      <w:r w:rsidR="00EE4FC3">
        <w:t xml:space="preserve"> </w:t>
      </w:r>
      <w:r w:rsidRPr="00382917">
        <w:t>of</w:t>
      </w:r>
      <w:r w:rsidR="00EE4FC3">
        <w:t xml:space="preserve"> </w:t>
      </w:r>
      <w:r w:rsidRPr="00382917">
        <w:t>reason</w:t>
      </w:r>
      <w:r w:rsidR="00EE4FC3">
        <w:t xml:space="preserve"> </w:t>
      </w:r>
      <w:r w:rsidRPr="00382917">
        <w:t>and</w:t>
      </w:r>
      <w:r w:rsidR="00EE4FC3">
        <w:t xml:space="preserve"> </w:t>
      </w:r>
      <w:r w:rsidRPr="00382917">
        <w:t>judgement.</w:t>
      </w:r>
      <w:r w:rsidR="009C713D" w:rsidRPr="00382917">
        <w:t>”</w:t>
      </w:r>
    </w:p>
    <w:p w:rsidR="0054338F" w:rsidRPr="00382917" w:rsidRDefault="0054338F" w:rsidP="00C03C91">
      <w:pPr>
        <w:pStyle w:val="Text"/>
      </w:pPr>
      <w:r w:rsidRPr="00382917">
        <w:t>The</w:t>
      </w:r>
      <w:r w:rsidR="00EE4FC3">
        <w:t xml:space="preserve"> </w:t>
      </w:r>
      <w:r w:rsidRPr="00382917">
        <w:t>governor</w:t>
      </w:r>
      <w:r w:rsidR="00EE4FC3">
        <w:t xml:space="preserve"> </w:t>
      </w:r>
      <w:r w:rsidRPr="00382917">
        <w:t>was</w:t>
      </w:r>
      <w:r w:rsidR="00EE4FC3">
        <w:t xml:space="preserve"> </w:t>
      </w:r>
      <w:r w:rsidRPr="00382917">
        <w:t>secretly</w:t>
      </w:r>
      <w:r w:rsidR="00EE4FC3">
        <w:t xml:space="preserve"> </w:t>
      </w:r>
      <w:r w:rsidRPr="00382917">
        <w:t>informed</w:t>
      </w:r>
      <w:r w:rsidR="00EE4FC3">
        <w:t xml:space="preserve"> </w:t>
      </w:r>
      <w:r w:rsidRPr="00382917">
        <w:t>of</w:t>
      </w:r>
      <w:r w:rsidR="00EE4FC3">
        <w:t xml:space="preserve"> </w:t>
      </w:r>
      <w:r w:rsidRPr="00382917">
        <w:t>the</w:t>
      </w:r>
      <w:r w:rsidR="00EE4FC3">
        <w:t xml:space="preserve"> </w:t>
      </w:r>
      <w:r w:rsidRPr="00382917">
        <w:t>plan</w:t>
      </w:r>
      <w:r w:rsidR="00EE4FC3">
        <w:t xml:space="preserve"> </w:t>
      </w:r>
      <w:r w:rsidRPr="00382917">
        <w:t>of</w:t>
      </w:r>
      <w:r w:rsidR="00EE4FC3">
        <w:t xml:space="preserve"> </w:t>
      </w:r>
      <w:r w:rsidRPr="00382917">
        <w:t>the</w:t>
      </w:r>
      <w:r w:rsidR="00EE4FC3">
        <w:t xml:space="preserve"> </w:t>
      </w:r>
      <w:r w:rsidRPr="00382917">
        <w:t>priests</w:t>
      </w:r>
      <w:r w:rsidR="00EE4FC3">
        <w:t xml:space="preserve"> </w:t>
      </w:r>
      <w:r w:rsidRPr="00382917">
        <w:t>to</w:t>
      </w:r>
      <w:r w:rsidR="00EE4FC3">
        <w:t xml:space="preserve"> </w:t>
      </w:r>
      <w:r w:rsidRPr="00382917">
        <w:t>execute</w:t>
      </w:r>
      <w:r w:rsidR="00EE4FC3">
        <w:t xml:space="preserve"> </w:t>
      </w:r>
      <w:r w:rsidRPr="00382917">
        <w:t>the</w:t>
      </w:r>
      <w:r w:rsidR="00EE4FC3">
        <w:t xml:space="preserve"> </w:t>
      </w:r>
      <w:r w:rsidRPr="00382917">
        <w:t>Báb,</w:t>
      </w:r>
      <w:r w:rsidR="00EE4FC3">
        <w:t xml:space="preserve"> </w:t>
      </w:r>
      <w:r w:rsidRPr="00382917">
        <w:t>so</w:t>
      </w:r>
      <w:r w:rsidR="00EE4FC3">
        <w:t xml:space="preserve"> </w:t>
      </w:r>
      <w:r w:rsidRPr="00382917">
        <w:t>he</w:t>
      </w:r>
      <w:r w:rsidR="00EE4FC3">
        <w:t xml:space="preserve"> </w:t>
      </w:r>
      <w:r w:rsidRPr="00382917">
        <w:t>conceived</w:t>
      </w:r>
      <w:r w:rsidR="00EE4FC3">
        <w:t xml:space="preserve"> </w:t>
      </w:r>
      <w:r w:rsidRPr="00382917">
        <w:t>a</w:t>
      </w:r>
      <w:r w:rsidR="00EE4FC3">
        <w:t xml:space="preserve"> </w:t>
      </w:r>
      <w:r w:rsidRPr="00382917">
        <w:t>plan</w:t>
      </w:r>
      <w:r w:rsidR="00EE4FC3">
        <w:t xml:space="preserve"> </w:t>
      </w:r>
      <w:r w:rsidRPr="00382917">
        <w:t>of</w:t>
      </w:r>
      <w:r w:rsidR="00EE4FC3">
        <w:t xml:space="preserve"> </w:t>
      </w:r>
      <w:r w:rsidRPr="00382917">
        <w:t>his</w:t>
      </w:r>
      <w:r w:rsidR="00EE4FC3">
        <w:t xml:space="preserve"> </w:t>
      </w:r>
      <w:r w:rsidRPr="00382917">
        <w:t>own</w:t>
      </w:r>
      <w:r w:rsidR="00C03C91">
        <w:t>.</w:t>
      </w:r>
      <w:r w:rsidR="00EE4FC3">
        <w:t xml:space="preserve">  </w:t>
      </w:r>
      <w:r w:rsidRPr="00382917">
        <w:t>He</w:t>
      </w:r>
      <w:r w:rsidR="00EE4FC3">
        <w:t xml:space="preserve"> </w:t>
      </w:r>
      <w:r w:rsidRPr="00382917">
        <w:t>issued</w:t>
      </w:r>
      <w:r w:rsidR="00EE4FC3">
        <w:t xml:space="preserve"> </w:t>
      </w:r>
      <w:r w:rsidRPr="00382917">
        <w:t>a</w:t>
      </w:r>
      <w:r w:rsidR="00EE4FC3">
        <w:t xml:space="preserve"> </w:t>
      </w:r>
      <w:r w:rsidRPr="00382917">
        <w:t>statement</w:t>
      </w:r>
      <w:r w:rsidR="00EE4FC3">
        <w:t xml:space="preserve"> </w:t>
      </w:r>
      <w:r w:rsidRPr="00382917">
        <w:t>that</w:t>
      </w:r>
      <w:r w:rsidR="00EE4FC3">
        <w:t xml:space="preserve"> </w:t>
      </w:r>
      <w:r w:rsidRPr="00382917">
        <w:t>he</w:t>
      </w:r>
      <w:r w:rsidR="00EE4FC3">
        <w:t xml:space="preserve"> </w:t>
      </w:r>
      <w:r w:rsidRPr="00382917">
        <w:t>was</w:t>
      </w:r>
      <w:r w:rsidR="00EE4FC3">
        <w:t xml:space="preserve"> </w:t>
      </w:r>
      <w:r w:rsidRPr="00382917">
        <w:t>sending</w:t>
      </w:r>
      <w:r w:rsidR="00EE4FC3">
        <w:t xml:space="preserve"> </w:t>
      </w:r>
      <w:r w:rsidRPr="00382917">
        <w:t>the</w:t>
      </w:r>
      <w:r w:rsidR="00EE4FC3">
        <w:t xml:space="preserve"> </w:t>
      </w:r>
      <w:r w:rsidRPr="00382917">
        <w:t>Báb</w:t>
      </w:r>
      <w:r w:rsidR="00EE4FC3">
        <w:t xml:space="preserve"> </w:t>
      </w:r>
      <w:r w:rsidRPr="00382917">
        <w:t>to</w:t>
      </w:r>
      <w:r w:rsidR="00EE4FC3">
        <w:t xml:space="preserve"> </w:t>
      </w:r>
      <w:r w:rsidR="009D4E6D" w:rsidRPr="00382917">
        <w:t>Ṭ</w:t>
      </w:r>
      <w:r w:rsidRPr="00382917">
        <w:t>ihrán</w:t>
      </w:r>
      <w:r w:rsidR="00C03C91">
        <w:t>.</w:t>
      </w:r>
      <w:r w:rsidR="00EE4FC3">
        <w:t xml:space="preserve">  </w:t>
      </w:r>
      <w:r w:rsidRPr="00382917">
        <w:t>Then</w:t>
      </w:r>
      <w:r w:rsidR="00EE4FC3">
        <w:t xml:space="preserve"> </w:t>
      </w:r>
      <w:r w:rsidRPr="00382917">
        <w:t>he</w:t>
      </w:r>
      <w:r w:rsidR="00EE4FC3">
        <w:t xml:space="preserve"> </w:t>
      </w:r>
      <w:r w:rsidRPr="00382917">
        <w:t>gave</w:t>
      </w:r>
      <w:r w:rsidR="00EE4FC3">
        <w:t xml:space="preserve"> </w:t>
      </w:r>
      <w:r w:rsidRPr="00382917">
        <w:t>instructions</w:t>
      </w:r>
      <w:r w:rsidR="00EE4FC3">
        <w:t xml:space="preserve"> </w:t>
      </w:r>
      <w:r w:rsidRPr="00382917">
        <w:t>for</w:t>
      </w:r>
      <w:r w:rsidR="00EE4FC3">
        <w:t xml:space="preserve"> </w:t>
      </w:r>
      <w:r w:rsidRPr="00382917">
        <w:t>the</w:t>
      </w:r>
      <w:r w:rsidR="00EE4FC3">
        <w:t xml:space="preserve"> </w:t>
      </w:r>
      <w:r w:rsidRPr="00382917">
        <w:t>Báb</w:t>
      </w:r>
      <w:r w:rsidR="00EE4FC3">
        <w:t xml:space="preserve"> </w:t>
      </w:r>
      <w:r w:rsidRPr="00382917">
        <w:t>to</w:t>
      </w:r>
      <w:r w:rsidR="00EE4FC3">
        <w:t xml:space="preserve"> </w:t>
      </w:r>
      <w:r w:rsidRPr="00382917">
        <w:t>leave</w:t>
      </w:r>
      <w:r w:rsidR="00EE4FC3">
        <w:t xml:space="preserve"> </w:t>
      </w:r>
      <w:r w:rsidRPr="00382917">
        <w:t>I</w:t>
      </w:r>
      <w:r w:rsidR="009D4E6D" w:rsidRPr="00382917">
        <w:t>ṣ</w:t>
      </w:r>
      <w:r w:rsidRPr="00382917">
        <w:t>f</w:t>
      </w:r>
      <w:r w:rsidR="009D4E6D" w:rsidRPr="00382917">
        <w:t>a</w:t>
      </w:r>
      <w:r w:rsidRPr="00382917">
        <w:t>hán</w:t>
      </w:r>
      <w:r w:rsidR="00EE4FC3">
        <w:t xml:space="preserve"> </w:t>
      </w:r>
      <w:r w:rsidRPr="00382917">
        <w:t>at</w:t>
      </w:r>
      <w:r w:rsidR="00EE4FC3">
        <w:t xml:space="preserve"> </w:t>
      </w:r>
      <w:r w:rsidRPr="00382917">
        <w:t>sundown</w:t>
      </w:r>
      <w:r w:rsidR="00EE4FC3">
        <w:t xml:space="preserve"> </w:t>
      </w:r>
      <w:r w:rsidRPr="00382917">
        <w:t>and</w:t>
      </w:r>
      <w:r w:rsidR="00EE4FC3">
        <w:t xml:space="preserve"> </w:t>
      </w:r>
      <w:r w:rsidRPr="00382917">
        <w:t>openly</w:t>
      </w:r>
      <w:r w:rsidR="00EE4FC3">
        <w:t xml:space="preserve"> </w:t>
      </w:r>
      <w:proofErr w:type="gramStart"/>
      <w:r w:rsidRPr="00382917">
        <w:t>proceed</w:t>
      </w:r>
      <w:proofErr w:type="gramEnd"/>
      <w:r w:rsidR="00EE4FC3">
        <w:t xml:space="preserve"> </w:t>
      </w:r>
      <w:r w:rsidRPr="00382917">
        <w:t>toward</w:t>
      </w:r>
      <w:r w:rsidR="00EE4FC3">
        <w:t xml:space="preserve"> </w:t>
      </w:r>
      <w:r w:rsidR="00C03C91" w:rsidRPr="00C03C91">
        <w:t>Ṭ</w:t>
      </w:r>
      <w:r w:rsidRPr="00382917">
        <w:t>ihrán</w:t>
      </w:r>
      <w:r w:rsidR="00EE4FC3">
        <w:t xml:space="preserve"> </w:t>
      </w:r>
      <w:r w:rsidRPr="00382917">
        <w:t>under</w:t>
      </w:r>
      <w:r w:rsidR="00EE4FC3">
        <w:t xml:space="preserve"> </w:t>
      </w:r>
      <w:r w:rsidRPr="00382917">
        <w:t>a</w:t>
      </w:r>
      <w:r w:rsidR="00EE4FC3">
        <w:t xml:space="preserve"> </w:t>
      </w:r>
      <w:r w:rsidRPr="00382917">
        <w:t>protective</w:t>
      </w:r>
      <w:r w:rsidR="00EE4FC3">
        <w:t xml:space="preserve"> </w:t>
      </w:r>
      <w:r w:rsidRPr="00382917">
        <w:t>escort</w:t>
      </w:r>
      <w:r w:rsidR="00EE4FC3">
        <w:t xml:space="preserve"> </w:t>
      </w:r>
      <w:r w:rsidRPr="00382917">
        <w:t>of</w:t>
      </w:r>
      <w:r w:rsidR="00EE4FC3">
        <w:t xml:space="preserve"> </w:t>
      </w:r>
      <w:r w:rsidRPr="00382917">
        <w:t>five</w:t>
      </w:r>
      <w:r w:rsidR="00EE4FC3">
        <w:t xml:space="preserve"> </w:t>
      </w:r>
      <w:r w:rsidRPr="00382917">
        <w:t>hundred</w:t>
      </w:r>
      <w:r w:rsidR="00EE4FC3">
        <w:t xml:space="preserve"> </w:t>
      </w:r>
      <w:r w:rsidRPr="00382917">
        <w:t>of</w:t>
      </w:r>
      <w:r w:rsidR="00EE4FC3">
        <w:t xml:space="preserve"> </w:t>
      </w:r>
      <w:r w:rsidRPr="00382917">
        <w:t>his</w:t>
      </w:r>
      <w:r w:rsidR="00EE4FC3">
        <w:t xml:space="preserve"> </w:t>
      </w:r>
      <w:r w:rsidRPr="00382917">
        <w:t>own</w:t>
      </w:r>
      <w:r w:rsidR="00EE4FC3">
        <w:t xml:space="preserve"> </w:t>
      </w:r>
      <w:r w:rsidRPr="00382917">
        <w:t>mounted</w:t>
      </w:r>
      <w:r w:rsidR="00EE4FC3">
        <w:t xml:space="preserve"> </w:t>
      </w:r>
      <w:r w:rsidRPr="00382917">
        <w:t>bodyguard</w:t>
      </w:r>
      <w:r w:rsidR="00C03C91">
        <w:t>.</w:t>
      </w:r>
      <w:r w:rsidR="00EE4FC3">
        <w:t xml:space="preserve">  </w:t>
      </w:r>
      <w:r w:rsidRPr="00382917">
        <w:t>He</w:t>
      </w:r>
      <w:r w:rsidR="00EE4FC3">
        <w:t xml:space="preserve"> </w:t>
      </w:r>
      <w:r w:rsidRPr="00382917">
        <w:t>gave</w:t>
      </w:r>
      <w:r w:rsidR="00EE4FC3">
        <w:t xml:space="preserve"> </w:t>
      </w:r>
      <w:r w:rsidRPr="00382917">
        <w:t>further</w:t>
      </w:r>
      <w:r w:rsidR="00EE4FC3">
        <w:t xml:space="preserve"> </w:t>
      </w:r>
      <w:r w:rsidRPr="00382917">
        <w:t>orders</w:t>
      </w:r>
      <w:r w:rsidR="00EE4FC3">
        <w:t xml:space="preserve"> </w:t>
      </w:r>
      <w:r w:rsidRPr="00382917">
        <w:t>that</w:t>
      </w:r>
      <w:r w:rsidR="00EE4FC3">
        <w:t xml:space="preserve"> </w:t>
      </w:r>
      <w:r w:rsidRPr="00382917">
        <w:t>at</w:t>
      </w:r>
      <w:r w:rsidR="00EE4FC3">
        <w:t xml:space="preserve"> </w:t>
      </w:r>
      <w:r w:rsidRPr="00382917">
        <w:t>each</w:t>
      </w:r>
      <w:r w:rsidR="00EE4FC3">
        <w:t xml:space="preserve"> </w:t>
      </w:r>
      <w:r w:rsidRPr="00382917">
        <w:t>three</w:t>
      </w:r>
      <w:r w:rsidR="00EE4FC3">
        <w:t xml:space="preserve"> </w:t>
      </w:r>
      <w:r w:rsidRPr="00382917">
        <w:t>mile</w:t>
      </w:r>
      <w:r w:rsidR="00EE4FC3">
        <w:t xml:space="preserve"> </w:t>
      </w:r>
      <w:r w:rsidRPr="00382917">
        <w:t>post,</w:t>
      </w:r>
      <w:r w:rsidR="00EE4FC3">
        <w:t xml:space="preserve"> </w:t>
      </w:r>
      <w:r w:rsidRPr="00382917">
        <w:t>one</w:t>
      </w:r>
      <w:r w:rsidR="00EE4FC3">
        <w:t xml:space="preserve"> </w:t>
      </w:r>
      <w:r w:rsidRPr="00382917">
        <w:t>hundred</w:t>
      </w:r>
      <w:r w:rsidR="00EE4FC3">
        <w:t xml:space="preserve"> </w:t>
      </w:r>
      <w:r w:rsidRPr="00382917">
        <w:t>of</w:t>
      </w:r>
      <w:r w:rsidR="00EE4FC3">
        <w:t xml:space="preserve"> </w:t>
      </w:r>
      <w:r w:rsidRPr="00382917">
        <w:t>the</w:t>
      </w:r>
      <w:r w:rsidR="00EE4FC3">
        <w:t xml:space="preserve"> </w:t>
      </w:r>
      <w:r w:rsidRPr="00382917">
        <w:t>soldiers</w:t>
      </w:r>
      <w:r w:rsidR="00EE4FC3">
        <w:t xml:space="preserve"> </w:t>
      </w:r>
      <w:r w:rsidRPr="00382917">
        <w:t>should</w:t>
      </w:r>
      <w:r w:rsidR="00EE4FC3">
        <w:t xml:space="preserve"> </w:t>
      </w:r>
      <w:r w:rsidRPr="00382917">
        <w:t>return</w:t>
      </w:r>
      <w:r w:rsidR="00EE4FC3">
        <w:t xml:space="preserve"> </w:t>
      </w:r>
      <w:r w:rsidRPr="00382917">
        <w:t>to</w:t>
      </w:r>
      <w:r w:rsidR="00EE4FC3">
        <w:t xml:space="preserve"> </w:t>
      </w:r>
      <w:r w:rsidRPr="00382917">
        <w:t>I</w:t>
      </w:r>
      <w:r w:rsidR="009D4E6D" w:rsidRPr="00382917">
        <w:t>ṣ</w:t>
      </w:r>
      <w:r w:rsidRPr="00382917">
        <w:t>f</w:t>
      </w:r>
      <w:r w:rsidR="009D4E6D" w:rsidRPr="00382917">
        <w:t>a</w:t>
      </w:r>
      <w:r w:rsidRPr="00382917">
        <w:t>hán</w:t>
      </w:r>
      <w:r w:rsidR="00C03C91">
        <w:t>.</w:t>
      </w:r>
      <w:r w:rsidR="00EE4FC3">
        <w:t xml:space="preserve">  </w:t>
      </w:r>
      <w:r w:rsidRPr="00382917">
        <w:t>To</w:t>
      </w:r>
      <w:r w:rsidR="00EE4FC3">
        <w:t xml:space="preserve"> </w:t>
      </w:r>
      <w:r w:rsidRPr="00382917">
        <w:t>the</w:t>
      </w:r>
      <w:r w:rsidR="00EE4FC3">
        <w:t xml:space="preserve"> </w:t>
      </w:r>
      <w:r w:rsidRPr="00382917">
        <w:t>captain</w:t>
      </w:r>
      <w:r w:rsidR="00EE4FC3">
        <w:t xml:space="preserve"> </w:t>
      </w:r>
      <w:r w:rsidRPr="00382917">
        <w:t>of</w:t>
      </w:r>
      <w:r w:rsidR="00EE4FC3">
        <w:t xml:space="preserve"> </w:t>
      </w:r>
      <w:r w:rsidRPr="00382917">
        <w:t>the</w:t>
      </w:r>
      <w:r w:rsidR="00EE4FC3">
        <w:t xml:space="preserve"> </w:t>
      </w:r>
      <w:r w:rsidRPr="00382917">
        <w:t>last</w:t>
      </w:r>
      <w:r w:rsidR="00EE4FC3">
        <w:t xml:space="preserve"> </w:t>
      </w:r>
      <w:r w:rsidRPr="00382917">
        <w:t>hundred,</w:t>
      </w:r>
      <w:r w:rsidR="00EE4FC3">
        <w:t xml:space="preserve"> </w:t>
      </w:r>
      <w:r w:rsidRPr="00382917">
        <w:t>a</w:t>
      </w:r>
      <w:r w:rsidR="00EE4FC3">
        <w:t xml:space="preserve"> </w:t>
      </w:r>
      <w:r w:rsidRPr="00382917">
        <w:t>man</w:t>
      </w:r>
      <w:r w:rsidR="00EE4FC3">
        <w:t xml:space="preserve"> </w:t>
      </w:r>
      <w:r w:rsidRPr="00382917">
        <w:t>in</w:t>
      </w:r>
      <w:r w:rsidR="00EE4FC3">
        <w:t xml:space="preserve"> </w:t>
      </w:r>
      <w:r w:rsidRPr="00382917">
        <w:t>whom</w:t>
      </w:r>
      <w:r w:rsidR="00EE4FC3">
        <w:t xml:space="preserve"> </w:t>
      </w:r>
      <w:r w:rsidRPr="00382917">
        <w:t>the</w:t>
      </w:r>
      <w:r w:rsidR="00EE4FC3">
        <w:t xml:space="preserve"> </w:t>
      </w:r>
      <w:r w:rsidRPr="00382917">
        <w:t>governor</w:t>
      </w:r>
      <w:r w:rsidR="00EE4FC3">
        <w:t xml:space="preserve"> </w:t>
      </w:r>
      <w:r w:rsidRPr="00382917">
        <w:t>placed</w:t>
      </w:r>
      <w:r w:rsidR="00EE4FC3">
        <w:t xml:space="preserve"> </w:t>
      </w:r>
      <w:r w:rsidRPr="00382917">
        <w:t>complete</w:t>
      </w:r>
      <w:r w:rsidR="00EE4FC3">
        <w:t xml:space="preserve"> </w:t>
      </w:r>
      <w:r w:rsidRPr="00382917">
        <w:t>confidence,</w:t>
      </w:r>
      <w:r w:rsidR="00EE4FC3">
        <w:t xml:space="preserve"> </w:t>
      </w:r>
      <w:r w:rsidRPr="00382917">
        <w:t>he</w:t>
      </w:r>
      <w:r w:rsidR="00EE4FC3">
        <w:t xml:space="preserve"> </w:t>
      </w:r>
      <w:r w:rsidRPr="00382917">
        <w:t>gave</w:t>
      </w:r>
      <w:r w:rsidR="00EE4FC3">
        <w:t xml:space="preserve"> </w:t>
      </w:r>
      <w:r w:rsidRPr="00382917">
        <w:t>instructions</w:t>
      </w:r>
      <w:r w:rsidR="00EE4FC3">
        <w:t xml:space="preserve"> </w:t>
      </w:r>
      <w:r w:rsidRPr="00382917">
        <w:t>to</w:t>
      </w:r>
      <w:r w:rsidR="00EE4FC3">
        <w:t xml:space="preserve"> </w:t>
      </w:r>
      <w:r w:rsidRPr="00382917">
        <w:t>send</w:t>
      </w:r>
      <w:r w:rsidR="00EE4FC3">
        <w:t xml:space="preserve"> </w:t>
      </w:r>
      <w:r w:rsidRPr="00382917">
        <w:t>back</w:t>
      </w:r>
      <w:r w:rsidR="00EE4FC3">
        <w:t xml:space="preserve"> </w:t>
      </w:r>
      <w:r w:rsidRPr="00382917">
        <w:t>twenty</w:t>
      </w:r>
      <w:r w:rsidR="00EE4FC3">
        <w:t xml:space="preserve"> </w:t>
      </w:r>
      <w:r w:rsidRPr="00382917">
        <w:t>of</w:t>
      </w:r>
      <w:r w:rsidR="00EE4FC3">
        <w:t xml:space="preserve"> </w:t>
      </w:r>
      <w:r w:rsidRPr="00382917">
        <w:t>the</w:t>
      </w:r>
      <w:r w:rsidR="00EE4FC3">
        <w:t xml:space="preserve"> </w:t>
      </w:r>
      <w:r w:rsidRPr="00382917">
        <w:t>one</w:t>
      </w:r>
      <w:r w:rsidR="00EE4FC3">
        <w:t xml:space="preserve"> </w:t>
      </w:r>
      <w:r w:rsidRPr="00382917">
        <w:t>hundred</w:t>
      </w:r>
      <w:r w:rsidR="00EE4FC3">
        <w:t xml:space="preserve"> </w:t>
      </w:r>
      <w:r w:rsidRPr="00382917">
        <w:t>soldiers</w:t>
      </w:r>
      <w:r w:rsidR="00EE4FC3">
        <w:t xml:space="preserve"> </w:t>
      </w:r>
      <w:r w:rsidRPr="00382917">
        <w:t>at</w:t>
      </w:r>
      <w:r w:rsidR="00EE4FC3">
        <w:t xml:space="preserve"> </w:t>
      </w:r>
      <w:r w:rsidRPr="00382917">
        <w:t>every</w:t>
      </w:r>
      <w:r w:rsidR="00EE4FC3">
        <w:t xml:space="preserve"> </w:t>
      </w:r>
      <w:r w:rsidRPr="00382917">
        <w:t>further</w:t>
      </w:r>
      <w:r w:rsidR="00EE4FC3">
        <w:t xml:space="preserve"> </w:t>
      </w:r>
      <w:r w:rsidRPr="00382917">
        <w:t>mile</w:t>
      </w:r>
      <w:r w:rsidR="00EE4FC3">
        <w:t xml:space="preserve"> </w:t>
      </w:r>
      <w:r w:rsidRPr="00382917">
        <w:t>post</w:t>
      </w:r>
      <w:r w:rsidR="00C03C91">
        <w:t>.</w:t>
      </w:r>
      <w:r w:rsidR="00EE4FC3">
        <w:t xml:space="preserve">  </w:t>
      </w:r>
      <w:r w:rsidRPr="00382917">
        <w:t>Of</w:t>
      </w:r>
      <w:r w:rsidR="00EE4FC3">
        <w:t xml:space="preserve"> </w:t>
      </w:r>
      <w:r w:rsidRPr="00382917">
        <w:t>the</w:t>
      </w:r>
      <w:r w:rsidR="00EE4FC3">
        <w:t xml:space="preserve"> </w:t>
      </w:r>
      <w:r w:rsidRPr="00382917">
        <w:t>remaining</w:t>
      </w:r>
      <w:r w:rsidR="00EE4FC3">
        <w:t xml:space="preserve"> </w:t>
      </w:r>
      <w:r w:rsidRPr="00382917">
        <w:t>twenty,</w:t>
      </w:r>
      <w:r w:rsidR="00EE4FC3">
        <w:t xml:space="preserve"> </w:t>
      </w:r>
      <w:r w:rsidRPr="00382917">
        <w:t>ten</w:t>
      </w:r>
      <w:r w:rsidR="00EE4FC3">
        <w:t xml:space="preserve"> </w:t>
      </w:r>
      <w:r w:rsidRPr="00382917">
        <w:t>should</w:t>
      </w:r>
      <w:r w:rsidR="00EE4FC3">
        <w:t xml:space="preserve"> </w:t>
      </w:r>
      <w:r w:rsidRPr="00382917">
        <w:t>be</w:t>
      </w:r>
      <w:r w:rsidR="00EE4FC3">
        <w:t xml:space="preserve"> </w:t>
      </w:r>
      <w:r w:rsidRPr="00382917">
        <w:t>dispatched</w:t>
      </w:r>
      <w:r w:rsidR="00EE4FC3">
        <w:t xml:space="preserve"> </w:t>
      </w:r>
      <w:r w:rsidRPr="00382917">
        <w:t>to</w:t>
      </w:r>
      <w:r w:rsidR="00EE4FC3">
        <w:t xml:space="preserve"> </w:t>
      </w:r>
      <w:r w:rsidRPr="00382917">
        <w:t>Ardistán</w:t>
      </w:r>
      <w:r w:rsidR="00EE4FC3">
        <w:t xml:space="preserve"> </w:t>
      </w:r>
      <w:r w:rsidRPr="00382917">
        <w:t>to</w:t>
      </w:r>
      <w:r w:rsidR="00EE4FC3">
        <w:t xml:space="preserve"> </w:t>
      </w:r>
      <w:r w:rsidRPr="00382917">
        <w:t>collect</w:t>
      </w:r>
      <w:r w:rsidR="00EE4FC3">
        <w:t xml:space="preserve"> </w:t>
      </w:r>
      <w:r w:rsidRPr="00382917">
        <w:t>taxes</w:t>
      </w:r>
      <w:r w:rsidR="00C03C91">
        <w:t>.</w:t>
      </w:r>
      <w:r w:rsidR="00EE4FC3">
        <w:t xml:space="preserve">  </w:t>
      </w:r>
      <w:r w:rsidRPr="00382917">
        <w:t>The</w:t>
      </w:r>
      <w:r w:rsidR="00EE4FC3">
        <w:t xml:space="preserve"> </w:t>
      </w:r>
      <w:r w:rsidRPr="00382917">
        <w:t>final</w:t>
      </w:r>
      <w:r w:rsidR="00EE4FC3">
        <w:t xml:space="preserve"> </w:t>
      </w:r>
      <w:r w:rsidRPr="00382917">
        <w:t>ten,</w:t>
      </w:r>
      <w:r w:rsidR="00EE4FC3">
        <w:t xml:space="preserve"> </w:t>
      </w:r>
      <w:r w:rsidRPr="00382917">
        <w:t>all</w:t>
      </w:r>
      <w:r w:rsidR="00EE4FC3">
        <w:t xml:space="preserve"> </w:t>
      </w:r>
      <w:r w:rsidRPr="00382917">
        <w:t>of</w:t>
      </w:r>
      <w:r w:rsidR="00EE4FC3">
        <w:t xml:space="preserve"> </w:t>
      </w:r>
      <w:r w:rsidRPr="00382917">
        <w:t>whom</w:t>
      </w:r>
      <w:r w:rsidR="00EE4FC3">
        <w:t xml:space="preserve"> </w:t>
      </w:r>
      <w:r w:rsidRPr="00382917">
        <w:t>were</w:t>
      </w:r>
      <w:r w:rsidR="00EE4FC3">
        <w:t xml:space="preserve"> </w:t>
      </w:r>
      <w:r w:rsidRPr="00382917">
        <w:t>his</w:t>
      </w:r>
      <w:r w:rsidR="00EE4FC3">
        <w:t xml:space="preserve"> </w:t>
      </w:r>
      <w:r w:rsidRPr="00382917">
        <w:t>most</w:t>
      </w:r>
      <w:r w:rsidR="00EE4FC3">
        <w:t xml:space="preserve"> </w:t>
      </w:r>
      <w:r w:rsidRPr="00382917">
        <w:t>trusted</w:t>
      </w:r>
      <w:r w:rsidR="00EE4FC3">
        <w:t xml:space="preserve"> </w:t>
      </w:r>
      <w:r w:rsidRPr="00382917">
        <w:t>hand-picked</w:t>
      </w:r>
      <w:r w:rsidR="00EE4FC3">
        <w:t xml:space="preserve"> </w:t>
      </w:r>
      <w:r w:rsidRPr="00382917">
        <w:t>men,</w:t>
      </w:r>
      <w:r w:rsidR="00EE4FC3">
        <w:t xml:space="preserve"> </w:t>
      </w:r>
      <w:r w:rsidRPr="00382917">
        <w:t>should</w:t>
      </w:r>
      <w:r w:rsidR="00EE4FC3">
        <w:t xml:space="preserve"> </w:t>
      </w:r>
      <w:r w:rsidRPr="00382917">
        <w:t>return</w:t>
      </w:r>
      <w:r w:rsidR="00EE4FC3">
        <w:t xml:space="preserve"> </w:t>
      </w:r>
      <w:r w:rsidRPr="00382917">
        <w:t>in</w:t>
      </w:r>
      <w:r w:rsidR="00EE4FC3">
        <w:t xml:space="preserve"> </w:t>
      </w:r>
      <w:r w:rsidRPr="00382917">
        <w:t>disguise</w:t>
      </w:r>
      <w:r w:rsidR="00EE4FC3">
        <w:t xml:space="preserve"> </w:t>
      </w:r>
      <w:r w:rsidRPr="00382917">
        <w:t>with</w:t>
      </w:r>
      <w:r w:rsidR="00EE4FC3">
        <w:t xml:space="preserve"> </w:t>
      </w:r>
      <w:r w:rsidRPr="00382917">
        <w:t>the</w:t>
      </w:r>
      <w:r w:rsidR="00EE4FC3">
        <w:t xml:space="preserve"> </w:t>
      </w:r>
      <w:r w:rsidRPr="00382917">
        <w:t>Báb</w:t>
      </w:r>
      <w:r w:rsidR="00EE4FC3">
        <w:t xml:space="preserve"> </w:t>
      </w:r>
      <w:r w:rsidRPr="00382917">
        <w:t>to</w:t>
      </w:r>
      <w:r w:rsidR="00EE4FC3">
        <w:t xml:space="preserve"> </w:t>
      </w:r>
      <w:r w:rsidRPr="00382917">
        <w:t>the</w:t>
      </w:r>
      <w:r w:rsidR="00EE4FC3">
        <w:t xml:space="preserve"> </w:t>
      </w:r>
      <w:r w:rsidRPr="00382917">
        <w:t>governor</w:t>
      </w:r>
      <w:r w:rsidR="009C713D" w:rsidRPr="00382917">
        <w:t>’</w:t>
      </w:r>
      <w:r w:rsidRPr="00382917">
        <w:t>s</w:t>
      </w:r>
      <w:r w:rsidR="00EE4FC3">
        <w:t xml:space="preserve"> </w:t>
      </w:r>
      <w:r w:rsidRPr="00382917">
        <w:t>home</w:t>
      </w:r>
      <w:r w:rsidR="00EE4FC3">
        <w:t xml:space="preserve"> </w:t>
      </w:r>
      <w:r w:rsidRPr="00382917">
        <w:t>in</w:t>
      </w:r>
      <w:r w:rsidR="00EE4FC3">
        <w:t xml:space="preserve"> </w:t>
      </w:r>
      <w:r w:rsidRPr="00382917">
        <w:t>I</w:t>
      </w:r>
      <w:r w:rsidR="009D4E6D" w:rsidRPr="00382917">
        <w:t>ṣ</w:t>
      </w:r>
      <w:r w:rsidRPr="00382917">
        <w:t>f</w:t>
      </w:r>
      <w:r w:rsidR="009D4E6D" w:rsidRPr="00382917">
        <w:t>a</w:t>
      </w:r>
      <w:r w:rsidRPr="00382917">
        <w:t>hán.</w:t>
      </w:r>
    </w:p>
    <w:p w:rsidR="0054338F" w:rsidRPr="00382917" w:rsidRDefault="0054338F" w:rsidP="0009276A">
      <w:pPr>
        <w:pStyle w:val="Text"/>
      </w:pPr>
      <w:r w:rsidRPr="00382917">
        <w:t>The</w:t>
      </w:r>
      <w:r w:rsidR="00EE4FC3">
        <w:t xml:space="preserve"> </w:t>
      </w:r>
      <w:r w:rsidRPr="00382917">
        <w:t>instructions</w:t>
      </w:r>
      <w:r w:rsidR="00EE4FC3">
        <w:t xml:space="preserve"> </w:t>
      </w:r>
      <w:r w:rsidRPr="00382917">
        <w:t>were</w:t>
      </w:r>
      <w:r w:rsidR="00EE4FC3">
        <w:t xml:space="preserve"> </w:t>
      </w:r>
      <w:r w:rsidRPr="00382917">
        <w:t>carefully</w:t>
      </w:r>
      <w:r w:rsidR="00EE4FC3">
        <w:t xml:space="preserve"> </w:t>
      </w:r>
      <w:r w:rsidRPr="00382917">
        <w:t>carried</w:t>
      </w:r>
      <w:r w:rsidR="00EE4FC3">
        <w:t xml:space="preserve"> </w:t>
      </w:r>
      <w:r w:rsidRPr="00382917">
        <w:t>out</w:t>
      </w:r>
      <w:r w:rsidR="00C03C91">
        <w:t>.</w:t>
      </w:r>
      <w:r w:rsidR="00EE4FC3">
        <w:t xml:space="preserve">  </w:t>
      </w:r>
      <w:r w:rsidRPr="00382917">
        <w:t>In</w:t>
      </w:r>
      <w:r w:rsidR="00EE4FC3">
        <w:t xml:space="preserve"> </w:t>
      </w:r>
      <w:r w:rsidRPr="00382917">
        <w:t>order</w:t>
      </w:r>
      <w:r w:rsidR="00EE4FC3">
        <w:t xml:space="preserve"> </w:t>
      </w:r>
      <w:r w:rsidRPr="00382917">
        <w:t>to</w:t>
      </w:r>
      <w:r w:rsidR="00EE4FC3">
        <w:t xml:space="preserve"> </w:t>
      </w:r>
      <w:r w:rsidRPr="00382917">
        <w:t>assure</w:t>
      </w:r>
      <w:r w:rsidR="00EE4FC3">
        <w:t xml:space="preserve"> </w:t>
      </w:r>
      <w:r w:rsidRPr="00382917">
        <w:t>the</w:t>
      </w:r>
      <w:r w:rsidR="00EE4FC3">
        <w:t xml:space="preserve"> </w:t>
      </w:r>
      <w:r w:rsidRPr="00382917">
        <w:t>safety</w:t>
      </w:r>
      <w:r w:rsidR="00EE4FC3">
        <w:t xml:space="preserve"> </w:t>
      </w:r>
      <w:r w:rsidRPr="00382917">
        <w:t>and</w:t>
      </w:r>
      <w:r w:rsidR="00EE4FC3">
        <w:t xml:space="preserve"> </w:t>
      </w:r>
      <w:r w:rsidRPr="00382917">
        <w:t>comfort</w:t>
      </w:r>
      <w:r w:rsidR="00EE4FC3">
        <w:t xml:space="preserve"> </w:t>
      </w:r>
      <w:r w:rsidRPr="00382917">
        <w:t>of</w:t>
      </w:r>
      <w:r w:rsidR="00EE4FC3">
        <w:t xml:space="preserve"> </w:t>
      </w:r>
      <w:r w:rsidRPr="00382917">
        <w:t>the</w:t>
      </w:r>
      <w:r w:rsidR="00EE4FC3">
        <w:t xml:space="preserve"> </w:t>
      </w:r>
      <w:r w:rsidRPr="00382917">
        <w:t>Báb</w:t>
      </w:r>
      <w:r w:rsidR="00EE4FC3">
        <w:t xml:space="preserve"> </w:t>
      </w:r>
      <w:r w:rsidRPr="00382917">
        <w:t>upon</w:t>
      </w:r>
      <w:r w:rsidR="00EE4FC3">
        <w:t xml:space="preserve"> </w:t>
      </w:r>
      <w:r w:rsidRPr="00382917">
        <w:t>His</w:t>
      </w:r>
      <w:r w:rsidR="00EE4FC3">
        <w:t xml:space="preserve"> </w:t>
      </w:r>
      <w:r w:rsidRPr="00382917">
        <w:t>return</w:t>
      </w:r>
      <w:r w:rsidR="00EE4FC3">
        <w:t xml:space="preserve"> </w:t>
      </w:r>
      <w:r w:rsidRPr="00382917">
        <w:t>the</w:t>
      </w:r>
      <w:r w:rsidR="00EE4FC3">
        <w:t xml:space="preserve"> </w:t>
      </w:r>
      <w:r w:rsidRPr="00382917">
        <w:t>governor,</w:t>
      </w:r>
      <w:r w:rsidR="00EE4FC3">
        <w:t xml:space="preserve"> </w:t>
      </w:r>
      <w:r w:rsidR="0040329F" w:rsidRPr="00382917">
        <w:t>Manú</w:t>
      </w:r>
      <w:r w:rsidR="0040329F" w:rsidRPr="0040329F">
        <w:rPr>
          <w:u w:val="single"/>
        </w:rPr>
        <w:t>ch</w:t>
      </w:r>
      <w:r w:rsidR="0040329F" w:rsidRPr="00382917">
        <w:t>ihr</w:t>
      </w:r>
      <w:r w:rsidR="00EE4FC3">
        <w:t xml:space="preserve"> </w:t>
      </w:r>
      <w:r w:rsidR="0040329F" w:rsidRPr="0040329F">
        <w:rPr>
          <w:u w:val="single"/>
        </w:rPr>
        <w:t>Kh</w:t>
      </w:r>
      <w:r w:rsidR="0040329F" w:rsidRPr="00382917">
        <w:t>án</w:t>
      </w:r>
      <w:r w:rsidRPr="00382917">
        <w:t>,</w:t>
      </w:r>
      <w:r w:rsidR="00EE4FC3">
        <w:t xml:space="preserve"> </w:t>
      </w:r>
      <w:r w:rsidRPr="00382917">
        <w:t>had</w:t>
      </w:r>
      <w:r w:rsidR="00EE4FC3">
        <w:t xml:space="preserve"> </w:t>
      </w:r>
      <w:r w:rsidRPr="00382917">
        <w:t>Him</w:t>
      </w:r>
      <w:r w:rsidR="00EE4FC3">
        <w:t xml:space="preserve"> </w:t>
      </w:r>
      <w:r w:rsidRPr="00382917">
        <w:t>occupy</w:t>
      </w:r>
      <w:r w:rsidR="00EE4FC3">
        <w:t xml:space="preserve"> </w:t>
      </w:r>
      <w:r w:rsidRPr="00382917">
        <w:t>his</w:t>
      </w:r>
      <w:r w:rsidR="00EE4FC3">
        <w:t xml:space="preserve"> </w:t>
      </w:r>
      <w:r w:rsidRPr="00382917">
        <w:t>own</w:t>
      </w:r>
      <w:r w:rsidR="00EE4FC3">
        <w:t xml:space="preserve"> </w:t>
      </w:r>
      <w:r w:rsidRPr="00382917">
        <w:t>private</w:t>
      </w:r>
      <w:r w:rsidR="00EE4FC3">
        <w:t xml:space="preserve"> </w:t>
      </w:r>
      <w:r w:rsidRPr="00382917">
        <w:t>apartment</w:t>
      </w:r>
      <w:r w:rsidR="00C03C91">
        <w:t>.</w:t>
      </w:r>
      <w:r w:rsidR="00EE4FC3">
        <w:t xml:space="preserve">  </w:t>
      </w:r>
      <w:r w:rsidRPr="00382917">
        <w:t>He</w:t>
      </w:r>
      <w:r w:rsidR="00EE4FC3">
        <w:t xml:space="preserve"> </w:t>
      </w:r>
      <w:r w:rsidRPr="00382917">
        <w:t>served</w:t>
      </w:r>
      <w:r w:rsidR="00EE4FC3">
        <w:t xml:space="preserve"> </w:t>
      </w:r>
      <w:r w:rsidRPr="00382917">
        <w:t>the</w:t>
      </w:r>
      <w:r w:rsidR="00EE4FC3">
        <w:t xml:space="preserve"> </w:t>
      </w:r>
      <w:r w:rsidRPr="00382917">
        <w:t>meals</w:t>
      </w:r>
      <w:r w:rsidR="00EE4FC3">
        <w:t xml:space="preserve"> </w:t>
      </w:r>
      <w:r w:rsidRPr="00382917">
        <w:t>himself,</w:t>
      </w:r>
      <w:r w:rsidR="00EE4FC3">
        <w:t xml:space="preserve"> </w:t>
      </w:r>
      <w:r w:rsidRPr="00382917">
        <w:t>and</w:t>
      </w:r>
      <w:r w:rsidR="00EE4FC3">
        <w:t xml:space="preserve"> </w:t>
      </w:r>
      <w:r w:rsidRPr="00382917">
        <w:t>waited</w:t>
      </w:r>
      <w:r w:rsidR="00EE4FC3">
        <w:t xml:space="preserve"> </w:t>
      </w:r>
      <w:r w:rsidRPr="00382917">
        <w:t>upon</w:t>
      </w:r>
      <w:r w:rsidR="00EE4FC3">
        <w:t xml:space="preserve"> </w:t>
      </w:r>
      <w:r w:rsidRPr="00382917">
        <w:t>the</w:t>
      </w:r>
      <w:r w:rsidR="00EE4FC3">
        <w:t xml:space="preserve"> </w:t>
      </w:r>
      <w:r w:rsidRPr="00382917">
        <w:t>Báb</w:t>
      </w:r>
      <w:r w:rsidR="00EE4FC3">
        <w:t xml:space="preserve"> </w:t>
      </w:r>
      <w:r w:rsidRPr="00382917">
        <w:t>at</w:t>
      </w:r>
      <w:r w:rsidR="00EE4FC3">
        <w:t xml:space="preserve"> </w:t>
      </w:r>
      <w:r w:rsidRPr="00382917">
        <w:t>all</w:t>
      </w:r>
      <w:r w:rsidR="00EE4FC3">
        <w:t xml:space="preserve"> </w:t>
      </w:r>
      <w:r w:rsidRPr="00382917">
        <w:t>times</w:t>
      </w:r>
      <w:r w:rsidR="00EE4FC3">
        <w:t xml:space="preserve"> </w:t>
      </w:r>
      <w:r w:rsidRPr="00382917">
        <w:t>for</w:t>
      </w:r>
      <w:r w:rsidR="00EE4FC3">
        <w:t xml:space="preserve"> </w:t>
      </w:r>
      <w:r w:rsidRPr="00382917">
        <w:t>a</w:t>
      </w:r>
      <w:r w:rsidR="00EE4FC3">
        <w:t xml:space="preserve"> </w:t>
      </w:r>
      <w:r w:rsidRPr="00382917">
        <w:t>period</w:t>
      </w:r>
      <w:r w:rsidR="00EE4FC3">
        <w:t xml:space="preserve"> </w:t>
      </w:r>
      <w:r w:rsidRPr="00382917">
        <w:t>of</w:t>
      </w:r>
      <w:r w:rsidR="00EE4FC3">
        <w:t xml:space="preserve"> </w:t>
      </w:r>
      <w:r w:rsidRPr="00382917">
        <w:t>four</w:t>
      </w:r>
      <w:r w:rsidR="00EE4FC3">
        <w:t xml:space="preserve"> </w:t>
      </w:r>
      <w:r w:rsidRPr="00382917">
        <w:t>months.</w:t>
      </w:r>
    </w:p>
    <w:p w:rsidR="0054338F" w:rsidRPr="00382917" w:rsidRDefault="0054338F" w:rsidP="0009276A">
      <w:pPr>
        <w:pStyle w:val="Text"/>
      </w:pPr>
      <w:r w:rsidRPr="00382917">
        <w:t>Three</w:t>
      </w:r>
      <w:r w:rsidR="00EE4FC3">
        <w:t xml:space="preserve"> </w:t>
      </w:r>
      <w:r w:rsidRPr="00382917">
        <w:t>orders</w:t>
      </w:r>
      <w:r w:rsidR="00EE4FC3">
        <w:t xml:space="preserve"> </w:t>
      </w:r>
      <w:r w:rsidRPr="00382917">
        <w:t>to</w:t>
      </w:r>
      <w:r w:rsidR="00EE4FC3">
        <w:t xml:space="preserve"> </w:t>
      </w:r>
      <w:r w:rsidRPr="00382917">
        <w:t>slay</w:t>
      </w:r>
      <w:r w:rsidR="00EE4FC3">
        <w:t xml:space="preserve"> </w:t>
      </w:r>
      <w:r w:rsidRPr="00382917">
        <w:t>the</w:t>
      </w:r>
      <w:r w:rsidR="00EE4FC3">
        <w:t xml:space="preserve"> </w:t>
      </w:r>
      <w:r w:rsidRPr="00382917">
        <w:t>Báb</w:t>
      </w:r>
      <w:r w:rsidR="00EE4FC3">
        <w:t xml:space="preserve"> </w:t>
      </w:r>
      <w:r w:rsidRPr="00382917">
        <w:t>had</w:t>
      </w:r>
      <w:r w:rsidR="00EE4FC3">
        <w:t xml:space="preserve"> </w:t>
      </w:r>
      <w:r w:rsidRPr="00382917">
        <w:t>already</w:t>
      </w:r>
      <w:r w:rsidR="00EE4FC3">
        <w:t xml:space="preserve"> </w:t>
      </w:r>
      <w:r w:rsidRPr="00382917">
        <w:t>been</w:t>
      </w:r>
      <w:r w:rsidR="00EE4FC3">
        <w:t xml:space="preserve"> </w:t>
      </w:r>
      <w:r w:rsidRPr="00382917">
        <w:t>issued</w:t>
      </w:r>
      <w:r w:rsidR="00C03C91">
        <w:t>.</w:t>
      </w:r>
      <w:r w:rsidR="00EE4FC3">
        <w:t xml:space="preserve">  </w:t>
      </w:r>
      <w:r w:rsidRPr="00382917">
        <w:t>One</w:t>
      </w:r>
      <w:r w:rsidR="00EE4FC3">
        <w:t xml:space="preserve"> </w:t>
      </w:r>
      <w:r w:rsidRPr="00382917">
        <w:t>by</w:t>
      </w:r>
      <w:r w:rsidR="00EE4FC3">
        <w:t xml:space="preserve"> </w:t>
      </w:r>
      <w:r w:rsidRPr="00382917">
        <w:t>the</w:t>
      </w:r>
      <w:r w:rsidR="00EE4FC3">
        <w:t xml:space="preserve"> </w:t>
      </w:r>
      <w:r w:rsidRPr="00382917">
        <w:t>Prime</w:t>
      </w:r>
      <w:r w:rsidR="00EE4FC3">
        <w:t xml:space="preserve"> </w:t>
      </w:r>
      <w:r w:rsidRPr="00382917">
        <w:t>Minister,</w:t>
      </w:r>
      <w:r w:rsidR="00EE4FC3">
        <w:t xml:space="preserve"> </w:t>
      </w:r>
      <w:r w:rsidRPr="00382917">
        <w:t>one</w:t>
      </w:r>
      <w:r w:rsidR="00EE4FC3">
        <w:t xml:space="preserve"> </w:t>
      </w:r>
      <w:r w:rsidRPr="00382917">
        <w:t>by</w:t>
      </w:r>
      <w:r w:rsidR="00EE4FC3">
        <w:t xml:space="preserve"> </w:t>
      </w:r>
      <w:r w:rsidR="00964C11" w:rsidRPr="00382917">
        <w:t>Ḥusayn</w:t>
      </w:r>
      <w:r w:rsidR="00EE4FC3">
        <w:t xml:space="preserve"> </w:t>
      </w:r>
      <w:r w:rsidR="0040329F" w:rsidRPr="0040329F">
        <w:rPr>
          <w:u w:val="single"/>
        </w:rPr>
        <w:t>Kh</w:t>
      </w:r>
      <w:r w:rsidR="0040329F" w:rsidRPr="00382917">
        <w:t>án</w:t>
      </w:r>
      <w:r w:rsidRPr="00382917">
        <w:t>,</w:t>
      </w:r>
      <w:r w:rsidR="00EE4FC3">
        <w:t xml:space="preserve"> </w:t>
      </w:r>
      <w:r w:rsidRPr="00382917">
        <w:t>and</w:t>
      </w:r>
      <w:r w:rsidR="00EE4FC3">
        <w:t xml:space="preserve"> </w:t>
      </w:r>
      <w:r w:rsidRPr="00382917">
        <w:t>one</w:t>
      </w:r>
      <w:r w:rsidR="00EE4FC3">
        <w:t xml:space="preserve"> </w:t>
      </w:r>
      <w:r w:rsidRPr="00382917">
        <w:t>by</w:t>
      </w:r>
      <w:r w:rsidR="00EE4FC3">
        <w:t xml:space="preserve"> </w:t>
      </w:r>
      <w:r w:rsidRPr="00382917">
        <w:t>the</w:t>
      </w:r>
      <w:r w:rsidR="00EE4FC3">
        <w:t xml:space="preserve"> </w:t>
      </w:r>
      <w:r w:rsidRPr="00382917">
        <w:t>priests</w:t>
      </w:r>
      <w:r w:rsidR="00EE4FC3">
        <w:t xml:space="preserve"> </w:t>
      </w:r>
      <w:r w:rsidRPr="00382917">
        <w:t>of</w:t>
      </w:r>
    </w:p>
    <w:p w:rsidR="009D4E6D" w:rsidRPr="00382917" w:rsidRDefault="009D4E6D">
      <w:pPr>
        <w:widowControl/>
        <w:kinsoku/>
        <w:overflowPunct/>
        <w:textAlignment w:val="auto"/>
      </w:pPr>
      <w:r w:rsidRPr="00382917">
        <w:br w:type="page"/>
      </w:r>
    </w:p>
    <w:p w:rsidR="0054338F" w:rsidRPr="00382917" w:rsidRDefault="0054338F" w:rsidP="009D4E6D">
      <w:pPr>
        <w:pStyle w:val="Textcts"/>
      </w:pPr>
      <w:proofErr w:type="gramStart"/>
      <w:r w:rsidRPr="00382917">
        <w:t>Iṣf</w:t>
      </w:r>
      <w:r w:rsidR="009D4E6D" w:rsidRPr="00382917">
        <w:t>a</w:t>
      </w:r>
      <w:r w:rsidRPr="00382917">
        <w:t>hán</w:t>
      </w:r>
      <w:r w:rsidR="00C03C91">
        <w:t>.</w:t>
      </w:r>
      <w:proofErr w:type="gramEnd"/>
      <w:r w:rsidR="00EE4FC3">
        <w:t xml:space="preserve">  </w:t>
      </w:r>
      <w:r w:rsidRPr="00382917">
        <w:t>Each</w:t>
      </w:r>
      <w:r w:rsidR="00EE4FC3">
        <w:t xml:space="preserve"> </w:t>
      </w:r>
      <w:r w:rsidRPr="00382917">
        <w:t>had</w:t>
      </w:r>
      <w:r w:rsidR="00EE4FC3">
        <w:t xml:space="preserve"> </w:t>
      </w:r>
      <w:r w:rsidRPr="00382917">
        <w:t>failed</w:t>
      </w:r>
      <w:r w:rsidR="00C03C91">
        <w:t>.</w:t>
      </w:r>
      <w:r w:rsidR="00EE4FC3">
        <w:t xml:space="preserve">  </w:t>
      </w:r>
      <w:r w:rsidRPr="00382917">
        <w:t>It</w:t>
      </w:r>
      <w:r w:rsidR="00EE4FC3">
        <w:t xml:space="preserve"> </w:t>
      </w:r>
      <w:r w:rsidRPr="00382917">
        <w:t>had</w:t>
      </w:r>
      <w:r w:rsidR="00EE4FC3">
        <w:t xml:space="preserve"> </w:t>
      </w:r>
      <w:r w:rsidRPr="00382917">
        <w:t>been</w:t>
      </w:r>
      <w:r w:rsidR="00EE4FC3">
        <w:t xml:space="preserve"> </w:t>
      </w:r>
      <w:r w:rsidRPr="00382917">
        <w:t>exactly</w:t>
      </w:r>
      <w:r w:rsidR="00EE4FC3">
        <w:t xml:space="preserve"> </w:t>
      </w:r>
      <w:r w:rsidRPr="00382917">
        <w:t>as</w:t>
      </w:r>
      <w:r w:rsidR="00EE4FC3">
        <w:t xml:space="preserve"> </w:t>
      </w:r>
      <w:r w:rsidRPr="00382917">
        <w:t>the</w:t>
      </w:r>
      <w:r w:rsidR="00EE4FC3">
        <w:t xml:space="preserve"> </w:t>
      </w:r>
      <w:r w:rsidRPr="00382917">
        <w:t>Báb</w:t>
      </w:r>
      <w:r w:rsidR="00EE4FC3">
        <w:t xml:space="preserve"> </w:t>
      </w:r>
      <w:r w:rsidRPr="00382917">
        <w:t>had</w:t>
      </w:r>
      <w:r w:rsidR="00EE4FC3">
        <w:t xml:space="preserve"> </w:t>
      </w:r>
      <w:r w:rsidRPr="00382917">
        <w:t>told</w:t>
      </w:r>
      <w:r w:rsidR="00EE4FC3">
        <w:t xml:space="preserve"> </w:t>
      </w:r>
      <w:r w:rsidRPr="00382917">
        <w:t>the</w:t>
      </w:r>
      <w:r w:rsidR="00EE4FC3">
        <w:t xml:space="preserve"> </w:t>
      </w:r>
      <w:r w:rsidRPr="00382917">
        <w:t>military</w:t>
      </w:r>
      <w:r w:rsidR="00EE4FC3">
        <w:t xml:space="preserve"> </w:t>
      </w:r>
      <w:r w:rsidRPr="00382917">
        <w:t>escort</w:t>
      </w:r>
      <w:r w:rsidR="00EE4FC3">
        <w:t xml:space="preserve"> </w:t>
      </w:r>
      <w:r w:rsidRPr="00382917">
        <w:t>of</w:t>
      </w:r>
      <w:r w:rsidR="00EE4FC3">
        <w:t xml:space="preserve"> </w:t>
      </w:r>
      <w:r w:rsidR="00964C11" w:rsidRPr="00382917">
        <w:t>Ḥusayn</w:t>
      </w:r>
      <w:r w:rsidR="00EE4FC3">
        <w:t xml:space="preserve"> </w:t>
      </w:r>
      <w:r w:rsidR="0040329F" w:rsidRPr="0040329F">
        <w:rPr>
          <w:u w:val="single"/>
        </w:rPr>
        <w:t>Kh</w:t>
      </w:r>
      <w:r w:rsidR="0040329F" w:rsidRPr="00382917">
        <w:t>án</w:t>
      </w:r>
      <w:r w:rsidR="00EE4FC3">
        <w:t xml:space="preserve"> </w:t>
      </w:r>
      <w:r w:rsidRPr="00382917">
        <w:t>when</w:t>
      </w:r>
      <w:r w:rsidR="00EE4FC3">
        <w:t xml:space="preserve"> </w:t>
      </w:r>
      <w:r w:rsidRPr="00382917">
        <w:t>they</w:t>
      </w:r>
      <w:r w:rsidR="00EE4FC3">
        <w:t xml:space="preserve"> </w:t>
      </w:r>
      <w:r w:rsidRPr="00382917">
        <w:t>had</w:t>
      </w:r>
      <w:r w:rsidR="00EE4FC3">
        <w:t xml:space="preserve"> </w:t>
      </w:r>
      <w:r w:rsidRPr="00382917">
        <w:t>come</w:t>
      </w:r>
      <w:r w:rsidR="00EE4FC3">
        <w:t xml:space="preserve"> </w:t>
      </w:r>
      <w:r w:rsidRPr="00382917">
        <w:t>to</w:t>
      </w:r>
      <w:r w:rsidR="00EE4FC3">
        <w:t xml:space="preserve"> </w:t>
      </w:r>
      <w:r w:rsidRPr="00382917">
        <w:t>arrest</w:t>
      </w:r>
      <w:r w:rsidR="00EE4FC3">
        <w:t xml:space="preserve"> </w:t>
      </w:r>
      <w:r w:rsidRPr="00382917">
        <w:t>Him</w:t>
      </w:r>
      <w:r w:rsidR="00EE4FC3">
        <w:t xml:space="preserve"> </w:t>
      </w:r>
      <w:r w:rsidRPr="00382917">
        <w:t>on</w:t>
      </w:r>
      <w:r w:rsidR="00EE4FC3">
        <w:t xml:space="preserve"> </w:t>
      </w:r>
      <w:r w:rsidRPr="00382917">
        <w:t>the</w:t>
      </w:r>
      <w:r w:rsidR="00EE4FC3">
        <w:t xml:space="preserve"> </w:t>
      </w:r>
      <w:r w:rsidRPr="00382917">
        <w:t>way</w:t>
      </w:r>
      <w:r w:rsidR="00EE4FC3">
        <w:t xml:space="preserve"> </w:t>
      </w:r>
      <w:r w:rsidRPr="00382917">
        <w:t>from</w:t>
      </w:r>
      <w:r w:rsidR="00EE4FC3">
        <w:t xml:space="preserve"> </w:t>
      </w:r>
      <w:r w:rsidR="00CE7A86" w:rsidRPr="00382917">
        <w:t>Bú</w:t>
      </w:r>
      <w:r w:rsidR="00CE7A86" w:rsidRPr="00CE7A86">
        <w:rPr>
          <w:u w:val="single"/>
        </w:rPr>
        <w:t>sh</w:t>
      </w:r>
      <w:r w:rsidR="00CE7A86" w:rsidRPr="00382917">
        <w:t>ihr</w:t>
      </w:r>
      <w:r w:rsidRPr="00382917">
        <w:t>:</w:t>
      </w:r>
    </w:p>
    <w:p w:rsidR="0054338F" w:rsidRPr="00382917" w:rsidRDefault="009C713D" w:rsidP="009D4E6D">
      <w:pPr>
        <w:pStyle w:val="Text"/>
      </w:pPr>
      <w:r w:rsidRPr="00382917">
        <w:t>“</w:t>
      </w:r>
      <w:r w:rsidR="0054338F" w:rsidRPr="00382917">
        <w:t>No</w:t>
      </w:r>
      <w:r w:rsidR="00EE4FC3">
        <w:t xml:space="preserve"> </w:t>
      </w:r>
      <w:r w:rsidR="0054338F" w:rsidRPr="00382917">
        <w:t>one</w:t>
      </w:r>
      <w:r w:rsidR="00EE4FC3">
        <w:t xml:space="preserve"> </w:t>
      </w:r>
      <w:r w:rsidR="0054338F" w:rsidRPr="00382917">
        <w:t>knows</w:t>
      </w:r>
      <w:r w:rsidR="00EE4FC3">
        <w:t xml:space="preserve"> </w:t>
      </w:r>
      <w:r w:rsidR="0054338F" w:rsidRPr="00382917">
        <w:t>the</w:t>
      </w:r>
      <w:r w:rsidR="00EE4FC3">
        <w:t xml:space="preserve"> </w:t>
      </w:r>
      <w:r w:rsidR="0054338F" w:rsidRPr="00382917">
        <w:t>mystery</w:t>
      </w:r>
      <w:r w:rsidR="00EE4FC3">
        <w:t xml:space="preserve"> </w:t>
      </w:r>
      <w:r w:rsidR="0054338F" w:rsidRPr="00382917">
        <w:t>of</w:t>
      </w:r>
      <w:r w:rsidR="00EE4FC3">
        <w:t xml:space="preserve"> </w:t>
      </w:r>
      <w:r w:rsidR="0054338F" w:rsidRPr="00382917">
        <w:t>My</w:t>
      </w:r>
      <w:r w:rsidR="00EE4FC3">
        <w:t xml:space="preserve"> </w:t>
      </w:r>
      <w:r w:rsidR="0054338F" w:rsidRPr="00382917">
        <w:t>Cause</w:t>
      </w:r>
      <w:r w:rsidR="00C03C91">
        <w:t>.</w:t>
      </w:r>
      <w:r w:rsidR="00EE4FC3">
        <w:t xml:space="preserve">  </w:t>
      </w:r>
      <w:r w:rsidR="0054338F" w:rsidRPr="00382917">
        <w:t>No</w:t>
      </w:r>
      <w:r w:rsidR="00EE4FC3">
        <w:t xml:space="preserve"> </w:t>
      </w:r>
      <w:r w:rsidR="0054338F" w:rsidRPr="00382917">
        <w:t>one</w:t>
      </w:r>
      <w:r w:rsidR="00EE4FC3">
        <w:t xml:space="preserve"> </w:t>
      </w:r>
      <w:r w:rsidR="0054338F" w:rsidRPr="00382917">
        <w:t>can</w:t>
      </w:r>
      <w:r w:rsidR="00EE4FC3">
        <w:t xml:space="preserve"> </w:t>
      </w:r>
      <w:r w:rsidR="0054338F" w:rsidRPr="00382917">
        <w:t>fathom</w:t>
      </w:r>
      <w:r w:rsidR="00EE4FC3">
        <w:t xml:space="preserve"> </w:t>
      </w:r>
      <w:r w:rsidR="0054338F" w:rsidRPr="00382917">
        <w:t>its</w:t>
      </w:r>
      <w:r w:rsidR="00EE4FC3">
        <w:t xml:space="preserve"> </w:t>
      </w:r>
      <w:r w:rsidR="0054338F" w:rsidRPr="00382917">
        <w:t>secrets</w:t>
      </w:r>
      <w:r w:rsidR="00C03C91">
        <w:t>.</w:t>
      </w:r>
      <w:r w:rsidR="00EE4FC3">
        <w:t xml:space="preserve">  </w:t>
      </w:r>
      <w:r w:rsidR="0054338F" w:rsidRPr="00382917">
        <w:t>Until</w:t>
      </w:r>
      <w:r w:rsidR="00EE4FC3">
        <w:t xml:space="preserve"> </w:t>
      </w:r>
      <w:r w:rsidR="0054338F" w:rsidRPr="00382917">
        <w:t>My</w:t>
      </w:r>
      <w:r w:rsidR="00EE4FC3">
        <w:t xml:space="preserve"> </w:t>
      </w:r>
      <w:r w:rsidR="0054338F" w:rsidRPr="00382917">
        <w:t>last</w:t>
      </w:r>
      <w:r w:rsidR="00EE4FC3">
        <w:t xml:space="preserve"> </w:t>
      </w:r>
      <w:r w:rsidR="0054338F" w:rsidRPr="00382917">
        <w:t>hour</w:t>
      </w:r>
      <w:r w:rsidR="00EE4FC3">
        <w:t xml:space="preserve"> </w:t>
      </w:r>
      <w:r w:rsidR="0054338F" w:rsidRPr="00382917">
        <w:t>has</w:t>
      </w:r>
      <w:r w:rsidR="00EE4FC3">
        <w:t xml:space="preserve"> </w:t>
      </w:r>
      <w:r w:rsidR="0054338F" w:rsidRPr="00382917">
        <w:t>come,</w:t>
      </w:r>
      <w:r w:rsidR="00EE4FC3">
        <w:t xml:space="preserve"> </w:t>
      </w:r>
      <w:r w:rsidR="0054338F" w:rsidRPr="00382917">
        <w:t>none</w:t>
      </w:r>
      <w:r w:rsidR="00EE4FC3">
        <w:t xml:space="preserve"> </w:t>
      </w:r>
      <w:r w:rsidR="0054338F" w:rsidRPr="00382917">
        <w:t>can</w:t>
      </w:r>
      <w:r w:rsidR="00EE4FC3">
        <w:t xml:space="preserve"> </w:t>
      </w:r>
      <w:r w:rsidR="0054338F" w:rsidRPr="00382917">
        <w:t>frustrate</w:t>
      </w:r>
      <w:r w:rsidR="00EE4FC3">
        <w:t xml:space="preserve"> </w:t>
      </w:r>
      <w:r w:rsidR="0054338F" w:rsidRPr="00382917">
        <w:t>the</w:t>
      </w:r>
      <w:r w:rsidR="00EE4FC3">
        <w:t xml:space="preserve"> </w:t>
      </w:r>
      <w:r w:rsidR="0054338F" w:rsidRPr="00382917">
        <w:t>plan</w:t>
      </w:r>
      <w:r w:rsidR="00EE4FC3">
        <w:t xml:space="preserve"> </w:t>
      </w:r>
      <w:r w:rsidR="0054338F" w:rsidRPr="00382917">
        <w:t>of</w:t>
      </w:r>
      <w:r w:rsidR="00EE4FC3">
        <w:t xml:space="preserve"> </w:t>
      </w:r>
      <w:r w:rsidR="0054338F" w:rsidRPr="00382917">
        <w:t>the</w:t>
      </w:r>
      <w:r w:rsidR="00EE4FC3">
        <w:t xml:space="preserve"> </w:t>
      </w:r>
      <w:r w:rsidR="0054338F" w:rsidRPr="00382917">
        <w:t>Almighty.</w:t>
      </w:r>
      <w:r w:rsidRPr="00382917">
        <w:t>”</w:t>
      </w:r>
    </w:p>
    <w:p w:rsidR="0054338F" w:rsidRPr="00382917" w:rsidRDefault="0054338F" w:rsidP="009D4E6D">
      <w:pPr>
        <w:pStyle w:val="Text"/>
      </w:pPr>
      <w:r w:rsidRPr="00382917">
        <w:t>One</w:t>
      </w:r>
      <w:r w:rsidR="00EE4FC3">
        <w:t xml:space="preserve"> </w:t>
      </w:r>
      <w:r w:rsidRPr="00382917">
        <w:t>day,</w:t>
      </w:r>
      <w:r w:rsidR="00EE4FC3">
        <w:t xml:space="preserve"> </w:t>
      </w:r>
      <w:r w:rsidRPr="00382917">
        <w:t>while</w:t>
      </w:r>
      <w:r w:rsidR="00EE4FC3">
        <w:t xml:space="preserve"> </w:t>
      </w:r>
      <w:r w:rsidRPr="00382917">
        <w:t>the</w:t>
      </w:r>
      <w:r w:rsidR="00EE4FC3">
        <w:t xml:space="preserve"> </w:t>
      </w:r>
      <w:r w:rsidRPr="00382917">
        <w:t>Báb</w:t>
      </w:r>
      <w:r w:rsidR="00EE4FC3">
        <w:t xml:space="preserve"> </w:t>
      </w:r>
      <w:r w:rsidRPr="00382917">
        <w:t>was</w:t>
      </w:r>
      <w:r w:rsidR="00EE4FC3">
        <w:t xml:space="preserve"> </w:t>
      </w:r>
      <w:r w:rsidRPr="00382917">
        <w:t>seated</w:t>
      </w:r>
      <w:r w:rsidR="00EE4FC3">
        <w:t xml:space="preserve"> </w:t>
      </w:r>
      <w:r w:rsidRPr="00382917">
        <w:t>in</w:t>
      </w:r>
      <w:r w:rsidR="00EE4FC3">
        <w:t xml:space="preserve"> </w:t>
      </w:r>
      <w:r w:rsidRPr="00382917">
        <w:t>the</w:t>
      </w:r>
      <w:r w:rsidR="00EE4FC3">
        <w:t xml:space="preserve"> </w:t>
      </w:r>
      <w:r w:rsidRPr="00382917">
        <w:t>private</w:t>
      </w:r>
      <w:r w:rsidR="00EE4FC3">
        <w:t xml:space="preserve"> </w:t>
      </w:r>
      <w:r w:rsidRPr="00382917">
        <w:t>garden</w:t>
      </w:r>
      <w:r w:rsidR="00EE4FC3">
        <w:t xml:space="preserve"> </w:t>
      </w:r>
      <w:r w:rsidRPr="00382917">
        <w:t>of</w:t>
      </w:r>
      <w:r w:rsidR="00EE4FC3">
        <w:t xml:space="preserve"> </w:t>
      </w:r>
      <w:r w:rsidRPr="00382917">
        <w:t>the</w:t>
      </w:r>
      <w:r w:rsidR="00EE4FC3">
        <w:t xml:space="preserve"> </w:t>
      </w:r>
      <w:r w:rsidRPr="00382917">
        <w:t>governor,</w:t>
      </w:r>
      <w:r w:rsidR="00EE4FC3">
        <w:t xml:space="preserve"> </w:t>
      </w:r>
      <w:r w:rsidR="0040329F" w:rsidRPr="00382917">
        <w:t>Manú</w:t>
      </w:r>
      <w:r w:rsidR="0040329F" w:rsidRPr="0040329F">
        <w:rPr>
          <w:u w:val="single"/>
        </w:rPr>
        <w:t>ch</w:t>
      </w:r>
      <w:r w:rsidR="0040329F" w:rsidRPr="00382917">
        <w:t>ihr</w:t>
      </w:r>
      <w:r w:rsidR="00EE4FC3">
        <w:t xml:space="preserve"> </w:t>
      </w:r>
      <w:r w:rsidR="0040329F" w:rsidRPr="0040329F">
        <w:rPr>
          <w:u w:val="single"/>
        </w:rPr>
        <w:t>Kh</w:t>
      </w:r>
      <w:r w:rsidR="0040329F" w:rsidRPr="00382917">
        <w:t>án</w:t>
      </w:r>
      <w:r w:rsidR="00EE4FC3">
        <w:t xml:space="preserve"> </w:t>
      </w:r>
      <w:r w:rsidRPr="00382917">
        <w:t>approached</w:t>
      </w:r>
      <w:r w:rsidR="00EE4FC3">
        <w:t xml:space="preserve"> </w:t>
      </w:r>
      <w:r w:rsidRPr="00382917">
        <w:t>Him</w:t>
      </w:r>
      <w:r w:rsidR="00C03C91">
        <w:t>.</w:t>
      </w:r>
      <w:r w:rsidR="00EE4FC3">
        <w:t xml:space="preserve">  </w:t>
      </w:r>
      <w:r w:rsidRPr="00382917">
        <w:t>He</w:t>
      </w:r>
      <w:r w:rsidR="00EE4FC3">
        <w:t xml:space="preserve"> </w:t>
      </w:r>
      <w:r w:rsidRPr="00382917">
        <w:t>said,</w:t>
      </w:r>
      <w:r w:rsidR="00EE4FC3">
        <w:t xml:space="preserve"> </w:t>
      </w:r>
      <w:r w:rsidR="009C713D" w:rsidRPr="00382917">
        <w:t>“</w:t>
      </w:r>
      <w:r w:rsidRPr="00382917">
        <w:t>The</w:t>
      </w:r>
      <w:r w:rsidR="00EE4FC3">
        <w:t xml:space="preserve"> </w:t>
      </w:r>
      <w:r w:rsidRPr="00382917">
        <w:t>Almighty</w:t>
      </w:r>
      <w:r w:rsidR="00EE4FC3">
        <w:t xml:space="preserve"> </w:t>
      </w:r>
      <w:r w:rsidRPr="00382917">
        <w:t>has</w:t>
      </w:r>
      <w:r w:rsidR="00EE4FC3">
        <w:t xml:space="preserve"> </w:t>
      </w:r>
      <w:r w:rsidRPr="00382917">
        <w:t>endowed</w:t>
      </w:r>
      <w:r w:rsidR="00EE4FC3">
        <w:t xml:space="preserve"> </w:t>
      </w:r>
      <w:r w:rsidRPr="00382917">
        <w:t>me</w:t>
      </w:r>
      <w:r w:rsidR="00EE4FC3">
        <w:t xml:space="preserve"> </w:t>
      </w:r>
      <w:r w:rsidRPr="00382917">
        <w:t>with</w:t>
      </w:r>
      <w:r w:rsidR="00EE4FC3">
        <w:t xml:space="preserve"> </w:t>
      </w:r>
      <w:r w:rsidRPr="00382917">
        <w:t>great</w:t>
      </w:r>
      <w:r w:rsidR="00EE4FC3">
        <w:t xml:space="preserve"> </w:t>
      </w:r>
      <w:r w:rsidRPr="00382917">
        <w:t>riches</w:t>
      </w:r>
      <w:r w:rsidR="00C03C91">
        <w:t>.</w:t>
      </w:r>
      <w:r w:rsidR="00EE4FC3">
        <w:t xml:space="preserve">  </w:t>
      </w:r>
      <w:r w:rsidRPr="00382917">
        <w:t>Now</w:t>
      </w:r>
      <w:r w:rsidR="00EE4FC3">
        <w:t xml:space="preserve"> </w:t>
      </w:r>
      <w:r w:rsidRPr="00382917">
        <w:t>that</w:t>
      </w:r>
      <w:r w:rsidR="00EE4FC3">
        <w:t xml:space="preserve"> </w:t>
      </w:r>
      <w:r w:rsidRPr="00382917">
        <w:t>I</w:t>
      </w:r>
      <w:r w:rsidR="00EE4FC3">
        <w:t xml:space="preserve"> </w:t>
      </w:r>
      <w:r w:rsidRPr="00382917">
        <w:t>have</w:t>
      </w:r>
      <w:r w:rsidR="00EE4FC3">
        <w:t xml:space="preserve"> </w:t>
      </w:r>
      <w:r w:rsidRPr="00382917">
        <w:t>recognized</w:t>
      </w:r>
      <w:r w:rsidR="00EE4FC3">
        <w:t xml:space="preserve"> </w:t>
      </w:r>
      <w:r w:rsidRPr="00382917">
        <w:t>the</w:t>
      </w:r>
      <w:r w:rsidR="00EE4FC3">
        <w:t xml:space="preserve"> </w:t>
      </w:r>
      <w:r w:rsidRPr="00382917">
        <w:t>truth</w:t>
      </w:r>
      <w:r w:rsidR="00EE4FC3">
        <w:t xml:space="preserve"> </w:t>
      </w:r>
      <w:r w:rsidRPr="00382917">
        <w:t>of</w:t>
      </w:r>
      <w:r w:rsidR="00EE4FC3">
        <w:t xml:space="preserve"> </w:t>
      </w:r>
      <w:r w:rsidRPr="00382917">
        <w:t>your</w:t>
      </w:r>
      <w:r w:rsidR="00EE4FC3">
        <w:t xml:space="preserve"> </w:t>
      </w:r>
      <w:r w:rsidRPr="00382917">
        <w:t>Message,</w:t>
      </w:r>
      <w:r w:rsidR="00EE4FC3">
        <w:t xml:space="preserve"> </w:t>
      </w:r>
      <w:r w:rsidRPr="00382917">
        <w:t>I</w:t>
      </w:r>
      <w:r w:rsidR="00EE4FC3">
        <w:t xml:space="preserve"> </w:t>
      </w:r>
      <w:r w:rsidRPr="00382917">
        <w:t>desire</w:t>
      </w:r>
      <w:r w:rsidR="00EE4FC3">
        <w:t xml:space="preserve"> </w:t>
      </w:r>
      <w:r w:rsidRPr="00382917">
        <w:t>to</w:t>
      </w:r>
      <w:r w:rsidR="00EE4FC3">
        <w:t xml:space="preserve"> </w:t>
      </w:r>
      <w:r w:rsidRPr="00382917">
        <w:t>offer</w:t>
      </w:r>
      <w:r w:rsidR="00EE4FC3">
        <w:t xml:space="preserve"> </w:t>
      </w:r>
      <w:r w:rsidRPr="00382917">
        <w:t>all</w:t>
      </w:r>
      <w:r w:rsidR="00EE4FC3">
        <w:t xml:space="preserve"> </w:t>
      </w:r>
      <w:r w:rsidRPr="00382917">
        <w:t>of</w:t>
      </w:r>
      <w:r w:rsidR="00EE4FC3">
        <w:t xml:space="preserve"> </w:t>
      </w:r>
      <w:r w:rsidRPr="00382917">
        <w:t>my</w:t>
      </w:r>
      <w:r w:rsidR="00EE4FC3">
        <w:t xml:space="preserve"> </w:t>
      </w:r>
      <w:r w:rsidRPr="00382917">
        <w:t>possessions</w:t>
      </w:r>
      <w:r w:rsidR="00EE4FC3">
        <w:t xml:space="preserve"> </w:t>
      </w:r>
      <w:r w:rsidRPr="00382917">
        <w:t>to</w:t>
      </w:r>
      <w:r w:rsidR="00EE4FC3">
        <w:t xml:space="preserve"> </w:t>
      </w:r>
      <w:r w:rsidRPr="00382917">
        <w:t>further</w:t>
      </w:r>
      <w:r w:rsidR="00EE4FC3">
        <w:t xml:space="preserve"> </w:t>
      </w:r>
      <w:r w:rsidRPr="00382917">
        <w:t>the</w:t>
      </w:r>
      <w:r w:rsidR="00EE4FC3">
        <w:t xml:space="preserve"> </w:t>
      </w:r>
      <w:r w:rsidRPr="00382917">
        <w:t>interests</w:t>
      </w:r>
      <w:r w:rsidR="00EE4FC3">
        <w:t xml:space="preserve"> </w:t>
      </w:r>
      <w:r w:rsidRPr="00382917">
        <w:t>of</w:t>
      </w:r>
      <w:r w:rsidR="00EE4FC3">
        <w:t xml:space="preserve"> </w:t>
      </w:r>
      <w:r w:rsidRPr="00382917">
        <w:t>this</w:t>
      </w:r>
      <w:r w:rsidR="00EE4FC3">
        <w:t xml:space="preserve"> </w:t>
      </w:r>
      <w:r w:rsidRPr="00382917">
        <w:t>Faith.</w:t>
      </w:r>
      <w:r w:rsidR="009C713D" w:rsidRPr="00382917">
        <w:t>”</w:t>
      </w:r>
    </w:p>
    <w:p w:rsidR="0054338F" w:rsidRPr="00382917" w:rsidRDefault="0040329F" w:rsidP="009D4E6D">
      <w:pPr>
        <w:pStyle w:val="Text"/>
      </w:pPr>
      <w:r w:rsidRPr="00382917">
        <w:t>Manú</w:t>
      </w:r>
      <w:r w:rsidRPr="0040329F">
        <w:rPr>
          <w:u w:val="single"/>
        </w:rPr>
        <w:t>ch</w:t>
      </w:r>
      <w:r w:rsidRPr="00382917">
        <w:t>ihr</w:t>
      </w:r>
      <w:r w:rsidR="00EE4FC3">
        <w:t xml:space="preserve"> </w:t>
      </w:r>
      <w:r w:rsidRPr="0040329F">
        <w:rPr>
          <w:u w:val="single"/>
        </w:rPr>
        <w:t>Kh</w:t>
      </w:r>
      <w:r w:rsidRPr="00382917">
        <w:t>án</w:t>
      </w:r>
      <w:r w:rsidR="00EE4FC3">
        <w:t xml:space="preserve"> </w:t>
      </w:r>
      <w:r w:rsidR="0054338F" w:rsidRPr="00382917">
        <w:t>had</w:t>
      </w:r>
      <w:r w:rsidR="00EE4FC3">
        <w:t xml:space="preserve"> </w:t>
      </w:r>
      <w:r w:rsidR="0054338F" w:rsidRPr="00382917">
        <w:t>a</w:t>
      </w:r>
      <w:r w:rsidR="00EE4FC3">
        <w:t xml:space="preserve"> </w:t>
      </w:r>
      <w:r w:rsidR="0054338F" w:rsidRPr="00382917">
        <w:t>plan</w:t>
      </w:r>
      <w:r w:rsidR="00EE4FC3">
        <w:t xml:space="preserve"> </w:t>
      </w:r>
      <w:r w:rsidR="0054338F" w:rsidRPr="00382917">
        <w:t>already</w:t>
      </w:r>
      <w:r w:rsidR="00EE4FC3">
        <w:t xml:space="preserve"> </w:t>
      </w:r>
      <w:r w:rsidR="0054338F" w:rsidRPr="00382917">
        <w:t>devised</w:t>
      </w:r>
      <w:r w:rsidR="00C03C91">
        <w:t>.</w:t>
      </w:r>
      <w:r w:rsidR="00EE4FC3">
        <w:t xml:space="preserve">  </w:t>
      </w:r>
      <w:r w:rsidR="009C713D" w:rsidRPr="00382917">
        <w:t>“</w:t>
      </w:r>
      <w:r w:rsidR="0054338F" w:rsidRPr="00382917">
        <w:t>It</w:t>
      </w:r>
      <w:r w:rsidR="00EE4FC3">
        <w:t xml:space="preserve"> </w:t>
      </w:r>
      <w:r w:rsidR="0054338F" w:rsidRPr="00382917">
        <w:t>is</w:t>
      </w:r>
      <w:r w:rsidR="00EE4FC3">
        <w:t xml:space="preserve"> </w:t>
      </w:r>
      <w:r w:rsidR="0054338F" w:rsidRPr="00382917">
        <w:t>my</w:t>
      </w:r>
      <w:r w:rsidR="00EE4FC3">
        <w:t xml:space="preserve"> </w:t>
      </w:r>
      <w:r w:rsidR="0054338F" w:rsidRPr="00382917">
        <w:t>intention,</w:t>
      </w:r>
      <w:r w:rsidR="009C713D" w:rsidRPr="00382917">
        <w:t>”</w:t>
      </w:r>
      <w:r w:rsidR="00EE4FC3">
        <w:t xml:space="preserve"> </w:t>
      </w:r>
      <w:r w:rsidR="0054338F" w:rsidRPr="00382917">
        <w:t>he</w:t>
      </w:r>
      <w:r w:rsidR="00EE4FC3">
        <w:t xml:space="preserve"> </w:t>
      </w:r>
      <w:r w:rsidR="0054338F" w:rsidRPr="00382917">
        <w:t>told</w:t>
      </w:r>
      <w:r w:rsidR="00EE4FC3">
        <w:t xml:space="preserve"> </w:t>
      </w:r>
      <w:r w:rsidR="0054338F" w:rsidRPr="00382917">
        <w:t>the</w:t>
      </w:r>
      <w:r w:rsidR="00EE4FC3">
        <w:t xml:space="preserve"> </w:t>
      </w:r>
      <w:r w:rsidR="0054338F" w:rsidRPr="00382917">
        <w:t>Báb,</w:t>
      </w:r>
      <w:r w:rsidR="00EE4FC3">
        <w:t xml:space="preserve"> </w:t>
      </w:r>
      <w:r w:rsidR="009C713D" w:rsidRPr="00382917">
        <w:t>“</w:t>
      </w:r>
      <w:r w:rsidR="0054338F" w:rsidRPr="00382917">
        <w:t>to</w:t>
      </w:r>
      <w:r w:rsidR="00EE4FC3">
        <w:t xml:space="preserve"> </w:t>
      </w:r>
      <w:r w:rsidR="0054338F" w:rsidRPr="00382917">
        <w:t>go</w:t>
      </w:r>
      <w:r w:rsidR="00EE4FC3">
        <w:t xml:space="preserve"> </w:t>
      </w:r>
      <w:r w:rsidR="0054338F" w:rsidRPr="00382917">
        <w:t>at</w:t>
      </w:r>
      <w:r w:rsidR="00EE4FC3">
        <w:t xml:space="preserve"> </w:t>
      </w:r>
      <w:r w:rsidR="0054338F" w:rsidRPr="00382917">
        <w:t>once</w:t>
      </w:r>
      <w:r w:rsidR="00EE4FC3">
        <w:t xml:space="preserve"> </w:t>
      </w:r>
      <w:r w:rsidR="0054338F" w:rsidRPr="00382917">
        <w:t>to</w:t>
      </w:r>
      <w:r w:rsidR="00EE4FC3">
        <w:t xml:space="preserve"> </w:t>
      </w:r>
      <w:r w:rsidR="0054338F" w:rsidRPr="00382917">
        <w:t>Ṭihrán</w:t>
      </w:r>
      <w:r w:rsidR="00EE4FC3">
        <w:t xml:space="preserve"> </w:t>
      </w:r>
      <w:r w:rsidR="0054338F" w:rsidRPr="00382917">
        <w:t>and</w:t>
      </w:r>
      <w:r w:rsidR="00EE4FC3">
        <w:t xml:space="preserve"> </w:t>
      </w:r>
      <w:r w:rsidR="0054338F" w:rsidRPr="00382917">
        <w:t>do</w:t>
      </w:r>
      <w:r w:rsidR="00EE4FC3">
        <w:t xml:space="preserve"> </w:t>
      </w:r>
      <w:r w:rsidR="0054338F" w:rsidRPr="00382917">
        <w:t>my</w:t>
      </w:r>
      <w:r w:rsidR="00EE4FC3">
        <w:t xml:space="preserve"> </w:t>
      </w:r>
      <w:r w:rsidR="0054338F" w:rsidRPr="00382917">
        <w:t>best</w:t>
      </w:r>
      <w:r w:rsidR="00EE4FC3">
        <w:t xml:space="preserve"> </w:t>
      </w:r>
      <w:r w:rsidR="0054338F" w:rsidRPr="00382917">
        <w:t>to</w:t>
      </w:r>
      <w:r w:rsidR="00EE4FC3">
        <w:t xml:space="preserve"> </w:t>
      </w:r>
      <w:r w:rsidR="0054338F" w:rsidRPr="00382917">
        <w:t>win</w:t>
      </w:r>
      <w:r w:rsidR="00EE4FC3">
        <w:t xml:space="preserve"> </w:t>
      </w:r>
      <w:r w:rsidR="0054338F" w:rsidRPr="00382917">
        <w:t>over</w:t>
      </w:r>
      <w:r w:rsidR="00EE4FC3">
        <w:t xml:space="preserve"> </w:t>
      </w:r>
      <w:r w:rsidR="0054338F" w:rsidRPr="00382917">
        <w:t>the</w:t>
      </w:r>
      <w:r w:rsidR="00EE4FC3">
        <w:t xml:space="preserve"> </w:t>
      </w:r>
      <w:r w:rsidR="0054338F" w:rsidRPr="00382917">
        <w:t>king</w:t>
      </w:r>
      <w:r w:rsidR="00C03C91">
        <w:t>.</w:t>
      </w:r>
      <w:r w:rsidR="00EE4FC3">
        <w:t xml:space="preserve">  </w:t>
      </w:r>
      <w:r w:rsidR="0054338F" w:rsidRPr="00382917">
        <w:t>His</w:t>
      </w:r>
      <w:r w:rsidR="00EE4FC3">
        <w:t xml:space="preserve"> </w:t>
      </w:r>
      <w:r w:rsidR="0054338F" w:rsidRPr="00382917">
        <w:t>confidence</w:t>
      </w:r>
      <w:r w:rsidR="00EE4FC3">
        <w:t xml:space="preserve"> </w:t>
      </w:r>
      <w:r w:rsidR="0054338F" w:rsidRPr="00382917">
        <w:t>in</w:t>
      </w:r>
      <w:r w:rsidR="00EE4FC3">
        <w:t xml:space="preserve"> </w:t>
      </w:r>
      <w:r w:rsidR="0054338F" w:rsidRPr="00382917">
        <w:t>me</w:t>
      </w:r>
      <w:r w:rsidR="00EE4FC3">
        <w:t xml:space="preserve"> </w:t>
      </w:r>
      <w:r w:rsidR="0054338F" w:rsidRPr="00382917">
        <w:t>is</w:t>
      </w:r>
      <w:r w:rsidR="00EE4FC3">
        <w:t xml:space="preserve"> </w:t>
      </w:r>
      <w:r w:rsidR="0054338F" w:rsidRPr="00382917">
        <w:t>firm</w:t>
      </w:r>
      <w:r w:rsidR="00EE4FC3">
        <w:t xml:space="preserve"> </w:t>
      </w:r>
      <w:r w:rsidR="0054338F" w:rsidRPr="00382917">
        <w:t>and</w:t>
      </w:r>
      <w:r w:rsidR="00EE4FC3">
        <w:t xml:space="preserve"> </w:t>
      </w:r>
      <w:r w:rsidR="0054338F" w:rsidRPr="00382917">
        <w:t>unshaken</w:t>
      </w:r>
      <w:r w:rsidR="00EE4FC3">
        <w:t xml:space="preserve"> </w:t>
      </w:r>
      <w:r w:rsidR="0054338F" w:rsidRPr="00382917">
        <w:t>in</w:t>
      </w:r>
      <w:r w:rsidR="00EE4FC3">
        <w:t xml:space="preserve"> </w:t>
      </w:r>
      <w:r w:rsidR="0054338F" w:rsidRPr="00382917">
        <w:t>spite</w:t>
      </w:r>
      <w:r w:rsidR="00EE4FC3">
        <w:t xml:space="preserve"> </w:t>
      </w:r>
      <w:r w:rsidR="0054338F" w:rsidRPr="00382917">
        <w:t>of</w:t>
      </w:r>
      <w:r w:rsidR="00EE4FC3">
        <w:t xml:space="preserve"> </w:t>
      </w:r>
      <w:r w:rsidR="0054338F" w:rsidRPr="00382917">
        <w:t>the</w:t>
      </w:r>
      <w:r w:rsidR="00EE4FC3">
        <w:t xml:space="preserve"> </w:t>
      </w:r>
      <w:r w:rsidR="0054338F" w:rsidRPr="00382917">
        <w:t>Prime</w:t>
      </w:r>
      <w:r w:rsidR="00EE4FC3">
        <w:t xml:space="preserve"> </w:t>
      </w:r>
      <w:r w:rsidR="0054338F" w:rsidRPr="00382917">
        <w:t>Minister</w:t>
      </w:r>
      <w:r w:rsidR="00C03C91">
        <w:t>.</w:t>
      </w:r>
      <w:r w:rsidR="00EE4FC3">
        <w:t xml:space="preserve">  </w:t>
      </w:r>
      <w:r w:rsidR="0054338F" w:rsidRPr="00382917">
        <w:t>I</w:t>
      </w:r>
      <w:r w:rsidR="00EE4FC3">
        <w:t xml:space="preserve"> </w:t>
      </w:r>
      <w:r w:rsidR="0054338F" w:rsidRPr="00382917">
        <w:t>am</w:t>
      </w:r>
      <w:r w:rsidR="00EE4FC3">
        <w:t xml:space="preserve"> </w:t>
      </w:r>
      <w:r w:rsidR="0054338F" w:rsidRPr="00382917">
        <w:t>certain</w:t>
      </w:r>
      <w:r w:rsidR="00EE4FC3">
        <w:t xml:space="preserve"> </w:t>
      </w:r>
      <w:r w:rsidR="0054338F" w:rsidRPr="00382917">
        <w:t>that</w:t>
      </w:r>
      <w:r w:rsidR="00EE4FC3">
        <w:t xml:space="preserve"> </w:t>
      </w:r>
      <w:r w:rsidR="0054338F" w:rsidRPr="00382917">
        <w:t>he</w:t>
      </w:r>
      <w:r w:rsidR="00EE4FC3">
        <w:t xml:space="preserve"> </w:t>
      </w:r>
      <w:r w:rsidR="0054338F" w:rsidRPr="00382917">
        <w:t>will</w:t>
      </w:r>
      <w:r w:rsidR="00EE4FC3">
        <w:t xml:space="preserve"> </w:t>
      </w:r>
      <w:r w:rsidR="0054338F" w:rsidRPr="00382917">
        <w:t>embrace</w:t>
      </w:r>
      <w:r w:rsidR="00EE4FC3">
        <w:t xml:space="preserve"> </w:t>
      </w:r>
      <w:r w:rsidR="0054338F" w:rsidRPr="00382917">
        <w:t>this</w:t>
      </w:r>
      <w:r w:rsidR="00EE4FC3">
        <w:t xml:space="preserve"> </w:t>
      </w:r>
      <w:r w:rsidR="0054338F" w:rsidRPr="00382917">
        <w:t>Faith</w:t>
      </w:r>
      <w:r w:rsidR="00EE4FC3">
        <w:t xml:space="preserve"> </w:t>
      </w:r>
      <w:r w:rsidR="0054338F" w:rsidRPr="00382917">
        <w:t>and</w:t>
      </w:r>
      <w:r w:rsidR="00EE4FC3">
        <w:t xml:space="preserve"> </w:t>
      </w:r>
      <w:r w:rsidR="0054338F" w:rsidRPr="00382917">
        <w:t>arise</w:t>
      </w:r>
      <w:r w:rsidR="00EE4FC3">
        <w:t xml:space="preserve"> </w:t>
      </w:r>
      <w:r w:rsidR="0054338F" w:rsidRPr="00382917">
        <w:t>to</w:t>
      </w:r>
      <w:r w:rsidR="00EE4FC3">
        <w:t xml:space="preserve"> </w:t>
      </w:r>
      <w:r w:rsidR="0054338F" w:rsidRPr="00382917">
        <w:t>promote</w:t>
      </w:r>
      <w:r w:rsidR="00EE4FC3">
        <w:t xml:space="preserve"> </w:t>
      </w:r>
      <w:r w:rsidR="0054338F" w:rsidRPr="00382917">
        <w:t>it.</w:t>
      </w:r>
    </w:p>
    <w:p w:rsidR="0054338F" w:rsidRPr="00382917" w:rsidRDefault="009C713D" w:rsidP="002C2EDA">
      <w:pPr>
        <w:pStyle w:val="Text"/>
      </w:pPr>
      <w:r w:rsidRPr="00382917">
        <w:t>“</w:t>
      </w:r>
      <w:r w:rsidR="0054338F" w:rsidRPr="00382917">
        <w:t>I</w:t>
      </w:r>
      <w:r w:rsidR="00EE4FC3">
        <w:t xml:space="preserve"> </w:t>
      </w:r>
      <w:r w:rsidR="0054338F" w:rsidRPr="00382917">
        <w:t>will</w:t>
      </w:r>
      <w:r w:rsidR="00EE4FC3">
        <w:t xml:space="preserve"> </w:t>
      </w:r>
      <w:r w:rsidR="0054338F" w:rsidRPr="00382917">
        <w:t>also</w:t>
      </w:r>
      <w:r w:rsidR="00EE4FC3">
        <w:t xml:space="preserve"> </w:t>
      </w:r>
      <w:r w:rsidR="0054338F" w:rsidRPr="00382917">
        <w:t>try</w:t>
      </w:r>
      <w:r w:rsidR="00EE4FC3">
        <w:t xml:space="preserve"> </w:t>
      </w:r>
      <w:r w:rsidR="0054338F" w:rsidRPr="00382917">
        <w:t>to</w:t>
      </w:r>
      <w:r w:rsidR="00EE4FC3">
        <w:t xml:space="preserve"> </w:t>
      </w:r>
      <w:r w:rsidR="0054338F" w:rsidRPr="00382917">
        <w:t>induce</w:t>
      </w:r>
      <w:r w:rsidR="00EE4FC3">
        <w:t xml:space="preserve"> </w:t>
      </w:r>
      <w:r w:rsidR="0054338F" w:rsidRPr="00382917">
        <w:t>the</w:t>
      </w:r>
      <w:r w:rsidR="00EE4FC3">
        <w:t xml:space="preserve"> </w:t>
      </w:r>
      <w:r w:rsidR="0054338F" w:rsidRPr="00382917">
        <w:t>king</w:t>
      </w:r>
      <w:r w:rsidR="00EE4FC3">
        <w:t xml:space="preserve"> </w:t>
      </w:r>
      <w:r w:rsidR="0054338F" w:rsidRPr="00382917">
        <w:t>to</w:t>
      </w:r>
      <w:r w:rsidR="00EE4FC3">
        <w:t xml:space="preserve"> </w:t>
      </w:r>
      <w:r w:rsidR="0054338F" w:rsidRPr="00382917">
        <w:t>dismiss</w:t>
      </w:r>
      <w:r w:rsidR="00EE4FC3">
        <w:t xml:space="preserve"> </w:t>
      </w:r>
      <w:r w:rsidR="0054338F" w:rsidRPr="00382917">
        <w:t>the</w:t>
      </w:r>
      <w:r w:rsidR="00EE4FC3">
        <w:t xml:space="preserve"> </w:t>
      </w:r>
      <w:r w:rsidR="0054338F" w:rsidRPr="00382917">
        <w:t>profligate</w:t>
      </w:r>
      <w:r w:rsidR="00EE4FC3">
        <w:t xml:space="preserve"> </w:t>
      </w:r>
      <w:r w:rsidR="0054338F" w:rsidRPr="00382917">
        <w:t>Ḥáj</w:t>
      </w:r>
      <w:r w:rsidR="002C2EDA" w:rsidRPr="00382917">
        <w:t>í</w:t>
      </w:r>
      <w:r w:rsidR="00EE4FC3">
        <w:t xml:space="preserve"> </w:t>
      </w:r>
      <w:r w:rsidR="0054338F" w:rsidRPr="00382917">
        <w:t>Mírzá</w:t>
      </w:r>
      <w:r w:rsidR="00EE4FC3">
        <w:t xml:space="preserve"> </w:t>
      </w:r>
      <w:r w:rsidR="0054338F" w:rsidRPr="00382917">
        <w:t>Áqásí</w:t>
      </w:r>
      <w:r w:rsidR="00C03C91">
        <w:t>.</w:t>
      </w:r>
      <w:r w:rsidR="00EE4FC3">
        <w:t xml:space="preserve">  </w:t>
      </w:r>
      <w:r w:rsidR="0054338F" w:rsidRPr="00382917">
        <w:t>His</w:t>
      </w:r>
      <w:r w:rsidR="00EE4FC3">
        <w:t xml:space="preserve"> </w:t>
      </w:r>
      <w:r w:rsidR="0054338F" w:rsidRPr="00382917">
        <w:t>folly</w:t>
      </w:r>
      <w:r w:rsidR="00EE4FC3">
        <w:t xml:space="preserve"> </w:t>
      </w:r>
      <w:r w:rsidR="0054338F" w:rsidRPr="00382917">
        <w:t>has</w:t>
      </w:r>
      <w:r w:rsidR="00EE4FC3">
        <w:t xml:space="preserve"> </w:t>
      </w:r>
      <w:r w:rsidR="0054338F" w:rsidRPr="00382917">
        <w:t>brought</w:t>
      </w:r>
      <w:r w:rsidR="00EE4FC3">
        <w:t xml:space="preserve"> </w:t>
      </w:r>
      <w:r w:rsidR="0054338F" w:rsidRPr="00382917">
        <w:t>our</w:t>
      </w:r>
      <w:r w:rsidR="00EE4FC3">
        <w:t xml:space="preserve"> </w:t>
      </w:r>
      <w:r w:rsidR="0054338F" w:rsidRPr="00382917">
        <w:t>land</w:t>
      </w:r>
      <w:r w:rsidR="00EE4FC3">
        <w:t xml:space="preserve"> </w:t>
      </w:r>
      <w:r w:rsidR="0054338F" w:rsidRPr="00382917">
        <w:t>to</w:t>
      </w:r>
      <w:r w:rsidR="00EE4FC3">
        <w:t xml:space="preserve"> </w:t>
      </w:r>
      <w:r w:rsidR="0054338F" w:rsidRPr="00382917">
        <w:t>the</w:t>
      </w:r>
      <w:r w:rsidR="00EE4FC3">
        <w:t xml:space="preserve"> </w:t>
      </w:r>
      <w:r w:rsidR="0054338F" w:rsidRPr="00382917">
        <w:t>brink</w:t>
      </w:r>
      <w:r w:rsidR="00EE4FC3">
        <w:t xml:space="preserve"> </w:t>
      </w:r>
      <w:r w:rsidR="0054338F" w:rsidRPr="00382917">
        <w:t>of</w:t>
      </w:r>
      <w:r w:rsidR="00EE4FC3">
        <w:t xml:space="preserve"> </w:t>
      </w:r>
      <w:r w:rsidR="0054338F" w:rsidRPr="00382917">
        <w:t>ruin.</w:t>
      </w:r>
    </w:p>
    <w:p w:rsidR="0054338F" w:rsidRPr="00382917" w:rsidRDefault="009C713D" w:rsidP="009D4E6D">
      <w:pPr>
        <w:pStyle w:val="Text"/>
      </w:pPr>
      <w:r w:rsidRPr="00382917">
        <w:t>“</w:t>
      </w:r>
      <w:r w:rsidR="0054338F" w:rsidRPr="00382917">
        <w:t>I</w:t>
      </w:r>
      <w:r w:rsidR="00EE4FC3">
        <w:t xml:space="preserve"> </w:t>
      </w:r>
      <w:r w:rsidR="0054338F" w:rsidRPr="00382917">
        <w:t>hope,</w:t>
      </w:r>
      <w:r w:rsidRPr="00382917">
        <w:t>”</w:t>
      </w:r>
      <w:r w:rsidR="00EE4FC3">
        <w:t xml:space="preserve"> </w:t>
      </w:r>
      <w:r w:rsidR="0054338F" w:rsidRPr="00382917">
        <w:t>he</w:t>
      </w:r>
      <w:r w:rsidR="00EE4FC3">
        <w:t xml:space="preserve"> </w:t>
      </w:r>
      <w:r w:rsidR="0054338F" w:rsidRPr="00382917">
        <w:t>concluded,</w:t>
      </w:r>
      <w:r w:rsidR="00EE4FC3">
        <w:t xml:space="preserve"> </w:t>
      </w:r>
      <w:r w:rsidRPr="00382917">
        <w:t>“</w:t>
      </w:r>
      <w:r w:rsidR="0054338F" w:rsidRPr="00382917">
        <w:t>to</w:t>
      </w:r>
      <w:r w:rsidR="00EE4FC3">
        <w:t xml:space="preserve"> </w:t>
      </w:r>
      <w:r w:rsidR="0054338F" w:rsidRPr="00382917">
        <w:t>be</w:t>
      </w:r>
      <w:r w:rsidR="00EE4FC3">
        <w:t xml:space="preserve"> </w:t>
      </w:r>
      <w:r w:rsidR="0054338F" w:rsidRPr="00382917">
        <w:t>enabled</w:t>
      </w:r>
      <w:r w:rsidR="00EE4FC3">
        <w:t xml:space="preserve"> </w:t>
      </w:r>
      <w:r w:rsidR="0054338F" w:rsidRPr="00382917">
        <w:t>to</w:t>
      </w:r>
      <w:r w:rsidR="00EE4FC3">
        <w:t xml:space="preserve"> </w:t>
      </w:r>
      <w:r w:rsidR="0054338F" w:rsidRPr="00382917">
        <w:t>attract</w:t>
      </w:r>
      <w:r w:rsidR="00EE4FC3">
        <w:t xml:space="preserve"> </w:t>
      </w:r>
      <w:r w:rsidR="0054338F" w:rsidRPr="00382917">
        <w:t>the</w:t>
      </w:r>
      <w:r w:rsidR="00EE4FC3">
        <w:t xml:space="preserve"> </w:t>
      </w:r>
      <w:r w:rsidR="0054338F" w:rsidRPr="00382917">
        <w:t>hearts</w:t>
      </w:r>
      <w:r w:rsidR="00EE4FC3">
        <w:t xml:space="preserve"> </w:t>
      </w:r>
      <w:r w:rsidR="0054338F" w:rsidRPr="00382917">
        <w:t>of</w:t>
      </w:r>
      <w:r w:rsidR="00EE4FC3">
        <w:t xml:space="preserve"> </w:t>
      </w:r>
      <w:r w:rsidR="0054338F" w:rsidRPr="00382917">
        <w:t>the</w:t>
      </w:r>
      <w:r w:rsidR="00EE4FC3">
        <w:t xml:space="preserve"> </w:t>
      </w:r>
      <w:r w:rsidR="0054338F" w:rsidRPr="00382917">
        <w:t>kings</w:t>
      </w:r>
      <w:r w:rsidR="00EE4FC3">
        <w:t xml:space="preserve"> </w:t>
      </w:r>
      <w:r w:rsidR="0054338F" w:rsidRPr="00382917">
        <w:t>and</w:t>
      </w:r>
      <w:r w:rsidR="00EE4FC3">
        <w:t xml:space="preserve"> </w:t>
      </w:r>
      <w:r w:rsidR="0054338F" w:rsidRPr="00382917">
        <w:t>rulers</w:t>
      </w:r>
      <w:r w:rsidR="00EE4FC3">
        <w:t xml:space="preserve"> </w:t>
      </w:r>
      <w:r w:rsidR="0054338F" w:rsidRPr="00382917">
        <w:t>of</w:t>
      </w:r>
      <w:r w:rsidR="00EE4FC3">
        <w:t xml:space="preserve"> </w:t>
      </w:r>
      <w:r w:rsidR="0054338F" w:rsidRPr="00382917">
        <w:t>the</w:t>
      </w:r>
      <w:r w:rsidR="00EE4FC3">
        <w:t xml:space="preserve"> </w:t>
      </w:r>
      <w:r w:rsidR="0054338F" w:rsidRPr="00382917">
        <w:t>world</w:t>
      </w:r>
      <w:r w:rsidR="00EE4FC3">
        <w:t xml:space="preserve"> </w:t>
      </w:r>
      <w:r w:rsidR="0054338F" w:rsidRPr="00382917">
        <w:t>to</w:t>
      </w:r>
      <w:r w:rsidR="00EE4FC3">
        <w:t xml:space="preserve"> </w:t>
      </w:r>
      <w:r w:rsidR="0054338F" w:rsidRPr="00382917">
        <w:t>this</w:t>
      </w:r>
      <w:r w:rsidR="00EE4FC3">
        <w:t xml:space="preserve"> </w:t>
      </w:r>
      <w:r w:rsidR="0054338F" w:rsidRPr="00382917">
        <w:t>wonderful</w:t>
      </w:r>
      <w:r w:rsidR="00EE4FC3">
        <w:t xml:space="preserve"> </w:t>
      </w:r>
      <w:r w:rsidR="0054338F" w:rsidRPr="00382917">
        <w:t>Cause.</w:t>
      </w:r>
      <w:r w:rsidRPr="00382917">
        <w:t>”</w:t>
      </w:r>
    </w:p>
    <w:p w:rsidR="0054338F" w:rsidRPr="00382917" w:rsidRDefault="0054338F" w:rsidP="009D4E6D">
      <w:pPr>
        <w:pStyle w:val="Text"/>
      </w:pPr>
      <w:r w:rsidRPr="00382917">
        <w:t>The</w:t>
      </w:r>
      <w:r w:rsidR="00EE4FC3">
        <w:t xml:space="preserve"> </w:t>
      </w:r>
      <w:r w:rsidRPr="00382917">
        <w:t>Báb</w:t>
      </w:r>
      <w:r w:rsidR="00EE4FC3">
        <w:t xml:space="preserve"> </w:t>
      </w:r>
      <w:r w:rsidRPr="00382917">
        <w:t>was</w:t>
      </w:r>
      <w:r w:rsidR="00EE4FC3">
        <w:t xml:space="preserve"> </w:t>
      </w:r>
      <w:r w:rsidRPr="00382917">
        <w:t>deeply</w:t>
      </w:r>
      <w:r w:rsidR="00EE4FC3">
        <w:t xml:space="preserve"> </w:t>
      </w:r>
      <w:r w:rsidRPr="00382917">
        <w:t>moved</w:t>
      </w:r>
      <w:r w:rsidR="00C03C91">
        <w:t>.</w:t>
      </w:r>
      <w:r w:rsidR="00EE4FC3">
        <w:t xml:space="preserve">  </w:t>
      </w:r>
      <w:r w:rsidR="009C713D" w:rsidRPr="00382917">
        <w:t>“</w:t>
      </w:r>
      <w:r w:rsidRPr="00382917">
        <w:t>May</w:t>
      </w:r>
      <w:r w:rsidR="00EE4FC3">
        <w:t xml:space="preserve"> </w:t>
      </w:r>
      <w:r w:rsidRPr="00382917">
        <w:t>God</w:t>
      </w:r>
      <w:r w:rsidR="00EE4FC3">
        <w:t xml:space="preserve"> </w:t>
      </w:r>
      <w:r w:rsidRPr="00382917">
        <w:t>reward</w:t>
      </w:r>
      <w:r w:rsidR="00EE4FC3">
        <w:t xml:space="preserve"> </w:t>
      </w:r>
      <w:r w:rsidRPr="00382917">
        <w:t>your</w:t>
      </w:r>
      <w:r w:rsidR="00EE4FC3">
        <w:t xml:space="preserve"> </w:t>
      </w:r>
      <w:r w:rsidRPr="00382917">
        <w:t>noble</w:t>
      </w:r>
      <w:r w:rsidR="00EE4FC3">
        <w:t xml:space="preserve"> </w:t>
      </w:r>
      <w:r w:rsidRPr="00382917">
        <w:t>intentions,</w:t>
      </w:r>
      <w:r w:rsidR="009C713D" w:rsidRPr="00382917">
        <w:t>”</w:t>
      </w:r>
      <w:r w:rsidR="00EE4FC3">
        <w:t xml:space="preserve"> </w:t>
      </w:r>
      <w:r w:rsidRPr="00382917">
        <w:t>He</w:t>
      </w:r>
      <w:r w:rsidR="00EE4FC3">
        <w:t xml:space="preserve"> </w:t>
      </w:r>
      <w:r w:rsidRPr="00382917">
        <w:t>said</w:t>
      </w:r>
      <w:r w:rsidR="00C03C91">
        <w:t>.</w:t>
      </w:r>
      <w:r w:rsidR="00EE4FC3">
        <w:t xml:space="preserve">  </w:t>
      </w:r>
      <w:proofErr w:type="gramStart"/>
      <w:r w:rsidR="009C713D" w:rsidRPr="00382917">
        <w:t>“</w:t>
      </w:r>
      <w:r w:rsidRPr="00382917">
        <w:t>So</w:t>
      </w:r>
      <w:r w:rsidR="00EE4FC3">
        <w:t xml:space="preserve"> </w:t>
      </w:r>
      <w:r w:rsidRPr="00382917">
        <w:t>lofty</w:t>
      </w:r>
      <w:r w:rsidR="00EE4FC3">
        <w:t xml:space="preserve"> </w:t>
      </w:r>
      <w:r w:rsidRPr="00382917">
        <w:t>a</w:t>
      </w:r>
      <w:r w:rsidR="00EE4FC3">
        <w:t xml:space="preserve"> </w:t>
      </w:r>
      <w:r w:rsidRPr="00382917">
        <w:t>purpose</w:t>
      </w:r>
      <w:r w:rsidR="00EE4FC3">
        <w:t xml:space="preserve"> </w:t>
      </w:r>
      <w:r w:rsidRPr="00382917">
        <w:t>is</w:t>
      </w:r>
      <w:r w:rsidR="00EE4FC3">
        <w:t xml:space="preserve"> </w:t>
      </w:r>
      <w:r w:rsidRPr="00382917">
        <w:t>to</w:t>
      </w:r>
      <w:r w:rsidR="00EE4FC3">
        <w:t xml:space="preserve"> </w:t>
      </w:r>
      <w:r w:rsidRPr="00382917">
        <w:t>me</w:t>
      </w:r>
      <w:r w:rsidR="00EE4FC3">
        <w:t xml:space="preserve"> </w:t>
      </w:r>
      <w:r w:rsidRPr="00382917">
        <w:t>even</w:t>
      </w:r>
      <w:r w:rsidR="00EE4FC3">
        <w:t xml:space="preserve"> </w:t>
      </w:r>
      <w:r w:rsidRPr="00382917">
        <w:t>more</w:t>
      </w:r>
      <w:r w:rsidR="00EE4FC3">
        <w:t xml:space="preserve"> </w:t>
      </w:r>
      <w:r w:rsidRPr="00382917">
        <w:t>precious</w:t>
      </w:r>
      <w:r w:rsidR="00EE4FC3">
        <w:t xml:space="preserve"> </w:t>
      </w:r>
      <w:r w:rsidRPr="00382917">
        <w:t>than</w:t>
      </w:r>
      <w:r w:rsidR="00EE4FC3">
        <w:t xml:space="preserve"> </w:t>
      </w:r>
      <w:r w:rsidRPr="00382917">
        <w:t>the</w:t>
      </w:r>
      <w:r w:rsidR="00EE4FC3">
        <w:t xml:space="preserve"> </w:t>
      </w:r>
      <w:r w:rsidRPr="00382917">
        <w:t>act</w:t>
      </w:r>
      <w:r w:rsidR="00EE4FC3">
        <w:t xml:space="preserve"> </w:t>
      </w:r>
      <w:r w:rsidRPr="00382917">
        <w:t>itself</w:t>
      </w:r>
      <w:r w:rsidR="00C03C91">
        <w:t>.</w:t>
      </w:r>
      <w:proofErr w:type="gramEnd"/>
      <w:r w:rsidR="00EE4FC3">
        <w:t xml:space="preserve">  </w:t>
      </w:r>
      <w:r w:rsidRPr="00382917">
        <w:t>Your</w:t>
      </w:r>
      <w:r w:rsidR="00EE4FC3">
        <w:t xml:space="preserve"> </w:t>
      </w:r>
      <w:r w:rsidRPr="00382917">
        <w:t>days</w:t>
      </w:r>
      <w:r w:rsidR="00EE4FC3">
        <w:t xml:space="preserve"> </w:t>
      </w:r>
      <w:r w:rsidRPr="00382917">
        <w:t>and</w:t>
      </w:r>
      <w:r w:rsidR="00EE4FC3">
        <w:t xml:space="preserve"> </w:t>
      </w:r>
      <w:r w:rsidRPr="00382917">
        <w:t>mine</w:t>
      </w:r>
      <w:r w:rsidR="00EE4FC3">
        <w:t xml:space="preserve"> </w:t>
      </w:r>
      <w:r w:rsidRPr="00382917">
        <w:t>are</w:t>
      </w:r>
      <w:r w:rsidR="00EE4FC3">
        <w:t xml:space="preserve"> </w:t>
      </w:r>
      <w:r w:rsidRPr="00382917">
        <w:t>numbered,</w:t>
      </w:r>
      <w:r w:rsidR="00EE4FC3">
        <w:t xml:space="preserve"> </w:t>
      </w:r>
      <w:r w:rsidRPr="00382917">
        <w:t>however;</w:t>
      </w:r>
      <w:r w:rsidR="00EE4FC3">
        <w:t xml:space="preserve"> </w:t>
      </w:r>
      <w:r w:rsidRPr="00382917">
        <w:t>they</w:t>
      </w:r>
      <w:r w:rsidR="00EE4FC3">
        <w:t xml:space="preserve"> </w:t>
      </w:r>
      <w:r w:rsidRPr="00382917">
        <w:t>are</w:t>
      </w:r>
      <w:r w:rsidR="00EE4FC3">
        <w:t xml:space="preserve"> </w:t>
      </w:r>
      <w:r w:rsidRPr="00382917">
        <w:t>too</w:t>
      </w:r>
      <w:r w:rsidR="00EE4FC3">
        <w:t xml:space="preserve"> </w:t>
      </w:r>
      <w:r w:rsidRPr="00382917">
        <w:t>short</w:t>
      </w:r>
      <w:r w:rsidR="00EE4FC3">
        <w:t xml:space="preserve"> </w:t>
      </w:r>
      <w:r w:rsidRPr="00382917">
        <w:t>for</w:t>
      </w:r>
      <w:r w:rsidR="00EE4FC3">
        <w:t xml:space="preserve"> </w:t>
      </w:r>
      <w:proofErr w:type="gramStart"/>
      <w:r w:rsidRPr="00382917">
        <w:t>Me</w:t>
      </w:r>
      <w:proofErr w:type="gramEnd"/>
      <w:r w:rsidR="00EE4FC3">
        <w:t xml:space="preserve"> </w:t>
      </w:r>
      <w:r w:rsidRPr="00382917">
        <w:t>to</w:t>
      </w:r>
      <w:r w:rsidR="00EE4FC3">
        <w:t xml:space="preserve"> </w:t>
      </w:r>
      <w:r w:rsidRPr="00382917">
        <w:t>witness,</w:t>
      </w:r>
      <w:r w:rsidR="00EE4FC3">
        <w:t xml:space="preserve"> </w:t>
      </w:r>
      <w:r w:rsidRPr="00382917">
        <w:t>and</w:t>
      </w:r>
      <w:r w:rsidR="00EE4FC3">
        <w:t xml:space="preserve"> </w:t>
      </w:r>
      <w:r w:rsidRPr="00382917">
        <w:t>allow</w:t>
      </w:r>
      <w:r w:rsidR="00EE4FC3">
        <w:t xml:space="preserve"> </w:t>
      </w:r>
      <w:r w:rsidRPr="00382917">
        <w:t>you</w:t>
      </w:r>
      <w:r w:rsidR="00EE4FC3">
        <w:t xml:space="preserve"> </w:t>
      </w:r>
      <w:r w:rsidRPr="00382917">
        <w:t>to</w:t>
      </w:r>
      <w:r w:rsidR="00EE4FC3">
        <w:t xml:space="preserve"> </w:t>
      </w:r>
      <w:r w:rsidRPr="00382917">
        <w:t>achieve,</w:t>
      </w:r>
      <w:r w:rsidR="00EE4FC3">
        <w:t xml:space="preserve"> </w:t>
      </w:r>
      <w:r w:rsidRPr="00382917">
        <w:t>the</w:t>
      </w:r>
      <w:r w:rsidR="00EE4FC3">
        <w:t xml:space="preserve"> </w:t>
      </w:r>
      <w:r w:rsidRPr="00382917">
        <w:t>realization</w:t>
      </w:r>
      <w:r w:rsidR="00EE4FC3">
        <w:t xml:space="preserve"> </w:t>
      </w:r>
      <w:r w:rsidRPr="00382917">
        <w:t>of</w:t>
      </w:r>
      <w:r w:rsidR="00EE4FC3">
        <w:t xml:space="preserve"> </w:t>
      </w:r>
      <w:r w:rsidRPr="00382917">
        <w:t>your</w:t>
      </w:r>
      <w:r w:rsidR="00EE4FC3">
        <w:t xml:space="preserve"> </w:t>
      </w:r>
      <w:r w:rsidRPr="00382917">
        <w:t>hopes.</w:t>
      </w:r>
      <w:r w:rsidR="009C713D" w:rsidRPr="00382917">
        <w:t>”</w:t>
      </w:r>
    </w:p>
    <w:p w:rsidR="0054338F" w:rsidRPr="00382917" w:rsidRDefault="0054338F" w:rsidP="009D4E6D">
      <w:pPr>
        <w:pStyle w:val="Text"/>
      </w:pPr>
      <w:r w:rsidRPr="00382917">
        <w:t>The</w:t>
      </w:r>
      <w:r w:rsidR="00EE4FC3">
        <w:t xml:space="preserve"> </w:t>
      </w:r>
      <w:r w:rsidRPr="00382917">
        <w:t>Báb</w:t>
      </w:r>
      <w:r w:rsidR="00EE4FC3">
        <w:t xml:space="preserve"> </w:t>
      </w:r>
      <w:r w:rsidRPr="00382917">
        <w:t>told</w:t>
      </w:r>
      <w:r w:rsidR="00EE4FC3">
        <w:t xml:space="preserve"> </w:t>
      </w:r>
      <w:r w:rsidR="0040329F" w:rsidRPr="00382917">
        <w:t>Manú</w:t>
      </w:r>
      <w:r w:rsidR="0040329F" w:rsidRPr="0040329F">
        <w:rPr>
          <w:u w:val="single"/>
        </w:rPr>
        <w:t>ch</w:t>
      </w:r>
      <w:r w:rsidR="0040329F" w:rsidRPr="00382917">
        <w:t>ihr</w:t>
      </w:r>
      <w:r w:rsidR="00EE4FC3">
        <w:t xml:space="preserve"> </w:t>
      </w:r>
      <w:r w:rsidR="0040329F" w:rsidRPr="0040329F">
        <w:rPr>
          <w:u w:val="single"/>
        </w:rPr>
        <w:t>Kh</w:t>
      </w:r>
      <w:r w:rsidR="0040329F" w:rsidRPr="00382917">
        <w:t>án</w:t>
      </w:r>
      <w:r w:rsidR="00EE4FC3">
        <w:t xml:space="preserve"> </w:t>
      </w:r>
      <w:r w:rsidRPr="00382917">
        <w:t>that</w:t>
      </w:r>
      <w:r w:rsidR="00EE4FC3">
        <w:t xml:space="preserve"> </w:t>
      </w:r>
      <w:r w:rsidRPr="00382917">
        <w:t>the</w:t>
      </w:r>
      <w:r w:rsidR="00EE4FC3">
        <w:t xml:space="preserve"> </w:t>
      </w:r>
      <w:r w:rsidRPr="00382917">
        <w:t>Faith</w:t>
      </w:r>
      <w:r w:rsidR="00EE4FC3">
        <w:t xml:space="preserve"> </w:t>
      </w:r>
      <w:r w:rsidRPr="00382917">
        <w:t>of</w:t>
      </w:r>
      <w:r w:rsidR="00EE4FC3">
        <w:t xml:space="preserve"> </w:t>
      </w:r>
      <w:r w:rsidRPr="00382917">
        <w:t>God</w:t>
      </w:r>
      <w:r w:rsidR="00EE4FC3">
        <w:t xml:space="preserve"> </w:t>
      </w:r>
      <w:r w:rsidRPr="00382917">
        <w:t>would</w:t>
      </w:r>
      <w:r w:rsidR="00EE4FC3">
        <w:t xml:space="preserve"> </w:t>
      </w:r>
      <w:r w:rsidRPr="00382917">
        <w:t>not</w:t>
      </w:r>
      <w:r w:rsidR="00EE4FC3">
        <w:t xml:space="preserve"> </w:t>
      </w:r>
      <w:r w:rsidRPr="00382917">
        <w:t>be</w:t>
      </w:r>
      <w:r w:rsidR="00EE4FC3">
        <w:t xml:space="preserve"> </w:t>
      </w:r>
      <w:r w:rsidRPr="00382917">
        <w:t>spread</w:t>
      </w:r>
      <w:r w:rsidR="00EE4FC3">
        <w:t xml:space="preserve"> </w:t>
      </w:r>
      <w:r w:rsidRPr="00382917">
        <w:t>by</w:t>
      </w:r>
      <w:r w:rsidR="00EE4FC3">
        <w:t xml:space="preserve"> </w:t>
      </w:r>
      <w:r w:rsidRPr="00382917">
        <w:t>noble</w:t>
      </w:r>
      <w:r w:rsidR="00EE4FC3">
        <w:t xml:space="preserve"> </w:t>
      </w:r>
      <w:r w:rsidRPr="00382917">
        <w:t>and</w:t>
      </w:r>
      <w:r w:rsidR="00EE4FC3">
        <w:t xml:space="preserve"> </w:t>
      </w:r>
      <w:r w:rsidRPr="00382917">
        <w:t>wealthy</w:t>
      </w:r>
      <w:r w:rsidR="00EE4FC3">
        <w:t xml:space="preserve"> </w:t>
      </w:r>
      <w:r w:rsidRPr="00382917">
        <w:t>figures</w:t>
      </w:r>
      <w:r w:rsidR="00C03C91">
        <w:t>.</w:t>
      </w:r>
      <w:r w:rsidR="00EE4FC3">
        <w:t xml:space="preserve">  </w:t>
      </w:r>
      <w:r w:rsidRPr="00382917">
        <w:t>Rather,</w:t>
      </w:r>
      <w:r w:rsidR="00EE4FC3">
        <w:t xml:space="preserve"> </w:t>
      </w:r>
      <w:r w:rsidRPr="00382917">
        <w:t>He</w:t>
      </w:r>
      <w:r w:rsidR="00EE4FC3">
        <w:t xml:space="preserve"> </w:t>
      </w:r>
      <w:r w:rsidRPr="00382917">
        <w:t>said,</w:t>
      </w:r>
      <w:r w:rsidR="00EE4FC3">
        <w:t xml:space="preserve"> </w:t>
      </w:r>
      <w:r w:rsidRPr="00382917">
        <w:t>it</w:t>
      </w:r>
      <w:r w:rsidR="00EE4FC3">
        <w:t xml:space="preserve"> </w:t>
      </w:r>
      <w:r w:rsidRPr="00382917">
        <w:t>would</w:t>
      </w:r>
      <w:r w:rsidR="00EE4FC3">
        <w:t xml:space="preserve"> </w:t>
      </w:r>
      <w:r w:rsidRPr="00382917">
        <w:t>triumph</w:t>
      </w:r>
      <w:r w:rsidR="00EE4FC3">
        <w:t xml:space="preserve"> </w:t>
      </w:r>
      <w:r w:rsidRPr="00382917">
        <w:t>through</w:t>
      </w:r>
      <w:r w:rsidR="00EE4FC3">
        <w:t xml:space="preserve"> </w:t>
      </w:r>
      <w:r w:rsidRPr="00382917">
        <w:t>the</w:t>
      </w:r>
      <w:r w:rsidR="00EE4FC3">
        <w:t xml:space="preserve"> </w:t>
      </w:r>
      <w:r w:rsidRPr="00382917">
        <w:t>efforts</w:t>
      </w:r>
      <w:r w:rsidR="00EE4FC3">
        <w:t xml:space="preserve"> </w:t>
      </w:r>
      <w:r w:rsidRPr="00382917">
        <w:t>of</w:t>
      </w:r>
      <w:r w:rsidR="00EE4FC3">
        <w:t xml:space="preserve"> </w:t>
      </w:r>
      <w:r w:rsidRPr="00382917">
        <w:t>the</w:t>
      </w:r>
      <w:r w:rsidR="00EE4FC3">
        <w:t xml:space="preserve"> </w:t>
      </w:r>
      <w:r w:rsidRPr="00382917">
        <w:t>poor,</w:t>
      </w:r>
      <w:r w:rsidR="00EE4FC3">
        <w:t xml:space="preserve"> </w:t>
      </w:r>
      <w:r w:rsidRPr="00382917">
        <w:t>the</w:t>
      </w:r>
      <w:r w:rsidR="00EE4FC3">
        <w:t xml:space="preserve"> </w:t>
      </w:r>
      <w:r w:rsidRPr="00382917">
        <w:t>persecuted,</w:t>
      </w:r>
      <w:r w:rsidR="00EE4FC3">
        <w:t xml:space="preserve"> </w:t>
      </w:r>
      <w:r w:rsidRPr="00382917">
        <w:t>and</w:t>
      </w:r>
      <w:r w:rsidR="00EE4FC3">
        <w:t xml:space="preserve"> </w:t>
      </w:r>
      <w:r w:rsidRPr="00382917">
        <w:t>the</w:t>
      </w:r>
      <w:r w:rsidR="00EE4FC3">
        <w:t xml:space="preserve"> </w:t>
      </w:r>
      <w:r w:rsidRPr="00382917">
        <w:t>lowly</w:t>
      </w:r>
      <w:r w:rsidR="00C03C91">
        <w:t>.</w:t>
      </w:r>
      <w:r w:rsidR="00EE4FC3">
        <w:t xml:space="preserve">  </w:t>
      </w:r>
      <w:r w:rsidRPr="00382917">
        <w:t>Through</w:t>
      </w:r>
      <w:r w:rsidR="00EE4FC3">
        <w:t xml:space="preserve"> </w:t>
      </w:r>
      <w:r w:rsidRPr="00382917">
        <w:t>the</w:t>
      </w:r>
      <w:r w:rsidR="00EE4FC3">
        <w:t xml:space="preserve"> </w:t>
      </w:r>
      <w:r w:rsidRPr="00382917">
        <w:t>blood</w:t>
      </w:r>
      <w:r w:rsidR="00EE4FC3">
        <w:t xml:space="preserve"> </w:t>
      </w:r>
      <w:r w:rsidRPr="00382917">
        <w:t>they</w:t>
      </w:r>
      <w:r w:rsidR="00EE4FC3">
        <w:t xml:space="preserve"> </w:t>
      </w:r>
      <w:r w:rsidRPr="00382917">
        <w:t>shed</w:t>
      </w:r>
      <w:r w:rsidR="00EE4FC3">
        <w:t xml:space="preserve"> </w:t>
      </w:r>
      <w:r w:rsidRPr="00382917">
        <w:t>in</w:t>
      </w:r>
      <w:r w:rsidR="00EE4FC3">
        <w:t xml:space="preserve"> </w:t>
      </w:r>
      <w:r w:rsidRPr="00382917">
        <w:t>the</w:t>
      </w:r>
      <w:r w:rsidR="00EE4FC3">
        <w:t xml:space="preserve"> </w:t>
      </w:r>
      <w:r w:rsidRPr="00382917">
        <w:t>path</w:t>
      </w:r>
      <w:r w:rsidR="00EE4FC3">
        <w:t xml:space="preserve"> </w:t>
      </w:r>
      <w:r w:rsidRPr="00382917">
        <w:t>of</w:t>
      </w:r>
      <w:r w:rsidR="00EE4FC3">
        <w:t xml:space="preserve"> </w:t>
      </w:r>
      <w:r w:rsidRPr="00382917">
        <w:t>their</w:t>
      </w:r>
      <w:r w:rsidR="00EE4FC3">
        <w:t xml:space="preserve"> </w:t>
      </w:r>
      <w:r w:rsidRPr="00382917">
        <w:t>Lord,</w:t>
      </w:r>
      <w:r w:rsidR="00EE4FC3">
        <w:t xml:space="preserve"> </w:t>
      </w:r>
      <w:r w:rsidRPr="00382917">
        <w:t>and</w:t>
      </w:r>
      <w:r w:rsidR="00EE4FC3">
        <w:t xml:space="preserve"> </w:t>
      </w:r>
      <w:r w:rsidRPr="00382917">
        <w:t>through</w:t>
      </w:r>
      <w:r w:rsidR="00EE4FC3">
        <w:t xml:space="preserve"> </w:t>
      </w:r>
      <w:r w:rsidRPr="00382917">
        <w:t>the</w:t>
      </w:r>
      <w:r w:rsidR="00EE4FC3">
        <w:t xml:space="preserve"> </w:t>
      </w:r>
      <w:r w:rsidRPr="00382917">
        <w:t>sacrifice</w:t>
      </w:r>
      <w:r w:rsidR="00EE4FC3">
        <w:t xml:space="preserve"> </w:t>
      </w:r>
      <w:r w:rsidRPr="00382917">
        <w:t>and</w:t>
      </w:r>
      <w:r w:rsidR="00EE4FC3">
        <w:t xml:space="preserve"> </w:t>
      </w:r>
      <w:r w:rsidRPr="00382917">
        <w:t>suffering</w:t>
      </w:r>
      <w:r w:rsidR="00EE4FC3">
        <w:t xml:space="preserve"> </w:t>
      </w:r>
      <w:r w:rsidRPr="00382917">
        <w:t>of</w:t>
      </w:r>
      <w:r w:rsidR="00EE4FC3">
        <w:t xml:space="preserve"> </w:t>
      </w:r>
      <w:r w:rsidRPr="00382917">
        <w:t>those</w:t>
      </w:r>
      <w:r w:rsidR="00EE4FC3">
        <w:t xml:space="preserve"> </w:t>
      </w:r>
      <w:r w:rsidRPr="00382917">
        <w:t>humble</w:t>
      </w:r>
      <w:r w:rsidR="00EE4FC3">
        <w:t xml:space="preserve"> </w:t>
      </w:r>
      <w:r w:rsidRPr="00382917">
        <w:t>people,</w:t>
      </w:r>
      <w:r w:rsidR="00EE4FC3">
        <w:t xml:space="preserve"> </w:t>
      </w:r>
      <w:r w:rsidRPr="00382917">
        <w:t>the</w:t>
      </w:r>
      <w:r w:rsidR="00EE4FC3">
        <w:t xml:space="preserve"> </w:t>
      </w:r>
      <w:r w:rsidRPr="00382917">
        <w:t>Faith</w:t>
      </w:r>
      <w:r w:rsidR="00EE4FC3">
        <w:t xml:space="preserve"> </w:t>
      </w:r>
      <w:r w:rsidRPr="00382917">
        <w:t>of</w:t>
      </w:r>
      <w:r w:rsidR="00EE4FC3">
        <w:t xml:space="preserve"> </w:t>
      </w:r>
      <w:r w:rsidRPr="00382917">
        <w:t>God</w:t>
      </w:r>
      <w:r w:rsidR="00EE4FC3">
        <w:t xml:space="preserve"> </w:t>
      </w:r>
      <w:r w:rsidRPr="00382917">
        <w:t>would</w:t>
      </w:r>
      <w:r w:rsidR="00EE4FC3">
        <w:t xml:space="preserve"> </w:t>
      </w:r>
      <w:r w:rsidRPr="00382917">
        <w:t>be</w:t>
      </w:r>
      <w:r w:rsidR="00EE4FC3">
        <w:t xml:space="preserve"> </w:t>
      </w:r>
      <w:r w:rsidRPr="00382917">
        <w:t>spread</w:t>
      </w:r>
      <w:r w:rsidR="00EE4FC3">
        <w:t xml:space="preserve"> </w:t>
      </w:r>
      <w:r w:rsidRPr="00382917">
        <w:t>throughout</w:t>
      </w:r>
      <w:r w:rsidR="00EE4FC3">
        <w:t xml:space="preserve"> </w:t>
      </w:r>
      <w:r w:rsidRPr="00382917">
        <w:t>the</w:t>
      </w:r>
      <w:r w:rsidR="00EE4FC3">
        <w:t xml:space="preserve"> </w:t>
      </w:r>
      <w:r w:rsidRPr="00382917">
        <w:t>world</w:t>
      </w:r>
      <w:r w:rsidR="00C03C91">
        <w:t>.</w:t>
      </w:r>
      <w:r w:rsidR="00EE4FC3">
        <w:t xml:space="preserve">  </w:t>
      </w:r>
      <w:r w:rsidRPr="00382917">
        <w:t>The</w:t>
      </w:r>
      <w:r w:rsidR="00EE4FC3">
        <w:t xml:space="preserve"> </w:t>
      </w:r>
      <w:r w:rsidRPr="00382917">
        <w:t>Báb</w:t>
      </w:r>
      <w:r w:rsidR="00EE4FC3">
        <w:t xml:space="preserve"> </w:t>
      </w:r>
      <w:r w:rsidRPr="00382917">
        <w:t>made</w:t>
      </w:r>
      <w:r w:rsidR="00EE4FC3">
        <w:t xml:space="preserve"> </w:t>
      </w:r>
      <w:r w:rsidR="0040329F" w:rsidRPr="00382917">
        <w:t>Manú</w:t>
      </w:r>
      <w:r w:rsidR="0040329F" w:rsidRPr="0040329F">
        <w:rPr>
          <w:u w:val="single"/>
        </w:rPr>
        <w:t>ch</w:t>
      </w:r>
      <w:r w:rsidR="0040329F" w:rsidRPr="00382917">
        <w:t>ihr</w:t>
      </w:r>
      <w:r w:rsidR="00EE4FC3">
        <w:t xml:space="preserve"> </w:t>
      </w:r>
      <w:r w:rsidR="0040329F" w:rsidRPr="0040329F">
        <w:rPr>
          <w:u w:val="single"/>
        </w:rPr>
        <w:t>Kh</w:t>
      </w:r>
      <w:r w:rsidR="0040329F" w:rsidRPr="00382917">
        <w:t>án</w:t>
      </w:r>
      <w:r w:rsidR="00EE4FC3">
        <w:t xml:space="preserve"> </w:t>
      </w:r>
      <w:r w:rsidRPr="00382917">
        <w:t>a</w:t>
      </w:r>
      <w:r w:rsidR="00EE4FC3">
        <w:t xml:space="preserve"> </w:t>
      </w:r>
      <w:r w:rsidRPr="00382917">
        <w:t>promise</w:t>
      </w:r>
      <w:r w:rsidR="00EE4FC3">
        <w:t xml:space="preserve"> </w:t>
      </w:r>
      <w:r w:rsidRPr="00382917">
        <w:t>as</w:t>
      </w:r>
      <w:r w:rsidR="00EE4FC3">
        <w:t xml:space="preserve"> </w:t>
      </w:r>
      <w:r w:rsidRPr="00382917">
        <w:t>a</w:t>
      </w:r>
      <w:r w:rsidR="00EE4FC3">
        <w:t xml:space="preserve"> </w:t>
      </w:r>
      <w:r w:rsidRPr="00382917">
        <w:t>reward</w:t>
      </w:r>
      <w:r w:rsidR="00EE4FC3">
        <w:t xml:space="preserve"> </w:t>
      </w:r>
      <w:r w:rsidRPr="00382917">
        <w:t>for</w:t>
      </w:r>
      <w:r w:rsidR="00EE4FC3">
        <w:t xml:space="preserve"> </w:t>
      </w:r>
      <w:r w:rsidRPr="00382917">
        <w:t>his</w:t>
      </w:r>
      <w:r w:rsidR="00EE4FC3">
        <w:t xml:space="preserve"> </w:t>
      </w:r>
      <w:r w:rsidRPr="00382917">
        <w:t>love</w:t>
      </w:r>
      <w:r w:rsidR="00EE4FC3">
        <w:t xml:space="preserve"> </w:t>
      </w:r>
      <w:r w:rsidRPr="00382917">
        <w:t>and</w:t>
      </w:r>
      <w:r w:rsidR="00EE4FC3">
        <w:t xml:space="preserve"> </w:t>
      </w:r>
      <w:r w:rsidRPr="00382917">
        <w:t>service.</w:t>
      </w:r>
    </w:p>
    <w:p w:rsidR="0054338F" w:rsidRPr="00382917" w:rsidRDefault="009C713D" w:rsidP="009D4E6D">
      <w:pPr>
        <w:pStyle w:val="Text"/>
      </w:pPr>
      <w:r w:rsidRPr="00382917">
        <w:t>“</w:t>
      </w:r>
      <w:r w:rsidR="0054338F" w:rsidRPr="00382917">
        <w:t>God,</w:t>
      </w:r>
      <w:r w:rsidRPr="00382917">
        <w:t>”</w:t>
      </w:r>
      <w:r w:rsidR="00EE4FC3">
        <w:t xml:space="preserve"> </w:t>
      </w:r>
      <w:r w:rsidR="0054338F" w:rsidRPr="00382917">
        <w:t>He</w:t>
      </w:r>
      <w:r w:rsidR="00EE4FC3">
        <w:t xml:space="preserve"> </w:t>
      </w:r>
      <w:r w:rsidR="0054338F" w:rsidRPr="00382917">
        <w:t>said,</w:t>
      </w:r>
      <w:r w:rsidR="00EE4FC3">
        <w:t xml:space="preserve"> </w:t>
      </w:r>
      <w:r w:rsidRPr="00382917">
        <w:t>“</w:t>
      </w:r>
      <w:r w:rsidR="0054338F" w:rsidRPr="00382917">
        <w:t>will</w:t>
      </w:r>
      <w:r w:rsidR="00EE4FC3">
        <w:t xml:space="preserve"> </w:t>
      </w:r>
      <w:r w:rsidR="0054338F" w:rsidRPr="00382917">
        <w:t>in</w:t>
      </w:r>
      <w:r w:rsidR="00EE4FC3">
        <w:t xml:space="preserve"> </w:t>
      </w:r>
      <w:r w:rsidR="0054338F" w:rsidRPr="00382917">
        <w:t>the</w:t>
      </w:r>
      <w:r w:rsidR="00EE4FC3">
        <w:t xml:space="preserve"> </w:t>
      </w:r>
      <w:r w:rsidR="0054338F" w:rsidRPr="00382917">
        <w:t>world</w:t>
      </w:r>
      <w:r w:rsidR="00EE4FC3">
        <w:t xml:space="preserve"> </w:t>
      </w:r>
      <w:r w:rsidR="0054338F" w:rsidRPr="00382917">
        <w:t>to</w:t>
      </w:r>
      <w:r w:rsidR="00EE4FC3">
        <w:t xml:space="preserve"> </w:t>
      </w:r>
      <w:r w:rsidR="0054338F" w:rsidRPr="00382917">
        <w:t>come</w:t>
      </w:r>
      <w:r w:rsidR="00EE4FC3">
        <w:t xml:space="preserve"> </w:t>
      </w:r>
      <w:r w:rsidR="0054338F" w:rsidRPr="00382917">
        <w:t>shower</w:t>
      </w:r>
      <w:r w:rsidR="00EE4FC3">
        <w:t xml:space="preserve"> </w:t>
      </w:r>
      <w:r w:rsidR="0054338F" w:rsidRPr="00382917">
        <w:t>upon</w:t>
      </w:r>
      <w:r w:rsidR="00EE4FC3">
        <w:t xml:space="preserve"> </w:t>
      </w:r>
      <w:r w:rsidR="0054338F" w:rsidRPr="00382917">
        <w:t>you</w:t>
      </w:r>
      <w:r w:rsidR="00EE4FC3">
        <w:t xml:space="preserve"> </w:t>
      </w:r>
      <w:r w:rsidR="0054338F" w:rsidRPr="00382917">
        <w:t>inestimable</w:t>
      </w:r>
      <w:r w:rsidR="00EE4FC3">
        <w:t xml:space="preserve"> </w:t>
      </w:r>
      <w:r w:rsidR="0054338F" w:rsidRPr="00382917">
        <w:t>blessings,</w:t>
      </w:r>
      <w:r w:rsidR="00EE4FC3">
        <w:t xml:space="preserve"> </w:t>
      </w:r>
      <w:r w:rsidR="0054338F" w:rsidRPr="00382917">
        <w:t>but</w:t>
      </w:r>
      <w:r w:rsidR="00EE4FC3">
        <w:t xml:space="preserve"> </w:t>
      </w:r>
      <w:r w:rsidR="0054338F" w:rsidRPr="00382917">
        <w:t>of</w:t>
      </w:r>
      <w:r w:rsidR="00EE4FC3">
        <w:t xml:space="preserve"> </w:t>
      </w:r>
      <w:r w:rsidR="0054338F" w:rsidRPr="00382917">
        <w:t>your</w:t>
      </w:r>
      <w:r w:rsidR="00EE4FC3">
        <w:t xml:space="preserve"> </w:t>
      </w:r>
      <w:r w:rsidR="0054338F" w:rsidRPr="00382917">
        <w:t>earthly</w:t>
      </w:r>
      <w:r w:rsidR="00EE4FC3">
        <w:t xml:space="preserve"> </w:t>
      </w:r>
      <w:r w:rsidR="0054338F" w:rsidRPr="00382917">
        <w:t>life</w:t>
      </w:r>
      <w:r w:rsidR="00EE4FC3">
        <w:t xml:space="preserve"> </w:t>
      </w:r>
      <w:r w:rsidR="0054338F" w:rsidRPr="00382917">
        <w:t>there</w:t>
      </w:r>
      <w:r w:rsidR="00EE4FC3">
        <w:t xml:space="preserve"> </w:t>
      </w:r>
      <w:r w:rsidR="0054338F" w:rsidRPr="00382917">
        <w:t>remain</w:t>
      </w:r>
      <w:r w:rsidR="00EE4FC3">
        <w:t xml:space="preserve"> </w:t>
      </w:r>
      <w:r w:rsidR="0054338F" w:rsidRPr="00382917">
        <w:t>only</w:t>
      </w:r>
      <w:r w:rsidR="00EE4FC3">
        <w:t xml:space="preserve"> </w:t>
      </w:r>
      <w:r w:rsidR="0054338F" w:rsidRPr="00382917">
        <w:t>three</w:t>
      </w:r>
      <w:r w:rsidR="00EE4FC3">
        <w:t xml:space="preserve"> </w:t>
      </w:r>
      <w:r w:rsidR="0054338F" w:rsidRPr="00382917">
        <w:t>months</w:t>
      </w:r>
      <w:r w:rsidR="00EE4FC3">
        <w:t xml:space="preserve"> </w:t>
      </w:r>
      <w:r w:rsidR="0054338F" w:rsidRPr="00382917">
        <w:t>and</w:t>
      </w:r>
      <w:r w:rsidR="00EE4FC3">
        <w:t xml:space="preserve"> </w:t>
      </w:r>
      <w:r w:rsidR="0054338F" w:rsidRPr="00382917">
        <w:t>nine</w:t>
      </w:r>
      <w:r w:rsidR="00EE4FC3">
        <w:t xml:space="preserve"> </w:t>
      </w:r>
      <w:r w:rsidR="0054338F" w:rsidRPr="00382917">
        <w:t>days.</w:t>
      </w:r>
      <w:r w:rsidRPr="00382917">
        <w:t>”</w:t>
      </w:r>
    </w:p>
    <w:p w:rsidR="0054338F" w:rsidRPr="00382917" w:rsidRDefault="0054338F" w:rsidP="009D4E6D">
      <w:pPr>
        <w:pStyle w:val="Text"/>
      </w:pPr>
      <w:r w:rsidRPr="00382917">
        <w:t>As</w:t>
      </w:r>
      <w:r w:rsidR="00EE4FC3">
        <w:t xml:space="preserve"> </w:t>
      </w:r>
      <w:r w:rsidRPr="00382917">
        <w:t>the</w:t>
      </w:r>
      <w:r w:rsidR="00EE4FC3">
        <w:t xml:space="preserve"> </w:t>
      </w:r>
      <w:r w:rsidRPr="00382917">
        <w:t>days</w:t>
      </w:r>
      <w:r w:rsidR="00EE4FC3">
        <w:t xml:space="preserve"> </w:t>
      </w:r>
      <w:r w:rsidRPr="00382917">
        <w:t>of</w:t>
      </w:r>
      <w:r w:rsidR="00EE4FC3">
        <w:t xml:space="preserve"> </w:t>
      </w:r>
      <w:r w:rsidRPr="00382917">
        <w:t>his</w:t>
      </w:r>
      <w:r w:rsidR="00EE4FC3">
        <w:t xml:space="preserve"> </w:t>
      </w:r>
      <w:r w:rsidRPr="00382917">
        <w:t>life</w:t>
      </w:r>
      <w:r w:rsidR="00EE4FC3">
        <w:t xml:space="preserve"> </w:t>
      </w:r>
      <w:r w:rsidRPr="00382917">
        <w:t>drew</w:t>
      </w:r>
      <w:r w:rsidR="00EE4FC3">
        <w:t xml:space="preserve"> </w:t>
      </w:r>
      <w:r w:rsidRPr="00382917">
        <w:t>to</w:t>
      </w:r>
      <w:r w:rsidR="00EE4FC3">
        <w:t xml:space="preserve"> </w:t>
      </w:r>
      <w:r w:rsidRPr="00382917">
        <w:t>a</w:t>
      </w:r>
      <w:r w:rsidR="00EE4FC3">
        <w:t xml:space="preserve"> </w:t>
      </w:r>
      <w:r w:rsidRPr="00382917">
        <w:t>close,</w:t>
      </w:r>
      <w:r w:rsidR="00EE4FC3">
        <w:t xml:space="preserve"> </w:t>
      </w:r>
      <w:r w:rsidRPr="00382917">
        <w:t>the</w:t>
      </w:r>
      <w:r w:rsidR="00EE4FC3">
        <w:t xml:space="preserve"> </w:t>
      </w:r>
      <w:r w:rsidRPr="00382917">
        <w:t>governor</w:t>
      </w:r>
      <w:r w:rsidR="00EE4FC3">
        <w:t xml:space="preserve"> </w:t>
      </w:r>
      <w:r w:rsidRPr="00382917">
        <w:t>spent</w:t>
      </w:r>
      <w:r w:rsidR="00EE4FC3">
        <w:t xml:space="preserve"> </w:t>
      </w:r>
      <w:r w:rsidRPr="00382917">
        <w:t>more</w:t>
      </w:r>
      <w:r w:rsidR="00EE4FC3">
        <w:t xml:space="preserve"> </w:t>
      </w:r>
      <w:r w:rsidRPr="00382917">
        <w:t>and</w:t>
      </w:r>
      <w:r w:rsidR="00EE4FC3">
        <w:t xml:space="preserve"> </w:t>
      </w:r>
      <w:r w:rsidRPr="00382917">
        <w:t>more</w:t>
      </w:r>
      <w:r w:rsidR="00EE4FC3">
        <w:t xml:space="preserve"> </w:t>
      </w:r>
      <w:r w:rsidRPr="00382917">
        <w:t>time</w:t>
      </w:r>
      <w:r w:rsidR="00EE4FC3">
        <w:t xml:space="preserve"> </w:t>
      </w:r>
      <w:r w:rsidRPr="00382917">
        <w:t>with</w:t>
      </w:r>
      <w:r w:rsidR="00EE4FC3">
        <w:t xml:space="preserve"> </w:t>
      </w:r>
      <w:r w:rsidRPr="00382917">
        <w:t>the</w:t>
      </w:r>
      <w:r w:rsidR="00EE4FC3">
        <w:t xml:space="preserve"> </w:t>
      </w:r>
      <w:r w:rsidRPr="00382917">
        <w:t>Báb.</w:t>
      </w:r>
    </w:p>
    <w:p w:rsidR="0054338F" w:rsidRPr="00382917" w:rsidRDefault="009C713D" w:rsidP="009D4E6D">
      <w:pPr>
        <w:pStyle w:val="Text"/>
      </w:pPr>
      <w:r w:rsidRPr="00382917">
        <w:t>“</w:t>
      </w:r>
      <w:r w:rsidR="0054338F" w:rsidRPr="00382917">
        <w:t>I</w:t>
      </w:r>
      <w:r w:rsidR="00EE4FC3">
        <w:t xml:space="preserve"> </w:t>
      </w:r>
      <w:r w:rsidR="0054338F" w:rsidRPr="00382917">
        <w:t>feel</w:t>
      </w:r>
      <w:r w:rsidR="00EE4FC3">
        <w:t xml:space="preserve"> </w:t>
      </w:r>
      <w:r w:rsidR="0054338F" w:rsidRPr="00382917">
        <w:t>a</w:t>
      </w:r>
      <w:r w:rsidR="00EE4FC3">
        <w:t xml:space="preserve"> </w:t>
      </w:r>
      <w:r w:rsidR="0054338F" w:rsidRPr="00382917">
        <w:t>great</w:t>
      </w:r>
      <w:r w:rsidR="00EE4FC3">
        <w:t xml:space="preserve"> </w:t>
      </w:r>
      <w:r w:rsidR="0054338F" w:rsidRPr="00382917">
        <w:t>happiness</w:t>
      </w:r>
      <w:r w:rsidR="00EE4FC3">
        <w:t xml:space="preserve"> </w:t>
      </w:r>
      <w:r w:rsidR="0054338F" w:rsidRPr="00382917">
        <w:t>flooding</w:t>
      </w:r>
      <w:r w:rsidR="00EE4FC3">
        <w:t xml:space="preserve"> </w:t>
      </w:r>
      <w:r w:rsidR="0054338F" w:rsidRPr="00382917">
        <w:t>my</w:t>
      </w:r>
      <w:r w:rsidR="00EE4FC3">
        <w:t xml:space="preserve"> </w:t>
      </w:r>
      <w:r w:rsidR="0054338F" w:rsidRPr="00382917">
        <w:t>life,</w:t>
      </w:r>
      <w:r w:rsidRPr="00382917">
        <w:t>”</w:t>
      </w:r>
      <w:r w:rsidR="00EE4FC3">
        <w:t xml:space="preserve"> </w:t>
      </w:r>
      <w:r w:rsidR="0054338F" w:rsidRPr="00382917">
        <w:t>he</w:t>
      </w:r>
      <w:r w:rsidR="00EE4FC3">
        <w:t xml:space="preserve"> </w:t>
      </w:r>
      <w:r w:rsidR="0054338F" w:rsidRPr="00382917">
        <w:t>told</w:t>
      </w:r>
      <w:r w:rsidR="00EE4FC3">
        <w:t xml:space="preserve"> </w:t>
      </w:r>
      <w:r w:rsidR="0054338F" w:rsidRPr="00382917">
        <w:t>the</w:t>
      </w:r>
      <w:r w:rsidR="00EE4FC3">
        <w:t xml:space="preserve"> </w:t>
      </w:r>
      <w:r w:rsidR="0054338F" w:rsidRPr="00382917">
        <w:t>Báb</w:t>
      </w:r>
      <w:r w:rsidR="00EE4FC3">
        <w:t xml:space="preserve"> </w:t>
      </w:r>
      <w:r w:rsidR="0054338F" w:rsidRPr="00382917">
        <w:t>one</w:t>
      </w:r>
      <w:r w:rsidR="00EE4FC3">
        <w:t xml:space="preserve"> </w:t>
      </w:r>
      <w:r w:rsidR="0054338F" w:rsidRPr="00382917">
        <w:t>day,</w:t>
      </w:r>
      <w:r w:rsidR="00EE4FC3">
        <w:t xml:space="preserve"> </w:t>
      </w:r>
      <w:r w:rsidRPr="00382917">
        <w:t>“</w:t>
      </w:r>
      <w:r w:rsidR="0054338F" w:rsidRPr="00382917">
        <w:t>but</w:t>
      </w:r>
      <w:r w:rsidR="00EE4FC3">
        <w:t xml:space="preserve"> </w:t>
      </w:r>
      <w:r w:rsidR="0054338F" w:rsidRPr="00382917">
        <w:t>I</w:t>
      </w:r>
      <w:r w:rsidR="00EE4FC3">
        <w:t xml:space="preserve"> </w:t>
      </w:r>
      <w:r w:rsidR="0054338F" w:rsidRPr="00382917">
        <w:t>am</w:t>
      </w:r>
      <w:r w:rsidR="00EE4FC3">
        <w:t xml:space="preserve"> </w:t>
      </w:r>
      <w:r w:rsidR="0054338F" w:rsidRPr="00382917">
        <w:t>apprehensive</w:t>
      </w:r>
      <w:r w:rsidR="00EE4FC3">
        <w:t xml:space="preserve"> </w:t>
      </w:r>
      <w:r w:rsidR="0054338F" w:rsidRPr="00382917">
        <w:t>for</w:t>
      </w:r>
      <w:r w:rsidR="00EE4FC3">
        <w:t xml:space="preserve"> </w:t>
      </w:r>
      <w:proofErr w:type="gramStart"/>
      <w:r w:rsidR="0054338F" w:rsidRPr="00382917">
        <w:t>You</w:t>
      </w:r>
      <w:proofErr w:type="gramEnd"/>
      <w:r w:rsidR="00C03C91">
        <w:t>.</w:t>
      </w:r>
      <w:r w:rsidR="00EE4FC3">
        <w:t xml:space="preserve">  </w:t>
      </w:r>
      <w:r w:rsidR="0054338F" w:rsidRPr="00382917">
        <w:t>I</w:t>
      </w:r>
      <w:r w:rsidR="00EE4FC3">
        <w:t xml:space="preserve"> </w:t>
      </w:r>
      <w:r w:rsidR="0054338F" w:rsidRPr="00382917">
        <w:t>fear</w:t>
      </w:r>
      <w:r w:rsidR="00EE4FC3">
        <w:t xml:space="preserve"> </w:t>
      </w:r>
      <w:r w:rsidR="0054338F" w:rsidRPr="00382917">
        <w:t>to</w:t>
      </w:r>
      <w:r w:rsidR="00EE4FC3">
        <w:t xml:space="preserve"> </w:t>
      </w:r>
      <w:r w:rsidR="0054338F" w:rsidRPr="00382917">
        <w:t>leave</w:t>
      </w:r>
      <w:r w:rsidR="00EE4FC3">
        <w:t xml:space="preserve"> </w:t>
      </w:r>
      <w:proofErr w:type="gramStart"/>
      <w:r w:rsidR="0054338F" w:rsidRPr="00382917">
        <w:t>You</w:t>
      </w:r>
      <w:proofErr w:type="gramEnd"/>
      <w:r w:rsidR="00EE4FC3">
        <w:t xml:space="preserve"> </w:t>
      </w:r>
      <w:r w:rsidR="0054338F" w:rsidRPr="00382917">
        <w:t>to</w:t>
      </w:r>
      <w:r w:rsidR="00EE4FC3">
        <w:t xml:space="preserve"> </w:t>
      </w:r>
      <w:r w:rsidR="0054338F" w:rsidRPr="00382917">
        <w:t>the</w:t>
      </w:r>
    </w:p>
    <w:p w:rsidR="002C2EDA" w:rsidRPr="00382917" w:rsidRDefault="002C2EDA">
      <w:pPr>
        <w:widowControl/>
        <w:kinsoku/>
        <w:overflowPunct/>
        <w:textAlignment w:val="auto"/>
      </w:pPr>
      <w:r w:rsidRPr="00382917">
        <w:br w:type="page"/>
      </w:r>
    </w:p>
    <w:p w:rsidR="0054338F" w:rsidRPr="00382917" w:rsidRDefault="0054338F" w:rsidP="002C2EDA">
      <w:pPr>
        <w:pStyle w:val="Textcts"/>
      </w:pPr>
      <w:proofErr w:type="gramStart"/>
      <w:r w:rsidRPr="00382917">
        <w:t>mercy</w:t>
      </w:r>
      <w:proofErr w:type="gramEnd"/>
      <w:r w:rsidR="00EE4FC3">
        <w:t xml:space="preserve"> </w:t>
      </w:r>
      <w:r w:rsidRPr="00382917">
        <w:t>of</w:t>
      </w:r>
      <w:r w:rsidR="00EE4FC3">
        <w:t xml:space="preserve"> </w:t>
      </w:r>
      <w:r w:rsidRPr="00382917">
        <w:t>my</w:t>
      </w:r>
      <w:r w:rsidR="00EE4FC3">
        <w:t xml:space="preserve"> </w:t>
      </w:r>
      <w:r w:rsidRPr="00382917">
        <w:t>successor,</w:t>
      </w:r>
      <w:r w:rsidR="00EE4FC3">
        <w:t xml:space="preserve"> </w:t>
      </w:r>
      <w:r w:rsidR="00C03C91" w:rsidRPr="00382917">
        <w:t>Gurgín</w:t>
      </w:r>
      <w:r w:rsidR="00EE4FC3">
        <w:t xml:space="preserve"> </w:t>
      </w:r>
      <w:r w:rsidR="0040329F" w:rsidRPr="0040329F">
        <w:rPr>
          <w:u w:val="single"/>
        </w:rPr>
        <w:t>Kh</w:t>
      </w:r>
      <w:r w:rsidR="0040329F" w:rsidRPr="00382917">
        <w:t>án</w:t>
      </w:r>
      <w:r w:rsidR="00C03C91">
        <w:t>.</w:t>
      </w:r>
      <w:r w:rsidR="00EE4FC3">
        <w:t xml:space="preserve">  </w:t>
      </w:r>
      <w:r w:rsidRPr="00382917">
        <w:t>He</w:t>
      </w:r>
      <w:r w:rsidR="00EE4FC3">
        <w:t xml:space="preserve"> </w:t>
      </w:r>
      <w:r w:rsidRPr="00382917">
        <w:t>will</w:t>
      </w:r>
      <w:r w:rsidR="00EE4FC3">
        <w:t xml:space="preserve"> </w:t>
      </w:r>
      <w:r w:rsidRPr="00382917">
        <w:t>discover</w:t>
      </w:r>
      <w:r w:rsidR="00EE4FC3">
        <w:t xml:space="preserve"> </w:t>
      </w:r>
      <w:proofErr w:type="gramStart"/>
      <w:r w:rsidRPr="00382917">
        <w:t>Your</w:t>
      </w:r>
      <w:proofErr w:type="gramEnd"/>
      <w:r w:rsidR="00EE4FC3">
        <w:t xml:space="preserve"> </w:t>
      </w:r>
      <w:r w:rsidRPr="00382917">
        <w:t>presence</w:t>
      </w:r>
      <w:r w:rsidR="00EE4FC3">
        <w:t xml:space="preserve"> </w:t>
      </w:r>
      <w:r w:rsidRPr="00382917">
        <w:t>in</w:t>
      </w:r>
      <w:r w:rsidR="00EE4FC3">
        <w:t xml:space="preserve"> </w:t>
      </w:r>
      <w:r w:rsidRPr="00382917">
        <w:t>this</w:t>
      </w:r>
      <w:r w:rsidR="00EE4FC3">
        <w:t xml:space="preserve"> </w:t>
      </w:r>
      <w:r w:rsidRPr="00382917">
        <w:t>house</w:t>
      </w:r>
      <w:r w:rsidR="00EE4FC3">
        <w:t xml:space="preserve"> </w:t>
      </w:r>
      <w:r w:rsidRPr="00382917">
        <w:t>and</w:t>
      </w:r>
      <w:r w:rsidR="00EE4FC3">
        <w:t xml:space="preserve"> </w:t>
      </w:r>
      <w:r w:rsidRPr="00382917">
        <w:t>will</w:t>
      </w:r>
      <w:r w:rsidR="00EE4FC3">
        <w:t xml:space="preserve"> </w:t>
      </w:r>
      <w:r w:rsidRPr="00382917">
        <w:t>grievously</w:t>
      </w:r>
      <w:r w:rsidR="00EE4FC3">
        <w:t xml:space="preserve"> </w:t>
      </w:r>
      <w:r w:rsidRPr="00382917">
        <w:t>ill-treat</w:t>
      </w:r>
      <w:r w:rsidR="00EE4FC3">
        <w:t xml:space="preserve"> </w:t>
      </w:r>
      <w:r w:rsidRPr="00382917">
        <w:t>You.</w:t>
      </w:r>
      <w:r w:rsidR="009C713D" w:rsidRPr="00382917">
        <w:t>”</w:t>
      </w:r>
    </w:p>
    <w:p w:rsidR="0054338F" w:rsidRPr="00382917" w:rsidRDefault="009C713D" w:rsidP="0040329F">
      <w:pPr>
        <w:pStyle w:val="Text"/>
      </w:pPr>
      <w:r w:rsidRPr="00382917">
        <w:t>“</w:t>
      </w:r>
      <w:r w:rsidR="0054338F" w:rsidRPr="00382917">
        <w:t>Fear</w:t>
      </w:r>
      <w:r w:rsidR="00EE4FC3">
        <w:t xml:space="preserve"> </w:t>
      </w:r>
      <w:r w:rsidR="0054338F" w:rsidRPr="00382917">
        <w:t>not,</w:t>
      </w:r>
      <w:r w:rsidRPr="00382917">
        <w:t>”</w:t>
      </w:r>
      <w:r w:rsidR="00EE4FC3">
        <w:t xml:space="preserve"> </w:t>
      </w:r>
      <w:r w:rsidR="0054338F" w:rsidRPr="00382917">
        <w:t>the</w:t>
      </w:r>
      <w:r w:rsidR="00EE4FC3">
        <w:t xml:space="preserve"> </w:t>
      </w:r>
      <w:r w:rsidR="0054338F" w:rsidRPr="00382917">
        <w:t>Báb</w:t>
      </w:r>
      <w:r w:rsidR="00EE4FC3">
        <w:t xml:space="preserve"> </w:t>
      </w:r>
      <w:r w:rsidR="0054338F" w:rsidRPr="00382917">
        <w:t>assured</w:t>
      </w:r>
      <w:r w:rsidR="00EE4FC3">
        <w:t xml:space="preserve"> </w:t>
      </w:r>
      <w:r w:rsidR="0054338F" w:rsidRPr="00382917">
        <w:t>him</w:t>
      </w:r>
      <w:r w:rsidR="00C03C91">
        <w:t>.</w:t>
      </w:r>
      <w:r w:rsidR="00EE4FC3">
        <w:t xml:space="preserve">  </w:t>
      </w:r>
      <w:r w:rsidR="0054338F" w:rsidRPr="00382917">
        <w:t>He</w:t>
      </w:r>
      <w:r w:rsidR="00EE4FC3">
        <w:t xml:space="preserve"> </w:t>
      </w:r>
      <w:r w:rsidR="0054338F" w:rsidRPr="00382917">
        <w:t>quoted</w:t>
      </w:r>
      <w:r w:rsidR="00EE4FC3">
        <w:t xml:space="preserve"> </w:t>
      </w:r>
      <w:r w:rsidR="0054338F" w:rsidRPr="00382917">
        <w:t>words</w:t>
      </w:r>
      <w:r w:rsidR="00EE4FC3">
        <w:t xml:space="preserve"> </w:t>
      </w:r>
      <w:r w:rsidR="0054338F" w:rsidRPr="00382917">
        <w:t>akin</w:t>
      </w:r>
      <w:r w:rsidR="00EE4FC3">
        <w:t xml:space="preserve"> </w:t>
      </w:r>
      <w:r w:rsidR="0054338F" w:rsidRPr="00382917">
        <w:t>to</w:t>
      </w:r>
      <w:r w:rsidR="00EE4FC3">
        <w:t xml:space="preserve"> </w:t>
      </w:r>
      <w:r w:rsidR="0054338F" w:rsidRPr="00382917">
        <w:t>those</w:t>
      </w:r>
      <w:r w:rsidR="00EE4FC3">
        <w:t xml:space="preserve"> </w:t>
      </w:r>
      <w:r w:rsidR="0054338F" w:rsidRPr="00382917">
        <w:t>spoken</w:t>
      </w:r>
      <w:r w:rsidR="00EE4FC3">
        <w:t xml:space="preserve"> </w:t>
      </w:r>
      <w:r w:rsidR="0054338F" w:rsidRPr="00382917">
        <w:t>by</w:t>
      </w:r>
      <w:r w:rsidR="00EE4FC3">
        <w:t xml:space="preserve"> </w:t>
      </w:r>
      <w:r w:rsidR="0054338F" w:rsidRPr="00382917">
        <w:t>Christ</w:t>
      </w:r>
      <w:r w:rsidR="00EE4FC3">
        <w:t xml:space="preserve"> </w:t>
      </w:r>
      <w:r w:rsidR="0054338F" w:rsidRPr="00382917">
        <w:t>and</w:t>
      </w:r>
      <w:r w:rsidR="00EE4FC3">
        <w:t xml:space="preserve"> </w:t>
      </w:r>
      <w:r w:rsidR="0054338F" w:rsidRPr="00382917">
        <w:t>Mu</w:t>
      </w:r>
      <w:r w:rsidR="0040329F" w:rsidRPr="0040329F">
        <w:t>ḥ</w:t>
      </w:r>
      <w:r w:rsidR="0054338F" w:rsidRPr="00382917">
        <w:t>ammad</w:t>
      </w:r>
      <w:r w:rsidR="00EE4FC3">
        <w:t xml:space="preserve"> </w:t>
      </w:r>
      <w:r w:rsidR="0054338F" w:rsidRPr="00382917">
        <w:t>under</w:t>
      </w:r>
      <w:r w:rsidR="00EE4FC3">
        <w:t xml:space="preserve"> </w:t>
      </w:r>
      <w:r w:rsidR="0054338F" w:rsidRPr="00382917">
        <w:t>similar</w:t>
      </w:r>
      <w:r w:rsidR="00EE4FC3">
        <w:t xml:space="preserve"> </w:t>
      </w:r>
      <w:r w:rsidR="0054338F" w:rsidRPr="00382917">
        <w:t>circumstances,</w:t>
      </w:r>
      <w:r w:rsidR="00EE4FC3">
        <w:t xml:space="preserve"> </w:t>
      </w:r>
      <w:r w:rsidR="0054338F" w:rsidRPr="00382917">
        <w:t>saying:</w:t>
      </w:r>
    </w:p>
    <w:p w:rsidR="0054338F" w:rsidRPr="00382917" w:rsidRDefault="009C713D" w:rsidP="0009276A">
      <w:pPr>
        <w:pStyle w:val="Quote"/>
      </w:pPr>
      <w:r w:rsidRPr="00382917">
        <w:t>“</w:t>
      </w:r>
      <w:r w:rsidR="0054338F" w:rsidRPr="00382917">
        <w:t>Of</w:t>
      </w:r>
      <w:r w:rsidR="00EE4FC3">
        <w:t xml:space="preserve"> </w:t>
      </w:r>
      <w:r w:rsidR="0054338F" w:rsidRPr="00382917">
        <w:t>My</w:t>
      </w:r>
      <w:r w:rsidR="00EE4FC3">
        <w:t xml:space="preserve"> </w:t>
      </w:r>
      <w:r w:rsidR="0054338F" w:rsidRPr="00382917">
        <w:t>own</w:t>
      </w:r>
      <w:r w:rsidR="00EE4FC3">
        <w:t xml:space="preserve"> </w:t>
      </w:r>
      <w:r w:rsidR="0054338F" w:rsidRPr="00382917">
        <w:t>will</w:t>
      </w:r>
      <w:r w:rsidR="00EE4FC3">
        <w:t xml:space="preserve"> </w:t>
      </w:r>
      <w:r w:rsidR="0054338F" w:rsidRPr="00382917">
        <w:t>have</w:t>
      </w:r>
      <w:r w:rsidR="00EE4FC3">
        <w:t xml:space="preserve"> </w:t>
      </w:r>
      <w:r w:rsidR="0054338F" w:rsidRPr="00382917">
        <w:t>I</w:t>
      </w:r>
      <w:r w:rsidR="00EE4FC3">
        <w:t xml:space="preserve"> </w:t>
      </w:r>
      <w:r w:rsidR="0054338F" w:rsidRPr="00382917">
        <w:t>chosen</w:t>
      </w:r>
      <w:r w:rsidR="00EE4FC3">
        <w:t xml:space="preserve"> </w:t>
      </w:r>
      <w:r w:rsidR="0054338F" w:rsidRPr="00382917">
        <w:t>to</w:t>
      </w:r>
      <w:r w:rsidR="00EE4FC3">
        <w:t xml:space="preserve"> </w:t>
      </w:r>
      <w:r w:rsidR="0054338F" w:rsidRPr="00382917">
        <w:t>be</w:t>
      </w:r>
      <w:r w:rsidR="00EE4FC3">
        <w:t xml:space="preserve"> </w:t>
      </w:r>
      <w:r w:rsidR="0054338F" w:rsidRPr="00382917">
        <w:t>afflicted</w:t>
      </w:r>
      <w:r w:rsidR="00EE4FC3">
        <w:t xml:space="preserve"> </w:t>
      </w:r>
      <w:r w:rsidR="0054338F" w:rsidRPr="00382917">
        <w:t>by</w:t>
      </w:r>
      <w:r w:rsidR="00EE4FC3">
        <w:t xml:space="preserve"> </w:t>
      </w:r>
      <w:proofErr w:type="gramStart"/>
      <w:r w:rsidR="0054338F" w:rsidRPr="00382917">
        <w:t>My</w:t>
      </w:r>
      <w:proofErr w:type="gramEnd"/>
      <w:r w:rsidR="00EE4FC3">
        <w:t xml:space="preserve"> </w:t>
      </w:r>
      <w:r w:rsidR="0054338F" w:rsidRPr="00382917">
        <w:t>enemies</w:t>
      </w:r>
      <w:r w:rsidR="00EE4FC3">
        <w:t xml:space="preserve"> </w:t>
      </w:r>
      <w:r w:rsidR="0054338F" w:rsidRPr="00382917">
        <w:t>that</w:t>
      </w:r>
      <w:r w:rsidR="00EE4FC3">
        <w:t xml:space="preserve"> </w:t>
      </w:r>
      <w:r w:rsidR="0054338F" w:rsidRPr="00382917">
        <w:t>God</w:t>
      </w:r>
      <w:r w:rsidR="00EE4FC3">
        <w:t xml:space="preserve"> </w:t>
      </w:r>
      <w:r w:rsidR="0054338F" w:rsidRPr="00382917">
        <w:t>might</w:t>
      </w:r>
      <w:r w:rsidR="00EE4FC3">
        <w:t xml:space="preserve"> </w:t>
      </w:r>
      <w:r w:rsidR="0054338F" w:rsidRPr="00382917">
        <w:t>accomplish</w:t>
      </w:r>
      <w:r w:rsidR="00EE4FC3">
        <w:t xml:space="preserve"> </w:t>
      </w:r>
      <w:r w:rsidR="0054338F" w:rsidRPr="00382917">
        <w:t>the</w:t>
      </w:r>
      <w:r w:rsidR="00EE4FC3">
        <w:t xml:space="preserve"> </w:t>
      </w:r>
      <w:r w:rsidR="0054338F" w:rsidRPr="00382917">
        <w:t>thing</w:t>
      </w:r>
      <w:r w:rsidR="00EE4FC3">
        <w:t xml:space="preserve"> </w:t>
      </w:r>
      <w:r w:rsidR="0054338F" w:rsidRPr="00382917">
        <w:t>destined</w:t>
      </w:r>
      <w:r w:rsidR="00EE4FC3">
        <w:t xml:space="preserve"> </w:t>
      </w:r>
      <w:r w:rsidR="0054338F" w:rsidRPr="00382917">
        <w:t>to</w:t>
      </w:r>
      <w:r w:rsidR="00EE4FC3">
        <w:t xml:space="preserve"> </w:t>
      </w:r>
      <w:r w:rsidR="0054338F" w:rsidRPr="00382917">
        <w:t>be</w:t>
      </w:r>
      <w:r w:rsidR="00EE4FC3">
        <w:t xml:space="preserve"> </w:t>
      </w:r>
      <w:r w:rsidR="0054338F" w:rsidRPr="00382917">
        <w:t>done.</w:t>
      </w:r>
      <w:r w:rsidRPr="00382917">
        <w:t>”</w:t>
      </w:r>
    </w:p>
    <w:p w:rsidR="0054338F" w:rsidRPr="00382917" w:rsidRDefault="0040329F" w:rsidP="002C2EDA">
      <w:pPr>
        <w:pStyle w:val="Text"/>
      </w:pPr>
      <w:r w:rsidRPr="00382917">
        <w:t>Manú</w:t>
      </w:r>
      <w:r w:rsidRPr="0040329F">
        <w:rPr>
          <w:u w:val="single"/>
        </w:rPr>
        <w:t>ch</w:t>
      </w:r>
      <w:r w:rsidRPr="00382917">
        <w:t>ihr</w:t>
      </w:r>
      <w:r w:rsidR="00EE4FC3">
        <w:t xml:space="preserve"> </w:t>
      </w:r>
      <w:r w:rsidRPr="0040329F">
        <w:rPr>
          <w:u w:val="single"/>
        </w:rPr>
        <w:t>Kh</w:t>
      </w:r>
      <w:r w:rsidRPr="00382917">
        <w:t>án</w:t>
      </w:r>
      <w:r w:rsidR="00EE4FC3">
        <w:t xml:space="preserve"> </w:t>
      </w:r>
      <w:r w:rsidR="0054338F" w:rsidRPr="00382917">
        <w:t>was</w:t>
      </w:r>
      <w:r w:rsidR="00EE4FC3">
        <w:t xml:space="preserve"> </w:t>
      </w:r>
      <w:r w:rsidR="0054338F" w:rsidRPr="00382917">
        <w:t>satisfied</w:t>
      </w:r>
      <w:r w:rsidR="00EE4FC3">
        <w:t xml:space="preserve"> </w:t>
      </w:r>
      <w:r w:rsidR="0054338F" w:rsidRPr="00382917">
        <w:t>with</w:t>
      </w:r>
      <w:r w:rsidR="00EE4FC3">
        <w:t xml:space="preserve"> </w:t>
      </w:r>
      <w:r w:rsidR="0054338F" w:rsidRPr="00382917">
        <w:t>these</w:t>
      </w:r>
      <w:r w:rsidR="00EE4FC3">
        <w:t xml:space="preserve"> </w:t>
      </w:r>
      <w:r w:rsidR="0054338F" w:rsidRPr="00382917">
        <w:t>words</w:t>
      </w:r>
      <w:r w:rsidR="00C03C91">
        <w:t>.</w:t>
      </w:r>
      <w:r w:rsidR="00EE4FC3">
        <w:t xml:space="preserve">  </w:t>
      </w:r>
      <w:r w:rsidR="0054338F" w:rsidRPr="00382917">
        <w:t>His</w:t>
      </w:r>
      <w:r w:rsidR="00EE4FC3">
        <w:t xml:space="preserve"> </w:t>
      </w:r>
      <w:r w:rsidR="0054338F" w:rsidRPr="00382917">
        <w:t>heart</w:t>
      </w:r>
      <w:r w:rsidR="00EE4FC3">
        <w:t xml:space="preserve"> </w:t>
      </w:r>
      <w:r w:rsidR="0054338F" w:rsidRPr="00382917">
        <w:t>was</w:t>
      </w:r>
      <w:r w:rsidR="00EE4FC3">
        <w:t xml:space="preserve"> </w:t>
      </w:r>
      <w:r w:rsidR="0054338F" w:rsidRPr="00382917">
        <w:t>refreshed</w:t>
      </w:r>
      <w:r w:rsidR="00C03C91">
        <w:t>.</w:t>
      </w:r>
      <w:r w:rsidR="00EE4FC3">
        <w:t xml:space="preserve">  </w:t>
      </w:r>
      <w:r w:rsidR="0054338F" w:rsidRPr="00382917">
        <w:t>He</w:t>
      </w:r>
      <w:r w:rsidR="00EE4FC3">
        <w:t xml:space="preserve"> </w:t>
      </w:r>
      <w:r w:rsidR="0054338F" w:rsidRPr="00382917">
        <w:t>knew</w:t>
      </w:r>
      <w:r w:rsidR="00EE4FC3">
        <w:t xml:space="preserve"> </w:t>
      </w:r>
      <w:r w:rsidR="0054338F" w:rsidRPr="00382917">
        <w:t>now</w:t>
      </w:r>
      <w:r w:rsidR="00EE4FC3">
        <w:t xml:space="preserve"> </w:t>
      </w:r>
      <w:r w:rsidR="0054338F" w:rsidRPr="00382917">
        <w:t>that</w:t>
      </w:r>
      <w:r w:rsidR="00EE4FC3">
        <w:t xml:space="preserve"> </w:t>
      </w:r>
      <w:r w:rsidR="0054338F" w:rsidRPr="00382917">
        <w:t>he</w:t>
      </w:r>
      <w:r w:rsidR="00EE4FC3">
        <w:t xml:space="preserve"> </w:t>
      </w:r>
      <w:r w:rsidR="0054338F" w:rsidRPr="00382917">
        <w:t>had</w:t>
      </w:r>
      <w:r w:rsidR="00EE4FC3">
        <w:t xml:space="preserve"> </w:t>
      </w:r>
      <w:r w:rsidR="0054338F" w:rsidRPr="00382917">
        <w:t>not</w:t>
      </w:r>
      <w:r w:rsidR="00EE4FC3">
        <w:t xml:space="preserve"> </w:t>
      </w:r>
      <w:r w:rsidR="0054338F" w:rsidRPr="00382917">
        <w:t>spent</w:t>
      </w:r>
      <w:r w:rsidR="00EE4FC3">
        <w:t xml:space="preserve"> </w:t>
      </w:r>
      <w:r w:rsidR="0054338F" w:rsidRPr="00382917">
        <w:t>his</w:t>
      </w:r>
      <w:r w:rsidR="00EE4FC3">
        <w:t xml:space="preserve"> </w:t>
      </w:r>
      <w:r w:rsidR="0054338F" w:rsidRPr="00382917">
        <w:t>own</w:t>
      </w:r>
      <w:r w:rsidR="00EE4FC3">
        <w:t xml:space="preserve"> </w:t>
      </w:r>
      <w:r w:rsidR="0054338F" w:rsidRPr="00382917">
        <w:t>days</w:t>
      </w:r>
      <w:r w:rsidR="00EE4FC3">
        <w:t xml:space="preserve"> </w:t>
      </w:r>
      <w:r w:rsidR="0054338F" w:rsidRPr="00382917">
        <w:t>on</w:t>
      </w:r>
      <w:r w:rsidR="00EE4FC3">
        <w:t xml:space="preserve"> </w:t>
      </w:r>
      <w:r w:rsidR="0054338F" w:rsidRPr="00382917">
        <w:t>earth</w:t>
      </w:r>
      <w:r w:rsidR="00EE4FC3">
        <w:t xml:space="preserve"> </w:t>
      </w:r>
      <w:r w:rsidR="0054338F" w:rsidRPr="00382917">
        <w:t>in</w:t>
      </w:r>
      <w:r w:rsidR="00EE4FC3">
        <w:t xml:space="preserve"> </w:t>
      </w:r>
      <w:r w:rsidR="0054338F" w:rsidRPr="00382917">
        <w:t>vain</w:t>
      </w:r>
      <w:r w:rsidR="00C03C91">
        <w:t>.</w:t>
      </w:r>
      <w:r w:rsidR="00EE4FC3">
        <w:t xml:space="preserve">  </w:t>
      </w:r>
      <w:r w:rsidR="0054338F" w:rsidRPr="00382917">
        <w:t>He</w:t>
      </w:r>
      <w:r w:rsidR="00EE4FC3">
        <w:t xml:space="preserve"> </w:t>
      </w:r>
      <w:r w:rsidR="0054338F" w:rsidRPr="00382917">
        <w:t>had</w:t>
      </w:r>
      <w:r w:rsidR="00EE4FC3">
        <w:t xml:space="preserve"> </w:t>
      </w:r>
      <w:r w:rsidR="0054338F" w:rsidRPr="00382917">
        <w:t>met</w:t>
      </w:r>
      <w:r w:rsidR="00EE4FC3">
        <w:t xml:space="preserve"> </w:t>
      </w:r>
      <w:r w:rsidR="0054338F" w:rsidRPr="00382917">
        <w:t>and</w:t>
      </w:r>
      <w:r w:rsidR="00EE4FC3">
        <w:t xml:space="preserve"> </w:t>
      </w:r>
      <w:r w:rsidR="0054338F" w:rsidRPr="00382917">
        <w:t>believed</w:t>
      </w:r>
      <w:r w:rsidR="00EE4FC3">
        <w:t xml:space="preserve"> </w:t>
      </w:r>
      <w:r w:rsidR="0054338F" w:rsidRPr="00382917">
        <w:t>in</w:t>
      </w:r>
      <w:r w:rsidR="00EE4FC3">
        <w:t xml:space="preserve"> </w:t>
      </w:r>
      <w:r w:rsidR="0054338F" w:rsidRPr="00382917">
        <w:t>the</w:t>
      </w:r>
      <w:r w:rsidR="00EE4FC3">
        <w:t xml:space="preserve"> </w:t>
      </w:r>
      <w:r w:rsidR="0054338F" w:rsidRPr="00382917">
        <w:t>Promised</w:t>
      </w:r>
      <w:r w:rsidR="00EE4FC3">
        <w:t xml:space="preserve"> </w:t>
      </w:r>
      <w:r w:rsidR="0054338F" w:rsidRPr="00382917">
        <w:t>One</w:t>
      </w:r>
      <w:r w:rsidR="00C03C91">
        <w:t>.</w:t>
      </w:r>
      <w:r w:rsidR="00EE4FC3">
        <w:t xml:space="preserve">  </w:t>
      </w:r>
      <w:r w:rsidR="0054338F" w:rsidRPr="00382917">
        <w:t>His</w:t>
      </w:r>
      <w:r w:rsidR="00EE4FC3">
        <w:t xml:space="preserve"> </w:t>
      </w:r>
      <w:r w:rsidR="0054338F" w:rsidRPr="00382917">
        <w:t>ears</w:t>
      </w:r>
      <w:r w:rsidR="00EE4FC3">
        <w:t xml:space="preserve"> </w:t>
      </w:r>
      <w:r w:rsidR="0054338F" w:rsidRPr="00382917">
        <w:t>had</w:t>
      </w:r>
      <w:r w:rsidR="00EE4FC3">
        <w:t xml:space="preserve"> </w:t>
      </w:r>
      <w:r w:rsidR="0054338F" w:rsidRPr="00382917">
        <w:t>not</w:t>
      </w:r>
      <w:r w:rsidR="00EE4FC3">
        <w:t xml:space="preserve"> </w:t>
      </w:r>
      <w:r w:rsidR="0054338F" w:rsidRPr="00382917">
        <w:t>been</w:t>
      </w:r>
      <w:r w:rsidR="00EE4FC3">
        <w:t xml:space="preserve"> </w:t>
      </w:r>
      <w:r w:rsidR="0054338F" w:rsidRPr="00382917">
        <w:t>stopped</w:t>
      </w:r>
      <w:r w:rsidR="00EE4FC3">
        <w:t xml:space="preserve"> </w:t>
      </w:r>
      <w:r w:rsidR="0054338F" w:rsidRPr="00382917">
        <w:t>by</w:t>
      </w:r>
      <w:r w:rsidR="00EE4FC3">
        <w:t xml:space="preserve"> </w:t>
      </w:r>
      <w:r w:rsidR="0054338F" w:rsidRPr="00382917">
        <w:t>his</w:t>
      </w:r>
      <w:r w:rsidR="00EE4FC3">
        <w:t xml:space="preserve"> </w:t>
      </w:r>
      <w:r w:rsidR="0054338F" w:rsidRPr="00382917">
        <w:t>own</w:t>
      </w:r>
      <w:r w:rsidR="00EE4FC3">
        <w:t xml:space="preserve"> </w:t>
      </w:r>
      <w:r w:rsidR="0054338F" w:rsidRPr="00382917">
        <w:t>learning,</w:t>
      </w:r>
      <w:r w:rsidR="00EE4FC3">
        <w:t xml:space="preserve"> </w:t>
      </w:r>
      <w:r w:rsidR="0054338F" w:rsidRPr="00382917">
        <w:t>nor</w:t>
      </w:r>
      <w:r w:rsidR="00EE4FC3">
        <w:t xml:space="preserve"> </w:t>
      </w:r>
      <w:r w:rsidR="0054338F" w:rsidRPr="00382917">
        <w:t>had</w:t>
      </w:r>
      <w:r w:rsidR="00EE4FC3">
        <w:t xml:space="preserve"> </w:t>
      </w:r>
      <w:r w:rsidR="0054338F" w:rsidRPr="00382917">
        <w:t>his</w:t>
      </w:r>
      <w:r w:rsidR="00EE4FC3">
        <w:t xml:space="preserve"> </w:t>
      </w:r>
      <w:r w:rsidR="0054338F" w:rsidRPr="00382917">
        <w:t>eyes</w:t>
      </w:r>
      <w:r w:rsidR="00EE4FC3">
        <w:t xml:space="preserve"> </w:t>
      </w:r>
      <w:r w:rsidR="0054338F" w:rsidRPr="00382917">
        <w:t>been</w:t>
      </w:r>
      <w:r w:rsidR="00EE4FC3">
        <w:t xml:space="preserve"> </w:t>
      </w:r>
      <w:r w:rsidR="0054338F" w:rsidRPr="00382917">
        <w:t>blinded</w:t>
      </w:r>
      <w:r w:rsidR="00EE4FC3">
        <w:t xml:space="preserve"> </w:t>
      </w:r>
      <w:r w:rsidR="0054338F" w:rsidRPr="00382917">
        <w:t>by</w:t>
      </w:r>
      <w:r w:rsidR="00EE4FC3">
        <w:t xml:space="preserve"> </w:t>
      </w:r>
      <w:r w:rsidR="0054338F" w:rsidRPr="00382917">
        <w:t>his</w:t>
      </w:r>
      <w:r w:rsidR="00EE4FC3">
        <w:t xml:space="preserve"> </w:t>
      </w:r>
      <w:r w:rsidR="0054338F" w:rsidRPr="00382917">
        <w:t>own</w:t>
      </w:r>
      <w:r w:rsidR="00EE4FC3">
        <w:t xml:space="preserve"> </w:t>
      </w:r>
      <w:r w:rsidR="0054338F" w:rsidRPr="00382917">
        <w:t>wealth</w:t>
      </w:r>
      <w:r w:rsidR="00C03C91">
        <w:t>.</w:t>
      </w:r>
      <w:r w:rsidR="00EE4FC3">
        <w:t xml:space="preserve">  </w:t>
      </w:r>
      <w:r w:rsidR="0054338F" w:rsidRPr="00382917">
        <w:t>Serene</w:t>
      </w:r>
      <w:r w:rsidR="00EE4FC3">
        <w:t xml:space="preserve"> </w:t>
      </w:r>
      <w:r w:rsidR="0054338F" w:rsidRPr="00382917">
        <w:t>and</w:t>
      </w:r>
      <w:r w:rsidR="00EE4FC3">
        <w:t xml:space="preserve"> </w:t>
      </w:r>
      <w:r w:rsidR="0054338F" w:rsidRPr="00382917">
        <w:t>confident,</w:t>
      </w:r>
      <w:r w:rsidR="00EE4FC3">
        <w:t xml:space="preserve"> </w:t>
      </w:r>
      <w:r w:rsidR="0054338F" w:rsidRPr="00382917">
        <w:t>he</w:t>
      </w:r>
      <w:r w:rsidR="00EE4FC3">
        <w:t xml:space="preserve"> </w:t>
      </w:r>
      <w:r w:rsidR="0054338F" w:rsidRPr="00382917">
        <w:t>died</w:t>
      </w:r>
      <w:r w:rsidR="00EE4FC3">
        <w:t xml:space="preserve"> </w:t>
      </w:r>
      <w:r w:rsidR="0054338F" w:rsidRPr="00382917">
        <w:t>three</w:t>
      </w:r>
      <w:r w:rsidR="00EE4FC3">
        <w:t xml:space="preserve"> </w:t>
      </w:r>
      <w:r w:rsidR="0054338F" w:rsidRPr="00382917">
        <w:t>months</w:t>
      </w:r>
      <w:r w:rsidR="00EE4FC3">
        <w:t xml:space="preserve"> </w:t>
      </w:r>
      <w:r w:rsidR="0054338F" w:rsidRPr="00382917">
        <w:t>and</w:t>
      </w:r>
      <w:r w:rsidR="00EE4FC3">
        <w:t xml:space="preserve"> </w:t>
      </w:r>
      <w:r w:rsidR="0054338F" w:rsidRPr="00382917">
        <w:t>nine</w:t>
      </w:r>
      <w:r w:rsidR="00EE4FC3">
        <w:t xml:space="preserve"> </w:t>
      </w:r>
      <w:r w:rsidR="0054338F" w:rsidRPr="00382917">
        <w:t>days</w:t>
      </w:r>
      <w:r w:rsidR="00EE4FC3">
        <w:t xml:space="preserve"> </w:t>
      </w:r>
      <w:r w:rsidR="0054338F" w:rsidRPr="00382917">
        <w:t>later</w:t>
      </w:r>
      <w:r w:rsidR="00EE4FC3">
        <w:t xml:space="preserve"> </w:t>
      </w:r>
      <w:r w:rsidR="0054338F" w:rsidRPr="00382917">
        <w:t>after</w:t>
      </w:r>
      <w:r w:rsidR="00EE4FC3">
        <w:t xml:space="preserve"> </w:t>
      </w:r>
      <w:r w:rsidR="0054338F" w:rsidRPr="00382917">
        <w:t>a</w:t>
      </w:r>
      <w:r w:rsidR="00EE4FC3">
        <w:t xml:space="preserve"> </w:t>
      </w:r>
      <w:r w:rsidR="0054338F" w:rsidRPr="00382917">
        <w:t>slight</w:t>
      </w:r>
      <w:r w:rsidR="00EE4FC3">
        <w:t xml:space="preserve"> </w:t>
      </w:r>
      <w:r w:rsidR="0054338F" w:rsidRPr="00382917">
        <w:t>fever.</w:t>
      </w:r>
    </w:p>
    <w:p w:rsidR="0054338F" w:rsidRPr="00382917" w:rsidRDefault="0054338F" w:rsidP="002C2EDA">
      <w:pPr>
        <w:pStyle w:val="Text"/>
      </w:pPr>
      <w:proofErr w:type="spellStart"/>
      <w:proofErr w:type="gramStart"/>
      <w:r w:rsidRPr="00382917">
        <w:t>Mír</w:t>
      </w:r>
      <w:proofErr w:type="spellEnd"/>
      <w:r w:rsidR="00EE4FC3">
        <w:t xml:space="preserve"> </w:t>
      </w:r>
      <w:r w:rsidRPr="00382917">
        <w:t>Muḥammad</w:t>
      </w:r>
      <w:r w:rsidR="00EE4FC3">
        <w:t xml:space="preserve"> </w:t>
      </w:r>
      <w:r w:rsidR="00964C11" w:rsidRPr="00382917">
        <w:t>Ḥusayn</w:t>
      </w:r>
      <w:r w:rsidRPr="00382917">
        <w:t>,</w:t>
      </w:r>
      <w:r w:rsidR="00EE4FC3">
        <w:t xml:space="preserve"> </w:t>
      </w:r>
      <w:r w:rsidRPr="00382917">
        <w:t>the</w:t>
      </w:r>
      <w:r w:rsidR="00EE4FC3">
        <w:t xml:space="preserve"> </w:t>
      </w:r>
      <w:r w:rsidRPr="00382917">
        <w:t>brother</w:t>
      </w:r>
      <w:r w:rsidR="00EE4FC3">
        <w:t xml:space="preserve"> </w:t>
      </w:r>
      <w:r w:rsidRPr="00382917">
        <w:t>of</w:t>
      </w:r>
      <w:r w:rsidR="00EE4FC3">
        <w:t xml:space="preserve"> </w:t>
      </w:r>
      <w:r w:rsidRPr="00382917">
        <w:t>the</w:t>
      </w:r>
      <w:r w:rsidR="00EE4FC3">
        <w:t xml:space="preserve"> </w:t>
      </w:r>
      <w:r w:rsidRPr="00382917">
        <w:t>chief</w:t>
      </w:r>
      <w:r w:rsidR="00EE4FC3">
        <w:t xml:space="preserve"> </w:t>
      </w:r>
      <w:r w:rsidRPr="00382917">
        <w:t>priest</w:t>
      </w:r>
      <w:r w:rsidR="00EE4FC3">
        <w:t xml:space="preserve"> </w:t>
      </w:r>
      <w:r w:rsidRPr="00382917">
        <w:t>who</w:t>
      </w:r>
      <w:r w:rsidR="00EE4FC3">
        <w:t xml:space="preserve"> </w:t>
      </w:r>
      <w:r w:rsidRPr="00382917">
        <w:t>so</w:t>
      </w:r>
      <w:r w:rsidR="00EE4FC3">
        <w:t xml:space="preserve"> </w:t>
      </w:r>
      <w:r w:rsidRPr="00382917">
        <w:t>bitterly</w:t>
      </w:r>
      <w:r w:rsidR="00EE4FC3">
        <w:t xml:space="preserve"> </w:t>
      </w:r>
      <w:r w:rsidRPr="00382917">
        <w:t>persecuted</w:t>
      </w:r>
      <w:r w:rsidR="00EE4FC3">
        <w:t xml:space="preserve"> </w:t>
      </w:r>
      <w:r w:rsidRPr="00382917">
        <w:t>the</w:t>
      </w:r>
      <w:r w:rsidR="00EE4FC3">
        <w:t xml:space="preserve"> </w:t>
      </w:r>
      <w:r w:rsidRPr="00382917">
        <w:t>Báb</w:t>
      </w:r>
      <w:r w:rsidR="00EE4FC3">
        <w:t xml:space="preserve"> </w:t>
      </w:r>
      <w:r w:rsidRPr="00382917">
        <w:t>and</w:t>
      </w:r>
      <w:r w:rsidR="00EE4FC3">
        <w:t xml:space="preserve"> </w:t>
      </w:r>
      <w:r w:rsidRPr="00382917">
        <w:t>His</w:t>
      </w:r>
      <w:r w:rsidR="00EE4FC3">
        <w:t xml:space="preserve"> </w:t>
      </w:r>
      <w:r w:rsidRPr="00382917">
        <w:t>followers</w:t>
      </w:r>
      <w:r w:rsidR="00EE4FC3">
        <w:t xml:space="preserve"> </w:t>
      </w:r>
      <w:r w:rsidRPr="00382917">
        <w:t>in</w:t>
      </w:r>
      <w:r w:rsidR="00EE4FC3">
        <w:t xml:space="preserve"> </w:t>
      </w:r>
      <w:r w:rsidRPr="00382917">
        <w:t>Iṣf</w:t>
      </w:r>
      <w:r w:rsidR="002C2EDA" w:rsidRPr="00382917">
        <w:t>a</w:t>
      </w:r>
      <w:r w:rsidRPr="00382917">
        <w:t>hán,</w:t>
      </w:r>
      <w:r w:rsidR="00EE4FC3">
        <w:t xml:space="preserve"> </w:t>
      </w:r>
      <w:r w:rsidRPr="00382917">
        <w:t>did</w:t>
      </w:r>
      <w:r w:rsidR="00EE4FC3">
        <w:t xml:space="preserve"> </w:t>
      </w:r>
      <w:r w:rsidRPr="00382917">
        <w:t>not</w:t>
      </w:r>
      <w:r w:rsidR="00EE4FC3">
        <w:t xml:space="preserve"> </w:t>
      </w:r>
      <w:r w:rsidRPr="00382917">
        <w:t>escape</w:t>
      </w:r>
      <w:r w:rsidR="00EE4FC3">
        <w:t xml:space="preserve"> </w:t>
      </w:r>
      <w:r w:rsidRPr="00382917">
        <w:t>the</w:t>
      </w:r>
      <w:r w:rsidR="00EE4FC3">
        <w:t xml:space="preserve"> </w:t>
      </w:r>
      <w:r w:rsidRPr="00382917">
        <w:t>avenging</w:t>
      </w:r>
      <w:r w:rsidR="00EE4FC3">
        <w:t xml:space="preserve"> </w:t>
      </w:r>
      <w:r w:rsidRPr="00382917">
        <w:t>finger</w:t>
      </w:r>
      <w:r w:rsidR="00EE4FC3">
        <w:t xml:space="preserve"> </w:t>
      </w:r>
      <w:r w:rsidRPr="00382917">
        <w:t>that</w:t>
      </w:r>
      <w:r w:rsidR="00EE4FC3">
        <w:t xml:space="preserve"> </w:t>
      </w:r>
      <w:r w:rsidRPr="00382917">
        <w:t>so</w:t>
      </w:r>
      <w:r w:rsidR="00EE4FC3">
        <w:t xml:space="preserve"> </w:t>
      </w:r>
      <w:r w:rsidRPr="00382917">
        <w:t>remorselessly</w:t>
      </w:r>
      <w:r w:rsidR="00EE4FC3">
        <w:t xml:space="preserve"> </w:t>
      </w:r>
      <w:r w:rsidRPr="00382917">
        <w:t>sought</w:t>
      </w:r>
      <w:r w:rsidR="00EE4FC3">
        <w:t xml:space="preserve"> </w:t>
      </w:r>
      <w:r w:rsidRPr="00382917">
        <w:t>out</w:t>
      </w:r>
      <w:r w:rsidR="00EE4FC3">
        <w:t xml:space="preserve"> </w:t>
      </w:r>
      <w:r w:rsidRPr="00382917">
        <w:t>these</w:t>
      </w:r>
      <w:r w:rsidR="00EE4FC3">
        <w:t xml:space="preserve"> </w:t>
      </w:r>
      <w:r w:rsidRPr="00382917">
        <w:t>persecutors</w:t>
      </w:r>
      <w:r w:rsidR="00C03C91">
        <w:t>.</w:t>
      </w:r>
      <w:proofErr w:type="gramEnd"/>
      <w:r w:rsidR="00EE4FC3">
        <w:t xml:space="preserve">  </w:t>
      </w:r>
      <w:r w:rsidRPr="00382917">
        <w:t>He</w:t>
      </w:r>
      <w:r w:rsidR="00EE4FC3">
        <w:t xml:space="preserve"> </w:t>
      </w:r>
      <w:r w:rsidRPr="00382917">
        <w:t>was</w:t>
      </w:r>
      <w:r w:rsidR="00EE4FC3">
        <w:t xml:space="preserve"> </w:t>
      </w:r>
      <w:r w:rsidRPr="00382917">
        <w:t>expelled</w:t>
      </w:r>
      <w:r w:rsidR="00EE4FC3">
        <w:t xml:space="preserve"> </w:t>
      </w:r>
      <w:r w:rsidRPr="00382917">
        <w:t>from</w:t>
      </w:r>
      <w:r w:rsidR="00EE4FC3">
        <w:t xml:space="preserve"> </w:t>
      </w:r>
      <w:r w:rsidRPr="00382917">
        <w:t>Iṣf</w:t>
      </w:r>
      <w:r w:rsidR="002C2EDA" w:rsidRPr="00382917">
        <w:t>a</w:t>
      </w:r>
      <w:r w:rsidRPr="00382917">
        <w:t>hán,</w:t>
      </w:r>
      <w:r w:rsidR="00EE4FC3">
        <w:t xml:space="preserve"> </w:t>
      </w:r>
      <w:r w:rsidRPr="00382917">
        <w:t>and,</w:t>
      </w:r>
      <w:r w:rsidR="00EE4FC3">
        <w:t xml:space="preserve"> </w:t>
      </w:r>
      <w:r w:rsidRPr="00382917">
        <w:t>despised,</w:t>
      </w:r>
      <w:r w:rsidR="00EE4FC3">
        <w:t xml:space="preserve"> </w:t>
      </w:r>
      <w:r w:rsidRPr="00382917">
        <w:t>wandered</w:t>
      </w:r>
      <w:r w:rsidR="00EE4FC3">
        <w:t xml:space="preserve"> </w:t>
      </w:r>
      <w:r w:rsidRPr="00382917">
        <w:t>from</w:t>
      </w:r>
      <w:r w:rsidR="00EE4FC3">
        <w:t xml:space="preserve"> </w:t>
      </w:r>
      <w:r w:rsidRPr="00382917">
        <w:t>one</w:t>
      </w:r>
      <w:r w:rsidR="00EE4FC3">
        <w:t xml:space="preserve"> </w:t>
      </w:r>
      <w:r w:rsidRPr="00382917">
        <w:t>village</w:t>
      </w:r>
      <w:r w:rsidR="00EE4FC3">
        <w:t xml:space="preserve"> </w:t>
      </w:r>
      <w:r w:rsidRPr="00382917">
        <w:t>to</w:t>
      </w:r>
      <w:r w:rsidR="00EE4FC3">
        <w:t xml:space="preserve"> </w:t>
      </w:r>
      <w:r w:rsidRPr="00382917">
        <w:t>another</w:t>
      </w:r>
      <w:r w:rsidR="00C03C91">
        <w:t>.</w:t>
      </w:r>
      <w:r w:rsidR="00EE4FC3">
        <w:t xml:space="preserve">  </w:t>
      </w:r>
      <w:r w:rsidRPr="00382917">
        <w:t>He</w:t>
      </w:r>
      <w:r w:rsidR="00EE4FC3">
        <w:t xml:space="preserve"> </w:t>
      </w:r>
      <w:r w:rsidRPr="00382917">
        <w:t>finally</w:t>
      </w:r>
      <w:r w:rsidR="00EE4FC3">
        <w:t xml:space="preserve"> </w:t>
      </w:r>
      <w:r w:rsidRPr="00382917">
        <w:t>contracted</w:t>
      </w:r>
      <w:r w:rsidR="00EE4FC3">
        <w:t xml:space="preserve"> </w:t>
      </w:r>
      <w:r w:rsidRPr="00382917">
        <w:t>a</w:t>
      </w:r>
      <w:r w:rsidR="00EE4FC3">
        <w:t xml:space="preserve"> </w:t>
      </w:r>
      <w:proofErr w:type="spellStart"/>
      <w:r w:rsidRPr="00382917">
        <w:t>loathesome</w:t>
      </w:r>
      <w:proofErr w:type="spellEnd"/>
      <w:r w:rsidR="00EE4FC3">
        <w:t xml:space="preserve"> </w:t>
      </w:r>
      <w:r w:rsidRPr="00382917">
        <w:t>disease</w:t>
      </w:r>
      <w:r w:rsidR="00EE4FC3">
        <w:t xml:space="preserve"> </w:t>
      </w:r>
      <w:r w:rsidRPr="00382917">
        <w:t>from</w:t>
      </w:r>
      <w:r w:rsidR="00EE4FC3">
        <w:t xml:space="preserve"> </w:t>
      </w:r>
      <w:r w:rsidRPr="00382917">
        <w:t>which</w:t>
      </w:r>
      <w:r w:rsidR="00EE4FC3">
        <w:t xml:space="preserve"> </w:t>
      </w:r>
      <w:r w:rsidRPr="00382917">
        <w:t>he</w:t>
      </w:r>
      <w:r w:rsidR="00EE4FC3">
        <w:t xml:space="preserve"> </w:t>
      </w:r>
      <w:r w:rsidRPr="00382917">
        <w:t>sickened</w:t>
      </w:r>
      <w:r w:rsidR="00EE4FC3">
        <w:t xml:space="preserve"> </w:t>
      </w:r>
      <w:r w:rsidRPr="00382917">
        <w:t>and</w:t>
      </w:r>
      <w:r w:rsidR="00EE4FC3">
        <w:t xml:space="preserve"> </w:t>
      </w:r>
      <w:r w:rsidRPr="00382917">
        <w:t>died,</w:t>
      </w:r>
      <w:r w:rsidR="00EE4FC3">
        <w:t xml:space="preserve"> </w:t>
      </w:r>
      <w:r w:rsidRPr="00382917">
        <w:t>a</w:t>
      </w:r>
      <w:r w:rsidR="00EE4FC3">
        <w:t xml:space="preserve"> </w:t>
      </w:r>
      <w:r w:rsidRPr="00382917">
        <w:t>disease</w:t>
      </w:r>
      <w:r w:rsidR="00EE4FC3">
        <w:t xml:space="preserve"> </w:t>
      </w:r>
      <w:r w:rsidRPr="00382917">
        <w:t>so</w:t>
      </w:r>
      <w:r w:rsidR="00EE4FC3">
        <w:t xml:space="preserve"> </w:t>
      </w:r>
      <w:r w:rsidRPr="00382917">
        <w:t>foul</w:t>
      </w:r>
      <w:r w:rsidR="00EE4FC3">
        <w:t xml:space="preserve"> </w:t>
      </w:r>
      <w:r w:rsidRPr="00382917">
        <w:t>smelling</w:t>
      </w:r>
      <w:r w:rsidR="00EE4FC3">
        <w:t xml:space="preserve"> </w:t>
      </w:r>
      <w:r w:rsidRPr="00382917">
        <w:t>that</w:t>
      </w:r>
      <w:r w:rsidR="00EE4FC3">
        <w:t xml:space="preserve"> </w:t>
      </w:r>
      <w:r w:rsidRPr="00382917">
        <w:t>his</w:t>
      </w:r>
      <w:r w:rsidR="00EE4FC3">
        <w:t xml:space="preserve"> </w:t>
      </w:r>
      <w:r w:rsidRPr="00382917">
        <w:t>own</w:t>
      </w:r>
      <w:r w:rsidR="00EE4FC3">
        <w:t xml:space="preserve"> </w:t>
      </w:r>
      <w:r w:rsidRPr="00382917">
        <w:t>wife</w:t>
      </w:r>
      <w:r w:rsidR="00EE4FC3">
        <w:t xml:space="preserve"> </w:t>
      </w:r>
      <w:r w:rsidRPr="00382917">
        <w:t>and</w:t>
      </w:r>
      <w:r w:rsidR="00EE4FC3">
        <w:t xml:space="preserve"> </w:t>
      </w:r>
      <w:r w:rsidRPr="00382917">
        <w:t>daughter</w:t>
      </w:r>
      <w:r w:rsidR="00EE4FC3">
        <w:t xml:space="preserve"> </w:t>
      </w:r>
      <w:r w:rsidRPr="00382917">
        <w:t>could</w:t>
      </w:r>
      <w:r w:rsidR="00EE4FC3">
        <w:t xml:space="preserve"> </w:t>
      </w:r>
      <w:r w:rsidRPr="00382917">
        <w:t>not</w:t>
      </w:r>
      <w:r w:rsidR="00EE4FC3">
        <w:t xml:space="preserve"> </w:t>
      </w:r>
      <w:r w:rsidRPr="00382917">
        <w:t>bear</w:t>
      </w:r>
      <w:r w:rsidR="00EE4FC3">
        <w:t xml:space="preserve"> </w:t>
      </w:r>
      <w:r w:rsidRPr="00382917">
        <w:t>to</w:t>
      </w:r>
      <w:r w:rsidR="00EE4FC3">
        <w:t xml:space="preserve"> </w:t>
      </w:r>
      <w:r w:rsidRPr="00382917">
        <w:t>attend</w:t>
      </w:r>
      <w:r w:rsidR="00EE4FC3">
        <w:t xml:space="preserve"> </w:t>
      </w:r>
      <w:r w:rsidRPr="00382917">
        <w:t>him.</w:t>
      </w:r>
    </w:p>
    <w:p w:rsidR="0054338F" w:rsidRPr="00382917" w:rsidRDefault="0054338F" w:rsidP="002C2EDA">
      <w:pPr>
        <w:pStyle w:val="Text"/>
      </w:pPr>
      <w:r w:rsidRPr="00382917">
        <w:t>Almost</w:t>
      </w:r>
      <w:r w:rsidR="00EE4FC3">
        <w:t xml:space="preserve"> </w:t>
      </w:r>
      <w:r w:rsidRPr="00382917">
        <w:t>immediately</w:t>
      </w:r>
      <w:r w:rsidR="00EE4FC3">
        <w:t xml:space="preserve"> </w:t>
      </w:r>
      <w:r w:rsidRPr="00382917">
        <w:t>Gurgín</w:t>
      </w:r>
      <w:r w:rsidR="00EE4FC3">
        <w:t xml:space="preserve"> </w:t>
      </w:r>
      <w:r w:rsidR="0040329F" w:rsidRPr="0040329F">
        <w:rPr>
          <w:u w:val="single"/>
        </w:rPr>
        <w:t>Kh</w:t>
      </w:r>
      <w:r w:rsidR="0040329F" w:rsidRPr="00382917">
        <w:t>án</w:t>
      </w:r>
      <w:r w:rsidRPr="00382917">
        <w:t>,</w:t>
      </w:r>
      <w:r w:rsidR="00EE4FC3">
        <w:t xml:space="preserve"> </w:t>
      </w:r>
      <w:r w:rsidR="0040329F" w:rsidRPr="00382917">
        <w:t>Manú</w:t>
      </w:r>
      <w:r w:rsidR="0040329F" w:rsidRPr="0040329F">
        <w:rPr>
          <w:u w:val="single"/>
        </w:rPr>
        <w:t>ch</w:t>
      </w:r>
      <w:r w:rsidR="0040329F" w:rsidRPr="00382917">
        <w:t>ihr</w:t>
      </w:r>
      <w:r w:rsidR="00EE4FC3">
        <w:t xml:space="preserve"> </w:t>
      </w:r>
      <w:proofErr w:type="spellStart"/>
      <w:r w:rsidR="0040329F" w:rsidRPr="0040329F">
        <w:rPr>
          <w:u w:val="single"/>
        </w:rPr>
        <w:t>Kh</w:t>
      </w:r>
      <w:r w:rsidR="0040329F" w:rsidRPr="00382917">
        <w:t>án</w:t>
      </w:r>
      <w:r w:rsidR="009C713D" w:rsidRPr="00382917">
        <w:t>’</w:t>
      </w:r>
      <w:r w:rsidRPr="00382917">
        <w:t>s</w:t>
      </w:r>
      <w:proofErr w:type="spellEnd"/>
      <w:r w:rsidR="00EE4FC3">
        <w:t xml:space="preserve"> </w:t>
      </w:r>
      <w:r w:rsidRPr="00382917">
        <w:t>successor,</w:t>
      </w:r>
      <w:r w:rsidR="00EE4FC3">
        <w:t xml:space="preserve"> </w:t>
      </w:r>
      <w:r w:rsidRPr="00382917">
        <w:t>was</w:t>
      </w:r>
      <w:r w:rsidR="00EE4FC3">
        <w:t xml:space="preserve"> </w:t>
      </w:r>
      <w:r w:rsidRPr="00382917">
        <w:t>informed</w:t>
      </w:r>
      <w:r w:rsidR="00EE4FC3">
        <w:t xml:space="preserve"> </w:t>
      </w:r>
      <w:r w:rsidRPr="00382917">
        <w:t>of</w:t>
      </w:r>
      <w:r w:rsidR="00EE4FC3">
        <w:t xml:space="preserve"> </w:t>
      </w:r>
      <w:r w:rsidRPr="00382917">
        <w:t>the</w:t>
      </w:r>
      <w:r w:rsidR="00EE4FC3">
        <w:t xml:space="preserve"> </w:t>
      </w:r>
      <w:r w:rsidRPr="00382917">
        <w:t>Báb</w:t>
      </w:r>
      <w:r w:rsidR="009C713D" w:rsidRPr="00382917">
        <w:t>’</w:t>
      </w:r>
      <w:r w:rsidRPr="00382917">
        <w:t>s</w:t>
      </w:r>
      <w:r w:rsidR="00EE4FC3">
        <w:t xml:space="preserve"> </w:t>
      </w:r>
      <w:r w:rsidRPr="00382917">
        <w:t>presence</w:t>
      </w:r>
      <w:r w:rsidR="00EE4FC3">
        <w:t xml:space="preserve"> </w:t>
      </w:r>
      <w:r w:rsidRPr="00382917">
        <w:t>in</w:t>
      </w:r>
      <w:r w:rsidR="00EE4FC3">
        <w:t xml:space="preserve"> </w:t>
      </w:r>
      <w:r w:rsidRPr="00382917">
        <w:t>the</w:t>
      </w:r>
      <w:r w:rsidR="00EE4FC3">
        <w:t xml:space="preserve"> </w:t>
      </w:r>
      <w:r w:rsidRPr="00382917">
        <w:t>governor</w:t>
      </w:r>
      <w:r w:rsidR="009C713D" w:rsidRPr="00382917">
        <w:t>’</w:t>
      </w:r>
      <w:r w:rsidRPr="00382917">
        <w:t>s</w:t>
      </w:r>
      <w:r w:rsidR="00EE4FC3">
        <w:t xml:space="preserve"> </w:t>
      </w:r>
      <w:r w:rsidRPr="00382917">
        <w:t>residence</w:t>
      </w:r>
      <w:r w:rsidR="00C03C91">
        <w:t>.</w:t>
      </w:r>
      <w:r w:rsidR="00EE4FC3">
        <w:t xml:space="preserve">  </w:t>
      </w:r>
      <w:r w:rsidRPr="00382917">
        <w:t>He</w:t>
      </w:r>
      <w:r w:rsidR="00EE4FC3">
        <w:t xml:space="preserve"> </w:t>
      </w:r>
      <w:r w:rsidRPr="00382917">
        <w:t>verified</w:t>
      </w:r>
      <w:r w:rsidR="00EE4FC3">
        <w:t xml:space="preserve"> </w:t>
      </w:r>
      <w:r w:rsidRPr="00382917">
        <w:t>it,</w:t>
      </w:r>
      <w:r w:rsidR="00EE4FC3">
        <w:t xml:space="preserve"> </w:t>
      </w:r>
      <w:proofErr w:type="gramStart"/>
      <w:r w:rsidRPr="00382917">
        <w:t>then</w:t>
      </w:r>
      <w:proofErr w:type="gramEnd"/>
      <w:r w:rsidR="00EE4FC3">
        <w:t xml:space="preserve"> </w:t>
      </w:r>
      <w:r w:rsidRPr="00382917">
        <w:t>sent</w:t>
      </w:r>
      <w:r w:rsidR="00EE4FC3">
        <w:t xml:space="preserve"> </w:t>
      </w:r>
      <w:r w:rsidRPr="00382917">
        <w:t>an</w:t>
      </w:r>
      <w:r w:rsidR="00EE4FC3">
        <w:t xml:space="preserve"> </w:t>
      </w:r>
      <w:r w:rsidRPr="00382917">
        <w:t>urgent</w:t>
      </w:r>
      <w:r w:rsidR="00EE4FC3">
        <w:t xml:space="preserve"> </w:t>
      </w:r>
      <w:r w:rsidRPr="00382917">
        <w:t>letter</w:t>
      </w:r>
      <w:r w:rsidR="00EE4FC3">
        <w:t xml:space="preserve"> </w:t>
      </w:r>
      <w:r w:rsidRPr="00382917">
        <w:t>to</w:t>
      </w:r>
      <w:r w:rsidR="00EE4FC3">
        <w:t xml:space="preserve"> </w:t>
      </w:r>
      <w:r w:rsidRPr="00382917">
        <w:t>the</w:t>
      </w:r>
      <w:r w:rsidR="00EE4FC3">
        <w:t xml:space="preserve"> </w:t>
      </w:r>
      <w:r w:rsidRPr="00382917">
        <w:t>king.</w:t>
      </w:r>
    </w:p>
    <w:p w:rsidR="0054338F" w:rsidRPr="00382917" w:rsidRDefault="009C713D" w:rsidP="002C2EDA">
      <w:pPr>
        <w:pStyle w:val="Text"/>
      </w:pPr>
      <w:r w:rsidRPr="00382917">
        <w:t>“</w:t>
      </w:r>
      <w:r w:rsidR="0054338F" w:rsidRPr="00382917">
        <w:t>Four</w:t>
      </w:r>
      <w:r w:rsidR="00EE4FC3">
        <w:t xml:space="preserve"> </w:t>
      </w:r>
      <w:r w:rsidR="0054338F" w:rsidRPr="00382917">
        <w:t>months</w:t>
      </w:r>
      <w:r w:rsidR="00EE4FC3">
        <w:t xml:space="preserve"> </w:t>
      </w:r>
      <w:r w:rsidR="0054338F" w:rsidRPr="00382917">
        <w:t>ago</w:t>
      </w:r>
      <w:r w:rsidR="00EE4FC3">
        <w:t xml:space="preserve"> </w:t>
      </w:r>
      <w:r w:rsidR="0054338F" w:rsidRPr="00382917">
        <w:t>it</w:t>
      </w:r>
      <w:r w:rsidR="00EE4FC3">
        <w:t xml:space="preserve"> </w:t>
      </w:r>
      <w:r w:rsidR="0054338F" w:rsidRPr="00382917">
        <w:t>was</w:t>
      </w:r>
      <w:r w:rsidR="00EE4FC3">
        <w:t xml:space="preserve"> </w:t>
      </w:r>
      <w:r w:rsidR="0054338F" w:rsidRPr="00382917">
        <w:t>believed</w:t>
      </w:r>
      <w:r w:rsidR="00EE4FC3">
        <w:t xml:space="preserve"> </w:t>
      </w:r>
      <w:r w:rsidR="0054338F" w:rsidRPr="00382917">
        <w:t>that</w:t>
      </w:r>
      <w:r w:rsidR="00EE4FC3">
        <w:t xml:space="preserve"> </w:t>
      </w:r>
      <w:r w:rsidR="0054338F" w:rsidRPr="00382917">
        <w:t>your</w:t>
      </w:r>
      <w:r w:rsidR="00EE4FC3">
        <w:t xml:space="preserve"> </w:t>
      </w:r>
      <w:r w:rsidR="0054338F" w:rsidRPr="00382917">
        <w:t>Majesty</w:t>
      </w:r>
      <w:r w:rsidR="00EE4FC3">
        <w:t xml:space="preserve"> </w:t>
      </w:r>
      <w:r w:rsidR="0054338F" w:rsidRPr="00382917">
        <w:t>had</w:t>
      </w:r>
      <w:r w:rsidR="00EE4FC3">
        <w:t xml:space="preserve"> </w:t>
      </w:r>
      <w:r w:rsidR="0054338F" w:rsidRPr="00382917">
        <w:t>summoned</w:t>
      </w:r>
      <w:r w:rsidR="00EE4FC3">
        <w:t xml:space="preserve"> </w:t>
      </w:r>
      <w:r w:rsidR="0054338F" w:rsidRPr="00382917">
        <w:t>the</w:t>
      </w:r>
      <w:r w:rsidR="00EE4FC3">
        <w:t xml:space="preserve"> </w:t>
      </w:r>
      <w:r w:rsidR="0054338F" w:rsidRPr="00382917">
        <w:t>Báb</w:t>
      </w:r>
      <w:r w:rsidR="00EE4FC3">
        <w:t xml:space="preserve"> </w:t>
      </w:r>
      <w:r w:rsidR="0054338F" w:rsidRPr="00382917">
        <w:t>to</w:t>
      </w:r>
      <w:r w:rsidR="00EE4FC3">
        <w:t xml:space="preserve"> </w:t>
      </w:r>
      <w:r w:rsidR="0054338F" w:rsidRPr="00382917">
        <w:t>Ṭihrán</w:t>
      </w:r>
      <w:r w:rsidR="00C03C91">
        <w:t>.</w:t>
      </w:r>
      <w:r w:rsidR="00EE4FC3">
        <w:t xml:space="preserve">  </w:t>
      </w:r>
      <w:r w:rsidR="0054338F" w:rsidRPr="00382917">
        <w:t>He</w:t>
      </w:r>
      <w:r w:rsidR="00EE4FC3">
        <w:t xml:space="preserve"> </w:t>
      </w:r>
      <w:r w:rsidR="0054338F" w:rsidRPr="00382917">
        <w:t>left</w:t>
      </w:r>
      <w:r w:rsidR="00EE4FC3">
        <w:t xml:space="preserve"> </w:t>
      </w:r>
      <w:r w:rsidR="0054338F" w:rsidRPr="00382917">
        <w:t>here</w:t>
      </w:r>
      <w:r w:rsidR="00EE4FC3">
        <w:t xml:space="preserve"> </w:t>
      </w:r>
      <w:r w:rsidR="0054338F" w:rsidRPr="00382917">
        <w:t>under</w:t>
      </w:r>
      <w:r w:rsidR="00EE4FC3">
        <w:t xml:space="preserve"> </w:t>
      </w:r>
      <w:r w:rsidR="0054338F" w:rsidRPr="00382917">
        <w:t>escort</w:t>
      </w:r>
      <w:r w:rsidR="00C03C91">
        <w:t>.</w:t>
      </w:r>
      <w:r w:rsidR="00EE4FC3">
        <w:t xml:space="preserve">  </w:t>
      </w:r>
      <w:r w:rsidR="0054338F" w:rsidRPr="00382917">
        <w:t>Now</w:t>
      </w:r>
      <w:r w:rsidR="00EE4FC3">
        <w:t xml:space="preserve"> </w:t>
      </w:r>
      <w:r w:rsidR="0054338F" w:rsidRPr="00382917">
        <w:t>it</w:t>
      </w:r>
      <w:r w:rsidR="00EE4FC3">
        <w:t xml:space="preserve"> </w:t>
      </w:r>
      <w:r w:rsidR="0054338F" w:rsidRPr="00382917">
        <w:t>is</w:t>
      </w:r>
      <w:r w:rsidR="00EE4FC3">
        <w:t xml:space="preserve"> </w:t>
      </w:r>
      <w:r w:rsidR="0054338F" w:rsidRPr="00382917">
        <w:t>discovered</w:t>
      </w:r>
      <w:r w:rsidR="00EE4FC3">
        <w:t xml:space="preserve"> </w:t>
      </w:r>
      <w:r w:rsidR="0054338F" w:rsidRPr="00382917">
        <w:t>that</w:t>
      </w:r>
      <w:r w:rsidR="00EE4FC3">
        <w:t xml:space="preserve"> </w:t>
      </w:r>
      <w:r w:rsidR="0054338F" w:rsidRPr="00382917">
        <w:t>he</w:t>
      </w:r>
      <w:r w:rsidR="00EE4FC3">
        <w:t xml:space="preserve"> </w:t>
      </w:r>
      <w:r w:rsidR="0054338F" w:rsidRPr="00382917">
        <w:t>had</w:t>
      </w:r>
      <w:r w:rsidR="00EE4FC3">
        <w:t xml:space="preserve"> </w:t>
      </w:r>
      <w:r w:rsidR="0054338F" w:rsidRPr="00382917">
        <w:t>been</w:t>
      </w:r>
      <w:r w:rsidR="00EE4FC3">
        <w:t xml:space="preserve"> </w:t>
      </w:r>
      <w:r w:rsidR="0054338F" w:rsidRPr="00382917">
        <w:t>hidden</w:t>
      </w:r>
      <w:r w:rsidR="00EE4FC3">
        <w:t xml:space="preserve"> </w:t>
      </w:r>
      <w:r w:rsidR="0054338F" w:rsidRPr="00382917">
        <w:t>in</w:t>
      </w:r>
      <w:r w:rsidR="00EE4FC3">
        <w:t xml:space="preserve"> </w:t>
      </w:r>
      <w:r w:rsidR="0054338F" w:rsidRPr="00382917">
        <w:t>the</w:t>
      </w:r>
      <w:r w:rsidR="00EE4FC3">
        <w:t xml:space="preserve"> </w:t>
      </w:r>
      <w:r w:rsidR="0054338F" w:rsidRPr="00382917">
        <w:t>residence</w:t>
      </w:r>
      <w:r w:rsidR="00EE4FC3">
        <w:t xml:space="preserve"> </w:t>
      </w:r>
      <w:r w:rsidR="0054338F" w:rsidRPr="00382917">
        <w:t>of</w:t>
      </w:r>
      <w:r w:rsidR="00EE4FC3">
        <w:t xml:space="preserve"> </w:t>
      </w:r>
      <w:r w:rsidR="0040329F" w:rsidRPr="00382917">
        <w:t>Manú</w:t>
      </w:r>
      <w:r w:rsidR="0040329F" w:rsidRPr="0040329F">
        <w:rPr>
          <w:u w:val="single"/>
        </w:rPr>
        <w:t>ch</w:t>
      </w:r>
      <w:r w:rsidR="0040329F" w:rsidRPr="00382917">
        <w:t>ihr</w:t>
      </w:r>
      <w:r w:rsidR="00EE4FC3">
        <w:t xml:space="preserve"> </w:t>
      </w:r>
      <w:r w:rsidR="0040329F" w:rsidRPr="0040329F">
        <w:rPr>
          <w:u w:val="single"/>
        </w:rPr>
        <w:t>Kh</w:t>
      </w:r>
      <w:r w:rsidR="0040329F" w:rsidRPr="00382917">
        <w:t>án</w:t>
      </w:r>
      <w:r w:rsidR="0054338F" w:rsidRPr="00382917">
        <w:t>,</w:t>
      </w:r>
      <w:r w:rsidR="00EE4FC3">
        <w:t xml:space="preserve"> </w:t>
      </w:r>
      <w:r w:rsidR="0054338F" w:rsidRPr="00382917">
        <w:t>my</w:t>
      </w:r>
      <w:r w:rsidR="00EE4FC3">
        <w:t xml:space="preserve"> </w:t>
      </w:r>
      <w:r w:rsidR="0054338F" w:rsidRPr="00382917">
        <w:t>predecessor,</w:t>
      </w:r>
      <w:r w:rsidR="00EE4FC3">
        <w:t xml:space="preserve"> </w:t>
      </w:r>
      <w:r w:rsidR="0054338F" w:rsidRPr="00382917">
        <w:t>all</w:t>
      </w:r>
      <w:r w:rsidR="00EE4FC3">
        <w:t xml:space="preserve"> </w:t>
      </w:r>
      <w:r w:rsidR="0054338F" w:rsidRPr="00382917">
        <w:t>this</w:t>
      </w:r>
      <w:r w:rsidR="00EE4FC3">
        <w:t xml:space="preserve"> </w:t>
      </w:r>
      <w:r w:rsidR="0054338F" w:rsidRPr="00382917">
        <w:t>time</w:t>
      </w:r>
      <w:r w:rsidR="00C03C91">
        <w:t>.</w:t>
      </w:r>
      <w:r w:rsidR="00EE4FC3">
        <w:t xml:space="preserve">  </w:t>
      </w:r>
      <w:r w:rsidR="0054338F" w:rsidRPr="00382917">
        <w:t>It</w:t>
      </w:r>
      <w:r w:rsidR="00EE4FC3">
        <w:t xml:space="preserve"> </w:t>
      </w:r>
      <w:r w:rsidR="0054338F" w:rsidRPr="00382917">
        <w:t>is</w:t>
      </w:r>
      <w:r w:rsidR="00EE4FC3">
        <w:t xml:space="preserve"> </w:t>
      </w:r>
      <w:r w:rsidR="0054338F" w:rsidRPr="00382917">
        <w:t>known</w:t>
      </w:r>
      <w:r w:rsidR="00EE4FC3">
        <w:t xml:space="preserve"> </w:t>
      </w:r>
      <w:r w:rsidR="0054338F" w:rsidRPr="00382917">
        <w:t>that</w:t>
      </w:r>
      <w:r w:rsidR="00EE4FC3">
        <w:t xml:space="preserve"> </w:t>
      </w:r>
      <w:r w:rsidR="0054338F" w:rsidRPr="00382917">
        <w:t>the</w:t>
      </w:r>
      <w:r w:rsidR="00EE4FC3">
        <w:t xml:space="preserve"> </w:t>
      </w:r>
      <w:r w:rsidR="0054338F" w:rsidRPr="00382917">
        <w:t>governor</w:t>
      </w:r>
      <w:r w:rsidR="00EE4FC3">
        <w:t xml:space="preserve"> </w:t>
      </w:r>
      <w:r w:rsidR="0054338F" w:rsidRPr="00382917">
        <w:t>himself</w:t>
      </w:r>
      <w:r w:rsidR="00EE4FC3">
        <w:t xml:space="preserve"> </w:t>
      </w:r>
      <w:r w:rsidR="0054338F" w:rsidRPr="00382917">
        <w:t>extended</w:t>
      </w:r>
      <w:r w:rsidR="00EE4FC3">
        <w:t xml:space="preserve"> </w:t>
      </w:r>
      <w:r w:rsidR="0054338F" w:rsidRPr="00382917">
        <w:t>this</w:t>
      </w:r>
      <w:r w:rsidR="00EE4FC3">
        <w:t xml:space="preserve"> </w:t>
      </w:r>
      <w:r w:rsidR="0054338F" w:rsidRPr="00382917">
        <w:t>secret</w:t>
      </w:r>
      <w:r w:rsidR="00EE4FC3">
        <w:t xml:space="preserve"> </w:t>
      </w:r>
      <w:r w:rsidR="0054338F" w:rsidRPr="00382917">
        <w:t>hospitality</w:t>
      </w:r>
      <w:r w:rsidR="00EE4FC3">
        <w:t xml:space="preserve"> </w:t>
      </w:r>
      <w:r w:rsidR="0054338F" w:rsidRPr="00382917">
        <w:t>to</w:t>
      </w:r>
      <w:r w:rsidR="00EE4FC3">
        <w:t xml:space="preserve"> </w:t>
      </w:r>
      <w:r w:rsidR="0054338F" w:rsidRPr="00382917">
        <w:t>the</w:t>
      </w:r>
      <w:r w:rsidR="00EE4FC3">
        <w:t xml:space="preserve"> </w:t>
      </w:r>
      <w:r w:rsidR="0054338F" w:rsidRPr="00382917">
        <w:t>Báb</w:t>
      </w:r>
      <w:r w:rsidR="00EE4FC3">
        <w:t xml:space="preserve"> </w:t>
      </w:r>
      <w:r w:rsidR="0054338F" w:rsidRPr="00382917">
        <w:t>and</w:t>
      </w:r>
      <w:r w:rsidR="00EE4FC3">
        <w:t xml:space="preserve"> </w:t>
      </w:r>
      <w:r w:rsidR="0054338F" w:rsidRPr="00382917">
        <w:t>believed</w:t>
      </w:r>
      <w:r w:rsidR="00EE4FC3">
        <w:t xml:space="preserve"> </w:t>
      </w:r>
      <w:r w:rsidR="0054338F" w:rsidRPr="00382917">
        <w:t>in</w:t>
      </w:r>
      <w:r w:rsidR="00EE4FC3">
        <w:t xml:space="preserve"> </w:t>
      </w:r>
      <w:r w:rsidR="0054338F" w:rsidRPr="00382917">
        <w:t>Him</w:t>
      </w:r>
      <w:r w:rsidR="00C03C91">
        <w:t>.</w:t>
      </w:r>
      <w:r w:rsidR="00EE4FC3">
        <w:t xml:space="preserve">  </w:t>
      </w:r>
      <w:r w:rsidR="0054338F" w:rsidRPr="00382917">
        <w:t>Whatever</w:t>
      </w:r>
      <w:r w:rsidR="00EE4FC3">
        <w:t xml:space="preserve"> </w:t>
      </w:r>
      <w:r w:rsidR="0054338F" w:rsidRPr="00382917">
        <w:t>your</w:t>
      </w:r>
      <w:r w:rsidR="00EE4FC3">
        <w:t xml:space="preserve"> </w:t>
      </w:r>
      <w:r w:rsidR="0054338F" w:rsidRPr="00382917">
        <w:t>Majesty</w:t>
      </w:r>
      <w:r w:rsidR="00EE4FC3">
        <w:t xml:space="preserve"> </w:t>
      </w:r>
      <w:r w:rsidR="0054338F" w:rsidRPr="00382917">
        <w:t>now</w:t>
      </w:r>
      <w:r w:rsidR="00EE4FC3">
        <w:t xml:space="preserve"> </w:t>
      </w:r>
      <w:r w:rsidR="0054338F" w:rsidRPr="00382917">
        <w:t>wishes</w:t>
      </w:r>
      <w:r w:rsidR="00EE4FC3">
        <w:t xml:space="preserve"> </w:t>
      </w:r>
      <w:r w:rsidR="0054338F" w:rsidRPr="00382917">
        <w:t>done,</w:t>
      </w:r>
      <w:r w:rsidR="00EE4FC3">
        <w:t xml:space="preserve"> </w:t>
      </w:r>
      <w:r w:rsidR="0054338F" w:rsidRPr="00382917">
        <w:t>I</w:t>
      </w:r>
      <w:r w:rsidR="00EE4FC3">
        <w:t xml:space="preserve"> </w:t>
      </w:r>
      <w:r w:rsidR="0054338F" w:rsidRPr="00382917">
        <w:t>shall</w:t>
      </w:r>
      <w:r w:rsidR="00EE4FC3">
        <w:t xml:space="preserve"> </w:t>
      </w:r>
      <w:r w:rsidR="0054338F" w:rsidRPr="00382917">
        <w:t>be</w:t>
      </w:r>
      <w:r w:rsidR="00EE4FC3">
        <w:t xml:space="preserve"> </w:t>
      </w:r>
      <w:r w:rsidR="0054338F" w:rsidRPr="00382917">
        <w:t>pleased</w:t>
      </w:r>
      <w:r w:rsidR="00EE4FC3">
        <w:t xml:space="preserve"> </w:t>
      </w:r>
      <w:r w:rsidR="0054338F" w:rsidRPr="00382917">
        <w:t>to</w:t>
      </w:r>
      <w:r w:rsidR="00EE4FC3">
        <w:t xml:space="preserve"> </w:t>
      </w:r>
      <w:r w:rsidR="0054338F" w:rsidRPr="00382917">
        <w:t>perform.</w:t>
      </w:r>
      <w:r w:rsidRPr="00382917">
        <w:t>”</w:t>
      </w:r>
    </w:p>
    <w:p w:rsidR="0054338F" w:rsidRPr="00382917" w:rsidRDefault="0054338F" w:rsidP="002C2EDA">
      <w:pPr>
        <w:pStyle w:val="Text"/>
      </w:pPr>
      <w:r w:rsidRPr="00382917">
        <w:t>The</w:t>
      </w:r>
      <w:r w:rsidR="00EE4FC3">
        <w:t xml:space="preserve"> </w:t>
      </w:r>
      <w:r w:rsidRPr="00382917">
        <w:t>king</w:t>
      </w:r>
      <w:r w:rsidR="00EE4FC3">
        <w:t xml:space="preserve"> </w:t>
      </w:r>
      <w:r w:rsidRPr="00382917">
        <w:t>was</w:t>
      </w:r>
      <w:r w:rsidR="00EE4FC3">
        <w:t xml:space="preserve"> </w:t>
      </w:r>
      <w:r w:rsidRPr="00382917">
        <w:t>still</w:t>
      </w:r>
      <w:r w:rsidR="00EE4FC3">
        <w:t xml:space="preserve"> </w:t>
      </w:r>
      <w:r w:rsidRPr="00382917">
        <w:t>convinced</w:t>
      </w:r>
      <w:r w:rsidR="00EE4FC3">
        <w:t xml:space="preserve"> </w:t>
      </w:r>
      <w:r w:rsidRPr="00382917">
        <w:t>of</w:t>
      </w:r>
      <w:r w:rsidR="00EE4FC3">
        <w:t xml:space="preserve"> </w:t>
      </w:r>
      <w:r w:rsidRPr="00382917">
        <w:t>the</w:t>
      </w:r>
      <w:r w:rsidR="00EE4FC3">
        <w:t xml:space="preserve"> </w:t>
      </w:r>
      <w:r w:rsidRPr="00382917">
        <w:t>loyalty</w:t>
      </w:r>
      <w:r w:rsidR="00EE4FC3">
        <w:t xml:space="preserve"> </w:t>
      </w:r>
      <w:r w:rsidRPr="00382917">
        <w:t>of</w:t>
      </w:r>
      <w:r w:rsidR="00EE4FC3">
        <w:t xml:space="preserve"> </w:t>
      </w:r>
      <w:r w:rsidRPr="00382917">
        <w:t>his</w:t>
      </w:r>
      <w:r w:rsidR="00EE4FC3">
        <w:t xml:space="preserve"> </w:t>
      </w:r>
      <w:r w:rsidRPr="00382917">
        <w:t>dear</w:t>
      </w:r>
      <w:r w:rsidR="00EE4FC3">
        <w:t xml:space="preserve"> </w:t>
      </w:r>
      <w:r w:rsidRPr="00382917">
        <w:t>friend</w:t>
      </w:r>
      <w:r w:rsidR="00EE4FC3">
        <w:t xml:space="preserve"> </w:t>
      </w:r>
      <w:r w:rsidR="0040329F" w:rsidRPr="00382917">
        <w:t>Manú</w:t>
      </w:r>
      <w:r w:rsidR="0040329F" w:rsidRPr="0040329F">
        <w:rPr>
          <w:u w:val="single"/>
        </w:rPr>
        <w:t>ch</w:t>
      </w:r>
      <w:r w:rsidR="0040329F" w:rsidRPr="00382917">
        <w:t>ihr</w:t>
      </w:r>
      <w:r w:rsidR="00EE4FC3">
        <w:t xml:space="preserve"> </w:t>
      </w:r>
      <w:r w:rsidR="0040329F" w:rsidRPr="0040329F">
        <w:rPr>
          <w:u w:val="single"/>
        </w:rPr>
        <w:t>Kh</w:t>
      </w:r>
      <w:r w:rsidR="0040329F" w:rsidRPr="00382917">
        <w:t>án</w:t>
      </w:r>
      <w:r w:rsidR="00C03C91">
        <w:t>.</w:t>
      </w:r>
      <w:r w:rsidR="00EE4FC3">
        <w:t xml:space="preserve">  </w:t>
      </w:r>
      <w:r w:rsidRPr="00382917">
        <w:t>He</w:t>
      </w:r>
      <w:r w:rsidR="00EE4FC3">
        <w:t xml:space="preserve"> </w:t>
      </w:r>
      <w:r w:rsidRPr="00382917">
        <w:t>felt</w:t>
      </w:r>
      <w:r w:rsidR="00EE4FC3">
        <w:t xml:space="preserve"> </w:t>
      </w:r>
      <w:r w:rsidRPr="00382917">
        <w:t>certain</w:t>
      </w:r>
      <w:r w:rsidR="00EE4FC3">
        <w:t xml:space="preserve"> </w:t>
      </w:r>
      <w:r w:rsidRPr="00382917">
        <w:t>that</w:t>
      </w:r>
      <w:r w:rsidR="00EE4FC3">
        <w:t xml:space="preserve"> </w:t>
      </w:r>
      <w:r w:rsidRPr="00382917">
        <w:t>the</w:t>
      </w:r>
      <w:r w:rsidR="00EE4FC3">
        <w:t xml:space="preserve"> </w:t>
      </w:r>
      <w:r w:rsidRPr="00382917">
        <w:t>governor</w:t>
      </w:r>
      <w:r w:rsidR="00EE4FC3">
        <w:t xml:space="preserve"> </w:t>
      </w:r>
      <w:r w:rsidRPr="00382917">
        <w:t>had</w:t>
      </w:r>
      <w:r w:rsidR="00EE4FC3">
        <w:t xml:space="preserve"> </w:t>
      </w:r>
      <w:r w:rsidRPr="00382917">
        <w:t>been</w:t>
      </w:r>
      <w:r w:rsidR="00EE4FC3">
        <w:t xml:space="preserve"> </w:t>
      </w:r>
      <w:r w:rsidRPr="00382917">
        <w:t>waiting</w:t>
      </w:r>
      <w:r w:rsidR="00EE4FC3">
        <w:t xml:space="preserve"> </w:t>
      </w:r>
      <w:r w:rsidRPr="00382917">
        <w:t>for</w:t>
      </w:r>
      <w:r w:rsidR="00EE4FC3">
        <w:t xml:space="preserve"> </w:t>
      </w:r>
      <w:r w:rsidRPr="00382917">
        <w:t>a</w:t>
      </w:r>
      <w:r w:rsidR="00EE4FC3">
        <w:t xml:space="preserve"> </w:t>
      </w:r>
      <w:proofErr w:type="spellStart"/>
      <w:r w:rsidRPr="00382917">
        <w:t>favorable</w:t>
      </w:r>
      <w:proofErr w:type="spellEnd"/>
      <w:r w:rsidR="00EE4FC3">
        <w:t xml:space="preserve"> </w:t>
      </w:r>
      <w:r w:rsidRPr="00382917">
        <w:t>occasion</w:t>
      </w:r>
      <w:r w:rsidR="00EE4FC3">
        <w:t xml:space="preserve"> </w:t>
      </w:r>
      <w:r w:rsidRPr="00382917">
        <w:t>when</w:t>
      </w:r>
      <w:r w:rsidR="00EE4FC3">
        <w:t xml:space="preserve"> </w:t>
      </w:r>
      <w:r w:rsidRPr="00382917">
        <w:t>he</w:t>
      </w:r>
      <w:r w:rsidR="00EE4FC3">
        <w:t xml:space="preserve"> </w:t>
      </w:r>
      <w:r w:rsidRPr="00382917">
        <w:t>could</w:t>
      </w:r>
      <w:r w:rsidR="00EE4FC3">
        <w:t xml:space="preserve"> </w:t>
      </w:r>
      <w:r w:rsidRPr="00382917">
        <w:t>arrange</w:t>
      </w:r>
      <w:r w:rsidR="00EE4FC3">
        <w:t xml:space="preserve"> </w:t>
      </w:r>
      <w:r w:rsidRPr="00382917">
        <w:t>a</w:t>
      </w:r>
      <w:r w:rsidR="00EE4FC3">
        <w:t xml:space="preserve"> </w:t>
      </w:r>
      <w:r w:rsidRPr="00382917">
        <w:t>meeting</w:t>
      </w:r>
      <w:r w:rsidR="00EE4FC3">
        <w:t xml:space="preserve"> </w:t>
      </w:r>
      <w:r w:rsidRPr="00382917">
        <w:t>between</w:t>
      </w:r>
      <w:r w:rsidR="00EE4FC3">
        <w:t xml:space="preserve"> </w:t>
      </w:r>
      <w:r w:rsidRPr="00382917">
        <w:t>himself</w:t>
      </w:r>
      <w:r w:rsidR="00EE4FC3">
        <w:t xml:space="preserve"> </w:t>
      </w:r>
      <w:r w:rsidRPr="00382917">
        <w:t>and</w:t>
      </w:r>
      <w:r w:rsidR="00EE4FC3">
        <w:t xml:space="preserve"> </w:t>
      </w:r>
      <w:r w:rsidRPr="00382917">
        <w:t>the</w:t>
      </w:r>
      <w:r w:rsidR="00EE4FC3">
        <w:t xml:space="preserve"> </w:t>
      </w:r>
      <w:r w:rsidRPr="00382917">
        <w:t>Báb</w:t>
      </w:r>
      <w:r w:rsidR="00C03C91">
        <w:t>.</w:t>
      </w:r>
      <w:r w:rsidR="00EE4FC3">
        <w:t xml:space="preserve">  </w:t>
      </w:r>
      <w:r w:rsidRPr="00382917">
        <w:t>Now,</w:t>
      </w:r>
      <w:r w:rsidR="00EE4FC3">
        <w:t xml:space="preserve"> </w:t>
      </w:r>
      <w:r w:rsidRPr="00382917">
        <w:t>his</w:t>
      </w:r>
      <w:r w:rsidR="00EE4FC3">
        <w:t xml:space="preserve"> </w:t>
      </w:r>
      <w:r w:rsidRPr="00382917">
        <w:t>sudden</w:t>
      </w:r>
      <w:r w:rsidR="00EE4FC3">
        <w:t xml:space="preserve"> </w:t>
      </w:r>
      <w:r w:rsidRPr="00382917">
        <w:t>death</w:t>
      </w:r>
      <w:r w:rsidR="00EE4FC3">
        <w:t xml:space="preserve"> </w:t>
      </w:r>
      <w:r w:rsidRPr="00382917">
        <w:t>had</w:t>
      </w:r>
      <w:r w:rsidR="00EE4FC3">
        <w:t xml:space="preserve"> </w:t>
      </w:r>
      <w:r w:rsidRPr="00382917">
        <w:t>interfered</w:t>
      </w:r>
      <w:r w:rsidR="00EE4FC3">
        <w:t xml:space="preserve"> </w:t>
      </w:r>
      <w:r w:rsidRPr="00382917">
        <w:t>with</w:t>
      </w:r>
      <w:r w:rsidR="00EE4FC3">
        <w:t xml:space="preserve"> </w:t>
      </w:r>
      <w:r w:rsidRPr="00382917">
        <w:t>this</w:t>
      </w:r>
      <w:r w:rsidR="00EE4FC3">
        <w:t xml:space="preserve"> </w:t>
      </w:r>
      <w:r w:rsidRPr="00382917">
        <w:t>plan.</w:t>
      </w:r>
    </w:p>
    <w:p w:rsidR="0054338F" w:rsidRPr="00382917" w:rsidRDefault="0054338F" w:rsidP="002C2EDA">
      <w:pPr>
        <w:pStyle w:val="Text"/>
      </w:pPr>
      <w:r w:rsidRPr="00382917">
        <w:t>The</w:t>
      </w:r>
      <w:r w:rsidR="00EE4FC3">
        <w:t xml:space="preserve"> </w:t>
      </w:r>
      <w:r w:rsidRPr="00382917">
        <w:t>king,</w:t>
      </w:r>
      <w:r w:rsidR="00EE4FC3">
        <w:t xml:space="preserve"> </w:t>
      </w:r>
      <w:r w:rsidRPr="00382917">
        <w:t>therefore,</w:t>
      </w:r>
      <w:r w:rsidR="00EE4FC3">
        <w:t xml:space="preserve"> </w:t>
      </w:r>
      <w:r w:rsidRPr="00382917">
        <w:t>decided</w:t>
      </w:r>
      <w:r w:rsidR="00EE4FC3">
        <w:t xml:space="preserve"> </w:t>
      </w:r>
      <w:r w:rsidRPr="00382917">
        <w:t>to</w:t>
      </w:r>
      <w:r w:rsidR="00EE4FC3">
        <w:t xml:space="preserve"> </w:t>
      </w:r>
      <w:r w:rsidRPr="00382917">
        <w:t>carry</w:t>
      </w:r>
      <w:r w:rsidR="00EE4FC3">
        <w:t xml:space="preserve"> </w:t>
      </w:r>
      <w:r w:rsidRPr="00382917">
        <w:t>out</w:t>
      </w:r>
      <w:r w:rsidR="00EE4FC3">
        <w:t xml:space="preserve"> </w:t>
      </w:r>
      <w:r w:rsidRPr="00382917">
        <w:t>what</w:t>
      </w:r>
      <w:r w:rsidR="00EE4FC3">
        <w:t xml:space="preserve"> </w:t>
      </w:r>
      <w:r w:rsidRPr="00382917">
        <w:t>he</w:t>
      </w:r>
      <w:r w:rsidR="00EE4FC3">
        <w:t xml:space="preserve"> </w:t>
      </w:r>
      <w:r w:rsidRPr="00382917">
        <w:t>believed</w:t>
      </w:r>
      <w:r w:rsidR="00EE4FC3">
        <w:t xml:space="preserve"> </w:t>
      </w:r>
      <w:r w:rsidRPr="00382917">
        <w:t>to</w:t>
      </w:r>
      <w:r w:rsidR="00EE4FC3">
        <w:t xml:space="preserve"> </w:t>
      </w:r>
      <w:r w:rsidRPr="00382917">
        <w:t>have</w:t>
      </w:r>
      <w:r w:rsidR="00EE4FC3">
        <w:t xml:space="preserve"> </w:t>
      </w:r>
      <w:r w:rsidRPr="00382917">
        <w:t>been</w:t>
      </w:r>
      <w:r w:rsidR="00EE4FC3">
        <w:t xml:space="preserve"> </w:t>
      </w:r>
      <w:r w:rsidRPr="00382917">
        <w:t>the</w:t>
      </w:r>
      <w:r w:rsidR="00EE4FC3">
        <w:t xml:space="preserve"> </w:t>
      </w:r>
      <w:r w:rsidRPr="00382917">
        <w:t>wish</w:t>
      </w:r>
      <w:r w:rsidR="00EE4FC3">
        <w:t xml:space="preserve"> </w:t>
      </w:r>
      <w:r w:rsidRPr="00382917">
        <w:t>of</w:t>
      </w:r>
      <w:r w:rsidR="00EE4FC3">
        <w:t xml:space="preserve"> </w:t>
      </w:r>
      <w:r w:rsidRPr="00382917">
        <w:t>his</w:t>
      </w:r>
      <w:r w:rsidR="00EE4FC3">
        <w:t xml:space="preserve"> </w:t>
      </w:r>
      <w:r w:rsidRPr="00382917">
        <w:t>friend,</w:t>
      </w:r>
      <w:r w:rsidR="00EE4FC3">
        <w:t xml:space="preserve"> </w:t>
      </w:r>
      <w:r w:rsidRPr="00382917">
        <w:t>the</w:t>
      </w:r>
      <w:r w:rsidR="00EE4FC3">
        <w:t xml:space="preserve"> </w:t>
      </w:r>
      <w:r w:rsidRPr="00382917">
        <w:t>governor</w:t>
      </w:r>
      <w:r w:rsidR="00C03C91">
        <w:t>.</w:t>
      </w:r>
      <w:r w:rsidR="00EE4FC3">
        <w:t xml:space="preserve">  </w:t>
      </w:r>
      <w:r w:rsidRPr="00382917">
        <w:t>He</w:t>
      </w:r>
      <w:r w:rsidR="00EE4FC3">
        <w:t xml:space="preserve"> </w:t>
      </w:r>
      <w:r w:rsidRPr="00382917">
        <w:t>would</w:t>
      </w:r>
      <w:r w:rsidR="00EE4FC3">
        <w:t xml:space="preserve"> </w:t>
      </w:r>
      <w:r w:rsidRPr="00382917">
        <w:t>meet</w:t>
      </w:r>
      <w:r w:rsidR="00EE4FC3">
        <w:t xml:space="preserve"> </w:t>
      </w:r>
      <w:r w:rsidRPr="00382917">
        <w:t>the</w:t>
      </w:r>
      <w:r w:rsidR="00EE4FC3">
        <w:t xml:space="preserve"> </w:t>
      </w:r>
      <w:r w:rsidRPr="00382917">
        <w:t>Báb</w:t>
      </w:r>
      <w:r w:rsidR="00EE4FC3">
        <w:t xml:space="preserve"> </w:t>
      </w:r>
      <w:r w:rsidRPr="00382917">
        <w:t>at</w:t>
      </w:r>
      <w:r w:rsidR="00EE4FC3">
        <w:t xml:space="preserve"> </w:t>
      </w:r>
      <w:r w:rsidRPr="00382917">
        <w:t>last.</w:t>
      </w:r>
    </w:p>
    <w:p w:rsidR="002C2EDA" w:rsidRPr="00382917" w:rsidRDefault="002C2EDA" w:rsidP="0054338F"/>
    <w:p w:rsidR="002C2EDA" w:rsidRPr="00382917" w:rsidRDefault="002C2EDA" w:rsidP="0054338F">
      <w:pPr>
        <w:sectPr w:rsidR="002C2EDA" w:rsidRPr="00382917" w:rsidSect="009073C7">
          <w:footnotePr>
            <w:numRestart w:val="eachPage"/>
          </w:footnotePr>
          <w:type w:val="oddPage"/>
          <w:pgSz w:w="8618" w:h="12984" w:code="188"/>
          <w:pgMar w:top="720" w:right="720" w:bottom="720" w:left="720" w:header="720" w:footer="567" w:gutter="357"/>
          <w:cols w:space="708"/>
          <w:noEndnote/>
          <w:titlePg/>
          <w:docGrid w:linePitch="272"/>
        </w:sectPr>
      </w:pPr>
    </w:p>
    <w:p w:rsidR="002C2EDA" w:rsidRDefault="00417538" w:rsidP="00417538">
      <w:pPr>
        <w:rPr>
          <w:sz w:val="12"/>
          <w:szCs w:val="12"/>
        </w:rPr>
      </w:pPr>
      <w:r w:rsidRPr="00382917">
        <w:rPr>
          <w:sz w:val="12"/>
          <w:szCs w:val="12"/>
        </w:rPr>
        <w:fldChar w:fldCharType="begin"/>
      </w:r>
      <w:r w:rsidR="00EE4FC3">
        <w:rPr>
          <w:sz w:val="12"/>
          <w:szCs w:val="12"/>
        </w:rPr>
        <w:instrText xml:space="preserve"> </w:instrText>
      </w:r>
      <w:proofErr w:type="gramStart"/>
      <w:r w:rsidRPr="00382917">
        <w:rPr>
          <w:sz w:val="12"/>
          <w:szCs w:val="12"/>
        </w:rPr>
        <w:instrText>TC</w:instrText>
      </w:r>
      <w:r w:rsidR="00EE4FC3">
        <w:rPr>
          <w:sz w:val="12"/>
          <w:szCs w:val="12"/>
        </w:rPr>
        <w:instrText xml:space="preserve">  </w:instrText>
      </w:r>
      <w:r w:rsidRPr="00382917">
        <w:rPr>
          <w:sz w:val="12"/>
          <w:szCs w:val="12"/>
        </w:rPr>
        <w:instrText>“</w:instrText>
      </w:r>
      <w:bookmarkStart w:id="12" w:name="_Toc206658608"/>
      <w:proofErr w:type="gramEnd"/>
      <w:r>
        <w:rPr>
          <w:sz w:val="12"/>
          <w:szCs w:val="12"/>
        </w:rPr>
        <w:tab/>
        <w:instrText>10.</w:instrText>
      </w:r>
      <w:r>
        <w:rPr>
          <w:sz w:val="12"/>
          <w:szCs w:val="12"/>
        </w:rPr>
        <w:tab/>
      </w:r>
      <w:r w:rsidRPr="00417538">
        <w:rPr>
          <w:sz w:val="12"/>
          <w:szCs w:val="12"/>
        </w:rPr>
        <w:instrText>The</w:instrText>
      </w:r>
      <w:r w:rsidR="00EE4FC3">
        <w:rPr>
          <w:sz w:val="12"/>
          <w:szCs w:val="12"/>
        </w:rPr>
        <w:instrText xml:space="preserve"> </w:instrText>
      </w:r>
      <w:r w:rsidRPr="00417538">
        <w:rPr>
          <w:sz w:val="12"/>
          <w:szCs w:val="12"/>
        </w:rPr>
        <w:instrText>king’s</w:instrText>
      </w:r>
      <w:r w:rsidR="00EE4FC3">
        <w:rPr>
          <w:sz w:val="12"/>
          <w:szCs w:val="12"/>
        </w:rPr>
        <w:instrText xml:space="preserve"> </w:instrText>
      </w:r>
      <w:r w:rsidRPr="00417538">
        <w:rPr>
          <w:sz w:val="12"/>
          <w:szCs w:val="12"/>
        </w:rPr>
        <w:instrText>summons</w:instrText>
      </w:r>
      <w:proofErr w:type="gramStart"/>
      <w:r w:rsidRPr="00382917">
        <w:rPr>
          <w:color w:val="FFFFFF" w:themeColor="background1"/>
          <w:sz w:val="12"/>
          <w:szCs w:val="12"/>
        </w:rPr>
        <w:instrText>..</w:instrText>
      </w:r>
      <w:proofErr w:type="gramEnd"/>
      <w:r w:rsidRPr="00382917">
        <w:rPr>
          <w:sz w:val="12"/>
          <w:szCs w:val="12"/>
        </w:rPr>
        <w:tab/>
      </w:r>
      <w:r w:rsidRPr="00382917">
        <w:rPr>
          <w:color w:val="FFFFFF" w:themeColor="background1"/>
          <w:sz w:val="12"/>
          <w:szCs w:val="12"/>
        </w:rPr>
        <w:instrText>.</w:instrText>
      </w:r>
      <w:bookmarkEnd w:id="12"/>
      <w:proofErr w:type="gramStart"/>
      <w:r w:rsidRPr="00382917">
        <w:rPr>
          <w:sz w:val="12"/>
          <w:szCs w:val="12"/>
        </w:rPr>
        <w:instrText>”</w:instrText>
      </w:r>
      <w:r w:rsidR="00EE4FC3">
        <w:rPr>
          <w:sz w:val="12"/>
          <w:szCs w:val="12"/>
        </w:rPr>
        <w:instrText xml:space="preserve"> </w:instrText>
      </w:r>
      <w:proofErr w:type="gramEnd"/>
      <w:r w:rsidRPr="00382917">
        <w:rPr>
          <w:sz w:val="12"/>
          <w:szCs w:val="12"/>
        </w:rPr>
        <w:instrText>\l</w:instrText>
      </w:r>
      <w:r w:rsidR="00EE4FC3">
        <w:rPr>
          <w:sz w:val="12"/>
          <w:szCs w:val="12"/>
        </w:rPr>
        <w:instrText xml:space="preserve"> </w:instrText>
      </w:r>
      <w:r w:rsidRPr="00382917">
        <w:rPr>
          <w:sz w:val="12"/>
          <w:szCs w:val="12"/>
        </w:rPr>
        <w:instrText>1</w:instrText>
      </w:r>
      <w:r w:rsidR="00EE4FC3">
        <w:rPr>
          <w:sz w:val="12"/>
          <w:szCs w:val="12"/>
        </w:rPr>
        <w:instrText xml:space="preserve"> </w:instrText>
      </w:r>
      <w:r w:rsidRPr="00382917">
        <w:rPr>
          <w:sz w:val="12"/>
          <w:szCs w:val="12"/>
        </w:rPr>
        <w:fldChar w:fldCharType="end"/>
      </w:r>
    </w:p>
    <w:p w:rsidR="00417538" w:rsidRPr="00382917" w:rsidRDefault="00417538" w:rsidP="0054338F"/>
    <w:p w:rsidR="0054338F" w:rsidRPr="00382917" w:rsidRDefault="002C2EDA" w:rsidP="00417538">
      <w:pPr>
        <w:pStyle w:val="Myheadc"/>
      </w:pPr>
      <w:r w:rsidRPr="00382917">
        <w:t>10</w:t>
      </w:r>
      <w:r w:rsidR="00417538">
        <w:br/>
      </w:r>
      <w:r w:rsidRPr="00382917">
        <w:rPr>
          <w:noProof/>
          <w:lang w:val="en-AU" w:eastAsia="en-AU"/>
          <w14:numForm w14:val="default"/>
          <w14:numSpacing w14:val="default"/>
        </w:rPr>
        <w:drawing>
          <wp:inline distT="0" distB="0" distL="0" distR="0" wp14:anchorId="5C30FAF2" wp14:editId="5E17F213">
            <wp:extent cx="396000" cy="392400"/>
            <wp:effectExtent l="0" t="0" r="4445" b="825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p.emf"/>
                    <pic:cNvPicPr/>
                  </pic:nvPicPr>
                  <pic:blipFill>
                    <a:blip r:embed="rId17">
                      <a:extLst>
                        <a:ext uri="{28A0092B-C50C-407E-A947-70E740481C1C}">
                          <a14:useLocalDpi xmlns:a14="http://schemas.microsoft.com/office/drawing/2010/main" val="0"/>
                        </a:ext>
                      </a:extLst>
                    </a:blip>
                    <a:stretch>
                      <a:fillRect/>
                    </a:stretch>
                  </pic:blipFill>
                  <pic:spPr>
                    <a:xfrm>
                      <a:off x="0" y="0"/>
                      <a:ext cx="396000" cy="392400"/>
                    </a:xfrm>
                    <a:prstGeom prst="rect">
                      <a:avLst/>
                    </a:prstGeom>
                  </pic:spPr>
                </pic:pic>
              </a:graphicData>
            </a:graphic>
          </wp:inline>
        </w:drawing>
      </w:r>
      <w:r w:rsidR="00417538">
        <w:br/>
      </w:r>
      <w:r w:rsidR="0054338F" w:rsidRPr="00382917">
        <w:t>T</w:t>
      </w:r>
      <w:r w:rsidRPr="00382917">
        <w:t>he</w:t>
      </w:r>
      <w:r w:rsidR="00EE4FC3">
        <w:t xml:space="preserve"> </w:t>
      </w:r>
      <w:r w:rsidRPr="00382917">
        <w:t>king</w:t>
      </w:r>
      <w:r w:rsidR="009C713D" w:rsidRPr="00382917">
        <w:t>’</w:t>
      </w:r>
      <w:r w:rsidRPr="00382917">
        <w:t>s</w:t>
      </w:r>
      <w:r w:rsidR="00EE4FC3">
        <w:t xml:space="preserve"> </w:t>
      </w:r>
      <w:r w:rsidRPr="00382917">
        <w:t>summons</w:t>
      </w:r>
    </w:p>
    <w:p w:rsidR="0054338F" w:rsidRPr="00382917" w:rsidRDefault="0054338F" w:rsidP="002C2EDA">
      <w:pPr>
        <w:pStyle w:val="Text"/>
      </w:pPr>
      <w:r w:rsidRPr="00382917">
        <w:t>Muḥammad</w:t>
      </w:r>
      <w:r w:rsidR="00EE4FC3">
        <w:t xml:space="preserve"> </w:t>
      </w:r>
      <w:r w:rsidRPr="00382917">
        <w:rPr>
          <w:u w:val="single"/>
        </w:rPr>
        <w:t>Sh</w:t>
      </w:r>
      <w:r w:rsidRPr="00382917">
        <w:t>áh,</w:t>
      </w:r>
      <w:r w:rsidR="00EE4FC3">
        <w:t xml:space="preserve"> </w:t>
      </w:r>
      <w:r w:rsidRPr="00382917">
        <w:t>king</w:t>
      </w:r>
      <w:r w:rsidR="00EE4FC3">
        <w:t xml:space="preserve"> </w:t>
      </w:r>
      <w:r w:rsidRPr="00382917">
        <w:t>of</w:t>
      </w:r>
      <w:r w:rsidR="00EE4FC3">
        <w:t xml:space="preserve"> </w:t>
      </w:r>
      <w:r w:rsidRPr="00382917">
        <w:t>Persia,</w:t>
      </w:r>
      <w:r w:rsidR="00EE4FC3">
        <w:t xml:space="preserve"> </w:t>
      </w:r>
      <w:r w:rsidRPr="00382917">
        <w:t>was</w:t>
      </w:r>
      <w:r w:rsidR="00EE4FC3">
        <w:t xml:space="preserve"> </w:t>
      </w:r>
      <w:r w:rsidRPr="00382917">
        <w:t>torn</w:t>
      </w:r>
      <w:r w:rsidR="00EE4FC3">
        <w:t xml:space="preserve"> </w:t>
      </w:r>
      <w:r w:rsidRPr="00382917">
        <w:t>between</w:t>
      </w:r>
      <w:r w:rsidR="00EE4FC3">
        <w:t xml:space="preserve"> </w:t>
      </w:r>
      <w:r w:rsidRPr="00382917">
        <w:t>two</w:t>
      </w:r>
      <w:r w:rsidR="00EE4FC3">
        <w:t xml:space="preserve"> </w:t>
      </w:r>
      <w:r w:rsidRPr="00382917">
        <w:t>conflicting</w:t>
      </w:r>
      <w:r w:rsidR="00EE4FC3">
        <w:t xml:space="preserve"> </w:t>
      </w:r>
      <w:r w:rsidRPr="00382917">
        <w:t>desires</w:t>
      </w:r>
      <w:r w:rsidR="00C03C91">
        <w:t>.</w:t>
      </w:r>
      <w:r w:rsidR="00EE4FC3">
        <w:t xml:space="preserve">  </w:t>
      </w:r>
      <w:r w:rsidRPr="00382917">
        <w:t>He</w:t>
      </w:r>
      <w:r w:rsidR="00EE4FC3">
        <w:t xml:space="preserve"> </w:t>
      </w:r>
      <w:r w:rsidRPr="00382917">
        <w:t>wanted</w:t>
      </w:r>
      <w:r w:rsidR="00EE4FC3">
        <w:t xml:space="preserve"> </w:t>
      </w:r>
      <w:r w:rsidRPr="00382917">
        <w:t>to</w:t>
      </w:r>
      <w:r w:rsidR="00EE4FC3">
        <w:t xml:space="preserve"> </w:t>
      </w:r>
      <w:r w:rsidRPr="00382917">
        <w:t>meet</w:t>
      </w:r>
      <w:r w:rsidR="00EE4FC3">
        <w:t xml:space="preserve"> </w:t>
      </w:r>
      <w:r w:rsidRPr="00382917">
        <w:t>the</w:t>
      </w:r>
      <w:r w:rsidR="00EE4FC3">
        <w:t xml:space="preserve"> </w:t>
      </w:r>
      <w:r w:rsidRPr="00382917">
        <w:t>Báb</w:t>
      </w:r>
      <w:r w:rsidR="00C03C91">
        <w:t>.</w:t>
      </w:r>
      <w:r w:rsidR="00EE4FC3">
        <w:t xml:space="preserve">  </w:t>
      </w:r>
      <w:r w:rsidRPr="00382917">
        <w:t>He</w:t>
      </w:r>
      <w:r w:rsidR="00EE4FC3">
        <w:t xml:space="preserve"> </w:t>
      </w:r>
      <w:r w:rsidRPr="00382917">
        <w:t>was</w:t>
      </w:r>
      <w:r w:rsidR="00EE4FC3">
        <w:t xml:space="preserve"> </w:t>
      </w:r>
      <w:r w:rsidRPr="00382917">
        <w:t>anxious</w:t>
      </w:r>
      <w:r w:rsidR="00EE4FC3">
        <w:t xml:space="preserve"> </w:t>
      </w:r>
      <w:r w:rsidRPr="00382917">
        <w:t>to</w:t>
      </w:r>
      <w:r w:rsidR="00EE4FC3">
        <w:t xml:space="preserve"> </w:t>
      </w:r>
      <w:r w:rsidRPr="00382917">
        <w:t>see</w:t>
      </w:r>
      <w:r w:rsidR="00EE4FC3">
        <w:t xml:space="preserve"> </w:t>
      </w:r>
      <w:r w:rsidRPr="00382917">
        <w:t>in</w:t>
      </w:r>
      <w:r w:rsidR="00EE4FC3">
        <w:t xml:space="preserve"> </w:t>
      </w:r>
      <w:r w:rsidRPr="00382917">
        <w:t>person</w:t>
      </w:r>
      <w:r w:rsidR="00EE4FC3">
        <w:t xml:space="preserve"> </w:t>
      </w:r>
      <w:r w:rsidRPr="00382917">
        <w:t>this</w:t>
      </w:r>
      <w:r w:rsidR="00EE4FC3">
        <w:t xml:space="preserve"> </w:t>
      </w:r>
      <w:r w:rsidRPr="00382917">
        <w:t>young</w:t>
      </w:r>
      <w:r w:rsidR="00EE4FC3">
        <w:t xml:space="preserve"> </w:t>
      </w:r>
      <w:r w:rsidRPr="00382917">
        <w:t>Man</w:t>
      </w:r>
      <w:r w:rsidR="00EE4FC3">
        <w:t xml:space="preserve"> </w:t>
      </w:r>
      <w:r w:rsidRPr="00382917">
        <w:t>Who</w:t>
      </w:r>
      <w:r w:rsidR="00EE4FC3">
        <w:t xml:space="preserve"> </w:t>
      </w:r>
      <w:r w:rsidRPr="00382917">
        <w:t>could</w:t>
      </w:r>
      <w:r w:rsidR="00EE4FC3">
        <w:t xml:space="preserve"> </w:t>
      </w:r>
      <w:r w:rsidRPr="00382917">
        <w:t>win</w:t>
      </w:r>
      <w:r w:rsidR="00EE4FC3">
        <w:t xml:space="preserve"> </w:t>
      </w:r>
      <w:r w:rsidRPr="00382917">
        <w:t>over</w:t>
      </w:r>
      <w:r w:rsidR="00EE4FC3">
        <w:t xml:space="preserve"> </w:t>
      </w:r>
      <w:r w:rsidRPr="00382917">
        <w:t>to</w:t>
      </w:r>
      <w:r w:rsidR="00EE4FC3">
        <w:t xml:space="preserve"> </w:t>
      </w:r>
      <w:r w:rsidRPr="00382917">
        <w:t>His</w:t>
      </w:r>
      <w:r w:rsidR="00EE4FC3">
        <w:t xml:space="preserve"> </w:t>
      </w:r>
      <w:r w:rsidRPr="00382917">
        <w:t>Faith</w:t>
      </w:r>
      <w:r w:rsidR="00EE4FC3">
        <w:t xml:space="preserve"> </w:t>
      </w:r>
      <w:r w:rsidRPr="00382917">
        <w:t>someone</w:t>
      </w:r>
      <w:r w:rsidR="00EE4FC3">
        <w:t xml:space="preserve"> </w:t>
      </w:r>
      <w:r w:rsidRPr="00382917">
        <w:t>as</w:t>
      </w:r>
      <w:r w:rsidR="00EE4FC3">
        <w:t xml:space="preserve"> </w:t>
      </w:r>
      <w:r w:rsidRPr="00382917">
        <w:t>learned</w:t>
      </w:r>
      <w:r w:rsidR="00EE4FC3">
        <w:t xml:space="preserve"> </w:t>
      </w:r>
      <w:r w:rsidRPr="00382917">
        <w:t>and</w:t>
      </w:r>
      <w:r w:rsidR="00EE4FC3">
        <w:t xml:space="preserve"> </w:t>
      </w:r>
      <w:r w:rsidRPr="00382917">
        <w:t>gifted</w:t>
      </w:r>
      <w:r w:rsidR="00EE4FC3">
        <w:t xml:space="preserve"> </w:t>
      </w:r>
      <w:r w:rsidRPr="00382917">
        <w:t>as</w:t>
      </w:r>
      <w:r w:rsidR="00EE4FC3">
        <w:t xml:space="preserve"> </w:t>
      </w:r>
      <w:r w:rsidRPr="00382917">
        <w:t>Vaḥíd,</w:t>
      </w:r>
      <w:r w:rsidR="00EE4FC3">
        <w:t xml:space="preserve"> </w:t>
      </w:r>
      <w:r w:rsidRPr="00382917">
        <w:t>and</w:t>
      </w:r>
      <w:r w:rsidR="00EE4FC3">
        <w:t xml:space="preserve"> </w:t>
      </w:r>
      <w:r w:rsidRPr="00382917">
        <w:t>a</w:t>
      </w:r>
      <w:r w:rsidR="00EE4FC3">
        <w:t xml:space="preserve"> </w:t>
      </w:r>
      <w:r w:rsidRPr="00382917">
        <w:t>man</w:t>
      </w:r>
      <w:r w:rsidR="00EE4FC3">
        <w:t xml:space="preserve"> </w:t>
      </w:r>
      <w:r w:rsidRPr="00382917">
        <w:t>of</w:t>
      </w:r>
      <w:r w:rsidR="00EE4FC3">
        <w:t xml:space="preserve"> </w:t>
      </w:r>
      <w:r w:rsidRPr="00382917">
        <w:t>such</w:t>
      </w:r>
      <w:r w:rsidR="00EE4FC3">
        <w:t xml:space="preserve"> </w:t>
      </w:r>
      <w:r w:rsidRPr="00382917">
        <w:t>nobility,</w:t>
      </w:r>
      <w:r w:rsidR="00EE4FC3">
        <w:t xml:space="preserve"> </w:t>
      </w:r>
      <w:r w:rsidRPr="00382917">
        <w:t>stature</w:t>
      </w:r>
      <w:r w:rsidR="00EE4FC3">
        <w:t xml:space="preserve"> </w:t>
      </w:r>
      <w:r w:rsidRPr="00382917">
        <w:t>and</w:t>
      </w:r>
      <w:r w:rsidR="00EE4FC3">
        <w:t xml:space="preserve"> </w:t>
      </w:r>
      <w:r w:rsidRPr="00382917">
        <w:t>wealth</w:t>
      </w:r>
      <w:r w:rsidR="00EE4FC3">
        <w:t xml:space="preserve"> </w:t>
      </w:r>
      <w:r w:rsidRPr="00382917">
        <w:t>as</w:t>
      </w:r>
      <w:r w:rsidR="00EE4FC3">
        <w:t xml:space="preserve"> </w:t>
      </w:r>
      <w:r w:rsidR="0040329F" w:rsidRPr="00382917">
        <w:t>Manú</w:t>
      </w:r>
      <w:r w:rsidR="0040329F" w:rsidRPr="0040329F">
        <w:rPr>
          <w:u w:val="single"/>
        </w:rPr>
        <w:t>ch</w:t>
      </w:r>
      <w:r w:rsidR="0040329F" w:rsidRPr="00382917">
        <w:t>ihr</w:t>
      </w:r>
      <w:r w:rsidR="00EE4FC3">
        <w:t xml:space="preserve"> </w:t>
      </w:r>
      <w:r w:rsidR="0040329F" w:rsidRPr="0040329F">
        <w:rPr>
          <w:u w:val="single"/>
        </w:rPr>
        <w:t>Kh</w:t>
      </w:r>
      <w:r w:rsidR="0040329F" w:rsidRPr="00382917">
        <w:t>án</w:t>
      </w:r>
      <w:r w:rsidR="00C03C91">
        <w:t>.</w:t>
      </w:r>
      <w:r w:rsidR="00EE4FC3">
        <w:t xml:space="preserve">  </w:t>
      </w:r>
      <w:r w:rsidRPr="00382917">
        <w:t>He</w:t>
      </w:r>
      <w:r w:rsidR="00EE4FC3">
        <w:t xml:space="preserve"> </w:t>
      </w:r>
      <w:r w:rsidRPr="00382917">
        <w:t>was</w:t>
      </w:r>
      <w:r w:rsidR="00EE4FC3">
        <w:t xml:space="preserve"> </w:t>
      </w:r>
      <w:r w:rsidRPr="00382917">
        <w:t>eager</w:t>
      </w:r>
      <w:r w:rsidR="00EE4FC3">
        <w:t xml:space="preserve"> </w:t>
      </w:r>
      <w:r w:rsidRPr="00382917">
        <w:t>to</w:t>
      </w:r>
      <w:r w:rsidR="00EE4FC3">
        <w:t xml:space="preserve"> </w:t>
      </w:r>
      <w:r w:rsidRPr="00382917">
        <w:t>know</w:t>
      </w:r>
      <w:r w:rsidR="00EE4FC3">
        <w:t xml:space="preserve"> </w:t>
      </w:r>
      <w:r w:rsidRPr="00382917">
        <w:t>more</w:t>
      </w:r>
      <w:r w:rsidR="00EE4FC3">
        <w:t xml:space="preserve"> </w:t>
      </w:r>
      <w:r w:rsidRPr="00382917">
        <w:t>of</w:t>
      </w:r>
      <w:r w:rsidR="00EE4FC3">
        <w:t xml:space="preserve"> </w:t>
      </w:r>
      <w:r w:rsidRPr="00382917">
        <w:t>this</w:t>
      </w:r>
      <w:r w:rsidR="00EE4FC3">
        <w:t xml:space="preserve"> </w:t>
      </w:r>
      <w:r w:rsidRPr="00382917">
        <w:t>young</w:t>
      </w:r>
      <w:r w:rsidR="00EE4FC3">
        <w:t xml:space="preserve"> </w:t>
      </w:r>
      <w:r w:rsidRPr="00382917">
        <w:t>Prophet</w:t>
      </w:r>
      <w:r w:rsidR="00EE4FC3">
        <w:t xml:space="preserve"> </w:t>
      </w:r>
      <w:r w:rsidRPr="00382917">
        <w:t>Who</w:t>
      </w:r>
      <w:r w:rsidR="00EE4FC3">
        <w:t xml:space="preserve"> </w:t>
      </w:r>
      <w:r w:rsidRPr="00382917">
        <w:t>could</w:t>
      </w:r>
      <w:r w:rsidR="00EE4FC3">
        <w:t xml:space="preserve"> </w:t>
      </w:r>
      <w:r w:rsidRPr="00382917">
        <w:t>so</w:t>
      </w:r>
      <w:r w:rsidR="00EE4FC3">
        <w:t xml:space="preserve"> </w:t>
      </w:r>
      <w:r w:rsidRPr="00382917">
        <w:t>powerfully</w:t>
      </w:r>
      <w:r w:rsidR="00EE4FC3">
        <w:t xml:space="preserve"> </w:t>
      </w:r>
      <w:r w:rsidRPr="00382917">
        <w:t>affect</w:t>
      </w:r>
      <w:r w:rsidR="00EE4FC3">
        <w:t xml:space="preserve"> </w:t>
      </w:r>
      <w:r w:rsidRPr="00382917">
        <w:t>such</w:t>
      </w:r>
      <w:r w:rsidR="00EE4FC3">
        <w:t xml:space="preserve"> </w:t>
      </w:r>
      <w:r w:rsidRPr="00382917">
        <w:t>illustrious</w:t>
      </w:r>
      <w:r w:rsidR="00EE4FC3">
        <w:t xml:space="preserve"> </w:t>
      </w:r>
      <w:r w:rsidRPr="00382917">
        <w:t>people</w:t>
      </w:r>
      <w:r w:rsidR="00C03C91">
        <w:t>.</w:t>
      </w:r>
      <w:r w:rsidR="00EE4FC3">
        <w:t xml:space="preserve">  </w:t>
      </w:r>
      <w:r w:rsidRPr="00382917">
        <w:t>Yet</w:t>
      </w:r>
      <w:r w:rsidR="00EE4FC3">
        <w:t xml:space="preserve"> </w:t>
      </w:r>
      <w:r w:rsidRPr="00382917">
        <w:t>he</w:t>
      </w:r>
      <w:r w:rsidR="00EE4FC3">
        <w:t xml:space="preserve"> </w:t>
      </w:r>
      <w:r w:rsidRPr="00382917">
        <w:t>was</w:t>
      </w:r>
      <w:r w:rsidR="00EE4FC3">
        <w:t xml:space="preserve"> </w:t>
      </w:r>
      <w:r w:rsidRPr="00382917">
        <w:t>alarmed</w:t>
      </w:r>
      <w:r w:rsidR="00EE4FC3">
        <w:t xml:space="preserve"> </w:t>
      </w:r>
      <w:r w:rsidRPr="00382917">
        <w:t>at</w:t>
      </w:r>
      <w:r w:rsidR="00EE4FC3">
        <w:t xml:space="preserve"> </w:t>
      </w:r>
      <w:r w:rsidRPr="00382917">
        <w:t>the</w:t>
      </w:r>
      <w:r w:rsidR="00EE4FC3">
        <w:t xml:space="preserve"> </w:t>
      </w:r>
      <w:r w:rsidRPr="00382917">
        <w:t>same</w:t>
      </w:r>
      <w:r w:rsidR="00EE4FC3">
        <w:t xml:space="preserve"> </w:t>
      </w:r>
      <w:r w:rsidRPr="00382917">
        <w:t>time</w:t>
      </w:r>
      <w:r w:rsidR="00C03C91">
        <w:t>.</w:t>
      </w:r>
      <w:r w:rsidR="00EE4FC3">
        <w:t xml:space="preserve">  </w:t>
      </w:r>
      <w:r w:rsidRPr="00382917">
        <w:t>He</w:t>
      </w:r>
      <w:r w:rsidR="00EE4FC3">
        <w:t xml:space="preserve"> </w:t>
      </w:r>
      <w:r w:rsidRPr="00382917">
        <w:t>was</w:t>
      </w:r>
      <w:r w:rsidR="00EE4FC3">
        <w:t xml:space="preserve"> </w:t>
      </w:r>
      <w:r w:rsidRPr="00382917">
        <w:t>frightened</w:t>
      </w:r>
      <w:r w:rsidR="00EE4FC3">
        <w:t xml:space="preserve"> </w:t>
      </w:r>
      <w:r w:rsidRPr="00382917">
        <w:t>of</w:t>
      </w:r>
      <w:r w:rsidR="00EE4FC3">
        <w:t xml:space="preserve"> </w:t>
      </w:r>
      <w:r w:rsidRPr="00382917">
        <w:t>what</w:t>
      </w:r>
      <w:r w:rsidR="00EE4FC3">
        <w:t xml:space="preserve"> </w:t>
      </w:r>
      <w:r w:rsidRPr="00382917">
        <w:t>might</w:t>
      </w:r>
      <w:r w:rsidR="00EE4FC3">
        <w:t xml:space="preserve"> </w:t>
      </w:r>
      <w:r w:rsidRPr="00382917">
        <w:t>happen</w:t>
      </w:r>
      <w:r w:rsidR="00EE4FC3">
        <w:t xml:space="preserve"> </w:t>
      </w:r>
      <w:r w:rsidRPr="00382917">
        <w:t>if</w:t>
      </w:r>
      <w:r w:rsidR="00EE4FC3">
        <w:t xml:space="preserve"> </w:t>
      </w:r>
      <w:r w:rsidRPr="00382917">
        <w:t>the</w:t>
      </w:r>
      <w:r w:rsidR="00EE4FC3">
        <w:t xml:space="preserve"> </w:t>
      </w:r>
      <w:r w:rsidRPr="00382917">
        <w:t>Báb</w:t>
      </w:r>
      <w:r w:rsidR="00EE4FC3">
        <w:t xml:space="preserve"> </w:t>
      </w:r>
      <w:r w:rsidRPr="00382917">
        <w:t>gained</w:t>
      </w:r>
      <w:r w:rsidR="00EE4FC3">
        <w:t xml:space="preserve"> </w:t>
      </w:r>
      <w:r w:rsidRPr="00382917">
        <w:t>too</w:t>
      </w:r>
      <w:r w:rsidR="00EE4FC3">
        <w:t xml:space="preserve"> </w:t>
      </w:r>
      <w:r w:rsidRPr="00382917">
        <w:t>much</w:t>
      </w:r>
      <w:r w:rsidR="00EE4FC3">
        <w:t xml:space="preserve"> </w:t>
      </w:r>
      <w:r w:rsidRPr="00382917">
        <w:t>popularity</w:t>
      </w:r>
      <w:r w:rsidR="00C03C91">
        <w:t>.</w:t>
      </w:r>
      <w:r w:rsidR="00EE4FC3">
        <w:t xml:space="preserve">  </w:t>
      </w:r>
      <w:r w:rsidRPr="00382917">
        <w:t>His</w:t>
      </w:r>
      <w:r w:rsidR="00EE4FC3">
        <w:t xml:space="preserve"> </w:t>
      </w:r>
      <w:r w:rsidRPr="00382917">
        <w:t>Prime</w:t>
      </w:r>
      <w:r w:rsidR="00EE4FC3">
        <w:t xml:space="preserve"> </w:t>
      </w:r>
      <w:r w:rsidRPr="00382917">
        <w:t>Minister,</w:t>
      </w:r>
      <w:r w:rsidR="00EE4FC3">
        <w:t xml:space="preserve"> </w:t>
      </w:r>
      <w:r w:rsidRPr="00382917">
        <w:t>Ḥájí</w:t>
      </w:r>
      <w:r w:rsidR="00EE4FC3">
        <w:t xml:space="preserve"> </w:t>
      </w:r>
      <w:r w:rsidRPr="00382917">
        <w:t>Mírzá</w:t>
      </w:r>
      <w:r w:rsidR="00EE4FC3">
        <w:t xml:space="preserve"> </w:t>
      </w:r>
      <w:r w:rsidRPr="00382917">
        <w:t>Áqásí,</w:t>
      </w:r>
      <w:r w:rsidR="00EE4FC3">
        <w:t xml:space="preserve"> </w:t>
      </w:r>
      <w:r w:rsidRPr="00382917">
        <w:t>constantly</w:t>
      </w:r>
      <w:r w:rsidR="00EE4FC3">
        <w:t xml:space="preserve"> </w:t>
      </w:r>
      <w:r w:rsidRPr="00382917">
        <w:t>warned</w:t>
      </w:r>
      <w:r w:rsidR="00EE4FC3">
        <w:t xml:space="preserve"> </w:t>
      </w:r>
      <w:r w:rsidRPr="00382917">
        <w:t>him</w:t>
      </w:r>
      <w:r w:rsidR="00EE4FC3">
        <w:t xml:space="preserve"> </w:t>
      </w:r>
      <w:r w:rsidRPr="00382917">
        <w:t>to</w:t>
      </w:r>
      <w:r w:rsidR="00EE4FC3">
        <w:t xml:space="preserve"> </w:t>
      </w:r>
      <w:r w:rsidRPr="00382917">
        <w:t>beware</w:t>
      </w:r>
      <w:r w:rsidR="00EE4FC3">
        <w:t xml:space="preserve"> </w:t>
      </w:r>
      <w:r w:rsidRPr="00382917">
        <w:t>of</w:t>
      </w:r>
      <w:r w:rsidR="00EE4FC3">
        <w:t xml:space="preserve"> </w:t>
      </w:r>
      <w:r w:rsidRPr="00382917">
        <w:t>the</w:t>
      </w:r>
      <w:r w:rsidR="00EE4FC3">
        <w:t xml:space="preserve"> </w:t>
      </w:r>
      <w:r w:rsidRPr="00382917">
        <w:t>Báb</w:t>
      </w:r>
      <w:r w:rsidR="00C03C91">
        <w:t>.</w:t>
      </w:r>
      <w:r w:rsidR="00EE4FC3">
        <w:t xml:space="preserve">  </w:t>
      </w:r>
      <w:r w:rsidRPr="00382917">
        <w:t>The</w:t>
      </w:r>
      <w:r w:rsidR="00EE4FC3">
        <w:t xml:space="preserve"> </w:t>
      </w:r>
      <w:r w:rsidRPr="00382917">
        <w:t>priests</w:t>
      </w:r>
      <w:r w:rsidR="00EE4FC3">
        <w:t xml:space="preserve"> </w:t>
      </w:r>
      <w:r w:rsidRPr="00382917">
        <w:t>at</w:t>
      </w:r>
      <w:r w:rsidR="00EE4FC3">
        <w:t xml:space="preserve"> </w:t>
      </w:r>
      <w:r w:rsidRPr="00382917">
        <w:t>Court</w:t>
      </w:r>
      <w:r w:rsidR="00EE4FC3">
        <w:t xml:space="preserve"> </w:t>
      </w:r>
      <w:r w:rsidRPr="00382917">
        <w:t>spoke</w:t>
      </w:r>
      <w:r w:rsidR="00EE4FC3">
        <w:t xml:space="preserve"> </w:t>
      </w:r>
      <w:r w:rsidRPr="00382917">
        <w:t>of</w:t>
      </w:r>
      <w:r w:rsidR="00EE4FC3">
        <w:t xml:space="preserve"> </w:t>
      </w:r>
      <w:r w:rsidRPr="00382917">
        <w:t>the</w:t>
      </w:r>
      <w:r w:rsidR="00EE4FC3">
        <w:t xml:space="preserve"> </w:t>
      </w:r>
      <w:r w:rsidRPr="00382917">
        <w:t>Báb</w:t>
      </w:r>
      <w:r w:rsidR="00EE4FC3">
        <w:t xml:space="preserve"> </w:t>
      </w:r>
      <w:r w:rsidRPr="00382917">
        <w:t>in</w:t>
      </w:r>
      <w:r w:rsidR="00EE4FC3">
        <w:t xml:space="preserve"> </w:t>
      </w:r>
      <w:r w:rsidRPr="00382917">
        <w:t>the</w:t>
      </w:r>
      <w:r w:rsidR="00EE4FC3">
        <w:t xml:space="preserve"> </w:t>
      </w:r>
      <w:r w:rsidRPr="00382917">
        <w:t>same</w:t>
      </w:r>
      <w:r w:rsidR="00EE4FC3">
        <w:t xml:space="preserve"> </w:t>
      </w:r>
      <w:r w:rsidRPr="00382917">
        <w:t>manner</w:t>
      </w:r>
      <w:r w:rsidR="00EE4FC3">
        <w:t xml:space="preserve"> </w:t>
      </w:r>
      <w:r w:rsidRPr="00382917">
        <w:t>the</w:t>
      </w:r>
      <w:r w:rsidR="00EE4FC3">
        <w:t xml:space="preserve"> </w:t>
      </w:r>
      <w:r w:rsidRPr="00382917">
        <w:t>religious</w:t>
      </w:r>
      <w:r w:rsidR="00EE4FC3">
        <w:t xml:space="preserve"> </w:t>
      </w:r>
      <w:r w:rsidRPr="00382917">
        <w:t>authorities</w:t>
      </w:r>
      <w:r w:rsidR="00EE4FC3">
        <w:t xml:space="preserve"> </w:t>
      </w:r>
      <w:r w:rsidRPr="00382917">
        <w:t>had</w:t>
      </w:r>
      <w:r w:rsidR="00EE4FC3">
        <w:t xml:space="preserve"> </w:t>
      </w:r>
      <w:r w:rsidRPr="00382917">
        <w:t>spoken</w:t>
      </w:r>
      <w:r w:rsidR="00EE4FC3">
        <w:t xml:space="preserve"> </w:t>
      </w:r>
      <w:r w:rsidRPr="00382917">
        <w:t>of</w:t>
      </w:r>
      <w:r w:rsidR="00EE4FC3">
        <w:t xml:space="preserve"> </w:t>
      </w:r>
      <w:r w:rsidRPr="00382917">
        <w:t>Jesus,</w:t>
      </w:r>
      <w:r w:rsidR="00EE4FC3">
        <w:t xml:space="preserve"> </w:t>
      </w:r>
      <w:r w:rsidRPr="00382917">
        <w:t>saying</w:t>
      </w:r>
      <w:r w:rsidR="00C03C91">
        <w:t>:</w:t>
      </w:r>
      <w:r w:rsidR="00EE4FC3">
        <w:t xml:space="preserve">  </w:t>
      </w:r>
      <w:r w:rsidR="009C713D" w:rsidRPr="00382917">
        <w:t>“</w:t>
      </w:r>
      <w:r w:rsidRPr="00382917">
        <w:t>He</w:t>
      </w:r>
      <w:r w:rsidR="00EE4FC3">
        <w:t xml:space="preserve"> </w:t>
      </w:r>
      <w:r w:rsidRPr="00382917">
        <w:t>is</w:t>
      </w:r>
      <w:r w:rsidR="00EE4FC3">
        <w:t xml:space="preserve"> </w:t>
      </w:r>
      <w:r w:rsidRPr="00382917">
        <w:t>a</w:t>
      </w:r>
      <w:r w:rsidR="00EE4FC3">
        <w:t xml:space="preserve"> </w:t>
      </w:r>
      <w:r w:rsidRPr="00382917">
        <w:t>political</w:t>
      </w:r>
      <w:r w:rsidR="00EE4FC3">
        <w:t xml:space="preserve"> </w:t>
      </w:r>
      <w:r w:rsidRPr="00382917">
        <w:t>revolutionary</w:t>
      </w:r>
      <w:r w:rsidR="00C03C91">
        <w:t>.</w:t>
      </w:r>
      <w:r w:rsidR="00EE4FC3">
        <w:t xml:space="preserve">  </w:t>
      </w:r>
      <w:r w:rsidRPr="00382917">
        <w:t>He</w:t>
      </w:r>
      <w:r w:rsidR="00EE4FC3">
        <w:t xml:space="preserve"> </w:t>
      </w:r>
      <w:r w:rsidRPr="00382917">
        <w:t>will</w:t>
      </w:r>
      <w:r w:rsidR="00EE4FC3">
        <w:t xml:space="preserve"> </w:t>
      </w:r>
      <w:r w:rsidRPr="00382917">
        <w:t>undermine</w:t>
      </w:r>
      <w:r w:rsidR="00EE4FC3">
        <w:t xml:space="preserve"> </w:t>
      </w:r>
      <w:r w:rsidRPr="00382917">
        <w:t>your</w:t>
      </w:r>
      <w:r w:rsidR="00EE4FC3">
        <w:t xml:space="preserve"> </w:t>
      </w:r>
      <w:r w:rsidRPr="00382917">
        <w:t>state</w:t>
      </w:r>
      <w:r w:rsidR="00EE4FC3">
        <w:t xml:space="preserve"> </w:t>
      </w:r>
      <w:r w:rsidRPr="00382917">
        <w:t>and</w:t>
      </w:r>
      <w:r w:rsidR="00EE4FC3">
        <w:t xml:space="preserve"> </w:t>
      </w:r>
      <w:r w:rsidRPr="00382917">
        <w:t>destroy</w:t>
      </w:r>
      <w:r w:rsidR="00EE4FC3">
        <w:t xml:space="preserve"> </w:t>
      </w:r>
      <w:r w:rsidRPr="00382917">
        <w:t>your</w:t>
      </w:r>
      <w:r w:rsidR="00EE4FC3">
        <w:t xml:space="preserve"> </w:t>
      </w:r>
      <w:r w:rsidRPr="00382917">
        <w:t>influence</w:t>
      </w:r>
      <w:r w:rsidR="00EE4FC3">
        <w:t xml:space="preserve"> </w:t>
      </w:r>
      <w:r w:rsidRPr="00382917">
        <w:t>over</w:t>
      </w:r>
      <w:r w:rsidR="00EE4FC3">
        <w:t xml:space="preserve"> </w:t>
      </w:r>
      <w:r w:rsidRPr="00382917">
        <w:t>your</w:t>
      </w:r>
      <w:r w:rsidR="00EE4FC3">
        <w:t xml:space="preserve"> </w:t>
      </w:r>
      <w:r w:rsidRPr="00382917">
        <w:t>subjects.</w:t>
      </w:r>
      <w:r w:rsidR="009C713D" w:rsidRPr="00382917">
        <w:t>”</w:t>
      </w:r>
    </w:p>
    <w:p w:rsidR="0054338F" w:rsidRPr="00382917" w:rsidRDefault="0054338F" w:rsidP="002C2EDA">
      <w:pPr>
        <w:pStyle w:val="Text"/>
      </w:pPr>
      <w:r w:rsidRPr="00382917">
        <w:t>The</w:t>
      </w:r>
      <w:r w:rsidR="00EE4FC3">
        <w:t xml:space="preserve"> </w:t>
      </w:r>
      <w:r w:rsidRPr="00382917">
        <w:t>king</w:t>
      </w:r>
      <w:r w:rsidR="00EE4FC3">
        <w:t xml:space="preserve"> </w:t>
      </w:r>
      <w:r w:rsidRPr="00382917">
        <w:t>wavered</w:t>
      </w:r>
      <w:r w:rsidR="00C03C91">
        <w:t>.</w:t>
      </w:r>
      <w:r w:rsidR="00EE4FC3">
        <w:t xml:space="preserve">  </w:t>
      </w:r>
      <w:r w:rsidRPr="00382917">
        <w:t>He</w:t>
      </w:r>
      <w:r w:rsidR="00EE4FC3">
        <w:t xml:space="preserve"> </w:t>
      </w:r>
      <w:r w:rsidRPr="00382917">
        <w:t>blew</w:t>
      </w:r>
      <w:r w:rsidR="00EE4FC3">
        <w:t xml:space="preserve"> </w:t>
      </w:r>
      <w:r w:rsidRPr="00382917">
        <w:t>hot</w:t>
      </w:r>
      <w:r w:rsidR="00EE4FC3">
        <w:t xml:space="preserve"> </w:t>
      </w:r>
      <w:r w:rsidRPr="00382917">
        <w:t>and</w:t>
      </w:r>
      <w:r w:rsidR="00EE4FC3">
        <w:t xml:space="preserve"> </w:t>
      </w:r>
      <w:r w:rsidRPr="00382917">
        <w:t>cold</w:t>
      </w:r>
      <w:r w:rsidR="00C03C91">
        <w:t>.</w:t>
      </w:r>
      <w:r w:rsidR="00EE4FC3">
        <w:t xml:space="preserve">  </w:t>
      </w:r>
      <w:r w:rsidRPr="00382917">
        <w:t>Prompted</w:t>
      </w:r>
      <w:r w:rsidR="00EE4FC3">
        <w:t xml:space="preserve"> </w:t>
      </w:r>
      <w:r w:rsidRPr="00382917">
        <w:t>by</w:t>
      </w:r>
      <w:r w:rsidR="00EE4FC3">
        <w:t xml:space="preserve"> </w:t>
      </w:r>
      <w:r w:rsidRPr="00382917">
        <w:t>the</w:t>
      </w:r>
      <w:r w:rsidR="00EE4FC3">
        <w:t xml:space="preserve"> </w:t>
      </w:r>
      <w:r w:rsidRPr="00382917">
        <w:t>Prime</w:t>
      </w:r>
      <w:r w:rsidR="00EE4FC3">
        <w:t xml:space="preserve"> </w:t>
      </w:r>
      <w:r w:rsidRPr="00382917">
        <w:t>Minister,</w:t>
      </w:r>
      <w:r w:rsidR="00EE4FC3">
        <w:t xml:space="preserve"> </w:t>
      </w:r>
      <w:r w:rsidRPr="00382917">
        <w:t>he</w:t>
      </w:r>
      <w:r w:rsidR="00EE4FC3">
        <w:t xml:space="preserve"> </w:t>
      </w:r>
      <w:r w:rsidRPr="00382917">
        <w:t>at</w:t>
      </w:r>
      <w:r w:rsidR="00EE4FC3">
        <w:t xml:space="preserve"> </w:t>
      </w:r>
      <w:r w:rsidRPr="00382917">
        <w:t>one</w:t>
      </w:r>
      <w:r w:rsidR="00EE4FC3">
        <w:t xml:space="preserve"> </w:t>
      </w:r>
      <w:r w:rsidRPr="00382917">
        <w:t>time</w:t>
      </w:r>
      <w:r w:rsidR="00EE4FC3">
        <w:t xml:space="preserve"> </w:t>
      </w:r>
      <w:r w:rsidRPr="00382917">
        <w:t>issued</w:t>
      </w:r>
      <w:r w:rsidR="00EE4FC3">
        <w:t xml:space="preserve"> </w:t>
      </w:r>
      <w:r w:rsidRPr="00382917">
        <w:t>instructions</w:t>
      </w:r>
      <w:r w:rsidR="00EE4FC3">
        <w:t xml:space="preserve"> </w:t>
      </w:r>
      <w:r w:rsidRPr="00382917">
        <w:t>to</w:t>
      </w:r>
      <w:r w:rsidR="00EE4FC3">
        <w:t xml:space="preserve"> </w:t>
      </w:r>
      <w:r w:rsidRPr="00382917">
        <w:t>do</w:t>
      </w:r>
      <w:r w:rsidR="00EE4FC3">
        <w:t xml:space="preserve"> </w:t>
      </w:r>
      <w:r w:rsidRPr="00382917">
        <w:t>away</w:t>
      </w:r>
      <w:r w:rsidR="00EE4FC3">
        <w:t xml:space="preserve"> </w:t>
      </w:r>
      <w:r w:rsidRPr="00382917">
        <w:t>with</w:t>
      </w:r>
      <w:r w:rsidR="00EE4FC3">
        <w:t xml:space="preserve"> </w:t>
      </w:r>
      <w:r w:rsidRPr="00382917">
        <w:t>the</w:t>
      </w:r>
      <w:r w:rsidR="00EE4FC3">
        <w:t xml:space="preserve"> </w:t>
      </w:r>
      <w:r w:rsidRPr="00382917">
        <w:t>Báb,</w:t>
      </w:r>
      <w:r w:rsidR="00EE4FC3">
        <w:t xml:space="preserve"> </w:t>
      </w:r>
      <w:proofErr w:type="gramStart"/>
      <w:r w:rsidRPr="00382917">
        <w:t>then</w:t>
      </w:r>
      <w:proofErr w:type="gramEnd"/>
      <w:r w:rsidR="00EE4FC3">
        <w:t xml:space="preserve"> </w:t>
      </w:r>
      <w:r w:rsidRPr="00382917">
        <w:t>later</w:t>
      </w:r>
      <w:r w:rsidR="00EE4FC3">
        <w:t xml:space="preserve"> </w:t>
      </w:r>
      <w:r w:rsidRPr="00382917">
        <w:t>withdrew</w:t>
      </w:r>
      <w:r w:rsidR="00EE4FC3">
        <w:t xml:space="preserve"> </w:t>
      </w:r>
      <w:r w:rsidRPr="00382917">
        <w:t>them</w:t>
      </w:r>
      <w:r w:rsidR="00C03C91">
        <w:t>.</w:t>
      </w:r>
      <w:r w:rsidR="00EE4FC3">
        <w:t xml:space="preserve">  </w:t>
      </w:r>
      <w:r w:rsidRPr="00382917">
        <w:t>Now,</w:t>
      </w:r>
      <w:r w:rsidR="00EE4FC3">
        <w:t xml:space="preserve"> </w:t>
      </w:r>
      <w:r w:rsidRPr="00382917">
        <w:t>thinking</w:t>
      </w:r>
      <w:r w:rsidR="00EE4FC3">
        <w:t xml:space="preserve"> </w:t>
      </w:r>
      <w:r w:rsidRPr="00382917">
        <w:t>it</w:t>
      </w:r>
      <w:r w:rsidR="00EE4FC3">
        <w:t xml:space="preserve"> </w:t>
      </w:r>
      <w:r w:rsidRPr="00382917">
        <w:t>would</w:t>
      </w:r>
      <w:r w:rsidR="00EE4FC3">
        <w:t xml:space="preserve"> </w:t>
      </w:r>
      <w:r w:rsidRPr="00382917">
        <w:t>have</w:t>
      </w:r>
      <w:r w:rsidR="00EE4FC3">
        <w:t xml:space="preserve"> </w:t>
      </w:r>
      <w:r w:rsidRPr="00382917">
        <w:t>pleased</w:t>
      </w:r>
      <w:r w:rsidR="00EE4FC3">
        <w:t xml:space="preserve"> </w:t>
      </w:r>
      <w:r w:rsidRPr="00382917">
        <w:t>his</w:t>
      </w:r>
      <w:r w:rsidR="00EE4FC3">
        <w:t xml:space="preserve"> </w:t>
      </w:r>
      <w:r w:rsidRPr="00382917">
        <w:t>friend,</w:t>
      </w:r>
      <w:r w:rsidR="00EE4FC3">
        <w:t xml:space="preserve"> </w:t>
      </w:r>
      <w:r w:rsidRPr="00382917">
        <w:t>the</w:t>
      </w:r>
      <w:r w:rsidR="00EE4FC3">
        <w:t xml:space="preserve"> </w:t>
      </w:r>
      <w:r w:rsidRPr="00382917">
        <w:t>late</w:t>
      </w:r>
      <w:r w:rsidR="00EE4FC3">
        <w:t xml:space="preserve"> </w:t>
      </w:r>
      <w:r w:rsidR="0040329F" w:rsidRPr="00382917">
        <w:t>Manú</w:t>
      </w:r>
      <w:r w:rsidR="0040329F" w:rsidRPr="0040329F">
        <w:rPr>
          <w:u w:val="single"/>
        </w:rPr>
        <w:t>ch</w:t>
      </w:r>
      <w:r w:rsidR="0040329F" w:rsidRPr="00382917">
        <w:t>ihr</w:t>
      </w:r>
      <w:r w:rsidR="00EE4FC3">
        <w:t xml:space="preserve"> </w:t>
      </w:r>
      <w:r w:rsidR="0040329F" w:rsidRPr="0040329F">
        <w:rPr>
          <w:u w:val="single"/>
        </w:rPr>
        <w:t>Kh</w:t>
      </w:r>
      <w:r w:rsidR="0040329F" w:rsidRPr="00382917">
        <w:t>án</w:t>
      </w:r>
      <w:r w:rsidRPr="00382917">
        <w:t>,</w:t>
      </w:r>
      <w:r w:rsidR="00EE4FC3">
        <w:t xml:space="preserve"> </w:t>
      </w:r>
      <w:r w:rsidRPr="00382917">
        <w:t>the</w:t>
      </w:r>
      <w:r w:rsidR="00EE4FC3">
        <w:t xml:space="preserve"> </w:t>
      </w:r>
      <w:r w:rsidRPr="00382917">
        <w:t>king</w:t>
      </w:r>
      <w:r w:rsidR="00EE4FC3">
        <w:t xml:space="preserve"> </w:t>
      </w:r>
      <w:r w:rsidRPr="00382917">
        <w:t>again</w:t>
      </w:r>
      <w:r w:rsidR="00EE4FC3">
        <w:t xml:space="preserve"> </w:t>
      </w:r>
      <w:r w:rsidRPr="00382917">
        <w:t>expressed</w:t>
      </w:r>
      <w:r w:rsidR="00EE4FC3">
        <w:t xml:space="preserve"> </w:t>
      </w:r>
      <w:r w:rsidRPr="00382917">
        <w:t>his</w:t>
      </w:r>
      <w:r w:rsidR="00EE4FC3">
        <w:t xml:space="preserve"> </w:t>
      </w:r>
      <w:r w:rsidRPr="00382917">
        <w:t>eagerness</w:t>
      </w:r>
      <w:r w:rsidR="00EE4FC3">
        <w:t xml:space="preserve"> </w:t>
      </w:r>
      <w:r w:rsidRPr="00382917">
        <w:t>to</w:t>
      </w:r>
      <w:r w:rsidR="00EE4FC3">
        <w:t xml:space="preserve"> </w:t>
      </w:r>
      <w:r w:rsidRPr="00382917">
        <w:t>meet</w:t>
      </w:r>
      <w:r w:rsidR="00EE4FC3">
        <w:t xml:space="preserve"> </w:t>
      </w:r>
      <w:r w:rsidRPr="00382917">
        <w:t>the</w:t>
      </w:r>
      <w:r w:rsidR="00EE4FC3">
        <w:t xml:space="preserve"> </w:t>
      </w:r>
      <w:r w:rsidRPr="00382917">
        <w:t>Báb</w:t>
      </w:r>
      <w:r w:rsidR="00EE4FC3">
        <w:t xml:space="preserve"> </w:t>
      </w:r>
      <w:r w:rsidRPr="00382917">
        <w:t>in</w:t>
      </w:r>
      <w:r w:rsidR="00EE4FC3">
        <w:t xml:space="preserve"> </w:t>
      </w:r>
      <w:r w:rsidRPr="00382917">
        <w:t>person</w:t>
      </w:r>
      <w:r w:rsidR="00C03C91">
        <w:t>.</w:t>
      </w:r>
      <w:r w:rsidR="00EE4FC3">
        <w:t xml:space="preserve">  </w:t>
      </w:r>
      <w:r w:rsidRPr="00382917">
        <w:t>Therefore,</w:t>
      </w:r>
      <w:r w:rsidR="00EE4FC3">
        <w:t xml:space="preserve"> </w:t>
      </w:r>
      <w:r w:rsidRPr="00382917">
        <w:t>he</w:t>
      </w:r>
      <w:r w:rsidR="00EE4FC3">
        <w:t xml:space="preserve"> </w:t>
      </w:r>
      <w:r w:rsidRPr="00382917">
        <w:t>summoned</w:t>
      </w:r>
      <w:r w:rsidR="00EE4FC3">
        <w:t xml:space="preserve"> </w:t>
      </w:r>
      <w:r w:rsidRPr="00382917">
        <w:t>the</w:t>
      </w:r>
      <w:r w:rsidR="00EE4FC3">
        <w:t xml:space="preserve"> </w:t>
      </w:r>
      <w:r w:rsidRPr="00382917">
        <w:t>Báb</w:t>
      </w:r>
      <w:r w:rsidR="00EE4FC3">
        <w:t xml:space="preserve"> </w:t>
      </w:r>
      <w:r w:rsidRPr="00382917">
        <w:t>to</w:t>
      </w:r>
      <w:r w:rsidR="00EE4FC3">
        <w:t xml:space="preserve"> </w:t>
      </w:r>
      <w:r w:rsidRPr="00382917">
        <w:t>the</w:t>
      </w:r>
      <w:r w:rsidR="00EE4FC3">
        <w:t xml:space="preserve"> </w:t>
      </w:r>
      <w:r w:rsidRPr="00382917">
        <w:t>capital</w:t>
      </w:r>
      <w:r w:rsidR="00EE4FC3">
        <w:t xml:space="preserve"> </w:t>
      </w:r>
      <w:r w:rsidRPr="00382917">
        <w:t>city</w:t>
      </w:r>
      <w:r w:rsidR="00EE4FC3">
        <w:t xml:space="preserve"> </w:t>
      </w:r>
      <w:r w:rsidRPr="00382917">
        <w:t>of</w:t>
      </w:r>
      <w:r w:rsidR="00EE4FC3">
        <w:t xml:space="preserve"> </w:t>
      </w:r>
      <w:r w:rsidRPr="00382917">
        <w:t>Ṭihrán.</w:t>
      </w:r>
    </w:p>
    <w:p w:rsidR="0054338F" w:rsidRPr="00382917" w:rsidRDefault="0054338F" w:rsidP="002C2EDA">
      <w:pPr>
        <w:pStyle w:val="Text"/>
      </w:pPr>
      <w:r w:rsidRPr="00382917">
        <w:t>The</w:t>
      </w:r>
      <w:r w:rsidR="00EE4FC3">
        <w:t xml:space="preserve"> </w:t>
      </w:r>
      <w:r w:rsidRPr="00382917">
        <w:t>historian</w:t>
      </w:r>
      <w:r w:rsidR="00EE4FC3">
        <w:t xml:space="preserve"> </w:t>
      </w:r>
      <w:r w:rsidRPr="00382917">
        <w:t>Nicolas</w:t>
      </w:r>
      <w:r w:rsidR="00EE4FC3">
        <w:t xml:space="preserve"> </w:t>
      </w:r>
      <w:r w:rsidRPr="00382917">
        <w:t>wrote</w:t>
      </w:r>
      <w:r w:rsidR="00C03C91">
        <w:t>:</w:t>
      </w:r>
      <w:r w:rsidR="00EE4FC3">
        <w:t xml:space="preserve">  </w:t>
      </w:r>
      <w:r w:rsidR="009C713D" w:rsidRPr="00382917">
        <w:t>“</w:t>
      </w:r>
      <w:r w:rsidRPr="00382917">
        <w:t>The</w:t>
      </w:r>
      <w:r w:rsidR="00EE4FC3">
        <w:t xml:space="preserve"> </w:t>
      </w:r>
      <w:r w:rsidR="004F6339" w:rsidRPr="004F6339">
        <w:rPr>
          <w:u w:val="single"/>
        </w:rPr>
        <w:t>Sh</w:t>
      </w:r>
      <w:r w:rsidR="004F6339" w:rsidRPr="00382917">
        <w:t>áh</w:t>
      </w:r>
      <w:r w:rsidRPr="00382917">
        <w:t>,</w:t>
      </w:r>
      <w:r w:rsidR="00EE4FC3">
        <w:t xml:space="preserve"> </w:t>
      </w:r>
      <w:r w:rsidRPr="00382917">
        <w:t>whimsical</w:t>
      </w:r>
      <w:r w:rsidR="00EE4FC3">
        <w:t xml:space="preserve"> </w:t>
      </w:r>
      <w:r w:rsidRPr="00382917">
        <w:t>and</w:t>
      </w:r>
      <w:r w:rsidR="00EE4FC3">
        <w:t xml:space="preserve"> </w:t>
      </w:r>
      <w:r w:rsidRPr="00382917">
        <w:t>fickle,</w:t>
      </w:r>
      <w:r w:rsidR="00EE4FC3">
        <w:t xml:space="preserve"> </w:t>
      </w:r>
      <w:r w:rsidRPr="00382917">
        <w:t>forgetting</w:t>
      </w:r>
      <w:r w:rsidR="00EE4FC3">
        <w:t xml:space="preserve"> </w:t>
      </w:r>
      <w:r w:rsidRPr="00382917">
        <w:t>that</w:t>
      </w:r>
      <w:r w:rsidR="00EE4FC3">
        <w:t xml:space="preserve"> </w:t>
      </w:r>
      <w:r w:rsidRPr="00382917">
        <w:t>he</w:t>
      </w:r>
      <w:r w:rsidR="00EE4FC3">
        <w:t xml:space="preserve"> </w:t>
      </w:r>
      <w:r w:rsidRPr="00382917">
        <w:t>had,</w:t>
      </w:r>
      <w:r w:rsidR="00EE4FC3">
        <w:t xml:space="preserve"> </w:t>
      </w:r>
      <w:r w:rsidRPr="00382917">
        <w:t>a</w:t>
      </w:r>
      <w:r w:rsidR="00EE4FC3">
        <w:t xml:space="preserve"> </w:t>
      </w:r>
      <w:r w:rsidRPr="00382917">
        <w:t>short</w:t>
      </w:r>
      <w:r w:rsidR="00EE4FC3">
        <w:t xml:space="preserve"> </w:t>
      </w:r>
      <w:r w:rsidRPr="00382917">
        <w:t>time</w:t>
      </w:r>
      <w:r w:rsidR="00EE4FC3">
        <w:t xml:space="preserve"> </w:t>
      </w:r>
      <w:r w:rsidR="0009276A">
        <w:t>before,</w:t>
      </w:r>
      <w:r w:rsidR="00EE4FC3">
        <w:t xml:space="preserve"> </w:t>
      </w:r>
      <w:r w:rsidR="0009276A">
        <w:t>ordered</w:t>
      </w:r>
      <w:r w:rsidR="00EE4FC3">
        <w:t xml:space="preserve"> </w:t>
      </w:r>
      <w:r w:rsidR="0009276A">
        <w:t>the</w:t>
      </w:r>
      <w:r w:rsidR="00EE4FC3">
        <w:t xml:space="preserve"> </w:t>
      </w:r>
      <w:r w:rsidR="0009276A">
        <w:t>murder</w:t>
      </w:r>
      <w:r w:rsidR="00EE4FC3">
        <w:t xml:space="preserve"> </w:t>
      </w:r>
      <w:r w:rsidR="0009276A">
        <w:t>of</w:t>
      </w:r>
    </w:p>
    <w:p w:rsidR="002C2EDA" w:rsidRPr="00382917" w:rsidRDefault="002C2EDA">
      <w:pPr>
        <w:widowControl/>
        <w:kinsoku/>
        <w:overflowPunct/>
        <w:textAlignment w:val="auto"/>
      </w:pPr>
      <w:r w:rsidRPr="00382917">
        <w:br w:type="page"/>
      </w:r>
    </w:p>
    <w:p w:rsidR="00E13D49" w:rsidRPr="00382917" w:rsidRDefault="0054338F" w:rsidP="0009276A">
      <w:pPr>
        <w:pStyle w:val="Textcts"/>
      </w:pPr>
      <w:proofErr w:type="gramStart"/>
      <w:r w:rsidRPr="00382917">
        <w:t>the</w:t>
      </w:r>
      <w:proofErr w:type="gramEnd"/>
      <w:r w:rsidR="00EE4FC3">
        <w:t xml:space="preserve"> </w:t>
      </w:r>
      <w:r w:rsidRPr="00382917">
        <w:t>Reformer</w:t>
      </w:r>
      <w:r w:rsidR="00EE4FC3">
        <w:t xml:space="preserve"> </w:t>
      </w:r>
      <w:r w:rsidRPr="00382917">
        <w:t>[the</w:t>
      </w:r>
      <w:r w:rsidR="00EE4FC3">
        <w:t xml:space="preserve"> </w:t>
      </w:r>
      <w:r w:rsidRPr="00382917">
        <w:t>Báb],</w:t>
      </w:r>
      <w:r w:rsidR="00EE4FC3">
        <w:t xml:space="preserve"> </w:t>
      </w:r>
      <w:r w:rsidRPr="00382917">
        <w:t>felt</w:t>
      </w:r>
      <w:r w:rsidR="00EE4FC3">
        <w:t xml:space="preserve"> </w:t>
      </w:r>
      <w:r w:rsidRPr="00382917">
        <w:t>the</w:t>
      </w:r>
      <w:r w:rsidR="00EE4FC3">
        <w:t xml:space="preserve"> </w:t>
      </w:r>
      <w:r w:rsidRPr="00382917">
        <w:t>desire</w:t>
      </w:r>
      <w:r w:rsidR="00EE4FC3">
        <w:t xml:space="preserve"> </w:t>
      </w:r>
      <w:r w:rsidRPr="00382917">
        <w:t>of</w:t>
      </w:r>
      <w:r w:rsidR="00EE4FC3">
        <w:t xml:space="preserve"> </w:t>
      </w:r>
      <w:r w:rsidRPr="00382917">
        <w:t>seeing</w:t>
      </w:r>
      <w:r w:rsidR="00EE4FC3">
        <w:t xml:space="preserve"> </w:t>
      </w:r>
      <w:r w:rsidRPr="00382917">
        <w:t>at</w:t>
      </w:r>
      <w:r w:rsidR="00EE4FC3">
        <w:t xml:space="preserve"> </w:t>
      </w:r>
      <w:r w:rsidRPr="00382917">
        <w:t>last</w:t>
      </w:r>
      <w:r w:rsidR="00EE4FC3">
        <w:t xml:space="preserve"> </w:t>
      </w:r>
      <w:r w:rsidRPr="00382917">
        <w:t>the</w:t>
      </w:r>
      <w:r w:rsidR="00EE4FC3">
        <w:t xml:space="preserve"> </w:t>
      </w:r>
      <w:r w:rsidRPr="00382917">
        <w:t>man</w:t>
      </w:r>
      <w:r w:rsidR="00EE4FC3">
        <w:t xml:space="preserve"> </w:t>
      </w:r>
      <w:r w:rsidRPr="00382917">
        <w:t>who</w:t>
      </w:r>
      <w:r w:rsidR="00EE4FC3">
        <w:t xml:space="preserve"> </w:t>
      </w:r>
      <w:r w:rsidRPr="00382917">
        <w:t>had</w:t>
      </w:r>
      <w:r w:rsidR="00EE4FC3">
        <w:t xml:space="preserve"> </w:t>
      </w:r>
      <w:r w:rsidRPr="00382917">
        <w:t>aroused</w:t>
      </w:r>
      <w:r w:rsidR="00EE4FC3">
        <w:t xml:space="preserve"> </w:t>
      </w:r>
      <w:r w:rsidRPr="00382917">
        <w:t>such</w:t>
      </w:r>
      <w:r w:rsidR="00EE4FC3">
        <w:t xml:space="preserve"> </w:t>
      </w:r>
      <w:r w:rsidRPr="00382917">
        <w:t>universal</w:t>
      </w:r>
      <w:r w:rsidR="00EE4FC3">
        <w:t xml:space="preserve"> </w:t>
      </w:r>
      <w:r w:rsidRPr="00382917">
        <w:t>interest.</w:t>
      </w:r>
      <w:r w:rsidR="009C713D" w:rsidRPr="00382917">
        <w:t>”</w:t>
      </w:r>
      <w:r w:rsidR="0009276A">
        <w:rPr>
          <w:rStyle w:val="FootnoteReference"/>
        </w:rPr>
        <w:footnoteReference w:id="62"/>
      </w:r>
    </w:p>
    <w:p w:rsidR="0054338F" w:rsidRPr="00382917" w:rsidRDefault="0054338F" w:rsidP="002C2EDA">
      <w:pPr>
        <w:pStyle w:val="Text"/>
      </w:pPr>
      <w:r w:rsidRPr="00382917">
        <w:t>The</w:t>
      </w:r>
      <w:r w:rsidR="00EE4FC3">
        <w:t xml:space="preserve"> </w:t>
      </w:r>
      <w:r w:rsidRPr="00382917">
        <w:t>king</w:t>
      </w:r>
      <w:r w:rsidR="009C713D" w:rsidRPr="00382917">
        <w:t>’</w:t>
      </w:r>
      <w:r w:rsidRPr="00382917">
        <w:t>s</w:t>
      </w:r>
      <w:r w:rsidR="00EE4FC3">
        <w:t xml:space="preserve"> </w:t>
      </w:r>
      <w:r w:rsidRPr="00382917">
        <w:t>order</w:t>
      </w:r>
      <w:r w:rsidR="00EE4FC3">
        <w:t xml:space="preserve"> </w:t>
      </w:r>
      <w:r w:rsidRPr="00382917">
        <w:t>read</w:t>
      </w:r>
      <w:r w:rsidR="00C03C91">
        <w:t>:</w:t>
      </w:r>
      <w:r w:rsidR="00EE4FC3">
        <w:t xml:space="preserve">  </w:t>
      </w:r>
      <w:r w:rsidR="009C713D" w:rsidRPr="00382917">
        <w:t>“</w:t>
      </w:r>
      <w:r w:rsidRPr="00382917">
        <w:t>Send</w:t>
      </w:r>
      <w:r w:rsidR="00EE4FC3">
        <w:t xml:space="preserve"> </w:t>
      </w:r>
      <w:r w:rsidRPr="00382917">
        <w:t>the</w:t>
      </w:r>
      <w:r w:rsidR="00EE4FC3">
        <w:t xml:space="preserve"> </w:t>
      </w:r>
      <w:r w:rsidRPr="00382917">
        <w:t>Báb</w:t>
      </w:r>
      <w:r w:rsidR="00EE4FC3">
        <w:t xml:space="preserve"> </w:t>
      </w:r>
      <w:r w:rsidRPr="00382917">
        <w:t>in</w:t>
      </w:r>
      <w:r w:rsidR="00EE4FC3">
        <w:t xml:space="preserve"> </w:t>
      </w:r>
      <w:r w:rsidRPr="00382917">
        <w:t>disguise,</w:t>
      </w:r>
      <w:r w:rsidR="00EE4FC3">
        <w:t xml:space="preserve"> </w:t>
      </w:r>
      <w:r w:rsidRPr="00382917">
        <w:t>in</w:t>
      </w:r>
      <w:r w:rsidR="00EE4FC3">
        <w:t xml:space="preserve"> </w:t>
      </w:r>
      <w:r w:rsidRPr="00382917">
        <w:t>the</w:t>
      </w:r>
      <w:r w:rsidR="00EE4FC3">
        <w:t xml:space="preserve"> </w:t>
      </w:r>
      <w:r w:rsidRPr="00382917">
        <w:t>company</w:t>
      </w:r>
      <w:r w:rsidR="00EE4FC3">
        <w:t xml:space="preserve"> </w:t>
      </w:r>
      <w:r w:rsidRPr="00382917">
        <w:t>of</w:t>
      </w:r>
      <w:r w:rsidR="00EE4FC3">
        <w:t xml:space="preserve"> </w:t>
      </w:r>
      <w:r w:rsidRPr="00382917">
        <w:t>a</w:t>
      </w:r>
      <w:r w:rsidR="00EE4FC3">
        <w:t xml:space="preserve"> </w:t>
      </w:r>
      <w:r w:rsidRPr="00382917">
        <w:t>mounted</w:t>
      </w:r>
      <w:r w:rsidR="00EE4FC3">
        <w:t xml:space="preserve"> </w:t>
      </w:r>
      <w:r w:rsidRPr="00382917">
        <w:t>escort</w:t>
      </w:r>
      <w:r w:rsidR="00C03C91">
        <w:t>.</w:t>
      </w:r>
      <w:r w:rsidR="00EE4FC3">
        <w:t xml:space="preserve">  </w:t>
      </w:r>
      <w:r w:rsidRPr="00382917">
        <w:t>Exercise</w:t>
      </w:r>
      <w:r w:rsidR="00EE4FC3">
        <w:t xml:space="preserve"> </w:t>
      </w:r>
      <w:r w:rsidRPr="00382917">
        <w:t>the</w:t>
      </w:r>
      <w:r w:rsidR="00EE4FC3">
        <w:t xml:space="preserve"> </w:t>
      </w:r>
      <w:r w:rsidRPr="00382917">
        <w:t>utmost</w:t>
      </w:r>
      <w:r w:rsidR="00EE4FC3">
        <w:t xml:space="preserve"> </w:t>
      </w:r>
      <w:r w:rsidRPr="00382917">
        <w:t>consideration</w:t>
      </w:r>
      <w:r w:rsidR="00EE4FC3">
        <w:t xml:space="preserve"> </w:t>
      </w:r>
      <w:r w:rsidRPr="00382917">
        <w:t>towards</w:t>
      </w:r>
      <w:r w:rsidR="00EE4FC3">
        <w:t xml:space="preserve"> </w:t>
      </w:r>
      <w:r w:rsidRPr="00382917">
        <w:t>Him</w:t>
      </w:r>
      <w:r w:rsidR="00EE4FC3">
        <w:t xml:space="preserve"> </w:t>
      </w:r>
      <w:r w:rsidRPr="00382917">
        <w:t>in</w:t>
      </w:r>
      <w:r w:rsidR="00EE4FC3">
        <w:t xml:space="preserve"> </w:t>
      </w:r>
      <w:r w:rsidRPr="00382917">
        <w:t>the</w:t>
      </w:r>
      <w:r w:rsidR="00EE4FC3">
        <w:t xml:space="preserve"> </w:t>
      </w:r>
      <w:r w:rsidRPr="00382917">
        <w:t>course</w:t>
      </w:r>
      <w:r w:rsidR="00EE4FC3">
        <w:t xml:space="preserve"> </w:t>
      </w:r>
      <w:r w:rsidRPr="00382917">
        <w:t>of</w:t>
      </w:r>
      <w:r w:rsidR="00EE4FC3">
        <w:t xml:space="preserve"> </w:t>
      </w:r>
      <w:r w:rsidRPr="00382917">
        <w:t>his</w:t>
      </w:r>
      <w:r w:rsidR="00EE4FC3">
        <w:t xml:space="preserve"> </w:t>
      </w:r>
      <w:r w:rsidRPr="00382917">
        <w:t>journey,</w:t>
      </w:r>
      <w:r w:rsidR="00EE4FC3">
        <w:t xml:space="preserve"> </w:t>
      </w:r>
      <w:r w:rsidRPr="00382917">
        <w:t>and</w:t>
      </w:r>
      <w:r w:rsidR="00EE4FC3">
        <w:t xml:space="preserve"> </w:t>
      </w:r>
      <w:r w:rsidRPr="00382917">
        <w:t>strictly</w:t>
      </w:r>
      <w:r w:rsidR="00EE4FC3">
        <w:t xml:space="preserve"> </w:t>
      </w:r>
      <w:r w:rsidRPr="00382917">
        <w:t>maintain</w:t>
      </w:r>
      <w:r w:rsidR="00EE4FC3">
        <w:t xml:space="preserve"> </w:t>
      </w:r>
      <w:r w:rsidRPr="00382917">
        <w:t>the</w:t>
      </w:r>
      <w:r w:rsidR="00EE4FC3">
        <w:t xml:space="preserve"> </w:t>
      </w:r>
      <w:r w:rsidRPr="00382917">
        <w:t>secrecy</w:t>
      </w:r>
      <w:r w:rsidR="00EE4FC3">
        <w:t xml:space="preserve"> </w:t>
      </w:r>
      <w:r w:rsidRPr="00382917">
        <w:t>of</w:t>
      </w:r>
      <w:r w:rsidR="00EE4FC3">
        <w:t xml:space="preserve"> </w:t>
      </w:r>
      <w:r w:rsidRPr="00382917">
        <w:t>His</w:t>
      </w:r>
      <w:r w:rsidR="00EE4FC3">
        <w:t xml:space="preserve"> </w:t>
      </w:r>
      <w:r w:rsidRPr="00382917">
        <w:t>departure</w:t>
      </w:r>
      <w:r w:rsidR="00C03C91">
        <w:t>.</w:t>
      </w:r>
      <w:r w:rsidR="00EE4FC3">
        <w:t xml:space="preserve">  </w:t>
      </w:r>
      <w:r w:rsidRPr="00382917">
        <w:t>Visit</w:t>
      </w:r>
      <w:r w:rsidR="00EE4FC3">
        <w:t xml:space="preserve"> </w:t>
      </w:r>
      <w:r w:rsidRPr="00382917">
        <w:t>no</w:t>
      </w:r>
      <w:r w:rsidR="00EE4FC3">
        <w:t xml:space="preserve"> </w:t>
      </w:r>
      <w:r w:rsidRPr="00382917">
        <w:t>towns</w:t>
      </w:r>
      <w:r w:rsidR="00EE4FC3">
        <w:t xml:space="preserve"> </w:t>
      </w:r>
      <w:r w:rsidRPr="00382917">
        <w:t>or</w:t>
      </w:r>
      <w:r w:rsidR="00EE4FC3">
        <w:t xml:space="preserve"> </w:t>
      </w:r>
      <w:r w:rsidRPr="00382917">
        <w:t>villages</w:t>
      </w:r>
      <w:r w:rsidR="00EE4FC3">
        <w:t xml:space="preserve"> </w:t>
      </w:r>
      <w:proofErr w:type="spellStart"/>
      <w:r w:rsidRPr="00382917">
        <w:t>enroute</w:t>
      </w:r>
      <w:proofErr w:type="spellEnd"/>
      <w:r w:rsidRPr="00382917">
        <w:t>.</w:t>
      </w:r>
      <w:r w:rsidR="009C713D" w:rsidRPr="00382917">
        <w:t>”</w:t>
      </w:r>
    </w:p>
    <w:p w:rsidR="0054338F" w:rsidRPr="00382917" w:rsidRDefault="0054338F" w:rsidP="002C2EDA">
      <w:pPr>
        <w:pStyle w:val="Text"/>
      </w:pPr>
      <w:r w:rsidRPr="00382917">
        <w:t>The</w:t>
      </w:r>
      <w:r w:rsidR="00EE4FC3">
        <w:t xml:space="preserve"> </w:t>
      </w:r>
      <w:r w:rsidRPr="00382917">
        <w:t>king</w:t>
      </w:r>
      <w:r w:rsidR="00EE4FC3">
        <w:t xml:space="preserve"> </w:t>
      </w:r>
      <w:r w:rsidRPr="00382917">
        <w:t>said</w:t>
      </w:r>
      <w:r w:rsidR="00EE4FC3">
        <w:t xml:space="preserve"> </w:t>
      </w:r>
      <w:r w:rsidRPr="00382917">
        <w:t>he</w:t>
      </w:r>
      <w:r w:rsidR="00EE4FC3">
        <w:t xml:space="preserve"> </w:t>
      </w:r>
      <w:r w:rsidRPr="00382917">
        <w:t>wished</w:t>
      </w:r>
      <w:r w:rsidR="00EE4FC3">
        <w:t xml:space="preserve"> </w:t>
      </w:r>
      <w:r w:rsidRPr="00382917">
        <w:t>to</w:t>
      </w:r>
      <w:r w:rsidR="00EE4FC3">
        <w:t xml:space="preserve"> </w:t>
      </w:r>
      <w:r w:rsidRPr="00382917">
        <w:t>protect</w:t>
      </w:r>
      <w:r w:rsidR="00EE4FC3">
        <w:t xml:space="preserve"> </w:t>
      </w:r>
      <w:r w:rsidRPr="00382917">
        <w:t>the</w:t>
      </w:r>
      <w:r w:rsidR="00EE4FC3">
        <w:t xml:space="preserve"> </w:t>
      </w:r>
      <w:r w:rsidRPr="00382917">
        <w:t>Báb</w:t>
      </w:r>
      <w:r w:rsidR="00EE4FC3">
        <w:t xml:space="preserve"> </w:t>
      </w:r>
      <w:r w:rsidRPr="00382917">
        <w:t>from</w:t>
      </w:r>
      <w:r w:rsidR="00EE4FC3">
        <w:t xml:space="preserve"> </w:t>
      </w:r>
      <w:r w:rsidRPr="00382917">
        <w:t>His</w:t>
      </w:r>
      <w:r w:rsidR="00EE4FC3">
        <w:t xml:space="preserve"> </w:t>
      </w:r>
      <w:r w:rsidRPr="00382917">
        <w:t>enemies</w:t>
      </w:r>
      <w:r w:rsidR="00EE4FC3">
        <w:t xml:space="preserve"> </w:t>
      </w:r>
      <w:r w:rsidRPr="00382917">
        <w:t>in</w:t>
      </w:r>
      <w:r w:rsidR="00EE4FC3">
        <w:t xml:space="preserve"> </w:t>
      </w:r>
      <w:r w:rsidRPr="00382917">
        <w:t>this</w:t>
      </w:r>
      <w:r w:rsidR="00EE4FC3">
        <w:t xml:space="preserve"> </w:t>
      </w:r>
      <w:r w:rsidRPr="00382917">
        <w:t>manner</w:t>
      </w:r>
      <w:r w:rsidR="00C03C91">
        <w:t>.</w:t>
      </w:r>
      <w:r w:rsidR="00EE4FC3">
        <w:t xml:space="preserve">  </w:t>
      </w:r>
      <w:r w:rsidRPr="00382917">
        <w:t>In</w:t>
      </w:r>
      <w:r w:rsidR="00EE4FC3">
        <w:t xml:space="preserve"> </w:t>
      </w:r>
      <w:r w:rsidRPr="00382917">
        <w:t>reality,</w:t>
      </w:r>
      <w:r w:rsidR="00EE4FC3">
        <w:t xml:space="preserve"> </w:t>
      </w:r>
      <w:r w:rsidRPr="00382917">
        <w:t>the</w:t>
      </w:r>
      <w:r w:rsidR="00EE4FC3">
        <w:t xml:space="preserve"> </w:t>
      </w:r>
      <w:r w:rsidRPr="00382917">
        <w:t>Prime</w:t>
      </w:r>
      <w:r w:rsidR="00EE4FC3">
        <w:t xml:space="preserve"> </w:t>
      </w:r>
      <w:r w:rsidRPr="00382917">
        <w:t>Minister</w:t>
      </w:r>
      <w:r w:rsidR="00EE4FC3">
        <w:t xml:space="preserve"> </w:t>
      </w:r>
      <w:r w:rsidRPr="00382917">
        <w:t>had</w:t>
      </w:r>
      <w:r w:rsidR="00EE4FC3">
        <w:t xml:space="preserve"> </w:t>
      </w:r>
      <w:r w:rsidRPr="00382917">
        <w:t>arranged</w:t>
      </w:r>
      <w:r w:rsidR="00EE4FC3">
        <w:t xml:space="preserve"> </w:t>
      </w:r>
      <w:r w:rsidRPr="00382917">
        <w:t>the</w:t>
      </w:r>
      <w:r w:rsidR="00EE4FC3">
        <w:t xml:space="preserve"> </w:t>
      </w:r>
      <w:r w:rsidRPr="00382917">
        <w:t>plan</w:t>
      </w:r>
      <w:r w:rsidR="00EE4FC3">
        <w:t xml:space="preserve"> </w:t>
      </w:r>
      <w:r w:rsidRPr="00382917">
        <w:t>for</w:t>
      </w:r>
      <w:r w:rsidR="00EE4FC3">
        <w:t xml:space="preserve"> </w:t>
      </w:r>
      <w:r w:rsidRPr="00382917">
        <w:t>an</w:t>
      </w:r>
      <w:r w:rsidR="00EE4FC3">
        <w:t xml:space="preserve"> </w:t>
      </w:r>
      <w:r w:rsidRPr="00382917">
        <w:t>entirely</w:t>
      </w:r>
      <w:r w:rsidR="00EE4FC3">
        <w:t xml:space="preserve"> </w:t>
      </w:r>
      <w:r w:rsidRPr="00382917">
        <w:t>different</w:t>
      </w:r>
      <w:r w:rsidR="00EE4FC3">
        <w:t xml:space="preserve"> </w:t>
      </w:r>
      <w:r w:rsidRPr="00382917">
        <w:t>reason</w:t>
      </w:r>
      <w:r w:rsidR="00C03C91">
        <w:t>.</w:t>
      </w:r>
      <w:r w:rsidR="00EE4FC3">
        <w:t xml:space="preserve">  </w:t>
      </w:r>
      <w:r w:rsidRPr="00382917">
        <w:t>He</w:t>
      </w:r>
      <w:r w:rsidR="00EE4FC3">
        <w:t xml:space="preserve"> </w:t>
      </w:r>
      <w:r w:rsidRPr="00382917">
        <w:t>preferred</w:t>
      </w:r>
      <w:r w:rsidR="00EE4FC3">
        <w:t xml:space="preserve"> </w:t>
      </w:r>
      <w:r w:rsidRPr="00382917">
        <w:t>the</w:t>
      </w:r>
      <w:r w:rsidR="00EE4FC3">
        <w:t xml:space="preserve"> </w:t>
      </w:r>
      <w:r w:rsidRPr="00382917">
        <w:t>Báb</w:t>
      </w:r>
      <w:r w:rsidR="00EE4FC3">
        <w:t xml:space="preserve"> </w:t>
      </w:r>
      <w:r w:rsidRPr="00382917">
        <w:t>to</w:t>
      </w:r>
      <w:r w:rsidR="00EE4FC3">
        <w:t xml:space="preserve"> </w:t>
      </w:r>
      <w:r w:rsidRPr="00382917">
        <w:t>remain</w:t>
      </w:r>
      <w:r w:rsidR="00EE4FC3">
        <w:t xml:space="preserve"> </w:t>
      </w:r>
      <w:r w:rsidRPr="00382917">
        <w:t>in</w:t>
      </w:r>
      <w:r w:rsidR="00EE4FC3">
        <w:t xml:space="preserve"> </w:t>
      </w:r>
      <w:r w:rsidRPr="00382917">
        <w:t>disguise</w:t>
      </w:r>
      <w:r w:rsidR="00EE4FC3">
        <w:t xml:space="preserve"> </w:t>
      </w:r>
      <w:r w:rsidRPr="00382917">
        <w:t>and</w:t>
      </w:r>
      <w:r w:rsidR="00EE4FC3">
        <w:t xml:space="preserve"> </w:t>
      </w:r>
      <w:r w:rsidRPr="00382917">
        <w:t>hidden</w:t>
      </w:r>
      <w:r w:rsidR="00EE4FC3">
        <w:t xml:space="preserve"> </w:t>
      </w:r>
      <w:r w:rsidRPr="00382917">
        <w:t>for</w:t>
      </w:r>
      <w:r w:rsidR="00EE4FC3">
        <w:t xml:space="preserve"> </w:t>
      </w:r>
      <w:r w:rsidRPr="00382917">
        <w:t>fear</w:t>
      </w:r>
      <w:r w:rsidR="00EE4FC3">
        <w:t xml:space="preserve"> </w:t>
      </w:r>
      <w:r w:rsidRPr="00382917">
        <w:t>of</w:t>
      </w:r>
      <w:r w:rsidR="00EE4FC3">
        <w:t xml:space="preserve"> </w:t>
      </w:r>
      <w:r w:rsidRPr="00382917">
        <w:t>the</w:t>
      </w:r>
      <w:r w:rsidR="00EE4FC3">
        <w:t xml:space="preserve"> </w:t>
      </w:r>
      <w:r w:rsidRPr="00382917">
        <w:t>influence</w:t>
      </w:r>
      <w:r w:rsidR="00EE4FC3">
        <w:t xml:space="preserve"> </w:t>
      </w:r>
      <w:r w:rsidRPr="00382917">
        <w:t>that</w:t>
      </w:r>
      <w:r w:rsidR="00EE4FC3">
        <w:t xml:space="preserve"> </w:t>
      </w:r>
      <w:r w:rsidRPr="00382917">
        <w:t>he</w:t>
      </w:r>
      <w:r w:rsidR="00EE4FC3">
        <w:t xml:space="preserve"> </w:t>
      </w:r>
      <w:r w:rsidRPr="00382917">
        <w:t>might</w:t>
      </w:r>
      <w:r w:rsidR="00EE4FC3">
        <w:t xml:space="preserve"> </w:t>
      </w:r>
      <w:r w:rsidRPr="00382917">
        <w:t>exercise</w:t>
      </w:r>
      <w:r w:rsidR="00EE4FC3">
        <w:t xml:space="preserve"> </w:t>
      </w:r>
      <w:r w:rsidRPr="00382917">
        <w:t>upon</w:t>
      </w:r>
      <w:r w:rsidR="00EE4FC3">
        <w:t xml:space="preserve"> </w:t>
      </w:r>
      <w:r w:rsidRPr="00382917">
        <w:t>the</w:t>
      </w:r>
      <w:r w:rsidR="00EE4FC3">
        <w:t xml:space="preserve"> </w:t>
      </w:r>
      <w:r w:rsidRPr="00382917">
        <w:t>inhabitants</w:t>
      </w:r>
      <w:r w:rsidR="00EE4FC3">
        <w:t xml:space="preserve"> </w:t>
      </w:r>
      <w:r w:rsidRPr="00382917">
        <w:t>of</w:t>
      </w:r>
      <w:r w:rsidR="00EE4FC3">
        <w:t xml:space="preserve"> </w:t>
      </w:r>
      <w:r w:rsidRPr="00382917">
        <w:t>the</w:t>
      </w:r>
      <w:r w:rsidR="00EE4FC3">
        <w:t xml:space="preserve"> </w:t>
      </w:r>
      <w:r w:rsidRPr="00382917">
        <w:t>cities</w:t>
      </w:r>
      <w:r w:rsidR="00EE4FC3">
        <w:t xml:space="preserve"> </w:t>
      </w:r>
      <w:r w:rsidRPr="00382917">
        <w:t>through</w:t>
      </w:r>
      <w:r w:rsidR="00EE4FC3">
        <w:t xml:space="preserve"> </w:t>
      </w:r>
      <w:r w:rsidRPr="00382917">
        <w:t>which</w:t>
      </w:r>
      <w:r w:rsidR="00EE4FC3">
        <w:t xml:space="preserve"> </w:t>
      </w:r>
      <w:r w:rsidRPr="00382917">
        <w:t>he</w:t>
      </w:r>
      <w:r w:rsidR="00EE4FC3">
        <w:t xml:space="preserve"> </w:t>
      </w:r>
      <w:r w:rsidRPr="00382917">
        <w:t>passed.</w:t>
      </w:r>
    </w:p>
    <w:p w:rsidR="0054338F" w:rsidRPr="00382917" w:rsidRDefault="0054338F" w:rsidP="002C2EDA">
      <w:pPr>
        <w:pStyle w:val="Text"/>
      </w:pPr>
      <w:r w:rsidRPr="00382917">
        <w:t>The</w:t>
      </w:r>
      <w:r w:rsidR="00EE4FC3">
        <w:t xml:space="preserve"> </w:t>
      </w:r>
      <w:r w:rsidRPr="00382917">
        <w:t>captain</w:t>
      </w:r>
      <w:r w:rsidR="00EE4FC3">
        <w:t xml:space="preserve"> </w:t>
      </w:r>
      <w:r w:rsidRPr="00382917">
        <w:t>of</w:t>
      </w:r>
      <w:r w:rsidR="00EE4FC3">
        <w:t xml:space="preserve"> </w:t>
      </w:r>
      <w:r w:rsidRPr="00382917">
        <w:t>the</w:t>
      </w:r>
      <w:r w:rsidR="00EE4FC3">
        <w:t xml:space="preserve"> </w:t>
      </w:r>
      <w:r w:rsidRPr="00382917">
        <w:t>escort</w:t>
      </w:r>
      <w:r w:rsidR="00EE4FC3">
        <w:t xml:space="preserve"> </w:t>
      </w:r>
      <w:r w:rsidRPr="00382917">
        <w:t>was</w:t>
      </w:r>
      <w:r w:rsidR="00EE4FC3">
        <w:t xml:space="preserve"> </w:t>
      </w:r>
      <w:r w:rsidRPr="00382917">
        <w:t>told,</w:t>
      </w:r>
      <w:r w:rsidR="00EE4FC3">
        <w:t xml:space="preserve"> </w:t>
      </w:r>
      <w:r w:rsidR="009C713D" w:rsidRPr="00382917">
        <w:t>“</w:t>
      </w:r>
      <w:r w:rsidRPr="00382917">
        <w:t>Beware</w:t>
      </w:r>
      <w:r w:rsidR="00EE4FC3">
        <w:t xml:space="preserve"> </w:t>
      </w:r>
      <w:r w:rsidRPr="00382917">
        <w:t>lest</w:t>
      </w:r>
      <w:r w:rsidR="00EE4FC3">
        <w:t xml:space="preserve"> </w:t>
      </w:r>
      <w:r w:rsidRPr="00382917">
        <w:t>anyone</w:t>
      </w:r>
      <w:r w:rsidR="00EE4FC3">
        <w:t xml:space="preserve"> </w:t>
      </w:r>
      <w:r w:rsidRPr="00382917">
        <w:t>discover</w:t>
      </w:r>
      <w:r w:rsidR="00EE4FC3">
        <w:t xml:space="preserve"> </w:t>
      </w:r>
      <w:r w:rsidRPr="00382917">
        <w:t>his</w:t>
      </w:r>
      <w:r w:rsidR="00EE4FC3">
        <w:t xml:space="preserve"> </w:t>
      </w:r>
      <w:r w:rsidRPr="00382917">
        <w:t>identity</w:t>
      </w:r>
      <w:r w:rsidR="00EE4FC3">
        <w:t xml:space="preserve"> </w:t>
      </w:r>
      <w:r w:rsidRPr="00382917">
        <w:t>or</w:t>
      </w:r>
      <w:r w:rsidR="00EE4FC3">
        <w:t xml:space="preserve"> </w:t>
      </w:r>
      <w:r w:rsidRPr="00382917">
        <w:t>suspect</w:t>
      </w:r>
      <w:r w:rsidR="00EE4FC3">
        <w:t xml:space="preserve"> </w:t>
      </w:r>
      <w:r w:rsidRPr="00382917">
        <w:t>the</w:t>
      </w:r>
      <w:r w:rsidR="00EE4FC3">
        <w:t xml:space="preserve"> </w:t>
      </w:r>
      <w:r w:rsidRPr="00382917">
        <w:t>nature</w:t>
      </w:r>
      <w:r w:rsidR="00EE4FC3">
        <w:t xml:space="preserve"> </w:t>
      </w:r>
      <w:r w:rsidRPr="00382917">
        <w:t>of</w:t>
      </w:r>
      <w:r w:rsidR="00EE4FC3">
        <w:t xml:space="preserve"> </w:t>
      </w:r>
      <w:r w:rsidRPr="00382917">
        <w:t>your</w:t>
      </w:r>
      <w:r w:rsidR="00EE4FC3">
        <w:t xml:space="preserve"> </w:t>
      </w:r>
      <w:r w:rsidRPr="00382917">
        <w:t>mission</w:t>
      </w:r>
      <w:r w:rsidR="00C03C91">
        <w:t>.</w:t>
      </w:r>
      <w:r w:rsidR="00EE4FC3">
        <w:t xml:space="preserve">  </w:t>
      </w:r>
      <w:r w:rsidRPr="00382917">
        <w:t>No</w:t>
      </w:r>
      <w:r w:rsidR="00EE4FC3">
        <w:t xml:space="preserve"> </w:t>
      </w:r>
      <w:r w:rsidRPr="00382917">
        <w:t>one</w:t>
      </w:r>
      <w:r w:rsidR="00EE4FC3">
        <w:t xml:space="preserve"> </w:t>
      </w:r>
      <w:r w:rsidRPr="00382917">
        <w:t>but</w:t>
      </w:r>
      <w:r w:rsidR="00EE4FC3">
        <w:t xml:space="preserve"> </w:t>
      </w:r>
      <w:r w:rsidRPr="00382917">
        <w:t>you,</w:t>
      </w:r>
      <w:r w:rsidR="00EE4FC3">
        <w:t xml:space="preserve"> </w:t>
      </w:r>
      <w:r w:rsidRPr="00382917">
        <w:t>not</w:t>
      </w:r>
      <w:r w:rsidR="00EE4FC3">
        <w:t xml:space="preserve"> </w:t>
      </w:r>
      <w:r w:rsidRPr="00382917">
        <w:t>even</w:t>
      </w:r>
      <w:r w:rsidR="00EE4FC3">
        <w:t xml:space="preserve"> </w:t>
      </w:r>
      <w:r w:rsidRPr="00382917">
        <w:t>the</w:t>
      </w:r>
      <w:r w:rsidR="00EE4FC3">
        <w:t xml:space="preserve"> </w:t>
      </w:r>
      <w:r w:rsidRPr="00382917">
        <w:t>members</w:t>
      </w:r>
      <w:r w:rsidR="00EE4FC3">
        <w:t xml:space="preserve"> </w:t>
      </w:r>
      <w:r w:rsidRPr="00382917">
        <w:t>of</w:t>
      </w:r>
      <w:r w:rsidR="00EE4FC3">
        <w:t xml:space="preserve"> </w:t>
      </w:r>
      <w:r w:rsidRPr="00382917">
        <w:t>his</w:t>
      </w:r>
      <w:r w:rsidR="00EE4FC3">
        <w:t xml:space="preserve"> </w:t>
      </w:r>
      <w:r w:rsidRPr="00382917">
        <w:t>escort,</w:t>
      </w:r>
      <w:r w:rsidR="00EE4FC3">
        <w:t xml:space="preserve"> </w:t>
      </w:r>
      <w:r w:rsidRPr="00382917">
        <w:t>should</w:t>
      </w:r>
      <w:r w:rsidR="00EE4FC3">
        <w:t xml:space="preserve"> </w:t>
      </w:r>
      <w:r w:rsidRPr="00382917">
        <w:t>be</w:t>
      </w:r>
      <w:r w:rsidR="00EE4FC3">
        <w:t xml:space="preserve"> </w:t>
      </w:r>
      <w:r w:rsidRPr="00382917">
        <w:t>allowed</w:t>
      </w:r>
      <w:r w:rsidR="00EE4FC3">
        <w:t xml:space="preserve"> </w:t>
      </w:r>
      <w:r w:rsidRPr="00382917">
        <w:t>to</w:t>
      </w:r>
      <w:r w:rsidR="00EE4FC3">
        <w:t xml:space="preserve"> </w:t>
      </w:r>
      <w:r w:rsidRPr="00382917">
        <w:t>recognize</w:t>
      </w:r>
      <w:r w:rsidR="00EE4FC3">
        <w:t xml:space="preserve"> </w:t>
      </w:r>
      <w:r w:rsidRPr="00382917">
        <w:t>him</w:t>
      </w:r>
      <w:r w:rsidR="00C03C91">
        <w:t>.</w:t>
      </w:r>
      <w:r w:rsidR="00EE4FC3">
        <w:t xml:space="preserve">  </w:t>
      </w:r>
      <w:r w:rsidRPr="00382917">
        <w:t>Should</w:t>
      </w:r>
      <w:r w:rsidR="00EE4FC3">
        <w:t xml:space="preserve"> </w:t>
      </w:r>
      <w:r w:rsidRPr="00382917">
        <w:t>anyone</w:t>
      </w:r>
      <w:r w:rsidR="00EE4FC3">
        <w:t xml:space="preserve"> </w:t>
      </w:r>
      <w:r w:rsidRPr="00382917">
        <w:t>question</w:t>
      </w:r>
      <w:r w:rsidR="00EE4FC3">
        <w:t xml:space="preserve"> </w:t>
      </w:r>
      <w:r w:rsidRPr="00382917">
        <w:t>you</w:t>
      </w:r>
      <w:r w:rsidR="00EE4FC3">
        <w:t xml:space="preserve"> </w:t>
      </w:r>
      <w:r w:rsidRPr="00382917">
        <w:t>concerning</w:t>
      </w:r>
      <w:r w:rsidR="00EE4FC3">
        <w:t xml:space="preserve"> </w:t>
      </w:r>
      <w:r w:rsidRPr="00382917">
        <w:t>him,</w:t>
      </w:r>
      <w:r w:rsidR="00EE4FC3">
        <w:t xml:space="preserve"> </w:t>
      </w:r>
      <w:r w:rsidRPr="00382917">
        <w:t>say</w:t>
      </w:r>
      <w:r w:rsidR="00EE4FC3">
        <w:t xml:space="preserve"> </w:t>
      </w:r>
      <w:r w:rsidRPr="00382917">
        <w:t>that</w:t>
      </w:r>
      <w:r w:rsidR="00EE4FC3">
        <w:t xml:space="preserve"> </w:t>
      </w:r>
      <w:r w:rsidRPr="00382917">
        <w:t>he</w:t>
      </w:r>
      <w:r w:rsidR="00EE4FC3">
        <w:t xml:space="preserve"> </w:t>
      </w:r>
      <w:r w:rsidRPr="00382917">
        <w:t>is</w:t>
      </w:r>
      <w:r w:rsidR="00EE4FC3">
        <w:t xml:space="preserve"> </w:t>
      </w:r>
      <w:r w:rsidRPr="00382917">
        <w:t>a</w:t>
      </w:r>
      <w:r w:rsidR="00EE4FC3">
        <w:t xml:space="preserve"> </w:t>
      </w:r>
      <w:r w:rsidRPr="00382917">
        <w:t>merchant</w:t>
      </w:r>
      <w:r w:rsidR="00EE4FC3">
        <w:t xml:space="preserve"> </w:t>
      </w:r>
      <w:r w:rsidRPr="00382917">
        <w:t>whom</w:t>
      </w:r>
      <w:r w:rsidR="00EE4FC3">
        <w:t xml:space="preserve"> </w:t>
      </w:r>
      <w:r w:rsidRPr="00382917">
        <w:t>you</w:t>
      </w:r>
      <w:r w:rsidR="00EE4FC3">
        <w:t xml:space="preserve"> </w:t>
      </w:r>
      <w:r w:rsidRPr="00382917">
        <w:t>have</w:t>
      </w:r>
      <w:r w:rsidR="00EE4FC3">
        <w:t xml:space="preserve"> </w:t>
      </w:r>
      <w:r w:rsidRPr="00382917">
        <w:t>been</w:t>
      </w:r>
      <w:r w:rsidR="00EE4FC3">
        <w:t xml:space="preserve"> </w:t>
      </w:r>
      <w:r w:rsidRPr="00382917">
        <w:t>instructed</w:t>
      </w:r>
      <w:r w:rsidR="00EE4FC3">
        <w:t xml:space="preserve"> </w:t>
      </w:r>
      <w:r w:rsidRPr="00382917">
        <w:t>to</w:t>
      </w:r>
      <w:r w:rsidR="00EE4FC3">
        <w:t xml:space="preserve"> </w:t>
      </w:r>
      <w:r w:rsidRPr="00382917">
        <w:t>conduct</w:t>
      </w:r>
      <w:r w:rsidR="00EE4FC3">
        <w:t xml:space="preserve"> </w:t>
      </w:r>
      <w:r w:rsidRPr="00382917">
        <w:t>to</w:t>
      </w:r>
      <w:r w:rsidR="00EE4FC3">
        <w:t xml:space="preserve"> </w:t>
      </w:r>
      <w:r w:rsidRPr="00382917">
        <w:t>the</w:t>
      </w:r>
      <w:r w:rsidR="00EE4FC3">
        <w:t xml:space="preserve"> </w:t>
      </w:r>
      <w:r w:rsidRPr="00382917">
        <w:t>capital,</w:t>
      </w:r>
      <w:r w:rsidR="00EE4FC3">
        <w:t xml:space="preserve"> </w:t>
      </w:r>
      <w:r w:rsidRPr="00382917">
        <w:t>and</w:t>
      </w:r>
      <w:r w:rsidR="00EE4FC3">
        <w:t xml:space="preserve"> </w:t>
      </w:r>
      <w:r w:rsidRPr="00382917">
        <w:t>of</w:t>
      </w:r>
      <w:r w:rsidR="00EE4FC3">
        <w:t xml:space="preserve"> </w:t>
      </w:r>
      <w:r w:rsidRPr="00382917">
        <w:t>whose</w:t>
      </w:r>
      <w:r w:rsidR="00EE4FC3">
        <w:t xml:space="preserve"> </w:t>
      </w:r>
      <w:r w:rsidRPr="00382917">
        <w:t>identity</w:t>
      </w:r>
      <w:r w:rsidR="00EE4FC3">
        <w:t xml:space="preserve"> </w:t>
      </w:r>
      <w:r w:rsidRPr="00382917">
        <w:t>you</w:t>
      </w:r>
      <w:r w:rsidR="00EE4FC3">
        <w:t xml:space="preserve"> </w:t>
      </w:r>
      <w:r w:rsidRPr="00382917">
        <w:t>are</w:t>
      </w:r>
      <w:r w:rsidR="00EE4FC3">
        <w:t xml:space="preserve"> </w:t>
      </w:r>
      <w:r w:rsidRPr="00382917">
        <w:t>completely</w:t>
      </w:r>
      <w:r w:rsidR="00EE4FC3">
        <w:t xml:space="preserve"> </w:t>
      </w:r>
      <w:r w:rsidRPr="00382917">
        <w:t>ignorant.</w:t>
      </w:r>
      <w:r w:rsidR="009C713D" w:rsidRPr="00382917">
        <w:t>”</w:t>
      </w:r>
    </w:p>
    <w:p w:rsidR="0054338F" w:rsidRPr="00382917" w:rsidRDefault="0054338F" w:rsidP="002C2EDA">
      <w:pPr>
        <w:pStyle w:val="Text"/>
      </w:pPr>
      <w:r w:rsidRPr="00382917">
        <w:t>Late</w:t>
      </w:r>
      <w:r w:rsidR="00EE4FC3">
        <w:t xml:space="preserve"> </w:t>
      </w:r>
      <w:r w:rsidRPr="00382917">
        <w:t>one</w:t>
      </w:r>
      <w:r w:rsidR="00EE4FC3">
        <w:t xml:space="preserve"> </w:t>
      </w:r>
      <w:r w:rsidRPr="00382917">
        <w:t>night,</w:t>
      </w:r>
      <w:r w:rsidR="00EE4FC3">
        <w:t xml:space="preserve"> </w:t>
      </w:r>
      <w:r w:rsidRPr="00382917">
        <w:t>in</w:t>
      </w:r>
      <w:r w:rsidR="00EE4FC3">
        <w:t xml:space="preserve"> </w:t>
      </w:r>
      <w:r w:rsidRPr="00382917">
        <w:t>accordance</w:t>
      </w:r>
      <w:r w:rsidR="00EE4FC3">
        <w:t xml:space="preserve"> </w:t>
      </w:r>
      <w:r w:rsidRPr="00382917">
        <w:t>with</w:t>
      </w:r>
      <w:r w:rsidR="00EE4FC3">
        <w:t xml:space="preserve"> </w:t>
      </w:r>
      <w:r w:rsidRPr="00382917">
        <w:t>the</w:t>
      </w:r>
      <w:r w:rsidR="00EE4FC3">
        <w:t xml:space="preserve"> </w:t>
      </w:r>
      <w:r w:rsidRPr="00382917">
        <w:t>instructions</w:t>
      </w:r>
      <w:r w:rsidR="00EE4FC3">
        <w:t xml:space="preserve"> </w:t>
      </w:r>
      <w:r w:rsidRPr="00382917">
        <w:t>of</w:t>
      </w:r>
      <w:r w:rsidR="00EE4FC3">
        <w:t xml:space="preserve"> </w:t>
      </w:r>
      <w:r w:rsidRPr="00382917">
        <w:t>the</w:t>
      </w:r>
      <w:r w:rsidR="00EE4FC3">
        <w:t xml:space="preserve"> </w:t>
      </w:r>
      <w:r w:rsidRPr="00382917">
        <w:t>king,</w:t>
      </w:r>
      <w:r w:rsidR="00EE4FC3">
        <w:t xml:space="preserve"> </w:t>
      </w:r>
      <w:r w:rsidRPr="00382917">
        <w:t>the</w:t>
      </w:r>
      <w:r w:rsidR="00EE4FC3">
        <w:t xml:space="preserve"> </w:t>
      </w:r>
      <w:r w:rsidRPr="00382917">
        <w:t>Báb</w:t>
      </w:r>
      <w:r w:rsidR="00EE4FC3">
        <w:t xml:space="preserve"> </w:t>
      </w:r>
      <w:r w:rsidRPr="00382917">
        <w:t>set</w:t>
      </w:r>
      <w:r w:rsidR="00EE4FC3">
        <w:t xml:space="preserve"> </w:t>
      </w:r>
      <w:r w:rsidRPr="00382917">
        <w:t>out</w:t>
      </w:r>
      <w:r w:rsidR="00EE4FC3">
        <w:t xml:space="preserve"> </w:t>
      </w:r>
      <w:r w:rsidRPr="00382917">
        <w:t>for</w:t>
      </w:r>
      <w:r w:rsidR="00EE4FC3">
        <w:t xml:space="preserve"> </w:t>
      </w:r>
      <w:r w:rsidR="002C2EDA" w:rsidRPr="00382917">
        <w:t>Ṭ</w:t>
      </w:r>
      <w:r w:rsidRPr="00382917">
        <w:t>ihrán.</w:t>
      </w:r>
    </w:p>
    <w:p w:rsidR="0054338F" w:rsidRPr="00382917" w:rsidRDefault="0054338F" w:rsidP="002C2EDA">
      <w:pPr>
        <w:pStyle w:val="Text"/>
      </w:pPr>
      <w:proofErr w:type="spellStart"/>
      <w:r w:rsidRPr="00382917">
        <w:t>Enroute</w:t>
      </w:r>
      <w:proofErr w:type="spellEnd"/>
      <w:r w:rsidR="00EE4FC3">
        <w:t xml:space="preserve"> </w:t>
      </w:r>
      <w:r w:rsidRPr="00382917">
        <w:t>to</w:t>
      </w:r>
      <w:r w:rsidR="00EE4FC3">
        <w:t xml:space="preserve"> </w:t>
      </w:r>
      <w:r w:rsidRPr="00382917">
        <w:t>the</w:t>
      </w:r>
      <w:r w:rsidR="00EE4FC3">
        <w:t xml:space="preserve"> </w:t>
      </w:r>
      <w:r w:rsidRPr="00382917">
        <w:t>capital,</w:t>
      </w:r>
      <w:r w:rsidR="00EE4FC3">
        <w:t xml:space="preserve"> </w:t>
      </w:r>
      <w:r w:rsidRPr="00382917">
        <w:t>the</w:t>
      </w:r>
      <w:r w:rsidR="00EE4FC3">
        <w:t xml:space="preserve"> </w:t>
      </w:r>
      <w:r w:rsidRPr="00382917">
        <w:t>Báb</w:t>
      </w:r>
      <w:r w:rsidR="009C713D" w:rsidRPr="00382917">
        <w:t>’</w:t>
      </w:r>
      <w:r w:rsidRPr="00382917">
        <w:t>s</w:t>
      </w:r>
      <w:r w:rsidR="00EE4FC3">
        <w:t xml:space="preserve"> </w:t>
      </w:r>
      <w:r w:rsidRPr="00382917">
        <w:t>guards</w:t>
      </w:r>
      <w:r w:rsidR="00EE4FC3">
        <w:t xml:space="preserve"> </w:t>
      </w:r>
      <w:r w:rsidRPr="00382917">
        <w:t>discovered</w:t>
      </w:r>
      <w:r w:rsidR="00EE4FC3">
        <w:t xml:space="preserve"> </w:t>
      </w:r>
      <w:r w:rsidRPr="00382917">
        <w:t>His</w:t>
      </w:r>
      <w:r w:rsidR="00EE4FC3">
        <w:t xml:space="preserve"> </w:t>
      </w:r>
      <w:r w:rsidRPr="00382917">
        <w:t>identity</w:t>
      </w:r>
      <w:r w:rsidR="00EE4FC3">
        <w:t xml:space="preserve"> </w:t>
      </w:r>
      <w:r w:rsidRPr="00382917">
        <w:t>in</w:t>
      </w:r>
      <w:r w:rsidR="00EE4FC3">
        <w:t xml:space="preserve"> </w:t>
      </w:r>
      <w:r w:rsidRPr="00382917">
        <w:t>spite</w:t>
      </w:r>
      <w:r w:rsidR="00EE4FC3">
        <w:t xml:space="preserve"> </w:t>
      </w:r>
      <w:r w:rsidRPr="00382917">
        <w:t>of</w:t>
      </w:r>
      <w:r w:rsidR="00EE4FC3">
        <w:t xml:space="preserve"> </w:t>
      </w:r>
      <w:r w:rsidRPr="00382917">
        <w:t>the</w:t>
      </w:r>
      <w:r w:rsidR="00EE4FC3">
        <w:t xml:space="preserve"> </w:t>
      </w:r>
      <w:r w:rsidRPr="00382917">
        <w:t>precautions,</w:t>
      </w:r>
      <w:r w:rsidR="00EE4FC3">
        <w:t xml:space="preserve"> </w:t>
      </w:r>
      <w:r w:rsidRPr="00382917">
        <w:t>and</w:t>
      </w:r>
      <w:r w:rsidR="00EE4FC3">
        <w:t xml:space="preserve"> </w:t>
      </w:r>
      <w:r w:rsidRPr="00382917">
        <w:t>became</w:t>
      </w:r>
      <w:r w:rsidR="00EE4FC3">
        <w:t xml:space="preserve"> </w:t>
      </w:r>
      <w:r w:rsidRPr="00382917">
        <w:t>His</w:t>
      </w:r>
      <w:r w:rsidR="00EE4FC3">
        <w:t xml:space="preserve"> </w:t>
      </w:r>
      <w:r w:rsidRPr="00382917">
        <w:t>supporters</w:t>
      </w:r>
      <w:r w:rsidR="00C03C91">
        <w:t>.</w:t>
      </w:r>
      <w:r w:rsidR="00EE4FC3">
        <w:t xml:space="preserve">  </w:t>
      </w:r>
      <w:r w:rsidRPr="00382917">
        <w:t>His</w:t>
      </w:r>
      <w:r w:rsidR="00EE4FC3">
        <w:t xml:space="preserve"> </w:t>
      </w:r>
      <w:r w:rsidRPr="00382917">
        <w:t>alluring</w:t>
      </w:r>
      <w:r w:rsidR="00EE4FC3">
        <w:t xml:space="preserve"> </w:t>
      </w:r>
      <w:proofErr w:type="gramStart"/>
      <w:r w:rsidRPr="00382917">
        <w:t>charm,</w:t>
      </w:r>
      <w:proofErr w:type="gramEnd"/>
      <w:r w:rsidR="00EE4FC3">
        <w:t xml:space="preserve"> </w:t>
      </w:r>
      <w:r w:rsidRPr="00382917">
        <w:t>combined</w:t>
      </w:r>
      <w:r w:rsidR="00EE4FC3">
        <w:t xml:space="preserve"> </w:t>
      </w:r>
      <w:r w:rsidRPr="00382917">
        <w:t>with</w:t>
      </w:r>
      <w:r w:rsidR="00EE4FC3">
        <w:t xml:space="preserve"> </w:t>
      </w:r>
      <w:r w:rsidRPr="00382917">
        <w:t>a</w:t>
      </w:r>
      <w:r w:rsidR="00EE4FC3">
        <w:t xml:space="preserve"> </w:t>
      </w:r>
      <w:r w:rsidRPr="00382917">
        <w:t>compelling</w:t>
      </w:r>
      <w:r w:rsidR="00EE4FC3">
        <w:t xml:space="preserve"> </w:t>
      </w:r>
      <w:r w:rsidRPr="00382917">
        <w:t>dignity</w:t>
      </w:r>
      <w:r w:rsidR="00EE4FC3">
        <w:t xml:space="preserve"> </w:t>
      </w:r>
      <w:r w:rsidRPr="00382917">
        <w:t>and</w:t>
      </w:r>
      <w:r w:rsidR="00EE4FC3">
        <w:t xml:space="preserve"> </w:t>
      </w:r>
      <w:r w:rsidRPr="00382917">
        <w:t>loving</w:t>
      </w:r>
      <w:r w:rsidR="00EE4FC3">
        <w:t xml:space="preserve"> </w:t>
      </w:r>
      <w:r w:rsidRPr="00382917">
        <w:t>kindness,</w:t>
      </w:r>
      <w:r w:rsidR="00EE4FC3">
        <w:t xml:space="preserve"> </w:t>
      </w:r>
      <w:r w:rsidRPr="00382917">
        <w:t>won</w:t>
      </w:r>
      <w:r w:rsidR="00EE4FC3">
        <w:t xml:space="preserve"> </w:t>
      </w:r>
      <w:r w:rsidRPr="00382917">
        <w:t>them</w:t>
      </w:r>
      <w:r w:rsidR="00EE4FC3">
        <w:t xml:space="preserve"> </w:t>
      </w:r>
      <w:r w:rsidRPr="00382917">
        <w:t>over</w:t>
      </w:r>
      <w:r w:rsidR="00EE4FC3">
        <w:t xml:space="preserve"> </w:t>
      </w:r>
      <w:r w:rsidRPr="00382917">
        <w:t>and</w:t>
      </w:r>
      <w:r w:rsidR="00EE4FC3">
        <w:t xml:space="preserve"> </w:t>
      </w:r>
      <w:r w:rsidRPr="00382917">
        <w:t>transformed</w:t>
      </w:r>
      <w:r w:rsidR="00EE4FC3">
        <w:t xml:space="preserve"> </w:t>
      </w:r>
      <w:r w:rsidRPr="00382917">
        <w:t>them</w:t>
      </w:r>
      <w:r w:rsidR="00C03C91">
        <w:t>.</w:t>
      </w:r>
      <w:r w:rsidR="00EE4FC3">
        <w:t xml:space="preserve">  </w:t>
      </w:r>
      <w:r w:rsidRPr="00382917">
        <w:t>In</w:t>
      </w:r>
      <w:r w:rsidR="00EE4FC3">
        <w:t xml:space="preserve"> </w:t>
      </w:r>
      <w:r w:rsidRPr="00382917">
        <w:t>their</w:t>
      </w:r>
      <w:r w:rsidR="00EE4FC3">
        <w:t xml:space="preserve"> </w:t>
      </w:r>
      <w:r w:rsidRPr="00382917">
        <w:t>eagerness</w:t>
      </w:r>
      <w:r w:rsidR="00EE4FC3">
        <w:t xml:space="preserve"> </w:t>
      </w:r>
      <w:r w:rsidRPr="00382917">
        <w:t>to</w:t>
      </w:r>
      <w:r w:rsidR="00EE4FC3">
        <w:t xml:space="preserve"> </w:t>
      </w:r>
      <w:r w:rsidRPr="00382917">
        <w:t>serve</w:t>
      </w:r>
      <w:r w:rsidR="00EE4FC3">
        <w:t xml:space="preserve"> </w:t>
      </w:r>
      <w:r w:rsidRPr="00382917">
        <w:t>and</w:t>
      </w:r>
      <w:r w:rsidR="00EE4FC3">
        <w:t xml:space="preserve"> </w:t>
      </w:r>
      <w:r w:rsidRPr="00382917">
        <w:t>please</w:t>
      </w:r>
      <w:r w:rsidR="00EE4FC3">
        <w:t xml:space="preserve"> </w:t>
      </w:r>
      <w:r w:rsidRPr="00382917">
        <w:t>Him,</w:t>
      </w:r>
      <w:r w:rsidR="00EE4FC3">
        <w:t xml:space="preserve"> </w:t>
      </w:r>
      <w:r w:rsidRPr="00382917">
        <w:t>they</w:t>
      </w:r>
      <w:r w:rsidR="00EE4FC3">
        <w:t xml:space="preserve"> </w:t>
      </w:r>
      <w:r w:rsidRPr="00382917">
        <w:t>told</w:t>
      </w:r>
      <w:r w:rsidR="00EE4FC3">
        <w:t xml:space="preserve"> </w:t>
      </w:r>
      <w:r w:rsidRPr="00382917">
        <w:t>Him</w:t>
      </w:r>
      <w:r w:rsidR="00C03C91">
        <w:t>:</w:t>
      </w:r>
      <w:r w:rsidR="00EE4FC3">
        <w:t xml:space="preserve">  </w:t>
      </w:r>
      <w:r w:rsidR="009C713D" w:rsidRPr="00382917">
        <w:t>“</w:t>
      </w:r>
      <w:r w:rsidRPr="00382917">
        <w:t>We</w:t>
      </w:r>
      <w:r w:rsidR="00EE4FC3">
        <w:t xml:space="preserve"> </w:t>
      </w:r>
      <w:r w:rsidRPr="00382917">
        <w:t>are</w:t>
      </w:r>
      <w:r w:rsidR="00EE4FC3">
        <w:t xml:space="preserve"> </w:t>
      </w:r>
      <w:r w:rsidRPr="00382917">
        <w:t>strictly</w:t>
      </w:r>
      <w:r w:rsidR="00EE4FC3">
        <w:t xml:space="preserve"> </w:t>
      </w:r>
      <w:r w:rsidRPr="00382917">
        <w:t>forbidden</w:t>
      </w:r>
      <w:r w:rsidR="00EE4FC3">
        <w:t xml:space="preserve"> </w:t>
      </w:r>
      <w:r w:rsidRPr="00382917">
        <w:t>by</w:t>
      </w:r>
      <w:r w:rsidR="00EE4FC3">
        <w:t xml:space="preserve"> </w:t>
      </w:r>
      <w:r w:rsidRPr="00382917">
        <w:t>the</w:t>
      </w:r>
      <w:r w:rsidR="00EE4FC3">
        <w:t xml:space="preserve"> </w:t>
      </w:r>
      <w:r w:rsidRPr="00382917">
        <w:t>government</w:t>
      </w:r>
      <w:r w:rsidR="00EE4FC3">
        <w:t xml:space="preserve"> </w:t>
      </w:r>
      <w:r w:rsidRPr="00382917">
        <w:t>to</w:t>
      </w:r>
      <w:r w:rsidR="00EE4FC3">
        <w:t xml:space="preserve"> </w:t>
      </w:r>
      <w:r w:rsidRPr="00382917">
        <w:t>allow</w:t>
      </w:r>
      <w:r w:rsidR="00EE4FC3">
        <w:t xml:space="preserve"> </w:t>
      </w:r>
      <w:r w:rsidRPr="00382917">
        <w:t>you</w:t>
      </w:r>
      <w:r w:rsidR="00EE4FC3">
        <w:t xml:space="preserve"> </w:t>
      </w:r>
      <w:r w:rsidRPr="00382917">
        <w:t>to</w:t>
      </w:r>
      <w:r w:rsidR="00EE4FC3">
        <w:t xml:space="preserve"> </w:t>
      </w:r>
      <w:r w:rsidRPr="00382917">
        <w:t>enter</w:t>
      </w:r>
      <w:r w:rsidR="00EE4FC3">
        <w:t xml:space="preserve"> </w:t>
      </w:r>
      <w:r w:rsidRPr="00382917">
        <w:t>any</w:t>
      </w:r>
      <w:r w:rsidR="00EE4FC3">
        <w:t xml:space="preserve"> </w:t>
      </w:r>
      <w:r w:rsidRPr="00382917">
        <w:t>village</w:t>
      </w:r>
      <w:r w:rsidR="00EE4FC3">
        <w:t xml:space="preserve"> </w:t>
      </w:r>
      <w:r w:rsidRPr="00382917">
        <w:t>or</w:t>
      </w:r>
      <w:r w:rsidR="00EE4FC3">
        <w:t xml:space="preserve"> </w:t>
      </w:r>
      <w:r w:rsidRPr="00382917">
        <w:t>house</w:t>
      </w:r>
      <w:r w:rsidR="00C03C91">
        <w:t>.</w:t>
      </w:r>
      <w:r w:rsidR="00EE4FC3">
        <w:t xml:space="preserve">  </w:t>
      </w:r>
      <w:r w:rsidRPr="00382917">
        <w:t>We</w:t>
      </w:r>
      <w:r w:rsidR="00EE4FC3">
        <w:t xml:space="preserve"> </w:t>
      </w:r>
      <w:r w:rsidRPr="00382917">
        <w:t>are</w:t>
      </w:r>
      <w:r w:rsidR="00EE4FC3">
        <w:t xml:space="preserve"> </w:t>
      </w:r>
      <w:r w:rsidRPr="00382917">
        <w:t>told</w:t>
      </w:r>
      <w:r w:rsidR="00EE4FC3">
        <w:t xml:space="preserve"> </w:t>
      </w:r>
      <w:r w:rsidRPr="00382917">
        <w:t>to</w:t>
      </w:r>
      <w:r w:rsidR="00EE4FC3">
        <w:t xml:space="preserve"> </w:t>
      </w:r>
      <w:r w:rsidRPr="00382917">
        <w:t>proceed</w:t>
      </w:r>
      <w:r w:rsidR="00EE4FC3">
        <w:t xml:space="preserve"> </w:t>
      </w:r>
      <w:r w:rsidRPr="00382917">
        <w:t>by</w:t>
      </w:r>
      <w:r w:rsidR="00EE4FC3">
        <w:t xml:space="preserve"> </w:t>
      </w:r>
      <w:r w:rsidRPr="00382917">
        <w:t>an</w:t>
      </w:r>
      <w:r w:rsidR="00EE4FC3">
        <w:t xml:space="preserve"> </w:t>
      </w:r>
      <w:r w:rsidRPr="00382917">
        <w:t>unfrequented</w:t>
      </w:r>
      <w:r w:rsidR="00EE4FC3">
        <w:t xml:space="preserve"> </w:t>
      </w:r>
      <w:r w:rsidRPr="00382917">
        <w:t>route</w:t>
      </w:r>
      <w:r w:rsidR="00EE4FC3">
        <w:t xml:space="preserve"> </w:t>
      </w:r>
      <w:r w:rsidRPr="00382917">
        <w:t>directly</w:t>
      </w:r>
      <w:r w:rsidR="00EE4FC3">
        <w:t xml:space="preserve"> </w:t>
      </w:r>
      <w:r w:rsidRPr="00382917">
        <w:t>to</w:t>
      </w:r>
      <w:r w:rsidR="00EE4FC3">
        <w:t xml:space="preserve"> </w:t>
      </w:r>
      <w:r w:rsidR="002C2EDA" w:rsidRPr="00382917">
        <w:t>Ṭ</w:t>
      </w:r>
      <w:r w:rsidRPr="00382917">
        <w:t>ihrán</w:t>
      </w:r>
      <w:r w:rsidR="00EE4FC3">
        <w:t xml:space="preserve"> </w:t>
      </w:r>
      <w:r w:rsidRPr="00382917">
        <w:t>so</w:t>
      </w:r>
      <w:r w:rsidR="00EE4FC3">
        <w:t xml:space="preserve"> </w:t>
      </w:r>
      <w:r w:rsidRPr="00382917">
        <w:t>that</w:t>
      </w:r>
      <w:r w:rsidR="00EE4FC3">
        <w:t xml:space="preserve"> </w:t>
      </w:r>
      <w:r w:rsidRPr="00382917">
        <w:t>you</w:t>
      </w:r>
      <w:r w:rsidR="00EE4FC3">
        <w:t xml:space="preserve"> </w:t>
      </w:r>
      <w:r w:rsidRPr="00382917">
        <w:t>shall</w:t>
      </w:r>
      <w:r w:rsidR="00EE4FC3">
        <w:t xml:space="preserve"> </w:t>
      </w:r>
      <w:r w:rsidRPr="00382917">
        <w:t>come</w:t>
      </w:r>
      <w:r w:rsidR="00EE4FC3">
        <w:t xml:space="preserve"> </w:t>
      </w:r>
      <w:r w:rsidRPr="00382917">
        <w:t>in</w:t>
      </w:r>
      <w:r w:rsidR="00EE4FC3">
        <w:t xml:space="preserve"> </w:t>
      </w:r>
      <w:r w:rsidRPr="00382917">
        <w:t>contact</w:t>
      </w:r>
      <w:r w:rsidR="00EE4FC3">
        <w:t xml:space="preserve"> </w:t>
      </w:r>
      <w:r w:rsidRPr="00382917">
        <w:t>with</w:t>
      </w:r>
      <w:r w:rsidR="00EE4FC3">
        <w:t xml:space="preserve"> </w:t>
      </w:r>
      <w:r w:rsidRPr="00382917">
        <w:t>no</w:t>
      </w:r>
      <w:r w:rsidR="00EE4FC3">
        <w:t xml:space="preserve"> </w:t>
      </w:r>
      <w:r w:rsidRPr="00382917">
        <w:t>one</w:t>
      </w:r>
      <w:r w:rsidR="00C03C91">
        <w:t>.</w:t>
      </w:r>
      <w:r w:rsidR="00EE4FC3">
        <w:t xml:space="preserve">  </w:t>
      </w:r>
      <w:r w:rsidRPr="00382917">
        <w:t>However,</w:t>
      </w:r>
      <w:r w:rsidR="00EE4FC3">
        <w:t xml:space="preserve"> </w:t>
      </w:r>
      <w:r w:rsidRPr="00382917">
        <w:t>if</w:t>
      </w:r>
      <w:r w:rsidR="00EE4FC3">
        <w:t xml:space="preserve"> </w:t>
      </w:r>
      <w:r w:rsidRPr="00382917">
        <w:t>it</w:t>
      </w:r>
      <w:r w:rsidR="00EE4FC3">
        <w:t xml:space="preserve"> </w:t>
      </w:r>
      <w:r w:rsidRPr="00382917">
        <w:t>be</w:t>
      </w:r>
      <w:r w:rsidR="00EE4FC3">
        <w:t xml:space="preserve"> </w:t>
      </w:r>
      <w:r w:rsidRPr="00382917">
        <w:t>your</w:t>
      </w:r>
      <w:r w:rsidR="00EE4FC3">
        <w:t xml:space="preserve"> </w:t>
      </w:r>
      <w:r w:rsidRPr="00382917">
        <w:t>wish,</w:t>
      </w:r>
      <w:r w:rsidR="00EE4FC3">
        <w:t xml:space="preserve"> </w:t>
      </w:r>
      <w:r w:rsidRPr="00382917">
        <w:t>we</w:t>
      </w:r>
      <w:r w:rsidR="00EE4FC3">
        <w:t xml:space="preserve"> </w:t>
      </w:r>
      <w:r w:rsidRPr="00382917">
        <w:t>are</w:t>
      </w:r>
      <w:r w:rsidR="00EE4FC3">
        <w:t xml:space="preserve"> </w:t>
      </w:r>
      <w:r w:rsidRPr="00382917">
        <w:t>ready</w:t>
      </w:r>
      <w:r w:rsidR="00EE4FC3">
        <w:t xml:space="preserve"> </w:t>
      </w:r>
      <w:r w:rsidRPr="00382917">
        <w:t>to</w:t>
      </w:r>
      <w:r w:rsidR="00EE4FC3">
        <w:t xml:space="preserve"> </w:t>
      </w:r>
      <w:r w:rsidRPr="00382917">
        <w:t>ignore</w:t>
      </w:r>
      <w:r w:rsidR="00EE4FC3">
        <w:t xml:space="preserve"> </w:t>
      </w:r>
      <w:r w:rsidRPr="00382917">
        <w:t>these</w:t>
      </w:r>
      <w:r w:rsidR="00EE4FC3">
        <w:t xml:space="preserve"> </w:t>
      </w:r>
      <w:r w:rsidRPr="00382917">
        <w:t>instructions</w:t>
      </w:r>
      <w:r w:rsidR="00EE4FC3">
        <w:t xml:space="preserve"> </w:t>
      </w:r>
      <w:r w:rsidRPr="00382917">
        <w:t>and</w:t>
      </w:r>
      <w:r w:rsidR="00EE4FC3">
        <w:t xml:space="preserve"> </w:t>
      </w:r>
      <w:r w:rsidRPr="00382917">
        <w:t>escort</w:t>
      </w:r>
      <w:r w:rsidR="00EE4FC3">
        <w:t xml:space="preserve"> </w:t>
      </w:r>
      <w:r w:rsidRPr="00382917">
        <w:t>you</w:t>
      </w:r>
      <w:r w:rsidR="00EE4FC3">
        <w:t xml:space="preserve"> </w:t>
      </w:r>
      <w:r w:rsidRPr="00382917">
        <w:t>through</w:t>
      </w:r>
      <w:r w:rsidR="00EE4FC3">
        <w:t xml:space="preserve"> </w:t>
      </w:r>
      <w:r w:rsidRPr="00382917">
        <w:t>the</w:t>
      </w:r>
      <w:r w:rsidR="00EE4FC3">
        <w:t xml:space="preserve"> </w:t>
      </w:r>
      <w:r w:rsidRPr="00382917">
        <w:t>streets</w:t>
      </w:r>
      <w:r w:rsidR="00EE4FC3">
        <w:t xml:space="preserve"> </w:t>
      </w:r>
      <w:r w:rsidRPr="00382917">
        <w:t>of</w:t>
      </w:r>
      <w:r w:rsidR="00EE4FC3">
        <w:t xml:space="preserve"> </w:t>
      </w:r>
      <w:r w:rsidRPr="00382917">
        <w:t>every</w:t>
      </w:r>
      <w:r w:rsidR="00EE4FC3">
        <w:t xml:space="preserve"> </w:t>
      </w:r>
      <w:r w:rsidRPr="00382917">
        <w:t>town.</w:t>
      </w:r>
      <w:r w:rsidR="009C713D" w:rsidRPr="00382917">
        <w:t>”</w:t>
      </w:r>
    </w:p>
    <w:p w:rsidR="0054338F" w:rsidRPr="00382917" w:rsidRDefault="0054338F" w:rsidP="002C2EDA">
      <w:pPr>
        <w:pStyle w:val="Text"/>
      </w:pPr>
      <w:r w:rsidRPr="00382917">
        <w:t>The</w:t>
      </w:r>
      <w:r w:rsidR="00EE4FC3">
        <w:t xml:space="preserve"> </w:t>
      </w:r>
      <w:r w:rsidRPr="00382917">
        <w:t>Báb</w:t>
      </w:r>
      <w:r w:rsidR="00EE4FC3">
        <w:t xml:space="preserve"> </w:t>
      </w:r>
      <w:r w:rsidRPr="00382917">
        <w:t>replied</w:t>
      </w:r>
      <w:r w:rsidR="00EE4FC3">
        <w:t xml:space="preserve"> </w:t>
      </w:r>
      <w:r w:rsidRPr="00382917">
        <w:t>that</w:t>
      </w:r>
      <w:r w:rsidR="00EE4FC3">
        <w:t xml:space="preserve"> </w:t>
      </w:r>
      <w:r w:rsidRPr="00382917">
        <w:t>He</w:t>
      </w:r>
      <w:r w:rsidR="00EE4FC3">
        <w:t xml:space="preserve"> </w:t>
      </w:r>
      <w:r w:rsidRPr="00382917">
        <w:t>preferred</w:t>
      </w:r>
      <w:r w:rsidR="00EE4FC3">
        <w:t xml:space="preserve"> </w:t>
      </w:r>
      <w:r w:rsidRPr="00382917">
        <w:t>to</w:t>
      </w:r>
      <w:r w:rsidR="00EE4FC3">
        <w:t xml:space="preserve"> </w:t>
      </w:r>
      <w:r w:rsidRPr="00382917">
        <w:t>go</w:t>
      </w:r>
      <w:r w:rsidR="00EE4FC3">
        <w:t xml:space="preserve"> </w:t>
      </w:r>
      <w:r w:rsidRPr="00382917">
        <w:t>by</w:t>
      </w:r>
      <w:r w:rsidR="00EE4FC3">
        <w:t xml:space="preserve"> </w:t>
      </w:r>
      <w:r w:rsidRPr="00382917">
        <w:t>way</w:t>
      </w:r>
      <w:r w:rsidR="00EE4FC3">
        <w:t xml:space="preserve"> </w:t>
      </w:r>
      <w:r w:rsidRPr="00382917">
        <w:t>of</w:t>
      </w:r>
      <w:r w:rsidR="00EE4FC3">
        <w:t xml:space="preserve"> </w:t>
      </w:r>
      <w:r w:rsidRPr="00382917">
        <w:t>the</w:t>
      </w:r>
      <w:r w:rsidR="00EE4FC3">
        <w:t xml:space="preserve"> </w:t>
      </w:r>
      <w:r w:rsidRPr="00382917">
        <w:t>country,</w:t>
      </w:r>
      <w:r w:rsidR="00EE4FC3">
        <w:t xml:space="preserve"> </w:t>
      </w:r>
      <w:r w:rsidRPr="00382917">
        <w:t>for</w:t>
      </w:r>
      <w:r w:rsidR="00EE4FC3">
        <w:t xml:space="preserve"> </w:t>
      </w:r>
      <w:r w:rsidRPr="00382917">
        <w:t>the</w:t>
      </w:r>
      <w:r w:rsidR="00EE4FC3">
        <w:t xml:space="preserve"> </w:t>
      </w:r>
      <w:r w:rsidRPr="00382917">
        <w:t>cities</w:t>
      </w:r>
      <w:r w:rsidR="00EE4FC3">
        <w:t xml:space="preserve"> </w:t>
      </w:r>
      <w:r w:rsidRPr="00382917">
        <w:t>were</w:t>
      </w:r>
      <w:r w:rsidR="00EE4FC3">
        <w:t xml:space="preserve"> </w:t>
      </w:r>
      <w:r w:rsidRPr="00382917">
        <w:t>unholy</w:t>
      </w:r>
      <w:r w:rsidR="00C03C91">
        <w:t>.</w:t>
      </w:r>
      <w:r w:rsidR="00EE4FC3">
        <w:t xml:space="preserve">  </w:t>
      </w:r>
      <w:r w:rsidRPr="00382917">
        <w:t>The</w:t>
      </w:r>
      <w:r w:rsidR="00EE4FC3">
        <w:t xml:space="preserve"> </w:t>
      </w:r>
      <w:r w:rsidRPr="00382917">
        <w:t>people</w:t>
      </w:r>
      <w:r w:rsidR="00EE4FC3">
        <w:t xml:space="preserve"> </w:t>
      </w:r>
      <w:r w:rsidRPr="00382917">
        <w:t>paid</w:t>
      </w:r>
      <w:r w:rsidR="00EE4FC3">
        <w:t xml:space="preserve"> </w:t>
      </w:r>
      <w:r w:rsidRPr="00382917">
        <w:t>tribute</w:t>
      </w:r>
      <w:r w:rsidR="00EE4FC3">
        <w:t xml:space="preserve"> </w:t>
      </w:r>
      <w:r w:rsidRPr="00382917">
        <w:t>to</w:t>
      </w:r>
      <w:r w:rsidR="00EE4FC3">
        <w:t xml:space="preserve"> </w:t>
      </w:r>
      <w:r w:rsidRPr="00382917">
        <w:t>the</w:t>
      </w:r>
      <w:r w:rsidR="00EE4FC3">
        <w:t xml:space="preserve"> </w:t>
      </w:r>
      <w:r w:rsidRPr="00382917">
        <w:t>shrines</w:t>
      </w:r>
      <w:r w:rsidR="00EE4FC3">
        <w:t xml:space="preserve"> </w:t>
      </w:r>
      <w:r w:rsidRPr="00382917">
        <w:t>with</w:t>
      </w:r>
      <w:r w:rsidR="00EE4FC3">
        <w:t xml:space="preserve"> </w:t>
      </w:r>
      <w:r w:rsidRPr="00382917">
        <w:t>their</w:t>
      </w:r>
      <w:r w:rsidR="00EE4FC3">
        <w:t xml:space="preserve"> </w:t>
      </w:r>
      <w:r w:rsidRPr="00382917">
        <w:t>lips</w:t>
      </w:r>
      <w:r w:rsidR="00EE4FC3">
        <w:t xml:space="preserve"> </w:t>
      </w:r>
      <w:r w:rsidRPr="00382917">
        <w:t>while</w:t>
      </w:r>
      <w:r w:rsidR="00EE4FC3">
        <w:t xml:space="preserve"> </w:t>
      </w:r>
      <w:r w:rsidRPr="00382917">
        <w:t>with</w:t>
      </w:r>
      <w:r w:rsidR="00EE4FC3">
        <w:t xml:space="preserve"> </w:t>
      </w:r>
      <w:r w:rsidRPr="00382917">
        <w:t>their</w:t>
      </w:r>
      <w:r w:rsidR="00EE4FC3">
        <w:t xml:space="preserve"> </w:t>
      </w:r>
      <w:r w:rsidRPr="00382917">
        <w:t>acts</w:t>
      </w:r>
      <w:r w:rsidR="00EE4FC3">
        <w:t xml:space="preserve"> </w:t>
      </w:r>
      <w:r w:rsidRPr="00382917">
        <w:t>they</w:t>
      </w:r>
      <w:r w:rsidR="00EE4FC3">
        <w:t xml:space="preserve"> </w:t>
      </w:r>
      <w:r w:rsidRPr="00382917">
        <w:t>heaped</w:t>
      </w:r>
      <w:r w:rsidR="00EE4FC3">
        <w:t xml:space="preserve"> </w:t>
      </w:r>
      <w:proofErr w:type="spellStart"/>
      <w:r w:rsidRPr="00382917">
        <w:t>dishonor</w:t>
      </w:r>
      <w:proofErr w:type="spellEnd"/>
      <w:r w:rsidR="00EE4FC3">
        <w:t xml:space="preserve"> </w:t>
      </w:r>
      <w:r w:rsidRPr="00382917">
        <w:t>upon</w:t>
      </w:r>
      <w:r w:rsidR="00EE4FC3">
        <w:t xml:space="preserve"> </w:t>
      </w:r>
      <w:r w:rsidRPr="00382917">
        <w:t>them</w:t>
      </w:r>
      <w:r w:rsidR="00C03C91">
        <w:t>.</w:t>
      </w:r>
      <w:r w:rsidR="00EE4FC3">
        <w:t xml:space="preserve">  </w:t>
      </w:r>
      <w:r w:rsidRPr="00382917">
        <w:t>Outwardly</w:t>
      </w:r>
      <w:r w:rsidR="00EE4FC3">
        <w:t xml:space="preserve"> </w:t>
      </w:r>
      <w:r w:rsidRPr="00382917">
        <w:t>they</w:t>
      </w:r>
      <w:r w:rsidR="00EE4FC3">
        <w:t xml:space="preserve"> </w:t>
      </w:r>
      <w:r w:rsidRPr="00382917">
        <w:t>reverenced,</w:t>
      </w:r>
      <w:r w:rsidR="00EE4FC3">
        <w:t xml:space="preserve"> </w:t>
      </w:r>
      <w:r w:rsidRPr="00382917">
        <w:t>but</w:t>
      </w:r>
      <w:r w:rsidR="00EE4FC3">
        <w:t xml:space="preserve"> </w:t>
      </w:r>
      <w:r w:rsidRPr="00382917">
        <w:t>inwardly</w:t>
      </w:r>
      <w:r w:rsidR="00EE4FC3">
        <w:t xml:space="preserve"> </w:t>
      </w:r>
      <w:r w:rsidRPr="00382917">
        <w:t>they</w:t>
      </w:r>
      <w:r w:rsidR="00EE4FC3">
        <w:t xml:space="preserve"> </w:t>
      </w:r>
      <w:r w:rsidRPr="00382917">
        <w:t>disgraced.</w:t>
      </w:r>
    </w:p>
    <w:p w:rsidR="0054338F" w:rsidRPr="00382917" w:rsidRDefault="0054338F" w:rsidP="002C2EDA">
      <w:pPr>
        <w:pStyle w:val="Text"/>
      </w:pPr>
      <w:r w:rsidRPr="00382917">
        <w:t>The</w:t>
      </w:r>
      <w:r w:rsidR="00EE4FC3">
        <w:t xml:space="preserve"> </w:t>
      </w:r>
      <w:r w:rsidRPr="00382917">
        <w:t>Prime</w:t>
      </w:r>
      <w:r w:rsidR="00EE4FC3">
        <w:t xml:space="preserve"> </w:t>
      </w:r>
      <w:r w:rsidRPr="00382917">
        <w:t>Minister</w:t>
      </w:r>
      <w:r w:rsidR="00EE4FC3">
        <w:t xml:space="preserve"> </w:t>
      </w:r>
      <w:r w:rsidRPr="00382917">
        <w:t>sent</w:t>
      </w:r>
      <w:r w:rsidR="00EE4FC3">
        <w:t xml:space="preserve"> </w:t>
      </w:r>
      <w:r w:rsidRPr="00382917">
        <w:t>a</w:t>
      </w:r>
      <w:r w:rsidR="00EE4FC3">
        <w:t xml:space="preserve"> </w:t>
      </w:r>
      <w:r w:rsidRPr="00382917">
        <w:t>message</w:t>
      </w:r>
      <w:r w:rsidR="00EE4FC3">
        <w:t xml:space="preserve"> </w:t>
      </w:r>
      <w:r w:rsidRPr="00382917">
        <w:t>which</w:t>
      </w:r>
      <w:r w:rsidR="00EE4FC3">
        <w:t xml:space="preserve"> </w:t>
      </w:r>
      <w:r w:rsidRPr="00382917">
        <w:t>intercepted</w:t>
      </w:r>
      <w:r w:rsidR="00EE4FC3">
        <w:t xml:space="preserve"> </w:t>
      </w:r>
      <w:r w:rsidRPr="00382917">
        <w:t>the</w:t>
      </w:r>
      <w:r w:rsidR="00EE4FC3">
        <w:t xml:space="preserve"> </w:t>
      </w:r>
      <w:r w:rsidRPr="00382917">
        <w:t>party</w:t>
      </w:r>
      <w:r w:rsidR="00EE4FC3">
        <w:t xml:space="preserve"> </w:t>
      </w:r>
      <w:r w:rsidRPr="00382917">
        <w:t>one</w:t>
      </w:r>
      <w:r w:rsidR="00EE4FC3">
        <w:t xml:space="preserve"> </w:t>
      </w:r>
      <w:r w:rsidRPr="00382917">
        <w:t>day</w:t>
      </w:r>
      <w:r w:rsidR="009C713D" w:rsidRPr="00382917">
        <w:t>’</w:t>
      </w:r>
      <w:r w:rsidRPr="00382917">
        <w:t>s</w:t>
      </w:r>
      <w:r w:rsidR="00EE4FC3">
        <w:t xml:space="preserve"> </w:t>
      </w:r>
      <w:r w:rsidRPr="00382917">
        <w:t>journey</w:t>
      </w:r>
      <w:r w:rsidR="00EE4FC3">
        <w:t xml:space="preserve"> </w:t>
      </w:r>
      <w:r w:rsidRPr="00382917">
        <w:t>from</w:t>
      </w:r>
      <w:r w:rsidR="00EE4FC3">
        <w:t xml:space="preserve"> </w:t>
      </w:r>
      <w:r w:rsidR="002C2EDA" w:rsidRPr="00382917">
        <w:t>Ṭ</w:t>
      </w:r>
      <w:r w:rsidRPr="00382917">
        <w:t>ihrán</w:t>
      </w:r>
      <w:r w:rsidR="00EE4FC3">
        <w:t xml:space="preserve"> </w:t>
      </w:r>
      <w:r w:rsidRPr="00382917">
        <w:t>and</w:t>
      </w:r>
      <w:r w:rsidR="00EE4FC3">
        <w:t xml:space="preserve"> </w:t>
      </w:r>
      <w:r w:rsidRPr="00382917">
        <w:t>commanded</w:t>
      </w:r>
      <w:r w:rsidR="00EE4FC3">
        <w:t xml:space="preserve"> </w:t>
      </w:r>
      <w:r w:rsidRPr="00382917">
        <w:t>the</w:t>
      </w:r>
      <w:r w:rsidR="00EE4FC3">
        <w:t xml:space="preserve"> </w:t>
      </w:r>
      <w:r w:rsidRPr="00382917">
        <w:t>guard</w:t>
      </w:r>
      <w:r w:rsidR="00EE4FC3">
        <w:t xml:space="preserve"> </w:t>
      </w:r>
      <w:r w:rsidRPr="00382917">
        <w:t>not</w:t>
      </w:r>
      <w:r w:rsidR="00EE4FC3">
        <w:t xml:space="preserve"> </w:t>
      </w:r>
      <w:r w:rsidRPr="00382917">
        <w:t>to</w:t>
      </w:r>
      <w:r w:rsidR="00EE4FC3">
        <w:t xml:space="preserve"> </w:t>
      </w:r>
      <w:r w:rsidRPr="00382917">
        <w:t>take</w:t>
      </w:r>
      <w:r w:rsidR="00EE4FC3">
        <w:t xml:space="preserve"> </w:t>
      </w:r>
      <w:r w:rsidRPr="00382917">
        <w:t>the</w:t>
      </w:r>
      <w:r w:rsidR="00EE4FC3">
        <w:t xml:space="preserve"> </w:t>
      </w:r>
      <w:r w:rsidRPr="00382917">
        <w:t>Báb</w:t>
      </w:r>
      <w:r w:rsidR="00EE4FC3">
        <w:t xml:space="preserve"> </w:t>
      </w:r>
      <w:r w:rsidRPr="00382917">
        <w:t>to</w:t>
      </w:r>
      <w:r w:rsidR="00EE4FC3">
        <w:t xml:space="preserve"> </w:t>
      </w:r>
      <w:r w:rsidR="002C2EDA" w:rsidRPr="00382917">
        <w:t>Ṭ</w:t>
      </w:r>
      <w:r w:rsidRPr="00382917">
        <w:t>ihrán,</w:t>
      </w:r>
      <w:r w:rsidR="00EE4FC3">
        <w:t xml:space="preserve"> </w:t>
      </w:r>
      <w:r w:rsidRPr="00382917">
        <w:t>but</w:t>
      </w:r>
      <w:r w:rsidR="00EE4FC3">
        <w:t xml:space="preserve"> </w:t>
      </w:r>
      <w:r w:rsidRPr="00382917">
        <w:t>to</w:t>
      </w:r>
      <w:r w:rsidR="00EE4FC3">
        <w:t xml:space="preserve"> </w:t>
      </w:r>
      <w:r w:rsidRPr="00382917">
        <w:t>the</w:t>
      </w:r>
      <w:r w:rsidR="00EE4FC3">
        <w:t xml:space="preserve"> </w:t>
      </w:r>
      <w:r w:rsidRPr="00382917">
        <w:t>village</w:t>
      </w:r>
      <w:r w:rsidR="00EE4FC3">
        <w:t xml:space="preserve"> </w:t>
      </w:r>
      <w:r w:rsidRPr="00382917">
        <w:t>of</w:t>
      </w:r>
      <w:r w:rsidR="00EE4FC3">
        <w:t xml:space="preserve"> </w:t>
      </w:r>
      <w:proofErr w:type="spellStart"/>
      <w:r w:rsidRPr="00382917">
        <w:t>Kulayn</w:t>
      </w:r>
      <w:proofErr w:type="spellEnd"/>
      <w:r w:rsidR="00EE4FC3">
        <w:t xml:space="preserve"> </w:t>
      </w:r>
      <w:r w:rsidRPr="00382917">
        <w:t>instead,</w:t>
      </w:r>
      <w:r w:rsidR="00EE4FC3">
        <w:t xml:space="preserve"> </w:t>
      </w:r>
      <w:r w:rsidRPr="00382917">
        <w:t>and</w:t>
      </w:r>
      <w:r w:rsidR="00EE4FC3">
        <w:t xml:space="preserve"> </w:t>
      </w:r>
      <w:r w:rsidRPr="00382917">
        <w:t>to</w:t>
      </w:r>
      <w:r w:rsidR="00EE4FC3">
        <w:t xml:space="preserve"> </w:t>
      </w:r>
      <w:r w:rsidRPr="00382917">
        <w:t>hold</w:t>
      </w:r>
      <w:r w:rsidR="00EE4FC3">
        <w:t xml:space="preserve"> </w:t>
      </w:r>
      <w:r w:rsidRPr="00382917">
        <w:t>Him</w:t>
      </w:r>
      <w:r w:rsidR="00EE4FC3">
        <w:t xml:space="preserve"> </w:t>
      </w:r>
      <w:r w:rsidRPr="00382917">
        <w:t>there</w:t>
      </w:r>
      <w:r w:rsidR="00EE4FC3">
        <w:t xml:space="preserve"> </w:t>
      </w:r>
      <w:r w:rsidRPr="00382917">
        <w:t>until</w:t>
      </w:r>
      <w:r w:rsidR="00EE4FC3">
        <w:t xml:space="preserve"> </w:t>
      </w:r>
      <w:r w:rsidRPr="00382917">
        <w:t>further</w:t>
      </w:r>
      <w:r w:rsidR="00EE4FC3">
        <w:t xml:space="preserve"> </w:t>
      </w:r>
      <w:r w:rsidRPr="00382917">
        <w:t>instructions</w:t>
      </w:r>
      <w:r w:rsidR="00C03C91">
        <w:t>.</w:t>
      </w:r>
      <w:r w:rsidR="00EE4FC3">
        <w:t xml:space="preserve">  </w:t>
      </w:r>
      <w:r w:rsidRPr="00382917">
        <w:t>The</w:t>
      </w:r>
      <w:r w:rsidR="00EE4FC3">
        <w:t xml:space="preserve"> </w:t>
      </w:r>
      <w:r w:rsidRPr="00382917">
        <w:t>Prime</w:t>
      </w:r>
      <w:r w:rsidR="00EE4FC3">
        <w:t xml:space="preserve"> </w:t>
      </w:r>
      <w:r w:rsidRPr="00382917">
        <w:t>Minister</w:t>
      </w:r>
      <w:r w:rsidR="00EE4FC3">
        <w:t xml:space="preserve"> </w:t>
      </w:r>
      <w:r w:rsidRPr="00382917">
        <w:t>was</w:t>
      </w:r>
      <w:r w:rsidR="00EE4FC3">
        <w:t xml:space="preserve"> </w:t>
      </w:r>
      <w:r w:rsidRPr="00382917">
        <w:t>determined</w:t>
      </w:r>
      <w:r w:rsidR="00EE4FC3">
        <w:t xml:space="preserve"> </w:t>
      </w:r>
      <w:r w:rsidRPr="00382917">
        <w:t>that</w:t>
      </w:r>
      <w:r w:rsidR="00EE4FC3">
        <w:t xml:space="preserve"> </w:t>
      </w:r>
      <w:r w:rsidRPr="00382917">
        <w:t>the</w:t>
      </w:r>
      <w:r w:rsidR="00EE4FC3">
        <w:t xml:space="preserve"> </w:t>
      </w:r>
      <w:r w:rsidRPr="00382917">
        <w:t>Báb</w:t>
      </w:r>
      <w:r w:rsidR="00EE4FC3">
        <w:t xml:space="preserve"> </w:t>
      </w:r>
      <w:r w:rsidRPr="00382917">
        <w:t>should</w:t>
      </w:r>
      <w:r w:rsidR="00EE4FC3">
        <w:t xml:space="preserve"> </w:t>
      </w:r>
      <w:r w:rsidRPr="00382917">
        <w:t>never</w:t>
      </w:r>
      <w:r w:rsidR="00EE4FC3">
        <w:t xml:space="preserve"> </w:t>
      </w:r>
      <w:r w:rsidRPr="00382917">
        <w:t>reach</w:t>
      </w:r>
      <w:r w:rsidR="00EE4FC3">
        <w:t xml:space="preserve"> </w:t>
      </w:r>
      <w:r w:rsidRPr="00382917">
        <w:t>the</w:t>
      </w:r>
      <w:r w:rsidR="00EE4FC3">
        <w:t xml:space="preserve"> </w:t>
      </w:r>
      <w:r w:rsidRPr="00382917">
        <w:t>capital.</w:t>
      </w:r>
    </w:p>
    <w:p w:rsidR="0054338F" w:rsidRPr="00382917" w:rsidRDefault="0054338F" w:rsidP="00EB6DAC">
      <w:pPr>
        <w:pStyle w:val="Text"/>
      </w:pPr>
      <w:r w:rsidRPr="00382917">
        <w:t>The</w:t>
      </w:r>
      <w:r w:rsidR="00EE4FC3">
        <w:t xml:space="preserve"> </w:t>
      </w:r>
      <w:r w:rsidRPr="00382917">
        <w:t>Prime</w:t>
      </w:r>
      <w:r w:rsidR="00EE4FC3">
        <w:t xml:space="preserve"> </w:t>
      </w:r>
      <w:r w:rsidRPr="00382917">
        <w:t>Minister</w:t>
      </w:r>
      <w:r w:rsidR="00EE4FC3">
        <w:t xml:space="preserve"> </w:t>
      </w:r>
      <w:r w:rsidRPr="00382917">
        <w:t>continually</w:t>
      </w:r>
      <w:r w:rsidR="00EE4FC3">
        <w:t xml:space="preserve"> </w:t>
      </w:r>
      <w:r w:rsidRPr="00382917">
        <w:t>reminded</w:t>
      </w:r>
      <w:r w:rsidR="00EE4FC3">
        <w:t xml:space="preserve"> </w:t>
      </w:r>
      <w:r w:rsidRPr="00382917">
        <w:t>the</w:t>
      </w:r>
      <w:r w:rsidR="00EE4FC3">
        <w:t xml:space="preserve"> </w:t>
      </w:r>
      <w:r w:rsidRPr="00382917">
        <w:t>king</w:t>
      </w:r>
      <w:r w:rsidR="00EE4FC3">
        <w:t xml:space="preserve"> </w:t>
      </w:r>
      <w:r w:rsidRPr="00382917">
        <w:t>of</w:t>
      </w:r>
      <w:r w:rsidR="00EE4FC3">
        <w:t xml:space="preserve"> </w:t>
      </w:r>
      <w:r w:rsidRPr="00382917">
        <w:t>the</w:t>
      </w:r>
      <w:r w:rsidR="00EE4FC3">
        <w:t xml:space="preserve"> </w:t>
      </w:r>
      <w:r w:rsidRPr="00382917">
        <w:t>religious</w:t>
      </w:r>
      <w:r w:rsidR="00EE4FC3">
        <w:t xml:space="preserve"> </w:t>
      </w:r>
      <w:r w:rsidRPr="00382917">
        <w:t>revolts</w:t>
      </w:r>
      <w:r w:rsidR="00EE4FC3">
        <w:t xml:space="preserve"> </w:t>
      </w:r>
      <w:r w:rsidRPr="00382917">
        <w:t>that</w:t>
      </w:r>
      <w:r w:rsidR="00EE4FC3">
        <w:t xml:space="preserve"> </w:t>
      </w:r>
      <w:r w:rsidRPr="00382917">
        <w:t>had</w:t>
      </w:r>
      <w:r w:rsidR="00EE4FC3">
        <w:t xml:space="preserve"> </w:t>
      </w:r>
      <w:r w:rsidRPr="00382917">
        <w:t>taken</w:t>
      </w:r>
      <w:r w:rsidR="00EE4FC3">
        <w:t xml:space="preserve"> </w:t>
      </w:r>
      <w:r w:rsidRPr="00382917">
        <w:t>place</w:t>
      </w:r>
      <w:r w:rsidR="00EE4FC3">
        <w:t xml:space="preserve"> </w:t>
      </w:r>
      <w:r w:rsidRPr="00382917">
        <w:t>in</w:t>
      </w:r>
      <w:r w:rsidR="00EE4FC3">
        <w:t xml:space="preserve"> </w:t>
      </w:r>
      <w:r w:rsidRPr="00382917">
        <w:t>the</w:t>
      </w:r>
      <w:r w:rsidR="00EE4FC3">
        <w:t xml:space="preserve"> </w:t>
      </w:r>
      <w:r w:rsidRPr="00382917">
        <w:t>past</w:t>
      </w:r>
      <w:r w:rsidR="00EE4FC3">
        <w:t xml:space="preserve"> </w:t>
      </w:r>
      <w:r w:rsidRPr="00382917">
        <w:t>in</w:t>
      </w:r>
      <w:r w:rsidR="00EE4FC3">
        <w:t xml:space="preserve"> </w:t>
      </w:r>
      <w:r w:rsidRPr="00382917">
        <w:t>Kirm</w:t>
      </w:r>
      <w:r w:rsidR="00FD45AE" w:rsidRPr="00382917">
        <w:t>á</w:t>
      </w:r>
      <w:r w:rsidRPr="00382917">
        <w:t>n</w:t>
      </w:r>
      <w:r w:rsidR="00EE4FC3">
        <w:t xml:space="preserve"> </w:t>
      </w:r>
      <w:r w:rsidRPr="00382917">
        <w:t>and</w:t>
      </w:r>
      <w:r w:rsidR="00EE4FC3">
        <w:t xml:space="preserve"> </w:t>
      </w:r>
      <w:r w:rsidR="006225E8" w:rsidRPr="006225E8">
        <w:rPr>
          <w:u w:val="single"/>
        </w:rPr>
        <w:t>Kh</w:t>
      </w:r>
      <w:r w:rsidR="006225E8" w:rsidRPr="00382917">
        <w:t>urásán</w:t>
      </w:r>
      <w:r w:rsidRPr="00382917">
        <w:t>,</w:t>
      </w:r>
      <w:r w:rsidR="00EB6DAC" w:rsidRPr="00382917">
        <w:rPr>
          <w:rStyle w:val="FootnoteReference"/>
        </w:rPr>
        <w:footnoteReference w:id="63"/>
      </w:r>
    </w:p>
    <w:p w:rsidR="00EB6DAC" w:rsidRPr="00382917" w:rsidRDefault="00EB6DAC">
      <w:pPr>
        <w:widowControl/>
        <w:kinsoku/>
        <w:overflowPunct/>
        <w:textAlignment w:val="auto"/>
      </w:pPr>
      <w:r w:rsidRPr="00382917">
        <w:br w:type="page"/>
      </w:r>
    </w:p>
    <w:p w:rsidR="00540E31" w:rsidRPr="00382917" w:rsidRDefault="00540E31" w:rsidP="00665A7A">
      <w:pPr>
        <w:pStyle w:val="Textcts"/>
      </w:pPr>
      <w:proofErr w:type="gramStart"/>
      <w:r w:rsidRPr="00382917">
        <w:t>and</w:t>
      </w:r>
      <w:proofErr w:type="gramEnd"/>
      <w:r w:rsidR="00EE4FC3">
        <w:t xml:space="preserve"> </w:t>
      </w:r>
      <w:r w:rsidRPr="00382917">
        <w:t>warned</w:t>
      </w:r>
      <w:r w:rsidR="00EE4FC3">
        <w:t xml:space="preserve"> </w:t>
      </w:r>
      <w:r w:rsidRPr="00382917">
        <w:t>him</w:t>
      </w:r>
      <w:r w:rsidR="00EE4FC3">
        <w:t xml:space="preserve"> </w:t>
      </w:r>
      <w:r w:rsidRPr="00382917">
        <w:t>that</w:t>
      </w:r>
      <w:r w:rsidR="00EE4FC3">
        <w:t xml:space="preserve"> </w:t>
      </w:r>
      <w:r w:rsidRPr="00382917">
        <w:t>the</w:t>
      </w:r>
      <w:r w:rsidR="00EE4FC3">
        <w:t xml:space="preserve"> </w:t>
      </w:r>
      <w:r w:rsidRPr="00382917">
        <w:t>Báb</w:t>
      </w:r>
      <w:r w:rsidR="00EE4FC3">
        <w:t xml:space="preserve"> </w:t>
      </w:r>
      <w:r w:rsidRPr="00382917">
        <w:t>was</w:t>
      </w:r>
      <w:r w:rsidR="00EE4FC3">
        <w:t xml:space="preserve"> </w:t>
      </w:r>
      <w:r w:rsidRPr="00382917">
        <w:t>just</w:t>
      </w:r>
      <w:r w:rsidR="00EE4FC3">
        <w:t xml:space="preserve"> </w:t>
      </w:r>
      <w:r w:rsidRPr="00382917">
        <w:t>such</w:t>
      </w:r>
      <w:r w:rsidR="00EE4FC3">
        <w:t xml:space="preserve"> </w:t>
      </w:r>
      <w:r w:rsidRPr="00382917">
        <w:t>a</w:t>
      </w:r>
      <w:r w:rsidR="00EE4FC3">
        <w:t xml:space="preserve"> </w:t>
      </w:r>
      <w:r w:rsidRPr="00382917">
        <w:t>dangerous</w:t>
      </w:r>
      <w:r w:rsidR="00EE4FC3">
        <w:t xml:space="preserve"> </w:t>
      </w:r>
      <w:r w:rsidRPr="00382917">
        <w:t>threat</w:t>
      </w:r>
      <w:r w:rsidR="00EE4FC3">
        <w:t xml:space="preserve"> </w:t>
      </w:r>
      <w:r w:rsidRPr="00382917">
        <w:t>to</w:t>
      </w:r>
      <w:r w:rsidR="00EE4FC3">
        <w:t xml:space="preserve"> </w:t>
      </w:r>
      <w:r w:rsidRPr="00382917">
        <w:t>the</w:t>
      </w:r>
      <w:r w:rsidR="00EE4FC3">
        <w:t xml:space="preserve"> </w:t>
      </w:r>
      <w:r w:rsidRPr="00382917">
        <w:t>peace</w:t>
      </w:r>
      <w:r w:rsidR="00EE4FC3">
        <w:t xml:space="preserve"> </w:t>
      </w:r>
      <w:r w:rsidRPr="00382917">
        <w:t>of</w:t>
      </w:r>
      <w:r w:rsidR="00EE4FC3">
        <w:t xml:space="preserve"> </w:t>
      </w:r>
      <w:r w:rsidRPr="00382917">
        <w:t>the</w:t>
      </w:r>
      <w:r w:rsidR="00EE4FC3">
        <w:t xml:space="preserve"> </w:t>
      </w:r>
      <w:r w:rsidRPr="00382917">
        <w:t>realm</w:t>
      </w:r>
      <w:r w:rsidR="00C03C91">
        <w:t>.</w:t>
      </w:r>
      <w:r w:rsidR="00EE4FC3">
        <w:t xml:space="preserve">  </w:t>
      </w:r>
      <w:r w:rsidRPr="00382917">
        <w:t>The</w:t>
      </w:r>
      <w:r w:rsidR="00EE4FC3">
        <w:t xml:space="preserve"> </w:t>
      </w:r>
      <w:r w:rsidRPr="00382917">
        <w:t>Prime</w:t>
      </w:r>
      <w:r w:rsidR="00EE4FC3">
        <w:t xml:space="preserve"> </w:t>
      </w:r>
      <w:r w:rsidRPr="00382917">
        <w:t>Minister</w:t>
      </w:r>
      <w:r w:rsidR="009C713D" w:rsidRPr="00382917">
        <w:t>’</w:t>
      </w:r>
      <w:r w:rsidRPr="00382917">
        <w:t>s</w:t>
      </w:r>
      <w:r w:rsidR="00EE4FC3">
        <w:t xml:space="preserve"> </w:t>
      </w:r>
      <w:r w:rsidRPr="00382917">
        <w:t>influence</w:t>
      </w:r>
      <w:r w:rsidR="00EE4FC3">
        <w:t xml:space="preserve"> </w:t>
      </w:r>
      <w:r w:rsidRPr="00382917">
        <w:t>over</w:t>
      </w:r>
      <w:r w:rsidR="00EE4FC3">
        <w:t xml:space="preserve"> </w:t>
      </w:r>
      <w:r w:rsidRPr="00382917">
        <w:t>the</w:t>
      </w:r>
      <w:r w:rsidR="00EE4FC3">
        <w:t xml:space="preserve"> </w:t>
      </w:r>
      <w:r w:rsidRPr="00382917">
        <w:t>king</w:t>
      </w:r>
      <w:r w:rsidR="00EE4FC3">
        <w:t xml:space="preserve"> </w:t>
      </w:r>
      <w:r w:rsidRPr="00382917">
        <w:t>was</w:t>
      </w:r>
      <w:r w:rsidR="00EE4FC3">
        <w:t xml:space="preserve"> </w:t>
      </w:r>
      <w:r w:rsidRPr="00382917">
        <w:t>unlimited.</w:t>
      </w:r>
    </w:p>
    <w:p w:rsidR="00540E31" w:rsidRPr="00382917" w:rsidRDefault="00540E31" w:rsidP="00C26B14">
      <w:pPr>
        <w:pStyle w:val="Text"/>
      </w:pPr>
      <w:r w:rsidRPr="00382917">
        <w:t>Comte</w:t>
      </w:r>
      <w:r w:rsidR="00EE4FC3">
        <w:t xml:space="preserve"> </w:t>
      </w:r>
      <w:r w:rsidRPr="00382917">
        <w:t>de</w:t>
      </w:r>
      <w:r w:rsidR="00EE4FC3">
        <w:t xml:space="preserve"> </w:t>
      </w:r>
      <w:proofErr w:type="spellStart"/>
      <w:r w:rsidRPr="00382917">
        <w:t>Gobineau</w:t>
      </w:r>
      <w:proofErr w:type="spellEnd"/>
      <w:r w:rsidRPr="00382917">
        <w:t>,</w:t>
      </w:r>
      <w:r w:rsidR="00EE4FC3">
        <w:t xml:space="preserve"> </w:t>
      </w:r>
      <w:r w:rsidRPr="00382917">
        <w:t>the</w:t>
      </w:r>
      <w:r w:rsidR="00EE4FC3">
        <w:t xml:space="preserve"> </w:t>
      </w:r>
      <w:r w:rsidRPr="00382917">
        <w:t>French</w:t>
      </w:r>
      <w:r w:rsidR="00EE4FC3">
        <w:t xml:space="preserve"> </w:t>
      </w:r>
      <w:r w:rsidRPr="00382917">
        <w:t>historian,</w:t>
      </w:r>
      <w:r w:rsidR="00EE4FC3">
        <w:t xml:space="preserve"> </w:t>
      </w:r>
      <w:r w:rsidRPr="00382917">
        <w:t>wrote</w:t>
      </w:r>
      <w:r w:rsidR="00C03C91">
        <w:t>:</w:t>
      </w:r>
      <w:r w:rsidR="00EE4FC3">
        <w:t xml:space="preserve">  </w:t>
      </w:r>
      <w:r w:rsidR="009C713D" w:rsidRPr="00382917">
        <w:t>“</w:t>
      </w:r>
      <w:r w:rsidRPr="00382917">
        <w:t>His</w:t>
      </w:r>
      <w:r w:rsidR="00EE4FC3">
        <w:t xml:space="preserve"> </w:t>
      </w:r>
      <w:r w:rsidRPr="00382917">
        <w:t>[the</w:t>
      </w:r>
      <w:r w:rsidR="00EE4FC3">
        <w:t xml:space="preserve"> </w:t>
      </w:r>
      <w:r w:rsidRPr="00382917">
        <w:t>king</w:t>
      </w:r>
      <w:r w:rsidR="009C713D" w:rsidRPr="00382917">
        <w:t>’</w:t>
      </w:r>
      <w:r w:rsidRPr="00382917">
        <w:t>s]</w:t>
      </w:r>
      <w:r w:rsidR="00EE4FC3">
        <w:t xml:space="preserve"> </w:t>
      </w:r>
      <w:r w:rsidRPr="00382917">
        <w:t>disposition,</w:t>
      </w:r>
      <w:r w:rsidR="00EE4FC3">
        <w:t xml:space="preserve"> </w:t>
      </w:r>
      <w:r w:rsidRPr="00382917">
        <w:t>naturally</w:t>
      </w:r>
      <w:r w:rsidR="00EE4FC3">
        <w:t xml:space="preserve"> </w:t>
      </w:r>
      <w:r w:rsidRPr="00382917">
        <w:t>weak,</w:t>
      </w:r>
      <w:r w:rsidR="00EE4FC3">
        <w:t xml:space="preserve"> </w:t>
      </w:r>
      <w:r w:rsidRPr="00382917">
        <w:t>had</w:t>
      </w:r>
      <w:r w:rsidR="00EE4FC3">
        <w:t xml:space="preserve"> </w:t>
      </w:r>
      <w:r w:rsidRPr="00382917">
        <w:t>become</w:t>
      </w:r>
      <w:r w:rsidR="00EE4FC3">
        <w:t xml:space="preserve"> </w:t>
      </w:r>
      <w:r w:rsidRPr="00382917">
        <w:t>very</w:t>
      </w:r>
      <w:r w:rsidR="00EE4FC3">
        <w:t xml:space="preserve"> </w:t>
      </w:r>
      <w:r w:rsidRPr="00382917">
        <w:t>melancholy</w:t>
      </w:r>
      <w:r w:rsidR="00EE4FC3">
        <w:t xml:space="preserve"> </w:t>
      </w:r>
      <w:r w:rsidRPr="00382917">
        <w:t>and,</w:t>
      </w:r>
      <w:r w:rsidR="00EE4FC3">
        <w:t xml:space="preserve"> </w:t>
      </w:r>
      <w:r w:rsidRPr="00382917">
        <w:t>as</w:t>
      </w:r>
      <w:r w:rsidR="00EE4FC3">
        <w:t xml:space="preserve"> </w:t>
      </w:r>
      <w:r w:rsidRPr="00382917">
        <w:t>he</w:t>
      </w:r>
      <w:r w:rsidR="00EE4FC3">
        <w:t xml:space="preserve"> </w:t>
      </w:r>
      <w:r w:rsidRPr="00382917">
        <w:t>craved</w:t>
      </w:r>
      <w:r w:rsidR="00EE4FC3">
        <w:t xml:space="preserve"> </w:t>
      </w:r>
      <w:r w:rsidRPr="00382917">
        <w:t>love</w:t>
      </w:r>
      <w:r w:rsidR="00EE4FC3">
        <w:t xml:space="preserve"> </w:t>
      </w:r>
      <w:r w:rsidRPr="00382917">
        <w:t>and</w:t>
      </w:r>
      <w:r w:rsidR="00EE4FC3">
        <w:t xml:space="preserve"> </w:t>
      </w:r>
      <w:r w:rsidRPr="00382917">
        <w:t>could</w:t>
      </w:r>
      <w:r w:rsidR="00EE4FC3">
        <w:t xml:space="preserve"> </w:t>
      </w:r>
      <w:r w:rsidRPr="00382917">
        <w:t>not</w:t>
      </w:r>
      <w:r w:rsidR="00EE4FC3">
        <w:t xml:space="preserve"> </w:t>
      </w:r>
      <w:r w:rsidRPr="00382917">
        <w:t>find</w:t>
      </w:r>
      <w:r w:rsidR="00EE4FC3">
        <w:t xml:space="preserve"> </w:t>
      </w:r>
      <w:r w:rsidRPr="00382917">
        <w:t>it</w:t>
      </w:r>
      <w:r w:rsidR="00EE4FC3">
        <w:t xml:space="preserve"> </w:t>
      </w:r>
      <w:r w:rsidRPr="00382917">
        <w:t>in</w:t>
      </w:r>
      <w:r w:rsidR="00EE4FC3">
        <w:t xml:space="preserve"> </w:t>
      </w:r>
      <w:r w:rsidRPr="00382917">
        <w:t>his</w:t>
      </w:r>
      <w:r w:rsidR="00EE4FC3">
        <w:t xml:space="preserve"> </w:t>
      </w:r>
      <w:r w:rsidRPr="00382917">
        <w:t>family</w:t>
      </w:r>
      <w:r w:rsidR="00EE4FC3">
        <w:t xml:space="preserve"> </w:t>
      </w:r>
      <w:r w:rsidRPr="00382917">
        <w:t>either</w:t>
      </w:r>
      <w:r w:rsidR="00EE4FC3">
        <w:t xml:space="preserve"> </w:t>
      </w:r>
      <w:r w:rsidRPr="00382917">
        <w:t>with</w:t>
      </w:r>
      <w:r w:rsidR="00EE4FC3">
        <w:t xml:space="preserve"> </w:t>
      </w:r>
      <w:r w:rsidRPr="00382917">
        <w:t>his</w:t>
      </w:r>
      <w:r w:rsidR="00EE4FC3">
        <w:t xml:space="preserve"> </w:t>
      </w:r>
      <w:r w:rsidRPr="00382917">
        <w:t>wives</w:t>
      </w:r>
      <w:r w:rsidR="00EE4FC3">
        <w:t xml:space="preserve"> </w:t>
      </w:r>
      <w:r w:rsidRPr="00382917">
        <w:t>or</w:t>
      </w:r>
      <w:r w:rsidR="00EE4FC3">
        <w:t xml:space="preserve"> </w:t>
      </w:r>
      <w:r w:rsidRPr="00382917">
        <w:t>children,</w:t>
      </w:r>
      <w:r w:rsidR="00EE4FC3">
        <w:t xml:space="preserve"> </w:t>
      </w:r>
      <w:r w:rsidRPr="00382917">
        <w:t>he</w:t>
      </w:r>
      <w:r w:rsidR="00EE4FC3">
        <w:t xml:space="preserve"> </w:t>
      </w:r>
      <w:r w:rsidRPr="00382917">
        <w:t>had</w:t>
      </w:r>
      <w:r w:rsidR="00EE4FC3">
        <w:t xml:space="preserve"> </w:t>
      </w:r>
      <w:proofErr w:type="spellStart"/>
      <w:r w:rsidRPr="00382917">
        <w:t>centered</w:t>
      </w:r>
      <w:proofErr w:type="spellEnd"/>
      <w:r w:rsidR="00EE4FC3">
        <w:t xml:space="preserve"> </w:t>
      </w:r>
      <w:r w:rsidRPr="00382917">
        <w:t>all</w:t>
      </w:r>
      <w:r w:rsidR="00EE4FC3">
        <w:t xml:space="preserve"> </w:t>
      </w:r>
      <w:r w:rsidRPr="00382917">
        <w:t>his</w:t>
      </w:r>
      <w:r w:rsidR="00EE4FC3">
        <w:t xml:space="preserve"> </w:t>
      </w:r>
      <w:r w:rsidRPr="00382917">
        <w:t>affection</w:t>
      </w:r>
      <w:r w:rsidR="00EE4FC3">
        <w:t xml:space="preserve"> </w:t>
      </w:r>
      <w:r w:rsidRPr="00382917">
        <w:t>upon</w:t>
      </w:r>
      <w:r w:rsidR="00EE4FC3">
        <w:t xml:space="preserve"> </w:t>
      </w:r>
      <w:r w:rsidRPr="00382917">
        <w:t>the</w:t>
      </w:r>
      <w:r w:rsidR="00EE4FC3">
        <w:t xml:space="preserve"> </w:t>
      </w:r>
      <w:r w:rsidRPr="00382917">
        <w:t>aged</w:t>
      </w:r>
      <w:r w:rsidR="00EE4FC3">
        <w:t xml:space="preserve"> </w:t>
      </w:r>
      <w:r w:rsidRPr="00382917">
        <w:t>Mullá</w:t>
      </w:r>
      <w:r w:rsidR="00EE4FC3">
        <w:t xml:space="preserve"> </w:t>
      </w:r>
      <w:r w:rsidRPr="00382917">
        <w:t>[Ḥájí</w:t>
      </w:r>
      <w:r w:rsidR="00EE4FC3">
        <w:t xml:space="preserve"> </w:t>
      </w:r>
      <w:r w:rsidRPr="00382917">
        <w:t>Mírzá</w:t>
      </w:r>
      <w:r w:rsidR="00EE4FC3">
        <w:t xml:space="preserve"> </w:t>
      </w:r>
      <w:r w:rsidRPr="00382917">
        <w:t>Áqásí],</w:t>
      </w:r>
      <w:r w:rsidR="00EE4FC3">
        <w:t xml:space="preserve"> </w:t>
      </w:r>
      <w:r w:rsidRPr="00382917">
        <w:t>his</w:t>
      </w:r>
      <w:r w:rsidR="00EE4FC3">
        <w:t xml:space="preserve"> </w:t>
      </w:r>
      <w:r w:rsidRPr="00382917">
        <w:t>tutor</w:t>
      </w:r>
      <w:r w:rsidR="00C03C91">
        <w:t>.</w:t>
      </w:r>
      <w:r w:rsidR="00EE4FC3">
        <w:t xml:space="preserve">  </w:t>
      </w:r>
      <w:r w:rsidRPr="00382917">
        <w:t>He</w:t>
      </w:r>
      <w:r w:rsidR="00EE4FC3">
        <w:t xml:space="preserve"> </w:t>
      </w:r>
      <w:r w:rsidRPr="00382917">
        <w:t>made</w:t>
      </w:r>
      <w:r w:rsidR="00EE4FC3">
        <w:t xml:space="preserve"> </w:t>
      </w:r>
      <w:r w:rsidRPr="00382917">
        <w:t>of</w:t>
      </w:r>
      <w:r w:rsidR="00EE4FC3">
        <w:t xml:space="preserve"> </w:t>
      </w:r>
      <w:r w:rsidRPr="00382917">
        <w:t>him</w:t>
      </w:r>
      <w:r w:rsidR="00EE4FC3">
        <w:t xml:space="preserve"> </w:t>
      </w:r>
      <w:r w:rsidRPr="00382917">
        <w:t>his</w:t>
      </w:r>
      <w:r w:rsidR="00EE4FC3">
        <w:t xml:space="preserve"> </w:t>
      </w:r>
      <w:r w:rsidRPr="00382917">
        <w:t>only</w:t>
      </w:r>
      <w:r w:rsidR="00EE4FC3">
        <w:t xml:space="preserve"> </w:t>
      </w:r>
      <w:r w:rsidRPr="00382917">
        <w:t>friend,</w:t>
      </w:r>
      <w:r w:rsidR="00EE4FC3">
        <w:t xml:space="preserve"> </w:t>
      </w:r>
      <w:r w:rsidRPr="00382917">
        <w:t>his</w:t>
      </w:r>
      <w:r w:rsidR="00EE4FC3">
        <w:t xml:space="preserve"> </w:t>
      </w:r>
      <w:r w:rsidRPr="00382917">
        <w:t>confidant,</w:t>
      </w:r>
      <w:r w:rsidR="00EE4FC3">
        <w:t xml:space="preserve"> </w:t>
      </w:r>
      <w:r w:rsidRPr="00382917">
        <w:t>then</w:t>
      </w:r>
      <w:r w:rsidR="00EE4FC3">
        <w:t xml:space="preserve"> </w:t>
      </w:r>
      <w:r w:rsidRPr="00382917">
        <w:t>his</w:t>
      </w:r>
      <w:r w:rsidR="00EE4FC3">
        <w:t xml:space="preserve"> </w:t>
      </w:r>
      <w:r w:rsidRPr="00382917">
        <w:t>first</w:t>
      </w:r>
      <w:r w:rsidR="00EE4FC3">
        <w:t xml:space="preserve"> </w:t>
      </w:r>
      <w:r w:rsidRPr="00382917">
        <w:t>and</w:t>
      </w:r>
      <w:r w:rsidR="00EE4FC3">
        <w:t xml:space="preserve"> </w:t>
      </w:r>
      <w:r w:rsidRPr="00382917">
        <w:t>all-powerful</w:t>
      </w:r>
      <w:r w:rsidR="00EE4FC3">
        <w:t xml:space="preserve"> </w:t>
      </w:r>
      <w:r w:rsidRPr="00382917">
        <w:t>minister,</w:t>
      </w:r>
      <w:r w:rsidR="00EE4FC3">
        <w:t xml:space="preserve"> </w:t>
      </w:r>
      <w:r w:rsidRPr="00382917">
        <w:t>even</w:t>
      </w:r>
      <w:r w:rsidR="00EE4FC3">
        <w:t xml:space="preserve"> </w:t>
      </w:r>
      <w:r w:rsidRPr="00382917">
        <w:t>his</w:t>
      </w:r>
      <w:r w:rsidR="00EE4FC3">
        <w:t xml:space="preserve"> </w:t>
      </w:r>
      <w:r w:rsidRPr="00382917">
        <w:t>god!</w:t>
      </w:r>
      <w:r w:rsidR="009C713D" w:rsidRPr="00382917">
        <w:t>”</w:t>
      </w:r>
      <w:r w:rsidR="004E50EF">
        <w:rPr>
          <w:rStyle w:val="FootnoteReference"/>
        </w:rPr>
        <w:footnoteReference w:id="64"/>
      </w:r>
      <w:r w:rsidR="00EE4FC3">
        <w:t xml:space="preserve">  </w:t>
      </w:r>
      <w:r w:rsidRPr="00382917">
        <w:t>The</w:t>
      </w:r>
      <w:r w:rsidR="00EE4FC3">
        <w:t xml:space="preserve"> </w:t>
      </w:r>
      <w:r w:rsidR="001713B3" w:rsidRPr="001713B3">
        <w:rPr>
          <w:i/>
          <w:iCs/>
        </w:rPr>
        <w:t>Journal</w:t>
      </w:r>
      <w:r w:rsidR="00EE4FC3">
        <w:rPr>
          <w:i/>
          <w:iCs/>
        </w:rPr>
        <w:t xml:space="preserve"> </w:t>
      </w:r>
      <w:proofErr w:type="spellStart"/>
      <w:r w:rsidR="001713B3" w:rsidRPr="001713B3">
        <w:rPr>
          <w:i/>
          <w:iCs/>
        </w:rPr>
        <w:t>Asiatique</w:t>
      </w:r>
      <w:proofErr w:type="spellEnd"/>
      <w:r w:rsidR="00EE4FC3">
        <w:t xml:space="preserve"> </w:t>
      </w:r>
      <w:r w:rsidRPr="00382917">
        <w:t>states</w:t>
      </w:r>
      <w:r w:rsidR="00EE4FC3">
        <w:t xml:space="preserve"> </w:t>
      </w:r>
      <w:r w:rsidRPr="00382917">
        <w:t>that</w:t>
      </w:r>
      <w:r w:rsidR="00EE4FC3">
        <w:t xml:space="preserve"> </w:t>
      </w:r>
      <w:r w:rsidRPr="00382917">
        <w:t>the</w:t>
      </w:r>
      <w:r w:rsidR="00EE4FC3">
        <w:t xml:space="preserve"> </w:t>
      </w:r>
      <w:r w:rsidRPr="00382917">
        <w:t>Prime</w:t>
      </w:r>
      <w:r w:rsidR="00EE4FC3">
        <w:t xml:space="preserve"> </w:t>
      </w:r>
      <w:r w:rsidRPr="00382917">
        <w:t>Minister</w:t>
      </w:r>
      <w:r w:rsidR="00EE4FC3">
        <w:t xml:space="preserve"> </w:t>
      </w:r>
      <w:r w:rsidRPr="00382917">
        <w:t>gained</w:t>
      </w:r>
      <w:r w:rsidR="00EE4FC3">
        <w:t xml:space="preserve"> </w:t>
      </w:r>
      <w:r w:rsidRPr="00382917">
        <w:t>such</w:t>
      </w:r>
      <w:r w:rsidR="00EE4FC3">
        <w:t xml:space="preserve"> </w:t>
      </w:r>
      <w:r w:rsidRPr="00382917">
        <w:t>power</w:t>
      </w:r>
      <w:r w:rsidR="00EE4FC3">
        <w:t xml:space="preserve"> </w:t>
      </w:r>
      <w:r w:rsidRPr="00382917">
        <w:t>over</w:t>
      </w:r>
      <w:r w:rsidR="00EE4FC3">
        <w:t xml:space="preserve"> </w:t>
      </w:r>
      <w:r w:rsidRPr="00382917">
        <w:t>the</w:t>
      </w:r>
      <w:r w:rsidR="00EE4FC3">
        <w:t xml:space="preserve"> </w:t>
      </w:r>
      <w:r w:rsidRPr="00382917">
        <w:t>king</w:t>
      </w:r>
      <w:r w:rsidR="00EE4FC3">
        <w:t xml:space="preserve"> </w:t>
      </w:r>
      <w:r w:rsidRPr="00382917">
        <w:t>that</w:t>
      </w:r>
      <w:r w:rsidR="00EE4FC3">
        <w:t xml:space="preserve"> </w:t>
      </w:r>
      <w:r w:rsidRPr="00382917">
        <w:t>one</w:t>
      </w:r>
      <w:r w:rsidR="00EE4FC3">
        <w:t xml:space="preserve"> </w:t>
      </w:r>
      <w:r w:rsidRPr="00382917">
        <w:t>could</w:t>
      </w:r>
      <w:r w:rsidR="00EE4FC3">
        <w:t xml:space="preserve"> </w:t>
      </w:r>
      <w:r w:rsidRPr="00382917">
        <w:t>truly</w:t>
      </w:r>
      <w:r w:rsidR="00EE4FC3">
        <w:t xml:space="preserve"> </w:t>
      </w:r>
      <w:r w:rsidRPr="00382917">
        <w:t>say</w:t>
      </w:r>
      <w:r w:rsidR="00EE4FC3">
        <w:t xml:space="preserve"> </w:t>
      </w:r>
      <w:r w:rsidRPr="00382917">
        <w:t>that</w:t>
      </w:r>
      <w:r w:rsidR="00EE4FC3">
        <w:t xml:space="preserve"> </w:t>
      </w:r>
      <w:r w:rsidRPr="00382917">
        <w:t>the</w:t>
      </w:r>
      <w:r w:rsidR="00EE4FC3">
        <w:t xml:space="preserve"> </w:t>
      </w:r>
      <w:r w:rsidRPr="00382917">
        <w:t>Prime</w:t>
      </w:r>
      <w:r w:rsidR="00EE4FC3">
        <w:t xml:space="preserve"> </w:t>
      </w:r>
      <w:r w:rsidRPr="00382917">
        <w:t>Minister</w:t>
      </w:r>
      <w:r w:rsidR="00EE4FC3">
        <w:t xml:space="preserve"> </w:t>
      </w:r>
      <w:r w:rsidRPr="00382917">
        <w:t>was</w:t>
      </w:r>
      <w:r w:rsidR="00EE4FC3">
        <w:t xml:space="preserve"> </w:t>
      </w:r>
      <w:r w:rsidRPr="00382917">
        <w:t>the</w:t>
      </w:r>
      <w:r w:rsidR="00EE4FC3">
        <w:t xml:space="preserve"> </w:t>
      </w:r>
      <w:r w:rsidRPr="00382917">
        <w:t>real</w:t>
      </w:r>
      <w:r w:rsidR="00EE4FC3">
        <w:t xml:space="preserve"> </w:t>
      </w:r>
      <w:r w:rsidRPr="00382917">
        <w:t>sovereign.</w:t>
      </w:r>
      <w:r w:rsidR="00C26B14">
        <w:rPr>
          <w:rStyle w:val="FootnoteReference"/>
        </w:rPr>
        <w:footnoteReference w:id="65"/>
      </w:r>
      <w:r w:rsidR="00EE4FC3">
        <w:t xml:space="preserve">  </w:t>
      </w:r>
      <w:r w:rsidRPr="00382917">
        <w:t>P</w:t>
      </w:r>
      <w:r w:rsidR="00C03C91">
        <w:t>.</w:t>
      </w:r>
      <w:r w:rsidR="00EE4FC3">
        <w:t xml:space="preserve"> </w:t>
      </w:r>
      <w:r w:rsidRPr="00382917">
        <w:t>M.</w:t>
      </w:r>
      <w:r w:rsidR="00EE4FC3">
        <w:t xml:space="preserve"> </w:t>
      </w:r>
      <w:r w:rsidRPr="00382917">
        <w:t>Sykes</w:t>
      </w:r>
      <w:r w:rsidR="00EE4FC3">
        <w:t xml:space="preserve"> </w:t>
      </w:r>
      <w:r w:rsidRPr="00382917">
        <w:t>in</w:t>
      </w:r>
      <w:r w:rsidR="00EE4FC3">
        <w:t xml:space="preserve"> </w:t>
      </w:r>
      <w:r w:rsidRPr="00382917">
        <w:t>his</w:t>
      </w:r>
      <w:r w:rsidR="00EE4FC3">
        <w:t xml:space="preserve"> </w:t>
      </w:r>
      <w:r w:rsidRPr="00382917">
        <w:rPr>
          <w:i/>
          <w:iCs/>
        </w:rPr>
        <w:t>A</w:t>
      </w:r>
      <w:r w:rsidR="00EE4FC3">
        <w:rPr>
          <w:i/>
          <w:iCs/>
        </w:rPr>
        <w:t xml:space="preserve"> </w:t>
      </w:r>
      <w:r w:rsidRPr="00382917">
        <w:rPr>
          <w:i/>
          <w:iCs/>
        </w:rPr>
        <w:t>History</w:t>
      </w:r>
      <w:r w:rsidR="00EE4FC3">
        <w:rPr>
          <w:i/>
          <w:iCs/>
        </w:rPr>
        <w:t xml:space="preserve"> </w:t>
      </w:r>
      <w:r w:rsidRPr="00382917">
        <w:rPr>
          <w:i/>
          <w:iCs/>
        </w:rPr>
        <w:t>of</w:t>
      </w:r>
      <w:r w:rsidR="00EE4FC3">
        <w:rPr>
          <w:i/>
          <w:iCs/>
        </w:rPr>
        <w:t xml:space="preserve"> </w:t>
      </w:r>
      <w:r w:rsidRPr="00382917">
        <w:rPr>
          <w:i/>
          <w:iCs/>
        </w:rPr>
        <w:t>Persia</w:t>
      </w:r>
      <w:r w:rsidR="00EE4FC3">
        <w:t xml:space="preserve"> </w:t>
      </w:r>
      <w:r w:rsidRPr="00382917">
        <w:t>states,</w:t>
      </w:r>
      <w:r w:rsidR="00EE4FC3">
        <w:t xml:space="preserve"> </w:t>
      </w:r>
      <w:r w:rsidR="009C713D" w:rsidRPr="00382917">
        <w:t>“</w:t>
      </w:r>
      <w:r w:rsidR="00665A7A" w:rsidRPr="00382917">
        <w:t>Ḥ</w:t>
      </w:r>
      <w:r w:rsidRPr="00382917">
        <w:t>ájí</w:t>
      </w:r>
      <w:r w:rsidR="00EE4FC3">
        <w:t xml:space="preserve"> </w:t>
      </w:r>
      <w:r w:rsidRPr="00382917">
        <w:t>Mírzá</w:t>
      </w:r>
      <w:r w:rsidR="00EE4FC3">
        <w:t xml:space="preserve"> </w:t>
      </w:r>
      <w:r w:rsidRPr="00382917">
        <w:t>Áqásí,</w:t>
      </w:r>
      <w:r w:rsidR="00EE4FC3">
        <w:t xml:space="preserve"> </w:t>
      </w:r>
      <w:r w:rsidRPr="00382917">
        <w:t>who</w:t>
      </w:r>
      <w:r w:rsidR="00EE4FC3">
        <w:t xml:space="preserve"> </w:t>
      </w:r>
      <w:r w:rsidRPr="00382917">
        <w:t>had</w:t>
      </w:r>
      <w:r w:rsidR="00EE4FC3">
        <w:t xml:space="preserve"> </w:t>
      </w:r>
      <w:r w:rsidRPr="00382917">
        <w:t>been</w:t>
      </w:r>
      <w:r w:rsidR="00EE4FC3">
        <w:t xml:space="preserve"> </w:t>
      </w:r>
      <w:r w:rsidRPr="00382917">
        <w:t>its</w:t>
      </w:r>
      <w:r w:rsidR="00EE4FC3">
        <w:t xml:space="preserve"> </w:t>
      </w:r>
      <w:r w:rsidRPr="00382917">
        <w:t>virtual</w:t>
      </w:r>
      <w:r w:rsidR="00EE4FC3">
        <w:t xml:space="preserve"> </w:t>
      </w:r>
      <w:r w:rsidRPr="00382917">
        <w:t>ruler</w:t>
      </w:r>
      <w:r w:rsidR="00EE4FC3">
        <w:t xml:space="preserve"> </w:t>
      </w:r>
      <w:r w:rsidRPr="00382917">
        <w:t>for</w:t>
      </w:r>
      <w:r w:rsidR="00EE4FC3">
        <w:t xml:space="preserve"> </w:t>
      </w:r>
      <w:r w:rsidRPr="00382917">
        <w:t>thirteen</w:t>
      </w:r>
      <w:r w:rsidR="00EE4FC3">
        <w:t xml:space="preserve"> </w:t>
      </w:r>
      <w:r w:rsidRPr="00382917">
        <w:t>years</w:t>
      </w:r>
      <w:r w:rsidR="00EE4FC3">
        <w:t xml:space="preserve"> </w:t>
      </w:r>
      <w:r w:rsidRPr="00382917">
        <w:t>was</w:t>
      </w:r>
      <w:r w:rsidR="00EE4FC3">
        <w:t xml:space="preserve"> </w:t>
      </w:r>
      <w:r w:rsidRPr="00382917">
        <w:t>utterly</w:t>
      </w:r>
      <w:r w:rsidR="00EE4FC3">
        <w:t xml:space="preserve"> </w:t>
      </w:r>
      <w:r w:rsidRPr="00382917">
        <w:t>ignorant</w:t>
      </w:r>
      <w:r w:rsidR="00EE4FC3">
        <w:t xml:space="preserve"> </w:t>
      </w:r>
      <w:r w:rsidRPr="00382917">
        <w:t>of</w:t>
      </w:r>
      <w:r w:rsidR="00EE4FC3">
        <w:t xml:space="preserve"> </w:t>
      </w:r>
      <w:r w:rsidRPr="00382917">
        <w:t>statesmanship</w:t>
      </w:r>
      <w:r w:rsidR="00EE4FC3">
        <w:t xml:space="preserve"> </w:t>
      </w:r>
      <w:r w:rsidR="00F04416" w:rsidRPr="00382917">
        <w:t>…</w:t>
      </w:r>
      <w:r w:rsidR="00EE4FC3">
        <w:t xml:space="preserve"> </w:t>
      </w:r>
      <w:r w:rsidRPr="00382917">
        <w:t>yet</w:t>
      </w:r>
      <w:r w:rsidR="00EE4FC3">
        <w:t xml:space="preserve"> </w:t>
      </w:r>
      <w:r w:rsidRPr="00382917">
        <w:t>too</w:t>
      </w:r>
      <w:r w:rsidR="00EE4FC3">
        <w:t xml:space="preserve"> </w:t>
      </w:r>
      <w:r w:rsidRPr="00382917">
        <w:t>vain</w:t>
      </w:r>
      <w:r w:rsidR="00EE4FC3">
        <w:t xml:space="preserve"> </w:t>
      </w:r>
      <w:r w:rsidRPr="00382917">
        <w:t>to</w:t>
      </w:r>
      <w:r w:rsidR="00EE4FC3">
        <w:t xml:space="preserve"> </w:t>
      </w:r>
      <w:r w:rsidRPr="00382917">
        <w:t>receive</w:t>
      </w:r>
      <w:r w:rsidR="00EE4FC3">
        <w:t xml:space="preserve"> </w:t>
      </w:r>
      <w:r w:rsidRPr="00382917">
        <w:t>instruction</w:t>
      </w:r>
      <w:r w:rsidR="00EE4FC3">
        <w:t xml:space="preserve"> </w:t>
      </w:r>
      <w:r w:rsidR="00F04416" w:rsidRPr="00382917">
        <w:t>…</w:t>
      </w:r>
      <w:r w:rsidR="00EE4FC3">
        <w:t xml:space="preserve"> </w:t>
      </w:r>
      <w:r w:rsidRPr="00382917">
        <w:t>brutal</w:t>
      </w:r>
      <w:r w:rsidR="00EE4FC3">
        <w:t xml:space="preserve"> </w:t>
      </w:r>
      <w:r w:rsidRPr="00382917">
        <w:t>in</w:t>
      </w:r>
      <w:r w:rsidR="00EE4FC3">
        <w:t xml:space="preserve"> </w:t>
      </w:r>
      <w:r w:rsidRPr="00382917">
        <w:t>his</w:t>
      </w:r>
      <w:r w:rsidR="00EE4FC3">
        <w:t xml:space="preserve"> </w:t>
      </w:r>
      <w:r w:rsidRPr="00382917">
        <w:t>language;</w:t>
      </w:r>
      <w:r w:rsidR="00EE4FC3">
        <w:t xml:space="preserve"> </w:t>
      </w:r>
      <w:r w:rsidRPr="00382917">
        <w:t>insolent</w:t>
      </w:r>
      <w:r w:rsidR="00EE4FC3">
        <w:t xml:space="preserve"> </w:t>
      </w:r>
      <w:r w:rsidRPr="00382917">
        <w:t>in</w:t>
      </w:r>
      <w:r w:rsidR="00EE4FC3">
        <w:t xml:space="preserve"> </w:t>
      </w:r>
      <w:r w:rsidRPr="00382917">
        <w:t>his</w:t>
      </w:r>
      <w:r w:rsidR="00EE4FC3">
        <w:t xml:space="preserve"> </w:t>
      </w:r>
      <w:proofErr w:type="spellStart"/>
      <w:r w:rsidRPr="00382917">
        <w:t>demeanor</w:t>
      </w:r>
      <w:proofErr w:type="spellEnd"/>
      <w:r w:rsidRPr="00382917">
        <w:t>;</w:t>
      </w:r>
      <w:r w:rsidR="00EE4FC3">
        <w:t xml:space="preserve"> </w:t>
      </w:r>
      <w:r w:rsidRPr="00382917">
        <w:t>indolent</w:t>
      </w:r>
      <w:r w:rsidR="00EE4FC3">
        <w:t xml:space="preserve"> </w:t>
      </w:r>
      <w:r w:rsidRPr="00382917">
        <w:t>in</w:t>
      </w:r>
      <w:r w:rsidR="00EE4FC3">
        <w:t xml:space="preserve"> </w:t>
      </w:r>
      <w:r w:rsidRPr="00382917">
        <w:t>his</w:t>
      </w:r>
      <w:r w:rsidR="00EE4FC3">
        <w:t xml:space="preserve"> </w:t>
      </w:r>
      <w:r w:rsidRPr="00382917">
        <w:t>habits;</w:t>
      </w:r>
      <w:r w:rsidR="00EE4FC3">
        <w:t xml:space="preserve"> </w:t>
      </w:r>
      <w:r w:rsidRPr="00382917">
        <w:t>he</w:t>
      </w:r>
      <w:r w:rsidR="00EE4FC3">
        <w:t xml:space="preserve"> </w:t>
      </w:r>
      <w:r w:rsidRPr="00382917">
        <w:t>brought</w:t>
      </w:r>
      <w:r w:rsidR="00EE4FC3">
        <w:t xml:space="preserve"> </w:t>
      </w:r>
      <w:r w:rsidRPr="00382917">
        <w:t>the</w:t>
      </w:r>
      <w:r w:rsidR="00EE4FC3">
        <w:t xml:space="preserve"> </w:t>
      </w:r>
      <w:r w:rsidRPr="00382917">
        <w:t>exchequer</w:t>
      </w:r>
      <w:r w:rsidR="00EE4FC3">
        <w:t xml:space="preserve"> </w:t>
      </w:r>
      <w:r w:rsidRPr="00382917">
        <w:t>to</w:t>
      </w:r>
      <w:r w:rsidR="00EE4FC3">
        <w:t xml:space="preserve"> </w:t>
      </w:r>
      <w:r w:rsidRPr="00382917">
        <w:t>the</w:t>
      </w:r>
      <w:r w:rsidR="00EE4FC3">
        <w:t xml:space="preserve"> </w:t>
      </w:r>
      <w:r w:rsidRPr="00382917">
        <w:t>verge</w:t>
      </w:r>
      <w:r w:rsidR="00EE4FC3">
        <w:t xml:space="preserve"> </w:t>
      </w:r>
      <w:r w:rsidRPr="00382917">
        <w:t>of</w:t>
      </w:r>
      <w:r w:rsidR="00EE4FC3">
        <w:t xml:space="preserve"> </w:t>
      </w:r>
      <w:r w:rsidRPr="00382917">
        <w:t>bankruptcy</w:t>
      </w:r>
      <w:r w:rsidR="00EE4FC3">
        <w:t xml:space="preserve"> </w:t>
      </w:r>
      <w:r w:rsidRPr="00382917">
        <w:t>and</w:t>
      </w:r>
      <w:r w:rsidR="00EE4FC3">
        <w:t xml:space="preserve"> </w:t>
      </w:r>
      <w:r w:rsidRPr="00382917">
        <w:t>the</w:t>
      </w:r>
      <w:r w:rsidR="00EE4FC3">
        <w:t xml:space="preserve"> </w:t>
      </w:r>
      <w:r w:rsidRPr="00382917">
        <w:t>country</w:t>
      </w:r>
      <w:r w:rsidR="00EE4FC3">
        <w:t xml:space="preserve"> </w:t>
      </w:r>
      <w:r w:rsidRPr="00382917">
        <w:t>to</w:t>
      </w:r>
      <w:r w:rsidR="00EE4FC3">
        <w:t xml:space="preserve"> </w:t>
      </w:r>
      <w:r w:rsidRPr="00382917">
        <w:t>the</w:t>
      </w:r>
      <w:r w:rsidR="00EE4FC3">
        <w:t xml:space="preserve"> </w:t>
      </w:r>
      <w:r w:rsidRPr="00382917">
        <w:t>brink</w:t>
      </w:r>
      <w:r w:rsidR="00EE4FC3">
        <w:t xml:space="preserve"> </w:t>
      </w:r>
      <w:r w:rsidRPr="00382917">
        <w:t>of</w:t>
      </w:r>
      <w:r w:rsidR="00EE4FC3">
        <w:t xml:space="preserve"> </w:t>
      </w:r>
      <w:r w:rsidRPr="00382917">
        <w:t>revolution.</w:t>
      </w:r>
      <w:r w:rsidR="009C713D" w:rsidRPr="00382917">
        <w:t>”</w:t>
      </w:r>
    </w:p>
    <w:p w:rsidR="00540E31" w:rsidRPr="00382917" w:rsidRDefault="00540E31" w:rsidP="00665A7A">
      <w:pPr>
        <w:pStyle w:val="Text"/>
      </w:pPr>
      <w:r w:rsidRPr="00382917">
        <w:t>Ḥájí</w:t>
      </w:r>
      <w:r w:rsidR="00EE4FC3">
        <w:t xml:space="preserve"> </w:t>
      </w:r>
      <w:r w:rsidRPr="00382917">
        <w:t>Mírzá</w:t>
      </w:r>
      <w:r w:rsidR="00EE4FC3">
        <w:t xml:space="preserve"> </w:t>
      </w:r>
      <w:r w:rsidRPr="00382917">
        <w:t>Áqásí</w:t>
      </w:r>
      <w:r w:rsidR="00EE4FC3">
        <w:t xml:space="preserve"> </w:t>
      </w:r>
      <w:r w:rsidRPr="00382917">
        <w:t>finally</w:t>
      </w:r>
      <w:r w:rsidR="00EE4FC3">
        <w:t xml:space="preserve"> </w:t>
      </w:r>
      <w:r w:rsidRPr="00382917">
        <w:t>persuaded</w:t>
      </w:r>
      <w:r w:rsidR="00EE4FC3">
        <w:t xml:space="preserve"> </w:t>
      </w:r>
      <w:r w:rsidRPr="00382917">
        <w:t>Muḥammad</w:t>
      </w:r>
      <w:r w:rsidR="00EE4FC3">
        <w:t xml:space="preserve"> </w:t>
      </w:r>
      <w:r w:rsidR="004F6339" w:rsidRPr="004F6339">
        <w:rPr>
          <w:u w:val="single"/>
        </w:rPr>
        <w:t>Sh</w:t>
      </w:r>
      <w:r w:rsidR="004F6339" w:rsidRPr="00382917">
        <w:t>áh</w:t>
      </w:r>
      <w:r w:rsidRPr="00382917">
        <w:t>,</w:t>
      </w:r>
      <w:r w:rsidR="00EE4FC3">
        <w:t xml:space="preserve"> </w:t>
      </w:r>
      <w:r w:rsidRPr="00382917">
        <w:t>to</w:t>
      </w:r>
      <w:r w:rsidR="00EE4FC3">
        <w:t xml:space="preserve"> </w:t>
      </w:r>
      <w:r w:rsidRPr="00382917">
        <w:t>send</w:t>
      </w:r>
      <w:r w:rsidR="00EE4FC3">
        <w:t xml:space="preserve"> </w:t>
      </w:r>
      <w:r w:rsidRPr="00382917">
        <w:t>the</w:t>
      </w:r>
      <w:r w:rsidR="00EE4FC3">
        <w:t xml:space="preserve"> </w:t>
      </w:r>
      <w:r w:rsidRPr="00382917">
        <w:t>Báb</w:t>
      </w:r>
      <w:r w:rsidR="00EE4FC3">
        <w:t xml:space="preserve"> </w:t>
      </w:r>
      <w:r w:rsidRPr="00382917">
        <w:t>to</w:t>
      </w:r>
      <w:r w:rsidR="00EE4FC3">
        <w:t xml:space="preserve"> </w:t>
      </w:r>
      <w:r w:rsidRPr="00382917">
        <w:t>a</w:t>
      </w:r>
      <w:r w:rsidR="00EE4FC3">
        <w:t xml:space="preserve"> </w:t>
      </w:r>
      <w:r w:rsidRPr="00382917">
        <w:t>remote</w:t>
      </w:r>
      <w:r w:rsidR="00EE4FC3">
        <w:t xml:space="preserve"> </w:t>
      </w:r>
      <w:r w:rsidRPr="00382917">
        <w:t>fortress</w:t>
      </w:r>
      <w:r w:rsidR="00EE4FC3">
        <w:t xml:space="preserve"> </w:t>
      </w:r>
      <w:r w:rsidRPr="00382917">
        <w:t>called</w:t>
      </w:r>
      <w:r w:rsidR="00EE4FC3">
        <w:t xml:space="preserve"> </w:t>
      </w:r>
      <w:r w:rsidRPr="00382917">
        <w:t>Máh-Kú.</w:t>
      </w:r>
    </w:p>
    <w:p w:rsidR="00E13D49" w:rsidRPr="00382917" w:rsidRDefault="00540E31" w:rsidP="004612FD">
      <w:pPr>
        <w:pStyle w:val="Text"/>
      </w:pPr>
      <w:r w:rsidRPr="00382917">
        <w:t>According</w:t>
      </w:r>
      <w:r w:rsidR="00EE4FC3">
        <w:t xml:space="preserve"> </w:t>
      </w:r>
      <w:r w:rsidRPr="00382917">
        <w:t>to</w:t>
      </w:r>
      <w:r w:rsidR="00EE4FC3">
        <w:t xml:space="preserve"> </w:t>
      </w:r>
      <w:r w:rsidRPr="00382917">
        <w:t>one</w:t>
      </w:r>
      <w:r w:rsidR="00EE4FC3">
        <w:t xml:space="preserve"> </w:t>
      </w:r>
      <w:r w:rsidRPr="00382917">
        <w:t>historian,</w:t>
      </w:r>
      <w:r w:rsidR="00EE4FC3">
        <w:t xml:space="preserve"> </w:t>
      </w:r>
      <w:r w:rsidRPr="00382917">
        <w:t>the</w:t>
      </w:r>
      <w:r w:rsidR="00EE4FC3">
        <w:t xml:space="preserve"> </w:t>
      </w:r>
      <w:r w:rsidRPr="00382917">
        <w:t>king</w:t>
      </w:r>
      <w:r w:rsidR="00EE4FC3">
        <w:t xml:space="preserve"> </w:t>
      </w:r>
      <w:r w:rsidRPr="00382917">
        <w:t>had</w:t>
      </w:r>
      <w:r w:rsidR="00EE4FC3">
        <w:t xml:space="preserve"> </w:t>
      </w:r>
      <w:r w:rsidRPr="00382917">
        <w:t>been</w:t>
      </w:r>
      <w:r w:rsidR="00EE4FC3">
        <w:t xml:space="preserve"> </w:t>
      </w:r>
      <w:r w:rsidRPr="00382917">
        <w:t>suffering</w:t>
      </w:r>
      <w:r w:rsidR="00EE4FC3">
        <w:t xml:space="preserve"> </w:t>
      </w:r>
      <w:r w:rsidRPr="00382917">
        <w:t>from</w:t>
      </w:r>
      <w:r w:rsidR="00EE4FC3">
        <w:t xml:space="preserve"> </w:t>
      </w:r>
      <w:r w:rsidRPr="00382917">
        <w:t>illness</w:t>
      </w:r>
      <w:r w:rsidR="00EE4FC3">
        <w:t xml:space="preserve"> </w:t>
      </w:r>
      <w:r w:rsidRPr="00382917">
        <w:t>for</w:t>
      </w:r>
      <w:r w:rsidR="00EE4FC3">
        <w:t xml:space="preserve"> </w:t>
      </w:r>
      <w:r w:rsidRPr="00382917">
        <w:t>some</w:t>
      </w:r>
      <w:r w:rsidR="00EE4FC3">
        <w:t xml:space="preserve"> </w:t>
      </w:r>
      <w:r w:rsidRPr="00382917">
        <w:t>time</w:t>
      </w:r>
      <w:r w:rsidR="00C03C91">
        <w:t>.</w:t>
      </w:r>
      <w:r w:rsidR="00EE4FC3">
        <w:t xml:space="preserve">  </w:t>
      </w:r>
      <w:r w:rsidRPr="00382917">
        <w:t>The</w:t>
      </w:r>
      <w:r w:rsidR="00EE4FC3">
        <w:t xml:space="preserve"> </w:t>
      </w:r>
      <w:r w:rsidRPr="00382917">
        <w:t>Báb</w:t>
      </w:r>
      <w:r w:rsidR="00EE4FC3">
        <w:t xml:space="preserve"> </w:t>
      </w:r>
      <w:r w:rsidRPr="00382917">
        <w:t>had</w:t>
      </w:r>
      <w:r w:rsidR="00EE4FC3">
        <w:t xml:space="preserve"> </w:t>
      </w:r>
      <w:r w:rsidRPr="00382917">
        <w:t>promised</w:t>
      </w:r>
      <w:r w:rsidR="00EE4FC3">
        <w:t xml:space="preserve"> </w:t>
      </w:r>
      <w:r w:rsidRPr="00382917">
        <w:t>to</w:t>
      </w:r>
      <w:r w:rsidR="00EE4FC3">
        <w:t xml:space="preserve"> </w:t>
      </w:r>
      <w:r w:rsidRPr="00382917">
        <w:t>heal</w:t>
      </w:r>
      <w:r w:rsidR="00EE4FC3">
        <w:t xml:space="preserve"> </w:t>
      </w:r>
      <w:r w:rsidRPr="00382917">
        <w:t>him</w:t>
      </w:r>
      <w:r w:rsidR="00EE4FC3">
        <w:t xml:space="preserve"> </w:t>
      </w:r>
      <w:r w:rsidRPr="00382917">
        <w:t>if</w:t>
      </w:r>
      <w:r w:rsidR="00EE4FC3">
        <w:t xml:space="preserve"> </w:t>
      </w:r>
      <w:r w:rsidRPr="00382917">
        <w:t>He</w:t>
      </w:r>
      <w:r w:rsidR="00EE4FC3">
        <w:t xml:space="preserve"> </w:t>
      </w:r>
      <w:r w:rsidRPr="00382917">
        <w:t>were</w:t>
      </w:r>
      <w:r w:rsidR="00EE4FC3">
        <w:t xml:space="preserve"> </w:t>
      </w:r>
      <w:r w:rsidRPr="00382917">
        <w:t>permitted</w:t>
      </w:r>
      <w:r w:rsidR="00EE4FC3">
        <w:t xml:space="preserve"> </w:t>
      </w:r>
      <w:r w:rsidRPr="00382917">
        <w:t>to</w:t>
      </w:r>
      <w:r w:rsidR="00EE4FC3">
        <w:t xml:space="preserve"> </w:t>
      </w:r>
      <w:r w:rsidRPr="00382917">
        <w:t>come</w:t>
      </w:r>
      <w:r w:rsidR="00EE4FC3">
        <w:t xml:space="preserve"> </w:t>
      </w:r>
      <w:r w:rsidRPr="00382917">
        <w:t>to</w:t>
      </w:r>
      <w:r w:rsidR="00EE4FC3">
        <w:t xml:space="preserve"> </w:t>
      </w:r>
      <w:r w:rsidRPr="00382917">
        <w:t>Ṭihrán</w:t>
      </w:r>
      <w:r w:rsidR="00C03C91">
        <w:t>.</w:t>
      </w:r>
      <w:r w:rsidR="00EE4FC3">
        <w:t xml:space="preserve">  </w:t>
      </w:r>
      <w:r w:rsidRPr="00382917">
        <w:t>Ḥájí</w:t>
      </w:r>
      <w:r w:rsidR="00EE4FC3">
        <w:t xml:space="preserve"> </w:t>
      </w:r>
      <w:r w:rsidRPr="00382917">
        <w:t>Mírzá</w:t>
      </w:r>
      <w:r w:rsidR="00EE4FC3">
        <w:t xml:space="preserve"> </w:t>
      </w:r>
      <w:r w:rsidRPr="00382917">
        <w:t>Áqásí</w:t>
      </w:r>
      <w:r w:rsidR="00EE4FC3">
        <w:t xml:space="preserve"> </w:t>
      </w:r>
      <w:r w:rsidRPr="00382917">
        <w:t>feared</w:t>
      </w:r>
      <w:r w:rsidR="00EE4FC3">
        <w:t xml:space="preserve"> </w:t>
      </w:r>
      <w:r w:rsidRPr="00382917">
        <w:t>that</w:t>
      </w:r>
      <w:r w:rsidR="00EE4FC3">
        <w:t xml:space="preserve"> </w:t>
      </w:r>
      <w:r w:rsidRPr="00382917">
        <w:t>if</w:t>
      </w:r>
      <w:r w:rsidR="00EE4FC3">
        <w:t xml:space="preserve"> </w:t>
      </w:r>
      <w:r w:rsidRPr="00382917">
        <w:t>the</w:t>
      </w:r>
      <w:r w:rsidR="00EE4FC3">
        <w:t xml:space="preserve"> </w:t>
      </w:r>
      <w:r w:rsidRPr="00382917">
        <w:t>Báb</w:t>
      </w:r>
      <w:r w:rsidR="00EE4FC3">
        <w:t xml:space="preserve"> </w:t>
      </w:r>
      <w:r w:rsidRPr="00382917">
        <w:t>should</w:t>
      </w:r>
      <w:r w:rsidR="00EE4FC3">
        <w:t xml:space="preserve"> </w:t>
      </w:r>
      <w:r w:rsidRPr="00382917">
        <w:t>bring</w:t>
      </w:r>
      <w:r w:rsidR="00EE4FC3">
        <w:t xml:space="preserve"> </w:t>
      </w:r>
      <w:r w:rsidRPr="00382917">
        <w:t>about</w:t>
      </w:r>
      <w:r w:rsidR="00EE4FC3">
        <w:t xml:space="preserve"> </w:t>
      </w:r>
      <w:r w:rsidRPr="00382917">
        <w:t>such</w:t>
      </w:r>
      <w:r w:rsidR="00EE4FC3">
        <w:t xml:space="preserve"> </w:t>
      </w:r>
      <w:r w:rsidRPr="00382917">
        <w:t>a</w:t>
      </w:r>
      <w:r w:rsidR="00EE4FC3">
        <w:t xml:space="preserve"> </w:t>
      </w:r>
      <w:r w:rsidRPr="00382917">
        <w:t>cure,</w:t>
      </w:r>
      <w:r w:rsidR="00EE4FC3">
        <w:t xml:space="preserve"> </w:t>
      </w:r>
      <w:r w:rsidRPr="00382917">
        <w:t>the</w:t>
      </w:r>
      <w:r w:rsidR="00EE4FC3">
        <w:t xml:space="preserve"> </w:t>
      </w:r>
      <w:r w:rsidRPr="00382917">
        <w:t>king</w:t>
      </w:r>
      <w:r w:rsidR="00EE4FC3">
        <w:t xml:space="preserve"> </w:t>
      </w:r>
      <w:r w:rsidRPr="00382917">
        <w:t>would</w:t>
      </w:r>
      <w:r w:rsidR="00EE4FC3">
        <w:t xml:space="preserve"> </w:t>
      </w:r>
      <w:r w:rsidRPr="00382917">
        <w:t>no</w:t>
      </w:r>
      <w:r w:rsidR="00EE4FC3">
        <w:t xml:space="preserve"> </w:t>
      </w:r>
      <w:r w:rsidRPr="00382917">
        <w:t>longer</w:t>
      </w:r>
      <w:r w:rsidR="00EE4FC3">
        <w:t xml:space="preserve"> </w:t>
      </w:r>
      <w:r w:rsidRPr="00382917">
        <w:t>be</w:t>
      </w:r>
      <w:r w:rsidR="00EE4FC3">
        <w:t xml:space="preserve"> </w:t>
      </w:r>
      <w:r w:rsidRPr="00382917">
        <w:t>under</w:t>
      </w:r>
      <w:r w:rsidR="00EE4FC3">
        <w:t xml:space="preserve"> </w:t>
      </w:r>
      <w:r w:rsidRPr="00382917">
        <w:t>his</w:t>
      </w:r>
      <w:r w:rsidR="00EE4FC3">
        <w:t xml:space="preserve"> </w:t>
      </w:r>
      <w:r w:rsidRPr="00382917">
        <w:t>thumb.</w:t>
      </w:r>
      <w:r w:rsidR="004612FD">
        <w:rPr>
          <w:rStyle w:val="FootnoteReference"/>
        </w:rPr>
        <w:footnoteReference w:id="66"/>
      </w:r>
    </w:p>
    <w:p w:rsidR="00540E31" w:rsidRPr="00382917" w:rsidRDefault="00540E31" w:rsidP="00DC063A">
      <w:pPr>
        <w:pStyle w:val="Text"/>
      </w:pPr>
      <w:r w:rsidRPr="00382917">
        <w:t>He</w:t>
      </w:r>
      <w:r w:rsidR="00EE4FC3">
        <w:t xml:space="preserve"> </w:t>
      </w:r>
      <w:r w:rsidRPr="00382917">
        <w:t>induced</w:t>
      </w:r>
      <w:r w:rsidR="00EE4FC3">
        <w:t xml:space="preserve"> </w:t>
      </w:r>
      <w:r w:rsidRPr="00382917">
        <w:t>the</w:t>
      </w:r>
      <w:r w:rsidR="00EE4FC3">
        <w:t xml:space="preserve"> </w:t>
      </w:r>
      <w:r w:rsidRPr="00382917">
        <w:t>king</w:t>
      </w:r>
      <w:r w:rsidR="00EE4FC3">
        <w:t xml:space="preserve"> </w:t>
      </w:r>
      <w:r w:rsidRPr="00382917">
        <w:t>to</w:t>
      </w:r>
      <w:r w:rsidR="00EE4FC3">
        <w:t xml:space="preserve"> </w:t>
      </w:r>
      <w:r w:rsidRPr="00382917">
        <w:t>write</w:t>
      </w:r>
      <w:r w:rsidR="00EE4FC3">
        <w:t xml:space="preserve"> </w:t>
      </w:r>
      <w:r w:rsidRPr="00382917">
        <w:t>to</w:t>
      </w:r>
      <w:r w:rsidR="00EE4FC3">
        <w:t xml:space="preserve"> </w:t>
      </w:r>
      <w:r w:rsidRPr="00382917">
        <w:t>the</w:t>
      </w:r>
      <w:r w:rsidR="00EE4FC3">
        <w:t xml:space="preserve"> </w:t>
      </w:r>
      <w:r w:rsidRPr="00382917">
        <w:t>Báb</w:t>
      </w:r>
      <w:r w:rsidR="00EE4FC3">
        <w:t xml:space="preserve"> </w:t>
      </w:r>
      <w:r w:rsidRPr="00382917">
        <w:t>as</w:t>
      </w:r>
      <w:r w:rsidR="00EE4FC3">
        <w:t xml:space="preserve"> </w:t>
      </w:r>
      <w:r w:rsidRPr="00382917">
        <w:t>follows</w:t>
      </w:r>
      <w:r w:rsidR="00C03C91">
        <w:t>:</w:t>
      </w:r>
      <w:r w:rsidR="00EE4FC3">
        <w:t xml:space="preserve">  </w:t>
      </w:r>
      <w:r w:rsidR="009C713D" w:rsidRPr="00382917">
        <w:t>“</w:t>
      </w:r>
      <w:r w:rsidRPr="00382917">
        <w:t>Much</w:t>
      </w:r>
      <w:r w:rsidR="00EE4FC3">
        <w:t xml:space="preserve"> </w:t>
      </w:r>
      <w:r w:rsidRPr="00382917">
        <w:t>as</w:t>
      </w:r>
      <w:r w:rsidR="00EE4FC3">
        <w:t xml:space="preserve"> </w:t>
      </w:r>
      <w:r w:rsidRPr="00382917">
        <w:t>we</w:t>
      </w:r>
      <w:r w:rsidR="00EE4FC3">
        <w:t xml:space="preserve"> </w:t>
      </w:r>
      <w:r w:rsidRPr="00382917">
        <w:t>desire</w:t>
      </w:r>
      <w:r w:rsidR="00EE4FC3">
        <w:t xml:space="preserve"> </w:t>
      </w:r>
      <w:r w:rsidRPr="00382917">
        <w:t>to</w:t>
      </w:r>
      <w:r w:rsidR="00EE4FC3">
        <w:t xml:space="preserve"> </w:t>
      </w:r>
      <w:r w:rsidRPr="00382917">
        <w:t>meet</w:t>
      </w:r>
      <w:r w:rsidR="00EE4FC3">
        <w:t xml:space="preserve"> </w:t>
      </w:r>
      <w:r w:rsidRPr="00382917">
        <w:t>you,</w:t>
      </w:r>
      <w:r w:rsidR="00EE4FC3">
        <w:t xml:space="preserve"> </w:t>
      </w:r>
      <w:r w:rsidRPr="00382917">
        <w:t>we</w:t>
      </w:r>
      <w:r w:rsidR="00EE4FC3">
        <w:t xml:space="preserve"> </w:t>
      </w:r>
      <w:r w:rsidRPr="00382917">
        <w:t>find</w:t>
      </w:r>
      <w:r w:rsidR="00EE4FC3">
        <w:t xml:space="preserve"> </w:t>
      </w:r>
      <w:r w:rsidRPr="00382917">
        <w:t>ourselves</w:t>
      </w:r>
      <w:r w:rsidR="00EE4FC3">
        <w:t xml:space="preserve"> </w:t>
      </w:r>
      <w:r w:rsidRPr="00382917">
        <w:t>unable,</w:t>
      </w:r>
      <w:r w:rsidR="00EE4FC3">
        <w:t xml:space="preserve"> </w:t>
      </w:r>
      <w:r w:rsidRPr="00382917">
        <w:t>in</w:t>
      </w:r>
      <w:r w:rsidR="00EE4FC3">
        <w:t xml:space="preserve"> </w:t>
      </w:r>
      <w:r w:rsidRPr="00382917">
        <w:t>view</w:t>
      </w:r>
      <w:r w:rsidR="00EE4FC3">
        <w:t xml:space="preserve"> </w:t>
      </w:r>
      <w:r w:rsidRPr="00382917">
        <w:t>of</w:t>
      </w:r>
      <w:r w:rsidR="00EE4FC3">
        <w:t xml:space="preserve"> </w:t>
      </w:r>
      <w:r w:rsidRPr="00382917">
        <w:t>our</w:t>
      </w:r>
      <w:r w:rsidR="00EE4FC3">
        <w:t xml:space="preserve"> </w:t>
      </w:r>
      <w:r w:rsidRPr="00382917">
        <w:t>immediate</w:t>
      </w:r>
      <w:r w:rsidR="00EE4FC3">
        <w:t xml:space="preserve"> </w:t>
      </w:r>
      <w:r w:rsidRPr="00382917">
        <w:t>departure</w:t>
      </w:r>
      <w:r w:rsidR="00EE4FC3">
        <w:t xml:space="preserve"> </w:t>
      </w:r>
      <w:r w:rsidRPr="00382917">
        <w:t>from</w:t>
      </w:r>
      <w:r w:rsidR="00EE4FC3">
        <w:t xml:space="preserve"> </w:t>
      </w:r>
      <w:r w:rsidRPr="00382917">
        <w:t>our</w:t>
      </w:r>
      <w:r w:rsidR="00EE4FC3">
        <w:t xml:space="preserve"> </w:t>
      </w:r>
      <w:r w:rsidRPr="00382917">
        <w:t>capital,</w:t>
      </w:r>
      <w:r w:rsidR="00EE4FC3">
        <w:t xml:space="preserve"> </w:t>
      </w:r>
      <w:r w:rsidRPr="00382917">
        <w:t>to</w:t>
      </w:r>
      <w:r w:rsidR="00EE4FC3">
        <w:t xml:space="preserve"> </w:t>
      </w:r>
      <w:r w:rsidRPr="00382917">
        <w:t>receive</w:t>
      </w:r>
      <w:r w:rsidR="00EE4FC3">
        <w:t xml:space="preserve"> </w:t>
      </w:r>
      <w:r w:rsidRPr="00382917">
        <w:t>you</w:t>
      </w:r>
      <w:r w:rsidR="00EE4FC3">
        <w:t xml:space="preserve"> </w:t>
      </w:r>
      <w:r w:rsidRPr="00382917">
        <w:t>befittingly</w:t>
      </w:r>
      <w:r w:rsidR="00EE4FC3">
        <w:t xml:space="preserve"> </w:t>
      </w:r>
      <w:r w:rsidRPr="00382917">
        <w:t>in</w:t>
      </w:r>
      <w:r w:rsidR="00EE4FC3">
        <w:t xml:space="preserve"> </w:t>
      </w:r>
      <w:r w:rsidRPr="00382917">
        <w:t>Ṭihrán</w:t>
      </w:r>
      <w:r w:rsidR="00C03C91">
        <w:t>.</w:t>
      </w:r>
      <w:r w:rsidR="00EE4FC3">
        <w:t xml:space="preserve">  </w:t>
      </w:r>
      <w:r w:rsidRPr="00382917">
        <w:t>We</w:t>
      </w:r>
      <w:r w:rsidR="00EE4FC3">
        <w:t xml:space="preserve"> </w:t>
      </w:r>
      <w:r w:rsidRPr="00382917">
        <w:t>have</w:t>
      </w:r>
      <w:r w:rsidR="00EE4FC3">
        <w:t xml:space="preserve"> </w:t>
      </w:r>
      <w:r w:rsidRPr="00382917">
        <w:t>signified</w:t>
      </w:r>
      <w:r w:rsidR="00EE4FC3">
        <w:t xml:space="preserve"> </w:t>
      </w:r>
      <w:r w:rsidRPr="00382917">
        <w:t>our</w:t>
      </w:r>
      <w:r w:rsidR="00EE4FC3">
        <w:t xml:space="preserve"> </w:t>
      </w:r>
      <w:r w:rsidRPr="00382917">
        <w:t>desire</w:t>
      </w:r>
      <w:r w:rsidR="00EE4FC3">
        <w:t xml:space="preserve"> </w:t>
      </w:r>
      <w:r w:rsidRPr="00382917">
        <w:t>that</w:t>
      </w:r>
      <w:r w:rsidR="00EE4FC3">
        <w:t xml:space="preserve"> </w:t>
      </w:r>
      <w:r w:rsidRPr="00382917">
        <w:t>you</w:t>
      </w:r>
      <w:r w:rsidR="00EE4FC3">
        <w:t xml:space="preserve"> </w:t>
      </w:r>
      <w:r w:rsidRPr="00382917">
        <w:t>be</w:t>
      </w:r>
      <w:r w:rsidR="00EE4FC3">
        <w:t xml:space="preserve"> </w:t>
      </w:r>
      <w:r w:rsidRPr="00382917">
        <w:t>conducted</w:t>
      </w:r>
      <w:r w:rsidR="00EE4FC3">
        <w:t xml:space="preserve"> </w:t>
      </w:r>
      <w:r w:rsidRPr="00382917">
        <w:t>to</w:t>
      </w:r>
      <w:r w:rsidR="00EE4FC3">
        <w:t xml:space="preserve"> </w:t>
      </w:r>
      <w:r w:rsidRPr="00382917">
        <w:t>Máh-Kú.</w:t>
      </w:r>
      <w:r w:rsidR="009C713D" w:rsidRPr="00382917">
        <w:t>”</w:t>
      </w:r>
      <w:r w:rsidR="00DC063A">
        <w:rPr>
          <w:rStyle w:val="FootnoteReference"/>
        </w:rPr>
        <w:footnoteReference w:id="67"/>
      </w:r>
    </w:p>
    <w:p w:rsidR="00540E31" w:rsidRPr="00382917" w:rsidRDefault="00540E31" w:rsidP="00935DA1">
      <w:pPr>
        <w:pStyle w:val="Text"/>
      </w:pPr>
      <w:r w:rsidRPr="00382917">
        <w:t>The</w:t>
      </w:r>
      <w:r w:rsidR="00EE4FC3">
        <w:t xml:space="preserve"> </w:t>
      </w:r>
      <w:r w:rsidRPr="00382917">
        <w:t>Báb</w:t>
      </w:r>
      <w:r w:rsidR="00EE4FC3">
        <w:t xml:space="preserve"> </w:t>
      </w:r>
      <w:r w:rsidRPr="00382917">
        <w:t>had</w:t>
      </w:r>
      <w:r w:rsidR="00EE4FC3">
        <w:t xml:space="preserve"> </w:t>
      </w:r>
      <w:r w:rsidRPr="00382917">
        <w:t>written</w:t>
      </w:r>
      <w:r w:rsidR="00EE4FC3">
        <w:t xml:space="preserve"> </w:t>
      </w:r>
      <w:r w:rsidRPr="00382917">
        <w:t>earlier</w:t>
      </w:r>
      <w:r w:rsidR="00EE4FC3">
        <w:t xml:space="preserve"> </w:t>
      </w:r>
      <w:r w:rsidRPr="00382917">
        <w:t>to</w:t>
      </w:r>
      <w:r w:rsidR="00EE4FC3">
        <w:t xml:space="preserve"> </w:t>
      </w:r>
      <w:r w:rsidRPr="00382917">
        <w:t>the</w:t>
      </w:r>
      <w:r w:rsidR="00EE4FC3">
        <w:t xml:space="preserve"> </w:t>
      </w:r>
      <w:r w:rsidRPr="00382917">
        <w:t>king</w:t>
      </w:r>
      <w:r w:rsidR="00EE4FC3">
        <w:t xml:space="preserve"> </w:t>
      </w:r>
      <w:r w:rsidRPr="00382917">
        <w:t>asking</w:t>
      </w:r>
      <w:r w:rsidR="00EE4FC3">
        <w:t xml:space="preserve"> </w:t>
      </w:r>
      <w:r w:rsidRPr="00382917">
        <w:t>for</w:t>
      </w:r>
      <w:r w:rsidR="00EE4FC3">
        <w:t xml:space="preserve"> </w:t>
      </w:r>
      <w:r w:rsidRPr="00382917">
        <w:t>an</w:t>
      </w:r>
      <w:r w:rsidR="00EE4FC3">
        <w:t xml:space="preserve"> </w:t>
      </w:r>
      <w:r w:rsidRPr="00382917">
        <w:t>audience</w:t>
      </w:r>
      <w:r w:rsidR="00EE4FC3">
        <w:t xml:space="preserve"> </w:t>
      </w:r>
      <w:r w:rsidRPr="00382917">
        <w:t>with</w:t>
      </w:r>
      <w:r w:rsidR="00EE4FC3">
        <w:t xml:space="preserve"> </w:t>
      </w:r>
      <w:r w:rsidRPr="00382917">
        <w:t>him</w:t>
      </w:r>
      <w:r w:rsidR="00C03C91">
        <w:t>.</w:t>
      </w:r>
      <w:r w:rsidR="00EE4FC3">
        <w:t xml:space="preserve">  </w:t>
      </w:r>
      <w:r w:rsidRPr="00382917">
        <w:t>He</w:t>
      </w:r>
      <w:r w:rsidR="00EE4FC3">
        <w:t xml:space="preserve"> </w:t>
      </w:r>
      <w:r w:rsidRPr="00382917">
        <w:t>had</w:t>
      </w:r>
      <w:r w:rsidR="00EE4FC3">
        <w:t xml:space="preserve"> </w:t>
      </w:r>
      <w:r w:rsidRPr="00382917">
        <w:t>requested</w:t>
      </w:r>
      <w:r w:rsidR="00EE4FC3">
        <w:t xml:space="preserve"> </w:t>
      </w:r>
      <w:r w:rsidRPr="00382917">
        <w:t>permission</w:t>
      </w:r>
      <w:r w:rsidR="00EE4FC3">
        <w:t xml:space="preserve"> </w:t>
      </w:r>
      <w:r w:rsidRPr="00382917">
        <w:t>to</w:t>
      </w:r>
      <w:r w:rsidR="00EE4FC3">
        <w:t xml:space="preserve"> </w:t>
      </w:r>
      <w:r w:rsidRPr="00382917">
        <w:t>come</w:t>
      </w:r>
      <w:r w:rsidR="00EE4FC3">
        <w:t xml:space="preserve"> </w:t>
      </w:r>
      <w:r w:rsidRPr="00382917">
        <w:t>to</w:t>
      </w:r>
      <w:r w:rsidR="00EE4FC3">
        <w:t xml:space="preserve"> </w:t>
      </w:r>
      <w:r w:rsidRPr="00382917">
        <w:t>the</w:t>
      </w:r>
      <w:r w:rsidR="00EE4FC3">
        <w:t xml:space="preserve"> </w:t>
      </w:r>
      <w:r w:rsidRPr="00382917">
        <w:t>capital</w:t>
      </w:r>
      <w:r w:rsidR="00EE4FC3">
        <w:t xml:space="preserve"> </w:t>
      </w:r>
      <w:r w:rsidRPr="00382917">
        <w:t>so</w:t>
      </w:r>
      <w:r w:rsidR="00EE4FC3">
        <w:t xml:space="preserve"> </w:t>
      </w:r>
      <w:r w:rsidRPr="00382917">
        <w:t>that</w:t>
      </w:r>
      <w:r w:rsidR="00EE4FC3">
        <w:t xml:space="preserve"> </w:t>
      </w:r>
      <w:r w:rsidRPr="00382917">
        <w:t>before</w:t>
      </w:r>
      <w:r w:rsidR="00EE4FC3">
        <w:t xml:space="preserve"> </w:t>
      </w:r>
      <w:r w:rsidRPr="00382917">
        <w:t>the</w:t>
      </w:r>
      <w:r w:rsidR="00EE4FC3">
        <w:t xml:space="preserve"> </w:t>
      </w:r>
      <w:r w:rsidRPr="00382917">
        <w:t>king</w:t>
      </w:r>
      <w:r w:rsidR="00EE4FC3">
        <w:t xml:space="preserve"> </w:t>
      </w:r>
      <w:r w:rsidRPr="00382917">
        <w:t>and</w:t>
      </w:r>
      <w:r w:rsidR="00EE4FC3">
        <w:t xml:space="preserve"> </w:t>
      </w:r>
      <w:r w:rsidRPr="00382917">
        <w:t>all</w:t>
      </w:r>
      <w:r w:rsidR="00EE4FC3">
        <w:t xml:space="preserve"> </w:t>
      </w:r>
      <w:r w:rsidRPr="00382917">
        <w:t>the</w:t>
      </w:r>
      <w:r w:rsidR="00EE4FC3">
        <w:t xml:space="preserve"> </w:t>
      </w:r>
      <w:r w:rsidRPr="00382917">
        <w:t>religious</w:t>
      </w:r>
      <w:r w:rsidR="00EE4FC3">
        <w:t xml:space="preserve"> </w:t>
      </w:r>
      <w:r w:rsidRPr="00382917">
        <w:t>leaders</w:t>
      </w:r>
      <w:r w:rsidR="00EE4FC3">
        <w:t xml:space="preserve"> </w:t>
      </w:r>
      <w:r w:rsidRPr="00382917">
        <w:t>of</w:t>
      </w:r>
      <w:r w:rsidR="00EE4FC3">
        <w:t xml:space="preserve"> </w:t>
      </w:r>
      <w:r w:rsidRPr="00382917">
        <w:t>the</w:t>
      </w:r>
      <w:r w:rsidR="00EE4FC3">
        <w:t xml:space="preserve"> </w:t>
      </w:r>
      <w:r w:rsidRPr="00382917">
        <w:t>land,</w:t>
      </w:r>
      <w:r w:rsidR="00EE4FC3">
        <w:t xml:space="preserve"> </w:t>
      </w:r>
      <w:r w:rsidRPr="00382917">
        <w:t>He</w:t>
      </w:r>
      <w:r w:rsidR="00EE4FC3">
        <w:t xml:space="preserve"> </w:t>
      </w:r>
      <w:r w:rsidRPr="00382917">
        <w:t>might</w:t>
      </w:r>
      <w:r w:rsidR="00EE4FC3">
        <w:t xml:space="preserve"> </w:t>
      </w:r>
      <w:r w:rsidRPr="00382917">
        <w:t>present</w:t>
      </w:r>
      <w:r w:rsidR="00EE4FC3">
        <w:t xml:space="preserve"> </w:t>
      </w:r>
      <w:r w:rsidRPr="00382917">
        <w:t>the</w:t>
      </w:r>
      <w:r w:rsidR="00EE4FC3">
        <w:t xml:space="preserve"> </w:t>
      </w:r>
      <w:r w:rsidRPr="00382917">
        <w:t>proofs</w:t>
      </w:r>
      <w:r w:rsidR="00EE4FC3">
        <w:t xml:space="preserve"> </w:t>
      </w:r>
      <w:r w:rsidRPr="00382917">
        <w:t>of</w:t>
      </w:r>
      <w:r w:rsidR="00EE4FC3">
        <w:t xml:space="preserve"> </w:t>
      </w:r>
      <w:r w:rsidRPr="00382917">
        <w:t>His</w:t>
      </w:r>
      <w:r w:rsidR="00EE4FC3">
        <w:t xml:space="preserve"> </w:t>
      </w:r>
      <w:r w:rsidRPr="00382917">
        <w:t>Mission</w:t>
      </w:r>
      <w:r w:rsidR="00C03C91">
        <w:t>.</w:t>
      </w:r>
      <w:r w:rsidR="00EE4FC3">
        <w:t xml:space="preserve">  </w:t>
      </w:r>
      <w:r w:rsidRPr="00382917">
        <w:t>He</w:t>
      </w:r>
      <w:r w:rsidR="00EE4FC3">
        <w:t xml:space="preserve"> </w:t>
      </w:r>
      <w:r w:rsidRPr="00382917">
        <w:t>agreed</w:t>
      </w:r>
      <w:r w:rsidR="00EE4FC3">
        <w:t xml:space="preserve"> </w:t>
      </w:r>
      <w:r w:rsidRPr="00382917">
        <w:t>to</w:t>
      </w:r>
      <w:r w:rsidR="00EE4FC3">
        <w:t xml:space="preserve"> </w:t>
      </w:r>
      <w:r w:rsidRPr="00382917">
        <w:t>leave</w:t>
      </w:r>
      <w:r w:rsidR="00EE4FC3">
        <w:t xml:space="preserve"> </w:t>
      </w:r>
      <w:r w:rsidRPr="00382917">
        <w:t>the</w:t>
      </w:r>
      <w:r w:rsidR="00EE4FC3">
        <w:t xml:space="preserve"> </w:t>
      </w:r>
      <w:r w:rsidRPr="00382917">
        <w:t>decision</w:t>
      </w:r>
      <w:r w:rsidR="00EE4FC3">
        <w:t xml:space="preserve"> </w:t>
      </w:r>
      <w:r w:rsidRPr="00382917">
        <w:t>of</w:t>
      </w:r>
      <w:r w:rsidR="00EE4FC3">
        <w:t xml:space="preserve"> </w:t>
      </w:r>
      <w:r w:rsidRPr="00382917">
        <w:t>its</w:t>
      </w:r>
      <w:r w:rsidR="00EE4FC3">
        <w:t xml:space="preserve"> </w:t>
      </w:r>
      <w:r w:rsidRPr="00382917">
        <w:t>truth</w:t>
      </w:r>
      <w:r w:rsidR="00EE4FC3">
        <w:t xml:space="preserve"> </w:t>
      </w:r>
      <w:r w:rsidRPr="00382917">
        <w:t>or</w:t>
      </w:r>
      <w:r w:rsidR="00EE4FC3">
        <w:t xml:space="preserve"> </w:t>
      </w:r>
      <w:r w:rsidRPr="00382917">
        <w:t>falsehood</w:t>
      </w:r>
      <w:r w:rsidR="00EE4FC3">
        <w:t xml:space="preserve"> </w:t>
      </w:r>
      <w:r w:rsidRPr="00382917">
        <w:t>entirely</w:t>
      </w:r>
      <w:r w:rsidR="00EE4FC3">
        <w:t xml:space="preserve"> </w:t>
      </w:r>
      <w:r w:rsidRPr="00382917">
        <w:t>in</w:t>
      </w:r>
      <w:r w:rsidR="00EE4FC3">
        <w:t xml:space="preserve"> </w:t>
      </w:r>
      <w:r w:rsidRPr="00382917">
        <w:t>the</w:t>
      </w:r>
      <w:r w:rsidR="00EE4FC3">
        <w:t xml:space="preserve"> </w:t>
      </w:r>
      <w:r w:rsidRPr="00382917">
        <w:t>hands</w:t>
      </w:r>
      <w:r w:rsidR="00EE4FC3">
        <w:t xml:space="preserve"> </w:t>
      </w:r>
      <w:r w:rsidRPr="00382917">
        <w:t>of</w:t>
      </w:r>
      <w:r w:rsidR="00EE4FC3">
        <w:t xml:space="preserve"> </w:t>
      </w:r>
      <w:r w:rsidRPr="00382917">
        <w:t>the</w:t>
      </w:r>
      <w:r w:rsidR="00EE4FC3">
        <w:t xml:space="preserve"> </w:t>
      </w:r>
      <w:r w:rsidRPr="00382917">
        <w:t>king</w:t>
      </w:r>
      <w:r w:rsidR="00C03C91">
        <w:t>.</w:t>
      </w:r>
      <w:r w:rsidR="00EE4FC3">
        <w:t xml:space="preserve">  </w:t>
      </w:r>
      <w:r w:rsidRPr="00382917">
        <w:t>He</w:t>
      </w:r>
      <w:r w:rsidR="00EE4FC3">
        <w:t xml:space="preserve"> </w:t>
      </w:r>
      <w:r w:rsidRPr="00382917">
        <w:t>said</w:t>
      </w:r>
      <w:r w:rsidR="00EE4FC3">
        <w:t xml:space="preserve"> </w:t>
      </w:r>
      <w:r w:rsidRPr="00382917">
        <w:t>that</w:t>
      </w:r>
      <w:r w:rsidR="00EE4FC3">
        <w:t xml:space="preserve"> </w:t>
      </w:r>
      <w:r w:rsidRPr="00382917">
        <w:t>He</w:t>
      </w:r>
      <w:r w:rsidR="00EE4FC3">
        <w:t xml:space="preserve"> </w:t>
      </w:r>
      <w:r w:rsidRPr="00382917">
        <w:t>would</w:t>
      </w:r>
      <w:r w:rsidR="00EE4FC3">
        <w:t xml:space="preserve"> </w:t>
      </w:r>
      <w:r w:rsidRPr="00382917">
        <w:t>accept</w:t>
      </w:r>
      <w:r w:rsidR="00EE4FC3">
        <w:t xml:space="preserve"> </w:t>
      </w:r>
      <w:r w:rsidRPr="00382917">
        <w:t>the</w:t>
      </w:r>
      <w:r w:rsidR="00EE4FC3">
        <w:t xml:space="preserve"> </w:t>
      </w:r>
      <w:r w:rsidRPr="00382917">
        <w:t>judgement</w:t>
      </w:r>
      <w:r w:rsidR="00EE4FC3">
        <w:t xml:space="preserve"> </w:t>
      </w:r>
      <w:r w:rsidRPr="00382917">
        <w:t>of</w:t>
      </w:r>
      <w:r w:rsidR="00EE4FC3">
        <w:t xml:space="preserve"> </w:t>
      </w:r>
      <w:r w:rsidRPr="00382917">
        <w:t>the</w:t>
      </w:r>
      <w:r w:rsidR="00EE4FC3">
        <w:t xml:space="preserve"> </w:t>
      </w:r>
      <w:r w:rsidRPr="00382917">
        <w:t>king</w:t>
      </w:r>
      <w:r w:rsidR="00EE4FC3">
        <w:t xml:space="preserve"> </w:t>
      </w:r>
      <w:r w:rsidRPr="00382917">
        <w:t>as</w:t>
      </w:r>
      <w:r w:rsidR="00EE4FC3">
        <w:t xml:space="preserve"> </w:t>
      </w:r>
      <w:r w:rsidRPr="00382917">
        <w:t>final;</w:t>
      </w:r>
      <w:r w:rsidR="00EE4FC3">
        <w:t xml:space="preserve"> </w:t>
      </w:r>
      <w:r w:rsidRPr="00382917">
        <w:t>and</w:t>
      </w:r>
      <w:r w:rsidR="00EE4FC3">
        <w:t xml:space="preserve"> </w:t>
      </w:r>
      <w:r w:rsidRPr="00382917">
        <w:t>in</w:t>
      </w:r>
      <w:r w:rsidR="00EE4FC3">
        <w:t xml:space="preserve"> </w:t>
      </w:r>
      <w:r w:rsidRPr="00382917">
        <w:t>case</w:t>
      </w:r>
      <w:r w:rsidR="00EE4FC3">
        <w:t xml:space="preserve"> </w:t>
      </w:r>
      <w:r w:rsidRPr="00382917">
        <w:t>of</w:t>
      </w:r>
      <w:r w:rsidR="00EE4FC3">
        <w:t xml:space="preserve"> </w:t>
      </w:r>
      <w:r w:rsidRPr="00382917">
        <w:t>failure,</w:t>
      </w:r>
      <w:r w:rsidR="00EE4FC3">
        <w:t xml:space="preserve"> </w:t>
      </w:r>
      <w:r w:rsidRPr="00382917">
        <w:t>was</w:t>
      </w:r>
      <w:r w:rsidR="00EE4FC3">
        <w:t xml:space="preserve"> </w:t>
      </w:r>
      <w:r w:rsidRPr="00382917">
        <w:t>ready</w:t>
      </w:r>
      <w:r w:rsidR="00EE4FC3">
        <w:t xml:space="preserve"> </w:t>
      </w:r>
      <w:r w:rsidRPr="00382917">
        <w:t>to</w:t>
      </w:r>
      <w:r w:rsidR="00EE4FC3">
        <w:t xml:space="preserve"> </w:t>
      </w:r>
      <w:r w:rsidRPr="00382917">
        <w:t>sacrifice</w:t>
      </w:r>
      <w:r w:rsidR="00EE4FC3">
        <w:t xml:space="preserve"> </w:t>
      </w:r>
      <w:r w:rsidRPr="00382917">
        <w:t>His</w:t>
      </w:r>
      <w:r w:rsidR="00EE4FC3">
        <w:t xml:space="preserve"> </w:t>
      </w:r>
      <w:r w:rsidRPr="00382917">
        <w:t>head.</w:t>
      </w:r>
      <w:r w:rsidR="00935DA1">
        <w:rPr>
          <w:rStyle w:val="FootnoteReference"/>
        </w:rPr>
        <w:footnoteReference w:id="68"/>
      </w:r>
    </w:p>
    <w:p w:rsidR="00540E31" w:rsidRPr="00382917" w:rsidRDefault="00540E31" w:rsidP="00665A7A">
      <w:pPr>
        <w:pStyle w:val="Text"/>
      </w:pPr>
      <w:r w:rsidRPr="00382917">
        <w:t>Both</w:t>
      </w:r>
      <w:r w:rsidR="00EE4FC3">
        <w:t xml:space="preserve"> </w:t>
      </w:r>
      <w:r w:rsidRPr="00382917">
        <w:t>the</w:t>
      </w:r>
      <w:r w:rsidR="00EE4FC3">
        <w:t xml:space="preserve"> </w:t>
      </w:r>
      <w:r w:rsidRPr="00382917">
        <w:t>Prime</w:t>
      </w:r>
      <w:r w:rsidR="00EE4FC3">
        <w:t xml:space="preserve"> </w:t>
      </w:r>
      <w:r w:rsidRPr="00382917">
        <w:t>Minister</w:t>
      </w:r>
      <w:r w:rsidR="00EE4FC3">
        <w:t xml:space="preserve"> </w:t>
      </w:r>
      <w:r w:rsidRPr="00382917">
        <w:t>and</w:t>
      </w:r>
      <w:r w:rsidR="00EE4FC3">
        <w:t xml:space="preserve"> </w:t>
      </w:r>
      <w:r w:rsidRPr="00382917">
        <w:t>the</w:t>
      </w:r>
      <w:r w:rsidR="00EE4FC3">
        <w:t xml:space="preserve"> </w:t>
      </w:r>
      <w:r w:rsidRPr="00382917">
        <w:t>king</w:t>
      </w:r>
      <w:r w:rsidR="00EE4FC3">
        <w:t xml:space="preserve"> </w:t>
      </w:r>
      <w:r w:rsidRPr="00382917">
        <w:t>had</w:t>
      </w:r>
      <w:r w:rsidR="00EE4FC3">
        <w:t xml:space="preserve"> </w:t>
      </w:r>
      <w:r w:rsidRPr="00382917">
        <w:t>originally</w:t>
      </w:r>
      <w:r w:rsidR="00EE4FC3">
        <w:t xml:space="preserve"> </w:t>
      </w:r>
      <w:r w:rsidRPr="00382917">
        <w:t>welcomed</w:t>
      </w:r>
      <w:r w:rsidR="00EE4FC3">
        <w:t xml:space="preserve"> </w:t>
      </w:r>
      <w:r w:rsidRPr="00382917">
        <w:t>this</w:t>
      </w:r>
      <w:r w:rsidR="00EE4FC3">
        <w:t xml:space="preserve"> </w:t>
      </w:r>
      <w:r w:rsidRPr="00382917">
        <w:t>letter</w:t>
      </w:r>
      <w:r w:rsidR="00C03C91">
        <w:t>.</w:t>
      </w:r>
      <w:r w:rsidR="00EE4FC3">
        <w:t xml:space="preserve">  </w:t>
      </w:r>
      <w:r w:rsidRPr="00382917">
        <w:t>They</w:t>
      </w:r>
      <w:r w:rsidR="00EE4FC3">
        <w:t xml:space="preserve"> </w:t>
      </w:r>
      <w:r w:rsidRPr="00382917">
        <w:t>were</w:t>
      </w:r>
      <w:r w:rsidR="00EE4FC3">
        <w:t xml:space="preserve"> </w:t>
      </w:r>
      <w:r w:rsidRPr="00382917">
        <w:t>convinced</w:t>
      </w:r>
      <w:r w:rsidR="00EE4FC3">
        <w:t xml:space="preserve"> </w:t>
      </w:r>
      <w:r w:rsidRPr="00382917">
        <w:t>that</w:t>
      </w:r>
      <w:r w:rsidR="00EE4FC3">
        <w:t xml:space="preserve"> </w:t>
      </w:r>
      <w:r w:rsidRPr="00382917">
        <w:t>once</w:t>
      </w:r>
      <w:r w:rsidR="00EE4FC3">
        <w:t xml:space="preserve"> </w:t>
      </w:r>
      <w:r w:rsidRPr="00382917">
        <w:t>the</w:t>
      </w:r>
      <w:r w:rsidR="00EE4FC3">
        <w:t xml:space="preserve"> </w:t>
      </w:r>
      <w:r w:rsidRPr="00382917">
        <w:t>Báb</w:t>
      </w:r>
      <w:r w:rsidR="00EE4FC3">
        <w:t xml:space="preserve"> </w:t>
      </w:r>
      <w:r w:rsidRPr="00382917">
        <w:t>was</w:t>
      </w:r>
      <w:r w:rsidR="00EE4FC3">
        <w:t xml:space="preserve"> </w:t>
      </w:r>
      <w:r w:rsidRPr="00382917">
        <w:t>faced</w:t>
      </w:r>
      <w:r w:rsidR="00EE4FC3">
        <w:t xml:space="preserve"> </w:t>
      </w:r>
      <w:r w:rsidRPr="00382917">
        <w:t>by</w:t>
      </w:r>
      <w:r w:rsidR="00EE4FC3">
        <w:t xml:space="preserve"> </w:t>
      </w:r>
      <w:r w:rsidRPr="00382917">
        <w:t>the</w:t>
      </w:r>
      <w:r w:rsidR="00EE4FC3">
        <w:t xml:space="preserve"> </w:t>
      </w:r>
      <w:r w:rsidRPr="00382917">
        <w:t>noted</w:t>
      </w:r>
      <w:r w:rsidR="00EE4FC3">
        <w:t xml:space="preserve"> </w:t>
      </w:r>
      <w:r w:rsidRPr="00382917">
        <w:t>religious</w:t>
      </w:r>
      <w:r w:rsidR="00EE4FC3">
        <w:t xml:space="preserve"> </w:t>
      </w:r>
      <w:r w:rsidRPr="00382917">
        <w:t>leaders</w:t>
      </w:r>
      <w:r w:rsidR="00EE4FC3">
        <w:t xml:space="preserve"> </w:t>
      </w:r>
      <w:r w:rsidRPr="00382917">
        <w:t>of</w:t>
      </w:r>
      <w:r w:rsidR="00EE4FC3">
        <w:t xml:space="preserve"> </w:t>
      </w:r>
      <w:r w:rsidRPr="00382917">
        <w:t>the</w:t>
      </w:r>
      <w:r w:rsidR="00EE4FC3">
        <w:t xml:space="preserve"> </w:t>
      </w:r>
      <w:r w:rsidRPr="00382917">
        <w:t>land,</w:t>
      </w:r>
      <w:r w:rsidR="00EE4FC3">
        <w:t xml:space="preserve"> </w:t>
      </w:r>
      <w:r w:rsidRPr="00382917">
        <w:t>they</w:t>
      </w:r>
      <w:r w:rsidR="00EE4FC3">
        <w:t xml:space="preserve"> </w:t>
      </w:r>
      <w:r w:rsidRPr="00382917">
        <w:t>could</w:t>
      </w:r>
      <w:r w:rsidR="00EE4FC3">
        <w:t xml:space="preserve"> </w:t>
      </w:r>
      <w:r w:rsidRPr="00382917">
        <w:t>humiliate</w:t>
      </w:r>
      <w:r w:rsidR="00EE4FC3">
        <w:t xml:space="preserve"> </w:t>
      </w:r>
      <w:r w:rsidRPr="00382917">
        <w:t>Him</w:t>
      </w:r>
      <w:r w:rsidR="00EE4FC3">
        <w:t xml:space="preserve"> </w:t>
      </w:r>
      <w:r w:rsidRPr="00382917">
        <w:t>and</w:t>
      </w:r>
      <w:r w:rsidR="00EE4FC3">
        <w:t xml:space="preserve"> </w:t>
      </w:r>
      <w:r w:rsidRPr="00382917">
        <w:t>divest</w:t>
      </w:r>
      <w:r w:rsidR="00EE4FC3">
        <w:t xml:space="preserve"> </w:t>
      </w:r>
      <w:r w:rsidRPr="00382917">
        <w:t>Him</w:t>
      </w:r>
      <w:r w:rsidR="00EE4FC3">
        <w:t xml:space="preserve"> </w:t>
      </w:r>
      <w:r w:rsidRPr="00382917">
        <w:t>of</w:t>
      </w:r>
      <w:r w:rsidR="00EE4FC3">
        <w:t xml:space="preserve"> </w:t>
      </w:r>
      <w:r w:rsidRPr="00382917">
        <w:t>all</w:t>
      </w:r>
      <w:r w:rsidR="00EE4FC3">
        <w:t xml:space="preserve"> </w:t>
      </w:r>
      <w:r w:rsidRPr="00382917">
        <w:t>prestige</w:t>
      </w:r>
      <w:r w:rsidR="00C03C91">
        <w:t>.</w:t>
      </w:r>
      <w:r w:rsidR="00EE4FC3">
        <w:t xml:space="preserve">  </w:t>
      </w:r>
      <w:r w:rsidRPr="00382917">
        <w:t>However,</w:t>
      </w:r>
      <w:r w:rsidR="00EE4FC3">
        <w:t xml:space="preserve"> </w:t>
      </w:r>
      <w:r w:rsidRPr="00382917">
        <w:t>when</w:t>
      </w:r>
      <w:r w:rsidR="00EE4FC3">
        <w:t xml:space="preserve"> </w:t>
      </w:r>
      <w:r w:rsidRPr="00382917">
        <w:t>they</w:t>
      </w:r>
      <w:r w:rsidR="00EE4FC3">
        <w:t xml:space="preserve"> </w:t>
      </w:r>
      <w:r w:rsidRPr="00382917">
        <w:t>received</w:t>
      </w:r>
      <w:r w:rsidR="00EE4FC3">
        <w:t xml:space="preserve"> </w:t>
      </w:r>
      <w:r w:rsidRPr="00382917">
        <w:t>the</w:t>
      </w:r>
    </w:p>
    <w:p w:rsidR="00665A7A" w:rsidRPr="00382917" w:rsidRDefault="00665A7A">
      <w:pPr>
        <w:widowControl/>
        <w:kinsoku/>
        <w:overflowPunct/>
        <w:textAlignment w:val="auto"/>
      </w:pPr>
      <w:r w:rsidRPr="00382917">
        <w:br w:type="page"/>
      </w:r>
    </w:p>
    <w:p w:rsidR="00540E31" w:rsidRPr="00382917" w:rsidRDefault="00540E31" w:rsidP="00665A7A">
      <w:pPr>
        <w:pStyle w:val="Textcts"/>
      </w:pPr>
      <w:r w:rsidRPr="00382917">
        <w:t>news</w:t>
      </w:r>
      <w:r w:rsidR="00EE4FC3">
        <w:t xml:space="preserve"> </w:t>
      </w:r>
      <w:r w:rsidRPr="00382917">
        <w:t>of</w:t>
      </w:r>
      <w:r w:rsidR="00EE4FC3">
        <w:t xml:space="preserve"> </w:t>
      </w:r>
      <w:r w:rsidRPr="00382917">
        <w:t>His</w:t>
      </w:r>
      <w:r w:rsidR="00EE4FC3">
        <w:t xml:space="preserve"> </w:t>
      </w:r>
      <w:r w:rsidRPr="00382917">
        <w:t>overwhelming</w:t>
      </w:r>
      <w:r w:rsidR="00EE4FC3">
        <w:t xml:space="preserve"> </w:t>
      </w:r>
      <w:r w:rsidRPr="00382917">
        <w:t>victories</w:t>
      </w:r>
      <w:r w:rsidR="00EE4FC3">
        <w:t xml:space="preserve"> </w:t>
      </w:r>
      <w:r w:rsidRPr="00382917">
        <w:t>in</w:t>
      </w:r>
      <w:r w:rsidR="00EE4FC3">
        <w:t xml:space="preserve"> </w:t>
      </w:r>
      <w:r w:rsidRPr="00382917">
        <w:t>debate</w:t>
      </w:r>
      <w:r w:rsidR="00EE4FC3">
        <w:t xml:space="preserve"> </w:t>
      </w:r>
      <w:r w:rsidRPr="00382917">
        <w:t>at</w:t>
      </w:r>
      <w:r w:rsidR="00EE4FC3">
        <w:t xml:space="preserve"> </w:t>
      </w:r>
      <w:r w:rsidR="00BC0CAD" w:rsidRPr="00382917">
        <w:rPr>
          <w:u w:val="single"/>
        </w:rPr>
        <w:t>Sh</w:t>
      </w:r>
      <w:r w:rsidR="00BC0CAD" w:rsidRPr="00382917">
        <w:t>íráz</w:t>
      </w:r>
      <w:r w:rsidRPr="00382917">
        <w:t>,</w:t>
      </w:r>
      <w:r w:rsidR="00EE4FC3">
        <w:t xml:space="preserve"> </w:t>
      </w:r>
      <w:r w:rsidRPr="00382917">
        <w:t>and</w:t>
      </w:r>
      <w:r w:rsidR="00EE4FC3">
        <w:t xml:space="preserve"> </w:t>
      </w:r>
      <w:r w:rsidRPr="00382917">
        <w:t>especially</w:t>
      </w:r>
      <w:r w:rsidR="00EE4FC3">
        <w:t xml:space="preserve"> </w:t>
      </w:r>
      <w:r w:rsidRPr="00382917">
        <w:t>when</w:t>
      </w:r>
      <w:r w:rsidR="00EE4FC3">
        <w:t xml:space="preserve"> </w:t>
      </w:r>
      <w:r w:rsidRPr="00382917">
        <w:t>word</w:t>
      </w:r>
      <w:r w:rsidR="00EE4FC3">
        <w:t xml:space="preserve"> </w:t>
      </w:r>
      <w:r w:rsidRPr="00382917">
        <w:t>came</w:t>
      </w:r>
      <w:r w:rsidR="00EE4FC3">
        <w:t xml:space="preserve"> </w:t>
      </w:r>
      <w:r w:rsidRPr="00382917">
        <w:t>of</w:t>
      </w:r>
      <w:r w:rsidR="00EE4FC3">
        <w:t xml:space="preserve"> </w:t>
      </w:r>
      <w:r w:rsidRPr="00382917">
        <w:t>the</w:t>
      </w:r>
      <w:r w:rsidR="00EE4FC3">
        <w:t xml:space="preserve"> </w:t>
      </w:r>
      <w:r w:rsidRPr="00382917">
        <w:t>conversion</w:t>
      </w:r>
      <w:r w:rsidR="00EE4FC3">
        <w:t xml:space="preserve"> </w:t>
      </w:r>
      <w:r w:rsidRPr="00382917">
        <w:t>of</w:t>
      </w:r>
      <w:r w:rsidR="00EE4FC3">
        <w:t xml:space="preserve"> </w:t>
      </w:r>
      <w:r w:rsidRPr="00382917">
        <w:t>both</w:t>
      </w:r>
      <w:r w:rsidR="00EE4FC3">
        <w:t xml:space="preserve"> </w:t>
      </w:r>
      <w:r w:rsidRPr="00382917">
        <w:t>Va</w:t>
      </w:r>
      <w:r w:rsidR="00665A7A" w:rsidRPr="00382917">
        <w:t>ḥí</w:t>
      </w:r>
      <w:r w:rsidRPr="00382917">
        <w:t>d</w:t>
      </w:r>
      <w:r w:rsidR="00EE4FC3">
        <w:t xml:space="preserve"> </w:t>
      </w:r>
      <w:r w:rsidRPr="00382917">
        <w:t>and</w:t>
      </w:r>
      <w:r w:rsidR="00EE4FC3">
        <w:t xml:space="preserve"> </w:t>
      </w:r>
      <w:r w:rsidR="0040329F" w:rsidRPr="00382917">
        <w:t>Manú</w:t>
      </w:r>
      <w:r w:rsidR="0040329F" w:rsidRPr="0040329F">
        <w:rPr>
          <w:u w:val="single"/>
        </w:rPr>
        <w:t>ch</w:t>
      </w:r>
      <w:r w:rsidR="0040329F" w:rsidRPr="00382917">
        <w:t>ihr</w:t>
      </w:r>
      <w:r w:rsidR="00EE4FC3">
        <w:t xml:space="preserve"> </w:t>
      </w:r>
      <w:r w:rsidR="0040329F" w:rsidRPr="0040329F">
        <w:rPr>
          <w:u w:val="single"/>
        </w:rPr>
        <w:t>Kh</w:t>
      </w:r>
      <w:r w:rsidR="0040329F" w:rsidRPr="00382917">
        <w:t>án</w:t>
      </w:r>
      <w:r w:rsidR="00EE4FC3">
        <w:t xml:space="preserve"> </w:t>
      </w:r>
      <w:r w:rsidRPr="00382917">
        <w:t>to</w:t>
      </w:r>
      <w:r w:rsidR="00EE4FC3">
        <w:t xml:space="preserve"> </w:t>
      </w:r>
      <w:r w:rsidRPr="00382917">
        <w:t>His</w:t>
      </w:r>
      <w:r w:rsidR="00EE4FC3">
        <w:t xml:space="preserve"> </w:t>
      </w:r>
      <w:r w:rsidRPr="00382917">
        <w:t>Faith,</w:t>
      </w:r>
      <w:r w:rsidR="00EE4FC3">
        <w:t xml:space="preserve"> </w:t>
      </w:r>
      <w:r w:rsidRPr="00382917">
        <w:t>they</w:t>
      </w:r>
      <w:r w:rsidR="00EE4FC3">
        <w:t xml:space="preserve"> </w:t>
      </w:r>
      <w:r w:rsidRPr="00382917">
        <w:t>were</w:t>
      </w:r>
      <w:r w:rsidR="00EE4FC3">
        <w:t xml:space="preserve"> </w:t>
      </w:r>
      <w:r w:rsidRPr="00382917">
        <w:t>no</w:t>
      </w:r>
      <w:r w:rsidR="00EE4FC3">
        <w:t xml:space="preserve"> </w:t>
      </w:r>
      <w:r w:rsidRPr="00382917">
        <w:t>longer</w:t>
      </w:r>
      <w:r w:rsidR="00EE4FC3">
        <w:t xml:space="preserve"> </w:t>
      </w:r>
      <w:r w:rsidRPr="00382917">
        <w:t>eager,</w:t>
      </w:r>
      <w:r w:rsidR="00EE4FC3">
        <w:t xml:space="preserve"> </w:t>
      </w:r>
      <w:r w:rsidRPr="00382917">
        <w:t>or</w:t>
      </w:r>
      <w:r w:rsidR="00EE4FC3">
        <w:t xml:space="preserve"> </w:t>
      </w:r>
      <w:r w:rsidRPr="00382917">
        <w:t>even</w:t>
      </w:r>
      <w:r w:rsidR="00EE4FC3">
        <w:t xml:space="preserve"> </w:t>
      </w:r>
      <w:r w:rsidRPr="00382917">
        <w:t>willing,</w:t>
      </w:r>
      <w:r w:rsidR="00EE4FC3">
        <w:t xml:space="preserve"> </w:t>
      </w:r>
      <w:r w:rsidRPr="00382917">
        <w:t>to</w:t>
      </w:r>
      <w:r w:rsidR="00EE4FC3">
        <w:t xml:space="preserve"> </w:t>
      </w:r>
      <w:r w:rsidRPr="00382917">
        <w:t>have</w:t>
      </w:r>
      <w:r w:rsidR="00EE4FC3">
        <w:t xml:space="preserve"> </w:t>
      </w:r>
      <w:r w:rsidRPr="00382917">
        <w:t>Him</w:t>
      </w:r>
      <w:r w:rsidR="00EE4FC3">
        <w:t xml:space="preserve"> </w:t>
      </w:r>
      <w:r w:rsidRPr="00382917">
        <w:t>at</w:t>
      </w:r>
      <w:r w:rsidR="00EE4FC3">
        <w:t xml:space="preserve"> </w:t>
      </w:r>
      <w:r w:rsidRPr="00382917">
        <w:t>the</w:t>
      </w:r>
      <w:r w:rsidR="00EE4FC3">
        <w:t xml:space="preserve"> </w:t>
      </w:r>
      <w:r w:rsidRPr="00382917">
        <w:t>capital.</w:t>
      </w:r>
    </w:p>
    <w:p w:rsidR="00540E31" w:rsidRPr="00382917" w:rsidRDefault="00540E31" w:rsidP="00665A7A">
      <w:pPr>
        <w:pStyle w:val="Text"/>
      </w:pPr>
      <w:r w:rsidRPr="00382917">
        <w:t>When</w:t>
      </w:r>
      <w:r w:rsidR="00EE4FC3">
        <w:t xml:space="preserve"> </w:t>
      </w:r>
      <w:r w:rsidRPr="00382917">
        <w:t>the</w:t>
      </w:r>
      <w:r w:rsidR="00EE4FC3">
        <w:t xml:space="preserve"> </w:t>
      </w:r>
      <w:r w:rsidRPr="00382917">
        <w:t>king</w:t>
      </w:r>
      <w:r w:rsidR="009C713D" w:rsidRPr="00382917">
        <w:t>’</w:t>
      </w:r>
      <w:r w:rsidRPr="00382917">
        <w:t>s</w:t>
      </w:r>
      <w:r w:rsidR="00EE4FC3">
        <w:t xml:space="preserve"> </w:t>
      </w:r>
      <w:r w:rsidRPr="00382917">
        <w:t>message</w:t>
      </w:r>
      <w:r w:rsidR="00EE4FC3">
        <w:t xml:space="preserve"> </w:t>
      </w:r>
      <w:r w:rsidRPr="00382917">
        <w:t>reached</w:t>
      </w:r>
      <w:r w:rsidR="00EE4FC3">
        <w:t xml:space="preserve"> </w:t>
      </w:r>
      <w:r w:rsidRPr="00382917">
        <w:t>the</w:t>
      </w:r>
      <w:r w:rsidR="00EE4FC3">
        <w:t xml:space="preserve"> </w:t>
      </w:r>
      <w:r w:rsidRPr="00382917">
        <w:t>Báb,</w:t>
      </w:r>
      <w:r w:rsidR="00EE4FC3">
        <w:t xml:space="preserve"> </w:t>
      </w:r>
      <w:r w:rsidRPr="00382917">
        <w:t>telling</w:t>
      </w:r>
      <w:r w:rsidR="00EE4FC3">
        <w:t xml:space="preserve"> </w:t>
      </w:r>
      <w:r w:rsidRPr="00382917">
        <w:t>Him</w:t>
      </w:r>
      <w:r w:rsidR="00EE4FC3">
        <w:t xml:space="preserve"> </w:t>
      </w:r>
      <w:r w:rsidRPr="00382917">
        <w:t>of</w:t>
      </w:r>
      <w:r w:rsidR="00EE4FC3">
        <w:t xml:space="preserve"> </w:t>
      </w:r>
      <w:r w:rsidRPr="00382917">
        <w:t>His</w:t>
      </w:r>
      <w:r w:rsidR="00EE4FC3">
        <w:t xml:space="preserve"> </w:t>
      </w:r>
      <w:r w:rsidRPr="00382917">
        <w:t>transfer</w:t>
      </w:r>
      <w:r w:rsidR="00EE4FC3">
        <w:t xml:space="preserve"> </w:t>
      </w:r>
      <w:r w:rsidRPr="00382917">
        <w:t>to</w:t>
      </w:r>
      <w:r w:rsidR="00EE4FC3">
        <w:t xml:space="preserve"> </w:t>
      </w:r>
      <w:r w:rsidRPr="00382917">
        <w:t>the</w:t>
      </w:r>
      <w:r w:rsidR="00EE4FC3">
        <w:t xml:space="preserve"> </w:t>
      </w:r>
      <w:r w:rsidRPr="00382917">
        <w:t>prison</w:t>
      </w:r>
      <w:r w:rsidR="00EE4FC3">
        <w:t xml:space="preserve"> </w:t>
      </w:r>
      <w:r w:rsidRPr="00382917">
        <w:t>of</w:t>
      </w:r>
      <w:r w:rsidR="00EE4FC3">
        <w:t xml:space="preserve"> </w:t>
      </w:r>
      <w:r w:rsidRPr="00382917">
        <w:t>Máh-Kú,</w:t>
      </w:r>
      <w:r w:rsidR="00EE4FC3">
        <w:t xml:space="preserve"> </w:t>
      </w:r>
      <w:r w:rsidRPr="00382917">
        <w:t>He</w:t>
      </w:r>
      <w:r w:rsidR="00EE4FC3">
        <w:t xml:space="preserve"> </w:t>
      </w:r>
      <w:r w:rsidRPr="00382917">
        <w:t>knew</w:t>
      </w:r>
      <w:r w:rsidR="00EE4FC3">
        <w:t xml:space="preserve"> </w:t>
      </w:r>
      <w:r w:rsidRPr="00382917">
        <w:t>whose</w:t>
      </w:r>
      <w:r w:rsidR="00EE4FC3">
        <w:t xml:space="preserve"> </w:t>
      </w:r>
      <w:r w:rsidRPr="00382917">
        <w:t>hand</w:t>
      </w:r>
      <w:r w:rsidR="00EE4FC3">
        <w:t xml:space="preserve"> </w:t>
      </w:r>
      <w:r w:rsidRPr="00382917">
        <w:t>was</w:t>
      </w:r>
      <w:r w:rsidR="00EE4FC3">
        <w:t xml:space="preserve"> </w:t>
      </w:r>
      <w:r w:rsidRPr="00382917">
        <w:t>behind</w:t>
      </w:r>
      <w:r w:rsidR="00EE4FC3">
        <w:t xml:space="preserve"> </w:t>
      </w:r>
      <w:r w:rsidRPr="00382917">
        <w:t>the</w:t>
      </w:r>
      <w:r w:rsidR="00EE4FC3">
        <w:t xml:space="preserve"> </w:t>
      </w:r>
      <w:r w:rsidRPr="00382917">
        <w:t>cruel</w:t>
      </w:r>
      <w:r w:rsidR="00EE4FC3">
        <w:t xml:space="preserve"> </w:t>
      </w:r>
      <w:r w:rsidRPr="00382917">
        <w:t>order.</w:t>
      </w:r>
    </w:p>
    <w:p w:rsidR="00E13D49" w:rsidRPr="00382917" w:rsidRDefault="009C713D" w:rsidP="00A178DE">
      <w:pPr>
        <w:pStyle w:val="Text"/>
      </w:pPr>
      <w:r w:rsidRPr="00382917">
        <w:t>“</w:t>
      </w:r>
      <w:r w:rsidR="00540E31" w:rsidRPr="00382917">
        <w:t>You</w:t>
      </w:r>
      <w:r w:rsidR="00EE4FC3">
        <w:t xml:space="preserve"> </w:t>
      </w:r>
      <w:r w:rsidR="00540E31" w:rsidRPr="00382917">
        <w:t>summoned</w:t>
      </w:r>
      <w:r w:rsidR="00EE4FC3">
        <w:t xml:space="preserve"> </w:t>
      </w:r>
      <w:proofErr w:type="gramStart"/>
      <w:r w:rsidR="00540E31" w:rsidRPr="00382917">
        <w:t>Me</w:t>
      </w:r>
      <w:proofErr w:type="gramEnd"/>
      <w:r w:rsidR="00EE4FC3">
        <w:t xml:space="preserve"> </w:t>
      </w:r>
      <w:r w:rsidR="00540E31" w:rsidRPr="00382917">
        <w:t>from</w:t>
      </w:r>
      <w:r w:rsidR="00EE4FC3">
        <w:t xml:space="preserve"> </w:t>
      </w:r>
      <w:r w:rsidR="00540E31" w:rsidRPr="00382917">
        <w:t>I</w:t>
      </w:r>
      <w:r w:rsidR="00665A7A" w:rsidRPr="00382917">
        <w:t>ṣ</w:t>
      </w:r>
      <w:r w:rsidR="00540E31" w:rsidRPr="00382917">
        <w:t>f</w:t>
      </w:r>
      <w:r w:rsidR="00665A7A" w:rsidRPr="00382917">
        <w:t>a</w:t>
      </w:r>
      <w:r w:rsidR="00540E31" w:rsidRPr="00382917">
        <w:t>hán</w:t>
      </w:r>
      <w:r w:rsidR="00EE4FC3">
        <w:t xml:space="preserve"> </w:t>
      </w:r>
      <w:r w:rsidR="00540E31" w:rsidRPr="00382917">
        <w:t>to</w:t>
      </w:r>
      <w:r w:rsidR="00EE4FC3">
        <w:t xml:space="preserve"> </w:t>
      </w:r>
      <w:r w:rsidR="00540E31" w:rsidRPr="00382917">
        <w:t>meet</w:t>
      </w:r>
      <w:r w:rsidR="00EE4FC3">
        <w:t xml:space="preserve"> </w:t>
      </w:r>
      <w:r w:rsidR="00540E31" w:rsidRPr="00382917">
        <w:t>the</w:t>
      </w:r>
      <w:r w:rsidR="00EE4FC3">
        <w:t xml:space="preserve"> </w:t>
      </w:r>
      <w:r w:rsidR="00540E31" w:rsidRPr="00382917">
        <w:t>doctors</w:t>
      </w:r>
      <w:r w:rsidR="00EE4FC3">
        <w:t xml:space="preserve"> </w:t>
      </w:r>
      <w:r w:rsidR="00540E31" w:rsidRPr="00382917">
        <w:t>[religious</w:t>
      </w:r>
      <w:r w:rsidR="00EE4FC3">
        <w:t xml:space="preserve"> </w:t>
      </w:r>
      <w:r w:rsidR="00540E31" w:rsidRPr="00382917">
        <w:t>leaders]</w:t>
      </w:r>
      <w:r w:rsidR="00EE4FC3">
        <w:t xml:space="preserve"> </w:t>
      </w:r>
      <w:r w:rsidR="00540E31" w:rsidRPr="00382917">
        <w:t>and</w:t>
      </w:r>
      <w:r w:rsidR="00EE4FC3">
        <w:t xml:space="preserve"> </w:t>
      </w:r>
      <w:r w:rsidR="00540E31" w:rsidRPr="00382917">
        <w:t>for</w:t>
      </w:r>
      <w:r w:rsidR="00EE4FC3">
        <w:t xml:space="preserve"> </w:t>
      </w:r>
      <w:r w:rsidR="00540E31" w:rsidRPr="00382917">
        <w:t>the</w:t>
      </w:r>
      <w:r w:rsidR="00EE4FC3">
        <w:t xml:space="preserve"> </w:t>
      </w:r>
      <w:r w:rsidR="00540E31" w:rsidRPr="00382917">
        <w:t>attainment</w:t>
      </w:r>
      <w:r w:rsidR="00EE4FC3">
        <w:t xml:space="preserve"> </w:t>
      </w:r>
      <w:r w:rsidR="00540E31" w:rsidRPr="00382917">
        <w:t>of</w:t>
      </w:r>
      <w:r w:rsidR="00EE4FC3">
        <w:t xml:space="preserve"> </w:t>
      </w:r>
      <w:r w:rsidR="00540E31" w:rsidRPr="00382917">
        <w:t>a</w:t>
      </w:r>
      <w:r w:rsidR="00EE4FC3">
        <w:t xml:space="preserve"> </w:t>
      </w:r>
      <w:r w:rsidR="00540E31" w:rsidRPr="00382917">
        <w:t>decisive</w:t>
      </w:r>
      <w:r w:rsidR="00EE4FC3">
        <w:t xml:space="preserve"> </w:t>
      </w:r>
      <w:r w:rsidR="00540E31" w:rsidRPr="00382917">
        <w:t>settlement,</w:t>
      </w:r>
      <w:r w:rsidRPr="00382917">
        <w:t>”</w:t>
      </w:r>
      <w:r w:rsidR="00EE4FC3">
        <w:t xml:space="preserve"> </w:t>
      </w:r>
      <w:r w:rsidR="00540E31" w:rsidRPr="00382917">
        <w:t>He</w:t>
      </w:r>
      <w:r w:rsidR="00EE4FC3">
        <w:t xml:space="preserve"> </w:t>
      </w:r>
      <w:r w:rsidR="00540E31" w:rsidRPr="00382917">
        <w:t>wrote</w:t>
      </w:r>
      <w:r w:rsidR="00EE4FC3">
        <w:t xml:space="preserve"> </w:t>
      </w:r>
      <w:r w:rsidR="00540E31" w:rsidRPr="00382917">
        <w:t>the</w:t>
      </w:r>
      <w:r w:rsidR="00EE4FC3">
        <w:t xml:space="preserve"> </w:t>
      </w:r>
      <w:r w:rsidR="00540E31" w:rsidRPr="00382917">
        <w:t>Prime</w:t>
      </w:r>
      <w:r w:rsidR="00EE4FC3">
        <w:t xml:space="preserve"> </w:t>
      </w:r>
      <w:r w:rsidR="00540E31" w:rsidRPr="00382917">
        <w:t>Minister</w:t>
      </w:r>
      <w:r w:rsidR="00C03C91">
        <w:t>.</w:t>
      </w:r>
      <w:r w:rsidR="00EE4FC3">
        <w:t xml:space="preserve">  </w:t>
      </w:r>
      <w:r w:rsidRPr="00382917">
        <w:t>“</w:t>
      </w:r>
      <w:r w:rsidR="00540E31" w:rsidRPr="00382917">
        <w:t>What</w:t>
      </w:r>
      <w:r w:rsidR="00EE4FC3">
        <w:t xml:space="preserve"> </w:t>
      </w:r>
      <w:r w:rsidR="00540E31" w:rsidRPr="00382917">
        <w:t>has</w:t>
      </w:r>
      <w:r w:rsidR="00EE4FC3">
        <w:t xml:space="preserve"> </w:t>
      </w:r>
      <w:r w:rsidR="00540E31" w:rsidRPr="00382917">
        <w:t>happened</w:t>
      </w:r>
      <w:r w:rsidR="00EE4FC3">
        <w:t xml:space="preserve"> </w:t>
      </w:r>
      <w:r w:rsidR="00540E31" w:rsidRPr="00382917">
        <w:t>now</w:t>
      </w:r>
      <w:r w:rsidR="00EE4FC3">
        <w:t xml:space="preserve"> </w:t>
      </w:r>
      <w:r w:rsidR="00540E31" w:rsidRPr="00382917">
        <w:t>that</w:t>
      </w:r>
      <w:r w:rsidR="00EE4FC3">
        <w:t xml:space="preserve"> </w:t>
      </w:r>
      <w:r w:rsidR="00540E31" w:rsidRPr="00382917">
        <w:t>this</w:t>
      </w:r>
      <w:r w:rsidR="00EE4FC3">
        <w:t xml:space="preserve"> </w:t>
      </w:r>
      <w:r w:rsidR="00540E31" w:rsidRPr="00382917">
        <w:t>excellent</w:t>
      </w:r>
      <w:r w:rsidR="00EE4FC3">
        <w:t xml:space="preserve"> </w:t>
      </w:r>
      <w:r w:rsidR="00540E31" w:rsidRPr="00382917">
        <w:t>intention</w:t>
      </w:r>
      <w:r w:rsidR="00EE4FC3">
        <w:t xml:space="preserve"> </w:t>
      </w:r>
      <w:r w:rsidR="00540E31" w:rsidRPr="00382917">
        <w:t>has</w:t>
      </w:r>
      <w:r w:rsidR="00EE4FC3">
        <w:t xml:space="preserve"> </w:t>
      </w:r>
      <w:r w:rsidR="00540E31" w:rsidRPr="00382917">
        <w:t>been</w:t>
      </w:r>
      <w:r w:rsidR="00EE4FC3">
        <w:t xml:space="preserve"> </w:t>
      </w:r>
      <w:r w:rsidR="00540E31" w:rsidRPr="00382917">
        <w:t>changed</w:t>
      </w:r>
      <w:r w:rsidR="00EE4FC3">
        <w:t xml:space="preserve"> </w:t>
      </w:r>
      <w:r w:rsidR="00540E31" w:rsidRPr="00382917">
        <w:t>for</w:t>
      </w:r>
      <w:r w:rsidR="00EE4FC3">
        <w:t xml:space="preserve"> </w:t>
      </w:r>
      <w:r w:rsidR="00540E31" w:rsidRPr="00382917">
        <w:t>Máh-Kú</w:t>
      </w:r>
      <w:r w:rsidR="00EE4FC3">
        <w:t xml:space="preserve"> </w:t>
      </w:r>
      <w:r w:rsidR="00540E31" w:rsidRPr="00382917">
        <w:t>and</w:t>
      </w:r>
      <w:r w:rsidR="00EE4FC3">
        <w:t xml:space="preserve"> </w:t>
      </w:r>
      <w:r w:rsidR="00540E31" w:rsidRPr="00382917">
        <w:t>Tabr</w:t>
      </w:r>
      <w:r w:rsidR="00665A7A" w:rsidRPr="00382917">
        <w:t>í</w:t>
      </w:r>
      <w:r w:rsidR="00540E31" w:rsidRPr="00382917">
        <w:t>z?</w:t>
      </w:r>
      <w:r w:rsidRPr="00382917">
        <w:t>”</w:t>
      </w:r>
      <w:r w:rsidR="00A178DE">
        <w:rPr>
          <w:rStyle w:val="FootnoteReference"/>
        </w:rPr>
        <w:footnoteReference w:id="69"/>
      </w:r>
    </w:p>
    <w:p w:rsidR="00540E31" w:rsidRPr="00382917" w:rsidRDefault="00540E31" w:rsidP="00665A7A">
      <w:pPr>
        <w:pStyle w:val="Text"/>
      </w:pPr>
      <w:r w:rsidRPr="00382917">
        <w:t>In</w:t>
      </w:r>
      <w:r w:rsidR="00EE4FC3">
        <w:t xml:space="preserve"> </w:t>
      </w:r>
      <w:r w:rsidRPr="00382917">
        <w:t>these</w:t>
      </w:r>
      <w:r w:rsidR="00EE4FC3">
        <w:t xml:space="preserve"> </w:t>
      </w:r>
      <w:r w:rsidRPr="00382917">
        <w:t>words,</w:t>
      </w:r>
      <w:r w:rsidR="00EE4FC3">
        <w:t xml:space="preserve"> </w:t>
      </w:r>
      <w:r w:rsidRPr="00382917">
        <w:t>the</w:t>
      </w:r>
      <w:r w:rsidR="00EE4FC3">
        <w:t xml:space="preserve"> </w:t>
      </w:r>
      <w:r w:rsidRPr="00382917">
        <w:t>Báb</w:t>
      </w:r>
      <w:r w:rsidR="00EE4FC3">
        <w:t xml:space="preserve"> </w:t>
      </w:r>
      <w:r w:rsidRPr="00382917">
        <w:t>foreshadowed</w:t>
      </w:r>
      <w:r w:rsidR="00EE4FC3">
        <w:t xml:space="preserve"> </w:t>
      </w:r>
      <w:r w:rsidRPr="00382917">
        <w:t>the</w:t>
      </w:r>
      <w:r w:rsidR="00EE4FC3">
        <w:t xml:space="preserve"> </w:t>
      </w:r>
      <w:r w:rsidRPr="00382917">
        <w:t>suffering</w:t>
      </w:r>
      <w:r w:rsidR="00EE4FC3">
        <w:t xml:space="preserve"> </w:t>
      </w:r>
      <w:r w:rsidRPr="00382917">
        <w:t>He</w:t>
      </w:r>
      <w:r w:rsidR="00EE4FC3">
        <w:t xml:space="preserve"> </w:t>
      </w:r>
      <w:r w:rsidRPr="00382917">
        <w:t>was</w:t>
      </w:r>
      <w:r w:rsidR="00EE4FC3">
        <w:t xml:space="preserve"> </w:t>
      </w:r>
      <w:r w:rsidRPr="00382917">
        <w:t>to</w:t>
      </w:r>
      <w:r w:rsidR="00EE4FC3">
        <w:t xml:space="preserve"> </w:t>
      </w:r>
      <w:r w:rsidRPr="00382917">
        <w:t>face</w:t>
      </w:r>
      <w:r w:rsidR="00EE4FC3">
        <w:t xml:space="preserve"> </w:t>
      </w:r>
      <w:r w:rsidRPr="00382917">
        <w:t>in</w:t>
      </w:r>
      <w:r w:rsidR="00EE4FC3">
        <w:t xml:space="preserve"> </w:t>
      </w:r>
      <w:r w:rsidRPr="00382917">
        <w:t>the</w:t>
      </w:r>
      <w:r w:rsidR="00EE4FC3">
        <w:t xml:space="preserve"> </w:t>
      </w:r>
      <w:r w:rsidRPr="00382917">
        <w:t>northern</w:t>
      </w:r>
      <w:r w:rsidR="00EE4FC3">
        <w:t xml:space="preserve"> </w:t>
      </w:r>
      <w:r w:rsidRPr="00382917">
        <w:t>city</w:t>
      </w:r>
      <w:r w:rsidR="00EE4FC3">
        <w:t xml:space="preserve"> </w:t>
      </w:r>
      <w:r w:rsidRPr="00382917">
        <w:t>of</w:t>
      </w:r>
      <w:r w:rsidR="00EE4FC3">
        <w:t xml:space="preserve"> </w:t>
      </w:r>
      <w:r w:rsidRPr="00382917">
        <w:t>Tabr</w:t>
      </w:r>
      <w:r w:rsidR="00665A7A" w:rsidRPr="00382917">
        <w:t>í</w:t>
      </w:r>
      <w:r w:rsidRPr="00382917">
        <w:t>z</w:t>
      </w:r>
      <w:r w:rsidR="00EE4FC3">
        <w:t xml:space="preserve"> </w:t>
      </w:r>
      <w:r w:rsidRPr="00382917">
        <w:t>where</w:t>
      </w:r>
      <w:r w:rsidR="00EE4FC3">
        <w:t xml:space="preserve"> </w:t>
      </w:r>
      <w:r w:rsidRPr="00382917">
        <w:t>He</w:t>
      </w:r>
      <w:r w:rsidR="00EE4FC3">
        <w:t xml:space="preserve"> </w:t>
      </w:r>
      <w:r w:rsidRPr="00382917">
        <w:t>would</w:t>
      </w:r>
      <w:r w:rsidR="00EE4FC3">
        <w:t xml:space="preserve"> </w:t>
      </w:r>
      <w:r w:rsidRPr="00382917">
        <w:t>be</w:t>
      </w:r>
      <w:r w:rsidR="00EE4FC3">
        <w:t xml:space="preserve"> </w:t>
      </w:r>
      <w:r w:rsidRPr="00382917">
        <w:t>summoned</w:t>
      </w:r>
      <w:r w:rsidR="00EE4FC3">
        <w:t xml:space="preserve"> </w:t>
      </w:r>
      <w:r w:rsidRPr="00382917">
        <w:t>from</w:t>
      </w:r>
      <w:r w:rsidR="00EE4FC3">
        <w:t xml:space="preserve"> </w:t>
      </w:r>
      <w:r w:rsidRPr="00382917">
        <w:t>prison,</w:t>
      </w:r>
      <w:r w:rsidR="00EE4FC3">
        <w:t xml:space="preserve"> </w:t>
      </w:r>
      <w:r w:rsidRPr="00382917">
        <w:t>once</w:t>
      </w:r>
      <w:r w:rsidR="00EE4FC3">
        <w:t xml:space="preserve"> </w:t>
      </w:r>
      <w:r w:rsidRPr="00382917">
        <w:t>to</w:t>
      </w:r>
      <w:r w:rsidR="00EE4FC3">
        <w:t xml:space="preserve"> </w:t>
      </w:r>
      <w:r w:rsidRPr="00382917">
        <w:t>be</w:t>
      </w:r>
      <w:r w:rsidR="00EE4FC3">
        <w:t xml:space="preserve"> </w:t>
      </w:r>
      <w:r w:rsidRPr="00382917">
        <w:t>beaten</w:t>
      </w:r>
      <w:r w:rsidR="00EE4FC3">
        <w:t xml:space="preserve"> </w:t>
      </w:r>
      <w:r w:rsidRPr="00382917">
        <w:t>and</w:t>
      </w:r>
      <w:r w:rsidR="00EE4FC3">
        <w:t xml:space="preserve"> </w:t>
      </w:r>
      <w:r w:rsidRPr="00382917">
        <w:t>a</w:t>
      </w:r>
      <w:r w:rsidR="00EE4FC3">
        <w:t xml:space="preserve"> </w:t>
      </w:r>
      <w:r w:rsidRPr="00382917">
        <w:t>second</w:t>
      </w:r>
      <w:r w:rsidR="00EE4FC3">
        <w:t xml:space="preserve"> </w:t>
      </w:r>
      <w:r w:rsidRPr="00382917">
        <w:t>time</w:t>
      </w:r>
      <w:r w:rsidR="00EE4FC3">
        <w:t xml:space="preserve"> </w:t>
      </w:r>
      <w:r w:rsidRPr="00382917">
        <w:t>to</w:t>
      </w:r>
      <w:r w:rsidR="00EE4FC3">
        <w:t xml:space="preserve"> </w:t>
      </w:r>
      <w:r w:rsidRPr="00382917">
        <w:t>be</w:t>
      </w:r>
      <w:r w:rsidR="00EE4FC3">
        <w:t xml:space="preserve"> </w:t>
      </w:r>
      <w:r w:rsidRPr="00382917">
        <w:t>slain.</w:t>
      </w:r>
    </w:p>
    <w:p w:rsidR="00540E31" w:rsidRPr="00382917" w:rsidRDefault="00540E31" w:rsidP="00665A7A">
      <w:pPr>
        <w:pStyle w:val="Text"/>
      </w:pPr>
      <w:r w:rsidRPr="00382917">
        <w:t>Thus</w:t>
      </w:r>
      <w:r w:rsidR="00EE4FC3">
        <w:t xml:space="preserve"> </w:t>
      </w:r>
      <w:r w:rsidRPr="00382917">
        <w:t>the</w:t>
      </w:r>
      <w:r w:rsidR="00EE4FC3">
        <w:t xml:space="preserve"> </w:t>
      </w:r>
      <w:r w:rsidRPr="00382917">
        <w:t>king</w:t>
      </w:r>
      <w:r w:rsidR="00EE4FC3">
        <w:t xml:space="preserve"> </w:t>
      </w:r>
      <w:r w:rsidRPr="00382917">
        <w:t>broke</w:t>
      </w:r>
      <w:r w:rsidR="00EE4FC3">
        <w:t xml:space="preserve"> </w:t>
      </w:r>
      <w:r w:rsidRPr="00382917">
        <w:t>his</w:t>
      </w:r>
      <w:r w:rsidR="00EE4FC3">
        <w:t xml:space="preserve"> </w:t>
      </w:r>
      <w:r w:rsidRPr="00382917">
        <w:t>promise</w:t>
      </w:r>
      <w:r w:rsidR="00EE4FC3">
        <w:t xml:space="preserve"> </w:t>
      </w:r>
      <w:r w:rsidRPr="00382917">
        <w:t>to</w:t>
      </w:r>
      <w:r w:rsidR="00EE4FC3">
        <w:t xml:space="preserve"> </w:t>
      </w:r>
      <w:r w:rsidRPr="00382917">
        <w:t>meet</w:t>
      </w:r>
      <w:r w:rsidR="00EE4FC3">
        <w:t xml:space="preserve"> </w:t>
      </w:r>
      <w:r w:rsidRPr="00382917">
        <w:t>the</w:t>
      </w:r>
      <w:r w:rsidR="00EE4FC3">
        <w:t xml:space="preserve"> </w:t>
      </w:r>
      <w:r w:rsidRPr="00382917">
        <w:t>Báb,</w:t>
      </w:r>
      <w:r w:rsidR="00EE4FC3">
        <w:t xml:space="preserve"> </w:t>
      </w:r>
      <w:r w:rsidRPr="00382917">
        <w:t>and</w:t>
      </w:r>
      <w:r w:rsidR="00EE4FC3">
        <w:t xml:space="preserve"> </w:t>
      </w:r>
      <w:r w:rsidRPr="00382917">
        <w:t>the</w:t>
      </w:r>
      <w:r w:rsidR="00EE4FC3">
        <w:t xml:space="preserve"> </w:t>
      </w:r>
      <w:r w:rsidRPr="00382917">
        <w:t>Royal</w:t>
      </w:r>
      <w:r w:rsidR="00EE4FC3">
        <w:t xml:space="preserve"> </w:t>
      </w:r>
      <w:r w:rsidRPr="00382917">
        <w:t>party</w:t>
      </w:r>
      <w:r w:rsidR="00EE4FC3">
        <w:t xml:space="preserve"> </w:t>
      </w:r>
      <w:r w:rsidRPr="00382917">
        <w:t>including</w:t>
      </w:r>
      <w:r w:rsidR="00EE4FC3">
        <w:t xml:space="preserve"> </w:t>
      </w:r>
      <w:r w:rsidRPr="00382917">
        <w:t>the</w:t>
      </w:r>
      <w:r w:rsidR="00EE4FC3">
        <w:t xml:space="preserve"> </w:t>
      </w:r>
      <w:r w:rsidRPr="00382917">
        <w:t>young</w:t>
      </w:r>
      <w:r w:rsidR="00EE4FC3">
        <w:t xml:space="preserve"> </w:t>
      </w:r>
      <w:r w:rsidRPr="00382917">
        <w:t>son</w:t>
      </w:r>
      <w:r w:rsidR="00EE4FC3">
        <w:t xml:space="preserve"> </w:t>
      </w:r>
      <w:r w:rsidRPr="00382917">
        <w:t>of</w:t>
      </w:r>
      <w:r w:rsidR="00EE4FC3">
        <w:t xml:space="preserve"> </w:t>
      </w:r>
      <w:r w:rsidRPr="00382917">
        <w:t>the</w:t>
      </w:r>
      <w:r w:rsidR="00EE4FC3">
        <w:t xml:space="preserve"> </w:t>
      </w:r>
      <w:r w:rsidRPr="00382917">
        <w:t>king,</w:t>
      </w:r>
      <w:r w:rsidR="00EE4FC3">
        <w:t xml:space="preserve"> </w:t>
      </w:r>
      <w:r w:rsidRPr="00382917">
        <w:t>Prince</w:t>
      </w:r>
      <w:r w:rsidR="00EE4FC3">
        <w:t xml:space="preserve"> </w:t>
      </w:r>
      <w:r w:rsidRPr="00382917">
        <w:t>Farhád</w:t>
      </w:r>
      <w:r w:rsidR="00EE4FC3">
        <w:t xml:space="preserve"> </w:t>
      </w:r>
      <w:r w:rsidRPr="00382917">
        <w:t>Mírzá,</w:t>
      </w:r>
      <w:r w:rsidR="00EE4FC3">
        <w:t xml:space="preserve"> </w:t>
      </w:r>
      <w:r w:rsidRPr="00382917">
        <w:t>left</w:t>
      </w:r>
      <w:r w:rsidR="00EE4FC3">
        <w:t xml:space="preserve"> </w:t>
      </w:r>
      <w:r w:rsidRPr="00382917">
        <w:t>with</w:t>
      </w:r>
      <w:r w:rsidR="00EE4FC3">
        <w:t xml:space="preserve"> </w:t>
      </w:r>
      <w:r w:rsidRPr="00382917">
        <w:t>the</w:t>
      </w:r>
      <w:r w:rsidR="00EE4FC3">
        <w:t xml:space="preserve"> </w:t>
      </w:r>
      <w:r w:rsidR="004F6339" w:rsidRPr="004F6339">
        <w:rPr>
          <w:u w:val="single"/>
        </w:rPr>
        <w:t>Sh</w:t>
      </w:r>
      <w:r w:rsidR="004F6339" w:rsidRPr="00382917">
        <w:t>áh</w:t>
      </w:r>
      <w:r w:rsidR="00EE4FC3">
        <w:t xml:space="preserve"> </w:t>
      </w:r>
      <w:r w:rsidRPr="00382917">
        <w:t>and</w:t>
      </w:r>
      <w:r w:rsidR="00EE4FC3">
        <w:t xml:space="preserve"> </w:t>
      </w:r>
      <w:r w:rsidRPr="00382917">
        <w:t>the</w:t>
      </w:r>
      <w:r w:rsidR="00EE4FC3">
        <w:t xml:space="preserve"> </w:t>
      </w:r>
      <w:r w:rsidRPr="00382917">
        <w:t>Prime</w:t>
      </w:r>
      <w:r w:rsidR="00EE4FC3">
        <w:t xml:space="preserve"> </w:t>
      </w:r>
      <w:r w:rsidRPr="00382917">
        <w:t>Minister</w:t>
      </w:r>
      <w:r w:rsidR="00EE4FC3">
        <w:t xml:space="preserve"> </w:t>
      </w:r>
      <w:r w:rsidRPr="00382917">
        <w:t>for</w:t>
      </w:r>
      <w:r w:rsidR="00EE4FC3">
        <w:t xml:space="preserve"> </w:t>
      </w:r>
      <w:r w:rsidRPr="00382917">
        <w:t>a</w:t>
      </w:r>
      <w:r w:rsidR="00EE4FC3">
        <w:t xml:space="preserve"> </w:t>
      </w:r>
      <w:r w:rsidRPr="00382917">
        <w:t>lovely</w:t>
      </w:r>
      <w:r w:rsidR="00EE4FC3">
        <w:t xml:space="preserve"> </w:t>
      </w:r>
      <w:r w:rsidRPr="00382917">
        <w:t>park</w:t>
      </w:r>
      <w:r w:rsidR="00EE4FC3">
        <w:t xml:space="preserve"> </w:t>
      </w:r>
      <w:r w:rsidRPr="00382917">
        <w:t>in</w:t>
      </w:r>
      <w:r w:rsidR="00EE4FC3">
        <w:t xml:space="preserve"> </w:t>
      </w:r>
      <w:r w:rsidRPr="00382917">
        <w:t>the</w:t>
      </w:r>
      <w:r w:rsidR="00EE4FC3">
        <w:t xml:space="preserve"> </w:t>
      </w:r>
      <w:proofErr w:type="spellStart"/>
      <w:r w:rsidRPr="00382917">
        <w:t>neighborhood</w:t>
      </w:r>
      <w:proofErr w:type="spellEnd"/>
      <w:r w:rsidR="00EE4FC3">
        <w:t xml:space="preserve"> </w:t>
      </w:r>
      <w:r w:rsidRPr="00382917">
        <w:t>of</w:t>
      </w:r>
      <w:r w:rsidR="00EE4FC3">
        <w:t xml:space="preserve"> </w:t>
      </w:r>
      <w:r w:rsidRPr="00382917">
        <w:t>Ṭihrán</w:t>
      </w:r>
      <w:r w:rsidR="00C03C91">
        <w:t>.</w:t>
      </w:r>
      <w:r w:rsidR="00EE4FC3">
        <w:t xml:space="preserve">  </w:t>
      </w:r>
      <w:r w:rsidRPr="00382917">
        <w:t>While</w:t>
      </w:r>
      <w:r w:rsidR="00EE4FC3">
        <w:t xml:space="preserve"> </w:t>
      </w:r>
      <w:r w:rsidRPr="00382917">
        <w:t>there</w:t>
      </w:r>
      <w:r w:rsidR="00EE4FC3">
        <w:t xml:space="preserve"> </w:t>
      </w:r>
      <w:r w:rsidRPr="00382917">
        <w:t>the</w:t>
      </w:r>
      <w:r w:rsidR="00EE4FC3">
        <w:t xml:space="preserve"> </w:t>
      </w:r>
      <w:r w:rsidRPr="00382917">
        <w:t>prince</w:t>
      </w:r>
      <w:r w:rsidR="00EE4FC3">
        <w:t xml:space="preserve"> </w:t>
      </w:r>
      <w:r w:rsidRPr="00382917">
        <w:t>approached</w:t>
      </w:r>
      <w:r w:rsidR="00EE4FC3">
        <w:t xml:space="preserve"> </w:t>
      </w:r>
      <w:r w:rsidRPr="00382917">
        <w:t>the</w:t>
      </w:r>
      <w:r w:rsidR="00EE4FC3">
        <w:t xml:space="preserve"> </w:t>
      </w:r>
      <w:r w:rsidRPr="00382917">
        <w:t>Prime</w:t>
      </w:r>
      <w:r w:rsidR="00EE4FC3">
        <w:t xml:space="preserve"> </w:t>
      </w:r>
      <w:r w:rsidRPr="00382917">
        <w:t>Minister</w:t>
      </w:r>
      <w:r w:rsidR="00EE4FC3">
        <w:t xml:space="preserve"> </w:t>
      </w:r>
      <w:r w:rsidRPr="00382917">
        <w:t>and</w:t>
      </w:r>
      <w:r w:rsidR="00EE4FC3">
        <w:t xml:space="preserve"> </w:t>
      </w:r>
      <w:r w:rsidRPr="00382917">
        <w:t>asked</w:t>
      </w:r>
      <w:r w:rsidR="00EE4FC3">
        <w:t xml:space="preserve"> </w:t>
      </w:r>
      <w:r w:rsidRPr="00382917">
        <w:t>him,</w:t>
      </w:r>
      <w:r w:rsidR="00EE4FC3">
        <w:t xml:space="preserve"> </w:t>
      </w:r>
      <w:r w:rsidR="009C713D" w:rsidRPr="00382917">
        <w:t>“</w:t>
      </w:r>
      <w:r w:rsidRPr="00382917">
        <w:t>Ḥájí,</w:t>
      </w:r>
      <w:r w:rsidR="00EE4FC3">
        <w:t xml:space="preserve"> </w:t>
      </w:r>
      <w:r w:rsidRPr="00382917">
        <w:t>why</w:t>
      </w:r>
      <w:r w:rsidR="00EE4FC3">
        <w:t xml:space="preserve"> </w:t>
      </w:r>
      <w:r w:rsidRPr="00382917">
        <w:t>have</w:t>
      </w:r>
      <w:r w:rsidR="00EE4FC3">
        <w:t xml:space="preserve"> </w:t>
      </w:r>
      <w:r w:rsidRPr="00382917">
        <w:t>you</w:t>
      </w:r>
      <w:r w:rsidR="00EE4FC3">
        <w:t xml:space="preserve"> </w:t>
      </w:r>
      <w:r w:rsidRPr="00382917">
        <w:t>sent</w:t>
      </w:r>
      <w:r w:rsidR="00EE4FC3">
        <w:t xml:space="preserve"> </w:t>
      </w:r>
      <w:r w:rsidRPr="00382917">
        <w:t>the</w:t>
      </w:r>
      <w:r w:rsidR="00EE4FC3">
        <w:t xml:space="preserve"> </w:t>
      </w:r>
      <w:r w:rsidRPr="00382917">
        <w:t>Báb</w:t>
      </w:r>
      <w:r w:rsidR="00EE4FC3">
        <w:t xml:space="preserve"> </w:t>
      </w:r>
      <w:r w:rsidRPr="00382917">
        <w:t>to</w:t>
      </w:r>
      <w:r w:rsidR="00EE4FC3">
        <w:t xml:space="preserve"> </w:t>
      </w:r>
      <w:r w:rsidRPr="00382917">
        <w:t>Máh-Kú?</w:t>
      </w:r>
      <w:r w:rsidR="009C713D" w:rsidRPr="00382917">
        <w:t>”</w:t>
      </w:r>
    </w:p>
    <w:p w:rsidR="00540E31" w:rsidRPr="00382917" w:rsidRDefault="00540E31" w:rsidP="00665A7A">
      <w:pPr>
        <w:pStyle w:val="Text"/>
      </w:pPr>
      <w:r w:rsidRPr="00382917">
        <w:t>The</w:t>
      </w:r>
      <w:r w:rsidR="00EE4FC3">
        <w:t xml:space="preserve"> </w:t>
      </w:r>
      <w:r w:rsidRPr="00382917">
        <w:t>Prime</w:t>
      </w:r>
      <w:r w:rsidR="00EE4FC3">
        <w:t xml:space="preserve"> </w:t>
      </w:r>
      <w:r w:rsidRPr="00382917">
        <w:t>Minister</w:t>
      </w:r>
      <w:r w:rsidR="00EE4FC3">
        <w:t xml:space="preserve"> </w:t>
      </w:r>
      <w:r w:rsidRPr="00382917">
        <w:t>replied,</w:t>
      </w:r>
      <w:r w:rsidR="00EE4FC3">
        <w:t xml:space="preserve"> </w:t>
      </w:r>
      <w:r w:rsidR="009C713D" w:rsidRPr="00382917">
        <w:t>“</w:t>
      </w:r>
      <w:r w:rsidRPr="00382917">
        <w:t>You</w:t>
      </w:r>
      <w:r w:rsidR="00EE4FC3">
        <w:t xml:space="preserve"> </w:t>
      </w:r>
      <w:r w:rsidRPr="00382917">
        <w:t>are</w:t>
      </w:r>
      <w:r w:rsidR="00EE4FC3">
        <w:t xml:space="preserve"> </w:t>
      </w:r>
      <w:r w:rsidRPr="00382917">
        <w:t>still</w:t>
      </w:r>
      <w:r w:rsidR="00EE4FC3">
        <w:t xml:space="preserve"> </w:t>
      </w:r>
      <w:r w:rsidRPr="00382917">
        <w:t>too</w:t>
      </w:r>
      <w:r w:rsidR="00EE4FC3">
        <w:t xml:space="preserve"> </w:t>
      </w:r>
      <w:r w:rsidRPr="00382917">
        <w:t>young</w:t>
      </w:r>
      <w:r w:rsidR="00EE4FC3">
        <w:t xml:space="preserve"> </w:t>
      </w:r>
      <w:r w:rsidRPr="00382917">
        <w:t>to</w:t>
      </w:r>
      <w:r w:rsidR="00EE4FC3">
        <w:t xml:space="preserve"> </w:t>
      </w:r>
      <w:r w:rsidRPr="00382917">
        <w:t>understand</w:t>
      </w:r>
      <w:r w:rsidR="00EE4FC3">
        <w:t xml:space="preserve"> </w:t>
      </w:r>
      <w:r w:rsidRPr="00382917">
        <w:t>certain</w:t>
      </w:r>
      <w:r w:rsidR="00EE4FC3">
        <w:t xml:space="preserve"> </w:t>
      </w:r>
      <w:r w:rsidRPr="00382917">
        <w:t>things,</w:t>
      </w:r>
      <w:r w:rsidR="00EE4FC3">
        <w:t xml:space="preserve"> </w:t>
      </w:r>
      <w:r w:rsidRPr="00382917">
        <w:t>but</w:t>
      </w:r>
      <w:r w:rsidR="00EE4FC3">
        <w:t xml:space="preserve"> </w:t>
      </w:r>
      <w:r w:rsidRPr="00382917">
        <w:t>know</w:t>
      </w:r>
      <w:r w:rsidR="00EE4FC3">
        <w:t xml:space="preserve"> </w:t>
      </w:r>
      <w:r w:rsidRPr="00382917">
        <w:t>this</w:t>
      </w:r>
      <w:r w:rsidR="00C03C91">
        <w:t>:</w:t>
      </w:r>
      <w:r w:rsidR="00EE4FC3">
        <w:t xml:space="preserve">  </w:t>
      </w:r>
      <w:r w:rsidRPr="00382917">
        <w:t>had</w:t>
      </w:r>
      <w:r w:rsidR="00EE4FC3">
        <w:t xml:space="preserve"> </w:t>
      </w:r>
      <w:r w:rsidRPr="00382917">
        <w:t>he</w:t>
      </w:r>
      <w:r w:rsidR="00EE4FC3">
        <w:t xml:space="preserve"> </w:t>
      </w:r>
      <w:r w:rsidRPr="00382917">
        <w:t>come</w:t>
      </w:r>
      <w:r w:rsidR="00EE4FC3">
        <w:t xml:space="preserve"> </w:t>
      </w:r>
      <w:r w:rsidRPr="00382917">
        <w:t>to</w:t>
      </w:r>
      <w:r w:rsidR="00EE4FC3">
        <w:t xml:space="preserve"> </w:t>
      </w:r>
      <w:r w:rsidRPr="00382917">
        <w:t>Ṭihrán,</w:t>
      </w:r>
      <w:r w:rsidR="00EE4FC3">
        <w:t xml:space="preserve"> </w:t>
      </w:r>
      <w:r w:rsidRPr="00382917">
        <w:t>you</w:t>
      </w:r>
      <w:r w:rsidR="00EE4FC3">
        <w:t xml:space="preserve"> </w:t>
      </w:r>
      <w:r w:rsidRPr="00382917">
        <w:t>and</w:t>
      </w:r>
      <w:r w:rsidR="00EE4FC3">
        <w:t xml:space="preserve"> </w:t>
      </w:r>
      <w:r w:rsidRPr="00382917">
        <w:t>I</w:t>
      </w:r>
      <w:r w:rsidR="00EE4FC3">
        <w:t xml:space="preserve"> </w:t>
      </w:r>
      <w:r w:rsidRPr="00382917">
        <w:t>would</w:t>
      </w:r>
      <w:r w:rsidR="00EE4FC3">
        <w:t xml:space="preserve"> </w:t>
      </w:r>
      <w:r w:rsidRPr="00382917">
        <w:t>not</w:t>
      </w:r>
      <w:r w:rsidR="00EE4FC3">
        <w:t xml:space="preserve"> </w:t>
      </w:r>
      <w:r w:rsidRPr="00382917">
        <w:t>at</w:t>
      </w:r>
      <w:r w:rsidR="00EE4FC3">
        <w:t xml:space="preserve"> </w:t>
      </w:r>
      <w:r w:rsidRPr="00382917">
        <w:t>this</w:t>
      </w:r>
      <w:r w:rsidR="00EE4FC3">
        <w:t xml:space="preserve"> </w:t>
      </w:r>
      <w:r w:rsidRPr="00382917">
        <w:t>moment</w:t>
      </w:r>
      <w:r w:rsidR="00EE4FC3">
        <w:t xml:space="preserve"> </w:t>
      </w:r>
      <w:r w:rsidRPr="00382917">
        <w:t>be</w:t>
      </w:r>
      <w:r w:rsidR="00EE4FC3">
        <w:t xml:space="preserve"> </w:t>
      </w:r>
      <w:r w:rsidRPr="00382917">
        <w:t>walking</w:t>
      </w:r>
      <w:r w:rsidR="00EE4FC3">
        <w:t xml:space="preserve"> </w:t>
      </w:r>
      <w:r w:rsidRPr="00382917">
        <w:t>free</w:t>
      </w:r>
      <w:r w:rsidR="00EE4FC3">
        <w:t xml:space="preserve"> </w:t>
      </w:r>
      <w:r w:rsidRPr="00382917">
        <w:t>from</w:t>
      </w:r>
      <w:r w:rsidR="00EE4FC3">
        <w:t xml:space="preserve"> </w:t>
      </w:r>
      <w:r w:rsidRPr="00382917">
        <w:t>care</w:t>
      </w:r>
      <w:r w:rsidR="00EE4FC3">
        <w:t xml:space="preserve"> </w:t>
      </w:r>
      <w:r w:rsidRPr="00382917">
        <w:t>in</w:t>
      </w:r>
      <w:r w:rsidR="00EE4FC3">
        <w:t xml:space="preserve"> </w:t>
      </w:r>
      <w:r w:rsidRPr="00382917">
        <w:t>this</w:t>
      </w:r>
      <w:r w:rsidR="00EE4FC3">
        <w:t xml:space="preserve"> </w:t>
      </w:r>
      <w:r w:rsidRPr="00382917">
        <w:t>cool</w:t>
      </w:r>
      <w:r w:rsidR="00EE4FC3">
        <w:t xml:space="preserve"> </w:t>
      </w:r>
      <w:r w:rsidRPr="00382917">
        <w:t>shade.</w:t>
      </w:r>
      <w:r w:rsidR="009C713D" w:rsidRPr="00382917">
        <w:t>”</w:t>
      </w:r>
    </w:p>
    <w:p w:rsidR="00540E31" w:rsidRPr="00382917" w:rsidRDefault="00540E31" w:rsidP="00665A7A">
      <w:pPr>
        <w:pStyle w:val="Text"/>
      </w:pPr>
      <w:r w:rsidRPr="00382917">
        <w:t>The</w:t>
      </w:r>
      <w:r w:rsidR="00EE4FC3">
        <w:t xml:space="preserve"> </w:t>
      </w:r>
      <w:r w:rsidRPr="00382917">
        <w:t>historical</w:t>
      </w:r>
      <w:r w:rsidR="00EE4FC3">
        <w:t xml:space="preserve"> </w:t>
      </w:r>
      <w:r w:rsidRPr="00382917">
        <w:t>document</w:t>
      </w:r>
      <w:r w:rsidR="00EE4FC3">
        <w:t xml:space="preserve"> </w:t>
      </w:r>
      <w:r w:rsidR="001713B3" w:rsidRPr="001713B3">
        <w:rPr>
          <w:i/>
          <w:iCs/>
        </w:rPr>
        <w:t>Journal</w:t>
      </w:r>
      <w:r w:rsidR="00EE4FC3">
        <w:rPr>
          <w:i/>
          <w:iCs/>
        </w:rPr>
        <w:t xml:space="preserve"> </w:t>
      </w:r>
      <w:proofErr w:type="spellStart"/>
      <w:r w:rsidR="001713B3" w:rsidRPr="001713B3">
        <w:rPr>
          <w:i/>
          <w:iCs/>
        </w:rPr>
        <w:t>Asiatique</w:t>
      </w:r>
      <w:proofErr w:type="spellEnd"/>
      <w:r w:rsidR="00EE4FC3">
        <w:t xml:space="preserve"> </w:t>
      </w:r>
      <w:r w:rsidRPr="00382917">
        <w:t>records</w:t>
      </w:r>
      <w:r w:rsidR="00C03C91">
        <w:t>:</w:t>
      </w:r>
      <w:r w:rsidR="00EE4FC3">
        <w:t xml:space="preserve">  </w:t>
      </w:r>
      <w:r w:rsidR="009C713D" w:rsidRPr="00382917">
        <w:t>“</w:t>
      </w:r>
      <w:r w:rsidRPr="00382917">
        <w:t>As</w:t>
      </w:r>
      <w:r w:rsidR="00EE4FC3">
        <w:t xml:space="preserve"> </w:t>
      </w:r>
      <w:r w:rsidRPr="00382917">
        <w:t>the</w:t>
      </w:r>
      <w:r w:rsidR="00EE4FC3">
        <w:t xml:space="preserve"> </w:t>
      </w:r>
      <w:r w:rsidRPr="00382917">
        <w:t>order</w:t>
      </w:r>
      <w:r w:rsidR="00EE4FC3">
        <w:t xml:space="preserve"> </w:t>
      </w:r>
      <w:r w:rsidRPr="00382917">
        <w:t>of</w:t>
      </w:r>
      <w:r w:rsidR="00EE4FC3">
        <w:t xml:space="preserve"> </w:t>
      </w:r>
      <w:r w:rsidRPr="00382917">
        <w:t>the</w:t>
      </w:r>
      <w:r w:rsidR="00EE4FC3">
        <w:t xml:space="preserve"> </w:t>
      </w:r>
      <w:r w:rsidRPr="00382917">
        <w:t>Prime</w:t>
      </w:r>
      <w:r w:rsidR="00EE4FC3">
        <w:t xml:space="preserve"> </w:t>
      </w:r>
      <w:r w:rsidRPr="00382917">
        <w:t>Minister,</w:t>
      </w:r>
      <w:r w:rsidR="00EE4FC3">
        <w:t xml:space="preserve"> </w:t>
      </w:r>
      <w:r w:rsidRPr="00382917">
        <w:t>Ḥájí</w:t>
      </w:r>
      <w:r w:rsidR="00EE4FC3">
        <w:t xml:space="preserve"> </w:t>
      </w:r>
      <w:r w:rsidRPr="00382917">
        <w:t>Mírzá</w:t>
      </w:r>
      <w:r w:rsidR="00EE4FC3">
        <w:t xml:space="preserve"> </w:t>
      </w:r>
      <w:r w:rsidRPr="00382917">
        <w:t>Áqásí,</w:t>
      </w:r>
      <w:r w:rsidR="00EE4FC3">
        <w:t xml:space="preserve"> </w:t>
      </w:r>
      <w:r w:rsidRPr="00382917">
        <w:t>became</w:t>
      </w:r>
      <w:r w:rsidR="00EE4FC3">
        <w:t xml:space="preserve"> </w:t>
      </w:r>
      <w:r w:rsidRPr="00382917">
        <w:t>generally</w:t>
      </w:r>
      <w:r w:rsidR="00EE4FC3">
        <w:t xml:space="preserve"> </w:t>
      </w:r>
      <w:r w:rsidRPr="00382917">
        <w:t>known</w:t>
      </w:r>
      <w:r w:rsidR="00EE4FC3">
        <w:t xml:space="preserve"> </w:t>
      </w:r>
      <w:r w:rsidR="00F04416" w:rsidRPr="00382917">
        <w:t>…</w:t>
      </w:r>
      <w:r w:rsidR="00EE4FC3">
        <w:t xml:space="preserve"> </w:t>
      </w:r>
      <w:r w:rsidRPr="00382917">
        <w:t>from</w:t>
      </w:r>
      <w:r w:rsidR="00EE4FC3">
        <w:t xml:space="preserve"> </w:t>
      </w:r>
      <w:r w:rsidRPr="00382917">
        <w:t>Iṣfahán</w:t>
      </w:r>
      <w:r w:rsidR="00EE4FC3">
        <w:t xml:space="preserve"> </w:t>
      </w:r>
      <w:r w:rsidRPr="00382917">
        <w:t>to</w:t>
      </w:r>
      <w:r w:rsidR="00EE4FC3">
        <w:t xml:space="preserve"> </w:t>
      </w:r>
      <w:r w:rsidR="00665A7A" w:rsidRPr="00382917">
        <w:t>Ṭ</w:t>
      </w:r>
      <w:r w:rsidRPr="00382917">
        <w:t>ihrán</w:t>
      </w:r>
      <w:r w:rsidR="00EE4FC3">
        <w:t xml:space="preserve"> </w:t>
      </w:r>
      <w:r w:rsidRPr="00382917">
        <w:t>everyone</w:t>
      </w:r>
      <w:r w:rsidR="00EE4FC3">
        <w:t xml:space="preserve"> </w:t>
      </w:r>
      <w:r w:rsidRPr="00382917">
        <w:t>spoke</w:t>
      </w:r>
      <w:r w:rsidR="00EE4FC3">
        <w:t xml:space="preserve"> </w:t>
      </w:r>
      <w:r w:rsidRPr="00382917">
        <w:t>of</w:t>
      </w:r>
      <w:r w:rsidR="00EE4FC3">
        <w:t xml:space="preserve"> </w:t>
      </w:r>
      <w:r w:rsidRPr="00382917">
        <w:t>the</w:t>
      </w:r>
      <w:r w:rsidR="00EE4FC3">
        <w:t xml:space="preserve"> </w:t>
      </w:r>
      <w:r w:rsidRPr="00382917">
        <w:t>iniquity</w:t>
      </w:r>
      <w:r w:rsidR="00EE4FC3">
        <w:t xml:space="preserve"> </w:t>
      </w:r>
      <w:r w:rsidRPr="00382917">
        <w:t>of</w:t>
      </w:r>
      <w:r w:rsidR="00EE4FC3">
        <w:t xml:space="preserve"> </w:t>
      </w:r>
      <w:r w:rsidRPr="00382917">
        <w:t>the</w:t>
      </w:r>
      <w:r w:rsidR="00EE4FC3">
        <w:t xml:space="preserve"> </w:t>
      </w:r>
      <w:r w:rsidRPr="00382917">
        <w:t>clergy</w:t>
      </w:r>
      <w:r w:rsidR="00EE4FC3">
        <w:t xml:space="preserve"> </w:t>
      </w:r>
      <w:r w:rsidRPr="00382917">
        <w:t>and</w:t>
      </w:r>
      <w:r w:rsidR="00EE4FC3">
        <w:t xml:space="preserve"> </w:t>
      </w:r>
      <w:r w:rsidRPr="00382917">
        <w:t>of</w:t>
      </w:r>
      <w:r w:rsidR="00EE4FC3">
        <w:t xml:space="preserve"> </w:t>
      </w:r>
      <w:r w:rsidRPr="00382917">
        <w:t>the</w:t>
      </w:r>
      <w:r w:rsidR="00EE4FC3">
        <w:t xml:space="preserve"> </w:t>
      </w:r>
      <w:r w:rsidRPr="00382917">
        <w:t>government</w:t>
      </w:r>
      <w:r w:rsidR="00EE4FC3">
        <w:t xml:space="preserve"> </w:t>
      </w:r>
      <w:r w:rsidRPr="00382917">
        <w:t>towards</w:t>
      </w:r>
      <w:r w:rsidR="00EE4FC3">
        <w:t xml:space="preserve"> </w:t>
      </w:r>
      <w:r w:rsidRPr="00382917">
        <w:t>the</w:t>
      </w:r>
      <w:r w:rsidR="00EE4FC3">
        <w:t xml:space="preserve"> </w:t>
      </w:r>
      <w:r w:rsidRPr="00382917">
        <w:t>Báb;</w:t>
      </w:r>
      <w:r w:rsidR="00EE4FC3">
        <w:t xml:space="preserve"> </w:t>
      </w:r>
      <w:r w:rsidRPr="00382917">
        <w:t>everywhere</w:t>
      </w:r>
      <w:r w:rsidR="00EE4FC3">
        <w:t xml:space="preserve"> </w:t>
      </w:r>
      <w:r w:rsidRPr="00382917">
        <w:t>the</w:t>
      </w:r>
      <w:r w:rsidR="00EE4FC3">
        <w:t xml:space="preserve"> </w:t>
      </w:r>
      <w:r w:rsidRPr="00382917">
        <w:t>people</w:t>
      </w:r>
      <w:r w:rsidR="00EE4FC3">
        <w:t xml:space="preserve"> </w:t>
      </w:r>
      <w:r w:rsidRPr="00382917">
        <w:t>muttered</w:t>
      </w:r>
      <w:r w:rsidR="00EE4FC3">
        <w:t xml:space="preserve"> </w:t>
      </w:r>
      <w:r w:rsidRPr="00382917">
        <w:t>and</w:t>
      </w:r>
      <w:r w:rsidR="00EE4FC3">
        <w:t xml:space="preserve"> </w:t>
      </w:r>
      <w:r w:rsidRPr="00382917">
        <w:t>exclaimed</w:t>
      </w:r>
      <w:r w:rsidR="00EE4FC3">
        <w:t xml:space="preserve"> </w:t>
      </w:r>
      <w:r w:rsidRPr="00382917">
        <w:t>against</w:t>
      </w:r>
      <w:r w:rsidR="00EE4FC3">
        <w:t xml:space="preserve"> </w:t>
      </w:r>
      <w:r w:rsidRPr="00382917">
        <w:t>such</w:t>
      </w:r>
      <w:r w:rsidR="00EE4FC3">
        <w:t xml:space="preserve"> </w:t>
      </w:r>
      <w:r w:rsidRPr="00382917">
        <w:t>an</w:t>
      </w:r>
      <w:r w:rsidR="00EE4FC3">
        <w:t xml:space="preserve"> </w:t>
      </w:r>
      <w:r w:rsidRPr="00382917">
        <w:t>injustice.</w:t>
      </w:r>
      <w:r w:rsidR="009C713D" w:rsidRPr="00382917">
        <w:t>”</w:t>
      </w:r>
    </w:p>
    <w:p w:rsidR="00540E31" w:rsidRPr="00382917" w:rsidRDefault="00540E31" w:rsidP="00665A7A">
      <w:pPr>
        <w:pStyle w:val="Text"/>
      </w:pPr>
      <w:r w:rsidRPr="00382917">
        <w:t>The</w:t>
      </w:r>
      <w:r w:rsidR="00EE4FC3">
        <w:t xml:space="preserve"> </w:t>
      </w:r>
      <w:r w:rsidRPr="00382917">
        <w:t>Báb</w:t>
      </w:r>
      <w:r w:rsidR="00EE4FC3">
        <w:t xml:space="preserve"> </w:t>
      </w:r>
      <w:r w:rsidRPr="00382917">
        <w:t>was</w:t>
      </w:r>
      <w:r w:rsidR="00EE4FC3">
        <w:t xml:space="preserve"> </w:t>
      </w:r>
      <w:r w:rsidRPr="00382917">
        <w:t>ordered</w:t>
      </w:r>
      <w:r w:rsidR="00EE4FC3">
        <w:t xml:space="preserve"> </w:t>
      </w:r>
      <w:r w:rsidRPr="00382917">
        <w:t>to</w:t>
      </w:r>
      <w:r w:rsidR="00EE4FC3">
        <w:t xml:space="preserve"> </w:t>
      </w:r>
      <w:r w:rsidRPr="00382917">
        <w:t>proceed</w:t>
      </w:r>
      <w:r w:rsidR="00EE4FC3">
        <w:t xml:space="preserve"> </w:t>
      </w:r>
      <w:r w:rsidRPr="00382917">
        <w:t>first</w:t>
      </w:r>
      <w:r w:rsidR="00EE4FC3">
        <w:t xml:space="preserve"> </w:t>
      </w:r>
      <w:r w:rsidRPr="00382917">
        <w:t>to</w:t>
      </w:r>
      <w:r w:rsidR="00EE4FC3">
        <w:t xml:space="preserve"> </w:t>
      </w:r>
      <w:r w:rsidRPr="00382917">
        <w:t>Tabríz</w:t>
      </w:r>
      <w:r w:rsidR="00C03C91">
        <w:t>.</w:t>
      </w:r>
      <w:r w:rsidR="00EE4FC3">
        <w:t xml:space="preserve">  </w:t>
      </w:r>
      <w:r w:rsidRPr="00382917">
        <w:t>He</w:t>
      </w:r>
      <w:r w:rsidR="00EE4FC3">
        <w:t xml:space="preserve"> </w:t>
      </w:r>
      <w:r w:rsidRPr="00382917">
        <w:t>refused</w:t>
      </w:r>
      <w:r w:rsidR="00EE4FC3">
        <w:t xml:space="preserve"> </w:t>
      </w:r>
      <w:r w:rsidRPr="00382917">
        <w:t>to</w:t>
      </w:r>
      <w:r w:rsidR="00EE4FC3">
        <w:t xml:space="preserve"> </w:t>
      </w:r>
      <w:r w:rsidRPr="00382917">
        <w:t>accept</w:t>
      </w:r>
      <w:r w:rsidR="00EE4FC3">
        <w:t xml:space="preserve"> </w:t>
      </w:r>
      <w:r w:rsidRPr="00382917">
        <w:t>the</w:t>
      </w:r>
      <w:r w:rsidR="00EE4FC3">
        <w:t xml:space="preserve"> </w:t>
      </w:r>
      <w:r w:rsidRPr="00382917">
        <w:t>funds</w:t>
      </w:r>
      <w:r w:rsidR="00EE4FC3">
        <w:t xml:space="preserve"> </w:t>
      </w:r>
      <w:r w:rsidRPr="00382917">
        <w:t>provided</w:t>
      </w:r>
      <w:r w:rsidR="00EE4FC3">
        <w:t xml:space="preserve"> </w:t>
      </w:r>
      <w:r w:rsidRPr="00382917">
        <w:t>by</w:t>
      </w:r>
      <w:r w:rsidR="00EE4FC3">
        <w:t xml:space="preserve"> </w:t>
      </w:r>
      <w:r w:rsidRPr="00382917">
        <w:t>the</w:t>
      </w:r>
      <w:r w:rsidR="00EE4FC3">
        <w:t xml:space="preserve"> </w:t>
      </w:r>
      <w:r w:rsidRPr="00382917">
        <w:t>government</w:t>
      </w:r>
      <w:r w:rsidR="00EE4FC3">
        <w:t xml:space="preserve"> </w:t>
      </w:r>
      <w:r w:rsidRPr="00382917">
        <w:t>for</w:t>
      </w:r>
      <w:r w:rsidR="00EE4FC3">
        <w:t xml:space="preserve"> </w:t>
      </w:r>
      <w:r w:rsidRPr="00382917">
        <w:t>the</w:t>
      </w:r>
      <w:r w:rsidR="00EE4FC3">
        <w:t xml:space="preserve"> </w:t>
      </w:r>
      <w:r w:rsidRPr="00382917">
        <w:t>expense</w:t>
      </w:r>
      <w:r w:rsidR="00EE4FC3">
        <w:t xml:space="preserve"> </w:t>
      </w:r>
      <w:r w:rsidRPr="00382917">
        <w:t>of</w:t>
      </w:r>
      <w:r w:rsidR="00EE4FC3">
        <w:t xml:space="preserve"> </w:t>
      </w:r>
      <w:r w:rsidRPr="00382917">
        <w:t>the</w:t>
      </w:r>
      <w:r w:rsidR="00EE4FC3">
        <w:t xml:space="preserve"> </w:t>
      </w:r>
      <w:r w:rsidRPr="00382917">
        <w:t>journey</w:t>
      </w:r>
      <w:r w:rsidR="00C03C91">
        <w:t>.</w:t>
      </w:r>
      <w:r w:rsidR="00EE4FC3">
        <w:t xml:space="preserve">  </w:t>
      </w:r>
      <w:r w:rsidRPr="00382917">
        <w:t>All</w:t>
      </w:r>
      <w:r w:rsidR="00EE4FC3">
        <w:t xml:space="preserve"> </w:t>
      </w:r>
      <w:r w:rsidRPr="00382917">
        <w:t>of</w:t>
      </w:r>
      <w:r w:rsidR="00EE4FC3">
        <w:t xml:space="preserve"> </w:t>
      </w:r>
      <w:r w:rsidRPr="00382917">
        <w:t>the</w:t>
      </w:r>
      <w:r w:rsidR="00EE4FC3">
        <w:t xml:space="preserve"> </w:t>
      </w:r>
      <w:r w:rsidRPr="00382917">
        <w:t>allowances</w:t>
      </w:r>
      <w:r w:rsidR="00EE4FC3">
        <w:t xml:space="preserve"> </w:t>
      </w:r>
      <w:r w:rsidRPr="00382917">
        <w:t>that</w:t>
      </w:r>
      <w:r w:rsidR="00EE4FC3">
        <w:t xml:space="preserve"> </w:t>
      </w:r>
      <w:r w:rsidRPr="00382917">
        <w:t>were</w:t>
      </w:r>
      <w:r w:rsidR="00EE4FC3">
        <w:t xml:space="preserve"> </w:t>
      </w:r>
      <w:r w:rsidRPr="00382917">
        <w:t>given</w:t>
      </w:r>
      <w:r w:rsidR="00EE4FC3">
        <w:t xml:space="preserve"> </w:t>
      </w:r>
      <w:r w:rsidRPr="00382917">
        <w:t>by</w:t>
      </w:r>
      <w:r w:rsidR="00EE4FC3">
        <w:t xml:space="preserve"> </w:t>
      </w:r>
      <w:r w:rsidRPr="00382917">
        <w:t>the</w:t>
      </w:r>
      <w:r w:rsidR="00EE4FC3">
        <w:t xml:space="preserve"> </w:t>
      </w:r>
      <w:r w:rsidRPr="00382917">
        <w:t>Prime</w:t>
      </w:r>
      <w:r w:rsidR="00EE4FC3">
        <w:t xml:space="preserve"> </w:t>
      </w:r>
      <w:r w:rsidRPr="00382917">
        <w:t>Minister,</w:t>
      </w:r>
      <w:r w:rsidR="00EE4FC3">
        <w:t xml:space="preserve"> </w:t>
      </w:r>
      <w:r w:rsidRPr="00382917">
        <w:t>the</w:t>
      </w:r>
      <w:r w:rsidR="00EE4FC3">
        <w:t xml:space="preserve"> </w:t>
      </w:r>
      <w:r w:rsidRPr="00382917">
        <w:t>Báb</w:t>
      </w:r>
      <w:r w:rsidR="00EE4FC3">
        <w:t xml:space="preserve"> </w:t>
      </w:r>
      <w:r w:rsidRPr="00382917">
        <w:t>bestowed</w:t>
      </w:r>
      <w:r w:rsidR="00EE4FC3">
        <w:t xml:space="preserve"> </w:t>
      </w:r>
      <w:r w:rsidRPr="00382917">
        <w:t>upon</w:t>
      </w:r>
      <w:r w:rsidR="00EE4FC3">
        <w:t xml:space="preserve"> </w:t>
      </w:r>
      <w:r w:rsidRPr="00382917">
        <w:t>the</w:t>
      </w:r>
      <w:r w:rsidR="00EE4FC3">
        <w:t xml:space="preserve"> </w:t>
      </w:r>
      <w:r w:rsidRPr="00382917">
        <w:t>poor</w:t>
      </w:r>
      <w:r w:rsidR="00C03C91">
        <w:t>.</w:t>
      </w:r>
      <w:r w:rsidR="00EE4FC3">
        <w:t xml:space="preserve">  </w:t>
      </w:r>
      <w:r w:rsidRPr="00382917">
        <w:t>For</w:t>
      </w:r>
      <w:r w:rsidR="00EE4FC3">
        <w:t xml:space="preserve"> </w:t>
      </w:r>
      <w:r w:rsidRPr="00382917">
        <w:t>His</w:t>
      </w:r>
      <w:r w:rsidR="00EE4FC3">
        <w:t xml:space="preserve"> </w:t>
      </w:r>
      <w:r w:rsidRPr="00382917">
        <w:t>own</w:t>
      </w:r>
      <w:r w:rsidR="00EE4FC3">
        <w:t xml:space="preserve"> </w:t>
      </w:r>
      <w:r w:rsidRPr="00382917">
        <w:t>needs,</w:t>
      </w:r>
      <w:r w:rsidR="00EE4FC3">
        <w:t xml:space="preserve"> </w:t>
      </w:r>
      <w:r w:rsidRPr="00382917">
        <w:t>He</w:t>
      </w:r>
      <w:r w:rsidR="00EE4FC3">
        <w:t xml:space="preserve"> </w:t>
      </w:r>
      <w:r w:rsidRPr="00382917">
        <w:t>used</w:t>
      </w:r>
      <w:r w:rsidR="00EE4FC3">
        <w:t xml:space="preserve"> </w:t>
      </w:r>
      <w:r w:rsidRPr="00382917">
        <w:t>the</w:t>
      </w:r>
      <w:r w:rsidR="00EE4FC3">
        <w:t xml:space="preserve"> </w:t>
      </w:r>
      <w:r w:rsidRPr="00382917">
        <w:t>money</w:t>
      </w:r>
      <w:r w:rsidR="00EE4FC3">
        <w:t xml:space="preserve"> </w:t>
      </w:r>
      <w:r w:rsidRPr="00382917">
        <w:t>which</w:t>
      </w:r>
      <w:r w:rsidR="00EE4FC3">
        <w:t xml:space="preserve"> </w:t>
      </w:r>
      <w:r w:rsidRPr="00382917">
        <w:t>He</w:t>
      </w:r>
      <w:r w:rsidR="00EE4FC3">
        <w:t xml:space="preserve"> </w:t>
      </w:r>
      <w:r w:rsidRPr="00382917">
        <w:t>had</w:t>
      </w:r>
      <w:r w:rsidR="00EE4FC3">
        <w:t xml:space="preserve"> </w:t>
      </w:r>
      <w:r w:rsidRPr="00382917">
        <w:t>earned</w:t>
      </w:r>
      <w:r w:rsidR="00EE4FC3">
        <w:t xml:space="preserve"> </w:t>
      </w:r>
      <w:r w:rsidRPr="00382917">
        <w:t>as</w:t>
      </w:r>
      <w:r w:rsidR="00EE4FC3">
        <w:t xml:space="preserve"> </w:t>
      </w:r>
      <w:r w:rsidRPr="00382917">
        <w:t>a</w:t>
      </w:r>
      <w:r w:rsidR="00EE4FC3">
        <w:t xml:space="preserve"> </w:t>
      </w:r>
      <w:r w:rsidRPr="00382917">
        <w:t>merchant.</w:t>
      </w:r>
    </w:p>
    <w:p w:rsidR="00540E31" w:rsidRPr="00382917" w:rsidRDefault="00540E31" w:rsidP="00C03C91">
      <w:pPr>
        <w:pStyle w:val="Text"/>
      </w:pPr>
      <w:r w:rsidRPr="00382917">
        <w:t>Rigid</w:t>
      </w:r>
      <w:r w:rsidR="00EE4FC3">
        <w:t xml:space="preserve"> </w:t>
      </w:r>
      <w:r w:rsidRPr="00382917">
        <w:t>orders</w:t>
      </w:r>
      <w:r w:rsidR="00EE4FC3">
        <w:t xml:space="preserve"> </w:t>
      </w:r>
      <w:r w:rsidRPr="00382917">
        <w:t>were</w:t>
      </w:r>
      <w:r w:rsidR="00EE4FC3">
        <w:t xml:space="preserve"> </w:t>
      </w:r>
      <w:r w:rsidRPr="00382917">
        <w:t>given</w:t>
      </w:r>
      <w:r w:rsidR="00EE4FC3">
        <w:t xml:space="preserve"> </w:t>
      </w:r>
      <w:r w:rsidRPr="00382917">
        <w:t>to</w:t>
      </w:r>
      <w:r w:rsidR="00EE4FC3">
        <w:t xml:space="preserve"> </w:t>
      </w:r>
      <w:r w:rsidRPr="00382917">
        <w:t>avoid</w:t>
      </w:r>
      <w:r w:rsidR="00EE4FC3">
        <w:t xml:space="preserve"> </w:t>
      </w:r>
      <w:r w:rsidRPr="00382917">
        <w:t>entering</w:t>
      </w:r>
      <w:r w:rsidR="00EE4FC3">
        <w:t xml:space="preserve"> </w:t>
      </w:r>
      <w:r w:rsidRPr="00382917">
        <w:t>any</w:t>
      </w:r>
      <w:r w:rsidR="00EE4FC3">
        <w:t xml:space="preserve"> </w:t>
      </w:r>
      <w:r w:rsidRPr="00382917">
        <w:t>of</w:t>
      </w:r>
      <w:r w:rsidR="00EE4FC3">
        <w:t xml:space="preserve"> </w:t>
      </w:r>
      <w:r w:rsidRPr="00382917">
        <w:t>the</w:t>
      </w:r>
      <w:r w:rsidR="00EE4FC3">
        <w:t xml:space="preserve"> </w:t>
      </w:r>
      <w:r w:rsidRPr="00382917">
        <w:t>towns</w:t>
      </w:r>
      <w:r w:rsidR="00EE4FC3">
        <w:t xml:space="preserve"> </w:t>
      </w:r>
      <w:r w:rsidRPr="00382917">
        <w:t>on</w:t>
      </w:r>
      <w:r w:rsidR="00EE4FC3">
        <w:t xml:space="preserve"> </w:t>
      </w:r>
      <w:r w:rsidRPr="00382917">
        <w:t>the</w:t>
      </w:r>
      <w:r w:rsidR="00EE4FC3">
        <w:t xml:space="preserve"> </w:t>
      </w:r>
      <w:r w:rsidRPr="00382917">
        <w:t>journey</w:t>
      </w:r>
      <w:r w:rsidR="00EE4FC3">
        <w:t xml:space="preserve"> </w:t>
      </w:r>
      <w:r w:rsidRPr="00382917">
        <w:t>to</w:t>
      </w:r>
      <w:r w:rsidR="00EE4FC3">
        <w:t xml:space="preserve"> </w:t>
      </w:r>
      <w:r w:rsidRPr="00382917">
        <w:t>Tabr</w:t>
      </w:r>
      <w:r w:rsidR="00C03C91" w:rsidRPr="00C03C91">
        <w:t>í</w:t>
      </w:r>
      <w:r w:rsidRPr="00382917">
        <w:t>z</w:t>
      </w:r>
      <w:r w:rsidR="00C03C91">
        <w:t>.</w:t>
      </w:r>
      <w:r w:rsidR="00EE4FC3">
        <w:t xml:space="preserve">  </w:t>
      </w:r>
      <w:r w:rsidRPr="00382917">
        <w:t>When</w:t>
      </w:r>
      <w:r w:rsidR="00EE4FC3">
        <w:t xml:space="preserve"> </w:t>
      </w:r>
      <w:r w:rsidRPr="00382917">
        <w:t>the</w:t>
      </w:r>
      <w:r w:rsidR="00EE4FC3">
        <w:t xml:space="preserve"> </w:t>
      </w:r>
      <w:r w:rsidRPr="00382917">
        <w:t>party</w:t>
      </w:r>
      <w:r w:rsidR="00EE4FC3">
        <w:t xml:space="preserve"> </w:t>
      </w:r>
      <w:r w:rsidRPr="00382917">
        <w:t>at</w:t>
      </w:r>
      <w:r w:rsidR="00EE4FC3">
        <w:t xml:space="preserve"> </w:t>
      </w:r>
      <w:r w:rsidRPr="00382917">
        <w:t>last</w:t>
      </w:r>
      <w:r w:rsidR="00EE4FC3">
        <w:t xml:space="preserve"> </w:t>
      </w:r>
      <w:r w:rsidRPr="00382917">
        <w:t>approached</w:t>
      </w:r>
      <w:r w:rsidR="00EE4FC3">
        <w:t xml:space="preserve"> </w:t>
      </w:r>
      <w:r w:rsidRPr="00382917">
        <w:t>the</w:t>
      </w:r>
      <w:r w:rsidR="00EE4FC3">
        <w:t xml:space="preserve"> </w:t>
      </w:r>
      <w:r w:rsidRPr="00382917">
        <w:t>gate</w:t>
      </w:r>
      <w:r w:rsidR="00EE4FC3">
        <w:t xml:space="preserve"> </w:t>
      </w:r>
      <w:r w:rsidRPr="00382917">
        <w:t>of</w:t>
      </w:r>
      <w:r w:rsidR="00EE4FC3">
        <w:t xml:space="preserve"> </w:t>
      </w:r>
      <w:r w:rsidRPr="00382917">
        <w:t>the</w:t>
      </w:r>
      <w:r w:rsidR="00EE4FC3">
        <w:t xml:space="preserve"> </w:t>
      </w:r>
      <w:r w:rsidRPr="00382917">
        <w:t>city,</w:t>
      </w:r>
      <w:r w:rsidR="00EE4FC3">
        <w:t xml:space="preserve"> </w:t>
      </w:r>
      <w:r w:rsidRPr="00382917">
        <w:t>the</w:t>
      </w:r>
      <w:r w:rsidR="00EE4FC3">
        <w:t xml:space="preserve"> </w:t>
      </w:r>
      <w:r w:rsidRPr="00382917">
        <w:t>leader</w:t>
      </w:r>
      <w:r w:rsidR="00EE4FC3">
        <w:t xml:space="preserve"> </w:t>
      </w:r>
      <w:r w:rsidRPr="00382917">
        <w:t>of</w:t>
      </w:r>
      <w:r w:rsidR="00EE4FC3">
        <w:t xml:space="preserve"> </w:t>
      </w:r>
      <w:r w:rsidRPr="00382917">
        <w:t>the</w:t>
      </w:r>
      <w:r w:rsidR="00EE4FC3">
        <w:t xml:space="preserve"> </w:t>
      </w:r>
      <w:r w:rsidRPr="00382917">
        <w:t>escort,</w:t>
      </w:r>
      <w:r w:rsidR="00EE4FC3">
        <w:t xml:space="preserve"> </w:t>
      </w:r>
      <w:r w:rsidR="0040329F" w:rsidRPr="00382917">
        <w:t>Mu</w:t>
      </w:r>
      <w:r w:rsidR="0040329F" w:rsidRPr="0040329F">
        <w:t>ḥ</w:t>
      </w:r>
      <w:r w:rsidR="0040329F" w:rsidRPr="00382917">
        <w:t>ammad</w:t>
      </w:r>
      <w:r w:rsidR="00EE4FC3">
        <w:t xml:space="preserve"> </w:t>
      </w:r>
      <w:r w:rsidRPr="00382917">
        <w:t>Big,</w:t>
      </w:r>
      <w:r w:rsidR="00EE4FC3">
        <w:t xml:space="preserve"> </w:t>
      </w:r>
      <w:r w:rsidRPr="00382917">
        <w:t>approached</w:t>
      </w:r>
      <w:r w:rsidR="00EE4FC3">
        <w:t xml:space="preserve"> </w:t>
      </w:r>
      <w:r w:rsidRPr="00382917">
        <w:t>the</w:t>
      </w:r>
      <w:r w:rsidR="00EE4FC3">
        <w:t xml:space="preserve"> </w:t>
      </w:r>
      <w:r w:rsidRPr="00382917">
        <w:t>Báb.</w:t>
      </w:r>
    </w:p>
    <w:p w:rsidR="00540E31" w:rsidRPr="00382917" w:rsidRDefault="009C713D" w:rsidP="00665A7A">
      <w:pPr>
        <w:pStyle w:val="Text"/>
      </w:pPr>
      <w:r w:rsidRPr="00382917">
        <w:t>“</w:t>
      </w:r>
      <w:r w:rsidR="00540E31" w:rsidRPr="00382917">
        <w:t>The</w:t>
      </w:r>
      <w:r w:rsidR="00EE4FC3">
        <w:t xml:space="preserve"> </w:t>
      </w:r>
      <w:r w:rsidR="00540E31" w:rsidRPr="00382917">
        <w:t>journey</w:t>
      </w:r>
      <w:r w:rsidR="00EE4FC3">
        <w:t xml:space="preserve"> </w:t>
      </w:r>
      <w:r w:rsidR="00540E31" w:rsidRPr="00382917">
        <w:t>from</w:t>
      </w:r>
      <w:r w:rsidR="00EE4FC3">
        <w:t xml:space="preserve"> </w:t>
      </w:r>
      <w:r w:rsidR="00540E31" w:rsidRPr="00382917">
        <w:t>Iṣfahán,</w:t>
      </w:r>
      <w:r w:rsidRPr="00382917">
        <w:t>”</w:t>
      </w:r>
      <w:r w:rsidR="00EE4FC3">
        <w:t xml:space="preserve"> </w:t>
      </w:r>
      <w:r w:rsidR="00540E31" w:rsidRPr="00382917">
        <w:t>he</w:t>
      </w:r>
      <w:r w:rsidR="00EE4FC3">
        <w:t xml:space="preserve"> </w:t>
      </w:r>
      <w:r w:rsidR="00540E31" w:rsidRPr="00382917">
        <w:t>said,</w:t>
      </w:r>
      <w:r w:rsidR="00EE4FC3">
        <w:t xml:space="preserve"> </w:t>
      </w:r>
      <w:r w:rsidRPr="00382917">
        <w:t>“</w:t>
      </w:r>
      <w:r w:rsidR="00540E31" w:rsidRPr="00382917">
        <w:t>has</w:t>
      </w:r>
      <w:r w:rsidR="00EE4FC3">
        <w:t xml:space="preserve"> </w:t>
      </w:r>
      <w:r w:rsidR="00540E31" w:rsidRPr="00382917">
        <w:t>been</w:t>
      </w:r>
      <w:r w:rsidR="00EE4FC3">
        <w:t xml:space="preserve"> </w:t>
      </w:r>
      <w:r w:rsidR="00540E31" w:rsidRPr="00382917">
        <w:t>long</w:t>
      </w:r>
      <w:r w:rsidR="00EE4FC3">
        <w:t xml:space="preserve"> </w:t>
      </w:r>
      <w:r w:rsidR="00540E31" w:rsidRPr="00382917">
        <w:t>and</w:t>
      </w:r>
      <w:r w:rsidR="00EE4FC3">
        <w:t xml:space="preserve"> </w:t>
      </w:r>
      <w:r w:rsidR="00540E31" w:rsidRPr="00382917">
        <w:t>arduous</w:t>
      </w:r>
      <w:r w:rsidR="00C03C91">
        <w:t>.</w:t>
      </w:r>
      <w:r w:rsidR="00EE4FC3">
        <w:t xml:space="preserve">  </w:t>
      </w:r>
      <w:r w:rsidR="00540E31" w:rsidRPr="00382917">
        <w:t>I</w:t>
      </w:r>
      <w:r w:rsidR="00EE4FC3">
        <w:t xml:space="preserve"> </w:t>
      </w:r>
      <w:r w:rsidR="00540E31" w:rsidRPr="00382917">
        <w:t>feel</w:t>
      </w:r>
      <w:r w:rsidR="00EE4FC3">
        <w:t xml:space="preserve"> </w:t>
      </w:r>
      <w:r w:rsidR="00540E31" w:rsidRPr="00382917">
        <w:t>I</w:t>
      </w:r>
      <w:r w:rsidR="00EE4FC3">
        <w:t xml:space="preserve"> </w:t>
      </w:r>
      <w:r w:rsidR="00540E31" w:rsidRPr="00382917">
        <w:t>have</w:t>
      </w:r>
      <w:r w:rsidR="00EE4FC3">
        <w:t xml:space="preserve"> </w:t>
      </w:r>
      <w:r w:rsidR="00540E31" w:rsidRPr="00382917">
        <w:t>failed</w:t>
      </w:r>
      <w:r w:rsidR="00EE4FC3">
        <w:t xml:space="preserve"> </w:t>
      </w:r>
      <w:r w:rsidR="00540E31" w:rsidRPr="00382917">
        <w:t>to</w:t>
      </w:r>
      <w:r w:rsidR="00EE4FC3">
        <w:t xml:space="preserve"> </w:t>
      </w:r>
      <w:r w:rsidR="00540E31" w:rsidRPr="00382917">
        <w:t>do</w:t>
      </w:r>
      <w:r w:rsidR="00EE4FC3">
        <w:t xml:space="preserve"> </w:t>
      </w:r>
      <w:r w:rsidR="00540E31" w:rsidRPr="00382917">
        <w:t>my</w:t>
      </w:r>
      <w:r w:rsidR="00EE4FC3">
        <w:t xml:space="preserve"> </w:t>
      </w:r>
      <w:r w:rsidR="00540E31" w:rsidRPr="00382917">
        <w:t>duty</w:t>
      </w:r>
      <w:r w:rsidR="00EE4FC3">
        <w:t xml:space="preserve"> </w:t>
      </w:r>
      <w:r w:rsidR="00540E31" w:rsidRPr="00382917">
        <w:t>toward</w:t>
      </w:r>
      <w:r w:rsidR="00EE4FC3">
        <w:t xml:space="preserve"> </w:t>
      </w:r>
      <w:r w:rsidR="00540E31" w:rsidRPr="00382917">
        <w:t>you,</w:t>
      </w:r>
      <w:r w:rsidR="00EE4FC3">
        <w:t xml:space="preserve"> </w:t>
      </w:r>
      <w:r w:rsidR="00540E31" w:rsidRPr="00382917">
        <w:t>and</w:t>
      </w:r>
      <w:r w:rsidR="00EE4FC3">
        <w:t xml:space="preserve"> </w:t>
      </w:r>
      <w:r w:rsidR="00540E31" w:rsidRPr="00382917">
        <w:t>have</w:t>
      </w:r>
      <w:r w:rsidR="00EE4FC3">
        <w:t xml:space="preserve"> </w:t>
      </w:r>
      <w:r w:rsidR="00540E31" w:rsidRPr="00382917">
        <w:t>failed</w:t>
      </w:r>
      <w:r w:rsidR="00EE4FC3">
        <w:t xml:space="preserve"> </w:t>
      </w:r>
      <w:r w:rsidR="00540E31" w:rsidRPr="00382917">
        <w:t>to</w:t>
      </w:r>
    </w:p>
    <w:p w:rsidR="00665A7A" w:rsidRPr="00382917" w:rsidRDefault="00665A7A">
      <w:pPr>
        <w:widowControl/>
        <w:kinsoku/>
        <w:overflowPunct/>
        <w:textAlignment w:val="auto"/>
      </w:pPr>
      <w:r w:rsidRPr="00382917">
        <w:br w:type="page"/>
      </w:r>
    </w:p>
    <w:p w:rsidR="00540E31" w:rsidRPr="00382917" w:rsidRDefault="00540E31" w:rsidP="00665A7A">
      <w:pPr>
        <w:pStyle w:val="Textcts"/>
      </w:pPr>
      <w:proofErr w:type="gramStart"/>
      <w:r w:rsidRPr="00382917">
        <w:t>serve</w:t>
      </w:r>
      <w:proofErr w:type="gramEnd"/>
      <w:r w:rsidR="00EE4FC3">
        <w:t xml:space="preserve"> </w:t>
      </w:r>
      <w:r w:rsidRPr="00382917">
        <w:t>you</w:t>
      </w:r>
      <w:r w:rsidR="00EE4FC3">
        <w:t xml:space="preserve"> </w:t>
      </w:r>
      <w:r w:rsidRPr="00382917">
        <w:t>as</w:t>
      </w:r>
      <w:r w:rsidR="00EE4FC3">
        <w:t xml:space="preserve"> </w:t>
      </w:r>
      <w:r w:rsidRPr="00382917">
        <w:t>I</w:t>
      </w:r>
      <w:r w:rsidR="00EE4FC3">
        <w:t xml:space="preserve"> </w:t>
      </w:r>
      <w:r w:rsidRPr="00382917">
        <w:t>should</w:t>
      </w:r>
      <w:r w:rsidR="00EE4FC3">
        <w:t xml:space="preserve"> </w:t>
      </w:r>
      <w:r w:rsidRPr="00382917">
        <w:t>have</w:t>
      </w:r>
      <w:r w:rsidR="00C03C91">
        <w:t>.</w:t>
      </w:r>
      <w:r w:rsidR="00EE4FC3">
        <w:t xml:space="preserve">  </w:t>
      </w:r>
      <w:r w:rsidRPr="00382917">
        <w:t>I</w:t>
      </w:r>
      <w:r w:rsidR="00EE4FC3">
        <w:t xml:space="preserve"> </w:t>
      </w:r>
      <w:r w:rsidRPr="00382917">
        <w:t>can</w:t>
      </w:r>
      <w:r w:rsidR="00EE4FC3">
        <w:t xml:space="preserve"> </w:t>
      </w:r>
      <w:r w:rsidRPr="00382917">
        <w:t>only</w:t>
      </w:r>
      <w:r w:rsidR="00EE4FC3">
        <w:t xml:space="preserve"> </w:t>
      </w:r>
      <w:r w:rsidRPr="00382917">
        <w:t>ask</w:t>
      </w:r>
      <w:r w:rsidR="00EE4FC3">
        <w:t xml:space="preserve"> </w:t>
      </w:r>
      <w:r w:rsidRPr="00382917">
        <w:t>for</w:t>
      </w:r>
      <w:r w:rsidR="00EE4FC3">
        <w:t xml:space="preserve"> </w:t>
      </w:r>
      <w:r w:rsidRPr="00382917">
        <w:t>your</w:t>
      </w:r>
      <w:r w:rsidR="00EE4FC3">
        <w:t xml:space="preserve"> </w:t>
      </w:r>
      <w:r w:rsidRPr="00382917">
        <w:t>pardon</w:t>
      </w:r>
      <w:r w:rsidR="00EE4FC3">
        <w:t xml:space="preserve"> </w:t>
      </w:r>
      <w:r w:rsidRPr="00382917">
        <w:t>and</w:t>
      </w:r>
      <w:r w:rsidR="00EE4FC3">
        <w:t xml:space="preserve"> </w:t>
      </w:r>
      <w:r w:rsidRPr="00382917">
        <w:t>forgiveness.</w:t>
      </w:r>
      <w:r w:rsidR="009C713D" w:rsidRPr="00382917">
        <w:t>”</w:t>
      </w:r>
    </w:p>
    <w:p w:rsidR="00540E31" w:rsidRPr="00382917" w:rsidRDefault="009C713D" w:rsidP="00665A7A">
      <w:pPr>
        <w:pStyle w:val="Text"/>
      </w:pPr>
      <w:r w:rsidRPr="00382917">
        <w:t>“</w:t>
      </w:r>
      <w:r w:rsidR="00540E31" w:rsidRPr="00382917">
        <w:t>Be</w:t>
      </w:r>
      <w:r w:rsidR="00EE4FC3">
        <w:t xml:space="preserve"> </w:t>
      </w:r>
      <w:r w:rsidR="00540E31" w:rsidRPr="00382917">
        <w:t>assured</w:t>
      </w:r>
      <w:r w:rsidR="00EE4FC3">
        <w:t xml:space="preserve"> </w:t>
      </w:r>
      <w:r w:rsidR="00540E31" w:rsidRPr="00382917">
        <w:t>I</w:t>
      </w:r>
      <w:r w:rsidR="00EE4FC3">
        <w:t xml:space="preserve"> </w:t>
      </w:r>
      <w:r w:rsidR="00540E31" w:rsidRPr="00382917">
        <w:t>account</w:t>
      </w:r>
      <w:r w:rsidR="00EE4FC3">
        <w:t xml:space="preserve"> </w:t>
      </w:r>
      <w:r w:rsidR="00540E31" w:rsidRPr="00382917">
        <w:t>you</w:t>
      </w:r>
      <w:r w:rsidR="00EE4FC3">
        <w:t xml:space="preserve"> </w:t>
      </w:r>
      <w:r w:rsidR="00540E31" w:rsidRPr="00382917">
        <w:t>a</w:t>
      </w:r>
      <w:r w:rsidR="00EE4FC3">
        <w:t xml:space="preserve"> </w:t>
      </w:r>
      <w:r w:rsidR="00540E31" w:rsidRPr="00382917">
        <w:t>member</w:t>
      </w:r>
      <w:r w:rsidR="00EE4FC3">
        <w:t xml:space="preserve"> </w:t>
      </w:r>
      <w:r w:rsidR="00540E31" w:rsidRPr="00382917">
        <w:t>of</w:t>
      </w:r>
      <w:r w:rsidR="00EE4FC3">
        <w:t xml:space="preserve"> </w:t>
      </w:r>
      <w:proofErr w:type="gramStart"/>
      <w:r w:rsidR="00540E31" w:rsidRPr="00382917">
        <w:t>My</w:t>
      </w:r>
      <w:proofErr w:type="gramEnd"/>
      <w:r w:rsidR="00EE4FC3">
        <w:t xml:space="preserve"> </w:t>
      </w:r>
      <w:r w:rsidR="00540E31" w:rsidRPr="00382917">
        <w:t>fold,</w:t>
      </w:r>
      <w:r w:rsidRPr="00382917">
        <w:t>”</w:t>
      </w:r>
      <w:r w:rsidR="00EE4FC3">
        <w:t xml:space="preserve"> </w:t>
      </w:r>
      <w:r w:rsidR="00540E31" w:rsidRPr="00382917">
        <w:t>the</w:t>
      </w:r>
      <w:r w:rsidR="00EE4FC3">
        <w:t xml:space="preserve"> </w:t>
      </w:r>
      <w:r w:rsidR="00540E31" w:rsidRPr="00382917">
        <w:t>Báb</w:t>
      </w:r>
      <w:r w:rsidR="00EE4FC3">
        <w:t xml:space="preserve"> </w:t>
      </w:r>
      <w:r w:rsidR="00540E31" w:rsidRPr="00382917">
        <w:t>told</w:t>
      </w:r>
      <w:r w:rsidR="00EE4FC3">
        <w:t xml:space="preserve"> </w:t>
      </w:r>
      <w:r w:rsidR="00540E31" w:rsidRPr="00382917">
        <w:t>him</w:t>
      </w:r>
      <w:r w:rsidR="00C03C91">
        <w:t>.</w:t>
      </w:r>
      <w:r w:rsidR="00EE4FC3">
        <w:t xml:space="preserve">  </w:t>
      </w:r>
      <w:r w:rsidRPr="00382917">
        <w:t>“</w:t>
      </w:r>
      <w:r w:rsidR="00540E31" w:rsidRPr="00382917">
        <w:t>They</w:t>
      </w:r>
      <w:r w:rsidR="00EE4FC3">
        <w:t xml:space="preserve"> </w:t>
      </w:r>
      <w:r w:rsidR="00540E31" w:rsidRPr="00382917">
        <w:t>who</w:t>
      </w:r>
      <w:r w:rsidR="00EE4FC3">
        <w:t xml:space="preserve"> </w:t>
      </w:r>
      <w:r w:rsidR="00540E31" w:rsidRPr="00382917">
        <w:t>embrace</w:t>
      </w:r>
      <w:r w:rsidR="00EE4FC3">
        <w:t xml:space="preserve"> </w:t>
      </w:r>
      <w:r w:rsidR="00540E31" w:rsidRPr="00382917">
        <w:t>My</w:t>
      </w:r>
      <w:r w:rsidR="00EE4FC3">
        <w:t xml:space="preserve"> </w:t>
      </w:r>
      <w:r w:rsidR="00540E31" w:rsidRPr="00382917">
        <w:t>Cause</w:t>
      </w:r>
      <w:r w:rsidR="00EE4FC3">
        <w:t xml:space="preserve"> </w:t>
      </w:r>
      <w:r w:rsidR="00540E31" w:rsidRPr="00382917">
        <w:t>will</w:t>
      </w:r>
      <w:r w:rsidR="00EE4FC3">
        <w:t xml:space="preserve"> </w:t>
      </w:r>
      <w:r w:rsidR="00540E31" w:rsidRPr="00382917">
        <w:t>bless</w:t>
      </w:r>
      <w:r w:rsidR="00EE4FC3">
        <w:t xml:space="preserve"> </w:t>
      </w:r>
      <w:r w:rsidR="00540E31" w:rsidRPr="00382917">
        <w:t>and</w:t>
      </w:r>
      <w:r w:rsidR="00EE4FC3">
        <w:t xml:space="preserve"> </w:t>
      </w:r>
      <w:r w:rsidR="00540E31" w:rsidRPr="00382917">
        <w:t>glorify</w:t>
      </w:r>
      <w:r w:rsidR="00EE4FC3">
        <w:t xml:space="preserve"> </w:t>
      </w:r>
      <w:r w:rsidR="00540E31" w:rsidRPr="00382917">
        <w:t>you,</w:t>
      </w:r>
      <w:r w:rsidR="00EE4FC3">
        <w:t xml:space="preserve"> </w:t>
      </w:r>
      <w:r w:rsidR="00540E31" w:rsidRPr="00382917">
        <w:t>and</w:t>
      </w:r>
      <w:r w:rsidR="00EE4FC3">
        <w:t xml:space="preserve"> </w:t>
      </w:r>
      <w:r w:rsidR="00540E31" w:rsidRPr="00382917">
        <w:t>will</w:t>
      </w:r>
      <w:r w:rsidR="00EE4FC3">
        <w:t xml:space="preserve"> </w:t>
      </w:r>
      <w:r w:rsidR="00540E31" w:rsidRPr="00382917">
        <w:t>extol</w:t>
      </w:r>
      <w:r w:rsidR="00EE4FC3">
        <w:t xml:space="preserve"> </w:t>
      </w:r>
      <w:r w:rsidR="00540E31" w:rsidRPr="00382917">
        <w:t>your</w:t>
      </w:r>
      <w:r w:rsidR="00EE4FC3">
        <w:t xml:space="preserve"> </w:t>
      </w:r>
      <w:r w:rsidR="00540E31" w:rsidRPr="00382917">
        <w:t>conduct</w:t>
      </w:r>
      <w:r w:rsidR="00EE4FC3">
        <w:t xml:space="preserve"> </w:t>
      </w:r>
      <w:r w:rsidR="00540E31" w:rsidRPr="00382917">
        <w:t>and</w:t>
      </w:r>
      <w:r w:rsidR="00EE4FC3">
        <w:t xml:space="preserve"> </w:t>
      </w:r>
      <w:r w:rsidR="00540E31" w:rsidRPr="00382917">
        <w:t>exalt</w:t>
      </w:r>
      <w:r w:rsidR="00EE4FC3">
        <w:t xml:space="preserve"> </w:t>
      </w:r>
      <w:r w:rsidR="00540E31" w:rsidRPr="00382917">
        <w:t>your</w:t>
      </w:r>
      <w:r w:rsidR="00EE4FC3">
        <w:t xml:space="preserve"> </w:t>
      </w:r>
      <w:r w:rsidR="00540E31" w:rsidRPr="00382917">
        <w:t>name.</w:t>
      </w:r>
      <w:r w:rsidRPr="00382917">
        <w:t>”</w:t>
      </w:r>
    </w:p>
    <w:p w:rsidR="00540E31" w:rsidRPr="00382917" w:rsidRDefault="00540E31" w:rsidP="00285639">
      <w:pPr>
        <w:pStyle w:val="Text"/>
      </w:pPr>
      <w:r w:rsidRPr="00382917">
        <w:t>The</w:t>
      </w:r>
      <w:r w:rsidR="00EE4FC3">
        <w:t xml:space="preserve"> </w:t>
      </w:r>
      <w:r w:rsidRPr="00382917">
        <w:t>rest</w:t>
      </w:r>
      <w:r w:rsidR="00EE4FC3">
        <w:t xml:space="preserve"> </w:t>
      </w:r>
      <w:r w:rsidRPr="00382917">
        <w:t>of</w:t>
      </w:r>
      <w:r w:rsidR="00EE4FC3">
        <w:t xml:space="preserve"> </w:t>
      </w:r>
      <w:r w:rsidRPr="00382917">
        <w:t>the</w:t>
      </w:r>
      <w:r w:rsidR="00EE4FC3">
        <w:t xml:space="preserve"> </w:t>
      </w:r>
      <w:r w:rsidRPr="00382917">
        <w:t>guards</w:t>
      </w:r>
      <w:r w:rsidR="00EE4FC3">
        <w:t xml:space="preserve"> </w:t>
      </w:r>
      <w:r w:rsidRPr="00382917">
        <w:t>followed</w:t>
      </w:r>
      <w:r w:rsidR="00EE4FC3">
        <w:t xml:space="preserve"> </w:t>
      </w:r>
      <w:r w:rsidRPr="00382917">
        <w:t>the</w:t>
      </w:r>
      <w:r w:rsidR="00EE4FC3">
        <w:t xml:space="preserve"> </w:t>
      </w:r>
      <w:r w:rsidRPr="00382917">
        <w:t>example</w:t>
      </w:r>
      <w:r w:rsidR="00EE4FC3">
        <w:t xml:space="preserve"> </w:t>
      </w:r>
      <w:r w:rsidRPr="00382917">
        <w:t>of</w:t>
      </w:r>
      <w:r w:rsidR="00EE4FC3">
        <w:t xml:space="preserve"> </w:t>
      </w:r>
      <w:r w:rsidRPr="00382917">
        <w:t>their</w:t>
      </w:r>
      <w:r w:rsidR="00EE4FC3">
        <w:t xml:space="preserve"> </w:t>
      </w:r>
      <w:r w:rsidRPr="00382917">
        <w:t>chief,</w:t>
      </w:r>
      <w:r w:rsidR="00EE4FC3">
        <w:t xml:space="preserve"> </w:t>
      </w:r>
      <w:r w:rsidRPr="00382917">
        <w:t>and</w:t>
      </w:r>
      <w:r w:rsidR="00EE4FC3">
        <w:t xml:space="preserve"> </w:t>
      </w:r>
      <w:r w:rsidRPr="00382917">
        <w:t>with</w:t>
      </w:r>
      <w:r w:rsidR="00EE4FC3">
        <w:t xml:space="preserve"> </w:t>
      </w:r>
      <w:r w:rsidRPr="00382917">
        <w:t>tears</w:t>
      </w:r>
      <w:r w:rsidR="00EE4FC3">
        <w:t xml:space="preserve"> </w:t>
      </w:r>
      <w:r w:rsidRPr="00382917">
        <w:t>in</w:t>
      </w:r>
      <w:r w:rsidR="00EE4FC3">
        <w:t xml:space="preserve"> </w:t>
      </w:r>
      <w:r w:rsidRPr="00382917">
        <w:t>their</w:t>
      </w:r>
      <w:r w:rsidR="00EE4FC3">
        <w:t xml:space="preserve"> </w:t>
      </w:r>
      <w:r w:rsidRPr="00382917">
        <w:t>eyes,</w:t>
      </w:r>
      <w:r w:rsidR="00EE4FC3">
        <w:t xml:space="preserve"> </w:t>
      </w:r>
      <w:r w:rsidRPr="00382917">
        <w:t>bade</w:t>
      </w:r>
      <w:r w:rsidR="00EE4FC3">
        <w:t xml:space="preserve"> </w:t>
      </w:r>
      <w:r w:rsidRPr="00382917">
        <w:t>the</w:t>
      </w:r>
      <w:r w:rsidR="00EE4FC3">
        <w:t xml:space="preserve"> </w:t>
      </w:r>
      <w:r w:rsidRPr="00382917">
        <w:t>Báb</w:t>
      </w:r>
      <w:r w:rsidR="00EE4FC3">
        <w:t xml:space="preserve"> </w:t>
      </w:r>
      <w:r w:rsidRPr="00382917">
        <w:t>a</w:t>
      </w:r>
      <w:r w:rsidR="00EE4FC3">
        <w:t xml:space="preserve"> </w:t>
      </w:r>
      <w:r w:rsidRPr="00382917">
        <w:t>last</w:t>
      </w:r>
      <w:r w:rsidR="00EE4FC3">
        <w:t xml:space="preserve"> </w:t>
      </w:r>
      <w:r w:rsidRPr="00382917">
        <w:t>affectionate</w:t>
      </w:r>
      <w:r w:rsidR="00EE4FC3">
        <w:t xml:space="preserve"> </w:t>
      </w:r>
      <w:r w:rsidRPr="00382917">
        <w:t>farewell</w:t>
      </w:r>
      <w:r w:rsidR="00C03C91">
        <w:t>.</w:t>
      </w:r>
      <w:r w:rsidR="00EE4FC3">
        <w:t xml:space="preserve">  </w:t>
      </w:r>
      <w:r w:rsidRPr="00382917">
        <w:t>Reluctantly,</w:t>
      </w:r>
      <w:r w:rsidR="00EE4FC3">
        <w:t xml:space="preserve"> </w:t>
      </w:r>
      <w:r w:rsidRPr="00382917">
        <w:t>they</w:t>
      </w:r>
      <w:r w:rsidR="00EE4FC3">
        <w:t xml:space="preserve"> </w:t>
      </w:r>
      <w:r w:rsidRPr="00382917">
        <w:t>delivered</w:t>
      </w:r>
      <w:r w:rsidR="00EE4FC3">
        <w:t xml:space="preserve"> </w:t>
      </w:r>
      <w:r w:rsidRPr="00382917">
        <w:t>Him</w:t>
      </w:r>
      <w:r w:rsidR="00EE4FC3">
        <w:t xml:space="preserve"> </w:t>
      </w:r>
      <w:r w:rsidRPr="00382917">
        <w:t>to</w:t>
      </w:r>
      <w:r w:rsidR="00EE4FC3">
        <w:t xml:space="preserve"> </w:t>
      </w:r>
      <w:r w:rsidRPr="00382917">
        <w:t>the</w:t>
      </w:r>
      <w:r w:rsidR="00EE4FC3">
        <w:t xml:space="preserve"> </w:t>
      </w:r>
      <w:r w:rsidRPr="00382917">
        <w:t>soldiers</w:t>
      </w:r>
      <w:r w:rsidR="00EE4FC3">
        <w:t xml:space="preserve"> </w:t>
      </w:r>
      <w:r w:rsidRPr="00382917">
        <w:t>of</w:t>
      </w:r>
      <w:r w:rsidR="00EE4FC3">
        <w:t xml:space="preserve"> </w:t>
      </w:r>
      <w:r w:rsidRPr="00382917">
        <w:t>the</w:t>
      </w:r>
      <w:r w:rsidR="00EE4FC3">
        <w:t xml:space="preserve"> </w:t>
      </w:r>
      <w:r w:rsidRPr="00382917">
        <w:t>governor</w:t>
      </w:r>
      <w:r w:rsidR="00EE4FC3">
        <w:t xml:space="preserve"> </w:t>
      </w:r>
      <w:r w:rsidRPr="00382917">
        <w:t>of</w:t>
      </w:r>
      <w:r w:rsidR="00EE4FC3">
        <w:t xml:space="preserve"> </w:t>
      </w:r>
      <w:r w:rsidRPr="00382917">
        <w:t>Tabr</w:t>
      </w:r>
      <w:r w:rsidR="00285639" w:rsidRPr="00285639">
        <w:t>í</w:t>
      </w:r>
      <w:r w:rsidRPr="00382917">
        <w:t>z.</w:t>
      </w:r>
    </w:p>
    <w:p w:rsidR="00665A7A" w:rsidRPr="00382917" w:rsidRDefault="00665A7A" w:rsidP="00540E31"/>
    <w:p w:rsidR="00665A7A" w:rsidRPr="00382917" w:rsidRDefault="00665A7A" w:rsidP="00540E31">
      <w:pPr>
        <w:sectPr w:rsidR="00665A7A" w:rsidRPr="00382917" w:rsidSect="009073C7">
          <w:footnotePr>
            <w:numRestart w:val="eachPage"/>
          </w:footnotePr>
          <w:type w:val="oddPage"/>
          <w:pgSz w:w="8618" w:h="12984" w:code="188"/>
          <w:pgMar w:top="720" w:right="720" w:bottom="720" w:left="720" w:header="720" w:footer="567" w:gutter="357"/>
          <w:cols w:space="708"/>
          <w:noEndnote/>
          <w:titlePg/>
          <w:docGrid w:linePitch="272"/>
        </w:sectPr>
      </w:pPr>
    </w:p>
    <w:p w:rsidR="00665A7A" w:rsidRPr="00382917" w:rsidRDefault="00417538" w:rsidP="00417538">
      <w:r w:rsidRPr="00382917">
        <w:rPr>
          <w:sz w:val="12"/>
          <w:szCs w:val="12"/>
        </w:rPr>
        <w:fldChar w:fldCharType="begin"/>
      </w:r>
      <w:r w:rsidR="00EE4FC3">
        <w:rPr>
          <w:sz w:val="12"/>
          <w:szCs w:val="12"/>
        </w:rPr>
        <w:instrText xml:space="preserve"> </w:instrText>
      </w:r>
      <w:proofErr w:type="gramStart"/>
      <w:r w:rsidRPr="00382917">
        <w:rPr>
          <w:sz w:val="12"/>
          <w:szCs w:val="12"/>
        </w:rPr>
        <w:instrText>TC</w:instrText>
      </w:r>
      <w:r w:rsidR="00EE4FC3">
        <w:rPr>
          <w:sz w:val="12"/>
          <w:szCs w:val="12"/>
        </w:rPr>
        <w:instrText xml:space="preserve">  </w:instrText>
      </w:r>
      <w:r w:rsidRPr="00382917">
        <w:rPr>
          <w:sz w:val="12"/>
          <w:szCs w:val="12"/>
        </w:rPr>
        <w:instrText>“</w:instrText>
      </w:r>
      <w:bookmarkStart w:id="13" w:name="_Toc206658609"/>
      <w:proofErr w:type="gramEnd"/>
      <w:r>
        <w:rPr>
          <w:sz w:val="12"/>
          <w:szCs w:val="12"/>
        </w:rPr>
        <w:tab/>
        <w:instrText>11.</w:instrText>
      </w:r>
      <w:r>
        <w:rPr>
          <w:sz w:val="12"/>
          <w:szCs w:val="12"/>
        </w:rPr>
        <w:tab/>
      </w:r>
      <w:r w:rsidRPr="00417538">
        <w:rPr>
          <w:sz w:val="12"/>
          <w:szCs w:val="12"/>
        </w:rPr>
        <w:instrText>The</w:instrText>
      </w:r>
      <w:r w:rsidR="00EE4FC3">
        <w:rPr>
          <w:sz w:val="12"/>
          <w:szCs w:val="12"/>
        </w:rPr>
        <w:instrText xml:space="preserve"> </w:instrText>
      </w:r>
      <w:r w:rsidRPr="00417538">
        <w:rPr>
          <w:sz w:val="12"/>
          <w:szCs w:val="12"/>
        </w:rPr>
        <w:instrText>tumult</w:instrText>
      </w:r>
      <w:r w:rsidR="00EE4FC3">
        <w:rPr>
          <w:sz w:val="12"/>
          <w:szCs w:val="12"/>
        </w:rPr>
        <w:instrText xml:space="preserve"> </w:instrText>
      </w:r>
      <w:r w:rsidRPr="00417538">
        <w:rPr>
          <w:sz w:val="12"/>
          <w:szCs w:val="12"/>
        </w:rPr>
        <w:instrText>in</w:instrText>
      </w:r>
      <w:r w:rsidR="00EE4FC3">
        <w:rPr>
          <w:sz w:val="12"/>
          <w:szCs w:val="12"/>
        </w:rPr>
        <w:instrText xml:space="preserve"> </w:instrText>
      </w:r>
      <w:r w:rsidRPr="00417538">
        <w:rPr>
          <w:sz w:val="12"/>
          <w:szCs w:val="12"/>
        </w:rPr>
        <w:instrText>Tabríz</w:instrText>
      </w:r>
      <w:proofErr w:type="gramStart"/>
      <w:r w:rsidRPr="00382917">
        <w:rPr>
          <w:color w:val="FFFFFF" w:themeColor="background1"/>
          <w:sz w:val="12"/>
          <w:szCs w:val="12"/>
        </w:rPr>
        <w:instrText>..</w:instrText>
      </w:r>
      <w:proofErr w:type="gramEnd"/>
      <w:r w:rsidRPr="00382917">
        <w:rPr>
          <w:sz w:val="12"/>
          <w:szCs w:val="12"/>
        </w:rPr>
        <w:tab/>
      </w:r>
      <w:r w:rsidRPr="00382917">
        <w:rPr>
          <w:color w:val="FFFFFF" w:themeColor="background1"/>
          <w:sz w:val="12"/>
          <w:szCs w:val="12"/>
        </w:rPr>
        <w:instrText>.</w:instrText>
      </w:r>
      <w:bookmarkEnd w:id="13"/>
      <w:proofErr w:type="gramStart"/>
      <w:r w:rsidRPr="00382917">
        <w:rPr>
          <w:sz w:val="12"/>
          <w:szCs w:val="12"/>
        </w:rPr>
        <w:instrText>”</w:instrText>
      </w:r>
      <w:r w:rsidR="00EE4FC3">
        <w:rPr>
          <w:sz w:val="12"/>
          <w:szCs w:val="12"/>
        </w:rPr>
        <w:instrText xml:space="preserve"> </w:instrText>
      </w:r>
      <w:proofErr w:type="gramEnd"/>
      <w:r w:rsidRPr="00382917">
        <w:rPr>
          <w:sz w:val="12"/>
          <w:szCs w:val="12"/>
        </w:rPr>
        <w:instrText>\l</w:instrText>
      </w:r>
      <w:r w:rsidR="00EE4FC3">
        <w:rPr>
          <w:sz w:val="12"/>
          <w:szCs w:val="12"/>
        </w:rPr>
        <w:instrText xml:space="preserve"> </w:instrText>
      </w:r>
      <w:r w:rsidRPr="00382917">
        <w:rPr>
          <w:sz w:val="12"/>
          <w:szCs w:val="12"/>
        </w:rPr>
        <w:instrText>1</w:instrText>
      </w:r>
      <w:r w:rsidR="00EE4FC3">
        <w:rPr>
          <w:sz w:val="12"/>
          <w:szCs w:val="12"/>
        </w:rPr>
        <w:instrText xml:space="preserve"> </w:instrText>
      </w:r>
      <w:r w:rsidRPr="00382917">
        <w:rPr>
          <w:sz w:val="12"/>
          <w:szCs w:val="12"/>
        </w:rPr>
        <w:fldChar w:fldCharType="end"/>
      </w:r>
    </w:p>
    <w:p w:rsidR="00665A7A" w:rsidRPr="00382917" w:rsidRDefault="00665A7A" w:rsidP="00540E31"/>
    <w:p w:rsidR="00540E31" w:rsidRPr="00382917" w:rsidRDefault="00665A7A" w:rsidP="00417538">
      <w:pPr>
        <w:pStyle w:val="Myheadc"/>
      </w:pPr>
      <w:r w:rsidRPr="00382917">
        <w:t>11</w:t>
      </w:r>
      <w:r w:rsidR="00417538">
        <w:br/>
      </w:r>
      <w:r w:rsidRPr="00382917">
        <w:rPr>
          <w:noProof/>
          <w:lang w:val="en-AU" w:eastAsia="en-AU"/>
          <w14:numForm w14:val="default"/>
          <w14:numSpacing w14:val="default"/>
        </w:rPr>
        <w:drawing>
          <wp:inline distT="0" distB="0" distL="0" distR="0" wp14:anchorId="57AEACC6" wp14:editId="63271B05">
            <wp:extent cx="396000" cy="392400"/>
            <wp:effectExtent l="0" t="0" r="4445" b="825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p.emf"/>
                    <pic:cNvPicPr/>
                  </pic:nvPicPr>
                  <pic:blipFill>
                    <a:blip r:embed="rId17">
                      <a:extLst>
                        <a:ext uri="{28A0092B-C50C-407E-A947-70E740481C1C}">
                          <a14:useLocalDpi xmlns:a14="http://schemas.microsoft.com/office/drawing/2010/main" val="0"/>
                        </a:ext>
                      </a:extLst>
                    </a:blip>
                    <a:stretch>
                      <a:fillRect/>
                    </a:stretch>
                  </pic:blipFill>
                  <pic:spPr>
                    <a:xfrm>
                      <a:off x="0" y="0"/>
                      <a:ext cx="396000" cy="392400"/>
                    </a:xfrm>
                    <a:prstGeom prst="rect">
                      <a:avLst/>
                    </a:prstGeom>
                  </pic:spPr>
                </pic:pic>
              </a:graphicData>
            </a:graphic>
          </wp:inline>
        </w:drawing>
      </w:r>
      <w:r w:rsidR="00417538">
        <w:br/>
      </w:r>
      <w:r w:rsidR="00540E31" w:rsidRPr="00382917">
        <w:t>T</w:t>
      </w:r>
      <w:r w:rsidRPr="00382917">
        <w:t>he</w:t>
      </w:r>
      <w:r w:rsidR="00EE4FC3">
        <w:t xml:space="preserve"> </w:t>
      </w:r>
      <w:r w:rsidRPr="00382917">
        <w:t>tumult</w:t>
      </w:r>
      <w:r w:rsidR="00EE4FC3">
        <w:t xml:space="preserve"> </w:t>
      </w:r>
      <w:r w:rsidRPr="00382917">
        <w:t>in</w:t>
      </w:r>
      <w:r w:rsidR="00EE4FC3">
        <w:t xml:space="preserve"> </w:t>
      </w:r>
      <w:r w:rsidR="00540E31" w:rsidRPr="00382917">
        <w:t>T</w:t>
      </w:r>
      <w:r w:rsidRPr="00382917">
        <w:t>abríz</w:t>
      </w:r>
    </w:p>
    <w:p w:rsidR="00540E31" w:rsidRPr="00382917" w:rsidRDefault="00540E31" w:rsidP="00665A7A">
      <w:pPr>
        <w:pStyle w:val="Text"/>
      </w:pPr>
      <w:r w:rsidRPr="00382917">
        <w:t>The</w:t>
      </w:r>
      <w:r w:rsidR="00EE4FC3">
        <w:t xml:space="preserve"> </w:t>
      </w:r>
      <w:r w:rsidRPr="00382917">
        <w:t>news</w:t>
      </w:r>
      <w:r w:rsidR="00EE4FC3">
        <w:t xml:space="preserve"> </w:t>
      </w:r>
      <w:r w:rsidRPr="00382917">
        <w:t>of</w:t>
      </w:r>
      <w:r w:rsidR="00EE4FC3">
        <w:t xml:space="preserve"> </w:t>
      </w:r>
      <w:r w:rsidRPr="00382917">
        <w:t>the</w:t>
      </w:r>
      <w:r w:rsidR="00EE4FC3">
        <w:t xml:space="preserve"> </w:t>
      </w:r>
      <w:r w:rsidRPr="00382917">
        <w:t>Báb</w:t>
      </w:r>
      <w:r w:rsidR="009C713D" w:rsidRPr="00382917">
        <w:t>’</w:t>
      </w:r>
      <w:r w:rsidRPr="00382917">
        <w:t>s</w:t>
      </w:r>
      <w:r w:rsidR="00EE4FC3">
        <w:t xml:space="preserve"> </w:t>
      </w:r>
      <w:r w:rsidRPr="00382917">
        <w:t>arrival</w:t>
      </w:r>
      <w:r w:rsidR="00EE4FC3">
        <w:t xml:space="preserve"> </w:t>
      </w:r>
      <w:r w:rsidRPr="00382917">
        <w:t>at</w:t>
      </w:r>
      <w:r w:rsidR="00EE4FC3">
        <w:t xml:space="preserve"> </w:t>
      </w:r>
      <w:r w:rsidRPr="00382917">
        <w:t>Tabríz</w:t>
      </w:r>
      <w:r w:rsidR="00EE4FC3">
        <w:t xml:space="preserve"> </w:t>
      </w:r>
      <w:r w:rsidRPr="00382917">
        <w:t>caused</w:t>
      </w:r>
      <w:r w:rsidR="00EE4FC3">
        <w:t xml:space="preserve"> </w:t>
      </w:r>
      <w:r w:rsidRPr="00382917">
        <w:t>great</w:t>
      </w:r>
      <w:r w:rsidR="00EE4FC3">
        <w:t xml:space="preserve"> </w:t>
      </w:r>
      <w:r w:rsidRPr="00382917">
        <w:t>excitement</w:t>
      </w:r>
      <w:r w:rsidR="00C03C91">
        <w:t>.</w:t>
      </w:r>
      <w:r w:rsidR="00EE4FC3">
        <w:t xml:space="preserve">  </w:t>
      </w:r>
      <w:r w:rsidRPr="00382917">
        <w:t>Huge</w:t>
      </w:r>
      <w:r w:rsidR="00EE4FC3">
        <w:t xml:space="preserve"> </w:t>
      </w:r>
      <w:r w:rsidRPr="00382917">
        <w:t>crowds</w:t>
      </w:r>
      <w:r w:rsidR="00EE4FC3">
        <w:t xml:space="preserve"> </w:t>
      </w:r>
      <w:r w:rsidRPr="00382917">
        <w:t>set</w:t>
      </w:r>
      <w:r w:rsidR="00EE4FC3">
        <w:t xml:space="preserve"> </w:t>
      </w:r>
      <w:r w:rsidRPr="00382917">
        <w:t>out</w:t>
      </w:r>
      <w:r w:rsidR="00EE4FC3">
        <w:t xml:space="preserve"> </w:t>
      </w:r>
      <w:r w:rsidRPr="00382917">
        <w:t>to</w:t>
      </w:r>
      <w:r w:rsidR="00EE4FC3">
        <w:t xml:space="preserve"> </w:t>
      </w:r>
      <w:r w:rsidRPr="00382917">
        <w:t>meet</w:t>
      </w:r>
      <w:r w:rsidR="00EE4FC3">
        <w:t xml:space="preserve"> </w:t>
      </w:r>
      <w:r w:rsidRPr="00382917">
        <w:t>Him</w:t>
      </w:r>
      <w:r w:rsidR="00EE4FC3">
        <w:t xml:space="preserve"> </w:t>
      </w:r>
      <w:r w:rsidRPr="00382917">
        <w:t>at</w:t>
      </w:r>
      <w:r w:rsidR="00EE4FC3">
        <w:t xml:space="preserve"> </w:t>
      </w:r>
      <w:r w:rsidRPr="00382917">
        <w:t>the</w:t>
      </w:r>
      <w:r w:rsidR="00EE4FC3">
        <w:t xml:space="preserve"> </w:t>
      </w:r>
      <w:r w:rsidRPr="00382917">
        <w:t>gate</w:t>
      </w:r>
      <w:r w:rsidR="00C03C91">
        <w:t>.</w:t>
      </w:r>
      <w:r w:rsidR="00EE4FC3">
        <w:t xml:space="preserve">  </w:t>
      </w:r>
      <w:r w:rsidRPr="00382917">
        <w:t>They</w:t>
      </w:r>
      <w:r w:rsidR="00EE4FC3">
        <w:t xml:space="preserve"> </w:t>
      </w:r>
      <w:r w:rsidRPr="00382917">
        <w:t>were</w:t>
      </w:r>
      <w:r w:rsidR="00EE4FC3">
        <w:t xml:space="preserve"> </w:t>
      </w:r>
      <w:r w:rsidRPr="00382917">
        <w:t>eager</w:t>
      </w:r>
      <w:r w:rsidR="00EE4FC3">
        <w:t xml:space="preserve"> </w:t>
      </w:r>
      <w:r w:rsidRPr="00382917">
        <w:t>to</w:t>
      </w:r>
      <w:r w:rsidR="00EE4FC3">
        <w:t xml:space="preserve"> </w:t>
      </w:r>
      <w:r w:rsidRPr="00382917">
        <w:t>extend</w:t>
      </w:r>
      <w:r w:rsidR="00EE4FC3">
        <w:t xml:space="preserve"> </w:t>
      </w:r>
      <w:r w:rsidRPr="00382917">
        <w:t>their</w:t>
      </w:r>
      <w:r w:rsidR="00EE4FC3">
        <w:t xml:space="preserve"> </w:t>
      </w:r>
      <w:r w:rsidRPr="00382917">
        <w:t>welcome</w:t>
      </w:r>
      <w:r w:rsidR="00EE4FC3">
        <w:t xml:space="preserve"> </w:t>
      </w:r>
      <w:r w:rsidRPr="00382917">
        <w:t>to</w:t>
      </w:r>
      <w:r w:rsidR="00EE4FC3">
        <w:t xml:space="preserve"> </w:t>
      </w:r>
      <w:r w:rsidRPr="00382917">
        <w:t>Him</w:t>
      </w:r>
      <w:r w:rsidR="00C03C91">
        <w:t>.</w:t>
      </w:r>
      <w:r w:rsidR="00EE4FC3">
        <w:t xml:space="preserve">  </w:t>
      </w:r>
      <w:r w:rsidRPr="00382917">
        <w:t>The</w:t>
      </w:r>
      <w:r w:rsidR="00EE4FC3">
        <w:t xml:space="preserve"> </w:t>
      </w:r>
      <w:r w:rsidRPr="00382917">
        <w:t>officials,</w:t>
      </w:r>
      <w:r w:rsidR="00EE4FC3">
        <w:t xml:space="preserve"> </w:t>
      </w:r>
      <w:r w:rsidRPr="00382917">
        <w:t>into</w:t>
      </w:r>
      <w:r w:rsidR="00EE4FC3">
        <w:t xml:space="preserve"> </w:t>
      </w:r>
      <w:r w:rsidRPr="00382917">
        <w:t>whose</w:t>
      </w:r>
      <w:r w:rsidR="00EE4FC3">
        <w:t xml:space="preserve"> </w:t>
      </w:r>
      <w:r w:rsidRPr="00382917">
        <w:t>custody</w:t>
      </w:r>
      <w:r w:rsidR="00EE4FC3">
        <w:t xml:space="preserve"> </w:t>
      </w:r>
      <w:r w:rsidRPr="00382917">
        <w:t>the</w:t>
      </w:r>
      <w:r w:rsidR="00EE4FC3">
        <w:t xml:space="preserve"> </w:t>
      </w:r>
      <w:r w:rsidRPr="00382917">
        <w:t>Báb</w:t>
      </w:r>
      <w:r w:rsidR="00EE4FC3">
        <w:t xml:space="preserve"> </w:t>
      </w:r>
      <w:r w:rsidRPr="00382917">
        <w:t>had</w:t>
      </w:r>
      <w:r w:rsidR="00EE4FC3">
        <w:t xml:space="preserve"> </w:t>
      </w:r>
      <w:r w:rsidRPr="00382917">
        <w:t>been</w:t>
      </w:r>
      <w:r w:rsidR="00EE4FC3">
        <w:t xml:space="preserve"> </w:t>
      </w:r>
      <w:r w:rsidRPr="00382917">
        <w:t>delivered,</w:t>
      </w:r>
      <w:r w:rsidR="00EE4FC3">
        <w:t xml:space="preserve"> </w:t>
      </w:r>
      <w:r w:rsidRPr="00382917">
        <w:t>refused</w:t>
      </w:r>
      <w:r w:rsidR="00EE4FC3">
        <w:t xml:space="preserve"> </w:t>
      </w:r>
      <w:r w:rsidRPr="00382917">
        <w:t>to</w:t>
      </w:r>
      <w:r w:rsidR="00EE4FC3">
        <w:t xml:space="preserve"> </w:t>
      </w:r>
      <w:r w:rsidRPr="00382917">
        <w:t>allow</w:t>
      </w:r>
      <w:r w:rsidR="00EE4FC3">
        <w:t xml:space="preserve"> </w:t>
      </w:r>
      <w:r w:rsidRPr="00382917">
        <w:t>the</w:t>
      </w:r>
      <w:r w:rsidR="00EE4FC3">
        <w:t xml:space="preserve"> </w:t>
      </w:r>
      <w:r w:rsidRPr="00382917">
        <w:t>people</w:t>
      </w:r>
      <w:r w:rsidR="00EE4FC3">
        <w:t xml:space="preserve"> </w:t>
      </w:r>
      <w:r w:rsidRPr="00382917">
        <w:t>to</w:t>
      </w:r>
      <w:r w:rsidR="00EE4FC3">
        <w:t xml:space="preserve"> </w:t>
      </w:r>
      <w:r w:rsidRPr="00382917">
        <w:t>draw</w:t>
      </w:r>
      <w:r w:rsidR="00EE4FC3">
        <w:t xml:space="preserve"> </w:t>
      </w:r>
      <w:r w:rsidRPr="00382917">
        <w:t>near</w:t>
      </w:r>
      <w:r w:rsidR="00EE4FC3">
        <w:t xml:space="preserve"> </w:t>
      </w:r>
      <w:r w:rsidRPr="00382917">
        <w:t>and</w:t>
      </w:r>
      <w:r w:rsidR="00EE4FC3">
        <w:t xml:space="preserve"> </w:t>
      </w:r>
      <w:r w:rsidRPr="00382917">
        <w:t>receive</w:t>
      </w:r>
      <w:r w:rsidR="00EE4FC3">
        <w:t xml:space="preserve"> </w:t>
      </w:r>
      <w:r w:rsidRPr="00382917">
        <w:t>His</w:t>
      </w:r>
      <w:r w:rsidR="00EE4FC3">
        <w:t xml:space="preserve"> </w:t>
      </w:r>
      <w:r w:rsidRPr="00382917">
        <w:t>blessing.</w:t>
      </w:r>
    </w:p>
    <w:p w:rsidR="00540E31" w:rsidRPr="00382917" w:rsidRDefault="00540E31" w:rsidP="00665A7A">
      <w:pPr>
        <w:pStyle w:val="Text"/>
      </w:pPr>
      <w:r w:rsidRPr="00382917">
        <w:t>One</w:t>
      </w:r>
      <w:r w:rsidR="00EE4FC3">
        <w:t xml:space="preserve"> </w:t>
      </w:r>
      <w:r w:rsidRPr="00382917">
        <w:t>youth,</w:t>
      </w:r>
      <w:r w:rsidR="00EE4FC3">
        <w:t xml:space="preserve"> </w:t>
      </w:r>
      <w:r w:rsidRPr="00382917">
        <w:t>however,</w:t>
      </w:r>
      <w:r w:rsidR="00EE4FC3">
        <w:t xml:space="preserve"> </w:t>
      </w:r>
      <w:r w:rsidRPr="00382917">
        <w:t>was</w:t>
      </w:r>
      <w:r w:rsidR="00EE4FC3">
        <w:t xml:space="preserve"> </w:t>
      </w:r>
      <w:r w:rsidRPr="00382917">
        <w:t>unable</w:t>
      </w:r>
      <w:r w:rsidR="00EE4FC3">
        <w:t xml:space="preserve"> </w:t>
      </w:r>
      <w:r w:rsidRPr="00382917">
        <w:t>to</w:t>
      </w:r>
      <w:r w:rsidR="00EE4FC3">
        <w:t xml:space="preserve"> </w:t>
      </w:r>
      <w:r w:rsidRPr="00382917">
        <w:t>restrain</w:t>
      </w:r>
      <w:r w:rsidR="00EE4FC3">
        <w:t xml:space="preserve"> </w:t>
      </w:r>
      <w:proofErr w:type="gramStart"/>
      <w:r w:rsidRPr="00382917">
        <w:t>himself</w:t>
      </w:r>
      <w:proofErr w:type="gramEnd"/>
      <w:r w:rsidR="00C03C91">
        <w:t>.</w:t>
      </w:r>
      <w:r w:rsidR="00EE4FC3">
        <w:t xml:space="preserve">  </w:t>
      </w:r>
      <w:r w:rsidRPr="00382917">
        <w:t>He</w:t>
      </w:r>
      <w:r w:rsidR="00EE4FC3">
        <w:t xml:space="preserve"> </w:t>
      </w:r>
      <w:r w:rsidRPr="00382917">
        <w:t>ran</w:t>
      </w:r>
      <w:r w:rsidR="00EE4FC3">
        <w:t xml:space="preserve"> </w:t>
      </w:r>
      <w:r w:rsidRPr="00382917">
        <w:t>through</w:t>
      </w:r>
      <w:r w:rsidR="00EE4FC3">
        <w:t xml:space="preserve"> </w:t>
      </w:r>
      <w:r w:rsidRPr="00382917">
        <w:t>the</w:t>
      </w:r>
      <w:r w:rsidR="00EE4FC3">
        <w:t xml:space="preserve"> </w:t>
      </w:r>
      <w:r w:rsidRPr="00382917">
        <w:t>gate</w:t>
      </w:r>
      <w:r w:rsidR="00EE4FC3">
        <w:t xml:space="preserve"> </w:t>
      </w:r>
      <w:r w:rsidRPr="00382917">
        <w:t>of</w:t>
      </w:r>
      <w:r w:rsidR="00EE4FC3">
        <w:t xml:space="preserve"> </w:t>
      </w:r>
      <w:r w:rsidRPr="00382917">
        <w:t>the</w:t>
      </w:r>
      <w:r w:rsidR="00EE4FC3">
        <w:t xml:space="preserve"> </w:t>
      </w:r>
      <w:r w:rsidRPr="00382917">
        <w:t>city,</w:t>
      </w:r>
      <w:r w:rsidR="00EE4FC3">
        <w:t xml:space="preserve"> </w:t>
      </w:r>
      <w:r w:rsidRPr="00382917">
        <w:t>past</w:t>
      </w:r>
      <w:r w:rsidR="00EE4FC3">
        <w:t xml:space="preserve"> </w:t>
      </w:r>
      <w:r w:rsidRPr="00382917">
        <w:t>the</w:t>
      </w:r>
      <w:r w:rsidR="00EE4FC3">
        <w:t xml:space="preserve"> </w:t>
      </w:r>
      <w:r w:rsidRPr="00382917">
        <w:t>officials,</w:t>
      </w:r>
      <w:r w:rsidR="00EE4FC3">
        <w:t xml:space="preserve"> </w:t>
      </w:r>
      <w:r w:rsidRPr="00382917">
        <w:t>and</w:t>
      </w:r>
      <w:r w:rsidR="00EE4FC3">
        <w:t xml:space="preserve"> </w:t>
      </w:r>
      <w:r w:rsidRPr="00382917">
        <w:t>rushed</w:t>
      </w:r>
      <w:r w:rsidR="00EE4FC3">
        <w:t xml:space="preserve"> </w:t>
      </w:r>
      <w:r w:rsidRPr="00382917">
        <w:t>out</w:t>
      </w:r>
      <w:r w:rsidR="00EE4FC3">
        <w:t xml:space="preserve"> </w:t>
      </w:r>
      <w:r w:rsidRPr="00382917">
        <w:t>over</w:t>
      </w:r>
      <w:r w:rsidR="00EE4FC3">
        <w:t xml:space="preserve"> </w:t>
      </w:r>
      <w:r w:rsidRPr="00382917">
        <w:t>a</w:t>
      </w:r>
      <w:r w:rsidR="00EE4FC3">
        <w:t xml:space="preserve"> </w:t>
      </w:r>
      <w:r w:rsidRPr="00382917">
        <w:t>mile</w:t>
      </w:r>
      <w:r w:rsidR="00EE4FC3">
        <w:t xml:space="preserve"> </w:t>
      </w:r>
      <w:r w:rsidRPr="00382917">
        <w:t>towards</w:t>
      </w:r>
      <w:r w:rsidR="00EE4FC3">
        <w:t xml:space="preserve"> </w:t>
      </w:r>
      <w:r w:rsidRPr="00382917">
        <w:t>the</w:t>
      </w:r>
      <w:r w:rsidR="00EE4FC3">
        <w:t xml:space="preserve"> </w:t>
      </w:r>
      <w:r w:rsidRPr="00382917">
        <w:t>Báb</w:t>
      </w:r>
      <w:r w:rsidR="00C03C91">
        <w:t>.</w:t>
      </w:r>
      <w:r w:rsidR="00EE4FC3">
        <w:t xml:space="preserve">  </w:t>
      </w:r>
      <w:r w:rsidRPr="00382917">
        <w:t>He</w:t>
      </w:r>
      <w:r w:rsidR="00EE4FC3">
        <w:t xml:space="preserve"> </w:t>
      </w:r>
      <w:r w:rsidRPr="00382917">
        <w:t>approached</w:t>
      </w:r>
      <w:r w:rsidR="00EE4FC3">
        <w:t xml:space="preserve"> </w:t>
      </w:r>
      <w:r w:rsidRPr="00382917">
        <w:t>the</w:t>
      </w:r>
      <w:r w:rsidR="00EE4FC3">
        <w:t xml:space="preserve"> </w:t>
      </w:r>
      <w:r w:rsidRPr="00382917">
        <w:t>horsemen</w:t>
      </w:r>
      <w:r w:rsidR="00EE4FC3">
        <w:t xml:space="preserve"> </w:t>
      </w:r>
      <w:r w:rsidRPr="00382917">
        <w:t>who</w:t>
      </w:r>
      <w:r w:rsidR="00EE4FC3">
        <w:t xml:space="preserve"> </w:t>
      </w:r>
      <w:r w:rsidRPr="00382917">
        <w:t>were</w:t>
      </w:r>
      <w:r w:rsidR="00EE4FC3">
        <w:t xml:space="preserve"> </w:t>
      </w:r>
      <w:r w:rsidRPr="00382917">
        <w:t>marching</w:t>
      </w:r>
      <w:r w:rsidR="00EE4FC3">
        <w:t xml:space="preserve"> </w:t>
      </w:r>
      <w:r w:rsidRPr="00382917">
        <w:t>in</w:t>
      </w:r>
      <w:r w:rsidR="00EE4FC3">
        <w:t xml:space="preserve"> </w:t>
      </w:r>
      <w:r w:rsidRPr="00382917">
        <w:t>advance</w:t>
      </w:r>
      <w:r w:rsidR="00EE4FC3">
        <w:t xml:space="preserve"> </w:t>
      </w:r>
      <w:r w:rsidRPr="00382917">
        <w:t>and</w:t>
      </w:r>
      <w:r w:rsidR="00EE4FC3">
        <w:t xml:space="preserve"> </w:t>
      </w:r>
      <w:r w:rsidRPr="00382917">
        <w:t>joyously</w:t>
      </w:r>
      <w:r w:rsidR="00EE4FC3">
        <w:t xml:space="preserve"> </w:t>
      </w:r>
      <w:r w:rsidRPr="00382917">
        <w:t>welcomed</w:t>
      </w:r>
      <w:r w:rsidR="00EE4FC3">
        <w:t xml:space="preserve"> </w:t>
      </w:r>
      <w:r w:rsidRPr="00382917">
        <w:t>them.</w:t>
      </w:r>
    </w:p>
    <w:p w:rsidR="00540E31" w:rsidRPr="00382917" w:rsidRDefault="009C713D" w:rsidP="00665A7A">
      <w:pPr>
        <w:pStyle w:val="Text"/>
      </w:pPr>
      <w:r w:rsidRPr="00382917">
        <w:t>“</w:t>
      </w:r>
      <w:r w:rsidR="00540E31" w:rsidRPr="00382917">
        <w:t>You</w:t>
      </w:r>
      <w:r w:rsidR="00EE4FC3">
        <w:t xml:space="preserve"> </w:t>
      </w:r>
      <w:r w:rsidR="00540E31" w:rsidRPr="00382917">
        <w:t>are</w:t>
      </w:r>
      <w:r w:rsidR="00EE4FC3">
        <w:t xml:space="preserve"> </w:t>
      </w:r>
      <w:r w:rsidR="00540E31" w:rsidRPr="00382917">
        <w:t>the</w:t>
      </w:r>
      <w:r w:rsidR="00EE4FC3">
        <w:t xml:space="preserve"> </w:t>
      </w:r>
      <w:r w:rsidR="00540E31" w:rsidRPr="00382917">
        <w:t>companions</w:t>
      </w:r>
      <w:r w:rsidR="00EE4FC3">
        <w:t xml:space="preserve"> </w:t>
      </w:r>
      <w:r w:rsidR="00540E31" w:rsidRPr="00382917">
        <w:t>of</w:t>
      </w:r>
      <w:r w:rsidR="00EE4FC3">
        <w:t xml:space="preserve"> </w:t>
      </w:r>
      <w:r w:rsidR="00540E31" w:rsidRPr="00382917">
        <w:t>my</w:t>
      </w:r>
      <w:r w:rsidR="00EE4FC3">
        <w:t xml:space="preserve"> </w:t>
      </w:r>
      <w:r w:rsidR="00540E31" w:rsidRPr="00382917">
        <w:t>Beloved</w:t>
      </w:r>
      <w:r w:rsidR="00EE4FC3">
        <w:t xml:space="preserve"> </w:t>
      </w:r>
      <w:r w:rsidR="00540E31" w:rsidRPr="00382917">
        <w:t>One,</w:t>
      </w:r>
      <w:r w:rsidRPr="00382917">
        <w:t>”</w:t>
      </w:r>
      <w:r w:rsidR="00EE4FC3">
        <w:t xml:space="preserve"> </w:t>
      </w:r>
      <w:r w:rsidR="00540E31" w:rsidRPr="00382917">
        <w:t>he</w:t>
      </w:r>
      <w:r w:rsidR="00EE4FC3">
        <w:t xml:space="preserve"> </w:t>
      </w:r>
      <w:r w:rsidR="00540E31" w:rsidRPr="00382917">
        <w:t>cried,</w:t>
      </w:r>
      <w:r w:rsidR="00EE4FC3">
        <w:t xml:space="preserve"> </w:t>
      </w:r>
      <w:r w:rsidRPr="00382917">
        <w:t>“</w:t>
      </w:r>
      <w:r w:rsidR="00540E31" w:rsidRPr="00382917">
        <w:t>I</w:t>
      </w:r>
      <w:r w:rsidR="00EE4FC3">
        <w:t xml:space="preserve"> </w:t>
      </w:r>
      <w:r w:rsidR="00540E31" w:rsidRPr="00382917">
        <w:t>cherish</w:t>
      </w:r>
      <w:r w:rsidR="00EE4FC3">
        <w:t xml:space="preserve"> </w:t>
      </w:r>
      <w:r w:rsidR="00540E31" w:rsidRPr="00382917">
        <w:t>you</w:t>
      </w:r>
      <w:r w:rsidR="00EE4FC3">
        <w:t xml:space="preserve"> </w:t>
      </w:r>
      <w:r w:rsidR="00540E31" w:rsidRPr="00382917">
        <w:t>as</w:t>
      </w:r>
      <w:r w:rsidR="00EE4FC3">
        <w:t xml:space="preserve"> </w:t>
      </w:r>
      <w:r w:rsidR="00540E31" w:rsidRPr="00382917">
        <w:t>the</w:t>
      </w:r>
      <w:r w:rsidR="00EE4FC3">
        <w:t xml:space="preserve"> </w:t>
      </w:r>
      <w:r w:rsidR="00540E31" w:rsidRPr="00382917">
        <w:t>apple</w:t>
      </w:r>
      <w:r w:rsidR="00EE4FC3">
        <w:t xml:space="preserve"> </w:t>
      </w:r>
      <w:r w:rsidR="00540E31" w:rsidRPr="00382917">
        <w:t>of</w:t>
      </w:r>
      <w:r w:rsidR="00EE4FC3">
        <w:t xml:space="preserve"> </w:t>
      </w:r>
      <w:r w:rsidR="00540E31" w:rsidRPr="00382917">
        <w:t>my</w:t>
      </w:r>
      <w:r w:rsidR="00EE4FC3">
        <w:t xml:space="preserve"> </w:t>
      </w:r>
      <w:r w:rsidR="00540E31" w:rsidRPr="00382917">
        <w:t>eye.</w:t>
      </w:r>
      <w:r w:rsidRPr="00382917">
        <w:t>”</w:t>
      </w:r>
    </w:p>
    <w:p w:rsidR="00540E31" w:rsidRPr="00382917" w:rsidRDefault="00540E31" w:rsidP="00665A7A">
      <w:pPr>
        <w:pStyle w:val="Text"/>
      </w:pPr>
      <w:r w:rsidRPr="00382917">
        <w:t>They</w:t>
      </w:r>
      <w:r w:rsidR="00EE4FC3">
        <w:t xml:space="preserve"> </w:t>
      </w:r>
      <w:r w:rsidRPr="00382917">
        <w:t>granted</w:t>
      </w:r>
      <w:r w:rsidR="00EE4FC3">
        <w:t xml:space="preserve"> </w:t>
      </w:r>
      <w:r w:rsidRPr="00382917">
        <w:t>him</w:t>
      </w:r>
      <w:r w:rsidR="00EE4FC3">
        <w:t xml:space="preserve"> </w:t>
      </w:r>
      <w:r w:rsidRPr="00382917">
        <w:t>permission</w:t>
      </w:r>
      <w:r w:rsidR="00EE4FC3">
        <w:t xml:space="preserve"> </w:t>
      </w:r>
      <w:r w:rsidRPr="00382917">
        <w:t>to</w:t>
      </w:r>
      <w:r w:rsidR="00EE4FC3">
        <w:t xml:space="preserve"> </w:t>
      </w:r>
      <w:r w:rsidRPr="00382917">
        <w:t>meet</w:t>
      </w:r>
      <w:r w:rsidR="00EE4FC3">
        <w:t xml:space="preserve"> </w:t>
      </w:r>
      <w:r w:rsidRPr="00382917">
        <w:t>the</w:t>
      </w:r>
      <w:r w:rsidR="00EE4FC3">
        <w:t xml:space="preserve"> </w:t>
      </w:r>
      <w:r w:rsidRPr="00382917">
        <w:t>Báb</w:t>
      </w:r>
      <w:r w:rsidR="00C03C91">
        <w:t>.</w:t>
      </w:r>
      <w:r w:rsidR="00EE4FC3">
        <w:t xml:space="preserve">  </w:t>
      </w:r>
      <w:r w:rsidRPr="00382917">
        <w:t>As</w:t>
      </w:r>
      <w:r w:rsidR="00EE4FC3">
        <w:t xml:space="preserve"> </w:t>
      </w:r>
      <w:r w:rsidRPr="00382917">
        <w:t>soon</w:t>
      </w:r>
      <w:r w:rsidR="00EE4FC3">
        <w:t xml:space="preserve"> </w:t>
      </w:r>
      <w:r w:rsidRPr="00382917">
        <w:t>as</w:t>
      </w:r>
      <w:r w:rsidR="00EE4FC3">
        <w:t xml:space="preserve"> </w:t>
      </w:r>
      <w:r w:rsidRPr="00382917">
        <w:t>the</w:t>
      </w:r>
      <w:r w:rsidR="00EE4FC3">
        <w:t xml:space="preserve"> </w:t>
      </w:r>
      <w:r w:rsidRPr="00382917">
        <w:t>young</w:t>
      </w:r>
      <w:r w:rsidR="00EE4FC3">
        <w:t xml:space="preserve"> </w:t>
      </w:r>
      <w:r w:rsidRPr="00382917">
        <w:t>man</w:t>
      </w:r>
      <w:r w:rsidR="009C713D" w:rsidRPr="00382917">
        <w:t>’</w:t>
      </w:r>
      <w:r w:rsidRPr="00382917">
        <w:t>s</w:t>
      </w:r>
      <w:r w:rsidR="00EE4FC3">
        <w:t xml:space="preserve"> </w:t>
      </w:r>
      <w:r w:rsidRPr="00382917">
        <w:t>eyes</w:t>
      </w:r>
      <w:r w:rsidR="00EE4FC3">
        <w:t xml:space="preserve"> </w:t>
      </w:r>
      <w:r w:rsidRPr="00382917">
        <w:t>fell</w:t>
      </w:r>
      <w:r w:rsidR="00EE4FC3">
        <w:t xml:space="preserve"> </w:t>
      </w:r>
      <w:r w:rsidRPr="00382917">
        <w:t>upon</w:t>
      </w:r>
      <w:r w:rsidR="00EE4FC3">
        <w:t xml:space="preserve"> </w:t>
      </w:r>
      <w:r w:rsidRPr="00382917">
        <w:t>Him,</w:t>
      </w:r>
      <w:r w:rsidR="00EE4FC3">
        <w:t xml:space="preserve"> </w:t>
      </w:r>
      <w:r w:rsidRPr="00382917">
        <w:t>a</w:t>
      </w:r>
      <w:r w:rsidR="00EE4FC3">
        <w:t xml:space="preserve"> </w:t>
      </w:r>
      <w:r w:rsidRPr="00382917">
        <w:t>cry</w:t>
      </w:r>
      <w:r w:rsidR="00EE4FC3">
        <w:t xml:space="preserve"> </w:t>
      </w:r>
      <w:r w:rsidRPr="00382917">
        <w:t>of</w:t>
      </w:r>
      <w:r w:rsidR="00EE4FC3">
        <w:t xml:space="preserve"> </w:t>
      </w:r>
      <w:r w:rsidRPr="00382917">
        <w:t>exultation</w:t>
      </w:r>
      <w:r w:rsidR="00EE4FC3">
        <w:t xml:space="preserve"> </w:t>
      </w:r>
      <w:r w:rsidRPr="00382917">
        <w:t>broke</w:t>
      </w:r>
      <w:r w:rsidR="00EE4FC3">
        <w:t xml:space="preserve"> </w:t>
      </w:r>
      <w:r w:rsidRPr="00382917">
        <w:t>from</w:t>
      </w:r>
      <w:r w:rsidR="00EE4FC3">
        <w:t xml:space="preserve"> </w:t>
      </w:r>
      <w:r w:rsidRPr="00382917">
        <w:t>his</w:t>
      </w:r>
      <w:r w:rsidR="00EE4FC3">
        <w:t xml:space="preserve"> </w:t>
      </w:r>
      <w:r w:rsidRPr="00382917">
        <w:t>lips</w:t>
      </w:r>
      <w:r w:rsidR="00C03C91">
        <w:t>.</w:t>
      </w:r>
      <w:r w:rsidR="00EE4FC3">
        <w:t xml:space="preserve">  </w:t>
      </w:r>
      <w:r w:rsidRPr="00382917">
        <w:t>He</w:t>
      </w:r>
      <w:r w:rsidR="00EE4FC3">
        <w:t xml:space="preserve"> </w:t>
      </w:r>
      <w:r w:rsidRPr="00382917">
        <w:t>fell</w:t>
      </w:r>
      <w:r w:rsidR="00EE4FC3">
        <w:t xml:space="preserve"> </w:t>
      </w:r>
      <w:r w:rsidRPr="00382917">
        <w:t>upon</w:t>
      </w:r>
      <w:r w:rsidR="00EE4FC3">
        <w:t xml:space="preserve"> </w:t>
      </w:r>
      <w:r w:rsidRPr="00382917">
        <w:t>his</w:t>
      </w:r>
      <w:r w:rsidR="00EE4FC3">
        <w:t xml:space="preserve"> </w:t>
      </w:r>
      <w:r w:rsidRPr="00382917">
        <w:t>face</w:t>
      </w:r>
      <w:r w:rsidR="00EE4FC3">
        <w:t xml:space="preserve"> </w:t>
      </w:r>
      <w:r w:rsidRPr="00382917">
        <w:t>and</w:t>
      </w:r>
      <w:r w:rsidR="00EE4FC3">
        <w:t xml:space="preserve"> </w:t>
      </w:r>
      <w:r w:rsidRPr="00382917">
        <w:t>wept</w:t>
      </w:r>
      <w:r w:rsidR="00EE4FC3">
        <w:t xml:space="preserve"> </w:t>
      </w:r>
      <w:r w:rsidRPr="00382917">
        <w:t>profusely</w:t>
      </w:r>
      <w:r w:rsidR="00C03C91">
        <w:t>.</w:t>
      </w:r>
      <w:r w:rsidR="00EE4FC3">
        <w:t xml:space="preserve">  </w:t>
      </w:r>
      <w:r w:rsidRPr="00382917">
        <w:t>The</w:t>
      </w:r>
      <w:r w:rsidR="00EE4FC3">
        <w:t xml:space="preserve"> </w:t>
      </w:r>
      <w:r w:rsidRPr="00382917">
        <w:t>Báb</w:t>
      </w:r>
      <w:r w:rsidR="00EE4FC3">
        <w:t xml:space="preserve"> </w:t>
      </w:r>
      <w:r w:rsidRPr="00382917">
        <w:t>dismounted,</w:t>
      </w:r>
      <w:r w:rsidR="00EE4FC3">
        <w:t xml:space="preserve"> </w:t>
      </w:r>
      <w:r w:rsidRPr="00382917">
        <w:t>put</w:t>
      </w:r>
      <w:r w:rsidR="00EE4FC3">
        <w:t xml:space="preserve"> </w:t>
      </w:r>
      <w:r w:rsidRPr="00382917">
        <w:t>His</w:t>
      </w:r>
      <w:r w:rsidR="00EE4FC3">
        <w:t xml:space="preserve"> </w:t>
      </w:r>
      <w:r w:rsidRPr="00382917">
        <w:t>arms</w:t>
      </w:r>
      <w:r w:rsidR="00EE4FC3">
        <w:t xml:space="preserve"> </w:t>
      </w:r>
      <w:r w:rsidRPr="00382917">
        <w:t>about</w:t>
      </w:r>
      <w:r w:rsidR="00EE4FC3">
        <w:t xml:space="preserve"> </w:t>
      </w:r>
      <w:r w:rsidRPr="00382917">
        <w:t>the</w:t>
      </w:r>
      <w:r w:rsidR="00EE4FC3">
        <w:t xml:space="preserve"> </w:t>
      </w:r>
      <w:r w:rsidRPr="00382917">
        <w:t>young</w:t>
      </w:r>
      <w:r w:rsidR="00EE4FC3">
        <w:t xml:space="preserve"> </w:t>
      </w:r>
      <w:r w:rsidRPr="00382917">
        <w:t>man</w:t>
      </w:r>
      <w:r w:rsidR="00EE4FC3">
        <w:t xml:space="preserve"> </w:t>
      </w:r>
      <w:r w:rsidRPr="00382917">
        <w:t>and</w:t>
      </w:r>
      <w:r w:rsidR="00EE4FC3">
        <w:t xml:space="preserve"> </w:t>
      </w:r>
      <w:r w:rsidRPr="00382917">
        <w:t>embraced</w:t>
      </w:r>
      <w:r w:rsidR="00EE4FC3">
        <w:t xml:space="preserve"> </w:t>
      </w:r>
      <w:r w:rsidRPr="00382917">
        <w:t>him.</w:t>
      </w:r>
    </w:p>
    <w:p w:rsidR="00540E31" w:rsidRPr="00382917" w:rsidRDefault="00540E31" w:rsidP="00665A7A">
      <w:pPr>
        <w:pStyle w:val="Text"/>
      </w:pPr>
      <w:r w:rsidRPr="00382917">
        <w:t>Of</w:t>
      </w:r>
      <w:r w:rsidR="00EE4FC3">
        <w:t xml:space="preserve"> </w:t>
      </w:r>
      <w:r w:rsidRPr="00382917">
        <w:t>all</w:t>
      </w:r>
      <w:r w:rsidR="00EE4FC3">
        <w:t xml:space="preserve"> </w:t>
      </w:r>
      <w:r w:rsidRPr="00382917">
        <w:t>the</w:t>
      </w:r>
      <w:r w:rsidR="00EE4FC3">
        <w:t xml:space="preserve"> </w:t>
      </w:r>
      <w:r w:rsidRPr="00382917">
        <w:t>believers</w:t>
      </w:r>
      <w:r w:rsidR="00EE4FC3">
        <w:t xml:space="preserve"> </w:t>
      </w:r>
      <w:r w:rsidRPr="00382917">
        <w:t>of</w:t>
      </w:r>
      <w:r w:rsidR="00EE4FC3">
        <w:t xml:space="preserve"> </w:t>
      </w:r>
      <w:r w:rsidRPr="00382917">
        <w:t>Tabríz,</w:t>
      </w:r>
      <w:r w:rsidR="00EE4FC3">
        <w:t xml:space="preserve"> </w:t>
      </w:r>
      <w:r w:rsidRPr="00382917">
        <w:t>that</w:t>
      </w:r>
      <w:r w:rsidR="00EE4FC3">
        <w:t xml:space="preserve"> </w:t>
      </w:r>
      <w:r w:rsidRPr="00382917">
        <w:t>youth</w:t>
      </w:r>
      <w:r w:rsidR="00EE4FC3">
        <w:t xml:space="preserve"> </w:t>
      </w:r>
      <w:r w:rsidRPr="00382917">
        <w:t>alone</w:t>
      </w:r>
      <w:r w:rsidR="00EE4FC3">
        <w:t xml:space="preserve"> </w:t>
      </w:r>
      <w:r w:rsidRPr="00382917">
        <w:t>on</w:t>
      </w:r>
      <w:r w:rsidR="00EE4FC3">
        <w:t xml:space="preserve"> </w:t>
      </w:r>
      <w:r w:rsidRPr="00382917">
        <w:t>that</w:t>
      </w:r>
      <w:r w:rsidR="00EE4FC3">
        <w:t xml:space="preserve"> </w:t>
      </w:r>
      <w:r w:rsidRPr="00382917">
        <w:t>day</w:t>
      </w:r>
      <w:r w:rsidR="00EE4FC3">
        <w:t xml:space="preserve"> </w:t>
      </w:r>
      <w:r w:rsidRPr="00382917">
        <w:t>succeeded</w:t>
      </w:r>
      <w:r w:rsidR="00EE4FC3">
        <w:t xml:space="preserve"> </w:t>
      </w:r>
      <w:r w:rsidRPr="00382917">
        <w:t>in</w:t>
      </w:r>
      <w:r w:rsidR="00EE4FC3">
        <w:t xml:space="preserve"> </w:t>
      </w:r>
      <w:r w:rsidRPr="00382917">
        <w:t>reaching</w:t>
      </w:r>
      <w:r w:rsidR="00EE4FC3">
        <w:t xml:space="preserve"> </w:t>
      </w:r>
      <w:r w:rsidRPr="00382917">
        <w:t>the</w:t>
      </w:r>
      <w:r w:rsidR="00EE4FC3">
        <w:t xml:space="preserve"> </w:t>
      </w:r>
      <w:r w:rsidRPr="00382917">
        <w:t>Báb</w:t>
      </w:r>
      <w:r w:rsidR="00EE4FC3">
        <w:t xml:space="preserve"> </w:t>
      </w:r>
      <w:r w:rsidRPr="00382917">
        <w:t>and</w:t>
      </w:r>
      <w:r w:rsidR="00EE4FC3">
        <w:t xml:space="preserve"> </w:t>
      </w:r>
      <w:r w:rsidRPr="00382917">
        <w:t>being</w:t>
      </w:r>
      <w:r w:rsidR="00EE4FC3">
        <w:t xml:space="preserve"> </w:t>
      </w:r>
      <w:r w:rsidRPr="00382917">
        <w:t>blessed</w:t>
      </w:r>
      <w:r w:rsidR="00EE4FC3">
        <w:t xml:space="preserve"> </w:t>
      </w:r>
      <w:r w:rsidRPr="00382917">
        <w:t>by</w:t>
      </w:r>
      <w:r w:rsidR="00EE4FC3">
        <w:t xml:space="preserve"> </w:t>
      </w:r>
      <w:r w:rsidRPr="00382917">
        <w:t>His</w:t>
      </w:r>
      <w:r w:rsidR="00EE4FC3">
        <w:t xml:space="preserve"> </w:t>
      </w:r>
      <w:r w:rsidRPr="00382917">
        <w:t>hand</w:t>
      </w:r>
      <w:r w:rsidR="00C03C91">
        <w:t>.</w:t>
      </w:r>
      <w:r w:rsidR="00EE4FC3">
        <w:t xml:space="preserve">  </w:t>
      </w:r>
      <w:r w:rsidRPr="00382917">
        <w:t>All</w:t>
      </w:r>
      <w:r w:rsidR="00EE4FC3">
        <w:t xml:space="preserve"> </w:t>
      </w:r>
      <w:r w:rsidRPr="00382917">
        <w:t>of</w:t>
      </w:r>
      <w:r w:rsidR="00EE4FC3">
        <w:t xml:space="preserve"> </w:t>
      </w:r>
      <w:r w:rsidRPr="00382917">
        <w:t>the</w:t>
      </w:r>
      <w:r w:rsidR="00EE4FC3">
        <w:t xml:space="preserve"> </w:t>
      </w:r>
      <w:r w:rsidRPr="00382917">
        <w:t>others</w:t>
      </w:r>
      <w:r w:rsidR="00EE4FC3">
        <w:t xml:space="preserve"> </w:t>
      </w:r>
      <w:r w:rsidRPr="00382917">
        <w:t>had</w:t>
      </w:r>
      <w:r w:rsidR="00EE4FC3">
        <w:t xml:space="preserve"> </w:t>
      </w:r>
      <w:r w:rsidRPr="00382917">
        <w:t>to</w:t>
      </w:r>
      <w:r w:rsidR="00EE4FC3">
        <w:t xml:space="preserve"> </w:t>
      </w:r>
      <w:r w:rsidRPr="00382917">
        <w:t>content</w:t>
      </w:r>
      <w:r w:rsidR="00EE4FC3">
        <w:t xml:space="preserve"> </w:t>
      </w:r>
      <w:r w:rsidRPr="00382917">
        <w:t>themselves</w:t>
      </w:r>
      <w:r w:rsidR="00EE4FC3">
        <w:t xml:space="preserve"> </w:t>
      </w:r>
      <w:r w:rsidRPr="00382917">
        <w:t>with</w:t>
      </w:r>
      <w:r w:rsidR="00EE4FC3">
        <w:t xml:space="preserve"> </w:t>
      </w:r>
      <w:r w:rsidRPr="00382917">
        <w:t>seeing</w:t>
      </w:r>
      <w:r w:rsidR="00EE4FC3">
        <w:t xml:space="preserve"> </w:t>
      </w:r>
      <w:r w:rsidRPr="00382917">
        <w:t>Him</w:t>
      </w:r>
      <w:r w:rsidR="00EE4FC3">
        <w:t xml:space="preserve"> </w:t>
      </w:r>
      <w:r w:rsidRPr="00382917">
        <w:t>from</w:t>
      </w:r>
      <w:r w:rsidR="00EE4FC3">
        <w:t xml:space="preserve"> </w:t>
      </w:r>
      <w:r w:rsidRPr="00382917">
        <w:t>afar</w:t>
      </w:r>
      <w:r w:rsidR="00C03C91">
        <w:t>.</w:t>
      </w:r>
      <w:r w:rsidR="00EE4FC3">
        <w:t xml:space="preserve">  </w:t>
      </w:r>
      <w:r w:rsidRPr="00382917">
        <w:t>A</w:t>
      </w:r>
      <w:r w:rsidR="00EE4FC3">
        <w:t xml:space="preserve"> </w:t>
      </w:r>
      <w:r w:rsidRPr="00382917">
        <w:t>mere</w:t>
      </w:r>
      <w:r w:rsidR="00EE4FC3">
        <w:t xml:space="preserve"> </w:t>
      </w:r>
      <w:r w:rsidRPr="00382917">
        <w:t>glimpse</w:t>
      </w:r>
      <w:r w:rsidR="00EE4FC3">
        <w:t xml:space="preserve"> </w:t>
      </w:r>
      <w:r w:rsidRPr="00382917">
        <w:t>had</w:t>
      </w:r>
      <w:r w:rsidR="00EE4FC3">
        <w:t xml:space="preserve"> </w:t>
      </w:r>
      <w:r w:rsidRPr="00382917">
        <w:t>to</w:t>
      </w:r>
      <w:r w:rsidR="00EE4FC3">
        <w:t xml:space="preserve"> </w:t>
      </w:r>
      <w:r w:rsidRPr="00382917">
        <w:t>satisfy</w:t>
      </w:r>
      <w:r w:rsidR="00EE4FC3">
        <w:t xml:space="preserve"> </w:t>
      </w:r>
      <w:r w:rsidRPr="00382917">
        <w:t>their</w:t>
      </w:r>
      <w:r w:rsidR="00EE4FC3">
        <w:t xml:space="preserve"> </w:t>
      </w:r>
      <w:r w:rsidRPr="00382917">
        <w:t>longing.</w:t>
      </w:r>
    </w:p>
    <w:p w:rsidR="00540E31" w:rsidRPr="00382917" w:rsidRDefault="00540E31" w:rsidP="00B24C41">
      <w:pPr>
        <w:pStyle w:val="Text"/>
      </w:pPr>
      <w:r w:rsidRPr="00382917">
        <w:t>An</w:t>
      </w:r>
      <w:r w:rsidR="00EE4FC3">
        <w:t xml:space="preserve"> </w:t>
      </w:r>
      <w:r w:rsidRPr="00382917">
        <w:t>immense</w:t>
      </w:r>
      <w:r w:rsidR="00EE4FC3">
        <w:t xml:space="preserve"> </w:t>
      </w:r>
      <w:r w:rsidRPr="00382917">
        <w:t>crowd</w:t>
      </w:r>
      <w:r w:rsidR="00EE4FC3">
        <w:t xml:space="preserve"> </w:t>
      </w:r>
      <w:r w:rsidRPr="00382917">
        <w:t>of</w:t>
      </w:r>
      <w:r w:rsidR="00EE4FC3">
        <w:t xml:space="preserve"> </w:t>
      </w:r>
      <w:r w:rsidRPr="00382917">
        <w:t>people</w:t>
      </w:r>
      <w:r w:rsidR="00EE4FC3">
        <w:t xml:space="preserve"> </w:t>
      </w:r>
      <w:r w:rsidRPr="00382917">
        <w:t>thronged</w:t>
      </w:r>
      <w:r w:rsidR="00EE4FC3">
        <w:t xml:space="preserve"> </w:t>
      </w:r>
      <w:r w:rsidRPr="00382917">
        <w:t>the</w:t>
      </w:r>
      <w:r w:rsidR="00EE4FC3">
        <w:t xml:space="preserve"> </w:t>
      </w:r>
      <w:r w:rsidRPr="00382917">
        <w:t>gate</w:t>
      </w:r>
      <w:r w:rsidR="00EE4FC3">
        <w:t xml:space="preserve"> </w:t>
      </w:r>
      <w:r w:rsidRPr="00382917">
        <w:t>of</w:t>
      </w:r>
      <w:r w:rsidR="00EE4FC3">
        <w:t xml:space="preserve"> </w:t>
      </w:r>
      <w:r w:rsidRPr="00382917">
        <w:t>the</w:t>
      </w:r>
      <w:r w:rsidR="00EE4FC3">
        <w:t xml:space="preserve"> </w:t>
      </w:r>
      <w:r w:rsidRPr="00382917">
        <w:t>city</w:t>
      </w:r>
      <w:r w:rsidR="00EE4FC3">
        <w:t xml:space="preserve"> </w:t>
      </w:r>
      <w:r w:rsidRPr="00382917">
        <w:t>to</w:t>
      </w:r>
      <w:r w:rsidR="00EE4FC3">
        <w:t xml:space="preserve"> </w:t>
      </w:r>
      <w:r w:rsidRPr="00382917">
        <w:t>witness</w:t>
      </w:r>
      <w:r w:rsidR="00EE4FC3">
        <w:t xml:space="preserve"> </w:t>
      </w:r>
      <w:r w:rsidRPr="00382917">
        <w:t>the</w:t>
      </w:r>
      <w:r w:rsidR="00EE4FC3">
        <w:t xml:space="preserve"> </w:t>
      </w:r>
      <w:r w:rsidRPr="00382917">
        <w:t>entry</w:t>
      </w:r>
      <w:r w:rsidR="00EE4FC3">
        <w:t xml:space="preserve"> </w:t>
      </w:r>
      <w:r w:rsidRPr="00382917">
        <w:t>of</w:t>
      </w:r>
      <w:r w:rsidR="00EE4FC3">
        <w:t xml:space="preserve"> </w:t>
      </w:r>
      <w:r w:rsidRPr="00382917">
        <w:t>the</w:t>
      </w:r>
      <w:r w:rsidR="00EE4FC3">
        <w:t xml:space="preserve"> </w:t>
      </w:r>
      <w:r w:rsidRPr="00382917">
        <w:t>Báb</w:t>
      </w:r>
      <w:r w:rsidR="00C03C91">
        <w:t>.</w:t>
      </w:r>
      <w:r w:rsidR="00EE4FC3">
        <w:t xml:space="preserve">  </w:t>
      </w:r>
      <w:r w:rsidRPr="00382917">
        <w:t>Some</w:t>
      </w:r>
      <w:r w:rsidR="00EE4FC3">
        <w:t xml:space="preserve"> </w:t>
      </w:r>
      <w:r w:rsidRPr="00382917">
        <w:t>were</w:t>
      </w:r>
      <w:r w:rsidR="00EE4FC3">
        <w:t xml:space="preserve"> </w:t>
      </w:r>
      <w:r w:rsidRPr="00382917">
        <w:t>merely</w:t>
      </w:r>
      <w:r w:rsidR="00EE4FC3">
        <w:t xml:space="preserve"> </w:t>
      </w:r>
      <w:r w:rsidRPr="00382917">
        <w:t>curious,</w:t>
      </w:r>
      <w:r w:rsidR="00EE4FC3">
        <w:t xml:space="preserve"> </w:t>
      </w:r>
      <w:r w:rsidRPr="00382917">
        <w:t>while</w:t>
      </w:r>
      <w:r w:rsidR="00EE4FC3">
        <w:t xml:space="preserve"> </w:t>
      </w:r>
      <w:r w:rsidRPr="00382917">
        <w:t>others</w:t>
      </w:r>
      <w:r w:rsidR="00EE4FC3">
        <w:t xml:space="preserve"> </w:t>
      </w:r>
      <w:r w:rsidRPr="00382917">
        <w:t>were</w:t>
      </w:r>
      <w:r w:rsidR="00EE4FC3">
        <w:t xml:space="preserve"> </w:t>
      </w:r>
      <w:r w:rsidRPr="00382917">
        <w:t>earnestly</w:t>
      </w:r>
      <w:r w:rsidR="00EE4FC3">
        <w:t xml:space="preserve"> </w:t>
      </w:r>
      <w:r w:rsidRPr="00382917">
        <w:t>trying</w:t>
      </w:r>
      <w:r w:rsidR="00EE4FC3">
        <w:t xml:space="preserve"> </w:t>
      </w:r>
      <w:r w:rsidRPr="00382917">
        <w:t>to</w:t>
      </w:r>
      <w:r w:rsidR="00EE4FC3">
        <w:t xml:space="preserve"> </w:t>
      </w:r>
      <w:r w:rsidRPr="00382917">
        <w:t>find</w:t>
      </w:r>
      <w:r w:rsidR="00EE4FC3">
        <w:t xml:space="preserve"> </w:t>
      </w:r>
      <w:r w:rsidRPr="00382917">
        <w:t>out</w:t>
      </w:r>
      <w:r w:rsidR="00EE4FC3">
        <w:t xml:space="preserve"> </w:t>
      </w:r>
      <w:r w:rsidRPr="00382917">
        <w:t>if</w:t>
      </w:r>
      <w:r w:rsidR="00EE4FC3">
        <w:t xml:space="preserve"> </w:t>
      </w:r>
      <w:r w:rsidRPr="00382917">
        <w:t>the</w:t>
      </w:r>
      <w:r w:rsidR="00EE4FC3">
        <w:t xml:space="preserve"> </w:t>
      </w:r>
      <w:r w:rsidRPr="00382917">
        <w:t>Báb</w:t>
      </w:r>
      <w:r w:rsidR="00EE4FC3">
        <w:t xml:space="preserve"> </w:t>
      </w:r>
      <w:r w:rsidRPr="00382917">
        <w:t>were</w:t>
      </w:r>
      <w:r w:rsidR="00EE4FC3">
        <w:t xml:space="preserve"> </w:t>
      </w:r>
      <w:r w:rsidRPr="00382917">
        <w:t>in</w:t>
      </w:r>
      <w:r w:rsidR="00EE4FC3">
        <w:t xml:space="preserve"> </w:t>
      </w:r>
      <w:r w:rsidRPr="00382917">
        <w:t>truth</w:t>
      </w:r>
    </w:p>
    <w:p w:rsidR="00665A7A" w:rsidRPr="00382917" w:rsidRDefault="00665A7A">
      <w:pPr>
        <w:widowControl/>
        <w:kinsoku/>
        <w:overflowPunct/>
        <w:textAlignment w:val="auto"/>
      </w:pPr>
      <w:r w:rsidRPr="00382917">
        <w:br w:type="page"/>
      </w:r>
    </w:p>
    <w:p w:rsidR="00540E31" w:rsidRPr="00382917" w:rsidRDefault="00540E31" w:rsidP="00665A7A">
      <w:pPr>
        <w:pStyle w:val="Textcts"/>
      </w:pPr>
      <w:proofErr w:type="gramStart"/>
      <w:r w:rsidRPr="00382917">
        <w:t>such</w:t>
      </w:r>
      <w:proofErr w:type="gramEnd"/>
      <w:r w:rsidR="00EE4FC3">
        <w:t xml:space="preserve"> </w:t>
      </w:r>
      <w:r w:rsidRPr="00382917">
        <w:t>a</w:t>
      </w:r>
      <w:r w:rsidR="00EE4FC3">
        <w:t xml:space="preserve"> </w:t>
      </w:r>
      <w:r w:rsidRPr="00382917">
        <w:t>wondrous</w:t>
      </w:r>
      <w:r w:rsidR="00EE4FC3">
        <w:t xml:space="preserve"> </w:t>
      </w:r>
      <w:r w:rsidRPr="00382917">
        <w:t>figure</w:t>
      </w:r>
      <w:r w:rsidR="00EE4FC3">
        <w:t xml:space="preserve"> </w:t>
      </w:r>
      <w:r w:rsidRPr="00382917">
        <w:t>as</w:t>
      </w:r>
      <w:r w:rsidR="00EE4FC3">
        <w:t xml:space="preserve"> </w:t>
      </w:r>
      <w:r w:rsidRPr="00382917">
        <w:t>they</w:t>
      </w:r>
      <w:r w:rsidR="00EE4FC3">
        <w:t xml:space="preserve"> </w:t>
      </w:r>
      <w:r w:rsidRPr="00382917">
        <w:t>had</w:t>
      </w:r>
      <w:r w:rsidR="00EE4FC3">
        <w:t xml:space="preserve"> </w:t>
      </w:r>
      <w:r w:rsidRPr="00382917">
        <w:t>been</w:t>
      </w:r>
      <w:r w:rsidR="00EE4FC3">
        <w:t xml:space="preserve"> </w:t>
      </w:r>
      <w:r w:rsidRPr="00382917">
        <w:t>told</w:t>
      </w:r>
      <w:r w:rsidR="00C03C91">
        <w:t>.</w:t>
      </w:r>
      <w:r w:rsidR="00EE4FC3">
        <w:t xml:space="preserve">  </w:t>
      </w:r>
      <w:r w:rsidRPr="00382917">
        <w:t>Still</w:t>
      </w:r>
      <w:r w:rsidR="00EE4FC3">
        <w:t xml:space="preserve"> </w:t>
      </w:r>
      <w:r w:rsidRPr="00382917">
        <w:t>other;</w:t>
      </w:r>
      <w:r w:rsidR="00EE4FC3">
        <w:t xml:space="preserve"> </w:t>
      </w:r>
      <w:r w:rsidRPr="00382917">
        <w:t>were</w:t>
      </w:r>
      <w:r w:rsidR="00EE4FC3">
        <w:t xml:space="preserve"> </w:t>
      </w:r>
      <w:r w:rsidRPr="00382917">
        <w:t>moved</w:t>
      </w:r>
      <w:r w:rsidR="00EE4FC3">
        <w:t xml:space="preserve"> </w:t>
      </w:r>
      <w:r w:rsidRPr="00382917">
        <w:t>by</w:t>
      </w:r>
      <w:r w:rsidR="00EE4FC3">
        <w:t xml:space="preserve"> </w:t>
      </w:r>
      <w:r w:rsidRPr="00382917">
        <w:t>their</w:t>
      </w:r>
      <w:r w:rsidR="00EE4FC3">
        <w:t xml:space="preserve"> </w:t>
      </w:r>
      <w:r w:rsidRPr="00382917">
        <w:t>faith</w:t>
      </w:r>
      <w:r w:rsidR="00EE4FC3">
        <w:t xml:space="preserve"> </w:t>
      </w:r>
      <w:r w:rsidRPr="00382917">
        <w:t>and</w:t>
      </w:r>
      <w:r w:rsidR="00EE4FC3">
        <w:t xml:space="preserve"> </w:t>
      </w:r>
      <w:r w:rsidRPr="00382917">
        <w:t>devotion,</w:t>
      </w:r>
      <w:r w:rsidR="00EE4FC3">
        <w:t xml:space="preserve"> </w:t>
      </w:r>
      <w:r w:rsidRPr="00382917">
        <w:t>and</w:t>
      </w:r>
      <w:r w:rsidR="00EE4FC3">
        <w:t xml:space="preserve"> </w:t>
      </w:r>
      <w:r w:rsidRPr="00382917">
        <w:t>sought</w:t>
      </w:r>
      <w:r w:rsidR="00EE4FC3">
        <w:t xml:space="preserve"> </w:t>
      </w:r>
      <w:r w:rsidRPr="00382917">
        <w:t>to</w:t>
      </w:r>
      <w:r w:rsidR="00EE4FC3">
        <w:t xml:space="preserve"> </w:t>
      </w:r>
      <w:r w:rsidRPr="00382917">
        <w:t>attain</w:t>
      </w:r>
      <w:r w:rsidR="00EE4FC3">
        <w:t xml:space="preserve"> </w:t>
      </w:r>
      <w:r w:rsidRPr="00382917">
        <w:t>His</w:t>
      </w:r>
      <w:r w:rsidR="00EE4FC3">
        <w:t xml:space="preserve"> </w:t>
      </w:r>
      <w:r w:rsidRPr="00382917">
        <w:t>presence</w:t>
      </w:r>
      <w:r w:rsidR="00EE4FC3">
        <w:t xml:space="preserve"> </w:t>
      </w:r>
      <w:r w:rsidRPr="00382917">
        <w:t>so</w:t>
      </w:r>
      <w:r w:rsidR="00EE4FC3">
        <w:t xml:space="preserve"> </w:t>
      </w:r>
      <w:r w:rsidRPr="00382917">
        <w:t>they</w:t>
      </w:r>
      <w:r w:rsidR="00EE4FC3">
        <w:t xml:space="preserve"> </w:t>
      </w:r>
      <w:r w:rsidRPr="00382917">
        <w:t>could</w:t>
      </w:r>
      <w:r w:rsidR="00EE4FC3">
        <w:t xml:space="preserve"> </w:t>
      </w:r>
      <w:r w:rsidRPr="00382917">
        <w:t>assure</w:t>
      </w:r>
      <w:r w:rsidR="00EE4FC3">
        <w:t xml:space="preserve"> </w:t>
      </w:r>
      <w:r w:rsidRPr="00382917">
        <w:t>Him</w:t>
      </w:r>
      <w:r w:rsidR="00EE4FC3">
        <w:t xml:space="preserve"> </w:t>
      </w:r>
      <w:r w:rsidRPr="00382917">
        <w:t>of</w:t>
      </w:r>
      <w:r w:rsidR="00EE4FC3">
        <w:t xml:space="preserve"> </w:t>
      </w:r>
      <w:r w:rsidRPr="00382917">
        <w:t>their</w:t>
      </w:r>
      <w:r w:rsidR="00EE4FC3">
        <w:t xml:space="preserve"> </w:t>
      </w:r>
      <w:r w:rsidRPr="00382917">
        <w:t>loyalty.</w:t>
      </w:r>
    </w:p>
    <w:p w:rsidR="00540E31" w:rsidRPr="00382917" w:rsidRDefault="00540E31" w:rsidP="00665A7A">
      <w:pPr>
        <w:pStyle w:val="Text"/>
      </w:pPr>
      <w:r w:rsidRPr="00382917">
        <w:t>As</w:t>
      </w:r>
      <w:r w:rsidR="00EE4FC3">
        <w:t xml:space="preserve"> </w:t>
      </w:r>
      <w:r w:rsidRPr="00382917">
        <w:t>He</w:t>
      </w:r>
      <w:r w:rsidR="00EE4FC3">
        <w:t xml:space="preserve"> </w:t>
      </w:r>
      <w:r w:rsidRPr="00382917">
        <w:t>walked</w:t>
      </w:r>
      <w:r w:rsidR="00EE4FC3">
        <w:t xml:space="preserve"> </w:t>
      </w:r>
      <w:r w:rsidRPr="00382917">
        <w:t>along</w:t>
      </w:r>
      <w:r w:rsidR="00EE4FC3">
        <w:t xml:space="preserve"> </w:t>
      </w:r>
      <w:r w:rsidRPr="00382917">
        <w:t>the</w:t>
      </w:r>
      <w:r w:rsidR="00EE4FC3">
        <w:t xml:space="preserve"> </w:t>
      </w:r>
      <w:r w:rsidRPr="00382917">
        <w:t>streets,</w:t>
      </w:r>
      <w:r w:rsidR="00EE4FC3">
        <w:t xml:space="preserve"> </w:t>
      </w:r>
      <w:r w:rsidRPr="00382917">
        <w:t>the</w:t>
      </w:r>
      <w:r w:rsidR="00EE4FC3">
        <w:t xml:space="preserve"> </w:t>
      </w:r>
      <w:r w:rsidRPr="00382917">
        <w:t>cries</w:t>
      </w:r>
      <w:r w:rsidR="00EE4FC3">
        <w:t xml:space="preserve"> </w:t>
      </w:r>
      <w:r w:rsidRPr="00382917">
        <w:t>of</w:t>
      </w:r>
      <w:r w:rsidR="00EE4FC3">
        <w:t xml:space="preserve"> </w:t>
      </w:r>
      <w:r w:rsidRPr="00382917">
        <w:t>welcome</w:t>
      </w:r>
      <w:r w:rsidR="00EE4FC3">
        <w:t xml:space="preserve"> </w:t>
      </w:r>
      <w:r w:rsidRPr="00382917">
        <w:t>rang</w:t>
      </w:r>
      <w:r w:rsidR="00EE4FC3">
        <w:t xml:space="preserve"> </w:t>
      </w:r>
      <w:r w:rsidRPr="00382917">
        <w:t>out</w:t>
      </w:r>
      <w:r w:rsidR="00EE4FC3">
        <w:t xml:space="preserve"> </w:t>
      </w:r>
      <w:r w:rsidRPr="00382917">
        <w:t>on</w:t>
      </w:r>
      <w:r w:rsidR="00EE4FC3">
        <w:t xml:space="preserve"> </w:t>
      </w:r>
      <w:r w:rsidRPr="00382917">
        <w:t>every</w:t>
      </w:r>
      <w:r w:rsidR="00EE4FC3">
        <w:t xml:space="preserve"> </w:t>
      </w:r>
      <w:r w:rsidRPr="00382917">
        <w:t>side</w:t>
      </w:r>
      <w:r w:rsidR="00C03C91">
        <w:t>.</w:t>
      </w:r>
      <w:r w:rsidR="00EE4FC3">
        <w:t xml:space="preserve">  </w:t>
      </w:r>
      <w:r w:rsidRPr="00382917">
        <w:t>The</w:t>
      </w:r>
      <w:r w:rsidR="00EE4FC3">
        <w:t xml:space="preserve"> </w:t>
      </w:r>
      <w:r w:rsidRPr="00382917">
        <w:t>great</w:t>
      </w:r>
      <w:r w:rsidR="00EE4FC3">
        <w:t xml:space="preserve"> </w:t>
      </w:r>
      <w:r w:rsidRPr="00382917">
        <w:t>majority</w:t>
      </w:r>
      <w:r w:rsidR="00EE4FC3">
        <w:t xml:space="preserve"> </w:t>
      </w:r>
      <w:r w:rsidRPr="00382917">
        <w:t>of</w:t>
      </w:r>
      <w:r w:rsidR="00EE4FC3">
        <w:t xml:space="preserve"> </w:t>
      </w:r>
      <w:r w:rsidRPr="00382917">
        <w:t>those</w:t>
      </w:r>
      <w:r w:rsidR="00EE4FC3">
        <w:t xml:space="preserve"> </w:t>
      </w:r>
      <w:r w:rsidRPr="00382917">
        <w:t>who</w:t>
      </w:r>
      <w:r w:rsidR="00EE4FC3">
        <w:t xml:space="preserve"> </w:t>
      </w:r>
      <w:r w:rsidRPr="00382917">
        <w:t>saw</w:t>
      </w:r>
      <w:r w:rsidR="00EE4FC3">
        <w:t xml:space="preserve"> </w:t>
      </w:r>
      <w:r w:rsidRPr="00382917">
        <w:t>Him</w:t>
      </w:r>
      <w:r w:rsidR="00EE4FC3">
        <w:t xml:space="preserve"> </w:t>
      </w:r>
      <w:r w:rsidRPr="00382917">
        <w:t>shouted</w:t>
      </w:r>
      <w:r w:rsidR="00EE4FC3">
        <w:t xml:space="preserve"> </w:t>
      </w:r>
      <w:r w:rsidRPr="00382917">
        <w:t>aloud</w:t>
      </w:r>
      <w:r w:rsidR="00C03C91">
        <w:t>:</w:t>
      </w:r>
      <w:r w:rsidR="00EE4FC3">
        <w:t xml:space="preserve">  </w:t>
      </w:r>
      <w:r w:rsidR="009C713D" w:rsidRPr="00382917">
        <w:t>“</w:t>
      </w:r>
      <w:r w:rsidRPr="00382917">
        <w:t>God</w:t>
      </w:r>
      <w:r w:rsidR="00EE4FC3">
        <w:t xml:space="preserve"> </w:t>
      </w:r>
      <w:r w:rsidRPr="00382917">
        <w:t>is</w:t>
      </w:r>
      <w:r w:rsidR="00EE4FC3">
        <w:t xml:space="preserve"> </w:t>
      </w:r>
      <w:r w:rsidRPr="00382917">
        <w:t>most</w:t>
      </w:r>
      <w:r w:rsidR="00EE4FC3">
        <w:t xml:space="preserve"> </w:t>
      </w:r>
      <w:r w:rsidRPr="00382917">
        <w:t>great!</w:t>
      </w:r>
      <w:proofErr w:type="gramStart"/>
      <w:r w:rsidR="009C713D" w:rsidRPr="00382917">
        <w:t>”</w:t>
      </w:r>
      <w:r w:rsidR="00EE4FC3">
        <w:t xml:space="preserve"> </w:t>
      </w:r>
      <w:proofErr w:type="gramEnd"/>
      <w:r w:rsidRPr="00382917">
        <w:t>They</w:t>
      </w:r>
      <w:r w:rsidR="00EE4FC3">
        <w:t xml:space="preserve"> </w:t>
      </w:r>
      <w:r w:rsidRPr="00382917">
        <w:t>cheered</w:t>
      </w:r>
      <w:r w:rsidR="00EE4FC3">
        <w:t xml:space="preserve"> </w:t>
      </w:r>
      <w:r w:rsidRPr="00382917">
        <w:t>Him</w:t>
      </w:r>
      <w:r w:rsidR="00EE4FC3">
        <w:t xml:space="preserve"> </w:t>
      </w:r>
      <w:r w:rsidRPr="00382917">
        <w:t>on</w:t>
      </w:r>
      <w:r w:rsidR="00EE4FC3">
        <w:t xml:space="preserve"> </w:t>
      </w:r>
      <w:r w:rsidRPr="00382917">
        <w:t>His</w:t>
      </w:r>
      <w:r w:rsidR="00EE4FC3">
        <w:t xml:space="preserve"> </w:t>
      </w:r>
      <w:r w:rsidRPr="00382917">
        <w:t>way.</w:t>
      </w:r>
    </w:p>
    <w:p w:rsidR="00540E31" w:rsidRPr="00382917" w:rsidRDefault="00540E31" w:rsidP="00665A7A">
      <w:pPr>
        <w:pStyle w:val="Text"/>
      </w:pPr>
      <w:r w:rsidRPr="00382917">
        <w:t>So</w:t>
      </w:r>
      <w:r w:rsidR="00EE4FC3">
        <w:t xml:space="preserve"> </w:t>
      </w:r>
      <w:r w:rsidRPr="00382917">
        <w:t>great</w:t>
      </w:r>
      <w:r w:rsidR="00EE4FC3">
        <w:t xml:space="preserve"> </w:t>
      </w:r>
      <w:r w:rsidRPr="00382917">
        <w:t>was</w:t>
      </w:r>
      <w:r w:rsidR="00EE4FC3">
        <w:t xml:space="preserve"> </w:t>
      </w:r>
      <w:r w:rsidRPr="00382917">
        <w:t>the</w:t>
      </w:r>
      <w:r w:rsidR="00EE4FC3">
        <w:t xml:space="preserve"> </w:t>
      </w:r>
      <w:proofErr w:type="spellStart"/>
      <w:r w:rsidRPr="00382917">
        <w:t>clamor</w:t>
      </w:r>
      <w:proofErr w:type="spellEnd"/>
      <w:r w:rsidR="00EE4FC3">
        <w:t xml:space="preserve"> </w:t>
      </w:r>
      <w:r w:rsidRPr="00382917">
        <w:t>which</w:t>
      </w:r>
      <w:r w:rsidR="00EE4FC3">
        <w:t xml:space="preserve"> </w:t>
      </w:r>
      <w:r w:rsidRPr="00382917">
        <w:t>His</w:t>
      </w:r>
      <w:r w:rsidR="00EE4FC3">
        <w:t xml:space="preserve"> </w:t>
      </w:r>
      <w:r w:rsidRPr="00382917">
        <w:t>arrival</w:t>
      </w:r>
      <w:r w:rsidR="00EE4FC3">
        <w:t xml:space="preserve"> </w:t>
      </w:r>
      <w:r w:rsidRPr="00382917">
        <w:t>had</w:t>
      </w:r>
      <w:r w:rsidR="00EE4FC3">
        <w:t xml:space="preserve"> </w:t>
      </w:r>
      <w:r w:rsidRPr="00382917">
        <w:t>raised</w:t>
      </w:r>
      <w:r w:rsidR="00EE4FC3">
        <w:t xml:space="preserve"> </w:t>
      </w:r>
      <w:r w:rsidRPr="00382917">
        <w:t>that</w:t>
      </w:r>
      <w:r w:rsidR="00EE4FC3">
        <w:t xml:space="preserve"> </w:t>
      </w:r>
      <w:r w:rsidRPr="00382917">
        <w:t>a</w:t>
      </w:r>
      <w:r w:rsidR="00EE4FC3">
        <w:t xml:space="preserve"> </w:t>
      </w:r>
      <w:r w:rsidRPr="00382917">
        <w:t>crier</w:t>
      </w:r>
      <w:r w:rsidR="00EE4FC3">
        <w:t xml:space="preserve"> </w:t>
      </w:r>
      <w:r w:rsidRPr="00382917">
        <w:t>was</w:t>
      </w:r>
      <w:r w:rsidR="00EE4FC3">
        <w:t xml:space="preserve"> </w:t>
      </w:r>
      <w:r w:rsidRPr="00382917">
        <w:t>sent</w:t>
      </w:r>
      <w:r w:rsidR="00EE4FC3">
        <w:t xml:space="preserve"> </w:t>
      </w:r>
      <w:r w:rsidRPr="00382917">
        <w:t>out</w:t>
      </w:r>
      <w:r w:rsidR="00EE4FC3">
        <w:t xml:space="preserve"> </w:t>
      </w:r>
      <w:r w:rsidRPr="00382917">
        <w:t>among</w:t>
      </w:r>
      <w:r w:rsidR="00EE4FC3">
        <w:t xml:space="preserve"> </w:t>
      </w:r>
      <w:r w:rsidRPr="00382917">
        <w:t>the</w:t>
      </w:r>
      <w:r w:rsidR="00EE4FC3">
        <w:t xml:space="preserve"> </w:t>
      </w:r>
      <w:r w:rsidRPr="00382917">
        <w:t>people</w:t>
      </w:r>
      <w:r w:rsidR="00EE4FC3">
        <w:t xml:space="preserve"> </w:t>
      </w:r>
      <w:r w:rsidRPr="00382917">
        <w:t>to</w:t>
      </w:r>
      <w:r w:rsidR="00EE4FC3">
        <w:t xml:space="preserve"> </w:t>
      </w:r>
      <w:r w:rsidRPr="00382917">
        <w:t>warn</w:t>
      </w:r>
      <w:r w:rsidR="00EE4FC3">
        <w:t xml:space="preserve"> </w:t>
      </w:r>
      <w:r w:rsidRPr="00382917">
        <w:t>them</w:t>
      </w:r>
      <w:r w:rsidR="00EE4FC3">
        <w:t xml:space="preserve"> </w:t>
      </w:r>
      <w:r w:rsidRPr="00382917">
        <w:t>of</w:t>
      </w:r>
      <w:r w:rsidR="00EE4FC3">
        <w:t xml:space="preserve"> </w:t>
      </w:r>
      <w:r w:rsidRPr="00382917">
        <w:t>the</w:t>
      </w:r>
      <w:r w:rsidR="00EE4FC3">
        <w:t xml:space="preserve"> </w:t>
      </w:r>
      <w:r w:rsidRPr="00382917">
        <w:t>danger</w:t>
      </w:r>
      <w:r w:rsidR="00EE4FC3">
        <w:t xml:space="preserve"> </w:t>
      </w:r>
      <w:r w:rsidRPr="00382917">
        <w:t>of</w:t>
      </w:r>
      <w:r w:rsidR="00EE4FC3">
        <w:t xml:space="preserve"> </w:t>
      </w:r>
      <w:r w:rsidRPr="00382917">
        <w:t>continuing</w:t>
      </w:r>
      <w:r w:rsidR="00EE4FC3">
        <w:t xml:space="preserve"> </w:t>
      </w:r>
      <w:r w:rsidRPr="00382917">
        <w:t>this</w:t>
      </w:r>
      <w:r w:rsidR="00EE4FC3">
        <w:t xml:space="preserve"> </w:t>
      </w:r>
      <w:proofErr w:type="spellStart"/>
      <w:r w:rsidRPr="00382917">
        <w:t>behavior</w:t>
      </w:r>
      <w:proofErr w:type="spellEnd"/>
      <w:r w:rsidRPr="00382917">
        <w:t>.</w:t>
      </w:r>
    </w:p>
    <w:p w:rsidR="00E13D49" w:rsidRPr="00382917" w:rsidRDefault="009C713D" w:rsidP="00B24C41">
      <w:pPr>
        <w:pStyle w:val="Text"/>
      </w:pPr>
      <w:r w:rsidRPr="00382917">
        <w:t>“</w:t>
      </w:r>
      <w:r w:rsidR="00540E31" w:rsidRPr="00382917">
        <w:t>Whoever</w:t>
      </w:r>
      <w:r w:rsidR="00EE4FC3">
        <w:t xml:space="preserve"> </w:t>
      </w:r>
      <w:r w:rsidR="00540E31" w:rsidRPr="00382917">
        <w:t>shall</w:t>
      </w:r>
      <w:r w:rsidR="00EE4FC3">
        <w:t xml:space="preserve"> </w:t>
      </w:r>
      <w:r w:rsidR="00540E31" w:rsidRPr="00382917">
        <w:t>make</w:t>
      </w:r>
      <w:r w:rsidR="00EE4FC3">
        <w:t xml:space="preserve"> </w:t>
      </w:r>
      <w:r w:rsidR="00540E31" w:rsidRPr="00382917">
        <w:t>any</w:t>
      </w:r>
      <w:r w:rsidR="00EE4FC3">
        <w:t xml:space="preserve"> </w:t>
      </w:r>
      <w:r w:rsidR="00540E31" w:rsidRPr="00382917">
        <w:t>attempt</w:t>
      </w:r>
      <w:r w:rsidR="00EE4FC3">
        <w:t xml:space="preserve"> </w:t>
      </w:r>
      <w:r w:rsidR="00540E31" w:rsidRPr="00382917">
        <w:t>to</w:t>
      </w:r>
      <w:r w:rsidR="00EE4FC3">
        <w:t xml:space="preserve"> </w:t>
      </w:r>
      <w:r w:rsidR="00540E31" w:rsidRPr="00382917">
        <w:t>approach</w:t>
      </w:r>
      <w:r w:rsidR="00EE4FC3">
        <w:t xml:space="preserve"> </w:t>
      </w:r>
      <w:r w:rsidR="00540E31" w:rsidRPr="00382917">
        <w:t>the</w:t>
      </w:r>
      <w:r w:rsidR="00EE4FC3">
        <w:t xml:space="preserve"> </w:t>
      </w:r>
      <w:r w:rsidR="00540E31" w:rsidRPr="00382917">
        <w:t>Báb,</w:t>
      </w:r>
      <w:r w:rsidRPr="00382917">
        <w:t>”</w:t>
      </w:r>
      <w:r w:rsidR="00EE4FC3">
        <w:t xml:space="preserve"> </w:t>
      </w:r>
      <w:r w:rsidR="00540E31" w:rsidRPr="00382917">
        <w:t>the</w:t>
      </w:r>
      <w:r w:rsidR="00EE4FC3">
        <w:t xml:space="preserve"> </w:t>
      </w:r>
      <w:r w:rsidR="00540E31" w:rsidRPr="00382917">
        <w:t>people</w:t>
      </w:r>
      <w:r w:rsidR="00EE4FC3">
        <w:t xml:space="preserve"> </w:t>
      </w:r>
      <w:r w:rsidR="00540E31" w:rsidRPr="00382917">
        <w:t>were</w:t>
      </w:r>
      <w:r w:rsidR="00EE4FC3">
        <w:t xml:space="preserve"> </w:t>
      </w:r>
      <w:r w:rsidR="00540E31" w:rsidRPr="00382917">
        <w:t>warned,</w:t>
      </w:r>
      <w:r w:rsidR="00EE4FC3">
        <w:t xml:space="preserve"> </w:t>
      </w:r>
      <w:r w:rsidRPr="00382917">
        <w:t>“</w:t>
      </w:r>
      <w:r w:rsidR="00540E31" w:rsidRPr="00382917">
        <w:t>or</w:t>
      </w:r>
      <w:r w:rsidR="00EE4FC3">
        <w:t xml:space="preserve"> </w:t>
      </w:r>
      <w:r w:rsidR="00540E31" w:rsidRPr="00382917">
        <w:t>seek</w:t>
      </w:r>
      <w:r w:rsidR="00EE4FC3">
        <w:t xml:space="preserve"> </w:t>
      </w:r>
      <w:r w:rsidR="00540E31" w:rsidRPr="00382917">
        <w:t>to</w:t>
      </w:r>
      <w:r w:rsidR="00EE4FC3">
        <w:t xml:space="preserve"> </w:t>
      </w:r>
      <w:r w:rsidR="00540E31" w:rsidRPr="00382917">
        <w:t>meet</w:t>
      </w:r>
      <w:r w:rsidR="00EE4FC3">
        <w:t xml:space="preserve"> </w:t>
      </w:r>
      <w:r w:rsidR="00540E31" w:rsidRPr="00382917">
        <w:t>him,</w:t>
      </w:r>
      <w:r w:rsidR="00EE4FC3">
        <w:t xml:space="preserve"> </w:t>
      </w:r>
      <w:r w:rsidR="00540E31" w:rsidRPr="00382917">
        <w:t>at</w:t>
      </w:r>
      <w:r w:rsidR="00EE4FC3">
        <w:t xml:space="preserve"> </w:t>
      </w:r>
      <w:r w:rsidR="00540E31" w:rsidRPr="00382917">
        <w:t>any</w:t>
      </w:r>
      <w:r w:rsidR="00EE4FC3">
        <w:t xml:space="preserve"> </w:t>
      </w:r>
      <w:r w:rsidR="00540E31" w:rsidRPr="00382917">
        <w:t>time,</w:t>
      </w:r>
      <w:r w:rsidR="00EE4FC3">
        <w:t xml:space="preserve"> </w:t>
      </w:r>
      <w:r w:rsidR="00540E31" w:rsidRPr="00382917">
        <w:t>all</w:t>
      </w:r>
      <w:r w:rsidR="00EE4FC3">
        <w:t xml:space="preserve"> </w:t>
      </w:r>
      <w:r w:rsidR="00540E31" w:rsidRPr="00382917">
        <w:t>that</w:t>
      </w:r>
      <w:r w:rsidR="00EE4FC3">
        <w:t xml:space="preserve"> </w:t>
      </w:r>
      <w:r w:rsidR="00540E31" w:rsidRPr="00382917">
        <w:t>person</w:t>
      </w:r>
      <w:r w:rsidRPr="00382917">
        <w:t>’</w:t>
      </w:r>
      <w:r w:rsidR="00540E31" w:rsidRPr="00382917">
        <w:t>s</w:t>
      </w:r>
      <w:r w:rsidR="00EE4FC3">
        <w:t xml:space="preserve"> </w:t>
      </w:r>
      <w:r w:rsidR="00540E31" w:rsidRPr="00382917">
        <w:t>possessions</w:t>
      </w:r>
      <w:r w:rsidR="00EE4FC3">
        <w:t xml:space="preserve"> </w:t>
      </w:r>
      <w:r w:rsidR="00540E31" w:rsidRPr="00382917">
        <w:t>shall</w:t>
      </w:r>
      <w:r w:rsidR="00EE4FC3">
        <w:t xml:space="preserve"> </w:t>
      </w:r>
      <w:r w:rsidR="00540E31" w:rsidRPr="00382917">
        <w:t>be</w:t>
      </w:r>
      <w:r w:rsidR="00EE4FC3">
        <w:t xml:space="preserve"> </w:t>
      </w:r>
      <w:r w:rsidR="00540E31" w:rsidRPr="00382917">
        <w:t>seized</w:t>
      </w:r>
      <w:r w:rsidR="00EE4FC3">
        <w:t xml:space="preserve"> </w:t>
      </w:r>
      <w:r w:rsidR="00540E31" w:rsidRPr="00382917">
        <w:t>and</w:t>
      </w:r>
      <w:r w:rsidR="00EE4FC3">
        <w:t xml:space="preserve"> </w:t>
      </w:r>
      <w:r w:rsidR="00540E31" w:rsidRPr="00382917">
        <w:t>he</w:t>
      </w:r>
      <w:r w:rsidR="00EE4FC3">
        <w:t xml:space="preserve"> </w:t>
      </w:r>
      <w:r w:rsidR="00540E31" w:rsidRPr="00382917">
        <w:t>shall</w:t>
      </w:r>
      <w:r w:rsidR="00EE4FC3">
        <w:t xml:space="preserve"> </w:t>
      </w:r>
      <w:r w:rsidR="00540E31" w:rsidRPr="00382917">
        <w:t>be</w:t>
      </w:r>
      <w:r w:rsidR="00EE4FC3">
        <w:t xml:space="preserve"> </w:t>
      </w:r>
      <w:r w:rsidR="00540E31" w:rsidRPr="00382917">
        <w:t>imprisoned.</w:t>
      </w:r>
      <w:r w:rsidRPr="00382917">
        <w:t>”</w:t>
      </w:r>
      <w:r w:rsidR="00B24C41">
        <w:rPr>
          <w:rStyle w:val="FootnoteReference"/>
        </w:rPr>
        <w:footnoteReference w:id="70"/>
      </w:r>
    </w:p>
    <w:p w:rsidR="00540E31" w:rsidRPr="00382917" w:rsidRDefault="00540E31" w:rsidP="00665A7A">
      <w:pPr>
        <w:pStyle w:val="Text"/>
      </w:pPr>
      <w:r w:rsidRPr="00382917">
        <w:t>The</w:t>
      </w:r>
      <w:r w:rsidR="00EE4FC3">
        <w:t xml:space="preserve"> </w:t>
      </w:r>
      <w:r w:rsidRPr="00382917">
        <w:t>Báb</w:t>
      </w:r>
      <w:r w:rsidR="00EE4FC3">
        <w:t xml:space="preserve"> </w:t>
      </w:r>
      <w:r w:rsidRPr="00382917">
        <w:t>was</w:t>
      </w:r>
      <w:r w:rsidR="00EE4FC3">
        <w:t xml:space="preserve"> </w:t>
      </w:r>
      <w:r w:rsidRPr="00382917">
        <w:t>placed</w:t>
      </w:r>
      <w:r w:rsidR="00EE4FC3">
        <w:t xml:space="preserve"> </w:t>
      </w:r>
      <w:r w:rsidRPr="00382917">
        <w:t>in</w:t>
      </w:r>
      <w:r w:rsidR="00EE4FC3">
        <w:t xml:space="preserve"> </w:t>
      </w:r>
      <w:r w:rsidRPr="00382917">
        <w:t>a</w:t>
      </w:r>
      <w:r w:rsidR="00EE4FC3">
        <w:t xml:space="preserve"> </w:t>
      </w:r>
      <w:r w:rsidRPr="00382917">
        <w:t>room</w:t>
      </w:r>
      <w:r w:rsidR="00EE4FC3">
        <w:t xml:space="preserve"> </w:t>
      </w:r>
      <w:r w:rsidRPr="00382917">
        <w:t>of</w:t>
      </w:r>
      <w:r w:rsidR="00EE4FC3">
        <w:t xml:space="preserve"> </w:t>
      </w:r>
      <w:r w:rsidRPr="00382917">
        <w:t>the</w:t>
      </w:r>
      <w:r w:rsidR="00EE4FC3">
        <w:t xml:space="preserve"> </w:t>
      </w:r>
      <w:r w:rsidRPr="00382917">
        <w:t>Citadel,</w:t>
      </w:r>
      <w:r w:rsidR="00EE4FC3">
        <w:t xml:space="preserve"> </w:t>
      </w:r>
      <w:r w:rsidRPr="00382917">
        <w:t>a</w:t>
      </w:r>
      <w:r w:rsidR="00EE4FC3">
        <w:t xml:space="preserve"> </w:t>
      </w:r>
      <w:r w:rsidRPr="00382917">
        <w:t>fortress-like</w:t>
      </w:r>
      <w:r w:rsidR="00EE4FC3">
        <w:t xml:space="preserve"> </w:t>
      </w:r>
      <w:r w:rsidRPr="00382917">
        <w:t>structure</w:t>
      </w:r>
      <w:r w:rsidR="00C03C91">
        <w:t>.</w:t>
      </w:r>
      <w:r w:rsidR="00EE4FC3">
        <w:t xml:space="preserve">  </w:t>
      </w:r>
      <w:r w:rsidRPr="00382917">
        <w:t>A</w:t>
      </w:r>
      <w:r w:rsidR="00EE4FC3">
        <w:t xml:space="preserve"> </w:t>
      </w:r>
      <w:r w:rsidRPr="00382917">
        <w:t>detachment</w:t>
      </w:r>
      <w:r w:rsidR="00EE4FC3">
        <w:t xml:space="preserve"> </w:t>
      </w:r>
      <w:r w:rsidRPr="00382917">
        <w:t>of</w:t>
      </w:r>
      <w:r w:rsidR="00EE4FC3">
        <w:t xml:space="preserve"> </w:t>
      </w:r>
      <w:r w:rsidRPr="00382917">
        <w:t>soldiers</w:t>
      </w:r>
      <w:r w:rsidR="00EE4FC3">
        <w:t xml:space="preserve"> </w:t>
      </w:r>
      <w:r w:rsidRPr="00382917">
        <w:t>stood</w:t>
      </w:r>
      <w:r w:rsidR="00EE4FC3">
        <w:t xml:space="preserve"> </w:t>
      </w:r>
      <w:r w:rsidRPr="00382917">
        <w:t>guard</w:t>
      </w:r>
      <w:r w:rsidR="00EE4FC3">
        <w:t xml:space="preserve"> </w:t>
      </w:r>
      <w:r w:rsidRPr="00382917">
        <w:t>at</w:t>
      </w:r>
      <w:r w:rsidR="00EE4FC3">
        <w:t xml:space="preserve"> </w:t>
      </w:r>
      <w:r w:rsidRPr="00382917">
        <w:t>the</w:t>
      </w:r>
      <w:r w:rsidR="00EE4FC3">
        <w:t xml:space="preserve"> </w:t>
      </w:r>
      <w:r w:rsidRPr="00382917">
        <w:t>entrance</w:t>
      </w:r>
      <w:r w:rsidR="00C03C91">
        <w:t>.</w:t>
      </w:r>
      <w:r w:rsidR="00EE4FC3">
        <w:t xml:space="preserve">  </w:t>
      </w:r>
      <w:r w:rsidRPr="00382917">
        <w:t>In</w:t>
      </w:r>
      <w:r w:rsidR="00EE4FC3">
        <w:t xml:space="preserve"> </w:t>
      </w:r>
      <w:r w:rsidRPr="00382917">
        <w:t>spite</w:t>
      </w:r>
      <w:r w:rsidR="00EE4FC3">
        <w:t xml:space="preserve"> </w:t>
      </w:r>
      <w:r w:rsidRPr="00382917">
        <w:t>of</w:t>
      </w:r>
      <w:r w:rsidR="00EE4FC3">
        <w:t xml:space="preserve"> </w:t>
      </w:r>
      <w:r w:rsidRPr="00382917">
        <w:t>the</w:t>
      </w:r>
      <w:r w:rsidR="00EE4FC3">
        <w:t xml:space="preserve"> </w:t>
      </w:r>
      <w:r w:rsidRPr="00382917">
        <w:t>rigid</w:t>
      </w:r>
      <w:r w:rsidR="00EE4FC3">
        <w:t xml:space="preserve"> </w:t>
      </w:r>
      <w:r w:rsidRPr="00382917">
        <w:t>orders</w:t>
      </w:r>
      <w:r w:rsidR="00EE4FC3">
        <w:t xml:space="preserve"> </w:t>
      </w:r>
      <w:r w:rsidRPr="00382917">
        <w:t>of</w:t>
      </w:r>
      <w:r w:rsidR="00EE4FC3">
        <w:t xml:space="preserve"> </w:t>
      </w:r>
      <w:r w:rsidRPr="00382917">
        <w:t>their</w:t>
      </w:r>
      <w:r w:rsidR="00EE4FC3">
        <w:t xml:space="preserve"> </w:t>
      </w:r>
      <w:r w:rsidRPr="00382917">
        <w:t>superiors,</w:t>
      </w:r>
      <w:r w:rsidR="00EE4FC3">
        <w:t xml:space="preserve"> </w:t>
      </w:r>
      <w:r w:rsidRPr="00382917">
        <w:t>these</w:t>
      </w:r>
      <w:r w:rsidR="00EE4FC3">
        <w:t xml:space="preserve"> </w:t>
      </w:r>
      <w:r w:rsidRPr="00382917">
        <w:t>soldiers</w:t>
      </w:r>
      <w:r w:rsidR="00EE4FC3">
        <w:t xml:space="preserve"> </w:t>
      </w:r>
      <w:r w:rsidRPr="00382917">
        <w:t>soon</w:t>
      </w:r>
      <w:r w:rsidR="00EE4FC3">
        <w:t xml:space="preserve"> </w:t>
      </w:r>
      <w:r w:rsidRPr="00382917">
        <w:t>became</w:t>
      </w:r>
      <w:r w:rsidR="00EE4FC3">
        <w:t xml:space="preserve"> </w:t>
      </w:r>
      <w:r w:rsidRPr="00382917">
        <w:t>His</w:t>
      </w:r>
      <w:r w:rsidR="00EE4FC3">
        <w:t xml:space="preserve"> </w:t>
      </w:r>
      <w:r w:rsidRPr="00382917">
        <w:t>friends</w:t>
      </w:r>
      <w:r w:rsidR="00C03C91">
        <w:t>.</w:t>
      </w:r>
      <w:r w:rsidR="00EE4FC3">
        <w:t xml:space="preserve">  </w:t>
      </w:r>
      <w:r w:rsidRPr="00382917">
        <w:t>They</w:t>
      </w:r>
      <w:r w:rsidR="00EE4FC3">
        <w:t xml:space="preserve"> </w:t>
      </w:r>
      <w:r w:rsidRPr="00382917">
        <w:t>were</w:t>
      </w:r>
      <w:r w:rsidR="00EE4FC3">
        <w:t xml:space="preserve"> </w:t>
      </w:r>
      <w:r w:rsidRPr="00382917">
        <w:t>entirely</w:t>
      </w:r>
      <w:r w:rsidR="00EE4FC3">
        <w:t xml:space="preserve"> </w:t>
      </w:r>
      <w:r w:rsidRPr="00382917">
        <w:t>obedient</w:t>
      </w:r>
      <w:r w:rsidR="00EE4FC3">
        <w:t xml:space="preserve"> </w:t>
      </w:r>
      <w:r w:rsidRPr="00382917">
        <w:t>to</w:t>
      </w:r>
      <w:r w:rsidR="00EE4FC3">
        <w:t xml:space="preserve"> </w:t>
      </w:r>
      <w:r w:rsidRPr="00382917">
        <w:t>the</w:t>
      </w:r>
      <w:r w:rsidR="00EE4FC3">
        <w:t xml:space="preserve"> </w:t>
      </w:r>
      <w:r w:rsidRPr="00382917">
        <w:t>instructions</w:t>
      </w:r>
      <w:r w:rsidR="00EE4FC3">
        <w:t xml:space="preserve"> </w:t>
      </w:r>
      <w:r w:rsidRPr="00382917">
        <w:t>of</w:t>
      </w:r>
      <w:r w:rsidR="00EE4FC3">
        <w:t xml:space="preserve"> </w:t>
      </w:r>
      <w:r w:rsidRPr="00382917">
        <w:t>the</w:t>
      </w:r>
      <w:r w:rsidR="00EE4FC3">
        <w:t xml:space="preserve"> </w:t>
      </w:r>
      <w:r w:rsidRPr="00382917">
        <w:t>Báb,</w:t>
      </w:r>
      <w:r w:rsidR="00EE4FC3">
        <w:t xml:space="preserve"> </w:t>
      </w:r>
      <w:r w:rsidRPr="00382917">
        <w:t>and</w:t>
      </w:r>
      <w:r w:rsidR="00EE4FC3">
        <w:t xml:space="preserve"> </w:t>
      </w:r>
      <w:r w:rsidRPr="00382917">
        <w:t>permitted</w:t>
      </w:r>
      <w:r w:rsidR="00EE4FC3">
        <w:t xml:space="preserve"> </w:t>
      </w:r>
      <w:r w:rsidRPr="00382917">
        <w:t>whomever</w:t>
      </w:r>
      <w:r w:rsidR="00EE4FC3">
        <w:t xml:space="preserve"> </w:t>
      </w:r>
      <w:r w:rsidRPr="00382917">
        <w:t>He</w:t>
      </w:r>
      <w:r w:rsidR="00EE4FC3">
        <w:t xml:space="preserve"> </w:t>
      </w:r>
      <w:r w:rsidRPr="00382917">
        <w:t>wished</w:t>
      </w:r>
      <w:r w:rsidR="00EE4FC3">
        <w:t xml:space="preserve"> </w:t>
      </w:r>
      <w:r w:rsidRPr="00382917">
        <w:t>to</w:t>
      </w:r>
      <w:r w:rsidR="00EE4FC3">
        <w:t xml:space="preserve"> </w:t>
      </w:r>
      <w:r w:rsidRPr="00382917">
        <w:t>visit</w:t>
      </w:r>
      <w:r w:rsidR="00EE4FC3">
        <w:t xml:space="preserve"> </w:t>
      </w:r>
      <w:r w:rsidRPr="00382917">
        <w:t>Him</w:t>
      </w:r>
      <w:r w:rsidR="00C03C91">
        <w:t>.</w:t>
      </w:r>
      <w:r w:rsidR="00EE4FC3">
        <w:t xml:space="preserve">  </w:t>
      </w:r>
      <w:r w:rsidRPr="00382917">
        <w:t>They</w:t>
      </w:r>
      <w:r w:rsidR="00EE4FC3">
        <w:t xml:space="preserve"> </w:t>
      </w:r>
      <w:r w:rsidRPr="00382917">
        <w:t>were</w:t>
      </w:r>
      <w:r w:rsidR="00EE4FC3">
        <w:t xml:space="preserve"> </w:t>
      </w:r>
      <w:r w:rsidRPr="00382917">
        <w:t>in</w:t>
      </w:r>
      <w:r w:rsidR="00EE4FC3">
        <w:t xml:space="preserve"> </w:t>
      </w:r>
      <w:r w:rsidRPr="00382917">
        <w:t>reality</w:t>
      </w:r>
      <w:r w:rsidR="00EE4FC3">
        <w:t xml:space="preserve"> </w:t>
      </w:r>
      <w:r w:rsidRPr="00382917">
        <w:t>a</w:t>
      </w:r>
      <w:r w:rsidR="00EE4FC3">
        <w:t xml:space="preserve"> </w:t>
      </w:r>
      <w:r w:rsidRPr="00382917">
        <w:t>protection</w:t>
      </w:r>
      <w:r w:rsidR="00EE4FC3">
        <w:t xml:space="preserve"> </w:t>
      </w:r>
      <w:r w:rsidRPr="00382917">
        <w:t>against</w:t>
      </w:r>
      <w:r w:rsidR="00EE4FC3">
        <w:t xml:space="preserve"> </w:t>
      </w:r>
      <w:r w:rsidRPr="00382917">
        <w:t>the</w:t>
      </w:r>
      <w:r w:rsidR="00EE4FC3">
        <w:t xml:space="preserve"> </w:t>
      </w:r>
      <w:r w:rsidRPr="00382917">
        <w:t>onrush</w:t>
      </w:r>
      <w:r w:rsidR="00EE4FC3">
        <w:t xml:space="preserve"> </w:t>
      </w:r>
      <w:r w:rsidRPr="00382917">
        <w:t>of</w:t>
      </w:r>
      <w:r w:rsidR="00EE4FC3">
        <w:t xml:space="preserve"> </w:t>
      </w:r>
      <w:r w:rsidRPr="00382917">
        <w:t>the</w:t>
      </w:r>
      <w:r w:rsidR="00EE4FC3">
        <w:t xml:space="preserve"> </w:t>
      </w:r>
      <w:r w:rsidRPr="00382917">
        <w:t>multitude</w:t>
      </w:r>
      <w:r w:rsidR="00EE4FC3">
        <w:t xml:space="preserve"> </w:t>
      </w:r>
      <w:r w:rsidRPr="00382917">
        <w:t>who</w:t>
      </w:r>
      <w:r w:rsidR="00EE4FC3">
        <w:t xml:space="preserve"> </w:t>
      </w:r>
      <w:r w:rsidRPr="00382917">
        <w:t>thronged</w:t>
      </w:r>
      <w:r w:rsidR="00EE4FC3">
        <w:t xml:space="preserve"> </w:t>
      </w:r>
      <w:r w:rsidRPr="00382917">
        <w:t>about</w:t>
      </w:r>
      <w:r w:rsidR="00EE4FC3">
        <w:t xml:space="preserve"> </w:t>
      </w:r>
      <w:r w:rsidRPr="00382917">
        <w:t>the</w:t>
      </w:r>
      <w:r w:rsidR="00EE4FC3">
        <w:t xml:space="preserve"> </w:t>
      </w:r>
      <w:r w:rsidRPr="00382917">
        <w:t>house,</w:t>
      </w:r>
      <w:r w:rsidR="00EE4FC3">
        <w:t xml:space="preserve"> </w:t>
      </w:r>
      <w:r w:rsidRPr="00382917">
        <w:t>the</w:t>
      </w:r>
      <w:r w:rsidR="00EE4FC3">
        <w:t xml:space="preserve"> </w:t>
      </w:r>
      <w:r w:rsidRPr="00382917">
        <w:t>Báb</w:t>
      </w:r>
      <w:r w:rsidR="00EE4FC3">
        <w:t xml:space="preserve"> </w:t>
      </w:r>
      <w:r w:rsidRPr="00382917">
        <w:t>said,</w:t>
      </w:r>
      <w:r w:rsidR="00EE4FC3">
        <w:t xml:space="preserve"> </w:t>
      </w:r>
      <w:r w:rsidRPr="00382917">
        <w:t>but</w:t>
      </w:r>
      <w:r w:rsidR="00EE4FC3">
        <w:t xml:space="preserve"> </w:t>
      </w:r>
      <w:r w:rsidRPr="00382917">
        <w:t>they</w:t>
      </w:r>
      <w:r w:rsidR="00EE4FC3">
        <w:t xml:space="preserve"> </w:t>
      </w:r>
      <w:r w:rsidRPr="00382917">
        <w:t>were</w:t>
      </w:r>
      <w:r w:rsidR="00EE4FC3">
        <w:t xml:space="preserve"> </w:t>
      </w:r>
      <w:r w:rsidRPr="00382917">
        <w:t>powerless</w:t>
      </w:r>
      <w:r w:rsidR="00EE4FC3">
        <w:t xml:space="preserve"> </w:t>
      </w:r>
      <w:r w:rsidRPr="00382917">
        <w:t>to</w:t>
      </w:r>
      <w:r w:rsidR="00EE4FC3">
        <w:t xml:space="preserve"> </w:t>
      </w:r>
      <w:r w:rsidRPr="00382917">
        <w:t>prevent</w:t>
      </w:r>
      <w:r w:rsidR="00EE4FC3">
        <w:t xml:space="preserve"> </w:t>
      </w:r>
      <w:r w:rsidRPr="00382917">
        <w:t>those</w:t>
      </w:r>
      <w:r w:rsidR="00EE4FC3">
        <w:t xml:space="preserve"> </w:t>
      </w:r>
      <w:r w:rsidRPr="00382917">
        <w:t>Whom</w:t>
      </w:r>
      <w:r w:rsidR="00EE4FC3">
        <w:t xml:space="preserve"> </w:t>
      </w:r>
      <w:r w:rsidRPr="00382917">
        <w:t>He</w:t>
      </w:r>
      <w:r w:rsidR="00EE4FC3">
        <w:t xml:space="preserve"> </w:t>
      </w:r>
      <w:r w:rsidRPr="00382917">
        <w:t>desired</w:t>
      </w:r>
      <w:r w:rsidR="00EE4FC3">
        <w:t xml:space="preserve"> </w:t>
      </w:r>
      <w:r w:rsidRPr="00382917">
        <w:t>to</w:t>
      </w:r>
      <w:r w:rsidR="00EE4FC3">
        <w:t xml:space="preserve"> </w:t>
      </w:r>
      <w:r w:rsidRPr="00382917">
        <w:t>meet</w:t>
      </w:r>
      <w:r w:rsidR="00EE4FC3">
        <w:t xml:space="preserve"> </w:t>
      </w:r>
      <w:r w:rsidRPr="00382917">
        <w:t>from</w:t>
      </w:r>
      <w:r w:rsidR="00EE4FC3">
        <w:t xml:space="preserve"> </w:t>
      </w:r>
      <w:r w:rsidRPr="00382917">
        <w:t>attaining</w:t>
      </w:r>
      <w:r w:rsidR="00EE4FC3">
        <w:t xml:space="preserve"> </w:t>
      </w:r>
      <w:r w:rsidRPr="00382917">
        <w:t>His</w:t>
      </w:r>
      <w:r w:rsidR="00EE4FC3">
        <w:t xml:space="preserve"> </w:t>
      </w:r>
      <w:r w:rsidRPr="00382917">
        <w:t>presence.</w:t>
      </w:r>
    </w:p>
    <w:p w:rsidR="00540E31" w:rsidRPr="00382917" w:rsidRDefault="00540E31" w:rsidP="00665A7A">
      <w:pPr>
        <w:pStyle w:val="Text"/>
      </w:pPr>
      <w:r w:rsidRPr="00382917">
        <w:t>This</w:t>
      </w:r>
      <w:r w:rsidR="00EE4FC3">
        <w:t xml:space="preserve"> </w:t>
      </w:r>
      <w:r w:rsidRPr="00382917">
        <w:t>same</w:t>
      </w:r>
      <w:r w:rsidR="00EE4FC3">
        <w:t xml:space="preserve"> </w:t>
      </w:r>
      <w:r w:rsidRPr="00382917">
        <w:t>detachment</w:t>
      </w:r>
      <w:r w:rsidR="00EE4FC3">
        <w:t xml:space="preserve"> </w:t>
      </w:r>
      <w:r w:rsidRPr="00382917">
        <w:t>of</w:t>
      </w:r>
      <w:r w:rsidR="00EE4FC3">
        <w:t xml:space="preserve"> </w:t>
      </w:r>
      <w:r w:rsidRPr="00382917">
        <w:t>soldiers</w:t>
      </w:r>
      <w:r w:rsidR="00EE4FC3">
        <w:t xml:space="preserve"> </w:t>
      </w:r>
      <w:r w:rsidRPr="00382917">
        <w:t>who</w:t>
      </w:r>
      <w:r w:rsidR="00EE4FC3">
        <w:t xml:space="preserve"> </w:t>
      </w:r>
      <w:r w:rsidRPr="00382917">
        <w:t>now</w:t>
      </w:r>
      <w:r w:rsidR="00EE4FC3">
        <w:t xml:space="preserve"> </w:t>
      </w:r>
      <w:r w:rsidRPr="00382917">
        <w:t>guarded</w:t>
      </w:r>
      <w:r w:rsidR="00EE4FC3">
        <w:t xml:space="preserve"> </w:t>
      </w:r>
      <w:r w:rsidRPr="00382917">
        <w:t>and</w:t>
      </w:r>
      <w:r w:rsidR="00EE4FC3">
        <w:t xml:space="preserve"> </w:t>
      </w:r>
      <w:r w:rsidRPr="00382917">
        <w:t>protected</w:t>
      </w:r>
      <w:r w:rsidR="00EE4FC3">
        <w:t xml:space="preserve"> </w:t>
      </w:r>
      <w:r w:rsidRPr="00382917">
        <w:t>Him,</w:t>
      </w:r>
      <w:r w:rsidR="00EE4FC3">
        <w:t xml:space="preserve"> </w:t>
      </w:r>
      <w:r w:rsidRPr="00382917">
        <w:t>would</w:t>
      </w:r>
      <w:r w:rsidR="00EE4FC3">
        <w:t xml:space="preserve"> </w:t>
      </w:r>
      <w:r w:rsidRPr="00382917">
        <w:t>in</w:t>
      </w:r>
      <w:r w:rsidR="00EE4FC3">
        <w:t xml:space="preserve"> </w:t>
      </w:r>
      <w:r w:rsidRPr="00382917">
        <w:t>a</w:t>
      </w:r>
      <w:r w:rsidR="00EE4FC3">
        <w:t xml:space="preserve"> </w:t>
      </w:r>
      <w:r w:rsidRPr="00382917">
        <w:t>future</w:t>
      </w:r>
      <w:r w:rsidR="00EE4FC3">
        <w:t xml:space="preserve"> </w:t>
      </w:r>
      <w:r w:rsidRPr="00382917">
        <w:t>day,</w:t>
      </w:r>
      <w:r w:rsidR="00EE4FC3">
        <w:t xml:space="preserve"> </w:t>
      </w:r>
      <w:r w:rsidRPr="00382917">
        <w:t>and</w:t>
      </w:r>
      <w:r w:rsidR="00EE4FC3">
        <w:t xml:space="preserve"> </w:t>
      </w:r>
      <w:r w:rsidRPr="00382917">
        <w:t>in</w:t>
      </w:r>
      <w:r w:rsidR="00EE4FC3">
        <w:t xml:space="preserve"> </w:t>
      </w:r>
      <w:r w:rsidRPr="00382917">
        <w:t>a</w:t>
      </w:r>
      <w:r w:rsidR="00EE4FC3">
        <w:t xml:space="preserve"> </w:t>
      </w:r>
      <w:r w:rsidRPr="00382917">
        <w:t>mysterious</w:t>
      </w:r>
      <w:r w:rsidR="00EE4FC3">
        <w:t xml:space="preserve"> </w:t>
      </w:r>
      <w:r w:rsidRPr="00382917">
        <w:t>manner,</w:t>
      </w:r>
      <w:r w:rsidR="00EE4FC3">
        <w:t xml:space="preserve"> </w:t>
      </w:r>
      <w:r w:rsidRPr="00382917">
        <w:t>be</w:t>
      </w:r>
      <w:r w:rsidR="00EE4FC3">
        <w:t xml:space="preserve"> </w:t>
      </w:r>
      <w:r w:rsidRPr="00382917">
        <w:t>chosen</w:t>
      </w:r>
      <w:r w:rsidR="00EE4FC3">
        <w:t xml:space="preserve"> </w:t>
      </w:r>
      <w:r w:rsidRPr="00382917">
        <w:t>to</w:t>
      </w:r>
      <w:r w:rsidR="00EE4FC3">
        <w:t xml:space="preserve"> </w:t>
      </w:r>
      <w:r w:rsidRPr="00382917">
        <w:t>discharge</w:t>
      </w:r>
      <w:r w:rsidR="00EE4FC3">
        <w:t xml:space="preserve"> </w:t>
      </w:r>
      <w:r w:rsidRPr="00382917">
        <w:t>the</w:t>
      </w:r>
      <w:r w:rsidR="00EE4FC3">
        <w:t xml:space="preserve"> </w:t>
      </w:r>
      <w:r w:rsidRPr="00382917">
        <w:t>volley</w:t>
      </w:r>
      <w:r w:rsidR="00EE4FC3">
        <w:t xml:space="preserve"> </w:t>
      </w:r>
      <w:r w:rsidRPr="00382917">
        <w:t>that</w:t>
      </w:r>
      <w:r w:rsidR="00EE4FC3">
        <w:t xml:space="preserve"> </w:t>
      </w:r>
      <w:r w:rsidRPr="00382917">
        <w:t>would</w:t>
      </w:r>
      <w:r w:rsidR="00EE4FC3">
        <w:t xml:space="preserve"> </w:t>
      </w:r>
      <w:r w:rsidRPr="00382917">
        <w:t>cause</w:t>
      </w:r>
      <w:r w:rsidR="00EE4FC3">
        <w:t xml:space="preserve"> </w:t>
      </w:r>
      <w:r w:rsidRPr="00382917">
        <w:t>His</w:t>
      </w:r>
      <w:r w:rsidR="00EE4FC3">
        <w:t xml:space="preserve"> </w:t>
      </w:r>
      <w:r w:rsidRPr="00382917">
        <w:t>death;</w:t>
      </w:r>
      <w:r w:rsidR="00EE4FC3">
        <w:t xml:space="preserve"> </w:t>
      </w:r>
      <w:r w:rsidRPr="00382917">
        <w:t>but</w:t>
      </w:r>
      <w:r w:rsidR="00EE4FC3">
        <w:t xml:space="preserve"> </w:t>
      </w:r>
      <w:r w:rsidRPr="00382917">
        <w:t>only</w:t>
      </w:r>
      <w:r w:rsidR="00EE4FC3">
        <w:t xml:space="preserve"> </w:t>
      </w:r>
      <w:r w:rsidRPr="00382917">
        <w:t>after</w:t>
      </w:r>
      <w:r w:rsidR="00EE4FC3">
        <w:t xml:space="preserve"> </w:t>
      </w:r>
      <w:r w:rsidRPr="00382917">
        <w:t>another</w:t>
      </w:r>
      <w:r w:rsidR="00EE4FC3">
        <w:t xml:space="preserve"> </w:t>
      </w:r>
      <w:r w:rsidRPr="00382917">
        <w:t>squadron</w:t>
      </w:r>
      <w:r w:rsidR="00EE4FC3">
        <w:t xml:space="preserve"> </w:t>
      </w:r>
      <w:r w:rsidRPr="00382917">
        <w:t>of</w:t>
      </w:r>
      <w:r w:rsidR="00EE4FC3">
        <w:t xml:space="preserve"> </w:t>
      </w:r>
      <w:r w:rsidRPr="00382917">
        <w:t>soldiers</w:t>
      </w:r>
      <w:r w:rsidR="00EE4FC3">
        <w:t xml:space="preserve"> </w:t>
      </w:r>
      <w:r w:rsidRPr="00382917">
        <w:t>would</w:t>
      </w:r>
      <w:r w:rsidR="00EE4FC3">
        <w:t xml:space="preserve"> </w:t>
      </w:r>
      <w:r w:rsidRPr="00382917">
        <w:t>find</w:t>
      </w:r>
      <w:r w:rsidR="00EE4FC3">
        <w:t xml:space="preserve"> </w:t>
      </w:r>
      <w:r w:rsidRPr="00382917">
        <w:t>themselves</w:t>
      </w:r>
      <w:r w:rsidR="00EE4FC3">
        <w:t xml:space="preserve"> </w:t>
      </w:r>
      <w:r w:rsidRPr="00382917">
        <w:t>powerless</w:t>
      </w:r>
      <w:r w:rsidR="00EE4FC3">
        <w:t xml:space="preserve"> </w:t>
      </w:r>
      <w:r w:rsidRPr="00382917">
        <w:t>to</w:t>
      </w:r>
      <w:r w:rsidR="00EE4FC3">
        <w:t xml:space="preserve"> </w:t>
      </w:r>
      <w:r w:rsidRPr="00382917">
        <w:t>kill</w:t>
      </w:r>
      <w:r w:rsidR="00EE4FC3">
        <w:t xml:space="preserve"> </w:t>
      </w:r>
      <w:r w:rsidRPr="00382917">
        <w:t>Him,</w:t>
      </w:r>
      <w:r w:rsidR="00EE4FC3">
        <w:t xml:space="preserve"> </w:t>
      </w:r>
      <w:r w:rsidRPr="00382917">
        <w:t>a</w:t>
      </w:r>
      <w:r w:rsidR="00EE4FC3">
        <w:t xml:space="preserve"> </w:t>
      </w:r>
      <w:r w:rsidRPr="00382917">
        <w:t>thing</w:t>
      </w:r>
      <w:r w:rsidR="00EE4FC3">
        <w:t xml:space="preserve"> </w:t>
      </w:r>
      <w:r w:rsidRPr="00382917">
        <w:t>described</w:t>
      </w:r>
      <w:r w:rsidR="00EE4FC3">
        <w:t xml:space="preserve"> </w:t>
      </w:r>
      <w:r w:rsidRPr="00382917">
        <w:t>by</w:t>
      </w:r>
      <w:r w:rsidR="00EE4FC3">
        <w:t xml:space="preserve"> </w:t>
      </w:r>
      <w:r w:rsidRPr="00382917">
        <w:t>the</w:t>
      </w:r>
      <w:r w:rsidR="00EE4FC3">
        <w:t xml:space="preserve"> </w:t>
      </w:r>
      <w:r w:rsidRPr="00382917">
        <w:t>historian</w:t>
      </w:r>
      <w:r w:rsidR="00EE4FC3">
        <w:t xml:space="preserve"> </w:t>
      </w:r>
      <w:r w:rsidRPr="00382917">
        <w:t>Nicolas</w:t>
      </w:r>
      <w:r w:rsidR="00EE4FC3">
        <w:t xml:space="preserve"> </w:t>
      </w:r>
      <w:r w:rsidRPr="00382917">
        <w:t>as</w:t>
      </w:r>
      <w:r w:rsidR="00EE4FC3">
        <w:t xml:space="preserve"> </w:t>
      </w:r>
      <w:r w:rsidR="009C713D" w:rsidRPr="00382917">
        <w:t>“</w:t>
      </w:r>
      <w:r w:rsidRPr="00382917">
        <w:t>unique</w:t>
      </w:r>
      <w:r w:rsidR="00EE4FC3">
        <w:t xml:space="preserve"> </w:t>
      </w:r>
      <w:r w:rsidRPr="00382917">
        <w:t>in</w:t>
      </w:r>
      <w:r w:rsidR="00EE4FC3">
        <w:t xml:space="preserve"> </w:t>
      </w:r>
      <w:r w:rsidRPr="00382917">
        <w:t>the</w:t>
      </w:r>
      <w:r w:rsidR="00EE4FC3">
        <w:t xml:space="preserve"> </w:t>
      </w:r>
      <w:r w:rsidRPr="00382917">
        <w:t>annals</w:t>
      </w:r>
      <w:r w:rsidR="00EE4FC3">
        <w:t xml:space="preserve"> </w:t>
      </w:r>
      <w:r w:rsidRPr="00382917">
        <w:t>of</w:t>
      </w:r>
      <w:r w:rsidR="00EE4FC3">
        <w:t xml:space="preserve"> </w:t>
      </w:r>
      <w:r w:rsidRPr="00382917">
        <w:t>the</w:t>
      </w:r>
      <w:r w:rsidR="00EE4FC3">
        <w:t xml:space="preserve"> </w:t>
      </w:r>
      <w:r w:rsidRPr="00382917">
        <w:t>history</w:t>
      </w:r>
      <w:r w:rsidR="00EE4FC3">
        <w:t xml:space="preserve"> </w:t>
      </w:r>
      <w:r w:rsidRPr="00382917">
        <w:t>of</w:t>
      </w:r>
      <w:r w:rsidR="00EE4FC3">
        <w:t xml:space="preserve"> </w:t>
      </w:r>
      <w:r w:rsidRPr="00382917">
        <w:t>humanity.</w:t>
      </w:r>
      <w:r w:rsidR="009C713D" w:rsidRPr="00382917">
        <w:t>”</w:t>
      </w:r>
      <w:r w:rsidR="00F82329">
        <w:rPr>
          <w:rStyle w:val="FootnoteReference"/>
        </w:rPr>
        <w:footnoteReference w:id="71"/>
      </w:r>
    </w:p>
    <w:p w:rsidR="00540E31" w:rsidRPr="00382917" w:rsidRDefault="00540E31" w:rsidP="009C713D">
      <w:pPr>
        <w:pStyle w:val="Text"/>
      </w:pPr>
      <w:r w:rsidRPr="00382917">
        <w:t>One</w:t>
      </w:r>
      <w:r w:rsidR="00EE4FC3">
        <w:t xml:space="preserve"> </w:t>
      </w:r>
      <w:r w:rsidRPr="00382917">
        <w:t>day,</w:t>
      </w:r>
      <w:r w:rsidR="00EE4FC3">
        <w:t xml:space="preserve"> </w:t>
      </w:r>
      <w:r w:rsidRPr="00382917">
        <w:t>shortly</w:t>
      </w:r>
      <w:r w:rsidR="00EE4FC3">
        <w:t xml:space="preserve"> </w:t>
      </w:r>
      <w:r w:rsidRPr="00382917">
        <w:t>after</w:t>
      </w:r>
      <w:r w:rsidR="00EE4FC3">
        <w:t xml:space="preserve"> </w:t>
      </w:r>
      <w:r w:rsidRPr="00382917">
        <w:t>the</w:t>
      </w:r>
      <w:r w:rsidR="00EE4FC3">
        <w:t xml:space="preserve"> </w:t>
      </w:r>
      <w:r w:rsidRPr="00382917">
        <w:t>Báb</w:t>
      </w:r>
      <w:r w:rsidR="009C713D" w:rsidRPr="00382917">
        <w:t>’</w:t>
      </w:r>
      <w:r w:rsidRPr="00382917">
        <w:t>s</w:t>
      </w:r>
      <w:r w:rsidR="00EE4FC3">
        <w:t xml:space="preserve"> </w:t>
      </w:r>
      <w:r w:rsidRPr="00382917">
        <w:t>arrival</w:t>
      </w:r>
      <w:r w:rsidR="00EE4FC3">
        <w:t xml:space="preserve"> </w:t>
      </w:r>
      <w:r w:rsidRPr="00382917">
        <w:t>in</w:t>
      </w:r>
      <w:r w:rsidR="00EE4FC3">
        <w:t xml:space="preserve"> </w:t>
      </w:r>
      <w:r w:rsidRPr="00382917">
        <w:t>Tabríz,</w:t>
      </w:r>
      <w:r w:rsidR="00EE4FC3">
        <w:t xml:space="preserve"> </w:t>
      </w:r>
      <w:r w:rsidRPr="00382917">
        <w:t>one</w:t>
      </w:r>
      <w:r w:rsidR="00EE4FC3">
        <w:t xml:space="preserve"> </w:t>
      </w:r>
      <w:r w:rsidRPr="00382917">
        <w:t>of</w:t>
      </w:r>
      <w:r w:rsidR="00EE4FC3">
        <w:t xml:space="preserve"> </w:t>
      </w:r>
      <w:r w:rsidRPr="00382917">
        <w:t>His</w:t>
      </w:r>
      <w:r w:rsidR="00EE4FC3">
        <w:t xml:space="preserve"> </w:t>
      </w:r>
      <w:r w:rsidRPr="00382917">
        <w:t>devoted</w:t>
      </w:r>
      <w:r w:rsidR="00EE4FC3">
        <w:t xml:space="preserve"> </w:t>
      </w:r>
      <w:r w:rsidRPr="00382917">
        <w:t>followers,</w:t>
      </w:r>
      <w:r w:rsidR="00EE4FC3">
        <w:t xml:space="preserve"> </w:t>
      </w:r>
      <w:r w:rsidRPr="00382917">
        <w:t>named</w:t>
      </w:r>
      <w:r w:rsidR="00EE4FC3">
        <w:t xml:space="preserve"> </w:t>
      </w:r>
      <w:r w:rsidR="009C713D" w:rsidRPr="00382917">
        <w:t>‘</w:t>
      </w:r>
      <w:r w:rsidRPr="00382917">
        <w:t>Alí-</w:t>
      </w:r>
      <w:r w:rsidR="009C713D" w:rsidRPr="00382917">
        <w:t>‘</w:t>
      </w:r>
      <w:r w:rsidRPr="00382917">
        <w:t>Askar,</w:t>
      </w:r>
      <w:r w:rsidR="00EE4FC3">
        <w:t xml:space="preserve"> </w:t>
      </w:r>
      <w:r w:rsidRPr="00382917">
        <w:t>went</w:t>
      </w:r>
      <w:r w:rsidR="00EE4FC3">
        <w:t xml:space="preserve"> </w:t>
      </w:r>
      <w:r w:rsidRPr="00382917">
        <w:t>to</w:t>
      </w:r>
      <w:r w:rsidR="00EE4FC3">
        <w:t xml:space="preserve"> </w:t>
      </w:r>
      <w:r w:rsidRPr="00382917">
        <w:t>see</w:t>
      </w:r>
      <w:r w:rsidR="00EE4FC3">
        <w:t xml:space="preserve"> </w:t>
      </w:r>
      <w:r w:rsidRPr="00382917">
        <w:t>Him</w:t>
      </w:r>
      <w:r w:rsidR="00C03C91">
        <w:t>.</w:t>
      </w:r>
      <w:r w:rsidR="00EE4FC3">
        <w:t xml:space="preserve">  </w:t>
      </w:r>
      <w:r w:rsidR="009C713D" w:rsidRPr="00382917">
        <w:t>‘</w:t>
      </w:r>
      <w:r w:rsidRPr="00382917">
        <w:t>Alí-</w:t>
      </w:r>
      <w:r w:rsidR="009C713D" w:rsidRPr="00382917">
        <w:t>‘</w:t>
      </w:r>
      <w:r w:rsidRPr="00382917">
        <w:t>Askar</w:t>
      </w:r>
      <w:r w:rsidR="00EE4FC3">
        <w:t xml:space="preserve"> </w:t>
      </w:r>
      <w:r w:rsidRPr="00382917">
        <w:t>was</w:t>
      </w:r>
      <w:r w:rsidR="00EE4FC3">
        <w:t xml:space="preserve"> </w:t>
      </w:r>
      <w:r w:rsidRPr="00382917">
        <w:t>warned</w:t>
      </w:r>
      <w:r w:rsidR="00EE4FC3">
        <w:t xml:space="preserve"> </w:t>
      </w:r>
      <w:r w:rsidRPr="00382917">
        <w:t>by</w:t>
      </w:r>
      <w:r w:rsidR="00EE4FC3">
        <w:t xml:space="preserve"> </w:t>
      </w:r>
      <w:r w:rsidRPr="00382917">
        <w:t>his</w:t>
      </w:r>
      <w:r w:rsidR="00EE4FC3">
        <w:t xml:space="preserve"> </w:t>
      </w:r>
      <w:r w:rsidRPr="00382917">
        <w:t>friends</w:t>
      </w:r>
      <w:r w:rsidR="00EE4FC3">
        <w:t xml:space="preserve"> </w:t>
      </w:r>
      <w:r w:rsidRPr="00382917">
        <w:t>not</w:t>
      </w:r>
      <w:r w:rsidR="00EE4FC3">
        <w:t xml:space="preserve"> </w:t>
      </w:r>
      <w:r w:rsidRPr="00382917">
        <w:t>to</w:t>
      </w:r>
      <w:r w:rsidR="00EE4FC3">
        <w:t xml:space="preserve"> </w:t>
      </w:r>
      <w:r w:rsidRPr="00382917">
        <w:t>go.</w:t>
      </w:r>
    </w:p>
    <w:p w:rsidR="00540E31" w:rsidRPr="00382917" w:rsidRDefault="009C713D" w:rsidP="00665A7A">
      <w:pPr>
        <w:pStyle w:val="Text"/>
      </w:pPr>
      <w:r w:rsidRPr="00382917">
        <w:t>“</w:t>
      </w:r>
      <w:r w:rsidR="00540E31" w:rsidRPr="00382917">
        <w:t>Don</w:t>
      </w:r>
      <w:r w:rsidRPr="00382917">
        <w:t>’</w:t>
      </w:r>
      <w:r w:rsidR="00540E31" w:rsidRPr="00382917">
        <w:t>t</w:t>
      </w:r>
      <w:r w:rsidR="00EE4FC3">
        <w:t xml:space="preserve"> </w:t>
      </w:r>
      <w:r w:rsidR="00540E31" w:rsidRPr="00382917">
        <w:t>you</w:t>
      </w:r>
      <w:r w:rsidR="00EE4FC3">
        <w:t xml:space="preserve"> </w:t>
      </w:r>
      <w:r w:rsidR="00540E31" w:rsidRPr="00382917">
        <w:t>know</w:t>
      </w:r>
      <w:r w:rsidR="00EE4FC3">
        <w:t xml:space="preserve"> </w:t>
      </w:r>
      <w:r w:rsidR="00540E31" w:rsidRPr="00382917">
        <w:t>that</w:t>
      </w:r>
      <w:r w:rsidR="00EE4FC3">
        <w:t xml:space="preserve"> </w:t>
      </w:r>
      <w:r w:rsidR="00540E31" w:rsidRPr="00382917">
        <w:t>such</w:t>
      </w:r>
      <w:r w:rsidR="00EE4FC3">
        <w:t xml:space="preserve"> </w:t>
      </w:r>
      <w:r w:rsidR="00540E31" w:rsidRPr="00382917">
        <w:t>a</w:t>
      </w:r>
      <w:r w:rsidR="00EE4FC3">
        <w:t xml:space="preserve"> </w:t>
      </w:r>
      <w:r w:rsidR="00540E31" w:rsidRPr="00382917">
        <w:t>foolish</w:t>
      </w:r>
      <w:r w:rsidR="00EE4FC3">
        <w:t xml:space="preserve"> </w:t>
      </w:r>
      <w:r w:rsidR="00540E31" w:rsidRPr="00382917">
        <w:t>attempt</w:t>
      </w:r>
      <w:r w:rsidR="00EE4FC3">
        <w:t xml:space="preserve"> </w:t>
      </w:r>
      <w:r w:rsidR="00540E31" w:rsidRPr="00382917">
        <w:t>on</w:t>
      </w:r>
      <w:r w:rsidR="00EE4FC3">
        <w:t xml:space="preserve"> </w:t>
      </w:r>
      <w:r w:rsidR="00540E31" w:rsidRPr="00382917">
        <w:t>your</w:t>
      </w:r>
      <w:r w:rsidR="00EE4FC3">
        <w:t xml:space="preserve"> </w:t>
      </w:r>
      <w:r w:rsidR="00540E31" w:rsidRPr="00382917">
        <w:t>part</w:t>
      </w:r>
      <w:r w:rsidR="00EE4FC3">
        <w:t xml:space="preserve"> </w:t>
      </w:r>
      <w:r w:rsidR="00540E31" w:rsidRPr="00382917">
        <w:t>will</w:t>
      </w:r>
      <w:r w:rsidR="00EE4FC3">
        <w:t xml:space="preserve"> </w:t>
      </w:r>
      <w:r w:rsidR="00540E31" w:rsidRPr="00382917">
        <w:t>not</w:t>
      </w:r>
      <w:r w:rsidR="00EE4FC3">
        <w:t xml:space="preserve"> </w:t>
      </w:r>
      <w:r w:rsidR="00540E31" w:rsidRPr="00382917">
        <w:t>only</w:t>
      </w:r>
      <w:r w:rsidR="00EE4FC3">
        <w:t xml:space="preserve"> </w:t>
      </w:r>
      <w:r w:rsidR="00540E31" w:rsidRPr="00382917">
        <w:t>involve</w:t>
      </w:r>
      <w:r w:rsidR="00EE4FC3">
        <w:t xml:space="preserve"> </w:t>
      </w:r>
      <w:r w:rsidR="00540E31" w:rsidRPr="00382917">
        <w:t>the</w:t>
      </w:r>
      <w:r w:rsidR="00EE4FC3">
        <w:t xml:space="preserve"> </w:t>
      </w:r>
      <w:r w:rsidR="00540E31" w:rsidRPr="00382917">
        <w:t>loss</w:t>
      </w:r>
      <w:r w:rsidR="00EE4FC3">
        <w:t xml:space="preserve"> </w:t>
      </w:r>
      <w:r w:rsidR="00540E31" w:rsidRPr="00382917">
        <w:t>of</w:t>
      </w:r>
      <w:r w:rsidR="00EE4FC3">
        <w:t xml:space="preserve"> </w:t>
      </w:r>
      <w:r w:rsidR="00540E31" w:rsidRPr="00382917">
        <w:t>your</w:t>
      </w:r>
      <w:r w:rsidR="00EE4FC3">
        <w:t xml:space="preserve"> </w:t>
      </w:r>
      <w:r w:rsidR="00540E31" w:rsidRPr="00382917">
        <w:t>possessions,</w:t>
      </w:r>
      <w:r w:rsidR="00EE4FC3">
        <w:t xml:space="preserve"> </w:t>
      </w:r>
      <w:r w:rsidR="00540E31" w:rsidRPr="00382917">
        <w:t>but</w:t>
      </w:r>
      <w:r w:rsidR="00EE4FC3">
        <w:t xml:space="preserve"> </w:t>
      </w:r>
      <w:r w:rsidR="00540E31" w:rsidRPr="00382917">
        <w:t>will</w:t>
      </w:r>
      <w:r w:rsidR="00EE4FC3">
        <w:t xml:space="preserve"> </w:t>
      </w:r>
      <w:r w:rsidR="00540E31" w:rsidRPr="00382917">
        <w:t>also</w:t>
      </w:r>
      <w:r w:rsidR="00EE4FC3">
        <w:t xml:space="preserve"> </w:t>
      </w:r>
      <w:r w:rsidR="00540E31" w:rsidRPr="00382917">
        <w:t>endanger</w:t>
      </w:r>
      <w:r w:rsidR="00EE4FC3">
        <w:t xml:space="preserve"> </w:t>
      </w:r>
      <w:r w:rsidR="00540E31" w:rsidRPr="00382917">
        <w:t>your</w:t>
      </w:r>
      <w:r w:rsidR="00EE4FC3">
        <w:t xml:space="preserve"> </w:t>
      </w:r>
      <w:r w:rsidR="00540E31" w:rsidRPr="00382917">
        <w:t>very</w:t>
      </w:r>
      <w:r w:rsidR="00EE4FC3">
        <w:t xml:space="preserve"> </w:t>
      </w:r>
      <w:r w:rsidR="00540E31" w:rsidRPr="00382917">
        <w:t>life?</w:t>
      </w:r>
      <w:r w:rsidRPr="00382917">
        <w:t>”</w:t>
      </w:r>
    </w:p>
    <w:p w:rsidR="00540E31" w:rsidRPr="00382917" w:rsidRDefault="009C713D" w:rsidP="00665A7A">
      <w:pPr>
        <w:pStyle w:val="Text"/>
      </w:pPr>
      <w:r w:rsidRPr="00382917">
        <w:t>“</w:t>
      </w:r>
      <w:r w:rsidR="00540E31" w:rsidRPr="00382917">
        <w:t>I</w:t>
      </w:r>
      <w:r w:rsidR="00EE4FC3">
        <w:t xml:space="preserve"> </w:t>
      </w:r>
      <w:r w:rsidR="00540E31" w:rsidRPr="00382917">
        <w:t>am</w:t>
      </w:r>
      <w:r w:rsidR="00EE4FC3">
        <w:t xml:space="preserve"> </w:t>
      </w:r>
      <w:r w:rsidR="00540E31" w:rsidRPr="00382917">
        <w:t>going,</w:t>
      </w:r>
      <w:r w:rsidRPr="00382917">
        <w:t>”</w:t>
      </w:r>
      <w:r w:rsidR="00EE4FC3">
        <w:t xml:space="preserve"> </w:t>
      </w:r>
      <w:r w:rsidR="00540E31" w:rsidRPr="00382917">
        <w:t>he</w:t>
      </w:r>
      <w:r w:rsidR="00EE4FC3">
        <w:t xml:space="preserve"> </w:t>
      </w:r>
      <w:r w:rsidR="00540E31" w:rsidRPr="00382917">
        <w:t>said.</w:t>
      </w:r>
    </w:p>
    <w:p w:rsidR="00540E31" w:rsidRPr="00382917" w:rsidRDefault="00540E31" w:rsidP="00665A7A">
      <w:pPr>
        <w:pStyle w:val="Text"/>
      </w:pPr>
      <w:r w:rsidRPr="00382917">
        <w:t>He</w:t>
      </w:r>
      <w:r w:rsidR="00EE4FC3">
        <w:t xml:space="preserve"> </w:t>
      </w:r>
      <w:r w:rsidRPr="00382917">
        <w:t>refused</w:t>
      </w:r>
      <w:r w:rsidR="00EE4FC3">
        <w:t xml:space="preserve"> </w:t>
      </w:r>
      <w:r w:rsidRPr="00382917">
        <w:t>to</w:t>
      </w:r>
      <w:r w:rsidR="00EE4FC3">
        <w:t xml:space="preserve"> </w:t>
      </w:r>
      <w:r w:rsidRPr="00382917">
        <w:t>heed</w:t>
      </w:r>
      <w:r w:rsidR="00EE4FC3">
        <w:t xml:space="preserve"> </w:t>
      </w:r>
      <w:r w:rsidRPr="00382917">
        <w:t>their</w:t>
      </w:r>
      <w:r w:rsidR="00EE4FC3">
        <w:t xml:space="preserve"> </w:t>
      </w:r>
      <w:r w:rsidRPr="00382917">
        <w:t>counsel,</w:t>
      </w:r>
      <w:r w:rsidR="00EE4FC3">
        <w:t xml:space="preserve"> </w:t>
      </w:r>
      <w:r w:rsidRPr="00382917">
        <w:t>and</w:t>
      </w:r>
      <w:r w:rsidR="00EE4FC3">
        <w:t xml:space="preserve"> </w:t>
      </w:r>
      <w:r w:rsidRPr="00382917">
        <w:t>made</w:t>
      </w:r>
      <w:r w:rsidR="00EE4FC3">
        <w:t xml:space="preserve"> </w:t>
      </w:r>
      <w:r w:rsidRPr="00382917">
        <w:t>his</w:t>
      </w:r>
      <w:r w:rsidR="00EE4FC3">
        <w:t xml:space="preserve"> </w:t>
      </w:r>
      <w:r w:rsidRPr="00382917">
        <w:t>way</w:t>
      </w:r>
      <w:r w:rsidR="00EE4FC3">
        <w:t xml:space="preserve"> </w:t>
      </w:r>
      <w:r w:rsidRPr="00382917">
        <w:t>to</w:t>
      </w:r>
      <w:r w:rsidR="00EE4FC3">
        <w:t xml:space="preserve"> </w:t>
      </w:r>
      <w:r w:rsidRPr="00382917">
        <w:t>the</w:t>
      </w:r>
      <w:r w:rsidR="00EE4FC3">
        <w:t xml:space="preserve"> </w:t>
      </w:r>
      <w:r w:rsidRPr="00382917">
        <w:t>house</w:t>
      </w:r>
      <w:r w:rsidR="00EE4FC3">
        <w:t xml:space="preserve"> </w:t>
      </w:r>
      <w:r w:rsidRPr="00382917">
        <w:t>where</w:t>
      </w:r>
      <w:r w:rsidR="00EE4FC3">
        <w:t xml:space="preserve"> </w:t>
      </w:r>
      <w:r w:rsidRPr="00382917">
        <w:t>the</w:t>
      </w:r>
      <w:r w:rsidR="00EE4FC3">
        <w:t xml:space="preserve"> </w:t>
      </w:r>
      <w:r w:rsidRPr="00382917">
        <w:t>Báb</w:t>
      </w:r>
      <w:r w:rsidR="00EE4FC3">
        <w:t xml:space="preserve"> </w:t>
      </w:r>
      <w:r w:rsidRPr="00382917">
        <w:t>was</w:t>
      </w:r>
      <w:r w:rsidR="00EE4FC3">
        <w:t xml:space="preserve"> </w:t>
      </w:r>
      <w:r w:rsidRPr="00382917">
        <w:t>imprisoned</w:t>
      </w:r>
      <w:r w:rsidR="00C03C91">
        <w:t>.</w:t>
      </w:r>
      <w:r w:rsidR="00EE4FC3">
        <w:t xml:space="preserve">  </w:t>
      </w:r>
      <w:r w:rsidRPr="00382917">
        <w:t>Nothing</w:t>
      </w:r>
      <w:r w:rsidR="00EE4FC3">
        <w:t xml:space="preserve"> </w:t>
      </w:r>
      <w:r w:rsidRPr="00382917">
        <w:t>could</w:t>
      </w:r>
      <w:r w:rsidR="00EE4FC3">
        <w:t xml:space="preserve"> </w:t>
      </w:r>
      <w:r w:rsidRPr="00382917">
        <w:t>keep</w:t>
      </w:r>
      <w:r w:rsidR="00EE4FC3">
        <w:t xml:space="preserve"> </w:t>
      </w:r>
      <w:r w:rsidR="009C713D" w:rsidRPr="00382917">
        <w:t>‘</w:t>
      </w:r>
      <w:r w:rsidRPr="00382917">
        <w:t>Alí-</w:t>
      </w:r>
      <w:r w:rsidR="00F82329">
        <w:t>‘</w:t>
      </w:r>
      <w:r w:rsidRPr="00382917">
        <w:t>Askar</w:t>
      </w:r>
      <w:r w:rsidR="00EE4FC3">
        <w:t xml:space="preserve"> </w:t>
      </w:r>
      <w:r w:rsidRPr="00382917">
        <w:t>from</w:t>
      </w:r>
      <w:r w:rsidR="00EE4FC3">
        <w:t xml:space="preserve"> </w:t>
      </w:r>
      <w:r w:rsidRPr="00382917">
        <w:t>the</w:t>
      </w:r>
      <w:r w:rsidR="00EE4FC3">
        <w:t xml:space="preserve"> </w:t>
      </w:r>
      <w:r w:rsidRPr="00382917">
        <w:t>presence</w:t>
      </w:r>
      <w:r w:rsidR="00EE4FC3">
        <w:t xml:space="preserve"> </w:t>
      </w:r>
      <w:r w:rsidRPr="00382917">
        <w:t>of</w:t>
      </w:r>
      <w:r w:rsidR="00EE4FC3">
        <w:t xml:space="preserve"> </w:t>
      </w:r>
      <w:r w:rsidRPr="00382917">
        <w:t>the</w:t>
      </w:r>
      <w:r w:rsidR="00EE4FC3">
        <w:t xml:space="preserve"> </w:t>
      </w:r>
      <w:r w:rsidRPr="00382917">
        <w:t>Báb,</w:t>
      </w:r>
      <w:r w:rsidR="00EE4FC3">
        <w:t xml:space="preserve"> </w:t>
      </w:r>
      <w:r w:rsidRPr="00382917">
        <w:t>even</w:t>
      </w:r>
      <w:r w:rsidR="00EE4FC3">
        <w:t xml:space="preserve"> </w:t>
      </w:r>
      <w:r w:rsidRPr="00382917">
        <w:t>if</w:t>
      </w:r>
      <w:r w:rsidR="00EE4FC3">
        <w:t xml:space="preserve"> </w:t>
      </w:r>
      <w:r w:rsidRPr="00382917">
        <w:t>it</w:t>
      </w:r>
      <w:r w:rsidR="00EE4FC3">
        <w:t xml:space="preserve"> </w:t>
      </w:r>
      <w:r w:rsidRPr="00382917">
        <w:t>meant</w:t>
      </w:r>
      <w:r w:rsidR="00EE4FC3">
        <w:t xml:space="preserve"> </w:t>
      </w:r>
      <w:r w:rsidRPr="00382917">
        <w:t>giving</w:t>
      </w:r>
      <w:r w:rsidR="00EE4FC3">
        <w:t xml:space="preserve"> </w:t>
      </w:r>
      <w:r w:rsidRPr="00382917">
        <w:t>up</w:t>
      </w:r>
      <w:r w:rsidR="00EE4FC3">
        <w:t xml:space="preserve"> </w:t>
      </w:r>
      <w:r w:rsidRPr="00382917">
        <w:t>his</w:t>
      </w:r>
      <w:r w:rsidR="00EE4FC3">
        <w:t xml:space="preserve"> </w:t>
      </w:r>
      <w:r w:rsidRPr="00382917">
        <w:t>life.</w:t>
      </w:r>
    </w:p>
    <w:p w:rsidR="00540E31" w:rsidRPr="00382917" w:rsidRDefault="00540E31" w:rsidP="00665A7A">
      <w:pPr>
        <w:pStyle w:val="Text"/>
      </w:pPr>
      <w:r w:rsidRPr="00382917">
        <w:t>In</w:t>
      </w:r>
      <w:r w:rsidR="00EE4FC3">
        <w:t xml:space="preserve"> </w:t>
      </w:r>
      <w:r w:rsidRPr="00382917">
        <w:t>the</w:t>
      </w:r>
      <w:r w:rsidR="00EE4FC3">
        <w:t xml:space="preserve"> </w:t>
      </w:r>
      <w:r w:rsidRPr="00382917">
        <w:t>days</w:t>
      </w:r>
      <w:r w:rsidR="00EE4FC3">
        <w:t xml:space="preserve"> </w:t>
      </w:r>
      <w:r w:rsidRPr="00382917">
        <w:t>past,</w:t>
      </w:r>
      <w:r w:rsidR="00EE4FC3">
        <w:t xml:space="preserve"> </w:t>
      </w:r>
      <w:r w:rsidRPr="00382917">
        <w:t>he</w:t>
      </w:r>
      <w:r w:rsidR="00EE4FC3">
        <w:t xml:space="preserve"> </w:t>
      </w:r>
      <w:r w:rsidRPr="00382917">
        <w:t>had</w:t>
      </w:r>
      <w:r w:rsidR="00EE4FC3">
        <w:t xml:space="preserve"> </w:t>
      </w:r>
      <w:r w:rsidRPr="00382917">
        <w:t>journeyed</w:t>
      </w:r>
      <w:r w:rsidR="00EE4FC3">
        <w:t xml:space="preserve"> </w:t>
      </w:r>
      <w:r w:rsidRPr="00382917">
        <w:t>many</w:t>
      </w:r>
      <w:r w:rsidR="00EE4FC3">
        <w:t xml:space="preserve"> </w:t>
      </w:r>
      <w:r w:rsidRPr="00382917">
        <w:t>miles</w:t>
      </w:r>
      <w:r w:rsidR="00EE4FC3">
        <w:t xml:space="preserve"> </w:t>
      </w:r>
      <w:r w:rsidRPr="00382917">
        <w:t>with</w:t>
      </w:r>
      <w:r w:rsidR="00EE4FC3">
        <w:t xml:space="preserve"> </w:t>
      </w:r>
      <w:r w:rsidRPr="00382917">
        <w:t>Mullá</w:t>
      </w:r>
      <w:r w:rsidR="00EE4FC3">
        <w:t xml:space="preserve"> </w:t>
      </w:r>
      <w:r w:rsidR="00964C11" w:rsidRPr="00382917">
        <w:t>Ḥusayn</w:t>
      </w:r>
      <w:r w:rsidRPr="00382917">
        <w:t>,</w:t>
      </w:r>
      <w:r w:rsidR="00EE4FC3">
        <w:t xml:space="preserve"> </w:t>
      </w:r>
      <w:r w:rsidRPr="00382917">
        <w:t>the</w:t>
      </w:r>
      <w:r w:rsidR="00EE4FC3">
        <w:t xml:space="preserve"> </w:t>
      </w:r>
      <w:r w:rsidRPr="00382917">
        <w:t>first</w:t>
      </w:r>
      <w:r w:rsidR="00EE4FC3">
        <w:t xml:space="preserve"> </w:t>
      </w:r>
      <w:r w:rsidRPr="00382917">
        <w:t>follower</w:t>
      </w:r>
      <w:r w:rsidR="00EE4FC3">
        <w:t xml:space="preserve"> </w:t>
      </w:r>
      <w:r w:rsidRPr="00382917">
        <w:t>of</w:t>
      </w:r>
      <w:r w:rsidR="00EE4FC3">
        <w:t xml:space="preserve"> </w:t>
      </w:r>
      <w:r w:rsidRPr="00382917">
        <w:t>the</w:t>
      </w:r>
      <w:r w:rsidR="00EE4FC3">
        <w:t xml:space="preserve"> </w:t>
      </w:r>
      <w:r w:rsidRPr="00382917">
        <w:t>Báb</w:t>
      </w:r>
      <w:r w:rsidR="00C03C91">
        <w:t>.</w:t>
      </w:r>
      <w:r w:rsidR="00EE4FC3">
        <w:t xml:space="preserve">  </w:t>
      </w:r>
      <w:r w:rsidRPr="00382917">
        <w:t>They</w:t>
      </w:r>
      <w:r w:rsidR="00EE4FC3">
        <w:t xml:space="preserve"> </w:t>
      </w:r>
      <w:r w:rsidRPr="00382917">
        <w:t>had</w:t>
      </w:r>
      <w:r w:rsidR="00EE4FC3">
        <w:t xml:space="preserve"> </w:t>
      </w:r>
      <w:r w:rsidRPr="00382917">
        <w:t>taught</w:t>
      </w:r>
      <w:r w:rsidR="00EE4FC3">
        <w:t xml:space="preserve"> </w:t>
      </w:r>
      <w:r w:rsidRPr="00382917">
        <w:t>together</w:t>
      </w:r>
      <w:r w:rsidR="00EE4FC3">
        <w:t xml:space="preserve"> </w:t>
      </w:r>
      <w:r w:rsidRPr="00382917">
        <w:t>in</w:t>
      </w:r>
      <w:r w:rsidR="00EE4FC3">
        <w:t xml:space="preserve"> </w:t>
      </w:r>
      <w:r w:rsidRPr="00382917">
        <w:t>many</w:t>
      </w:r>
      <w:r w:rsidR="00EE4FC3">
        <w:t xml:space="preserve"> </w:t>
      </w:r>
      <w:r w:rsidRPr="00382917">
        <w:t>towns</w:t>
      </w:r>
      <w:r w:rsidR="00C03C91">
        <w:t>.</w:t>
      </w:r>
      <w:r w:rsidR="00EE4FC3">
        <w:t xml:space="preserve">  </w:t>
      </w:r>
      <w:r w:rsidRPr="00382917">
        <w:t>Time</w:t>
      </w:r>
      <w:r w:rsidR="00EE4FC3">
        <w:t xml:space="preserve"> </w:t>
      </w:r>
      <w:r w:rsidRPr="00382917">
        <w:t>after</w:t>
      </w:r>
      <w:r w:rsidR="00EE4FC3">
        <w:t xml:space="preserve"> </w:t>
      </w:r>
      <w:r w:rsidRPr="00382917">
        <w:t>time,</w:t>
      </w:r>
      <w:r w:rsidR="00EE4FC3">
        <w:t xml:space="preserve"> </w:t>
      </w:r>
      <w:r w:rsidR="0040329F" w:rsidRPr="00382917">
        <w:t>‘Al</w:t>
      </w:r>
      <w:r w:rsidR="0040329F" w:rsidRPr="0040329F">
        <w:t>í</w:t>
      </w:r>
      <w:r w:rsidR="009C713D" w:rsidRPr="00382917">
        <w:t>-‘</w:t>
      </w:r>
      <w:r w:rsidRPr="00382917">
        <w:t>Askar</w:t>
      </w:r>
      <w:r w:rsidR="00EE4FC3">
        <w:t xml:space="preserve"> </w:t>
      </w:r>
      <w:r w:rsidRPr="00382917">
        <w:t>would</w:t>
      </w:r>
      <w:r w:rsidR="00EE4FC3">
        <w:t xml:space="preserve"> </w:t>
      </w:r>
      <w:r w:rsidRPr="00382917">
        <w:t>complain</w:t>
      </w:r>
      <w:r w:rsidR="00EE4FC3">
        <w:t xml:space="preserve"> </w:t>
      </w:r>
      <w:r w:rsidRPr="00382917">
        <w:t>bitterly</w:t>
      </w:r>
    </w:p>
    <w:p w:rsidR="00665A7A" w:rsidRPr="00382917" w:rsidRDefault="00665A7A">
      <w:pPr>
        <w:widowControl/>
        <w:kinsoku/>
        <w:overflowPunct/>
        <w:textAlignment w:val="auto"/>
      </w:pPr>
      <w:r w:rsidRPr="00382917">
        <w:br w:type="page"/>
      </w:r>
    </w:p>
    <w:p w:rsidR="00540E31" w:rsidRPr="00382917" w:rsidRDefault="00540E31" w:rsidP="00C72263">
      <w:pPr>
        <w:pStyle w:val="Textcts"/>
      </w:pPr>
      <w:proofErr w:type="gramStart"/>
      <w:r w:rsidRPr="00382917">
        <w:t>to</w:t>
      </w:r>
      <w:proofErr w:type="gramEnd"/>
      <w:r w:rsidR="00EE4FC3">
        <w:t xml:space="preserve"> </w:t>
      </w:r>
      <w:r w:rsidRPr="00382917">
        <w:t>Mullá</w:t>
      </w:r>
      <w:r w:rsidR="00EE4FC3">
        <w:t xml:space="preserve"> </w:t>
      </w:r>
      <w:r w:rsidR="00964C11" w:rsidRPr="00382917">
        <w:t>Ḥusayn</w:t>
      </w:r>
      <w:r w:rsidR="00EE4FC3">
        <w:t xml:space="preserve"> </w:t>
      </w:r>
      <w:r w:rsidRPr="00382917">
        <w:t>of</w:t>
      </w:r>
      <w:r w:rsidR="00EE4FC3">
        <w:t xml:space="preserve"> </w:t>
      </w:r>
      <w:r w:rsidRPr="00382917">
        <w:t>his</w:t>
      </w:r>
      <w:r w:rsidR="00EE4FC3">
        <w:t xml:space="preserve"> </w:t>
      </w:r>
      <w:r w:rsidRPr="00382917">
        <w:t>own</w:t>
      </w:r>
      <w:r w:rsidR="00EE4FC3">
        <w:t xml:space="preserve"> </w:t>
      </w:r>
      <w:r w:rsidRPr="00382917">
        <w:t>earlier</w:t>
      </w:r>
      <w:r w:rsidR="00EE4FC3">
        <w:t xml:space="preserve"> </w:t>
      </w:r>
      <w:r w:rsidRPr="00382917">
        <w:t>failure</w:t>
      </w:r>
      <w:r w:rsidR="00EE4FC3">
        <w:t xml:space="preserve"> </w:t>
      </w:r>
      <w:r w:rsidRPr="00382917">
        <w:t>to</w:t>
      </w:r>
      <w:r w:rsidR="00EE4FC3">
        <w:t xml:space="preserve"> </w:t>
      </w:r>
      <w:r w:rsidRPr="00382917">
        <w:t>recognize</w:t>
      </w:r>
      <w:r w:rsidR="00EE4FC3">
        <w:t xml:space="preserve"> </w:t>
      </w:r>
      <w:r w:rsidRPr="00382917">
        <w:t>the</w:t>
      </w:r>
      <w:r w:rsidR="00EE4FC3">
        <w:t xml:space="preserve"> </w:t>
      </w:r>
      <w:r w:rsidRPr="00382917">
        <w:t>Báb</w:t>
      </w:r>
      <w:r w:rsidR="00EE4FC3">
        <w:t xml:space="preserve"> </w:t>
      </w:r>
      <w:r w:rsidRPr="00382917">
        <w:t>and</w:t>
      </w:r>
      <w:r w:rsidR="00EE4FC3">
        <w:t xml:space="preserve"> </w:t>
      </w:r>
      <w:r w:rsidRPr="00382917">
        <w:t>meet</w:t>
      </w:r>
      <w:r w:rsidR="00EE4FC3">
        <w:t xml:space="preserve"> </w:t>
      </w:r>
      <w:r w:rsidRPr="00382917">
        <w:t>Him</w:t>
      </w:r>
      <w:r w:rsidR="00EE4FC3">
        <w:t xml:space="preserve"> </w:t>
      </w:r>
      <w:r w:rsidRPr="00382917">
        <w:t>in</w:t>
      </w:r>
      <w:r w:rsidR="00EE4FC3">
        <w:t xml:space="preserve"> </w:t>
      </w:r>
      <w:r w:rsidR="008A073E" w:rsidRPr="00382917">
        <w:rPr>
          <w:u w:val="single"/>
        </w:rPr>
        <w:t>Sh</w:t>
      </w:r>
      <w:r w:rsidR="008A073E" w:rsidRPr="00382917">
        <w:t>íráz</w:t>
      </w:r>
      <w:r w:rsidR="00C03C91">
        <w:t>.</w:t>
      </w:r>
      <w:r w:rsidR="00EE4FC3">
        <w:t xml:space="preserve">  </w:t>
      </w:r>
      <w:r w:rsidRPr="00382917">
        <w:t>This</w:t>
      </w:r>
      <w:r w:rsidR="00EE4FC3">
        <w:t xml:space="preserve"> </w:t>
      </w:r>
      <w:r w:rsidRPr="00382917">
        <w:t>was</w:t>
      </w:r>
      <w:r w:rsidR="00EE4FC3">
        <w:t xml:space="preserve"> </w:t>
      </w:r>
      <w:r w:rsidRPr="00382917">
        <w:t>a</w:t>
      </w:r>
      <w:r w:rsidR="00EE4FC3">
        <w:t xml:space="preserve"> </w:t>
      </w:r>
      <w:r w:rsidRPr="00382917">
        <w:t>source</w:t>
      </w:r>
      <w:r w:rsidR="00EE4FC3">
        <w:t xml:space="preserve"> </w:t>
      </w:r>
      <w:r w:rsidRPr="00382917">
        <w:t>of</w:t>
      </w:r>
      <w:r w:rsidR="00EE4FC3">
        <w:t xml:space="preserve"> </w:t>
      </w:r>
      <w:r w:rsidRPr="00382917">
        <w:t>great</w:t>
      </w:r>
      <w:r w:rsidR="00EE4FC3">
        <w:t xml:space="preserve"> </w:t>
      </w:r>
      <w:r w:rsidRPr="00382917">
        <w:t>sorrow</w:t>
      </w:r>
      <w:r w:rsidR="00EE4FC3">
        <w:t xml:space="preserve"> </w:t>
      </w:r>
      <w:r w:rsidRPr="00382917">
        <w:t>to</w:t>
      </w:r>
      <w:r w:rsidR="00EE4FC3">
        <w:t xml:space="preserve"> </w:t>
      </w:r>
      <w:r w:rsidR="009C713D" w:rsidRPr="00382917">
        <w:t>‘</w:t>
      </w:r>
      <w:r w:rsidRPr="00382917">
        <w:t>Alí-</w:t>
      </w:r>
      <w:r w:rsidR="00C72263">
        <w:t>‘</w:t>
      </w:r>
      <w:r w:rsidRPr="00382917">
        <w:t>Askar.</w:t>
      </w:r>
    </w:p>
    <w:p w:rsidR="00540E31" w:rsidRPr="00382917" w:rsidRDefault="009C713D" w:rsidP="00665A7A">
      <w:pPr>
        <w:pStyle w:val="Text"/>
      </w:pPr>
      <w:r w:rsidRPr="00382917">
        <w:t>“</w:t>
      </w:r>
      <w:r w:rsidR="00540E31" w:rsidRPr="00382917">
        <w:t>Grieve</w:t>
      </w:r>
      <w:r w:rsidR="00EE4FC3">
        <w:t xml:space="preserve"> </w:t>
      </w:r>
      <w:r w:rsidR="00540E31" w:rsidRPr="00382917">
        <w:t>not,</w:t>
      </w:r>
      <w:r w:rsidRPr="00382917">
        <w:t>”</w:t>
      </w:r>
      <w:r w:rsidR="00EE4FC3">
        <w:t xml:space="preserve"> </w:t>
      </w:r>
      <w:r w:rsidR="00540E31" w:rsidRPr="00382917">
        <w:t>Mullá</w:t>
      </w:r>
      <w:r w:rsidR="00EE4FC3">
        <w:t xml:space="preserve"> </w:t>
      </w:r>
      <w:r w:rsidR="00964C11" w:rsidRPr="00382917">
        <w:t>Ḥusayn</w:t>
      </w:r>
      <w:r w:rsidR="00EE4FC3">
        <w:t xml:space="preserve"> </w:t>
      </w:r>
      <w:r w:rsidR="00540E31" w:rsidRPr="00382917">
        <w:t>told</w:t>
      </w:r>
      <w:r w:rsidR="00EE4FC3">
        <w:t xml:space="preserve"> </w:t>
      </w:r>
      <w:r w:rsidR="00540E31" w:rsidRPr="00382917">
        <w:t>him</w:t>
      </w:r>
      <w:r w:rsidR="00C03C91">
        <w:t>.</w:t>
      </w:r>
      <w:r w:rsidR="00EE4FC3">
        <w:t xml:space="preserve">  </w:t>
      </w:r>
      <w:r w:rsidRPr="00382917">
        <w:t>“</w:t>
      </w:r>
      <w:r w:rsidR="00540E31" w:rsidRPr="00382917">
        <w:t>The</w:t>
      </w:r>
      <w:r w:rsidR="00EE4FC3">
        <w:t xml:space="preserve"> </w:t>
      </w:r>
      <w:r w:rsidR="00540E31" w:rsidRPr="00382917">
        <w:t>Almighty</w:t>
      </w:r>
      <w:r w:rsidR="00EE4FC3">
        <w:t xml:space="preserve"> </w:t>
      </w:r>
      <w:r w:rsidR="00540E31" w:rsidRPr="00382917">
        <w:t>will</w:t>
      </w:r>
      <w:r w:rsidR="00EE4FC3">
        <w:t xml:space="preserve"> </w:t>
      </w:r>
      <w:r w:rsidR="00540E31" w:rsidRPr="00382917">
        <w:t>no</w:t>
      </w:r>
      <w:r w:rsidR="00EE4FC3">
        <w:t xml:space="preserve"> </w:t>
      </w:r>
      <w:r w:rsidR="00540E31" w:rsidRPr="00382917">
        <w:t>doubt</w:t>
      </w:r>
      <w:r w:rsidR="00EE4FC3">
        <w:t xml:space="preserve"> </w:t>
      </w:r>
      <w:r w:rsidR="00540E31" w:rsidRPr="00382917">
        <w:t>compensate</w:t>
      </w:r>
      <w:r w:rsidR="00EE4FC3">
        <w:t xml:space="preserve"> </w:t>
      </w:r>
      <w:r w:rsidR="00540E31" w:rsidRPr="00382917">
        <w:t>you</w:t>
      </w:r>
      <w:r w:rsidR="00EE4FC3">
        <w:t xml:space="preserve"> </w:t>
      </w:r>
      <w:r w:rsidR="00540E31" w:rsidRPr="00382917">
        <w:t>in</w:t>
      </w:r>
      <w:r w:rsidR="00EE4FC3">
        <w:t xml:space="preserve"> </w:t>
      </w:r>
      <w:r w:rsidR="00540E31" w:rsidRPr="00382917">
        <w:t>Tabríz</w:t>
      </w:r>
      <w:r w:rsidR="00EE4FC3">
        <w:t xml:space="preserve"> </w:t>
      </w:r>
      <w:r w:rsidR="00540E31" w:rsidRPr="00382917">
        <w:t>for</w:t>
      </w:r>
      <w:r w:rsidR="00EE4FC3">
        <w:t xml:space="preserve"> </w:t>
      </w:r>
      <w:r w:rsidR="00540E31" w:rsidRPr="00382917">
        <w:t>the</w:t>
      </w:r>
      <w:r w:rsidR="00EE4FC3">
        <w:t xml:space="preserve"> </w:t>
      </w:r>
      <w:r w:rsidR="00540E31" w:rsidRPr="00382917">
        <w:t>loss</w:t>
      </w:r>
      <w:r w:rsidR="00EE4FC3">
        <w:t xml:space="preserve"> </w:t>
      </w:r>
      <w:r w:rsidR="00540E31" w:rsidRPr="00382917">
        <w:t>you</w:t>
      </w:r>
      <w:r w:rsidR="00EE4FC3">
        <w:t xml:space="preserve"> </w:t>
      </w:r>
      <w:r w:rsidR="00540E31" w:rsidRPr="00382917">
        <w:t>sustained</w:t>
      </w:r>
      <w:r w:rsidR="00EE4FC3">
        <w:t xml:space="preserve"> </w:t>
      </w:r>
      <w:r w:rsidR="00540E31" w:rsidRPr="00382917">
        <w:t>in</w:t>
      </w:r>
      <w:r w:rsidR="00EE4FC3">
        <w:t xml:space="preserve"> </w:t>
      </w:r>
      <w:r w:rsidR="008A073E" w:rsidRPr="00382917">
        <w:rPr>
          <w:u w:val="single"/>
        </w:rPr>
        <w:t>Sh</w:t>
      </w:r>
      <w:r w:rsidR="008A073E" w:rsidRPr="00382917">
        <w:t>íráz</w:t>
      </w:r>
      <w:r w:rsidR="00540E31" w:rsidRPr="00382917">
        <w:t>.</w:t>
      </w:r>
      <w:r w:rsidRPr="00382917">
        <w:t>”</w:t>
      </w:r>
      <w:r w:rsidR="00EE4FC3">
        <w:t xml:space="preserve">  </w:t>
      </w:r>
      <w:r w:rsidR="00540E31" w:rsidRPr="00382917">
        <w:t>Mullá</w:t>
      </w:r>
      <w:r w:rsidR="00EE4FC3">
        <w:t xml:space="preserve"> </w:t>
      </w:r>
      <w:r w:rsidR="00964C11" w:rsidRPr="00382917">
        <w:t>Ḥusayn</w:t>
      </w:r>
      <w:r w:rsidR="00EE4FC3">
        <w:t xml:space="preserve"> </w:t>
      </w:r>
      <w:r w:rsidR="00540E31" w:rsidRPr="00382917">
        <w:t>spoke</w:t>
      </w:r>
      <w:r w:rsidR="00EE4FC3">
        <w:t xml:space="preserve"> </w:t>
      </w:r>
      <w:r w:rsidR="00540E31" w:rsidRPr="00382917">
        <w:t>very</w:t>
      </w:r>
      <w:r w:rsidR="00EE4FC3">
        <w:t xml:space="preserve"> </w:t>
      </w:r>
      <w:r w:rsidR="00540E31" w:rsidRPr="00382917">
        <w:t>confidently</w:t>
      </w:r>
      <w:r w:rsidR="00C03C91">
        <w:t>.</w:t>
      </w:r>
      <w:r w:rsidR="00EE4FC3">
        <w:t xml:space="preserve">  </w:t>
      </w:r>
      <w:r w:rsidRPr="00382917">
        <w:t>“</w:t>
      </w:r>
      <w:r w:rsidR="00540E31" w:rsidRPr="00382917">
        <w:t>Not</w:t>
      </w:r>
      <w:r w:rsidR="00EE4FC3">
        <w:t xml:space="preserve"> </w:t>
      </w:r>
      <w:r w:rsidR="00540E31" w:rsidRPr="00382917">
        <w:t>once,</w:t>
      </w:r>
      <w:r w:rsidRPr="00382917">
        <w:t>”</w:t>
      </w:r>
      <w:r w:rsidR="00EE4FC3">
        <w:t xml:space="preserve"> </w:t>
      </w:r>
      <w:r w:rsidR="00540E31" w:rsidRPr="00382917">
        <w:t>he</w:t>
      </w:r>
      <w:r w:rsidR="00EE4FC3">
        <w:t xml:space="preserve"> </w:t>
      </w:r>
      <w:r w:rsidR="00540E31" w:rsidRPr="00382917">
        <w:t>said,</w:t>
      </w:r>
      <w:r w:rsidR="00EE4FC3">
        <w:t xml:space="preserve"> </w:t>
      </w:r>
      <w:r w:rsidRPr="00382917">
        <w:t>“</w:t>
      </w:r>
      <w:r w:rsidR="00540E31" w:rsidRPr="00382917">
        <w:t>but</w:t>
      </w:r>
      <w:r w:rsidR="00EE4FC3">
        <w:t xml:space="preserve"> </w:t>
      </w:r>
      <w:r w:rsidR="00540E31" w:rsidRPr="00382917">
        <w:t>seven</w:t>
      </w:r>
      <w:r w:rsidR="00EE4FC3">
        <w:t xml:space="preserve"> </w:t>
      </w:r>
      <w:r w:rsidR="00540E31" w:rsidRPr="00382917">
        <w:t>times</w:t>
      </w:r>
      <w:r w:rsidR="00EE4FC3">
        <w:t xml:space="preserve"> </w:t>
      </w:r>
      <w:r w:rsidR="00540E31" w:rsidRPr="00382917">
        <w:t>can</w:t>
      </w:r>
      <w:r w:rsidR="00EE4FC3">
        <w:t xml:space="preserve"> </w:t>
      </w:r>
      <w:r w:rsidR="00540E31" w:rsidRPr="00382917">
        <w:t>He</w:t>
      </w:r>
      <w:r w:rsidR="00EE4FC3">
        <w:t xml:space="preserve"> </w:t>
      </w:r>
      <w:r w:rsidR="00540E31" w:rsidRPr="00382917">
        <w:t>enable</w:t>
      </w:r>
      <w:r w:rsidR="00EE4FC3">
        <w:t xml:space="preserve"> </w:t>
      </w:r>
      <w:r w:rsidR="00540E31" w:rsidRPr="00382917">
        <w:t>you</w:t>
      </w:r>
      <w:r w:rsidR="00EE4FC3">
        <w:t xml:space="preserve"> </w:t>
      </w:r>
      <w:r w:rsidR="00540E31" w:rsidRPr="00382917">
        <w:t>to</w:t>
      </w:r>
      <w:r w:rsidR="00EE4FC3">
        <w:t xml:space="preserve"> </w:t>
      </w:r>
      <w:r w:rsidR="00540E31" w:rsidRPr="00382917">
        <w:t>partake</w:t>
      </w:r>
      <w:r w:rsidR="00EE4FC3">
        <w:t xml:space="preserve"> </w:t>
      </w:r>
      <w:r w:rsidR="00540E31" w:rsidRPr="00382917">
        <w:t>of</w:t>
      </w:r>
      <w:r w:rsidR="00EE4FC3">
        <w:t xml:space="preserve"> </w:t>
      </w:r>
      <w:r w:rsidR="00540E31" w:rsidRPr="00382917">
        <w:t>the</w:t>
      </w:r>
      <w:r w:rsidR="00EE4FC3">
        <w:t xml:space="preserve"> </w:t>
      </w:r>
      <w:r w:rsidR="00540E31" w:rsidRPr="00382917">
        <w:t>joy</w:t>
      </w:r>
      <w:r w:rsidR="00EE4FC3">
        <w:t xml:space="preserve"> </w:t>
      </w:r>
      <w:r w:rsidR="00540E31" w:rsidRPr="00382917">
        <w:t>of</w:t>
      </w:r>
      <w:r w:rsidR="00EE4FC3">
        <w:t xml:space="preserve"> </w:t>
      </w:r>
      <w:r w:rsidR="00540E31" w:rsidRPr="00382917">
        <w:t>His</w:t>
      </w:r>
      <w:r w:rsidR="00EE4FC3">
        <w:t xml:space="preserve"> </w:t>
      </w:r>
      <w:r w:rsidR="00540E31" w:rsidRPr="00382917">
        <w:t>presence,</w:t>
      </w:r>
      <w:r w:rsidR="00EE4FC3">
        <w:t xml:space="preserve"> </w:t>
      </w:r>
      <w:r w:rsidR="00540E31" w:rsidRPr="00382917">
        <w:t>in</w:t>
      </w:r>
      <w:r w:rsidR="00EE4FC3">
        <w:t xml:space="preserve"> </w:t>
      </w:r>
      <w:r w:rsidR="00540E31" w:rsidRPr="00382917">
        <w:t>return</w:t>
      </w:r>
      <w:r w:rsidR="00EE4FC3">
        <w:t xml:space="preserve"> </w:t>
      </w:r>
      <w:r w:rsidR="00540E31" w:rsidRPr="00382917">
        <w:t>for</w:t>
      </w:r>
      <w:r w:rsidR="00EE4FC3">
        <w:t xml:space="preserve"> </w:t>
      </w:r>
      <w:r w:rsidR="00540E31" w:rsidRPr="00382917">
        <w:t>one</w:t>
      </w:r>
      <w:r w:rsidR="00EE4FC3">
        <w:t xml:space="preserve"> </w:t>
      </w:r>
      <w:r w:rsidR="00540E31" w:rsidRPr="00382917">
        <w:t>visit</w:t>
      </w:r>
      <w:r w:rsidR="00EE4FC3">
        <w:t xml:space="preserve"> </w:t>
      </w:r>
      <w:r w:rsidR="00540E31" w:rsidRPr="00382917">
        <w:t>which</w:t>
      </w:r>
      <w:r w:rsidR="00EE4FC3">
        <w:t xml:space="preserve"> </w:t>
      </w:r>
      <w:r w:rsidR="00540E31" w:rsidRPr="00382917">
        <w:t>you</w:t>
      </w:r>
      <w:r w:rsidR="00EE4FC3">
        <w:t xml:space="preserve"> </w:t>
      </w:r>
      <w:r w:rsidR="00540E31" w:rsidRPr="00382917">
        <w:t>have</w:t>
      </w:r>
      <w:r w:rsidR="00EE4FC3">
        <w:t xml:space="preserve"> </w:t>
      </w:r>
      <w:r w:rsidR="00540E31" w:rsidRPr="00382917">
        <w:t>missed.</w:t>
      </w:r>
      <w:r w:rsidRPr="00382917">
        <w:t>”</w:t>
      </w:r>
    </w:p>
    <w:p w:rsidR="00540E31" w:rsidRPr="00382917" w:rsidRDefault="00540E31" w:rsidP="00665A7A">
      <w:pPr>
        <w:pStyle w:val="Text"/>
      </w:pPr>
      <w:r w:rsidRPr="00382917">
        <w:t>Now</w:t>
      </w:r>
      <w:r w:rsidR="00EE4FC3">
        <w:t xml:space="preserve"> </w:t>
      </w:r>
      <w:r w:rsidRPr="00382917">
        <w:t>that</w:t>
      </w:r>
      <w:r w:rsidR="00EE4FC3">
        <w:t xml:space="preserve"> </w:t>
      </w:r>
      <w:r w:rsidRPr="00382917">
        <w:t>the</w:t>
      </w:r>
      <w:r w:rsidR="00EE4FC3">
        <w:t xml:space="preserve"> </w:t>
      </w:r>
      <w:r w:rsidRPr="00382917">
        <w:t>Báb</w:t>
      </w:r>
      <w:r w:rsidR="00EE4FC3">
        <w:t xml:space="preserve"> </w:t>
      </w:r>
      <w:r w:rsidRPr="00382917">
        <w:t>was</w:t>
      </w:r>
      <w:r w:rsidR="00EE4FC3">
        <w:t xml:space="preserve"> </w:t>
      </w:r>
      <w:r w:rsidRPr="00382917">
        <w:t>in</w:t>
      </w:r>
      <w:r w:rsidR="00EE4FC3">
        <w:t xml:space="preserve"> </w:t>
      </w:r>
      <w:r w:rsidRPr="00382917">
        <w:t>Tabríz,</w:t>
      </w:r>
      <w:r w:rsidR="00EE4FC3">
        <w:t xml:space="preserve"> </w:t>
      </w:r>
      <w:r w:rsidR="009C713D" w:rsidRPr="00382917">
        <w:t>‘</w:t>
      </w:r>
      <w:r w:rsidRPr="00382917">
        <w:t>Alí</w:t>
      </w:r>
      <w:r w:rsidR="009C713D" w:rsidRPr="00382917">
        <w:t>-‘</w:t>
      </w:r>
      <w:r w:rsidRPr="00382917">
        <w:t>Askar</w:t>
      </w:r>
      <w:r w:rsidR="00EE4FC3">
        <w:t xml:space="preserve"> </w:t>
      </w:r>
      <w:r w:rsidRPr="00382917">
        <w:t>would</w:t>
      </w:r>
      <w:r w:rsidR="00EE4FC3">
        <w:t xml:space="preserve"> </w:t>
      </w:r>
      <w:r w:rsidRPr="00382917">
        <w:t>allow</w:t>
      </w:r>
      <w:r w:rsidR="00EE4FC3">
        <w:t xml:space="preserve"> </w:t>
      </w:r>
      <w:r w:rsidRPr="00382917">
        <w:t>nothing</w:t>
      </w:r>
      <w:r w:rsidR="00EE4FC3">
        <w:t xml:space="preserve"> </w:t>
      </w:r>
      <w:r w:rsidRPr="00382917">
        <w:t>to</w:t>
      </w:r>
      <w:r w:rsidR="00EE4FC3">
        <w:t xml:space="preserve"> </w:t>
      </w:r>
      <w:r w:rsidRPr="00382917">
        <w:t>keep</w:t>
      </w:r>
      <w:r w:rsidR="00EE4FC3">
        <w:t xml:space="preserve"> </w:t>
      </w:r>
      <w:r w:rsidRPr="00382917">
        <w:t>them</w:t>
      </w:r>
      <w:r w:rsidR="00EE4FC3">
        <w:t xml:space="preserve"> </w:t>
      </w:r>
      <w:r w:rsidRPr="00382917">
        <w:t>apart</w:t>
      </w:r>
      <w:r w:rsidR="00C03C91">
        <w:t>.</w:t>
      </w:r>
      <w:r w:rsidR="00EE4FC3">
        <w:t xml:space="preserve">  </w:t>
      </w:r>
      <w:r w:rsidRPr="00382917">
        <w:t>As</w:t>
      </w:r>
      <w:r w:rsidR="00EE4FC3">
        <w:t xml:space="preserve"> </w:t>
      </w:r>
      <w:r w:rsidRPr="00382917">
        <w:t>he</w:t>
      </w:r>
      <w:r w:rsidR="00EE4FC3">
        <w:t xml:space="preserve"> </w:t>
      </w:r>
      <w:r w:rsidRPr="00382917">
        <w:t>approached</w:t>
      </w:r>
      <w:r w:rsidR="00EE4FC3">
        <w:t xml:space="preserve"> </w:t>
      </w:r>
      <w:r w:rsidRPr="00382917">
        <w:t>the</w:t>
      </w:r>
      <w:r w:rsidR="00EE4FC3">
        <w:t xml:space="preserve"> </w:t>
      </w:r>
      <w:r w:rsidRPr="00382917">
        <w:t>door</w:t>
      </w:r>
      <w:r w:rsidR="00EE4FC3">
        <w:t xml:space="preserve"> </w:t>
      </w:r>
      <w:r w:rsidRPr="00382917">
        <w:t>of</w:t>
      </w:r>
      <w:r w:rsidR="00EE4FC3">
        <w:t xml:space="preserve"> </w:t>
      </w:r>
      <w:r w:rsidRPr="00382917">
        <w:t>the</w:t>
      </w:r>
      <w:r w:rsidR="00EE4FC3">
        <w:t xml:space="preserve"> </w:t>
      </w:r>
      <w:r w:rsidRPr="00382917">
        <w:t>house</w:t>
      </w:r>
      <w:r w:rsidR="00EE4FC3">
        <w:t xml:space="preserve"> </w:t>
      </w:r>
      <w:r w:rsidRPr="00382917">
        <w:t>in</w:t>
      </w:r>
      <w:r w:rsidR="00EE4FC3">
        <w:t xml:space="preserve"> </w:t>
      </w:r>
      <w:r w:rsidRPr="00382917">
        <w:t>which</w:t>
      </w:r>
      <w:r w:rsidR="00EE4FC3">
        <w:t xml:space="preserve"> </w:t>
      </w:r>
      <w:r w:rsidRPr="00382917">
        <w:t>the</w:t>
      </w:r>
      <w:r w:rsidR="00EE4FC3">
        <w:t xml:space="preserve"> </w:t>
      </w:r>
      <w:r w:rsidRPr="00382917">
        <w:t>Báb</w:t>
      </w:r>
      <w:r w:rsidR="00EE4FC3">
        <w:t xml:space="preserve"> </w:t>
      </w:r>
      <w:r w:rsidRPr="00382917">
        <w:t>was</w:t>
      </w:r>
      <w:r w:rsidR="00EE4FC3">
        <w:t xml:space="preserve"> </w:t>
      </w:r>
      <w:r w:rsidRPr="00382917">
        <w:t>confined,</w:t>
      </w:r>
      <w:r w:rsidR="00EE4FC3">
        <w:t xml:space="preserve"> </w:t>
      </w:r>
      <w:r w:rsidRPr="00382917">
        <w:t>he</w:t>
      </w:r>
      <w:r w:rsidR="00EE4FC3">
        <w:t xml:space="preserve"> </w:t>
      </w:r>
      <w:r w:rsidRPr="00382917">
        <w:t>was</w:t>
      </w:r>
      <w:r w:rsidR="00EE4FC3">
        <w:t xml:space="preserve"> </w:t>
      </w:r>
      <w:r w:rsidRPr="00382917">
        <w:t>immediately</w:t>
      </w:r>
      <w:r w:rsidR="00EE4FC3">
        <w:t xml:space="preserve"> </w:t>
      </w:r>
      <w:r w:rsidRPr="00382917">
        <w:t>arrested</w:t>
      </w:r>
      <w:r w:rsidR="00EE4FC3">
        <w:t xml:space="preserve"> </w:t>
      </w:r>
      <w:r w:rsidRPr="00382917">
        <w:t>along</w:t>
      </w:r>
      <w:r w:rsidR="00EE4FC3">
        <w:t xml:space="preserve"> </w:t>
      </w:r>
      <w:r w:rsidRPr="00382917">
        <w:t>with</w:t>
      </w:r>
      <w:r w:rsidR="00EE4FC3">
        <w:t xml:space="preserve"> </w:t>
      </w:r>
      <w:r w:rsidRPr="00382917">
        <w:t>the</w:t>
      </w:r>
      <w:r w:rsidR="00EE4FC3">
        <w:t xml:space="preserve"> </w:t>
      </w:r>
      <w:r w:rsidRPr="00382917">
        <w:t>friend</w:t>
      </w:r>
      <w:r w:rsidR="00EE4FC3">
        <w:t xml:space="preserve"> </w:t>
      </w:r>
      <w:r w:rsidRPr="00382917">
        <w:t>who</w:t>
      </w:r>
      <w:r w:rsidR="00EE4FC3">
        <w:t xml:space="preserve"> </w:t>
      </w:r>
      <w:r w:rsidRPr="00382917">
        <w:t>accompanied</w:t>
      </w:r>
      <w:r w:rsidR="00EE4FC3">
        <w:t xml:space="preserve"> </w:t>
      </w:r>
      <w:r w:rsidRPr="00382917">
        <w:t>him.</w:t>
      </w:r>
    </w:p>
    <w:p w:rsidR="00540E31" w:rsidRPr="00382917" w:rsidRDefault="00540E31" w:rsidP="00665A7A">
      <w:pPr>
        <w:pStyle w:val="Text"/>
      </w:pPr>
      <w:r w:rsidRPr="00382917">
        <w:t>A</w:t>
      </w:r>
      <w:r w:rsidR="00EE4FC3">
        <w:t xml:space="preserve"> </w:t>
      </w:r>
      <w:r w:rsidRPr="00382917">
        <w:t>command</w:t>
      </w:r>
      <w:r w:rsidR="00EE4FC3">
        <w:t xml:space="preserve"> </w:t>
      </w:r>
      <w:r w:rsidRPr="00382917">
        <w:t>was</w:t>
      </w:r>
      <w:r w:rsidR="00EE4FC3">
        <w:t xml:space="preserve"> </w:t>
      </w:r>
      <w:r w:rsidRPr="00382917">
        <w:t>sent</w:t>
      </w:r>
      <w:r w:rsidR="00EE4FC3">
        <w:t xml:space="preserve"> </w:t>
      </w:r>
      <w:r w:rsidRPr="00382917">
        <w:t>from</w:t>
      </w:r>
      <w:r w:rsidR="00EE4FC3">
        <w:t xml:space="preserve"> </w:t>
      </w:r>
      <w:r w:rsidRPr="00382917">
        <w:t>the</w:t>
      </w:r>
      <w:r w:rsidR="00EE4FC3">
        <w:t xml:space="preserve"> </w:t>
      </w:r>
      <w:r w:rsidRPr="00382917">
        <w:t>Báb</w:t>
      </w:r>
      <w:r w:rsidR="00EE4FC3">
        <w:t xml:space="preserve"> </w:t>
      </w:r>
      <w:r w:rsidRPr="00382917">
        <w:t>to</w:t>
      </w:r>
      <w:r w:rsidR="00EE4FC3">
        <w:t xml:space="preserve"> </w:t>
      </w:r>
      <w:r w:rsidRPr="00382917">
        <w:t>the</w:t>
      </w:r>
      <w:r w:rsidR="00EE4FC3">
        <w:t xml:space="preserve"> </w:t>
      </w:r>
      <w:r w:rsidRPr="00382917">
        <w:t>guards</w:t>
      </w:r>
      <w:r w:rsidR="00C03C91">
        <w:t>:</w:t>
      </w:r>
      <w:r w:rsidR="00EE4FC3">
        <w:t xml:space="preserve">  </w:t>
      </w:r>
      <w:r w:rsidR="009C713D" w:rsidRPr="00382917">
        <w:t>“</w:t>
      </w:r>
      <w:r w:rsidRPr="00382917">
        <w:t>Suffer</w:t>
      </w:r>
      <w:r w:rsidR="00EE4FC3">
        <w:t xml:space="preserve"> </w:t>
      </w:r>
      <w:r w:rsidRPr="00382917">
        <w:t>these</w:t>
      </w:r>
      <w:r w:rsidR="00EE4FC3">
        <w:t xml:space="preserve"> </w:t>
      </w:r>
      <w:r w:rsidRPr="00382917">
        <w:t>visitors</w:t>
      </w:r>
      <w:r w:rsidR="00EE4FC3">
        <w:t xml:space="preserve"> </w:t>
      </w:r>
      <w:r w:rsidRPr="00382917">
        <w:t>to</w:t>
      </w:r>
      <w:r w:rsidR="00EE4FC3">
        <w:t xml:space="preserve"> </w:t>
      </w:r>
      <w:r w:rsidRPr="00382917">
        <w:t>enter,</w:t>
      </w:r>
      <w:r w:rsidR="00EE4FC3">
        <w:t xml:space="preserve"> </w:t>
      </w:r>
      <w:r w:rsidRPr="00382917">
        <w:t>inasmuch</w:t>
      </w:r>
      <w:r w:rsidR="00EE4FC3">
        <w:t xml:space="preserve"> </w:t>
      </w:r>
      <w:r w:rsidRPr="00382917">
        <w:t>as</w:t>
      </w:r>
      <w:r w:rsidR="00EE4FC3">
        <w:t xml:space="preserve"> </w:t>
      </w:r>
      <w:r w:rsidRPr="00382917">
        <w:t>I</w:t>
      </w:r>
      <w:r w:rsidR="00EE4FC3">
        <w:t xml:space="preserve"> </w:t>
      </w:r>
      <w:proofErr w:type="gramStart"/>
      <w:r w:rsidRPr="00382917">
        <w:t>Myself</w:t>
      </w:r>
      <w:proofErr w:type="gramEnd"/>
      <w:r w:rsidR="00EE4FC3">
        <w:t xml:space="preserve"> </w:t>
      </w:r>
      <w:r w:rsidRPr="00382917">
        <w:t>have</w:t>
      </w:r>
      <w:r w:rsidR="00EE4FC3">
        <w:t xml:space="preserve"> </w:t>
      </w:r>
      <w:r w:rsidRPr="00382917">
        <w:t>invited</w:t>
      </w:r>
      <w:r w:rsidR="00EE4FC3">
        <w:t xml:space="preserve"> </w:t>
      </w:r>
      <w:r w:rsidRPr="00382917">
        <w:t>them</w:t>
      </w:r>
      <w:r w:rsidR="00EE4FC3">
        <w:t xml:space="preserve"> </w:t>
      </w:r>
      <w:r w:rsidRPr="00382917">
        <w:t>to</w:t>
      </w:r>
      <w:r w:rsidR="00EE4FC3">
        <w:t xml:space="preserve"> </w:t>
      </w:r>
      <w:r w:rsidRPr="00382917">
        <w:t>meet</w:t>
      </w:r>
      <w:r w:rsidR="00EE4FC3">
        <w:t xml:space="preserve"> </w:t>
      </w:r>
      <w:r w:rsidRPr="00382917">
        <w:t>Me.</w:t>
      </w:r>
      <w:r w:rsidR="009C713D" w:rsidRPr="00382917">
        <w:t>”</w:t>
      </w:r>
    </w:p>
    <w:p w:rsidR="00540E31" w:rsidRPr="00382917" w:rsidRDefault="00540E31" w:rsidP="00665A7A">
      <w:pPr>
        <w:pStyle w:val="Text"/>
      </w:pPr>
      <w:r w:rsidRPr="00382917">
        <w:t>This</w:t>
      </w:r>
      <w:r w:rsidR="00EE4FC3">
        <w:t xml:space="preserve"> </w:t>
      </w:r>
      <w:r w:rsidRPr="00382917">
        <w:t>message</w:t>
      </w:r>
      <w:r w:rsidR="00EE4FC3">
        <w:t xml:space="preserve"> </w:t>
      </w:r>
      <w:r w:rsidRPr="00382917">
        <w:t>silenced</w:t>
      </w:r>
      <w:r w:rsidR="00EE4FC3">
        <w:t xml:space="preserve"> </w:t>
      </w:r>
      <w:r w:rsidRPr="00382917">
        <w:t>the</w:t>
      </w:r>
      <w:r w:rsidR="00EE4FC3">
        <w:t xml:space="preserve"> </w:t>
      </w:r>
      <w:r w:rsidRPr="00382917">
        <w:t>guards</w:t>
      </w:r>
      <w:r w:rsidR="00EE4FC3">
        <w:t xml:space="preserve"> </w:t>
      </w:r>
      <w:r w:rsidRPr="00382917">
        <w:t>at</w:t>
      </w:r>
      <w:r w:rsidR="00EE4FC3">
        <w:t xml:space="preserve"> </w:t>
      </w:r>
      <w:r w:rsidRPr="00382917">
        <w:t>once</w:t>
      </w:r>
      <w:r w:rsidR="00C03C91">
        <w:t>.</w:t>
      </w:r>
      <w:r w:rsidR="00EE4FC3">
        <w:t xml:space="preserve">  </w:t>
      </w:r>
      <w:proofErr w:type="gramStart"/>
      <w:r w:rsidR="009C713D" w:rsidRPr="00382917">
        <w:t>‘</w:t>
      </w:r>
      <w:r w:rsidRPr="00382917">
        <w:t>Alí</w:t>
      </w:r>
      <w:r w:rsidR="009C713D" w:rsidRPr="00382917">
        <w:t>-‘</w:t>
      </w:r>
      <w:r w:rsidRPr="00382917">
        <w:t>Askar</w:t>
      </w:r>
      <w:r w:rsidR="00EE4FC3">
        <w:t xml:space="preserve"> </w:t>
      </w:r>
      <w:r w:rsidRPr="00382917">
        <w:t>and</w:t>
      </w:r>
      <w:r w:rsidR="00EE4FC3">
        <w:t xml:space="preserve"> </w:t>
      </w:r>
      <w:r w:rsidRPr="00382917">
        <w:t>his</w:t>
      </w:r>
      <w:r w:rsidR="00EE4FC3">
        <w:t xml:space="preserve"> </w:t>
      </w:r>
      <w:r w:rsidRPr="00382917">
        <w:t>friend</w:t>
      </w:r>
      <w:r w:rsidR="00EE4FC3">
        <w:t xml:space="preserve"> </w:t>
      </w:r>
      <w:r w:rsidRPr="00382917">
        <w:t>were</w:t>
      </w:r>
      <w:r w:rsidR="00EE4FC3">
        <w:t xml:space="preserve"> </w:t>
      </w:r>
      <w:r w:rsidRPr="00382917">
        <w:t>ushered</w:t>
      </w:r>
      <w:r w:rsidR="00EE4FC3">
        <w:t xml:space="preserve"> </w:t>
      </w:r>
      <w:r w:rsidRPr="00382917">
        <w:t>into</w:t>
      </w:r>
      <w:r w:rsidR="00EE4FC3">
        <w:t xml:space="preserve"> </w:t>
      </w:r>
      <w:r w:rsidRPr="00382917">
        <w:t>the</w:t>
      </w:r>
      <w:r w:rsidR="00EE4FC3">
        <w:t xml:space="preserve"> </w:t>
      </w:r>
      <w:r w:rsidRPr="00382917">
        <w:t>Báb</w:t>
      </w:r>
      <w:r w:rsidR="009C713D" w:rsidRPr="00382917">
        <w:t>’</w:t>
      </w:r>
      <w:r w:rsidRPr="00382917">
        <w:t>s</w:t>
      </w:r>
      <w:r w:rsidR="00EE4FC3">
        <w:t xml:space="preserve"> </w:t>
      </w:r>
      <w:r w:rsidRPr="00382917">
        <w:t>presence</w:t>
      </w:r>
      <w:r w:rsidR="00C03C91">
        <w:t>.</w:t>
      </w:r>
      <w:proofErr w:type="gramEnd"/>
      <w:r w:rsidR="00EE4FC3">
        <w:t xml:space="preserve">  </w:t>
      </w:r>
      <w:r w:rsidRPr="00382917">
        <w:t>He</w:t>
      </w:r>
      <w:r w:rsidR="00EE4FC3">
        <w:t xml:space="preserve"> </w:t>
      </w:r>
      <w:r w:rsidRPr="00382917">
        <w:t>greeted</w:t>
      </w:r>
      <w:r w:rsidR="00EE4FC3">
        <w:t xml:space="preserve"> </w:t>
      </w:r>
      <w:r w:rsidRPr="00382917">
        <w:t>them</w:t>
      </w:r>
      <w:r w:rsidR="00EE4FC3">
        <w:t xml:space="preserve"> </w:t>
      </w:r>
      <w:r w:rsidRPr="00382917">
        <w:t>affectionately</w:t>
      </w:r>
      <w:r w:rsidR="00EE4FC3">
        <w:t xml:space="preserve"> </w:t>
      </w:r>
      <w:r w:rsidRPr="00382917">
        <w:t>and</w:t>
      </w:r>
      <w:r w:rsidR="00EE4FC3">
        <w:t xml:space="preserve"> </w:t>
      </w:r>
      <w:r w:rsidRPr="00382917">
        <w:t>made</w:t>
      </w:r>
      <w:r w:rsidR="00EE4FC3">
        <w:t xml:space="preserve"> </w:t>
      </w:r>
      <w:r w:rsidRPr="00382917">
        <w:t>them</w:t>
      </w:r>
      <w:r w:rsidR="00EE4FC3">
        <w:t xml:space="preserve"> </w:t>
      </w:r>
      <w:r w:rsidRPr="00382917">
        <w:t>welcome</w:t>
      </w:r>
      <w:r w:rsidR="00C03C91">
        <w:t>.</w:t>
      </w:r>
      <w:r w:rsidR="00EE4FC3">
        <w:t xml:space="preserve">  </w:t>
      </w:r>
      <w:r w:rsidRPr="00382917">
        <w:t>He</w:t>
      </w:r>
      <w:r w:rsidR="00EE4FC3">
        <w:t xml:space="preserve"> </w:t>
      </w:r>
      <w:r w:rsidRPr="00382917">
        <w:t>gave</w:t>
      </w:r>
      <w:r w:rsidR="00EE4FC3">
        <w:t xml:space="preserve"> </w:t>
      </w:r>
      <w:r w:rsidRPr="00382917">
        <w:t>them</w:t>
      </w:r>
      <w:r w:rsidR="00EE4FC3">
        <w:t xml:space="preserve"> </w:t>
      </w:r>
      <w:r w:rsidRPr="00382917">
        <w:t>many</w:t>
      </w:r>
      <w:r w:rsidR="00EE4FC3">
        <w:t xml:space="preserve"> </w:t>
      </w:r>
      <w:r w:rsidRPr="00382917">
        <w:t>instructions</w:t>
      </w:r>
      <w:r w:rsidR="00EE4FC3">
        <w:t xml:space="preserve"> </w:t>
      </w:r>
      <w:r w:rsidRPr="00382917">
        <w:t>to</w:t>
      </w:r>
      <w:r w:rsidR="00EE4FC3">
        <w:t xml:space="preserve"> </w:t>
      </w:r>
      <w:r w:rsidRPr="00382917">
        <w:t>carry</w:t>
      </w:r>
      <w:r w:rsidR="00EE4FC3">
        <w:t xml:space="preserve"> </w:t>
      </w:r>
      <w:r w:rsidRPr="00382917">
        <w:t>out</w:t>
      </w:r>
      <w:r w:rsidR="00C03C91">
        <w:t>.</w:t>
      </w:r>
      <w:r w:rsidR="00EE4FC3">
        <w:t xml:space="preserve">  </w:t>
      </w:r>
      <w:r w:rsidRPr="00382917">
        <w:t>He</w:t>
      </w:r>
      <w:r w:rsidR="00EE4FC3">
        <w:t xml:space="preserve"> </w:t>
      </w:r>
      <w:r w:rsidRPr="00382917">
        <w:t>assured</w:t>
      </w:r>
      <w:r w:rsidR="00EE4FC3">
        <w:t xml:space="preserve"> </w:t>
      </w:r>
      <w:r w:rsidRPr="00382917">
        <w:t>them</w:t>
      </w:r>
      <w:r w:rsidR="00EE4FC3">
        <w:t xml:space="preserve"> </w:t>
      </w:r>
      <w:r w:rsidRPr="00382917">
        <w:t>that</w:t>
      </w:r>
      <w:r w:rsidR="00EE4FC3">
        <w:t xml:space="preserve"> </w:t>
      </w:r>
      <w:r w:rsidRPr="00382917">
        <w:t>whenever</w:t>
      </w:r>
      <w:r w:rsidR="00EE4FC3">
        <w:t xml:space="preserve"> </w:t>
      </w:r>
      <w:r w:rsidRPr="00382917">
        <w:t>they</w:t>
      </w:r>
      <w:r w:rsidR="00EE4FC3">
        <w:t xml:space="preserve"> </w:t>
      </w:r>
      <w:r w:rsidRPr="00382917">
        <w:t>wished</w:t>
      </w:r>
      <w:r w:rsidR="00EE4FC3">
        <w:t xml:space="preserve"> </w:t>
      </w:r>
      <w:r w:rsidRPr="00382917">
        <w:t>to</w:t>
      </w:r>
      <w:r w:rsidR="00EE4FC3">
        <w:t xml:space="preserve"> </w:t>
      </w:r>
      <w:r w:rsidRPr="00382917">
        <w:t>visit</w:t>
      </w:r>
      <w:r w:rsidR="00EE4FC3">
        <w:t xml:space="preserve"> </w:t>
      </w:r>
      <w:r w:rsidRPr="00382917">
        <w:t>Him,</w:t>
      </w:r>
      <w:r w:rsidR="00EE4FC3">
        <w:t xml:space="preserve"> </w:t>
      </w:r>
      <w:r w:rsidRPr="00382917">
        <w:t>no</w:t>
      </w:r>
      <w:r w:rsidR="00EE4FC3">
        <w:t xml:space="preserve"> </w:t>
      </w:r>
      <w:r w:rsidRPr="00382917">
        <w:t>one</w:t>
      </w:r>
      <w:r w:rsidR="00EE4FC3">
        <w:t xml:space="preserve"> </w:t>
      </w:r>
      <w:r w:rsidRPr="00382917">
        <w:t>would</w:t>
      </w:r>
      <w:r w:rsidR="00EE4FC3">
        <w:t xml:space="preserve"> </w:t>
      </w:r>
      <w:r w:rsidRPr="00382917">
        <w:t>bar</w:t>
      </w:r>
      <w:r w:rsidR="00EE4FC3">
        <w:t xml:space="preserve"> </w:t>
      </w:r>
      <w:r w:rsidRPr="00382917">
        <w:t>their</w:t>
      </w:r>
      <w:r w:rsidR="00EE4FC3">
        <w:t xml:space="preserve"> </w:t>
      </w:r>
      <w:r w:rsidRPr="00382917">
        <w:t>way.</w:t>
      </w:r>
    </w:p>
    <w:p w:rsidR="00540E31" w:rsidRPr="00382917" w:rsidRDefault="009C713D" w:rsidP="00665A7A">
      <w:pPr>
        <w:pStyle w:val="Text"/>
      </w:pPr>
      <w:r w:rsidRPr="00382917">
        <w:t>‘</w:t>
      </w:r>
      <w:r w:rsidR="00540E31" w:rsidRPr="00382917">
        <w:t>Alí</w:t>
      </w:r>
      <w:r w:rsidRPr="00382917">
        <w:t>-‘</w:t>
      </w:r>
      <w:r w:rsidR="00540E31" w:rsidRPr="00382917">
        <w:t>Askar</w:t>
      </w:r>
      <w:r w:rsidR="00EE4FC3">
        <w:t xml:space="preserve"> </w:t>
      </w:r>
      <w:r w:rsidR="00540E31" w:rsidRPr="00382917">
        <w:t>said,</w:t>
      </w:r>
      <w:r w:rsidR="00EE4FC3">
        <w:t xml:space="preserve"> </w:t>
      </w:r>
      <w:r w:rsidRPr="00382917">
        <w:t>“</w:t>
      </w:r>
      <w:r w:rsidR="00540E31" w:rsidRPr="00382917">
        <w:t>Several</w:t>
      </w:r>
      <w:r w:rsidR="00EE4FC3">
        <w:t xml:space="preserve"> </w:t>
      </w:r>
      <w:r w:rsidR="00540E31" w:rsidRPr="00382917">
        <w:t>times</w:t>
      </w:r>
      <w:r w:rsidR="00EE4FC3">
        <w:t xml:space="preserve"> </w:t>
      </w:r>
      <w:r w:rsidR="00540E31" w:rsidRPr="00382917">
        <w:t>I</w:t>
      </w:r>
      <w:r w:rsidR="00EE4FC3">
        <w:t xml:space="preserve"> </w:t>
      </w:r>
      <w:r w:rsidR="00540E31" w:rsidRPr="00382917">
        <w:t>ventured</w:t>
      </w:r>
      <w:r w:rsidR="00EE4FC3">
        <w:t xml:space="preserve"> </w:t>
      </w:r>
      <w:r w:rsidR="00540E31" w:rsidRPr="00382917">
        <w:t>to</w:t>
      </w:r>
      <w:r w:rsidR="00EE4FC3">
        <w:t xml:space="preserve"> </w:t>
      </w:r>
      <w:r w:rsidR="00540E31" w:rsidRPr="00382917">
        <w:t>visit</w:t>
      </w:r>
      <w:r w:rsidR="00EE4FC3">
        <w:t xml:space="preserve"> </w:t>
      </w:r>
      <w:r w:rsidR="00540E31" w:rsidRPr="00382917">
        <w:t>the</w:t>
      </w:r>
      <w:r w:rsidR="00EE4FC3">
        <w:t xml:space="preserve"> </w:t>
      </w:r>
      <w:r w:rsidR="00540E31" w:rsidRPr="00382917">
        <w:t>Báb,</w:t>
      </w:r>
      <w:r w:rsidR="00EE4FC3">
        <w:t xml:space="preserve"> </w:t>
      </w:r>
      <w:r w:rsidR="00540E31" w:rsidRPr="00382917">
        <w:t>so</w:t>
      </w:r>
      <w:r w:rsidR="00EE4FC3">
        <w:t xml:space="preserve"> </w:t>
      </w:r>
      <w:r w:rsidR="00540E31" w:rsidRPr="00382917">
        <w:t>that</w:t>
      </w:r>
      <w:r w:rsidR="00EE4FC3">
        <w:t xml:space="preserve"> </w:t>
      </w:r>
      <w:r w:rsidR="00540E31" w:rsidRPr="00382917">
        <w:t>I</w:t>
      </w:r>
      <w:r w:rsidR="00EE4FC3">
        <w:t xml:space="preserve"> </w:t>
      </w:r>
      <w:r w:rsidR="00540E31" w:rsidRPr="00382917">
        <w:t>might</w:t>
      </w:r>
      <w:r w:rsidR="00EE4FC3">
        <w:t xml:space="preserve"> </w:t>
      </w:r>
      <w:r w:rsidR="00540E31" w:rsidRPr="00382917">
        <w:t>ask</w:t>
      </w:r>
      <w:r w:rsidR="00EE4FC3">
        <w:t xml:space="preserve"> </w:t>
      </w:r>
      <w:r w:rsidR="00540E31" w:rsidRPr="00382917">
        <w:t>questions</w:t>
      </w:r>
      <w:r w:rsidR="00EE4FC3">
        <w:t xml:space="preserve"> </w:t>
      </w:r>
      <w:r w:rsidR="00540E31" w:rsidRPr="00382917">
        <w:t>about</w:t>
      </w:r>
      <w:r w:rsidR="00EE4FC3">
        <w:t xml:space="preserve"> </w:t>
      </w:r>
      <w:r w:rsidR="00540E31" w:rsidRPr="00382917">
        <w:t>the</w:t>
      </w:r>
      <w:r w:rsidR="00EE4FC3">
        <w:t xml:space="preserve"> </w:t>
      </w:r>
      <w:r w:rsidR="00540E31" w:rsidRPr="00382917">
        <w:t>work</w:t>
      </w:r>
      <w:r w:rsidR="00EE4FC3">
        <w:t xml:space="preserve"> </w:t>
      </w:r>
      <w:r w:rsidR="00540E31" w:rsidRPr="00382917">
        <w:t>with</w:t>
      </w:r>
      <w:r w:rsidR="00EE4FC3">
        <w:t xml:space="preserve"> </w:t>
      </w:r>
      <w:r w:rsidR="00540E31" w:rsidRPr="00382917">
        <w:t>which</w:t>
      </w:r>
      <w:r w:rsidR="00EE4FC3">
        <w:t xml:space="preserve"> </w:t>
      </w:r>
      <w:r w:rsidR="00540E31" w:rsidRPr="00382917">
        <w:t>He</w:t>
      </w:r>
      <w:r w:rsidR="00EE4FC3">
        <w:t xml:space="preserve"> </w:t>
      </w:r>
      <w:r w:rsidR="00540E31" w:rsidRPr="00382917">
        <w:t>had</w:t>
      </w:r>
      <w:r w:rsidR="00EE4FC3">
        <w:t xml:space="preserve"> </w:t>
      </w:r>
      <w:r w:rsidR="00540E31" w:rsidRPr="00382917">
        <w:t>entrusted</w:t>
      </w:r>
      <w:r w:rsidR="00EE4FC3">
        <w:t xml:space="preserve"> </w:t>
      </w:r>
      <w:r w:rsidR="00540E31" w:rsidRPr="00382917">
        <w:t>me</w:t>
      </w:r>
      <w:r w:rsidR="00C03C91">
        <w:t>.</w:t>
      </w:r>
      <w:r w:rsidR="00EE4FC3">
        <w:t xml:space="preserve">  </w:t>
      </w:r>
      <w:r w:rsidR="00540E31" w:rsidRPr="00382917">
        <w:t>Not</w:t>
      </w:r>
      <w:r w:rsidR="00EE4FC3">
        <w:t xml:space="preserve"> </w:t>
      </w:r>
      <w:r w:rsidR="00540E31" w:rsidRPr="00382917">
        <w:t>once</w:t>
      </w:r>
      <w:r w:rsidR="00EE4FC3">
        <w:t xml:space="preserve"> </w:t>
      </w:r>
      <w:r w:rsidR="00540E31" w:rsidRPr="00382917">
        <w:t>did</w:t>
      </w:r>
      <w:r w:rsidR="00EE4FC3">
        <w:t xml:space="preserve"> </w:t>
      </w:r>
      <w:r w:rsidR="00540E31" w:rsidRPr="00382917">
        <w:t>I</w:t>
      </w:r>
      <w:r w:rsidR="00EE4FC3">
        <w:t xml:space="preserve"> </w:t>
      </w:r>
      <w:r w:rsidR="00540E31" w:rsidRPr="00382917">
        <w:t>encounter</w:t>
      </w:r>
      <w:r w:rsidR="00EE4FC3">
        <w:t xml:space="preserve"> </w:t>
      </w:r>
      <w:r w:rsidR="00540E31" w:rsidRPr="00382917">
        <w:t>any</w:t>
      </w:r>
      <w:r w:rsidR="00EE4FC3">
        <w:t xml:space="preserve"> </w:t>
      </w:r>
      <w:r w:rsidR="00540E31" w:rsidRPr="00382917">
        <w:t>opposition</w:t>
      </w:r>
      <w:r w:rsidR="00EE4FC3">
        <w:t xml:space="preserve"> </w:t>
      </w:r>
      <w:r w:rsidR="00540E31" w:rsidRPr="00382917">
        <w:t>on</w:t>
      </w:r>
      <w:r w:rsidR="00EE4FC3">
        <w:t xml:space="preserve"> </w:t>
      </w:r>
      <w:r w:rsidR="00540E31" w:rsidRPr="00382917">
        <w:t>the</w:t>
      </w:r>
      <w:r w:rsidR="00EE4FC3">
        <w:t xml:space="preserve"> </w:t>
      </w:r>
      <w:r w:rsidR="00540E31" w:rsidRPr="00382917">
        <w:t>part</w:t>
      </w:r>
      <w:r w:rsidR="00EE4FC3">
        <w:t xml:space="preserve"> </w:t>
      </w:r>
      <w:r w:rsidR="00540E31" w:rsidRPr="00382917">
        <w:t>of</w:t>
      </w:r>
      <w:r w:rsidR="00EE4FC3">
        <w:t xml:space="preserve"> </w:t>
      </w:r>
      <w:r w:rsidR="00540E31" w:rsidRPr="00382917">
        <w:t>those</w:t>
      </w:r>
      <w:r w:rsidR="00EE4FC3">
        <w:t xml:space="preserve"> </w:t>
      </w:r>
      <w:r w:rsidR="00540E31" w:rsidRPr="00382917">
        <w:t>who</w:t>
      </w:r>
      <w:r w:rsidR="00EE4FC3">
        <w:t xml:space="preserve"> </w:t>
      </w:r>
      <w:r w:rsidR="00540E31" w:rsidRPr="00382917">
        <w:t>were</w:t>
      </w:r>
      <w:r w:rsidR="00EE4FC3">
        <w:t xml:space="preserve"> </w:t>
      </w:r>
      <w:r w:rsidR="00540E31" w:rsidRPr="00382917">
        <w:t>guarding</w:t>
      </w:r>
      <w:r w:rsidR="00EE4FC3">
        <w:t xml:space="preserve"> </w:t>
      </w:r>
      <w:r w:rsidR="00540E31" w:rsidRPr="00382917">
        <w:t>the</w:t>
      </w:r>
      <w:r w:rsidR="00EE4FC3">
        <w:t xml:space="preserve"> </w:t>
      </w:r>
      <w:r w:rsidR="00540E31" w:rsidRPr="00382917">
        <w:t>entrance</w:t>
      </w:r>
      <w:r w:rsidR="00EE4FC3">
        <w:t xml:space="preserve"> </w:t>
      </w:r>
      <w:r w:rsidR="00540E31" w:rsidRPr="00382917">
        <w:t>to</w:t>
      </w:r>
      <w:r w:rsidR="00EE4FC3">
        <w:t xml:space="preserve"> </w:t>
      </w:r>
      <w:r w:rsidR="00540E31" w:rsidRPr="00382917">
        <w:t>His</w:t>
      </w:r>
      <w:r w:rsidR="00EE4FC3">
        <w:t xml:space="preserve"> </w:t>
      </w:r>
      <w:r w:rsidR="00540E31" w:rsidRPr="00382917">
        <w:t>house.</w:t>
      </w:r>
    </w:p>
    <w:p w:rsidR="00540E31" w:rsidRPr="00382917" w:rsidRDefault="009C713D" w:rsidP="00665A7A">
      <w:pPr>
        <w:pStyle w:val="Text"/>
      </w:pPr>
      <w:r w:rsidRPr="00382917">
        <w:t>“</w:t>
      </w:r>
      <w:r w:rsidR="00540E31" w:rsidRPr="00382917">
        <w:t>I</w:t>
      </w:r>
      <w:r w:rsidR="00EE4FC3">
        <w:t xml:space="preserve"> </w:t>
      </w:r>
      <w:r w:rsidR="00540E31" w:rsidRPr="00382917">
        <w:t>had</w:t>
      </w:r>
      <w:r w:rsidR="00EE4FC3">
        <w:t xml:space="preserve"> </w:t>
      </w:r>
      <w:r w:rsidR="00540E31" w:rsidRPr="00382917">
        <w:t>forgotten</w:t>
      </w:r>
      <w:r w:rsidR="00EE4FC3">
        <w:t xml:space="preserve"> </w:t>
      </w:r>
      <w:r w:rsidR="00540E31" w:rsidRPr="00382917">
        <w:t>the</w:t>
      </w:r>
      <w:r w:rsidR="00EE4FC3">
        <w:t xml:space="preserve"> </w:t>
      </w:r>
      <w:r w:rsidR="00540E31" w:rsidRPr="00382917">
        <w:t>words</w:t>
      </w:r>
      <w:r w:rsidR="00EE4FC3">
        <w:t xml:space="preserve"> </w:t>
      </w:r>
      <w:r w:rsidR="00540E31" w:rsidRPr="00382917">
        <w:t>which</w:t>
      </w:r>
      <w:r w:rsidR="00EE4FC3">
        <w:t xml:space="preserve"> </w:t>
      </w:r>
      <w:r w:rsidR="00540E31" w:rsidRPr="00382917">
        <w:t>Mullá</w:t>
      </w:r>
      <w:r w:rsidR="00EE4FC3">
        <w:t xml:space="preserve"> </w:t>
      </w:r>
      <w:r w:rsidR="00964C11" w:rsidRPr="00382917">
        <w:t>Ḥusayn</w:t>
      </w:r>
      <w:r w:rsidR="00EE4FC3">
        <w:t xml:space="preserve"> </w:t>
      </w:r>
      <w:r w:rsidR="00540E31" w:rsidRPr="00382917">
        <w:t>had</w:t>
      </w:r>
      <w:r w:rsidR="00EE4FC3">
        <w:t xml:space="preserve"> </w:t>
      </w:r>
      <w:r w:rsidR="00540E31" w:rsidRPr="00382917">
        <w:t>spoken</w:t>
      </w:r>
      <w:r w:rsidR="00EE4FC3">
        <w:t xml:space="preserve"> </w:t>
      </w:r>
      <w:r w:rsidR="00540E31" w:rsidRPr="00382917">
        <w:t>to</w:t>
      </w:r>
      <w:r w:rsidR="00EE4FC3">
        <w:t xml:space="preserve"> </w:t>
      </w:r>
      <w:r w:rsidR="00540E31" w:rsidRPr="00382917">
        <w:t>me</w:t>
      </w:r>
      <w:r w:rsidR="00EE4FC3">
        <w:t xml:space="preserve"> </w:t>
      </w:r>
      <w:r w:rsidR="00540E31" w:rsidRPr="00382917">
        <w:t>until</w:t>
      </w:r>
      <w:r w:rsidR="00EE4FC3">
        <w:t xml:space="preserve"> </w:t>
      </w:r>
      <w:r w:rsidR="00540E31" w:rsidRPr="00382917">
        <w:t>the</w:t>
      </w:r>
      <w:r w:rsidR="00EE4FC3">
        <w:t xml:space="preserve"> </w:t>
      </w:r>
      <w:r w:rsidR="00540E31" w:rsidRPr="00382917">
        <w:t>time</w:t>
      </w:r>
      <w:r w:rsidR="00EE4FC3">
        <w:t xml:space="preserve"> </w:t>
      </w:r>
      <w:r w:rsidR="00540E31" w:rsidRPr="00382917">
        <w:t>of</w:t>
      </w:r>
      <w:r w:rsidR="00EE4FC3">
        <w:t xml:space="preserve"> </w:t>
      </w:r>
      <w:r w:rsidR="00540E31" w:rsidRPr="00382917">
        <w:t>my</w:t>
      </w:r>
      <w:r w:rsidR="00EE4FC3">
        <w:t xml:space="preserve"> </w:t>
      </w:r>
      <w:r w:rsidR="00540E31" w:rsidRPr="00382917">
        <w:t>last</w:t>
      </w:r>
      <w:r w:rsidR="00EE4FC3">
        <w:t xml:space="preserve"> </w:t>
      </w:r>
      <w:r w:rsidR="00540E31" w:rsidRPr="00382917">
        <w:t>visit</w:t>
      </w:r>
      <w:r w:rsidR="00EE4FC3">
        <w:t xml:space="preserve"> </w:t>
      </w:r>
      <w:r w:rsidR="00540E31" w:rsidRPr="00382917">
        <w:t>to</w:t>
      </w:r>
      <w:r w:rsidR="00EE4FC3">
        <w:t xml:space="preserve"> </w:t>
      </w:r>
      <w:r w:rsidR="00540E31" w:rsidRPr="00382917">
        <w:t>the</w:t>
      </w:r>
      <w:r w:rsidR="00EE4FC3">
        <w:t xml:space="preserve"> </w:t>
      </w:r>
      <w:r w:rsidR="00540E31" w:rsidRPr="00382917">
        <w:t>Báb</w:t>
      </w:r>
      <w:r w:rsidR="00C03C91">
        <w:t>.</w:t>
      </w:r>
      <w:r w:rsidR="00EE4FC3">
        <w:t xml:space="preserve">  </w:t>
      </w:r>
      <w:r w:rsidR="00540E31" w:rsidRPr="00382917">
        <w:t>How</w:t>
      </w:r>
      <w:r w:rsidR="00EE4FC3">
        <w:t xml:space="preserve"> </w:t>
      </w:r>
      <w:r w:rsidR="00540E31" w:rsidRPr="00382917">
        <w:t>great</w:t>
      </w:r>
      <w:r w:rsidR="00EE4FC3">
        <w:t xml:space="preserve"> </w:t>
      </w:r>
      <w:r w:rsidR="00540E31" w:rsidRPr="00382917">
        <w:t>was</w:t>
      </w:r>
      <w:r w:rsidR="00EE4FC3">
        <w:t xml:space="preserve"> </w:t>
      </w:r>
      <w:r w:rsidR="00540E31" w:rsidRPr="00382917">
        <w:t>my</w:t>
      </w:r>
      <w:r w:rsidR="00EE4FC3">
        <w:t xml:space="preserve"> </w:t>
      </w:r>
      <w:r w:rsidR="00540E31" w:rsidRPr="00382917">
        <w:t>surprise</w:t>
      </w:r>
      <w:r w:rsidR="00EE4FC3">
        <w:t xml:space="preserve"> </w:t>
      </w:r>
      <w:r w:rsidR="00540E31" w:rsidRPr="00382917">
        <w:t>when,</w:t>
      </w:r>
      <w:r w:rsidR="00EE4FC3">
        <w:t xml:space="preserve"> </w:t>
      </w:r>
      <w:r w:rsidR="00540E31" w:rsidRPr="00382917">
        <w:t>on</w:t>
      </w:r>
      <w:r w:rsidR="00EE4FC3">
        <w:t xml:space="preserve"> </w:t>
      </w:r>
      <w:r w:rsidR="00540E31" w:rsidRPr="00382917">
        <w:t>my</w:t>
      </w:r>
      <w:r w:rsidR="00EE4FC3">
        <w:t xml:space="preserve"> </w:t>
      </w:r>
      <w:r w:rsidR="00540E31" w:rsidRPr="00382917">
        <w:t>seventh</w:t>
      </w:r>
      <w:r w:rsidR="00EE4FC3">
        <w:t xml:space="preserve"> </w:t>
      </w:r>
      <w:r w:rsidR="00540E31" w:rsidRPr="00382917">
        <w:t>visit,</w:t>
      </w:r>
      <w:r w:rsidR="00EE4FC3">
        <w:t xml:space="preserve"> </w:t>
      </w:r>
      <w:r w:rsidR="00540E31" w:rsidRPr="00382917">
        <w:t>I</w:t>
      </w:r>
      <w:r w:rsidR="00EE4FC3">
        <w:t xml:space="preserve"> </w:t>
      </w:r>
      <w:r w:rsidR="00540E31" w:rsidRPr="00382917">
        <w:t>heard</w:t>
      </w:r>
      <w:r w:rsidR="00EE4FC3">
        <w:t xml:space="preserve"> </w:t>
      </w:r>
      <w:r w:rsidR="00540E31" w:rsidRPr="00382917">
        <w:t>Him</w:t>
      </w:r>
      <w:r w:rsidR="00EE4FC3">
        <w:t xml:space="preserve"> </w:t>
      </w:r>
      <w:r w:rsidR="00540E31" w:rsidRPr="00382917">
        <w:t>speak</w:t>
      </w:r>
      <w:r w:rsidR="00EE4FC3">
        <w:t xml:space="preserve"> </w:t>
      </w:r>
      <w:r w:rsidR="00540E31" w:rsidRPr="00382917">
        <w:t>these</w:t>
      </w:r>
      <w:r w:rsidR="00EE4FC3">
        <w:t xml:space="preserve"> </w:t>
      </w:r>
      <w:r w:rsidR="00540E31" w:rsidRPr="00382917">
        <w:t>words</w:t>
      </w:r>
      <w:r w:rsidR="00C03C91">
        <w:t>:</w:t>
      </w:r>
      <w:r w:rsidR="00EE4FC3">
        <w:t xml:space="preserve">  </w:t>
      </w:r>
      <w:r w:rsidRPr="00382917">
        <w:t>‘</w:t>
      </w:r>
      <w:r w:rsidR="00540E31" w:rsidRPr="00382917">
        <w:t>Praise</w:t>
      </w:r>
      <w:r w:rsidR="00EE4FC3">
        <w:t xml:space="preserve"> </w:t>
      </w:r>
      <w:proofErr w:type="gramStart"/>
      <w:r w:rsidR="00540E31" w:rsidRPr="00382917">
        <w:t>be</w:t>
      </w:r>
      <w:proofErr w:type="gramEnd"/>
      <w:r w:rsidR="00EE4FC3">
        <w:t xml:space="preserve"> </w:t>
      </w:r>
      <w:r w:rsidR="00540E31" w:rsidRPr="00382917">
        <w:t>to</w:t>
      </w:r>
      <w:r w:rsidR="00EE4FC3">
        <w:t xml:space="preserve"> </w:t>
      </w:r>
      <w:r w:rsidR="00540E31" w:rsidRPr="00382917">
        <w:t>God,</w:t>
      </w:r>
      <w:r w:rsidR="00EE4FC3">
        <w:t xml:space="preserve"> </w:t>
      </w:r>
      <w:r w:rsidR="00540E31" w:rsidRPr="00382917">
        <w:t>Who</w:t>
      </w:r>
      <w:r w:rsidR="00EE4FC3">
        <w:t xml:space="preserve"> </w:t>
      </w:r>
      <w:r w:rsidR="00540E31" w:rsidRPr="00382917">
        <w:t>has</w:t>
      </w:r>
      <w:r w:rsidR="00EE4FC3">
        <w:t xml:space="preserve"> </w:t>
      </w:r>
      <w:r w:rsidR="00540E31" w:rsidRPr="00382917">
        <w:t>enabled</w:t>
      </w:r>
      <w:r w:rsidR="00EE4FC3">
        <w:t xml:space="preserve"> </w:t>
      </w:r>
      <w:r w:rsidR="00540E31" w:rsidRPr="00382917">
        <w:t>you</w:t>
      </w:r>
      <w:r w:rsidR="00EE4FC3">
        <w:t xml:space="preserve"> </w:t>
      </w:r>
      <w:r w:rsidR="00540E31" w:rsidRPr="00382917">
        <w:t>to</w:t>
      </w:r>
      <w:r w:rsidR="00EE4FC3">
        <w:t xml:space="preserve"> </w:t>
      </w:r>
      <w:r w:rsidR="00540E31" w:rsidRPr="00382917">
        <w:t>complete</w:t>
      </w:r>
      <w:r w:rsidR="00EE4FC3">
        <w:t xml:space="preserve"> </w:t>
      </w:r>
      <w:r w:rsidR="00540E31" w:rsidRPr="00382917">
        <w:t>the</w:t>
      </w:r>
      <w:r w:rsidR="00EE4FC3">
        <w:t xml:space="preserve"> </w:t>
      </w:r>
      <w:r w:rsidR="00540E31" w:rsidRPr="00382917">
        <w:t>number</w:t>
      </w:r>
      <w:r w:rsidR="00EE4FC3">
        <w:t xml:space="preserve"> </w:t>
      </w:r>
      <w:r w:rsidR="00540E31" w:rsidRPr="00382917">
        <w:t>of</w:t>
      </w:r>
      <w:r w:rsidR="00EE4FC3">
        <w:t xml:space="preserve"> </w:t>
      </w:r>
      <w:r w:rsidR="00540E31" w:rsidRPr="00382917">
        <w:t>your</w:t>
      </w:r>
      <w:r w:rsidR="00EE4FC3">
        <w:t xml:space="preserve"> </w:t>
      </w:r>
      <w:r w:rsidR="00540E31" w:rsidRPr="00382917">
        <w:t>visits,</w:t>
      </w:r>
      <w:r w:rsidR="00EE4FC3">
        <w:t xml:space="preserve"> </w:t>
      </w:r>
      <w:r w:rsidR="00540E31" w:rsidRPr="00382917">
        <w:t>and</w:t>
      </w:r>
      <w:r w:rsidR="00EE4FC3">
        <w:t xml:space="preserve"> </w:t>
      </w:r>
      <w:r w:rsidR="00540E31" w:rsidRPr="00382917">
        <w:t>Who</w:t>
      </w:r>
      <w:r w:rsidR="00EE4FC3">
        <w:t xml:space="preserve"> </w:t>
      </w:r>
      <w:r w:rsidR="00540E31" w:rsidRPr="00382917">
        <w:t>has</w:t>
      </w:r>
      <w:r w:rsidR="00EE4FC3">
        <w:t xml:space="preserve"> </w:t>
      </w:r>
      <w:r w:rsidR="00540E31" w:rsidRPr="00382917">
        <w:t>extended</w:t>
      </w:r>
      <w:r w:rsidR="00EE4FC3">
        <w:t xml:space="preserve"> </w:t>
      </w:r>
      <w:r w:rsidR="00540E31" w:rsidRPr="00382917">
        <w:t>to</w:t>
      </w:r>
      <w:r w:rsidR="00EE4FC3">
        <w:t xml:space="preserve"> </w:t>
      </w:r>
      <w:r w:rsidR="00540E31" w:rsidRPr="00382917">
        <w:t>you</w:t>
      </w:r>
      <w:r w:rsidR="00EE4FC3">
        <w:t xml:space="preserve"> </w:t>
      </w:r>
      <w:r w:rsidR="00540E31" w:rsidRPr="00382917">
        <w:t>His</w:t>
      </w:r>
      <w:r w:rsidR="00EE4FC3">
        <w:t xml:space="preserve"> </w:t>
      </w:r>
      <w:r w:rsidR="00540E31" w:rsidRPr="00382917">
        <w:t>loving</w:t>
      </w:r>
      <w:r w:rsidR="00EE4FC3">
        <w:t xml:space="preserve"> </w:t>
      </w:r>
      <w:r w:rsidR="00540E31" w:rsidRPr="00382917">
        <w:t>protection.</w:t>
      </w:r>
      <w:r w:rsidR="00C72263">
        <w:t>’</w:t>
      </w:r>
      <w:r w:rsidRPr="00382917">
        <w:t>”</w:t>
      </w:r>
    </w:p>
    <w:p w:rsidR="00540E31" w:rsidRPr="00382917" w:rsidRDefault="00540E31" w:rsidP="00665A7A">
      <w:pPr>
        <w:pStyle w:val="Text"/>
      </w:pPr>
      <w:r w:rsidRPr="00382917">
        <w:t>An</w:t>
      </w:r>
      <w:r w:rsidR="00EE4FC3">
        <w:t xml:space="preserve"> </w:t>
      </w:r>
      <w:r w:rsidRPr="00382917">
        <w:t>eye-witness</w:t>
      </w:r>
      <w:r w:rsidR="00EE4FC3">
        <w:t xml:space="preserve"> </w:t>
      </w:r>
      <w:r w:rsidRPr="00382917">
        <w:t>has</w:t>
      </w:r>
      <w:r w:rsidR="00EE4FC3">
        <w:t xml:space="preserve"> </w:t>
      </w:r>
      <w:r w:rsidRPr="00382917">
        <w:t>related</w:t>
      </w:r>
      <w:r w:rsidR="00EE4FC3">
        <w:t xml:space="preserve"> </w:t>
      </w:r>
      <w:r w:rsidRPr="00382917">
        <w:t>the</w:t>
      </w:r>
      <w:r w:rsidR="00EE4FC3">
        <w:t xml:space="preserve"> </w:t>
      </w:r>
      <w:r w:rsidRPr="00382917">
        <w:t>following</w:t>
      </w:r>
      <w:r w:rsidR="00C03C91">
        <w:t>:</w:t>
      </w:r>
      <w:r w:rsidR="00EE4FC3">
        <w:t xml:space="preserve">  </w:t>
      </w:r>
      <w:r w:rsidR="009C713D" w:rsidRPr="00382917">
        <w:t>“</w:t>
      </w:r>
      <w:r w:rsidRPr="00382917">
        <w:t>During</w:t>
      </w:r>
      <w:r w:rsidR="00EE4FC3">
        <w:t xml:space="preserve"> </w:t>
      </w:r>
      <w:r w:rsidRPr="00382917">
        <w:t>the</w:t>
      </w:r>
      <w:r w:rsidR="00EE4FC3">
        <w:t xml:space="preserve"> </w:t>
      </w:r>
      <w:r w:rsidRPr="00382917">
        <w:t>first</w:t>
      </w:r>
      <w:r w:rsidR="00EE4FC3">
        <w:t xml:space="preserve"> </w:t>
      </w:r>
      <w:r w:rsidRPr="00382917">
        <w:t>ten</w:t>
      </w:r>
      <w:r w:rsidR="00EE4FC3">
        <w:t xml:space="preserve"> </w:t>
      </w:r>
      <w:r w:rsidRPr="00382917">
        <w:t>days</w:t>
      </w:r>
      <w:r w:rsidR="00EE4FC3">
        <w:t xml:space="preserve"> </w:t>
      </w:r>
      <w:r w:rsidRPr="00382917">
        <w:t>of</w:t>
      </w:r>
      <w:r w:rsidR="00EE4FC3">
        <w:t xml:space="preserve"> </w:t>
      </w:r>
      <w:r w:rsidRPr="00382917">
        <w:t>the</w:t>
      </w:r>
      <w:r w:rsidR="00EE4FC3">
        <w:t xml:space="preserve"> </w:t>
      </w:r>
      <w:r w:rsidRPr="00382917">
        <w:t>Báb</w:t>
      </w:r>
      <w:r w:rsidR="009C713D" w:rsidRPr="00382917">
        <w:t>’</w:t>
      </w:r>
      <w:r w:rsidRPr="00382917">
        <w:t>s</w:t>
      </w:r>
      <w:r w:rsidR="00EE4FC3">
        <w:t xml:space="preserve"> </w:t>
      </w:r>
      <w:r w:rsidRPr="00382917">
        <w:t>imprisonment</w:t>
      </w:r>
      <w:r w:rsidR="00EE4FC3">
        <w:t xml:space="preserve"> </w:t>
      </w:r>
      <w:r w:rsidRPr="00382917">
        <w:t>in</w:t>
      </w:r>
      <w:r w:rsidR="00EE4FC3">
        <w:t xml:space="preserve"> </w:t>
      </w:r>
      <w:r w:rsidRPr="00382917">
        <w:t>Tabríz,</w:t>
      </w:r>
      <w:r w:rsidR="00EE4FC3">
        <w:t xml:space="preserve"> </w:t>
      </w:r>
      <w:r w:rsidRPr="00382917">
        <w:t>no</w:t>
      </w:r>
      <w:r w:rsidR="00EE4FC3">
        <w:t xml:space="preserve"> </w:t>
      </w:r>
      <w:r w:rsidRPr="00382917">
        <w:t>one</w:t>
      </w:r>
      <w:r w:rsidR="00EE4FC3">
        <w:t xml:space="preserve"> </w:t>
      </w:r>
      <w:r w:rsidRPr="00382917">
        <w:t>knew</w:t>
      </w:r>
      <w:r w:rsidR="00EE4FC3">
        <w:t xml:space="preserve"> </w:t>
      </w:r>
      <w:r w:rsidRPr="00382917">
        <w:t>what</w:t>
      </w:r>
      <w:r w:rsidR="00EE4FC3">
        <w:t xml:space="preserve"> </w:t>
      </w:r>
      <w:r w:rsidRPr="00382917">
        <w:t>would</w:t>
      </w:r>
      <w:r w:rsidR="00EE4FC3">
        <w:t xml:space="preserve"> </w:t>
      </w:r>
      <w:r w:rsidRPr="00382917">
        <w:t>befall</w:t>
      </w:r>
      <w:r w:rsidR="00EE4FC3">
        <w:t xml:space="preserve"> </w:t>
      </w:r>
      <w:r w:rsidRPr="00382917">
        <w:t>Him</w:t>
      </w:r>
      <w:r w:rsidR="00EE4FC3">
        <w:t xml:space="preserve"> </w:t>
      </w:r>
      <w:r w:rsidRPr="00382917">
        <w:t>next</w:t>
      </w:r>
      <w:r w:rsidR="00C03C91">
        <w:t>.</w:t>
      </w:r>
      <w:r w:rsidR="00EE4FC3">
        <w:t xml:space="preserve">  </w:t>
      </w:r>
      <w:r w:rsidRPr="00382917">
        <w:t>The</w:t>
      </w:r>
      <w:r w:rsidR="00EE4FC3">
        <w:t xml:space="preserve"> </w:t>
      </w:r>
      <w:r w:rsidRPr="00382917">
        <w:t>wildest</w:t>
      </w:r>
      <w:r w:rsidR="00EE4FC3">
        <w:t xml:space="preserve"> </w:t>
      </w:r>
      <w:proofErr w:type="spellStart"/>
      <w:r w:rsidRPr="00382917">
        <w:t>rumors</w:t>
      </w:r>
      <w:proofErr w:type="spellEnd"/>
      <w:r w:rsidR="00EE4FC3">
        <w:t xml:space="preserve"> </w:t>
      </w:r>
      <w:r w:rsidRPr="00382917">
        <w:t>were</w:t>
      </w:r>
      <w:r w:rsidR="00EE4FC3">
        <w:t xml:space="preserve"> </w:t>
      </w:r>
      <w:r w:rsidRPr="00382917">
        <w:t>circulating</w:t>
      </w:r>
      <w:r w:rsidR="00EE4FC3">
        <w:t xml:space="preserve"> </w:t>
      </w:r>
      <w:r w:rsidRPr="00382917">
        <w:t>about</w:t>
      </w:r>
      <w:r w:rsidR="00EE4FC3">
        <w:t xml:space="preserve"> </w:t>
      </w:r>
      <w:r w:rsidRPr="00382917">
        <w:t>the</w:t>
      </w:r>
      <w:r w:rsidR="00EE4FC3">
        <w:t xml:space="preserve"> </w:t>
      </w:r>
      <w:r w:rsidRPr="00382917">
        <w:t>city.</w:t>
      </w:r>
    </w:p>
    <w:p w:rsidR="00540E31" w:rsidRPr="00382917" w:rsidRDefault="009C713D" w:rsidP="00665A7A">
      <w:pPr>
        <w:pStyle w:val="Text"/>
      </w:pPr>
      <w:r w:rsidRPr="00382917">
        <w:t>“</w:t>
      </w:r>
      <w:r w:rsidR="00540E31" w:rsidRPr="00382917">
        <w:t>One</w:t>
      </w:r>
      <w:r w:rsidR="00EE4FC3">
        <w:t xml:space="preserve"> </w:t>
      </w:r>
      <w:r w:rsidR="00540E31" w:rsidRPr="00382917">
        <w:t>day</w:t>
      </w:r>
      <w:r w:rsidR="00EE4FC3">
        <w:t xml:space="preserve"> </w:t>
      </w:r>
      <w:r w:rsidR="00540E31" w:rsidRPr="00382917">
        <w:t>I</w:t>
      </w:r>
      <w:r w:rsidR="00EE4FC3">
        <w:t xml:space="preserve"> </w:t>
      </w:r>
      <w:r w:rsidR="00540E31" w:rsidRPr="00382917">
        <w:t>asked</w:t>
      </w:r>
      <w:r w:rsidR="00EE4FC3">
        <w:t xml:space="preserve"> </w:t>
      </w:r>
      <w:r w:rsidR="00540E31" w:rsidRPr="00382917">
        <w:t>Him</w:t>
      </w:r>
      <w:r w:rsidR="00EE4FC3">
        <w:t xml:space="preserve"> </w:t>
      </w:r>
      <w:r w:rsidR="00540E31" w:rsidRPr="00382917">
        <w:t>whether</w:t>
      </w:r>
      <w:r w:rsidR="00EE4FC3">
        <w:t xml:space="preserve"> </w:t>
      </w:r>
      <w:r w:rsidR="00540E31" w:rsidRPr="00382917">
        <w:t>He</w:t>
      </w:r>
      <w:r w:rsidR="00EE4FC3">
        <w:t xml:space="preserve"> </w:t>
      </w:r>
      <w:r w:rsidR="00540E31" w:rsidRPr="00382917">
        <w:t>would</w:t>
      </w:r>
      <w:r w:rsidR="00EE4FC3">
        <w:t xml:space="preserve"> </w:t>
      </w:r>
      <w:r w:rsidR="00540E31" w:rsidRPr="00382917">
        <w:t>be</w:t>
      </w:r>
      <w:r w:rsidR="00EE4FC3">
        <w:t xml:space="preserve"> </w:t>
      </w:r>
      <w:r w:rsidR="00540E31" w:rsidRPr="00382917">
        <w:t>kept</w:t>
      </w:r>
      <w:r w:rsidR="00EE4FC3">
        <w:t xml:space="preserve"> </w:t>
      </w:r>
      <w:r w:rsidR="00540E31" w:rsidRPr="00382917">
        <w:t>in</w:t>
      </w:r>
      <w:r w:rsidR="00EE4FC3">
        <w:t xml:space="preserve"> </w:t>
      </w:r>
      <w:r w:rsidR="00540E31" w:rsidRPr="00382917">
        <w:t>Tabríz</w:t>
      </w:r>
      <w:r w:rsidR="00EE4FC3">
        <w:t xml:space="preserve"> </w:t>
      </w:r>
      <w:r w:rsidR="00540E31" w:rsidRPr="00382917">
        <w:t>or</w:t>
      </w:r>
      <w:r w:rsidR="00EE4FC3">
        <w:t xml:space="preserve"> </w:t>
      </w:r>
      <w:r w:rsidR="00540E31" w:rsidRPr="00382917">
        <w:t>whether</w:t>
      </w:r>
      <w:r w:rsidR="00EE4FC3">
        <w:t xml:space="preserve"> </w:t>
      </w:r>
      <w:r w:rsidR="00540E31" w:rsidRPr="00382917">
        <w:t>He</w:t>
      </w:r>
      <w:r w:rsidR="00EE4FC3">
        <w:t xml:space="preserve"> </w:t>
      </w:r>
      <w:r w:rsidR="00540E31" w:rsidRPr="00382917">
        <w:t>would</w:t>
      </w:r>
      <w:r w:rsidR="00EE4FC3">
        <w:t xml:space="preserve"> </w:t>
      </w:r>
      <w:r w:rsidR="00540E31" w:rsidRPr="00382917">
        <w:t>be</w:t>
      </w:r>
      <w:r w:rsidR="00EE4FC3">
        <w:t xml:space="preserve"> </w:t>
      </w:r>
      <w:r w:rsidR="00540E31" w:rsidRPr="00382917">
        <w:t>transferred</w:t>
      </w:r>
      <w:r w:rsidR="00EE4FC3">
        <w:t xml:space="preserve"> </w:t>
      </w:r>
      <w:r w:rsidR="00540E31" w:rsidRPr="00382917">
        <w:t>to</w:t>
      </w:r>
      <w:r w:rsidR="00EE4FC3">
        <w:t xml:space="preserve"> </w:t>
      </w:r>
      <w:r w:rsidR="00540E31" w:rsidRPr="00382917">
        <w:t>still</w:t>
      </w:r>
      <w:r w:rsidR="00EE4FC3">
        <w:t xml:space="preserve"> </w:t>
      </w:r>
      <w:r w:rsidR="00540E31" w:rsidRPr="00382917">
        <w:t>another</w:t>
      </w:r>
      <w:r w:rsidR="00EE4FC3">
        <w:t xml:space="preserve"> </w:t>
      </w:r>
      <w:r w:rsidR="00540E31" w:rsidRPr="00382917">
        <w:t>place.</w:t>
      </w:r>
    </w:p>
    <w:p w:rsidR="00540E31" w:rsidRPr="00382917" w:rsidRDefault="009C713D" w:rsidP="00665A7A">
      <w:pPr>
        <w:pStyle w:val="Text"/>
      </w:pPr>
      <w:r w:rsidRPr="00382917">
        <w:t>“</w:t>
      </w:r>
      <w:r w:rsidR="00540E31" w:rsidRPr="00382917">
        <w:t>He</w:t>
      </w:r>
      <w:r w:rsidR="00EE4FC3">
        <w:t xml:space="preserve"> </w:t>
      </w:r>
      <w:r w:rsidR="00540E31" w:rsidRPr="00382917">
        <w:t>answered</w:t>
      </w:r>
      <w:r w:rsidR="00EE4FC3">
        <w:t xml:space="preserve"> </w:t>
      </w:r>
      <w:r w:rsidR="00540E31" w:rsidRPr="00382917">
        <w:t>me,</w:t>
      </w:r>
      <w:r w:rsidR="00EE4FC3">
        <w:t xml:space="preserve"> </w:t>
      </w:r>
      <w:r w:rsidR="00540E31" w:rsidRPr="00382917">
        <w:t>saying</w:t>
      </w:r>
      <w:r w:rsidR="00C03C91">
        <w:t>:</w:t>
      </w:r>
      <w:r w:rsidR="00EE4FC3">
        <w:t xml:space="preserve">  </w:t>
      </w:r>
      <w:r w:rsidRPr="00382917">
        <w:t>‘</w:t>
      </w:r>
      <w:r w:rsidR="00540E31" w:rsidRPr="00382917">
        <w:t>For</w:t>
      </w:r>
      <w:r w:rsidR="00EE4FC3">
        <w:t xml:space="preserve"> </w:t>
      </w:r>
      <w:r w:rsidR="00540E31" w:rsidRPr="00382917">
        <w:t>a</w:t>
      </w:r>
      <w:r w:rsidR="00EE4FC3">
        <w:t xml:space="preserve"> </w:t>
      </w:r>
      <w:r w:rsidR="00540E31" w:rsidRPr="00382917">
        <w:t>period</w:t>
      </w:r>
      <w:r w:rsidR="00EE4FC3">
        <w:t xml:space="preserve"> </w:t>
      </w:r>
      <w:r w:rsidR="00540E31" w:rsidRPr="00382917">
        <w:t>of</w:t>
      </w:r>
      <w:r w:rsidR="00EE4FC3">
        <w:t xml:space="preserve"> </w:t>
      </w:r>
      <w:r w:rsidR="00540E31" w:rsidRPr="00382917">
        <w:t>no</w:t>
      </w:r>
      <w:r w:rsidR="00EE4FC3">
        <w:t xml:space="preserve"> </w:t>
      </w:r>
      <w:r w:rsidR="00540E31" w:rsidRPr="00382917">
        <w:t>less</w:t>
      </w:r>
      <w:r w:rsidR="00EE4FC3">
        <w:t xml:space="preserve"> </w:t>
      </w:r>
      <w:r w:rsidR="00540E31" w:rsidRPr="00382917">
        <w:t>than</w:t>
      </w:r>
      <w:r w:rsidR="00EE4FC3">
        <w:t xml:space="preserve"> </w:t>
      </w:r>
      <w:r w:rsidR="00540E31" w:rsidRPr="00382917">
        <w:t>nine</w:t>
      </w:r>
      <w:r w:rsidR="00EE4FC3">
        <w:t xml:space="preserve"> </w:t>
      </w:r>
      <w:r w:rsidR="00540E31" w:rsidRPr="00382917">
        <w:t>months,</w:t>
      </w:r>
      <w:r w:rsidR="00EE4FC3">
        <w:t xml:space="preserve"> </w:t>
      </w:r>
      <w:r w:rsidR="00540E31" w:rsidRPr="00382917">
        <w:t>we</w:t>
      </w:r>
      <w:r w:rsidR="00EE4FC3">
        <w:t xml:space="preserve"> </w:t>
      </w:r>
      <w:r w:rsidR="00540E31" w:rsidRPr="00382917">
        <w:t>shall</w:t>
      </w:r>
      <w:r w:rsidR="00EE4FC3">
        <w:t xml:space="preserve"> </w:t>
      </w:r>
      <w:r w:rsidR="00540E31" w:rsidRPr="00382917">
        <w:t>remain</w:t>
      </w:r>
      <w:r w:rsidR="00EE4FC3">
        <w:t xml:space="preserve"> </w:t>
      </w:r>
      <w:r w:rsidR="00540E31" w:rsidRPr="00382917">
        <w:t>confined</w:t>
      </w:r>
      <w:r w:rsidR="00EE4FC3">
        <w:t xml:space="preserve"> </w:t>
      </w:r>
      <w:r w:rsidR="00540E31" w:rsidRPr="00382917">
        <w:t>in</w:t>
      </w:r>
      <w:r w:rsidR="00EE4FC3">
        <w:t xml:space="preserve"> </w:t>
      </w:r>
      <w:r w:rsidR="00540E31" w:rsidRPr="00382917">
        <w:t>[Máh-Kú]</w:t>
      </w:r>
      <w:r w:rsidR="00C03C91">
        <w:t>.</w:t>
      </w:r>
      <w:r w:rsidR="00EE4FC3">
        <w:t xml:space="preserve">  </w:t>
      </w:r>
      <w:r w:rsidR="00540E31" w:rsidRPr="00382917">
        <w:t>From</w:t>
      </w:r>
      <w:r w:rsidR="00EE4FC3">
        <w:t xml:space="preserve"> </w:t>
      </w:r>
      <w:r w:rsidR="00540E31" w:rsidRPr="00382917">
        <w:t>thence</w:t>
      </w:r>
      <w:r w:rsidR="00EE4FC3">
        <w:t xml:space="preserve"> </w:t>
      </w:r>
      <w:r w:rsidR="00540E31" w:rsidRPr="00382917">
        <w:t>we</w:t>
      </w:r>
      <w:r w:rsidR="00EE4FC3">
        <w:t xml:space="preserve"> </w:t>
      </w:r>
      <w:r w:rsidR="00540E31" w:rsidRPr="00382917">
        <w:t>shall</w:t>
      </w:r>
      <w:r w:rsidR="00EE4FC3">
        <w:t xml:space="preserve"> </w:t>
      </w:r>
      <w:r w:rsidR="00540E31" w:rsidRPr="00382917">
        <w:t>be</w:t>
      </w:r>
      <w:r w:rsidR="00EE4FC3">
        <w:t xml:space="preserve"> </w:t>
      </w:r>
      <w:r w:rsidR="00540E31" w:rsidRPr="00382917">
        <w:t>transferred</w:t>
      </w:r>
      <w:r w:rsidR="00EE4FC3">
        <w:t xml:space="preserve"> </w:t>
      </w:r>
      <w:r w:rsidR="00540E31" w:rsidRPr="00382917">
        <w:t>to</w:t>
      </w:r>
      <w:r w:rsidR="00EE4FC3">
        <w:t xml:space="preserve"> </w:t>
      </w:r>
      <w:r w:rsidR="00540E31" w:rsidRPr="00382917">
        <w:t>[</w:t>
      </w:r>
      <w:r w:rsidR="001713B3" w:rsidRPr="001713B3">
        <w:rPr>
          <w:u w:val="single"/>
        </w:rPr>
        <w:t>Ch</w:t>
      </w:r>
      <w:r w:rsidR="001713B3" w:rsidRPr="00382917">
        <w:t>ihríq</w:t>
      </w:r>
      <w:r w:rsidR="00540E31" w:rsidRPr="00382917">
        <w:t>].</w:t>
      </w:r>
      <w:r w:rsidRPr="00382917">
        <w:t>’</w:t>
      </w:r>
    </w:p>
    <w:p w:rsidR="00540E31" w:rsidRPr="00382917" w:rsidRDefault="009C713D" w:rsidP="00665A7A">
      <w:pPr>
        <w:pStyle w:val="Text"/>
      </w:pPr>
      <w:r w:rsidRPr="00382917">
        <w:t>“</w:t>
      </w:r>
      <w:r w:rsidR="00540E31" w:rsidRPr="00382917">
        <w:t>Five</w:t>
      </w:r>
      <w:r w:rsidR="00EE4FC3">
        <w:t xml:space="preserve"> </w:t>
      </w:r>
      <w:r w:rsidR="00540E31" w:rsidRPr="00382917">
        <w:t>days</w:t>
      </w:r>
      <w:r w:rsidR="00EE4FC3">
        <w:t xml:space="preserve"> </w:t>
      </w:r>
      <w:r w:rsidR="00540E31" w:rsidRPr="00382917">
        <w:t>after</w:t>
      </w:r>
      <w:r w:rsidR="00EE4FC3">
        <w:t xml:space="preserve"> </w:t>
      </w:r>
      <w:r w:rsidR="00540E31" w:rsidRPr="00382917">
        <w:t>the</w:t>
      </w:r>
      <w:r w:rsidR="00EE4FC3">
        <w:t xml:space="preserve"> </w:t>
      </w:r>
      <w:r w:rsidR="00540E31" w:rsidRPr="00382917">
        <w:t>Báb</w:t>
      </w:r>
      <w:r w:rsidR="00EE4FC3">
        <w:t xml:space="preserve"> </w:t>
      </w:r>
      <w:r w:rsidR="00540E31" w:rsidRPr="00382917">
        <w:t>had</w:t>
      </w:r>
      <w:r w:rsidR="00EE4FC3">
        <w:t xml:space="preserve"> </w:t>
      </w:r>
      <w:r w:rsidR="00540E31" w:rsidRPr="00382917">
        <w:t>uttered</w:t>
      </w:r>
      <w:r w:rsidR="00EE4FC3">
        <w:t xml:space="preserve"> </w:t>
      </w:r>
      <w:r w:rsidR="00540E31" w:rsidRPr="00382917">
        <w:t>this</w:t>
      </w:r>
      <w:r w:rsidR="00EE4FC3">
        <w:t xml:space="preserve"> </w:t>
      </w:r>
      <w:r w:rsidR="00540E31" w:rsidRPr="00382917">
        <w:t>prediction,</w:t>
      </w:r>
      <w:r w:rsidR="00EE4FC3">
        <w:t xml:space="preserve"> </w:t>
      </w:r>
      <w:r w:rsidR="00540E31" w:rsidRPr="00382917">
        <w:t>orders</w:t>
      </w:r>
      <w:r w:rsidR="00EE4FC3">
        <w:t xml:space="preserve"> </w:t>
      </w:r>
      <w:r w:rsidR="00540E31" w:rsidRPr="00382917">
        <w:t>were</w:t>
      </w:r>
      <w:r w:rsidR="00EE4FC3">
        <w:t xml:space="preserve"> </w:t>
      </w:r>
      <w:r w:rsidR="00540E31" w:rsidRPr="00382917">
        <w:t>issued</w:t>
      </w:r>
      <w:r w:rsidR="00EE4FC3">
        <w:t xml:space="preserve"> </w:t>
      </w:r>
      <w:r w:rsidR="00540E31" w:rsidRPr="00382917">
        <w:t>to</w:t>
      </w:r>
      <w:r w:rsidR="00EE4FC3">
        <w:t xml:space="preserve"> </w:t>
      </w:r>
      <w:r w:rsidR="00540E31" w:rsidRPr="00382917">
        <w:t>transfer</w:t>
      </w:r>
      <w:r w:rsidR="00EE4FC3">
        <w:t xml:space="preserve"> </w:t>
      </w:r>
      <w:r w:rsidR="00540E31" w:rsidRPr="00382917">
        <w:t>Him</w:t>
      </w:r>
      <w:r w:rsidR="00EE4FC3">
        <w:t xml:space="preserve"> </w:t>
      </w:r>
      <w:r w:rsidR="00540E31" w:rsidRPr="00382917">
        <w:t>and</w:t>
      </w:r>
      <w:r w:rsidR="00EE4FC3">
        <w:t xml:space="preserve"> </w:t>
      </w:r>
      <w:r w:rsidR="00540E31" w:rsidRPr="00382917">
        <w:t>me</w:t>
      </w:r>
      <w:r w:rsidR="00EE4FC3">
        <w:t xml:space="preserve"> </w:t>
      </w:r>
      <w:r w:rsidR="00540E31" w:rsidRPr="00382917">
        <w:t>to</w:t>
      </w:r>
      <w:r w:rsidR="00EE4FC3">
        <w:t xml:space="preserve"> </w:t>
      </w:r>
      <w:r w:rsidR="00540E31" w:rsidRPr="00382917">
        <w:t>the</w:t>
      </w:r>
      <w:r w:rsidR="00EE4FC3">
        <w:t xml:space="preserve"> </w:t>
      </w:r>
      <w:r w:rsidR="00540E31" w:rsidRPr="00382917">
        <w:t>castle</w:t>
      </w:r>
      <w:r w:rsidR="00EE4FC3">
        <w:t xml:space="preserve"> </w:t>
      </w:r>
      <w:r w:rsidR="00540E31" w:rsidRPr="00382917">
        <w:t>of</w:t>
      </w:r>
      <w:r w:rsidR="00EE4FC3">
        <w:t xml:space="preserve"> </w:t>
      </w:r>
      <w:r w:rsidR="00540E31" w:rsidRPr="00382917">
        <w:t>Máh-Kú</w:t>
      </w:r>
      <w:r w:rsidR="00EE4FC3">
        <w:t xml:space="preserve"> </w:t>
      </w:r>
      <w:r w:rsidR="00540E31" w:rsidRPr="00382917">
        <w:t>and</w:t>
      </w:r>
      <w:r w:rsidR="00EE4FC3">
        <w:t xml:space="preserve"> </w:t>
      </w:r>
      <w:r w:rsidR="00540E31" w:rsidRPr="00382917">
        <w:t>to</w:t>
      </w:r>
      <w:r w:rsidR="00EE4FC3">
        <w:t xml:space="preserve"> </w:t>
      </w:r>
      <w:r w:rsidR="00540E31" w:rsidRPr="00382917">
        <w:t>deliver</w:t>
      </w:r>
      <w:r w:rsidR="00EE4FC3">
        <w:t xml:space="preserve"> </w:t>
      </w:r>
      <w:r w:rsidR="00540E31" w:rsidRPr="00382917">
        <w:t>us</w:t>
      </w:r>
      <w:r w:rsidR="00EE4FC3">
        <w:t xml:space="preserve"> </w:t>
      </w:r>
      <w:r w:rsidR="00540E31" w:rsidRPr="00382917">
        <w:t>into</w:t>
      </w:r>
      <w:r w:rsidR="00EE4FC3">
        <w:t xml:space="preserve"> </w:t>
      </w:r>
      <w:r w:rsidR="00540E31" w:rsidRPr="00382917">
        <w:t>the</w:t>
      </w:r>
      <w:r w:rsidR="00EE4FC3">
        <w:t xml:space="preserve"> </w:t>
      </w:r>
      <w:r w:rsidR="00540E31" w:rsidRPr="00382917">
        <w:t>custody</w:t>
      </w:r>
      <w:r w:rsidR="00EE4FC3">
        <w:t xml:space="preserve"> </w:t>
      </w:r>
      <w:r w:rsidR="00540E31" w:rsidRPr="00382917">
        <w:t>of</w:t>
      </w:r>
      <w:r w:rsidR="00EE4FC3">
        <w:t xml:space="preserve"> </w:t>
      </w:r>
      <w:r w:rsidR="00540E31" w:rsidRPr="00382917">
        <w:t>the</w:t>
      </w:r>
      <w:r w:rsidR="00EE4FC3">
        <w:t xml:space="preserve"> </w:t>
      </w:r>
      <w:r w:rsidR="00540E31" w:rsidRPr="00382917">
        <w:t>Warden,</w:t>
      </w:r>
      <w:r w:rsidR="00EE4FC3">
        <w:t xml:space="preserve"> </w:t>
      </w:r>
      <w:r w:rsidRPr="00382917">
        <w:t>‘</w:t>
      </w:r>
      <w:r w:rsidR="00540E31" w:rsidRPr="00382917">
        <w:t>Alí</w:t>
      </w:r>
      <w:r w:rsidR="00EE4FC3">
        <w:t xml:space="preserve"> </w:t>
      </w:r>
      <w:r w:rsidR="0040329F" w:rsidRPr="0040329F">
        <w:rPr>
          <w:u w:val="single"/>
        </w:rPr>
        <w:t>Kh</w:t>
      </w:r>
      <w:r w:rsidR="0040329F" w:rsidRPr="00382917">
        <w:t>án</w:t>
      </w:r>
      <w:r w:rsidR="00540E31" w:rsidRPr="00382917">
        <w:t>.</w:t>
      </w:r>
      <w:r w:rsidRPr="00382917">
        <w:t>”</w:t>
      </w:r>
    </w:p>
    <w:p w:rsidR="00665A7A" w:rsidRPr="00382917" w:rsidRDefault="00665A7A">
      <w:pPr>
        <w:widowControl/>
        <w:kinsoku/>
        <w:overflowPunct/>
        <w:textAlignment w:val="auto"/>
      </w:pPr>
      <w:r w:rsidRPr="00382917">
        <w:br w:type="page"/>
      </w:r>
    </w:p>
    <w:p w:rsidR="00540E31" w:rsidRPr="00382917" w:rsidRDefault="00540E31" w:rsidP="00665A7A">
      <w:pPr>
        <w:pStyle w:val="Text"/>
      </w:pPr>
      <w:r w:rsidRPr="00382917">
        <w:t>With</w:t>
      </w:r>
      <w:r w:rsidR="00EE4FC3">
        <w:t xml:space="preserve"> </w:t>
      </w:r>
      <w:r w:rsidRPr="00382917">
        <w:t>saddened</w:t>
      </w:r>
      <w:r w:rsidR="00EE4FC3">
        <w:t xml:space="preserve"> </w:t>
      </w:r>
      <w:r w:rsidRPr="00382917">
        <w:t>hearts</w:t>
      </w:r>
      <w:r w:rsidR="00EE4FC3">
        <w:t xml:space="preserve"> </w:t>
      </w:r>
      <w:r w:rsidRPr="00382917">
        <w:t>the</w:t>
      </w:r>
      <w:r w:rsidR="00EE4FC3">
        <w:t xml:space="preserve"> </w:t>
      </w:r>
      <w:r w:rsidRPr="00382917">
        <w:t>people</w:t>
      </w:r>
      <w:r w:rsidR="00EE4FC3">
        <w:t xml:space="preserve"> </w:t>
      </w:r>
      <w:r w:rsidRPr="00382917">
        <w:t>of</w:t>
      </w:r>
      <w:r w:rsidR="00EE4FC3">
        <w:t xml:space="preserve"> </w:t>
      </w:r>
      <w:r w:rsidR="00B24C41">
        <w:t>Tabríz</w:t>
      </w:r>
      <w:r w:rsidR="00EE4FC3">
        <w:t xml:space="preserve"> </w:t>
      </w:r>
      <w:r w:rsidRPr="00382917">
        <w:t>watched</w:t>
      </w:r>
      <w:r w:rsidR="00EE4FC3">
        <w:t xml:space="preserve"> </w:t>
      </w:r>
      <w:r w:rsidRPr="00382917">
        <w:t>the</w:t>
      </w:r>
      <w:r w:rsidR="00EE4FC3">
        <w:t xml:space="preserve"> </w:t>
      </w:r>
      <w:r w:rsidRPr="00382917">
        <w:t>Báb</w:t>
      </w:r>
      <w:r w:rsidR="00EE4FC3">
        <w:t xml:space="preserve"> </w:t>
      </w:r>
      <w:r w:rsidRPr="00382917">
        <w:t>depart</w:t>
      </w:r>
      <w:r w:rsidR="00EE4FC3">
        <w:t xml:space="preserve"> </w:t>
      </w:r>
      <w:r w:rsidRPr="00382917">
        <w:t>from</w:t>
      </w:r>
      <w:r w:rsidR="00EE4FC3">
        <w:t xml:space="preserve"> </w:t>
      </w:r>
      <w:r w:rsidRPr="00382917">
        <w:t>the</w:t>
      </w:r>
      <w:r w:rsidR="00EE4FC3">
        <w:t xml:space="preserve"> </w:t>
      </w:r>
      <w:r w:rsidRPr="00382917">
        <w:t>city</w:t>
      </w:r>
      <w:r w:rsidR="00C03C91">
        <w:t>.</w:t>
      </w:r>
      <w:r w:rsidR="00EE4FC3">
        <w:t xml:space="preserve">  </w:t>
      </w:r>
      <w:r w:rsidRPr="00382917">
        <w:t>Many</w:t>
      </w:r>
      <w:r w:rsidR="00EE4FC3">
        <w:t xml:space="preserve"> </w:t>
      </w:r>
      <w:r w:rsidRPr="00382917">
        <w:t>were</w:t>
      </w:r>
      <w:r w:rsidR="00EE4FC3">
        <w:t xml:space="preserve"> </w:t>
      </w:r>
      <w:r w:rsidRPr="00382917">
        <w:t>confused</w:t>
      </w:r>
      <w:r w:rsidR="00EE4FC3">
        <w:t xml:space="preserve"> </w:t>
      </w:r>
      <w:r w:rsidRPr="00382917">
        <w:t>by</w:t>
      </w:r>
      <w:r w:rsidR="00EE4FC3">
        <w:t xml:space="preserve"> </w:t>
      </w:r>
      <w:r w:rsidRPr="00382917">
        <w:t>His</w:t>
      </w:r>
      <w:r w:rsidR="00EE4FC3">
        <w:t xml:space="preserve"> </w:t>
      </w:r>
      <w:r w:rsidRPr="00382917">
        <w:t>apparent</w:t>
      </w:r>
      <w:r w:rsidR="00EE4FC3">
        <w:t xml:space="preserve"> </w:t>
      </w:r>
      <w:r w:rsidRPr="00382917">
        <w:t>helplessness</w:t>
      </w:r>
      <w:r w:rsidR="00EE4FC3">
        <w:t xml:space="preserve"> </w:t>
      </w:r>
      <w:r w:rsidRPr="00382917">
        <w:t>and</w:t>
      </w:r>
      <w:r w:rsidR="00EE4FC3">
        <w:t xml:space="preserve"> </w:t>
      </w:r>
      <w:r w:rsidRPr="00382917">
        <w:t>docility</w:t>
      </w:r>
      <w:r w:rsidR="00C03C91">
        <w:t>.</w:t>
      </w:r>
      <w:r w:rsidR="00EE4FC3">
        <w:t xml:space="preserve">  </w:t>
      </w:r>
      <w:r w:rsidRPr="00382917">
        <w:t>They</w:t>
      </w:r>
      <w:r w:rsidR="00EE4FC3">
        <w:t xml:space="preserve"> </w:t>
      </w:r>
      <w:r w:rsidRPr="00382917">
        <w:t>turned</w:t>
      </w:r>
      <w:r w:rsidR="00EE4FC3">
        <w:t xml:space="preserve"> </w:t>
      </w:r>
      <w:r w:rsidRPr="00382917">
        <w:t>away,</w:t>
      </w:r>
      <w:r w:rsidR="00EE4FC3">
        <w:t xml:space="preserve"> </w:t>
      </w:r>
      <w:r w:rsidRPr="00382917">
        <w:t>as</w:t>
      </w:r>
      <w:r w:rsidR="00EE4FC3">
        <w:t xml:space="preserve"> </w:t>
      </w:r>
      <w:r w:rsidRPr="00382917">
        <w:t>the</w:t>
      </w:r>
      <w:r w:rsidR="00EE4FC3">
        <w:t xml:space="preserve"> </w:t>
      </w:r>
      <w:r w:rsidRPr="00382917">
        <w:t>people</w:t>
      </w:r>
      <w:r w:rsidR="00EE4FC3">
        <w:t xml:space="preserve"> </w:t>
      </w:r>
      <w:r w:rsidRPr="00382917">
        <w:t>had</w:t>
      </w:r>
      <w:r w:rsidR="00EE4FC3">
        <w:t xml:space="preserve"> </w:t>
      </w:r>
      <w:r w:rsidRPr="00382917">
        <w:t>turned</w:t>
      </w:r>
      <w:r w:rsidR="00EE4FC3">
        <w:t xml:space="preserve"> </w:t>
      </w:r>
      <w:r w:rsidRPr="00382917">
        <w:t>away</w:t>
      </w:r>
      <w:r w:rsidR="00EE4FC3">
        <w:t xml:space="preserve"> </w:t>
      </w:r>
      <w:r w:rsidRPr="00382917">
        <w:t>from</w:t>
      </w:r>
      <w:r w:rsidR="00EE4FC3">
        <w:t xml:space="preserve"> </w:t>
      </w:r>
      <w:r w:rsidRPr="00382917">
        <w:t>Christ,</w:t>
      </w:r>
      <w:r w:rsidR="00EE4FC3">
        <w:t xml:space="preserve"> </w:t>
      </w:r>
      <w:r w:rsidRPr="00382917">
        <w:t>and</w:t>
      </w:r>
      <w:r w:rsidR="00EE4FC3">
        <w:t xml:space="preserve"> </w:t>
      </w:r>
      <w:r w:rsidRPr="00382917">
        <w:t>they</w:t>
      </w:r>
      <w:r w:rsidR="00EE4FC3">
        <w:t xml:space="preserve"> </w:t>
      </w:r>
      <w:r w:rsidRPr="00382917">
        <w:t>believed</w:t>
      </w:r>
      <w:r w:rsidR="00EE4FC3">
        <w:t xml:space="preserve"> </w:t>
      </w:r>
      <w:r w:rsidRPr="00382917">
        <w:t>no</w:t>
      </w:r>
      <w:r w:rsidR="00EE4FC3">
        <w:t xml:space="preserve"> </w:t>
      </w:r>
      <w:r w:rsidRPr="00382917">
        <w:t>more</w:t>
      </w:r>
      <w:r w:rsidR="00C03C91">
        <w:t>.</w:t>
      </w:r>
      <w:r w:rsidR="00EE4FC3">
        <w:t xml:space="preserve">  </w:t>
      </w:r>
      <w:r w:rsidRPr="00382917">
        <w:t>They</w:t>
      </w:r>
      <w:r w:rsidR="00EE4FC3">
        <w:t xml:space="preserve"> </w:t>
      </w:r>
      <w:r w:rsidRPr="00382917">
        <w:t>whispered</w:t>
      </w:r>
      <w:r w:rsidR="00EE4FC3">
        <w:t xml:space="preserve"> </w:t>
      </w:r>
      <w:r w:rsidRPr="00382917">
        <w:t>among</w:t>
      </w:r>
      <w:r w:rsidR="00EE4FC3">
        <w:t xml:space="preserve"> </w:t>
      </w:r>
      <w:r w:rsidRPr="00382917">
        <w:t>themselves</w:t>
      </w:r>
      <w:r w:rsidR="00EE4FC3">
        <w:t xml:space="preserve"> </w:t>
      </w:r>
      <w:r w:rsidRPr="00382917">
        <w:t>as</w:t>
      </w:r>
      <w:r w:rsidR="00EE4FC3">
        <w:t xml:space="preserve"> </w:t>
      </w:r>
      <w:r w:rsidRPr="00382917">
        <w:t>they</w:t>
      </w:r>
      <w:r w:rsidR="00EE4FC3">
        <w:t xml:space="preserve"> </w:t>
      </w:r>
      <w:r w:rsidRPr="00382917">
        <w:t>had</w:t>
      </w:r>
      <w:r w:rsidR="00EE4FC3">
        <w:t xml:space="preserve"> </w:t>
      </w:r>
      <w:r w:rsidRPr="00382917">
        <w:t>whispered</w:t>
      </w:r>
      <w:r w:rsidR="00EE4FC3">
        <w:t xml:space="preserve"> </w:t>
      </w:r>
      <w:r w:rsidRPr="00382917">
        <w:t>in</w:t>
      </w:r>
      <w:r w:rsidR="00EE4FC3">
        <w:t xml:space="preserve"> </w:t>
      </w:r>
      <w:r w:rsidRPr="00382917">
        <w:t>Jerusalem</w:t>
      </w:r>
      <w:r w:rsidR="00EE4FC3">
        <w:t xml:space="preserve"> </w:t>
      </w:r>
      <w:r w:rsidRPr="00382917">
        <w:t>when</w:t>
      </w:r>
      <w:r w:rsidR="00EE4FC3">
        <w:t xml:space="preserve"> </w:t>
      </w:r>
      <w:r w:rsidRPr="00382917">
        <w:t>Christ</w:t>
      </w:r>
      <w:r w:rsidR="00EE4FC3">
        <w:t xml:space="preserve"> </w:t>
      </w:r>
      <w:r w:rsidRPr="00382917">
        <w:t>was</w:t>
      </w:r>
      <w:r w:rsidR="00EE4FC3">
        <w:t xml:space="preserve"> </w:t>
      </w:r>
      <w:r w:rsidRPr="00382917">
        <w:t>delivered</w:t>
      </w:r>
      <w:r w:rsidR="00EE4FC3">
        <w:t xml:space="preserve"> </w:t>
      </w:r>
      <w:r w:rsidRPr="00382917">
        <w:t>in</w:t>
      </w:r>
      <w:r w:rsidR="00EE4FC3">
        <w:t xml:space="preserve"> </w:t>
      </w:r>
      <w:r w:rsidRPr="00382917">
        <w:t>turn</w:t>
      </w:r>
      <w:r w:rsidR="00EE4FC3">
        <w:t xml:space="preserve"> </w:t>
      </w:r>
      <w:r w:rsidRPr="00382917">
        <w:t>to</w:t>
      </w:r>
      <w:r w:rsidR="00EE4FC3">
        <w:t xml:space="preserve"> </w:t>
      </w:r>
      <w:r w:rsidR="00C72263" w:rsidRPr="00382917">
        <w:t>Caiaphas</w:t>
      </w:r>
      <w:r w:rsidR="00EE4FC3">
        <w:t xml:space="preserve"> </w:t>
      </w:r>
      <w:r w:rsidRPr="00382917">
        <w:t>and</w:t>
      </w:r>
      <w:r w:rsidR="00EE4FC3">
        <w:t xml:space="preserve"> </w:t>
      </w:r>
      <w:r w:rsidRPr="00382917">
        <w:t>Pilate.</w:t>
      </w:r>
    </w:p>
    <w:p w:rsidR="00540E31" w:rsidRPr="00382917" w:rsidRDefault="009C713D" w:rsidP="00665A7A">
      <w:pPr>
        <w:pStyle w:val="Text"/>
      </w:pPr>
      <w:r w:rsidRPr="00382917">
        <w:t>“</w:t>
      </w:r>
      <w:r w:rsidR="00540E31" w:rsidRPr="00382917">
        <w:t>If</w:t>
      </w:r>
      <w:r w:rsidR="00EE4FC3">
        <w:t xml:space="preserve"> </w:t>
      </w:r>
      <w:r w:rsidR="00540E31" w:rsidRPr="00382917">
        <w:t>this</w:t>
      </w:r>
      <w:r w:rsidR="00EE4FC3">
        <w:t xml:space="preserve"> </w:t>
      </w:r>
      <w:r w:rsidR="00540E31" w:rsidRPr="00382917">
        <w:t>is</w:t>
      </w:r>
      <w:r w:rsidR="00EE4FC3">
        <w:t xml:space="preserve"> </w:t>
      </w:r>
      <w:r w:rsidR="00540E31" w:rsidRPr="00382917">
        <w:t>the</w:t>
      </w:r>
      <w:r w:rsidR="00EE4FC3">
        <w:t xml:space="preserve"> </w:t>
      </w:r>
      <w:r w:rsidR="00540E31" w:rsidRPr="00382917">
        <w:t>Promised</w:t>
      </w:r>
      <w:r w:rsidR="00EE4FC3">
        <w:t xml:space="preserve"> </w:t>
      </w:r>
      <w:r w:rsidR="00540E31" w:rsidRPr="00382917">
        <w:t>One,</w:t>
      </w:r>
      <w:r w:rsidR="00EE4FC3">
        <w:t xml:space="preserve"> </w:t>
      </w:r>
      <w:r w:rsidR="00540E31" w:rsidRPr="00382917">
        <w:t>why</w:t>
      </w:r>
      <w:r w:rsidR="00EE4FC3">
        <w:t xml:space="preserve"> </w:t>
      </w:r>
      <w:r w:rsidR="00540E31" w:rsidRPr="00382917">
        <w:t>is</w:t>
      </w:r>
      <w:r w:rsidR="00EE4FC3">
        <w:t xml:space="preserve"> </w:t>
      </w:r>
      <w:r w:rsidR="00540E31" w:rsidRPr="00382917">
        <w:t>He</w:t>
      </w:r>
      <w:r w:rsidR="00EE4FC3">
        <w:t xml:space="preserve"> </w:t>
      </w:r>
      <w:r w:rsidR="00540E31" w:rsidRPr="00382917">
        <w:t>subjected</w:t>
      </w:r>
      <w:r w:rsidR="00EE4FC3">
        <w:t xml:space="preserve"> </w:t>
      </w:r>
      <w:r w:rsidR="00540E31" w:rsidRPr="00382917">
        <w:t>to</w:t>
      </w:r>
      <w:r w:rsidR="00EE4FC3">
        <w:t xml:space="preserve"> </w:t>
      </w:r>
      <w:r w:rsidR="00540E31" w:rsidRPr="00382917">
        <w:t>the</w:t>
      </w:r>
      <w:r w:rsidR="00EE4FC3">
        <w:t xml:space="preserve"> </w:t>
      </w:r>
      <w:r w:rsidR="00540E31" w:rsidRPr="00382917">
        <w:t>whims</w:t>
      </w:r>
      <w:r w:rsidR="00EE4FC3">
        <w:t xml:space="preserve"> </w:t>
      </w:r>
      <w:r w:rsidR="00540E31" w:rsidRPr="00382917">
        <w:t>of</w:t>
      </w:r>
      <w:r w:rsidR="00EE4FC3">
        <w:t xml:space="preserve"> </w:t>
      </w:r>
      <w:r w:rsidR="00540E31" w:rsidRPr="00382917">
        <w:t>the</w:t>
      </w:r>
      <w:r w:rsidR="00EE4FC3">
        <w:t xml:space="preserve"> </w:t>
      </w:r>
      <w:r w:rsidR="00540E31" w:rsidRPr="00382917">
        <w:t>men</w:t>
      </w:r>
      <w:r w:rsidR="00EE4FC3">
        <w:t xml:space="preserve"> </w:t>
      </w:r>
      <w:r w:rsidR="00540E31" w:rsidRPr="00382917">
        <w:t>of</w:t>
      </w:r>
      <w:r w:rsidR="00EE4FC3">
        <w:t xml:space="preserve"> </w:t>
      </w:r>
      <w:r w:rsidR="00540E31" w:rsidRPr="00382917">
        <w:t>earth?</w:t>
      </w:r>
      <w:r w:rsidRPr="00382917">
        <w:t>”</w:t>
      </w:r>
    </w:p>
    <w:p w:rsidR="00665A7A" w:rsidRPr="00382917" w:rsidRDefault="00665A7A" w:rsidP="00540E31"/>
    <w:p w:rsidR="00665A7A" w:rsidRPr="00382917" w:rsidRDefault="00665A7A" w:rsidP="00540E31">
      <w:pPr>
        <w:sectPr w:rsidR="00665A7A" w:rsidRPr="00382917" w:rsidSect="009073C7">
          <w:footnotePr>
            <w:numRestart w:val="eachPage"/>
          </w:footnotePr>
          <w:type w:val="evenPage"/>
          <w:pgSz w:w="8618" w:h="12984" w:code="188"/>
          <w:pgMar w:top="720" w:right="720" w:bottom="720" w:left="720" w:header="720" w:footer="567" w:gutter="357"/>
          <w:cols w:space="708"/>
          <w:noEndnote/>
          <w:titlePg/>
          <w:docGrid w:linePitch="272"/>
        </w:sectPr>
      </w:pPr>
    </w:p>
    <w:p w:rsidR="00540E31" w:rsidRPr="00382917" w:rsidRDefault="00417538" w:rsidP="00417538">
      <w:r w:rsidRPr="00382917">
        <w:rPr>
          <w:sz w:val="12"/>
          <w:szCs w:val="12"/>
        </w:rPr>
        <w:fldChar w:fldCharType="begin"/>
      </w:r>
      <w:r w:rsidR="00EE4FC3">
        <w:rPr>
          <w:sz w:val="12"/>
          <w:szCs w:val="12"/>
        </w:rPr>
        <w:instrText xml:space="preserve"> </w:instrText>
      </w:r>
      <w:proofErr w:type="gramStart"/>
      <w:r w:rsidRPr="00382917">
        <w:rPr>
          <w:sz w:val="12"/>
          <w:szCs w:val="12"/>
        </w:rPr>
        <w:instrText>TC</w:instrText>
      </w:r>
      <w:r w:rsidR="00EE4FC3">
        <w:rPr>
          <w:sz w:val="12"/>
          <w:szCs w:val="12"/>
        </w:rPr>
        <w:instrText xml:space="preserve">  </w:instrText>
      </w:r>
      <w:r w:rsidRPr="00382917">
        <w:rPr>
          <w:sz w:val="12"/>
          <w:szCs w:val="12"/>
        </w:rPr>
        <w:instrText>“</w:instrText>
      </w:r>
      <w:bookmarkStart w:id="14" w:name="_Toc206658610"/>
      <w:proofErr w:type="gramEnd"/>
      <w:r>
        <w:rPr>
          <w:sz w:val="12"/>
          <w:szCs w:val="12"/>
        </w:rPr>
        <w:tab/>
        <w:instrText>12.</w:instrText>
      </w:r>
      <w:r>
        <w:rPr>
          <w:sz w:val="12"/>
          <w:szCs w:val="12"/>
        </w:rPr>
        <w:tab/>
      </w:r>
      <w:r w:rsidRPr="00417538">
        <w:rPr>
          <w:sz w:val="12"/>
          <w:szCs w:val="12"/>
        </w:rPr>
        <w:instrText>The</w:instrText>
      </w:r>
      <w:r w:rsidR="00EE4FC3">
        <w:rPr>
          <w:sz w:val="12"/>
          <w:szCs w:val="12"/>
        </w:rPr>
        <w:instrText xml:space="preserve"> </w:instrText>
      </w:r>
      <w:r w:rsidRPr="00417538">
        <w:rPr>
          <w:sz w:val="12"/>
          <w:szCs w:val="12"/>
        </w:rPr>
        <w:instrText>high</w:instrText>
      </w:r>
      <w:r w:rsidR="00EE4FC3">
        <w:rPr>
          <w:sz w:val="12"/>
          <w:szCs w:val="12"/>
        </w:rPr>
        <w:instrText xml:space="preserve"> </w:instrText>
      </w:r>
      <w:r w:rsidRPr="00417538">
        <w:rPr>
          <w:sz w:val="12"/>
          <w:szCs w:val="12"/>
        </w:rPr>
        <w:instrText>stone</w:instrText>
      </w:r>
      <w:r w:rsidR="00EE4FC3">
        <w:rPr>
          <w:sz w:val="12"/>
          <w:szCs w:val="12"/>
        </w:rPr>
        <w:instrText xml:space="preserve"> </w:instrText>
      </w:r>
      <w:r w:rsidRPr="00417538">
        <w:rPr>
          <w:sz w:val="12"/>
          <w:szCs w:val="12"/>
        </w:rPr>
        <w:instrText>prison</w:instrText>
      </w:r>
      <w:proofErr w:type="gramStart"/>
      <w:r w:rsidRPr="00382917">
        <w:rPr>
          <w:color w:val="FFFFFF" w:themeColor="background1"/>
          <w:sz w:val="12"/>
          <w:szCs w:val="12"/>
        </w:rPr>
        <w:instrText>..</w:instrText>
      </w:r>
      <w:proofErr w:type="gramEnd"/>
      <w:r w:rsidRPr="00382917">
        <w:rPr>
          <w:sz w:val="12"/>
          <w:szCs w:val="12"/>
        </w:rPr>
        <w:tab/>
      </w:r>
      <w:r w:rsidRPr="00382917">
        <w:rPr>
          <w:color w:val="FFFFFF" w:themeColor="background1"/>
          <w:sz w:val="12"/>
          <w:szCs w:val="12"/>
        </w:rPr>
        <w:instrText>.</w:instrText>
      </w:r>
      <w:bookmarkEnd w:id="14"/>
      <w:proofErr w:type="gramStart"/>
      <w:r w:rsidRPr="00382917">
        <w:rPr>
          <w:sz w:val="12"/>
          <w:szCs w:val="12"/>
        </w:rPr>
        <w:instrText>”</w:instrText>
      </w:r>
      <w:r w:rsidR="00EE4FC3">
        <w:rPr>
          <w:sz w:val="12"/>
          <w:szCs w:val="12"/>
        </w:rPr>
        <w:instrText xml:space="preserve"> </w:instrText>
      </w:r>
      <w:proofErr w:type="gramEnd"/>
      <w:r w:rsidRPr="00382917">
        <w:rPr>
          <w:sz w:val="12"/>
          <w:szCs w:val="12"/>
        </w:rPr>
        <w:instrText>\l</w:instrText>
      </w:r>
      <w:r w:rsidR="00EE4FC3">
        <w:rPr>
          <w:sz w:val="12"/>
          <w:szCs w:val="12"/>
        </w:rPr>
        <w:instrText xml:space="preserve"> </w:instrText>
      </w:r>
      <w:r w:rsidRPr="00382917">
        <w:rPr>
          <w:sz w:val="12"/>
          <w:szCs w:val="12"/>
        </w:rPr>
        <w:instrText>1</w:instrText>
      </w:r>
      <w:r w:rsidR="00EE4FC3">
        <w:rPr>
          <w:sz w:val="12"/>
          <w:szCs w:val="12"/>
        </w:rPr>
        <w:instrText xml:space="preserve"> </w:instrText>
      </w:r>
      <w:r w:rsidRPr="00382917">
        <w:rPr>
          <w:sz w:val="12"/>
          <w:szCs w:val="12"/>
        </w:rPr>
        <w:fldChar w:fldCharType="end"/>
      </w:r>
    </w:p>
    <w:p w:rsidR="00665A7A" w:rsidRPr="00382917" w:rsidRDefault="00665A7A" w:rsidP="00540E31"/>
    <w:p w:rsidR="00540E31" w:rsidRPr="00382917" w:rsidRDefault="00665A7A" w:rsidP="00417538">
      <w:pPr>
        <w:pStyle w:val="Myheadc"/>
      </w:pPr>
      <w:r w:rsidRPr="00382917">
        <w:t>12</w:t>
      </w:r>
      <w:r w:rsidR="00417538">
        <w:br/>
      </w:r>
      <w:r w:rsidRPr="00382917">
        <w:rPr>
          <w:noProof/>
          <w:lang w:val="en-AU" w:eastAsia="en-AU"/>
          <w14:numForm w14:val="default"/>
          <w14:numSpacing w14:val="default"/>
        </w:rPr>
        <w:drawing>
          <wp:inline distT="0" distB="0" distL="0" distR="0" wp14:anchorId="6E4468A7" wp14:editId="516FC6B4">
            <wp:extent cx="396000" cy="392400"/>
            <wp:effectExtent l="0" t="0" r="4445" b="825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p.emf"/>
                    <pic:cNvPicPr/>
                  </pic:nvPicPr>
                  <pic:blipFill>
                    <a:blip r:embed="rId17">
                      <a:extLst>
                        <a:ext uri="{28A0092B-C50C-407E-A947-70E740481C1C}">
                          <a14:useLocalDpi xmlns:a14="http://schemas.microsoft.com/office/drawing/2010/main" val="0"/>
                        </a:ext>
                      </a:extLst>
                    </a:blip>
                    <a:stretch>
                      <a:fillRect/>
                    </a:stretch>
                  </pic:blipFill>
                  <pic:spPr>
                    <a:xfrm>
                      <a:off x="0" y="0"/>
                      <a:ext cx="396000" cy="392400"/>
                    </a:xfrm>
                    <a:prstGeom prst="rect">
                      <a:avLst/>
                    </a:prstGeom>
                  </pic:spPr>
                </pic:pic>
              </a:graphicData>
            </a:graphic>
          </wp:inline>
        </w:drawing>
      </w:r>
      <w:r w:rsidR="00417538">
        <w:br/>
      </w:r>
      <w:r w:rsidR="00540E31" w:rsidRPr="00382917">
        <w:t>T</w:t>
      </w:r>
      <w:r w:rsidRPr="00382917">
        <w:t>he</w:t>
      </w:r>
      <w:r w:rsidR="00EE4FC3">
        <w:t xml:space="preserve"> </w:t>
      </w:r>
      <w:r w:rsidRPr="00382917">
        <w:t>high</w:t>
      </w:r>
      <w:r w:rsidR="00EE4FC3">
        <w:t xml:space="preserve"> </w:t>
      </w:r>
      <w:r w:rsidRPr="00382917">
        <w:t>stone</w:t>
      </w:r>
      <w:r w:rsidR="00EE4FC3">
        <w:t xml:space="preserve"> </w:t>
      </w:r>
      <w:r w:rsidRPr="00382917">
        <w:t>prison</w:t>
      </w:r>
    </w:p>
    <w:p w:rsidR="00540E31" w:rsidRPr="00382917" w:rsidRDefault="00540E31" w:rsidP="00C03C91">
      <w:pPr>
        <w:pStyle w:val="Text"/>
      </w:pPr>
      <w:r w:rsidRPr="00382917">
        <w:t>The</w:t>
      </w:r>
      <w:r w:rsidR="00EE4FC3">
        <w:t xml:space="preserve"> </w:t>
      </w:r>
      <w:r w:rsidRPr="00382917">
        <w:t>Báb</w:t>
      </w:r>
      <w:r w:rsidR="00EE4FC3">
        <w:t xml:space="preserve"> </w:t>
      </w:r>
      <w:r w:rsidRPr="00382917">
        <w:t>was</w:t>
      </w:r>
      <w:r w:rsidR="00EE4FC3">
        <w:t xml:space="preserve"> </w:t>
      </w:r>
      <w:r w:rsidRPr="00382917">
        <w:t>delivered</w:t>
      </w:r>
      <w:r w:rsidR="00EE4FC3">
        <w:t xml:space="preserve"> </w:t>
      </w:r>
      <w:r w:rsidRPr="00382917">
        <w:t>into</w:t>
      </w:r>
      <w:r w:rsidR="00EE4FC3">
        <w:t xml:space="preserve"> </w:t>
      </w:r>
      <w:r w:rsidRPr="00382917">
        <w:t>the</w:t>
      </w:r>
      <w:r w:rsidR="00EE4FC3">
        <w:t xml:space="preserve"> </w:t>
      </w:r>
      <w:r w:rsidRPr="00382917">
        <w:t>custody</w:t>
      </w:r>
      <w:r w:rsidR="00EE4FC3">
        <w:t xml:space="preserve"> </w:t>
      </w:r>
      <w:r w:rsidRPr="00382917">
        <w:t>of</w:t>
      </w:r>
      <w:r w:rsidR="00EE4FC3">
        <w:t xml:space="preserve"> </w:t>
      </w:r>
      <w:r w:rsidRPr="00382917">
        <w:t>the</w:t>
      </w:r>
      <w:r w:rsidR="00EE4FC3">
        <w:t xml:space="preserve"> </w:t>
      </w:r>
      <w:r w:rsidRPr="00382917">
        <w:t>warden,</w:t>
      </w:r>
      <w:r w:rsidR="00EE4FC3">
        <w:t xml:space="preserve"> </w:t>
      </w:r>
      <w:r w:rsidR="009C713D" w:rsidRPr="00382917">
        <w:t>‘</w:t>
      </w:r>
      <w:r w:rsidRPr="00382917">
        <w:t>Alí</w:t>
      </w:r>
      <w:r w:rsidR="00EE4FC3">
        <w:t xml:space="preserve"> </w:t>
      </w:r>
      <w:r w:rsidR="0040329F" w:rsidRPr="0040329F">
        <w:rPr>
          <w:u w:val="single"/>
        </w:rPr>
        <w:t>Kh</w:t>
      </w:r>
      <w:r w:rsidR="0040329F" w:rsidRPr="00382917">
        <w:t>án</w:t>
      </w:r>
      <w:r w:rsidRPr="00382917">
        <w:t>,</w:t>
      </w:r>
      <w:r w:rsidR="00EE4FC3">
        <w:t xml:space="preserve"> </w:t>
      </w:r>
      <w:r w:rsidRPr="00382917">
        <w:t>at</w:t>
      </w:r>
      <w:r w:rsidR="00EE4FC3">
        <w:t xml:space="preserve"> </w:t>
      </w:r>
      <w:r w:rsidRPr="00382917">
        <w:t>Máh-Kú,</w:t>
      </w:r>
      <w:r w:rsidR="00EE4FC3">
        <w:t xml:space="preserve"> </w:t>
      </w:r>
      <w:r w:rsidRPr="00382917">
        <w:t>where</w:t>
      </w:r>
      <w:r w:rsidR="00EE4FC3">
        <w:t xml:space="preserve"> </w:t>
      </w:r>
      <w:r w:rsidRPr="00382917">
        <w:t>He</w:t>
      </w:r>
      <w:r w:rsidR="00EE4FC3">
        <w:t xml:space="preserve"> </w:t>
      </w:r>
      <w:r w:rsidRPr="00382917">
        <w:t>was</w:t>
      </w:r>
      <w:r w:rsidR="00EE4FC3">
        <w:t xml:space="preserve"> </w:t>
      </w:r>
      <w:r w:rsidRPr="00382917">
        <w:t>shut</w:t>
      </w:r>
      <w:r w:rsidR="00EE4FC3">
        <w:t xml:space="preserve"> </w:t>
      </w:r>
      <w:r w:rsidRPr="00382917">
        <w:t>up</w:t>
      </w:r>
      <w:r w:rsidR="00EE4FC3">
        <w:t xml:space="preserve"> </w:t>
      </w:r>
      <w:r w:rsidRPr="00382917">
        <w:t>inside</w:t>
      </w:r>
      <w:r w:rsidR="00EE4FC3">
        <w:t xml:space="preserve"> </w:t>
      </w:r>
      <w:r w:rsidRPr="00382917">
        <w:t>a</w:t>
      </w:r>
      <w:r w:rsidR="00EE4FC3">
        <w:t xml:space="preserve"> </w:t>
      </w:r>
      <w:r w:rsidRPr="00382917">
        <w:t>four-towered,</w:t>
      </w:r>
      <w:r w:rsidR="00EE4FC3">
        <w:t xml:space="preserve"> </w:t>
      </w:r>
      <w:r w:rsidRPr="00382917">
        <w:t>stone</w:t>
      </w:r>
      <w:r w:rsidR="00EE4FC3">
        <w:t xml:space="preserve"> </w:t>
      </w:r>
      <w:r w:rsidRPr="00382917">
        <w:t>castle-fortress,</w:t>
      </w:r>
      <w:r w:rsidR="00EE4FC3">
        <w:t xml:space="preserve"> </w:t>
      </w:r>
      <w:proofErr w:type="gramStart"/>
      <w:r w:rsidRPr="00382917">
        <w:t>high</w:t>
      </w:r>
      <w:proofErr w:type="gramEnd"/>
      <w:r w:rsidR="00EE4FC3">
        <w:t xml:space="preserve"> </w:t>
      </w:r>
      <w:r w:rsidRPr="00382917">
        <w:t>on</w:t>
      </w:r>
      <w:r w:rsidR="00EE4FC3">
        <w:t xml:space="preserve"> </w:t>
      </w:r>
      <w:r w:rsidRPr="00382917">
        <w:t>the</w:t>
      </w:r>
      <w:r w:rsidR="00EE4FC3">
        <w:t xml:space="preserve"> </w:t>
      </w:r>
      <w:r w:rsidRPr="00382917">
        <w:t>summit</w:t>
      </w:r>
      <w:r w:rsidR="00EE4FC3">
        <w:t xml:space="preserve"> </w:t>
      </w:r>
      <w:r w:rsidRPr="00382917">
        <w:t>of</w:t>
      </w:r>
      <w:r w:rsidR="00EE4FC3">
        <w:t xml:space="preserve"> </w:t>
      </w:r>
      <w:r w:rsidRPr="00382917">
        <w:t>a</w:t>
      </w:r>
      <w:r w:rsidR="00EE4FC3">
        <w:t xml:space="preserve"> </w:t>
      </w:r>
      <w:r w:rsidRPr="00382917">
        <w:t>mountain.</w:t>
      </w:r>
      <w:r w:rsidR="00EE4FC3">
        <w:t xml:space="preserve">  </w:t>
      </w:r>
      <w:r w:rsidRPr="00382917">
        <w:t>Below</w:t>
      </w:r>
      <w:r w:rsidR="00EE4FC3">
        <w:t xml:space="preserve"> </w:t>
      </w:r>
      <w:r w:rsidRPr="00382917">
        <w:t>the</w:t>
      </w:r>
      <w:r w:rsidR="00EE4FC3">
        <w:t xml:space="preserve"> </w:t>
      </w:r>
      <w:r w:rsidRPr="00382917">
        <w:t>fortress,</w:t>
      </w:r>
      <w:r w:rsidR="00EE4FC3">
        <w:t xml:space="preserve"> </w:t>
      </w:r>
      <w:r w:rsidRPr="00382917">
        <w:t>on</w:t>
      </w:r>
      <w:r w:rsidR="00EE4FC3">
        <w:t xml:space="preserve"> </w:t>
      </w:r>
      <w:r w:rsidRPr="00382917">
        <w:t>the</w:t>
      </w:r>
      <w:r w:rsidR="00EE4FC3">
        <w:t xml:space="preserve"> </w:t>
      </w:r>
      <w:r w:rsidRPr="00382917">
        <w:t>west,</w:t>
      </w:r>
      <w:r w:rsidR="00EE4FC3">
        <w:t xml:space="preserve"> </w:t>
      </w:r>
      <w:r w:rsidRPr="00382917">
        <w:t>flowed</w:t>
      </w:r>
      <w:r w:rsidR="00EE4FC3">
        <w:t xml:space="preserve"> </w:t>
      </w:r>
      <w:r w:rsidRPr="00382917">
        <w:t>the</w:t>
      </w:r>
      <w:r w:rsidR="00EE4FC3">
        <w:t xml:space="preserve"> </w:t>
      </w:r>
      <w:r w:rsidRPr="00382917">
        <w:t>river</w:t>
      </w:r>
      <w:r w:rsidR="00EE4FC3">
        <w:t xml:space="preserve"> </w:t>
      </w:r>
      <w:r w:rsidRPr="00382917">
        <w:t>Araxes,</w:t>
      </w:r>
      <w:r w:rsidR="00EE4FC3">
        <w:t xml:space="preserve"> </w:t>
      </w:r>
      <w:r w:rsidRPr="00382917">
        <w:t>the</w:t>
      </w:r>
      <w:r w:rsidR="00EE4FC3">
        <w:t xml:space="preserve"> </w:t>
      </w:r>
      <w:r w:rsidRPr="00382917">
        <w:t>boundary</w:t>
      </w:r>
      <w:r w:rsidR="00EE4FC3">
        <w:t xml:space="preserve"> </w:t>
      </w:r>
      <w:r w:rsidRPr="00382917">
        <w:t>between</w:t>
      </w:r>
      <w:r w:rsidR="00EE4FC3">
        <w:t xml:space="preserve"> </w:t>
      </w:r>
      <w:r w:rsidRPr="00382917">
        <w:t>Persia</w:t>
      </w:r>
      <w:r w:rsidR="00EE4FC3">
        <w:t xml:space="preserve"> </w:t>
      </w:r>
      <w:r w:rsidRPr="00382917">
        <w:t>and</w:t>
      </w:r>
      <w:r w:rsidR="00EE4FC3">
        <w:t xml:space="preserve"> </w:t>
      </w:r>
      <w:r w:rsidRPr="00382917">
        <w:t>Russia.</w:t>
      </w:r>
    </w:p>
    <w:p w:rsidR="00540E31" w:rsidRPr="00382917" w:rsidRDefault="00540E31" w:rsidP="00C72263">
      <w:pPr>
        <w:pStyle w:val="Text"/>
      </w:pPr>
      <w:r w:rsidRPr="00382917">
        <w:t>The</w:t>
      </w:r>
      <w:r w:rsidR="00EE4FC3">
        <w:t xml:space="preserve"> </w:t>
      </w:r>
      <w:r w:rsidRPr="00382917">
        <w:t>Prime</w:t>
      </w:r>
      <w:r w:rsidR="00EE4FC3">
        <w:t xml:space="preserve"> </w:t>
      </w:r>
      <w:r w:rsidRPr="00382917">
        <w:t>Minister,</w:t>
      </w:r>
      <w:r w:rsidR="00EE4FC3">
        <w:t xml:space="preserve"> </w:t>
      </w:r>
      <w:r w:rsidRPr="00382917">
        <w:t>Ḥájí</w:t>
      </w:r>
      <w:r w:rsidR="00EE4FC3">
        <w:t xml:space="preserve"> </w:t>
      </w:r>
      <w:r w:rsidRPr="00382917">
        <w:t>Mírzá</w:t>
      </w:r>
      <w:r w:rsidR="00EE4FC3">
        <w:t xml:space="preserve"> </w:t>
      </w:r>
      <w:r w:rsidRPr="00382917">
        <w:t>Áqásí,</w:t>
      </w:r>
      <w:r w:rsidR="00EE4FC3">
        <w:t xml:space="preserve"> </w:t>
      </w:r>
      <w:r w:rsidRPr="00382917">
        <w:t>had</w:t>
      </w:r>
      <w:r w:rsidR="00EE4FC3">
        <w:t xml:space="preserve"> </w:t>
      </w:r>
      <w:r w:rsidRPr="00382917">
        <w:t>chosen</w:t>
      </w:r>
      <w:r w:rsidR="00EE4FC3">
        <w:t xml:space="preserve"> </w:t>
      </w:r>
      <w:r w:rsidRPr="00382917">
        <w:t>Máh-Kú</w:t>
      </w:r>
      <w:r w:rsidR="00EE4FC3">
        <w:t xml:space="preserve"> </w:t>
      </w:r>
      <w:r w:rsidRPr="00382917">
        <w:t>for</w:t>
      </w:r>
      <w:r w:rsidR="00EE4FC3">
        <w:t xml:space="preserve"> </w:t>
      </w:r>
      <w:r w:rsidRPr="00382917">
        <w:t>the</w:t>
      </w:r>
      <w:r w:rsidR="00EE4FC3">
        <w:t xml:space="preserve"> </w:t>
      </w:r>
      <w:r w:rsidRPr="00382917">
        <w:t>Báb</w:t>
      </w:r>
      <w:r w:rsidR="009C713D" w:rsidRPr="00382917">
        <w:t>’</w:t>
      </w:r>
      <w:r w:rsidRPr="00382917">
        <w:t>s</w:t>
      </w:r>
      <w:r w:rsidR="00EE4FC3">
        <w:t xml:space="preserve"> </w:t>
      </w:r>
      <w:r w:rsidRPr="00382917">
        <w:t>imprisonment</w:t>
      </w:r>
      <w:r w:rsidR="00EE4FC3">
        <w:t xml:space="preserve"> </w:t>
      </w:r>
      <w:r w:rsidRPr="00382917">
        <w:t>for</w:t>
      </w:r>
      <w:r w:rsidR="00EE4FC3">
        <w:t xml:space="preserve"> </w:t>
      </w:r>
      <w:r w:rsidRPr="00382917">
        <w:t>only</w:t>
      </w:r>
      <w:r w:rsidR="00EE4FC3">
        <w:t xml:space="preserve"> </w:t>
      </w:r>
      <w:r w:rsidRPr="00382917">
        <w:t>one</w:t>
      </w:r>
      <w:r w:rsidR="00EE4FC3">
        <w:t xml:space="preserve"> </w:t>
      </w:r>
      <w:r w:rsidRPr="00382917">
        <w:t>reason</w:t>
      </w:r>
      <w:r w:rsidR="00C03C91">
        <w:t>.</w:t>
      </w:r>
      <w:r w:rsidR="00EE4FC3">
        <w:t xml:space="preserve">  </w:t>
      </w:r>
      <w:r w:rsidRPr="00382917">
        <w:t>It</w:t>
      </w:r>
      <w:r w:rsidR="00EE4FC3">
        <w:t xml:space="preserve"> </w:t>
      </w:r>
      <w:r w:rsidRPr="00382917">
        <w:t>was</w:t>
      </w:r>
      <w:r w:rsidR="00EE4FC3">
        <w:t xml:space="preserve"> </w:t>
      </w:r>
      <w:r w:rsidRPr="00382917">
        <w:t>a</w:t>
      </w:r>
      <w:r w:rsidR="00EE4FC3">
        <w:t xml:space="preserve"> </w:t>
      </w:r>
      <w:r w:rsidRPr="00382917">
        <w:t>wild</w:t>
      </w:r>
      <w:r w:rsidR="00EE4FC3">
        <w:t xml:space="preserve"> </w:t>
      </w:r>
      <w:r w:rsidRPr="00382917">
        <w:t>and</w:t>
      </w:r>
      <w:r w:rsidR="00EE4FC3">
        <w:t xml:space="preserve"> </w:t>
      </w:r>
      <w:r w:rsidRPr="00382917">
        <w:t>inhospitable</w:t>
      </w:r>
      <w:r w:rsidR="00EE4FC3">
        <w:t xml:space="preserve"> </w:t>
      </w:r>
      <w:r w:rsidRPr="00382917">
        <w:t>region,</w:t>
      </w:r>
      <w:r w:rsidR="00EE4FC3">
        <w:t xml:space="preserve"> </w:t>
      </w:r>
      <w:r w:rsidRPr="00382917">
        <w:t>inhabited</w:t>
      </w:r>
      <w:r w:rsidR="00EE4FC3">
        <w:t xml:space="preserve"> </w:t>
      </w:r>
      <w:r w:rsidRPr="00382917">
        <w:t>by</w:t>
      </w:r>
      <w:r w:rsidR="00EE4FC3">
        <w:t xml:space="preserve"> </w:t>
      </w:r>
      <w:r w:rsidRPr="00382917">
        <w:t>people</w:t>
      </w:r>
      <w:r w:rsidR="00EE4FC3">
        <w:t xml:space="preserve"> </w:t>
      </w:r>
      <w:r w:rsidRPr="00382917">
        <w:t>who</w:t>
      </w:r>
      <w:r w:rsidR="00EE4FC3">
        <w:t xml:space="preserve"> </w:t>
      </w:r>
      <w:r w:rsidRPr="00382917">
        <w:t>had</w:t>
      </w:r>
      <w:r w:rsidR="00EE4FC3">
        <w:t xml:space="preserve"> </w:t>
      </w:r>
      <w:r w:rsidRPr="00382917">
        <w:t>always</w:t>
      </w:r>
      <w:r w:rsidR="00EE4FC3">
        <w:t xml:space="preserve"> </w:t>
      </w:r>
      <w:r w:rsidRPr="00382917">
        <w:t>been</w:t>
      </w:r>
      <w:r w:rsidR="00EE4FC3">
        <w:t xml:space="preserve"> </w:t>
      </w:r>
      <w:r w:rsidRPr="00382917">
        <w:t>the</w:t>
      </w:r>
      <w:r w:rsidR="00EE4FC3">
        <w:t xml:space="preserve"> </w:t>
      </w:r>
      <w:r w:rsidRPr="00382917">
        <w:t>bitter</w:t>
      </w:r>
      <w:r w:rsidR="00EE4FC3">
        <w:t xml:space="preserve"> </w:t>
      </w:r>
      <w:r w:rsidRPr="00382917">
        <w:t>enemies</w:t>
      </w:r>
      <w:r w:rsidR="00EE4FC3">
        <w:t xml:space="preserve"> </w:t>
      </w:r>
      <w:r w:rsidRPr="00382917">
        <w:t>of</w:t>
      </w:r>
      <w:r w:rsidR="00EE4FC3">
        <w:t xml:space="preserve"> </w:t>
      </w:r>
      <w:r w:rsidRPr="00382917">
        <w:t>the</w:t>
      </w:r>
      <w:r w:rsidR="00EE4FC3">
        <w:t xml:space="preserve"> </w:t>
      </w:r>
      <w:r w:rsidRPr="00382917">
        <w:t>Persians</w:t>
      </w:r>
      <w:r w:rsidR="00C03C91">
        <w:t>.</w:t>
      </w:r>
      <w:r w:rsidR="00EE4FC3">
        <w:t xml:space="preserve">  </w:t>
      </w:r>
      <w:r w:rsidRPr="00382917">
        <w:t>The</w:t>
      </w:r>
      <w:r w:rsidR="00EE4FC3">
        <w:t xml:space="preserve"> </w:t>
      </w:r>
      <w:r w:rsidRPr="00382917">
        <w:t>Prime</w:t>
      </w:r>
      <w:r w:rsidR="00EE4FC3">
        <w:t xml:space="preserve"> </w:t>
      </w:r>
      <w:r w:rsidRPr="00382917">
        <w:t>Minister</w:t>
      </w:r>
      <w:r w:rsidR="00EE4FC3">
        <w:t xml:space="preserve"> </w:t>
      </w:r>
      <w:r w:rsidRPr="00382917">
        <w:t>had</w:t>
      </w:r>
      <w:r w:rsidR="00EE4FC3">
        <w:t xml:space="preserve"> </w:t>
      </w:r>
      <w:r w:rsidRPr="00382917">
        <w:t>bestowed</w:t>
      </w:r>
      <w:r w:rsidR="00EE4FC3">
        <w:t xml:space="preserve"> </w:t>
      </w:r>
      <w:r w:rsidRPr="00382917">
        <w:t>many</w:t>
      </w:r>
      <w:r w:rsidR="00EE4FC3">
        <w:t xml:space="preserve"> </w:t>
      </w:r>
      <w:proofErr w:type="spellStart"/>
      <w:r w:rsidRPr="00382917">
        <w:t>favors</w:t>
      </w:r>
      <w:proofErr w:type="spellEnd"/>
      <w:r w:rsidR="00EE4FC3">
        <w:t xml:space="preserve"> </w:t>
      </w:r>
      <w:r w:rsidRPr="00382917">
        <w:t>upon</w:t>
      </w:r>
      <w:r w:rsidR="00EE4FC3">
        <w:t xml:space="preserve"> </w:t>
      </w:r>
      <w:r w:rsidRPr="00382917">
        <w:t>this</w:t>
      </w:r>
      <w:r w:rsidR="00EE4FC3">
        <w:t xml:space="preserve"> </w:t>
      </w:r>
      <w:r w:rsidRPr="00382917">
        <w:t>rebellious</w:t>
      </w:r>
      <w:r w:rsidR="00EE4FC3">
        <w:t xml:space="preserve"> </w:t>
      </w:r>
      <w:r w:rsidRPr="00382917">
        <w:t>region</w:t>
      </w:r>
      <w:r w:rsidR="00EE4FC3">
        <w:t xml:space="preserve"> </w:t>
      </w:r>
      <w:r w:rsidRPr="00382917">
        <w:t>and</w:t>
      </w:r>
      <w:r w:rsidR="00EE4FC3">
        <w:t xml:space="preserve"> </w:t>
      </w:r>
      <w:r w:rsidRPr="00382917">
        <w:t>it</w:t>
      </w:r>
      <w:r w:rsidR="00EE4FC3">
        <w:t xml:space="preserve"> </w:t>
      </w:r>
      <w:r w:rsidRPr="00382917">
        <w:t>was</w:t>
      </w:r>
      <w:r w:rsidR="00EE4FC3">
        <w:t xml:space="preserve"> </w:t>
      </w:r>
      <w:r w:rsidRPr="00382917">
        <w:t>now</w:t>
      </w:r>
      <w:r w:rsidR="00EE4FC3">
        <w:t xml:space="preserve"> </w:t>
      </w:r>
      <w:r w:rsidRPr="00382917">
        <w:t>under</w:t>
      </w:r>
      <w:r w:rsidR="00EE4FC3">
        <w:t xml:space="preserve"> </w:t>
      </w:r>
      <w:r w:rsidRPr="00382917">
        <w:t>his</w:t>
      </w:r>
      <w:r w:rsidR="00EE4FC3">
        <w:t xml:space="preserve"> </w:t>
      </w:r>
      <w:r w:rsidRPr="00382917">
        <w:t>complete</w:t>
      </w:r>
      <w:r w:rsidR="00EE4FC3">
        <w:t xml:space="preserve"> </w:t>
      </w:r>
      <w:r w:rsidRPr="00382917">
        <w:t>control.</w:t>
      </w:r>
      <w:r w:rsidR="00C72263">
        <w:rPr>
          <w:rStyle w:val="FootnoteReference"/>
        </w:rPr>
        <w:footnoteReference w:id="72"/>
      </w:r>
      <w:r w:rsidR="00EE4FC3">
        <w:t xml:space="preserve">  </w:t>
      </w:r>
      <w:r w:rsidRPr="00382917">
        <w:t>Ḥáj</w:t>
      </w:r>
      <w:r w:rsidR="00665A7A" w:rsidRPr="00382917">
        <w:t>í</w:t>
      </w:r>
      <w:r w:rsidR="00EE4FC3">
        <w:t xml:space="preserve"> </w:t>
      </w:r>
      <w:r w:rsidRPr="00382917">
        <w:t>Mírzá</w:t>
      </w:r>
      <w:r w:rsidR="00EE4FC3">
        <w:t xml:space="preserve"> </w:t>
      </w:r>
      <w:r w:rsidRPr="00382917">
        <w:t>Áqásí</w:t>
      </w:r>
      <w:r w:rsidR="00EE4FC3">
        <w:t xml:space="preserve"> </w:t>
      </w:r>
      <w:r w:rsidRPr="00382917">
        <w:t>felt</w:t>
      </w:r>
      <w:r w:rsidR="00EE4FC3">
        <w:t xml:space="preserve"> </w:t>
      </w:r>
      <w:r w:rsidRPr="00382917">
        <w:t>certain</w:t>
      </w:r>
      <w:r w:rsidR="00EE4FC3">
        <w:t xml:space="preserve"> </w:t>
      </w:r>
      <w:r w:rsidRPr="00382917">
        <w:t>that</w:t>
      </w:r>
      <w:r w:rsidR="00EE4FC3">
        <w:t xml:space="preserve"> </w:t>
      </w:r>
      <w:r w:rsidRPr="00382917">
        <w:t>by</w:t>
      </w:r>
      <w:r w:rsidR="00EE4FC3">
        <w:t xml:space="preserve"> </w:t>
      </w:r>
      <w:r w:rsidRPr="00382917">
        <w:t>this</w:t>
      </w:r>
      <w:r w:rsidR="00EE4FC3">
        <w:t xml:space="preserve"> </w:t>
      </w:r>
      <w:r w:rsidRPr="00382917">
        <w:t>imprisonment</w:t>
      </w:r>
      <w:r w:rsidR="00EE4FC3">
        <w:t xml:space="preserve"> </w:t>
      </w:r>
      <w:r w:rsidRPr="00382917">
        <w:t>he</w:t>
      </w:r>
      <w:r w:rsidR="00EE4FC3">
        <w:t xml:space="preserve"> </w:t>
      </w:r>
      <w:r w:rsidRPr="00382917">
        <w:t>could</w:t>
      </w:r>
      <w:r w:rsidR="00EE4FC3">
        <w:t xml:space="preserve"> </w:t>
      </w:r>
      <w:r w:rsidRPr="00382917">
        <w:t>cut</w:t>
      </w:r>
      <w:r w:rsidR="00EE4FC3">
        <w:t xml:space="preserve"> </w:t>
      </w:r>
      <w:r w:rsidRPr="00382917">
        <w:t>the</w:t>
      </w:r>
      <w:r w:rsidR="00EE4FC3">
        <w:t xml:space="preserve"> </w:t>
      </w:r>
      <w:r w:rsidRPr="00382917">
        <w:t>Báb</w:t>
      </w:r>
      <w:r w:rsidR="00EE4FC3">
        <w:t xml:space="preserve"> </w:t>
      </w:r>
      <w:r w:rsidRPr="00382917">
        <w:t>off</w:t>
      </w:r>
      <w:r w:rsidR="00EE4FC3">
        <w:t xml:space="preserve"> </w:t>
      </w:r>
      <w:r w:rsidRPr="00382917">
        <w:t>permanently</w:t>
      </w:r>
      <w:r w:rsidR="00EE4FC3">
        <w:t xml:space="preserve"> </w:t>
      </w:r>
      <w:r w:rsidRPr="00382917">
        <w:t>from</w:t>
      </w:r>
      <w:r w:rsidR="00EE4FC3">
        <w:t xml:space="preserve"> </w:t>
      </w:r>
      <w:r w:rsidRPr="00382917">
        <w:t>His</w:t>
      </w:r>
      <w:r w:rsidR="00EE4FC3">
        <w:t xml:space="preserve"> </w:t>
      </w:r>
      <w:r w:rsidRPr="00382917">
        <w:t>followers,</w:t>
      </w:r>
      <w:r w:rsidR="00EE4FC3">
        <w:t xml:space="preserve"> </w:t>
      </w:r>
      <w:r w:rsidRPr="00382917">
        <w:t>and</w:t>
      </w:r>
      <w:r w:rsidR="00EE4FC3">
        <w:t xml:space="preserve"> </w:t>
      </w:r>
      <w:r w:rsidRPr="00382917">
        <w:t>separate</w:t>
      </w:r>
      <w:r w:rsidR="00EE4FC3">
        <w:t xml:space="preserve"> </w:t>
      </w:r>
      <w:r w:rsidRPr="00382917">
        <w:t>Him</w:t>
      </w:r>
      <w:r w:rsidR="00EE4FC3">
        <w:t xml:space="preserve"> </w:t>
      </w:r>
      <w:r w:rsidRPr="00382917">
        <w:t>from</w:t>
      </w:r>
      <w:r w:rsidR="00EE4FC3">
        <w:t xml:space="preserve"> </w:t>
      </w:r>
      <w:r w:rsidRPr="00382917">
        <w:t>their</w:t>
      </w:r>
      <w:r w:rsidR="00EE4FC3">
        <w:t xml:space="preserve"> </w:t>
      </w:r>
      <w:r w:rsidRPr="00382917">
        <w:t>activities</w:t>
      </w:r>
      <w:r w:rsidR="00C03C91">
        <w:t>.</w:t>
      </w:r>
      <w:r w:rsidR="00EE4FC3">
        <w:t xml:space="preserve">  </w:t>
      </w:r>
      <w:r w:rsidRPr="00382917">
        <w:t>In</w:t>
      </w:r>
      <w:r w:rsidR="00EE4FC3">
        <w:t xml:space="preserve"> </w:t>
      </w:r>
      <w:r w:rsidRPr="00382917">
        <w:t>this</w:t>
      </w:r>
      <w:r w:rsidR="00EE4FC3">
        <w:t xml:space="preserve"> </w:t>
      </w:r>
      <w:r w:rsidRPr="00382917">
        <w:t>way,</w:t>
      </w:r>
      <w:r w:rsidR="00EE4FC3">
        <w:t xml:space="preserve"> </w:t>
      </w:r>
      <w:r w:rsidRPr="00382917">
        <w:t>His</w:t>
      </w:r>
      <w:r w:rsidR="00EE4FC3">
        <w:t xml:space="preserve"> </w:t>
      </w:r>
      <w:r w:rsidRPr="00382917">
        <w:t>Cause</w:t>
      </w:r>
      <w:r w:rsidR="00EE4FC3">
        <w:t xml:space="preserve"> </w:t>
      </w:r>
      <w:r w:rsidRPr="00382917">
        <w:t>would</w:t>
      </w:r>
      <w:r w:rsidR="00EE4FC3">
        <w:t xml:space="preserve"> </w:t>
      </w:r>
      <w:r w:rsidRPr="00382917">
        <w:t>be</w:t>
      </w:r>
      <w:r w:rsidR="00EE4FC3">
        <w:t xml:space="preserve"> </w:t>
      </w:r>
      <w:r w:rsidRPr="00382917">
        <w:t>stifled</w:t>
      </w:r>
      <w:r w:rsidR="00EE4FC3">
        <w:t xml:space="preserve"> </w:t>
      </w:r>
      <w:r w:rsidRPr="00382917">
        <w:t>at</w:t>
      </w:r>
      <w:r w:rsidR="00EE4FC3">
        <w:t xml:space="preserve"> </w:t>
      </w:r>
      <w:r w:rsidRPr="00382917">
        <w:t>its</w:t>
      </w:r>
      <w:r w:rsidR="00EE4FC3">
        <w:t xml:space="preserve"> </w:t>
      </w:r>
      <w:r w:rsidRPr="00382917">
        <w:t>birth</w:t>
      </w:r>
      <w:r w:rsidR="00EE4FC3">
        <w:t xml:space="preserve"> </w:t>
      </w:r>
      <w:r w:rsidRPr="00382917">
        <w:t>and</w:t>
      </w:r>
      <w:r w:rsidR="00EE4FC3">
        <w:t xml:space="preserve"> </w:t>
      </w:r>
      <w:r w:rsidRPr="00382917">
        <w:t>soon</w:t>
      </w:r>
      <w:r w:rsidR="00EE4FC3">
        <w:t xml:space="preserve"> </w:t>
      </w:r>
      <w:r w:rsidRPr="00382917">
        <w:t>extinguished</w:t>
      </w:r>
      <w:r w:rsidR="00C03C91">
        <w:t>.</w:t>
      </w:r>
      <w:r w:rsidR="00EE4FC3">
        <w:t xml:space="preserve">  </w:t>
      </w:r>
      <w:r w:rsidRPr="00382917">
        <w:t>Few,</w:t>
      </w:r>
      <w:r w:rsidR="00EE4FC3">
        <w:t xml:space="preserve"> </w:t>
      </w:r>
      <w:r w:rsidRPr="00382917">
        <w:t>if</w:t>
      </w:r>
      <w:r w:rsidR="00EE4FC3">
        <w:t xml:space="preserve"> </w:t>
      </w:r>
      <w:r w:rsidRPr="00382917">
        <w:t>any,</w:t>
      </w:r>
      <w:r w:rsidR="00EE4FC3">
        <w:t xml:space="preserve"> </w:t>
      </w:r>
      <w:r w:rsidRPr="00382917">
        <w:t>would</w:t>
      </w:r>
      <w:r w:rsidR="00EE4FC3">
        <w:t xml:space="preserve"> </w:t>
      </w:r>
      <w:r w:rsidRPr="00382917">
        <w:t>ever</w:t>
      </w:r>
      <w:r w:rsidR="00EE4FC3">
        <w:t xml:space="preserve"> </w:t>
      </w:r>
      <w:r w:rsidRPr="00382917">
        <w:t>try</w:t>
      </w:r>
      <w:r w:rsidR="00EE4FC3">
        <w:t xml:space="preserve"> </w:t>
      </w:r>
      <w:r w:rsidRPr="00382917">
        <w:t>to</w:t>
      </w:r>
      <w:r w:rsidR="00EE4FC3">
        <w:t xml:space="preserve"> </w:t>
      </w:r>
      <w:r w:rsidRPr="00382917">
        <w:t>penetrate</w:t>
      </w:r>
      <w:r w:rsidR="00EE4FC3">
        <w:t xml:space="preserve"> </w:t>
      </w:r>
      <w:r w:rsidRPr="00382917">
        <w:t>that</w:t>
      </w:r>
      <w:r w:rsidR="00EE4FC3">
        <w:t xml:space="preserve"> </w:t>
      </w:r>
      <w:r w:rsidRPr="00382917">
        <w:t>unfriendly</w:t>
      </w:r>
      <w:r w:rsidR="00EE4FC3">
        <w:t xml:space="preserve"> </w:t>
      </w:r>
      <w:r w:rsidRPr="00382917">
        <w:t>country.</w:t>
      </w:r>
    </w:p>
    <w:p w:rsidR="00540E31" w:rsidRPr="00382917" w:rsidRDefault="00540E31" w:rsidP="00665A7A">
      <w:pPr>
        <w:pStyle w:val="Text"/>
      </w:pPr>
      <w:r w:rsidRPr="00382917">
        <w:t>His</w:t>
      </w:r>
      <w:r w:rsidR="00EE4FC3">
        <w:t xml:space="preserve"> </w:t>
      </w:r>
      <w:r w:rsidRPr="00382917">
        <w:t>plan</w:t>
      </w:r>
      <w:r w:rsidR="00EE4FC3">
        <w:t xml:space="preserve"> </w:t>
      </w:r>
      <w:r w:rsidRPr="00382917">
        <w:t>was</w:t>
      </w:r>
      <w:r w:rsidR="00EE4FC3">
        <w:t xml:space="preserve"> </w:t>
      </w:r>
      <w:r w:rsidRPr="00382917">
        <w:t>a</w:t>
      </w:r>
      <w:r w:rsidR="00EE4FC3">
        <w:t xml:space="preserve"> </w:t>
      </w:r>
      <w:r w:rsidRPr="00382917">
        <w:t>failure</w:t>
      </w:r>
      <w:r w:rsidR="00C03C91">
        <w:t>.</w:t>
      </w:r>
      <w:r w:rsidR="00EE4FC3">
        <w:t xml:space="preserve">  </w:t>
      </w:r>
      <w:r w:rsidRPr="00382917">
        <w:t>The</w:t>
      </w:r>
      <w:r w:rsidR="00EE4FC3">
        <w:t xml:space="preserve"> </w:t>
      </w:r>
      <w:r w:rsidRPr="00382917">
        <w:t>hostility</w:t>
      </w:r>
      <w:r w:rsidR="00EE4FC3">
        <w:t xml:space="preserve"> </w:t>
      </w:r>
      <w:r w:rsidRPr="00382917">
        <w:t>of</w:t>
      </w:r>
      <w:r w:rsidR="00EE4FC3">
        <w:t xml:space="preserve"> </w:t>
      </w:r>
      <w:r w:rsidRPr="00382917">
        <w:t>the</w:t>
      </w:r>
      <w:r w:rsidR="00EE4FC3">
        <w:t xml:space="preserve"> </w:t>
      </w:r>
      <w:r w:rsidRPr="00382917">
        <w:t>native</w:t>
      </w:r>
      <w:r w:rsidR="00EE4FC3">
        <w:t xml:space="preserve"> </w:t>
      </w:r>
      <w:r w:rsidRPr="00382917">
        <w:t>people</w:t>
      </w:r>
      <w:r w:rsidR="00EE4FC3">
        <w:t xml:space="preserve"> </w:t>
      </w:r>
      <w:r w:rsidRPr="00382917">
        <w:t>of</w:t>
      </w:r>
      <w:r w:rsidR="00EE4FC3">
        <w:t xml:space="preserve"> </w:t>
      </w:r>
      <w:r w:rsidRPr="00382917">
        <w:t>Máh-Kú</w:t>
      </w:r>
      <w:r w:rsidR="00EE4FC3">
        <w:t xml:space="preserve"> </w:t>
      </w:r>
      <w:r w:rsidRPr="00382917">
        <w:t>was</w:t>
      </w:r>
      <w:r w:rsidR="00EE4FC3">
        <w:t xml:space="preserve"> </w:t>
      </w:r>
      <w:r w:rsidRPr="00382917">
        <w:t>gradually</w:t>
      </w:r>
      <w:r w:rsidR="00EE4FC3">
        <w:t xml:space="preserve"> </w:t>
      </w:r>
      <w:r w:rsidRPr="00382917">
        <w:t>softened</w:t>
      </w:r>
      <w:r w:rsidR="00EE4FC3">
        <w:t xml:space="preserve"> </w:t>
      </w:r>
      <w:r w:rsidRPr="00382917">
        <w:t>by</w:t>
      </w:r>
      <w:r w:rsidR="00EE4FC3">
        <w:t xml:space="preserve"> </w:t>
      </w:r>
      <w:r w:rsidRPr="00382917">
        <w:t>the</w:t>
      </w:r>
      <w:r w:rsidR="00EE4FC3">
        <w:t xml:space="preserve"> </w:t>
      </w:r>
      <w:r w:rsidRPr="00382917">
        <w:t>gentle</w:t>
      </w:r>
      <w:r w:rsidR="00EE4FC3">
        <w:t xml:space="preserve"> </w:t>
      </w:r>
      <w:r w:rsidRPr="00382917">
        <w:t>manner</w:t>
      </w:r>
      <w:r w:rsidR="00EE4FC3">
        <w:t xml:space="preserve"> </w:t>
      </w:r>
      <w:r w:rsidRPr="00382917">
        <w:t>of</w:t>
      </w:r>
      <w:r w:rsidR="00EE4FC3">
        <w:t xml:space="preserve"> </w:t>
      </w:r>
      <w:r w:rsidRPr="00382917">
        <w:t>the</w:t>
      </w:r>
      <w:r w:rsidR="00EE4FC3">
        <w:t xml:space="preserve"> </w:t>
      </w:r>
      <w:r w:rsidRPr="00382917">
        <w:t>Báb</w:t>
      </w:r>
      <w:r w:rsidR="00C03C91">
        <w:t>.</w:t>
      </w:r>
      <w:r w:rsidR="00EE4FC3">
        <w:t xml:space="preserve">  </w:t>
      </w:r>
      <w:r w:rsidRPr="00382917">
        <w:t>Their</w:t>
      </w:r>
      <w:r w:rsidR="00EE4FC3">
        <w:t xml:space="preserve"> </w:t>
      </w:r>
      <w:r w:rsidRPr="00382917">
        <w:t>opposition</w:t>
      </w:r>
      <w:r w:rsidR="00EE4FC3">
        <w:t xml:space="preserve"> </w:t>
      </w:r>
      <w:r w:rsidRPr="00382917">
        <w:t>to</w:t>
      </w:r>
      <w:r w:rsidR="00EE4FC3">
        <w:t xml:space="preserve"> </w:t>
      </w:r>
      <w:r w:rsidRPr="00382917">
        <w:t>His</w:t>
      </w:r>
      <w:r w:rsidR="00EE4FC3">
        <w:t xml:space="preserve"> </w:t>
      </w:r>
      <w:r w:rsidRPr="00382917">
        <w:t>teaching</w:t>
      </w:r>
      <w:r w:rsidR="00EE4FC3">
        <w:t xml:space="preserve"> </w:t>
      </w:r>
      <w:r w:rsidRPr="00382917">
        <w:t>was</w:t>
      </w:r>
      <w:r w:rsidR="00EE4FC3">
        <w:t xml:space="preserve"> </w:t>
      </w:r>
      <w:r w:rsidRPr="00382917">
        <w:t>melted</w:t>
      </w:r>
      <w:r w:rsidR="00EE4FC3">
        <w:t xml:space="preserve"> </w:t>
      </w:r>
      <w:r w:rsidRPr="00382917">
        <w:t>by</w:t>
      </w:r>
      <w:r w:rsidR="00EE4FC3">
        <w:t xml:space="preserve"> </w:t>
      </w:r>
      <w:r w:rsidRPr="00382917">
        <w:t>the</w:t>
      </w:r>
      <w:r w:rsidR="00EE4FC3">
        <w:t xml:space="preserve"> </w:t>
      </w:r>
      <w:r w:rsidRPr="00382917">
        <w:t>wisdom</w:t>
      </w:r>
      <w:r w:rsidR="00EE4FC3">
        <w:t xml:space="preserve"> </w:t>
      </w:r>
      <w:r w:rsidRPr="00382917">
        <w:t>of</w:t>
      </w:r>
      <w:r w:rsidR="00EE4FC3">
        <w:t xml:space="preserve"> </w:t>
      </w:r>
      <w:r w:rsidRPr="00382917">
        <w:t>His</w:t>
      </w:r>
      <w:r w:rsidR="00EE4FC3">
        <w:t xml:space="preserve"> </w:t>
      </w:r>
      <w:r w:rsidRPr="00382917">
        <w:t>words</w:t>
      </w:r>
      <w:r w:rsidR="00C03C91">
        <w:t>.</w:t>
      </w:r>
      <w:r w:rsidR="00EE4FC3">
        <w:t xml:space="preserve">  </w:t>
      </w:r>
      <w:r w:rsidRPr="00382917">
        <w:t>Each</w:t>
      </w:r>
      <w:r w:rsidR="00EE4FC3">
        <w:t xml:space="preserve"> </w:t>
      </w:r>
      <w:r w:rsidRPr="00382917">
        <w:t>morning</w:t>
      </w:r>
      <w:r w:rsidR="00EE4FC3">
        <w:t xml:space="preserve"> </w:t>
      </w:r>
      <w:r w:rsidRPr="00382917">
        <w:t>they</w:t>
      </w:r>
      <w:r w:rsidR="00EE4FC3">
        <w:t xml:space="preserve"> </w:t>
      </w:r>
      <w:r w:rsidRPr="00382917">
        <w:t>would</w:t>
      </w:r>
      <w:r w:rsidR="00EE4FC3">
        <w:t xml:space="preserve"> </w:t>
      </w:r>
      <w:r w:rsidRPr="00382917">
        <w:t>come</w:t>
      </w:r>
      <w:r w:rsidR="00EE4FC3">
        <w:t xml:space="preserve"> </w:t>
      </w:r>
      <w:r w:rsidRPr="00382917">
        <w:t>from</w:t>
      </w:r>
      <w:r w:rsidR="00EE4FC3">
        <w:t xml:space="preserve"> </w:t>
      </w:r>
      <w:r w:rsidRPr="00382917">
        <w:t>the</w:t>
      </w:r>
      <w:r w:rsidR="00EE4FC3">
        <w:t xml:space="preserve"> </w:t>
      </w:r>
      <w:r w:rsidRPr="00382917">
        <w:t>village</w:t>
      </w:r>
      <w:r w:rsidR="00EE4FC3">
        <w:t xml:space="preserve"> </w:t>
      </w:r>
      <w:r w:rsidRPr="00382917">
        <w:t>of</w:t>
      </w:r>
      <w:r w:rsidR="00EE4FC3">
        <w:t xml:space="preserve"> </w:t>
      </w:r>
      <w:r w:rsidRPr="00382917">
        <w:t>Máh-Kú</w:t>
      </w:r>
      <w:r w:rsidR="00EE4FC3">
        <w:t xml:space="preserve"> </w:t>
      </w:r>
      <w:r w:rsidRPr="00382917">
        <w:t>and</w:t>
      </w:r>
      <w:r w:rsidR="00EE4FC3">
        <w:t xml:space="preserve"> </w:t>
      </w:r>
      <w:r w:rsidRPr="00382917">
        <w:t>gather</w:t>
      </w:r>
      <w:r w:rsidR="00EE4FC3">
        <w:t xml:space="preserve"> </w:t>
      </w:r>
      <w:r w:rsidRPr="00382917">
        <w:t>on</w:t>
      </w:r>
      <w:r w:rsidR="00EE4FC3">
        <w:t xml:space="preserve"> </w:t>
      </w:r>
      <w:r w:rsidRPr="00382917">
        <w:t>the</w:t>
      </w:r>
      <w:r w:rsidR="00EE4FC3">
        <w:t xml:space="preserve"> </w:t>
      </w:r>
      <w:r w:rsidRPr="00382917">
        <w:t>road</w:t>
      </w:r>
      <w:r w:rsidR="00EE4FC3">
        <w:t xml:space="preserve"> </w:t>
      </w:r>
      <w:r w:rsidRPr="00382917">
        <w:t>below</w:t>
      </w:r>
      <w:r w:rsidR="00EE4FC3">
        <w:t xml:space="preserve"> </w:t>
      </w:r>
      <w:r w:rsidRPr="00382917">
        <w:t>His</w:t>
      </w:r>
      <w:r w:rsidR="00EE4FC3">
        <w:t xml:space="preserve"> </w:t>
      </w:r>
      <w:r w:rsidRPr="00382917">
        <w:t>prison</w:t>
      </w:r>
      <w:r w:rsidR="00EE4FC3">
        <w:t xml:space="preserve"> </w:t>
      </w:r>
      <w:r w:rsidRPr="00382917">
        <w:t>and</w:t>
      </w:r>
      <w:r w:rsidR="00EE4FC3">
        <w:t xml:space="preserve"> </w:t>
      </w:r>
      <w:r w:rsidRPr="00382917">
        <w:t>call</w:t>
      </w:r>
      <w:r w:rsidR="00EE4FC3">
        <w:t xml:space="preserve"> </w:t>
      </w:r>
      <w:r w:rsidRPr="00382917">
        <w:t>out</w:t>
      </w:r>
      <w:r w:rsidR="00EE4FC3">
        <w:t xml:space="preserve"> </w:t>
      </w:r>
      <w:r w:rsidRPr="00382917">
        <w:t>to</w:t>
      </w:r>
      <w:r w:rsidR="00EE4FC3">
        <w:t xml:space="preserve"> </w:t>
      </w:r>
      <w:r w:rsidRPr="00382917">
        <w:t>Him,</w:t>
      </w:r>
      <w:r w:rsidR="00EE4FC3">
        <w:t xml:space="preserve"> </w:t>
      </w:r>
      <w:r w:rsidRPr="00382917">
        <w:t>asking</w:t>
      </w:r>
      <w:r w:rsidR="00EE4FC3">
        <w:t xml:space="preserve"> </w:t>
      </w:r>
      <w:r w:rsidRPr="00382917">
        <w:t>His</w:t>
      </w:r>
      <w:r w:rsidR="00EE4FC3">
        <w:t xml:space="preserve"> </w:t>
      </w:r>
      <w:r w:rsidRPr="00382917">
        <w:t>blessing</w:t>
      </w:r>
      <w:r w:rsidR="00EE4FC3">
        <w:t xml:space="preserve"> </w:t>
      </w:r>
      <w:r w:rsidRPr="00382917">
        <w:t>on</w:t>
      </w:r>
      <w:r w:rsidR="00EE4FC3">
        <w:t xml:space="preserve"> </w:t>
      </w:r>
      <w:r w:rsidRPr="00382917">
        <w:t>their</w:t>
      </w:r>
      <w:r w:rsidR="00EE4FC3">
        <w:t xml:space="preserve"> </w:t>
      </w:r>
      <w:r w:rsidRPr="00382917">
        <w:t>daily</w:t>
      </w:r>
      <w:r w:rsidR="00EE4FC3">
        <w:t xml:space="preserve"> </w:t>
      </w:r>
      <w:r w:rsidRPr="00382917">
        <w:t>work.</w:t>
      </w:r>
    </w:p>
    <w:p w:rsidR="00540E31" w:rsidRPr="00382917" w:rsidRDefault="00540E31" w:rsidP="00A30AE4">
      <w:pPr>
        <w:pStyle w:val="Text"/>
      </w:pPr>
      <w:r w:rsidRPr="00382917">
        <w:t>The</w:t>
      </w:r>
      <w:r w:rsidR="00EE4FC3">
        <w:t xml:space="preserve"> </w:t>
      </w:r>
      <w:r w:rsidRPr="00382917">
        <w:t>Báb</w:t>
      </w:r>
      <w:r w:rsidR="00EE4FC3">
        <w:t xml:space="preserve"> </w:t>
      </w:r>
      <w:r w:rsidRPr="00382917">
        <w:t>Himself</w:t>
      </w:r>
      <w:r w:rsidR="00EE4FC3">
        <w:t xml:space="preserve"> </w:t>
      </w:r>
      <w:r w:rsidRPr="00382917">
        <w:t>wrote</w:t>
      </w:r>
      <w:r w:rsidR="00EE4FC3">
        <w:t xml:space="preserve"> </w:t>
      </w:r>
      <w:r w:rsidRPr="00382917">
        <w:t>of</w:t>
      </w:r>
      <w:r w:rsidR="00EE4FC3">
        <w:t xml:space="preserve"> </w:t>
      </w:r>
      <w:r w:rsidRPr="00382917">
        <w:t>those</w:t>
      </w:r>
      <w:r w:rsidR="00EE4FC3">
        <w:t xml:space="preserve"> </w:t>
      </w:r>
      <w:r w:rsidRPr="00382917">
        <w:t>early</w:t>
      </w:r>
      <w:r w:rsidR="00EE4FC3">
        <w:t xml:space="preserve"> </w:t>
      </w:r>
      <w:r w:rsidRPr="00382917">
        <w:t>days</w:t>
      </w:r>
      <w:r w:rsidR="00EE4FC3">
        <w:t xml:space="preserve"> </w:t>
      </w:r>
      <w:r w:rsidRPr="00382917">
        <w:t>in</w:t>
      </w:r>
      <w:r w:rsidR="00EE4FC3">
        <w:t xml:space="preserve"> </w:t>
      </w:r>
      <w:r w:rsidRPr="00382917">
        <w:t>Máh-Kú</w:t>
      </w:r>
      <w:r w:rsidR="00C03C91">
        <w:t>:</w:t>
      </w:r>
      <w:r w:rsidR="00EE4FC3">
        <w:t xml:space="preserve">  </w:t>
      </w:r>
      <w:r w:rsidR="009C713D" w:rsidRPr="00382917">
        <w:t>“</w:t>
      </w:r>
      <w:r w:rsidRPr="00382917">
        <w:t>My</w:t>
      </w:r>
    </w:p>
    <w:p w:rsidR="00665A7A" w:rsidRPr="00382917" w:rsidRDefault="00665A7A">
      <w:pPr>
        <w:widowControl/>
        <w:kinsoku/>
        <w:overflowPunct/>
        <w:textAlignment w:val="auto"/>
      </w:pPr>
      <w:r w:rsidRPr="00382917">
        <w:br w:type="page"/>
      </w:r>
    </w:p>
    <w:p w:rsidR="00E13D49" w:rsidRPr="00382917" w:rsidRDefault="00540E31" w:rsidP="00A30AE4">
      <w:pPr>
        <w:pStyle w:val="Textcts"/>
      </w:pPr>
      <w:proofErr w:type="gramStart"/>
      <w:r w:rsidRPr="00382917">
        <w:t>companions</w:t>
      </w:r>
      <w:proofErr w:type="gramEnd"/>
      <w:r w:rsidR="00EE4FC3">
        <w:t xml:space="preserve"> </w:t>
      </w:r>
      <w:r w:rsidRPr="00382917">
        <w:t>are</w:t>
      </w:r>
      <w:r w:rsidR="00EE4FC3">
        <w:t xml:space="preserve"> </w:t>
      </w:r>
      <w:r w:rsidRPr="00382917">
        <w:t>two</w:t>
      </w:r>
      <w:r w:rsidR="00EE4FC3">
        <w:t xml:space="preserve"> </w:t>
      </w:r>
      <w:r w:rsidRPr="00382917">
        <w:t>men</w:t>
      </w:r>
      <w:r w:rsidR="00EE4FC3">
        <w:t xml:space="preserve"> </w:t>
      </w:r>
      <w:r w:rsidRPr="00382917">
        <w:t>and</w:t>
      </w:r>
      <w:r w:rsidR="00EE4FC3">
        <w:t xml:space="preserve"> </w:t>
      </w:r>
      <w:r w:rsidRPr="00382917">
        <w:t>four</w:t>
      </w:r>
      <w:r w:rsidR="00EE4FC3">
        <w:t xml:space="preserve"> </w:t>
      </w:r>
      <w:r w:rsidRPr="00382917">
        <w:t>dogs.</w:t>
      </w:r>
      <w:r w:rsidR="009C713D" w:rsidRPr="00382917">
        <w:t>”</w:t>
      </w:r>
      <w:r w:rsidR="00EE4FC3">
        <w:t xml:space="preserve">  </w:t>
      </w:r>
      <w:r w:rsidRPr="00382917">
        <w:t>But</w:t>
      </w:r>
      <w:r w:rsidR="00EE4FC3">
        <w:t xml:space="preserve"> </w:t>
      </w:r>
      <w:r w:rsidRPr="00382917">
        <w:t>His</w:t>
      </w:r>
      <w:r w:rsidR="00EE4FC3">
        <w:t xml:space="preserve"> </w:t>
      </w:r>
      <w:r w:rsidRPr="00382917">
        <w:t>teachings</w:t>
      </w:r>
      <w:r w:rsidR="00EE4FC3">
        <w:t xml:space="preserve"> </w:t>
      </w:r>
      <w:r w:rsidRPr="00382917">
        <w:t>reached</w:t>
      </w:r>
      <w:r w:rsidR="00EE4FC3">
        <w:t xml:space="preserve"> </w:t>
      </w:r>
      <w:r w:rsidRPr="00382917">
        <w:t>the</w:t>
      </w:r>
      <w:r w:rsidR="00EE4FC3">
        <w:t xml:space="preserve"> </w:t>
      </w:r>
      <w:r w:rsidRPr="00382917">
        <w:t>multitudes</w:t>
      </w:r>
      <w:r w:rsidR="00EE4FC3">
        <w:t xml:space="preserve"> </w:t>
      </w:r>
      <w:r w:rsidRPr="00382917">
        <w:t>who</w:t>
      </w:r>
      <w:r w:rsidR="00EE4FC3">
        <w:t xml:space="preserve"> </w:t>
      </w:r>
      <w:r w:rsidRPr="00382917">
        <w:t>gathered</w:t>
      </w:r>
      <w:r w:rsidR="00EE4FC3">
        <w:t xml:space="preserve"> </w:t>
      </w:r>
      <w:r w:rsidRPr="00382917">
        <w:t>outside</w:t>
      </w:r>
      <w:r w:rsidR="00C03C91">
        <w:t>.</w:t>
      </w:r>
      <w:r w:rsidR="00EE4FC3">
        <w:t xml:space="preserve">  </w:t>
      </w:r>
      <w:r w:rsidRPr="00382917">
        <w:t>He</w:t>
      </w:r>
      <w:r w:rsidR="00EE4FC3">
        <w:t xml:space="preserve"> </w:t>
      </w:r>
      <w:r w:rsidRPr="00382917">
        <w:t>would</w:t>
      </w:r>
      <w:r w:rsidR="00EE4FC3">
        <w:t xml:space="preserve"> </w:t>
      </w:r>
      <w:r w:rsidRPr="00382917">
        <w:t>dictate</w:t>
      </w:r>
      <w:r w:rsidR="00EE4FC3">
        <w:t xml:space="preserve"> </w:t>
      </w:r>
      <w:r w:rsidRPr="00382917">
        <w:t>to</w:t>
      </w:r>
      <w:r w:rsidR="00EE4FC3">
        <w:t xml:space="preserve"> </w:t>
      </w:r>
      <w:r w:rsidRPr="00382917">
        <w:t>Siyyid</w:t>
      </w:r>
      <w:r w:rsidR="00EE4FC3">
        <w:t xml:space="preserve"> </w:t>
      </w:r>
      <w:r w:rsidR="00964C11" w:rsidRPr="00382917">
        <w:t>Ḥusayn</w:t>
      </w:r>
      <w:r w:rsidR="00EE4FC3">
        <w:t xml:space="preserve"> </w:t>
      </w:r>
      <w:r w:rsidRPr="00382917">
        <w:t>of</w:t>
      </w:r>
      <w:r w:rsidR="00EE4FC3">
        <w:t xml:space="preserve"> </w:t>
      </w:r>
      <w:r w:rsidRPr="00382917">
        <w:t>Yazd,</w:t>
      </w:r>
      <w:r w:rsidR="00EE4FC3">
        <w:t xml:space="preserve"> </w:t>
      </w:r>
      <w:r w:rsidRPr="00382917">
        <w:t>who</w:t>
      </w:r>
      <w:r w:rsidR="00EE4FC3">
        <w:t xml:space="preserve"> </w:t>
      </w:r>
      <w:r w:rsidRPr="00382917">
        <w:t>had</w:t>
      </w:r>
      <w:r w:rsidR="00EE4FC3">
        <w:t xml:space="preserve"> </w:t>
      </w:r>
      <w:r w:rsidRPr="00382917">
        <w:t>been</w:t>
      </w:r>
      <w:r w:rsidR="00EE4FC3">
        <w:t xml:space="preserve"> </w:t>
      </w:r>
      <w:r w:rsidRPr="00382917">
        <w:t>brought</w:t>
      </w:r>
      <w:r w:rsidR="00EE4FC3">
        <w:t xml:space="preserve"> </w:t>
      </w:r>
      <w:r w:rsidRPr="00382917">
        <w:t>with</w:t>
      </w:r>
      <w:r w:rsidR="00EE4FC3">
        <w:t xml:space="preserve"> </w:t>
      </w:r>
      <w:r w:rsidRPr="00382917">
        <w:t>Him</w:t>
      </w:r>
      <w:r w:rsidR="00EE4FC3">
        <w:t xml:space="preserve"> </w:t>
      </w:r>
      <w:r w:rsidRPr="00382917">
        <w:t>in</w:t>
      </w:r>
      <w:r w:rsidR="00EE4FC3">
        <w:t xml:space="preserve"> </w:t>
      </w:r>
      <w:r w:rsidRPr="00382917">
        <w:t>captivity</w:t>
      </w:r>
      <w:r w:rsidR="00EE4FC3">
        <w:t xml:space="preserve"> </w:t>
      </w:r>
      <w:r w:rsidRPr="00382917">
        <w:t>from</w:t>
      </w:r>
      <w:r w:rsidR="00EE4FC3">
        <w:t xml:space="preserve"> </w:t>
      </w:r>
      <w:r w:rsidRPr="00382917">
        <w:t>Tabríz</w:t>
      </w:r>
      <w:r w:rsidR="00C03C91">
        <w:t>.</w:t>
      </w:r>
      <w:r w:rsidR="00EE4FC3">
        <w:t xml:space="preserve">  </w:t>
      </w:r>
      <w:r w:rsidRPr="00382917">
        <w:t>On</w:t>
      </w:r>
      <w:r w:rsidR="00EE4FC3">
        <w:t xml:space="preserve"> </w:t>
      </w:r>
      <w:r w:rsidRPr="00382917">
        <w:t>a</w:t>
      </w:r>
      <w:r w:rsidR="00EE4FC3">
        <w:t xml:space="preserve"> </w:t>
      </w:r>
      <w:r w:rsidRPr="00382917">
        <w:t>quiet</w:t>
      </w:r>
      <w:r w:rsidR="00EE4FC3">
        <w:t xml:space="preserve"> </w:t>
      </w:r>
      <w:r w:rsidRPr="00382917">
        <w:t>day,</w:t>
      </w:r>
      <w:r w:rsidR="00EE4FC3">
        <w:t xml:space="preserve"> </w:t>
      </w:r>
      <w:r w:rsidRPr="00382917">
        <w:t>the</w:t>
      </w:r>
      <w:r w:rsidR="00EE4FC3">
        <w:t xml:space="preserve"> </w:t>
      </w:r>
      <w:r w:rsidRPr="00382917">
        <w:t>sound</w:t>
      </w:r>
      <w:r w:rsidR="00EE4FC3">
        <w:t xml:space="preserve"> </w:t>
      </w:r>
      <w:r w:rsidRPr="00382917">
        <w:t>of</w:t>
      </w:r>
      <w:r w:rsidR="00EE4FC3">
        <w:t xml:space="preserve"> </w:t>
      </w:r>
      <w:r w:rsidRPr="00382917">
        <w:t>His</w:t>
      </w:r>
      <w:r w:rsidR="00EE4FC3">
        <w:t xml:space="preserve"> </w:t>
      </w:r>
      <w:r w:rsidRPr="00382917">
        <w:t>voice</w:t>
      </w:r>
      <w:r w:rsidR="00EE4FC3">
        <w:t xml:space="preserve"> </w:t>
      </w:r>
      <w:r w:rsidRPr="00382917">
        <w:t>could</w:t>
      </w:r>
      <w:r w:rsidR="00EE4FC3">
        <w:t xml:space="preserve"> </w:t>
      </w:r>
      <w:r w:rsidRPr="00382917">
        <w:t>be</w:t>
      </w:r>
      <w:r w:rsidR="00EE4FC3">
        <w:t xml:space="preserve"> </w:t>
      </w:r>
      <w:r w:rsidRPr="00382917">
        <w:t>clearly</w:t>
      </w:r>
      <w:r w:rsidR="00EE4FC3">
        <w:t xml:space="preserve"> </w:t>
      </w:r>
      <w:r w:rsidRPr="00382917">
        <w:t>heard</w:t>
      </w:r>
      <w:r w:rsidR="00EE4FC3">
        <w:t xml:space="preserve"> </w:t>
      </w:r>
      <w:r w:rsidRPr="00382917">
        <w:t>by</w:t>
      </w:r>
      <w:r w:rsidR="00EE4FC3">
        <w:t xml:space="preserve"> </w:t>
      </w:r>
      <w:r w:rsidRPr="00382917">
        <w:t>the</w:t>
      </w:r>
      <w:r w:rsidR="00EE4FC3">
        <w:t xml:space="preserve"> </w:t>
      </w:r>
      <w:r w:rsidRPr="00382917">
        <w:t>people</w:t>
      </w:r>
      <w:r w:rsidR="00EE4FC3">
        <w:t xml:space="preserve"> </w:t>
      </w:r>
      <w:r w:rsidRPr="00382917">
        <w:t>below</w:t>
      </w:r>
      <w:r w:rsidR="00EE4FC3">
        <w:t xml:space="preserve"> </w:t>
      </w:r>
      <w:r w:rsidRPr="00382917">
        <w:t>the</w:t>
      </w:r>
      <w:r w:rsidR="00EE4FC3">
        <w:t xml:space="preserve"> </w:t>
      </w:r>
      <w:r w:rsidRPr="00382917">
        <w:t>fortress</w:t>
      </w:r>
      <w:r w:rsidR="00C03C91">
        <w:t>.</w:t>
      </w:r>
      <w:r w:rsidR="00EE4FC3">
        <w:t xml:space="preserve">  </w:t>
      </w:r>
      <w:r w:rsidRPr="00382917">
        <w:t>One</w:t>
      </w:r>
      <w:r w:rsidR="00EE4FC3">
        <w:t xml:space="preserve"> </w:t>
      </w:r>
      <w:r w:rsidRPr="00382917">
        <w:t>of</w:t>
      </w:r>
      <w:r w:rsidR="00EE4FC3">
        <w:t xml:space="preserve"> </w:t>
      </w:r>
      <w:r w:rsidRPr="00382917">
        <w:t>the</w:t>
      </w:r>
      <w:r w:rsidR="00EE4FC3">
        <w:t xml:space="preserve"> </w:t>
      </w:r>
      <w:r w:rsidRPr="00382917">
        <w:t>eye-witnesses</w:t>
      </w:r>
      <w:r w:rsidR="00EE4FC3">
        <w:t xml:space="preserve"> </w:t>
      </w:r>
      <w:r w:rsidRPr="00382917">
        <w:t>of</w:t>
      </w:r>
      <w:r w:rsidR="00EE4FC3">
        <w:t xml:space="preserve"> </w:t>
      </w:r>
      <w:r w:rsidRPr="00382917">
        <w:t>those</w:t>
      </w:r>
      <w:r w:rsidR="00EE4FC3">
        <w:t xml:space="preserve"> </w:t>
      </w:r>
      <w:r w:rsidRPr="00382917">
        <w:t>days</w:t>
      </w:r>
      <w:r w:rsidR="00EE4FC3">
        <w:t xml:space="preserve"> </w:t>
      </w:r>
      <w:r w:rsidRPr="00382917">
        <w:t>has</w:t>
      </w:r>
      <w:r w:rsidR="00EE4FC3">
        <w:t xml:space="preserve"> </w:t>
      </w:r>
      <w:r w:rsidRPr="00382917">
        <w:t>written</w:t>
      </w:r>
      <w:r w:rsidR="00C03C91">
        <w:t>:</w:t>
      </w:r>
      <w:r w:rsidR="00EE4FC3">
        <w:t xml:space="preserve">  </w:t>
      </w:r>
      <w:r w:rsidR="009C713D" w:rsidRPr="00382917">
        <w:t>“</w:t>
      </w:r>
      <w:proofErr w:type="gramStart"/>
      <w:r w:rsidR="00F04416" w:rsidRPr="00382917">
        <w:t>…</w:t>
      </w:r>
      <w:r w:rsidR="00EE4FC3">
        <w:t xml:space="preserve"> </w:t>
      </w:r>
      <w:proofErr w:type="gramEnd"/>
      <w:r w:rsidRPr="00382917">
        <w:t>Mountain</w:t>
      </w:r>
      <w:r w:rsidR="00EE4FC3">
        <w:t xml:space="preserve"> </w:t>
      </w:r>
      <w:r w:rsidRPr="00382917">
        <w:t>and</w:t>
      </w:r>
      <w:r w:rsidR="00EE4FC3">
        <w:t xml:space="preserve"> </w:t>
      </w:r>
      <w:r w:rsidRPr="00382917">
        <w:t>valley</w:t>
      </w:r>
      <w:r w:rsidR="00EE4FC3">
        <w:t xml:space="preserve"> </w:t>
      </w:r>
      <w:r w:rsidRPr="00382917">
        <w:t>echoed</w:t>
      </w:r>
      <w:r w:rsidR="00EE4FC3">
        <w:t xml:space="preserve"> </w:t>
      </w:r>
      <w:r w:rsidRPr="00382917">
        <w:t>with</w:t>
      </w:r>
      <w:r w:rsidR="00EE4FC3">
        <w:t xml:space="preserve"> </w:t>
      </w:r>
      <w:r w:rsidRPr="00382917">
        <w:t>the</w:t>
      </w:r>
      <w:r w:rsidR="00EE4FC3">
        <w:t xml:space="preserve"> </w:t>
      </w:r>
      <w:r w:rsidRPr="00382917">
        <w:t>majesty</w:t>
      </w:r>
      <w:r w:rsidR="00EE4FC3">
        <w:t xml:space="preserve"> </w:t>
      </w:r>
      <w:r w:rsidRPr="00382917">
        <w:t>of</w:t>
      </w:r>
      <w:r w:rsidR="00EE4FC3">
        <w:t xml:space="preserve"> </w:t>
      </w:r>
      <w:r w:rsidRPr="00382917">
        <w:t>His</w:t>
      </w:r>
      <w:r w:rsidR="00EE4FC3">
        <w:t xml:space="preserve"> </w:t>
      </w:r>
      <w:r w:rsidRPr="00382917">
        <w:t>voice</w:t>
      </w:r>
      <w:r w:rsidR="00C03C91">
        <w:t>.</w:t>
      </w:r>
      <w:r w:rsidR="00EE4FC3">
        <w:t xml:space="preserve">  </w:t>
      </w:r>
      <w:r w:rsidRPr="00382917">
        <w:t>Our</w:t>
      </w:r>
      <w:r w:rsidR="00EE4FC3">
        <w:t xml:space="preserve"> </w:t>
      </w:r>
      <w:r w:rsidRPr="00382917">
        <w:t>hearts</w:t>
      </w:r>
      <w:r w:rsidR="00EE4FC3">
        <w:t xml:space="preserve"> </w:t>
      </w:r>
      <w:r w:rsidRPr="00382917">
        <w:t>vibrated</w:t>
      </w:r>
      <w:r w:rsidR="00EE4FC3">
        <w:t xml:space="preserve"> </w:t>
      </w:r>
      <w:r w:rsidRPr="00382917">
        <w:t>in</w:t>
      </w:r>
      <w:r w:rsidR="00EE4FC3">
        <w:t xml:space="preserve"> </w:t>
      </w:r>
      <w:r w:rsidRPr="00382917">
        <w:t>their</w:t>
      </w:r>
      <w:r w:rsidR="00EE4FC3">
        <w:t xml:space="preserve"> </w:t>
      </w:r>
      <w:r w:rsidRPr="00382917">
        <w:t>depths</w:t>
      </w:r>
      <w:r w:rsidR="00EE4FC3">
        <w:t xml:space="preserve"> </w:t>
      </w:r>
      <w:r w:rsidRPr="00382917">
        <w:t>to</w:t>
      </w:r>
      <w:r w:rsidR="00EE4FC3">
        <w:t xml:space="preserve"> </w:t>
      </w:r>
      <w:r w:rsidRPr="00382917">
        <w:t>the</w:t>
      </w:r>
      <w:r w:rsidR="00EE4FC3">
        <w:t xml:space="preserve"> </w:t>
      </w:r>
      <w:r w:rsidRPr="00382917">
        <w:t>appeal</w:t>
      </w:r>
      <w:r w:rsidR="00EE4FC3">
        <w:t xml:space="preserve"> </w:t>
      </w:r>
      <w:r w:rsidRPr="00382917">
        <w:t>of</w:t>
      </w:r>
      <w:r w:rsidR="00EE4FC3">
        <w:t xml:space="preserve"> </w:t>
      </w:r>
      <w:r w:rsidRPr="00382917">
        <w:t>His</w:t>
      </w:r>
      <w:r w:rsidR="00EE4FC3">
        <w:t xml:space="preserve"> </w:t>
      </w:r>
      <w:r w:rsidRPr="00382917">
        <w:t>utterance.</w:t>
      </w:r>
      <w:r w:rsidR="009C713D" w:rsidRPr="00382917">
        <w:t>”</w:t>
      </w:r>
      <w:r w:rsidR="00A30AE4">
        <w:rPr>
          <w:rStyle w:val="FootnoteReference"/>
        </w:rPr>
        <w:footnoteReference w:id="73"/>
      </w:r>
    </w:p>
    <w:p w:rsidR="00540E31" w:rsidRPr="00382917" w:rsidRDefault="00540E31" w:rsidP="004D0B68">
      <w:pPr>
        <w:pStyle w:val="Text"/>
      </w:pPr>
      <w:r w:rsidRPr="00382917">
        <w:t>The</w:t>
      </w:r>
      <w:r w:rsidR="00EE4FC3">
        <w:t xml:space="preserve"> </w:t>
      </w:r>
      <w:r w:rsidRPr="00382917">
        <w:t>warden,</w:t>
      </w:r>
      <w:r w:rsidR="00EE4FC3">
        <w:t xml:space="preserve"> </w:t>
      </w:r>
      <w:r w:rsidR="0040329F" w:rsidRPr="00382917">
        <w:t>‘Al</w:t>
      </w:r>
      <w:r w:rsidR="0040329F" w:rsidRPr="0040329F">
        <w:t>í</w:t>
      </w:r>
      <w:r w:rsidR="00EE4FC3">
        <w:t xml:space="preserve"> </w:t>
      </w:r>
      <w:r w:rsidR="0040329F" w:rsidRPr="0040329F">
        <w:rPr>
          <w:u w:val="single"/>
        </w:rPr>
        <w:t>Kh</w:t>
      </w:r>
      <w:r w:rsidR="0040329F" w:rsidRPr="00382917">
        <w:t>án</w:t>
      </w:r>
      <w:r w:rsidRPr="00382917">
        <w:t>,</w:t>
      </w:r>
      <w:r w:rsidR="00EE4FC3">
        <w:t xml:space="preserve"> </w:t>
      </w:r>
      <w:r w:rsidRPr="00382917">
        <w:t>did</w:t>
      </w:r>
      <w:r w:rsidR="00EE4FC3">
        <w:t xml:space="preserve"> </w:t>
      </w:r>
      <w:r w:rsidRPr="00382917">
        <w:t>his</w:t>
      </w:r>
      <w:r w:rsidR="00EE4FC3">
        <w:t xml:space="preserve"> </w:t>
      </w:r>
      <w:r w:rsidRPr="00382917">
        <w:t>best</w:t>
      </w:r>
      <w:r w:rsidR="00EE4FC3">
        <w:t xml:space="preserve"> </w:t>
      </w:r>
      <w:r w:rsidRPr="00382917">
        <w:t>to</w:t>
      </w:r>
      <w:r w:rsidR="00EE4FC3">
        <w:t xml:space="preserve"> </w:t>
      </w:r>
      <w:r w:rsidRPr="00382917">
        <w:t>discourage</w:t>
      </w:r>
      <w:r w:rsidR="00EE4FC3">
        <w:t xml:space="preserve"> </w:t>
      </w:r>
      <w:r w:rsidRPr="00382917">
        <w:t>this</w:t>
      </w:r>
      <w:r w:rsidR="00EE4FC3">
        <w:t xml:space="preserve"> </w:t>
      </w:r>
      <w:r w:rsidRPr="00382917">
        <w:t>practice,</w:t>
      </w:r>
      <w:r w:rsidR="00EE4FC3">
        <w:t xml:space="preserve"> </w:t>
      </w:r>
      <w:r w:rsidRPr="00382917">
        <w:t>but</w:t>
      </w:r>
      <w:r w:rsidR="00EE4FC3">
        <w:t xml:space="preserve"> </w:t>
      </w:r>
      <w:r w:rsidRPr="00382917">
        <w:t>he</w:t>
      </w:r>
      <w:r w:rsidR="00EE4FC3">
        <w:t xml:space="preserve"> </w:t>
      </w:r>
      <w:r w:rsidRPr="00382917">
        <w:t>was</w:t>
      </w:r>
      <w:r w:rsidR="00EE4FC3">
        <w:t xml:space="preserve"> </w:t>
      </w:r>
      <w:r w:rsidRPr="00382917">
        <w:t>unable</w:t>
      </w:r>
      <w:r w:rsidR="00EE4FC3">
        <w:t xml:space="preserve"> </w:t>
      </w:r>
      <w:r w:rsidRPr="00382917">
        <w:t>to</w:t>
      </w:r>
      <w:r w:rsidR="00EE4FC3">
        <w:t xml:space="preserve"> </w:t>
      </w:r>
      <w:r w:rsidRPr="00382917">
        <w:t>dampen</w:t>
      </w:r>
      <w:r w:rsidR="00EE4FC3">
        <w:t xml:space="preserve"> </w:t>
      </w:r>
      <w:r w:rsidRPr="00382917">
        <w:t>their</w:t>
      </w:r>
      <w:r w:rsidR="00EE4FC3">
        <w:t xml:space="preserve"> </w:t>
      </w:r>
      <w:r w:rsidRPr="00382917">
        <w:t>enthusiasm</w:t>
      </w:r>
      <w:r w:rsidR="00C03C91">
        <w:t>.</w:t>
      </w:r>
      <w:r w:rsidR="00EE4FC3">
        <w:t xml:space="preserve">  </w:t>
      </w:r>
      <w:r w:rsidRPr="00382917">
        <w:t>He</w:t>
      </w:r>
      <w:r w:rsidR="00EE4FC3">
        <w:t xml:space="preserve"> </w:t>
      </w:r>
      <w:r w:rsidRPr="00382917">
        <w:t>refused</w:t>
      </w:r>
      <w:r w:rsidR="00EE4FC3">
        <w:t xml:space="preserve"> </w:t>
      </w:r>
      <w:r w:rsidRPr="00382917">
        <w:t>to</w:t>
      </w:r>
      <w:r w:rsidR="00EE4FC3">
        <w:t xml:space="preserve"> </w:t>
      </w:r>
      <w:r w:rsidRPr="00382917">
        <w:t>permit</w:t>
      </w:r>
      <w:r w:rsidR="00EE4FC3">
        <w:t xml:space="preserve"> </w:t>
      </w:r>
      <w:r w:rsidRPr="00382917">
        <w:t>any</w:t>
      </w:r>
      <w:r w:rsidR="00EE4FC3">
        <w:t xml:space="preserve"> </w:t>
      </w:r>
      <w:r w:rsidRPr="00382917">
        <w:t>of</w:t>
      </w:r>
      <w:r w:rsidR="00EE4FC3">
        <w:t xml:space="preserve"> </w:t>
      </w:r>
      <w:r w:rsidRPr="00382917">
        <w:t>the</w:t>
      </w:r>
      <w:r w:rsidR="00EE4FC3">
        <w:t xml:space="preserve"> </w:t>
      </w:r>
      <w:r w:rsidRPr="00382917">
        <w:t>villagers</w:t>
      </w:r>
      <w:r w:rsidR="00EE4FC3">
        <w:t xml:space="preserve"> </w:t>
      </w:r>
      <w:r w:rsidRPr="00382917">
        <w:t>to</w:t>
      </w:r>
      <w:r w:rsidR="00EE4FC3">
        <w:t xml:space="preserve"> </w:t>
      </w:r>
      <w:r w:rsidRPr="00382917">
        <w:t>enter</w:t>
      </w:r>
      <w:r w:rsidR="00EE4FC3">
        <w:t xml:space="preserve"> </w:t>
      </w:r>
      <w:r w:rsidRPr="00382917">
        <w:t>the</w:t>
      </w:r>
      <w:r w:rsidR="00EE4FC3">
        <w:t xml:space="preserve"> </w:t>
      </w:r>
      <w:r w:rsidRPr="00382917">
        <w:t>Báb</w:t>
      </w:r>
      <w:r w:rsidR="009C713D" w:rsidRPr="00382917">
        <w:t>’</w:t>
      </w:r>
      <w:r w:rsidRPr="00382917">
        <w:t>s</w:t>
      </w:r>
      <w:r w:rsidR="00EE4FC3">
        <w:t xml:space="preserve"> </w:t>
      </w:r>
      <w:r w:rsidRPr="00382917">
        <w:t>presence</w:t>
      </w:r>
      <w:r w:rsidR="00C03C91">
        <w:t>.</w:t>
      </w:r>
      <w:r w:rsidR="00EE4FC3">
        <w:t xml:space="preserve">  </w:t>
      </w:r>
      <w:r w:rsidRPr="00382917">
        <w:t>He</w:t>
      </w:r>
      <w:r w:rsidR="00EE4FC3">
        <w:t xml:space="preserve"> </w:t>
      </w:r>
      <w:r w:rsidRPr="00382917">
        <w:t>would</w:t>
      </w:r>
      <w:r w:rsidR="00EE4FC3">
        <w:t xml:space="preserve"> </w:t>
      </w:r>
      <w:r w:rsidRPr="00382917">
        <w:t>not</w:t>
      </w:r>
      <w:r w:rsidR="00EE4FC3">
        <w:t xml:space="preserve"> </w:t>
      </w:r>
      <w:r w:rsidRPr="00382917">
        <w:t>allow</w:t>
      </w:r>
      <w:r w:rsidR="00EE4FC3">
        <w:t xml:space="preserve"> </w:t>
      </w:r>
      <w:r w:rsidRPr="00382917">
        <w:t>any</w:t>
      </w:r>
      <w:r w:rsidR="00EE4FC3">
        <w:t xml:space="preserve"> </w:t>
      </w:r>
      <w:r w:rsidRPr="00382917">
        <w:t>of</w:t>
      </w:r>
      <w:r w:rsidR="00EE4FC3">
        <w:t xml:space="preserve"> </w:t>
      </w:r>
      <w:r w:rsidRPr="00382917">
        <w:t>the</w:t>
      </w:r>
      <w:r w:rsidR="00EE4FC3">
        <w:t xml:space="preserve"> </w:t>
      </w:r>
      <w:r w:rsidRPr="00382917">
        <w:t>Báb</w:t>
      </w:r>
      <w:r w:rsidR="009C713D" w:rsidRPr="00382917">
        <w:t>’</w:t>
      </w:r>
      <w:r w:rsidRPr="00382917">
        <w:t>s</w:t>
      </w:r>
      <w:r w:rsidR="00EE4FC3">
        <w:t xml:space="preserve"> </w:t>
      </w:r>
      <w:r w:rsidRPr="00382917">
        <w:t>followers</w:t>
      </w:r>
      <w:r w:rsidR="00EE4FC3">
        <w:t xml:space="preserve"> </w:t>
      </w:r>
      <w:r w:rsidRPr="00382917">
        <w:t>who</w:t>
      </w:r>
      <w:r w:rsidR="00EE4FC3">
        <w:t xml:space="preserve"> </w:t>
      </w:r>
      <w:r w:rsidRPr="00382917">
        <w:t>came</w:t>
      </w:r>
      <w:r w:rsidR="00EE4FC3">
        <w:t xml:space="preserve"> </w:t>
      </w:r>
      <w:r w:rsidRPr="00382917">
        <w:t>to</w:t>
      </w:r>
      <w:r w:rsidR="00EE4FC3">
        <w:t xml:space="preserve"> </w:t>
      </w:r>
      <w:r w:rsidRPr="00382917">
        <w:t>the</w:t>
      </w:r>
      <w:r w:rsidR="00EE4FC3">
        <w:t xml:space="preserve"> </w:t>
      </w:r>
      <w:r w:rsidRPr="00382917">
        <w:t>mountain</w:t>
      </w:r>
      <w:r w:rsidR="00EE4FC3">
        <w:t xml:space="preserve"> </w:t>
      </w:r>
      <w:r w:rsidRPr="00382917">
        <w:t>to</w:t>
      </w:r>
      <w:r w:rsidR="00EE4FC3">
        <w:t xml:space="preserve"> </w:t>
      </w:r>
      <w:r w:rsidRPr="00382917">
        <w:t>remain,</w:t>
      </w:r>
      <w:r w:rsidR="00EE4FC3">
        <w:t xml:space="preserve"> </w:t>
      </w:r>
      <w:r w:rsidRPr="00382917">
        <w:t>even</w:t>
      </w:r>
      <w:r w:rsidR="00EE4FC3">
        <w:t xml:space="preserve"> </w:t>
      </w:r>
      <w:r w:rsidRPr="00382917">
        <w:t>for</w:t>
      </w:r>
      <w:r w:rsidR="00EE4FC3">
        <w:t xml:space="preserve"> </w:t>
      </w:r>
      <w:r w:rsidRPr="00382917">
        <w:t>one</w:t>
      </w:r>
      <w:r w:rsidR="00EE4FC3">
        <w:t xml:space="preserve"> </w:t>
      </w:r>
      <w:r w:rsidRPr="00382917">
        <w:t>night,</w:t>
      </w:r>
      <w:r w:rsidR="00EE4FC3">
        <w:t xml:space="preserve"> </w:t>
      </w:r>
      <w:r w:rsidRPr="00382917">
        <w:t>in</w:t>
      </w:r>
      <w:r w:rsidR="00EE4FC3">
        <w:t xml:space="preserve"> </w:t>
      </w:r>
      <w:r w:rsidRPr="00382917">
        <w:t>the</w:t>
      </w:r>
      <w:r w:rsidR="00EE4FC3">
        <w:t xml:space="preserve"> </w:t>
      </w:r>
      <w:r w:rsidRPr="00382917">
        <w:t>village</w:t>
      </w:r>
      <w:r w:rsidR="00EE4FC3">
        <w:t xml:space="preserve"> </w:t>
      </w:r>
      <w:r w:rsidRPr="00382917">
        <w:t>of</w:t>
      </w:r>
      <w:r w:rsidR="00EE4FC3">
        <w:t xml:space="preserve"> </w:t>
      </w:r>
      <w:r w:rsidRPr="00382917">
        <w:t>Máh-Kú</w:t>
      </w:r>
      <w:r w:rsidR="00C03C91">
        <w:t>.</w:t>
      </w:r>
      <w:r w:rsidR="00EE4FC3">
        <w:t xml:space="preserve">  </w:t>
      </w:r>
      <w:r w:rsidRPr="00382917">
        <w:t>Ḥájí</w:t>
      </w:r>
      <w:r w:rsidR="00EE4FC3">
        <w:t xml:space="preserve"> </w:t>
      </w:r>
      <w:r w:rsidRPr="00382917">
        <w:t>Mírzá</w:t>
      </w:r>
      <w:r w:rsidR="00EE4FC3">
        <w:t xml:space="preserve"> </w:t>
      </w:r>
      <w:r w:rsidRPr="00382917">
        <w:t>Áqásí</w:t>
      </w:r>
      <w:r w:rsidR="00EE4FC3">
        <w:t xml:space="preserve"> </w:t>
      </w:r>
      <w:r w:rsidRPr="00382917">
        <w:t>had</w:t>
      </w:r>
      <w:r w:rsidR="00EE4FC3">
        <w:t xml:space="preserve"> </w:t>
      </w:r>
      <w:r w:rsidRPr="00382917">
        <w:t>warned</w:t>
      </w:r>
      <w:r w:rsidR="00EE4FC3">
        <w:t xml:space="preserve"> </w:t>
      </w:r>
      <w:r w:rsidR="009C713D" w:rsidRPr="00382917">
        <w:t>‘</w:t>
      </w:r>
      <w:r w:rsidRPr="00382917">
        <w:t>Alí</w:t>
      </w:r>
      <w:r w:rsidR="00EE4FC3">
        <w:t xml:space="preserve"> </w:t>
      </w:r>
      <w:r w:rsidR="0040329F" w:rsidRPr="0040329F">
        <w:rPr>
          <w:u w:val="single"/>
        </w:rPr>
        <w:t>Kh</w:t>
      </w:r>
      <w:r w:rsidR="0040329F" w:rsidRPr="00382917">
        <w:t>án</w:t>
      </w:r>
      <w:r w:rsidR="00EE4FC3">
        <w:t xml:space="preserve"> </w:t>
      </w:r>
      <w:r w:rsidRPr="00382917">
        <w:t>of</w:t>
      </w:r>
      <w:r w:rsidR="00EE4FC3">
        <w:t xml:space="preserve"> </w:t>
      </w:r>
      <w:r w:rsidRPr="00382917">
        <w:t>the</w:t>
      </w:r>
      <w:r w:rsidR="00EE4FC3">
        <w:t xml:space="preserve"> </w:t>
      </w:r>
      <w:r w:rsidRPr="00382917">
        <w:t>danger</w:t>
      </w:r>
      <w:r w:rsidR="00EE4FC3">
        <w:t xml:space="preserve"> </w:t>
      </w:r>
      <w:r w:rsidRPr="00382917">
        <w:t>of</w:t>
      </w:r>
      <w:r w:rsidR="00EE4FC3">
        <w:t xml:space="preserve"> </w:t>
      </w:r>
      <w:r w:rsidRPr="00382917">
        <w:t>falling</w:t>
      </w:r>
      <w:r w:rsidR="00EE4FC3">
        <w:t xml:space="preserve"> </w:t>
      </w:r>
      <w:r w:rsidR="004D0B68">
        <w:t>u</w:t>
      </w:r>
      <w:r w:rsidRPr="00382917">
        <w:t>nder</w:t>
      </w:r>
      <w:r w:rsidR="00EE4FC3">
        <w:t xml:space="preserve"> </w:t>
      </w:r>
      <w:r w:rsidRPr="00382917">
        <w:t>the</w:t>
      </w:r>
      <w:r w:rsidR="00EE4FC3">
        <w:t xml:space="preserve"> </w:t>
      </w:r>
      <w:r w:rsidRPr="00382917">
        <w:t>spell</w:t>
      </w:r>
      <w:r w:rsidR="00EE4FC3">
        <w:t xml:space="preserve"> </w:t>
      </w:r>
      <w:r w:rsidRPr="00382917">
        <w:t>of</w:t>
      </w:r>
      <w:r w:rsidR="00EE4FC3">
        <w:t xml:space="preserve"> </w:t>
      </w:r>
      <w:r w:rsidRPr="00382917">
        <w:t>the</w:t>
      </w:r>
      <w:r w:rsidR="00EE4FC3">
        <w:t xml:space="preserve"> </w:t>
      </w:r>
      <w:r w:rsidRPr="00382917">
        <w:t>Báb</w:t>
      </w:r>
      <w:r w:rsidR="009C713D" w:rsidRPr="00382917">
        <w:t>’</w:t>
      </w:r>
      <w:r w:rsidRPr="00382917">
        <w:t>s</w:t>
      </w:r>
      <w:r w:rsidR="00EE4FC3">
        <w:t xml:space="preserve"> </w:t>
      </w:r>
      <w:r w:rsidRPr="00382917">
        <w:t>charm</w:t>
      </w:r>
      <w:r w:rsidR="00C03C91">
        <w:t>.</w:t>
      </w:r>
      <w:r w:rsidR="00EE4FC3">
        <w:t xml:space="preserve">  </w:t>
      </w:r>
      <w:r w:rsidR="009C713D" w:rsidRPr="00382917">
        <w:t>“</w:t>
      </w:r>
      <w:r w:rsidRPr="00382917">
        <w:t>He</w:t>
      </w:r>
      <w:r w:rsidR="00EE4FC3">
        <w:t xml:space="preserve"> </w:t>
      </w:r>
      <w:r w:rsidRPr="00382917">
        <w:t>is</w:t>
      </w:r>
      <w:r w:rsidR="00EE4FC3">
        <w:t xml:space="preserve"> </w:t>
      </w:r>
      <w:r w:rsidRPr="00382917">
        <w:t>an</w:t>
      </w:r>
      <w:r w:rsidR="00EE4FC3">
        <w:t xml:space="preserve"> </w:t>
      </w:r>
      <w:r w:rsidRPr="00382917">
        <w:t>agitator,</w:t>
      </w:r>
      <w:r w:rsidR="009C713D" w:rsidRPr="00382917">
        <w:t>”</w:t>
      </w:r>
      <w:r w:rsidR="00EE4FC3">
        <w:t xml:space="preserve"> </w:t>
      </w:r>
      <w:r w:rsidRPr="00382917">
        <w:t>the</w:t>
      </w:r>
      <w:r w:rsidR="00EE4FC3">
        <w:t xml:space="preserve"> </w:t>
      </w:r>
      <w:r w:rsidRPr="00382917">
        <w:t>Prime</w:t>
      </w:r>
      <w:r w:rsidR="00EE4FC3">
        <w:t xml:space="preserve"> </w:t>
      </w:r>
      <w:r w:rsidRPr="00382917">
        <w:t>Minister</w:t>
      </w:r>
      <w:r w:rsidR="00EE4FC3">
        <w:t xml:space="preserve"> </w:t>
      </w:r>
      <w:r w:rsidRPr="00382917">
        <w:t>had</w:t>
      </w:r>
      <w:r w:rsidR="00EE4FC3">
        <w:t xml:space="preserve"> </w:t>
      </w:r>
      <w:r w:rsidRPr="00382917">
        <w:t>said.</w:t>
      </w:r>
    </w:p>
    <w:p w:rsidR="00540E31" w:rsidRPr="00382917" w:rsidRDefault="009C713D" w:rsidP="00665A7A">
      <w:pPr>
        <w:pStyle w:val="Text"/>
      </w:pPr>
      <w:r w:rsidRPr="00382917">
        <w:t>‘</w:t>
      </w:r>
      <w:r w:rsidR="00540E31" w:rsidRPr="00382917">
        <w:t>Alí</w:t>
      </w:r>
      <w:r w:rsidR="00EE4FC3">
        <w:t xml:space="preserve"> </w:t>
      </w:r>
      <w:r w:rsidR="0040329F" w:rsidRPr="0040329F">
        <w:rPr>
          <w:u w:val="single"/>
        </w:rPr>
        <w:t>Kh</w:t>
      </w:r>
      <w:r w:rsidR="0040329F" w:rsidRPr="00382917">
        <w:t>án</w:t>
      </w:r>
      <w:r w:rsidR="00EE4FC3">
        <w:t xml:space="preserve"> </w:t>
      </w:r>
      <w:r w:rsidR="00540E31" w:rsidRPr="00382917">
        <w:t>found</w:t>
      </w:r>
      <w:r w:rsidR="00EE4FC3">
        <w:t xml:space="preserve"> </w:t>
      </w:r>
      <w:proofErr w:type="gramStart"/>
      <w:r w:rsidR="00540E31" w:rsidRPr="00382917">
        <w:t>himself</w:t>
      </w:r>
      <w:proofErr w:type="gramEnd"/>
      <w:r w:rsidR="00EE4FC3">
        <w:t xml:space="preserve"> </w:t>
      </w:r>
      <w:r w:rsidR="00540E31" w:rsidRPr="00382917">
        <w:t>increasingly</w:t>
      </w:r>
      <w:r w:rsidR="00EE4FC3">
        <w:t xml:space="preserve"> </w:t>
      </w:r>
      <w:r w:rsidR="00540E31" w:rsidRPr="00382917">
        <w:t>helpless</w:t>
      </w:r>
      <w:r w:rsidR="00EE4FC3">
        <w:t xml:space="preserve"> </w:t>
      </w:r>
      <w:r w:rsidR="00540E31" w:rsidRPr="00382917">
        <w:t>to</w:t>
      </w:r>
      <w:r w:rsidR="00EE4FC3">
        <w:t xml:space="preserve"> </w:t>
      </w:r>
      <w:r w:rsidR="00540E31" w:rsidRPr="00382917">
        <w:t>resist</w:t>
      </w:r>
      <w:r w:rsidR="00EE4FC3">
        <w:t xml:space="preserve"> </w:t>
      </w:r>
      <w:r w:rsidR="00540E31" w:rsidRPr="00382917">
        <w:t>his</w:t>
      </w:r>
      <w:r w:rsidR="00EE4FC3">
        <w:t xml:space="preserve"> </w:t>
      </w:r>
      <w:r w:rsidR="00540E31" w:rsidRPr="00382917">
        <w:t>attraction</w:t>
      </w:r>
      <w:r w:rsidR="00EE4FC3">
        <w:t xml:space="preserve"> </w:t>
      </w:r>
      <w:r w:rsidR="00540E31" w:rsidRPr="00382917">
        <w:t>to</w:t>
      </w:r>
      <w:r w:rsidR="00EE4FC3">
        <w:t xml:space="preserve"> </w:t>
      </w:r>
      <w:r w:rsidR="00540E31" w:rsidRPr="00382917">
        <w:t>the</w:t>
      </w:r>
      <w:r w:rsidR="00EE4FC3">
        <w:t xml:space="preserve"> </w:t>
      </w:r>
      <w:r w:rsidR="00540E31" w:rsidRPr="00382917">
        <w:t>Báb</w:t>
      </w:r>
      <w:r w:rsidR="00C03C91">
        <w:t>.</w:t>
      </w:r>
      <w:r w:rsidR="00EE4FC3">
        <w:t xml:space="preserve">  </w:t>
      </w:r>
      <w:r w:rsidR="00540E31" w:rsidRPr="00382917">
        <w:t>During</w:t>
      </w:r>
      <w:r w:rsidR="00EE4FC3">
        <w:t xml:space="preserve"> </w:t>
      </w:r>
      <w:r w:rsidR="00540E31" w:rsidRPr="00382917">
        <w:t>the</w:t>
      </w:r>
      <w:r w:rsidR="00EE4FC3">
        <w:t xml:space="preserve"> </w:t>
      </w:r>
      <w:r w:rsidR="00540E31" w:rsidRPr="00382917">
        <w:t>nine</w:t>
      </w:r>
      <w:r w:rsidR="00EE4FC3">
        <w:t xml:space="preserve"> </w:t>
      </w:r>
      <w:r w:rsidR="00540E31" w:rsidRPr="00382917">
        <w:t>months</w:t>
      </w:r>
      <w:r w:rsidR="00EE4FC3">
        <w:t xml:space="preserve"> </w:t>
      </w:r>
      <w:r w:rsidR="00540E31" w:rsidRPr="00382917">
        <w:t>of</w:t>
      </w:r>
      <w:r w:rsidR="00EE4FC3">
        <w:t xml:space="preserve"> </w:t>
      </w:r>
      <w:r w:rsidR="00540E31" w:rsidRPr="00382917">
        <w:t>the</w:t>
      </w:r>
      <w:r w:rsidR="00EE4FC3">
        <w:t xml:space="preserve"> </w:t>
      </w:r>
      <w:r w:rsidR="00540E31" w:rsidRPr="00382917">
        <w:t>Báb</w:t>
      </w:r>
      <w:r w:rsidRPr="00382917">
        <w:t>’</w:t>
      </w:r>
      <w:r w:rsidR="00540E31" w:rsidRPr="00382917">
        <w:t>s</w:t>
      </w:r>
      <w:r w:rsidR="00EE4FC3">
        <w:t xml:space="preserve"> </w:t>
      </w:r>
      <w:r w:rsidR="00540E31" w:rsidRPr="00382917">
        <w:t>imprisonment</w:t>
      </w:r>
      <w:r w:rsidR="00EE4FC3">
        <w:t xml:space="preserve"> </w:t>
      </w:r>
      <w:r w:rsidR="00540E31" w:rsidRPr="00382917">
        <w:t>from</w:t>
      </w:r>
      <w:r w:rsidR="00EE4FC3">
        <w:t xml:space="preserve"> </w:t>
      </w:r>
      <w:r w:rsidR="00540E31" w:rsidRPr="00382917">
        <w:t>the</w:t>
      </w:r>
      <w:r w:rsidR="00EE4FC3">
        <w:t xml:space="preserve"> </w:t>
      </w:r>
      <w:r w:rsidR="00540E31" w:rsidRPr="00382917">
        <w:t>summer</w:t>
      </w:r>
      <w:r w:rsidR="00EE4FC3">
        <w:t xml:space="preserve"> </w:t>
      </w:r>
      <w:r w:rsidR="00540E31" w:rsidRPr="00382917">
        <w:t>of</w:t>
      </w:r>
      <w:r w:rsidR="00EE4FC3">
        <w:t xml:space="preserve"> </w:t>
      </w:r>
      <w:r w:rsidR="00540E31" w:rsidRPr="00382917">
        <w:t>1847</w:t>
      </w:r>
      <w:r w:rsidR="00EE4FC3">
        <w:t xml:space="preserve"> </w:t>
      </w:r>
      <w:r w:rsidR="00540E31" w:rsidRPr="00382917">
        <w:t>until</w:t>
      </w:r>
      <w:r w:rsidR="00EE4FC3">
        <w:t xml:space="preserve"> </w:t>
      </w:r>
      <w:r w:rsidR="00540E31" w:rsidRPr="00382917">
        <w:t>April</w:t>
      </w:r>
      <w:r w:rsidR="00EE4FC3">
        <w:t xml:space="preserve"> </w:t>
      </w:r>
      <w:r w:rsidR="00540E31" w:rsidRPr="00382917">
        <w:t>in</w:t>
      </w:r>
      <w:r w:rsidR="00EE4FC3">
        <w:t xml:space="preserve"> </w:t>
      </w:r>
      <w:r w:rsidR="00540E31" w:rsidRPr="00382917">
        <w:t>1848,</w:t>
      </w:r>
      <w:r w:rsidR="00EE4FC3">
        <w:t xml:space="preserve"> </w:t>
      </w:r>
      <w:r w:rsidR="00540E31" w:rsidRPr="00382917">
        <w:t>his</w:t>
      </w:r>
      <w:r w:rsidR="00EE4FC3">
        <w:t xml:space="preserve"> </w:t>
      </w:r>
      <w:r w:rsidR="00540E31" w:rsidRPr="00382917">
        <w:t>hostility</w:t>
      </w:r>
      <w:r w:rsidR="00EE4FC3">
        <w:t xml:space="preserve"> </w:t>
      </w:r>
      <w:r w:rsidR="00540E31" w:rsidRPr="00382917">
        <w:t>underwent</w:t>
      </w:r>
      <w:r w:rsidR="00EE4FC3">
        <w:t xml:space="preserve"> </w:t>
      </w:r>
      <w:r w:rsidR="00540E31" w:rsidRPr="00382917">
        <w:t>a</w:t>
      </w:r>
      <w:r w:rsidR="00EE4FC3">
        <w:t xml:space="preserve"> </w:t>
      </w:r>
      <w:r w:rsidR="00540E31" w:rsidRPr="00382917">
        <w:t>series</w:t>
      </w:r>
      <w:r w:rsidR="00EE4FC3">
        <w:t xml:space="preserve"> </w:t>
      </w:r>
      <w:r w:rsidR="00540E31" w:rsidRPr="00382917">
        <w:t>of</w:t>
      </w:r>
      <w:r w:rsidR="00EE4FC3">
        <w:t xml:space="preserve"> </w:t>
      </w:r>
      <w:r w:rsidR="00540E31" w:rsidRPr="00382917">
        <w:t>transformations</w:t>
      </w:r>
      <w:r w:rsidR="00EE4FC3">
        <w:t xml:space="preserve"> </w:t>
      </w:r>
      <w:r w:rsidR="00540E31" w:rsidRPr="00382917">
        <w:t>from</w:t>
      </w:r>
      <w:r w:rsidR="00EE4FC3">
        <w:t xml:space="preserve"> </w:t>
      </w:r>
      <w:r w:rsidR="00540E31" w:rsidRPr="00382917">
        <w:t>enmity</w:t>
      </w:r>
      <w:r w:rsidR="00EE4FC3">
        <w:t xml:space="preserve"> </w:t>
      </w:r>
      <w:r w:rsidR="00540E31" w:rsidRPr="00382917">
        <w:t>to</w:t>
      </w:r>
      <w:r w:rsidR="00EE4FC3">
        <w:t xml:space="preserve"> </w:t>
      </w:r>
      <w:r w:rsidR="00540E31" w:rsidRPr="00382917">
        <w:t>devotion</w:t>
      </w:r>
      <w:r w:rsidR="00C03C91">
        <w:t>.</w:t>
      </w:r>
      <w:r w:rsidR="00EE4FC3">
        <w:t xml:space="preserve">  </w:t>
      </w:r>
      <w:r w:rsidR="00540E31" w:rsidRPr="00382917">
        <w:t>From</w:t>
      </w:r>
      <w:r w:rsidR="00EE4FC3">
        <w:t xml:space="preserve"> </w:t>
      </w:r>
      <w:r w:rsidR="00540E31" w:rsidRPr="00382917">
        <w:t>that</w:t>
      </w:r>
      <w:r w:rsidR="00EE4FC3">
        <w:t xml:space="preserve"> </w:t>
      </w:r>
      <w:r w:rsidR="00540E31" w:rsidRPr="00382917">
        <w:t>moment</w:t>
      </w:r>
      <w:r w:rsidR="00EE4FC3">
        <w:t xml:space="preserve"> </w:t>
      </w:r>
      <w:r w:rsidR="00540E31" w:rsidRPr="00382917">
        <w:t>on,</w:t>
      </w:r>
      <w:r w:rsidR="00EE4FC3">
        <w:t xml:space="preserve"> </w:t>
      </w:r>
      <w:r w:rsidRPr="00382917">
        <w:t>‘</w:t>
      </w:r>
      <w:r w:rsidR="00540E31" w:rsidRPr="00382917">
        <w:t>Alí</w:t>
      </w:r>
      <w:r w:rsidR="00EE4FC3">
        <w:t xml:space="preserve"> </w:t>
      </w:r>
      <w:r w:rsidR="0040329F" w:rsidRPr="0040329F">
        <w:rPr>
          <w:u w:val="single"/>
        </w:rPr>
        <w:t>Kh</w:t>
      </w:r>
      <w:r w:rsidR="0040329F" w:rsidRPr="00382917">
        <w:t>án</w:t>
      </w:r>
      <w:r w:rsidR="00EE4FC3">
        <w:t xml:space="preserve"> </w:t>
      </w:r>
      <w:r w:rsidR="00540E31" w:rsidRPr="00382917">
        <w:t>tried</w:t>
      </w:r>
      <w:r w:rsidR="00EE4FC3">
        <w:t xml:space="preserve"> </w:t>
      </w:r>
      <w:r w:rsidR="00540E31" w:rsidRPr="00382917">
        <w:t>by</w:t>
      </w:r>
      <w:r w:rsidR="00EE4FC3">
        <w:t xml:space="preserve"> </w:t>
      </w:r>
      <w:r w:rsidR="00540E31" w:rsidRPr="00382917">
        <w:t>every</w:t>
      </w:r>
      <w:r w:rsidR="00EE4FC3">
        <w:t xml:space="preserve"> </w:t>
      </w:r>
      <w:r w:rsidR="00540E31" w:rsidRPr="00382917">
        <w:t>means</w:t>
      </w:r>
      <w:r w:rsidR="00EE4FC3">
        <w:t xml:space="preserve"> </w:t>
      </w:r>
      <w:r w:rsidR="00540E31" w:rsidRPr="00382917">
        <w:t>in</w:t>
      </w:r>
      <w:r w:rsidR="00EE4FC3">
        <w:t xml:space="preserve"> </w:t>
      </w:r>
      <w:r w:rsidR="00540E31" w:rsidRPr="00382917">
        <w:t>his</w:t>
      </w:r>
      <w:r w:rsidR="00EE4FC3">
        <w:t xml:space="preserve"> </w:t>
      </w:r>
      <w:r w:rsidR="00540E31" w:rsidRPr="00382917">
        <w:t>power</w:t>
      </w:r>
      <w:r w:rsidR="00EE4FC3">
        <w:t xml:space="preserve"> </w:t>
      </w:r>
      <w:r w:rsidR="00540E31" w:rsidRPr="00382917">
        <w:t>to</w:t>
      </w:r>
      <w:r w:rsidR="00EE4FC3">
        <w:t xml:space="preserve"> </w:t>
      </w:r>
      <w:r w:rsidR="00540E31" w:rsidRPr="00382917">
        <w:t>make</w:t>
      </w:r>
      <w:r w:rsidR="00EE4FC3">
        <w:t xml:space="preserve"> </w:t>
      </w:r>
      <w:r w:rsidR="00540E31" w:rsidRPr="00382917">
        <w:t>up</w:t>
      </w:r>
      <w:r w:rsidR="00EE4FC3">
        <w:t xml:space="preserve"> </w:t>
      </w:r>
      <w:r w:rsidR="00540E31" w:rsidRPr="00382917">
        <w:t>for</w:t>
      </w:r>
      <w:r w:rsidR="00EE4FC3">
        <w:t xml:space="preserve"> </w:t>
      </w:r>
      <w:r w:rsidR="00540E31" w:rsidRPr="00382917">
        <w:t>his</w:t>
      </w:r>
      <w:r w:rsidR="00EE4FC3">
        <w:t xml:space="preserve"> </w:t>
      </w:r>
      <w:r w:rsidR="00540E31" w:rsidRPr="00382917">
        <w:t>past</w:t>
      </w:r>
      <w:r w:rsidR="00EE4FC3">
        <w:t xml:space="preserve"> </w:t>
      </w:r>
      <w:r w:rsidR="00540E31" w:rsidRPr="00382917">
        <w:t>hatred.</w:t>
      </w:r>
    </w:p>
    <w:p w:rsidR="00540E31" w:rsidRPr="00382917" w:rsidRDefault="00540E31" w:rsidP="00665A7A">
      <w:pPr>
        <w:pStyle w:val="Text"/>
      </w:pPr>
      <w:r w:rsidRPr="00382917">
        <w:t>One</w:t>
      </w:r>
      <w:r w:rsidR="00EE4FC3">
        <w:t xml:space="preserve"> </w:t>
      </w:r>
      <w:r w:rsidRPr="00382917">
        <w:t>day</w:t>
      </w:r>
      <w:r w:rsidR="00EE4FC3">
        <w:t xml:space="preserve"> </w:t>
      </w:r>
      <w:r w:rsidRPr="00382917">
        <w:t>he</w:t>
      </w:r>
      <w:r w:rsidR="00EE4FC3">
        <w:t xml:space="preserve"> </w:t>
      </w:r>
      <w:r w:rsidRPr="00382917">
        <w:t>went</w:t>
      </w:r>
      <w:r w:rsidR="00EE4FC3">
        <w:t xml:space="preserve"> </w:t>
      </w:r>
      <w:r w:rsidRPr="00382917">
        <w:t>to</w:t>
      </w:r>
      <w:r w:rsidR="00EE4FC3">
        <w:t xml:space="preserve"> </w:t>
      </w:r>
      <w:r w:rsidRPr="00382917">
        <w:t>the</w:t>
      </w:r>
      <w:r w:rsidR="00EE4FC3">
        <w:t xml:space="preserve"> </w:t>
      </w:r>
      <w:r w:rsidRPr="00382917">
        <w:t>Báb</w:t>
      </w:r>
      <w:r w:rsidR="00C03C91">
        <w:t>:</w:t>
      </w:r>
      <w:r w:rsidR="00EE4FC3">
        <w:t xml:space="preserve">  </w:t>
      </w:r>
      <w:r w:rsidR="009C713D" w:rsidRPr="00382917">
        <w:t>“</w:t>
      </w:r>
      <w:r w:rsidRPr="00382917">
        <w:t>A</w:t>
      </w:r>
      <w:r w:rsidR="00EE4FC3">
        <w:t xml:space="preserve"> </w:t>
      </w:r>
      <w:r w:rsidRPr="00382917">
        <w:t>poor</w:t>
      </w:r>
      <w:r w:rsidR="00EE4FC3">
        <w:t xml:space="preserve"> </w:t>
      </w:r>
      <w:r w:rsidRPr="00382917">
        <w:t>man</w:t>
      </w:r>
      <w:r w:rsidR="00EE4FC3">
        <w:t xml:space="preserve"> </w:t>
      </w:r>
      <w:r w:rsidRPr="00382917">
        <w:t>waiting</w:t>
      </w:r>
      <w:r w:rsidR="00EE4FC3">
        <w:t xml:space="preserve"> </w:t>
      </w:r>
      <w:r w:rsidRPr="00382917">
        <w:t>outside</w:t>
      </w:r>
      <w:r w:rsidR="00EE4FC3">
        <w:t xml:space="preserve"> </w:t>
      </w:r>
      <w:r w:rsidRPr="00382917">
        <w:t>the</w:t>
      </w:r>
      <w:r w:rsidR="00EE4FC3">
        <w:t xml:space="preserve"> </w:t>
      </w:r>
      <w:r w:rsidRPr="00382917">
        <w:t>gate</w:t>
      </w:r>
      <w:r w:rsidR="00EE4FC3">
        <w:t xml:space="preserve"> </w:t>
      </w:r>
      <w:r w:rsidRPr="00382917">
        <w:t>of</w:t>
      </w:r>
      <w:r w:rsidR="00EE4FC3">
        <w:t xml:space="preserve"> </w:t>
      </w:r>
      <w:r w:rsidRPr="00382917">
        <w:t>Máh-Kú</w:t>
      </w:r>
      <w:r w:rsidR="00EE4FC3">
        <w:t xml:space="preserve"> </w:t>
      </w:r>
      <w:r w:rsidRPr="00382917">
        <w:t>yearns</w:t>
      </w:r>
      <w:r w:rsidR="00EE4FC3">
        <w:t xml:space="preserve"> </w:t>
      </w:r>
      <w:r w:rsidRPr="00382917">
        <w:t>to</w:t>
      </w:r>
      <w:r w:rsidR="00EE4FC3">
        <w:t xml:space="preserve"> </w:t>
      </w:r>
      <w:r w:rsidRPr="00382917">
        <w:t>attain</w:t>
      </w:r>
      <w:r w:rsidR="00EE4FC3">
        <w:t xml:space="preserve"> </w:t>
      </w:r>
      <w:proofErr w:type="gramStart"/>
      <w:r w:rsidRPr="00382917">
        <w:t>Your</w:t>
      </w:r>
      <w:proofErr w:type="gramEnd"/>
      <w:r w:rsidR="00EE4FC3">
        <w:t xml:space="preserve"> </w:t>
      </w:r>
      <w:r w:rsidRPr="00382917">
        <w:t>presence,</w:t>
      </w:r>
      <w:r w:rsidR="009C713D" w:rsidRPr="00382917">
        <w:t>”</w:t>
      </w:r>
      <w:r w:rsidR="00EE4FC3">
        <w:t xml:space="preserve"> </w:t>
      </w:r>
      <w:r w:rsidRPr="00382917">
        <w:t>he</w:t>
      </w:r>
      <w:r w:rsidR="00EE4FC3">
        <w:t xml:space="preserve"> </w:t>
      </w:r>
      <w:r w:rsidRPr="00382917">
        <w:t>said</w:t>
      </w:r>
      <w:r w:rsidR="00C03C91">
        <w:t>.</w:t>
      </w:r>
      <w:r w:rsidR="00EE4FC3">
        <w:t xml:space="preserve">  </w:t>
      </w:r>
      <w:r w:rsidR="009C713D" w:rsidRPr="00382917">
        <w:t>“</w:t>
      </w:r>
      <w:r w:rsidRPr="00382917">
        <w:t>May</w:t>
      </w:r>
      <w:r w:rsidR="00EE4FC3">
        <w:t xml:space="preserve"> </w:t>
      </w:r>
      <w:r w:rsidRPr="00382917">
        <w:t>I</w:t>
      </w:r>
      <w:r w:rsidR="00EE4FC3">
        <w:t xml:space="preserve"> </w:t>
      </w:r>
      <w:r w:rsidRPr="00382917">
        <w:t>have</w:t>
      </w:r>
      <w:r w:rsidR="00EE4FC3">
        <w:t xml:space="preserve"> </w:t>
      </w:r>
      <w:r w:rsidRPr="00382917">
        <w:t>your</w:t>
      </w:r>
      <w:r w:rsidR="00EE4FC3">
        <w:t xml:space="preserve"> </w:t>
      </w:r>
      <w:r w:rsidRPr="00382917">
        <w:t>permission</w:t>
      </w:r>
      <w:r w:rsidR="00EE4FC3">
        <w:t xml:space="preserve"> </w:t>
      </w:r>
      <w:r w:rsidRPr="00382917">
        <w:t>to</w:t>
      </w:r>
      <w:r w:rsidR="00EE4FC3">
        <w:t xml:space="preserve"> </w:t>
      </w:r>
      <w:r w:rsidRPr="00382917">
        <w:t>bring</w:t>
      </w:r>
      <w:r w:rsidR="00EE4FC3">
        <w:t xml:space="preserve"> </w:t>
      </w:r>
      <w:r w:rsidRPr="00382917">
        <w:t>him</w:t>
      </w:r>
      <w:r w:rsidR="00EE4FC3">
        <w:t xml:space="preserve"> </w:t>
      </w:r>
      <w:r w:rsidRPr="00382917">
        <w:t>to</w:t>
      </w:r>
      <w:r w:rsidR="00EE4FC3">
        <w:t xml:space="preserve"> </w:t>
      </w:r>
      <w:r w:rsidRPr="00382917">
        <w:t>this</w:t>
      </w:r>
      <w:r w:rsidR="00EE4FC3">
        <w:t xml:space="preserve"> </w:t>
      </w:r>
      <w:r w:rsidRPr="00382917">
        <w:t>place</w:t>
      </w:r>
      <w:r w:rsidR="00EE4FC3">
        <w:t xml:space="preserve"> </w:t>
      </w:r>
      <w:r w:rsidRPr="00382917">
        <w:t>so</w:t>
      </w:r>
      <w:r w:rsidR="00EE4FC3">
        <w:t xml:space="preserve"> </w:t>
      </w:r>
      <w:r w:rsidRPr="00382917">
        <w:t>that</w:t>
      </w:r>
      <w:r w:rsidR="00EE4FC3">
        <w:t xml:space="preserve"> </w:t>
      </w:r>
      <w:r w:rsidRPr="00382917">
        <w:t>he</w:t>
      </w:r>
      <w:r w:rsidR="00EE4FC3">
        <w:t xml:space="preserve"> </w:t>
      </w:r>
      <w:r w:rsidRPr="00382917">
        <w:t>may</w:t>
      </w:r>
      <w:r w:rsidR="00EE4FC3">
        <w:t xml:space="preserve"> </w:t>
      </w:r>
      <w:r w:rsidRPr="00382917">
        <w:t>meet</w:t>
      </w:r>
      <w:r w:rsidR="00EE4FC3">
        <w:t xml:space="preserve"> </w:t>
      </w:r>
      <w:proofErr w:type="gramStart"/>
      <w:r w:rsidRPr="00382917">
        <w:t>You</w:t>
      </w:r>
      <w:proofErr w:type="gramEnd"/>
      <w:r w:rsidRPr="00382917">
        <w:t>?</w:t>
      </w:r>
      <w:r w:rsidR="00EE4FC3">
        <w:t xml:space="preserve">  </w:t>
      </w:r>
      <w:r w:rsidRPr="00382917">
        <w:t>By</w:t>
      </w:r>
      <w:r w:rsidR="00EE4FC3">
        <w:t xml:space="preserve"> </w:t>
      </w:r>
      <w:r w:rsidRPr="00382917">
        <w:t>this</w:t>
      </w:r>
      <w:r w:rsidR="00EE4FC3">
        <w:t xml:space="preserve"> </w:t>
      </w:r>
      <w:r w:rsidRPr="00382917">
        <w:t>act,</w:t>
      </w:r>
      <w:r w:rsidR="00EE4FC3">
        <w:t xml:space="preserve"> </w:t>
      </w:r>
      <w:r w:rsidRPr="00382917">
        <w:t>I</w:t>
      </w:r>
      <w:r w:rsidR="00EE4FC3">
        <w:t xml:space="preserve"> </w:t>
      </w:r>
      <w:r w:rsidRPr="00382917">
        <w:t>hope</w:t>
      </w:r>
      <w:r w:rsidR="00EE4FC3">
        <w:t xml:space="preserve"> </w:t>
      </w:r>
      <w:r w:rsidRPr="00382917">
        <w:t>that</w:t>
      </w:r>
      <w:r w:rsidR="00EE4FC3">
        <w:t xml:space="preserve"> </w:t>
      </w:r>
      <w:proofErr w:type="gramStart"/>
      <w:r w:rsidRPr="00382917">
        <w:t>You</w:t>
      </w:r>
      <w:proofErr w:type="gramEnd"/>
      <w:r w:rsidR="00EE4FC3">
        <w:t xml:space="preserve"> </w:t>
      </w:r>
      <w:r w:rsidRPr="00382917">
        <w:t>will</w:t>
      </w:r>
      <w:r w:rsidR="00EE4FC3">
        <w:t xml:space="preserve"> </w:t>
      </w:r>
      <w:r w:rsidRPr="00382917">
        <w:t>forgive</w:t>
      </w:r>
      <w:r w:rsidR="00EE4FC3">
        <w:t xml:space="preserve"> </w:t>
      </w:r>
      <w:r w:rsidRPr="00382917">
        <w:t>me,</w:t>
      </w:r>
      <w:r w:rsidR="00EE4FC3">
        <w:t xml:space="preserve"> </w:t>
      </w:r>
      <w:r w:rsidRPr="00382917">
        <w:t>and</w:t>
      </w:r>
      <w:r w:rsidR="00EE4FC3">
        <w:t xml:space="preserve"> </w:t>
      </w:r>
      <w:r w:rsidRPr="00382917">
        <w:t>that</w:t>
      </w:r>
      <w:r w:rsidR="00EE4FC3">
        <w:t xml:space="preserve"> </w:t>
      </w:r>
      <w:r w:rsidRPr="00382917">
        <w:t>the</w:t>
      </w:r>
      <w:r w:rsidR="00EE4FC3">
        <w:t xml:space="preserve"> </w:t>
      </w:r>
      <w:r w:rsidRPr="00382917">
        <w:t>memory</w:t>
      </w:r>
      <w:r w:rsidR="00EE4FC3">
        <w:t xml:space="preserve"> </w:t>
      </w:r>
      <w:r w:rsidRPr="00382917">
        <w:t>of</w:t>
      </w:r>
      <w:r w:rsidR="00EE4FC3">
        <w:t xml:space="preserve"> </w:t>
      </w:r>
      <w:r w:rsidRPr="00382917">
        <w:t>my</w:t>
      </w:r>
      <w:r w:rsidR="00EE4FC3">
        <w:t xml:space="preserve"> </w:t>
      </w:r>
      <w:r w:rsidRPr="00382917">
        <w:t>cruel</w:t>
      </w:r>
      <w:r w:rsidR="00EE4FC3">
        <w:t xml:space="preserve"> </w:t>
      </w:r>
      <w:proofErr w:type="spellStart"/>
      <w:r w:rsidRPr="00382917">
        <w:t>behavior</w:t>
      </w:r>
      <w:proofErr w:type="spellEnd"/>
      <w:r w:rsidR="00EE4FC3">
        <w:t xml:space="preserve"> </w:t>
      </w:r>
      <w:r w:rsidRPr="00382917">
        <w:t>toward</w:t>
      </w:r>
      <w:r w:rsidR="00EE4FC3">
        <w:t xml:space="preserve"> </w:t>
      </w:r>
      <w:r w:rsidRPr="00382917">
        <w:t>You</w:t>
      </w:r>
      <w:r w:rsidR="00EE4FC3">
        <w:t xml:space="preserve"> </w:t>
      </w:r>
      <w:r w:rsidRPr="00382917">
        <w:t>and</w:t>
      </w:r>
      <w:r w:rsidR="00EE4FC3">
        <w:t xml:space="preserve"> </w:t>
      </w:r>
      <w:r w:rsidRPr="00382917">
        <w:t>Your</w:t>
      </w:r>
      <w:r w:rsidR="00EE4FC3">
        <w:t xml:space="preserve"> </w:t>
      </w:r>
      <w:r w:rsidRPr="00382917">
        <w:t>friends</w:t>
      </w:r>
      <w:r w:rsidR="00EE4FC3">
        <w:t xml:space="preserve"> </w:t>
      </w:r>
      <w:r w:rsidRPr="00382917">
        <w:t>in</w:t>
      </w:r>
      <w:r w:rsidR="00EE4FC3">
        <w:t xml:space="preserve"> </w:t>
      </w:r>
      <w:r w:rsidRPr="00382917">
        <w:t>the</w:t>
      </w:r>
      <w:r w:rsidR="00EE4FC3">
        <w:t xml:space="preserve"> </w:t>
      </w:r>
      <w:r w:rsidRPr="00382917">
        <w:t>past</w:t>
      </w:r>
      <w:r w:rsidR="00EE4FC3">
        <w:t xml:space="preserve"> </w:t>
      </w:r>
      <w:r w:rsidRPr="00382917">
        <w:t>may</w:t>
      </w:r>
      <w:r w:rsidR="00EE4FC3">
        <w:t xml:space="preserve"> </w:t>
      </w:r>
      <w:r w:rsidRPr="00382917">
        <w:t>be</w:t>
      </w:r>
      <w:r w:rsidR="00EE4FC3">
        <w:t xml:space="preserve"> </w:t>
      </w:r>
      <w:r w:rsidRPr="00382917">
        <w:t>forever</w:t>
      </w:r>
      <w:r w:rsidR="00EE4FC3">
        <w:t xml:space="preserve"> </w:t>
      </w:r>
      <w:r w:rsidRPr="00382917">
        <w:t>washed</w:t>
      </w:r>
      <w:r w:rsidR="00EE4FC3">
        <w:t xml:space="preserve"> </w:t>
      </w:r>
      <w:r w:rsidRPr="00382917">
        <w:t>away.</w:t>
      </w:r>
      <w:r w:rsidR="009C713D" w:rsidRPr="00382917">
        <w:t>”</w:t>
      </w:r>
    </w:p>
    <w:p w:rsidR="00540E31" w:rsidRPr="00382917" w:rsidRDefault="00540E31" w:rsidP="00665A7A">
      <w:pPr>
        <w:pStyle w:val="Text"/>
      </w:pPr>
      <w:r w:rsidRPr="00382917">
        <w:t>His</w:t>
      </w:r>
      <w:r w:rsidR="00EE4FC3">
        <w:t xml:space="preserve"> </w:t>
      </w:r>
      <w:r w:rsidRPr="00382917">
        <w:t>request</w:t>
      </w:r>
      <w:r w:rsidR="00EE4FC3">
        <w:t xml:space="preserve"> </w:t>
      </w:r>
      <w:r w:rsidRPr="00382917">
        <w:t>was</w:t>
      </w:r>
      <w:r w:rsidR="00EE4FC3">
        <w:t xml:space="preserve"> </w:t>
      </w:r>
      <w:r w:rsidRPr="00382917">
        <w:t>granted</w:t>
      </w:r>
      <w:r w:rsidR="00C03C91">
        <w:t>.</w:t>
      </w:r>
      <w:r w:rsidR="00EE4FC3">
        <w:t xml:space="preserve">  </w:t>
      </w:r>
      <w:r w:rsidR="009C713D" w:rsidRPr="00382917">
        <w:t>‘</w:t>
      </w:r>
      <w:r w:rsidRPr="00382917">
        <w:t>Alí</w:t>
      </w:r>
      <w:r w:rsidR="00EE4FC3">
        <w:t xml:space="preserve"> </w:t>
      </w:r>
      <w:r w:rsidR="0040329F" w:rsidRPr="0040329F">
        <w:rPr>
          <w:u w:val="single"/>
        </w:rPr>
        <w:t>Kh</w:t>
      </w:r>
      <w:r w:rsidR="0040329F" w:rsidRPr="00382917">
        <w:t>án</w:t>
      </w:r>
      <w:r w:rsidR="00EE4FC3">
        <w:t xml:space="preserve"> </w:t>
      </w:r>
      <w:r w:rsidRPr="00382917">
        <w:t>did</w:t>
      </w:r>
      <w:r w:rsidR="00EE4FC3">
        <w:t xml:space="preserve"> </w:t>
      </w:r>
      <w:r w:rsidRPr="00382917">
        <w:t>all</w:t>
      </w:r>
      <w:r w:rsidR="00EE4FC3">
        <w:t xml:space="preserve"> </w:t>
      </w:r>
      <w:r w:rsidRPr="00382917">
        <w:t>he</w:t>
      </w:r>
      <w:r w:rsidR="00EE4FC3">
        <w:t xml:space="preserve"> </w:t>
      </w:r>
      <w:r w:rsidRPr="00382917">
        <w:t>could</w:t>
      </w:r>
      <w:r w:rsidR="00EE4FC3">
        <w:t xml:space="preserve"> </w:t>
      </w:r>
      <w:r w:rsidRPr="00382917">
        <w:t>to</w:t>
      </w:r>
      <w:r w:rsidR="00EE4FC3">
        <w:t xml:space="preserve"> </w:t>
      </w:r>
      <w:r w:rsidRPr="00382917">
        <w:t>soften</w:t>
      </w:r>
      <w:r w:rsidR="00EE4FC3">
        <w:t xml:space="preserve"> </w:t>
      </w:r>
      <w:r w:rsidRPr="00382917">
        <w:t>the</w:t>
      </w:r>
      <w:r w:rsidR="00EE4FC3">
        <w:t xml:space="preserve"> </w:t>
      </w:r>
      <w:r w:rsidRPr="00382917">
        <w:t>rigor</w:t>
      </w:r>
      <w:r w:rsidR="00EE4FC3">
        <w:t xml:space="preserve"> </w:t>
      </w:r>
      <w:r w:rsidRPr="00382917">
        <w:t>of</w:t>
      </w:r>
      <w:r w:rsidR="00EE4FC3">
        <w:t xml:space="preserve"> </w:t>
      </w:r>
      <w:r w:rsidRPr="00382917">
        <w:t>the</w:t>
      </w:r>
      <w:r w:rsidR="00EE4FC3">
        <w:t xml:space="preserve"> </w:t>
      </w:r>
      <w:r w:rsidRPr="00382917">
        <w:t>Báb</w:t>
      </w:r>
      <w:r w:rsidR="009C713D" w:rsidRPr="00382917">
        <w:t>’</w:t>
      </w:r>
      <w:r w:rsidRPr="00382917">
        <w:t>s</w:t>
      </w:r>
      <w:r w:rsidR="00EE4FC3">
        <w:t xml:space="preserve"> </w:t>
      </w:r>
      <w:r w:rsidRPr="00382917">
        <w:t>imprisonment</w:t>
      </w:r>
      <w:r w:rsidR="00C03C91">
        <w:t>.</w:t>
      </w:r>
      <w:r w:rsidR="00EE4FC3">
        <w:t xml:space="preserve">  </w:t>
      </w:r>
      <w:r w:rsidRPr="00382917">
        <w:t>At</w:t>
      </w:r>
      <w:r w:rsidR="00EE4FC3">
        <w:t xml:space="preserve"> </w:t>
      </w:r>
      <w:r w:rsidRPr="00382917">
        <w:t>night</w:t>
      </w:r>
      <w:r w:rsidR="00EE4FC3">
        <w:t xml:space="preserve"> </w:t>
      </w:r>
      <w:r w:rsidRPr="00382917">
        <w:t>he</w:t>
      </w:r>
      <w:r w:rsidR="00EE4FC3">
        <w:t xml:space="preserve"> </w:t>
      </w:r>
      <w:r w:rsidRPr="00382917">
        <w:t>would</w:t>
      </w:r>
      <w:r w:rsidR="00EE4FC3">
        <w:t xml:space="preserve"> </w:t>
      </w:r>
      <w:r w:rsidRPr="00382917">
        <w:t>still</w:t>
      </w:r>
      <w:r w:rsidR="00EE4FC3">
        <w:t xml:space="preserve"> </w:t>
      </w:r>
      <w:r w:rsidRPr="00382917">
        <w:t>close</w:t>
      </w:r>
      <w:r w:rsidR="00EE4FC3">
        <w:t xml:space="preserve"> </w:t>
      </w:r>
      <w:r w:rsidRPr="00382917">
        <w:t>the</w:t>
      </w:r>
      <w:r w:rsidR="00EE4FC3">
        <w:t xml:space="preserve"> </w:t>
      </w:r>
      <w:r w:rsidRPr="00382917">
        <w:t>gate</w:t>
      </w:r>
      <w:r w:rsidR="00EE4FC3">
        <w:t xml:space="preserve"> </w:t>
      </w:r>
      <w:r w:rsidRPr="00382917">
        <w:t>of</w:t>
      </w:r>
      <w:r w:rsidR="00EE4FC3">
        <w:t xml:space="preserve"> </w:t>
      </w:r>
      <w:r w:rsidRPr="00382917">
        <w:t>the</w:t>
      </w:r>
      <w:r w:rsidR="00EE4FC3">
        <w:t xml:space="preserve"> </w:t>
      </w:r>
      <w:r w:rsidRPr="00382917">
        <w:t>village,</w:t>
      </w:r>
      <w:r w:rsidR="00EE4FC3">
        <w:t xml:space="preserve"> </w:t>
      </w:r>
      <w:r w:rsidRPr="00382917">
        <w:t>but</w:t>
      </w:r>
      <w:r w:rsidR="00EE4FC3">
        <w:t xml:space="preserve"> </w:t>
      </w:r>
      <w:r w:rsidRPr="00382917">
        <w:t>in</w:t>
      </w:r>
      <w:r w:rsidR="00EE4FC3">
        <w:t xml:space="preserve"> </w:t>
      </w:r>
      <w:r w:rsidRPr="00382917">
        <w:t>the</w:t>
      </w:r>
      <w:r w:rsidR="00EE4FC3">
        <w:t xml:space="preserve"> </w:t>
      </w:r>
      <w:r w:rsidRPr="00382917">
        <w:t>daytime</w:t>
      </w:r>
      <w:r w:rsidR="00EE4FC3">
        <w:t xml:space="preserve"> </w:t>
      </w:r>
      <w:r w:rsidRPr="00382917">
        <w:t>those</w:t>
      </w:r>
      <w:r w:rsidR="00EE4FC3">
        <w:t xml:space="preserve"> </w:t>
      </w:r>
      <w:r w:rsidRPr="00382917">
        <w:t>whom</w:t>
      </w:r>
      <w:r w:rsidR="00EE4FC3">
        <w:t xml:space="preserve"> </w:t>
      </w:r>
      <w:r w:rsidRPr="00382917">
        <w:t>the</w:t>
      </w:r>
      <w:r w:rsidR="00EE4FC3">
        <w:t xml:space="preserve"> </w:t>
      </w:r>
      <w:r w:rsidRPr="00382917">
        <w:t>Báb</w:t>
      </w:r>
      <w:r w:rsidR="00EE4FC3">
        <w:t xml:space="preserve"> </w:t>
      </w:r>
      <w:r w:rsidRPr="00382917">
        <w:t>wished</w:t>
      </w:r>
      <w:r w:rsidR="00EE4FC3">
        <w:t xml:space="preserve"> </w:t>
      </w:r>
      <w:r w:rsidRPr="00382917">
        <w:t>to</w:t>
      </w:r>
      <w:r w:rsidR="00EE4FC3">
        <w:t xml:space="preserve"> </w:t>
      </w:r>
      <w:r w:rsidRPr="00382917">
        <w:t>see</w:t>
      </w:r>
      <w:r w:rsidR="00EE4FC3">
        <w:t xml:space="preserve"> </w:t>
      </w:r>
      <w:r w:rsidRPr="00382917">
        <w:t>were</w:t>
      </w:r>
      <w:r w:rsidR="00EE4FC3">
        <w:t xml:space="preserve"> </w:t>
      </w:r>
      <w:r w:rsidRPr="00382917">
        <w:t>allowed</w:t>
      </w:r>
      <w:r w:rsidR="00EE4FC3">
        <w:t xml:space="preserve"> </w:t>
      </w:r>
      <w:r w:rsidRPr="00382917">
        <w:t>to</w:t>
      </w:r>
      <w:r w:rsidR="00EE4FC3">
        <w:t xml:space="preserve"> </w:t>
      </w:r>
      <w:r w:rsidRPr="00382917">
        <w:t>visit</w:t>
      </w:r>
      <w:r w:rsidR="00EE4FC3">
        <w:t xml:space="preserve"> </w:t>
      </w:r>
      <w:r w:rsidRPr="00382917">
        <w:t>Him,</w:t>
      </w:r>
      <w:r w:rsidR="00EE4FC3">
        <w:t xml:space="preserve"> </w:t>
      </w:r>
      <w:r w:rsidRPr="00382917">
        <w:t>converse</w:t>
      </w:r>
      <w:r w:rsidR="00EE4FC3">
        <w:t xml:space="preserve"> </w:t>
      </w:r>
      <w:r w:rsidRPr="00382917">
        <w:t>with</w:t>
      </w:r>
      <w:r w:rsidR="00EE4FC3">
        <w:t xml:space="preserve"> </w:t>
      </w:r>
      <w:r w:rsidRPr="00382917">
        <w:t>Him,</w:t>
      </w:r>
      <w:r w:rsidR="00EE4FC3">
        <w:t xml:space="preserve"> </w:t>
      </w:r>
      <w:r w:rsidRPr="00382917">
        <w:t>and</w:t>
      </w:r>
      <w:r w:rsidR="00EE4FC3">
        <w:t xml:space="preserve"> </w:t>
      </w:r>
      <w:r w:rsidRPr="00382917">
        <w:t>receive</w:t>
      </w:r>
      <w:r w:rsidR="00EE4FC3">
        <w:t xml:space="preserve"> </w:t>
      </w:r>
      <w:r w:rsidRPr="00382917">
        <w:t>His</w:t>
      </w:r>
      <w:r w:rsidR="00EE4FC3">
        <w:t xml:space="preserve"> </w:t>
      </w:r>
      <w:r w:rsidRPr="00382917">
        <w:t>instructions.</w:t>
      </w:r>
    </w:p>
    <w:p w:rsidR="00540E31" w:rsidRPr="00382917" w:rsidRDefault="00540E31" w:rsidP="004D0B68">
      <w:pPr>
        <w:pStyle w:val="Text"/>
      </w:pPr>
      <w:r w:rsidRPr="00382917">
        <w:t>A.</w:t>
      </w:r>
      <w:r w:rsidR="00EE4FC3">
        <w:t xml:space="preserve"> </w:t>
      </w:r>
      <w:r w:rsidRPr="00382917">
        <w:t>L.</w:t>
      </w:r>
      <w:r w:rsidR="00EE4FC3">
        <w:t xml:space="preserve"> </w:t>
      </w:r>
      <w:r w:rsidRPr="00382917">
        <w:t>M.</w:t>
      </w:r>
      <w:r w:rsidR="00EE4FC3">
        <w:t xml:space="preserve"> </w:t>
      </w:r>
      <w:r w:rsidRPr="00382917">
        <w:t>Nicolas</w:t>
      </w:r>
      <w:r w:rsidR="00EE4FC3">
        <w:t xml:space="preserve"> </w:t>
      </w:r>
      <w:r w:rsidRPr="00382917">
        <w:t>writes</w:t>
      </w:r>
      <w:r w:rsidR="00C03C91">
        <w:t>:</w:t>
      </w:r>
      <w:r w:rsidR="00EE4FC3">
        <w:t xml:space="preserve">  </w:t>
      </w:r>
      <w:r w:rsidR="009C713D" w:rsidRPr="00382917">
        <w:t>“</w:t>
      </w:r>
      <w:r w:rsidRPr="00382917">
        <w:t>All</w:t>
      </w:r>
      <w:r w:rsidR="00EE4FC3">
        <w:t xml:space="preserve"> </w:t>
      </w:r>
      <w:r w:rsidRPr="00382917">
        <w:t>historians</w:t>
      </w:r>
      <w:r w:rsidR="00EE4FC3">
        <w:t xml:space="preserve"> </w:t>
      </w:r>
      <w:r w:rsidRPr="00382917">
        <w:t>[unfriendly</w:t>
      </w:r>
      <w:r w:rsidR="00EE4FC3">
        <w:t xml:space="preserve"> </w:t>
      </w:r>
      <w:r w:rsidRPr="00382917">
        <w:t>as</w:t>
      </w:r>
      <w:r w:rsidR="00EE4FC3">
        <w:t xml:space="preserve"> </w:t>
      </w:r>
      <w:r w:rsidRPr="00382917">
        <w:t>well</w:t>
      </w:r>
      <w:r w:rsidR="00EE4FC3">
        <w:t xml:space="preserve"> </w:t>
      </w:r>
      <w:r w:rsidRPr="00382917">
        <w:t>as</w:t>
      </w:r>
      <w:r w:rsidR="00EE4FC3">
        <w:t xml:space="preserve"> </w:t>
      </w:r>
      <w:r w:rsidRPr="00382917">
        <w:t>friendly]</w:t>
      </w:r>
      <w:r w:rsidR="00EE4FC3">
        <w:t xml:space="preserve"> </w:t>
      </w:r>
      <w:r w:rsidR="00F04416" w:rsidRPr="00382917">
        <w:t>…</w:t>
      </w:r>
      <w:r w:rsidR="00EE4FC3">
        <w:t xml:space="preserve"> </w:t>
      </w:r>
      <w:r w:rsidRPr="00382917">
        <w:t>tell</w:t>
      </w:r>
      <w:r w:rsidR="00EE4FC3">
        <w:t xml:space="preserve"> </w:t>
      </w:r>
      <w:r w:rsidRPr="00382917">
        <w:t>us</w:t>
      </w:r>
      <w:r w:rsidR="00EE4FC3">
        <w:t xml:space="preserve"> </w:t>
      </w:r>
      <w:r w:rsidRPr="00382917">
        <w:t>that</w:t>
      </w:r>
      <w:r w:rsidR="00EE4FC3">
        <w:t xml:space="preserve"> </w:t>
      </w:r>
      <w:r w:rsidRPr="00382917">
        <w:t>in</w:t>
      </w:r>
      <w:r w:rsidR="00EE4FC3">
        <w:t xml:space="preserve"> </w:t>
      </w:r>
      <w:r w:rsidRPr="00382917">
        <w:t>spite</w:t>
      </w:r>
      <w:r w:rsidR="00EE4FC3">
        <w:t xml:space="preserve"> </w:t>
      </w:r>
      <w:r w:rsidRPr="00382917">
        <w:t>of</w:t>
      </w:r>
      <w:r w:rsidR="00EE4FC3">
        <w:t xml:space="preserve"> </w:t>
      </w:r>
      <w:r w:rsidRPr="00382917">
        <w:t>the</w:t>
      </w:r>
      <w:r w:rsidR="00EE4FC3">
        <w:t xml:space="preserve"> </w:t>
      </w:r>
      <w:r w:rsidRPr="00382917">
        <w:t>strict</w:t>
      </w:r>
      <w:r w:rsidR="00EE4FC3">
        <w:t xml:space="preserve"> </w:t>
      </w:r>
      <w:r w:rsidRPr="00382917">
        <w:t>orders</w:t>
      </w:r>
      <w:r w:rsidR="00EE4FC3">
        <w:t xml:space="preserve"> </w:t>
      </w:r>
      <w:r w:rsidRPr="00382917">
        <w:t>to</w:t>
      </w:r>
      <w:r w:rsidR="00EE4FC3">
        <w:t xml:space="preserve"> </w:t>
      </w:r>
      <w:r w:rsidRPr="00382917">
        <w:t>keep</w:t>
      </w:r>
      <w:r w:rsidR="00EE4FC3">
        <w:t xml:space="preserve"> </w:t>
      </w:r>
      <w:r w:rsidRPr="00382917">
        <w:t>the</w:t>
      </w:r>
      <w:r w:rsidR="00EE4FC3">
        <w:t xml:space="preserve"> </w:t>
      </w:r>
      <w:r w:rsidRPr="00382917">
        <w:t>Báb</w:t>
      </w:r>
      <w:r w:rsidR="00EE4FC3">
        <w:t xml:space="preserve"> </w:t>
      </w:r>
      <w:r w:rsidRPr="00382917">
        <w:t>from</w:t>
      </w:r>
      <w:r w:rsidR="00EE4FC3">
        <w:t xml:space="preserve"> </w:t>
      </w:r>
      <w:r w:rsidRPr="00382917">
        <w:t>communicating</w:t>
      </w:r>
      <w:r w:rsidR="00EE4FC3">
        <w:t xml:space="preserve"> </w:t>
      </w:r>
      <w:r w:rsidRPr="00382917">
        <w:t>with</w:t>
      </w:r>
      <w:r w:rsidR="00EE4FC3">
        <w:t xml:space="preserve"> </w:t>
      </w:r>
      <w:r w:rsidRPr="00382917">
        <w:t>the</w:t>
      </w:r>
      <w:r w:rsidR="00EE4FC3">
        <w:t xml:space="preserve"> </w:t>
      </w:r>
      <w:r w:rsidRPr="00382917">
        <w:t>outer</w:t>
      </w:r>
      <w:r w:rsidR="00EE4FC3">
        <w:t xml:space="preserve"> </w:t>
      </w:r>
      <w:r w:rsidRPr="00382917">
        <w:t>world,</w:t>
      </w:r>
      <w:r w:rsidR="00EE4FC3">
        <w:t xml:space="preserve"> </w:t>
      </w:r>
      <w:r w:rsidRPr="00382917">
        <w:t>the</w:t>
      </w:r>
      <w:r w:rsidR="00EE4FC3">
        <w:t xml:space="preserve"> </w:t>
      </w:r>
      <w:r w:rsidRPr="00382917">
        <w:t>Báb</w:t>
      </w:r>
      <w:r w:rsidR="00EE4FC3">
        <w:t xml:space="preserve"> </w:t>
      </w:r>
      <w:r w:rsidRPr="00382917">
        <w:t>received</w:t>
      </w:r>
      <w:r w:rsidR="00EE4FC3">
        <w:t xml:space="preserve"> </w:t>
      </w:r>
      <w:r w:rsidRPr="00382917">
        <w:t>great</w:t>
      </w:r>
      <w:r w:rsidR="00EE4FC3">
        <w:t xml:space="preserve"> </w:t>
      </w:r>
      <w:r w:rsidRPr="00382917">
        <w:t>numbers</w:t>
      </w:r>
      <w:r w:rsidR="00EE4FC3">
        <w:t xml:space="preserve"> </w:t>
      </w:r>
      <w:r w:rsidRPr="00382917">
        <w:t>of</w:t>
      </w:r>
      <w:r w:rsidR="00EE4FC3">
        <w:t xml:space="preserve"> </w:t>
      </w:r>
      <w:r w:rsidRPr="00382917">
        <w:t>disciples</w:t>
      </w:r>
      <w:r w:rsidR="00EE4FC3">
        <w:t xml:space="preserve"> </w:t>
      </w:r>
      <w:r w:rsidRPr="00382917">
        <w:t>and</w:t>
      </w:r>
      <w:r w:rsidR="00EE4FC3">
        <w:t xml:space="preserve"> </w:t>
      </w:r>
      <w:r w:rsidRPr="00382917">
        <w:t>strangers</w:t>
      </w:r>
      <w:r w:rsidR="00EE4FC3">
        <w:t xml:space="preserve"> </w:t>
      </w:r>
      <w:r w:rsidRPr="00382917">
        <w:t>in</w:t>
      </w:r>
      <w:r w:rsidR="00EE4FC3">
        <w:t xml:space="preserve"> </w:t>
      </w:r>
      <w:r w:rsidRPr="00382917">
        <w:t>his</w:t>
      </w:r>
      <w:r w:rsidR="00EE4FC3">
        <w:t xml:space="preserve"> </w:t>
      </w:r>
      <w:r w:rsidRPr="00382917">
        <w:t>prison.</w:t>
      </w:r>
      <w:r w:rsidR="009C713D" w:rsidRPr="00382917">
        <w:t>”</w:t>
      </w:r>
      <w:r w:rsidR="004D0B68">
        <w:rPr>
          <w:rStyle w:val="FootnoteReference"/>
        </w:rPr>
        <w:footnoteReference w:id="74"/>
      </w:r>
      <w:r w:rsidR="00EE4FC3">
        <w:t xml:space="preserve">  </w:t>
      </w:r>
      <w:r w:rsidRPr="00382917">
        <w:t>Another</w:t>
      </w:r>
      <w:r w:rsidR="00EE4FC3">
        <w:t xml:space="preserve"> </w:t>
      </w:r>
      <w:r w:rsidRPr="00382917">
        <w:t>has</w:t>
      </w:r>
      <w:r w:rsidR="00EE4FC3">
        <w:t xml:space="preserve"> </w:t>
      </w:r>
      <w:r w:rsidRPr="00382917">
        <w:t>reported</w:t>
      </w:r>
      <w:r w:rsidR="00C03C91">
        <w:t>:</w:t>
      </w:r>
      <w:r w:rsidR="00EE4FC3">
        <w:t xml:space="preserve">  </w:t>
      </w:r>
      <w:r w:rsidR="009C713D" w:rsidRPr="00382917">
        <w:t>“</w:t>
      </w:r>
      <w:r w:rsidRPr="00382917">
        <w:t>So</w:t>
      </w:r>
      <w:r w:rsidR="00EE4FC3">
        <w:t xml:space="preserve"> </w:t>
      </w:r>
      <w:r w:rsidRPr="00382917">
        <w:t>great</w:t>
      </w:r>
      <w:r w:rsidR="00EE4FC3">
        <w:t xml:space="preserve"> </w:t>
      </w:r>
      <w:r w:rsidRPr="00382917">
        <w:t>multitudes</w:t>
      </w:r>
      <w:r w:rsidR="00EE4FC3">
        <w:t xml:space="preserve"> </w:t>
      </w:r>
      <w:r w:rsidRPr="00382917">
        <w:t>continued</w:t>
      </w:r>
      <w:r w:rsidR="00EE4FC3">
        <w:t xml:space="preserve"> </w:t>
      </w:r>
      <w:r w:rsidRPr="00382917">
        <w:t>to</w:t>
      </w:r>
      <w:r w:rsidR="00EE4FC3">
        <w:t xml:space="preserve"> </w:t>
      </w:r>
      <w:r w:rsidRPr="00382917">
        <w:t>come</w:t>
      </w:r>
      <w:r w:rsidR="00EE4FC3">
        <w:t xml:space="preserve"> </w:t>
      </w:r>
      <w:r w:rsidRPr="00382917">
        <w:t>from</w:t>
      </w:r>
      <w:r w:rsidR="00EE4FC3">
        <w:t xml:space="preserve"> </w:t>
      </w:r>
      <w:r w:rsidRPr="00382917">
        <w:t>all</w:t>
      </w:r>
      <w:r w:rsidR="00EE4FC3">
        <w:t xml:space="preserve"> </w:t>
      </w:r>
      <w:r w:rsidRPr="00382917">
        <w:t>quarters</w:t>
      </w:r>
      <w:r w:rsidR="00EE4FC3">
        <w:t xml:space="preserve"> </w:t>
      </w:r>
      <w:r w:rsidRPr="00382917">
        <w:t>to</w:t>
      </w:r>
      <w:r w:rsidR="00EE4FC3">
        <w:t xml:space="preserve"> </w:t>
      </w:r>
      <w:r w:rsidRPr="00382917">
        <w:t>visit</w:t>
      </w:r>
      <w:r w:rsidR="00EE4FC3">
        <w:t xml:space="preserve"> </w:t>
      </w:r>
      <w:r w:rsidRPr="00382917">
        <w:t>the</w:t>
      </w:r>
      <w:r w:rsidR="00EE4FC3">
        <w:t xml:space="preserve"> </w:t>
      </w:r>
      <w:r w:rsidRPr="00382917">
        <w:t>Báb,</w:t>
      </w:r>
      <w:r w:rsidR="00EE4FC3">
        <w:t xml:space="preserve"> </w:t>
      </w:r>
      <w:r w:rsidRPr="00382917">
        <w:t>and</w:t>
      </w:r>
      <w:r w:rsidR="00EE4FC3">
        <w:t xml:space="preserve"> </w:t>
      </w:r>
      <w:r w:rsidRPr="00382917">
        <w:t>the</w:t>
      </w:r>
      <w:r w:rsidR="00EE4FC3">
        <w:t xml:space="preserve"> </w:t>
      </w:r>
      <w:r w:rsidRPr="00382917">
        <w:t>writings</w:t>
      </w:r>
      <w:r w:rsidR="00EE4FC3">
        <w:t xml:space="preserve"> </w:t>
      </w:r>
      <w:r w:rsidRPr="00382917">
        <w:t>which</w:t>
      </w:r>
      <w:r w:rsidR="00EE4FC3">
        <w:t xml:space="preserve"> </w:t>
      </w:r>
      <w:r w:rsidRPr="00382917">
        <w:t>emanated</w:t>
      </w:r>
      <w:r w:rsidR="00EE4FC3">
        <w:t xml:space="preserve"> </w:t>
      </w:r>
      <w:r w:rsidRPr="00382917">
        <w:t>from</w:t>
      </w:r>
    </w:p>
    <w:p w:rsidR="00665A7A" w:rsidRPr="00382917" w:rsidRDefault="00665A7A">
      <w:pPr>
        <w:widowControl/>
        <w:kinsoku/>
        <w:overflowPunct/>
        <w:textAlignment w:val="auto"/>
      </w:pPr>
      <w:r w:rsidRPr="00382917">
        <w:br w:type="page"/>
      </w:r>
    </w:p>
    <w:p w:rsidR="00E13D49" w:rsidRPr="00382917" w:rsidRDefault="00540E31" w:rsidP="0087474B">
      <w:pPr>
        <w:pStyle w:val="Textcts"/>
      </w:pPr>
      <w:proofErr w:type="gramStart"/>
      <w:r w:rsidRPr="00382917">
        <w:t>his</w:t>
      </w:r>
      <w:proofErr w:type="gramEnd"/>
      <w:r w:rsidR="00EE4FC3">
        <w:t xml:space="preserve"> </w:t>
      </w:r>
      <w:r w:rsidRPr="00382917">
        <w:t>inspired</w:t>
      </w:r>
      <w:r w:rsidR="00EE4FC3">
        <w:t xml:space="preserve"> </w:t>
      </w:r>
      <w:r w:rsidRPr="00382917">
        <w:t>pen</w:t>
      </w:r>
      <w:r w:rsidR="00EE4FC3">
        <w:t xml:space="preserve"> </w:t>
      </w:r>
      <w:r w:rsidRPr="00382917">
        <w:t>during</w:t>
      </w:r>
      <w:r w:rsidR="00EE4FC3">
        <w:t xml:space="preserve"> </w:t>
      </w:r>
      <w:r w:rsidRPr="00382917">
        <w:t>this</w:t>
      </w:r>
      <w:r w:rsidR="00EE4FC3">
        <w:t xml:space="preserve"> </w:t>
      </w:r>
      <w:r w:rsidRPr="00382917">
        <w:t>period</w:t>
      </w:r>
      <w:r w:rsidR="00EE4FC3">
        <w:t xml:space="preserve"> </w:t>
      </w:r>
      <w:r w:rsidRPr="00382917">
        <w:t>were</w:t>
      </w:r>
      <w:r w:rsidR="00EE4FC3">
        <w:t xml:space="preserve"> </w:t>
      </w:r>
      <w:r w:rsidRPr="00382917">
        <w:t>so</w:t>
      </w:r>
      <w:r w:rsidR="00EE4FC3">
        <w:t xml:space="preserve"> </w:t>
      </w:r>
      <w:r w:rsidRPr="00382917">
        <w:t>numerous</w:t>
      </w:r>
      <w:r w:rsidR="00EE4FC3">
        <w:t xml:space="preserve"> </w:t>
      </w:r>
      <w:r w:rsidRPr="00382917">
        <w:t>that</w:t>
      </w:r>
      <w:r w:rsidR="00EE4FC3">
        <w:t xml:space="preserve"> </w:t>
      </w:r>
      <w:r w:rsidRPr="00382917">
        <w:t>they</w:t>
      </w:r>
      <w:r w:rsidR="00EE4FC3">
        <w:t xml:space="preserve"> </w:t>
      </w:r>
      <w:r w:rsidRPr="00382917">
        <w:t>amounted</w:t>
      </w:r>
      <w:r w:rsidR="00EE4FC3">
        <w:t xml:space="preserve"> </w:t>
      </w:r>
      <w:r w:rsidRPr="00382917">
        <w:t>in</w:t>
      </w:r>
      <w:r w:rsidR="00EE4FC3">
        <w:t xml:space="preserve"> </w:t>
      </w:r>
      <w:r w:rsidRPr="00382917">
        <w:t>all</w:t>
      </w:r>
      <w:r w:rsidR="00EE4FC3">
        <w:t xml:space="preserve"> </w:t>
      </w:r>
      <w:r w:rsidRPr="00382917">
        <w:t>to</w:t>
      </w:r>
      <w:r w:rsidR="00EE4FC3">
        <w:t xml:space="preserve"> </w:t>
      </w:r>
      <w:r w:rsidRPr="00382917">
        <w:t>more</w:t>
      </w:r>
      <w:r w:rsidR="00EE4FC3">
        <w:t xml:space="preserve"> </w:t>
      </w:r>
      <w:r w:rsidRPr="00382917">
        <w:t>than</w:t>
      </w:r>
      <w:r w:rsidR="00EE4FC3">
        <w:t xml:space="preserve"> </w:t>
      </w:r>
      <w:r w:rsidRPr="00382917">
        <w:t>a</w:t>
      </w:r>
      <w:r w:rsidR="00EE4FC3">
        <w:t xml:space="preserve"> </w:t>
      </w:r>
      <w:r w:rsidRPr="00382917">
        <w:t>hundred</w:t>
      </w:r>
      <w:r w:rsidR="00EE4FC3">
        <w:t xml:space="preserve"> </w:t>
      </w:r>
      <w:r w:rsidRPr="00382917">
        <w:t>thousand</w:t>
      </w:r>
      <w:r w:rsidR="00EE4FC3">
        <w:t xml:space="preserve"> </w:t>
      </w:r>
      <w:r w:rsidRPr="00382917">
        <w:t>verses.</w:t>
      </w:r>
      <w:r w:rsidR="009C713D" w:rsidRPr="00382917">
        <w:t>”</w:t>
      </w:r>
      <w:r w:rsidR="0087474B">
        <w:rPr>
          <w:rStyle w:val="FootnoteReference"/>
        </w:rPr>
        <w:footnoteReference w:id="75"/>
      </w:r>
    </w:p>
    <w:p w:rsidR="00E13D49" w:rsidRPr="00382917" w:rsidRDefault="00540E31" w:rsidP="0087474B">
      <w:pPr>
        <w:pStyle w:val="Text"/>
      </w:pPr>
      <w:r w:rsidRPr="00382917">
        <w:t>During</w:t>
      </w:r>
      <w:r w:rsidR="00EE4FC3">
        <w:t xml:space="preserve"> </w:t>
      </w:r>
      <w:r w:rsidRPr="00382917">
        <w:t>this</w:t>
      </w:r>
      <w:r w:rsidR="00EE4FC3">
        <w:t xml:space="preserve"> </w:t>
      </w:r>
      <w:r w:rsidRPr="00382917">
        <w:t>nine-month</w:t>
      </w:r>
      <w:r w:rsidR="00EE4FC3">
        <w:t xml:space="preserve"> </w:t>
      </w:r>
      <w:r w:rsidRPr="00382917">
        <w:t>period</w:t>
      </w:r>
      <w:r w:rsidR="00EE4FC3">
        <w:t xml:space="preserve"> </w:t>
      </w:r>
      <w:r w:rsidRPr="00382917">
        <w:t>in</w:t>
      </w:r>
      <w:r w:rsidR="00EE4FC3">
        <w:t xml:space="preserve"> </w:t>
      </w:r>
      <w:r w:rsidRPr="00382917">
        <w:t>Máh-Kú,</w:t>
      </w:r>
      <w:r w:rsidR="00EE4FC3">
        <w:t xml:space="preserve"> </w:t>
      </w:r>
      <w:r w:rsidRPr="00382917">
        <w:t>the</w:t>
      </w:r>
      <w:r w:rsidR="00EE4FC3">
        <w:t xml:space="preserve"> </w:t>
      </w:r>
      <w:r w:rsidRPr="00382917">
        <w:t>Báb</w:t>
      </w:r>
      <w:r w:rsidR="00EE4FC3">
        <w:t xml:space="preserve"> </w:t>
      </w:r>
      <w:r w:rsidRPr="00382917">
        <w:t>composed</w:t>
      </w:r>
      <w:r w:rsidR="00EE4FC3">
        <w:t xml:space="preserve"> </w:t>
      </w:r>
      <w:r w:rsidRPr="00382917">
        <w:t>His</w:t>
      </w:r>
      <w:r w:rsidR="00EE4FC3">
        <w:t xml:space="preserve"> </w:t>
      </w:r>
      <w:r w:rsidRPr="00382917">
        <w:t>most</w:t>
      </w:r>
      <w:r w:rsidR="00EE4FC3">
        <w:t xml:space="preserve"> </w:t>
      </w:r>
      <w:r w:rsidRPr="00382917">
        <w:t>comprehensive</w:t>
      </w:r>
      <w:r w:rsidR="00EE4FC3">
        <w:t xml:space="preserve"> </w:t>
      </w:r>
      <w:r w:rsidRPr="00382917">
        <w:t>book,</w:t>
      </w:r>
      <w:r w:rsidR="00EE4FC3">
        <w:t xml:space="preserve"> </w:t>
      </w:r>
      <w:r w:rsidRPr="00382917">
        <w:t>the</w:t>
      </w:r>
      <w:r w:rsidR="00EE4FC3">
        <w:t xml:space="preserve"> </w:t>
      </w:r>
      <w:r w:rsidRPr="00382917">
        <w:t>Persian</w:t>
      </w:r>
      <w:r w:rsidR="00EE4FC3">
        <w:t xml:space="preserve"> </w:t>
      </w:r>
      <w:r w:rsidRPr="00382917">
        <w:t>Bayán</w:t>
      </w:r>
      <w:r w:rsidR="00C03C91">
        <w:t>.</w:t>
      </w:r>
      <w:r w:rsidR="00EE4FC3">
        <w:t xml:space="preserve">  </w:t>
      </w:r>
      <w:r w:rsidRPr="00382917">
        <w:t>In</w:t>
      </w:r>
      <w:r w:rsidR="00EE4FC3">
        <w:t xml:space="preserve"> </w:t>
      </w:r>
      <w:r w:rsidRPr="00382917">
        <w:t>it</w:t>
      </w:r>
      <w:r w:rsidR="00EE4FC3">
        <w:t xml:space="preserve"> </w:t>
      </w:r>
      <w:r w:rsidRPr="00382917">
        <w:t>the</w:t>
      </w:r>
      <w:r w:rsidR="00EE4FC3">
        <w:t xml:space="preserve"> </w:t>
      </w:r>
      <w:r w:rsidRPr="00382917">
        <w:t>Báb</w:t>
      </w:r>
      <w:r w:rsidR="00EE4FC3">
        <w:t xml:space="preserve"> </w:t>
      </w:r>
      <w:r w:rsidRPr="00382917">
        <w:t>defined</w:t>
      </w:r>
      <w:r w:rsidR="00EE4FC3">
        <w:t xml:space="preserve"> </w:t>
      </w:r>
      <w:r w:rsidRPr="00382917">
        <w:t>His</w:t>
      </w:r>
      <w:r w:rsidR="00EE4FC3">
        <w:t xml:space="preserve"> </w:t>
      </w:r>
      <w:r w:rsidRPr="00382917">
        <w:t>Mission</w:t>
      </w:r>
      <w:r w:rsidR="00EE4FC3">
        <w:t xml:space="preserve"> </w:t>
      </w:r>
      <w:r w:rsidRPr="00382917">
        <w:t>as</w:t>
      </w:r>
      <w:r w:rsidR="00EE4FC3">
        <w:t xml:space="preserve"> </w:t>
      </w:r>
      <w:r w:rsidRPr="00382917">
        <w:t>two-fold</w:t>
      </w:r>
      <w:r w:rsidR="00C03C91">
        <w:t>:</w:t>
      </w:r>
      <w:r w:rsidR="00EE4FC3">
        <w:t xml:space="preserve">  </w:t>
      </w:r>
      <w:r w:rsidRPr="00382917">
        <w:t>to</w:t>
      </w:r>
      <w:r w:rsidR="00EE4FC3">
        <w:t xml:space="preserve"> </w:t>
      </w:r>
      <w:r w:rsidRPr="00382917">
        <w:t>call</w:t>
      </w:r>
      <w:r w:rsidR="00EE4FC3">
        <w:t xml:space="preserve"> </w:t>
      </w:r>
      <w:r w:rsidRPr="00382917">
        <w:t>men</w:t>
      </w:r>
      <w:r w:rsidR="00EE4FC3">
        <w:t xml:space="preserve"> </w:t>
      </w:r>
      <w:r w:rsidRPr="00382917">
        <w:t>back</w:t>
      </w:r>
      <w:r w:rsidR="00EE4FC3">
        <w:t xml:space="preserve"> </w:t>
      </w:r>
      <w:r w:rsidRPr="00382917">
        <w:t>to</w:t>
      </w:r>
      <w:r w:rsidR="00EE4FC3">
        <w:t xml:space="preserve"> </w:t>
      </w:r>
      <w:r w:rsidRPr="00382917">
        <w:t>God,</w:t>
      </w:r>
      <w:r w:rsidR="00EE4FC3">
        <w:t xml:space="preserve"> </w:t>
      </w:r>
      <w:r w:rsidRPr="00382917">
        <w:t>and</w:t>
      </w:r>
      <w:r w:rsidR="00EE4FC3">
        <w:t xml:space="preserve"> </w:t>
      </w:r>
      <w:r w:rsidRPr="00382917">
        <w:t>to</w:t>
      </w:r>
      <w:r w:rsidR="00EE4FC3">
        <w:t xml:space="preserve"> </w:t>
      </w:r>
      <w:r w:rsidRPr="00382917">
        <w:t>announce</w:t>
      </w:r>
      <w:r w:rsidR="00EE4FC3">
        <w:t xml:space="preserve"> </w:t>
      </w:r>
      <w:r w:rsidRPr="00382917">
        <w:t>the</w:t>
      </w:r>
      <w:r w:rsidR="00EE4FC3">
        <w:t xml:space="preserve"> </w:t>
      </w:r>
      <w:r w:rsidRPr="00382917">
        <w:t>coming</w:t>
      </w:r>
      <w:r w:rsidR="00EE4FC3">
        <w:t xml:space="preserve"> </w:t>
      </w:r>
      <w:r w:rsidRPr="00382917">
        <w:t>of</w:t>
      </w:r>
      <w:r w:rsidR="00EE4FC3">
        <w:t xml:space="preserve"> </w:t>
      </w:r>
      <w:r w:rsidRPr="00382917">
        <w:t>the</w:t>
      </w:r>
      <w:r w:rsidR="00EE4FC3">
        <w:t xml:space="preserve"> </w:t>
      </w:r>
      <w:r w:rsidRPr="00382917">
        <w:t>Promised</w:t>
      </w:r>
      <w:r w:rsidR="00EE4FC3">
        <w:t xml:space="preserve"> </w:t>
      </w:r>
      <w:r w:rsidRPr="00382917">
        <w:t>One</w:t>
      </w:r>
      <w:r w:rsidR="00EE4FC3">
        <w:t xml:space="preserve"> </w:t>
      </w:r>
      <w:r w:rsidRPr="00382917">
        <w:t>of</w:t>
      </w:r>
      <w:r w:rsidR="00EE4FC3">
        <w:t xml:space="preserve"> </w:t>
      </w:r>
      <w:r w:rsidRPr="00382917">
        <w:t>all</w:t>
      </w:r>
      <w:r w:rsidR="00EE4FC3">
        <w:t xml:space="preserve"> </w:t>
      </w:r>
      <w:r w:rsidRPr="00382917">
        <w:t>ages</w:t>
      </w:r>
      <w:r w:rsidR="00EE4FC3">
        <w:t xml:space="preserve"> </w:t>
      </w:r>
      <w:r w:rsidRPr="00382917">
        <w:t>and</w:t>
      </w:r>
      <w:r w:rsidR="00EE4FC3">
        <w:t xml:space="preserve"> </w:t>
      </w:r>
      <w:r w:rsidRPr="00382917">
        <w:t>religions</w:t>
      </w:r>
      <w:r w:rsidR="00C03C91">
        <w:t>.</w:t>
      </w:r>
      <w:r w:rsidR="00EE4FC3">
        <w:t xml:space="preserve">  </w:t>
      </w:r>
      <w:r w:rsidRPr="00382917">
        <w:t>This</w:t>
      </w:r>
      <w:r w:rsidR="00EE4FC3">
        <w:t xml:space="preserve"> </w:t>
      </w:r>
      <w:r w:rsidRPr="00382917">
        <w:t>great</w:t>
      </w:r>
      <w:r w:rsidR="00EE4FC3">
        <w:t xml:space="preserve"> </w:t>
      </w:r>
      <w:r w:rsidRPr="00382917">
        <w:t>Prophet,</w:t>
      </w:r>
      <w:r w:rsidR="00EE4FC3">
        <w:t xml:space="preserve"> </w:t>
      </w:r>
      <w:r w:rsidRPr="00382917">
        <w:t>He</w:t>
      </w:r>
      <w:r w:rsidR="00EE4FC3">
        <w:t xml:space="preserve"> </w:t>
      </w:r>
      <w:r w:rsidRPr="00382917">
        <w:t>said,</w:t>
      </w:r>
      <w:r w:rsidR="00EE4FC3">
        <w:t xml:space="preserve"> </w:t>
      </w:r>
      <w:r w:rsidRPr="00382917">
        <w:t>would</w:t>
      </w:r>
      <w:r w:rsidR="00EE4FC3">
        <w:t xml:space="preserve"> </w:t>
      </w:r>
      <w:r w:rsidRPr="00382917">
        <w:t>appear</w:t>
      </w:r>
      <w:r w:rsidR="00EE4FC3">
        <w:t xml:space="preserve"> </w:t>
      </w:r>
      <w:r w:rsidRPr="00382917">
        <w:t>soon</w:t>
      </w:r>
      <w:r w:rsidR="00EE4FC3">
        <w:t xml:space="preserve"> </w:t>
      </w:r>
      <w:r w:rsidRPr="00382917">
        <w:t>after</w:t>
      </w:r>
      <w:r w:rsidR="00EE4FC3">
        <w:t xml:space="preserve"> </w:t>
      </w:r>
      <w:r w:rsidRPr="00382917">
        <w:t>Himself</w:t>
      </w:r>
      <w:r w:rsidR="00C03C91">
        <w:t>.</w:t>
      </w:r>
      <w:r w:rsidR="00EE4FC3">
        <w:t xml:space="preserve">  </w:t>
      </w:r>
      <w:r w:rsidRPr="00382917">
        <w:t>The</w:t>
      </w:r>
      <w:r w:rsidR="00EE4FC3">
        <w:t xml:space="preserve"> </w:t>
      </w:r>
      <w:r w:rsidRPr="00382917">
        <w:t>station</w:t>
      </w:r>
      <w:r w:rsidR="00EE4FC3">
        <w:t xml:space="preserve"> </w:t>
      </w:r>
      <w:r w:rsidRPr="00382917">
        <w:t>of</w:t>
      </w:r>
      <w:r w:rsidR="00EE4FC3">
        <w:t xml:space="preserve"> </w:t>
      </w:r>
      <w:r w:rsidRPr="00382917">
        <w:t>this</w:t>
      </w:r>
      <w:r w:rsidR="00EE4FC3">
        <w:t xml:space="preserve"> </w:t>
      </w:r>
      <w:r w:rsidRPr="00382917">
        <w:t>Figure-to-come</w:t>
      </w:r>
      <w:r w:rsidR="00EE4FC3">
        <w:t xml:space="preserve"> </w:t>
      </w:r>
      <w:r w:rsidRPr="00382917">
        <w:t>was</w:t>
      </w:r>
      <w:r w:rsidR="00EE4FC3">
        <w:t xml:space="preserve"> </w:t>
      </w:r>
      <w:r w:rsidRPr="00382917">
        <w:t>so</w:t>
      </w:r>
      <w:r w:rsidR="00EE4FC3">
        <w:t xml:space="preserve"> </w:t>
      </w:r>
      <w:r w:rsidRPr="00382917">
        <w:t>exalted,</w:t>
      </w:r>
      <w:r w:rsidR="00EE4FC3">
        <w:t xml:space="preserve"> </w:t>
      </w:r>
      <w:r w:rsidRPr="00382917">
        <w:t>the</w:t>
      </w:r>
      <w:r w:rsidR="00EE4FC3">
        <w:t xml:space="preserve"> </w:t>
      </w:r>
      <w:r w:rsidRPr="00382917">
        <w:t>Báb</w:t>
      </w:r>
      <w:r w:rsidR="00EE4FC3">
        <w:t xml:space="preserve"> </w:t>
      </w:r>
      <w:r w:rsidRPr="00382917">
        <w:t>told</w:t>
      </w:r>
      <w:r w:rsidR="00EE4FC3">
        <w:t xml:space="preserve"> </w:t>
      </w:r>
      <w:r w:rsidRPr="00382917">
        <w:t>His</w:t>
      </w:r>
      <w:r w:rsidR="00EE4FC3">
        <w:t xml:space="preserve"> </w:t>
      </w:r>
      <w:r w:rsidRPr="00382917">
        <w:t>followers,</w:t>
      </w:r>
      <w:r w:rsidR="00EE4FC3">
        <w:t xml:space="preserve"> </w:t>
      </w:r>
      <w:r w:rsidRPr="00382917">
        <w:t>that</w:t>
      </w:r>
      <w:r w:rsidR="00EE4FC3">
        <w:t xml:space="preserve"> </w:t>
      </w:r>
      <w:r w:rsidR="009C713D" w:rsidRPr="00382917">
        <w:t>“</w:t>
      </w:r>
      <w:r w:rsidRPr="00382917">
        <w:t>if</w:t>
      </w:r>
      <w:r w:rsidR="00EE4FC3">
        <w:t xml:space="preserve"> </w:t>
      </w:r>
      <w:r w:rsidRPr="00382917">
        <w:t>one</w:t>
      </w:r>
      <w:r w:rsidR="00EE4FC3">
        <w:t xml:space="preserve"> </w:t>
      </w:r>
      <w:r w:rsidRPr="00382917">
        <w:t>should</w:t>
      </w:r>
      <w:r w:rsidR="00EE4FC3">
        <w:t xml:space="preserve"> </w:t>
      </w:r>
      <w:r w:rsidRPr="00382917">
        <w:t>hear</w:t>
      </w:r>
      <w:r w:rsidR="00EE4FC3">
        <w:t xml:space="preserve"> </w:t>
      </w:r>
      <w:r w:rsidRPr="00382917">
        <w:t>a</w:t>
      </w:r>
      <w:r w:rsidR="00EE4FC3">
        <w:t xml:space="preserve"> </w:t>
      </w:r>
      <w:r w:rsidRPr="00382917">
        <w:t>single</w:t>
      </w:r>
      <w:r w:rsidR="00EE4FC3">
        <w:t xml:space="preserve"> </w:t>
      </w:r>
      <w:r w:rsidRPr="00382917">
        <w:t>verse</w:t>
      </w:r>
      <w:r w:rsidR="00EE4FC3">
        <w:t xml:space="preserve"> </w:t>
      </w:r>
      <w:r w:rsidRPr="00382917">
        <w:t>from</w:t>
      </w:r>
      <w:r w:rsidR="00EE4FC3">
        <w:t xml:space="preserve"> </w:t>
      </w:r>
      <w:r w:rsidRPr="00382917">
        <w:t>Him</w:t>
      </w:r>
      <w:r w:rsidR="00EE4FC3">
        <w:t xml:space="preserve"> </w:t>
      </w:r>
      <w:r w:rsidRPr="00382917">
        <w:t>and</w:t>
      </w:r>
      <w:r w:rsidR="00EE4FC3">
        <w:t xml:space="preserve"> </w:t>
      </w:r>
      <w:r w:rsidRPr="00382917">
        <w:t>recite</w:t>
      </w:r>
      <w:r w:rsidR="00EE4FC3">
        <w:t xml:space="preserve"> </w:t>
      </w:r>
      <w:r w:rsidRPr="00382917">
        <w:t>it,</w:t>
      </w:r>
      <w:r w:rsidR="00EE4FC3">
        <w:t xml:space="preserve"> </w:t>
      </w:r>
      <w:r w:rsidRPr="00382917">
        <w:t>it</w:t>
      </w:r>
      <w:r w:rsidR="00EE4FC3">
        <w:t xml:space="preserve"> </w:t>
      </w:r>
      <w:r w:rsidRPr="00382917">
        <w:t>is</w:t>
      </w:r>
      <w:r w:rsidR="00EE4FC3">
        <w:t xml:space="preserve"> </w:t>
      </w:r>
      <w:r w:rsidRPr="00382917">
        <w:t>better</w:t>
      </w:r>
      <w:r w:rsidR="00EE4FC3">
        <w:t xml:space="preserve"> </w:t>
      </w:r>
      <w:r w:rsidRPr="00382917">
        <w:t>than</w:t>
      </w:r>
      <w:r w:rsidR="00EE4FC3">
        <w:t xml:space="preserve"> </w:t>
      </w:r>
      <w:r w:rsidRPr="00382917">
        <w:t>that</w:t>
      </w:r>
      <w:r w:rsidR="00EE4FC3">
        <w:t xml:space="preserve"> </w:t>
      </w:r>
      <w:r w:rsidRPr="00382917">
        <w:t>he</w:t>
      </w:r>
      <w:r w:rsidR="00EE4FC3">
        <w:t xml:space="preserve"> </w:t>
      </w:r>
      <w:r w:rsidRPr="00382917">
        <w:t>should</w:t>
      </w:r>
      <w:r w:rsidR="00EE4FC3">
        <w:t xml:space="preserve"> </w:t>
      </w:r>
      <w:r w:rsidRPr="00382917">
        <w:t>recite</w:t>
      </w:r>
      <w:r w:rsidR="00EE4FC3">
        <w:t xml:space="preserve"> </w:t>
      </w:r>
      <w:r w:rsidRPr="00382917">
        <w:t>the</w:t>
      </w:r>
      <w:r w:rsidR="00EE4FC3">
        <w:t xml:space="preserve"> </w:t>
      </w:r>
      <w:r w:rsidRPr="00382917">
        <w:t>Bayán</w:t>
      </w:r>
      <w:r w:rsidR="00EE4FC3">
        <w:t xml:space="preserve"> </w:t>
      </w:r>
      <w:r w:rsidRPr="00382917">
        <w:t>a</w:t>
      </w:r>
      <w:r w:rsidR="00EE4FC3">
        <w:t xml:space="preserve"> </w:t>
      </w:r>
      <w:r w:rsidRPr="00382917">
        <w:t>thousand</w:t>
      </w:r>
      <w:r w:rsidR="00EE4FC3">
        <w:t xml:space="preserve"> </w:t>
      </w:r>
      <w:r w:rsidRPr="00382917">
        <w:t>times.</w:t>
      </w:r>
      <w:r w:rsidR="009C713D" w:rsidRPr="00382917">
        <w:t>”</w:t>
      </w:r>
      <w:r w:rsidR="0087474B">
        <w:rPr>
          <w:rStyle w:val="FootnoteReference"/>
        </w:rPr>
        <w:footnoteReference w:id="76"/>
      </w:r>
    </w:p>
    <w:p w:rsidR="00E13D49" w:rsidRPr="00382917" w:rsidRDefault="00540E31" w:rsidP="009F0917">
      <w:pPr>
        <w:pStyle w:val="Text"/>
      </w:pPr>
      <w:r w:rsidRPr="00382917">
        <w:t>He</w:t>
      </w:r>
      <w:r w:rsidR="00EE4FC3">
        <w:t xml:space="preserve"> </w:t>
      </w:r>
      <w:r w:rsidRPr="00382917">
        <w:t>urged</w:t>
      </w:r>
      <w:r w:rsidR="00EE4FC3">
        <w:t xml:space="preserve"> </w:t>
      </w:r>
      <w:r w:rsidRPr="00382917">
        <w:t>His</w:t>
      </w:r>
      <w:r w:rsidR="00EE4FC3">
        <w:t xml:space="preserve"> </w:t>
      </w:r>
      <w:r w:rsidRPr="00382917">
        <w:t>followers</w:t>
      </w:r>
      <w:r w:rsidR="00EE4FC3">
        <w:t xml:space="preserve"> </w:t>
      </w:r>
      <w:r w:rsidRPr="00382917">
        <w:t>to</w:t>
      </w:r>
      <w:r w:rsidR="00EE4FC3">
        <w:t xml:space="preserve"> </w:t>
      </w:r>
      <w:r w:rsidRPr="00382917">
        <w:t>remember</w:t>
      </w:r>
      <w:r w:rsidR="00EE4FC3">
        <w:t xml:space="preserve"> </w:t>
      </w:r>
      <w:r w:rsidRPr="00382917">
        <w:t>these</w:t>
      </w:r>
      <w:r w:rsidR="00EE4FC3">
        <w:t xml:space="preserve"> </w:t>
      </w:r>
      <w:r w:rsidRPr="00382917">
        <w:t>words</w:t>
      </w:r>
      <w:r w:rsidR="00EE4FC3">
        <w:t xml:space="preserve"> </w:t>
      </w:r>
      <w:r w:rsidRPr="00382917">
        <w:t>and</w:t>
      </w:r>
      <w:r w:rsidR="00EE4FC3">
        <w:t xml:space="preserve"> </w:t>
      </w:r>
      <w:r w:rsidRPr="00382917">
        <w:t>to</w:t>
      </w:r>
      <w:r w:rsidR="00EE4FC3">
        <w:t xml:space="preserve"> </w:t>
      </w:r>
      <w:r w:rsidRPr="00382917">
        <w:t>seek</w:t>
      </w:r>
      <w:r w:rsidR="00EE4FC3">
        <w:t xml:space="preserve"> </w:t>
      </w:r>
      <w:r w:rsidRPr="00382917">
        <w:t>and</w:t>
      </w:r>
      <w:r w:rsidR="00EE4FC3">
        <w:t xml:space="preserve"> </w:t>
      </w:r>
      <w:r w:rsidRPr="00382917">
        <w:t>find</w:t>
      </w:r>
      <w:r w:rsidR="00EE4FC3">
        <w:t xml:space="preserve"> </w:t>
      </w:r>
      <w:r w:rsidRPr="00382917">
        <w:t>this</w:t>
      </w:r>
      <w:r w:rsidR="00EE4FC3">
        <w:t xml:space="preserve"> </w:t>
      </w:r>
      <w:r w:rsidRPr="00382917">
        <w:t>great</w:t>
      </w:r>
      <w:r w:rsidR="00EE4FC3">
        <w:t xml:space="preserve"> </w:t>
      </w:r>
      <w:r w:rsidRPr="00382917">
        <w:t>Figure</w:t>
      </w:r>
      <w:r w:rsidR="00EE4FC3">
        <w:t xml:space="preserve"> </w:t>
      </w:r>
      <w:r w:rsidRPr="00382917">
        <w:t>upon</w:t>
      </w:r>
      <w:r w:rsidR="00EE4FC3">
        <w:t xml:space="preserve"> </w:t>
      </w:r>
      <w:r w:rsidRPr="00382917">
        <w:t>His</w:t>
      </w:r>
      <w:r w:rsidR="00EE4FC3">
        <w:t xml:space="preserve"> </w:t>
      </w:r>
      <w:r w:rsidRPr="00382917">
        <w:t>own</w:t>
      </w:r>
      <w:r w:rsidR="00EE4FC3">
        <w:t xml:space="preserve"> </w:t>
      </w:r>
      <w:r w:rsidRPr="00382917">
        <w:t>passing</w:t>
      </w:r>
      <w:r w:rsidR="00C03C91">
        <w:t>.</w:t>
      </w:r>
      <w:r w:rsidR="00EE4FC3">
        <w:t xml:space="preserve">  </w:t>
      </w:r>
      <w:r w:rsidRPr="00382917">
        <w:t>He</w:t>
      </w:r>
      <w:r w:rsidR="00EE4FC3">
        <w:t xml:space="preserve"> </w:t>
      </w:r>
      <w:r w:rsidRPr="00382917">
        <w:t>implied</w:t>
      </w:r>
      <w:r w:rsidR="00EE4FC3">
        <w:t xml:space="preserve"> </w:t>
      </w:r>
      <w:r w:rsidRPr="00382917">
        <w:t>that</w:t>
      </w:r>
      <w:r w:rsidR="00EE4FC3">
        <w:t xml:space="preserve"> </w:t>
      </w:r>
      <w:r w:rsidRPr="00382917">
        <w:t>His</w:t>
      </w:r>
      <w:r w:rsidR="00EE4FC3">
        <w:t xml:space="preserve"> </w:t>
      </w:r>
      <w:r w:rsidRPr="00382917">
        <w:t>Faith</w:t>
      </w:r>
      <w:r w:rsidR="00EE4FC3">
        <w:t xml:space="preserve"> </w:t>
      </w:r>
      <w:r w:rsidRPr="00382917">
        <w:t>and</w:t>
      </w:r>
      <w:r w:rsidR="00EE4FC3">
        <w:t xml:space="preserve"> </w:t>
      </w:r>
      <w:r w:rsidRPr="00382917">
        <w:t>that</w:t>
      </w:r>
      <w:r w:rsidR="00EE4FC3">
        <w:t xml:space="preserve"> </w:t>
      </w:r>
      <w:r w:rsidRPr="00382917">
        <w:t>of</w:t>
      </w:r>
      <w:r w:rsidR="00EE4FC3">
        <w:t xml:space="preserve"> </w:t>
      </w:r>
      <w:r w:rsidRPr="00382917">
        <w:t>the</w:t>
      </w:r>
      <w:r w:rsidR="00EE4FC3">
        <w:t xml:space="preserve"> </w:t>
      </w:r>
      <w:r w:rsidRPr="00382917">
        <w:t>One</w:t>
      </w:r>
      <w:r w:rsidR="00EE4FC3">
        <w:t xml:space="preserve"> </w:t>
      </w:r>
      <w:r w:rsidRPr="00382917">
        <w:t>to</w:t>
      </w:r>
      <w:r w:rsidR="00EE4FC3">
        <w:t xml:space="preserve"> </w:t>
      </w:r>
      <w:r w:rsidRPr="00382917">
        <w:t>come</w:t>
      </w:r>
      <w:r w:rsidR="00EE4FC3">
        <w:t xml:space="preserve"> </w:t>
      </w:r>
      <w:r w:rsidRPr="00382917">
        <w:t>after</w:t>
      </w:r>
      <w:r w:rsidR="00EE4FC3">
        <w:t xml:space="preserve"> </w:t>
      </w:r>
      <w:r w:rsidRPr="00382917">
        <w:t>Him</w:t>
      </w:r>
      <w:r w:rsidR="00EE4FC3">
        <w:t xml:space="preserve"> </w:t>
      </w:r>
      <w:r w:rsidRPr="00382917">
        <w:t>were</w:t>
      </w:r>
      <w:r w:rsidR="00EE4FC3">
        <w:t xml:space="preserve"> </w:t>
      </w:r>
      <w:r w:rsidR="00665A7A" w:rsidRPr="00382917">
        <w:t>identical</w:t>
      </w:r>
      <w:r w:rsidRPr="00382917">
        <w:t>;</w:t>
      </w:r>
      <w:r w:rsidR="00EE4FC3">
        <w:t xml:space="preserve"> </w:t>
      </w:r>
      <w:r w:rsidRPr="00382917">
        <w:t>they</w:t>
      </w:r>
      <w:r w:rsidR="00EE4FC3">
        <w:t xml:space="preserve"> </w:t>
      </w:r>
      <w:r w:rsidRPr="00382917">
        <w:t>were</w:t>
      </w:r>
      <w:r w:rsidR="00EE4FC3">
        <w:t xml:space="preserve"> </w:t>
      </w:r>
      <w:r w:rsidRPr="00382917">
        <w:t>one</w:t>
      </w:r>
      <w:r w:rsidR="00EE4FC3">
        <w:t xml:space="preserve"> </w:t>
      </w:r>
      <w:r w:rsidRPr="00382917">
        <w:t>Faith</w:t>
      </w:r>
      <w:r w:rsidR="00C03C91">
        <w:t>:</w:t>
      </w:r>
      <w:r w:rsidR="00EE4FC3">
        <w:t xml:space="preserve">  </w:t>
      </w:r>
      <w:r w:rsidRPr="00382917">
        <w:t>He</w:t>
      </w:r>
      <w:r w:rsidR="00EE4FC3">
        <w:t xml:space="preserve"> </w:t>
      </w:r>
      <w:r w:rsidRPr="00382917">
        <w:t>was</w:t>
      </w:r>
      <w:r w:rsidR="00EE4FC3">
        <w:t xml:space="preserve"> </w:t>
      </w:r>
      <w:r w:rsidRPr="00382917">
        <w:t>the</w:t>
      </w:r>
      <w:r w:rsidR="00EE4FC3">
        <w:t xml:space="preserve"> </w:t>
      </w:r>
      <w:proofErr w:type="gramStart"/>
      <w:r w:rsidRPr="00382917">
        <w:t>Herald,</w:t>
      </w:r>
      <w:proofErr w:type="gramEnd"/>
      <w:r w:rsidR="00EE4FC3">
        <w:t xml:space="preserve"> </w:t>
      </w:r>
      <w:r w:rsidRPr="00382917">
        <w:t>the</w:t>
      </w:r>
      <w:r w:rsidR="00EE4FC3">
        <w:t xml:space="preserve"> </w:t>
      </w:r>
      <w:r w:rsidRPr="00382917">
        <w:t>One</w:t>
      </w:r>
      <w:r w:rsidR="00EE4FC3">
        <w:t xml:space="preserve"> </w:t>
      </w:r>
      <w:r w:rsidRPr="00382917">
        <w:t>to</w:t>
      </w:r>
      <w:r w:rsidR="00EE4FC3">
        <w:t xml:space="preserve"> </w:t>
      </w:r>
      <w:r w:rsidRPr="00382917">
        <w:t>come</w:t>
      </w:r>
      <w:r w:rsidR="00EE4FC3">
        <w:t xml:space="preserve"> </w:t>
      </w:r>
      <w:r w:rsidRPr="00382917">
        <w:t>was</w:t>
      </w:r>
      <w:r w:rsidR="00EE4FC3">
        <w:t xml:space="preserve"> </w:t>
      </w:r>
      <w:r w:rsidRPr="00382917">
        <w:t>the</w:t>
      </w:r>
      <w:r w:rsidR="00EE4FC3">
        <w:t xml:space="preserve"> </w:t>
      </w:r>
      <w:r w:rsidRPr="00382917">
        <w:t>Author</w:t>
      </w:r>
      <w:r w:rsidR="00C03C91">
        <w:t>.</w:t>
      </w:r>
      <w:r w:rsidR="00EE4FC3">
        <w:t xml:space="preserve">  </w:t>
      </w:r>
      <w:r w:rsidRPr="00382917">
        <w:t>This</w:t>
      </w:r>
      <w:r w:rsidR="00EE4FC3">
        <w:t xml:space="preserve"> </w:t>
      </w:r>
      <w:r w:rsidRPr="00382917">
        <w:t>Truth</w:t>
      </w:r>
      <w:r w:rsidR="00EE4FC3">
        <w:t xml:space="preserve"> </w:t>
      </w:r>
      <w:r w:rsidRPr="00382917">
        <w:t>was</w:t>
      </w:r>
      <w:r w:rsidR="00EE4FC3">
        <w:t xml:space="preserve"> </w:t>
      </w:r>
      <w:r w:rsidRPr="00382917">
        <w:t>now</w:t>
      </w:r>
      <w:r w:rsidR="00EE4FC3">
        <w:t xml:space="preserve"> </w:t>
      </w:r>
      <w:r w:rsidRPr="00382917">
        <w:t>in</w:t>
      </w:r>
      <w:r w:rsidR="00EE4FC3">
        <w:t xml:space="preserve"> </w:t>
      </w:r>
      <w:r w:rsidRPr="00382917">
        <w:t>the</w:t>
      </w:r>
      <w:r w:rsidR="00EE4FC3">
        <w:t xml:space="preserve"> </w:t>
      </w:r>
      <w:r w:rsidRPr="00382917">
        <w:t>stage</w:t>
      </w:r>
      <w:r w:rsidR="00EE4FC3">
        <w:t xml:space="preserve"> </w:t>
      </w:r>
      <w:r w:rsidRPr="00382917">
        <w:t>of</w:t>
      </w:r>
      <w:r w:rsidR="00EE4FC3">
        <w:t xml:space="preserve"> </w:t>
      </w:r>
      <w:r w:rsidRPr="00382917">
        <w:t>seed</w:t>
      </w:r>
      <w:r w:rsidR="00C03C91">
        <w:t>.</w:t>
      </w:r>
      <w:r w:rsidR="00EE4FC3">
        <w:t xml:space="preserve">  </w:t>
      </w:r>
      <w:r w:rsidRPr="00382917">
        <w:t>In</w:t>
      </w:r>
      <w:r w:rsidR="00EE4FC3">
        <w:t xml:space="preserve"> </w:t>
      </w:r>
      <w:r w:rsidRPr="00382917">
        <w:t>the</w:t>
      </w:r>
      <w:r w:rsidR="00EE4FC3">
        <w:t xml:space="preserve"> </w:t>
      </w:r>
      <w:r w:rsidRPr="00382917">
        <w:t>day</w:t>
      </w:r>
      <w:r w:rsidR="00EE4FC3">
        <w:t xml:space="preserve"> </w:t>
      </w:r>
      <w:r w:rsidRPr="00382917">
        <w:t>of</w:t>
      </w:r>
      <w:r w:rsidR="00EE4FC3">
        <w:t xml:space="preserve"> </w:t>
      </w:r>
      <w:r w:rsidRPr="00382917">
        <w:t>Him</w:t>
      </w:r>
      <w:r w:rsidR="00EE4FC3">
        <w:t xml:space="preserve"> </w:t>
      </w:r>
      <w:proofErr w:type="gramStart"/>
      <w:r w:rsidRPr="00382917">
        <w:t>Who</w:t>
      </w:r>
      <w:proofErr w:type="gramEnd"/>
      <w:r w:rsidR="00EE4FC3">
        <w:t xml:space="preserve"> </w:t>
      </w:r>
      <w:r w:rsidRPr="00382917">
        <w:t>was</w:t>
      </w:r>
      <w:r w:rsidR="00EE4FC3">
        <w:t xml:space="preserve"> </w:t>
      </w:r>
      <w:r w:rsidRPr="00382917">
        <w:t>yet</w:t>
      </w:r>
      <w:r w:rsidR="00EE4FC3">
        <w:t xml:space="preserve"> </w:t>
      </w:r>
      <w:r w:rsidRPr="00382917">
        <w:t>to</w:t>
      </w:r>
      <w:r w:rsidR="00EE4FC3">
        <w:t xml:space="preserve"> </w:t>
      </w:r>
      <w:r w:rsidRPr="00382917">
        <w:t>come,</w:t>
      </w:r>
      <w:r w:rsidR="00EE4FC3">
        <w:t xml:space="preserve"> </w:t>
      </w:r>
      <w:r w:rsidRPr="00382917">
        <w:t>its</w:t>
      </w:r>
      <w:r w:rsidR="00EE4FC3">
        <w:t xml:space="preserve"> </w:t>
      </w:r>
      <w:r w:rsidRPr="00382917">
        <w:t>perfection</w:t>
      </w:r>
      <w:r w:rsidR="00EE4FC3">
        <w:t xml:space="preserve"> </w:t>
      </w:r>
      <w:r w:rsidRPr="00382917">
        <w:t>would</w:t>
      </w:r>
      <w:r w:rsidR="00EE4FC3">
        <w:t xml:space="preserve"> </w:t>
      </w:r>
      <w:r w:rsidRPr="00382917">
        <w:t>become</w:t>
      </w:r>
      <w:r w:rsidR="00EE4FC3">
        <w:t xml:space="preserve"> </w:t>
      </w:r>
      <w:r w:rsidRPr="00382917">
        <w:t>apparent.</w:t>
      </w:r>
      <w:r w:rsidR="009F0917">
        <w:rPr>
          <w:rStyle w:val="FootnoteReference"/>
        </w:rPr>
        <w:footnoteReference w:id="77"/>
      </w:r>
    </w:p>
    <w:p w:rsidR="00540E31" w:rsidRPr="00382917" w:rsidRDefault="00540E31" w:rsidP="00647B4C">
      <w:pPr>
        <w:pStyle w:val="Text"/>
      </w:pPr>
      <w:r w:rsidRPr="00382917">
        <w:t>Repeatedly</w:t>
      </w:r>
      <w:r w:rsidR="00EE4FC3">
        <w:t xml:space="preserve"> </w:t>
      </w:r>
      <w:r w:rsidRPr="00382917">
        <w:t>He</w:t>
      </w:r>
      <w:r w:rsidR="00EE4FC3">
        <w:t xml:space="preserve"> </w:t>
      </w:r>
      <w:r w:rsidRPr="00382917">
        <w:t>told</w:t>
      </w:r>
      <w:r w:rsidR="00EE4FC3">
        <w:t xml:space="preserve"> </w:t>
      </w:r>
      <w:r w:rsidRPr="00382917">
        <w:t>His</w:t>
      </w:r>
      <w:r w:rsidR="00EE4FC3">
        <w:t xml:space="preserve"> </w:t>
      </w:r>
      <w:r w:rsidRPr="00382917">
        <w:t>followers</w:t>
      </w:r>
      <w:r w:rsidR="00EE4FC3">
        <w:t xml:space="preserve"> </w:t>
      </w:r>
      <w:r w:rsidRPr="00382917">
        <w:t>that</w:t>
      </w:r>
      <w:r w:rsidR="00EE4FC3">
        <w:t xml:space="preserve"> </w:t>
      </w:r>
      <w:r w:rsidRPr="00382917">
        <w:t>He</w:t>
      </w:r>
      <w:r w:rsidR="00EE4FC3">
        <w:t xml:space="preserve"> </w:t>
      </w:r>
      <w:r w:rsidRPr="00382917">
        <w:t>was</w:t>
      </w:r>
      <w:r w:rsidR="00EE4FC3">
        <w:t xml:space="preserve"> </w:t>
      </w:r>
      <w:r w:rsidRPr="00382917">
        <w:t>but</w:t>
      </w:r>
      <w:r w:rsidR="00EE4FC3">
        <w:t xml:space="preserve"> </w:t>
      </w:r>
      <w:r w:rsidRPr="00382917">
        <w:t>the</w:t>
      </w:r>
      <w:r w:rsidR="00EE4FC3">
        <w:t xml:space="preserve"> </w:t>
      </w:r>
      <w:r w:rsidRPr="00382917">
        <w:t>preparation</w:t>
      </w:r>
      <w:r w:rsidR="00EE4FC3">
        <w:t xml:space="preserve"> </w:t>
      </w:r>
      <w:r w:rsidRPr="00382917">
        <w:t>for</w:t>
      </w:r>
      <w:r w:rsidR="00EE4FC3">
        <w:t xml:space="preserve"> </w:t>
      </w:r>
      <w:r w:rsidRPr="00382917">
        <w:t>that</w:t>
      </w:r>
      <w:r w:rsidR="00EE4FC3">
        <w:t xml:space="preserve"> </w:t>
      </w:r>
      <w:r w:rsidRPr="00382917">
        <w:t>great</w:t>
      </w:r>
      <w:r w:rsidR="00EE4FC3">
        <w:t xml:space="preserve"> </w:t>
      </w:r>
      <w:r w:rsidRPr="00382917">
        <w:t>Day</w:t>
      </w:r>
      <w:r w:rsidR="00EE4FC3">
        <w:t xml:space="preserve"> </w:t>
      </w:r>
      <w:r w:rsidRPr="00382917">
        <w:t>of</w:t>
      </w:r>
      <w:r w:rsidR="00EE4FC3">
        <w:t xml:space="preserve"> </w:t>
      </w:r>
      <w:r w:rsidRPr="00382917">
        <w:t>God</w:t>
      </w:r>
      <w:r w:rsidR="00EE4FC3">
        <w:t xml:space="preserve"> </w:t>
      </w:r>
      <w:r w:rsidRPr="00382917">
        <w:t>promised</w:t>
      </w:r>
      <w:r w:rsidR="00EE4FC3">
        <w:t xml:space="preserve"> </w:t>
      </w:r>
      <w:r w:rsidRPr="00382917">
        <w:t>in</w:t>
      </w:r>
      <w:r w:rsidR="00EE4FC3">
        <w:t xml:space="preserve"> </w:t>
      </w:r>
      <w:r w:rsidRPr="00382917">
        <w:t>all</w:t>
      </w:r>
      <w:r w:rsidR="00EE4FC3">
        <w:t xml:space="preserve"> </w:t>
      </w:r>
      <w:r w:rsidRPr="00382917">
        <w:t>the</w:t>
      </w:r>
      <w:r w:rsidR="00EE4FC3">
        <w:t xml:space="preserve"> </w:t>
      </w:r>
      <w:r w:rsidRPr="00382917">
        <w:t>scriptures</w:t>
      </w:r>
      <w:r w:rsidR="00C03C91">
        <w:t>.</w:t>
      </w:r>
      <w:r w:rsidR="00EE4FC3">
        <w:t xml:space="preserve">  </w:t>
      </w:r>
      <w:r w:rsidRPr="00382917">
        <w:t>Christ</w:t>
      </w:r>
      <w:r w:rsidR="00EE4FC3">
        <w:t xml:space="preserve"> </w:t>
      </w:r>
      <w:r w:rsidRPr="00382917">
        <w:t>had</w:t>
      </w:r>
      <w:r w:rsidR="00EE4FC3">
        <w:t xml:space="preserve"> </w:t>
      </w:r>
      <w:r w:rsidRPr="00382917">
        <w:t>warned</w:t>
      </w:r>
      <w:r w:rsidR="00EE4FC3">
        <w:t xml:space="preserve"> </w:t>
      </w:r>
      <w:r w:rsidRPr="00382917">
        <w:t>His</w:t>
      </w:r>
      <w:r w:rsidR="00EE4FC3">
        <w:t xml:space="preserve"> </w:t>
      </w:r>
      <w:r w:rsidRPr="00382917">
        <w:t>disciples</w:t>
      </w:r>
      <w:r w:rsidR="00EE4FC3">
        <w:t xml:space="preserve"> </w:t>
      </w:r>
      <w:r w:rsidRPr="00382917">
        <w:t>of</w:t>
      </w:r>
      <w:r w:rsidR="00EE4FC3">
        <w:t xml:space="preserve"> </w:t>
      </w:r>
      <w:r w:rsidRPr="00382917">
        <w:t>the</w:t>
      </w:r>
      <w:r w:rsidR="00EE4FC3">
        <w:t xml:space="preserve"> </w:t>
      </w:r>
      <w:r w:rsidRPr="00382917">
        <w:t>last</w:t>
      </w:r>
      <w:r w:rsidR="00EE4FC3">
        <w:t xml:space="preserve"> </w:t>
      </w:r>
      <w:r w:rsidRPr="00382917">
        <w:t>days</w:t>
      </w:r>
      <w:r w:rsidR="00EE4FC3">
        <w:t xml:space="preserve"> </w:t>
      </w:r>
      <w:r w:rsidRPr="00382917">
        <w:t>in</w:t>
      </w:r>
      <w:r w:rsidR="00EE4FC3">
        <w:t xml:space="preserve"> </w:t>
      </w:r>
      <w:r w:rsidRPr="00382917">
        <w:t>these</w:t>
      </w:r>
      <w:r w:rsidR="00EE4FC3">
        <w:t xml:space="preserve"> </w:t>
      </w:r>
      <w:r w:rsidRPr="00382917">
        <w:t>words</w:t>
      </w:r>
      <w:r w:rsidR="00C03C91">
        <w:t>:</w:t>
      </w:r>
      <w:r w:rsidR="00EE4FC3">
        <w:t xml:space="preserve">  </w:t>
      </w:r>
      <w:r w:rsidR="009C713D" w:rsidRPr="00382917">
        <w:t>“</w:t>
      </w:r>
      <w:r w:rsidRPr="00382917">
        <w:t>Watch</w:t>
      </w:r>
      <w:r w:rsidR="00EE4FC3">
        <w:t xml:space="preserve"> </w:t>
      </w:r>
      <w:r w:rsidRPr="00382917">
        <w:t>therefore</w:t>
      </w:r>
      <w:r w:rsidR="00C03C91">
        <w:t>:</w:t>
      </w:r>
      <w:r w:rsidR="00EE4FC3">
        <w:t xml:space="preserve">  </w:t>
      </w:r>
      <w:r w:rsidRPr="00382917">
        <w:t>for</w:t>
      </w:r>
      <w:r w:rsidR="00EE4FC3">
        <w:t xml:space="preserve"> </w:t>
      </w:r>
      <w:r w:rsidRPr="00382917">
        <w:t>ye</w:t>
      </w:r>
      <w:r w:rsidR="00EE4FC3">
        <w:t xml:space="preserve"> </w:t>
      </w:r>
      <w:r w:rsidRPr="00382917">
        <w:t>know</w:t>
      </w:r>
      <w:r w:rsidR="00EE4FC3">
        <w:t xml:space="preserve"> </w:t>
      </w:r>
      <w:r w:rsidRPr="00382917">
        <w:t>not</w:t>
      </w:r>
      <w:r w:rsidR="00EE4FC3">
        <w:t xml:space="preserve"> </w:t>
      </w:r>
      <w:r w:rsidRPr="00382917">
        <w:t>what</w:t>
      </w:r>
      <w:r w:rsidR="00EE4FC3">
        <w:t xml:space="preserve"> </w:t>
      </w:r>
      <w:r w:rsidRPr="00382917">
        <w:t>hour</w:t>
      </w:r>
      <w:r w:rsidR="00EE4FC3">
        <w:t xml:space="preserve"> </w:t>
      </w:r>
      <w:r w:rsidRPr="00382917">
        <w:t>your</w:t>
      </w:r>
      <w:r w:rsidR="00EE4FC3">
        <w:t xml:space="preserve"> </w:t>
      </w:r>
      <w:r w:rsidRPr="00382917">
        <w:t>Lord</w:t>
      </w:r>
      <w:r w:rsidR="00EE4FC3">
        <w:t xml:space="preserve"> </w:t>
      </w:r>
      <w:r w:rsidRPr="00382917">
        <w:t>doth</w:t>
      </w:r>
      <w:r w:rsidR="00EE4FC3">
        <w:t xml:space="preserve"> </w:t>
      </w:r>
      <w:r w:rsidRPr="00382917">
        <w:t>come.</w:t>
      </w:r>
      <w:r w:rsidR="009C713D" w:rsidRPr="00382917">
        <w:t>”</w:t>
      </w:r>
      <w:r w:rsidR="00D65750">
        <w:rPr>
          <w:rStyle w:val="FootnoteReference"/>
        </w:rPr>
        <w:footnoteReference w:id="78"/>
      </w:r>
      <w:r w:rsidR="00EE4FC3">
        <w:t xml:space="preserve">  </w:t>
      </w:r>
      <w:r w:rsidRPr="00382917">
        <w:t>The</w:t>
      </w:r>
      <w:r w:rsidR="00EE4FC3">
        <w:t xml:space="preserve"> </w:t>
      </w:r>
      <w:r w:rsidRPr="00382917">
        <w:t>Báb</w:t>
      </w:r>
      <w:r w:rsidR="00EE4FC3">
        <w:t xml:space="preserve"> </w:t>
      </w:r>
      <w:r w:rsidRPr="00382917">
        <w:t>echoed</w:t>
      </w:r>
      <w:r w:rsidR="00EE4FC3">
        <w:t xml:space="preserve"> </w:t>
      </w:r>
      <w:r w:rsidRPr="00382917">
        <w:t>this</w:t>
      </w:r>
      <w:r w:rsidR="00EE4FC3">
        <w:t xml:space="preserve"> </w:t>
      </w:r>
      <w:r w:rsidRPr="00382917">
        <w:t>warning,</w:t>
      </w:r>
      <w:r w:rsidR="00EE4FC3">
        <w:t xml:space="preserve"> </w:t>
      </w:r>
      <w:r w:rsidRPr="00382917">
        <w:t>saying</w:t>
      </w:r>
      <w:r w:rsidR="00C03C91">
        <w:t>:</w:t>
      </w:r>
      <w:r w:rsidR="00EE4FC3">
        <w:t xml:space="preserve">  </w:t>
      </w:r>
      <w:r w:rsidRPr="00382917">
        <w:t>Be</w:t>
      </w:r>
      <w:r w:rsidR="00EE4FC3">
        <w:t xml:space="preserve"> </w:t>
      </w:r>
      <w:r w:rsidRPr="00382917">
        <w:t>awake</w:t>
      </w:r>
      <w:r w:rsidR="00EE4FC3">
        <w:t xml:space="preserve"> </w:t>
      </w:r>
      <w:r w:rsidRPr="00382917">
        <w:t>on</w:t>
      </w:r>
      <w:r w:rsidR="00EE4FC3">
        <w:t xml:space="preserve"> </w:t>
      </w:r>
      <w:r w:rsidRPr="00382917">
        <w:t>the</w:t>
      </w:r>
      <w:r w:rsidR="00EE4FC3">
        <w:t xml:space="preserve"> </w:t>
      </w:r>
      <w:r w:rsidRPr="00382917">
        <w:t>day</w:t>
      </w:r>
      <w:r w:rsidR="00EE4FC3">
        <w:t xml:space="preserve"> </w:t>
      </w:r>
      <w:r w:rsidRPr="00382917">
        <w:t>of</w:t>
      </w:r>
      <w:r w:rsidR="00EE4FC3">
        <w:t xml:space="preserve"> </w:t>
      </w:r>
      <w:r w:rsidRPr="00382917">
        <w:t>the</w:t>
      </w:r>
      <w:r w:rsidR="00EE4FC3">
        <w:t xml:space="preserve"> </w:t>
      </w:r>
      <w:r w:rsidRPr="00382917">
        <w:t>appearance</w:t>
      </w:r>
      <w:r w:rsidR="00EE4FC3">
        <w:t xml:space="preserve"> </w:t>
      </w:r>
      <w:r w:rsidRPr="00382917">
        <w:t>of</w:t>
      </w:r>
      <w:r w:rsidR="00EE4FC3">
        <w:t xml:space="preserve"> </w:t>
      </w:r>
      <w:r w:rsidRPr="00382917">
        <w:t>Him</w:t>
      </w:r>
      <w:r w:rsidR="00EE4FC3">
        <w:t xml:space="preserve"> </w:t>
      </w:r>
      <w:r w:rsidRPr="00382917">
        <w:t>Whom</w:t>
      </w:r>
      <w:r w:rsidR="00EE4FC3">
        <w:t xml:space="preserve"> </w:t>
      </w:r>
      <w:r w:rsidRPr="00382917">
        <w:t>God</w:t>
      </w:r>
      <w:r w:rsidR="00EE4FC3">
        <w:t xml:space="preserve"> </w:t>
      </w:r>
      <w:r w:rsidRPr="00382917">
        <w:t>will</w:t>
      </w:r>
      <w:r w:rsidR="00EE4FC3">
        <w:t xml:space="preserve"> </w:t>
      </w:r>
      <w:r w:rsidRPr="00382917">
        <w:t>manifest.</w:t>
      </w:r>
      <w:r w:rsidR="009C713D" w:rsidRPr="00382917">
        <w:t>”</w:t>
      </w:r>
      <w:r w:rsidR="00647B4C">
        <w:rPr>
          <w:rStyle w:val="FootnoteReference"/>
        </w:rPr>
        <w:footnoteReference w:id="79"/>
      </w:r>
    </w:p>
    <w:p w:rsidR="00E13D49" w:rsidRPr="00382917" w:rsidRDefault="00540E31" w:rsidP="00D26EF2">
      <w:pPr>
        <w:pStyle w:val="Text"/>
      </w:pPr>
      <w:r w:rsidRPr="00382917">
        <w:t>The</w:t>
      </w:r>
      <w:r w:rsidR="00EE4FC3">
        <w:t xml:space="preserve"> </w:t>
      </w:r>
      <w:r w:rsidRPr="00382917">
        <w:t>Báb</w:t>
      </w:r>
      <w:r w:rsidR="009C713D" w:rsidRPr="00382917">
        <w:t>’</w:t>
      </w:r>
      <w:r w:rsidRPr="00382917">
        <w:t>s</w:t>
      </w:r>
      <w:r w:rsidR="00EE4FC3">
        <w:t xml:space="preserve"> </w:t>
      </w:r>
      <w:r w:rsidRPr="00382917">
        <w:t>constant</w:t>
      </w:r>
      <w:r w:rsidR="00EE4FC3">
        <w:t xml:space="preserve"> </w:t>
      </w:r>
      <w:r w:rsidRPr="00382917">
        <w:t>prayer</w:t>
      </w:r>
      <w:r w:rsidR="00EE4FC3">
        <w:t xml:space="preserve"> </w:t>
      </w:r>
      <w:r w:rsidRPr="00382917">
        <w:t>during</w:t>
      </w:r>
      <w:r w:rsidR="00EE4FC3">
        <w:t xml:space="preserve"> </w:t>
      </w:r>
      <w:r w:rsidRPr="00382917">
        <w:t>those</w:t>
      </w:r>
      <w:r w:rsidR="00EE4FC3">
        <w:t xml:space="preserve"> </w:t>
      </w:r>
      <w:r w:rsidRPr="00382917">
        <w:t>months</w:t>
      </w:r>
      <w:r w:rsidR="00EE4FC3">
        <w:t xml:space="preserve"> </w:t>
      </w:r>
      <w:r w:rsidRPr="00382917">
        <w:t>of</w:t>
      </w:r>
      <w:r w:rsidR="00EE4FC3">
        <w:t xml:space="preserve"> </w:t>
      </w:r>
      <w:r w:rsidRPr="00382917">
        <w:t>captivity</w:t>
      </w:r>
      <w:r w:rsidR="00EE4FC3">
        <w:t xml:space="preserve"> </w:t>
      </w:r>
      <w:r w:rsidRPr="00382917">
        <w:t>in</w:t>
      </w:r>
      <w:r w:rsidR="00EE4FC3">
        <w:t xml:space="preserve"> </w:t>
      </w:r>
      <w:r w:rsidRPr="00382917">
        <w:t>Máh-Kú</w:t>
      </w:r>
      <w:r w:rsidR="00EE4FC3">
        <w:t xml:space="preserve"> </w:t>
      </w:r>
      <w:r w:rsidRPr="00382917">
        <w:t>was</w:t>
      </w:r>
      <w:r w:rsidR="00EE4FC3">
        <w:t xml:space="preserve"> </w:t>
      </w:r>
      <w:r w:rsidRPr="00382917">
        <w:t>that</w:t>
      </w:r>
      <w:r w:rsidR="00EE4FC3">
        <w:t xml:space="preserve"> </w:t>
      </w:r>
      <w:r w:rsidRPr="00382917">
        <w:t>He</w:t>
      </w:r>
      <w:r w:rsidR="00EE4FC3">
        <w:t xml:space="preserve"> </w:t>
      </w:r>
      <w:r w:rsidRPr="00382917">
        <w:t>might</w:t>
      </w:r>
      <w:r w:rsidR="00EE4FC3">
        <w:t xml:space="preserve"> </w:t>
      </w:r>
      <w:r w:rsidRPr="00382917">
        <w:t>be</w:t>
      </w:r>
      <w:r w:rsidR="00EE4FC3">
        <w:t xml:space="preserve"> </w:t>
      </w:r>
      <w:r w:rsidRPr="00382917">
        <w:t>able</w:t>
      </w:r>
      <w:r w:rsidR="00EE4FC3">
        <w:t xml:space="preserve"> </w:t>
      </w:r>
      <w:r w:rsidRPr="00382917">
        <w:t>to</w:t>
      </w:r>
      <w:r w:rsidR="00EE4FC3">
        <w:t xml:space="preserve"> </w:t>
      </w:r>
      <w:r w:rsidRPr="00382917">
        <w:t>prepare</w:t>
      </w:r>
      <w:r w:rsidR="00EE4FC3">
        <w:t xml:space="preserve"> </w:t>
      </w:r>
      <w:r w:rsidRPr="00382917">
        <w:t>the</w:t>
      </w:r>
      <w:r w:rsidR="00EE4FC3">
        <w:t xml:space="preserve"> </w:t>
      </w:r>
      <w:r w:rsidRPr="00382917">
        <w:t>soil</w:t>
      </w:r>
      <w:r w:rsidR="00EE4FC3">
        <w:t xml:space="preserve"> </w:t>
      </w:r>
      <w:r w:rsidRPr="00382917">
        <w:t>of</w:t>
      </w:r>
      <w:r w:rsidR="00EE4FC3">
        <w:t xml:space="preserve"> </w:t>
      </w:r>
      <w:r w:rsidRPr="00382917">
        <w:t>men</w:t>
      </w:r>
      <w:r w:rsidR="009C713D" w:rsidRPr="00382917">
        <w:t>’</w:t>
      </w:r>
      <w:r w:rsidRPr="00382917">
        <w:t>s</w:t>
      </w:r>
      <w:r w:rsidR="00EE4FC3">
        <w:t xml:space="preserve"> </w:t>
      </w:r>
      <w:r w:rsidRPr="00382917">
        <w:t>hearts</w:t>
      </w:r>
      <w:r w:rsidR="00EE4FC3">
        <w:t xml:space="preserve"> </w:t>
      </w:r>
      <w:r w:rsidRPr="00382917">
        <w:t>for</w:t>
      </w:r>
      <w:r w:rsidR="00EE4FC3">
        <w:t xml:space="preserve"> </w:t>
      </w:r>
      <w:r w:rsidRPr="00382917">
        <w:t>the</w:t>
      </w:r>
      <w:r w:rsidR="00EE4FC3">
        <w:t xml:space="preserve"> </w:t>
      </w:r>
      <w:r w:rsidRPr="00382917">
        <w:t>coming</w:t>
      </w:r>
      <w:r w:rsidR="00EE4FC3">
        <w:t xml:space="preserve"> </w:t>
      </w:r>
      <w:r w:rsidRPr="00382917">
        <w:t>of</w:t>
      </w:r>
      <w:r w:rsidR="00EE4FC3">
        <w:t xml:space="preserve"> </w:t>
      </w:r>
      <w:r w:rsidRPr="00382917">
        <w:t>this</w:t>
      </w:r>
      <w:r w:rsidR="00EE4FC3">
        <w:t xml:space="preserve"> </w:t>
      </w:r>
      <w:r w:rsidRPr="00382917">
        <w:t>great</w:t>
      </w:r>
      <w:r w:rsidR="00EE4FC3">
        <w:t xml:space="preserve"> </w:t>
      </w:r>
      <w:r w:rsidRPr="00382917">
        <w:t>world</w:t>
      </w:r>
      <w:r w:rsidR="00EE4FC3">
        <w:t xml:space="preserve"> </w:t>
      </w:r>
      <w:r w:rsidRPr="00382917">
        <w:t>Shepherd</w:t>
      </w:r>
      <w:r w:rsidR="00C03C91">
        <w:t>.</w:t>
      </w:r>
      <w:r w:rsidR="00EE4FC3">
        <w:t xml:space="preserve">  </w:t>
      </w:r>
      <w:r w:rsidR="009C713D" w:rsidRPr="00382917">
        <w:t>“</w:t>
      </w:r>
      <w:r w:rsidR="00665A7A" w:rsidRPr="00382917">
        <w:t>O</w:t>
      </w:r>
      <w:r w:rsidR="00EE4FC3">
        <w:t xml:space="preserve"> </w:t>
      </w:r>
      <w:r w:rsidRPr="00382917">
        <w:t>my</w:t>
      </w:r>
      <w:r w:rsidR="00EE4FC3">
        <w:t xml:space="preserve"> </w:t>
      </w:r>
      <w:r w:rsidRPr="00382917">
        <w:t>God!</w:t>
      </w:r>
      <w:proofErr w:type="gramStart"/>
      <w:r w:rsidR="009C713D" w:rsidRPr="00382917">
        <w:t>”</w:t>
      </w:r>
      <w:r w:rsidR="00EE4FC3">
        <w:t xml:space="preserve"> </w:t>
      </w:r>
      <w:proofErr w:type="gramEnd"/>
      <w:r w:rsidRPr="00382917">
        <w:t>He</w:t>
      </w:r>
      <w:r w:rsidR="00EE4FC3">
        <w:t xml:space="preserve"> </w:t>
      </w:r>
      <w:r w:rsidRPr="00382917">
        <w:t>said,</w:t>
      </w:r>
      <w:r w:rsidR="00EE4FC3">
        <w:t xml:space="preserve"> </w:t>
      </w:r>
      <w:r w:rsidR="009C713D" w:rsidRPr="00382917">
        <w:t>“</w:t>
      </w:r>
      <w:r w:rsidRPr="00382917">
        <w:t>Through</w:t>
      </w:r>
      <w:r w:rsidR="00EE4FC3">
        <w:t xml:space="preserve"> </w:t>
      </w:r>
      <w:r w:rsidRPr="00382917">
        <w:t>Him</w:t>
      </w:r>
      <w:r w:rsidR="00EE4FC3">
        <w:t xml:space="preserve"> </w:t>
      </w:r>
      <w:r w:rsidRPr="00382917">
        <w:t>destroy</w:t>
      </w:r>
      <w:r w:rsidR="00EE4FC3">
        <w:t xml:space="preserve"> </w:t>
      </w:r>
      <w:r w:rsidRPr="00382917">
        <w:t>all</w:t>
      </w:r>
      <w:r w:rsidR="00EE4FC3">
        <w:t xml:space="preserve"> </w:t>
      </w:r>
      <w:r w:rsidRPr="00382917">
        <w:t>tyrants</w:t>
      </w:r>
      <w:r w:rsidR="00EE4FC3">
        <w:t xml:space="preserve"> </w:t>
      </w:r>
      <w:r w:rsidR="00F04416" w:rsidRPr="00382917">
        <w:t>…</w:t>
      </w:r>
      <w:r w:rsidR="00EE4FC3">
        <w:t xml:space="preserve"> </w:t>
      </w:r>
      <w:r w:rsidRPr="00382917">
        <w:t>annihilate,</w:t>
      </w:r>
      <w:r w:rsidR="00EE4FC3">
        <w:t xml:space="preserve"> </w:t>
      </w:r>
      <w:r w:rsidRPr="00382917">
        <w:t>through</w:t>
      </w:r>
      <w:r w:rsidR="00EE4FC3">
        <w:t xml:space="preserve"> </w:t>
      </w:r>
      <w:r w:rsidRPr="00382917">
        <w:t>His</w:t>
      </w:r>
      <w:r w:rsidR="00EE4FC3">
        <w:t xml:space="preserve"> </w:t>
      </w:r>
      <w:r w:rsidRPr="00382917">
        <w:t>justice,</w:t>
      </w:r>
      <w:r w:rsidR="00EE4FC3">
        <w:t xml:space="preserve"> </w:t>
      </w:r>
      <w:r w:rsidRPr="00382917">
        <w:t>all</w:t>
      </w:r>
      <w:r w:rsidR="00EE4FC3">
        <w:t xml:space="preserve"> </w:t>
      </w:r>
      <w:r w:rsidRPr="00382917">
        <w:t>forms</w:t>
      </w:r>
      <w:r w:rsidR="00EE4FC3">
        <w:t xml:space="preserve"> </w:t>
      </w:r>
      <w:r w:rsidRPr="00382917">
        <w:t>of</w:t>
      </w:r>
      <w:r w:rsidR="00EE4FC3">
        <w:t xml:space="preserve"> </w:t>
      </w:r>
      <w:r w:rsidRPr="00382917">
        <w:t>oppression.</w:t>
      </w:r>
      <w:r w:rsidR="009C713D" w:rsidRPr="00382917">
        <w:t>”</w:t>
      </w:r>
      <w:r w:rsidR="00D26EF2">
        <w:rPr>
          <w:rStyle w:val="FootnoteReference"/>
        </w:rPr>
        <w:footnoteReference w:id="80"/>
      </w:r>
    </w:p>
    <w:p w:rsidR="00540E31" w:rsidRPr="00382917" w:rsidRDefault="00540E31" w:rsidP="004D387C">
      <w:pPr>
        <w:pStyle w:val="Text"/>
      </w:pPr>
      <w:r w:rsidRPr="00382917">
        <w:t>The</w:t>
      </w:r>
      <w:r w:rsidR="00EE4FC3">
        <w:t xml:space="preserve"> </w:t>
      </w:r>
      <w:r w:rsidRPr="00382917">
        <w:t>Báb</w:t>
      </w:r>
      <w:r w:rsidR="00EE4FC3">
        <w:t xml:space="preserve"> </w:t>
      </w:r>
      <w:r w:rsidRPr="00382917">
        <w:t>said</w:t>
      </w:r>
      <w:r w:rsidR="00EE4FC3">
        <w:t xml:space="preserve"> </w:t>
      </w:r>
      <w:r w:rsidRPr="00382917">
        <w:t>that</w:t>
      </w:r>
      <w:r w:rsidR="00EE4FC3">
        <w:t xml:space="preserve"> </w:t>
      </w:r>
      <w:r w:rsidRPr="00382917">
        <w:t>He</w:t>
      </w:r>
      <w:r w:rsidR="00EE4FC3">
        <w:t xml:space="preserve"> </w:t>
      </w:r>
      <w:r w:rsidRPr="00382917">
        <w:t>spoke</w:t>
      </w:r>
      <w:r w:rsidR="00EE4FC3">
        <w:t xml:space="preserve"> </w:t>
      </w:r>
      <w:r w:rsidRPr="00382917">
        <w:t>of</w:t>
      </w:r>
      <w:r w:rsidR="00EE4FC3">
        <w:t xml:space="preserve"> </w:t>
      </w:r>
      <w:r w:rsidRPr="00382917">
        <w:t>His</w:t>
      </w:r>
      <w:r w:rsidR="00EE4FC3">
        <w:t xml:space="preserve"> </w:t>
      </w:r>
      <w:r w:rsidRPr="00382917">
        <w:t>own</w:t>
      </w:r>
      <w:r w:rsidR="00EE4FC3">
        <w:t xml:space="preserve"> </w:t>
      </w:r>
      <w:r w:rsidRPr="00382917">
        <w:t>suffering</w:t>
      </w:r>
      <w:r w:rsidR="00EE4FC3">
        <w:t xml:space="preserve"> </w:t>
      </w:r>
      <w:r w:rsidRPr="00382917">
        <w:t>only</w:t>
      </w:r>
      <w:r w:rsidR="00EE4FC3">
        <w:t xml:space="preserve"> </w:t>
      </w:r>
      <w:r w:rsidRPr="00382917">
        <w:t>so</w:t>
      </w:r>
      <w:r w:rsidR="00EE4FC3">
        <w:t xml:space="preserve"> </w:t>
      </w:r>
      <w:r w:rsidRPr="00382917">
        <w:t>that</w:t>
      </w:r>
      <w:r w:rsidR="00EE4FC3">
        <w:t xml:space="preserve"> </w:t>
      </w:r>
      <w:r w:rsidRPr="00382917">
        <w:t>it</w:t>
      </w:r>
      <w:r w:rsidR="00EE4FC3">
        <w:t xml:space="preserve"> </w:t>
      </w:r>
      <w:r w:rsidRPr="00382917">
        <w:t>might</w:t>
      </w:r>
      <w:r w:rsidR="00EE4FC3">
        <w:t xml:space="preserve"> </w:t>
      </w:r>
      <w:r w:rsidRPr="00382917">
        <w:t>be</w:t>
      </w:r>
      <w:r w:rsidR="00EE4FC3">
        <w:t xml:space="preserve"> </w:t>
      </w:r>
      <w:r w:rsidR="009C713D" w:rsidRPr="00382917">
        <w:t>“</w:t>
      </w:r>
      <w:r w:rsidRPr="00382917">
        <w:t>an</w:t>
      </w:r>
      <w:r w:rsidR="00EE4FC3">
        <w:t xml:space="preserve"> </w:t>
      </w:r>
      <w:r w:rsidRPr="00382917">
        <w:t>example</w:t>
      </w:r>
      <w:r w:rsidR="00EE4FC3">
        <w:t xml:space="preserve"> </w:t>
      </w:r>
      <w:r w:rsidRPr="00382917">
        <w:t>to</w:t>
      </w:r>
      <w:r w:rsidR="00EE4FC3">
        <w:t xml:space="preserve"> </w:t>
      </w:r>
      <w:r w:rsidRPr="00382917">
        <w:t>[My</w:t>
      </w:r>
      <w:r w:rsidR="00EE4FC3">
        <w:t xml:space="preserve"> </w:t>
      </w:r>
      <w:r w:rsidRPr="00382917">
        <w:t>followers]</w:t>
      </w:r>
      <w:r w:rsidR="00EE4FC3">
        <w:t xml:space="preserve"> </w:t>
      </w:r>
      <w:r w:rsidRPr="00382917">
        <w:t>so</w:t>
      </w:r>
      <w:r w:rsidR="00EE4FC3">
        <w:t xml:space="preserve"> </w:t>
      </w:r>
      <w:r w:rsidRPr="00382917">
        <w:t>that</w:t>
      </w:r>
      <w:r w:rsidR="00EE4FC3">
        <w:t xml:space="preserve"> </w:t>
      </w:r>
      <w:r w:rsidRPr="00382917">
        <w:t>they</w:t>
      </w:r>
      <w:r w:rsidR="00EE4FC3">
        <w:t xml:space="preserve"> </w:t>
      </w:r>
      <w:r w:rsidRPr="00382917">
        <w:t>may</w:t>
      </w:r>
      <w:r w:rsidR="00EE4FC3">
        <w:t xml:space="preserve"> </w:t>
      </w:r>
      <w:r w:rsidRPr="00382917">
        <w:t>not</w:t>
      </w:r>
      <w:r w:rsidR="00EE4FC3">
        <w:t xml:space="preserve"> </w:t>
      </w:r>
      <w:r w:rsidRPr="00382917">
        <w:t>act</w:t>
      </w:r>
      <w:r w:rsidR="00EE4FC3">
        <w:t xml:space="preserve"> </w:t>
      </w:r>
      <w:r w:rsidRPr="00382917">
        <w:t>toward</w:t>
      </w:r>
      <w:r w:rsidR="00EE4FC3">
        <w:t xml:space="preserve"> </w:t>
      </w:r>
      <w:r w:rsidRPr="00382917">
        <w:t>Him</w:t>
      </w:r>
      <w:r w:rsidR="00EE4FC3">
        <w:t xml:space="preserve"> </w:t>
      </w:r>
      <w:r w:rsidRPr="00382917">
        <w:t>[Who</w:t>
      </w:r>
      <w:r w:rsidR="00EE4FC3">
        <w:t xml:space="preserve"> </w:t>
      </w:r>
      <w:r w:rsidRPr="00382917">
        <w:t>is</w:t>
      </w:r>
      <w:r w:rsidR="00EE4FC3">
        <w:t xml:space="preserve"> </w:t>
      </w:r>
      <w:r w:rsidRPr="00382917">
        <w:t>to</w:t>
      </w:r>
      <w:r w:rsidR="00EE4FC3">
        <w:t xml:space="preserve"> </w:t>
      </w:r>
      <w:r w:rsidRPr="00382917">
        <w:t>come]</w:t>
      </w:r>
      <w:r w:rsidR="00EE4FC3">
        <w:t xml:space="preserve"> </w:t>
      </w:r>
      <w:r w:rsidRPr="00382917">
        <w:t>as</w:t>
      </w:r>
      <w:r w:rsidR="00EE4FC3">
        <w:t xml:space="preserve"> </w:t>
      </w:r>
      <w:r w:rsidRPr="00382917">
        <w:t>the</w:t>
      </w:r>
      <w:r w:rsidR="00EE4FC3">
        <w:t xml:space="preserve"> </w:t>
      </w:r>
      <w:r w:rsidRPr="00382917">
        <w:t>believers</w:t>
      </w:r>
      <w:r w:rsidR="00EE4FC3">
        <w:t xml:space="preserve"> </w:t>
      </w:r>
      <w:r w:rsidRPr="00382917">
        <w:t>in</w:t>
      </w:r>
      <w:r w:rsidR="00EE4FC3">
        <w:t xml:space="preserve"> </w:t>
      </w:r>
      <w:r w:rsidRPr="00382917">
        <w:t>the</w:t>
      </w:r>
      <w:r w:rsidR="00EE4FC3">
        <w:t xml:space="preserve"> </w:t>
      </w:r>
      <w:r w:rsidR="00382917">
        <w:t>Qur’án</w:t>
      </w:r>
      <w:r w:rsidR="00EE4FC3">
        <w:t xml:space="preserve"> </w:t>
      </w:r>
      <w:r w:rsidRPr="00382917">
        <w:t>have</w:t>
      </w:r>
      <w:r w:rsidR="00EE4FC3">
        <w:t xml:space="preserve"> </w:t>
      </w:r>
      <w:r w:rsidRPr="00382917">
        <w:t>acted</w:t>
      </w:r>
      <w:r w:rsidR="00EE4FC3">
        <w:t xml:space="preserve"> </w:t>
      </w:r>
      <w:r w:rsidRPr="00382917">
        <w:t>toward</w:t>
      </w:r>
      <w:r w:rsidR="00EE4FC3">
        <w:t xml:space="preserve"> </w:t>
      </w:r>
      <w:r w:rsidRPr="00382917">
        <w:t>Me.</w:t>
      </w:r>
      <w:r w:rsidR="009C713D" w:rsidRPr="00382917">
        <w:t>”</w:t>
      </w:r>
      <w:r w:rsidR="004D387C">
        <w:rPr>
          <w:rStyle w:val="FootnoteReference"/>
        </w:rPr>
        <w:footnoteReference w:id="81"/>
      </w:r>
    </w:p>
    <w:p w:rsidR="00540E31" w:rsidRPr="00382917" w:rsidRDefault="009C713D" w:rsidP="00D05F02">
      <w:pPr>
        <w:pStyle w:val="Text"/>
      </w:pPr>
      <w:r w:rsidRPr="00382917">
        <w:t>“</w:t>
      </w:r>
      <w:r w:rsidR="00540E31" w:rsidRPr="00382917">
        <w:t>Of</w:t>
      </w:r>
      <w:r w:rsidR="00EE4FC3">
        <w:t xml:space="preserve"> </w:t>
      </w:r>
      <w:r w:rsidR="00540E31" w:rsidRPr="00382917">
        <w:t>all</w:t>
      </w:r>
      <w:r w:rsidR="00EE4FC3">
        <w:t xml:space="preserve"> </w:t>
      </w:r>
      <w:r w:rsidR="00540E31" w:rsidRPr="00382917">
        <w:t>the</w:t>
      </w:r>
      <w:r w:rsidR="00EE4FC3">
        <w:t xml:space="preserve"> </w:t>
      </w:r>
      <w:r w:rsidR="00540E31" w:rsidRPr="00382917">
        <w:t>tributes</w:t>
      </w:r>
      <w:r w:rsidR="00EE4FC3">
        <w:t xml:space="preserve"> </w:t>
      </w:r>
      <w:r w:rsidR="00540E31" w:rsidRPr="00382917">
        <w:t>I</w:t>
      </w:r>
      <w:r w:rsidR="00EE4FC3">
        <w:t xml:space="preserve"> </w:t>
      </w:r>
      <w:r w:rsidR="00540E31" w:rsidRPr="00382917">
        <w:t>have</w:t>
      </w:r>
      <w:r w:rsidR="00EE4FC3">
        <w:t xml:space="preserve"> </w:t>
      </w:r>
      <w:r w:rsidR="00540E31" w:rsidRPr="00382917">
        <w:t>paid</w:t>
      </w:r>
      <w:r w:rsidR="00EE4FC3">
        <w:t xml:space="preserve"> </w:t>
      </w:r>
      <w:r w:rsidR="00540E31" w:rsidRPr="00382917">
        <w:t>to</w:t>
      </w:r>
      <w:r w:rsidR="00EE4FC3">
        <w:t xml:space="preserve"> </w:t>
      </w:r>
      <w:r w:rsidR="00540E31" w:rsidRPr="00382917">
        <w:t>Him</w:t>
      </w:r>
      <w:r w:rsidR="00EE4FC3">
        <w:t xml:space="preserve"> </w:t>
      </w:r>
      <w:r w:rsidR="00540E31" w:rsidRPr="00382917">
        <w:t>Who</w:t>
      </w:r>
      <w:r w:rsidR="00EE4FC3">
        <w:t xml:space="preserve"> </w:t>
      </w:r>
      <w:r w:rsidR="00540E31" w:rsidRPr="00382917">
        <w:t>is</w:t>
      </w:r>
      <w:r w:rsidR="00EE4FC3">
        <w:t xml:space="preserve"> </w:t>
      </w:r>
      <w:r w:rsidR="00540E31" w:rsidRPr="00382917">
        <w:t>to</w:t>
      </w:r>
      <w:r w:rsidR="00EE4FC3">
        <w:t xml:space="preserve"> </w:t>
      </w:r>
      <w:r w:rsidR="00540E31" w:rsidRPr="00382917">
        <w:t>come</w:t>
      </w:r>
      <w:r w:rsidR="00EE4FC3">
        <w:t xml:space="preserve"> </w:t>
      </w:r>
      <w:r w:rsidR="00540E31" w:rsidRPr="00382917">
        <w:t>after</w:t>
      </w:r>
      <w:r w:rsidR="00EE4FC3">
        <w:t xml:space="preserve"> </w:t>
      </w:r>
      <w:proofErr w:type="gramStart"/>
      <w:r w:rsidR="00540E31" w:rsidRPr="00382917">
        <w:t>Me</w:t>
      </w:r>
      <w:proofErr w:type="gramEnd"/>
      <w:r w:rsidR="00540E31" w:rsidRPr="00382917">
        <w:t>,</w:t>
      </w:r>
      <w:r w:rsidRPr="00382917">
        <w:t>”</w:t>
      </w:r>
      <w:r w:rsidR="00EE4FC3">
        <w:t xml:space="preserve"> </w:t>
      </w:r>
      <w:r w:rsidR="00540E31" w:rsidRPr="00382917">
        <w:t>the</w:t>
      </w:r>
      <w:r w:rsidR="00EE4FC3">
        <w:t xml:space="preserve"> </w:t>
      </w:r>
      <w:r w:rsidR="00540E31" w:rsidRPr="00382917">
        <w:t>Báb</w:t>
      </w:r>
      <w:r w:rsidR="00EE4FC3">
        <w:t xml:space="preserve"> </w:t>
      </w:r>
      <w:r w:rsidR="00540E31" w:rsidRPr="00382917">
        <w:t>wrote</w:t>
      </w:r>
      <w:r w:rsidR="00EE4FC3">
        <w:t xml:space="preserve"> </w:t>
      </w:r>
      <w:r w:rsidR="00540E31" w:rsidRPr="00382917">
        <w:t>in</w:t>
      </w:r>
      <w:r w:rsidR="00EE4FC3">
        <w:t xml:space="preserve"> </w:t>
      </w:r>
      <w:r w:rsidR="00540E31" w:rsidRPr="00382917">
        <w:t>Máh-Kú,</w:t>
      </w:r>
      <w:r w:rsidR="00EE4FC3">
        <w:t xml:space="preserve"> </w:t>
      </w:r>
      <w:r w:rsidRPr="00382917">
        <w:t>“</w:t>
      </w:r>
      <w:r w:rsidR="00540E31" w:rsidRPr="00382917">
        <w:t>the</w:t>
      </w:r>
      <w:r w:rsidR="00EE4FC3">
        <w:t xml:space="preserve"> </w:t>
      </w:r>
      <w:r w:rsidR="00540E31" w:rsidRPr="00382917">
        <w:t>greatest</w:t>
      </w:r>
      <w:r w:rsidR="00EE4FC3">
        <w:t xml:space="preserve"> </w:t>
      </w:r>
      <w:r w:rsidR="00540E31" w:rsidRPr="00382917">
        <w:t>is</w:t>
      </w:r>
      <w:r w:rsidR="00EE4FC3">
        <w:t xml:space="preserve"> </w:t>
      </w:r>
      <w:r w:rsidR="00540E31" w:rsidRPr="00382917">
        <w:t>this,</w:t>
      </w:r>
      <w:r w:rsidR="00EE4FC3">
        <w:t xml:space="preserve"> </w:t>
      </w:r>
      <w:r w:rsidR="00540E31" w:rsidRPr="00382917">
        <w:t>My</w:t>
      </w:r>
      <w:r w:rsidR="00EE4FC3">
        <w:t xml:space="preserve"> </w:t>
      </w:r>
      <w:r w:rsidR="00540E31" w:rsidRPr="00382917">
        <w:t>written</w:t>
      </w:r>
      <w:r w:rsidR="00EE4FC3">
        <w:t xml:space="preserve"> </w:t>
      </w:r>
      <w:r w:rsidR="00540E31" w:rsidRPr="00382917">
        <w:t>confession,</w:t>
      </w:r>
      <w:r w:rsidR="00EE4FC3">
        <w:t xml:space="preserve"> </w:t>
      </w:r>
      <w:r w:rsidR="00540E31" w:rsidRPr="00382917">
        <w:t>that</w:t>
      </w:r>
      <w:r w:rsidR="00EE4FC3">
        <w:t xml:space="preserve"> </w:t>
      </w:r>
      <w:r w:rsidR="00540E31" w:rsidRPr="00382917">
        <w:t>no</w:t>
      </w:r>
      <w:r w:rsidR="00EE4FC3">
        <w:t xml:space="preserve"> </w:t>
      </w:r>
      <w:r w:rsidR="00540E31" w:rsidRPr="00382917">
        <w:t>words</w:t>
      </w:r>
      <w:r w:rsidR="00EE4FC3">
        <w:t xml:space="preserve"> </w:t>
      </w:r>
      <w:r w:rsidR="00540E31" w:rsidRPr="00382917">
        <w:t>of</w:t>
      </w:r>
      <w:r w:rsidR="00EE4FC3">
        <w:t xml:space="preserve"> </w:t>
      </w:r>
      <w:r w:rsidR="00540E31" w:rsidRPr="00382917">
        <w:t>Mine</w:t>
      </w:r>
      <w:r w:rsidR="00EE4FC3">
        <w:t xml:space="preserve"> </w:t>
      </w:r>
      <w:r w:rsidR="00540E31" w:rsidRPr="00382917">
        <w:t>can</w:t>
      </w:r>
      <w:r w:rsidR="00EE4FC3">
        <w:t xml:space="preserve"> </w:t>
      </w:r>
      <w:r w:rsidR="00540E31" w:rsidRPr="00382917">
        <w:t>adequately</w:t>
      </w:r>
      <w:r w:rsidR="00EE4FC3">
        <w:t xml:space="preserve"> </w:t>
      </w:r>
      <w:r w:rsidR="00540E31" w:rsidRPr="00382917">
        <w:t>describe</w:t>
      </w:r>
      <w:r w:rsidR="00EE4FC3">
        <w:t xml:space="preserve"> </w:t>
      </w:r>
      <w:r w:rsidR="00540E31" w:rsidRPr="00382917">
        <w:t>Him,</w:t>
      </w:r>
      <w:r w:rsidR="00EE4FC3">
        <w:t xml:space="preserve"> </w:t>
      </w:r>
      <w:r w:rsidR="00540E31" w:rsidRPr="00382917">
        <w:t>nor</w:t>
      </w:r>
      <w:r w:rsidR="00EE4FC3">
        <w:t xml:space="preserve"> </w:t>
      </w:r>
      <w:r w:rsidR="00540E31" w:rsidRPr="00382917">
        <w:t>can</w:t>
      </w:r>
      <w:r w:rsidR="00EE4FC3">
        <w:t xml:space="preserve"> </w:t>
      </w:r>
      <w:r w:rsidR="00540E31" w:rsidRPr="00382917">
        <w:t>any</w:t>
      </w:r>
      <w:r w:rsidR="00EE4FC3">
        <w:t xml:space="preserve"> </w:t>
      </w:r>
      <w:r w:rsidR="00540E31" w:rsidRPr="00382917">
        <w:t>reference</w:t>
      </w:r>
      <w:r w:rsidR="00EE4FC3">
        <w:t xml:space="preserve"> </w:t>
      </w:r>
      <w:r w:rsidR="00540E31" w:rsidRPr="00382917">
        <w:t>to</w:t>
      </w:r>
      <w:r w:rsidR="00EE4FC3">
        <w:t xml:space="preserve"> </w:t>
      </w:r>
      <w:r w:rsidR="00540E31" w:rsidRPr="00382917">
        <w:t>Him</w:t>
      </w:r>
      <w:r w:rsidR="00EE4FC3">
        <w:t xml:space="preserve"> </w:t>
      </w:r>
      <w:r w:rsidR="00540E31" w:rsidRPr="00382917">
        <w:t>in</w:t>
      </w:r>
      <w:r w:rsidR="00EE4FC3">
        <w:t xml:space="preserve"> </w:t>
      </w:r>
      <w:r w:rsidR="00540E31" w:rsidRPr="00382917">
        <w:t>My</w:t>
      </w:r>
      <w:r w:rsidR="00EE4FC3">
        <w:t xml:space="preserve"> </w:t>
      </w:r>
      <w:r w:rsidR="00540E31" w:rsidRPr="00382917">
        <w:t>Book,</w:t>
      </w:r>
      <w:r w:rsidR="00EE4FC3">
        <w:t xml:space="preserve"> </w:t>
      </w:r>
      <w:r w:rsidR="00540E31" w:rsidRPr="00382917">
        <w:t>the</w:t>
      </w:r>
      <w:r w:rsidR="00EE4FC3">
        <w:t xml:space="preserve"> </w:t>
      </w:r>
      <w:r w:rsidR="00540E31" w:rsidRPr="00382917">
        <w:t>Bayán,</w:t>
      </w:r>
      <w:r w:rsidR="00EE4FC3">
        <w:t xml:space="preserve"> </w:t>
      </w:r>
      <w:r w:rsidR="00540E31" w:rsidRPr="00382917">
        <w:t>do</w:t>
      </w:r>
      <w:r w:rsidR="00EE4FC3">
        <w:t xml:space="preserve"> </w:t>
      </w:r>
      <w:r w:rsidR="00540E31" w:rsidRPr="00382917">
        <w:t>justice</w:t>
      </w:r>
      <w:r w:rsidR="00EE4FC3">
        <w:t xml:space="preserve"> </w:t>
      </w:r>
      <w:r w:rsidR="00540E31" w:rsidRPr="00382917">
        <w:t>to</w:t>
      </w:r>
      <w:r w:rsidR="00EE4FC3">
        <w:t xml:space="preserve"> </w:t>
      </w:r>
      <w:r w:rsidR="00540E31" w:rsidRPr="00382917">
        <w:t>His</w:t>
      </w:r>
      <w:r w:rsidR="00EE4FC3">
        <w:t xml:space="preserve"> </w:t>
      </w:r>
      <w:r w:rsidR="00540E31" w:rsidRPr="00382917">
        <w:t>Cause.</w:t>
      </w:r>
      <w:r w:rsidRPr="00382917">
        <w:t>”</w:t>
      </w:r>
      <w:r w:rsidR="00D05F02">
        <w:rPr>
          <w:rStyle w:val="FootnoteReference"/>
        </w:rPr>
        <w:footnoteReference w:id="82"/>
      </w:r>
    </w:p>
    <w:p w:rsidR="00540E31" w:rsidRPr="00382917" w:rsidRDefault="00540E31" w:rsidP="00665A7A">
      <w:pPr>
        <w:pStyle w:val="Text"/>
      </w:pPr>
      <w:r w:rsidRPr="00382917">
        <w:t>He</w:t>
      </w:r>
      <w:r w:rsidR="00EE4FC3">
        <w:t xml:space="preserve"> </w:t>
      </w:r>
      <w:r w:rsidRPr="00382917">
        <w:t>left</w:t>
      </w:r>
      <w:r w:rsidR="00EE4FC3">
        <w:t xml:space="preserve"> </w:t>
      </w:r>
      <w:r w:rsidRPr="00382917">
        <w:t>no</w:t>
      </w:r>
      <w:r w:rsidR="00EE4FC3">
        <w:t xml:space="preserve"> </w:t>
      </w:r>
      <w:r w:rsidRPr="00382917">
        <w:t>question</w:t>
      </w:r>
      <w:r w:rsidR="00EE4FC3">
        <w:t xml:space="preserve"> </w:t>
      </w:r>
      <w:r w:rsidRPr="00382917">
        <w:t>whatsoever</w:t>
      </w:r>
      <w:r w:rsidR="00EE4FC3">
        <w:t xml:space="preserve"> </w:t>
      </w:r>
      <w:r w:rsidRPr="00382917">
        <w:t>in</w:t>
      </w:r>
      <w:r w:rsidR="00EE4FC3">
        <w:t xml:space="preserve"> </w:t>
      </w:r>
      <w:r w:rsidRPr="00382917">
        <w:t>the</w:t>
      </w:r>
      <w:r w:rsidR="00EE4FC3">
        <w:t xml:space="preserve"> </w:t>
      </w:r>
      <w:r w:rsidRPr="00382917">
        <w:t>minds</w:t>
      </w:r>
      <w:r w:rsidR="00EE4FC3">
        <w:t xml:space="preserve"> </w:t>
      </w:r>
      <w:r w:rsidRPr="00382917">
        <w:t>of</w:t>
      </w:r>
      <w:r w:rsidR="00EE4FC3">
        <w:t xml:space="preserve"> </w:t>
      </w:r>
      <w:r w:rsidRPr="00382917">
        <w:t>His</w:t>
      </w:r>
      <w:r w:rsidR="00EE4FC3">
        <w:t xml:space="preserve"> </w:t>
      </w:r>
      <w:r w:rsidRPr="00382917">
        <w:t>followers</w:t>
      </w:r>
      <w:r w:rsidR="00EE4FC3">
        <w:t xml:space="preserve"> </w:t>
      </w:r>
      <w:r w:rsidRPr="00382917">
        <w:t>as</w:t>
      </w:r>
      <w:r w:rsidR="00EE4FC3">
        <w:t xml:space="preserve"> </w:t>
      </w:r>
      <w:r w:rsidRPr="00382917">
        <w:t>to</w:t>
      </w:r>
      <w:r w:rsidR="00EE4FC3">
        <w:t xml:space="preserve"> </w:t>
      </w:r>
      <w:r w:rsidRPr="00382917">
        <w:t>His</w:t>
      </w:r>
      <w:r w:rsidR="00EE4FC3">
        <w:t xml:space="preserve"> </w:t>
      </w:r>
      <w:r w:rsidRPr="00382917">
        <w:t>own</w:t>
      </w:r>
      <w:r w:rsidR="00EE4FC3">
        <w:t xml:space="preserve"> </w:t>
      </w:r>
      <w:r w:rsidRPr="00382917">
        <w:t>station</w:t>
      </w:r>
      <w:r w:rsidR="00C03C91">
        <w:t>:</w:t>
      </w:r>
      <w:r w:rsidR="00EE4FC3">
        <w:t xml:space="preserve">  </w:t>
      </w:r>
      <w:r w:rsidRPr="00382917">
        <w:t>He</w:t>
      </w:r>
      <w:r w:rsidR="00EE4FC3">
        <w:t xml:space="preserve"> </w:t>
      </w:r>
      <w:r w:rsidRPr="00382917">
        <w:t>was</w:t>
      </w:r>
      <w:r w:rsidR="00EE4FC3">
        <w:t xml:space="preserve"> </w:t>
      </w:r>
      <w:r w:rsidRPr="00382917">
        <w:t>the</w:t>
      </w:r>
      <w:r w:rsidR="00EE4FC3">
        <w:t xml:space="preserve"> </w:t>
      </w:r>
      <w:r w:rsidRPr="00382917">
        <w:t>Dawn,</w:t>
      </w:r>
      <w:r w:rsidR="00EE4FC3">
        <w:t xml:space="preserve"> </w:t>
      </w:r>
      <w:r w:rsidRPr="00382917">
        <w:t>the</w:t>
      </w:r>
      <w:r w:rsidR="00EE4FC3">
        <w:t xml:space="preserve"> </w:t>
      </w:r>
      <w:r w:rsidRPr="00382917">
        <w:t>One</w:t>
      </w:r>
      <w:r w:rsidR="00EE4FC3">
        <w:t xml:space="preserve"> </w:t>
      </w:r>
      <w:r w:rsidRPr="00382917">
        <w:t>to</w:t>
      </w:r>
      <w:r w:rsidR="00EE4FC3">
        <w:t xml:space="preserve"> </w:t>
      </w:r>
      <w:r w:rsidRPr="00382917">
        <w:t>come</w:t>
      </w:r>
      <w:r w:rsidR="00EE4FC3">
        <w:t xml:space="preserve"> </w:t>
      </w:r>
      <w:r w:rsidRPr="00382917">
        <w:t>was</w:t>
      </w:r>
      <w:r w:rsidR="00EE4FC3">
        <w:t xml:space="preserve"> </w:t>
      </w:r>
      <w:r w:rsidRPr="00382917">
        <w:t>the</w:t>
      </w:r>
    </w:p>
    <w:p w:rsidR="00665A7A" w:rsidRPr="00382917" w:rsidRDefault="00665A7A">
      <w:pPr>
        <w:widowControl/>
        <w:kinsoku/>
        <w:overflowPunct/>
        <w:textAlignment w:val="auto"/>
      </w:pPr>
      <w:r w:rsidRPr="00382917">
        <w:br w:type="page"/>
      </w:r>
    </w:p>
    <w:p w:rsidR="00E13D49" w:rsidRPr="00382917" w:rsidRDefault="00540E31" w:rsidP="00A51D01">
      <w:pPr>
        <w:pStyle w:val="Textcts"/>
      </w:pPr>
      <w:proofErr w:type="gramStart"/>
      <w:r w:rsidRPr="00382917">
        <w:t>Sun</w:t>
      </w:r>
      <w:r w:rsidR="00C03C91">
        <w:t>.</w:t>
      </w:r>
      <w:proofErr w:type="gramEnd"/>
      <w:r w:rsidR="00EE4FC3">
        <w:t xml:space="preserve">  </w:t>
      </w:r>
      <w:r w:rsidR="009C713D" w:rsidRPr="00382917">
        <w:t>“</w:t>
      </w:r>
      <w:r w:rsidRPr="00382917">
        <w:t>Were</w:t>
      </w:r>
      <w:r w:rsidR="00EE4FC3">
        <w:t xml:space="preserve"> </w:t>
      </w:r>
      <w:r w:rsidRPr="00382917">
        <w:t>He</w:t>
      </w:r>
      <w:r w:rsidR="00EE4FC3">
        <w:t xml:space="preserve"> </w:t>
      </w:r>
      <w:r w:rsidRPr="00382917">
        <w:t>to</w:t>
      </w:r>
      <w:r w:rsidR="00EE4FC3">
        <w:t xml:space="preserve"> </w:t>
      </w:r>
      <w:r w:rsidRPr="00382917">
        <w:t>appear</w:t>
      </w:r>
      <w:r w:rsidR="00EE4FC3">
        <w:t xml:space="preserve"> </w:t>
      </w:r>
      <w:r w:rsidRPr="00382917">
        <w:t>at</w:t>
      </w:r>
      <w:r w:rsidR="00EE4FC3">
        <w:t xml:space="preserve"> </w:t>
      </w:r>
      <w:r w:rsidRPr="00382917">
        <w:t>this</w:t>
      </w:r>
      <w:r w:rsidR="00EE4FC3">
        <w:t xml:space="preserve"> </w:t>
      </w:r>
      <w:r w:rsidRPr="00382917">
        <w:t>very</w:t>
      </w:r>
      <w:r w:rsidR="00EE4FC3">
        <w:t xml:space="preserve"> </w:t>
      </w:r>
      <w:r w:rsidRPr="00382917">
        <w:t>moment,</w:t>
      </w:r>
      <w:r w:rsidR="009C713D" w:rsidRPr="00382917">
        <w:t>”</w:t>
      </w:r>
      <w:r w:rsidR="00EE4FC3">
        <w:t xml:space="preserve"> </w:t>
      </w:r>
      <w:r w:rsidRPr="00382917">
        <w:t>proclaimed</w:t>
      </w:r>
      <w:r w:rsidR="00EE4FC3">
        <w:t xml:space="preserve"> </w:t>
      </w:r>
      <w:r w:rsidRPr="00382917">
        <w:t>the</w:t>
      </w:r>
      <w:r w:rsidR="00EE4FC3">
        <w:t xml:space="preserve"> </w:t>
      </w:r>
      <w:r w:rsidRPr="00382917">
        <w:t>B</w:t>
      </w:r>
      <w:r w:rsidR="0040329F" w:rsidRPr="0040329F">
        <w:t>á</w:t>
      </w:r>
      <w:r w:rsidRPr="00382917">
        <w:t>b,</w:t>
      </w:r>
      <w:r w:rsidR="00EE4FC3">
        <w:t xml:space="preserve"> </w:t>
      </w:r>
      <w:r w:rsidR="009C713D" w:rsidRPr="00382917">
        <w:t>“</w:t>
      </w:r>
      <w:r w:rsidRPr="00382917">
        <w:t>I</w:t>
      </w:r>
      <w:r w:rsidR="00EE4FC3">
        <w:t xml:space="preserve"> </w:t>
      </w:r>
      <w:r w:rsidRPr="00382917">
        <w:t>would</w:t>
      </w:r>
      <w:r w:rsidR="00EE4FC3">
        <w:t xml:space="preserve"> </w:t>
      </w:r>
      <w:r w:rsidRPr="00382917">
        <w:t>be</w:t>
      </w:r>
      <w:r w:rsidR="00EE4FC3">
        <w:t xml:space="preserve"> </w:t>
      </w:r>
      <w:r w:rsidRPr="00382917">
        <w:t>the</w:t>
      </w:r>
      <w:r w:rsidR="00EE4FC3">
        <w:t xml:space="preserve"> </w:t>
      </w:r>
      <w:r w:rsidRPr="00382917">
        <w:t>first</w:t>
      </w:r>
      <w:r w:rsidR="00EE4FC3">
        <w:t xml:space="preserve"> </w:t>
      </w:r>
      <w:r w:rsidRPr="00382917">
        <w:t>to</w:t>
      </w:r>
      <w:r w:rsidR="00EE4FC3">
        <w:t xml:space="preserve"> </w:t>
      </w:r>
      <w:r w:rsidRPr="00382917">
        <w:t>adore</w:t>
      </w:r>
      <w:r w:rsidR="00EE4FC3">
        <w:t xml:space="preserve"> </w:t>
      </w:r>
      <w:r w:rsidRPr="00382917">
        <w:t>Him,</w:t>
      </w:r>
      <w:r w:rsidR="00EE4FC3">
        <w:t xml:space="preserve"> </w:t>
      </w:r>
      <w:r w:rsidRPr="00382917">
        <w:t>and</w:t>
      </w:r>
      <w:r w:rsidR="00EE4FC3">
        <w:t xml:space="preserve"> </w:t>
      </w:r>
      <w:r w:rsidRPr="00382917">
        <w:t>the</w:t>
      </w:r>
      <w:r w:rsidR="00EE4FC3">
        <w:t xml:space="preserve"> </w:t>
      </w:r>
      <w:r w:rsidRPr="00382917">
        <w:t>first</w:t>
      </w:r>
      <w:r w:rsidR="00EE4FC3">
        <w:t xml:space="preserve"> </w:t>
      </w:r>
      <w:r w:rsidRPr="00382917">
        <w:t>to</w:t>
      </w:r>
      <w:r w:rsidR="00EE4FC3">
        <w:t xml:space="preserve"> </w:t>
      </w:r>
      <w:r w:rsidRPr="00382917">
        <w:t>bow</w:t>
      </w:r>
      <w:r w:rsidR="00EE4FC3">
        <w:t xml:space="preserve"> </w:t>
      </w:r>
      <w:r w:rsidRPr="00382917">
        <w:t>down</w:t>
      </w:r>
      <w:r w:rsidR="00EE4FC3">
        <w:t xml:space="preserve"> </w:t>
      </w:r>
      <w:r w:rsidRPr="00382917">
        <w:t>before</w:t>
      </w:r>
      <w:r w:rsidR="00EE4FC3">
        <w:t xml:space="preserve"> </w:t>
      </w:r>
      <w:r w:rsidRPr="00382917">
        <w:t>Him.</w:t>
      </w:r>
      <w:r w:rsidR="009C713D" w:rsidRPr="00382917">
        <w:t>”</w:t>
      </w:r>
      <w:r w:rsidR="00A51D01">
        <w:rPr>
          <w:rStyle w:val="FootnoteReference"/>
        </w:rPr>
        <w:footnoteReference w:id="83"/>
      </w:r>
    </w:p>
    <w:p w:rsidR="00E13D49" w:rsidRPr="00382917" w:rsidRDefault="00540E31" w:rsidP="000332C6">
      <w:pPr>
        <w:pStyle w:val="Text"/>
      </w:pPr>
      <w:r w:rsidRPr="00382917">
        <w:t>The</w:t>
      </w:r>
      <w:r w:rsidR="00EE4FC3">
        <w:t xml:space="preserve"> </w:t>
      </w:r>
      <w:r w:rsidRPr="00382917">
        <w:t>historian</w:t>
      </w:r>
      <w:r w:rsidR="00EE4FC3">
        <w:t xml:space="preserve"> </w:t>
      </w:r>
      <w:r w:rsidRPr="00382917">
        <w:t>Nicolas</w:t>
      </w:r>
      <w:r w:rsidR="00EE4FC3">
        <w:t xml:space="preserve"> </w:t>
      </w:r>
      <w:r w:rsidRPr="00382917">
        <w:t>states</w:t>
      </w:r>
      <w:r w:rsidR="00EE4FC3">
        <w:t xml:space="preserve"> </w:t>
      </w:r>
      <w:r w:rsidRPr="00382917">
        <w:t>that</w:t>
      </w:r>
      <w:r w:rsidR="00EE4FC3">
        <w:t xml:space="preserve"> </w:t>
      </w:r>
      <w:r w:rsidRPr="00382917">
        <w:t>when</w:t>
      </w:r>
      <w:r w:rsidR="00EE4FC3">
        <w:t xml:space="preserve"> </w:t>
      </w:r>
      <w:r w:rsidRPr="00382917">
        <w:t>the</w:t>
      </w:r>
      <w:r w:rsidR="00EE4FC3">
        <w:t xml:space="preserve"> </w:t>
      </w:r>
      <w:r w:rsidRPr="00382917">
        <w:t>Báb</w:t>
      </w:r>
      <w:r w:rsidR="00EE4FC3">
        <w:t xml:space="preserve"> </w:t>
      </w:r>
      <w:r w:rsidRPr="00382917">
        <w:t>was</w:t>
      </w:r>
      <w:r w:rsidR="00EE4FC3">
        <w:t xml:space="preserve"> </w:t>
      </w:r>
      <w:r w:rsidRPr="00382917">
        <w:t>asked</w:t>
      </w:r>
      <w:r w:rsidR="00EE4FC3">
        <w:t xml:space="preserve"> </w:t>
      </w:r>
      <w:r w:rsidRPr="00382917">
        <w:t>for</w:t>
      </w:r>
      <w:r w:rsidR="00EE4FC3">
        <w:t xml:space="preserve"> </w:t>
      </w:r>
      <w:r w:rsidRPr="00382917">
        <w:t>proofs</w:t>
      </w:r>
      <w:r w:rsidR="00EE4FC3">
        <w:t xml:space="preserve"> </w:t>
      </w:r>
      <w:r w:rsidRPr="00382917">
        <w:t>of</w:t>
      </w:r>
      <w:r w:rsidR="00EE4FC3">
        <w:t xml:space="preserve"> </w:t>
      </w:r>
      <w:r w:rsidRPr="00382917">
        <w:t>His</w:t>
      </w:r>
      <w:r w:rsidR="00EE4FC3">
        <w:t xml:space="preserve"> </w:t>
      </w:r>
      <w:r w:rsidRPr="00382917">
        <w:t>mission,</w:t>
      </w:r>
      <w:r w:rsidR="00EE4FC3">
        <w:t xml:space="preserve"> </w:t>
      </w:r>
      <w:r w:rsidRPr="00382917">
        <w:t>His</w:t>
      </w:r>
      <w:r w:rsidR="00EE4FC3">
        <w:t xml:space="preserve"> </w:t>
      </w:r>
      <w:r w:rsidRPr="00382917">
        <w:t>answer</w:t>
      </w:r>
      <w:r w:rsidR="00EE4FC3">
        <w:t xml:space="preserve"> </w:t>
      </w:r>
      <w:r w:rsidRPr="00382917">
        <w:t>was</w:t>
      </w:r>
      <w:r w:rsidR="00EE4FC3">
        <w:t xml:space="preserve"> </w:t>
      </w:r>
      <w:r w:rsidRPr="00382917">
        <w:t>admirable</w:t>
      </w:r>
      <w:r w:rsidR="00EE4FC3">
        <w:t xml:space="preserve"> </w:t>
      </w:r>
      <w:r w:rsidRPr="00382917">
        <w:t>for</w:t>
      </w:r>
      <w:r w:rsidR="00EE4FC3">
        <w:t xml:space="preserve"> </w:t>
      </w:r>
      <w:r w:rsidRPr="00382917">
        <w:t>its</w:t>
      </w:r>
      <w:r w:rsidR="00EE4FC3">
        <w:t xml:space="preserve"> </w:t>
      </w:r>
      <w:r w:rsidRPr="00382917">
        <w:t>precision</w:t>
      </w:r>
      <w:r w:rsidR="00EE4FC3">
        <w:t xml:space="preserve"> </w:t>
      </w:r>
      <w:r w:rsidRPr="00382917">
        <w:t>and</w:t>
      </w:r>
      <w:r w:rsidR="00EE4FC3">
        <w:t xml:space="preserve"> </w:t>
      </w:r>
      <w:r w:rsidRPr="00382917">
        <w:t>clearness,</w:t>
      </w:r>
      <w:r w:rsidR="00EE4FC3">
        <w:t xml:space="preserve"> </w:t>
      </w:r>
      <w:r w:rsidRPr="00382917">
        <w:t>His</w:t>
      </w:r>
      <w:r w:rsidR="00EE4FC3">
        <w:t xml:space="preserve"> </w:t>
      </w:r>
      <w:r w:rsidRPr="00382917">
        <w:t>explanations</w:t>
      </w:r>
      <w:r w:rsidR="00EE4FC3">
        <w:t xml:space="preserve"> </w:t>
      </w:r>
      <w:r w:rsidRPr="00382917">
        <w:t>new</w:t>
      </w:r>
      <w:r w:rsidR="00EE4FC3">
        <w:t xml:space="preserve"> </w:t>
      </w:r>
      <w:r w:rsidRPr="00382917">
        <w:t>and</w:t>
      </w:r>
      <w:r w:rsidR="00EE4FC3">
        <w:t xml:space="preserve"> </w:t>
      </w:r>
      <w:r w:rsidRPr="00382917">
        <w:t>original,</w:t>
      </w:r>
      <w:r w:rsidR="00EE4FC3">
        <w:t xml:space="preserve"> </w:t>
      </w:r>
      <w:r w:rsidRPr="00382917">
        <w:t>and</w:t>
      </w:r>
      <w:r w:rsidR="00EE4FC3">
        <w:t xml:space="preserve"> </w:t>
      </w:r>
      <w:r w:rsidRPr="00382917">
        <w:t>His</w:t>
      </w:r>
      <w:r w:rsidR="00EE4FC3">
        <w:t xml:space="preserve"> </w:t>
      </w:r>
      <w:r w:rsidRPr="00382917">
        <w:t>literary</w:t>
      </w:r>
      <w:r w:rsidR="00EE4FC3">
        <w:t xml:space="preserve"> </w:t>
      </w:r>
      <w:r w:rsidRPr="00382917">
        <w:t>work</w:t>
      </w:r>
      <w:r w:rsidR="00EE4FC3">
        <w:t xml:space="preserve"> </w:t>
      </w:r>
      <w:r w:rsidRPr="00382917">
        <w:t>of</w:t>
      </w:r>
      <w:r w:rsidR="00EE4FC3">
        <w:t xml:space="preserve"> </w:t>
      </w:r>
      <w:r w:rsidRPr="00382917">
        <w:t>profound</w:t>
      </w:r>
      <w:r w:rsidR="00EE4FC3">
        <w:t xml:space="preserve"> </w:t>
      </w:r>
      <w:r w:rsidRPr="00382917">
        <w:t>interest.</w:t>
      </w:r>
      <w:r w:rsidR="000332C6">
        <w:rPr>
          <w:rStyle w:val="FootnoteReference"/>
        </w:rPr>
        <w:footnoteReference w:id="84"/>
      </w:r>
    </w:p>
    <w:p w:rsidR="00540E31" w:rsidRPr="00382917" w:rsidRDefault="00540E31" w:rsidP="00665A7A">
      <w:pPr>
        <w:pStyle w:val="Text"/>
      </w:pPr>
      <w:r w:rsidRPr="00382917">
        <w:t>For</w:t>
      </w:r>
      <w:r w:rsidR="00EE4FC3">
        <w:t xml:space="preserve"> </w:t>
      </w:r>
      <w:r w:rsidRPr="00382917">
        <w:t>nine</w:t>
      </w:r>
      <w:r w:rsidR="00EE4FC3">
        <w:t xml:space="preserve"> </w:t>
      </w:r>
      <w:r w:rsidRPr="00382917">
        <w:t>months</w:t>
      </w:r>
      <w:r w:rsidR="00EE4FC3">
        <w:t xml:space="preserve"> </w:t>
      </w:r>
      <w:r w:rsidRPr="00382917">
        <w:t>the</w:t>
      </w:r>
      <w:r w:rsidR="00EE4FC3">
        <w:t xml:space="preserve"> </w:t>
      </w:r>
      <w:r w:rsidRPr="00382917">
        <w:t>Báb</w:t>
      </w:r>
      <w:r w:rsidR="00EE4FC3">
        <w:t xml:space="preserve"> </w:t>
      </w:r>
      <w:r w:rsidRPr="00382917">
        <w:t>wrote</w:t>
      </w:r>
      <w:r w:rsidR="00EE4FC3">
        <w:t xml:space="preserve"> </w:t>
      </w:r>
      <w:r w:rsidRPr="00382917">
        <w:t>almost</w:t>
      </w:r>
      <w:r w:rsidR="00EE4FC3">
        <w:t xml:space="preserve"> </w:t>
      </w:r>
      <w:r w:rsidRPr="00382917">
        <w:t>continuously</w:t>
      </w:r>
      <w:r w:rsidR="00C03C91">
        <w:t>.</w:t>
      </w:r>
      <w:r w:rsidR="00EE4FC3">
        <w:t xml:space="preserve">  </w:t>
      </w:r>
      <w:r w:rsidRPr="00382917">
        <w:t>His</w:t>
      </w:r>
      <w:r w:rsidR="00EE4FC3">
        <w:t xml:space="preserve"> </w:t>
      </w:r>
      <w:r w:rsidRPr="00382917">
        <w:t>followers</w:t>
      </w:r>
      <w:r w:rsidR="00EE4FC3">
        <w:t xml:space="preserve"> </w:t>
      </w:r>
      <w:r w:rsidRPr="00382917">
        <w:t>came</w:t>
      </w:r>
      <w:r w:rsidR="00EE4FC3">
        <w:t xml:space="preserve"> </w:t>
      </w:r>
      <w:r w:rsidRPr="00382917">
        <w:t>from</w:t>
      </w:r>
      <w:r w:rsidR="00EE4FC3">
        <w:t xml:space="preserve"> </w:t>
      </w:r>
      <w:r w:rsidRPr="00382917">
        <w:t>all</w:t>
      </w:r>
      <w:r w:rsidR="00EE4FC3">
        <w:t xml:space="preserve"> </w:t>
      </w:r>
      <w:r w:rsidRPr="00382917">
        <w:t>parts</w:t>
      </w:r>
      <w:r w:rsidR="00EE4FC3">
        <w:t xml:space="preserve"> </w:t>
      </w:r>
      <w:r w:rsidRPr="00382917">
        <w:t>of</w:t>
      </w:r>
      <w:r w:rsidR="00EE4FC3">
        <w:t xml:space="preserve"> </w:t>
      </w:r>
      <w:r w:rsidRPr="00382917">
        <w:t>Persia</w:t>
      </w:r>
      <w:r w:rsidR="00EE4FC3">
        <w:t xml:space="preserve"> </w:t>
      </w:r>
      <w:r w:rsidRPr="00382917">
        <w:t>to</w:t>
      </w:r>
      <w:r w:rsidR="00EE4FC3">
        <w:t xml:space="preserve"> </w:t>
      </w:r>
      <w:r w:rsidRPr="00382917">
        <w:t>visit</w:t>
      </w:r>
      <w:r w:rsidR="00EE4FC3">
        <w:t xml:space="preserve"> </w:t>
      </w:r>
      <w:r w:rsidRPr="00382917">
        <w:t>Him</w:t>
      </w:r>
      <w:r w:rsidR="00C03C91">
        <w:t>.</w:t>
      </w:r>
      <w:r w:rsidR="00EE4FC3">
        <w:t xml:space="preserve">  </w:t>
      </w:r>
      <w:r w:rsidRPr="00382917">
        <w:t>After</w:t>
      </w:r>
      <w:r w:rsidR="00EE4FC3">
        <w:t xml:space="preserve"> </w:t>
      </w:r>
      <w:r w:rsidRPr="00382917">
        <w:t>a</w:t>
      </w:r>
      <w:r w:rsidR="00EE4FC3">
        <w:t xml:space="preserve"> </w:t>
      </w:r>
      <w:r w:rsidRPr="00382917">
        <w:t>stay</w:t>
      </w:r>
      <w:r w:rsidR="00EE4FC3">
        <w:t xml:space="preserve"> </w:t>
      </w:r>
      <w:r w:rsidRPr="00382917">
        <w:t>of</w:t>
      </w:r>
      <w:r w:rsidR="00EE4FC3">
        <w:t xml:space="preserve"> </w:t>
      </w:r>
      <w:r w:rsidRPr="00382917">
        <w:t>three</w:t>
      </w:r>
      <w:r w:rsidR="00EE4FC3">
        <w:t xml:space="preserve"> </w:t>
      </w:r>
      <w:r w:rsidRPr="00382917">
        <w:t>days</w:t>
      </w:r>
      <w:r w:rsidR="00EE4FC3">
        <w:t xml:space="preserve"> </w:t>
      </w:r>
      <w:r w:rsidRPr="00382917">
        <w:t>they</w:t>
      </w:r>
      <w:r w:rsidR="00EE4FC3">
        <w:t xml:space="preserve"> </w:t>
      </w:r>
      <w:r w:rsidRPr="00382917">
        <w:t>were</w:t>
      </w:r>
      <w:r w:rsidR="00EE4FC3">
        <w:t xml:space="preserve"> </w:t>
      </w:r>
      <w:r w:rsidRPr="00382917">
        <w:t>encouraged</w:t>
      </w:r>
      <w:r w:rsidR="00EE4FC3">
        <w:t xml:space="preserve"> </w:t>
      </w:r>
      <w:r w:rsidRPr="00382917">
        <w:t>by</w:t>
      </w:r>
      <w:r w:rsidR="00EE4FC3">
        <w:t xml:space="preserve"> </w:t>
      </w:r>
      <w:r w:rsidRPr="00382917">
        <w:t>the</w:t>
      </w:r>
      <w:r w:rsidR="00EE4FC3">
        <w:t xml:space="preserve"> </w:t>
      </w:r>
      <w:r w:rsidRPr="00382917">
        <w:t>Báb</w:t>
      </w:r>
      <w:r w:rsidR="00EE4FC3">
        <w:t xml:space="preserve"> </w:t>
      </w:r>
      <w:r w:rsidRPr="00382917">
        <w:t>to</w:t>
      </w:r>
      <w:r w:rsidR="00EE4FC3">
        <w:t xml:space="preserve"> </w:t>
      </w:r>
      <w:r w:rsidRPr="00382917">
        <w:t>return</w:t>
      </w:r>
      <w:r w:rsidR="00EE4FC3">
        <w:t xml:space="preserve"> </w:t>
      </w:r>
      <w:r w:rsidRPr="00382917">
        <w:t>to</w:t>
      </w:r>
      <w:r w:rsidR="00EE4FC3">
        <w:t xml:space="preserve"> </w:t>
      </w:r>
      <w:r w:rsidRPr="00382917">
        <w:t>their</w:t>
      </w:r>
      <w:r w:rsidR="00EE4FC3">
        <w:t xml:space="preserve"> </w:t>
      </w:r>
      <w:r w:rsidRPr="00382917">
        <w:t>homes</w:t>
      </w:r>
      <w:r w:rsidR="00EE4FC3">
        <w:t xml:space="preserve"> </w:t>
      </w:r>
      <w:r w:rsidRPr="00382917">
        <w:t>and</w:t>
      </w:r>
      <w:r w:rsidR="00EE4FC3">
        <w:t xml:space="preserve"> </w:t>
      </w:r>
      <w:r w:rsidRPr="00382917">
        <w:t>continue</w:t>
      </w:r>
      <w:r w:rsidR="00EE4FC3">
        <w:t xml:space="preserve"> </w:t>
      </w:r>
      <w:r w:rsidRPr="00382917">
        <w:t>the</w:t>
      </w:r>
      <w:r w:rsidR="00EE4FC3">
        <w:t xml:space="preserve"> </w:t>
      </w:r>
      <w:r w:rsidRPr="00382917">
        <w:t>work</w:t>
      </w:r>
      <w:r w:rsidR="00EE4FC3">
        <w:t xml:space="preserve"> </w:t>
      </w:r>
      <w:r w:rsidRPr="00382917">
        <w:t>of</w:t>
      </w:r>
      <w:r w:rsidR="00EE4FC3">
        <w:t xml:space="preserve"> </w:t>
      </w:r>
      <w:r w:rsidRPr="00382917">
        <w:t>teaching</w:t>
      </w:r>
      <w:r w:rsidR="00EE4FC3">
        <w:t xml:space="preserve"> </w:t>
      </w:r>
      <w:r w:rsidRPr="00382917">
        <w:t>and</w:t>
      </w:r>
      <w:r w:rsidR="00EE4FC3">
        <w:t xml:space="preserve"> </w:t>
      </w:r>
      <w:r w:rsidRPr="00382917">
        <w:t>consolidating</w:t>
      </w:r>
      <w:r w:rsidR="00EE4FC3">
        <w:t xml:space="preserve"> </w:t>
      </w:r>
      <w:r w:rsidRPr="00382917">
        <w:t>the</w:t>
      </w:r>
      <w:r w:rsidR="00EE4FC3">
        <w:t xml:space="preserve"> </w:t>
      </w:r>
      <w:r w:rsidRPr="00382917">
        <w:t>Faith</w:t>
      </w:r>
      <w:r w:rsidR="00C03C91">
        <w:t>.</w:t>
      </w:r>
      <w:r w:rsidR="00EE4FC3">
        <w:t xml:space="preserve">  </w:t>
      </w:r>
      <w:r w:rsidRPr="00382917">
        <w:t>Not</w:t>
      </w:r>
      <w:r w:rsidR="00EE4FC3">
        <w:t xml:space="preserve"> </w:t>
      </w:r>
      <w:r w:rsidRPr="00382917">
        <w:t>only</w:t>
      </w:r>
      <w:r w:rsidR="00EE4FC3">
        <w:t xml:space="preserve"> </w:t>
      </w:r>
      <w:r w:rsidRPr="00382917">
        <w:t>was</w:t>
      </w:r>
      <w:r w:rsidR="00EE4FC3">
        <w:t xml:space="preserve"> </w:t>
      </w:r>
      <w:r w:rsidRPr="00382917">
        <w:t>the</w:t>
      </w:r>
      <w:r w:rsidR="00EE4FC3">
        <w:t xml:space="preserve"> </w:t>
      </w:r>
      <w:r w:rsidRPr="00382917">
        <w:t>Báb</w:t>
      </w:r>
      <w:r w:rsidR="00EE4FC3">
        <w:t xml:space="preserve"> </w:t>
      </w:r>
      <w:r w:rsidRPr="00382917">
        <w:t>able</w:t>
      </w:r>
      <w:r w:rsidR="00EE4FC3">
        <w:t xml:space="preserve"> </w:t>
      </w:r>
      <w:r w:rsidRPr="00382917">
        <w:t>to</w:t>
      </w:r>
      <w:r w:rsidR="00EE4FC3">
        <w:t xml:space="preserve"> </w:t>
      </w:r>
      <w:r w:rsidRPr="00382917">
        <w:t>meet</w:t>
      </w:r>
      <w:r w:rsidR="00EE4FC3">
        <w:t xml:space="preserve"> </w:t>
      </w:r>
      <w:r w:rsidRPr="00382917">
        <w:t>His</w:t>
      </w:r>
      <w:r w:rsidR="00EE4FC3">
        <w:t xml:space="preserve"> </w:t>
      </w:r>
      <w:r w:rsidRPr="00382917">
        <w:t>followers,</w:t>
      </w:r>
      <w:r w:rsidR="00EE4FC3">
        <w:t xml:space="preserve"> </w:t>
      </w:r>
      <w:r w:rsidRPr="00382917">
        <w:t>in</w:t>
      </w:r>
      <w:r w:rsidR="00EE4FC3">
        <w:t xml:space="preserve"> </w:t>
      </w:r>
      <w:r w:rsidRPr="00382917">
        <w:t>spite</w:t>
      </w:r>
      <w:r w:rsidR="00EE4FC3">
        <w:t xml:space="preserve"> </w:t>
      </w:r>
      <w:r w:rsidRPr="00382917">
        <w:t>of</w:t>
      </w:r>
      <w:r w:rsidR="00EE4FC3">
        <w:t xml:space="preserve"> </w:t>
      </w:r>
      <w:r w:rsidRPr="00382917">
        <w:t>the</w:t>
      </w:r>
      <w:r w:rsidR="00EE4FC3">
        <w:t xml:space="preserve"> </w:t>
      </w:r>
      <w:r w:rsidRPr="00382917">
        <w:t>isolation</w:t>
      </w:r>
      <w:r w:rsidR="00EE4FC3">
        <w:t xml:space="preserve"> </w:t>
      </w:r>
      <w:r w:rsidRPr="00382917">
        <w:t>imposed</w:t>
      </w:r>
      <w:r w:rsidR="00EE4FC3">
        <w:t xml:space="preserve"> </w:t>
      </w:r>
      <w:r w:rsidRPr="00382917">
        <w:t>upon</w:t>
      </w:r>
      <w:r w:rsidR="00EE4FC3">
        <w:t xml:space="preserve"> </w:t>
      </w:r>
      <w:r w:rsidRPr="00382917">
        <w:t>Him</w:t>
      </w:r>
      <w:r w:rsidR="00EE4FC3">
        <w:t xml:space="preserve"> </w:t>
      </w:r>
      <w:r w:rsidRPr="00382917">
        <w:t>by</w:t>
      </w:r>
      <w:r w:rsidR="00EE4FC3">
        <w:t xml:space="preserve"> </w:t>
      </w:r>
      <w:r w:rsidRPr="00382917">
        <w:t>the</w:t>
      </w:r>
      <w:r w:rsidR="00EE4FC3">
        <w:t xml:space="preserve"> </w:t>
      </w:r>
      <w:r w:rsidRPr="00382917">
        <w:t>Prime</w:t>
      </w:r>
      <w:r w:rsidR="00EE4FC3">
        <w:t xml:space="preserve"> </w:t>
      </w:r>
      <w:r w:rsidRPr="00382917">
        <w:t>Minister,</w:t>
      </w:r>
      <w:r w:rsidR="00EE4FC3">
        <w:t xml:space="preserve"> </w:t>
      </w:r>
      <w:r w:rsidRPr="00382917">
        <w:t>but</w:t>
      </w:r>
      <w:r w:rsidR="00EE4FC3">
        <w:t xml:space="preserve"> </w:t>
      </w:r>
      <w:r w:rsidRPr="00382917">
        <w:t>more</w:t>
      </w:r>
      <w:r w:rsidR="00EE4FC3">
        <w:t xml:space="preserve"> </w:t>
      </w:r>
      <w:r w:rsidRPr="00382917">
        <w:t>important,</w:t>
      </w:r>
      <w:r w:rsidR="00EE4FC3">
        <w:t xml:space="preserve"> </w:t>
      </w:r>
      <w:r w:rsidRPr="00382917">
        <w:t>He</w:t>
      </w:r>
      <w:r w:rsidR="00EE4FC3">
        <w:t xml:space="preserve"> </w:t>
      </w:r>
      <w:r w:rsidRPr="00382917">
        <w:t>was</w:t>
      </w:r>
      <w:r w:rsidR="00EE4FC3">
        <w:t xml:space="preserve"> </w:t>
      </w:r>
      <w:r w:rsidRPr="00382917">
        <w:t>given</w:t>
      </w:r>
      <w:r w:rsidR="00EE4FC3">
        <w:t xml:space="preserve"> </w:t>
      </w:r>
      <w:r w:rsidRPr="00382917">
        <w:t>the</w:t>
      </w:r>
      <w:r w:rsidR="00EE4FC3">
        <w:t xml:space="preserve"> </w:t>
      </w:r>
      <w:r w:rsidRPr="00382917">
        <w:t>time</w:t>
      </w:r>
      <w:r w:rsidR="00EE4FC3">
        <w:t xml:space="preserve"> </w:t>
      </w:r>
      <w:r w:rsidRPr="00382917">
        <w:t>and</w:t>
      </w:r>
      <w:r w:rsidR="00EE4FC3">
        <w:t xml:space="preserve"> </w:t>
      </w:r>
      <w:r w:rsidRPr="00382917">
        <w:t>opportunity</w:t>
      </w:r>
      <w:r w:rsidR="00EE4FC3">
        <w:t xml:space="preserve"> </w:t>
      </w:r>
      <w:r w:rsidRPr="00382917">
        <w:t>to</w:t>
      </w:r>
      <w:r w:rsidR="00EE4FC3">
        <w:t xml:space="preserve"> </w:t>
      </w:r>
      <w:r w:rsidRPr="00382917">
        <w:t>set</w:t>
      </w:r>
      <w:r w:rsidR="00EE4FC3">
        <w:t xml:space="preserve"> </w:t>
      </w:r>
      <w:r w:rsidRPr="00382917">
        <w:t>down</w:t>
      </w:r>
      <w:r w:rsidR="00EE4FC3">
        <w:t xml:space="preserve"> </w:t>
      </w:r>
      <w:r w:rsidRPr="00382917">
        <w:t>in</w:t>
      </w:r>
      <w:r w:rsidR="00EE4FC3">
        <w:t xml:space="preserve"> </w:t>
      </w:r>
      <w:r w:rsidRPr="00382917">
        <w:t>permanent</w:t>
      </w:r>
      <w:r w:rsidR="00EE4FC3">
        <w:t xml:space="preserve"> </w:t>
      </w:r>
      <w:r w:rsidRPr="00382917">
        <w:t>form</w:t>
      </w:r>
      <w:r w:rsidR="00EE4FC3">
        <w:t xml:space="preserve"> </w:t>
      </w:r>
      <w:r w:rsidRPr="00382917">
        <w:t>the</w:t>
      </w:r>
      <w:r w:rsidR="00EE4FC3">
        <w:t xml:space="preserve"> </w:t>
      </w:r>
      <w:r w:rsidRPr="00382917">
        <w:t>fundamental</w:t>
      </w:r>
      <w:r w:rsidR="00EE4FC3">
        <w:t xml:space="preserve"> </w:t>
      </w:r>
      <w:r w:rsidRPr="00382917">
        <w:t>truths</w:t>
      </w:r>
      <w:r w:rsidR="00EE4FC3">
        <w:t xml:space="preserve"> </w:t>
      </w:r>
      <w:r w:rsidRPr="00382917">
        <w:t>of</w:t>
      </w:r>
      <w:r w:rsidR="00EE4FC3">
        <w:t xml:space="preserve"> </w:t>
      </w:r>
      <w:r w:rsidRPr="00382917">
        <w:t>His</w:t>
      </w:r>
      <w:r w:rsidR="00EE4FC3">
        <w:t xml:space="preserve"> </w:t>
      </w:r>
      <w:r w:rsidRPr="00382917">
        <w:t>Mission.</w:t>
      </w:r>
    </w:p>
    <w:p w:rsidR="00540E31" w:rsidRPr="00382917" w:rsidRDefault="00540E31" w:rsidP="00665A7A">
      <w:pPr>
        <w:pStyle w:val="Text"/>
      </w:pPr>
      <w:r w:rsidRPr="00382917">
        <w:t>In</w:t>
      </w:r>
      <w:r w:rsidR="00EE4FC3">
        <w:t xml:space="preserve"> </w:t>
      </w:r>
      <w:r w:rsidRPr="00382917">
        <w:t>His</w:t>
      </w:r>
      <w:r w:rsidR="00EE4FC3">
        <w:t xml:space="preserve"> </w:t>
      </w:r>
      <w:r w:rsidRPr="00382917">
        <w:t>solitary</w:t>
      </w:r>
      <w:r w:rsidR="00EE4FC3">
        <w:t xml:space="preserve"> </w:t>
      </w:r>
      <w:r w:rsidRPr="00382917">
        <w:t>chamber</w:t>
      </w:r>
      <w:r w:rsidR="00EE4FC3">
        <w:t xml:space="preserve"> </w:t>
      </w:r>
      <w:r w:rsidRPr="00382917">
        <w:t>He</w:t>
      </w:r>
      <w:r w:rsidR="00EE4FC3">
        <w:t xml:space="preserve"> </w:t>
      </w:r>
      <w:r w:rsidRPr="00382917">
        <w:t>was</w:t>
      </w:r>
      <w:r w:rsidR="00EE4FC3">
        <w:t xml:space="preserve"> </w:t>
      </w:r>
      <w:r w:rsidRPr="00382917">
        <w:t>not</w:t>
      </w:r>
      <w:r w:rsidR="00EE4FC3">
        <w:t xml:space="preserve"> </w:t>
      </w:r>
      <w:r w:rsidRPr="00382917">
        <w:t>permitted</w:t>
      </w:r>
      <w:r w:rsidR="00EE4FC3">
        <w:t xml:space="preserve"> </w:t>
      </w:r>
      <w:r w:rsidRPr="00382917">
        <w:t>to</w:t>
      </w:r>
      <w:r w:rsidR="00EE4FC3">
        <w:t xml:space="preserve"> </w:t>
      </w:r>
      <w:r w:rsidRPr="00382917">
        <w:t>have</w:t>
      </w:r>
      <w:r w:rsidR="00EE4FC3">
        <w:t xml:space="preserve"> </w:t>
      </w:r>
      <w:r w:rsidRPr="00382917">
        <w:t>even</w:t>
      </w:r>
      <w:r w:rsidR="00EE4FC3">
        <w:t xml:space="preserve"> </w:t>
      </w:r>
      <w:r w:rsidRPr="00382917">
        <w:t>a</w:t>
      </w:r>
      <w:r w:rsidR="00EE4FC3">
        <w:t xml:space="preserve"> </w:t>
      </w:r>
      <w:r w:rsidRPr="00382917">
        <w:t>lighted</w:t>
      </w:r>
      <w:r w:rsidR="00EE4FC3">
        <w:t xml:space="preserve"> </w:t>
      </w:r>
      <w:r w:rsidRPr="00382917">
        <w:t>lamp</w:t>
      </w:r>
      <w:r w:rsidR="00C03C91">
        <w:t>.</w:t>
      </w:r>
      <w:r w:rsidR="00EE4FC3">
        <w:t xml:space="preserve">  </w:t>
      </w:r>
      <w:r w:rsidRPr="00382917">
        <w:t>The</w:t>
      </w:r>
      <w:r w:rsidR="00EE4FC3">
        <w:t xml:space="preserve"> </w:t>
      </w:r>
      <w:r w:rsidRPr="00382917">
        <w:t>winter</w:t>
      </w:r>
      <w:r w:rsidR="00EE4FC3">
        <w:t xml:space="preserve"> </w:t>
      </w:r>
      <w:r w:rsidRPr="00382917">
        <w:t>was</w:t>
      </w:r>
      <w:r w:rsidR="00EE4FC3">
        <w:t xml:space="preserve"> </w:t>
      </w:r>
      <w:r w:rsidRPr="00382917">
        <w:t>so</w:t>
      </w:r>
      <w:r w:rsidR="00EE4FC3">
        <w:t xml:space="preserve"> </w:t>
      </w:r>
      <w:r w:rsidRPr="00382917">
        <w:t>severe</w:t>
      </w:r>
      <w:r w:rsidR="00EE4FC3">
        <w:t xml:space="preserve"> </w:t>
      </w:r>
      <w:r w:rsidRPr="00382917">
        <w:t>that</w:t>
      </w:r>
      <w:r w:rsidR="00EE4FC3">
        <w:t xml:space="preserve"> </w:t>
      </w:r>
      <w:r w:rsidRPr="00382917">
        <w:t>the</w:t>
      </w:r>
      <w:r w:rsidR="00EE4FC3">
        <w:t xml:space="preserve"> </w:t>
      </w:r>
      <w:r w:rsidRPr="00382917">
        <w:t>water</w:t>
      </w:r>
      <w:r w:rsidR="00EE4FC3">
        <w:t xml:space="preserve"> </w:t>
      </w:r>
      <w:r w:rsidRPr="00382917">
        <w:t>with</w:t>
      </w:r>
      <w:r w:rsidR="00EE4FC3">
        <w:t xml:space="preserve"> </w:t>
      </w:r>
      <w:r w:rsidRPr="00382917">
        <w:t>which</w:t>
      </w:r>
      <w:r w:rsidR="00EE4FC3">
        <w:t xml:space="preserve"> </w:t>
      </w:r>
      <w:r w:rsidRPr="00382917">
        <w:t>He</w:t>
      </w:r>
      <w:r w:rsidR="00EE4FC3">
        <w:t xml:space="preserve"> </w:t>
      </w:r>
      <w:r w:rsidRPr="00382917">
        <w:t>washed</w:t>
      </w:r>
      <w:r w:rsidR="00EE4FC3">
        <w:t xml:space="preserve"> </w:t>
      </w:r>
      <w:r w:rsidRPr="00382917">
        <w:t>Himself</w:t>
      </w:r>
      <w:r w:rsidR="00EE4FC3">
        <w:t xml:space="preserve"> </w:t>
      </w:r>
      <w:r w:rsidRPr="00382917">
        <w:t>would</w:t>
      </w:r>
      <w:r w:rsidR="00EE4FC3">
        <w:t xml:space="preserve"> </w:t>
      </w:r>
      <w:r w:rsidRPr="00382917">
        <w:t>freeze</w:t>
      </w:r>
      <w:r w:rsidR="00EE4FC3">
        <w:t xml:space="preserve"> </w:t>
      </w:r>
      <w:r w:rsidRPr="00382917">
        <w:t>in</w:t>
      </w:r>
      <w:r w:rsidR="00EE4FC3">
        <w:t xml:space="preserve"> </w:t>
      </w:r>
      <w:r w:rsidRPr="00382917">
        <w:t>drops</w:t>
      </w:r>
      <w:r w:rsidR="00EE4FC3">
        <w:t xml:space="preserve"> </w:t>
      </w:r>
      <w:r w:rsidRPr="00382917">
        <w:t>upon</w:t>
      </w:r>
      <w:r w:rsidR="00EE4FC3">
        <w:t xml:space="preserve"> </w:t>
      </w:r>
      <w:r w:rsidRPr="00382917">
        <w:t>His</w:t>
      </w:r>
      <w:r w:rsidR="00EE4FC3">
        <w:t xml:space="preserve"> </w:t>
      </w:r>
      <w:r w:rsidRPr="00382917">
        <w:t>face.</w:t>
      </w:r>
    </w:p>
    <w:p w:rsidR="00540E31" w:rsidRPr="00382917" w:rsidRDefault="00540E31" w:rsidP="001357CC">
      <w:pPr>
        <w:pStyle w:val="Text"/>
      </w:pPr>
      <w:r w:rsidRPr="00382917">
        <w:t>It</w:t>
      </w:r>
      <w:r w:rsidR="00EE4FC3">
        <w:t xml:space="preserve"> </w:t>
      </w:r>
      <w:r w:rsidRPr="00382917">
        <w:t>was</w:t>
      </w:r>
      <w:r w:rsidR="00EE4FC3">
        <w:t xml:space="preserve"> </w:t>
      </w:r>
      <w:r w:rsidRPr="00382917">
        <w:t>during</w:t>
      </w:r>
      <w:r w:rsidR="00EE4FC3">
        <w:t xml:space="preserve"> </w:t>
      </w:r>
      <w:r w:rsidRPr="00382917">
        <w:t>this</w:t>
      </w:r>
      <w:r w:rsidR="00EE4FC3">
        <w:t xml:space="preserve"> </w:t>
      </w:r>
      <w:r w:rsidRPr="00382917">
        <w:t>time</w:t>
      </w:r>
      <w:r w:rsidR="00EE4FC3">
        <w:t xml:space="preserve"> </w:t>
      </w:r>
      <w:r w:rsidRPr="00382917">
        <w:t>that</w:t>
      </w:r>
      <w:r w:rsidR="00EE4FC3">
        <w:t xml:space="preserve"> </w:t>
      </w:r>
      <w:r w:rsidRPr="00382917">
        <w:t>Mullá</w:t>
      </w:r>
      <w:r w:rsidR="00EE4FC3">
        <w:t xml:space="preserve"> </w:t>
      </w:r>
      <w:r w:rsidR="00964C11" w:rsidRPr="00382917">
        <w:t>Ḥusayn</w:t>
      </w:r>
      <w:r w:rsidR="00EE4FC3">
        <w:t xml:space="preserve"> </w:t>
      </w:r>
      <w:r w:rsidRPr="00382917">
        <w:t>decided</w:t>
      </w:r>
      <w:r w:rsidR="00EE4FC3">
        <w:t xml:space="preserve"> </w:t>
      </w:r>
      <w:r w:rsidRPr="00382917">
        <w:t>to</w:t>
      </w:r>
      <w:r w:rsidR="00EE4FC3">
        <w:t xml:space="preserve"> </w:t>
      </w:r>
      <w:r w:rsidRPr="00382917">
        <w:t>visit</w:t>
      </w:r>
      <w:r w:rsidR="00EE4FC3">
        <w:t xml:space="preserve"> </w:t>
      </w:r>
      <w:r w:rsidRPr="00382917">
        <w:t>Him</w:t>
      </w:r>
      <w:r w:rsidR="00EE4FC3">
        <w:t xml:space="preserve"> </w:t>
      </w:r>
      <w:r w:rsidRPr="00382917">
        <w:t>at</w:t>
      </w:r>
      <w:r w:rsidR="00EE4FC3">
        <w:t xml:space="preserve"> </w:t>
      </w:r>
      <w:r w:rsidRPr="00382917">
        <w:t>Máh-Kú.</w:t>
      </w:r>
      <w:r w:rsidR="001357CC">
        <w:rPr>
          <w:rStyle w:val="FootnoteReference"/>
        </w:rPr>
        <w:footnoteReference w:id="85"/>
      </w:r>
      <w:r w:rsidR="00EE4FC3">
        <w:t xml:space="preserve">  </w:t>
      </w:r>
      <w:r w:rsidRPr="00382917">
        <w:t>He</w:t>
      </w:r>
      <w:r w:rsidR="00EE4FC3">
        <w:t xml:space="preserve"> </w:t>
      </w:r>
      <w:r w:rsidRPr="00382917">
        <w:t>had</w:t>
      </w:r>
      <w:r w:rsidR="00EE4FC3">
        <w:t xml:space="preserve"> </w:t>
      </w:r>
      <w:r w:rsidRPr="00382917">
        <w:t>been</w:t>
      </w:r>
      <w:r w:rsidR="00EE4FC3">
        <w:t xml:space="preserve"> </w:t>
      </w:r>
      <w:r w:rsidRPr="00382917">
        <w:t>teaching</w:t>
      </w:r>
      <w:r w:rsidR="00EE4FC3">
        <w:t xml:space="preserve"> </w:t>
      </w:r>
      <w:r w:rsidRPr="00382917">
        <w:t>the</w:t>
      </w:r>
      <w:r w:rsidR="00EE4FC3">
        <w:t xml:space="preserve"> </w:t>
      </w:r>
      <w:r w:rsidRPr="00382917">
        <w:t>Cause</w:t>
      </w:r>
      <w:r w:rsidR="00EE4FC3">
        <w:t xml:space="preserve"> </w:t>
      </w:r>
      <w:r w:rsidRPr="00382917">
        <w:t>industriously</w:t>
      </w:r>
      <w:r w:rsidR="00EE4FC3">
        <w:t xml:space="preserve"> </w:t>
      </w:r>
      <w:r w:rsidRPr="00382917">
        <w:t>in</w:t>
      </w:r>
      <w:r w:rsidR="00EE4FC3">
        <w:t xml:space="preserve"> </w:t>
      </w:r>
      <w:r w:rsidRPr="00382917">
        <w:t>the</w:t>
      </w:r>
      <w:r w:rsidR="00EE4FC3">
        <w:t xml:space="preserve"> </w:t>
      </w:r>
      <w:r w:rsidRPr="00382917">
        <w:t>city</w:t>
      </w:r>
      <w:r w:rsidR="00EE4FC3">
        <w:t xml:space="preserve"> </w:t>
      </w:r>
      <w:r w:rsidRPr="00382917">
        <w:t>of</w:t>
      </w:r>
      <w:r w:rsidR="00EE4FC3">
        <w:t xml:space="preserve"> </w:t>
      </w:r>
      <w:r w:rsidR="008A0ADC" w:rsidRPr="00382917">
        <w:t>Ma</w:t>
      </w:r>
      <w:r w:rsidR="008A0ADC" w:rsidRPr="008A0ADC">
        <w:rPr>
          <w:u w:val="single"/>
        </w:rPr>
        <w:t>sh</w:t>
      </w:r>
      <w:r w:rsidR="008A0ADC" w:rsidRPr="00382917">
        <w:t>had</w:t>
      </w:r>
      <w:r w:rsidRPr="00382917">
        <w:t>,</w:t>
      </w:r>
      <w:r w:rsidR="00EE4FC3">
        <w:t xml:space="preserve"> </w:t>
      </w:r>
      <w:r w:rsidRPr="00382917">
        <w:t>greatest</w:t>
      </w:r>
      <w:r w:rsidR="00EE4FC3">
        <w:t xml:space="preserve"> </w:t>
      </w:r>
      <w:proofErr w:type="spellStart"/>
      <w:r w:rsidRPr="00382917">
        <w:t>center</w:t>
      </w:r>
      <w:proofErr w:type="spellEnd"/>
      <w:r w:rsidR="00EE4FC3">
        <w:t xml:space="preserve"> </w:t>
      </w:r>
      <w:r w:rsidRPr="00382917">
        <w:t>of</w:t>
      </w:r>
      <w:r w:rsidR="00EE4FC3">
        <w:t xml:space="preserve"> </w:t>
      </w:r>
      <w:r w:rsidRPr="00382917">
        <w:t>pilgrimage</w:t>
      </w:r>
      <w:r w:rsidR="00EE4FC3">
        <w:t xml:space="preserve"> </w:t>
      </w:r>
      <w:r w:rsidRPr="00382917">
        <w:t>in</w:t>
      </w:r>
      <w:r w:rsidR="00EE4FC3">
        <w:t xml:space="preserve"> </w:t>
      </w:r>
      <w:r w:rsidRPr="00382917">
        <w:t>all</w:t>
      </w:r>
      <w:r w:rsidR="00EE4FC3">
        <w:t xml:space="preserve"> </w:t>
      </w:r>
      <w:r w:rsidRPr="00382917">
        <w:t>Persia</w:t>
      </w:r>
      <w:r w:rsidR="00C03C91">
        <w:t>.</w:t>
      </w:r>
      <w:r w:rsidR="00EE4FC3">
        <w:t xml:space="preserve">  </w:t>
      </w:r>
      <w:r w:rsidRPr="00382917">
        <w:t>Half</w:t>
      </w:r>
      <w:r w:rsidR="00EE4FC3">
        <w:t xml:space="preserve"> </w:t>
      </w:r>
      <w:r w:rsidRPr="00382917">
        <w:t>of</w:t>
      </w:r>
      <w:r w:rsidR="00EE4FC3">
        <w:t xml:space="preserve"> </w:t>
      </w:r>
      <w:r w:rsidRPr="00382917">
        <w:t>the</w:t>
      </w:r>
      <w:r w:rsidR="00EE4FC3">
        <w:t xml:space="preserve"> </w:t>
      </w:r>
      <w:r w:rsidRPr="00382917">
        <w:t>city</w:t>
      </w:r>
      <w:r w:rsidR="00EE4FC3">
        <w:t xml:space="preserve"> </w:t>
      </w:r>
      <w:r w:rsidRPr="00382917">
        <w:t>derived</w:t>
      </w:r>
      <w:r w:rsidR="00EE4FC3">
        <w:t xml:space="preserve"> </w:t>
      </w:r>
      <w:r w:rsidRPr="00382917">
        <w:t>its</w:t>
      </w:r>
      <w:r w:rsidR="00EE4FC3">
        <w:t xml:space="preserve"> </w:t>
      </w:r>
      <w:r w:rsidRPr="00382917">
        <w:t>living</w:t>
      </w:r>
      <w:r w:rsidR="00EE4FC3">
        <w:t xml:space="preserve"> </w:t>
      </w:r>
      <w:r w:rsidRPr="00382917">
        <w:t>from</w:t>
      </w:r>
      <w:r w:rsidR="00EE4FC3">
        <w:t xml:space="preserve"> </w:t>
      </w:r>
      <w:r w:rsidRPr="00382917">
        <w:t>the</w:t>
      </w:r>
      <w:r w:rsidR="00EE4FC3">
        <w:t xml:space="preserve"> </w:t>
      </w:r>
      <w:r w:rsidRPr="00382917">
        <w:t>flow</w:t>
      </w:r>
      <w:r w:rsidR="00EE4FC3">
        <w:t xml:space="preserve"> </w:t>
      </w:r>
      <w:r w:rsidRPr="00382917">
        <w:t>of</w:t>
      </w:r>
      <w:r w:rsidR="00EE4FC3">
        <w:t xml:space="preserve"> </w:t>
      </w:r>
      <w:r w:rsidRPr="00382917">
        <w:t>visitors</w:t>
      </w:r>
      <w:r w:rsidR="00C03C91">
        <w:t>.</w:t>
      </w:r>
      <w:r w:rsidR="00EE4FC3">
        <w:t xml:space="preserve">  </w:t>
      </w:r>
      <w:r w:rsidRPr="00382917">
        <w:t>All</w:t>
      </w:r>
      <w:r w:rsidR="00EE4FC3">
        <w:t xml:space="preserve"> </w:t>
      </w:r>
      <w:r w:rsidRPr="00382917">
        <w:t>these</w:t>
      </w:r>
      <w:r w:rsidR="00EE4FC3">
        <w:t xml:space="preserve"> </w:t>
      </w:r>
      <w:r w:rsidRPr="00382917">
        <w:t>people</w:t>
      </w:r>
      <w:r w:rsidR="00EE4FC3">
        <w:t xml:space="preserve"> </w:t>
      </w:r>
      <w:r w:rsidRPr="00382917">
        <w:t>were</w:t>
      </w:r>
      <w:r w:rsidR="00EE4FC3">
        <w:t xml:space="preserve"> </w:t>
      </w:r>
      <w:r w:rsidRPr="00382917">
        <w:t>now</w:t>
      </w:r>
      <w:r w:rsidR="00EE4FC3">
        <w:t xml:space="preserve"> </w:t>
      </w:r>
      <w:r w:rsidRPr="00382917">
        <w:t>joined</w:t>
      </w:r>
      <w:r w:rsidR="00EE4FC3">
        <w:t xml:space="preserve"> </w:t>
      </w:r>
      <w:r w:rsidRPr="00382917">
        <w:t>together</w:t>
      </w:r>
      <w:r w:rsidR="00EE4FC3">
        <w:t xml:space="preserve"> </w:t>
      </w:r>
      <w:r w:rsidRPr="00382917">
        <w:t>against</w:t>
      </w:r>
      <w:r w:rsidR="00EE4FC3">
        <w:t xml:space="preserve"> </w:t>
      </w:r>
      <w:r w:rsidRPr="00382917">
        <w:t>this</w:t>
      </w:r>
      <w:r w:rsidR="00EE4FC3">
        <w:t xml:space="preserve"> </w:t>
      </w:r>
      <w:r w:rsidRPr="00382917">
        <w:t>teacher</w:t>
      </w:r>
      <w:r w:rsidR="00EE4FC3">
        <w:t xml:space="preserve"> </w:t>
      </w:r>
      <w:r w:rsidRPr="00382917">
        <w:t>who</w:t>
      </w:r>
      <w:r w:rsidR="00EE4FC3">
        <w:t xml:space="preserve"> </w:t>
      </w:r>
      <w:r w:rsidRPr="00382917">
        <w:t>might</w:t>
      </w:r>
      <w:r w:rsidR="00EE4FC3">
        <w:t xml:space="preserve"> </w:t>
      </w:r>
      <w:r w:rsidRPr="00382917">
        <w:t>possibly</w:t>
      </w:r>
      <w:r w:rsidR="00EE4FC3">
        <w:t xml:space="preserve"> </w:t>
      </w:r>
      <w:r w:rsidRPr="00382917">
        <w:t>deprive</w:t>
      </w:r>
      <w:r w:rsidR="00EE4FC3">
        <w:t xml:space="preserve"> </w:t>
      </w:r>
      <w:r w:rsidRPr="00382917">
        <w:t>them</w:t>
      </w:r>
      <w:r w:rsidR="00EE4FC3">
        <w:t xml:space="preserve"> </w:t>
      </w:r>
      <w:r w:rsidRPr="00382917">
        <w:t>of</w:t>
      </w:r>
      <w:r w:rsidR="00EE4FC3">
        <w:t xml:space="preserve"> </w:t>
      </w:r>
      <w:r w:rsidRPr="00382917">
        <w:t>their</w:t>
      </w:r>
      <w:r w:rsidR="00EE4FC3">
        <w:t xml:space="preserve"> </w:t>
      </w:r>
      <w:r w:rsidRPr="00382917">
        <w:t>livelihood</w:t>
      </w:r>
      <w:r w:rsidR="00C03C91">
        <w:t>.</w:t>
      </w:r>
      <w:r w:rsidR="00EE4FC3">
        <w:t xml:space="preserve">  </w:t>
      </w:r>
      <w:r w:rsidRPr="00382917">
        <w:t>To</w:t>
      </w:r>
      <w:r w:rsidR="00EE4FC3">
        <w:t xml:space="preserve"> </w:t>
      </w:r>
      <w:r w:rsidRPr="00382917">
        <w:t>denounce</w:t>
      </w:r>
      <w:r w:rsidR="00EE4FC3">
        <w:t xml:space="preserve"> </w:t>
      </w:r>
      <w:r w:rsidRPr="00382917">
        <w:t>abuses</w:t>
      </w:r>
      <w:r w:rsidR="00EE4FC3">
        <w:t xml:space="preserve"> </w:t>
      </w:r>
      <w:r w:rsidRPr="00382917">
        <w:t>of</w:t>
      </w:r>
      <w:r w:rsidR="00EE4FC3">
        <w:t xml:space="preserve"> </w:t>
      </w:r>
      <w:r w:rsidRPr="00382917">
        <w:t>religion</w:t>
      </w:r>
      <w:r w:rsidR="00EE4FC3">
        <w:t xml:space="preserve"> </w:t>
      </w:r>
      <w:r w:rsidRPr="00382917">
        <w:t>might</w:t>
      </w:r>
      <w:r w:rsidR="00EE4FC3">
        <w:t xml:space="preserve"> </w:t>
      </w:r>
      <w:r w:rsidRPr="00382917">
        <w:t>be</w:t>
      </w:r>
      <w:r w:rsidR="00EE4FC3">
        <w:t xml:space="preserve"> </w:t>
      </w:r>
      <w:r w:rsidRPr="00382917">
        <w:t>all</w:t>
      </w:r>
      <w:r w:rsidR="00EE4FC3">
        <w:t xml:space="preserve"> </w:t>
      </w:r>
      <w:r w:rsidRPr="00382917">
        <w:t>right</w:t>
      </w:r>
      <w:r w:rsidR="00EE4FC3">
        <w:t xml:space="preserve"> </w:t>
      </w:r>
      <w:r w:rsidRPr="00382917">
        <w:t>in</w:t>
      </w:r>
      <w:r w:rsidR="00EE4FC3">
        <w:t xml:space="preserve"> </w:t>
      </w:r>
      <w:r w:rsidRPr="00382917">
        <w:t>any</w:t>
      </w:r>
      <w:r w:rsidR="00EE4FC3">
        <w:t xml:space="preserve"> </w:t>
      </w:r>
      <w:r w:rsidRPr="00382917">
        <w:t>other</w:t>
      </w:r>
      <w:r w:rsidR="00EE4FC3">
        <w:t xml:space="preserve"> </w:t>
      </w:r>
      <w:r w:rsidRPr="00382917">
        <w:t>city,</w:t>
      </w:r>
      <w:r w:rsidR="00EE4FC3">
        <w:t xml:space="preserve"> </w:t>
      </w:r>
      <w:r w:rsidRPr="00382917">
        <w:t>they</w:t>
      </w:r>
      <w:r w:rsidR="00EE4FC3">
        <w:t xml:space="preserve"> </w:t>
      </w:r>
      <w:r w:rsidRPr="00382917">
        <w:t>said,</w:t>
      </w:r>
      <w:r w:rsidR="00EE4FC3">
        <w:t xml:space="preserve"> </w:t>
      </w:r>
      <w:r w:rsidRPr="00382917">
        <w:t>but</w:t>
      </w:r>
      <w:r w:rsidR="00EE4FC3">
        <w:t xml:space="preserve"> </w:t>
      </w:r>
      <w:r w:rsidRPr="00382917">
        <w:t>it</w:t>
      </w:r>
      <w:r w:rsidR="00EE4FC3">
        <w:t xml:space="preserve"> </w:t>
      </w:r>
      <w:r w:rsidRPr="00382917">
        <w:t>was</w:t>
      </w:r>
      <w:r w:rsidR="00EE4FC3">
        <w:t xml:space="preserve"> </w:t>
      </w:r>
      <w:r w:rsidRPr="00382917">
        <w:t>certainly</w:t>
      </w:r>
      <w:r w:rsidR="00EE4FC3">
        <w:t xml:space="preserve"> </w:t>
      </w:r>
      <w:r w:rsidRPr="00382917">
        <w:t>improper</w:t>
      </w:r>
      <w:r w:rsidR="00EE4FC3">
        <w:t xml:space="preserve"> </w:t>
      </w:r>
      <w:r w:rsidRPr="00382917">
        <w:t>to</w:t>
      </w:r>
      <w:r w:rsidR="00EE4FC3">
        <w:t xml:space="preserve"> </w:t>
      </w:r>
      <w:r w:rsidRPr="00382917">
        <w:t>denounce</w:t>
      </w:r>
      <w:r w:rsidR="00EE4FC3">
        <w:t xml:space="preserve"> </w:t>
      </w:r>
      <w:r w:rsidRPr="00382917">
        <w:t>them</w:t>
      </w:r>
      <w:r w:rsidR="00EE4FC3">
        <w:t xml:space="preserve"> </w:t>
      </w:r>
      <w:r w:rsidRPr="00382917">
        <w:t>in</w:t>
      </w:r>
      <w:r w:rsidR="00EE4FC3">
        <w:t xml:space="preserve"> </w:t>
      </w:r>
      <w:r w:rsidR="008A0ADC" w:rsidRPr="00382917">
        <w:t>Ma</w:t>
      </w:r>
      <w:r w:rsidR="008A0ADC" w:rsidRPr="008A0ADC">
        <w:rPr>
          <w:u w:val="single"/>
        </w:rPr>
        <w:t>sh</w:t>
      </w:r>
      <w:r w:rsidR="008A0ADC" w:rsidRPr="00382917">
        <w:t>had</w:t>
      </w:r>
      <w:r w:rsidR="00EE4FC3">
        <w:t xml:space="preserve"> </w:t>
      </w:r>
      <w:r w:rsidRPr="00382917">
        <w:t>where</w:t>
      </w:r>
      <w:r w:rsidR="00EE4FC3">
        <w:t xml:space="preserve"> </w:t>
      </w:r>
      <w:r w:rsidRPr="00382917">
        <w:t>everyone</w:t>
      </w:r>
      <w:r w:rsidR="00EE4FC3">
        <w:t xml:space="preserve"> </w:t>
      </w:r>
      <w:r w:rsidRPr="00382917">
        <w:t>of</w:t>
      </w:r>
      <w:r w:rsidR="00EE4FC3">
        <w:t xml:space="preserve"> </w:t>
      </w:r>
      <w:r w:rsidRPr="00382917">
        <w:t>every</w:t>
      </w:r>
      <w:r w:rsidR="00EE4FC3">
        <w:t xml:space="preserve"> </w:t>
      </w:r>
      <w:r w:rsidRPr="00382917">
        <w:t>class</w:t>
      </w:r>
      <w:r w:rsidR="00EE4FC3">
        <w:t xml:space="preserve"> </w:t>
      </w:r>
      <w:r w:rsidRPr="00382917">
        <w:t>was</w:t>
      </w:r>
      <w:r w:rsidR="00EE4FC3">
        <w:t xml:space="preserve"> </w:t>
      </w:r>
      <w:r w:rsidRPr="00382917">
        <w:t>thriving</w:t>
      </w:r>
      <w:r w:rsidR="00EE4FC3">
        <w:t xml:space="preserve"> </w:t>
      </w:r>
      <w:r w:rsidRPr="00382917">
        <w:t>upon</w:t>
      </w:r>
      <w:r w:rsidR="00EE4FC3">
        <w:t xml:space="preserve"> </w:t>
      </w:r>
      <w:r w:rsidRPr="00382917">
        <w:t>them</w:t>
      </w:r>
      <w:r w:rsidR="00C03C91">
        <w:t>.</w:t>
      </w:r>
      <w:r w:rsidR="00EE4FC3">
        <w:t xml:space="preserve">  </w:t>
      </w:r>
      <w:r w:rsidRPr="00382917">
        <w:t>It</w:t>
      </w:r>
      <w:r w:rsidR="00EE4FC3">
        <w:t xml:space="preserve"> </w:t>
      </w:r>
      <w:r w:rsidRPr="00382917">
        <w:t>was</w:t>
      </w:r>
      <w:r w:rsidR="00EE4FC3">
        <w:t xml:space="preserve"> </w:t>
      </w:r>
      <w:r w:rsidRPr="00382917">
        <w:t>all</w:t>
      </w:r>
      <w:r w:rsidR="00EE4FC3">
        <w:t xml:space="preserve"> </w:t>
      </w:r>
      <w:r w:rsidRPr="00382917">
        <w:t>very</w:t>
      </w:r>
      <w:r w:rsidR="00EE4FC3">
        <w:t xml:space="preserve"> </w:t>
      </w:r>
      <w:r w:rsidRPr="00382917">
        <w:t>well</w:t>
      </w:r>
      <w:r w:rsidR="00EE4FC3">
        <w:t xml:space="preserve"> </w:t>
      </w:r>
      <w:r w:rsidRPr="00382917">
        <w:t>for</w:t>
      </w:r>
      <w:r w:rsidR="00EE4FC3">
        <w:t xml:space="preserve"> </w:t>
      </w:r>
      <w:r w:rsidRPr="00382917">
        <w:t>the</w:t>
      </w:r>
      <w:r w:rsidR="00EE4FC3">
        <w:t xml:space="preserve"> </w:t>
      </w:r>
      <w:r w:rsidRPr="00382917">
        <w:t>Promised</w:t>
      </w:r>
      <w:r w:rsidR="00EE4FC3">
        <w:t xml:space="preserve"> </w:t>
      </w:r>
      <w:r w:rsidRPr="00382917">
        <w:t>One</w:t>
      </w:r>
      <w:r w:rsidR="00EE4FC3">
        <w:t xml:space="preserve"> </w:t>
      </w:r>
      <w:r w:rsidRPr="00382917">
        <w:t>to</w:t>
      </w:r>
      <w:r w:rsidR="00EE4FC3">
        <w:t xml:space="preserve"> </w:t>
      </w:r>
      <w:r w:rsidRPr="00382917">
        <w:t>come,</w:t>
      </w:r>
      <w:r w:rsidR="00EE4FC3">
        <w:t xml:space="preserve"> </w:t>
      </w:r>
      <w:r w:rsidRPr="00382917">
        <w:t>and</w:t>
      </w:r>
      <w:r w:rsidR="00EE4FC3">
        <w:t xml:space="preserve"> </w:t>
      </w:r>
      <w:r w:rsidRPr="00382917">
        <w:t>perhaps</w:t>
      </w:r>
      <w:r w:rsidR="00EE4FC3">
        <w:t xml:space="preserve"> </w:t>
      </w:r>
      <w:r w:rsidRPr="00382917">
        <w:t>He</w:t>
      </w:r>
      <w:r w:rsidR="00EE4FC3">
        <w:t xml:space="preserve"> </w:t>
      </w:r>
      <w:r w:rsidRPr="00382917">
        <w:t>had</w:t>
      </w:r>
      <w:r w:rsidR="00EE4FC3">
        <w:t xml:space="preserve"> </w:t>
      </w:r>
      <w:r w:rsidRPr="00382917">
        <w:t>the</w:t>
      </w:r>
      <w:r w:rsidR="00EE4FC3">
        <w:t xml:space="preserve"> </w:t>
      </w:r>
      <w:r w:rsidRPr="00382917">
        <w:t>right,</w:t>
      </w:r>
      <w:r w:rsidR="00EE4FC3">
        <w:t xml:space="preserve"> </w:t>
      </w:r>
      <w:r w:rsidRPr="00382917">
        <w:t>but</w:t>
      </w:r>
      <w:r w:rsidR="00EE4FC3">
        <w:t xml:space="preserve"> </w:t>
      </w:r>
      <w:r w:rsidRPr="00382917">
        <w:t>He</w:t>
      </w:r>
      <w:r w:rsidR="00EE4FC3">
        <w:t xml:space="preserve"> </w:t>
      </w:r>
      <w:r w:rsidRPr="00382917">
        <w:t>certainly</w:t>
      </w:r>
      <w:r w:rsidR="00EE4FC3">
        <w:t xml:space="preserve"> </w:t>
      </w:r>
      <w:r w:rsidRPr="00382917">
        <w:t>was</w:t>
      </w:r>
      <w:r w:rsidR="00EE4FC3">
        <w:t xml:space="preserve"> </w:t>
      </w:r>
      <w:r w:rsidRPr="00382917">
        <w:t>a</w:t>
      </w:r>
      <w:r w:rsidR="00EE4FC3">
        <w:t xml:space="preserve"> </w:t>
      </w:r>
      <w:r w:rsidRPr="00382917">
        <w:t>public</w:t>
      </w:r>
      <w:r w:rsidR="00EE4FC3">
        <w:t xml:space="preserve"> </w:t>
      </w:r>
      <w:r w:rsidRPr="00382917">
        <w:t>nuisance</w:t>
      </w:r>
      <w:r w:rsidR="00C03C91">
        <w:t>.</w:t>
      </w:r>
      <w:r w:rsidR="00EE4FC3">
        <w:t xml:space="preserve">  </w:t>
      </w:r>
      <w:r w:rsidRPr="00382917">
        <w:t>Mullá</w:t>
      </w:r>
      <w:r w:rsidR="00EE4FC3">
        <w:t xml:space="preserve"> </w:t>
      </w:r>
      <w:r w:rsidR="00964C11" w:rsidRPr="00382917">
        <w:t>Ḥusayn</w:t>
      </w:r>
      <w:r w:rsidR="00EE4FC3">
        <w:t xml:space="preserve"> </w:t>
      </w:r>
      <w:r w:rsidRPr="00382917">
        <w:t>was</w:t>
      </w:r>
      <w:r w:rsidR="00EE4FC3">
        <w:t xml:space="preserve"> </w:t>
      </w:r>
      <w:r w:rsidRPr="00382917">
        <w:t>told</w:t>
      </w:r>
      <w:r w:rsidR="00EE4FC3">
        <w:t xml:space="preserve"> </w:t>
      </w:r>
      <w:r w:rsidRPr="00382917">
        <w:t>plainly,</w:t>
      </w:r>
      <w:r w:rsidR="00EE4FC3">
        <w:t xml:space="preserve"> </w:t>
      </w:r>
      <w:r w:rsidRPr="00382917">
        <w:t>by</w:t>
      </w:r>
      <w:r w:rsidR="00EE4FC3">
        <w:t xml:space="preserve"> </w:t>
      </w:r>
      <w:r w:rsidRPr="00382917">
        <w:t>actions</w:t>
      </w:r>
      <w:r w:rsidR="00EE4FC3">
        <w:t xml:space="preserve"> </w:t>
      </w:r>
      <w:r w:rsidRPr="00382917">
        <w:t>as</w:t>
      </w:r>
      <w:r w:rsidR="00EE4FC3">
        <w:t xml:space="preserve"> </w:t>
      </w:r>
      <w:r w:rsidRPr="00382917">
        <w:t>well</w:t>
      </w:r>
      <w:r w:rsidR="00EE4FC3">
        <w:t xml:space="preserve"> </w:t>
      </w:r>
      <w:r w:rsidRPr="00382917">
        <w:t>as</w:t>
      </w:r>
      <w:r w:rsidR="00EE4FC3">
        <w:t xml:space="preserve"> </w:t>
      </w:r>
      <w:r w:rsidRPr="00382917">
        <w:t>words,</w:t>
      </w:r>
      <w:r w:rsidR="00EE4FC3">
        <w:t xml:space="preserve"> </w:t>
      </w:r>
      <w:r w:rsidRPr="00382917">
        <w:t>that</w:t>
      </w:r>
      <w:r w:rsidR="00EE4FC3">
        <w:t xml:space="preserve"> </w:t>
      </w:r>
      <w:r w:rsidRPr="00382917">
        <w:t>it</w:t>
      </w:r>
      <w:r w:rsidR="00EE4FC3">
        <w:t xml:space="preserve"> </w:t>
      </w:r>
      <w:r w:rsidRPr="00382917">
        <w:t>might</w:t>
      </w:r>
      <w:r w:rsidR="00EE4FC3">
        <w:t xml:space="preserve"> </w:t>
      </w:r>
      <w:r w:rsidRPr="00382917">
        <w:t>be</w:t>
      </w:r>
      <w:r w:rsidR="00EE4FC3">
        <w:t xml:space="preserve"> </w:t>
      </w:r>
      <w:r w:rsidRPr="00382917">
        <w:t>very</w:t>
      </w:r>
      <w:r w:rsidR="00EE4FC3">
        <w:t xml:space="preserve"> </w:t>
      </w:r>
      <w:r w:rsidRPr="00382917">
        <w:t>thrilling</w:t>
      </w:r>
      <w:r w:rsidR="00EE4FC3">
        <w:t xml:space="preserve"> </w:t>
      </w:r>
      <w:r w:rsidRPr="00382917">
        <w:t>to</w:t>
      </w:r>
      <w:r w:rsidR="00EE4FC3">
        <w:t xml:space="preserve"> </w:t>
      </w:r>
      <w:r w:rsidRPr="00382917">
        <w:t>undertake</w:t>
      </w:r>
      <w:r w:rsidR="00EE4FC3">
        <w:t xml:space="preserve"> </w:t>
      </w:r>
      <w:r w:rsidRPr="00382917">
        <w:t>the</w:t>
      </w:r>
      <w:r w:rsidR="00EE4FC3">
        <w:t xml:space="preserve"> </w:t>
      </w:r>
      <w:r w:rsidRPr="00382917">
        <w:t>conquest</w:t>
      </w:r>
      <w:r w:rsidR="00EE4FC3">
        <w:t xml:space="preserve"> </w:t>
      </w:r>
      <w:r w:rsidRPr="00382917">
        <w:t>of</w:t>
      </w:r>
      <w:r w:rsidR="00EE4FC3">
        <w:t xml:space="preserve"> </w:t>
      </w:r>
      <w:r w:rsidRPr="00382917">
        <w:t>the</w:t>
      </w:r>
      <w:r w:rsidR="00EE4FC3">
        <w:t xml:space="preserve"> </w:t>
      </w:r>
      <w:r w:rsidRPr="00382917">
        <w:t>world</w:t>
      </w:r>
      <w:r w:rsidR="00EE4FC3">
        <w:t xml:space="preserve"> </w:t>
      </w:r>
      <w:r w:rsidRPr="00382917">
        <w:t>with</w:t>
      </w:r>
      <w:r w:rsidR="00EE4FC3">
        <w:t xml:space="preserve"> </w:t>
      </w:r>
      <w:r w:rsidRPr="00382917">
        <w:t>the</w:t>
      </w:r>
      <w:r w:rsidR="00EE4FC3">
        <w:t xml:space="preserve"> </w:t>
      </w:r>
      <w:r w:rsidRPr="00382917">
        <w:t>Báb,</w:t>
      </w:r>
      <w:r w:rsidR="00EE4FC3">
        <w:t xml:space="preserve"> </w:t>
      </w:r>
      <w:r w:rsidRPr="00382917">
        <w:t>but</w:t>
      </w:r>
      <w:r w:rsidR="00EE4FC3">
        <w:t xml:space="preserve"> </w:t>
      </w:r>
      <w:r w:rsidRPr="00382917">
        <w:t>there</w:t>
      </w:r>
      <w:r w:rsidR="00EE4FC3">
        <w:t xml:space="preserve"> </w:t>
      </w:r>
      <w:r w:rsidRPr="00382917">
        <w:t>was</w:t>
      </w:r>
      <w:r w:rsidR="00EE4FC3">
        <w:t xml:space="preserve"> </w:t>
      </w:r>
      <w:r w:rsidRPr="00382917">
        <w:t>a</w:t>
      </w:r>
      <w:r w:rsidR="00EE4FC3">
        <w:t xml:space="preserve"> </w:t>
      </w:r>
      <w:r w:rsidRPr="00382917">
        <w:t>big</w:t>
      </w:r>
      <w:r w:rsidR="00EE4FC3">
        <w:t xml:space="preserve"> </w:t>
      </w:r>
      <w:r w:rsidRPr="00382917">
        <w:t>risk</w:t>
      </w:r>
      <w:r w:rsidR="00EE4FC3">
        <w:t xml:space="preserve"> </w:t>
      </w:r>
      <w:r w:rsidRPr="00382917">
        <w:t>involved,</w:t>
      </w:r>
      <w:r w:rsidR="00EE4FC3">
        <w:t xml:space="preserve"> </w:t>
      </w:r>
      <w:r w:rsidRPr="00382917">
        <w:t>not</w:t>
      </w:r>
      <w:r w:rsidR="00EE4FC3">
        <w:t xml:space="preserve"> </w:t>
      </w:r>
      <w:r w:rsidRPr="00382917">
        <w:t>to</w:t>
      </w:r>
      <w:r w:rsidR="00EE4FC3">
        <w:t xml:space="preserve"> </w:t>
      </w:r>
      <w:r w:rsidRPr="00382917">
        <w:t>mention</w:t>
      </w:r>
      <w:r w:rsidR="00EE4FC3">
        <w:t xml:space="preserve"> </w:t>
      </w:r>
      <w:r w:rsidRPr="00382917">
        <w:t>fatigue</w:t>
      </w:r>
      <w:r w:rsidR="00EE4FC3">
        <w:t xml:space="preserve"> </w:t>
      </w:r>
      <w:r w:rsidRPr="00382917">
        <w:t>and</w:t>
      </w:r>
      <w:r w:rsidR="00EE4FC3">
        <w:t xml:space="preserve"> </w:t>
      </w:r>
      <w:r w:rsidRPr="00382917">
        <w:t>danger,</w:t>
      </w:r>
      <w:r w:rsidR="00EE4FC3">
        <w:t xml:space="preserve"> </w:t>
      </w:r>
      <w:r w:rsidRPr="00382917">
        <w:t>especially</w:t>
      </w:r>
      <w:r w:rsidR="00EE4FC3">
        <w:t xml:space="preserve"> </w:t>
      </w:r>
      <w:r w:rsidRPr="00382917">
        <w:t>now,</w:t>
      </w:r>
      <w:r w:rsidR="00EE4FC3">
        <w:t xml:space="preserve"> </w:t>
      </w:r>
      <w:r w:rsidRPr="00382917">
        <w:t>while</w:t>
      </w:r>
      <w:r w:rsidR="00EE4FC3">
        <w:t xml:space="preserve"> </w:t>
      </w:r>
      <w:r w:rsidRPr="00382917">
        <w:t>everyone</w:t>
      </w:r>
      <w:r w:rsidR="00EE4FC3">
        <w:t xml:space="preserve"> </w:t>
      </w:r>
      <w:r w:rsidRPr="00382917">
        <w:t>was</w:t>
      </w:r>
      <w:r w:rsidR="00EE4FC3">
        <w:t xml:space="preserve"> </w:t>
      </w:r>
      <w:r w:rsidRPr="00382917">
        <w:t>enjoying</w:t>
      </w:r>
      <w:r w:rsidR="00EE4FC3">
        <w:t xml:space="preserve"> </w:t>
      </w:r>
      <w:r w:rsidRPr="00382917">
        <w:t>perfect</w:t>
      </w:r>
      <w:r w:rsidR="00EE4FC3">
        <w:t xml:space="preserve"> </w:t>
      </w:r>
      <w:r w:rsidRPr="00382917">
        <w:t>peace</w:t>
      </w:r>
      <w:r w:rsidR="00EE4FC3">
        <w:t xml:space="preserve"> </w:t>
      </w:r>
      <w:r w:rsidRPr="00382917">
        <w:t>in</w:t>
      </w:r>
      <w:r w:rsidR="00EE4FC3">
        <w:t xml:space="preserve"> </w:t>
      </w:r>
      <w:r w:rsidRPr="00382917">
        <w:t>a</w:t>
      </w:r>
      <w:r w:rsidR="00EE4FC3">
        <w:t xml:space="preserve"> </w:t>
      </w:r>
      <w:r w:rsidRPr="00382917">
        <w:t>fine</w:t>
      </w:r>
      <w:r w:rsidR="00EE4FC3">
        <w:t xml:space="preserve"> </w:t>
      </w:r>
      <w:r w:rsidRPr="00382917">
        <w:t>city</w:t>
      </w:r>
      <w:r w:rsidR="00EE4FC3">
        <w:t xml:space="preserve"> </w:t>
      </w:r>
      <w:r w:rsidRPr="00382917">
        <w:t>where</w:t>
      </w:r>
      <w:r w:rsidR="00EE4FC3">
        <w:t xml:space="preserve"> </w:t>
      </w:r>
      <w:r w:rsidRPr="00382917">
        <w:t>business</w:t>
      </w:r>
      <w:r w:rsidR="00EE4FC3">
        <w:t xml:space="preserve"> </w:t>
      </w:r>
      <w:r w:rsidRPr="00382917">
        <w:t>was</w:t>
      </w:r>
      <w:r w:rsidR="00EE4FC3">
        <w:t xml:space="preserve"> </w:t>
      </w:r>
      <w:r w:rsidRPr="00382917">
        <w:t>good</w:t>
      </w:r>
      <w:r w:rsidR="00EE4FC3">
        <w:t xml:space="preserve"> </w:t>
      </w:r>
      <w:r w:rsidRPr="00382917">
        <w:t>and</w:t>
      </w:r>
      <w:r w:rsidR="00EE4FC3">
        <w:t xml:space="preserve"> </w:t>
      </w:r>
      <w:r w:rsidRPr="00382917">
        <w:t>one</w:t>
      </w:r>
      <w:r w:rsidR="00EE4FC3">
        <w:t xml:space="preserve"> </w:t>
      </w:r>
      <w:r w:rsidRPr="00382917">
        <w:t>could</w:t>
      </w:r>
      <w:r w:rsidR="00EE4FC3">
        <w:t xml:space="preserve"> </w:t>
      </w:r>
      <w:r w:rsidRPr="00382917">
        <w:t>earn</w:t>
      </w:r>
      <w:r w:rsidR="00EE4FC3">
        <w:t xml:space="preserve"> </w:t>
      </w:r>
      <w:r w:rsidRPr="00382917">
        <w:t>a</w:t>
      </w:r>
      <w:r w:rsidR="00EE4FC3">
        <w:t xml:space="preserve"> </w:t>
      </w:r>
      <w:r w:rsidRPr="00382917">
        <w:t>living</w:t>
      </w:r>
      <w:r w:rsidR="00EE4FC3">
        <w:t xml:space="preserve"> </w:t>
      </w:r>
      <w:r w:rsidRPr="00382917">
        <w:t>with</w:t>
      </w:r>
      <w:r w:rsidR="00EE4FC3">
        <w:t xml:space="preserve"> </w:t>
      </w:r>
      <w:r w:rsidRPr="00382917">
        <w:t>ease</w:t>
      </w:r>
      <w:r w:rsidR="00EE4FC3">
        <w:t xml:space="preserve"> </w:t>
      </w:r>
      <w:r w:rsidRPr="00382917">
        <w:t>and</w:t>
      </w:r>
      <w:r w:rsidR="00EE4FC3">
        <w:t xml:space="preserve"> </w:t>
      </w:r>
      <w:r w:rsidRPr="00382917">
        <w:t>security.</w:t>
      </w:r>
    </w:p>
    <w:p w:rsidR="00540E31" w:rsidRPr="00382917" w:rsidRDefault="00540E31" w:rsidP="00665A7A">
      <w:pPr>
        <w:pStyle w:val="Text"/>
      </w:pPr>
      <w:r w:rsidRPr="00382917">
        <w:t>Mullá</w:t>
      </w:r>
      <w:r w:rsidR="00EE4FC3">
        <w:t xml:space="preserve"> </w:t>
      </w:r>
      <w:r w:rsidR="00964C11" w:rsidRPr="00382917">
        <w:t>Ḥusayn</w:t>
      </w:r>
      <w:r w:rsidR="00EE4FC3">
        <w:t xml:space="preserve"> </w:t>
      </w:r>
      <w:r w:rsidRPr="00382917">
        <w:t>abandoned</w:t>
      </w:r>
      <w:r w:rsidR="00EE4FC3">
        <w:t xml:space="preserve"> </w:t>
      </w:r>
      <w:r w:rsidR="008A0ADC" w:rsidRPr="00382917">
        <w:t>Ma</w:t>
      </w:r>
      <w:r w:rsidR="008A0ADC" w:rsidRPr="008A0ADC">
        <w:rPr>
          <w:u w:val="single"/>
        </w:rPr>
        <w:t>sh</w:t>
      </w:r>
      <w:r w:rsidR="008A0ADC" w:rsidRPr="00382917">
        <w:t>had</w:t>
      </w:r>
      <w:r w:rsidR="00EE4FC3">
        <w:t xml:space="preserve"> </w:t>
      </w:r>
      <w:r w:rsidRPr="00382917">
        <w:t>in</w:t>
      </w:r>
      <w:r w:rsidR="00EE4FC3">
        <w:t xml:space="preserve"> </w:t>
      </w:r>
      <w:r w:rsidRPr="00382917">
        <w:t>disgust</w:t>
      </w:r>
      <w:r w:rsidR="00C03C91">
        <w:t>.</w:t>
      </w:r>
      <w:r w:rsidR="00EE4FC3">
        <w:t xml:space="preserve">  </w:t>
      </w:r>
      <w:r w:rsidRPr="00382917">
        <w:t>He</w:t>
      </w:r>
      <w:r w:rsidR="00EE4FC3">
        <w:t xml:space="preserve"> </w:t>
      </w:r>
      <w:r w:rsidRPr="00382917">
        <w:t>was</w:t>
      </w:r>
      <w:r w:rsidR="00EE4FC3">
        <w:t xml:space="preserve"> </w:t>
      </w:r>
      <w:r w:rsidRPr="00382917">
        <w:t>hungry</w:t>
      </w:r>
      <w:r w:rsidR="00EE4FC3">
        <w:t xml:space="preserve"> </w:t>
      </w:r>
      <w:r w:rsidRPr="00382917">
        <w:t>for</w:t>
      </w:r>
      <w:r w:rsidR="00EE4FC3">
        <w:t xml:space="preserve"> </w:t>
      </w:r>
      <w:r w:rsidRPr="00382917">
        <w:t>the</w:t>
      </w:r>
      <w:r w:rsidR="00EE4FC3">
        <w:t xml:space="preserve"> </w:t>
      </w:r>
      <w:r w:rsidRPr="00382917">
        <w:t>pure,</w:t>
      </w:r>
      <w:r w:rsidR="00EE4FC3">
        <w:t xml:space="preserve"> </w:t>
      </w:r>
      <w:r w:rsidRPr="00382917">
        <w:t>holy</w:t>
      </w:r>
      <w:r w:rsidR="00EE4FC3">
        <w:t xml:space="preserve"> </w:t>
      </w:r>
      <w:r w:rsidRPr="00382917">
        <w:t>presence</w:t>
      </w:r>
      <w:r w:rsidR="00EE4FC3">
        <w:t xml:space="preserve"> </w:t>
      </w:r>
      <w:r w:rsidRPr="00382917">
        <w:t>of</w:t>
      </w:r>
      <w:r w:rsidR="00EE4FC3">
        <w:t xml:space="preserve"> </w:t>
      </w:r>
      <w:r w:rsidRPr="00382917">
        <w:t>the</w:t>
      </w:r>
      <w:r w:rsidR="00EE4FC3">
        <w:t xml:space="preserve"> </w:t>
      </w:r>
      <w:r w:rsidRPr="00382917">
        <w:t>Báb</w:t>
      </w:r>
      <w:r w:rsidR="00C03C91">
        <w:t>.</w:t>
      </w:r>
      <w:r w:rsidR="00EE4FC3">
        <w:t xml:space="preserve">  </w:t>
      </w:r>
      <w:r w:rsidRPr="00382917">
        <w:t>He</w:t>
      </w:r>
      <w:r w:rsidR="00EE4FC3">
        <w:t xml:space="preserve"> </w:t>
      </w:r>
      <w:r w:rsidRPr="00382917">
        <w:t>told</w:t>
      </w:r>
      <w:r w:rsidR="00EE4FC3">
        <w:t xml:space="preserve"> </w:t>
      </w:r>
      <w:r w:rsidRPr="00382917">
        <w:t>his</w:t>
      </w:r>
      <w:r w:rsidR="00EE4FC3">
        <w:t xml:space="preserve"> </w:t>
      </w:r>
      <w:r w:rsidRPr="00382917">
        <w:t>friends</w:t>
      </w:r>
      <w:r w:rsidR="00C03C91">
        <w:t>:</w:t>
      </w:r>
      <w:r w:rsidR="00EE4FC3">
        <w:t xml:space="preserve">  </w:t>
      </w:r>
      <w:r w:rsidR="009C713D" w:rsidRPr="00382917">
        <w:t>“</w:t>
      </w:r>
      <w:r w:rsidRPr="00382917">
        <w:t>I</w:t>
      </w:r>
      <w:r w:rsidR="00EE4FC3">
        <w:t xml:space="preserve"> </w:t>
      </w:r>
      <w:r w:rsidRPr="00382917">
        <w:t>have</w:t>
      </w:r>
      <w:r w:rsidR="00EE4FC3">
        <w:t xml:space="preserve"> </w:t>
      </w:r>
      <w:r w:rsidRPr="00382917">
        <w:t>resolved</w:t>
      </w:r>
      <w:r w:rsidR="00EE4FC3">
        <w:t xml:space="preserve"> </w:t>
      </w:r>
      <w:r w:rsidRPr="00382917">
        <w:t>to</w:t>
      </w:r>
      <w:r w:rsidR="00EE4FC3">
        <w:t xml:space="preserve"> </w:t>
      </w:r>
      <w:r w:rsidRPr="00382917">
        <w:t>go</w:t>
      </w:r>
      <w:r w:rsidR="00EE4FC3">
        <w:t xml:space="preserve"> </w:t>
      </w:r>
      <w:r w:rsidRPr="00382917">
        <w:t>on</w:t>
      </w:r>
      <w:r w:rsidR="00EE4FC3">
        <w:t xml:space="preserve"> </w:t>
      </w:r>
      <w:r w:rsidRPr="00382917">
        <w:t>foot</w:t>
      </w:r>
      <w:r w:rsidR="00EE4FC3">
        <w:t xml:space="preserve"> </w:t>
      </w:r>
      <w:r w:rsidRPr="00382917">
        <w:t>the</w:t>
      </w:r>
      <w:r w:rsidR="00EE4FC3">
        <w:t xml:space="preserve"> </w:t>
      </w:r>
      <w:r w:rsidRPr="00382917">
        <w:t>entire</w:t>
      </w:r>
      <w:r w:rsidR="00EE4FC3">
        <w:t xml:space="preserve"> </w:t>
      </w:r>
      <w:r w:rsidRPr="00382917">
        <w:t>distance</w:t>
      </w:r>
      <w:r w:rsidR="00EE4FC3">
        <w:t xml:space="preserve"> </w:t>
      </w:r>
      <w:r w:rsidRPr="00382917">
        <w:t>that</w:t>
      </w:r>
      <w:r w:rsidR="00EE4FC3">
        <w:t xml:space="preserve"> </w:t>
      </w:r>
      <w:r w:rsidRPr="00382917">
        <w:t>separates</w:t>
      </w:r>
      <w:r w:rsidR="00EE4FC3">
        <w:t xml:space="preserve"> </w:t>
      </w:r>
      <w:r w:rsidRPr="00382917">
        <w:t>me</w:t>
      </w:r>
      <w:r w:rsidR="00EE4FC3">
        <w:t xml:space="preserve"> </w:t>
      </w:r>
      <w:r w:rsidRPr="00382917">
        <w:t>from</w:t>
      </w:r>
      <w:r w:rsidR="00EE4FC3">
        <w:t xml:space="preserve"> </w:t>
      </w:r>
      <w:r w:rsidRPr="00382917">
        <w:t>my</w:t>
      </w:r>
      <w:r w:rsidR="00EE4FC3">
        <w:t xml:space="preserve"> </w:t>
      </w:r>
      <w:r w:rsidRPr="00382917">
        <w:t>Beloved</w:t>
      </w:r>
      <w:r w:rsidR="00C03C91">
        <w:t>.</w:t>
      </w:r>
      <w:r w:rsidR="00EE4FC3">
        <w:t xml:space="preserve">  </w:t>
      </w:r>
      <w:r w:rsidRPr="00382917">
        <w:t>I</w:t>
      </w:r>
      <w:r w:rsidR="00EE4FC3">
        <w:t xml:space="preserve"> </w:t>
      </w:r>
      <w:r w:rsidRPr="00382917">
        <w:t>shall</w:t>
      </w:r>
      <w:r w:rsidR="00EE4FC3">
        <w:t xml:space="preserve"> </w:t>
      </w:r>
      <w:r w:rsidRPr="00382917">
        <w:t>not</w:t>
      </w:r>
      <w:r w:rsidR="00EE4FC3">
        <w:t xml:space="preserve"> </w:t>
      </w:r>
      <w:r w:rsidRPr="00382917">
        <w:t>rest</w:t>
      </w:r>
      <w:r w:rsidR="00EE4FC3">
        <w:t xml:space="preserve"> </w:t>
      </w:r>
      <w:r w:rsidRPr="00382917">
        <w:t>until</w:t>
      </w:r>
      <w:r w:rsidR="00EE4FC3">
        <w:t xml:space="preserve"> </w:t>
      </w:r>
      <w:r w:rsidRPr="00382917">
        <w:t>I</w:t>
      </w:r>
      <w:r w:rsidR="00EE4FC3">
        <w:t xml:space="preserve"> </w:t>
      </w:r>
      <w:r w:rsidRPr="00382917">
        <w:t>have</w:t>
      </w:r>
      <w:r w:rsidR="00EE4FC3">
        <w:t xml:space="preserve"> </w:t>
      </w:r>
      <w:r w:rsidRPr="00382917">
        <w:t>reached</w:t>
      </w:r>
      <w:r w:rsidR="00EE4FC3">
        <w:t xml:space="preserve"> </w:t>
      </w:r>
      <w:r w:rsidRPr="00382917">
        <w:t>my</w:t>
      </w:r>
      <w:r w:rsidR="00EE4FC3">
        <w:t xml:space="preserve"> </w:t>
      </w:r>
      <w:r w:rsidRPr="00382917">
        <w:t>destination.</w:t>
      </w:r>
      <w:r w:rsidR="009C713D" w:rsidRPr="00382917">
        <w:t>”</w:t>
      </w:r>
      <w:r w:rsidR="00EE4FC3">
        <w:t xml:space="preserve">  </w:t>
      </w:r>
      <w:r w:rsidRPr="00382917">
        <w:t>Warden</w:t>
      </w:r>
      <w:r w:rsidR="00EE4FC3">
        <w:t xml:space="preserve"> </w:t>
      </w:r>
      <w:r w:rsidR="009C713D" w:rsidRPr="00382917">
        <w:t>‘</w:t>
      </w:r>
      <w:r w:rsidRPr="00382917">
        <w:t>Alí</w:t>
      </w:r>
      <w:r w:rsidR="00EE4FC3">
        <w:t xml:space="preserve"> </w:t>
      </w:r>
      <w:r w:rsidR="0040329F" w:rsidRPr="0040329F">
        <w:rPr>
          <w:u w:val="single"/>
        </w:rPr>
        <w:t>Kh</w:t>
      </w:r>
      <w:r w:rsidR="0040329F" w:rsidRPr="00382917">
        <w:t>án</w:t>
      </w:r>
      <w:r w:rsidR="00EE4FC3">
        <w:t xml:space="preserve"> </w:t>
      </w:r>
      <w:r w:rsidRPr="00382917">
        <w:t>saw</w:t>
      </w:r>
      <w:r w:rsidR="00EE4FC3">
        <w:t xml:space="preserve"> </w:t>
      </w:r>
      <w:r w:rsidRPr="00382917">
        <w:t>Mullá</w:t>
      </w:r>
      <w:r w:rsidR="00EE4FC3">
        <w:t xml:space="preserve"> </w:t>
      </w:r>
      <w:r w:rsidR="00964C11" w:rsidRPr="00382917">
        <w:t>Ḥusayn</w:t>
      </w:r>
      <w:r w:rsidR="00EE4FC3">
        <w:t xml:space="preserve"> </w:t>
      </w:r>
      <w:r w:rsidRPr="00382917">
        <w:t>approaching</w:t>
      </w:r>
      <w:r w:rsidR="00EE4FC3">
        <w:t xml:space="preserve"> </w:t>
      </w:r>
      <w:r w:rsidRPr="00382917">
        <w:t>Máh-Kú</w:t>
      </w:r>
      <w:r w:rsidR="00EE4FC3">
        <w:t xml:space="preserve"> </w:t>
      </w:r>
      <w:r w:rsidRPr="00382917">
        <w:t>one</w:t>
      </w:r>
    </w:p>
    <w:p w:rsidR="00540E31" w:rsidRPr="00382917" w:rsidRDefault="00540E31">
      <w:pPr>
        <w:widowControl/>
        <w:kinsoku/>
        <w:overflowPunct/>
        <w:textAlignment w:val="auto"/>
      </w:pPr>
      <w:r w:rsidRPr="00382917">
        <w:br w:type="page"/>
      </w:r>
    </w:p>
    <w:p w:rsidR="00806330" w:rsidRPr="00382917" w:rsidRDefault="00806330" w:rsidP="00806330">
      <w:pPr>
        <w:pStyle w:val="Textcts"/>
      </w:pPr>
      <w:proofErr w:type="gramStart"/>
      <w:r w:rsidRPr="00382917">
        <w:t>morning</w:t>
      </w:r>
      <w:proofErr w:type="gramEnd"/>
      <w:r w:rsidR="00EE4FC3">
        <w:t xml:space="preserve"> </w:t>
      </w:r>
      <w:r w:rsidRPr="00382917">
        <w:t>at</w:t>
      </w:r>
      <w:r w:rsidR="00EE4FC3">
        <w:t xml:space="preserve"> </w:t>
      </w:r>
      <w:r w:rsidRPr="00382917">
        <w:t>sun-up</w:t>
      </w:r>
      <w:r w:rsidR="00C03C91">
        <w:t>.</w:t>
      </w:r>
      <w:r w:rsidR="00EE4FC3">
        <w:t xml:space="preserve">  </w:t>
      </w:r>
      <w:r w:rsidRPr="00382917">
        <w:t>He</w:t>
      </w:r>
      <w:r w:rsidR="00EE4FC3">
        <w:t xml:space="preserve"> </w:t>
      </w:r>
      <w:r w:rsidRPr="00382917">
        <w:t>went</w:t>
      </w:r>
      <w:r w:rsidR="00EE4FC3">
        <w:t xml:space="preserve"> </w:t>
      </w:r>
      <w:r w:rsidRPr="00382917">
        <w:t>out</w:t>
      </w:r>
      <w:r w:rsidR="00EE4FC3">
        <w:t xml:space="preserve"> </w:t>
      </w:r>
      <w:r w:rsidRPr="00382917">
        <w:t>to</w:t>
      </w:r>
      <w:r w:rsidR="00EE4FC3">
        <w:t xml:space="preserve"> </w:t>
      </w:r>
      <w:r w:rsidRPr="00382917">
        <w:t>greet</w:t>
      </w:r>
      <w:r w:rsidR="00EE4FC3">
        <w:t xml:space="preserve"> </w:t>
      </w:r>
      <w:r w:rsidRPr="00382917">
        <w:t>him,</w:t>
      </w:r>
      <w:r w:rsidR="00EE4FC3">
        <w:t xml:space="preserve"> </w:t>
      </w:r>
      <w:r w:rsidRPr="00382917">
        <w:t>bringing</w:t>
      </w:r>
      <w:r w:rsidR="00EE4FC3">
        <w:t xml:space="preserve"> </w:t>
      </w:r>
      <w:r w:rsidRPr="00382917">
        <w:t>a</w:t>
      </w:r>
      <w:r w:rsidR="00EE4FC3">
        <w:t xml:space="preserve"> </w:t>
      </w:r>
      <w:r w:rsidRPr="00382917">
        <w:t>horse</w:t>
      </w:r>
      <w:r w:rsidR="00EE4FC3">
        <w:t xml:space="preserve"> </w:t>
      </w:r>
      <w:r w:rsidRPr="00382917">
        <w:t>so</w:t>
      </w:r>
      <w:r w:rsidR="00EE4FC3">
        <w:t xml:space="preserve"> </w:t>
      </w:r>
      <w:r w:rsidRPr="00382917">
        <w:t>that</w:t>
      </w:r>
      <w:r w:rsidR="00EE4FC3">
        <w:t xml:space="preserve"> </w:t>
      </w:r>
      <w:r w:rsidRPr="00382917">
        <w:t>he</w:t>
      </w:r>
      <w:r w:rsidR="00EE4FC3">
        <w:t xml:space="preserve"> </w:t>
      </w:r>
      <w:r w:rsidRPr="00382917">
        <w:t>might</w:t>
      </w:r>
      <w:r w:rsidR="00EE4FC3">
        <w:t xml:space="preserve"> </w:t>
      </w:r>
      <w:r w:rsidRPr="00382917">
        <w:t>finish</w:t>
      </w:r>
      <w:r w:rsidR="00EE4FC3">
        <w:t xml:space="preserve"> </w:t>
      </w:r>
      <w:r w:rsidRPr="00382917">
        <w:t>the</w:t>
      </w:r>
      <w:r w:rsidR="00EE4FC3">
        <w:t xml:space="preserve"> </w:t>
      </w:r>
      <w:r w:rsidRPr="00382917">
        <w:t>final</w:t>
      </w:r>
      <w:r w:rsidR="00EE4FC3">
        <w:t xml:space="preserve"> </w:t>
      </w:r>
      <w:r w:rsidRPr="00382917">
        <w:t>stage</w:t>
      </w:r>
      <w:r w:rsidR="00EE4FC3">
        <w:t xml:space="preserve"> </w:t>
      </w:r>
      <w:r w:rsidRPr="00382917">
        <w:t>of</w:t>
      </w:r>
      <w:r w:rsidR="00EE4FC3">
        <w:t xml:space="preserve"> </w:t>
      </w:r>
      <w:r w:rsidRPr="00382917">
        <w:t>his</w:t>
      </w:r>
      <w:r w:rsidR="00EE4FC3">
        <w:t xml:space="preserve"> </w:t>
      </w:r>
      <w:r w:rsidRPr="00382917">
        <w:t>journey</w:t>
      </w:r>
      <w:r w:rsidR="00EE4FC3">
        <w:t xml:space="preserve"> </w:t>
      </w:r>
      <w:r w:rsidRPr="00382917">
        <w:t>in</w:t>
      </w:r>
      <w:r w:rsidR="00EE4FC3">
        <w:t xml:space="preserve"> </w:t>
      </w:r>
      <w:r w:rsidRPr="00382917">
        <w:t>ease.</w:t>
      </w:r>
    </w:p>
    <w:p w:rsidR="00806330" w:rsidRPr="00382917" w:rsidRDefault="00806330" w:rsidP="00806330">
      <w:pPr>
        <w:pStyle w:val="Text"/>
      </w:pPr>
      <w:r w:rsidRPr="00382917">
        <w:t>Mullá</w:t>
      </w:r>
      <w:r w:rsidR="00EE4FC3">
        <w:t xml:space="preserve"> </w:t>
      </w:r>
      <w:r w:rsidR="00964C11" w:rsidRPr="00382917">
        <w:t>Ḥusayn</w:t>
      </w:r>
      <w:r w:rsidR="00EE4FC3">
        <w:t xml:space="preserve"> </w:t>
      </w:r>
      <w:r w:rsidRPr="00382917">
        <w:t>refused</w:t>
      </w:r>
      <w:r w:rsidR="00EE4FC3">
        <w:t xml:space="preserve"> </w:t>
      </w:r>
      <w:r w:rsidRPr="00382917">
        <w:t>the</w:t>
      </w:r>
      <w:r w:rsidR="00EE4FC3">
        <w:t xml:space="preserve"> </w:t>
      </w:r>
      <w:r w:rsidRPr="00382917">
        <w:t>mount</w:t>
      </w:r>
      <w:r w:rsidR="00C03C91">
        <w:t>.</w:t>
      </w:r>
      <w:r w:rsidR="00EE4FC3">
        <w:t xml:space="preserve">  </w:t>
      </w:r>
      <w:r w:rsidR="009C713D" w:rsidRPr="00382917">
        <w:t>“</w:t>
      </w:r>
      <w:r w:rsidRPr="00382917">
        <w:t>No,</w:t>
      </w:r>
      <w:r w:rsidR="009C713D" w:rsidRPr="00382917">
        <w:t>”</w:t>
      </w:r>
      <w:r w:rsidR="00EE4FC3">
        <w:t xml:space="preserve"> </w:t>
      </w:r>
      <w:r w:rsidRPr="00382917">
        <w:t>he</w:t>
      </w:r>
      <w:r w:rsidR="00EE4FC3">
        <w:t xml:space="preserve"> </w:t>
      </w:r>
      <w:r w:rsidRPr="00382917">
        <w:t>said,</w:t>
      </w:r>
      <w:r w:rsidR="00EE4FC3">
        <w:t xml:space="preserve"> </w:t>
      </w:r>
      <w:r w:rsidR="009C713D" w:rsidRPr="00382917">
        <w:t>“</w:t>
      </w:r>
      <w:r w:rsidRPr="00382917">
        <w:t>I</w:t>
      </w:r>
      <w:r w:rsidR="00EE4FC3">
        <w:t xml:space="preserve"> </w:t>
      </w:r>
      <w:r w:rsidRPr="00382917">
        <w:t>have</w:t>
      </w:r>
      <w:r w:rsidR="00EE4FC3">
        <w:t xml:space="preserve"> </w:t>
      </w:r>
      <w:r w:rsidRPr="00382917">
        <w:t>vowed</w:t>
      </w:r>
      <w:r w:rsidR="00EE4FC3">
        <w:t xml:space="preserve"> </w:t>
      </w:r>
      <w:r w:rsidRPr="00382917">
        <w:t>to</w:t>
      </w:r>
      <w:r w:rsidR="00EE4FC3">
        <w:t xml:space="preserve"> </w:t>
      </w:r>
      <w:r w:rsidRPr="00382917">
        <w:t>accomplish</w:t>
      </w:r>
      <w:r w:rsidR="00EE4FC3">
        <w:t xml:space="preserve"> </w:t>
      </w:r>
      <w:r w:rsidRPr="00382917">
        <w:t>the</w:t>
      </w:r>
      <w:r w:rsidR="00EE4FC3">
        <w:t xml:space="preserve"> </w:t>
      </w:r>
      <w:r w:rsidRPr="00382917">
        <w:t>entire</w:t>
      </w:r>
      <w:r w:rsidR="00EE4FC3">
        <w:t xml:space="preserve"> </w:t>
      </w:r>
      <w:r w:rsidRPr="00382917">
        <w:t>journey</w:t>
      </w:r>
      <w:r w:rsidR="00EE4FC3">
        <w:t xml:space="preserve"> </w:t>
      </w:r>
      <w:r w:rsidRPr="00382917">
        <w:t>on</w:t>
      </w:r>
      <w:r w:rsidR="00EE4FC3">
        <w:t xml:space="preserve"> </w:t>
      </w:r>
      <w:r w:rsidRPr="00382917">
        <w:t>foot</w:t>
      </w:r>
      <w:r w:rsidR="00C03C91">
        <w:t>.</w:t>
      </w:r>
      <w:r w:rsidR="00EE4FC3">
        <w:t xml:space="preserve">  </w:t>
      </w:r>
      <w:r w:rsidRPr="00382917">
        <w:t>I</w:t>
      </w:r>
      <w:r w:rsidR="00EE4FC3">
        <w:t xml:space="preserve"> </w:t>
      </w:r>
      <w:r w:rsidRPr="00382917">
        <w:t>will</w:t>
      </w:r>
      <w:r w:rsidR="00EE4FC3">
        <w:t xml:space="preserve"> </w:t>
      </w:r>
      <w:r w:rsidRPr="00382917">
        <w:t>walk</w:t>
      </w:r>
      <w:r w:rsidR="00EE4FC3">
        <w:t xml:space="preserve"> </w:t>
      </w:r>
      <w:r w:rsidRPr="00382917">
        <w:t>to</w:t>
      </w:r>
      <w:r w:rsidR="00EE4FC3">
        <w:t xml:space="preserve"> </w:t>
      </w:r>
      <w:r w:rsidRPr="00382917">
        <w:t>the</w:t>
      </w:r>
      <w:r w:rsidR="00EE4FC3">
        <w:t xml:space="preserve"> </w:t>
      </w:r>
      <w:r w:rsidRPr="00382917">
        <w:t>summit</w:t>
      </w:r>
      <w:r w:rsidR="00EE4FC3">
        <w:t xml:space="preserve"> </w:t>
      </w:r>
      <w:r w:rsidRPr="00382917">
        <w:t>of</w:t>
      </w:r>
      <w:r w:rsidR="00EE4FC3">
        <w:t xml:space="preserve"> </w:t>
      </w:r>
      <w:r w:rsidRPr="00382917">
        <w:t>this</w:t>
      </w:r>
      <w:r w:rsidR="00EE4FC3">
        <w:t xml:space="preserve"> </w:t>
      </w:r>
      <w:r w:rsidRPr="00382917">
        <w:t>mountain</w:t>
      </w:r>
      <w:r w:rsidR="00EE4FC3">
        <w:t xml:space="preserve"> </w:t>
      </w:r>
      <w:r w:rsidRPr="00382917">
        <w:t>and</w:t>
      </w:r>
      <w:r w:rsidR="00EE4FC3">
        <w:t xml:space="preserve"> </w:t>
      </w:r>
      <w:r w:rsidRPr="00382917">
        <w:t>will</w:t>
      </w:r>
      <w:r w:rsidR="00EE4FC3">
        <w:t xml:space="preserve"> </w:t>
      </w:r>
      <w:r w:rsidRPr="00382917">
        <w:t>there</w:t>
      </w:r>
      <w:r w:rsidR="00EE4FC3">
        <w:t xml:space="preserve"> </w:t>
      </w:r>
      <w:r w:rsidRPr="00382917">
        <w:t>visit</w:t>
      </w:r>
      <w:r w:rsidR="00EE4FC3">
        <w:t xml:space="preserve"> </w:t>
      </w:r>
      <w:r w:rsidRPr="00382917">
        <w:t>your</w:t>
      </w:r>
      <w:r w:rsidR="00EE4FC3">
        <w:t xml:space="preserve"> </w:t>
      </w:r>
      <w:r w:rsidRPr="00382917">
        <w:t>Prisoner.</w:t>
      </w:r>
      <w:r w:rsidR="009C713D" w:rsidRPr="00382917">
        <w:t>”</w:t>
      </w:r>
    </w:p>
    <w:p w:rsidR="00806330" w:rsidRPr="00382917" w:rsidRDefault="00806330" w:rsidP="00806330">
      <w:pPr>
        <w:pStyle w:val="Text"/>
      </w:pPr>
      <w:r w:rsidRPr="00382917">
        <w:t>When</w:t>
      </w:r>
      <w:r w:rsidR="00EE4FC3">
        <w:t xml:space="preserve"> </w:t>
      </w:r>
      <w:r w:rsidRPr="00382917">
        <w:t>Mullá</w:t>
      </w:r>
      <w:r w:rsidR="00EE4FC3">
        <w:t xml:space="preserve"> </w:t>
      </w:r>
      <w:r w:rsidR="00964C11" w:rsidRPr="00382917">
        <w:t>Ḥusayn</w:t>
      </w:r>
      <w:r w:rsidR="00EE4FC3">
        <w:t xml:space="preserve"> </w:t>
      </w:r>
      <w:r w:rsidRPr="00382917">
        <w:t>reached</w:t>
      </w:r>
      <w:r w:rsidR="00EE4FC3">
        <w:t xml:space="preserve"> </w:t>
      </w:r>
      <w:r w:rsidRPr="00382917">
        <w:t>the</w:t>
      </w:r>
      <w:r w:rsidR="00EE4FC3">
        <w:t xml:space="preserve"> </w:t>
      </w:r>
      <w:r w:rsidRPr="00382917">
        <w:t>gate</w:t>
      </w:r>
      <w:r w:rsidR="00EE4FC3">
        <w:t xml:space="preserve"> </w:t>
      </w:r>
      <w:r w:rsidRPr="00382917">
        <w:t>of</w:t>
      </w:r>
      <w:r w:rsidR="00EE4FC3">
        <w:t xml:space="preserve"> </w:t>
      </w:r>
      <w:r w:rsidRPr="00382917">
        <w:t>the</w:t>
      </w:r>
      <w:r w:rsidR="00EE4FC3">
        <w:t xml:space="preserve"> </w:t>
      </w:r>
      <w:r w:rsidRPr="00382917">
        <w:t>prison</w:t>
      </w:r>
      <w:r w:rsidR="00EE4FC3">
        <w:t xml:space="preserve"> </w:t>
      </w:r>
      <w:r w:rsidRPr="00382917">
        <w:t>he</w:t>
      </w:r>
      <w:r w:rsidR="00EE4FC3">
        <w:t xml:space="preserve"> </w:t>
      </w:r>
      <w:r w:rsidRPr="00382917">
        <w:t>saw</w:t>
      </w:r>
      <w:r w:rsidR="00EE4FC3">
        <w:t xml:space="preserve"> </w:t>
      </w:r>
      <w:r w:rsidRPr="00382917">
        <w:t>the</w:t>
      </w:r>
      <w:r w:rsidR="00EE4FC3">
        <w:t xml:space="preserve"> </w:t>
      </w:r>
      <w:r w:rsidRPr="00382917">
        <w:t>Báb</w:t>
      </w:r>
      <w:r w:rsidR="00EE4FC3">
        <w:t xml:space="preserve"> </w:t>
      </w:r>
      <w:r w:rsidRPr="00382917">
        <w:t>standing</w:t>
      </w:r>
      <w:r w:rsidR="00EE4FC3">
        <w:t xml:space="preserve"> </w:t>
      </w:r>
      <w:r w:rsidRPr="00382917">
        <w:t>at</w:t>
      </w:r>
      <w:r w:rsidR="00EE4FC3">
        <w:t xml:space="preserve"> </w:t>
      </w:r>
      <w:r w:rsidRPr="00382917">
        <w:t>the</w:t>
      </w:r>
      <w:r w:rsidR="00EE4FC3">
        <w:t xml:space="preserve"> </w:t>
      </w:r>
      <w:r w:rsidRPr="00382917">
        <w:t>threshold</w:t>
      </w:r>
      <w:r w:rsidR="00C03C91">
        <w:t>.</w:t>
      </w:r>
      <w:r w:rsidR="00EE4FC3">
        <w:t xml:space="preserve">  </w:t>
      </w:r>
      <w:r w:rsidRPr="00382917">
        <w:t>The</w:t>
      </w:r>
      <w:r w:rsidR="00EE4FC3">
        <w:t xml:space="preserve"> </w:t>
      </w:r>
      <w:r w:rsidRPr="00382917">
        <w:t>Báb</w:t>
      </w:r>
      <w:r w:rsidR="00EE4FC3">
        <w:t xml:space="preserve"> </w:t>
      </w:r>
      <w:r w:rsidRPr="00382917">
        <w:t>stretched</w:t>
      </w:r>
      <w:r w:rsidR="00EE4FC3">
        <w:t xml:space="preserve"> </w:t>
      </w:r>
      <w:r w:rsidRPr="00382917">
        <w:t>forth</w:t>
      </w:r>
      <w:r w:rsidR="00EE4FC3">
        <w:t xml:space="preserve"> </w:t>
      </w:r>
      <w:r w:rsidRPr="00382917">
        <w:t>His</w:t>
      </w:r>
      <w:r w:rsidR="00EE4FC3">
        <w:t xml:space="preserve"> </w:t>
      </w:r>
      <w:r w:rsidRPr="00382917">
        <w:t>arms</w:t>
      </w:r>
      <w:r w:rsidR="00EE4FC3">
        <w:t xml:space="preserve"> </w:t>
      </w:r>
      <w:r w:rsidRPr="00382917">
        <w:t>and</w:t>
      </w:r>
      <w:r w:rsidR="00EE4FC3">
        <w:t xml:space="preserve"> </w:t>
      </w:r>
      <w:r w:rsidRPr="00382917">
        <w:t>affectionately</w:t>
      </w:r>
      <w:r w:rsidR="00EE4FC3">
        <w:t xml:space="preserve"> </w:t>
      </w:r>
      <w:r w:rsidRPr="00382917">
        <w:t>embraced</w:t>
      </w:r>
      <w:r w:rsidR="00EE4FC3">
        <w:t xml:space="preserve"> </w:t>
      </w:r>
      <w:r w:rsidRPr="00382917">
        <w:t>him.</w:t>
      </w:r>
    </w:p>
    <w:p w:rsidR="00806330" w:rsidRPr="00382917" w:rsidRDefault="00806330" w:rsidP="00806330">
      <w:pPr>
        <w:pStyle w:val="Text"/>
      </w:pPr>
      <w:r w:rsidRPr="00382917">
        <w:t>One</w:t>
      </w:r>
      <w:r w:rsidR="00EE4FC3">
        <w:t xml:space="preserve"> </w:t>
      </w:r>
      <w:r w:rsidRPr="00382917">
        <w:t>day</w:t>
      </w:r>
      <w:r w:rsidR="00EE4FC3">
        <w:t xml:space="preserve"> </w:t>
      </w:r>
      <w:r w:rsidRPr="00382917">
        <w:t>as</w:t>
      </w:r>
      <w:r w:rsidR="00EE4FC3">
        <w:t xml:space="preserve"> </w:t>
      </w:r>
      <w:r w:rsidRPr="00382917">
        <w:t>they</w:t>
      </w:r>
      <w:r w:rsidR="00EE4FC3">
        <w:t xml:space="preserve"> </w:t>
      </w:r>
      <w:r w:rsidRPr="00382917">
        <w:t>stood</w:t>
      </w:r>
      <w:r w:rsidR="00EE4FC3">
        <w:t xml:space="preserve"> </w:t>
      </w:r>
      <w:r w:rsidRPr="00382917">
        <w:t>together</w:t>
      </w:r>
      <w:r w:rsidR="00EE4FC3">
        <w:t xml:space="preserve"> </w:t>
      </w:r>
      <w:r w:rsidRPr="00382917">
        <w:t>on</w:t>
      </w:r>
      <w:r w:rsidR="00EE4FC3">
        <w:t xml:space="preserve"> </w:t>
      </w:r>
      <w:r w:rsidRPr="00382917">
        <w:t>the</w:t>
      </w:r>
      <w:r w:rsidR="00EE4FC3">
        <w:t xml:space="preserve"> </w:t>
      </w:r>
      <w:r w:rsidRPr="00382917">
        <w:t>roof</w:t>
      </w:r>
      <w:r w:rsidR="00EE4FC3">
        <w:t xml:space="preserve"> </w:t>
      </w:r>
      <w:r w:rsidRPr="00382917">
        <w:t>of</w:t>
      </w:r>
      <w:r w:rsidR="00EE4FC3">
        <w:t xml:space="preserve"> </w:t>
      </w:r>
      <w:r w:rsidRPr="00382917">
        <w:t>the</w:t>
      </w:r>
      <w:r w:rsidR="00EE4FC3">
        <w:t xml:space="preserve"> </w:t>
      </w:r>
      <w:r w:rsidRPr="00382917">
        <w:t>prison</w:t>
      </w:r>
      <w:r w:rsidR="00EE4FC3">
        <w:t xml:space="preserve"> </w:t>
      </w:r>
      <w:r w:rsidRPr="00382917">
        <w:t>looking</w:t>
      </w:r>
      <w:r w:rsidR="00EE4FC3">
        <w:t xml:space="preserve"> </w:t>
      </w:r>
      <w:r w:rsidRPr="00382917">
        <w:t>out</w:t>
      </w:r>
      <w:r w:rsidR="00EE4FC3">
        <w:t xml:space="preserve"> </w:t>
      </w:r>
      <w:r w:rsidRPr="00382917">
        <w:t>over</w:t>
      </w:r>
      <w:r w:rsidR="00EE4FC3">
        <w:t xml:space="preserve"> </w:t>
      </w:r>
      <w:r w:rsidRPr="00382917">
        <w:t>the</w:t>
      </w:r>
      <w:r w:rsidR="00EE4FC3">
        <w:t xml:space="preserve"> </w:t>
      </w:r>
      <w:r w:rsidRPr="00382917">
        <w:t>mountains</w:t>
      </w:r>
      <w:r w:rsidR="00EE4FC3">
        <w:t xml:space="preserve"> </w:t>
      </w:r>
      <w:r w:rsidRPr="00382917">
        <w:t>of</w:t>
      </w:r>
      <w:r w:rsidR="00EE4FC3">
        <w:t xml:space="preserve"> </w:t>
      </w:r>
      <w:r w:rsidR="008A0ADC" w:rsidRPr="00382917">
        <w:t>Á</w:t>
      </w:r>
      <w:r w:rsidR="008A0ADC" w:rsidRPr="008A0ADC">
        <w:rPr>
          <w:u w:val="single"/>
        </w:rPr>
        <w:t>dh</w:t>
      </w:r>
      <w:r w:rsidR="008A0ADC" w:rsidRPr="00382917">
        <w:t>irbáyján</w:t>
      </w:r>
      <w:r w:rsidRPr="00382917">
        <w:t>,</w:t>
      </w:r>
      <w:r w:rsidR="00EE4FC3">
        <w:t xml:space="preserve"> </w:t>
      </w:r>
      <w:r w:rsidRPr="00382917">
        <w:t>the</w:t>
      </w:r>
      <w:r w:rsidR="00EE4FC3">
        <w:t xml:space="preserve"> </w:t>
      </w:r>
      <w:r w:rsidRPr="00382917">
        <w:t>Báb</w:t>
      </w:r>
      <w:r w:rsidR="00EE4FC3">
        <w:t xml:space="preserve"> </w:t>
      </w:r>
      <w:r w:rsidRPr="00382917">
        <w:t>quoted</w:t>
      </w:r>
      <w:r w:rsidR="00EE4FC3">
        <w:t xml:space="preserve"> </w:t>
      </w:r>
      <w:r w:rsidRPr="00382917">
        <w:t>the</w:t>
      </w:r>
      <w:r w:rsidR="00EE4FC3">
        <w:t xml:space="preserve"> </w:t>
      </w:r>
      <w:r w:rsidRPr="00382917">
        <w:t>following</w:t>
      </w:r>
      <w:r w:rsidR="00EE4FC3">
        <w:t xml:space="preserve"> </w:t>
      </w:r>
      <w:r w:rsidRPr="00382917">
        <w:t>prophecy</w:t>
      </w:r>
      <w:r w:rsidR="00EE4FC3">
        <w:t xml:space="preserve"> </w:t>
      </w:r>
      <w:r w:rsidRPr="00382917">
        <w:t>to</w:t>
      </w:r>
      <w:r w:rsidR="00EE4FC3">
        <w:t xml:space="preserve"> </w:t>
      </w:r>
      <w:r w:rsidRPr="00382917">
        <w:t>Mullá</w:t>
      </w:r>
      <w:r w:rsidR="00EE4FC3">
        <w:t xml:space="preserve"> </w:t>
      </w:r>
      <w:r w:rsidR="00964C11" w:rsidRPr="00382917">
        <w:t>Ḥusayn</w:t>
      </w:r>
      <w:r w:rsidR="00C03C91">
        <w:t>:</w:t>
      </w:r>
      <w:r w:rsidR="00EE4FC3">
        <w:t xml:space="preserve">  </w:t>
      </w:r>
      <w:r w:rsidR="009C713D" w:rsidRPr="00382917">
        <w:t>“</w:t>
      </w:r>
      <w:r w:rsidRPr="00382917">
        <w:t>The</w:t>
      </w:r>
      <w:r w:rsidR="00EE4FC3">
        <w:t xml:space="preserve"> </w:t>
      </w:r>
      <w:r w:rsidRPr="00382917">
        <w:t>things</w:t>
      </w:r>
      <w:r w:rsidR="00EE4FC3">
        <w:t xml:space="preserve"> </w:t>
      </w:r>
      <w:r w:rsidRPr="00382917">
        <w:t>which</w:t>
      </w:r>
      <w:r w:rsidR="00EE4FC3">
        <w:t xml:space="preserve"> </w:t>
      </w:r>
      <w:r w:rsidRPr="00382917">
        <w:t>will</w:t>
      </w:r>
      <w:r w:rsidR="00EE4FC3">
        <w:t xml:space="preserve"> </w:t>
      </w:r>
      <w:r w:rsidRPr="00382917">
        <w:t>happen</w:t>
      </w:r>
      <w:r w:rsidR="00EE4FC3">
        <w:t xml:space="preserve"> </w:t>
      </w:r>
      <w:r w:rsidRPr="00382917">
        <w:t>in</w:t>
      </w:r>
      <w:r w:rsidR="00EE4FC3">
        <w:t xml:space="preserve"> </w:t>
      </w:r>
      <w:r w:rsidR="008A0ADC" w:rsidRPr="00382917">
        <w:t>Á</w:t>
      </w:r>
      <w:r w:rsidR="008A0ADC" w:rsidRPr="008A0ADC">
        <w:rPr>
          <w:u w:val="single"/>
        </w:rPr>
        <w:t>dh</w:t>
      </w:r>
      <w:r w:rsidR="008A0ADC" w:rsidRPr="00382917">
        <w:t>irbáyján</w:t>
      </w:r>
      <w:r w:rsidR="00EE4FC3">
        <w:t xml:space="preserve"> </w:t>
      </w:r>
      <w:r w:rsidRPr="00382917">
        <w:t>are</w:t>
      </w:r>
      <w:r w:rsidR="00EE4FC3">
        <w:t xml:space="preserve"> </w:t>
      </w:r>
      <w:r w:rsidRPr="00382917">
        <w:t>necessary</w:t>
      </w:r>
      <w:r w:rsidR="00EE4FC3">
        <w:t xml:space="preserve"> </w:t>
      </w:r>
      <w:r w:rsidRPr="00382917">
        <w:t>for</w:t>
      </w:r>
      <w:r w:rsidR="00EE4FC3">
        <w:t xml:space="preserve"> </w:t>
      </w:r>
      <w:r w:rsidRPr="00382917">
        <w:t>us,</w:t>
      </w:r>
      <w:r w:rsidR="00EE4FC3">
        <w:t xml:space="preserve"> </w:t>
      </w:r>
      <w:r w:rsidRPr="00382917">
        <w:t>nothing</w:t>
      </w:r>
      <w:r w:rsidR="00EE4FC3">
        <w:t xml:space="preserve"> </w:t>
      </w:r>
      <w:r w:rsidRPr="00382917">
        <w:t>can</w:t>
      </w:r>
      <w:r w:rsidR="00EE4FC3">
        <w:t xml:space="preserve"> </w:t>
      </w:r>
      <w:r w:rsidRPr="00382917">
        <w:t>prevent</w:t>
      </w:r>
      <w:r w:rsidR="00EE4FC3">
        <w:t xml:space="preserve"> </w:t>
      </w:r>
      <w:r w:rsidRPr="00382917">
        <w:t>their</w:t>
      </w:r>
      <w:r w:rsidR="00EE4FC3">
        <w:t xml:space="preserve"> </w:t>
      </w:r>
      <w:r w:rsidRPr="00382917">
        <w:t>occurrence</w:t>
      </w:r>
      <w:r w:rsidR="00C03C91">
        <w:t>.</w:t>
      </w:r>
      <w:r w:rsidR="00EE4FC3">
        <w:t xml:space="preserve">  </w:t>
      </w:r>
      <w:r w:rsidRPr="00382917">
        <w:t>Remain</w:t>
      </w:r>
      <w:r w:rsidR="00EE4FC3">
        <w:t xml:space="preserve"> </w:t>
      </w:r>
      <w:r w:rsidRPr="00382917">
        <w:t>therefore</w:t>
      </w:r>
      <w:r w:rsidR="00EE4FC3">
        <w:t xml:space="preserve"> </w:t>
      </w:r>
      <w:r w:rsidRPr="00382917">
        <w:t>in</w:t>
      </w:r>
      <w:r w:rsidR="00EE4FC3">
        <w:t xml:space="preserve"> </w:t>
      </w:r>
      <w:r w:rsidRPr="00382917">
        <w:t>your</w:t>
      </w:r>
      <w:r w:rsidR="00EE4FC3">
        <w:t xml:space="preserve"> </w:t>
      </w:r>
      <w:r w:rsidRPr="00382917">
        <w:t>homes,</w:t>
      </w:r>
      <w:r w:rsidR="00EE4FC3">
        <w:t xml:space="preserve"> </w:t>
      </w:r>
      <w:r w:rsidRPr="00382917">
        <w:t>but</w:t>
      </w:r>
      <w:r w:rsidR="00EE4FC3">
        <w:t xml:space="preserve"> </w:t>
      </w:r>
      <w:r w:rsidRPr="00382917">
        <w:t>if</w:t>
      </w:r>
      <w:r w:rsidR="00EE4FC3">
        <w:t xml:space="preserve"> </w:t>
      </w:r>
      <w:r w:rsidRPr="00382917">
        <w:t>you</w:t>
      </w:r>
      <w:r w:rsidR="00EE4FC3">
        <w:t xml:space="preserve"> </w:t>
      </w:r>
      <w:r w:rsidRPr="00382917">
        <w:t>hear</w:t>
      </w:r>
      <w:r w:rsidR="00EE4FC3">
        <w:t xml:space="preserve"> </w:t>
      </w:r>
      <w:r w:rsidRPr="00382917">
        <w:t>that</w:t>
      </w:r>
      <w:r w:rsidR="00EE4FC3">
        <w:t xml:space="preserve"> </w:t>
      </w:r>
      <w:r w:rsidRPr="00382917">
        <w:t>an</w:t>
      </w:r>
      <w:r w:rsidR="00EE4FC3">
        <w:t xml:space="preserve"> </w:t>
      </w:r>
      <w:r w:rsidRPr="00382917">
        <w:t>agitator</w:t>
      </w:r>
      <w:r w:rsidR="00EE4FC3">
        <w:t xml:space="preserve"> </w:t>
      </w:r>
      <w:r w:rsidRPr="00382917">
        <w:t>has</w:t>
      </w:r>
      <w:r w:rsidR="00EE4FC3">
        <w:t xml:space="preserve"> </w:t>
      </w:r>
      <w:r w:rsidRPr="00382917">
        <w:t>appeared</w:t>
      </w:r>
      <w:r w:rsidR="00EE4FC3">
        <w:t xml:space="preserve"> </w:t>
      </w:r>
      <w:r w:rsidRPr="00382917">
        <w:t>then</w:t>
      </w:r>
      <w:r w:rsidR="00EE4FC3">
        <w:t xml:space="preserve"> </w:t>
      </w:r>
      <w:r w:rsidRPr="00382917">
        <w:t>hasten</w:t>
      </w:r>
      <w:r w:rsidR="00EE4FC3">
        <w:t xml:space="preserve"> </w:t>
      </w:r>
      <w:r w:rsidRPr="00382917">
        <w:t>towards</w:t>
      </w:r>
      <w:r w:rsidR="00EE4FC3">
        <w:t xml:space="preserve"> </w:t>
      </w:r>
      <w:r w:rsidRPr="00382917">
        <w:t>him.</w:t>
      </w:r>
      <w:r w:rsidR="009C713D" w:rsidRPr="00382917">
        <w:t>”</w:t>
      </w:r>
    </w:p>
    <w:p w:rsidR="00E13D49" w:rsidRPr="00382917" w:rsidRDefault="00806330" w:rsidP="00806330">
      <w:pPr>
        <w:pStyle w:val="Text"/>
      </w:pPr>
      <w:r w:rsidRPr="00382917">
        <w:t>He</w:t>
      </w:r>
      <w:r w:rsidR="00EE4FC3">
        <w:t xml:space="preserve"> </w:t>
      </w:r>
      <w:r w:rsidRPr="00382917">
        <w:t>turned</w:t>
      </w:r>
      <w:r w:rsidR="00EE4FC3">
        <w:t xml:space="preserve"> </w:t>
      </w:r>
      <w:r w:rsidRPr="00382917">
        <w:t>toward</w:t>
      </w:r>
      <w:r w:rsidR="00EE4FC3">
        <w:t xml:space="preserve"> </w:t>
      </w:r>
      <w:r w:rsidRPr="00382917">
        <w:t>Mullá</w:t>
      </w:r>
      <w:r w:rsidR="00EE4FC3">
        <w:t xml:space="preserve"> </w:t>
      </w:r>
      <w:r w:rsidR="00964C11" w:rsidRPr="00382917">
        <w:t>Ḥusayn</w:t>
      </w:r>
      <w:r w:rsidR="00EE4FC3">
        <w:t xml:space="preserve"> </w:t>
      </w:r>
      <w:r w:rsidRPr="00382917">
        <w:t>and</w:t>
      </w:r>
      <w:r w:rsidR="00EE4FC3">
        <w:t xml:space="preserve"> </w:t>
      </w:r>
      <w:r w:rsidRPr="00382917">
        <w:t>quoted</w:t>
      </w:r>
      <w:r w:rsidR="00EE4FC3">
        <w:t xml:space="preserve"> </w:t>
      </w:r>
      <w:r w:rsidRPr="00382917">
        <w:t>another</w:t>
      </w:r>
      <w:r w:rsidR="00EE4FC3">
        <w:t xml:space="preserve"> </w:t>
      </w:r>
      <w:r w:rsidRPr="00382917">
        <w:t>prophecy,</w:t>
      </w:r>
      <w:r w:rsidR="00EE4FC3">
        <w:t xml:space="preserve"> </w:t>
      </w:r>
      <w:r w:rsidRPr="00382917">
        <w:t>saying</w:t>
      </w:r>
      <w:r w:rsidR="00C03C91">
        <w:t>:</w:t>
      </w:r>
      <w:r w:rsidR="00EE4FC3">
        <w:t xml:space="preserve">  </w:t>
      </w:r>
      <w:r w:rsidR="009C713D" w:rsidRPr="00382917">
        <w:t>“</w:t>
      </w:r>
      <w:r w:rsidRPr="00382917">
        <w:t>The</w:t>
      </w:r>
      <w:r w:rsidR="00EE4FC3">
        <w:t xml:space="preserve"> </w:t>
      </w:r>
      <w:r w:rsidRPr="00382917">
        <w:t>following</w:t>
      </w:r>
      <w:r w:rsidR="00EE4FC3">
        <w:t xml:space="preserve"> </w:t>
      </w:r>
      <w:r w:rsidRPr="00382917">
        <w:t>verse</w:t>
      </w:r>
      <w:r w:rsidR="00EE4FC3">
        <w:t xml:space="preserve"> </w:t>
      </w:r>
      <w:r w:rsidRPr="00382917">
        <w:t>is</w:t>
      </w:r>
      <w:r w:rsidR="00EE4FC3">
        <w:t xml:space="preserve"> </w:t>
      </w:r>
      <w:r w:rsidRPr="00382917">
        <w:t>also</w:t>
      </w:r>
      <w:r w:rsidR="00EE4FC3">
        <w:t xml:space="preserve"> </w:t>
      </w:r>
      <w:r w:rsidRPr="00382917">
        <w:t>divinely</w:t>
      </w:r>
      <w:r w:rsidR="00EE4FC3">
        <w:t xml:space="preserve"> </w:t>
      </w:r>
      <w:r w:rsidRPr="00382917">
        <w:t>inspired</w:t>
      </w:r>
      <w:r w:rsidR="00C03C91">
        <w:t>:</w:t>
      </w:r>
      <w:r w:rsidR="00EE4FC3">
        <w:t xml:space="preserve">  </w:t>
      </w:r>
      <w:r w:rsidR="009C713D" w:rsidRPr="00382917">
        <w:t>‘</w:t>
      </w:r>
      <w:r w:rsidR="008A073E" w:rsidRPr="00382917">
        <w:rPr>
          <w:u w:val="single"/>
        </w:rPr>
        <w:t>Sh</w:t>
      </w:r>
      <w:r w:rsidR="008A073E" w:rsidRPr="00382917">
        <w:t>íráz</w:t>
      </w:r>
      <w:r w:rsidR="00EE4FC3">
        <w:t xml:space="preserve"> </w:t>
      </w:r>
      <w:r w:rsidRPr="00382917">
        <w:t>will</w:t>
      </w:r>
      <w:r w:rsidR="00EE4FC3">
        <w:t xml:space="preserve"> </w:t>
      </w:r>
      <w:r w:rsidRPr="00382917">
        <w:t>be</w:t>
      </w:r>
      <w:r w:rsidR="00EE4FC3">
        <w:t xml:space="preserve"> </w:t>
      </w:r>
      <w:r w:rsidRPr="00382917">
        <w:t>thrown</w:t>
      </w:r>
      <w:r w:rsidR="00EE4FC3">
        <w:t xml:space="preserve"> </w:t>
      </w:r>
      <w:r w:rsidRPr="00382917">
        <w:t>into</w:t>
      </w:r>
      <w:r w:rsidR="00EE4FC3">
        <w:t xml:space="preserve"> </w:t>
      </w:r>
      <w:r w:rsidRPr="00382917">
        <w:t>a</w:t>
      </w:r>
      <w:r w:rsidR="00EE4FC3">
        <w:t xml:space="preserve"> </w:t>
      </w:r>
      <w:r w:rsidRPr="00382917">
        <w:t>tumult;</w:t>
      </w:r>
      <w:r w:rsidR="00EE4FC3">
        <w:t xml:space="preserve"> </w:t>
      </w:r>
      <w:r w:rsidRPr="00382917">
        <w:t>a</w:t>
      </w:r>
      <w:r w:rsidR="00EE4FC3">
        <w:t xml:space="preserve"> </w:t>
      </w:r>
      <w:r w:rsidRPr="00382917">
        <w:t>Youth</w:t>
      </w:r>
      <w:r w:rsidR="00EE4FC3">
        <w:t xml:space="preserve"> </w:t>
      </w:r>
      <w:r w:rsidRPr="00382917">
        <w:t>of</w:t>
      </w:r>
      <w:r w:rsidR="00EE4FC3">
        <w:t xml:space="preserve"> </w:t>
      </w:r>
      <w:r w:rsidRPr="00382917">
        <w:t>sugar-tongue</w:t>
      </w:r>
      <w:r w:rsidR="00EE4FC3">
        <w:t xml:space="preserve"> </w:t>
      </w:r>
      <w:r w:rsidRPr="00382917">
        <w:t>will</w:t>
      </w:r>
      <w:r w:rsidR="00EE4FC3">
        <w:t xml:space="preserve"> </w:t>
      </w:r>
      <w:r w:rsidRPr="00382917">
        <w:t>appear</w:t>
      </w:r>
      <w:r w:rsidR="00C03C91">
        <w:t>.</w:t>
      </w:r>
      <w:r w:rsidR="00EE4FC3">
        <w:t xml:space="preserve">  </w:t>
      </w:r>
      <w:r w:rsidRPr="00382917">
        <w:t>I</w:t>
      </w:r>
      <w:r w:rsidR="00EE4FC3">
        <w:t xml:space="preserve"> </w:t>
      </w:r>
      <w:r w:rsidRPr="00382917">
        <w:t>fear</w:t>
      </w:r>
      <w:r w:rsidR="00EE4FC3">
        <w:t xml:space="preserve"> </w:t>
      </w:r>
      <w:r w:rsidRPr="00382917">
        <w:t>lest</w:t>
      </w:r>
      <w:r w:rsidR="00EE4FC3">
        <w:t xml:space="preserve"> </w:t>
      </w:r>
      <w:r w:rsidRPr="00382917">
        <w:t>the</w:t>
      </w:r>
      <w:r w:rsidR="00EE4FC3">
        <w:t xml:space="preserve"> </w:t>
      </w:r>
      <w:r w:rsidRPr="00382917">
        <w:t>breath</w:t>
      </w:r>
      <w:r w:rsidR="00EE4FC3">
        <w:t xml:space="preserve"> </w:t>
      </w:r>
      <w:r w:rsidRPr="00382917">
        <w:t>of</w:t>
      </w:r>
      <w:r w:rsidR="00EE4FC3">
        <w:t xml:space="preserve"> </w:t>
      </w:r>
      <w:r w:rsidRPr="00382917">
        <w:t>His</w:t>
      </w:r>
      <w:r w:rsidR="00EE4FC3">
        <w:t xml:space="preserve"> </w:t>
      </w:r>
      <w:r w:rsidRPr="00382917">
        <w:t>mouth</w:t>
      </w:r>
      <w:r w:rsidR="00EE4FC3">
        <w:t xml:space="preserve"> </w:t>
      </w:r>
      <w:r w:rsidRPr="00382917">
        <w:t>should</w:t>
      </w:r>
      <w:r w:rsidR="00EE4FC3">
        <w:t xml:space="preserve"> </w:t>
      </w:r>
      <w:r w:rsidRPr="00382917">
        <w:t>agitate</w:t>
      </w:r>
      <w:r w:rsidR="00EE4FC3">
        <w:t xml:space="preserve"> </w:t>
      </w:r>
      <w:r w:rsidRPr="00382917">
        <w:t>and</w:t>
      </w:r>
      <w:r w:rsidR="00EE4FC3">
        <w:t xml:space="preserve"> </w:t>
      </w:r>
      <w:r w:rsidRPr="00382917">
        <w:t>upset</w:t>
      </w:r>
      <w:r w:rsidR="00EE4FC3">
        <w:t xml:space="preserve"> </w:t>
      </w:r>
      <w:r w:rsidR="00664069" w:rsidRPr="00382917">
        <w:t>Ba</w:t>
      </w:r>
      <w:r w:rsidR="00664069" w:rsidRPr="00664069">
        <w:rPr>
          <w:u w:val="single"/>
        </w:rPr>
        <w:t>gh</w:t>
      </w:r>
      <w:r w:rsidR="00664069" w:rsidRPr="00382917">
        <w:t>d</w:t>
      </w:r>
      <w:r w:rsidR="00664069" w:rsidRPr="00664069">
        <w:t>á</w:t>
      </w:r>
      <w:r w:rsidR="00664069" w:rsidRPr="00382917">
        <w:t>d</w:t>
      </w:r>
      <w:r w:rsidRPr="00382917">
        <w:t>.</w:t>
      </w:r>
    </w:p>
    <w:p w:rsidR="00806330" w:rsidRPr="00382917" w:rsidRDefault="00806330" w:rsidP="00806330">
      <w:pPr>
        <w:pStyle w:val="Text"/>
      </w:pPr>
      <w:r w:rsidRPr="00382917">
        <w:t>Part</w:t>
      </w:r>
      <w:r w:rsidR="00EE4FC3">
        <w:t xml:space="preserve"> </w:t>
      </w:r>
      <w:r w:rsidRPr="00382917">
        <w:t>of</w:t>
      </w:r>
      <w:r w:rsidR="00EE4FC3">
        <w:t xml:space="preserve"> </w:t>
      </w:r>
      <w:r w:rsidRPr="00382917">
        <w:t>this</w:t>
      </w:r>
      <w:r w:rsidR="00EE4FC3">
        <w:t xml:space="preserve"> </w:t>
      </w:r>
      <w:r w:rsidRPr="00382917">
        <w:t>prophecy</w:t>
      </w:r>
      <w:r w:rsidR="00EE4FC3">
        <w:t xml:space="preserve"> </w:t>
      </w:r>
      <w:r w:rsidRPr="00382917">
        <w:t>had</w:t>
      </w:r>
      <w:r w:rsidR="00EE4FC3">
        <w:t xml:space="preserve"> </w:t>
      </w:r>
      <w:r w:rsidRPr="00382917">
        <w:t>already</w:t>
      </w:r>
      <w:r w:rsidR="00EE4FC3">
        <w:t xml:space="preserve"> </w:t>
      </w:r>
      <w:r w:rsidRPr="00382917">
        <w:t>taken</w:t>
      </w:r>
      <w:r w:rsidR="00EE4FC3">
        <w:t xml:space="preserve"> </w:t>
      </w:r>
      <w:r w:rsidRPr="00382917">
        <w:t>place,</w:t>
      </w:r>
      <w:r w:rsidR="00EE4FC3">
        <w:t xml:space="preserve"> </w:t>
      </w:r>
      <w:r w:rsidRPr="00382917">
        <w:t>He</w:t>
      </w:r>
      <w:r w:rsidR="00EE4FC3">
        <w:t xml:space="preserve"> </w:t>
      </w:r>
      <w:r w:rsidRPr="00382917">
        <w:t>told</w:t>
      </w:r>
      <w:r w:rsidR="00EE4FC3">
        <w:t xml:space="preserve"> </w:t>
      </w:r>
      <w:r w:rsidRPr="00382917">
        <w:t>Mullá</w:t>
      </w:r>
      <w:r w:rsidR="00EE4FC3">
        <w:t xml:space="preserve"> </w:t>
      </w:r>
      <w:r w:rsidR="00964C11" w:rsidRPr="00382917">
        <w:t>Ḥusayn</w:t>
      </w:r>
      <w:r w:rsidR="00C03C91">
        <w:t>.</w:t>
      </w:r>
      <w:r w:rsidR="00EE4FC3">
        <w:t xml:space="preserve">  </w:t>
      </w:r>
      <w:r w:rsidRPr="00382917">
        <w:t>The</w:t>
      </w:r>
      <w:r w:rsidR="00EE4FC3">
        <w:t xml:space="preserve"> </w:t>
      </w:r>
      <w:r w:rsidRPr="00382917">
        <w:t>mystery</w:t>
      </w:r>
      <w:r w:rsidR="00EE4FC3">
        <w:t xml:space="preserve"> </w:t>
      </w:r>
      <w:r w:rsidRPr="00382917">
        <w:t>of</w:t>
      </w:r>
      <w:r w:rsidR="00EE4FC3">
        <w:t xml:space="preserve"> </w:t>
      </w:r>
      <w:r w:rsidRPr="00382917">
        <w:t>the</w:t>
      </w:r>
      <w:r w:rsidR="00EE4FC3">
        <w:t xml:space="preserve"> </w:t>
      </w:r>
      <w:r w:rsidRPr="00382917">
        <w:t>rest</w:t>
      </w:r>
      <w:r w:rsidR="00EE4FC3">
        <w:t xml:space="preserve"> </w:t>
      </w:r>
      <w:r w:rsidRPr="00382917">
        <w:t>would</w:t>
      </w:r>
      <w:r w:rsidR="00EE4FC3">
        <w:t xml:space="preserve"> </w:t>
      </w:r>
      <w:r w:rsidRPr="00382917">
        <w:t>be</w:t>
      </w:r>
      <w:r w:rsidR="00EE4FC3">
        <w:t xml:space="preserve"> </w:t>
      </w:r>
      <w:r w:rsidRPr="00382917">
        <w:t>known</w:t>
      </w:r>
      <w:r w:rsidR="00EE4FC3">
        <w:t xml:space="preserve"> </w:t>
      </w:r>
      <w:r w:rsidRPr="00382917">
        <w:t>in</w:t>
      </w:r>
      <w:r w:rsidR="00EE4FC3">
        <w:t xml:space="preserve"> </w:t>
      </w:r>
      <w:r w:rsidRPr="00382917">
        <w:t>the</w:t>
      </w:r>
      <w:r w:rsidR="00EE4FC3">
        <w:t xml:space="preserve"> </w:t>
      </w:r>
      <w:r w:rsidRPr="00382917">
        <w:t>year</w:t>
      </w:r>
      <w:r w:rsidR="00EE4FC3">
        <w:t xml:space="preserve"> </w:t>
      </w:r>
      <w:r w:rsidRPr="00382917">
        <w:t>1853.</w:t>
      </w:r>
    </w:p>
    <w:p w:rsidR="00806330" w:rsidRPr="00382917" w:rsidRDefault="00806330" w:rsidP="008A0ADC">
      <w:pPr>
        <w:pStyle w:val="Text"/>
      </w:pPr>
      <w:r w:rsidRPr="00382917">
        <w:t>The</w:t>
      </w:r>
      <w:r w:rsidR="00EE4FC3">
        <w:t xml:space="preserve"> </w:t>
      </w:r>
      <w:r w:rsidRPr="00382917">
        <w:t>Báb</w:t>
      </w:r>
      <w:r w:rsidR="00EE4FC3">
        <w:t xml:space="preserve"> </w:t>
      </w:r>
      <w:r w:rsidRPr="00382917">
        <w:t>gazed</w:t>
      </w:r>
      <w:r w:rsidR="00EE4FC3">
        <w:t xml:space="preserve"> </w:t>
      </w:r>
      <w:r w:rsidRPr="00382917">
        <w:t>toward</w:t>
      </w:r>
      <w:r w:rsidR="00EE4FC3">
        <w:t xml:space="preserve"> </w:t>
      </w:r>
      <w:r w:rsidRPr="00382917">
        <w:t>the</w:t>
      </w:r>
      <w:r w:rsidR="00EE4FC3">
        <w:t xml:space="preserve"> </w:t>
      </w:r>
      <w:r w:rsidRPr="00382917">
        <w:t>west</w:t>
      </w:r>
      <w:r w:rsidR="00EE4FC3">
        <w:t xml:space="preserve"> </w:t>
      </w:r>
      <w:r w:rsidRPr="00382917">
        <w:t>where</w:t>
      </w:r>
      <w:r w:rsidR="00EE4FC3">
        <w:t xml:space="preserve"> </w:t>
      </w:r>
      <w:r w:rsidRPr="00382917">
        <w:t>the</w:t>
      </w:r>
      <w:r w:rsidR="00EE4FC3">
        <w:t xml:space="preserve"> </w:t>
      </w:r>
      <w:r w:rsidRPr="00382917">
        <w:t>river</w:t>
      </w:r>
      <w:r w:rsidR="00EE4FC3">
        <w:t xml:space="preserve"> </w:t>
      </w:r>
      <w:r w:rsidRPr="00382917">
        <w:t>Araxes</w:t>
      </w:r>
      <w:r w:rsidR="00EE4FC3">
        <w:t xml:space="preserve"> </w:t>
      </w:r>
      <w:r w:rsidRPr="00382917">
        <w:t>wound</w:t>
      </w:r>
      <w:r w:rsidR="00EE4FC3">
        <w:t xml:space="preserve"> </w:t>
      </w:r>
      <w:r w:rsidRPr="00382917">
        <w:t>its</w:t>
      </w:r>
      <w:r w:rsidR="00EE4FC3">
        <w:t xml:space="preserve"> </w:t>
      </w:r>
      <w:r w:rsidRPr="00382917">
        <w:t>way</w:t>
      </w:r>
      <w:r w:rsidR="00EE4FC3">
        <w:t xml:space="preserve"> </w:t>
      </w:r>
      <w:r w:rsidRPr="00382917">
        <w:t>below</w:t>
      </w:r>
      <w:r w:rsidR="00EE4FC3">
        <w:t xml:space="preserve"> </w:t>
      </w:r>
      <w:r w:rsidRPr="00382917">
        <w:t>the</w:t>
      </w:r>
      <w:r w:rsidR="00EE4FC3">
        <w:t xml:space="preserve"> </w:t>
      </w:r>
      <w:r w:rsidRPr="00382917">
        <w:t>castle</w:t>
      </w:r>
      <w:r w:rsidR="00C03C91">
        <w:t>.</w:t>
      </w:r>
      <w:r w:rsidR="00EE4FC3">
        <w:t xml:space="preserve">  </w:t>
      </w:r>
      <w:r w:rsidRPr="00382917">
        <w:t>He</w:t>
      </w:r>
      <w:r w:rsidR="00EE4FC3">
        <w:t xml:space="preserve"> </w:t>
      </w:r>
      <w:r w:rsidRPr="00382917">
        <w:t>quoted</w:t>
      </w:r>
      <w:r w:rsidR="00EE4FC3">
        <w:t xml:space="preserve"> </w:t>
      </w:r>
      <w:r w:rsidRPr="00382917">
        <w:t>yet</w:t>
      </w:r>
      <w:r w:rsidR="00EE4FC3">
        <w:t xml:space="preserve"> </w:t>
      </w:r>
      <w:r w:rsidRPr="00382917">
        <w:t>another</w:t>
      </w:r>
      <w:r w:rsidR="00EE4FC3">
        <w:t xml:space="preserve"> </w:t>
      </w:r>
      <w:r w:rsidRPr="00382917">
        <w:t>prophecy</w:t>
      </w:r>
      <w:r w:rsidR="00C03C91">
        <w:t>:</w:t>
      </w:r>
      <w:r w:rsidR="00EE4FC3">
        <w:t xml:space="preserve">  </w:t>
      </w:r>
      <w:r w:rsidR="009C713D" w:rsidRPr="00382917">
        <w:t>“</w:t>
      </w:r>
      <w:r w:rsidRPr="00382917">
        <w:t>Treasures</w:t>
      </w:r>
      <w:r w:rsidR="00EE4FC3">
        <w:t xml:space="preserve"> </w:t>
      </w:r>
      <w:r w:rsidRPr="00382917">
        <w:t>lie</w:t>
      </w:r>
      <w:r w:rsidR="00EE4FC3">
        <w:t xml:space="preserve"> </w:t>
      </w:r>
      <w:r w:rsidRPr="00382917">
        <w:t>hidden</w:t>
      </w:r>
      <w:r w:rsidR="00EE4FC3">
        <w:t xml:space="preserve"> </w:t>
      </w:r>
      <w:r w:rsidRPr="00382917">
        <w:t>beneath</w:t>
      </w:r>
      <w:r w:rsidR="00EE4FC3">
        <w:t xml:space="preserve"> </w:t>
      </w:r>
      <w:r w:rsidRPr="00382917">
        <w:t>the</w:t>
      </w:r>
      <w:r w:rsidR="00EE4FC3">
        <w:t xml:space="preserve"> </w:t>
      </w:r>
      <w:r w:rsidRPr="00382917">
        <w:t>throne</w:t>
      </w:r>
      <w:r w:rsidR="00EE4FC3">
        <w:t xml:space="preserve"> </w:t>
      </w:r>
      <w:r w:rsidRPr="00382917">
        <w:t>of</w:t>
      </w:r>
      <w:r w:rsidR="00EE4FC3">
        <w:t xml:space="preserve"> </w:t>
      </w:r>
      <w:r w:rsidRPr="00382917">
        <w:t>God;</w:t>
      </w:r>
      <w:r w:rsidR="00EE4FC3">
        <w:t xml:space="preserve"> </w:t>
      </w:r>
      <w:r w:rsidRPr="00382917">
        <w:t>the</w:t>
      </w:r>
      <w:r w:rsidR="00EE4FC3">
        <w:t xml:space="preserve"> </w:t>
      </w:r>
      <w:r w:rsidRPr="00382917">
        <w:t>key</w:t>
      </w:r>
      <w:r w:rsidR="00EE4FC3">
        <w:t xml:space="preserve"> </w:t>
      </w:r>
      <w:r w:rsidRPr="00382917">
        <w:t>to</w:t>
      </w:r>
      <w:r w:rsidR="00EE4FC3">
        <w:t xml:space="preserve"> </w:t>
      </w:r>
      <w:r w:rsidRPr="00382917">
        <w:t>those</w:t>
      </w:r>
      <w:r w:rsidR="00EE4FC3">
        <w:t xml:space="preserve"> </w:t>
      </w:r>
      <w:r w:rsidRPr="00382917">
        <w:t>treasures</w:t>
      </w:r>
      <w:r w:rsidR="00EE4FC3">
        <w:t xml:space="preserve"> </w:t>
      </w:r>
      <w:r w:rsidRPr="00382917">
        <w:t>is</w:t>
      </w:r>
      <w:r w:rsidR="00EE4FC3">
        <w:t xml:space="preserve"> </w:t>
      </w:r>
      <w:r w:rsidRPr="00382917">
        <w:t>the</w:t>
      </w:r>
      <w:r w:rsidR="00EE4FC3">
        <w:t xml:space="preserve"> </w:t>
      </w:r>
      <w:r w:rsidRPr="00382917">
        <w:t>tongue</w:t>
      </w:r>
      <w:r w:rsidR="00EE4FC3">
        <w:t xml:space="preserve"> </w:t>
      </w:r>
      <w:r w:rsidRPr="00382917">
        <w:t>of</w:t>
      </w:r>
      <w:r w:rsidR="00EE4FC3">
        <w:t xml:space="preserve"> </w:t>
      </w:r>
      <w:r w:rsidRPr="00382917">
        <w:t>poets.</w:t>
      </w:r>
      <w:proofErr w:type="gramStart"/>
      <w:r w:rsidR="009C713D" w:rsidRPr="00382917">
        <w:t>”</w:t>
      </w:r>
      <w:r w:rsidR="00EE4FC3">
        <w:t xml:space="preserve"> </w:t>
      </w:r>
      <w:proofErr w:type="gramEnd"/>
      <w:r w:rsidRPr="00382917">
        <w:t>He</w:t>
      </w:r>
      <w:r w:rsidR="00EE4FC3">
        <w:t xml:space="preserve"> </w:t>
      </w:r>
      <w:r w:rsidRPr="00382917">
        <w:t>looked</w:t>
      </w:r>
      <w:r w:rsidR="00EE4FC3">
        <w:t xml:space="preserve"> </w:t>
      </w:r>
      <w:r w:rsidRPr="00382917">
        <w:t>at</w:t>
      </w:r>
      <w:r w:rsidR="00EE4FC3">
        <w:t xml:space="preserve"> </w:t>
      </w:r>
      <w:r w:rsidRPr="00382917">
        <w:t>Mullá</w:t>
      </w:r>
      <w:r w:rsidR="00EE4FC3">
        <w:t xml:space="preserve"> </w:t>
      </w:r>
      <w:r w:rsidR="00964C11" w:rsidRPr="00382917">
        <w:t>Ḥusayn</w:t>
      </w:r>
      <w:r w:rsidR="00EE4FC3">
        <w:t xml:space="preserve"> </w:t>
      </w:r>
      <w:r w:rsidRPr="00382917">
        <w:t>and</w:t>
      </w:r>
      <w:r w:rsidR="00EE4FC3">
        <w:t xml:space="preserve"> </w:t>
      </w:r>
      <w:r w:rsidRPr="00382917">
        <w:t>said</w:t>
      </w:r>
      <w:r w:rsidR="00C03C91">
        <w:t>:</w:t>
      </w:r>
      <w:r w:rsidR="00EE4FC3">
        <w:t xml:space="preserve">  </w:t>
      </w:r>
      <w:r w:rsidR="009C713D" w:rsidRPr="00382917">
        <w:t>“</w:t>
      </w:r>
      <w:r w:rsidRPr="00382917">
        <w:t>That</w:t>
      </w:r>
      <w:r w:rsidR="00EE4FC3">
        <w:t xml:space="preserve"> </w:t>
      </w:r>
      <w:r w:rsidRPr="00382917">
        <w:t>is</w:t>
      </w:r>
      <w:r w:rsidR="00EE4FC3">
        <w:t xml:space="preserve"> </w:t>
      </w:r>
      <w:r w:rsidRPr="00382917">
        <w:t>the</w:t>
      </w:r>
      <w:r w:rsidR="00EE4FC3">
        <w:t xml:space="preserve"> </w:t>
      </w:r>
      <w:r w:rsidRPr="00382917">
        <w:t>river,</w:t>
      </w:r>
      <w:r w:rsidR="00EE4FC3">
        <w:t xml:space="preserve"> </w:t>
      </w:r>
      <w:r w:rsidRPr="00382917">
        <w:t>and</w:t>
      </w:r>
      <w:r w:rsidR="00EE4FC3">
        <w:t xml:space="preserve"> </w:t>
      </w:r>
      <w:r w:rsidRPr="00382917">
        <w:t>this</w:t>
      </w:r>
      <w:r w:rsidR="00EE4FC3">
        <w:t xml:space="preserve"> </w:t>
      </w:r>
      <w:r w:rsidRPr="00382917">
        <w:t>is</w:t>
      </w:r>
      <w:r w:rsidR="00EE4FC3">
        <w:t xml:space="preserve"> </w:t>
      </w:r>
      <w:r w:rsidRPr="00382917">
        <w:t>the</w:t>
      </w:r>
      <w:r w:rsidR="00EE4FC3">
        <w:t xml:space="preserve"> </w:t>
      </w:r>
      <w:r w:rsidRPr="00382917">
        <w:t>bank</w:t>
      </w:r>
      <w:r w:rsidR="00EE4FC3">
        <w:t xml:space="preserve"> </w:t>
      </w:r>
      <w:r w:rsidRPr="00382917">
        <w:t>thereof,</w:t>
      </w:r>
      <w:r w:rsidR="00EE4FC3">
        <w:t xml:space="preserve"> </w:t>
      </w:r>
      <w:r w:rsidRPr="00382917">
        <w:t>of</w:t>
      </w:r>
      <w:r w:rsidR="00EE4FC3">
        <w:t xml:space="preserve"> </w:t>
      </w:r>
      <w:r w:rsidRPr="00382917">
        <w:t>which</w:t>
      </w:r>
      <w:r w:rsidR="00EE4FC3">
        <w:t xml:space="preserve"> </w:t>
      </w:r>
      <w:r w:rsidRPr="00382917">
        <w:t>the</w:t>
      </w:r>
      <w:r w:rsidR="00EE4FC3">
        <w:t xml:space="preserve"> </w:t>
      </w:r>
      <w:r w:rsidRPr="00382917">
        <w:t>poet</w:t>
      </w:r>
      <w:r w:rsidR="00EE4FC3">
        <w:t xml:space="preserve"> </w:t>
      </w:r>
      <w:r w:rsidR="008A0ADC" w:rsidRPr="008A0ADC">
        <w:t>Ḥ</w:t>
      </w:r>
      <w:r w:rsidR="008A0ADC" w:rsidRPr="00382917">
        <w:t>áfi</w:t>
      </w:r>
      <w:r w:rsidR="008A0ADC" w:rsidRPr="008A0ADC">
        <w:t>ẓ</w:t>
      </w:r>
      <w:r w:rsidR="00EE4FC3">
        <w:t xml:space="preserve"> </w:t>
      </w:r>
      <w:r w:rsidRPr="00382917">
        <w:t>has</w:t>
      </w:r>
      <w:r w:rsidR="00EE4FC3">
        <w:t xml:space="preserve"> </w:t>
      </w:r>
      <w:r w:rsidRPr="00382917">
        <w:t>thus</w:t>
      </w:r>
      <w:r w:rsidR="00EE4FC3">
        <w:t xml:space="preserve"> </w:t>
      </w:r>
      <w:r w:rsidRPr="00382917">
        <w:t>written</w:t>
      </w:r>
      <w:r w:rsidR="00C03C91">
        <w:t>:</w:t>
      </w:r>
      <w:r w:rsidR="00EE4FC3">
        <w:t xml:space="preserve">  </w:t>
      </w:r>
      <w:r w:rsidR="009C713D" w:rsidRPr="00382917">
        <w:t>‘</w:t>
      </w:r>
      <w:r w:rsidRPr="00382917">
        <w:t>O</w:t>
      </w:r>
      <w:r w:rsidR="00EE4FC3">
        <w:t xml:space="preserve"> </w:t>
      </w:r>
      <w:r w:rsidRPr="00382917">
        <w:t>Zephyr,</w:t>
      </w:r>
      <w:r w:rsidR="00EE4FC3">
        <w:t xml:space="preserve"> </w:t>
      </w:r>
      <w:proofErr w:type="spellStart"/>
      <w:r w:rsidRPr="00382917">
        <w:t>shouldst</w:t>
      </w:r>
      <w:proofErr w:type="spellEnd"/>
      <w:r w:rsidR="00EE4FC3">
        <w:t xml:space="preserve"> </w:t>
      </w:r>
      <w:r w:rsidRPr="00382917">
        <w:t>thou</w:t>
      </w:r>
      <w:r w:rsidR="00EE4FC3">
        <w:t xml:space="preserve"> </w:t>
      </w:r>
      <w:r w:rsidRPr="00382917">
        <w:t>pass</w:t>
      </w:r>
      <w:r w:rsidR="00EE4FC3">
        <w:t xml:space="preserve"> </w:t>
      </w:r>
      <w:r w:rsidRPr="00382917">
        <w:t>the</w:t>
      </w:r>
      <w:r w:rsidR="00EE4FC3">
        <w:t xml:space="preserve"> </w:t>
      </w:r>
      <w:r w:rsidRPr="00382917">
        <w:t>banks</w:t>
      </w:r>
      <w:r w:rsidR="00EE4FC3">
        <w:t xml:space="preserve"> </w:t>
      </w:r>
      <w:r w:rsidRPr="00382917">
        <w:t>of</w:t>
      </w:r>
      <w:r w:rsidR="00EE4FC3">
        <w:t xml:space="preserve"> </w:t>
      </w:r>
      <w:r w:rsidRPr="00382917">
        <w:t>the</w:t>
      </w:r>
      <w:r w:rsidR="00EE4FC3">
        <w:t xml:space="preserve"> </w:t>
      </w:r>
      <w:r w:rsidRPr="00382917">
        <w:t>Araxes,</w:t>
      </w:r>
      <w:r w:rsidR="00EE4FC3">
        <w:t xml:space="preserve"> </w:t>
      </w:r>
      <w:proofErr w:type="gramStart"/>
      <w:r w:rsidRPr="00382917">
        <w:t>implant</w:t>
      </w:r>
      <w:proofErr w:type="gramEnd"/>
      <w:r w:rsidR="00EE4FC3">
        <w:t xml:space="preserve"> </w:t>
      </w:r>
      <w:r w:rsidRPr="00382917">
        <w:t>a</w:t>
      </w:r>
      <w:r w:rsidR="00EE4FC3">
        <w:t xml:space="preserve"> </w:t>
      </w:r>
      <w:r w:rsidRPr="00382917">
        <w:t>kiss</w:t>
      </w:r>
      <w:r w:rsidR="00EE4FC3">
        <w:t xml:space="preserve"> </w:t>
      </w:r>
      <w:r w:rsidRPr="00382917">
        <w:t>on</w:t>
      </w:r>
      <w:r w:rsidR="00EE4FC3">
        <w:t xml:space="preserve"> </w:t>
      </w:r>
      <w:r w:rsidRPr="00382917">
        <w:t>the</w:t>
      </w:r>
      <w:r w:rsidR="00EE4FC3">
        <w:t xml:space="preserve"> </w:t>
      </w:r>
      <w:r w:rsidRPr="00382917">
        <w:t>earth</w:t>
      </w:r>
      <w:r w:rsidR="00EE4FC3">
        <w:t xml:space="preserve"> </w:t>
      </w:r>
      <w:r w:rsidRPr="00382917">
        <w:t>of</w:t>
      </w:r>
      <w:r w:rsidR="00EE4FC3">
        <w:t xml:space="preserve"> </w:t>
      </w:r>
      <w:r w:rsidRPr="00382917">
        <w:t>that</w:t>
      </w:r>
      <w:r w:rsidR="00EE4FC3">
        <w:t xml:space="preserve"> </w:t>
      </w:r>
      <w:r w:rsidRPr="00382917">
        <w:t>valley,</w:t>
      </w:r>
      <w:r w:rsidR="00EE4FC3">
        <w:t xml:space="preserve"> </w:t>
      </w:r>
      <w:r w:rsidRPr="00382917">
        <w:t>and</w:t>
      </w:r>
      <w:r w:rsidR="00EE4FC3">
        <w:t xml:space="preserve"> </w:t>
      </w:r>
      <w:r w:rsidRPr="00382917">
        <w:t>make</w:t>
      </w:r>
      <w:r w:rsidR="00EE4FC3">
        <w:t xml:space="preserve"> </w:t>
      </w:r>
      <w:r w:rsidRPr="00382917">
        <w:t>fragrant</w:t>
      </w:r>
      <w:r w:rsidR="00EE4FC3">
        <w:t xml:space="preserve"> </w:t>
      </w:r>
      <w:r w:rsidRPr="00382917">
        <w:t>thy</w:t>
      </w:r>
      <w:r w:rsidR="00EE4FC3">
        <w:t xml:space="preserve"> </w:t>
      </w:r>
      <w:r w:rsidRPr="00382917">
        <w:t>breath</w:t>
      </w:r>
      <w:r w:rsidR="00C03C91">
        <w:t>.</w:t>
      </w:r>
      <w:r w:rsidR="00EE4FC3">
        <w:t xml:space="preserve">  </w:t>
      </w:r>
      <w:r w:rsidRPr="00382917">
        <w:t>Hail,</w:t>
      </w:r>
      <w:r w:rsidR="00EE4FC3">
        <w:t xml:space="preserve"> </w:t>
      </w:r>
      <w:r w:rsidRPr="00382917">
        <w:t>a</w:t>
      </w:r>
      <w:r w:rsidR="00EE4FC3">
        <w:t xml:space="preserve"> </w:t>
      </w:r>
      <w:r w:rsidRPr="00382917">
        <w:t>thousand</w:t>
      </w:r>
      <w:r w:rsidR="00EE4FC3">
        <w:t xml:space="preserve"> </w:t>
      </w:r>
      <w:r w:rsidRPr="00382917">
        <w:t>times</w:t>
      </w:r>
      <w:r w:rsidR="00EE4FC3">
        <w:t xml:space="preserve"> </w:t>
      </w:r>
      <w:r w:rsidRPr="00382917">
        <w:t>hail,</w:t>
      </w:r>
      <w:r w:rsidR="00EE4FC3">
        <w:t xml:space="preserve"> </w:t>
      </w:r>
      <w:r w:rsidRPr="00382917">
        <w:t>to</w:t>
      </w:r>
      <w:r w:rsidR="00EE4FC3">
        <w:t xml:space="preserve"> </w:t>
      </w:r>
      <w:r w:rsidRPr="00382917">
        <w:t>thee,</w:t>
      </w:r>
      <w:r w:rsidR="00EE4FC3">
        <w:t xml:space="preserve"> </w:t>
      </w:r>
      <w:r w:rsidRPr="00382917">
        <w:t>O</w:t>
      </w:r>
      <w:r w:rsidR="00EE4FC3">
        <w:t xml:space="preserve"> </w:t>
      </w:r>
      <w:r w:rsidRPr="00382917">
        <w:t>abode</w:t>
      </w:r>
      <w:r w:rsidR="00EE4FC3">
        <w:t xml:space="preserve"> </w:t>
      </w:r>
      <w:r w:rsidRPr="00382917">
        <w:t>of</w:t>
      </w:r>
      <w:r w:rsidR="00EE4FC3">
        <w:t xml:space="preserve"> </w:t>
      </w:r>
      <w:r w:rsidRPr="00382917">
        <w:t>Salmá!</w:t>
      </w:r>
      <w:r w:rsidR="009C713D" w:rsidRPr="00382917">
        <w:t>’</w:t>
      </w:r>
    </w:p>
    <w:p w:rsidR="00806330" w:rsidRPr="00382917" w:rsidRDefault="009C713D" w:rsidP="00806330">
      <w:pPr>
        <w:pStyle w:val="Text"/>
      </w:pPr>
      <w:r w:rsidRPr="00382917">
        <w:t>“</w:t>
      </w:r>
      <w:r w:rsidR="00806330" w:rsidRPr="00382917">
        <w:t>But</w:t>
      </w:r>
      <w:r w:rsidR="00EE4FC3">
        <w:t xml:space="preserve"> </w:t>
      </w:r>
      <w:r w:rsidR="00806330" w:rsidRPr="00382917">
        <w:t>for</w:t>
      </w:r>
      <w:r w:rsidR="00EE4FC3">
        <w:t xml:space="preserve"> </w:t>
      </w:r>
      <w:r w:rsidR="00806330" w:rsidRPr="00382917">
        <w:t>the</w:t>
      </w:r>
      <w:r w:rsidR="00EE4FC3">
        <w:t xml:space="preserve"> </w:t>
      </w:r>
      <w:r w:rsidR="00806330" w:rsidRPr="00382917">
        <w:t>shortness</w:t>
      </w:r>
      <w:r w:rsidR="00EE4FC3">
        <w:t xml:space="preserve"> </w:t>
      </w:r>
      <w:r w:rsidR="00806330" w:rsidRPr="00382917">
        <w:t>of</w:t>
      </w:r>
      <w:r w:rsidR="00EE4FC3">
        <w:t xml:space="preserve"> </w:t>
      </w:r>
      <w:r w:rsidR="00806330" w:rsidRPr="00382917">
        <w:t>your</w:t>
      </w:r>
      <w:r w:rsidR="00EE4FC3">
        <w:t xml:space="preserve"> </w:t>
      </w:r>
      <w:r w:rsidR="00806330" w:rsidRPr="00382917">
        <w:t>stay,</w:t>
      </w:r>
      <w:r w:rsidRPr="00382917">
        <w:t>”</w:t>
      </w:r>
      <w:r w:rsidR="00EE4FC3">
        <w:t xml:space="preserve"> </w:t>
      </w:r>
      <w:r w:rsidR="00806330" w:rsidRPr="00382917">
        <w:t>the</w:t>
      </w:r>
      <w:r w:rsidR="00EE4FC3">
        <w:t xml:space="preserve"> </w:t>
      </w:r>
      <w:r w:rsidR="00806330" w:rsidRPr="00382917">
        <w:t>Báb</w:t>
      </w:r>
      <w:r w:rsidR="00EE4FC3">
        <w:t xml:space="preserve"> </w:t>
      </w:r>
      <w:r w:rsidR="00806330" w:rsidRPr="00382917">
        <w:t>told</w:t>
      </w:r>
      <w:r w:rsidR="00EE4FC3">
        <w:t xml:space="preserve"> </w:t>
      </w:r>
      <w:r w:rsidR="00806330" w:rsidRPr="00382917">
        <w:t>Mullá</w:t>
      </w:r>
      <w:r w:rsidR="00EE4FC3">
        <w:t xml:space="preserve"> </w:t>
      </w:r>
      <w:r w:rsidR="00964C11" w:rsidRPr="00382917">
        <w:t>Ḥusayn</w:t>
      </w:r>
      <w:r w:rsidR="00806330" w:rsidRPr="00382917">
        <w:t>,</w:t>
      </w:r>
      <w:r w:rsidR="00EE4FC3">
        <w:t xml:space="preserve"> </w:t>
      </w:r>
      <w:r w:rsidRPr="00382917">
        <w:t>“</w:t>
      </w:r>
      <w:r w:rsidR="00806330" w:rsidRPr="00382917">
        <w:t>We</w:t>
      </w:r>
      <w:r w:rsidR="00EE4FC3">
        <w:t xml:space="preserve"> </w:t>
      </w:r>
      <w:r w:rsidR="00806330" w:rsidRPr="00382917">
        <w:t>would</w:t>
      </w:r>
      <w:r w:rsidR="00EE4FC3">
        <w:t xml:space="preserve"> </w:t>
      </w:r>
      <w:r w:rsidR="00806330" w:rsidRPr="00382917">
        <w:t>have</w:t>
      </w:r>
      <w:r w:rsidR="00EE4FC3">
        <w:t xml:space="preserve"> </w:t>
      </w:r>
      <w:r w:rsidR="00806330" w:rsidRPr="00382917">
        <w:t>shown</w:t>
      </w:r>
      <w:r w:rsidR="00EE4FC3">
        <w:t xml:space="preserve"> </w:t>
      </w:r>
      <w:r w:rsidR="00806330" w:rsidRPr="00382917">
        <w:t>you</w:t>
      </w:r>
      <w:r w:rsidR="00EE4FC3">
        <w:t xml:space="preserve"> </w:t>
      </w:r>
      <w:r w:rsidR="00806330" w:rsidRPr="00382917">
        <w:t>the</w:t>
      </w:r>
      <w:r w:rsidR="00EE4FC3">
        <w:t xml:space="preserve"> </w:t>
      </w:r>
      <w:r w:rsidRPr="00382917">
        <w:t>‘</w:t>
      </w:r>
      <w:r w:rsidR="00806330" w:rsidRPr="00382917">
        <w:t>abode</w:t>
      </w:r>
      <w:r w:rsidR="00EE4FC3">
        <w:t xml:space="preserve"> </w:t>
      </w:r>
      <w:r w:rsidR="00806330" w:rsidRPr="00382917">
        <w:t>of</w:t>
      </w:r>
      <w:r w:rsidR="00EE4FC3">
        <w:t xml:space="preserve"> </w:t>
      </w:r>
      <w:r w:rsidR="00806330" w:rsidRPr="00382917">
        <w:t>Salmá,</w:t>
      </w:r>
      <w:r w:rsidRPr="00382917">
        <w:t>’</w:t>
      </w:r>
      <w:r w:rsidR="00EE4FC3">
        <w:t xml:space="preserve"> </w:t>
      </w:r>
      <w:r w:rsidR="00806330" w:rsidRPr="00382917">
        <w:t>even</w:t>
      </w:r>
      <w:r w:rsidR="00EE4FC3">
        <w:t xml:space="preserve"> </w:t>
      </w:r>
      <w:r w:rsidR="00806330" w:rsidRPr="00382917">
        <w:t>as</w:t>
      </w:r>
      <w:r w:rsidR="00EE4FC3">
        <w:t xml:space="preserve"> </w:t>
      </w:r>
      <w:r w:rsidR="00806330" w:rsidRPr="00382917">
        <w:t>We</w:t>
      </w:r>
      <w:r w:rsidR="00EE4FC3">
        <w:t xml:space="preserve"> </w:t>
      </w:r>
      <w:r w:rsidR="00806330" w:rsidRPr="00382917">
        <w:t>have</w:t>
      </w:r>
      <w:r w:rsidR="00EE4FC3">
        <w:t xml:space="preserve"> </w:t>
      </w:r>
      <w:r w:rsidR="00806330" w:rsidRPr="00382917">
        <w:t>unveiled</w:t>
      </w:r>
      <w:r w:rsidR="00EE4FC3">
        <w:t xml:space="preserve"> </w:t>
      </w:r>
      <w:r w:rsidR="00806330" w:rsidRPr="00382917">
        <w:t>to</w:t>
      </w:r>
      <w:r w:rsidR="00EE4FC3">
        <w:t xml:space="preserve"> </w:t>
      </w:r>
      <w:r w:rsidR="00806330" w:rsidRPr="00382917">
        <w:t>your</w:t>
      </w:r>
      <w:r w:rsidR="00EE4FC3">
        <w:t xml:space="preserve"> </w:t>
      </w:r>
      <w:r w:rsidR="00806330" w:rsidRPr="00382917">
        <w:t>eyes</w:t>
      </w:r>
      <w:r w:rsidR="00EE4FC3">
        <w:t xml:space="preserve"> </w:t>
      </w:r>
      <w:r w:rsidR="00806330" w:rsidRPr="00382917">
        <w:t>the</w:t>
      </w:r>
      <w:r w:rsidR="00EE4FC3">
        <w:t xml:space="preserve"> </w:t>
      </w:r>
      <w:r w:rsidRPr="00382917">
        <w:t>‘</w:t>
      </w:r>
      <w:r w:rsidR="00806330" w:rsidRPr="00382917">
        <w:t>banks</w:t>
      </w:r>
      <w:r w:rsidR="00EE4FC3">
        <w:t xml:space="preserve"> </w:t>
      </w:r>
      <w:r w:rsidR="00806330" w:rsidRPr="00382917">
        <w:t>of</w:t>
      </w:r>
      <w:r w:rsidR="00EE4FC3">
        <w:t xml:space="preserve"> </w:t>
      </w:r>
      <w:r w:rsidR="00806330" w:rsidRPr="00382917">
        <w:t>the</w:t>
      </w:r>
      <w:r w:rsidR="00EE4FC3">
        <w:t xml:space="preserve"> </w:t>
      </w:r>
      <w:proofErr w:type="gramStart"/>
      <w:r w:rsidR="00806330" w:rsidRPr="00382917">
        <w:t>Araxes.</w:t>
      </w:r>
      <w:r w:rsidRPr="00382917">
        <w:t>’</w:t>
      </w:r>
      <w:r w:rsidR="00EE4FC3">
        <w:t xml:space="preserve"> </w:t>
      </w:r>
      <w:proofErr w:type="gramEnd"/>
      <w:r w:rsidRPr="00382917">
        <w:t>“</w:t>
      </w:r>
    </w:p>
    <w:p w:rsidR="00806330" w:rsidRPr="00382917" w:rsidRDefault="00806330" w:rsidP="00806330">
      <w:pPr>
        <w:pStyle w:val="Text"/>
      </w:pPr>
      <w:r w:rsidRPr="00382917">
        <w:t>By</w:t>
      </w:r>
      <w:r w:rsidR="00EE4FC3">
        <w:t xml:space="preserve"> </w:t>
      </w:r>
      <w:r w:rsidRPr="00382917">
        <w:t>the</w:t>
      </w:r>
      <w:r w:rsidR="00EE4FC3">
        <w:t xml:space="preserve"> </w:t>
      </w:r>
      <w:r w:rsidR="009C713D" w:rsidRPr="00382917">
        <w:t>‘</w:t>
      </w:r>
      <w:r w:rsidRPr="00382917">
        <w:t>abode</w:t>
      </w:r>
      <w:r w:rsidR="00EE4FC3">
        <w:t xml:space="preserve"> </w:t>
      </w:r>
      <w:r w:rsidRPr="00382917">
        <w:t>of</w:t>
      </w:r>
      <w:r w:rsidR="00EE4FC3">
        <w:t xml:space="preserve"> </w:t>
      </w:r>
      <w:r w:rsidRPr="00382917">
        <w:t>Salmá</w:t>
      </w:r>
      <w:r w:rsidR="009C713D" w:rsidRPr="00382917">
        <w:t>’</w:t>
      </w:r>
      <w:r w:rsidR="00EE4FC3">
        <w:t xml:space="preserve"> </w:t>
      </w:r>
      <w:r w:rsidRPr="00382917">
        <w:t>the</w:t>
      </w:r>
      <w:r w:rsidR="00EE4FC3">
        <w:t xml:space="preserve"> </w:t>
      </w:r>
      <w:r w:rsidRPr="00382917">
        <w:t>Báb</w:t>
      </w:r>
      <w:r w:rsidR="00EE4FC3">
        <w:t xml:space="preserve"> </w:t>
      </w:r>
      <w:r w:rsidRPr="00382917">
        <w:t>meant</w:t>
      </w:r>
      <w:r w:rsidR="00EE4FC3">
        <w:t xml:space="preserve"> </w:t>
      </w:r>
      <w:r w:rsidRPr="00382917">
        <w:t>the</w:t>
      </w:r>
      <w:r w:rsidR="00EE4FC3">
        <w:t xml:space="preserve"> </w:t>
      </w:r>
      <w:r w:rsidRPr="00382917">
        <w:t>prison</w:t>
      </w:r>
      <w:r w:rsidR="00EE4FC3">
        <w:t xml:space="preserve"> </w:t>
      </w:r>
      <w:r w:rsidRPr="00382917">
        <w:t>of</w:t>
      </w:r>
      <w:r w:rsidR="00EE4FC3">
        <w:t xml:space="preserve"> </w:t>
      </w:r>
      <w:r w:rsidR="001713B3" w:rsidRPr="001713B3">
        <w:rPr>
          <w:u w:val="single"/>
        </w:rPr>
        <w:t>Ch</w:t>
      </w:r>
      <w:r w:rsidR="001713B3" w:rsidRPr="00382917">
        <w:t>ihríq</w:t>
      </w:r>
      <w:r w:rsidR="00EE4FC3">
        <w:t xml:space="preserve"> </w:t>
      </w:r>
      <w:r w:rsidRPr="00382917">
        <w:t>to</w:t>
      </w:r>
      <w:r w:rsidR="00EE4FC3">
        <w:t xml:space="preserve"> </w:t>
      </w:r>
      <w:r w:rsidRPr="00382917">
        <w:t>which</w:t>
      </w:r>
      <w:r w:rsidR="00EE4FC3">
        <w:t xml:space="preserve"> </w:t>
      </w:r>
      <w:r w:rsidRPr="00382917">
        <w:t>He</w:t>
      </w:r>
      <w:r w:rsidR="00EE4FC3">
        <w:t xml:space="preserve"> </w:t>
      </w:r>
      <w:r w:rsidRPr="00382917">
        <w:t>was</w:t>
      </w:r>
      <w:r w:rsidR="00EE4FC3">
        <w:t xml:space="preserve"> </w:t>
      </w:r>
      <w:r w:rsidRPr="00382917">
        <w:t>soon</w:t>
      </w:r>
      <w:r w:rsidR="00EE4FC3">
        <w:t xml:space="preserve"> </w:t>
      </w:r>
      <w:r w:rsidRPr="00382917">
        <w:t>to</w:t>
      </w:r>
      <w:r w:rsidR="00EE4FC3">
        <w:t xml:space="preserve"> </w:t>
      </w:r>
      <w:r w:rsidRPr="00382917">
        <w:t>be</w:t>
      </w:r>
      <w:r w:rsidR="00EE4FC3">
        <w:t xml:space="preserve"> </w:t>
      </w:r>
      <w:r w:rsidRPr="00382917">
        <w:t>transferred,</w:t>
      </w:r>
      <w:r w:rsidR="00EE4FC3">
        <w:t xml:space="preserve"> </w:t>
      </w:r>
      <w:r w:rsidRPr="00382917">
        <w:t>and</w:t>
      </w:r>
      <w:r w:rsidR="00EE4FC3">
        <w:t xml:space="preserve"> </w:t>
      </w:r>
      <w:r w:rsidRPr="00382917">
        <w:t>which</w:t>
      </w:r>
      <w:r w:rsidR="00EE4FC3">
        <w:t xml:space="preserve"> </w:t>
      </w:r>
      <w:r w:rsidRPr="00382917">
        <w:t>stands</w:t>
      </w:r>
      <w:r w:rsidR="00EE4FC3">
        <w:t xml:space="preserve"> </w:t>
      </w:r>
      <w:r w:rsidRPr="00382917">
        <w:t>by</w:t>
      </w:r>
      <w:r w:rsidR="00EE4FC3">
        <w:t xml:space="preserve"> </w:t>
      </w:r>
      <w:r w:rsidRPr="00382917">
        <w:t>the</w:t>
      </w:r>
      <w:r w:rsidR="00EE4FC3">
        <w:t xml:space="preserve"> </w:t>
      </w:r>
      <w:r w:rsidRPr="00382917">
        <w:t>town</w:t>
      </w:r>
      <w:r w:rsidR="00EE4FC3">
        <w:t xml:space="preserve"> </w:t>
      </w:r>
      <w:r w:rsidRPr="00382917">
        <w:t>of</w:t>
      </w:r>
      <w:r w:rsidR="00EE4FC3">
        <w:t xml:space="preserve"> </w:t>
      </w:r>
      <w:proofErr w:type="spellStart"/>
      <w:r w:rsidRPr="00382917">
        <w:t>Salmás</w:t>
      </w:r>
      <w:proofErr w:type="spellEnd"/>
      <w:r w:rsidRPr="00382917">
        <w:t>.</w:t>
      </w:r>
    </w:p>
    <w:p w:rsidR="00806330" w:rsidRPr="00382917" w:rsidRDefault="00806330" w:rsidP="00806330">
      <w:pPr>
        <w:pStyle w:val="Text"/>
      </w:pPr>
      <w:r w:rsidRPr="00382917">
        <w:t>He</w:t>
      </w:r>
      <w:r w:rsidR="00EE4FC3">
        <w:t xml:space="preserve"> </w:t>
      </w:r>
      <w:r w:rsidRPr="00382917">
        <w:t>then</w:t>
      </w:r>
      <w:r w:rsidR="00EE4FC3">
        <w:t xml:space="preserve"> </w:t>
      </w:r>
      <w:r w:rsidRPr="00382917">
        <w:t>related</w:t>
      </w:r>
      <w:r w:rsidR="00EE4FC3">
        <w:t xml:space="preserve"> </w:t>
      </w:r>
      <w:r w:rsidRPr="00382917">
        <w:t>to</w:t>
      </w:r>
      <w:r w:rsidR="00EE4FC3">
        <w:t xml:space="preserve"> </w:t>
      </w:r>
      <w:r w:rsidRPr="00382917">
        <w:t>Mullá</w:t>
      </w:r>
      <w:r w:rsidR="00EE4FC3">
        <w:t xml:space="preserve"> </w:t>
      </w:r>
      <w:r w:rsidR="00964C11" w:rsidRPr="00382917">
        <w:t>Ḥusayn</w:t>
      </w:r>
      <w:r w:rsidR="00EE4FC3">
        <w:t xml:space="preserve"> </w:t>
      </w:r>
      <w:r w:rsidRPr="00382917">
        <w:t>many</w:t>
      </w:r>
      <w:r w:rsidR="00EE4FC3">
        <w:t xml:space="preserve"> </w:t>
      </w:r>
      <w:r w:rsidRPr="00382917">
        <w:t>things</w:t>
      </w:r>
      <w:r w:rsidR="00EE4FC3">
        <w:t xml:space="preserve"> </w:t>
      </w:r>
      <w:r w:rsidRPr="00382917">
        <w:t>which</w:t>
      </w:r>
      <w:r w:rsidR="00EE4FC3">
        <w:t xml:space="preserve"> </w:t>
      </w:r>
      <w:r w:rsidRPr="00382917">
        <w:t>would</w:t>
      </w:r>
      <w:r w:rsidR="00EE4FC3">
        <w:t xml:space="preserve"> </w:t>
      </w:r>
      <w:r w:rsidRPr="00382917">
        <w:t>take</w:t>
      </w:r>
      <w:r w:rsidR="00EE4FC3">
        <w:t xml:space="preserve"> </w:t>
      </w:r>
      <w:r w:rsidRPr="00382917">
        <w:t>place</w:t>
      </w:r>
      <w:r w:rsidR="00EE4FC3">
        <w:t xml:space="preserve"> </w:t>
      </w:r>
      <w:r w:rsidRPr="00382917">
        <w:t>in</w:t>
      </w:r>
      <w:r w:rsidR="00EE4FC3">
        <w:t xml:space="preserve"> </w:t>
      </w:r>
      <w:r w:rsidRPr="00382917">
        <w:t>the</w:t>
      </w:r>
      <w:r w:rsidR="00EE4FC3">
        <w:t xml:space="preserve"> </w:t>
      </w:r>
      <w:r w:rsidRPr="00382917">
        <w:t>future</w:t>
      </w:r>
      <w:r w:rsidR="00C03C91">
        <w:t>.</w:t>
      </w:r>
      <w:r w:rsidR="00EE4FC3">
        <w:t xml:space="preserve">  </w:t>
      </w:r>
      <w:r w:rsidRPr="00382917">
        <w:t>He</w:t>
      </w:r>
      <w:r w:rsidR="00EE4FC3">
        <w:t xml:space="preserve"> </w:t>
      </w:r>
      <w:r w:rsidRPr="00382917">
        <w:t>told</w:t>
      </w:r>
      <w:r w:rsidR="00EE4FC3">
        <w:t xml:space="preserve"> </w:t>
      </w:r>
      <w:r w:rsidRPr="00382917">
        <w:t>him</w:t>
      </w:r>
      <w:r w:rsidR="00EE4FC3">
        <w:t xml:space="preserve"> </w:t>
      </w:r>
      <w:r w:rsidRPr="00382917">
        <w:t>not</w:t>
      </w:r>
      <w:r w:rsidR="00EE4FC3">
        <w:t xml:space="preserve"> </w:t>
      </w:r>
      <w:r w:rsidRPr="00382917">
        <w:t>to</w:t>
      </w:r>
      <w:r w:rsidR="00EE4FC3">
        <w:t xml:space="preserve"> </w:t>
      </w:r>
      <w:r w:rsidRPr="00382917">
        <w:t>disclose</w:t>
      </w:r>
      <w:r w:rsidR="00EE4FC3">
        <w:t xml:space="preserve"> </w:t>
      </w:r>
      <w:r w:rsidRPr="00382917">
        <w:t>them</w:t>
      </w:r>
      <w:r w:rsidR="00EE4FC3">
        <w:t xml:space="preserve"> </w:t>
      </w:r>
      <w:r w:rsidRPr="00382917">
        <w:t>to</w:t>
      </w:r>
      <w:r w:rsidR="00EE4FC3">
        <w:t xml:space="preserve"> </w:t>
      </w:r>
      <w:r w:rsidRPr="00382917">
        <w:t>anyone.</w:t>
      </w:r>
    </w:p>
    <w:p w:rsidR="00806330" w:rsidRPr="00382917" w:rsidRDefault="00806330" w:rsidP="00806330">
      <w:pPr>
        <w:pStyle w:val="Text"/>
      </w:pPr>
      <w:r w:rsidRPr="00382917">
        <w:t>As</w:t>
      </w:r>
      <w:r w:rsidR="00EE4FC3">
        <w:t xml:space="preserve"> </w:t>
      </w:r>
      <w:r w:rsidRPr="00382917">
        <w:t>the</w:t>
      </w:r>
      <w:r w:rsidR="00EE4FC3">
        <w:t xml:space="preserve"> </w:t>
      </w:r>
      <w:r w:rsidRPr="00382917">
        <w:t>Báb</w:t>
      </w:r>
      <w:r w:rsidR="00EE4FC3">
        <w:t xml:space="preserve"> </w:t>
      </w:r>
      <w:r w:rsidRPr="00382917">
        <w:t>bade</w:t>
      </w:r>
      <w:r w:rsidR="00EE4FC3">
        <w:t xml:space="preserve"> </w:t>
      </w:r>
      <w:r w:rsidRPr="00382917">
        <w:t>His</w:t>
      </w:r>
      <w:r w:rsidR="00EE4FC3">
        <w:t xml:space="preserve"> </w:t>
      </w:r>
      <w:r w:rsidRPr="00382917">
        <w:t>last</w:t>
      </w:r>
      <w:r w:rsidR="00EE4FC3">
        <w:t xml:space="preserve"> </w:t>
      </w:r>
      <w:r w:rsidRPr="00382917">
        <w:t>farewell</w:t>
      </w:r>
      <w:r w:rsidR="00EE4FC3">
        <w:t xml:space="preserve"> </w:t>
      </w:r>
      <w:r w:rsidRPr="00382917">
        <w:t>to</w:t>
      </w:r>
      <w:r w:rsidR="00EE4FC3">
        <w:t xml:space="preserve"> </w:t>
      </w:r>
      <w:r w:rsidRPr="00382917">
        <w:t>Mullá</w:t>
      </w:r>
      <w:r w:rsidR="00EE4FC3">
        <w:t xml:space="preserve"> </w:t>
      </w:r>
      <w:r w:rsidR="00964C11" w:rsidRPr="00382917">
        <w:t>Ḥusayn</w:t>
      </w:r>
      <w:r w:rsidRPr="00382917">
        <w:t>,</w:t>
      </w:r>
      <w:r w:rsidR="00EE4FC3">
        <w:t xml:space="preserve"> </w:t>
      </w:r>
      <w:r w:rsidRPr="00382917">
        <w:t>He</w:t>
      </w:r>
      <w:r w:rsidR="00EE4FC3">
        <w:t xml:space="preserve"> </w:t>
      </w:r>
      <w:r w:rsidRPr="00382917">
        <w:t>said</w:t>
      </w:r>
      <w:r w:rsidR="00EE4FC3">
        <w:t xml:space="preserve"> </w:t>
      </w:r>
      <w:r w:rsidRPr="00382917">
        <w:t>to</w:t>
      </w:r>
      <w:r w:rsidR="00EE4FC3">
        <w:t xml:space="preserve"> </w:t>
      </w:r>
      <w:r w:rsidRPr="00382917">
        <w:t>him</w:t>
      </w:r>
      <w:r w:rsidR="00C03C91">
        <w:t>:</w:t>
      </w:r>
      <w:r w:rsidR="00EE4FC3">
        <w:t xml:space="preserve">  </w:t>
      </w:r>
      <w:r w:rsidR="009C713D" w:rsidRPr="00382917">
        <w:t>“</w:t>
      </w:r>
      <w:r w:rsidRPr="00382917">
        <w:t>You</w:t>
      </w:r>
      <w:r w:rsidR="00EE4FC3">
        <w:t xml:space="preserve"> </w:t>
      </w:r>
      <w:r w:rsidRPr="00382917">
        <w:t>have</w:t>
      </w:r>
      <w:r w:rsidR="00EE4FC3">
        <w:t xml:space="preserve"> </w:t>
      </w:r>
      <w:r w:rsidRPr="00382917">
        <w:t>walked</w:t>
      </w:r>
      <w:r w:rsidR="00EE4FC3">
        <w:t xml:space="preserve"> </w:t>
      </w:r>
      <w:r w:rsidRPr="00382917">
        <w:t>on</w:t>
      </w:r>
      <w:r w:rsidR="00EE4FC3">
        <w:t xml:space="preserve"> </w:t>
      </w:r>
      <w:r w:rsidRPr="00382917">
        <w:t>foot</w:t>
      </w:r>
      <w:r w:rsidR="00EE4FC3">
        <w:t xml:space="preserve"> </w:t>
      </w:r>
      <w:r w:rsidRPr="00382917">
        <w:t>all</w:t>
      </w:r>
      <w:r w:rsidR="00EE4FC3">
        <w:t xml:space="preserve"> </w:t>
      </w:r>
      <w:r w:rsidRPr="00382917">
        <w:t>the</w:t>
      </w:r>
      <w:r w:rsidR="00EE4FC3">
        <w:t xml:space="preserve"> </w:t>
      </w:r>
      <w:r w:rsidRPr="00382917">
        <w:t>way</w:t>
      </w:r>
      <w:r w:rsidR="00EE4FC3">
        <w:t xml:space="preserve"> </w:t>
      </w:r>
      <w:r w:rsidRPr="00382917">
        <w:t>from</w:t>
      </w:r>
      <w:r w:rsidR="00EE4FC3">
        <w:t xml:space="preserve"> </w:t>
      </w:r>
      <w:r w:rsidRPr="00382917">
        <w:t>your</w:t>
      </w:r>
      <w:r w:rsidR="00EE4FC3">
        <w:t xml:space="preserve"> </w:t>
      </w:r>
      <w:r w:rsidRPr="00382917">
        <w:t>native</w:t>
      </w:r>
    </w:p>
    <w:p w:rsidR="00806330" w:rsidRPr="00382917" w:rsidRDefault="00806330">
      <w:pPr>
        <w:widowControl/>
        <w:kinsoku/>
        <w:overflowPunct/>
        <w:textAlignment w:val="auto"/>
      </w:pPr>
      <w:r w:rsidRPr="00382917">
        <w:br w:type="page"/>
      </w:r>
    </w:p>
    <w:p w:rsidR="00806330" w:rsidRPr="00382917" w:rsidRDefault="00806330" w:rsidP="008A0ADC">
      <w:pPr>
        <w:pStyle w:val="Textcts"/>
      </w:pPr>
      <w:proofErr w:type="gramStart"/>
      <w:r w:rsidRPr="00382917">
        <w:t>province</w:t>
      </w:r>
      <w:proofErr w:type="gramEnd"/>
      <w:r w:rsidR="00EE4FC3">
        <w:t xml:space="preserve"> </w:t>
      </w:r>
      <w:r w:rsidRPr="00382917">
        <w:t>to</w:t>
      </w:r>
      <w:r w:rsidR="00EE4FC3">
        <w:t xml:space="preserve"> </w:t>
      </w:r>
      <w:r w:rsidRPr="00382917">
        <w:t>this</w:t>
      </w:r>
      <w:r w:rsidR="00EE4FC3">
        <w:t xml:space="preserve"> </w:t>
      </w:r>
      <w:r w:rsidRPr="00382917">
        <w:t>place</w:t>
      </w:r>
      <w:r w:rsidR="00C03C91">
        <w:t>.</w:t>
      </w:r>
      <w:r w:rsidR="00EE4FC3">
        <w:t xml:space="preserve">  </w:t>
      </w:r>
      <w:r w:rsidRPr="00382917">
        <w:t>On</w:t>
      </w:r>
      <w:r w:rsidR="00EE4FC3">
        <w:t xml:space="preserve"> </w:t>
      </w:r>
      <w:r w:rsidRPr="00382917">
        <w:t>foot</w:t>
      </w:r>
      <w:r w:rsidR="00EE4FC3">
        <w:t xml:space="preserve"> </w:t>
      </w:r>
      <w:r w:rsidRPr="00382917">
        <w:t>you</w:t>
      </w:r>
      <w:r w:rsidR="00EE4FC3">
        <w:t xml:space="preserve"> </w:t>
      </w:r>
      <w:r w:rsidRPr="00382917">
        <w:t>likewise</w:t>
      </w:r>
      <w:r w:rsidR="00EE4FC3">
        <w:t xml:space="preserve"> </w:t>
      </w:r>
      <w:r w:rsidRPr="00382917">
        <w:t>must</w:t>
      </w:r>
      <w:r w:rsidR="00EE4FC3">
        <w:t xml:space="preserve"> </w:t>
      </w:r>
      <w:r w:rsidRPr="00382917">
        <w:t>return</w:t>
      </w:r>
      <w:r w:rsidR="00EE4FC3">
        <w:t xml:space="preserve"> </w:t>
      </w:r>
      <w:r w:rsidR="00F04416" w:rsidRPr="00382917">
        <w:t>…</w:t>
      </w:r>
      <w:r w:rsidR="00EE4FC3">
        <w:t xml:space="preserve"> </w:t>
      </w:r>
      <w:r w:rsidRPr="00382917">
        <w:t>your</w:t>
      </w:r>
      <w:r w:rsidR="00EE4FC3">
        <w:t xml:space="preserve"> </w:t>
      </w:r>
      <w:r w:rsidRPr="00382917">
        <w:t>days</w:t>
      </w:r>
      <w:r w:rsidR="00EE4FC3">
        <w:t xml:space="preserve"> </w:t>
      </w:r>
      <w:r w:rsidRPr="00382917">
        <w:t>of</w:t>
      </w:r>
      <w:r w:rsidR="00EE4FC3">
        <w:t xml:space="preserve"> </w:t>
      </w:r>
      <w:r w:rsidRPr="00382917">
        <w:t>horsemanship</w:t>
      </w:r>
      <w:r w:rsidR="00EE4FC3">
        <w:t xml:space="preserve"> </w:t>
      </w:r>
      <w:r w:rsidRPr="00382917">
        <w:t>are</w:t>
      </w:r>
      <w:r w:rsidR="00EE4FC3">
        <w:t xml:space="preserve"> </w:t>
      </w:r>
      <w:r w:rsidRPr="00382917">
        <w:t>yet</w:t>
      </w:r>
      <w:r w:rsidR="00EE4FC3">
        <w:t xml:space="preserve"> </w:t>
      </w:r>
      <w:r w:rsidRPr="00382917">
        <w:t>to</w:t>
      </w:r>
      <w:r w:rsidR="00EE4FC3">
        <w:t xml:space="preserve"> </w:t>
      </w:r>
      <w:r w:rsidRPr="00382917">
        <w:t>come</w:t>
      </w:r>
      <w:r w:rsidR="00C03C91">
        <w:t>.</w:t>
      </w:r>
      <w:r w:rsidR="00EE4FC3">
        <w:t xml:space="preserve">  </w:t>
      </w:r>
      <w:r w:rsidRPr="00382917">
        <w:t>You</w:t>
      </w:r>
      <w:r w:rsidR="00EE4FC3">
        <w:t xml:space="preserve"> </w:t>
      </w:r>
      <w:r w:rsidRPr="00382917">
        <w:t>are</w:t>
      </w:r>
      <w:r w:rsidR="00EE4FC3">
        <w:t xml:space="preserve"> </w:t>
      </w:r>
      <w:r w:rsidRPr="00382917">
        <w:t>destined</w:t>
      </w:r>
      <w:r w:rsidR="00EE4FC3">
        <w:t xml:space="preserve"> </w:t>
      </w:r>
      <w:r w:rsidRPr="00382917">
        <w:t>to</w:t>
      </w:r>
      <w:r w:rsidR="00EE4FC3">
        <w:t xml:space="preserve"> </w:t>
      </w:r>
      <w:r w:rsidRPr="00382917">
        <w:t>exhibit</w:t>
      </w:r>
      <w:r w:rsidR="00EE4FC3">
        <w:t xml:space="preserve"> </w:t>
      </w:r>
      <w:r w:rsidRPr="00382917">
        <w:t>such</w:t>
      </w:r>
      <w:r w:rsidR="00EE4FC3">
        <w:t xml:space="preserve"> </w:t>
      </w:r>
      <w:r w:rsidRPr="00382917">
        <w:t>courage,</w:t>
      </w:r>
      <w:r w:rsidR="00EE4FC3">
        <w:t xml:space="preserve"> </w:t>
      </w:r>
      <w:r w:rsidRPr="00382917">
        <w:t>such</w:t>
      </w:r>
      <w:r w:rsidR="00EE4FC3">
        <w:t xml:space="preserve"> </w:t>
      </w:r>
      <w:r w:rsidRPr="00382917">
        <w:t>skill</w:t>
      </w:r>
      <w:r w:rsidR="00EE4FC3">
        <w:t xml:space="preserve"> </w:t>
      </w:r>
      <w:r w:rsidRPr="00382917">
        <w:t>and</w:t>
      </w:r>
      <w:r w:rsidR="00EE4FC3">
        <w:t xml:space="preserve"> </w:t>
      </w:r>
      <w:r w:rsidRPr="00382917">
        <w:t>heroism</w:t>
      </w:r>
      <w:r w:rsidR="00EE4FC3">
        <w:t xml:space="preserve"> </w:t>
      </w:r>
      <w:r w:rsidRPr="00382917">
        <w:t>as</w:t>
      </w:r>
      <w:r w:rsidR="00EE4FC3">
        <w:t xml:space="preserve"> </w:t>
      </w:r>
      <w:r w:rsidRPr="00382917">
        <w:t>shall</w:t>
      </w:r>
      <w:r w:rsidR="00EE4FC3">
        <w:t xml:space="preserve"> </w:t>
      </w:r>
      <w:r w:rsidRPr="00382917">
        <w:t>eclipse</w:t>
      </w:r>
      <w:r w:rsidR="00EE4FC3">
        <w:t xml:space="preserve"> </w:t>
      </w:r>
      <w:r w:rsidRPr="00382917">
        <w:t>the</w:t>
      </w:r>
      <w:r w:rsidR="00EE4FC3">
        <w:t xml:space="preserve"> </w:t>
      </w:r>
      <w:r w:rsidRPr="00382917">
        <w:t>heroes</w:t>
      </w:r>
      <w:r w:rsidR="00EE4FC3">
        <w:t xml:space="preserve"> </w:t>
      </w:r>
      <w:r w:rsidRPr="00382917">
        <w:t>of</w:t>
      </w:r>
      <w:r w:rsidR="00EE4FC3">
        <w:t xml:space="preserve"> </w:t>
      </w:r>
      <w:r w:rsidRPr="00382917">
        <w:t>old.</w:t>
      </w:r>
      <w:r w:rsidR="009C713D" w:rsidRPr="00382917">
        <w:t>”</w:t>
      </w:r>
    </w:p>
    <w:p w:rsidR="00806330" w:rsidRPr="00382917" w:rsidRDefault="00806330" w:rsidP="00806330">
      <w:pPr>
        <w:pStyle w:val="Text"/>
      </w:pPr>
      <w:r w:rsidRPr="00382917">
        <w:t>The</w:t>
      </w:r>
      <w:r w:rsidR="00EE4FC3">
        <w:t xml:space="preserve"> </w:t>
      </w:r>
      <w:r w:rsidRPr="00382917">
        <w:t>Báb</w:t>
      </w:r>
      <w:r w:rsidR="00EE4FC3">
        <w:t xml:space="preserve"> </w:t>
      </w:r>
      <w:r w:rsidRPr="00382917">
        <w:t>instructed</w:t>
      </w:r>
      <w:r w:rsidR="00EE4FC3">
        <w:t xml:space="preserve"> </w:t>
      </w:r>
      <w:r w:rsidRPr="00382917">
        <w:t>Mullá</w:t>
      </w:r>
      <w:r w:rsidR="00EE4FC3">
        <w:t xml:space="preserve"> </w:t>
      </w:r>
      <w:r w:rsidR="00964C11" w:rsidRPr="00382917">
        <w:t>Ḥusayn</w:t>
      </w:r>
      <w:r w:rsidR="00EE4FC3">
        <w:t xml:space="preserve"> </w:t>
      </w:r>
      <w:r w:rsidRPr="00382917">
        <w:t>to</w:t>
      </w:r>
      <w:r w:rsidR="00EE4FC3">
        <w:t xml:space="preserve"> </w:t>
      </w:r>
      <w:r w:rsidRPr="00382917">
        <w:t>visit</w:t>
      </w:r>
      <w:r w:rsidR="00EE4FC3">
        <w:t xml:space="preserve"> </w:t>
      </w:r>
      <w:r w:rsidRPr="00382917">
        <w:t>the</w:t>
      </w:r>
      <w:r w:rsidR="00EE4FC3">
        <w:t xml:space="preserve"> </w:t>
      </w:r>
      <w:r w:rsidRPr="00382917">
        <w:t>believers</w:t>
      </w:r>
      <w:r w:rsidR="00EE4FC3">
        <w:t xml:space="preserve"> </w:t>
      </w:r>
      <w:r w:rsidRPr="00382917">
        <w:t>in</w:t>
      </w:r>
      <w:r w:rsidR="00EE4FC3">
        <w:t xml:space="preserve"> </w:t>
      </w:r>
      <w:r w:rsidRPr="00382917">
        <w:t>each</w:t>
      </w:r>
      <w:r w:rsidR="00EE4FC3">
        <w:t xml:space="preserve"> </w:t>
      </w:r>
      <w:r w:rsidRPr="00382917">
        <w:t>of</w:t>
      </w:r>
      <w:r w:rsidR="00EE4FC3">
        <w:t xml:space="preserve"> </w:t>
      </w:r>
      <w:r w:rsidRPr="00382917">
        <w:t>the</w:t>
      </w:r>
      <w:r w:rsidR="00EE4FC3">
        <w:t xml:space="preserve"> </w:t>
      </w:r>
      <w:r w:rsidRPr="00382917">
        <w:t>villages</w:t>
      </w:r>
      <w:r w:rsidR="00EE4FC3">
        <w:t xml:space="preserve"> </w:t>
      </w:r>
      <w:r w:rsidRPr="00382917">
        <w:t>on</w:t>
      </w:r>
      <w:r w:rsidR="00EE4FC3">
        <w:t xml:space="preserve"> </w:t>
      </w:r>
      <w:r w:rsidRPr="00382917">
        <w:t>his</w:t>
      </w:r>
      <w:r w:rsidR="00EE4FC3">
        <w:t xml:space="preserve"> </w:t>
      </w:r>
      <w:r w:rsidRPr="00382917">
        <w:t>way</w:t>
      </w:r>
      <w:r w:rsidR="00EE4FC3">
        <w:t xml:space="preserve"> </w:t>
      </w:r>
      <w:r w:rsidRPr="00382917">
        <w:t>back</w:t>
      </w:r>
      <w:r w:rsidR="00C03C91">
        <w:t>.</w:t>
      </w:r>
      <w:r w:rsidR="00EE4FC3">
        <w:t xml:space="preserve">  </w:t>
      </w:r>
      <w:r w:rsidR="009C713D" w:rsidRPr="00382917">
        <w:t>“</w:t>
      </w:r>
      <w:r w:rsidRPr="00382917">
        <w:t>Inflame</w:t>
      </w:r>
      <w:r w:rsidR="00EE4FC3">
        <w:t xml:space="preserve"> </w:t>
      </w:r>
      <w:r w:rsidRPr="00382917">
        <w:t>their</w:t>
      </w:r>
      <w:r w:rsidR="00EE4FC3">
        <w:t xml:space="preserve"> </w:t>
      </w:r>
      <w:r w:rsidRPr="00382917">
        <w:t>hearts</w:t>
      </w:r>
      <w:r w:rsidR="00EE4FC3">
        <w:t xml:space="preserve"> </w:t>
      </w:r>
      <w:proofErr w:type="gramStart"/>
      <w:r w:rsidRPr="00382917">
        <w:t>anew,</w:t>
      </w:r>
      <w:r w:rsidR="00EE4FC3">
        <w:t xml:space="preserve"> </w:t>
      </w:r>
      <w:r w:rsidR="00F04416" w:rsidRPr="00382917">
        <w:t>…</w:t>
      </w:r>
      <w:r w:rsidR="009C713D" w:rsidRPr="00382917">
        <w:t>”</w:t>
      </w:r>
      <w:proofErr w:type="gramEnd"/>
      <w:r w:rsidR="00EE4FC3">
        <w:t xml:space="preserve"> </w:t>
      </w:r>
      <w:r w:rsidRPr="00382917">
        <w:t>He</w:t>
      </w:r>
      <w:r w:rsidR="00EE4FC3">
        <w:t xml:space="preserve"> </w:t>
      </w:r>
      <w:r w:rsidRPr="00382917">
        <w:t>told</w:t>
      </w:r>
      <w:r w:rsidR="00EE4FC3">
        <w:t xml:space="preserve"> </w:t>
      </w:r>
      <w:r w:rsidRPr="00382917">
        <w:t>him,</w:t>
      </w:r>
      <w:r w:rsidR="00EE4FC3">
        <w:t xml:space="preserve"> </w:t>
      </w:r>
      <w:r w:rsidR="009C713D" w:rsidRPr="00382917">
        <w:t>“</w:t>
      </w:r>
      <w:r w:rsidRPr="00382917">
        <w:t>and</w:t>
      </w:r>
      <w:r w:rsidR="00EE4FC3">
        <w:t xml:space="preserve"> </w:t>
      </w:r>
      <w:r w:rsidRPr="00382917">
        <w:t>fortify</w:t>
      </w:r>
      <w:r w:rsidR="00EE4FC3">
        <w:t xml:space="preserve"> </w:t>
      </w:r>
      <w:r w:rsidRPr="00382917">
        <w:t>their</w:t>
      </w:r>
      <w:r w:rsidR="00EE4FC3">
        <w:t xml:space="preserve"> </w:t>
      </w:r>
      <w:r w:rsidRPr="00382917">
        <w:t>faith</w:t>
      </w:r>
      <w:r w:rsidR="00EE4FC3">
        <w:t xml:space="preserve"> </w:t>
      </w:r>
      <w:r w:rsidRPr="00382917">
        <w:t>in</w:t>
      </w:r>
      <w:r w:rsidR="00EE4FC3">
        <w:t xml:space="preserve"> </w:t>
      </w:r>
      <w:r w:rsidRPr="00382917">
        <w:t>this</w:t>
      </w:r>
      <w:r w:rsidR="00EE4FC3">
        <w:t xml:space="preserve"> </w:t>
      </w:r>
      <w:r w:rsidRPr="00382917">
        <w:t>Revelation.</w:t>
      </w:r>
    </w:p>
    <w:p w:rsidR="00806330" w:rsidRPr="00382917" w:rsidRDefault="009C713D" w:rsidP="00806330">
      <w:pPr>
        <w:pStyle w:val="Text"/>
      </w:pPr>
      <w:r w:rsidRPr="00382917">
        <w:t>“</w:t>
      </w:r>
      <w:r w:rsidR="00806330" w:rsidRPr="00382917">
        <w:t>A</w:t>
      </w:r>
      <w:r w:rsidR="00EE4FC3">
        <w:t xml:space="preserve"> </w:t>
      </w:r>
      <w:r w:rsidR="00806330" w:rsidRPr="00382917">
        <w:t>few</w:t>
      </w:r>
      <w:r w:rsidR="00EE4FC3">
        <w:t xml:space="preserve"> </w:t>
      </w:r>
      <w:r w:rsidR="00806330" w:rsidRPr="00382917">
        <w:t>days</w:t>
      </w:r>
      <w:r w:rsidR="00EE4FC3">
        <w:t xml:space="preserve"> </w:t>
      </w:r>
      <w:r w:rsidR="00806330" w:rsidRPr="00382917">
        <w:t>after</w:t>
      </w:r>
      <w:r w:rsidR="00EE4FC3">
        <w:t xml:space="preserve"> </w:t>
      </w:r>
      <w:r w:rsidR="00806330" w:rsidRPr="00382917">
        <w:t>your</w:t>
      </w:r>
      <w:r w:rsidR="00EE4FC3">
        <w:t xml:space="preserve"> </w:t>
      </w:r>
      <w:r w:rsidR="00806330" w:rsidRPr="00382917">
        <w:t>departure,</w:t>
      </w:r>
      <w:r w:rsidR="00EE4FC3">
        <w:t xml:space="preserve"> </w:t>
      </w:r>
      <w:r w:rsidR="00806330" w:rsidRPr="00382917">
        <w:t>they</w:t>
      </w:r>
      <w:r w:rsidR="00EE4FC3">
        <w:t xml:space="preserve"> </w:t>
      </w:r>
      <w:r w:rsidR="00806330" w:rsidRPr="00382917">
        <w:t>will</w:t>
      </w:r>
      <w:r w:rsidR="00EE4FC3">
        <w:t xml:space="preserve"> </w:t>
      </w:r>
      <w:r w:rsidR="00806330" w:rsidRPr="00382917">
        <w:t>transfer</w:t>
      </w:r>
      <w:r w:rsidR="00EE4FC3">
        <w:t xml:space="preserve"> </w:t>
      </w:r>
      <w:proofErr w:type="gramStart"/>
      <w:r w:rsidR="00806330" w:rsidRPr="00382917">
        <w:t>Us</w:t>
      </w:r>
      <w:proofErr w:type="gramEnd"/>
      <w:r w:rsidR="00EE4FC3">
        <w:t xml:space="preserve"> </w:t>
      </w:r>
      <w:r w:rsidR="00806330" w:rsidRPr="00382917">
        <w:t>to</w:t>
      </w:r>
      <w:r w:rsidR="00EE4FC3">
        <w:t xml:space="preserve"> </w:t>
      </w:r>
      <w:r w:rsidR="00806330" w:rsidRPr="00382917">
        <w:t>another</w:t>
      </w:r>
      <w:r w:rsidR="00EE4FC3">
        <w:t xml:space="preserve"> </w:t>
      </w:r>
      <w:r w:rsidR="00806330" w:rsidRPr="00382917">
        <w:t>mountain</w:t>
      </w:r>
      <w:r w:rsidR="00C03C91">
        <w:t>.</w:t>
      </w:r>
      <w:r w:rsidR="00EE4FC3">
        <w:t xml:space="preserve">  </w:t>
      </w:r>
      <w:r w:rsidR="00806330" w:rsidRPr="00382917">
        <w:t>Ere</w:t>
      </w:r>
      <w:r w:rsidR="00EE4FC3">
        <w:t xml:space="preserve"> </w:t>
      </w:r>
      <w:r w:rsidR="00806330" w:rsidRPr="00382917">
        <w:t>you</w:t>
      </w:r>
      <w:r w:rsidR="00EE4FC3">
        <w:t xml:space="preserve"> </w:t>
      </w:r>
      <w:r w:rsidR="00806330" w:rsidRPr="00382917">
        <w:t>arrive</w:t>
      </w:r>
      <w:r w:rsidR="00EE4FC3">
        <w:t xml:space="preserve"> </w:t>
      </w:r>
      <w:r w:rsidR="00806330" w:rsidRPr="00382917">
        <w:t>at</w:t>
      </w:r>
      <w:r w:rsidR="00EE4FC3">
        <w:t xml:space="preserve"> </w:t>
      </w:r>
      <w:r w:rsidR="00806330" w:rsidRPr="00382917">
        <w:t>your</w:t>
      </w:r>
      <w:r w:rsidR="00EE4FC3">
        <w:t xml:space="preserve"> </w:t>
      </w:r>
      <w:r w:rsidR="00806330" w:rsidRPr="00382917">
        <w:t>destination,</w:t>
      </w:r>
      <w:r w:rsidR="00EE4FC3">
        <w:t xml:space="preserve"> </w:t>
      </w:r>
      <w:r w:rsidR="00806330" w:rsidRPr="00382917">
        <w:t>the</w:t>
      </w:r>
      <w:r w:rsidR="00EE4FC3">
        <w:t xml:space="preserve"> </w:t>
      </w:r>
      <w:r w:rsidR="00806330" w:rsidRPr="00382917">
        <w:t>news</w:t>
      </w:r>
      <w:r w:rsidR="00EE4FC3">
        <w:t xml:space="preserve"> </w:t>
      </w:r>
      <w:r w:rsidR="00806330" w:rsidRPr="00382917">
        <w:t>of</w:t>
      </w:r>
      <w:r w:rsidR="00EE4FC3">
        <w:t xml:space="preserve"> </w:t>
      </w:r>
      <w:proofErr w:type="gramStart"/>
      <w:r w:rsidR="00806330" w:rsidRPr="00382917">
        <w:t>Our</w:t>
      </w:r>
      <w:proofErr w:type="gramEnd"/>
      <w:r w:rsidR="00EE4FC3">
        <w:t xml:space="preserve"> </w:t>
      </w:r>
      <w:r w:rsidR="00806330" w:rsidRPr="00382917">
        <w:t>departure</w:t>
      </w:r>
      <w:r w:rsidR="00EE4FC3">
        <w:t xml:space="preserve"> </w:t>
      </w:r>
      <w:r w:rsidR="00806330" w:rsidRPr="00382917">
        <w:t>from</w:t>
      </w:r>
      <w:r w:rsidR="00EE4FC3">
        <w:t xml:space="preserve"> </w:t>
      </w:r>
      <w:r w:rsidR="00806330" w:rsidRPr="00382917">
        <w:t>Máh-Kú</w:t>
      </w:r>
      <w:r w:rsidR="00EE4FC3">
        <w:t xml:space="preserve"> </w:t>
      </w:r>
      <w:r w:rsidR="00806330" w:rsidRPr="00382917">
        <w:t>will</w:t>
      </w:r>
      <w:r w:rsidR="00EE4FC3">
        <w:t xml:space="preserve"> </w:t>
      </w:r>
      <w:r w:rsidR="00806330" w:rsidRPr="00382917">
        <w:t>have</w:t>
      </w:r>
      <w:r w:rsidR="00EE4FC3">
        <w:t xml:space="preserve"> </w:t>
      </w:r>
      <w:r w:rsidR="00806330" w:rsidRPr="00382917">
        <w:t>reached</w:t>
      </w:r>
      <w:r w:rsidR="00EE4FC3">
        <w:t xml:space="preserve"> </w:t>
      </w:r>
      <w:r w:rsidR="00806330" w:rsidRPr="00382917">
        <w:t>you.</w:t>
      </w:r>
      <w:r w:rsidRPr="00382917">
        <w:t>”</w:t>
      </w:r>
    </w:p>
    <w:p w:rsidR="00806330" w:rsidRPr="00382917" w:rsidRDefault="00806330" w:rsidP="00806330">
      <w:pPr>
        <w:pStyle w:val="Text"/>
      </w:pPr>
      <w:r w:rsidRPr="00382917">
        <w:t>The</w:t>
      </w:r>
      <w:r w:rsidR="00EE4FC3">
        <w:t xml:space="preserve"> </w:t>
      </w:r>
      <w:r w:rsidRPr="00382917">
        <w:t>prediction</w:t>
      </w:r>
      <w:r w:rsidR="00EE4FC3">
        <w:t xml:space="preserve"> </w:t>
      </w:r>
      <w:r w:rsidRPr="00382917">
        <w:t>of</w:t>
      </w:r>
      <w:r w:rsidR="00EE4FC3">
        <w:t xml:space="preserve"> </w:t>
      </w:r>
      <w:r w:rsidRPr="00382917">
        <w:t>the</w:t>
      </w:r>
      <w:r w:rsidR="00EE4FC3">
        <w:t xml:space="preserve"> </w:t>
      </w:r>
      <w:r w:rsidRPr="00382917">
        <w:t>Báb</w:t>
      </w:r>
      <w:r w:rsidR="00EE4FC3">
        <w:t xml:space="preserve"> </w:t>
      </w:r>
      <w:r w:rsidRPr="00382917">
        <w:t>soon</w:t>
      </w:r>
      <w:r w:rsidR="00EE4FC3">
        <w:t xml:space="preserve"> </w:t>
      </w:r>
      <w:r w:rsidRPr="00382917">
        <w:t>came</w:t>
      </w:r>
      <w:r w:rsidR="00EE4FC3">
        <w:t xml:space="preserve"> </w:t>
      </w:r>
      <w:r w:rsidRPr="00382917">
        <w:t>to</w:t>
      </w:r>
      <w:r w:rsidR="00EE4FC3">
        <w:t xml:space="preserve"> </w:t>
      </w:r>
      <w:r w:rsidRPr="00382917">
        <w:t>pass</w:t>
      </w:r>
      <w:r w:rsidR="00C03C91">
        <w:t>.</w:t>
      </w:r>
      <w:r w:rsidR="00EE4FC3">
        <w:t xml:space="preserve">  </w:t>
      </w:r>
      <w:r w:rsidRPr="00382917">
        <w:t>Those</w:t>
      </w:r>
      <w:r w:rsidR="00EE4FC3">
        <w:t xml:space="preserve"> </w:t>
      </w:r>
      <w:r w:rsidRPr="00382917">
        <w:t>who</w:t>
      </w:r>
      <w:r w:rsidR="00EE4FC3">
        <w:t xml:space="preserve"> </w:t>
      </w:r>
      <w:r w:rsidRPr="00382917">
        <w:t>had</w:t>
      </w:r>
      <w:r w:rsidR="00EE4FC3">
        <w:t xml:space="preserve"> </w:t>
      </w:r>
      <w:r w:rsidRPr="00382917">
        <w:t>been</w:t>
      </w:r>
      <w:r w:rsidR="00EE4FC3">
        <w:t xml:space="preserve"> </w:t>
      </w:r>
      <w:r w:rsidRPr="00382917">
        <w:t>sent</w:t>
      </w:r>
      <w:r w:rsidR="00EE4FC3">
        <w:t xml:space="preserve"> </w:t>
      </w:r>
      <w:r w:rsidRPr="00382917">
        <w:t>by</w:t>
      </w:r>
      <w:r w:rsidR="00EE4FC3">
        <w:t xml:space="preserve"> </w:t>
      </w:r>
      <w:r w:rsidRPr="00382917">
        <w:t>the</w:t>
      </w:r>
      <w:r w:rsidR="00EE4FC3">
        <w:t xml:space="preserve"> </w:t>
      </w:r>
      <w:r w:rsidRPr="00382917">
        <w:t>Prime</w:t>
      </w:r>
      <w:r w:rsidR="00EE4FC3">
        <w:t xml:space="preserve"> </w:t>
      </w:r>
      <w:r w:rsidRPr="00382917">
        <w:t>Minister</w:t>
      </w:r>
      <w:r w:rsidR="00EE4FC3">
        <w:t xml:space="preserve"> </w:t>
      </w:r>
      <w:r w:rsidRPr="00382917">
        <w:t>to</w:t>
      </w:r>
      <w:r w:rsidR="00EE4FC3">
        <w:t xml:space="preserve"> </w:t>
      </w:r>
      <w:r w:rsidRPr="00382917">
        <w:t>watch</w:t>
      </w:r>
      <w:r w:rsidR="00EE4FC3">
        <w:t xml:space="preserve"> </w:t>
      </w:r>
      <w:r w:rsidRPr="00382917">
        <w:t>secretly</w:t>
      </w:r>
      <w:r w:rsidR="00EE4FC3">
        <w:t xml:space="preserve"> </w:t>
      </w:r>
      <w:r w:rsidRPr="00382917">
        <w:t>and</w:t>
      </w:r>
      <w:r w:rsidR="00EE4FC3">
        <w:t xml:space="preserve"> </w:t>
      </w:r>
      <w:r w:rsidRPr="00382917">
        <w:t>report</w:t>
      </w:r>
      <w:r w:rsidR="00EE4FC3">
        <w:t xml:space="preserve"> </w:t>
      </w:r>
      <w:r w:rsidRPr="00382917">
        <w:t>what</w:t>
      </w:r>
      <w:r w:rsidR="00EE4FC3">
        <w:t xml:space="preserve"> </w:t>
      </w:r>
      <w:r w:rsidRPr="00382917">
        <w:t>was</w:t>
      </w:r>
      <w:r w:rsidR="00EE4FC3">
        <w:t xml:space="preserve"> </w:t>
      </w:r>
      <w:r w:rsidRPr="00382917">
        <w:t>taking</w:t>
      </w:r>
      <w:r w:rsidR="00EE4FC3">
        <w:t xml:space="preserve"> </w:t>
      </w:r>
      <w:r w:rsidRPr="00382917">
        <w:t>place</w:t>
      </w:r>
      <w:r w:rsidR="00EE4FC3">
        <w:t xml:space="preserve"> </w:t>
      </w:r>
      <w:r w:rsidRPr="00382917">
        <w:t>at</w:t>
      </w:r>
      <w:r w:rsidR="00EE4FC3">
        <w:t xml:space="preserve"> </w:t>
      </w:r>
      <w:r w:rsidRPr="00382917">
        <w:t>Máh-Kú,</w:t>
      </w:r>
      <w:r w:rsidR="00EE4FC3">
        <w:t xml:space="preserve"> </w:t>
      </w:r>
      <w:r w:rsidRPr="00382917">
        <w:t>sent</w:t>
      </w:r>
      <w:r w:rsidR="00EE4FC3">
        <w:t xml:space="preserve"> </w:t>
      </w:r>
      <w:r w:rsidRPr="00382917">
        <w:t>back</w:t>
      </w:r>
      <w:r w:rsidR="00EE4FC3">
        <w:t xml:space="preserve"> </w:t>
      </w:r>
      <w:r w:rsidRPr="00382917">
        <w:t>alarming</w:t>
      </w:r>
      <w:r w:rsidR="00EE4FC3">
        <w:t xml:space="preserve"> </w:t>
      </w:r>
      <w:r w:rsidRPr="00382917">
        <w:t>news.</w:t>
      </w:r>
    </w:p>
    <w:p w:rsidR="00806330" w:rsidRPr="00382917" w:rsidRDefault="009C713D" w:rsidP="00806330">
      <w:pPr>
        <w:pStyle w:val="Text"/>
      </w:pPr>
      <w:r w:rsidRPr="00382917">
        <w:t>“</w:t>
      </w:r>
      <w:r w:rsidR="00806330" w:rsidRPr="00382917">
        <w:t>The</w:t>
      </w:r>
      <w:r w:rsidR="00EE4FC3">
        <w:t xml:space="preserve"> </w:t>
      </w:r>
      <w:r w:rsidR="00806330" w:rsidRPr="00382917">
        <w:t>once</w:t>
      </w:r>
      <w:r w:rsidR="00EE4FC3">
        <w:t xml:space="preserve"> </w:t>
      </w:r>
      <w:r w:rsidR="00806330" w:rsidRPr="00382917">
        <w:t>unfriendly</w:t>
      </w:r>
      <w:r w:rsidR="00EE4FC3">
        <w:t xml:space="preserve"> </w:t>
      </w:r>
      <w:r w:rsidR="00806330" w:rsidRPr="00382917">
        <w:t>people</w:t>
      </w:r>
      <w:r w:rsidR="00EE4FC3">
        <w:t xml:space="preserve"> </w:t>
      </w:r>
      <w:r w:rsidR="00806330" w:rsidRPr="00382917">
        <w:t>of</w:t>
      </w:r>
      <w:r w:rsidR="00EE4FC3">
        <w:t xml:space="preserve"> </w:t>
      </w:r>
      <w:r w:rsidR="00806330" w:rsidRPr="00382917">
        <w:t>Máh-Kú</w:t>
      </w:r>
      <w:r w:rsidR="00EE4FC3">
        <w:t xml:space="preserve"> </w:t>
      </w:r>
      <w:r w:rsidR="00806330" w:rsidRPr="00382917">
        <w:t>are</w:t>
      </w:r>
      <w:r w:rsidR="00EE4FC3">
        <w:t xml:space="preserve"> </w:t>
      </w:r>
      <w:r w:rsidR="00806330" w:rsidRPr="00382917">
        <w:t>now</w:t>
      </w:r>
      <w:r w:rsidR="00EE4FC3">
        <w:t xml:space="preserve"> </w:t>
      </w:r>
      <w:r w:rsidR="00806330" w:rsidRPr="00382917">
        <w:t>showing</w:t>
      </w:r>
      <w:r w:rsidR="00EE4FC3">
        <w:t xml:space="preserve"> </w:t>
      </w:r>
      <w:r w:rsidR="00806330" w:rsidRPr="00382917">
        <w:t>the</w:t>
      </w:r>
      <w:r w:rsidR="00EE4FC3">
        <w:t xml:space="preserve"> </w:t>
      </w:r>
      <w:r w:rsidR="00806330" w:rsidRPr="00382917">
        <w:t>greatest</w:t>
      </w:r>
      <w:r w:rsidR="00EE4FC3">
        <w:t xml:space="preserve"> </w:t>
      </w:r>
      <w:r w:rsidR="00806330" w:rsidRPr="00382917">
        <w:t>respect</w:t>
      </w:r>
      <w:r w:rsidR="00EE4FC3">
        <w:t xml:space="preserve"> </w:t>
      </w:r>
      <w:r w:rsidR="00806330" w:rsidRPr="00382917">
        <w:t>and</w:t>
      </w:r>
      <w:r w:rsidR="00EE4FC3">
        <w:t xml:space="preserve"> </w:t>
      </w:r>
      <w:r w:rsidR="00806330" w:rsidRPr="00382917">
        <w:t>love</w:t>
      </w:r>
      <w:r w:rsidR="00EE4FC3">
        <w:t xml:space="preserve"> </w:t>
      </w:r>
      <w:r w:rsidR="00806330" w:rsidRPr="00382917">
        <w:t>for</w:t>
      </w:r>
      <w:r w:rsidR="00EE4FC3">
        <w:t xml:space="preserve"> </w:t>
      </w:r>
      <w:r w:rsidR="00806330" w:rsidRPr="00382917">
        <w:t>the</w:t>
      </w:r>
      <w:r w:rsidR="00EE4FC3">
        <w:t xml:space="preserve"> </w:t>
      </w:r>
      <w:r w:rsidR="00806330" w:rsidRPr="00382917">
        <w:t>Báb,</w:t>
      </w:r>
      <w:r w:rsidRPr="00382917">
        <w:t>”</w:t>
      </w:r>
      <w:r w:rsidR="00EE4FC3">
        <w:t xml:space="preserve"> </w:t>
      </w:r>
      <w:r w:rsidR="00806330" w:rsidRPr="00382917">
        <w:t>they</w:t>
      </w:r>
      <w:r w:rsidR="00EE4FC3">
        <w:t xml:space="preserve"> </w:t>
      </w:r>
      <w:r w:rsidR="00806330" w:rsidRPr="00382917">
        <w:t>confessed</w:t>
      </w:r>
      <w:r w:rsidR="00C03C91">
        <w:t>.</w:t>
      </w:r>
      <w:r w:rsidR="00EE4FC3">
        <w:t xml:space="preserve">  </w:t>
      </w:r>
      <w:r w:rsidRPr="00382917">
        <w:t>“</w:t>
      </w:r>
      <w:r w:rsidR="00806330" w:rsidRPr="00382917">
        <w:t>People</w:t>
      </w:r>
      <w:r w:rsidR="00EE4FC3">
        <w:t xml:space="preserve"> </w:t>
      </w:r>
      <w:r w:rsidR="00806330" w:rsidRPr="00382917">
        <w:t>come</w:t>
      </w:r>
      <w:r w:rsidR="00EE4FC3">
        <w:t xml:space="preserve"> </w:t>
      </w:r>
      <w:r w:rsidR="00806330" w:rsidRPr="00382917">
        <w:t>from</w:t>
      </w:r>
      <w:r w:rsidR="00EE4FC3">
        <w:t xml:space="preserve"> </w:t>
      </w:r>
      <w:r w:rsidR="00806330" w:rsidRPr="00382917">
        <w:t>everywhere</w:t>
      </w:r>
      <w:r w:rsidR="00EE4FC3">
        <w:t xml:space="preserve"> </w:t>
      </w:r>
      <w:r w:rsidR="00806330" w:rsidRPr="00382917">
        <w:t>to</w:t>
      </w:r>
      <w:r w:rsidR="00EE4FC3">
        <w:t xml:space="preserve"> </w:t>
      </w:r>
      <w:r w:rsidR="00806330" w:rsidRPr="00382917">
        <w:t>visit</w:t>
      </w:r>
      <w:r w:rsidR="00EE4FC3">
        <w:t xml:space="preserve"> </w:t>
      </w:r>
      <w:r w:rsidR="00806330" w:rsidRPr="00382917">
        <w:t>him</w:t>
      </w:r>
      <w:r w:rsidR="00C03C91">
        <w:t>.</w:t>
      </w:r>
      <w:r w:rsidR="00EE4FC3">
        <w:t xml:space="preserve">  </w:t>
      </w:r>
      <w:proofErr w:type="gramStart"/>
      <w:r w:rsidR="00806330" w:rsidRPr="00382917">
        <w:t>Even</w:t>
      </w:r>
      <w:r w:rsidR="00EE4FC3">
        <w:t xml:space="preserve"> </w:t>
      </w:r>
      <w:r w:rsidRPr="00382917">
        <w:t>‘</w:t>
      </w:r>
      <w:r w:rsidR="00806330" w:rsidRPr="00382917">
        <w:t>Alí</w:t>
      </w:r>
      <w:r w:rsidR="00EE4FC3">
        <w:t xml:space="preserve"> </w:t>
      </w:r>
      <w:r w:rsidR="0040329F" w:rsidRPr="0040329F">
        <w:rPr>
          <w:u w:val="single"/>
        </w:rPr>
        <w:t>Kh</w:t>
      </w:r>
      <w:r w:rsidR="0040329F" w:rsidRPr="00382917">
        <w:t>án</w:t>
      </w:r>
      <w:r w:rsidR="00806330" w:rsidRPr="00382917">
        <w:t>,</w:t>
      </w:r>
      <w:r w:rsidR="00EE4FC3">
        <w:t xml:space="preserve"> </w:t>
      </w:r>
      <w:r w:rsidR="00806330" w:rsidRPr="00382917">
        <w:t>the</w:t>
      </w:r>
      <w:r w:rsidR="00EE4FC3">
        <w:t xml:space="preserve"> </w:t>
      </w:r>
      <w:r w:rsidR="00806330" w:rsidRPr="00382917">
        <w:t>warden,</w:t>
      </w:r>
      <w:r w:rsidR="00EE4FC3">
        <w:t xml:space="preserve"> </w:t>
      </w:r>
      <w:r w:rsidR="00806330" w:rsidRPr="00382917">
        <w:t>has</w:t>
      </w:r>
      <w:r w:rsidR="00EE4FC3">
        <w:t xml:space="preserve"> </w:t>
      </w:r>
      <w:r w:rsidR="00806330" w:rsidRPr="00382917">
        <w:t>been</w:t>
      </w:r>
      <w:r w:rsidR="00EE4FC3">
        <w:t xml:space="preserve"> </w:t>
      </w:r>
      <w:r w:rsidR="00806330" w:rsidRPr="00382917">
        <w:t>enchanted</w:t>
      </w:r>
      <w:r w:rsidR="00EE4FC3">
        <w:t xml:space="preserve"> </w:t>
      </w:r>
      <w:r w:rsidR="00806330" w:rsidRPr="00382917">
        <w:t>by</w:t>
      </w:r>
      <w:r w:rsidR="00EE4FC3">
        <w:t xml:space="preserve"> </w:t>
      </w:r>
      <w:r w:rsidR="00806330" w:rsidRPr="00382917">
        <w:t>him</w:t>
      </w:r>
      <w:r w:rsidR="00C03C91">
        <w:t>.</w:t>
      </w:r>
      <w:proofErr w:type="gramEnd"/>
      <w:r w:rsidR="00EE4FC3">
        <w:t xml:space="preserve">  </w:t>
      </w:r>
      <w:r w:rsidR="00806330" w:rsidRPr="00382917">
        <w:t>He</w:t>
      </w:r>
      <w:r w:rsidR="00EE4FC3">
        <w:t xml:space="preserve"> </w:t>
      </w:r>
      <w:r w:rsidR="00806330" w:rsidRPr="00382917">
        <w:t>treats</w:t>
      </w:r>
      <w:r w:rsidR="00EE4FC3">
        <w:t xml:space="preserve"> </w:t>
      </w:r>
      <w:r w:rsidR="00806330" w:rsidRPr="00382917">
        <w:t>the</w:t>
      </w:r>
      <w:r w:rsidR="00EE4FC3">
        <w:t xml:space="preserve"> </w:t>
      </w:r>
      <w:r w:rsidR="00806330" w:rsidRPr="00382917">
        <w:t>Báb</w:t>
      </w:r>
      <w:r w:rsidR="00EE4FC3">
        <w:t xml:space="preserve"> </w:t>
      </w:r>
      <w:r w:rsidR="00806330" w:rsidRPr="00382917">
        <w:t>as</w:t>
      </w:r>
      <w:r w:rsidR="00EE4FC3">
        <w:t xml:space="preserve"> </w:t>
      </w:r>
      <w:r w:rsidR="00806330" w:rsidRPr="00382917">
        <w:t>his</w:t>
      </w:r>
      <w:r w:rsidR="00EE4FC3">
        <w:t xml:space="preserve"> </w:t>
      </w:r>
      <w:r w:rsidR="00806330" w:rsidRPr="00382917">
        <w:t>host</w:t>
      </w:r>
      <w:r w:rsidR="00EE4FC3">
        <w:t xml:space="preserve"> </w:t>
      </w:r>
      <w:r w:rsidR="00806330" w:rsidRPr="00382917">
        <w:t>rather</w:t>
      </w:r>
      <w:r w:rsidR="00EE4FC3">
        <w:t xml:space="preserve"> </w:t>
      </w:r>
      <w:r w:rsidR="00806330" w:rsidRPr="00382917">
        <w:t>than</w:t>
      </w:r>
      <w:r w:rsidR="00EE4FC3">
        <w:t xml:space="preserve"> </w:t>
      </w:r>
      <w:r w:rsidR="00806330" w:rsidRPr="00382917">
        <w:t>his</w:t>
      </w:r>
      <w:r w:rsidR="00EE4FC3">
        <w:t xml:space="preserve"> </w:t>
      </w:r>
      <w:r w:rsidR="00806330" w:rsidRPr="00382917">
        <w:t>prisoner.</w:t>
      </w:r>
    </w:p>
    <w:p w:rsidR="00806330" w:rsidRPr="00382917" w:rsidRDefault="00806330" w:rsidP="00806330">
      <w:pPr>
        <w:pStyle w:val="Text"/>
      </w:pPr>
      <w:r w:rsidRPr="00382917">
        <w:t>Both</w:t>
      </w:r>
      <w:r w:rsidR="00EE4FC3">
        <w:t xml:space="preserve"> </w:t>
      </w:r>
      <w:r w:rsidRPr="00382917">
        <w:t>fear</w:t>
      </w:r>
      <w:r w:rsidR="00EE4FC3">
        <w:t xml:space="preserve"> </w:t>
      </w:r>
      <w:r w:rsidRPr="00382917">
        <w:t>and</w:t>
      </w:r>
      <w:r w:rsidR="00EE4FC3">
        <w:t xml:space="preserve"> </w:t>
      </w:r>
      <w:r w:rsidRPr="00382917">
        <w:t>rage</w:t>
      </w:r>
      <w:r w:rsidR="00EE4FC3">
        <w:t xml:space="preserve"> </w:t>
      </w:r>
      <w:r w:rsidRPr="00382917">
        <w:t>impelled</w:t>
      </w:r>
      <w:r w:rsidR="00EE4FC3">
        <w:t xml:space="preserve"> </w:t>
      </w:r>
      <w:r w:rsidRPr="00382917">
        <w:t>the</w:t>
      </w:r>
      <w:r w:rsidR="00EE4FC3">
        <w:t xml:space="preserve"> </w:t>
      </w:r>
      <w:r w:rsidRPr="00382917">
        <w:t>Prime</w:t>
      </w:r>
      <w:r w:rsidR="00EE4FC3">
        <w:t xml:space="preserve"> </w:t>
      </w:r>
      <w:r w:rsidRPr="00382917">
        <w:t>Minister</w:t>
      </w:r>
      <w:r w:rsidR="00EE4FC3">
        <w:t xml:space="preserve"> </w:t>
      </w:r>
      <w:r w:rsidRPr="00382917">
        <w:t>to</w:t>
      </w:r>
      <w:r w:rsidR="00EE4FC3">
        <w:t xml:space="preserve"> </w:t>
      </w:r>
      <w:r w:rsidRPr="00382917">
        <w:t>issue</w:t>
      </w:r>
      <w:r w:rsidR="00EE4FC3">
        <w:t xml:space="preserve"> </w:t>
      </w:r>
      <w:r w:rsidRPr="00382917">
        <w:t>an</w:t>
      </w:r>
      <w:r w:rsidR="00EE4FC3">
        <w:t xml:space="preserve"> </w:t>
      </w:r>
      <w:r w:rsidRPr="00382917">
        <w:t>order</w:t>
      </w:r>
      <w:r w:rsidR="00EE4FC3">
        <w:t xml:space="preserve"> </w:t>
      </w:r>
      <w:r w:rsidRPr="00382917">
        <w:t>for</w:t>
      </w:r>
      <w:r w:rsidR="00EE4FC3">
        <w:t xml:space="preserve"> </w:t>
      </w:r>
      <w:r w:rsidRPr="00382917">
        <w:t>the</w:t>
      </w:r>
      <w:r w:rsidR="00EE4FC3">
        <w:t xml:space="preserve"> </w:t>
      </w:r>
      <w:r w:rsidRPr="00382917">
        <w:t>instant</w:t>
      </w:r>
      <w:r w:rsidR="00EE4FC3">
        <w:t xml:space="preserve"> </w:t>
      </w:r>
      <w:r w:rsidRPr="00382917">
        <w:t>transfer</w:t>
      </w:r>
      <w:r w:rsidR="00EE4FC3">
        <w:t xml:space="preserve"> </w:t>
      </w:r>
      <w:r w:rsidRPr="00382917">
        <w:t>of</w:t>
      </w:r>
      <w:r w:rsidR="00EE4FC3">
        <w:t xml:space="preserve"> </w:t>
      </w:r>
      <w:r w:rsidRPr="00382917">
        <w:t>the</w:t>
      </w:r>
      <w:r w:rsidR="00EE4FC3">
        <w:t xml:space="preserve"> </w:t>
      </w:r>
      <w:r w:rsidRPr="00382917">
        <w:t>Báb</w:t>
      </w:r>
      <w:r w:rsidR="00EE4FC3">
        <w:t xml:space="preserve"> </w:t>
      </w:r>
      <w:r w:rsidRPr="00382917">
        <w:t>to</w:t>
      </w:r>
      <w:r w:rsidR="00EE4FC3">
        <w:t xml:space="preserve"> </w:t>
      </w:r>
      <w:r w:rsidRPr="00382917">
        <w:t>the</w:t>
      </w:r>
      <w:r w:rsidR="00EE4FC3">
        <w:t xml:space="preserve"> </w:t>
      </w:r>
      <w:r w:rsidRPr="00382917">
        <w:t>more</w:t>
      </w:r>
      <w:r w:rsidR="00EE4FC3">
        <w:t xml:space="preserve"> </w:t>
      </w:r>
      <w:r w:rsidRPr="00382917">
        <w:t>rigid</w:t>
      </w:r>
      <w:r w:rsidR="00EE4FC3">
        <w:t xml:space="preserve"> </w:t>
      </w:r>
      <w:r w:rsidRPr="00382917">
        <w:t>prison</w:t>
      </w:r>
      <w:r w:rsidR="00EE4FC3">
        <w:t xml:space="preserve"> </w:t>
      </w:r>
      <w:r w:rsidRPr="00382917">
        <w:t>of</w:t>
      </w:r>
      <w:r w:rsidR="00EE4FC3">
        <w:t xml:space="preserve"> </w:t>
      </w:r>
      <w:r w:rsidR="001713B3" w:rsidRPr="001713B3">
        <w:rPr>
          <w:u w:val="single"/>
        </w:rPr>
        <w:t>Ch</w:t>
      </w:r>
      <w:r w:rsidR="001713B3" w:rsidRPr="00382917">
        <w:t>ihríq</w:t>
      </w:r>
      <w:r w:rsidRPr="00382917">
        <w:t>,</w:t>
      </w:r>
      <w:r w:rsidR="00EE4FC3">
        <w:t xml:space="preserve"> </w:t>
      </w:r>
      <w:r w:rsidRPr="00382917">
        <w:t>called</w:t>
      </w:r>
      <w:r w:rsidR="00EE4FC3">
        <w:t xml:space="preserve"> </w:t>
      </w:r>
      <w:r w:rsidR="009C713D" w:rsidRPr="00382917">
        <w:t>“</w:t>
      </w:r>
      <w:r w:rsidRPr="00382917">
        <w:t>the</w:t>
      </w:r>
      <w:r w:rsidR="00EE4FC3">
        <w:t xml:space="preserve"> </w:t>
      </w:r>
      <w:r w:rsidRPr="00382917">
        <w:t>grievous</w:t>
      </w:r>
      <w:r w:rsidR="00EE4FC3">
        <w:t xml:space="preserve"> </w:t>
      </w:r>
      <w:r w:rsidRPr="00382917">
        <w:t>mountain</w:t>
      </w:r>
      <w:r w:rsidR="009C713D" w:rsidRPr="00382917">
        <w:t>”</w:t>
      </w:r>
      <w:r w:rsidRPr="00382917">
        <w:t>.</w:t>
      </w:r>
    </w:p>
    <w:p w:rsidR="00806330" w:rsidRPr="00382917" w:rsidRDefault="00806330" w:rsidP="00806330">
      <w:pPr>
        <w:pStyle w:val="Text"/>
      </w:pPr>
      <w:r w:rsidRPr="00382917">
        <w:t>Mullá</w:t>
      </w:r>
      <w:r w:rsidR="00EE4FC3">
        <w:t xml:space="preserve"> </w:t>
      </w:r>
      <w:r w:rsidR="00964C11" w:rsidRPr="00382917">
        <w:t>Ḥusayn</w:t>
      </w:r>
      <w:r w:rsidR="00EE4FC3">
        <w:t xml:space="preserve"> </w:t>
      </w:r>
      <w:r w:rsidRPr="00382917">
        <w:t>was</w:t>
      </w:r>
      <w:r w:rsidR="00EE4FC3">
        <w:t xml:space="preserve"> </w:t>
      </w:r>
      <w:r w:rsidRPr="00382917">
        <w:t>in</w:t>
      </w:r>
      <w:r w:rsidR="00EE4FC3">
        <w:t xml:space="preserve"> </w:t>
      </w:r>
      <w:r w:rsidR="00B24C41">
        <w:t>Tabríz</w:t>
      </w:r>
      <w:r w:rsidR="00EE4FC3">
        <w:t xml:space="preserve"> </w:t>
      </w:r>
      <w:r w:rsidRPr="00382917">
        <w:t>when</w:t>
      </w:r>
      <w:r w:rsidR="00EE4FC3">
        <w:t xml:space="preserve"> </w:t>
      </w:r>
      <w:r w:rsidRPr="00382917">
        <w:t>the</w:t>
      </w:r>
      <w:r w:rsidR="00EE4FC3">
        <w:t xml:space="preserve"> </w:t>
      </w:r>
      <w:r w:rsidRPr="00382917">
        <w:t>news</w:t>
      </w:r>
      <w:r w:rsidR="00EE4FC3">
        <w:t xml:space="preserve"> </w:t>
      </w:r>
      <w:r w:rsidRPr="00382917">
        <w:t>of</w:t>
      </w:r>
      <w:r w:rsidR="00EE4FC3">
        <w:t xml:space="preserve"> </w:t>
      </w:r>
      <w:r w:rsidRPr="00382917">
        <w:t>the</w:t>
      </w:r>
      <w:r w:rsidR="00EE4FC3">
        <w:t xml:space="preserve"> </w:t>
      </w:r>
      <w:r w:rsidRPr="00382917">
        <w:t>Báb</w:t>
      </w:r>
      <w:r w:rsidR="009C713D" w:rsidRPr="00382917">
        <w:t>’</w:t>
      </w:r>
      <w:r w:rsidRPr="00382917">
        <w:t>s</w:t>
      </w:r>
      <w:r w:rsidR="00EE4FC3">
        <w:t xml:space="preserve"> </w:t>
      </w:r>
      <w:r w:rsidRPr="00382917">
        <w:t>transfer</w:t>
      </w:r>
      <w:r w:rsidR="00EE4FC3">
        <w:t xml:space="preserve"> </w:t>
      </w:r>
      <w:r w:rsidRPr="00382917">
        <w:t>to</w:t>
      </w:r>
      <w:r w:rsidR="00EE4FC3">
        <w:t xml:space="preserve"> </w:t>
      </w:r>
      <w:r w:rsidR="001713B3" w:rsidRPr="001713B3">
        <w:rPr>
          <w:u w:val="single"/>
        </w:rPr>
        <w:t>Ch</w:t>
      </w:r>
      <w:r w:rsidR="001713B3" w:rsidRPr="00382917">
        <w:t>ihríq</w:t>
      </w:r>
      <w:r w:rsidR="00EE4FC3">
        <w:t xml:space="preserve"> </w:t>
      </w:r>
      <w:r w:rsidRPr="00382917">
        <w:t>reached</w:t>
      </w:r>
      <w:r w:rsidR="00EE4FC3">
        <w:t xml:space="preserve"> </w:t>
      </w:r>
      <w:r w:rsidRPr="00382917">
        <w:t>him.</w:t>
      </w:r>
    </w:p>
    <w:p w:rsidR="00806330" w:rsidRPr="00382917" w:rsidRDefault="00806330" w:rsidP="00806330">
      <w:pPr>
        <w:pStyle w:val="Text"/>
      </w:pPr>
      <w:r w:rsidRPr="00382917">
        <w:t>The</w:t>
      </w:r>
      <w:r w:rsidR="00EE4FC3">
        <w:t xml:space="preserve"> </w:t>
      </w:r>
      <w:r w:rsidRPr="00382917">
        <w:t>Báb</w:t>
      </w:r>
      <w:r w:rsidR="00EE4FC3">
        <w:t xml:space="preserve"> </w:t>
      </w:r>
      <w:r w:rsidRPr="00382917">
        <w:t>said</w:t>
      </w:r>
      <w:r w:rsidR="00EE4FC3">
        <w:t xml:space="preserve"> </w:t>
      </w:r>
      <w:r w:rsidRPr="00382917">
        <w:t>farewell</w:t>
      </w:r>
      <w:r w:rsidR="00EE4FC3">
        <w:t xml:space="preserve"> </w:t>
      </w:r>
      <w:r w:rsidRPr="00382917">
        <w:t>to</w:t>
      </w:r>
      <w:r w:rsidR="00EE4FC3">
        <w:t xml:space="preserve"> </w:t>
      </w:r>
      <w:r w:rsidRPr="00382917">
        <w:t>the</w:t>
      </w:r>
      <w:r w:rsidR="00EE4FC3">
        <w:t xml:space="preserve"> </w:t>
      </w:r>
      <w:r w:rsidRPr="00382917">
        <w:t>people</w:t>
      </w:r>
      <w:r w:rsidR="00EE4FC3">
        <w:t xml:space="preserve"> </w:t>
      </w:r>
      <w:r w:rsidRPr="00382917">
        <w:t>of</w:t>
      </w:r>
      <w:r w:rsidR="00EE4FC3">
        <w:t xml:space="preserve"> </w:t>
      </w:r>
      <w:r w:rsidRPr="00382917">
        <w:t>Máh-Kú</w:t>
      </w:r>
      <w:r w:rsidR="00C03C91">
        <w:t>.</w:t>
      </w:r>
      <w:r w:rsidR="00EE4FC3">
        <w:t xml:space="preserve">  </w:t>
      </w:r>
      <w:r w:rsidRPr="00382917">
        <w:t>Their</w:t>
      </w:r>
      <w:r w:rsidR="00EE4FC3">
        <w:t xml:space="preserve"> </w:t>
      </w:r>
      <w:r w:rsidRPr="00382917">
        <w:t>hearts</w:t>
      </w:r>
      <w:r w:rsidR="00EE4FC3">
        <w:t xml:space="preserve"> </w:t>
      </w:r>
      <w:r w:rsidRPr="00382917">
        <w:t>were</w:t>
      </w:r>
      <w:r w:rsidR="00EE4FC3">
        <w:t xml:space="preserve"> </w:t>
      </w:r>
      <w:r w:rsidRPr="00382917">
        <w:t>heavy</w:t>
      </w:r>
      <w:r w:rsidR="00EE4FC3">
        <w:t xml:space="preserve"> </w:t>
      </w:r>
      <w:r w:rsidRPr="00382917">
        <w:t>at</w:t>
      </w:r>
      <w:r w:rsidR="00EE4FC3">
        <w:t xml:space="preserve"> </w:t>
      </w:r>
      <w:r w:rsidRPr="00382917">
        <w:t>the</w:t>
      </w:r>
      <w:r w:rsidR="00EE4FC3">
        <w:t xml:space="preserve"> </w:t>
      </w:r>
      <w:r w:rsidRPr="00382917">
        <w:t>sad</w:t>
      </w:r>
      <w:r w:rsidR="00EE4FC3">
        <w:t xml:space="preserve"> </w:t>
      </w:r>
      <w:r w:rsidRPr="00382917">
        <w:t>sight</w:t>
      </w:r>
      <w:r w:rsidR="00EE4FC3">
        <w:t xml:space="preserve"> </w:t>
      </w:r>
      <w:r w:rsidRPr="00382917">
        <w:t>of</w:t>
      </w:r>
      <w:r w:rsidR="00EE4FC3">
        <w:t xml:space="preserve"> </w:t>
      </w:r>
      <w:r w:rsidRPr="00382917">
        <w:t>His</w:t>
      </w:r>
      <w:r w:rsidR="00EE4FC3">
        <w:t xml:space="preserve"> </w:t>
      </w:r>
      <w:r w:rsidRPr="00382917">
        <w:t>departure</w:t>
      </w:r>
      <w:r w:rsidR="00C03C91">
        <w:t>.</w:t>
      </w:r>
      <w:r w:rsidR="00EE4FC3">
        <w:t xml:space="preserve">  </w:t>
      </w:r>
      <w:r w:rsidRPr="00382917">
        <w:t>The</w:t>
      </w:r>
      <w:r w:rsidR="00EE4FC3">
        <w:t xml:space="preserve"> </w:t>
      </w:r>
      <w:r w:rsidRPr="00382917">
        <w:t>One</w:t>
      </w:r>
      <w:r w:rsidR="00EE4FC3">
        <w:t xml:space="preserve"> </w:t>
      </w:r>
      <w:r w:rsidRPr="00382917">
        <w:t>they</w:t>
      </w:r>
      <w:r w:rsidR="00EE4FC3">
        <w:t xml:space="preserve"> </w:t>
      </w:r>
      <w:r w:rsidRPr="00382917">
        <w:t>had</w:t>
      </w:r>
      <w:r w:rsidR="00EE4FC3">
        <w:t xml:space="preserve"> </w:t>
      </w:r>
      <w:r w:rsidRPr="00382917">
        <w:t>come</w:t>
      </w:r>
      <w:r w:rsidR="00EE4FC3">
        <w:t xml:space="preserve"> </w:t>
      </w:r>
      <w:r w:rsidRPr="00382917">
        <w:t>to</w:t>
      </w:r>
      <w:r w:rsidR="00EE4FC3">
        <w:t xml:space="preserve"> </w:t>
      </w:r>
      <w:r w:rsidRPr="00382917">
        <w:t>love</w:t>
      </w:r>
      <w:r w:rsidR="00EE4FC3">
        <w:t xml:space="preserve"> </w:t>
      </w:r>
      <w:r w:rsidRPr="00382917">
        <w:t>so</w:t>
      </w:r>
      <w:r w:rsidR="00EE4FC3">
        <w:t xml:space="preserve"> </w:t>
      </w:r>
      <w:r w:rsidRPr="00382917">
        <w:t>much</w:t>
      </w:r>
      <w:r w:rsidR="00EE4FC3">
        <w:t xml:space="preserve"> </w:t>
      </w:r>
      <w:r w:rsidRPr="00382917">
        <w:t>was</w:t>
      </w:r>
      <w:r w:rsidR="00EE4FC3">
        <w:t xml:space="preserve"> </w:t>
      </w:r>
      <w:r w:rsidRPr="00382917">
        <w:t>now</w:t>
      </w:r>
      <w:r w:rsidR="00EE4FC3">
        <w:t xml:space="preserve"> </w:t>
      </w:r>
      <w:r w:rsidRPr="00382917">
        <w:t>going</w:t>
      </w:r>
      <w:r w:rsidR="00EE4FC3">
        <w:t xml:space="preserve"> </w:t>
      </w:r>
      <w:r w:rsidRPr="00382917">
        <w:t>out</w:t>
      </w:r>
      <w:r w:rsidR="00EE4FC3">
        <w:t xml:space="preserve"> </w:t>
      </w:r>
      <w:r w:rsidRPr="00382917">
        <w:t>of</w:t>
      </w:r>
      <w:r w:rsidR="00EE4FC3">
        <w:t xml:space="preserve"> </w:t>
      </w:r>
      <w:r w:rsidRPr="00382917">
        <w:t>their</w:t>
      </w:r>
      <w:r w:rsidR="00EE4FC3">
        <w:t xml:space="preserve"> </w:t>
      </w:r>
      <w:r w:rsidRPr="00382917">
        <w:t>lives</w:t>
      </w:r>
      <w:r w:rsidR="00EE4FC3">
        <w:t xml:space="preserve"> </w:t>
      </w:r>
      <w:r w:rsidRPr="00382917">
        <w:t>forever</w:t>
      </w:r>
      <w:r w:rsidR="00C03C91">
        <w:t>.</w:t>
      </w:r>
      <w:r w:rsidR="00EE4FC3">
        <w:t xml:space="preserve">  </w:t>
      </w:r>
      <w:r w:rsidRPr="00382917">
        <w:t>During</w:t>
      </w:r>
      <w:r w:rsidR="00EE4FC3">
        <w:t xml:space="preserve"> </w:t>
      </w:r>
      <w:r w:rsidRPr="00382917">
        <w:t>His</w:t>
      </w:r>
      <w:r w:rsidR="00EE4FC3">
        <w:t xml:space="preserve"> </w:t>
      </w:r>
      <w:r w:rsidRPr="00382917">
        <w:t>nine</w:t>
      </w:r>
      <w:r w:rsidR="00EE4FC3">
        <w:t xml:space="preserve"> </w:t>
      </w:r>
      <w:r w:rsidRPr="00382917">
        <w:t>months</w:t>
      </w:r>
      <w:r w:rsidR="00EE4FC3">
        <w:t xml:space="preserve"> </w:t>
      </w:r>
      <w:r w:rsidRPr="00382917">
        <w:t>of</w:t>
      </w:r>
      <w:r w:rsidR="00EE4FC3">
        <w:t xml:space="preserve"> </w:t>
      </w:r>
      <w:r w:rsidRPr="00382917">
        <w:t>captivity</w:t>
      </w:r>
      <w:r w:rsidR="00EE4FC3">
        <w:t xml:space="preserve"> </w:t>
      </w:r>
      <w:r w:rsidRPr="00382917">
        <w:t>among</w:t>
      </w:r>
      <w:r w:rsidR="00EE4FC3">
        <w:t xml:space="preserve"> </w:t>
      </w:r>
      <w:r w:rsidRPr="00382917">
        <w:t>them,</w:t>
      </w:r>
      <w:r w:rsidR="00EE4FC3">
        <w:t xml:space="preserve"> </w:t>
      </w:r>
      <w:r w:rsidRPr="00382917">
        <w:t>they</w:t>
      </w:r>
      <w:r w:rsidR="00EE4FC3">
        <w:t xml:space="preserve"> </w:t>
      </w:r>
      <w:r w:rsidRPr="00382917">
        <w:t>had</w:t>
      </w:r>
      <w:r w:rsidR="00EE4FC3">
        <w:t xml:space="preserve"> </w:t>
      </w:r>
      <w:r w:rsidRPr="00382917">
        <w:t>recognized</w:t>
      </w:r>
      <w:r w:rsidR="00EE4FC3">
        <w:t xml:space="preserve"> </w:t>
      </w:r>
      <w:r w:rsidRPr="00382917">
        <w:t>to</w:t>
      </w:r>
      <w:r w:rsidR="00EE4FC3">
        <w:t xml:space="preserve"> </w:t>
      </w:r>
      <w:r w:rsidRPr="00382917">
        <w:t>a</w:t>
      </w:r>
      <w:r w:rsidR="00EE4FC3">
        <w:t xml:space="preserve"> </w:t>
      </w:r>
      <w:r w:rsidRPr="00382917">
        <w:t>remarkable</w:t>
      </w:r>
      <w:r w:rsidR="00EE4FC3">
        <w:t xml:space="preserve"> </w:t>
      </w:r>
      <w:r w:rsidRPr="00382917">
        <w:t>degree</w:t>
      </w:r>
      <w:r w:rsidR="00EE4FC3">
        <w:t xml:space="preserve"> </w:t>
      </w:r>
      <w:r w:rsidRPr="00382917">
        <w:t>the</w:t>
      </w:r>
      <w:r w:rsidR="00EE4FC3">
        <w:t xml:space="preserve"> </w:t>
      </w:r>
      <w:r w:rsidRPr="00382917">
        <w:t>power</w:t>
      </w:r>
      <w:r w:rsidR="00EE4FC3">
        <w:t xml:space="preserve"> </w:t>
      </w:r>
      <w:r w:rsidRPr="00382917">
        <w:t>of</w:t>
      </w:r>
      <w:r w:rsidR="00EE4FC3">
        <w:t xml:space="preserve"> </w:t>
      </w:r>
      <w:r w:rsidRPr="00382917">
        <w:t>His</w:t>
      </w:r>
      <w:r w:rsidR="00EE4FC3">
        <w:t xml:space="preserve"> </w:t>
      </w:r>
      <w:r w:rsidRPr="00382917">
        <w:t>personality</w:t>
      </w:r>
      <w:r w:rsidR="00EE4FC3">
        <w:t xml:space="preserve"> </w:t>
      </w:r>
      <w:r w:rsidRPr="00382917">
        <w:t>and</w:t>
      </w:r>
      <w:r w:rsidR="00EE4FC3">
        <w:t xml:space="preserve"> </w:t>
      </w:r>
      <w:r w:rsidRPr="00382917">
        <w:t>the</w:t>
      </w:r>
      <w:r w:rsidR="00EE4FC3">
        <w:t xml:space="preserve"> </w:t>
      </w:r>
      <w:r w:rsidRPr="00382917">
        <w:t>greatness</w:t>
      </w:r>
      <w:r w:rsidR="00EE4FC3">
        <w:t xml:space="preserve"> </w:t>
      </w:r>
      <w:r w:rsidRPr="00382917">
        <w:t>of</w:t>
      </w:r>
      <w:r w:rsidR="00EE4FC3">
        <w:t xml:space="preserve"> </w:t>
      </w:r>
      <w:r w:rsidRPr="00382917">
        <w:t>His</w:t>
      </w:r>
      <w:r w:rsidR="00EE4FC3">
        <w:t xml:space="preserve"> </w:t>
      </w:r>
      <w:r w:rsidRPr="00382917">
        <w:t>character.</w:t>
      </w:r>
    </w:p>
    <w:p w:rsidR="00806330" w:rsidRPr="00382917" w:rsidRDefault="00806330" w:rsidP="00806330"/>
    <w:p w:rsidR="00806330" w:rsidRPr="00382917" w:rsidRDefault="00806330" w:rsidP="00806330">
      <w:pPr>
        <w:sectPr w:rsidR="00806330" w:rsidRPr="00382917" w:rsidSect="009073C7">
          <w:footnotePr>
            <w:numRestart w:val="eachPage"/>
          </w:footnotePr>
          <w:type w:val="evenPage"/>
          <w:pgSz w:w="8618" w:h="12984" w:code="188"/>
          <w:pgMar w:top="720" w:right="720" w:bottom="720" w:left="720" w:header="720" w:footer="567" w:gutter="357"/>
          <w:cols w:space="708"/>
          <w:noEndnote/>
          <w:titlePg/>
          <w:docGrid w:linePitch="272"/>
        </w:sectPr>
      </w:pPr>
    </w:p>
    <w:p w:rsidR="00806330" w:rsidRPr="00382917" w:rsidRDefault="00417538" w:rsidP="00417538">
      <w:r w:rsidRPr="00382917">
        <w:rPr>
          <w:sz w:val="12"/>
          <w:szCs w:val="12"/>
        </w:rPr>
        <w:fldChar w:fldCharType="begin"/>
      </w:r>
      <w:r w:rsidR="00EE4FC3">
        <w:rPr>
          <w:sz w:val="12"/>
          <w:szCs w:val="12"/>
        </w:rPr>
        <w:instrText xml:space="preserve"> </w:instrText>
      </w:r>
      <w:proofErr w:type="gramStart"/>
      <w:r w:rsidRPr="00382917">
        <w:rPr>
          <w:sz w:val="12"/>
          <w:szCs w:val="12"/>
        </w:rPr>
        <w:instrText>TC</w:instrText>
      </w:r>
      <w:r w:rsidR="00EE4FC3">
        <w:rPr>
          <w:sz w:val="12"/>
          <w:szCs w:val="12"/>
        </w:rPr>
        <w:instrText xml:space="preserve">  </w:instrText>
      </w:r>
      <w:r w:rsidRPr="00382917">
        <w:rPr>
          <w:sz w:val="12"/>
          <w:szCs w:val="12"/>
        </w:rPr>
        <w:instrText>“</w:instrText>
      </w:r>
      <w:bookmarkStart w:id="15" w:name="_Toc206658611"/>
      <w:proofErr w:type="gramEnd"/>
      <w:r>
        <w:rPr>
          <w:sz w:val="12"/>
          <w:szCs w:val="12"/>
        </w:rPr>
        <w:tab/>
        <w:instrText>13.</w:instrText>
      </w:r>
      <w:r>
        <w:rPr>
          <w:sz w:val="12"/>
          <w:szCs w:val="12"/>
        </w:rPr>
        <w:tab/>
      </w:r>
      <w:r w:rsidRPr="00417538">
        <w:rPr>
          <w:sz w:val="12"/>
          <w:szCs w:val="12"/>
        </w:rPr>
        <w:instrText>The</w:instrText>
      </w:r>
      <w:r w:rsidR="00EE4FC3">
        <w:rPr>
          <w:sz w:val="12"/>
          <w:szCs w:val="12"/>
        </w:rPr>
        <w:instrText xml:space="preserve"> </w:instrText>
      </w:r>
      <w:r w:rsidRPr="00417538">
        <w:rPr>
          <w:sz w:val="12"/>
          <w:szCs w:val="12"/>
        </w:rPr>
        <w:instrText>scourging</w:instrText>
      </w:r>
      <w:r w:rsidR="00EE4FC3">
        <w:rPr>
          <w:sz w:val="12"/>
          <w:szCs w:val="12"/>
        </w:rPr>
        <w:instrText xml:space="preserve"> </w:instrText>
      </w:r>
      <w:r w:rsidRPr="00417538">
        <w:rPr>
          <w:sz w:val="12"/>
          <w:szCs w:val="12"/>
        </w:rPr>
        <w:instrText>at</w:instrText>
      </w:r>
      <w:r w:rsidR="00EE4FC3">
        <w:rPr>
          <w:sz w:val="12"/>
          <w:szCs w:val="12"/>
        </w:rPr>
        <w:instrText xml:space="preserve"> </w:instrText>
      </w:r>
      <w:r w:rsidRPr="00417538">
        <w:rPr>
          <w:sz w:val="12"/>
          <w:szCs w:val="12"/>
        </w:rPr>
        <w:instrText>Tabríz</w:instrText>
      </w:r>
      <w:proofErr w:type="gramStart"/>
      <w:r w:rsidRPr="00382917">
        <w:rPr>
          <w:color w:val="FFFFFF" w:themeColor="background1"/>
          <w:sz w:val="12"/>
          <w:szCs w:val="12"/>
        </w:rPr>
        <w:instrText>..</w:instrText>
      </w:r>
      <w:proofErr w:type="gramEnd"/>
      <w:r w:rsidRPr="00382917">
        <w:rPr>
          <w:sz w:val="12"/>
          <w:szCs w:val="12"/>
        </w:rPr>
        <w:tab/>
      </w:r>
      <w:r w:rsidRPr="00382917">
        <w:rPr>
          <w:color w:val="FFFFFF" w:themeColor="background1"/>
          <w:sz w:val="12"/>
          <w:szCs w:val="12"/>
        </w:rPr>
        <w:instrText>.</w:instrText>
      </w:r>
      <w:bookmarkEnd w:id="15"/>
      <w:proofErr w:type="gramStart"/>
      <w:r w:rsidRPr="00382917">
        <w:rPr>
          <w:sz w:val="12"/>
          <w:szCs w:val="12"/>
        </w:rPr>
        <w:instrText>”</w:instrText>
      </w:r>
      <w:r w:rsidR="00EE4FC3">
        <w:rPr>
          <w:sz w:val="12"/>
          <w:szCs w:val="12"/>
        </w:rPr>
        <w:instrText xml:space="preserve"> </w:instrText>
      </w:r>
      <w:proofErr w:type="gramEnd"/>
      <w:r w:rsidRPr="00382917">
        <w:rPr>
          <w:sz w:val="12"/>
          <w:szCs w:val="12"/>
        </w:rPr>
        <w:instrText>\l</w:instrText>
      </w:r>
      <w:r w:rsidR="00EE4FC3">
        <w:rPr>
          <w:sz w:val="12"/>
          <w:szCs w:val="12"/>
        </w:rPr>
        <w:instrText xml:space="preserve"> </w:instrText>
      </w:r>
      <w:r w:rsidRPr="00382917">
        <w:rPr>
          <w:sz w:val="12"/>
          <w:szCs w:val="12"/>
        </w:rPr>
        <w:instrText>1</w:instrText>
      </w:r>
      <w:r w:rsidR="00EE4FC3">
        <w:rPr>
          <w:sz w:val="12"/>
          <w:szCs w:val="12"/>
        </w:rPr>
        <w:instrText xml:space="preserve"> </w:instrText>
      </w:r>
      <w:r w:rsidRPr="00382917">
        <w:rPr>
          <w:sz w:val="12"/>
          <w:szCs w:val="12"/>
        </w:rPr>
        <w:fldChar w:fldCharType="end"/>
      </w:r>
    </w:p>
    <w:p w:rsidR="00806330" w:rsidRPr="00382917" w:rsidRDefault="00806330" w:rsidP="00806330"/>
    <w:p w:rsidR="00806330" w:rsidRPr="00382917" w:rsidRDefault="00806330" w:rsidP="00417538">
      <w:pPr>
        <w:pStyle w:val="Myheadc"/>
      </w:pPr>
      <w:r w:rsidRPr="00382917">
        <w:t>13</w:t>
      </w:r>
      <w:r w:rsidR="00417538">
        <w:br/>
      </w:r>
      <w:r w:rsidRPr="00382917">
        <w:rPr>
          <w:noProof/>
          <w:lang w:val="en-AU" w:eastAsia="en-AU"/>
          <w14:numForm w14:val="default"/>
          <w14:numSpacing w14:val="default"/>
        </w:rPr>
        <w:drawing>
          <wp:inline distT="0" distB="0" distL="0" distR="0" wp14:anchorId="4826C0C8" wp14:editId="11BE86E2">
            <wp:extent cx="396000" cy="392400"/>
            <wp:effectExtent l="0" t="0" r="4445" b="825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p.emf"/>
                    <pic:cNvPicPr/>
                  </pic:nvPicPr>
                  <pic:blipFill>
                    <a:blip r:embed="rId17">
                      <a:extLst>
                        <a:ext uri="{28A0092B-C50C-407E-A947-70E740481C1C}">
                          <a14:useLocalDpi xmlns:a14="http://schemas.microsoft.com/office/drawing/2010/main" val="0"/>
                        </a:ext>
                      </a:extLst>
                    </a:blip>
                    <a:stretch>
                      <a:fillRect/>
                    </a:stretch>
                  </pic:blipFill>
                  <pic:spPr>
                    <a:xfrm>
                      <a:off x="0" y="0"/>
                      <a:ext cx="396000" cy="392400"/>
                    </a:xfrm>
                    <a:prstGeom prst="rect">
                      <a:avLst/>
                    </a:prstGeom>
                  </pic:spPr>
                </pic:pic>
              </a:graphicData>
            </a:graphic>
          </wp:inline>
        </w:drawing>
      </w:r>
      <w:r w:rsidR="00417538">
        <w:br/>
      </w:r>
      <w:r w:rsidRPr="00382917">
        <w:t>The</w:t>
      </w:r>
      <w:r w:rsidR="00EE4FC3">
        <w:t xml:space="preserve"> </w:t>
      </w:r>
      <w:r w:rsidRPr="00382917">
        <w:t>scourging</w:t>
      </w:r>
      <w:r w:rsidR="00EE4FC3">
        <w:t xml:space="preserve"> </w:t>
      </w:r>
      <w:r w:rsidRPr="00382917">
        <w:t>at</w:t>
      </w:r>
      <w:r w:rsidR="00EE4FC3">
        <w:t xml:space="preserve"> </w:t>
      </w:r>
      <w:r w:rsidRPr="00382917">
        <w:t>Tabríz</w:t>
      </w:r>
    </w:p>
    <w:p w:rsidR="00806330" w:rsidRPr="00382917" w:rsidRDefault="00806330" w:rsidP="00806330">
      <w:pPr>
        <w:pStyle w:val="Text"/>
      </w:pPr>
      <w:r w:rsidRPr="00382917">
        <w:t>The</w:t>
      </w:r>
      <w:r w:rsidR="00EE4FC3">
        <w:t xml:space="preserve"> </w:t>
      </w:r>
      <w:r w:rsidRPr="00382917">
        <w:t>Báb</w:t>
      </w:r>
      <w:r w:rsidR="00EE4FC3">
        <w:t xml:space="preserve"> </w:t>
      </w:r>
      <w:r w:rsidRPr="00382917">
        <w:t>was</w:t>
      </w:r>
      <w:r w:rsidR="00EE4FC3">
        <w:t xml:space="preserve"> </w:t>
      </w:r>
      <w:r w:rsidRPr="00382917">
        <w:t>subjected</w:t>
      </w:r>
      <w:r w:rsidR="00EE4FC3">
        <w:t xml:space="preserve"> </w:t>
      </w:r>
      <w:r w:rsidRPr="00382917">
        <w:t>to</w:t>
      </w:r>
      <w:r w:rsidR="00EE4FC3">
        <w:t xml:space="preserve"> </w:t>
      </w:r>
      <w:r w:rsidRPr="00382917">
        <w:t>a</w:t>
      </w:r>
      <w:r w:rsidR="00EE4FC3">
        <w:t xml:space="preserve"> </w:t>
      </w:r>
      <w:r w:rsidRPr="00382917">
        <w:t>closer</w:t>
      </w:r>
      <w:r w:rsidR="00EE4FC3">
        <w:t xml:space="preserve"> </w:t>
      </w:r>
      <w:r w:rsidRPr="00382917">
        <w:t>and</w:t>
      </w:r>
      <w:r w:rsidR="00EE4FC3">
        <w:t xml:space="preserve"> </w:t>
      </w:r>
      <w:r w:rsidRPr="00382917">
        <w:t>more</w:t>
      </w:r>
      <w:r w:rsidR="00EE4FC3">
        <w:t xml:space="preserve"> </w:t>
      </w:r>
      <w:r w:rsidRPr="00382917">
        <w:t>rigorous</w:t>
      </w:r>
      <w:r w:rsidR="00EE4FC3">
        <w:t xml:space="preserve"> </w:t>
      </w:r>
      <w:r w:rsidRPr="00382917">
        <w:t>confinement</w:t>
      </w:r>
      <w:r w:rsidR="00EE4FC3">
        <w:t xml:space="preserve"> </w:t>
      </w:r>
      <w:r w:rsidRPr="00382917">
        <w:t>at</w:t>
      </w:r>
      <w:r w:rsidR="00EE4FC3">
        <w:t xml:space="preserve"> </w:t>
      </w:r>
      <w:r w:rsidR="001713B3" w:rsidRPr="001713B3">
        <w:rPr>
          <w:u w:val="single"/>
        </w:rPr>
        <w:t>Ch</w:t>
      </w:r>
      <w:r w:rsidR="001713B3" w:rsidRPr="00382917">
        <w:t>ihríq</w:t>
      </w:r>
      <w:r w:rsidR="00C03C91">
        <w:t>.</w:t>
      </w:r>
      <w:r w:rsidR="00EE4FC3">
        <w:t xml:space="preserve">  </w:t>
      </w:r>
      <w:r w:rsidRPr="00382917">
        <w:t>The</w:t>
      </w:r>
      <w:r w:rsidR="00EE4FC3">
        <w:t xml:space="preserve"> </w:t>
      </w:r>
      <w:r w:rsidRPr="00382917">
        <w:t>Prime</w:t>
      </w:r>
      <w:r w:rsidR="00EE4FC3">
        <w:t xml:space="preserve"> </w:t>
      </w:r>
      <w:r w:rsidRPr="00382917">
        <w:t>Minister</w:t>
      </w:r>
      <w:r w:rsidR="00EE4FC3">
        <w:t xml:space="preserve"> </w:t>
      </w:r>
      <w:r w:rsidRPr="00382917">
        <w:t>gave</w:t>
      </w:r>
      <w:r w:rsidR="00EE4FC3">
        <w:t xml:space="preserve"> </w:t>
      </w:r>
      <w:r w:rsidRPr="00382917">
        <w:t>strict</w:t>
      </w:r>
      <w:r w:rsidR="00EE4FC3">
        <w:t xml:space="preserve"> </w:t>
      </w:r>
      <w:r w:rsidRPr="00382917">
        <w:t>and</w:t>
      </w:r>
      <w:r w:rsidR="00EE4FC3">
        <w:t xml:space="preserve"> </w:t>
      </w:r>
      <w:r w:rsidRPr="00382917">
        <w:t>explicit</w:t>
      </w:r>
      <w:r w:rsidR="00EE4FC3">
        <w:t xml:space="preserve"> </w:t>
      </w:r>
      <w:r w:rsidRPr="00382917">
        <w:t>orders</w:t>
      </w:r>
      <w:r w:rsidR="00EE4FC3">
        <w:t xml:space="preserve"> </w:t>
      </w:r>
      <w:r w:rsidRPr="00382917">
        <w:t>to</w:t>
      </w:r>
      <w:r w:rsidR="00EE4FC3">
        <w:t xml:space="preserve"> </w:t>
      </w:r>
      <w:r w:rsidRPr="00382917">
        <w:t>the</w:t>
      </w:r>
      <w:r w:rsidR="00EE4FC3">
        <w:t xml:space="preserve"> </w:t>
      </w:r>
      <w:r w:rsidRPr="00382917">
        <w:t>warden,</w:t>
      </w:r>
      <w:r w:rsidR="00EE4FC3">
        <w:t xml:space="preserve"> </w:t>
      </w:r>
      <w:r w:rsidRPr="00382917">
        <w:t>Yaḥyá</w:t>
      </w:r>
      <w:r w:rsidR="00EE4FC3">
        <w:t xml:space="preserve"> </w:t>
      </w:r>
      <w:r w:rsidR="0040329F" w:rsidRPr="0040329F">
        <w:rPr>
          <w:u w:val="single"/>
        </w:rPr>
        <w:t>Kh</w:t>
      </w:r>
      <w:r w:rsidR="0040329F" w:rsidRPr="00382917">
        <w:t>án</w:t>
      </w:r>
      <w:r w:rsidRPr="00382917">
        <w:t>,</w:t>
      </w:r>
      <w:r w:rsidR="00EE4FC3">
        <w:t xml:space="preserve"> </w:t>
      </w:r>
      <w:r w:rsidRPr="00382917">
        <w:t>who</w:t>
      </w:r>
      <w:r w:rsidR="00EE4FC3">
        <w:t xml:space="preserve"> </w:t>
      </w:r>
      <w:r w:rsidRPr="00382917">
        <w:t>was</w:t>
      </w:r>
      <w:r w:rsidR="00EE4FC3">
        <w:t xml:space="preserve"> </w:t>
      </w:r>
      <w:r w:rsidRPr="00382917">
        <w:t>a</w:t>
      </w:r>
      <w:r w:rsidR="00EE4FC3">
        <w:t xml:space="preserve"> </w:t>
      </w:r>
      <w:r w:rsidRPr="00382917">
        <w:t>brother-in-law</w:t>
      </w:r>
      <w:r w:rsidR="00EE4FC3">
        <w:t xml:space="preserve"> </w:t>
      </w:r>
      <w:r w:rsidRPr="00382917">
        <w:t>of</w:t>
      </w:r>
      <w:r w:rsidR="00EE4FC3">
        <w:t xml:space="preserve"> </w:t>
      </w:r>
      <w:r w:rsidRPr="00382917">
        <w:t>the</w:t>
      </w:r>
      <w:r w:rsidR="00EE4FC3">
        <w:t xml:space="preserve"> </w:t>
      </w:r>
      <w:r w:rsidRPr="00382917">
        <w:t>king</w:t>
      </w:r>
      <w:r w:rsidR="00C03C91">
        <w:t>.</w:t>
      </w:r>
      <w:r w:rsidR="00EE4FC3">
        <w:t xml:space="preserve">  </w:t>
      </w:r>
      <w:r w:rsidRPr="00382917">
        <w:t>He</w:t>
      </w:r>
      <w:r w:rsidR="00EE4FC3">
        <w:t xml:space="preserve"> </w:t>
      </w:r>
      <w:r w:rsidRPr="00382917">
        <w:t>told</w:t>
      </w:r>
      <w:r w:rsidR="00EE4FC3">
        <w:t xml:space="preserve"> </w:t>
      </w:r>
      <w:r w:rsidRPr="00382917">
        <w:t>Yaḥyá</w:t>
      </w:r>
      <w:r w:rsidR="00EE4FC3">
        <w:t xml:space="preserve"> </w:t>
      </w:r>
      <w:r w:rsidR="0040329F" w:rsidRPr="0040329F">
        <w:rPr>
          <w:u w:val="single"/>
        </w:rPr>
        <w:t>Kh</w:t>
      </w:r>
      <w:r w:rsidR="0040329F" w:rsidRPr="00382917">
        <w:t>án</w:t>
      </w:r>
      <w:r w:rsidR="00EE4FC3">
        <w:t xml:space="preserve"> </w:t>
      </w:r>
      <w:r w:rsidRPr="00382917">
        <w:t>that</w:t>
      </w:r>
      <w:r w:rsidR="00EE4FC3">
        <w:t xml:space="preserve"> </w:t>
      </w:r>
      <w:r w:rsidRPr="00382917">
        <w:t>no</w:t>
      </w:r>
      <w:r w:rsidR="00EE4FC3">
        <w:t xml:space="preserve"> </w:t>
      </w:r>
      <w:r w:rsidRPr="00382917">
        <w:t>one</w:t>
      </w:r>
      <w:r w:rsidR="00EE4FC3">
        <w:t xml:space="preserve"> </w:t>
      </w:r>
      <w:r w:rsidRPr="00382917">
        <w:t>was</w:t>
      </w:r>
      <w:r w:rsidR="00EE4FC3">
        <w:t xml:space="preserve"> </w:t>
      </w:r>
      <w:r w:rsidRPr="00382917">
        <w:t>ever</w:t>
      </w:r>
      <w:r w:rsidR="00EE4FC3">
        <w:t xml:space="preserve"> </w:t>
      </w:r>
      <w:r w:rsidRPr="00382917">
        <w:t>to</w:t>
      </w:r>
      <w:r w:rsidR="00EE4FC3">
        <w:t xml:space="preserve"> </w:t>
      </w:r>
      <w:r w:rsidRPr="00382917">
        <w:t>enter</w:t>
      </w:r>
      <w:r w:rsidR="00EE4FC3">
        <w:t xml:space="preserve"> </w:t>
      </w:r>
      <w:r w:rsidRPr="00382917">
        <w:t>the</w:t>
      </w:r>
      <w:r w:rsidR="00EE4FC3">
        <w:t xml:space="preserve"> </w:t>
      </w:r>
      <w:r w:rsidRPr="00382917">
        <w:t>presence</w:t>
      </w:r>
      <w:r w:rsidR="00EE4FC3">
        <w:t xml:space="preserve"> </w:t>
      </w:r>
      <w:r w:rsidRPr="00382917">
        <w:t>of</w:t>
      </w:r>
      <w:r w:rsidR="00EE4FC3">
        <w:t xml:space="preserve"> </w:t>
      </w:r>
      <w:r w:rsidRPr="00382917">
        <w:t>the</w:t>
      </w:r>
      <w:r w:rsidR="00EE4FC3">
        <w:t xml:space="preserve"> </w:t>
      </w:r>
      <w:r w:rsidRPr="00382917">
        <w:t>Báb</w:t>
      </w:r>
      <w:r w:rsidR="00C03C91">
        <w:t>.</w:t>
      </w:r>
      <w:r w:rsidR="00EE4FC3">
        <w:t xml:space="preserve">  </w:t>
      </w:r>
      <w:r w:rsidRPr="00382917">
        <w:t>There</w:t>
      </w:r>
      <w:r w:rsidR="00EE4FC3">
        <w:t xml:space="preserve"> </w:t>
      </w:r>
      <w:r w:rsidRPr="00382917">
        <w:t>were</w:t>
      </w:r>
      <w:r w:rsidR="00EE4FC3">
        <w:t xml:space="preserve"> </w:t>
      </w:r>
      <w:r w:rsidRPr="00382917">
        <w:t>to</w:t>
      </w:r>
      <w:r w:rsidR="00EE4FC3">
        <w:t xml:space="preserve"> </w:t>
      </w:r>
      <w:r w:rsidRPr="00382917">
        <w:t>be</w:t>
      </w:r>
      <w:r w:rsidR="00EE4FC3">
        <w:t xml:space="preserve"> </w:t>
      </w:r>
      <w:r w:rsidRPr="00382917">
        <w:t>no</w:t>
      </w:r>
      <w:r w:rsidR="00EE4FC3">
        <w:t xml:space="preserve"> </w:t>
      </w:r>
      <w:r w:rsidRPr="00382917">
        <w:t>exceptions</w:t>
      </w:r>
      <w:r w:rsidR="00EE4FC3">
        <w:t xml:space="preserve"> </w:t>
      </w:r>
      <w:r w:rsidRPr="00382917">
        <w:t>to</w:t>
      </w:r>
      <w:r w:rsidR="00EE4FC3">
        <w:t xml:space="preserve"> </w:t>
      </w:r>
      <w:r w:rsidRPr="00382917">
        <w:t>this</w:t>
      </w:r>
      <w:r w:rsidR="00EE4FC3">
        <w:t xml:space="preserve"> </w:t>
      </w:r>
      <w:r w:rsidRPr="00382917">
        <w:t>rule</w:t>
      </w:r>
      <w:r w:rsidR="00C03C91">
        <w:t>.</w:t>
      </w:r>
      <w:r w:rsidR="00EE4FC3">
        <w:t xml:space="preserve">  </w:t>
      </w:r>
      <w:r w:rsidRPr="00382917">
        <w:t>The</w:t>
      </w:r>
      <w:r w:rsidR="00EE4FC3">
        <w:t xml:space="preserve"> </w:t>
      </w:r>
      <w:r w:rsidRPr="00382917">
        <w:t>warden</w:t>
      </w:r>
      <w:r w:rsidR="00EE4FC3">
        <w:t xml:space="preserve"> </w:t>
      </w:r>
      <w:r w:rsidRPr="00382917">
        <w:t>was</w:t>
      </w:r>
      <w:r w:rsidR="00EE4FC3">
        <w:t xml:space="preserve"> </w:t>
      </w:r>
      <w:r w:rsidRPr="00382917">
        <w:t>warned</w:t>
      </w:r>
      <w:r w:rsidR="00EE4FC3">
        <w:t xml:space="preserve"> </w:t>
      </w:r>
      <w:r w:rsidRPr="00382917">
        <w:t>to</w:t>
      </w:r>
      <w:r w:rsidR="00EE4FC3">
        <w:t xml:space="preserve"> </w:t>
      </w:r>
      <w:r w:rsidRPr="00382917">
        <w:t>profit</w:t>
      </w:r>
      <w:r w:rsidR="00EE4FC3">
        <w:t xml:space="preserve"> </w:t>
      </w:r>
      <w:r w:rsidRPr="00382917">
        <w:t>by</w:t>
      </w:r>
      <w:r w:rsidR="00EE4FC3">
        <w:t xml:space="preserve"> </w:t>
      </w:r>
      <w:r w:rsidRPr="00382917">
        <w:t>the</w:t>
      </w:r>
      <w:r w:rsidR="00EE4FC3">
        <w:t xml:space="preserve"> </w:t>
      </w:r>
      <w:r w:rsidRPr="00382917">
        <w:t>failure</w:t>
      </w:r>
      <w:r w:rsidR="00EE4FC3">
        <w:t xml:space="preserve"> </w:t>
      </w:r>
      <w:r w:rsidRPr="00382917">
        <w:t>of</w:t>
      </w:r>
      <w:r w:rsidR="00EE4FC3">
        <w:t xml:space="preserve"> </w:t>
      </w:r>
      <w:r w:rsidR="009C713D" w:rsidRPr="00382917">
        <w:t>‘</w:t>
      </w:r>
      <w:r w:rsidRPr="00382917">
        <w:t>Alí</w:t>
      </w:r>
      <w:r w:rsidR="00EE4FC3">
        <w:t xml:space="preserve"> </w:t>
      </w:r>
      <w:r w:rsidR="0040329F" w:rsidRPr="0040329F">
        <w:rPr>
          <w:u w:val="single"/>
        </w:rPr>
        <w:t>Kh</w:t>
      </w:r>
      <w:r w:rsidR="0040329F" w:rsidRPr="00382917">
        <w:t>án</w:t>
      </w:r>
      <w:r w:rsidR="00EE4FC3">
        <w:t xml:space="preserve"> </w:t>
      </w:r>
      <w:r w:rsidRPr="00382917">
        <w:t>at</w:t>
      </w:r>
      <w:r w:rsidR="00EE4FC3">
        <w:t xml:space="preserve"> </w:t>
      </w:r>
      <w:r w:rsidRPr="00382917">
        <w:t>Máh-Kú,</w:t>
      </w:r>
      <w:r w:rsidR="00EE4FC3">
        <w:t xml:space="preserve"> </w:t>
      </w:r>
      <w:r w:rsidRPr="00382917">
        <w:t>and</w:t>
      </w:r>
      <w:r w:rsidR="00EE4FC3">
        <w:t xml:space="preserve"> </w:t>
      </w:r>
      <w:r w:rsidRPr="00382917">
        <w:t>never</w:t>
      </w:r>
      <w:r w:rsidR="00EE4FC3">
        <w:t xml:space="preserve"> </w:t>
      </w:r>
      <w:r w:rsidRPr="00382917">
        <w:t>to</w:t>
      </w:r>
      <w:r w:rsidR="00EE4FC3">
        <w:t xml:space="preserve"> </w:t>
      </w:r>
      <w:r w:rsidRPr="00382917">
        <w:t>disregard</w:t>
      </w:r>
      <w:r w:rsidR="00EE4FC3">
        <w:t xml:space="preserve"> </w:t>
      </w:r>
      <w:r w:rsidRPr="00382917">
        <w:t>the</w:t>
      </w:r>
      <w:r w:rsidR="00EE4FC3">
        <w:t xml:space="preserve"> </w:t>
      </w:r>
      <w:r w:rsidRPr="00382917">
        <w:t>orders</w:t>
      </w:r>
      <w:r w:rsidR="00EE4FC3">
        <w:t xml:space="preserve"> </w:t>
      </w:r>
      <w:r w:rsidRPr="00382917">
        <w:t>he</w:t>
      </w:r>
      <w:r w:rsidR="00EE4FC3">
        <w:t xml:space="preserve"> </w:t>
      </w:r>
      <w:r w:rsidRPr="00382917">
        <w:t>had</w:t>
      </w:r>
      <w:r w:rsidR="00EE4FC3">
        <w:t xml:space="preserve"> </w:t>
      </w:r>
      <w:r w:rsidRPr="00382917">
        <w:t>received,</w:t>
      </w:r>
      <w:r w:rsidR="00EE4FC3">
        <w:t xml:space="preserve"> </w:t>
      </w:r>
      <w:r w:rsidRPr="00382917">
        <w:t>even</w:t>
      </w:r>
      <w:r w:rsidR="00EE4FC3">
        <w:t xml:space="preserve"> </w:t>
      </w:r>
      <w:r w:rsidRPr="00382917">
        <w:t>for</w:t>
      </w:r>
      <w:r w:rsidR="00EE4FC3">
        <w:t xml:space="preserve"> </w:t>
      </w:r>
      <w:r w:rsidRPr="00382917">
        <w:t>a</w:t>
      </w:r>
      <w:r w:rsidR="00EE4FC3">
        <w:t xml:space="preserve"> </w:t>
      </w:r>
      <w:r w:rsidRPr="00382917">
        <w:t>minute,</w:t>
      </w:r>
      <w:r w:rsidR="00EE4FC3">
        <w:t xml:space="preserve"> </w:t>
      </w:r>
      <w:r w:rsidRPr="00382917">
        <w:t>if</w:t>
      </w:r>
      <w:r w:rsidR="00EE4FC3">
        <w:t xml:space="preserve"> </w:t>
      </w:r>
      <w:r w:rsidRPr="00382917">
        <w:t>he</w:t>
      </w:r>
      <w:r w:rsidR="00EE4FC3">
        <w:t xml:space="preserve"> </w:t>
      </w:r>
      <w:r w:rsidRPr="00382917">
        <w:t>valued</w:t>
      </w:r>
      <w:r w:rsidR="00EE4FC3">
        <w:t xml:space="preserve"> </w:t>
      </w:r>
      <w:r w:rsidRPr="00382917">
        <w:t>his</w:t>
      </w:r>
      <w:r w:rsidR="00EE4FC3">
        <w:t xml:space="preserve"> </w:t>
      </w:r>
      <w:r w:rsidRPr="00382917">
        <w:t>life.</w:t>
      </w:r>
    </w:p>
    <w:p w:rsidR="00806330" w:rsidRPr="00382917" w:rsidRDefault="00806330" w:rsidP="00806330">
      <w:pPr>
        <w:pStyle w:val="Text"/>
      </w:pPr>
      <w:r w:rsidRPr="00382917">
        <w:t>Yet,</w:t>
      </w:r>
      <w:r w:rsidR="00EE4FC3">
        <w:t xml:space="preserve"> </w:t>
      </w:r>
      <w:r w:rsidRPr="00382917">
        <w:t>in</w:t>
      </w:r>
      <w:r w:rsidR="00EE4FC3">
        <w:t xml:space="preserve"> </w:t>
      </w:r>
      <w:r w:rsidRPr="00382917">
        <w:t>spite</w:t>
      </w:r>
      <w:r w:rsidR="00EE4FC3">
        <w:t xml:space="preserve"> </w:t>
      </w:r>
      <w:r w:rsidRPr="00382917">
        <w:t>of</w:t>
      </w:r>
      <w:r w:rsidR="00EE4FC3">
        <w:t xml:space="preserve"> </w:t>
      </w:r>
      <w:r w:rsidRPr="00382917">
        <w:t>this</w:t>
      </w:r>
      <w:r w:rsidR="00EE4FC3">
        <w:t xml:space="preserve"> </w:t>
      </w:r>
      <w:r w:rsidRPr="00382917">
        <w:t>open</w:t>
      </w:r>
      <w:r w:rsidR="00EE4FC3">
        <w:t xml:space="preserve"> </w:t>
      </w:r>
      <w:r w:rsidRPr="00382917">
        <w:t>threat</w:t>
      </w:r>
      <w:r w:rsidR="00EE4FC3">
        <w:t xml:space="preserve"> </w:t>
      </w:r>
      <w:r w:rsidRPr="00382917">
        <w:t>to</w:t>
      </w:r>
      <w:r w:rsidR="00EE4FC3">
        <w:t xml:space="preserve"> </w:t>
      </w:r>
      <w:r w:rsidRPr="00382917">
        <w:t>his</w:t>
      </w:r>
      <w:r w:rsidR="00EE4FC3">
        <w:t xml:space="preserve"> </w:t>
      </w:r>
      <w:r w:rsidRPr="00382917">
        <w:t>own</w:t>
      </w:r>
      <w:r w:rsidR="00EE4FC3">
        <w:t xml:space="preserve"> </w:t>
      </w:r>
      <w:r w:rsidRPr="00382917">
        <w:t>safety,</w:t>
      </w:r>
      <w:r w:rsidR="00EE4FC3">
        <w:t xml:space="preserve"> </w:t>
      </w:r>
      <w:r w:rsidRPr="00382917">
        <w:t>Yaḥyá</w:t>
      </w:r>
      <w:r w:rsidR="00EE4FC3">
        <w:t xml:space="preserve"> </w:t>
      </w:r>
      <w:r w:rsidR="0040329F" w:rsidRPr="0040329F">
        <w:rPr>
          <w:u w:val="single"/>
        </w:rPr>
        <w:t>Kh</w:t>
      </w:r>
      <w:r w:rsidR="0040329F" w:rsidRPr="00382917">
        <w:t>án</w:t>
      </w:r>
      <w:r w:rsidR="00EE4FC3">
        <w:t xml:space="preserve"> </w:t>
      </w:r>
      <w:r w:rsidRPr="00382917">
        <w:t>found</w:t>
      </w:r>
      <w:r w:rsidR="00EE4FC3">
        <w:t xml:space="preserve"> </w:t>
      </w:r>
      <w:proofErr w:type="gramStart"/>
      <w:r w:rsidRPr="00382917">
        <w:t>himself</w:t>
      </w:r>
      <w:proofErr w:type="gramEnd"/>
      <w:r w:rsidR="00EE4FC3">
        <w:t xml:space="preserve"> </w:t>
      </w:r>
      <w:r w:rsidRPr="00382917">
        <w:t>powerless</w:t>
      </w:r>
      <w:r w:rsidR="00EE4FC3">
        <w:t xml:space="preserve"> </w:t>
      </w:r>
      <w:r w:rsidRPr="00382917">
        <w:t>to</w:t>
      </w:r>
      <w:r w:rsidR="00EE4FC3">
        <w:t xml:space="preserve"> </w:t>
      </w:r>
      <w:r w:rsidRPr="00382917">
        <w:t>obey</w:t>
      </w:r>
      <w:r w:rsidR="00C03C91">
        <w:t>.</w:t>
      </w:r>
      <w:r w:rsidR="00EE4FC3">
        <w:t xml:space="preserve">  </w:t>
      </w:r>
      <w:r w:rsidRPr="00382917">
        <w:t>He</w:t>
      </w:r>
      <w:r w:rsidR="00EE4FC3">
        <w:t xml:space="preserve"> </w:t>
      </w:r>
      <w:r w:rsidRPr="00382917">
        <w:t>too</w:t>
      </w:r>
      <w:r w:rsidR="00EE4FC3">
        <w:t xml:space="preserve"> </w:t>
      </w:r>
      <w:r w:rsidRPr="00382917">
        <w:t>soon</w:t>
      </w:r>
      <w:r w:rsidR="00EE4FC3">
        <w:t xml:space="preserve"> </w:t>
      </w:r>
      <w:r w:rsidRPr="00382917">
        <w:t>felt</w:t>
      </w:r>
      <w:r w:rsidR="00EE4FC3">
        <w:t xml:space="preserve"> </w:t>
      </w:r>
      <w:r w:rsidRPr="00382917">
        <w:t>the</w:t>
      </w:r>
      <w:r w:rsidR="00EE4FC3">
        <w:t xml:space="preserve"> </w:t>
      </w:r>
      <w:r w:rsidRPr="00382917">
        <w:t>fascination</w:t>
      </w:r>
      <w:r w:rsidR="00EE4FC3">
        <w:t xml:space="preserve"> </w:t>
      </w:r>
      <w:r w:rsidRPr="00382917">
        <w:t>of</w:t>
      </w:r>
      <w:r w:rsidR="00EE4FC3">
        <w:t xml:space="preserve"> </w:t>
      </w:r>
      <w:r w:rsidRPr="00382917">
        <w:t>his</w:t>
      </w:r>
      <w:r w:rsidR="00EE4FC3">
        <w:t xml:space="preserve"> </w:t>
      </w:r>
      <w:r w:rsidRPr="00382917">
        <w:t>Prisoner</w:t>
      </w:r>
      <w:r w:rsidR="00C03C91">
        <w:t>.</w:t>
      </w:r>
      <w:r w:rsidR="00EE4FC3">
        <w:t xml:space="preserve">  </w:t>
      </w:r>
      <w:r w:rsidRPr="00382917">
        <w:t>He</w:t>
      </w:r>
      <w:r w:rsidR="00EE4FC3">
        <w:t xml:space="preserve"> </w:t>
      </w:r>
      <w:r w:rsidRPr="00382917">
        <w:t>forgot</w:t>
      </w:r>
      <w:r w:rsidR="00EE4FC3">
        <w:t xml:space="preserve"> </w:t>
      </w:r>
      <w:r w:rsidRPr="00382917">
        <w:t>completely</w:t>
      </w:r>
      <w:r w:rsidR="00EE4FC3">
        <w:t xml:space="preserve"> </w:t>
      </w:r>
      <w:r w:rsidRPr="00382917">
        <w:t>the</w:t>
      </w:r>
      <w:r w:rsidR="00EE4FC3">
        <w:t xml:space="preserve"> </w:t>
      </w:r>
      <w:r w:rsidRPr="00382917">
        <w:t>duty</w:t>
      </w:r>
      <w:r w:rsidR="00EE4FC3">
        <w:t xml:space="preserve"> </w:t>
      </w:r>
      <w:r w:rsidRPr="00382917">
        <w:t>he</w:t>
      </w:r>
      <w:r w:rsidR="00EE4FC3">
        <w:t xml:space="preserve"> </w:t>
      </w:r>
      <w:r w:rsidRPr="00382917">
        <w:t>was</w:t>
      </w:r>
      <w:r w:rsidR="00EE4FC3">
        <w:t xml:space="preserve"> </w:t>
      </w:r>
      <w:r w:rsidRPr="00382917">
        <w:t>expected</w:t>
      </w:r>
      <w:r w:rsidR="00EE4FC3">
        <w:t xml:space="preserve"> </w:t>
      </w:r>
      <w:r w:rsidRPr="00382917">
        <w:t>to</w:t>
      </w:r>
      <w:r w:rsidR="00EE4FC3">
        <w:t xml:space="preserve"> </w:t>
      </w:r>
      <w:r w:rsidRPr="00382917">
        <w:t>perform</w:t>
      </w:r>
      <w:r w:rsidR="00C03C91">
        <w:t>.</w:t>
      </w:r>
      <w:r w:rsidR="00EE4FC3">
        <w:t xml:space="preserve">  </w:t>
      </w:r>
      <w:r w:rsidRPr="00382917">
        <w:t>Love</w:t>
      </w:r>
      <w:r w:rsidR="00EE4FC3">
        <w:t xml:space="preserve"> </w:t>
      </w:r>
      <w:r w:rsidRPr="00382917">
        <w:t>for</w:t>
      </w:r>
      <w:r w:rsidR="00EE4FC3">
        <w:t xml:space="preserve"> </w:t>
      </w:r>
      <w:r w:rsidRPr="00382917">
        <w:t>the</w:t>
      </w:r>
      <w:r w:rsidR="00EE4FC3">
        <w:t xml:space="preserve"> </w:t>
      </w:r>
      <w:r w:rsidRPr="00382917">
        <w:t>Báb</w:t>
      </w:r>
      <w:r w:rsidR="00EE4FC3">
        <w:t xml:space="preserve"> </w:t>
      </w:r>
      <w:r w:rsidRPr="00382917">
        <w:t>claimed</w:t>
      </w:r>
      <w:r w:rsidR="00EE4FC3">
        <w:t xml:space="preserve"> </w:t>
      </w:r>
      <w:r w:rsidRPr="00382917">
        <w:t>his</w:t>
      </w:r>
      <w:r w:rsidR="00EE4FC3">
        <w:t xml:space="preserve"> </w:t>
      </w:r>
      <w:r w:rsidRPr="00382917">
        <w:t>entire</w:t>
      </w:r>
      <w:r w:rsidR="00EE4FC3">
        <w:t xml:space="preserve"> </w:t>
      </w:r>
      <w:r w:rsidRPr="00382917">
        <w:t>being,</w:t>
      </w:r>
      <w:r w:rsidR="00EE4FC3">
        <w:t xml:space="preserve"> </w:t>
      </w:r>
      <w:r w:rsidRPr="00382917">
        <w:t>until</w:t>
      </w:r>
      <w:r w:rsidR="00EE4FC3">
        <w:t xml:space="preserve"> </w:t>
      </w:r>
      <w:r w:rsidRPr="00382917">
        <w:t>he</w:t>
      </w:r>
      <w:r w:rsidR="00EE4FC3">
        <w:t xml:space="preserve"> </w:t>
      </w:r>
      <w:r w:rsidRPr="00382917">
        <w:t>would</w:t>
      </w:r>
      <w:r w:rsidR="00EE4FC3">
        <w:t xml:space="preserve"> </w:t>
      </w:r>
      <w:r w:rsidRPr="00382917">
        <w:t>have</w:t>
      </w:r>
      <w:r w:rsidR="00EE4FC3">
        <w:t xml:space="preserve"> </w:t>
      </w:r>
      <w:r w:rsidRPr="00382917">
        <w:t>preferred</w:t>
      </w:r>
      <w:r w:rsidR="00EE4FC3">
        <w:t xml:space="preserve"> </w:t>
      </w:r>
      <w:r w:rsidRPr="00382917">
        <w:t>to</w:t>
      </w:r>
      <w:r w:rsidR="00EE4FC3">
        <w:t xml:space="preserve"> </w:t>
      </w:r>
      <w:r w:rsidRPr="00382917">
        <w:t>be</w:t>
      </w:r>
      <w:r w:rsidR="00EE4FC3">
        <w:t xml:space="preserve"> </w:t>
      </w:r>
      <w:r w:rsidRPr="00382917">
        <w:t>slain</w:t>
      </w:r>
      <w:r w:rsidR="00EE4FC3">
        <w:t xml:space="preserve"> </w:t>
      </w:r>
      <w:r w:rsidRPr="00382917">
        <w:t>rather</w:t>
      </w:r>
      <w:r w:rsidR="00EE4FC3">
        <w:t xml:space="preserve"> </w:t>
      </w:r>
      <w:r w:rsidRPr="00382917">
        <w:t>than</w:t>
      </w:r>
      <w:r w:rsidR="00EE4FC3">
        <w:t xml:space="preserve"> </w:t>
      </w:r>
      <w:r w:rsidRPr="00382917">
        <w:t>to</w:t>
      </w:r>
      <w:r w:rsidR="00EE4FC3">
        <w:t xml:space="preserve"> </w:t>
      </w:r>
      <w:r w:rsidRPr="00382917">
        <w:t>cause</w:t>
      </w:r>
      <w:r w:rsidR="00EE4FC3">
        <w:t xml:space="preserve"> </w:t>
      </w:r>
      <w:r w:rsidRPr="00382917">
        <w:t>Him</w:t>
      </w:r>
      <w:r w:rsidR="00EE4FC3">
        <w:t xml:space="preserve"> </w:t>
      </w:r>
      <w:r w:rsidRPr="00382917">
        <w:t>the</w:t>
      </w:r>
      <w:r w:rsidR="00EE4FC3">
        <w:t xml:space="preserve"> </w:t>
      </w:r>
      <w:r w:rsidRPr="00382917">
        <w:t>slightest</w:t>
      </w:r>
      <w:r w:rsidR="00EE4FC3">
        <w:t xml:space="preserve"> </w:t>
      </w:r>
      <w:r w:rsidRPr="00382917">
        <w:t>discomfort.</w:t>
      </w:r>
    </w:p>
    <w:p w:rsidR="00806330" w:rsidRPr="00382917" w:rsidRDefault="00806330" w:rsidP="00806330">
      <w:pPr>
        <w:pStyle w:val="Text"/>
      </w:pPr>
      <w:r w:rsidRPr="00382917">
        <w:t>The</w:t>
      </w:r>
      <w:r w:rsidR="00EE4FC3">
        <w:t xml:space="preserve"> </w:t>
      </w:r>
      <w:r w:rsidRPr="00382917">
        <w:t>villagers</w:t>
      </w:r>
      <w:r w:rsidR="00EE4FC3">
        <w:t xml:space="preserve"> </w:t>
      </w:r>
      <w:r w:rsidRPr="00382917">
        <w:t>who</w:t>
      </w:r>
      <w:r w:rsidR="00EE4FC3">
        <w:t xml:space="preserve"> </w:t>
      </w:r>
      <w:r w:rsidRPr="00382917">
        <w:t>lived</w:t>
      </w:r>
      <w:r w:rsidR="00EE4FC3">
        <w:t xml:space="preserve"> </w:t>
      </w:r>
      <w:r w:rsidRPr="00382917">
        <w:t>in</w:t>
      </w:r>
      <w:r w:rsidR="00EE4FC3">
        <w:t xml:space="preserve"> </w:t>
      </w:r>
      <w:r w:rsidR="001713B3" w:rsidRPr="001713B3">
        <w:rPr>
          <w:u w:val="single"/>
        </w:rPr>
        <w:t>Ch</w:t>
      </w:r>
      <w:r w:rsidR="001713B3" w:rsidRPr="00382917">
        <w:t>ihríq</w:t>
      </w:r>
      <w:r w:rsidR="00EE4FC3">
        <w:t xml:space="preserve"> </w:t>
      </w:r>
      <w:r w:rsidRPr="00382917">
        <w:t>were</w:t>
      </w:r>
      <w:r w:rsidR="00EE4FC3">
        <w:t xml:space="preserve"> </w:t>
      </w:r>
      <w:r w:rsidRPr="00382917">
        <w:t>more</w:t>
      </w:r>
      <w:r w:rsidR="00EE4FC3">
        <w:t xml:space="preserve"> </w:t>
      </w:r>
      <w:r w:rsidRPr="00382917">
        <w:t>fanatic</w:t>
      </w:r>
      <w:r w:rsidR="00EE4FC3">
        <w:t xml:space="preserve"> </w:t>
      </w:r>
      <w:r w:rsidRPr="00382917">
        <w:t>in</w:t>
      </w:r>
      <w:r w:rsidR="00EE4FC3">
        <w:t xml:space="preserve"> </w:t>
      </w:r>
      <w:r w:rsidRPr="00382917">
        <w:t>their</w:t>
      </w:r>
      <w:r w:rsidR="00EE4FC3">
        <w:t xml:space="preserve"> </w:t>
      </w:r>
      <w:r w:rsidRPr="00382917">
        <w:t>hatred</w:t>
      </w:r>
      <w:r w:rsidR="00EE4FC3">
        <w:t xml:space="preserve"> </w:t>
      </w:r>
      <w:r w:rsidRPr="00382917">
        <w:t>of</w:t>
      </w:r>
      <w:r w:rsidR="00EE4FC3">
        <w:t xml:space="preserve"> </w:t>
      </w:r>
      <w:r w:rsidRPr="00382917">
        <w:t>the</w:t>
      </w:r>
      <w:r w:rsidR="00EE4FC3">
        <w:t xml:space="preserve"> </w:t>
      </w:r>
      <w:r w:rsidRPr="00382917">
        <w:t>Báb</w:t>
      </w:r>
      <w:r w:rsidR="00EE4FC3">
        <w:t xml:space="preserve"> </w:t>
      </w:r>
      <w:r w:rsidRPr="00382917">
        <w:t>than</w:t>
      </w:r>
      <w:r w:rsidR="00EE4FC3">
        <w:t xml:space="preserve"> </w:t>
      </w:r>
      <w:r w:rsidRPr="00382917">
        <w:t>those</w:t>
      </w:r>
      <w:r w:rsidR="00EE4FC3">
        <w:t xml:space="preserve"> </w:t>
      </w:r>
      <w:r w:rsidRPr="00382917">
        <w:t>who</w:t>
      </w:r>
      <w:r w:rsidR="00EE4FC3">
        <w:t xml:space="preserve"> </w:t>
      </w:r>
      <w:r w:rsidRPr="00382917">
        <w:t>had</w:t>
      </w:r>
      <w:r w:rsidR="00EE4FC3">
        <w:t xml:space="preserve"> </w:t>
      </w:r>
      <w:r w:rsidRPr="00382917">
        <w:t>lived</w:t>
      </w:r>
      <w:r w:rsidR="00EE4FC3">
        <w:t xml:space="preserve"> </w:t>
      </w:r>
      <w:r w:rsidRPr="00382917">
        <w:t>at</w:t>
      </w:r>
      <w:r w:rsidR="00EE4FC3">
        <w:t xml:space="preserve"> </w:t>
      </w:r>
      <w:r w:rsidRPr="00382917">
        <w:t>Máh-Kú,</w:t>
      </w:r>
      <w:r w:rsidR="00EE4FC3">
        <w:t xml:space="preserve"> </w:t>
      </w:r>
      <w:r w:rsidRPr="00382917">
        <w:t>but</w:t>
      </w:r>
      <w:r w:rsidR="00EE4FC3">
        <w:t xml:space="preserve"> </w:t>
      </w:r>
      <w:r w:rsidRPr="00382917">
        <w:t>they</w:t>
      </w:r>
      <w:r w:rsidR="00EE4FC3">
        <w:t xml:space="preserve"> </w:t>
      </w:r>
      <w:r w:rsidRPr="00382917">
        <w:t>also</w:t>
      </w:r>
      <w:r w:rsidR="00EE4FC3">
        <w:t xml:space="preserve"> </w:t>
      </w:r>
      <w:r w:rsidRPr="00382917">
        <w:t>gradually</w:t>
      </w:r>
      <w:r w:rsidR="00EE4FC3">
        <w:t xml:space="preserve"> </w:t>
      </w:r>
      <w:r w:rsidRPr="00382917">
        <w:t>fell</w:t>
      </w:r>
      <w:r w:rsidR="00EE4FC3">
        <w:t xml:space="preserve"> </w:t>
      </w:r>
      <w:r w:rsidRPr="00382917">
        <w:t>under</w:t>
      </w:r>
      <w:r w:rsidR="00EE4FC3">
        <w:t xml:space="preserve"> </w:t>
      </w:r>
      <w:r w:rsidRPr="00382917">
        <w:t>the</w:t>
      </w:r>
      <w:r w:rsidR="00EE4FC3">
        <w:t xml:space="preserve"> </w:t>
      </w:r>
      <w:r w:rsidRPr="00382917">
        <w:t>transforming</w:t>
      </w:r>
      <w:r w:rsidR="00EE4FC3">
        <w:t xml:space="preserve"> </w:t>
      </w:r>
      <w:r w:rsidRPr="00382917">
        <w:t>influence</w:t>
      </w:r>
      <w:r w:rsidR="00EE4FC3">
        <w:t xml:space="preserve"> </w:t>
      </w:r>
      <w:r w:rsidRPr="00382917">
        <w:t>of</w:t>
      </w:r>
      <w:r w:rsidR="00EE4FC3">
        <w:t xml:space="preserve"> </w:t>
      </w:r>
      <w:r w:rsidRPr="00382917">
        <w:t>His</w:t>
      </w:r>
      <w:r w:rsidR="00EE4FC3">
        <w:t xml:space="preserve"> </w:t>
      </w:r>
      <w:r w:rsidRPr="00382917">
        <w:t>presence</w:t>
      </w:r>
      <w:r w:rsidR="00C03C91">
        <w:t>.</w:t>
      </w:r>
      <w:r w:rsidR="00EE4FC3">
        <w:t xml:space="preserve">  </w:t>
      </w:r>
      <w:r w:rsidRPr="00382917">
        <w:t>The</w:t>
      </w:r>
      <w:r w:rsidR="00EE4FC3">
        <w:t xml:space="preserve"> </w:t>
      </w:r>
      <w:r w:rsidRPr="00382917">
        <w:t>spirit</w:t>
      </w:r>
      <w:r w:rsidR="00EE4FC3">
        <w:t xml:space="preserve"> </w:t>
      </w:r>
      <w:r w:rsidRPr="00382917">
        <w:t>which</w:t>
      </w:r>
      <w:r w:rsidR="00EE4FC3">
        <w:t xml:space="preserve"> </w:t>
      </w:r>
      <w:r w:rsidRPr="00382917">
        <w:t>He</w:t>
      </w:r>
      <w:r w:rsidR="00EE4FC3">
        <w:t xml:space="preserve"> </w:t>
      </w:r>
      <w:r w:rsidRPr="00382917">
        <w:t>radiated</w:t>
      </w:r>
      <w:r w:rsidR="00EE4FC3">
        <w:t xml:space="preserve"> </w:t>
      </w:r>
      <w:r w:rsidRPr="00382917">
        <w:t>was</w:t>
      </w:r>
      <w:r w:rsidR="00EE4FC3">
        <w:t xml:space="preserve"> </w:t>
      </w:r>
      <w:r w:rsidRPr="00382917">
        <w:t>a</w:t>
      </w:r>
      <w:r w:rsidR="00EE4FC3">
        <w:t xml:space="preserve"> </w:t>
      </w:r>
      <w:r w:rsidRPr="00382917">
        <w:t>life-creating</w:t>
      </w:r>
      <w:r w:rsidR="00EE4FC3">
        <w:t xml:space="preserve"> </w:t>
      </w:r>
      <w:r w:rsidRPr="00382917">
        <w:t>thing</w:t>
      </w:r>
      <w:r w:rsidR="00C03C91">
        <w:t>.</w:t>
      </w:r>
      <w:r w:rsidR="00EE4FC3">
        <w:t xml:space="preserve">  </w:t>
      </w:r>
      <w:r w:rsidRPr="00382917">
        <w:t>It</w:t>
      </w:r>
      <w:r w:rsidR="00EE4FC3">
        <w:t xml:space="preserve"> </w:t>
      </w:r>
      <w:r w:rsidRPr="00382917">
        <w:t>changed</w:t>
      </w:r>
      <w:r w:rsidR="00EE4FC3">
        <w:t xml:space="preserve"> </w:t>
      </w:r>
      <w:r w:rsidRPr="00382917">
        <w:t>hate</w:t>
      </w:r>
      <w:r w:rsidR="00EE4FC3">
        <w:t xml:space="preserve"> </w:t>
      </w:r>
      <w:r w:rsidRPr="00382917">
        <w:t>into</w:t>
      </w:r>
      <w:r w:rsidR="00EE4FC3">
        <w:t xml:space="preserve"> </w:t>
      </w:r>
      <w:r w:rsidRPr="00382917">
        <w:t>love,</w:t>
      </w:r>
      <w:r w:rsidR="00EE4FC3">
        <w:t xml:space="preserve"> </w:t>
      </w:r>
      <w:r w:rsidRPr="00382917">
        <w:t>enemies</w:t>
      </w:r>
      <w:r w:rsidR="00EE4FC3">
        <w:t xml:space="preserve"> </w:t>
      </w:r>
      <w:r w:rsidRPr="00382917">
        <w:t>into</w:t>
      </w:r>
      <w:r w:rsidR="00EE4FC3">
        <w:t xml:space="preserve"> </w:t>
      </w:r>
      <w:r w:rsidRPr="00382917">
        <w:t>friends.</w:t>
      </w:r>
    </w:p>
    <w:p w:rsidR="00806330" w:rsidRPr="00382917" w:rsidRDefault="00806330" w:rsidP="00806330">
      <w:pPr>
        <w:pStyle w:val="Text"/>
      </w:pPr>
      <w:r w:rsidRPr="00382917">
        <w:t>This</w:t>
      </w:r>
      <w:r w:rsidR="00EE4FC3">
        <w:t xml:space="preserve"> </w:t>
      </w:r>
      <w:r w:rsidRPr="00382917">
        <w:t>is</w:t>
      </w:r>
      <w:r w:rsidR="00EE4FC3">
        <w:t xml:space="preserve"> </w:t>
      </w:r>
      <w:r w:rsidRPr="00382917">
        <w:t>confirmed</w:t>
      </w:r>
      <w:r w:rsidR="00EE4FC3">
        <w:t xml:space="preserve"> </w:t>
      </w:r>
      <w:r w:rsidRPr="00382917">
        <w:t>by</w:t>
      </w:r>
      <w:r w:rsidR="00EE4FC3">
        <w:t xml:space="preserve"> </w:t>
      </w:r>
      <w:r w:rsidRPr="00382917">
        <w:t>the</w:t>
      </w:r>
      <w:r w:rsidR="00EE4FC3">
        <w:t xml:space="preserve"> </w:t>
      </w:r>
      <w:r w:rsidRPr="00382917">
        <w:t>following</w:t>
      </w:r>
      <w:r w:rsidR="00EE4FC3">
        <w:t xml:space="preserve"> </w:t>
      </w:r>
      <w:r w:rsidRPr="00382917">
        <w:t>historical</w:t>
      </w:r>
      <w:r w:rsidR="00EE4FC3">
        <w:t xml:space="preserve"> </w:t>
      </w:r>
      <w:r w:rsidRPr="00382917">
        <w:t>account</w:t>
      </w:r>
      <w:r w:rsidR="00C03C91">
        <w:t>:</w:t>
      </w:r>
      <w:r w:rsidR="00EE4FC3">
        <w:t xml:space="preserve">  </w:t>
      </w:r>
      <w:r w:rsidR="009C713D" w:rsidRPr="00382917">
        <w:t>“</w:t>
      </w:r>
      <w:r w:rsidRPr="00382917">
        <w:t>His</w:t>
      </w:r>
      <w:r w:rsidR="00EE4FC3">
        <w:t xml:space="preserve"> </w:t>
      </w:r>
      <w:r w:rsidRPr="00382917">
        <w:t>qualities</w:t>
      </w:r>
      <w:r w:rsidR="00EE4FC3">
        <w:t xml:space="preserve"> </w:t>
      </w:r>
      <w:r w:rsidRPr="00382917">
        <w:t>were</w:t>
      </w:r>
      <w:r w:rsidR="00EE4FC3">
        <w:t xml:space="preserve"> </w:t>
      </w:r>
      <w:r w:rsidRPr="00382917">
        <w:t>so</w:t>
      </w:r>
      <w:r w:rsidR="00EE4FC3">
        <w:t xml:space="preserve"> </w:t>
      </w:r>
      <w:r w:rsidRPr="00382917">
        <w:t>rare</w:t>
      </w:r>
      <w:r w:rsidR="00EE4FC3">
        <w:t xml:space="preserve"> </w:t>
      </w:r>
      <w:r w:rsidRPr="00382917">
        <w:t>in</w:t>
      </w:r>
      <w:r w:rsidR="00EE4FC3">
        <w:t xml:space="preserve"> </w:t>
      </w:r>
      <w:r w:rsidRPr="00382917">
        <w:t>their</w:t>
      </w:r>
      <w:r w:rsidR="00EE4FC3">
        <w:t xml:space="preserve"> </w:t>
      </w:r>
      <w:r w:rsidRPr="00382917">
        <w:t>nobility</w:t>
      </w:r>
      <w:r w:rsidR="00EE4FC3">
        <w:t xml:space="preserve"> </w:t>
      </w:r>
      <w:r w:rsidRPr="00382917">
        <w:t>and</w:t>
      </w:r>
      <w:r w:rsidR="00EE4FC3">
        <w:t xml:space="preserve"> </w:t>
      </w:r>
      <w:r w:rsidRPr="00382917">
        <w:t>beauty,</w:t>
      </w:r>
      <w:r w:rsidR="00EE4FC3">
        <w:t xml:space="preserve"> </w:t>
      </w:r>
      <w:r w:rsidRPr="00382917">
        <w:t>His</w:t>
      </w:r>
      <w:r w:rsidR="00EE4FC3">
        <w:t xml:space="preserve"> </w:t>
      </w:r>
      <w:r w:rsidRPr="00382917">
        <w:t>personality</w:t>
      </w:r>
      <w:r w:rsidR="00EE4FC3">
        <w:t xml:space="preserve"> </w:t>
      </w:r>
      <w:r w:rsidRPr="00382917">
        <w:t>so</w:t>
      </w:r>
      <w:r w:rsidR="00EE4FC3">
        <w:t xml:space="preserve"> </w:t>
      </w:r>
      <w:r w:rsidRPr="00382917">
        <w:t>gentle</w:t>
      </w:r>
      <w:r w:rsidR="00EE4FC3">
        <w:t xml:space="preserve"> </w:t>
      </w:r>
      <w:r w:rsidRPr="00382917">
        <w:t>and</w:t>
      </w:r>
      <w:r w:rsidR="00EE4FC3">
        <w:t xml:space="preserve"> </w:t>
      </w:r>
      <w:r w:rsidRPr="00382917">
        <w:t>yet</w:t>
      </w:r>
      <w:r w:rsidR="00EE4FC3">
        <w:t xml:space="preserve"> </w:t>
      </w:r>
      <w:r w:rsidRPr="00382917">
        <w:t>so</w:t>
      </w:r>
      <w:r w:rsidR="00EE4FC3">
        <w:t xml:space="preserve"> </w:t>
      </w:r>
      <w:r w:rsidRPr="00382917">
        <w:t>forceful,</w:t>
      </w:r>
      <w:r w:rsidR="00EE4FC3">
        <w:t xml:space="preserve"> </w:t>
      </w:r>
      <w:r w:rsidRPr="00382917">
        <w:t>and</w:t>
      </w:r>
      <w:r w:rsidR="00EE4FC3">
        <w:t xml:space="preserve"> </w:t>
      </w:r>
      <w:r w:rsidRPr="00382917">
        <w:t>His</w:t>
      </w:r>
      <w:r w:rsidR="00EE4FC3">
        <w:t xml:space="preserve"> </w:t>
      </w:r>
      <w:r w:rsidRPr="00382917">
        <w:t>natural</w:t>
      </w:r>
      <w:r w:rsidR="00EE4FC3">
        <w:t xml:space="preserve"> </w:t>
      </w:r>
      <w:r w:rsidRPr="00382917">
        <w:t>charm</w:t>
      </w:r>
      <w:r w:rsidR="00EE4FC3">
        <w:t xml:space="preserve"> </w:t>
      </w:r>
      <w:r w:rsidRPr="00382917">
        <w:t>was</w:t>
      </w:r>
      <w:r w:rsidR="00EE4FC3">
        <w:t xml:space="preserve"> </w:t>
      </w:r>
      <w:r w:rsidRPr="00382917">
        <w:t>combined</w:t>
      </w:r>
    </w:p>
    <w:p w:rsidR="00806330" w:rsidRPr="00382917" w:rsidRDefault="00806330">
      <w:pPr>
        <w:widowControl/>
        <w:kinsoku/>
        <w:overflowPunct/>
        <w:textAlignment w:val="auto"/>
      </w:pPr>
      <w:r w:rsidRPr="00382917">
        <w:br w:type="page"/>
      </w:r>
    </w:p>
    <w:p w:rsidR="00806330" w:rsidRPr="00382917" w:rsidRDefault="00806330" w:rsidP="000910FF">
      <w:pPr>
        <w:pStyle w:val="Textcts"/>
      </w:pPr>
      <w:proofErr w:type="gramStart"/>
      <w:r w:rsidRPr="00382917">
        <w:t>with</w:t>
      </w:r>
      <w:proofErr w:type="gramEnd"/>
      <w:r w:rsidR="00EE4FC3">
        <w:t xml:space="preserve"> </w:t>
      </w:r>
      <w:r w:rsidRPr="00382917">
        <w:t>so</w:t>
      </w:r>
      <w:r w:rsidR="00EE4FC3">
        <w:t xml:space="preserve"> </w:t>
      </w:r>
      <w:r w:rsidRPr="00382917">
        <w:t>much</w:t>
      </w:r>
      <w:r w:rsidR="00EE4FC3">
        <w:t xml:space="preserve"> </w:t>
      </w:r>
      <w:r w:rsidRPr="00382917">
        <w:t>tact</w:t>
      </w:r>
      <w:r w:rsidR="00EE4FC3">
        <w:t xml:space="preserve"> </w:t>
      </w:r>
      <w:r w:rsidRPr="00382917">
        <w:t>and</w:t>
      </w:r>
      <w:r w:rsidR="00EE4FC3">
        <w:t xml:space="preserve"> </w:t>
      </w:r>
      <w:r w:rsidRPr="00382917">
        <w:t>judgment,</w:t>
      </w:r>
      <w:r w:rsidR="00EE4FC3">
        <w:t xml:space="preserve"> </w:t>
      </w:r>
      <w:r w:rsidRPr="00382917">
        <w:t>that</w:t>
      </w:r>
      <w:r w:rsidR="00EE4FC3">
        <w:t xml:space="preserve"> </w:t>
      </w:r>
      <w:r w:rsidRPr="00382917">
        <w:t>after</w:t>
      </w:r>
      <w:r w:rsidR="00EE4FC3">
        <w:t xml:space="preserve"> </w:t>
      </w:r>
      <w:r w:rsidRPr="00382917">
        <w:t>His</w:t>
      </w:r>
      <w:r w:rsidR="00EE4FC3">
        <w:t xml:space="preserve"> </w:t>
      </w:r>
      <w:r w:rsidRPr="00382917">
        <w:t>Declaration</w:t>
      </w:r>
      <w:r w:rsidR="00EE4FC3">
        <w:t xml:space="preserve"> </w:t>
      </w:r>
      <w:r w:rsidRPr="00382917">
        <w:t>He</w:t>
      </w:r>
      <w:r w:rsidR="00EE4FC3">
        <w:t xml:space="preserve"> </w:t>
      </w:r>
      <w:r w:rsidRPr="00382917">
        <w:t>quickly</w:t>
      </w:r>
      <w:r w:rsidR="00EE4FC3">
        <w:t xml:space="preserve"> </w:t>
      </w:r>
      <w:r w:rsidRPr="00382917">
        <w:t>became</w:t>
      </w:r>
      <w:r w:rsidR="00EE4FC3">
        <w:t xml:space="preserve"> </w:t>
      </w:r>
      <w:r w:rsidRPr="00382917">
        <w:t>in</w:t>
      </w:r>
      <w:r w:rsidR="00EE4FC3">
        <w:t xml:space="preserve"> </w:t>
      </w:r>
      <w:r w:rsidRPr="00382917">
        <w:t>Persia</w:t>
      </w:r>
      <w:r w:rsidR="00EE4FC3">
        <w:t xml:space="preserve"> </w:t>
      </w:r>
      <w:r w:rsidRPr="00382917">
        <w:t>a</w:t>
      </w:r>
      <w:r w:rsidR="00EE4FC3">
        <w:t xml:space="preserve"> </w:t>
      </w:r>
      <w:r w:rsidRPr="00382917">
        <w:t>widely</w:t>
      </w:r>
      <w:r w:rsidR="00EE4FC3">
        <w:t xml:space="preserve"> </w:t>
      </w:r>
      <w:r w:rsidRPr="00382917">
        <w:t>popular</w:t>
      </w:r>
      <w:r w:rsidR="00EE4FC3">
        <w:t xml:space="preserve"> </w:t>
      </w:r>
      <w:r w:rsidRPr="00382917">
        <w:t>figure</w:t>
      </w:r>
      <w:r w:rsidR="00C03C91">
        <w:t>.</w:t>
      </w:r>
      <w:r w:rsidR="00EE4FC3">
        <w:t xml:space="preserve">  </w:t>
      </w:r>
      <w:r w:rsidRPr="00382917">
        <w:t>He</w:t>
      </w:r>
      <w:r w:rsidR="00EE4FC3">
        <w:t xml:space="preserve"> </w:t>
      </w:r>
      <w:r w:rsidRPr="00382917">
        <w:t>would</w:t>
      </w:r>
      <w:r w:rsidR="00EE4FC3">
        <w:t xml:space="preserve"> </w:t>
      </w:r>
      <w:r w:rsidRPr="00382917">
        <w:t>win</w:t>
      </w:r>
      <w:r w:rsidR="00EE4FC3">
        <w:t xml:space="preserve"> </w:t>
      </w:r>
      <w:r w:rsidRPr="00382917">
        <w:t>over</w:t>
      </w:r>
      <w:r w:rsidR="00EE4FC3">
        <w:t xml:space="preserve"> </w:t>
      </w:r>
      <w:r w:rsidRPr="00382917">
        <w:t>almost</w:t>
      </w:r>
      <w:r w:rsidR="00EE4FC3">
        <w:t xml:space="preserve"> </w:t>
      </w:r>
      <w:r w:rsidRPr="00382917">
        <w:t>all</w:t>
      </w:r>
      <w:r w:rsidR="00EE4FC3">
        <w:t xml:space="preserve"> </w:t>
      </w:r>
      <w:r w:rsidRPr="00382917">
        <w:t>with</w:t>
      </w:r>
      <w:r w:rsidR="00EE4FC3">
        <w:t xml:space="preserve"> </w:t>
      </w:r>
      <w:r w:rsidRPr="00382917">
        <w:t>whom</w:t>
      </w:r>
      <w:r w:rsidR="00EE4FC3">
        <w:t xml:space="preserve"> </w:t>
      </w:r>
      <w:r w:rsidRPr="00382917">
        <w:t>He</w:t>
      </w:r>
      <w:r w:rsidR="00EE4FC3">
        <w:t xml:space="preserve"> </w:t>
      </w:r>
      <w:r w:rsidRPr="00382917">
        <w:t>was</w:t>
      </w:r>
      <w:r w:rsidR="00EE4FC3">
        <w:t xml:space="preserve"> </w:t>
      </w:r>
      <w:r w:rsidRPr="00382917">
        <w:t>brought</w:t>
      </w:r>
      <w:r w:rsidR="00EE4FC3">
        <w:t xml:space="preserve"> </w:t>
      </w:r>
      <w:r w:rsidRPr="00382917">
        <w:t>into</w:t>
      </w:r>
      <w:r w:rsidR="00EE4FC3">
        <w:t xml:space="preserve"> </w:t>
      </w:r>
      <w:r w:rsidRPr="00382917">
        <w:t>personal</w:t>
      </w:r>
      <w:r w:rsidR="00EE4FC3">
        <w:t xml:space="preserve"> </w:t>
      </w:r>
      <w:r w:rsidRPr="00382917">
        <w:t>contact,</w:t>
      </w:r>
      <w:r w:rsidR="00EE4FC3">
        <w:t xml:space="preserve"> </w:t>
      </w:r>
      <w:r w:rsidRPr="00382917">
        <w:t>often</w:t>
      </w:r>
      <w:r w:rsidR="00EE4FC3">
        <w:t xml:space="preserve"> </w:t>
      </w:r>
      <w:r w:rsidRPr="00382917">
        <w:t>converting</w:t>
      </w:r>
      <w:r w:rsidR="00EE4FC3">
        <w:t xml:space="preserve"> </w:t>
      </w:r>
      <w:r w:rsidRPr="00382917">
        <w:t>His</w:t>
      </w:r>
      <w:r w:rsidR="00EE4FC3">
        <w:t xml:space="preserve"> </w:t>
      </w:r>
      <w:r w:rsidRPr="00382917">
        <w:t>gaolers</w:t>
      </w:r>
      <w:r w:rsidR="00EE4FC3">
        <w:t xml:space="preserve"> </w:t>
      </w:r>
      <w:r w:rsidRPr="00382917">
        <w:t>to</w:t>
      </w:r>
      <w:r w:rsidR="00EE4FC3">
        <w:t xml:space="preserve"> </w:t>
      </w:r>
      <w:r w:rsidRPr="00382917">
        <w:t>His</w:t>
      </w:r>
      <w:r w:rsidR="00EE4FC3">
        <w:t xml:space="preserve"> </w:t>
      </w:r>
      <w:r w:rsidRPr="00382917">
        <w:t>Faith</w:t>
      </w:r>
      <w:r w:rsidR="00EE4FC3">
        <w:t xml:space="preserve"> </w:t>
      </w:r>
      <w:r w:rsidRPr="00382917">
        <w:t>and</w:t>
      </w:r>
      <w:r w:rsidR="00EE4FC3">
        <w:t xml:space="preserve"> </w:t>
      </w:r>
      <w:r w:rsidRPr="00382917">
        <w:t>turning</w:t>
      </w:r>
      <w:r w:rsidR="00EE4FC3">
        <w:t xml:space="preserve"> </w:t>
      </w:r>
      <w:r w:rsidRPr="00382917">
        <w:t>the</w:t>
      </w:r>
      <w:r w:rsidR="00EE4FC3">
        <w:t xml:space="preserve"> </w:t>
      </w:r>
      <w:r w:rsidRPr="00382917">
        <w:t>ill-disposed</w:t>
      </w:r>
      <w:r w:rsidR="00EE4FC3">
        <w:t xml:space="preserve"> </w:t>
      </w:r>
      <w:r w:rsidRPr="00382917">
        <w:t>into</w:t>
      </w:r>
      <w:r w:rsidR="00EE4FC3">
        <w:t xml:space="preserve"> </w:t>
      </w:r>
      <w:r w:rsidRPr="00382917">
        <w:t>admiring</w:t>
      </w:r>
      <w:r w:rsidR="00EE4FC3">
        <w:t xml:space="preserve"> </w:t>
      </w:r>
      <w:r w:rsidRPr="00382917">
        <w:t>friends.</w:t>
      </w:r>
      <w:r w:rsidR="009C713D" w:rsidRPr="00382917">
        <w:t>”</w:t>
      </w:r>
      <w:r w:rsidR="000910FF">
        <w:rPr>
          <w:rStyle w:val="FootnoteReference"/>
        </w:rPr>
        <w:footnoteReference w:id="86"/>
      </w:r>
    </w:p>
    <w:p w:rsidR="00806330" w:rsidRPr="00382917" w:rsidRDefault="00806330" w:rsidP="00806330">
      <w:pPr>
        <w:pStyle w:val="Text"/>
      </w:pPr>
      <w:r w:rsidRPr="00382917">
        <w:t>The</w:t>
      </w:r>
      <w:r w:rsidR="00EE4FC3">
        <w:t xml:space="preserve"> </w:t>
      </w:r>
      <w:r w:rsidRPr="00382917">
        <w:t>size</w:t>
      </w:r>
      <w:r w:rsidR="00EE4FC3">
        <w:t xml:space="preserve"> </w:t>
      </w:r>
      <w:r w:rsidRPr="00382917">
        <w:t>of</w:t>
      </w:r>
      <w:r w:rsidR="00EE4FC3">
        <w:t xml:space="preserve"> </w:t>
      </w:r>
      <w:r w:rsidRPr="00382917">
        <w:t>the</w:t>
      </w:r>
      <w:r w:rsidR="00EE4FC3">
        <w:t xml:space="preserve"> </w:t>
      </w:r>
      <w:r w:rsidRPr="00382917">
        <w:t>crowds</w:t>
      </w:r>
      <w:r w:rsidR="00EE4FC3">
        <w:t xml:space="preserve"> </w:t>
      </w:r>
      <w:r w:rsidRPr="00382917">
        <w:t>who</w:t>
      </w:r>
      <w:r w:rsidR="00EE4FC3">
        <w:t xml:space="preserve"> </w:t>
      </w:r>
      <w:r w:rsidRPr="00382917">
        <w:t>had</w:t>
      </w:r>
      <w:r w:rsidR="00EE4FC3">
        <w:t xml:space="preserve"> </w:t>
      </w:r>
      <w:r w:rsidRPr="00382917">
        <w:t>visited</w:t>
      </w:r>
      <w:r w:rsidR="00EE4FC3">
        <w:t xml:space="preserve"> </w:t>
      </w:r>
      <w:r w:rsidRPr="00382917">
        <w:t>Him</w:t>
      </w:r>
      <w:r w:rsidR="00EE4FC3">
        <w:t xml:space="preserve"> </w:t>
      </w:r>
      <w:r w:rsidRPr="00382917">
        <w:t>at</w:t>
      </w:r>
      <w:r w:rsidR="00EE4FC3">
        <w:t xml:space="preserve"> </w:t>
      </w:r>
      <w:r w:rsidRPr="00382917">
        <w:t>Máh-Kú</w:t>
      </w:r>
      <w:r w:rsidR="00EE4FC3">
        <w:t xml:space="preserve"> </w:t>
      </w:r>
      <w:r w:rsidRPr="00382917">
        <w:t>was</w:t>
      </w:r>
      <w:r w:rsidR="00EE4FC3">
        <w:t xml:space="preserve"> </w:t>
      </w:r>
      <w:r w:rsidRPr="00382917">
        <w:t>dwarfed</w:t>
      </w:r>
      <w:r w:rsidR="00EE4FC3">
        <w:t xml:space="preserve"> </w:t>
      </w:r>
      <w:r w:rsidRPr="00382917">
        <w:t>by</w:t>
      </w:r>
      <w:r w:rsidR="00EE4FC3">
        <w:t xml:space="preserve"> </w:t>
      </w:r>
      <w:r w:rsidRPr="00382917">
        <w:t>the</w:t>
      </w:r>
      <w:r w:rsidR="00EE4FC3">
        <w:t xml:space="preserve"> </w:t>
      </w:r>
      <w:r w:rsidRPr="00382917">
        <w:t>number</w:t>
      </w:r>
      <w:r w:rsidR="00EE4FC3">
        <w:t xml:space="preserve"> </w:t>
      </w:r>
      <w:r w:rsidRPr="00382917">
        <w:t>of</w:t>
      </w:r>
      <w:r w:rsidR="00EE4FC3">
        <w:t xml:space="preserve"> </w:t>
      </w:r>
      <w:r w:rsidRPr="00382917">
        <w:t>those</w:t>
      </w:r>
      <w:r w:rsidR="00EE4FC3">
        <w:t xml:space="preserve"> </w:t>
      </w:r>
      <w:r w:rsidRPr="00382917">
        <w:t>who</w:t>
      </w:r>
      <w:r w:rsidR="00EE4FC3">
        <w:t xml:space="preserve"> </w:t>
      </w:r>
      <w:r w:rsidRPr="00382917">
        <w:t>flocked</w:t>
      </w:r>
      <w:r w:rsidR="00EE4FC3">
        <w:t xml:space="preserve"> </w:t>
      </w:r>
      <w:r w:rsidRPr="00382917">
        <w:t>to</w:t>
      </w:r>
      <w:r w:rsidR="00EE4FC3">
        <w:t xml:space="preserve"> </w:t>
      </w:r>
      <w:r w:rsidRPr="00382917">
        <w:t>Him</w:t>
      </w:r>
      <w:r w:rsidR="00EE4FC3">
        <w:t xml:space="preserve"> </w:t>
      </w:r>
      <w:r w:rsidRPr="00382917">
        <w:t>at</w:t>
      </w:r>
      <w:r w:rsidR="00EE4FC3">
        <w:t xml:space="preserve"> </w:t>
      </w:r>
      <w:r w:rsidR="001713B3" w:rsidRPr="001713B3">
        <w:rPr>
          <w:u w:val="single"/>
        </w:rPr>
        <w:t>Ch</w:t>
      </w:r>
      <w:r w:rsidR="001713B3" w:rsidRPr="00382917">
        <w:t>ihríq</w:t>
      </w:r>
      <w:r w:rsidR="00C03C91">
        <w:t>.</w:t>
      </w:r>
      <w:r w:rsidR="00EE4FC3">
        <w:t xml:space="preserve">  </w:t>
      </w:r>
      <w:r w:rsidRPr="00382917">
        <w:t>Yaḥyá</w:t>
      </w:r>
      <w:r w:rsidR="00EE4FC3">
        <w:t xml:space="preserve"> </w:t>
      </w:r>
      <w:r w:rsidR="0040329F" w:rsidRPr="0040329F">
        <w:rPr>
          <w:u w:val="single"/>
        </w:rPr>
        <w:t>Kh</w:t>
      </w:r>
      <w:r w:rsidR="0040329F" w:rsidRPr="00382917">
        <w:t>án</w:t>
      </w:r>
      <w:r w:rsidR="00EE4FC3">
        <w:t xml:space="preserve"> </w:t>
      </w:r>
      <w:r w:rsidRPr="00382917">
        <w:t>would</w:t>
      </w:r>
      <w:r w:rsidR="00EE4FC3">
        <w:t xml:space="preserve"> </w:t>
      </w:r>
      <w:r w:rsidRPr="00382917">
        <w:t>not</w:t>
      </w:r>
      <w:r w:rsidR="00EE4FC3">
        <w:t xml:space="preserve"> </w:t>
      </w:r>
      <w:r w:rsidRPr="00382917">
        <w:t>refuse</w:t>
      </w:r>
      <w:r w:rsidR="00EE4FC3">
        <w:t xml:space="preserve"> </w:t>
      </w:r>
      <w:r w:rsidRPr="00382917">
        <w:t>admittance</w:t>
      </w:r>
      <w:r w:rsidR="00EE4FC3">
        <w:t xml:space="preserve"> </w:t>
      </w:r>
      <w:r w:rsidRPr="00382917">
        <w:t>to</w:t>
      </w:r>
      <w:r w:rsidR="00EE4FC3">
        <w:t xml:space="preserve"> </w:t>
      </w:r>
      <w:r w:rsidRPr="00382917">
        <w:t>anyone</w:t>
      </w:r>
      <w:r w:rsidR="00EE4FC3">
        <w:t xml:space="preserve"> </w:t>
      </w:r>
      <w:r w:rsidRPr="00382917">
        <w:t>who</w:t>
      </w:r>
      <w:r w:rsidR="00EE4FC3">
        <w:t xml:space="preserve"> </w:t>
      </w:r>
      <w:r w:rsidRPr="00382917">
        <w:t>wished</w:t>
      </w:r>
      <w:r w:rsidR="00EE4FC3">
        <w:t xml:space="preserve"> </w:t>
      </w:r>
      <w:r w:rsidRPr="00382917">
        <w:t>to</w:t>
      </w:r>
      <w:r w:rsidR="00EE4FC3">
        <w:t xml:space="preserve"> </w:t>
      </w:r>
      <w:r w:rsidRPr="00382917">
        <w:t>see</w:t>
      </w:r>
      <w:r w:rsidR="00EE4FC3">
        <w:t xml:space="preserve"> </w:t>
      </w:r>
      <w:r w:rsidRPr="00382917">
        <w:t>Him</w:t>
      </w:r>
      <w:r w:rsidR="00C03C91">
        <w:t>.</w:t>
      </w:r>
      <w:r w:rsidR="00EE4FC3">
        <w:t xml:space="preserve">  </w:t>
      </w:r>
      <w:r w:rsidRPr="00382917">
        <w:t>So</w:t>
      </w:r>
      <w:r w:rsidR="00EE4FC3">
        <w:t xml:space="preserve"> </w:t>
      </w:r>
      <w:r w:rsidRPr="00382917">
        <w:t>many</w:t>
      </w:r>
      <w:r w:rsidR="00EE4FC3">
        <w:t xml:space="preserve"> </w:t>
      </w:r>
      <w:r w:rsidRPr="00382917">
        <w:t>sought</w:t>
      </w:r>
      <w:r w:rsidR="00EE4FC3">
        <w:t xml:space="preserve"> </w:t>
      </w:r>
      <w:r w:rsidRPr="00382917">
        <w:t>His</w:t>
      </w:r>
      <w:r w:rsidR="00EE4FC3">
        <w:t xml:space="preserve"> </w:t>
      </w:r>
      <w:r w:rsidRPr="00382917">
        <w:t>presence</w:t>
      </w:r>
      <w:r w:rsidR="00EE4FC3">
        <w:t xml:space="preserve"> </w:t>
      </w:r>
      <w:r w:rsidRPr="00382917">
        <w:t>that</w:t>
      </w:r>
      <w:r w:rsidR="00EE4FC3">
        <w:t xml:space="preserve"> </w:t>
      </w:r>
      <w:r w:rsidRPr="00382917">
        <w:t>there</w:t>
      </w:r>
      <w:r w:rsidR="00EE4FC3">
        <w:t xml:space="preserve"> </w:t>
      </w:r>
      <w:r w:rsidRPr="00382917">
        <w:t>was</w:t>
      </w:r>
      <w:r w:rsidR="00EE4FC3">
        <w:t xml:space="preserve"> </w:t>
      </w:r>
      <w:r w:rsidRPr="00382917">
        <w:t>no</w:t>
      </w:r>
      <w:r w:rsidR="00EE4FC3">
        <w:t xml:space="preserve"> </w:t>
      </w:r>
      <w:r w:rsidRPr="00382917">
        <w:t>room</w:t>
      </w:r>
      <w:r w:rsidR="00EE4FC3">
        <w:t xml:space="preserve"> </w:t>
      </w:r>
      <w:r w:rsidRPr="00382917">
        <w:t>to</w:t>
      </w:r>
      <w:r w:rsidR="00EE4FC3">
        <w:t xml:space="preserve"> </w:t>
      </w:r>
      <w:r w:rsidRPr="00382917">
        <w:t>accommodate</w:t>
      </w:r>
      <w:r w:rsidR="00EE4FC3">
        <w:t xml:space="preserve"> </w:t>
      </w:r>
      <w:r w:rsidRPr="00382917">
        <w:t>them</w:t>
      </w:r>
      <w:r w:rsidR="00EE4FC3">
        <w:t xml:space="preserve"> </w:t>
      </w:r>
      <w:r w:rsidRPr="00382917">
        <w:t>all</w:t>
      </w:r>
      <w:r w:rsidR="00C03C91">
        <w:t>.</w:t>
      </w:r>
      <w:r w:rsidR="00EE4FC3">
        <w:t xml:space="preserve">  </w:t>
      </w:r>
      <w:r w:rsidRPr="00382917">
        <w:t>They</w:t>
      </w:r>
      <w:r w:rsidR="00EE4FC3">
        <w:t xml:space="preserve"> </w:t>
      </w:r>
      <w:r w:rsidRPr="00382917">
        <w:t>had</w:t>
      </w:r>
      <w:r w:rsidR="00EE4FC3">
        <w:t xml:space="preserve"> </w:t>
      </w:r>
      <w:r w:rsidRPr="00382917">
        <w:t>to</w:t>
      </w:r>
      <w:r w:rsidR="00EE4FC3">
        <w:t xml:space="preserve"> </w:t>
      </w:r>
      <w:r w:rsidRPr="00382917">
        <w:t>be</w:t>
      </w:r>
      <w:r w:rsidR="00EE4FC3">
        <w:t xml:space="preserve"> </w:t>
      </w:r>
      <w:r w:rsidRPr="00382917">
        <w:t>housed</w:t>
      </w:r>
      <w:r w:rsidR="00EE4FC3">
        <w:t xml:space="preserve"> </w:t>
      </w:r>
      <w:r w:rsidRPr="00382917">
        <w:t>at</w:t>
      </w:r>
      <w:r w:rsidR="00EE4FC3">
        <w:t xml:space="preserve"> </w:t>
      </w:r>
      <w:r w:rsidRPr="00382917">
        <w:t>Old</w:t>
      </w:r>
      <w:r w:rsidR="00EE4FC3">
        <w:t xml:space="preserve"> </w:t>
      </w:r>
      <w:r w:rsidR="001713B3" w:rsidRPr="001713B3">
        <w:rPr>
          <w:u w:val="single"/>
        </w:rPr>
        <w:t>Ch</w:t>
      </w:r>
      <w:r w:rsidR="001713B3" w:rsidRPr="00382917">
        <w:t>ihríq</w:t>
      </w:r>
      <w:r w:rsidRPr="00382917">
        <w:t>,</w:t>
      </w:r>
      <w:r w:rsidR="00EE4FC3">
        <w:t xml:space="preserve"> </w:t>
      </w:r>
      <w:r w:rsidRPr="00382917">
        <w:t>an</w:t>
      </w:r>
      <w:r w:rsidR="00EE4FC3">
        <w:t xml:space="preserve"> </w:t>
      </w:r>
      <w:r w:rsidRPr="00382917">
        <w:t>hour</w:t>
      </w:r>
      <w:r w:rsidR="009C713D" w:rsidRPr="00382917">
        <w:t>’</w:t>
      </w:r>
      <w:r w:rsidRPr="00382917">
        <w:t>s</w:t>
      </w:r>
      <w:r w:rsidR="00EE4FC3">
        <w:t xml:space="preserve"> </w:t>
      </w:r>
      <w:r w:rsidRPr="00382917">
        <w:t>distance</w:t>
      </w:r>
      <w:r w:rsidR="00EE4FC3">
        <w:t xml:space="preserve"> </w:t>
      </w:r>
      <w:r w:rsidRPr="00382917">
        <w:t>away.</w:t>
      </w:r>
    </w:p>
    <w:p w:rsidR="00806330" w:rsidRPr="00382917" w:rsidRDefault="00806330" w:rsidP="000910FF">
      <w:pPr>
        <w:pStyle w:val="Text"/>
      </w:pPr>
      <w:r w:rsidRPr="00382917">
        <w:t>M.</w:t>
      </w:r>
      <w:r w:rsidR="00EE4FC3">
        <w:t xml:space="preserve"> </w:t>
      </w:r>
      <w:proofErr w:type="spellStart"/>
      <w:r w:rsidRPr="00382917">
        <w:t>Mochenin</w:t>
      </w:r>
      <w:proofErr w:type="spellEnd"/>
      <w:r w:rsidR="00EE4FC3">
        <w:t xml:space="preserve"> </w:t>
      </w:r>
      <w:r w:rsidRPr="00382917">
        <w:t>who</w:t>
      </w:r>
      <w:r w:rsidR="00EE4FC3">
        <w:t xml:space="preserve"> </w:t>
      </w:r>
      <w:r w:rsidRPr="00382917">
        <w:t>was</w:t>
      </w:r>
      <w:r w:rsidR="00EE4FC3">
        <w:t xml:space="preserve"> </w:t>
      </w:r>
      <w:r w:rsidRPr="00382917">
        <w:t>on</w:t>
      </w:r>
      <w:r w:rsidR="00EE4FC3">
        <w:t xml:space="preserve"> </w:t>
      </w:r>
      <w:r w:rsidRPr="00382917">
        <w:t>duty</w:t>
      </w:r>
      <w:r w:rsidR="00EE4FC3">
        <w:t xml:space="preserve"> </w:t>
      </w:r>
      <w:r w:rsidRPr="00382917">
        <w:t>for</w:t>
      </w:r>
      <w:r w:rsidR="00EE4FC3">
        <w:t xml:space="preserve"> </w:t>
      </w:r>
      <w:r w:rsidRPr="00382917">
        <w:t>a</w:t>
      </w:r>
      <w:r w:rsidR="00EE4FC3">
        <w:t xml:space="preserve"> </w:t>
      </w:r>
      <w:r w:rsidRPr="00382917">
        <w:t>foreign</w:t>
      </w:r>
      <w:r w:rsidR="00EE4FC3">
        <w:t xml:space="preserve"> </w:t>
      </w:r>
      <w:r w:rsidRPr="00382917">
        <w:t>organization</w:t>
      </w:r>
      <w:r w:rsidR="00EE4FC3">
        <w:t xml:space="preserve"> </w:t>
      </w:r>
      <w:r w:rsidRPr="00382917">
        <w:t>in</w:t>
      </w:r>
      <w:r w:rsidR="00EE4FC3">
        <w:t xml:space="preserve"> </w:t>
      </w:r>
      <w:r w:rsidRPr="00382917">
        <w:t>that</w:t>
      </w:r>
      <w:r w:rsidR="00EE4FC3">
        <w:t xml:space="preserve"> </w:t>
      </w:r>
      <w:r w:rsidRPr="00382917">
        <w:t>region</w:t>
      </w:r>
      <w:r w:rsidR="00EE4FC3">
        <w:t xml:space="preserve"> </w:t>
      </w:r>
      <w:r w:rsidRPr="00382917">
        <w:t>says</w:t>
      </w:r>
      <w:r w:rsidR="00EE4FC3">
        <w:t xml:space="preserve"> </w:t>
      </w:r>
      <w:r w:rsidRPr="00382917">
        <w:t>in</w:t>
      </w:r>
      <w:r w:rsidR="00EE4FC3">
        <w:t xml:space="preserve"> </w:t>
      </w:r>
      <w:r w:rsidRPr="00382917">
        <w:t>his</w:t>
      </w:r>
      <w:r w:rsidR="00EE4FC3">
        <w:t xml:space="preserve"> </w:t>
      </w:r>
      <w:r w:rsidRPr="00382917">
        <w:t>memoirs</w:t>
      </w:r>
      <w:r w:rsidR="00C03C91">
        <w:t>:</w:t>
      </w:r>
      <w:r w:rsidR="00EE4FC3">
        <w:t xml:space="preserve">  </w:t>
      </w:r>
      <w:r w:rsidR="009C713D" w:rsidRPr="00382917">
        <w:t>“</w:t>
      </w:r>
      <w:r w:rsidRPr="00382917">
        <w:t>The</w:t>
      </w:r>
      <w:r w:rsidR="00EE4FC3">
        <w:t xml:space="preserve"> </w:t>
      </w:r>
      <w:r w:rsidRPr="00382917">
        <w:t>multitude</w:t>
      </w:r>
      <w:r w:rsidR="00EE4FC3">
        <w:t xml:space="preserve"> </w:t>
      </w:r>
      <w:r w:rsidRPr="00382917">
        <w:t>of</w:t>
      </w:r>
      <w:r w:rsidR="00EE4FC3">
        <w:t xml:space="preserve"> </w:t>
      </w:r>
      <w:r w:rsidRPr="00382917">
        <w:t>hearers</w:t>
      </w:r>
      <w:r w:rsidR="00EE4FC3">
        <w:t xml:space="preserve"> </w:t>
      </w:r>
      <w:r w:rsidRPr="00382917">
        <w:t>was</w:t>
      </w:r>
      <w:r w:rsidR="00EE4FC3">
        <w:t xml:space="preserve"> </w:t>
      </w:r>
      <w:r w:rsidRPr="00382917">
        <w:t>so</w:t>
      </w:r>
      <w:r w:rsidR="00EE4FC3">
        <w:t xml:space="preserve"> </w:t>
      </w:r>
      <w:r w:rsidRPr="00382917">
        <w:t>great</w:t>
      </w:r>
      <w:r w:rsidR="00EE4FC3">
        <w:t xml:space="preserve"> </w:t>
      </w:r>
      <w:r w:rsidRPr="00382917">
        <w:t>that</w:t>
      </w:r>
      <w:r w:rsidR="00EE4FC3">
        <w:t xml:space="preserve"> </w:t>
      </w:r>
      <w:r w:rsidRPr="00382917">
        <w:t>the</w:t>
      </w:r>
      <w:r w:rsidR="00EE4FC3">
        <w:t xml:space="preserve"> </w:t>
      </w:r>
      <w:r w:rsidRPr="00382917">
        <w:t>court</w:t>
      </w:r>
      <w:r w:rsidR="00EE4FC3">
        <w:t xml:space="preserve"> </w:t>
      </w:r>
      <w:r w:rsidRPr="00382917">
        <w:t>was</w:t>
      </w:r>
      <w:r w:rsidR="00EE4FC3">
        <w:t xml:space="preserve"> </w:t>
      </w:r>
      <w:r w:rsidRPr="00382917">
        <w:t>not</w:t>
      </w:r>
      <w:r w:rsidR="00EE4FC3">
        <w:t xml:space="preserve"> </w:t>
      </w:r>
      <w:r w:rsidRPr="00382917">
        <w:t>large</w:t>
      </w:r>
      <w:r w:rsidR="00EE4FC3">
        <w:t xml:space="preserve"> </w:t>
      </w:r>
      <w:r w:rsidRPr="00382917">
        <w:t>enough</w:t>
      </w:r>
      <w:r w:rsidR="00EE4FC3">
        <w:t xml:space="preserve"> </w:t>
      </w:r>
      <w:r w:rsidRPr="00382917">
        <w:t>to</w:t>
      </w:r>
      <w:r w:rsidR="00EE4FC3">
        <w:t xml:space="preserve"> </w:t>
      </w:r>
      <w:r w:rsidRPr="00382917">
        <w:t>hold</w:t>
      </w:r>
      <w:r w:rsidR="00EE4FC3">
        <w:t xml:space="preserve"> </w:t>
      </w:r>
      <w:r w:rsidRPr="00382917">
        <w:t>them</w:t>
      </w:r>
      <w:r w:rsidR="00EE4FC3">
        <w:t xml:space="preserve"> </w:t>
      </w:r>
      <w:r w:rsidRPr="00382917">
        <w:t>all;</w:t>
      </w:r>
      <w:r w:rsidR="00EE4FC3">
        <w:t xml:space="preserve"> </w:t>
      </w:r>
      <w:r w:rsidRPr="00382917">
        <w:t>most</w:t>
      </w:r>
      <w:r w:rsidR="00EE4FC3">
        <w:t xml:space="preserve"> </w:t>
      </w:r>
      <w:r w:rsidRPr="00382917">
        <w:t>of</w:t>
      </w:r>
      <w:r w:rsidR="00EE4FC3">
        <w:t xml:space="preserve"> </w:t>
      </w:r>
      <w:r w:rsidRPr="00382917">
        <w:t>them</w:t>
      </w:r>
      <w:r w:rsidR="00EE4FC3">
        <w:t xml:space="preserve"> </w:t>
      </w:r>
      <w:r w:rsidRPr="00382917">
        <w:t>stayed</w:t>
      </w:r>
      <w:r w:rsidR="00EE4FC3">
        <w:t xml:space="preserve"> </w:t>
      </w:r>
      <w:r w:rsidRPr="00382917">
        <w:t>in</w:t>
      </w:r>
      <w:r w:rsidR="00EE4FC3">
        <w:t xml:space="preserve"> </w:t>
      </w:r>
      <w:r w:rsidRPr="00382917">
        <w:t>the</w:t>
      </w:r>
      <w:r w:rsidR="00EE4FC3">
        <w:t xml:space="preserve"> </w:t>
      </w:r>
      <w:r w:rsidRPr="00382917">
        <w:t>streets</w:t>
      </w:r>
      <w:r w:rsidR="00EE4FC3">
        <w:t xml:space="preserve"> </w:t>
      </w:r>
      <w:r w:rsidRPr="00382917">
        <w:t>and</w:t>
      </w:r>
      <w:r w:rsidR="00EE4FC3">
        <w:t xml:space="preserve"> </w:t>
      </w:r>
      <w:r w:rsidRPr="00382917">
        <w:t>listened</w:t>
      </w:r>
      <w:r w:rsidR="00EE4FC3">
        <w:t xml:space="preserve"> </w:t>
      </w:r>
      <w:r w:rsidRPr="00382917">
        <w:t>with</w:t>
      </w:r>
      <w:r w:rsidR="00EE4FC3">
        <w:t xml:space="preserve"> </w:t>
      </w:r>
      <w:r w:rsidRPr="00382917">
        <w:t>religious</w:t>
      </w:r>
      <w:r w:rsidR="00EE4FC3">
        <w:t xml:space="preserve"> </w:t>
      </w:r>
      <w:r w:rsidRPr="00382917">
        <w:t>rapture.</w:t>
      </w:r>
      <w:r w:rsidR="009C713D" w:rsidRPr="00382917">
        <w:t>”</w:t>
      </w:r>
      <w:r w:rsidR="000910FF">
        <w:rPr>
          <w:rStyle w:val="FootnoteReference"/>
        </w:rPr>
        <w:footnoteReference w:id="87"/>
      </w:r>
    </w:p>
    <w:p w:rsidR="00E13D49" w:rsidRPr="00382917" w:rsidRDefault="00806330" w:rsidP="000910FF">
      <w:pPr>
        <w:pStyle w:val="Text"/>
      </w:pPr>
      <w:r w:rsidRPr="00382917">
        <w:t>Whatever</w:t>
      </w:r>
      <w:r w:rsidR="00EE4FC3">
        <w:t xml:space="preserve"> </w:t>
      </w:r>
      <w:r w:rsidRPr="00382917">
        <w:t>provisions</w:t>
      </w:r>
      <w:r w:rsidR="00EE4FC3">
        <w:t xml:space="preserve"> </w:t>
      </w:r>
      <w:r w:rsidRPr="00382917">
        <w:t>were</w:t>
      </w:r>
      <w:r w:rsidR="00EE4FC3">
        <w:t xml:space="preserve"> </w:t>
      </w:r>
      <w:r w:rsidRPr="00382917">
        <w:t>required</w:t>
      </w:r>
      <w:r w:rsidR="00EE4FC3">
        <w:t xml:space="preserve"> </w:t>
      </w:r>
      <w:r w:rsidRPr="00382917">
        <w:t>for</w:t>
      </w:r>
      <w:r w:rsidR="00EE4FC3">
        <w:t xml:space="preserve"> </w:t>
      </w:r>
      <w:r w:rsidRPr="00382917">
        <w:t>the</w:t>
      </w:r>
      <w:r w:rsidR="00EE4FC3">
        <w:t xml:space="preserve"> </w:t>
      </w:r>
      <w:r w:rsidRPr="00382917">
        <w:t>Báb</w:t>
      </w:r>
      <w:r w:rsidR="00EE4FC3">
        <w:t xml:space="preserve"> </w:t>
      </w:r>
      <w:r w:rsidRPr="00382917">
        <w:t>were</w:t>
      </w:r>
      <w:r w:rsidR="00EE4FC3">
        <w:t xml:space="preserve"> </w:t>
      </w:r>
      <w:r w:rsidRPr="00382917">
        <w:t>purchased</w:t>
      </w:r>
      <w:r w:rsidR="00EE4FC3">
        <w:t xml:space="preserve"> </w:t>
      </w:r>
      <w:r w:rsidRPr="00382917">
        <w:t>in</w:t>
      </w:r>
      <w:r w:rsidR="00EE4FC3">
        <w:t xml:space="preserve"> </w:t>
      </w:r>
      <w:r w:rsidRPr="00382917">
        <w:t>Old</w:t>
      </w:r>
      <w:r w:rsidR="00EE4FC3">
        <w:t xml:space="preserve"> </w:t>
      </w:r>
      <w:r w:rsidR="001713B3" w:rsidRPr="001713B3">
        <w:rPr>
          <w:u w:val="single"/>
        </w:rPr>
        <w:t>Ch</w:t>
      </w:r>
      <w:r w:rsidR="001713B3" w:rsidRPr="00382917">
        <w:t>ihríq</w:t>
      </w:r>
      <w:r w:rsidR="00A93643">
        <w:t>.</w:t>
      </w:r>
      <w:r w:rsidR="00EE4FC3">
        <w:t xml:space="preserve">  </w:t>
      </w:r>
      <w:r w:rsidRPr="00382917">
        <w:t>One</w:t>
      </w:r>
      <w:r w:rsidR="00EE4FC3">
        <w:t xml:space="preserve"> </w:t>
      </w:r>
      <w:r w:rsidRPr="00382917">
        <w:t>day</w:t>
      </w:r>
      <w:r w:rsidR="00EE4FC3">
        <w:t xml:space="preserve"> </w:t>
      </w:r>
      <w:r w:rsidRPr="00382917">
        <w:t>honey</w:t>
      </w:r>
      <w:r w:rsidR="00EE4FC3">
        <w:t xml:space="preserve"> </w:t>
      </w:r>
      <w:r w:rsidRPr="00382917">
        <w:t>was</w:t>
      </w:r>
      <w:r w:rsidR="00EE4FC3">
        <w:t xml:space="preserve"> </w:t>
      </w:r>
      <w:r w:rsidRPr="00382917">
        <w:t>purchased</w:t>
      </w:r>
      <w:r w:rsidR="00EE4FC3">
        <w:t xml:space="preserve"> </w:t>
      </w:r>
      <w:r w:rsidRPr="00382917">
        <w:t>for</w:t>
      </w:r>
      <w:r w:rsidR="00EE4FC3">
        <w:t xml:space="preserve"> </w:t>
      </w:r>
      <w:r w:rsidRPr="00382917">
        <w:t>Him</w:t>
      </w:r>
      <w:r w:rsidR="00A93643">
        <w:t>.</w:t>
      </w:r>
      <w:r w:rsidR="00EE4FC3">
        <w:t xml:space="preserve">  </w:t>
      </w:r>
      <w:r w:rsidRPr="00382917">
        <w:t>The</w:t>
      </w:r>
      <w:r w:rsidR="00EE4FC3">
        <w:t xml:space="preserve"> </w:t>
      </w:r>
      <w:r w:rsidRPr="00382917">
        <w:t>price</w:t>
      </w:r>
      <w:r w:rsidR="00EE4FC3">
        <w:t xml:space="preserve"> </w:t>
      </w:r>
      <w:r w:rsidRPr="00382917">
        <w:t>seemed</w:t>
      </w:r>
      <w:r w:rsidR="00EE4FC3">
        <w:t xml:space="preserve"> </w:t>
      </w:r>
      <w:r w:rsidRPr="00382917">
        <w:t>exorbitant</w:t>
      </w:r>
      <w:r w:rsidR="00A93643">
        <w:t>.</w:t>
      </w:r>
      <w:r w:rsidR="00EE4FC3">
        <w:t xml:space="preserve">  </w:t>
      </w:r>
      <w:r w:rsidRPr="00382917">
        <w:t>He</w:t>
      </w:r>
      <w:r w:rsidR="00EE4FC3">
        <w:t xml:space="preserve"> </w:t>
      </w:r>
      <w:r w:rsidRPr="00382917">
        <w:t>refused</w:t>
      </w:r>
      <w:r w:rsidR="00EE4FC3">
        <w:t xml:space="preserve"> </w:t>
      </w:r>
      <w:r w:rsidRPr="00382917">
        <w:t>it</w:t>
      </w:r>
      <w:r w:rsidR="00EE4FC3">
        <w:t xml:space="preserve"> </w:t>
      </w:r>
      <w:r w:rsidRPr="00382917">
        <w:t>and</w:t>
      </w:r>
      <w:r w:rsidR="00EE4FC3">
        <w:t xml:space="preserve"> </w:t>
      </w:r>
      <w:r w:rsidRPr="00382917">
        <w:t>said</w:t>
      </w:r>
      <w:r w:rsidR="00C03C91">
        <w:t>:</w:t>
      </w:r>
      <w:r w:rsidR="00EE4FC3">
        <w:t xml:space="preserve">  </w:t>
      </w:r>
      <w:r w:rsidR="009C713D" w:rsidRPr="00382917">
        <w:t>“</w:t>
      </w:r>
      <w:r w:rsidRPr="00382917">
        <w:t>Honey</w:t>
      </w:r>
      <w:r w:rsidR="00EE4FC3">
        <w:t xml:space="preserve"> </w:t>
      </w:r>
      <w:r w:rsidRPr="00382917">
        <w:t>of</w:t>
      </w:r>
      <w:r w:rsidR="00EE4FC3">
        <w:t xml:space="preserve"> </w:t>
      </w:r>
      <w:r w:rsidRPr="00382917">
        <w:t>a</w:t>
      </w:r>
      <w:r w:rsidR="00EE4FC3">
        <w:t xml:space="preserve"> </w:t>
      </w:r>
      <w:r w:rsidRPr="00382917">
        <w:t>superior</w:t>
      </w:r>
      <w:r w:rsidR="00EE4FC3">
        <w:t xml:space="preserve"> </w:t>
      </w:r>
      <w:r w:rsidRPr="00382917">
        <w:t>quality</w:t>
      </w:r>
      <w:r w:rsidR="00EE4FC3">
        <w:t xml:space="preserve"> </w:t>
      </w:r>
      <w:r w:rsidRPr="00382917">
        <w:t>could</w:t>
      </w:r>
      <w:r w:rsidR="00EE4FC3">
        <w:t xml:space="preserve"> </w:t>
      </w:r>
      <w:r w:rsidRPr="00382917">
        <w:t>no</w:t>
      </w:r>
      <w:r w:rsidR="00EE4FC3">
        <w:t xml:space="preserve"> </w:t>
      </w:r>
      <w:r w:rsidRPr="00382917">
        <w:t>doubt</w:t>
      </w:r>
      <w:r w:rsidR="00EE4FC3">
        <w:t xml:space="preserve"> </w:t>
      </w:r>
      <w:r w:rsidRPr="00382917">
        <w:t>be</w:t>
      </w:r>
      <w:r w:rsidR="00EE4FC3">
        <w:t xml:space="preserve"> </w:t>
      </w:r>
      <w:r w:rsidRPr="00382917">
        <w:t>purchased</w:t>
      </w:r>
      <w:r w:rsidR="00EE4FC3">
        <w:t xml:space="preserve"> </w:t>
      </w:r>
      <w:r w:rsidRPr="00382917">
        <w:t>at</w:t>
      </w:r>
      <w:r w:rsidR="00EE4FC3">
        <w:t xml:space="preserve"> </w:t>
      </w:r>
      <w:r w:rsidRPr="00382917">
        <w:t>a</w:t>
      </w:r>
      <w:r w:rsidR="00EE4FC3">
        <w:t xml:space="preserve"> </w:t>
      </w:r>
      <w:r w:rsidRPr="00382917">
        <w:t>lower</w:t>
      </w:r>
      <w:r w:rsidR="00EE4FC3">
        <w:t xml:space="preserve"> </w:t>
      </w:r>
      <w:r w:rsidRPr="00382917">
        <w:t>price</w:t>
      </w:r>
      <w:r w:rsidR="00A93643">
        <w:t>.</w:t>
      </w:r>
      <w:r w:rsidR="00EE4FC3">
        <w:t xml:space="preserve">  </w:t>
      </w:r>
      <w:r w:rsidRPr="00382917">
        <w:t>It</w:t>
      </w:r>
      <w:r w:rsidR="00EE4FC3">
        <w:t xml:space="preserve"> </w:t>
      </w:r>
      <w:proofErr w:type="spellStart"/>
      <w:r w:rsidRPr="00382917">
        <w:t>behooves</w:t>
      </w:r>
      <w:proofErr w:type="spellEnd"/>
      <w:r w:rsidR="00EE4FC3">
        <w:t xml:space="preserve"> </w:t>
      </w:r>
      <w:r w:rsidRPr="00382917">
        <w:t>you</w:t>
      </w:r>
      <w:r w:rsidR="00EE4FC3">
        <w:t xml:space="preserve"> </w:t>
      </w:r>
      <w:r w:rsidRPr="00382917">
        <w:t>in</w:t>
      </w:r>
      <w:r w:rsidR="00EE4FC3">
        <w:t xml:space="preserve"> </w:t>
      </w:r>
      <w:r w:rsidRPr="00382917">
        <w:t>all</w:t>
      </w:r>
      <w:r w:rsidR="00EE4FC3">
        <w:t xml:space="preserve"> </w:t>
      </w:r>
      <w:r w:rsidRPr="00382917">
        <w:t>your</w:t>
      </w:r>
      <w:r w:rsidR="00EE4FC3">
        <w:t xml:space="preserve"> </w:t>
      </w:r>
      <w:r w:rsidRPr="00382917">
        <w:t>transactions</w:t>
      </w:r>
      <w:r w:rsidR="00EE4FC3">
        <w:t xml:space="preserve"> </w:t>
      </w:r>
      <w:r w:rsidRPr="00382917">
        <w:t>to</w:t>
      </w:r>
      <w:r w:rsidR="00EE4FC3">
        <w:t xml:space="preserve"> </w:t>
      </w:r>
      <w:r w:rsidRPr="00382917">
        <w:t>follow</w:t>
      </w:r>
      <w:r w:rsidR="00EE4FC3">
        <w:t xml:space="preserve"> </w:t>
      </w:r>
      <w:r w:rsidRPr="00382917">
        <w:t>in</w:t>
      </w:r>
      <w:r w:rsidR="00EE4FC3">
        <w:t xml:space="preserve"> </w:t>
      </w:r>
      <w:proofErr w:type="gramStart"/>
      <w:r w:rsidRPr="00382917">
        <w:t>My</w:t>
      </w:r>
      <w:proofErr w:type="gramEnd"/>
      <w:r w:rsidR="00EE4FC3">
        <w:t xml:space="preserve"> </w:t>
      </w:r>
      <w:r w:rsidRPr="00382917">
        <w:t>way</w:t>
      </w:r>
      <w:r w:rsidR="00A93643">
        <w:t>.</w:t>
      </w:r>
      <w:r w:rsidR="00EE4FC3">
        <w:t xml:space="preserve">  </w:t>
      </w:r>
      <w:r w:rsidRPr="00382917">
        <w:t>You</w:t>
      </w:r>
      <w:r w:rsidR="00EE4FC3">
        <w:t xml:space="preserve"> </w:t>
      </w:r>
      <w:r w:rsidRPr="00382917">
        <w:t>must</w:t>
      </w:r>
      <w:r w:rsidR="00EE4FC3">
        <w:t xml:space="preserve"> </w:t>
      </w:r>
      <w:r w:rsidRPr="00382917">
        <w:t>neither</w:t>
      </w:r>
      <w:r w:rsidR="00EE4FC3">
        <w:t xml:space="preserve"> </w:t>
      </w:r>
      <w:r w:rsidRPr="00382917">
        <w:t>defraud</w:t>
      </w:r>
      <w:r w:rsidR="00EE4FC3">
        <w:t xml:space="preserve"> </w:t>
      </w:r>
      <w:r w:rsidRPr="00382917">
        <w:t>your</w:t>
      </w:r>
      <w:r w:rsidR="00EE4FC3">
        <w:t xml:space="preserve"> </w:t>
      </w:r>
      <w:proofErr w:type="spellStart"/>
      <w:r w:rsidRPr="00382917">
        <w:t>neighbor</w:t>
      </w:r>
      <w:proofErr w:type="spellEnd"/>
      <w:r w:rsidR="00EE4FC3">
        <w:t xml:space="preserve"> </w:t>
      </w:r>
      <w:r w:rsidRPr="00382917">
        <w:t>nor</w:t>
      </w:r>
      <w:r w:rsidR="00EE4FC3">
        <w:t xml:space="preserve"> </w:t>
      </w:r>
      <w:r w:rsidRPr="00382917">
        <w:t>allow</w:t>
      </w:r>
      <w:r w:rsidR="00EE4FC3">
        <w:t xml:space="preserve"> </w:t>
      </w:r>
      <w:r w:rsidRPr="00382917">
        <w:t>him</w:t>
      </w:r>
      <w:r w:rsidR="00EE4FC3">
        <w:t xml:space="preserve"> </w:t>
      </w:r>
      <w:r w:rsidRPr="00382917">
        <w:t>to</w:t>
      </w:r>
      <w:r w:rsidR="00EE4FC3">
        <w:t xml:space="preserve"> </w:t>
      </w:r>
      <w:r w:rsidRPr="00382917">
        <w:t>defraud</w:t>
      </w:r>
      <w:r w:rsidR="00EE4FC3">
        <w:t xml:space="preserve"> </w:t>
      </w:r>
      <w:r w:rsidRPr="00382917">
        <w:t>you.</w:t>
      </w:r>
      <w:proofErr w:type="gramStart"/>
      <w:r w:rsidR="009C713D" w:rsidRPr="00382917">
        <w:t>”</w:t>
      </w:r>
      <w:r w:rsidR="00EE4FC3">
        <w:t xml:space="preserve"> </w:t>
      </w:r>
      <w:proofErr w:type="gramEnd"/>
      <w:r w:rsidRPr="00382917">
        <w:t>He</w:t>
      </w:r>
      <w:r w:rsidR="00EE4FC3">
        <w:t xml:space="preserve"> </w:t>
      </w:r>
      <w:r w:rsidRPr="00382917">
        <w:t>insisted</w:t>
      </w:r>
      <w:r w:rsidR="00EE4FC3">
        <w:t xml:space="preserve"> </w:t>
      </w:r>
      <w:r w:rsidRPr="00382917">
        <w:t>that</w:t>
      </w:r>
      <w:r w:rsidR="00EE4FC3">
        <w:t xml:space="preserve"> </w:t>
      </w:r>
      <w:r w:rsidRPr="00382917">
        <w:t>the</w:t>
      </w:r>
      <w:r w:rsidR="00EE4FC3">
        <w:t xml:space="preserve"> </w:t>
      </w:r>
      <w:r w:rsidRPr="00382917">
        <w:t>honey</w:t>
      </w:r>
      <w:r w:rsidR="00EE4FC3">
        <w:t xml:space="preserve"> </w:t>
      </w:r>
      <w:r w:rsidRPr="00382917">
        <w:t>be</w:t>
      </w:r>
      <w:r w:rsidR="00EE4FC3">
        <w:t xml:space="preserve"> </w:t>
      </w:r>
      <w:r w:rsidRPr="00382917">
        <w:t>returned</w:t>
      </w:r>
      <w:r w:rsidR="00EE4FC3">
        <w:t xml:space="preserve"> </w:t>
      </w:r>
      <w:r w:rsidRPr="00382917">
        <w:t>and</w:t>
      </w:r>
      <w:r w:rsidR="00EE4FC3">
        <w:t xml:space="preserve"> </w:t>
      </w:r>
      <w:r w:rsidRPr="00382917">
        <w:t>one</w:t>
      </w:r>
      <w:r w:rsidR="00EE4FC3">
        <w:t xml:space="preserve"> </w:t>
      </w:r>
      <w:r w:rsidRPr="00382917">
        <w:t>better</w:t>
      </w:r>
      <w:r w:rsidR="00EE4FC3">
        <w:t xml:space="preserve"> </w:t>
      </w:r>
      <w:r w:rsidRPr="00382917">
        <w:t>in</w:t>
      </w:r>
      <w:r w:rsidR="00EE4FC3">
        <w:t xml:space="preserve"> </w:t>
      </w:r>
      <w:r w:rsidRPr="00382917">
        <w:t>quality</w:t>
      </w:r>
      <w:r w:rsidR="00EE4FC3">
        <w:t xml:space="preserve"> </w:t>
      </w:r>
      <w:r w:rsidRPr="00382917">
        <w:t>and</w:t>
      </w:r>
      <w:r w:rsidR="00EE4FC3">
        <w:t xml:space="preserve"> </w:t>
      </w:r>
      <w:r w:rsidRPr="00382917">
        <w:t>cheaper</w:t>
      </w:r>
      <w:r w:rsidR="00EE4FC3">
        <w:t xml:space="preserve"> </w:t>
      </w:r>
      <w:r w:rsidRPr="00382917">
        <w:t>in</w:t>
      </w:r>
      <w:r w:rsidR="00EE4FC3">
        <w:t xml:space="preserve"> </w:t>
      </w:r>
      <w:r w:rsidRPr="00382917">
        <w:t>price</w:t>
      </w:r>
      <w:r w:rsidR="00EE4FC3">
        <w:t xml:space="preserve"> </w:t>
      </w:r>
      <w:r w:rsidRPr="00382917">
        <w:t>be</w:t>
      </w:r>
      <w:r w:rsidR="00EE4FC3">
        <w:t xml:space="preserve"> </w:t>
      </w:r>
      <w:r w:rsidRPr="00382917">
        <w:t>brought</w:t>
      </w:r>
      <w:r w:rsidR="00EE4FC3">
        <w:t xml:space="preserve"> </w:t>
      </w:r>
      <w:r w:rsidRPr="00382917">
        <w:t>in</w:t>
      </w:r>
      <w:r w:rsidR="00EE4FC3">
        <w:t xml:space="preserve"> </w:t>
      </w:r>
      <w:r w:rsidRPr="00382917">
        <w:t>its</w:t>
      </w:r>
      <w:r w:rsidR="00EE4FC3">
        <w:t xml:space="preserve"> </w:t>
      </w:r>
      <w:r w:rsidRPr="00382917">
        <w:t>place.</w:t>
      </w:r>
      <w:r w:rsidR="000910FF">
        <w:rPr>
          <w:rStyle w:val="FootnoteReference"/>
        </w:rPr>
        <w:footnoteReference w:id="88"/>
      </w:r>
    </w:p>
    <w:p w:rsidR="00806330" w:rsidRPr="00382917" w:rsidRDefault="00806330" w:rsidP="00806330">
      <w:pPr>
        <w:pStyle w:val="Text"/>
      </w:pPr>
      <w:r w:rsidRPr="00382917">
        <w:t>During</w:t>
      </w:r>
      <w:r w:rsidR="00EE4FC3">
        <w:t xml:space="preserve"> </w:t>
      </w:r>
      <w:r w:rsidRPr="00382917">
        <w:t>those</w:t>
      </w:r>
      <w:r w:rsidR="00EE4FC3">
        <w:t xml:space="preserve"> </w:t>
      </w:r>
      <w:r w:rsidRPr="00382917">
        <w:t>days</w:t>
      </w:r>
      <w:r w:rsidR="00EE4FC3">
        <w:t xml:space="preserve"> </w:t>
      </w:r>
      <w:r w:rsidRPr="00382917">
        <w:t>a</w:t>
      </w:r>
      <w:r w:rsidR="00EE4FC3">
        <w:t xml:space="preserve"> </w:t>
      </w:r>
      <w:r w:rsidRPr="00382917">
        <w:t>dervish</w:t>
      </w:r>
      <w:r w:rsidR="00EE4FC3">
        <w:t xml:space="preserve"> </w:t>
      </w:r>
      <w:r w:rsidRPr="00382917">
        <w:t>walked</w:t>
      </w:r>
      <w:r w:rsidR="00EE4FC3">
        <w:t xml:space="preserve"> </w:t>
      </w:r>
      <w:r w:rsidRPr="00382917">
        <w:t>all</w:t>
      </w:r>
      <w:r w:rsidR="00EE4FC3">
        <w:t xml:space="preserve"> </w:t>
      </w:r>
      <w:r w:rsidRPr="00382917">
        <w:t>the</w:t>
      </w:r>
      <w:r w:rsidR="00EE4FC3">
        <w:t xml:space="preserve"> </w:t>
      </w:r>
      <w:r w:rsidRPr="00382917">
        <w:t>way</w:t>
      </w:r>
      <w:r w:rsidR="00EE4FC3">
        <w:t xml:space="preserve"> </w:t>
      </w:r>
      <w:r w:rsidRPr="00382917">
        <w:t>from</w:t>
      </w:r>
      <w:r w:rsidR="00EE4FC3">
        <w:t xml:space="preserve"> </w:t>
      </w:r>
      <w:r w:rsidRPr="00382917">
        <w:t>India</w:t>
      </w:r>
      <w:r w:rsidR="00EE4FC3">
        <w:t xml:space="preserve"> </w:t>
      </w:r>
      <w:r w:rsidRPr="00382917">
        <w:t>to</w:t>
      </w:r>
      <w:r w:rsidR="00EE4FC3">
        <w:t xml:space="preserve"> </w:t>
      </w:r>
      <w:r w:rsidRPr="00382917">
        <w:t>seek</w:t>
      </w:r>
      <w:r w:rsidR="00EE4FC3">
        <w:t xml:space="preserve"> </w:t>
      </w:r>
      <w:r w:rsidRPr="00382917">
        <w:t>the</w:t>
      </w:r>
      <w:r w:rsidR="00EE4FC3">
        <w:t xml:space="preserve"> </w:t>
      </w:r>
      <w:r w:rsidRPr="00382917">
        <w:t>Báb</w:t>
      </w:r>
      <w:r w:rsidR="00A93643">
        <w:t>.</w:t>
      </w:r>
      <w:r w:rsidR="00EE4FC3">
        <w:t xml:space="preserve">  </w:t>
      </w:r>
      <w:r w:rsidRPr="00382917">
        <w:t>As</w:t>
      </w:r>
      <w:r w:rsidR="00EE4FC3">
        <w:t xml:space="preserve"> </w:t>
      </w:r>
      <w:r w:rsidRPr="00382917">
        <w:t>soon</w:t>
      </w:r>
      <w:r w:rsidR="00EE4FC3">
        <w:t xml:space="preserve"> </w:t>
      </w:r>
      <w:r w:rsidRPr="00382917">
        <w:t>as</w:t>
      </w:r>
      <w:r w:rsidR="00EE4FC3">
        <w:t xml:space="preserve"> </w:t>
      </w:r>
      <w:r w:rsidRPr="00382917">
        <w:t>he</w:t>
      </w:r>
      <w:r w:rsidR="00EE4FC3">
        <w:t xml:space="preserve"> </w:t>
      </w:r>
      <w:r w:rsidRPr="00382917">
        <w:t>met</w:t>
      </w:r>
      <w:r w:rsidR="00EE4FC3">
        <w:t xml:space="preserve"> </w:t>
      </w:r>
      <w:r w:rsidRPr="00382917">
        <w:t>Him,</w:t>
      </w:r>
      <w:r w:rsidR="00EE4FC3">
        <w:t xml:space="preserve"> </w:t>
      </w:r>
      <w:r w:rsidRPr="00382917">
        <w:t>he</w:t>
      </w:r>
      <w:r w:rsidR="00EE4FC3">
        <w:t xml:space="preserve"> </w:t>
      </w:r>
      <w:r w:rsidRPr="00382917">
        <w:t>embraced</w:t>
      </w:r>
      <w:r w:rsidR="00EE4FC3">
        <w:t xml:space="preserve"> </w:t>
      </w:r>
      <w:r w:rsidRPr="00382917">
        <w:t>His</w:t>
      </w:r>
      <w:r w:rsidR="00EE4FC3">
        <w:t xml:space="preserve"> </w:t>
      </w:r>
      <w:r w:rsidRPr="00382917">
        <w:t>Faith</w:t>
      </w:r>
      <w:r w:rsidR="00A93643">
        <w:t>.</w:t>
      </w:r>
      <w:r w:rsidR="00EE4FC3">
        <w:t xml:space="preserve">  </w:t>
      </w:r>
      <w:r w:rsidRPr="00382917">
        <w:t>He</w:t>
      </w:r>
      <w:r w:rsidR="00EE4FC3">
        <w:t xml:space="preserve"> </w:t>
      </w:r>
      <w:r w:rsidRPr="00382917">
        <w:t>told</w:t>
      </w:r>
      <w:r w:rsidR="00EE4FC3">
        <w:t xml:space="preserve"> </w:t>
      </w:r>
      <w:r w:rsidRPr="00382917">
        <w:t>the</w:t>
      </w:r>
      <w:r w:rsidR="00EE4FC3">
        <w:t xml:space="preserve"> </w:t>
      </w:r>
      <w:r w:rsidRPr="00382917">
        <w:t>following</w:t>
      </w:r>
      <w:r w:rsidR="00EE4FC3">
        <w:t xml:space="preserve"> </w:t>
      </w:r>
      <w:r w:rsidRPr="00382917">
        <w:t>story:</w:t>
      </w:r>
    </w:p>
    <w:p w:rsidR="00806330" w:rsidRPr="00382917" w:rsidRDefault="009C713D" w:rsidP="00806330">
      <w:pPr>
        <w:pStyle w:val="Text"/>
      </w:pPr>
      <w:r w:rsidRPr="00382917">
        <w:t>“</w:t>
      </w:r>
      <w:r w:rsidR="00806330" w:rsidRPr="00382917">
        <w:t>I</w:t>
      </w:r>
      <w:r w:rsidR="00EE4FC3">
        <w:t xml:space="preserve"> </w:t>
      </w:r>
      <w:r w:rsidR="00806330" w:rsidRPr="00382917">
        <w:t>was</w:t>
      </w:r>
      <w:r w:rsidR="00EE4FC3">
        <w:t xml:space="preserve"> </w:t>
      </w:r>
      <w:r w:rsidR="00806330" w:rsidRPr="00382917">
        <w:t>an</w:t>
      </w:r>
      <w:r w:rsidR="00EE4FC3">
        <w:t xml:space="preserve"> </w:t>
      </w:r>
      <w:r w:rsidR="00806330" w:rsidRPr="00382917">
        <w:t>official</w:t>
      </w:r>
      <w:r w:rsidR="00EE4FC3">
        <w:t xml:space="preserve"> </w:t>
      </w:r>
      <w:r w:rsidR="00806330" w:rsidRPr="00382917">
        <w:t>in</w:t>
      </w:r>
      <w:r w:rsidR="00EE4FC3">
        <w:t xml:space="preserve"> </w:t>
      </w:r>
      <w:r w:rsidR="00806330" w:rsidRPr="00382917">
        <w:t>India</w:t>
      </w:r>
      <w:r w:rsidR="00EE4FC3">
        <w:t xml:space="preserve"> </w:t>
      </w:r>
      <w:r w:rsidR="00806330" w:rsidRPr="00382917">
        <w:t>occupying</w:t>
      </w:r>
      <w:r w:rsidR="00EE4FC3">
        <w:t xml:space="preserve"> </w:t>
      </w:r>
      <w:r w:rsidR="00806330" w:rsidRPr="00382917">
        <w:t>a</w:t>
      </w:r>
      <w:r w:rsidR="00EE4FC3">
        <w:t xml:space="preserve"> </w:t>
      </w:r>
      <w:r w:rsidR="00806330" w:rsidRPr="00382917">
        <w:t>fine</w:t>
      </w:r>
      <w:r w:rsidR="00EE4FC3">
        <w:t xml:space="preserve"> </w:t>
      </w:r>
      <w:r w:rsidR="00806330" w:rsidRPr="00382917">
        <w:t>position</w:t>
      </w:r>
      <w:r w:rsidR="00A93643">
        <w:t>.</w:t>
      </w:r>
      <w:r w:rsidR="00EE4FC3">
        <w:t xml:space="preserve">  </w:t>
      </w:r>
      <w:r w:rsidR="00806330" w:rsidRPr="00382917">
        <w:t>In</w:t>
      </w:r>
      <w:r w:rsidR="00EE4FC3">
        <w:t xml:space="preserve"> </w:t>
      </w:r>
      <w:r w:rsidR="00806330" w:rsidRPr="00382917">
        <w:t>a</w:t>
      </w:r>
      <w:r w:rsidR="00EE4FC3">
        <w:t xml:space="preserve"> </w:t>
      </w:r>
      <w:r w:rsidR="00806330" w:rsidRPr="00382917">
        <w:t>dream</w:t>
      </w:r>
      <w:r w:rsidR="00EE4FC3">
        <w:t xml:space="preserve"> </w:t>
      </w:r>
      <w:r w:rsidR="00806330" w:rsidRPr="00382917">
        <w:t>a</w:t>
      </w:r>
      <w:r w:rsidR="00EE4FC3">
        <w:t xml:space="preserve"> </w:t>
      </w:r>
      <w:r w:rsidR="00806330" w:rsidRPr="00382917">
        <w:t>young</w:t>
      </w:r>
      <w:r w:rsidR="00EE4FC3">
        <w:t xml:space="preserve"> </w:t>
      </w:r>
      <w:r w:rsidR="00806330" w:rsidRPr="00382917">
        <w:t>man</w:t>
      </w:r>
      <w:r w:rsidR="00EE4FC3">
        <w:t xml:space="preserve"> </w:t>
      </w:r>
      <w:r w:rsidR="00806330" w:rsidRPr="00382917">
        <w:t>gazed</w:t>
      </w:r>
      <w:r w:rsidR="00EE4FC3">
        <w:t xml:space="preserve"> </w:t>
      </w:r>
      <w:r w:rsidR="00806330" w:rsidRPr="00382917">
        <w:t>at</w:t>
      </w:r>
      <w:r w:rsidR="00EE4FC3">
        <w:t xml:space="preserve"> </w:t>
      </w:r>
      <w:r w:rsidR="00806330" w:rsidRPr="00382917">
        <w:t>me</w:t>
      </w:r>
      <w:r w:rsidR="00EE4FC3">
        <w:t xml:space="preserve"> </w:t>
      </w:r>
      <w:r w:rsidR="00806330" w:rsidRPr="00382917">
        <w:t>and</w:t>
      </w:r>
      <w:r w:rsidR="00EE4FC3">
        <w:t xml:space="preserve"> </w:t>
      </w:r>
      <w:r w:rsidR="00806330" w:rsidRPr="00382917">
        <w:t>won</w:t>
      </w:r>
      <w:r w:rsidR="00EE4FC3">
        <w:t xml:space="preserve"> </w:t>
      </w:r>
      <w:r w:rsidR="00806330" w:rsidRPr="00382917">
        <w:t>my</w:t>
      </w:r>
      <w:r w:rsidR="00EE4FC3">
        <w:t xml:space="preserve"> </w:t>
      </w:r>
      <w:r w:rsidR="00806330" w:rsidRPr="00382917">
        <w:t>heart</w:t>
      </w:r>
      <w:r w:rsidR="00EE4FC3">
        <w:t xml:space="preserve"> </w:t>
      </w:r>
      <w:r w:rsidR="00806330" w:rsidRPr="00382917">
        <w:t>completely</w:t>
      </w:r>
      <w:r w:rsidR="00A93643">
        <w:t>.</w:t>
      </w:r>
      <w:r w:rsidR="00EE4FC3">
        <w:t xml:space="preserve">  </w:t>
      </w:r>
      <w:r w:rsidR="00806330" w:rsidRPr="00382917">
        <w:t>I</w:t>
      </w:r>
      <w:r w:rsidR="00EE4FC3">
        <w:t xml:space="preserve"> </w:t>
      </w:r>
      <w:r w:rsidR="00806330" w:rsidRPr="00382917">
        <w:t>arose</w:t>
      </w:r>
      <w:r w:rsidR="00EE4FC3">
        <w:t xml:space="preserve"> </w:t>
      </w:r>
      <w:r w:rsidR="00806330" w:rsidRPr="00382917">
        <w:t>and</w:t>
      </w:r>
      <w:r w:rsidR="00EE4FC3">
        <w:t xml:space="preserve"> </w:t>
      </w:r>
      <w:r w:rsidR="00806330" w:rsidRPr="00382917">
        <w:t>started</w:t>
      </w:r>
      <w:r w:rsidR="00EE4FC3">
        <w:t xml:space="preserve"> </w:t>
      </w:r>
      <w:r w:rsidR="00806330" w:rsidRPr="00382917">
        <w:t>to</w:t>
      </w:r>
      <w:r w:rsidR="00EE4FC3">
        <w:t xml:space="preserve"> </w:t>
      </w:r>
      <w:r w:rsidR="00806330" w:rsidRPr="00382917">
        <w:t>follow</w:t>
      </w:r>
      <w:r w:rsidR="00EE4FC3">
        <w:t xml:space="preserve"> </w:t>
      </w:r>
      <w:r w:rsidR="00806330" w:rsidRPr="00382917">
        <w:t>Him</w:t>
      </w:r>
      <w:r w:rsidR="00A93643">
        <w:t>.</w:t>
      </w:r>
      <w:r w:rsidR="00EE4FC3">
        <w:t xml:space="preserve">  </w:t>
      </w:r>
      <w:r w:rsidR="00806330" w:rsidRPr="00382917">
        <w:t>He</w:t>
      </w:r>
      <w:r w:rsidR="00EE4FC3">
        <w:t xml:space="preserve"> </w:t>
      </w:r>
      <w:r w:rsidR="00806330" w:rsidRPr="00382917">
        <w:t>looked</w:t>
      </w:r>
      <w:r w:rsidR="00EE4FC3">
        <w:t xml:space="preserve"> </w:t>
      </w:r>
      <w:r w:rsidR="00806330" w:rsidRPr="00382917">
        <w:t>at</w:t>
      </w:r>
      <w:r w:rsidR="00EE4FC3">
        <w:t xml:space="preserve"> </w:t>
      </w:r>
      <w:r w:rsidR="00806330" w:rsidRPr="00382917">
        <w:t>me</w:t>
      </w:r>
      <w:r w:rsidR="00EE4FC3">
        <w:t xml:space="preserve"> </w:t>
      </w:r>
      <w:r w:rsidR="00806330" w:rsidRPr="00382917">
        <w:t>intently</w:t>
      </w:r>
      <w:r w:rsidR="00EE4FC3">
        <w:t xml:space="preserve"> </w:t>
      </w:r>
      <w:r w:rsidR="00806330" w:rsidRPr="00382917">
        <w:t>and</w:t>
      </w:r>
      <w:r w:rsidR="00EE4FC3">
        <w:t xml:space="preserve"> </w:t>
      </w:r>
      <w:r w:rsidR="00806330" w:rsidRPr="00382917">
        <w:t>said</w:t>
      </w:r>
      <w:r w:rsidR="00C03C91">
        <w:t>:</w:t>
      </w:r>
      <w:r w:rsidR="00EE4FC3">
        <w:t xml:space="preserve">  </w:t>
      </w:r>
      <w:r w:rsidRPr="00382917">
        <w:t>‘</w:t>
      </w:r>
      <w:r w:rsidR="00806330" w:rsidRPr="00382917">
        <w:t>Divest</w:t>
      </w:r>
      <w:r w:rsidR="00EE4FC3">
        <w:t xml:space="preserve"> </w:t>
      </w:r>
      <w:r w:rsidR="00806330" w:rsidRPr="00382917">
        <w:t>yourself</w:t>
      </w:r>
      <w:r w:rsidR="00EE4FC3">
        <w:t xml:space="preserve"> </w:t>
      </w:r>
      <w:r w:rsidR="00806330" w:rsidRPr="00382917">
        <w:t>of</w:t>
      </w:r>
      <w:r w:rsidR="00EE4FC3">
        <w:t xml:space="preserve"> </w:t>
      </w:r>
      <w:r w:rsidR="00806330" w:rsidRPr="00382917">
        <w:t>your</w:t>
      </w:r>
      <w:r w:rsidR="00EE4FC3">
        <w:t xml:space="preserve"> </w:t>
      </w:r>
      <w:r w:rsidR="00806330" w:rsidRPr="00382917">
        <w:t>gorgeous</w:t>
      </w:r>
      <w:r w:rsidR="00EE4FC3">
        <w:t xml:space="preserve"> </w:t>
      </w:r>
      <w:r w:rsidR="00806330" w:rsidRPr="00382917">
        <w:t>attire,</w:t>
      </w:r>
      <w:r w:rsidR="00EE4FC3">
        <w:t xml:space="preserve"> </w:t>
      </w:r>
      <w:r w:rsidR="00806330" w:rsidRPr="00382917">
        <w:t>depart</w:t>
      </w:r>
      <w:r w:rsidR="00EE4FC3">
        <w:t xml:space="preserve"> </w:t>
      </w:r>
      <w:r w:rsidR="00806330" w:rsidRPr="00382917">
        <w:t>from</w:t>
      </w:r>
      <w:r w:rsidR="00EE4FC3">
        <w:t xml:space="preserve"> </w:t>
      </w:r>
      <w:r w:rsidR="00806330" w:rsidRPr="00382917">
        <w:t>your</w:t>
      </w:r>
      <w:r w:rsidR="00EE4FC3">
        <w:t xml:space="preserve"> </w:t>
      </w:r>
      <w:r w:rsidR="00806330" w:rsidRPr="00382917">
        <w:t>native</w:t>
      </w:r>
      <w:r w:rsidR="00EE4FC3">
        <w:t xml:space="preserve"> </w:t>
      </w:r>
      <w:r w:rsidR="00806330" w:rsidRPr="00382917">
        <w:t>land</w:t>
      </w:r>
      <w:r w:rsidR="00EE4FC3">
        <w:t xml:space="preserve"> </w:t>
      </w:r>
      <w:r w:rsidR="00806330" w:rsidRPr="00382917">
        <w:t>and</w:t>
      </w:r>
      <w:r w:rsidR="00EE4FC3">
        <w:t xml:space="preserve"> </w:t>
      </w:r>
      <w:r w:rsidR="00806330" w:rsidRPr="00382917">
        <w:t>hasten</w:t>
      </w:r>
      <w:r w:rsidR="00EE4FC3">
        <w:t xml:space="preserve"> </w:t>
      </w:r>
      <w:r w:rsidR="00806330" w:rsidRPr="00382917">
        <w:t>on</w:t>
      </w:r>
      <w:r w:rsidR="00EE4FC3">
        <w:t xml:space="preserve"> </w:t>
      </w:r>
      <w:r w:rsidR="00806330" w:rsidRPr="00382917">
        <w:t>foot</w:t>
      </w:r>
      <w:r w:rsidR="00EE4FC3">
        <w:t xml:space="preserve"> </w:t>
      </w:r>
      <w:r w:rsidR="00806330" w:rsidRPr="00382917">
        <w:t>to</w:t>
      </w:r>
      <w:r w:rsidR="00EE4FC3">
        <w:t xml:space="preserve"> </w:t>
      </w:r>
      <w:r w:rsidR="00806330" w:rsidRPr="00382917">
        <w:t>meet</w:t>
      </w:r>
      <w:r w:rsidR="00EE4FC3">
        <w:t xml:space="preserve"> </w:t>
      </w:r>
      <w:proofErr w:type="gramStart"/>
      <w:r w:rsidR="00806330" w:rsidRPr="00382917">
        <w:t>Me</w:t>
      </w:r>
      <w:proofErr w:type="gramEnd"/>
      <w:r w:rsidR="00EE4FC3">
        <w:t xml:space="preserve"> </w:t>
      </w:r>
      <w:r w:rsidR="00806330" w:rsidRPr="00382917">
        <w:t>in</w:t>
      </w:r>
      <w:r w:rsidR="00EE4FC3">
        <w:t xml:space="preserve"> </w:t>
      </w:r>
      <w:r w:rsidR="008A0ADC" w:rsidRPr="00382917">
        <w:t>Á</w:t>
      </w:r>
      <w:r w:rsidR="008A0ADC" w:rsidRPr="008A0ADC">
        <w:rPr>
          <w:u w:val="single"/>
        </w:rPr>
        <w:t>dh</w:t>
      </w:r>
      <w:r w:rsidR="008A0ADC" w:rsidRPr="00382917">
        <w:t>irbáyján</w:t>
      </w:r>
      <w:r w:rsidR="00A93643">
        <w:t>.</w:t>
      </w:r>
      <w:r w:rsidR="00EE4FC3">
        <w:t xml:space="preserve">  </w:t>
      </w:r>
      <w:r w:rsidR="00806330" w:rsidRPr="00382917">
        <w:t>In</w:t>
      </w:r>
      <w:r w:rsidR="00EE4FC3">
        <w:t xml:space="preserve"> </w:t>
      </w:r>
      <w:r w:rsidR="001713B3" w:rsidRPr="001713B3">
        <w:rPr>
          <w:u w:val="single"/>
        </w:rPr>
        <w:t>Ch</w:t>
      </w:r>
      <w:r w:rsidR="001713B3" w:rsidRPr="00382917">
        <w:t>ihríq</w:t>
      </w:r>
      <w:r w:rsidR="00EE4FC3">
        <w:t xml:space="preserve"> </w:t>
      </w:r>
      <w:r w:rsidR="00806330" w:rsidRPr="00382917">
        <w:t>you</w:t>
      </w:r>
      <w:r w:rsidR="00EE4FC3">
        <w:t xml:space="preserve"> </w:t>
      </w:r>
      <w:r w:rsidR="00806330" w:rsidRPr="00382917">
        <w:t>will</w:t>
      </w:r>
      <w:r w:rsidR="00EE4FC3">
        <w:t xml:space="preserve"> </w:t>
      </w:r>
      <w:r w:rsidR="00806330" w:rsidRPr="00382917">
        <w:t>attain</w:t>
      </w:r>
      <w:r w:rsidR="00EE4FC3">
        <w:t xml:space="preserve"> </w:t>
      </w:r>
      <w:r w:rsidR="00806330" w:rsidRPr="00382917">
        <w:t>your</w:t>
      </w:r>
      <w:r w:rsidR="00EE4FC3">
        <w:t xml:space="preserve"> </w:t>
      </w:r>
      <w:r w:rsidR="00806330" w:rsidRPr="00382917">
        <w:t>heart</w:t>
      </w:r>
      <w:r w:rsidRPr="00382917">
        <w:t>’</w:t>
      </w:r>
      <w:r w:rsidR="00806330" w:rsidRPr="00382917">
        <w:t>s</w:t>
      </w:r>
      <w:r w:rsidR="00EE4FC3">
        <w:t xml:space="preserve"> </w:t>
      </w:r>
      <w:r w:rsidR="00806330" w:rsidRPr="00382917">
        <w:t>desire.</w:t>
      </w:r>
      <w:r w:rsidRPr="00382917">
        <w:t>’</w:t>
      </w:r>
      <w:r w:rsidR="00EE4FC3">
        <w:t xml:space="preserve">  </w:t>
      </w:r>
      <w:r w:rsidR="00806330" w:rsidRPr="00382917">
        <w:t>I</w:t>
      </w:r>
      <w:r w:rsidR="00EE4FC3">
        <w:t xml:space="preserve"> </w:t>
      </w:r>
      <w:r w:rsidR="00806330" w:rsidRPr="00382917">
        <w:t>followed</w:t>
      </w:r>
      <w:r w:rsidR="00EE4FC3">
        <w:t xml:space="preserve"> </w:t>
      </w:r>
      <w:r w:rsidR="00806330" w:rsidRPr="00382917">
        <w:t>his</w:t>
      </w:r>
      <w:r w:rsidR="00EE4FC3">
        <w:t xml:space="preserve"> </w:t>
      </w:r>
      <w:r w:rsidR="00806330" w:rsidRPr="00382917">
        <w:t>directions</w:t>
      </w:r>
      <w:r w:rsidR="00EE4FC3">
        <w:t xml:space="preserve"> </w:t>
      </w:r>
      <w:r w:rsidR="00806330" w:rsidRPr="00382917">
        <w:t>and</w:t>
      </w:r>
      <w:r w:rsidR="00EE4FC3">
        <w:t xml:space="preserve"> </w:t>
      </w:r>
      <w:r w:rsidR="00806330" w:rsidRPr="00382917">
        <w:t>have</w:t>
      </w:r>
      <w:r w:rsidR="00EE4FC3">
        <w:t xml:space="preserve"> </w:t>
      </w:r>
      <w:r w:rsidR="00806330" w:rsidRPr="00382917">
        <w:t>now</w:t>
      </w:r>
      <w:r w:rsidR="00EE4FC3">
        <w:t xml:space="preserve"> </w:t>
      </w:r>
      <w:r w:rsidR="00806330" w:rsidRPr="00382917">
        <w:t>reached</w:t>
      </w:r>
      <w:r w:rsidR="00EE4FC3">
        <w:t xml:space="preserve"> </w:t>
      </w:r>
      <w:r w:rsidR="00806330" w:rsidRPr="00382917">
        <w:t>my</w:t>
      </w:r>
      <w:r w:rsidR="00EE4FC3">
        <w:t xml:space="preserve"> </w:t>
      </w:r>
      <w:r w:rsidR="00806330" w:rsidRPr="00382917">
        <w:t>goal.</w:t>
      </w:r>
      <w:r w:rsidRPr="00382917">
        <w:t>”</w:t>
      </w:r>
    </w:p>
    <w:p w:rsidR="00E13D49" w:rsidRPr="00382917" w:rsidRDefault="00806330" w:rsidP="00C55038">
      <w:pPr>
        <w:pStyle w:val="Text"/>
      </w:pPr>
      <w:r w:rsidRPr="00382917">
        <w:t>This</w:t>
      </w:r>
      <w:r w:rsidR="00EE4FC3">
        <w:t xml:space="preserve"> </w:t>
      </w:r>
      <w:r w:rsidRPr="00382917">
        <w:t>fulfilled</w:t>
      </w:r>
      <w:r w:rsidR="00EE4FC3">
        <w:t xml:space="preserve"> </w:t>
      </w:r>
      <w:r w:rsidRPr="00382917">
        <w:t>the</w:t>
      </w:r>
      <w:r w:rsidR="00EE4FC3">
        <w:t xml:space="preserve"> </w:t>
      </w:r>
      <w:r w:rsidRPr="00382917">
        <w:t>words</w:t>
      </w:r>
      <w:r w:rsidR="00EE4FC3">
        <w:t xml:space="preserve"> </w:t>
      </w:r>
      <w:r w:rsidRPr="00382917">
        <w:t>of</w:t>
      </w:r>
      <w:r w:rsidR="00EE4FC3">
        <w:t xml:space="preserve"> </w:t>
      </w:r>
      <w:r w:rsidRPr="00382917">
        <w:t>the</w:t>
      </w:r>
      <w:r w:rsidR="00EE4FC3">
        <w:t xml:space="preserve"> </w:t>
      </w:r>
      <w:r w:rsidRPr="00382917">
        <w:t>prophecy</w:t>
      </w:r>
      <w:r w:rsidR="00EE4FC3">
        <w:t xml:space="preserve"> </w:t>
      </w:r>
      <w:r w:rsidRPr="00382917">
        <w:t>given</w:t>
      </w:r>
      <w:r w:rsidR="00EE4FC3">
        <w:t xml:space="preserve"> </w:t>
      </w:r>
      <w:r w:rsidRPr="00382917">
        <w:t>for</w:t>
      </w:r>
      <w:r w:rsidR="00EE4FC3">
        <w:t xml:space="preserve"> </w:t>
      </w:r>
      <w:r w:rsidRPr="00382917">
        <w:t>the</w:t>
      </w:r>
      <w:r w:rsidR="00EE4FC3">
        <w:t xml:space="preserve"> </w:t>
      </w:r>
      <w:r w:rsidRPr="00382917">
        <w:t>last</w:t>
      </w:r>
      <w:r w:rsidR="00EE4FC3">
        <w:t xml:space="preserve"> </w:t>
      </w:r>
      <w:r w:rsidRPr="00382917">
        <w:t>days</w:t>
      </w:r>
      <w:r w:rsidR="00EE4FC3">
        <w:t xml:space="preserve"> </w:t>
      </w:r>
      <w:r w:rsidRPr="00382917">
        <w:t>that</w:t>
      </w:r>
      <w:r w:rsidR="00C03C91">
        <w:t>:</w:t>
      </w:r>
      <w:r w:rsidR="00EE4FC3">
        <w:t xml:space="preserve">  </w:t>
      </w:r>
      <w:r w:rsidRPr="00382917">
        <w:t>men</w:t>
      </w:r>
      <w:r w:rsidR="00EE4FC3">
        <w:t xml:space="preserve"> </w:t>
      </w:r>
      <w:r w:rsidRPr="00382917">
        <w:t>should</w:t>
      </w:r>
      <w:r w:rsidR="00EE4FC3">
        <w:t xml:space="preserve"> </w:t>
      </w:r>
      <w:r w:rsidRPr="00382917">
        <w:t>come</w:t>
      </w:r>
      <w:r w:rsidR="00EE4FC3">
        <w:t xml:space="preserve"> </w:t>
      </w:r>
      <w:r w:rsidRPr="00382917">
        <w:t>from</w:t>
      </w:r>
      <w:r w:rsidR="00EE4FC3">
        <w:t xml:space="preserve"> </w:t>
      </w:r>
      <w:r w:rsidRPr="00382917">
        <w:t>the</w:t>
      </w:r>
      <w:r w:rsidR="00EE4FC3">
        <w:t xml:space="preserve"> </w:t>
      </w:r>
      <w:r w:rsidRPr="00382917">
        <w:t>far</w:t>
      </w:r>
      <w:r w:rsidR="00EE4FC3">
        <w:t xml:space="preserve"> </w:t>
      </w:r>
      <w:r w:rsidRPr="00382917">
        <w:t>places,</w:t>
      </w:r>
      <w:r w:rsidR="00EE4FC3">
        <w:t xml:space="preserve"> </w:t>
      </w:r>
      <w:r w:rsidRPr="00382917">
        <w:t>guided</w:t>
      </w:r>
      <w:r w:rsidR="00EE4FC3">
        <w:t xml:space="preserve"> </w:t>
      </w:r>
      <w:r w:rsidRPr="00382917">
        <w:t>by</w:t>
      </w:r>
      <w:r w:rsidR="00EE4FC3">
        <w:t xml:space="preserve"> </w:t>
      </w:r>
      <w:r w:rsidRPr="00382917">
        <w:t>the</w:t>
      </w:r>
      <w:r w:rsidR="00EE4FC3">
        <w:t xml:space="preserve"> </w:t>
      </w:r>
      <w:r w:rsidRPr="00382917">
        <w:t>spirit,</w:t>
      </w:r>
      <w:r w:rsidR="00EE4FC3">
        <w:t xml:space="preserve"> </w:t>
      </w:r>
      <w:r w:rsidRPr="00382917">
        <w:t>until</w:t>
      </w:r>
      <w:r w:rsidR="00EE4FC3">
        <w:t xml:space="preserve"> </w:t>
      </w:r>
      <w:r w:rsidRPr="00382917">
        <w:t>they</w:t>
      </w:r>
      <w:r w:rsidR="00EE4FC3">
        <w:t xml:space="preserve"> </w:t>
      </w:r>
      <w:r w:rsidRPr="00382917">
        <w:t>met</w:t>
      </w:r>
      <w:r w:rsidR="00EE4FC3">
        <w:t xml:space="preserve"> </w:t>
      </w:r>
      <w:r w:rsidRPr="00382917">
        <w:t>their</w:t>
      </w:r>
      <w:r w:rsidR="00EE4FC3">
        <w:t xml:space="preserve"> </w:t>
      </w:r>
      <w:r w:rsidRPr="00382917">
        <w:t>Promised</w:t>
      </w:r>
      <w:r w:rsidR="00EE4FC3">
        <w:t xml:space="preserve"> </w:t>
      </w:r>
      <w:r w:rsidRPr="00382917">
        <w:t>One.</w:t>
      </w:r>
      <w:r w:rsidR="00C55038">
        <w:rPr>
          <w:rStyle w:val="FootnoteReference"/>
        </w:rPr>
        <w:footnoteReference w:id="89"/>
      </w:r>
    </w:p>
    <w:p w:rsidR="00806330" w:rsidRPr="00382917" w:rsidRDefault="00806330" w:rsidP="00806330">
      <w:pPr>
        <w:pStyle w:val="Text"/>
      </w:pPr>
      <w:r w:rsidRPr="00382917">
        <w:t>This</w:t>
      </w:r>
      <w:r w:rsidR="00EE4FC3">
        <w:t xml:space="preserve"> </w:t>
      </w:r>
      <w:r w:rsidRPr="00382917">
        <w:t>was</w:t>
      </w:r>
      <w:r w:rsidR="00EE4FC3">
        <w:t xml:space="preserve"> </w:t>
      </w:r>
      <w:r w:rsidRPr="00382917">
        <w:t>but</w:t>
      </w:r>
      <w:r w:rsidR="00EE4FC3">
        <w:t xml:space="preserve"> </w:t>
      </w:r>
      <w:r w:rsidRPr="00382917">
        <w:t>one</w:t>
      </w:r>
      <w:r w:rsidR="00EE4FC3">
        <w:t xml:space="preserve"> </w:t>
      </w:r>
      <w:r w:rsidRPr="00382917">
        <w:t>of</w:t>
      </w:r>
      <w:r w:rsidR="00EE4FC3">
        <w:t xml:space="preserve"> </w:t>
      </w:r>
      <w:r w:rsidRPr="00382917">
        <w:t>many</w:t>
      </w:r>
      <w:r w:rsidR="00EE4FC3">
        <w:t xml:space="preserve"> </w:t>
      </w:r>
      <w:r w:rsidRPr="00382917">
        <w:t>remarkable</w:t>
      </w:r>
      <w:r w:rsidR="00EE4FC3">
        <w:t xml:space="preserve"> </w:t>
      </w:r>
      <w:r w:rsidRPr="00382917">
        <w:t>events</w:t>
      </w:r>
      <w:r w:rsidR="00EE4FC3">
        <w:t xml:space="preserve"> </w:t>
      </w:r>
      <w:r w:rsidRPr="00382917">
        <w:t>which</w:t>
      </w:r>
      <w:r w:rsidR="00EE4FC3">
        <w:t xml:space="preserve"> </w:t>
      </w:r>
      <w:r w:rsidRPr="00382917">
        <w:t>followed</w:t>
      </w:r>
      <w:r w:rsidR="00EE4FC3">
        <w:t xml:space="preserve"> </w:t>
      </w:r>
      <w:r w:rsidRPr="00382917">
        <w:t>upon</w:t>
      </w:r>
      <w:r w:rsidR="00EE4FC3">
        <w:t xml:space="preserve"> </w:t>
      </w:r>
      <w:r w:rsidRPr="00382917">
        <w:t>each</w:t>
      </w:r>
      <w:r w:rsidR="00EE4FC3">
        <w:t xml:space="preserve"> </w:t>
      </w:r>
      <w:r w:rsidRPr="00382917">
        <w:t>other</w:t>
      </w:r>
      <w:r w:rsidR="00EE4FC3">
        <w:t xml:space="preserve"> </w:t>
      </w:r>
      <w:r w:rsidRPr="00382917">
        <w:t>with</w:t>
      </w:r>
      <w:r w:rsidR="00EE4FC3">
        <w:t xml:space="preserve"> </w:t>
      </w:r>
      <w:r w:rsidRPr="00382917">
        <w:t>swift</w:t>
      </w:r>
      <w:r w:rsidR="00EE4FC3">
        <w:t xml:space="preserve"> </w:t>
      </w:r>
      <w:r w:rsidRPr="00382917">
        <w:t>succession</w:t>
      </w:r>
      <w:r w:rsidR="00A93643">
        <w:t>.</w:t>
      </w:r>
      <w:r w:rsidR="00EE4FC3">
        <w:t xml:space="preserve">  </w:t>
      </w:r>
      <w:r w:rsidRPr="00382917">
        <w:t>They</w:t>
      </w:r>
      <w:r w:rsidR="00EE4FC3">
        <w:t xml:space="preserve"> </w:t>
      </w:r>
      <w:r w:rsidRPr="00382917">
        <w:t>caused</w:t>
      </w:r>
      <w:r w:rsidR="00EE4FC3">
        <w:t xml:space="preserve"> </w:t>
      </w:r>
      <w:r w:rsidRPr="00382917">
        <w:t>the</w:t>
      </w:r>
      <w:r w:rsidR="00EE4FC3">
        <w:t xml:space="preserve"> </w:t>
      </w:r>
      <w:r w:rsidRPr="00382917">
        <w:t>turmoil</w:t>
      </w:r>
      <w:r w:rsidR="00EE4FC3">
        <w:t xml:space="preserve"> </w:t>
      </w:r>
      <w:r w:rsidRPr="00382917">
        <w:t>in</w:t>
      </w:r>
      <w:r w:rsidR="00EE4FC3">
        <w:t xml:space="preserve"> </w:t>
      </w:r>
      <w:r w:rsidR="001713B3" w:rsidRPr="001713B3">
        <w:rPr>
          <w:u w:val="single"/>
        </w:rPr>
        <w:t>Ch</w:t>
      </w:r>
      <w:r w:rsidR="001713B3" w:rsidRPr="00382917">
        <w:t>ihríq</w:t>
      </w:r>
      <w:r w:rsidR="00EE4FC3">
        <w:t xml:space="preserve"> </w:t>
      </w:r>
      <w:r w:rsidRPr="00382917">
        <w:t>to</w:t>
      </w:r>
      <w:r w:rsidR="00EE4FC3">
        <w:t xml:space="preserve"> </w:t>
      </w:r>
      <w:r w:rsidRPr="00382917">
        <w:t>eclipse</w:t>
      </w:r>
      <w:r w:rsidR="00EE4FC3">
        <w:t xml:space="preserve"> </w:t>
      </w:r>
      <w:r w:rsidRPr="00382917">
        <w:t>that</w:t>
      </w:r>
      <w:r w:rsidR="00EE4FC3">
        <w:t xml:space="preserve"> </w:t>
      </w:r>
      <w:r w:rsidRPr="00382917">
        <w:t>of</w:t>
      </w:r>
      <w:r w:rsidR="00EE4FC3">
        <w:t xml:space="preserve"> </w:t>
      </w:r>
      <w:r w:rsidRPr="00382917">
        <w:t>Máh-Kú</w:t>
      </w:r>
      <w:r w:rsidR="00A93643">
        <w:t>.</w:t>
      </w:r>
      <w:r w:rsidR="00EE4FC3">
        <w:t xml:space="preserve">  </w:t>
      </w:r>
      <w:r w:rsidRPr="00382917">
        <w:t>A</w:t>
      </w:r>
      <w:r w:rsidR="00EE4FC3">
        <w:t xml:space="preserve"> </w:t>
      </w:r>
      <w:r w:rsidRPr="00382917">
        <w:t>continuous</w:t>
      </w:r>
      <w:r w:rsidR="00EE4FC3">
        <w:t xml:space="preserve"> </w:t>
      </w:r>
      <w:r w:rsidRPr="00382917">
        <w:t>stream</w:t>
      </w:r>
      <w:r w:rsidR="00EE4FC3">
        <w:t xml:space="preserve"> </w:t>
      </w:r>
      <w:r w:rsidRPr="00382917">
        <w:t>of</w:t>
      </w:r>
      <w:r w:rsidR="00EE4FC3">
        <w:t xml:space="preserve"> </w:t>
      </w:r>
      <w:r w:rsidRPr="00382917">
        <w:t>seekers</w:t>
      </w:r>
      <w:r w:rsidR="00EE4FC3">
        <w:t xml:space="preserve"> </w:t>
      </w:r>
      <w:r w:rsidRPr="00382917">
        <w:t>and</w:t>
      </w:r>
      <w:r w:rsidR="00EE4FC3">
        <w:t xml:space="preserve"> </w:t>
      </w:r>
      <w:r w:rsidRPr="00382917">
        <w:t>followers</w:t>
      </w:r>
      <w:r w:rsidR="00EE4FC3">
        <w:t xml:space="preserve"> </w:t>
      </w:r>
      <w:r w:rsidRPr="00382917">
        <w:t>flowed</w:t>
      </w:r>
      <w:r w:rsidR="00EE4FC3">
        <w:t xml:space="preserve"> </w:t>
      </w:r>
      <w:r w:rsidRPr="00382917">
        <w:t>back</w:t>
      </w:r>
      <w:r w:rsidR="00EE4FC3">
        <w:t xml:space="preserve"> </w:t>
      </w:r>
      <w:r w:rsidRPr="00382917">
        <w:t>and</w:t>
      </w:r>
      <w:r w:rsidR="00EE4FC3">
        <w:t xml:space="preserve"> </w:t>
      </w:r>
      <w:r w:rsidRPr="00382917">
        <w:t>forth</w:t>
      </w:r>
      <w:r w:rsidR="00EE4FC3">
        <w:t xml:space="preserve"> </w:t>
      </w:r>
      <w:r w:rsidRPr="00382917">
        <w:t>through</w:t>
      </w:r>
      <w:r w:rsidR="00EE4FC3">
        <w:t xml:space="preserve"> </w:t>
      </w:r>
      <w:r w:rsidRPr="00382917">
        <w:t>this</w:t>
      </w:r>
      <w:r w:rsidR="00EE4FC3">
        <w:t xml:space="preserve"> </w:t>
      </w:r>
      <w:r w:rsidRPr="00382917">
        <w:t>old</w:t>
      </w:r>
      <w:r w:rsidR="00EE4FC3">
        <w:t xml:space="preserve"> </w:t>
      </w:r>
      <w:r w:rsidRPr="00382917">
        <w:t>prison</w:t>
      </w:r>
      <w:r w:rsidR="00EE4FC3">
        <w:t xml:space="preserve"> </w:t>
      </w:r>
      <w:r w:rsidRPr="00382917">
        <w:t>city.</w:t>
      </w:r>
    </w:p>
    <w:p w:rsidR="00E14AB4" w:rsidRPr="00382917" w:rsidRDefault="00E14AB4">
      <w:pPr>
        <w:widowControl/>
        <w:kinsoku/>
        <w:overflowPunct/>
        <w:textAlignment w:val="auto"/>
      </w:pPr>
      <w:r w:rsidRPr="00382917">
        <w:br w:type="page"/>
      </w:r>
    </w:p>
    <w:p w:rsidR="00806330" w:rsidRPr="00382917" w:rsidRDefault="00806330" w:rsidP="00E14AB4">
      <w:pPr>
        <w:pStyle w:val="Textcts"/>
      </w:pPr>
      <w:r w:rsidRPr="00382917">
        <w:t>Men</w:t>
      </w:r>
      <w:r w:rsidR="00EE4FC3">
        <w:t xml:space="preserve"> </w:t>
      </w:r>
      <w:r w:rsidRPr="00382917">
        <w:t>of</w:t>
      </w:r>
      <w:r w:rsidR="00EE4FC3">
        <w:t xml:space="preserve"> </w:t>
      </w:r>
      <w:r w:rsidRPr="00382917">
        <w:t>distinguished</w:t>
      </w:r>
      <w:r w:rsidR="00EE4FC3">
        <w:t xml:space="preserve"> </w:t>
      </w:r>
      <w:r w:rsidRPr="00382917">
        <w:t>merit,</w:t>
      </w:r>
      <w:r w:rsidR="00EE4FC3">
        <w:t xml:space="preserve"> </w:t>
      </w:r>
      <w:r w:rsidRPr="00382917">
        <w:t>eminent</w:t>
      </w:r>
      <w:r w:rsidR="00EE4FC3">
        <w:t xml:space="preserve"> </w:t>
      </w:r>
      <w:r w:rsidRPr="00382917">
        <w:t>members</w:t>
      </w:r>
      <w:r w:rsidR="00EE4FC3">
        <w:t xml:space="preserve"> </w:t>
      </w:r>
      <w:r w:rsidRPr="00382917">
        <w:t>of</w:t>
      </w:r>
      <w:r w:rsidR="00EE4FC3">
        <w:t xml:space="preserve"> </w:t>
      </w:r>
      <w:r w:rsidRPr="00382917">
        <w:t>the</w:t>
      </w:r>
      <w:r w:rsidR="00EE4FC3">
        <w:t xml:space="preserve"> </w:t>
      </w:r>
      <w:r w:rsidRPr="00382917">
        <w:t>clergy,</w:t>
      </w:r>
      <w:r w:rsidR="00EE4FC3">
        <w:t xml:space="preserve"> </w:t>
      </w:r>
      <w:r w:rsidRPr="00382917">
        <w:t>and</w:t>
      </w:r>
      <w:r w:rsidR="00EE4FC3">
        <w:t xml:space="preserve"> </w:t>
      </w:r>
      <w:r w:rsidRPr="00382917">
        <w:t>even</w:t>
      </w:r>
      <w:r w:rsidR="00EE4FC3">
        <w:t xml:space="preserve"> </w:t>
      </w:r>
      <w:r w:rsidRPr="00382917">
        <w:t>government</w:t>
      </w:r>
      <w:r w:rsidR="00EE4FC3">
        <w:t xml:space="preserve"> </w:t>
      </w:r>
      <w:r w:rsidRPr="00382917">
        <w:t>officials</w:t>
      </w:r>
      <w:r w:rsidR="00EE4FC3">
        <w:t xml:space="preserve"> </w:t>
      </w:r>
      <w:r w:rsidRPr="00382917">
        <w:t>were</w:t>
      </w:r>
      <w:r w:rsidR="00EE4FC3">
        <w:t xml:space="preserve"> </w:t>
      </w:r>
      <w:r w:rsidRPr="00382917">
        <w:t>openly</w:t>
      </w:r>
      <w:r w:rsidR="00EE4FC3">
        <w:t xml:space="preserve"> </w:t>
      </w:r>
      <w:r w:rsidRPr="00382917">
        <w:t>and</w:t>
      </w:r>
      <w:r w:rsidR="00EE4FC3">
        <w:t xml:space="preserve"> </w:t>
      </w:r>
      <w:r w:rsidRPr="00382917">
        <w:t>rapidly</w:t>
      </w:r>
      <w:r w:rsidR="00EE4FC3">
        <w:t xml:space="preserve"> </w:t>
      </w:r>
      <w:r w:rsidRPr="00382917">
        <w:t>embracing</w:t>
      </w:r>
      <w:r w:rsidR="00EE4FC3">
        <w:t xml:space="preserve"> </w:t>
      </w:r>
      <w:r w:rsidRPr="00382917">
        <w:t>the</w:t>
      </w:r>
      <w:r w:rsidR="00EE4FC3">
        <w:t xml:space="preserve"> </w:t>
      </w:r>
      <w:r w:rsidRPr="00382917">
        <w:t>Faith</w:t>
      </w:r>
      <w:r w:rsidR="00EE4FC3">
        <w:t xml:space="preserve"> </w:t>
      </w:r>
      <w:r w:rsidRPr="00382917">
        <w:t>of</w:t>
      </w:r>
      <w:r w:rsidR="00EE4FC3">
        <w:t xml:space="preserve"> </w:t>
      </w:r>
      <w:r w:rsidRPr="00382917">
        <w:t>the</w:t>
      </w:r>
      <w:r w:rsidR="00EE4FC3">
        <w:t xml:space="preserve"> </w:t>
      </w:r>
      <w:r w:rsidRPr="00382917">
        <w:t>Báb.</w:t>
      </w:r>
    </w:p>
    <w:p w:rsidR="00806330" w:rsidRPr="00382917" w:rsidRDefault="00806330" w:rsidP="00E14AB4">
      <w:pPr>
        <w:pStyle w:val="Text"/>
      </w:pPr>
      <w:r w:rsidRPr="00382917">
        <w:t>One</w:t>
      </w:r>
      <w:r w:rsidR="00EE4FC3">
        <w:t xml:space="preserve"> </w:t>
      </w:r>
      <w:r w:rsidRPr="00382917">
        <w:t>of</w:t>
      </w:r>
      <w:r w:rsidR="00EE4FC3">
        <w:t xml:space="preserve"> </w:t>
      </w:r>
      <w:r w:rsidRPr="00382917">
        <w:t>the</w:t>
      </w:r>
      <w:r w:rsidR="00EE4FC3">
        <w:t xml:space="preserve"> </w:t>
      </w:r>
      <w:r w:rsidRPr="00382917">
        <w:t>most</w:t>
      </w:r>
      <w:r w:rsidR="00EE4FC3">
        <w:t xml:space="preserve"> </w:t>
      </w:r>
      <w:r w:rsidRPr="00382917">
        <w:t>outstanding</w:t>
      </w:r>
      <w:r w:rsidR="00EE4FC3">
        <w:t xml:space="preserve"> </w:t>
      </w:r>
      <w:r w:rsidRPr="00382917">
        <w:t>literary</w:t>
      </w:r>
      <w:r w:rsidR="00EE4FC3">
        <w:t xml:space="preserve"> </w:t>
      </w:r>
      <w:r w:rsidRPr="00382917">
        <w:t>figures</w:t>
      </w:r>
      <w:r w:rsidR="00EE4FC3">
        <w:t xml:space="preserve"> </w:t>
      </w:r>
      <w:r w:rsidRPr="00382917">
        <w:t>of</w:t>
      </w:r>
      <w:r w:rsidR="00EE4FC3">
        <w:t xml:space="preserve"> </w:t>
      </w:r>
      <w:r w:rsidRPr="00382917">
        <w:t>the</w:t>
      </w:r>
      <w:r w:rsidR="00EE4FC3">
        <w:t xml:space="preserve"> </w:t>
      </w:r>
      <w:r w:rsidRPr="00382917">
        <w:t>land,</w:t>
      </w:r>
      <w:r w:rsidR="00EE4FC3">
        <w:t xml:space="preserve"> </w:t>
      </w:r>
      <w:r w:rsidRPr="00382917">
        <w:t>who</w:t>
      </w:r>
      <w:r w:rsidR="00EE4FC3">
        <w:t xml:space="preserve"> </w:t>
      </w:r>
      <w:r w:rsidRPr="00382917">
        <w:t>was</w:t>
      </w:r>
      <w:r w:rsidR="00EE4FC3">
        <w:t xml:space="preserve"> </w:t>
      </w:r>
      <w:r w:rsidRPr="00382917">
        <w:t>also</w:t>
      </w:r>
      <w:r w:rsidR="00EE4FC3">
        <w:t xml:space="preserve"> </w:t>
      </w:r>
      <w:r w:rsidRPr="00382917">
        <w:t>a</w:t>
      </w:r>
      <w:r w:rsidR="00EE4FC3">
        <w:t xml:space="preserve"> </w:t>
      </w:r>
      <w:r w:rsidRPr="00382917">
        <w:t>high</w:t>
      </w:r>
      <w:r w:rsidR="00EE4FC3">
        <w:t xml:space="preserve"> </w:t>
      </w:r>
      <w:r w:rsidRPr="00382917">
        <w:t>government</w:t>
      </w:r>
      <w:r w:rsidR="00EE4FC3">
        <w:t xml:space="preserve"> </w:t>
      </w:r>
      <w:r w:rsidRPr="00382917">
        <w:t>official,</w:t>
      </w:r>
      <w:r w:rsidR="00EE4FC3">
        <w:t xml:space="preserve"> </w:t>
      </w:r>
      <w:r w:rsidRPr="00382917">
        <w:t>accepted</w:t>
      </w:r>
      <w:r w:rsidR="00EE4FC3">
        <w:t xml:space="preserve"> </w:t>
      </w:r>
      <w:r w:rsidRPr="00382917">
        <w:t>the</w:t>
      </w:r>
      <w:r w:rsidR="00EE4FC3">
        <w:t xml:space="preserve"> </w:t>
      </w:r>
      <w:r w:rsidRPr="00382917">
        <w:t>Báb</w:t>
      </w:r>
      <w:r w:rsidR="009C713D" w:rsidRPr="00382917">
        <w:t>’</w:t>
      </w:r>
      <w:r w:rsidRPr="00382917">
        <w:t>s</w:t>
      </w:r>
      <w:r w:rsidR="00EE4FC3">
        <w:t xml:space="preserve"> </w:t>
      </w:r>
      <w:r w:rsidRPr="00382917">
        <w:t>teaching</w:t>
      </w:r>
      <w:r w:rsidR="00EE4FC3">
        <w:t xml:space="preserve"> </w:t>
      </w:r>
      <w:r w:rsidRPr="00382917">
        <w:t>and</w:t>
      </w:r>
      <w:r w:rsidR="00EE4FC3">
        <w:t xml:space="preserve"> </w:t>
      </w:r>
      <w:r w:rsidRPr="00382917">
        <w:t>devoted</w:t>
      </w:r>
      <w:r w:rsidR="00EE4FC3">
        <w:t xml:space="preserve"> </w:t>
      </w:r>
      <w:r w:rsidRPr="00382917">
        <w:t>both</w:t>
      </w:r>
      <w:r w:rsidR="00EE4FC3">
        <w:t xml:space="preserve"> </w:t>
      </w:r>
      <w:r w:rsidRPr="00382917">
        <w:t>his</w:t>
      </w:r>
      <w:r w:rsidR="00EE4FC3">
        <w:t xml:space="preserve"> </w:t>
      </w:r>
      <w:r w:rsidRPr="00382917">
        <w:t>person</w:t>
      </w:r>
      <w:r w:rsidR="00EE4FC3">
        <w:t xml:space="preserve"> </w:t>
      </w:r>
      <w:r w:rsidRPr="00382917">
        <w:t>and</w:t>
      </w:r>
      <w:r w:rsidR="00EE4FC3">
        <w:t xml:space="preserve"> </w:t>
      </w:r>
      <w:r w:rsidRPr="00382917">
        <w:t>his</w:t>
      </w:r>
      <w:r w:rsidR="00EE4FC3">
        <w:t xml:space="preserve"> </w:t>
      </w:r>
      <w:r w:rsidRPr="00382917">
        <w:t>pen</w:t>
      </w:r>
      <w:r w:rsidR="00EE4FC3">
        <w:t xml:space="preserve"> </w:t>
      </w:r>
      <w:r w:rsidRPr="00382917">
        <w:t>to</w:t>
      </w:r>
      <w:r w:rsidR="00EE4FC3">
        <w:t xml:space="preserve"> </w:t>
      </w:r>
      <w:r w:rsidRPr="00382917">
        <w:t>the</w:t>
      </w:r>
      <w:r w:rsidR="00EE4FC3">
        <w:t xml:space="preserve"> </w:t>
      </w:r>
      <w:r w:rsidRPr="00382917">
        <w:t>spreading</w:t>
      </w:r>
      <w:r w:rsidR="00EE4FC3">
        <w:t xml:space="preserve"> </w:t>
      </w:r>
      <w:r w:rsidRPr="00382917">
        <w:t>of</w:t>
      </w:r>
      <w:r w:rsidR="00EE4FC3">
        <w:t xml:space="preserve"> </w:t>
      </w:r>
      <w:r w:rsidRPr="00382917">
        <w:t>His</w:t>
      </w:r>
      <w:r w:rsidR="00EE4FC3">
        <w:t xml:space="preserve"> </w:t>
      </w:r>
      <w:r w:rsidRPr="00382917">
        <w:t>Faith</w:t>
      </w:r>
      <w:r w:rsidR="00A93643">
        <w:t>.</w:t>
      </w:r>
      <w:r w:rsidR="00EE4FC3">
        <w:t xml:space="preserve">  </w:t>
      </w:r>
      <w:r w:rsidRPr="00382917">
        <w:t>He</w:t>
      </w:r>
      <w:r w:rsidR="00EE4FC3">
        <w:t xml:space="preserve"> </w:t>
      </w:r>
      <w:r w:rsidRPr="00382917">
        <w:t>was</w:t>
      </w:r>
      <w:r w:rsidR="00EE4FC3">
        <w:t xml:space="preserve"> </w:t>
      </w:r>
      <w:r w:rsidRPr="00382917">
        <w:t>called</w:t>
      </w:r>
      <w:r w:rsidR="00EE4FC3">
        <w:t xml:space="preserve"> </w:t>
      </w:r>
      <w:r w:rsidRPr="00382917">
        <w:t>Dayyán</w:t>
      </w:r>
      <w:r w:rsidR="00EE4FC3">
        <w:t xml:space="preserve"> </w:t>
      </w:r>
      <w:r w:rsidRPr="00382917">
        <w:t>by</w:t>
      </w:r>
      <w:r w:rsidR="00EE4FC3">
        <w:t xml:space="preserve"> </w:t>
      </w:r>
      <w:r w:rsidRPr="00382917">
        <w:t>the</w:t>
      </w:r>
      <w:r w:rsidR="00EE4FC3">
        <w:t xml:space="preserve"> </w:t>
      </w:r>
      <w:r w:rsidRPr="00382917">
        <w:t>Báb</w:t>
      </w:r>
      <w:r w:rsidR="00A93643">
        <w:t>.</w:t>
      </w:r>
      <w:r w:rsidR="00EE4FC3">
        <w:t xml:space="preserve">  </w:t>
      </w:r>
      <w:r w:rsidRPr="00382917">
        <w:t>Previously,</w:t>
      </w:r>
      <w:r w:rsidR="00EE4FC3">
        <w:t xml:space="preserve"> </w:t>
      </w:r>
      <w:r w:rsidRPr="00382917">
        <w:t>Dayyán</w:t>
      </w:r>
      <w:r w:rsidR="00EE4FC3">
        <w:t xml:space="preserve"> </w:t>
      </w:r>
      <w:r w:rsidRPr="00382917">
        <w:t>had</w:t>
      </w:r>
      <w:r w:rsidR="00EE4FC3">
        <w:t xml:space="preserve"> </w:t>
      </w:r>
      <w:r w:rsidRPr="00382917">
        <w:t>denounced</w:t>
      </w:r>
      <w:r w:rsidR="00EE4FC3">
        <w:t xml:space="preserve"> </w:t>
      </w:r>
      <w:r w:rsidRPr="00382917">
        <w:t>the</w:t>
      </w:r>
      <w:r w:rsidR="00EE4FC3">
        <w:t xml:space="preserve"> </w:t>
      </w:r>
      <w:r w:rsidRPr="00382917">
        <w:t>Báb</w:t>
      </w:r>
      <w:r w:rsidR="00EE4FC3">
        <w:t xml:space="preserve"> </w:t>
      </w:r>
      <w:r w:rsidRPr="00382917">
        <w:t>and</w:t>
      </w:r>
      <w:r w:rsidR="00EE4FC3">
        <w:t xml:space="preserve"> </w:t>
      </w:r>
      <w:r w:rsidRPr="00382917">
        <w:t>His</w:t>
      </w:r>
      <w:r w:rsidR="00EE4FC3">
        <w:t xml:space="preserve"> </w:t>
      </w:r>
      <w:r w:rsidRPr="00382917">
        <w:t>Message</w:t>
      </w:r>
      <w:r w:rsidR="00A93643">
        <w:t>.</w:t>
      </w:r>
      <w:r w:rsidR="00EE4FC3">
        <w:t xml:space="preserve">  </w:t>
      </w:r>
      <w:r w:rsidRPr="00382917">
        <w:t>Then</w:t>
      </w:r>
      <w:r w:rsidR="00EE4FC3">
        <w:t xml:space="preserve"> </w:t>
      </w:r>
      <w:r w:rsidRPr="00382917">
        <w:t>one</w:t>
      </w:r>
      <w:r w:rsidR="00EE4FC3">
        <w:t xml:space="preserve"> </w:t>
      </w:r>
      <w:r w:rsidRPr="00382917">
        <w:t>night</w:t>
      </w:r>
      <w:r w:rsidR="00EE4FC3">
        <w:t xml:space="preserve"> </w:t>
      </w:r>
      <w:r w:rsidRPr="00382917">
        <w:t>he</w:t>
      </w:r>
      <w:r w:rsidR="00EE4FC3">
        <w:t xml:space="preserve"> </w:t>
      </w:r>
      <w:r w:rsidRPr="00382917">
        <w:t>had</w:t>
      </w:r>
      <w:r w:rsidR="00EE4FC3">
        <w:t xml:space="preserve"> </w:t>
      </w:r>
      <w:r w:rsidRPr="00382917">
        <w:t>a</w:t>
      </w:r>
      <w:r w:rsidR="00EE4FC3">
        <w:t xml:space="preserve"> </w:t>
      </w:r>
      <w:r w:rsidRPr="00382917">
        <w:t>dream,</w:t>
      </w:r>
      <w:r w:rsidR="00EE4FC3">
        <w:t xml:space="preserve"> </w:t>
      </w:r>
      <w:r w:rsidRPr="00382917">
        <w:t>after</w:t>
      </w:r>
      <w:r w:rsidR="00EE4FC3">
        <w:t xml:space="preserve"> </w:t>
      </w:r>
      <w:r w:rsidRPr="00382917">
        <w:t>which</w:t>
      </w:r>
      <w:r w:rsidR="00EE4FC3">
        <w:t xml:space="preserve"> </w:t>
      </w:r>
      <w:r w:rsidRPr="00382917">
        <w:t>he</w:t>
      </w:r>
      <w:r w:rsidR="00EE4FC3">
        <w:t xml:space="preserve"> </w:t>
      </w:r>
      <w:r w:rsidRPr="00382917">
        <w:t>wrote</w:t>
      </w:r>
      <w:r w:rsidR="00EE4FC3">
        <w:t xml:space="preserve"> </w:t>
      </w:r>
      <w:r w:rsidRPr="00382917">
        <w:t>to</w:t>
      </w:r>
      <w:r w:rsidR="00EE4FC3">
        <w:t xml:space="preserve"> </w:t>
      </w:r>
      <w:r w:rsidRPr="00382917">
        <w:t>the</w:t>
      </w:r>
      <w:r w:rsidR="00EE4FC3">
        <w:t xml:space="preserve"> </w:t>
      </w:r>
      <w:r w:rsidRPr="00382917">
        <w:t>Báb,</w:t>
      </w:r>
      <w:r w:rsidR="00EE4FC3">
        <w:t xml:space="preserve"> </w:t>
      </w:r>
      <w:r w:rsidRPr="00382917">
        <w:t>saying,</w:t>
      </w:r>
      <w:r w:rsidR="00EE4FC3">
        <w:t xml:space="preserve"> </w:t>
      </w:r>
      <w:r w:rsidR="009C713D" w:rsidRPr="00382917">
        <w:t>“</w:t>
      </w:r>
      <w:r w:rsidRPr="00382917">
        <w:t>I</w:t>
      </w:r>
      <w:r w:rsidR="00EE4FC3">
        <w:t xml:space="preserve"> </w:t>
      </w:r>
      <w:r w:rsidRPr="00382917">
        <w:t>have</w:t>
      </w:r>
      <w:r w:rsidR="00EE4FC3">
        <w:t xml:space="preserve"> </w:t>
      </w:r>
      <w:r w:rsidRPr="00382917">
        <w:t>definite</w:t>
      </w:r>
      <w:r w:rsidR="00EE4FC3">
        <w:t xml:space="preserve"> </w:t>
      </w:r>
      <w:r w:rsidRPr="00382917">
        <w:t>things</w:t>
      </w:r>
      <w:r w:rsidR="00EE4FC3">
        <w:t xml:space="preserve"> </w:t>
      </w:r>
      <w:r w:rsidRPr="00382917">
        <w:t>in</w:t>
      </w:r>
      <w:r w:rsidR="00EE4FC3">
        <w:t xml:space="preserve"> </w:t>
      </w:r>
      <w:r w:rsidRPr="00382917">
        <w:t>my</w:t>
      </w:r>
      <w:r w:rsidR="00EE4FC3">
        <w:t xml:space="preserve"> </w:t>
      </w:r>
      <w:r w:rsidRPr="00382917">
        <w:t>mind</w:t>
      </w:r>
      <w:r w:rsidR="00A93643">
        <w:t>.</w:t>
      </w:r>
      <w:r w:rsidR="00EE4FC3">
        <w:t xml:space="preserve">  </w:t>
      </w:r>
      <w:r w:rsidRPr="00382917">
        <w:t>I</w:t>
      </w:r>
      <w:r w:rsidR="00EE4FC3">
        <w:t xml:space="preserve"> </w:t>
      </w:r>
      <w:r w:rsidRPr="00382917">
        <w:t>request</w:t>
      </w:r>
      <w:r w:rsidR="00EE4FC3">
        <w:t xml:space="preserve"> </w:t>
      </w:r>
      <w:r w:rsidRPr="00382917">
        <w:t>you</w:t>
      </w:r>
      <w:r w:rsidR="00EE4FC3">
        <w:t xml:space="preserve"> </w:t>
      </w:r>
      <w:r w:rsidRPr="00382917">
        <w:t>to</w:t>
      </w:r>
      <w:r w:rsidR="00EE4FC3">
        <w:t xml:space="preserve"> </w:t>
      </w:r>
      <w:r w:rsidRPr="00382917">
        <w:t>reveal</w:t>
      </w:r>
      <w:r w:rsidR="00EE4FC3">
        <w:t xml:space="preserve"> </w:t>
      </w:r>
      <w:r w:rsidRPr="00382917">
        <w:t>to</w:t>
      </w:r>
      <w:r w:rsidR="00EE4FC3">
        <w:t xml:space="preserve"> </w:t>
      </w:r>
      <w:r w:rsidRPr="00382917">
        <w:t>me</w:t>
      </w:r>
      <w:r w:rsidR="00EE4FC3">
        <w:t xml:space="preserve"> </w:t>
      </w:r>
      <w:r w:rsidRPr="00382917">
        <w:t>their</w:t>
      </w:r>
      <w:r w:rsidR="00EE4FC3">
        <w:t xml:space="preserve"> </w:t>
      </w:r>
      <w:r w:rsidRPr="00382917">
        <w:t>nature.</w:t>
      </w:r>
      <w:r w:rsidR="009C713D" w:rsidRPr="00382917">
        <w:t>”</w:t>
      </w:r>
      <w:r w:rsidR="00EE4FC3">
        <w:t xml:space="preserve">  </w:t>
      </w:r>
      <w:r w:rsidRPr="00382917">
        <w:t>A</w:t>
      </w:r>
      <w:r w:rsidR="00EE4FC3">
        <w:t xml:space="preserve"> </w:t>
      </w:r>
      <w:r w:rsidRPr="00382917">
        <w:t>few</w:t>
      </w:r>
      <w:r w:rsidR="00EE4FC3">
        <w:t xml:space="preserve"> </w:t>
      </w:r>
      <w:r w:rsidRPr="00382917">
        <w:t>days</w:t>
      </w:r>
      <w:r w:rsidR="00EE4FC3">
        <w:t xml:space="preserve"> </w:t>
      </w:r>
      <w:r w:rsidRPr="00382917">
        <w:t>later</w:t>
      </w:r>
      <w:r w:rsidR="00EE4FC3">
        <w:t xml:space="preserve"> </w:t>
      </w:r>
      <w:r w:rsidRPr="00382917">
        <w:t>he</w:t>
      </w:r>
      <w:r w:rsidR="00EE4FC3">
        <w:t xml:space="preserve"> </w:t>
      </w:r>
      <w:r w:rsidRPr="00382917">
        <w:t>received</w:t>
      </w:r>
      <w:r w:rsidR="00EE4FC3">
        <w:t xml:space="preserve"> </w:t>
      </w:r>
      <w:r w:rsidRPr="00382917">
        <w:t>a</w:t>
      </w:r>
      <w:r w:rsidR="00EE4FC3">
        <w:t xml:space="preserve"> </w:t>
      </w:r>
      <w:r w:rsidRPr="00382917">
        <w:t>reply</w:t>
      </w:r>
      <w:r w:rsidR="00EE4FC3">
        <w:t xml:space="preserve"> </w:t>
      </w:r>
      <w:r w:rsidRPr="00382917">
        <w:t>penned</w:t>
      </w:r>
      <w:r w:rsidR="00EE4FC3">
        <w:t xml:space="preserve"> </w:t>
      </w:r>
      <w:r w:rsidRPr="00382917">
        <w:t>by</w:t>
      </w:r>
      <w:r w:rsidR="00EE4FC3">
        <w:t xml:space="preserve"> </w:t>
      </w:r>
      <w:r w:rsidRPr="00382917">
        <w:t>the</w:t>
      </w:r>
      <w:r w:rsidR="00EE4FC3">
        <w:t xml:space="preserve"> </w:t>
      </w:r>
      <w:r w:rsidRPr="00382917">
        <w:t>Báb</w:t>
      </w:r>
      <w:r w:rsidR="00EE4FC3">
        <w:t xml:space="preserve"> </w:t>
      </w:r>
      <w:r w:rsidRPr="00382917">
        <w:t>in</w:t>
      </w:r>
      <w:r w:rsidR="00EE4FC3">
        <w:t xml:space="preserve"> </w:t>
      </w:r>
      <w:r w:rsidRPr="00382917">
        <w:t>which</w:t>
      </w:r>
      <w:r w:rsidR="00EE4FC3">
        <w:t xml:space="preserve"> </w:t>
      </w:r>
      <w:r w:rsidRPr="00382917">
        <w:t>He</w:t>
      </w:r>
      <w:r w:rsidR="00EE4FC3">
        <w:t xml:space="preserve"> </w:t>
      </w:r>
      <w:r w:rsidRPr="00382917">
        <w:t>described</w:t>
      </w:r>
      <w:r w:rsidR="00EE4FC3">
        <w:t xml:space="preserve"> </w:t>
      </w:r>
      <w:r w:rsidRPr="00382917">
        <w:t>the</w:t>
      </w:r>
      <w:r w:rsidR="00EE4FC3">
        <w:t xml:space="preserve"> </w:t>
      </w:r>
      <w:r w:rsidRPr="00382917">
        <w:t>dream</w:t>
      </w:r>
      <w:r w:rsidR="00EE4FC3">
        <w:t xml:space="preserve"> </w:t>
      </w:r>
      <w:r w:rsidRPr="00382917">
        <w:t>and</w:t>
      </w:r>
      <w:r w:rsidR="00EE4FC3">
        <w:t xml:space="preserve"> </w:t>
      </w:r>
      <w:r w:rsidRPr="00382917">
        <w:t>revealed</w:t>
      </w:r>
      <w:r w:rsidR="00EE4FC3">
        <w:t xml:space="preserve"> </w:t>
      </w:r>
      <w:r w:rsidRPr="00382917">
        <w:t>the</w:t>
      </w:r>
      <w:r w:rsidR="00EE4FC3">
        <w:t xml:space="preserve"> </w:t>
      </w:r>
      <w:r w:rsidRPr="00382917">
        <w:t>exact</w:t>
      </w:r>
      <w:r w:rsidR="00EE4FC3">
        <w:t xml:space="preserve"> </w:t>
      </w:r>
      <w:r w:rsidRPr="00382917">
        <w:t>words</w:t>
      </w:r>
      <w:r w:rsidR="00EE4FC3">
        <w:t xml:space="preserve"> </w:t>
      </w:r>
      <w:r w:rsidRPr="00382917">
        <w:t>that</w:t>
      </w:r>
      <w:r w:rsidR="00EE4FC3">
        <w:t xml:space="preserve"> </w:t>
      </w:r>
      <w:r w:rsidRPr="00382917">
        <w:t>were</w:t>
      </w:r>
      <w:r w:rsidR="00EE4FC3">
        <w:t xml:space="preserve"> </w:t>
      </w:r>
      <w:r w:rsidRPr="00382917">
        <w:t>in</w:t>
      </w:r>
      <w:r w:rsidR="00EE4FC3">
        <w:t xml:space="preserve"> </w:t>
      </w:r>
      <w:proofErr w:type="spellStart"/>
      <w:r w:rsidRPr="00382917">
        <w:t>Dayyán</w:t>
      </w:r>
      <w:r w:rsidR="009C713D" w:rsidRPr="00382917">
        <w:t>’</w:t>
      </w:r>
      <w:r w:rsidRPr="00382917">
        <w:t>s</w:t>
      </w:r>
      <w:proofErr w:type="spellEnd"/>
      <w:r w:rsidR="00EE4FC3">
        <w:t xml:space="preserve"> </w:t>
      </w:r>
      <w:r w:rsidRPr="00382917">
        <w:t>mind</w:t>
      </w:r>
      <w:r w:rsidR="00A93643">
        <w:t>.</w:t>
      </w:r>
      <w:r w:rsidR="00EE4FC3">
        <w:t xml:space="preserve">  </w:t>
      </w:r>
      <w:r w:rsidRPr="00382917">
        <w:t>The</w:t>
      </w:r>
      <w:r w:rsidR="00EE4FC3">
        <w:t xml:space="preserve"> </w:t>
      </w:r>
      <w:r w:rsidRPr="00382917">
        <w:t>accuracy</w:t>
      </w:r>
      <w:r w:rsidR="00EE4FC3">
        <w:t xml:space="preserve"> </w:t>
      </w:r>
      <w:r w:rsidRPr="00382917">
        <w:t>of</w:t>
      </w:r>
      <w:r w:rsidR="00EE4FC3">
        <w:t xml:space="preserve"> </w:t>
      </w:r>
      <w:r w:rsidRPr="00382917">
        <w:t>that</w:t>
      </w:r>
      <w:r w:rsidR="00EE4FC3">
        <w:t xml:space="preserve"> </w:t>
      </w:r>
      <w:r w:rsidRPr="00382917">
        <w:t>reply</w:t>
      </w:r>
      <w:r w:rsidR="00EE4FC3">
        <w:t xml:space="preserve"> </w:t>
      </w:r>
      <w:r w:rsidRPr="00382917">
        <w:t>brought</w:t>
      </w:r>
      <w:r w:rsidR="00EE4FC3">
        <w:t xml:space="preserve"> </w:t>
      </w:r>
      <w:r w:rsidRPr="00382917">
        <w:t>about</w:t>
      </w:r>
      <w:r w:rsidR="00EE4FC3">
        <w:t xml:space="preserve"> </w:t>
      </w:r>
      <w:r w:rsidRPr="00382917">
        <w:t>his</w:t>
      </w:r>
      <w:r w:rsidR="00EE4FC3">
        <w:t xml:space="preserve"> </w:t>
      </w:r>
      <w:r w:rsidRPr="00382917">
        <w:t>complete</w:t>
      </w:r>
      <w:r w:rsidR="00EE4FC3">
        <w:t xml:space="preserve"> </w:t>
      </w:r>
      <w:r w:rsidRPr="00382917">
        <w:t>conversion</w:t>
      </w:r>
      <w:r w:rsidR="00A93643">
        <w:t>.</w:t>
      </w:r>
      <w:r w:rsidR="00EE4FC3">
        <w:t xml:space="preserve">  </w:t>
      </w:r>
      <w:r w:rsidRPr="00382917">
        <w:t>He</w:t>
      </w:r>
      <w:r w:rsidR="00EE4FC3">
        <w:t xml:space="preserve"> </w:t>
      </w:r>
      <w:r w:rsidRPr="00382917">
        <w:t>went</w:t>
      </w:r>
      <w:r w:rsidR="00EE4FC3">
        <w:t xml:space="preserve"> </w:t>
      </w:r>
      <w:r w:rsidRPr="00382917">
        <w:t>on</w:t>
      </w:r>
      <w:r w:rsidR="00EE4FC3">
        <w:t xml:space="preserve"> </w:t>
      </w:r>
      <w:r w:rsidRPr="00382917">
        <w:t>foot</w:t>
      </w:r>
      <w:r w:rsidR="00EE4FC3">
        <w:t xml:space="preserve"> </w:t>
      </w:r>
      <w:r w:rsidRPr="00382917">
        <w:t>to</w:t>
      </w:r>
      <w:r w:rsidR="00EE4FC3">
        <w:t xml:space="preserve"> </w:t>
      </w:r>
      <w:r w:rsidRPr="00382917">
        <w:t>the</w:t>
      </w:r>
      <w:r w:rsidR="00EE4FC3">
        <w:t xml:space="preserve"> </w:t>
      </w:r>
      <w:r w:rsidRPr="00382917">
        <w:t>mountain</w:t>
      </w:r>
      <w:r w:rsidR="00EE4FC3">
        <w:t xml:space="preserve"> </w:t>
      </w:r>
      <w:r w:rsidRPr="00382917">
        <w:t>to</w:t>
      </w:r>
      <w:r w:rsidR="00EE4FC3">
        <w:t xml:space="preserve"> </w:t>
      </w:r>
      <w:r w:rsidRPr="00382917">
        <w:t>meet</w:t>
      </w:r>
      <w:r w:rsidR="00EE4FC3">
        <w:t xml:space="preserve"> </w:t>
      </w:r>
      <w:r w:rsidRPr="00382917">
        <w:t>the</w:t>
      </w:r>
      <w:r w:rsidR="00EE4FC3">
        <w:t xml:space="preserve"> </w:t>
      </w:r>
      <w:r w:rsidRPr="00382917">
        <w:t>Báb</w:t>
      </w:r>
      <w:r w:rsidR="00A93643">
        <w:t>.</w:t>
      </w:r>
      <w:r w:rsidR="00EE4FC3">
        <w:t xml:space="preserve">  </w:t>
      </w:r>
      <w:r w:rsidRPr="00382917">
        <w:t>This</w:t>
      </w:r>
      <w:r w:rsidR="00EE4FC3">
        <w:t xml:space="preserve"> </w:t>
      </w:r>
      <w:r w:rsidRPr="00382917">
        <w:t>meeting</w:t>
      </w:r>
      <w:r w:rsidR="00EE4FC3">
        <w:t xml:space="preserve"> </w:t>
      </w:r>
      <w:r w:rsidRPr="00382917">
        <w:t>excited</w:t>
      </w:r>
      <w:r w:rsidR="00EE4FC3">
        <w:t xml:space="preserve"> </w:t>
      </w:r>
      <w:r w:rsidRPr="00382917">
        <w:t>in</w:t>
      </w:r>
      <w:r w:rsidR="00EE4FC3">
        <w:t xml:space="preserve"> </w:t>
      </w:r>
      <w:r w:rsidRPr="00382917">
        <w:t>him</w:t>
      </w:r>
      <w:r w:rsidR="00EE4FC3">
        <w:t xml:space="preserve"> </w:t>
      </w:r>
      <w:r w:rsidRPr="00382917">
        <w:t>a</w:t>
      </w:r>
      <w:r w:rsidR="00EE4FC3">
        <w:t xml:space="preserve"> </w:t>
      </w:r>
      <w:r w:rsidRPr="00382917">
        <w:t>fiery</w:t>
      </w:r>
      <w:r w:rsidR="00EE4FC3">
        <w:t xml:space="preserve"> </w:t>
      </w:r>
      <w:proofErr w:type="spellStart"/>
      <w:r w:rsidRPr="00382917">
        <w:t>ardor</w:t>
      </w:r>
      <w:proofErr w:type="spellEnd"/>
      <w:r w:rsidR="00EE4FC3">
        <w:t xml:space="preserve"> </w:t>
      </w:r>
      <w:r w:rsidRPr="00382917">
        <w:t>which</w:t>
      </w:r>
      <w:r w:rsidR="00EE4FC3">
        <w:t xml:space="preserve"> </w:t>
      </w:r>
      <w:r w:rsidRPr="00382917">
        <w:t>lasted</w:t>
      </w:r>
      <w:r w:rsidR="00EE4FC3">
        <w:t xml:space="preserve"> </w:t>
      </w:r>
      <w:r w:rsidRPr="00382917">
        <w:t>to</w:t>
      </w:r>
      <w:r w:rsidR="00EE4FC3">
        <w:t xml:space="preserve"> </w:t>
      </w:r>
      <w:r w:rsidRPr="00382917">
        <w:t>the</w:t>
      </w:r>
      <w:r w:rsidR="00EE4FC3">
        <w:t xml:space="preserve"> </w:t>
      </w:r>
      <w:r w:rsidRPr="00382917">
        <w:t>end</w:t>
      </w:r>
      <w:r w:rsidR="00EE4FC3">
        <w:t xml:space="preserve"> </w:t>
      </w:r>
      <w:r w:rsidRPr="00382917">
        <w:t>of</w:t>
      </w:r>
      <w:r w:rsidR="00EE4FC3">
        <w:t xml:space="preserve"> </w:t>
      </w:r>
      <w:r w:rsidRPr="00382917">
        <w:t>his</w:t>
      </w:r>
      <w:r w:rsidR="00EE4FC3">
        <w:t xml:space="preserve"> </w:t>
      </w:r>
      <w:r w:rsidRPr="00382917">
        <w:t>life.</w:t>
      </w:r>
    </w:p>
    <w:p w:rsidR="00806330" w:rsidRPr="00382917" w:rsidRDefault="00806330" w:rsidP="00A93643">
      <w:pPr>
        <w:pStyle w:val="Text"/>
      </w:pPr>
      <w:r w:rsidRPr="00382917">
        <w:t>The</w:t>
      </w:r>
      <w:r w:rsidR="00EE4FC3">
        <w:t xml:space="preserve"> </w:t>
      </w:r>
      <w:r w:rsidRPr="00382917">
        <w:t>Báb</w:t>
      </w:r>
      <w:r w:rsidR="00EE4FC3">
        <w:t xml:space="preserve"> </w:t>
      </w:r>
      <w:r w:rsidRPr="00382917">
        <w:t>knew</w:t>
      </w:r>
      <w:r w:rsidR="00EE4FC3">
        <w:t xml:space="preserve"> </w:t>
      </w:r>
      <w:r w:rsidRPr="00382917">
        <w:t>that</w:t>
      </w:r>
      <w:r w:rsidR="00EE4FC3">
        <w:t xml:space="preserve"> </w:t>
      </w:r>
      <w:r w:rsidRPr="00382917">
        <w:t>the</w:t>
      </w:r>
      <w:r w:rsidR="00EE4FC3">
        <w:t xml:space="preserve"> </w:t>
      </w:r>
      <w:r w:rsidRPr="00382917">
        <w:t>hour</w:t>
      </w:r>
      <w:r w:rsidR="00EE4FC3">
        <w:t xml:space="preserve"> </w:t>
      </w:r>
      <w:r w:rsidRPr="00382917">
        <w:t>of</w:t>
      </w:r>
      <w:r w:rsidR="00EE4FC3">
        <w:t xml:space="preserve"> </w:t>
      </w:r>
      <w:r w:rsidRPr="00382917">
        <w:t>his</w:t>
      </w:r>
      <w:r w:rsidR="00EE4FC3">
        <w:t xml:space="preserve"> </w:t>
      </w:r>
      <w:r w:rsidRPr="00382917">
        <w:t>deeper</w:t>
      </w:r>
      <w:r w:rsidR="00EE4FC3">
        <w:t xml:space="preserve"> </w:t>
      </w:r>
      <w:r w:rsidRPr="00382917">
        <w:t>affliction</w:t>
      </w:r>
      <w:r w:rsidR="00EE4FC3">
        <w:t xml:space="preserve"> </w:t>
      </w:r>
      <w:r w:rsidRPr="00382917">
        <w:t>was</w:t>
      </w:r>
      <w:r w:rsidR="00EE4FC3">
        <w:t xml:space="preserve"> </w:t>
      </w:r>
      <w:r w:rsidRPr="00382917">
        <w:t>approaching</w:t>
      </w:r>
      <w:r w:rsidR="00A93643">
        <w:t>.</w:t>
      </w:r>
      <w:r w:rsidR="00EE4FC3">
        <w:t xml:space="preserve">  </w:t>
      </w:r>
      <w:r w:rsidRPr="00382917">
        <w:t>He</w:t>
      </w:r>
      <w:r w:rsidR="00EE4FC3">
        <w:t xml:space="preserve"> </w:t>
      </w:r>
      <w:r w:rsidRPr="00382917">
        <w:t>told</w:t>
      </w:r>
      <w:r w:rsidR="00EE4FC3">
        <w:t xml:space="preserve"> </w:t>
      </w:r>
      <w:r w:rsidRPr="00382917">
        <w:t>all</w:t>
      </w:r>
      <w:r w:rsidR="00EE4FC3">
        <w:t xml:space="preserve"> </w:t>
      </w:r>
      <w:r w:rsidRPr="00382917">
        <w:t>of</w:t>
      </w:r>
      <w:r w:rsidR="00EE4FC3">
        <w:t xml:space="preserve"> </w:t>
      </w:r>
      <w:r w:rsidRPr="00382917">
        <w:t>His</w:t>
      </w:r>
      <w:r w:rsidR="00EE4FC3">
        <w:t xml:space="preserve"> </w:t>
      </w:r>
      <w:r w:rsidRPr="00382917">
        <w:t>followers</w:t>
      </w:r>
      <w:r w:rsidR="00EE4FC3">
        <w:t xml:space="preserve"> </w:t>
      </w:r>
      <w:r w:rsidRPr="00382917">
        <w:t>who</w:t>
      </w:r>
      <w:r w:rsidR="00EE4FC3">
        <w:t xml:space="preserve"> </w:t>
      </w:r>
      <w:r w:rsidRPr="00382917">
        <w:t>had</w:t>
      </w:r>
      <w:r w:rsidR="00EE4FC3">
        <w:t xml:space="preserve"> </w:t>
      </w:r>
      <w:r w:rsidRPr="00382917">
        <w:t>gathered</w:t>
      </w:r>
      <w:r w:rsidR="00EE4FC3">
        <w:t xml:space="preserve"> </w:t>
      </w:r>
      <w:r w:rsidRPr="00382917">
        <w:t>in</w:t>
      </w:r>
      <w:r w:rsidR="00EE4FC3">
        <w:t xml:space="preserve"> </w:t>
      </w:r>
      <w:r w:rsidR="001713B3" w:rsidRPr="001713B3">
        <w:rPr>
          <w:u w:val="single"/>
        </w:rPr>
        <w:t>Ch</w:t>
      </w:r>
      <w:r w:rsidR="001713B3" w:rsidRPr="00382917">
        <w:t>ihríq</w:t>
      </w:r>
      <w:r w:rsidR="00EE4FC3">
        <w:t xml:space="preserve"> </w:t>
      </w:r>
      <w:r w:rsidRPr="00382917">
        <w:t>to</w:t>
      </w:r>
      <w:r w:rsidR="00EE4FC3">
        <w:t xml:space="preserve"> </w:t>
      </w:r>
      <w:r w:rsidRPr="00382917">
        <w:t>disperse</w:t>
      </w:r>
      <w:r w:rsidR="00EE4FC3">
        <w:t xml:space="preserve"> </w:t>
      </w:r>
      <w:r w:rsidRPr="00382917">
        <w:t>and</w:t>
      </w:r>
      <w:r w:rsidR="00EE4FC3">
        <w:t xml:space="preserve"> </w:t>
      </w:r>
      <w:r w:rsidRPr="00382917">
        <w:t>to</w:t>
      </w:r>
      <w:r w:rsidR="00EE4FC3">
        <w:t xml:space="preserve"> </w:t>
      </w:r>
      <w:r w:rsidRPr="00382917">
        <w:t>return</w:t>
      </w:r>
      <w:r w:rsidR="00EE4FC3">
        <w:t xml:space="preserve"> </w:t>
      </w:r>
      <w:r w:rsidRPr="00382917">
        <w:t>home</w:t>
      </w:r>
      <w:r w:rsidR="00EE4FC3">
        <w:t xml:space="preserve"> </w:t>
      </w:r>
      <w:r w:rsidRPr="00382917">
        <w:t>to</w:t>
      </w:r>
      <w:r w:rsidR="00EE4FC3">
        <w:t xml:space="preserve"> </w:t>
      </w:r>
      <w:r w:rsidRPr="00382917">
        <w:t>their</w:t>
      </w:r>
      <w:r w:rsidR="00EE4FC3">
        <w:t xml:space="preserve"> </w:t>
      </w:r>
      <w:r w:rsidRPr="00382917">
        <w:t>most</w:t>
      </w:r>
      <w:r w:rsidR="00EE4FC3">
        <w:t xml:space="preserve"> </w:t>
      </w:r>
      <w:r w:rsidRPr="00382917">
        <w:t>important</w:t>
      </w:r>
      <w:r w:rsidR="00EE4FC3">
        <w:t xml:space="preserve"> </w:t>
      </w:r>
      <w:r w:rsidRPr="00382917">
        <w:t>work,</w:t>
      </w:r>
      <w:r w:rsidR="00EE4FC3">
        <w:t xml:space="preserve"> </w:t>
      </w:r>
      <w:r w:rsidRPr="00382917">
        <w:t>teaching</w:t>
      </w:r>
      <w:r w:rsidR="00A93643">
        <w:t>.</w:t>
      </w:r>
      <w:r w:rsidR="00EE4FC3">
        <w:t xml:space="preserve">  </w:t>
      </w:r>
      <w:r w:rsidRPr="00382917">
        <w:t>He</w:t>
      </w:r>
      <w:r w:rsidR="00EE4FC3">
        <w:t xml:space="preserve"> </w:t>
      </w:r>
      <w:r w:rsidRPr="00382917">
        <w:t>instructed</w:t>
      </w:r>
      <w:r w:rsidR="00EE4FC3">
        <w:t xml:space="preserve"> </w:t>
      </w:r>
      <w:r w:rsidRPr="00382917">
        <w:t>the</w:t>
      </w:r>
      <w:r w:rsidR="00EE4FC3">
        <w:t xml:space="preserve"> </w:t>
      </w:r>
      <w:r w:rsidRPr="00382917">
        <w:t>believer</w:t>
      </w:r>
      <w:r w:rsidR="00EE4FC3">
        <w:t xml:space="preserve"> </w:t>
      </w:r>
      <w:r w:rsidRPr="00382917">
        <w:t>from</w:t>
      </w:r>
      <w:r w:rsidR="00EE4FC3">
        <w:t xml:space="preserve"> </w:t>
      </w:r>
      <w:r w:rsidRPr="00382917">
        <w:t>India</w:t>
      </w:r>
      <w:r w:rsidR="00EE4FC3">
        <w:t xml:space="preserve"> </w:t>
      </w:r>
      <w:r w:rsidRPr="00382917">
        <w:t>to</w:t>
      </w:r>
      <w:r w:rsidR="00EE4FC3">
        <w:t xml:space="preserve"> </w:t>
      </w:r>
      <w:r w:rsidRPr="00382917">
        <w:t>return</w:t>
      </w:r>
      <w:r w:rsidR="00EE4FC3">
        <w:t xml:space="preserve"> </w:t>
      </w:r>
      <w:r w:rsidRPr="00382917">
        <w:t>to</w:t>
      </w:r>
      <w:r w:rsidR="00EE4FC3">
        <w:t xml:space="preserve"> </w:t>
      </w:r>
      <w:r w:rsidRPr="00382917">
        <w:t>his</w:t>
      </w:r>
      <w:r w:rsidR="00EE4FC3">
        <w:t xml:space="preserve"> </w:t>
      </w:r>
      <w:r w:rsidRPr="00382917">
        <w:t>native</w:t>
      </w:r>
      <w:r w:rsidR="00EE4FC3">
        <w:t xml:space="preserve"> </w:t>
      </w:r>
      <w:r w:rsidRPr="00382917">
        <w:t>land</w:t>
      </w:r>
      <w:r w:rsidR="00EE4FC3">
        <w:t xml:space="preserve"> </w:t>
      </w:r>
      <w:r w:rsidRPr="00382917">
        <w:t>and</w:t>
      </w:r>
      <w:r w:rsidR="00EE4FC3">
        <w:t xml:space="preserve"> </w:t>
      </w:r>
      <w:r w:rsidRPr="00382917">
        <w:t>work</w:t>
      </w:r>
      <w:r w:rsidR="00EE4FC3">
        <w:t xml:space="preserve"> </w:t>
      </w:r>
      <w:r w:rsidRPr="00382917">
        <w:t>unceasingly</w:t>
      </w:r>
      <w:r w:rsidR="00EE4FC3">
        <w:t xml:space="preserve"> </w:t>
      </w:r>
      <w:r w:rsidRPr="00382917">
        <w:t>for</w:t>
      </w:r>
      <w:r w:rsidR="00EE4FC3">
        <w:t xml:space="preserve"> </w:t>
      </w:r>
      <w:r w:rsidRPr="00382917">
        <w:t>the</w:t>
      </w:r>
      <w:r w:rsidR="00EE4FC3">
        <w:t xml:space="preserve"> </w:t>
      </w:r>
      <w:r w:rsidRPr="00382917">
        <w:t>spread</w:t>
      </w:r>
      <w:r w:rsidR="00EE4FC3">
        <w:t xml:space="preserve"> </w:t>
      </w:r>
      <w:r w:rsidRPr="00382917">
        <w:t>of</w:t>
      </w:r>
      <w:r w:rsidR="00EE4FC3">
        <w:t xml:space="preserve"> </w:t>
      </w:r>
      <w:r w:rsidRPr="00382917">
        <w:t>the</w:t>
      </w:r>
      <w:r w:rsidR="00EE4FC3">
        <w:t xml:space="preserve"> </w:t>
      </w:r>
      <w:r w:rsidRPr="00382917">
        <w:t>Faith.</w:t>
      </w:r>
      <w:r w:rsidR="00EE4FC3">
        <w:t xml:space="preserve">  </w:t>
      </w:r>
      <w:r w:rsidRPr="00382917">
        <w:t>He</w:t>
      </w:r>
      <w:r w:rsidR="00EE4FC3">
        <w:t xml:space="preserve"> </w:t>
      </w:r>
      <w:r w:rsidRPr="00382917">
        <w:t>obeyed</w:t>
      </w:r>
      <w:r w:rsidR="00EE4FC3">
        <w:t xml:space="preserve"> </w:t>
      </w:r>
      <w:r w:rsidRPr="00382917">
        <w:t>the</w:t>
      </w:r>
      <w:r w:rsidR="00EE4FC3">
        <w:t xml:space="preserve"> </w:t>
      </w:r>
      <w:r w:rsidRPr="00382917">
        <w:t>Báb</w:t>
      </w:r>
      <w:r w:rsidR="00EE4FC3">
        <w:t xml:space="preserve"> </w:t>
      </w:r>
      <w:r w:rsidRPr="00382917">
        <w:t>at</w:t>
      </w:r>
      <w:r w:rsidR="00EE4FC3">
        <w:t xml:space="preserve"> </w:t>
      </w:r>
      <w:r w:rsidRPr="00382917">
        <w:t>once,</w:t>
      </w:r>
      <w:r w:rsidR="00EE4FC3">
        <w:t xml:space="preserve"> </w:t>
      </w:r>
      <w:r w:rsidRPr="00382917">
        <w:t>and</w:t>
      </w:r>
      <w:r w:rsidR="00EE4FC3">
        <w:t xml:space="preserve"> </w:t>
      </w:r>
      <w:r w:rsidRPr="00382917">
        <w:t>alone,</w:t>
      </w:r>
      <w:r w:rsidR="00EE4FC3">
        <w:t xml:space="preserve"> </w:t>
      </w:r>
      <w:r w:rsidRPr="00382917">
        <w:t>clad</w:t>
      </w:r>
      <w:r w:rsidR="00EE4FC3">
        <w:t xml:space="preserve"> </w:t>
      </w:r>
      <w:r w:rsidRPr="00382917">
        <w:t>in</w:t>
      </w:r>
      <w:r w:rsidR="00EE4FC3">
        <w:t xml:space="preserve"> </w:t>
      </w:r>
      <w:r w:rsidRPr="00382917">
        <w:t>simplest</w:t>
      </w:r>
      <w:r w:rsidR="00EE4FC3">
        <w:t xml:space="preserve"> </w:t>
      </w:r>
      <w:r w:rsidRPr="00382917">
        <w:t>attire,</w:t>
      </w:r>
      <w:r w:rsidR="00EE4FC3">
        <w:t xml:space="preserve"> </w:t>
      </w:r>
      <w:r w:rsidRPr="00382917">
        <w:t>staff</w:t>
      </w:r>
      <w:r w:rsidR="00EE4FC3">
        <w:t xml:space="preserve"> </w:t>
      </w:r>
      <w:r w:rsidRPr="00382917">
        <w:t>in</w:t>
      </w:r>
      <w:r w:rsidR="00EE4FC3">
        <w:t xml:space="preserve"> </w:t>
      </w:r>
      <w:r w:rsidRPr="00382917">
        <w:t>hand,</w:t>
      </w:r>
      <w:r w:rsidR="00EE4FC3">
        <w:t xml:space="preserve"> </w:t>
      </w:r>
      <w:r w:rsidRPr="00382917">
        <w:t>he</w:t>
      </w:r>
      <w:r w:rsidR="00EE4FC3">
        <w:t xml:space="preserve"> </w:t>
      </w:r>
      <w:r w:rsidRPr="00382917">
        <w:t>went</w:t>
      </w:r>
      <w:r w:rsidR="00EE4FC3">
        <w:t xml:space="preserve"> </w:t>
      </w:r>
      <w:r w:rsidRPr="00382917">
        <w:t>down</w:t>
      </w:r>
      <w:r w:rsidR="00EE4FC3">
        <w:t xml:space="preserve"> </w:t>
      </w:r>
      <w:r w:rsidRPr="00382917">
        <w:t>the</w:t>
      </w:r>
      <w:r w:rsidR="00EE4FC3">
        <w:t xml:space="preserve"> </w:t>
      </w:r>
      <w:r w:rsidRPr="00382917">
        <w:t>mountainside</w:t>
      </w:r>
      <w:r w:rsidR="00EE4FC3">
        <w:t xml:space="preserve"> </w:t>
      </w:r>
      <w:r w:rsidRPr="00382917">
        <w:t>and</w:t>
      </w:r>
      <w:r w:rsidR="00EE4FC3">
        <w:t xml:space="preserve"> </w:t>
      </w:r>
      <w:r w:rsidRPr="00382917">
        <w:t>walked</w:t>
      </w:r>
      <w:r w:rsidR="00EE4FC3">
        <w:t xml:space="preserve"> </w:t>
      </w:r>
      <w:r w:rsidRPr="00382917">
        <w:t>all</w:t>
      </w:r>
      <w:r w:rsidR="00EE4FC3">
        <w:t xml:space="preserve"> </w:t>
      </w:r>
      <w:r w:rsidRPr="00382917">
        <w:t>the</w:t>
      </w:r>
      <w:r w:rsidR="00EE4FC3">
        <w:t xml:space="preserve"> </w:t>
      </w:r>
      <w:r w:rsidRPr="00382917">
        <w:t>way</w:t>
      </w:r>
      <w:r w:rsidR="00EE4FC3">
        <w:t xml:space="preserve"> </w:t>
      </w:r>
      <w:r w:rsidRPr="00382917">
        <w:t>back</w:t>
      </w:r>
      <w:r w:rsidR="00EE4FC3">
        <w:t xml:space="preserve"> </w:t>
      </w:r>
      <w:r w:rsidRPr="00382917">
        <w:t>to</w:t>
      </w:r>
      <w:r w:rsidR="00EE4FC3">
        <w:t xml:space="preserve"> </w:t>
      </w:r>
      <w:r w:rsidRPr="00382917">
        <w:t>his</w:t>
      </w:r>
      <w:r w:rsidR="00EE4FC3">
        <w:t xml:space="preserve"> </w:t>
      </w:r>
      <w:r w:rsidRPr="00382917">
        <w:t>own</w:t>
      </w:r>
      <w:r w:rsidR="00EE4FC3">
        <w:t xml:space="preserve"> </w:t>
      </w:r>
      <w:r w:rsidRPr="00382917">
        <w:t>country,</w:t>
      </w:r>
      <w:r w:rsidR="00EE4FC3">
        <w:t xml:space="preserve"> </w:t>
      </w:r>
      <w:r w:rsidRPr="00382917">
        <w:t>teaching</w:t>
      </w:r>
      <w:r w:rsidR="00EE4FC3">
        <w:t xml:space="preserve"> </w:t>
      </w:r>
      <w:r w:rsidRPr="00382917">
        <w:t>in</w:t>
      </w:r>
      <w:r w:rsidR="00EE4FC3">
        <w:t xml:space="preserve"> </w:t>
      </w:r>
      <w:r w:rsidRPr="00382917">
        <w:t>every</w:t>
      </w:r>
      <w:r w:rsidR="00EE4FC3">
        <w:t xml:space="preserve"> </w:t>
      </w:r>
      <w:r w:rsidRPr="00382917">
        <w:t>village</w:t>
      </w:r>
      <w:r w:rsidR="00EE4FC3">
        <w:t xml:space="preserve"> </w:t>
      </w:r>
      <w:r w:rsidRPr="00382917">
        <w:t>along</w:t>
      </w:r>
      <w:r w:rsidR="00EE4FC3">
        <w:t xml:space="preserve"> </w:t>
      </w:r>
      <w:r w:rsidRPr="00382917">
        <w:t>the</w:t>
      </w:r>
      <w:r w:rsidR="00EE4FC3">
        <w:t xml:space="preserve"> </w:t>
      </w:r>
      <w:r w:rsidRPr="00382917">
        <w:t>way.</w:t>
      </w:r>
    </w:p>
    <w:p w:rsidR="00806330" w:rsidRPr="00382917" w:rsidRDefault="00806330" w:rsidP="00E14AB4">
      <w:pPr>
        <w:pStyle w:val="Text"/>
      </w:pPr>
      <w:r w:rsidRPr="00382917">
        <w:t>Calmly</w:t>
      </w:r>
      <w:r w:rsidR="00EE4FC3">
        <w:t xml:space="preserve"> </w:t>
      </w:r>
      <w:r w:rsidRPr="00382917">
        <w:t>the</w:t>
      </w:r>
      <w:r w:rsidR="00EE4FC3">
        <w:t xml:space="preserve"> </w:t>
      </w:r>
      <w:r w:rsidRPr="00382917">
        <w:t>Báb</w:t>
      </w:r>
      <w:r w:rsidR="00EE4FC3">
        <w:t xml:space="preserve"> </w:t>
      </w:r>
      <w:r w:rsidRPr="00382917">
        <w:t>waited</w:t>
      </w:r>
      <w:r w:rsidR="00EE4FC3">
        <w:t xml:space="preserve"> </w:t>
      </w:r>
      <w:r w:rsidRPr="00382917">
        <w:t>for</w:t>
      </w:r>
      <w:r w:rsidR="00EE4FC3">
        <w:t xml:space="preserve"> </w:t>
      </w:r>
      <w:r w:rsidRPr="00382917">
        <w:t>the</w:t>
      </w:r>
      <w:r w:rsidR="00EE4FC3">
        <w:t xml:space="preserve"> </w:t>
      </w:r>
      <w:r w:rsidRPr="00382917">
        <w:t>inevitable</w:t>
      </w:r>
      <w:r w:rsidR="00EE4FC3">
        <w:t xml:space="preserve"> </w:t>
      </w:r>
      <w:r w:rsidRPr="00382917">
        <w:t>edict</w:t>
      </w:r>
      <w:r w:rsidR="00EE4FC3">
        <w:t xml:space="preserve"> </w:t>
      </w:r>
      <w:r w:rsidRPr="00382917">
        <w:t>of</w:t>
      </w:r>
      <w:r w:rsidR="00EE4FC3">
        <w:t xml:space="preserve"> </w:t>
      </w:r>
      <w:r w:rsidRPr="00382917">
        <w:t>Ḥájí</w:t>
      </w:r>
      <w:r w:rsidR="00EE4FC3">
        <w:t xml:space="preserve"> </w:t>
      </w:r>
      <w:r w:rsidRPr="00382917">
        <w:t>Mírzá</w:t>
      </w:r>
      <w:r w:rsidR="00EE4FC3">
        <w:t xml:space="preserve"> </w:t>
      </w:r>
      <w:r w:rsidRPr="00382917">
        <w:t>Áqásí</w:t>
      </w:r>
      <w:r w:rsidR="00A93643">
        <w:t>.</w:t>
      </w:r>
      <w:r w:rsidR="00EE4FC3">
        <w:t xml:space="preserve">  </w:t>
      </w:r>
      <w:r w:rsidRPr="00382917">
        <w:t>It</w:t>
      </w:r>
      <w:r w:rsidR="00EE4FC3">
        <w:t xml:space="preserve"> </w:t>
      </w:r>
      <w:r w:rsidRPr="00382917">
        <w:t>was</w:t>
      </w:r>
      <w:r w:rsidR="00EE4FC3">
        <w:t xml:space="preserve"> </w:t>
      </w:r>
      <w:r w:rsidRPr="00382917">
        <w:t>not</w:t>
      </w:r>
      <w:r w:rsidR="00EE4FC3">
        <w:t xml:space="preserve"> </w:t>
      </w:r>
      <w:r w:rsidRPr="00382917">
        <w:t>long</w:t>
      </w:r>
      <w:r w:rsidR="00EE4FC3">
        <w:t xml:space="preserve"> </w:t>
      </w:r>
      <w:r w:rsidRPr="00382917">
        <w:t>in</w:t>
      </w:r>
      <w:r w:rsidR="00EE4FC3">
        <w:t xml:space="preserve"> </w:t>
      </w:r>
      <w:r w:rsidRPr="00382917">
        <w:t>coming</w:t>
      </w:r>
      <w:r w:rsidR="00A93643">
        <w:t>.</w:t>
      </w:r>
      <w:r w:rsidR="00EE4FC3">
        <w:t xml:space="preserve">  </w:t>
      </w:r>
      <w:r w:rsidRPr="00382917">
        <w:t>When</w:t>
      </w:r>
      <w:r w:rsidR="00EE4FC3">
        <w:t xml:space="preserve"> </w:t>
      </w:r>
      <w:r w:rsidRPr="00382917">
        <w:t>the</w:t>
      </w:r>
      <w:r w:rsidR="00EE4FC3">
        <w:t xml:space="preserve"> </w:t>
      </w:r>
      <w:r w:rsidRPr="00382917">
        <w:t>news</w:t>
      </w:r>
      <w:r w:rsidR="00EE4FC3">
        <w:t xml:space="preserve"> </w:t>
      </w:r>
      <w:r w:rsidRPr="00382917">
        <w:t>of</w:t>
      </w:r>
      <w:r w:rsidR="00EE4FC3">
        <w:t xml:space="preserve"> </w:t>
      </w:r>
      <w:r w:rsidRPr="00382917">
        <w:t>all</w:t>
      </w:r>
      <w:r w:rsidR="00EE4FC3">
        <w:t xml:space="preserve"> </w:t>
      </w:r>
      <w:r w:rsidRPr="00382917">
        <w:t>these</w:t>
      </w:r>
      <w:r w:rsidR="00EE4FC3">
        <w:t xml:space="preserve"> </w:t>
      </w:r>
      <w:r w:rsidRPr="00382917">
        <w:t>startling</w:t>
      </w:r>
      <w:r w:rsidR="00EE4FC3">
        <w:t xml:space="preserve"> </w:t>
      </w:r>
      <w:r w:rsidRPr="00382917">
        <w:t>events</w:t>
      </w:r>
      <w:r w:rsidR="00EE4FC3">
        <w:t xml:space="preserve"> </w:t>
      </w:r>
      <w:r w:rsidRPr="00382917">
        <w:t>reached</w:t>
      </w:r>
      <w:r w:rsidR="00EE4FC3">
        <w:t xml:space="preserve"> </w:t>
      </w:r>
      <w:r w:rsidRPr="00382917">
        <w:t>the</w:t>
      </w:r>
      <w:r w:rsidR="00EE4FC3">
        <w:t xml:space="preserve"> </w:t>
      </w:r>
      <w:r w:rsidRPr="00382917">
        <w:t>capital,</w:t>
      </w:r>
      <w:r w:rsidR="00EE4FC3">
        <w:t xml:space="preserve"> </w:t>
      </w:r>
      <w:r w:rsidRPr="00382917">
        <w:t>the</w:t>
      </w:r>
      <w:r w:rsidR="00EE4FC3">
        <w:t xml:space="preserve"> </w:t>
      </w:r>
      <w:r w:rsidRPr="00382917">
        <w:t>Prime</w:t>
      </w:r>
      <w:r w:rsidR="00EE4FC3">
        <w:t xml:space="preserve"> </w:t>
      </w:r>
      <w:r w:rsidRPr="00382917">
        <w:t>Minister</w:t>
      </w:r>
      <w:r w:rsidR="00EE4FC3">
        <w:t xml:space="preserve"> </w:t>
      </w:r>
      <w:r w:rsidRPr="00382917">
        <w:t>was</w:t>
      </w:r>
      <w:r w:rsidR="00EE4FC3">
        <w:t xml:space="preserve"> </w:t>
      </w:r>
      <w:r w:rsidRPr="00382917">
        <w:t>violent</w:t>
      </w:r>
      <w:r w:rsidR="00EE4FC3">
        <w:t xml:space="preserve"> </w:t>
      </w:r>
      <w:r w:rsidRPr="00382917">
        <w:t>in</w:t>
      </w:r>
      <w:r w:rsidR="00EE4FC3">
        <w:t xml:space="preserve"> </w:t>
      </w:r>
      <w:r w:rsidRPr="00382917">
        <w:t>his</w:t>
      </w:r>
      <w:r w:rsidR="00EE4FC3">
        <w:t xml:space="preserve"> </w:t>
      </w:r>
      <w:r w:rsidRPr="00382917">
        <w:t>anger</w:t>
      </w:r>
      <w:r w:rsidR="00A93643">
        <w:t>.</w:t>
      </w:r>
      <w:r w:rsidR="00EE4FC3">
        <w:t xml:space="preserve">  </w:t>
      </w:r>
      <w:r w:rsidRPr="00382917">
        <w:t>He</w:t>
      </w:r>
      <w:r w:rsidR="00EE4FC3">
        <w:t xml:space="preserve"> </w:t>
      </w:r>
      <w:r w:rsidRPr="00382917">
        <w:t>had</w:t>
      </w:r>
      <w:r w:rsidR="00EE4FC3">
        <w:t xml:space="preserve"> </w:t>
      </w:r>
      <w:r w:rsidRPr="00382917">
        <w:t>failed</w:t>
      </w:r>
      <w:r w:rsidR="00EE4FC3">
        <w:t xml:space="preserve"> </w:t>
      </w:r>
      <w:r w:rsidRPr="00382917">
        <w:t>again</w:t>
      </w:r>
      <w:r w:rsidR="00A93643">
        <w:t>.</w:t>
      </w:r>
      <w:r w:rsidR="00EE4FC3">
        <w:t xml:space="preserve">  </w:t>
      </w:r>
      <w:r w:rsidRPr="00382917">
        <w:t>He</w:t>
      </w:r>
      <w:r w:rsidR="00EE4FC3">
        <w:t xml:space="preserve"> </w:t>
      </w:r>
      <w:r w:rsidRPr="00382917">
        <w:t>knew</w:t>
      </w:r>
      <w:r w:rsidR="00EE4FC3">
        <w:t xml:space="preserve"> </w:t>
      </w:r>
      <w:r w:rsidRPr="00382917">
        <w:t>he</w:t>
      </w:r>
      <w:r w:rsidR="00EE4FC3">
        <w:t xml:space="preserve"> </w:t>
      </w:r>
      <w:r w:rsidRPr="00382917">
        <w:t>must</w:t>
      </w:r>
      <w:r w:rsidR="00EE4FC3">
        <w:t xml:space="preserve"> </w:t>
      </w:r>
      <w:r w:rsidRPr="00382917">
        <w:t>not</w:t>
      </w:r>
      <w:r w:rsidR="00EE4FC3">
        <w:t xml:space="preserve"> </w:t>
      </w:r>
      <w:r w:rsidRPr="00382917">
        <w:t>fail</w:t>
      </w:r>
      <w:r w:rsidR="00EE4FC3">
        <w:t xml:space="preserve"> </w:t>
      </w:r>
      <w:r w:rsidRPr="00382917">
        <w:t>a</w:t>
      </w:r>
      <w:r w:rsidR="00EE4FC3">
        <w:t xml:space="preserve"> </w:t>
      </w:r>
      <w:r w:rsidRPr="00382917">
        <w:t>third</w:t>
      </w:r>
      <w:r w:rsidR="00EE4FC3">
        <w:t xml:space="preserve"> </w:t>
      </w:r>
      <w:r w:rsidRPr="00382917">
        <w:t>time</w:t>
      </w:r>
      <w:r w:rsidR="00A93643">
        <w:t>.</w:t>
      </w:r>
      <w:r w:rsidR="00EE4FC3">
        <w:t xml:space="preserve">  </w:t>
      </w:r>
      <w:r w:rsidRPr="00382917">
        <w:t>He</w:t>
      </w:r>
      <w:r w:rsidR="00EE4FC3">
        <w:t xml:space="preserve"> </w:t>
      </w:r>
      <w:r w:rsidRPr="00382917">
        <w:t>demanded</w:t>
      </w:r>
      <w:r w:rsidR="00EE4FC3">
        <w:t xml:space="preserve"> </w:t>
      </w:r>
      <w:r w:rsidRPr="00382917">
        <w:t>that</w:t>
      </w:r>
      <w:r w:rsidR="00EE4FC3">
        <w:t xml:space="preserve"> </w:t>
      </w:r>
      <w:r w:rsidRPr="00382917">
        <w:t>the</w:t>
      </w:r>
      <w:r w:rsidR="00EE4FC3">
        <w:t xml:space="preserve"> </w:t>
      </w:r>
      <w:r w:rsidRPr="00382917">
        <w:t>Báb</w:t>
      </w:r>
      <w:r w:rsidR="00EE4FC3">
        <w:t xml:space="preserve"> </w:t>
      </w:r>
      <w:r w:rsidRPr="00382917">
        <w:t>be</w:t>
      </w:r>
      <w:r w:rsidR="00EE4FC3">
        <w:t xml:space="preserve"> </w:t>
      </w:r>
      <w:r w:rsidRPr="00382917">
        <w:t>transferred</w:t>
      </w:r>
      <w:r w:rsidR="00EE4FC3">
        <w:t xml:space="preserve"> </w:t>
      </w:r>
      <w:r w:rsidRPr="00382917">
        <w:t>at</w:t>
      </w:r>
      <w:r w:rsidR="00EE4FC3">
        <w:t xml:space="preserve"> </w:t>
      </w:r>
      <w:r w:rsidRPr="00382917">
        <w:t>once</w:t>
      </w:r>
      <w:r w:rsidR="00EE4FC3">
        <w:t xml:space="preserve"> </w:t>
      </w:r>
      <w:r w:rsidRPr="00382917">
        <w:t>from</w:t>
      </w:r>
      <w:r w:rsidR="00EE4FC3">
        <w:t xml:space="preserve"> </w:t>
      </w:r>
      <w:r w:rsidRPr="00382917">
        <w:t>the</w:t>
      </w:r>
      <w:r w:rsidR="00EE4FC3">
        <w:t xml:space="preserve"> </w:t>
      </w:r>
      <w:r w:rsidRPr="00382917">
        <w:t>prison</w:t>
      </w:r>
      <w:r w:rsidR="00EE4FC3">
        <w:t xml:space="preserve"> </w:t>
      </w:r>
      <w:r w:rsidRPr="00382917">
        <w:t>to</w:t>
      </w:r>
      <w:r w:rsidR="00EE4FC3">
        <w:t xml:space="preserve"> </w:t>
      </w:r>
      <w:r w:rsidRPr="00382917">
        <w:t>the</w:t>
      </w:r>
      <w:r w:rsidR="00EE4FC3">
        <w:t xml:space="preserve"> </w:t>
      </w:r>
      <w:r w:rsidRPr="00382917">
        <w:t>city</w:t>
      </w:r>
      <w:r w:rsidR="00EE4FC3">
        <w:t xml:space="preserve"> </w:t>
      </w:r>
      <w:r w:rsidRPr="00382917">
        <w:t>of</w:t>
      </w:r>
      <w:r w:rsidR="00EE4FC3">
        <w:t xml:space="preserve"> </w:t>
      </w:r>
      <w:r w:rsidRPr="00382917">
        <w:t>Tabríz</w:t>
      </w:r>
      <w:r w:rsidR="00A93643">
        <w:t>.</w:t>
      </w:r>
      <w:r w:rsidR="00EE4FC3">
        <w:t xml:space="preserve">  </w:t>
      </w:r>
      <w:r w:rsidRPr="00382917">
        <w:t>Strict</w:t>
      </w:r>
      <w:r w:rsidR="00EE4FC3">
        <w:t xml:space="preserve"> </w:t>
      </w:r>
      <w:r w:rsidRPr="00382917">
        <w:t>orders</w:t>
      </w:r>
      <w:r w:rsidR="00EE4FC3">
        <w:t xml:space="preserve"> </w:t>
      </w:r>
      <w:r w:rsidRPr="00382917">
        <w:t>were</w:t>
      </w:r>
      <w:r w:rsidR="00EE4FC3">
        <w:t xml:space="preserve"> </w:t>
      </w:r>
      <w:r w:rsidRPr="00382917">
        <w:t>given</w:t>
      </w:r>
      <w:r w:rsidR="00EE4FC3">
        <w:t xml:space="preserve"> </w:t>
      </w:r>
      <w:r w:rsidRPr="00382917">
        <w:t>to</w:t>
      </w:r>
      <w:r w:rsidR="00EE4FC3">
        <w:t xml:space="preserve"> </w:t>
      </w:r>
      <w:r w:rsidRPr="00382917">
        <w:t>avoid</w:t>
      </w:r>
      <w:r w:rsidR="00EE4FC3">
        <w:t xml:space="preserve"> </w:t>
      </w:r>
      <w:r w:rsidRPr="00382917">
        <w:t>any</w:t>
      </w:r>
      <w:r w:rsidR="00EE4FC3">
        <w:t xml:space="preserve"> </w:t>
      </w:r>
      <w:r w:rsidRPr="00382917">
        <w:t>contact</w:t>
      </w:r>
      <w:r w:rsidR="00EE4FC3">
        <w:t xml:space="preserve"> </w:t>
      </w:r>
      <w:r w:rsidRPr="00382917">
        <w:t>with</w:t>
      </w:r>
      <w:r w:rsidR="00EE4FC3">
        <w:t xml:space="preserve"> </w:t>
      </w:r>
      <w:r w:rsidRPr="00382917">
        <w:t>those</w:t>
      </w:r>
      <w:r w:rsidR="00EE4FC3">
        <w:t xml:space="preserve"> </w:t>
      </w:r>
      <w:r w:rsidRPr="00382917">
        <w:t>towns</w:t>
      </w:r>
      <w:r w:rsidR="00EE4FC3">
        <w:t xml:space="preserve"> </w:t>
      </w:r>
      <w:r w:rsidRPr="00382917">
        <w:t>to</w:t>
      </w:r>
      <w:r w:rsidR="00EE4FC3">
        <w:t xml:space="preserve"> </w:t>
      </w:r>
      <w:r w:rsidRPr="00382917">
        <w:t>which</w:t>
      </w:r>
      <w:r w:rsidR="00EE4FC3">
        <w:t xml:space="preserve"> </w:t>
      </w:r>
      <w:r w:rsidRPr="00382917">
        <w:t>the</w:t>
      </w:r>
      <w:r w:rsidR="00EE4FC3">
        <w:t xml:space="preserve"> </w:t>
      </w:r>
      <w:r w:rsidRPr="00382917">
        <w:t>Báb</w:t>
      </w:r>
      <w:r w:rsidR="009C713D" w:rsidRPr="00382917">
        <w:t>’</w:t>
      </w:r>
      <w:r w:rsidRPr="00382917">
        <w:t>s</w:t>
      </w:r>
      <w:r w:rsidR="00EE4FC3">
        <w:t xml:space="preserve"> </w:t>
      </w:r>
      <w:r w:rsidRPr="00382917">
        <w:t>influence</w:t>
      </w:r>
      <w:r w:rsidR="00EE4FC3">
        <w:t xml:space="preserve"> </w:t>
      </w:r>
      <w:r w:rsidRPr="00382917">
        <w:t>had</w:t>
      </w:r>
      <w:r w:rsidR="00EE4FC3">
        <w:t xml:space="preserve"> </w:t>
      </w:r>
      <w:r w:rsidRPr="00382917">
        <w:t>already</w:t>
      </w:r>
      <w:r w:rsidR="00EE4FC3">
        <w:t xml:space="preserve"> </w:t>
      </w:r>
      <w:r w:rsidRPr="00382917">
        <w:t>spread</w:t>
      </w:r>
      <w:r w:rsidR="00A93643">
        <w:t>.</w:t>
      </w:r>
      <w:r w:rsidR="00EE4FC3">
        <w:t xml:space="preserve">  </w:t>
      </w:r>
      <w:r w:rsidRPr="00382917">
        <w:t>He</w:t>
      </w:r>
      <w:r w:rsidR="00EE4FC3">
        <w:t xml:space="preserve"> </w:t>
      </w:r>
      <w:r w:rsidRPr="00382917">
        <w:t>was</w:t>
      </w:r>
      <w:r w:rsidR="00EE4FC3">
        <w:t xml:space="preserve"> </w:t>
      </w:r>
      <w:r w:rsidRPr="00382917">
        <w:t>to</w:t>
      </w:r>
      <w:r w:rsidR="00EE4FC3">
        <w:t xml:space="preserve"> </w:t>
      </w:r>
      <w:r w:rsidRPr="00382917">
        <w:t>be</w:t>
      </w:r>
      <w:r w:rsidR="00EE4FC3">
        <w:t xml:space="preserve"> </w:t>
      </w:r>
      <w:r w:rsidRPr="00382917">
        <w:t>brought</w:t>
      </w:r>
      <w:r w:rsidR="00EE4FC3">
        <w:t xml:space="preserve"> </w:t>
      </w:r>
      <w:r w:rsidRPr="00382917">
        <w:t>to</w:t>
      </w:r>
      <w:r w:rsidR="00EE4FC3">
        <w:t xml:space="preserve"> </w:t>
      </w:r>
      <w:r w:rsidRPr="00382917">
        <w:t>Tabríz</w:t>
      </w:r>
      <w:r w:rsidR="00EE4FC3">
        <w:t xml:space="preserve"> </w:t>
      </w:r>
      <w:r w:rsidRPr="00382917">
        <w:t>by</w:t>
      </w:r>
      <w:r w:rsidR="00EE4FC3">
        <w:t xml:space="preserve"> </w:t>
      </w:r>
      <w:r w:rsidRPr="00382917">
        <w:t>an</w:t>
      </w:r>
      <w:r w:rsidR="00EE4FC3">
        <w:t xml:space="preserve"> </w:t>
      </w:r>
      <w:r w:rsidRPr="00382917">
        <w:t>unsuspected</w:t>
      </w:r>
      <w:r w:rsidR="00EE4FC3">
        <w:t xml:space="preserve"> </w:t>
      </w:r>
      <w:r w:rsidRPr="00382917">
        <w:t>route</w:t>
      </w:r>
      <w:r w:rsidR="00EE4FC3">
        <w:t xml:space="preserve"> </w:t>
      </w:r>
      <w:r w:rsidRPr="00382917">
        <w:t>by</w:t>
      </w:r>
      <w:r w:rsidR="00EE4FC3">
        <w:t xml:space="preserve"> </w:t>
      </w:r>
      <w:r w:rsidRPr="00382917">
        <w:t>way</w:t>
      </w:r>
      <w:r w:rsidR="00EE4FC3">
        <w:t xml:space="preserve"> </w:t>
      </w:r>
      <w:r w:rsidRPr="00382917">
        <w:t>of</w:t>
      </w:r>
      <w:r w:rsidR="00EE4FC3">
        <w:t xml:space="preserve"> </w:t>
      </w:r>
      <w:r w:rsidRPr="00382917">
        <w:t>the</w:t>
      </w:r>
      <w:r w:rsidR="00EE4FC3">
        <w:t xml:space="preserve"> </w:t>
      </w:r>
      <w:r w:rsidRPr="00382917">
        <w:t>village</w:t>
      </w:r>
      <w:r w:rsidR="00EE4FC3">
        <w:t xml:space="preserve"> </w:t>
      </w:r>
      <w:r w:rsidRPr="00382917">
        <w:t>of</w:t>
      </w:r>
      <w:r w:rsidR="00EE4FC3">
        <w:t xml:space="preserve"> </w:t>
      </w:r>
      <w:r w:rsidRPr="00382917">
        <w:t>Urúmíyyih.</w:t>
      </w:r>
    </w:p>
    <w:p w:rsidR="00806330" w:rsidRPr="00382917" w:rsidRDefault="00806330" w:rsidP="00E14AB4">
      <w:pPr>
        <w:pStyle w:val="Text"/>
      </w:pPr>
      <w:r w:rsidRPr="00382917">
        <w:t>Such</w:t>
      </w:r>
      <w:r w:rsidR="00EE4FC3">
        <w:t xml:space="preserve"> </w:t>
      </w:r>
      <w:r w:rsidRPr="00382917">
        <w:t>a</w:t>
      </w:r>
      <w:r w:rsidR="00EE4FC3">
        <w:t xml:space="preserve"> </w:t>
      </w:r>
      <w:r w:rsidRPr="00382917">
        <w:t>secret,</w:t>
      </w:r>
      <w:r w:rsidR="00EE4FC3">
        <w:t xml:space="preserve"> </w:t>
      </w:r>
      <w:r w:rsidRPr="00382917">
        <w:t>however,</w:t>
      </w:r>
      <w:r w:rsidR="00EE4FC3">
        <w:t xml:space="preserve"> </w:t>
      </w:r>
      <w:r w:rsidRPr="00382917">
        <w:t>could</w:t>
      </w:r>
      <w:r w:rsidR="00EE4FC3">
        <w:t xml:space="preserve"> </w:t>
      </w:r>
      <w:r w:rsidRPr="00382917">
        <w:t>not</w:t>
      </w:r>
      <w:r w:rsidR="00EE4FC3">
        <w:t xml:space="preserve"> </w:t>
      </w:r>
      <w:r w:rsidRPr="00382917">
        <w:t>be</w:t>
      </w:r>
      <w:r w:rsidR="00EE4FC3">
        <w:t xml:space="preserve"> </w:t>
      </w:r>
      <w:r w:rsidRPr="00382917">
        <w:t>kept</w:t>
      </w:r>
      <w:r w:rsidR="00A93643">
        <w:t>.</w:t>
      </w:r>
      <w:r w:rsidR="00EE4FC3">
        <w:t xml:space="preserve">  </w:t>
      </w:r>
      <w:r w:rsidRPr="00382917">
        <w:t>On</w:t>
      </w:r>
      <w:r w:rsidR="00EE4FC3">
        <w:t xml:space="preserve"> </w:t>
      </w:r>
      <w:r w:rsidRPr="00382917">
        <w:t>His</w:t>
      </w:r>
      <w:r w:rsidR="00EE4FC3">
        <w:t xml:space="preserve"> </w:t>
      </w:r>
      <w:r w:rsidRPr="00382917">
        <w:t>arrival</w:t>
      </w:r>
      <w:r w:rsidR="00EE4FC3">
        <w:t xml:space="preserve"> </w:t>
      </w:r>
      <w:r w:rsidRPr="00382917">
        <w:t>in</w:t>
      </w:r>
      <w:r w:rsidR="00EE4FC3">
        <w:t xml:space="preserve"> </w:t>
      </w:r>
      <w:r w:rsidRPr="00382917">
        <w:t>Urúmíyyih,</w:t>
      </w:r>
      <w:r w:rsidR="00EE4FC3">
        <w:t xml:space="preserve"> </w:t>
      </w:r>
      <w:r w:rsidRPr="00382917">
        <w:t>the</w:t>
      </w:r>
      <w:r w:rsidR="00EE4FC3">
        <w:t xml:space="preserve"> </w:t>
      </w:r>
      <w:r w:rsidRPr="00382917">
        <w:t>prince</w:t>
      </w:r>
      <w:r w:rsidR="00EE4FC3">
        <w:t xml:space="preserve"> </w:t>
      </w:r>
      <w:r w:rsidRPr="00382917">
        <w:t>Malik</w:t>
      </w:r>
      <w:r w:rsidR="00EE4FC3">
        <w:t xml:space="preserve"> </w:t>
      </w:r>
      <w:r w:rsidRPr="00382917">
        <w:t>Qásim</w:t>
      </w:r>
      <w:r w:rsidR="00EE4FC3">
        <w:t xml:space="preserve"> </w:t>
      </w:r>
      <w:r w:rsidRPr="00382917">
        <w:t>Mírzá</w:t>
      </w:r>
      <w:r w:rsidR="00EE4FC3">
        <w:t xml:space="preserve"> </w:t>
      </w:r>
      <w:r w:rsidRPr="00382917">
        <w:t>respectfully</w:t>
      </w:r>
      <w:r w:rsidR="00EE4FC3">
        <w:t xml:space="preserve"> </w:t>
      </w:r>
      <w:r w:rsidRPr="00382917">
        <w:t>received</w:t>
      </w:r>
      <w:r w:rsidR="00EE4FC3">
        <w:t xml:space="preserve"> </w:t>
      </w:r>
      <w:r w:rsidRPr="00382917">
        <w:t>Him,</w:t>
      </w:r>
      <w:r w:rsidR="00EE4FC3">
        <w:t xml:space="preserve"> </w:t>
      </w:r>
      <w:r w:rsidRPr="00382917">
        <w:t>and</w:t>
      </w:r>
      <w:r w:rsidR="00EE4FC3">
        <w:t xml:space="preserve"> </w:t>
      </w:r>
      <w:r w:rsidRPr="00382917">
        <w:t>gave</w:t>
      </w:r>
      <w:r w:rsidR="00EE4FC3">
        <w:t xml:space="preserve"> </w:t>
      </w:r>
      <w:r w:rsidRPr="00382917">
        <w:t>the</w:t>
      </w:r>
      <w:r w:rsidR="00EE4FC3">
        <w:t xml:space="preserve"> </w:t>
      </w:r>
      <w:r w:rsidRPr="00382917">
        <w:t>Báb</w:t>
      </w:r>
      <w:r w:rsidR="00EE4FC3">
        <w:t xml:space="preserve"> </w:t>
      </w:r>
      <w:r w:rsidRPr="00382917">
        <w:t>a</w:t>
      </w:r>
      <w:r w:rsidR="00EE4FC3">
        <w:t xml:space="preserve"> </w:t>
      </w:r>
      <w:r w:rsidRPr="00382917">
        <w:t>guard</w:t>
      </w:r>
      <w:r w:rsidR="00EE4FC3">
        <w:t xml:space="preserve"> </w:t>
      </w:r>
      <w:r w:rsidRPr="00382917">
        <w:t>of</w:t>
      </w:r>
      <w:r w:rsidR="00EE4FC3">
        <w:t xml:space="preserve"> </w:t>
      </w:r>
      <w:r w:rsidRPr="00382917">
        <w:t>footmen</w:t>
      </w:r>
      <w:r w:rsidR="00EE4FC3">
        <w:t xml:space="preserve"> </w:t>
      </w:r>
      <w:r w:rsidRPr="00382917">
        <w:t>to</w:t>
      </w:r>
      <w:r w:rsidR="00EE4FC3">
        <w:t xml:space="preserve"> </w:t>
      </w:r>
      <w:r w:rsidRPr="00382917">
        <w:t>hold</w:t>
      </w:r>
      <w:r w:rsidR="00EE4FC3">
        <w:t xml:space="preserve"> </w:t>
      </w:r>
      <w:r w:rsidRPr="00382917">
        <w:t>back</w:t>
      </w:r>
      <w:r w:rsidR="00EE4FC3">
        <w:t xml:space="preserve"> </w:t>
      </w:r>
      <w:r w:rsidRPr="00382917">
        <w:t>the</w:t>
      </w:r>
      <w:r w:rsidR="00EE4FC3">
        <w:t xml:space="preserve"> </w:t>
      </w:r>
      <w:r w:rsidRPr="00382917">
        <w:t>gathering</w:t>
      </w:r>
      <w:r w:rsidR="00EE4FC3">
        <w:t xml:space="preserve"> </w:t>
      </w:r>
      <w:r w:rsidRPr="00382917">
        <w:t>crowd</w:t>
      </w:r>
      <w:r w:rsidR="00A93643">
        <w:t>.</w:t>
      </w:r>
      <w:r w:rsidR="00EE4FC3">
        <w:t xml:space="preserve">  </w:t>
      </w:r>
      <w:r w:rsidRPr="00382917">
        <w:t>The</w:t>
      </w:r>
      <w:r w:rsidR="00EE4FC3">
        <w:t xml:space="preserve"> </w:t>
      </w:r>
      <w:r w:rsidRPr="00382917">
        <w:t>people</w:t>
      </w:r>
      <w:r w:rsidR="00EE4FC3">
        <w:t xml:space="preserve"> </w:t>
      </w:r>
      <w:r w:rsidRPr="00382917">
        <w:t>were</w:t>
      </w:r>
      <w:r w:rsidR="00EE4FC3">
        <w:t xml:space="preserve"> </w:t>
      </w:r>
      <w:r w:rsidRPr="00382917">
        <w:t>crushing</w:t>
      </w:r>
      <w:r w:rsidR="00EE4FC3">
        <w:t xml:space="preserve"> </w:t>
      </w:r>
      <w:r w:rsidRPr="00382917">
        <w:t>against</w:t>
      </w:r>
      <w:r w:rsidR="00EE4FC3">
        <w:t xml:space="preserve"> </w:t>
      </w:r>
      <w:r w:rsidRPr="00382917">
        <w:t>each</w:t>
      </w:r>
      <w:r w:rsidR="00EE4FC3">
        <w:t xml:space="preserve"> </w:t>
      </w:r>
      <w:r w:rsidRPr="00382917">
        <w:t>other</w:t>
      </w:r>
      <w:r w:rsidR="00EE4FC3">
        <w:t xml:space="preserve"> </w:t>
      </w:r>
      <w:r w:rsidRPr="00382917">
        <w:t>in</w:t>
      </w:r>
      <w:r w:rsidR="00EE4FC3">
        <w:t xml:space="preserve"> </w:t>
      </w:r>
      <w:r w:rsidRPr="00382917">
        <w:t>their</w:t>
      </w:r>
      <w:r w:rsidR="00EE4FC3">
        <w:t xml:space="preserve"> </w:t>
      </w:r>
      <w:r w:rsidRPr="00382917">
        <w:t>eagerness</w:t>
      </w:r>
      <w:r w:rsidR="00EE4FC3">
        <w:t xml:space="preserve"> </w:t>
      </w:r>
      <w:r w:rsidRPr="00382917">
        <w:t>to</w:t>
      </w:r>
      <w:r w:rsidR="00EE4FC3">
        <w:t xml:space="preserve"> </w:t>
      </w:r>
      <w:r w:rsidRPr="00382917">
        <w:t>catch</w:t>
      </w:r>
      <w:r w:rsidR="00EE4FC3">
        <w:t xml:space="preserve"> </w:t>
      </w:r>
      <w:r w:rsidRPr="00382917">
        <w:t>a</w:t>
      </w:r>
      <w:r w:rsidR="00EE4FC3">
        <w:t xml:space="preserve"> </w:t>
      </w:r>
      <w:r w:rsidRPr="00382917">
        <w:t>glimpse</w:t>
      </w:r>
      <w:r w:rsidR="00EE4FC3">
        <w:t xml:space="preserve"> </w:t>
      </w:r>
      <w:r w:rsidRPr="00382917">
        <w:t>of</w:t>
      </w:r>
      <w:r w:rsidR="00EE4FC3">
        <w:t xml:space="preserve"> </w:t>
      </w:r>
      <w:r w:rsidRPr="00382917">
        <w:t>so</w:t>
      </w:r>
      <w:r w:rsidR="00EE4FC3">
        <w:t xml:space="preserve"> </w:t>
      </w:r>
      <w:proofErr w:type="spellStart"/>
      <w:r w:rsidRPr="00382917">
        <w:t>marvelous</w:t>
      </w:r>
      <w:proofErr w:type="spellEnd"/>
      <w:r w:rsidR="00EE4FC3">
        <w:t xml:space="preserve"> </w:t>
      </w:r>
      <w:r w:rsidRPr="00382917">
        <w:t>a</w:t>
      </w:r>
      <w:r w:rsidR="00EE4FC3">
        <w:t xml:space="preserve"> </w:t>
      </w:r>
      <w:r w:rsidRPr="00382917">
        <w:t>Prisoner.</w:t>
      </w:r>
    </w:p>
    <w:p w:rsidR="00806330" w:rsidRPr="00382917" w:rsidRDefault="00806330" w:rsidP="00E14AB4">
      <w:pPr>
        <w:pStyle w:val="Text"/>
      </w:pPr>
      <w:r w:rsidRPr="00382917">
        <w:t>Arrangements</w:t>
      </w:r>
      <w:r w:rsidR="00EE4FC3">
        <w:t xml:space="preserve"> </w:t>
      </w:r>
      <w:r w:rsidRPr="00382917">
        <w:t>were</w:t>
      </w:r>
      <w:r w:rsidR="00EE4FC3">
        <w:t xml:space="preserve"> </w:t>
      </w:r>
      <w:r w:rsidRPr="00382917">
        <w:t>made</w:t>
      </w:r>
      <w:r w:rsidR="00EE4FC3">
        <w:t xml:space="preserve"> </w:t>
      </w:r>
      <w:r w:rsidRPr="00382917">
        <w:t>for</w:t>
      </w:r>
      <w:r w:rsidR="00EE4FC3">
        <w:t xml:space="preserve"> </w:t>
      </w:r>
      <w:r w:rsidRPr="00382917">
        <w:t>the</w:t>
      </w:r>
      <w:r w:rsidR="00EE4FC3">
        <w:t xml:space="preserve"> </w:t>
      </w:r>
      <w:r w:rsidRPr="00382917">
        <w:t>Báb</w:t>
      </w:r>
      <w:r w:rsidR="00EE4FC3">
        <w:t xml:space="preserve"> </w:t>
      </w:r>
      <w:r w:rsidRPr="00382917">
        <w:t>to</w:t>
      </w:r>
      <w:r w:rsidR="00EE4FC3">
        <w:t xml:space="preserve"> </w:t>
      </w:r>
      <w:r w:rsidRPr="00382917">
        <w:t>go</w:t>
      </w:r>
      <w:r w:rsidR="00EE4FC3">
        <w:t xml:space="preserve"> </w:t>
      </w:r>
      <w:r w:rsidRPr="00382917">
        <w:t>to</w:t>
      </w:r>
      <w:r w:rsidR="00EE4FC3">
        <w:t xml:space="preserve"> </w:t>
      </w:r>
      <w:r w:rsidRPr="00382917">
        <w:t>the</w:t>
      </w:r>
      <w:r w:rsidR="00EE4FC3">
        <w:t xml:space="preserve"> </w:t>
      </w:r>
      <w:r w:rsidRPr="00382917">
        <w:t>public</w:t>
      </w:r>
      <w:r w:rsidR="00EE4FC3">
        <w:t xml:space="preserve"> </w:t>
      </w:r>
      <w:r w:rsidRPr="00382917">
        <w:t>bath</w:t>
      </w:r>
      <w:r w:rsidR="00A93643">
        <w:t>.</w:t>
      </w:r>
      <w:r w:rsidR="00EE4FC3">
        <w:t xml:space="preserve">  </w:t>
      </w:r>
      <w:r w:rsidRPr="00382917">
        <w:t>The</w:t>
      </w:r>
      <w:r w:rsidR="00EE4FC3">
        <w:t xml:space="preserve"> </w:t>
      </w:r>
      <w:r w:rsidRPr="00382917">
        <w:t>prince</w:t>
      </w:r>
      <w:r w:rsidR="00EE4FC3">
        <w:t xml:space="preserve"> </w:t>
      </w:r>
      <w:r w:rsidRPr="00382917">
        <w:t>was</w:t>
      </w:r>
      <w:r w:rsidR="00EE4FC3">
        <w:t xml:space="preserve"> </w:t>
      </w:r>
      <w:r w:rsidRPr="00382917">
        <w:t>anxious</w:t>
      </w:r>
      <w:r w:rsidR="00EE4FC3">
        <w:t xml:space="preserve"> </w:t>
      </w:r>
      <w:r w:rsidRPr="00382917">
        <w:t>to</w:t>
      </w:r>
      <w:r w:rsidR="00EE4FC3">
        <w:t xml:space="preserve"> </w:t>
      </w:r>
      <w:r w:rsidRPr="00382917">
        <w:t>test</w:t>
      </w:r>
      <w:r w:rsidR="00EE4FC3">
        <w:t xml:space="preserve"> </w:t>
      </w:r>
      <w:r w:rsidRPr="00382917">
        <w:t>the</w:t>
      </w:r>
      <w:r w:rsidR="00EE4FC3">
        <w:t xml:space="preserve"> </w:t>
      </w:r>
      <w:r w:rsidRPr="00382917">
        <w:t>power</w:t>
      </w:r>
      <w:r w:rsidR="00EE4FC3">
        <w:t xml:space="preserve"> </w:t>
      </w:r>
      <w:r w:rsidRPr="00382917">
        <w:t>and</w:t>
      </w:r>
      <w:r w:rsidR="00EE4FC3">
        <w:t xml:space="preserve"> </w:t>
      </w:r>
      <w:r w:rsidRPr="00382917">
        <w:t>courage</w:t>
      </w:r>
      <w:r w:rsidR="00EE4FC3">
        <w:t xml:space="preserve"> </w:t>
      </w:r>
      <w:r w:rsidRPr="00382917">
        <w:t>of</w:t>
      </w:r>
      <w:r w:rsidR="00EE4FC3">
        <w:t xml:space="preserve"> </w:t>
      </w:r>
      <w:r w:rsidRPr="00382917">
        <w:t>his</w:t>
      </w:r>
      <w:r w:rsidR="00EE4FC3">
        <w:t xml:space="preserve"> </w:t>
      </w:r>
      <w:r w:rsidRPr="00382917">
        <w:t>Guest,</w:t>
      </w:r>
    </w:p>
    <w:p w:rsidR="00E14AB4" w:rsidRPr="00382917" w:rsidRDefault="00E14AB4">
      <w:pPr>
        <w:widowControl/>
        <w:kinsoku/>
        <w:overflowPunct/>
        <w:textAlignment w:val="auto"/>
      </w:pPr>
      <w:r w:rsidRPr="00382917">
        <w:br w:type="page"/>
      </w:r>
    </w:p>
    <w:p w:rsidR="00447F64" w:rsidRPr="00382917" w:rsidRDefault="00447F64" w:rsidP="00447F64">
      <w:pPr>
        <w:pStyle w:val="Textcts"/>
      </w:pPr>
      <w:proofErr w:type="gramStart"/>
      <w:r w:rsidRPr="00382917">
        <w:t>having</w:t>
      </w:r>
      <w:proofErr w:type="gramEnd"/>
      <w:r w:rsidR="00EE4FC3">
        <w:t xml:space="preserve"> </w:t>
      </w:r>
      <w:r w:rsidRPr="00382917">
        <w:t>heard</w:t>
      </w:r>
      <w:r w:rsidR="00EE4FC3">
        <w:t xml:space="preserve"> </w:t>
      </w:r>
      <w:r w:rsidRPr="00382917">
        <w:t>such</w:t>
      </w:r>
      <w:r w:rsidR="00EE4FC3">
        <w:t xml:space="preserve"> </w:t>
      </w:r>
      <w:r w:rsidRPr="00382917">
        <w:t>wondrous</w:t>
      </w:r>
      <w:r w:rsidR="00EE4FC3">
        <w:t xml:space="preserve"> </w:t>
      </w:r>
      <w:r w:rsidRPr="00382917">
        <w:t>tales</w:t>
      </w:r>
      <w:r w:rsidR="00EE4FC3">
        <w:t xml:space="preserve"> </w:t>
      </w:r>
      <w:r w:rsidRPr="00382917">
        <w:t>about</w:t>
      </w:r>
      <w:r w:rsidR="00EE4FC3">
        <w:t xml:space="preserve"> </w:t>
      </w:r>
      <w:r w:rsidRPr="00382917">
        <w:t>Him</w:t>
      </w:r>
      <w:r w:rsidR="00A93643">
        <w:t>.</w:t>
      </w:r>
      <w:r w:rsidR="00EE4FC3">
        <w:t xml:space="preserve">  </w:t>
      </w:r>
      <w:r w:rsidRPr="00382917">
        <w:t>He</w:t>
      </w:r>
      <w:r w:rsidR="00EE4FC3">
        <w:t xml:space="preserve"> </w:t>
      </w:r>
      <w:r w:rsidRPr="00382917">
        <w:t>ordered</w:t>
      </w:r>
      <w:r w:rsidR="00EE4FC3">
        <w:t xml:space="preserve"> </w:t>
      </w:r>
      <w:r w:rsidRPr="00382917">
        <w:t>his</w:t>
      </w:r>
      <w:r w:rsidR="00EE4FC3">
        <w:t xml:space="preserve"> </w:t>
      </w:r>
      <w:r w:rsidRPr="00382917">
        <w:t>groom</w:t>
      </w:r>
      <w:r w:rsidR="00EE4FC3">
        <w:t xml:space="preserve"> </w:t>
      </w:r>
      <w:r w:rsidRPr="00382917">
        <w:t>to</w:t>
      </w:r>
      <w:r w:rsidR="00EE4FC3">
        <w:t xml:space="preserve"> </w:t>
      </w:r>
      <w:r w:rsidRPr="00382917">
        <w:t>offer</w:t>
      </w:r>
      <w:r w:rsidR="00EE4FC3">
        <w:t xml:space="preserve"> </w:t>
      </w:r>
      <w:r w:rsidRPr="00382917">
        <w:t>the</w:t>
      </w:r>
      <w:r w:rsidR="00EE4FC3">
        <w:t xml:space="preserve"> </w:t>
      </w:r>
      <w:r w:rsidRPr="00382917">
        <w:t>Báb</w:t>
      </w:r>
      <w:r w:rsidR="00EE4FC3">
        <w:t xml:space="preserve"> </w:t>
      </w:r>
      <w:r w:rsidRPr="00382917">
        <w:t>one</w:t>
      </w:r>
      <w:r w:rsidR="00EE4FC3">
        <w:t xml:space="preserve"> </w:t>
      </w:r>
      <w:r w:rsidRPr="00382917">
        <w:t>of</w:t>
      </w:r>
      <w:r w:rsidR="00EE4FC3">
        <w:t xml:space="preserve"> </w:t>
      </w:r>
      <w:r w:rsidRPr="00382917">
        <w:t>his</w:t>
      </w:r>
      <w:r w:rsidR="00EE4FC3">
        <w:t xml:space="preserve"> </w:t>
      </w:r>
      <w:r w:rsidRPr="00382917">
        <w:t>wildest</w:t>
      </w:r>
      <w:r w:rsidR="00EE4FC3">
        <w:t xml:space="preserve"> </w:t>
      </w:r>
      <w:r w:rsidRPr="00382917">
        <w:t>horses</w:t>
      </w:r>
      <w:r w:rsidR="00EE4FC3">
        <w:t xml:space="preserve"> </w:t>
      </w:r>
      <w:r w:rsidRPr="00382917">
        <w:t>to</w:t>
      </w:r>
      <w:r w:rsidR="00EE4FC3">
        <w:t xml:space="preserve"> </w:t>
      </w:r>
      <w:r w:rsidRPr="00382917">
        <w:t>ride.</w:t>
      </w:r>
    </w:p>
    <w:p w:rsidR="00447F64" w:rsidRPr="00382917" w:rsidRDefault="00447F64" w:rsidP="00447F64">
      <w:pPr>
        <w:pStyle w:val="Text"/>
      </w:pPr>
      <w:r w:rsidRPr="00382917">
        <w:t>The</w:t>
      </w:r>
      <w:r w:rsidR="00EE4FC3">
        <w:t xml:space="preserve"> </w:t>
      </w:r>
      <w:r w:rsidRPr="00382917">
        <w:t>groom</w:t>
      </w:r>
      <w:r w:rsidR="00EE4FC3">
        <w:t xml:space="preserve"> </w:t>
      </w:r>
      <w:r w:rsidRPr="00382917">
        <w:t>feared</w:t>
      </w:r>
      <w:r w:rsidR="00EE4FC3">
        <w:t xml:space="preserve"> </w:t>
      </w:r>
      <w:r w:rsidRPr="00382917">
        <w:t>that</w:t>
      </w:r>
      <w:r w:rsidR="00EE4FC3">
        <w:t xml:space="preserve"> </w:t>
      </w:r>
      <w:r w:rsidRPr="00382917">
        <w:t>the</w:t>
      </w:r>
      <w:r w:rsidR="00EE4FC3">
        <w:t xml:space="preserve"> </w:t>
      </w:r>
      <w:r w:rsidRPr="00382917">
        <w:t>Báb,</w:t>
      </w:r>
      <w:r w:rsidR="00EE4FC3">
        <w:t xml:space="preserve"> </w:t>
      </w:r>
      <w:r w:rsidRPr="00382917">
        <w:t>Whom</w:t>
      </w:r>
      <w:r w:rsidR="00EE4FC3">
        <w:t xml:space="preserve"> </w:t>
      </w:r>
      <w:r w:rsidRPr="00382917">
        <w:t>he</w:t>
      </w:r>
      <w:r w:rsidR="00EE4FC3">
        <w:t xml:space="preserve"> </w:t>
      </w:r>
      <w:r w:rsidRPr="00382917">
        <w:t>loved,</w:t>
      </w:r>
      <w:r w:rsidR="00EE4FC3">
        <w:t xml:space="preserve"> </w:t>
      </w:r>
      <w:r w:rsidRPr="00382917">
        <w:t>might</w:t>
      </w:r>
      <w:r w:rsidR="00EE4FC3">
        <w:t xml:space="preserve"> </w:t>
      </w:r>
      <w:r w:rsidRPr="00382917">
        <w:t>suffer</w:t>
      </w:r>
      <w:r w:rsidR="00EE4FC3">
        <w:t xml:space="preserve"> </w:t>
      </w:r>
      <w:r w:rsidRPr="00382917">
        <w:t>harm</w:t>
      </w:r>
      <w:r w:rsidR="00EE4FC3">
        <w:t xml:space="preserve"> </w:t>
      </w:r>
      <w:r w:rsidRPr="00382917">
        <w:t>from</w:t>
      </w:r>
      <w:r w:rsidR="00EE4FC3">
        <w:t xml:space="preserve"> </w:t>
      </w:r>
      <w:r w:rsidRPr="00382917">
        <w:t>this</w:t>
      </w:r>
      <w:r w:rsidR="00EE4FC3">
        <w:t xml:space="preserve"> </w:t>
      </w:r>
      <w:r w:rsidRPr="00382917">
        <w:t>untamed</w:t>
      </w:r>
      <w:r w:rsidR="00EE4FC3">
        <w:t xml:space="preserve"> </w:t>
      </w:r>
      <w:r w:rsidRPr="00382917">
        <w:t>animal</w:t>
      </w:r>
      <w:r w:rsidR="00A93643">
        <w:t>.</w:t>
      </w:r>
      <w:r w:rsidR="00EE4FC3">
        <w:t xml:space="preserve">  </w:t>
      </w:r>
      <w:r w:rsidRPr="00382917">
        <w:t>He</w:t>
      </w:r>
      <w:r w:rsidR="00EE4FC3">
        <w:t xml:space="preserve"> </w:t>
      </w:r>
      <w:r w:rsidRPr="00382917">
        <w:t>secretly</w:t>
      </w:r>
      <w:r w:rsidR="00EE4FC3">
        <w:t xml:space="preserve"> </w:t>
      </w:r>
      <w:r w:rsidRPr="00382917">
        <w:t>approached</w:t>
      </w:r>
      <w:r w:rsidR="00EE4FC3">
        <w:t xml:space="preserve"> </w:t>
      </w:r>
      <w:r w:rsidRPr="00382917">
        <w:t>the</w:t>
      </w:r>
      <w:r w:rsidR="00EE4FC3">
        <w:t xml:space="preserve"> </w:t>
      </w:r>
      <w:r w:rsidRPr="00382917">
        <w:t>Báb</w:t>
      </w:r>
      <w:r w:rsidR="00EE4FC3">
        <w:t xml:space="preserve"> </w:t>
      </w:r>
      <w:r w:rsidRPr="00382917">
        <w:t>and</w:t>
      </w:r>
      <w:r w:rsidR="00EE4FC3">
        <w:t xml:space="preserve"> </w:t>
      </w:r>
      <w:r w:rsidRPr="00382917">
        <w:t>told</w:t>
      </w:r>
      <w:r w:rsidR="00EE4FC3">
        <w:t xml:space="preserve"> </w:t>
      </w:r>
      <w:r w:rsidRPr="00382917">
        <w:t>Him</w:t>
      </w:r>
      <w:r w:rsidR="00EE4FC3">
        <w:t xml:space="preserve"> </w:t>
      </w:r>
      <w:r w:rsidRPr="00382917">
        <w:t>the</w:t>
      </w:r>
      <w:r w:rsidR="00EE4FC3">
        <w:t xml:space="preserve"> </w:t>
      </w:r>
      <w:r w:rsidRPr="00382917">
        <w:t>story,</w:t>
      </w:r>
      <w:r w:rsidR="00EE4FC3">
        <w:t xml:space="preserve"> </w:t>
      </w:r>
      <w:r w:rsidRPr="00382917">
        <w:t>and</w:t>
      </w:r>
      <w:r w:rsidR="00EE4FC3">
        <w:t xml:space="preserve"> </w:t>
      </w:r>
      <w:r w:rsidRPr="00382917">
        <w:t>tried</w:t>
      </w:r>
      <w:r w:rsidR="00EE4FC3">
        <w:t xml:space="preserve"> </w:t>
      </w:r>
      <w:r w:rsidRPr="00382917">
        <w:t>to</w:t>
      </w:r>
      <w:r w:rsidR="00EE4FC3">
        <w:t xml:space="preserve"> </w:t>
      </w:r>
      <w:r w:rsidRPr="00382917">
        <w:t>induce</w:t>
      </w:r>
      <w:r w:rsidR="00EE4FC3">
        <w:t xml:space="preserve"> </w:t>
      </w:r>
      <w:r w:rsidRPr="00382917">
        <w:t>Him</w:t>
      </w:r>
      <w:r w:rsidR="00EE4FC3">
        <w:t xml:space="preserve"> </w:t>
      </w:r>
      <w:r w:rsidRPr="00382917">
        <w:t>to</w:t>
      </w:r>
      <w:r w:rsidR="00EE4FC3">
        <w:t xml:space="preserve"> </w:t>
      </w:r>
      <w:r w:rsidRPr="00382917">
        <w:t>refuse</w:t>
      </w:r>
      <w:r w:rsidR="00EE4FC3">
        <w:t xml:space="preserve"> </w:t>
      </w:r>
      <w:r w:rsidRPr="00382917">
        <w:t>to</w:t>
      </w:r>
      <w:r w:rsidR="00EE4FC3">
        <w:t xml:space="preserve"> </w:t>
      </w:r>
      <w:r w:rsidRPr="00382917">
        <w:t>mount</w:t>
      </w:r>
      <w:r w:rsidR="00EE4FC3">
        <w:t xml:space="preserve"> </w:t>
      </w:r>
      <w:r w:rsidRPr="00382917">
        <w:t>this</w:t>
      </w:r>
      <w:r w:rsidR="00EE4FC3">
        <w:t xml:space="preserve"> </w:t>
      </w:r>
      <w:r w:rsidRPr="00382917">
        <w:t>steed.</w:t>
      </w:r>
    </w:p>
    <w:p w:rsidR="00447F64" w:rsidRPr="00382917" w:rsidRDefault="009C713D" w:rsidP="00447F64">
      <w:pPr>
        <w:pStyle w:val="Text"/>
      </w:pPr>
      <w:r w:rsidRPr="00382917">
        <w:t>“</w:t>
      </w:r>
      <w:r w:rsidR="00447F64" w:rsidRPr="00382917">
        <w:t>It</w:t>
      </w:r>
      <w:r w:rsidR="00EE4FC3">
        <w:t xml:space="preserve"> </w:t>
      </w:r>
      <w:r w:rsidR="00447F64" w:rsidRPr="00382917">
        <w:t>has</w:t>
      </w:r>
      <w:r w:rsidR="00EE4FC3">
        <w:t xml:space="preserve"> </w:t>
      </w:r>
      <w:r w:rsidR="00447F64" w:rsidRPr="00382917">
        <w:t>already</w:t>
      </w:r>
      <w:r w:rsidR="00EE4FC3">
        <w:t xml:space="preserve"> </w:t>
      </w:r>
      <w:r w:rsidR="00447F64" w:rsidRPr="00382917">
        <w:t>overthrown</w:t>
      </w:r>
      <w:r w:rsidR="00EE4FC3">
        <w:t xml:space="preserve"> </w:t>
      </w:r>
      <w:r w:rsidR="00447F64" w:rsidRPr="00382917">
        <w:t>the</w:t>
      </w:r>
      <w:r w:rsidR="00EE4FC3">
        <w:t xml:space="preserve"> </w:t>
      </w:r>
      <w:r w:rsidR="00447F64" w:rsidRPr="00382917">
        <w:t>bravest</w:t>
      </w:r>
      <w:r w:rsidR="00EE4FC3">
        <w:t xml:space="preserve"> </w:t>
      </w:r>
      <w:r w:rsidR="00447F64" w:rsidRPr="00382917">
        <w:t>and</w:t>
      </w:r>
      <w:r w:rsidR="00EE4FC3">
        <w:t xml:space="preserve"> </w:t>
      </w:r>
      <w:r w:rsidR="00447F64" w:rsidRPr="00382917">
        <w:t>most</w:t>
      </w:r>
      <w:r w:rsidR="00EE4FC3">
        <w:t xml:space="preserve"> </w:t>
      </w:r>
      <w:proofErr w:type="spellStart"/>
      <w:r w:rsidR="00447F64" w:rsidRPr="00382917">
        <w:t>skillful</w:t>
      </w:r>
      <w:proofErr w:type="spellEnd"/>
      <w:r w:rsidR="00EE4FC3">
        <w:t xml:space="preserve"> </w:t>
      </w:r>
      <w:r w:rsidR="00447F64" w:rsidRPr="00382917">
        <w:t>of</w:t>
      </w:r>
      <w:r w:rsidR="00EE4FC3">
        <w:t xml:space="preserve"> </w:t>
      </w:r>
      <w:r w:rsidR="00447F64" w:rsidRPr="00382917">
        <w:t>horsemen,</w:t>
      </w:r>
      <w:r w:rsidRPr="00382917">
        <w:t>”</w:t>
      </w:r>
      <w:r w:rsidR="00EE4FC3">
        <w:t xml:space="preserve"> </w:t>
      </w:r>
      <w:r w:rsidR="00447F64" w:rsidRPr="00382917">
        <w:t>he</w:t>
      </w:r>
      <w:r w:rsidR="00EE4FC3">
        <w:t xml:space="preserve"> </w:t>
      </w:r>
      <w:r w:rsidR="00447F64" w:rsidRPr="00382917">
        <w:t>said.</w:t>
      </w:r>
    </w:p>
    <w:p w:rsidR="00447F64" w:rsidRPr="00382917" w:rsidRDefault="009C713D" w:rsidP="00447F64">
      <w:pPr>
        <w:pStyle w:val="Text"/>
      </w:pPr>
      <w:r w:rsidRPr="00382917">
        <w:t>“</w:t>
      </w:r>
      <w:r w:rsidR="00447F64" w:rsidRPr="00382917">
        <w:t>Fear</w:t>
      </w:r>
      <w:r w:rsidR="00EE4FC3">
        <w:t xml:space="preserve"> </w:t>
      </w:r>
      <w:r w:rsidR="00447F64" w:rsidRPr="00382917">
        <w:t>not,</w:t>
      </w:r>
      <w:r w:rsidRPr="00382917">
        <w:t>”</w:t>
      </w:r>
      <w:r w:rsidR="00EE4FC3">
        <w:t xml:space="preserve"> </w:t>
      </w:r>
      <w:r w:rsidR="00447F64" w:rsidRPr="00382917">
        <w:t>the</w:t>
      </w:r>
      <w:r w:rsidR="00EE4FC3">
        <w:t xml:space="preserve"> </w:t>
      </w:r>
      <w:r w:rsidR="00447F64" w:rsidRPr="00382917">
        <w:t>Báb</w:t>
      </w:r>
      <w:r w:rsidR="00EE4FC3">
        <w:t xml:space="preserve"> </w:t>
      </w:r>
      <w:r w:rsidR="00447F64" w:rsidRPr="00382917">
        <w:t>replied</w:t>
      </w:r>
      <w:r w:rsidR="00A93643">
        <w:t>.</w:t>
      </w:r>
      <w:r w:rsidR="00EE4FC3">
        <w:t xml:space="preserve">  </w:t>
      </w:r>
      <w:r w:rsidRPr="00382917">
        <w:t>“</w:t>
      </w:r>
      <w:r w:rsidR="00447F64" w:rsidRPr="00382917">
        <w:t>Do</w:t>
      </w:r>
      <w:r w:rsidR="00EE4FC3">
        <w:t xml:space="preserve"> </w:t>
      </w:r>
      <w:r w:rsidR="00447F64" w:rsidRPr="00382917">
        <w:t>as</w:t>
      </w:r>
      <w:r w:rsidR="00EE4FC3">
        <w:t xml:space="preserve"> </w:t>
      </w:r>
      <w:r w:rsidR="00447F64" w:rsidRPr="00382917">
        <w:t>you</w:t>
      </w:r>
      <w:r w:rsidR="00EE4FC3">
        <w:t xml:space="preserve"> </w:t>
      </w:r>
      <w:r w:rsidR="00447F64" w:rsidRPr="00382917">
        <w:t>have</w:t>
      </w:r>
      <w:r w:rsidR="00EE4FC3">
        <w:t xml:space="preserve"> </w:t>
      </w:r>
      <w:r w:rsidR="00447F64" w:rsidRPr="00382917">
        <w:t>been</w:t>
      </w:r>
      <w:r w:rsidR="00EE4FC3">
        <w:t xml:space="preserve"> </w:t>
      </w:r>
      <w:r w:rsidR="00447F64" w:rsidRPr="00382917">
        <w:t>bidden</w:t>
      </w:r>
      <w:r w:rsidR="00EE4FC3">
        <w:t xml:space="preserve"> </w:t>
      </w:r>
      <w:r w:rsidR="00447F64" w:rsidRPr="00382917">
        <w:t>and</w:t>
      </w:r>
      <w:r w:rsidR="00EE4FC3">
        <w:t xml:space="preserve"> </w:t>
      </w:r>
      <w:r w:rsidR="00447F64" w:rsidRPr="00382917">
        <w:t>commit</w:t>
      </w:r>
      <w:r w:rsidR="00EE4FC3">
        <w:t xml:space="preserve"> </w:t>
      </w:r>
      <w:proofErr w:type="gramStart"/>
      <w:r w:rsidR="00447F64" w:rsidRPr="00382917">
        <w:t>Us</w:t>
      </w:r>
      <w:proofErr w:type="gramEnd"/>
      <w:r w:rsidR="00EE4FC3">
        <w:t xml:space="preserve"> </w:t>
      </w:r>
      <w:r w:rsidR="00447F64" w:rsidRPr="00382917">
        <w:t>to</w:t>
      </w:r>
      <w:r w:rsidR="00EE4FC3">
        <w:t xml:space="preserve"> </w:t>
      </w:r>
      <w:r w:rsidR="00447F64" w:rsidRPr="00382917">
        <w:t>the</w:t>
      </w:r>
      <w:r w:rsidR="00EE4FC3">
        <w:t xml:space="preserve"> </w:t>
      </w:r>
      <w:r w:rsidR="00447F64" w:rsidRPr="00382917">
        <w:t>care</w:t>
      </w:r>
      <w:r w:rsidR="00EE4FC3">
        <w:t xml:space="preserve"> </w:t>
      </w:r>
      <w:r w:rsidR="00447F64" w:rsidRPr="00382917">
        <w:t>of</w:t>
      </w:r>
      <w:r w:rsidR="00EE4FC3">
        <w:t xml:space="preserve"> </w:t>
      </w:r>
      <w:r w:rsidR="00447F64" w:rsidRPr="00382917">
        <w:t>the</w:t>
      </w:r>
      <w:r w:rsidR="00EE4FC3">
        <w:t xml:space="preserve"> </w:t>
      </w:r>
      <w:r w:rsidR="00447F64" w:rsidRPr="00382917">
        <w:t>Almighty.</w:t>
      </w:r>
      <w:r w:rsidRPr="00382917">
        <w:t>”</w:t>
      </w:r>
    </w:p>
    <w:p w:rsidR="00447F64" w:rsidRPr="00382917" w:rsidRDefault="00447F64" w:rsidP="00447F64">
      <w:pPr>
        <w:pStyle w:val="Text"/>
      </w:pPr>
      <w:r w:rsidRPr="00382917">
        <w:t>The</w:t>
      </w:r>
      <w:r w:rsidR="00EE4FC3">
        <w:t xml:space="preserve"> </w:t>
      </w:r>
      <w:r w:rsidRPr="00382917">
        <w:t>villagers</w:t>
      </w:r>
      <w:r w:rsidR="00EE4FC3">
        <w:t xml:space="preserve"> </w:t>
      </w:r>
      <w:r w:rsidRPr="00382917">
        <w:t>learned</w:t>
      </w:r>
      <w:r w:rsidR="00EE4FC3">
        <w:t xml:space="preserve"> </w:t>
      </w:r>
      <w:r w:rsidRPr="00382917">
        <w:t>of</w:t>
      </w:r>
      <w:r w:rsidR="00EE4FC3">
        <w:t xml:space="preserve"> </w:t>
      </w:r>
      <w:r w:rsidRPr="00382917">
        <w:t>the</w:t>
      </w:r>
      <w:r w:rsidR="00EE4FC3">
        <w:t xml:space="preserve"> </w:t>
      </w:r>
      <w:r w:rsidRPr="00382917">
        <w:t>plan</w:t>
      </w:r>
      <w:r w:rsidR="00EE4FC3">
        <w:t xml:space="preserve"> </w:t>
      </w:r>
      <w:r w:rsidRPr="00382917">
        <w:t>of</w:t>
      </w:r>
      <w:r w:rsidR="00EE4FC3">
        <w:t xml:space="preserve"> </w:t>
      </w:r>
      <w:r w:rsidRPr="00382917">
        <w:t>the</w:t>
      </w:r>
      <w:r w:rsidR="00EE4FC3">
        <w:t xml:space="preserve"> </w:t>
      </w:r>
      <w:r w:rsidRPr="00382917">
        <w:t>prince</w:t>
      </w:r>
      <w:r w:rsidR="00A93643">
        <w:t>.</w:t>
      </w:r>
      <w:r w:rsidR="00EE4FC3">
        <w:t xml:space="preserve">  </w:t>
      </w:r>
      <w:r w:rsidRPr="00382917">
        <w:t>They</w:t>
      </w:r>
      <w:r w:rsidR="00EE4FC3">
        <w:t xml:space="preserve"> </w:t>
      </w:r>
      <w:r w:rsidRPr="00382917">
        <w:t>filled</w:t>
      </w:r>
      <w:r w:rsidR="00EE4FC3">
        <w:t xml:space="preserve"> </w:t>
      </w:r>
      <w:r w:rsidRPr="00382917">
        <w:t>the</w:t>
      </w:r>
      <w:r w:rsidR="00EE4FC3">
        <w:t xml:space="preserve"> </w:t>
      </w:r>
      <w:r w:rsidRPr="00382917">
        <w:t>public</w:t>
      </w:r>
      <w:r w:rsidR="00EE4FC3">
        <w:t xml:space="preserve"> </w:t>
      </w:r>
      <w:r w:rsidRPr="00382917">
        <w:t>square</w:t>
      </w:r>
      <w:r w:rsidR="00EE4FC3">
        <w:t xml:space="preserve"> </w:t>
      </w:r>
      <w:r w:rsidRPr="00382917">
        <w:t>the</w:t>
      </w:r>
      <w:r w:rsidR="00EE4FC3">
        <w:t xml:space="preserve"> </w:t>
      </w:r>
      <w:r w:rsidRPr="00382917">
        <w:t>next</w:t>
      </w:r>
      <w:r w:rsidR="00EE4FC3">
        <w:t xml:space="preserve"> </w:t>
      </w:r>
      <w:r w:rsidRPr="00382917">
        <w:t>morning,</w:t>
      </w:r>
      <w:r w:rsidR="00EE4FC3">
        <w:t xml:space="preserve"> </w:t>
      </w:r>
      <w:r w:rsidRPr="00382917">
        <w:t>eager</w:t>
      </w:r>
      <w:r w:rsidR="00EE4FC3">
        <w:t xml:space="preserve"> </w:t>
      </w:r>
      <w:r w:rsidRPr="00382917">
        <w:t>to</w:t>
      </w:r>
      <w:r w:rsidR="00EE4FC3">
        <w:t xml:space="preserve"> </w:t>
      </w:r>
      <w:r w:rsidRPr="00382917">
        <w:t>witness</w:t>
      </w:r>
      <w:r w:rsidR="00EE4FC3">
        <w:t xml:space="preserve"> </w:t>
      </w:r>
      <w:r w:rsidRPr="00382917">
        <w:t>the</w:t>
      </w:r>
      <w:r w:rsidR="00EE4FC3">
        <w:t xml:space="preserve"> </w:t>
      </w:r>
      <w:r w:rsidRPr="00382917">
        <w:t>test</w:t>
      </w:r>
      <w:r w:rsidR="00EE4FC3">
        <w:t xml:space="preserve"> </w:t>
      </w:r>
      <w:r w:rsidRPr="00382917">
        <w:t>and</w:t>
      </w:r>
      <w:r w:rsidR="00EE4FC3">
        <w:t xml:space="preserve"> </w:t>
      </w:r>
      <w:r w:rsidRPr="00382917">
        <w:t>learn</w:t>
      </w:r>
      <w:r w:rsidR="00EE4FC3">
        <w:t xml:space="preserve"> </w:t>
      </w:r>
      <w:r w:rsidRPr="00382917">
        <w:t>what</w:t>
      </w:r>
      <w:r w:rsidR="00EE4FC3">
        <w:t xml:space="preserve"> </w:t>
      </w:r>
      <w:r w:rsidRPr="00382917">
        <w:t>would</w:t>
      </w:r>
      <w:r w:rsidR="00EE4FC3">
        <w:t xml:space="preserve"> </w:t>
      </w:r>
      <w:r w:rsidRPr="00382917">
        <w:t>befall</w:t>
      </w:r>
      <w:r w:rsidR="00EE4FC3">
        <w:t xml:space="preserve"> </w:t>
      </w:r>
      <w:r w:rsidRPr="00382917">
        <w:t>the</w:t>
      </w:r>
      <w:r w:rsidR="00EE4FC3">
        <w:t xml:space="preserve"> </w:t>
      </w:r>
      <w:r w:rsidRPr="00382917">
        <w:t>Báb.</w:t>
      </w:r>
    </w:p>
    <w:p w:rsidR="00447F64" w:rsidRPr="00382917" w:rsidRDefault="00447F64" w:rsidP="00447F64">
      <w:pPr>
        <w:pStyle w:val="Text"/>
      </w:pPr>
      <w:r w:rsidRPr="00382917">
        <w:t>The</w:t>
      </w:r>
      <w:r w:rsidR="00EE4FC3">
        <w:t xml:space="preserve"> </w:t>
      </w:r>
      <w:r w:rsidRPr="00382917">
        <w:t>wild</w:t>
      </w:r>
      <w:r w:rsidR="00EE4FC3">
        <w:t xml:space="preserve"> </w:t>
      </w:r>
      <w:r w:rsidRPr="00382917">
        <w:t>horse</w:t>
      </w:r>
      <w:r w:rsidR="00EE4FC3">
        <w:t xml:space="preserve"> </w:t>
      </w:r>
      <w:r w:rsidRPr="00382917">
        <w:t>was</w:t>
      </w:r>
      <w:r w:rsidR="00EE4FC3">
        <w:t xml:space="preserve"> </w:t>
      </w:r>
      <w:r w:rsidRPr="00382917">
        <w:t>brought</w:t>
      </w:r>
      <w:r w:rsidR="00EE4FC3">
        <w:t xml:space="preserve"> </w:t>
      </w:r>
      <w:r w:rsidRPr="00382917">
        <w:t>from</w:t>
      </w:r>
      <w:r w:rsidR="00EE4FC3">
        <w:t xml:space="preserve"> </w:t>
      </w:r>
      <w:r w:rsidRPr="00382917">
        <w:t>his</w:t>
      </w:r>
      <w:r w:rsidR="00EE4FC3">
        <w:t xml:space="preserve"> </w:t>
      </w:r>
      <w:r w:rsidRPr="00382917">
        <w:t>stable</w:t>
      </w:r>
      <w:r w:rsidR="00A93643">
        <w:t>.</w:t>
      </w:r>
      <w:r w:rsidR="00EE4FC3">
        <w:t xml:space="preserve">  </w:t>
      </w:r>
      <w:r w:rsidRPr="00382917">
        <w:t>The</w:t>
      </w:r>
      <w:r w:rsidR="00EE4FC3">
        <w:t xml:space="preserve"> </w:t>
      </w:r>
      <w:r w:rsidRPr="00382917">
        <w:t>bridle</w:t>
      </w:r>
      <w:r w:rsidR="00EE4FC3">
        <w:t xml:space="preserve"> </w:t>
      </w:r>
      <w:r w:rsidRPr="00382917">
        <w:t>was</w:t>
      </w:r>
      <w:r w:rsidR="00EE4FC3">
        <w:t xml:space="preserve"> </w:t>
      </w:r>
      <w:r w:rsidRPr="00382917">
        <w:t>cautiously</w:t>
      </w:r>
      <w:r w:rsidR="00EE4FC3">
        <w:t xml:space="preserve"> </w:t>
      </w:r>
      <w:r w:rsidRPr="00382917">
        <w:t>given</w:t>
      </w:r>
      <w:r w:rsidR="00EE4FC3">
        <w:t xml:space="preserve"> </w:t>
      </w:r>
      <w:r w:rsidRPr="00382917">
        <w:t>to</w:t>
      </w:r>
      <w:r w:rsidR="00EE4FC3">
        <w:t xml:space="preserve"> </w:t>
      </w:r>
      <w:r w:rsidRPr="00382917">
        <w:t>the</w:t>
      </w:r>
      <w:r w:rsidR="00EE4FC3">
        <w:t xml:space="preserve"> </w:t>
      </w:r>
      <w:r w:rsidRPr="00382917">
        <w:t>Báb</w:t>
      </w:r>
      <w:r w:rsidR="00EE4FC3">
        <w:t xml:space="preserve"> </w:t>
      </w:r>
      <w:r w:rsidRPr="00382917">
        <w:t>by</w:t>
      </w:r>
      <w:r w:rsidR="00EE4FC3">
        <w:t xml:space="preserve"> </w:t>
      </w:r>
      <w:r w:rsidRPr="00382917">
        <w:t>the</w:t>
      </w:r>
      <w:r w:rsidR="00EE4FC3">
        <w:t xml:space="preserve"> </w:t>
      </w:r>
      <w:r w:rsidRPr="00382917">
        <w:t>frightened</w:t>
      </w:r>
      <w:r w:rsidR="00EE4FC3">
        <w:t xml:space="preserve"> </w:t>
      </w:r>
      <w:r w:rsidRPr="00382917">
        <w:t>groom</w:t>
      </w:r>
      <w:r w:rsidR="00A93643">
        <w:t>.</w:t>
      </w:r>
      <w:r w:rsidR="00EE4FC3">
        <w:t xml:space="preserve">  </w:t>
      </w:r>
      <w:r w:rsidRPr="00382917">
        <w:t>The</w:t>
      </w:r>
      <w:r w:rsidR="00EE4FC3">
        <w:t xml:space="preserve"> </w:t>
      </w:r>
      <w:r w:rsidRPr="00382917">
        <w:t>Báb</w:t>
      </w:r>
      <w:r w:rsidR="00EE4FC3">
        <w:t xml:space="preserve"> </w:t>
      </w:r>
      <w:r w:rsidRPr="00382917">
        <w:t>quietly</w:t>
      </w:r>
      <w:r w:rsidR="00EE4FC3">
        <w:t xml:space="preserve"> </w:t>
      </w:r>
      <w:r w:rsidRPr="00382917">
        <w:t>stepped</w:t>
      </w:r>
      <w:r w:rsidR="00EE4FC3">
        <w:t xml:space="preserve"> </w:t>
      </w:r>
      <w:r w:rsidRPr="00382917">
        <w:t>toward</w:t>
      </w:r>
      <w:r w:rsidR="00EE4FC3">
        <w:t xml:space="preserve"> </w:t>
      </w:r>
      <w:r w:rsidRPr="00382917">
        <w:t>the</w:t>
      </w:r>
      <w:r w:rsidR="00EE4FC3">
        <w:t xml:space="preserve"> </w:t>
      </w:r>
      <w:r w:rsidRPr="00382917">
        <w:t>animal</w:t>
      </w:r>
      <w:r w:rsidR="00A93643">
        <w:t>.</w:t>
      </w:r>
      <w:r w:rsidR="00EE4FC3">
        <w:t xml:space="preserve">  </w:t>
      </w:r>
      <w:r w:rsidRPr="00382917">
        <w:t>Gently,</w:t>
      </w:r>
      <w:r w:rsidR="00EE4FC3">
        <w:t xml:space="preserve"> </w:t>
      </w:r>
      <w:r w:rsidRPr="00382917">
        <w:t>He</w:t>
      </w:r>
      <w:r w:rsidR="00EE4FC3">
        <w:t xml:space="preserve"> </w:t>
      </w:r>
      <w:r w:rsidRPr="00382917">
        <w:t>caressed</w:t>
      </w:r>
      <w:r w:rsidR="00EE4FC3">
        <w:t xml:space="preserve"> </w:t>
      </w:r>
      <w:r w:rsidRPr="00382917">
        <w:t>the</w:t>
      </w:r>
      <w:r w:rsidR="00EE4FC3">
        <w:t xml:space="preserve"> </w:t>
      </w:r>
      <w:r w:rsidRPr="00382917">
        <w:t>steed,</w:t>
      </w:r>
      <w:r w:rsidR="00EE4FC3">
        <w:t xml:space="preserve"> </w:t>
      </w:r>
      <w:r w:rsidRPr="00382917">
        <w:t>and</w:t>
      </w:r>
      <w:r w:rsidR="00EE4FC3">
        <w:t xml:space="preserve"> </w:t>
      </w:r>
      <w:r w:rsidRPr="00382917">
        <w:t>then</w:t>
      </w:r>
      <w:r w:rsidR="00EE4FC3">
        <w:t xml:space="preserve"> </w:t>
      </w:r>
      <w:r w:rsidRPr="00382917">
        <w:t>slowly</w:t>
      </w:r>
      <w:r w:rsidR="00EE4FC3">
        <w:t xml:space="preserve"> </w:t>
      </w:r>
      <w:r w:rsidRPr="00382917">
        <w:t>placed</w:t>
      </w:r>
      <w:r w:rsidR="00EE4FC3">
        <w:t xml:space="preserve"> </w:t>
      </w:r>
      <w:r w:rsidRPr="00382917">
        <w:t>His</w:t>
      </w:r>
      <w:r w:rsidR="00EE4FC3">
        <w:t xml:space="preserve"> </w:t>
      </w:r>
      <w:r w:rsidRPr="00382917">
        <w:t>foot</w:t>
      </w:r>
      <w:r w:rsidR="00EE4FC3">
        <w:t xml:space="preserve"> </w:t>
      </w:r>
      <w:r w:rsidRPr="00382917">
        <w:t>in</w:t>
      </w:r>
      <w:r w:rsidR="00EE4FC3">
        <w:t xml:space="preserve"> </w:t>
      </w:r>
      <w:r w:rsidRPr="00382917">
        <w:t>the</w:t>
      </w:r>
      <w:r w:rsidR="00EE4FC3">
        <w:t xml:space="preserve"> </w:t>
      </w:r>
      <w:r w:rsidRPr="00382917">
        <w:t>stirrup</w:t>
      </w:r>
      <w:r w:rsidR="00A93643">
        <w:t>.</w:t>
      </w:r>
      <w:r w:rsidR="00EE4FC3">
        <w:t xml:space="preserve">  </w:t>
      </w:r>
      <w:r w:rsidRPr="00382917">
        <w:t>The</w:t>
      </w:r>
      <w:r w:rsidR="00EE4FC3">
        <w:t xml:space="preserve"> </w:t>
      </w:r>
      <w:r w:rsidRPr="00382917">
        <w:t>horse</w:t>
      </w:r>
      <w:r w:rsidR="00EE4FC3">
        <w:t xml:space="preserve"> </w:t>
      </w:r>
      <w:r w:rsidRPr="00382917">
        <w:t>stood</w:t>
      </w:r>
      <w:r w:rsidR="00EE4FC3">
        <w:t xml:space="preserve"> </w:t>
      </w:r>
      <w:r w:rsidRPr="00382917">
        <w:t>motionless</w:t>
      </w:r>
      <w:r w:rsidR="00EE4FC3">
        <w:t xml:space="preserve"> </w:t>
      </w:r>
      <w:r w:rsidRPr="00382917">
        <w:t>as</w:t>
      </w:r>
      <w:r w:rsidR="00EE4FC3">
        <w:t xml:space="preserve"> </w:t>
      </w:r>
      <w:r w:rsidRPr="00382917">
        <w:t>the</w:t>
      </w:r>
      <w:r w:rsidR="00EE4FC3">
        <w:t xml:space="preserve"> </w:t>
      </w:r>
      <w:r w:rsidRPr="00382917">
        <w:t>Báb</w:t>
      </w:r>
      <w:r w:rsidR="00EE4FC3">
        <w:t xml:space="preserve"> </w:t>
      </w:r>
      <w:r w:rsidRPr="00382917">
        <w:t>mounted</w:t>
      </w:r>
      <w:r w:rsidR="00A93643">
        <w:t>.</w:t>
      </w:r>
      <w:r w:rsidR="00EE4FC3">
        <w:t xml:space="preserve">  </w:t>
      </w:r>
      <w:r w:rsidRPr="00382917">
        <w:t>He</w:t>
      </w:r>
      <w:r w:rsidR="00EE4FC3">
        <w:t xml:space="preserve"> </w:t>
      </w:r>
      <w:r w:rsidRPr="00382917">
        <w:t>rode</w:t>
      </w:r>
      <w:r w:rsidR="00EE4FC3">
        <w:t xml:space="preserve"> </w:t>
      </w:r>
      <w:r w:rsidRPr="00382917">
        <w:t>the</w:t>
      </w:r>
      <w:r w:rsidR="00EE4FC3">
        <w:t xml:space="preserve"> </w:t>
      </w:r>
      <w:r w:rsidRPr="00382917">
        <w:t>animal</w:t>
      </w:r>
      <w:r w:rsidR="00EE4FC3">
        <w:t xml:space="preserve"> </w:t>
      </w:r>
      <w:r w:rsidRPr="00382917">
        <w:t>to</w:t>
      </w:r>
      <w:r w:rsidR="00EE4FC3">
        <w:t xml:space="preserve"> </w:t>
      </w:r>
      <w:r w:rsidRPr="00382917">
        <w:t>the</w:t>
      </w:r>
      <w:r w:rsidR="00EE4FC3">
        <w:t xml:space="preserve"> </w:t>
      </w:r>
      <w:r w:rsidRPr="00382917">
        <w:t>public</w:t>
      </w:r>
      <w:r w:rsidR="00EE4FC3">
        <w:t xml:space="preserve"> </w:t>
      </w:r>
      <w:r w:rsidRPr="00382917">
        <w:t>bath</w:t>
      </w:r>
      <w:r w:rsidR="00A93643">
        <w:t>.</w:t>
      </w:r>
      <w:r w:rsidR="00EE4FC3">
        <w:t xml:space="preserve">  </w:t>
      </w:r>
      <w:r w:rsidRPr="00382917">
        <w:t>All</w:t>
      </w:r>
      <w:r w:rsidR="00EE4FC3">
        <w:t xml:space="preserve"> </w:t>
      </w:r>
      <w:r w:rsidRPr="00382917">
        <w:t>along</w:t>
      </w:r>
      <w:r w:rsidR="00EE4FC3">
        <w:t xml:space="preserve"> </w:t>
      </w:r>
      <w:r w:rsidRPr="00382917">
        <w:t>the</w:t>
      </w:r>
      <w:r w:rsidR="00EE4FC3">
        <w:t xml:space="preserve"> </w:t>
      </w:r>
      <w:r w:rsidRPr="00382917">
        <w:t>way</w:t>
      </w:r>
      <w:r w:rsidR="00EE4FC3">
        <w:t xml:space="preserve"> </w:t>
      </w:r>
      <w:r w:rsidRPr="00382917">
        <w:t>people</w:t>
      </w:r>
      <w:r w:rsidR="00EE4FC3">
        <w:t xml:space="preserve"> </w:t>
      </w:r>
      <w:r w:rsidRPr="00382917">
        <w:t>tried</w:t>
      </w:r>
      <w:r w:rsidR="00EE4FC3">
        <w:t xml:space="preserve"> </w:t>
      </w:r>
      <w:r w:rsidRPr="00382917">
        <w:t>to</w:t>
      </w:r>
      <w:r w:rsidR="00EE4FC3">
        <w:t xml:space="preserve"> </w:t>
      </w:r>
      <w:r w:rsidRPr="00382917">
        <w:t>rush</w:t>
      </w:r>
      <w:r w:rsidR="00EE4FC3">
        <w:t xml:space="preserve"> </w:t>
      </w:r>
      <w:r w:rsidRPr="00382917">
        <w:t>in</w:t>
      </w:r>
      <w:r w:rsidR="00EE4FC3">
        <w:t xml:space="preserve"> </w:t>
      </w:r>
      <w:r w:rsidRPr="00382917">
        <w:t>from</w:t>
      </w:r>
      <w:r w:rsidR="00EE4FC3">
        <w:t xml:space="preserve"> </w:t>
      </w:r>
      <w:r w:rsidRPr="00382917">
        <w:t>every</w:t>
      </w:r>
      <w:r w:rsidR="00EE4FC3">
        <w:t xml:space="preserve"> </w:t>
      </w:r>
      <w:r w:rsidRPr="00382917">
        <w:t>side</w:t>
      </w:r>
      <w:r w:rsidR="00EE4FC3">
        <w:t xml:space="preserve"> </w:t>
      </w:r>
      <w:r w:rsidRPr="00382917">
        <w:t>to</w:t>
      </w:r>
      <w:r w:rsidR="00EE4FC3">
        <w:t xml:space="preserve"> </w:t>
      </w:r>
      <w:r w:rsidRPr="00382917">
        <w:t>marvel</w:t>
      </w:r>
      <w:r w:rsidR="00EE4FC3">
        <w:t xml:space="preserve"> </w:t>
      </w:r>
      <w:r w:rsidRPr="00382917">
        <w:t>at</w:t>
      </w:r>
      <w:r w:rsidR="00EE4FC3">
        <w:t xml:space="preserve"> </w:t>
      </w:r>
      <w:r w:rsidRPr="00382917">
        <w:t>such</w:t>
      </w:r>
      <w:r w:rsidR="00EE4FC3">
        <w:t xml:space="preserve"> </w:t>
      </w:r>
      <w:r w:rsidRPr="00382917">
        <w:t>a</w:t>
      </w:r>
      <w:r w:rsidR="00EE4FC3">
        <w:t xml:space="preserve"> </w:t>
      </w:r>
      <w:r w:rsidRPr="00382917">
        <w:t>miracle,</w:t>
      </w:r>
      <w:r w:rsidR="00EE4FC3">
        <w:t xml:space="preserve"> </w:t>
      </w:r>
      <w:r w:rsidRPr="00382917">
        <w:t>and</w:t>
      </w:r>
      <w:r w:rsidR="00EE4FC3">
        <w:t xml:space="preserve"> </w:t>
      </w:r>
      <w:r w:rsidRPr="00382917">
        <w:t>to</w:t>
      </w:r>
      <w:r w:rsidR="00EE4FC3">
        <w:t xml:space="preserve"> </w:t>
      </w:r>
      <w:r w:rsidRPr="00382917">
        <w:t>offer</w:t>
      </w:r>
      <w:r w:rsidR="00EE4FC3">
        <w:t xml:space="preserve"> </w:t>
      </w:r>
      <w:r w:rsidRPr="00382917">
        <w:t>their</w:t>
      </w:r>
      <w:r w:rsidR="00EE4FC3">
        <w:t xml:space="preserve"> </w:t>
      </w:r>
      <w:r w:rsidRPr="00382917">
        <w:t>belief</w:t>
      </w:r>
      <w:r w:rsidR="00EE4FC3">
        <w:t xml:space="preserve"> </w:t>
      </w:r>
      <w:r w:rsidRPr="00382917">
        <w:t>in</w:t>
      </w:r>
      <w:r w:rsidR="00EE4FC3">
        <w:t xml:space="preserve"> </w:t>
      </w:r>
      <w:r w:rsidRPr="00382917">
        <w:t>His</w:t>
      </w:r>
      <w:r w:rsidR="00EE4FC3">
        <w:t xml:space="preserve"> </w:t>
      </w:r>
      <w:r w:rsidRPr="00382917">
        <w:t>Faith</w:t>
      </w:r>
      <w:r w:rsidR="00A93643">
        <w:t>.</w:t>
      </w:r>
      <w:r w:rsidR="00EE4FC3">
        <w:t xml:space="preserve">  </w:t>
      </w:r>
      <w:r w:rsidRPr="00382917">
        <w:t>On</w:t>
      </w:r>
      <w:r w:rsidR="00EE4FC3">
        <w:t xml:space="preserve"> </w:t>
      </w:r>
      <w:r w:rsidRPr="00382917">
        <w:t>His</w:t>
      </w:r>
      <w:r w:rsidR="00EE4FC3">
        <w:t xml:space="preserve"> </w:t>
      </w:r>
      <w:r w:rsidRPr="00382917">
        <w:t>return</w:t>
      </w:r>
      <w:r w:rsidR="00EE4FC3">
        <w:t xml:space="preserve"> </w:t>
      </w:r>
      <w:r w:rsidRPr="00382917">
        <w:t>from</w:t>
      </w:r>
      <w:r w:rsidR="00EE4FC3">
        <w:t xml:space="preserve"> </w:t>
      </w:r>
      <w:r w:rsidRPr="00382917">
        <w:t>the</w:t>
      </w:r>
      <w:r w:rsidR="00EE4FC3">
        <w:t xml:space="preserve"> </w:t>
      </w:r>
      <w:r w:rsidRPr="00382917">
        <w:t>bath</w:t>
      </w:r>
      <w:r w:rsidR="00EE4FC3">
        <w:t xml:space="preserve"> </w:t>
      </w:r>
      <w:r w:rsidRPr="00382917">
        <w:t>He</w:t>
      </w:r>
      <w:r w:rsidR="00EE4FC3">
        <w:t xml:space="preserve"> </w:t>
      </w:r>
      <w:r w:rsidRPr="00382917">
        <w:t>again</w:t>
      </w:r>
      <w:r w:rsidR="00EE4FC3">
        <w:t xml:space="preserve"> </w:t>
      </w:r>
      <w:r w:rsidRPr="00382917">
        <w:t>mounted</w:t>
      </w:r>
      <w:r w:rsidR="00EE4FC3">
        <w:t xml:space="preserve"> </w:t>
      </w:r>
      <w:r w:rsidRPr="00382917">
        <w:t>the</w:t>
      </w:r>
      <w:r w:rsidR="00EE4FC3">
        <w:t xml:space="preserve"> </w:t>
      </w:r>
      <w:r w:rsidRPr="00382917">
        <w:t>same</w:t>
      </w:r>
      <w:r w:rsidR="00EE4FC3">
        <w:t xml:space="preserve"> </w:t>
      </w:r>
      <w:r w:rsidRPr="00382917">
        <w:t>horse,</w:t>
      </w:r>
      <w:r w:rsidR="00EE4FC3">
        <w:t xml:space="preserve"> </w:t>
      </w:r>
      <w:r w:rsidRPr="00382917">
        <w:t>and</w:t>
      </w:r>
      <w:r w:rsidR="00EE4FC3">
        <w:t xml:space="preserve"> </w:t>
      </w:r>
      <w:r w:rsidRPr="00382917">
        <w:t>was</w:t>
      </w:r>
      <w:r w:rsidR="00EE4FC3">
        <w:t xml:space="preserve"> </w:t>
      </w:r>
      <w:r w:rsidRPr="00382917">
        <w:t>once</w:t>
      </w:r>
      <w:r w:rsidR="00EE4FC3">
        <w:t xml:space="preserve"> </w:t>
      </w:r>
      <w:r w:rsidRPr="00382917">
        <w:t>again</w:t>
      </w:r>
      <w:r w:rsidR="00EE4FC3">
        <w:t xml:space="preserve"> </w:t>
      </w:r>
      <w:r w:rsidRPr="00382917">
        <w:t>acclaimed</w:t>
      </w:r>
      <w:r w:rsidR="00EE4FC3">
        <w:t xml:space="preserve"> </w:t>
      </w:r>
      <w:r w:rsidRPr="00382917">
        <w:t>by</w:t>
      </w:r>
      <w:r w:rsidR="00EE4FC3">
        <w:t xml:space="preserve"> </w:t>
      </w:r>
      <w:r w:rsidRPr="00382917">
        <w:t>the</w:t>
      </w:r>
      <w:r w:rsidR="00EE4FC3">
        <w:t xml:space="preserve"> </w:t>
      </w:r>
      <w:r w:rsidRPr="00382917">
        <w:t>townspeople.</w:t>
      </w:r>
    </w:p>
    <w:p w:rsidR="00E13D49" w:rsidRPr="00382917" w:rsidRDefault="00447F64" w:rsidP="00D41C7D">
      <w:pPr>
        <w:pStyle w:val="Text"/>
      </w:pPr>
      <w:r w:rsidRPr="00382917">
        <w:t>As</w:t>
      </w:r>
      <w:r w:rsidR="00EE4FC3">
        <w:t xml:space="preserve"> </w:t>
      </w:r>
      <w:r w:rsidRPr="00382917">
        <w:t>soon</w:t>
      </w:r>
      <w:r w:rsidR="00EE4FC3">
        <w:t xml:space="preserve"> </w:t>
      </w:r>
      <w:r w:rsidRPr="00382917">
        <w:t>as</w:t>
      </w:r>
      <w:r w:rsidR="00EE4FC3">
        <w:t xml:space="preserve"> </w:t>
      </w:r>
      <w:r w:rsidRPr="00382917">
        <w:t>the</w:t>
      </w:r>
      <w:r w:rsidR="00EE4FC3">
        <w:t xml:space="preserve"> </w:t>
      </w:r>
      <w:r w:rsidRPr="00382917">
        <w:t>Báb</w:t>
      </w:r>
      <w:r w:rsidR="00EE4FC3">
        <w:t xml:space="preserve"> </w:t>
      </w:r>
      <w:r w:rsidRPr="00382917">
        <w:t>left</w:t>
      </w:r>
      <w:r w:rsidR="00EE4FC3">
        <w:t xml:space="preserve"> </w:t>
      </w:r>
      <w:r w:rsidRPr="00382917">
        <w:t>the</w:t>
      </w:r>
      <w:r w:rsidR="00EE4FC3">
        <w:t xml:space="preserve"> </w:t>
      </w:r>
      <w:r w:rsidRPr="00382917">
        <w:t>public</w:t>
      </w:r>
      <w:r w:rsidR="00EE4FC3">
        <w:t xml:space="preserve"> </w:t>
      </w:r>
      <w:r w:rsidRPr="00382917">
        <w:t>bath,</w:t>
      </w:r>
      <w:r w:rsidR="00EE4FC3">
        <w:t xml:space="preserve"> </w:t>
      </w:r>
      <w:r w:rsidRPr="00382917">
        <w:t>the</w:t>
      </w:r>
      <w:r w:rsidR="00EE4FC3">
        <w:t xml:space="preserve"> </w:t>
      </w:r>
      <w:r w:rsidRPr="00382917">
        <w:t>people</w:t>
      </w:r>
      <w:r w:rsidR="00EE4FC3">
        <w:t xml:space="preserve"> </w:t>
      </w:r>
      <w:r w:rsidRPr="00382917">
        <w:t>of</w:t>
      </w:r>
      <w:r w:rsidR="00EE4FC3">
        <w:t xml:space="preserve"> </w:t>
      </w:r>
      <w:r w:rsidRPr="00382917">
        <w:t>Urúmíyyih</w:t>
      </w:r>
      <w:r w:rsidR="00EE4FC3">
        <w:t xml:space="preserve"> </w:t>
      </w:r>
      <w:r w:rsidRPr="00382917">
        <w:t>rushed</w:t>
      </w:r>
      <w:r w:rsidR="00EE4FC3">
        <w:t xml:space="preserve"> </w:t>
      </w:r>
      <w:r w:rsidRPr="00382917">
        <w:t>to</w:t>
      </w:r>
      <w:r w:rsidR="00EE4FC3">
        <w:t xml:space="preserve"> </w:t>
      </w:r>
      <w:r w:rsidRPr="00382917">
        <w:t>take</w:t>
      </w:r>
      <w:r w:rsidR="00EE4FC3">
        <w:t xml:space="preserve"> </w:t>
      </w:r>
      <w:r w:rsidRPr="00382917">
        <w:t>away</w:t>
      </w:r>
      <w:r w:rsidR="00EE4FC3">
        <w:t xml:space="preserve"> </w:t>
      </w:r>
      <w:r w:rsidRPr="00382917">
        <w:t>all</w:t>
      </w:r>
      <w:r w:rsidR="00EE4FC3">
        <w:t xml:space="preserve"> </w:t>
      </w:r>
      <w:r w:rsidRPr="00382917">
        <w:t>the</w:t>
      </w:r>
      <w:r w:rsidR="00EE4FC3">
        <w:t xml:space="preserve"> </w:t>
      </w:r>
      <w:r w:rsidRPr="00382917">
        <w:t>water</w:t>
      </w:r>
      <w:r w:rsidR="00EE4FC3">
        <w:t xml:space="preserve"> </w:t>
      </w:r>
      <w:r w:rsidRPr="00382917">
        <w:t>from</w:t>
      </w:r>
      <w:r w:rsidR="00EE4FC3">
        <w:t xml:space="preserve"> </w:t>
      </w:r>
      <w:r w:rsidRPr="00382917">
        <w:t>that</w:t>
      </w:r>
      <w:r w:rsidR="00EE4FC3">
        <w:t xml:space="preserve"> </w:t>
      </w:r>
      <w:r w:rsidRPr="00382917">
        <w:t>place</w:t>
      </w:r>
      <w:r w:rsidR="00EE4FC3">
        <w:t xml:space="preserve"> </w:t>
      </w:r>
      <w:r w:rsidRPr="00382917">
        <w:t>and</w:t>
      </w:r>
      <w:r w:rsidR="00EE4FC3">
        <w:t xml:space="preserve"> </w:t>
      </w:r>
      <w:r w:rsidRPr="00382917">
        <w:t>carry</w:t>
      </w:r>
      <w:r w:rsidR="00EE4FC3">
        <w:t xml:space="preserve"> </w:t>
      </w:r>
      <w:r w:rsidRPr="00382917">
        <w:t>it</w:t>
      </w:r>
      <w:r w:rsidR="00EE4FC3">
        <w:t xml:space="preserve"> </w:t>
      </w:r>
      <w:r w:rsidRPr="00382917">
        <w:t>in</w:t>
      </w:r>
      <w:r w:rsidR="00EE4FC3">
        <w:t xml:space="preserve"> </w:t>
      </w:r>
      <w:r w:rsidRPr="00382917">
        <w:t>containers</w:t>
      </w:r>
      <w:r w:rsidR="00EE4FC3">
        <w:t xml:space="preserve"> </w:t>
      </w:r>
      <w:r w:rsidRPr="00382917">
        <w:t>to</w:t>
      </w:r>
      <w:r w:rsidR="00EE4FC3">
        <w:t xml:space="preserve"> </w:t>
      </w:r>
      <w:r w:rsidRPr="00382917">
        <w:t>their</w:t>
      </w:r>
      <w:r w:rsidR="00EE4FC3">
        <w:t xml:space="preserve"> </w:t>
      </w:r>
      <w:r w:rsidRPr="00382917">
        <w:t>homes</w:t>
      </w:r>
      <w:r w:rsidR="00EE4FC3">
        <w:t xml:space="preserve"> </w:t>
      </w:r>
      <w:r w:rsidRPr="00382917">
        <w:t>in</w:t>
      </w:r>
      <w:r w:rsidR="00EE4FC3">
        <w:t xml:space="preserve"> </w:t>
      </w:r>
      <w:r w:rsidRPr="00382917">
        <w:t>all</w:t>
      </w:r>
      <w:r w:rsidR="00EE4FC3">
        <w:t xml:space="preserve"> </w:t>
      </w:r>
      <w:r w:rsidRPr="00382917">
        <w:t>parts</w:t>
      </w:r>
      <w:r w:rsidR="00EE4FC3">
        <w:t xml:space="preserve"> </w:t>
      </w:r>
      <w:r w:rsidRPr="00382917">
        <w:t>of</w:t>
      </w:r>
      <w:r w:rsidR="00EE4FC3">
        <w:t xml:space="preserve"> </w:t>
      </w:r>
      <w:r w:rsidRPr="00382917">
        <w:t>the</w:t>
      </w:r>
      <w:r w:rsidR="00EE4FC3">
        <w:t xml:space="preserve"> </w:t>
      </w:r>
      <w:r w:rsidRPr="00382917">
        <w:t>village</w:t>
      </w:r>
      <w:r w:rsidR="00A93643">
        <w:t>.</w:t>
      </w:r>
      <w:r w:rsidR="00EE4FC3">
        <w:t xml:space="preserve">  </w:t>
      </w:r>
      <w:r w:rsidRPr="00382917">
        <w:t>There</w:t>
      </w:r>
      <w:r w:rsidR="00EE4FC3">
        <w:t xml:space="preserve"> </w:t>
      </w:r>
      <w:r w:rsidRPr="00382917">
        <w:t>were</w:t>
      </w:r>
      <w:r w:rsidR="00EE4FC3">
        <w:t xml:space="preserve"> </w:t>
      </w:r>
      <w:r w:rsidRPr="00382917">
        <w:t>some</w:t>
      </w:r>
      <w:r w:rsidR="00EE4FC3">
        <w:t xml:space="preserve"> </w:t>
      </w:r>
      <w:r w:rsidRPr="00382917">
        <w:t>who</w:t>
      </w:r>
      <w:r w:rsidR="00EE4FC3">
        <w:t xml:space="preserve"> </w:t>
      </w:r>
      <w:r w:rsidRPr="00382917">
        <w:t>remembered</w:t>
      </w:r>
      <w:r w:rsidR="00EE4FC3">
        <w:t xml:space="preserve"> </w:t>
      </w:r>
      <w:r w:rsidRPr="00382917">
        <w:t>the</w:t>
      </w:r>
      <w:r w:rsidR="00EE4FC3">
        <w:t xml:space="preserve"> </w:t>
      </w:r>
      <w:r w:rsidRPr="00382917">
        <w:t>closing</w:t>
      </w:r>
      <w:r w:rsidR="00EE4FC3">
        <w:t xml:space="preserve"> </w:t>
      </w:r>
      <w:r w:rsidRPr="00382917">
        <w:t>words</w:t>
      </w:r>
      <w:r w:rsidR="00EE4FC3">
        <w:t xml:space="preserve"> </w:t>
      </w:r>
      <w:r w:rsidRPr="00382917">
        <w:t>of</w:t>
      </w:r>
      <w:r w:rsidR="00EE4FC3">
        <w:t xml:space="preserve"> </w:t>
      </w:r>
      <w:r w:rsidRPr="00382917">
        <w:t>a</w:t>
      </w:r>
      <w:r w:rsidR="00EE4FC3">
        <w:t xml:space="preserve"> </w:t>
      </w:r>
      <w:r w:rsidRPr="00382917">
        <w:t>prophecy</w:t>
      </w:r>
      <w:r w:rsidR="00EE4FC3">
        <w:t xml:space="preserve"> </w:t>
      </w:r>
      <w:r w:rsidRPr="00382917">
        <w:t>given</w:t>
      </w:r>
      <w:r w:rsidR="00EE4FC3">
        <w:t xml:space="preserve"> </w:t>
      </w:r>
      <w:r w:rsidRPr="00382917">
        <w:t>for</w:t>
      </w:r>
      <w:r w:rsidR="00EE4FC3">
        <w:t xml:space="preserve"> </w:t>
      </w:r>
      <w:r w:rsidRPr="00382917">
        <w:t>the</w:t>
      </w:r>
      <w:r w:rsidR="00EE4FC3">
        <w:t xml:space="preserve"> </w:t>
      </w:r>
      <w:r w:rsidRPr="00382917">
        <w:t>time</w:t>
      </w:r>
      <w:r w:rsidR="00EE4FC3">
        <w:t xml:space="preserve"> </w:t>
      </w:r>
      <w:r w:rsidRPr="00382917">
        <w:t>of</w:t>
      </w:r>
      <w:r w:rsidR="00EE4FC3">
        <w:t xml:space="preserve"> </w:t>
      </w:r>
      <w:r w:rsidRPr="00382917">
        <w:t>the</w:t>
      </w:r>
      <w:r w:rsidR="00EE4FC3">
        <w:t xml:space="preserve"> </w:t>
      </w:r>
      <w:r w:rsidRPr="00382917">
        <w:t>Promised</w:t>
      </w:r>
      <w:r w:rsidR="00EE4FC3">
        <w:t xml:space="preserve"> </w:t>
      </w:r>
      <w:r w:rsidRPr="00382917">
        <w:t>One</w:t>
      </w:r>
      <w:r w:rsidR="009C713D" w:rsidRPr="00382917">
        <w:t>’</w:t>
      </w:r>
      <w:r w:rsidRPr="00382917">
        <w:t>s</w:t>
      </w:r>
      <w:r w:rsidR="00EE4FC3">
        <w:t xml:space="preserve"> </w:t>
      </w:r>
      <w:r w:rsidRPr="00382917">
        <w:t>coming</w:t>
      </w:r>
      <w:r w:rsidR="00EE4FC3">
        <w:t xml:space="preserve"> </w:t>
      </w:r>
      <w:r w:rsidRPr="00382917">
        <w:t>which</w:t>
      </w:r>
      <w:r w:rsidR="00EE4FC3">
        <w:t xml:space="preserve"> </w:t>
      </w:r>
      <w:r w:rsidRPr="00382917">
        <w:t>said</w:t>
      </w:r>
      <w:r w:rsidR="00EE4FC3">
        <w:t xml:space="preserve"> </w:t>
      </w:r>
      <w:r w:rsidRPr="00382917">
        <w:t>that</w:t>
      </w:r>
      <w:r w:rsidR="00EE4FC3">
        <w:t xml:space="preserve"> </w:t>
      </w:r>
      <w:r w:rsidRPr="00382917">
        <w:t>the</w:t>
      </w:r>
      <w:r w:rsidR="00EE4FC3">
        <w:t xml:space="preserve"> </w:t>
      </w:r>
      <w:r w:rsidRPr="00382917">
        <w:t>lake</w:t>
      </w:r>
      <w:r w:rsidR="00EE4FC3">
        <w:t xml:space="preserve"> </w:t>
      </w:r>
      <w:r w:rsidRPr="00382917">
        <w:t>of</w:t>
      </w:r>
      <w:r w:rsidR="00EE4FC3">
        <w:t xml:space="preserve"> </w:t>
      </w:r>
      <w:r w:rsidRPr="00382917">
        <w:t>Urúmíyyih</w:t>
      </w:r>
      <w:r w:rsidR="00EE4FC3">
        <w:t xml:space="preserve"> </w:t>
      </w:r>
      <w:r w:rsidRPr="00382917">
        <w:t>will</w:t>
      </w:r>
      <w:r w:rsidR="00EE4FC3">
        <w:t xml:space="preserve"> </w:t>
      </w:r>
      <w:r w:rsidRPr="00382917">
        <w:t>boil</w:t>
      </w:r>
      <w:r w:rsidR="00EE4FC3">
        <w:t xml:space="preserve"> </w:t>
      </w:r>
      <w:r w:rsidRPr="00382917">
        <w:t>up,</w:t>
      </w:r>
      <w:r w:rsidR="00EE4FC3">
        <w:t xml:space="preserve"> </w:t>
      </w:r>
      <w:r w:rsidRPr="00382917">
        <w:t>will</w:t>
      </w:r>
      <w:r w:rsidR="00EE4FC3">
        <w:t xml:space="preserve"> </w:t>
      </w:r>
      <w:r w:rsidRPr="00382917">
        <w:t>overrun</w:t>
      </w:r>
      <w:r w:rsidR="00EE4FC3">
        <w:t xml:space="preserve"> </w:t>
      </w:r>
      <w:r w:rsidRPr="00382917">
        <w:t>its</w:t>
      </w:r>
      <w:r w:rsidR="00EE4FC3">
        <w:t xml:space="preserve"> </w:t>
      </w:r>
      <w:r w:rsidRPr="00382917">
        <w:t>banks,</w:t>
      </w:r>
      <w:r w:rsidR="00EE4FC3">
        <w:t xml:space="preserve"> </w:t>
      </w:r>
      <w:r w:rsidRPr="00382917">
        <w:t>and</w:t>
      </w:r>
      <w:r w:rsidR="00EE4FC3">
        <w:t xml:space="preserve"> </w:t>
      </w:r>
      <w:r w:rsidRPr="00382917">
        <w:t>inundate</w:t>
      </w:r>
      <w:r w:rsidR="00EE4FC3">
        <w:t xml:space="preserve"> </w:t>
      </w:r>
      <w:r w:rsidRPr="00382917">
        <w:t>the</w:t>
      </w:r>
      <w:r w:rsidR="00EE4FC3">
        <w:t xml:space="preserve"> </w:t>
      </w:r>
      <w:r w:rsidRPr="00382917">
        <w:t>town.</w:t>
      </w:r>
      <w:r w:rsidR="00D41C7D">
        <w:rPr>
          <w:rStyle w:val="FootnoteReference"/>
        </w:rPr>
        <w:footnoteReference w:id="90"/>
      </w:r>
    </w:p>
    <w:p w:rsidR="00447F64" w:rsidRPr="00382917" w:rsidRDefault="00447F64" w:rsidP="00137867">
      <w:pPr>
        <w:pStyle w:val="Text"/>
      </w:pPr>
      <w:r w:rsidRPr="00382917">
        <w:t>When</w:t>
      </w:r>
      <w:r w:rsidR="00EE4FC3">
        <w:t xml:space="preserve"> </w:t>
      </w:r>
      <w:r w:rsidRPr="00382917">
        <w:t>the</w:t>
      </w:r>
      <w:r w:rsidR="00EE4FC3">
        <w:t xml:space="preserve"> </w:t>
      </w:r>
      <w:r w:rsidRPr="00382917">
        <w:t>Báb</w:t>
      </w:r>
      <w:r w:rsidR="00EE4FC3">
        <w:t xml:space="preserve"> </w:t>
      </w:r>
      <w:r w:rsidRPr="00382917">
        <w:t>was</w:t>
      </w:r>
      <w:r w:rsidR="00EE4FC3">
        <w:t xml:space="preserve"> </w:t>
      </w:r>
      <w:r w:rsidRPr="00382917">
        <w:t>told</w:t>
      </w:r>
      <w:r w:rsidR="00EE4FC3">
        <w:t xml:space="preserve"> </w:t>
      </w:r>
      <w:r w:rsidRPr="00382917">
        <w:t>that</w:t>
      </w:r>
      <w:r w:rsidR="00EE4FC3">
        <w:t xml:space="preserve"> </w:t>
      </w:r>
      <w:r w:rsidRPr="00382917">
        <w:t>many</w:t>
      </w:r>
      <w:r w:rsidR="00EE4FC3">
        <w:t xml:space="preserve"> </w:t>
      </w:r>
      <w:r w:rsidRPr="00382917">
        <w:t>people</w:t>
      </w:r>
      <w:r w:rsidR="00EE4FC3">
        <w:t xml:space="preserve"> </w:t>
      </w:r>
      <w:r w:rsidRPr="00382917">
        <w:t>had</w:t>
      </w:r>
      <w:r w:rsidR="00EE4FC3">
        <w:t xml:space="preserve"> </w:t>
      </w:r>
      <w:r w:rsidRPr="00382917">
        <w:t>spontaneously</w:t>
      </w:r>
      <w:r w:rsidR="00EE4FC3">
        <w:t xml:space="preserve"> </w:t>
      </w:r>
      <w:r w:rsidRPr="00382917">
        <w:t>arisen</w:t>
      </w:r>
      <w:r w:rsidR="00EE4FC3">
        <w:t xml:space="preserve"> </w:t>
      </w:r>
      <w:r w:rsidRPr="00382917">
        <w:t>to</w:t>
      </w:r>
      <w:r w:rsidR="00EE4FC3">
        <w:t xml:space="preserve"> </w:t>
      </w:r>
      <w:r w:rsidRPr="00382917">
        <w:t>accept</w:t>
      </w:r>
      <w:r w:rsidR="00EE4FC3">
        <w:t xml:space="preserve"> </w:t>
      </w:r>
      <w:r w:rsidRPr="00382917">
        <w:t>His</w:t>
      </w:r>
      <w:r w:rsidR="00EE4FC3">
        <w:t xml:space="preserve"> </w:t>
      </w:r>
      <w:r w:rsidRPr="00382917">
        <w:t>Faith</w:t>
      </w:r>
      <w:r w:rsidR="00EE4FC3">
        <w:t xml:space="preserve"> </w:t>
      </w:r>
      <w:r w:rsidRPr="00382917">
        <w:t>because</w:t>
      </w:r>
      <w:r w:rsidR="00EE4FC3">
        <w:t xml:space="preserve"> </w:t>
      </w:r>
      <w:r w:rsidRPr="00382917">
        <w:t>of</w:t>
      </w:r>
      <w:r w:rsidR="00EE4FC3">
        <w:t xml:space="preserve"> </w:t>
      </w:r>
      <w:r w:rsidRPr="00382917">
        <w:t>these</w:t>
      </w:r>
      <w:r w:rsidR="00EE4FC3">
        <w:t xml:space="preserve"> </w:t>
      </w:r>
      <w:r w:rsidRPr="00382917">
        <w:t>remarkable</w:t>
      </w:r>
      <w:r w:rsidR="00EE4FC3">
        <w:t xml:space="preserve"> </w:t>
      </w:r>
      <w:r w:rsidRPr="00382917">
        <w:t>events,</w:t>
      </w:r>
      <w:r w:rsidR="00EE4FC3">
        <w:t xml:space="preserve"> </w:t>
      </w:r>
      <w:r w:rsidRPr="00382917">
        <w:t>which</w:t>
      </w:r>
      <w:r w:rsidR="00EE4FC3">
        <w:t xml:space="preserve"> </w:t>
      </w:r>
      <w:r w:rsidRPr="00382917">
        <w:t>they</w:t>
      </w:r>
      <w:r w:rsidR="00EE4FC3">
        <w:t xml:space="preserve"> </w:t>
      </w:r>
      <w:r w:rsidRPr="00382917">
        <w:t>considered</w:t>
      </w:r>
      <w:r w:rsidR="00EE4FC3">
        <w:t xml:space="preserve"> </w:t>
      </w:r>
      <w:r w:rsidRPr="00382917">
        <w:t>to</w:t>
      </w:r>
      <w:r w:rsidR="00EE4FC3">
        <w:t xml:space="preserve"> </w:t>
      </w:r>
      <w:r w:rsidRPr="00382917">
        <w:t>be</w:t>
      </w:r>
      <w:r w:rsidR="00EE4FC3">
        <w:t xml:space="preserve"> </w:t>
      </w:r>
      <w:r w:rsidRPr="00382917">
        <w:t>miracles,</w:t>
      </w:r>
      <w:r w:rsidR="00EE4FC3">
        <w:t xml:space="preserve"> </w:t>
      </w:r>
      <w:r w:rsidRPr="00382917">
        <w:t>He</w:t>
      </w:r>
      <w:r w:rsidR="00EE4FC3">
        <w:t xml:space="preserve"> </w:t>
      </w:r>
      <w:r w:rsidRPr="00382917">
        <w:t>sadly</w:t>
      </w:r>
      <w:r w:rsidR="00EE4FC3">
        <w:t xml:space="preserve"> </w:t>
      </w:r>
      <w:r w:rsidRPr="00382917">
        <w:t>quoted</w:t>
      </w:r>
      <w:r w:rsidR="00EE4FC3">
        <w:t xml:space="preserve"> </w:t>
      </w:r>
      <w:r w:rsidRPr="00382917">
        <w:t>the</w:t>
      </w:r>
      <w:r w:rsidR="00EE4FC3">
        <w:t xml:space="preserve"> </w:t>
      </w:r>
      <w:r w:rsidRPr="00382917">
        <w:t>words</w:t>
      </w:r>
      <w:r w:rsidR="00C03C91">
        <w:t>:</w:t>
      </w:r>
      <w:r w:rsidR="00EE4FC3">
        <w:t xml:space="preserve">  </w:t>
      </w:r>
      <w:r w:rsidR="009C713D" w:rsidRPr="00382917">
        <w:t>“</w:t>
      </w:r>
      <w:r w:rsidRPr="00382917">
        <w:t>Think</w:t>
      </w:r>
      <w:r w:rsidR="00EE4FC3">
        <w:t xml:space="preserve"> </w:t>
      </w:r>
      <w:r w:rsidRPr="00382917">
        <w:t>men</w:t>
      </w:r>
      <w:r w:rsidR="00EE4FC3">
        <w:t xml:space="preserve"> </w:t>
      </w:r>
      <w:r w:rsidRPr="00382917">
        <w:t>that</w:t>
      </w:r>
      <w:r w:rsidR="00EE4FC3">
        <w:t xml:space="preserve"> </w:t>
      </w:r>
      <w:r w:rsidRPr="00382917">
        <w:t>when</w:t>
      </w:r>
      <w:r w:rsidR="00EE4FC3">
        <w:t xml:space="preserve"> </w:t>
      </w:r>
      <w:r w:rsidRPr="00382917">
        <w:t>they</w:t>
      </w:r>
      <w:r w:rsidR="00EE4FC3">
        <w:t xml:space="preserve"> </w:t>
      </w:r>
      <w:r w:rsidRPr="00382917">
        <w:t>say,</w:t>
      </w:r>
      <w:r w:rsidR="00EE4FC3">
        <w:t xml:space="preserve"> </w:t>
      </w:r>
      <w:r w:rsidR="009C713D" w:rsidRPr="00382917">
        <w:t>‘</w:t>
      </w:r>
      <w:r w:rsidRPr="00382917">
        <w:t>We</w:t>
      </w:r>
      <w:r w:rsidR="00EE4FC3">
        <w:t xml:space="preserve"> </w:t>
      </w:r>
      <w:r w:rsidRPr="00382917">
        <w:t>believe</w:t>
      </w:r>
      <w:r w:rsidR="009C713D" w:rsidRPr="00382917">
        <w:t>’</w:t>
      </w:r>
      <w:r w:rsidR="00137867">
        <w:t>,</w:t>
      </w:r>
      <w:r w:rsidR="00EE4FC3">
        <w:t xml:space="preserve"> </w:t>
      </w:r>
      <w:r w:rsidRPr="00382917">
        <w:t>they</w:t>
      </w:r>
      <w:r w:rsidR="00EE4FC3">
        <w:t xml:space="preserve"> </w:t>
      </w:r>
      <w:r w:rsidRPr="00382917">
        <w:t>shall</w:t>
      </w:r>
      <w:r w:rsidR="00EE4FC3">
        <w:t xml:space="preserve"> </w:t>
      </w:r>
      <w:r w:rsidRPr="00382917">
        <w:t>be</w:t>
      </w:r>
      <w:r w:rsidR="00EE4FC3">
        <w:t xml:space="preserve"> </w:t>
      </w:r>
      <w:r w:rsidRPr="00382917">
        <w:t>let</w:t>
      </w:r>
      <w:r w:rsidR="00EE4FC3">
        <w:t xml:space="preserve"> </w:t>
      </w:r>
      <w:r w:rsidRPr="00382917">
        <w:t>alone</w:t>
      </w:r>
      <w:r w:rsidR="00EE4FC3">
        <w:t xml:space="preserve"> </w:t>
      </w:r>
      <w:r w:rsidRPr="00382917">
        <w:t>and</w:t>
      </w:r>
      <w:r w:rsidR="00EE4FC3">
        <w:t xml:space="preserve"> </w:t>
      </w:r>
      <w:r w:rsidRPr="00382917">
        <w:t>not</w:t>
      </w:r>
      <w:r w:rsidR="00EE4FC3">
        <w:t xml:space="preserve"> </w:t>
      </w:r>
      <w:r w:rsidRPr="00382917">
        <w:t>put</w:t>
      </w:r>
      <w:r w:rsidR="00EE4FC3">
        <w:t xml:space="preserve"> </w:t>
      </w:r>
      <w:r w:rsidRPr="00382917">
        <w:t>to</w:t>
      </w:r>
      <w:r w:rsidR="00EE4FC3">
        <w:t xml:space="preserve"> </w:t>
      </w:r>
      <w:r w:rsidRPr="00382917">
        <w:t>the</w:t>
      </w:r>
      <w:r w:rsidR="00EE4FC3">
        <w:t xml:space="preserve"> </w:t>
      </w:r>
      <w:r w:rsidRPr="00382917">
        <w:t>proof?</w:t>
      </w:r>
      <w:r w:rsidR="009C713D" w:rsidRPr="00382917">
        <w:t>”</w:t>
      </w:r>
    </w:p>
    <w:p w:rsidR="00447F64" w:rsidRPr="00382917" w:rsidRDefault="00447F64" w:rsidP="00447F64">
      <w:pPr>
        <w:pStyle w:val="Text"/>
      </w:pPr>
      <w:r w:rsidRPr="00382917">
        <w:t>This</w:t>
      </w:r>
      <w:r w:rsidR="00EE4FC3">
        <w:t xml:space="preserve"> </w:t>
      </w:r>
      <w:r w:rsidRPr="00382917">
        <w:t>comment</w:t>
      </w:r>
      <w:r w:rsidR="00EE4FC3">
        <w:t xml:space="preserve"> </w:t>
      </w:r>
      <w:r w:rsidRPr="00382917">
        <w:t>was</w:t>
      </w:r>
      <w:r w:rsidR="00EE4FC3">
        <w:t xml:space="preserve"> </w:t>
      </w:r>
      <w:r w:rsidRPr="00382917">
        <w:t>fully</w:t>
      </w:r>
      <w:r w:rsidR="00EE4FC3">
        <w:t xml:space="preserve"> </w:t>
      </w:r>
      <w:r w:rsidRPr="00382917">
        <w:t>justified</w:t>
      </w:r>
      <w:r w:rsidR="00EE4FC3">
        <w:t xml:space="preserve"> </w:t>
      </w:r>
      <w:r w:rsidRPr="00382917">
        <w:t>by</w:t>
      </w:r>
      <w:r w:rsidR="00EE4FC3">
        <w:t xml:space="preserve"> </w:t>
      </w:r>
      <w:r w:rsidRPr="00382917">
        <w:t>the</w:t>
      </w:r>
      <w:r w:rsidR="00EE4FC3">
        <w:t xml:space="preserve"> </w:t>
      </w:r>
      <w:r w:rsidRPr="00382917">
        <w:t>attitude</w:t>
      </w:r>
      <w:r w:rsidR="00EE4FC3">
        <w:t xml:space="preserve"> </w:t>
      </w:r>
      <w:r w:rsidRPr="00382917">
        <w:t>of</w:t>
      </w:r>
      <w:r w:rsidR="00EE4FC3">
        <w:t xml:space="preserve"> </w:t>
      </w:r>
      <w:r w:rsidRPr="00382917">
        <w:t>these</w:t>
      </w:r>
      <w:r w:rsidR="00EE4FC3">
        <w:t xml:space="preserve"> </w:t>
      </w:r>
      <w:r w:rsidRPr="00382917">
        <w:t>same</w:t>
      </w:r>
      <w:r w:rsidR="00EE4FC3">
        <w:t xml:space="preserve"> </w:t>
      </w:r>
      <w:r w:rsidRPr="00382917">
        <w:t>people</w:t>
      </w:r>
      <w:r w:rsidR="00EE4FC3">
        <w:t xml:space="preserve"> </w:t>
      </w:r>
      <w:r w:rsidRPr="00382917">
        <w:t>of</w:t>
      </w:r>
      <w:r w:rsidR="00EE4FC3">
        <w:t xml:space="preserve"> </w:t>
      </w:r>
      <w:r w:rsidRPr="00382917">
        <w:t>Urúmíyyih</w:t>
      </w:r>
      <w:r w:rsidR="00EE4FC3">
        <w:t xml:space="preserve"> </w:t>
      </w:r>
      <w:r w:rsidRPr="00382917">
        <w:t>when</w:t>
      </w:r>
      <w:r w:rsidR="00EE4FC3">
        <w:t xml:space="preserve"> </w:t>
      </w:r>
      <w:r w:rsidRPr="00382917">
        <w:t>later</w:t>
      </w:r>
      <w:r w:rsidR="00EE4FC3">
        <w:t xml:space="preserve"> </w:t>
      </w:r>
      <w:r w:rsidRPr="00382917">
        <w:t>they</w:t>
      </w:r>
      <w:r w:rsidR="00EE4FC3">
        <w:t xml:space="preserve"> </w:t>
      </w:r>
      <w:r w:rsidRPr="00382917">
        <w:t>heard</w:t>
      </w:r>
      <w:r w:rsidR="00EE4FC3">
        <w:t xml:space="preserve"> </w:t>
      </w:r>
      <w:r w:rsidRPr="00382917">
        <w:t>the</w:t>
      </w:r>
      <w:r w:rsidR="00EE4FC3">
        <w:t xml:space="preserve"> </w:t>
      </w:r>
      <w:r w:rsidRPr="00382917">
        <w:t>news</w:t>
      </w:r>
      <w:r w:rsidR="00EE4FC3">
        <w:t xml:space="preserve"> </w:t>
      </w:r>
      <w:r w:rsidRPr="00382917">
        <w:t>of</w:t>
      </w:r>
      <w:r w:rsidR="00EE4FC3">
        <w:t xml:space="preserve"> </w:t>
      </w:r>
      <w:r w:rsidRPr="00382917">
        <w:t>the</w:t>
      </w:r>
      <w:r w:rsidR="00EE4FC3">
        <w:t xml:space="preserve"> </w:t>
      </w:r>
      <w:r w:rsidRPr="00382917">
        <w:t>dreadful</w:t>
      </w:r>
      <w:r w:rsidR="00EE4FC3">
        <w:t xml:space="preserve"> </w:t>
      </w:r>
      <w:r w:rsidRPr="00382917">
        <w:t>treatment</w:t>
      </w:r>
      <w:r w:rsidR="00EE4FC3">
        <w:t xml:space="preserve"> </w:t>
      </w:r>
      <w:r w:rsidRPr="00382917">
        <w:t>which</w:t>
      </w:r>
      <w:r w:rsidR="00EE4FC3">
        <w:t xml:space="preserve"> </w:t>
      </w:r>
      <w:r w:rsidRPr="00382917">
        <w:t>the</w:t>
      </w:r>
      <w:r w:rsidR="00EE4FC3">
        <w:t xml:space="preserve"> </w:t>
      </w:r>
      <w:r w:rsidRPr="00382917">
        <w:t>Báb</w:t>
      </w:r>
      <w:r w:rsidR="00EE4FC3">
        <w:t xml:space="preserve"> </w:t>
      </w:r>
      <w:r w:rsidRPr="00382917">
        <w:t>had</w:t>
      </w:r>
      <w:r w:rsidR="00EE4FC3">
        <w:t xml:space="preserve"> </w:t>
      </w:r>
      <w:r w:rsidRPr="00382917">
        <w:t>suffered</w:t>
      </w:r>
      <w:r w:rsidR="00EE4FC3">
        <w:t xml:space="preserve"> </w:t>
      </w:r>
      <w:r w:rsidRPr="00382917">
        <w:t>at</w:t>
      </w:r>
      <w:r w:rsidR="00EE4FC3">
        <w:t xml:space="preserve"> </w:t>
      </w:r>
      <w:r w:rsidR="00B24C41">
        <w:t>Tabríz</w:t>
      </w:r>
      <w:r w:rsidR="00A93643">
        <w:t>.</w:t>
      </w:r>
      <w:r w:rsidR="00EE4FC3">
        <w:t xml:space="preserve">  </w:t>
      </w:r>
      <w:r w:rsidRPr="00382917">
        <w:t>Hardly</w:t>
      </w:r>
      <w:r w:rsidR="00EE4FC3">
        <w:t xml:space="preserve"> </w:t>
      </w:r>
      <w:r w:rsidRPr="00382917">
        <w:t>a</w:t>
      </w:r>
      <w:r w:rsidR="00EE4FC3">
        <w:t xml:space="preserve"> </w:t>
      </w:r>
      <w:r w:rsidRPr="00382917">
        <w:t>handful</w:t>
      </w:r>
      <w:r w:rsidR="00EE4FC3">
        <w:t xml:space="preserve"> </w:t>
      </w:r>
      <w:r w:rsidRPr="00382917">
        <w:t>of</w:t>
      </w:r>
      <w:r w:rsidR="00EE4FC3">
        <w:t xml:space="preserve"> </w:t>
      </w:r>
      <w:r w:rsidRPr="00382917">
        <w:t>those</w:t>
      </w:r>
      <w:r w:rsidR="00EE4FC3">
        <w:t xml:space="preserve"> </w:t>
      </w:r>
      <w:r w:rsidRPr="00382917">
        <w:t>who</w:t>
      </w:r>
      <w:r w:rsidR="00EE4FC3">
        <w:t xml:space="preserve"> </w:t>
      </w:r>
      <w:r w:rsidRPr="00382917">
        <w:t>had</w:t>
      </w:r>
      <w:r w:rsidR="00EE4FC3">
        <w:t xml:space="preserve"> </w:t>
      </w:r>
      <w:r w:rsidRPr="00382917">
        <w:t>so</w:t>
      </w:r>
      <w:r w:rsidR="00EE4FC3">
        <w:t xml:space="preserve"> </w:t>
      </w:r>
      <w:r w:rsidRPr="00382917">
        <w:t>eagerly</w:t>
      </w:r>
      <w:r w:rsidR="00EE4FC3">
        <w:t xml:space="preserve"> </w:t>
      </w:r>
      <w:r w:rsidRPr="00382917">
        <w:t>proclaimed</w:t>
      </w:r>
      <w:r w:rsidR="00EE4FC3">
        <w:t xml:space="preserve"> </w:t>
      </w:r>
      <w:r w:rsidRPr="00382917">
        <w:t>their</w:t>
      </w:r>
      <w:r w:rsidR="00EE4FC3">
        <w:t xml:space="preserve"> </w:t>
      </w:r>
      <w:r w:rsidRPr="00382917">
        <w:t>belief</w:t>
      </w:r>
      <w:r w:rsidR="00EE4FC3">
        <w:t xml:space="preserve"> </w:t>
      </w:r>
      <w:r w:rsidRPr="00382917">
        <w:t>in</w:t>
      </w:r>
      <w:r w:rsidR="00EE4FC3">
        <w:t xml:space="preserve"> </w:t>
      </w:r>
      <w:r w:rsidRPr="00382917">
        <w:t>His</w:t>
      </w:r>
      <w:r w:rsidR="00EE4FC3">
        <w:t xml:space="preserve"> </w:t>
      </w:r>
      <w:r w:rsidRPr="00382917">
        <w:t>Cause</w:t>
      </w:r>
      <w:r w:rsidR="00EE4FC3">
        <w:t xml:space="preserve"> </w:t>
      </w:r>
      <w:r w:rsidRPr="00382917">
        <w:t>on</w:t>
      </w:r>
      <w:r w:rsidR="00EE4FC3">
        <w:t xml:space="preserve"> </w:t>
      </w:r>
      <w:r w:rsidRPr="00382917">
        <w:t>that</w:t>
      </w:r>
      <w:r w:rsidR="00EE4FC3">
        <w:t xml:space="preserve"> </w:t>
      </w:r>
      <w:r w:rsidRPr="00382917">
        <w:t>day</w:t>
      </w:r>
      <w:r w:rsidR="00EE4FC3">
        <w:t xml:space="preserve"> </w:t>
      </w:r>
      <w:r w:rsidRPr="00382917">
        <w:t>remained</w:t>
      </w:r>
      <w:r w:rsidR="00EE4FC3">
        <w:t xml:space="preserve"> </w:t>
      </w:r>
      <w:r w:rsidRPr="00382917">
        <w:t>faithful</w:t>
      </w:r>
      <w:r w:rsidR="00A93643">
        <w:t>.</w:t>
      </w:r>
      <w:r w:rsidR="00EE4FC3">
        <w:t xml:space="preserve">  </w:t>
      </w:r>
      <w:r w:rsidRPr="00382917">
        <w:t>Miracles,</w:t>
      </w:r>
      <w:r w:rsidR="00EE4FC3">
        <w:t xml:space="preserve"> </w:t>
      </w:r>
      <w:r w:rsidRPr="00382917">
        <w:t>the</w:t>
      </w:r>
      <w:r w:rsidR="00EE4FC3">
        <w:t xml:space="preserve"> </w:t>
      </w:r>
      <w:r w:rsidRPr="00382917">
        <w:t>followers</w:t>
      </w:r>
      <w:r w:rsidR="00EE4FC3">
        <w:t xml:space="preserve"> </w:t>
      </w:r>
      <w:r w:rsidRPr="00382917">
        <w:t>of</w:t>
      </w:r>
      <w:r w:rsidR="00EE4FC3">
        <w:t xml:space="preserve"> </w:t>
      </w:r>
      <w:r w:rsidRPr="00382917">
        <w:t>His</w:t>
      </w:r>
      <w:r w:rsidR="00EE4FC3">
        <w:t xml:space="preserve"> </w:t>
      </w:r>
      <w:r w:rsidRPr="00382917">
        <w:t>Faith</w:t>
      </w:r>
      <w:r w:rsidR="00EE4FC3">
        <w:t xml:space="preserve"> </w:t>
      </w:r>
      <w:r w:rsidRPr="00382917">
        <w:t>were</w:t>
      </w:r>
      <w:r w:rsidR="00EE4FC3">
        <w:t xml:space="preserve"> </w:t>
      </w:r>
      <w:r w:rsidRPr="00382917">
        <w:t>to</w:t>
      </w:r>
      <w:r w:rsidR="00EE4FC3">
        <w:t xml:space="preserve"> </w:t>
      </w:r>
      <w:r w:rsidRPr="00382917">
        <w:t>learn,</w:t>
      </w:r>
      <w:r w:rsidR="00EE4FC3">
        <w:t xml:space="preserve"> </w:t>
      </w:r>
      <w:r w:rsidRPr="00382917">
        <w:t>are</w:t>
      </w:r>
      <w:r w:rsidR="00EE4FC3">
        <w:t xml:space="preserve"> </w:t>
      </w:r>
      <w:r w:rsidRPr="00382917">
        <w:t>but</w:t>
      </w:r>
      <w:r w:rsidR="00EE4FC3">
        <w:t xml:space="preserve"> </w:t>
      </w:r>
      <w:r w:rsidRPr="00382917">
        <w:t>a</w:t>
      </w:r>
      <w:r w:rsidR="00EE4FC3">
        <w:t xml:space="preserve"> </w:t>
      </w:r>
      <w:r w:rsidRPr="00382917">
        <w:t>secondary</w:t>
      </w:r>
      <w:r w:rsidR="00EE4FC3">
        <w:t xml:space="preserve"> </w:t>
      </w:r>
      <w:r w:rsidRPr="00382917">
        <w:t>proof</w:t>
      </w:r>
      <w:r w:rsidR="00EE4FC3">
        <w:t xml:space="preserve"> </w:t>
      </w:r>
      <w:r w:rsidRPr="00382917">
        <w:t>and</w:t>
      </w:r>
      <w:r w:rsidR="00EE4FC3">
        <w:t xml:space="preserve"> </w:t>
      </w:r>
      <w:r w:rsidRPr="00382917">
        <w:t>of</w:t>
      </w:r>
      <w:r w:rsidR="00EE4FC3">
        <w:t xml:space="preserve"> </w:t>
      </w:r>
      <w:r w:rsidRPr="00382917">
        <w:t>value</w:t>
      </w:r>
      <w:r w:rsidR="00EE4FC3">
        <w:t xml:space="preserve"> </w:t>
      </w:r>
      <w:r w:rsidRPr="00382917">
        <w:t>only</w:t>
      </w:r>
      <w:r w:rsidR="00EE4FC3">
        <w:t xml:space="preserve"> </w:t>
      </w:r>
      <w:r w:rsidRPr="00382917">
        <w:t>to</w:t>
      </w:r>
      <w:r w:rsidR="00EE4FC3">
        <w:t xml:space="preserve"> </w:t>
      </w:r>
      <w:r w:rsidRPr="00382917">
        <w:t>those</w:t>
      </w:r>
    </w:p>
    <w:p w:rsidR="00447F64" w:rsidRPr="00382917" w:rsidRDefault="00447F64">
      <w:pPr>
        <w:widowControl/>
        <w:kinsoku/>
        <w:overflowPunct/>
        <w:textAlignment w:val="auto"/>
      </w:pPr>
      <w:r w:rsidRPr="00382917">
        <w:br w:type="page"/>
      </w:r>
    </w:p>
    <w:p w:rsidR="00447F64" w:rsidRPr="00382917" w:rsidRDefault="00447F64" w:rsidP="005A203A">
      <w:pPr>
        <w:pStyle w:val="Textcts"/>
      </w:pPr>
      <w:proofErr w:type="gramStart"/>
      <w:r w:rsidRPr="00382917">
        <w:t>who</w:t>
      </w:r>
      <w:proofErr w:type="gramEnd"/>
      <w:r w:rsidR="00EE4FC3">
        <w:t xml:space="preserve"> </w:t>
      </w:r>
      <w:r w:rsidRPr="00382917">
        <w:t>witness</w:t>
      </w:r>
      <w:r w:rsidR="00EE4FC3">
        <w:t xml:space="preserve"> </w:t>
      </w:r>
      <w:r w:rsidRPr="00382917">
        <w:t>them;</w:t>
      </w:r>
      <w:r w:rsidR="00EE4FC3">
        <w:t xml:space="preserve"> </w:t>
      </w:r>
      <w:r w:rsidRPr="00382917">
        <w:t>of</w:t>
      </w:r>
      <w:r w:rsidR="00EE4FC3">
        <w:t xml:space="preserve"> </w:t>
      </w:r>
      <w:r w:rsidRPr="00382917">
        <w:t>themselves</w:t>
      </w:r>
      <w:r w:rsidR="00EE4FC3">
        <w:t xml:space="preserve"> </w:t>
      </w:r>
      <w:r w:rsidRPr="00382917">
        <w:t>miracles</w:t>
      </w:r>
      <w:r w:rsidR="00EE4FC3">
        <w:t xml:space="preserve"> </w:t>
      </w:r>
      <w:r w:rsidRPr="00382917">
        <w:t>have</w:t>
      </w:r>
      <w:r w:rsidR="00EE4FC3">
        <w:t xml:space="preserve"> </w:t>
      </w:r>
      <w:r w:rsidRPr="00382917">
        <w:t>no</w:t>
      </w:r>
      <w:r w:rsidR="00EE4FC3">
        <w:t xml:space="preserve"> </w:t>
      </w:r>
      <w:r w:rsidRPr="00382917">
        <w:t>lasting</w:t>
      </w:r>
      <w:r w:rsidR="00EE4FC3">
        <w:t xml:space="preserve"> </w:t>
      </w:r>
      <w:r w:rsidRPr="00382917">
        <w:t>value</w:t>
      </w:r>
      <w:r w:rsidR="00A93643">
        <w:t>.</w:t>
      </w:r>
      <w:r w:rsidR="00EE4FC3">
        <w:t xml:space="preserve">  </w:t>
      </w:r>
      <w:r w:rsidRPr="00382917">
        <w:t>It</w:t>
      </w:r>
      <w:r w:rsidR="00EE4FC3">
        <w:t xml:space="preserve"> </w:t>
      </w:r>
      <w:r w:rsidRPr="00382917">
        <w:t>was</w:t>
      </w:r>
      <w:r w:rsidR="00EE4FC3">
        <w:t xml:space="preserve"> </w:t>
      </w:r>
      <w:r w:rsidRPr="00382917">
        <w:t>now</w:t>
      </w:r>
      <w:r w:rsidR="00EE4FC3">
        <w:t xml:space="preserve"> </w:t>
      </w:r>
      <w:r w:rsidRPr="00382917">
        <w:t>as</w:t>
      </w:r>
      <w:r w:rsidR="00EE4FC3">
        <w:t xml:space="preserve"> </w:t>
      </w:r>
      <w:r w:rsidRPr="00382917">
        <w:t>it</w:t>
      </w:r>
      <w:r w:rsidR="00EE4FC3">
        <w:t xml:space="preserve"> </w:t>
      </w:r>
      <w:r w:rsidRPr="00382917">
        <w:t>had</w:t>
      </w:r>
      <w:r w:rsidR="00EE4FC3">
        <w:t xml:space="preserve"> </w:t>
      </w:r>
      <w:r w:rsidRPr="00382917">
        <w:t>been</w:t>
      </w:r>
      <w:r w:rsidR="00EE4FC3">
        <w:t xml:space="preserve"> </w:t>
      </w:r>
      <w:r w:rsidRPr="00382917">
        <w:t>in</w:t>
      </w:r>
      <w:r w:rsidR="00EE4FC3">
        <w:t xml:space="preserve"> </w:t>
      </w:r>
      <w:r w:rsidRPr="00382917">
        <w:t>the</w:t>
      </w:r>
      <w:r w:rsidR="00EE4FC3">
        <w:t xml:space="preserve"> </w:t>
      </w:r>
      <w:r w:rsidRPr="00382917">
        <w:t>time</w:t>
      </w:r>
      <w:r w:rsidR="00EE4FC3">
        <w:t xml:space="preserve"> </w:t>
      </w:r>
      <w:r w:rsidRPr="00382917">
        <w:t>of</w:t>
      </w:r>
      <w:r w:rsidR="00EE4FC3">
        <w:t xml:space="preserve"> </w:t>
      </w:r>
      <w:r w:rsidRPr="00382917">
        <w:t>Christ,</w:t>
      </w:r>
      <w:r w:rsidR="00EE4FC3">
        <w:t xml:space="preserve"> </w:t>
      </w:r>
      <w:r w:rsidRPr="00382917">
        <w:t>for</w:t>
      </w:r>
      <w:r w:rsidR="00EE4FC3">
        <w:t xml:space="preserve"> </w:t>
      </w:r>
      <w:r w:rsidRPr="00382917">
        <w:t>when</w:t>
      </w:r>
      <w:r w:rsidR="00EE4FC3">
        <w:t xml:space="preserve"> </w:t>
      </w:r>
      <w:r w:rsidRPr="00382917">
        <w:t>Jesus</w:t>
      </w:r>
      <w:r w:rsidR="00EE4FC3">
        <w:t xml:space="preserve"> </w:t>
      </w:r>
      <w:r w:rsidRPr="00382917">
        <w:t>miraculously</w:t>
      </w:r>
      <w:r w:rsidR="00EE4FC3">
        <w:t xml:space="preserve"> </w:t>
      </w:r>
      <w:r w:rsidRPr="00382917">
        <w:t>healed</w:t>
      </w:r>
      <w:r w:rsidR="00EE4FC3">
        <w:t xml:space="preserve"> </w:t>
      </w:r>
      <w:r w:rsidRPr="00382917">
        <w:t>the</w:t>
      </w:r>
      <w:r w:rsidR="00EE4FC3">
        <w:t xml:space="preserve"> </w:t>
      </w:r>
      <w:r w:rsidRPr="00382917">
        <w:t>ten</w:t>
      </w:r>
      <w:r w:rsidR="00EE4FC3">
        <w:t xml:space="preserve"> </w:t>
      </w:r>
      <w:r w:rsidRPr="00382917">
        <w:t>lepers</w:t>
      </w:r>
      <w:r w:rsidR="00EE4FC3">
        <w:t xml:space="preserve"> </w:t>
      </w:r>
      <w:r w:rsidRPr="00382917">
        <w:t>only</w:t>
      </w:r>
      <w:r w:rsidR="00EE4FC3">
        <w:t xml:space="preserve"> </w:t>
      </w:r>
      <w:r w:rsidRPr="00382917">
        <w:t>one</w:t>
      </w:r>
      <w:r w:rsidR="00EE4FC3">
        <w:t xml:space="preserve"> </w:t>
      </w:r>
      <w:r w:rsidRPr="00382917">
        <w:t>remained</w:t>
      </w:r>
      <w:r w:rsidR="00EE4FC3">
        <w:t xml:space="preserve"> </w:t>
      </w:r>
      <w:r w:rsidRPr="00382917">
        <w:t>to</w:t>
      </w:r>
      <w:r w:rsidR="00EE4FC3">
        <w:t xml:space="preserve"> </w:t>
      </w:r>
      <w:r w:rsidRPr="00382917">
        <w:t>thank</w:t>
      </w:r>
      <w:r w:rsidR="00EE4FC3">
        <w:t xml:space="preserve"> </w:t>
      </w:r>
      <w:r w:rsidRPr="00382917">
        <w:t>Him</w:t>
      </w:r>
      <w:r w:rsidR="00A93643">
        <w:t>.</w:t>
      </w:r>
      <w:r w:rsidR="00EE4FC3">
        <w:t xml:space="preserve">  </w:t>
      </w:r>
      <w:r w:rsidRPr="00382917">
        <w:t>He</w:t>
      </w:r>
      <w:r w:rsidR="00EE4FC3">
        <w:t xml:space="preserve"> </w:t>
      </w:r>
      <w:r w:rsidRPr="00382917">
        <w:t>said</w:t>
      </w:r>
      <w:r w:rsidR="00C03C91">
        <w:t>:</w:t>
      </w:r>
      <w:r w:rsidR="00EE4FC3">
        <w:t xml:space="preserve">  </w:t>
      </w:r>
      <w:r w:rsidR="009C713D" w:rsidRPr="00382917">
        <w:t>“</w:t>
      </w:r>
      <w:r w:rsidRPr="00382917">
        <w:t>Were</w:t>
      </w:r>
      <w:r w:rsidR="00EE4FC3">
        <w:t xml:space="preserve"> </w:t>
      </w:r>
      <w:r w:rsidRPr="00382917">
        <w:t>there</w:t>
      </w:r>
      <w:r w:rsidR="00EE4FC3">
        <w:t xml:space="preserve"> </w:t>
      </w:r>
      <w:r w:rsidRPr="00382917">
        <w:t>not</w:t>
      </w:r>
      <w:r w:rsidR="00EE4FC3">
        <w:t xml:space="preserve"> </w:t>
      </w:r>
      <w:r w:rsidRPr="00382917">
        <w:t>ten</w:t>
      </w:r>
      <w:r w:rsidR="00EE4FC3">
        <w:t xml:space="preserve"> </w:t>
      </w:r>
      <w:r w:rsidRPr="00382917">
        <w:t>cleansed</w:t>
      </w:r>
      <w:proofErr w:type="gramStart"/>
      <w:r w:rsidRPr="00382917">
        <w:t>?</w:t>
      </w:r>
      <w:r w:rsidR="00EE4FC3">
        <w:t xml:space="preserve"> </w:t>
      </w:r>
      <w:r w:rsidRPr="00382917">
        <w:t>but</w:t>
      </w:r>
      <w:proofErr w:type="gramEnd"/>
      <w:r w:rsidR="00EE4FC3">
        <w:t xml:space="preserve"> </w:t>
      </w:r>
      <w:r w:rsidRPr="00382917">
        <w:t>where</w:t>
      </w:r>
      <w:r w:rsidR="00EE4FC3">
        <w:t xml:space="preserve"> </w:t>
      </w:r>
      <w:r w:rsidRPr="00382917">
        <w:t>are</w:t>
      </w:r>
      <w:r w:rsidR="00EE4FC3">
        <w:t xml:space="preserve"> </w:t>
      </w:r>
      <w:r w:rsidRPr="00382917">
        <w:t>the</w:t>
      </w:r>
      <w:r w:rsidR="00EE4FC3">
        <w:t xml:space="preserve"> </w:t>
      </w:r>
      <w:r w:rsidRPr="00382917">
        <w:t>nine?</w:t>
      </w:r>
      <w:r w:rsidR="009C713D" w:rsidRPr="00382917">
        <w:t>”</w:t>
      </w:r>
      <w:r w:rsidR="005A203A">
        <w:rPr>
          <w:rStyle w:val="FootnoteReference"/>
        </w:rPr>
        <w:footnoteReference w:id="91"/>
      </w:r>
    </w:p>
    <w:p w:rsidR="00447F64" w:rsidRPr="00382917" w:rsidRDefault="00447F64" w:rsidP="00447F64">
      <w:pPr>
        <w:pStyle w:val="Text"/>
      </w:pPr>
      <w:r w:rsidRPr="00382917">
        <w:t>Tales</w:t>
      </w:r>
      <w:r w:rsidR="00EE4FC3">
        <w:t xml:space="preserve"> </w:t>
      </w:r>
      <w:r w:rsidRPr="00382917">
        <w:t>of</w:t>
      </w:r>
      <w:r w:rsidR="00EE4FC3">
        <w:t xml:space="preserve"> </w:t>
      </w:r>
      <w:r w:rsidRPr="00382917">
        <w:t>what</w:t>
      </w:r>
      <w:r w:rsidR="00EE4FC3">
        <w:t xml:space="preserve"> </w:t>
      </w:r>
      <w:r w:rsidRPr="00382917">
        <w:t>had</w:t>
      </w:r>
      <w:r w:rsidR="00EE4FC3">
        <w:t xml:space="preserve"> </w:t>
      </w:r>
      <w:r w:rsidRPr="00382917">
        <w:t>happened</w:t>
      </w:r>
      <w:r w:rsidR="00EE4FC3">
        <w:t xml:space="preserve"> </w:t>
      </w:r>
      <w:r w:rsidRPr="00382917">
        <w:t>in</w:t>
      </w:r>
      <w:r w:rsidR="00EE4FC3">
        <w:t xml:space="preserve"> </w:t>
      </w:r>
      <w:r w:rsidRPr="00382917">
        <w:t>Urúmíyyih</w:t>
      </w:r>
      <w:r w:rsidR="00EE4FC3">
        <w:t xml:space="preserve"> </w:t>
      </w:r>
      <w:r w:rsidRPr="00382917">
        <w:t>raced</w:t>
      </w:r>
      <w:r w:rsidR="00EE4FC3">
        <w:t xml:space="preserve"> </w:t>
      </w:r>
      <w:r w:rsidRPr="00382917">
        <w:t>ahead</w:t>
      </w:r>
      <w:r w:rsidR="00EE4FC3">
        <w:t xml:space="preserve"> </w:t>
      </w:r>
      <w:r w:rsidRPr="00382917">
        <w:t>of</w:t>
      </w:r>
      <w:r w:rsidR="00EE4FC3">
        <w:t xml:space="preserve"> </w:t>
      </w:r>
      <w:r w:rsidRPr="00382917">
        <w:t>the</w:t>
      </w:r>
      <w:r w:rsidR="00EE4FC3">
        <w:t xml:space="preserve"> </w:t>
      </w:r>
      <w:r w:rsidRPr="00382917">
        <w:t>Báb</w:t>
      </w:r>
      <w:r w:rsidR="00EE4FC3">
        <w:t xml:space="preserve"> </w:t>
      </w:r>
      <w:r w:rsidRPr="00382917">
        <w:t>and</w:t>
      </w:r>
      <w:r w:rsidR="00EE4FC3">
        <w:t xml:space="preserve"> </w:t>
      </w:r>
      <w:r w:rsidRPr="00382917">
        <w:t>His</w:t>
      </w:r>
      <w:r w:rsidR="00EE4FC3">
        <w:t xml:space="preserve"> </w:t>
      </w:r>
      <w:r w:rsidRPr="00382917">
        <w:t>escort,</w:t>
      </w:r>
      <w:r w:rsidR="00EE4FC3">
        <w:t xml:space="preserve"> </w:t>
      </w:r>
      <w:r w:rsidRPr="00382917">
        <w:t>causing</w:t>
      </w:r>
      <w:r w:rsidR="00EE4FC3">
        <w:t xml:space="preserve"> </w:t>
      </w:r>
      <w:r w:rsidRPr="00382917">
        <w:t>a</w:t>
      </w:r>
      <w:r w:rsidR="00EE4FC3">
        <w:t xml:space="preserve"> </w:t>
      </w:r>
      <w:r w:rsidRPr="00382917">
        <w:t>great</w:t>
      </w:r>
      <w:r w:rsidR="00EE4FC3">
        <w:t xml:space="preserve"> </w:t>
      </w:r>
      <w:r w:rsidRPr="00382917">
        <w:t>wave</w:t>
      </w:r>
      <w:r w:rsidR="00EE4FC3">
        <w:t xml:space="preserve"> </w:t>
      </w:r>
      <w:r w:rsidRPr="00382917">
        <w:t>of</w:t>
      </w:r>
      <w:r w:rsidR="00EE4FC3">
        <w:t xml:space="preserve"> </w:t>
      </w:r>
      <w:r w:rsidRPr="00382917">
        <w:t>enthusiasm</w:t>
      </w:r>
      <w:r w:rsidR="00A93643">
        <w:t>.</w:t>
      </w:r>
      <w:r w:rsidR="00EE4FC3">
        <w:t xml:space="preserve">  </w:t>
      </w:r>
      <w:r w:rsidRPr="00382917">
        <w:t>Tabríz,</w:t>
      </w:r>
      <w:r w:rsidR="00EE4FC3">
        <w:t xml:space="preserve"> </w:t>
      </w:r>
      <w:r w:rsidRPr="00382917">
        <w:t>in</w:t>
      </w:r>
      <w:r w:rsidR="00EE4FC3">
        <w:t xml:space="preserve"> </w:t>
      </w:r>
      <w:r w:rsidRPr="00382917">
        <w:t>particular,</w:t>
      </w:r>
      <w:r w:rsidR="00EE4FC3">
        <w:t xml:space="preserve"> </w:t>
      </w:r>
      <w:r w:rsidRPr="00382917">
        <w:t>was</w:t>
      </w:r>
      <w:r w:rsidR="00EE4FC3">
        <w:t xml:space="preserve"> </w:t>
      </w:r>
      <w:r w:rsidRPr="00382917">
        <w:t>in</w:t>
      </w:r>
      <w:r w:rsidR="00EE4FC3">
        <w:t xml:space="preserve"> </w:t>
      </w:r>
      <w:r w:rsidRPr="00382917">
        <w:t>the</w:t>
      </w:r>
      <w:r w:rsidR="00EE4FC3">
        <w:t xml:space="preserve"> </w:t>
      </w:r>
      <w:r w:rsidRPr="00382917">
        <w:t>throes</w:t>
      </w:r>
      <w:r w:rsidR="00EE4FC3">
        <w:t xml:space="preserve"> </w:t>
      </w:r>
      <w:r w:rsidRPr="00382917">
        <w:t>of</w:t>
      </w:r>
      <w:r w:rsidR="00EE4FC3">
        <w:t xml:space="preserve"> </w:t>
      </w:r>
      <w:r w:rsidRPr="00382917">
        <w:t>the</w:t>
      </w:r>
      <w:r w:rsidR="00EE4FC3">
        <w:t xml:space="preserve"> </w:t>
      </w:r>
      <w:r w:rsidRPr="00382917">
        <w:t>wildest</w:t>
      </w:r>
      <w:r w:rsidR="00EE4FC3">
        <w:t xml:space="preserve"> </w:t>
      </w:r>
      <w:r w:rsidRPr="00382917">
        <w:t>excitement</w:t>
      </w:r>
      <w:r w:rsidR="00A93643">
        <w:t>.</w:t>
      </w:r>
      <w:r w:rsidR="00EE4FC3">
        <w:t xml:space="preserve">  </w:t>
      </w:r>
      <w:r w:rsidRPr="00382917">
        <w:t>Word</w:t>
      </w:r>
      <w:r w:rsidR="00EE4FC3">
        <w:t xml:space="preserve"> </w:t>
      </w:r>
      <w:r w:rsidRPr="00382917">
        <w:t>of</w:t>
      </w:r>
      <w:r w:rsidR="00EE4FC3">
        <w:t xml:space="preserve"> </w:t>
      </w:r>
      <w:r w:rsidRPr="00382917">
        <w:t>the</w:t>
      </w:r>
      <w:r w:rsidR="00EE4FC3">
        <w:t xml:space="preserve"> </w:t>
      </w:r>
      <w:r w:rsidRPr="00382917">
        <w:t>Báb</w:t>
      </w:r>
      <w:r w:rsidR="009C713D" w:rsidRPr="00382917">
        <w:t>’</w:t>
      </w:r>
      <w:r w:rsidRPr="00382917">
        <w:t>s</w:t>
      </w:r>
      <w:r w:rsidR="00EE4FC3">
        <w:t xml:space="preserve"> </w:t>
      </w:r>
      <w:r w:rsidRPr="00382917">
        <w:t>coming</w:t>
      </w:r>
      <w:r w:rsidR="00EE4FC3">
        <w:t xml:space="preserve"> </w:t>
      </w:r>
      <w:r w:rsidRPr="00382917">
        <w:t>ignited</w:t>
      </w:r>
      <w:r w:rsidR="00EE4FC3">
        <w:t xml:space="preserve"> </w:t>
      </w:r>
      <w:r w:rsidRPr="00382917">
        <w:t>the</w:t>
      </w:r>
      <w:r w:rsidR="00EE4FC3">
        <w:t xml:space="preserve"> </w:t>
      </w:r>
      <w:r w:rsidRPr="00382917">
        <w:t>imagination</w:t>
      </w:r>
      <w:r w:rsidR="00EE4FC3">
        <w:t xml:space="preserve"> </w:t>
      </w:r>
      <w:r w:rsidRPr="00382917">
        <w:t>of</w:t>
      </w:r>
      <w:r w:rsidR="00EE4FC3">
        <w:t xml:space="preserve"> </w:t>
      </w:r>
      <w:r w:rsidRPr="00382917">
        <w:t>the</w:t>
      </w:r>
      <w:r w:rsidR="00EE4FC3">
        <w:t xml:space="preserve"> </w:t>
      </w:r>
      <w:r w:rsidRPr="00382917">
        <w:t>people</w:t>
      </w:r>
      <w:r w:rsidR="00EE4FC3">
        <w:t xml:space="preserve"> </w:t>
      </w:r>
      <w:r w:rsidRPr="00382917">
        <w:t>and</w:t>
      </w:r>
      <w:r w:rsidR="00EE4FC3">
        <w:t xml:space="preserve"> </w:t>
      </w:r>
      <w:r w:rsidRPr="00382917">
        <w:t>roused</w:t>
      </w:r>
      <w:r w:rsidR="00EE4FC3">
        <w:t xml:space="preserve"> </w:t>
      </w:r>
      <w:r w:rsidRPr="00382917">
        <w:t>the</w:t>
      </w:r>
      <w:r w:rsidR="00EE4FC3">
        <w:t xml:space="preserve"> </w:t>
      </w:r>
      <w:r w:rsidRPr="00382917">
        <w:t>fierce</w:t>
      </w:r>
      <w:r w:rsidR="00EE4FC3">
        <w:t xml:space="preserve"> </w:t>
      </w:r>
      <w:r w:rsidRPr="00382917">
        <w:t>animosity</w:t>
      </w:r>
      <w:r w:rsidR="00EE4FC3">
        <w:t xml:space="preserve"> </w:t>
      </w:r>
      <w:r w:rsidRPr="00382917">
        <w:t>of</w:t>
      </w:r>
      <w:r w:rsidR="00EE4FC3">
        <w:t xml:space="preserve"> </w:t>
      </w:r>
      <w:r w:rsidRPr="00382917">
        <w:t>the</w:t>
      </w:r>
      <w:r w:rsidR="00EE4FC3">
        <w:t xml:space="preserve"> </w:t>
      </w:r>
      <w:r w:rsidRPr="00382917">
        <w:t>religious</w:t>
      </w:r>
      <w:r w:rsidR="00EE4FC3">
        <w:t xml:space="preserve"> </w:t>
      </w:r>
      <w:r w:rsidRPr="00382917">
        <w:t>leaders.</w:t>
      </w:r>
    </w:p>
    <w:p w:rsidR="00447F64" w:rsidRPr="00382917" w:rsidRDefault="00447F64" w:rsidP="00447F64">
      <w:pPr>
        <w:pStyle w:val="Text"/>
      </w:pPr>
      <w:r w:rsidRPr="00382917">
        <w:t>Such</w:t>
      </w:r>
      <w:r w:rsidR="00EE4FC3">
        <w:t xml:space="preserve"> </w:t>
      </w:r>
      <w:r w:rsidRPr="00382917">
        <w:t>was</w:t>
      </w:r>
      <w:r w:rsidR="00EE4FC3">
        <w:t xml:space="preserve"> </w:t>
      </w:r>
      <w:r w:rsidRPr="00382917">
        <w:t>the</w:t>
      </w:r>
      <w:r w:rsidR="00EE4FC3">
        <w:t xml:space="preserve"> </w:t>
      </w:r>
      <w:proofErr w:type="spellStart"/>
      <w:r w:rsidRPr="00382917">
        <w:t>fervor</w:t>
      </w:r>
      <w:proofErr w:type="spellEnd"/>
      <w:r w:rsidR="00EE4FC3">
        <w:t xml:space="preserve"> </w:t>
      </w:r>
      <w:r w:rsidRPr="00382917">
        <w:t>of</w:t>
      </w:r>
      <w:r w:rsidR="00EE4FC3">
        <w:t xml:space="preserve"> </w:t>
      </w:r>
      <w:r w:rsidRPr="00382917">
        <w:t>the</w:t>
      </w:r>
      <w:r w:rsidR="00EE4FC3">
        <w:t xml:space="preserve"> </w:t>
      </w:r>
      <w:r w:rsidRPr="00382917">
        <w:t>public</w:t>
      </w:r>
      <w:r w:rsidR="00EE4FC3">
        <w:t xml:space="preserve"> </w:t>
      </w:r>
      <w:r w:rsidRPr="00382917">
        <w:t>feeling</w:t>
      </w:r>
      <w:r w:rsidR="00EE4FC3">
        <w:t xml:space="preserve"> </w:t>
      </w:r>
      <w:r w:rsidRPr="00382917">
        <w:t>that</w:t>
      </w:r>
      <w:r w:rsidR="00EE4FC3">
        <w:t xml:space="preserve"> </w:t>
      </w:r>
      <w:r w:rsidRPr="00382917">
        <w:t>the</w:t>
      </w:r>
      <w:r w:rsidR="00EE4FC3">
        <w:t xml:space="preserve"> </w:t>
      </w:r>
      <w:r w:rsidRPr="00382917">
        <w:t>authorities</w:t>
      </w:r>
      <w:r w:rsidR="00EE4FC3">
        <w:t xml:space="preserve"> </w:t>
      </w:r>
      <w:r w:rsidRPr="00382917">
        <w:t>decided</w:t>
      </w:r>
      <w:r w:rsidR="00EE4FC3">
        <w:t xml:space="preserve"> </w:t>
      </w:r>
      <w:r w:rsidRPr="00382917">
        <w:t>to</w:t>
      </w:r>
      <w:r w:rsidR="00EE4FC3">
        <w:t xml:space="preserve"> </w:t>
      </w:r>
      <w:r w:rsidRPr="00382917">
        <w:t>confine</w:t>
      </w:r>
      <w:r w:rsidR="00EE4FC3">
        <w:t xml:space="preserve"> </w:t>
      </w:r>
      <w:r w:rsidRPr="00382917">
        <w:t>the</w:t>
      </w:r>
      <w:r w:rsidR="00EE4FC3">
        <w:t xml:space="preserve"> </w:t>
      </w:r>
      <w:r w:rsidRPr="00382917">
        <w:t>Báb</w:t>
      </w:r>
      <w:r w:rsidR="00EE4FC3">
        <w:t xml:space="preserve"> </w:t>
      </w:r>
      <w:r w:rsidRPr="00382917">
        <w:t>in</w:t>
      </w:r>
      <w:r w:rsidR="00EE4FC3">
        <w:t xml:space="preserve"> </w:t>
      </w:r>
      <w:r w:rsidRPr="00382917">
        <w:t>a</w:t>
      </w:r>
      <w:r w:rsidR="00EE4FC3">
        <w:t xml:space="preserve"> </w:t>
      </w:r>
      <w:r w:rsidRPr="00382917">
        <w:t>place</w:t>
      </w:r>
      <w:r w:rsidR="00EE4FC3">
        <w:t xml:space="preserve"> </w:t>
      </w:r>
      <w:r w:rsidRPr="00382917">
        <w:t>outside</w:t>
      </w:r>
      <w:r w:rsidR="00EE4FC3">
        <w:t xml:space="preserve"> </w:t>
      </w:r>
      <w:r w:rsidRPr="00382917">
        <w:t>the</w:t>
      </w:r>
      <w:r w:rsidR="00EE4FC3">
        <w:t xml:space="preserve"> </w:t>
      </w:r>
      <w:r w:rsidRPr="00382917">
        <w:t>gates</w:t>
      </w:r>
      <w:r w:rsidR="00A93643">
        <w:t>.</w:t>
      </w:r>
      <w:r w:rsidR="00EE4FC3">
        <w:t xml:space="preserve">  </w:t>
      </w:r>
      <w:r w:rsidRPr="00382917">
        <w:t>Precautions</w:t>
      </w:r>
      <w:r w:rsidR="00EE4FC3">
        <w:t xml:space="preserve"> </w:t>
      </w:r>
      <w:r w:rsidRPr="00382917">
        <w:t>were</w:t>
      </w:r>
      <w:r w:rsidR="00EE4FC3">
        <w:t xml:space="preserve"> </w:t>
      </w:r>
      <w:r w:rsidRPr="00382917">
        <w:t>taken,</w:t>
      </w:r>
      <w:r w:rsidR="00EE4FC3">
        <w:t xml:space="preserve"> </w:t>
      </w:r>
      <w:r w:rsidRPr="00382917">
        <w:t>warnings</w:t>
      </w:r>
      <w:r w:rsidR="00EE4FC3">
        <w:t xml:space="preserve"> </w:t>
      </w:r>
      <w:r w:rsidRPr="00382917">
        <w:t>were</w:t>
      </w:r>
      <w:r w:rsidR="00EE4FC3">
        <w:t xml:space="preserve"> </w:t>
      </w:r>
      <w:r w:rsidRPr="00382917">
        <w:t>published,</w:t>
      </w:r>
      <w:r w:rsidR="00EE4FC3">
        <w:t xml:space="preserve"> </w:t>
      </w:r>
      <w:r w:rsidRPr="00382917">
        <w:t>restrictions</w:t>
      </w:r>
      <w:r w:rsidR="00EE4FC3">
        <w:t xml:space="preserve"> </w:t>
      </w:r>
      <w:r w:rsidRPr="00382917">
        <w:t>were</w:t>
      </w:r>
      <w:r w:rsidR="00EE4FC3">
        <w:t xml:space="preserve"> </w:t>
      </w:r>
      <w:r w:rsidRPr="00382917">
        <w:t>enforced,</w:t>
      </w:r>
      <w:r w:rsidR="00EE4FC3">
        <w:t xml:space="preserve"> </w:t>
      </w:r>
      <w:r w:rsidRPr="00382917">
        <w:t>yet</w:t>
      </w:r>
      <w:r w:rsidR="00EE4FC3">
        <w:t xml:space="preserve"> </w:t>
      </w:r>
      <w:r w:rsidRPr="00382917">
        <w:t>all</w:t>
      </w:r>
      <w:r w:rsidR="00EE4FC3">
        <w:t xml:space="preserve"> </w:t>
      </w:r>
      <w:r w:rsidRPr="00382917">
        <w:t>these</w:t>
      </w:r>
      <w:r w:rsidR="00EE4FC3">
        <w:t xml:space="preserve"> </w:t>
      </w:r>
      <w:r w:rsidRPr="00382917">
        <w:t>only</w:t>
      </w:r>
      <w:r w:rsidR="00EE4FC3">
        <w:t xml:space="preserve"> </w:t>
      </w:r>
      <w:r w:rsidRPr="00382917">
        <w:t>served</w:t>
      </w:r>
      <w:r w:rsidR="00EE4FC3">
        <w:t xml:space="preserve"> </w:t>
      </w:r>
      <w:r w:rsidRPr="00382917">
        <w:t>to</w:t>
      </w:r>
      <w:r w:rsidR="00EE4FC3">
        <w:t xml:space="preserve"> </w:t>
      </w:r>
      <w:r w:rsidRPr="00382917">
        <w:t>aggravate</w:t>
      </w:r>
      <w:r w:rsidR="00EE4FC3">
        <w:t xml:space="preserve"> </w:t>
      </w:r>
      <w:r w:rsidRPr="00382917">
        <w:t>a</w:t>
      </w:r>
      <w:r w:rsidR="00EE4FC3">
        <w:t xml:space="preserve"> </w:t>
      </w:r>
      <w:r w:rsidRPr="00382917">
        <w:t>situation</w:t>
      </w:r>
      <w:r w:rsidR="00EE4FC3">
        <w:t xml:space="preserve"> </w:t>
      </w:r>
      <w:r w:rsidRPr="00382917">
        <w:t>which</w:t>
      </w:r>
      <w:r w:rsidR="00EE4FC3">
        <w:t xml:space="preserve"> </w:t>
      </w:r>
      <w:r w:rsidRPr="00382917">
        <w:t>had</w:t>
      </w:r>
      <w:r w:rsidR="00EE4FC3">
        <w:t xml:space="preserve"> </w:t>
      </w:r>
      <w:r w:rsidRPr="00382917">
        <w:t>already</w:t>
      </w:r>
      <w:r w:rsidR="00EE4FC3">
        <w:t xml:space="preserve"> </w:t>
      </w:r>
      <w:r w:rsidRPr="00382917">
        <w:t>become</w:t>
      </w:r>
      <w:r w:rsidR="00EE4FC3">
        <w:t xml:space="preserve"> </w:t>
      </w:r>
      <w:r w:rsidRPr="00382917">
        <w:t>critical</w:t>
      </w:r>
      <w:r w:rsidR="00A93643">
        <w:t>.</w:t>
      </w:r>
      <w:r w:rsidR="00EE4FC3">
        <w:t xml:space="preserve">  </w:t>
      </w:r>
      <w:r w:rsidRPr="00382917">
        <w:t>The</w:t>
      </w:r>
      <w:r w:rsidR="00EE4FC3">
        <w:t xml:space="preserve"> </w:t>
      </w:r>
      <w:r w:rsidRPr="00382917">
        <w:t>Báb</w:t>
      </w:r>
      <w:r w:rsidR="00EE4FC3">
        <w:t xml:space="preserve"> </w:t>
      </w:r>
      <w:r w:rsidRPr="00382917">
        <w:t>had</w:t>
      </w:r>
      <w:r w:rsidR="00EE4FC3">
        <w:t xml:space="preserve"> </w:t>
      </w:r>
      <w:r w:rsidRPr="00382917">
        <w:t>captured</w:t>
      </w:r>
      <w:r w:rsidR="00EE4FC3">
        <w:t xml:space="preserve"> </w:t>
      </w:r>
      <w:r w:rsidRPr="00382917">
        <w:t>the</w:t>
      </w:r>
      <w:r w:rsidR="00EE4FC3">
        <w:t xml:space="preserve"> </w:t>
      </w:r>
      <w:r w:rsidRPr="00382917">
        <w:t>fancy</w:t>
      </w:r>
      <w:r w:rsidR="00EE4FC3">
        <w:t xml:space="preserve"> </w:t>
      </w:r>
      <w:r w:rsidRPr="00382917">
        <w:t>of</w:t>
      </w:r>
      <w:r w:rsidR="00EE4FC3">
        <w:t xml:space="preserve"> </w:t>
      </w:r>
      <w:r w:rsidRPr="00382917">
        <w:t>the</w:t>
      </w:r>
      <w:r w:rsidR="00EE4FC3">
        <w:t xml:space="preserve"> </w:t>
      </w:r>
      <w:r w:rsidRPr="00382917">
        <w:t>people</w:t>
      </w:r>
      <w:r w:rsidR="00EE4FC3">
        <w:t xml:space="preserve"> </w:t>
      </w:r>
      <w:r w:rsidRPr="00382917">
        <w:t>and</w:t>
      </w:r>
      <w:r w:rsidR="00EE4FC3">
        <w:t xml:space="preserve"> </w:t>
      </w:r>
      <w:r w:rsidRPr="00382917">
        <w:t>nothing</w:t>
      </w:r>
      <w:r w:rsidR="00EE4FC3">
        <w:t xml:space="preserve"> </w:t>
      </w:r>
      <w:r w:rsidRPr="00382917">
        <w:t>the</w:t>
      </w:r>
      <w:r w:rsidR="00EE4FC3">
        <w:t xml:space="preserve"> </w:t>
      </w:r>
      <w:r w:rsidRPr="00382917">
        <w:t>officials</w:t>
      </w:r>
      <w:r w:rsidR="00EE4FC3">
        <w:t xml:space="preserve"> </w:t>
      </w:r>
      <w:r w:rsidRPr="00382917">
        <w:t>or</w:t>
      </w:r>
      <w:r w:rsidR="00EE4FC3">
        <w:t xml:space="preserve"> </w:t>
      </w:r>
      <w:r w:rsidRPr="00382917">
        <w:t>clergy</w:t>
      </w:r>
      <w:r w:rsidR="00EE4FC3">
        <w:t xml:space="preserve"> </w:t>
      </w:r>
      <w:r w:rsidRPr="00382917">
        <w:t>could</w:t>
      </w:r>
      <w:r w:rsidR="00EE4FC3">
        <w:t xml:space="preserve"> </w:t>
      </w:r>
      <w:r w:rsidRPr="00382917">
        <w:t>do</w:t>
      </w:r>
      <w:r w:rsidR="00EE4FC3">
        <w:t xml:space="preserve"> </w:t>
      </w:r>
      <w:r w:rsidRPr="00382917">
        <w:t>was</w:t>
      </w:r>
      <w:r w:rsidR="00EE4FC3">
        <w:t xml:space="preserve"> </w:t>
      </w:r>
      <w:r w:rsidRPr="00382917">
        <w:t>able</w:t>
      </w:r>
      <w:r w:rsidR="00EE4FC3">
        <w:t xml:space="preserve"> </w:t>
      </w:r>
      <w:r w:rsidRPr="00382917">
        <w:t>to</w:t>
      </w:r>
      <w:r w:rsidR="00EE4FC3">
        <w:t xml:space="preserve"> </w:t>
      </w:r>
      <w:r w:rsidRPr="00382917">
        <w:t>diminish</w:t>
      </w:r>
      <w:r w:rsidR="00EE4FC3">
        <w:t xml:space="preserve"> </w:t>
      </w:r>
      <w:r w:rsidRPr="00382917">
        <w:t>their</w:t>
      </w:r>
      <w:r w:rsidR="00EE4FC3">
        <w:t xml:space="preserve"> </w:t>
      </w:r>
      <w:proofErr w:type="spellStart"/>
      <w:r w:rsidRPr="00382917">
        <w:t>ardor</w:t>
      </w:r>
      <w:proofErr w:type="spellEnd"/>
      <w:r w:rsidRPr="00382917">
        <w:t>.</w:t>
      </w:r>
    </w:p>
    <w:p w:rsidR="00447F64" w:rsidRPr="00382917" w:rsidRDefault="00447F64" w:rsidP="00447F64">
      <w:pPr>
        <w:pStyle w:val="Text"/>
      </w:pPr>
      <w:r w:rsidRPr="00382917">
        <w:t>Ḥájí</w:t>
      </w:r>
      <w:r w:rsidR="00EE4FC3">
        <w:t xml:space="preserve"> </w:t>
      </w:r>
      <w:r w:rsidRPr="00382917">
        <w:t>Mírzá</w:t>
      </w:r>
      <w:r w:rsidR="00EE4FC3">
        <w:t xml:space="preserve"> </w:t>
      </w:r>
      <w:r w:rsidRPr="00382917">
        <w:t>Áqásí</w:t>
      </w:r>
      <w:r w:rsidR="00EE4FC3">
        <w:t xml:space="preserve"> </w:t>
      </w:r>
      <w:r w:rsidRPr="00382917">
        <w:t>issued</w:t>
      </w:r>
      <w:r w:rsidR="00EE4FC3">
        <w:t xml:space="preserve"> </w:t>
      </w:r>
      <w:r w:rsidRPr="00382917">
        <w:t>an</w:t>
      </w:r>
      <w:r w:rsidR="00EE4FC3">
        <w:t xml:space="preserve"> </w:t>
      </w:r>
      <w:r w:rsidRPr="00382917">
        <w:t>order</w:t>
      </w:r>
      <w:r w:rsidR="00EE4FC3">
        <w:t xml:space="preserve"> </w:t>
      </w:r>
      <w:r w:rsidRPr="00382917">
        <w:t>from</w:t>
      </w:r>
      <w:r w:rsidR="00EE4FC3">
        <w:t xml:space="preserve"> </w:t>
      </w:r>
      <w:r w:rsidRPr="00382917">
        <w:t>the</w:t>
      </w:r>
      <w:r w:rsidR="00EE4FC3">
        <w:t xml:space="preserve"> </w:t>
      </w:r>
      <w:r w:rsidRPr="00382917">
        <w:t>capital</w:t>
      </w:r>
      <w:r w:rsidR="00A93643">
        <w:t>.</w:t>
      </w:r>
      <w:r w:rsidR="00EE4FC3">
        <w:t xml:space="preserve">  </w:t>
      </w:r>
      <w:r w:rsidRPr="00382917">
        <w:t>He</w:t>
      </w:r>
      <w:r w:rsidR="00EE4FC3">
        <w:t xml:space="preserve"> </w:t>
      </w:r>
      <w:r w:rsidRPr="00382917">
        <w:t>demanded</w:t>
      </w:r>
      <w:r w:rsidR="00EE4FC3">
        <w:t xml:space="preserve"> </w:t>
      </w:r>
      <w:r w:rsidRPr="00382917">
        <w:t>that</w:t>
      </w:r>
      <w:r w:rsidR="00EE4FC3">
        <w:t xml:space="preserve"> </w:t>
      </w:r>
      <w:r w:rsidRPr="00382917">
        <w:t>all</w:t>
      </w:r>
      <w:r w:rsidR="00EE4FC3">
        <w:t xml:space="preserve"> </w:t>
      </w:r>
      <w:r w:rsidRPr="00382917">
        <w:t>the</w:t>
      </w:r>
      <w:r w:rsidR="00EE4FC3">
        <w:t xml:space="preserve"> </w:t>
      </w:r>
      <w:r w:rsidRPr="00382917">
        <w:t>leading</w:t>
      </w:r>
      <w:r w:rsidR="00EE4FC3">
        <w:t xml:space="preserve"> </w:t>
      </w:r>
      <w:r w:rsidRPr="00382917">
        <w:t>religious</w:t>
      </w:r>
      <w:r w:rsidR="00EE4FC3">
        <w:t xml:space="preserve"> </w:t>
      </w:r>
      <w:r w:rsidRPr="00382917">
        <w:t>dignitaries,</w:t>
      </w:r>
      <w:r w:rsidR="00EE4FC3">
        <w:t xml:space="preserve"> </w:t>
      </w:r>
      <w:r w:rsidRPr="00382917">
        <w:t>as</w:t>
      </w:r>
      <w:r w:rsidR="00EE4FC3">
        <w:t xml:space="preserve"> </w:t>
      </w:r>
      <w:r w:rsidRPr="00382917">
        <w:t>well</w:t>
      </w:r>
      <w:r w:rsidR="00EE4FC3">
        <w:t xml:space="preserve"> </w:t>
      </w:r>
      <w:r w:rsidRPr="00382917">
        <w:t>as</w:t>
      </w:r>
      <w:r w:rsidR="00EE4FC3">
        <w:t xml:space="preserve"> </w:t>
      </w:r>
      <w:r w:rsidRPr="00382917">
        <w:t>the</w:t>
      </w:r>
      <w:r w:rsidR="00EE4FC3">
        <w:t xml:space="preserve"> </w:t>
      </w:r>
      <w:r w:rsidRPr="00382917">
        <w:t>government</w:t>
      </w:r>
      <w:r w:rsidR="00EE4FC3">
        <w:t xml:space="preserve"> </w:t>
      </w:r>
      <w:r w:rsidRPr="00382917">
        <w:t>officials,</w:t>
      </w:r>
      <w:r w:rsidR="00EE4FC3">
        <w:t xml:space="preserve"> </w:t>
      </w:r>
      <w:r w:rsidRPr="00382917">
        <w:t>hold</w:t>
      </w:r>
      <w:r w:rsidR="00EE4FC3">
        <w:t xml:space="preserve"> </w:t>
      </w:r>
      <w:r w:rsidRPr="00382917">
        <w:t>an</w:t>
      </w:r>
      <w:r w:rsidR="00EE4FC3">
        <w:t xml:space="preserve"> </w:t>
      </w:r>
      <w:r w:rsidRPr="00382917">
        <w:t>immediate</w:t>
      </w:r>
      <w:r w:rsidR="00EE4FC3">
        <w:t xml:space="preserve"> </w:t>
      </w:r>
      <w:r w:rsidRPr="00382917">
        <w:t>gathering</w:t>
      </w:r>
      <w:r w:rsidR="00A93643">
        <w:t>.</w:t>
      </w:r>
      <w:r w:rsidR="00EE4FC3">
        <w:t xml:space="preserve">  </w:t>
      </w:r>
      <w:r w:rsidRPr="00382917">
        <w:t>His</w:t>
      </w:r>
      <w:r w:rsidR="00EE4FC3">
        <w:t xml:space="preserve"> </w:t>
      </w:r>
      <w:r w:rsidRPr="00382917">
        <w:t>words</w:t>
      </w:r>
      <w:r w:rsidR="00EE4FC3">
        <w:t xml:space="preserve"> </w:t>
      </w:r>
      <w:r w:rsidRPr="00382917">
        <w:t>made</w:t>
      </w:r>
      <w:r w:rsidR="00EE4FC3">
        <w:t xml:space="preserve"> </w:t>
      </w:r>
      <w:r w:rsidRPr="00382917">
        <w:t>clear</w:t>
      </w:r>
      <w:r w:rsidR="00EE4FC3">
        <w:t xml:space="preserve"> </w:t>
      </w:r>
      <w:r w:rsidRPr="00382917">
        <w:t>the</w:t>
      </w:r>
      <w:r w:rsidR="00EE4FC3">
        <w:t xml:space="preserve"> </w:t>
      </w:r>
      <w:r w:rsidRPr="00382917">
        <w:t>grave</w:t>
      </w:r>
      <w:r w:rsidR="00EE4FC3">
        <w:t xml:space="preserve"> </w:t>
      </w:r>
      <w:r w:rsidRPr="00382917">
        <w:t>nature</w:t>
      </w:r>
      <w:r w:rsidR="00EE4FC3">
        <w:t xml:space="preserve"> </w:t>
      </w:r>
      <w:r w:rsidRPr="00382917">
        <w:t>of</w:t>
      </w:r>
      <w:r w:rsidR="00EE4FC3">
        <w:t xml:space="preserve"> </w:t>
      </w:r>
      <w:r w:rsidRPr="00382917">
        <w:t>this</w:t>
      </w:r>
      <w:r w:rsidR="00EE4FC3">
        <w:t xml:space="preserve"> </w:t>
      </w:r>
      <w:r w:rsidRPr="00382917">
        <w:t>crisis</w:t>
      </w:r>
      <w:r w:rsidR="00A93643">
        <w:t>.</w:t>
      </w:r>
      <w:r w:rsidR="00EE4FC3">
        <w:t xml:space="preserve">  </w:t>
      </w:r>
      <w:r w:rsidRPr="00382917">
        <w:t>The</w:t>
      </w:r>
      <w:r w:rsidR="00EE4FC3">
        <w:t xml:space="preserve"> </w:t>
      </w:r>
      <w:r w:rsidRPr="00382917">
        <w:t>religious</w:t>
      </w:r>
      <w:r w:rsidR="00EE4FC3">
        <w:t xml:space="preserve"> </w:t>
      </w:r>
      <w:r w:rsidRPr="00382917">
        <w:t>leaders,</w:t>
      </w:r>
      <w:r w:rsidR="00EE4FC3">
        <w:t xml:space="preserve"> </w:t>
      </w:r>
      <w:r w:rsidRPr="00382917">
        <w:t>he</w:t>
      </w:r>
      <w:r w:rsidR="00EE4FC3">
        <w:t xml:space="preserve"> </w:t>
      </w:r>
      <w:r w:rsidRPr="00382917">
        <w:t>said,</w:t>
      </w:r>
      <w:r w:rsidR="00EE4FC3">
        <w:t xml:space="preserve"> </w:t>
      </w:r>
      <w:r w:rsidRPr="00382917">
        <w:t>must</w:t>
      </w:r>
      <w:r w:rsidR="00EE4FC3">
        <w:t xml:space="preserve"> </w:t>
      </w:r>
      <w:r w:rsidRPr="00382917">
        <w:t>decide</w:t>
      </w:r>
      <w:r w:rsidR="00EE4FC3">
        <w:t xml:space="preserve"> </w:t>
      </w:r>
      <w:r w:rsidRPr="00382917">
        <w:t>at</w:t>
      </w:r>
      <w:r w:rsidR="00EE4FC3">
        <w:t xml:space="preserve"> </w:t>
      </w:r>
      <w:r w:rsidRPr="00382917">
        <w:t>once</w:t>
      </w:r>
      <w:r w:rsidR="00EE4FC3">
        <w:t xml:space="preserve"> </w:t>
      </w:r>
      <w:r w:rsidRPr="00382917">
        <w:t>upon</w:t>
      </w:r>
      <w:r w:rsidR="00EE4FC3">
        <w:t xml:space="preserve"> </w:t>
      </w:r>
      <w:r w:rsidRPr="00382917">
        <w:t>the</w:t>
      </w:r>
      <w:r w:rsidR="00EE4FC3">
        <w:t xml:space="preserve"> </w:t>
      </w:r>
      <w:r w:rsidRPr="00382917">
        <w:t>most</w:t>
      </w:r>
      <w:r w:rsidR="00EE4FC3">
        <w:t xml:space="preserve"> </w:t>
      </w:r>
      <w:r w:rsidRPr="00382917">
        <w:t>effective</w:t>
      </w:r>
      <w:r w:rsidR="00EE4FC3">
        <w:t xml:space="preserve"> </w:t>
      </w:r>
      <w:r w:rsidRPr="00382917">
        <w:t>measures</w:t>
      </w:r>
      <w:r w:rsidR="00EE4FC3">
        <w:t xml:space="preserve"> </w:t>
      </w:r>
      <w:r w:rsidRPr="00382917">
        <w:t>for</w:t>
      </w:r>
      <w:r w:rsidR="00EE4FC3">
        <w:t xml:space="preserve"> </w:t>
      </w:r>
      <w:r w:rsidRPr="00382917">
        <w:t>extinguishing</w:t>
      </w:r>
      <w:r w:rsidR="00EE4FC3">
        <w:t xml:space="preserve"> </w:t>
      </w:r>
      <w:r w:rsidRPr="00382917">
        <w:t>this</w:t>
      </w:r>
      <w:r w:rsidR="00EE4FC3">
        <w:t xml:space="preserve"> </w:t>
      </w:r>
      <w:r w:rsidRPr="00382917">
        <w:t>fire</w:t>
      </w:r>
      <w:r w:rsidR="00EE4FC3">
        <w:t xml:space="preserve"> </w:t>
      </w:r>
      <w:r w:rsidRPr="00382917">
        <w:t>which</w:t>
      </w:r>
      <w:r w:rsidR="00EE4FC3">
        <w:t xml:space="preserve"> </w:t>
      </w:r>
      <w:r w:rsidRPr="00382917">
        <w:t>the</w:t>
      </w:r>
      <w:r w:rsidR="00EE4FC3">
        <w:t xml:space="preserve"> </w:t>
      </w:r>
      <w:r w:rsidRPr="00382917">
        <w:t>Báb</w:t>
      </w:r>
      <w:r w:rsidR="00EE4FC3">
        <w:t xml:space="preserve"> </w:t>
      </w:r>
      <w:r w:rsidRPr="00382917">
        <w:t>had</w:t>
      </w:r>
      <w:r w:rsidR="00EE4FC3">
        <w:t xml:space="preserve"> </w:t>
      </w:r>
      <w:r w:rsidRPr="00382917">
        <w:t>kindled</w:t>
      </w:r>
      <w:r w:rsidR="00A93643">
        <w:t>.</w:t>
      </w:r>
      <w:r w:rsidR="00EE4FC3">
        <w:t xml:space="preserve">  </w:t>
      </w:r>
      <w:r w:rsidRPr="00382917">
        <w:t>They</w:t>
      </w:r>
      <w:r w:rsidR="00EE4FC3">
        <w:t xml:space="preserve"> </w:t>
      </w:r>
      <w:r w:rsidRPr="00382917">
        <w:t>must</w:t>
      </w:r>
      <w:r w:rsidR="00EE4FC3">
        <w:t xml:space="preserve"> </w:t>
      </w:r>
      <w:r w:rsidRPr="00382917">
        <w:t>bring</w:t>
      </w:r>
      <w:r w:rsidR="00EE4FC3">
        <w:t xml:space="preserve"> </w:t>
      </w:r>
      <w:r w:rsidRPr="00382917">
        <w:t>to</w:t>
      </w:r>
      <w:r w:rsidR="00EE4FC3">
        <w:t xml:space="preserve"> </w:t>
      </w:r>
      <w:r w:rsidRPr="00382917">
        <w:t>an</w:t>
      </w:r>
      <w:r w:rsidR="00EE4FC3">
        <w:t xml:space="preserve"> </w:t>
      </w:r>
      <w:r w:rsidRPr="00382917">
        <w:t>abrupt</w:t>
      </w:r>
      <w:r w:rsidR="00EE4FC3">
        <w:t xml:space="preserve"> </w:t>
      </w:r>
      <w:r w:rsidRPr="00382917">
        <w:t>end</w:t>
      </w:r>
      <w:r w:rsidR="00EE4FC3">
        <w:t xml:space="preserve"> </w:t>
      </w:r>
      <w:r w:rsidRPr="00382917">
        <w:t>the</w:t>
      </w:r>
      <w:r w:rsidR="00EE4FC3">
        <w:t xml:space="preserve"> </w:t>
      </w:r>
      <w:r w:rsidRPr="00382917">
        <w:t>Báb</w:t>
      </w:r>
      <w:r w:rsidR="009C713D" w:rsidRPr="00382917">
        <w:t>’</w:t>
      </w:r>
      <w:r w:rsidRPr="00382917">
        <w:t>s</w:t>
      </w:r>
      <w:r w:rsidR="00EE4FC3">
        <w:t xml:space="preserve"> </w:t>
      </w:r>
      <w:r w:rsidRPr="00382917">
        <w:t>power</w:t>
      </w:r>
      <w:r w:rsidR="00EE4FC3">
        <w:t xml:space="preserve"> </w:t>
      </w:r>
      <w:r w:rsidRPr="00382917">
        <w:t>over</w:t>
      </w:r>
      <w:r w:rsidR="00EE4FC3">
        <w:t xml:space="preserve"> </w:t>
      </w:r>
      <w:r w:rsidRPr="00382917">
        <w:t>the</w:t>
      </w:r>
      <w:r w:rsidR="00EE4FC3">
        <w:t xml:space="preserve"> </w:t>
      </w:r>
      <w:r w:rsidRPr="00382917">
        <w:t>public</w:t>
      </w:r>
      <w:r w:rsidR="00A93643">
        <w:t>.</w:t>
      </w:r>
      <w:r w:rsidR="00EE4FC3">
        <w:t xml:space="preserve">  </w:t>
      </w:r>
      <w:r w:rsidRPr="00382917">
        <w:t>There</w:t>
      </w:r>
      <w:r w:rsidR="00EE4FC3">
        <w:t xml:space="preserve"> </w:t>
      </w:r>
      <w:r w:rsidRPr="00382917">
        <w:t>must</w:t>
      </w:r>
      <w:r w:rsidR="00EE4FC3">
        <w:t xml:space="preserve"> </w:t>
      </w:r>
      <w:r w:rsidRPr="00382917">
        <w:t>be</w:t>
      </w:r>
      <w:r w:rsidR="00EE4FC3">
        <w:t xml:space="preserve"> </w:t>
      </w:r>
      <w:r w:rsidRPr="00382917">
        <w:t>no</w:t>
      </w:r>
      <w:r w:rsidR="00EE4FC3">
        <w:t xml:space="preserve"> </w:t>
      </w:r>
      <w:r w:rsidRPr="00382917">
        <w:t>mistakes</w:t>
      </w:r>
      <w:r w:rsidR="00A93643">
        <w:t>.</w:t>
      </w:r>
      <w:r w:rsidR="00EE4FC3">
        <w:t xml:space="preserve">  </w:t>
      </w:r>
      <w:r w:rsidRPr="00382917">
        <w:t>The</w:t>
      </w:r>
      <w:r w:rsidR="00EE4FC3">
        <w:t xml:space="preserve"> </w:t>
      </w:r>
      <w:r w:rsidRPr="00382917">
        <w:t>Báb</w:t>
      </w:r>
      <w:r w:rsidR="00EE4FC3">
        <w:t xml:space="preserve"> </w:t>
      </w:r>
      <w:r w:rsidRPr="00382917">
        <w:t>must</w:t>
      </w:r>
      <w:r w:rsidR="00EE4FC3">
        <w:t xml:space="preserve"> </w:t>
      </w:r>
      <w:r w:rsidRPr="00382917">
        <w:t>be</w:t>
      </w:r>
      <w:r w:rsidR="00EE4FC3">
        <w:t xml:space="preserve"> </w:t>
      </w:r>
      <w:r w:rsidRPr="00382917">
        <w:t>summoned</w:t>
      </w:r>
      <w:r w:rsidR="00EE4FC3">
        <w:t xml:space="preserve"> </w:t>
      </w:r>
      <w:r w:rsidRPr="00382917">
        <w:t>before</w:t>
      </w:r>
      <w:r w:rsidR="00EE4FC3">
        <w:t xml:space="preserve"> </w:t>
      </w:r>
      <w:r w:rsidRPr="00382917">
        <w:t>this</w:t>
      </w:r>
      <w:r w:rsidR="00EE4FC3">
        <w:t xml:space="preserve"> </w:t>
      </w:r>
      <w:r w:rsidRPr="00382917">
        <w:t>important</w:t>
      </w:r>
      <w:r w:rsidR="00EE4FC3">
        <w:t xml:space="preserve"> </w:t>
      </w:r>
      <w:r w:rsidRPr="00382917">
        <w:t>gathering,</w:t>
      </w:r>
      <w:r w:rsidR="00EE4FC3">
        <w:t xml:space="preserve"> </w:t>
      </w:r>
      <w:r w:rsidRPr="00382917">
        <w:t>and</w:t>
      </w:r>
      <w:r w:rsidR="00EE4FC3">
        <w:t xml:space="preserve"> </w:t>
      </w:r>
      <w:r w:rsidRPr="00382917">
        <w:t>there</w:t>
      </w:r>
      <w:r w:rsidR="00EE4FC3">
        <w:t xml:space="preserve"> </w:t>
      </w:r>
      <w:r w:rsidRPr="00382917">
        <w:t>He</w:t>
      </w:r>
      <w:r w:rsidR="00EE4FC3">
        <w:t xml:space="preserve"> </w:t>
      </w:r>
      <w:r w:rsidRPr="00382917">
        <w:t>must</w:t>
      </w:r>
      <w:r w:rsidR="00EE4FC3">
        <w:t xml:space="preserve"> </w:t>
      </w:r>
      <w:r w:rsidRPr="00382917">
        <w:t>be</w:t>
      </w:r>
      <w:r w:rsidR="00EE4FC3">
        <w:t xml:space="preserve"> </w:t>
      </w:r>
      <w:r w:rsidRPr="00382917">
        <w:t>humiliated</w:t>
      </w:r>
      <w:r w:rsidR="00EE4FC3">
        <w:t xml:space="preserve"> </w:t>
      </w:r>
      <w:r w:rsidRPr="00382917">
        <w:t>in</w:t>
      </w:r>
      <w:r w:rsidR="00EE4FC3">
        <w:t xml:space="preserve"> </w:t>
      </w:r>
      <w:r w:rsidRPr="00382917">
        <w:t>such</w:t>
      </w:r>
      <w:r w:rsidR="00EE4FC3">
        <w:t xml:space="preserve"> </w:t>
      </w:r>
      <w:r w:rsidRPr="00382917">
        <w:t>a</w:t>
      </w:r>
      <w:r w:rsidR="00EE4FC3">
        <w:t xml:space="preserve"> </w:t>
      </w:r>
      <w:r w:rsidRPr="00382917">
        <w:t>manner</w:t>
      </w:r>
      <w:r w:rsidR="00EE4FC3">
        <w:t xml:space="preserve"> </w:t>
      </w:r>
      <w:r w:rsidRPr="00382917">
        <w:t>as</w:t>
      </w:r>
      <w:r w:rsidR="00EE4FC3">
        <w:t xml:space="preserve"> </w:t>
      </w:r>
      <w:r w:rsidRPr="00382917">
        <w:t>would</w:t>
      </w:r>
      <w:r w:rsidR="00EE4FC3">
        <w:t xml:space="preserve"> </w:t>
      </w:r>
      <w:r w:rsidRPr="00382917">
        <w:t>permanently</w:t>
      </w:r>
      <w:r w:rsidR="00EE4FC3">
        <w:t xml:space="preserve"> </w:t>
      </w:r>
      <w:r w:rsidRPr="00382917">
        <w:t>undermine</w:t>
      </w:r>
      <w:r w:rsidR="00EE4FC3">
        <w:t xml:space="preserve"> </w:t>
      </w:r>
      <w:r w:rsidRPr="00382917">
        <w:t>His</w:t>
      </w:r>
      <w:r w:rsidR="00EE4FC3">
        <w:t xml:space="preserve"> </w:t>
      </w:r>
      <w:r w:rsidRPr="00382917">
        <w:t>influence.</w:t>
      </w:r>
    </w:p>
    <w:p w:rsidR="00447F64" w:rsidRPr="00382917" w:rsidRDefault="00447F64" w:rsidP="00BB4D48">
      <w:pPr>
        <w:pStyle w:val="Text"/>
      </w:pPr>
      <w:r w:rsidRPr="00382917">
        <w:t>The</w:t>
      </w:r>
      <w:r w:rsidR="00EE4FC3">
        <w:t xml:space="preserve"> </w:t>
      </w:r>
      <w:r w:rsidRPr="00382917">
        <w:t>Báb</w:t>
      </w:r>
      <w:r w:rsidR="00EE4FC3">
        <w:t xml:space="preserve"> </w:t>
      </w:r>
      <w:r w:rsidRPr="00382917">
        <w:t>was</w:t>
      </w:r>
      <w:r w:rsidR="00EE4FC3">
        <w:t xml:space="preserve"> </w:t>
      </w:r>
      <w:r w:rsidRPr="00382917">
        <w:t>well</w:t>
      </w:r>
      <w:r w:rsidR="00EE4FC3">
        <w:t xml:space="preserve"> </w:t>
      </w:r>
      <w:r w:rsidRPr="00382917">
        <w:t>aware</w:t>
      </w:r>
      <w:r w:rsidR="00EE4FC3">
        <w:t xml:space="preserve"> </w:t>
      </w:r>
      <w:r w:rsidRPr="00382917">
        <w:t>of</w:t>
      </w:r>
      <w:r w:rsidR="00EE4FC3">
        <w:t xml:space="preserve"> </w:t>
      </w:r>
      <w:r w:rsidRPr="00382917">
        <w:t>the</w:t>
      </w:r>
      <w:r w:rsidR="00EE4FC3">
        <w:t xml:space="preserve"> </w:t>
      </w:r>
      <w:r w:rsidRPr="00382917">
        <w:t>Prime</w:t>
      </w:r>
      <w:r w:rsidR="00EE4FC3">
        <w:t xml:space="preserve"> </w:t>
      </w:r>
      <w:r w:rsidRPr="00382917">
        <w:t>Minister</w:t>
      </w:r>
      <w:r w:rsidR="009C713D" w:rsidRPr="00382917">
        <w:t>’</w:t>
      </w:r>
      <w:r w:rsidRPr="00382917">
        <w:t>s</w:t>
      </w:r>
      <w:r w:rsidR="00EE4FC3">
        <w:t xml:space="preserve"> </w:t>
      </w:r>
      <w:r w:rsidRPr="00382917">
        <w:t>purpose</w:t>
      </w:r>
      <w:r w:rsidR="00A93643">
        <w:t>.</w:t>
      </w:r>
      <w:r w:rsidR="00EE4FC3">
        <w:t xml:space="preserve">  </w:t>
      </w:r>
      <w:r w:rsidRPr="00382917">
        <w:t>On</w:t>
      </w:r>
      <w:r w:rsidR="00EE4FC3">
        <w:t xml:space="preserve"> </w:t>
      </w:r>
      <w:r w:rsidRPr="00382917">
        <w:t>the</w:t>
      </w:r>
      <w:r w:rsidR="00EE4FC3">
        <w:t xml:space="preserve"> </w:t>
      </w:r>
      <w:r w:rsidRPr="00382917">
        <w:t>second</w:t>
      </w:r>
      <w:r w:rsidR="00EE4FC3">
        <w:t xml:space="preserve"> </w:t>
      </w:r>
      <w:r w:rsidRPr="00382917">
        <w:t>night</w:t>
      </w:r>
      <w:r w:rsidR="00EE4FC3">
        <w:t xml:space="preserve"> </w:t>
      </w:r>
      <w:r w:rsidRPr="00382917">
        <w:t>after</w:t>
      </w:r>
      <w:r w:rsidR="00EE4FC3">
        <w:t xml:space="preserve"> </w:t>
      </w:r>
      <w:r w:rsidRPr="00382917">
        <w:t>His</w:t>
      </w:r>
      <w:r w:rsidR="00EE4FC3">
        <w:t xml:space="preserve"> </w:t>
      </w:r>
      <w:r w:rsidRPr="00382917">
        <w:t>arrival</w:t>
      </w:r>
      <w:r w:rsidR="00EE4FC3">
        <w:t xml:space="preserve"> </w:t>
      </w:r>
      <w:r w:rsidRPr="00382917">
        <w:t>in</w:t>
      </w:r>
      <w:r w:rsidR="00EE4FC3">
        <w:t xml:space="preserve"> </w:t>
      </w:r>
      <w:r w:rsidR="00B24C41">
        <w:t>Tabríz</w:t>
      </w:r>
      <w:r w:rsidRPr="00382917">
        <w:t>,</w:t>
      </w:r>
      <w:r w:rsidR="00EE4FC3">
        <w:t xml:space="preserve"> </w:t>
      </w:r>
      <w:r w:rsidRPr="00382917">
        <w:t>the</w:t>
      </w:r>
      <w:r w:rsidR="00EE4FC3">
        <w:t xml:space="preserve"> </w:t>
      </w:r>
      <w:r w:rsidRPr="00382917">
        <w:t>Báb</w:t>
      </w:r>
      <w:r w:rsidR="00EE4FC3">
        <w:t xml:space="preserve"> </w:t>
      </w:r>
      <w:r w:rsidRPr="00382917">
        <w:t>told</w:t>
      </w:r>
      <w:r w:rsidR="00EE4FC3">
        <w:t xml:space="preserve"> </w:t>
      </w:r>
      <w:r w:rsidRPr="00382917">
        <w:t>His</w:t>
      </w:r>
      <w:r w:rsidR="00EE4FC3">
        <w:t xml:space="preserve"> </w:t>
      </w:r>
      <w:r w:rsidRPr="00382917">
        <w:t>friends</w:t>
      </w:r>
      <w:r w:rsidR="00EE4FC3">
        <w:t xml:space="preserve"> </w:t>
      </w:r>
      <w:r w:rsidRPr="00382917">
        <w:t>that</w:t>
      </w:r>
      <w:r w:rsidR="00EE4FC3">
        <w:t xml:space="preserve"> </w:t>
      </w:r>
      <w:r w:rsidRPr="00382917">
        <w:t>on</w:t>
      </w:r>
      <w:r w:rsidR="00EE4FC3">
        <w:t xml:space="preserve"> </w:t>
      </w:r>
      <w:r w:rsidRPr="00382917">
        <w:t>the</w:t>
      </w:r>
      <w:r w:rsidR="00EE4FC3">
        <w:t xml:space="preserve"> </w:t>
      </w:r>
      <w:r w:rsidRPr="00382917">
        <w:t>morrow,</w:t>
      </w:r>
      <w:r w:rsidR="00EE4FC3">
        <w:t xml:space="preserve"> </w:t>
      </w:r>
      <w:r w:rsidRPr="00382917">
        <w:t>in</w:t>
      </w:r>
      <w:r w:rsidR="00EE4FC3">
        <w:t xml:space="preserve"> </w:t>
      </w:r>
      <w:r w:rsidRPr="00382917">
        <w:t>the</w:t>
      </w:r>
      <w:r w:rsidR="00EE4FC3">
        <w:t xml:space="preserve"> </w:t>
      </w:r>
      <w:r w:rsidRPr="00382917">
        <w:t>presence</w:t>
      </w:r>
      <w:r w:rsidR="00EE4FC3">
        <w:t xml:space="preserve"> </w:t>
      </w:r>
      <w:r w:rsidRPr="00382917">
        <w:t>of</w:t>
      </w:r>
      <w:r w:rsidR="00EE4FC3">
        <w:t xml:space="preserve"> </w:t>
      </w:r>
      <w:r w:rsidRPr="00382917">
        <w:t>the</w:t>
      </w:r>
      <w:r w:rsidR="00EE4FC3">
        <w:t xml:space="preserve"> </w:t>
      </w:r>
      <w:r w:rsidRPr="00382917">
        <w:t>king</w:t>
      </w:r>
      <w:r w:rsidR="009C713D" w:rsidRPr="00382917">
        <w:t>’</w:t>
      </w:r>
      <w:r w:rsidRPr="00382917">
        <w:t>s</w:t>
      </w:r>
      <w:r w:rsidR="00EE4FC3">
        <w:t xml:space="preserve"> </w:t>
      </w:r>
      <w:r w:rsidRPr="00382917">
        <w:t>eldest</w:t>
      </w:r>
      <w:r w:rsidR="00EE4FC3">
        <w:t xml:space="preserve"> </w:t>
      </w:r>
      <w:r w:rsidRPr="00382917">
        <w:t>son,</w:t>
      </w:r>
      <w:r w:rsidR="00EE4FC3">
        <w:t xml:space="preserve"> </w:t>
      </w:r>
      <w:r w:rsidRPr="00382917">
        <w:t>the</w:t>
      </w:r>
      <w:r w:rsidR="00EE4FC3">
        <w:t xml:space="preserve"> </w:t>
      </w:r>
      <w:r w:rsidRPr="00382917">
        <w:t>assembled</w:t>
      </w:r>
      <w:r w:rsidR="00EE4FC3">
        <w:t xml:space="preserve"> </w:t>
      </w:r>
      <w:r w:rsidRPr="00382917">
        <w:t>religious</w:t>
      </w:r>
      <w:r w:rsidR="00EE4FC3">
        <w:t xml:space="preserve"> </w:t>
      </w:r>
      <w:r w:rsidRPr="00382917">
        <w:t>leaders,</w:t>
      </w:r>
      <w:r w:rsidR="00EE4FC3">
        <w:t xml:space="preserve"> </w:t>
      </w:r>
      <w:r w:rsidRPr="00382917">
        <w:t>and</w:t>
      </w:r>
      <w:r w:rsidR="00EE4FC3">
        <w:t xml:space="preserve"> </w:t>
      </w:r>
      <w:r w:rsidRPr="00382917">
        <w:t>the</w:t>
      </w:r>
      <w:r w:rsidR="00EE4FC3">
        <w:t xml:space="preserve"> </w:t>
      </w:r>
      <w:r w:rsidRPr="00382917">
        <w:t>notables</w:t>
      </w:r>
      <w:r w:rsidR="00EE4FC3">
        <w:t xml:space="preserve"> </w:t>
      </w:r>
      <w:r w:rsidRPr="00382917">
        <w:t>of</w:t>
      </w:r>
      <w:r w:rsidR="00EE4FC3">
        <w:t xml:space="preserve"> </w:t>
      </w:r>
      <w:r w:rsidRPr="00382917">
        <w:t>the</w:t>
      </w:r>
      <w:r w:rsidR="00EE4FC3">
        <w:t xml:space="preserve"> </w:t>
      </w:r>
      <w:r w:rsidRPr="00382917">
        <w:t>city,</w:t>
      </w:r>
      <w:r w:rsidR="00EE4FC3">
        <w:t xml:space="preserve"> </w:t>
      </w:r>
      <w:r w:rsidRPr="00382917">
        <w:t>He</w:t>
      </w:r>
      <w:r w:rsidR="00EE4FC3">
        <w:t xml:space="preserve"> </w:t>
      </w:r>
      <w:r w:rsidRPr="00382917">
        <w:t>would</w:t>
      </w:r>
      <w:r w:rsidR="00EE4FC3">
        <w:t xml:space="preserve"> </w:t>
      </w:r>
      <w:r w:rsidRPr="00382917">
        <w:t>publicly</w:t>
      </w:r>
      <w:r w:rsidR="00EE4FC3">
        <w:t xml:space="preserve"> </w:t>
      </w:r>
      <w:r w:rsidRPr="00382917">
        <w:t>proclaim</w:t>
      </w:r>
      <w:r w:rsidR="00EE4FC3">
        <w:t xml:space="preserve"> </w:t>
      </w:r>
      <w:r w:rsidRPr="00382917">
        <w:t>His</w:t>
      </w:r>
      <w:r w:rsidR="00EE4FC3">
        <w:t xml:space="preserve"> </w:t>
      </w:r>
      <w:r w:rsidRPr="00382917">
        <w:t>mission.</w:t>
      </w:r>
      <w:r w:rsidR="00BB4D48">
        <w:rPr>
          <w:rStyle w:val="FootnoteReference"/>
        </w:rPr>
        <w:footnoteReference w:id="92"/>
      </w:r>
    </w:p>
    <w:p w:rsidR="00447F64" w:rsidRPr="00382917" w:rsidRDefault="00447F64" w:rsidP="00447F64">
      <w:pPr>
        <w:pStyle w:val="Text"/>
      </w:pPr>
      <w:r w:rsidRPr="00382917">
        <w:t>The</w:t>
      </w:r>
      <w:r w:rsidR="00EE4FC3">
        <w:t xml:space="preserve"> </w:t>
      </w:r>
      <w:r w:rsidRPr="00382917">
        <w:t>meeting</w:t>
      </w:r>
      <w:r w:rsidR="00EE4FC3">
        <w:t xml:space="preserve"> </w:t>
      </w:r>
      <w:r w:rsidRPr="00382917">
        <w:t>was</w:t>
      </w:r>
      <w:r w:rsidR="00EE4FC3">
        <w:t xml:space="preserve"> </w:t>
      </w:r>
      <w:r w:rsidRPr="00382917">
        <w:t>arranged</w:t>
      </w:r>
      <w:r w:rsidR="00EE4FC3">
        <w:t xml:space="preserve"> </w:t>
      </w:r>
      <w:r w:rsidRPr="00382917">
        <w:t>according</w:t>
      </w:r>
      <w:r w:rsidR="00EE4FC3">
        <w:t xml:space="preserve"> </w:t>
      </w:r>
      <w:r w:rsidRPr="00382917">
        <w:t>to</w:t>
      </w:r>
      <w:r w:rsidR="00EE4FC3">
        <w:t xml:space="preserve"> </w:t>
      </w:r>
      <w:r w:rsidRPr="00382917">
        <w:t>the</w:t>
      </w:r>
      <w:r w:rsidR="00EE4FC3">
        <w:t xml:space="preserve"> </w:t>
      </w:r>
      <w:r w:rsidRPr="00382917">
        <w:t>plan</w:t>
      </w:r>
      <w:r w:rsidR="00EE4FC3">
        <w:t xml:space="preserve"> </w:t>
      </w:r>
      <w:r w:rsidRPr="00382917">
        <w:t>of</w:t>
      </w:r>
      <w:r w:rsidR="00EE4FC3">
        <w:t xml:space="preserve"> </w:t>
      </w:r>
      <w:r w:rsidRPr="00382917">
        <w:t>the</w:t>
      </w:r>
      <w:r w:rsidR="00EE4FC3">
        <w:t xml:space="preserve"> </w:t>
      </w:r>
      <w:r w:rsidRPr="00382917">
        <w:t>Prime</w:t>
      </w:r>
      <w:r w:rsidR="00EE4FC3">
        <w:t xml:space="preserve"> </w:t>
      </w:r>
      <w:r w:rsidRPr="00382917">
        <w:t>Minister</w:t>
      </w:r>
      <w:r w:rsidR="00A93643">
        <w:t>.</w:t>
      </w:r>
      <w:r w:rsidR="00EE4FC3">
        <w:t xml:space="preserve">  </w:t>
      </w:r>
      <w:r w:rsidRPr="00382917">
        <w:t>It</w:t>
      </w:r>
      <w:r w:rsidR="00EE4FC3">
        <w:t xml:space="preserve"> </w:t>
      </w:r>
      <w:r w:rsidRPr="00382917">
        <w:t>took</w:t>
      </w:r>
      <w:r w:rsidR="00EE4FC3">
        <w:t xml:space="preserve"> </w:t>
      </w:r>
      <w:r w:rsidRPr="00382917">
        <w:t>place</w:t>
      </w:r>
      <w:r w:rsidR="00EE4FC3">
        <w:t xml:space="preserve"> </w:t>
      </w:r>
      <w:r w:rsidRPr="00382917">
        <w:t>in</w:t>
      </w:r>
      <w:r w:rsidR="00EE4FC3">
        <w:t xml:space="preserve"> </w:t>
      </w:r>
      <w:r w:rsidRPr="00382917">
        <w:t>the</w:t>
      </w:r>
      <w:r w:rsidR="00EE4FC3">
        <w:t xml:space="preserve"> </w:t>
      </w:r>
      <w:r w:rsidRPr="00382917">
        <w:t>residence</w:t>
      </w:r>
      <w:r w:rsidR="00EE4FC3">
        <w:t xml:space="preserve"> </w:t>
      </w:r>
      <w:r w:rsidRPr="00382917">
        <w:t>of</w:t>
      </w:r>
      <w:r w:rsidR="00EE4FC3">
        <w:t xml:space="preserve"> </w:t>
      </w:r>
      <w:r w:rsidRPr="00382917">
        <w:t>the</w:t>
      </w:r>
      <w:r w:rsidR="00EE4FC3">
        <w:t xml:space="preserve"> </w:t>
      </w:r>
      <w:r w:rsidRPr="00382917">
        <w:t>governor</w:t>
      </w:r>
      <w:r w:rsidR="00A93643">
        <w:t>.</w:t>
      </w:r>
      <w:r w:rsidR="00EE4FC3">
        <w:t xml:space="preserve">  </w:t>
      </w:r>
      <w:r w:rsidRPr="00382917">
        <w:t>An</w:t>
      </w:r>
      <w:r w:rsidR="00EE4FC3">
        <w:t xml:space="preserve"> </w:t>
      </w:r>
      <w:r w:rsidRPr="00382917">
        <w:t>officer</w:t>
      </w:r>
      <w:r w:rsidR="00EE4FC3">
        <w:t xml:space="preserve"> </w:t>
      </w:r>
      <w:r w:rsidRPr="00382917">
        <w:t>of</w:t>
      </w:r>
      <w:r w:rsidR="00EE4FC3">
        <w:t xml:space="preserve"> </w:t>
      </w:r>
      <w:r w:rsidRPr="00382917">
        <w:t>the</w:t>
      </w:r>
      <w:r w:rsidR="00EE4FC3">
        <w:t xml:space="preserve"> </w:t>
      </w:r>
      <w:r w:rsidRPr="00382917">
        <w:t>army</w:t>
      </w:r>
      <w:r w:rsidR="00EE4FC3">
        <w:t xml:space="preserve"> </w:t>
      </w:r>
      <w:r w:rsidRPr="00382917">
        <w:t>was</w:t>
      </w:r>
      <w:r w:rsidR="00EE4FC3">
        <w:t xml:space="preserve"> </w:t>
      </w:r>
      <w:r w:rsidRPr="00382917">
        <w:t>sent</w:t>
      </w:r>
      <w:r w:rsidR="00EE4FC3">
        <w:t xml:space="preserve"> </w:t>
      </w:r>
      <w:r w:rsidRPr="00382917">
        <w:t>to</w:t>
      </w:r>
      <w:r w:rsidR="00EE4FC3">
        <w:t xml:space="preserve"> </w:t>
      </w:r>
      <w:r w:rsidRPr="00382917">
        <w:t>bring</w:t>
      </w:r>
      <w:r w:rsidR="00EE4FC3">
        <w:t xml:space="preserve"> </w:t>
      </w:r>
      <w:r w:rsidRPr="00382917">
        <w:t>the</w:t>
      </w:r>
      <w:r w:rsidR="00EE4FC3">
        <w:t xml:space="preserve"> </w:t>
      </w:r>
      <w:r w:rsidRPr="00382917">
        <w:t>Báb</w:t>
      </w:r>
      <w:r w:rsidR="00EE4FC3">
        <w:t xml:space="preserve"> </w:t>
      </w:r>
      <w:r w:rsidRPr="00382917">
        <w:t>into</w:t>
      </w:r>
      <w:r w:rsidR="00EE4FC3">
        <w:t xml:space="preserve"> </w:t>
      </w:r>
      <w:r w:rsidRPr="00382917">
        <w:t>the</w:t>
      </w:r>
      <w:r w:rsidR="00EE4FC3">
        <w:t xml:space="preserve"> </w:t>
      </w:r>
      <w:r w:rsidRPr="00382917">
        <w:t>presence</w:t>
      </w:r>
      <w:r w:rsidR="00EE4FC3">
        <w:t xml:space="preserve"> </w:t>
      </w:r>
      <w:r w:rsidRPr="00382917">
        <w:t>of</w:t>
      </w:r>
      <w:r w:rsidR="00EE4FC3">
        <w:t xml:space="preserve"> </w:t>
      </w:r>
      <w:r w:rsidRPr="00382917">
        <w:t>the</w:t>
      </w:r>
      <w:r w:rsidR="00EE4FC3">
        <w:t xml:space="preserve"> </w:t>
      </w:r>
      <w:r w:rsidRPr="00382917">
        <w:t>gathering</w:t>
      </w:r>
      <w:r w:rsidR="00A93643">
        <w:t>.</w:t>
      </w:r>
      <w:r w:rsidR="00EE4FC3">
        <w:t xml:space="preserve">  </w:t>
      </w:r>
      <w:r w:rsidRPr="00382917">
        <w:t>Already</w:t>
      </w:r>
      <w:r w:rsidR="00EE4FC3">
        <w:t xml:space="preserve"> </w:t>
      </w:r>
      <w:r w:rsidRPr="00382917">
        <w:t>a</w:t>
      </w:r>
      <w:r w:rsidR="00EE4FC3">
        <w:t xml:space="preserve"> </w:t>
      </w:r>
      <w:r w:rsidRPr="00382917">
        <w:t>multitude</w:t>
      </w:r>
      <w:r w:rsidR="00EE4FC3">
        <w:t xml:space="preserve"> </w:t>
      </w:r>
      <w:r w:rsidRPr="00382917">
        <w:t>besieged</w:t>
      </w:r>
      <w:r w:rsidR="00EE4FC3">
        <w:t xml:space="preserve"> </w:t>
      </w:r>
      <w:r w:rsidRPr="00382917">
        <w:t>the</w:t>
      </w:r>
      <w:r w:rsidR="00EE4FC3">
        <w:t xml:space="preserve"> </w:t>
      </w:r>
      <w:r w:rsidRPr="00382917">
        <w:t>outside</w:t>
      </w:r>
      <w:r w:rsidR="00EE4FC3">
        <w:t xml:space="preserve"> </w:t>
      </w:r>
      <w:r w:rsidRPr="00382917">
        <w:t>entrance</w:t>
      </w:r>
      <w:r w:rsidR="00A93643">
        <w:t>.</w:t>
      </w:r>
      <w:r w:rsidR="00EE4FC3">
        <w:t xml:space="preserve">  </w:t>
      </w:r>
      <w:r w:rsidRPr="00382917">
        <w:t>Crowds</w:t>
      </w:r>
      <w:r w:rsidR="00EE4FC3">
        <w:t xml:space="preserve"> </w:t>
      </w:r>
      <w:r w:rsidRPr="00382917">
        <w:t>had</w:t>
      </w:r>
      <w:r w:rsidR="00EE4FC3">
        <w:t xml:space="preserve"> </w:t>
      </w:r>
      <w:r w:rsidRPr="00382917">
        <w:t>been</w:t>
      </w:r>
      <w:r w:rsidR="00EE4FC3">
        <w:t xml:space="preserve"> </w:t>
      </w:r>
      <w:r w:rsidRPr="00382917">
        <w:t>waiting</w:t>
      </w:r>
      <w:r w:rsidR="00EE4FC3">
        <w:t xml:space="preserve"> </w:t>
      </w:r>
      <w:r w:rsidRPr="00382917">
        <w:t>since</w:t>
      </w:r>
      <w:r w:rsidR="00EE4FC3">
        <w:t xml:space="preserve"> </w:t>
      </w:r>
      <w:r w:rsidRPr="00382917">
        <w:t>early</w:t>
      </w:r>
      <w:r w:rsidR="00EE4FC3">
        <w:t xml:space="preserve"> </w:t>
      </w:r>
      <w:r w:rsidRPr="00382917">
        <w:t>dawn</w:t>
      </w:r>
      <w:r w:rsidR="00EE4FC3">
        <w:t xml:space="preserve"> </w:t>
      </w:r>
      <w:r w:rsidRPr="00382917">
        <w:t>to</w:t>
      </w:r>
      <w:r w:rsidR="00EE4FC3">
        <w:t xml:space="preserve"> </w:t>
      </w:r>
      <w:r w:rsidRPr="00382917">
        <w:t>catch</w:t>
      </w:r>
      <w:r w:rsidR="00EE4FC3">
        <w:t xml:space="preserve"> </w:t>
      </w:r>
      <w:r w:rsidRPr="00382917">
        <w:t>a</w:t>
      </w:r>
      <w:r w:rsidR="00EE4FC3">
        <w:t xml:space="preserve"> </w:t>
      </w:r>
      <w:r w:rsidRPr="00382917">
        <w:t>glimpse</w:t>
      </w:r>
      <w:r w:rsidR="00EE4FC3">
        <w:t xml:space="preserve"> </w:t>
      </w:r>
      <w:r w:rsidRPr="00382917">
        <w:t>of</w:t>
      </w:r>
      <w:r w:rsidR="00EE4FC3">
        <w:t xml:space="preserve"> </w:t>
      </w:r>
      <w:r w:rsidRPr="00382917">
        <w:t>the</w:t>
      </w:r>
      <w:r w:rsidR="00EE4FC3">
        <w:t xml:space="preserve"> </w:t>
      </w:r>
      <w:r w:rsidRPr="00382917">
        <w:t>Báb</w:t>
      </w:r>
      <w:r w:rsidR="009C713D" w:rsidRPr="00382917">
        <w:t>’</w:t>
      </w:r>
      <w:r w:rsidRPr="00382917">
        <w:t>s</w:t>
      </w:r>
      <w:r w:rsidR="00EE4FC3">
        <w:t xml:space="preserve"> </w:t>
      </w:r>
      <w:r w:rsidRPr="00382917">
        <w:t>face</w:t>
      </w:r>
      <w:r w:rsidR="00A93643">
        <w:t>.</w:t>
      </w:r>
      <w:r w:rsidR="00EE4FC3">
        <w:t xml:space="preserve">  </w:t>
      </w:r>
      <w:r w:rsidRPr="00382917">
        <w:t>They</w:t>
      </w:r>
      <w:r w:rsidR="00EE4FC3">
        <w:t xml:space="preserve"> </w:t>
      </w:r>
      <w:r w:rsidRPr="00382917">
        <w:t>pressed</w:t>
      </w:r>
      <w:r w:rsidR="00EE4FC3">
        <w:t xml:space="preserve"> </w:t>
      </w:r>
      <w:r w:rsidRPr="00382917">
        <w:t>forward</w:t>
      </w:r>
      <w:r w:rsidR="00EE4FC3">
        <w:t xml:space="preserve"> </w:t>
      </w:r>
      <w:r w:rsidRPr="00382917">
        <w:t>in</w:t>
      </w:r>
      <w:r w:rsidR="00EE4FC3">
        <w:t xml:space="preserve"> </w:t>
      </w:r>
      <w:r w:rsidRPr="00382917">
        <w:t>such</w:t>
      </w:r>
      <w:r w:rsidR="00EE4FC3">
        <w:t xml:space="preserve"> </w:t>
      </w:r>
      <w:r w:rsidRPr="00382917">
        <w:t>large</w:t>
      </w:r>
      <w:r w:rsidR="00EE4FC3">
        <w:t xml:space="preserve"> </w:t>
      </w:r>
      <w:r w:rsidRPr="00382917">
        <w:t>numbers</w:t>
      </w:r>
      <w:r w:rsidR="00EE4FC3">
        <w:t xml:space="preserve"> </w:t>
      </w:r>
      <w:r w:rsidRPr="00382917">
        <w:t>that</w:t>
      </w:r>
      <w:r w:rsidR="00EE4FC3">
        <w:t xml:space="preserve"> </w:t>
      </w:r>
      <w:r w:rsidRPr="00382917">
        <w:t>a</w:t>
      </w:r>
      <w:r w:rsidR="00EE4FC3">
        <w:t xml:space="preserve"> </w:t>
      </w:r>
      <w:r w:rsidRPr="00382917">
        <w:t>passage</w:t>
      </w:r>
      <w:r w:rsidR="00EE4FC3">
        <w:t xml:space="preserve"> </w:t>
      </w:r>
      <w:r w:rsidRPr="00382917">
        <w:t>had</w:t>
      </w:r>
      <w:r w:rsidR="00EE4FC3">
        <w:t xml:space="preserve"> </w:t>
      </w:r>
      <w:r w:rsidRPr="00382917">
        <w:t>to</w:t>
      </w:r>
      <w:r w:rsidR="00EE4FC3">
        <w:t xml:space="preserve"> </w:t>
      </w:r>
      <w:r w:rsidRPr="00382917">
        <w:t>be</w:t>
      </w:r>
      <w:r w:rsidR="00EE4FC3">
        <w:t xml:space="preserve"> </w:t>
      </w:r>
      <w:r w:rsidRPr="00382917">
        <w:t>forced</w:t>
      </w:r>
      <w:r w:rsidR="00EE4FC3">
        <w:t xml:space="preserve"> </w:t>
      </w:r>
      <w:r w:rsidRPr="00382917">
        <w:t>through</w:t>
      </w:r>
      <w:r w:rsidR="00EE4FC3">
        <w:t xml:space="preserve"> </w:t>
      </w:r>
      <w:r w:rsidRPr="00382917">
        <w:t>the</w:t>
      </w:r>
      <w:r w:rsidR="00EE4FC3">
        <w:t xml:space="preserve"> </w:t>
      </w:r>
      <w:r w:rsidRPr="00382917">
        <w:t>crowd</w:t>
      </w:r>
      <w:r w:rsidR="00EE4FC3">
        <w:t xml:space="preserve"> </w:t>
      </w:r>
      <w:r w:rsidRPr="00382917">
        <w:t>for</w:t>
      </w:r>
      <w:r w:rsidR="00EE4FC3">
        <w:t xml:space="preserve"> </w:t>
      </w:r>
      <w:r w:rsidRPr="00382917">
        <w:t>the</w:t>
      </w:r>
      <w:r w:rsidR="00EE4FC3">
        <w:t xml:space="preserve"> </w:t>
      </w:r>
      <w:r w:rsidRPr="00382917">
        <w:t>Báb</w:t>
      </w:r>
      <w:r w:rsidR="00EE4FC3">
        <w:t xml:space="preserve"> </w:t>
      </w:r>
      <w:r w:rsidRPr="00382917">
        <w:t>to</w:t>
      </w:r>
      <w:r w:rsidR="00EE4FC3">
        <w:t xml:space="preserve"> </w:t>
      </w:r>
      <w:r w:rsidRPr="00382917">
        <w:t>enter.</w:t>
      </w:r>
    </w:p>
    <w:p w:rsidR="00E13D49" w:rsidRPr="00382917" w:rsidRDefault="00447F64" w:rsidP="00447F64">
      <w:pPr>
        <w:pStyle w:val="Text"/>
      </w:pPr>
      <w:r w:rsidRPr="00382917">
        <w:t>When</w:t>
      </w:r>
      <w:r w:rsidR="00EE4FC3">
        <w:t xml:space="preserve"> </w:t>
      </w:r>
      <w:r w:rsidRPr="00382917">
        <w:t>He</w:t>
      </w:r>
      <w:r w:rsidR="00EE4FC3">
        <w:t xml:space="preserve"> </w:t>
      </w:r>
      <w:r w:rsidRPr="00382917">
        <w:t>came</w:t>
      </w:r>
      <w:r w:rsidR="00EE4FC3">
        <w:t xml:space="preserve"> </w:t>
      </w:r>
      <w:r w:rsidRPr="00382917">
        <w:t>into</w:t>
      </w:r>
      <w:r w:rsidR="00EE4FC3">
        <w:t xml:space="preserve"> </w:t>
      </w:r>
      <w:r w:rsidRPr="00382917">
        <w:t>the</w:t>
      </w:r>
      <w:r w:rsidR="00EE4FC3">
        <w:t xml:space="preserve"> </w:t>
      </w:r>
      <w:r w:rsidRPr="00382917">
        <w:t>hall,</w:t>
      </w:r>
      <w:r w:rsidR="00EE4FC3">
        <w:t xml:space="preserve"> </w:t>
      </w:r>
      <w:r w:rsidRPr="00382917">
        <w:t>He</w:t>
      </w:r>
      <w:r w:rsidR="00EE4FC3">
        <w:t xml:space="preserve"> </w:t>
      </w:r>
      <w:r w:rsidRPr="00382917">
        <w:t>saw</w:t>
      </w:r>
      <w:r w:rsidR="00EE4FC3">
        <w:t xml:space="preserve"> </w:t>
      </w:r>
      <w:r w:rsidRPr="00382917">
        <w:t>that</w:t>
      </w:r>
      <w:r w:rsidR="00EE4FC3">
        <w:t xml:space="preserve"> </w:t>
      </w:r>
      <w:r w:rsidRPr="00382917">
        <w:t>every</w:t>
      </w:r>
      <w:r w:rsidR="00EE4FC3">
        <w:t xml:space="preserve"> </w:t>
      </w:r>
      <w:r w:rsidRPr="00382917">
        <w:t>seat</w:t>
      </w:r>
      <w:r w:rsidR="00EE4FC3">
        <w:t xml:space="preserve"> </w:t>
      </w:r>
      <w:r w:rsidRPr="00382917">
        <w:t>was</w:t>
      </w:r>
      <w:r w:rsidR="00EE4FC3">
        <w:t xml:space="preserve"> </w:t>
      </w:r>
      <w:proofErr w:type="spellStart"/>
      <w:r w:rsidRPr="00382917">
        <w:t>oc</w:t>
      </w:r>
      <w:proofErr w:type="spellEnd"/>
      <w:r w:rsidRPr="00382917">
        <w:t>-</w:t>
      </w:r>
    </w:p>
    <w:p w:rsidR="00447F64" w:rsidRPr="00382917" w:rsidRDefault="00447F64">
      <w:pPr>
        <w:widowControl/>
        <w:kinsoku/>
        <w:overflowPunct/>
        <w:textAlignment w:val="auto"/>
      </w:pPr>
      <w:r w:rsidRPr="00382917">
        <w:br w:type="page"/>
      </w:r>
    </w:p>
    <w:p w:rsidR="00447F64" w:rsidRPr="00382917" w:rsidRDefault="00447F64" w:rsidP="00447F64">
      <w:pPr>
        <w:pStyle w:val="Textcts"/>
      </w:pPr>
      <w:proofErr w:type="spellStart"/>
      <w:proofErr w:type="gramStart"/>
      <w:r w:rsidRPr="00382917">
        <w:t>cupied</w:t>
      </w:r>
      <w:proofErr w:type="spellEnd"/>
      <w:proofErr w:type="gramEnd"/>
      <w:r w:rsidR="00EE4FC3">
        <w:t xml:space="preserve"> </w:t>
      </w:r>
      <w:r w:rsidRPr="00382917">
        <w:t>except</w:t>
      </w:r>
      <w:r w:rsidR="00EE4FC3">
        <w:t xml:space="preserve"> </w:t>
      </w:r>
      <w:r w:rsidRPr="00382917">
        <w:t>one,</w:t>
      </w:r>
      <w:r w:rsidR="00EE4FC3">
        <w:t xml:space="preserve"> </w:t>
      </w:r>
      <w:r w:rsidRPr="00382917">
        <w:t>which</w:t>
      </w:r>
      <w:r w:rsidR="00EE4FC3">
        <w:t xml:space="preserve"> </w:t>
      </w:r>
      <w:r w:rsidRPr="00382917">
        <w:t>had</w:t>
      </w:r>
      <w:r w:rsidR="00EE4FC3">
        <w:t xml:space="preserve"> </w:t>
      </w:r>
      <w:r w:rsidRPr="00382917">
        <w:t>been</w:t>
      </w:r>
      <w:r w:rsidR="00EE4FC3">
        <w:t xml:space="preserve"> </w:t>
      </w:r>
      <w:r w:rsidRPr="00382917">
        <w:t>reserved</w:t>
      </w:r>
      <w:r w:rsidR="00EE4FC3">
        <w:t xml:space="preserve"> </w:t>
      </w:r>
      <w:r w:rsidRPr="00382917">
        <w:t>as</w:t>
      </w:r>
      <w:r w:rsidR="00EE4FC3">
        <w:t xml:space="preserve"> </w:t>
      </w:r>
      <w:r w:rsidRPr="00382917">
        <w:t>the</w:t>
      </w:r>
      <w:r w:rsidR="00EE4FC3">
        <w:t xml:space="preserve"> </w:t>
      </w:r>
      <w:r w:rsidRPr="00382917">
        <w:t>seat</w:t>
      </w:r>
      <w:r w:rsidR="00EE4FC3">
        <w:t xml:space="preserve"> </w:t>
      </w:r>
      <w:r w:rsidRPr="00382917">
        <w:t>of</w:t>
      </w:r>
      <w:r w:rsidR="00EE4FC3">
        <w:t xml:space="preserve"> </w:t>
      </w:r>
      <w:proofErr w:type="spellStart"/>
      <w:r w:rsidRPr="00382917">
        <w:t>honor</w:t>
      </w:r>
      <w:proofErr w:type="spellEnd"/>
      <w:r w:rsidR="00EE4FC3">
        <w:t xml:space="preserve"> </w:t>
      </w:r>
      <w:r w:rsidRPr="00382917">
        <w:t>for</w:t>
      </w:r>
      <w:r w:rsidR="00EE4FC3">
        <w:t xml:space="preserve"> </w:t>
      </w:r>
      <w:r w:rsidRPr="00382917">
        <w:t>the</w:t>
      </w:r>
      <w:r w:rsidR="00EE4FC3">
        <w:t xml:space="preserve"> </w:t>
      </w:r>
      <w:r w:rsidRPr="00382917">
        <w:t>heir</w:t>
      </w:r>
      <w:r w:rsidR="00EE4FC3">
        <w:t xml:space="preserve"> </w:t>
      </w:r>
      <w:r w:rsidRPr="00382917">
        <w:t>to</w:t>
      </w:r>
      <w:r w:rsidR="00EE4FC3">
        <w:t xml:space="preserve"> </w:t>
      </w:r>
      <w:r w:rsidRPr="00382917">
        <w:t>the</w:t>
      </w:r>
      <w:r w:rsidR="00EE4FC3">
        <w:t xml:space="preserve"> </w:t>
      </w:r>
      <w:r w:rsidRPr="00382917">
        <w:t>throne,</w:t>
      </w:r>
      <w:r w:rsidR="00EE4FC3">
        <w:t xml:space="preserve"> </w:t>
      </w:r>
      <w:r w:rsidRPr="00382917">
        <w:t>the</w:t>
      </w:r>
      <w:r w:rsidR="00EE4FC3">
        <w:t xml:space="preserve"> </w:t>
      </w:r>
      <w:r w:rsidRPr="00382917">
        <w:t>king</w:t>
      </w:r>
      <w:r w:rsidR="009C713D" w:rsidRPr="00382917">
        <w:t>’</w:t>
      </w:r>
      <w:r w:rsidRPr="00382917">
        <w:t>s</w:t>
      </w:r>
      <w:r w:rsidR="00EE4FC3">
        <w:t xml:space="preserve"> </w:t>
      </w:r>
      <w:r w:rsidRPr="00382917">
        <w:t>son</w:t>
      </w:r>
      <w:r w:rsidR="00A93643">
        <w:t>.</w:t>
      </w:r>
      <w:r w:rsidR="00EE4FC3">
        <w:t xml:space="preserve">  </w:t>
      </w:r>
      <w:r w:rsidRPr="00382917">
        <w:t>The</w:t>
      </w:r>
      <w:r w:rsidR="00EE4FC3">
        <w:t xml:space="preserve"> </w:t>
      </w:r>
      <w:r w:rsidRPr="00382917">
        <w:t>Báb</w:t>
      </w:r>
      <w:r w:rsidR="00EE4FC3">
        <w:t xml:space="preserve"> </w:t>
      </w:r>
      <w:r w:rsidRPr="00382917">
        <w:t>courteously</w:t>
      </w:r>
      <w:r w:rsidR="00EE4FC3">
        <w:t xml:space="preserve"> </w:t>
      </w:r>
      <w:r w:rsidRPr="00382917">
        <w:t>greeted</w:t>
      </w:r>
      <w:r w:rsidR="00EE4FC3">
        <w:t xml:space="preserve"> </w:t>
      </w:r>
      <w:r w:rsidRPr="00382917">
        <w:t>the</w:t>
      </w:r>
      <w:r w:rsidR="00EE4FC3">
        <w:t xml:space="preserve"> </w:t>
      </w:r>
      <w:r w:rsidRPr="00382917">
        <w:t>assembly</w:t>
      </w:r>
      <w:r w:rsidR="00A93643">
        <w:t>.</w:t>
      </w:r>
      <w:r w:rsidR="00EE4FC3">
        <w:t xml:space="preserve">  </w:t>
      </w:r>
      <w:r w:rsidRPr="00382917">
        <w:t>He</w:t>
      </w:r>
      <w:r w:rsidR="00EE4FC3">
        <w:t xml:space="preserve"> </w:t>
      </w:r>
      <w:r w:rsidRPr="00382917">
        <w:t>knew</w:t>
      </w:r>
      <w:r w:rsidR="00EE4FC3">
        <w:t xml:space="preserve"> </w:t>
      </w:r>
      <w:r w:rsidRPr="00382917">
        <w:t>they</w:t>
      </w:r>
      <w:r w:rsidR="00EE4FC3">
        <w:t xml:space="preserve"> </w:t>
      </w:r>
      <w:r w:rsidRPr="00382917">
        <w:t>planned</w:t>
      </w:r>
      <w:r w:rsidR="00EE4FC3">
        <w:t xml:space="preserve"> </w:t>
      </w:r>
      <w:r w:rsidRPr="00382917">
        <w:t>to</w:t>
      </w:r>
      <w:r w:rsidR="00EE4FC3">
        <w:t xml:space="preserve"> </w:t>
      </w:r>
      <w:r w:rsidRPr="00382917">
        <w:t>humiliate</w:t>
      </w:r>
      <w:r w:rsidR="00EE4FC3">
        <w:t xml:space="preserve"> </w:t>
      </w:r>
      <w:r w:rsidRPr="00382917">
        <w:t>Him</w:t>
      </w:r>
      <w:r w:rsidR="00EE4FC3">
        <w:t xml:space="preserve"> </w:t>
      </w:r>
      <w:r w:rsidRPr="00382917">
        <w:t>by</w:t>
      </w:r>
      <w:r w:rsidR="00EE4FC3">
        <w:t xml:space="preserve"> </w:t>
      </w:r>
      <w:r w:rsidRPr="00382917">
        <w:t>making</w:t>
      </w:r>
      <w:r w:rsidR="00EE4FC3">
        <w:t xml:space="preserve"> </w:t>
      </w:r>
      <w:r w:rsidRPr="00382917">
        <w:t>Him</w:t>
      </w:r>
      <w:r w:rsidR="00EE4FC3">
        <w:t xml:space="preserve"> </w:t>
      </w:r>
      <w:r w:rsidRPr="00382917">
        <w:t>stand</w:t>
      </w:r>
      <w:r w:rsidR="00A93643">
        <w:t>.</w:t>
      </w:r>
      <w:r w:rsidR="00EE4FC3">
        <w:t xml:space="preserve">  </w:t>
      </w:r>
      <w:r w:rsidRPr="00382917">
        <w:t>Without</w:t>
      </w:r>
      <w:r w:rsidR="00EE4FC3">
        <w:t xml:space="preserve"> </w:t>
      </w:r>
      <w:r w:rsidRPr="00382917">
        <w:t>hesitation</w:t>
      </w:r>
      <w:r w:rsidR="00EE4FC3">
        <w:t xml:space="preserve"> </w:t>
      </w:r>
      <w:r w:rsidRPr="00382917">
        <w:t>He</w:t>
      </w:r>
      <w:r w:rsidR="00EE4FC3">
        <w:t xml:space="preserve"> </w:t>
      </w:r>
      <w:r w:rsidRPr="00382917">
        <w:t>walked</w:t>
      </w:r>
      <w:r w:rsidR="00EE4FC3">
        <w:t xml:space="preserve"> </w:t>
      </w:r>
      <w:r w:rsidRPr="00382917">
        <w:t>to</w:t>
      </w:r>
      <w:r w:rsidR="00EE4FC3">
        <w:t xml:space="preserve"> </w:t>
      </w:r>
      <w:r w:rsidRPr="00382917">
        <w:t>that</w:t>
      </w:r>
      <w:r w:rsidR="00EE4FC3">
        <w:t xml:space="preserve"> </w:t>
      </w:r>
      <w:r w:rsidRPr="00382917">
        <w:t>seat</w:t>
      </w:r>
      <w:r w:rsidR="00EE4FC3">
        <w:t xml:space="preserve"> </w:t>
      </w:r>
      <w:r w:rsidRPr="00382917">
        <w:t>of</w:t>
      </w:r>
      <w:r w:rsidR="00EE4FC3">
        <w:t xml:space="preserve"> </w:t>
      </w:r>
      <w:proofErr w:type="spellStart"/>
      <w:r w:rsidRPr="00382917">
        <w:t>honor</w:t>
      </w:r>
      <w:proofErr w:type="spellEnd"/>
      <w:r w:rsidR="00EE4FC3">
        <w:t xml:space="preserve"> </w:t>
      </w:r>
      <w:r w:rsidRPr="00382917">
        <w:t>and</w:t>
      </w:r>
      <w:r w:rsidR="00EE4FC3">
        <w:t xml:space="preserve"> </w:t>
      </w:r>
      <w:r w:rsidRPr="00382917">
        <w:t>sat</w:t>
      </w:r>
      <w:r w:rsidR="00EE4FC3">
        <w:t xml:space="preserve"> </w:t>
      </w:r>
      <w:r w:rsidRPr="00382917">
        <w:t>down.</w:t>
      </w:r>
    </w:p>
    <w:p w:rsidR="00447F64" w:rsidRPr="00382917" w:rsidRDefault="00447F64" w:rsidP="00447F64">
      <w:pPr>
        <w:pStyle w:val="Text"/>
      </w:pPr>
      <w:r w:rsidRPr="00382917">
        <w:t>A</w:t>
      </w:r>
      <w:r w:rsidR="00EE4FC3">
        <w:t xml:space="preserve"> </w:t>
      </w:r>
      <w:r w:rsidRPr="00382917">
        <w:t>silence,</w:t>
      </w:r>
      <w:r w:rsidR="00EE4FC3">
        <w:t xml:space="preserve"> </w:t>
      </w:r>
      <w:r w:rsidRPr="00382917">
        <w:t>long</w:t>
      </w:r>
      <w:r w:rsidR="00EE4FC3">
        <w:t xml:space="preserve"> </w:t>
      </w:r>
      <w:r w:rsidRPr="00382917">
        <w:t>and</w:t>
      </w:r>
      <w:r w:rsidR="00EE4FC3">
        <w:t xml:space="preserve"> </w:t>
      </w:r>
      <w:r w:rsidRPr="00382917">
        <w:t>intense,</w:t>
      </w:r>
      <w:r w:rsidR="00EE4FC3">
        <w:t xml:space="preserve"> </w:t>
      </w:r>
      <w:r w:rsidRPr="00382917">
        <w:t>fell</w:t>
      </w:r>
      <w:r w:rsidR="00EE4FC3">
        <w:t xml:space="preserve"> </w:t>
      </w:r>
      <w:r w:rsidRPr="00382917">
        <w:t>over</w:t>
      </w:r>
      <w:r w:rsidR="00EE4FC3">
        <w:t xml:space="preserve"> </w:t>
      </w:r>
      <w:r w:rsidRPr="00382917">
        <w:t>the</w:t>
      </w:r>
      <w:r w:rsidR="00EE4FC3">
        <w:t xml:space="preserve"> </w:t>
      </w:r>
      <w:r w:rsidRPr="00382917">
        <w:t>gathering</w:t>
      </w:r>
      <w:r w:rsidR="00A93643">
        <w:t>.</w:t>
      </w:r>
      <w:r w:rsidR="00EE4FC3">
        <w:t xml:space="preserve">  </w:t>
      </w:r>
      <w:r w:rsidRPr="00382917">
        <w:t>Their</w:t>
      </w:r>
      <w:r w:rsidR="00EE4FC3">
        <w:t xml:space="preserve"> </w:t>
      </w:r>
      <w:r w:rsidRPr="00382917">
        <w:t>plans</w:t>
      </w:r>
      <w:r w:rsidR="00EE4FC3">
        <w:t xml:space="preserve"> </w:t>
      </w:r>
      <w:r w:rsidRPr="00382917">
        <w:t>had</w:t>
      </w:r>
      <w:r w:rsidR="00EE4FC3">
        <w:t xml:space="preserve"> </w:t>
      </w:r>
      <w:r w:rsidRPr="00382917">
        <w:t>been</w:t>
      </w:r>
      <w:r w:rsidR="00EE4FC3">
        <w:t xml:space="preserve"> </w:t>
      </w:r>
      <w:r w:rsidRPr="00382917">
        <w:t>frustrated,</w:t>
      </w:r>
      <w:r w:rsidR="00EE4FC3">
        <w:t xml:space="preserve"> </w:t>
      </w:r>
      <w:r w:rsidRPr="00382917">
        <w:t>and</w:t>
      </w:r>
      <w:r w:rsidR="00EE4FC3">
        <w:t xml:space="preserve"> </w:t>
      </w:r>
      <w:r w:rsidRPr="00382917">
        <w:t>their</w:t>
      </w:r>
      <w:r w:rsidR="00EE4FC3">
        <w:t xml:space="preserve"> </w:t>
      </w:r>
      <w:r w:rsidRPr="00382917">
        <w:t>anger</w:t>
      </w:r>
      <w:r w:rsidR="00EE4FC3">
        <w:t xml:space="preserve"> </w:t>
      </w:r>
      <w:r w:rsidRPr="00382917">
        <w:t>was</w:t>
      </w:r>
      <w:r w:rsidR="00EE4FC3">
        <w:t xml:space="preserve"> </w:t>
      </w:r>
      <w:r w:rsidRPr="00382917">
        <w:t>apparent</w:t>
      </w:r>
      <w:r w:rsidR="00EE4FC3">
        <w:t xml:space="preserve"> </w:t>
      </w:r>
      <w:r w:rsidRPr="00382917">
        <w:t>in</w:t>
      </w:r>
      <w:r w:rsidR="00EE4FC3">
        <w:t xml:space="preserve"> </w:t>
      </w:r>
      <w:r w:rsidRPr="00382917">
        <w:t>their</w:t>
      </w:r>
      <w:r w:rsidR="00EE4FC3">
        <w:t xml:space="preserve"> </w:t>
      </w:r>
      <w:r w:rsidRPr="00382917">
        <w:t>faces</w:t>
      </w:r>
      <w:r w:rsidR="00A93643">
        <w:t>.</w:t>
      </w:r>
      <w:r w:rsidR="00EE4FC3">
        <w:t xml:space="preserve">  </w:t>
      </w:r>
      <w:r w:rsidRPr="00382917">
        <w:t>At</w:t>
      </w:r>
      <w:r w:rsidR="00EE4FC3">
        <w:t xml:space="preserve"> </w:t>
      </w:r>
      <w:r w:rsidRPr="00382917">
        <w:t>last</w:t>
      </w:r>
      <w:r w:rsidR="00EE4FC3">
        <w:t xml:space="preserve"> </w:t>
      </w:r>
      <w:r w:rsidRPr="00382917">
        <w:t>the</w:t>
      </w:r>
      <w:r w:rsidR="00EE4FC3">
        <w:t xml:space="preserve"> </w:t>
      </w:r>
      <w:r w:rsidRPr="00382917">
        <w:t>stillness</w:t>
      </w:r>
      <w:r w:rsidR="00EE4FC3">
        <w:t xml:space="preserve"> </w:t>
      </w:r>
      <w:r w:rsidRPr="00382917">
        <w:t>was</w:t>
      </w:r>
      <w:r w:rsidR="00EE4FC3">
        <w:t xml:space="preserve"> </w:t>
      </w:r>
      <w:r w:rsidRPr="00382917">
        <w:t>broken</w:t>
      </w:r>
      <w:r w:rsidR="00EE4FC3">
        <w:t xml:space="preserve"> </w:t>
      </w:r>
      <w:r w:rsidRPr="00382917">
        <w:t>by</w:t>
      </w:r>
      <w:r w:rsidR="00EE4FC3">
        <w:t xml:space="preserve"> </w:t>
      </w:r>
      <w:r w:rsidRPr="00382917">
        <w:t>the</w:t>
      </w:r>
      <w:r w:rsidR="00EE4FC3">
        <w:t xml:space="preserve"> </w:t>
      </w:r>
      <w:r w:rsidRPr="00382917">
        <w:t>presiding</w:t>
      </w:r>
      <w:r w:rsidR="00EE4FC3">
        <w:t xml:space="preserve"> </w:t>
      </w:r>
      <w:r w:rsidRPr="00382917">
        <w:t>officer</w:t>
      </w:r>
      <w:r w:rsidR="00EE4FC3">
        <w:t xml:space="preserve"> </w:t>
      </w:r>
      <w:r w:rsidRPr="00382917">
        <w:t>of</w:t>
      </w:r>
      <w:r w:rsidR="00EE4FC3">
        <w:t xml:space="preserve"> </w:t>
      </w:r>
      <w:r w:rsidRPr="00382917">
        <w:t>the</w:t>
      </w:r>
      <w:r w:rsidR="00EE4FC3">
        <w:t xml:space="preserve"> </w:t>
      </w:r>
      <w:r w:rsidRPr="00382917">
        <w:t>gathering.</w:t>
      </w:r>
    </w:p>
    <w:p w:rsidR="00447F64" w:rsidRPr="00382917" w:rsidRDefault="009C713D" w:rsidP="00447F64">
      <w:pPr>
        <w:pStyle w:val="Text"/>
      </w:pPr>
      <w:r w:rsidRPr="00382917">
        <w:t>“</w:t>
      </w:r>
      <w:r w:rsidR="00447F64" w:rsidRPr="00382917">
        <w:t>Who</w:t>
      </w:r>
      <w:r w:rsidR="00EE4FC3">
        <w:t xml:space="preserve"> </w:t>
      </w:r>
      <w:r w:rsidR="00447F64" w:rsidRPr="00382917">
        <w:t>do</w:t>
      </w:r>
      <w:r w:rsidR="00EE4FC3">
        <w:t xml:space="preserve"> </w:t>
      </w:r>
      <w:r w:rsidR="00447F64" w:rsidRPr="00382917">
        <w:t>you</w:t>
      </w:r>
      <w:r w:rsidR="00EE4FC3">
        <w:t xml:space="preserve"> </w:t>
      </w:r>
      <w:r w:rsidR="00447F64" w:rsidRPr="00382917">
        <w:t>claim</w:t>
      </w:r>
      <w:r w:rsidR="00EE4FC3">
        <w:t xml:space="preserve"> </w:t>
      </w:r>
      <w:r w:rsidR="00447F64" w:rsidRPr="00382917">
        <w:t>to</w:t>
      </w:r>
      <w:r w:rsidR="00EE4FC3">
        <w:t xml:space="preserve"> </w:t>
      </w:r>
      <w:r w:rsidR="00447F64" w:rsidRPr="00382917">
        <w:t>be?</w:t>
      </w:r>
      <w:r w:rsidRPr="00382917">
        <w:t>”</w:t>
      </w:r>
      <w:r w:rsidR="00EE4FC3">
        <w:t xml:space="preserve"> </w:t>
      </w:r>
      <w:r w:rsidR="00447F64" w:rsidRPr="00382917">
        <w:t>he</w:t>
      </w:r>
      <w:r w:rsidR="00EE4FC3">
        <w:t xml:space="preserve"> </w:t>
      </w:r>
      <w:r w:rsidR="00447F64" w:rsidRPr="00382917">
        <w:t>asked</w:t>
      </w:r>
      <w:r w:rsidR="00EE4FC3">
        <w:t xml:space="preserve"> </w:t>
      </w:r>
      <w:r w:rsidR="00447F64" w:rsidRPr="00382917">
        <w:t>the</w:t>
      </w:r>
      <w:r w:rsidR="00EE4FC3">
        <w:t xml:space="preserve"> </w:t>
      </w:r>
      <w:r w:rsidR="00447F64" w:rsidRPr="00382917">
        <w:t>Báb</w:t>
      </w:r>
      <w:r w:rsidR="00A93643">
        <w:t>.</w:t>
      </w:r>
      <w:r w:rsidR="00EE4FC3">
        <w:t xml:space="preserve">  </w:t>
      </w:r>
      <w:r w:rsidRPr="00382917">
        <w:t>“</w:t>
      </w:r>
      <w:r w:rsidR="00447F64" w:rsidRPr="00382917">
        <w:t>What</w:t>
      </w:r>
      <w:r w:rsidR="00EE4FC3">
        <w:t xml:space="preserve"> </w:t>
      </w:r>
      <w:r w:rsidR="00447F64" w:rsidRPr="00382917">
        <w:t>is</w:t>
      </w:r>
      <w:r w:rsidR="00EE4FC3">
        <w:t xml:space="preserve"> </w:t>
      </w:r>
      <w:r w:rsidR="00447F64" w:rsidRPr="00382917">
        <w:t>the</w:t>
      </w:r>
      <w:r w:rsidR="00EE4FC3">
        <w:t xml:space="preserve"> </w:t>
      </w:r>
      <w:r w:rsidR="00447F64" w:rsidRPr="00382917">
        <w:t>message</w:t>
      </w:r>
      <w:r w:rsidR="00EE4FC3">
        <w:t xml:space="preserve"> </w:t>
      </w:r>
      <w:r w:rsidR="00447F64" w:rsidRPr="00382917">
        <w:t>which</w:t>
      </w:r>
      <w:r w:rsidR="00EE4FC3">
        <w:t xml:space="preserve"> </w:t>
      </w:r>
      <w:r w:rsidR="00447F64" w:rsidRPr="00382917">
        <w:t>you</w:t>
      </w:r>
      <w:r w:rsidR="00EE4FC3">
        <w:t xml:space="preserve"> </w:t>
      </w:r>
      <w:r w:rsidR="00447F64" w:rsidRPr="00382917">
        <w:t>have</w:t>
      </w:r>
      <w:r w:rsidR="00EE4FC3">
        <w:t xml:space="preserve"> </w:t>
      </w:r>
      <w:r w:rsidR="00447F64" w:rsidRPr="00382917">
        <w:t>brought?</w:t>
      </w:r>
      <w:r w:rsidRPr="00382917">
        <w:t>”</w:t>
      </w:r>
    </w:p>
    <w:p w:rsidR="00447F64" w:rsidRPr="00382917" w:rsidRDefault="00447F64" w:rsidP="00385555">
      <w:pPr>
        <w:pStyle w:val="Text"/>
      </w:pPr>
      <w:r w:rsidRPr="00382917">
        <w:t>It</w:t>
      </w:r>
      <w:r w:rsidR="00EE4FC3">
        <w:t xml:space="preserve"> </w:t>
      </w:r>
      <w:r w:rsidRPr="00382917">
        <w:t>was</w:t>
      </w:r>
      <w:r w:rsidR="00EE4FC3">
        <w:t xml:space="preserve"> </w:t>
      </w:r>
      <w:r w:rsidRPr="00382917">
        <w:t>the</w:t>
      </w:r>
      <w:r w:rsidR="00EE4FC3">
        <w:t xml:space="preserve"> </w:t>
      </w:r>
      <w:r w:rsidRPr="00382917">
        <w:t>story</w:t>
      </w:r>
      <w:r w:rsidR="00EE4FC3">
        <w:t xml:space="preserve"> </w:t>
      </w:r>
      <w:r w:rsidRPr="00382917">
        <w:t>of</w:t>
      </w:r>
      <w:r w:rsidR="00EE4FC3">
        <w:t xml:space="preserve"> </w:t>
      </w:r>
      <w:r w:rsidRPr="00382917">
        <w:t>Christ</w:t>
      </w:r>
      <w:r w:rsidR="00EE4FC3">
        <w:t xml:space="preserve"> </w:t>
      </w:r>
      <w:r w:rsidRPr="00382917">
        <w:t>retold</w:t>
      </w:r>
      <w:r w:rsidR="00A93643">
        <w:t>.</w:t>
      </w:r>
      <w:r w:rsidR="00EE4FC3">
        <w:t xml:space="preserve">  </w:t>
      </w:r>
      <w:r w:rsidRPr="00382917">
        <w:t>When</w:t>
      </w:r>
      <w:r w:rsidR="00EE4FC3">
        <w:t xml:space="preserve"> </w:t>
      </w:r>
      <w:r w:rsidRPr="00382917">
        <w:t>Jesus</w:t>
      </w:r>
      <w:r w:rsidR="00EE4FC3">
        <w:t xml:space="preserve"> </w:t>
      </w:r>
      <w:r w:rsidRPr="00382917">
        <w:t>was</w:t>
      </w:r>
      <w:r w:rsidR="00EE4FC3">
        <w:t xml:space="preserve"> </w:t>
      </w:r>
      <w:r w:rsidRPr="00382917">
        <w:t>taken</w:t>
      </w:r>
      <w:r w:rsidR="00EE4FC3">
        <w:t xml:space="preserve"> </w:t>
      </w:r>
      <w:r w:rsidRPr="00382917">
        <w:t>into</w:t>
      </w:r>
      <w:r w:rsidR="00EE4FC3">
        <w:t xml:space="preserve"> </w:t>
      </w:r>
      <w:r w:rsidRPr="00382917">
        <w:t>the</w:t>
      </w:r>
      <w:r w:rsidR="00EE4FC3">
        <w:t xml:space="preserve"> </w:t>
      </w:r>
      <w:r w:rsidRPr="00382917">
        <w:t>judgment</w:t>
      </w:r>
      <w:r w:rsidR="00EE4FC3">
        <w:t xml:space="preserve"> </w:t>
      </w:r>
      <w:r w:rsidRPr="00382917">
        <w:t>chamber</w:t>
      </w:r>
      <w:r w:rsidR="00EE4FC3">
        <w:t xml:space="preserve"> </w:t>
      </w:r>
      <w:r w:rsidRPr="00382917">
        <w:t>before</w:t>
      </w:r>
      <w:r w:rsidR="00EE4FC3">
        <w:t xml:space="preserve"> </w:t>
      </w:r>
      <w:r w:rsidRPr="00382917">
        <w:t>the</w:t>
      </w:r>
      <w:r w:rsidR="00EE4FC3">
        <w:t xml:space="preserve"> </w:t>
      </w:r>
      <w:r w:rsidRPr="00382917">
        <w:t>priests</w:t>
      </w:r>
      <w:r w:rsidR="00EE4FC3">
        <w:t xml:space="preserve"> </w:t>
      </w:r>
      <w:r w:rsidRPr="00382917">
        <w:t>with</w:t>
      </w:r>
      <w:r w:rsidR="00EE4FC3">
        <w:t xml:space="preserve"> </w:t>
      </w:r>
      <w:r w:rsidRPr="00382917">
        <w:t>their</w:t>
      </w:r>
      <w:r w:rsidR="00EE4FC3">
        <w:t xml:space="preserve"> </w:t>
      </w:r>
      <w:r w:rsidRPr="00382917">
        <w:t>pre-planned</w:t>
      </w:r>
      <w:r w:rsidR="00EE4FC3">
        <w:t xml:space="preserve"> </w:t>
      </w:r>
      <w:r w:rsidRPr="00382917">
        <w:t>investigation,</w:t>
      </w:r>
      <w:r w:rsidR="00EE4FC3">
        <w:t xml:space="preserve"> </w:t>
      </w:r>
      <w:r w:rsidRPr="00382917">
        <w:t>He</w:t>
      </w:r>
      <w:r w:rsidR="00EE4FC3">
        <w:t xml:space="preserve"> </w:t>
      </w:r>
      <w:r w:rsidRPr="00382917">
        <w:t>was</w:t>
      </w:r>
      <w:r w:rsidR="00EE4FC3">
        <w:t xml:space="preserve"> </w:t>
      </w:r>
      <w:r w:rsidRPr="00382917">
        <w:t>asked</w:t>
      </w:r>
      <w:r w:rsidR="00C03C91">
        <w:t>:</w:t>
      </w:r>
      <w:r w:rsidR="00EE4FC3">
        <w:t xml:space="preserve">  </w:t>
      </w:r>
      <w:r w:rsidRPr="00382917">
        <w:t>Art</w:t>
      </w:r>
      <w:r w:rsidR="00EE4FC3">
        <w:t xml:space="preserve"> </w:t>
      </w:r>
      <w:r w:rsidRPr="00382917">
        <w:t>thou</w:t>
      </w:r>
      <w:r w:rsidR="00EE4FC3">
        <w:t xml:space="preserve"> </w:t>
      </w:r>
      <w:r w:rsidRPr="00382917">
        <w:t>the</w:t>
      </w:r>
      <w:r w:rsidR="00EE4FC3">
        <w:t xml:space="preserve"> </w:t>
      </w:r>
      <w:r w:rsidRPr="00382917">
        <w:t>Christ?</w:t>
      </w:r>
      <w:r w:rsidR="00EE4FC3">
        <w:t xml:space="preserve">  </w:t>
      </w:r>
      <w:r w:rsidRPr="00382917">
        <w:t>He</w:t>
      </w:r>
      <w:r w:rsidR="00EE4FC3">
        <w:t xml:space="preserve"> </w:t>
      </w:r>
      <w:r w:rsidRPr="00382917">
        <w:t>replied</w:t>
      </w:r>
      <w:r w:rsidR="00C03C91">
        <w:t>:</w:t>
      </w:r>
      <w:r w:rsidR="00EE4FC3">
        <w:t xml:space="preserve">  </w:t>
      </w:r>
      <w:r w:rsidRPr="00382917">
        <w:t>I</w:t>
      </w:r>
      <w:r w:rsidR="00EE4FC3">
        <w:t xml:space="preserve"> </w:t>
      </w:r>
      <w:r w:rsidRPr="00382917">
        <w:t>am.</w:t>
      </w:r>
      <w:r w:rsidR="00385555">
        <w:rPr>
          <w:rStyle w:val="FootnoteReference"/>
        </w:rPr>
        <w:footnoteReference w:id="93"/>
      </w:r>
      <w:r w:rsidR="00EE4FC3">
        <w:t xml:space="preserve">  </w:t>
      </w:r>
      <w:r w:rsidRPr="00382917">
        <w:t>There</w:t>
      </w:r>
      <w:r w:rsidR="00EE4FC3">
        <w:t xml:space="preserve"> </w:t>
      </w:r>
      <w:r w:rsidRPr="00382917">
        <w:t>could</w:t>
      </w:r>
      <w:r w:rsidR="00EE4FC3">
        <w:t xml:space="preserve"> </w:t>
      </w:r>
      <w:r w:rsidRPr="00382917">
        <w:t>no</w:t>
      </w:r>
      <w:r w:rsidR="00EE4FC3">
        <w:t xml:space="preserve"> </w:t>
      </w:r>
      <w:r w:rsidRPr="00382917">
        <w:t>longer</w:t>
      </w:r>
      <w:r w:rsidR="00EE4FC3">
        <w:t xml:space="preserve"> </w:t>
      </w:r>
      <w:r w:rsidRPr="00382917">
        <w:t>remain</w:t>
      </w:r>
      <w:r w:rsidR="00EE4FC3">
        <w:t xml:space="preserve"> </w:t>
      </w:r>
      <w:r w:rsidRPr="00382917">
        <w:t>any</w:t>
      </w:r>
      <w:r w:rsidR="00EE4FC3">
        <w:t xml:space="preserve"> </w:t>
      </w:r>
      <w:r w:rsidRPr="00382917">
        <w:t>doubt</w:t>
      </w:r>
      <w:r w:rsidR="00EE4FC3">
        <w:t xml:space="preserve"> </w:t>
      </w:r>
      <w:r w:rsidRPr="00382917">
        <w:t>of</w:t>
      </w:r>
      <w:r w:rsidR="00EE4FC3">
        <w:t xml:space="preserve"> </w:t>
      </w:r>
      <w:r w:rsidRPr="00382917">
        <w:t>His</w:t>
      </w:r>
      <w:r w:rsidR="00EE4FC3">
        <w:t xml:space="preserve"> </w:t>
      </w:r>
      <w:r w:rsidRPr="00382917">
        <w:t>mission.</w:t>
      </w:r>
    </w:p>
    <w:p w:rsidR="00E13D49" w:rsidRPr="00382917" w:rsidRDefault="00447F64" w:rsidP="00447F64">
      <w:pPr>
        <w:pStyle w:val="Text"/>
      </w:pPr>
      <w:r w:rsidRPr="00382917">
        <w:t>In</w:t>
      </w:r>
      <w:r w:rsidR="00EE4FC3">
        <w:t xml:space="preserve"> </w:t>
      </w:r>
      <w:r w:rsidRPr="00382917">
        <w:t>like</w:t>
      </w:r>
      <w:r w:rsidR="00EE4FC3">
        <w:t xml:space="preserve"> </w:t>
      </w:r>
      <w:r w:rsidRPr="00382917">
        <w:t>manner,</w:t>
      </w:r>
      <w:r w:rsidR="00EE4FC3">
        <w:t xml:space="preserve"> </w:t>
      </w:r>
      <w:r w:rsidRPr="00382917">
        <w:t>with</w:t>
      </w:r>
      <w:r w:rsidR="00EE4FC3">
        <w:t xml:space="preserve"> </w:t>
      </w:r>
      <w:r w:rsidRPr="00382917">
        <w:t>similar</w:t>
      </w:r>
      <w:r w:rsidR="00EE4FC3">
        <w:t xml:space="preserve"> </w:t>
      </w:r>
      <w:r w:rsidRPr="00382917">
        <w:t>words,</w:t>
      </w:r>
      <w:r w:rsidR="00EE4FC3">
        <w:t xml:space="preserve"> </w:t>
      </w:r>
      <w:r w:rsidRPr="00382917">
        <w:t>the</w:t>
      </w:r>
      <w:r w:rsidR="00EE4FC3">
        <w:t xml:space="preserve"> </w:t>
      </w:r>
      <w:r w:rsidRPr="00382917">
        <w:t>Báb</w:t>
      </w:r>
      <w:r w:rsidR="00EE4FC3">
        <w:t xml:space="preserve"> </w:t>
      </w:r>
      <w:r w:rsidRPr="00382917">
        <w:t>replied</w:t>
      </w:r>
      <w:r w:rsidR="00EE4FC3">
        <w:t xml:space="preserve"> </w:t>
      </w:r>
      <w:r w:rsidRPr="00382917">
        <w:t>to</w:t>
      </w:r>
      <w:r w:rsidR="00EE4FC3">
        <w:t xml:space="preserve"> </w:t>
      </w:r>
      <w:r w:rsidRPr="00382917">
        <w:t>this</w:t>
      </w:r>
      <w:r w:rsidR="00EE4FC3">
        <w:t xml:space="preserve"> </w:t>
      </w:r>
      <w:r w:rsidRPr="00382917">
        <w:t>assembly</w:t>
      </w:r>
      <w:r w:rsidR="00EE4FC3">
        <w:t xml:space="preserve"> </w:t>
      </w:r>
      <w:r w:rsidRPr="00382917">
        <w:t>which</w:t>
      </w:r>
      <w:r w:rsidR="00EE4FC3">
        <w:t xml:space="preserve"> </w:t>
      </w:r>
      <w:r w:rsidRPr="00382917">
        <w:t>also</w:t>
      </w:r>
      <w:r w:rsidR="00EE4FC3">
        <w:t xml:space="preserve"> </w:t>
      </w:r>
      <w:r w:rsidRPr="00382917">
        <w:t>wished</w:t>
      </w:r>
      <w:r w:rsidR="00EE4FC3">
        <w:t xml:space="preserve"> </w:t>
      </w:r>
      <w:r w:rsidRPr="00382917">
        <w:t>to</w:t>
      </w:r>
      <w:r w:rsidR="00EE4FC3">
        <w:t xml:space="preserve"> </w:t>
      </w:r>
      <w:r w:rsidRPr="00382917">
        <w:t>hear</w:t>
      </w:r>
      <w:r w:rsidR="00EE4FC3">
        <w:t xml:space="preserve"> </w:t>
      </w:r>
      <w:r w:rsidRPr="00382917">
        <w:t>Him</w:t>
      </w:r>
      <w:r w:rsidR="00EE4FC3">
        <w:t xml:space="preserve"> </w:t>
      </w:r>
      <w:r w:rsidRPr="00382917">
        <w:t>condemn</w:t>
      </w:r>
      <w:r w:rsidR="00EE4FC3">
        <w:t xml:space="preserve"> </w:t>
      </w:r>
      <w:r w:rsidRPr="00382917">
        <w:t>Himself</w:t>
      </w:r>
      <w:r w:rsidR="00EE4FC3">
        <w:t xml:space="preserve"> </w:t>
      </w:r>
      <w:r w:rsidRPr="00382917">
        <w:t>by</w:t>
      </w:r>
      <w:r w:rsidR="00EE4FC3">
        <w:t xml:space="preserve"> </w:t>
      </w:r>
      <w:r w:rsidRPr="00382917">
        <w:t>making</w:t>
      </w:r>
      <w:r w:rsidR="00EE4FC3">
        <w:t xml:space="preserve"> </w:t>
      </w:r>
      <w:r w:rsidRPr="00382917">
        <w:t>this</w:t>
      </w:r>
      <w:r w:rsidR="00EE4FC3">
        <w:t xml:space="preserve"> </w:t>
      </w:r>
      <w:r w:rsidRPr="00382917">
        <w:t>staggering</w:t>
      </w:r>
      <w:r w:rsidR="00EE4FC3">
        <w:t xml:space="preserve"> </w:t>
      </w:r>
      <w:r w:rsidRPr="00382917">
        <w:t>claim</w:t>
      </w:r>
      <w:r w:rsidR="00A93643">
        <w:t>.</w:t>
      </w:r>
      <w:r w:rsidR="00EE4FC3">
        <w:t xml:space="preserve">  </w:t>
      </w:r>
      <w:r w:rsidRPr="00382917">
        <w:t>Three</w:t>
      </w:r>
      <w:r w:rsidR="00EE4FC3">
        <w:t xml:space="preserve"> </w:t>
      </w:r>
      <w:r w:rsidRPr="00382917">
        <w:t>times</w:t>
      </w:r>
      <w:r w:rsidR="00EE4FC3">
        <w:t xml:space="preserve"> </w:t>
      </w:r>
      <w:r w:rsidRPr="00382917">
        <w:t>He</w:t>
      </w:r>
      <w:r w:rsidR="00EE4FC3">
        <w:t xml:space="preserve"> </w:t>
      </w:r>
      <w:r w:rsidRPr="00382917">
        <w:t>repeated</w:t>
      </w:r>
      <w:r w:rsidR="00EE4FC3">
        <w:t xml:space="preserve"> </w:t>
      </w:r>
      <w:r w:rsidRPr="00382917">
        <w:t>it</w:t>
      </w:r>
      <w:r w:rsidR="00EE4FC3">
        <w:t xml:space="preserve"> </w:t>
      </w:r>
      <w:r w:rsidRPr="00382917">
        <w:t>in</w:t>
      </w:r>
      <w:r w:rsidR="00EE4FC3">
        <w:t xml:space="preserve"> </w:t>
      </w:r>
      <w:r w:rsidRPr="00382917">
        <w:t>their</w:t>
      </w:r>
      <w:r w:rsidR="00EE4FC3">
        <w:t xml:space="preserve"> </w:t>
      </w:r>
      <w:r w:rsidRPr="00382917">
        <w:t>presence</w:t>
      </w:r>
      <w:r w:rsidR="00A93643">
        <w:t>.</w:t>
      </w:r>
      <w:r w:rsidR="00EE4FC3">
        <w:t xml:space="preserve">  </w:t>
      </w:r>
      <w:r w:rsidR="009C713D" w:rsidRPr="00382917">
        <w:t>“</w:t>
      </w:r>
      <w:r w:rsidRPr="00382917">
        <w:t>I</w:t>
      </w:r>
      <w:r w:rsidR="00EE4FC3">
        <w:t xml:space="preserve"> </w:t>
      </w:r>
      <w:r w:rsidRPr="00382917">
        <w:t>am,</w:t>
      </w:r>
      <w:r w:rsidR="009C713D" w:rsidRPr="00382917">
        <w:t>”</w:t>
      </w:r>
      <w:r w:rsidR="00EE4FC3">
        <w:t xml:space="preserve"> </w:t>
      </w:r>
      <w:r w:rsidRPr="00382917">
        <w:t>exclaimed</w:t>
      </w:r>
      <w:r w:rsidR="00EE4FC3">
        <w:t xml:space="preserve"> </w:t>
      </w:r>
      <w:r w:rsidRPr="00382917">
        <w:t>the</w:t>
      </w:r>
      <w:r w:rsidR="00EE4FC3">
        <w:t xml:space="preserve"> </w:t>
      </w:r>
      <w:r w:rsidRPr="00382917">
        <w:t>Báb,</w:t>
      </w:r>
      <w:r w:rsidR="00EE4FC3">
        <w:t xml:space="preserve"> </w:t>
      </w:r>
      <w:r w:rsidR="009C713D" w:rsidRPr="00382917">
        <w:t>“</w:t>
      </w:r>
      <w:r w:rsidRPr="00382917">
        <w:t>I</w:t>
      </w:r>
      <w:r w:rsidR="00EE4FC3">
        <w:t xml:space="preserve"> </w:t>
      </w:r>
      <w:r w:rsidRPr="00382917">
        <w:t>am</w:t>
      </w:r>
      <w:proofErr w:type="gramStart"/>
      <w:r w:rsidRPr="00382917">
        <w:t>,</w:t>
      </w:r>
      <w:proofErr w:type="gramEnd"/>
      <w:r w:rsidR="00EE4FC3">
        <w:t xml:space="preserve"> </w:t>
      </w:r>
      <w:r w:rsidRPr="00382917">
        <w:t>I</w:t>
      </w:r>
      <w:r w:rsidR="00EE4FC3">
        <w:t xml:space="preserve"> </w:t>
      </w:r>
      <w:r w:rsidRPr="00382917">
        <w:t>am</w:t>
      </w:r>
      <w:r w:rsidR="00EE4FC3">
        <w:t xml:space="preserve"> </w:t>
      </w:r>
      <w:r w:rsidRPr="00382917">
        <w:t>the</w:t>
      </w:r>
      <w:r w:rsidR="00EE4FC3">
        <w:t xml:space="preserve"> </w:t>
      </w:r>
      <w:r w:rsidRPr="00382917">
        <w:t>Promised</w:t>
      </w:r>
      <w:r w:rsidR="00EE4FC3">
        <w:t xml:space="preserve"> </w:t>
      </w:r>
      <w:r w:rsidRPr="00382917">
        <w:t>One!</w:t>
      </w:r>
      <w:r w:rsidR="00EE4FC3">
        <w:t xml:space="preserve">  </w:t>
      </w:r>
      <w:r w:rsidRPr="00382917">
        <w:t>I</w:t>
      </w:r>
      <w:r w:rsidR="00EE4FC3">
        <w:t xml:space="preserve"> </w:t>
      </w:r>
      <w:r w:rsidRPr="00382917">
        <w:t>am</w:t>
      </w:r>
      <w:r w:rsidR="00EE4FC3">
        <w:t xml:space="preserve"> </w:t>
      </w:r>
      <w:r w:rsidRPr="00382917">
        <w:t>the</w:t>
      </w:r>
      <w:r w:rsidR="00EE4FC3">
        <w:t xml:space="preserve"> </w:t>
      </w:r>
      <w:r w:rsidRPr="00382917">
        <w:t>One</w:t>
      </w:r>
      <w:r w:rsidR="00EE4FC3">
        <w:t xml:space="preserve"> </w:t>
      </w:r>
      <w:r w:rsidRPr="00382917">
        <w:t>Whose</w:t>
      </w:r>
      <w:r w:rsidR="00EE4FC3">
        <w:t xml:space="preserve"> </w:t>
      </w:r>
      <w:r w:rsidRPr="00382917">
        <w:t>name</w:t>
      </w:r>
      <w:r w:rsidR="00EE4FC3">
        <w:t xml:space="preserve"> </w:t>
      </w:r>
      <w:r w:rsidRPr="00382917">
        <w:t>you</w:t>
      </w:r>
      <w:r w:rsidR="00EE4FC3">
        <w:t xml:space="preserve"> </w:t>
      </w:r>
      <w:r w:rsidRPr="00382917">
        <w:t>have</w:t>
      </w:r>
      <w:r w:rsidR="00EE4FC3">
        <w:t xml:space="preserve"> </w:t>
      </w:r>
      <w:r w:rsidRPr="00382917">
        <w:t>for</w:t>
      </w:r>
      <w:r w:rsidR="00EE4FC3">
        <w:t xml:space="preserve"> </w:t>
      </w:r>
      <w:r w:rsidRPr="00382917">
        <w:t>a</w:t>
      </w:r>
      <w:r w:rsidR="00EE4FC3">
        <w:t xml:space="preserve"> </w:t>
      </w:r>
      <w:r w:rsidRPr="00382917">
        <w:t>thousand</w:t>
      </w:r>
      <w:r w:rsidR="00EE4FC3">
        <w:t xml:space="preserve"> </w:t>
      </w:r>
      <w:r w:rsidRPr="00382917">
        <w:t>years</w:t>
      </w:r>
      <w:r w:rsidR="00EE4FC3">
        <w:t xml:space="preserve"> </w:t>
      </w:r>
      <w:r w:rsidRPr="00382917">
        <w:t>invoked,</w:t>
      </w:r>
      <w:r w:rsidR="00EE4FC3">
        <w:t xml:space="preserve"> </w:t>
      </w:r>
      <w:r w:rsidRPr="00382917">
        <w:t>at</w:t>
      </w:r>
      <w:r w:rsidR="00EE4FC3">
        <w:t xml:space="preserve"> </w:t>
      </w:r>
      <w:r w:rsidRPr="00382917">
        <w:t>Whose</w:t>
      </w:r>
      <w:r w:rsidR="00EE4FC3">
        <w:t xml:space="preserve"> </w:t>
      </w:r>
      <w:r w:rsidRPr="00382917">
        <w:t>mention</w:t>
      </w:r>
      <w:r w:rsidR="00EE4FC3">
        <w:t xml:space="preserve"> </w:t>
      </w:r>
      <w:r w:rsidRPr="00382917">
        <w:t>you</w:t>
      </w:r>
      <w:r w:rsidR="00EE4FC3">
        <w:t xml:space="preserve"> </w:t>
      </w:r>
      <w:r w:rsidRPr="00382917">
        <w:t>have</w:t>
      </w:r>
      <w:r w:rsidR="00EE4FC3">
        <w:t xml:space="preserve"> </w:t>
      </w:r>
      <w:r w:rsidRPr="00382917">
        <w:t>risen,</w:t>
      </w:r>
      <w:r w:rsidR="00EE4FC3">
        <w:t xml:space="preserve"> </w:t>
      </w:r>
      <w:r w:rsidRPr="00382917">
        <w:t>Whose</w:t>
      </w:r>
      <w:r w:rsidR="00EE4FC3">
        <w:t xml:space="preserve"> </w:t>
      </w:r>
      <w:r w:rsidRPr="00382917">
        <w:t>advent</w:t>
      </w:r>
      <w:r w:rsidR="00EE4FC3">
        <w:t xml:space="preserve"> </w:t>
      </w:r>
      <w:r w:rsidRPr="00382917">
        <w:t>you</w:t>
      </w:r>
      <w:r w:rsidR="00EE4FC3">
        <w:t xml:space="preserve"> </w:t>
      </w:r>
      <w:r w:rsidRPr="00382917">
        <w:t>have</w:t>
      </w:r>
      <w:r w:rsidR="00EE4FC3">
        <w:t xml:space="preserve"> </w:t>
      </w:r>
      <w:r w:rsidRPr="00382917">
        <w:t>longed</w:t>
      </w:r>
      <w:r w:rsidR="00EE4FC3">
        <w:t xml:space="preserve"> </w:t>
      </w:r>
      <w:r w:rsidRPr="00382917">
        <w:t>to</w:t>
      </w:r>
      <w:r w:rsidR="00EE4FC3">
        <w:t xml:space="preserve"> </w:t>
      </w:r>
      <w:r w:rsidRPr="00382917">
        <w:t>witness,</w:t>
      </w:r>
      <w:r w:rsidR="00EE4FC3">
        <w:t xml:space="preserve"> </w:t>
      </w:r>
      <w:r w:rsidRPr="00382917">
        <w:t>and</w:t>
      </w:r>
      <w:r w:rsidR="00EE4FC3">
        <w:t xml:space="preserve"> </w:t>
      </w:r>
      <w:r w:rsidRPr="00382917">
        <w:t>the</w:t>
      </w:r>
      <w:r w:rsidR="00EE4FC3">
        <w:t xml:space="preserve"> </w:t>
      </w:r>
      <w:r w:rsidRPr="00382917">
        <w:t>hour</w:t>
      </w:r>
      <w:r w:rsidR="00EE4FC3">
        <w:t xml:space="preserve"> </w:t>
      </w:r>
      <w:r w:rsidRPr="00382917">
        <w:t>of</w:t>
      </w:r>
      <w:r w:rsidR="00EE4FC3">
        <w:t xml:space="preserve"> </w:t>
      </w:r>
      <w:r w:rsidRPr="00382917">
        <w:t>Whose</w:t>
      </w:r>
      <w:r w:rsidR="00EE4FC3">
        <w:t xml:space="preserve"> </w:t>
      </w:r>
      <w:r w:rsidRPr="00382917">
        <w:t>Revelation</w:t>
      </w:r>
      <w:r w:rsidR="00EE4FC3">
        <w:t xml:space="preserve"> </w:t>
      </w:r>
      <w:r w:rsidRPr="00382917">
        <w:t>you</w:t>
      </w:r>
      <w:r w:rsidR="00EE4FC3">
        <w:t xml:space="preserve"> </w:t>
      </w:r>
      <w:r w:rsidRPr="00382917">
        <w:t>have</w:t>
      </w:r>
      <w:r w:rsidR="00EE4FC3">
        <w:t xml:space="preserve"> </w:t>
      </w:r>
      <w:r w:rsidRPr="00382917">
        <w:t>prayed</w:t>
      </w:r>
      <w:r w:rsidR="00EE4FC3">
        <w:t xml:space="preserve"> </w:t>
      </w:r>
      <w:r w:rsidRPr="00382917">
        <w:t>God</w:t>
      </w:r>
      <w:r w:rsidR="00EE4FC3">
        <w:t xml:space="preserve"> </w:t>
      </w:r>
      <w:r w:rsidRPr="00382917">
        <w:t>to</w:t>
      </w:r>
      <w:r w:rsidR="00EE4FC3">
        <w:t xml:space="preserve"> </w:t>
      </w:r>
      <w:r w:rsidRPr="00382917">
        <w:t>hasten</w:t>
      </w:r>
      <w:r w:rsidR="00A93643">
        <w:t>.</w:t>
      </w:r>
      <w:r w:rsidR="00EE4FC3">
        <w:t xml:space="preserve">  </w:t>
      </w:r>
      <w:r w:rsidRPr="00382917">
        <w:t>Verily</w:t>
      </w:r>
      <w:r w:rsidR="00EE4FC3">
        <w:t xml:space="preserve"> </w:t>
      </w:r>
      <w:r w:rsidRPr="00382917">
        <w:t>I</w:t>
      </w:r>
      <w:r w:rsidR="00EE4FC3">
        <w:t xml:space="preserve"> </w:t>
      </w:r>
      <w:r w:rsidRPr="00382917">
        <w:t>say,</w:t>
      </w:r>
      <w:r w:rsidR="00EE4FC3">
        <w:t xml:space="preserve"> </w:t>
      </w:r>
      <w:r w:rsidRPr="00382917">
        <w:t>it</w:t>
      </w:r>
      <w:r w:rsidR="00EE4FC3">
        <w:t xml:space="preserve"> </w:t>
      </w:r>
      <w:r w:rsidRPr="00382917">
        <w:t>is</w:t>
      </w:r>
      <w:r w:rsidR="00EE4FC3">
        <w:t xml:space="preserve"> </w:t>
      </w:r>
      <w:r w:rsidRPr="00382917">
        <w:t>incumbent</w:t>
      </w:r>
      <w:r w:rsidR="00EE4FC3">
        <w:t xml:space="preserve"> </w:t>
      </w:r>
      <w:r w:rsidRPr="00382917">
        <w:t>upon</w:t>
      </w:r>
      <w:r w:rsidR="00EE4FC3">
        <w:t xml:space="preserve"> </w:t>
      </w:r>
      <w:r w:rsidRPr="00382917">
        <w:t>the</w:t>
      </w:r>
      <w:r w:rsidR="00EE4FC3">
        <w:t xml:space="preserve"> </w:t>
      </w:r>
      <w:r w:rsidRPr="00382917">
        <w:t>people</w:t>
      </w:r>
      <w:r w:rsidR="00EE4FC3">
        <w:t xml:space="preserve"> </w:t>
      </w:r>
      <w:r w:rsidRPr="00382917">
        <w:t>of</w:t>
      </w:r>
      <w:r w:rsidR="00EE4FC3">
        <w:t xml:space="preserve"> </w:t>
      </w:r>
      <w:r w:rsidRPr="00382917">
        <w:t>both</w:t>
      </w:r>
      <w:r w:rsidR="00EE4FC3">
        <w:t xml:space="preserve"> </w:t>
      </w:r>
      <w:r w:rsidRPr="00382917">
        <w:t>the</w:t>
      </w:r>
      <w:r w:rsidR="00EE4FC3">
        <w:t xml:space="preserve"> </w:t>
      </w:r>
      <w:r w:rsidRPr="00382917">
        <w:t>East</w:t>
      </w:r>
      <w:r w:rsidR="00EE4FC3">
        <w:t xml:space="preserve"> </w:t>
      </w:r>
      <w:r w:rsidRPr="00382917">
        <w:t>and</w:t>
      </w:r>
      <w:r w:rsidR="00EE4FC3">
        <w:t xml:space="preserve"> </w:t>
      </w:r>
      <w:r w:rsidRPr="00382917">
        <w:t>the</w:t>
      </w:r>
      <w:r w:rsidR="00EE4FC3">
        <w:t xml:space="preserve"> </w:t>
      </w:r>
      <w:r w:rsidRPr="00382917">
        <w:t>West</w:t>
      </w:r>
      <w:r w:rsidR="00EE4FC3">
        <w:t xml:space="preserve"> </w:t>
      </w:r>
      <w:r w:rsidRPr="00382917">
        <w:t>to</w:t>
      </w:r>
      <w:r w:rsidR="00EE4FC3">
        <w:t xml:space="preserve"> </w:t>
      </w:r>
      <w:r w:rsidRPr="00382917">
        <w:t>obey</w:t>
      </w:r>
      <w:r w:rsidR="00EE4FC3">
        <w:t xml:space="preserve"> </w:t>
      </w:r>
      <w:proofErr w:type="gramStart"/>
      <w:r w:rsidRPr="00382917">
        <w:t>My</w:t>
      </w:r>
      <w:proofErr w:type="gramEnd"/>
      <w:r w:rsidR="00EE4FC3">
        <w:t xml:space="preserve"> </w:t>
      </w:r>
      <w:r w:rsidRPr="00382917">
        <w:t>word</w:t>
      </w:r>
      <w:r w:rsidR="00EE4FC3">
        <w:t xml:space="preserve"> </w:t>
      </w:r>
      <w:r w:rsidRPr="00382917">
        <w:t>and</w:t>
      </w:r>
      <w:r w:rsidR="00EE4FC3">
        <w:t xml:space="preserve"> </w:t>
      </w:r>
      <w:r w:rsidRPr="00382917">
        <w:t>to</w:t>
      </w:r>
      <w:r w:rsidR="00EE4FC3">
        <w:t xml:space="preserve"> </w:t>
      </w:r>
      <w:r w:rsidRPr="00382917">
        <w:t>pledge</w:t>
      </w:r>
      <w:r w:rsidR="00EE4FC3">
        <w:t xml:space="preserve"> </w:t>
      </w:r>
      <w:r w:rsidRPr="00382917">
        <w:t>allegiance</w:t>
      </w:r>
      <w:r w:rsidR="00EE4FC3">
        <w:t xml:space="preserve"> </w:t>
      </w:r>
      <w:r w:rsidRPr="00382917">
        <w:t>to</w:t>
      </w:r>
      <w:r w:rsidR="00EE4FC3">
        <w:t xml:space="preserve"> </w:t>
      </w:r>
      <w:r w:rsidRPr="00382917">
        <w:t>My</w:t>
      </w:r>
      <w:r w:rsidR="00EE4FC3">
        <w:t xml:space="preserve"> </w:t>
      </w:r>
      <w:r w:rsidRPr="00382917">
        <w:t>person.</w:t>
      </w:r>
      <w:r w:rsidR="009C713D" w:rsidRPr="00382917">
        <w:t>”</w:t>
      </w:r>
    </w:p>
    <w:p w:rsidR="00447F64" w:rsidRPr="00382917" w:rsidRDefault="00447F64" w:rsidP="00447F64">
      <w:pPr>
        <w:pStyle w:val="Text"/>
      </w:pPr>
      <w:r w:rsidRPr="00382917">
        <w:t>A</w:t>
      </w:r>
      <w:r w:rsidR="00EE4FC3">
        <w:t xml:space="preserve"> </w:t>
      </w:r>
      <w:r w:rsidRPr="00382917">
        <w:t>witness</w:t>
      </w:r>
      <w:r w:rsidR="00EE4FC3">
        <w:t xml:space="preserve"> </w:t>
      </w:r>
      <w:r w:rsidRPr="00382917">
        <w:t>to</w:t>
      </w:r>
      <w:r w:rsidR="00EE4FC3">
        <w:t xml:space="preserve"> </w:t>
      </w:r>
      <w:r w:rsidRPr="00382917">
        <w:t>that</w:t>
      </w:r>
      <w:r w:rsidR="00EE4FC3">
        <w:t xml:space="preserve"> </w:t>
      </w:r>
      <w:r w:rsidRPr="00382917">
        <w:t>stirring</w:t>
      </w:r>
      <w:r w:rsidR="00EE4FC3">
        <w:t xml:space="preserve"> </w:t>
      </w:r>
      <w:r w:rsidRPr="00382917">
        <w:t>event</w:t>
      </w:r>
      <w:r w:rsidR="00EE4FC3">
        <w:t xml:space="preserve"> </w:t>
      </w:r>
      <w:r w:rsidRPr="00382917">
        <w:t>has</w:t>
      </w:r>
      <w:r w:rsidR="00EE4FC3">
        <w:t xml:space="preserve"> </w:t>
      </w:r>
      <w:r w:rsidRPr="00382917">
        <w:t>said</w:t>
      </w:r>
      <w:r w:rsidR="00C03C91">
        <w:t>:</w:t>
      </w:r>
      <w:r w:rsidR="00EE4FC3">
        <w:t xml:space="preserve">  </w:t>
      </w:r>
      <w:r w:rsidR="009C713D" w:rsidRPr="00382917">
        <w:t>“</w:t>
      </w:r>
      <w:r w:rsidRPr="00382917">
        <w:t>Immediately</w:t>
      </w:r>
      <w:r w:rsidR="00EE4FC3">
        <w:t xml:space="preserve"> </w:t>
      </w:r>
      <w:r w:rsidRPr="00382917">
        <w:t>after</w:t>
      </w:r>
      <w:r w:rsidR="00EE4FC3">
        <w:t xml:space="preserve"> </w:t>
      </w:r>
      <w:r w:rsidRPr="00382917">
        <w:t>He</w:t>
      </w:r>
      <w:r w:rsidR="00EE4FC3">
        <w:t xml:space="preserve"> </w:t>
      </w:r>
      <w:r w:rsidRPr="00382917">
        <w:t>declared</w:t>
      </w:r>
      <w:r w:rsidR="00EE4FC3">
        <w:t xml:space="preserve"> </w:t>
      </w:r>
      <w:r w:rsidRPr="00382917">
        <w:t>Himself</w:t>
      </w:r>
      <w:r w:rsidR="00EE4FC3">
        <w:t xml:space="preserve"> </w:t>
      </w:r>
      <w:r w:rsidRPr="00382917">
        <w:t>to</w:t>
      </w:r>
      <w:r w:rsidR="00EE4FC3">
        <w:t xml:space="preserve"> </w:t>
      </w:r>
      <w:r w:rsidRPr="00382917">
        <w:t>be</w:t>
      </w:r>
      <w:r w:rsidR="00EE4FC3">
        <w:t xml:space="preserve"> </w:t>
      </w:r>
      <w:r w:rsidRPr="00382917">
        <w:t>the</w:t>
      </w:r>
      <w:r w:rsidR="00EE4FC3">
        <w:t xml:space="preserve"> </w:t>
      </w:r>
      <w:r w:rsidRPr="00382917">
        <w:t>Promised</w:t>
      </w:r>
      <w:r w:rsidR="00EE4FC3">
        <w:t xml:space="preserve"> </w:t>
      </w:r>
      <w:r w:rsidRPr="00382917">
        <w:t>One,</w:t>
      </w:r>
      <w:r w:rsidR="00EE4FC3">
        <w:t xml:space="preserve"> </w:t>
      </w:r>
      <w:r w:rsidRPr="00382917">
        <w:t>a</w:t>
      </w:r>
      <w:r w:rsidR="00EE4FC3">
        <w:t xml:space="preserve"> </w:t>
      </w:r>
      <w:r w:rsidRPr="00382917">
        <w:t>feeling</w:t>
      </w:r>
      <w:r w:rsidR="00EE4FC3">
        <w:t xml:space="preserve"> </w:t>
      </w:r>
      <w:r w:rsidRPr="00382917">
        <w:t>of</w:t>
      </w:r>
      <w:r w:rsidR="00EE4FC3">
        <w:t xml:space="preserve"> </w:t>
      </w:r>
      <w:r w:rsidRPr="00382917">
        <w:t>awe</w:t>
      </w:r>
      <w:r w:rsidR="00EE4FC3">
        <w:t xml:space="preserve"> </w:t>
      </w:r>
      <w:r w:rsidRPr="00382917">
        <w:t>seized</w:t>
      </w:r>
      <w:r w:rsidR="00EE4FC3">
        <w:t xml:space="preserve"> </w:t>
      </w:r>
      <w:r w:rsidRPr="00382917">
        <w:t>those</w:t>
      </w:r>
      <w:r w:rsidR="00EE4FC3">
        <w:t xml:space="preserve"> </w:t>
      </w:r>
      <w:r w:rsidRPr="00382917">
        <w:t>who</w:t>
      </w:r>
      <w:r w:rsidR="00EE4FC3">
        <w:t xml:space="preserve"> </w:t>
      </w:r>
      <w:r w:rsidRPr="00382917">
        <w:t>were</w:t>
      </w:r>
      <w:r w:rsidR="00EE4FC3">
        <w:t xml:space="preserve"> </w:t>
      </w:r>
      <w:r w:rsidRPr="00382917">
        <w:t>present</w:t>
      </w:r>
      <w:r w:rsidR="00A93643">
        <w:t>.</w:t>
      </w:r>
      <w:r w:rsidR="00EE4FC3">
        <w:t xml:space="preserve">  </w:t>
      </w:r>
      <w:r w:rsidRPr="00382917">
        <w:t>The</w:t>
      </w:r>
      <w:r w:rsidR="00EE4FC3">
        <w:t xml:space="preserve"> </w:t>
      </w:r>
      <w:r w:rsidRPr="00382917">
        <w:t>pallor</w:t>
      </w:r>
      <w:r w:rsidR="00EE4FC3">
        <w:t xml:space="preserve"> </w:t>
      </w:r>
      <w:r w:rsidRPr="00382917">
        <w:t>of</w:t>
      </w:r>
      <w:r w:rsidR="00EE4FC3">
        <w:t xml:space="preserve"> </w:t>
      </w:r>
      <w:r w:rsidRPr="00382917">
        <w:t>their</w:t>
      </w:r>
      <w:r w:rsidR="00EE4FC3">
        <w:t xml:space="preserve"> </w:t>
      </w:r>
      <w:r w:rsidRPr="00382917">
        <w:t>faces</w:t>
      </w:r>
      <w:r w:rsidR="00EE4FC3">
        <w:t xml:space="preserve"> </w:t>
      </w:r>
      <w:r w:rsidRPr="00382917">
        <w:t>betrayed</w:t>
      </w:r>
      <w:r w:rsidR="00EE4FC3">
        <w:t xml:space="preserve"> </w:t>
      </w:r>
      <w:r w:rsidRPr="00382917">
        <w:t>the</w:t>
      </w:r>
      <w:r w:rsidR="00EE4FC3">
        <w:t xml:space="preserve"> </w:t>
      </w:r>
      <w:r w:rsidRPr="00382917">
        <w:t>agitation</w:t>
      </w:r>
      <w:r w:rsidR="00EE4FC3">
        <w:t xml:space="preserve"> </w:t>
      </w:r>
      <w:r w:rsidRPr="00382917">
        <w:t>of</w:t>
      </w:r>
      <w:r w:rsidR="00EE4FC3">
        <w:t xml:space="preserve"> </w:t>
      </w:r>
      <w:r w:rsidRPr="00382917">
        <w:t>their</w:t>
      </w:r>
      <w:r w:rsidR="00EE4FC3">
        <w:t xml:space="preserve"> </w:t>
      </w:r>
      <w:r w:rsidRPr="00382917">
        <w:t>hearts.</w:t>
      </w:r>
      <w:r w:rsidR="009C713D" w:rsidRPr="00382917">
        <w:t>”</w:t>
      </w:r>
    </w:p>
    <w:p w:rsidR="00447F64" w:rsidRPr="00382917" w:rsidRDefault="00447F64" w:rsidP="00447F64">
      <w:pPr>
        <w:pStyle w:val="Text"/>
      </w:pPr>
      <w:r w:rsidRPr="00382917">
        <w:t>It</w:t>
      </w:r>
      <w:r w:rsidR="00EE4FC3">
        <w:t xml:space="preserve"> </w:t>
      </w:r>
      <w:r w:rsidRPr="00382917">
        <w:t>was</w:t>
      </w:r>
      <w:r w:rsidR="00EE4FC3">
        <w:t xml:space="preserve"> </w:t>
      </w:r>
      <w:r w:rsidRPr="00382917">
        <w:t>recorded</w:t>
      </w:r>
      <w:r w:rsidR="00EE4FC3">
        <w:t xml:space="preserve"> </w:t>
      </w:r>
      <w:r w:rsidRPr="00382917">
        <w:t>of</w:t>
      </w:r>
      <w:r w:rsidR="00EE4FC3">
        <w:t xml:space="preserve"> </w:t>
      </w:r>
      <w:r w:rsidRPr="00382917">
        <w:t>that</w:t>
      </w:r>
      <w:r w:rsidR="00EE4FC3">
        <w:t xml:space="preserve"> </w:t>
      </w:r>
      <w:r w:rsidRPr="00382917">
        <w:t>meeting</w:t>
      </w:r>
      <w:r w:rsidR="00EE4FC3">
        <w:t xml:space="preserve"> </w:t>
      </w:r>
      <w:r w:rsidRPr="00382917">
        <w:t>in</w:t>
      </w:r>
      <w:r w:rsidR="00EE4FC3">
        <w:t xml:space="preserve"> </w:t>
      </w:r>
      <w:r w:rsidRPr="00382917">
        <w:t>yet</w:t>
      </w:r>
      <w:r w:rsidR="00EE4FC3">
        <w:t xml:space="preserve"> </w:t>
      </w:r>
      <w:r w:rsidRPr="00382917">
        <w:t>another</w:t>
      </w:r>
      <w:r w:rsidR="00EE4FC3">
        <w:t xml:space="preserve"> </w:t>
      </w:r>
      <w:r w:rsidRPr="00382917">
        <w:t>place</w:t>
      </w:r>
      <w:r w:rsidR="00C03C91">
        <w:t>:</w:t>
      </w:r>
      <w:r w:rsidR="00EE4FC3">
        <w:t xml:space="preserve">  </w:t>
      </w:r>
      <w:r w:rsidR="009C713D" w:rsidRPr="00382917">
        <w:t>“</w:t>
      </w:r>
      <w:r w:rsidRPr="00382917">
        <w:t>The</w:t>
      </w:r>
      <w:r w:rsidR="00EE4FC3">
        <w:t xml:space="preserve"> </w:t>
      </w:r>
      <w:r w:rsidRPr="00382917">
        <w:t>majesty</w:t>
      </w:r>
      <w:r w:rsidR="00EE4FC3">
        <w:t xml:space="preserve"> </w:t>
      </w:r>
      <w:r w:rsidRPr="00382917">
        <w:t>of</w:t>
      </w:r>
      <w:r w:rsidR="00EE4FC3">
        <w:t xml:space="preserve"> </w:t>
      </w:r>
      <w:r w:rsidRPr="00382917">
        <w:t>His</w:t>
      </w:r>
      <w:r w:rsidR="00EE4FC3">
        <w:t xml:space="preserve"> </w:t>
      </w:r>
      <w:r w:rsidRPr="00382917">
        <w:t>gait,</w:t>
      </w:r>
      <w:r w:rsidR="00EE4FC3">
        <w:t xml:space="preserve"> </w:t>
      </w:r>
      <w:r w:rsidRPr="00382917">
        <w:t>the</w:t>
      </w:r>
      <w:r w:rsidR="00EE4FC3">
        <w:t xml:space="preserve"> </w:t>
      </w:r>
      <w:r w:rsidRPr="00382917">
        <w:t>expression</w:t>
      </w:r>
      <w:r w:rsidR="00EE4FC3">
        <w:t xml:space="preserve"> </w:t>
      </w:r>
      <w:r w:rsidRPr="00382917">
        <w:t>of</w:t>
      </w:r>
      <w:r w:rsidR="00EE4FC3">
        <w:t xml:space="preserve"> </w:t>
      </w:r>
      <w:r w:rsidRPr="00382917">
        <w:t>overpowering</w:t>
      </w:r>
      <w:r w:rsidR="00EE4FC3">
        <w:t xml:space="preserve"> </w:t>
      </w:r>
      <w:r w:rsidRPr="00382917">
        <w:t>confidence</w:t>
      </w:r>
      <w:r w:rsidR="00EE4FC3">
        <w:t xml:space="preserve"> </w:t>
      </w:r>
      <w:r w:rsidRPr="00382917">
        <w:t>which</w:t>
      </w:r>
      <w:r w:rsidR="00EE4FC3">
        <w:t xml:space="preserve"> </w:t>
      </w:r>
      <w:r w:rsidRPr="00382917">
        <w:t>sat</w:t>
      </w:r>
      <w:r w:rsidR="00EE4FC3">
        <w:t xml:space="preserve"> </w:t>
      </w:r>
      <w:r w:rsidRPr="00382917">
        <w:t>upon</w:t>
      </w:r>
      <w:r w:rsidR="00EE4FC3">
        <w:t xml:space="preserve"> </w:t>
      </w:r>
      <w:r w:rsidRPr="00382917">
        <w:t>His</w:t>
      </w:r>
      <w:r w:rsidR="00EE4FC3">
        <w:t xml:space="preserve"> </w:t>
      </w:r>
      <w:r w:rsidRPr="00382917">
        <w:t>brow—above</w:t>
      </w:r>
      <w:r w:rsidR="00EE4FC3">
        <w:t xml:space="preserve"> </w:t>
      </w:r>
      <w:r w:rsidRPr="00382917">
        <w:t>all,</w:t>
      </w:r>
      <w:r w:rsidR="00EE4FC3">
        <w:t xml:space="preserve"> </w:t>
      </w:r>
      <w:r w:rsidRPr="00382917">
        <w:t>the</w:t>
      </w:r>
      <w:r w:rsidR="00EE4FC3">
        <w:t xml:space="preserve"> </w:t>
      </w:r>
      <w:r w:rsidRPr="00382917">
        <w:t>spirit</w:t>
      </w:r>
      <w:r w:rsidR="00EE4FC3">
        <w:t xml:space="preserve"> </w:t>
      </w:r>
      <w:r w:rsidRPr="00382917">
        <w:t>of</w:t>
      </w:r>
      <w:r w:rsidR="00EE4FC3">
        <w:t xml:space="preserve"> </w:t>
      </w:r>
      <w:r w:rsidRPr="00382917">
        <w:t>power</w:t>
      </w:r>
      <w:r w:rsidR="00EE4FC3">
        <w:t xml:space="preserve"> </w:t>
      </w:r>
      <w:r w:rsidRPr="00382917">
        <w:t>which</w:t>
      </w:r>
      <w:r w:rsidR="00EE4FC3">
        <w:t xml:space="preserve"> </w:t>
      </w:r>
      <w:r w:rsidRPr="00382917">
        <w:t>shone</w:t>
      </w:r>
      <w:r w:rsidR="00EE4FC3">
        <w:t xml:space="preserve"> </w:t>
      </w:r>
      <w:r w:rsidRPr="00382917">
        <w:t>from</w:t>
      </w:r>
      <w:r w:rsidR="00EE4FC3">
        <w:t xml:space="preserve"> </w:t>
      </w:r>
      <w:r w:rsidRPr="00382917">
        <w:t>His</w:t>
      </w:r>
      <w:r w:rsidR="00EE4FC3">
        <w:t xml:space="preserve"> </w:t>
      </w:r>
      <w:r w:rsidRPr="00382917">
        <w:t>whole</w:t>
      </w:r>
      <w:r w:rsidR="00EE4FC3">
        <w:t xml:space="preserve"> </w:t>
      </w:r>
      <w:r w:rsidRPr="00382917">
        <w:t>being,</w:t>
      </w:r>
      <w:r w:rsidR="00EE4FC3">
        <w:t xml:space="preserve"> </w:t>
      </w:r>
      <w:r w:rsidRPr="00382917">
        <w:t>appeared</w:t>
      </w:r>
      <w:r w:rsidR="00EE4FC3">
        <w:t xml:space="preserve"> </w:t>
      </w:r>
      <w:r w:rsidRPr="00382917">
        <w:t>to</w:t>
      </w:r>
      <w:r w:rsidR="00EE4FC3">
        <w:t xml:space="preserve"> </w:t>
      </w:r>
      <w:r w:rsidRPr="00382917">
        <w:t>have</w:t>
      </w:r>
      <w:r w:rsidR="00EE4FC3">
        <w:t xml:space="preserve"> </w:t>
      </w:r>
      <w:r w:rsidRPr="00382917">
        <w:t>for</w:t>
      </w:r>
      <w:r w:rsidR="00EE4FC3">
        <w:t xml:space="preserve"> </w:t>
      </w:r>
      <w:r w:rsidRPr="00382917">
        <w:t>a</w:t>
      </w:r>
      <w:r w:rsidR="00EE4FC3">
        <w:t xml:space="preserve"> </w:t>
      </w:r>
      <w:r w:rsidRPr="00382917">
        <w:t>moment</w:t>
      </w:r>
      <w:r w:rsidR="00EE4FC3">
        <w:t xml:space="preserve"> </w:t>
      </w:r>
      <w:r w:rsidRPr="00382917">
        <w:t>crushed</w:t>
      </w:r>
      <w:r w:rsidR="00EE4FC3">
        <w:t xml:space="preserve"> </w:t>
      </w:r>
      <w:r w:rsidRPr="00382917">
        <w:t>the</w:t>
      </w:r>
      <w:r w:rsidR="00EE4FC3">
        <w:t xml:space="preserve"> </w:t>
      </w:r>
      <w:r w:rsidRPr="00382917">
        <w:t>soul</w:t>
      </w:r>
      <w:r w:rsidR="00EE4FC3">
        <w:t xml:space="preserve"> </w:t>
      </w:r>
      <w:r w:rsidRPr="00382917">
        <w:t>out</w:t>
      </w:r>
      <w:r w:rsidR="00EE4FC3">
        <w:t xml:space="preserve"> </w:t>
      </w:r>
      <w:r w:rsidRPr="00382917">
        <w:t>of</w:t>
      </w:r>
      <w:r w:rsidR="00EE4FC3">
        <w:t xml:space="preserve"> </w:t>
      </w:r>
      <w:r w:rsidRPr="00382917">
        <w:t>the</w:t>
      </w:r>
      <w:r w:rsidR="00EE4FC3">
        <w:t xml:space="preserve"> </w:t>
      </w:r>
      <w:r w:rsidRPr="00382917">
        <w:t>body</w:t>
      </w:r>
      <w:r w:rsidR="00EE4FC3">
        <w:t xml:space="preserve"> </w:t>
      </w:r>
      <w:r w:rsidRPr="00382917">
        <w:t>of</w:t>
      </w:r>
      <w:r w:rsidR="00EE4FC3">
        <w:t xml:space="preserve"> </w:t>
      </w:r>
      <w:r w:rsidRPr="00382917">
        <w:t>those</w:t>
      </w:r>
      <w:r w:rsidR="00EE4FC3">
        <w:t xml:space="preserve"> </w:t>
      </w:r>
      <w:r w:rsidRPr="00382917">
        <w:t>whom</w:t>
      </w:r>
      <w:r w:rsidR="00EE4FC3">
        <w:t xml:space="preserve"> </w:t>
      </w:r>
      <w:r w:rsidRPr="00382917">
        <w:t>He</w:t>
      </w:r>
      <w:r w:rsidR="00EE4FC3">
        <w:t xml:space="preserve"> </w:t>
      </w:r>
      <w:r w:rsidRPr="00382917">
        <w:t>had</w:t>
      </w:r>
      <w:r w:rsidR="00EE4FC3">
        <w:t xml:space="preserve"> </w:t>
      </w:r>
      <w:r w:rsidRPr="00382917">
        <w:t>greeted.</w:t>
      </w:r>
      <w:r w:rsidR="009C713D" w:rsidRPr="00382917">
        <w:t>”</w:t>
      </w:r>
    </w:p>
    <w:p w:rsidR="00447F64" w:rsidRPr="00382917" w:rsidRDefault="00447F64" w:rsidP="00447F64">
      <w:pPr>
        <w:pStyle w:val="Text"/>
      </w:pPr>
      <w:r w:rsidRPr="00382917">
        <w:t>A</w:t>
      </w:r>
      <w:r w:rsidR="00EE4FC3">
        <w:t xml:space="preserve"> </w:t>
      </w:r>
      <w:r w:rsidRPr="00382917">
        <w:t>hush</w:t>
      </w:r>
      <w:r w:rsidR="00EE4FC3">
        <w:t xml:space="preserve"> </w:t>
      </w:r>
      <w:r w:rsidRPr="00382917">
        <w:t>fell</w:t>
      </w:r>
      <w:r w:rsidR="00EE4FC3">
        <w:t xml:space="preserve"> </w:t>
      </w:r>
      <w:r w:rsidRPr="00382917">
        <w:t>over</w:t>
      </w:r>
      <w:r w:rsidR="00EE4FC3">
        <w:t xml:space="preserve"> </w:t>
      </w:r>
      <w:r w:rsidRPr="00382917">
        <w:t>the</w:t>
      </w:r>
      <w:r w:rsidR="00EE4FC3">
        <w:t xml:space="preserve"> </w:t>
      </w:r>
      <w:r w:rsidRPr="00382917">
        <w:t>hall</w:t>
      </w:r>
      <w:r w:rsidR="00A93643">
        <w:t>.</w:t>
      </w:r>
      <w:r w:rsidR="00EE4FC3">
        <w:t xml:space="preserve">  </w:t>
      </w:r>
      <w:r w:rsidRPr="00382917">
        <w:t>At</w:t>
      </w:r>
      <w:r w:rsidR="00EE4FC3">
        <w:t xml:space="preserve"> </w:t>
      </w:r>
      <w:r w:rsidRPr="00382917">
        <w:t>last,</w:t>
      </w:r>
      <w:r w:rsidR="00EE4FC3">
        <w:t xml:space="preserve"> </w:t>
      </w:r>
      <w:r w:rsidRPr="00382917">
        <w:t>unable</w:t>
      </w:r>
      <w:r w:rsidR="00EE4FC3">
        <w:t xml:space="preserve"> </w:t>
      </w:r>
      <w:r w:rsidRPr="00382917">
        <w:t>to</w:t>
      </w:r>
      <w:r w:rsidR="00EE4FC3">
        <w:t xml:space="preserve"> </w:t>
      </w:r>
      <w:r w:rsidRPr="00382917">
        <w:t>bear</w:t>
      </w:r>
      <w:r w:rsidR="00EE4FC3">
        <w:t xml:space="preserve"> </w:t>
      </w:r>
      <w:r w:rsidRPr="00382917">
        <w:t>the</w:t>
      </w:r>
      <w:r w:rsidR="00EE4FC3">
        <w:t xml:space="preserve"> </w:t>
      </w:r>
      <w:r w:rsidRPr="00382917">
        <w:t>tension</w:t>
      </w:r>
      <w:r w:rsidR="00EE4FC3">
        <w:t xml:space="preserve"> </w:t>
      </w:r>
      <w:r w:rsidRPr="00382917">
        <w:t>any</w:t>
      </w:r>
      <w:r w:rsidR="00EE4FC3">
        <w:t xml:space="preserve"> </w:t>
      </w:r>
      <w:r w:rsidRPr="00382917">
        <w:t>longer,</w:t>
      </w:r>
      <w:r w:rsidR="00EE4FC3">
        <w:t xml:space="preserve"> </w:t>
      </w:r>
      <w:r w:rsidRPr="00382917">
        <w:t>one</w:t>
      </w:r>
      <w:r w:rsidR="00EE4FC3">
        <w:t xml:space="preserve"> </w:t>
      </w:r>
      <w:r w:rsidRPr="00382917">
        <w:t>of</w:t>
      </w:r>
      <w:r w:rsidR="00EE4FC3">
        <w:t xml:space="preserve"> </w:t>
      </w:r>
      <w:r w:rsidRPr="00382917">
        <w:t>the</w:t>
      </w:r>
      <w:r w:rsidR="00EE4FC3">
        <w:t xml:space="preserve"> </w:t>
      </w:r>
      <w:proofErr w:type="gramStart"/>
      <w:r w:rsidRPr="00382917">
        <w:t>assembly</w:t>
      </w:r>
      <w:proofErr w:type="gramEnd"/>
      <w:r w:rsidR="00EE4FC3">
        <w:t xml:space="preserve"> </w:t>
      </w:r>
      <w:r w:rsidRPr="00382917">
        <w:t>arose</w:t>
      </w:r>
      <w:r w:rsidR="00EE4FC3">
        <w:t xml:space="preserve"> </w:t>
      </w:r>
      <w:r w:rsidRPr="00382917">
        <w:t>and</w:t>
      </w:r>
      <w:r w:rsidR="00EE4FC3">
        <w:t xml:space="preserve"> </w:t>
      </w:r>
      <w:r w:rsidRPr="00382917">
        <w:t>shouted</w:t>
      </w:r>
      <w:r w:rsidR="00EE4FC3">
        <w:t xml:space="preserve"> </w:t>
      </w:r>
      <w:r w:rsidRPr="00382917">
        <w:t>angrily</w:t>
      </w:r>
      <w:r w:rsidR="00EE4FC3">
        <w:t xml:space="preserve"> </w:t>
      </w:r>
      <w:r w:rsidRPr="00382917">
        <w:t>at</w:t>
      </w:r>
      <w:r w:rsidR="00EE4FC3">
        <w:t xml:space="preserve"> </w:t>
      </w:r>
      <w:r w:rsidRPr="00382917">
        <w:t>the</w:t>
      </w:r>
      <w:r w:rsidR="00EE4FC3">
        <w:t xml:space="preserve"> </w:t>
      </w:r>
      <w:r w:rsidRPr="00382917">
        <w:t>Báb.</w:t>
      </w:r>
    </w:p>
    <w:p w:rsidR="00447F64" w:rsidRPr="00382917" w:rsidRDefault="009C713D" w:rsidP="00447F64">
      <w:pPr>
        <w:pStyle w:val="Text"/>
      </w:pPr>
      <w:proofErr w:type="gramStart"/>
      <w:r w:rsidRPr="00382917">
        <w:t>“</w:t>
      </w:r>
      <w:r w:rsidR="00447F64" w:rsidRPr="00382917">
        <w:t>You</w:t>
      </w:r>
      <w:r w:rsidR="00EE4FC3">
        <w:t xml:space="preserve"> </w:t>
      </w:r>
      <w:r w:rsidR="00447F64" w:rsidRPr="00382917">
        <w:t>wretched</w:t>
      </w:r>
      <w:r w:rsidR="00EE4FC3">
        <w:t xml:space="preserve"> </w:t>
      </w:r>
      <w:r w:rsidR="00447F64" w:rsidRPr="00382917">
        <w:t>and</w:t>
      </w:r>
      <w:r w:rsidR="00EE4FC3">
        <w:t xml:space="preserve"> </w:t>
      </w:r>
      <w:r w:rsidR="00447F64" w:rsidRPr="00382917">
        <w:t>immature</w:t>
      </w:r>
      <w:r w:rsidR="00EE4FC3">
        <w:t xml:space="preserve"> </w:t>
      </w:r>
      <w:r w:rsidR="00447F64" w:rsidRPr="00382917">
        <w:t>lad</w:t>
      </w:r>
      <w:r w:rsidR="00EE4FC3">
        <w:t xml:space="preserve"> </w:t>
      </w:r>
      <w:r w:rsidR="00447F64" w:rsidRPr="00382917">
        <w:t>of</w:t>
      </w:r>
      <w:r w:rsidR="00EE4FC3">
        <w:t xml:space="preserve"> </w:t>
      </w:r>
      <w:r w:rsidR="008A073E" w:rsidRPr="00382917">
        <w:rPr>
          <w:u w:val="single"/>
        </w:rPr>
        <w:t>Sh</w:t>
      </w:r>
      <w:r w:rsidR="008A073E" w:rsidRPr="00382917">
        <w:t>íráz</w:t>
      </w:r>
      <w:r w:rsidR="00447F64" w:rsidRPr="00382917">
        <w:t>!</w:t>
      </w:r>
      <w:proofErr w:type="gramEnd"/>
      <w:r w:rsidR="00EE4FC3">
        <w:t xml:space="preserve">  </w:t>
      </w:r>
      <w:r w:rsidR="00447F64" w:rsidRPr="00382917">
        <w:t>Do</w:t>
      </w:r>
      <w:r w:rsidR="00EE4FC3">
        <w:t xml:space="preserve"> </w:t>
      </w:r>
      <w:r w:rsidR="00447F64" w:rsidRPr="00382917">
        <w:t>you</w:t>
      </w:r>
      <w:r w:rsidR="00EE4FC3">
        <w:t xml:space="preserve"> </w:t>
      </w:r>
      <w:r w:rsidR="00447F64" w:rsidRPr="00382917">
        <w:t>wish</w:t>
      </w:r>
      <w:r w:rsidR="00EE4FC3">
        <w:t xml:space="preserve"> </w:t>
      </w:r>
      <w:r w:rsidR="00447F64" w:rsidRPr="00382917">
        <w:t>to</w:t>
      </w:r>
      <w:r w:rsidR="00EE4FC3">
        <w:t xml:space="preserve"> </w:t>
      </w:r>
      <w:r w:rsidR="00447F64" w:rsidRPr="00382917">
        <w:t>arouse</w:t>
      </w:r>
      <w:r w:rsidR="00EE4FC3">
        <w:t xml:space="preserve"> </w:t>
      </w:r>
      <w:proofErr w:type="gramStart"/>
      <w:r w:rsidR="00447F64" w:rsidRPr="00382917">
        <w:t>a</w:t>
      </w:r>
      <w:r w:rsidR="00EE4FC3">
        <w:t xml:space="preserve"> </w:t>
      </w:r>
      <w:r w:rsidR="00447F64" w:rsidRPr="00382917">
        <w:t>turmoil</w:t>
      </w:r>
      <w:proofErr w:type="gramEnd"/>
      <w:r w:rsidR="00EE4FC3">
        <w:t xml:space="preserve"> </w:t>
      </w:r>
      <w:r w:rsidR="00447F64" w:rsidRPr="00382917">
        <w:t>here?</w:t>
      </w:r>
      <w:r w:rsidRPr="00382917">
        <w:t>”</w:t>
      </w:r>
    </w:p>
    <w:p w:rsidR="00447F64" w:rsidRPr="00382917" w:rsidRDefault="00447F64" w:rsidP="00447F64">
      <w:pPr>
        <w:pStyle w:val="Text"/>
      </w:pPr>
      <w:r w:rsidRPr="00382917">
        <w:t>The</w:t>
      </w:r>
      <w:r w:rsidR="00EE4FC3">
        <w:t xml:space="preserve"> </w:t>
      </w:r>
      <w:r w:rsidRPr="00382917">
        <w:t>Báb</w:t>
      </w:r>
      <w:r w:rsidR="00EE4FC3">
        <w:t xml:space="preserve"> </w:t>
      </w:r>
      <w:r w:rsidRPr="00382917">
        <w:t>turned</w:t>
      </w:r>
      <w:r w:rsidR="00EE4FC3">
        <w:t xml:space="preserve"> </w:t>
      </w:r>
      <w:r w:rsidRPr="00382917">
        <w:t>to</w:t>
      </w:r>
      <w:r w:rsidR="00EE4FC3">
        <w:t xml:space="preserve"> </w:t>
      </w:r>
      <w:r w:rsidRPr="00382917">
        <w:t>the</w:t>
      </w:r>
      <w:r w:rsidR="00EE4FC3">
        <w:t xml:space="preserve"> </w:t>
      </w:r>
      <w:r w:rsidRPr="00382917">
        <w:t>presiding</w:t>
      </w:r>
      <w:r w:rsidR="00EE4FC3">
        <w:t xml:space="preserve"> </w:t>
      </w:r>
      <w:r w:rsidRPr="00382917">
        <w:t>officer</w:t>
      </w:r>
      <w:r w:rsidR="00A93643">
        <w:t>.</w:t>
      </w:r>
      <w:r w:rsidR="00EE4FC3">
        <w:t xml:space="preserve">  </w:t>
      </w:r>
      <w:r w:rsidR="009C713D" w:rsidRPr="00382917">
        <w:t>“</w:t>
      </w:r>
      <w:r w:rsidRPr="00382917">
        <w:t>Your</w:t>
      </w:r>
      <w:r w:rsidR="00EE4FC3">
        <w:t xml:space="preserve"> </w:t>
      </w:r>
      <w:proofErr w:type="spellStart"/>
      <w:r w:rsidRPr="00382917">
        <w:t>honor</w:t>
      </w:r>
      <w:proofErr w:type="spellEnd"/>
      <w:r w:rsidRPr="00382917">
        <w:t>,</w:t>
      </w:r>
      <w:r w:rsidR="009C713D" w:rsidRPr="00382917">
        <w:t>”</w:t>
      </w:r>
      <w:r w:rsidR="00EE4FC3">
        <w:t xml:space="preserve"> </w:t>
      </w:r>
      <w:r w:rsidRPr="00382917">
        <w:t>He</w:t>
      </w:r>
      <w:r w:rsidR="00EE4FC3">
        <w:t xml:space="preserve"> </w:t>
      </w:r>
      <w:r w:rsidRPr="00382917">
        <w:t>said,</w:t>
      </w:r>
    </w:p>
    <w:p w:rsidR="00447F64" w:rsidRPr="00382917" w:rsidRDefault="00447F64">
      <w:pPr>
        <w:widowControl/>
        <w:kinsoku/>
        <w:overflowPunct/>
        <w:textAlignment w:val="auto"/>
      </w:pPr>
      <w:r w:rsidRPr="00382917">
        <w:br w:type="page"/>
      </w:r>
    </w:p>
    <w:p w:rsidR="00447F64" w:rsidRPr="00382917" w:rsidRDefault="009C713D" w:rsidP="00447F64">
      <w:pPr>
        <w:pStyle w:val="Textcts"/>
      </w:pPr>
      <w:r w:rsidRPr="00382917">
        <w:t>“</w:t>
      </w:r>
      <w:r w:rsidR="00447F64" w:rsidRPr="00382917">
        <w:t>I</w:t>
      </w:r>
      <w:r w:rsidR="00EE4FC3">
        <w:t xml:space="preserve"> </w:t>
      </w:r>
      <w:r w:rsidR="00447F64" w:rsidRPr="00382917">
        <w:t>have</w:t>
      </w:r>
      <w:r w:rsidR="00EE4FC3">
        <w:t xml:space="preserve"> </w:t>
      </w:r>
      <w:r w:rsidR="00447F64" w:rsidRPr="00382917">
        <w:t>not</w:t>
      </w:r>
      <w:r w:rsidR="00EE4FC3">
        <w:t xml:space="preserve"> </w:t>
      </w:r>
      <w:r w:rsidR="00447F64" w:rsidRPr="00382917">
        <w:t>come</w:t>
      </w:r>
      <w:r w:rsidR="00EE4FC3">
        <w:t xml:space="preserve"> </w:t>
      </w:r>
      <w:r w:rsidR="00447F64" w:rsidRPr="00382917">
        <w:t>hither</w:t>
      </w:r>
      <w:r w:rsidR="00EE4FC3">
        <w:t xml:space="preserve"> </w:t>
      </w:r>
      <w:r w:rsidR="00447F64" w:rsidRPr="00382917">
        <w:t>of</w:t>
      </w:r>
      <w:r w:rsidR="00EE4FC3">
        <w:t xml:space="preserve"> </w:t>
      </w:r>
      <w:proofErr w:type="gramStart"/>
      <w:r w:rsidR="00447F64" w:rsidRPr="00382917">
        <w:t>My</w:t>
      </w:r>
      <w:proofErr w:type="gramEnd"/>
      <w:r w:rsidR="00EE4FC3">
        <w:t xml:space="preserve"> </w:t>
      </w:r>
      <w:r w:rsidR="00447F64" w:rsidRPr="00382917">
        <w:t>own</w:t>
      </w:r>
      <w:r w:rsidR="00EE4FC3">
        <w:t xml:space="preserve"> </w:t>
      </w:r>
      <w:r w:rsidR="00447F64" w:rsidRPr="00382917">
        <w:t>accord</w:t>
      </w:r>
      <w:r w:rsidR="00A93643">
        <w:t>.</w:t>
      </w:r>
      <w:r w:rsidR="00EE4FC3">
        <w:t xml:space="preserve">  </w:t>
      </w:r>
      <w:r w:rsidR="00447F64" w:rsidRPr="00382917">
        <w:t>I</w:t>
      </w:r>
      <w:r w:rsidR="00EE4FC3">
        <w:t xml:space="preserve"> </w:t>
      </w:r>
      <w:r w:rsidR="00447F64" w:rsidRPr="00382917">
        <w:t>have</w:t>
      </w:r>
      <w:r w:rsidR="00EE4FC3">
        <w:t xml:space="preserve"> </w:t>
      </w:r>
      <w:r w:rsidR="00447F64" w:rsidRPr="00382917">
        <w:t>been</w:t>
      </w:r>
      <w:r w:rsidR="00EE4FC3">
        <w:t xml:space="preserve"> </w:t>
      </w:r>
      <w:r w:rsidR="00447F64" w:rsidRPr="00382917">
        <w:t>summoned</w:t>
      </w:r>
      <w:r w:rsidR="00EE4FC3">
        <w:t xml:space="preserve"> </w:t>
      </w:r>
      <w:r w:rsidR="00447F64" w:rsidRPr="00382917">
        <w:t>to</w:t>
      </w:r>
      <w:r w:rsidR="00EE4FC3">
        <w:t xml:space="preserve"> </w:t>
      </w:r>
      <w:r w:rsidR="00447F64" w:rsidRPr="00382917">
        <w:t>this</w:t>
      </w:r>
      <w:r w:rsidR="00EE4FC3">
        <w:t xml:space="preserve"> </w:t>
      </w:r>
      <w:r w:rsidR="00447F64" w:rsidRPr="00382917">
        <w:t>place.</w:t>
      </w:r>
      <w:r w:rsidRPr="00382917">
        <w:t>”</w:t>
      </w:r>
    </w:p>
    <w:p w:rsidR="00447F64" w:rsidRPr="00382917" w:rsidRDefault="00447F64" w:rsidP="00447F64">
      <w:pPr>
        <w:pStyle w:val="Text"/>
      </w:pPr>
      <w:r w:rsidRPr="00382917">
        <w:t>The</w:t>
      </w:r>
      <w:r w:rsidR="00EE4FC3">
        <w:t xml:space="preserve"> </w:t>
      </w:r>
      <w:r w:rsidRPr="00382917">
        <w:t>authorities</w:t>
      </w:r>
      <w:r w:rsidR="00EE4FC3">
        <w:t xml:space="preserve"> </w:t>
      </w:r>
      <w:r w:rsidRPr="00382917">
        <w:t>asked</w:t>
      </w:r>
      <w:r w:rsidR="00EE4FC3">
        <w:t xml:space="preserve"> </w:t>
      </w:r>
      <w:r w:rsidRPr="00382917">
        <w:t>no</w:t>
      </w:r>
      <w:r w:rsidR="00EE4FC3">
        <w:t xml:space="preserve"> </w:t>
      </w:r>
      <w:r w:rsidRPr="00382917">
        <w:t>truly</w:t>
      </w:r>
      <w:r w:rsidR="00EE4FC3">
        <w:t xml:space="preserve"> </w:t>
      </w:r>
      <w:r w:rsidRPr="00382917">
        <w:t>sincere</w:t>
      </w:r>
      <w:r w:rsidR="00EE4FC3">
        <w:t xml:space="preserve"> </w:t>
      </w:r>
      <w:r w:rsidRPr="00382917">
        <w:t>questions</w:t>
      </w:r>
      <w:r w:rsidR="00EE4FC3">
        <w:t xml:space="preserve"> </w:t>
      </w:r>
      <w:r w:rsidRPr="00382917">
        <w:t>about</w:t>
      </w:r>
      <w:r w:rsidR="00EE4FC3">
        <w:t xml:space="preserve"> </w:t>
      </w:r>
      <w:r w:rsidRPr="00382917">
        <w:t>His</w:t>
      </w:r>
      <w:r w:rsidR="00EE4FC3">
        <w:t xml:space="preserve"> </w:t>
      </w:r>
      <w:r w:rsidRPr="00382917">
        <w:t>Mission</w:t>
      </w:r>
      <w:r w:rsidR="00EE4FC3">
        <w:t xml:space="preserve"> </w:t>
      </w:r>
      <w:r w:rsidRPr="00382917">
        <w:t>or</w:t>
      </w:r>
      <w:r w:rsidR="00EE4FC3">
        <w:t xml:space="preserve"> </w:t>
      </w:r>
      <w:r w:rsidRPr="00382917">
        <w:t>His</w:t>
      </w:r>
      <w:r w:rsidR="00EE4FC3">
        <w:t xml:space="preserve"> </w:t>
      </w:r>
      <w:r w:rsidRPr="00382917">
        <w:t>teachings</w:t>
      </w:r>
      <w:r w:rsidR="00A93643">
        <w:t>.</w:t>
      </w:r>
      <w:r w:rsidR="00EE4FC3">
        <w:t xml:space="preserve">  </w:t>
      </w:r>
      <w:r w:rsidRPr="00382917">
        <w:t>Instead,</w:t>
      </w:r>
      <w:r w:rsidR="00EE4FC3">
        <w:t xml:space="preserve"> </w:t>
      </w:r>
      <w:r w:rsidRPr="00382917">
        <w:t>they</w:t>
      </w:r>
      <w:r w:rsidR="00EE4FC3">
        <w:t xml:space="preserve"> </w:t>
      </w:r>
      <w:r w:rsidRPr="00382917">
        <w:t>indulged</w:t>
      </w:r>
      <w:r w:rsidR="00EE4FC3">
        <w:t xml:space="preserve"> </w:t>
      </w:r>
      <w:r w:rsidRPr="00382917">
        <w:t>in</w:t>
      </w:r>
      <w:r w:rsidR="00EE4FC3">
        <w:t xml:space="preserve"> </w:t>
      </w:r>
      <w:r w:rsidRPr="00382917">
        <w:t>a</w:t>
      </w:r>
      <w:r w:rsidR="00EE4FC3">
        <w:t xml:space="preserve"> </w:t>
      </w:r>
      <w:r w:rsidRPr="00382917">
        <w:t>series</w:t>
      </w:r>
      <w:r w:rsidR="00EE4FC3">
        <w:t xml:space="preserve"> </w:t>
      </w:r>
      <w:r w:rsidRPr="00382917">
        <w:t>of</w:t>
      </w:r>
      <w:r w:rsidR="00EE4FC3">
        <w:t xml:space="preserve"> </w:t>
      </w:r>
      <w:r w:rsidRPr="00382917">
        <w:t>insulting</w:t>
      </w:r>
      <w:r w:rsidR="00EE4FC3">
        <w:t xml:space="preserve"> </w:t>
      </w:r>
      <w:r w:rsidRPr="00382917">
        <w:t>and</w:t>
      </w:r>
      <w:r w:rsidR="00EE4FC3">
        <w:t xml:space="preserve"> </w:t>
      </w:r>
      <w:r w:rsidRPr="00382917">
        <w:t>flippant</w:t>
      </w:r>
      <w:r w:rsidR="00EE4FC3">
        <w:t xml:space="preserve"> </w:t>
      </w:r>
      <w:r w:rsidRPr="00382917">
        <w:t>inquiries</w:t>
      </w:r>
      <w:r w:rsidR="00EE4FC3">
        <w:t xml:space="preserve"> </w:t>
      </w:r>
      <w:r w:rsidRPr="00382917">
        <w:t>which</w:t>
      </w:r>
      <w:r w:rsidR="00EE4FC3">
        <w:t xml:space="preserve"> </w:t>
      </w:r>
      <w:r w:rsidRPr="00382917">
        <w:t>had</w:t>
      </w:r>
      <w:r w:rsidR="00EE4FC3">
        <w:t xml:space="preserve"> </w:t>
      </w:r>
      <w:r w:rsidRPr="00382917">
        <w:t>nothing</w:t>
      </w:r>
      <w:r w:rsidR="00EE4FC3">
        <w:t xml:space="preserve"> </w:t>
      </w:r>
      <w:r w:rsidRPr="00382917">
        <w:t>to</w:t>
      </w:r>
      <w:r w:rsidR="00EE4FC3">
        <w:t xml:space="preserve"> </w:t>
      </w:r>
      <w:r w:rsidRPr="00382917">
        <w:t>do</w:t>
      </w:r>
      <w:r w:rsidR="00EE4FC3">
        <w:t xml:space="preserve"> </w:t>
      </w:r>
      <w:r w:rsidRPr="00382917">
        <w:t>with</w:t>
      </w:r>
      <w:r w:rsidR="00EE4FC3">
        <w:t xml:space="preserve"> </w:t>
      </w:r>
      <w:r w:rsidRPr="00382917">
        <w:t>His</w:t>
      </w:r>
      <w:r w:rsidR="00EE4FC3">
        <w:t xml:space="preserve"> </w:t>
      </w:r>
      <w:r w:rsidRPr="00382917">
        <w:t>Faith,</w:t>
      </w:r>
      <w:r w:rsidR="00EE4FC3">
        <w:t xml:space="preserve"> </w:t>
      </w:r>
      <w:r w:rsidRPr="00382917">
        <w:t>but</w:t>
      </w:r>
      <w:r w:rsidR="00EE4FC3">
        <w:t xml:space="preserve"> </w:t>
      </w:r>
      <w:r w:rsidRPr="00382917">
        <w:t>were</w:t>
      </w:r>
      <w:r w:rsidR="00EE4FC3">
        <w:t xml:space="preserve"> </w:t>
      </w:r>
      <w:r w:rsidRPr="00382917">
        <w:t>designed</w:t>
      </w:r>
      <w:r w:rsidR="00EE4FC3">
        <w:t xml:space="preserve"> </w:t>
      </w:r>
      <w:r w:rsidRPr="00382917">
        <w:t>solely</w:t>
      </w:r>
      <w:r w:rsidR="00EE4FC3">
        <w:t xml:space="preserve"> </w:t>
      </w:r>
      <w:r w:rsidRPr="00382917">
        <w:t>to</w:t>
      </w:r>
      <w:r w:rsidR="00EE4FC3">
        <w:t xml:space="preserve"> </w:t>
      </w:r>
      <w:r w:rsidRPr="00382917">
        <w:t>humiliate</w:t>
      </w:r>
      <w:r w:rsidR="00EE4FC3">
        <w:t xml:space="preserve"> </w:t>
      </w:r>
      <w:r w:rsidRPr="00382917">
        <w:t>their</w:t>
      </w:r>
      <w:r w:rsidR="00EE4FC3">
        <w:t xml:space="preserve"> </w:t>
      </w:r>
      <w:r w:rsidRPr="00382917">
        <w:t>Prisoner.</w:t>
      </w:r>
    </w:p>
    <w:p w:rsidR="00447F64" w:rsidRPr="00382917" w:rsidRDefault="00447F64" w:rsidP="00447F64">
      <w:pPr>
        <w:pStyle w:val="Text"/>
      </w:pPr>
      <w:r w:rsidRPr="00382917">
        <w:t>After</w:t>
      </w:r>
      <w:r w:rsidR="00EE4FC3">
        <w:t xml:space="preserve"> </w:t>
      </w:r>
      <w:r w:rsidRPr="00382917">
        <w:t>patiently</w:t>
      </w:r>
      <w:r w:rsidR="00EE4FC3">
        <w:t xml:space="preserve"> </w:t>
      </w:r>
      <w:r w:rsidRPr="00382917">
        <w:t>bearing</w:t>
      </w:r>
      <w:r w:rsidR="00EE4FC3">
        <w:t xml:space="preserve"> </w:t>
      </w:r>
      <w:r w:rsidRPr="00382917">
        <w:t>their</w:t>
      </w:r>
      <w:r w:rsidR="00EE4FC3">
        <w:t xml:space="preserve"> </w:t>
      </w:r>
      <w:r w:rsidRPr="00382917">
        <w:t>abuse</w:t>
      </w:r>
      <w:r w:rsidR="00EE4FC3">
        <w:t xml:space="preserve"> </w:t>
      </w:r>
      <w:r w:rsidRPr="00382917">
        <w:t>and</w:t>
      </w:r>
      <w:r w:rsidR="00EE4FC3">
        <w:t xml:space="preserve"> </w:t>
      </w:r>
      <w:r w:rsidRPr="00382917">
        <w:t>insults</w:t>
      </w:r>
      <w:r w:rsidR="00EE4FC3">
        <w:t xml:space="preserve"> </w:t>
      </w:r>
      <w:r w:rsidRPr="00382917">
        <w:t>throughout</w:t>
      </w:r>
      <w:r w:rsidR="00EE4FC3">
        <w:t xml:space="preserve"> </w:t>
      </w:r>
      <w:r w:rsidRPr="00382917">
        <w:t>the</w:t>
      </w:r>
      <w:r w:rsidR="00EE4FC3">
        <w:t xml:space="preserve"> </w:t>
      </w:r>
      <w:r w:rsidRPr="00382917">
        <w:t>session,</w:t>
      </w:r>
      <w:r w:rsidR="00EE4FC3">
        <w:t xml:space="preserve"> </w:t>
      </w:r>
      <w:r w:rsidRPr="00382917">
        <w:t>the</w:t>
      </w:r>
      <w:r w:rsidR="00EE4FC3">
        <w:t xml:space="preserve"> </w:t>
      </w:r>
      <w:r w:rsidRPr="00382917">
        <w:t>Báb</w:t>
      </w:r>
      <w:r w:rsidR="00EE4FC3">
        <w:t xml:space="preserve"> </w:t>
      </w:r>
      <w:r w:rsidRPr="00382917">
        <w:t>quoted</w:t>
      </w:r>
      <w:r w:rsidR="00EE4FC3">
        <w:t xml:space="preserve"> </w:t>
      </w:r>
      <w:r w:rsidRPr="00382917">
        <w:t>their</w:t>
      </w:r>
      <w:r w:rsidR="00EE4FC3">
        <w:t xml:space="preserve"> </w:t>
      </w:r>
      <w:r w:rsidRPr="00382917">
        <w:t>own</w:t>
      </w:r>
      <w:r w:rsidR="00EE4FC3">
        <w:t xml:space="preserve"> </w:t>
      </w:r>
      <w:r w:rsidRPr="00382917">
        <w:t>Holy</w:t>
      </w:r>
      <w:r w:rsidR="00EE4FC3">
        <w:t xml:space="preserve"> </w:t>
      </w:r>
      <w:r w:rsidRPr="00382917">
        <w:t>Book</w:t>
      </w:r>
      <w:r w:rsidR="00EE4FC3">
        <w:t xml:space="preserve"> </w:t>
      </w:r>
      <w:r w:rsidRPr="00382917">
        <w:t>to</w:t>
      </w:r>
      <w:r w:rsidR="00EE4FC3">
        <w:t xml:space="preserve"> </w:t>
      </w:r>
      <w:r w:rsidRPr="00382917">
        <w:t>them,</w:t>
      </w:r>
      <w:r w:rsidR="00EE4FC3">
        <w:t xml:space="preserve"> </w:t>
      </w:r>
      <w:r w:rsidRPr="00382917">
        <w:t>saying</w:t>
      </w:r>
      <w:r w:rsidR="00C03C91">
        <w:t>:</w:t>
      </w:r>
      <w:r w:rsidR="00EE4FC3">
        <w:t xml:space="preserve">  </w:t>
      </w:r>
      <w:r w:rsidR="009C713D" w:rsidRPr="00382917">
        <w:t>“</w:t>
      </w:r>
      <w:r w:rsidRPr="00382917">
        <w:t>Praise</w:t>
      </w:r>
      <w:r w:rsidR="00EE4FC3">
        <w:t xml:space="preserve"> </w:t>
      </w:r>
      <w:proofErr w:type="gramStart"/>
      <w:r w:rsidRPr="00382917">
        <w:t>be</w:t>
      </w:r>
      <w:proofErr w:type="gramEnd"/>
      <w:r w:rsidR="00EE4FC3">
        <w:t xml:space="preserve"> </w:t>
      </w:r>
      <w:r w:rsidRPr="00382917">
        <w:t>to</w:t>
      </w:r>
      <w:r w:rsidR="00EE4FC3">
        <w:t xml:space="preserve"> </w:t>
      </w:r>
      <w:r w:rsidRPr="00382917">
        <w:t>God,</w:t>
      </w:r>
      <w:r w:rsidR="00EE4FC3">
        <w:t xml:space="preserve"> </w:t>
      </w:r>
      <w:r w:rsidRPr="00382917">
        <w:t>the</w:t>
      </w:r>
      <w:r w:rsidR="00EE4FC3">
        <w:t xml:space="preserve"> </w:t>
      </w:r>
      <w:r w:rsidRPr="00382917">
        <w:t>Lord</w:t>
      </w:r>
      <w:r w:rsidR="00EE4FC3">
        <w:t xml:space="preserve"> </w:t>
      </w:r>
      <w:r w:rsidRPr="00382917">
        <w:t>of</w:t>
      </w:r>
      <w:r w:rsidR="00EE4FC3">
        <w:t xml:space="preserve"> </w:t>
      </w:r>
      <w:r w:rsidRPr="00382917">
        <w:t>all</w:t>
      </w:r>
      <w:r w:rsidR="00EE4FC3">
        <w:t xml:space="preserve"> </w:t>
      </w:r>
      <w:r w:rsidRPr="00382917">
        <w:t>the</w:t>
      </w:r>
      <w:r w:rsidR="00EE4FC3">
        <w:t xml:space="preserve"> </w:t>
      </w:r>
      <w:r w:rsidRPr="00382917">
        <w:t>worlds!</w:t>
      </w:r>
      <w:r w:rsidR="009C713D" w:rsidRPr="00382917">
        <w:t>”</w:t>
      </w:r>
      <w:r w:rsidR="00EE4FC3">
        <w:t xml:space="preserve">  </w:t>
      </w:r>
      <w:r w:rsidRPr="00382917">
        <w:t>Immediately</w:t>
      </w:r>
      <w:r w:rsidR="00EE4FC3">
        <w:t xml:space="preserve"> </w:t>
      </w:r>
      <w:r w:rsidRPr="00382917">
        <w:t>after,</w:t>
      </w:r>
      <w:r w:rsidR="00EE4FC3">
        <w:t xml:space="preserve"> </w:t>
      </w:r>
      <w:r w:rsidRPr="00382917">
        <w:t>He</w:t>
      </w:r>
      <w:r w:rsidR="00EE4FC3">
        <w:t xml:space="preserve"> </w:t>
      </w:r>
      <w:r w:rsidRPr="00382917">
        <w:t>arose</w:t>
      </w:r>
      <w:r w:rsidR="00EE4FC3">
        <w:t xml:space="preserve"> </w:t>
      </w:r>
      <w:r w:rsidRPr="00382917">
        <w:t>and</w:t>
      </w:r>
      <w:r w:rsidR="00EE4FC3">
        <w:t xml:space="preserve"> </w:t>
      </w:r>
      <w:r w:rsidRPr="00382917">
        <w:t>abruptly</w:t>
      </w:r>
      <w:r w:rsidR="00EE4FC3">
        <w:t xml:space="preserve"> </w:t>
      </w:r>
      <w:r w:rsidRPr="00382917">
        <w:t>left</w:t>
      </w:r>
      <w:r w:rsidR="00EE4FC3">
        <w:t xml:space="preserve"> </w:t>
      </w:r>
      <w:r w:rsidRPr="00382917">
        <w:t>the</w:t>
      </w:r>
      <w:r w:rsidR="00EE4FC3">
        <w:t xml:space="preserve"> </w:t>
      </w:r>
      <w:r w:rsidRPr="00382917">
        <w:t>hall.</w:t>
      </w:r>
    </w:p>
    <w:p w:rsidR="00447F64" w:rsidRPr="00382917" w:rsidRDefault="00447F64" w:rsidP="00447F64">
      <w:pPr>
        <w:pStyle w:val="Text"/>
      </w:pPr>
      <w:r w:rsidRPr="00382917">
        <w:t>At</w:t>
      </w:r>
      <w:r w:rsidR="00EE4FC3">
        <w:t xml:space="preserve"> </w:t>
      </w:r>
      <w:r w:rsidRPr="00382917">
        <w:t>once,</w:t>
      </w:r>
      <w:r w:rsidR="00EE4FC3">
        <w:t xml:space="preserve"> </w:t>
      </w:r>
      <w:r w:rsidRPr="00382917">
        <w:t>the</w:t>
      </w:r>
      <w:r w:rsidR="00EE4FC3">
        <w:t xml:space="preserve"> </w:t>
      </w:r>
      <w:r w:rsidRPr="00382917">
        <w:t>religious</w:t>
      </w:r>
      <w:r w:rsidR="00EE4FC3">
        <w:t xml:space="preserve"> </w:t>
      </w:r>
      <w:r w:rsidRPr="00382917">
        <w:t>authorities</w:t>
      </w:r>
      <w:r w:rsidR="00EE4FC3">
        <w:t xml:space="preserve"> </w:t>
      </w:r>
      <w:r w:rsidRPr="00382917">
        <w:t>began</w:t>
      </w:r>
      <w:r w:rsidR="00EE4FC3">
        <w:t xml:space="preserve"> </w:t>
      </w:r>
      <w:r w:rsidRPr="00382917">
        <w:t>to</w:t>
      </w:r>
      <w:r w:rsidR="00EE4FC3">
        <w:t xml:space="preserve"> </w:t>
      </w:r>
      <w:r w:rsidRPr="00382917">
        <w:t>spread</w:t>
      </w:r>
      <w:r w:rsidR="00EE4FC3">
        <w:t xml:space="preserve"> </w:t>
      </w:r>
      <w:r w:rsidRPr="00382917">
        <w:t>the</w:t>
      </w:r>
      <w:r w:rsidR="00EE4FC3">
        <w:t xml:space="preserve"> </w:t>
      </w:r>
      <w:r w:rsidRPr="00382917">
        <w:t>most</w:t>
      </w:r>
      <w:r w:rsidR="00EE4FC3">
        <w:t xml:space="preserve"> </w:t>
      </w:r>
      <w:proofErr w:type="spellStart"/>
      <w:r w:rsidRPr="00382917">
        <w:t>unfavorable</w:t>
      </w:r>
      <w:proofErr w:type="spellEnd"/>
      <w:r w:rsidR="00EE4FC3">
        <w:t xml:space="preserve"> </w:t>
      </w:r>
      <w:r w:rsidRPr="00382917">
        <w:t>and</w:t>
      </w:r>
      <w:r w:rsidR="00EE4FC3">
        <w:t xml:space="preserve"> </w:t>
      </w:r>
      <w:r w:rsidRPr="00382917">
        <w:t>false</w:t>
      </w:r>
      <w:r w:rsidR="00EE4FC3">
        <w:t xml:space="preserve"> </w:t>
      </w:r>
      <w:r w:rsidRPr="00382917">
        <w:t>reports</w:t>
      </w:r>
      <w:r w:rsidR="00EE4FC3">
        <w:t xml:space="preserve"> </w:t>
      </w:r>
      <w:r w:rsidRPr="00382917">
        <w:t>of</w:t>
      </w:r>
      <w:r w:rsidR="00EE4FC3">
        <w:t xml:space="preserve"> </w:t>
      </w:r>
      <w:r w:rsidRPr="00382917">
        <w:t>the</w:t>
      </w:r>
      <w:r w:rsidR="00EE4FC3">
        <w:t xml:space="preserve"> </w:t>
      </w:r>
      <w:r w:rsidRPr="00382917">
        <w:t>Báb</w:t>
      </w:r>
      <w:r w:rsidR="009C713D" w:rsidRPr="00382917">
        <w:t>’</w:t>
      </w:r>
      <w:r w:rsidRPr="00382917">
        <w:t>s</w:t>
      </w:r>
      <w:r w:rsidR="00EE4FC3">
        <w:t xml:space="preserve"> </w:t>
      </w:r>
      <w:r w:rsidRPr="00382917">
        <w:t>part</w:t>
      </w:r>
      <w:r w:rsidR="00EE4FC3">
        <w:t xml:space="preserve"> </w:t>
      </w:r>
      <w:r w:rsidRPr="00382917">
        <w:t>in</w:t>
      </w:r>
      <w:r w:rsidR="00EE4FC3">
        <w:t xml:space="preserve"> </w:t>
      </w:r>
      <w:r w:rsidRPr="00382917">
        <w:t>that</w:t>
      </w:r>
      <w:r w:rsidR="00EE4FC3">
        <w:t xml:space="preserve"> </w:t>
      </w:r>
      <w:r w:rsidRPr="00382917">
        <w:t>trial</w:t>
      </w:r>
      <w:r w:rsidR="00A93643">
        <w:t>.</w:t>
      </w:r>
      <w:r w:rsidR="00EE4FC3">
        <w:t xml:space="preserve">  </w:t>
      </w:r>
      <w:r w:rsidRPr="00382917">
        <w:t>They</w:t>
      </w:r>
      <w:r w:rsidR="00EE4FC3">
        <w:t xml:space="preserve"> </w:t>
      </w:r>
      <w:r w:rsidRPr="00382917">
        <w:t>said</w:t>
      </w:r>
      <w:r w:rsidR="00EE4FC3">
        <w:t xml:space="preserve"> </w:t>
      </w:r>
      <w:r w:rsidRPr="00382917">
        <w:t>His</w:t>
      </w:r>
      <w:r w:rsidR="00EE4FC3">
        <w:t xml:space="preserve"> </w:t>
      </w:r>
      <w:r w:rsidRPr="00382917">
        <w:t>answers</w:t>
      </w:r>
      <w:r w:rsidR="00EE4FC3">
        <w:t xml:space="preserve"> </w:t>
      </w:r>
      <w:r w:rsidRPr="00382917">
        <w:t>were</w:t>
      </w:r>
      <w:r w:rsidR="00EE4FC3">
        <w:t xml:space="preserve"> </w:t>
      </w:r>
      <w:r w:rsidRPr="00382917">
        <w:t>both</w:t>
      </w:r>
      <w:r w:rsidR="00EE4FC3">
        <w:t xml:space="preserve"> </w:t>
      </w:r>
      <w:r w:rsidRPr="00382917">
        <w:t>childish</w:t>
      </w:r>
      <w:r w:rsidR="00EE4FC3">
        <w:t xml:space="preserve"> </w:t>
      </w:r>
      <w:r w:rsidRPr="00382917">
        <w:t>and</w:t>
      </w:r>
      <w:r w:rsidR="00EE4FC3">
        <w:t xml:space="preserve"> </w:t>
      </w:r>
      <w:r w:rsidRPr="00382917">
        <w:t>unsatisfying,</w:t>
      </w:r>
      <w:r w:rsidR="00EE4FC3">
        <w:t xml:space="preserve"> </w:t>
      </w:r>
      <w:r w:rsidRPr="00382917">
        <w:t>that</w:t>
      </w:r>
      <w:r w:rsidR="00EE4FC3">
        <w:t xml:space="preserve"> </w:t>
      </w:r>
      <w:r w:rsidRPr="00382917">
        <w:t>they</w:t>
      </w:r>
      <w:r w:rsidR="00EE4FC3">
        <w:t xml:space="preserve"> </w:t>
      </w:r>
      <w:r w:rsidRPr="00382917">
        <w:t>were</w:t>
      </w:r>
      <w:r w:rsidR="00EE4FC3">
        <w:t xml:space="preserve"> </w:t>
      </w:r>
      <w:r w:rsidRPr="00382917">
        <w:t>not</w:t>
      </w:r>
      <w:r w:rsidR="00EE4FC3">
        <w:t xml:space="preserve"> </w:t>
      </w:r>
      <w:r w:rsidRPr="00382917">
        <w:t>even</w:t>
      </w:r>
      <w:r w:rsidR="00EE4FC3">
        <w:t xml:space="preserve"> </w:t>
      </w:r>
      <w:r w:rsidRPr="00382917">
        <w:t>the</w:t>
      </w:r>
      <w:r w:rsidR="00EE4FC3">
        <w:t xml:space="preserve"> </w:t>
      </w:r>
      <w:r w:rsidRPr="00382917">
        <w:t>replies</w:t>
      </w:r>
      <w:r w:rsidR="00EE4FC3">
        <w:t xml:space="preserve"> </w:t>
      </w:r>
      <w:r w:rsidRPr="00382917">
        <w:t>of</w:t>
      </w:r>
      <w:r w:rsidR="00EE4FC3">
        <w:t xml:space="preserve"> </w:t>
      </w:r>
      <w:r w:rsidRPr="00382917">
        <w:t>a</w:t>
      </w:r>
      <w:r w:rsidR="00EE4FC3">
        <w:t xml:space="preserve"> </w:t>
      </w:r>
      <w:r w:rsidRPr="00382917">
        <w:t>sane</w:t>
      </w:r>
      <w:r w:rsidR="00EE4FC3">
        <w:t xml:space="preserve"> </w:t>
      </w:r>
      <w:r w:rsidRPr="00382917">
        <w:t>man,</w:t>
      </w:r>
      <w:r w:rsidR="00EE4FC3">
        <w:t xml:space="preserve"> </w:t>
      </w:r>
      <w:r w:rsidRPr="00382917">
        <w:t>let</w:t>
      </w:r>
      <w:r w:rsidR="00EE4FC3">
        <w:t xml:space="preserve"> </w:t>
      </w:r>
      <w:r w:rsidRPr="00382917">
        <w:t>alone</w:t>
      </w:r>
      <w:r w:rsidR="00EE4FC3">
        <w:t xml:space="preserve"> </w:t>
      </w:r>
      <w:r w:rsidRPr="00382917">
        <w:t>those</w:t>
      </w:r>
      <w:r w:rsidR="00EE4FC3">
        <w:t xml:space="preserve"> </w:t>
      </w:r>
      <w:r w:rsidRPr="00382917">
        <w:t>of</w:t>
      </w:r>
      <w:r w:rsidR="00EE4FC3">
        <w:t xml:space="preserve"> </w:t>
      </w:r>
      <w:r w:rsidRPr="00382917">
        <w:t>a</w:t>
      </w:r>
      <w:r w:rsidR="00EE4FC3">
        <w:t xml:space="preserve"> </w:t>
      </w:r>
      <w:r w:rsidRPr="00382917">
        <w:t>promised</w:t>
      </w:r>
      <w:r w:rsidR="00EE4FC3">
        <w:t xml:space="preserve"> </w:t>
      </w:r>
      <w:r w:rsidRPr="00382917">
        <w:t>Redeemer.</w:t>
      </w:r>
    </w:p>
    <w:p w:rsidR="00447F64" w:rsidRPr="00382917" w:rsidRDefault="00447F64" w:rsidP="00A93643">
      <w:pPr>
        <w:pStyle w:val="Text"/>
      </w:pPr>
      <w:r w:rsidRPr="00382917">
        <w:t>Fortunately</w:t>
      </w:r>
      <w:r w:rsidR="00EE4FC3">
        <w:t xml:space="preserve"> </w:t>
      </w:r>
      <w:r w:rsidRPr="00382917">
        <w:t>for</w:t>
      </w:r>
      <w:r w:rsidR="00EE4FC3">
        <w:t xml:space="preserve"> </w:t>
      </w:r>
      <w:r w:rsidRPr="00382917">
        <w:t>history,</w:t>
      </w:r>
      <w:r w:rsidR="00EE4FC3">
        <w:t xml:space="preserve"> </w:t>
      </w:r>
      <w:r w:rsidRPr="00382917">
        <w:t>two</w:t>
      </w:r>
      <w:r w:rsidR="00EE4FC3">
        <w:t xml:space="preserve"> </w:t>
      </w:r>
      <w:r w:rsidRPr="00382917">
        <w:t>European</w:t>
      </w:r>
      <w:r w:rsidR="00EE4FC3">
        <w:t xml:space="preserve"> </w:t>
      </w:r>
      <w:r w:rsidRPr="00382917">
        <w:t>scholars,</w:t>
      </w:r>
      <w:r w:rsidR="00EE4FC3">
        <w:t xml:space="preserve"> </w:t>
      </w:r>
      <w:r w:rsidRPr="00382917">
        <w:t>following</w:t>
      </w:r>
      <w:r w:rsidR="00EE4FC3">
        <w:t xml:space="preserve"> </w:t>
      </w:r>
      <w:r w:rsidRPr="00382917">
        <w:t>much</w:t>
      </w:r>
      <w:r w:rsidR="00EE4FC3">
        <w:t xml:space="preserve"> </w:t>
      </w:r>
      <w:r w:rsidRPr="00382917">
        <w:t>investigation,</w:t>
      </w:r>
      <w:r w:rsidR="00EE4FC3">
        <w:t xml:space="preserve"> </w:t>
      </w:r>
      <w:r w:rsidRPr="00382917">
        <w:t>have</w:t>
      </w:r>
      <w:r w:rsidR="00EE4FC3">
        <w:t xml:space="preserve"> </w:t>
      </w:r>
      <w:r w:rsidRPr="00382917">
        <w:t>preserved</w:t>
      </w:r>
      <w:r w:rsidR="00EE4FC3">
        <w:t xml:space="preserve"> </w:t>
      </w:r>
      <w:r w:rsidRPr="00382917">
        <w:t>an</w:t>
      </w:r>
      <w:r w:rsidR="00EE4FC3">
        <w:t xml:space="preserve"> </w:t>
      </w:r>
      <w:r w:rsidRPr="00382917">
        <w:t>unbiased</w:t>
      </w:r>
      <w:r w:rsidR="00EE4FC3">
        <w:t xml:space="preserve"> </w:t>
      </w:r>
      <w:r w:rsidRPr="00382917">
        <w:t>account</w:t>
      </w:r>
      <w:r w:rsidR="00EE4FC3">
        <w:t xml:space="preserve"> </w:t>
      </w:r>
      <w:r w:rsidRPr="00382917">
        <w:t>of</w:t>
      </w:r>
      <w:r w:rsidR="00EE4FC3">
        <w:t xml:space="preserve"> </w:t>
      </w:r>
      <w:r w:rsidRPr="00382917">
        <w:t>those</w:t>
      </w:r>
      <w:r w:rsidR="00EE4FC3">
        <w:t xml:space="preserve"> </w:t>
      </w:r>
      <w:r w:rsidRPr="00382917">
        <w:t>proceedings</w:t>
      </w:r>
      <w:r w:rsidR="00A93643">
        <w:t>.</w:t>
      </w:r>
      <w:r w:rsidR="00EE4FC3">
        <w:t xml:space="preserve">  </w:t>
      </w:r>
      <w:r w:rsidRPr="00382917">
        <w:t>The</w:t>
      </w:r>
      <w:r w:rsidR="00EE4FC3">
        <w:t xml:space="preserve"> </w:t>
      </w:r>
      <w:r w:rsidRPr="00382917">
        <w:t>first</w:t>
      </w:r>
      <w:r w:rsidR="00EE4FC3">
        <w:t xml:space="preserve"> </w:t>
      </w:r>
      <w:r w:rsidRPr="00382917">
        <w:t>was</w:t>
      </w:r>
      <w:r w:rsidR="00EE4FC3">
        <w:t xml:space="preserve"> </w:t>
      </w:r>
      <w:r w:rsidRPr="00382917">
        <w:t>Dr</w:t>
      </w:r>
      <w:r w:rsidR="00EE4FC3">
        <w:t xml:space="preserve"> </w:t>
      </w:r>
      <w:r w:rsidRPr="00382917">
        <w:t>T.</w:t>
      </w:r>
      <w:r w:rsidR="00EE4FC3">
        <w:t xml:space="preserve"> </w:t>
      </w:r>
      <w:r w:rsidRPr="00382917">
        <w:t>K.</w:t>
      </w:r>
      <w:r w:rsidR="00EE4FC3">
        <w:t xml:space="preserve"> </w:t>
      </w:r>
      <w:r w:rsidRPr="00382917">
        <w:t>Cheyne,</w:t>
      </w:r>
      <w:r w:rsidR="00EE4FC3">
        <w:t xml:space="preserve"> </w:t>
      </w:r>
      <w:r w:rsidRPr="00382917">
        <w:t>a</w:t>
      </w:r>
      <w:r w:rsidR="00EE4FC3">
        <w:t xml:space="preserve"> </w:t>
      </w:r>
      <w:r w:rsidRPr="00382917">
        <w:t>Christian</w:t>
      </w:r>
      <w:r w:rsidR="00EE4FC3">
        <w:t xml:space="preserve"> </w:t>
      </w:r>
      <w:r w:rsidRPr="00382917">
        <w:t>clergyman</w:t>
      </w:r>
      <w:r w:rsidR="00EE4FC3">
        <w:t xml:space="preserve"> </w:t>
      </w:r>
      <w:r w:rsidRPr="00382917">
        <w:t>and</w:t>
      </w:r>
      <w:r w:rsidR="00EE4FC3">
        <w:t xml:space="preserve"> </w:t>
      </w:r>
      <w:r w:rsidRPr="00382917">
        <w:t>student</w:t>
      </w:r>
      <w:r w:rsidR="00EE4FC3">
        <w:t xml:space="preserve"> </w:t>
      </w:r>
      <w:r w:rsidRPr="00382917">
        <w:t>of</w:t>
      </w:r>
      <w:r w:rsidR="00EE4FC3">
        <w:t xml:space="preserve"> </w:t>
      </w:r>
      <w:r w:rsidRPr="00382917">
        <w:t>that</w:t>
      </w:r>
      <w:r w:rsidR="00EE4FC3">
        <w:t xml:space="preserve"> </w:t>
      </w:r>
      <w:r w:rsidRPr="00382917">
        <w:t>period</w:t>
      </w:r>
      <w:r w:rsidR="00A93643">
        <w:t>.</w:t>
      </w:r>
      <w:r w:rsidR="00EE4FC3">
        <w:t xml:space="preserve">  </w:t>
      </w:r>
      <w:r w:rsidRPr="00382917">
        <w:t>He</w:t>
      </w:r>
      <w:r w:rsidR="00EE4FC3">
        <w:t xml:space="preserve"> </w:t>
      </w:r>
      <w:r w:rsidRPr="00382917">
        <w:t>has</w:t>
      </w:r>
      <w:r w:rsidR="00EE4FC3">
        <w:t xml:space="preserve"> </w:t>
      </w:r>
      <w:r w:rsidRPr="00382917">
        <w:t>written:</w:t>
      </w:r>
    </w:p>
    <w:p w:rsidR="00E13D49" w:rsidRPr="00382917" w:rsidRDefault="009C713D" w:rsidP="00385555">
      <w:pPr>
        <w:pStyle w:val="Text"/>
      </w:pPr>
      <w:r w:rsidRPr="00382917">
        <w:t>“</w:t>
      </w:r>
      <w:r w:rsidR="00447F64" w:rsidRPr="00382917">
        <w:t>As</w:t>
      </w:r>
      <w:r w:rsidR="00EE4FC3">
        <w:t xml:space="preserve"> </w:t>
      </w:r>
      <w:r w:rsidR="00447F64" w:rsidRPr="00382917">
        <w:t>for</w:t>
      </w:r>
      <w:r w:rsidR="00EE4FC3">
        <w:t xml:space="preserve"> </w:t>
      </w:r>
      <w:r w:rsidR="00447F64" w:rsidRPr="00382917">
        <w:t>the</w:t>
      </w:r>
      <w:r w:rsidR="00EE4FC3">
        <w:t xml:space="preserve"> </w:t>
      </w:r>
      <w:r w:rsidR="00447F64" w:rsidRPr="00382917">
        <w:t>Muslim</w:t>
      </w:r>
      <w:r w:rsidR="00EE4FC3">
        <w:t xml:space="preserve"> </w:t>
      </w:r>
      <w:r w:rsidR="00447F64" w:rsidRPr="00382917">
        <w:t>accounts</w:t>
      </w:r>
      <w:r w:rsidR="00EE4FC3">
        <w:t xml:space="preserve"> </w:t>
      </w:r>
      <w:r w:rsidR="00447F64" w:rsidRPr="00382917">
        <w:t>[of</w:t>
      </w:r>
      <w:r w:rsidR="00EE4FC3">
        <w:t xml:space="preserve"> </w:t>
      </w:r>
      <w:r w:rsidR="00447F64" w:rsidRPr="00382917">
        <w:t>that</w:t>
      </w:r>
      <w:r w:rsidR="00EE4FC3">
        <w:t xml:space="preserve"> </w:t>
      </w:r>
      <w:r w:rsidR="00447F64" w:rsidRPr="00382917">
        <w:t>trial],</w:t>
      </w:r>
      <w:r w:rsidR="00EE4FC3">
        <w:t xml:space="preserve"> </w:t>
      </w:r>
      <w:r w:rsidR="00447F64" w:rsidRPr="00382917">
        <w:t>those</w:t>
      </w:r>
      <w:r w:rsidR="00EE4FC3">
        <w:t xml:space="preserve"> </w:t>
      </w:r>
      <w:r w:rsidR="00447F64" w:rsidRPr="00382917">
        <w:t>which</w:t>
      </w:r>
      <w:r w:rsidR="00EE4FC3">
        <w:t xml:space="preserve"> </w:t>
      </w:r>
      <w:r w:rsidR="00447F64" w:rsidRPr="00382917">
        <w:t>we</w:t>
      </w:r>
      <w:r w:rsidR="00EE4FC3">
        <w:t xml:space="preserve"> </w:t>
      </w:r>
      <w:r w:rsidR="00447F64" w:rsidRPr="00382917">
        <w:t>have</w:t>
      </w:r>
      <w:r w:rsidR="00EE4FC3">
        <w:t xml:space="preserve"> </w:t>
      </w:r>
      <w:r w:rsidR="00447F64" w:rsidRPr="00382917">
        <w:t>before</w:t>
      </w:r>
      <w:r w:rsidR="00EE4FC3">
        <w:t xml:space="preserve"> </w:t>
      </w:r>
      <w:r w:rsidR="00447F64" w:rsidRPr="00382917">
        <w:t>us</w:t>
      </w:r>
      <w:r w:rsidR="00EE4FC3">
        <w:t xml:space="preserve"> </w:t>
      </w:r>
      <w:r w:rsidR="00447F64" w:rsidRPr="00382917">
        <w:t>do</w:t>
      </w:r>
      <w:r w:rsidR="00EE4FC3">
        <w:t xml:space="preserve"> </w:t>
      </w:r>
      <w:r w:rsidR="00447F64" w:rsidRPr="00382917">
        <w:t>not</w:t>
      </w:r>
      <w:r w:rsidR="00EE4FC3">
        <w:t xml:space="preserve"> </w:t>
      </w:r>
      <w:r w:rsidR="00447F64" w:rsidRPr="00382917">
        <w:t>bear</w:t>
      </w:r>
      <w:r w:rsidR="00EE4FC3">
        <w:t xml:space="preserve"> </w:t>
      </w:r>
      <w:r w:rsidR="00447F64" w:rsidRPr="00382917">
        <w:t>the</w:t>
      </w:r>
      <w:r w:rsidR="00EE4FC3">
        <w:t xml:space="preserve"> </w:t>
      </w:r>
      <w:r w:rsidR="00447F64" w:rsidRPr="00382917">
        <w:t>stamp</w:t>
      </w:r>
      <w:r w:rsidR="00EE4FC3">
        <w:t xml:space="preserve"> </w:t>
      </w:r>
      <w:r w:rsidR="00447F64" w:rsidRPr="00382917">
        <w:t>of</w:t>
      </w:r>
      <w:r w:rsidR="00EE4FC3">
        <w:t xml:space="preserve"> </w:t>
      </w:r>
      <w:r w:rsidR="00447F64" w:rsidRPr="00382917">
        <w:t>truth;</w:t>
      </w:r>
      <w:r w:rsidR="00EE4FC3">
        <w:t xml:space="preserve"> </w:t>
      </w:r>
      <w:r w:rsidR="00447F64" w:rsidRPr="00382917">
        <w:t>they</w:t>
      </w:r>
      <w:r w:rsidR="00EE4FC3">
        <w:t xml:space="preserve"> </w:t>
      </w:r>
      <w:r w:rsidR="00447F64" w:rsidRPr="00382917">
        <w:t>seem</w:t>
      </w:r>
      <w:r w:rsidR="00EE4FC3">
        <w:t xml:space="preserve"> </w:t>
      </w:r>
      <w:r w:rsidR="00447F64" w:rsidRPr="00382917">
        <w:t>to</w:t>
      </w:r>
      <w:r w:rsidR="00EE4FC3">
        <w:t xml:space="preserve"> </w:t>
      </w:r>
      <w:r w:rsidR="00447F64" w:rsidRPr="00382917">
        <w:t>be</w:t>
      </w:r>
      <w:r w:rsidR="00EE4FC3">
        <w:t xml:space="preserve"> </w:t>
      </w:r>
      <w:r w:rsidR="00447F64" w:rsidRPr="00382917">
        <w:t>forgeries</w:t>
      </w:r>
      <w:r w:rsidR="00A93643">
        <w:t>.</w:t>
      </w:r>
      <w:r w:rsidR="00EE4FC3">
        <w:t xml:space="preserve">  </w:t>
      </w:r>
      <w:r w:rsidR="00447F64" w:rsidRPr="00382917">
        <w:t>Knowing</w:t>
      </w:r>
      <w:r w:rsidR="00EE4FC3">
        <w:t xml:space="preserve"> </w:t>
      </w:r>
      <w:r w:rsidR="00447F64" w:rsidRPr="00382917">
        <w:t>what</w:t>
      </w:r>
      <w:r w:rsidR="00EE4FC3">
        <w:t xml:space="preserve"> </w:t>
      </w:r>
      <w:r w:rsidR="00447F64" w:rsidRPr="00382917">
        <w:t>we</w:t>
      </w:r>
      <w:r w:rsidR="00EE4FC3">
        <w:t xml:space="preserve"> </w:t>
      </w:r>
      <w:r w:rsidR="00447F64" w:rsidRPr="00382917">
        <w:t>do</w:t>
      </w:r>
      <w:r w:rsidR="00EE4FC3">
        <w:t xml:space="preserve"> </w:t>
      </w:r>
      <w:r w:rsidR="00447F64" w:rsidRPr="00382917">
        <w:t>of</w:t>
      </w:r>
      <w:r w:rsidR="00EE4FC3">
        <w:t xml:space="preserve"> </w:t>
      </w:r>
      <w:r w:rsidR="00447F64" w:rsidRPr="00382917">
        <w:t>the</w:t>
      </w:r>
      <w:r w:rsidR="00EE4FC3">
        <w:t xml:space="preserve"> </w:t>
      </w:r>
      <w:r w:rsidR="00447F64" w:rsidRPr="00382917">
        <w:t>Báb,</w:t>
      </w:r>
      <w:r w:rsidR="00EE4FC3">
        <w:t xml:space="preserve"> </w:t>
      </w:r>
      <w:r w:rsidR="00447F64" w:rsidRPr="00382917">
        <w:t>it</w:t>
      </w:r>
      <w:r w:rsidR="00EE4FC3">
        <w:t xml:space="preserve"> </w:t>
      </w:r>
      <w:r w:rsidR="00447F64" w:rsidRPr="00382917">
        <w:t>is</w:t>
      </w:r>
      <w:r w:rsidR="00EE4FC3">
        <w:t xml:space="preserve"> </w:t>
      </w:r>
      <w:r w:rsidR="00447F64" w:rsidRPr="00382917">
        <w:t>probable</w:t>
      </w:r>
      <w:r w:rsidR="00EE4FC3">
        <w:t xml:space="preserve"> </w:t>
      </w:r>
      <w:r w:rsidR="00447F64" w:rsidRPr="00382917">
        <w:t>that</w:t>
      </w:r>
      <w:r w:rsidR="00EE4FC3">
        <w:t xml:space="preserve"> </w:t>
      </w:r>
      <w:r w:rsidR="00447F64" w:rsidRPr="00382917">
        <w:t>he</w:t>
      </w:r>
      <w:r w:rsidR="00EE4FC3">
        <w:t xml:space="preserve"> </w:t>
      </w:r>
      <w:r w:rsidR="00447F64" w:rsidRPr="00382917">
        <w:t>had</w:t>
      </w:r>
      <w:r w:rsidR="00EE4FC3">
        <w:t xml:space="preserve"> </w:t>
      </w:r>
      <w:r w:rsidR="00447F64" w:rsidRPr="00382917">
        <w:t>the</w:t>
      </w:r>
      <w:r w:rsidR="00EE4FC3">
        <w:t xml:space="preserve"> </w:t>
      </w:r>
      <w:r w:rsidR="00447F64" w:rsidRPr="00382917">
        <w:t>best</w:t>
      </w:r>
      <w:r w:rsidR="00EE4FC3">
        <w:t xml:space="preserve"> </w:t>
      </w:r>
      <w:r w:rsidR="00447F64" w:rsidRPr="00382917">
        <w:t>of</w:t>
      </w:r>
      <w:r w:rsidR="00EE4FC3">
        <w:t xml:space="preserve"> </w:t>
      </w:r>
      <w:r w:rsidR="00447F64" w:rsidRPr="00382917">
        <w:t>the</w:t>
      </w:r>
      <w:r w:rsidR="00EE4FC3">
        <w:t xml:space="preserve"> </w:t>
      </w:r>
      <w:r w:rsidR="00447F64" w:rsidRPr="00382917">
        <w:t>argument,</w:t>
      </w:r>
      <w:r w:rsidR="00EE4FC3">
        <w:t xml:space="preserve"> </w:t>
      </w:r>
      <w:r w:rsidR="00447F64" w:rsidRPr="00382917">
        <w:t>and</w:t>
      </w:r>
      <w:r w:rsidR="00EE4FC3">
        <w:t xml:space="preserve"> </w:t>
      </w:r>
      <w:r w:rsidR="00447F64" w:rsidRPr="00382917">
        <w:t>that</w:t>
      </w:r>
      <w:r w:rsidR="00EE4FC3">
        <w:t xml:space="preserve"> </w:t>
      </w:r>
      <w:r w:rsidR="00447F64" w:rsidRPr="00382917">
        <w:t>the</w:t>
      </w:r>
      <w:r w:rsidR="00EE4FC3">
        <w:t xml:space="preserve"> </w:t>
      </w:r>
      <w:r w:rsidR="00447F64" w:rsidRPr="00382917">
        <w:t>leaders</w:t>
      </w:r>
      <w:r w:rsidR="00EE4FC3">
        <w:t xml:space="preserve"> </w:t>
      </w:r>
      <w:r w:rsidR="00447F64" w:rsidRPr="00382917">
        <w:t>and</w:t>
      </w:r>
      <w:r w:rsidR="00EE4FC3">
        <w:t xml:space="preserve"> </w:t>
      </w:r>
      <w:r w:rsidR="00447F64" w:rsidRPr="00382917">
        <w:t>functionaries</w:t>
      </w:r>
      <w:r w:rsidR="00EE4FC3">
        <w:t xml:space="preserve"> </w:t>
      </w:r>
      <w:r w:rsidR="00447F64" w:rsidRPr="00382917">
        <w:t>who</w:t>
      </w:r>
      <w:r w:rsidR="00EE4FC3">
        <w:t xml:space="preserve"> </w:t>
      </w:r>
      <w:r w:rsidR="00447F64" w:rsidRPr="00382917">
        <w:t>attended</w:t>
      </w:r>
      <w:r w:rsidR="00EE4FC3">
        <w:t xml:space="preserve"> </w:t>
      </w:r>
      <w:r w:rsidR="00447F64" w:rsidRPr="00382917">
        <w:t>the</w:t>
      </w:r>
      <w:r w:rsidR="00EE4FC3">
        <w:t xml:space="preserve"> </w:t>
      </w:r>
      <w:r w:rsidR="00447F64" w:rsidRPr="00382917">
        <w:t>meeting</w:t>
      </w:r>
      <w:r w:rsidR="00EE4FC3">
        <w:t xml:space="preserve"> </w:t>
      </w:r>
      <w:r w:rsidR="00447F64" w:rsidRPr="00382917">
        <w:t>were</w:t>
      </w:r>
      <w:r w:rsidR="00EE4FC3">
        <w:t xml:space="preserve"> </w:t>
      </w:r>
      <w:r w:rsidR="00447F64" w:rsidRPr="00382917">
        <w:t>unwilling</w:t>
      </w:r>
      <w:r w:rsidR="00EE4FC3">
        <w:t xml:space="preserve"> </w:t>
      </w:r>
      <w:r w:rsidR="00447F64" w:rsidRPr="00382917">
        <w:t>to</w:t>
      </w:r>
      <w:r w:rsidR="00EE4FC3">
        <w:t xml:space="preserve"> </w:t>
      </w:r>
      <w:r w:rsidR="00447F64" w:rsidRPr="00382917">
        <w:t>put</w:t>
      </w:r>
      <w:r w:rsidR="00EE4FC3">
        <w:t xml:space="preserve"> </w:t>
      </w:r>
      <w:r w:rsidR="00447F64" w:rsidRPr="00382917">
        <w:t>on</w:t>
      </w:r>
      <w:r w:rsidR="00EE4FC3">
        <w:t xml:space="preserve"> </w:t>
      </w:r>
      <w:r w:rsidR="00447F64" w:rsidRPr="00382917">
        <w:t>record</w:t>
      </w:r>
      <w:r w:rsidR="00EE4FC3">
        <w:t xml:space="preserve"> </w:t>
      </w:r>
      <w:r w:rsidR="00447F64" w:rsidRPr="00382917">
        <w:t>their</w:t>
      </w:r>
      <w:r w:rsidR="00EE4FC3">
        <w:t xml:space="preserve"> </w:t>
      </w:r>
      <w:r w:rsidR="00447F64" w:rsidRPr="00382917">
        <w:t>own</w:t>
      </w:r>
      <w:r w:rsidR="00EE4FC3">
        <w:t xml:space="preserve"> </w:t>
      </w:r>
      <w:r w:rsidR="00447F64" w:rsidRPr="00382917">
        <w:t>fiasco.</w:t>
      </w:r>
      <w:r w:rsidRPr="00382917">
        <w:t>”</w:t>
      </w:r>
      <w:r w:rsidR="00385555">
        <w:rPr>
          <w:rStyle w:val="FootnoteReference"/>
        </w:rPr>
        <w:footnoteReference w:id="94"/>
      </w:r>
    </w:p>
    <w:p w:rsidR="00447F64" w:rsidRPr="00382917" w:rsidRDefault="00447F64" w:rsidP="00193D34">
      <w:pPr>
        <w:pStyle w:val="Text"/>
      </w:pPr>
      <w:r w:rsidRPr="00382917">
        <w:t>The</w:t>
      </w:r>
      <w:r w:rsidR="00EE4FC3">
        <w:t xml:space="preserve"> </w:t>
      </w:r>
      <w:r w:rsidRPr="00382917">
        <w:t>second</w:t>
      </w:r>
      <w:r w:rsidR="00EE4FC3">
        <w:t xml:space="preserve"> </w:t>
      </w:r>
      <w:r w:rsidRPr="00382917">
        <w:t>was</w:t>
      </w:r>
      <w:r w:rsidR="00EE4FC3">
        <w:t xml:space="preserve"> </w:t>
      </w:r>
      <w:r w:rsidRPr="00382917">
        <w:t>Professor</w:t>
      </w:r>
      <w:r w:rsidR="00EE4FC3">
        <w:t xml:space="preserve"> </w:t>
      </w:r>
      <w:r w:rsidRPr="00382917">
        <w:t>Edward</w:t>
      </w:r>
      <w:r w:rsidR="00EE4FC3">
        <w:t xml:space="preserve"> </w:t>
      </w:r>
      <w:r w:rsidRPr="00382917">
        <w:t>G.</w:t>
      </w:r>
      <w:r w:rsidR="00EE4FC3">
        <w:t xml:space="preserve"> </w:t>
      </w:r>
      <w:r w:rsidRPr="00382917">
        <w:t>Browne,</w:t>
      </w:r>
      <w:r w:rsidR="00EE4FC3">
        <w:t xml:space="preserve"> </w:t>
      </w:r>
      <w:r w:rsidRPr="00382917">
        <w:t>of</w:t>
      </w:r>
      <w:r w:rsidR="00EE4FC3">
        <w:t xml:space="preserve"> </w:t>
      </w:r>
      <w:r w:rsidRPr="00382917">
        <w:t>Cambridge</w:t>
      </w:r>
      <w:r w:rsidR="00EE4FC3">
        <w:t xml:space="preserve"> </w:t>
      </w:r>
      <w:r w:rsidRPr="00382917">
        <w:t>University</w:t>
      </w:r>
      <w:r w:rsidR="00A93643">
        <w:t>.</w:t>
      </w:r>
      <w:r w:rsidR="00EE4FC3">
        <w:t xml:space="preserve">  </w:t>
      </w:r>
      <w:r w:rsidRPr="00382917">
        <w:t>He</w:t>
      </w:r>
      <w:r w:rsidR="00EE4FC3">
        <w:t xml:space="preserve"> </w:t>
      </w:r>
      <w:r w:rsidRPr="00382917">
        <w:t>called</w:t>
      </w:r>
      <w:r w:rsidR="00EE4FC3">
        <w:t xml:space="preserve"> </w:t>
      </w:r>
      <w:r w:rsidRPr="00382917">
        <w:t>the</w:t>
      </w:r>
      <w:r w:rsidR="00EE4FC3">
        <w:t xml:space="preserve"> </w:t>
      </w:r>
      <w:r w:rsidRPr="00382917">
        <w:t>questions</w:t>
      </w:r>
      <w:r w:rsidR="00EE4FC3">
        <w:t xml:space="preserve"> </w:t>
      </w:r>
      <w:r w:rsidRPr="00382917">
        <w:t>which</w:t>
      </w:r>
      <w:r w:rsidR="00EE4FC3">
        <w:t xml:space="preserve"> </w:t>
      </w:r>
      <w:r w:rsidRPr="00382917">
        <w:t>these</w:t>
      </w:r>
      <w:r w:rsidR="00EE4FC3">
        <w:t xml:space="preserve"> </w:t>
      </w:r>
      <w:r w:rsidRPr="00382917">
        <w:t>religious</w:t>
      </w:r>
      <w:r w:rsidR="00EE4FC3">
        <w:t xml:space="preserve"> </w:t>
      </w:r>
      <w:r w:rsidRPr="00382917">
        <w:t>leaders</w:t>
      </w:r>
      <w:r w:rsidR="00EE4FC3">
        <w:t xml:space="preserve"> </w:t>
      </w:r>
      <w:r w:rsidRPr="00382917">
        <w:t>had</w:t>
      </w:r>
      <w:r w:rsidR="00EE4FC3">
        <w:t xml:space="preserve"> </w:t>
      </w:r>
      <w:r w:rsidRPr="00382917">
        <w:t>asked</w:t>
      </w:r>
      <w:r w:rsidR="00EE4FC3">
        <w:t xml:space="preserve"> </w:t>
      </w:r>
      <w:r w:rsidRPr="00382917">
        <w:t>the</w:t>
      </w:r>
      <w:r w:rsidR="00EE4FC3">
        <w:t xml:space="preserve"> </w:t>
      </w:r>
      <w:r w:rsidRPr="00382917">
        <w:t>Báb</w:t>
      </w:r>
      <w:r w:rsidR="00EE4FC3">
        <w:t xml:space="preserve"> </w:t>
      </w:r>
      <w:r w:rsidR="009C713D" w:rsidRPr="00382917">
        <w:t>“</w:t>
      </w:r>
      <w:r w:rsidRPr="00382917">
        <w:t>frivolous</w:t>
      </w:r>
      <w:r w:rsidR="00EE4FC3">
        <w:t xml:space="preserve"> </w:t>
      </w:r>
      <w:r w:rsidRPr="00382917">
        <w:t>and</w:t>
      </w:r>
      <w:r w:rsidR="00EE4FC3">
        <w:t xml:space="preserve"> </w:t>
      </w:r>
      <w:r w:rsidRPr="00382917">
        <w:t>even</w:t>
      </w:r>
      <w:r w:rsidR="00EE4FC3">
        <w:t xml:space="preserve"> </w:t>
      </w:r>
      <w:r w:rsidRPr="00382917">
        <w:t>indecent.</w:t>
      </w:r>
      <w:r w:rsidR="009C713D" w:rsidRPr="00382917">
        <w:t>”</w:t>
      </w:r>
      <w:r w:rsidR="00EE4FC3">
        <w:t xml:space="preserve">  </w:t>
      </w:r>
      <w:r w:rsidRPr="00382917">
        <w:t>He</w:t>
      </w:r>
      <w:r w:rsidR="00EE4FC3">
        <w:t xml:space="preserve"> </w:t>
      </w:r>
      <w:r w:rsidRPr="00382917">
        <w:t>writes</w:t>
      </w:r>
      <w:r w:rsidR="00EE4FC3">
        <w:t xml:space="preserve"> </w:t>
      </w:r>
      <w:r w:rsidRPr="00382917">
        <w:t>of</w:t>
      </w:r>
      <w:r w:rsidR="00EE4FC3">
        <w:t xml:space="preserve"> </w:t>
      </w:r>
      <w:r w:rsidRPr="00382917">
        <w:t>that</w:t>
      </w:r>
      <w:r w:rsidR="00EE4FC3">
        <w:t xml:space="preserve"> </w:t>
      </w:r>
      <w:r w:rsidRPr="00382917">
        <w:t>trial</w:t>
      </w:r>
      <w:r w:rsidR="00C03C91">
        <w:t>:</w:t>
      </w:r>
      <w:r w:rsidR="00EE4FC3">
        <w:t xml:space="preserve">  </w:t>
      </w:r>
      <w:r w:rsidR="009C713D" w:rsidRPr="00382917">
        <w:t>“</w:t>
      </w:r>
      <w:r w:rsidRPr="00382917">
        <w:t>That</w:t>
      </w:r>
      <w:r w:rsidR="00EE4FC3">
        <w:t xml:space="preserve"> </w:t>
      </w:r>
      <w:r w:rsidRPr="00382917">
        <w:t>the</w:t>
      </w:r>
      <w:r w:rsidR="00EE4FC3">
        <w:t xml:space="preserve"> </w:t>
      </w:r>
      <w:r w:rsidRPr="00382917">
        <w:t>whole</w:t>
      </w:r>
      <w:r w:rsidR="00EE4FC3">
        <w:t xml:space="preserve"> </w:t>
      </w:r>
      <w:r w:rsidRPr="00382917">
        <w:t>examination</w:t>
      </w:r>
      <w:r w:rsidR="00EE4FC3">
        <w:t xml:space="preserve"> </w:t>
      </w:r>
      <w:r w:rsidRPr="00382917">
        <w:t>was</w:t>
      </w:r>
      <w:r w:rsidR="00EE4FC3">
        <w:t xml:space="preserve"> </w:t>
      </w:r>
      <w:r w:rsidRPr="00382917">
        <w:t>a</w:t>
      </w:r>
      <w:r w:rsidR="00EE4FC3">
        <w:t xml:space="preserve"> </w:t>
      </w:r>
      <w:r w:rsidRPr="00382917">
        <w:t>farce</w:t>
      </w:r>
      <w:r w:rsidR="00EE4FC3">
        <w:t xml:space="preserve"> </w:t>
      </w:r>
      <w:r w:rsidRPr="00382917">
        <w:t>throughout,</w:t>
      </w:r>
      <w:r w:rsidR="00EE4FC3">
        <w:t xml:space="preserve"> </w:t>
      </w:r>
      <w:r w:rsidRPr="00382917">
        <w:t>that</w:t>
      </w:r>
      <w:r w:rsidR="00EE4FC3">
        <w:t xml:space="preserve"> </w:t>
      </w:r>
      <w:r w:rsidRPr="00382917">
        <w:t>the</w:t>
      </w:r>
      <w:r w:rsidR="00EE4FC3">
        <w:t xml:space="preserve"> </w:t>
      </w:r>
      <w:r w:rsidRPr="00382917">
        <w:t>sentence</w:t>
      </w:r>
      <w:r w:rsidR="00EE4FC3">
        <w:t xml:space="preserve"> </w:t>
      </w:r>
      <w:r w:rsidRPr="00382917">
        <w:t>was</w:t>
      </w:r>
      <w:r w:rsidR="00EE4FC3">
        <w:t xml:space="preserve"> </w:t>
      </w:r>
      <w:r w:rsidRPr="00382917">
        <w:t>a</w:t>
      </w:r>
      <w:r w:rsidR="00EE4FC3">
        <w:t xml:space="preserve"> </w:t>
      </w:r>
      <w:r w:rsidRPr="00382917">
        <w:t>foregone</w:t>
      </w:r>
      <w:r w:rsidR="00EE4FC3">
        <w:t xml:space="preserve"> </w:t>
      </w:r>
      <w:r w:rsidRPr="00382917">
        <w:t>conclusion,</w:t>
      </w:r>
      <w:r w:rsidR="00EE4FC3">
        <w:t xml:space="preserve"> </w:t>
      </w:r>
      <w:r w:rsidRPr="00382917">
        <w:t>that</w:t>
      </w:r>
      <w:r w:rsidR="00EE4FC3">
        <w:t xml:space="preserve"> </w:t>
      </w:r>
      <w:r w:rsidRPr="00382917">
        <w:t>no</w:t>
      </w:r>
      <w:r w:rsidR="00EE4FC3">
        <w:t xml:space="preserve"> </w:t>
      </w:r>
      <w:r w:rsidRPr="00382917">
        <w:t>serious</w:t>
      </w:r>
      <w:r w:rsidR="00EE4FC3">
        <w:t xml:space="preserve"> </w:t>
      </w:r>
      <w:r w:rsidRPr="00382917">
        <w:t>attempt</w:t>
      </w:r>
      <w:r w:rsidR="00EE4FC3">
        <w:t xml:space="preserve"> </w:t>
      </w:r>
      <w:r w:rsidRPr="00382917">
        <w:t>to</w:t>
      </w:r>
      <w:r w:rsidR="00EE4FC3">
        <w:t xml:space="preserve"> </w:t>
      </w:r>
      <w:r w:rsidRPr="00382917">
        <w:t>apprehend</w:t>
      </w:r>
      <w:r w:rsidR="00EE4FC3">
        <w:t xml:space="preserve"> </w:t>
      </w:r>
      <w:r w:rsidRPr="00382917">
        <w:t>the</w:t>
      </w:r>
      <w:r w:rsidR="00EE4FC3">
        <w:t xml:space="preserve"> </w:t>
      </w:r>
      <w:r w:rsidRPr="00382917">
        <w:t>nature</w:t>
      </w:r>
      <w:r w:rsidR="00EE4FC3">
        <w:t xml:space="preserve"> </w:t>
      </w:r>
      <w:r w:rsidRPr="00382917">
        <w:t>and</w:t>
      </w:r>
      <w:r w:rsidR="00EE4FC3">
        <w:t xml:space="preserve"> </w:t>
      </w:r>
      <w:r w:rsidRPr="00382917">
        <w:t>evidence</w:t>
      </w:r>
      <w:r w:rsidR="00EE4FC3">
        <w:t xml:space="preserve"> </w:t>
      </w:r>
      <w:r w:rsidRPr="00382917">
        <w:t>of</w:t>
      </w:r>
      <w:r w:rsidR="00EE4FC3">
        <w:t xml:space="preserve"> </w:t>
      </w:r>
      <w:r w:rsidRPr="00382917">
        <w:t>the</w:t>
      </w:r>
      <w:r w:rsidR="00EE4FC3">
        <w:t xml:space="preserve"> </w:t>
      </w:r>
      <w:r w:rsidRPr="00382917">
        <w:t>Báb</w:t>
      </w:r>
      <w:r w:rsidR="009C713D" w:rsidRPr="00382917">
        <w:t>’</w:t>
      </w:r>
      <w:r w:rsidRPr="00382917">
        <w:t>s</w:t>
      </w:r>
      <w:r w:rsidR="00EE4FC3">
        <w:t xml:space="preserve"> </w:t>
      </w:r>
      <w:r w:rsidRPr="00382917">
        <w:t>claim</w:t>
      </w:r>
      <w:r w:rsidR="00EE4FC3">
        <w:t xml:space="preserve"> </w:t>
      </w:r>
      <w:r w:rsidRPr="00382917">
        <w:t>and</w:t>
      </w:r>
      <w:r w:rsidR="00EE4FC3">
        <w:t xml:space="preserve"> </w:t>
      </w:r>
      <w:r w:rsidRPr="00382917">
        <w:t>doctrine</w:t>
      </w:r>
      <w:r w:rsidR="00EE4FC3">
        <w:t xml:space="preserve"> </w:t>
      </w:r>
      <w:r w:rsidRPr="00382917">
        <w:t>was</w:t>
      </w:r>
      <w:r w:rsidR="00EE4FC3">
        <w:t xml:space="preserve"> </w:t>
      </w:r>
      <w:r w:rsidRPr="00382917">
        <w:t>made,</w:t>
      </w:r>
      <w:r w:rsidR="00EE4FC3">
        <w:t xml:space="preserve"> </w:t>
      </w:r>
      <w:r w:rsidRPr="00382917">
        <w:t>and</w:t>
      </w:r>
      <w:r w:rsidR="00EE4FC3">
        <w:t xml:space="preserve"> </w:t>
      </w:r>
      <w:r w:rsidRPr="00382917">
        <w:t>that</w:t>
      </w:r>
      <w:r w:rsidR="00EE4FC3">
        <w:t xml:space="preserve"> </w:t>
      </w:r>
      <w:r w:rsidRPr="00382917">
        <w:t>from</w:t>
      </w:r>
      <w:r w:rsidR="00EE4FC3">
        <w:t xml:space="preserve"> </w:t>
      </w:r>
      <w:r w:rsidRPr="00382917">
        <w:t>the</w:t>
      </w:r>
      <w:r w:rsidR="00EE4FC3">
        <w:t xml:space="preserve"> </w:t>
      </w:r>
      <w:r w:rsidRPr="00382917">
        <w:t>first</w:t>
      </w:r>
      <w:r w:rsidR="00EE4FC3">
        <w:t xml:space="preserve"> </w:t>
      </w:r>
      <w:r w:rsidRPr="00382917">
        <w:t>to</w:t>
      </w:r>
      <w:r w:rsidR="00EE4FC3">
        <w:t xml:space="preserve"> </w:t>
      </w:r>
      <w:r w:rsidRPr="00382917">
        <w:t>last</w:t>
      </w:r>
      <w:r w:rsidR="00EE4FC3">
        <w:t xml:space="preserve"> </w:t>
      </w:r>
      <w:r w:rsidRPr="00382917">
        <w:t>a</w:t>
      </w:r>
      <w:r w:rsidR="00EE4FC3">
        <w:t xml:space="preserve"> </w:t>
      </w:r>
      <w:r w:rsidRPr="00382917">
        <w:t>systematic</w:t>
      </w:r>
      <w:r w:rsidR="00EE4FC3">
        <w:t xml:space="preserve"> </w:t>
      </w:r>
      <w:r w:rsidRPr="00382917">
        <w:t>course</w:t>
      </w:r>
      <w:r w:rsidR="00EE4FC3">
        <w:t xml:space="preserve"> </w:t>
      </w:r>
      <w:r w:rsidRPr="00382917">
        <w:t>of</w:t>
      </w:r>
      <w:r w:rsidR="00EE4FC3">
        <w:t xml:space="preserve"> </w:t>
      </w:r>
      <w:r w:rsidRPr="00382917">
        <w:t>browbeating,</w:t>
      </w:r>
      <w:r w:rsidR="00EE4FC3">
        <w:t xml:space="preserve"> </w:t>
      </w:r>
      <w:r w:rsidRPr="00382917">
        <w:t>irony,</w:t>
      </w:r>
      <w:r w:rsidR="00EE4FC3">
        <w:t xml:space="preserve"> </w:t>
      </w:r>
      <w:r w:rsidRPr="00382917">
        <w:t>and</w:t>
      </w:r>
      <w:r w:rsidR="00EE4FC3">
        <w:t xml:space="preserve"> </w:t>
      </w:r>
      <w:r w:rsidRPr="00382917">
        <w:t>mockery</w:t>
      </w:r>
      <w:r w:rsidR="00EE4FC3">
        <w:t xml:space="preserve"> </w:t>
      </w:r>
      <w:r w:rsidRPr="00382917">
        <w:t>was</w:t>
      </w:r>
      <w:r w:rsidR="00EE4FC3">
        <w:t xml:space="preserve"> </w:t>
      </w:r>
      <w:r w:rsidRPr="00382917">
        <w:t>pursued,</w:t>
      </w:r>
      <w:r w:rsidR="00EE4FC3">
        <w:t xml:space="preserve"> </w:t>
      </w:r>
      <w:r w:rsidRPr="00382917">
        <w:t>appear</w:t>
      </w:r>
      <w:r w:rsidR="00EE4FC3">
        <w:t xml:space="preserve"> </w:t>
      </w:r>
      <w:r w:rsidRPr="00382917">
        <w:t>to</w:t>
      </w:r>
      <w:r w:rsidR="00EE4FC3">
        <w:t xml:space="preserve"> </w:t>
      </w:r>
      <w:r w:rsidRPr="00382917">
        <w:t>me</w:t>
      </w:r>
      <w:r w:rsidR="00EE4FC3">
        <w:t xml:space="preserve"> </w:t>
      </w:r>
      <w:r w:rsidRPr="00382917">
        <w:t>to</w:t>
      </w:r>
      <w:r w:rsidR="00EE4FC3">
        <w:t xml:space="preserve"> </w:t>
      </w:r>
      <w:r w:rsidRPr="00382917">
        <w:t>be</w:t>
      </w:r>
      <w:r w:rsidR="00EE4FC3">
        <w:t xml:space="preserve"> </w:t>
      </w:r>
      <w:r w:rsidRPr="00382917">
        <w:t>facts</w:t>
      </w:r>
      <w:r w:rsidR="00EE4FC3">
        <w:t xml:space="preserve"> </w:t>
      </w:r>
      <w:r w:rsidRPr="00382917">
        <w:t>proved</w:t>
      </w:r>
      <w:r w:rsidR="00EE4FC3">
        <w:t xml:space="preserve"> </w:t>
      </w:r>
      <w:r w:rsidRPr="00382917">
        <w:t>no</w:t>
      </w:r>
      <w:r w:rsidR="00EE4FC3">
        <w:t xml:space="preserve"> </w:t>
      </w:r>
      <w:r w:rsidRPr="00382917">
        <w:t>less</w:t>
      </w:r>
      <w:r w:rsidR="00EE4FC3">
        <w:t xml:space="preserve"> </w:t>
      </w:r>
      <w:r w:rsidRPr="00382917">
        <w:t>by</w:t>
      </w:r>
      <w:r w:rsidR="00EE4FC3">
        <w:t xml:space="preserve"> </w:t>
      </w:r>
      <w:r w:rsidRPr="00382917">
        <w:t>the</w:t>
      </w:r>
      <w:r w:rsidR="00EE4FC3">
        <w:t xml:space="preserve"> </w:t>
      </w:r>
      <w:r w:rsidRPr="00382917">
        <w:t>Muhammadan</w:t>
      </w:r>
      <w:r w:rsidR="00EE4FC3">
        <w:t xml:space="preserve"> </w:t>
      </w:r>
      <w:r w:rsidRPr="00382917">
        <w:t>than</w:t>
      </w:r>
      <w:r w:rsidR="00EE4FC3">
        <w:t xml:space="preserve"> </w:t>
      </w:r>
      <w:r w:rsidRPr="00382917">
        <w:t>by</w:t>
      </w:r>
      <w:r w:rsidR="00EE4FC3">
        <w:t xml:space="preserve"> </w:t>
      </w:r>
      <w:r w:rsidRPr="00382917">
        <w:t>the</w:t>
      </w:r>
      <w:r w:rsidR="00EE4FC3">
        <w:t xml:space="preserve"> </w:t>
      </w:r>
      <w:r w:rsidRPr="00382917">
        <w:t>Bábí</w:t>
      </w:r>
      <w:r w:rsidR="00EE4FC3">
        <w:t xml:space="preserve"> </w:t>
      </w:r>
      <w:r w:rsidRPr="00382917">
        <w:t>accounts</w:t>
      </w:r>
      <w:r w:rsidR="00EE4FC3">
        <w:t xml:space="preserve"> </w:t>
      </w:r>
      <w:r w:rsidRPr="00382917">
        <w:t>of</w:t>
      </w:r>
      <w:r w:rsidR="00EE4FC3">
        <w:t xml:space="preserve"> </w:t>
      </w:r>
      <w:r w:rsidRPr="00382917">
        <w:t>these</w:t>
      </w:r>
      <w:r w:rsidR="00EE4FC3">
        <w:t xml:space="preserve"> </w:t>
      </w:r>
      <w:r w:rsidRPr="00382917">
        <w:t>inquisitorial</w:t>
      </w:r>
      <w:r w:rsidR="00EE4FC3">
        <w:t xml:space="preserve"> </w:t>
      </w:r>
      <w:r w:rsidRPr="00382917">
        <w:t>proceedings.</w:t>
      </w:r>
      <w:r w:rsidR="009C713D" w:rsidRPr="00382917">
        <w:t>”</w:t>
      </w:r>
      <w:r w:rsidR="00193D34">
        <w:rPr>
          <w:rStyle w:val="FootnoteReference"/>
        </w:rPr>
        <w:footnoteReference w:id="95"/>
      </w:r>
    </w:p>
    <w:p w:rsidR="00447F64" w:rsidRPr="00382917" w:rsidRDefault="00447F64" w:rsidP="00447F64">
      <w:pPr>
        <w:pStyle w:val="Text"/>
      </w:pPr>
      <w:r w:rsidRPr="00382917">
        <w:t>Even</w:t>
      </w:r>
      <w:r w:rsidR="00EE4FC3">
        <w:t xml:space="preserve"> </w:t>
      </w:r>
      <w:r w:rsidRPr="00382917">
        <w:t>the</w:t>
      </w:r>
      <w:r w:rsidR="00EE4FC3">
        <w:t xml:space="preserve"> </w:t>
      </w:r>
      <w:r w:rsidRPr="00382917">
        <w:t>presiding</w:t>
      </w:r>
      <w:r w:rsidR="00EE4FC3">
        <w:t xml:space="preserve"> </w:t>
      </w:r>
      <w:r w:rsidRPr="00382917">
        <w:t>officer</w:t>
      </w:r>
      <w:r w:rsidR="00EE4FC3">
        <w:t xml:space="preserve"> </w:t>
      </w:r>
      <w:r w:rsidRPr="00382917">
        <w:t>at</w:t>
      </w:r>
      <w:r w:rsidR="00EE4FC3">
        <w:t xml:space="preserve"> </w:t>
      </w:r>
      <w:r w:rsidRPr="00382917">
        <w:t>that</w:t>
      </w:r>
      <w:r w:rsidR="00EE4FC3">
        <w:t xml:space="preserve"> </w:t>
      </w:r>
      <w:r w:rsidRPr="00382917">
        <w:t>gathering,</w:t>
      </w:r>
      <w:r w:rsidR="00EE4FC3">
        <w:t xml:space="preserve"> </w:t>
      </w:r>
      <w:r w:rsidRPr="00382917">
        <w:t>Ḥájí</w:t>
      </w:r>
      <w:r w:rsidR="00EE4FC3">
        <w:t xml:space="preserve"> </w:t>
      </w:r>
      <w:r w:rsidRPr="00382917">
        <w:t>Mullá</w:t>
      </w:r>
      <w:r w:rsidR="00EE4FC3">
        <w:t xml:space="preserve"> </w:t>
      </w:r>
      <w:r w:rsidRPr="00382917">
        <w:t>Maḥmúd,</w:t>
      </w:r>
      <w:r w:rsidR="00EE4FC3">
        <w:t xml:space="preserve"> </w:t>
      </w:r>
      <w:r w:rsidRPr="00382917">
        <w:t>was</w:t>
      </w:r>
      <w:r w:rsidR="00EE4FC3">
        <w:t xml:space="preserve"> </w:t>
      </w:r>
      <w:r w:rsidRPr="00382917">
        <w:t>displeased</w:t>
      </w:r>
      <w:r w:rsidR="00EE4FC3">
        <w:t xml:space="preserve"> </w:t>
      </w:r>
      <w:r w:rsidRPr="00382917">
        <w:t>at</w:t>
      </w:r>
      <w:r w:rsidR="00EE4FC3">
        <w:t xml:space="preserve"> </w:t>
      </w:r>
      <w:r w:rsidRPr="00382917">
        <w:t>the</w:t>
      </w:r>
      <w:r w:rsidR="00EE4FC3">
        <w:t xml:space="preserve"> </w:t>
      </w:r>
      <w:r w:rsidRPr="00382917">
        <w:t>way</w:t>
      </w:r>
      <w:r w:rsidR="00EE4FC3">
        <w:t xml:space="preserve"> </w:t>
      </w:r>
      <w:r w:rsidRPr="00382917">
        <w:t>the</w:t>
      </w:r>
      <w:r w:rsidR="00EE4FC3">
        <w:t xml:space="preserve"> </w:t>
      </w:r>
      <w:r w:rsidRPr="00382917">
        <w:t>priests</w:t>
      </w:r>
      <w:r w:rsidR="00EE4FC3">
        <w:t xml:space="preserve"> </w:t>
      </w:r>
      <w:r w:rsidRPr="00382917">
        <w:t>had</w:t>
      </w:r>
      <w:r w:rsidR="00EE4FC3">
        <w:t xml:space="preserve"> </w:t>
      </w:r>
      <w:r w:rsidRPr="00382917">
        <w:t>conducted</w:t>
      </w:r>
      <w:r w:rsidR="00EE4FC3">
        <w:t xml:space="preserve"> </w:t>
      </w:r>
      <w:r w:rsidRPr="00382917">
        <w:t>the</w:t>
      </w:r>
      <w:r w:rsidR="00EE4FC3">
        <w:t xml:space="preserve"> </w:t>
      </w:r>
      <w:r w:rsidRPr="00382917">
        <w:t>meeting</w:t>
      </w:r>
      <w:r w:rsidR="00A93643">
        <w:t>.</w:t>
      </w:r>
      <w:r w:rsidR="00EE4FC3">
        <w:t xml:space="preserve">  </w:t>
      </w:r>
      <w:r w:rsidRPr="00382917">
        <w:t>He</w:t>
      </w:r>
      <w:r w:rsidR="00EE4FC3">
        <w:t xml:space="preserve"> </w:t>
      </w:r>
      <w:r w:rsidRPr="00382917">
        <w:t>did</w:t>
      </w:r>
      <w:r w:rsidR="00EE4FC3">
        <w:t xml:space="preserve"> </w:t>
      </w:r>
      <w:r w:rsidRPr="00382917">
        <w:t>not</w:t>
      </w:r>
      <w:r w:rsidR="00EE4FC3">
        <w:t xml:space="preserve"> </w:t>
      </w:r>
      <w:r w:rsidRPr="00382917">
        <w:t>wish</w:t>
      </w:r>
      <w:r w:rsidR="00EE4FC3">
        <w:t xml:space="preserve"> </w:t>
      </w:r>
      <w:r w:rsidRPr="00382917">
        <w:t>his</w:t>
      </w:r>
      <w:r w:rsidR="00EE4FC3">
        <w:t xml:space="preserve"> </w:t>
      </w:r>
      <w:r w:rsidRPr="00382917">
        <w:t>name</w:t>
      </w:r>
      <w:r w:rsidR="00EE4FC3">
        <w:t xml:space="preserve"> </w:t>
      </w:r>
      <w:r w:rsidRPr="00382917">
        <w:t>associated</w:t>
      </w:r>
      <w:r w:rsidR="00EE4FC3">
        <w:t xml:space="preserve"> </w:t>
      </w:r>
      <w:r w:rsidRPr="00382917">
        <w:t>with</w:t>
      </w:r>
      <w:r w:rsidR="00EE4FC3">
        <w:t xml:space="preserve"> </w:t>
      </w:r>
      <w:r w:rsidRPr="00382917">
        <w:t>it.</w:t>
      </w:r>
    </w:p>
    <w:p w:rsidR="00447F64" w:rsidRPr="00382917" w:rsidRDefault="009C713D" w:rsidP="00447F64">
      <w:pPr>
        <w:pStyle w:val="Text"/>
      </w:pPr>
      <w:r w:rsidRPr="00382917">
        <w:t>“</w:t>
      </w:r>
      <w:r w:rsidR="00447F64" w:rsidRPr="00382917">
        <w:t>How</w:t>
      </w:r>
      <w:r w:rsidR="00EE4FC3">
        <w:t xml:space="preserve"> </w:t>
      </w:r>
      <w:r w:rsidR="00447F64" w:rsidRPr="00382917">
        <w:t>shameful</w:t>
      </w:r>
      <w:r w:rsidR="00EE4FC3">
        <w:t xml:space="preserve"> </w:t>
      </w:r>
      <w:r w:rsidR="00447F64" w:rsidRPr="00382917">
        <w:t>is</w:t>
      </w:r>
      <w:r w:rsidR="00EE4FC3">
        <w:t xml:space="preserve"> </w:t>
      </w:r>
      <w:r w:rsidR="00447F64" w:rsidRPr="00382917">
        <w:t>the</w:t>
      </w:r>
      <w:r w:rsidR="00EE4FC3">
        <w:t xml:space="preserve"> </w:t>
      </w:r>
      <w:r w:rsidR="00447F64" w:rsidRPr="00382917">
        <w:t>discourtesy</w:t>
      </w:r>
      <w:r w:rsidR="00EE4FC3">
        <w:t xml:space="preserve"> </w:t>
      </w:r>
      <w:r w:rsidR="00447F64" w:rsidRPr="00382917">
        <w:t>of</w:t>
      </w:r>
      <w:r w:rsidR="00EE4FC3">
        <w:t xml:space="preserve"> </w:t>
      </w:r>
      <w:r w:rsidR="00447F64" w:rsidRPr="00382917">
        <w:t>this</w:t>
      </w:r>
      <w:r w:rsidR="00EE4FC3">
        <w:t xml:space="preserve"> </w:t>
      </w:r>
      <w:r w:rsidR="00447F64" w:rsidRPr="00382917">
        <w:t>people,</w:t>
      </w:r>
      <w:r w:rsidRPr="00382917">
        <w:t>”</w:t>
      </w:r>
      <w:r w:rsidR="00EE4FC3">
        <w:t xml:space="preserve"> </w:t>
      </w:r>
      <w:r w:rsidR="00447F64" w:rsidRPr="00382917">
        <w:t>he</w:t>
      </w:r>
      <w:r w:rsidR="00EE4FC3">
        <w:t xml:space="preserve"> </w:t>
      </w:r>
      <w:r w:rsidR="00447F64" w:rsidRPr="00382917">
        <w:t>said</w:t>
      </w:r>
      <w:r w:rsidR="00A93643">
        <w:t>.</w:t>
      </w:r>
      <w:r w:rsidR="00EE4FC3">
        <w:t xml:space="preserve">  </w:t>
      </w:r>
      <w:r w:rsidRPr="00382917">
        <w:t>“</w:t>
      </w:r>
      <w:r w:rsidR="00447F64" w:rsidRPr="00382917">
        <w:t>What</w:t>
      </w:r>
      <w:r w:rsidR="00EE4FC3">
        <w:t xml:space="preserve"> </w:t>
      </w:r>
      <w:r w:rsidR="00447F64" w:rsidRPr="00382917">
        <w:t>possible</w:t>
      </w:r>
      <w:r w:rsidR="00EE4FC3">
        <w:t xml:space="preserve"> </w:t>
      </w:r>
      <w:r w:rsidR="00447F64" w:rsidRPr="00382917">
        <w:t>connection</w:t>
      </w:r>
      <w:r w:rsidR="00EE4FC3">
        <w:t xml:space="preserve"> </w:t>
      </w:r>
      <w:r w:rsidR="00447F64" w:rsidRPr="00382917">
        <w:t>could</w:t>
      </w:r>
      <w:r w:rsidR="00EE4FC3">
        <w:t xml:space="preserve"> </w:t>
      </w:r>
      <w:r w:rsidR="00447F64" w:rsidRPr="00382917">
        <w:t>there</w:t>
      </w:r>
      <w:r w:rsidR="00EE4FC3">
        <w:t xml:space="preserve"> </w:t>
      </w:r>
      <w:r w:rsidR="00447F64" w:rsidRPr="00382917">
        <w:t>be</w:t>
      </w:r>
      <w:r w:rsidR="00EE4FC3">
        <w:t xml:space="preserve"> </w:t>
      </w:r>
      <w:r w:rsidR="00447F64" w:rsidRPr="00382917">
        <w:t>between</w:t>
      </w:r>
      <w:r w:rsidR="00EE4FC3">
        <w:t xml:space="preserve"> </w:t>
      </w:r>
      <w:r w:rsidR="00447F64" w:rsidRPr="00382917">
        <w:t>such</w:t>
      </w:r>
      <w:r w:rsidR="00EE4FC3">
        <w:t xml:space="preserve"> </w:t>
      </w:r>
      <w:r w:rsidR="00447F64" w:rsidRPr="00382917">
        <w:t>idle</w:t>
      </w:r>
      <w:r w:rsidR="00EE4FC3">
        <w:t xml:space="preserve"> </w:t>
      </w:r>
      <w:r w:rsidR="00447F64" w:rsidRPr="00382917">
        <w:t>questions</w:t>
      </w:r>
      <w:r w:rsidR="00EE4FC3">
        <w:t xml:space="preserve"> </w:t>
      </w:r>
      <w:r w:rsidR="00447F64" w:rsidRPr="00382917">
        <w:t>and</w:t>
      </w:r>
    </w:p>
    <w:p w:rsidR="00447F64" w:rsidRPr="00382917" w:rsidRDefault="00447F64">
      <w:pPr>
        <w:widowControl/>
        <w:kinsoku/>
        <w:overflowPunct/>
        <w:textAlignment w:val="auto"/>
      </w:pPr>
      <w:r w:rsidRPr="00382917">
        <w:br w:type="page"/>
      </w:r>
    </w:p>
    <w:p w:rsidR="00447F64" w:rsidRPr="00382917" w:rsidRDefault="00447F64" w:rsidP="00447F64">
      <w:pPr>
        <w:pStyle w:val="Textcts"/>
      </w:pPr>
      <w:proofErr w:type="gramStart"/>
      <w:r w:rsidRPr="00382917">
        <w:t>the</w:t>
      </w:r>
      <w:proofErr w:type="gramEnd"/>
      <w:r w:rsidR="00EE4FC3">
        <w:t xml:space="preserve"> </w:t>
      </w:r>
      <w:r w:rsidRPr="00382917">
        <w:t>honest</w:t>
      </w:r>
      <w:r w:rsidR="00EE4FC3">
        <w:t xml:space="preserve"> </w:t>
      </w:r>
      <w:r w:rsidRPr="00382917">
        <w:t>consideration</w:t>
      </w:r>
      <w:r w:rsidR="00EE4FC3">
        <w:t xml:space="preserve"> </w:t>
      </w:r>
      <w:r w:rsidRPr="00382917">
        <w:t>of</w:t>
      </w:r>
      <w:r w:rsidR="00EE4FC3">
        <w:t xml:space="preserve"> </w:t>
      </w:r>
      <w:r w:rsidRPr="00382917">
        <w:t>such</w:t>
      </w:r>
      <w:r w:rsidR="00EE4FC3">
        <w:t xml:space="preserve"> </w:t>
      </w:r>
      <w:r w:rsidRPr="00382917">
        <w:t>an</w:t>
      </w:r>
      <w:r w:rsidR="00EE4FC3">
        <w:t xml:space="preserve"> </w:t>
      </w:r>
      <w:r w:rsidRPr="00382917">
        <w:t>important</w:t>
      </w:r>
      <w:r w:rsidR="00EE4FC3">
        <w:t xml:space="preserve"> </w:t>
      </w:r>
      <w:r w:rsidRPr="00382917">
        <w:t>issue</w:t>
      </w:r>
      <w:r w:rsidR="00EE4FC3">
        <w:t xml:space="preserve"> </w:t>
      </w:r>
      <w:r w:rsidRPr="00382917">
        <w:t>as</w:t>
      </w:r>
      <w:r w:rsidR="00EE4FC3">
        <w:t xml:space="preserve"> </w:t>
      </w:r>
      <w:r w:rsidRPr="00382917">
        <w:t>the</w:t>
      </w:r>
      <w:r w:rsidR="00EE4FC3">
        <w:t xml:space="preserve"> </w:t>
      </w:r>
      <w:r w:rsidRPr="00382917">
        <w:t>Báb</w:t>
      </w:r>
      <w:r w:rsidR="009C713D" w:rsidRPr="00382917">
        <w:t>’</w:t>
      </w:r>
      <w:r w:rsidRPr="00382917">
        <w:t>s</w:t>
      </w:r>
      <w:r w:rsidR="00EE4FC3">
        <w:t xml:space="preserve"> </w:t>
      </w:r>
      <w:r w:rsidRPr="00382917">
        <w:t>claim?</w:t>
      </w:r>
      <w:r w:rsidR="009C713D" w:rsidRPr="00382917">
        <w:t>”</w:t>
      </w:r>
    </w:p>
    <w:p w:rsidR="00447F64" w:rsidRPr="00382917" w:rsidRDefault="00447F64" w:rsidP="00023529">
      <w:pPr>
        <w:pStyle w:val="Text"/>
      </w:pPr>
      <w:r w:rsidRPr="00382917">
        <w:t>A.</w:t>
      </w:r>
      <w:r w:rsidR="00EE4FC3">
        <w:t xml:space="preserve"> </w:t>
      </w:r>
      <w:r w:rsidRPr="00382917">
        <w:t>L.</w:t>
      </w:r>
      <w:r w:rsidR="00EE4FC3">
        <w:t xml:space="preserve"> </w:t>
      </w:r>
      <w:r w:rsidRPr="00382917">
        <w:t>M.</w:t>
      </w:r>
      <w:r w:rsidR="00EE4FC3">
        <w:t xml:space="preserve"> </w:t>
      </w:r>
      <w:r w:rsidRPr="00382917">
        <w:t>Nicolas</w:t>
      </w:r>
      <w:r w:rsidR="00EE4FC3">
        <w:t xml:space="preserve"> </w:t>
      </w:r>
      <w:r w:rsidRPr="00382917">
        <w:t>referring</w:t>
      </w:r>
      <w:r w:rsidR="00EE4FC3">
        <w:t xml:space="preserve"> </w:t>
      </w:r>
      <w:r w:rsidRPr="00382917">
        <w:t>to</w:t>
      </w:r>
      <w:r w:rsidR="00EE4FC3">
        <w:t xml:space="preserve"> </w:t>
      </w:r>
      <w:r w:rsidRPr="00382917">
        <w:t>an</w:t>
      </w:r>
      <w:r w:rsidR="00EE4FC3">
        <w:t xml:space="preserve"> </w:t>
      </w:r>
      <w:r w:rsidRPr="00382917">
        <w:t>earlier</w:t>
      </w:r>
      <w:r w:rsidR="00EE4FC3">
        <w:t xml:space="preserve"> </w:t>
      </w:r>
      <w:r w:rsidRPr="00382917">
        <w:t>inquisition</w:t>
      </w:r>
      <w:r w:rsidR="00EE4FC3">
        <w:t xml:space="preserve"> </w:t>
      </w:r>
      <w:r w:rsidRPr="00382917">
        <w:t>of</w:t>
      </w:r>
      <w:r w:rsidR="00EE4FC3">
        <w:t xml:space="preserve"> </w:t>
      </w:r>
      <w:r w:rsidRPr="00382917">
        <w:t>the</w:t>
      </w:r>
      <w:r w:rsidR="00EE4FC3">
        <w:t xml:space="preserve"> </w:t>
      </w:r>
      <w:r w:rsidRPr="00382917">
        <w:t>Báb</w:t>
      </w:r>
      <w:r w:rsidR="00EE4FC3">
        <w:t xml:space="preserve"> </w:t>
      </w:r>
      <w:r w:rsidRPr="00382917">
        <w:t>by</w:t>
      </w:r>
      <w:r w:rsidR="00EE4FC3">
        <w:t xml:space="preserve"> </w:t>
      </w:r>
      <w:r w:rsidRPr="00382917">
        <w:t>such</w:t>
      </w:r>
      <w:r w:rsidR="00EE4FC3">
        <w:t xml:space="preserve"> </w:t>
      </w:r>
      <w:r w:rsidRPr="00382917">
        <w:t>hostile</w:t>
      </w:r>
      <w:r w:rsidR="00EE4FC3">
        <w:t xml:space="preserve"> </w:t>
      </w:r>
      <w:r w:rsidRPr="00382917">
        <w:t>religious</w:t>
      </w:r>
      <w:r w:rsidR="00EE4FC3">
        <w:t xml:space="preserve"> </w:t>
      </w:r>
      <w:r w:rsidRPr="00382917">
        <w:t>leaders,</w:t>
      </w:r>
      <w:r w:rsidR="00EE4FC3">
        <w:t xml:space="preserve"> </w:t>
      </w:r>
      <w:r w:rsidRPr="00382917">
        <w:t>says</w:t>
      </w:r>
      <w:r w:rsidR="00EE4FC3">
        <w:t xml:space="preserve"> </w:t>
      </w:r>
      <w:r w:rsidRPr="00382917">
        <w:t>they</w:t>
      </w:r>
      <w:r w:rsidR="00EE4FC3">
        <w:t xml:space="preserve"> </w:t>
      </w:r>
      <w:r w:rsidRPr="00382917">
        <w:t>conditioned</w:t>
      </w:r>
      <w:r w:rsidR="00EE4FC3">
        <w:t xml:space="preserve"> </w:t>
      </w:r>
      <w:r w:rsidRPr="00382917">
        <w:t>their</w:t>
      </w:r>
      <w:r w:rsidR="00EE4FC3">
        <w:t xml:space="preserve"> </w:t>
      </w:r>
      <w:r w:rsidRPr="00382917">
        <w:t>belief</w:t>
      </w:r>
      <w:r w:rsidR="00EE4FC3">
        <w:t xml:space="preserve"> </w:t>
      </w:r>
      <w:r w:rsidRPr="00382917">
        <w:t>in</w:t>
      </w:r>
      <w:r w:rsidR="00EE4FC3">
        <w:t xml:space="preserve"> </w:t>
      </w:r>
      <w:r w:rsidRPr="00382917">
        <w:t>His</w:t>
      </w:r>
      <w:r w:rsidR="00EE4FC3">
        <w:t xml:space="preserve"> </w:t>
      </w:r>
      <w:r w:rsidRPr="00382917">
        <w:t>Truth</w:t>
      </w:r>
      <w:r w:rsidR="00EE4FC3">
        <w:t xml:space="preserve"> </w:t>
      </w:r>
      <w:r w:rsidRPr="00382917">
        <w:t>by</w:t>
      </w:r>
      <w:r w:rsidR="00EE4FC3">
        <w:t xml:space="preserve"> </w:t>
      </w:r>
      <w:r w:rsidRPr="00382917">
        <w:t>His</w:t>
      </w:r>
      <w:r w:rsidR="00EE4FC3">
        <w:t xml:space="preserve"> </w:t>
      </w:r>
      <w:r w:rsidRPr="00382917">
        <w:t>ability</w:t>
      </w:r>
      <w:r w:rsidR="00EE4FC3">
        <w:t xml:space="preserve"> </w:t>
      </w:r>
      <w:r w:rsidRPr="00382917">
        <w:t>to</w:t>
      </w:r>
      <w:r w:rsidR="00EE4FC3">
        <w:t xml:space="preserve"> </w:t>
      </w:r>
      <w:r w:rsidRPr="00382917">
        <w:t>explain</w:t>
      </w:r>
      <w:r w:rsidR="00EE4FC3">
        <w:t xml:space="preserve"> </w:t>
      </w:r>
      <w:r w:rsidRPr="00382917">
        <w:t>three</w:t>
      </w:r>
      <w:r w:rsidR="00EE4FC3">
        <w:t xml:space="preserve"> </w:t>
      </w:r>
      <w:r w:rsidRPr="00382917">
        <w:t>miracles</w:t>
      </w:r>
      <w:r w:rsidR="00EE4FC3">
        <w:t xml:space="preserve"> </w:t>
      </w:r>
      <w:r w:rsidRPr="00382917">
        <w:t>to</w:t>
      </w:r>
      <w:r w:rsidR="00EE4FC3">
        <w:t xml:space="preserve"> </w:t>
      </w:r>
      <w:r w:rsidRPr="00382917">
        <w:t>them</w:t>
      </w:r>
      <w:r w:rsidR="00C03C91">
        <w:t>:</w:t>
      </w:r>
      <w:r w:rsidR="00EE4FC3">
        <w:t xml:space="preserve">  </w:t>
      </w:r>
      <w:r w:rsidRPr="00382917">
        <w:t>(1)</w:t>
      </w:r>
      <w:r w:rsidR="00EE4FC3">
        <w:t xml:space="preserve"> </w:t>
      </w:r>
      <w:r w:rsidRPr="00382917">
        <w:t>How</w:t>
      </w:r>
      <w:r w:rsidR="00EE4FC3">
        <w:t xml:space="preserve"> </w:t>
      </w:r>
      <w:r w:rsidRPr="00382917">
        <w:t>could</w:t>
      </w:r>
      <w:r w:rsidR="00EE4FC3">
        <w:t xml:space="preserve"> </w:t>
      </w:r>
      <w:r w:rsidRPr="00382917">
        <w:t>the</w:t>
      </w:r>
      <w:r w:rsidR="00EE4FC3">
        <w:t xml:space="preserve"> </w:t>
      </w:r>
      <w:r w:rsidRPr="00382917">
        <w:t>Imám</w:t>
      </w:r>
      <w:r w:rsidR="00EE4FC3">
        <w:t xml:space="preserve"> </w:t>
      </w:r>
      <w:r w:rsidRPr="00382917">
        <w:t>Javád</w:t>
      </w:r>
      <w:r w:rsidR="00EE4FC3">
        <w:t xml:space="preserve"> </w:t>
      </w:r>
      <w:r w:rsidRPr="00382917">
        <w:t>travel</w:t>
      </w:r>
      <w:r w:rsidR="00EE4FC3">
        <w:t xml:space="preserve"> </w:t>
      </w:r>
      <w:r w:rsidRPr="00382917">
        <w:t>in</w:t>
      </w:r>
      <w:r w:rsidR="00EE4FC3">
        <w:t xml:space="preserve"> </w:t>
      </w:r>
      <w:r w:rsidRPr="00382917">
        <w:t>the</w:t>
      </w:r>
      <w:r w:rsidR="00EE4FC3">
        <w:t xml:space="preserve"> </w:t>
      </w:r>
      <w:r w:rsidRPr="00382917">
        <w:t>twinkling</w:t>
      </w:r>
      <w:r w:rsidR="00EE4FC3">
        <w:t xml:space="preserve"> </w:t>
      </w:r>
      <w:r w:rsidRPr="00382917">
        <w:t>of</w:t>
      </w:r>
      <w:r w:rsidR="00EE4FC3">
        <w:t xml:space="preserve"> </w:t>
      </w:r>
      <w:r w:rsidRPr="00382917">
        <w:t>an</w:t>
      </w:r>
      <w:r w:rsidR="00EE4FC3">
        <w:t xml:space="preserve"> </w:t>
      </w:r>
      <w:r w:rsidRPr="00382917">
        <w:t>eye</w:t>
      </w:r>
      <w:r w:rsidR="00EE4FC3">
        <w:t xml:space="preserve"> </w:t>
      </w:r>
      <w:r w:rsidRPr="00382917">
        <w:t>from</w:t>
      </w:r>
      <w:r w:rsidR="00EE4FC3">
        <w:t xml:space="preserve"> </w:t>
      </w:r>
      <w:r w:rsidRPr="00382917">
        <w:t>Arabia</w:t>
      </w:r>
      <w:r w:rsidR="00EE4FC3">
        <w:t xml:space="preserve"> </w:t>
      </w:r>
      <w:r w:rsidRPr="00382917">
        <w:t>to</w:t>
      </w:r>
      <w:r w:rsidR="00EE4FC3">
        <w:t xml:space="preserve"> </w:t>
      </w:r>
      <w:r w:rsidRPr="00382917">
        <w:t>Persia</w:t>
      </w:r>
      <w:r w:rsidR="00EE4FC3">
        <w:t xml:space="preserve"> </w:t>
      </w:r>
      <w:r w:rsidRPr="00382917">
        <w:t>in</w:t>
      </w:r>
      <w:r w:rsidR="00EE4FC3">
        <w:t xml:space="preserve"> </w:t>
      </w:r>
      <w:r w:rsidRPr="00382917">
        <w:t>the</w:t>
      </w:r>
      <w:r w:rsidR="00EE4FC3">
        <w:t xml:space="preserve"> </w:t>
      </w:r>
      <w:r w:rsidRPr="00382917">
        <w:t>body;</w:t>
      </w:r>
      <w:r w:rsidR="00EE4FC3">
        <w:t xml:space="preserve"> </w:t>
      </w:r>
      <w:r w:rsidRPr="00382917">
        <w:t>(2)</w:t>
      </w:r>
      <w:r w:rsidR="00EE4FC3">
        <w:t xml:space="preserve"> </w:t>
      </w:r>
      <w:r w:rsidRPr="00382917">
        <w:t>How</w:t>
      </w:r>
      <w:r w:rsidR="00EE4FC3">
        <w:t xml:space="preserve"> </w:t>
      </w:r>
      <w:r w:rsidRPr="00382917">
        <w:t>could</w:t>
      </w:r>
      <w:r w:rsidR="00EE4FC3">
        <w:t xml:space="preserve"> </w:t>
      </w:r>
      <w:r w:rsidRPr="00382917">
        <w:t>the</w:t>
      </w:r>
      <w:r w:rsidR="00EE4FC3">
        <w:t xml:space="preserve"> </w:t>
      </w:r>
      <w:r w:rsidRPr="00382917">
        <w:t>Imám</w:t>
      </w:r>
      <w:r w:rsidR="00EE4FC3">
        <w:t xml:space="preserve"> </w:t>
      </w:r>
      <w:r w:rsidR="0040329F" w:rsidRPr="00382917">
        <w:t>‘Al</w:t>
      </w:r>
      <w:r w:rsidR="0040329F" w:rsidRPr="0040329F">
        <w:t>í</w:t>
      </w:r>
      <w:r w:rsidR="00EE4FC3">
        <w:t xml:space="preserve"> </w:t>
      </w:r>
      <w:r w:rsidRPr="00382917">
        <w:t>be</w:t>
      </w:r>
      <w:r w:rsidR="00EE4FC3">
        <w:t xml:space="preserve"> </w:t>
      </w:r>
      <w:r w:rsidRPr="00382917">
        <w:t>in</w:t>
      </w:r>
      <w:r w:rsidR="00EE4FC3">
        <w:t xml:space="preserve"> </w:t>
      </w:r>
      <w:r w:rsidRPr="00382917">
        <w:t>sixty</w:t>
      </w:r>
      <w:r w:rsidR="00EE4FC3">
        <w:t xml:space="preserve"> </w:t>
      </w:r>
      <w:r w:rsidRPr="00382917">
        <w:t>different</w:t>
      </w:r>
      <w:r w:rsidR="00EE4FC3">
        <w:t xml:space="preserve"> </w:t>
      </w:r>
      <w:r w:rsidRPr="00382917">
        <w:t>places</w:t>
      </w:r>
      <w:r w:rsidR="00EE4FC3">
        <w:t xml:space="preserve"> </w:t>
      </w:r>
      <w:r w:rsidRPr="00382917">
        <w:t>at</w:t>
      </w:r>
      <w:r w:rsidR="00EE4FC3">
        <w:t xml:space="preserve"> </w:t>
      </w:r>
      <w:r w:rsidRPr="00382917">
        <w:t>one</w:t>
      </w:r>
      <w:r w:rsidR="00EE4FC3">
        <w:t xml:space="preserve"> </w:t>
      </w:r>
      <w:r w:rsidRPr="00382917">
        <w:t>instant;</w:t>
      </w:r>
      <w:r w:rsidR="00EE4FC3">
        <w:t xml:space="preserve"> </w:t>
      </w:r>
      <w:r w:rsidRPr="00382917">
        <w:t>(3)</w:t>
      </w:r>
      <w:r w:rsidR="00EE4FC3">
        <w:t xml:space="preserve"> </w:t>
      </w:r>
      <w:r w:rsidRPr="00382917">
        <w:t>How</w:t>
      </w:r>
      <w:r w:rsidR="00EE4FC3">
        <w:t xml:space="preserve"> </w:t>
      </w:r>
      <w:r w:rsidRPr="00382917">
        <w:t>did</w:t>
      </w:r>
      <w:r w:rsidR="00EE4FC3">
        <w:t xml:space="preserve"> </w:t>
      </w:r>
      <w:r w:rsidRPr="00382917">
        <w:t>the</w:t>
      </w:r>
      <w:r w:rsidR="00EE4FC3">
        <w:t xml:space="preserve"> </w:t>
      </w:r>
      <w:r w:rsidRPr="00382917">
        <w:t>heavens</w:t>
      </w:r>
      <w:r w:rsidR="00EE4FC3">
        <w:t xml:space="preserve"> </w:t>
      </w:r>
      <w:r w:rsidRPr="00382917">
        <w:t>revolve</w:t>
      </w:r>
      <w:r w:rsidR="00EE4FC3">
        <w:t xml:space="preserve"> </w:t>
      </w:r>
      <w:r w:rsidRPr="00382917">
        <w:t>rapidly</w:t>
      </w:r>
      <w:r w:rsidR="00EE4FC3">
        <w:t xml:space="preserve"> </w:t>
      </w:r>
      <w:r w:rsidRPr="00382917">
        <w:t>during</w:t>
      </w:r>
      <w:r w:rsidR="00EE4FC3">
        <w:t xml:space="preserve"> </w:t>
      </w:r>
      <w:r w:rsidRPr="00382917">
        <w:t>the</w:t>
      </w:r>
      <w:r w:rsidR="00EE4FC3">
        <w:t xml:space="preserve"> </w:t>
      </w:r>
      <w:r w:rsidRPr="00382917">
        <w:t>reign</w:t>
      </w:r>
      <w:r w:rsidR="00EE4FC3">
        <w:t xml:space="preserve"> </w:t>
      </w:r>
      <w:r w:rsidRPr="00382917">
        <w:t>of</w:t>
      </w:r>
      <w:r w:rsidR="00EE4FC3">
        <w:t xml:space="preserve"> </w:t>
      </w:r>
      <w:r w:rsidRPr="00382917">
        <w:t>a</w:t>
      </w:r>
      <w:r w:rsidR="00EE4FC3">
        <w:t xml:space="preserve"> </w:t>
      </w:r>
      <w:r w:rsidRPr="00382917">
        <w:t>tyrant</w:t>
      </w:r>
      <w:r w:rsidR="00EE4FC3">
        <w:t xml:space="preserve"> </w:t>
      </w:r>
      <w:r w:rsidRPr="00382917">
        <w:t>and</w:t>
      </w:r>
      <w:r w:rsidR="00EE4FC3">
        <w:t xml:space="preserve"> </w:t>
      </w:r>
      <w:r w:rsidRPr="00382917">
        <w:t>slowly</w:t>
      </w:r>
      <w:r w:rsidR="00EE4FC3">
        <w:t xml:space="preserve"> </w:t>
      </w:r>
      <w:r w:rsidRPr="00382917">
        <w:t>during</w:t>
      </w:r>
      <w:r w:rsidR="00EE4FC3">
        <w:t xml:space="preserve"> </w:t>
      </w:r>
      <w:r w:rsidRPr="00382917">
        <w:t>that</w:t>
      </w:r>
      <w:r w:rsidR="00EE4FC3">
        <w:t xml:space="preserve"> </w:t>
      </w:r>
      <w:r w:rsidRPr="00382917">
        <w:t>of</w:t>
      </w:r>
      <w:r w:rsidR="00EE4FC3">
        <w:t xml:space="preserve"> </w:t>
      </w:r>
      <w:r w:rsidRPr="00382917">
        <w:t>an</w:t>
      </w:r>
      <w:r w:rsidR="00EE4FC3">
        <w:t xml:space="preserve"> </w:t>
      </w:r>
      <w:r w:rsidRPr="00382917">
        <w:t>Imám</w:t>
      </w:r>
      <w:r w:rsidR="003C712C">
        <w:t xml:space="preserve">?  </w:t>
      </w:r>
      <w:r w:rsidR="009C713D" w:rsidRPr="00382917">
        <w:t>“</w:t>
      </w:r>
      <w:r w:rsidRPr="00382917">
        <w:t>It</w:t>
      </w:r>
      <w:r w:rsidR="00EE4FC3">
        <w:t xml:space="preserve"> </w:t>
      </w:r>
      <w:r w:rsidRPr="00382917">
        <w:t>was</w:t>
      </w:r>
      <w:r w:rsidR="00EE4FC3">
        <w:t xml:space="preserve"> </w:t>
      </w:r>
      <w:r w:rsidRPr="00382917">
        <w:t>the</w:t>
      </w:r>
      <w:r w:rsidR="00EE4FC3">
        <w:t xml:space="preserve"> </w:t>
      </w:r>
      <w:r w:rsidRPr="00382917">
        <w:t>solution</w:t>
      </w:r>
      <w:r w:rsidR="00EE4FC3">
        <w:t xml:space="preserve"> </w:t>
      </w:r>
      <w:r w:rsidRPr="00382917">
        <w:t>of</w:t>
      </w:r>
      <w:r w:rsidR="00EE4FC3">
        <w:t xml:space="preserve"> </w:t>
      </w:r>
      <w:r w:rsidRPr="00382917">
        <w:t>these</w:t>
      </w:r>
      <w:r w:rsidR="00EE4FC3">
        <w:t xml:space="preserve"> </w:t>
      </w:r>
      <w:r w:rsidRPr="00382917">
        <w:t>insanities,</w:t>
      </w:r>
      <w:r w:rsidR="009C713D" w:rsidRPr="00382917">
        <w:t>”</w:t>
      </w:r>
      <w:r w:rsidR="00EE4FC3">
        <w:t xml:space="preserve"> </w:t>
      </w:r>
      <w:r w:rsidRPr="00382917">
        <w:t>says</w:t>
      </w:r>
      <w:r w:rsidR="00EE4FC3">
        <w:t xml:space="preserve"> </w:t>
      </w:r>
      <w:r w:rsidRPr="00382917">
        <w:t>Nicolas,</w:t>
      </w:r>
      <w:r w:rsidR="00EE4FC3">
        <w:t xml:space="preserve"> </w:t>
      </w:r>
      <w:r w:rsidR="009C713D" w:rsidRPr="00382917">
        <w:t>“</w:t>
      </w:r>
      <w:r w:rsidRPr="00382917">
        <w:t>that</w:t>
      </w:r>
      <w:r w:rsidR="00EE4FC3">
        <w:t xml:space="preserve"> </w:t>
      </w:r>
      <w:r w:rsidRPr="00382917">
        <w:t>they</w:t>
      </w:r>
      <w:r w:rsidR="00EE4FC3">
        <w:t xml:space="preserve"> </w:t>
      </w:r>
      <w:r w:rsidRPr="00382917">
        <w:t>proposed</w:t>
      </w:r>
      <w:r w:rsidR="00EE4FC3">
        <w:t xml:space="preserve"> </w:t>
      </w:r>
      <w:r w:rsidRPr="00382917">
        <w:t>to</w:t>
      </w:r>
      <w:r w:rsidR="00EE4FC3">
        <w:t xml:space="preserve"> </w:t>
      </w:r>
      <w:r w:rsidRPr="00382917">
        <w:t>the</w:t>
      </w:r>
      <w:r w:rsidR="00EE4FC3">
        <w:t xml:space="preserve"> </w:t>
      </w:r>
      <w:r w:rsidRPr="00382917">
        <w:t>Báb</w:t>
      </w:r>
      <w:r w:rsidR="00A93643">
        <w:t>.</w:t>
      </w:r>
      <w:r w:rsidR="00EE4FC3">
        <w:t xml:space="preserve">  </w:t>
      </w:r>
      <w:r w:rsidRPr="00382917">
        <w:t>I</w:t>
      </w:r>
      <w:r w:rsidR="00EE4FC3">
        <w:t xml:space="preserve"> </w:t>
      </w:r>
      <w:r w:rsidRPr="00382917">
        <w:t>shall</w:t>
      </w:r>
      <w:r w:rsidR="00EE4FC3">
        <w:t xml:space="preserve"> </w:t>
      </w:r>
      <w:r w:rsidRPr="00382917">
        <w:t>not</w:t>
      </w:r>
      <w:r w:rsidR="00EE4FC3">
        <w:t xml:space="preserve"> </w:t>
      </w:r>
      <w:r w:rsidRPr="00382917">
        <w:t>dwell</w:t>
      </w:r>
      <w:r w:rsidR="00EE4FC3">
        <w:t xml:space="preserve"> </w:t>
      </w:r>
      <w:r w:rsidRPr="00382917">
        <w:t>on</w:t>
      </w:r>
      <w:r w:rsidR="00EE4FC3">
        <w:t xml:space="preserve"> </w:t>
      </w:r>
      <w:r w:rsidRPr="00382917">
        <w:t>them</w:t>
      </w:r>
      <w:r w:rsidR="00EE4FC3">
        <w:t xml:space="preserve"> </w:t>
      </w:r>
      <w:r w:rsidRPr="00382917">
        <w:t>any</w:t>
      </w:r>
      <w:r w:rsidR="00EE4FC3">
        <w:t xml:space="preserve"> </w:t>
      </w:r>
      <w:r w:rsidRPr="00382917">
        <w:t>longer</w:t>
      </w:r>
      <w:r w:rsidR="00EE4FC3">
        <w:t xml:space="preserve"> </w:t>
      </w:r>
      <w:r w:rsidR="00F04416" w:rsidRPr="00382917">
        <w:t>…</w:t>
      </w:r>
      <w:r w:rsidR="00EE4FC3">
        <w:t xml:space="preserve"> </w:t>
      </w:r>
      <w:r w:rsidRPr="00382917">
        <w:t>one</w:t>
      </w:r>
      <w:r w:rsidR="00EE4FC3">
        <w:t xml:space="preserve"> </w:t>
      </w:r>
      <w:r w:rsidRPr="00382917">
        <w:t>will</w:t>
      </w:r>
      <w:r w:rsidR="00EE4FC3">
        <w:t xml:space="preserve"> </w:t>
      </w:r>
      <w:r w:rsidRPr="00382917">
        <w:t>easily</w:t>
      </w:r>
      <w:r w:rsidR="00EE4FC3">
        <w:t xml:space="preserve"> </w:t>
      </w:r>
      <w:r w:rsidRPr="00382917">
        <w:t>understand</w:t>
      </w:r>
      <w:r w:rsidR="00EE4FC3">
        <w:t xml:space="preserve"> </w:t>
      </w:r>
      <w:r w:rsidRPr="00382917">
        <w:t>the</w:t>
      </w:r>
      <w:r w:rsidR="00EE4FC3">
        <w:t xml:space="preserve"> </w:t>
      </w:r>
      <w:r w:rsidRPr="00382917">
        <w:t>emptiness</w:t>
      </w:r>
      <w:r w:rsidR="00EE4FC3">
        <w:t xml:space="preserve"> </w:t>
      </w:r>
      <w:r w:rsidRPr="00382917">
        <w:t>and</w:t>
      </w:r>
      <w:r w:rsidR="00EE4FC3">
        <w:t xml:space="preserve"> </w:t>
      </w:r>
      <w:r w:rsidRPr="00382917">
        <w:t>arrogance</w:t>
      </w:r>
      <w:r w:rsidR="00EE4FC3">
        <w:t xml:space="preserve"> </w:t>
      </w:r>
      <w:r w:rsidRPr="00382917">
        <w:t>of</w:t>
      </w:r>
      <w:r w:rsidR="00EE4FC3">
        <w:t xml:space="preserve"> </w:t>
      </w:r>
      <w:r w:rsidRPr="00382917">
        <w:t>all</w:t>
      </w:r>
      <w:r w:rsidR="00EE4FC3">
        <w:t xml:space="preserve"> </w:t>
      </w:r>
      <w:r w:rsidRPr="00382917">
        <w:t>those</w:t>
      </w:r>
      <w:r w:rsidR="00EE4FC3">
        <w:t xml:space="preserve"> </w:t>
      </w:r>
      <w:r w:rsidRPr="00382917">
        <w:t>minds.</w:t>
      </w:r>
      <w:r w:rsidR="009C713D" w:rsidRPr="00382917">
        <w:t>”</w:t>
      </w:r>
      <w:r w:rsidR="00023529">
        <w:rPr>
          <w:rStyle w:val="FootnoteReference"/>
        </w:rPr>
        <w:footnoteReference w:id="96"/>
      </w:r>
    </w:p>
    <w:p w:rsidR="00447F64" w:rsidRPr="00382917" w:rsidRDefault="00447F64" w:rsidP="00447F64">
      <w:pPr>
        <w:pStyle w:val="Text"/>
      </w:pPr>
      <w:r w:rsidRPr="00382917">
        <w:t>The</w:t>
      </w:r>
      <w:r w:rsidR="00EE4FC3">
        <w:t xml:space="preserve"> </w:t>
      </w:r>
      <w:r w:rsidRPr="00382917">
        <w:t>Báb</w:t>
      </w:r>
      <w:r w:rsidR="00EE4FC3">
        <w:t xml:space="preserve"> </w:t>
      </w:r>
      <w:r w:rsidRPr="00382917">
        <w:t>was</w:t>
      </w:r>
      <w:r w:rsidR="00EE4FC3">
        <w:t xml:space="preserve"> </w:t>
      </w:r>
      <w:r w:rsidRPr="00382917">
        <w:t>brought</w:t>
      </w:r>
      <w:r w:rsidR="00EE4FC3">
        <w:t xml:space="preserve"> </w:t>
      </w:r>
      <w:r w:rsidRPr="00382917">
        <w:t>to</w:t>
      </w:r>
      <w:r w:rsidR="00EE4FC3">
        <w:t xml:space="preserve"> </w:t>
      </w:r>
      <w:r w:rsidRPr="00382917">
        <w:t>the</w:t>
      </w:r>
      <w:r w:rsidR="00EE4FC3">
        <w:t xml:space="preserve"> </w:t>
      </w:r>
      <w:r w:rsidRPr="00382917">
        <w:t>home</w:t>
      </w:r>
      <w:r w:rsidR="00EE4FC3">
        <w:t xml:space="preserve"> </w:t>
      </w:r>
      <w:r w:rsidRPr="00382917">
        <w:t>of</w:t>
      </w:r>
      <w:r w:rsidR="00EE4FC3">
        <w:t xml:space="preserve"> </w:t>
      </w:r>
      <w:r w:rsidRPr="00382917">
        <w:t>Mírzá</w:t>
      </w:r>
      <w:r w:rsidR="00EE4FC3">
        <w:t xml:space="preserve"> </w:t>
      </w:r>
      <w:r w:rsidR="009C713D" w:rsidRPr="00382917">
        <w:t>‘</w:t>
      </w:r>
      <w:r w:rsidRPr="00382917">
        <w:t>Alí-Aṣghar,</w:t>
      </w:r>
      <w:r w:rsidR="00EE4FC3">
        <w:t xml:space="preserve"> </w:t>
      </w:r>
      <w:r w:rsidRPr="00382917">
        <w:t>the</w:t>
      </w:r>
      <w:r w:rsidR="00EE4FC3">
        <w:t xml:space="preserve"> </w:t>
      </w:r>
      <w:r w:rsidRPr="00382917">
        <w:t>head</w:t>
      </w:r>
      <w:r w:rsidR="00EE4FC3">
        <w:t xml:space="preserve"> </w:t>
      </w:r>
      <w:r w:rsidRPr="00382917">
        <w:t>of</w:t>
      </w:r>
      <w:r w:rsidR="00EE4FC3">
        <w:t xml:space="preserve"> </w:t>
      </w:r>
      <w:r w:rsidRPr="00382917">
        <w:t>the</w:t>
      </w:r>
      <w:r w:rsidR="00EE4FC3">
        <w:t xml:space="preserve"> </w:t>
      </w:r>
      <w:r w:rsidRPr="00382917">
        <w:t>religious</w:t>
      </w:r>
      <w:r w:rsidR="00EE4FC3">
        <w:t xml:space="preserve"> </w:t>
      </w:r>
      <w:r w:rsidRPr="00382917">
        <w:t>court</w:t>
      </w:r>
      <w:r w:rsidR="00A93643">
        <w:t>.</w:t>
      </w:r>
      <w:r w:rsidR="00EE4FC3">
        <w:t xml:space="preserve">  </w:t>
      </w:r>
      <w:r w:rsidRPr="00382917">
        <w:t>He</w:t>
      </w:r>
      <w:r w:rsidR="00EE4FC3">
        <w:t xml:space="preserve"> </w:t>
      </w:r>
      <w:r w:rsidRPr="00382917">
        <w:t>was</w:t>
      </w:r>
      <w:r w:rsidR="00EE4FC3">
        <w:t xml:space="preserve"> </w:t>
      </w:r>
      <w:r w:rsidRPr="00382917">
        <w:t>given</w:t>
      </w:r>
      <w:r w:rsidR="00EE4FC3">
        <w:t xml:space="preserve"> </w:t>
      </w:r>
      <w:r w:rsidRPr="00382917">
        <w:t>over</w:t>
      </w:r>
      <w:r w:rsidR="00EE4FC3">
        <w:t xml:space="preserve"> </w:t>
      </w:r>
      <w:r w:rsidRPr="00382917">
        <w:t>to</w:t>
      </w:r>
      <w:r w:rsidR="00EE4FC3">
        <w:t xml:space="preserve"> </w:t>
      </w:r>
      <w:r w:rsidRPr="00382917">
        <w:t>the</w:t>
      </w:r>
      <w:r w:rsidR="00EE4FC3">
        <w:t xml:space="preserve"> </w:t>
      </w:r>
      <w:r w:rsidRPr="00382917">
        <w:t>governor</w:t>
      </w:r>
      <w:r w:rsidR="009C713D" w:rsidRPr="00382917">
        <w:t>’</w:t>
      </w:r>
      <w:r w:rsidRPr="00382917">
        <w:t>s</w:t>
      </w:r>
      <w:r w:rsidR="00EE4FC3">
        <w:t xml:space="preserve"> </w:t>
      </w:r>
      <w:r w:rsidRPr="00382917">
        <w:t>bodyguard</w:t>
      </w:r>
      <w:r w:rsidR="00EE4FC3">
        <w:t xml:space="preserve"> </w:t>
      </w:r>
      <w:r w:rsidRPr="00382917">
        <w:t>for</w:t>
      </w:r>
      <w:r w:rsidR="00EE4FC3">
        <w:t xml:space="preserve"> </w:t>
      </w:r>
      <w:r w:rsidRPr="00382917">
        <w:t>humiliating</w:t>
      </w:r>
      <w:r w:rsidR="00EE4FC3">
        <w:t xml:space="preserve"> </w:t>
      </w:r>
      <w:r w:rsidRPr="00382917">
        <w:t>punishment</w:t>
      </w:r>
      <w:r w:rsidR="00A93643">
        <w:t>.</w:t>
      </w:r>
      <w:r w:rsidR="00EE4FC3">
        <w:t xml:space="preserve">  </w:t>
      </w:r>
      <w:r w:rsidRPr="00382917">
        <w:t>The</w:t>
      </w:r>
      <w:r w:rsidR="00EE4FC3">
        <w:t xml:space="preserve"> </w:t>
      </w:r>
      <w:r w:rsidRPr="00382917">
        <w:t>guard</w:t>
      </w:r>
      <w:r w:rsidR="00EE4FC3">
        <w:t xml:space="preserve"> </w:t>
      </w:r>
      <w:r w:rsidRPr="00382917">
        <w:t>refused.</w:t>
      </w:r>
    </w:p>
    <w:p w:rsidR="00447F64" w:rsidRPr="00382917" w:rsidRDefault="009C713D" w:rsidP="00447F64">
      <w:pPr>
        <w:pStyle w:val="Text"/>
      </w:pPr>
      <w:r w:rsidRPr="00382917">
        <w:t>“</w:t>
      </w:r>
      <w:r w:rsidR="00447F64" w:rsidRPr="00382917">
        <w:t>This</w:t>
      </w:r>
      <w:r w:rsidR="00EE4FC3">
        <w:t xml:space="preserve"> </w:t>
      </w:r>
      <w:r w:rsidR="00447F64" w:rsidRPr="00382917">
        <w:t>is</w:t>
      </w:r>
      <w:r w:rsidR="00EE4FC3">
        <w:t xml:space="preserve"> </w:t>
      </w:r>
      <w:r w:rsidR="00447F64" w:rsidRPr="00382917">
        <w:t>not</w:t>
      </w:r>
      <w:r w:rsidR="00EE4FC3">
        <w:t xml:space="preserve"> </w:t>
      </w:r>
      <w:r w:rsidR="00447F64" w:rsidRPr="00382917">
        <w:t>a</w:t>
      </w:r>
      <w:r w:rsidR="00EE4FC3">
        <w:t xml:space="preserve"> </w:t>
      </w:r>
      <w:r w:rsidR="00447F64" w:rsidRPr="00382917">
        <w:t>government</w:t>
      </w:r>
      <w:r w:rsidR="00EE4FC3">
        <w:t xml:space="preserve"> </w:t>
      </w:r>
      <w:r w:rsidR="00447F64" w:rsidRPr="00382917">
        <w:t>affair,</w:t>
      </w:r>
      <w:r w:rsidRPr="00382917">
        <w:t>”</w:t>
      </w:r>
      <w:r w:rsidR="00EE4FC3">
        <w:t xml:space="preserve"> </w:t>
      </w:r>
      <w:r w:rsidR="00447F64" w:rsidRPr="00382917">
        <w:t>he</w:t>
      </w:r>
      <w:r w:rsidR="00EE4FC3">
        <w:t xml:space="preserve"> </w:t>
      </w:r>
      <w:r w:rsidR="00447F64" w:rsidRPr="00382917">
        <w:t>insisted</w:t>
      </w:r>
      <w:r w:rsidR="00A93643">
        <w:t>.</w:t>
      </w:r>
      <w:r w:rsidR="00EE4FC3">
        <w:t xml:space="preserve">  </w:t>
      </w:r>
      <w:r w:rsidRPr="00382917">
        <w:t>“</w:t>
      </w:r>
      <w:r w:rsidR="00447F64" w:rsidRPr="00382917">
        <w:t>It</w:t>
      </w:r>
      <w:r w:rsidR="00EE4FC3">
        <w:t xml:space="preserve"> </w:t>
      </w:r>
      <w:r w:rsidR="00447F64" w:rsidRPr="00382917">
        <w:t>is</w:t>
      </w:r>
      <w:r w:rsidR="00EE4FC3">
        <w:t xml:space="preserve"> </w:t>
      </w:r>
      <w:r w:rsidR="00447F64" w:rsidRPr="00382917">
        <w:t>the</w:t>
      </w:r>
      <w:r w:rsidR="00EE4FC3">
        <w:t xml:space="preserve"> </w:t>
      </w:r>
      <w:r w:rsidR="00447F64" w:rsidRPr="00382917">
        <w:t>concern</w:t>
      </w:r>
      <w:r w:rsidR="00EE4FC3">
        <w:t xml:space="preserve"> </w:t>
      </w:r>
      <w:r w:rsidR="00447F64" w:rsidRPr="00382917">
        <w:t>of</w:t>
      </w:r>
      <w:r w:rsidR="00EE4FC3">
        <w:t xml:space="preserve"> </w:t>
      </w:r>
      <w:r w:rsidR="00447F64" w:rsidRPr="00382917">
        <w:t>the</w:t>
      </w:r>
      <w:r w:rsidR="00EE4FC3">
        <w:t xml:space="preserve"> </w:t>
      </w:r>
      <w:r w:rsidR="00447F64" w:rsidRPr="00382917">
        <w:t>clergy.</w:t>
      </w:r>
      <w:r w:rsidRPr="00382917">
        <w:t>”</w:t>
      </w:r>
    </w:p>
    <w:p w:rsidR="00447F64" w:rsidRPr="00382917" w:rsidRDefault="00447F64" w:rsidP="00447F64">
      <w:pPr>
        <w:pStyle w:val="Text"/>
      </w:pPr>
      <w:r w:rsidRPr="00382917">
        <w:t>Impatient</w:t>
      </w:r>
      <w:r w:rsidR="00EE4FC3">
        <w:t xml:space="preserve"> </w:t>
      </w:r>
      <w:r w:rsidRPr="00382917">
        <w:t>at</w:t>
      </w:r>
      <w:r w:rsidR="00EE4FC3">
        <w:t xml:space="preserve"> </w:t>
      </w:r>
      <w:r w:rsidRPr="00382917">
        <w:t>the</w:t>
      </w:r>
      <w:r w:rsidR="00EE4FC3">
        <w:t xml:space="preserve"> </w:t>
      </w:r>
      <w:r w:rsidRPr="00382917">
        <w:t>delay,</w:t>
      </w:r>
      <w:r w:rsidR="00EE4FC3">
        <w:t xml:space="preserve"> </w:t>
      </w:r>
      <w:r w:rsidRPr="00382917">
        <w:t>Mírzá</w:t>
      </w:r>
      <w:r w:rsidR="00EE4FC3">
        <w:t xml:space="preserve"> </w:t>
      </w:r>
      <w:r w:rsidR="009C713D" w:rsidRPr="00382917">
        <w:t>‘</w:t>
      </w:r>
      <w:r w:rsidRPr="00382917">
        <w:t>Alí-Aṣghar</w:t>
      </w:r>
      <w:r w:rsidR="00EE4FC3">
        <w:t xml:space="preserve"> </w:t>
      </w:r>
      <w:r w:rsidRPr="00382917">
        <w:t>himself</w:t>
      </w:r>
      <w:r w:rsidR="00EE4FC3">
        <w:t xml:space="preserve"> </w:t>
      </w:r>
      <w:r w:rsidRPr="00382917">
        <w:t>decided</w:t>
      </w:r>
      <w:r w:rsidR="00EE4FC3">
        <w:t xml:space="preserve"> </w:t>
      </w:r>
      <w:r w:rsidRPr="00382917">
        <w:t>to</w:t>
      </w:r>
      <w:r w:rsidR="00EE4FC3">
        <w:t xml:space="preserve"> </w:t>
      </w:r>
      <w:r w:rsidRPr="00382917">
        <w:t>inflict</w:t>
      </w:r>
      <w:r w:rsidR="00EE4FC3">
        <w:t xml:space="preserve"> </w:t>
      </w:r>
      <w:r w:rsidRPr="00382917">
        <w:t>the</w:t>
      </w:r>
      <w:r w:rsidR="00EE4FC3">
        <w:t xml:space="preserve"> </w:t>
      </w:r>
      <w:r w:rsidRPr="00382917">
        <w:t>punishment</w:t>
      </w:r>
      <w:r w:rsidR="00EE4FC3">
        <w:t xml:space="preserve"> </w:t>
      </w:r>
      <w:r w:rsidRPr="00382917">
        <w:t>upon</w:t>
      </w:r>
      <w:r w:rsidR="00EE4FC3">
        <w:t xml:space="preserve"> </w:t>
      </w:r>
      <w:r w:rsidRPr="00382917">
        <w:t>the</w:t>
      </w:r>
      <w:r w:rsidR="00EE4FC3">
        <w:t xml:space="preserve"> </w:t>
      </w:r>
      <w:r w:rsidRPr="00382917">
        <w:t>Báb</w:t>
      </w:r>
      <w:r w:rsidR="00EE4FC3">
        <w:t xml:space="preserve"> </w:t>
      </w:r>
      <w:r w:rsidRPr="00382917">
        <w:t>with</w:t>
      </w:r>
      <w:r w:rsidR="00EE4FC3">
        <w:t xml:space="preserve"> </w:t>
      </w:r>
      <w:r w:rsidRPr="00382917">
        <w:t>his</w:t>
      </w:r>
      <w:r w:rsidR="00EE4FC3">
        <w:t xml:space="preserve"> </w:t>
      </w:r>
      <w:r w:rsidRPr="00382917">
        <w:t>own</w:t>
      </w:r>
      <w:r w:rsidR="00EE4FC3">
        <w:t xml:space="preserve"> </w:t>
      </w:r>
      <w:r w:rsidRPr="00382917">
        <w:t>hands</w:t>
      </w:r>
      <w:r w:rsidR="00A93643">
        <w:t>.</w:t>
      </w:r>
      <w:r w:rsidR="00EE4FC3">
        <w:t xml:space="preserve">  </w:t>
      </w:r>
      <w:r w:rsidRPr="00382917">
        <w:t>It</w:t>
      </w:r>
      <w:r w:rsidR="00EE4FC3">
        <w:t xml:space="preserve"> </w:t>
      </w:r>
      <w:r w:rsidRPr="00382917">
        <w:t>would</w:t>
      </w:r>
      <w:r w:rsidR="00EE4FC3">
        <w:t xml:space="preserve"> </w:t>
      </w:r>
      <w:r w:rsidRPr="00382917">
        <w:t>then</w:t>
      </w:r>
      <w:r w:rsidR="00EE4FC3">
        <w:t xml:space="preserve"> </w:t>
      </w:r>
      <w:r w:rsidRPr="00382917">
        <w:t>be</w:t>
      </w:r>
      <w:r w:rsidR="00EE4FC3">
        <w:t xml:space="preserve"> </w:t>
      </w:r>
      <w:r w:rsidRPr="00382917">
        <w:t>done,</w:t>
      </w:r>
      <w:r w:rsidR="00EE4FC3">
        <w:t xml:space="preserve"> </w:t>
      </w:r>
      <w:r w:rsidRPr="00382917">
        <w:t>and</w:t>
      </w:r>
      <w:r w:rsidR="00EE4FC3">
        <w:t xml:space="preserve"> </w:t>
      </w:r>
      <w:r w:rsidRPr="00382917">
        <w:t>at</w:t>
      </w:r>
      <w:r w:rsidR="00EE4FC3">
        <w:t xml:space="preserve"> </w:t>
      </w:r>
      <w:r w:rsidRPr="00382917">
        <w:t>least</w:t>
      </w:r>
      <w:r w:rsidR="00EE4FC3">
        <w:t xml:space="preserve"> </w:t>
      </w:r>
      <w:r w:rsidRPr="00382917">
        <w:t>the</w:t>
      </w:r>
      <w:r w:rsidR="00EE4FC3">
        <w:t xml:space="preserve"> </w:t>
      </w:r>
      <w:r w:rsidRPr="00382917">
        <w:t>Báb</w:t>
      </w:r>
      <w:r w:rsidR="009C713D" w:rsidRPr="00382917">
        <w:t>’</w:t>
      </w:r>
      <w:r w:rsidRPr="00382917">
        <w:t>s</w:t>
      </w:r>
      <w:r w:rsidR="00EE4FC3">
        <w:t xml:space="preserve"> </w:t>
      </w:r>
      <w:r w:rsidRPr="00382917">
        <w:t>triumph</w:t>
      </w:r>
      <w:r w:rsidR="00EE4FC3">
        <w:t xml:space="preserve"> </w:t>
      </w:r>
      <w:r w:rsidRPr="00382917">
        <w:t>would</w:t>
      </w:r>
      <w:r w:rsidR="00EE4FC3">
        <w:t xml:space="preserve"> </w:t>
      </w:r>
      <w:r w:rsidRPr="00382917">
        <w:t>appear</w:t>
      </w:r>
      <w:r w:rsidR="00EE4FC3">
        <w:t xml:space="preserve"> </w:t>
      </w:r>
      <w:r w:rsidRPr="00382917">
        <w:t>less</w:t>
      </w:r>
      <w:r w:rsidR="00EE4FC3">
        <w:t xml:space="preserve"> </w:t>
      </w:r>
      <w:r w:rsidRPr="00382917">
        <w:t>spectacular</w:t>
      </w:r>
      <w:r w:rsidR="00EE4FC3">
        <w:t xml:space="preserve"> </w:t>
      </w:r>
      <w:r w:rsidRPr="00382917">
        <w:t>in</w:t>
      </w:r>
      <w:r w:rsidR="00EE4FC3">
        <w:t xml:space="preserve"> </w:t>
      </w:r>
      <w:r w:rsidRPr="00382917">
        <w:t>the</w:t>
      </w:r>
      <w:r w:rsidR="00EE4FC3">
        <w:t xml:space="preserve"> </w:t>
      </w:r>
      <w:r w:rsidRPr="00382917">
        <w:t>eyes</w:t>
      </w:r>
      <w:r w:rsidR="00EE4FC3">
        <w:t xml:space="preserve"> </w:t>
      </w:r>
      <w:r w:rsidRPr="00382917">
        <w:t>of</w:t>
      </w:r>
      <w:r w:rsidR="00EE4FC3">
        <w:t xml:space="preserve"> </w:t>
      </w:r>
      <w:r w:rsidRPr="00382917">
        <w:t>the</w:t>
      </w:r>
      <w:r w:rsidR="00EE4FC3">
        <w:t xml:space="preserve"> </w:t>
      </w:r>
      <w:r w:rsidRPr="00382917">
        <w:t>people.</w:t>
      </w:r>
    </w:p>
    <w:p w:rsidR="00447F64" w:rsidRPr="00382917" w:rsidRDefault="00447F64" w:rsidP="00447F64">
      <w:pPr>
        <w:pStyle w:val="Text"/>
      </w:pPr>
      <w:r w:rsidRPr="00382917">
        <w:t>Just</w:t>
      </w:r>
      <w:r w:rsidR="00EE4FC3">
        <w:t xml:space="preserve"> </w:t>
      </w:r>
      <w:r w:rsidRPr="00382917">
        <w:t>as</w:t>
      </w:r>
      <w:r w:rsidR="00EE4FC3">
        <w:t xml:space="preserve"> </w:t>
      </w:r>
      <w:r w:rsidRPr="00382917">
        <w:t>Jesus</w:t>
      </w:r>
      <w:r w:rsidR="00EE4FC3">
        <w:t xml:space="preserve"> </w:t>
      </w:r>
      <w:r w:rsidRPr="00382917">
        <w:t>had</w:t>
      </w:r>
      <w:r w:rsidR="00EE4FC3">
        <w:t xml:space="preserve"> </w:t>
      </w:r>
      <w:r w:rsidRPr="00382917">
        <w:t>fallen</w:t>
      </w:r>
      <w:r w:rsidR="00EE4FC3">
        <w:t xml:space="preserve"> </w:t>
      </w:r>
      <w:r w:rsidRPr="00382917">
        <w:t>under</w:t>
      </w:r>
      <w:r w:rsidR="00EE4FC3">
        <w:t xml:space="preserve"> </w:t>
      </w:r>
      <w:r w:rsidRPr="00382917">
        <w:t>the</w:t>
      </w:r>
      <w:r w:rsidR="00EE4FC3">
        <w:t xml:space="preserve"> </w:t>
      </w:r>
      <w:r w:rsidRPr="00382917">
        <w:t>scourge</w:t>
      </w:r>
      <w:r w:rsidR="00EE4FC3">
        <w:t xml:space="preserve"> </w:t>
      </w:r>
      <w:r w:rsidRPr="00382917">
        <w:t>of</w:t>
      </w:r>
      <w:r w:rsidR="00EE4FC3">
        <w:t xml:space="preserve"> </w:t>
      </w:r>
      <w:r w:rsidRPr="00382917">
        <w:t>Pilate</w:t>
      </w:r>
      <w:r w:rsidR="00EE4FC3">
        <w:t xml:space="preserve"> </w:t>
      </w:r>
      <w:r w:rsidRPr="00382917">
        <w:t>following</w:t>
      </w:r>
      <w:r w:rsidR="00EE4FC3">
        <w:t xml:space="preserve"> </w:t>
      </w:r>
      <w:r w:rsidRPr="00382917">
        <w:t>His</w:t>
      </w:r>
      <w:r w:rsidR="00EE4FC3">
        <w:t xml:space="preserve"> </w:t>
      </w:r>
      <w:r w:rsidRPr="00382917">
        <w:t>examination</w:t>
      </w:r>
      <w:r w:rsidR="00EE4FC3">
        <w:t xml:space="preserve"> </w:t>
      </w:r>
      <w:r w:rsidRPr="00382917">
        <w:t>in</w:t>
      </w:r>
      <w:r w:rsidR="00EE4FC3">
        <w:t xml:space="preserve"> </w:t>
      </w:r>
      <w:r w:rsidRPr="00382917">
        <w:t>the</w:t>
      </w:r>
      <w:r w:rsidR="00EE4FC3">
        <w:t xml:space="preserve"> </w:t>
      </w:r>
      <w:r w:rsidRPr="00382917">
        <w:t>judgement</w:t>
      </w:r>
      <w:r w:rsidR="00EE4FC3">
        <w:t xml:space="preserve"> </w:t>
      </w:r>
      <w:r w:rsidRPr="00382917">
        <w:t>hall</w:t>
      </w:r>
      <w:r w:rsidR="00EE4FC3">
        <w:t xml:space="preserve"> </w:t>
      </w:r>
      <w:r w:rsidRPr="00382917">
        <w:t>where</w:t>
      </w:r>
      <w:r w:rsidR="00EE4FC3">
        <w:t xml:space="preserve"> </w:t>
      </w:r>
      <w:r w:rsidRPr="00382917">
        <w:t>He</w:t>
      </w:r>
      <w:r w:rsidR="00EE4FC3">
        <w:t xml:space="preserve"> </w:t>
      </w:r>
      <w:r w:rsidRPr="00382917">
        <w:t>proclaimed</w:t>
      </w:r>
      <w:r w:rsidR="00EE4FC3">
        <w:t xml:space="preserve"> </w:t>
      </w:r>
      <w:r w:rsidRPr="00382917">
        <w:t>Himself</w:t>
      </w:r>
      <w:r w:rsidR="00EE4FC3">
        <w:t xml:space="preserve"> </w:t>
      </w:r>
      <w:r w:rsidRPr="00382917">
        <w:t>as</w:t>
      </w:r>
      <w:r w:rsidR="00EE4FC3">
        <w:t xml:space="preserve"> </w:t>
      </w:r>
      <w:r w:rsidRPr="00382917">
        <w:t>the</w:t>
      </w:r>
      <w:r w:rsidR="00EE4FC3">
        <w:t xml:space="preserve"> </w:t>
      </w:r>
      <w:r w:rsidRPr="00382917">
        <w:t>Redeemer</w:t>
      </w:r>
      <w:r w:rsidR="00EE4FC3">
        <w:t xml:space="preserve"> </w:t>
      </w:r>
      <w:r w:rsidRPr="00382917">
        <w:t>of</w:t>
      </w:r>
      <w:r w:rsidR="00EE4FC3">
        <w:t xml:space="preserve"> </w:t>
      </w:r>
      <w:r w:rsidRPr="00382917">
        <w:t>men,</w:t>
      </w:r>
      <w:r w:rsidR="00EE4FC3">
        <w:t xml:space="preserve"> </w:t>
      </w:r>
      <w:r w:rsidRPr="00382917">
        <w:t>the</w:t>
      </w:r>
      <w:r w:rsidR="00EE4FC3">
        <w:t xml:space="preserve"> </w:t>
      </w:r>
      <w:r w:rsidRPr="00382917">
        <w:t>Báb</w:t>
      </w:r>
      <w:r w:rsidR="00EE4FC3">
        <w:t xml:space="preserve"> </w:t>
      </w:r>
      <w:r w:rsidRPr="00382917">
        <w:t>also</w:t>
      </w:r>
      <w:r w:rsidR="00EE4FC3">
        <w:t xml:space="preserve"> </w:t>
      </w:r>
      <w:r w:rsidRPr="00382917">
        <w:t>was</w:t>
      </w:r>
      <w:r w:rsidR="00EE4FC3">
        <w:t xml:space="preserve"> </w:t>
      </w:r>
      <w:r w:rsidRPr="00382917">
        <w:t>subjected</w:t>
      </w:r>
      <w:r w:rsidR="00EE4FC3">
        <w:t xml:space="preserve"> </w:t>
      </w:r>
      <w:r w:rsidRPr="00382917">
        <w:t>to</w:t>
      </w:r>
      <w:r w:rsidR="00EE4FC3">
        <w:t xml:space="preserve"> </w:t>
      </w:r>
      <w:r w:rsidRPr="00382917">
        <w:t>the</w:t>
      </w:r>
      <w:r w:rsidR="00EE4FC3">
        <w:t xml:space="preserve"> </w:t>
      </w:r>
      <w:r w:rsidRPr="00382917">
        <w:t>same</w:t>
      </w:r>
      <w:r w:rsidR="00EE4FC3">
        <w:t xml:space="preserve"> </w:t>
      </w:r>
      <w:r w:rsidRPr="00382917">
        <w:t>indignity,</w:t>
      </w:r>
      <w:r w:rsidR="00EE4FC3">
        <w:t xml:space="preserve"> </w:t>
      </w:r>
      <w:r w:rsidRPr="00382917">
        <w:t>following</w:t>
      </w:r>
      <w:r w:rsidR="00EE4FC3">
        <w:t xml:space="preserve"> </w:t>
      </w:r>
      <w:r w:rsidRPr="00382917">
        <w:t>the</w:t>
      </w:r>
      <w:r w:rsidR="00EE4FC3">
        <w:t xml:space="preserve"> </w:t>
      </w:r>
      <w:r w:rsidRPr="00382917">
        <w:t>same</w:t>
      </w:r>
      <w:r w:rsidR="00EE4FC3">
        <w:t xml:space="preserve"> </w:t>
      </w:r>
      <w:r w:rsidRPr="00382917">
        <w:t>trial,</w:t>
      </w:r>
      <w:r w:rsidR="00EE4FC3">
        <w:t xml:space="preserve"> </w:t>
      </w:r>
      <w:r w:rsidRPr="00382917">
        <w:t>and</w:t>
      </w:r>
      <w:r w:rsidR="00EE4FC3">
        <w:t xml:space="preserve"> </w:t>
      </w:r>
      <w:r w:rsidRPr="00382917">
        <w:t>the</w:t>
      </w:r>
      <w:r w:rsidR="00EE4FC3">
        <w:t xml:space="preserve"> </w:t>
      </w:r>
      <w:r w:rsidRPr="00382917">
        <w:t>same</w:t>
      </w:r>
      <w:r w:rsidR="00EE4FC3">
        <w:t xml:space="preserve"> </w:t>
      </w:r>
      <w:r w:rsidRPr="00382917">
        <w:t>great</w:t>
      </w:r>
      <w:r w:rsidR="00EE4FC3">
        <w:t xml:space="preserve"> </w:t>
      </w:r>
      <w:r w:rsidRPr="00382917">
        <w:t>proclamation</w:t>
      </w:r>
      <w:r w:rsidR="00A93643">
        <w:t>.</w:t>
      </w:r>
      <w:r w:rsidR="00EE4FC3">
        <w:t xml:space="preserve">  </w:t>
      </w:r>
      <w:r w:rsidRPr="00382917">
        <w:t>Eleven</w:t>
      </w:r>
      <w:r w:rsidR="00EE4FC3">
        <w:t xml:space="preserve"> </w:t>
      </w:r>
      <w:r w:rsidRPr="00382917">
        <w:t>times</w:t>
      </w:r>
      <w:r w:rsidR="00EE4FC3">
        <w:t xml:space="preserve"> </w:t>
      </w:r>
      <w:r w:rsidRPr="00382917">
        <w:t>the</w:t>
      </w:r>
      <w:r w:rsidR="00EE4FC3">
        <w:t xml:space="preserve"> </w:t>
      </w:r>
      <w:r w:rsidRPr="00382917">
        <w:t>rod</w:t>
      </w:r>
      <w:r w:rsidR="00EE4FC3">
        <w:t xml:space="preserve"> </w:t>
      </w:r>
      <w:r w:rsidRPr="00382917">
        <w:t>of</w:t>
      </w:r>
      <w:r w:rsidR="00EE4FC3">
        <w:t xml:space="preserve"> </w:t>
      </w:r>
      <w:r w:rsidRPr="00382917">
        <w:t>the</w:t>
      </w:r>
      <w:r w:rsidR="00EE4FC3">
        <w:t xml:space="preserve"> </w:t>
      </w:r>
      <w:r w:rsidRPr="00382917">
        <w:t>bastinado</w:t>
      </w:r>
      <w:r w:rsidR="00EE4FC3">
        <w:t xml:space="preserve"> </w:t>
      </w:r>
      <w:r w:rsidRPr="00382917">
        <w:t>was</w:t>
      </w:r>
      <w:r w:rsidR="00EE4FC3">
        <w:t xml:space="preserve"> </w:t>
      </w:r>
      <w:r w:rsidRPr="00382917">
        <w:t>applied</w:t>
      </w:r>
      <w:r w:rsidR="00EE4FC3">
        <w:t xml:space="preserve"> </w:t>
      </w:r>
      <w:r w:rsidRPr="00382917">
        <w:t>to</w:t>
      </w:r>
      <w:r w:rsidR="00EE4FC3">
        <w:t xml:space="preserve"> </w:t>
      </w:r>
      <w:r w:rsidRPr="00382917">
        <w:t>His</w:t>
      </w:r>
      <w:r w:rsidR="00EE4FC3">
        <w:t xml:space="preserve"> </w:t>
      </w:r>
      <w:r w:rsidRPr="00382917">
        <w:t>feet</w:t>
      </w:r>
      <w:r w:rsidR="00A93643">
        <w:t>.</w:t>
      </w:r>
      <w:r w:rsidR="00EE4FC3">
        <w:t xml:space="preserve">  </w:t>
      </w:r>
      <w:r w:rsidRPr="00382917">
        <w:t>He</w:t>
      </w:r>
      <w:r w:rsidR="00EE4FC3">
        <w:t xml:space="preserve"> </w:t>
      </w:r>
      <w:r w:rsidRPr="00382917">
        <w:t>was</w:t>
      </w:r>
      <w:r w:rsidR="00EE4FC3">
        <w:t xml:space="preserve"> </w:t>
      </w:r>
      <w:r w:rsidRPr="00382917">
        <w:t>struck</w:t>
      </w:r>
      <w:r w:rsidR="00EE4FC3">
        <w:t xml:space="preserve"> </w:t>
      </w:r>
      <w:r w:rsidRPr="00382917">
        <w:t>across</w:t>
      </w:r>
      <w:r w:rsidR="00EE4FC3">
        <w:t xml:space="preserve"> </w:t>
      </w:r>
      <w:r w:rsidRPr="00382917">
        <w:t>the</w:t>
      </w:r>
      <w:r w:rsidR="00EE4FC3">
        <w:t xml:space="preserve"> </w:t>
      </w:r>
      <w:r w:rsidRPr="00382917">
        <w:t>face</w:t>
      </w:r>
      <w:r w:rsidR="00EE4FC3">
        <w:t xml:space="preserve"> </w:t>
      </w:r>
      <w:r w:rsidRPr="00382917">
        <w:t>with</w:t>
      </w:r>
      <w:r w:rsidR="00EE4FC3">
        <w:t xml:space="preserve"> </w:t>
      </w:r>
      <w:r w:rsidRPr="00382917">
        <w:t>one</w:t>
      </w:r>
      <w:r w:rsidR="00EE4FC3">
        <w:t xml:space="preserve"> </w:t>
      </w:r>
      <w:r w:rsidRPr="00382917">
        <w:t>of</w:t>
      </w:r>
      <w:r w:rsidR="00EE4FC3">
        <w:t xml:space="preserve"> </w:t>
      </w:r>
      <w:r w:rsidRPr="00382917">
        <w:t>the</w:t>
      </w:r>
      <w:r w:rsidR="00EE4FC3">
        <w:t xml:space="preserve"> </w:t>
      </w:r>
      <w:r w:rsidRPr="00382917">
        <w:t>blows</w:t>
      </w:r>
      <w:r w:rsidR="00A93643">
        <w:t>.</w:t>
      </w:r>
      <w:r w:rsidR="00EE4FC3">
        <w:t xml:space="preserve">  </w:t>
      </w:r>
      <w:r w:rsidRPr="00382917">
        <w:t>It</w:t>
      </w:r>
      <w:r w:rsidR="00EE4FC3">
        <w:t xml:space="preserve"> </w:t>
      </w:r>
      <w:r w:rsidRPr="00382917">
        <w:t>caused</w:t>
      </w:r>
      <w:r w:rsidR="00EE4FC3">
        <w:t xml:space="preserve"> </w:t>
      </w:r>
      <w:r w:rsidRPr="00382917">
        <w:t>a</w:t>
      </w:r>
      <w:r w:rsidR="00EE4FC3">
        <w:t xml:space="preserve"> </w:t>
      </w:r>
      <w:r w:rsidRPr="00382917">
        <w:t>great</w:t>
      </w:r>
      <w:r w:rsidR="00EE4FC3">
        <w:t xml:space="preserve"> </w:t>
      </w:r>
      <w:r w:rsidRPr="00382917">
        <w:t>wound.</w:t>
      </w:r>
    </w:p>
    <w:p w:rsidR="00447F64" w:rsidRPr="00382917" w:rsidRDefault="00447F64" w:rsidP="00A93643">
      <w:pPr>
        <w:pStyle w:val="Text"/>
      </w:pPr>
      <w:r w:rsidRPr="00382917">
        <w:t>Dr</w:t>
      </w:r>
      <w:r w:rsidR="00EE4FC3">
        <w:t xml:space="preserve"> </w:t>
      </w:r>
      <w:proofErr w:type="spellStart"/>
      <w:r w:rsidRPr="00382917">
        <w:t>Cormick</w:t>
      </w:r>
      <w:proofErr w:type="spellEnd"/>
      <w:r w:rsidRPr="00382917">
        <w:t>,</w:t>
      </w:r>
      <w:r w:rsidR="00EE4FC3">
        <w:t xml:space="preserve"> </w:t>
      </w:r>
      <w:r w:rsidRPr="00382917">
        <w:t>an</w:t>
      </w:r>
      <w:r w:rsidR="00EE4FC3">
        <w:t xml:space="preserve"> </w:t>
      </w:r>
      <w:r w:rsidRPr="00382917">
        <w:t>English</w:t>
      </w:r>
      <w:r w:rsidR="00EE4FC3">
        <w:t xml:space="preserve"> </w:t>
      </w:r>
      <w:r w:rsidRPr="00382917">
        <w:t>physician</w:t>
      </w:r>
      <w:r w:rsidR="00EE4FC3">
        <w:t xml:space="preserve"> </w:t>
      </w:r>
      <w:r w:rsidRPr="00382917">
        <w:t>who</w:t>
      </w:r>
      <w:r w:rsidR="00EE4FC3">
        <w:t xml:space="preserve"> </w:t>
      </w:r>
      <w:r w:rsidRPr="00382917">
        <w:t>was</w:t>
      </w:r>
      <w:r w:rsidR="00EE4FC3">
        <w:t xml:space="preserve"> </w:t>
      </w:r>
      <w:r w:rsidRPr="00382917">
        <w:t>residing</w:t>
      </w:r>
      <w:r w:rsidR="00EE4FC3">
        <w:t xml:space="preserve"> </w:t>
      </w:r>
      <w:r w:rsidRPr="00382917">
        <w:t>in</w:t>
      </w:r>
      <w:r w:rsidR="00EE4FC3">
        <w:t xml:space="preserve"> </w:t>
      </w:r>
      <w:r w:rsidR="00B24C41">
        <w:t>Tabríz</w:t>
      </w:r>
      <w:r w:rsidRPr="00382917">
        <w:t>,</w:t>
      </w:r>
      <w:r w:rsidR="00EE4FC3">
        <w:t xml:space="preserve"> </w:t>
      </w:r>
      <w:r w:rsidRPr="00382917">
        <w:t>was</w:t>
      </w:r>
      <w:r w:rsidR="00EE4FC3">
        <w:t xml:space="preserve"> </w:t>
      </w:r>
      <w:r w:rsidRPr="00382917">
        <w:t>called</w:t>
      </w:r>
      <w:r w:rsidR="00EE4FC3">
        <w:t xml:space="preserve"> </w:t>
      </w:r>
      <w:r w:rsidRPr="00382917">
        <w:t>to</w:t>
      </w:r>
      <w:r w:rsidR="00EE4FC3">
        <w:t xml:space="preserve"> </w:t>
      </w:r>
      <w:r w:rsidRPr="00382917">
        <w:t>treat</w:t>
      </w:r>
      <w:r w:rsidR="00EE4FC3">
        <w:t xml:space="preserve"> </w:t>
      </w:r>
      <w:r w:rsidRPr="00382917">
        <w:t>the</w:t>
      </w:r>
      <w:r w:rsidR="00EE4FC3">
        <w:t xml:space="preserve"> </w:t>
      </w:r>
      <w:r w:rsidRPr="00382917">
        <w:t>Báb</w:t>
      </w:r>
      <w:r w:rsidR="00A93643">
        <w:t>.</w:t>
      </w:r>
      <w:r w:rsidR="00EE4FC3">
        <w:t xml:space="preserve">  </w:t>
      </w:r>
      <w:r w:rsidRPr="00382917">
        <w:t>He</w:t>
      </w:r>
      <w:r w:rsidR="00EE4FC3">
        <w:t xml:space="preserve"> </w:t>
      </w:r>
      <w:r w:rsidRPr="00382917">
        <w:t>has</w:t>
      </w:r>
      <w:r w:rsidR="00EE4FC3">
        <w:t xml:space="preserve"> </w:t>
      </w:r>
      <w:r w:rsidRPr="00382917">
        <w:t>set</w:t>
      </w:r>
      <w:r w:rsidR="00EE4FC3">
        <w:t xml:space="preserve"> </w:t>
      </w:r>
      <w:r w:rsidRPr="00382917">
        <w:t>down</w:t>
      </w:r>
      <w:r w:rsidR="00EE4FC3">
        <w:t xml:space="preserve"> </w:t>
      </w:r>
      <w:r w:rsidRPr="00382917">
        <w:t>his</w:t>
      </w:r>
      <w:r w:rsidR="00EE4FC3">
        <w:t xml:space="preserve"> </w:t>
      </w:r>
      <w:r w:rsidRPr="00382917">
        <w:t>impression</w:t>
      </w:r>
      <w:r w:rsidR="00EE4FC3">
        <w:t xml:space="preserve"> </w:t>
      </w:r>
      <w:r w:rsidRPr="00382917">
        <w:t>of</w:t>
      </w:r>
      <w:r w:rsidR="00EE4FC3">
        <w:t xml:space="preserve"> </w:t>
      </w:r>
      <w:r w:rsidRPr="00382917">
        <w:t>the</w:t>
      </w:r>
      <w:r w:rsidR="00EE4FC3">
        <w:t xml:space="preserve"> </w:t>
      </w:r>
      <w:r w:rsidRPr="00382917">
        <w:t>Báb,</w:t>
      </w:r>
      <w:r w:rsidR="00EE4FC3">
        <w:t xml:space="preserve"> </w:t>
      </w:r>
      <w:r w:rsidRPr="00382917">
        <w:t>gained</w:t>
      </w:r>
      <w:r w:rsidR="00EE4FC3">
        <w:t xml:space="preserve"> </w:t>
      </w:r>
      <w:r w:rsidRPr="00382917">
        <w:t>during</w:t>
      </w:r>
      <w:r w:rsidR="00EE4FC3">
        <w:t xml:space="preserve"> </w:t>
      </w:r>
      <w:r w:rsidRPr="00382917">
        <w:t>those</w:t>
      </w:r>
      <w:r w:rsidR="00EE4FC3">
        <w:t xml:space="preserve"> </w:t>
      </w:r>
      <w:r w:rsidRPr="00382917">
        <w:t>meetings.</w:t>
      </w:r>
    </w:p>
    <w:p w:rsidR="00E13D49" w:rsidRPr="00382917" w:rsidRDefault="009C713D" w:rsidP="00F3619A">
      <w:pPr>
        <w:pStyle w:val="Text"/>
      </w:pPr>
      <w:r w:rsidRPr="00382917">
        <w:t>“</w:t>
      </w:r>
      <w:r w:rsidR="00447F64" w:rsidRPr="00382917">
        <w:t>He</w:t>
      </w:r>
      <w:r w:rsidR="00EE4FC3">
        <w:t xml:space="preserve"> </w:t>
      </w:r>
      <w:r w:rsidR="00447F64" w:rsidRPr="00382917">
        <w:t>was</w:t>
      </w:r>
      <w:r w:rsidR="00EE4FC3">
        <w:t xml:space="preserve"> </w:t>
      </w:r>
      <w:r w:rsidR="00447F64" w:rsidRPr="00382917">
        <w:t>a</w:t>
      </w:r>
      <w:r w:rsidR="00EE4FC3">
        <w:t xml:space="preserve"> </w:t>
      </w:r>
      <w:r w:rsidR="00447F64" w:rsidRPr="00382917">
        <w:t>very</w:t>
      </w:r>
      <w:r w:rsidR="00EE4FC3">
        <w:t xml:space="preserve"> </w:t>
      </w:r>
      <w:r w:rsidR="00447F64" w:rsidRPr="00382917">
        <w:t>mild</w:t>
      </w:r>
      <w:r w:rsidR="00EE4FC3">
        <w:t xml:space="preserve"> </w:t>
      </w:r>
      <w:r w:rsidR="00447F64" w:rsidRPr="00382917">
        <w:t>and</w:t>
      </w:r>
      <w:r w:rsidR="00EE4FC3">
        <w:t xml:space="preserve"> </w:t>
      </w:r>
      <w:r w:rsidR="00447F64" w:rsidRPr="00382917">
        <w:t>delicate</w:t>
      </w:r>
      <w:r w:rsidR="00EE4FC3">
        <w:t xml:space="preserve"> </w:t>
      </w:r>
      <w:r w:rsidR="00447F64" w:rsidRPr="00382917">
        <w:t>looking</w:t>
      </w:r>
      <w:r w:rsidR="00EE4FC3">
        <w:t xml:space="preserve"> </w:t>
      </w:r>
      <w:r w:rsidR="00447F64" w:rsidRPr="00382917">
        <w:t>man</w:t>
      </w:r>
      <w:r w:rsidR="00EE4FC3">
        <w:t xml:space="preserve"> </w:t>
      </w:r>
      <w:r w:rsidR="00F04416" w:rsidRPr="00382917">
        <w:t>…</w:t>
      </w:r>
      <w:r w:rsidR="00EE4FC3">
        <w:t xml:space="preserve"> </w:t>
      </w:r>
      <w:r w:rsidR="00447F64" w:rsidRPr="00382917">
        <w:t>with</w:t>
      </w:r>
      <w:r w:rsidR="00EE4FC3">
        <w:t xml:space="preserve"> </w:t>
      </w:r>
      <w:r w:rsidR="00447F64" w:rsidRPr="00382917">
        <w:t>a</w:t>
      </w:r>
      <w:r w:rsidR="00EE4FC3">
        <w:t xml:space="preserve"> </w:t>
      </w:r>
      <w:r w:rsidR="00447F64" w:rsidRPr="00382917">
        <w:t>melodious</w:t>
      </w:r>
      <w:r w:rsidR="00EE4FC3">
        <w:t xml:space="preserve"> </w:t>
      </w:r>
      <w:r w:rsidR="00447F64" w:rsidRPr="00382917">
        <w:t>soft</w:t>
      </w:r>
      <w:r w:rsidR="00EE4FC3">
        <w:t xml:space="preserve"> </w:t>
      </w:r>
      <w:r w:rsidR="00447F64" w:rsidRPr="00382917">
        <w:t>voice</w:t>
      </w:r>
      <w:r w:rsidR="00EE4FC3">
        <w:t xml:space="preserve"> </w:t>
      </w:r>
      <w:r w:rsidR="00447F64" w:rsidRPr="00382917">
        <w:t>which</w:t>
      </w:r>
      <w:r w:rsidR="00EE4FC3">
        <w:t xml:space="preserve"> </w:t>
      </w:r>
      <w:r w:rsidR="00447F64" w:rsidRPr="00382917">
        <w:t>struck</w:t>
      </w:r>
      <w:r w:rsidR="00EE4FC3">
        <w:t xml:space="preserve"> </w:t>
      </w:r>
      <w:r w:rsidR="00447F64" w:rsidRPr="00382917">
        <w:t>me</w:t>
      </w:r>
      <w:r w:rsidR="00EE4FC3">
        <w:t xml:space="preserve"> </w:t>
      </w:r>
      <w:r w:rsidR="00447F64" w:rsidRPr="00382917">
        <w:t>much</w:t>
      </w:r>
      <w:r w:rsidR="00EE4FC3">
        <w:t xml:space="preserve"> </w:t>
      </w:r>
      <w:r w:rsidR="00F04416" w:rsidRPr="00382917">
        <w:t>…</w:t>
      </w:r>
      <w:r w:rsidR="00EE4FC3">
        <w:t xml:space="preserve"> </w:t>
      </w:r>
      <w:r w:rsidR="00447F64" w:rsidRPr="00382917">
        <w:t>on</w:t>
      </w:r>
      <w:r w:rsidR="00EE4FC3">
        <w:t xml:space="preserve"> </w:t>
      </w:r>
      <w:r w:rsidR="00447F64" w:rsidRPr="00382917">
        <w:t>my</w:t>
      </w:r>
      <w:r w:rsidR="00EE4FC3">
        <w:t xml:space="preserve"> </w:t>
      </w:r>
      <w:r w:rsidR="00447F64" w:rsidRPr="00382917">
        <w:t>saying</w:t>
      </w:r>
      <w:r w:rsidR="00EE4FC3">
        <w:t xml:space="preserve"> </w:t>
      </w:r>
      <w:r w:rsidR="00447F64" w:rsidRPr="00382917">
        <w:t>that</w:t>
      </w:r>
      <w:r w:rsidR="00EE4FC3">
        <w:t xml:space="preserve"> </w:t>
      </w:r>
      <w:r w:rsidR="00447F64" w:rsidRPr="00382917">
        <w:t>I</w:t>
      </w:r>
      <w:r w:rsidR="00EE4FC3">
        <w:t xml:space="preserve"> </w:t>
      </w:r>
      <w:r w:rsidR="00447F64" w:rsidRPr="00382917">
        <w:t>was</w:t>
      </w:r>
      <w:r w:rsidR="00EE4FC3">
        <w:t xml:space="preserve"> </w:t>
      </w:r>
      <w:r w:rsidR="00447F64" w:rsidRPr="00382917">
        <w:t>willing</w:t>
      </w:r>
      <w:r w:rsidR="00EE4FC3">
        <w:t xml:space="preserve"> </w:t>
      </w:r>
      <w:r w:rsidR="00447F64" w:rsidRPr="00382917">
        <w:t>to</w:t>
      </w:r>
      <w:r w:rsidR="00EE4FC3">
        <w:t xml:space="preserve"> </w:t>
      </w:r>
      <w:r w:rsidR="00447F64" w:rsidRPr="00382917">
        <w:t>know</w:t>
      </w:r>
      <w:r w:rsidR="00EE4FC3">
        <w:t xml:space="preserve"> </w:t>
      </w:r>
      <w:r w:rsidR="00447F64" w:rsidRPr="00382917">
        <w:t>something</w:t>
      </w:r>
      <w:r w:rsidR="00EE4FC3">
        <w:t xml:space="preserve"> </w:t>
      </w:r>
      <w:r w:rsidR="00447F64" w:rsidRPr="00382917">
        <w:t>about</w:t>
      </w:r>
      <w:r w:rsidR="00EE4FC3">
        <w:t xml:space="preserve"> </w:t>
      </w:r>
      <w:r w:rsidR="00447F64" w:rsidRPr="00382917">
        <w:t>his</w:t>
      </w:r>
      <w:r w:rsidR="00EE4FC3">
        <w:t xml:space="preserve"> </w:t>
      </w:r>
      <w:r w:rsidR="00447F64" w:rsidRPr="00382917">
        <w:t>religion</w:t>
      </w:r>
      <w:r w:rsidR="00EE4FC3">
        <w:t xml:space="preserve"> </w:t>
      </w:r>
      <w:r w:rsidR="00447F64" w:rsidRPr="00382917">
        <w:t>as</w:t>
      </w:r>
      <w:r w:rsidR="00EE4FC3">
        <w:t xml:space="preserve"> </w:t>
      </w:r>
      <w:r w:rsidR="00447F64" w:rsidRPr="00382917">
        <w:t>I</w:t>
      </w:r>
      <w:r w:rsidR="00EE4FC3">
        <w:t xml:space="preserve"> </w:t>
      </w:r>
      <w:r w:rsidR="00447F64" w:rsidRPr="00382917">
        <w:t>might</w:t>
      </w:r>
      <w:r w:rsidR="00EE4FC3">
        <w:t xml:space="preserve"> </w:t>
      </w:r>
      <w:r w:rsidR="00447F64" w:rsidRPr="00382917">
        <w:t>perhaps</w:t>
      </w:r>
      <w:r w:rsidR="00EE4FC3">
        <w:t xml:space="preserve"> </w:t>
      </w:r>
      <w:r w:rsidR="00447F64" w:rsidRPr="00382917">
        <w:t>be</w:t>
      </w:r>
      <w:r w:rsidR="00EE4FC3">
        <w:t xml:space="preserve"> </w:t>
      </w:r>
      <w:r w:rsidR="00447F64" w:rsidRPr="00382917">
        <w:t>inclined</w:t>
      </w:r>
      <w:r w:rsidR="00EE4FC3">
        <w:t xml:space="preserve"> </w:t>
      </w:r>
      <w:r w:rsidR="00447F64" w:rsidRPr="00382917">
        <w:t>to</w:t>
      </w:r>
      <w:r w:rsidR="00EE4FC3">
        <w:t xml:space="preserve"> </w:t>
      </w:r>
      <w:r w:rsidR="00447F64" w:rsidRPr="00382917">
        <w:t>adopt</w:t>
      </w:r>
      <w:r w:rsidR="00EE4FC3">
        <w:t xml:space="preserve"> </w:t>
      </w:r>
      <w:r w:rsidR="00447F64" w:rsidRPr="00382917">
        <w:t>it</w:t>
      </w:r>
      <w:r w:rsidR="00A93643">
        <w:t>.</w:t>
      </w:r>
      <w:r w:rsidR="00EE4FC3">
        <w:t xml:space="preserve">  </w:t>
      </w:r>
      <w:r w:rsidR="00447F64" w:rsidRPr="00382917">
        <w:t>He</w:t>
      </w:r>
      <w:r w:rsidR="00EE4FC3">
        <w:t xml:space="preserve"> </w:t>
      </w:r>
      <w:r w:rsidR="00447F64" w:rsidRPr="00382917">
        <w:t>regarded</w:t>
      </w:r>
      <w:r w:rsidR="00EE4FC3">
        <w:t xml:space="preserve"> </w:t>
      </w:r>
      <w:r w:rsidR="00447F64" w:rsidRPr="00382917">
        <w:t>me</w:t>
      </w:r>
      <w:r w:rsidR="00EE4FC3">
        <w:t xml:space="preserve"> </w:t>
      </w:r>
      <w:r w:rsidR="00447F64" w:rsidRPr="00382917">
        <w:t>very</w:t>
      </w:r>
      <w:r w:rsidR="00EE4FC3">
        <w:t xml:space="preserve"> </w:t>
      </w:r>
      <w:r w:rsidR="00447F64" w:rsidRPr="00382917">
        <w:t>intently</w:t>
      </w:r>
      <w:r w:rsidR="00EE4FC3">
        <w:t xml:space="preserve"> </w:t>
      </w:r>
      <w:r w:rsidR="00447F64" w:rsidRPr="00382917">
        <w:t>on</w:t>
      </w:r>
      <w:r w:rsidR="00EE4FC3">
        <w:t xml:space="preserve"> </w:t>
      </w:r>
      <w:r w:rsidR="00447F64" w:rsidRPr="00382917">
        <w:t>my</w:t>
      </w:r>
      <w:r w:rsidR="00EE4FC3">
        <w:t xml:space="preserve"> </w:t>
      </w:r>
      <w:r w:rsidR="00447F64" w:rsidRPr="00382917">
        <w:t>saying</w:t>
      </w:r>
      <w:r w:rsidR="00EE4FC3">
        <w:t xml:space="preserve"> </w:t>
      </w:r>
      <w:r w:rsidR="00447F64" w:rsidRPr="00382917">
        <w:t>this,</w:t>
      </w:r>
      <w:r w:rsidR="00EE4FC3">
        <w:t xml:space="preserve"> </w:t>
      </w:r>
      <w:r w:rsidR="00447F64" w:rsidRPr="00382917">
        <w:t>and</w:t>
      </w:r>
      <w:r w:rsidR="00EE4FC3">
        <w:t xml:space="preserve"> </w:t>
      </w:r>
      <w:r w:rsidR="00447F64" w:rsidRPr="00382917">
        <w:t>replied</w:t>
      </w:r>
      <w:r w:rsidR="00EE4FC3">
        <w:t xml:space="preserve"> </w:t>
      </w:r>
      <w:r w:rsidR="00447F64" w:rsidRPr="00382917">
        <w:t>that</w:t>
      </w:r>
      <w:r w:rsidR="00EE4FC3">
        <w:t xml:space="preserve"> </w:t>
      </w:r>
      <w:r w:rsidR="00447F64" w:rsidRPr="00382917">
        <w:t>he</w:t>
      </w:r>
      <w:r w:rsidR="00EE4FC3">
        <w:t xml:space="preserve"> </w:t>
      </w:r>
      <w:r w:rsidR="00447F64" w:rsidRPr="00382917">
        <w:t>had</w:t>
      </w:r>
      <w:r w:rsidR="00EE4FC3">
        <w:t xml:space="preserve"> </w:t>
      </w:r>
      <w:r w:rsidR="00447F64" w:rsidRPr="00382917">
        <w:t>no</w:t>
      </w:r>
      <w:r w:rsidR="00EE4FC3">
        <w:t xml:space="preserve"> </w:t>
      </w:r>
      <w:r w:rsidR="00447F64" w:rsidRPr="00382917">
        <w:t>doubt</w:t>
      </w:r>
      <w:r w:rsidR="00EE4FC3">
        <w:t xml:space="preserve"> </w:t>
      </w:r>
      <w:r w:rsidR="00447F64" w:rsidRPr="00382917">
        <w:t>of</w:t>
      </w:r>
      <w:r w:rsidR="00EE4FC3">
        <w:t xml:space="preserve"> </w:t>
      </w:r>
      <w:r w:rsidR="00447F64" w:rsidRPr="00382917">
        <w:t>all</w:t>
      </w:r>
      <w:r w:rsidR="00EE4FC3">
        <w:t xml:space="preserve"> </w:t>
      </w:r>
      <w:r w:rsidR="00447F64" w:rsidRPr="00382917">
        <w:t>Europeans</w:t>
      </w:r>
      <w:r w:rsidR="00EE4FC3">
        <w:t xml:space="preserve"> </w:t>
      </w:r>
      <w:r w:rsidR="00447F64" w:rsidRPr="00382917">
        <w:t>coming</w:t>
      </w:r>
      <w:r w:rsidR="00EE4FC3">
        <w:t xml:space="preserve"> </w:t>
      </w:r>
      <w:r w:rsidR="00447F64" w:rsidRPr="00382917">
        <w:t>over</w:t>
      </w:r>
      <w:r w:rsidR="00EE4FC3">
        <w:t xml:space="preserve"> </w:t>
      </w:r>
      <w:r w:rsidR="00447F64" w:rsidRPr="00382917">
        <w:t>to</w:t>
      </w:r>
      <w:r w:rsidR="00EE4FC3">
        <w:t xml:space="preserve"> </w:t>
      </w:r>
      <w:r w:rsidR="00447F64" w:rsidRPr="00382917">
        <w:t>his</w:t>
      </w:r>
      <w:r w:rsidR="00EE4FC3">
        <w:t xml:space="preserve"> </w:t>
      </w:r>
      <w:r w:rsidR="00447F64" w:rsidRPr="00382917">
        <w:t>religion</w:t>
      </w:r>
      <w:r w:rsidR="00A93643">
        <w:t>.</w:t>
      </w:r>
      <w:r w:rsidR="00EE4FC3">
        <w:t xml:space="preserve">  </w:t>
      </w:r>
      <w:r w:rsidR="00447F64" w:rsidRPr="00382917">
        <w:t>In</w:t>
      </w:r>
      <w:r w:rsidR="00EE4FC3">
        <w:t xml:space="preserve"> </w:t>
      </w:r>
      <w:r w:rsidR="00447F64" w:rsidRPr="00382917">
        <w:t>fact,</w:t>
      </w:r>
      <w:r w:rsidRPr="00382917">
        <w:t>”</w:t>
      </w:r>
      <w:r w:rsidR="00EE4FC3">
        <w:t xml:space="preserve"> </w:t>
      </w:r>
      <w:r w:rsidR="00447F64" w:rsidRPr="00382917">
        <w:t>the</w:t>
      </w:r>
      <w:r w:rsidR="00EE4FC3">
        <w:t xml:space="preserve"> </w:t>
      </w:r>
      <w:r w:rsidR="00447F64" w:rsidRPr="00382917">
        <w:t>doctor</w:t>
      </w:r>
      <w:r w:rsidR="00EE4FC3">
        <w:t xml:space="preserve"> </w:t>
      </w:r>
      <w:r w:rsidR="00447F64" w:rsidRPr="00382917">
        <w:t>added,</w:t>
      </w:r>
      <w:r w:rsidR="00EE4FC3">
        <w:t xml:space="preserve"> </w:t>
      </w:r>
      <w:r w:rsidRPr="00382917">
        <w:t>“</w:t>
      </w:r>
      <w:r w:rsidR="00447F64" w:rsidRPr="00382917">
        <w:t>his</w:t>
      </w:r>
      <w:r w:rsidR="00EE4FC3">
        <w:t xml:space="preserve"> </w:t>
      </w:r>
      <w:r w:rsidR="00447F64" w:rsidRPr="00382917">
        <w:t>whole</w:t>
      </w:r>
      <w:r w:rsidR="00EE4FC3">
        <w:t xml:space="preserve"> </w:t>
      </w:r>
      <w:r w:rsidR="00447F64" w:rsidRPr="00382917">
        <w:t>look</w:t>
      </w:r>
      <w:r w:rsidR="00EE4FC3">
        <w:t xml:space="preserve"> </w:t>
      </w:r>
      <w:r w:rsidR="00447F64" w:rsidRPr="00382917">
        <w:t>and</w:t>
      </w:r>
      <w:r w:rsidR="00EE4FC3">
        <w:t xml:space="preserve"> </w:t>
      </w:r>
      <w:r w:rsidR="00447F64" w:rsidRPr="00382917">
        <w:t>deportment</w:t>
      </w:r>
      <w:r w:rsidR="00EE4FC3">
        <w:t xml:space="preserve"> </w:t>
      </w:r>
      <w:r w:rsidR="00447F64" w:rsidRPr="00382917">
        <w:t>went</w:t>
      </w:r>
      <w:r w:rsidR="00EE4FC3">
        <w:t xml:space="preserve"> </w:t>
      </w:r>
      <w:r w:rsidR="00447F64" w:rsidRPr="00382917">
        <w:t>far</w:t>
      </w:r>
      <w:r w:rsidR="00EE4FC3">
        <w:t xml:space="preserve"> </w:t>
      </w:r>
      <w:r w:rsidR="00447F64" w:rsidRPr="00382917">
        <w:t>to</w:t>
      </w:r>
      <w:r w:rsidR="00EE4FC3">
        <w:t xml:space="preserve"> </w:t>
      </w:r>
      <w:r w:rsidR="00447F64" w:rsidRPr="00382917">
        <w:t>dispose</w:t>
      </w:r>
      <w:r w:rsidR="00EE4FC3">
        <w:t xml:space="preserve"> </w:t>
      </w:r>
      <w:r w:rsidR="00447F64" w:rsidRPr="00382917">
        <w:t>one</w:t>
      </w:r>
      <w:r w:rsidR="00EE4FC3">
        <w:t xml:space="preserve"> </w:t>
      </w:r>
      <w:r w:rsidR="00447F64" w:rsidRPr="00382917">
        <w:t>in</w:t>
      </w:r>
      <w:r w:rsidR="00EE4FC3">
        <w:t xml:space="preserve"> </w:t>
      </w:r>
      <w:r w:rsidR="00447F64" w:rsidRPr="00382917">
        <w:t>his</w:t>
      </w:r>
      <w:r w:rsidR="00EE4FC3">
        <w:t xml:space="preserve"> </w:t>
      </w:r>
      <w:proofErr w:type="spellStart"/>
      <w:r w:rsidR="00447F64" w:rsidRPr="00382917">
        <w:t>favor</w:t>
      </w:r>
      <w:proofErr w:type="spellEnd"/>
      <w:r w:rsidR="00447F64" w:rsidRPr="00382917">
        <w:t>.</w:t>
      </w:r>
      <w:r w:rsidRPr="00382917">
        <w:t>”</w:t>
      </w:r>
      <w:r w:rsidR="00F3619A">
        <w:rPr>
          <w:rStyle w:val="FootnoteReference"/>
        </w:rPr>
        <w:footnoteReference w:id="97"/>
      </w:r>
    </w:p>
    <w:p w:rsidR="00447F64" w:rsidRPr="00382917" w:rsidRDefault="00447F64" w:rsidP="00447F64">
      <w:pPr>
        <w:pStyle w:val="Text"/>
      </w:pPr>
      <w:r w:rsidRPr="00382917">
        <w:t>The</w:t>
      </w:r>
      <w:r w:rsidR="00EE4FC3">
        <w:t xml:space="preserve"> </w:t>
      </w:r>
      <w:r w:rsidRPr="00382917">
        <w:t>Báb</w:t>
      </w:r>
      <w:r w:rsidR="00EE4FC3">
        <w:t xml:space="preserve"> </w:t>
      </w:r>
      <w:r w:rsidRPr="00382917">
        <w:t>was</w:t>
      </w:r>
      <w:r w:rsidR="00EE4FC3">
        <w:t xml:space="preserve"> </w:t>
      </w:r>
      <w:r w:rsidRPr="00382917">
        <w:t>not</w:t>
      </w:r>
      <w:r w:rsidR="00EE4FC3">
        <w:t xml:space="preserve"> </w:t>
      </w:r>
      <w:r w:rsidRPr="00382917">
        <w:t>released</w:t>
      </w:r>
      <w:r w:rsidR="00EE4FC3">
        <w:t xml:space="preserve"> </w:t>
      </w:r>
      <w:r w:rsidRPr="00382917">
        <w:t>after</w:t>
      </w:r>
      <w:r w:rsidR="00EE4FC3">
        <w:t xml:space="preserve"> </w:t>
      </w:r>
      <w:r w:rsidRPr="00382917">
        <w:t>His</w:t>
      </w:r>
      <w:r w:rsidR="00EE4FC3">
        <w:t xml:space="preserve"> </w:t>
      </w:r>
      <w:r w:rsidRPr="00382917">
        <w:t>scourging</w:t>
      </w:r>
      <w:r w:rsidR="00A93643">
        <w:t>.</w:t>
      </w:r>
      <w:r w:rsidR="00EE4FC3">
        <w:t xml:space="preserve">  </w:t>
      </w:r>
      <w:r w:rsidRPr="00382917">
        <w:t>He</w:t>
      </w:r>
      <w:r w:rsidR="00EE4FC3">
        <w:t xml:space="preserve"> </w:t>
      </w:r>
      <w:r w:rsidRPr="00382917">
        <w:t>was</w:t>
      </w:r>
      <w:r w:rsidR="00EE4FC3">
        <w:t xml:space="preserve"> </w:t>
      </w:r>
      <w:r w:rsidRPr="00382917">
        <w:t>marched</w:t>
      </w:r>
    </w:p>
    <w:p w:rsidR="00447F64" w:rsidRPr="00382917" w:rsidRDefault="00447F64">
      <w:pPr>
        <w:widowControl/>
        <w:kinsoku/>
        <w:overflowPunct/>
        <w:textAlignment w:val="auto"/>
      </w:pPr>
      <w:r w:rsidRPr="00382917">
        <w:br w:type="page"/>
      </w:r>
    </w:p>
    <w:p w:rsidR="006E01DB" w:rsidRPr="00382917" w:rsidRDefault="006E01DB" w:rsidP="006E01DB">
      <w:pPr>
        <w:pStyle w:val="Textcts"/>
      </w:pPr>
      <w:proofErr w:type="gramStart"/>
      <w:r w:rsidRPr="00382917">
        <w:t>back</w:t>
      </w:r>
      <w:proofErr w:type="gramEnd"/>
      <w:r w:rsidR="00EE4FC3">
        <w:t xml:space="preserve"> </w:t>
      </w:r>
      <w:r w:rsidRPr="00382917">
        <w:t>under</w:t>
      </w:r>
      <w:r w:rsidR="00EE4FC3">
        <w:t xml:space="preserve"> </w:t>
      </w:r>
      <w:r w:rsidRPr="00382917">
        <w:t>heavy</w:t>
      </w:r>
      <w:r w:rsidR="00EE4FC3">
        <w:t xml:space="preserve"> </w:t>
      </w:r>
      <w:r w:rsidRPr="00382917">
        <w:t>guard</w:t>
      </w:r>
      <w:r w:rsidR="00EE4FC3">
        <w:t xml:space="preserve"> </w:t>
      </w:r>
      <w:r w:rsidRPr="00382917">
        <w:t>to</w:t>
      </w:r>
      <w:r w:rsidR="00EE4FC3">
        <w:t xml:space="preserve"> </w:t>
      </w:r>
      <w:r w:rsidRPr="00382917">
        <w:t>the</w:t>
      </w:r>
      <w:r w:rsidR="00EE4FC3">
        <w:t xml:space="preserve"> </w:t>
      </w:r>
      <w:r w:rsidRPr="00382917">
        <w:t>prison</w:t>
      </w:r>
      <w:r w:rsidR="00EE4FC3">
        <w:t xml:space="preserve"> </w:t>
      </w:r>
      <w:r w:rsidRPr="00382917">
        <w:t>of</w:t>
      </w:r>
      <w:r w:rsidR="00EE4FC3">
        <w:t xml:space="preserve"> </w:t>
      </w:r>
      <w:r w:rsidR="001713B3" w:rsidRPr="001713B3">
        <w:rPr>
          <w:u w:val="single"/>
        </w:rPr>
        <w:t>Ch</w:t>
      </w:r>
      <w:r w:rsidR="001713B3" w:rsidRPr="00382917">
        <w:t>ihríq</w:t>
      </w:r>
      <w:r w:rsidR="00A93643">
        <w:t>.</w:t>
      </w:r>
      <w:r w:rsidR="00EE4FC3">
        <w:t xml:space="preserve">  </w:t>
      </w:r>
      <w:r w:rsidRPr="00382917">
        <w:t>However,</w:t>
      </w:r>
      <w:r w:rsidR="00EE4FC3">
        <w:t xml:space="preserve"> </w:t>
      </w:r>
      <w:r w:rsidRPr="00382917">
        <w:t>He</w:t>
      </w:r>
      <w:r w:rsidR="00EE4FC3">
        <w:t xml:space="preserve"> </w:t>
      </w:r>
      <w:r w:rsidRPr="00382917">
        <w:t>left</w:t>
      </w:r>
      <w:r w:rsidR="00EE4FC3">
        <w:t xml:space="preserve"> </w:t>
      </w:r>
      <w:r w:rsidRPr="00382917">
        <w:t>behind</w:t>
      </w:r>
      <w:r w:rsidR="00EE4FC3">
        <w:t xml:space="preserve"> </w:t>
      </w:r>
      <w:r w:rsidRPr="00382917">
        <w:t>Him</w:t>
      </w:r>
      <w:r w:rsidR="00EE4FC3">
        <w:t xml:space="preserve"> </w:t>
      </w:r>
      <w:r w:rsidRPr="00382917">
        <w:t>in</w:t>
      </w:r>
      <w:r w:rsidR="00EE4FC3">
        <w:t xml:space="preserve"> </w:t>
      </w:r>
      <w:r w:rsidR="00B24C41">
        <w:t>Tabríz</w:t>
      </w:r>
      <w:r w:rsidR="00EE4FC3">
        <w:t xml:space="preserve"> </w:t>
      </w:r>
      <w:r w:rsidRPr="00382917">
        <w:t>the</w:t>
      </w:r>
      <w:r w:rsidR="00EE4FC3">
        <w:t xml:space="preserve"> </w:t>
      </w:r>
      <w:r w:rsidRPr="00382917">
        <w:t>memory</w:t>
      </w:r>
      <w:r w:rsidR="00EE4FC3">
        <w:t xml:space="preserve"> </w:t>
      </w:r>
      <w:r w:rsidRPr="00382917">
        <w:t>of</w:t>
      </w:r>
      <w:r w:rsidR="00EE4FC3">
        <w:t xml:space="preserve"> </w:t>
      </w:r>
      <w:r w:rsidRPr="00382917">
        <w:t>a</w:t>
      </w:r>
      <w:r w:rsidR="00EE4FC3">
        <w:t xml:space="preserve"> </w:t>
      </w:r>
      <w:r w:rsidRPr="00382917">
        <w:t>great</w:t>
      </w:r>
      <w:r w:rsidR="00EE4FC3">
        <w:t xml:space="preserve"> </w:t>
      </w:r>
      <w:r w:rsidRPr="00382917">
        <w:t>victory</w:t>
      </w:r>
      <w:r w:rsidR="00A93643">
        <w:t>.</w:t>
      </w:r>
      <w:r w:rsidR="00EE4FC3">
        <w:t xml:space="preserve">  </w:t>
      </w:r>
      <w:r w:rsidRPr="00382917">
        <w:t>Many</w:t>
      </w:r>
      <w:r w:rsidR="00EE4FC3">
        <w:t xml:space="preserve"> </w:t>
      </w:r>
      <w:r w:rsidRPr="00382917">
        <w:t>who</w:t>
      </w:r>
      <w:r w:rsidR="00EE4FC3">
        <w:t xml:space="preserve"> </w:t>
      </w:r>
      <w:r w:rsidRPr="00382917">
        <w:t>had</w:t>
      </w:r>
      <w:r w:rsidR="00EE4FC3">
        <w:t xml:space="preserve"> </w:t>
      </w:r>
      <w:r w:rsidRPr="00382917">
        <w:t>been</w:t>
      </w:r>
      <w:r w:rsidR="00EE4FC3">
        <w:t xml:space="preserve"> </w:t>
      </w:r>
      <w:proofErr w:type="spellStart"/>
      <w:r w:rsidRPr="00382917">
        <w:t>opposers</w:t>
      </w:r>
      <w:proofErr w:type="spellEnd"/>
      <w:r w:rsidR="00EE4FC3">
        <w:t xml:space="preserve"> </w:t>
      </w:r>
      <w:r w:rsidRPr="00382917">
        <w:t>became</w:t>
      </w:r>
      <w:r w:rsidR="00EE4FC3">
        <w:t xml:space="preserve"> </w:t>
      </w:r>
      <w:r w:rsidRPr="00382917">
        <w:t>followers</w:t>
      </w:r>
      <w:r w:rsidR="00A93643">
        <w:t>.</w:t>
      </w:r>
      <w:r w:rsidR="00EE4FC3">
        <w:t xml:space="preserve">  </w:t>
      </w:r>
      <w:r w:rsidRPr="00382917">
        <w:t>Many,</w:t>
      </w:r>
      <w:r w:rsidR="00EE4FC3">
        <w:t xml:space="preserve"> </w:t>
      </w:r>
      <w:r w:rsidRPr="00382917">
        <w:t>pointing</w:t>
      </w:r>
      <w:r w:rsidR="00EE4FC3">
        <w:t xml:space="preserve"> </w:t>
      </w:r>
      <w:r w:rsidRPr="00382917">
        <w:t>a</w:t>
      </w:r>
      <w:r w:rsidR="00EE4FC3">
        <w:t xml:space="preserve"> </w:t>
      </w:r>
      <w:r w:rsidRPr="00382917">
        <w:t>finger</w:t>
      </w:r>
      <w:r w:rsidR="00EE4FC3">
        <w:t xml:space="preserve"> </w:t>
      </w:r>
      <w:r w:rsidRPr="00382917">
        <w:t>at</w:t>
      </w:r>
      <w:r w:rsidR="00EE4FC3">
        <w:t xml:space="preserve"> </w:t>
      </w:r>
      <w:r w:rsidRPr="00382917">
        <w:t>the</w:t>
      </w:r>
      <w:r w:rsidR="00EE4FC3">
        <w:t xml:space="preserve"> </w:t>
      </w:r>
      <w:r w:rsidRPr="00382917">
        <w:t>cruel</w:t>
      </w:r>
      <w:r w:rsidR="00EE4FC3">
        <w:t xml:space="preserve"> </w:t>
      </w:r>
      <w:proofErr w:type="spellStart"/>
      <w:r w:rsidRPr="00382917">
        <w:t>behavior</w:t>
      </w:r>
      <w:proofErr w:type="spellEnd"/>
      <w:r w:rsidR="00EE4FC3">
        <w:t xml:space="preserve"> </w:t>
      </w:r>
      <w:r w:rsidRPr="00382917">
        <w:t>of</w:t>
      </w:r>
      <w:r w:rsidR="00EE4FC3">
        <w:t xml:space="preserve"> </w:t>
      </w:r>
      <w:r w:rsidRPr="00382917">
        <w:t>the</w:t>
      </w:r>
      <w:r w:rsidR="00EE4FC3">
        <w:t xml:space="preserve"> </w:t>
      </w:r>
      <w:r w:rsidRPr="00382917">
        <w:t>religious</w:t>
      </w:r>
      <w:r w:rsidR="00EE4FC3">
        <w:t xml:space="preserve"> </w:t>
      </w:r>
      <w:r w:rsidRPr="00382917">
        <w:t>leaders,</w:t>
      </w:r>
      <w:r w:rsidR="00EE4FC3">
        <w:t xml:space="preserve"> </w:t>
      </w:r>
      <w:r w:rsidRPr="00382917">
        <w:t>recalled</w:t>
      </w:r>
      <w:r w:rsidR="00EE4FC3">
        <w:t xml:space="preserve"> </w:t>
      </w:r>
      <w:r w:rsidRPr="00382917">
        <w:t>the</w:t>
      </w:r>
      <w:r w:rsidR="00EE4FC3">
        <w:t xml:space="preserve"> </w:t>
      </w:r>
      <w:r w:rsidRPr="00382917">
        <w:t>well-known</w:t>
      </w:r>
      <w:r w:rsidR="00EE4FC3">
        <w:t xml:space="preserve"> </w:t>
      </w:r>
      <w:r w:rsidRPr="00382917">
        <w:t>prophecy</w:t>
      </w:r>
      <w:r w:rsidR="00EE4FC3">
        <w:t xml:space="preserve"> </w:t>
      </w:r>
      <w:r w:rsidRPr="00382917">
        <w:t>about</w:t>
      </w:r>
      <w:r w:rsidR="00EE4FC3">
        <w:t xml:space="preserve"> </w:t>
      </w:r>
      <w:r w:rsidRPr="00382917">
        <w:t>the</w:t>
      </w:r>
      <w:r w:rsidR="00EE4FC3">
        <w:t xml:space="preserve"> </w:t>
      </w:r>
      <w:r w:rsidRPr="00382917">
        <w:t>Promised</w:t>
      </w:r>
      <w:r w:rsidR="00EE4FC3">
        <w:t xml:space="preserve"> </w:t>
      </w:r>
      <w:r w:rsidRPr="00382917">
        <w:t>One</w:t>
      </w:r>
      <w:r w:rsidR="00C03C91">
        <w:t>:</w:t>
      </w:r>
      <w:r w:rsidR="00EE4FC3">
        <w:t xml:space="preserve">  </w:t>
      </w:r>
      <w:r w:rsidR="009C713D" w:rsidRPr="00382917">
        <w:t>“</w:t>
      </w:r>
      <w:r w:rsidRPr="00382917">
        <w:t>In</w:t>
      </w:r>
      <w:r w:rsidR="00EE4FC3">
        <w:t xml:space="preserve"> </w:t>
      </w:r>
      <w:r w:rsidRPr="00382917">
        <w:t>that</w:t>
      </w:r>
      <w:r w:rsidR="00EE4FC3">
        <w:t xml:space="preserve"> </w:t>
      </w:r>
      <w:r w:rsidRPr="00382917">
        <w:t>day</w:t>
      </w:r>
      <w:r w:rsidR="00EE4FC3">
        <w:t xml:space="preserve"> </w:t>
      </w:r>
      <w:r w:rsidRPr="00382917">
        <w:t>most</w:t>
      </w:r>
      <w:r w:rsidR="00EE4FC3">
        <w:t xml:space="preserve"> </w:t>
      </w:r>
      <w:r w:rsidRPr="00382917">
        <w:t>of</w:t>
      </w:r>
      <w:r w:rsidR="00EE4FC3">
        <w:t xml:space="preserve"> </w:t>
      </w:r>
      <w:r w:rsidRPr="00382917">
        <w:t>His</w:t>
      </w:r>
      <w:r w:rsidR="00EE4FC3">
        <w:t xml:space="preserve"> </w:t>
      </w:r>
      <w:r w:rsidRPr="00382917">
        <w:t>enemies</w:t>
      </w:r>
      <w:r w:rsidR="00EE4FC3">
        <w:t xml:space="preserve"> </w:t>
      </w:r>
      <w:r w:rsidRPr="00382917">
        <w:t>shall</w:t>
      </w:r>
      <w:r w:rsidR="00EE4FC3">
        <w:t xml:space="preserve"> </w:t>
      </w:r>
      <w:r w:rsidRPr="00382917">
        <w:t>be</w:t>
      </w:r>
      <w:r w:rsidR="00EE4FC3">
        <w:t xml:space="preserve"> </w:t>
      </w:r>
      <w:r w:rsidRPr="00382917">
        <w:t>the</w:t>
      </w:r>
      <w:r w:rsidR="00EE4FC3">
        <w:t xml:space="preserve"> </w:t>
      </w:r>
      <w:r w:rsidRPr="00382917">
        <w:t>[religious</w:t>
      </w:r>
      <w:r w:rsidR="00EE4FC3">
        <w:t xml:space="preserve"> </w:t>
      </w:r>
      <w:r w:rsidRPr="00382917">
        <w:t>authorities].</w:t>
      </w:r>
      <w:r w:rsidR="009C713D" w:rsidRPr="00382917">
        <w:t>”</w:t>
      </w:r>
    </w:p>
    <w:p w:rsidR="006E01DB" w:rsidRPr="00382917" w:rsidRDefault="006E01DB" w:rsidP="006E01DB">
      <w:pPr>
        <w:pStyle w:val="Text"/>
      </w:pPr>
      <w:r w:rsidRPr="00382917">
        <w:t>To</w:t>
      </w:r>
      <w:r w:rsidR="00EE4FC3">
        <w:t xml:space="preserve"> </w:t>
      </w:r>
      <w:r w:rsidRPr="00382917">
        <w:t>those</w:t>
      </w:r>
      <w:r w:rsidR="00EE4FC3">
        <w:t xml:space="preserve"> </w:t>
      </w:r>
      <w:r w:rsidRPr="00382917">
        <w:t>who</w:t>
      </w:r>
      <w:r w:rsidR="00EE4FC3">
        <w:t xml:space="preserve"> </w:t>
      </w:r>
      <w:r w:rsidRPr="00382917">
        <w:t>felt</w:t>
      </w:r>
      <w:r w:rsidR="00EE4FC3">
        <w:t xml:space="preserve"> </w:t>
      </w:r>
      <w:r w:rsidRPr="00382917">
        <w:t>great</w:t>
      </w:r>
      <w:r w:rsidR="00EE4FC3">
        <w:t xml:space="preserve"> </w:t>
      </w:r>
      <w:r w:rsidRPr="00382917">
        <w:t>anguish</w:t>
      </w:r>
      <w:r w:rsidR="00EE4FC3">
        <w:t xml:space="preserve"> </w:t>
      </w:r>
      <w:r w:rsidRPr="00382917">
        <w:t>because</w:t>
      </w:r>
      <w:r w:rsidR="00EE4FC3">
        <w:t xml:space="preserve"> </w:t>
      </w:r>
      <w:r w:rsidRPr="00382917">
        <w:t>of</w:t>
      </w:r>
      <w:r w:rsidR="00EE4FC3">
        <w:t xml:space="preserve"> </w:t>
      </w:r>
      <w:r w:rsidRPr="00382917">
        <w:t>the</w:t>
      </w:r>
      <w:r w:rsidR="00EE4FC3">
        <w:t xml:space="preserve"> </w:t>
      </w:r>
      <w:r w:rsidRPr="00382917">
        <w:t>cruelties</w:t>
      </w:r>
      <w:r w:rsidR="00EE4FC3">
        <w:t xml:space="preserve"> </w:t>
      </w:r>
      <w:r w:rsidRPr="00382917">
        <w:t>inflicted</w:t>
      </w:r>
      <w:r w:rsidR="00EE4FC3">
        <w:t xml:space="preserve"> </w:t>
      </w:r>
      <w:r w:rsidRPr="00382917">
        <w:t>upon</w:t>
      </w:r>
      <w:r w:rsidR="00EE4FC3">
        <w:t xml:space="preserve"> </w:t>
      </w:r>
      <w:r w:rsidRPr="00382917">
        <w:t>the</w:t>
      </w:r>
      <w:r w:rsidR="00EE4FC3">
        <w:t xml:space="preserve"> </w:t>
      </w:r>
      <w:r w:rsidRPr="00382917">
        <w:t>gentle</w:t>
      </w:r>
      <w:r w:rsidR="00EE4FC3">
        <w:t xml:space="preserve"> </w:t>
      </w:r>
      <w:r w:rsidRPr="00382917">
        <w:t>Báb,</w:t>
      </w:r>
      <w:r w:rsidR="00EE4FC3">
        <w:t xml:space="preserve"> </w:t>
      </w:r>
      <w:r w:rsidRPr="00382917">
        <w:t>these</w:t>
      </w:r>
      <w:r w:rsidR="00EE4FC3">
        <w:t xml:space="preserve"> </w:t>
      </w:r>
      <w:r w:rsidRPr="00382917">
        <w:t>words</w:t>
      </w:r>
      <w:r w:rsidR="00EE4FC3">
        <w:t xml:space="preserve"> </w:t>
      </w:r>
      <w:r w:rsidRPr="00382917">
        <w:t>of</w:t>
      </w:r>
      <w:r w:rsidR="00EE4FC3">
        <w:t xml:space="preserve"> </w:t>
      </w:r>
      <w:r w:rsidRPr="00382917">
        <w:t>His</w:t>
      </w:r>
      <w:r w:rsidR="00EE4FC3">
        <w:t xml:space="preserve"> </w:t>
      </w:r>
      <w:r w:rsidRPr="00382917">
        <w:t>brought</w:t>
      </w:r>
      <w:r w:rsidR="00EE4FC3">
        <w:t xml:space="preserve"> </w:t>
      </w:r>
      <w:r w:rsidRPr="00382917">
        <w:t>comfort,</w:t>
      </w:r>
      <w:r w:rsidR="00EE4FC3">
        <w:t xml:space="preserve"> </w:t>
      </w:r>
      <w:r w:rsidR="009C713D" w:rsidRPr="00382917">
        <w:t>“</w:t>
      </w:r>
      <w:r w:rsidRPr="00382917">
        <w:t>Be</w:t>
      </w:r>
      <w:r w:rsidR="00EE4FC3">
        <w:t xml:space="preserve"> </w:t>
      </w:r>
      <w:r w:rsidRPr="00382917">
        <w:t>patient</w:t>
      </w:r>
      <w:r w:rsidR="00EE4FC3">
        <w:t xml:space="preserve"> </w:t>
      </w:r>
      <w:r w:rsidR="00F04416" w:rsidRPr="00382917">
        <w:t>…</w:t>
      </w:r>
      <w:r w:rsidR="00EE4FC3">
        <w:t xml:space="preserve"> </w:t>
      </w:r>
      <w:r w:rsidRPr="00382917">
        <w:t>for</w:t>
      </w:r>
      <w:r w:rsidR="00EE4FC3">
        <w:t xml:space="preserve"> </w:t>
      </w:r>
      <w:r w:rsidRPr="00382917">
        <w:t>verily</w:t>
      </w:r>
      <w:r w:rsidR="00EE4FC3">
        <w:t xml:space="preserve"> </w:t>
      </w:r>
      <w:r w:rsidRPr="00382917">
        <w:t>God</w:t>
      </w:r>
      <w:r w:rsidR="00EE4FC3">
        <w:t xml:space="preserve"> </w:t>
      </w:r>
      <w:r w:rsidRPr="00382917">
        <w:t>hath</w:t>
      </w:r>
      <w:r w:rsidR="00EE4FC3">
        <w:t xml:space="preserve"> </w:t>
      </w:r>
      <w:r w:rsidRPr="00382917">
        <w:t>vowed</w:t>
      </w:r>
      <w:r w:rsidR="00EE4FC3">
        <w:t xml:space="preserve"> </w:t>
      </w:r>
      <w:r w:rsidRPr="00382917">
        <w:t>to</w:t>
      </w:r>
      <w:r w:rsidR="00EE4FC3">
        <w:t xml:space="preserve"> </w:t>
      </w:r>
      <w:r w:rsidRPr="00382917">
        <w:t>establish</w:t>
      </w:r>
      <w:r w:rsidR="00EE4FC3">
        <w:t xml:space="preserve"> </w:t>
      </w:r>
      <w:r w:rsidRPr="00382917">
        <w:t>Thy</w:t>
      </w:r>
      <w:r w:rsidR="00EE4FC3">
        <w:t xml:space="preserve"> </w:t>
      </w:r>
      <w:r w:rsidRPr="00382917">
        <w:t>glory</w:t>
      </w:r>
      <w:r w:rsidR="00EE4FC3">
        <w:t xml:space="preserve"> </w:t>
      </w:r>
      <w:r w:rsidRPr="00382917">
        <w:t>in</w:t>
      </w:r>
      <w:r w:rsidR="00EE4FC3">
        <w:t xml:space="preserve"> </w:t>
      </w:r>
      <w:r w:rsidRPr="00382917">
        <w:t>every</w:t>
      </w:r>
      <w:r w:rsidR="00EE4FC3">
        <w:t xml:space="preserve"> </w:t>
      </w:r>
      <w:r w:rsidRPr="00382917">
        <w:t>land,</w:t>
      </w:r>
      <w:r w:rsidR="00EE4FC3">
        <w:t xml:space="preserve"> </w:t>
      </w:r>
      <w:r w:rsidRPr="00382917">
        <w:t>amongst</w:t>
      </w:r>
      <w:r w:rsidR="00EE4FC3">
        <w:t xml:space="preserve"> </w:t>
      </w:r>
      <w:r w:rsidRPr="00382917">
        <w:t>all</w:t>
      </w:r>
      <w:r w:rsidR="00EE4FC3">
        <w:t xml:space="preserve"> </w:t>
      </w:r>
      <w:r w:rsidRPr="00382917">
        <w:t>who</w:t>
      </w:r>
      <w:r w:rsidR="00EE4FC3">
        <w:t xml:space="preserve"> </w:t>
      </w:r>
      <w:r w:rsidRPr="00382917">
        <w:t>dwell</w:t>
      </w:r>
      <w:r w:rsidR="00EE4FC3">
        <w:t xml:space="preserve"> </w:t>
      </w:r>
      <w:r w:rsidRPr="00382917">
        <w:t>on</w:t>
      </w:r>
      <w:r w:rsidR="00EE4FC3">
        <w:t xml:space="preserve"> </w:t>
      </w:r>
      <w:r w:rsidRPr="00382917">
        <w:t>earth.</w:t>
      </w:r>
      <w:r w:rsidR="009C713D" w:rsidRPr="00382917">
        <w:t>”</w:t>
      </w:r>
    </w:p>
    <w:p w:rsidR="006E01DB" w:rsidRPr="00382917" w:rsidRDefault="006E01DB" w:rsidP="006E01DB">
      <w:pPr>
        <w:pStyle w:val="Text"/>
      </w:pPr>
      <w:r w:rsidRPr="00382917">
        <w:t>The</w:t>
      </w:r>
      <w:r w:rsidR="00EE4FC3">
        <w:t xml:space="preserve"> </w:t>
      </w:r>
      <w:r w:rsidRPr="00382917">
        <w:t>trial</w:t>
      </w:r>
      <w:r w:rsidR="00EE4FC3">
        <w:t xml:space="preserve"> </w:t>
      </w:r>
      <w:r w:rsidRPr="00382917">
        <w:t>in</w:t>
      </w:r>
      <w:r w:rsidR="00EE4FC3">
        <w:t xml:space="preserve"> </w:t>
      </w:r>
      <w:r w:rsidRPr="00382917">
        <w:t>Tabríz</w:t>
      </w:r>
      <w:r w:rsidR="00EE4FC3">
        <w:t xml:space="preserve"> </w:t>
      </w:r>
      <w:r w:rsidRPr="00382917">
        <w:t>had</w:t>
      </w:r>
      <w:r w:rsidR="00EE4FC3">
        <w:t xml:space="preserve"> </w:t>
      </w:r>
      <w:r w:rsidRPr="00382917">
        <w:t>enabled</w:t>
      </w:r>
      <w:r w:rsidR="00EE4FC3">
        <w:t xml:space="preserve"> </w:t>
      </w:r>
      <w:r w:rsidRPr="00382917">
        <w:t>the</w:t>
      </w:r>
      <w:r w:rsidR="00EE4FC3">
        <w:t xml:space="preserve"> </w:t>
      </w:r>
      <w:r w:rsidRPr="00382917">
        <w:t>Báb</w:t>
      </w:r>
      <w:r w:rsidR="00EE4FC3">
        <w:t xml:space="preserve"> </w:t>
      </w:r>
      <w:r w:rsidRPr="00382917">
        <w:t>to</w:t>
      </w:r>
      <w:r w:rsidR="00EE4FC3">
        <w:t xml:space="preserve"> </w:t>
      </w:r>
      <w:r w:rsidRPr="00382917">
        <w:t>set</w:t>
      </w:r>
      <w:r w:rsidR="00EE4FC3">
        <w:t xml:space="preserve"> </w:t>
      </w:r>
      <w:r w:rsidRPr="00382917">
        <w:t>forth</w:t>
      </w:r>
      <w:r w:rsidR="00EE4FC3">
        <w:t xml:space="preserve"> </w:t>
      </w:r>
      <w:r w:rsidRPr="00382917">
        <w:t>clearly</w:t>
      </w:r>
      <w:r w:rsidR="00EE4FC3">
        <w:t xml:space="preserve"> </w:t>
      </w:r>
      <w:r w:rsidRPr="00382917">
        <w:t>the</w:t>
      </w:r>
      <w:r w:rsidR="00EE4FC3">
        <w:t xml:space="preserve"> </w:t>
      </w:r>
      <w:r w:rsidRPr="00382917">
        <w:t>fundamental</w:t>
      </w:r>
      <w:r w:rsidR="00EE4FC3">
        <w:t xml:space="preserve"> </w:t>
      </w:r>
      <w:r w:rsidRPr="00382917">
        <w:t>features</w:t>
      </w:r>
      <w:r w:rsidR="00EE4FC3">
        <w:t xml:space="preserve"> </w:t>
      </w:r>
      <w:r w:rsidRPr="00382917">
        <w:t>of</w:t>
      </w:r>
      <w:r w:rsidR="00EE4FC3">
        <w:t xml:space="preserve"> </w:t>
      </w:r>
      <w:r w:rsidRPr="00382917">
        <w:t>His</w:t>
      </w:r>
      <w:r w:rsidR="00EE4FC3">
        <w:t xml:space="preserve"> </w:t>
      </w:r>
      <w:r w:rsidRPr="00382917">
        <w:t>Faith</w:t>
      </w:r>
      <w:r w:rsidR="00A93643">
        <w:t>.</w:t>
      </w:r>
      <w:r w:rsidR="00EE4FC3">
        <w:t xml:space="preserve">  </w:t>
      </w:r>
      <w:r w:rsidRPr="00382917">
        <w:t>It</w:t>
      </w:r>
      <w:r w:rsidR="00EE4FC3">
        <w:t xml:space="preserve"> </w:t>
      </w:r>
      <w:r w:rsidRPr="00382917">
        <w:t>had</w:t>
      </w:r>
      <w:r w:rsidR="00EE4FC3">
        <w:t xml:space="preserve"> </w:t>
      </w:r>
      <w:r w:rsidRPr="00382917">
        <w:t>also</w:t>
      </w:r>
      <w:r w:rsidR="00EE4FC3">
        <w:t xml:space="preserve"> </w:t>
      </w:r>
      <w:r w:rsidRPr="00382917">
        <w:t>enabled</w:t>
      </w:r>
      <w:r w:rsidR="00EE4FC3">
        <w:t xml:space="preserve"> </w:t>
      </w:r>
      <w:r w:rsidRPr="00382917">
        <w:t>Him</w:t>
      </w:r>
      <w:r w:rsidR="00EE4FC3">
        <w:t xml:space="preserve"> </w:t>
      </w:r>
      <w:r w:rsidRPr="00382917">
        <w:t>to</w:t>
      </w:r>
      <w:r w:rsidR="00EE4FC3">
        <w:t xml:space="preserve"> </w:t>
      </w:r>
      <w:r w:rsidRPr="00382917">
        <w:t>destroy,</w:t>
      </w:r>
      <w:r w:rsidR="00EE4FC3">
        <w:t xml:space="preserve"> </w:t>
      </w:r>
      <w:r w:rsidRPr="00382917">
        <w:t>in</w:t>
      </w:r>
      <w:r w:rsidR="00EE4FC3">
        <w:t xml:space="preserve"> </w:t>
      </w:r>
      <w:r w:rsidRPr="00382917">
        <w:t>brief</w:t>
      </w:r>
      <w:r w:rsidR="00EE4FC3">
        <w:t xml:space="preserve"> </w:t>
      </w:r>
      <w:r w:rsidRPr="00382917">
        <w:t>and</w:t>
      </w:r>
      <w:r w:rsidR="00EE4FC3">
        <w:t xml:space="preserve"> </w:t>
      </w:r>
      <w:r w:rsidRPr="00382917">
        <w:t>convincing</w:t>
      </w:r>
      <w:r w:rsidR="00EE4FC3">
        <w:t xml:space="preserve"> </w:t>
      </w:r>
      <w:r w:rsidRPr="00382917">
        <w:t>language,</w:t>
      </w:r>
      <w:r w:rsidR="00EE4FC3">
        <w:t xml:space="preserve"> </w:t>
      </w:r>
      <w:r w:rsidRPr="00382917">
        <w:t>the</w:t>
      </w:r>
      <w:r w:rsidR="00EE4FC3">
        <w:t xml:space="preserve"> </w:t>
      </w:r>
      <w:r w:rsidRPr="00382917">
        <w:t>arguments</w:t>
      </w:r>
      <w:r w:rsidR="00EE4FC3">
        <w:t xml:space="preserve"> </w:t>
      </w:r>
      <w:r w:rsidRPr="00382917">
        <w:t>of</w:t>
      </w:r>
      <w:r w:rsidR="00EE4FC3">
        <w:t xml:space="preserve"> </w:t>
      </w:r>
      <w:r w:rsidRPr="00382917">
        <w:t>His</w:t>
      </w:r>
      <w:r w:rsidR="00EE4FC3">
        <w:t xml:space="preserve"> </w:t>
      </w:r>
      <w:r w:rsidRPr="00382917">
        <w:t>enemies.</w:t>
      </w:r>
    </w:p>
    <w:p w:rsidR="006E01DB" w:rsidRPr="00382917" w:rsidRDefault="006E01DB" w:rsidP="006E01DB">
      <w:pPr>
        <w:pStyle w:val="Text"/>
      </w:pPr>
      <w:r w:rsidRPr="00382917">
        <w:t>As</w:t>
      </w:r>
      <w:r w:rsidR="00EE4FC3">
        <w:t xml:space="preserve"> </w:t>
      </w:r>
      <w:r w:rsidRPr="00382917">
        <w:t>Jesus</w:t>
      </w:r>
      <w:r w:rsidR="00EE4FC3">
        <w:t xml:space="preserve"> </w:t>
      </w:r>
      <w:r w:rsidRPr="00382917">
        <w:t>had</w:t>
      </w:r>
      <w:r w:rsidR="00EE4FC3">
        <w:t xml:space="preserve"> </w:t>
      </w:r>
      <w:r w:rsidRPr="00382917">
        <w:t>said</w:t>
      </w:r>
      <w:r w:rsidR="00C03C91">
        <w:t>:</w:t>
      </w:r>
      <w:r w:rsidR="00EE4FC3">
        <w:t xml:space="preserve">  </w:t>
      </w:r>
      <w:r w:rsidRPr="00382917">
        <w:t>My</w:t>
      </w:r>
      <w:r w:rsidR="00EE4FC3">
        <w:t xml:space="preserve"> </w:t>
      </w:r>
      <w:r w:rsidRPr="00382917">
        <w:t>teaching</w:t>
      </w:r>
      <w:r w:rsidR="00EE4FC3">
        <w:t xml:space="preserve"> </w:t>
      </w:r>
      <w:r w:rsidRPr="00382917">
        <w:t>is</w:t>
      </w:r>
      <w:r w:rsidR="00EE4FC3">
        <w:t xml:space="preserve"> </w:t>
      </w:r>
      <w:r w:rsidRPr="00382917">
        <w:t>not</w:t>
      </w:r>
      <w:r w:rsidR="00EE4FC3">
        <w:t xml:space="preserve"> </w:t>
      </w:r>
      <w:proofErr w:type="gramStart"/>
      <w:r w:rsidRPr="00382917">
        <w:t>Mine</w:t>
      </w:r>
      <w:proofErr w:type="gramEnd"/>
      <w:r w:rsidRPr="00382917">
        <w:t>,</w:t>
      </w:r>
      <w:r w:rsidR="00EE4FC3">
        <w:t xml:space="preserve"> </w:t>
      </w:r>
      <w:r w:rsidRPr="00382917">
        <w:t>but</w:t>
      </w:r>
      <w:r w:rsidR="00EE4FC3">
        <w:t xml:space="preserve"> </w:t>
      </w:r>
      <w:r w:rsidRPr="00382917">
        <w:t>His</w:t>
      </w:r>
      <w:r w:rsidR="00EE4FC3">
        <w:t xml:space="preserve"> </w:t>
      </w:r>
      <w:r w:rsidRPr="00382917">
        <w:t>that</w:t>
      </w:r>
      <w:r w:rsidR="00EE4FC3">
        <w:t xml:space="preserve"> </w:t>
      </w:r>
      <w:r w:rsidRPr="00382917">
        <w:t>sent</w:t>
      </w:r>
      <w:r w:rsidR="00EE4FC3">
        <w:t xml:space="preserve"> </w:t>
      </w:r>
      <w:r w:rsidRPr="00382917">
        <w:t>Me;</w:t>
      </w:r>
      <w:r w:rsidR="00EE4FC3">
        <w:t xml:space="preserve"> </w:t>
      </w:r>
      <w:r w:rsidRPr="00382917">
        <w:t>the</w:t>
      </w:r>
      <w:r w:rsidR="00EE4FC3">
        <w:t xml:space="preserve"> </w:t>
      </w:r>
      <w:r w:rsidRPr="00382917">
        <w:t>Báb,</w:t>
      </w:r>
      <w:r w:rsidR="00EE4FC3">
        <w:t xml:space="preserve"> </w:t>
      </w:r>
      <w:r w:rsidRPr="00382917">
        <w:t>too,</w:t>
      </w:r>
      <w:r w:rsidR="00EE4FC3">
        <w:t xml:space="preserve"> </w:t>
      </w:r>
      <w:r w:rsidRPr="00382917">
        <w:t>made</w:t>
      </w:r>
      <w:r w:rsidR="00EE4FC3">
        <w:t xml:space="preserve"> </w:t>
      </w:r>
      <w:r w:rsidRPr="00382917">
        <w:t>it</w:t>
      </w:r>
      <w:r w:rsidR="00EE4FC3">
        <w:t xml:space="preserve"> </w:t>
      </w:r>
      <w:r w:rsidRPr="00382917">
        <w:t>plain</w:t>
      </w:r>
      <w:r w:rsidR="00EE4FC3">
        <w:t xml:space="preserve"> </w:t>
      </w:r>
      <w:r w:rsidRPr="00382917">
        <w:t>that</w:t>
      </w:r>
      <w:r w:rsidR="00EE4FC3">
        <w:t xml:space="preserve"> </w:t>
      </w:r>
      <w:r w:rsidRPr="00382917">
        <w:t>His</w:t>
      </w:r>
      <w:r w:rsidR="00EE4FC3">
        <w:t xml:space="preserve"> </w:t>
      </w:r>
      <w:r w:rsidRPr="00382917">
        <w:t>message</w:t>
      </w:r>
      <w:r w:rsidR="00EE4FC3">
        <w:t xml:space="preserve"> </w:t>
      </w:r>
      <w:r w:rsidRPr="00382917">
        <w:t>was</w:t>
      </w:r>
      <w:r w:rsidR="00EE4FC3">
        <w:t xml:space="preserve"> </w:t>
      </w:r>
      <w:r w:rsidRPr="00382917">
        <w:t>an</w:t>
      </w:r>
      <w:r w:rsidR="00EE4FC3">
        <w:t xml:space="preserve"> </w:t>
      </w:r>
      <w:r w:rsidRPr="00382917">
        <w:t>outpouring</w:t>
      </w:r>
      <w:r w:rsidR="00EE4FC3">
        <w:t xml:space="preserve"> </w:t>
      </w:r>
      <w:r w:rsidRPr="00382917">
        <w:t>from</w:t>
      </w:r>
      <w:r w:rsidR="00EE4FC3">
        <w:t xml:space="preserve"> </w:t>
      </w:r>
      <w:r w:rsidRPr="00382917">
        <w:t>One</w:t>
      </w:r>
      <w:r w:rsidR="00EE4FC3">
        <w:t xml:space="preserve"> </w:t>
      </w:r>
      <w:r w:rsidRPr="00382917">
        <w:t>greater</w:t>
      </w:r>
      <w:r w:rsidR="00EE4FC3">
        <w:t xml:space="preserve"> </w:t>
      </w:r>
      <w:r w:rsidRPr="00382917">
        <w:t>than</w:t>
      </w:r>
      <w:r w:rsidR="00EE4FC3">
        <w:t xml:space="preserve"> </w:t>
      </w:r>
      <w:r w:rsidRPr="00382917">
        <w:t>Himself</w:t>
      </w:r>
      <w:r w:rsidR="00A93643">
        <w:t>.</w:t>
      </w:r>
      <w:r w:rsidR="00EE4FC3">
        <w:t xml:space="preserve">  </w:t>
      </w:r>
      <w:r w:rsidRPr="00382917">
        <w:t>His</w:t>
      </w:r>
      <w:r w:rsidR="00EE4FC3">
        <w:t xml:space="preserve"> </w:t>
      </w:r>
      <w:r w:rsidRPr="00382917">
        <w:t>purpose</w:t>
      </w:r>
      <w:r w:rsidR="00EE4FC3">
        <w:t xml:space="preserve"> </w:t>
      </w:r>
      <w:r w:rsidRPr="00382917">
        <w:t>was</w:t>
      </w:r>
      <w:r w:rsidR="00EE4FC3">
        <w:t xml:space="preserve"> </w:t>
      </w:r>
      <w:r w:rsidRPr="00382917">
        <w:t>to</w:t>
      </w:r>
      <w:r w:rsidR="00EE4FC3">
        <w:t xml:space="preserve"> </w:t>
      </w:r>
      <w:r w:rsidRPr="00382917">
        <w:t>proclaim</w:t>
      </w:r>
      <w:r w:rsidR="00EE4FC3">
        <w:t xml:space="preserve"> </w:t>
      </w:r>
      <w:r w:rsidRPr="00382917">
        <w:t>the</w:t>
      </w:r>
      <w:r w:rsidR="00EE4FC3">
        <w:t xml:space="preserve"> </w:t>
      </w:r>
      <w:r w:rsidRPr="00382917">
        <w:t>Word</w:t>
      </w:r>
      <w:r w:rsidR="00EE4FC3">
        <w:t xml:space="preserve"> </w:t>
      </w:r>
      <w:r w:rsidRPr="00382917">
        <w:t>of</w:t>
      </w:r>
      <w:r w:rsidR="00EE4FC3">
        <w:t xml:space="preserve"> </w:t>
      </w:r>
      <w:r w:rsidRPr="00382917">
        <w:t>God</w:t>
      </w:r>
      <w:r w:rsidR="00EE4FC3">
        <w:t xml:space="preserve"> </w:t>
      </w:r>
      <w:r w:rsidRPr="00382917">
        <w:t>as</w:t>
      </w:r>
      <w:r w:rsidR="00EE4FC3">
        <w:t xml:space="preserve"> </w:t>
      </w:r>
      <w:r w:rsidRPr="00382917">
        <w:t>a</w:t>
      </w:r>
      <w:r w:rsidR="00EE4FC3">
        <w:t xml:space="preserve"> </w:t>
      </w:r>
      <w:r w:rsidRPr="00382917">
        <w:t>Messenger</w:t>
      </w:r>
      <w:r w:rsidR="00EE4FC3">
        <w:t xml:space="preserve"> </w:t>
      </w:r>
      <w:r w:rsidRPr="00382917">
        <w:t>of</w:t>
      </w:r>
      <w:r w:rsidR="00EE4FC3">
        <w:t xml:space="preserve"> </w:t>
      </w:r>
      <w:r w:rsidRPr="00382917">
        <w:t>God</w:t>
      </w:r>
      <w:r w:rsidR="00A93643">
        <w:t>.</w:t>
      </w:r>
      <w:r w:rsidR="00EE4FC3">
        <w:t xml:space="preserve">  </w:t>
      </w:r>
      <w:r w:rsidRPr="00382917">
        <w:t>The</w:t>
      </w:r>
      <w:r w:rsidR="00EE4FC3">
        <w:t xml:space="preserve"> </w:t>
      </w:r>
      <w:r w:rsidRPr="00382917">
        <w:t>people</w:t>
      </w:r>
      <w:r w:rsidR="00EE4FC3">
        <w:t xml:space="preserve"> </w:t>
      </w:r>
      <w:r w:rsidRPr="00382917">
        <w:t>were</w:t>
      </w:r>
      <w:r w:rsidR="00EE4FC3">
        <w:t xml:space="preserve"> </w:t>
      </w:r>
      <w:r w:rsidRPr="00382917">
        <w:t>free</w:t>
      </w:r>
      <w:r w:rsidR="00EE4FC3">
        <w:t xml:space="preserve"> </w:t>
      </w:r>
      <w:r w:rsidRPr="00382917">
        <w:t>to</w:t>
      </w:r>
      <w:r w:rsidR="00EE4FC3">
        <w:t xml:space="preserve"> </w:t>
      </w:r>
      <w:r w:rsidRPr="00382917">
        <w:t>believe</w:t>
      </w:r>
      <w:r w:rsidR="00EE4FC3">
        <w:t xml:space="preserve"> </w:t>
      </w:r>
      <w:r w:rsidRPr="00382917">
        <w:t>or</w:t>
      </w:r>
      <w:r w:rsidR="00EE4FC3">
        <w:t xml:space="preserve"> </w:t>
      </w:r>
      <w:r w:rsidRPr="00382917">
        <w:t>not,</w:t>
      </w:r>
      <w:r w:rsidR="00EE4FC3">
        <w:t xml:space="preserve"> </w:t>
      </w:r>
      <w:r w:rsidRPr="00382917">
        <w:t>as</w:t>
      </w:r>
      <w:r w:rsidR="00EE4FC3">
        <w:t xml:space="preserve"> </w:t>
      </w:r>
      <w:r w:rsidRPr="00382917">
        <w:t>they</w:t>
      </w:r>
      <w:r w:rsidR="00EE4FC3">
        <w:t xml:space="preserve"> </w:t>
      </w:r>
      <w:r w:rsidRPr="00382917">
        <w:t>chose.</w:t>
      </w:r>
    </w:p>
    <w:p w:rsidR="006E01DB" w:rsidRPr="00382917" w:rsidRDefault="006E01DB" w:rsidP="006E01DB">
      <w:pPr>
        <w:pStyle w:val="Text"/>
      </w:pPr>
      <w:r w:rsidRPr="00382917">
        <w:t>When</w:t>
      </w:r>
      <w:r w:rsidR="00EE4FC3">
        <w:t xml:space="preserve"> </w:t>
      </w:r>
      <w:r w:rsidRPr="00382917">
        <w:t>the</w:t>
      </w:r>
      <w:r w:rsidR="00EE4FC3">
        <w:t xml:space="preserve"> </w:t>
      </w:r>
      <w:r w:rsidRPr="00382917">
        <w:t>Báb</w:t>
      </w:r>
      <w:r w:rsidR="00EE4FC3">
        <w:t xml:space="preserve"> </w:t>
      </w:r>
      <w:r w:rsidRPr="00382917">
        <w:t>returned</w:t>
      </w:r>
      <w:r w:rsidR="00EE4FC3">
        <w:t xml:space="preserve"> </w:t>
      </w:r>
      <w:r w:rsidRPr="00382917">
        <w:t>to</w:t>
      </w:r>
      <w:r w:rsidR="00EE4FC3">
        <w:t xml:space="preserve"> </w:t>
      </w:r>
      <w:r w:rsidRPr="00382917">
        <w:t>the</w:t>
      </w:r>
      <w:r w:rsidR="00EE4FC3">
        <w:t xml:space="preserve"> </w:t>
      </w:r>
      <w:r w:rsidRPr="00382917">
        <w:t>prison-fortress</w:t>
      </w:r>
      <w:r w:rsidR="00EE4FC3">
        <w:t xml:space="preserve"> </w:t>
      </w:r>
      <w:r w:rsidRPr="00382917">
        <w:t>of</w:t>
      </w:r>
      <w:r w:rsidR="00EE4FC3">
        <w:t xml:space="preserve"> </w:t>
      </w:r>
      <w:r w:rsidR="001713B3" w:rsidRPr="001713B3">
        <w:rPr>
          <w:u w:val="single"/>
        </w:rPr>
        <w:t>Ch</w:t>
      </w:r>
      <w:r w:rsidR="001713B3" w:rsidRPr="00382917">
        <w:t>ihríq</w:t>
      </w:r>
      <w:r w:rsidRPr="00382917">
        <w:t>,</w:t>
      </w:r>
      <w:r w:rsidR="00EE4FC3">
        <w:t xml:space="preserve"> </w:t>
      </w:r>
      <w:r w:rsidRPr="00382917">
        <w:t>He</w:t>
      </w:r>
      <w:r w:rsidR="00EE4FC3">
        <w:t xml:space="preserve"> </w:t>
      </w:r>
      <w:r w:rsidRPr="00382917">
        <w:t>wrote</w:t>
      </w:r>
      <w:r w:rsidR="00EE4FC3">
        <w:t xml:space="preserve"> </w:t>
      </w:r>
      <w:r w:rsidRPr="00382917">
        <w:t>a</w:t>
      </w:r>
      <w:r w:rsidR="00EE4FC3">
        <w:t xml:space="preserve"> </w:t>
      </w:r>
      <w:r w:rsidRPr="00382917">
        <w:t>moving</w:t>
      </w:r>
      <w:r w:rsidR="00EE4FC3">
        <w:t xml:space="preserve"> </w:t>
      </w:r>
      <w:r w:rsidRPr="00382917">
        <w:t>letter</w:t>
      </w:r>
      <w:r w:rsidR="00EE4FC3">
        <w:t xml:space="preserve"> </w:t>
      </w:r>
      <w:r w:rsidRPr="00382917">
        <w:t>denouncing</w:t>
      </w:r>
      <w:r w:rsidR="00EE4FC3">
        <w:t xml:space="preserve"> </w:t>
      </w:r>
      <w:r w:rsidRPr="00382917">
        <w:t>the</w:t>
      </w:r>
      <w:r w:rsidR="00EE4FC3">
        <w:t xml:space="preserve"> </w:t>
      </w:r>
      <w:r w:rsidRPr="00382917">
        <w:t>treacherous</w:t>
      </w:r>
      <w:r w:rsidR="00EE4FC3">
        <w:t xml:space="preserve"> </w:t>
      </w:r>
      <w:r w:rsidRPr="00382917">
        <w:t>Prime</w:t>
      </w:r>
      <w:r w:rsidR="00EE4FC3">
        <w:t xml:space="preserve"> </w:t>
      </w:r>
      <w:r w:rsidRPr="00382917">
        <w:t>Minister,</w:t>
      </w:r>
      <w:r w:rsidR="00EE4FC3">
        <w:t xml:space="preserve"> </w:t>
      </w:r>
      <w:r w:rsidRPr="00382917">
        <w:t>Ḥájí</w:t>
      </w:r>
      <w:r w:rsidR="00EE4FC3">
        <w:t xml:space="preserve"> </w:t>
      </w:r>
      <w:r w:rsidRPr="00382917">
        <w:t>Mírzá</w:t>
      </w:r>
      <w:r w:rsidR="00EE4FC3">
        <w:t xml:space="preserve"> </w:t>
      </w:r>
      <w:r w:rsidRPr="00382917">
        <w:t>Áqásí</w:t>
      </w:r>
      <w:r w:rsidR="00A93643">
        <w:t>.</w:t>
      </w:r>
      <w:r w:rsidR="00EE4FC3">
        <w:t xml:space="preserve">  </w:t>
      </w:r>
      <w:r w:rsidRPr="00382917">
        <w:t>It</w:t>
      </w:r>
      <w:r w:rsidR="00EE4FC3">
        <w:t xml:space="preserve"> </w:t>
      </w:r>
      <w:r w:rsidRPr="00382917">
        <w:t>foretold</w:t>
      </w:r>
      <w:r w:rsidR="00EE4FC3">
        <w:t xml:space="preserve"> </w:t>
      </w:r>
      <w:r w:rsidRPr="00382917">
        <w:t>his</w:t>
      </w:r>
      <w:r w:rsidR="00EE4FC3">
        <w:t xml:space="preserve"> </w:t>
      </w:r>
      <w:r w:rsidRPr="00382917">
        <w:t>downfall</w:t>
      </w:r>
      <w:r w:rsidR="00EE4FC3">
        <w:t xml:space="preserve"> </w:t>
      </w:r>
      <w:r w:rsidRPr="00382917">
        <w:t>soon</w:t>
      </w:r>
      <w:r w:rsidR="00EE4FC3">
        <w:t xml:space="preserve"> </w:t>
      </w:r>
      <w:r w:rsidRPr="00382917">
        <w:t>to</w:t>
      </w:r>
      <w:r w:rsidR="00EE4FC3">
        <w:t xml:space="preserve"> </w:t>
      </w:r>
      <w:r w:rsidRPr="00382917">
        <w:t>come</w:t>
      </w:r>
      <w:r w:rsidR="00A93643">
        <w:t>.</w:t>
      </w:r>
      <w:r w:rsidR="00EE4FC3">
        <w:t xml:space="preserve">  </w:t>
      </w:r>
      <w:r w:rsidRPr="00382917">
        <w:t>This</w:t>
      </w:r>
      <w:r w:rsidR="00EE4FC3">
        <w:t xml:space="preserve"> </w:t>
      </w:r>
      <w:r w:rsidRPr="00382917">
        <w:t>was</w:t>
      </w:r>
      <w:r w:rsidR="00EE4FC3">
        <w:t xml:space="preserve"> </w:t>
      </w:r>
      <w:r w:rsidRPr="00382917">
        <w:t>written</w:t>
      </w:r>
      <w:r w:rsidR="00EE4FC3">
        <w:t xml:space="preserve"> </w:t>
      </w:r>
      <w:r w:rsidRPr="00382917">
        <w:t>as</w:t>
      </w:r>
      <w:r w:rsidR="00EE4FC3">
        <w:t xml:space="preserve"> </w:t>
      </w:r>
      <w:r w:rsidRPr="00382917">
        <w:t>a</w:t>
      </w:r>
      <w:r w:rsidR="00EE4FC3">
        <w:t xml:space="preserve"> </w:t>
      </w:r>
      <w:r w:rsidRPr="00382917">
        <w:t>warning</w:t>
      </w:r>
      <w:r w:rsidR="00EE4FC3">
        <w:t xml:space="preserve"> </w:t>
      </w:r>
      <w:r w:rsidRPr="00382917">
        <w:t>to</w:t>
      </w:r>
      <w:r w:rsidR="00EE4FC3">
        <w:t xml:space="preserve"> </w:t>
      </w:r>
      <w:r w:rsidRPr="00382917">
        <w:t>all</w:t>
      </w:r>
      <w:r w:rsidR="00EE4FC3">
        <w:t xml:space="preserve"> </w:t>
      </w:r>
      <w:r w:rsidRPr="00382917">
        <w:t>such</w:t>
      </w:r>
      <w:r w:rsidR="00EE4FC3">
        <w:t xml:space="preserve"> </w:t>
      </w:r>
      <w:r w:rsidRPr="00382917">
        <w:t>leaders</w:t>
      </w:r>
      <w:r w:rsidR="00EE4FC3">
        <w:t xml:space="preserve"> </w:t>
      </w:r>
      <w:r w:rsidRPr="00382917">
        <w:t>who,</w:t>
      </w:r>
      <w:r w:rsidR="00EE4FC3">
        <w:t xml:space="preserve"> </w:t>
      </w:r>
      <w:r w:rsidRPr="00382917">
        <w:t>refusing</w:t>
      </w:r>
      <w:r w:rsidR="00EE4FC3">
        <w:t xml:space="preserve"> </w:t>
      </w:r>
      <w:r w:rsidRPr="00382917">
        <w:t>the</w:t>
      </w:r>
      <w:r w:rsidR="00EE4FC3">
        <w:t xml:space="preserve"> </w:t>
      </w:r>
      <w:r w:rsidRPr="00382917">
        <w:t>truth</w:t>
      </w:r>
      <w:r w:rsidR="00EE4FC3">
        <w:t xml:space="preserve"> </w:t>
      </w:r>
      <w:proofErr w:type="gramStart"/>
      <w:r w:rsidRPr="00382917">
        <w:t>themselves,</w:t>
      </w:r>
      <w:proofErr w:type="gramEnd"/>
      <w:r w:rsidR="00EE4FC3">
        <w:t xml:space="preserve"> </w:t>
      </w:r>
      <w:r w:rsidRPr="00382917">
        <w:t>had</w:t>
      </w:r>
      <w:r w:rsidR="00EE4FC3">
        <w:t xml:space="preserve"> </w:t>
      </w:r>
      <w:r w:rsidRPr="00382917">
        <w:t>shut</w:t>
      </w:r>
      <w:r w:rsidR="00EE4FC3">
        <w:t xml:space="preserve"> </w:t>
      </w:r>
      <w:r w:rsidRPr="00382917">
        <w:t>the</w:t>
      </w:r>
      <w:r w:rsidR="00EE4FC3">
        <w:t xml:space="preserve"> </w:t>
      </w:r>
      <w:r w:rsidRPr="00382917">
        <w:t>door</w:t>
      </w:r>
      <w:r w:rsidR="00EE4FC3">
        <w:t xml:space="preserve"> </w:t>
      </w:r>
      <w:r w:rsidRPr="00382917">
        <w:t>in</w:t>
      </w:r>
      <w:r w:rsidR="00EE4FC3">
        <w:t xml:space="preserve"> </w:t>
      </w:r>
      <w:r w:rsidRPr="00382917">
        <w:t>the</w:t>
      </w:r>
      <w:r w:rsidR="00EE4FC3">
        <w:t xml:space="preserve"> </w:t>
      </w:r>
      <w:r w:rsidRPr="00382917">
        <w:t>face</w:t>
      </w:r>
      <w:r w:rsidR="00EE4FC3">
        <w:t xml:space="preserve"> </w:t>
      </w:r>
      <w:r w:rsidRPr="00382917">
        <w:t>of</w:t>
      </w:r>
      <w:r w:rsidR="00EE4FC3">
        <w:t xml:space="preserve"> </w:t>
      </w:r>
      <w:r w:rsidRPr="00382917">
        <w:t>those</w:t>
      </w:r>
      <w:r w:rsidR="00EE4FC3">
        <w:t xml:space="preserve"> </w:t>
      </w:r>
      <w:r w:rsidRPr="00382917">
        <w:t>whose</w:t>
      </w:r>
      <w:r w:rsidR="00EE4FC3">
        <w:t xml:space="preserve"> </w:t>
      </w:r>
      <w:r w:rsidRPr="00382917">
        <w:t>destiny</w:t>
      </w:r>
      <w:r w:rsidR="00EE4FC3">
        <w:t xml:space="preserve"> </w:t>
      </w:r>
      <w:r w:rsidRPr="00382917">
        <w:t>they</w:t>
      </w:r>
      <w:r w:rsidR="00EE4FC3">
        <w:t xml:space="preserve"> </w:t>
      </w:r>
      <w:r w:rsidRPr="00382917">
        <w:t>held</w:t>
      </w:r>
      <w:r w:rsidR="00EE4FC3">
        <w:t xml:space="preserve"> </w:t>
      </w:r>
      <w:r w:rsidRPr="00382917">
        <w:t>in</w:t>
      </w:r>
      <w:r w:rsidR="00EE4FC3">
        <w:t xml:space="preserve"> </w:t>
      </w:r>
      <w:r w:rsidRPr="00382917">
        <w:t>their</w:t>
      </w:r>
      <w:r w:rsidR="00EE4FC3">
        <w:t xml:space="preserve"> </w:t>
      </w:r>
      <w:r w:rsidRPr="00382917">
        <w:t>power.</w:t>
      </w:r>
    </w:p>
    <w:p w:rsidR="00E13D49" w:rsidRPr="00382917" w:rsidRDefault="006E01DB" w:rsidP="00210A1B">
      <w:pPr>
        <w:pStyle w:val="Text"/>
      </w:pPr>
      <w:r w:rsidRPr="00382917">
        <w:t>The</w:t>
      </w:r>
      <w:r w:rsidR="00EE4FC3">
        <w:t xml:space="preserve"> </w:t>
      </w:r>
      <w:r w:rsidRPr="00382917">
        <w:t>Báb</w:t>
      </w:r>
      <w:r w:rsidR="00EE4FC3">
        <w:t xml:space="preserve"> </w:t>
      </w:r>
      <w:r w:rsidRPr="00382917">
        <w:t>gave</w:t>
      </w:r>
      <w:r w:rsidR="00EE4FC3">
        <w:t xml:space="preserve"> </w:t>
      </w:r>
      <w:r w:rsidRPr="00382917">
        <w:t>the</w:t>
      </w:r>
      <w:r w:rsidR="00EE4FC3">
        <w:t xml:space="preserve"> </w:t>
      </w:r>
      <w:r w:rsidRPr="00382917">
        <w:t>letter</w:t>
      </w:r>
      <w:r w:rsidR="00EE4FC3">
        <w:t xml:space="preserve"> </w:t>
      </w:r>
      <w:r w:rsidRPr="00382917">
        <w:t>to</w:t>
      </w:r>
      <w:r w:rsidR="00EE4FC3">
        <w:t xml:space="preserve"> </w:t>
      </w:r>
      <w:r w:rsidRPr="00382917">
        <w:t>one</w:t>
      </w:r>
      <w:r w:rsidR="00EE4FC3">
        <w:t xml:space="preserve"> </w:t>
      </w:r>
      <w:r w:rsidRPr="00382917">
        <w:t>of</w:t>
      </w:r>
      <w:r w:rsidR="00EE4FC3">
        <w:t xml:space="preserve"> </w:t>
      </w:r>
      <w:r w:rsidRPr="00382917">
        <w:t>His</w:t>
      </w:r>
      <w:r w:rsidR="00EE4FC3">
        <w:t xml:space="preserve"> </w:t>
      </w:r>
      <w:r w:rsidRPr="00382917">
        <w:t>disciples</w:t>
      </w:r>
      <w:r w:rsidR="00EE4FC3">
        <w:t xml:space="preserve"> </w:t>
      </w:r>
      <w:r w:rsidRPr="00382917">
        <w:t>and</w:t>
      </w:r>
      <w:r w:rsidR="00EE4FC3">
        <w:t xml:space="preserve"> </w:t>
      </w:r>
      <w:r w:rsidRPr="00382917">
        <w:t>told</w:t>
      </w:r>
      <w:r w:rsidR="00EE4FC3">
        <w:t xml:space="preserve"> </w:t>
      </w:r>
      <w:r w:rsidRPr="00382917">
        <w:t>him</w:t>
      </w:r>
      <w:r w:rsidR="00EE4FC3">
        <w:t xml:space="preserve"> </w:t>
      </w:r>
      <w:r w:rsidRPr="00382917">
        <w:t>to</w:t>
      </w:r>
      <w:r w:rsidR="00EE4FC3">
        <w:t xml:space="preserve"> </w:t>
      </w:r>
      <w:r w:rsidRPr="00382917">
        <w:t>deliver</w:t>
      </w:r>
      <w:r w:rsidR="00EE4FC3">
        <w:t xml:space="preserve"> </w:t>
      </w:r>
      <w:r w:rsidRPr="00382917">
        <w:t>it</w:t>
      </w:r>
      <w:r w:rsidR="00EE4FC3">
        <w:t xml:space="preserve"> </w:t>
      </w:r>
      <w:r w:rsidRPr="00382917">
        <w:t>personally</w:t>
      </w:r>
      <w:r w:rsidR="00EE4FC3">
        <w:t xml:space="preserve"> </w:t>
      </w:r>
      <w:r w:rsidRPr="00382917">
        <w:t>into</w:t>
      </w:r>
      <w:r w:rsidR="00EE4FC3">
        <w:t xml:space="preserve"> </w:t>
      </w:r>
      <w:r w:rsidRPr="00382917">
        <w:t>the</w:t>
      </w:r>
      <w:r w:rsidR="00EE4FC3">
        <w:t xml:space="preserve"> </w:t>
      </w:r>
      <w:r w:rsidRPr="00382917">
        <w:t>hands</w:t>
      </w:r>
      <w:r w:rsidR="00EE4FC3">
        <w:t xml:space="preserve"> </w:t>
      </w:r>
      <w:r w:rsidRPr="00382917">
        <w:t>of</w:t>
      </w:r>
      <w:r w:rsidR="00EE4FC3">
        <w:t xml:space="preserve"> </w:t>
      </w:r>
      <w:r w:rsidRPr="00382917">
        <w:t>Ḥájí</w:t>
      </w:r>
      <w:r w:rsidR="00EE4FC3">
        <w:t xml:space="preserve"> </w:t>
      </w:r>
      <w:r w:rsidRPr="00382917">
        <w:t>Mírzá</w:t>
      </w:r>
      <w:r w:rsidR="00EE4FC3">
        <w:t xml:space="preserve"> </w:t>
      </w:r>
      <w:r w:rsidRPr="00382917">
        <w:t>Áqásí</w:t>
      </w:r>
      <w:r w:rsidR="00A93643">
        <w:t>.</w:t>
      </w:r>
      <w:r w:rsidR="00EE4FC3">
        <w:t xml:space="preserve">  </w:t>
      </w:r>
      <w:r w:rsidRPr="00382917">
        <w:t>The</w:t>
      </w:r>
      <w:r w:rsidR="00EE4FC3">
        <w:t xml:space="preserve"> </w:t>
      </w:r>
      <w:r w:rsidRPr="00382917">
        <w:t>letter</w:t>
      </w:r>
      <w:r w:rsidR="00EE4FC3">
        <w:t xml:space="preserve"> </w:t>
      </w:r>
      <w:r w:rsidRPr="00382917">
        <w:t>was</w:t>
      </w:r>
      <w:r w:rsidR="00EE4FC3">
        <w:t xml:space="preserve"> </w:t>
      </w:r>
      <w:r w:rsidRPr="00382917">
        <w:t>called</w:t>
      </w:r>
      <w:r w:rsidR="00C03C91">
        <w:t>:</w:t>
      </w:r>
      <w:r w:rsidR="00EE4FC3">
        <w:t xml:space="preserve">  </w:t>
      </w:r>
      <w:r w:rsidR="009C713D" w:rsidRPr="00382917">
        <w:t>“</w:t>
      </w:r>
      <w:r w:rsidRPr="00382917">
        <w:t>The</w:t>
      </w:r>
      <w:r w:rsidR="00EE4FC3">
        <w:t xml:space="preserve"> </w:t>
      </w:r>
      <w:r w:rsidRPr="00382917">
        <w:t>Sermon</w:t>
      </w:r>
      <w:r w:rsidR="00EE4FC3">
        <w:t xml:space="preserve"> </w:t>
      </w:r>
      <w:r w:rsidRPr="00382917">
        <w:t>of</w:t>
      </w:r>
      <w:r w:rsidR="00EE4FC3">
        <w:t xml:space="preserve"> </w:t>
      </w:r>
      <w:r w:rsidRPr="00382917">
        <w:t>Wrath.</w:t>
      </w:r>
      <w:r w:rsidR="009C713D" w:rsidRPr="00382917">
        <w:t>”</w:t>
      </w:r>
      <w:r w:rsidR="00EE4FC3">
        <w:t xml:space="preserve">  </w:t>
      </w:r>
      <w:r w:rsidRPr="00382917">
        <w:t>It</w:t>
      </w:r>
      <w:r w:rsidR="00EE4FC3">
        <w:t xml:space="preserve"> </w:t>
      </w:r>
      <w:r w:rsidRPr="00382917">
        <w:t>began</w:t>
      </w:r>
      <w:r w:rsidR="00EE4FC3">
        <w:t xml:space="preserve"> </w:t>
      </w:r>
      <w:r w:rsidRPr="00382917">
        <w:t>with</w:t>
      </w:r>
      <w:r w:rsidR="00EE4FC3">
        <w:t xml:space="preserve"> </w:t>
      </w:r>
      <w:r w:rsidRPr="00382917">
        <w:t>the</w:t>
      </w:r>
      <w:r w:rsidR="00EE4FC3">
        <w:t xml:space="preserve"> </w:t>
      </w:r>
      <w:r w:rsidRPr="00382917">
        <w:t>words</w:t>
      </w:r>
      <w:r w:rsidR="00C03C91">
        <w:t>:</w:t>
      </w:r>
      <w:r w:rsidR="00EE4FC3">
        <w:t xml:space="preserve">  </w:t>
      </w:r>
      <w:r w:rsidR="009C713D" w:rsidRPr="00382917">
        <w:t>“</w:t>
      </w:r>
      <w:r w:rsidRPr="00382917">
        <w:t>O</w:t>
      </w:r>
      <w:r w:rsidR="00EE4FC3">
        <w:t xml:space="preserve"> </w:t>
      </w:r>
      <w:r w:rsidRPr="00382917">
        <w:t>thou</w:t>
      </w:r>
      <w:r w:rsidR="00EE4FC3">
        <w:t xml:space="preserve"> </w:t>
      </w:r>
      <w:r w:rsidRPr="00382917">
        <w:t>who</w:t>
      </w:r>
      <w:r w:rsidR="00EE4FC3">
        <w:t xml:space="preserve"> </w:t>
      </w:r>
      <w:r w:rsidR="00A80FA7" w:rsidRPr="00382917">
        <w:t>h</w:t>
      </w:r>
      <w:r w:rsidRPr="00382917">
        <w:t>ast</w:t>
      </w:r>
      <w:r w:rsidR="00EE4FC3">
        <w:t xml:space="preserve"> </w:t>
      </w:r>
      <w:r w:rsidRPr="00382917">
        <w:t>disbelieved!</w:t>
      </w:r>
      <w:r w:rsidR="009C713D" w:rsidRPr="00382917">
        <w:t>”</w:t>
      </w:r>
      <w:r w:rsidR="00210A1B">
        <w:rPr>
          <w:rStyle w:val="FootnoteReference"/>
        </w:rPr>
        <w:footnoteReference w:id="98"/>
      </w:r>
    </w:p>
    <w:p w:rsidR="00E13D49" w:rsidRPr="00382917" w:rsidRDefault="006E01DB" w:rsidP="00CC5BA7">
      <w:pPr>
        <w:pStyle w:val="Text"/>
      </w:pPr>
      <w:r w:rsidRPr="00382917">
        <w:t>From</w:t>
      </w:r>
      <w:r w:rsidR="00EE4FC3">
        <w:t xml:space="preserve"> </w:t>
      </w:r>
      <w:r w:rsidRPr="00382917">
        <w:t>that</w:t>
      </w:r>
      <w:r w:rsidR="00EE4FC3">
        <w:t xml:space="preserve"> </w:t>
      </w:r>
      <w:r w:rsidRPr="00382917">
        <w:t>hour,</w:t>
      </w:r>
      <w:r w:rsidR="00EE4FC3">
        <w:t xml:space="preserve"> </w:t>
      </w:r>
      <w:r w:rsidRPr="00382917">
        <w:t>the</w:t>
      </w:r>
      <w:r w:rsidR="00EE4FC3">
        <w:t xml:space="preserve"> </w:t>
      </w:r>
      <w:r w:rsidRPr="00382917">
        <w:t>dreadful</w:t>
      </w:r>
      <w:r w:rsidR="00EE4FC3">
        <w:t xml:space="preserve"> </w:t>
      </w:r>
      <w:r w:rsidRPr="00382917">
        <w:t>consequences,</w:t>
      </w:r>
      <w:r w:rsidR="00EE4FC3">
        <w:t xml:space="preserve"> </w:t>
      </w:r>
      <w:r w:rsidRPr="00382917">
        <w:t>which</w:t>
      </w:r>
      <w:r w:rsidR="00EE4FC3">
        <w:t xml:space="preserve"> </w:t>
      </w:r>
      <w:r w:rsidRPr="00382917">
        <w:t>had</w:t>
      </w:r>
      <w:r w:rsidR="00EE4FC3">
        <w:t xml:space="preserve"> </w:t>
      </w:r>
      <w:r w:rsidRPr="00382917">
        <w:t>already</w:t>
      </w:r>
      <w:r w:rsidR="00EE4FC3">
        <w:t xml:space="preserve"> </w:t>
      </w:r>
      <w:r w:rsidRPr="00382917">
        <w:t>befallen</w:t>
      </w:r>
      <w:r w:rsidR="00EE4FC3">
        <w:t xml:space="preserve"> </w:t>
      </w:r>
      <w:r w:rsidRPr="00382917">
        <w:t>so</w:t>
      </w:r>
      <w:r w:rsidR="00EE4FC3">
        <w:t xml:space="preserve"> </w:t>
      </w:r>
      <w:proofErr w:type="gramStart"/>
      <w:r w:rsidRPr="00382917">
        <w:t>many</w:t>
      </w:r>
      <w:proofErr w:type="gramEnd"/>
      <w:r w:rsidR="00EE4FC3">
        <w:t xml:space="preserve"> </w:t>
      </w:r>
      <w:r w:rsidRPr="00382917">
        <w:t>who</w:t>
      </w:r>
      <w:r w:rsidR="00EE4FC3">
        <w:t xml:space="preserve"> </w:t>
      </w:r>
      <w:r w:rsidRPr="00382917">
        <w:t>had</w:t>
      </w:r>
      <w:r w:rsidR="00EE4FC3">
        <w:t xml:space="preserve"> </w:t>
      </w:r>
      <w:r w:rsidRPr="00382917">
        <w:t>persecuted</w:t>
      </w:r>
      <w:r w:rsidR="00EE4FC3">
        <w:t xml:space="preserve"> </w:t>
      </w:r>
      <w:r w:rsidRPr="00382917">
        <w:t>the</w:t>
      </w:r>
      <w:r w:rsidR="00EE4FC3">
        <w:t xml:space="preserve"> </w:t>
      </w:r>
      <w:r w:rsidRPr="00382917">
        <w:t>Báb</w:t>
      </w:r>
      <w:r w:rsidR="00EE4FC3">
        <w:t xml:space="preserve"> </w:t>
      </w:r>
      <w:r w:rsidRPr="00382917">
        <w:t>and</w:t>
      </w:r>
      <w:r w:rsidR="00EE4FC3">
        <w:t xml:space="preserve"> </w:t>
      </w:r>
      <w:r w:rsidRPr="00382917">
        <w:t>His</w:t>
      </w:r>
      <w:r w:rsidR="00EE4FC3">
        <w:t xml:space="preserve"> </w:t>
      </w:r>
      <w:r w:rsidRPr="00382917">
        <w:t>followers</w:t>
      </w:r>
      <w:r w:rsidR="00EE4FC3">
        <w:t xml:space="preserve"> </w:t>
      </w:r>
      <w:r w:rsidRPr="00382917">
        <w:t>began</w:t>
      </w:r>
      <w:r w:rsidR="00EE4FC3">
        <w:t xml:space="preserve"> </w:t>
      </w:r>
      <w:r w:rsidRPr="00382917">
        <w:t>to</w:t>
      </w:r>
      <w:r w:rsidR="00EE4FC3">
        <w:t xml:space="preserve"> </w:t>
      </w:r>
      <w:r w:rsidRPr="00382917">
        <w:t>descend</w:t>
      </w:r>
      <w:r w:rsidR="00EE4FC3">
        <w:t xml:space="preserve"> </w:t>
      </w:r>
      <w:r w:rsidRPr="00382917">
        <w:t>upon</w:t>
      </w:r>
      <w:r w:rsidR="00EE4FC3">
        <w:t xml:space="preserve"> </w:t>
      </w:r>
      <w:r w:rsidRPr="00382917">
        <w:t>the</w:t>
      </w:r>
      <w:r w:rsidR="00EE4FC3">
        <w:t xml:space="preserve"> </w:t>
      </w:r>
      <w:r w:rsidRPr="00382917">
        <w:t>ring-leaders</w:t>
      </w:r>
      <w:r w:rsidR="00EE4FC3">
        <w:t xml:space="preserve"> </w:t>
      </w:r>
      <w:r w:rsidRPr="00382917">
        <w:t>of</w:t>
      </w:r>
      <w:r w:rsidR="00EE4FC3">
        <w:t xml:space="preserve"> </w:t>
      </w:r>
      <w:r w:rsidRPr="00382917">
        <w:t>His</w:t>
      </w:r>
      <w:r w:rsidR="00EE4FC3">
        <w:t xml:space="preserve"> </w:t>
      </w:r>
      <w:r w:rsidRPr="00382917">
        <w:t>Tabríz</w:t>
      </w:r>
      <w:r w:rsidR="00EE4FC3">
        <w:t xml:space="preserve"> </w:t>
      </w:r>
      <w:r w:rsidRPr="00382917">
        <w:t>torture.</w:t>
      </w:r>
      <w:r w:rsidR="00CC5BA7">
        <w:rPr>
          <w:rStyle w:val="FootnoteReference"/>
        </w:rPr>
        <w:footnoteReference w:id="99"/>
      </w:r>
    </w:p>
    <w:p w:rsidR="006E01DB" w:rsidRPr="00382917" w:rsidRDefault="006E01DB" w:rsidP="006E01DB">
      <w:pPr>
        <w:pStyle w:val="Text"/>
      </w:pPr>
      <w:r w:rsidRPr="00382917">
        <w:t>The</w:t>
      </w:r>
      <w:r w:rsidR="00EE4FC3">
        <w:t xml:space="preserve"> </w:t>
      </w:r>
      <w:r w:rsidRPr="00382917">
        <w:t>head</w:t>
      </w:r>
      <w:r w:rsidR="00EE4FC3">
        <w:t xml:space="preserve"> </w:t>
      </w:r>
      <w:r w:rsidRPr="00382917">
        <w:t>of</w:t>
      </w:r>
      <w:r w:rsidR="00EE4FC3">
        <w:t xml:space="preserve"> </w:t>
      </w:r>
      <w:r w:rsidRPr="00382917">
        <w:t>the</w:t>
      </w:r>
      <w:r w:rsidR="00EE4FC3">
        <w:t xml:space="preserve"> </w:t>
      </w:r>
      <w:r w:rsidRPr="00382917">
        <w:t>religious</w:t>
      </w:r>
      <w:r w:rsidR="00EE4FC3">
        <w:t xml:space="preserve"> </w:t>
      </w:r>
      <w:r w:rsidRPr="00382917">
        <w:t>court,</w:t>
      </w:r>
      <w:r w:rsidR="00EE4FC3">
        <w:t xml:space="preserve"> </w:t>
      </w:r>
      <w:r w:rsidRPr="00382917">
        <w:t>Mírzá</w:t>
      </w:r>
      <w:r w:rsidR="00EE4FC3">
        <w:t xml:space="preserve"> </w:t>
      </w:r>
      <w:r w:rsidR="009C713D" w:rsidRPr="00382917">
        <w:t>‘</w:t>
      </w:r>
      <w:r w:rsidRPr="00382917">
        <w:t>Alí-Aṣghar,</w:t>
      </w:r>
      <w:r w:rsidR="00EE4FC3">
        <w:t xml:space="preserve"> </w:t>
      </w:r>
      <w:r w:rsidRPr="00382917">
        <w:t>who</w:t>
      </w:r>
      <w:r w:rsidR="00EE4FC3">
        <w:t xml:space="preserve"> </w:t>
      </w:r>
      <w:r w:rsidRPr="00382917">
        <w:t>with</w:t>
      </w:r>
      <w:r w:rsidR="00EE4FC3">
        <w:t xml:space="preserve"> </w:t>
      </w:r>
      <w:r w:rsidRPr="00382917">
        <w:t>his</w:t>
      </w:r>
      <w:r w:rsidR="00EE4FC3">
        <w:t xml:space="preserve"> </w:t>
      </w:r>
      <w:r w:rsidRPr="00382917">
        <w:t>own</w:t>
      </w:r>
      <w:r w:rsidR="00EE4FC3">
        <w:t xml:space="preserve"> </w:t>
      </w:r>
      <w:r w:rsidRPr="00382917">
        <w:t>hands</w:t>
      </w:r>
      <w:r w:rsidR="00EE4FC3">
        <w:t xml:space="preserve"> </w:t>
      </w:r>
      <w:r w:rsidRPr="00382917">
        <w:t>had</w:t>
      </w:r>
      <w:r w:rsidR="00EE4FC3">
        <w:t xml:space="preserve"> </w:t>
      </w:r>
      <w:r w:rsidRPr="00382917">
        <w:t>scourged</w:t>
      </w:r>
      <w:r w:rsidR="00EE4FC3">
        <w:t xml:space="preserve"> </w:t>
      </w:r>
      <w:r w:rsidRPr="00382917">
        <w:t>the</w:t>
      </w:r>
      <w:r w:rsidR="00EE4FC3">
        <w:t xml:space="preserve"> </w:t>
      </w:r>
      <w:r w:rsidRPr="00382917">
        <w:t>Báb</w:t>
      </w:r>
      <w:r w:rsidR="00EE4FC3">
        <w:t xml:space="preserve"> </w:t>
      </w:r>
      <w:r w:rsidRPr="00382917">
        <w:t>in</w:t>
      </w:r>
      <w:r w:rsidR="00EE4FC3">
        <w:t xml:space="preserve"> </w:t>
      </w:r>
      <w:r w:rsidRPr="00382917">
        <w:t>the</w:t>
      </w:r>
      <w:r w:rsidR="00EE4FC3">
        <w:t xml:space="preserve"> </w:t>
      </w:r>
      <w:r w:rsidRPr="00382917">
        <w:t>prayer-house,</w:t>
      </w:r>
      <w:r w:rsidR="00EE4FC3">
        <w:t xml:space="preserve"> </w:t>
      </w:r>
      <w:r w:rsidRPr="00382917">
        <w:t>was</w:t>
      </w:r>
      <w:r w:rsidR="00EE4FC3">
        <w:t xml:space="preserve"> </w:t>
      </w:r>
      <w:r w:rsidRPr="00382917">
        <w:t>despised</w:t>
      </w:r>
      <w:r w:rsidR="00EE4FC3">
        <w:t xml:space="preserve"> </w:t>
      </w:r>
      <w:r w:rsidRPr="00382917">
        <w:t>and</w:t>
      </w:r>
      <w:r w:rsidR="00EE4FC3">
        <w:t xml:space="preserve"> </w:t>
      </w:r>
      <w:r w:rsidRPr="00382917">
        <w:t>feared</w:t>
      </w:r>
      <w:r w:rsidR="00EE4FC3">
        <w:t xml:space="preserve"> </w:t>
      </w:r>
      <w:r w:rsidRPr="00382917">
        <w:t>by</w:t>
      </w:r>
      <w:r w:rsidR="00EE4FC3">
        <w:t xml:space="preserve"> </w:t>
      </w:r>
      <w:r w:rsidRPr="00382917">
        <w:t>a</w:t>
      </w:r>
      <w:r w:rsidR="00EE4FC3">
        <w:t xml:space="preserve"> </w:t>
      </w:r>
      <w:r w:rsidRPr="00382917">
        <w:t>people</w:t>
      </w:r>
      <w:r w:rsidR="00EE4FC3">
        <w:t xml:space="preserve"> </w:t>
      </w:r>
      <w:r w:rsidRPr="00382917">
        <w:t>who</w:t>
      </w:r>
      <w:r w:rsidR="00EE4FC3">
        <w:t xml:space="preserve"> </w:t>
      </w:r>
      <w:r w:rsidRPr="00382917">
        <w:t>had</w:t>
      </w:r>
      <w:r w:rsidR="00EE4FC3">
        <w:t xml:space="preserve"> </w:t>
      </w:r>
      <w:r w:rsidRPr="00382917">
        <w:t>sickened</w:t>
      </w:r>
      <w:r w:rsidR="00EE4FC3">
        <w:t xml:space="preserve"> </w:t>
      </w:r>
      <w:r w:rsidRPr="00382917">
        <w:t>of</w:t>
      </w:r>
      <w:r w:rsidR="00EE4FC3">
        <w:t xml:space="preserve"> </w:t>
      </w:r>
      <w:r w:rsidRPr="00382917">
        <w:t>his</w:t>
      </w:r>
      <w:r w:rsidR="00EE4FC3">
        <w:t xml:space="preserve"> </w:t>
      </w:r>
      <w:r w:rsidRPr="00382917">
        <w:t>leadership</w:t>
      </w:r>
      <w:r w:rsidR="00EE4FC3">
        <w:t xml:space="preserve"> </w:t>
      </w:r>
      <w:r w:rsidRPr="00382917">
        <w:t>and</w:t>
      </w:r>
      <w:r w:rsidR="00EE4FC3">
        <w:t xml:space="preserve"> </w:t>
      </w:r>
      <w:r w:rsidRPr="00382917">
        <w:t>which</w:t>
      </w:r>
      <w:r w:rsidR="00EE4FC3">
        <w:t xml:space="preserve"> </w:t>
      </w:r>
      <w:r w:rsidRPr="00382917">
        <w:t>prayed</w:t>
      </w:r>
      <w:r w:rsidR="00EE4FC3">
        <w:t xml:space="preserve"> </w:t>
      </w:r>
      <w:r w:rsidRPr="00382917">
        <w:t>to</w:t>
      </w:r>
      <w:r w:rsidR="00EE4FC3">
        <w:t xml:space="preserve"> </w:t>
      </w:r>
      <w:r w:rsidRPr="00382917">
        <w:t>be</w:t>
      </w:r>
      <w:r w:rsidR="00EE4FC3">
        <w:t xml:space="preserve"> </w:t>
      </w:r>
      <w:r w:rsidRPr="00382917">
        <w:t>delivered</w:t>
      </w:r>
      <w:r w:rsidR="00EE4FC3">
        <w:t xml:space="preserve"> </w:t>
      </w:r>
      <w:r w:rsidRPr="00382917">
        <w:t>from</w:t>
      </w:r>
      <w:r w:rsidR="00EE4FC3">
        <w:t xml:space="preserve"> </w:t>
      </w:r>
      <w:r w:rsidRPr="00382917">
        <w:t>his</w:t>
      </w:r>
      <w:r w:rsidR="00EE4FC3">
        <w:t xml:space="preserve"> </w:t>
      </w:r>
      <w:r w:rsidRPr="00382917">
        <w:t>evil</w:t>
      </w:r>
      <w:r w:rsidR="00EE4FC3">
        <w:t xml:space="preserve"> </w:t>
      </w:r>
      <w:r w:rsidRPr="00382917">
        <w:t>ways</w:t>
      </w:r>
      <w:r w:rsidR="00A93643">
        <w:t>.</w:t>
      </w:r>
      <w:r w:rsidR="00EE4FC3">
        <w:t xml:space="preserve">  </w:t>
      </w:r>
      <w:r w:rsidRPr="00382917">
        <w:t>Mírzá</w:t>
      </w:r>
      <w:r w:rsidR="00EE4FC3">
        <w:t xml:space="preserve"> </w:t>
      </w:r>
      <w:r w:rsidR="009C713D" w:rsidRPr="00382917">
        <w:t>‘</w:t>
      </w:r>
      <w:r w:rsidRPr="00382917">
        <w:t>Alí-Aṣghar</w:t>
      </w:r>
      <w:r w:rsidR="00EE4FC3">
        <w:t xml:space="preserve"> </w:t>
      </w:r>
      <w:r w:rsidRPr="00382917">
        <w:t>was</w:t>
      </w:r>
      <w:r w:rsidR="00EE4FC3">
        <w:t xml:space="preserve"> </w:t>
      </w:r>
      <w:r w:rsidRPr="00382917">
        <w:t>suddenly</w:t>
      </w:r>
      <w:r w:rsidR="00EE4FC3">
        <w:t xml:space="preserve"> </w:t>
      </w:r>
      <w:r w:rsidRPr="00382917">
        <w:t>struck</w:t>
      </w:r>
      <w:r w:rsidR="00EE4FC3">
        <w:t xml:space="preserve"> </w:t>
      </w:r>
      <w:r w:rsidRPr="00382917">
        <w:t>with</w:t>
      </w:r>
      <w:r w:rsidR="00EE4FC3">
        <w:t xml:space="preserve"> </w:t>
      </w:r>
      <w:r w:rsidRPr="00382917">
        <w:t>paralysis</w:t>
      </w:r>
      <w:r w:rsidR="00A93643">
        <w:t>.</w:t>
      </w:r>
      <w:r w:rsidR="00EE4FC3">
        <w:t xml:space="preserve">  </w:t>
      </w:r>
      <w:r w:rsidRPr="00382917">
        <w:t>After</w:t>
      </w:r>
      <w:r w:rsidR="00EE4FC3">
        <w:t xml:space="preserve"> </w:t>
      </w:r>
      <w:r w:rsidRPr="00382917">
        <w:t>enduring</w:t>
      </w:r>
      <w:r w:rsidR="00EE4FC3">
        <w:t xml:space="preserve"> </w:t>
      </w:r>
      <w:r w:rsidRPr="00382917">
        <w:t>long</w:t>
      </w:r>
      <w:r w:rsidR="00EE4FC3">
        <w:t xml:space="preserve"> </w:t>
      </w:r>
      <w:r w:rsidRPr="00382917">
        <w:t>and</w:t>
      </w:r>
      <w:r w:rsidR="00EE4FC3">
        <w:t xml:space="preserve"> </w:t>
      </w:r>
      <w:r w:rsidRPr="00382917">
        <w:t>excruciating</w:t>
      </w:r>
      <w:r w:rsidR="00EE4FC3">
        <w:t xml:space="preserve"> </w:t>
      </w:r>
      <w:r w:rsidRPr="00382917">
        <w:t>pain,</w:t>
      </w:r>
      <w:r w:rsidR="00EE4FC3">
        <w:t xml:space="preserve"> </w:t>
      </w:r>
      <w:r w:rsidRPr="00382917">
        <w:t>he</w:t>
      </w:r>
      <w:r w:rsidR="00EE4FC3">
        <w:t xml:space="preserve"> </w:t>
      </w:r>
      <w:r w:rsidRPr="00382917">
        <w:t>died</w:t>
      </w:r>
      <w:r w:rsidR="00EE4FC3">
        <w:t xml:space="preserve"> </w:t>
      </w:r>
      <w:r w:rsidRPr="00382917">
        <w:t>a</w:t>
      </w:r>
      <w:r w:rsidR="00EE4FC3">
        <w:t xml:space="preserve"> </w:t>
      </w:r>
      <w:r w:rsidRPr="00382917">
        <w:t>miserable</w:t>
      </w:r>
      <w:r w:rsidR="00EE4FC3">
        <w:t xml:space="preserve"> </w:t>
      </w:r>
      <w:r w:rsidRPr="00382917">
        <w:t>death</w:t>
      </w:r>
      <w:r w:rsidR="00A93643">
        <w:t>.</w:t>
      </w:r>
      <w:r w:rsidR="00EE4FC3">
        <w:t xml:space="preserve">  </w:t>
      </w:r>
      <w:r w:rsidRPr="00382917">
        <w:t>Following</w:t>
      </w:r>
      <w:r w:rsidR="00EE4FC3">
        <w:t xml:space="preserve"> </w:t>
      </w:r>
      <w:r w:rsidRPr="00382917">
        <w:t>his</w:t>
      </w:r>
      <w:r w:rsidR="00EE4FC3">
        <w:t xml:space="preserve"> </w:t>
      </w:r>
      <w:r w:rsidRPr="00382917">
        <w:t>death,</w:t>
      </w:r>
      <w:r w:rsidR="00EE4FC3">
        <w:t xml:space="preserve"> </w:t>
      </w:r>
      <w:r w:rsidRPr="00382917">
        <w:t>his</w:t>
      </w:r>
      <w:r w:rsidR="00EE4FC3">
        <w:t xml:space="preserve"> </w:t>
      </w:r>
      <w:r w:rsidRPr="00382917">
        <w:t>office</w:t>
      </w:r>
      <w:r w:rsidR="00EE4FC3">
        <w:t xml:space="preserve"> </w:t>
      </w:r>
      <w:r w:rsidRPr="00382917">
        <w:t>was</w:t>
      </w:r>
      <w:r w:rsidR="00EE4FC3">
        <w:t xml:space="preserve"> </w:t>
      </w:r>
      <w:r w:rsidRPr="00382917">
        <w:t>permanently</w:t>
      </w:r>
      <w:r w:rsidR="00EE4FC3">
        <w:t xml:space="preserve"> </w:t>
      </w:r>
      <w:r w:rsidRPr="00382917">
        <w:t>abolished</w:t>
      </w:r>
      <w:r w:rsidR="00EE4FC3">
        <w:t xml:space="preserve"> </w:t>
      </w:r>
      <w:r w:rsidRPr="00382917">
        <w:t>in</w:t>
      </w:r>
      <w:r w:rsidR="00EE4FC3">
        <w:t xml:space="preserve"> </w:t>
      </w:r>
      <w:r w:rsidRPr="00382917">
        <w:t>Tabríz</w:t>
      </w:r>
      <w:r w:rsidR="00A93643">
        <w:t>.</w:t>
      </w:r>
      <w:r w:rsidR="00EE4FC3">
        <w:t xml:space="preserve">  </w:t>
      </w:r>
      <w:r w:rsidRPr="00382917">
        <w:t>The</w:t>
      </w:r>
      <w:r w:rsidR="00EE4FC3">
        <w:t xml:space="preserve"> </w:t>
      </w:r>
      <w:r w:rsidRPr="00382917">
        <w:t>very</w:t>
      </w:r>
      <w:r w:rsidR="00EE4FC3">
        <w:t xml:space="preserve"> </w:t>
      </w:r>
      <w:r w:rsidRPr="00382917">
        <w:t>name</w:t>
      </w:r>
      <w:r w:rsidR="00EE4FC3">
        <w:t xml:space="preserve"> </w:t>
      </w:r>
      <w:r w:rsidRPr="00382917">
        <w:t>of</w:t>
      </w:r>
      <w:r w:rsidR="00EE4FC3">
        <w:t xml:space="preserve"> </w:t>
      </w:r>
      <w:r w:rsidRPr="00382917">
        <w:t>the</w:t>
      </w:r>
    </w:p>
    <w:p w:rsidR="006E01DB" w:rsidRPr="00382917" w:rsidRDefault="006E01DB">
      <w:pPr>
        <w:widowControl/>
        <w:kinsoku/>
        <w:overflowPunct/>
        <w:textAlignment w:val="auto"/>
      </w:pPr>
      <w:r w:rsidRPr="00382917">
        <w:br w:type="page"/>
      </w:r>
    </w:p>
    <w:p w:rsidR="006E01DB" w:rsidRPr="00382917" w:rsidRDefault="006E01DB" w:rsidP="006E4D16">
      <w:pPr>
        <w:pStyle w:val="Textcts"/>
      </w:pPr>
      <w:proofErr w:type="gramStart"/>
      <w:r w:rsidRPr="00382917">
        <w:t>institution</w:t>
      </w:r>
      <w:proofErr w:type="gramEnd"/>
      <w:r w:rsidR="00EE4FC3">
        <w:t xml:space="preserve"> </w:t>
      </w:r>
      <w:r w:rsidRPr="00382917">
        <w:t>which</w:t>
      </w:r>
      <w:r w:rsidR="00EE4FC3">
        <w:t xml:space="preserve"> </w:t>
      </w:r>
      <w:r w:rsidRPr="00382917">
        <w:t>had</w:t>
      </w:r>
      <w:r w:rsidR="00EE4FC3">
        <w:t xml:space="preserve"> </w:t>
      </w:r>
      <w:r w:rsidRPr="00382917">
        <w:t>been</w:t>
      </w:r>
      <w:r w:rsidR="00EE4FC3">
        <w:t xml:space="preserve"> </w:t>
      </w:r>
      <w:r w:rsidRPr="00382917">
        <w:t>associated</w:t>
      </w:r>
      <w:r w:rsidR="00EE4FC3">
        <w:t xml:space="preserve"> </w:t>
      </w:r>
      <w:r w:rsidRPr="00382917">
        <w:t>with</w:t>
      </w:r>
      <w:r w:rsidR="00EE4FC3">
        <w:t xml:space="preserve"> </w:t>
      </w:r>
      <w:r w:rsidRPr="00382917">
        <w:t>his</w:t>
      </w:r>
      <w:r w:rsidR="00EE4FC3">
        <w:t xml:space="preserve"> </w:t>
      </w:r>
      <w:r w:rsidRPr="00382917">
        <w:t>name</w:t>
      </w:r>
      <w:r w:rsidR="00EE4FC3">
        <w:t xml:space="preserve"> </w:t>
      </w:r>
      <w:r w:rsidRPr="00382917">
        <w:t>became</w:t>
      </w:r>
      <w:r w:rsidR="00EE4FC3">
        <w:t xml:space="preserve"> </w:t>
      </w:r>
      <w:r w:rsidRPr="00382917">
        <w:t>abhorred</w:t>
      </w:r>
      <w:r w:rsidR="00EE4FC3">
        <w:t xml:space="preserve"> </w:t>
      </w:r>
      <w:r w:rsidRPr="00382917">
        <w:t>by</w:t>
      </w:r>
      <w:r w:rsidR="00EE4FC3">
        <w:t xml:space="preserve"> </w:t>
      </w:r>
      <w:r w:rsidRPr="00382917">
        <w:t>the</w:t>
      </w:r>
      <w:r w:rsidR="00EE4FC3">
        <w:t xml:space="preserve"> </w:t>
      </w:r>
      <w:r w:rsidRPr="00382917">
        <w:t>people</w:t>
      </w:r>
      <w:r w:rsidR="00EE4FC3">
        <w:t xml:space="preserve"> </w:t>
      </w:r>
      <w:r w:rsidRPr="00382917">
        <w:t>and</w:t>
      </w:r>
      <w:r w:rsidR="00EE4FC3">
        <w:t xml:space="preserve"> </w:t>
      </w:r>
      <w:r w:rsidRPr="00382917">
        <w:t>was</w:t>
      </w:r>
      <w:r w:rsidR="00EE4FC3">
        <w:t xml:space="preserve"> </w:t>
      </w:r>
      <w:r w:rsidRPr="00382917">
        <w:t>used</w:t>
      </w:r>
      <w:r w:rsidR="00EE4FC3">
        <w:t xml:space="preserve"> </w:t>
      </w:r>
      <w:r w:rsidRPr="00382917">
        <w:t>as</w:t>
      </w:r>
      <w:r w:rsidR="00EE4FC3">
        <w:t xml:space="preserve"> </w:t>
      </w:r>
      <w:r w:rsidRPr="00382917">
        <w:t>an</w:t>
      </w:r>
      <w:r w:rsidR="00EE4FC3">
        <w:t xml:space="preserve"> </w:t>
      </w:r>
      <w:r w:rsidRPr="00382917">
        <w:t>insult.</w:t>
      </w:r>
      <w:r w:rsidR="006E4D16">
        <w:rPr>
          <w:rStyle w:val="FootnoteReference"/>
        </w:rPr>
        <w:footnoteReference w:id="100"/>
      </w:r>
    </w:p>
    <w:p w:rsidR="006E01DB" w:rsidRPr="00382917" w:rsidRDefault="006E01DB" w:rsidP="006E01DB">
      <w:pPr>
        <w:pStyle w:val="Text"/>
      </w:pPr>
      <w:r w:rsidRPr="00382917">
        <w:t>The</w:t>
      </w:r>
      <w:r w:rsidR="00EE4FC3">
        <w:t xml:space="preserve"> </w:t>
      </w:r>
      <w:r w:rsidRPr="00382917">
        <w:t>king</w:t>
      </w:r>
      <w:r w:rsidR="00EE4FC3">
        <w:t xml:space="preserve"> </w:t>
      </w:r>
      <w:r w:rsidRPr="00382917">
        <w:t>himself,</w:t>
      </w:r>
      <w:r w:rsidR="00EE4FC3">
        <w:t xml:space="preserve"> </w:t>
      </w:r>
      <w:r w:rsidRPr="00382917">
        <w:t>Muḥammad</w:t>
      </w:r>
      <w:r w:rsidR="00EE4FC3">
        <w:t xml:space="preserve"> </w:t>
      </w:r>
      <w:r w:rsidR="004F6339" w:rsidRPr="004F6339">
        <w:rPr>
          <w:u w:val="single"/>
        </w:rPr>
        <w:t>Sh</w:t>
      </w:r>
      <w:r w:rsidR="004F6339" w:rsidRPr="00382917">
        <w:t>áh</w:t>
      </w:r>
      <w:r w:rsidRPr="00382917">
        <w:t>,</w:t>
      </w:r>
      <w:r w:rsidR="00EE4FC3">
        <w:t xml:space="preserve"> </w:t>
      </w:r>
      <w:r w:rsidRPr="00382917">
        <w:t>did</w:t>
      </w:r>
      <w:r w:rsidR="00EE4FC3">
        <w:t xml:space="preserve"> </w:t>
      </w:r>
      <w:r w:rsidRPr="00382917">
        <w:t>not</w:t>
      </w:r>
      <w:r w:rsidR="00EE4FC3">
        <w:t xml:space="preserve"> </w:t>
      </w:r>
      <w:r w:rsidRPr="00382917">
        <w:t>escape</w:t>
      </w:r>
      <w:r w:rsidR="00EE4FC3">
        <w:t xml:space="preserve"> </w:t>
      </w:r>
      <w:r w:rsidRPr="00382917">
        <w:t>this</w:t>
      </w:r>
      <w:r w:rsidR="00EE4FC3">
        <w:t xml:space="preserve"> </w:t>
      </w:r>
      <w:r w:rsidRPr="00382917">
        <w:t>retribution</w:t>
      </w:r>
      <w:r w:rsidR="00A93643">
        <w:t>.</w:t>
      </w:r>
      <w:r w:rsidR="00EE4FC3">
        <w:t xml:space="preserve">  </w:t>
      </w:r>
      <w:r w:rsidRPr="00382917">
        <w:t>He</w:t>
      </w:r>
      <w:r w:rsidR="00EE4FC3">
        <w:t xml:space="preserve"> </w:t>
      </w:r>
      <w:r w:rsidRPr="00382917">
        <w:t>had</w:t>
      </w:r>
      <w:r w:rsidR="00EE4FC3">
        <w:t xml:space="preserve"> </w:t>
      </w:r>
      <w:r w:rsidRPr="00382917">
        <w:t>been</w:t>
      </w:r>
      <w:r w:rsidR="00EE4FC3">
        <w:t xml:space="preserve"> </w:t>
      </w:r>
      <w:r w:rsidRPr="00382917">
        <w:t>weak</w:t>
      </w:r>
      <w:r w:rsidR="00EE4FC3">
        <w:t xml:space="preserve"> </w:t>
      </w:r>
      <w:r w:rsidRPr="00382917">
        <w:t>enough</w:t>
      </w:r>
      <w:r w:rsidR="00EE4FC3">
        <w:t xml:space="preserve"> </w:t>
      </w:r>
      <w:r w:rsidRPr="00382917">
        <w:t>to</w:t>
      </w:r>
      <w:r w:rsidR="00EE4FC3">
        <w:t xml:space="preserve"> </w:t>
      </w:r>
      <w:r w:rsidRPr="00382917">
        <w:t>listen</w:t>
      </w:r>
      <w:r w:rsidR="00EE4FC3">
        <w:t xml:space="preserve"> </w:t>
      </w:r>
      <w:r w:rsidRPr="00382917">
        <w:t>to</w:t>
      </w:r>
      <w:r w:rsidR="00EE4FC3">
        <w:t xml:space="preserve"> </w:t>
      </w:r>
      <w:r w:rsidRPr="00382917">
        <w:t>the</w:t>
      </w:r>
      <w:r w:rsidR="00EE4FC3">
        <w:t xml:space="preserve"> </w:t>
      </w:r>
      <w:r w:rsidRPr="00382917">
        <w:t>promptings</w:t>
      </w:r>
      <w:r w:rsidR="00EE4FC3">
        <w:t xml:space="preserve"> </w:t>
      </w:r>
      <w:r w:rsidRPr="00382917">
        <w:t>of</w:t>
      </w:r>
      <w:r w:rsidR="00EE4FC3">
        <w:t xml:space="preserve"> </w:t>
      </w:r>
      <w:r w:rsidRPr="00382917">
        <w:t>the</w:t>
      </w:r>
      <w:r w:rsidR="00EE4FC3">
        <w:t xml:space="preserve"> </w:t>
      </w:r>
      <w:r w:rsidRPr="00382917">
        <w:t>Prime</w:t>
      </w:r>
      <w:r w:rsidR="00EE4FC3">
        <w:t xml:space="preserve"> </w:t>
      </w:r>
      <w:r w:rsidRPr="00382917">
        <w:t>Minister</w:t>
      </w:r>
      <w:r w:rsidR="00EE4FC3">
        <w:t xml:space="preserve"> </w:t>
      </w:r>
      <w:r w:rsidRPr="00382917">
        <w:t>and</w:t>
      </w:r>
      <w:r w:rsidR="00EE4FC3">
        <w:t xml:space="preserve"> </w:t>
      </w:r>
      <w:r w:rsidRPr="00382917">
        <w:t>had</w:t>
      </w:r>
      <w:r w:rsidR="00EE4FC3">
        <w:t xml:space="preserve"> </w:t>
      </w:r>
      <w:r w:rsidRPr="00382917">
        <w:t>refused</w:t>
      </w:r>
      <w:r w:rsidR="00EE4FC3">
        <w:t xml:space="preserve"> </w:t>
      </w:r>
      <w:r w:rsidRPr="00382917">
        <w:t>to</w:t>
      </w:r>
      <w:r w:rsidR="00EE4FC3">
        <w:t xml:space="preserve"> </w:t>
      </w:r>
      <w:r w:rsidRPr="00382917">
        <w:t>meet</w:t>
      </w:r>
      <w:r w:rsidR="00EE4FC3">
        <w:t xml:space="preserve"> </w:t>
      </w:r>
      <w:r w:rsidRPr="00382917">
        <w:t>the</w:t>
      </w:r>
      <w:r w:rsidR="00EE4FC3">
        <w:t xml:space="preserve"> </w:t>
      </w:r>
      <w:r w:rsidRPr="00382917">
        <w:t>Báb,</w:t>
      </w:r>
      <w:r w:rsidR="00EE4FC3">
        <w:t xml:space="preserve"> </w:t>
      </w:r>
      <w:r w:rsidRPr="00382917">
        <w:t>in</w:t>
      </w:r>
      <w:r w:rsidR="00EE4FC3">
        <w:t xml:space="preserve"> </w:t>
      </w:r>
      <w:r w:rsidRPr="00382917">
        <w:t>spite</w:t>
      </w:r>
      <w:r w:rsidR="00EE4FC3">
        <w:t xml:space="preserve"> </w:t>
      </w:r>
      <w:r w:rsidRPr="00382917">
        <w:t>of</w:t>
      </w:r>
      <w:r w:rsidR="00EE4FC3">
        <w:t xml:space="preserve"> </w:t>
      </w:r>
      <w:r w:rsidRPr="00382917">
        <w:t>His</w:t>
      </w:r>
      <w:r w:rsidR="00EE4FC3">
        <w:t xml:space="preserve"> </w:t>
      </w:r>
      <w:r w:rsidRPr="00382917">
        <w:t>personal</w:t>
      </w:r>
      <w:r w:rsidR="00EE4FC3">
        <w:t xml:space="preserve"> </w:t>
      </w:r>
      <w:r w:rsidRPr="00382917">
        <w:t>letter,</w:t>
      </w:r>
      <w:r w:rsidR="00EE4FC3">
        <w:t xml:space="preserve"> </w:t>
      </w:r>
      <w:r w:rsidRPr="00382917">
        <w:t>requesting</w:t>
      </w:r>
      <w:r w:rsidR="00EE4FC3">
        <w:t xml:space="preserve"> </w:t>
      </w:r>
      <w:r w:rsidRPr="00382917">
        <w:t>such</w:t>
      </w:r>
      <w:r w:rsidR="00EE4FC3">
        <w:t xml:space="preserve"> </w:t>
      </w:r>
      <w:r w:rsidRPr="00382917">
        <w:t>an</w:t>
      </w:r>
      <w:r w:rsidR="00EE4FC3">
        <w:t xml:space="preserve"> </w:t>
      </w:r>
      <w:r w:rsidRPr="00382917">
        <w:t>audience</w:t>
      </w:r>
      <w:r w:rsidR="00A93643">
        <w:t>.</w:t>
      </w:r>
      <w:r w:rsidR="00EE4FC3">
        <w:t xml:space="preserve">  </w:t>
      </w:r>
      <w:r w:rsidRPr="00382917">
        <w:t>The</w:t>
      </w:r>
      <w:r w:rsidR="00EE4FC3">
        <w:t xml:space="preserve"> </w:t>
      </w:r>
      <w:r w:rsidRPr="00382917">
        <w:t>king</w:t>
      </w:r>
      <w:r w:rsidR="00EE4FC3">
        <w:t xml:space="preserve"> </w:t>
      </w:r>
      <w:r w:rsidRPr="00382917">
        <w:t>instead</w:t>
      </w:r>
      <w:r w:rsidR="00EE4FC3">
        <w:t xml:space="preserve"> </w:t>
      </w:r>
      <w:r w:rsidRPr="00382917">
        <w:t>had</w:t>
      </w:r>
      <w:r w:rsidR="00EE4FC3">
        <w:t xml:space="preserve"> </w:t>
      </w:r>
      <w:r w:rsidRPr="00382917">
        <w:t>banished</w:t>
      </w:r>
      <w:r w:rsidR="00EE4FC3">
        <w:t xml:space="preserve"> </w:t>
      </w:r>
      <w:r w:rsidRPr="00382917">
        <w:t>the</w:t>
      </w:r>
      <w:r w:rsidR="00EE4FC3">
        <w:t xml:space="preserve"> </w:t>
      </w:r>
      <w:r w:rsidRPr="00382917">
        <w:t>Báb</w:t>
      </w:r>
      <w:r w:rsidR="00EE4FC3">
        <w:t xml:space="preserve"> </w:t>
      </w:r>
      <w:r w:rsidRPr="00382917">
        <w:t>to</w:t>
      </w:r>
      <w:r w:rsidR="00EE4FC3">
        <w:t xml:space="preserve"> </w:t>
      </w:r>
      <w:r w:rsidRPr="00382917">
        <w:t>a</w:t>
      </w:r>
      <w:r w:rsidR="00EE4FC3">
        <w:t xml:space="preserve"> </w:t>
      </w:r>
      <w:r w:rsidRPr="00382917">
        <w:t>remote</w:t>
      </w:r>
      <w:r w:rsidR="00EE4FC3">
        <w:t xml:space="preserve"> </w:t>
      </w:r>
      <w:r w:rsidRPr="00382917">
        <w:t>mountain</w:t>
      </w:r>
      <w:r w:rsidR="00EE4FC3">
        <w:t xml:space="preserve"> </w:t>
      </w:r>
      <w:r w:rsidRPr="00382917">
        <w:t>prison</w:t>
      </w:r>
      <w:r w:rsidR="00A93643">
        <w:t>.</w:t>
      </w:r>
      <w:r w:rsidR="00EE4FC3">
        <w:t xml:space="preserve">  </w:t>
      </w:r>
      <w:r w:rsidRPr="00382917">
        <w:t>No</w:t>
      </w:r>
      <w:r w:rsidR="00EE4FC3">
        <w:t xml:space="preserve"> </w:t>
      </w:r>
      <w:r w:rsidRPr="00382917">
        <w:t>sooner</w:t>
      </w:r>
      <w:r w:rsidR="00EE4FC3">
        <w:t xml:space="preserve"> </w:t>
      </w:r>
      <w:r w:rsidRPr="00382917">
        <w:t>had</w:t>
      </w:r>
      <w:r w:rsidR="00EE4FC3">
        <w:t xml:space="preserve"> </w:t>
      </w:r>
      <w:r w:rsidRPr="00382917">
        <w:t>he</w:t>
      </w:r>
      <w:r w:rsidR="00EE4FC3">
        <w:t xml:space="preserve"> </w:t>
      </w:r>
      <w:r w:rsidRPr="00382917">
        <w:t>agreed</w:t>
      </w:r>
      <w:r w:rsidR="00EE4FC3">
        <w:t xml:space="preserve"> </w:t>
      </w:r>
      <w:r w:rsidRPr="00382917">
        <w:t>to</w:t>
      </w:r>
      <w:r w:rsidR="00EE4FC3">
        <w:t xml:space="preserve"> </w:t>
      </w:r>
      <w:r w:rsidRPr="00382917">
        <w:t>issue</w:t>
      </w:r>
      <w:r w:rsidR="00EE4FC3">
        <w:t xml:space="preserve"> </w:t>
      </w:r>
      <w:r w:rsidRPr="00382917">
        <w:t>that</w:t>
      </w:r>
      <w:r w:rsidR="00EE4FC3">
        <w:t xml:space="preserve"> </w:t>
      </w:r>
      <w:r w:rsidRPr="00382917">
        <w:t>order</w:t>
      </w:r>
      <w:r w:rsidR="00EE4FC3">
        <w:t xml:space="preserve"> </w:t>
      </w:r>
      <w:r w:rsidRPr="00382917">
        <w:t>than</w:t>
      </w:r>
      <w:r w:rsidR="00EE4FC3">
        <w:t xml:space="preserve"> </w:t>
      </w:r>
      <w:r w:rsidRPr="00382917">
        <w:t>he</w:t>
      </w:r>
      <w:r w:rsidR="00EE4FC3">
        <w:t xml:space="preserve"> </w:t>
      </w:r>
      <w:r w:rsidRPr="00382917">
        <w:t>was</w:t>
      </w:r>
      <w:r w:rsidR="00EE4FC3">
        <w:t xml:space="preserve"> </w:t>
      </w:r>
      <w:r w:rsidRPr="00382917">
        <w:t>afflicted</w:t>
      </w:r>
      <w:r w:rsidR="00EE4FC3">
        <w:t xml:space="preserve"> </w:t>
      </w:r>
      <w:r w:rsidRPr="00382917">
        <w:t>with</w:t>
      </w:r>
      <w:r w:rsidR="00EE4FC3">
        <w:t xml:space="preserve"> </w:t>
      </w:r>
      <w:r w:rsidRPr="00382917">
        <w:t>an</w:t>
      </w:r>
      <w:r w:rsidR="00EE4FC3">
        <w:t xml:space="preserve"> </w:t>
      </w:r>
      <w:r w:rsidRPr="00382917">
        <w:t>abrupt</w:t>
      </w:r>
      <w:r w:rsidR="00EE4FC3">
        <w:t xml:space="preserve"> </w:t>
      </w:r>
      <w:r w:rsidRPr="00382917">
        <w:t>reversal</w:t>
      </w:r>
      <w:r w:rsidR="00EE4FC3">
        <w:t xml:space="preserve"> </w:t>
      </w:r>
      <w:r w:rsidRPr="00382917">
        <w:t>of</w:t>
      </w:r>
      <w:r w:rsidR="00EE4FC3">
        <w:t xml:space="preserve"> </w:t>
      </w:r>
      <w:r w:rsidRPr="00382917">
        <w:t>fortune</w:t>
      </w:r>
      <w:r w:rsidR="00A93643">
        <w:t>.</w:t>
      </w:r>
      <w:r w:rsidR="00EE4FC3">
        <w:t xml:space="preserve">  </w:t>
      </w:r>
      <w:r w:rsidRPr="00382917">
        <w:t>Several</w:t>
      </w:r>
      <w:r w:rsidR="00EE4FC3">
        <w:t xml:space="preserve"> </w:t>
      </w:r>
      <w:r w:rsidRPr="00382917">
        <w:t>parts</w:t>
      </w:r>
      <w:r w:rsidR="00EE4FC3">
        <w:t xml:space="preserve"> </w:t>
      </w:r>
      <w:r w:rsidRPr="00382917">
        <w:t>of</w:t>
      </w:r>
      <w:r w:rsidR="00EE4FC3">
        <w:t xml:space="preserve"> </w:t>
      </w:r>
      <w:r w:rsidRPr="00382917">
        <w:t>his</w:t>
      </w:r>
      <w:r w:rsidR="00EE4FC3">
        <w:t xml:space="preserve"> </w:t>
      </w:r>
      <w:r w:rsidRPr="00382917">
        <w:t>kingdom</w:t>
      </w:r>
      <w:r w:rsidR="00EE4FC3">
        <w:t xml:space="preserve"> </w:t>
      </w:r>
      <w:r w:rsidRPr="00382917">
        <w:t>broke</w:t>
      </w:r>
      <w:r w:rsidR="00EE4FC3">
        <w:t xml:space="preserve"> </w:t>
      </w:r>
      <w:r w:rsidRPr="00382917">
        <w:t>out</w:t>
      </w:r>
      <w:r w:rsidR="00EE4FC3">
        <w:t xml:space="preserve"> </w:t>
      </w:r>
      <w:r w:rsidRPr="00382917">
        <w:t>in</w:t>
      </w:r>
      <w:r w:rsidR="00EE4FC3">
        <w:t xml:space="preserve"> </w:t>
      </w:r>
      <w:r w:rsidRPr="00382917">
        <w:t>revolt</w:t>
      </w:r>
      <w:r w:rsidR="00A93643">
        <w:t>.</w:t>
      </w:r>
      <w:r w:rsidR="00EE4FC3">
        <w:t xml:space="preserve">  </w:t>
      </w:r>
      <w:r w:rsidRPr="00382917">
        <w:t>His</w:t>
      </w:r>
      <w:r w:rsidR="00EE4FC3">
        <w:t xml:space="preserve"> </w:t>
      </w:r>
      <w:r w:rsidRPr="00382917">
        <w:t>health</w:t>
      </w:r>
      <w:r w:rsidR="00EE4FC3">
        <w:t xml:space="preserve"> </w:t>
      </w:r>
      <w:r w:rsidRPr="00382917">
        <w:t>declined</w:t>
      </w:r>
      <w:r w:rsidR="00EE4FC3">
        <w:t xml:space="preserve"> </w:t>
      </w:r>
      <w:r w:rsidRPr="00382917">
        <w:t>rapidly</w:t>
      </w:r>
      <w:r w:rsidR="00A93643">
        <w:t>.</w:t>
      </w:r>
      <w:r w:rsidR="00EE4FC3">
        <w:t xml:space="preserve">  </w:t>
      </w:r>
      <w:r w:rsidRPr="00382917">
        <w:t>Finally,</w:t>
      </w:r>
      <w:r w:rsidR="00EE4FC3">
        <w:t xml:space="preserve"> </w:t>
      </w:r>
      <w:r w:rsidRPr="00382917">
        <w:t>at</w:t>
      </w:r>
      <w:r w:rsidR="00EE4FC3">
        <w:t xml:space="preserve"> </w:t>
      </w:r>
      <w:r w:rsidRPr="00382917">
        <w:t>the</w:t>
      </w:r>
      <w:r w:rsidR="00EE4FC3">
        <w:t xml:space="preserve"> </w:t>
      </w:r>
      <w:r w:rsidRPr="00382917">
        <w:t>early</w:t>
      </w:r>
      <w:r w:rsidR="00EE4FC3">
        <w:t xml:space="preserve"> </w:t>
      </w:r>
      <w:r w:rsidRPr="00382917">
        <w:t>age</w:t>
      </w:r>
      <w:r w:rsidR="00EE4FC3">
        <w:t xml:space="preserve"> </w:t>
      </w:r>
      <w:r w:rsidRPr="00382917">
        <w:t>of</w:t>
      </w:r>
      <w:r w:rsidR="00EE4FC3">
        <w:t xml:space="preserve"> </w:t>
      </w:r>
      <w:r w:rsidRPr="00382917">
        <w:t>forty,</w:t>
      </w:r>
      <w:r w:rsidR="00EE4FC3">
        <w:t xml:space="preserve"> </w:t>
      </w:r>
      <w:r w:rsidRPr="00382917">
        <w:t>he</w:t>
      </w:r>
      <w:r w:rsidR="00EE4FC3">
        <w:t xml:space="preserve"> </w:t>
      </w:r>
      <w:proofErr w:type="gramStart"/>
      <w:r w:rsidRPr="00382917">
        <w:t>fell</w:t>
      </w:r>
      <w:proofErr w:type="gramEnd"/>
      <w:r w:rsidR="00EE4FC3">
        <w:t xml:space="preserve"> </w:t>
      </w:r>
      <w:r w:rsidRPr="00382917">
        <w:t>a</w:t>
      </w:r>
      <w:r w:rsidR="00EE4FC3">
        <w:t xml:space="preserve"> </w:t>
      </w:r>
      <w:r w:rsidRPr="00382917">
        <w:t>victim</w:t>
      </w:r>
      <w:r w:rsidR="00EE4FC3">
        <w:t xml:space="preserve"> </w:t>
      </w:r>
      <w:r w:rsidRPr="00382917">
        <w:t>to</w:t>
      </w:r>
      <w:r w:rsidR="00EE4FC3">
        <w:t xml:space="preserve"> </w:t>
      </w:r>
      <w:r w:rsidRPr="00382917">
        <w:t>a</w:t>
      </w:r>
      <w:r w:rsidR="00EE4FC3">
        <w:t xml:space="preserve"> </w:t>
      </w:r>
      <w:r w:rsidRPr="00382917">
        <w:t>complication</w:t>
      </w:r>
      <w:r w:rsidR="00EE4FC3">
        <w:t xml:space="preserve"> </w:t>
      </w:r>
      <w:r w:rsidRPr="00382917">
        <w:t>of</w:t>
      </w:r>
      <w:r w:rsidR="00EE4FC3">
        <w:t xml:space="preserve"> </w:t>
      </w:r>
      <w:r w:rsidRPr="00382917">
        <w:t>maladies</w:t>
      </w:r>
      <w:r w:rsidR="00EE4FC3">
        <w:t xml:space="preserve"> </w:t>
      </w:r>
      <w:r w:rsidRPr="00382917">
        <w:t>which</w:t>
      </w:r>
      <w:r w:rsidR="00EE4FC3">
        <w:t xml:space="preserve"> </w:t>
      </w:r>
      <w:r w:rsidRPr="00382917">
        <w:t>the</w:t>
      </w:r>
      <w:r w:rsidR="00EE4FC3">
        <w:t xml:space="preserve"> </w:t>
      </w:r>
      <w:r w:rsidRPr="00382917">
        <w:t>Báb</w:t>
      </w:r>
      <w:r w:rsidR="00EE4FC3">
        <w:t xml:space="preserve"> </w:t>
      </w:r>
      <w:r w:rsidRPr="00382917">
        <w:t>had</w:t>
      </w:r>
      <w:r w:rsidR="00EE4FC3">
        <w:t xml:space="preserve"> </w:t>
      </w:r>
      <w:r w:rsidRPr="00382917">
        <w:t>foretold</w:t>
      </w:r>
      <w:r w:rsidR="00EE4FC3">
        <w:t xml:space="preserve"> </w:t>
      </w:r>
      <w:r w:rsidRPr="00382917">
        <w:t>would</w:t>
      </w:r>
      <w:r w:rsidR="00EE4FC3">
        <w:t xml:space="preserve"> </w:t>
      </w:r>
      <w:r w:rsidRPr="00382917">
        <w:t>in</w:t>
      </w:r>
      <w:r w:rsidR="00EE4FC3">
        <w:t xml:space="preserve"> </w:t>
      </w:r>
      <w:r w:rsidRPr="00382917">
        <w:t>the</w:t>
      </w:r>
      <w:r w:rsidR="00EE4FC3">
        <w:t xml:space="preserve"> </w:t>
      </w:r>
      <w:r w:rsidRPr="00382917">
        <w:t>end</w:t>
      </w:r>
      <w:r w:rsidR="00EE4FC3">
        <w:t xml:space="preserve"> </w:t>
      </w:r>
      <w:r w:rsidRPr="00382917">
        <w:t>devour</w:t>
      </w:r>
      <w:r w:rsidR="00EE4FC3">
        <w:t xml:space="preserve"> </w:t>
      </w:r>
      <w:r w:rsidRPr="00382917">
        <w:t>him.</w:t>
      </w:r>
    </w:p>
    <w:p w:rsidR="006E01DB" w:rsidRPr="00382917" w:rsidRDefault="006E01DB" w:rsidP="006E01DB">
      <w:pPr>
        <w:pStyle w:val="Text"/>
      </w:pPr>
      <w:r w:rsidRPr="00382917">
        <w:t>The</w:t>
      </w:r>
      <w:r w:rsidR="00EE4FC3">
        <w:t xml:space="preserve"> </w:t>
      </w:r>
      <w:r w:rsidRPr="00382917">
        <w:t>Prime</w:t>
      </w:r>
      <w:r w:rsidR="00EE4FC3">
        <w:t xml:space="preserve"> </w:t>
      </w:r>
      <w:r w:rsidRPr="00382917">
        <w:t>Minister,</w:t>
      </w:r>
      <w:r w:rsidR="00EE4FC3">
        <w:t xml:space="preserve"> </w:t>
      </w:r>
      <w:r w:rsidRPr="00382917">
        <w:t>Ḥájí</w:t>
      </w:r>
      <w:r w:rsidR="00EE4FC3">
        <w:t xml:space="preserve"> </w:t>
      </w:r>
      <w:r w:rsidRPr="00382917">
        <w:t>Mírzá</w:t>
      </w:r>
      <w:r w:rsidR="00EE4FC3">
        <w:t xml:space="preserve"> </w:t>
      </w:r>
      <w:r w:rsidRPr="00382917">
        <w:t>Áqásí,</w:t>
      </w:r>
      <w:r w:rsidR="00EE4FC3">
        <w:t xml:space="preserve"> </w:t>
      </w:r>
      <w:r w:rsidRPr="00382917">
        <w:t>who</w:t>
      </w:r>
      <w:r w:rsidR="00EE4FC3">
        <w:t xml:space="preserve"> </w:t>
      </w:r>
      <w:r w:rsidRPr="00382917">
        <w:t>had</w:t>
      </w:r>
      <w:r w:rsidR="00EE4FC3">
        <w:t xml:space="preserve"> </w:t>
      </w:r>
      <w:r w:rsidRPr="00382917">
        <w:t>been</w:t>
      </w:r>
      <w:r w:rsidR="00EE4FC3">
        <w:t xml:space="preserve"> </w:t>
      </w:r>
      <w:r w:rsidRPr="00382917">
        <w:t>the</w:t>
      </w:r>
      <w:r w:rsidR="00EE4FC3">
        <w:t xml:space="preserve"> </w:t>
      </w:r>
      <w:r w:rsidRPr="00382917">
        <w:t>chief</w:t>
      </w:r>
      <w:r w:rsidR="00EE4FC3">
        <w:t xml:space="preserve"> </w:t>
      </w:r>
      <w:r w:rsidRPr="00382917">
        <w:t>conspirator</w:t>
      </w:r>
      <w:r w:rsidR="00EE4FC3">
        <w:t xml:space="preserve"> </w:t>
      </w:r>
      <w:r w:rsidRPr="00382917">
        <w:t>in</w:t>
      </w:r>
      <w:r w:rsidR="00EE4FC3">
        <w:t xml:space="preserve"> </w:t>
      </w:r>
      <w:r w:rsidRPr="00382917">
        <w:t>the</w:t>
      </w:r>
      <w:r w:rsidR="00EE4FC3">
        <w:t xml:space="preserve"> </w:t>
      </w:r>
      <w:r w:rsidRPr="00382917">
        <w:t>outrages</w:t>
      </w:r>
      <w:r w:rsidR="00EE4FC3">
        <w:t xml:space="preserve"> </w:t>
      </w:r>
      <w:r w:rsidRPr="00382917">
        <w:t>committed</w:t>
      </w:r>
      <w:r w:rsidR="00EE4FC3">
        <w:t xml:space="preserve"> </w:t>
      </w:r>
      <w:r w:rsidRPr="00382917">
        <w:t>against</w:t>
      </w:r>
      <w:r w:rsidR="00EE4FC3">
        <w:t xml:space="preserve"> </w:t>
      </w:r>
      <w:r w:rsidRPr="00382917">
        <w:t>the</w:t>
      </w:r>
      <w:r w:rsidR="00EE4FC3">
        <w:t xml:space="preserve"> </w:t>
      </w:r>
      <w:r w:rsidRPr="00382917">
        <w:t>Báb,</w:t>
      </w:r>
      <w:r w:rsidR="00EE4FC3">
        <w:t xml:space="preserve"> </w:t>
      </w:r>
      <w:r w:rsidRPr="00382917">
        <w:t>was</w:t>
      </w:r>
      <w:r w:rsidR="00EE4FC3">
        <w:t xml:space="preserve"> </w:t>
      </w:r>
      <w:r w:rsidRPr="00382917">
        <w:t>made</w:t>
      </w:r>
      <w:r w:rsidR="00EE4FC3">
        <w:t xml:space="preserve"> </w:t>
      </w:r>
      <w:r w:rsidRPr="00382917">
        <w:t>the</w:t>
      </w:r>
      <w:r w:rsidR="00EE4FC3">
        <w:t xml:space="preserve"> </w:t>
      </w:r>
      <w:r w:rsidRPr="00382917">
        <w:t>major</w:t>
      </w:r>
      <w:r w:rsidR="00EE4FC3">
        <w:t xml:space="preserve"> </w:t>
      </w:r>
      <w:r w:rsidRPr="00382917">
        <w:t>target</w:t>
      </w:r>
      <w:r w:rsidR="00EE4FC3">
        <w:t xml:space="preserve"> </w:t>
      </w:r>
      <w:r w:rsidRPr="00382917">
        <w:t>of</w:t>
      </w:r>
      <w:r w:rsidR="00EE4FC3">
        <w:t xml:space="preserve"> </w:t>
      </w:r>
      <w:r w:rsidRPr="00382917">
        <w:t>this</w:t>
      </w:r>
      <w:r w:rsidR="00EE4FC3">
        <w:t xml:space="preserve"> </w:t>
      </w:r>
      <w:r w:rsidRPr="00382917">
        <w:t>avenging</w:t>
      </w:r>
      <w:r w:rsidR="00EE4FC3">
        <w:t xml:space="preserve"> </w:t>
      </w:r>
      <w:r w:rsidRPr="00382917">
        <w:t>wrath</w:t>
      </w:r>
      <w:r w:rsidR="00A93643">
        <w:t>.</w:t>
      </w:r>
      <w:r w:rsidR="00EE4FC3">
        <w:t xml:space="preserve">  </w:t>
      </w:r>
      <w:r w:rsidRPr="00382917">
        <w:t>Scarcely</w:t>
      </w:r>
      <w:r w:rsidR="00EE4FC3">
        <w:t xml:space="preserve"> </w:t>
      </w:r>
      <w:r w:rsidRPr="00382917">
        <w:t>a</w:t>
      </w:r>
      <w:r w:rsidR="00EE4FC3">
        <w:t xml:space="preserve"> </w:t>
      </w:r>
      <w:r w:rsidRPr="00382917">
        <w:t>year</w:t>
      </w:r>
      <w:r w:rsidR="00EE4FC3">
        <w:t xml:space="preserve"> </w:t>
      </w:r>
      <w:r w:rsidRPr="00382917">
        <w:t>and</w:t>
      </w:r>
      <w:r w:rsidR="00EE4FC3">
        <w:t xml:space="preserve"> </w:t>
      </w:r>
      <w:r w:rsidRPr="00382917">
        <w:t>six</w:t>
      </w:r>
      <w:r w:rsidR="00EE4FC3">
        <w:t xml:space="preserve"> </w:t>
      </w:r>
      <w:r w:rsidRPr="00382917">
        <w:t>months</w:t>
      </w:r>
      <w:r w:rsidR="00EE4FC3">
        <w:t xml:space="preserve"> </w:t>
      </w:r>
      <w:r w:rsidRPr="00382917">
        <w:t>from</w:t>
      </w:r>
      <w:r w:rsidR="00EE4FC3">
        <w:t xml:space="preserve"> </w:t>
      </w:r>
      <w:r w:rsidRPr="00382917">
        <w:t>the</w:t>
      </w:r>
      <w:r w:rsidR="00EE4FC3">
        <w:t xml:space="preserve"> </w:t>
      </w:r>
      <w:r w:rsidRPr="00382917">
        <w:t>moment</w:t>
      </w:r>
      <w:r w:rsidR="00EE4FC3">
        <w:t xml:space="preserve"> </w:t>
      </w:r>
      <w:r w:rsidRPr="00382917">
        <w:t>he</w:t>
      </w:r>
      <w:r w:rsidR="00EE4FC3">
        <w:t xml:space="preserve"> </w:t>
      </w:r>
      <w:r w:rsidRPr="00382917">
        <w:t>first</w:t>
      </w:r>
      <w:r w:rsidR="00EE4FC3">
        <w:t xml:space="preserve"> </w:t>
      </w:r>
      <w:r w:rsidRPr="00382917">
        <w:t>came</w:t>
      </w:r>
      <w:r w:rsidR="00EE4FC3">
        <w:t xml:space="preserve"> </w:t>
      </w:r>
      <w:r w:rsidRPr="00382917">
        <w:t>between</w:t>
      </w:r>
      <w:r w:rsidR="00EE4FC3">
        <w:t xml:space="preserve"> </w:t>
      </w:r>
      <w:r w:rsidRPr="00382917">
        <w:t>the</w:t>
      </w:r>
      <w:r w:rsidR="00EE4FC3">
        <w:t xml:space="preserve"> </w:t>
      </w:r>
      <w:r w:rsidRPr="00382917">
        <w:t>Báb</w:t>
      </w:r>
      <w:r w:rsidR="00EE4FC3">
        <w:t xml:space="preserve"> </w:t>
      </w:r>
      <w:r w:rsidRPr="00382917">
        <w:t>and</w:t>
      </w:r>
      <w:r w:rsidR="00EE4FC3">
        <w:t xml:space="preserve"> </w:t>
      </w:r>
      <w:r w:rsidRPr="00382917">
        <w:t>the</w:t>
      </w:r>
      <w:r w:rsidR="00EE4FC3">
        <w:t xml:space="preserve"> </w:t>
      </w:r>
      <w:r w:rsidRPr="00382917">
        <w:t>king</w:t>
      </w:r>
      <w:r w:rsidR="00EE4FC3">
        <w:t xml:space="preserve"> </w:t>
      </w:r>
      <w:r w:rsidRPr="00382917">
        <w:t>and</w:t>
      </w:r>
      <w:r w:rsidR="00EE4FC3">
        <w:t xml:space="preserve"> </w:t>
      </w:r>
      <w:r w:rsidRPr="00382917">
        <w:t>prevented</w:t>
      </w:r>
      <w:r w:rsidR="00EE4FC3">
        <w:t xml:space="preserve"> </w:t>
      </w:r>
      <w:r w:rsidRPr="00382917">
        <w:t>their</w:t>
      </w:r>
      <w:r w:rsidR="00EE4FC3">
        <w:t xml:space="preserve"> </w:t>
      </w:r>
      <w:r w:rsidRPr="00382917">
        <w:t>meeting,</w:t>
      </w:r>
      <w:r w:rsidR="00EE4FC3">
        <w:t xml:space="preserve"> </w:t>
      </w:r>
      <w:r w:rsidRPr="00382917">
        <w:t>he</w:t>
      </w:r>
      <w:r w:rsidR="00EE4FC3">
        <w:t xml:space="preserve"> </w:t>
      </w:r>
      <w:r w:rsidRPr="00382917">
        <w:t>was</w:t>
      </w:r>
      <w:r w:rsidR="00EE4FC3">
        <w:t xml:space="preserve"> </w:t>
      </w:r>
      <w:r w:rsidRPr="00382917">
        <w:t>hurled</w:t>
      </w:r>
      <w:r w:rsidR="00EE4FC3">
        <w:t xml:space="preserve"> </w:t>
      </w:r>
      <w:r w:rsidRPr="00382917">
        <w:t>from</w:t>
      </w:r>
      <w:r w:rsidR="00EE4FC3">
        <w:t xml:space="preserve"> </w:t>
      </w:r>
      <w:r w:rsidRPr="00382917">
        <w:t>power</w:t>
      </w:r>
      <w:r w:rsidR="00A93643">
        <w:t>.</w:t>
      </w:r>
      <w:r w:rsidR="00EE4FC3">
        <w:t xml:space="preserve">  </w:t>
      </w:r>
      <w:r w:rsidRPr="00382917">
        <w:t>While</w:t>
      </w:r>
      <w:r w:rsidR="00EE4FC3">
        <w:t xml:space="preserve"> </w:t>
      </w:r>
      <w:r w:rsidRPr="00382917">
        <w:t>the</w:t>
      </w:r>
      <w:r w:rsidR="00EE4FC3">
        <w:t xml:space="preserve"> </w:t>
      </w:r>
      <w:r w:rsidRPr="00382917">
        <w:t>Báb</w:t>
      </w:r>
      <w:r w:rsidR="00EE4FC3">
        <w:t xml:space="preserve"> </w:t>
      </w:r>
      <w:r w:rsidRPr="00382917">
        <w:t>was</w:t>
      </w:r>
      <w:r w:rsidR="00EE4FC3">
        <w:t xml:space="preserve"> </w:t>
      </w:r>
      <w:r w:rsidRPr="00382917">
        <w:t>still</w:t>
      </w:r>
      <w:r w:rsidR="00EE4FC3">
        <w:t xml:space="preserve"> </w:t>
      </w:r>
      <w:r w:rsidRPr="00382917">
        <w:t>in</w:t>
      </w:r>
      <w:r w:rsidR="00EE4FC3">
        <w:t xml:space="preserve"> </w:t>
      </w:r>
      <w:r w:rsidRPr="00382917">
        <w:t>the</w:t>
      </w:r>
      <w:r w:rsidR="00EE4FC3">
        <w:t xml:space="preserve"> </w:t>
      </w:r>
      <w:r w:rsidRPr="00382917">
        <w:t>prison</w:t>
      </w:r>
      <w:r w:rsidR="00EE4FC3">
        <w:t xml:space="preserve"> </w:t>
      </w:r>
      <w:r w:rsidRPr="00382917">
        <w:t>to</w:t>
      </w:r>
      <w:r w:rsidR="00EE4FC3">
        <w:t xml:space="preserve"> </w:t>
      </w:r>
      <w:r w:rsidRPr="00382917">
        <w:t>which</w:t>
      </w:r>
      <w:r w:rsidR="00EE4FC3">
        <w:t xml:space="preserve"> </w:t>
      </w:r>
      <w:r w:rsidRPr="00382917">
        <w:t>Ḥájí</w:t>
      </w:r>
      <w:r w:rsidR="00EE4FC3">
        <w:t xml:space="preserve"> </w:t>
      </w:r>
      <w:r w:rsidRPr="00382917">
        <w:t>Mírzá</w:t>
      </w:r>
      <w:r w:rsidR="00EE4FC3">
        <w:t xml:space="preserve"> </w:t>
      </w:r>
      <w:r w:rsidRPr="00382917">
        <w:t>Áqásí</w:t>
      </w:r>
      <w:r w:rsidR="00EE4FC3">
        <w:t xml:space="preserve"> </w:t>
      </w:r>
      <w:r w:rsidRPr="00382917">
        <w:t>had</w:t>
      </w:r>
      <w:r w:rsidR="00EE4FC3">
        <w:t xml:space="preserve"> </w:t>
      </w:r>
      <w:r w:rsidRPr="00382917">
        <w:t>condemned</w:t>
      </w:r>
      <w:r w:rsidR="00EE4FC3">
        <w:t xml:space="preserve"> </w:t>
      </w:r>
      <w:r w:rsidRPr="00382917">
        <w:t>Him,</w:t>
      </w:r>
      <w:r w:rsidR="00EE4FC3">
        <w:t xml:space="preserve"> </w:t>
      </w:r>
      <w:r w:rsidRPr="00382917">
        <w:t>and</w:t>
      </w:r>
      <w:r w:rsidR="00EE4FC3">
        <w:t xml:space="preserve"> </w:t>
      </w:r>
      <w:r w:rsidRPr="00382917">
        <w:t>from</w:t>
      </w:r>
      <w:r w:rsidR="00EE4FC3">
        <w:t xml:space="preserve"> </w:t>
      </w:r>
      <w:r w:rsidRPr="00382917">
        <w:t>which</w:t>
      </w:r>
      <w:r w:rsidR="00EE4FC3">
        <w:t xml:space="preserve"> </w:t>
      </w:r>
      <w:r w:rsidRPr="00382917">
        <w:t>He</w:t>
      </w:r>
      <w:r w:rsidR="00EE4FC3">
        <w:t xml:space="preserve"> </w:t>
      </w:r>
      <w:r w:rsidRPr="00382917">
        <w:t>had</w:t>
      </w:r>
      <w:r w:rsidR="00EE4FC3">
        <w:t xml:space="preserve"> </w:t>
      </w:r>
      <w:r w:rsidRPr="00382917">
        <w:t>sent</w:t>
      </w:r>
      <w:r w:rsidR="00EE4FC3">
        <w:t xml:space="preserve"> </w:t>
      </w:r>
      <w:r w:rsidRPr="00382917">
        <w:t>the</w:t>
      </w:r>
      <w:r w:rsidR="00EE4FC3">
        <w:t xml:space="preserve"> </w:t>
      </w:r>
      <w:r w:rsidR="009C713D" w:rsidRPr="00382917">
        <w:t>“</w:t>
      </w:r>
      <w:r w:rsidRPr="00382917">
        <w:t>Sermon</w:t>
      </w:r>
      <w:r w:rsidR="00EE4FC3">
        <w:t xml:space="preserve"> </w:t>
      </w:r>
      <w:r w:rsidRPr="00382917">
        <w:t>of</w:t>
      </w:r>
      <w:r w:rsidR="00EE4FC3">
        <w:t xml:space="preserve"> </w:t>
      </w:r>
      <w:r w:rsidRPr="00382917">
        <w:t>Wrath</w:t>
      </w:r>
      <w:r w:rsidR="009C713D" w:rsidRPr="00382917">
        <w:t>”</w:t>
      </w:r>
      <w:r w:rsidRPr="00382917">
        <w:t>,</w:t>
      </w:r>
      <w:r w:rsidR="00EE4FC3">
        <w:t xml:space="preserve"> </w:t>
      </w:r>
      <w:r w:rsidRPr="00382917">
        <w:t>the</w:t>
      </w:r>
      <w:r w:rsidR="00EE4FC3">
        <w:t xml:space="preserve"> </w:t>
      </w:r>
      <w:r w:rsidRPr="00382917">
        <w:t>Prime</w:t>
      </w:r>
      <w:r w:rsidR="00EE4FC3">
        <w:t xml:space="preserve"> </w:t>
      </w:r>
      <w:r w:rsidRPr="00382917">
        <w:t>Minister</w:t>
      </w:r>
      <w:r w:rsidR="00EE4FC3">
        <w:t xml:space="preserve"> </w:t>
      </w:r>
      <w:r w:rsidRPr="00382917">
        <w:t>was</w:t>
      </w:r>
      <w:r w:rsidR="00EE4FC3">
        <w:t xml:space="preserve"> </w:t>
      </w:r>
      <w:r w:rsidRPr="00382917">
        <w:t>dismissed</w:t>
      </w:r>
      <w:r w:rsidR="00EE4FC3">
        <w:t xml:space="preserve"> </w:t>
      </w:r>
      <w:r w:rsidRPr="00382917">
        <w:t>in</w:t>
      </w:r>
      <w:r w:rsidR="00EE4FC3">
        <w:t xml:space="preserve"> </w:t>
      </w:r>
      <w:r w:rsidRPr="00382917">
        <w:t>disgrace</w:t>
      </w:r>
      <w:r w:rsidR="00EE4FC3">
        <w:t xml:space="preserve"> </w:t>
      </w:r>
      <w:r w:rsidRPr="00382917">
        <w:t>from</w:t>
      </w:r>
      <w:r w:rsidR="00EE4FC3">
        <w:t xml:space="preserve"> </w:t>
      </w:r>
      <w:r w:rsidRPr="00382917">
        <w:t>his</w:t>
      </w:r>
      <w:r w:rsidR="00EE4FC3">
        <w:t xml:space="preserve"> </w:t>
      </w:r>
      <w:r w:rsidRPr="00382917">
        <w:t>post</w:t>
      </w:r>
      <w:r w:rsidR="00A93643">
        <w:t>.</w:t>
      </w:r>
      <w:r w:rsidR="00EE4FC3">
        <w:t xml:space="preserve">  </w:t>
      </w:r>
      <w:r w:rsidRPr="00382917">
        <w:t>He</w:t>
      </w:r>
      <w:r w:rsidR="00EE4FC3">
        <w:t xml:space="preserve"> </w:t>
      </w:r>
      <w:r w:rsidRPr="00382917">
        <w:t>was</w:t>
      </w:r>
      <w:r w:rsidR="00EE4FC3">
        <w:t xml:space="preserve"> </w:t>
      </w:r>
      <w:r w:rsidRPr="00382917">
        <w:t>stripped</w:t>
      </w:r>
      <w:r w:rsidR="00EE4FC3">
        <w:t xml:space="preserve"> </w:t>
      </w:r>
      <w:r w:rsidRPr="00382917">
        <w:t>of</w:t>
      </w:r>
      <w:r w:rsidR="00EE4FC3">
        <w:t xml:space="preserve"> </w:t>
      </w:r>
      <w:r w:rsidRPr="00382917">
        <w:t>all</w:t>
      </w:r>
      <w:r w:rsidR="00EE4FC3">
        <w:t xml:space="preserve"> </w:t>
      </w:r>
      <w:r w:rsidRPr="00382917">
        <w:t>his</w:t>
      </w:r>
      <w:r w:rsidR="00EE4FC3">
        <w:t xml:space="preserve"> </w:t>
      </w:r>
      <w:r w:rsidRPr="00382917">
        <w:t>dishonestly</w:t>
      </w:r>
      <w:r w:rsidR="00EE4FC3">
        <w:t xml:space="preserve"> </w:t>
      </w:r>
      <w:r w:rsidRPr="00382917">
        <w:t>acquired</w:t>
      </w:r>
      <w:r w:rsidR="00EE4FC3">
        <w:t xml:space="preserve"> </w:t>
      </w:r>
      <w:r w:rsidRPr="00382917">
        <w:t>property</w:t>
      </w:r>
      <w:r w:rsidR="00EE4FC3">
        <w:t xml:space="preserve"> </w:t>
      </w:r>
      <w:r w:rsidRPr="00382917">
        <w:t>and</w:t>
      </w:r>
      <w:r w:rsidR="00EE4FC3">
        <w:t xml:space="preserve"> </w:t>
      </w:r>
      <w:r w:rsidRPr="00382917">
        <w:t>riches.</w:t>
      </w:r>
    </w:p>
    <w:p w:rsidR="00E13D49" w:rsidRPr="00382917" w:rsidRDefault="006E01DB" w:rsidP="00A30C52">
      <w:pPr>
        <w:pStyle w:val="Text"/>
      </w:pPr>
      <w:r w:rsidRPr="00382917">
        <w:t>C.</w:t>
      </w:r>
      <w:r w:rsidR="00EE4FC3">
        <w:t xml:space="preserve"> </w:t>
      </w:r>
      <w:r w:rsidRPr="00382917">
        <w:t>R.</w:t>
      </w:r>
      <w:r w:rsidR="00EE4FC3">
        <w:t xml:space="preserve"> </w:t>
      </w:r>
      <w:r w:rsidRPr="00382917">
        <w:t>Markham</w:t>
      </w:r>
      <w:r w:rsidR="009C713D" w:rsidRPr="00382917">
        <w:t>’</w:t>
      </w:r>
      <w:r w:rsidRPr="00382917">
        <w:t>s</w:t>
      </w:r>
      <w:r w:rsidR="00EE4FC3">
        <w:t xml:space="preserve"> </w:t>
      </w:r>
      <w:r w:rsidRPr="00A93643">
        <w:rPr>
          <w:i/>
          <w:iCs/>
        </w:rPr>
        <w:t>History</w:t>
      </w:r>
      <w:r w:rsidR="00EE4FC3">
        <w:rPr>
          <w:i/>
          <w:iCs/>
        </w:rPr>
        <w:t xml:space="preserve"> </w:t>
      </w:r>
      <w:r w:rsidRPr="00A93643">
        <w:rPr>
          <w:i/>
          <w:iCs/>
        </w:rPr>
        <w:t>of</w:t>
      </w:r>
      <w:r w:rsidR="00EE4FC3">
        <w:rPr>
          <w:i/>
          <w:iCs/>
        </w:rPr>
        <w:t xml:space="preserve"> </w:t>
      </w:r>
      <w:r w:rsidRPr="00A93643">
        <w:rPr>
          <w:i/>
          <w:iCs/>
        </w:rPr>
        <w:t>Persia</w:t>
      </w:r>
      <w:r w:rsidR="00EE4FC3">
        <w:t xml:space="preserve"> </w:t>
      </w:r>
      <w:r w:rsidRPr="00382917">
        <w:t>says,</w:t>
      </w:r>
      <w:r w:rsidR="00EE4FC3">
        <w:t xml:space="preserve"> </w:t>
      </w:r>
      <w:r w:rsidR="009C713D" w:rsidRPr="00382917">
        <w:t>“</w:t>
      </w:r>
      <w:r w:rsidRPr="00382917">
        <w:t>Ḥájí</w:t>
      </w:r>
      <w:r w:rsidR="00EE4FC3">
        <w:t xml:space="preserve"> </w:t>
      </w:r>
      <w:r w:rsidRPr="00382917">
        <w:t>Mírzá</w:t>
      </w:r>
      <w:r w:rsidR="00EE4FC3">
        <w:t xml:space="preserve"> </w:t>
      </w:r>
      <w:r w:rsidRPr="00382917">
        <w:t>Áqásí,</w:t>
      </w:r>
      <w:r w:rsidR="00EE4FC3">
        <w:t xml:space="preserve"> </w:t>
      </w:r>
      <w:r w:rsidRPr="00382917">
        <w:t>the</w:t>
      </w:r>
      <w:r w:rsidR="00EE4FC3">
        <w:t xml:space="preserve"> </w:t>
      </w:r>
      <w:r w:rsidRPr="00382917">
        <w:t>half-crazy</w:t>
      </w:r>
      <w:r w:rsidR="00EE4FC3">
        <w:t xml:space="preserve"> </w:t>
      </w:r>
      <w:r w:rsidRPr="00382917">
        <w:t>old</w:t>
      </w:r>
      <w:r w:rsidR="00EE4FC3">
        <w:t xml:space="preserve"> </w:t>
      </w:r>
      <w:r w:rsidRPr="00382917">
        <w:t>Prime</w:t>
      </w:r>
      <w:r w:rsidR="00EE4FC3">
        <w:t xml:space="preserve"> </w:t>
      </w:r>
      <w:r w:rsidRPr="00382917">
        <w:t>Minister</w:t>
      </w:r>
      <w:r w:rsidR="00EE4FC3">
        <w:t xml:space="preserve"> </w:t>
      </w:r>
      <w:r w:rsidR="00F04416" w:rsidRPr="00382917">
        <w:t>…</w:t>
      </w:r>
      <w:r w:rsidR="00EE4FC3">
        <w:t xml:space="preserve"> </w:t>
      </w:r>
      <w:r w:rsidRPr="00382917">
        <w:t>was</w:t>
      </w:r>
      <w:r w:rsidR="00EE4FC3">
        <w:t xml:space="preserve"> </w:t>
      </w:r>
      <w:r w:rsidRPr="00382917">
        <w:t>sedulously</w:t>
      </w:r>
      <w:r w:rsidR="00EE4FC3">
        <w:t xml:space="preserve"> </w:t>
      </w:r>
      <w:r w:rsidRPr="00382917">
        <w:t>collecting</w:t>
      </w:r>
      <w:r w:rsidR="00EE4FC3">
        <w:t xml:space="preserve"> </w:t>
      </w:r>
      <w:r w:rsidRPr="00382917">
        <w:t>wealth</w:t>
      </w:r>
      <w:r w:rsidR="00EE4FC3">
        <w:t xml:space="preserve"> </w:t>
      </w:r>
      <w:r w:rsidRPr="00382917">
        <w:t>for</w:t>
      </w:r>
      <w:r w:rsidR="00EE4FC3">
        <w:t xml:space="preserve"> </w:t>
      </w:r>
      <w:r w:rsidRPr="00382917">
        <w:t>himself</w:t>
      </w:r>
      <w:r w:rsidR="00EE4FC3">
        <w:t xml:space="preserve"> </w:t>
      </w:r>
      <w:r w:rsidRPr="00382917">
        <w:t>at</w:t>
      </w:r>
      <w:r w:rsidR="00EE4FC3">
        <w:t xml:space="preserve"> </w:t>
      </w:r>
      <w:r w:rsidRPr="00382917">
        <w:t>Ṭihrán,</w:t>
      </w:r>
      <w:r w:rsidR="00EE4FC3">
        <w:t xml:space="preserve"> </w:t>
      </w:r>
      <w:r w:rsidRPr="00382917">
        <w:t>at</w:t>
      </w:r>
      <w:r w:rsidR="00EE4FC3">
        <w:t xml:space="preserve"> </w:t>
      </w:r>
      <w:r w:rsidRPr="00382917">
        <w:t>the</w:t>
      </w:r>
      <w:r w:rsidR="00EE4FC3">
        <w:t xml:space="preserve"> </w:t>
      </w:r>
      <w:r w:rsidRPr="00382917">
        <w:t>expense</w:t>
      </w:r>
      <w:r w:rsidR="00EE4FC3">
        <w:t xml:space="preserve"> </w:t>
      </w:r>
      <w:r w:rsidRPr="00382917">
        <w:t>of</w:t>
      </w:r>
      <w:r w:rsidR="00EE4FC3">
        <w:t xml:space="preserve"> </w:t>
      </w:r>
      <w:r w:rsidRPr="00382917">
        <w:t>the</w:t>
      </w:r>
      <w:r w:rsidR="00EE4FC3">
        <w:t xml:space="preserve"> </w:t>
      </w:r>
      <w:r w:rsidRPr="00382917">
        <w:t>wretched</w:t>
      </w:r>
      <w:r w:rsidR="00EE4FC3">
        <w:t xml:space="preserve"> </w:t>
      </w:r>
      <w:r w:rsidRPr="00382917">
        <w:t>country</w:t>
      </w:r>
      <w:r w:rsidR="00A93643">
        <w:t>.</w:t>
      </w:r>
      <w:r w:rsidR="00EE4FC3">
        <w:t xml:space="preserve">  </w:t>
      </w:r>
      <w:r w:rsidRPr="00382917">
        <w:t>The</w:t>
      </w:r>
      <w:r w:rsidR="00EE4FC3">
        <w:t xml:space="preserve"> </w:t>
      </w:r>
      <w:r w:rsidRPr="00382917">
        <w:t>governorships</w:t>
      </w:r>
      <w:r w:rsidR="00EE4FC3">
        <w:t xml:space="preserve"> </w:t>
      </w:r>
      <w:r w:rsidRPr="00382917">
        <w:t>of</w:t>
      </w:r>
      <w:r w:rsidR="00EE4FC3">
        <w:t xml:space="preserve"> </w:t>
      </w:r>
      <w:r w:rsidRPr="00382917">
        <w:t>provinces</w:t>
      </w:r>
      <w:r w:rsidR="00EE4FC3">
        <w:t xml:space="preserve"> </w:t>
      </w:r>
      <w:r w:rsidRPr="00382917">
        <w:t>were</w:t>
      </w:r>
      <w:r w:rsidR="00EE4FC3">
        <w:t xml:space="preserve"> </w:t>
      </w:r>
      <w:r w:rsidRPr="00382917">
        <w:t>sold</w:t>
      </w:r>
      <w:r w:rsidR="00EE4FC3">
        <w:t xml:space="preserve"> </w:t>
      </w:r>
      <w:r w:rsidRPr="00382917">
        <w:t>to</w:t>
      </w:r>
      <w:r w:rsidR="00EE4FC3">
        <w:t xml:space="preserve"> </w:t>
      </w:r>
      <w:r w:rsidRPr="00382917">
        <w:t>the</w:t>
      </w:r>
      <w:r w:rsidR="00EE4FC3">
        <w:t xml:space="preserve"> </w:t>
      </w:r>
      <w:r w:rsidRPr="00382917">
        <w:t>highest</w:t>
      </w:r>
      <w:r w:rsidR="00EE4FC3">
        <w:t xml:space="preserve"> </w:t>
      </w:r>
      <w:r w:rsidRPr="00382917">
        <w:t>bidders,</w:t>
      </w:r>
      <w:r w:rsidR="00EE4FC3">
        <w:t xml:space="preserve"> </w:t>
      </w:r>
      <w:r w:rsidRPr="00382917">
        <w:t>who</w:t>
      </w:r>
      <w:r w:rsidR="00EE4FC3">
        <w:t xml:space="preserve"> </w:t>
      </w:r>
      <w:r w:rsidRPr="00382917">
        <w:t>oppressed</w:t>
      </w:r>
      <w:r w:rsidR="00EE4FC3">
        <w:t xml:space="preserve"> </w:t>
      </w:r>
      <w:r w:rsidRPr="00382917">
        <w:t>the</w:t>
      </w:r>
      <w:r w:rsidR="00EE4FC3">
        <w:t xml:space="preserve"> </w:t>
      </w:r>
      <w:r w:rsidRPr="00382917">
        <w:t>people</w:t>
      </w:r>
      <w:r w:rsidR="00EE4FC3">
        <w:t xml:space="preserve"> </w:t>
      </w:r>
      <w:r w:rsidRPr="00382917">
        <w:t>in</w:t>
      </w:r>
      <w:r w:rsidR="00EE4FC3">
        <w:t xml:space="preserve"> </w:t>
      </w:r>
      <w:r w:rsidRPr="00382917">
        <w:t>a</w:t>
      </w:r>
      <w:r w:rsidR="00EE4FC3">
        <w:t xml:space="preserve"> </w:t>
      </w:r>
      <w:r w:rsidRPr="00382917">
        <w:t>fearful</w:t>
      </w:r>
      <w:r w:rsidR="00EE4FC3">
        <w:t xml:space="preserve"> </w:t>
      </w:r>
      <w:r w:rsidRPr="00382917">
        <w:t>manner.</w:t>
      </w:r>
      <w:r w:rsidR="009C713D" w:rsidRPr="00382917">
        <w:t>”</w:t>
      </w:r>
      <w:r w:rsidR="00A30C52">
        <w:rPr>
          <w:rStyle w:val="FootnoteReference"/>
        </w:rPr>
        <w:footnoteReference w:id="101"/>
      </w:r>
    </w:p>
    <w:p w:rsidR="00E13D49" w:rsidRPr="00382917" w:rsidRDefault="006E01DB" w:rsidP="00383C7E">
      <w:pPr>
        <w:pStyle w:val="Text"/>
      </w:pPr>
      <w:r w:rsidRPr="00382917">
        <w:t>When</w:t>
      </w:r>
      <w:r w:rsidR="00EE4FC3">
        <w:t xml:space="preserve"> </w:t>
      </w:r>
      <w:r w:rsidRPr="00382917">
        <w:t>knowledge</w:t>
      </w:r>
      <w:r w:rsidR="00EE4FC3">
        <w:t xml:space="preserve"> </w:t>
      </w:r>
      <w:r w:rsidRPr="00382917">
        <w:t>of</w:t>
      </w:r>
      <w:r w:rsidR="00EE4FC3">
        <w:t xml:space="preserve"> </w:t>
      </w:r>
      <w:r w:rsidRPr="00382917">
        <w:t>the</w:t>
      </w:r>
      <w:r w:rsidR="00EE4FC3">
        <w:t xml:space="preserve"> </w:t>
      </w:r>
      <w:r w:rsidRPr="00382917">
        <w:t>enormity</w:t>
      </w:r>
      <w:r w:rsidR="00EE4FC3">
        <w:t xml:space="preserve"> </w:t>
      </w:r>
      <w:r w:rsidRPr="00382917">
        <w:t>of</w:t>
      </w:r>
      <w:r w:rsidR="00EE4FC3">
        <w:t xml:space="preserve"> </w:t>
      </w:r>
      <w:r w:rsidRPr="00382917">
        <w:t>his</w:t>
      </w:r>
      <w:r w:rsidR="00EE4FC3">
        <w:t xml:space="preserve"> </w:t>
      </w:r>
      <w:r w:rsidRPr="00382917">
        <w:t>graft</w:t>
      </w:r>
      <w:r w:rsidR="00EE4FC3">
        <w:t xml:space="preserve"> </w:t>
      </w:r>
      <w:r w:rsidRPr="00382917">
        <w:t>and</w:t>
      </w:r>
      <w:r w:rsidR="00EE4FC3">
        <w:t xml:space="preserve"> </w:t>
      </w:r>
      <w:r w:rsidRPr="00382917">
        <w:t>thefts</w:t>
      </w:r>
      <w:r w:rsidR="00EE4FC3">
        <w:t xml:space="preserve"> </w:t>
      </w:r>
      <w:r w:rsidRPr="00382917">
        <w:t>became</w:t>
      </w:r>
      <w:r w:rsidR="00EE4FC3">
        <w:t xml:space="preserve"> </w:t>
      </w:r>
      <w:r w:rsidRPr="00382917">
        <w:t>known,</w:t>
      </w:r>
      <w:r w:rsidR="00EE4FC3">
        <w:t xml:space="preserve"> </w:t>
      </w:r>
      <w:r w:rsidRPr="00382917">
        <w:t>he</w:t>
      </w:r>
      <w:r w:rsidR="00EE4FC3">
        <w:t xml:space="preserve"> </w:t>
      </w:r>
      <w:r w:rsidRPr="00382917">
        <w:t>had</w:t>
      </w:r>
      <w:r w:rsidR="00EE4FC3">
        <w:t xml:space="preserve"> </w:t>
      </w:r>
      <w:r w:rsidRPr="00382917">
        <w:t>to</w:t>
      </w:r>
      <w:r w:rsidR="00EE4FC3">
        <w:t xml:space="preserve"> </w:t>
      </w:r>
      <w:r w:rsidRPr="00382917">
        <w:t>flee</w:t>
      </w:r>
      <w:r w:rsidR="00EE4FC3">
        <w:t xml:space="preserve"> </w:t>
      </w:r>
      <w:r w:rsidRPr="00382917">
        <w:t>for</w:t>
      </w:r>
      <w:r w:rsidR="00EE4FC3">
        <w:t xml:space="preserve"> </w:t>
      </w:r>
      <w:r w:rsidRPr="00382917">
        <w:t>shelter</w:t>
      </w:r>
      <w:r w:rsidR="00EE4FC3">
        <w:t xml:space="preserve"> </w:t>
      </w:r>
      <w:r w:rsidRPr="00382917">
        <w:t>from</w:t>
      </w:r>
      <w:r w:rsidR="00EE4FC3">
        <w:t xml:space="preserve"> </w:t>
      </w:r>
      <w:r w:rsidRPr="00382917">
        <w:t>the</w:t>
      </w:r>
      <w:r w:rsidR="00EE4FC3">
        <w:t xml:space="preserve"> </w:t>
      </w:r>
      <w:r w:rsidRPr="00382917">
        <w:t>anger</w:t>
      </w:r>
      <w:r w:rsidR="00EE4FC3">
        <w:t xml:space="preserve"> </w:t>
      </w:r>
      <w:r w:rsidRPr="00382917">
        <w:t>of</w:t>
      </w:r>
      <w:r w:rsidR="00EE4FC3">
        <w:t xml:space="preserve"> </w:t>
      </w:r>
      <w:r w:rsidRPr="00382917">
        <w:t>his</w:t>
      </w:r>
      <w:r w:rsidR="00EE4FC3">
        <w:t xml:space="preserve"> </w:t>
      </w:r>
      <w:r w:rsidRPr="00382917">
        <w:t>countrymen</w:t>
      </w:r>
      <w:r w:rsidR="00A93643">
        <w:t>.</w:t>
      </w:r>
      <w:r w:rsidR="00EE4FC3">
        <w:t xml:space="preserve">  </w:t>
      </w:r>
      <w:r w:rsidRPr="00382917">
        <w:t>Ḥájí</w:t>
      </w:r>
      <w:r w:rsidR="00EE4FC3">
        <w:t xml:space="preserve"> </w:t>
      </w:r>
      <w:r w:rsidRPr="00382917">
        <w:t>Mírzá</w:t>
      </w:r>
      <w:r w:rsidR="00EE4FC3">
        <w:t xml:space="preserve"> </w:t>
      </w:r>
      <w:r w:rsidRPr="00382917">
        <w:t>Áqásí</w:t>
      </w:r>
      <w:r w:rsidR="00EE4FC3">
        <w:t xml:space="preserve"> </w:t>
      </w:r>
      <w:r w:rsidRPr="00382917">
        <w:t>had</w:t>
      </w:r>
      <w:r w:rsidR="00EE4FC3">
        <w:t xml:space="preserve"> </w:t>
      </w:r>
      <w:r w:rsidRPr="00382917">
        <w:t>expelled</w:t>
      </w:r>
      <w:r w:rsidR="00EE4FC3">
        <w:t xml:space="preserve"> </w:t>
      </w:r>
      <w:r w:rsidRPr="00382917">
        <w:t>the</w:t>
      </w:r>
      <w:r w:rsidR="00EE4FC3">
        <w:t xml:space="preserve"> </w:t>
      </w:r>
      <w:r w:rsidRPr="00382917">
        <w:t>Báb</w:t>
      </w:r>
      <w:r w:rsidR="00EE4FC3">
        <w:t xml:space="preserve"> </w:t>
      </w:r>
      <w:r w:rsidRPr="00382917">
        <w:t>from</w:t>
      </w:r>
      <w:r w:rsidR="00EE4FC3">
        <w:t xml:space="preserve"> </w:t>
      </w:r>
      <w:r w:rsidRPr="00382917">
        <w:t>His</w:t>
      </w:r>
      <w:r w:rsidR="00EE4FC3">
        <w:t xml:space="preserve"> </w:t>
      </w:r>
      <w:r w:rsidRPr="00382917">
        <w:t>home</w:t>
      </w:r>
      <w:r w:rsidR="00EE4FC3">
        <w:t xml:space="preserve"> </w:t>
      </w:r>
      <w:r w:rsidRPr="00382917">
        <w:t>and</w:t>
      </w:r>
      <w:r w:rsidR="00EE4FC3">
        <w:t xml:space="preserve"> </w:t>
      </w:r>
      <w:r w:rsidRPr="00382917">
        <w:t>banished</w:t>
      </w:r>
      <w:r w:rsidR="00EE4FC3">
        <w:t xml:space="preserve"> </w:t>
      </w:r>
      <w:r w:rsidRPr="00382917">
        <w:t>Him</w:t>
      </w:r>
      <w:r w:rsidR="00EE4FC3">
        <w:t xml:space="preserve"> </w:t>
      </w:r>
      <w:r w:rsidRPr="00382917">
        <w:t>to</w:t>
      </w:r>
      <w:r w:rsidR="00EE4FC3">
        <w:t xml:space="preserve"> </w:t>
      </w:r>
      <w:r w:rsidRPr="00382917">
        <w:t>a</w:t>
      </w:r>
      <w:r w:rsidR="00EE4FC3">
        <w:t xml:space="preserve"> </w:t>
      </w:r>
      <w:r w:rsidRPr="00382917">
        <w:t>far</w:t>
      </w:r>
      <w:r w:rsidR="00EE4FC3">
        <w:t xml:space="preserve"> </w:t>
      </w:r>
      <w:r w:rsidRPr="00382917">
        <w:t>place,</w:t>
      </w:r>
      <w:r w:rsidR="00EE4FC3">
        <w:t xml:space="preserve"> </w:t>
      </w:r>
      <w:r w:rsidRPr="00382917">
        <w:t>now</w:t>
      </w:r>
      <w:r w:rsidR="00EE4FC3">
        <w:t xml:space="preserve"> </w:t>
      </w:r>
      <w:r w:rsidRPr="00382917">
        <w:t>he,</w:t>
      </w:r>
      <w:r w:rsidR="00EE4FC3">
        <w:t xml:space="preserve"> </w:t>
      </w:r>
      <w:r w:rsidRPr="00382917">
        <w:t>in</w:t>
      </w:r>
      <w:r w:rsidR="00EE4FC3">
        <w:t xml:space="preserve"> </w:t>
      </w:r>
      <w:r w:rsidRPr="00382917">
        <w:t>turn</w:t>
      </w:r>
      <w:r w:rsidR="00EE4FC3">
        <w:t xml:space="preserve"> </w:t>
      </w:r>
      <w:r w:rsidRPr="00382917">
        <w:t>was</w:t>
      </w:r>
      <w:r w:rsidR="00EE4FC3">
        <w:t xml:space="preserve"> </w:t>
      </w:r>
      <w:r w:rsidRPr="00382917">
        <w:t>expelled</w:t>
      </w:r>
      <w:r w:rsidR="00EE4FC3">
        <w:t xml:space="preserve"> </w:t>
      </w:r>
      <w:r w:rsidRPr="00382917">
        <w:t>from</w:t>
      </w:r>
      <w:r w:rsidR="00EE4FC3">
        <w:t xml:space="preserve"> </w:t>
      </w:r>
      <w:r w:rsidRPr="00382917">
        <w:t>his</w:t>
      </w:r>
      <w:r w:rsidR="00EE4FC3">
        <w:t xml:space="preserve"> </w:t>
      </w:r>
      <w:r w:rsidRPr="00382917">
        <w:t>native</w:t>
      </w:r>
      <w:r w:rsidR="00EE4FC3">
        <w:t xml:space="preserve"> </w:t>
      </w:r>
      <w:r w:rsidRPr="00382917">
        <w:t>country</w:t>
      </w:r>
      <w:r w:rsidR="00EE4FC3">
        <w:t xml:space="preserve"> </w:t>
      </w:r>
      <w:r w:rsidRPr="00382917">
        <w:t>and</w:t>
      </w:r>
      <w:r w:rsidR="00EE4FC3">
        <w:t xml:space="preserve"> </w:t>
      </w:r>
      <w:r w:rsidRPr="00382917">
        <w:t>banished</w:t>
      </w:r>
      <w:r w:rsidR="00EE4FC3">
        <w:t xml:space="preserve"> </w:t>
      </w:r>
      <w:r w:rsidRPr="00382917">
        <w:t>to</w:t>
      </w:r>
      <w:r w:rsidR="00EE4FC3">
        <w:t xml:space="preserve"> </w:t>
      </w:r>
      <w:r w:rsidRPr="00382917">
        <w:t>Iraq</w:t>
      </w:r>
      <w:r w:rsidR="00EE4FC3">
        <w:t xml:space="preserve"> </w:t>
      </w:r>
      <w:r w:rsidRPr="00382917">
        <w:t>where</w:t>
      </w:r>
      <w:r w:rsidR="00EE4FC3">
        <w:t xml:space="preserve"> </w:t>
      </w:r>
      <w:r w:rsidRPr="00382917">
        <w:t>he</w:t>
      </w:r>
      <w:r w:rsidR="00EE4FC3">
        <w:t xml:space="preserve"> </w:t>
      </w:r>
      <w:proofErr w:type="gramStart"/>
      <w:r w:rsidRPr="00382917">
        <w:t>fell</w:t>
      </w:r>
      <w:proofErr w:type="gramEnd"/>
      <w:r w:rsidR="00EE4FC3">
        <w:t xml:space="preserve"> </w:t>
      </w:r>
      <w:r w:rsidRPr="00382917">
        <w:t>a</w:t>
      </w:r>
      <w:r w:rsidR="00EE4FC3">
        <w:t xml:space="preserve"> </w:t>
      </w:r>
      <w:r w:rsidRPr="00382917">
        <w:t>victim</w:t>
      </w:r>
      <w:r w:rsidR="00EE4FC3">
        <w:t xml:space="preserve"> </w:t>
      </w:r>
      <w:r w:rsidRPr="00382917">
        <w:t>to</w:t>
      </w:r>
      <w:r w:rsidR="00EE4FC3">
        <w:t xml:space="preserve"> </w:t>
      </w:r>
      <w:r w:rsidRPr="00382917">
        <w:t>disease</w:t>
      </w:r>
      <w:r w:rsidR="00EE4FC3">
        <w:t xml:space="preserve"> </w:t>
      </w:r>
      <w:r w:rsidRPr="00382917">
        <w:t>and</w:t>
      </w:r>
      <w:r w:rsidR="00EE4FC3">
        <w:t xml:space="preserve"> </w:t>
      </w:r>
      <w:r w:rsidRPr="00382917">
        <w:t>sorrow</w:t>
      </w:r>
      <w:r w:rsidR="00A93643">
        <w:t>.</w:t>
      </w:r>
      <w:r w:rsidR="00EE4FC3">
        <w:t xml:space="preserve">  </w:t>
      </w:r>
      <w:r w:rsidR="009C713D" w:rsidRPr="00382917">
        <w:t>“</w:t>
      </w:r>
      <w:r w:rsidRPr="00382917">
        <w:t>Gnawing</w:t>
      </w:r>
      <w:r w:rsidR="00EE4FC3">
        <w:t xml:space="preserve"> </w:t>
      </w:r>
      <w:r w:rsidRPr="00382917">
        <w:t>grief</w:t>
      </w:r>
      <w:r w:rsidR="00EE4FC3">
        <w:t xml:space="preserve"> </w:t>
      </w:r>
      <w:r w:rsidRPr="00382917">
        <w:t>shortened</w:t>
      </w:r>
      <w:r w:rsidR="00EE4FC3">
        <w:t xml:space="preserve"> </w:t>
      </w:r>
      <w:r w:rsidRPr="00382917">
        <w:t>his</w:t>
      </w:r>
      <w:r w:rsidR="00EE4FC3">
        <w:t xml:space="preserve"> </w:t>
      </w:r>
      <w:r w:rsidRPr="00382917">
        <w:t>life,</w:t>
      </w:r>
      <w:r w:rsidR="009C713D" w:rsidRPr="00382917">
        <w:t>”</w:t>
      </w:r>
      <w:r w:rsidR="00EE4FC3">
        <w:t xml:space="preserve"> </w:t>
      </w:r>
      <w:r w:rsidRPr="00382917">
        <w:t>says</w:t>
      </w:r>
      <w:r w:rsidR="00EE4FC3">
        <w:t xml:space="preserve"> </w:t>
      </w:r>
      <w:r w:rsidRPr="00382917">
        <w:t>the</w:t>
      </w:r>
      <w:r w:rsidR="00EE4FC3">
        <w:t xml:space="preserve"> </w:t>
      </w:r>
      <w:r w:rsidR="001713B3" w:rsidRPr="001713B3">
        <w:rPr>
          <w:i/>
          <w:iCs/>
        </w:rPr>
        <w:t>Journal</w:t>
      </w:r>
      <w:r w:rsidR="00EE4FC3">
        <w:rPr>
          <w:i/>
          <w:iCs/>
        </w:rPr>
        <w:t xml:space="preserve"> </w:t>
      </w:r>
      <w:proofErr w:type="spellStart"/>
      <w:r w:rsidR="001713B3" w:rsidRPr="001713B3">
        <w:rPr>
          <w:i/>
          <w:iCs/>
        </w:rPr>
        <w:t>Asiatique</w:t>
      </w:r>
      <w:proofErr w:type="spellEnd"/>
      <w:r w:rsidRPr="00382917">
        <w:t>.</w:t>
      </w:r>
      <w:r w:rsidR="00383C7E">
        <w:rPr>
          <w:rStyle w:val="FootnoteReference"/>
        </w:rPr>
        <w:footnoteReference w:id="102"/>
      </w:r>
    </w:p>
    <w:p w:rsidR="006E01DB" w:rsidRPr="00382917" w:rsidRDefault="006E01DB" w:rsidP="00C81C23">
      <w:pPr>
        <w:pStyle w:val="Text"/>
      </w:pPr>
      <w:r w:rsidRPr="00382917">
        <w:t>History</w:t>
      </w:r>
      <w:r w:rsidR="00EE4FC3">
        <w:t xml:space="preserve"> </w:t>
      </w:r>
      <w:r w:rsidRPr="00382917">
        <w:t>has</w:t>
      </w:r>
      <w:r w:rsidR="00EE4FC3">
        <w:t xml:space="preserve"> </w:t>
      </w:r>
      <w:r w:rsidRPr="00382917">
        <w:t>recorded</w:t>
      </w:r>
      <w:r w:rsidR="00EE4FC3">
        <w:t xml:space="preserve"> </w:t>
      </w:r>
      <w:r w:rsidRPr="00382917">
        <w:t>these</w:t>
      </w:r>
      <w:r w:rsidR="00EE4FC3">
        <w:t xml:space="preserve"> </w:t>
      </w:r>
      <w:r w:rsidRPr="00382917">
        <w:t>words</w:t>
      </w:r>
      <w:r w:rsidR="00EE4FC3">
        <w:t xml:space="preserve"> </w:t>
      </w:r>
      <w:r w:rsidRPr="00382917">
        <w:t>of</w:t>
      </w:r>
      <w:r w:rsidR="00EE4FC3">
        <w:t xml:space="preserve"> </w:t>
      </w:r>
      <w:r w:rsidRPr="00382917">
        <w:t>the</w:t>
      </w:r>
      <w:r w:rsidR="00EE4FC3">
        <w:t xml:space="preserve"> </w:t>
      </w:r>
      <w:r w:rsidRPr="00382917">
        <w:t>last</w:t>
      </w:r>
      <w:r w:rsidR="00EE4FC3">
        <w:t xml:space="preserve"> </w:t>
      </w:r>
      <w:r w:rsidRPr="00382917">
        <w:t>days</w:t>
      </w:r>
      <w:r w:rsidR="00EE4FC3">
        <w:t xml:space="preserve"> </w:t>
      </w:r>
      <w:r w:rsidRPr="00382917">
        <w:t>of</w:t>
      </w:r>
      <w:r w:rsidR="00EE4FC3">
        <w:t xml:space="preserve"> </w:t>
      </w:r>
      <w:r w:rsidRPr="00382917">
        <w:t>Ḥájí</w:t>
      </w:r>
      <w:r w:rsidR="00EE4FC3">
        <w:t xml:space="preserve"> </w:t>
      </w:r>
      <w:r w:rsidRPr="00382917">
        <w:t>Mírzá</w:t>
      </w:r>
      <w:r w:rsidR="00EE4FC3">
        <w:t xml:space="preserve"> </w:t>
      </w:r>
      <w:r w:rsidRPr="00382917">
        <w:t>Áqásí</w:t>
      </w:r>
      <w:r w:rsidR="00C03C91">
        <w:t>:</w:t>
      </w:r>
      <w:r w:rsidR="00EE4FC3">
        <w:t xml:space="preserve">  </w:t>
      </w:r>
      <w:r w:rsidR="009C713D" w:rsidRPr="00382917">
        <w:t>“</w:t>
      </w:r>
      <w:r w:rsidRPr="00382917">
        <w:t>He</w:t>
      </w:r>
      <w:r w:rsidR="00EE4FC3">
        <w:t xml:space="preserve"> </w:t>
      </w:r>
      <w:r w:rsidRPr="00382917">
        <w:t>met</w:t>
      </w:r>
      <w:r w:rsidR="00EE4FC3">
        <w:t xml:space="preserve"> </w:t>
      </w:r>
      <w:r w:rsidRPr="00382917">
        <w:t>his</w:t>
      </w:r>
      <w:r w:rsidR="00EE4FC3">
        <w:t xml:space="preserve"> </w:t>
      </w:r>
      <w:r w:rsidRPr="00382917">
        <w:t>death</w:t>
      </w:r>
      <w:r w:rsidR="00EE4FC3">
        <w:t xml:space="preserve"> </w:t>
      </w:r>
      <w:r w:rsidRPr="00382917">
        <w:t>in</w:t>
      </w:r>
      <w:r w:rsidR="00EE4FC3">
        <w:t xml:space="preserve"> </w:t>
      </w:r>
      <w:r w:rsidRPr="00382917">
        <w:t>circumstances</w:t>
      </w:r>
      <w:r w:rsidR="00EE4FC3">
        <w:t xml:space="preserve"> </w:t>
      </w:r>
      <w:r w:rsidRPr="00382917">
        <w:t>of</w:t>
      </w:r>
      <w:r w:rsidR="00EE4FC3">
        <w:t xml:space="preserve"> </w:t>
      </w:r>
      <w:r w:rsidRPr="00382917">
        <w:t>abject</w:t>
      </w:r>
      <w:r w:rsidR="00EE4FC3">
        <w:t xml:space="preserve"> </w:t>
      </w:r>
      <w:r w:rsidRPr="00382917">
        <w:t>poverty</w:t>
      </w:r>
      <w:r w:rsidR="00EE4FC3">
        <w:t xml:space="preserve"> </w:t>
      </w:r>
      <w:r w:rsidRPr="00382917">
        <w:t>and</w:t>
      </w:r>
      <w:r w:rsidR="00EE4FC3">
        <w:t xml:space="preserve"> </w:t>
      </w:r>
      <w:r w:rsidRPr="00382917">
        <w:t>unspeakable</w:t>
      </w:r>
      <w:r w:rsidR="00EE4FC3">
        <w:t xml:space="preserve"> </w:t>
      </w:r>
      <w:r w:rsidRPr="00382917">
        <w:t>distress.</w:t>
      </w:r>
      <w:r w:rsidR="009C713D" w:rsidRPr="00382917">
        <w:t>”</w:t>
      </w:r>
      <w:r w:rsidR="00C81C23">
        <w:rPr>
          <w:rStyle w:val="FootnoteReference"/>
        </w:rPr>
        <w:footnoteReference w:id="103"/>
      </w:r>
    </w:p>
    <w:p w:rsidR="006E01DB" w:rsidRPr="00382917" w:rsidRDefault="006E01DB" w:rsidP="006E01DB"/>
    <w:p w:rsidR="006E01DB" w:rsidRPr="00382917" w:rsidRDefault="006E01DB" w:rsidP="006E01DB">
      <w:pPr>
        <w:sectPr w:rsidR="006E01DB" w:rsidRPr="00382917" w:rsidSect="009073C7">
          <w:footnotePr>
            <w:numRestart w:val="eachPage"/>
          </w:footnotePr>
          <w:type w:val="evenPage"/>
          <w:pgSz w:w="8618" w:h="12984" w:code="188"/>
          <w:pgMar w:top="720" w:right="720" w:bottom="720" w:left="720" w:header="720" w:footer="567" w:gutter="357"/>
          <w:cols w:space="708"/>
          <w:noEndnote/>
          <w:titlePg/>
          <w:docGrid w:linePitch="272"/>
        </w:sectPr>
      </w:pPr>
    </w:p>
    <w:p w:rsidR="006E01DB" w:rsidRPr="00382917" w:rsidRDefault="00417538" w:rsidP="00417538">
      <w:r w:rsidRPr="00382917">
        <w:rPr>
          <w:sz w:val="12"/>
          <w:szCs w:val="12"/>
        </w:rPr>
        <w:fldChar w:fldCharType="begin"/>
      </w:r>
      <w:r w:rsidR="00EE4FC3">
        <w:rPr>
          <w:sz w:val="12"/>
          <w:szCs w:val="12"/>
        </w:rPr>
        <w:instrText xml:space="preserve"> </w:instrText>
      </w:r>
      <w:proofErr w:type="gramStart"/>
      <w:r w:rsidRPr="00382917">
        <w:rPr>
          <w:sz w:val="12"/>
          <w:szCs w:val="12"/>
        </w:rPr>
        <w:instrText>TC</w:instrText>
      </w:r>
      <w:r w:rsidR="00EE4FC3">
        <w:rPr>
          <w:sz w:val="12"/>
          <w:szCs w:val="12"/>
        </w:rPr>
        <w:instrText xml:space="preserve">  </w:instrText>
      </w:r>
      <w:r w:rsidRPr="00382917">
        <w:rPr>
          <w:sz w:val="12"/>
          <w:szCs w:val="12"/>
        </w:rPr>
        <w:instrText>“</w:instrText>
      </w:r>
      <w:bookmarkStart w:id="16" w:name="_Toc206658612"/>
      <w:proofErr w:type="gramEnd"/>
      <w:r>
        <w:rPr>
          <w:sz w:val="12"/>
          <w:szCs w:val="12"/>
        </w:rPr>
        <w:tab/>
        <w:instrText>14.</w:instrText>
      </w:r>
      <w:r>
        <w:rPr>
          <w:sz w:val="12"/>
          <w:szCs w:val="12"/>
        </w:rPr>
        <w:tab/>
      </w:r>
      <w:r w:rsidRPr="00417538">
        <w:rPr>
          <w:sz w:val="12"/>
          <w:szCs w:val="12"/>
        </w:rPr>
        <w:instrText>The</w:instrText>
      </w:r>
      <w:r w:rsidR="00EE4FC3">
        <w:rPr>
          <w:sz w:val="12"/>
          <w:szCs w:val="12"/>
        </w:rPr>
        <w:instrText xml:space="preserve"> </w:instrText>
      </w:r>
      <w:r w:rsidRPr="00417538">
        <w:rPr>
          <w:sz w:val="12"/>
          <w:szCs w:val="12"/>
        </w:rPr>
        <w:instrText>massacre</w:instrText>
      </w:r>
      <w:r w:rsidR="00EE4FC3">
        <w:rPr>
          <w:sz w:val="12"/>
          <w:szCs w:val="12"/>
        </w:rPr>
        <w:instrText xml:space="preserve"> </w:instrText>
      </w:r>
      <w:r w:rsidRPr="00417538">
        <w:rPr>
          <w:sz w:val="12"/>
          <w:szCs w:val="12"/>
        </w:rPr>
        <w:instrText>at</w:instrText>
      </w:r>
      <w:r w:rsidR="00EE4FC3">
        <w:rPr>
          <w:sz w:val="12"/>
          <w:szCs w:val="12"/>
        </w:rPr>
        <w:instrText xml:space="preserve"> </w:instrText>
      </w:r>
      <w:r w:rsidRPr="00417538">
        <w:rPr>
          <w:sz w:val="12"/>
          <w:szCs w:val="12"/>
        </w:rPr>
        <w:instrText>the</w:instrText>
      </w:r>
      <w:r w:rsidR="00EE4FC3">
        <w:rPr>
          <w:sz w:val="12"/>
          <w:szCs w:val="12"/>
        </w:rPr>
        <w:instrText xml:space="preserve"> </w:instrText>
      </w:r>
      <w:r w:rsidRPr="00417538">
        <w:rPr>
          <w:sz w:val="12"/>
          <w:szCs w:val="12"/>
        </w:rPr>
        <w:instrText>fort</w:instrText>
      </w:r>
      <w:r w:rsidR="00EE4FC3">
        <w:rPr>
          <w:sz w:val="12"/>
          <w:szCs w:val="12"/>
        </w:rPr>
        <w:instrText xml:space="preserve"> </w:instrText>
      </w:r>
      <w:r w:rsidRPr="00417538">
        <w:rPr>
          <w:sz w:val="12"/>
          <w:szCs w:val="12"/>
        </w:rPr>
        <w:instrText>of</w:instrText>
      </w:r>
      <w:r w:rsidR="00EE4FC3">
        <w:rPr>
          <w:sz w:val="12"/>
          <w:szCs w:val="12"/>
        </w:rPr>
        <w:instrText xml:space="preserve"> </w:instrText>
      </w:r>
      <w:r w:rsidRPr="00417538">
        <w:rPr>
          <w:sz w:val="12"/>
          <w:szCs w:val="12"/>
        </w:rPr>
        <w:instrText>Shaykh</w:instrText>
      </w:r>
      <w:r w:rsidR="00EE4FC3">
        <w:rPr>
          <w:sz w:val="12"/>
          <w:szCs w:val="12"/>
        </w:rPr>
        <w:instrText xml:space="preserve"> </w:instrText>
      </w:r>
      <w:r w:rsidRPr="00417538">
        <w:rPr>
          <w:sz w:val="12"/>
          <w:szCs w:val="12"/>
        </w:rPr>
        <w:instrText>Ṭabarsí</w:instrText>
      </w:r>
      <w:proofErr w:type="gramStart"/>
      <w:r w:rsidRPr="00382917">
        <w:rPr>
          <w:color w:val="FFFFFF" w:themeColor="background1"/>
          <w:sz w:val="12"/>
          <w:szCs w:val="12"/>
        </w:rPr>
        <w:instrText>..</w:instrText>
      </w:r>
      <w:proofErr w:type="gramEnd"/>
      <w:r w:rsidRPr="00382917">
        <w:rPr>
          <w:sz w:val="12"/>
          <w:szCs w:val="12"/>
        </w:rPr>
        <w:tab/>
      </w:r>
      <w:r w:rsidRPr="00382917">
        <w:rPr>
          <w:color w:val="FFFFFF" w:themeColor="background1"/>
          <w:sz w:val="12"/>
          <w:szCs w:val="12"/>
        </w:rPr>
        <w:instrText>.</w:instrText>
      </w:r>
      <w:bookmarkEnd w:id="16"/>
      <w:proofErr w:type="gramStart"/>
      <w:r w:rsidRPr="00382917">
        <w:rPr>
          <w:sz w:val="12"/>
          <w:szCs w:val="12"/>
        </w:rPr>
        <w:instrText>”</w:instrText>
      </w:r>
      <w:r w:rsidR="00EE4FC3">
        <w:rPr>
          <w:sz w:val="12"/>
          <w:szCs w:val="12"/>
        </w:rPr>
        <w:instrText xml:space="preserve"> </w:instrText>
      </w:r>
      <w:proofErr w:type="gramEnd"/>
      <w:r w:rsidRPr="00382917">
        <w:rPr>
          <w:sz w:val="12"/>
          <w:szCs w:val="12"/>
        </w:rPr>
        <w:instrText>\l</w:instrText>
      </w:r>
      <w:r w:rsidR="00EE4FC3">
        <w:rPr>
          <w:sz w:val="12"/>
          <w:szCs w:val="12"/>
        </w:rPr>
        <w:instrText xml:space="preserve"> </w:instrText>
      </w:r>
      <w:r w:rsidRPr="00382917">
        <w:rPr>
          <w:sz w:val="12"/>
          <w:szCs w:val="12"/>
        </w:rPr>
        <w:instrText>1</w:instrText>
      </w:r>
      <w:r w:rsidR="00EE4FC3">
        <w:rPr>
          <w:sz w:val="12"/>
          <w:szCs w:val="12"/>
        </w:rPr>
        <w:instrText xml:space="preserve"> </w:instrText>
      </w:r>
      <w:r w:rsidRPr="00382917">
        <w:rPr>
          <w:sz w:val="12"/>
          <w:szCs w:val="12"/>
        </w:rPr>
        <w:fldChar w:fldCharType="end"/>
      </w:r>
    </w:p>
    <w:p w:rsidR="006E01DB" w:rsidRPr="00382917" w:rsidRDefault="006E01DB" w:rsidP="006E01DB"/>
    <w:p w:rsidR="006E01DB" w:rsidRPr="00382917" w:rsidRDefault="006E01DB" w:rsidP="00417538">
      <w:pPr>
        <w:pStyle w:val="Myheadc"/>
      </w:pPr>
      <w:r w:rsidRPr="00382917">
        <w:t>14</w:t>
      </w:r>
      <w:r w:rsidR="00417538">
        <w:br/>
      </w:r>
      <w:r w:rsidRPr="00382917">
        <w:rPr>
          <w:noProof/>
          <w:lang w:val="en-AU" w:eastAsia="en-AU"/>
          <w14:numForm w14:val="default"/>
          <w14:numSpacing w14:val="default"/>
        </w:rPr>
        <w:drawing>
          <wp:inline distT="0" distB="0" distL="0" distR="0" wp14:anchorId="554957DA" wp14:editId="79BC3888">
            <wp:extent cx="396000" cy="392400"/>
            <wp:effectExtent l="0" t="0" r="4445" b="825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p.emf"/>
                    <pic:cNvPicPr/>
                  </pic:nvPicPr>
                  <pic:blipFill>
                    <a:blip r:embed="rId17">
                      <a:extLst>
                        <a:ext uri="{28A0092B-C50C-407E-A947-70E740481C1C}">
                          <a14:useLocalDpi xmlns:a14="http://schemas.microsoft.com/office/drawing/2010/main" val="0"/>
                        </a:ext>
                      </a:extLst>
                    </a:blip>
                    <a:stretch>
                      <a:fillRect/>
                    </a:stretch>
                  </pic:blipFill>
                  <pic:spPr>
                    <a:xfrm>
                      <a:off x="0" y="0"/>
                      <a:ext cx="396000" cy="392400"/>
                    </a:xfrm>
                    <a:prstGeom prst="rect">
                      <a:avLst/>
                    </a:prstGeom>
                  </pic:spPr>
                </pic:pic>
              </a:graphicData>
            </a:graphic>
          </wp:inline>
        </w:drawing>
      </w:r>
      <w:r w:rsidR="00417538">
        <w:br/>
      </w:r>
      <w:r w:rsidRPr="00382917">
        <w:t>The</w:t>
      </w:r>
      <w:r w:rsidR="00EE4FC3">
        <w:t xml:space="preserve"> </w:t>
      </w:r>
      <w:r w:rsidRPr="00382917">
        <w:t>massacre</w:t>
      </w:r>
      <w:r w:rsidR="00EE4FC3">
        <w:t xml:space="preserve"> </w:t>
      </w:r>
      <w:r w:rsidRPr="00382917">
        <w:t>at</w:t>
      </w:r>
      <w:r w:rsidR="00EE4FC3">
        <w:t xml:space="preserve"> </w:t>
      </w:r>
      <w:r w:rsidRPr="00382917">
        <w:t>the</w:t>
      </w:r>
      <w:r w:rsidR="00EE4FC3">
        <w:t xml:space="preserve"> </w:t>
      </w:r>
      <w:r w:rsidRPr="00382917">
        <w:t>fort</w:t>
      </w:r>
      <w:r w:rsidR="00EE4FC3">
        <w:t xml:space="preserve"> </w:t>
      </w:r>
      <w:r w:rsidRPr="00382917">
        <w:t>of</w:t>
      </w:r>
      <w:r w:rsidR="00EE4FC3">
        <w:t xml:space="preserve"> </w:t>
      </w:r>
      <w:r w:rsidR="008A073E" w:rsidRPr="00382917">
        <w:rPr>
          <w:u w:val="single"/>
        </w:rPr>
        <w:t>Sh</w:t>
      </w:r>
      <w:r w:rsidR="008A073E" w:rsidRPr="00382917">
        <w:t>ay</w:t>
      </w:r>
      <w:r w:rsidR="008A073E" w:rsidRPr="00382917">
        <w:rPr>
          <w:u w:val="single"/>
        </w:rPr>
        <w:t>kh</w:t>
      </w:r>
      <w:r w:rsidR="00EE4FC3">
        <w:t xml:space="preserve"> </w:t>
      </w:r>
      <w:r w:rsidRPr="00382917">
        <w:t>Ṭabarsí</w:t>
      </w:r>
    </w:p>
    <w:p w:rsidR="006E01DB" w:rsidRPr="00382917" w:rsidRDefault="006E01DB" w:rsidP="006E01DB">
      <w:pPr>
        <w:pStyle w:val="Text"/>
      </w:pPr>
      <w:r w:rsidRPr="00382917">
        <w:t>Muḥammad</w:t>
      </w:r>
      <w:r w:rsidR="00EE4FC3">
        <w:t xml:space="preserve"> </w:t>
      </w:r>
      <w:r w:rsidR="004F6339" w:rsidRPr="004F6339">
        <w:rPr>
          <w:u w:val="single"/>
        </w:rPr>
        <w:t>Sh</w:t>
      </w:r>
      <w:r w:rsidR="004F6339" w:rsidRPr="00382917">
        <w:t>áh</w:t>
      </w:r>
      <w:r w:rsidR="00EE4FC3">
        <w:t xml:space="preserve"> </w:t>
      </w:r>
      <w:r w:rsidRPr="00382917">
        <w:t>was</w:t>
      </w:r>
      <w:r w:rsidR="00EE4FC3">
        <w:t xml:space="preserve"> </w:t>
      </w:r>
      <w:r w:rsidRPr="00382917">
        <w:t>dead.</w:t>
      </w:r>
      <w:r w:rsidR="00EE4FC3">
        <w:t xml:space="preserve">  </w:t>
      </w:r>
      <w:r w:rsidRPr="00382917">
        <w:t>The</w:t>
      </w:r>
      <w:r w:rsidR="00EE4FC3">
        <w:t xml:space="preserve"> </w:t>
      </w:r>
      <w:r w:rsidRPr="00382917">
        <w:t>new</w:t>
      </w:r>
      <w:r w:rsidR="00EE4FC3">
        <w:t xml:space="preserve"> </w:t>
      </w:r>
      <w:r w:rsidRPr="00382917">
        <w:t>ruler</w:t>
      </w:r>
      <w:r w:rsidR="00EE4FC3">
        <w:t xml:space="preserve"> </w:t>
      </w:r>
      <w:r w:rsidRPr="00382917">
        <w:t>was</w:t>
      </w:r>
      <w:r w:rsidR="00EE4FC3">
        <w:t xml:space="preserve"> </w:t>
      </w:r>
      <w:r w:rsidRPr="00382917">
        <w:t>the</w:t>
      </w:r>
      <w:r w:rsidR="00EE4FC3">
        <w:t xml:space="preserve"> </w:t>
      </w:r>
      <w:r w:rsidRPr="00382917">
        <w:t>seventeen-year-old</w:t>
      </w:r>
      <w:r w:rsidR="00EE4FC3">
        <w:t xml:space="preserve"> </w:t>
      </w:r>
      <w:r w:rsidRPr="00382917">
        <w:t>Náṣiru</w:t>
      </w:r>
      <w:r w:rsidR="009C713D" w:rsidRPr="00382917">
        <w:t>’</w:t>
      </w:r>
      <w:r w:rsidRPr="00382917">
        <w:t>d-Dín</w:t>
      </w:r>
      <w:r w:rsidR="00EE4FC3">
        <w:t xml:space="preserve"> </w:t>
      </w:r>
      <w:r w:rsidR="004F6339" w:rsidRPr="004F6339">
        <w:rPr>
          <w:u w:val="single"/>
        </w:rPr>
        <w:t>Sh</w:t>
      </w:r>
      <w:r w:rsidR="004F6339" w:rsidRPr="00382917">
        <w:t>áh</w:t>
      </w:r>
      <w:r w:rsidR="00A93643">
        <w:t>.</w:t>
      </w:r>
      <w:r w:rsidR="00EE4FC3">
        <w:t xml:space="preserve">  </w:t>
      </w:r>
      <w:r w:rsidRPr="00382917">
        <w:t>Ḥájí</w:t>
      </w:r>
      <w:r w:rsidR="00EE4FC3">
        <w:t xml:space="preserve"> </w:t>
      </w:r>
      <w:r w:rsidRPr="00382917">
        <w:t>Mírzá</w:t>
      </w:r>
      <w:r w:rsidR="00EE4FC3">
        <w:t xml:space="preserve"> </w:t>
      </w:r>
      <w:r w:rsidRPr="00382917">
        <w:t>Áqásí</w:t>
      </w:r>
      <w:r w:rsidR="00EE4FC3">
        <w:t xml:space="preserve"> </w:t>
      </w:r>
      <w:r w:rsidRPr="00382917">
        <w:t>was</w:t>
      </w:r>
      <w:r w:rsidR="00EE4FC3">
        <w:t xml:space="preserve"> </w:t>
      </w:r>
      <w:r w:rsidRPr="00382917">
        <w:t>toppled</w:t>
      </w:r>
      <w:r w:rsidR="00EE4FC3">
        <w:t xml:space="preserve"> </w:t>
      </w:r>
      <w:r w:rsidRPr="00382917">
        <w:t>from</w:t>
      </w:r>
      <w:r w:rsidR="00EE4FC3">
        <w:t xml:space="preserve"> </w:t>
      </w:r>
      <w:r w:rsidRPr="00382917">
        <w:t>power</w:t>
      </w:r>
      <w:r w:rsidR="00A93643">
        <w:t>.</w:t>
      </w:r>
      <w:r w:rsidR="00EE4FC3">
        <w:t xml:space="preserve">  </w:t>
      </w:r>
      <w:r w:rsidRPr="00382917">
        <w:t>The</w:t>
      </w:r>
      <w:r w:rsidR="00EE4FC3">
        <w:t xml:space="preserve"> </w:t>
      </w:r>
      <w:r w:rsidRPr="00382917">
        <w:t>new</w:t>
      </w:r>
      <w:r w:rsidR="00EE4FC3">
        <w:t xml:space="preserve"> </w:t>
      </w:r>
      <w:r w:rsidRPr="00382917">
        <w:t>Prime</w:t>
      </w:r>
      <w:r w:rsidR="00EE4FC3">
        <w:t xml:space="preserve"> </w:t>
      </w:r>
      <w:r w:rsidRPr="00382917">
        <w:t>Minister</w:t>
      </w:r>
      <w:r w:rsidR="00EE4FC3">
        <w:t xml:space="preserve"> </w:t>
      </w:r>
      <w:r w:rsidRPr="00382917">
        <w:t>was</w:t>
      </w:r>
      <w:r w:rsidR="00EE4FC3">
        <w:t xml:space="preserve"> </w:t>
      </w:r>
      <w:r w:rsidRPr="00382917">
        <w:t>Mírzá</w:t>
      </w:r>
      <w:r w:rsidR="00EE4FC3">
        <w:t xml:space="preserve"> </w:t>
      </w:r>
      <w:r w:rsidRPr="00382917">
        <w:t>Taqí</w:t>
      </w:r>
      <w:r w:rsidR="00EE4FC3">
        <w:t xml:space="preserve"> </w:t>
      </w:r>
      <w:r w:rsidR="0040329F" w:rsidRPr="0040329F">
        <w:rPr>
          <w:u w:val="single"/>
        </w:rPr>
        <w:t>Kh</w:t>
      </w:r>
      <w:r w:rsidR="0040329F" w:rsidRPr="00382917">
        <w:t>án</w:t>
      </w:r>
      <w:r w:rsidRPr="00382917">
        <w:t>.</w:t>
      </w:r>
    </w:p>
    <w:p w:rsidR="006E01DB" w:rsidRPr="00382917" w:rsidRDefault="006E01DB" w:rsidP="006E01DB">
      <w:pPr>
        <w:pStyle w:val="Text"/>
      </w:pPr>
      <w:r w:rsidRPr="00382917">
        <w:t>The</w:t>
      </w:r>
      <w:r w:rsidR="00EE4FC3">
        <w:t xml:space="preserve"> </w:t>
      </w:r>
      <w:r w:rsidRPr="00382917">
        <w:t>young</w:t>
      </w:r>
      <w:r w:rsidR="00EE4FC3">
        <w:t xml:space="preserve"> </w:t>
      </w:r>
      <w:r w:rsidRPr="00382917">
        <w:t>king</w:t>
      </w:r>
      <w:r w:rsidR="00EE4FC3">
        <w:t xml:space="preserve"> </w:t>
      </w:r>
      <w:r w:rsidRPr="00382917">
        <w:t>was</w:t>
      </w:r>
      <w:r w:rsidR="00EE4FC3">
        <w:t xml:space="preserve"> </w:t>
      </w:r>
      <w:r w:rsidRPr="00382917">
        <w:t>even</w:t>
      </w:r>
      <w:r w:rsidR="00EE4FC3">
        <w:t xml:space="preserve"> </w:t>
      </w:r>
      <w:r w:rsidRPr="00382917">
        <w:t>less</w:t>
      </w:r>
      <w:r w:rsidR="00EE4FC3">
        <w:t xml:space="preserve"> </w:t>
      </w:r>
      <w:r w:rsidRPr="00382917">
        <w:t>friendly</w:t>
      </w:r>
      <w:r w:rsidR="00EE4FC3">
        <w:t xml:space="preserve"> </w:t>
      </w:r>
      <w:r w:rsidRPr="00382917">
        <w:t>than</w:t>
      </w:r>
      <w:r w:rsidR="00EE4FC3">
        <w:t xml:space="preserve"> </w:t>
      </w:r>
      <w:r w:rsidRPr="00382917">
        <w:t>his</w:t>
      </w:r>
      <w:r w:rsidR="00EE4FC3">
        <w:t xml:space="preserve"> </w:t>
      </w:r>
      <w:r w:rsidRPr="00382917">
        <w:t>father</w:t>
      </w:r>
      <w:r w:rsidR="00A93643">
        <w:t>.</w:t>
      </w:r>
      <w:r w:rsidR="00EE4FC3">
        <w:t xml:space="preserve">  </w:t>
      </w:r>
      <w:r w:rsidRPr="00382917">
        <w:t>The</w:t>
      </w:r>
      <w:r w:rsidR="00EE4FC3">
        <w:t xml:space="preserve"> </w:t>
      </w:r>
      <w:r w:rsidRPr="00382917">
        <w:t>new</w:t>
      </w:r>
      <w:r w:rsidR="00EE4FC3">
        <w:t xml:space="preserve"> </w:t>
      </w:r>
      <w:r w:rsidRPr="00382917">
        <w:t>Prime</w:t>
      </w:r>
      <w:r w:rsidR="00EE4FC3">
        <w:t xml:space="preserve"> </w:t>
      </w:r>
      <w:r w:rsidRPr="00382917">
        <w:t>Minister</w:t>
      </w:r>
      <w:r w:rsidR="00EE4FC3">
        <w:t xml:space="preserve"> </w:t>
      </w:r>
      <w:r w:rsidRPr="00382917">
        <w:t>was</w:t>
      </w:r>
      <w:r w:rsidR="00EE4FC3">
        <w:t xml:space="preserve"> </w:t>
      </w:r>
      <w:r w:rsidRPr="00382917">
        <w:t>more</w:t>
      </w:r>
      <w:r w:rsidR="00EE4FC3">
        <w:t xml:space="preserve"> </w:t>
      </w:r>
      <w:r w:rsidRPr="00382917">
        <w:t>iron-hearted</w:t>
      </w:r>
      <w:r w:rsidR="00EE4FC3">
        <w:t xml:space="preserve"> </w:t>
      </w:r>
      <w:r w:rsidRPr="00382917">
        <w:t>in</w:t>
      </w:r>
      <w:r w:rsidR="00EE4FC3">
        <w:t xml:space="preserve"> </w:t>
      </w:r>
      <w:r w:rsidRPr="00382917">
        <w:t>his</w:t>
      </w:r>
      <w:r w:rsidR="00EE4FC3">
        <w:t xml:space="preserve"> </w:t>
      </w:r>
      <w:r w:rsidRPr="00382917">
        <w:t>rule,</w:t>
      </w:r>
      <w:r w:rsidR="00EE4FC3">
        <w:t xml:space="preserve"> </w:t>
      </w:r>
      <w:r w:rsidRPr="00382917">
        <w:t>and</w:t>
      </w:r>
      <w:r w:rsidR="00EE4FC3">
        <w:t xml:space="preserve"> </w:t>
      </w:r>
      <w:r w:rsidRPr="00382917">
        <w:t>his</w:t>
      </w:r>
      <w:r w:rsidR="00EE4FC3">
        <w:t xml:space="preserve"> </w:t>
      </w:r>
      <w:r w:rsidRPr="00382917">
        <w:t>hatred</w:t>
      </w:r>
      <w:r w:rsidR="00EE4FC3">
        <w:t xml:space="preserve"> </w:t>
      </w:r>
      <w:r w:rsidRPr="00382917">
        <w:t>for</w:t>
      </w:r>
      <w:r w:rsidR="00EE4FC3">
        <w:t xml:space="preserve"> </w:t>
      </w:r>
      <w:r w:rsidRPr="00382917">
        <w:t>the</w:t>
      </w:r>
      <w:r w:rsidR="00EE4FC3">
        <w:t xml:space="preserve"> </w:t>
      </w:r>
      <w:r w:rsidRPr="00382917">
        <w:t>Báb</w:t>
      </w:r>
      <w:r w:rsidR="00EE4FC3">
        <w:t xml:space="preserve"> </w:t>
      </w:r>
      <w:r w:rsidRPr="00382917">
        <w:t>was</w:t>
      </w:r>
      <w:r w:rsidR="00EE4FC3">
        <w:t xml:space="preserve"> </w:t>
      </w:r>
      <w:r w:rsidRPr="00382917">
        <w:t>more</w:t>
      </w:r>
      <w:r w:rsidR="00EE4FC3">
        <w:t xml:space="preserve"> </w:t>
      </w:r>
      <w:r w:rsidRPr="00382917">
        <w:t>implacable</w:t>
      </w:r>
      <w:r w:rsidR="00EE4FC3">
        <w:t xml:space="preserve"> </w:t>
      </w:r>
      <w:r w:rsidRPr="00382917">
        <w:t>than</w:t>
      </w:r>
      <w:r w:rsidR="00EE4FC3">
        <w:t xml:space="preserve"> </w:t>
      </w:r>
      <w:r w:rsidRPr="00382917">
        <w:t>that</w:t>
      </w:r>
      <w:r w:rsidR="00EE4FC3">
        <w:t xml:space="preserve"> </w:t>
      </w:r>
      <w:r w:rsidRPr="00382917">
        <w:t>of</w:t>
      </w:r>
      <w:r w:rsidR="00EE4FC3">
        <w:t xml:space="preserve"> </w:t>
      </w:r>
      <w:r w:rsidRPr="00382917">
        <w:t>Ḥájí</w:t>
      </w:r>
      <w:r w:rsidR="00EE4FC3">
        <w:t xml:space="preserve"> </w:t>
      </w:r>
      <w:r w:rsidRPr="00382917">
        <w:t>Mírzá</w:t>
      </w:r>
      <w:r w:rsidR="00EE4FC3">
        <w:t xml:space="preserve"> </w:t>
      </w:r>
      <w:r w:rsidRPr="00382917">
        <w:t>Áqásí</w:t>
      </w:r>
      <w:r w:rsidR="00A93643">
        <w:t>.</w:t>
      </w:r>
      <w:r w:rsidR="00EE4FC3">
        <w:t xml:space="preserve">  </w:t>
      </w:r>
      <w:r w:rsidRPr="00382917">
        <w:t>He</w:t>
      </w:r>
      <w:r w:rsidR="00EE4FC3">
        <w:t xml:space="preserve"> </w:t>
      </w:r>
      <w:r w:rsidRPr="00382917">
        <w:t>unchained</w:t>
      </w:r>
      <w:r w:rsidR="00EE4FC3">
        <w:t xml:space="preserve"> </w:t>
      </w:r>
      <w:r w:rsidRPr="00382917">
        <w:t>a</w:t>
      </w:r>
      <w:r w:rsidR="00EE4FC3">
        <w:t xml:space="preserve"> </w:t>
      </w:r>
      <w:r w:rsidRPr="00382917">
        <w:t>combined</w:t>
      </w:r>
      <w:r w:rsidR="00EE4FC3">
        <w:t xml:space="preserve"> </w:t>
      </w:r>
      <w:r w:rsidRPr="00382917">
        <w:t>assault</w:t>
      </w:r>
      <w:r w:rsidR="00EE4FC3">
        <w:t xml:space="preserve"> </w:t>
      </w:r>
      <w:r w:rsidRPr="00382917">
        <w:t>by</w:t>
      </w:r>
      <w:r w:rsidR="00EE4FC3">
        <w:t xml:space="preserve"> </w:t>
      </w:r>
      <w:r w:rsidRPr="00382917">
        <w:t>the</w:t>
      </w:r>
      <w:r w:rsidR="00EE4FC3">
        <w:t xml:space="preserve"> </w:t>
      </w:r>
      <w:r w:rsidRPr="00382917">
        <w:t>civil</w:t>
      </w:r>
      <w:r w:rsidR="00EE4FC3">
        <w:t xml:space="preserve"> </w:t>
      </w:r>
      <w:r w:rsidRPr="00382917">
        <w:t>and</w:t>
      </w:r>
      <w:r w:rsidR="00EE4FC3">
        <w:t xml:space="preserve"> </w:t>
      </w:r>
      <w:r w:rsidRPr="00382917">
        <w:t>religious</w:t>
      </w:r>
      <w:r w:rsidR="00EE4FC3">
        <w:t xml:space="preserve"> </w:t>
      </w:r>
      <w:r w:rsidRPr="00382917">
        <w:t>powers</w:t>
      </w:r>
      <w:r w:rsidR="00EE4FC3">
        <w:t xml:space="preserve"> </w:t>
      </w:r>
      <w:r w:rsidRPr="00382917">
        <w:t>against</w:t>
      </w:r>
      <w:r w:rsidR="00EE4FC3">
        <w:t xml:space="preserve"> </w:t>
      </w:r>
      <w:r w:rsidRPr="00382917">
        <w:t>the</w:t>
      </w:r>
      <w:r w:rsidR="00EE4FC3">
        <w:t xml:space="preserve"> </w:t>
      </w:r>
      <w:r w:rsidRPr="00382917">
        <w:t>Báb</w:t>
      </w:r>
      <w:r w:rsidR="00EE4FC3">
        <w:t xml:space="preserve"> </w:t>
      </w:r>
      <w:r w:rsidRPr="00382917">
        <w:t>and</w:t>
      </w:r>
      <w:r w:rsidR="00EE4FC3">
        <w:t xml:space="preserve"> </w:t>
      </w:r>
      <w:r w:rsidRPr="00382917">
        <w:t>His</w:t>
      </w:r>
      <w:r w:rsidR="00EE4FC3">
        <w:t xml:space="preserve"> </w:t>
      </w:r>
      <w:r w:rsidRPr="00382917">
        <w:t>leading</w:t>
      </w:r>
      <w:r w:rsidR="00EE4FC3">
        <w:t xml:space="preserve"> </w:t>
      </w:r>
      <w:r w:rsidRPr="00382917">
        <w:t>disciples</w:t>
      </w:r>
      <w:r w:rsidR="00A93643">
        <w:t>.</w:t>
      </w:r>
      <w:r w:rsidR="00EE4FC3">
        <w:t xml:space="preserve">  </w:t>
      </w:r>
      <w:r w:rsidRPr="00382917">
        <w:t>He</w:t>
      </w:r>
      <w:r w:rsidR="00EE4FC3">
        <w:t xml:space="preserve"> </w:t>
      </w:r>
      <w:r w:rsidRPr="00382917">
        <w:t>was</w:t>
      </w:r>
      <w:r w:rsidR="00EE4FC3">
        <w:t xml:space="preserve"> </w:t>
      </w:r>
      <w:r w:rsidRPr="00382917">
        <w:t>determined</w:t>
      </w:r>
      <w:r w:rsidR="00EE4FC3">
        <w:t xml:space="preserve"> </w:t>
      </w:r>
      <w:r w:rsidRPr="00382917">
        <w:t>not</w:t>
      </w:r>
      <w:r w:rsidR="00EE4FC3">
        <w:t xml:space="preserve"> </w:t>
      </w:r>
      <w:r w:rsidRPr="00382917">
        <w:t>to</w:t>
      </w:r>
      <w:r w:rsidR="00EE4FC3">
        <w:t xml:space="preserve"> </w:t>
      </w:r>
      <w:r w:rsidRPr="00382917">
        <w:t>make</w:t>
      </w:r>
      <w:r w:rsidR="00EE4FC3">
        <w:t xml:space="preserve"> </w:t>
      </w:r>
      <w:r w:rsidRPr="00382917">
        <w:t>the</w:t>
      </w:r>
      <w:r w:rsidR="00EE4FC3">
        <w:t xml:space="preserve"> </w:t>
      </w:r>
      <w:r w:rsidRPr="00382917">
        <w:t>mistake</w:t>
      </w:r>
      <w:r w:rsidR="00EE4FC3">
        <w:t xml:space="preserve"> </w:t>
      </w:r>
      <w:r w:rsidRPr="00382917">
        <w:t>of</w:t>
      </w:r>
      <w:r w:rsidR="00EE4FC3">
        <w:t xml:space="preserve"> </w:t>
      </w:r>
      <w:r w:rsidRPr="00382917">
        <w:t>the</w:t>
      </w:r>
      <w:r w:rsidR="00EE4FC3">
        <w:t xml:space="preserve"> </w:t>
      </w:r>
      <w:r w:rsidRPr="00382917">
        <w:t>former</w:t>
      </w:r>
      <w:r w:rsidR="00EE4FC3">
        <w:t xml:space="preserve"> </w:t>
      </w:r>
      <w:r w:rsidRPr="00382917">
        <w:t>Prime</w:t>
      </w:r>
      <w:r w:rsidR="00EE4FC3">
        <w:t xml:space="preserve"> </w:t>
      </w:r>
      <w:r w:rsidRPr="00382917">
        <w:t>Minister</w:t>
      </w:r>
      <w:r w:rsidR="00EE4FC3">
        <w:t xml:space="preserve"> </w:t>
      </w:r>
      <w:r w:rsidRPr="00382917">
        <w:t>and</w:t>
      </w:r>
      <w:r w:rsidR="00EE4FC3">
        <w:t xml:space="preserve"> </w:t>
      </w:r>
      <w:r w:rsidRPr="00382917">
        <w:t>wait</w:t>
      </w:r>
      <w:r w:rsidR="00EE4FC3">
        <w:t xml:space="preserve"> </w:t>
      </w:r>
      <w:r w:rsidRPr="00382917">
        <w:t>too</w:t>
      </w:r>
      <w:r w:rsidR="00EE4FC3">
        <w:t xml:space="preserve"> </w:t>
      </w:r>
      <w:r w:rsidRPr="00382917">
        <w:t>long.</w:t>
      </w:r>
    </w:p>
    <w:p w:rsidR="006E01DB" w:rsidRPr="00382917" w:rsidRDefault="006E01DB" w:rsidP="006E01DB">
      <w:pPr>
        <w:pStyle w:val="Text"/>
      </w:pPr>
      <w:r w:rsidRPr="00382917">
        <w:t>The</w:t>
      </w:r>
      <w:r w:rsidR="00EE4FC3">
        <w:t xml:space="preserve"> </w:t>
      </w:r>
      <w:r w:rsidRPr="00382917">
        <w:t>news</w:t>
      </w:r>
      <w:r w:rsidR="00EE4FC3">
        <w:t xml:space="preserve"> </w:t>
      </w:r>
      <w:r w:rsidRPr="00382917">
        <w:t>of</w:t>
      </w:r>
      <w:r w:rsidR="00EE4FC3">
        <w:t xml:space="preserve"> </w:t>
      </w:r>
      <w:r w:rsidRPr="00382917">
        <w:t>the</w:t>
      </w:r>
      <w:r w:rsidR="00EE4FC3">
        <w:t xml:space="preserve"> </w:t>
      </w:r>
      <w:r w:rsidRPr="00382917">
        <w:t>Báb</w:t>
      </w:r>
      <w:r w:rsidR="009C713D" w:rsidRPr="00382917">
        <w:t>’</w:t>
      </w:r>
      <w:r w:rsidRPr="00382917">
        <w:t>s</w:t>
      </w:r>
      <w:r w:rsidR="00EE4FC3">
        <w:t xml:space="preserve"> </w:t>
      </w:r>
      <w:r w:rsidRPr="00382917">
        <w:t>triumph</w:t>
      </w:r>
      <w:r w:rsidR="00EE4FC3">
        <w:t xml:space="preserve"> </w:t>
      </w:r>
      <w:r w:rsidRPr="00382917">
        <w:t>over</w:t>
      </w:r>
      <w:r w:rsidR="00EE4FC3">
        <w:t xml:space="preserve"> </w:t>
      </w:r>
      <w:r w:rsidRPr="00382917">
        <w:t>His</w:t>
      </w:r>
      <w:r w:rsidR="00EE4FC3">
        <w:t xml:space="preserve"> </w:t>
      </w:r>
      <w:r w:rsidRPr="00382917">
        <w:t>examiners</w:t>
      </w:r>
      <w:r w:rsidR="00EE4FC3">
        <w:t xml:space="preserve"> </w:t>
      </w:r>
      <w:r w:rsidRPr="00382917">
        <w:t>at</w:t>
      </w:r>
      <w:r w:rsidR="00EE4FC3">
        <w:t xml:space="preserve"> </w:t>
      </w:r>
      <w:r w:rsidRPr="00382917">
        <w:t>Tabríz</w:t>
      </w:r>
      <w:r w:rsidR="00EE4FC3">
        <w:t xml:space="preserve"> </w:t>
      </w:r>
      <w:r w:rsidRPr="00382917">
        <w:t>spread</w:t>
      </w:r>
      <w:r w:rsidR="00EE4FC3">
        <w:t xml:space="preserve"> </w:t>
      </w:r>
      <w:r w:rsidRPr="00382917">
        <w:t>rapidly</w:t>
      </w:r>
      <w:r w:rsidR="00EE4FC3">
        <w:t xml:space="preserve"> </w:t>
      </w:r>
      <w:r w:rsidRPr="00382917">
        <w:t>throughout</w:t>
      </w:r>
      <w:r w:rsidR="00EE4FC3">
        <w:t xml:space="preserve"> </w:t>
      </w:r>
      <w:r w:rsidRPr="00382917">
        <w:t>all</w:t>
      </w:r>
      <w:r w:rsidR="00EE4FC3">
        <w:t xml:space="preserve"> </w:t>
      </w:r>
      <w:r w:rsidRPr="00382917">
        <w:t>of</w:t>
      </w:r>
      <w:r w:rsidR="00EE4FC3">
        <w:t xml:space="preserve"> </w:t>
      </w:r>
      <w:r w:rsidRPr="00382917">
        <w:t>Persia</w:t>
      </w:r>
      <w:r w:rsidR="00A93643">
        <w:t>.</w:t>
      </w:r>
      <w:r w:rsidR="00EE4FC3">
        <w:t xml:space="preserve">  </w:t>
      </w:r>
      <w:r w:rsidRPr="00382917">
        <w:t>It</w:t>
      </w:r>
      <w:r w:rsidR="00EE4FC3">
        <w:t xml:space="preserve"> </w:t>
      </w:r>
      <w:r w:rsidRPr="00382917">
        <w:t>awakened</w:t>
      </w:r>
      <w:r w:rsidR="00EE4FC3">
        <w:t xml:space="preserve"> </w:t>
      </w:r>
      <w:r w:rsidRPr="00382917">
        <w:t>new</w:t>
      </w:r>
      <w:r w:rsidR="00EE4FC3">
        <w:t xml:space="preserve"> </w:t>
      </w:r>
      <w:r w:rsidRPr="00382917">
        <w:t>zeal</w:t>
      </w:r>
      <w:r w:rsidR="00EE4FC3">
        <w:t xml:space="preserve"> </w:t>
      </w:r>
      <w:r w:rsidRPr="00382917">
        <w:t>in</w:t>
      </w:r>
      <w:r w:rsidR="00EE4FC3">
        <w:t xml:space="preserve"> </w:t>
      </w:r>
      <w:r w:rsidRPr="00382917">
        <w:t>the</w:t>
      </w:r>
      <w:r w:rsidR="00EE4FC3">
        <w:t xml:space="preserve"> </w:t>
      </w:r>
      <w:r w:rsidRPr="00382917">
        <w:t>hearts</w:t>
      </w:r>
      <w:r w:rsidR="00EE4FC3">
        <w:t xml:space="preserve"> </w:t>
      </w:r>
      <w:r w:rsidRPr="00382917">
        <w:t>of</w:t>
      </w:r>
      <w:r w:rsidR="00EE4FC3">
        <w:t xml:space="preserve"> </w:t>
      </w:r>
      <w:r w:rsidRPr="00382917">
        <w:t>His</w:t>
      </w:r>
      <w:r w:rsidR="00EE4FC3">
        <w:t xml:space="preserve"> </w:t>
      </w:r>
      <w:r w:rsidRPr="00382917">
        <w:t>supporters</w:t>
      </w:r>
      <w:r w:rsidR="00A93643">
        <w:t>.</w:t>
      </w:r>
      <w:r w:rsidR="00EE4FC3">
        <w:t xml:space="preserve">  </w:t>
      </w:r>
      <w:r w:rsidRPr="00382917">
        <w:t>They</w:t>
      </w:r>
      <w:r w:rsidR="00EE4FC3">
        <w:t xml:space="preserve"> </w:t>
      </w:r>
      <w:r w:rsidRPr="00382917">
        <w:t>redoubled</w:t>
      </w:r>
      <w:r w:rsidR="00EE4FC3">
        <w:t xml:space="preserve"> </w:t>
      </w:r>
      <w:r w:rsidRPr="00382917">
        <w:t>their</w:t>
      </w:r>
      <w:r w:rsidR="00EE4FC3">
        <w:t xml:space="preserve"> </w:t>
      </w:r>
      <w:r w:rsidRPr="00382917">
        <w:t>efforts</w:t>
      </w:r>
      <w:r w:rsidR="00EE4FC3">
        <w:t xml:space="preserve"> </w:t>
      </w:r>
      <w:r w:rsidRPr="00382917">
        <w:t>to</w:t>
      </w:r>
      <w:r w:rsidR="00EE4FC3">
        <w:t xml:space="preserve"> </w:t>
      </w:r>
      <w:r w:rsidRPr="00382917">
        <w:t>spread</w:t>
      </w:r>
      <w:r w:rsidR="00EE4FC3">
        <w:t xml:space="preserve"> </w:t>
      </w:r>
      <w:r w:rsidRPr="00382917">
        <w:t>His</w:t>
      </w:r>
      <w:r w:rsidR="00EE4FC3">
        <w:t xml:space="preserve"> </w:t>
      </w:r>
      <w:r w:rsidRPr="00382917">
        <w:t>teachings</w:t>
      </w:r>
      <w:r w:rsidR="00A93643">
        <w:t>.</w:t>
      </w:r>
      <w:r w:rsidR="00EE4FC3">
        <w:t xml:space="preserve">  </w:t>
      </w:r>
      <w:r w:rsidRPr="00382917">
        <w:t>It</w:t>
      </w:r>
      <w:r w:rsidR="00EE4FC3">
        <w:t xml:space="preserve"> </w:t>
      </w:r>
      <w:r w:rsidRPr="00382917">
        <w:t>enkindled</w:t>
      </w:r>
      <w:r w:rsidR="00EE4FC3">
        <w:t xml:space="preserve"> </w:t>
      </w:r>
      <w:r w:rsidRPr="00382917">
        <w:t>a</w:t>
      </w:r>
      <w:r w:rsidR="00EE4FC3">
        <w:t xml:space="preserve"> </w:t>
      </w:r>
      <w:r w:rsidRPr="00382917">
        <w:t>corresponding</w:t>
      </w:r>
      <w:r w:rsidR="00EE4FC3">
        <w:t xml:space="preserve"> </w:t>
      </w:r>
      <w:r w:rsidRPr="00382917">
        <w:t>reaction</w:t>
      </w:r>
      <w:r w:rsidR="00EE4FC3">
        <w:t xml:space="preserve"> </w:t>
      </w:r>
      <w:r w:rsidRPr="00382917">
        <w:t>among</w:t>
      </w:r>
      <w:r w:rsidR="00EE4FC3">
        <w:t xml:space="preserve"> </w:t>
      </w:r>
      <w:r w:rsidRPr="00382917">
        <w:t>His</w:t>
      </w:r>
      <w:r w:rsidR="00EE4FC3">
        <w:t xml:space="preserve"> </w:t>
      </w:r>
      <w:r w:rsidRPr="00382917">
        <w:t>enemies</w:t>
      </w:r>
      <w:r w:rsidR="00A93643">
        <w:t>.</w:t>
      </w:r>
      <w:r w:rsidR="00EE4FC3">
        <w:t xml:space="preserve">  </w:t>
      </w:r>
      <w:proofErr w:type="gramStart"/>
      <w:r w:rsidRPr="00382917">
        <w:t>Encouraged</w:t>
      </w:r>
      <w:r w:rsidR="00EE4FC3">
        <w:t xml:space="preserve"> </w:t>
      </w:r>
      <w:r w:rsidRPr="00382917">
        <w:t>by</w:t>
      </w:r>
      <w:r w:rsidR="00EE4FC3">
        <w:t xml:space="preserve"> </w:t>
      </w:r>
      <w:r w:rsidRPr="00382917">
        <w:t>the</w:t>
      </w:r>
      <w:r w:rsidR="00EE4FC3">
        <w:t xml:space="preserve"> </w:t>
      </w:r>
      <w:r w:rsidRPr="00382917">
        <w:t>new</w:t>
      </w:r>
      <w:r w:rsidR="00EE4FC3">
        <w:t xml:space="preserve"> </w:t>
      </w:r>
      <w:r w:rsidRPr="00382917">
        <w:t>Prime</w:t>
      </w:r>
      <w:r w:rsidR="00EE4FC3">
        <w:t xml:space="preserve"> </w:t>
      </w:r>
      <w:r w:rsidRPr="00382917">
        <w:t>Minister,</w:t>
      </w:r>
      <w:r w:rsidR="00EE4FC3">
        <w:t xml:space="preserve"> </w:t>
      </w:r>
      <w:r w:rsidRPr="00382917">
        <w:t>persecutions</w:t>
      </w:r>
      <w:r w:rsidR="00EE4FC3">
        <w:t xml:space="preserve"> </w:t>
      </w:r>
      <w:r w:rsidRPr="00382917">
        <w:t>unprecedented</w:t>
      </w:r>
      <w:r w:rsidR="00EE4FC3">
        <w:t xml:space="preserve"> </w:t>
      </w:r>
      <w:r w:rsidRPr="00382917">
        <w:t>in</w:t>
      </w:r>
      <w:r w:rsidR="00EE4FC3">
        <w:t xml:space="preserve"> </w:t>
      </w:r>
      <w:r w:rsidRPr="00382917">
        <w:t>their</w:t>
      </w:r>
      <w:r w:rsidR="00EE4FC3">
        <w:t xml:space="preserve"> </w:t>
      </w:r>
      <w:r w:rsidRPr="00382917">
        <w:t>violence</w:t>
      </w:r>
      <w:r w:rsidR="00EE4FC3">
        <w:t xml:space="preserve"> </w:t>
      </w:r>
      <w:r w:rsidRPr="00382917">
        <w:t>swept</w:t>
      </w:r>
      <w:r w:rsidR="00EE4FC3">
        <w:t xml:space="preserve"> </w:t>
      </w:r>
      <w:r w:rsidRPr="00382917">
        <w:t>over</w:t>
      </w:r>
      <w:r w:rsidR="00EE4FC3">
        <w:t xml:space="preserve"> </w:t>
      </w:r>
      <w:r w:rsidRPr="00382917">
        <w:t>the</w:t>
      </w:r>
      <w:r w:rsidR="00EE4FC3">
        <w:t xml:space="preserve"> </w:t>
      </w:r>
      <w:r w:rsidRPr="00382917">
        <w:t>nation,</w:t>
      </w:r>
      <w:r w:rsidR="00EE4FC3">
        <w:t xml:space="preserve"> </w:t>
      </w:r>
      <w:r w:rsidRPr="00382917">
        <w:t>engulfing</w:t>
      </w:r>
      <w:r w:rsidR="00EE4FC3">
        <w:t xml:space="preserve"> </w:t>
      </w:r>
      <w:r w:rsidRPr="00382917">
        <w:t>the</w:t>
      </w:r>
      <w:r w:rsidR="00EE4FC3">
        <w:t xml:space="preserve"> </w:t>
      </w:r>
      <w:r w:rsidRPr="00382917">
        <w:t>staunchest</w:t>
      </w:r>
      <w:r w:rsidR="00EE4FC3">
        <w:t xml:space="preserve"> </w:t>
      </w:r>
      <w:r w:rsidRPr="00382917">
        <w:t>of</w:t>
      </w:r>
      <w:r w:rsidR="00EE4FC3">
        <w:t xml:space="preserve"> </w:t>
      </w:r>
      <w:r w:rsidRPr="00382917">
        <w:t>the</w:t>
      </w:r>
      <w:r w:rsidR="00EE4FC3">
        <w:t xml:space="preserve"> </w:t>
      </w:r>
      <w:r w:rsidRPr="00382917">
        <w:t>Báb</w:t>
      </w:r>
      <w:r w:rsidR="009C713D" w:rsidRPr="00382917">
        <w:t>’</w:t>
      </w:r>
      <w:r w:rsidRPr="00382917">
        <w:t>s</w:t>
      </w:r>
      <w:r w:rsidR="00EE4FC3">
        <w:t xml:space="preserve"> </w:t>
      </w:r>
      <w:r w:rsidRPr="00382917">
        <w:t>followers</w:t>
      </w:r>
      <w:r w:rsidR="00A93643">
        <w:t>.</w:t>
      </w:r>
      <w:proofErr w:type="gramEnd"/>
      <w:r w:rsidR="00EE4FC3">
        <w:t xml:space="preserve">  </w:t>
      </w:r>
      <w:r w:rsidRPr="00382917">
        <w:t>This</w:t>
      </w:r>
      <w:r w:rsidR="00EE4FC3">
        <w:t xml:space="preserve"> </w:t>
      </w:r>
      <w:r w:rsidRPr="00382917">
        <w:t>brief</w:t>
      </w:r>
      <w:r w:rsidR="00EE4FC3">
        <w:t xml:space="preserve"> </w:t>
      </w:r>
      <w:r w:rsidRPr="00382917">
        <w:t>but</w:t>
      </w:r>
      <w:r w:rsidR="00EE4FC3">
        <w:t xml:space="preserve"> </w:t>
      </w:r>
      <w:r w:rsidRPr="00382917">
        <w:t>triumphant</w:t>
      </w:r>
      <w:r w:rsidR="00EE4FC3">
        <w:t xml:space="preserve"> </w:t>
      </w:r>
      <w:r w:rsidRPr="00382917">
        <w:t>period</w:t>
      </w:r>
      <w:r w:rsidR="00EE4FC3">
        <w:t xml:space="preserve"> </w:t>
      </w:r>
      <w:r w:rsidRPr="00382917">
        <w:t>may</w:t>
      </w:r>
      <w:r w:rsidR="00EE4FC3">
        <w:t xml:space="preserve"> </w:t>
      </w:r>
      <w:r w:rsidRPr="00382917">
        <w:t>well</w:t>
      </w:r>
      <w:r w:rsidR="00EE4FC3">
        <w:t xml:space="preserve"> </w:t>
      </w:r>
      <w:r w:rsidRPr="00382917">
        <w:t>be</w:t>
      </w:r>
      <w:r w:rsidR="00EE4FC3">
        <w:t xml:space="preserve"> </w:t>
      </w:r>
      <w:r w:rsidRPr="00382917">
        <w:t>called</w:t>
      </w:r>
      <w:r w:rsidR="00EE4FC3">
        <w:t xml:space="preserve"> </w:t>
      </w:r>
      <w:r w:rsidRPr="00382917">
        <w:t>the</w:t>
      </w:r>
      <w:r w:rsidR="00EE4FC3">
        <w:t xml:space="preserve"> </w:t>
      </w:r>
      <w:r w:rsidRPr="00382917">
        <w:t>bloodiest</w:t>
      </w:r>
      <w:r w:rsidR="00EE4FC3">
        <w:t xml:space="preserve"> </w:t>
      </w:r>
      <w:r w:rsidRPr="00382917">
        <w:t>and</w:t>
      </w:r>
      <w:r w:rsidR="00EE4FC3">
        <w:t xml:space="preserve"> </w:t>
      </w:r>
      <w:r w:rsidRPr="00382917">
        <w:t>most</w:t>
      </w:r>
      <w:r w:rsidR="00EE4FC3">
        <w:t xml:space="preserve"> </w:t>
      </w:r>
      <w:r w:rsidRPr="00382917">
        <w:t>dramatic</w:t>
      </w:r>
      <w:r w:rsidR="00EE4FC3">
        <w:t xml:space="preserve"> </w:t>
      </w:r>
      <w:r w:rsidRPr="00382917">
        <w:t>in</w:t>
      </w:r>
      <w:r w:rsidR="00EE4FC3">
        <w:t xml:space="preserve"> </w:t>
      </w:r>
      <w:r w:rsidRPr="00382917">
        <w:t>the</w:t>
      </w:r>
      <w:r w:rsidR="00EE4FC3">
        <w:t xml:space="preserve"> </w:t>
      </w:r>
      <w:r w:rsidRPr="00382917">
        <w:t>rise</w:t>
      </w:r>
      <w:r w:rsidR="00EE4FC3">
        <w:t xml:space="preserve"> </w:t>
      </w:r>
      <w:r w:rsidRPr="00382917">
        <w:t>of</w:t>
      </w:r>
      <w:r w:rsidR="00EE4FC3">
        <w:t xml:space="preserve"> </w:t>
      </w:r>
      <w:r w:rsidRPr="00382917">
        <w:t>His</w:t>
      </w:r>
      <w:r w:rsidR="00EE4FC3">
        <w:t xml:space="preserve"> </w:t>
      </w:r>
      <w:r w:rsidRPr="00382917">
        <w:t>Faith.</w:t>
      </w:r>
    </w:p>
    <w:p w:rsidR="006E01DB" w:rsidRPr="00382917" w:rsidRDefault="006E01DB" w:rsidP="006E01DB">
      <w:pPr>
        <w:pStyle w:val="Text"/>
      </w:pPr>
      <w:r w:rsidRPr="00382917">
        <w:t>No</w:t>
      </w:r>
      <w:r w:rsidR="00EE4FC3">
        <w:t xml:space="preserve"> </w:t>
      </w:r>
      <w:r w:rsidRPr="00382917">
        <w:t>story</w:t>
      </w:r>
      <w:r w:rsidR="00EE4FC3">
        <w:t xml:space="preserve"> </w:t>
      </w:r>
      <w:r w:rsidRPr="00382917">
        <w:t>of</w:t>
      </w:r>
      <w:r w:rsidR="00EE4FC3">
        <w:t xml:space="preserve"> </w:t>
      </w:r>
      <w:r w:rsidRPr="00382917">
        <w:t>the</w:t>
      </w:r>
      <w:r w:rsidR="00EE4FC3">
        <w:t xml:space="preserve"> </w:t>
      </w:r>
      <w:r w:rsidRPr="00382917">
        <w:t>life</w:t>
      </w:r>
      <w:r w:rsidR="00EE4FC3">
        <w:t xml:space="preserve"> </w:t>
      </w:r>
      <w:r w:rsidRPr="00382917">
        <w:t>of</w:t>
      </w:r>
      <w:r w:rsidR="00EE4FC3">
        <w:t xml:space="preserve"> </w:t>
      </w:r>
      <w:r w:rsidRPr="00382917">
        <w:t>the</w:t>
      </w:r>
      <w:r w:rsidR="00EE4FC3">
        <w:t xml:space="preserve"> </w:t>
      </w:r>
      <w:r w:rsidRPr="00382917">
        <w:t>Báb</w:t>
      </w:r>
      <w:r w:rsidR="00EE4FC3">
        <w:t xml:space="preserve"> </w:t>
      </w:r>
      <w:r w:rsidRPr="00382917">
        <w:t>would</w:t>
      </w:r>
      <w:r w:rsidR="00EE4FC3">
        <w:t xml:space="preserve"> </w:t>
      </w:r>
      <w:r w:rsidRPr="00382917">
        <w:t>be</w:t>
      </w:r>
      <w:r w:rsidR="00EE4FC3">
        <w:t xml:space="preserve"> </w:t>
      </w:r>
      <w:r w:rsidRPr="00382917">
        <w:t>complete</w:t>
      </w:r>
      <w:r w:rsidR="00EE4FC3">
        <w:t xml:space="preserve"> </w:t>
      </w:r>
      <w:r w:rsidRPr="00382917">
        <w:t>unless</w:t>
      </w:r>
      <w:r w:rsidR="00EE4FC3">
        <w:t xml:space="preserve"> </w:t>
      </w:r>
      <w:r w:rsidRPr="00382917">
        <w:t>it</w:t>
      </w:r>
      <w:r w:rsidR="00EE4FC3">
        <w:t xml:space="preserve"> </w:t>
      </w:r>
      <w:r w:rsidRPr="00382917">
        <w:t>told</w:t>
      </w:r>
      <w:r w:rsidR="00EE4FC3">
        <w:t xml:space="preserve"> </w:t>
      </w:r>
      <w:r w:rsidRPr="00382917">
        <w:t>about</w:t>
      </w:r>
      <w:r w:rsidR="00EE4FC3">
        <w:t xml:space="preserve"> </w:t>
      </w:r>
      <w:r w:rsidRPr="00382917">
        <w:t>His</w:t>
      </w:r>
      <w:r w:rsidR="00EE4FC3">
        <w:t xml:space="preserve"> </w:t>
      </w:r>
      <w:r w:rsidRPr="00382917">
        <w:t>disciples</w:t>
      </w:r>
      <w:r w:rsidR="00EE4FC3">
        <w:t xml:space="preserve"> </w:t>
      </w:r>
      <w:r w:rsidRPr="00382917">
        <w:t>who</w:t>
      </w:r>
      <w:r w:rsidR="00EE4FC3">
        <w:t xml:space="preserve"> </w:t>
      </w:r>
      <w:r w:rsidRPr="00382917">
        <w:t>sacrificed</w:t>
      </w:r>
      <w:r w:rsidR="00EE4FC3">
        <w:t xml:space="preserve"> </w:t>
      </w:r>
      <w:r w:rsidRPr="00382917">
        <w:t>everything</w:t>
      </w:r>
      <w:r w:rsidR="00EE4FC3">
        <w:t xml:space="preserve"> </w:t>
      </w:r>
      <w:r w:rsidRPr="00382917">
        <w:t>in</w:t>
      </w:r>
      <w:r w:rsidR="00EE4FC3">
        <w:t xml:space="preserve"> </w:t>
      </w:r>
      <w:r w:rsidRPr="00382917">
        <w:t>life,</w:t>
      </w:r>
      <w:r w:rsidR="00EE4FC3">
        <w:t xml:space="preserve"> </w:t>
      </w:r>
      <w:r w:rsidRPr="00382917">
        <w:t>proving</w:t>
      </w:r>
      <w:r w:rsidR="00EE4FC3">
        <w:t xml:space="preserve"> </w:t>
      </w:r>
      <w:r w:rsidRPr="00382917">
        <w:t>their</w:t>
      </w:r>
    </w:p>
    <w:p w:rsidR="006E01DB" w:rsidRPr="00382917" w:rsidRDefault="006E01DB">
      <w:pPr>
        <w:widowControl/>
        <w:kinsoku/>
        <w:overflowPunct/>
        <w:textAlignment w:val="auto"/>
      </w:pPr>
      <w:r w:rsidRPr="00382917">
        <w:br w:type="page"/>
      </w:r>
    </w:p>
    <w:p w:rsidR="006E01DB" w:rsidRPr="00382917" w:rsidRDefault="006E01DB" w:rsidP="006E01DB">
      <w:pPr>
        <w:pStyle w:val="Textcts"/>
      </w:pPr>
      <w:proofErr w:type="gramStart"/>
      <w:r w:rsidRPr="00382917">
        <w:t>love</w:t>
      </w:r>
      <w:proofErr w:type="gramEnd"/>
      <w:r w:rsidR="00EE4FC3">
        <w:t xml:space="preserve"> </w:t>
      </w:r>
      <w:r w:rsidRPr="00382917">
        <w:t>and</w:t>
      </w:r>
      <w:r w:rsidR="00EE4FC3">
        <w:t xml:space="preserve"> </w:t>
      </w:r>
      <w:r w:rsidRPr="00382917">
        <w:t>devotion</w:t>
      </w:r>
      <w:r w:rsidR="00EE4FC3">
        <w:t xml:space="preserve"> </w:t>
      </w:r>
      <w:r w:rsidRPr="00382917">
        <w:t>for</w:t>
      </w:r>
      <w:r w:rsidR="00EE4FC3">
        <w:t xml:space="preserve"> </w:t>
      </w:r>
      <w:r w:rsidRPr="00382917">
        <w:t>His</w:t>
      </w:r>
      <w:r w:rsidR="00EE4FC3">
        <w:t xml:space="preserve"> </w:t>
      </w:r>
      <w:r w:rsidRPr="00382917">
        <w:t>Cause</w:t>
      </w:r>
      <w:r w:rsidR="00A93643">
        <w:t>.</w:t>
      </w:r>
      <w:r w:rsidR="00EE4FC3">
        <w:t xml:space="preserve">  </w:t>
      </w:r>
      <w:r w:rsidRPr="00382917">
        <w:t>Some</w:t>
      </w:r>
      <w:r w:rsidR="00EE4FC3">
        <w:t xml:space="preserve"> </w:t>
      </w:r>
      <w:r w:rsidRPr="00382917">
        <w:t>preceded</w:t>
      </w:r>
      <w:r w:rsidR="00EE4FC3">
        <w:t xml:space="preserve"> </w:t>
      </w:r>
      <w:r w:rsidRPr="00382917">
        <w:t>the</w:t>
      </w:r>
      <w:r w:rsidR="00EE4FC3">
        <w:t xml:space="preserve"> </w:t>
      </w:r>
      <w:r w:rsidRPr="00382917">
        <w:t>Báb</w:t>
      </w:r>
      <w:r w:rsidR="00EE4FC3">
        <w:t xml:space="preserve"> </w:t>
      </w:r>
      <w:r w:rsidRPr="00382917">
        <w:t>in</w:t>
      </w:r>
      <w:r w:rsidR="00EE4FC3">
        <w:t xml:space="preserve"> </w:t>
      </w:r>
      <w:r w:rsidRPr="00382917">
        <w:t>death,</w:t>
      </w:r>
      <w:r w:rsidR="00EE4FC3">
        <w:t xml:space="preserve"> </w:t>
      </w:r>
      <w:r w:rsidRPr="00382917">
        <w:t>some</w:t>
      </w:r>
      <w:r w:rsidR="00EE4FC3">
        <w:t xml:space="preserve"> </w:t>
      </w:r>
      <w:r w:rsidRPr="00382917">
        <w:t>followed</w:t>
      </w:r>
      <w:r w:rsidR="00EE4FC3">
        <w:t xml:space="preserve"> </w:t>
      </w:r>
      <w:r w:rsidRPr="00382917">
        <w:t>shortly</w:t>
      </w:r>
      <w:r w:rsidR="00EE4FC3">
        <w:t xml:space="preserve"> </w:t>
      </w:r>
      <w:r w:rsidRPr="00382917">
        <w:t>after</w:t>
      </w:r>
      <w:r w:rsidR="00A93643">
        <w:t>.</w:t>
      </w:r>
      <w:r w:rsidR="00EE4FC3">
        <w:t xml:space="preserve">  </w:t>
      </w:r>
      <w:r w:rsidRPr="00382917">
        <w:t>Almost</w:t>
      </w:r>
      <w:r w:rsidR="00EE4FC3">
        <w:t xml:space="preserve"> </w:t>
      </w:r>
      <w:r w:rsidRPr="00382917">
        <w:t>every</w:t>
      </w:r>
      <w:r w:rsidR="00EE4FC3">
        <w:t xml:space="preserve"> </w:t>
      </w:r>
      <w:r w:rsidRPr="00382917">
        <w:t>one</w:t>
      </w:r>
      <w:r w:rsidR="00EE4FC3">
        <w:t xml:space="preserve"> </w:t>
      </w:r>
      <w:r w:rsidRPr="00382917">
        <w:t>of</w:t>
      </w:r>
      <w:r w:rsidR="00EE4FC3">
        <w:t xml:space="preserve"> </w:t>
      </w:r>
      <w:r w:rsidRPr="00382917">
        <w:t>His</w:t>
      </w:r>
      <w:r w:rsidR="00EE4FC3">
        <w:t xml:space="preserve"> </w:t>
      </w:r>
      <w:r w:rsidRPr="00382917">
        <w:t>chief</w:t>
      </w:r>
      <w:r w:rsidR="00EE4FC3">
        <w:t xml:space="preserve"> </w:t>
      </w:r>
      <w:r w:rsidRPr="00382917">
        <w:t>followers</w:t>
      </w:r>
      <w:r w:rsidR="00EE4FC3">
        <w:t xml:space="preserve"> </w:t>
      </w:r>
      <w:r w:rsidRPr="00382917">
        <w:t>was</w:t>
      </w:r>
      <w:r w:rsidR="00EE4FC3">
        <w:t xml:space="preserve"> </w:t>
      </w:r>
      <w:r w:rsidRPr="00382917">
        <w:t>struck</w:t>
      </w:r>
      <w:r w:rsidR="00EE4FC3">
        <w:t xml:space="preserve"> </w:t>
      </w:r>
      <w:r w:rsidRPr="00382917">
        <w:t>down</w:t>
      </w:r>
      <w:r w:rsidR="00EE4FC3">
        <w:t xml:space="preserve"> </w:t>
      </w:r>
      <w:r w:rsidRPr="00382917">
        <w:t>during</w:t>
      </w:r>
      <w:r w:rsidR="00EE4FC3">
        <w:t xml:space="preserve"> </w:t>
      </w:r>
      <w:r w:rsidRPr="00382917">
        <w:t>this</w:t>
      </w:r>
      <w:r w:rsidR="00EE4FC3">
        <w:t xml:space="preserve"> </w:t>
      </w:r>
      <w:r w:rsidRPr="00382917">
        <w:t>raging</w:t>
      </w:r>
      <w:r w:rsidR="00EE4FC3">
        <w:t xml:space="preserve"> </w:t>
      </w:r>
      <w:r w:rsidRPr="00382917">
        <w:t>period</w:t>
      </w:r>
      <w:r w:rsidR="00EE4FC3">
        <w:t xml:space="preserve"> </w:t>
      </w:r>
      <w:r w:rsidRPr="00382917">
        <w:t>of</w:t>
      </w:r>
      <w:r w:rsidR="00EE4FC3">
        <w:t xml:space="preserve"> </w:t>
      </w:r>
      <w:r w:rsidRPr="00382917">
        <w:t>persecution.</w:t>
      </w:r>
    </w:p>
    <w:p w:rsidR="006E01DB" w:rsidRPr="00382917" w:rsidRDefault="006E01DB" w:rsidP="006E01DB">
      <w:pPr>
        <w:pStyle w:val="Text"/>
      </w:pPr>
      <w:r w:rsidRPr="00382917">
        <w:t>Quddús</w:t>
      </w:r>
      <w:r w:rsidR="00EE4FC3">
        <w:t xml:space="preserve"> </w:t>
      </w:r>
      <w:r w:rsidRPr="00382917">
        <w:t>was</w:t>
      </w:r>
      <w:r w:rsidR="00EE4FC3">
        <w:t xml:space="preserve"> </w:t>
      </w:r>
      <w:r w:rsidRPr="00382917">
        <w:t>imprisoned</w:t>
      </w:r>
      <w:r w:rsidR="00EE4FC3">
        <w:t xml:space="preserve"> </w:t>
      </w:r>
      <w:r w:rsidRPr="00382917">
        <w:t>in</w:t>
      </w:r>
      <w:r w:rsidR="00EE4FC3">
        <w:t xml:space="preserve"> </w:t>
      </w:r>
      <w:r w:rsidRPr="00382917">
        <w:t>the</w:t>
      </w:r>
      <w:r w:rsidR="00EE4FC3">
        <w:t xml:space="preserve"> </w:t>
      </w:r>
      <w:r w:rsidRPr="00382917">
        <w:t>town</w:t>
      </w:r>
      <w:r w:rsidR="00EE4FC3">
        <w:t xml:space="preserve"> </w:t>
      </w:r>
      <w:r w:rsidRPr="00382917">
        <w:t>of</w:t>
      </w:r>
      <w:r w:rsidR="00EE4FC3">
        <w:t xml:space="preserve"> </w:t>
      </w:r>
      <w:r w:rsidRPr="00382917">
        <w:t>Sárí,</w:t>
      </w:r>
      <w:r w:rsidR="00EE4FC3">
        <w:t xml:space="preserve"> </w:t>
      </w:r>
      <w:r w:rsidRPr="00382917">
        <w:t>and</w:t>
      </w:r>
      <w:r w:rsidR="00EE4FC3">
        <w:t xml:space="preserve"> </w:t>
      </w:r>
      <w:r w:rsidRPr="00382917">
        <w:t>Mullá</w:t>
      </w:r>
      <w:r w:rsidR="00EE4FC3">
        <w:t xml:space="preserve"> </w:t>
      </w:r>
      <w:r w:rsidR="00964C11" w:rsidRPr="00382917">
        <w:t>Ḥusayn</w:t>
      </w:r>
      <w:r w:rsidR="00EE4FC3">
        <w:t xml:space="preserve"> </w:t>
      </w:r>
      <w:r w:rsidRPr="00382917">
        <w:t>set</w:t>
      </w:r>
      <w:r w:rsidR="00EE4FC3">
        <w:t xml:space="preserve"> </w:t>
      </w:r>
      <w:r w:rsidRPr="00382917">
        <w:t>out</w:t>
      </w:r>
      <w:r w:rsidR="00EE4FC3">
        <w:t xml:space="preserve"> </w:t>
      </w:r>
      <w:r w:rsidRPr="00382917">
        <w:t>to</w:t>
      </w:r>
      <w:r w:rsidR="00EE4FC3">
        <w:t xml:space="preserve"> </w:t>
      </w:r>
      <w:r w:rsidRPr="00382917">
        <w:t>rescue</w:t>
      </w:r>
      <w:r w:rsidR="00EE4FC3">
        <w:t xml:space="preserve"> </w:t>
      </w:r>
      <w:r w:rsidRPr="00382917">
        <w:t>him</w:t>
      </w:r>
      <w:r w:rsidR="00A93643">
        <w:t>.</w:t>
      </w:r>
      <w:r w:rsidR="00EE4FC3">
        <w:t xml:space="preserve">  </w:t>
      </w:r>
      <w:r w:rsidRPr="00382917">
        <w:t>A</w:t>
      </w:r>
      <w:r w:rsidR="00EE4FC3">
        <w:t xml:space="preserve"> </w:t>
      </w:r>
      <w:r w:rsidRPr="00382917">
        <w:t>messenger</w:t>
      </w:r>
      <w:r w:rsidR="00EE4FC3">
        <w:t xml:space="preserve"> </w:t>
      </w:r>
      <w:r w:rsidRPr="00382917">
        <w:t>had</w:t>
      </w:r>
      <w:r w:rsidR="00EE4FC3">
        <w:t xml:space="preserve"> </w:t>
      </w:r>
      <w:r w:rsidRPr="00382917">
        <w:t>come</w:t>
      </w:r>
      <w:r w:rsidR="00EE4FC3">
        <w:t xml:space="preserve"> </w:t>
      </w:r>
      <w:r w:rsidRPr="00382917">
        <w:t>from</w:t>
      </w:r>
      <w:r w:rsidR="00EE4FC3">
        <w:t xml:space="preserve"> </w:t>
      </w:r>
      <w:r w:rsidRPr="00382917">
        <w:t>the</w:t>
      </w:r>
      <w:r w:rsidR="00EE4FC3">
        <w:t xml:space="preserve"> </w:t>
      </w:r>
      <w:r w:rsidRPr="00382917">
        <w:t>Báb</w:t>
      </w:r>
      <w:r w:rsidR="00EE4FC3">
        <w:t xml:space="preserve"> </w:t>
      </w:r>
      <w:r w:rsidRPr="00382917">
        <w:t>to</w:t>
      </w:r>
      <w:r w:rsidR="00EE4FC3">
        <w:t xml:space="preserve"> </w:t>
      </w:r>
      <w:r w:rsidRPr="00382917">
        <w:t>Mullá</w:t>
      </w:r>
      <w:r w:rsidR="00EE4FC3">
        <w:t xml:space="preserve"> </w:t>
      </w:r>
      <w:r w:rsidR="00964C11" w:rsidRPr="00382917">
        <w:t>Ḥusayn</w:t>
      </w:r>
      <w:r w:rsidR="00EE4FC3">
        <w:t xml:space="preserve"> </w:t>
      </w:r>
      <w:r w:rsidRPr="00382917">
        <w:t>bearing</w:t>
      </w:r>
      <w:r w:rsidR="00EE4FC3">
        <w:t xml:space="preserve"> </w:t>
      </w:r>
      <w:r w:rsidRPr="00382917">
        <w:t>the</w:t>
      </w:r>
      <w:r w:rsidR="00EE4FC3">
        <w:t xml:space="preserve"> </w:t>
      </w:r>
      <w:r w:rsidRPr="00382917">
        <w:t>Báb</w:t>
      </w:r>
      <w:r w:rsidR="009C713D" w:rsidRPr="00382917">
        <w:t>’</w:t>
      </w:r>
      <w:r w:rsidRPr="00382917">
        <w:t>s</w:t>
      </w:r>
      <w:r w:rsidR="00EE4FC3">
        <w:t xml:space="preserve"> </w:t>
      </w:r>
      <w:r w:rsidRPr="00382917">
        <w:t>turban.</w:t>
      </w:r>
    </w:p>
    <w:p w:rsidR="006E01DB" w:rsidRPr="00382917" w:rsidRDefault="009C713D" w:rsidP="006E01DB">
      <w:pPr>
        <w:pStyle w:val="Text"/>
      </w:pPr>
      <w:r w:rsidRPr="00382917">
        <w:t>“</w:t>
      </w:r>
      <w:r w:rsidR="006E01DB" w:rsidRPr="00382917">
        <w:t>Adorn</w:t>
      </w:r>
      <w:r w:rsidR="00EE4FC3">
        <w:t xml:space="preserve"> </w:t>
      </w:r>
      <w:r w:rsidR="006E01DB" w:rsidRPr="00382917">
        <w:t>your</w:t>
      </w:r>
      <w:r w:rsidR="00EE4FC3">
        <w:t xml:space="preserve"> </w:t>
      </w:r>
      <w:r w:rsidR="006E01DB" w:rsidRPr="00382917">
        <w:t>head</w:t>
      </w:r>
      <w:r w:rsidR="00EE4FC3">
        <w:t xml:space="preserve"> </w:t>
      </w:r>
      <w:r w:rsidR="006E01DB" w:rsidRPr="00382917">
        <w:t>with</w:t>
      </w:r>
      <w:r w:rsidR="00EE4FC3">
        <w:t xml:space="preserve"> </w:t>
      </w:r>
      <w:r w:rsidR="006E01DB" w:rsidRPr="00382917">
        <w:t>My</w:t>
      </w:r>
      <w:r w:rsidR="00EE4FC3">
        <w:t xml:space="preserve"> </w:t>
      </w:r>
      <w:r w:rsidR="006E01DB" w:rsidRPr="00382917">
        <w:t>green</w:t>
      </w:r>
      <w:r w:rsidR="00EE4FC3">
        <w:t xml:space="preserve"> </w:t>
      </w:r>
      <w:proofErr w:type="gramStart"/>
      <w:r w:rsidR="006E01DB" w:rsidRPr="00382917">
        <w:t>turban,</w:t>
      </w:r>
      <w:r w:rsidR="00EE4FC3">
        <w:t xml:space="preserve"> </w:t>
      </w:r>
      <w:r w:rsidR="00F04416" w:rsidRPr="00382917">
        <w:t>…</w:t>
      </w:r>
      <w:r w:rsidRPr="00382917">
        <w:t>”</w:t>
      </w:r>
      <w:proofErr w:type="gramEnd"/>
      <w:r w:rsidR="00EE4FC3">
        <w:t xml:space="preserve"> </w:t>
      </w:r>
      <w:r w:rsidR="006E01DB" w:rsidRPr="00382917">
        <w:t>the</w:t>
      </w:r>
      <w:r w:rsidR="00EE4FC3">
        <w:t xml:space="preserve"> </w:t>
      </w:r>
      <w:r w:rsidR="006E01DB" w:rsidRPr="00382917">
        <w:t>message</w:t>
      </w:r>
      <w:r w:rsidR="00EE4FC3">
        <w:t xml:space="preserve"> </w:t>
      </w:r>
      <w:r w:rsidR="006E01DB" w:rsidRPr="00382917">
        <w:t>said,</w:t>
      </w:r>
      <w:r w:rsidR="00EE4FC3">
        <w:t xml:space="preserve"> </w:t>
      </w:r>
      <w:r w:rsidRPr="00382917">
        <w:t>“</w:t>
      </w:r>
      <w:r w:rsidR="006E01DB" w:rsidRPr="00382917">
        <w:t>and</w:t>
      </w:r>
      <w:r w:rsidR="00EE4FC3">
        <w:t xml:space="preserve"> </w:t>
      </w:r>
      <w:r w:rsidR="006E01DB" w:rsidRPr="00382917">
        <w:t>with</w:t>
      </w:r>
      <w:r w:rsidR="00EE4FC3">
        <w:t xml:space="preserve"> </w:t>
      </w:r>
      <w:r w:rsidR="006E01DB" w:rsidRPr="00382917">
        <w:t>the</w:t>
      </w:r>
      <w:r w:rsidR="00EE4FC3">
        <w:t xml:space="preserve"> </w:t>
      </w:r>
      <w:r w:rsidR="006E01DB" w:rsidRPr="00382917">
        <w:t>Black</w:t>
      </w:r>
      <w:r w:rsidR="00EE4FC3">
        <w:t xml:space="preserve"> </w:t>
      </w:r>
      <w:r w:rsidR="006E01DB" w:rsidRPr="00382917">
        <w:t>Standard</w:t>
      </w:r>
      <w:r w:rsidR="00EE4FC3">
        <w:t xml:space="preserve"> </w:t>
      </w:r>
      <w:r w:rsidR="006E01DB" w:rsidRPr="00382917">
        <w:t>unfurled</w:t>
      </w:r>
      <w:r w:rsidR="00EE4FC3">
        <w:t xml:space="preserve"> </w:t>
      </w:r>
      <w:r w:rsidR="006E01DB" w:rsidRPr="00382917">
        <w:t>before</w:t>
      </w:r>
      <w:r w:rsidR="00EE4FC3">
        <w:t xml:space="preserve"> </w:t>
      </w:r>
      <w:r w:rsidR="006E01DB" w:rsidRPr="00382917">
        <w:t>you,</w:t>
      </w:r>
      <w:r w:rsidR="00EE4FC3">
        <w:t xml:space="preserve"> </w:t>
      </w:r>
      <w:r w:rsidR="006E01DB" w:rsidRPr="00382917">
        <w:t>hasten</w:t>
      </w:r>
      <w:r w:rsidR="00EE4FC3">
        <w:t xml:space="preserve"> </w:t>
      </w:r>
      <w:r w:rsidR="006E01DB" w:rsidRPr="00382917">
        <w:t>to</w:t>
      </w:r>
      <w:r w:rsidR="00EE4FC3">
        <w:t xml:space="preserve"> </w:t>
      </w:r>
      <w:r w:rsidR="006E01DB" w:rsidRPr="00382917">
        <w:t>lend</w:t>
      </w:r>
      <w:r w:rsidR="00EE4FC3">
        <w:t xml:space="preserve"> </w:t>
      </w:r>
      <w:r w:rsidR="006E01DB" w:rsidRPr="00382917">
        <w:t>your</w:t>
      </w:r>
      <w:r w:rsidR="00EE4FC3">
        <w:t xml:space="preserve"> </w:t>
      </w:r>
      <w:r w:rsidR="006E01DB" w:rsidRPr="00382917">
        <w:t>assistance</w:t>
      </w:r>
      <w:r w:rsidR="00EE4FC3">
        <w:t xml:space="preserve"> </w:t>
      </w:r>
      <w:r w:rsidR="006E01DB" w:rsidRPr="00382917">
        <w:t>to</w:t>
      </w:r>
      <w:r w:rsidR="00EE4FC3">
        <w:t xml:space="preserve"> </w:t>
      </w:r>
      <w:r w:rsidR="006E01DB" w:rsidRPr="00382917">
        <w:t>My</w:t>
      </w:r>
      <w:r w:rsidR="00EE4FC3">
        <w:t xml:space="preserve"> </w:t>
      </w:r>
      <w:r w:rsidR="006E01DB" w:rsidRPr="00382917">
        <w:t>beloved</w:t>
      </w:r>
      <w:r w:rsidR="00EE4FC3">
        <w:t xml:space="preserve"> </w:t>
      </w:r>
      <w:r w:rsidR="006E01DB" w:rsidRPr="00382917">
        <w:t>Quddús.</w:t>
      </w:r>
      <w:r w:rsidRPr="00382917">
        <w:t>”</w:t>
      </w:r>
    </w:p>
    <w:p w:rsidR="006E01DB" w:rsidRPr="00382917" w:rsidRDefault="006E01DB" w:rsidP="006E01DB">
      <w:pPr>
        <w:pStyle w:val="Text"/>
      </w:pPr>
      <w:r w:rsidRPr="00382917">
        <w:t>Mullá</w:t>
      </w:r>
      <w:r w:rsidR="00EE4FC3">
        <w:t xml:space="preserve"> </w:t>
      </w:r>
      <w:r w:rsidR="00964C11" w:rsidRPr="00382917">
        <w:t>Ḥusayn</w:t>
      </w:r>
      <w:r w:rsidR="00EE4FC3">
        <w:t xml:space="preserve"> </w:t>
      </w:r>
      <w:r w:rsidRPr="00382917">
        <w:t>immediately</w:t>
      </w:r>
      <w:r w:rsidR="00EE4FC3">
        <w:t xml:space="preserve"> </w:t>
      </w:r>
      <w:r w:rsidRPr="00382917">
        <w:t>left</w:t>
      </w:r>
      <w:r w:rsidR="00EE4FC3">
        <w:t xml:space="preserve"> </w:t>
      </w:r>
      <w:r w:rsidRPr="00382917">
        <w:t>the</w:t>
      </w:r>
      <w:r w:rsidR="00EE4FC3">
        <w:t xml:space="preserve"> </w:t>
      </w:r>
      <w:r w:rsidRPr="00382917">
        <w:t>province</w:t>
      </w:r>
      <w:r w:rsidR="00EE4FC3">
        <w:t xml:space="preserve"> </w:t>
      </w:r>
      <w:r w:rsidRPr="00382917">
        <w:t>of</w:t>
      </w:r>
      <w:r w:rsidR="00EE4FC3">
        <w:t xml:space="preserve"> </w:t>
      </w:r>
      <w:r w:rsidR="006225E8" w:rsidRPr="006225E8">
        <w:rPr>
          <w:u w:val="single"/>
        </w:rPr>
        <w:t>Kh</w:t>
      </w:r>
      <w:r w:rsidR="006225E8" w:rsidRPr="00382917">
        <w:t>urásán</w:t>
      </w:r>
      <w:r w:rsidR="00EE4FC3">
        <w:t xml:space="preserve"> </w:t>
      </w:r>
      <w:r w:rsidRPr="00382917">
        <w:t>and</w:t>
      </w:r>
      <w:r w:rsidR="00EE4FC3">
        <w:t xml:space="preserve"> </w:t>
      </w:r>
      <w:r w:rsidRPr="00382917">
        <w:t>headed</w:t>
      </w:r>
      <w:r w:rsidR="00EE4FC3">
        <w:t xml:space="preserve"> </w:t>
      </w:r>
      <w:r w:rsidRPr="00382917">
        <w:t>for</w:t>
      </w:r>
      <w:r w:rsidR="00EE4FC3">
        <w:t xml:space="preserve"> </w:t>
      </w:r>
      <w:r w:rsidRPr="00382917">
        <w:t>Sárí</w:t>
      </w:r>
      <w:r w:rsidR="00A93643">
        <w:t>.</w:t>
      </w:r>
      <w:r w:rsidR="00EE4FC3">
        <w:t xml:space="preserve">  </w:t>
      </w:r>
      <w:r w:rsidRPr="00382917">
        <w:t>His</w:t>
      </w:r>
      <w:r w:rsidR="00EE4FC3">
        <w:t xml:space="preserve"> </w:t>
      </w:r>
      <w:r w:rsidRPr="00382917">
        <w:t>small</w:t>
      </w:r>
      <w:r w:rsidR="00EE4FC3">
        <w:t xml:space="preserve"> </w:t>
      </w:r>
      <w:r w:rsidRPr="00382917">
        <w:t>party</w:t>
      </w:r>
      <w:r w:rsidR="00EE4FC3">
        <w:t xml:space="preserve"> </w:t>
      </w:r>
      <w:r w:rsidRPr="00382917">
        <w:t>marched</w:t>
      </w:r>
      <w:r w:rsidR="00EE4FC3">
        <w:t xml:space="preserve"> </w:t>
      </w:r>
      <w:r w:rsidRPr="00382917">
        <w:t>under</w:t>
      </w:r>
      <w:r w:rsidR="00EE4FC3">
        <w:t xml:space="preserve"> </w:t>
      </w:r>
      <w:r w:rsidRPr="00382917">
        <w:t>a</w:t>
      </w:r>
      <w:r w:rsidR="00EE4FC3">
        <w:t xml:space="preserve"> </w:t>
      </w:r>
      <w:r w:rsidRPr="00382917">
        <w:t>black</w:t>
      </w:r>
      <w:r w:rsidR="00EE4FC3">
        <w:t xml:space="preserve"> </w:t>
      </w:r>
      <w:r w:rsidRPr="00382917">
        <w:t>banner</w:t>
      </w:r>
      <w:r w:rsidR="00EE4FC3">
        <w:t xml:space="preserve"> </w:t>
      </w:r>
      <w:r w:rsidRPr="00382917">
        <w:t>which</w:t>
      </w:r>
      <w:r w:rsidR="00EE4FC3">
        <w:t xml:space="preserve"> </w:t>
      </w:r>
      <w:r w:rsidRPr="00382917">
        <w:t>Mullá</w:t>
      </w:r>
      <w:r w:rsidR="00EE4FC3">
        <w:t xml:space="preserve"> </w:t>
      </w:r>
      <w:r w:rsidR="00964C11" w:rsidRPr="00382917">
        <w:t>Ḥusayn</w:t>
      </w:r>
      <w:r w:rsidR="00EE4FC3">
        <w:t xml:space="preserve"> </w:t>
      </w:r>
      <w:r w:rsidRPr="00382917">
        <w:t>raised</w:t>
      </w:r>
      <w:r w:rsidR="00EE4FC3">
        <w:t xml:space="preserve"> </w:t>
      </w:r>
      <w:r w:rsidRPr="00382917">
        <w:t>up</w:t>
      </w:r>
      <w:r w:rsidR="00EE4FC3">
        <w:t xml:space="preserve"> </w:t>
      </w:r>
      <w:r w:rsidRPr="00382917">
        <w:t>so</w:t>
      </w:r>
      <w:r w:rsidR="00EE4FC3">
        <w:t xml:space="preserve"> </w:t>
      </w:r>
      <w:r w:rsidRPr="00382917">
        <w:t>that</w:t>
      </w:r>
      <w:r w:rsidR="00EE4FC3">
        <w:t xml:space="preserve"> </w:t>
      </w:r>
      <w:r w:rsidRPr="00382917">
        <w:t>all</w:t>
      </w:r>
      <w:r w:rsidR="00EE4FC3">
        <w:t xml:space="preserve"> </w:t>
      </w:r>
      <w:r w:rsidRPr="00382917">
        <w:t>who</w:t>
      </w:r>
      <w:r w:rsidR="00EE4FC3">
        <w:t xml:space="preserve"> </w:t>
      </w:r>
      <w:r w:rsidRPr="00382917">
        <w:t>wished</w:t>
      </w:r>
      <w:r w:rsidR="00EE4FC3">
        <w:t xml:space="preserve"> </w:t>
      </w:r>
      <w:r w:rsidRPr="00382917">
        <w:t>to</w:t>
      </w:r>
      <w:r w:rsidR="00EE4FC3">
        <w:t xml:space="preserve"> </w:t>
      </w:r>
      <w:r w:rsidRPr="00382917">
        <w:t>join</w:t>
      </w:r>
      <w:r w:rsidR="00EE4FC3">
        <w:t xml:space="preserve"> </w:t>
      </w:r>
      <w:r w:rsidRPr="00382917">
        <w:t>him</w:t>
      </w:r>
      <w:r w:rsidR="00EE4FC3">
        <w:t xml:space="preserve"> </w:t>
      </w:r>
      <w:r w:rsidRPr="00382917">
        <w:t>would</w:t>
      </w:r>
      <w:r w:rsidR="00EE4FC3">
        <w:t xml:space="preserve"> </w:t>
      </w:r>
      <w:r w:rsidRPr="00382917">
        <w:t>know</w:t>
      </w:r>
      <w:r w:rsidR="00EE4FC3">
        <w:t xml:space="preserve"> </w:t>
      </w:r>
      <w:r w:rsidRPr="00382917">
        <w:t>that</w:t>
      </w:r>
      <w:r w:rsidR="00EE4FC3">
        <w:t xml:space="preserve"> </w:t>
      </w:r>
      <w:r w:rsidRPr="00382917">
        <w:t>these</w:t>
      </w:r>
      <w:r w:rsidR="00EE4FC3">
        <w:t xml:space="preserve"> </w:t>
      </w:r>
      <w:r w:rsidRPr="00382917">
        <w:t>were</w:t>
      </w:r>
      <w:r w:rsidR="00EE4FC3">
        <w:t xml:space="preserve"> </w:t>
      </w:r>
      <w:r w:rsidRPr="00382917">
        <w:t>followers</w:t>
      </w:r>
      <w:r w:rsidR="00EE4FC3">
        <w:t xml:space="preserve"> </w:t>
      </w:r>
      <w:r w:rsidRPr="00382917">
        <w:t>of</w:t>
      </w:r>
      <w:r w:rsidR="00EE4FC3">
        <w:t xml:space="preserve"> </w:t>
      </w:r>
      <w:r w:rsidRPr="00382917">
        <w:t>the</w:t>
      </w:r>
      <w:r w:rsidR="00EE4FC3">
        <w:t xml:space="preserve"> </w:t>
      </w:r>
      <w:r w:rsidRPr="00382917">
        <w:t>Báb.</w:t>
      </w:r>
    </w:p>
    <w:p w:rsidR="00E13D49" w:rsidRDefault="006E01DB" w:rsidP="00160DAE">
      <w:pPr>
        <w:pStyle w:val="Text"/>
      </w:pPr>
      <w:r w:rsidRPr="00382917">
        <w:t>That</w:t>
      </w:r>
      <w:r w:rsidR="00EE4FC3">
        <w:t xml:space="preserve"> </w:t>
      </w:r>
      <w:r w:rsidRPr="00382917">
        <w:t>emblem</w:t>
      </w:r>
      <w:r w:rsidR="00EE4FC3">
        <w:t xml:space="preserve"> </w:t>
      </w:r>
      <w:r w:rsidRPr="00382917">
        <w:t>waved</w:t>
      </w:r>
      <w:r w:rsidR="00EE4FC3">
        <w:t xml:space="preserve"> </w:t>
      </w:r>
      <w:r w:rsidRPr="00382917">
        <w:t>continuously</w:t>
      </w:r>
      <w:r w:rsidR="00EE4FC3">
        <w:t xml:space="preserve"> </w:t>
      </w:r>
      <w:r w:rsidRPr="00382917">
        <w:t>over</w:t>
      </w:r>
      <w:r w:rsidR="00EE4FC3">
        <w:t xml:space="preserve"> </w:t>
      </w:r>
      <w:r w:rsidRPr="00382917">
        <w:t>his</w:t>
      </w:r>
      <w:r w:rsidR="00EE4FC3">
        <w:t xml:space="preserve"> </w:t>
      </w:r>
      <w:r w:rsidRPr="00382917">
        <w:t>small</w:t>
      </w:r>
      <w:r w:rsidR="00EE4FC3">
        <w:t xml:space="preserve"> </w:t>
      </w:r>
      <w:r w:rsidRPr="00382917">
        <w:t>band</w:t>
      </w:r>
      <w:r w:rsidR="00EE4FC3">
        <w:t xml:space="preserve"> </w:t>
      </w:r>
      <w:r w:rsidRPr="00382917">
        <w:t>for</w:t>
      </w:r>
      <w:r w:rsidR="00EE4FC3">
        <w:t xml:space="preserve"> </w:t>
      </w:r>
      <w:r w:rsidRPr="00382917">
        <w:t>eleven</w:t>
      </w:r>
      <w:r w:rsidR="00EE4FC3">
        <w:t xml:space="preserve"> </w:t>
      </w:r>
      <w:r w:rsidRPr="00382917">
        <w:t>months</w:t>
      </w:r>
      <w:r w:rsidR="00A93643">
        <w:t>.</w:t>
      </w:r>
      <w:r w:rsidR="00EE4FC3">
        <w:t xml:space="preserve">  </w:t>
      </w:r>
      <w:r w:rsidRPr="00382917">
        <w:t>It</w:t>
      </w:r>
      <w:r w:rsidR="00EE4FC3">
        <w:t xml:space="preserve"> </w:t>
      </w:r>
      <w:r w:rsidRPr="00382917">
        <w:t>summoned</w:t>
      </w:r>
      <w:r w:rsidR="00EE4FC3">
        <w:t xml:space="preserve"> </w:t>
      </w:r>
      <w:r w:rsidRPr="00382917">
        <w:t>all</w:t>
      </w:r>
      <w:r w:rsidR="00EE4FC3">
        <w:t xml:space="preserve"> </w:t>
      </w:r>
      <w:r w:rsidRPr="00382917">
        <w:t>who</w:t>
      </w:r>
      <w:r w:rsidR="00EE4FC3">
        <w:t xml:space="preserve"> </w:t>
      </w:r>
      <w:r w:rsidRPr="00382917">
        <w:t>gazed</w:t>
      </w:r>
      <w:r w:rsidR="00EE4FC3">
        <w:t xml:space="preserve"> </w:t>
      </w:r>
      <w:r w:rsidRPr="00382917">
        <w:t>upon</w:t>
      </w:r>
      <w:r w:rsidR="00EE4FC3">
        <w:t xml:space="preserve"> </w:t>
      </w:r>
      <w:r w:rsidRPr="00382917">
        <w:t>it</w:t>
      </w:r>
      <w:r w:rsidR="00EE4FC3">
        <w:t xml:space="preserve"> </w:t>
      </w:r>
      <w:r w:rsidRPr="00382917">
        <w:t>to</w:t>
      </w:r>
      <w:r w:rsidR="00EE4FC3">
        <w:t xml:space="preserve"> </w:t>
      </w:r>
      <w:r w:rsidRPr="00382917">
        <w:t>renounce</w:t>
      </w:r>
      <w:r w:rsidR="00EE4FC3">
        <w:t xml:space="preserve"> </w:t>
      </w:r>
      <w:r w:rsidRPr="00382917">
        <w:t>the</w:t>
      </w:r>
      <w:r w:rsidR="00EE4FC3">
        <w:t xml:space="preserve"> </w:t>
      </w:r>
      <w:r w:rsidRPr="00382917">
        <w:t>world</w:t>
      </w:r>
      <w:r w:rsidR="00EE4FC3">
        <w:t xml:space="preserve"> </w:t>
      </w:r>
      <w:r w:rsidRPr="00382917">
        <w:t>and</w:t>
      </w:r>
      <w:r w:rsidR="00EE4FC3">
        <w:t xml:space="preserve"> </w:t>
      </w:r>
      <w:r w:rsidRPr="00382917">
        <w:t>embrace</w:t>
      </w:r>
      <w:r w:rsidR="00EE4FC3">
        <w:t xml:space="preserve"> </w:t>
      </w:r>
      <w:r w:rsidRPr="00382917">
        <w:t>the</w:t>
      </w:r>
      <w:r w:rsidR="00EE4FC3">
        <w:t xml:space="preserve"> </w:t>
      </w:r>
      <w:r w:rsidRPr="00382917">
        <w:t>Cause</w:t>
      </w:r>
      <w:r w:rsidR="00EE4FC3">
        <w:t xml:space="preserve"> </w:t>
      </w:r>
      <w:r w:rsidRPr="00382917">
        <w:t>of</w:t>
      </w:r>
      <w:r w:rsidR="00EE4FC3">
        <w:t xml:space="preserve"> </w:t>
      </w:r>
      <w:r w:rsidRPr="00382917">
        <w:t>God</w:t>
      </w:r>
      <w:r w:rsidR="00A93643">
        <w:t>.</w:t>
      </w:r>
      <w:r w:rsidR="00EE4FC3">
        <w:t xml:space="preserve">  </w:t>
      </w:r>
      <w:r w:rsidRPr="00382917">
        <w:t>This</w:t>
      </w:r>
      <w:r w:rsidR="00EE4FC3">
        <w:t xml:space="preserve"> </w:t>
      </w:r>
      <w:r w:rsidRPr="00382917">
        <w:t>was</w:t>
      </w:r>
      <w:r w:rsidR="00EE4FC3">
        <w:t xml:space="preserve"> </w:t>
      </w:r>
      <w:r w:rsidRPr="00382917">
        <w:t>the</w:t>
      </w:r>
      <w:r w:rsidR="00EE4FC3">
        <w:t xml:space="preserve"> </w:t>
      </w:r>
      <w:r w:rsidRPr="00382917">
        <w:t>same</w:t>
      </w:r>
      <w:r w:rsidR="00EE4FC3">
        <w:t xml:space="preserve"> </w:t>
      </w:r>
      <w:r w:rsidRPr="00382917">
        <w:t>standard</w:t>
      </w:r>
      <w:r w:rsidR="00EE4FC3">
        <w:t xml:space="preserve"> </w:t>
      </w:r>
      <w:r w:rsidRPr="00382917">
        <w:t>prophesied</w:t>
      </w:r>
      <w:r w:rsidR="00EE4FC3">
        <w:t xml:space="preserve"> </w:t>
      </w:r>
      <w:r w:rsidRPr="00382917">
        <w:t>for</w:t>
      </w:r>
      <w:r w:rsidR="00EE4FC3">
        <w:t xml:space="preserve"> </w:t>
      </w:r>
      <w:r w:rsidRPr="00382917">
        <w:t>the</w:t>
      </w:r>
      <w:r w:rsidR="00EE4FC3">
        <w:t xml:space="preserve"> </w:t>
      </w:r>
      <w:r w:rsidRPr="00382917">
        <w:t>last</w:t>
      </w:r>
      <w:r w:rsidR="00EE4FC3">
        <w:t xml:space="preserve"> </w:t>
      </w:r>
      <w:r w:rsidRPr="00382917">
        <w:t>days</w:t>
      </w:r>
      <w:r w:rsidR="00C03C91">
        <w:t>:</w:t>
      </w:r>
      <w:r w:rsidR="00EE4FC3">
        <w:t xml:space="preserve">  </w:t>
      </w:r>
      <w:r w:rsidR="009C713D" w:rsidRPr="00382917">
        <w:t>“</w:t>
      </w:r>
      <w:r w:rsidRPr="00382917">
        <w:t>Should</w:t>
      </w:r>
      <w:r w:rsidR="00EE4FC3">
        <w:t xml:space="preserve"> </w:t>
      </w:r>
      <w:r w:rsidRPr="00382917">
        <w:t>your</w:t>
      </w:r>
      <w:r w:rsidR="00EE4FC3">
        <w:t xml:space="preserve"> </w:t>
      </w:r>
      <w:r w:rsidRPr="00382917">
        <w:t>eyes</w:t>
      </w:r>
      <w:r w:rsidR="00EE4FC3">
        <w:t xml:space="preserve"> </w:t>
      </w:r>
      <w:r w:rsidRPr="00382917">
        <w:t>behold</w:t>
      </w:r>
      <w:r w:rsidR="00EE4FC3">
        <w:t xml:space="preserve"> </w:t>
      </w:r>
      <w:r w:rsidRPr="00382917">
        <w:t>the</w:t>
      </w:r>
      <w:r w:rsidR="00EE4FC3">
        <w:t xml:space="preserve"> </w:t>
      </w:r>
      <w:r w:rsidRPr="00382917">
        <w:t>Black</w:t>
      </w:r>
      <w:r w:rsidR="00EE4FC3">
        <w:t xml:space="preserve"> </w:t>
      </w:r>
      <w:r w:rsidRPr="00382917">
        <w:t>Standards</w:t>
      </w:r>
      <w:r w:rsidR="00EE4FC3">
        <w:t xml:space="preserve"> </w:t>
      </w:r>
      <w:r w:rsidRPr="00382917">
        <w:t>proceeding</w:t>
      </w:r>
      <w:r w:rsidR="00EE4FC3">
        <w:t xml:space="preserve"> </w:t>
      </w:r>
      <w:r w:rsidRPr="00382917">
        <w:t>from</w:t>
      </w:r>
      <w:r w:rsidR="00EE4FC3">
        <w:t xml:space="preserve"> </w:t>
      </w:r>
      <w:r w:rsidR="006225E8" w:rsidRPr="006225E8">
        <w:rPr>
          <w:u w:val="single"/>
        </w:rPr>
        <w:t>Kh</w:t>
      </w:r>
      <w:r w:rsidR="006225E8" w:rsidRPr="00382917">
        <w:t>urásán</w:t>
      </w:r>
      <w:r w:rsidRPr="00382917">
        <w:t>,</w:t>
      </w:r>
      <w:r w:rsidR="00EE4FC3">
        <w:t xml:space="preserve"> </w:t>
      </w:r>
      <w:r w:rsidRPr="00382917">
        <w:t>hasten</w:t>
      </w:r>
      <w:r w:rsidR="00EE4FC3">
        <w:t xml:space="preserve"> </w:t>
      </w:r>
      <w:proofErr w:type="gramStart"/>
      <w:r w:rsidRPr="00382917">
        <w:t>ye</w:t>
      </w:r>
      <w:proofErr w:type="gramEnd"/>
      <w:r w:rsidR="00EE4FC3">
        <w:t xml:space="preserve"> </w:t>
      </w:r>
      <w:r w:rsidRPr="00382917">
        <w:t>toward</w:t>
      </w:r>
      <w:r w:rsidR="00EE4FC3">
        <w:t xml:space="preserve"> </w:t>
      </w:r>
      <w:r w:rsidRPr="00382917">
        <w:t>them,</w:t>
      </w:r>
      <w:r w:rsidR="00EE4FC3">
        <w:t xml:space="preserve"> </w:t>
      </w:r>
      <w:r w:rsidRPr="00382917">
        <w:t>even</w:t>
      </w:r>
      <w:r w:rsidR="00EE4FC3">
        <w:t xml:space="preserve"> </w:t>
      </w:r>
      <w:r w:rsidRPr="00382917">
        <w:t>though</w:t>
      </w:r>
      <w:r w:rsidR="00EE4FC3">
        <w:t xml:space="preserve"> </w:t>
      </w:r>
      <w:r w:rsidRPr="00382917">
        <w:t>ye</w:t>
      </w:r>
      <w:r w:rsidR="00EE4FC3">
        <w:t xml:space="preserve"> </w:t>
      </w:r>
      <w:r w:rsidRPr="00382917">
        <w:t>should</w:t>
      </w:r>
      <w:r w:rsidR="00EE4FC3">
        <w:t xml:space="preserve"> </w:t>
      </w:r>
      <w:r w:rsidRPr="00382917">
        <w:t>have</w:t>
      </w:r>
      <w:r w:rsidR="00EE4FC3">
        <w:t xml:space="preserve"> </w:t>
      </w:r>
      <w:r w:rsidRPr="00382917">
        <w:t>to</w:t>
      </w:r>
      <w:r w:rsidR="00EE4FC3">
        <w:t xml:space="preserve"> </w:t>
      </w:r>
      <w:r w:rsidRPr="00382917">
        <w:t>crawl</w:t>
      </w:r>
      <w:r w:rsidR="00EE4FC3">
        <w:t xml:space="preserve"> </w:t>
      </w:r>
      <w:r w:rsidRPr="00382917">
        <w:t>over</w:t>
      </w:r>
      <w:r w:rsidR="00EE4FC3">
        <w:t xml:space="preserve"> </w:t>
      </w:r>
      <w:r w:rsidRPr="00382917">
        <w:t>the</w:t>
      </w:r>
      <w:r w:rsidR="00EE4FC3">
        <w:t xml:space="preserve"> </w:t>
      </w:r>
      <w:r w:rsidRPr="00382917">
        <w:t>snow,</w:t>
      </w:r>
      <w:r w:rsidR="00EE4FC3">
        <w:t xml:space="preserve"> </w:t>
      </w:r>
      <w:r w:rsidRPr="00382917">
        <w:t>inasmuch</w:t>
      </w:r>
      <w:r w:rsidR="00EE4FC3">
        <w:t xml:space="preserve"> </w:t>
      </w:r>
      <w:r w:rsidRPr="00382917">
        <w:t>as</w:t>
      </w:r>
      <w:r w:rsidR="00EE4FC3">
        <w:t xml:space="preserve"> </w:t>
      </w:r>
      <w:r w:rsidRPr="00382917">
        <w:t>they</w:t>
      </w:r>
      <w:r w:rsidR="00EE4FC3">
        <w:t xml:space="preserve"> </w:t>
      </w:r>
      <w:r w:rsidRPr="00382917">
        <w:t>proclaim</w:t>
      </w:r>
      <w:r w:rsidR="00EE4FC3">
        <w:t xml:space="preserve"> </w:t>
      </w:r>
      <w:r w:rsidRPr="00382917">
        <w:t>the</w:t>
      </w:r>
      <w:r w:rsidR="00EE4FC3">
        <w:t xml:space="preserve"> </w:t>
      </w:r>
      <w:r w:rsidRPr="00382917">
        <w:t>advent</w:t>
      </w:r>
      <w:r w:rsidR="00EE4FC3">
        <w:t xml:space="preserve"> </w:t>
      </w:r>
      <w:r w:rsidRPr="00382917">
        <w:t>of</w:t>
      </w:r>
      <w:r w:rsidR="00EE4FC3">
        <w:t xml:space="preserve"> </w:t>
      </w:r>
      <w:r w:rsidRPr="00382917">
        <w:t>the</w:t>
      </w:r>
      <w:r w:rsidR="00EE4FC3">
        <w:t xml:space="preserve"> </w:t>
      </w:r>
      <w:r w:rsidRPr="00382917">
        <w:t>Promised</w:t>
      </w:r>
      <w:r w:rsidR="00EE4FC3">
        <w:t xml:space="preserve"> </w:t>
      </w:r>
      <w:r w:rsidRPr="00382917">
        <w:t>[One],</w:t>
      </w:r>
      <w:r w:rsidR="00EE4FC3">
        <w:t xml:space="preserve"> </w:t>
      </w:r>
      <w:r w:rsidRPr="00382917">
        <w:t>the</w:t>
      </w:r>
      <w:r w:rsidR="00EE4FC3">
        <w:t xml:space="preserve"> </w:t>
      </w:r>
      <w:r w:rsidRPr="00382917">
        <w:t>Vicegerent</w:t>
      </w:r>
      <w:r w:rsidR="00EE4FC3">
        <w:t xml:space="preserve"> </w:t>
      </w:r>
      <w:r w:rsidRPr="00382917">
        <w:t>of</w:t>
      </w:r>
      <w:r w:rsidR="00EE4FC3">
        <w:t xml:space="preserve"> </w:t>
      </w:r>
      <w:r w:rsidRPr="00382917">
        <w:t>God.</w:t>
      </w:r>
      <w:r w:rsidR="009C713D" w:rsidRPr="00382917">
        <w:t>”</w:t>
      </w:r>
      <w:r w:rsidR="00160DAE">
        <w:rPr>
          <w:rStyle w:val="FootnoteReference"/>
        </w:rPr>
        <w:footnoteReference w:id="104"/>
      </w:r>
    </w:p>
    <w:p w:rsidR="006E01DB" w:rsidRPr="00382917" w:rsidRDefault="006E01DB" w:rsidP="006E01DB">
      <w:pPr>
        <w:pStyle w:val="Text"/>
      </w:pPr>
      <w:r w:rsidRPr="00382917">
        <w:t>Mullá</w:t>
      </w:r>
      <w:r w:rsidR="00EE4FC3">
        <w:t xml:space="preserve"> </w:t>
      </w:r>
      <w:r w:rsidR="00964C11" w:rsidRPr="00382917">
        <w:t>Ḥusayn</w:t>
      </w:r>
      <w:r w:rsidR="00EE4FC3">
        <w:t xml:space="preserve"> </w:t>
      </w:r>
      <w:r w:rsidRPr="00382917">
        <w:t>and</w:t>
      </w:r>
      <w:r w:rsidR="00EE4FC3">
        <w:t xml:space="preserve"> </w:t>
      </w:r>
      <w:r w:rsidRPr="00382917">
        <w:t>his</w:t>
      </w:r>
      <w:r w:rsidR="00EE4FC3">
        <w:t xml:space="preserve"> </w:t>
      </w:r>
      <w:r w:rsidRPr="00382917">
        <w:t>party</w:t>
      </w:r>
      <w:r w:rsidR="00EE4FC3">
        <w:t xml:space="preserve"> </w:t>
      </w:r>
      <w:r w:rsidRPr="00382917">
        <w:t>arrived</w:t>
      </w:r>
      <w:r w:rsidR="00EE4FC3">
        <w:t xml:space="preserve"> </w:t>
      </w:r>
      <w:r w:rsidRPr="00382917">
        <w:t>at</w:t>
      </w:r>
      <w:r w:rsidR="00EE4FC3">
        <w:t xml:space="preserve"> </w:t>
      </w:r>
      <w:r w:rsidRPr="00382917">
        <w:t>a</w:t>
      </w:r>
      <w:r w:rsidR="00EE4FC3">
        <w:t xml:space="preserve"> </w:t>
      </w:r>
      <w:r w:rsidRPr="00382917">
        <w:t>junction</w:t>
      </w:r>
      <w:r w:rsidR="00EE4FC3">
        <w:t xml:space="preserve"> </w:t>
      </w:r>
      <w:r w:rsidRPr="00382917">
        <w:t>on</w:t>
      </w:r>
      <w:r w:rsidR="00EE4FC3">
        <w:t xml:space="preserve"> </w:t>
      </w:r>
      <w:r w:rsidRPr="00382917">
        <w:t>the</w:t>
      </w:r>
      <w:r w:rsidR="00EE4FC3">
        <w:t xml:space="preserve"> </w:t>
      </w:r>
      <w:r w:rsidRPr="00382917">
        <w:t>highroad</w:t>
      </w:r>
      <w:r w:rsidR="00EE4FC3">
        <w:t xml:space="preserve"> </w:t>
      </w:r>
      <w:r w:rsidRPr="00382917">
        <w:t>to</w:t>
      </w:r>
      <w:r w:rsidR="00EE4FC3">
        <w:t xml:space="preserve"> </w:t>
      </w:r>
      <w:r w:rsidRPr="00382917">
        <w:t>Mázindarán</w:t>
      </w:r>
      <w:r w:rsidR="00A93643">
        <w:t>.</w:t>
      </w:r>
      <w:r w:rsidR="00EE4FC3">
        <w:t xml:space="preserve">  </w:t>
      </w:r>
      <w:r w:rsidRPr="00382917">
        <w:t>They</w:t>
      </w:r>
      <w:r w:rsidR="00EE4FC3">
        <w:t xml:space="preserve"> </w:t>
      </w:r>
      <w:r w:rsidRPr="00382917">
        <w:t>encamped</w:t>
      </w:r>
      <w:r w:rsidR="00EE4FC3">
        <w:t xml:space="preserve"> </w:t>
      </w:r>
      <w:r w:rsidRPr="00382917">
        <w:t>under</w:t>
      </w:r>
      <w:r w:rsidR="00EE4FC3">
        <w:t xml:space="preserve"> </w:t>
      </w:r>
      <w:r w:rsidRPr="00382917">
        <w:t>the</w:t>
      </w:r>
      <w:r w:rsidR="00EE4FC3">
        <w:t xml:space="preserve"> </w:t>
      </w:r>
      <w:r w:rsidRPr="00382917">
        <w:t>shadow</w:t>
      </w:r>
      <w:r w:rsidR="00EE4FC3">
        <w:t xml:space="preserve"> </w:t>
      </w:r>
      <w:r w:rsidRPr="00382917">
        <w:t>of</w:t>
      </w:r>
      <w:r w:rsidR="00EE4FC3">
        <w:t xml:space="preserve"> </w:t>
      </w:r>
      <w:r w:rsidRPr="00382917">
        <w:t>a</w:t>
      </w:r>
      <w:r w:rsidR="00EE4FC3">
        <w:t xml:space="preserve"> </w:t>
      </w:r>
      <w:r w:rsidRPr="00382917">
        <w:t>big</w:t>
      </w:r>
      <w:r w:rsidR="00EE4FC3">
        <w:t xml:space="preserve"> </w:t>
      </w:r>
      <w:r w:rsidRPr="00382917">
        <w:t>tree</w:t>
      </w:r>
      <w:r w:rsidR="00EE4FC3">
        <w:t xml:space="preserve"> </w:t>
      </w:r>
      <w:r w:rsidRPr="00382917">
        <w:t>by</w:t>
      </w:r>
      <w:r w:rsidR="00EE4FC3">
        <w:t xml:space="preserve"> </w:t>
      </w:r>
      <w:r w:rsidRPr="00382917">
        <w:t>a</w:t>
      </w:r>
      <w:r w:rsidR="00EE4FC3">
        <w:t xml:space="preserve"> </w:t>
      </w:r>
      <w:r w:rsidRPr="00382917">
        <w:t>running</w:t>
      </w:r>
      <w:r w:rsidR="00EE4FC3">
        <w:t xml:space="preserve"> </w:t>
      </w:r>
      <w:r w:rsidRPr="00382917">
        <w:t>stream.</w:t>
      </w:r>
    </w:p>
    <w:p w:rsidR="006E01DB" w:rsidRPr="00382917" w:rsidRDefault="009C713D" w:rsidP="006E01DB">
      <w:pPr>
        <w:pStyle w:val="Text"/>
      </w:pPr>
      <w:r w:rsidRPr="00382917">
        <w:t>“</w:t>
      </w:r>
      <w:r w:rsidR="006E01DB" w:rsidRPr="00382917">
        <w:t>We</w:t>
      </w:r>
      <w:r w:rsidR="00EE4FC3">
        <w:t xml:space="preserve"> </w:t>
      </w:r>
      <w:r w:rsidR="006E01DB" w:rsidRPr="00382917">
        <w:t>stand</w:t>
      </w:r>
      <w:r w:rsidR="00EE4FC3">
        <w:t xml:space="preserve"> </w:t>
      </w:r>
      <w:r w:rsidR="006E01DB" w:rsidRPr="00382917">
        <w:t>at</w:t>
      </w:r>
      <w:r w:rsidR="00EE4FC3">
        <w:t xml:space="preserve"> </w:t>
      </w:r>
      <w:r w:rsidR="006E01DB" w:rsidRPr="00382917">
        <w:t>the</w:t>
      </w:r>
      <w:r w:rsidR="00EE4FC3">
        <w:t xml:space="preserve"> </w:t>
      </w:r>
      <w:r w:rsidR="006E01DB" w:rsidRPr="00382917">
        <w:t>parting</w:t>
      </w:r>
      <w:r w:rsidR="00EE4FC3">
        <w:t xml:space="preserve"> </w:t>
      </w:r>
      <w:r w:rsidR="006E01DB" w:rsidRPr="00382917">
        <w:t>of</w:t>
      </w:r>
      <w:r w:rsidR="00EE4FC3">
        <w:t xml:space="preserve"> </w:t>
      </w:r>
      <w:r w:rsidR="006E01DB" w:rsidRPr="00382917">
        <w:t>the</w:t>
      </w:r>
      <w:r w:rsidR="00EE4FC3">
        <w:t xml:space="preserve"> </w:t>
      </w:r>
      <w:r w:rsidR="006E01DB" w:rsidRPr="00382917">
        <w:t>ways,</w:t>
      </w:r>
      <w:r w:rsidRPr="00382917">
        <w:t>”</w:t>
      </w:r>
      <w:r w:rsidR="00EE4FC3">
        <w:t xml:space="preserve"> </w:t>
      </w:r>
      <w:r w:rsidR="006E01DB" w:rsidRPr="00382917">
        <w:t>he</w:t>
      </w:r>
      <w:r w:rsidR="00EE4FC3">
        <w:t xml:space="preserve"> </w:t>
      </w:r>
      <w:r w:rsidR="006E01DB" w:rsidRPr="00382917">
        <w:t>told</w:t>
      </w:r>
      <w:r w:rsidR="00EE4FC3">
        <w:t xml:space="preserve"> </w:t>
      </w:r>
      <w:r w:rsidR="006E01DB" w:rsidRPr="00382917">
        <w:t>his</w:t>
      </w:r>
      <w:r w:rsidR="00EE4FC3">
        <w:t xml:space="preserve"> </w:t>
      </w:r>
      <w:r w:rsidR="006E01DB" w:rsidRPr="00382917">
        <w:t>companions</w:t>
      </w:r>
      <w:r w:rsidR="00A93643">
        <w:t>.</w:t>
      </w:r>
      <w:r w:rsidR="00EE4FC3">
        <w:t xml:space="preserve">  </w:t>
      </w:r>
      <w:r w:rsidRPr="00382917">
        <w:t>“</w:t>
      </w:r>
      <w:r w:rsidR="006E01DB" w:rsidRPr="00382917">
        <w:t>We</w:t>
      </w:r>
      <w:r w:rsidR="00EE4FC3">
        <w:t xml:space="preserve"> </w:t>
      </w:r>
      <w:r w:rsidR="006E01DB" w:rsidRPr="00382917">
        <w:t>shall</w:t>
      </w:r>
      <w:r w:rsidR="00EE4FC3">
        <w:t xml:space="preserve"> </w:t>
      </w:r>
      <w:r w:rsidR="006E01DB" w:rsidRPr="00382917">
        <w:t>wait</w:t>
      </w:r>
      <w:r w:rsidR="00EE4FC3">
        <w:t xml:space="preserve"> </w:t>
      </w:r>
      <w:r w:rsidR="006E01DB" w:rsidRPr="00382917">
        <w:t>here</w:t>
      </w:r>
      <w:r w:rsidR="00EE4FC3">
        <w:t xml:space="preserve"> </w:t>
      </w:r>
      <w:r w:rsidR="006E01DB" w:rsidRPr="00382917">
        <w:t>for</w:t>
      </w:r>
      <w:r w:rsidR="00EE4FC3">
        <w:t xml:space="preserve"> </w:t>
      </w:r>
      <w:r w:rsidR="006E01DB" w:rsidRPr="00382917">
        <w:t>some</w:t>
      </w:r>
      <w:r w:rsidR="00EE4FC3">
        <w:t xml:space="preserve"> </w:t>
      </w:r>
      <w:r w:rsidR="006E01DB" w:rsidRPr="00382917">
        <w:t>sign</w:t>
      </w:r>
      <w:r w:rsidR="00EE4FC3">
        <w:t xml:space="preserve"> </w:t>
      </w:r>
      <w:r w:rsidR="006E01DB" w:rsidRPr="00382917">
        <w:t>telling</w:t>
      </w:r>
      <w:r w:rsidR="00EE4FC3">
        <w:t xml:space="preserve"> </w:t>
      </w:r>
      <w:r w:rsidR="006E01DB" w:rsidRPr="00382917">
        <w:t>us</w:t>
      </w:r>
      <w:r w:rsidR="00EE4FC3">
        <w:t xml:space="preserve"> </w:t>
      </w:r>
      <w:r w:rsidR="006E01DB" w:rsidRPr="00382917">
        <w:t>which</w:t>
      </w:r>
      <w:r w:rsidR="00EE4FC3">
        <w:t xml:space="preserve"> </w:t>
      </w:r>
      <w:r w:rsidR="006E01DB" w:rsidRPr="00382917">
        <w:t>road</w:t>
      </w:r>
      <w:r w:rsidR="00EE4FC3">
        <w:t xml:space="preserve"> </w:t>
      </w:r>
      <w:r w:rsidR="006E01DB" w:rsidRPr="00382917">
        <w:t>to</w:t>
      </w:r>
      <w:r w:rsidR="00EE4FC3">
        <w:t xml:space="preserve"> </w:t>
      </w:r>
      <w:r w:rsidR="006E01DB" w:rsidRPr="00382917">
        <w:t>take.</w:t>
      </w:r>
      <w:r w:rsidRPr="00382917">
        <w:t>”</w:t>
      </w:r>
    </w:p>
    <w:p w:rsidR="006E01DB" w:rsidRPr="00382917" w:rsidRDefault="006E01DB" w:rsidP="006E01DB">
      <w:pPr>
        <w:pStyle w:val="Text"/>
      </w:pPr>
      <w:r w:rsidRPr="00382917">
        <w:t>One</w:t>
      </w:r>
      <w:r w:rsidR="00EE4FC3">
        <w:t xml:space="preserve"> </w:t>
      </w:r>
      <w:r w:rsidRPr="00382917">
        <w:t>day</w:t>
      </w:r>
      <w:r w:rsidR="00EE4FC3">
        <w:t xml:space="preserve"> </w:t>
      </w:r>
      <w:r w:rsidRPr="00382917">
        <w:t>a</w:t>
      </w:r>
      <w:r w:rsidR="00EE4FC3">
        <w:t xml:space="preserve"> </w:t>
      </w:r>
      <w:r w:rsidRPr="00382917">
        <w:t>fierce</w:t>
      </w:r>
      <w:r w:rsidR="00EE4FC3">
        <w:t xml:space="preserve"> </w:t>
      </w:r>
      <w:r w:rsidRPr="00382917">
        <w:t>gale</w:t>
      </w:r>
      <w:r w:rsidR="00EE4FC3">
        <w:t xml:space="preserve"> </w:t>
      </w:r>
      <w:r w:rsidRPr="00382917">
        <w:t>arose</w:t>
      </w:r>
      <w:r w:rsidR="00EE4FC3">
        <w:t xml:space="preserve"> </w:t>
      </w:r>
      <w:r w:rsidRPr="00382917">
        <w:t>and</w:t>
      </w:r>
      <w:r w:rsidR="00EE4FC3">
        <w:t xml:space="preserve"> </w:t>
      </w:r>
      <w:r w:rsidRPr="00382917">
        <w:t>struck</w:t>
      </w:r>
      <w:r w:rsidR="00EE4FC3">
        <w:t xml:space="preserve"> </w:t>
      </w:r>
      <w:r w:rsidRPr="00382917">
        <w:t>down</w:t>
      </w:r>
      <w:r w:rsidR="00EE4FC3">
        <w:t xml:space="preserve"> </w:t>
      </w:r>
      <w:r w:rsidRPr="00382917">
        <w:t>a</w:t>
      </w:r>
      <w:r w:rsidR="00EE4FC3">
        <w:t xml:space="preserve"> </w:t>
      </w:r>
      <w:r w:rsidRPr="00382917">
        <w:t>large</w:t>
      </w:r>
      <w:r w:rsidR="00EE4FC3">
        <w:t xml:space="preserve"> </w:t>
      </w:r>
      <w:r w:rsidRPr="00382917">
        <w:t>branch</w:t>
      </w:r>
      <w:r w:rsidR="00EE4FC3">
        <w:t xml:space="preserve"> </w:t>
      </w:r>
      <w:r w:rsidRPr="00382917">
        <w:t>from</w:t>
      </w:r>
      <w:r w:rsidR="00EE4FC3">
        <w:t xml:space="preserve"> </w:t>
      </w:r>
      <w:r w:rsidRPr="00382917">
        <w:t>the</w:t>
      </w:r>
      <w:r w:rsidR="00EE4FC3">
        <w:t xml:space="preserve"> </w:t>
      </w:r>
      <w:r w:rsidRPr="00382917">
        <w:t>big</w:t>
      </w:r>
      <w:r w:rsidR="00EE4FC3">
        <w:t xml:space="preserve"> </w:t>
      </w:r>
      <w:r w:rsidRPr="00382917">
        <w:t>tree</w:t>
      </w:r>
      <w:r w:rsidR="00A93643">
        <w:t>.</w:t>
      </w:r>
      <w:r w:rsidR="00EE4FC3">
        <w:t xml:space="preserve">  </w:t>
      </w:r>
      <w:r w:rsidRPr="00382917">
        <w:t>Mullá</w:t>
      </w:r>
      <w:r w:rsidR="00EE4FC3">
        <w:t xml:space="preserve"> </w:t>
      </w:r>
      <w:r w:rsidR="00964C11" w:rsidRPr="00382917">
        <w:t>Ḥusayn</w:t>
      </w:r>
      <w:r w:rsidRPr="00382917">
        <w:t>,</w:t>
      </w:r>
      <w:r w:rsidR="00EE4FC3">
        <w:t xml:space="preserve"> </w:t>
      </w:r>
      <w:r w:rsidRPr="00382917">
        <w:t>watching,</w:t>
      </w:r>
      <w:r w:rsidR="00EE4FC3">
        <w:t xml:space="preserve"> </w:t>
      </w:r>
      <w:r w:rsidRPr="00382917">
        <w:t>observed</w:t>
      </w:r>
      <w:r w:rsidR="00C03C91">
        <w:t>:</w:t>
      </w:r>
      <w:r w:rsidR="00EE4FC3">
        <w:t xml:space="preserve">  </w:t>
      </w:r>
      <w:r w:rsidR="009C713D" w:rsidRPr="00382917">
        <w:t>“</w:t>
      </w:r>
      <w:r w:rsidRPr="00382917">
        <w:t>The</w:t>
      </w:r>
      <w:r w:rsidR="00EE4FC3">
        <w:t xml:space="preserve"> </w:t>
      </w:r>
      <w:r w:rsidRPr="00382917">
        <w:t>tree</w:t>
      </w:r>
      <w:r w:rsidR="00EE4FC3">
        <w:t xml:space="preserve"> </w:t>
      </w:r>
      <w:r w:rsidRPr="00382917">
        <w:t>of</w:t>
      </w:r>
      <w:r w:rsidR="00EE4FC3">
        <w:t xml:space="preserve"> </w:t>
      </w:r>
      <w:r w:rsidRPr="00382917">
        <w:t>the</w:t>
      </w:r>
      <w:r w:rsidR="00EE4FC3">
        <w:t xml:space="preserve"> </w:t>
      </w:r>
      <w:r w:rsidRPr="00382917">
        <w:t>sovereignty</w:t>
      </w:r>
      <w:r w:rsidR="00EE4FC3">
        <w:t xml:space="preserve"> </w:t>
      </w:r>
      <w:r w:rsidRPr="00382917">
        <w:t>of</w:t>
      </w:r>
      <w:r w:rsidR="00EE4FC3">
        <w:t xml:space="preserve"> </w:t>
      </w:r>
      <w:r w:rsidRPr="00382917">
        <w:t>Muḥammad</w:t>
      </w:r>
      <w:r w:rsidR="00EE4FC3">
        <w:t xml:space="preserve"> </w:t>
      </w:r>
      <w:r w:rsidR="004F6339" w:rsidRPr="004F6339">
        <w:rPr>
          <w:u w:val="single"/>
        </w:rPr>
        <w:t>Sh</w:t>
      </w:r>
      <w:r w:rsidR="004F6339" w:rsidRPr="00382917">
        <w:t>áh</w:t>
      </w:r>
      <w:r w:rsidR="00EE4FC3">
        <w:t xml:space="preserve"> </w:t>
      </w:r>
      <w:r w:rsidRPr="00382917">
        <w:t>has</w:t>
      </w:r>
      <w:r w:rsidR="00EE4FC3">
        <w:t xml:space="preserve"> </w:t>
      </w:r>
      <w:r w:rsidRPr="00382917">
        <w:t>been</w:t>
      </w:r>
      <w:r w:rsidR="00EE4FC3">
        <w:t xml:space="preserve"> </w:t>
      </w:r>
      <w:r w:rsidRPr="00382917">
        <w:t>uprooted</w:t>
      </w:r>
      <w:r w:rsidR="00EE4FC3">
        <w:t xml:space="preserve"> </w:t>
      </w:r>
      <w:r w:rsidRPr="00382917">
        <w:t>and</w:t>
      </w:r>
      <w:r w:rsidR="00EE4FC3">
        <w:t xml:space="preserve"> </w:t>
      </w:r>
      <w:r w:rsidRPr="00382917">
        <w:t>hurled</w:t>
      </w:r>
      <w:r w:rsidR="00EE4FC3">
        <w:t xml:space="preserve"> </w:t>
      </w:r>
      <w:r w:rsidRPr="00382917">
        <w:t>to</w:t>
      </w:r>
      <w:r w:rsidR="00EE4FC3">
        <w:t xml:space="preserve"> </w:t>
      </w:r>
      <w:r w:rsidRPr="00382917">
        <w:t>the</w:t>
      </w:r>
      <w:r w:rsidR="00EE4FC3">
        <w:t xml:space="preserve"> </w:t>
      </w:r>
      <w:r w:rsidRPr="00382917">
        <w:t>ground.</w:t>
      </w:r>
      <w:r w:rsidR="009C713D" w:rsidRPr="00382917">
        <w:t>”</w:t>
      </w:r>
    </w:p>
    <w:p w:rsidR="006E01DB" w:rsidRPr="00382917" w:rsidRDefault="006E01DB" w:rsidP="006E01DB">
      <w:pPr>
        <w:pStyle w:val="Text"/>
      </w:pPr>
      <w:r w:rsidRPr="00382917">
        <w:t>On</w:t>
      </w:r>
      <w:r w:rsidR="00EE4FC3">
        <w:t xml:space="preserve"> </w:t>
      </w:r>
      <w:r w:rsidRPr="00382917">
        <w:t>the</w:t>
      </w:r>
      <w:r w:rsidR="00EE4FC3">
        <w:t xml:space="preserve"> </w:t>
      </w:r>
      <w:r w:rsidRPr="00382917">
        <w:t>third</w:t>
      </w:r>
      <w:r w:rsidR="00EE4FC3">
        <w:t xml:space="preserve"> </w:t>
      </w:r>
      <w:r w:rsidRPr="00382917">
        <w:t>day</w:t>
      </w:r>
      <w:r w:rsidR="00EE4FC3">
        <w:t xml:space="preserve"> </w:t>
      </w:r>
      <w:r w:rsidRPr="00382917">
        <w:t>after</w:t>
      </w:r>
      <w:r w:rsidR="00EE4FC3">
        <w:t xml:space="preserve"> </w:t>
      </w:r>
      <w:r w:rsidRPr="00382917">
        <w:t>he</w:t>
      </w:r>
      <w:r w:rsidR="00EE4FC3">
        <w:t xml:space="preserve"> </w:t>
      </w:r>
      <w:r w:rsidRPr="00382917">
        <w:t>had</w:t>
      </w:r>
      <w:r w:rsidR="00EE4FC3">
        <w:t xml:space="preserve"> </w:t>
      </w:r>
      <w:r w:rsidRPr="00382917">
        <w:t>uttered</w:t>
      </w:r>
      <w:r w:rsidR="00EE4FC3">
        <w:t xml:space="preserve"> </w:t>
      </w:r>
      <w:r w:rsidRPr="00382917">
        <w:t>that</w:t>
      </w:r>
      <w:r w:rsidR="00EE4FC3">
        <w:t xml:space="preserve"> </w:t>
      </w:r>
      <w:r w:rsidRPr="00382917">
        <w:t>prediction,</w:t>
      </w:r>
      <w:r w:rsidR="00EE4FC3">
        <w:t xml:space="preserve"> </w:t>
      </w:r>
      <w:r w:rsidRPr="00382917">
        <w:t>a</w:t>
      </w:r>
      <w:r w:rsidR="00EE4FC3">
        <w:t xml:space="preserve"> </w:t>
      </w:r>
      <w:r w:rsidRPr="00382917">
        <w:t>messenger</w:t>
      </w:r>
      <w:r w:rsidR="00EE4FC3">
        <w:t xml:space="preserve"> </w:t>
      </w:r>
      <w:r w:rsidRPr="00382917">
        <w:t>arrived</w:t>
      </w:r>
      <w:r w:rsidR="00EE4FC3">
        <w:t xml:space="preserve"> </w:t>
      </w:r>
      <w:r w:rsidRPr="00382917">
        <w:t>from</w:t>
      </w:r>
      <w:r w:rsidR="00EE4FC3">
        <w:t xml:space="preserve"> </w:t>
      </w:r>
      <w:r w:rsidRPr="00382917">
        <w:t>Ṭihrán</w:t>
      </w:r>
      <w:r w:rsidR="00EE4FC3">
        <w:t xml:space="preserve"> </w:t>
      </w:r>
      <w:r w:rsidRPr="00382917">
        <w:t>reporting</w:t>
      </w:r>
      <w:r w:rsidR="00EE4FC3">
        <w:t xml:space="preserve"> </w:t>
      </w:r>
      <w:r w:rsidRPr="00382917">
        <w:t>the</w:t>
      </w:r>
      <w:r w:rsidR="00EE4FC3">
        <w:t xml:space="preserve"> </w:t>
      </w:r>
      <w:r w:rsidRPr="00382917">
        <w:t>death</w:t>
      </w:r>
      <w:r w:rsidR="00EE4FC3">
        <w:t xml:space="preserve"> </w:t>
      </w:r>
      <w:r w:rsidRPr="00382917">
        <w:t>of</w:t>
      </w:r>
      <w:r w:rsidR="00EE4FC3">
        <w:t xml:space="preserve"> </w:t>
      </w:r>
      <w:r w:rsidRPr="00382917">
        <w:t>the</w:t>
      </w:r>
      <w:r w:rsidR="00EE4FC3">
        <w:t xml:space="preserve"> </w:t>
      </w:r>
      <w:r w:rsidRPr="00382917">
        <w:t>king</w:t>
      </w:r>
      <w:r w:rsidR="00A93643">
        <w:t>.</w:t>
      </w:r>
      <w:r w:rsidR="00EE4FC3">
        <w:t xml:space="preserve">  </w:t>
      </w:r>
      <w:r w:rsidRPr="00382917">
        <w:t>The</w:t>
      </w:r>
      <w:r w:rsidR="00EE4FC3">
        <w:t xml:space="preserve"> </w:t>
      </w:r>
      <w:r w:rsidRPr="00382917">
        <w:t>following</w:t>
      </w:r>
      <w:r w:rsidR="00EE4FC3">
        <w:t xml:space="preserve"> </w:t>
      </w:r>
      <w:r w:rsidRPr="00382917">
        <w:t>day</w:t>
      </w:r>
      <w:r w:rsidR="00EE4FC3">
        <w:t xml:space="preserve"> </w:t>
      </w:r>
      <w:r w:rsidRPr="00382917">
        <w:t>Mullá</w:t>
      </w:r>
      <w:r w:rsidR="00EE4FC3">
        <w:t xml:space="preserve"> </w:t>
      </w:r>
      <w:r w:rsidR="00964C11" w:rsidRPr="00382917">
        <w:t>Ḥusayn</w:t>
      </w:r>
      <w:r w:rsidR="00EE4FC3">
        <w:t xml:space="preserve"> </w:t>
      </w:r>
      <w:r w:rsidRPr="00382917">
        <w:t>gathered</w:t>
      </w:r>
      <w:r w:rsidR="00EE4FC3">
        <w:t xml:space="preserve"> </w:t>
      </w:r>
      <w:r w:rsidRPr="00382917">
        <w:t>his</w:t>
      </w:r>
      <w:r w:rsidR="00EE4FC3">
        <w:t xml:space="preserve"> </w:t>
      </w:r>
      <w:r w:rsidRPr="00382917">
        <w:t>companions</w:t>
      </w:r>
      <w:r w:rsidR="00EE4FC3">
        <w:t xml:space="preserve"> </w:t>
      </w:r>
      <w:r w:rsidRPr="00382917">
        <w:t>and</w:t>
      </w:r>
      <w:r w:rsidR="00EE4FC3">
        <w:t xml:space="preserve"> </w:t>
      </w:r>
      <w:r w:rsidRPr="00382917">
        <w:t>pointed</w:t>
      </w:r>
      <w:r w:rsidR="00EE4FC3">
        <w:t xml:space="preserve"> </w:t>
      </w:r>
      <w:r w:rsidRPr="00382917">
        <w:t>in</w:t>
      </w:r>
      <w:r w:rsidR="00EE4FC3">
        <w:t xml:space="preserve"> </w:t>
      </w:r>
      <w:r w:rsidRPr="00382917">
        <w:t>the</w:t>
      </w:r>
      <w:r w:rsidR="00EE4FC3">
        <w:t xml:space="preserve"> </w:t>
      </w:r>
      <w:r w:rsidRPr="00382917">
        <w:t>direction</w:t>
      </w:r>
      <w:r w:rsidR="00EE4FC3">
        <w:t xml:space="preserve"> </w:t>
      </w:r>
      <w:r w:rsidRPr="00382917">
        <w:t>of</w:t>
      </w:r>
      <w:r w:rsidR="00EE4FC3">
        <w:t xml:space="preserve"> </w:t>
      </w:r>
      <w:r w:rsidRPr="00382917">
        <w:t>Mázindarán</w:t>
      </w:r>
      <w:r w:rsidR="00EE4FC3">
        <w:t xml:space="preserve"> </w:t>
      </w:r>
      <w:r w:rsidRPr="00382917">
        <w:t>and</w:t>
      </w:r>
      <w:r w:rsidR="00EE4FC3">
        <w:t xml:space="preserve"> </w:t>
      </w:r>
      <w:r w:rsidRPr="00382917">
        <w:t>Sárí.</w:t>
      </w:r>
    </w:p>
    <w:p w:rsidR="006E01DB" w:rsidRPr="00382917" w:rsidRDefault="009C713D" w:rsidP="006E01DB">
      <w:pPr>
        <w:pStyle w:val="Text"/>
      </w:pPr>
      <w:r w:rsidRPr="00382917">
        <w:t>“</w:t>
      </w:r>
      <w:r w:rsidR="006E01DB" w:rsidRPr="00382917">
        <w:t>This</w:t>
      </w:r>
      <w:r w:rsidR="00EE4FC3">
        <w:t xml:space="preserve"> </w:t>
      </w:r>
      <w:r w:rsidR="006E01DB" w:rsidRPr="00382917">
        <w:t>is</w:t>
      </w:r>
      <w:r w:rsidR="00EE4FC3">
        <w:t xml:space="preserve"> </w:t>
      </w:r>
      <w:r w:rsidR="006E01DB" w:rsidRPr="00382917">
        <w:t>the</w:t>
      </w:r>
      <w:r w:rsidR="00EE4FC3">
        <w:t xml:space="preserve"> </w:t>
      </w:r>
      <w:r w:rsidR="006E01DB" w:rsidRPr="00382917">
        <w:t>way</w:t>
      </w:r>
      <w:r w:rsidR="00EE4FC3">
        <w:t xml:space="preserve"> </w:t>
      </w:r>
      <w:r w:rsidR="006E01DB" w:rsidRPr="00382917">
        <w:t>that</w:t>
      </w:r>
      <w:r w:rsidR="00EE4FC3">
        <w:t xml:space="preserve"> </w:t>
      </w:r>
      <w:r w:rsidR="006E01DB" w:rsidRPr="00382917">
        <w:t>leads</w:t>
      </w:r>
      <w:r w:rsidR="00EE4FC3">
        <w:t xml:space="preserve"> </w:t>
      </w:r>
      <w:r w:rsidR="006E01DB" w:rsidRPr="00382917">
        <w:t>to</w:t>
      </w:r>
      <w:r w:rsidR="00EE4FC3">
        <w:t xml:space="preserve"> </w:t>
      </w:r>
      <w:r w:rsidR="006E01DB" w:rsidRPr="00382917">
        <w:t>our</w:t>
      </w:r>
      <w:r w:rsidR="00EE4FC3">
        <w:t xml:space="preserve"> </w:t>
      </w:r>
      <w:r w:rsidR="006E01DB" w:rsidRPr="00382917">
        <w:t>martyrdom,</w:t>
      </w:r>
      <w:r w:rsidRPr="00382917">
        <w:t>”</w:t>
      </w:r>
      <w:r w:rsidR="00EE4FC3">
        <w:t xml:space="preserve"> </w:t>
      </w:r>
      <w:r w:rsidR="006E01DB" w:rsidRPr="00382917">
        <w:t>he</w:t>
      </w:r>
      <w:r w:rsidR="00EE4FC3">
        <w:t xml:space="preserve"> </w:t>
      </w:r>
      <w:r w:rsidR="006E01DB" w:rsidRPr="00382917">
        <w:t>said</w:t>
      </w:r>
      <w:r w:rsidR="00A93643">
        <w:t>.</w:t>
      </w:r>
      <w:r w:rsidR="00EE4FC3">
        <w:t xml:space="preserve">  </w:t>
      </w:r>
      <w:r w:rsidRPr="00382917">
        <w:t>“</w:t>
      </w:r>
      <w:r w:rsidR="006E01DB" w:rsidRPr="00382917">
        <w:t>Whoever</w:t>
      </w:r>
      <w:r w:rsidR="00EE4FC3">
        <w:t xml:space="preserve"> </w:t>
      </w:r>
      <w:r w:rsidR="006E01DB" w:rsidRPr="00382917">
        <w:t>is</w:t>
      </w:r>
      <w:r w:rsidR="00EE4FC3">
        <w:t xml:space="preserve"> </w:t>
      </w:r>
      <w:r w:rsidR="006E01DB" w:rsidRPr="00382917">
        <w:t>unprepared,</w:t>
      </w:r>
      <w:r w:rsidR="00EE4FC3">
        <w:t xml:space="preserve"> </w:t>
      </w:r>
      <w:r w:rsidR="006E01DB" w:rsidRPr="00382917">
        <w:t>let</w:t>
      </w:r>
      <w:r w:rsidR="00EE4FC3">
        <w:t xml:space="preserve"> </w:t>
      </w:r>
      <w:r w:rsidR="006E01DB" w:rsidRPr="00382917">
        <w:t>him</w:t>
      </w:r>
      <w:r w:rsidR="00EE4FC3">
        <w:t xml:space="preserve"> </w:t>
      </w:r>
      <w:r w:rsidR="006E01DB" w:rsidRPr="00382917">
        <w:t>return</w:t>
      </w:r>
      <w:r w:rsidR="00EE4FC3">
        <w:t xml:space="preserve"> </w:t>
      </w:r>
      <w:r w:rsidR="006E01DB" w:rsidRPr="00382917">
        <w:t>home</w:t>
      </w:r>
      <w:r w:rsidR="00EE4FC3">
        <w:t xml:space="preserve"> </w:t>
      </w:r>
      <w:r w:rsidR="006E01DB" w:rsidRPr="00382917">
        <w:t>now</w:t>
      </w:r>
      <w:r w:rsidR="00A93643">
        <w:t>.</w:t>
      </w:r>
      <w:r w:rsidR="00EE4FC3">
        <w:t xml:space="preserve">  </w:t>
      </w:r>
      <w:r w:rsidR="006E01DB" w:rsidRPr="00382917">
        <w:t>I,</w:t>
      </w:r>
      <w:r w:rsidR="00EE4FC3">
        <w:t xml:space="preserve"> </w:t>
      </w:r>
      <w:r w:rsidR="006E01DB" w:rsidRPr="00382917">
        <w:t>together</w:t>
      </w:r>
      <w:r w:rsidR="00EE4FC3">
        <w:t xml:space="preserve"> </w:t>
      </w:r>
      <w:r w:rsidR="006E01DB" w:rsidRPr="00382917">
        <w:t>with</w:t>
      </w:r>
      <w:r w:rsidR="00EE4FC3">
        <w:t xml:space="preserve"> </w:t>
      </w:r>
      <w:r w:rsidR="006E01DB" w:rsidRPr="00382917">
        <w:t>seventy-two</w:t>
      </w:r>
      <w:r w:rsidR="00EE4FC3">
        <w:t xml:space="preserve"> </w:t>
      </w:r>
      <w:r w:rsidR="006E01DB" w:rsidRPr="00382917">
        <w:t>of</w:t>
      </w:r>
      <w:r w:rsidR="00EE4FC3">
        <w:t xml:space="preserve"> </w:t>
      </w:r>
      <w:r w:rsidR="006E01DB" w:rsidRPr="00382917">
        <w:t>my</w:t>
      </w:r>
      <w:r w:rsidR="00EE4FC3">
        <w:t xml:space="preserve"> </w:t>
      </w:r>
      <w:r w:rsidR="006E01DB" w:rsidRPr="00382917">
        <w:t>companions,</w:t>
      </w:r>
      <w:r w:rsidR="00EE4FC3">
        <w:t xml:space="preserve"> </w:t>
      </w:r>
      <w:r w:rsidR="006E01DB" w:rsidRPr="00382917">
        <w:t>shall</w:t>
      </w:r>
      <w:r w:rsidR="00EE4FC3">
        <w:t xml:space="preserve"> </w:t>
      </w:r>
      <w:r w:rsidR="006E01DB" w:rsidRPr="00382917">
        <w:t>suffer</w:t>
      </w:r>
      <w:r w:rsidR="00EE4FC3">
        <w:t xml:space="preserve"> </w:t>
      </w:r>
      <w:r w:rsidR="006E01DB" w:rsidRPr="00382917">
        <w:t>death</w:t>
      </w:r>
      <w:r w:rsidR="00EE4FC3">
        <w:t xml:space="preserve"> </w:t>
      </w:r>
      <w:r w:rsidR="006E01DB" w:rsidRPr="00382917">
        <w:t>for</w:t>
      </w:r>
      <w:r w:rsidR="00EE4FC3">
        <w:t xml:space="preserve"> </w:t>
      </w:r>
      <w:r w:rsidR="006E01DB" w:rsidRPr="00382917">
        <w:t>the</w:t>
      </w:r>
      <w:r w:rsidR="00EE4FC3">
        <w:t xml:space="preserve"> </w:t>
      </w:r>
      <w:r w:rsidR="006E01DB" w:rsidRPr="00382917">
        <w:t>sake</w:t>
      </w:r>
      <w:r w:rsidR="00EE4FC3">
        <w:t xml:space="preserve"> </w:t>
      </w:r>
      <w:r w:rsidR="006E01DB" w:rsidRPr="00382917">
        <w:t>of</w:t>
      </w:r>
      <w:r w:rsidR="00EE4FC3">
        <w:t xml:space="preserve"> </w:t>
      </w:r>
      <w:r w:rsidR="006E01DB" w:rsidRPr="00382917">
        <w:t>the</w:t>
      </w:r>
      <w:r w:rsidR="00EE4FC3">
        <w:t xml:space="preserve"> </w:t>
      </w:r>
      <w:r w:rsidR="006E01DB" w:rsidRPr="00382917">
        <w:t>Báb</w:t>
      </w:r>
      <w:r w:rsidR="00A93643">
        <w:t>.</w:t>
      </w:r>
      <w:r w:rsidR="00EE4FC3">
        <w:t xml:space="preserve">  </w:t>
      </w:r>
      <w:r w:rsidR="006E01DB" w:rsidRPr="00382917">
        <w:t>Whosoever</w:t>
      </w:r>
      <w:r w:rsidR="00EE4FC3">
        <w:t xml:space="preserve"> </w:t>
      </w:r>
      <w:r w:rsidR="006E01DB" w:rsidRPr="00382917">
        <w:t>is</w:t>
      </w:r>
      <w:r w:rsidR="00EE4FC3">
        <w:t xml:space="preserve"> </w:t>
      </w:r>
      <w:r w:rsidR="006E01DB" w:rsidRPr="00382917">
        <w:t>unable</w:t>
      </w:r>
      <w:r w:rsidR="00EE4FC3">
        <w:t xml:space="preserve"> </w:t>
      </w:r>
      <w:r w:rsidR="006E01DB" w:rsidRPr="00382917">
        <w:t>to</w:t>
      </w:r>
      <w:r w:rsidR="00EE4FC3">
        <w:t xml:space="preserve"> </w:t>
      </w:r>
      <w:r w:rsidR="006E01DB" w:rsidRPr="00382917">
        <w:t>renounce</w:t>
      </w:r>
      <w:r w:rsidR="00EE4FC3">
        <w:t xml:space="preserve"> </w:t>
      </w:r>
      <w:r w:rsidR="006E01DB" w:rsidRPr="00382917">
        <w:t>the</w:t>
      </w:r>
      <w:r w:rsidR="00EE4FC3">
        <w:t xml:space="preserve"> </w:t>
      </w:r>
      <w:r w:rsidR="006E01DB" w:rsidRPr="00382917">
        <w:t>world,</w:t>
      </w:r>
      <w:r w:rsidR="00EE4FC3">
        <w:t xml:space="preserve"> </w:t>
      </w:r>
      <w:r w:rsidR="006E01DB" w:rsidRPr="00382917">
        <w:t>let</w:t>
      </w:r>
      <w:r w:rsidR="00EE4FC3">
        <w:t xml:space="preserve"> </w:t>
      </w:r>
      <w:r w:rsidR="006E01DB" w:rsidRPr="00382917">
        <w:t>him</w:t>
      </w:r>
      <w:r w:rsidR="00EE4FC3">
        <w:t xml:space="preserve"> </w:t>
      </w:r>
      <w:r w:rsidR="006E01DB" w:rsidRPr="00382917">
        <w:t>at</w:t>
      </w:r>
      <w:r w:rsidR="00EE4FC3">
        <w:t xml:space="preserve"> </w:t>
      </w:r>
      <w:r w:rsidR="006E01DB" w:rsidRPr="00382917">
        <w:t>this</w:t>
      </w:r>
      <w:r w:rsidR="00EE4FC3">
        <w:t xml:space="preserve"> </w:t>
      </w:r>
      <w:r w:rsidR="006E01DB" w:rsidRPr="00382917">
        <w:t>very</w:t>
      </w:r>
      <w:r w:rsidR="00EE4FC3">
        <w:t xml:space="preserve"> </w:t>
      </w:r>
      <w:r w:rsidR="006E01DB" w:rsidRPr="00382917">
        <w:t>moment</w:t>
      </w:r>
      <w:r w:rsidR="00EE4FC3">
        <w:t xml:space="preserve"> </w:t>
      </w:r>
      <w:r w:rsidR="006E01DB" w:rsidRPr="00382917">
        <w:t>depart,</w:t>
      </w:r>
      <w:r w:rsidR="00EE4FC3">
        <w:t xml:space="preserve"> </w:t>
      </w:r>
      <w:r w:rsidR="006E01DB" w:rsidRPr="00382917">
        <w:t>for</w:t>
      </w:r>
      <w:r w:rsidR="00EE4FC3">
        <w:t xml:space="preserve"> </w:t>
      </w:r>
      <w:r w:rsidR="006E01DB" w:rsidRPr="00382917">
        <w:t>later</w:t>
      </w:r>
      <w:r w:rsidR="00EE4FC3">
        <w:t xml:space="preserve"> </w:t>
      </w:r>
      <w:r w:rsidR="006E01DB" w:rsidRPr="00382917">
        <w:t>on</w:t>
      </w:r>
      <w:r w:rsidR="00EE4FC3">
        <w:t xml:space="preserve"> </w:t>
      </w:r>
      <w:r w:rsidR="006E01DB" w:rsidRPr="00382917">
        <w:t>he</w:t>
      </w:r>
      <w:r w:rsidR="00EE4FC3">
        <w:t xml:space="preserve"> </w:t>
      </w:r>
      <w:r w:rsidR="006E01DB" w:rsidRPr="00382917">
        <w:t>will</w:t>
      </w:r>
      <w:r w:rsidR="00EE4FC3">
        <w:t xml:space="preserve"> </w:t>
      </w:r>
      <w:r w:rsidR="006E01DB" w:rsidRPr="00382917">
        <w:t>be</w:t>
      </w:r>
      <w:r w:rsidR="00EE4FC3">
        <w:t xml:space="preserve"> </w:t>
      </w:r>
      <w:r w:rsidR="006E01DB" w:rsidRPr="00382917">
        <w:t>unable</w:t>
      </w:r>
      <w:r w:rsidR="00EE4FC3">
        <w:t xml:space="preserve"> </w:t>
      </w:r>
      <w:r w:rsidR="006E01DB" w:rsidRPr="00382917">
        <w:t>to</w:t>
      </w:r>
      <w:r w:rsidR="00EE4FC3">
        <w:t xml:space="preserve"> </w:t>
      </w:r>
      <w:r w:rsidR="006E01DB" w:rsidRPr="00382917">
        <w:t>escape.</w:t>
      </w:r>
      <w:r w:rsidRPr="00382917">
        <w:t>”</w:t>
      </w:r>
    </w:p>
    <w:p w:rsidR="00E13D49" w:rsidRPr="00382917" w:rsidRDefault="006E01DB" w:rsidP="006E01DB">
      <w:pPr>
        <w:pStyle w:val="Text"/>
      </w:pPr>
      <w:r w:rsidRPr="00382917">
        <w:t>Twenty</w:t>
      </w:r>
      <w:r w:rsidR="00EE4FC3">
        <w:t xml:space="preserve"> </w:t>
      </w:r>
      <w:r w:rsidRPr="00382917">
        <w:t>chose</w:t>
      </w:r>
      <w:r w:rsidR="00EE4FC3">
        <w:t xml:space="preserve"> </w:t>
      </w:r>
      <w:r w:rsidRPr="00382917">
        <w:t>to</w:t>
      </w:r>
      <w:r w:rsidR="00EE4FC3">
        <w:t xml:space="preserve"> </w:t>
      </w:r>
      <w:r w:rsidRPr="00382917">
        <w:t>return,</w:t>
      </w:r>
      <w:r w:rsidR="00EE4FC3">
        <w:t xml:space="preserve"> </w:t>
      </w:r>
      <w:r w:rsidRPr="00382917">
        <w:t>feeling</w:t>
      </w:r>
      <w:r w:rsidR="00EE4FC3">
        <w:t xml:space="preserve"> </w:t>
      </w:r>
      <w:r w:rsidRPr="00382917">
        <w:t>themselves</w:t>
      </w:r>
      <w:r w:rsidR="00EE4FC3">
        <w:t xml:space="preserve"> </w:t>
      </w:r>
      <w:r w:rsidRPr="00382917">
        <w:t>powerless</w:t>
      </w:r>
      <w:r w:rsidR="00EE4FC3">
        <w:t xml:space="preserve"> </w:t>
      </w:r>
      <w:r w:rsidRPr="00382917">
        <w:t>to</w:t>
      </w:r>
      <w:r w:rsidR="00EE4FC3">
        <w:t xml:space="preserve"> </w:t>
      </w:r>
      <w:r w:rsidRPr="00382917">
        <w:t>with-</w:t>
      </w:r>
    </w:p>
    <w:p w:rsidR="006E01DB" w:rsidRPr="00382917" w:rsidRDefault="006E01DB">
      <w:pPr>
        <w:widowControl/>
        <w:kinsoku/>
        <w:overflowPunct/>
        <w:textAlignment w:val="auto"/>
      </w:pPr>
      <w:r w:rsidRPr="00382917">
        <w:br w:type="page"/>
      </w:r>
    </w:p>
    <w:p w:rsidR="006E01DB" w:rsidRPr="00382917" w:rsidRDefault="006E01DB" w:rsidP="006E01DB">
      <w:pPr>
        <w:pStyle w:val="Textcts"/>
      </w:pPr>
      <w:proofErr w:type="gramStart"/>
      <w:r w:rsidRPr="00382917">
        <w:t>stand</w:t>
      </w:r>
      <w:proofErr w:type="gramEnd"/>
      <w:r w:rsidR="00EE4FC3">
        <w:t xml:space="preserve"> </w:t>
      </w:r>
      <w:r w:rsidRPr="00382917">
        <w:t>the</w:t>
      </w:r>
      <w:r w:rsidR="00EE4FC3">
        <w:t xml:space="preserve"> </w:t>
      </w:r>
      <w:r w:rsidRPr="00382917">
        <w:t>trials</w:t>
      </w:r>
      <w:r w:rsidR="00EE4FC3">
        <w:t xml:space="preserve"> </w:t>
      </w:r>
      <w:r w:rsidRPr="00382917">
        <w:t>to</w:t>
      </w:r>
      <w:r w:rsidR="00EE4FC3">
        <w:t xml:space="preserve"> </w:t>
      </w:r>
      <w:r w:rsidRPr="00382917">
        <w:t>which</w:t>
      </w:r>
      <w:r w:rsidR="00EE4FC3">
        <w:t xml:space="preserve"> </w:t>
      </w:r>
      <w:r w:rsidRPr="00382917">
        <w:t>Mullá</w:t>
      </w:r>
      <w:r w:rsidR="00EE4FC3">
        <w:t xml:space="preserve"> </w:t>
      </w:r>
      <w:r w:rsidR="00964C11" w:rsidRPr="00382917">
        <w:t>Ḥusayn</w:t>
      </w:r>
      <w:r w:rsidR="00EE4FC3">
        <w:t xml:space="preserve"> </w:t>
      </w:r>
      <w:r w:rsidRPr="00382917">
        <w:t>continually</w:t>
      </w:r>
      <w:r w:rsidR="00EE4FC3">
        <w:t xml:space="preserve"> </w:t>
      </w:r>
      <w:r w:rsidRPr="00382917">
        <w:t>alluded</w:t>
      </w:r>
      <w:r w:rsidR="00A93643">
        <w:t>.</w:t>
      </w:r>
      <w:r w:rsidR="00EE4FC3">
        <w:t xml:space="preserve">  </w:t>
      </w:r>
      <w:r w:rsidRPr="00382917">
        <w:t>The</w:t>
      </w:r>
      <w:r w:rsidR="00EE4FC3">
        <w:t xml:space="preserve"> </w:t>
      </w:r>
      <w:r w:rsidRPr="00382917">
        <w:t>others</w:t>
      </w:r>
      <w:r w:rsidR="00EE4FC3">
        <w:t xml:space="preserve"> </w:t>
      </w:r>
      <w:r w:rsidRPr="00382917">
        <w:t>approached</w:t>
      </w:r>
      <w:r w:rsidR="00EE4FC3">
        <w:t xml:space="preserve"> </w:t>
      </w:r>
      <w:r w:rsidRPr="00382917">
        <w:t>the</w:t>
      </w:r>
      <w:r w:rsidR="00EE4FC3">
        <w:t xml:space="preserve"> </w:t>
      </w:r>
      <w:r w:rsidRPr="00382917">
        <w:t>town</w:t>
      </w:r>
      <w:r w:rsidR="00EE4FC3">
        <w:t xml:space="preserve"> </w:t>
      </w:r>
      <w:r w:rsidRPr="00382917">
        <w:t>of</w:t>
      </w:r>
      <w:r w:rsidR="00EE4FC3">
        <w:t xml:space="preserve"> </w:t>
      </w:r>
      <w:r w:rsidR="00814CFC" w:rsidRPr="00382917">
        <w:t>Bárfurú</w:t>
      </w:r>
      <w:r w:rsidR="00814CFC" w:rsidRPr="00814CFC">
        <w:rPr>
          <w:u w:val="single"/>
        </w:rPr>
        <w:t>sh</w:t>
      </w:r>
      <w:r w:rsidRPr="00382917">
        <w:t>.</w:t>
      </w:r>
    </w:p>
    <w:p w:rsidR="006E01DB" w:rsidRPr="00382917" w:rsidRDefault="006E01DB" w:rsidP="00815ECE">
      <w:pPr>
        <w:pStyle w:val="Text"/>
      </w:pPr>
      <w:r w:rsidRPr="00382917">
        <w:t>The</w:t>
      </w:r>
      <w:r w:rsidR="00EE4FC3">
        <w:t xml:space="preserve"> </w:t>
      </w:r>
      <w:r w:rsidRPr="00382917">
        <w:t>news</w:t>
      </w:r>
      <w:r w:rsidR="00EE4FC3">
        <w:t xml:space="preserve"> </w:t>
      </w:r>
      <w:r w:rsidRPr="00382917">
        <w:t>of</w:t>
      </w:r>
      <w:r w:rsidR="00EE4FC3">
        <w:t xml:space="preserve"> </w:t>
      </w:r>
      <w:r w:rsidRPr="00382917">
        <w:t>their</w:t>
      </w:r>
      <w:r w:rsidR="00EE4FC3">
        <w:t xml:space="preserve"> </w:t>
      </w:r>
      <w:r w:rsidRPr="00382917">
        <w:t>coming</w:t>
      </w:r>
      <w:r w:rsidR="00EE4FC3">
        <w:t xml:space="preserve"> </w:t>
      </w:r>
      <w:r w:rsidRPr="00382917">
        <w:t>alarmed</w:t>
      </w:r>
      <w:r w:rsidR="00EE4FC3">
        <w:t xml:space="preserve"> </w:t>
      </w:r>
      <w:r w:rsidRPr="00382917">
        <w:t>the</w:t>
      </w:r>
      <w:r w:rsidR="00EE4FC3">
        <w:t xml:space="preserve"> </w:t>
      </w:r>
      <w:proofErr w:type="gramStart"/>
      <w:r w:rsidRPr="00382917">
        <w:t>Sa</w:t>
      </w:r>
      <w:r w:rsidR="009C713D" w:rsidRPr="00382917">
        <w:t>‘</w:t>
      </w:r>
      <w:r w:rsidRPr="00382917">
        <w:t>ídu</w:t>
      </w:r>
      <w:r w:rsidR="009C713D" w:rsidRPr="00382917">
        <w:t>’</w:t>
      </w:r>
      <w:r w:rsidRPr="00382917">
        <w:t>l</w:t>
      </w:r>
      <w:proofErr w:type="gramEnd"/>
      <w:r w:rsidR="009C713D" w:rsidRPr="00382917">
        <w:t>-‘</w:t>
      </w:r>
      <w:r w:rsidRPr="00382917">
        <w:t>Ulamá</w:t>
      </w:r>
      <w:r w:rsidR="009C713D" w:rsidRPr="00382917">
        <w:t>’</w:t>
      </w:r>
      <w:r w:rsidRPr="00382917">
        <w:t>,</w:t>
      </w:r>
      <w:r w:rsidR="00EE4FC3">
        <w:t xml:space="preserve"> </w:t>
      </w:r>
      <w:r w:rsidRPr="00382917">
        <w:t>the</w:t>
      </w:r>
      <w:r w:rsidR="00EE4FC3">
        <w:t xml:space="preserve"> </w:t>
      </w:r>
      <w:r w:rsidRPr="00382917">
        <w:t>chief</w:t>
      </w:r>
      <w:r w:rsidR="00EE4FC3">
        <w:t xml:space="preserve"> </w:t>
      </w:r>
      <w:r w:rsidRPr="00382917">
        <w:t>religious</w:t>
      </w:r>
      <w:r w:rsidR="00EE4FC3">
        <w:t xml:space="preserve"> </w:t>
      </w:r>
      <w:r w:rsidRPr="00382917">
        <w:t>leader</w:t>
      </w:r>
      <w:r w:rsidR="00EE4FC3">
        <w:t xml:space="preserve"> </w:t>
      </w:r>
      <w:r w:rsidRPr="00382917">
        <w:t>of</w:t>
      </w:r>
      <w:r w:rsidR="00EE4FC3">
        <w:t xml:space="preserve"> </w:t>
      </w:r>
      <w:r w:rsidRPr="00382917">
        <w:t>that</w:t>
      </w:r>
      <w:r w:rsidR="00EE4FC3">
        <w:t xml:space="preserve"> </w:t>
      </w:r>
      <w:r w:rsidRPr="00382917">
        <w:t>city</w:t>
      </w:r>
      <w:r w:rsidR="00A93643">
        <w:t>.</w:t>
      </w:r>
      <w:r w:rsidR="00EE4FC3">
        <w:t xml:space="preserve">  </w:t>
      </w:r>
      <w:r w:rsidRPr="00382917">
        <w:t>Nicolas</w:t>
      </w:r>
      <w:r w:rsidR="00EE4FC3">
        <w:t xml:space="preserve"> </w:t>
      </w:r>
      <w:r w:rsidRPr="00382917">
        <w:t>says</w:t>
      </w:r>
      <w:r w:rsidR="00EE4FC3">
        <w:t xml:space="preserve"> </w:t>
      </w:r>
      <w:r w:rsidRPr="00382917">
        <w:t>in</w:t>
      </w:r>
      <w:r w:rsidR="00EE4FC3">
        <w:t xml:space="preserve"> </w:t>
      </w:r>
      <w:r w:rsidRPr="00382917">
        <w:t>his</w:t>
      </w:r>
      <w:r w:rsidR="00EE4FC3">
        <w:t xml:space="preserve"> </w:t>
      </w:r>
      <w:r w:rsidRPr="00382917">
        <w:t>history</w:t>
      </w:r>
      <w:r w:rsidR="00EE4FC3">
        <w:t xml:space="preserve"> </w:t>
      </w:r>
      <w:r w:rsidRPr="00382917">
        <w:t>that</w:t>
      </w:r>
      <w:r w:rsidR="00EE4FC3">
        <w:t xml:space="preserve"> </w:t>
      </w:r>
      <w:r w:rsidRPr="00382917">
        <w:t>all</w:t>
      </w:r>
      <w:r w:rsidR="00EE4FC3">
        <w:t xml:space="preserve"> </w:t>
      </w:r>
      <w:proofErr w:type="gramStart"/>
      <w:r w:rsidRPr="00382917">
        <w:t>The</w:t>
      </w:r>
      <w:proofErr w:type="gramEnd"/>
      <w:r w:rsidR="00EE4FC3">
        <w:t xml:space="preserve"> </w:t>
      </w:r>
      <w:r w:rsidRPr="00382917">
        <w:t>clerics</w:t>
      </w:r>
      <w:r w:rsidR="00EE4FC3">
        <w:t xml:space="preserve"> </w:t>
      </w:r>
      <w:r w:rsidRPr="00382917">
        <w:t>of</w:t>
      </w:r>
      <w:r w:rsidR="00EE4FC3">
        <w:t xml:space="preserve"> </w:t>
      </w:r>
      <w:r w:rsidR="00814CFC" w:rsidRPr="00382917">
        <w:t>Bárfurú</w:t>
      </w:r>
      <w:r w:rsidR="00814CFC" w:rsidRPr="00814CFC">
        <w:rPr>
          <w:u w:val="single"/>
        </w:rPr>
        <w:t>sh</w:t>
      </w:r>
      <w:r w:rsidR="00EE4FC3">
        <w:t xml:space="preserve"> </w:t>
      </w:r>
      <w:r w:rsidRPr="00382917">
        <w:t>were</w:t>
      </w:r>
      <w:r w:rsidR="00EE4FC3">
        <w:t xml:space="preserve"> </w:t>
      </w:r>
      <w:r w:rsidRPr="00382917">
        <w:t>filled</w:t>
      </w:r>
      <w:r w:rsidR="00EE4FC3">
        <w:t xml:space="preserve"> </w:t>
      </w:r>
      <w:r w:rsidRPr="00382917">
        <w:t>with</w:t>
      </w:r>
      <w:r w:rsidR="00EE4FC3">
        <w:t xml:space="preserve"> </w:t>
      </w:r>
      <w:r w:rsidRPr="00382917">
        <w:t>hate</w:t>
      </w:r>
      <w:r w:rsidR="00EE4FC3">
        <w:t xml:space="preserve"> </w:t>
      </w:r>
      <w:r w:rsidRPr="00382917">
        <w:t>for</w:t>
      </w:r>
      <w:r w:rsidR="00EE4FC3">
        <w:t xml:space="preserve"> </w:t>
      </w:r>
      <w:r w:rsidRPr="00382917">
        <w:t>the</w:t>
      </w:r>
      <w:r w:rsidR="00EE4FC3">
        <w:t xml:space="preserve"> </w:t>
      </w:r>
      <w:r w:rsidRPr="00382917">
        <w:t>followers</w:t>
      </w:r>
      <w:r w:rsidR="00EE4FC3">
        <w:t xml:space="preserve"> </w:t>
      </w:r>
      <w:r w:rsidRPr="00382917">
        <w:t>of</w:t>
      </w:r>
      <w:r w:rsidR="00EE4FC3">
        <w:t xml:space="preserve"> </w:t>
      </w:r>
      <w:r w:rsidRPr="00382917">
        <w:t>the</w:t>
      </w:r>
      <w:r w:rsidR="00EE4FC3">
        <w:t xml:space="preserve"> </w:t>
      </w:r>
      <w:r w:rsidRPr="00382917">
        <w:t>Báb</w:t>
      </w:r>
      <w:r w:rsidR="00EE4FC3">
        <w:t xml:space="preserve"> </w:t>
      </w:r>
      <w:r w:rsidRPr="00382917">
        <w:t>because</w:t>
      </w:r>
      <w:r w:rsidR="00EE4FC3">
        <w:t xml:space="preserve"> </w:t>
      </w:r>
      <w:r w:rsidRPr="00382917">
        <w:t>of</w:t>
      </w:r>
      <w:r w:rsidR="00EE4FC3">
        <w:t xml:space="preserve"> </w:t>
      </w:r>
      <w:r w:rsidRPr="00382917">
        <w:t>the</w:t>
      </w:r>
      <w:r w:rsidR="00EE4FC3">
        <w:t xml:space="preserve"> </w:t>
      </w:r>
      <w:r w:rsidRPr="00382917">
        <w:t>many</w:t>
      </w:r>
      <w:r w:rsidR="00EE4FC3">
        <w:t xml:space="preserve"> </w:t>
      </w:r>
      <w:r w:rsidRPr="00382917">
        <w:t>conversions</w:t>
      </w:r>
      <w:r w:rsidR="00EE4FC3">
        <w:t xml:space="preserve"> </w:t>
      </w:r>
      <w:r w:rsidRPr="00382917">
        <w:t>which</w:t>
      </w:r>
      <w:r w:rsidR="00EE4FC3">
        <w:t xml:space="preserve"> </w:t>
      </w:r>
      <w:r w:rsidRPr="00382917">
        <w:t>Quddús</w:t>
      </w:r>
      <w:r w:rsidR="00EE4FC3">
        <w:t xml:space="preserve"> </w:t>
      </w:r>
      <w:r w:rsidRPr="00382917">
        <w:t>had</w:t>
      </w:r>
      <w:r w:rsidR="00EE4FC3">
        <w:t xml:space="preserve"> </w:t>
      </w:r>
      <w:r w:rsidRPr="00382917">
        <w:t>been</w:t>
      </w:r>
      <w:r w:rsidR="00EE4FC3">
        <w:t xml:space="preserve"> </w:t>
      </w:r>
      <w:r w:rsidRPr="00382917">
        <w:t>able</w:t>
      </w:r>
      <w:r w:rsidR="00EE4FC3">
        <w:t xml:space="preserve"> </w:t>
      </w:r>
      <w:r w:rsidRPr="00382917">
        <w:t>to</w:t>
      </w:r>
      <w:r w:rsidR="00EE4FC3">
        <w:t xml:space="preserve"> </w:t>
      </w:r>
      <w:r w:rsidRPr="00382917">
        <w:t>make</w:t>
      </w:r>
      <w:r w:rsidR="00EE4FC3">
        <w:t xml:space="preserve"> </w:t>
      </w:r>
      <w:r w:rsidRPr="00382917">
        <w:t>in</w:t>
      </w:r>
      <w:r w:rsidR="00EE4FC3">
        <w:t xml:space="preserve"> </w:t>
      </w:r>
      <w:r w:rsidRPr="00382917">
        <w:t>their</w:t>
      </w:r>
      <w:r w:rsidR="00EE4FC3">
        <w:t xml:space="preserve"> </w:t>
      </w:r>
      <w:r w:rsidRPr="00382917">
        <w:t>city,</w:t>
      </w:r>
      <w:r w:rsidR="00EE4FC3">
        <w:t xml:space="preserve"> </w:t>
      </w:r>
      <w:r w:rsidRPr="00382917">
        <w:t>as</w:t>
      </w:r>
      <w:r w:rsidR="00EE4FC3">
        <w:t xml:space="preserve"> </w:t>
      </w:r>
      <w:r w:rsidRPr="00382917">
        <w:t>many</w:t>
      </w:r>
      <w:r w:rsidR="00EE4FC3">
        <w:t xml:space="preserve"> </w:t>
      </w:r>
      <w:r w:rsidRPr="00382917">
        <w:t>as</w:t>
      </w:r>
      <w:r w:rsidR="00EE4FC3">
        <w:t xml:space="preserve"> </w:t>
      </w:r>
      <w:r w:rsidRPr="00382917">
        <w:t>three</w:t>
      </w:r>
      <w:r w:rsidR="00EE4FC3">
        <w:t xml:space="preserve"> </w:t>
      </w:r>
      <w:r w:rsidRPr="00382917">
        <w:t>hundred</w:t>
      </w:r>
      <w:r w:rsidR="00EE4FC3">
        <w:t xml:space="preserve"> </w:t>
      </w:r>
      <w:r w:rsidRPr="00382917">
        <w:t>in</w:t>
      </w:r>
      <w:r w:rsidR="00EE4FC3">
        <w:t xml:space="preserve"> </w:t>
      </w:r>
      <w:r w:rsidRPr="00382917">
        <w:t>one</w:t>
      </w:r>
      <w:r w:rsidR="00EE4FC3">
        <w:t xml:space="preserve"> </w:t>
      </w:r>
      <w:r w:rsidRPr="00382917">
        <w:t>week</w:t>
      </w:r>
      <w:r w:rsidR="00815ECE">
        <w:t>.</w:t>
      </w:r>
      <w:r w:rsidR="00815ECE">
        <w:rPr>
          <w:rStyle w:val="FootnoteReference"/>
        </w:rPr>
        <w:footnoteReference w:id="105"/>
      </w:r>
      <w:r w:rsidR="00EE4FC3">
        <w:t xml:space="preserve">  </w:t>
      </w:r>
      <w:r w:rsidRPr="00382917">
        <w:t>The</w:t>
      </w:r>
      <w:r w:rsidR="00EE4FC3">
        <w:t xml:space="preserve"> </w:t>
      </w:r>
      <w:proofErr w:type="gramStart"/>
      <w:r w:rsidRPr="00382917">
        <w:t>Sa</w:t>
      </w:r>
      <w:r w:rsidR="009C713D" w:rsidRPr="00382917">
        <w:t>‘</w:t>
      </w:r>
      <w:r w:rsidRPr="00382917">
        <w:t>ídu</w:t>
      </w:r>
      <w:r w:rsidR="009C713D" w:rsidRPr="00382917">
        <w:t>’</w:t>
      </w:r>
      <w:r w:rsidRPr="00382917">
        <w:t>l</w:t>
      </w:r>
      <w:proofErr w:type="gramEnd"/>
      <w:r w:rsidR="009C713D" w:rsidRPr="00382917">
        <w:t>-‘</w:t>
      </w:r>
      <w:r w:rsidRPr="00382917">
        <w:t>Ulamá</w:t>
      </w:r>
      <w:r w:rsidR="009C713D" w:rsidRPr="00382917">
        <w:t>’</w:t>
      </w:r>
      <w:r w:rsidR="00EE4FC3">
        <w:t xml:space="preserve"> </w:t>
      </w:r>
      <w:r w:rsidRPr="00382917">
        <w:t>told</w:t>
      </w:r>
      <w:r w:rsidR="00EE4FC3">
        <w:t xml:space="preserve"> </w:t>
      </w:r>
      <w:r w:rsidRPr="00382917">
        <w:t>the</w:t>
      </w:r>
      <w:r w:rsidR="00EE4FC3">
        <w:t xml:space="preserve"> </w:t>
      </w:r>
      <w:r w:rsidRPr="00382917">
        <w:t>town</w:t>
      </w:r>
      <w:r w:rsidR="00EE4FC3">
        <w:t xml:space="preserve"> </w:t>
      </w:r>
      <w:r w:rsidRPr="00382917">
        <w:t>crier</w:t>
      </w:r>
      <w:r w:rsidR="00EE4FC3">
        <w:t xml:space="preserve"> </w:t>
      </w:r>
      <w:r w:rsidRPr="00382917">
        <w:t>to</w:t>
      </w:r>
      <w:r w:rsidR="00EE4FC3">
        <w:t xml:space="preserve"> </w:t>
      </w:r>
      <w:r w:rsidRPr="00382917">
        <w:t>summon</w:t>
      </w:r>
      <w:r w:rsidR="00EE4FC3">
        <w:t xml:space="preserve"> </w:t>
      </w:r>
      <w:r w:rsidRPr="00382917">
        <w:t>all</w:t>
      </w:r>
      <w:r w:rsidR="00EE4FC3">
        <w:t xml:space="preserve"> </w:t>
      </w:r>
      <w:r w:rsidRPr="00382917">
        <w:t>the</w:t>
      </w:r>
      <w:r w:rsidR="00EE4FC3">
        <w:t xml:space="preserve"> </w:t>
      </w:r>
      <w:r w:rsidRPr="00382917">
        <w:t>people</w:t>
      </w:r>
      <w:r w:rsidR="00EE4FC3">
        <w:t xml:space="preserve"> </w:t>
      </w:r>
      <w:r w:rsidRPr="00382917">
        <w:t>to</w:t>
      </w:r>
      <w:r w:rsidR="00EE4FC3">
        <w:t xml:space="preserve"> </w:t>
      </w:r>
      <w:r w:rsidRPr="00382917">
        <w:t>the</w:t>
      </w:r>
      <w:r w:rsidR="00EE4FC3">
        <w:t xml:space="preserve"> </w:t>
      </w:r>
      <w:r w:rsidRPr="00382917">
        <w:t>mosque</w:t>
      </w:r>
      <w:r w:rsidR="00EE4FC3">
        <w:t xml:space="preserve"> </w:t>
      </w:r>
      <w:r w:rsidRPr="00382917">
        <w:t>at</w:t>
      </w:r>
      <w:r w:rsidR="00EE4FC3">
        <w:t xml:space="preserve"> </w:t>
      </w:r>
      <w:r w:rsidRPr="00382917">
        <w:t>once</w:t>
      </w:r>
      <w:r w:rsidR="00A93643">
        <w:t>.</w:t>
      </w:r>
      <w:r w:rsidR="00EE4FC3">
        <w:t xml:space="preserve">  </w:t>
      </w:r>
      <w:r w:rsidRPr="00382917">
        <w:t>When</w:t>
      </w:r>
      <w:r w:rsidR="00EE4FC3">
        <w:t xml:space="preserve"> </w:t>
      </w:r>
      <w:r w:rsidRPr="00382917">
        <w:t>an</w:t>
      </w:r>
      <w:r w:rsidR="00EE4FC3">
        <w:t xml:space="preserve"> </w:t>
      </w:r>
      <w:r w:rsidRPr="00382917">
        <w:t>immense</w:t>
      </w:r>
      <w:r w:rsidR="00EE4FC3">
        <w:t xml:space="preserve"> </w:t>
      </w:r>
      <w:r w:rsidRPr="00382917">
        <w:t>throng</w:t>
      </w:r>
      <w:r w:rsidR="00EE4FC3">
        <w:t xml:space="preserve"> </w:t>
      </w:r>
      <w:r w:rsidRPr="00382917">
        <w:t>had</w:t>
      </w:r>
      <w:r w:rsidR="00EE4FC3">
        <w:t xml:space="preserve"> </w:t>
      </w:r>
      <w:r w:rsidRPr="00382917">
        <w:t>gathered,</w:t>
      </w:r>
      <w:r w:rsidR="00EE4FC3">
        <w:t xml:space="preserve"> </w:t>
      </w:r>
      <w:r w:rsidRPr="00382917">
        <w:t>he</w:t>
      </w:r>
      <w:r w:rsidR="00EE4FC3">
        <w:t xml:space="preserve"> </w:t>
      </w:r>
      <w:r w:rsidRPr="00382917">
        <w:t>ascended</w:t>
      </w:r>
      <w:r w:rsidR="00EE4FC3">
        <w:t xml:space="preserve"> </w:t>
      </w:r>
      <w:r w:rsidRPr="00382917">
        <w:t>to</w:t>
      </w:r>
      <w:r w:rsidR="00EE4FC3">
        <w:t xml:space="preserve"> </w:t>
      </w:r>
      <w:r w:rsidRPr="00382917">
        <w:t>the</w:t>
      </w:r>
      <w:r w:rsidR="00EE4FC3">
        <w:t xml:space="preserve"> </w:t>
      </w:r>
      <w:r w:rsidRPr="00382917">
        <w:t>pulpit</w:t>
      </w:r>
      <w:r w:rsidR="00A93643">
        <w:t>.</w:t>
      </w:r>
      <w:r w:rsidR="00EE4FC3">
        <w:t xml:space="preserve">  </w:t>
      </w:r>
      <w:r w:rsidRPr="00382917">
        <w:t>He</w:t>
      </w:r>
      <w:r w:rsidR="00EE4FC3">
        <w:t xml:space="preserve"> </w:t>
      </w:r>
      <w:r w:rsidRPr="00382917">
        <w:t>flung</w:t>
      </w:r>
      <w:r w:rsidR="00EE4FC3">
        <w:t xml:space="preserve"> </w:t>
      </w:r>
      <w:r w:rsidRPr="00382917">
        <w:t>his</w:t>
      </w:r>
      <w:r w:rsidR="00EE4FC3">
        <w:t xml:space="preserve"> </w:t>
      </w:r>
      <w:r w:rsidRPr="00382917">
        <w:t>turban</w:t>
      </w:r>
      <w:r w:rsidR="00EE4FC3">
        <w:t xml:space="preserve"> </w:t>
      </w:r>
      <w:r w:rsidRPr="00382917">
        <w:t>to</w:t>
      </w:r>
      <w:r w:rsidR="00EE4FC3">
        <w:t xml:space="preserve"> </w:t>
      </w:r>
      <w:r w:rsidRPr="00382917">
        <w:t>the</w:t>
      </w:r>
      <w:r w:rsidR="00EE4FC3">
        <w:t xml:space="preserve"> </w:t>
      </w:r>
      <w:r w:rsidRPr="00382917">
        <w:t>ground,</w:t>
      </w:r>
      <w:r w:rsidR="00EE4FC3">
        <w:t xml:space="preserve"> </w:t>
      </w:r>
      <w:r w:rsidRPr="00382917">
        <w:t>tore</w:t>
      </w:r>
      <w:r w:rsidR="00EE4FC3">
        <w:t xml:space="preserve"> </w:t>
      </w:r>
      <w:r w:rsidRPr="00382917">
        <w:t>open</w:t>
      </w:r>
      <w:r w:rsidR="00EE4FC3">
        <w:t xml:space="preserve"> </w:t>
      </w:r>
      <w:r w:rsidRPr="00382917">
        <w:t>the</w:t>
      </w:r>
      <w:r w:rsidR="00EE4FC3">
        <w:t xml:space="preserve"> </w:t>
      </w:r>
      <w:r w:rsidRPr="00382917">
        <w:t>neck</w:t>
      </w:r>
      <w:r w:rsidR="00EE4FC3">
        <w:t xml:space="preserve"> </w:t>
      </w:r>
      <w:r w:rsidRPr="00382917">
        <w:t>of</w:t>
      </w:r>
      <w:r w:rsidR="00EE4FC3">
        <w:t xml:space="preserve"> </w:t>
      </w:r>
      <w:r w:rsidRPr="00382917">
        <w:t>his</w:t>
      </w:r>
      <w:r w:rsidR="00EE4FC3">
        <w:t xml:space="preserve"> </w:t>
      </w:r>
      <w:r w:rsidRPr="00382917">
        <w:t>shirt,</w:t>
      </w:r>
      <w:r w:rsidR="00EE4FC3">
        <w:t xml:space="preserve"> </w:t>
      </w:r>
      <w:r w:rsidRPr="00382917">
        <w:t>and</w:t>
      </w:r>
      <w:r w:rsidR="00EE4FC3">
        <w:t xml:space="preserve"> </w:t>
      </w:r>
      <w:r w:rsidRPr="00382917">
        <w:t>angrily</w:t>
      </w:r>
      <w:r w:rsidR="00EE4FC3">
        <w:t xml:space="preserve"> </w:t>
      </w:r>
      <w:r w:rsidRPr="00382917">
        <w:t>began</w:t>
      </w:r>
      <w:r w:rsidR="00EE4FC3">
        <w:t xml:space="preserve"> </w:t>
      </w:r>
      <w:r w:rsidRPr="00382917">
        <w:t>to</w:t>
      </w:r>
      <w:r w:rsidR="00EE4FC3">
        <w:t xml:space="preserve"> </w:t>
      </w:r>
      <w:r w:rsidRPr="00382917">
        <w:t>incite</w:t>
      </w:r>
      <w:r w:rsidR="00EE4FC3">
        <w:t xml:space="preserve"> </w:t>
      </w:r>
      <w:r w:rsidRPr="00382917">
        <w:t>the</w:t>
      </w:r>
      <w:r w:rsidR="00EE4FC3">
        <w:t xml:space="preserve"> </w:t>
      </w:r>
      <w:r w:rsidRPr="00382917">
        <w:t>people</w:t>
      </w:r>
      <w:r w:rsidR="00EE4FC3">
        <w:t xml:space="preserve"> </w:t>
      </w:r>
      <w:r w:rsidRPr="00382917">
        <w:t>to</w:t>
      </w:r>
      <w:r w:rsidR="00EE4FC3">
        <w:t xml:space="preserve"> </w:t>
      </w:r>
      <w:r w:rsidRPr="00382917">
        <w:t>arise</w:t>
      </w:r>
      <w:r w:rsidR="00EE4FC3">
        <w:t xml:space="preserve"> </w:t>
      </w:r>
      <w:r w:rsidRPr="00382917">
        <w:t>against</w:t>
      </w:r>
      <w:r w:rsidR="00EE4FC3">
        <w:t xml:space="preserve"> </w:t>
      </w:r>
      <w:r w:rsidRPr="00382917">
        <w:t>Mullá</w:t>
      </w:r>
      <w:r w:rsidR="00EE4FC3">
        <w:t xml:space="preserve"> </w:t>
      </w:r>
      <w:r w:rsidR="00964C11" w:rsidRPr="00382917">
        <w:t>Ḥusayn</w:t>
      </w:r>
      <w:r w:rsidR="00EE4FC3">
        <w:t xml:space="preserve"> </w:t>
      </w:r>
      <w:r w:rsidRPr="00382917">
        <w:t>and</w:t>
      </w:r>
      <w:r w:rsidR="00EE4FC3">
        <w:t xml:space="preserve"> </w:t>
      </w:r>
      <w:r w:rsidRPr="00382917">
        <w:t>his</w:t>
      </w:r>
      <w:r w:rsidR="00EE4FC3">
        <w:t xml:space="preserve"> </w:t>
      </w:r>
      <w:r w:rsidRPr="00382917">
        <w:t>party.</w:t>
      </w:r>
    </w:p>
    <w:p w:rsidR="006E01DB" w:rsidRPr="00382917" w:rsidRDefault="009C713D" w:rsidP="006E01DB">
      <w:pPr>
        <w:pStyle w:val="Text"/>
      </w:pPr>
      <w:r w:rsidRPr="00382917">
        <w:t>“</w:t>
      </w:r>
      <w:r w:rsidR="006E01DB" w:rsidRPr="00382917">
        <w:t>Awake!</w:t>
      </w:r>
      <w:r w:rsidRPr="00382917">
        <w:t>”</w:t>
      </w:r>
      <w:r w:rsidR="00EE4FC3">
        <w:t xml:space="preserve"> </w:t>
      </w:r>
      <w:r w:rsidR="006E01DB" w:rsidRPr="00382917">
        <w:t>he</w:t>
      </w:r>
      <w:r w:rsidR="00EE4FC3">
        <w:t xml:space="preserve"> </w:t>
      </w:r>
      <w:r w:rsidR="006E01DB" w:rsidRPr="00382917">
        <w:t>thundered</w:t>
      </w:r>
      <w:r w:rsidR="00A93643">
        <w:t>.</w:t>
      </w:r>
      <w:r w:rsidR="00EE4FC3">
        <w:t xml:space="preserve">  </w:t>
      </w:r>
      <w:r w:rsidRPr="00382917">
        <w:t>“</w:t>
      </w:r>
      <w:r w:rsidR="006E01DB" w:rsidRPr="00382917">
        <w:t>Our</w:t>
      </w:r>
      <w:r w:rsidR="00EE4FC3">
        <w:t xml:space="preserve"> </w:t>
      </w:r>
      <w:r w:rsidR="006E01DB" w:rsidRPr="00382917">
        <w:t>enemies</w:t>
      </w:r>
      <w:r w:rsidR="00EE4FC3">
        <w:t xml:space="preserve"> </w:t>
      </w:r>
      <w:r w:rsidR="006E01DB" w:rsidRPr="00382917">
        <w:t>are</w:t>
      </w:r>
      <w:r w:rsidR="00EE4FC3">
        <w:t xml:space="preserve"> </w:t>
      </w:r>
      <w:r w:rsidR="006E01DB" w:rsidRPr="00382917">
        <w:t>at</w:t>
      </w:r>
      <w:r w:rsidR="00EE4FC3">
        <w:t xml:space="preserve"> </w:t>
      </w:r>
      <w:r w:rsidR="006E01DB" w:rsidRPr="00382917">
        <w:t>our</w:t>
      </w:r>
      <w:r w:rsidR="00EE4FC3">
        <w:t xml:space="preserve"> </w:t>
      </w:r>
      <w:r w:rsidR="006E01DB" w:rsidRPr="00382917">
        <w:t>very</w:t>
      </w:r>
      <w:r w:rsidR="00EE4FC3">
        <w:t xml:space="preserve"> </w:t>
      </w:r>
      <w:r w:rsidR="006E01DB" w:rsidRPr="00382917">
        <w:t>doors</w:t>
      </w:r>
      <w:r w:rsidR="00A93643">
        <w:t>.</w:t>
      </w:r>
      <w:r w:rsidR="00EE4FC3">
        <w:t xml:space="preserve">  </w:t>
      </w:r>
      <w:r w:rsidR="006E01DB" w:rsidRPr="00382917">
        <w:t>Let</w:t>
      </w:r>
      <w:r w:rsidR="00EE4FC3">
        <w:t xml:space="preserve"> </w:t>
      </w:r>
      <w:r w:rsidR="006E01DB" w:rsidRPr="00382917">
        <w:t>both</w:t>
      </w:r>
      <w:r w:rsidR="00EE4FC3">
        <w:t xml:space="preserve"> </w:t>
      </w:r>
      <w:r w:rsidR="006E01DB" w:rsidRPr="00382917">
        <w:t>young</w:t>
      </w:r>
      <w:r w:rsidR="00EE4FC3">
        <w:t xml:space="preserve"> </w:t>
      </w:r>
      <w:r w:rsidR="006E01DB" w:rsidRPr="00382917">
        <w:t>and</w:t>
      </w:r>
      <w:r w:rsidR="00EE4FC3">
        <w:t xml:space="preserve"> </w:t>
      </w:r>
      <w:r w:rsidR="006E01DB" w:rsidRPr="00382917">
        <w:t>old</w:t>
      </w:r>
      <w:r w:rsidR="00EE4FC3">
        <w:t xml:space="preserve"> </w:t>
      </w:r>
      <w:r w:rsidR="006E01DB" w:rsidRPr="00382917">
        <w:t>arm</w:t>
      </w:r>
      <w:r w:rsidR="00EE4FC3">
        <w:t xml:space="preserve"> </w:t>
      </w:r>
      <w:r w:rsidR="006E01DB" w:rsidRPr="00382917">
        <w:t>themselves</w:t>
      </w:r>
      <w:r w:rsidR="00EE4FC3">
        <w:t xml:space="preserve"> </w:t>
      </w:r>
      <w:r w:rsidR="006E01DB" w:rsidRPr="00382917">
        <w:t>against</w:t>
      </w:r>
      <w:r w:rsidR="00EE4FC3">
        <w:t xml:space="preserve"> </w:t>
      </w:r>
      <w:r w:rsidR="006E01DB" w:rsidRPr="00382917">
        <w:t>these</w:t>
      </w:r>
      <w:r w:rsidR="00EE4FC3">
        <w:t xml:space="preserve"> </w:t>
      </w:r>
      <w:r w:rsidR="006E01DB" w:rsidRPr="00382917">
        <w:t>wreckers</w:t>
      </w:r>
      <w:r w:rsidR="00EE4FC3">
        <w:t xml:space="preserve"> </w:t>
      </w:r>
      <w:r w:rsidR="006E01DB" w:rsidRPr="00382917">
        <w:t>of</w:t>
      </w:r>
      <w:r w:rsidR="00EE4FC3">
        <w:t xml:space="preserve"> </w:t>
      </w:r>
      <w:r w:rsidR="006E01DB" w:rsidRPr="00382917">
        <w:t>our</w:t>
      </w:r>
      <w:r w:rsidR="00EE4FC3">
        <w:t xml:space="preserve"> </w:t>
      </w:r>
      <w:r w:rsidR="006E01DB" w:rsidRPr="00382917">
        <w:t>Faith</w:t>
      </w:r>
      <w:r w:rsidR="00A93643">
        <w:t>.</w:t>
      </w:r>
      <w:r w:rsidR="00EE4FC3">
        <w:t xml:space="preserve">  </w:t>
      </w:r>
      <w:r w:rsidR="006E01DB" w:rsidRPr="00382917">
        <w:t>Tomorrow,</w:t>
      </w:r>
      <w:r w:rsidR="00EE4FC3">
        <w:t xml:space="preserve"> </w:t>
      </w:r>
      <w:r w:rsidR="006E01DB" w:rsidRPr="00382917">
        <w:t>at</w:t>
      </w:r>
      <w:r w:rsidR="00EE4FC3">
        <w:t xml:space="preserve"> </w:t>
      </w:r>
      <w:r w:rsidR="006E01DB" w:rsidRPr="00382917">
        <w:t>the</w:t>
      </w:r>
      <w:r w:rsidR="00EE4FC3">
        <w:t xml:space="preserve"> </w:t>
      </w:r>
      <w:r w:rsidR="006E01DB" w:rsidRPr="00382917">
        <w:t>hour</w:t>
      </w:r>
      <w:r w:rsidR="00EE4FC3">
        <w:t xml:space="preserve"> </w:t>
      </w:r>
      <w:r w:rsidR="006E01DB" w:rsidRPr="00382917">
        <w:t>of</w:t>
      </w:r>
      <w:r w:rsidR="00EE4FC3">
        <w:t xml:space="preserve"> </w:t>
      </w:r>
      <w:r w:rsidR="006E01DB" w:rsidRPr="00382917">
        <w:t>dawn,</w:t>
      </w:r>
      <w:r w:rsidR="00EE4FC3">
        <w:t xml:space="preserve"> </w:t>
      </w:r>
      <w:r w:rsidR="006E01DB" w:rsidRPr="00382917">
        <w:t>let</w:t>
      </w:r>
      <w:r w:rsidR="00EE4FC3">
        <w:t xml:space="preserve"> </w:t>
      </w:r>
      <w:r w:rsidR="006E01DB" w:rsidRPr="00382917">
        <w:t>all</w:t>
      </w:r>
      <w:r w:rsidR="00EE4FC3">
        <w:t xml:space="preserve"> </w:t>
      </w:r>
      <w:r w:rsidR="006E01DB" w:rsidRPr="00382917">
        <w:t>arise</w:t>
      </w:r>
      <w:r w:rsidR="00EE4FC3">
        <w:t xml:space="preserve"> </w:t>
      </w:r>
      <w:r w:rsidR="006E01DB" w:rsidRPr="00382917">
        <w:t>and</w:t>
      </w:r>
      <w:r w:rsidR="00EE4FC3">
        <w:t xml:space="preserve"> </w:t>
      </w:r>
      <w:r w:rsidR="006E01DB" w:rsidRPr="00382917">
        <w:t>march</w:t>
      </w:r>
      <w:r w:rsidR="00EE4FC3">
        <w:t xml:space="preserve"> </w:t>
      </w:r>
      <w:r w:rsidR="006E01DB" w:rsidRPr="00382917">
        <w:t>out</w:t>
      </w:r>
      <w:r w:rsidR="00EE4FC3">
        <w:t xml:space="preserve"> </w:t>
      </w:r>
      <w:r w:rsidR="006E01DB" w:rsidRPr="00382917">
        <w:t>to</w:t>
      </w:r>
      <w:r w:rsidR="00EE4FC3">
        <w:t xml:space="preserve"> </w:t>
      </w:r>
      <w:r w:rsidR="006E01DB" w:rsidRPr="00382917">
        <w:t>exterminate</w:t>
      </w:r>
      <w:r w:rsidR="00EE4FC3">
        <w:t xml:space="preserve"> </w:t>
      </w:r>
      <w:r w:rsidR="006E01DB" w:rsidRPr="00382917">
        <w:t>their</w:t>
      </w:r>
      <w:r w:rsidR="00EE4FC3">
        <w:t xml:space="preserve"> </w:t>
      </w:r>
      <w:r w:rsidR="006E01DB" w:rsidRPr="00382917">
        <w:t>forces.</w:t>
      </w:r>
      <w:r w:rsidRPr="00382917">
        <w:t>”</w:t>
      </w:r>
    </w:p>
    <w:p w:rsidR="006E01DB" w:rsidRPr="00382917" w:rsidRDefault="006E01DB" w:rsidP="006E01DB">
      <w:pPr>
        <w:pStyle w:val="Text"/>
      </w:pPr>
      <w:r w:rsidRPr="00382917">
        <w:t>The</w:t>
      </w:r>
      <w:r w:rsidR="00EE4FC3">
        <w:t xml:space="preserve"> </w:t>
      </w:r>
      <w:r w:rsidRPr="00382917">
        <w:t>entire</w:t>
      </w:r>
      <w:r w:rsidR="00EE4FC3">
        <w:t xml:space="preserve"> </w:t>
      </w:r>
      <w:r w:rsidRPr="00382917">
        <w:t>congregation</w:t>
      </w:r>
      <w:r w:rsidR="00EE4FC3">
        <w:t xml:space="preserve"> </w:t>
      </w:r>
      <w:r w:rsidRPr="00382917">
        <w:t>arose</w:t>
      </w:r>
      <w:r w:rsidR="00EE4FC3">
        <w:t xml:space="preserve"> </w:t>
      </w:r>
      <w:r w:rsidRPr="00382917">
        <w:t>in</w:t>
      </w:r>
      <w:r w:rsidR="00EE4FC3">
        <w:t xml:space="preserve"> </w:t>
      </w:r>
      <w:r w:rsidRPr="00382917">
        <w:t>response</w:t>
      </w:r>
      <w:r w:rsidR="00EE4FC3">
        <w:t xml:space="preserve"> </w:t>
      </w:r>
      <w:r w:rsidRPr="00382917">
        <w:t>to</w:t>
      </w:r>
      <w:r w:rsidR="00EE4FC3">
        <w:t xml:space="preserve"> </w:t>
      </w:r>
      <w:r w:rsidRPr="00382917">
        <w:t>his</w:t>
      </w:r>
      <w:r w:rsidR="00EE4FC3">
        <w:t xml:space="preserve"> </w:t>
      </w:r>
      <w:r w:rsidRPr="00382917">
        <w:t>appeal</w:t>
      </w:r>
      <w:r w:rsidR="00EE4FC3">
        <w:t xml:space="preserve"> </w:t>
      </w:r>
      <w:r w:rsidRPr="00382917">
        <w:t>and</w:t>
      </w:r>
      <w:r w:rsidR="00EE4FC3">
        <w:t xml:space="preserve"> </w:t>
      </w:r>
      <w:r w:rsidRPr="00382917">
        <w:t>made</w:t>
      </w:r>
      <w:r w:rsidR="00EE4FC3">
        <w:t xml:space="preserve"> </w:t>
      </w:r>
      <w:r w:rsidRPr="00382917">
        <w:t>every</w:t>
      </w:r>
      <w:r w:rsidR="00EE4FC3">
        <w:t xml:space="preserve"> </w:t>
      </w:r>
      <w:r w:rsidRPr="00382917">
        <w:t>preparation</w:t>
      </w:r>
      <w:r w:rsidR="00EE4FC3">
        <w:t xml:space="preserve"> </w:t>
      </w:r>
      <w:r w:rsidRPr="00382917">
        <w:t>for</w:t>
      </w:r>
      <w:r w:rsidR="00EE4FC3">
        <w:t xml:space="preserve"> </w:t>
      </w:r>
      <w:r w:rsidRPr="00382917">
        <w:t>the</w:t>
      </w:r>
      <w:r w:rsidR="00EE4FC3">
        <w:t xml:space="preserve"> </w:t>
      </w:r>
      <w:r w:rsidRPr="00382917">
        <w:t>dawn,</w:t>
      </w:r>
      <w:r w:rsidR="00EE4FC3">
        <w:t xml:space="preserve"> </w:t>
      </w:r>
      <w:r w:rsidRPr="00382917">
        <w:t>arming</w:t>
      </w:r>
      <w:r w:rsidR="00EE4FC3">
        <w:t xml:space="preserve"> </w:t>
      </w:r>
      <w:r w:rsidRPr="00382917">
        <w:t>themselves</w:t>
      </w:r>
      <w:r w:rsidR="00EE4FC3">
        <w:t xml:space="preserve"> </w:t>
      </w:r>
      <w:r w:rsidRPr="00382917">
        <w:t>with</w:t>
      </w:r>
      <w:r w:rsidR="00EE4FC3">
        <w:t xml:space="preserve"> </w:t>
      </w:r>
      <w:r w:rsidRPr="00382917">
        <w:t>any</w:t>
      </w:r>
      <w:r w:rsidR="00EE4FC3">
        <w:t xml:space="preserve"> </w:t>
      </w:r>
      <w:r w:rsidRPr="00382917">
        <w:t>weapon</w:t>
      </w:r>
      <w:r w:rsidR="00EE4FC3">
        <w:t xml:space="preserve"> </w:t>
      </w:r>
      <w:r w:rsidRPr="00382917">
        <w:t>they</w:t>
      </w:r>
      <w:r w:rsidR="00EE4FC3">
        <w:t xml:space="preserve"> </w:t>
      </w:r>
      <w:r w:rsidRPr="00382917">
        <w:t>could</w:t>
      </w:r>
      <w:r w:rsidR="00EE4FC3">
        <w:t xml:space="preserve"> </w:t>
      </w:r>
      <w:r w:rsidRPr="00382917">
        <w:t>find</w:t>
      </w:r>
      <w:r w:rsidR="00EE4FC3">
        <w:t xml:space="preserve"> </w:t>
      </w:r>
      <w:r w:rsidRPr="00382917">
        <w:t>or</w:t>
      </w:r>
      <w:r w:rsidR="00EE4FC3">
        <w:t xml:space="preserve"> </w:t>
      </w:r>
      <w:r w:rsidRPr="00382917">
        <w:t>devise.</w:t>
      </w:r>
    </w:p>
    <w:p w:rsidR="006E01DB" w:rsidRPr="00382917" w:rsidRDefault="006E01DB" w:rsidP="006E01DB">
      <w:pPr>
        <w:pStyle w:val="Text"/>
      </w:pPr>
      <w:r w:rsidRPr="00382917">
        <w:t>The</w:t>
      </w:r>
      <w:r w:rsidR="00EE4FC3">
        <w:t xml:space="preserve"> </w:t>
      </w:r>
      <w:r w:rsidRPr="00382917">
        <w:t>next</w:t>
      </w:r>
      <w:r w:rsidR="00EE4FC3">
        <w:t xml:space="preserve"> </w:t>
      </w:r>
      <w:r w:rsidRPr="00382917">
        <w:t>morning</w:t>
      </w:r>
      <w:r w:rsidR="00EE4FC3">
        <w:t xml:space="preserve"> </w:t>
      </w:r>
      <w:r w:rsidRPr="00382917">
        <w:t>immediately</w:t>
      </w:r>
      <w:r w:rsidR="00EE4FC3">
        <w:t xml:space="preserve"> </w:t>
      </w:r>
      <w:r w:rsidRPr="00382917">
        <w:t>after</w:t>
      </w:r>
      <w:r w:rsidR="00EE4FC3">
        <w:t xml:space="preserve"> </w:t>
      </w:r>
      <w:r w:rsidRPr="00382917">
        <w:t>offering</w:t>
      </w:r>
      <w:r w:rsidR="00EE4FC3">
        <w:t xml:space="preserve"> </w:t>
      </w:r>
      <w:r w:rsidRPr="00382917">
        <w:t>his</w:t>
      </w:r>
      <w:r w:rsidR="00EE4FC3">
        <w:t xml:space="preserve"> </w:t>
      </w:r>
      <w:r w:rsidRPr="00382917">
        <w:t>morning</w:t>
      </w:r>
      <w:r w:rsidR="00EE4FC3">
        <w:t xml:space="preserve"> </w:t>
      </w:r>
      <w:r w:rsidRPr="00382917">
        <w:t>prayers,</w:t>
      </w:r>
      <w:r w:rsidR="00EE4FC3">
        <w:t xml:space="preserve"> </w:t>
      </w:r>
      <w:r w:rsidRPr="00382917">
        <w:t>Mullá</w:t>
      </w:r>
      <w:r w:rsidR="00EE4FC3">
        <w:t xml:space="preserve"> </w:t>
      </w:r>
      <w:r w:rsidR="00964C11" w:rsidRPr="00382917">
        <w:t>Ḥusayn</w:t>
      </w:r>
      <w:r w:rsidR="00EE4FC3">
        <w:t xml:space="preserve"> </w:t>
      </w:r>
      <w:r w:rsidRPr="00382917">
        <w:t>called</w:t>
      </w:r>
      <w:r w:rsidR="00EE4FC3">
        <w:t xml:space="preserve"> </w:t>
      </w:r>
      <w:r w:rsidRPr="00382917">
        <w:t>his</w:t>
      </w:r>
      <w:r w:rsidR="00EE4FC3">
        <w:t xml:space="preserve"> </w:t>
      </w:r>
      <w:r w:rsidRPr="00382917">
        <w:t>companions</w:t>
      </w:r>
      <w:r w:rsidR="00EE4FC3">
        <w:t xml:space="preserve"> </w:t>
      </w:r>
      <w:r w:rsidRPr="00382917">
        <w:t>together</w:t>
      </w:r>
      <w:r w:rsidR="00EE4FC3">
        <w:t xml:space="preserve"> </w:t>
      </w:r>
      <w:r w:rsidRPr="00382917">
        <w:t>and</w:t>
      </w:r>
      <w:r w:rsidR="00EE4FC3">
        <w:t xml:space="preserve"> </w:t>
      </w:r>
      <w:r w:rsidRPr="00382917">
        <w:t>told</w:t>
      </w:r>
      <w:r w:rsidR="00EE4FC3">
        <w:t xml:space="preserve"> </w:t>
      </w:r>
      <w:r w:rsidRPr="00382917">
        <w:t>them</w:t>
      </w:r>
      <w:r w:rsidR="00EE4FC3">
        <w:t xml:space="preserve"> </w:t>
      </w:r>
      <w:r w:rsidRPr="00382917">
        <w:t>to</w:t>
      </w:r>
      <w:r w:rsidR="00EE4FC3">
        <w:t xml:space="preserve"> </w:t>
      </w:r>
      <w:r w:rsidRPr="00382917">
        <w:t>discard</w:t>
      </w:r>
      <w:r w:rsidR="00EE4FC3">
        <w:t xml:space="preserve"> </w:t>
      </w:r>
      <w:r w:rsidRPr="00382917">
        <w:t>all</w:t>
      </w:r>
      <w:r w:rsidR="00EE4FC3">
        <w:t xml:space="preserve"> </w:t>
      </w:r>
      <w:r w:rsidRPr="00382917">
        <w:t>their</w:t>
      </w:r>
      <w:r w:rsidR="00EE4FC3">
        <w:t xml:space="preserve"> </w:t>
      </w:r>
      <w:r w:rsidRPr="00382917">
        <w:t>possessions.</w:t>
      </w:r>
    </w:p>
    <w:p w:rsidR="006E01DB" w:rsidRPr="00382917" w:rsidRDefault="009C713D" w:rsidP="006E01DB">
      <w:pPr>
        <w:pStyle w:val="Text"/>
      </w:pPr>
      <w:r w:rsidRPr="00382917">
        <w:t>“</w:t>
      </w:r>
      <w:r w:rsidR="006E01DB" w:rsidRPr="00382917">
        <w:t>Leave</w:t>
      </w:r>
      <w:r w:rsidR="00EE4FC3">
        <w:t xml:space="preserve"> </w:t>
      </w:r>
      <w:r w:rsidR="006E01DB" w:rsidRPr="00382917">
        <w:t>behind</w:t>
      </w:r>
      <w:r w:rsidR="00EE4FC3">
        <w:t xml:space="preserve"> </w:t>
      </w:r>
      <w:r w:rsidR="006E01DB" w:rsidRPr="00382917">
        <w:t>all</w:t>
      </w:r>
      <w:r w:rsidR="00EE4FC3">
        <w:t xml:space="preserve"> </w:t>
      </w:r>
      <w:r w:rsidR="006E01DB" w:rsidRPr="00382917">
        <w:t>your</w:t>
      </w:r>
      <w:r w:rsidR="00EE4FC3">
        <w:t xml:space="preserve"> </w:t>
      </w:r>
      <w:r w:rsidR="006E01DB" w:rsidRPr="00382917">
        <w:t>belongings,</w:t>
      </w:r>
      <w:r w:rsidRPr="00382917">
        <w:t>”</w:t>
      </w:r>
      <w:r w:rsidR="00EE4FC3">
        <w:t xml:space="preserve"> </w:t>
      </w:r>
      <w:r w:rsidR="006E01DB" w:rsidRPr="00382917">
        <w:t>he</w:t>
      </w:r>
      <w:r w:rsidR="00EE4FC3">
        <w:t xml:space="preserve"> </w:t>
      </w:r>
      <w:r w:rsidR="006E01DB" w:rsidRPr="00382917">
        <w:t>urged</w:t>
      </w:r>
      <w:r w:rsidR="00EE4FC3">
        <w:t xml:space="preserve"> </w:t>
      </w:r>
      <w:r w:rsidR="006E01DB" w:rsidRPr="00382917">
        <w:t>them</w:t>
      </w:r>
      <w:r w:rsidR="00A93643">
        <w:t>.</w:t>
      </w:r>
      <w:r w:rsidR="00EE4FC3">
        <w:t xml:space="preserve">  </w:t>
      </w:r>
      <w:r w:rsidRPr="00382917">
        <w:t>“</w:t>
      </w:r>
      <w:r w:rsidR="006E01DB" w:rsidRPr="00382917">
        <w:t>Content</w:t>
      </w:r>
      <w:r w:rsidR="00EE4FC3">
        <w:t xml:space="preserve"> </w:t>
      </w:r>
      <w:r w:rsidR="006E01DB" w:rsidRPr="00382917">
        <w:t>yourself</w:t>
      </w:r>
      <w:r w:rsidR="00EE4FC3">
        <w:t xml:space="preserve"> </w:t>
      </w:r>
      <w:r w:rsidR="006E01DB" w:rsidRPr="00382917">
        <w:t>with</w:t>
      </w:r>
      <w:r w:rsidR="00EE4FC3">
        <w:t xml:space="preserve"> </w:t>
      </w:r>
      <w:r w:rsidR="006E01DB" w:rsidRPr="00382917">
        <w:t>only</w:t>
      </w:r>
      <w:r w:rsidR="00EE4FC3">
        <w:t xml:space="preserve"> </w:t>
      </w:r>
      <w:r w:rsidR="006E01DB" w:rsidRPr="00382917">
        <w:t>your</w:t>
      </w:r>
      <w:r w:rsidR="00EE4FC3">
        <w:t xml:space="preserve"> </w:t>
      </w:r>
      <w:r w:rsidR="006E01DB" w:rsidRPr="00382917">
        <w:t>steeds</w:t>
      </w:r>
      <w:r w:rsidR="00EE4FC3">
        <w:t xml:space="preserve"> </w:t>
      </w:r>
      <w:r w:rsidR="006E01DB" w:rsidRPr="00382917">
        <w:t>and</w:t>
      </w:r>
      <w:r w:rsidR="00EE4FC3">
        <w:t xml:space="preserve"> </w:t>
      </w:r>
      <w:r w:rsidR="006E01DB" w:rsidRPr="00382917">
        <w:t>your</w:t>
      </w:r>
      <w:r w:rsidR="00EE4FC3">
        <w:t xml:space="preserve"> </w:t>
      </w:r>
      <w:r w:rsidR="006E01DB" w:rsidRPr="00382917">
        <w:t>swords,</w:t>
      </w:r>
      <w:r w:rsidR="00EE4FC3">
        <w:t xml:space="preserve"> </w:t>
      </w:r>
      <w:r w:rsidR="006E01DB" w:rsidRPr="00382917">
        <w:t>so</w:t>
      </w:r>
      <w:r w:rsidR="00EE4FC3">
        <w:t xml:space="preserve"> </w:t>
      </w:r>
      <w:r w:rsidR="006E01DB" w:rsidRPr="00382917">
        <w:t>that</w:t>
      </w:r>
      <w:r w:rsidR="00EE4FC3">
        <w:t xml:space="preserve"> </w:t>
      </w:r>
      <w:r w:rsidR="006E01DB" w:rsidRPr="00382917">
        <w:t>all</w:t>
      </w:r>
      <w:r w:rsidR="00EE4FC3">
        <w:t xml:space="preserve"> </w:t>
      </w:r>
      <w:r w:rsidR="006E01DB" w:rsidRPr="00382917">
        <w:t>may</w:t>
      </w:r>
      <w:r w:rsidR="00EE4FC3">
        <w:t xml:space="preserve"> </w:t>
      </w:r>
      <w:r w:rsidR="006E01DB" w:rsidRPr="00382917">
        <w:t>witness</w:t>
      </w:r>
      <w:r w:rsidR="00EE4FC3">
        <w:t xml:space="preserve"> </w:t>
      </w:r>
      <w:r w:rsidR="006E01DB" w:rsidRPr="00382917">
        <w:t>your</w:t>
      </w:r>
      <w:r w:rsidR="00EE4FC3">
        <w:t xml:space="preserve"> </w:t>
      </w:r>
      <w:r w:rsidR="006E01DB" w:rsidRPr="00382917">
        <w:t>abandonment</w:t>
      </w:r>
      <w:r w:rsidR="00EE4FC3">
        <w:t xml:space="preserve"> </w:t>
      </w:r>
      <w:r w:rsidR="006E01DB" w:rsidRPr="00382917">
        <w:t>of</w:t>
      </w:r>
      <w:r w:rsidR="00EE4FC3">
        <w:t xml:space="preserve"> </w:t>
      </w:r>
      <w:r w:rsidR="006E01DB" w:rsidRPr="00382917">
        <w:t>all</w:t>
      </w:r>
      <w:r w:rsidR="00EE4FC3">
        <w:t xml:space="preserve"> </w:t>
      </w:r>
      <w:r w:rsidR="006E01DB" w:rsidRPr="00382917">
        <w:t>earthly</w:t>
      </w:r>
      <w:r w:rsidR="00EE4FC3">
        <w:t xml:space="preserve"> </w:t>
      </w:r>
      <w:r w:rsidR="006E01DB" w:rsidRPr="00382917">
        <w:t>things</w:t>
      </w:r>
      <w:r w:rsidR="00A93643">
        <w:t>.</w:t>
      </w:r>
      <w:r w:rsidR="00EE4FC3">
        <w:t xml:space="preserve">  </w:t>
      </w:r>
      <w:r w:rsidR="006E01DB" w:rsidRPr="00382917">
        <w:t>Then</w:t>
      </w:r>
      <w:r w:rsidR="00EE4FC3">
        <w:t xml:space="preserve"> </w:t>
      </w:r>
      <w:r w:rsidR="006E01DB" w:rsidRPr="00382917">
        <w:t>may</w:t>
      </w:r>
      <w:r w:rsidR="00EE4FC3">
        <w:t xml:space="preserve"> </w:t>
      </w:r>
      <w:r w:rsidR="006E01DB" w:rsidRPr="00382917">
        <w:t>they</w:t>
      </w:r>
      <w:r w:rsidR="00EE4FC3">
        <w:t xml:space="preserve"> </w:t>
      </w:r>
      <w:r w:rsidR="006E01DB" w:rsidRPr="00382917">
        <w:t>realize</w:t>
      </w:r>
      <w:r w:rsidR="00EE4FC3">
        <w:t xml:space="preserve"> </w:t>
      </w:r>
      <w:r w:rsidR="006E01DB" w:rsidRPr="00382917">
        <w:t>that</w:t>
      </w:r>
      <w:r w:rsidR="00EE4FC3">
        <w:t xml:space="preserve"> </w:t>
      </w:r>
      <w:r w:rsidR="006E01DB" w:rsidRPr="00382917">
        <w:t>this</w:t>
      </w:r>
      <w:r w:rsidR="00EE4FC3">
        <w:t xml:space="preserve"> </w:t>
      </w:r>
      <w:r w:rsidR="006E01DB" w:rsidRPr="00382917">
        <w:t>little</w:t>
      </w:r>
      <w:r w:rsidR="00EE4FC3">
        <w:t xml:space="preserve"> </w:t>
      </w:r>
      <w:r w:rsidR="006E01DB" w:rsidRPr="00382917">
        <w:t>band</w:t>
      </w:r>
      <w:r w:rsidR="00EE4FC3">
        <w:t xml:space="preserve"> </w:t>
      </w:r>
      <w:r w:rsidR="006E01DB" w:rsidRPr="00382917">
        <w:t>of</w:t>
      </w:r>
      <w:r w:rsidR="00EE4FC3">
        <w:t xml:space="preserve"> </w:t>
      </w:r>
      <w:r w:rsidR="006E01DB" w:rsidRPr="00382917">
        <w:t>God</w:t>
      </w:r>
      <w:r w:rsidRPr="00382917">
        <w:t>’</w:t>
      </w:r>
      <w:r w:rsidR="006E01DB" w:rsidRPr="00382917">
        <w:t>s</w:t>
      </w:r>
      <w:r w:rsidR="00EE4FC3">
        <w:t xml:space="preserve"> </w:t>
      </w:r>
      <w:r w:rsidR="006E01DB" w:rsidRPr="00382917">
        <w:t>chosen</w:t>
      </w:r>
      <w:r w:rsidR="00EE4FC3">
        <w:t xml:space="preserve"> </w:t>
      </w:r>
      <w:r w:rsidR="006E01DB" w:rsidRPr="00382917">
        <w:t>companions</w:t>
      </w:r>
      <w:r w:rsidR="00EE4FC3">
        <w:t xml:space="preserve"> </w:t>
      </w:r>
      <w:r w:rsidR="006E01DB" w:rsidRPr="00382917">
        <w:t>has</w:t>
      </w:r>
      <w:r w:rsidR="00EE4FC3">
        <w:t xml:space="preserve"> </w:t>
      </w:r>
      <w:r w:rsidR="006E01DB" w:rsidRPr="00382917">
        <w:t>no</w:t>
      </w:r>
      <w:r w:rsidR="00EE4FC3">
        <w:t xml:space="preserve"> </w:t>
      </w:r>
      <w:r w:rsidR="006E01DB" w:rsidRPr="00382917">
        <w:t>desire</w:t>
      </w:r>
      <w:r w:rsidR="00EE4FC3">
        <w:t xml:space="preserve"> </w:t>
      </w:r>
      <w:r w:rsidR="006E01DB" w:rsidRPr="00382917">
        <w:t>to</w:t>
      </w:r>
      <w:r w:rsidR="00EE4FC3">
        <w:t xml:space="preserve"> </w:t>
      </w:r>
      <w:r w:rsidR="006E01DB" w:rsidRPr="00382917">
        <w:t>safeguard</w:t>
      </w:r>
      <w:r w:rsidR="00EE4FC3">
        <w:t xml:space="preserve"> </w:t>
      </w:r>
      <w:r w:rsidR="006E01DB" w:rsidRPr="00382917">
        <w:t>its</w:t>
      </w:r>
      <w:r w:rsidR="00EE4FC3">
        <w:t xml:space="preserve"> </w:t>
      </w:r>
      <w:r w:rsidR="006E01DB" w:rsidRPr="00382917">
        <w:t>own</w:t>
      </w:r>
      <w:r w:rsidR="00EE4FC3">
        <w:t xml:space="preserve"> </w:t>
      </w:r>
      <w:r w:rsidR="006E01DB" w:rsidRPr="00382917">
        <w:t>property,</w:t>
      </w:r>
      <w:r w:rsidR="00EE4FC3">
        <w:t xml:space="preserve"> </w:t>
      </w:r>
      <w:r w:rsidR="006E01DB" w:rsidRPr="00382917">
        <w:t>much</w:t>
      </w:r>
      <w:r w:rsidR="00EE4FC3">
        <w:t xml:space="preserve"> </w:t>
      </w:r>
      <w:r w:rsidR="006E01DB" w:rsidRPr="00382917">
        <w:t>less</w:t>
      </w:r>
      <w:r w:rsidR="00EE4FC3">
        <w:t xml:space="preserve"> </w:t>
      </w:r>
      <w:r w:rsidR="006E01DB" w:rsidRPr="00382917">
        <w:t>covet</w:t>
      </w:r>
      <w:r w:rsidR="00EE4FC3">
        <w:t xml:space="preserve"> </w:t>
      </w:r>
      <w:r w:rsidR="006E01DB" w:rsidRPr="00382917">
        <w:t>the</w:t>
      </w:r>
      <w:r w:rsidR="00EE4FC3">
        <w:t xml:space="preserve"> </w:t>
      </w:r>
      <w:r w:rsidR="006E01DB" w:rsidRPr="00382917">
        <w:t>property</w:t>
      </w:r>
      <w:r w:rsidR="00EE4FC3">
        <w:t xml:space="preserve"> </w:t>
      </w:r>
      <w:r w:rsidR="006E01DB" w:rsidRPr="00382917">
        <w:t>of</w:t>
      </w:r>
      <w:r w:rsidR="00EE4FC3">
        <w:t xml:space="preserve"> </w:t>
      </w:r>
      <w:r w:rsidR="006E01DB" w:rsidRPr="00382917">
        <w:t>others.</w:t>
      </w:r>
      <w:r w:rsidRPr="00382917">
        <w:t>”</w:t>
      </w:r>
    </w:p>
    <w:p w:rsidR="006E01DB" w:rsidRPr="00382917" w:rsidRDefault="006E01DB" w:rsidP="006E01DB">
      <w:pPr>
        <w:pStyle w:val="Text"/>
      </w:pPr>
      <w:proofErr w:type="gramStart"/>
      <w:r w:rsidRPr="00382917">
        <w:t>Instantly</w:t>
      </w:r>
      <w:r w:rsidR="00EE4FC3">
        <w:t xml:space="preserve"> </w:t>
      </w:r>
      <w:r w:rsidRPr="00382917">
        <w:t>all</w:t>
      </w:r>
      <w:r w:rsidR="00EE4FC3">
        <w:t xml:space="preserve"> </w:t>
      </w:r>
      <w:r w:rsidRPr="00382917">
        <w:t>obeyed</w:t>
      </w:r>
      <w:r w:rsidR="00A93643">
        <w:t>.</w:t>
      </w:r>
      <w:proofErr w:type="gramEnd"/>
      <w:r w:rsidR="00EE4FC3">
        <w:t xml:space="preserve">  </w:t>
      </w:r>
      <w:r w:rsidRPr="00382917">
        <w:t>They</w:t>
      </w:r>
      <w:r w:rsidR="00EE4FC3">
        <w:t xml:space="preserve"> </w:t>
      </w:r>
      <w:r w:rsidRPr="00382917">
        <w:t>unburdened</w:t>
      </w:r>
      <w:r w:rsidR="00EE4FC3">
        <w:t xml:space="preserve"> </w:t>
      </w:r>
      <w:r w:rsidRPr="00382917">
        <w:t>their</w:t>
      </w:r>
      <w:r w:rsidR="00EE4FC3">
        <w:t xml:space="preserve"> </w:t>
      </w:r>
      <w:r w:rsidRPr="00382917">
        <w:t>steeds</w:t>
      </w:r>
      <w:r w:rsidR="00EE4FC3">
        <w:t xml:space="preserve"> </w:t>
      </w:r>
      <w:r w:rsidRPr="00382917">
        <w:t>without</w:t>
      </w:r>
      <w:r w:rsidR="00EE4FC3">
        <w:t xml:space="preserve"> </w:t>
      </w:r>
      <w:r w:rsidRPr="00382917">
        <w:t>a</w:t>
      </w:r>
      <w:r w:rsidR="00EE4FC3">
        <w:t xml:space="preserve"> </w:t>
      </w:r>
      <w:r w:rsidRPr="00382917">
        <w:t>word</w:t>
      </w:r>
      <w:r w:rsidR="00A93643">
        <w:t>.</w:t>
      </w:r>
      <w:r w:rsidR="00EE4FC3">
        <w:t xml:space="preserve">  </w:t>
      </w:r>
      <w:r w:rsidRPr="00382917">
        <w:t>A</w:t>
      </w:r>
      <w:r w:rsidR="00EE4FC3">
        <w:t xml:space="preserve"> </w:t>
      </w:r>
      <w:r w:rsidRPr="00382917">
        <w:t>prominent</w:t>
      </w:r>
      <w:r w:rsidR="00EE4FC3">
        <w:t xml:space="preserve"> </w:t>
      </w:r>
      <w:r w:rsidRPr="00382917">
        <w:t>merchant,</w:t>
      </w:r>
      <w:r w:rsidR="00EE4FC3">
        <w:t xml:space="preserve"> </w:t>
      </w:r>
      <w:r w:rsidRPr="00382917">
        <w:t>who</w:t>
      </w:r>
      <w:r w:rsidR="00EE4FC3">
        <w:t xml:space="preserve"> </w:t>
      </w:r>
      <w:r w:rsidRPr="00382917">
        <w:t>had</w:t>
      </w:r>
      <w:r w:rsidR="00EE4FC3">
        <w:t xml:space="preserve"> </w:t>
      </w:r>
      <w:r w:rsidRPr="00382917">
        <w:t>joined</w:t>
      </w:r>
      <w:r w:rsidR="00EE4FC3">
        <w:t xml:space="preserve"> </w:t>
      </w:r>
      <w:r w:rsidRPr="00382917">
        <w:t>the</w:t>
      </w:r>
      <w:r w:rsidR="00EE4FC3">
        <w:t xml:space="preserve"> </w:t>
      </w:r>
      <w:r w:rsidRPr="00382917">
        <w:t>band</w:t>
      </w:r>
      <w:r w:rsidR="00EE4FC3">
        <w:t xml:space="preserve"> </w:t>
      </w:r>
      <w:r w:rsidRPr="00382917">
        <w:t>at</w:t>
      </w:r>
      <w:r w:rsidR="00EE4FC3">
        <w:t xml:space="preserve"> </w:t>
      </w:r>
      <w:r w:rsidRPr="00382917">
        <w:t>Níshápúr,</w:t>
      </w:r>
      <w:r w:rsidR="00EE4FC3">
        <w:t xml:space="preserve"> </w:t>
      </w:r>
      <w:r w:rsidRPr="00382917">
        <w:t>had</w:t>
      </w:r>
      <w:r w:rsidR="00EE4FC3">
        <w:t xml:space="preserve"> </w:t>
      </w:r>
      <w:r w:rsidRPr="00382917">
        <w:t>brought</w:t>
      </w:r>
      <w:r w:rsidR="00EE4FC3">
        <w:t xml:space="preserve"> </w:t>
      </w:r>
      <w:r w:rsidRPr="00382917">
        <w:t>with</w:t>
      </w:r>
      <w:r w:rsidR="00EE4FC3">
        <w:t xml:space="preserve"> </w:t>
      </w:r>
      <w:r w:rsidRPr="00382917">
        <w:t>him</w:t>
      </w:r>
      <w:r w:rsidR="00EE4FC3">
        <w:t xml:space="preserve"> </w:t>
      </w:r>
      <w:r w:rsidRPr="00382917">
        <w:t>a</w:t>
      </w:r>
      <w:r w:rsidR="00EE4FC3">
        <w:t xml:space="preserve"> </w:t>
      </w:r>
      <w:r w:rsidRPr="00382917">
        <w:t>satchel</w:t>
      </w:r>
      <w:r w:rsidR="00EE4FC3">
        <w:t xml:space="preserve"> </w:t>
      </w:r>
      <w:r w:rsidRPr="00382917">
        <w:t>full</w:t>
      </w:r>
      <w:r w:rsidR="00EE4FC3">
        <w:t xml:space="preserve"> </w:t>
      </w:r>
      <w:r w:rsidRPr="00382917">
        <w:t>of</w:t>
      </w:r>
      <w:r w:rsidR="00EE4FC3">
        <w:t xml:space="preserve"> </w:t>
      </w:r>
      <w:r w:rsidRPr="00382917">
        <w:t>very</w:t>
      </w:r>
      <w:r w:rsidR="00EE4FC3">
        <w:t xml:space="preserve"> </w:t>
      </w:r>
      <w:r w:rsidRPr="00382917">
        <w:t>precious</w:t>
      </w:r>
      <w:r w:rsidR="00EE4FC3">
        <w:t xml:space="preserve"> </w:t>
      </w:r>
      <w:r w:rsidRPr="00382917">
        <w:t>turquoise</w:t>
      </w:r>
      <w:r w:rsidR="00A93643">
        <w:t>.</w:t>
      </w:r>
      <w:r w:rsidR="00EE4FC3">
        <w:t xml:space="preserve">  </w:t>
      </w:r>
      <w:r w:rsidRPr="00382917">
        <w:t>Yet,</w:t>
      </w:r>
      <w:r w:rsidR="00EE4FC3">
        <w:t xml:space="preserve"> </w:t>
      </w:r>
      <w:r w:rsidRPr="00382917">
        <w:t>at</w:t>
      </w:r>
      <w:r w:rsidR="00EE4FC3">
        <w:t xml:space="preserve"> </w:t>
      </w:r>
      <w:r w:rsidRPr="00382917">
        <w:t>a</w:t>
      </w:r>
      <w:r w:rsidR="00EE4FC3">
        <w:t xml:space="preserve"> </w:t>
      </w:r>
      <w:r w:rsidRPr="00382917">
        <w:t>word</w:t>
      </w:r>
      <w:r w:rsidR="00EE4FC3">
        <w:t xml:space="preserve"> </w:t>
      </w:r>
      <w:r w:rsidRPr="00382917">
        <w:t>from</w:t>
      </w:r>
      <w:r w:rsidR="00EE4FC3">
        <w:t xml:space="preserve"> </w:t>
      </w:r>
      <w:r w:rsidRPr="00382917">
        <w:t>Mullá</w:t>
      </w:r>
      <w:r w:rsidR="00EE4FC3">
        <w:t xml:space="preserve"> </w:t>
      </w:r>
      <w:r w:rsidR="00964C11" w:rsidRPr="00382917">
        <w:t>Ḥusayn</w:t>
      </w:r>
      <w:r w:rsidRPr="00382917">
        <w:t>,</w:t>
      </w:r>
      <w:r w:rsidR="00EE4FC3">
        <w:t xml:space="preserve"> </w:t>
      </w:r>
      <w:r w:rsidRPr="00382917">
        <w:t>he</w:t>
      </w:r>
      <w:r w:rsidR="00EE4FC3">
        <w:t xml:space="preserve"> </w:t>
      </w:r>
      <w:r w:rsidRPr="00382917">
        <w:t>was</w:t>
      </w:r>
      <w:r w:rsidR="00EE4FC3">
        <w:t xml:space="preserve"> </w:t>
      </w:r>
      <w:r w:rsidRPr="00382917">
        <w:t>the</w:t>
      </w:r>
      <w:r w:rsidR="00EE4FC3">
        <w:t xml:space="preserve"> </w:t>
      </w:r>
      <w:r w:rsidRPr="00382917">
        <w:t>first</w:t>
      </w:r>
      <w:r w:rsidR="00EE4FC3">
        <w:t xml:space="preserve"> </w:t>
      </w:r>
      <w:r w:rsidRPr="00382917">
        <w:t>to</w:t>
      </w:r>
      <w:r w:rsidR="00EE4FC3">
        <w:t xml:space="preserve"> </w:t>
      </w:r>
      <w:r w:rsidRPr="00382917">
        <w:t>cast</w:t>
      </w:r>
      <w:r w:rsidR="00EE4FC3">
        <w:t xml:space="preserve"> </w:t>
      </w:r>
      <w:r w:rsidRPr="00382917">
        <w:t>aside</w:t>
      </w:r>
      <w:r w:rsidR="00EE4FC3">
        <w:t xml:space="preserve"> </w:t>
      </w:r>
      <w:r w:rsidRPr="00382917">
        <w:t>his</w:t>
      </w:r>
      <w:r w:rsidR="00EE4FC3">
        <w:t xml:space="preserve"> </w:t>
      </w:r>
      <w:r w:rsidRPr="00382917">
        <w:t>treasure</w:t>
      </w:r>
      <w:r w:rsidR="00EE4FC3">
        <w:t xml:space="preserve"> </w:t>
      </w:r>
      <w:r w:rsidRPr="00382917">
        <w:t>as</w:t>
      </w:r>
      <w:r w:rsidR="00EE4FC3">
        <w:t xml:space="preserve"> </w:t>
      </w:r>
      <w:r w:rsidRPr="00382917">
        <w:t>an</w:t>
      </w:r>
      <w:r w:rsidR="00EE4FC3">
        <w:t xml:space="preserve"> </w:t>
      </w:r>
      <w:r w:rsidRPr="00382917">
        <w:t>example</w:t>
      </w:r>
      <w:r w:rsidR="00EE4FC3">
        <w:t xml:space="preserve"> </w:t>
      </w:r>
      <w:r w:rsidRPr="00382917">
        <w:t>to</w:t>
      </w:r>
      <w:r w:rsidR="00EE4FC3">
        <w:t xml:space="preserve"> </w:t>
      </w:r>
      <w:r w:rsidRPr="00382917">
        <w:t>the</w:t>
      </w:r>
      <w:r w:rsidR="00EE4FC3">
        <w:t xml:space="preserve"> </w:t>
      </w:r>
      <w:r w:rsidRPr="00382917">
        <w:t>others</w:t>
      </w:r>
      <w:r w:rsidR="00A93643">
        <w:t>.</w:t>
      </w:r>
      <w:r w:rsidR="00EE4FC3">
        <w:t xml:space="preserve">  </w:t>
      </w:r>
      <w:r w:rsidRPr="00382917">
        <w:t>He</w:t>
      </w:r>
      <w:r w:rsidR="00EE4FC3">
        <w:t xml:space="preserve"> </w:t>
      </w:r>
      <w:r w:rsidRPr="00382917">
        <w:t>hurled</w:t>
      </w:r>
      <w:r w:rsidR="00EE4FC3">
        <w:t xml:space="preserve"> </w:t>
      </w:r>
      <w:r w:rsidRPr="00382917">
        <w:t>it</w:t>
      </w:r>
      <w:r w:rsidR="00EE4FC3">
        <w:t xml:space="preserve"> </w:t>
      </w:r>
      <w:r w:rsidRPr="00382917">
        <w:t>into</w:t>
      </w:r>
      <w:r w:rsidR="00EE4FC3">
        <w:t xml:space="preserve"> </w:t>
      </w:r>
      <w:r w:rsidRPr="00382917">
        <w:t>a</w:t>
      </w:r>
      <w:r w:rsidR="00EE4FC3">
        <w:t xml:space="preserve"> </w:t>
      </w:r>
      <w:r w:rsidRPr="00382917">
        <w:t>ditch</w:t>
      </w:r>
      <w:r w:rsidR="00EE4FC3">
        <w:t xml:space="preserve"> </w:t>
      </w:r>
      <w:r w:rsidRPr="00382917">
        <w:t>without</w:t>
      </w:r>
      <w:r w:rsidR="00EE4FC3">
        <w:t xml:space="preserve"> </w:t>
      </w:r>
      <w:r w:rsidRPr="00382917">
        <w:t>a</w:t>
      </w:r>
      <w:r w:rsidR="00EE4FC3">
        <w:t xml:space="preserve"> </w:t>
      </w:r>
      <w:r w:rsidRPr="00382917">
        <w:t>backward</w:t>
      </w:r>
      <w:r w:rsidR="00EE4FC3">
        <w:t xml:space="preserve"> </w:t>
      </w:r>
      <w:r w:rsidRPr="00382917">
        <w:t>glance.</w:t>
      </w:r>
    </w:p>
    <w:p w:rsidR="006E01DB" w:rsidRPr="00382917" w:rsidRDefault="006E01DB" w:rsidP="006E01DB">
      <w:pPr>
        <w:pStyle w:val="Text"/>
      </w:pPr>
      <w:r w:rsidRPr="00382917">
        <w:t>A</w:t>
      </w:r>
      <w:r w:rsidR="00EE4FC3">
        <w:t xml:space="preserve"> </w:t>
      </w:r>
      <w:r w:rsidRPr="00382917">
        <w:t>short</w:t>
      </w:r>
      <w:r w:rsidR="00EE4FC3">
        <w:t xml:space="preserve"> </w:t>
      </w:r>
      <w:r w:rsidRPr="00382917">
        <w:t>distance</w:t>
      </w:r>
      <w:r w:rsidR="00EE4FC3">
        <w:t xml:space="preserve"> </w:t>
      </w:r>
      <w:r w:rsidRPr="00382917">
        <w:t>from</w:t>
      </w:r>
      <w:r w:rsidR="00EE4FC3">
        <w:t xml:space="preserve"> </w:t>
      </w:r>
      <w:r w:rsidR="00814CFC" w:rsidRPr="00382917">
        <w:t>Bárfurú</w:t>
      </w:r>
      <w:r w:rsidR="00814CFC" w:rsidRPr="00814CFC">
        <w:rPr>
          <w:u w:val="single"/>
        </w:rPr>
        <w:t>sh</w:t>
      </w:r>
      <w:r w:rsidRPr="00382917">
        <w:t>,</w:t>
      </w:r>
      <w:r w:rsidR="00EE4FC3">
        <w:t xml:space="preserve"> </w:t>
      </w:r>
      <w:r w:rsidRPr="00382917">
        <w:t>Mullá</w:t>
      </w:r>
      <w:r w:rsidR="00EE4FC3">
        <w:t xml:space="preserve"> </w:t>
      </w:r>
      <w:r w:rsidR="00964C11" w:rsidRPr="00382917">
        <w:t>Ḥusayn</w:t>
      </w:r>
      <w:r w:rsidR="00EE4FC3">
        <w:t xml:space="preserve"> </w:t>
      </w:r>
      <w:r w:rsidRPr="00382917">
        <w:t>and</w:t>
      </w:r>
      <w:r w:rsidR="00EE4FC3">
        <w:t xml:space="preserve"> </w:t>
      </w:r>
      <w:r w:rsidRPr="00382917">
        <w:t>his</w:t>
      </w:r>
      <w:r w:rsidR="00EE4FC3">
        <w:t xml:space="preserve"> </w:t>
      </w:r>
      <w:r w:rsidRPr="00382917">
        <w:t>companions</w:t>
      </w:r>
      <w:r w:rsidR="00EE4FC3">
        <w:t xml:space="preserve"> </w:t>
      </w:r>
      <w:r w:rsidRPr="00382917">
        <w:t>encountered</w:t>
      </w:r>
      <w:r w:rsidR="00EE4FC3">
        <w:t xml:space="preserve"> </w:t>
      </w:r>
      <w:r w:rsidRPr="00382917">
        <w:t>a</w:t>
      </w:r>
      <w:r w:rsidR="00EE4FC3">
        <w:t xml:space="preserve"> </w:t>
      </w:r>
      <w:r w:rsidRPr="00382917">
        <w:t>multitude</w:t>
      </w:r>
      <w:r w:rsidR="00EE4FC3">
        <w:t xml:space="preserve"> </w:t>
      </w:r>
      <w:r w:rsidRPr="00382917">
        <w:t>of</w:t>
      </w:r>
      <w:r w:rsidR="00EE4FC3">
        <w:t xml:space="preserve"> </w:t>
      </w:r>
      <w:r w:rsidRPr="00382917">
        <w:t>people</w:t>
      </w:r>
      <w:r w:rsidR="00EE4FC3">
        <w:t xml:space="preserve"> </w:t>
      </w:r>
      <w:r w:rsidRPr="00382917">
        <w:t>who</w:t>
      </w:r>
      <w:r w:rsidR="00EE4FC3">
        <w:t xml:space="preserve"> </w:t>
      </w:r>
      <w:r w:rsidRPr="00382917">
        <w:t>blocked</w:t>
      </w:r>
      <w:r w:rsidR="00EE4FC3">
        <w:t xml:space="preserve"> </w:t>
      </w:r>
      <w:r w:rsidRPr="00382917">
        <w:t>their</w:t>
      </w:r>
      <w:r w:rsidR="00EE4FC3">
        <w:t xml:space="preserve"> </w:t>
      </w:r>
      <w:r w:rsidRPr="00382917">
        <w:t>way</w:t>
      </w:r>
      <w:r w:rsidR="00EE4FC3">
        <w:t xml:space="preserve"> </w:t>
      </w:r>
      <w:r w:rsidRPr="00382917">
        <w:t>along</w:t>
      </w:r>
      <w:r w:rsidR="00EE4FC3">
        <w:t xml:space="preserve"> </w:t>
      </w:r>
      <w:r w:rsidRPr="00382917">
        <w:t>the</w:t>
      </w:r>
      <w:r w:rsidR="00EE4FC3">
        <w:t xml:space="preserve"> </w:t>
      </w:r>
      <w:r w:rsidRPr="00382917">
        <w:t>road</w:t>
      </w:r>
      <w:r w:rsidR="00EE4FC3">
        <w:t xml:space="preserve"> </w:t>
      </w:r>
      <w:r w:rsidRPr="00382917">
        <w:t>to</w:t>
      </w:r>
      <w:r w:rsidR="00EE4FC3">
        <w:t xml:space="preserve"> </w:t>
      </w:r>
      <w:r w:rsidRPr="00382917">
        <w:t>Sárí</w:t>
      </w:r>
      <w:r w:rsidR="00A93643">
        <w:t>.</w:t>
      </w:r>
      <w:r w:rsidR="00EE4FC3">
        <w:t xml:space="preserve">  </w:t>
      </w:r>
      <w:r w:rsidRPr="00382917">
        <w:t>In</w:t>
      </w:r>
      <w:r w:rsidR="00EE4FC3">
        <w:t xml:space="preserve"> </w:t>
      </w:r>
      <w:r w:rsidRPr="00382917">
        <w:t>the</w:t>
      </w:r>
      <w:r w:rsidR="00EE4FC3">
        <w:t xml:space="preserve"> </w:t>
      </w:r>
      <w:r w:rsidRPr="00382917">
        <w:t>face</w:t>
      </w:r>
      <w:r w:rsidR="00EE4FC3">
        <w:t xml:space="preserve"> </w:t>
      </w:r>
      <w:r w:rsidRPr="00382917">
        <w:t>of</w:t>
      </w:r>
      <w:r w:rsidR="00EE4FC3">
        <w:t xml:space="preserve"> </w:t>
      </w:r>
      <w:r w:rsidRPr="00382917">
        <w:t>the</w:t>
      </w:r>
      <w:r w:rsidR="00EE4FC3">
        <w:t xml:space="preserve"> </w:t>
      </w:r>
      <w:r w:rsidRPr="00382917">
        <w:t>uproar</w:t>
      </w:r>
      <w:r w:rsidR="00EE4FC3">
        <w:t xml:space="preserve"> </w:t>
      </w:r>
      <w:r w:rsidRPr="00382917">
        <w:t>from</w:t>
      </w:r>
      <w:r w:rsidR="00EE4FC3">
        <w:t xml:space="preserve"> </w:t>
      </w:r>
      <w:r w:rsidRPr="00382917">
        <w:t>this</w:t>
      </w:r>
      <w:r w:rsidR="00EE4FC3">
        <w:t xml:space="preserve"> </w:t>
      </w:r>
      <w:r w:rsidRPr="00382917">
        <w:t>angry</w:t>
      </w:r>
      <w:r w:rsidR="00EE4FC3">
        <w:t xml:space="preserve"> </w:t>
      </w:r>
      <w:r w:rsidRPr="00382917">
        <w:t>populace,</w:t>
      </w:r>
      <w:r w:rsidR="00EE4FC3">
        <w:t xml:space="preserve"> </w:t>
      </w:r>
      <w:r w:rsidRPr="00382917">
        <w:t>some</w:t>
      </w:r>
      <w:r w:rsidR="00EE4FC3">
        <w:t xml:space="preserve"> </w:t>
      </w:r>
      <w:r w:rsidRPr="00382917">
        <w:t>of</w:t>
      </w:r>
      <w:r w:rsidR="00EE4FC3">
        <w:t xml:space="preserve"> </w:t>
      </w:r>
      <w:r w:rsidRPr="00382917">
        <w:t>the</w:t>
      </w:r>
      <w:r w:rsidR="00EE4FC3">
        <w:t xml:space="preserve"> </w:t>
      </w:r>
      <w:r w:rsidRPr="00382917">
        <w:t>companions</w:t>
      </w:r>
      <w:r w:rsidR="00EE4FC3">
        <w:t xml:space="preserve"> </w:t>
      </w:r>
      <w:r w:rsidRPr="00382917">
        <w:t>began</w:t>
      </w:r>
      <w:r w:rsidR="00EE4FC3">
        <w:t xml:space="preserve"> </w:t>
      </w:r>
      <w:r w:rsidRPr="00382917">
        <w:t>to</w:t>
      </w:r>
      <w:r w:rsidR="00EE4FC3">
        <w:t xml:space="preserve"> </w:t>
      </w:r>
      <w:proofErr w:type="spellStart"/>
      <w:r w:rsidRPr="00382917">
        <w:t>unsheath</w:t>
      </w:r>
      <w:proofErr w:type="spellEnd"/>
      <w:r w:rsidR="00EE4FC3">
        <w:t xml:space="preserve"> </w:t>
      </w:r>
      <w:r w:rsidRPr="00382917">
        <w:t>their</w:t>
      </w:r>
      <w:r w:rsidR="00EE4FC3">
        <w:t xml:space="preserve"> </w:t>
      </w:r>
      <w:r w:rsidRPr="00382917">
        <w:t>swords.</w:t>
      </w:r>
    </w:p>
    <w:p w:rsidR="006E01DB" w:rsidRPr="00382917" w:rsidRDefault="009C713D" w:rsidP="006E01DB">
      <w:pPr>
        <w:pStyle w:val="Text"/>
      </w:pPr>
      <w:r w:rsidRPr="00382917">
        <w:t>“</w:t>
      </w:r>
      <w:r w:rsidR="006E01DB" w:rsidRPr="00382917">
        <w:t>No,</w:t>
      </w:r>
      <w:r w:rsidRPr="00382917">
        <w:t>”</w:t>
      </w:r>
      <w:r w:rsidR="00EE4FC3">
        <w:t xml:space="preserve"> </w:t>
      </w:r>
      <w:r w:rsidR="006E01DB" w:rsidRPr="00382917">
        <w:t>Mullá</w:t>
      </w:r>
      <w:r w:rsidR="00EE4FC3">
        <w:t xml:space="preserve"> </w:t>
      </w:r>
      <w:r w:rsidR="00964C11" w:rsidRPr="00382917">
        <w:t>Ḥusayn</w:t>
      </w:r>
      <w:r w:rsidR="00EE4FC3">
        <w:t xml:space="preserve"> </w:t>
      </w:r>
      <w:r w:rsidR="006E01DB" w:rsidRPr="00382917">
        <w:t>told</w:t>
      </w:r>
      <w:r w:rsidR="00EE4FC3">
        <w:t xml:space="preserve"> </w:t>
      </w:r>
      <w:r w:rsidR="006E01DB" w:rsidRPr="00382917">
        <w:t>them</w:t>
      </w:r>
      <w:r w:rsidR="00A93643">
        <w:t>.</w:t>
      </w:r>
      <w:r w:rsidR="00EE4FC3">
        <w:t xml:space="preserve">  </w:t>
      </w:r>
      <w:r w:rsidR="006E01DB" w:rsidRPr="00382917">
        <w:t>Not</w:t>
      </w:r>
      <w:r w:rsidR="00EE4FC3">
        <w:t xml:space="preserve"> </w:t>
      </w:r>
      <w:r w:rsidR="006E01DB" w:rsidRPr="00382917">
        <w:t>yet</w:t>
      </w:r>
      <w:r w:rsidR="00A93643">
        <w:t>.</w:t>
      </w:r>
      <w:r w:rsidR="00EE4FC3">
        <w:t xml:space="preserve">  </w:t>
      </w:r>
      <w:r w:rsidR="006E01DB" w:rsidRPr="00382917">
        <w:t>Not</w:t>
      </w:r>
      <w:r w:rsidR="00EE4FC3">
        <w:t xml:space="preserve"> </w:t>
      </w:r>
      <w:r w:rsidR="006E01DB" w:rsidRPr="00382917">
        <w:t>until</w:t>
      </w:r>
      <w:r w:rsidR="00EE4FC3">
        <w:t xml:space="preserve"> </w:t>
      </w:r>
      <w:r w:rsidR="006E01DB" w:rsidRPr="00382917">
        <w:t>the</w:t>
      </w:r>
      <w:r w:rsidR="00EE4FC3">
        <w:t xml:space="preserve"> </w:t>
      </w:r>
      <w:r w:rsidR="006E01DB" w:rsidRPr="00382917">
        <w:t>aggressor</w:t>
      </w:r>
    </w:p>
    <w:p w:rsidR="006E01DB" w:rsidRPr="00382917" w:rsidRDefault="006E01DB">
      <w:pPr>
        <w:widowControl/>
        <w:kinsoku/>
        <w:overflowPunct/>
        <w:textAlignment w:val="auto"/>
      </w:pPr>
      <w:r w:rsidRPr="00382917">
        <w:br w:type="page"/>
      </w:r>
    </w:p>
    <w:p w:rsidR="00B2576B" w:rsidRPr="00382917" w:rsidRDefault="00B2576B" w:rsidP="00B2576B">
      <w:pPr>
        <w:pStyle w:val="Textcts"/>
      </w:pPr>
      <w:proofErr w:type="gramStart"/>
      <w:r w:rsidRPr="00382917">
        <w:t>forces</w:t>
      </w:r>
      <w:proofErr w:type="gramEnd"/>
      <w:r w:rsidR="00EE4FC3">
        <w:t xml:space="preserve"> </w:t>
      </w:r>
      <w:r w:rsidRPr="00382917">
        <w:t>us</w:t>
      </w:r>
      <w:r w:rsidR="00EE4FC3">
        <w:t xml:space="preserve"> </w:t>
      </w:r>
      <w:r w:rsidRPr="00382917">
        <w:t>to</w:t>
      </w:r>
      <w:r w:rsidR="00EE4FC3">
        <w:t xml:space="preserve"> </w:t>
      </w:r>
      <w:r w:rsidRPr="00382917">
        <w:t>protect</w:t>
      </w:r>
      <w:r w:rsidR="00EE4FC3">
        <w:t xml:space="preserve"> </w:t>
      </w:r>
      <w:r w:rsidRPr="00382917">
        <w:t>ourselves</w:t>
      </w:r>
      <w:r w:rsidR="00EE4FC3">
        <w:t xml:space="preserve"> </w:t>
      </w:r>
      <w:r w:rsidRPr="00382917">
        <w:t>must</w:t>
      </w:r>
      <w:r w:rsidR="00EE4FC3">
        <w:t xml:space="preserve"> </w:t>
      </w:r>
      <w:r w:rsidRPr="00382917">
        <w:t>our</w:t>
      </w:r>
      <w:r w:rsidR="00EE4FC3">
        <w:t xml:space="preserve"> </w:t>
      </w:r>
      <w:r w:rsidRPr="00382917">
        <w:t>swords</w:t>
      </w:r>
      <w:r w:rsidR="00EE4FC3">
        <w:t xml:space="preserve"> </w:t>
      </w:r>
      <w:r w:rsidRPr="00382917">
        <w:t>leave</w:t>
      </w:r>
      <w:r w:rsidR="00EE4FC3">
        <w:t xml:space="preserve"> </w:t>
      </w:r>
      <w:r w:rsidRPr="00382917">
        <w:t>their</w:t>
      </w:r>
      <w:r w:rsidR="00EE4FC3">
        <w:t xml:space="preserve"> </w:t>
      </w:r>
      <w:r w:rsidRPr="00382917">
        <w:t>scabbards.</w:t>
      </w:r>
      <w:r w:rsidR="009C713D" w:rsidRPr="00382917">
        <w:t>”</w:t>
      </w:r>
    </w:p>
    <w:p w:rsidR="00B2576B" w:rsidRPr="00382917" w:rsidRDefault="00B2576B" w:rsidP="009C713D">
      <w:pPr>
        <w:pStyle w:val="Text"/>
      </w:pPr>
      <w:r w:rsidRPr="00382917">
        <w:t>The</w:t>
      </w:r>
      <w:r w:rsidR="00EE4FC3">
        <w:t xml:space="preserve"> </w:t>
      </w:r>
      <w:r w:rsidRPr="00382917">
        <w:t>mob</w:t>
      </w:r>
      <w:r w:rsidR="00EE4FC3">
        <w:t xml:space="preserve"> </w:t>
      </w:r>
      <w:r w:rsidRPr="00382917">
        <w:t>armed</w:t>
      </w:r>
      <w:r w:rsidR="00EE4FC3">
        <w:t xml:space="preserve"> </w:t>
      </w:r>
      <w:r w:rsidRPr="00382917">
        <w:t>with</w:t>
      </w:r>
      <w:r w:rsidR="00EE4FC3">
        <w:t xml:space="preserve"> </w:t>
      </w:r>
      <w:r w:rsidRPr="00382917">
        <w:t>knives,</w:t>
      </w:r>
      <w:r w:rsidR="00EE4FC3">
        <w:t xml:space="preserve"> </w:t>
      </w:r>
      <w:r w:rsidRPr="00382917">
        <w:t>clubs,</w:t>
      </w:r>
      <w:r w:rsidR="00EE4FC3">
        <w:t xml:space="preserve"> </w:t>
      </w:r>
      <w:r w:rsidRPr="00382917">
        <w:t>axes,</w:t>
      </w:r>
      <w:r w:rsidR="00EE4FC3">
        <w:t xml:space="preserve"> </w:t>
      </w:r>
      <w:r w:rsidRPr="00382917">
        <w:t>guns,</w:t>
      </w:r>
      <w:r w:rsidR="00EE4FC3">
        <w:t xml:space="preserve"> </w:t>
      </w:r>
      <w:r w:rsidRPr="00382917">
        <w:t>swords</w:t>
      </w:r>
      <w:r w:rsidR="00EE4FC3">
        <w:t xml:space="preserve"> </w:t>
      </w:r>
      <w:r w:rsidRPr="00382917">
        <w:t>and</w:t>
      </w:r>
      <w:r w:rsidR="00EE4FC3">
        <w:t xml:space="preserve"> </w:t>
      </w:r>
      <w:r w:rsidRPr="00382917">
        <w:t>every</w:t>
      </w:r>
      <w:r w:rsidR="00EE4FC3">
        <w:t xml:space="preserve"> </w:t>
      </w:r>
      <w:r w:rsidRPr="00382917">
        <w:t>conceivable</w:t>
      </w:r>
      <w:r w:rsidR="00EE4FC3">
        <w:t xml:space="preserve"> </w:t>
      </w:r>
      <w:r w:rsidRPr="00382917">
        <w:t>weapon</w:t>
      </w:r>
      <w:r w:rsidR="00EE4FC3">
        <w:t xml:space="preserve"> </w:t>
      </w:r>
      <w:r w:rsidRPr="00382917">
        <w:t>moved</w:t>
      </w:r>
      <w:r w:rsidR="00EE4FC3">
        <w:t xml:space="preserve"> </w:t>
      </w:r>
      <w:r w:rsidRPr="00382917">
        <w:t>forward</w:t>
      </w:r>
      <w:r w:rsidR="00EE4FC3">
        <w:t xml:space="preserve"> </w:t>
      </w:r>
      <w:r w:rsidRPr="00382917">
        <w:t>toward</w:t>
      </w:r>
      <w:r w:rsidR="00EE4FC3">
        <w:t xml:space="preserve"> </w:t>
      </w:r>
      <w:r w:rsidRPr="00382917">
        <w:t>that</w:t>
      </w:r>
      <w:r w:rsidR="00EE4FC3">
        <w:t xml:space="preserve"> </w:t>
      </w:r>
      <w:r w:rsidRPr="00382917">
        <w:t>small</w:t>
      </w:r>
      <w:r w:rsidR="00EE4FC3">
        <w:t xml:space="preserve"> </w:t>
      </w:r>
      <w:r w:rsidRPr="00382917">
        <w:t>group</w:t>
      </w:r>
      <w:r w:rsidR="00A93643">
        <w:t>.</w:t>
      </w:r>
      <w:r w:rsidR="00EE4FC3">
        <w:t xml:space="preserve">  </w:t>
      </w:r>
      <w:r w:rsidRPr="00382917">
        <w:t>They</w:t>
      </w:r>
      <w:r w:rsidR="00EE4FC3">
        <w:t xml:space="preserve"> </w:t>
      </w:r>
      <w:r w:rsidRPr="00382917">
        <w:t>had</w:t>
      </w:r>
      <w:r w:rsidR="00EE4FC3">
        <w:t xml:space="preserve"> </w:t>
      </w:r>
      <w:r w:rsidRPr="00382917">
        <w:t>set</w:t>
      </w:r>
      <w:r w:rsidR="00EE4FC3">
        <w:t xml:space="preserve"> </w:t>
      </w:r>
      <w:r w:rsidRPr="00382917">
        <w:t>out</w:t>
      </w:r>
      <w:r w:rsidR="00EE4FC3">
        <w:t xml:space="preserve"> </w:t>
      </w:r>
      <w:r w:rsidRPr="00382917">
        <w:t>from</w:t>
      </w:r>
      <w:r w:rsidR="00EE4FC3">
        <w:t xml:space="preserve"> </w:t>
      </w:r>
      <w:r w:rsidR="00814CFC" w:rsidRPr="00382917">
        <w:t>Bárfurú</w:t>
      </w:r>
      <w:r w:rsidR="00814CFC" w:rsidRPr="00814CFC">
        <w:rPr>
          <w:u w:val="single"/>
        </w:rPr>
        <w:t>sh</w:t>
      </w:r>
      <w:r w:rsidR="00EE4FC3">
        <w:t xml:space="preserve"> </w:t>
      </w:r>
      <w:r w:rsidRPr="00382917">
        <w:t>at</w:t>
      </w:r>
      <w:r w:rsidR="00EE4FC3">
        <w:t xml:space="preserve"> </w:t>
      </w:r>
      <w:r w:rsidRPr="00382917">
        <w:t>the</w:t>
      </w:r>
      <w:r w:rsidR="00EE4FC3">
        <w:t xml:space="preserve"> </w:t>
      </w:r>
      <w:r w:rsidRPr="00382917">
        <w:t>break</w:t>
      </w:r>
      <w:r w:rsidR="00EE4FC3">
        <w:t xml:space="preserve"> </w:t>
      </w:r>
      <w:r w:rsidRPr="00382917">
        <w:t>of</w:t>
      </w:r>
      <w:r w:rsidR="00EE4FC3">
        <w:t xml:space="preserve"> </w:t>
      </w:r>
      <w:r w:rsidRPr="00382917">
        <w:t>day</w:t>
      </w:r>
      <w:r w:rsidR="00EE4FC3">
        <w:t xml:space="preserve"> </w:t>
      </w:r>
      <w:r w:rsidRPr="00382917">
        <w:t>determined</w:t>
      </w:r>
      <w:r w:rsidR="00EE4FC3">
        <w:t xml:space="preserve"> </w:t>
      </w:r>
      <w:r w:rsidRPr="00382917">
        <w:t>to</w:t>
      </w:r>
      <w:r w:rsidR="00EE4FC3">
        <w:t xml:space="preserve"> </w:t>
      </w:r>
      <w:r w:rsidRPr="00382917">
        <w:t>meet</w:t>
      </w:r>
      <w:r w:rsidR="00EE4FC3">
        <w:t xml:space="preserve"> </w:t>
      </w:r>
      <w:r w:rsidRPr="00382917">
        <w:t>and</w:t>
      </w:r>
      <w:r w:rsidR="00EE4FC3">
        <w:t xml:space="preserve"> </w:t>
      </w:r>
      <w:r w:rsidRPr="00382917">
        <w:t>slay</w:t>
      </w:r>
      <w:r w:rsidR="00EE4FC3">
        <w:t xml:space="preserve"> </w:t>
      </w:r>
      <w:r w:rsidRPr="00382917">
        <w:t>Mullá</w:t>
      </w:r>
      <w:r w:rsidR="00EE4FC3">
        <w:t xml:space="preserve"> </w:t>
      </w:r>
      <w:proofErr w:type="spellStart"/>
      <w:r w:rsidR="00964C11" w:rsidRPr="00382917">
        <w:t>Ḥusayn</w:t>
      </w:r>
      <w:r w:rsidR="009C713D" w:rsidRPr="00382917">
        <w:t>’</w:t>
      </w:r>
      <w:r w:rsidRPr="00382917">
        <w:t>s</w:t>
      </w:r>
      <w:proofErr w:type="spellEnd"/>
      <w:r w:rsidR="00EE4FC3">
        <w:t xml:space="preserve"> </w:t>
      </w:r>
      <w:r w:rsidRPr="00382917">
        <w:t>party,</w:t>
      </w:r>
      <w:r w:rsidR="00EE4FC3">
        <w:t xml:space="preserve"> </w:t>
      </w:r>
      <w:r w:rsidRPr="00382917">
        <w:t>and</w:t>
      </w:r>
      <w:r w:rsidR="00EE4FC3">
        <w:t xml:space="preserve"> </w:t>
      </w:r>
      <w:r w:rsidRPr="00382917">
        <w:t>to</w:t>
      </w:r>
      <w:r w:rsidR="00EE4FC3">
        <w:t xml:space="preserve"> </w:t>
      </w:r>
      <w:r w:rsidRPr="00382917">
        <w:t>plunder</w:t>
      </w:r>
      <w:r w:rsidR="00EE4FC3">
        <w:t xml:space="preserve"> </w:t>
      </w:r>
      <w:r w:rsidRPr="00382917">
        <w:t>their</w:t>
      </w:r>
      <w:r w:rsidR="00EE4FC3">
        <w:t xml:space="preserve"> </w:t>
      </w:r>
      <w:r w:rsidRPr="00382917">
        <w:t>possessions</w:t>
      </w:r>
      <w:r w:rsidR="00A93643">
        <w:t>.</w:t>
      </w:r>
      <w:r w:rsidR="00EE4FC3">
        <w:t xml:space="preserve">  </w:t>
      </w:r>
      <w:r w:rsidRPr="00382917">
        <w:t>The</w:t>
      </w:r>
      <w:r w:rsidR="00EE4FC3">
        <w:t xml:space="preserve"> </w:t>
      </w:r>
      <w:proofErr w:type="gramStart"/>
      <w:r w:rsidRPr="00382917">
        <w:t>Sa</w:t>
      </w:r>
      <w:r w:rsidR="009C713D" w:rsidRPr="00382917">
        <w:t>‘</w:t>
      </w:r>
      <w:r w:rsidRPr="00382917">
        <w:t>ídu</w:t>
      </w:r>
      <w:r w:rsidR="009C713D" w:rsidRPr="00382917">
        <w:t>’</w:t>
      </w:r>
      <w:r w:rsidRPr="00382917">
        <w:t>l</w:t>
      </w:r>
      <w:proofErr w:type="gramEnd"/>
      <w:r w:rsidR="009C713D" w:rsidRPr="00382917">
        <w:t>-‘</w:t>
      </w:r>
      <w:r w:rsidRPr="00382917">
        <w:t>Ulamá</w:t>
      </w:r>
      <w:r w:rsidR="009C713D" w:rsidRPr="00382917">
        <w:t>’</w:t>
      </w:r>
      <w:r w:rsidR="00EE4FC3">
        <w:t xml:space="preserve"> </w:t>
      </w:r>
      <w:r w:rsidRPr="00382917">
        <w:t>had</w:t>
      </w:r>
      <w:r w:rsidR="00EE4FC3">
        <w:t xml:space="preserve"> </w:t>
      </w:r>
      <w:r w:rsidRPr="00382917">
        <w:t>remained</w:t>
      </w:r>
      <w:r w:rsidR="00EE4FC3">
        <w:t xml:space="preserve"> </w:t>
      </w:r>
      <w:r w:rsidRPr="00382917">
        <w:t>behind</w:t>
      </w:r>
      <w:r w:rsidR="00EE4FC3">
        <w:t xml:space="preserve"> </w:t>
      </w:r>
      <w:r w:rsidRPr="00382917">
        <w:t>in</w:t>
      </w:r>
      <w:r w:rsidR="00EE4FC3">
        <w:t xml:space="preserve"> </w:t>
      </w:r>
      <w:r w:rsidRPr="00382917">
        <w:t>the</w:t>
      </w:r>
      <w:r w:rsidR="00EE4FC3">
        <w:t xml:space="preserve"> </w:t>
      </w:r>
      <w:r w:rsidRPr="00382917">
        <w:t>safety</w:t>
      </w:r>
      <w:r w:rsidR="00EE4FC3">
        <w:t xml:space="preserve"> </w:t>
      </w:r>
      <w:r w:rsidRPr="00382917">
        <w:t>of</w:t>
      </w:r>
      <w:r w:rsidR="00EE4FC3">
        <w:t xml:space="preserve"> </w:t>
      </w:r>
      <w:r w:rsidRPr="00382917">
        <w:t>his</w:t>
      </w:r>
      <w:r w:rsidR="00EE4FC3">
        <w:t xml:space="preserve"> </w:t>
      </w:r>
      <w:r w:rsidRPr="00382917">
        <w:t>home</w:t>
      </w:r>
      <w:r w:rsidR="00EE4FC3">
        <w:t xml:space="preserve"> </w:t>
      </w:r>
      <w:r w:rsidRPr="00382917">
        <w:t>after</w:t>
      </w:r>
      <w:r w:rsidR="00EE4FC3">
        <w:t xml:space="preserve"> </w:t>
      </w:r>
      <w:r w:rsidRPr="00382917">
        <w:t>urging</w:t>
      </w:r>
      <w:r w:rsidR="00EE4FC3">
        <w:t xml:space="preserve"> </w:t>
      </w:r>
      <w:r w:rsidRPr="00382917">
        <w:t>the</w:t>
      </w:r>
      <w:r w:rsidR="00EE4FC3">
        <w:t xml:space="preserve"> </w:t>
      </w:r>
      <w:r w:rsidRPr="00382917">
        <w:t>others</w:t>
      </w:r>
      <w:r w:rsidR="00EE4FC3">
        <w:t xml:space="preserve"> </w:t>
      </w:r>
      <w:r w:rsidRPr="00382917">
        <w:t>to</w:t>
      </w:r>
      <w:r w:rsidR="00EE4FC3">
        <w:t xml:space="preserve"> </w:t>
      </w:r>
      <w:r w:rsidRPr="00382917">
        <w:t>attack.</w:t>
      </w:r>
    </w:p>
    <w:p w:rsidR="00E13D49" w:rsidRPr="00382917" w:rsidRDefault="00B2576B" w:rsidP="00D230DC">
      <w:pPr>
        <w:pStyle w:val="Text"/>
      </w:pPr>
      <w:r w:rsidRPr="00382917">
        <w:t>This</w:t>
      </w:r>
      <w:r w:rsidR="00EE4FC3">
        <w:t xml:space="preserve"> </w:t>
      </w:r>
      <w:r w:rsidRPr="00382917">
        <w:t>was</w:t>
      </w:r>
      <w:r w:rsidR="00EE4FC3">
        <w:t xml:space="preserve"> </w:t>
      </w:r>
      <w:r w:rsidRPr="00382917">
        <w:t>but</w:t>
      </w:r>
      <w:r w:rsidR="00EE4FC3">
        <w:t xml:space="preserve"> </w:t>
      </w:r>
      <w:r w:rsidRPr="00382917">
        <w:t>one</w:t>
      </w:r>
      <w:r w:rsidR="00EE4FC3">
        <w:t xml:space="preserve"> </w:t>
      </w:r>
      <w:r w:rsidRPr="00382917">
        <w:t>of</w:t>
      </w:r>
      <w:r w:rsidR="00EE4FC3">
        <w:t xml:space="preserve"> </w:t>
      </w:r>
      <w:r w:rsidRPr="00382917">
        <w:t>a</w:t>
      </w:r>
      <w:r w:rsidR="00EE4FC3">
        <w:t xml:space="preserve"> </w:t>
      </w:r>
      <w:r w:rsidRPr="00382917">
        <w:t>series</w:t>
      </w:r>
      <w:r w:rsidR="00EE4FC3">
        <w:t xml:space="preserve"> </w:t>
      </w:r>
      <w:r w:rsidRPr="00382917">
        <w:t>of</w:t>
      </w:r>
      <w:r w:rsidR="00EE4FC3">
        <w:t xml:space="preserve"> </w:t>
      </w:r>
      <w:r w:rsidRPr="00382917">
        <w:t>such</w:t>
      </w:r>
      <w:r w:rsidR="00EE4FC3">
        <w:t xml:space="preserve"> </w:t>
      </w:r>
      <w:r w:rsidRPr="00382917">
        <w:t>onslaughts</w:t>
      </w:r>
      <w:r w:rsidR="00EE4FC3">
        <w:t xml:space="preserve"> </w:t>
      </w:r>
      <w:r w:rsidRPr="00382917">
        <w:t>which</w:t>
      </w:r>
      <w:r w:rsidR="00EE4FC3">
        <w:t xml:space="preserve"> </w:t>
      </w:r>
      <w:r w:rsidRPr="00382917">
        <w:t>were</w:t>
      </w:r>
      <w:r w:rsidR="00EE4FC3">
        <w:t xml:space="preserve"> </w:t>
      </w:r>
      <w:r w:rsidRPr="00382917">
        <w:t>taking</w:t>
      </w:r>
      <w:r w:rsidR="00EE4FC3">
        <w:t xml:space="preserve"> </w:t>
      </w:r>
      <w:r w:rsidRPr="00382917">
        <w:t>place</w:t>
      </w:r>
      <w:r w:rsidR="00EE4FC3">
        <w:t xml:space="preserve"> </w:t>
      </w:r>
      <w:r w:rsidRPr="00382917">
        <w:t>throughout</w:t>
      </w:r>
      <w:r w:rsidR="00EE4FC3">
        <w:t xml:space="preserve"> </w:t>
      </w:r>
      <w:r w:rsidRPr="00382917">
        <w:t>the</w:t>
      </w:r>
      <w:r w:rsidR="00EE4FC3">
        <w:t xml:space="preserve"> </w:t>
      </w:r>
      <w:r w:rsidRPr="00382917">
        <w:t>country,</w:t>
      </w:r>
      <w:r w:rsidR="00EE4FC3">
        <w:t xml:space="preserve"> </w:t>
      </w:r>
      <w:r w:rsidRPr="00382917">
        <w:t>all</w:t>
      </w:r>
      <w:r w:rsidR="00EE4FC3">
        <w:t xml:space="preserve"> </w:t>
      </w:r>
      <w:r w:rsidRPr="00382917">
        <w:t>encouraged</w:t>
      </w:r>
      <w:r w:rsidR="00EE4FC3">
        <w:t xml:space="preserve"> </w:t>
      </w:r>
      <w:r w:rsidRPr="00382917">
        <w:t>by</w:t>
      </w:r>
      <w:r w:rsidR="00EE4FC3">
        <w:t xml:space="preserve"> </w:t>
      </w:r>
      <w:r w:rsidRPr="00382917">
        <w:t>the</w:t>
      </w:r>
      <w:r w:rsidR="00EE4FC3">
        <w:t xml:space="preserve"> </w:t>
      </w:r>
      <w:r w:rsidRPr="00382917">
        <w:t>Prime</w:t>
      </w:r>
      <w:r w:rsidR="00EE4FC3">
        <w:t xml:space="preserve"> </w:t>
      </w:r>
      <w:r w:rsidRPr="00382917">
        <w:t>Minister,</w:t>
      </w:r>
      <w:r w:rsidR="00EE4FC3">
        <w:t xml:space="preserve"> </w:t>
      </w:r>
      <w:r w:rsidRPr="00382917">
        <w:t>Mírzá</w:t>
      </w:r>
      <w:r w:rsidR="00EE4FC3">
        <w:t xml:space="preserve"> </w:t>
      </w:r>
      <w:r w:rsidRPr="00382917">
        <w:t>Taqí</w:t>
      </w:r>
      <w:r w:rsidR="00EE4FC3">
        <w:t xml:space="preserve"> </w:t>
      </w:r>
      <w:r w:rsidR="0040329F" w:rsidRPr="0040329F">
        <w:rPr>
          <w:u w:val="single"/>
        </w:rPr>
        <w:t>Kh</w:t>
      </w:r>
      <w:r w:rsidR="0040329F" w:rsidRPr="00382917">
        <w:t>án</w:t>
      </w:r>
      <w:r w:rsidR="00A93643">
        <w:t>.</w:t>
      </w:r>
      <w:r w:rsidR="00EE4FC3">
        <w:t xml:space="preserve">  </w:t>
      </w:r>
      <w:r w:rsidRPr="00382917">
        <w:t>The</w:t>
      </w:r>
      <w:r w:rsidR="00EE4FC3">
        <w:t xml:space="preserve"> </w:t>
      </w:r>
      <w:r w:rsidRPr="00382917">
        <w:t>following</w:t>
      </w:r>
      <w:r w:rsidR="00EE4FC3">
        <w:t xml:space="preserve"> </w:t>
      </w:r>
      <w:r w:rsidRPr="00382917">
        <w:t>historical</w:t>
      </w:r>
      <w:r w:rsidR="00EE4FC3">
        <w:t xml:space="preserve"> </w:t>
      </w:r>
      <w:r w:rsidRPr="00382917">
        <w:t>report</w:t>
      </w:r>
      <w:r w:rsidR="00EE4FC3">
        <w:t xml:space="preserve"> </w:t>
      </w:r>
      <w:r w:rsidRPr="00382917">
        <w:t>indicates</w:t>
      </w:r>
      <w:r w:rsidR="00EE4FC3">
        <w:t xml:space="preserve"> </w:t>
      </w:r>
      <w:r w:rsidRPr="00382917">
        <w:t>the</w:t>
      </w:r>
      <w:r w:rsidR="00EE4FC3">
        <w:t xml:space="preserve"> </w:t>
      </w:r>
      <w:r w:rsidRPr="00382917">
        <w:t>gravity</w:t>
      </w:r>
      <w:r w:rsidR="00EE4FC3">
        <w:t xml:space="preserve"> </w:t>
      </w:r>
      <w:r w:rsidRPr="00382917">
        <w:t>of</w:t>
      </w:r>
      <w:r w:rsidR="00EE4FC3">
        <w:t xml:space="preserve"> </w:t>
      </w:r>
      <w:r w:rsidRPr="00382917">
        <w:t>the</w:t>
      </w:r>
      <w:r w:rsidR="00EE4FC3">
        <w:t xml:space="preserve"> </w:t>
      </w:r>
      <w:r w:rsidRPr="00382917">
        <w:t>situation</w:t>
      </w:r>
      <w:r w:rsidR="00C03C91">
        <w:t>:</w:t>
      </w:r>
      <w:r w:rsidR="00EE4FC3">
        <w:t xml:space="preserve">  </w:t>
      </w:r>
      <w:r w:rsidR="009C713D" w:rsidRPr="00382917">
        <w:t>“</w:t>
      </w:r>
      <w:r w:rsidRPr="00382917">
        <w:t>The</w:t>
      </w:r>
      <w:r w:rsidR="00EE4FC3">
        <w:t xml:space="preserve"> </w:t>
      </w:r>
      <w:r w:rsidRPr="00382917">
        <w:t>minister</w:t>
      </w:r>
      <w:r w:rsidR="00EE4FC3">
        <w:t xml:space="preserve"> </w:t>
      </w:r>
      <w:r w:rsidRPr="00382917">
        <w:t>with</w:t>
      </w:r>
      <w:r w:rsidR="00EE4FC3">
        <w:t xml:space="preserve"> </w:t>
      </w:r>
      <w:r w:rsidRPr="00382917">
        <w:t>the</w:t>
      </w:r>
      <w:r w:rsidR="00EE4FC3">
        <w:t xml:space="preserve"> </w:t>
      </w:r>
      <w:r w:rsidRPr="00382917">
        <w:t>utmost</w:t>
      </w:r>
      <w:r w:rsidR="00EE4FC3">
        <w:t xml:space="preserve"> </w:t>
      </w:r>
      <w:r w:rsidRPr="00382917">
        <w:t>arbitrariness,</w:t>
      </w:r>
      <w:r w:rsidR="00EE4FC3">
        <w:t xml:space="preserve"> </w:t>
      </w:r>
      <w:r w:rsidRPr="00382917">
        <w:t>without</w:t>
      </w:r>
      <w:r w:rsidR="00EE4FC3">
        <w:t xml:space="preserve"> </w:t>
      </w:r>
      <w:r w:rsidRPr="00382917">
        <w:t>receiving</w:t>
      </w:r>
      <w:r w:rsidR="00EE4FC3">
        <w:t xml:space="preserve"> </w:t>
      </w:r>
      <w:r w:rsidRPr="00382917">
        <w:t>any</w:t>
      </w:r>
      <w:r w:rsidR="00EE4FC3">
        <w:t xml:space="preserve"> </w:t>
      </w:r>
      <w:r w:rsidRPr="00382917">
        <w:t>instructions</w:t>
      </w:r>
      <w:r w:rsidR="00EE4FC3">
        <w:t xml:space="preserve"> </w:t>
      </w:r>
      <w:r w:rsidRPr="00382917">
        <w:t>or</w:t>
      </w:r>
      <w:r w:rsidR="00EE4FC3">
        <w:t xml:space="preserve"> </w:t>
      </w:r>
      <w:r w:rsidRPr="00382917">
        <w:t>asking</w:t>
      </w:r>
      <w:r w:rsidR="00EE4FC3">
        <w:t xml:space="preserve"> </w:t>
      </w:r>
      <w:r w:rsidRPr="00382917">
        <w:t>permission,</w:t>
      </w:r>
      <w:r w:rsidR="00EE4FC3">
        <w:t xml:space="preserve"> </w:t>
      </w:r>
      <w:r w:rsidRPr="00382917">
        <w:t>sent</w:t>
      </w:r>
      <w:r w:rsidR="00EE4FC3">
        <w:t xml:space="preserve"> </w:t>
      </w:r>
      <w:r w:rsidRPr="00382917">
        <w:t>forth</w:t>
      </w:r>
      <w:r w:rsidR="00EE4FC3">
        <w:t xml:space="preserve"> </w:t>
      </w:r>
      <w:r w:rsidRPr="00382917">
        <w:t>commands</w:t>
      </w:r>
      <w:r w:rsidR="00EE4FC3">
        <w:t xml:space="preserve"> </w:t>
      </w:r>
      <w:r w:rsidRPr="00382917">
        <w:t>in</w:t>
      </w:r>
      <w:r w:rsidR="00EE4FC3">
        <w:t xml:space="preserve"> </w:t>
      </w:r>
      <w:r w:rsidRPr="00382917">
        <w:t>all</w:t>
      </w:r>
      <w:r w:rsidR="00EE4FC3">
        <w:t xml:space="preserve"> </w:t>
      </w:r>
      <w:r w:rsidRPr="00382917">
        <w:t>directions</w:t>
      </w:r>
      <w:r w:rsidR="00EE4FC3">
        <w:t xml:space="preserve"> </w:t>
      </w:r>
      <w:r w:rsidRPr="00382917">
        <w:t>to</w:t>
      </w:r>
      <w:r w:rsidR="00EE4FC3">
        <w:t xml:space="preserve"> </w:t>
      </w:r>
      <w:r w:rsidRPr="00382917">
        <w:t>punish</w:t>
      </w:r>
      <w:r w:rsidR="00EE4FC3">
        <w:t xml:space="preserve"> </w:t>
      </w:r>
      <w:r w:rsidRPr="00382917">
        <w:t>and</w:t>
      </w:r>
      <w:r w:rsidR="00EE4FC3">
        <w:t xml:space="preserve"> </w:t>
      </w:r>
      <w:r w:rsidRPr="00382917">
        <w:t>chastise</w:t>
      </w:r>
      <w:r w:rsidR="00EE4FC3">
        <w:t xml:space="preserve"> </w:t>
      </w:r>
      <w:r w:rsidRPr="00382917">
        <w:t>the</w:t>
      </w:r>
      <w:r w:rsidR="00EE4FC3">
        <w:t xml:space="preserve"> </w:t>
      </w:r>
      <w:r w:rsidRPr="00382917">
        <w:t>Bábís</w:t>
      </w:r>
      <w:r w:rsidR="00EE4FC3">
        <w:t xml:space="preserve"> </w:t>
      </w:r>
      <w:r w:rsidRPr="00382917">
        <w:t>[followers</w:t>
      </w:r>
      <w:r w:rsidR="00EE4FC3">
        <w:t xml:space="preserve"> </w:t>
      </w:r>
      <w:r w:rsidRPr="00382917">
        <w:t>of</w:t>
      </w:r>
      <w:r w:rsidR="00EE4FC3">
        <w:t xml:space="preserve"> </w:t>
      </w:r>
      <w:r w:rsidRPr="00382917">
        <w:t>the</w:t>
      </w:r>
      <w:r w:rsidR="00EE4FC3">
        <w:t xml:space="preserve"> </w:t>
      </w:r>
      <w:r w:rsidRPr="00382917">
        <w:t>Báb]</w:t>
      </w:r>
      <w:r w:rsidR="00A93643">
        <w:t>.</w:t>
      </w:r>
      <w:r w:rsidR="00EE4FC3">
        <w:t xml:space="preserve">  </w:t>
      </w:r>
      <w:r w:rsidRPr="00382917">
        <w:t>Governors</w:t>
      </w:r>
      <w:r w:rsidR="00EE4FC3">
        <w:t xml:space="preserve"> </w:t>
      </w:r>
      <w:r w:rsidRPr="00382917">
        <w:t>and</w:t>
      </w:r>
      <w:r w:rsidR="00EE4FC3">
        <w:t xml:space="preserve"> </w:t>
      </w:r>
      <w:r w:rsidRPr="00382917">
        <w:t>magistrates</w:t>
      </w:r>
      <w:r w:rsidR="00EE4FC3">
        <w:t xml:space="preserve"> </w:t>
      </w:r>
      <w:r w:rsidRPr="00382917">
        <w:t>sought</w:t>
      </w:r>
      <w:r w:rsidR="00EE4FC3">
        <w:t xml:space="preserve"> </w:t>
      </w:r>
      <w:r w:rsidRPr="00382917">
        <w:t>a</w:t>
      </w:r>
      <w:r w:rsidR="00EE4FC3">
        <w:t xml:space="preserve"> </w:t>
      </w:r>
      <w:r w:rsidRPr="00382917">
        <w:t>pretext</w:t>
      </w:r>
      <w:r w:rsidR="00EE4FC3">
        <w:t xml:space="preserve"> </w:t>
      </w:r>
      <w:r w:rsidRPr="00382917">
        <w:t>for</w:t>
      </w:r>
      <w:r w:rsidR="00EE4FC3">
        <w:t xml:space="preserve"> </w:t>
      </w:r>
      <w:r w:rsidRPr="00382917">
        <w:t>amassing</w:t>
      </w:r>
      <w:r w:rsidR="00EE4FC3">
        <w:t xml:space="preserve"> </w:t>
      </w:r>
      <w:r w:rsidRPr="00382917">
        <w:t>wealth,</w:t>
      </w:r>
      <w:r w:rsidR="00EE4FC3">
        <w:t xml:space="preserve"> </w:t>
      </w:r>
      <w:r w:rsidRPr="00382917">
        <w:t>and</w:t>
      </w:r>
      <w:r w:rsidR="00EE4FC3">
        <w:t xml:space="preserve"> </w:t>
      </w:r>
      <w:r w:rsidRPr="00382917">
        <w:t>officials</w:t>
      </w:r>
      <w:r w:rsidR="00EE4FC3">
        <w:t xml:space="preserve"> </w:t>
      </w:r>
      <w:r w:rsidRPr="00382917">
        <w:t>a</w:t>
      </w:r>
      <w:r w:rsidR="00EE4FC3">
        <w:t xml:space="preserve"> </w:t>
      </w:r>
      <w:r w:rsidRPr="00382917">
        <w:t>means</w:t>
      </w:r>
      <w:r w:rsidR="00EE4FC3">
        <w:t xml:space="preserve"> </w:t>
      </w:r>
      <w:r w:rsidRPr="00382917">
        <w:t>of</w:t>
      </w:r>
      <w:r w:rsidR="00EE4FC3">
        <w:t xml:space="preserve"> </w:t>
      </w:r>
      <w:r w:rsidRPr="00382917">
        <w:t>acquiring</w:t>
      </w:r>
      <w:r w:rsidR="00EE4FC3">
        <w:t xml:space="preserve"> </w:t>
      </w:r>
      <w:r w:rsidRPr="00382917">
        <w:t>profits;</w:t>
      </w:r>
      <w:r w:rsidR="00EE4FC3">
        <w:t xml:space="preserve"> </w:t>
      </w:r>
      <w:r w:rsidRPr="00382917">
        <w:t>celebrated</w:t>
      </w:r>
      <w:r w:rsidR="00EE4FC3">
        <w:t xml:space="preserve"> </w:t>
      </w:r>
      <w:r w:rsidRPr="00382917">
        <w:t>doctors</w:t>
      </w:r>
      <w:r w:rsidR="00EE4FC3">
        <w:t xml:space="preserve"> </w:t>
      </w:r>
      <w:r w:rsidRPr="00382917">
        <w:t>[of</w:t>
      </w:r>
      <w:r w:rsidR="00EE4FC3">
        <w:t xml:space="preserve"> </w:t>
      </w:r>
      <w:r w:rsidRPr="00382917">
        <w:t>religion]</w:t>
      </w:r>
      <w:r w:rsidR="00EE4FC3">
        <w:t xml:space="preserve"> </w:t>
      </w:r>
      <w:r w:rsidRPr="00382917">
        <w:t>from</w:t>
      </w:r>
      <w:r w:rsidR="00EE4FC3">
        <w:t xml:space="preserve"> </w:t>
      </w:r>
      <w:r w:rsidRPr="00382917">
        <w:t>the</w:t>
      </w:r>
      <w:r w:rsidR="00EE4FC3">
        <w:t xml:space="preserve"> </w:t>
      </w:r>
      <w:r w:rsidRPr="00382917">
        <w:t>summits</w:t>
      </w:r>
      <w:r w:rsidR="00EE4FC3">
        <w:t xml:space="preserve"> </w:t>
      </w:r>
      <w:r w:rsidRPr="00382917">
        <w:t>of</w:t>
      </w:r>
      <w:r w:rsidR="00EE4FC3">
        <w:t xml:space="preserve"> </w:t>
      </w:r>
      <w:r w:rsidRPr="00382917">
        <w:t>their</w:t>
      </w:r>
      <w:r w:rsidR="00EE4FC3">
        <w:t xml:space="preserve"> </w:t>
      </w:r>
      <w:r w:rsidRPr="00382917">
        <w:t>pulpits</w:t>
      </w:r>
      <w:r w:rsidR="00EE4FC3">
        <w:t xml:space="preserve"> </w:t>
      </w:r>
      <w:r w:rsidRPr="00382917">
        <w:t>incited</w:t>
      </w:r>
      <w:r w:rsidR="00EE4FC3">
        <w:t xml:space="preserve"> </w:t>
      </w:r>
      <w:r w:rsidRPr="00382917">
        <w:t>men</w:t>
      </w:r>
      <w:r w:rsidR="00EE4FC3">
        <w:t xml:space="preserve"> </w:t>
      </w:r>
      <w:r w:rsidRPr="00382917">
        <w:t>to</w:t>
      </w:r>
      <w:r w:rsidR="00EE4FC3">
        <w:t xml:space="preserve"> </w:t>
      </w:r>
      <w:r w:rsidRPr="00382917">
        <w:t>make</w:t>
      </w:r>
      <w:r w:rsidR="00EE4FC3">
        <w:t xml:space="preserve"> </w:t>
      </w:r>
      <w:r w:rsidRPr="00382917">
        <w:t>a</w:t>
      </w:r>
      <w:r w:rsidR="00EE4FC3">
        <w:t xml:space="preserve"> </w:t>
      </w:r>
      <w:r w:rsidRPr="00382917">
        <w:t>general</w:t>
      </w:r>
      <w:r w:rsidR="00EE4FC3">
        <w:t xml:space="preserve"> </w:t>
      </w:r>
      <w:r w:rsidRPr="00382917">
        <w:t>onslaught;</w:t>
      </w:r>
      <w:r w:rsidR="00EE4FC3">
        <w:t xml:space="preserve"> </w:t>
      </w:r>
      <w:r w:rsidRPr="00382917">
        <w:t>the</w:t>
      </w:r>
      <w:r w:rsidR="00EE4FC3">
        <w:t xml:space="preserve"> </w:t>
      </w:r>
      <w:r w:rsidRPr="00382917">
        <w:t>powers</w:t>
      </w:r>
      <w:r w:rsidR="00EE4FC3">
        <w:t xml:space="preserve"> </w:t>
      </w:r>
      <w:r w:rsidRPr="00382917">
        <w:t>of</w:t>
      </w:r>
      <w:r w:rsidR="00EE4FC3">
        <w:t xml:space="preserve"> </w:t>
      </w:r>
      <w:r w:rsidRPr="00382917">
        <w:t>the</w:t>
      </w:r>
      <w:r w:rsidR="00EE4FC3">
        <w:t xml:space="preserve"> </w:t>
      </w:r>
      <w:r w:rsidRPr="00382917">
        <w:t>religious</w:t>
      </w:r>
      <w:r w:rsidR="00EE4FC3">
        <w:t xml:space="preserve"> </w:t>
      </w:r>
      <w:r w:rsidRPr="00382917">
        <w:t>and</w:t>
      </w:r>
      <w:r w:rsidR="00EE4FC3">
        <w:t xml:space="preserve"> </w:t>
      </w:r>
      <w:r w:rsidRPr="00382917">
        <w:t>civil</w:t>
      </w:r>
      <w:r w:rsidR="00EE4FC3">
        <w:t xml:space="preserve"> </w:t>
      </w:r>
      <w:r w:rsidRPr="00382917">
        <w:t>law</w:t>
      </w:r>
      <w:r w:rsidR="00EE4FC3">
        <w:t xml:space="preserve"> </w:t>
      </w:r>
      <w:r w:rsidRPr="00382917">
        <w:t>linked</w:t>
      </w:r>
      <w:r w:rsidR="00EE4FC3">
        <w:t xml:space="preserve"> </w:t>
      </w:r>
      <w:r w:rsidRPr="00382917">
        <w:t>hands</w:t>
      </w:r>
      <w:r w:rsidR="00EE4FC3">
        <w:t xml:space="preserve"> </w:t>
      </w:r>
      <w:r w:rsidRPr="00382917">
        <w:t>and</w:t>
      </w:r>
      <w:r w:rsidR="00EE4FC3">
        <w:t xml:space="preserve"> </w:t>
      </w:r>
      <w:r w:rsidRPr="00382917">
        <w:t>strove</w:t>
      </w:r>
      <w:r w:rsidR="00EE4FC3">
        <w:t xml:space="preserve"> </w:t>
      </w:r>
      <w:r w:rsidRPr="00382917">
        <w:t>to</w:t>
      </w:r>
      <w:r w:rsidR="00EE4FC3">
        <w:t xml:space="preserve"> </w:t>
      </w:r>
      <w:r w:rsidRPr="00382917">
        <w:t>eradicate</w:t>
      </w:r>
      <w:r w:rsidR="00EE4FC3">
        <w:t xml:space="preserve"> </w:t>
      </w:r>
      <w:r w:rsidRPr="00382917">
        <w:t>and</w:t>
      </w:r>
      <w:r w:rsidR="00EE4FC3">
        <w:t xml:space="preserve"> </w:t>
      </w:r>
      <w:r w:rsidRPr="00382917">
        <w:t>destroy</w:t>
      </w:r>
      <w:r w:rsidR="00EE4FC3">
        <w:t xml:space="preserve"> </w:t>
      </w:r>
      <w:r w:rsidRPr="00382917">
        <w:t>this</w:t>
      </w:r>
      <w:r w:rsidR="00EE4FC3">
        <w:t xml:space="preserve"> </w:t>
      </w:r>
      <w:r w:rsidRPr="00382917">
        <w:t>people.</w:t>
      </w:r>
      <w:r w:rsidR="009C713D" w:rsidRPr="00382917">
        <w:t>”</w:t>
      </w:r>
      <w:r w:rsidR="00D230DC">
        <w:rPr>
          <w:rStyle w:val="FootnoteReference"/>
        </w:rPr>
        <w:footnoteReference w:id="106"/>
      </w:r>
    </w:p>
    <w:p w:rsidR="00E13D49" w:rsidRPr="00382917" w:rsidRDefault="00B2576B" w:rsidP="00F50B47">
      <w:pPr>
        <w:pStyle w:val="Text"/>
      </w:pPr>
      <w:r w:rsidRPr="00382917">
        <w:t>This</w:t>
      </w:r>
      <w:r w:rsidR="00EE4FC3">
        <w:t xml:space="preserve"> </w:t>
      </w:r>
      <w:r w:rsidRPr="00382917">
        <w:t>was</w:t>
      </w:r>
      <w:r w:rsidR="00EE4FC3">
        <w:t xml:space="preserve"> </w:t>
      </w:r>
      <w:r w:rsidRPr="00382917">
        <w:t>to</w:t>
      </w:r>
      <w:r w:rsidR="00EE4FC3">
        <w:t xml:space="preserve"> </w:t>
      </w:r>
      <w:r w:rsidRPr="00382917">
        <w:t>be</w:t>
      </w:r>
      <w:r w:rsidR="00EE4FC3">
        <w:t xml:space="preserve"> </w:t>
      </w:r>
      <w:r w:rsidRPr="00382917">
        <w:t>the</w:t>
      </w:r>
      <w:r w:rsidR="00EE4FC3">
        <w:t xml:space="preserve"> </w:t>
      </w:r>
      <w:r w:rsidRPr="00382917">
        <w:t>first</w:t>
      </w:r>
      <w:r w:rsidR="00EE4FC3">
        <w:t xml:space="preserve"> </w:t>
      </w:r>
      <w:r w:rsidRPr="00382917">
        <w:t>of</w:t>
      </w:r>
      <w:r w:rsidR="00EE4FC3">
        <w:t xml:space="preserve"> </w:t>
      </w:r>
      <w:r w:rsidRPr="00382917">
        <w:t>three</w:t>
      </w:r>
      <w:r w:rsidR="00EE4FC3">
        <w:t xml:space="preserve"> </w:t>
      </w:r>
      <w:r w:rsidRPr="00382917">
        <w:t>occasions</w:t>
      </w:r>
      <w:r w:rsidR="00EE4FC3">
        <w:t xml:space="preserve"> </w:t>
      </w:r>
      <w:r w:rsidRPr="00382917">
        <w:t>on</w:t>
      </w:r>
      <w:r w:rsidR="00EE4FC3">
        <w:t xml:space="preserve"> </w:t>
      </w:r>
      <w:r w:rsidRPr="00382917">
        <w:t>which</w:t>
      </w:r>
      <w:r w:rsidR="00EE4FC3">
        <w:t xml:space="preserve"> </w:t>
      </w:r>
      <w:r w:rsidRPr="00382917">
        <w:t>the</w:t>
      </w:r>
      <w:r w:rsidR="00EE4FC3">
        <w:t xml:space="preserve"> </w:t>
      </w:r>
      <w:r w:rsidRPr="00382917">
        <w:t>followers</w:t>
      </w:r>
      <w:r w:rsidR="00EE4FC3">
        <w:t xml:space="preserve"> </w:t>
      </w:r>
      <w:r w:rsidRPr="00382917">
        <w:t>of</w:t>
      </w:r>
      <w:r w:rsidR="00EE4FC3">
        <w:t xml:space="preserve"> </w:t>
      </w:r>
      <w:r w:rsidRPr="00382917">
        <w:t>the</w:t>
      </w:r>
      <w:r w:rsidR="00EE4FC3">
        <w:t xml:space="preserve"> </w:t>
      </w:r>
      <w:r w:rsidRPr="00382917">
        <w:t>Báb</w:t>
      </w:r>
      <w:r w:rsidR="00EE4FC3">
        <w:t xml:space="preserve"> </w:t>
      </w:r>
      <w:r w:rsidRPr="00382917">
        <w:t>withdrew</w:t>
      </w:r>
      <w:r w:rsidR="00EE4FC3">
        <w:t xml:space="preserve"> </w:t>
      </w:r>
      <w:r w:rsidRPr="00382917">
        <w:t>to</w:t>
      </w:r>
      <w:r w:rsidR="00EE4FC3">
        <w:t xml:space="preserve"> </w:t>
      </w:r>
      <w:r w:rsidRPr="00382917">
        <w:t>a</w:t>
      </w:r>
      <w:r w:rsidR="00EE4FC3">
        <w:t xml:space="preserve"> </w:t>
      </w:r>
      <w:r w:rsidRPr="00382917">
        <w:t>chosen</w:t>
      </w:r>
      <w:r w:rsidR="00EE4FC3">
        <w:t xml:space="preserve"> </w:t>
      </w:r>
      <w:r w:rsidRPr="00382917">
        <w:t>retreat,</w:t>
      </w:r>
      <w:r w:rsidR="00EE4FC3">
        <w:t xml:space="preserve"> </w:t>
      </w:r>
      <w:r w:rsidRPr="00382917">
        <w:t>erected</w:t>
      </w:r>
      <w:r w:rsidR="00EE4FC3">
        <w:t xml:space="preserve"> </w:t>
      </w:r>
      <w:proofErr w:type="spellStart"/>
      <w:r w:rsidRPr="00382917">
        <w:t>defenses</w:t>
      </w:r>
      <w:proofErr w:type="spellEnd"/>
      <w:r w:rsidRPr="00382917">
        <w:t>,</w:t>
      </w:r>
      <w:r w:rsidR="00EE4FC3">
        <w:t xml:space="preserve"> </w:t>
      </w:r>
      <w:r w:rsidRPr="00382917">
        <w:t>and</w:t>
      </w:r>
      <w:r w:rsidR="00EE4FC3">
        <w:t xml:space="preserve"> </w:t>
      </w:r>
      <w:r w:rsidRPr="00382917">
        <w:t>defied</w:t>
      </w:r>
      <w:r w:rsidR="00EE4FC3">
        <w:t xml:space="preserve"> </w:t>
      </w:r>
      <w:r w:rsidRPr="00382917">
        <w:t>further</w:t>
      </w:r>
      <w:r w:rsidR="00EE4FC3">
        <w:t xml:space="preserve"> </w:t>
      </w:r>
      <w:r w:rsidRPr="00382917">
        <w:t>pursuit</w:t>
      </w:r>
      <w:r w:rsidR="00A93643">
        <w:t>.</w:t>
      </w:r>
      <w:r w:rsidR="00EE4FC3">
        <w:t xml:space="preserve">  </w:t>
      </w:r>
      <w:r w:rsidRPr="00382917">
        <w:t>They</w:t>
      </w:r>
      <w:r w:rsidR="00EE4FC3">
        <w:t xml:space="preserve"> </w:t>
      </w:r>
      <w:r w:rsidRPr="00382917">
        <w:t>would</w:t>
      </w:r>
      <w:r w:rsidR="00EE4FC3">
        <w:t xml:space="preserve"> </w:t>
      </w:r>
      <w:r w:rsidRPr="00382917">
        <w:t>fight</w:t>
      </w:r>
      <w:r w:rsidR="00EE4FC3">
        <w:t xml:space="preserve"> </w:t>
      </w:r>
      <w:r w:rsidRPr="00382917">
        <w:t>for</w:t>
      </w:r>
      <w:r w:rsidR="00EE4FC3">
        <w:t xml:space="preserve"> </w:t>
      </w:r>
      <w:r w:rsidRPr="00382917">
        <w:t>their</w:t>
      </w:r>
      <w:r w:rsidR="00EE4FC3">
        <w:t xml:space="preserve"> </w:t>
      </w:r>
      <w:r w:rsidRPr="00382917">
        <w:t>lives</w:t>
      </w:r>
      <w:r w:rsidR="00EE4FC3">
        <w:t xml:space="preserve"> </w:t>
      </w:r>
      <w:r w:rsidRPr="00382917">
        <w:t>with</w:t>
      </w:r>
      <w:r w:rsidR="00EE4FC3">
        <w:t xml:space="preserve"> </w:t>
      </w:r>
      <w:r w:rsidRPr="00382917">
        <w:t>determined</w:t>
      </w:r>
      <w:r w:rsidR="00EE4FC3">
        <w:t xml:space="preserve"> </w:t>
      </w:r>
      <w:r w:rsidRPr="00382917">
        <w:t>skill</w:t>
      </w:r>
      <w:r w:rsidR="00EE4FC3">
        <w:t xml:space="preserve"> </w:t>
      </w:r>
      <w:r w:rsidRPr="00382917">
        <w:t>and</w:t>
      </w:r>
      <w:r w:rsidR="00EE4FC3">
        <w:t xml:space="preserve"> </w:t>
      </w:r>
      <w:r w:rsidRPr="00382917">
        <w:t>strength;</w:t>
      </w:r>
      <w:r w:rsidR="00EE4FC3">
        <w:t xml:space="preserve"> </w:t>
      </w:r>
      <w:r w:rsidRPr="00382917">
        <w:t>but</w:t>
      </w:r>
      <w:r w:rsidR="00EE4FC3">
        <w:t xml:space="preserve"> </w:t>
      </w:r>
      <w:r w:rsidRPr="00382917">
        <w:t>they</w:t>
      </w:r>
      <w:r w:rsidR="00EE4FC3">
        <w:t xml:space="preserve"> </w:t>
      </w:r>
      <w:r w:rsidRPr="00382917">
        <w:t>would</w:t>
      </w:r>
      <w:r w:rsidR="00EE4FC3">
        <w:t xml:space="preserve"> </w:t>
      </w:r>
      <w:r w:rsidRPr="00382917">
        <w:t>not</w:t>
      </w:r>
      <w:r w:rsidR="00EE4FC3">
        <w:t xml:space="preserve"> </w:t>
      </w:r>
      <w:r w:rsidRPr="00382917">
        <w:t>attack</w:t>
      </w:r>
      <w:r w:rsidR="00A93643">
        <w:t>.</w:t>
      </w:r>
      <w:r w:rsidR="00EE4FC3">
        <w:t xml:space="preserve">  </w:t>
      </w:r>
      <w:r w:rsidRPr="00382917">
        <w:t>Even</w:t>
      </w:r>
      <w:r w:rsidR="00EE4FC3">
        <w:t xml:space="preserve"> </w:t>
      </w:r>
      <w:r w:rsidRPr="00382917">
        <w:t>in</w:t>
      </w:r>
      <w:r w:rsidR="00EE4FC3">
        <w:t xml:space="preserve"> </w:t>
      </w:r>
      <w:r w:rsidRPr="00382917">
        <w:t>the</w:t>
      </w:r>
      <w:r w:rsidR="00EE4FC3">
        <w:t xml:space="preserve"> </w:t>
      </w:r>
      <w:r w:rsidRPr="00382917">
        <w:t>midst</w:t>
      </w:r>
      <w:r w:rsidR="00EE4FC3">
        <w:t xml:space="preserve"> </w:t>
      </w:r>
      <w:r w:rsidRPr="00382917">
        <w:t>of</w:t>
      </w:r>
      <w:r w:rsidR="00EE4FC3">
        <w:t xml:space="preserve"> </w:t>
      </w:r>
      <w:r w:rsidRPr="00382917">
        <w:t>a</w:t>
      </w:r>
      <w:r w:rsidR="00EE4FC3">
        <w:t xml:space="preserve"> </w:t>
      </w:r>
      <w:r w:rsidRPr="00382917">
        <w:t>fierce</w:t>
      </w:r>
      <w:r w:rsidR="00EE4FC3">
        <w:t xml:space="preserve"> </w:t>
      </w:r>
      <w:r w:rsidRPr="00382917">
        <w:t>conflict</w:t>
      </w:r>
      <w:r w:rsidR="00EE4FC3">
        <w:t xml:space="preserve"> </w:t>
      </w:r>
      <w:r w:rsidRPr="00382917">
        <w:t>they</w:t>
      </w:r>
      <w:r w:rsidR="00EE4FC3">
        <w:t xml:space="preserve"> </w:t>
      </w:r>
      <w:r w:rsidRPr="00382917">
        <w:t>would</w:t>
      </w:r>
      <w:r w:rsidR="00EE4FC3">
        <w:t xml:space="preserve"> </w:t>
      </w:r>
      <w:r w:rsidRPr="00382917">
        <w:t>not</w:t>
      </w:r>
      <w:r w:rsidR="00EE4FC3">
        <w:t xml:space="preserve"> </w:t>
      </w:r>
      <w:r w:rsidRPr="00382917">
        <w:t>drive</w:t>
      </w:r>
      <w:r w:rsidR="00EE4FC3">
        <w:t xml:space="preserve"> </w:t>
      </w:r>
      <w:r w:rsidRPr="00382917">
        <w:t>home</w:t>
      </w:r>
      <w:r w:rsidR="00EE4FC3">
        <w:t xml:space="preserve"> </w:t>
      </w:r>
      <w:r w:rsidRPr="00382917">
        <w:t>an</w:t>
      </w:r>
      <w:r w:rsidR="00EE4FC3">
        <w:t xml:space="preserve"> </w:t>
      </w:r>
      <w:r w:rsidRPr="00382917">
        <w:t>advantage</w:t>
      </w:r>
      <w:r w:rsidR="00EE4FC3">
        <w:t xml:space="preserve"> </w:t>
      </w:r>
      <w:r w:rsidRPr="00382917">
        <w:t>nor</w:t>
      </w:r>
      <w:r w:rsidR="00EE4FC3">
        <w:t xml:space="preserve"> </w:t>
      </w:r>
      <w:r w:rsidRPr="00382917">
        <w:t>strike</w:t>
      </w:r>
      <w:r w:rsidR="00EE4FC3">
        <w:t xml:space="preserve"> </w:t>
      </w:r>
      <w:r w:rsidRPr="00382917">
        <w:t>an</w:t>
      </w:r>
      <w:r w:rsidR="00EE4FC3">
        <w:t xml:space="preserve"> </w:t>
      </w:r>
      <w:r w:rsidRPr="00382917">
        <w:t>unnecessary</w:t>
      </w:r>
      <w:r w:rsidR="00EE4FC3">
        <w:t xml:space="preserve"> </w:t>
      </w:r>
      <w:r w:rsidRPr="00382917">
        <w:t>blow.</w:t>
      </w:r>
      <w:r w:rsidR="00F50B47">
        <w:rPr>
          <w:rStyle w:val="FootnoteReference"/>
        </w:rPr>
        <w:footnoteReference w:id="107"/>
      </w:r>
    </w:p>
    <w:p w:rsidR="00E13D49" w:rsidRPr="00382917" w:rsidRDefault="00B2576B" w:rsidP="00D35066">
      <w:pPr>
        <w:pStyle w:val="Text"/>
      </w:pPr>
      <w:r w:rsidRPr="00382917">
        <w:t>Browne,</w:t>
      </w:r>
      <w:r w:rsidR="00EE4FC3">
        <w:t xml:space="preserve"> </w:t>
      </w:r>
      <w:r w:rsidRPr="00382917">
        <w:t>in</w:t>
      </w:r>
      <w:r w:rsidR="00EE4FC3">
        <w:t xml:space="preserve"> </w:t>
      </w:r>
      <w:r w:rsidRPr="00382917">
        <w:t>his</w:t>
      </w:r>
      <w:r w:rsidR="00EE4FC3">
        <w:t xml:space="preserve"> </w:t>
      </w:r>
      <w:r w:rsidRPr="00816009">
        <w:rPr>
          <w:i/>
          <w:iCs/>
        </w:rPr>
        <w:t>Year</w:t>
      </w:r>
      <w:r w:rsidR="00EE4FC3" w:rsidRPr="00816009">
        <w:rPr>
          <w:i/>
          <w:iCs/>
        </w:rPr>
        <w:t xml:space="preserve"> </w:t>
      </w:r>
      <w:proofErr w:type="gramStart"/>
      <w:r w:rsidRPr="00816009">
        <w:rPr>
          <w:i/>
          <w:iCs/>
        </w:rPr>
        <w:t>Among</w:t>
      </w:r>
      <w:proofErr w:type="gramEnd"/>
      <w:r w:rsidR="00EE4FC3" w:rsidRPr="00816009">
        <w:rPr>
          <w:i/>
          <w:iCs/>
        </w:rPr>
        <w:t xml:space="preserve"> </w:t>
      </w:r>
      <w:r w:rsidRPr="00816009">
        <w:rPr>
          <w:i/>
          <w:iCs/>
        </w:rPr>
        <w:t>the</w:t>
      </w:r>
      <w:r w:rsidR="00EE4FC3" w:rsidRPr="00816009">
        <w:rPr>
          <w:i/>
          <w:iCs/>
        </w:rPr>
        <w:t xml:space="preserve"> </w:t>
      </w:r>
      <w:r w:rsidRPr="00816009">
        <w:rPr>
          <w:i/>
          <w:iCs/>
        </w:rPr>
        <w:t>Persians</w:t>
      </w:r>
      <w:r w:rsidRPr="00382917">
        <w:t>,</w:t>
      </w:r>
      <w:r w:rsidR="00EE4FC3">
        <w:t xml:space="preserve"> </w:t>
      </w:r>
      <w:r w:rsidRPr="00382917">
        <w:t>says</w:t>
      </w:r>
      <w:r w:rsidR="00EE4FC3">
        <w:t xml:space="preserve"> </w:t>
      </w:r>
      <w:r w:rsidRPr="00382917">
        <w:t>that</w:t>
      </w:r>
      <w:r w:rsidR="00EE4FC3">
        <w:t xml:space="preserve"> </w:t>
      </w:r>
      <w:r w:rsidRPr="00382917">
        <w:t>on</w:t>
      </w:r>
      <w:r w:rsidR="00EE4FC3">
        <w:t xml:space="preserve"> </w:t>
      </w:r>
      <w:r w:rsidRPr="00382917">
        <w:t>one</w:t>
      </w:r>
      <w:r w:rsidR="00EE4FC3">
        <w:t xml:space="preserve"> </w:t>
      </w:r>
      <w:r w:rsidRPr="00382917">
        <w:t>of</w:t>
      </w:r>
      <w:r w:rsidR="00EE4FC3">
        <w:t xml:space="preserve"> </w:t>
      </w:r>
      <w:r w:rsidRPr="00382917">
        <w:t>these</w:t>
      </w:r>
      <w:r w:rsidR="00EE4FC3">
        <w:t xml:space="preserve"> </w:t>
      </w:r>
      <w:r w:rsidRPr="00382917">
        <w:t>occasions</w:t>
      </w:r>
      <w:r w:rsidR="00EE4FC3">
        <w:t xml:space="preserve"> </w:t>
      </w:r>
      <w:r w:rsidRPr="00382917">
        <w:t>even</w:t>
      </w:r>
      <w:r w:rsidR="00EE4FC3">
        <w:t xml:space="preserve"> </w:t>
      </w:r>
      <w:r w:rsidRPr="00382917">
        <w:t>the</w:t>
      </w:r>
      <w:r w:rsidR="00EE4FC3">
        <w:t xml:space="preserve"> </w:t>
      </w:r>
      <w:r w:rsidRPr="00382917">
        <w:t>women</w:t>
      </w:r>
      <w:r w:rsidR="00EE4FC3">
        <w:t xml:space="preserve"> </w:t>
      </w:r>
      <w:r w:rsidRPr="00382917">
        <w:t>took</w:t>
      </w:r>
      <w:r w:rsidR="00EE4FC3">
        <w:t xml:space="preserve"> </w:t>
      </w:r>
      <w:r w:rsidRPr="00382917">
        <w:t>part,</w:t>
      </w:r>
      <w:r w:rsidR="00EE4FC3">
        <w:t xml:space="preserve"> </w:t>
      </w:r>
      <w:r w:rsidRPr="00382917">
        <w:t>and</w:t>
      </w:r>
      <w:r w:rsidR="00EE4FC3">
        <w:t xml:space="preserve"> </w:t>
      </w:r>
      <w:r w:rsidRPr="00382917">
        <w:t>when</w:t>
      </w:r>
      <w:r w:rsidR="00EE4FC3">
        <w:t xml:space="preserve"> </w:t>
      </w:r>
      <w:r w:rsidRPr="00382917">
        <w:t>their</w:t>
      </w:r>
      <w:r w:rsidR="00EE4FC3">
        <w:t xml:space="preserve"> </w:t>
      </w:r>
      <w:r w:rsidRPr="00382917">
        <w:t>shelter</w:t>
      </w:r>
      <w:r w:rsidR="00EE4FC3">
        <w:t xml:space="preserve"> </w:t>
      </w:r>
      <w:r w:rsidRPr="00382917">
        <w:t>was</w:t>
      </w:r>
      <w:r w:rsidR="00EE4FC3">
        <w:t xml:space="preserve"> </w:t>
      </w:r>
      <w:r w:rsidRPr="00382917">
        <w:t>attacked,</w:t>
      </w:r>
      <w:r w:rsidR="00EE4FC3">
        <w:t xml:space="preserve"> </w:t>
      </w:r>
      <w:r w:rsidRPr="00382917">
        <w:t>like</w:t>
      </w:r>
      <w:r w:rsidR="00EE4FC3">
        <w:t xml:space="preserve"> </w:t>
      </w:r>
      <w:r w:rsidRPr="00382917">
        <w:t>the</w:t>
      </w:r>
      <w:r w:rsidR="00EE4FC3">
        <w:t xml:space="preserve"> </w:t>
      </w:r>
      <w:proofErr w:type="spellStart"/>
      <w:r w:rsidRPr="00382917">
        <w:t>Carthagenian</w:t>
      </w:r>
      <w:proofErr w:type="spellEnd"/>
      <w:r w:rsidR="00EE4FC3">
        <w:t xml:space="preserve"> </w:t>
      </w:r>
      <w:r w:rsidRPr="00382917">
        <w:t>women</w:t>
      </w:r>
      <w:r w:rsidR="00EE4FC3">
        <w:t xml:space="preserve"> </w:t>
      </w:r>
      <w:r w:rsidRPr="00382917">
        <w:t>of</w:t>
      </w:r>
      <w:r w:rsidR="00EE4FC3">
        <w:t xml:space="preserve"> </w:t>
      </w:r>
      <w:r w:rsidRPr="00382917">
        <w:t>old,</w:t>
      </w:r>
      <w:r w:rsidR="00EE4FC3">
        <w:t xml:space="preserve"> </w:t>
      </w:r>
      <w:r w:rsidRPr="00382917">
        <w:t>they</w:t>
      </w:r>
      <w:r w:rsidR="00EE4FC3">
        <w:t xml:space="preserve"> </w:t>
      </w:r>
      <w:r w:rsidRPr="00382917">
        <w:t>cut</w:t>
      </w:r>
      <w:r w:rsidR="00EE4FC3">
        <w:t xml:space="preserve"> </w:t>
      </w:r>
      <w:r w:rsidRPr="00382917">
        <w:t>off</w:t>
      </w:r>
      <w:r w:rsidR="00EE4FC3">
        <w:t xml:space="preserve"> </w:t>
      </w:r>
      <w:r w:rsidRPr="00382917">
        <w:t>their</w:t>
      </w:r>
      <w:r w:rsidR="00EE4FC3">
        <w:t xml:space="preserve"> </w:t>
      </w:r>
      <w:r w:rsidRPr="00382917">
        <w:t>long</w:t>
      </w:r>
      <w:r w:rsidR="00EE4FC3">
        <w:t xml:space="preserve"> </w:t>
      </w:r>
      <w:r w:rsidRPr="00382917">
        <w:t>hair</w:t>
      </w:r>
      <w:r w:rsidR="00EE4FC3">
        <w:t xml:space="preserve"> </w:t>
      </w:r>
      <w:r w:rsidRPr="00382917">
        <w:t>and</w:t>
      </w:r>
      <w:r w:rsidR="00EE4FC3">
        <w:t xml:space="preserve"> </w:t>
      </w:r>
      <w:r w:rsidRPr="00382917">
        <w:t>bound</w:t>
      </w:r>
      <w:r w:rsidR="00EE4FC3">
        <w:t xml:space="preserve"> </w:t>
      </w:r>
      <w:r w:rsidRPr="00382917">
        <w:t>it</w:t>
      </w:r>
      <w:r w:rsidR="00EE4FC3">
        <w:t xml:space="preserve"> </w:t>
      </w:r>
      <w:r w:rsidRPr="00382917">
        <w:t>around</w:t>
      </w:r>
      <w:r w:rsidR="00EE4FC3">
        <w:t xml:space="preserve"> </w:t>
      </w:r>
      <w:r w:rsidRPr="00382917">
        <w:t>their</w:t>
      </w:r>
      <w:r w:rsidR="00EE4FC3">
        <w:t xml:space="preserve"> </w:t>
      </w:r>
      <w:r w:rsidRPr="00382917">
        <w:t>make-shift</w:t>
      </w:r>
      <w:r w:rsidR="00EE4FC3">
        <w:t xml:space="preserve"> </w:t>
      </w:r>
      <w:r w:rsidRPr="00382917">
        <w:t>weapons</w:t>
      </w:r>
      <w:r w:rsidR="00EE4FC3">
        <w:t xml:space="preserve"> </w:t>
      </w:r>
      <w:r w:rsidRPr="00382917">
        <w:t>to</w:t>
      </w:r>
      <w:r w:rsidR="00EE4FC3">
        <w:t xml:space="preserve"> </w:t>
      </w:r>
      <w:r w:rsidRPr="00382917">
        <w:t>afford</w:t>
      </w:r>
      <w:r w:rsidR="00EE4FC3">
        <w:t xml:space="preserve"> </w:t>
      </w:r>
      <w:r w:rsidRPr="00382917">
        <w:t>them</w:t>
      </w:r>
      <w:r w:rsidR="00EE4FC3">
        <w:t xml:space="preserve"> </w:t>
      </w:r>
      <w:r w:rsidRPr="00382917">
        <w:t>the</w:t>
      </w:r>
      <w:r w:rsidR="00EE4FC3">
        <w:t xml:space="preserve"> </w:t>
      </w:r>
      <w:r w:rsidRPr="00382917">
        <w:t>necessary</w:t>
      </w:r>
      <w:r w:rsidR="00EE4FC3">
        <w:t xml:space="preserve"> </w:t>
      </w:r>
      <w:r w:rsidRPr="00382917">
        <w:t>support</w:t>
      </w:r>
      <w:r w:rsidR="00A93643">
        <w:t>.</w:t>
      </w:r>
      <w:r w:rsidR="00EE4FC3">
        <w:t xml:space="preserve">  </w:t>
      </w:r>
      <w:r w:rsidR="009C713D" w:rsidRPr="00382917">
        <w:t>“</w:t>
      </w:r>
      <w:r w:rsidRPr="00382917">
        <w:t>The</w:t>
      </w:r>
      <w:r w:rsidR="00EE4FC3">
        <w:t xml:space="preserve"> </w:t>
      </w:r>
      <w:r w:rsidRPr="00382917">
        <w:t>desperate</w:t>
      </w:r>
      <w:r w:rsidR="00EE4FC3">
        <w:t xml:space="preserve"> </w:t>
      </w:r>
      <w:r w:rsidRPr="00382917">
        <w:t>resistance</w:t>
      </w:r>
      <w:r w:rsidR="00EE4FC3">
        <w:t xml:space="preserve"> </w:t>
      </w:r>
      <w:r w:rsidRPr="00382917">
        <w:t>offered</w:t>
      </w:r>
      <w:r w:rsidR="00EE4FC3">
        <w:t xml:space="preserve"> </w:t>
      </w:r>
      <w:r w:rsidRPr="00382917">
        <w:t>by</w:t>
      </w:r>
      <w:r w:rsidR="00EE4FC3">
        <w:t xml:space="preserve"> </w:t>
      </w:r>
      <w:r w:rsidRPr="00382917">
        <w:t>the</w:t>
      </w:r>
      <w:r w:rsidR="00EE4FC3">
        <w:t xml:space="preserve"> </w:t>
      </w:r>
      <w:r w:rsidRPr="00382917">
        <w:t>[followers</w:t>
      </w:r>
      <w:r w:rsidR="00EE4FC3">
        <w:t xml:space="preserve"> </w:t>
      </w:r>
      <w:r w:rsidRPr="00382917">
        <w:t>of</w:t>
      </w:r>
      <w:r w:rsidR="00EE4FC3">
        <w:t xml:space="preserve"> </w:t>
      </w:r>
      <w:r w:rsidRPr="00382917">
        <w:t>the</w:t>
      </w:r>
      <w:r w:rsidR="00EE4FC3">
        <w:t xml:space="preserve"> </w:t>
      </w:r>
      <w:r w:rsidRPr="00382917">
        <w:t>Báb]</w:t>
      </w:r>
      <w:r w:rsidR="00EE4FC3">
        <w:t xml:space="preserve"> </w:t>
      </w:r>
      <w:r w:rsidRPr="00382917">
        <w:t>must</w:t>
      </w:r>
      <w:r w:rsidR="00EE4FC3">
        <w:t xml:space="preserve"> </w:t>
      </w:r>
      <w:r w:rsidRPr="00382917">
        <w:t>therefore,</w:t>
      </w:r>
      <w:r w:rsidR="009C713D" w:rsidRPr="00382917">
        <w:t>”</w:t>
      </w:r>
      <w:r w:rsidR="00EE4FC3">
        <w:t xml:space="preserve"> </w:t>
      </w:r>
      <w:r w:rsidRPr="00382917">
        <w:t>he</w:t>
      </w:r>
      <w:r w:rsidR="00EE4FC3">
        <w:t xml:space="preserve"> </w:t>
      </w:r>
      <w:r w:rsidRPr="00382917">
        <w:t>says,</w:t>
      </w:r>
      <w:r w:rsidR="00EE4FC3">
        <w:t xml:space="preserve"> </w:t>
      </w:r>
      <w:r w:rsidR="009C713D" w:rsidRPr="00382917">
        <w:t>“</w:t>
      </w:r>
      <w:r w:rsidRPr="00382917">
        <w:t>be</w:t>
      </w:r>
      <w:r w:rsidR="00EE4FC3">
        <w:t xml:space="preserve"> </w:t>
      </w:r>
      <w:r w:rsidRPr="00382917">
        <w:t>attributed</w:t>
      </w:r>
      <w:r w:rsidR="00EE4FC3">
        <w:t xml:space="preserve"> </w:t>
      </w:r>
      <w:r w:rsidRPr="00382917">
        <w:t>less</w:t>
      </w:r>
      <w:r w:rsidR="00EE4FC3">
        <w:t xml:space="preserve"> </w:t>
      </w:r>
      <w:r w:rsidRPr="00382917">
        <w:t>to</w:t>
      </w:r>
      <w:r w:rsidR="00EE4FC3">
        <w:t xml:space="preserve"> </w:t>
      </w:r>
      <w:r w:rsidRPr="00382917">
        <w:t>the</w:t>
      </w:r>
      <w:r w:rsidR="00EE4FC3">
        <w:t xml:space="preserve"> </w:t>
      </w:r>
      <w:r w:rsidRPr="00382917">
        <w:t>strength</w:t>
      </w:r>
      <w:r w:rsidR="00EE4FC3">
        <w:t xml:space="preserve"> </w:t>
      </w:r>
      <w:r w:rsidRPr="00382917">
        <w:t>of</w:t>
      </w:r>
      <w:r w:rsidR="00EE4FC3">
        <w:t xml:space="preserve"> </w:t>
      </w:r>
      <w:r w:rsidRPr="00382917">
        <w:t>the</w:t>
      </w:r>
      <w:r w:rsidR="00EE4FC3">
        <w:t xml:space="preserve"> </w:t>
      </w:r>
      <w:r w:rsidRPr="00382917">
        <w:t>position</w:t>
      </w:r>
      <w:r w:rsidR="00EE4FC3">
        <w:t xml:space="preserve"> </w:t>
      </w:r>
      <w:r w:rsidRPr="00382917">
        <w:t>which</w:t>
      </w:r>
      <w:r w:rsidR="00EE4FC3">
        <w:t xml:space="preserve"> </w:t>
      </w:r>
      <w:r w:rsidRPr="00382917">
        <w:t>they</w:t>
      </w:r>
      <w:r w:rsidR="00EE4FC3">
        <w:t xml:space="preserve"> </w:t>
      </w:r>
      <w:r w:rsidRPr="00382917">
        <w:t>occupied</w:t>
      </w:r>
      <w:r w:rsidR="00EE4FC3">
        <w:t xml:space="preserve"> </w:t>
      </w:r>
      <w:r w:rsidRPr="00382917">
        <w:t>than</w:t>
      </w:r>
      <w:r w:rsidR="00EE4FC3">
        <w:t xml:space="preserve"> </w:t>
      </w:r>
      <w:r w:rsidRPr="00382917">
        <w:t>to</w:t>
      </w:r>
      <w:r w:rsidR="00EE4FC3">
        <w:t xml:space="preserve"> </w:t>
      </w:r>
      <w:r w:rsidRPr="00382917">
        <w:t>the</w:t>
      </w:r>
      <w:r w:rsidR="00EE4FC3">
        <w:t xml:space="preserve"> </w:t>
      </w:r>
      <w:proofErr w:type="spellStart"/>
      <w:r w:rsidRPr="00382917">
        <w:t>valor</w:t>
      </w:r>
      <w:proofErr w:type="spellEnd"/>
      <w:r w:rsidR="00EE4FC3">
        <w:t xml:space="preserve"> </w:t>
      </w:r>
      <w:r w:rsidRPr="00382917">
        <w:t>with</w:t>
      </w:r>
      <w:r w:rsidR="00EE4FC3">
        <w:t xml:space="preserve"> </w:t>
      </w:r>
      <w:r w:rsidRPr="00382917">
        <w:t>which</w:t>
      </w:r>
      <w:r w:rsidR="00EE4FC3">
        <w:t xml:space="preserve"> </w:t>
      </w:r>
      <w:r w:rsidRPr="00382917">
        <w:t>they</w:t>
      </w:r>
      <w:r w:rsidR="00EE4FC3">
        <w:t xml:space="preserve"> </w:t>
      </w:r>
      <w:r w:rsidRPr="00382917">
        <w:t>defended</w:t>
      </w:r>
      <w:r w:rsidR="00EE4FC3">
        <w:t xml:space="preserve"> </w:t>
      </w:r>
      <w:r w:rsidRPr="00382917">
        <w:t>themselves.</w:t>
      </w:r>
      <w:r w:rsidR="009C713D" w:rsidRPr="00382917">
        <w:t>”</w:t>
      </w:r>
      <w:r w:rsidR="00D35066">
        <w:rPr>
          <w:rStyle w:val="FootnoteReference"/>
        </w:rPr>
        <w:footnoteReference w:id="108"/>
      </w:r>
    </w:p>
    <w:p w:rsidR="00B2576B" w:rsidRPr="00382917" w:rsidRDefault="00B2576B" w:rsidP="00B2576B">
      <w:pPr>
        <w:pStyle w:val="Text"/>
      </w:pPr>
      <w:r w:rsidRPr="00382917">
        <w:t>Separated</w:t>
      </w:r>
      <w:r w:rsidR="00EE4FC3">
        <w:t xml:space="preserve"> </w:t>
      </w:r>
      <w:r w:rsidRPr="00382917">
        <w:t>as</w:t>
      </w:r>
      <w:r w:rsidR="00EE4FC3">
        <w:t xml:space="preserve"> </w:t>
      </w:r>
      <w:r w:rsidRPr="00382917">
        <w:t>they</w:t>
      </w:r>
      <w:r w:rsidR="00EE4FC3">
        <w:t xml:space="preserve"> </w:t>
      </w:r>
      <w:r w:rsidRPr="00382917">
        <w:t>were</w:t>
      </w:r>
      <w:r w:rsidR="00EE4FC3">
        <w:t xml:space="preserve"> </w:t>
      </w:r>
      <w:r w:rsidRPr="00382917">
        <w:t>from</w:t>
      </w:r>
      <w:r w:rsidR="00EE4FC3">
        <w:t xml:space="preserve"> </w:t>
      </w:r>
      <w:r w:rsidRPr="00382917">
        <w:t>their</w:t>
      </w:r>
      <w:r w:rsidR="00EE4FC3">
        <w:t xml:space="preserve"> </w:t>
      </w:r>
      <w:r w:rsidRPr="00382917">
        <w:t>imprisoned</w:t>
      </w:r>
      <w:r w:rsidR="00EE4FC3">
        <w:t xml:space="preserve"> </w:t>
      </w:r>
      <w:r w:rsidRPr="00382917">
        <w:t>leader,</w:t>
      </w:r>
      <w:r w:rsidR="00EE4FC3">
        <w:t xml:space="preserve"> </w:t>
      </w:r>
      <w:r w:rsidRPr="00382917">
        <w:t>the</w:t>
      </w:r>
      <w:r w:rsidR="00EE4FC3">
        <w:t xml:space="preserve"> </w:t>
      </w:r>
      <w:r w:rsidRPr="00382917">
        <w:t>Báb,</w:t>
      </w:r>
      <w:r w:rsidR="00EE4FC3">
        <w:t xml:space="preserve"> </w:t>
      </w:r>
      <w:r w:rsidRPr="00382917">
        <w:t>His</w:t>
      </w:r>
      <w:r w:rsidR="00EE4FC3">
        <w:t xml:space="preserve"> </w:t>
      </w:r>
      <w:r w:rsidRPr="00382917">
        <w:t>followers</w:t>
      </w:r>
      <w:r w:rsidR="00EE4FC3">
        <w:t xml:space="preserve"> </w:t>
      </w:r>
      <w:r w:rsidRPr="00382917">
        <w:t>did</w:t>
      </w:r>
      <w:r w:rsidR="00EE4FC3">
        <w:t xml:space="preserve"> </w:t>
      </w:r>
      <w:r w:rsidRPr="00382917">
        <w:t>not</w:t>
      </w:r>
      <w:r w:rsidR="00EE4FC3">
        <w:t xml:space="preserve"> </w:t>
      </w:r>
      <w:r w:rsidRPr="00382917">
        <w:t>yet</w:t>
      </w:r>
      <w:r w:rsidR="00EE4FC3">
        <w:t xml:space="preserve"> </w:t>
      </w:r>
      <w:r w:rsidRPr="00382917">
        <w:t>understand</w:t>
      </w:r>
      <w:r w:rsidR="00EE4FC3">
        <w:t xml:space="preserve"> </w:t>
      </w:r>
      <w:r w:rsidRPr="00382917">
        <w:t>His</w:t>
      </w:r>
      <w:r w:rsidR="00EE4FC3">
        <w:t xml:space="preserve"> </w:t>
      </w:r>
      <w:r w:rsidRPr="00382917">
        <w:t>clear</w:t>
      </w:r>
      <w:r w:rsidR="00EE4FC3">
        <w:t xml:space="preserve"> </w:t>
      </w:r>
      <w:r w:rsidRPr="00382917">
        <w:t>teaching</w:t>
      </w:r>
      <w:r w:rsidR="00EE4FC3">
        <w:t xml:space="preserve"> </w:t>
      </w:r>
      <w:r w:rsidRPr="00382917">
        <w:t>on</w:t>
      </w:r>
      <w:r w:rsidR="00EE4FC3">
        <w:t xml:space="preserve"> </w:t>
      </w:r>
      <w:r w:rsidRPr="00382917">
        <w:t>the</w:t>
      </w:r>
      <w:r w:rsidR="00EE4FC3">
        <w:t xml:space="preserve"> </w:t>
      </w:r>
      <w:r w:rsidRPr="00382917">
        <w:t>matter</w:t>
      </w:r>
      <w:r w:rsidR="00EE4FC3">
        <w:t xml:space="preserve"> </w:t>
      </w:r>
      <w:r w:rsidRPr="00382917">
        <w:t>of</w:t>
      </w:r>
      <w:r w:rsidR="00EE4FC3">
        <w:t xml:space="preserve"> </w:t>
      </w:r>
      <w:r w:rsidRPr="00382917">
        <w:t>physical</w:t>
      </w:r>
      <w:r w:rsidR="00EE4FC3">
        <w:t xml:space="preserve"> </w:t>
      </w:r>
      <w:r w:rsidRPr="00382917">
        <w:t>violence</w:t>
      </w:r>
      <w:r w:rsidR="00EE4FC3">
        <w:t xml:space="preserve"> </w:t>
      </w:r>
      <w:r w:rsidRPr="00382917">
        <w:t>and</w:t>
      </w:r>
      <w:r w:rsidR="00EE4FC3">
        <w:t xml:space="preserve"> </w:t>
      </w:r>
      <w:r w:rsidRPr="00382917">
        <w:t>warfare</w:t>
      </w:r>
      <w:r w:rsidR="00A93643">
        <w:t>.</w:t>
      </w:r>
      <w:r w:rsidR="00EE4FC3">
        <w:t xml:space="preserve">  </w:t>
      </w:r>
      <w:r w:rsidRPr="00382917">
        <w:t>Therefore,</w:t>
      </w:r>
      <w:r w:rsidR="00EE4FC3">
        <w:t xml:space="preserve"> </w:t>
      </w:r>
      <w:r w:rsidRPr="00382917">
        <w:t>they</w:t>
      </w:r>
      <w:r w:rsidR="00EE4FC3">
        <w:t xml:space="preserve"> </w:t>
      </w:r>
      <w:r w:rsidRPr="00382917">
        <w:t>followed</w:t>
      </w:r>
      <w:r w:rsidR="00EE4FC3">
        <w:t xml:space="preserve"> </w:t>
      </w:r>
      <w:r w:rsidRPr="00382917">
        <w:t>after</w:t>
      </w:r>
      <w:r w:rsidR="00EE4FC3">
        <w:t xml:space="preserve"> </w:t>
      </w:r>
      <w:r w:rsidRPr="00382917">
        <w:t>the</w:t>
      </w:r>
      <w:r w:rsidR="00EE4FC3">
        <w:t xml:space="preserve"> </w:t>
      </w:r>
      <w:r w:rsidRPr="00382917">
        <w:t>pattern</w:t>
      </w:r>
      <w:r w:rsidR="00EE4FC3">
        <w:t xml:space="preserve"> </w:t>
      </w:r>
      <w:r w:rsidRPr="00382917">
        <w:t>of</w:t>
      </w:r>
      <w:r w:rsidR="00EE4FC3">
        <w:t xml:space="preserve"> </w:t>
      </w:r>
      <w:r w:rsidRPr="00382917">
        <w:t>their</w:t>
      </w:r>
      <w:r w:rsidR="00EE4FC3">
        <w:t xml:space="preserve"> </w:t>
      </w:r>
      <w:r w:rsidRPr="00382917">
        <w:t>previous</w:t>
      </w:r>
      <w:r w:rsidR="00EE4FC3">
        <w:t xml:space="preserve"> </w:t>
      </w:r>
      <w:r w:rsidRPr="00382917">
        <w:t>religious</w:t>
      </w:r>
      <w:r w:rsidR="00EE4FC3">
        <w:t xml:space="preserve"> </w:t>
      </w:r>
      <w:r w:rsidRPr="00382917">
        <w:t>teaching</w:t>
      </w:r>
      <w:r w:rsidR="00C03C91">
        <w:t>:</w:t>
      </w:r>
      <w:r w:rsidR="00EE4FC3">
        <w:t xml:space="preserve">  </w:t>
      </w:r>
      <w:r w:rsidRPr="00382917">
        <w:t>do</w:t>
      </w:r>
      <w:r w:rsidR="00EE4FC3">
        <w:t xml:space="preserve"> </w:t>
      </w:r>
      <w:r w:rsidRPr="00382917">
        <w:t>not</w:t>
      </w:r>
      <w:r w:rsidR="00EE4FC3">
        <w:t xml:space="preserve"> </w:t>
      </w:r>
      <w:r w:rsidRPr="00382917">
        <w:t>attack,</w:t>
      </w:r>
      <w:r w:rsidR="00EE4FC3">
        <w:t xml:space="preserve"> </w:t>
      </w:r>
      <w:r w:rsidRPr="00382917">
        <w:t>but</w:t>
      </w:r>
      <w:r w:rsidR="00EE4FC3">
        <w:t xml:space="preserve"> </w:t>
      </w:r>
      <w:r w:rsidRPr="00382917">
        <w:t>defend</w:t>
      </w:r>
      <w:r w:rsidR="00A93643">
        <w:t>.</w:t>
      </w:r>
      <w:r w:rsidR="00EE4FC3">
        <w:t xml:space="preserve">  </w:t>
      </w:r>
      <w:r w:rsidRPr="00382917">
        <w:t>In</w:t>
      </w:r>
      <w:r w:rsidR="00EE4FC3">
        <w:t xml:space="preserve"> </w:t>
      </w:r>
      <w:r w:rsidRPr="00382917">
        <w:t>the</w:t>
      </w:r>
      <w:r w:rsidR="00EE4FC3">
        <w:t xml:space="preserve"> </w:t>
      </w:r>
      <w:r w:rsidRPr="00382917">
        <w:t>book</w:t>
      </w:r>
      <w:r w:rsidR="00EE4FC3">
        <w:t xml:space="preserve"> </w:t>
      </w:r>
      <w:r w:rsidRPr="00A93643">
        <w:rPr>
          <w:i/>
          <w:iCs/>
        </w:rPr>
        <w:t>A</w:t>
      </w:r>
      <w:r w:rsidR="00EE4FC3">
        <w:rPr>
          <w:i/>
          <w:iCs/>
        </w:rPr>
        <w:t xml:space="preserve"> </w:t>
      </w:r>
      <w:proofErr w:type="spellStart"/>
      <w:r w:rsidRPr="00A93643">
        <w:rPr>
          <w:i/>
          <w:iCs/>
        </w:rPr>
        <w:t>Traveler</w:t>
      </w:r>
      <w:r w:rsidR="009C713D" w:rsidRPr="00A93643">
        <w:rPr>
          <w:i/>
          <w:iCs/>
        </w:rPr>
        <w:t>’</w:t>
      </w:r>
      <w:r w:rsidRPr="00A93643">
        <w:rPr>
          <w:i/>
          <w:iCs/>
        </w:rPr>
        <w:t>s</w:t>
      </w:r>
      <w:proofErr w:type="spellEnd"/>
      <w:r w:rsidR="00EE4FC3">
        <w:rPr>
          <w:i/>
          <w:iCs/>
        </w:rPr>
        <w:t xml:space="preserve"> </w:t>
      </w:r>
      <w:r w:rsidRPr="00A93643">
        <w:rPr>
          <w:i/>
          <w:iCs/>
        </w:rPr>
        <w:t>Narrative</w:t>
      </w:r>
      <w:r w:rsidRPr="00382917">
        <w:t>,</w:t>
      </w:r>
      <w:r w:rsidR="00EE4FC3">
        <w:t xml:space="preserve"> </w:t>
      </w:r>
      <w:r w:rsidRPr="00382917">
        <w:t>edited</w:t>
      </w:r>
      <w:r w:rsidR="00EE4FC3">
        <w:t xml:space="preserve"> </w:t>
      </w:r>
      <w:r w:rsidRPr="00382917">
        <w:t>by</w:t>
      </w:r>
      <w:r w:rsidR="00EE4FC3">
        <w:t xml:space="preserve"> </w:t>
      </w:r>
      <w:r w:rsidRPr="00382917">
        <w:t>Professor</w:t>
      </w:r>
      <w:r w:rsidR="00EE4FC3">
        <w:t xml:space="preserve"> </w:t>
      </w:r>
      <w:r w:rsidRPr="00382917">
        <w:t>E.</w:t>
      </w:r>
      <w:r w:rsidR="00EE4FC3">
        <w:t xml:space="preserve"> </w:t>
      </w:r>
      <w:r w:rsidRPr="00382917">
        <w:t>G.</w:t>
      </w:r>
      <w:r w:rsidR="00EE4FC3">
        <w:t xml:space="preserve"> </w:t>
      </w:r>
      <w:r w:rsidRPr="00382917">
        <w:t>Browne</w:t>
      </w:r>
      <w:r w:rsidR="00EE4FC3">
        <w:t xml:space="preserve"> </w:t>
      </w:r>
      <w:r w:rsidRPr="00382917">
        <w:t>of</w:t>
      </w:r>
      <w:r w:rsidR="00EE4FC3">
        <w:t xml:space="preserve"> </w:t>
      </w:r>
      <w:r w:rsidRPr="00382917">
        <w:t>Cambridge</w:t>
      </w:r>
      <w:r w:rsidR="00EE4FC3">
        <w:t xml:space="preserve"> </w:t>
      </w:r>
      <w:r w:rsidRPr="00382917">
        <w:t>University,</w:t>
      </w:r>
      <w:r w:rsidR="00EE4FC3">
        <w:t xml:space="preserve"> </w:t>
      </w:r>
      <w:r w:rsidRPr="00382917">
        <w:t>it</w:t>
      </w:r>
      <w:r w:rsidR="00EE4FC3">
        <w:t xml:space="preserve"> </w:t>
      </w:r>
      <w:r w:rsidRPr="00382917">
        <w:t>states</w:t>
      </w:r>
      <w:r w:rsidR="00C03C91">
        <w:t>:</w:t>
      </w:r>
      <w:r w:rsidR="00EE4FC3">
        <w:t xml:space="preserve">  </w:t>
      </w:r>
      <w:r w:rsidR="009C713D" w:rsidRPr="00382917">
        <w:t>“</w:t>
      </w:r>
      <w:r w:rsidRPr="00382917">
        <w:t>In</w:t>
      </w:r>
      <w:r w:rsidR="00EE4FC3">
        <w:t xml:space="preserve"> </w:t>
      </w:r>
      <w:r w:rsidRPr="00382917">
        <w:t>towns</w:t>
      </w:r>
      <w:r w:rsidR="00EE4FC3">
        <w:t xml:space="preserve"> </w:t>
      </w:r>
      <w:r w:rsidRPr="00382917">
        <w:t>where</w:t>
      </w:r>
    </w:p>
    <w:p w:rsidR="00B2576B" w:rsidRPr="00382917" w:rsidRDefault="00B2576B">
      <w:pPr>
        <w:widowControl/>
        <w:kinsoku/>
        <w:overflowPunct/>
        <w:textAlignment w:val="auto"/>
      </w:pPr>
      <w:r w:rsidRPr="00382917">
        <w:br w:type="page"/>
      </w:r>
    </w:p>
    <w:p w:rsidR="00B2576B" w:rsidRPr="00382917" w:rsidRDefault="00B2576B" w:rsidP="00814CFC">
      <w:pPr>
        <w:pStyle w:val="Textcts"/>
      </w:pPr>
      <w:proofErr w:type="gramStart"/>
      <w:r w:rsidRPr="00382917">
        <w:t>these</w:t>
      </w:r>
      <w:proofErr w:type="gramEnd"/>
      <w:r w:rsidR="00EE4FC3">
        <w:t xml:space="preserve"> </w:t>
      </w:r>
      <w:r w:rsidRPr="00382917">
        <w:t>[followers</w:t>
      </w:r>
      <w:r w:rsidR="00EE4FC3">
        <w:t xml:space="preserve"> </w:t>
      </w:r>
      <w:r w:rsidRPr="00382917">
        <w:t>of</w:t>
      </w:r>
      <w:r w:rsidR="00EE4FC3">
        <w:t xml:space="preserve"> </w:t>
      </w:r>
      <w:r w:rsidRPr="00382917">
        <w:t>the</w:t>
      </w:r>
      <w:r w:rsidR="00EE4FC3">
        <w:t xml:space="preserve"> </w:t>
      </w:r>
      <w:r w:rsidRPr="00382917">
        <w:t>Báb]</w:t>
      </w:r>
      <w:r w:rsidR="00EE4FC3">
        <w:t xml:space="preserve"> </w:t>
      </w:r>
      <w:r w:rsidRPr="00382917">
        <w:t>were</w:t>
      </w:r>
      <w:r w:rsidR="00EE4FC3">
        <w:t xml:space="preserve"> </w:t>
      </w:r>
      <w:r w:rsidRPr="00382917">
        <w:t>but</w:t>
      </w:r>
      <w:r w:rsidR="00EE4FC3">
        <w:t xml:space="preserve"> </w:t>
      </w:r>
      <w:r w:rsidRPr="00382917">
        <w:t>a</w:t>
      </w:r>
      <w:r w:rsidR="00EE4FC3">
        <w:t xml:space="preserve"> </w:t>
      </w:r>
      <w:r w:rsidRPr="00382917">
        <w:t>limited</w:t>
      </w:r>
      <w:r w:rsidR="00EE4FC3">
        <w:t xml:space="preserve"> </w:t>
      </w:r>
      <w:r w:rsidRPr="00382917">
        <w:t>number,</w:t>
      </w:r>
      <w:r w:rsidR="00EE4FC3">
        <w:t xml:space="preserve"> </w:t>
      </w:r>
      <w:r w:rsidRPr="00382917">
        <w:t>all</w:t>
      </w:r>
      <w:r w:rsidR="00EE4FC3">
        <w:t xml:space="preserve"> </w:t>
      </w:r>
      <w:r w:rsidRPr="00382917">
        <w:t>of</w:t>
      </w:r>
      <w:r w:rsidR="00EE4FC3">
        <w:t xml:space="preserve"> </w:t>
      </w:r>
      <w:r w:rsidRPr="00382917">
        <w:t>them</w:t>
      </w:r>
      <w:r w:rsidR="00EE4FC3">
        <w:t xml:space="preserve"> </w:t>
      </w:r>
      <w:r w:rsidRPr="00382917">
        <w:t>with</w:t>
      </w:r>
      <w:r w:rsidR="00EE4FC3">
        <w:t xml:space="preserve"> </w:t>
      </w:r>
      <w:r w:rsidRPr="00382917">
        <w:t>bound</w:t>
      </w:r>
      <w:r w:rsidR="00EE4FC3">
        <w:t xml:space="preserve"> </w:t>
      </w:r>
      <w:r w:rsidRPr="00382917">
        <w:t>hands</w:t>
      </w:r>
      <w:r w:rsidR="00EE4FC3">
        <w:t xml:space="preserve"> </w:t>
      </w:r>
      <w:r w:rsidRPr="00382917">
        <w:t>became</w:t>
      </w:r>
      <w:r w:rsidR="00EE4FC3">
        <w:t xml:space="preserve"> </w:t>
      </w:r>
      <w:r w:rsidRPr="00382917">
        <w:t>food</w:t>
      </w:r>
      <w:r w:rsidR="00EE4FC3">
        <w:t xml:space="preserve"> </w:t>
      </w:r>
      <w:r w:rsidRPr="00382917">
        <w:t>for</w:t>
      </w:r>
      <w:r w:rsidR="00EE4FC3">
        <w:t xml:space="preserve"> </w:t>
      </w:r>
      <w:r w:rsidRPr="00382917">
        <w:t>the</w:t>
      </w:r>
      <w:r w:rsidR="00EE4FC3">
        <w:t xml:space="preserve"> </w:t>
      </w:r>
      <w:r w:rsidRPr="00382917">
        <w:t>sword,</w:t>
      </w:r>
      <w:r w:rsidR="00EE4FC3">
        <w:t xml:space="preserve"> </w:t>
      </w:r>
      <w:r w:rsidRPr="00382917">
        <w:t>while</w:t>
      </w:r>
      <w:r w:rsidR="00EE4FC3">
        <w:t xml:space="preserve"> </w:t>
      </w:r>
      <w:r w:rsidRPr="00382917">
        <w:t>in</w:t>
      </w:r>
      <w:r w:rsidR="00EE4FC3">
        <w:t xml:space="preserve"> </w:t>
      </w:r>
      <w:r w:rsidRPr="00382917">
        <w:t>cities</w:t>
      </w:r>
      <w:r w:rsidR="00EE4FC3">
        <w:t xml:space="preserve"> </w:t>
      </w:r>
      <w:r w:rsidRPr="00382917">
        <w:t>where</w:t>
      </w:r>
      <w:r w:rsidR="00EE4FC3">
        <w:t xml:space="preserve"> </w:t>
      </w:r>
      <w:r w:rsidRPr="00382917">
        <w:t>they</w:t>
      </w:r>
      <w:r w:rsidR="00EE4FC3">
        <w:t xml:space="preserve"> </w:t>
      </w:r>
      <w:r w:rsidRPr="00382917">
        <w:t>were</w:t>
      </w:r>
      <w:r w:rsidR="00EE4FC3">
        <w:t xml:space="preserve"> </w:t>
      </w:r>
      <w:r w:rsidRPr="00382917">
        <w:t>numerous</w:t>
      </w:r>
      <w:r w:rsidR="00EE4FC3">
        <w:t xml:space="preserve"> </w:t>
      </w:r>
      <w:r w:rsidRPr="00382917">
        <w:t>they</w:t>
      </w:r>
      <w:r w:rsidR="00EE4FC3">
        <w:t xml:space="preserve"> </w:t>
      </w:r>
      <w:r w:rsidRPr="00382917">
        <w:t>arose</w:t>
      </w:r>
      <w:r w:rsidR="00EE4FC3">
        <w:t xml:space="preserve"> </w:t>
      </w:r>
      <w:r w:rsidRPr="00382917">
        <w:t>in</w:t>
      </w:r>
      <w:r w:rsidR="00EE4FC3">
        <w:t xml:space="preserve"> </w:t>
      </w:r>
      <w:proofErr w:type="spellStart"/>
      <w:r w:rsidRPr="00382917">
        <w:t>self-defense</w:t>
      </w:r>
      <w:proofErr w:type="spellEnd"/>
      <w:r w:rsidR="00EE4FC3">
        <w:t xml:space="preserve"> </w:t>
      </w:r>
      <w:r w:rsidRPr="00382917">
        <w:t>in</w:t>
      </w:r>
      <w:r w:rsidR="00EE4FC3">
        <w:t xml:space="preserve"> </w:t>
      </w:r>
      <w:r w:rsidRPr="00382917">
        <w:t>accordance</w:t>
      </w:r>
      <w:r w:rsidR="00EE4FC3">
        <w:t xml:space="preserve"> </w:t>
      </w:r>
      <w:r w:rsidRPr="00382917">
        <w:t>with</w:t>
      </w:r>
      <w:r w:rsidR="00EE4FC3">
        <w:t xml:space="preserve"> </w:t>
      </w:r>
      <w:r w:rsidRPr="00382917">
        <w:t>their</w:t>
      </w:r>
      <w:r w:rsidR="00EE4FC3">
        <w:t xml:space="preserve"> </w:t>
      </w:r>
      <w:r w:rsidRPr="00382917">
        <w:t>former</w:t>
      </w:r>
      <w:r w:rsidR="00EE4FC3">
        <w:t xml:space="preserve"> </w:t>
      </w:r>
      <w:r w:rsidRPr="00382917">
        <w:t>beliefs,</w:t>
      </w:r>
      <w:r w:rsidR="00EE4FC3">
        <w:t xml:space="preserve"> </w:t>
      </w:r>
      <w:r w:rsidRPr="00382917">
        <w:t>since</w:t>
      </w:r>
      <w:r w:rsidR="00EE4FC3">
        <w:t xml:space="preserve"> </w:t>
      </w:r>
      <w:r w:rsidRPr="00382917">
        <w:t>it</w:t>
      </w:r>
      <w:r w:rsidR="00EE4FC3">
        <w:t xml:space="preserve"> </w:t>
      </w:r>
      <w:r w:rsidRPr="00382917">
        <w:t>was</w:t>
      </w:r>
      <w:r w:rsidR="00EE4FC3">
        <w:t xml:space="preserve"> </w:t>
      </w:r>
      <w:r w:rsidRPr="00382917">
        <w:t>impossible</w:t>
      </w:r>
      <w:r w:rsidR="00EE4FC3">
        <w:t xml:space="preserve"> </w:t>
      </w:r>
      <w:r w:rsidRPr="00382917">
        <w:t>for</w:t>
      </w:r>
      <w:r w:rsidR="00EE4FC3">
        <w:t xml:space="preserve"> </w:t>
      </w:r>
      <w:r w:rsidRPr="00382917">
        <w:t>them</w:t>
      </w:r>
      <w:r w:rsidR="00EE4FC3">
        <w:t xml:space="preserve"> </w:t>
      </w:r>
      <w:r w:rsidRPr="00382917">
        <w:t>to</w:t>
      </w:r>
      <w:r w:rsidR="00EE4FC3">
        <w:t xml:space="preserve"> </w:t>
      </w:r>
      <w:r w:rsidRPr="00382917">
        <w:t>make</w:t>
      </w:r>
      <w:r w:rsidR="00EE4FC3">
        <w:t xml:space="preserve"> </w:t>
      </w:r>
      <w:r w:rsidRPr="00382917">
        <w:t>enquiry</w:t>
      </w:r>
      <w:r w:rsidR="00EE4FC3">
        <w:t xml:space="preserve"> </w:t>
      </w:r>
      <w:r w:rsidRPr="00382917">
        <w:t>as</w:t>
      </w:r>
      <w:r w:rsidR="00EE4FC3">
        <w:t xml:space="preserve"> </w:t>
      </w:r>
      <w:r w:rsidRPr="00382917">
        <w:t>to</w:t>
      </w:r>
      <w:r w:rsidR="00EE4FC3">
        <w:t xml:space="preserve"> </w:t>
      </w:r>
      <w:r w:rsidRPr="00382917">
        <w:t>their</w:t>
      </w:r>
      <w:r w:rsidR="00EE4FC3">
        <w:t xml:space="preserve"> </w:t>
      </w:r>
      <w:r w:rsidRPr="00382917">
        <w:t>duty.</w:t>
      </w:r>
      <w:r w:rsidR="009C713D" w:rsidRPr="00382917">
        <w:t>”</w:t>
      </w:r>
      <w:r w:rsidR="00814CFC">
        <w:rPr>
          <w:rStyle w:val="FootnoteReference"/>
        </w:rPr>
        <w:footnoteReference w:id="109"/>
      </w:r>
    </w:p>
    <w:p w:rsidR="00B2576B" w:rsidRPr="00382917" w:rsidRDefault="00B2576B" w:rsidP="00B2576B">
      <w:pPr>
        <w:pStyle w:val="Text"/>
      </w:pPr>
      <w:r w:rsidRPr="00382917">
        <w:t>His</w:t>
      </w:r>
      <w:r w:rsidR="00EE4FC3">
        <w:t xml:space="preserve"> </w:t>
      </w:r>
      <w:r w:rsidRPr="00382917">
        <w:t>followers</w:t>
      </w:r>
      <w:r w:rsidR="00EE4FC3">
        <w:t xml:space="preserve"> </w:t>
      </w:r>
      <w:r w:rsidRPr="00382917">
        <w:t>had</w:t>
      </w:r>
      <w:r w:rsidR="00EE4FC3">
        <w:t xml:space="preserve"> </w:t>
      </w:r>
      <w:r w:rsidRPr="00382917">
        <w:t>not</w:t>
      </w:r>
      <w:r w:rsidR="00EE4FC3">
        <w:t xml:space="preserve"> </w:t>
      </w:r>
      <w:r w:rsidRPr="00382917">
        <w:t>yet</w:t>
      </w:r>
      <w:r w:rsidR="00EE4FC3">
        <w:t xml:space="preserve"> </w:t>
      </w:r>
      <w:r w:rsidRPr="00382917">
        <w:t>read</w:t>
      </w:r>
      <w:r w:rsidR="00EE4FC3">
        <w:t xml:space="preserve"> </w:t>
      </w:r>
      <w:r w:rsidRPr="00382917">
        <w:t>the</w:t>
      </w:r>
      <w:r w:rsidR="00EE4FC3">
        <w:t xml:space="preserve"> </w:t>
      </w:r>
      <w:r w:rsidRPr="00382917">
        <w:t>Báb</w:t>
      </w:r>
      <w:r w:rsidR="009C713D" w:rsidRPr="00382917">
        <w:t>’</w:t>
      </w:r>
      <w:r w:rsidRPr="00382917">
        <w:t>s</w:t>
      </w:r>
      <w:r w:rsidR="00EE4FC3">
        <w:t xml:space="preserve"> </w:t>
      </w:r>
      <w:r w:rsidRPr="00382917">
        <w:t>words</w:t>
      </w:r>
      <w:r w:rsidR="00C03C91">
        <w:t>:</w:t>
      </w:r>
      <w:r w:rsidR="00EE4FC3">
        <w:t xml:space="preserve">  </w:t>
      </w:r>
      <w:r w:rsidR="009C713D" w:rsidRPr="00382917">
        <w:t>“</w:t>
      </w:r>
      <w:r w:rsidRPr="00382917">
        <w:t>The</w:t>
      </w:r>
      <w:r w:rsidR="00EE4FC3">
        <w:t xml:space="preserve"> </w:t>
      </w:r>
      <w:r w:rsidRPr="00382917">
        <w:t>slaying</w:t>
      </w:r>
      <w:r w:rsidR="00EE4FC3">
        <w:t xml:space="preserve"> </w:t>
      </w:r>
      <w:r w:rsidRPr="00382917">
        <w:t>of</w:t>
      </w:r>
      <w:r w:rsidR="00EE4FC3">
        <w:t xml:space="preserve"> </w:t>
      </w:r>
      <w:r w:rsidRPr="00382917">
        <w:t>a</w:t>
      </w:r>
      <w:r w:rsidR="00EE4FC3">
        <w:t xml:space="preserve"> </w:t>
      </w:r>
      <w:r w:rsidRPr="00382917">
        <w:t>soul</w:t>
      </w:r>
      <w:r w:rsidR="00EE4FC3">
        <w:t xml:space="preserve"> </w:t>
      </w:r>
      <w:r w:rsidRPr="00382917">
        <w:t>is</w:t>
      </w:r>
      <w:r w:rsidR="00EE4FC3">
        <w:t xml:space="preserve"> </w:t>
      </w:r>
      <w:r w:rsidRPr="00382917">
        <w:t>outside</w:t>
      </w:r>
      <w:r w:rsidR="00EE4FC3">
        <w:t xml:space="preserve"> </w:t>
      </w:r>
      <w:r w:rsidRPr="00382917">
        <w:t>the</w:t>
      </w:r>
      <w:r w:rsidR="00EE4FC3">
        <w:t xml:space="preserve"> </w:t>
      </w:r>
      <w:r w:rsidRPr="00382917">
        <w:t>religion</w:t>
      </w:r>
      <w:r w:rsidR="00EE4FC3">
        <w:t xml:space="preserve"> </w:t>
      </w:r>
      <w:r w:rsidRPr="00382917">
        <w:t>of</w:t>
      </w:r>
      <w:r w:rsidR="00EE4FC3">
        <w:t xml:space="preserve"> </w:t>
      </w:r>
      <w:r w:rsidRPr="00382917">
        <w:t>God;</w:t>
      </w:r>
      <w:r w:rsidR="00EE4FC3">
        <w:t xml:space="preserve"> </w:t>
      </w:r>
      <w:r w:rsidR="00F04416" w:rsidRPr="00382917">
        <w:t>…</w:t>
      </w:r>
      <w:r w:rsidR="00EE4FC3">
        <w:t xml:space="preserve"> </w:t>
      </w:r>
      <w:r w:rsidRPr="00382917">
        <w:t>and</w:t>
      </w:r>
      <w:r w:rsidR="00EE4FC3">
        <w:t xml:space="preserve"> </w:t>
      </w:r>
      <w:r w:rsidRPr="00382917">
        <w:t>if</w:t>
      </w:r>
      <w:r w:rsidR="00EE4FC3">
        <w:t xml:space="preserve"> </w:t>
      </w:r>
      <w:r w:rsidRPr="00382917">
        <w:t>anyone</w:t>
      </w:r>
      <w:r w:rsidR="00EE4FC3">
        <w:t xml:space="preserve"> </w:t>
      </w:r>
      <w:r w:rsidRPr="00382917">
        <w:t>commands</w:t>
      </w:r>
      <w:r w:rsidR="00EE4FC3">
        <w:t xml:space="preserve"> </w:t>
      </w:r>
      <w:r w:rsidRPr="00382917">
        <w:t>it,</w:t>
      </w:r>
      <w:r w:rsidR="00EE4FC3">
        <w:t xml:space="preserve"> </w:t>
      </w:r>
      <w:r w:rsidRPr="00382917">
        <w:t>he</w:t>
      </w:r>
      <w:r w:rsidR="00EE4FC3">
        <w:t xml:space="preserve"> </w:t>
      </w:r>
      <w:r w:rsidRPr="00382917">
        <w:t>is</w:t>
      </w:r>
      <w:r w:rsidR="00EE4FC3">
        <w:t xml:space="preserve"> </w:t>
      </w:r>
      <w:r w:rsidRPr="00382917">
        <w:t>not</w:t>
      </w:r>
      <w:r w:rsidR="00EE4FC3">
        <w:t xml:space="preserve"> </w:t>
      </w:r>
      <w:r w:rsidRPr="00382917">
        <w:t>and</w:t>
      </w:r>
      <w:r w:rsidR="00EE4FC3">
        <w:t xml:space="preserve"> </w:t>
      </w:r>
      <w:r w:rsidRPr="00382917">
        <w:t>has</w:t>
      </w:r>
      <w:r w:rsidR="00EE4FC3">
        <w:t xml:space="preserve"> </w:t>
      </w:r>
      <w:r w:rsidRPr="00382917">
        <w:t>not</w:t>
      </w:r>
      <w:r w:rsidR="00EE4FC3">
        <w:t xml:space="preserve"> </w:t>
      </w:r>
      <w:r w:rsidRPr="00382917">
        <w:t>been</w:t>
      </w:r>
      <w:r w:rsidR="00EE4FC3">
        <w:t xml:space="preserve"> </w:t>
      </w:r>
      <w:r w:rsidRPr="00382917">
        <w:t>of</w:t>
      </w:r>
      <w:r w:rsidR="00EE4FC3">
        <w:t xml:space="preserve"> </w:t>
      </w:r>
      <w:r w:rsidRPr="00382917">
        <w:t>the</w:t>
      </w:r>
      <w:r w:rsidR="00EE4FC3">
        <w:t xml:space="preserve"> </w:t>
      </w:r>
      <w:r w:rsidRPr="00382917">
        <w:t>Bayán</w:t>
      </w:r>
      <w:r w:rsidR="00EE4FC3">
        <w:t xml:space="preserve"> </w:t>
      </w:r>
      <w:r w:rsidRPr="00382917">
        <w:t>[the</w:t>
      </w:r>
      <w:r w:rsidR="00EE4FC3">
        <w:t xml:space="preserve"> </w:t>
      </w:r>
      <w:r w:rsidRPr="00382917">
        <w:t>Báb</w:t>
      </w:r>
      <w:r w:rsidR="009C713D" w:rsidRPr="00382917">
        <w:t>’</w:t>
      </w:r>
      <w:r w:rsidRPr="00382917">
        <w:t>s</w:t>
      </w:r>
      <w:r w:rsidR="00EE4FC3">
        <w:t xml:space="preserve"> </w:t>
      </w:r>
      <w:r w:rsidRPr="00382917">
        <w:t>Book</w:t>
      </w:r>
      <w:r w:rsidR="00EE4FC3">
        <w:t xml:space="preserve"> </w:t>
      </w:r>
      <w:r w:rsidRPr="00382917">
        <w:t>and</w:t>
      </w:r>
      <w:r w:rsidR="00EE4FC3">
        <w:t xml:space="preserve"> </w:t>
      </w:r>
      <w:r w:rsidRPr="00382917">
        <w:t>symbol</w:t>
      </w:r>
      <w:r w:rsidR="00EE4FC3">
        <w:t xml:space="preserve"> </w:t>
      </w:r>
      <w:r w:rsidRPr="00382917">
        <w:t>of</w:t>
      </w:r>
      <w:r w:rsidR="00EE4FC3">
        <w:t xml:space="preserve"> </w:t>
      </w:r>
      <w:r w:rsidRPr="00382917">
        <w:t>His</w:t>
      </w:r>
      <w:r w:rsidR="00EE4FC3">
        <w:t xml:space="preserve"> </w:t>
      </w:r>
      <w:r w:rsidRPr="00382917">
        <w:t>followers],</w:t>
      </w:r>
      <w:r w:rsidR="00EE4FC3">
        <w:t xml:space="preserve"> </w:t>
      </w:r>
      <w:r w:rsidRPr="00382917">
        <w:t>and</w:t>
      </w:r>
      <w:r w:rsidR="00EE4FC3">
        <w:t xml:space="preserve"> </w:t>
      </w:r>
      <w:r w:rsidRPr="00382917">
        <w:t>no</w:t>
      </w:r>
      <w:r w:rsidR="00EE4FC3">
        <w:t xml:space="preserve"> </w:t>
      </w:r>
      <w:r w:rsidRPr="00382917">
        <w:t>sin</w:t>
      </w:r>
      <w:r w:rsidR="00EE4FC3">
        <w:t xml:space="preserve"> </w:t>
      </w:r>
      <w:r w:rsidRPr="00382917">
        <w:t>can</w:t>
      </w:r>
      <w:r w:rsidR="00EE4FC3">
        <w:t xml:space="preserve"> </w:t>
      </w:r>
      <w:r w:rsidRPr="00382917">
        <w:t>be</w:t>
      </w:r>
      <w:r w:rsidR="00EE4FC3">
        <w:t xml:space="preserve"> </w:t>
      </w:r>
      <w:r w:rsidRPr="00382917">
        <w:t>greater</w:t>
      </w:r>
      <w:r w:rsidR="00EE4FC3">
        <w:t xml:space="preserve"> </w:t>
      </w:r>
      <w:r w:rsidRPr="00382917">
        <w:t>for</w:t>
      </w:r>
      <w:r w:rsidR="00EE4FC3">
        <w:t xml:space="preserve"> </w:t>
      </w:r>
      <w:r w:rsidRPr="00382917">
        <w:t>him</w:t>
      </w:r>
      <w:r w:rsidR="00EE4FC3">
        <w:t xml:space="preserve"> </w:t>
      </w:r>
      <w:r w:rsidRPr="00382917">
        <w:t>than</w:t>
      </w:r>
      <w:r w:rsidR="00EE4FC3">
        <w:t xml:space="preserve"> </w:t>
      </w:r>
      <w:r w:rsidRPr="00382917">
        <w:t>this.</w:t>
      </w:r>
      <w:r w:rsidR="009C713D" w:rsidRPr="00382917">
        <w:t>”</w:t>
      </w:r>
      <w:r w:rsidR="00814CFC">
        <w:rPr>
          <w:rStyle w:val="FootnoteReference"/>
        </w:rPr>
        <w:footnoteReference w:id="110"/>
      </w:r>
    </w:p>
    <w:p w:rsidR="00B2576B" w:rsidRPr="00382917" w:rsidRDefault="00B2576B" w:rsidP="00B2576B">
      <w:pPr>
        <w:pStyle w:val="Text"/>
      </w:pPr>
      <w:r w:rsidRPr="00382917">
        <w:t>As</w:t>
      </w:r>
      <w:r w:rsidR="00EE4FC3">
        <w:t xml:space="preserve"> </w:t>
      </w:r>
      <w:r w:rsidRPr="00382917">
        <w:t>the</w:t>
      </w:r>
      <w:r w:rsidR="00EE4FC3">
        <w:t xml:space="preserve"> </w:t>
      </w:r>
      <w:r w:rsidRPr="00382917">
        <w:t>huge</w:t>
      </w:r>
      <w:r w:rsidR="00EE4FC3">
        <w:t xml:space="preserve"> </w:t>
      </w:r>
      <w:r w:rsidRPr="00382917">
        <w:t>crowd</w:t>
      </w:r>
      <w:r w:rsidR="00EE4FC3">
        <w:t xml:space="preserve"> </w:t>
      </w:r>
      <w:r w:rsidRPr="00382917">
        <w:t>moved</w:t>
      </w:r>
      <w:r w:rsidR="00EE4FC3">
        <w:t xml:space="preserve"> </w:t>
      </w:r>
      <w:r w:rsidRPr="00382917">
        <w:t>menacingly</w:t>
      </w:r>
      <w:r w:rsidR="00EE4FC3">
        <w:t xml:space="preserve"> </w:t>
      </w:r>
      <w:r w:rsidRPr="00382917">
        <w:t>toward</w:t>
      </w:r>
      <w:r w:rsidR="00EE4FC3">
        <w:t xml:space="preserve"> </w:t>
      </w:r>
      <w:r w:rsidRPr="00382917">
        <w:t>them</w:t>
      </w:r>
      <w:r w:rsidR="00EE4FC3">
        <w:t xml:space="preserve"> </w:t>
      </w:r>
      <w:r w:rsidRPr="00382917">
        <w:t>at</w:t>
      </w:r>
      <w:r w:rsidR="00EE4FC3">
        <w:t xml:space="preserve"> </w:t>
      </w:r>
      <w:r w:rsidR="00814CFC" w:rsidRPr="00382917">
        <w:t>Bárfurú</w:t>
      </w:r>
      <w:r w:rsidR="00814CFC" w:rsidRPr="00814CFC">
        <w:rPr>
          <w:u w:val="single"/>
        </w:rPr>
        <w:t>sh</w:t>
      </w:r>
      <w:r w:rsidRPr="00382917">
        <w:t>,</w:t>
      </w:r>
      <w:r w:rsidR="00EE4FC3">
        <w:t xml:space="preserve"> </w:t>
      </w:r>
      <w:r w:rsidRPr="00382917">
        <w:t>Mullá</w:t>
      </w:r>
      <w:r w:rsidR="00EE4FC3">
        <w:t xml:space="preserve"> </w:t>
      </w:r>
      <w:proofErr w:type="spellStart"/>
      <w:r w:rsidR="00964C11" w:rsidRPr="00382917">
        <w:t>Ḥusayn</w:t>
      </w:r>
      <w:r w:rsidR="009C713D" w:rsidRPr="00382917">
        <w:t>’</w:t>
      </w:r>
      <w:r w:rsidRPr="00382917">
        <w:t>s</w:t>
      </w:r>
      <w:proofErr w:type="spellEnd"/>
      <w:r w:rsidR="00EE4FC3">
        <w:t xml:space="preserve"> </w:t>
      </w:r>
      <w:r w:rsidRPr="00382917">
        <w:t>companions</w:t>
      </w:r>
      <w:r w:rsidR="00EE4FC3">
        <w:t xml:space="preserve"> </w:t>
      </w:r>
      <w:r w:rsidRPr="00382917">
        <w:t>pleaded</w:t>
      </w:r>
      <w:r w:rsidR="00EE4FC3">
        <w:t xml:space="preserve"> </w:t>
      </w:r>
      <w:r w:rsidRPr="00382917">
        <w:t>with</w:t>
      </w:r>
      <w:r w:rsidR="00EE4FC3">
        <w:t xml:space="preserve"> </w:t>
      </w:r>
      <w:r w:rsidRPr="00382917">
        <w:t>him.</w:t>
      </w:r>
    </w:p>
    <w:p w:rsidR="00B2576B" w:rsidRPr="00382917" w:rsidRDefault="009C713D" w:rsidP="00B2576B">
      <w:pPr>
        <w:pStyle w:val="Text"/>
      </w:pPr>
      <w:r w:rsidRPr="00382917">
        <w:t>“</w:t>
      </w:r>
      <w:r w:rsidR="00B2576B" w:rsidRPr="00382917">
        <w:t>Allow</w:t>
      </w:r>
      <w:r w:rsidR="00EE4FC3">
        <w:t xml:space="preserve"> </w:t>
      </w:r>
      <w:r w:rsidR="00B2576B" w:rsidRPr="00382917">
        <w:t>us</w:t>
      </w:r>
      <w:r w:rsidR="00EE4FC3">
        <w:t xml:space="preserve"> </w:t>
      </w:r>
      <w:r w:rsidR="00B2576B" w:rsidRPr="00382917">
        <w:t>to</w:t>
      </w:r>
      <w:r w:rsidR="00EE4FC3">
        <w:t xml:space="preserve"> </w:t>
      </w:r>
      <w:r w:rsidR="00B2576B" w:rsidRPr="00382917">
        <w:t>defend</w:t>
      </w:r>
      <w:r w:rsidR="00EE4FC3">
        <w:t xml:space="preserve"> </w:t>
      </w:r>
      <w:r w:rsidR="00B2576B" w:rsidRPr="00382917">
        <w:t>ourselves.</w:t>
      </w:r>
      <w:r w:rsidRPr="00382917">
        <w:t>”</w:t>
      </w:r>
    </w:p>
    <w:p w:rsidR="00B2576B" w:rsidRPr="00382917" w:rsidRDefault="009C713D" w:rsidP="00B2576B">
      <w:pPr>
        <w:pStyle w:val="Text"/>
      </w:pPr>
      <w:r w:rsidRPr="00382917">
        <w:t>“</w:t>
      </w:r>
      <w:r w:rsidR="00B2576B" w:rsidRPr="00382917">
        <w:t>Not</w:t>
      </w:r>
      <w:r w:rsidR="00EE4FC3">
        <w:t xml:space="preserve"> </w:t>
      </w:r>
      <w:r w:rsidR="00B2576B" w:rsidRPr="00382917">
        <w:t>yet,</w:t>
      </w:r>
      <w:r w:rsidRPr="00382917">
        <w:t>”</w:t>
      </w:r>
      <w:r w:rsidR="00EE4FC3">
        <w:t xml:space="preserve"> </w:t>
      </w:r>
      <w:r w:rsidR="00B2576B" w:rsidRPr="00382917">
        <w:t>Mullá</w:t>
      </w:r>
      <w:r w:rsidR="00EE4FC3">
        <w:t xml:space="preserve"> </w:t>
      </w:r>
      <w:r w:rsidR="00964C11" w:rsidRPr="00382917">
        <w:t>Ḥusayn</w:t>
      </w:r>
      <w:r w:rsidR="00EE4FC3">
        <w:t xml:space="preserve"> </w:t>
      </w:r>
      <w:r w:rsidR="00B2576B" w:rsidRPr="00382917">
        <w:t>replied.</w:t>
      </w:r>
    </w:p>
    <w:p w:rsidR="00B2576B" w:rsidRPr="00382917" w:rsidRDefault="00B2576B" w:rsidP="00B2576B">
      <w:pPr>
        <w:pStyle w:val="Text"/>
      </w:pPr>
      <w:r w:rsidRPr="00382917">
        <w:t>The</w:t>
      </w:r>
      <w:r w:rsidR="00EE4FC3">
        <w:t xml:space="preserve"> </w:t>
      </w:r>
      <w:r w:rsidRPr="00382917">
        <w:t>mob</w:t>
      </w:r>
      <w:r w:rsidR="00EE4FC3">
        <w:t xml:space="preserve"> </w:t>
      </w:r>
      <w:r w:rsidRPr="00382917">
        <w:t>poured</w:t>
      </w:r>
      <w:r w:rsidR="00EE4FC3">
        <w:t xml:space="preserve"> </w:t>
      </w:r>
      <w:r w:rsidRPr="00382917">
        <w:t>down</w:t>
      </w:r>
      <w:r w:rsidR="00EE4FC3">
        <w:t xml:space="preserve"> </w:t>
      </w:r>
      <w:r w:rsidRPr="00382917">
        <w:t>upon</w:t>
      </w:r>
      <w:r w:rsidR="00EE4FC3">
        <w:t xml:space="preserve"> </w:t>
      </w:r>
      <w:r w:rsidRPr="00382917">
        <w:t>that</w:t>
      </w:r>
      <w:r w:rsidR="00EE4FC3">
        <w:t xml:space="preserve"> </w:t>
      </w:r>
      <w:r w:rsidRPr="00382917">
        <w:t>small</w:t>
      </w:r>
      <w:r w:rsidR="00EE4FC3">
        <w:t xml:space="preserve"> </w:t>
      </w:r>
      <w:r w:rsidRPr="00382917">
        <w:t>group</w:t>
      </w:r>
      <w:r w:rsidR="00EE4FC3">
        <w:t xml:space="preserve"> </w:t>
      </w:r>
      <w:r w:rsidRPr="00382917">
        <w:t>and</w:t>
      </w:r>
      <w:r w:rsidR="00EE4FC3">
        <w:t xml:space="preserve"> </w:t>
      </w:r>
      <w:r w:rsidRPr="00382917">
        <w:t>as</w:t>
      </w:r>
      <w:r w:rsidR="00EE4FC3">
        <w:t xml:space="preserve"> </w:t>
      </w:r>
      <w:r w:rsidRPr="00382917">
        <w:t>they</w:t>
      </w:r>
      <w:r w:rsidR="00EE4FC3">
        <w:t xml:space="preserve"> </w:t>
      </w:r>
      <w:r w:rsidRPr="00382917">
        <w:t>neared,</w:t>
      </w:r>
      <w:r w:rsidR="00EE4FC3">
        <w:t xml:space="preserve"> </w:t>
      </w:r>
      <w:r w:rsidRPr="00382917">
        <w:t>opened</w:t>
      </w:r>
      <w:r w:rsidR="00EE4FC3">
        <w:t xml:space="preserve"> </w:t>
      </w:r>
      <w:r w:rsidRPr="00382917">
        <w:t>fire</w:t>
      </w:r>
      <w:r w:rsidR="00A93643">
        <w:t>.</w:t>
      </w:r>
      <w:r w:rsidR="00EE4FC3">
        <w:t xml:space="preserve">  </w:t>
      </w:r>
      <w:r w:rsidRPr="00382917">
        <w:t>Six</w:t>
      </w:r>
      <w:r w:rsidR="00EE4FC3">
        <w:t xml:space="preserve"> </w:t>
      </w:r>
      <w:r w:rsidRPr="00382917">
        <w:t>of</w:t>
      </w:r>
      <w:r w:rsidR="00EE4FC3">
        <w:t xml:space="preserve"> </w:t>
      </w:r>
      <w:r w:rsidRPr="00382917">
        <w:t>the</w:t>
      </w:r>
      <w:r w:rsidR="00EE4FC3">
        <w:t xml:space="preserve"> </w:t>
      </w:r>
      <w:proofErr w:type="spellStart"/>
      <w:r w:rsidRPr="00382917">
        <w:t>defenseless</w:t>
      </w:r>
      <w:proofErr w:type="spellEnd"/>
      <w:r w:rsidR="00EE4FC3">
        <w:t xml:space="preserve"> </w:t>
      </w:r>
      <w:r w:rsidRPr="00382917">
        <w:t>party</w:t>
      </w:r>
      <w:r w:rsidR="00EE4FC3">
        <w:t xml:space="preserve"> </w:t>
      </w:r>
      <w:r w:rsidRPr="00382917">
        <w:t>were</w:t>
      </w:r>
      <w:r w:rsidR="00EE4FC3">
        <w:t xml:space="preserve"> </w:t>
      </w:r>
      <w:r w:rsidRPr="00382917">
        <w:t>struck</w:t>
      </w:r>
      <w:r w:rsidR="00EE4FC3">
        <w:t xml:space="preserve"> </w:t>
      </w:r>
      <w:r w:rsidRPr="00382917">
        <w:t>down</w:t>
      </w:r>
      <w:r w:rsidR="00EE4FC3">
        <w:t xml:space="preserve"> </w:t>
      </w:r>
      <w:r w:rsidRPr="00382917">
        <w:t>by</w:t>
      </w:r>
      <w:r w:rsidR="00EE4FC3">
        <w:t xml:space="preserve"> </w:t>
      </w:r>
      <w:r w:rsidRPr="00382917">
        <w:t>that</w:t>
      </w:r>
      <w:r w:rsidR="00EE4FC3">
        <w:t xml:space="preserve"> </w:t>
      </w:r>
      <w:r w:rsidRPr="00382917">
        <w:t>first</w:t>
      </w:r>
      <w:r w:rsidR="00EE4FC3">
        <w:t xml:space="preserve"> </w:t>
      </w:r>
      <w:r w:rsidRPr="00382917">
        <w:t>blast</w:t>
      </w:r>
      <w:r w:rsidR="00A93643">
        <w:t>.</w:t>
      </w:r>
      <w:r w:rsidR="00EE4FC3">
        <w:t xml:space="preserve">  </w:t>
      </w:r>
      <w:r w:rsidRPr="00382917">
        <w:t>Mullá</w:t>
      </w:r>
      <w:r w:rsidR="00EE4FC3">
        <w:t xml:space="preserve"> </w:t>
      </w:r>
      <w:proofErr w:type="spellStart"/>
      <w:r w:rsidR="00964C11" w:rsidRPr="00382917">
        <w:t>Ḥusayn</w:t>
      </w:r>
      <w:r w:rsidR="009C713D" w:rsidRPr="00382917">
        <w:t>’</w:t>
      </w:r>
      <w:r w:rsidRPr="00382917">
        <w:t>s</w:t>
      </w:r>
      <w:proofErr w:type="spellEnd"/>
      <w:r w:rsidR="00EE4FC3">
        <w:t xml:space="preserve"> </w:t>
      </w:r>
      <w:r w:rsidRPr="00382917">
        <w:t>companions</w:t>
      </w:r>
      <w:r w:rsidR="00EE4FC3">
        <w:t xml:space="preserve"> </w:t>
      </w:r>
      <w:r w:rsidRPr="00382917">
        <w:t>were</w:t>
      </w:r>
      <w:r w:rsidR="00EE4FC3">
        <w:t xml:space="preserve"> </w:t>
      </w:r>
      <w:r w:rsidRPr="00382917">
        <w:t>impatient.</w:t>
      </w:r>
    </w:p>
    <w:p w:rsidR="00B2576B" w:rsidRPr="00382917" w:rsidRDefault="009C713D" w:rsidP="00B2576B">
      <w:pPr>
        <w:pStyle w:val="Text"/>
      </w:pPr>
      <w:r w:rsidRPr="00382917">
        <w:t>“</w:t>
      </w:r>
      <w:r w:rsidR="00B2576B" w:rsidRPr="00382917">
        <w:t>We</w:t>
      </w:r>
      <w:r w:rsidR="00EE4FC3">
        <w:t xml:space="preserve"> </w:t>
      </w:r>
      <w:r w:rsidR="00B2576B" w:rsidRPr="00382917">
        <w:t>have</w:t>
      </w:r>
      <w:r w:rsidR="00EE4FC3">
        <w:t xml:space="preserve"> </w:t>
      </w:r>
      <w:r w:rsidR="00B2576B" w:rsidRPr="00382917">
        <w:t>risen</w:t>
      </w:r>
      <w:r w:rsidR="00EE4FC3">
        <w:t xml:space="preserve"> </w:t>
      </w:r>
      <w:r w:rsidR="00B2576B" w:rsidRPr="00382917">
        <w:t>and</w:t>
      </w:r>
      <w:r w:rsidR="00EE4FC3">
        <w:t xml:space="preserve"> </w:t>
      </w:r>
      <w:r w:rsidR="00B2576B" w:rsidRPr="00382917">
        <w:t>followed</w:t>
      </w:r>
      <w:r w:rsidR="00EE4FC3">
        <w:t xml:space="preserve"> </w:t>
      </w:r>
      <w:r w:rsidR="00B2576B" w:rsidRPr="00382917">
        <w:t>you,</w:t>
      </w:r>
      <w:r w:rsidRPr="00382917">
        <w:t>”</w:t>
      </w:r>
      <w:r w:rsidR="00EE4FC3">
        <w:t xml:space="preserve"> </w:t>
      </w:r>
      <w:r w:rsidR="00B2576B" w:rsidRPr="00382917">
        <w:t>they</w:t>
      </w:r>
      <w:r w:rsidR="00EE4FC3">
        <w:t xml:space="preserve"> </w:t>
      </w:r>
      <w:r w:rsidR="00B2576B" w:rsidRPr="00382917">
        <w:t>said,</w:t>
      </w:r>
      <w:r w:rsidR="00EE4FC3">
        <w:t xml:space="preserve"> </w:t>
      </w:r>
      <w:r w:rsidRPr="00382917">
        <w:t>“</w:t>
      </w:r>
      <w:r w:rsidR="00B2576B" w:rsidRPr="00382917">
        <w:t>with</w:t>
      </w:r>
      <w:r w:rsidR="00EE4FC3">
        <w:t xml:space="preserve"> </w:t>
      </w:r>
      <w:r w:rsidR="00B2576B" w:rsidRPr="00382917">
        <w:t>no</w:t>
      </w:r>
      <w:r w:rsidR="00EE4FC3">
        <w:t xml:space="preserve"> </w:t>
      </w:r>
      <w:r w:rsidR="00B2576B" w:rsidRPr="00382917">
        <w:t>other</w:t>
      </w:r>
      <w:r w:rsidR="00EE4FC3">
        <w:t xml:space="preserve"> </w:t>
      </w:r>
      <w:r w:rsidR="00B2576B" w:rsidRPr="00382917">
        <w:t>thought</w:t>
      </w:r>
      <w:r w:rsidR="00EE4FC3">
        <w:t xml:space="preserve"> </w:t>
      </w:r>
      <w:r w:rsidR="00B2576B" w:rsidRPr="00382917">
        <w:t>than</w:t>
      </w:r>
      <w:r w:rsidR="00EE4FC3">
        <w:t xml:space="preserve"> </w:t>
      </w:r>
      <w:r w:rsidR="00B2576B" w:rsidRPr="00382917">
        <w:t>to</w:t>
      </w:r>
      <w:r w:rsidR="00EE4FC3">
        <w:t xml:space="preserve"> </w:t>
      </w:r>
      <w:r w:rsidR="00B2576B" w:rsidRPr="00382917">
        <w:t>sacrifice</w:t>
      </w:r>
      <w:r w:rsidR="00EE4FC3">
        <w:t xml:space="preserve"> </w:t>
      </w:r>
      <w:r w:rsidR="00B2576B" w:rsidRPr="00382917">
        <w:t>our</w:t>
      </w:r>
      <w:r w:rsidR="00EE4FC3">
        <w:t xml:space="preserve"> </w:t>
      </w:r>
      <w:r w:rsidR="00B2576B" w:rsidRPr="00382917">
        <w:t>lives</w:t>
      </w:r>
      <w:r w:rsidR="00EE4FC3">
        <w:t xml:space="preserve"> </w:t>
      </w:r>
      <w:r w:rsidR="00B2576B" w:rsidRPr="00382917">
        <w:t>in</w:t>
      </w:r>
      <w:r w:rsidR="00EE4FC3">
        <w:t xml:space="preserve"> </w:t>
      </w:r>
      <w:r w:rsidR="00B2576B" w:rsidRPr="00382917">
        <w:t>the</w:t>
      </w:r>
      <w:r w:rsidR="00EE4FC3">
        <w:t xml:space="preserve"> </w:t>
      </w:r>
      <w:r w:rsidR="00B2576B" w:rsidRPr="00382917">
        <w:t>path</w:t>
      </w:r>
      <w:r w:rsidR="00EE4FC3">
        <w:t xml:space="preserve"> </w:t>
      </w:r>
      <w:r w:rsidR="00B2576B" w:rsidRPr="00382917">
        <w:t>of</w:t>
      </w:r>
      <w:r w:rsidR="00EE4FC3">
        <w:t xml:space="preserve"> </w:t>
      </w:r>
      <w:r w:rsidR="00B2576B" w:rsidRPr="00382917">
        <w:t>God</w:t>
      </w:r>
      <w:r w:rsidR="00A93643">
        <w:t>.</w:t>
      </w:r>
      <w:r w:rsidR="00EE4FC3">
        <w:t xml:space="preserve">  </w:t>
      </w:r>
      <w:r w:rsidR="00B2576B" w:rsidRPr="00382917">
        <w:t>But</w:t>
      </w:r>
      <w:r w:rsidR="00EE4FC3">
        <w:t xml:space="preserve"> </w:t>
      </w:r>
      <w:r w:rsidR="00B2576B" w:rsidRPr="00382917">
        <w:t>we</w:t>
      </w:r>
      <w:r w:rsidR="00EE4FC3">
        <w:t xml:space="preserve"> </w:t>
      </w:r>
      <w:r w:rsidR="00B2576B" w:rsidRPr="00382917">
        <w:t>pray</w:t>
      </w:r>
      <w:r w:rsidR="00EE4FC3">
        <w:t xml:space="preserve"> </w:t>
      </w:r>
      <w:proofErr w:type="gramStart"/>
      <w:r w:rsidR="00B2576B" w:rsidRPr="00382917">
        <w:t>you,</w:t>
      </w:r>
      <w:proofErr w:type="gramEnd"/>
      <w:r w:rsidR="00EE4FC3">
        <w:t xml:space="preserve"> </w:t>
      </w:r>
      <w:r w:rsidR="00B2576B" w:rsidRPr="00382917">
        <w:t>allow</w:t>
      </w:r>
      <w:r w:rsidR="00EE4FC3">
        <w:t xml:space="preserve"> </w:t>
      </w:r>
      <w:r w:rsidR="00B2576B" w:rsidRPr="00382917">
        <w:t>us</w:t>
      </w:r>
      <w:r w:rsidR="00EE4FC3">
        <w:t xml:space="preserve"> </w:t>
      </w:r>
      <w:r w:rsidR="00B2576B" w:rsidRPr="00382917">
        <w:t>to</w:t>
      </w:r>
      <w:r w:rsidR="00EE4FC3">
        <w:t xml:space="preserve"> </w:t>
      </w:r>
      <w:r w:rsidR="00B2576B" w:rsidRPr="00382917">
        <w:t>defend</w:t>
      </w:r>
      <w:r w:rsidR="00EE4FC3">
        <w:t xml:space="preserve"> </w:t>
      </w:r>
      <w:r w:rsidR="00B2576B" w:rsidRPr="00382917">
        <w:t>ourselves</w:t>
      </w:r>
      <w:r w:rsidR="00EE4FC3">
        <w:t xml:space="preserve"> </w:t>
      </w:r>
      <w:r w:rsidR="00B2576B" w:rsidRPr="00382917">
        <w:t>so</w:t>
      </w:r>
      <w:r w:rsidR="00EE4FC3">
        <w:t xml:space="preserve"> </w:t>
      </w:r>
      <w:r w:rsidR="00B2576B" w:rsidRPr="00382917">
        <w:t>that</w:t>
      </w:r>
      <w:r w:rsidR="00EE4FC3">
        <w:t xml:space="preserve"> </w:t>
      </w:r>
      <w:r w:rsidR="00B2576B" w:rsidRPr="00382917">
        <w:t>we</w:t>
      </w:r>
      <w:r w:rsidR="00EE4FC3">
        <w:t xml:space="preserve"> </w:t>
      </w:r>
      <w:r w:rsidR="00B2576B" w:rsidRPr="00382917">
        <w:t>do</w:t>
      </w:r>
      <w:r w:rsidR="00EE4FC3">
        <w:t xml:space="preserve"> </w:t>
      </w:r>
      <w:r w:rsidR="00B2576B" w:rsidRPr="00382917">
        <w:t>not</w:t>
      </w:r>
      <w:r w:rsidR="00EE4FC3">
        <w:t xml:space="preserve"> </w:t>
      </w:r>
      <w:r w:rsidR="00B2576B" w:rsidRPr="00382917">
        <w:t>fall</w:t>
      </w:r>
      <w:r w:rsidR="00EE4FC3">
        <w:t xml:space="preserve"> </w:t>
      </w:r>
      <w:r w:rsidR="00B2576B" w:rsidRPr="00382917">
        <w:t>disgracefully</w:t>
      </w:r>
      <w:r w:rsidR="00EE4FC3">
        <w:t xml:space="preserve"> </w:t>
      </w:r>
      <w:r w:rsidR="00B2576B" w:rsidRPr="00382917">
        <w:t>before</w:t>
      </w:r>
      <w:r w:rsidR="00EE4FC3">
        <w:t xml:space="preserve"> </w:t>
      </w:r>
      <w:r w:rsidR="00B2576B" w:rsidRPr="00382917">
        <w:t>this</w:t>
      </w:r>
      <w:r w:rsidR="00EE4FC3">
        <w:t xml:space="preserve"> </w:t>
      </w:r>
      <w:r w:rsidR="00B2576B" w:rsidRPr="00382917">
        <w:t>savage</w:t>
      </w:r>
      <w:r w:rsidR="00EE4FC3">
        <w:t xml:space="preserve"> </w:t>
      </w:r>
      <w:r w:rsidR="00B2576B" w:rsidRPr="00382917">
        <w:t>mob.</w:t>
      </w:r>
      <w:r w:rsidRPr="00382917">
        <w:t>”</w:t>
      </w:r>
    </w:p>
    <w:p w:rsidR="00B2576B" w:rsidRPr="00382917" w:rsidRDefault="00B2576B" w:rsidP="00B2576B">
      <w:pPr>
        <w:pStyle w:val="Text"/>
      </w:pPr>
      <w:r w:rsidRPr="00382917">
        <w:t>Mullá</w:t>
      </w:r>
      <w:r w:rsidR="00EE4FC3">
        <w:t xml:space="preserve"> </w:t>
      </w:r>
      <w:r w:rsidR="00964C11" w:rsidRPr="00382917">
        <w:t>Ḥusayn</w:t>
      </w:r>
      <w:r w:rsidR="00EE4FC3">
        <w:t xml:space="preserve"> </w:t>
      </w:r>
      <w:r w:rsidRPr="00382917">
        <w:t>was</w:t>
      </w:r>
      <w:r w:rsidR="00EE4FC3">
        <w:t xml:space="preserve"> </w:t>
      </w:r>
      <w:r w:rsidRPr="00382917">
        <w:t>still</w:t>
      </w:r>
      <w:r w:rsidR="00EE4FC3">
        <w:t xml:space="preserve"> </w:t>
      </w:r>
      <w:r w:rsidRPr="00382917">
        <w:t>patient,</w:t>
      </w:r>
      <w:r w:rsidR="00EE4FC3">
        <w:t xml:space="preserve"> </w:t>
      </w:r>
      <w:r w:rsidRPr="00382917">
        <w:t>hoping</w:t>
      </w:r>
      <w:r w:rsidR="00EE4FC3">
        <w:t xml:space="preserve"> </w:t>
      </w:r>
      <w:r w:rsidRPr="00382917">
        <w:t>there</w:t>
      </w:r>
      <w:r w:rsidR="00EE4FC3">
        <w:t xml:space="preserve"> </w:t>
      </w:r>
      <w:r w:rsidRPr="00382917">
        <w:t>might</w:t>
      </w:r>
      <w:r w:rsidR="00EE4FC3">
        <w:t xml:space="preserve"> </w:t>
      </w:r>
      <w:r w:rsidRPr="00382917">
        <w:t>be</w:t>
      </w:r>
      <w:r w:rsidR="00EE4FC3">
        <w:t xml:space="preserve"> </w:t>
      </w:r>
      <w:r w:rsidRPr="00382917">
        <w:t>found</w:t>
      </w:r>
      <w:r w:rsidR="00EE4FC3">
        <w:t xml:space="preserve"> </w:t>
      </w:r>
      <w:r w:rsidRPr="00382917">
        <w:t>some</w:t>
      </w:r>
      <w:r w:rsidR="00EE4FC3">
        <w:t xml:space="preserve"> </w:t>
      </w:r>
      <w:r w:rsidRPr="00382917">
        <w:t>way</w:t>
      </w:r>
      <w:r w:rsidR="00EE4FC3">
        <w:t xml:space="preserve"> </w:t>
      </w:r>
      <w:r w:rsidRPr="00382917">
        <w:t>to</w:t>
      </w:r>
      <w:r w:rsidR="00EE4FC3">
        <w:t xml:space="preserve"> </w:t>
      </w:r>
      <w:r w:rsidRPr="00382917">
        <w:t>avoid</w:t>
      </w:r>
      <w:r w:rsidR="00EE4FC3">
        <w:t xml:space="preserve"> </w:t>
      </w:r>
      <w:r w:rsidRPr="00382917">
        <w:t>this</w:t>
      </w:r>
      <w:r w:rsidR="00EE4FC3">
        <w:t xml:space="preserve"> </w:t>
      </w:r>
      <w:r w:rsidRPr="00382917">
        <w:t>bloodshed</w:t>
      </w:r>
      <w:r w:rsidR="00A93643">
        <w:t>.</w:t>
      </w:r>
      <w:r w:rsidR="00EE4FC3">
        <w:t xml:space="preserve">  </w:t>
      </w:r>
      <w:r w:rsidRPr="00382917">
        <w:t>A</w:t>
      </w:r>
      <w:r w:rsidR="00EE4FC3">
        <w:t xml:space="preserve"> </w:t>
      </w:r>
      <w:r w:rsidRPr="00382917">
        <w:t>bullet</w:t>
      </w:r>
      <w:r w:rsidR="00EE4FC3">
        <w:t xml:space="preserve"> </w:t>
      </w:r>
      <w:r w:rsidRPr="00382917">
        <w:t>struck</w:t>
      </w:r>
      <w:r w:rsidR="00EE4FC3">
        <w:t xml:space="preserve"> </w:t>
      </w:r>
      <w:r w:rsidRPr="00382917">
        <w:t>his</w:t>
      </w:r>
      <w:r w:rsidR="00EE4FC3">
        <w:t xml:space="preserve"> </w:t>
      </w:r>
      <w:r w:rsidRPr="00382917">
        <w:t>nearest</w:t>
      </w:r>
      <w:r w:rsidR="00EE4FC3">
        <w:t xml:space="preserve"> </w:t>
      </w:r>
      <w:r w:rsidRPr="00382917">
        <w:t>companion,</w:t>
      </w:r>
      <w:r w:rsidR="00EE4FC3">
        <w:t xml:space="preserve"> </w:t>
      </w:r>
      <w:r w:rsidRPr="00382917">
        <w:t>Siyyid</w:t>
      </w:r>
      <w:r w:rsidR="00EE4FC3">
        <w:t xml:space="preserve"> </w:t>
      </w:r>
      <w:r w:rsidRPr="00382917">
        <w:t>Riḍá,</w:t>
      </w:r>
      <w:r w:rsidR="00EE4FC3">
        <w:t xml:space="preserve"> </w:t>
      </w:r>
      <w:r w:rsidRPr="00382917">
        <w:t>in</w:t>
      </w:r>
      <w:r w:rsidR="00EE4FC3">
        <w:t xml:space="preserve"> </w:t>
      </w:r>
      <w:r w:rsidRPr="00382917">
        <w:t>the</w:t>
      </w:r>
      <w:r w:rsidR="00EE4FC3">
        <w:t xml:space="preserve"> </w:t>
      </w:r>
      <w:r w:rsidRPr="00382917">
        <w:t>chest</w:t>
      </w:r>
      <w:r w:rsidR="00EE4FC3">
        <w:t xml:space="preserve"> </w:t>
      </w:r>
      <w:r w:rsidRPr="00382917">
        <w:t>and</w:t>
      </w:r>
      <w:r w:rsidR="00EE4FC3">
        <w:t xml:space="preserve"> </w:t>
      </w:r>
      <w:r w:rsidRPr="00382917">
        <w:t>killed</w:t>
      </w:r>
      <w:r w:rsidR="00EE4FC3">
        <w:t xml:space="preserve"> </w:t>
      </w:r>
      <w:r w:rsidRPr="00382917">
        <w:t>him</w:t>
      </w:r>
      <w:r w:rsidR="00EE4FC3">
        <w:t xml:space="preserve"> </w:t>
      </w:r>
      <w:r w:rsidRPr="00382917">
        <w:t>instantly.</w:t>
      </w:r>
    </w:p>
    <w:p w:rsidR="00B2576B" w:rsidRPr="00382917" w:rsidRDefault="00B2576B" w:rsidP="00B2576B">
      <w:pPr>
        <w:pStyle w:val="Text"/>
      </w:pPr>
      <w:r w:rsidRPr="00382917">
        <w:t>Riḍá</w:t>
      </w:r>
      <w:r w:rsidR="00EE4FC3">
        <w:t xml:space="preserve"> </w:t>
      </w:r>
      <w:r w:rsidRPr="00382917">
        <w:t>was</w:t>
      </w:r>
      <w:r w:rsidR="00EE4FC3">
        <w:t xml:space="preserve"> </w:t>
      </w:r>
      <w:r w:rsidRPr="00382917">
        <w:t>a</w:t>
      </w:r>
      <w:r w:rsidR="00EE4FC3">
        <w:t xml:space="preserve"> </w:t>
      </w:r>
      <w:r w:rsidRPr="00382917">
        <w:t>man</w:t>
      </w:r>
      <w:r w:rsidR="00EE4FC3">
        <w:t xml:space="preserve"> </w:t>
      </w:r>
      <w:r w:rsidRPr="00382917">
        <w:t>of</w:t>
      </w:r>
      <w:r w:rsidR="00EE4FC3">
        <w:t xml:space="preserve"> </w:t>
      </w:r>
      <w:r w:rsidRPr="00382917">
        <w:t>humble</w:t>
      </w:r>
      <w:r w:rsidR="00EE4FC3">
        <w:t xml:space="preserve"> </w:t>
      </w:r>
      <w:r w:rsidRPr="00382917">
        <w:t>and</w:t>
      </w:r>
      <w:r w:rsidR="00EE4FC3">
        <w:t xml:space="preserve"> </w:t>
      </w:r>
      <w:r w:rsidRPr="00382917">
        <w:t>loving</w:t>
      </w:r>
      <w:r w:rsidR="00EE4FC3">
        <w:t xml:space="preserve"> </w:t>
      </w:r>
      <w:r w:rsidRPr="00382917">
        <w:t>disposition</w:t>
      </w:r>
      <w:r w:rsidR="00A93643">
        <w:t>.</w:t>
      </w:r>
      <w:r w:rsidR="00EE4FC3">
        <w:t xml:space="preserve">  </w:t>
      </w:r>
      <w:r w:rsidRPr="00382917">
        <w:t>His</w:t>
      </w:r>
      <w:r w:rsidR="00EE4FC3">
        <w:t xml:space="preserve"> </w:t>
      </w:r>
      <w:r w:rsidRPr="00382917">
        <w:t>devotion</w:t>
      </w:r>
      <w:r w:rsidR="00EE4FC3">
        <w:t xml:space="preserve"> </w:t>
      </w:r>
      <w:r w:rsidRPr="00382917">
        <w:t>to</w:t>
      </w:r>
      <w:r w:rsidR="00EE4FC3">
        <w:t xml:space="preserve"> </w:t>
      </w:r>
      <w:r w:rsidRPr="00382917">
        <w:t>the</w:t>
      </w:r>
      <w:r w:rsidR="00EE4FC3">
        <w:t xml:space="preserve"> </w:t>
      </w:r>
      <w:r w:rsidRPr="00382917">
        <w:t>Báb</w:t>
      </w:r>
      <w:r w:rsidR="00EE4FC3">
        <w:t xml:space="preserve"> </w:t>
      </w:r>
      <w:r w:rsidRPr="00382917">
        <w:t>was</w:t>
      </w:r>
      <w:r w:rsidR="00EE4FC3">
        <w:t xml:space="preserve"> </w:t>
      </w:r>
      <w:r w:rsidRPr="00382917">
        <w:t>deep</w:t>
      </w:r>
      <w:r w:rsidR="00EE4FC3">
        <w:t xml:space="preserve"> </w:t>
      </w:r>
      <w:r w:rsidRPr="00382917">
        <w:t>and</w:t>
      </w:r>
      <w:r w:rsidR="00EE4FC3">
        <w:t xml:space="preserve"> </w:t>
      </w:r>
      <w:r w:rsidRPr="00382917">
        <w:t>sincere</w:t>
      </w:r>
      <w:r w:rsidR="00A93643">
        <w:t>.</w:t>
      </w:r>
      <w:r w:rsidR="00EE4FC3">
        <w:t xml:space="preserve">  </w:t>
      </w:r>
      <w:r w:rsidRPr="00382917">
        <w:t>He</w:t>
      </w:r>
      <w:r w:rsidR="00EE4FC3">
        <w:t xml:space="preserve"> </w:t>
      </w:r>
      <w:r w:rsidRPr="00382917">
        <w:t>had</w:t>
      </w:r>
      <w:r w:rsidR="00EE4FC3">
        <w:t xml:space="preserve"> </w:t>
      </w:r>
      <w:r w:rsidRPr="00382917">
        <w:t>walked</w:t>
      </w:r>
      <w:r w:rsidR="00EE4FC3">
        <w:t xml:space="preserve"> </w:t>
      </w:r>
      <w:r w:rsidRPr="00382917">
        <w:t>on</w:t>
      </w:r>
      <w:r w:rsidR="00EE4FC3">
        <w:t xml:space="preserve"> </w:t>
      </w:r>
      <w:r w:rsidRPr="00382917">
        <w:t>foot</w:t>
      </w:r>
      <w:r w:rsidR="00EE4FC3">
        <w:t xml:space="preserve"> </w:t>
      </w:r>
      <w:r w:rsidRPr="00382917">
        <w:t>beside</w:t>
      </w:r>
      <w:r w:rsidR="00EE4FC3">
        <w:t xml:space="preserve"> </w:t>
      </w:r>
      <w:r w:rsidRPr="00382917">
        <w:t>Mullá</w:t>
      </w:r>
      <w:r w:rsidR="00EE4FC3">
        <w:t xml:space="preserve"> </w:t>
      </w:r>
      <w:r w:rsidR="00964C11" w:rsidRPr="00382917">
        <w:t>Ḥusayn</w:t>
      </w:r>
      <w:r w:rsidR="00EE4FC3">
        <w:t xml:space="preserve"> </w:t>
      </w:r>
      <w:r w:rsidRPr="00382917">
        <w:t>all</w:t>
      </w:r>
      <w:r w:rsidR="00EE4FC3">
        <w:t xml:space="preserve"> </w:t>
      </w:r>
      <w:r w:rsidRPr="00382917">
        <w:t>the</w:t>
      </w:r>
      <w:r w:rsidR="00EE4FC3">
        <w:t xml:space="preserve"> </w:t>
      </w:r>
      <w:r w:rsidRPr="00382917">
        <w:t>way</w:t>
      </w:r>
      <w:r w:rsidR="00EE4FC3">
        <w:t xml:space="preserve"> </w:t>
      </w:r>
      <w:r w:rsidRPr="00382917">
        <w:t>from</w:t>
      </w:r>
      <w:r w:rsidR="00EE4FC3">
        <w:t xml:space="preserve"> </w:t>
      </w:r>
      <w:r w:rsidR="006225E8" w:rsidRPr="006225E8">
        <w:rPr>
          <w:u w:val="single"/>
        </w:rPr>
        <w:t>Kh</w:t>
      </w:r>
      <w:r w:rsidR="006225E8" w:rsidRPr="00382917">
        <w:t>urásán</w:t>
      </w:r>
      <w:r w:rsidR="00A93643">
        <w:t>.</w:t>
      </w:r>
      <w:r w:rsidR="00EE4FC3">
        <w:t xml:space="preserve">  </w:t>
      </w:r>
      <w:r w:rsidRPr="00382917">
        <w:t>At</w:t>
      </w:r>
      <w:r w:rsidR="00EE4FC3">
        <w:t xml:space="preserve"> </w:t>
      </w:r>
      <w:r w:rsidRPr="00382917">
        <w:t>the</w:t>
      </w:r>
      <w:r w:rsidR="00EE4FC3">
        <w:t xml:space="preserve"> </w:t>
      </w:r>
      <w:r w:rsidRPr="00382917">
        <w:t>sight</w:t>
      </w:r>
      <w:r w:rsidR="00EE4FC3">
        <w:t xml:space="preserve"> </w:t>
      </w:r>
      <w:r w:rsidRPr="00382917">
        <w:t>of</w:t>
      </w:r>
      <w:r w:rsidR="00EE4FC3">
        <w:t xml:space="preserve"> </w:t>
      </w:r>
      <w:r w:rsidRPr="00382917">
        <w:t>this</w:t>
      </w:r>
      <w:r w:rsidR="00EE4FC3">
        <w:t xml:space="preserve"> </w:t>
      </w:r>
      <w:r w:rsidRPr="00382917">
        <w:t>much-loved</w:t>
      </w:r>
      <w:r w:rsidR="00EE4FC3">
        <w:t xml:space="preserve"> </w:t>
      </w:r>
      <w:r w:rsidRPr="00382917">
        <w:t>companion</w:t>
      </w:r>
      <w:r w:rsidR="00EE4FC3">
        <w:t xml:space="preserve"> </w:t>
      </w:r>
      <w:r w:rsidRPr="00382917">
        <w:t>fallen</w:t>
      </w:r>
      <w:r w:rsidR="00EE4FC3">
        <w:t xml:space="preserve"> </w:t>
      </w:r>
      <w:r w:rsidRPr="00382917">
        <w:t>dead</w:t>
      </w:r>
      <w:r w:rsidR="00EE4FC3">
        <w:t xml:space="preserve"> </w:t>
      </w:r>
      <w:r w:rsidRPr="00382917">
        <w:t>at</w:t>
      </w:r>
      <w:r w:rsidR="00EE4FC3">
        <w:t xml:space="preserve"> </w:t>
      </w:r>
      <w:r w:rsidRPr="00382917">
        <w:t>his</w:t>
      </w:r>
      <w:r w:rsidR="00EE4FC3">
        <w:t xml:space="preserve"> </w:t>
      </w:r>
      <w:r w:rsidRPr="00382917">
        <w:t>feet,</w:t>
      </w:r>
      <w:r w:rsidR="00EE4FC3">
        <w:t xml:space="preserve"> </w:t>
      </w:r>
      <w:r w:rsidRPr="00382917">
        <w:t>Mullá</w:t>
      </w:r>
      <w:r w:rsidR="00EE4FC3">
        <w:t xml:space="preserve"> </w:t>
      </w:r>
      <w:r w:rsidR="00964C11" w:rsidRPr="00382917">
        <w:t>Ḥusayn</w:t>
      </w:r>
      <w:r w:rsidR="00EE4FC3">
        <w:t xml:space="preserve"> </w:t>
      </w:r>
      <w:r w:rsidRPr="00382917">
        <w:t>could</w:t>
      </w:r>
      <w:r w:rsidR="00EE4FC3">
        <w:t xml:space="preserve"> </w:t>
      </w:r>
      <w:r w:rsidRPr="00382917">
        <w:t>no</w:t>
      </w:r>
      <w:r w:rsidR="00EE4FC3">
        <w:t xml:space="preserve"> </w:t>
      </w:r>
      <w:r w:rsidRPr="00382917">
        <w:t>longer</w:t>
      </w:r>
      <w:r w:rsidR="00EE4FC3">
        <w:t xml:space="preserve"> </w:t>
      </w:r>
      <w:r w:rsidRPr="00382917">
        <w:t>remain</w:t>
      </w:r>
      <w:r w:rsidR="00EE4FC3">
        <w:t xml:space="preserve"> </w:t>
      </w:r>
      <w:r w:rsidRPr="00382917">
        <w:t>silent.</w:t>
      </w:r>
    </w:p>
    <w:p w:rsidR="00B2576B" w:rsidRPr="00382917" w:rsidRDefault="009C713D" w:rsidP="00B2576B">
      <w:pPr>
        <w:pStyle w:val="Text"/>
      </w:pPr>
      <w:r w:rsidRPr="00382917">
        <w:t>“</w:t>
      </w:r>
      <w:r w:rsidR="00B2576B" w:rsidRPr="00382917">
        <w:t>O</w:t>
      </w:r>
      <w:r w:rsidR="00EE4FC3">
        <w:t xml:space="preserve"> </w:t>
      </w:r>
      <w:r w:rsidR="00B2576B" w:rsidRPr="00382917">
        <w:t>God,</w:t>
      </w:r>
      <w:r w:rsidRPr="00382917">
        <w:t>”</w:t>
      </w:r>
      <w:r w:rsidR="00EE4FC3">
        <w:t xml:space="preserve"> </w:t>
      </w:r>
      <w:r w:rsidR="00B2576B" w:rsidRPr="00382917">
        <w:t>he</w:t>
      </w:r>
      <w:r w:rsidR="00EE4FC3">
        <w:t xml:space="preserve"> </w:t>
      </w:r>
      <w:r w:rsidR="00B2576B" w:rsidRPr="00382917">
        <w:t>cried</w:t>
      </w:r>
      <w:r w:rsidR="00EE4FC3">
        <w:t xml:space="preserve"> </w:t>
      </w:r>
      <w:r w:rsidR="00B2576B" w:rsidRPr="00382917">
        <w:t>out</w:t>
      </w:r>
      <w:r w:rsidR="00A93643">
        <w:t>.</w:t>
      </w:r>
      <w:r w:rsidR="00EE4FC3">
        <w:t xml:space="preserve">  </w:t>
      </w:r>
      <w:r w:rsidRPr="00382917">
        <w:t>“</w:t>
      </w:r>
      <w:r w:rsidR="00B2576B" w:rsidRPr="00382917">
        <w:t>Behold</w:t>
      </w:r>
      <w:r w:rsidR="00EE4FC3">
        <w:t xml:space="preserve"> </w:t>
      </w:r>
      <w:r w:rsidR="00B2576B" w:rsidRPr="00382917">
        <w:t>the</w:t>
      </w:r>
      <w:r w:rsidR="00EE4FC3">
        <w:t xml:space="preserve"> </w:t>
      </w:r>
      <w:r w:rsidR="00B2576B" w:rsidRPr="00382917">
        <w:t>plight</w:t>
      </w:r>
      <w:r w:rsidR="00EE4FC3">
        <w:t xml:space="preserve"> </w:t>
      </w:r>
      <w:r w:rsidR="00B2576B" w:rsidRPr="00382917">
        <w:t>of</w:t>
      </w:r>
      <w:r w:rsidR="00EE4FC3">
        <w:t xml:space="preserve"> </w:t>
      </w:r>
      <w:r w:rsidR="00B2576B" w:rsidRPr="00382917">
        <w:t>my</w:t>
      </w:r>
      <w:r w:rsidR="00EE4FC3">
        <w:t xml:space="preserve"> </w:t>
      </w:r>
      <w:r w:rsidR="00B2576B" w:rsidRPr="00382917">
        <w:t>companions</w:t>
      </w:r>
      <w:proofErr w:type="gramStart"/>
      <w:r w:rsidR="00B2576B" w:rsidRPr="00382917">
        <w:t>!</w:t>
      </w:r>
      <w:r w:rsidR="00EE4FC3">
        <w:t xml:space="preserve"> </w:t>
      </w:r>
      <w:proofErr w:type="gramEnd"/>
      <w:r w:rsidR="00B2576B" w:rsidRPr="00382917">
        <w:t>Witness</w:t>
      </w:r>
      <w:r w:rsidR="00EE4FC3">
        <w:t xml:space="preserve"> </w:t>
      </w:r>
      <w:r w:rsidR="00B2576B" w:rsidRPr="00382917">
        <w:t>the</w:t>
      </w:r>
      <w:r w:rsidR="00EE4FC3">
        <w:t xml:space="preserve"> </w:t>
      </w:r>
      <w:r w:rsidR="00B2576B" w:rsidRPr="00382917">
        <w:t>welcome</w:t>
      </w:r>
      <w:r w:rsidR="00EE4FC3">
        <w:t xml:space="preserve"> </w:t>
      </w:r>
      <w:r w:rsidR="00B2576B" w:rsidRPr="00382917">
        <w:t>which</w:t>
      </w:r>
      <w:r w:rsidR="00EE4FC3">
        <w:t xml:space="preserve"> </w:t>
      </w:r>
      <w:r w:rsidR="00B2576B" w:rsidRPr="00382917">
        <w:t>these</w:t>
      </w:r>
      <w:r w:rsidR="00EE4FC3">
        <w:t xml:space="preserve"> </w:t>
      </w:r>
      <w:r w:rsidR="00B2576B" w:rsidRPr="00382917">
        <w:t>people</w:t>
      </w:r>
      <w:r w:rsidR="00EE4FC3">
        <w:t xml:space="preserve"> </w:t>
      </w:r>
      <w:r w:rsidR="00B2576B" w:rsidRPr="00382917">
        <w:t>have</w:t>
      </w:r>
      <w:r w:rsidR="00EE4FC3">
        <w:t xml:space="preserve"> </w:t>
      </w:r>
      <w:r w:rsidR="00B2576B" w:rsidRPr="00382917">
        <w:t>given</w:t>
      </w:r>
      <w:r w:rsidR="00EE4FC3">
        <w:t xml:space="preserve"> </w:t>
      </w:r>
      <w:r w:rsidR="00B2576B" w:rsidRPr="00382917">
        <w:t>us</w:t>
      </w:r>
      <w:r w:rsidR="00A93643">
        <w:t>.</w:t>
      </w:r>
      <w:r w:rsidR="00EE4FC3">
        <w:t xml:space="preserve">  </w:t>
      </w:r>
      <w:r w:rsidR="00B2576B" w:rsidRPr="00382917">
        <w:t>Thou</w:t>
      </w:r>
      <w:r w:rsidR="00EE4FC3">
        <w:t xml:space="preserve"> </w:t>
      </w:r>
      <w:proofErr w:type="spellStart"/>
      <w:r w:rsidR="00B2576B" w:rsidRPr="00382917">
        <w:t>knowest</w:t>
      </w:r>
      <w:proofErr w:type="spellEnd"/>
      <w:r w:rsidR="00EE4FC3">
        <w:t xml:space="preserve"> </w:t>
      </w:r>
      <w:r w:rsidR="00B2576B" w:rsidRPr="00382917">
        <w:t>that</w:t>
      </w:r>
      <w:r w:rsidR="00EE4FC3">
        <w:t xml:space="preserve"> </w:t>
      </w:r>
      <w:r w:rsidR="00B2576B" w:rsidRPr="00382917">
        <w:t>we</w:t>
      </w:r>
      <w:r w:rsidR="00EE4FC3">
        <w:t xml:space="preserve"> </w:t>
      </w:r>
      <w:r w:rsidR="00B2576B" w:rsidRPr="00382917">
        <w:t>cherish</w:t>
      </w:r>
      <w:r w:rsidR="00EE4FC3">
        <w:t xml:space="preserve"> </w:t>
      </w:r>
      <w:r w:rsidR="00B2576B" w:rsidRPr="00382917">
        <w:t>no</w:t>
      </w:r>
      <w:r w:rsidR="00EE4FC3">
        <w:t xml:space="preserve"> </w:t>
      </w:r>
      <w:r w:rsidR="00B2576B" w:rsidRPr="00382917">
        <w:t>other</w:t>
      </w:r>
      <w:r w:rsidR="00EE4FC3">
        <w:t xml:space="preserve"> </w:t>
      </w:r>
      <w:r w:rsidR="00B2576B" w:rsidRPr="00382917">
        <w:t>desire</w:t>
      </w:r>
      <w:r w:rsidR="00EE4FC3">
        <w:t xml:space="preserve"> </w:t>
      </w:r>
      <w:r w:rsidR="00B2576B" w:rsidRPr="00382917">
        <w:t>than</w:t>
      </w:r>
      <w:r w:rsidR="00EE4FC3">
        <w:t xml:space="preserve"> </w:t>
      </w:r>
      <w:r w:rsidR="00B2576B" w:rsidRPr="00382917">
        <w:t>to</w:t>
      </w:r>
      <w:r w:rsidR="00EE4FC3">
        <w:t xml:space="preserve"> </w:t>
      </w:r>
      <w:r w:rsidR="00B2576B" w:rsidRPr="00382917">
        <w:t>guide</w:t>
      </w:r>
      <w:r w:rsidR="00EE4FC3">
        <w:t xml:space="preserve"> </w:t>
      </w:r>
      <w:r w:rsidR="00B2576B" w:rsidRPr="00382917">
        <w:t>them</w:t>
      </w:r>
      <w:r w:rsidR="00EE4FC3">
        <w:t xml:space="preserve"> </w:t>
      </w:r>
      <w:r w:rsidR="00B2576B" w:rsidRPr="00382917">
        <w:t>to</w:t>
      </w:r>
      <w:r w:rsidR="00EE4FC3">
        <w:t xml:space="preserve"> </w:t>
      </w:r>
      <w:r w:rsidR="00B2576B" w:rsidRPr="00382917">
        <w:t>the</w:t>
      </w:r>
      <w:r w:rsidR="00EE4FC3">
        <w:t xml:space="preserve"> </w:t>
      </w:r>
      <w:r w:rsidR="00B2576B" w:rsidRPr="00382917">
        <w:t>way</w:t>
      </w:r>
      <w:r w:rsidR="00EE4FC3">
        <w:t xml:space="preserve"> </w:t>
      </w:r>
      <w:r w:rsidR="00B2576B" w:rsidRPr="00382917">
        <w:t>of</w:t>
      </w:r>
      <w:r w:rsidR="00EE4FC3">
        <w:t xml:space="preserve"> </w:t>
      </w:r>
      <w:r w:rsidR="00B2576B" w:rsidRPr="00382917">
        <w:t>Truth.</w:t>
      </w:r>
      <w:r w:rsidRPr="00382917">
        <w:t>”</w:t>
      </w:r>
    </w:p>
    <w:p w:rsidR="00B2576B" w:rsidRPr="00382917" w:rsidRDefault="00B2576B" w:rsidP="00B2576B">
      <w:pPr>
        <w:pStyle w:val="Text"/>
      </w:pPr>
      <w:r w:rsidRPr="00382917">
        <w:t>Unsheathing</w:t>
      </w:r>
      <w:r w:rsidR="00EE4FC3">
        <w:t xml:space="preserve"> </w:t>
      </w:r>
      <w:r w:rsidRPr="00382917">
        <w:t>his</w:t>
      </w:r>
      <w:r w:rsidR="00EE4FC3">
        <w:t xml:space="preserve"> </w:t>
      </w:r>
      <w:r w:rsidRPr="00382917">
        <w:t>sword,</w:t>
      </w:r>
      <w:r w:rsidR="00EE4FC3">
        <w:t xml:space="preserve"> </w:t>
      </w:r>
      <w:r w:rsidRPr="00382917">
        <w:t>Mullá</w:t>
      </w:r>
      <w:r w:rsidR="00EE4FC3">
        <w:t xml:space="preserve"> </w:t>
      </w:r>
      <w:r w:rsidR="00964C11" w:rsidRPr="00382917">
        <w:t>Ḥusayn</w:t>
      </w:r>
      <w:r w:rsidR="00EE4FC3">
        <w:t xml:space="preserve"> </w:t>
      </w:r>
      <w:r w:rsidRPr="00382917">
        <w:t>spurred</w:t>
      </w:r>
      <w:r w:rsidR="00EE4FC3">
        <w:t xml:space="preserve"> </w:t>
      </w:r>
      <w:r w:rsidRPr="00382917">
        <w:t>on</w:t>
      </w:r>
      <w:r w:rsidR="00EE4FC3">
        <w:t xml:space="preserve"> </w:t>
      </w:r>
      <w:r w:rsidRPr="00382917">
        <w:t>his</w:t>
      </w:r>
      <w:r w:rsidR="00EE4FC3">
        <w:t xml:space="preserve"> </w:t>
      </w:r>
      <w:r w:rsidRPr="00382917">
        <w:t>horse</w:t>
      </w:r>
      <w:r w:rsidR="00EE4FC3">
        <w:t xml:space="preserve"> </w:t>
      </w:r>
      <w:r w:rsidRPr="00382917">
        <w:t>as</w:t>
      </w:r>
      <w:r w:rsidR="00EE4FC3">
        <w:t xml:space="preserve"> </w:t>
      </w:r>
      <w:r w:rsidRPr="00382917">
        <w:t>the</w:t>
      </w:r>
      <w:r w:rsidR="00EE4FC3">
        <w:t xml:space="preserve"> </w:t>
      </w:r>
      <w:r w:rsidRPr="00382917">
        <w:t>attack</w:t>
      </w:r>
      <w:r w:rsidR="00EE4FC3">
        <w:t xml:space="preserve"> </w:t>
      </w:r>
      <w:r w:rsidRPr="00382917">
        <w:t>of</w:t>
      </w:r>
      <w:r w:rsidR="00EE4FC3">
        <w:t xml:space="preserve"> </w:t>
      </w:r>
      <w:r w:rsidRPr="00382917">
        <w:t>the</w:t>
      </w:r>
      <w:r w:rsidR="00EE4FC3">
        <w:t xml:space="preserve"> </w:t>
      </w:r>
      <w:r w:rsidRPr="00382917">
        <w:t>mob</w:t>
      </w:r>
      <w:r w:rsidR="00EE4FC3">
        <w:t xml:space="preserve"> </w:t>
      </w:r>
      <w:r w:rsidRPr="00382917">
        <w:t>was</w:t>
      </w:r>
      <w:r w:rsidR="00EE4FC3">
        <w:t xml:space="preserve"> </w:t>
      </w:r>
      <w:r w:rsidRPr="00382917">
        <w:t>unleashed</w:t>
      </w:r>
      <w:r w:rsidR="00EE4FC3">
        <w:t xml:space="preserve"> </w:t>
      </w:r>
      <w:r w:rsidRPr="00382917">
        <w:t>in</w:t>
      </w:r>
      <w:r w:rsidR="00EE4FC3">
        <w:t xml:space="preserve"> </w:t>
      </w:r>
      <w:r w:rsidRPr="00382917">
        <w:t>full</w:t>
      </w:r>
      <w:r w:rsidR="00EE4FC3">
        <w:t xml:space="preserve"> </w:t>
      </w:r>
      <w:r w:rsidRPr="00382917">
        <w:t>force</w:t>
      </w:r>
      <w:r w:rsidR="00A93643">
        <w:t>.</w:t>
      </w:r>
      <w:r w:rsidR="00EE4FC3">
        <w:t xml:space="preserve">  </w:t>
      </w:r>
      <w:r w:rsidRPr="00382917">
        <w:t>He</w:t>
      </w:r>
      <w:r w:rsidR="00EE4FC3">
        <w:t xml:space="preserve"> </w:t>
      </w:r>
      <w:r w:rsidRPr="00382917">
        <w:t>commanded</w:t>
      </w:r>
      <w:r w:rsidR="00EE4FC3">
        <w:t xml:space="preserve"> </w:t>
      </w:r>
      <w:r w:rsidRPr="00382917">
        <w:t>his</w:t>
      </w:r>
      <w:r w:rsidR="00EE4FC3">
        <w:t xml:space="preserve"> </w:t>
      </w:r>
      <w:r w:rsidRPr="00382917">
        <w:t>followers</w:t>
      </w:r>
      <w:r w:rsidR="00EE4FC3">
        <w:t xml:space="preserve"> </w:t>
      </w:r>
      <w:r w:rsidRPr="00382917">
        <w:t>to</w:t>
      </w:r>
      <w:r w:rsidR="00EE4FC3">
        <w:t xml:space="preserve"> </w:t>
      </w:r>
      <w:r w:rsidRPr="00382917">
        <w:t>defend</w:t>
      </w:r>
      <w:r w:rsidR="00EE4FC3">
        <w:t xml:space="preserve"> </w:t>
      </w:r>
      <w:r w:rsidRPr="00382917">
        <w:t>themselves.</w:t>
      </w:r>
    </w:p>
    <w:p w:rsidR="00B2576B" w:rsidRPr="00382917" w:rsidRDefault="00B2576B" w:rsidP="00B2576B">
      <w:pPr>
        <w:pStyle w:val="Text"/>
      </w:pPr>
      <w:r w:rsidRPr="00382917">
        <w:t>On</w:t>
      </w:r>
      <w:r w:rsidR="00EE4FC3">
        <w:t xml:space="preserve"> </w:t>
      </w:r>
      <w:r w:rsidRPr="00382917">
        <w:t>this</w:t>
      </w:r>
      <w:r w:rsidR="00EE4FC3">
        <w:t xml:space="preserve"> </w:t>
      </w:r>
      <w:r w:rsidRPr="00382917">
        <w:t>plain</w:t>
      </w:r>
      <w:r w:rsidR="00EE4FC3">
        <w:t xml:space="preserve"> </w:t>
      </w:r>
      <w:r w:rsidRPr="00382917">
        <w:t>of</w:t>
      </w:r>
      <w:r w:rsidR="00EE4FC3">
        <w:t xml:space="preserve"> </w:t>
      </w:r>
      <w:r w:rsidR="00814CFC" w:rsidRPr="00382917">
        <w:t>Bárfurú</w:t>
      </w:r>
      <w:r w:rsidR="00814CFC" w:rsidRPr="00814CFC">
        <w:rPr>
          <w:u w:val="single"/>
        </w:rPr>
        <w:t>sh</w:t>
      </w:r>
      <w:r w:rsidR="00EE4FC3">
        <w:t xml:space="preserve"> </w:t>
      </w:r>
      <w:r w:rsidRPr="00382917">
        <w:t>the</w:t>
      </w:r>
      <w:r w:rsidR="00EE4FC3">
        <w:t xml:space="preserve"> </w:t>
      </w:r>
      <w:r w:rsidRPr="00382917">
        <w:t>words</w:t>
      </w:r>
      <w:r w:rsidR="00EE4FC3">
        <w:t xml:space="preserve"> </w:t>
      </w:r>
      <w:r w:rsidRPr="00382917">
        <w:t>which</w:t>
      </w:r>
      <w:r w:rsidR="00EE4FC3">
        <w:t xml:space="preserve"> </w:t>
      </w:r>
      <w:r w:rsidRPr="00382917">
        <w:t>the</w:t>
      </w:r>
      <w:r w:rsidR="00EE4FC3">
        <w:t xml:space="preserve"> </w:t>
      </w:r>
      <w:r w:rsidRPr="00382917">
        <w:t>Báb</w:t>
      </w:r>
      <w:r w:rsidR="00EE4FC3">
        <w:t xml:space="preserve"> </w:t>
      </w:r>
      <w:r w:rsidRPr="00382917">
        <w:t>had</w:t>
      </w:r>
      <w:r w:rsidR="00EE4FC3">
        <w:t xml:space="preserve"> </w:t>
      </w:r>
      <w:r w:rsidRPr="00382917">
        <w:t>spoken</w:t>
      </w:r>
      <w:r w:rsidR="00EE4FC3">
        <w:t xml:space="preserve"> </w:t>
      </w:r>
      <w:r w:rsidRPr="00382917">
        <w:t>to</w:t>
      </w:r>
      <w:r w:rsidR="00EE4FC3">
        <w:t xml:space="preserve"> </w:t>
      </w:r>
      <w:r w:rsidRPr="00382917">
        <w:t>Mullá</w:t>
      </w:r>
      <w:r w:rsidR="00EE4FC3">
        <w:t xml:space="preserve"> </w:t>
      </w:r>
      <w:r w:rsidR="00964C11" w:rsidRPr="00382917">
        <w:t>Ḥusayn</w:t>
      </w:r>
      <w:r w:rsidR="00EE4FC3">
        <w:t xml:space="preserve"> </w:t>
      </w:r>
      <w:r w:rsidRPr="00382917">
        <w:t>at</w:t>
      </w:r>
      <w:r w:rsidR="00EE4FC3">
        <w:t xml:space="preserve"> </w:t>
      </w:r>
      <w:r w:rsidRPr="00382917">
        <w:t>Máh-Kú</w:t>
      </w:r>
      <w:r w:rsidR="00EE4FC3">
        <w:t xml:space="preserve"> </w:t>
      </w:r>
      <w:r w:rsidRPr="00382917">
        <w:t>began</w:t>
      </w:r>
      <w:r w:rsidR="00EE4FC3">
        <w:t xml:space="preserve"> </w:t>
      </w:r>
      <w:r w:rsidRPr="00382917">
        <w:t>to</w:t>
      </w:r>
      <w:r w:rsidR="00EE4FC3">
        <w:t xml:space="preserve"> </w:t>
      </w:r>
      <w:r w:rsidRPr="00382917">
        <w:t>come</w:t>
      </w:r>
      <w:r w:rsidR="00EE4FC3">
        <w:t xml:space="preserve"> </w:t>
      </w:r>
      <w:r w:rsidRPr="00382917">
        <w:t>true</w:t>
      </w:r>
      <w:r w:rsidR="00C03C91">
        <w:t>:</w:t>
      </w:r>
      <w:r w:rsidR="00EE4FC3">
        <w:t xml:space="preserve">  </w:t>
      </w:r>
      <w:r w:rsidR="009C713D" w:rsidRPr="00382917">
        <w:t>“</w:t>
      </w:r>
      <w:r w:rsidRPr="00382917">
        <w:t>Your</w:t>
      </w:r>
      <w:r w:rsidR="00EE4FC3">
        <w:t xml:space="preserve"> </w:t>
      </w:r>
      <w:r w:rsidRPr="00382917">
        <w:t>days</w:t>
      </w:r>
      <w:r w:rsidR="00EE4FC3">
        <w:t xml:space="preserve"> </w:t>
      </w:r>
      <w:r w:rsidRPr="00382917">
        <w:t>of</w:t>
      </w:r>
      <w:r w:rsidR="00EE4FC3">
        <w:t xml:space="preserve"> </w:t>
      </w:r>
      <w:r w:rsidRPr="00382917">
        <w:t>horsemanship</w:t>
      </w:r>
      <w:r w:rsidR="00EE4FC3">
        <w:t xml:space="preserve"> </w:t>
      </w:r>
      <w:r w:rsidRPr="00382917">
        <w:t>are</w:t>
      </w:r>
      <w:r w:rsidR="00EE4FC3">
        <w:t xml:space="preserve"> </w:t>
      </w:r>
      <w:r w:rsidRPr="00382917">
        <w:t>yet</w:t>
      </w:r>
      <w:r w:rsidR="00EE4FC3">
        <w:t xml:space="preserve"> </w:t>
      </w:r>
      <w:r w:rsidRPr="00382917">
        <w:t>to</w:t>
      </w:r>
      <w:r w:rsidR="00EE4FC3">
        <w:t xml:space="preserve"> </w:t>
      </w:r>
      <w:r w:rsidRPr="00382917">
        <w:t>come</w:t>
      </w:r>
      <w:r w:rsidR="00A93643">
        <w:t>.</w:t>
      </w:r>
      <w:r w:rsidR="00EE4FC3">
        <w:t xml:space="preserve">  </w:t>
      </w:r>
      <w:r w:rsidRPr="00382917">
        <w:t>You</w:t>
      </w:r>
      <w:r w:rsidR="00EE4FC3">
        <w:t xml:space="preserve"> </w:t>
      </w:r>
      <w:r w:rsidRPr="00382917">
        <w:t>are</w:t>
      </w:r>
      <w:r w:rsidR="00EE4FC3">
        <w:t xml:space="preserve"> </w:t>
      </w:r>
      <w:r w:rsidRPr="00382917">
        <w:t>destined</w:t>
      </w:r>
      <w:r w:rsidR="00EE4FC3">
        <w:t xml:space="preserve"> </w:t>
      </w:r>
      <w:r w:rsidRPr="00382917">
        <w:t>to</w:t>
      </w:r>
      <w:r w:rsidR="00EE4FC3">
        <w:t xml:space="preserve"> </w:t>
      </w:r>
      <w:r w:rsidRPr="00382917">
        <w:t>exhibit</w:t>
      </w:r>
      <w:r w:rsidR="00EE4FC3">
        <w:t xml:space="preserve"> </w:t>
      </w:r>
      <w:r w:rsidRPr="00382917">
        <w:t>such</w:t>
      </w:r>
    </w:p>
    <w:p w:rsidR="00B2576B" w:rsidRPr="00382917" w:rsidRDefault="00B2576B">
      <w:pPr>
        <w:widowControl/>
        <w:kinsoku/>
        <w:overflowPunct/>
        <w:textAlignment w:val="auto"/>
      </w:pPr>
      <w:r w:rsidRPr="00382917">
        <w:br w:type="page"/>
      </w:r>
    </w:p>
    <w:p w:rsidR="00B2576B" w:rsidRPr="00382917" w:rsidRDefault="00B2576B" w:rsidP="00B2576B">
      <w:pPr>
        <w:pStyle w:val="Textcts"/>
      </w:pPr>
      <w:proofErr w:type="gramStart"/>
      <w:r w:rsidRPr="00382917">
        <w:t>courage</w:t>
      </w:r>
      <w:proofErr w:type="gramEnd"/>
      <w:r w:rsidRPr="00382917">
        <w:t>,</w:t>
      </w:r>
      <w:r w:rsidR="00EE4FC3">
        <w:t xml:space="preserve"> </w:t>
      </w:r>
      <w:r w:rsidRPr="00382917">
        <w:t>skill</w:t>
      </w:r>
      <w:r w:rsidR="00EE4FC3">
        <w:t xml:space="preserve"> </w:t>
      </w:r>
      <w:r w:rsidRPr="00382917">
        <w:t>and</w:t>
      </w:r>
      <w:r w:rsidR="00EE4FC3">
        <w:t xml:space="preserve"> </w:t>
      </w:r>
      <w:r w:rsidRPr="00382917">
        <w:t>heroism</w:t>
      </w:r>
      <w:r w:rsidR="00EE4FC3">
        <w:t xml:space="preserve"> </w:t>
      </w:r>
      <w:r w:rsidRPr="00382917">
        <w:t>as</w:t>
      </w:r>
      <w:r w:rsidR="00EE4FC3">
        <w:t xml:space="preserve"> </w:t>
      </w:r>
      <w:r w:rsidRPr="00382917">
        <w:t>will</w:t>
      </w:r>
      <w:r w:rsidR="00EE4FC3">
        <w:t xml:space="preserve"> </w:t>
      </w:r>
      <w:r w:rsidRPr="00382917">
        <w:t>eclipse</w:t>
      </w:r>
      <w:r w:rsidR="00EE4FC3">
        <w:t xml:space="preserve"> </w:t>
      </w:r>
      <w:r w:rsidRPr="00382917">
        <w:t>the</w:t>
      </w:r>
      <w:r w:rsidR="00EE4FC3">
        <w:t xml:space="preserve"> </w:t>
      </w:r>
      <w:r w:rsidRPr="00382917">
        <w:t>mightiest</w:t>
      </w:r>
      <w:r w:rsidR="00EE4FC3">
        <w:t xml:space="preserve"> </w:t>
      </w:r>
      <w:r w:rsidRPr="00382917">
        <w:t>deeds</w:t>
      </w:r>
      <w:r w:rsidR="00EE4FC3">
        <w:t xml:space="preserve"> </w:t>
      </w:r>
      <w:r w:rsidRPr="00382917">
        <w:t>of</w:t>
      </w:r>
      <w:r w:rsidR="00EE4FC3">
        <w:t xml:space="preserve"> </w:t>
      </w:r>
      <w:r w:rsidRPr="00382917">
        <w:t>the</w:t>
      </w:r>
      <w:r w:rsidR="00EE4FC3">
        <w:t xml:space="preserve"> </w:t>
      </w:r>
      <w:r w:rsidRPr="00382917">
        <w:t>heroes</w:t>
      </w:r>
      <w:r w:rsidR="00EE4FC3">
        <w:t xml:space="preserve"> </w:t>
      </w:r>
      <w:r w:rsidRPr="00382917">
        <w:t>of</w:t>
      </w:r>
      <w:r w:rsidR="00EE4FC3">
        <w:t xml:space="preserve"> </w:t>
      </w:r>
      <w:r w:rsidRPr="00382917">
        <w:t>old.</w:t>
      </w:r>
      <w:r w:rsidR="009C713D" w:rsidRPr="00382917">
        <w:t>”</w:t>
      </w:r>
    </w:p>
    <w:p w:rsidR="00B2576B" w:rsidRPr="00382917" w:rsidRDefault="00B2576B" w:rsidP="00B2576B">
      <w:pPr>
        <w:pStyle w:val="Text"/>
      </w:pPr>
      <w:r w:rsidRPr="00382917">
        <w:t>Mullá</w:t>
      </w:r>
      <w:r w:rsidR="00EE4FC3">
        <w:t xml:space="preserve"> </w:t>
      </w:r>
      <w:r w:rsidR="00964C11" w:rsidRPr="00382917">
        <w:t>Ḥusayn</w:t>
      </w:r>
      <w:r w:rsidR="00EE4FC3">
        <w:t xml:space="preserve"> </w:t>
      </w:r>
      <w:r w:rsidRPr="00382917">
        <w:t>struck</w:t>
      </w:r>
      <w:r w:rsidR="00EE4FC3">
        <w:t xml:space="preserve"> </w:t>
      </w:r>
      <w:r w:rsidRPr="00382917">
        <w:t>terror</w:t>
      </w:r>
      <w:r w:rsidR="00EE4FC3">
        <w:t xml:space="preserve"> </w:t>
      </w:r>
      <w:r w:rsidRPr="00382917">
        <w:t>into</w:t>
      </w:r>
      <w:r w:rsidR="00EE4FC3">
        <w:t xml:space="preserve"> </w:t>
      </w:r>
      <w:r w:rsidRPr="00382917">
        <w:t>the</w:t>
      </w:r>
      <w:r w:rsidR="00EE4FC3">
        <w:t xml:space="preserve"> </w:t>
      </w:r>
      <w:r w:rsidRPr="00382917">
        <w:t>hearts</w:t>
      </w:r>
      <w:r w:rsidR="00EE4FC3">
        <w:t xml:space="preserve"> </w:t>
      </w:r>
      <w:r w:rsidRPr="00382917">
        <w:t>of</w:t>
      </w:r>
      <w:r w:rsidR="00EE4FC3">
        <w:t xml:space="preserve"> </w:t>
      </w:r>
      <w:r w:rsidRPr="00382917">
        <w:t>that</w:t>
      </w:r>
      <w:r w:rsidR="00EE4FC3">
        <w:t xml:space="preserve"> </w:t>
      </w:r>
      <w:r w:rsidRPr="00382917">
        <w:t>unruly</w:t>
      </w:r>
      <w:r w:rsidR="00EE4FC3">
        <w:t xml:space="preserve"> </w:t>
      </w:r>
      <w:r w:rsidRPr="00382917">
        <w:t>mob</w:t>
      </w:r>
      <w:r w:rsidR="00A93643">
        <w:t>.</w:t>
      </w:r>
      <w:r w:rsidR="00EE4FC3">
        <w:t xml:space="preserve">  </w:t>
      </w:r>
      <w:r w:rsidRPr="00382917">
        <w:t>One</w:t>
      </w:r>
      <w:r w:rsidR="00EE4FC3">
        <w:t xml:space="preserve"> </w:t>
      </w:r>
      <w:r w:rsidRPr="00382917">
        <w:t>of</w:t>
      </w:r>
      <w:r w:rsidR="00EE4FC3">
        <w:t xml:space="preserve"> </w:t>
      </w:r>
      <w:r w:rsidRPr="00382917">
        <w:t>the</w:t>
      </w:r>
      <w:r w:rsidR="00EE4FC3">
        <w:t xml:space="preserve"> </w:t>
      </w:r>
      <w:r w:rsidRPr="00382917">
        <w:t>killers</w:t>
      </w:r>
      <w:r w:rsidR="00EE4FC3">
        <w:t xml:space="preserve"> </w:t>
      </w:r>
      <w:r w:rsidRPr="00382917">
        <w:t>took</w:t>
      </w:r>
      <w:r w:rsidR="00EE4FC3">
        <w:t xml:space="preserve"> </w:t>
      </w:r>
      <w:r w:rsidRPr="00382917">
        <w:t>refuge</w:t>
      </w:r>
      <w:r w:rsidR="00EE4FC3">
        <w:t xml:space="preserve"> </w:t>
      </w:r>
      <w:r w:rsidRPr="00382917">
        <w:t>behind</w:t>
      </w:r>
      <w:r w:rsidR="00EE4FC3">
        <w:t xml:space="preserve"> </w:t>
      </w:r>
      <w:r w:rsidRPr="00382917">
        <w:t>a</w:t>
      </w:r>
      <w:r w:rsidR="00EE4FC3">
        <w:t xml:space="preserve"> </w:t>
      </w:r>
      <w:r w:rsidRPr="00382917">
        <w:t>small</w:t>
      </w:r>
      <w:r w:rsidR="00EE4FC3">
        <w:t xml:space="preserve"> </w:t>
      </w:r>
      <w:r w:rsidRPr="00382917">
        <w:t>tree</w:t>
      </w:r>
      <w:r w:rsidR="00A93643">
        <w:t>.</w:t>
      </w:r>
      <w:r w:rsidR="00EE4FC3">
        <w:t xml:space="preserve">  </w:t>
      </w:r>
      <w:r w:rsidRPr="00382917">
        <w:t>He</w:t>
      </w:r>
      <w:r w:rsidR="00EE4FC3">
        <w:t xml:space="preserve"> </w:t>
      </w:r>
      <w:r w:rsidRPr="00382917">
        <w:t>held</w:t>
      </w:r>
      <w:r w:rsidR="00EE4FC3">
        <w:t xml:space="preserve"> </w:t>
      </w:r>
      <w:r w:rsidRPr="00382917">
        <w:t>his</w:t>
      </w:r>
      <w:r w:rsidR="00EE4FC3">
        <w:t xml:space="preserve"> </w:t>
      </w:r>
      <w:r w:rsidRPr="00382917">
        <w:t>musket</w:t>
      </w:r>
      <w:r w:rsidR="00EE4FC3">
        <w:t xml:space="preserve"> </w:t>
      </w:r>
      <w:r w:rsidRPr="00382917">
        <w:t>in</w:t>
      </w:r>
      <w:r w:rsidR="00EE4FC3">
        <w:t xml:space="preserve"> </w:t>
      </w:r>
      <w:r w:rsidRPr="00382917">
        <w:t>front</w:t>
      </w:r>
      <w:r w:rsidR="00EE4FC3">
        <w:t xml:space="preserve"> </w:t>
      </w:r>
      <w:r w:rsidRPr="00382917">
        <w:t>of</w:t>
      </w:r>
      <w:r w:rsidR="00EE4FC3">
        <w:t xml:space="preserve"> </w:t>
      </w:r>
      <w:r w:rsidRPr="00382917">
        <w:t>his</w:t>
      </w:r>
      <w:r w:rsidR="00EE4FC3">
        <w:t xml:space="preserve"> </w:t>
      </w:r>
      <w:r w:rsidRPr="00382917">
        <w:t>body</w:t>
      </w:r>
      <w:r w:rsidR="00EE4FC3">
        <w:t xml:space="preserve"> </w:t>
      </w:r>
      <w:r w:rsidRPr="00382917">
        <w:t>to</w:t>
      </w:r>
      <w:r w:rsidR="00EE4FC3">
        <w:t xml:space="preserve"> </w:t>
      </w:r>
      <w:r w:rsidRPr="00382917">
        <w:t>shield</w:t>
      </w:r>
      <w:r w:rsidR="00EE4FC3">
        <w:t xml:space="preserve"> </w:t>
      </w:r>
      <w:r w:rsidRPr="00382917">
        <w:t>himself</w:t>
      </w:r>
      <w:r w:rsidR="00EE4FC3">
        <w:t xml:space="preserve"> </w:t>
      </w:r>
      <w:r w:rsidRPr="00382917">
        <w:t>as</w:t>
      </w:r>
      <w:r w:rsidR="00EE4FC3">
        <w:t xml:space="preserve"> </w:t>
      </w:r>
      <w:r w:rsidRPr="00382917">
        <w:t>Mullá</w:t>
      </w:r>
      <w:r w:rsidR="00EE4FC3">
        <w:t xml:space="preserve"> </w:t>
      </w:r>
      <w:r w:rsidR="00964C11" w:rsidRPr="00382917">
        <w:t>Ḥusayn</w:t>
      </w:r>
      <w:r w:rsidR="00EE4FC3">
        <w:t xml:space="preserve"> </w:t>
      </w:r>
      <w:r w:rsidRPr="00382917">
        <w:t>swept</w:t>
      </w:r>
      <w:r w:rsidR="00EE4FC3">
        <w:t xml:space="preserve"> </w:t>
      </w:r>
      <w:r w:rsidRPr="00382917">
        <w:t>down</w:t>
      </w:r>
      <w:r w:rsidR="00EE4FC3">
        <w:t xml:space="preserve"> </w:t>
      </w:r>
      <w:r w:rsidRPr="00382917">
        <w:t>upon</w:t>
      </w:r>
      <w:r w:rsidR="00EE4FC3">
        <w:t xml:space="preserve"> </w:t>
      </w:r>
      <w:r w:rsidRPr="00382917">
        <w:t>him</w:t>
      </w:r>
      <w:r w:rsidR="00A93643">
        <w:t>.</w:t>
      </w:r>
      <w:r w:rsidR="00EE4FC3">
        <w:t xml:space="preserve">  </w:t>
      </w:r>
      <w:r w:rsidRPr="00382917">
        <w:t>Mullá</w:t>
      </w:r>
      <w:r w:rsidR="00EE4FC3">
        <w:t xml:space="preserve"> </w:t>
      </w:r>
      <w:r w:rsidR="00964C11" w:rsidRPr="00382917">
        <w:t>Ḥusayn</w:t>
      </w:r>
      <w:r w:rsidR="00EE4FC3">
        <w:t xml:space="preserve"> </w:t>
      </w:r>
      <w:r w:rsidRPr="00382917">
        <w:t>recognized</w:t>
      </w:r>
      <w:r w:rsidR="00EE4FC3">
        <w:t xml:space="preserve"> </w:t>
      </w:r>
      <w:r w:rsidRPr="00382917">
        <w:t>him</w:t>
      </w:r>
      <w:r w:rsidR="00EE4FC3">
        <w:t xml:space="preserve"> </w:t>
      </w:r>
      <w:r w:rsidRPr="00382917">
        <w:t>as</w:t>
      </w:r>
      <w:r w:rsidR="00EE4FC3">
        <w:t xml:space="preserve"> </w:t>
      </w:r>
      <w:r w:rsidRPr="00382917">
        <w:t>the</w:t>
      </w:r>
      <w:r w:rsidR="00EE4FC3">
        <w:t xml:space="preserve"> </w:t>
      </w:r>
      <w:r w:rsidRPr="00382917">
        <w:t>slayer</w:t>
      </w:r>
      <w:r w:rsidR="00EE4FC3">
        <w:t xml:space="preserve"> </w:t>
      </w:r>
      <w:r w:rsidRPr="00382917">
        <w:t>of</w:t>
      </w:r>
      <w:r w:rsidR="00EE4FC3">
        <w:t xml:space="preserve"> </w:t>
      </w:r>
      <w:r w:rsidRPr="00382917">
        <w:t>Riḍá,</w:t>
      </w:r>
      <w:r w:rsidR="00EE4FC3">
        <w:t xml:space="preserve"> </w:t>
      </w:r>
      <w:r w:rsidRPr="00382917">
        <w:t>his</w:t>
      </w:r>
      <w:r w:rsidR="00EE4FC3">
        <w:t xml:space="preserve"> </w:t>
      </w:r>
      <w:r w:rsidRPr="00382917">
        <w:t>friend</w:t>
      </w:r>
      <w:r w:rsidR="00A93643">
        <w:t>.</w:t>
      </w:r>
      <w:r w:rsidR="00EE4FC3">
        <w:t xml:space="preserve">  </w:t>
      </w:r>
      <w:r w:rsidRPr="00382917">
        <w:t>Mullá</w:t>
      </w:r>
      <w:r w:rsidR="00EE4FC3">
        <w:t xml:space="preserve"> </w:t>
      </w:r>
      <w:r w:rsidR="00964C11" w:rsidRPr="00382917">
        <w:t>Ḥusayn</w:t>
      </w:r>
      <w:r w:rsidR="00EE4FC3">
        <w:t xml:space="preserve"> </w:t>
      </w:r>
      <w:r w:rsidRPr="00382917">
        <w:t>rushed</w:t>
      </w:r>
      <w:r w:rsidR="00EE4FC3">
        <w:t xml:space="preserve"> </w:t>
      </w:r>
      <w:r w:rsidRPr="00382917">
        <w:t>on</w:t>
      </w:r>
      <w:r w:rsidR="00EE4FC3">
        <w:t xml:space="preserve"> </w:t>
      </w:r>
      <w:r w:rsidRPr="00382917">
        <w:t>and,</w:t>
      </w:r>
      <w:r w:rsidR="00EE4FC3">
        <w:t xml:space="preserve"> </w:t>
      </w:r>
      <w:r w:rsidRPr="00382917">
        <w:t>with</w:t>
      </w:r>
      <w:r w:rsidR="00EE4FC3">
        <w:t xml:space="preserve"> </w:t>
      </w:r>
      <w:r w:rsidRPr="00382917">
        <w:t>a</w:t>
      </w:r>
      <w:r w:rsidR="00EE4FC3">
        <w:t xml:space="preserve"> </w:t>
      </w:r>
      <w:r w:rsidRPr="00382917">
        <w:t>single</w:t>
      </w:r>
      <w:r w:rsidR="00EE4FC3">
        <w:t xml:space="preserve"> </w:t>
      </w:r>
      <w:r w:rsidRPr="00382917">
        <w:t>sweeping</w:t>
      </w:r>
      <w:r w:rsidR="00EE4FC3">
        <w:t xml:space="preserve"> </w:t>
      </w:r>
      <w:r w:rsidRPr="00382917">
        <w:t>slash</w:t>
      </w:r>
      <w:r w:rsidR="00EE4FC3">
        <w:t xml:space="preserve"> </w:t>
      </w:r>
      <w:r w:rsidRPr="00382917">
        <w:t>of</w:t>
      </w:r>
      <w:r w:rsidR="00EE4FC3">
        <w:t xml:space="preserve"> </w:t>
      </w:r>
      <w:r w:rsidRPr="00382917">
        <w:t>his</w:t>
      </w:r>
      <w:r w:rsidR="00EE4FC3">
        <w:t xml:space="preserve"> </w:t>
      </w:r>
      <w:r w:rsidRPr="00382917">
        <w:t>sword,</w:t>
      </w:r>
      <w:r w:rsidR="00EE4FC3">
        <w:t xml:space="preserve"> </w:t>
      </w:r>
      <w:r w:rsidRPr="00382917">
        <w:t>he</w:t>
      </w:r>
      <w:r w:rsidR="00EE4FC3">
        <w:t xml:space="preserve"> </w:t>
      </w:r>
      <w:r w:rsidRPr="00382917">
        <w:t>cut</w:t>
      </w:r>
      <w:r w:rsidR="00EE4FC3">
        <w:t xml:space="preserve"> </w:t>
      </w:r>
      <w:r w:rsidRPr="00382917">
        <w:t>through</w:t>
      </w:r>
      <w:r w:rsidR="00EE4FC3">
        <w:t xml:space="preserve"> </w:t>
      </w:r>
      <w:r w:rsidRPr="00382917">
        <w:t>the</w:t>
      </w:r>
      <w:r w:rsidR="00EE4FC3">
        <w:t xml:space="preserve"> </w:t>
      </w:r>
      <w:r w:rsidRPr="00382917">
        <w:t>trunk</w:t>
      </w:r>
      <w:r w:rsidR="00EE4FC3">
        <w:t xml:space="preserve"> </w:t>
      </w:r>
      <w:r w:rsidRPr="00382917">
        <w:t>of</w:t>
      </w:r>
      <w:r w:rsidR="00EE4FC3">
        <w:t xml:space="preserve"> </w:t>
      </w:r>
      <w:r w:rsidRPr="00382917">
        <w:t>the</w:t>
      </w:r>
      <w:r w:rsidR="00EE4FC3">
        <w:t xml:space="preserve"> </w:t>
      </w:r>
      <w:r w:rsidRPr="00382917">
        <w:t>tree,</w:t>
      </w:r>
      <w:r w:rsidR="00EE4FC3">
        <w:t xml:space="preserve"> </w:t>
      </w:r>
      <w:r w:rsidRPr="00382917">
        <w:t>through</w:t>
      </w:r>
      <w:r w:rsidR="00EE4FC3">
        <w:t xml:space="preserve"> </w:t>
      </w:r>
      <w:r w:rsidRPr="00382917">
        <w:t>the</w:t>
      </w:r>
      <w:r w:rsidR="00EE4FC3">
        <w:t xml:space="preserve"> </w:t>
      </w:r>
      <w:r w:rsidRPr="00382917">
        <w:t>musket,</w:t>
      </w:r>
      <w:r w:rsidR="00EE4FC3">
        <w:t xml:space="preserve"> </w:t>
      </w:r>
      <w:r w:rsidRPr="00382917">
        <w:t>and</w:t>
      </w:r>
      <w:r w:rsidR="00EE4FC3">
        <w:t xml:space="preserve"> </w:t>
      </w:r>
      <w:r w:rsidRPr="00382917">
        <w:t>severed</w:t>
      </w:r>
      <w:r w:rsidR="00EE4FC3">
        <w:t xml:space="preserve"> </w:t>
      </w:r>
      <w:r w:rsidRPr="00382917">
        <w:t>the</w:t>
      </w:r>
      <w:r w:rsidR="00EE4FC3">
        <w:t xml:space="preserve"> </w:t>
      </w:r>
      <w:r w:rsidRPr="00382917">
        <w:t>body</w:t>
      </w:r>
      <w:r w:rsidR="00EE4FC3">
        <w:t xml:space="preserve"> </w:t>
      </w:r>
      <w:r w:rsidRPr="00382917">
        <w:t>of</w:t>
      </w:r>
      <w:r w:rsidR="00EE4FC3">
        <w:t xml:space="preserve"> </w:t>
      </w:r>
      <w:r w:rsidRPr="00382917">
        <w:t>his</w:t>
      </w:r>
      <w:r w:rsidR="00EE4FC3">
        <w:t xml:space="preserve"> </w:t>
      </w:r>
      <w:r w:rsidRPr="00382917">
        <w:t>enemy</w:t>
      </w:r>
      <w:r w:rsidR="00EE4FC3">
        <w:t xml:space="preserve"> </w:t>
      </w:r>
      <w:r w:rsidRPr="00382917">
        <w:t>in</w:t>
      </w:r>
      <w:r w:rsidR="00EE4FC3">
        <w:t xml:space="preserve"> </w:t>
      </w:r>
      <w:r w:rsidRPr="00382917">
        <w:t>two.</w:t>
      </w:r>
    </w:p>
    <w:p w:rsidR="00B2576B" w:rsidRPr="00382917" w:rsidRDefault="00B2576B" w:rsidP="00E11498">
      <w:pPr>
        <w:pStyle w:val="Text"/>
      </w:pPr>
      <w:r w:rsidRPr="00382917">
        <w:t>The</w:t>
      </w:r>
      <w:r w:rsidR="00EE4FC3">
        <w:t xml:space="preserve"> </w:t>
      </w:r>
      <w:r w:rsidRPr="00382917">
        <w:t>historian</w:t>
      </w:r>
      <w:r w:rsidR="00EE4FC3">
        <w:t xml:space="preserve"> </w:t>
      </w:r>
      <w:r w:rsidRPr="00382917">
        <w:t>Nicolas</w:t>
      </w:r>
      <w:r w:rsidR="00EE4FC3">
        <w:t xml:space="preserve"> </w:t>
      </w:r>
      <w:r w:rsidRPr="00382917">
        <w:t>states</w:t>
      </w:r>
      <w:r w:rsidR="00EE4FC3">
        <w:t xml:space="preserve"> </w:t>
      </w:r>
      <w:r w:rsidRPr="00382917">
        <w:t>that</w:t>
      </w:r>
      <w:r w:rsidR="00EE4FC3">
        <w:t xml:space="preserve"> </w:t>
      </w:r>
      <w:r w:rsidR="009C713D" w:rsidRPr="00382917">
        <w:t>“</w:t>
      </w:r>
      <w:r w:rsidRPr="00382917">
        <w:t>anger</w:t>
      </w:r>
      <w:r w:rsidR="00EE4FC3">
        <w:t xml:space="preserve"> </w:t>
      </w:r>
      <w:r w:rsidRPr="00382917">
        <w:t>redoubled</w:t>
      </w:r>
      <w:r w:rsidR="00EE4FC3">
        <w:t xml:space="preserve"> </w:t>
      </w:r>
      <w:r w:rsidRPr="00382917">
        <w:t>the</w:t>
      </w:r>
      <w:r w:rsidR="00EE4FC3">
        <w:t xml:space="preserve"> </w:t>
      </w:r>
      <w:r w:rsidRPr="00382917">
        <w:t>strength</w:t>
      </w:r>
      <w:r w:rsidR="00EE4FC3">
        <w:t xml:space="preserve"> </w:t>
      </w:r>
      <w:r w:rsidRPr="00382917">
        <w:t>of</w:t>
      </w:r>
      <w:r w:rsidR="00EE4FC3">
        <w:t xml:space="preserve"> </w:t>
      </w:r>
      <w:r w:rsidRPr="00382917">
        <w:t>Mullá</w:t>
      </w:r>
      <w:r w:rsidR="00EE4FC3">
        <w:t xml:space="preserve"> </w:t>
      </w:r>
      <w:r w:rsidR="00964C11" w:rsidRPr="00382917">
        <w:t>Ḥusayn</w:t>
      </w:r>
      <w:r w:rsidR="00EE4FC3">
        <w:t xml:space="preserve"> </w:t>
      </w:r>
      <w:r w:rsidRPr="00382917">
        <w:t>who</w:t>
      </w:r>
      <w:r w:rsidR="00EE4FC3">
        <w:t xml:space="preserve"> </w:t>
      </w:r>
      <w:r w:rsidRPr="00382917">
        <w:t>with</w:t>
      </w:r>
      <w:r w:rsidR="00EE4FC3">
        <w:t xml:space="preserve"> </w:t>
      </w:r>
      <w:r w:rsidRPr="00382917">
        <w:t>one</w:t>
      </w:r>
      <w:r w:rsidR="00EE4FC3">
        <w:t xml:space="preserve"> </w:t>
      </w:r>
      <w:r w:rsidRPr="00382917">
        <w:t>single</w:t>
      </w:r>
      <w:r w:rsidR="00EE4FC3">
        <w:t xml:space="preserve"> </w:t>
      </w:r>
      <w:r w:rsidRPr="00382917">
        <w:t>blow</w:t>
      </w:r>
      <w:r w:rsidR="00EE4FC3">
        <w:t xml:space="preserve"> </w:t>
      </w:r>
      <w:r w:rsidRPr="00382917">
        <w:t>of</w:t>
      </w:r>
      <w:r w:rsidR="00EE4FC3">
        <w:t xml:space="preserve"> </w:t>
      </w:r>
      <w:r w:rsidRPr="00382917">
        <w:t>his</w:t>
      </w:r>
      <w:r w:rsidR="00EE4FC3">
        <w:t xml:space="preserve"> </w:t>
      </w:r>
      <w:r w:rsidRPr="00382917">
        <w:t>weapon</w:t>
      </w:r>
      <w:r w:rsidR="00EE4FC3">
        <w:t xml:space="preserve"> </w:t>
      </w:r>
      <w:r w:rsidRPr="00382917">
        <w:t>cut</w:t>
      </w:r>
      <w:r w:rsidR="00EE4FC3">
        <w:t xml:space="preserve"> </w:t>
      </w:r>
      <w:r w:rsidRPr="00382917">
        <w:t>in</w:t>
      </w:r>
      <w:r w:rsidR="00EE4FC3">
        <w:t xml:space="preserve"> </w:t>
      </w:r>
      <w:r w:rsidRPr="00382917">
        <w:t>two</w:t>
      </w:r>
      <w:r w:rsidR="00EE4FC3">
        <w:t xml:space="preserve"> </w:t>
      </w:r>
      <w:r w:rsidRPr="00382917">
        <w:t>the</w:t>
      </w:r>
      <w:r w:rsidR="00EE4FC3">
        <w:t xml:space="preserve"> </w:t>
      </w:r>
      <w:r w:rsidRPr="00382917">
        <w:t>gun,</w:t>
      </w:r>
      <w:r w:rsidR="00EE4FC3">
        <w:t xml:space="preserve"> </w:t>
      </w:r>
      <w:r w:rsidRPr="00382917">
        <w:t>the</w:t>
      </w:r>
      <w:r w:rsidR="00EE4FC3">
        <w:t xml:space="preserve"> </w:t>
      </w:r>
      <w:r w:rsidRPr="00382917">
        <w:t>man</w:t>
      </w:r>
      <w:r w:rsidR="00EE4FC3">
        <w:t xml:space="preserve"> </w:t>
      </w:r>
      <w:r w:rsidRPr="00382917">
        <w:t>and</w:t>
      </w:r>
      <w:r w:rsidR="00EE4FC3">
        <w:t xml:space="preserve"> </w:t>
      </w:r>
      <w:r w:rsidRPr="00382917">
        <w:t>the</w:t>
      </w:r>
      <w:r w:rsidR="00EE4FC3">
        <w:t xml:space="preserve"> </w:t>
      </w:r>
      <w:r w:rsidRPr="00382917">
        <w:t>tree.</w:t>
      </w:r>
      <w:r w:rsidR="009C713D" w:rsidRPr="00382917">
        <w:t>”</w:t>
      </w:r>
      <w:r w:rsidR="00EE4FC3">
        <w:t xml:space="preserve">  </w:t>
      </w:r>
      <w:r w:rsidRPr="00382917">
        <w:t>He</w:t>
      </w:r>
      <w:r w:rsidR="00EE4FC3">
        <w:t xml:space="preserve"> </w:t>
      </w:r>
      <w:r w:rsidRPr="00382917">
        <w:t>adds</w:t>
      </w:r>
      <w:r w:rsidR="00C03C91">
        <w:t>:</w:t>
      </w:r>
      <w:r w:rsidR="00EE4FC3">
        <w:t xml:space="preserve">  </w:t>
      </w:r>
      <w:r w:rsidR="009C713D" w:rsidRPr="00382917">
        <w:t>“</w:t>
      </w:r>
      <w:r w:rsidRPr="00382917">
        <w:t>The</w:t>
      </w:r>
      <w:r w:rsidR="00EE4FC3">
        <w:t xml:space="preserve"> </w:t>
      </w:r>
      <w:r w:rsidRPr="00382917">
        <w:t>Muslims</w:t>
      </w:r>
      <w:r w:rsidR="00EE4FC3">
        <w:t xml:space="preserve"> </w:t>
      </w:r>
      <w:r w:rsidRPr="00382917">
        <w:t>themselves</w:t>
      </w:r>
      <w:r w:rsidR="00EE4FC3">
        <w:t xml:space="preserve"> </w:t>
      </w:r>
      <w:r w:rsidRPr="00382917">
        <w:t>do</w:t>
      </w:r>
      <w:r w:rsidR="00EE4FC3">
        <w:t xml:space="preserve"> </w:t>
      </w:r>
      <w:r w:rsidRPr="00382917">
        <w:t>not</w:t>
      </w:r>
      <w:r w:rsidR="00EE4FC3">
        <w:t xml:space="preserve"> </w:t>
      </w:r>
      <w:r w:rsidRPr="00382917">
        <w:t>question</w:t>
      </w:r>
      <w:r w:rsidR="00EE4FC3">
        <w:t xml:space="preserve"> </w:t>
      </w:r>
      <w:r w:rsidRPr="00382917">
        <w:t>the</w:t>
      </w:r>
      <w:r w:rsidR="00EE4FC3">
        <w:t xml:space="preserve"> </w:t>
      </w:r>
      <w:r w:rsidRPr="00382917">
        <w:t>authenticity</w:t>
      </w:r>
      <w:r w:rsidR="00EE4FC3">
        <w:t xml:space="preserve"> </w:t>
      </w:r>
      <w:r w:rsidRPr="00382917">
        <w:t>of</w:t>
      </w:r>
      <w:r w:rsidR="00EE4FC3">
        <w:t xml:space="preserve"> </w:t>
      </w:r>
      <w:r w:rsidRPr="00382917">
        <w:t>this</w:t>
      </w:r>
      <w:r w:rsidR="00EE4FC3">
        <w:t xml:space="preserve"> </w:t>
      </w:r>
      <w:r w:rsidRPr="00382917">
        <w:t>anecdote.</w:t>
      </w:r>
      <w:r w:rsidR="009C713D" w:rsidRPr="00382917">
        <w:t>”</w:t>
      </w:r>
      <w:r w:rsidR="00E11498">
        <w:rPr>
          <w:rStyle w:val="FootnoteReference"/>
        </w:rPr>
        <w:footnoteReference w:id="111"/>
      </w:r>
    </w:p>
    <w:p w:rsidR="00B2576B" w:rsidRPr="00382917" w:rsidRDefault="00B2576B" w:rsidP="00967B78">
      <w:pPr>
        <w:pStyle w:val="Text"/>
      </w:pPr>
      <w:r w:rsidRPr="00382917">
        <w:t>One</w:t>
      </w:r>
      <w:r w:rsidR="00EE4FC3">
        <w:t xml:space="preserve"> </w:t>
      </w:r>
      <w:r w:rsidRPr="00382917">
        <w:t>of</w:t>
      </w:r>
      <w:r w:rsidR="00EE4FC3">
        <w:t xml:space="preserve"> </w:t>
      </w:r>
      <w:r w:rsidRPr="00382917">
        <w:t>the</w:t>
      </w:r>
      <w:r w:rsidR="00EE4FC3">
        <w:t xml:space="preserve"> </w:t>
      </w:r>
      <w:r w:rsidRPr="00382917">
        <w:t>enemies</w:t>
      </w:r>
      <w:r w:rsidR="00EE4FC3">
        <w:t xml:space="preserve"> </w:t>
      </w:r>
      <w:r w:rsidRPr="00382917">
        <w:t>of</w:t>
      </w:r>
      <w:r w:rsidR="00EE4FC3">
        <w:t xml:space="preserve"> </w:t>
      </w:r>
      <w:r w:rsidRPr="00382917">
        <w:t>Mullá</w:t>
      </w:r>
      <w:r w:rsidR="00EE4FC3">
        <w:t xml:space="preserve"> </w:t>
      </w:r>
      <w:r w:rsidR="00964C11" w:rsidRPr="00382917">
        <w:t>Ḥusayn</w:t>
      </w:r>
      <w:r w:rsidR="00EE4FC3">
        <w:t xml:space="preserve"> </w:t>
      </w:r>
      <w:r w:rsidRPr="00382917">
        <w:t>on</w:t>
      </w:r>
      <w:r w:rsidR="00EE4FC3">
        <w:t xml:space="preserve"> </w:t>
      </w:r>
      <w:r w:rsidRPr="00382917">
        <w:t>that</w:t>
      </w:r>
      <w:r w:rsidR="00EE4FC3">
        <w:t xml:space="preserve"> </w:t>
      </w:r>
      <w:r w:rsidRPr="00382917">
        <w:t>day</w:t>
      </w:r>
      <w:r w:rsidR="00EE4FC3">
        <w:t xml:space="preserve"> </w:t>
      </w:r>
      <w:r w:rsidRPr="00382917">
        <w:t>has</w:t>
      </w:r>
      <w:r w:rsidR="00EE4FC3">
        <w:t xml:space="preserve"> </w:t>
      </w:r>
      <w:r w:rsidRPr="00382917">
        <w:t>recorded</w:t>
      </w:r>
      <w:r w:rsidR="00EE4FC3">
        <w:t xml:space="preserve"> </w:t>
      </w:r>
      <w:r w:rsidRPr="00382917">
        <w:t>his</w:t>
      </w:r>
      <w:r w:rsidR="00EE4FC3">
        <w:t xml:space="preserve"> </w:t>
      </w:r>
      <w:r w:rsidRPr="00382917">
        <w:t>impression</w:t>
      </w:r>
      <w:r w:rsidR="00EE4FC3">
        <w:t xml:space="preserve"> </w:t>
      </w:r>
      <w:r w:rsidRPr="00382917">
        <w:t>of</w:t>
      </w:r>
      <w:r w:rsidR="00EE4FC3">
        <w:t xml:space="preserve"> </w:t>
      </w:r>
      <w:r w:rsidRPr="00382917">
        <w:t>that</w:t>
      </w:r>
      <w:r w:rsidR="00EE4FC3">
        <w:t xml:space="preserve"> </w:t>
      </w:r>
      <w:r w:rsidRPr="00382917">
        <w:t>dreadful</w:t>
      </w:r>
      <w:r w:rsidR="00EE4FC3">
        <w:t xml:space="preserve"> </w:t>
      </w:r>
      <w:r w:rsidRPr="00382917">
        <w:t>attack</w:t>
      </w:r>
      <w:r w:rsidR="00C03C91">
        <w:t>:</w:t>
      </w:r>
      <w:r w:rsidR="00EE4FC3">
        <w:t xml:space="preserve">  </w:t>
      </w:r>
      <w:r w:rsidR="009C713D" w:rsidRPr="00382917">
        <w:t>“</w:t>
      </w:r>
      <w:r w:rsidRPr="00382917">
        <w:t>Then</w:t>
      </w:r>
      <w:r w:rsidR="00EE4FC3">
        <w:t xml:space="preserve"> </w:t>
      </w:r>
      <w:r w:rsidRPr="00382917">
        <w:t>I</w:t>
      </w:r>
      <w:r w:rsidR="00EE4FC3">
        <w:t xml:space="preserve"> </w:t>
      </w:r>
      <w:r w:rsidRPr="00382917">
        <w:t>saw</w:t>
      </w:r>
      <w:r w:rsidR="00EE4FC3">
        <w:t xml:space="preserve"> </w:t>
      </w:r>
      <w:r w:rsidRPr="00382917">
        <w:t>Mullá</w:t>
      </w:r>
      <w:r w:rsidR="00EE4FC3">
        <w:t xml:space="preserve"> </w:t>
      </w:r>
      <w:r w:rsidR="00964C11" w:rsidRPr="00382917">
        <w:t>Ḥusayn</w:t>
      </w:r>
      <w:r w:rsidR="00EE4FC3">
        <w:t xml:space="preserve"> </w:t>
      </w:r>
      <w:r w:rsidRPr="00382917">
        <w:t>unsheathe</w:t>
      </w:r>
      <w:r w:rsidR="00EE4FC3">
        <w:t xml:space="preserve"> </w:t>
      </w:r>
      <w:r w:rsidRPr="00382917">
        <w:t>his</w:t>
      </w:r>
      <w:r w:rsidR="00EE4FC3">
        <w:t xml:space="preserve"> </w:t>
      </w:r>
      <w:r w:rsidRPr="00382917">
        <w:t>sword</w:t>
      </w:r>
      <w:r w:rsidR="00EE4FC3">
        <w:t xml:space="preserve"> </w:t>
      </w:r>
      <w:r w:rsidRPr="00382917">
        <w:t>and</w:t>
      </w:r>
      <w:r w:rsidR="00EE4FC3">
        <w:t xml:space="preserve"> </w:t>
      </w:r>
      <w:r w:rsidRPr="00382917">
        <w:t>raise</w:t>
      </w:r>
      <w:r w:rsidR="00EE4FC3">
        <w:t xml:space="preserve"> </w:t>
      </w:r>
      <w:r w:rsidRPr="00382917">
        <w:t>his</w:t>
      </w:r>
      <w:r w:rsidR="00EE4FC3">
        <w:t xml:space="preserve"> </w:t>
      </w:r>
      <w:r w:rsidRPr="00382917">
        <w:t>face</w:t>
      </w:r>
      <w:r w:rsidR="00EE4FC3">
        <w:t xml:space="preserve"> </w:t>
      </w:r>
      <w:r w:rsidRPr="00382917">
        <w:t>toward</w:t>
      </w:r>
      <w:r w:rsidR="00EE4FC3">
        <w:t xml:space="preserve"> </w:t>
      </w:r>
      <w:r w:rsidRPr="00382917">
        <w:t>heaven</w:t>
      </w:r>
      <w:r w:rsidR="00EE4FC3">
        <w:t xml:space="preserve"> </w:t>
      </w:r>
      <w:r w:rsidR="00F04416" w:rsidRPr="00382917">
        <w:t>…</w:t>
      </w:r>
      <w:r w:rsidR="00EE4FC3">
        <w:t xml:space="preserve"> </w:t>
      </w:r>
      <w:r w:rsidR="009C713D" w:rsidRPr="00382917">
        <w:t>‘</w:t>
      </w:r>
      <w:r w:rsidRPr="00382917">
        <w:t>Now</w:t>
      </w:r>
      <w:r w:rsidR="00EE4FC3">
        <w:t xml:space="preserve"> </w:t>
      </w:r>
      <w:r w:rsidRPr="00382917">
        <w:t>have</w:t>
      </w:r>
      <w:r w:rsidR="00EE4FC3">
        <w:t xml:space="preserve"> </w:t>
      </w:r>
      <w:r w:rsidRPr="00382917">
        <w:t>they</w:t>
      </w:r>
      <w:r w:rsidR="00EE4FC3">
        <w:t xml:space="preserve"> </w:t>
      </w:r>
      <w:r w:rsidRPr="00382917">
        <w:t>made</w:t>
      </w:r>
      <w:r w:rsidR="00EE4FC3">
        <w:t xml:space="preserve"> </w:t>
      </w:r>
      <w:r w:rsidRPr="00382917">
        <w:t>it</w:t>
      </w:r>
      <w:r w:rsidR="00EE4FC3">
        <w:t xml:space="preserve"> </w:t>
      </w:r>
      <w:r w:rsidRPr="00382917">
        <w:t>our</w:t>
      </w:r>
      <w:r w:rsidR="00EE4FC3">
        <w:t xml:space="preserve"> </w:t>
      </w:r>
      <w:r w:rsidRPr="00382917">
        <w:t>duty</w:t>
      </w:r>
      <w:r w:rsidR="00EE4FC3">
        <w:t xml:space="preserve"> </w:t>
      </w:r>
      <w:r w:rsidRPr="00382917">
        <w:t>to</w:t>
      </w:r>
      <w:r w:rsidR="00EE4FC3">
        <w:t xml:space="preserve"> </w:t>
      </w:r>
      <w:r w:rsidRPr="00382917">
        <w:t>protect</w:t>
      </w:r>
      <w:r w:rsidR="00EE4FC3">
        <w:t xml:space="preserve"> </w:t>
      </w:r>
      <w:r w:rsidRPr="00382917">
        <w:t>ourselves,</w:t>
      </w:r>
      <w:r w:rsidR="009C713D" w:rsidRPr="00382917">
        <w:t>’</w:t>
      </w:r>
      <w:r w:rsidR="00EE4FC3">
        <w:t xml:space="preserve"> </w:t>
      </w:r>
      <w:r w:rsidRPr="00382917">
        <w:t>he</w:t>
      </w:r>
      <w:r w:rsidR="00EE4FC3">
        <w:t xml:space="preserve"> </w:t>
      </w:r>
      <w:r w:rsidRPr="00382917">
        <w:t>said</w:t>
      </w:r>
      <w:r w:rsidR="00A93643">
        <w:t>.</w:t>
      </w:r>
      <w:r w:rsidR="00EE4FC3">
        <w:t xml:space="preserve">  </w:t>
      </w:r>
      <w:r w:rsidRPr="00382917">
        <w:t>Then</w:t>
      </w:r>
      <w:r w:rsidR="00EE4FC3">
        <w:t xml:space="preserve"> </w:t>
      </w:r>
      <w:r w:rsidRPr="00382917">
        <w:t>he</w:t>
      </w:r>
      <w:r w:rsidR="00EE4FC3">
        <w:t xml:space="preserve"> </w:t>
      </w:r>
      <w:r w:rsidRPr="00382917">
        <w:t>began</w:t>
      </w:r>
      <w:r w:rsidR="00EE4FC3">
        <w:t xml:space="preserve"> </w:t>
      </w:r>
      <w:r w:rsidRPr="00382917">
        <w:t>to</w:t>
      </w:r>
      <w:r w:rsidR="00EE4FC3">
        <w:t xml:space="preserve"> </w:t>
      </w:r>
      <w:r w:rsidRPr="00382917">
        <w:t>attack</w:t>
      </w:r>
      <w:r w:rsidR="00EE4FC3">
        <w:t xml:space="preserve"> </w:t>
      </w:r>
      <w:r w:rsidRPr="00382917">
        <w:t>us</w:t>
      </w:r>
      <w:r w:rsidR="00EE4FC3">
        <w:t xml:space="preserve"> </w:t>
      </w:r>
      <w:r w:rsidRPr="00382917">
        <w:t>on</w:t>
      </w:r>
      <w:r w:rsidR="00EE4FC3">
        <w:t xml:space="preserve"> </w:t>
      </w:r>
      <w:r w:rsidRPr="00382917">
        <w:t>the</w:t>
      </w:r>
      <w:r w:rsidR="00EE4FC3">
        <w:t xml:space="preserve"> </w:t>
      </w:r>
      <w:r w:rsidRPr="00382917">
        <w:t>right</w:t>
      </w:r>
      <w:r w:rsidR="00EE4FC3">
        <w:t xml:space="preserve"> </w:t>
      </w:r>
      <w:r w:rsidRPr="00382917">
        <w:t>and</w:t>
      </w:r>
      <w:r w:rsidR="00EE4FC3">
        <w:t xml:space="preserve"> </w:t>
      </w:r>
      <w:r w:rsidRPr="00382917">
        <w:t>on</w:t>
      </w:r>
      <w:r w:rsidR="00EE4FC3">
        <w:t xml:space="preserve"> </w:t>
      </w:r>
      <w:r w:rsidRPr="00382917">
        <w:t>the</w:t>
      </w:r>
      <w:r w:rsidR="00EE4FC3">
        <w:t xml:space="preserve"> </w:t>
      </w:r>
      <w:r w:rsidRPr="00382917">
        <w:t>left</w:t>
      </w:r>
      <w:r w:rsidR="00A93643">
        <w:t>.</w:t>
      </w:r>
      <w:r w:rsidR="00EE4FC3">
        <w:t xml:space="preserve">  </w:t>
      </w:r>
      <w:r w:rsidRPr="00382917">
        <w:t>I</w:t>
      </w:r>
      <w:r w:rsidR="00EE4FC3">
        <w:t xml:space="preserve"> </w:t>
      </w:r>
      <w:r w:rsidRPr="00382917">
        <w:t>swear</w:t>
      </w:r>
      <w:r w:rsidR="00EE4FC3">
        <w:t xml:space="preserve"> </w:t>
      </w:r>
      <w:r w:rsidRPr="00382917">
        <w:t>by</w:t>
      </w:r>
      <w:r w:rsidR="00EE4FC3">
        <w:t xml:space="preserve"> </w:t>
      </w:r>
      <w:r w:rsidRPr="00382917">
        <w:t>God</w:t>
      </w:r>
      <w:r w:rsidR="00EE4FC3">
        <w:t xml:space="preserve"> </w:t>
      </w:r>
      <w:r w:rsidRPr="00382917">
        <w:t>that</w:t>
      </w:r>
      <w:r w:rsidR="00EE4FC3">
        <w:t xml:space="preserve"> </w:t>
      </w:r>
      <w:r w:rsidRPr="00382917">
        <w:t>on</w:t>
      </w:r>
      <w:r w:rsidR="00EE4FC3">
        <w:t xml:space="preserve"> </w:t>
      </w:r>
      <w:r w:rsidRPr="00382917">
        <w:t>that</w:t>
      </w:r>
      <w:r w:rsidR="00EE4FC3">
        <w:t xml:space="preserve"> </w:t>
      </w:r>
      <w:r w:rsidRPr="00382917">
        <w:t>day</w:t>
      </w:r>
      <w:r w:rsidR="00EE4FC3">
        <w:t xml:space="preserve"> </w:t>
      </w:r>
      <w:r w:rsidRPr="00382917">
        <w:t>he</w:t>
      </w:r>
      <w:r w:rsidR="00EE4FC3">
        <w:t xml:space="preserve"> </w:t>
      </w:r>
      <w:r w:rsidRPr="00382917">
        <w:t>wielded</w:t>
      </w:r>
      <w:r w:rsidR="00EE4FC3">
        <w:t xml:space="preserve"> </w:t>
      </w:r>
      <w:r w:rsidRPr="00382917">
        <w:t>the</w:t>
      </w:r>
      <w:r w:rsidR="00EE4FC3">
        <w:t xml:space="preserve"> </w:t>
      </w:r>
      <w:r w:rsidRPr="00382917">
        <w:t>sword</w:t>
      </w:r>
      <w:r w:rsidR="00EE4FC3">
        <w:t xml:space="preserve"> </w:t>
      </w:r>
      <w:r w:rsidRPr="00382917">
        <w:t>in</w:t>
      </w:r>
      <w:r w:rsidR="00EE4FC3">
        <w:t xml:space="preserve"> </w:t>
      </w:r>
      <w:r w:rsidRPr="00382917">
        <w:t>such</w:t>
      </w:r>
      <w:r w:rsidR="00EE4FC3">
        <w:t xml:space="preserve"> </w:t>
      </w:r>
      <w:r w:rsidRPr="00382917">
        <w:t>wise</w:t>
      </w:r>
      <w:r w:rsidR="00EE4FC3">
        <w:t xml:space="preserve"> </w:t>
      </w:r>
      <w:r w:rsidRPr="00382917">
        <w:t>as</w:t>
      </w:r>
      <w:r w:rsidR="00EE4FC3">
        <w:t xml:space="preserve"> </w:t>
      </w:r>
      <w:r w:rsidRPr="00382917">
        <w:t>transcends</w:t>
      </w:r>
      <w:r w:rsidR="00EE4FC3">
        <w:t xml:space="preserve"> </w:t>
      </w:r>
      <w:r w:rsidRPr="00382917">
        <w:t>the</w:t>
      </w:r>
      <w:r w:rsidR="00EE4FC3">
        <w:t xml:space="preserve"> </w:t>
      </w:r>
      <w:r w:rsidRPr="00382917">
        <w:t>power</w:t>
      </w:r>
      <w:r w:rsidR="00EE4FC3">
        <w:t xml:space="preserve"> </w:t>
      </w:r>
      <w:r w:rsidRPr="00382917">
        <w:t>of</w:t>
      </w:r>
      <w:r w:rsidR="00EE4FC3">
        <w:t xml:space="preserve"> </w:t>
      </w:r>
      <w:r w:rsidRPr="00382917">
        <w:t>man</w:t>
      </w:r>
      <w:r w:rsidR="00A93643">
        <w:t>.</w:t>
      </w:r>
      <w:r w:rsidR="00EE4FC3">
        <w:t xml:space="preserve">  </w:t>
      </w:r>
      <w:r w:rsidRPr="00382917">
        <w:t>Only</w:t>
      </w:r>
      <w:r w:rsidR="00EE4FC3">
        <w:t xml:space="preserve"> </w:t>
      </w:r>
      <w:r w:rsidRPr="00382917">
        <w:t>the</w:t>
      </w:r>
      <w:r w:rsidR="00EE4FC3">
        <w:t xml:space="preserve"> </w:t>
      </w:r>
      <w:r w:rsidRPr="00382917">
        <w:t>horsemen</w:t>
      </w:r>
      <w:r w:rsidR="00EE4FC3">
        <w:t xml:space="preserve"> </w:t>
      </w:r>
      <w:r w:rsidRPr="00382917">
        <w:t>of</w:t>
      </w:r>
      <w:r w:rsidR="00EE4FC3">
        <w:t xml:space="preserve"> </w:t>
      </w:r>
      <w:r w:rsidRPr="00382917">
        <w:t>Mázindarán</w:t>
      </w:r>
      <w:r w:rsidR="00EE4FC3">
        <w:t xml:space="preserve"> </w:t>
      </w:r>
      <w:r w:rsidRPr="00382917">
        <w:t>held</w:t>
      </w:r>
      <w:r w:rsidR="00EE4FC3">
        <w:t xml:space="preserve"> </w:t>
      </w:r>
      <w:r w:rsidRPr="00382917">
        <w:t>their</w:t>
      </w:r>
      <w:r w:rsidR="00EE4FC3">
        <w:t xml:space="preserve"> </w:t>
      </w:r>
      <w:r w:rsidRPr="00382917">
        <w:t>ground</w:t>
      </w:r>
      <w:r w:rsidR="00EE4FC3">
        <w:t xml:space="preserve"> </w:t>
      </w:r>
      <w:r w:rsidRPr="00382917">
        <w:t>and</w:t>
      </w:r>
      <w:r w:rsidR="00EE4FC3">
        <w:t xml:space="preserve"> </w:t>
      </w:r>
      <w:r w:rsidRPr="00382917">
        <w:t>refused</w:t>
      </w:r>
      <w:r w:rsidR="00EE4FC3">
        <w:t xml:space="preserve"> </w:t>
      </w:r>
      <w:r w:rsidRPr="00382917">
        <w:t>to</w:t>
      </w:r>
      <w:r w:rsidR="00EE4FC3">
        <w:t xml:space="preserve"> </w:t>
      </w:r>
      <w:r w:rsidRPr="00382917">
        <w:t>flee</w:t>
      </w:r>
      <w:r w:rsidR="00A93643">
        <w:t>.</w:t>
      </w:r>
      <w:r w:rsidR="00EE4FC3">
        <w:t xml:space="preserve">  </w:t>
      </w:r>
      <w:r w:rsidRPr="00382917">
        <w:t>And</w:t>
      </w:r>
      <w:r w:rsidR="00EE4FC3">
        <w:t xml:space="preserve"> </w:t>
      </w:r>
      <w:r w:rsidRPr="00382917">
        <w:t>when</w:t>
      </w:r>
      <w:r w:rsidR="00EE4FC3">
        <w:t xml:space="preserve"> </w:t>
      </w:r>
      <w:r w:rsidRPr="00382917">
        <w:t>Mullá</w:t>
      </w:r>
      <w:r w:rsidR="00EE4FC3">
        <w:t xml:space="preserve"> </w:t>
      </w:r>
      <w:r w:rsidR="00964C11" w:rsidRPr="00382917">
        <w:t>Ḥusayn</w:t>
      </w:r>
      <w:r w:rsidR="00EE4FC3">
        <w:t xml:space="preserve"> </w:t>
      </w:r>
      <w:r w:rsidRPr="00382917">
        <w:t>was</w:t>
      </w:r>
      <w:r w:rsidR="00EE4FC3">
        <w:t xml:space="preserve"> </w:t>
      </w:r>
      <w:r w:rsidRPr="00382917">
        <w:t>well</w:t>
      </w:r>
      <w:r w:rsidR="00EE4FC3">
        <w:t xml:space="preserve"> </w:t>
      </w:r>
      <w:r w:rsidRPr="00382917">
        <w:t>warmed</w:t>
      </w:r>
      <w:r w:rsidR="00EE4FC3">
        <w:t xml:space="preserve"> </w:t>
      </w:r>
      <w:r w:rsidRPr="00382917">
        <w:t>to</w:t>
      </w:r>
      <w:r w:rsidR="00EE4FC3">
        <w:t xml:space="preserve"> </w:t>
      </w:r>
      <w:r w:rsidRPr="00382917">
        <w:t>the</w:t>
      </w:r>
      <w:r w:rsidR="00EE4FC3">
        <w:t xml:space="preserve"> </w:t>
      </w:r>
      <w:r w:rsidRPr="00382917">
        <w:t>fray,</w:t>
      </w:r>
      <w:r w:rsidR="00EE4FC3">
        <w:t xml:space="preserve"> </w:t>
      </w:r>
      <w:r w:rsidRPr="00382917">
        <w:t>he</w:t>
      </w:r>
      <w:r w:rsidR="00EE4FC3">
        <w:t xml:space="preserve"> </w:t>
      </w:r>
      <w:r w:rsidRPr="00382917">
        <w:t>overtook</w:t>
      </w:r>
      <w:r w:rsidR="00EE4FC3">
        <w:t xml:space="preserve"> </w:t>
      </w:r>
      <w:r w:rsidRPr="00382917">
        <w:t>a</w:t>
      </w:r>
      <w:r w:rsidR="00EE4FC3">
        <w:t xml:space="preserve"> </w:t>
      </w:r>
      <w:r w:rsidRPr="00382917">
        <w:t>fugitive</w:t>
      </w:r>
      <w:r w:rsidR="00EE4FC3">
        <w:t xml:space="preserve"> </w:t>
      </w:r>
      <w:r w:rsidRPr="00382917">
        <w:t>soldier</w:t>
      </w:r>
      <w:r w:rsidR="00A93643">
        <w:t>.</w:t>
      </w:r>
      <w:r w:rsidR="00EE4FC3">
        <w:t xml:space="preserve">  </w:t>
      </w:r>
      <w:r w:rsidRPr="00382917">
        <w:t>The</w:t>
      </w:r>
      <w:r w:rsidR="00EE4FC3">
        <w:t xml:space="preserve"> </w:t>
      </w:r>
      <w:r w:rsidRPr="00382917">
        <w:t>soldier</w:t>
      </w:r>
      <w:r w:rsidR="00EE4FC3">
        <w:t xml:space="preserve"> </w:t>
      </w:r>
      <w:r w:rsidRPr="00382917">
        <w:t>sheltered</w:t>
      </w:r>
      <w:r w:rsidR="00EE4FC3">
        <w:t xml:space="preserve"> </w:t>
      </w:r>
      <w:r w:rsidRPr="00382917">
        <w:t>himself</w:t>
      </w:r>
      <w:r w:rsidR="00EE4FC3">
        <w:t xml:space="preserve"> </w:t>
      </w:r>
      <w:r w:rsidRPr="00382917">
        <w:t>behind</w:t>
      </w:r>
      <w:r w:rsidR="00EE4FC3">
        <w:t xml:space="preserve"> </w:t>
      </w:r>
      <w:r w:rsidRPr="00382917">
        <w:t>a</w:t>
      </w:r>
      <w:r w:rsidR="00EE4FC3">
        <w:t xml:space="preserve"> </w:t>
      </w:r>
      <w:r w:rsidRPr="00382917">
        <w:t>tree,</w:t>
      </w:r>
      <w:r w:rsidR="00EE4FC3">
        <w:t xml:space="preserve"> </w:t>
      </w:r>
      <w:r w:rsidRPr="00382917">
        <w:t>and</w:t>
      </w:r>
      <w:r w:rsidR="00EE4FC3">
        <w:t xml:space="preserve"> </w:t>
      </w:r>
      <w:r w:rsidRPr="00382917">
        <w:t>further</w:t>
      </w:r>
      <w:r w:rsidR="00EE4FC3">
        <w:t xml:space="preserve"> </w:t>
      </w:r>
      <w:r w:rsidRPr="00382917">
        <w:t>strove</w:t>
      </w:r>
      <w:r w:rsidR="00EE4FC3">
        <w:t xml:space="preserve"> </w:t>
      </w:r>
      <w:r w:rsidRPr="00382917">
        <w:t>to</w:t>
      </w:r>
      <w:r w:rsidR="00EE4FC3">
        <w:t xml:space="preserve"> </w:t>
      </w:r>
      <w:r w:rsidRPr="00382917">
        <w:t>shield</w:t>
      </w:r>
      <w:r w:rsidR="00EE4FC3">
        <w:t xml:space="preserve"> </w:t>
      </w:r>
      <w:r w:rsidRPr="00382917">
        <w:t>himself</w:t>
      </w:r>
      <w:r w:rsidR="00EE4FC3">
        <w:t xml:space="preserve"> </w:t>
      </w:r>
      <w:r w:rsidRPr="00382917">
        <w:t>with</w:t>
      </w:r>
      <w:r w:rsidR="00EE4FC3">
        <w:t xml:space="preserve"> </w:t>
      </w:r>
      <w:r w:rsidRPr="00382917">
        <w:t>his</w:t>
      </w:r>
      <w:r w:rsidR="00EE4FC3">
        <w:t xml:space="preserve"> </w:t>
      </w:r>
      <w:r w:rsidRPr="00382917">
        <w:t>musket</w:t>
      </w:r>
      <w:r w:rsidR="00A93643">
        <w:t>.</w:t>
      </w:r>
      <w:r w:rsidR="00EE4FC3">
        <w:t xml:space="preserve">  </w:t>
      </w:r>
      <w:r w:rsidRPr="00382917">
        <w:t>Mullá</w:t>
      </w:r>
      <w:r w:rsidR="00EE4FC3">
        <w:t xml:space="preserve"> </w:t>
      </w:r>
      <w:r w:rsidR="00964C11" w:rsidRPr="00382917">
        <w:t>Ḥusayn</w:t>
      </w:r>
      <w:r w:rsidR="00EE4FC3">
        <w:t xml:space="preserve"> </w:t>
      </w:r>
      <w:r w:rsidRPr="00382917">
        <w:t>dealt</w:t>
      </w:r>
      <w:r w:rsidR="00EE4FC3">
        <w:t xml:space="preserve"> </w:t>
      </w:r>
      <w:r w:rsidRPr="00382917">
        <w:t>him</w:t>
      </w:r>
      <w:r w:rsidR="00EE4FC3">
        <w:t xml:space="preserve"> </w:t>
      </w:r>
      <w:r w:rsidRPr="00382917">
        <w:t>such</w:t>
      </w:r>
      <w:r w:rsidR="00EE4FC3">
        <w:t xml:space="preserve"> </w:t>
      </w:r>
      <w:r w:rsidRPr="00382917">
        <w:t>a</w:t>
      </w:r>
      <w:r w:rsidR="00EE4FC3">
        <w:t xml:space="preserve"> </w:t>
      </w:r>
      <w:r w:rsidRPr="00382917">
        <w:t>blow</w:t>
      </w:r>
      <w:r w:rsidR="00EE4FC3">
        <w:t xml:space="preserve"> </w:t>
      </w:r>
      <w:r w:rsidRPr="00382917">
        <w:t>with</w:t>
      </w:r>
      <w:r w:rsidR="00EE4FC3">
        <w:t xml:space="preserve"> </w:t>
      </w:r>
      <w:r w:rsidRPr="00382917">
        <w:t>his</w:t>
      </w:r>
      <w:r w:rsidR="00EE4FC3">
        <w:t xml:space="preserve"> </w:t>
      </w:r>
      <w:r w:rsidRPr="00382917">
        <w:t>sword</w:t>
      </w:r>
      <w:r w:rsidR="00EE4FC3">
        <w:t xml:space="preserve"> </w:t>
      </w:r>
      <w:r w:rsidRPr="00382917">
        <w:t>that</w:t>
      </w:r>
      <w:r w:rsidR="00EE4FC3">
        <w:t xml:space="preserve"> </w:t>
      </w:r>
      <w:r w:rsidRPr="00382917">
        <w:t>he</w:t>
      </w:r>
      <w:r w:rsidR="00EE4FC3">
        <w:t xml:space="preserve"> </w:t>
      </w:r>
      <w:r w:rsidRPr="00382917">
        <w:t>slave</w:t>
      </w:r>
      <w:r w:rsidR="00EE4FC3">
        <w:t xml:space="preserve"> </w:t>
      </w:r>
      <w:r w:rsidRPr="00382917">
        <w:t>him</w:t>
      </w:r>
      <w:r w:rsidR="00EE4FC3">
        <w:t xml:space="preserve"> </w:t>
      </w:r>
      <w:r w:rsidRPr="00382917">
        <w:t>and</w:t>
      </w:r>
      <w:r w:rsidR="00EE4FC3">
        <w:t xml:space="preserve"> </w:t>
      </w:r>
      <w:r w:rsidRPr="00382917">
        <w:t>the</w:t>
      </w:r>
      <w:r w:rsidR="00EE4FC3">
        <w:t xml:space="preserve"> </w:t>
      </w:r>
      <w:r w:rsidRPr="00382917">
        <w:t>tree</w:t>
      </w:r>
      <w:r w:rsidR="00EE4FC3">
        <w:t xml:space="preserve"> </w:t>
      </w:r>
      <w:r w:rsidRPr="00382917">
        <w:t>and</w:t>
      </w:r>
      <w:r w:rsidR="00EE4FC3">
        <w:t xml:space="preserve"> </w:t>
      </w:r>
      <w:r w:rsidRPr="00382917">
        <w:t>the</w:t>
      </w:r>
      <w:r w:rsidR="00EE4FC3">
        <w:t xml:space="preserve"> </w:t>
      </w:r>
      <w:r w:rsidRPr="00382917">
        <w:t>musket</w:t>
      </w:r>
      <w:r w:rsidR="00EE4FC3">
        <w:t xml:space="preserve"> </w:t>
      </w:r>
      <w:r w:rsidRPr="00382917">
        <w:t>into</w:t>
      </w:r>
      <w:r w:rsidR="00EE4FC3">
        <w:t xml:space="preserve"> </w:t>
      </w:r>
      <w:r w:rsidRPr="00382917">
        <w:t>six</w:t>
      </w:r>
      <w:r w:rsidR="00EE4FC3">
        <w:t xml:space="preserve"> </w:t>
      </w:r>
      <w:r w:rsidRPr="00382917">
        <w:t>pieces.</w:t>
      </w:r>
      <w:r w:rsidR="009C713D" w:rsidRPr="00382917">
        <w:t>”</w:t>
      </w:r>
      <w:r w:rsidR="00967B78">
        <w:rPr>
          <w:rStyle w:val="FootnoteReference"/>
        </w:rPr>
        <w:footnoteReference w:id="112"/>
      </w:r>
    </w:p>
    <w:p w:rsidR="00B2576B" w:rsidRPr="00382917" w:rsidRDefault="00B2576B" w:rsidP="00B2576B">
      <w:pPr>
        <w:pStyle w:val="Text"/>
      </w:pPr>
      <w:r w:rsidRPr="00382917">
        <w:t>The</w:t>
      </w:r>
      <w:r w:rsidR="00EE4FC3">
        <w:t xml:space="preserve"> </w:t>
      </w:r>
      <w:r w:rsidRPr="00382917">
        <w:t>astounding</w:t>
      </w:r>
      <w:r w:rsidR="00EE4FC3">
        <w:t xml:space="preserve"> </w:t>
      </w:r>
      <w:r w:rsidRPr="00382917">
        <w:t>force</w:t>
      </w:r>
      <w:r w:rsidR="00EE4FC3">
        <w:t xml:space="preserve"> </w:t>
      </w:r>
      <w:r w:rsidRPr="00382917">
        <w:t>of</w:t>
      </w:r>
      <w:r w:rsidR="00EE4FC3">
        <w:t xml:space="preserve"> </w:t>
      </w:r>
      <w:r w:rsidRPr="00382917">
        <w:t>that</w:t>
      </w:r>
      <w:r w:rsidR="00EE4FC3">
        <w:t xml:space="preserve"> </w:t>
      </w:r>
      <w:r w:rsidRPr="00382917">
        <w:t>blow</w:t>
      </w:r>
      <w:r w:rsidR="00EE4FC3">
        <w:t xml:space="preserve"> </w:t>
      </w:r>
      <w:r w:rsidRPr="00382917">
        <w:t>ended</w:t>
      </w:r>
      <w:r w:rsidR="00EE4FC3">
        <w:t xml:space="preserve"> </w:t>
      </w:r>
      <w:r w:rsidRPr="00382917">
        <w:t>the</w:t>
      </w:r>
      <w:r w:rsidR="00EE4FC3">
        <w:t xml:space="preserve"> </w:t>
      </w:r>
      <w:r w:rsidRPr="00382917">
        <w:t>opposition</w:t>
      </w:r>
      <w:r w:rsidR="00A93643">
        <w:t>.</w:t>
      </w:r>
      <w:r w:rsidR="00EE4FC3">
        <w:t xml:space="preserve">  </w:t>
      </w:r>
      <w:r w:rsidRPr="00382917">
        <w:t>The</w:t>
      </w:r>
      <w:r w:rsidR="00EE4FC3">
        <w:t xml:space="preserve"> </w:t>
      </w:r>
      <w:r w:rsidRPr="00382917">
        <w:t>mob</w:t>
      </w:r>
      <w:r w:rsidR="00EE4FC3">
        <w:t xml:space="preserve"> </w:t>
      </w:r>
      <w:r w:rsidRPr="00382917">
        <w:t>fled</w:t>
      </w:r>
      <w:r w:rsidR="00EE4FC3">
        <w:t xml:space="preserve"> </w:t>
      </w:r>
      <w:r w:rsidRPr="00382917">
        <w:t>in</w:t>
      </w:r>
      <w:r w:rsidR="00EE4FC3">
        <w:t xml:space="preserve"> </w:t>
      </w:r>
      <w:r w:rsidRPr="00382917">
        <w:t>panic,</w:t>
      </w:r>
      <w:r w:rsidR="00EE4FC3">
        <w:t xml:space="preserve"> </w:t>
      </w:r>
      <w:r w:rsidRPr="00382917">
        <w:t>crying</w:t>
      </w:r>
      <w:r w:rsidR="00EE4FC3">
        <w:t xml:space="preserve"> </w:t>
      </w:r>
      <w:r w:rsidR="009C713D" w:rsidRPr="00382917">
        <w:t>“</w:t>
      </w:r>
      <w:r w:rsidRPr="00382917">
        <w:t>Peace!</w:t>
      </w:r>
      <w:r w:rsidR="00EE4FC3">
        <w:t xml:space="preserve">  </w:t>
      </w:r>
      <w:r w:rsidRPr="00382917">
        <w:t>Peace!</w:t>
      </w:r>
      <w:r w:rsidR="009C713D" w:rsidRPr="00382917">
        <w:t>”</w:t>
      </w:r>
    </w:p>
    <w:p w:rsidR="00B2576B" w:rsidRPr="00382917" w:rsidRDefault="00B2576B" w:rsidP="009C713D">
      <w:pPr>
        <w:pStyle w:val="Text"/>
      </w:pPr>
      <w:r w:rsidRPr="00382917">
        <w:t>Mullá</w:t>
      </w:r>
      <w:r w:rsidR="00EE4FC3">
        <w:t xml:space="preserve"> </w:t>
      </w:r>
      <w:r w:rsidR="00964C11" w:rsidRPr="00382917">
        <w:t>Ḥusayn</w:t>
      </w:r>
      <w:r w:rsidR="00EE4FC3">
        <w:t xml:space="preserve"> </w:t>
      </w:r>
      <w:r w:rsidRPr="00382917">
        <w:t>forced</w:t>
      </w:r>
      <w:r w:rsidR="00EE4FC3">
        <w:t xml:space="preserve"> </w:t>
      </w:r>
      <w:r w:rsidRPr="00382917">
        <w:t>his</w:t>
      </w:r>
      <w:r w:rsidR="00EE4FC3">
        <w:t xml:space="preserve"> </w:t>
      </w:r>
      <w:r w:rsidRPr="00382917">
        <w:t>way</w:t>
      </w:r>
      <w:r w:rsidR="00EE4FC3">
        <w:t xml:space="preserve"> </w:t>
      </w:r>
      <w:r w:rsidRPr="00382917">
        <w:t>through</w:t>
      </w:r>
      <w:r w:rsidR="00EE4FC3">
        <w:t xml:space="preserve"> </w:t>
      </w:r>
      <w:r w:rsidRPr="00382917">
        <w:t>the</w:t>
      </w:r>
      <w:r w:rsidR="00EE4FC3">
        <w:t xml:space="preserve"> </w:t>
      </w:r>
      <w:r w:rsidRPr="00382917">
        <w:t>ranks</w:t>
      </w:r>
      <w:r w:rsidR="00EE4FC3">
        <w:t xml:space="preserve"> </w:t>
      </w:r>
      <w:r w:rsidRPr="00382917">
        <w:t>of</w:t>
      </w:r>
      <w:r w:rsidR="00EE4FC3">
        <w:t xml:space="preserve"> </w:t>
      </w:r>
      <w:r w:rsidRPr="00382917">
        <w:t>that</w:t>
      </w:r>
      <w:r w:rsidR="00EE4FC3">
        <w:t xml:space="preserve"> </w:t>
      </w:r>
      <w:r w:rsidRPr="00382917">
        <w:t>retreating</w:t>
      </w:r>
      <w:r w:rsidR="00EE4FC3">
        <w:t xml:space="preserve"> </w:t>
      </w:r>
      <w:r w:rsidRPr="00382917">
        <w:t>mob,</w:t>
      </w:r>
      <w:r w:rsidR="00EE4FC3">
        <w:t xml:space="preserve"> </w:t>
      </w:r>
      <w:r w:rsidRPr="00382917">
        <w:t>unmindful</w:t>
      </w:r>
      <w:r w:rsidR="00EE4FC3">
        <w:t xml:space="preserve"> </w:t>
      </w:r>
      <w:r w:rsidRPr="00382917">
        <w:t>of</w:t>
      </w:r>
      <w:r w:rsidR="00EE4FC3">
        <w:t xml:space="preserve"> </w:t>
      </w:r>
      <w:r w:rsidRPr="00382917">
        <w:t>the</w:t>
      </w:r>
      <w:r w:rsidR="00EE4FC3">
        <w:t xml:space="preserve"> </w:t>
      </w:r>
      <w:r w:rsidRPr="00382917">
        <w:t>bullets</w:t>
      </w:r>
      <w:r w:rsidR="00EE4FC3">
        <w:t xml:space="preserve"> </w:t>
      </w:r>
      <w:r w:rsidRPr="00382917">
        <w:t>that</w:t>
      </w:r>
      <w:r w:rsidR="00EE4FC3">
        <w:t xml:space="preserve"> </w:t>
      </w:r>
      <w:r w:rsidRPr="00382917">
        <w:t>rained</w:t>
      </w:r>
      <w:r w:rsidR="00EE4FC3">
        <w:t xml:space="preserve"> </w:t>
      </w:r>
      <w:r w:rsidRPr="00382917">
        <w:t>about</w:t>
      </w:r>
      <w:r w:rsidR="00EE4FC3">
        <w:t xml:space="preserve"> </w:t>
      </w:r>
      <w:r w:rsidRPr="00382917">
        <w:t>him</w:t>
      </w:r>
      <w:r w:rsidR="00EE4FC3">
        <w:t xml:space="preserve"> </w:t>
      </w:r>
      <w:r w:rsidRPr="00382917">
        <w:t>as</w:t>
      </w:r>
      <w:r w:rsidR="00EE4FC3">
        <w:t xml:space="preserve"> </w:t>
      </w:r>
      <w:r w:rsidRPr="00382917">
        <w:t>he</w:t>
      </w:r>
      <w:r w:rsidR="00EE4FC3">
        <w:t xml:space="preserve"> </w:t>
      </w:r>
      <w:r w:rsidRPr="00382917">
        <w:t>passed</w:t>
      </w:r>
      <w:r w:rsidR="00A93643">
        <w:t>.</w:t>
      </w:r>
      <w:r w:rsidR="00EE4FC3">
        <w:t xml:space="preserve">  </w:t>
      </w:r>
      <w:r w:rsidRPr="00382917">
        <w:t>He</w:t>
      </w:r>
      <w:r w:rsidR="00EE4FC3">
        <w:t xml:space="preserve"> </w:t>
      </w:r>
      <w:r w:rsidRPr="00382917">
        <w:t>galloped</w:t>
      </w:r>
      <w:r w:rsidR="00EE4FC3">
        <w:t xml:space="preserve"> </w:t>
      </w:r>
      <w:r w:rsidRPr="00382917">
        <w:t>his</w:t>
      </w:r>
      <w:r w:rsidR="00EE4FC3">
        <w:t xml:space="preserve"> </w:t>
      </w:r>
      <w:r w:rsidRPr="00382917">
        <w:t>horse</w:t>
      </w:r>
      <w:r w:rsidR="00EE4FC3">
        <w:t xml:space="preserve"> </w:t>
      </w:r>
      <w:r w:rsidRPr="00382917">
        <w:t>toward</w:t>
      </w:r>
      <w:r w:rsidR="00EE4FC3">
        <w:t xml:space="preserve"> </w:t>
      </w:r>
      <w:r w:rsidR="00814CFC" w:rsidRPr="00382917">
        <w:t>Bárfurú</w:t>
      </w:r>
      <w:r w:rsidR="00814CFC" w:rsidRPr="00814CFC">
        <w:rPr>
          <w:u w:val="single"/>
        </w:rPr>
        <w:t>sh</w:t>
      </w:r>
      <w:r w:rsidR="00A93643">
        <w:t>.</w:t>
      </w:r>
      <w:r w:rsidR="00EE4FC3">
        <w:t xml:space="preserve">  </w:t>
      </w:r>
      <w:r w:rsidRPr="00382917">
        <w:t>He</w:t>
      </w:r>
      <w:r w:rsidR="00EE4FC3">
        <w:t xml:space="preserve"> </w:t>
      </w:r>
      <w:r w:rsidRPr="00382917">
        <w:t>rode</w:t>
      </w:r>
      <w:r w:rsidR="00EE4FC3">
        <w:t xml:space="preserve"> </w:t>
      </w:r>
      <w:r w:rsidRPr="00382917">
        <w:t>straight</w:t>
      </w:r>
      <w:r w:rsidR="00EE4FC3">
        <w:t xml:space="preserve"> </w:t>
      </w:r>
      <w:r w:rsidRPr="00382917">
        <w:t>to</w:t>
      </w:r>
      <w:r w:rsidR="00EE4FC3">
        <w:t xml:space="preserve"> </w:t>
      </w:r>
      <w:r w:rsidRPr="00382917">
        <w:t>the</w:t>
      </w:r>
      <w:r w:rsidR="00EE4FC3">
        <w:t xml:space="preserve"> </w:t>
      </w:r>
      <w:r w:rsidRPr="00382917">
        <w:t>residence</w:t>
      </w:r>
      <w:r w:rsidR="00EE4FC3">
        <w:t xml:space="preserve"> </w:t>
      </w:r>
      <w:r w:rsidRPr="00382917">
        <w:t>of</w:t>
      </w:r>
      <w:r w:rsidR="00EE4FC3">
        <w:t xml:space="preserve"> </w:t>
      </w:r>
      <w:r w:rsidRPr="00382917">
        <w:t>the</w:t>
      </w:r>
      <w:r w:rsidR="00EE4FC3">
        <w:t xml:space="preserve"> </w:t>
      </w:r>
      <w:proofErr w:type="gramStart"/>
      <w:r w:rsidRPr="00382917">
        <w:t>Sa</w:t>
      </w:r>
      <w:r w:rsidR="009C713D" w:rsidRPr="00382917">
        <w:t>‘</w:t>
      </w:r>
      <w:r w:rsidRPr="00382917">
        <w:t>ídu</w:t>
      </w:r>
      <w:r w:rsidR="009C713D" w:rsidRPr="00382917">
        <w:t>’</w:t>
      </w:r>
      <w:r w:rsidRPr="00382917">
        <w:t>l</w:t>
      </w:r>
      <w:proofErr w:type="gramEnd"/>
      <w:r w:rsidR="009C713D" w:rsidRPr="00382917">
        <w:t>-‘</w:t>
      </w:r>
      <w:r w:rsidRPr="00382917">
        <w:t>Ulamá</w:t>
      </w:r>
      <w:r w:rsidR="009C713D" w:rsidRPr="00382917">
        <w:t>’</w:t>
      </w:r>
      <w:r w:rsidR="00A93643">
        <w:t>.</w:t>
      </w:r>
      <w:r w:rsidR="00EE4FC3">
        <w:t xml:space="preserve">  </w:t>
      </w:r>
      <w:r w:rsidRPr="00382917">
        <w:t>Three</w:t>
      </w:r>
      <w:r w:rsidR="00EE4FC3">
        <w:t xml:space="preserve"> </w:t>
      </w:r>
      <w:r w:rsidRPr="00382917">
        <w:t>times</w:t>
      </w:r>
      <w:r w:rsidR="00EE4FC3">
        <w:t xml:space="preserve"> </w:t>
      </w:r>
      <w:r w:rsidRPr="00382917">
        <w:t>Mullá</w:t>
      </w:r>
      <w:r w:rsidR="00EE4FC3">
        <w:t xml:space="preserve"> </w:t>
      </w:r>
      <w:r w:rsidR="00964C11" w:rsidRPr="00382917">
        <w:t>Ḥusayn</w:t>
      </w:r>
      <w:r w:rsidR="00EE4FC3">
        <w:t xml:space="preserve"> </w:t>
      </w:r>
      <w:r w:rsidRPr="00382917">
        <w:t>circled</w:t>
      </w:r>
      <w:r w:rsidR="00EE4FC3">
        <w:t xml:space="preserve"> </w:t>
      </w:r>
      <w:r w:rsidRPr="00382917">
        <w:t>the</w:t>
      </w:r>
      <w:r w:rsidR="00EE4FC3">
        <w:t xml:space="preserve"> </w:t>
      </w:r>
      <w:r w:rsidRPr="00382917">
        <w:t>house</w:t>
      </w:r>
      <w:r w:rsidR="00EE4FC3">
        <w:t xml:space="preserve"> </w:t>
      </w:r>
      <w:r w:rsidRPr="00382917">
        <w:t>calling</w:t>
      </w:r>
      <w:r w:rsidR="00EE4FC3">
        <w:t xml:space="preserve"> </w:t>
      </w:r>
      <w:r w:rsidRPr="00382917">
        <w:t>for</w:t>
      </w:r>
      <w:r w:rsidR="00EE4FC3">
        <w:t xml:space="preserve"> </w:t>
      </w:r>
      <w:r w:rsidRPr="00382917">
        <w:t>him</w:t>
      </w:r>
      <w:r w:rsidR="00EE4FC3">
        <w:t xml:space="preserve"> </w:t>
      </w:r>
      <w:r w:rsidRPr="00382917">
        <w:t>to</w:t>
      </w:r>
      <w:r w:rsidR="00EE4FC3">
        <w:t xml:space="preserve"> </w:t>
      </w:r>
      <w:r w:rsidRPr="00382917">
        <w:t>come</w:t>
      </w:r>
      <w:r w:rsidR="00EE4FC3">
        <w:t xml:space="preserve"> </w:t>
      </w:r>
      <w:r w:rsidRPr="00382917">
        <w:t>out.</w:t>
      </w:r>
    </w:p>
    <w:p w:rsidR="00B2576B" w:rsidRPr="00382917" w:rsidRDefault="009C713D" w:rsidP="009C713D">
      <w:pPr>
        <w:pStyle w:val="Text"/>
      </w:pPr>
      <w:r w:rsidRPr="00382917">
        <w:t>“</w:t>
      </w:r>
      <w:r w:rsidR="00B2576B" w:rsidRPr="00382917">
        <w:t>Let</w:t>
      </w:r>
      <w:r w:rsidR="00EE4FC3">
        <w:t xml:space="preserve"> </w:t>
      </w:r>
      <w:r w:rsidR="00B2576B" w:rsidRPr="00382917">
        <w:t>that</w:t>
      </w:r>
      <w:r w:rsidR="00EE4FC3">
        <w:t xml:space="preserve"> </w:t>
      </w:r>
      <w:r w:rsidR="00B2576B" w:rsidRPr="00382917">
        <w:t>contemptible</w:t>
      </w:r>
      <w:r w:rsidR="00EE4FC3">
        <w:t xml:space="preserve"> </w:t>
      </w:r>
      <w:r w:rsidR="00B2576B" w:rsidRPr="00382917">
        <w:t>coward</w:t>
      </w:r>
      <w:r w:rsidR="00EE4FC3">
        <w:t xml:space="preserve"> </w:t>
      </w:r>
      <w:r w:rsidR="00B2576B" w:rsidRPr="00382917">
        <w:t>emerge</w:t>
      </w:r>
      <w:r w:rsidR="00EE4FC3">
        <w:t xml:space="preserve"> </w:t>
      </w:r>
      <w:r w:rsidR="00B2576B" w:rsidRPr="00382917">
        <w:t>from</w:t>
      </w:r>
      <w:r w:rsidR="00EE4FC3">
        <w:t xml:space="preserve"> </w:t>
      </w:r>
      <w:r w:rsidR="00B2576B" w:rsidRPr="00382917">
        <w:t>his</w:t>
      </w:r>
      <w:r w:rsidR="00EE4FC3">
        <w:t xml:space="preserve"> </w:t>
      </w:r>
      <w:r w:rsidR="00B2576B" w:rsidRPr="00382917">
        <w:t>inglorious</w:t>
      </w:r>
      <w:r w:rsidR="00EE4FC3">
        <w:t xml:space="preserve"> </w:t>
      </w:r>
      <w:r w:rsidR="00B2576B" w:rsidRPr="00382917">
        <w:t>re</w:t>
      </w:r>
      <w:r w:rsidRPr="00382917">
        <w:t>t</w:t>
      </w:r>
      <w:r w:rsidR="00B2576B" w:rsidRPr="00382917">
        <w:t>reat,</w:t>
      </w:r>
      <w:r w:rsidRPr="00382917">
        <w:t>”</w:t>
      </w:r>
      <w:r w:rsidR="00EE4FC3">
        <w:t xml:space="preserve"> </w:t>
      </w:r>
      <w:r w:rsidR="00B2576B" w:rsidRPr="00382917">
        <w:t>he</w:t>
      </w:r>
      <w:r w:rsidR="00EE4FC3">
        <w:t xml:space="preserve"> </w:t>
      </w:r>
      <w:r w:rsidR="00B2576B" w:rsidRPr="00382917">
        <w:t>cried</w:t>
      </w:r>
      <w:r w:rsidR="00EE4FC3">
        <w:t xml:space="preserve"> </w:t>
      </w:r>
      <w:r w:rsidR="00B2576B" w:rsidRPr="00382917">
        <w:t>out</w:t>
      </w:r>
      <w:r w:rsidR="00A93643">
        <w:t>.</w:t>
      </w:r>
      <w:r w:rsidR="00EE4FC3">
        <w:t xml:space="preserve">  </w:t>
      </w:r>
      <w:r w:rsidRPr="00382917">
        <w:t>“</w:t>
      </w:r>
      <w:r w:rsidR="00B2576B" w:rsidRPr="00382917">
        <w:t>Has</w:t>
      </w:r>
      <w:r w:rsidR="00EE4FC3">
        <w:t xml:space="preserve"> </w:t>
      </w:r>
      <w:r w:rsidR="00B2576B" w:rsidRPr="00382917">
        <w:t>he</w:t>
      </w:r>
      <w:r w:rsidR="00EE4FC3">
        <w:t xml:space="preserve"> </w:t>
      </w:r>
      <w:r w:rsidR="00B2576B" w:rsidRPr="00382917">
        <w:t>forgotten</w:t>
      </w:r>
      <w:r w:rsidR="00EE4FC3">
        <w:t xml:space="preserve"> </w:t>
      </w:r>
      <w:r w:rsidR="00B2576B" w:rsidRPr="00382917">
        <w:t>that</w:t>
      </w:r>
      <w:r w:rsidR="00EE4FC3">
        <w:t xml:space="preserve"> </w:t>
      </w:r>
      <w:r w:rsidR="00B2576B" w:rsidRPr="00382917">
        <w:t>the</w:t>
      </w:r>
      <w:r w:rsidR="00EE4FC3">
        <w:t xml:space="preserve"> </w:t>
      </w:r>
      <w:r w:rsidR="00B2576B" w:rsidRPr="00382917">
        <w:t>one</w:t>
      </w:r>
      <w:r w:rsidR="00EE4FC3">
        <w:t xml:space="preserve"> </w:t>
      </w:r>
      <w:r w:rsidR="00B2576B" w:rsidRPr="00382917">
        <w:t>who</w:t>
      </w:r>
      <w:r w:rsidR="00EE4FC3">
        <w:t xml:space="preserve"> </w:t>
      </w:r>
      <w:r w:rsidR="00B2576B" w:rsidRPr="00382917">
        <w:t>preaches</w:t>
      </w:r>
      <w:r w:rsidR="00EE4FC3">
        <w:t xml:space="preserve"> </w:t>
      </w:r>
      <w:r w:rsidR="00B2576B" w:rsidRPr="00382917">
        <w:t>a</w:t>
      </w:r>
      <w:r w:rsidR="00EE4FC3">
        <w:t xml:space="preserve"> </w:t>
      </w:r>
      <w:r w:rsidR="00B2576B" w:rsidRPr="00382917">
        <w:t>holy</w:t>
      </w:r>
      <w:r w:rsidR="00EE4FC3">
        <w:t xml:space="preserve"> </w:t>
      </w:r>
      <w:r w:rsidR="00B2576B" w:rsidRPr="00382917">
        <w:t>war</w:t>
      </w:r>
      <w:r w:rsidR="00EE4FC3">
        <w:t xml:space="preserve"> </w:t>
      </w:r>
      <w:r w:rsidR="00B2576B" w:rsidRPr="00382917">
        <w:t>must</w:t>
      </w:r>
      <w:r w:rsidR="00EE4FC3">
        <w:t xml:space="preserve"> </w:t>
      </w:r>
      <w:r w:rsidR="00B2576B" w:rsidRPr="00382917">
        <w:t>himself</w:t>
      </w:r>
      <w:r w:rsidR="00EE4FC3">
        <w:t xml:space="preserve"> </w:t>
      </w:r>
      <w:r w:rsidR="00B2576B" w:rsidRPr="00382917">
        <w:t>march</w:t>
      </w:r>
      <w:r w:rsidR="00EE4FC3">
        <w:t xml:space="preserve"> </w:t>
      </w:r>
      <w:r w:rsidR="00B2576B" w:rsidRPr="00382917">
        <w:t>at</w:t>
      </w:r>
      <w:r w:rsidR="00EE4FC3">
        <w:t xml:space="preserve"> </w:t>
      </w:r>
      <w:r w:rsidR="00B2576B" w:rsidRPr="00382917">
        <w:t>the</w:t>
      </w:r>
      <w:r w:rsidR="00EE4FC3">
        <w:t xml:space="preserve"> </w:t>
      </w:r>
      <w:r w:rsidR="00B2576B" w:rsidRPr="00382917">
        <w:t>head</w:t>
      </w:r>
      <w:r w:rsidR="00EE4FC3">
        <w:t xml:space="preserve"> </w:t>
      </w:r>
      <w:r w:rsidR="00B2576B" w:rsidRPr="00382917">
        <w:t>of</w:t>
      </w:r>
      <w:r w:rsidR="00EE4FC3">
        <w:t xml:space="preserve"> </w:t>
      </w:r>
      <w:r w:rsidR="00B2576B" w:rsidRPr="00382917">
        <w:t>his</w:t>
      </w:r>
      <w:r w:rsidR="00EE4FC3">
        <w:t xml:space="preserve"> </w:t>
      </w:r>
      <w:r w:rsidR="00B2576B" w:rsidRPr="00382917">
        <w:t>followers</w:t>
      </w:r>
      <w:r w:rsidR="00EE4FC3">
        <w:t xml:space="preserve"> </w:t>
      </w:r>
      <w:r w:rsidR="00B2576B" w:rsidRPr="00382917">
        <w:t>and</w:t>
      </w:r>
      <w:r w:rsidR="00EE4FC3">
        <w:t xml:space="preserve"> </w:t>
      </w:r>
      <w:r w:rsidR="00B2576B" w:rsidRPr="00382917">
        <w:t>by</w:t>
      </w:r>
      <w:r w:rsidR="00EE4FC3">
        <w:t xml:space="preserve"> </w:t>
      </w:r>
      <w:r w:rsidR="00B2576B" w:rsidRPr="00382917">
        <w:t>his</w:t>
      </w:r>
      <w:r w:rsidR="00EE4FC3">
        <w:t xml:space="preserve"> </w:t>
      </w:r>
      <w:r w:rsidR="00B2576B" w:rsidRPr="00382917">
        <w:t>own</w:t>
      </w:r>
      <w:r w:rsidR="00EE4FC3">
        <w:t xml:space="preserve"> </w:t>
      </w:r>
      <w:r w:rsidR="00B2576B" w:rsidRPr="00382917">
        <w:t>deeds</w:t>
      </w:r>
      <w:r w:rsidR="00EE4FC3">
        <w:t xml:space="preserve"> </w:t>
      </w:r>
      <w:r w:rsidR="00B2576B" w:rsidRPr="00382917">
        <w:t>sustain</w:t>
      </w:r>
      <w:r w:rsidR="00EE4FC3">
        <w:t xml:space="preserve"> </w:t>
      </w:r>
      <w:r w:rsidR="00B2576B" w:rsidRPr="00382917">
        <w:t>their</w:t>
      </w:r>
      <w:r w:rsidR="00EE4FC3">
        <w:t xml:space="preserve"> </w:t>
      </w:r>
      <w:r w:rsidR="00B2576B" w:rsidRPr="00382917">
        <w:t>enthusiasm?</w:t>
      </w:r>
      <w:r w:rsidRPr="00382917">
        <w:t>”</w:t>
      </w:r>
    </w:p>
    <w:p w:rsidR="00B2576B" w:rsidRPr="00382917" w:rsidRDefault="00B2576B" w:rsidP="00B2576B">
      <w:pPr>
        <w:pStyle w:val="Text"/>
      </w:pPr>
      <w:r w:rsidRPr="00382917">
        <w:t>Peace</w:t>
      </w:r>
      <w:r w:rsidR="00EE4FC3">
        <w:t xml:space="preserve"> </w:t>
      </w:r>
      <w:r w:rsidRPr="00382917">
        <w:t>was</w:t>
      </w:r>
      <w:r w:rsidR="00EE4FC3">
        <w:t xml:space="preserve"> </w:t>
      </w:r>
      <w:r w:rsidRPr="00382917">
        <w:t>at</w:t>
      </w:r>
      <w:r w:rsidR="00EE4FC3">
        <w:t xml:space="preserve"> </w:t>
      </w:r>
      <w:r w:rsidRPr="00382917">
        <w:t>last</w:t>
      </w:r>
      <w:r w:rsidR="00EE4FC3">
        <w:t xml:space="preserve"> </w:t>
      </w:r>
      <w:r w:rsidRPr="00382917">
        <w:t>restored</w:t>
      </w:r>
      <w:r w:rsidR="00A93643">
        <w:t>.</w:t>
      </w:r>
      <w:r w:rsidR="00EE4FC3">
        <w:t xml:space="preserve">  </w:t>
      </w:r>
      <w:r w:rsidRPr="00382917">
        <w:t>Mullá</w:t>
      </w:r>
      <w:r w:rsidR="00EE4FC3">
        <w:t xml:space="preserve"> </w:t>
      </w:r>
      <w:r w:rsidR="00964C11" w:rsidRPr="00382917">
        <w:t>Ḥusayn</w:t>
      </w:r>
      <w:r w:rsidR="00EE4FC3">
        <w:t xml:space="preserve"> </w:t>
      </w:r>
      <w:r w:rsidRPr="00382917">
        <w:t>addressed</w:t>
      </w:r>
      <w:r w:rsidR="00EE4FC3">
        <w:t xml:space="preserve"> </w:t>
      </w:r>
      <w:r w:rsidRPr="00382917">
        <w:t>the</w:t>
      </w:r>
      <w:r w:rsidR="00EE4FC3">
        <w:t xml:space="preserve"> </w:t>
      </w:r>
      <w:r w:rsidRPr="00382917">
        <w:t>people</w:t>
      </w:r>
      <w:r w:rsidR="00EE4FC3">
        <w:t xml:space="preserve"> </w:t>
      </w:r>
      <w:r w:rsidRPr="00382917">
        <w:t>of</w:t>
      </w:r>
      <w:r w:rsidR="00EE4FC3">
        <w:t xml:space="preserve"> </w:t>
      </w:r>
      <w:r w:rsidR="00814CFC" w:rsidRPr="00382917">
        <w:t>Bárfurú</w:t>
      </w:r>
      <w:r w:rsidR="00814CFC" w:rsidRPr="00814CFC">
        <w:rPr>
          <w:u w:val="single"/>
        </w:rPr>
        <w:t>sh</w:t>
      </w:r>
      <w:r w:rsidR="00A93643">
        <w:t>.</w:t>
      </w:r>
      <w:r w:rsidR="00EE4FC3">
        <w:t xml:space="preserve">  </w:t>
      </w:r>
      <w:r w:rsidR="009C713D" w:rsidRPr="00382917">
        <w:t>“</w:t>
      </w:r>
      <w:r w:rsidRPr="00382917">
        <w:t>What</w:t>
      </w:r>
      <w:r w:rsidR="00EE4FC3">
        <w:t xml:space="preserve"> </w:t>
      </w:r>
      <w:r w:rsidRPr="00382917">
        <w:t>have</w:t>
      </w:r>
      <w:r w:rsidR="00EE4FC3">
        <w:t xml:space="preserve"> </w:t>
      </w:r>
      <w:r w:rsidRPr="00382917">
        <w:t>we</w:t>
      </w:r>
      <w:r w:rsidR="00EE4FC3">
        <w:t xml:space="preserve"> </w:t>
      </w:r>
      <w:r w:rsidRPr="00382917">
        <w:t>done</w:t>
      </w:r>
      <w:r w:rsidR="00EE4FC3">
        <w:t xml:space="preserve"> </w:t>
      </w:r>
      <w:r w:rsidRPr="00382917">
        <w:t>that</w:t>
      </w:r>
      <w:r w:rsidR="00EE4FC3">
        <w:t xml:space="preserve"> </w:t>
      </w:r>
      <w:r w:rsidRPr="00382917">
        <w:t>you</w:t>
      </w:r>
      <w:r w:rsidR="00EE4FC3">
        <w:t xml:space="preserve"> </w:t>
      </w:r>
      <w:r w:rsidRPr="00382917">
        <w:t>should</w:t>
      </w:r>
      <w:r w:rsidR="00EE4FC3">
        <w:t xml:space="preserve"> </w:t>
      </w:r>
      <w:r w:rsidRPr="00382917">
        <w:t>arise</w:t>
      </w:r>
      <w:r w:rsidR="00EE4FC3">
        <w:t xml:space="preserve"> </w:t>
      </w:r>
      <w:r w:rsidRPr="00382917">
        <w:t>against</w:t>
      </w:r>
      <w:r w:rsidR="00EE4FC3">
        <w:t xml:space="preserve"> </w:t>
      </w:r>
      <w:r w:rsidRPr="00382917">
        <w:t>us?</w:t>
      </w:r>
      <w:r w:rsidR="00EE4FC3">
        <w:t xml:space="preserve">  </w:t>
      </w:r>
      <w:r w:rsidRPr="00382917">
        <w:t>Why</w:t>
      </w:r>
      <w:r w:rsidR="00EE4FC3">
        <w:t xml:space="preserve"> </w:t>
      </w:r>
      <w:r w:rsidRPr="00382917">
        <w:t>should</w:t>
      </w:r>
      <w:r w:rsidR="00EE4FC3">
        <w:t xml:space="preserve"> </w:t>
      </w:r>
      <w:r w:rsidRPr="00382917">
        <w:t>you</w:t>
      </w:r>
      <w:r w:rsidR="00EE4FC3">
        <w:t xml:space="preserve"> </w:t>
      </w:r>
      <w:r w:rsidRPr="00382917">
        <w:t>think</w:t>
      </w:r>
      <w:r w:rsidR="00EE4FC3">
        <w:t xml:space="preserve"> </w:t>
      </w:r>
      <w:r w:rsidRPr="00382917">
        <w:t>it</w:t>
      </w:r>
      <w:r w:rsidR="00EE4FC3">
        <w:t xml:space="preserve"> </w:t>
      </w:r>
      <w:r w:rsidRPr="00382917">
        <w:t>meritorious</w:t>
      </w:r>
      <w:r w:rsidR="00EE4FC3">
        <w:t xml:space="preserve"> </w:t>
      </w:r>
      <w:r w:rsidRPr="00382917">
        <w:t>in</w:t>
      </w:r>
      <w:r w:rsidR="00EE4FC3">
        <w:t xml:space="preserve"> </w:t>
      </w:r>
      <w:r w:rsidRPr="00382917">
        <w:t>the</w:t>
      </w:r>
      <w:r w:rsidR="00EE4FC3">
        <w:t xml:space="preserve"> </w:t>
      </w:r>
      <w:r w:rsidRPr="00382917">
        <w:t>sight</w:t>
      </w:r>
      <w:r w:rsidR="00EE4FC3">
        <w:t xml:space="preserve"> </w:t>
      </w:r>
      <w:r w:rsidRPr="00382917">
        <w:t>of</w:t>
      </w:r>
      <w:r w:rsidR="00EE4FC3">
        <w:t xml:space="preserve"> </w:t>
      </w:r>
      <w:r w:rsidRPr="00382917">
        <w:t>God</w:t>
      </w:r>
      <w:r w:rsidR="00EE4FC3">
        <w:t xml:space="preserve"> </w:t>
      </w:r>
      <w:r w:rsidRPr="00382917">
        <w:t>to</w:t>
      </w:r>
      <w:r w:rsidR="00EE4FC3">
        <w:t xml:space="preserve"> </w:t>
      </w:r>
      <w:r w:rsidRPr="00382917">
        <w:t>shed</w:t>
      </w:r>
      <w:r w:rsidR="00EE4FC3">
        <w:t xml:space="preserve"> </w:t>
      </w:r>
      <w:r w:rsidRPr="00382917">
        <w:t>our</w:t>
      </w:r>
      <w:r w:rsidR="00EE4FC3">
        <w:t xml:space="preserve"> </w:t>
      </w:r>
      <w:r w:rsidRPr="00382917">
        <w:t>blood?</w:t>
      </w:r>
      <w:r w:rsidR="00EE4FC3">
        <w:t xml:space="preserve">  </w:t>
      </w:r>
      <w:r w:rsidRPr="00382917">
        <w:t>Have</w:t>
      </w:r>
      <w:r w:rsidR="00EE4FC3">
        <w:t xml:space="preserve"> </w:t>
      </w:r>
      <w:r w:rsidRPr="00382917">
        <w:t>we</w:t>
      </w:r>
      <w:r w:rsidR="00EE4FC3">
        <w:t xml:space="preserve"> </w:t>
      </w:r>
      <w:r w:rsidRPr="00382917">
        <w:t>ever</w:t>
      </w:r>
      <w:r w:rsidR="00EE4FC3">
        <w:t xml:space="preserve"> </w:t>
      </w:r>
      <w:r w:rsidRPr="00382917">
        <w:t>spoken</w:t>
      </w:r>
      <w:r w:rsidR="00EE4FC3">
        <w:t xml:space="preserve"> </w:t>
      </w:r>
      <w:r w:rsidRPr="00382917">
        <w:t>one</w:t>
      </w:r>
      <w:r w:rsidR="00EE4FC3">
        <w:t xml:space="preserve"> </w:t>
      </w:r>
      <w:r w:rsidRPr="00382917">
        <w:t>word</w:t>
      </w:r>
      <w:r w:rsidR="00EE4FC3">
        <w:t xml:space="preserve"> </w:t>
      </w:r>
      <w:r w:rsidRPr="00382917">
        <w:t>against</w:t>
      </w:r>
      <w:r w:rsidR="00EE4FC3">
        <w:t xml:space="preserve"> </w:t>
      </w:r>
      <w:r w:rsidRPr="00382917">
        <w:t>the</w:t>
      </w:r>
      <w:r w:rsidR="00EE4FC3">
        <w:t xml:space="preserve"> </w:t>
      </w:r>
      <w:r w:rsidRPr="00382917">
        <w:t>truth</w:t>
      </w:r>
      <w:r w:rsidR="00EE4FC3">
        <w:t xml:space="preserve"> </w:t>
      </w:r>
      <w:r w:rsidRPr="00382917">
        <w:t>of</w:t>
      </w:r>
      <w:r w:rsidR="00EE4FC3">
        <w:t xml:space="preserve"> </w:t>
      </w:r>
      <w:r w:rsidRPr="00382917">
        <w:t>your</w:t>
      </w:r>
    </w:p>
    <w:p w:rsidR="00B2576B" w:rsidRPr="00382917" w:rsidRDefault="00B2576B">
      <w:pPr>
        <w:widowControl/>
        <w:kinsoku/>
        <w:overflowPunct/>
        <w:textAlignment w:val="auto"/>
      </w:pPr>
      <w:r w:rsidRPr="00382917">
        <w:br w:type="page"/>
      </w:r>
    </w:p>
    <w:p w:rsidR="00B2576B" w:rsidRPr="00382917" w:rsidRDefault="00B2576B" w:rsidP="00B2576B">
      <w:pPr>
        <w:pStyle w:val="Textcts"/>
      </w:pPr>
      <w:proofErr w:type="gramStart"/>
      <w:r w:rsidRPr="00382917">
        <w:t>Faith?</w:t>
      </w:r>
      <w:proofErr w:type="gramEnd"/>
      <w:r w:rsidR="00EE4FC3">
        <w:t xml:space="preserve">  </w:t>
      </w:r>
      <w:r w:rsidRPr="00382917">
        <w:t>Is</w:t>
      </w:r>
      <w:r w:rsidR="00EE4FC3">
        <w:t xml:space="preserve"> </w:t>
      </w:r>
      <w:r w:rsidRPr="00382917">
        <w:t>this</w:t>
      </w:r>
      <w:r w:rsidR="00EE4FC3">
        <w:t xml:space="preserve"> </w:t>
      </w:r>
      <w:r w:rsidRPr="00382917">
        <w:t>the</w:t>
      </w:r>
      <w:r w:rsidR="00EE4FC3">
        <w:t xml:space="preserve"> </w:t>
      </w:r>
      <w:r w:rsidRPr="00382917">
        <w:t>hospitality</w:t>
      </w:r>
      <w:r w:rsidR="00EE4FC3">
        <w:t xml:space="preserve"> </w:t>
      </w:r>
      <w:r w:rsidRPr="00382917">
        <w:t>which</w:t>
      </w:r>
      <w:r w:rsidR="00EE4FC3">
        <w:t xml:space="preserve"> </w:t>
      </w:r>
      <w:r w:rsidRPr="00382917">
        <w:t>your</w:t>
      </w:r>
      <w:r w:rsidR="00EE4FC3">
        <w:t xml:space="preserve"> </w:t>
      </w:r>
      <w:r w:rsidRPr="00382917">
        <w:t>own</w:t>
      </w:r>
      <w:r w:rsidR="00EE4FC3">
        <w:t xml:space="preserve"> </w:t>
      </w:r>
      <w:r w:rsidRPr="00382917">
        <w:t>Prophet,</w:t>
      </w:r>
      <w:r w:rsidR="00EE4FC3">
        <w:t xml:space="preserve"> </w:t>
      </w:r>
      <w:r w:rsidRPr="00382917">
        <w:t>Muḥammad,</w:t>
      </w:r>
      <w:r w:rsidR="00EE4FC3">
        <w:t xml:space="preserve"> </w:t>
      </w:r>
      <w:r w:rsidRPr="00382917">
        <w:t>has</w:t>
      </w:r>
      <w:r w:rsidR="00EE4FC3">
        <w:t xml:space="preserve"> </w:t>
      </w:r>
      <w:r w:rsidRPr="00382917">
        <w:t>commanded</w:t>
      </w:r>
      <w:r w:rsidR="00EE4FC3">
        <w:t xml:space="preserve"> </w:t>
      </w:r>
      <w:r w:rsidRPr="00382917">
        <w:t>you</w:t>
      </w:r>
      <w:r w:rsidR="00EE4FC3">
        <w:t xml:space="preserve"> </w:t>
      </w:r>
      <w:r w:rsidRPr="00382917">
        <w:t>to</w:t>
      </w:r>
      <w:r w:rsidR="00EE4FC3">
        <w:t xml:space="preserve"> </w:t>
      </w:r>
      <w:r w:rsidRPr="00382917">
        <w:t>show</w:t>
      </w:r>
      <w:r w:rsidR="00EE4FC3">
        <w:t xml:space="preserve"> </w:t>
      </w:r>
      <w:r w:rsidRPr="00382917">
        <w:t>to</w:t>
      </w:r>
      <w:r w:rsidR="00EE4FC3">
        <w:t xml:space="preserve"> </w:t>
      </w:r>
      <w:r w:rsidRPr="00382917">
        <w:t>believer</w:t>
      </w:r>
      <w:r w:rsidR="00EE4FC3">
        <w:t xml:space="preserve"> </w:t>
      </w:r>
      <w:r w:rsidRPr="00382917">
        <w:t>and</w:t>
      </w:r>
      <w:r w:rsidR="00EE4FC3">
        <w:t xml:space="preserve"> </w:t>
      </w:r>
      <w:r w:rsidRPr="00382917">
        <w:t>unbeliever</w:t>
      </w:r>
      <w:r w:rsidR="00EE4FC3">
        <w:t xml:space="preserve"> </w:t>
      </w:r>
      <w:r w:rsidRPr="00382917">
        <w:t>alike?</w:t>
      </w:r>
      <w:r w:rsidR="009C713D" w:rsidRPr="00382917">
        <w:t>”</w:t>
      </w:r>
    </w:p>
    <w:p w:rsidR="00B2576B" w:rsidRPr="00382917" w:rsidRDefault="00B2576B" w:rsidP="00B2576B">
      <w:pPr>
        <w:pStyle w:val="Text"/>
      </w:pPr>
      <w:r w:rsidRPr="00382917">
        <w:t>Mullá</w:t>
      </w:r>
      <w:r w:rsidR="00EE4FC3">
        <w:t xml:space="preserve"> </w:t>
      </w:r>
      <w:r w:rsidR="00964C11" w:rsidRPr="00382917">
        <w:t>Ḥusayn</w:t>
      </w:r>
      <w:r w:rsidR="00EE4FC3">
        <w:t xml:space="preserve"> </w:t>
      </w:r>
      <w:r w:rsidRPr="00382917">
        <w:t>shamed</w:t>
      </w:r>
      <w:r w:rsidR="00EE4FC3">
        <w:t xml:space="preserve"> </w:t>
      </w:r>
      <w:r w:rsidRPr="00382917">
        <w:t>them</w:t>
      </w:r>
      <w:r w:rsidR="00EE4FC3">
        <w:t xml:space="preserve"> </w:t>
      </w:r>
      <w:r w:rsidRPr="00382917">
        <w:t>with</w:t>
      </w:r>
      <w:r w:rsidR="00EE4FC3">
        <w:t xml:space="preserve"> </w:t>
      </w:r>
      <w:r w:rsidRPr="00382917">
        <w:t>his</w:t>
      </w:r>
      <w:r w:rsidR="00EE4FC3">
        <w:t xml:space="preserve"> </w:t>
      </w:r>
      <w:r w:rsidRPr="00382917">
        <w:t>words,</w:t>
      </w:r>
      <w:r w:rsidR="00EE4FC3">
        <w:t xml:space="preserve"> </w:t>
      </w:r>
      <w:r w:rsidRPr="00382917">
        <w:t>then</w:t>
      </w:r>
      <w:r w:rsidR="00EE4FC3">
        <w:t xml:space="preserve"> </w:t>
      </w:r>
      <w:r w:rsidRPr="00382917">
        <w:t>he</w:t>
      </w:r>
      <w:r w:rsidR="00EE4FC3">
        <w:t xml:space="preserve"> </w:t>
      </w:r>
      <w:r w:rsidRPr="00382917">
        <w:t>assembled</w:t>
      </w:r>
      <w:r w:rsidR="00EE4FC3">
        <w:t xml:space="preserve"> </w:t>
      </w:r>
      <w:r w:rsidRPr="00382917">
        <w:t>his</w:t>
      </w:r>
      <w:r w:rsidR="00EE4FC3">
        <w:t xml:space="preserve"> </w:t>
      </w:r>
      <w:r w:rsidRPr="00382917">
        <w:t>companions</w:t>
      </w:r>
      <w:r w:rsidR="00EE4FC3">
        <w:t xml:space="preserve"> </w:t>
      </w:r>
      <w:r w:rsidRPr="00382917">
        <w:t>and</w:t>
      </w:r>
      <w:r w:rsidR="00EE4FC3">
        <w:t xml:space="preserve"> </w:t>
      </w:r>
      <w:r w:rsidRPr="00382917">
        <w:t>they</w:t>
      </w:r>
      <w:r w:rsidR="00EE4FC3">
        <w:t xml:space="preserve"> </w:t>
      </w:r>
      <w:r w:rsidRPr="00382917">
        <w:t>continued</w:t>
      </w:r>
      <w:r w:rsidR="00EE4FC3">
        <w:t xml:space="preserve"> </w:t>
      </w:r>
      <w:r w:rsidRPr="00382917">
        <w:t>on</w:t>
      </w:r>
      <w:r w:rsidR="00EE4FC3">
        <w:t xml:space="preserve"> </w:t>
      </w:r>
      <w:r w:rsidRPr="00382917">
        <w:t>their</w:t>
      </w:r>
      <w:r w:rsidR="00EE4FC3">
        <w:t xml:space="preserve"> </w:t>
      </w:r>
      <w:r w:rsidRPr="00382917">
        <w:t>way</w:t>
      </w:r>
      <w:r w:rsidR="00EE4FC3">
        <w:t xml:space="preserve"> </w:t>
      </w:r>
      <w:r w:rsidRPr="00382917">
        <w:t>toward</w:t>
      </w:r>
      <w:r w:rsidR="00EE4FC3">
        <w:t xml:space="preserve"> </w:t>
      </w:r>
      <w:r w:rsidRPr="00382917">
        <w:t>Sari</w:t>
      </w:r>
      <w:r w:rsidR="00EE4FC3">
        <w:t xml:space="preserve"> </w:t>
      </w:r>
      <w:r w:rsidRPr="00382917">
        <w:t>and</w:t>
      </w:r>
      <w:r w:rsidR="00EE4FC3">
        <w:t xml:space="preserve"> </w:t>
      </w:r>
      <w:r w:rsidRPr="00382917">
        <w:t>the</w:t>
      </w:r>
      <w:r w:rsidR="00EE4FC3">
        <w:t xml:space="preserve"> </w:t>
      </w:r>
      <w:r w:rsidRPr="00382917">
        <w:t>rescue</w:t>
      </w:r>
      <w:r w:rsidR="00EE4FC3">
        <w:t xml:space="preserve"> </w:t>
      </w:r>
      <w:r w:rsidRPr="00382917">
        <w:t>of</w:t>
      </w:r>
      <w:r w:rsidR="00EE4FC3">
        <w:t xml:space="preserve"> </w:t>
      </w:r>
      <w:r w:rsidRPr="00382917">
        <w:t>Quddús.</w:t>
      </w:r>
    </w:p>
    <w:p w:rsidR="00B2576B" w:rsidRPr="00382917" w:rsidRDefault="00B2576B" w:rsidP="009C713D">
      <w:pPr>
        <w:pStyle w:val="Text"/>
      </w:pPr>
      <w:r w:rsidRPr="00382917">
        <w:t>The</w:t>
      </w:r>
      <w:r w:rsidR="00EE4FC3">
        <w:t xml:space="preserve"> </w:t>
      </w:r>
      <w:proofErr w:type="gramStart"/>
      <w:r w:rsidRPr="00382917">
        <w:t>Sa</w:t>
      </w:r>
      <w:r w:rsidR="009C713D" w:rsidRPr="00382917">
        <w:t>‘</w:t>
      </w:r>
      <w:r w:rsidRPr="00382917">
        <w:t>ídu</w:t>
      </w:r>
      <w:r w:rsidR="009C713D" w:rsidRPr="00382917">
        <w:t>’</w:t>
      </w:r>
      <w:r w:rsidRPr="00382917">
        <w:t>l</w:t>
      </w:r>
      <w:proofErr w:type="gramEnd"/>
      <w:r w:rsidR="009C713D" w:rsidRPr="00382917">
        <w:t>-‘</w:t>
      </w:r>
      <w:r w:rsidRPr="00382917">
        <w:t>Ulamá</w:t>
      </w:r>
      <w:r w:rsidR="009C713D" w:rsidRPr="00382917">
        <w:t>’</w:t>
      </w:r>
      <w:r w:rsidR="00EE4FC3">
        <w:t xml:space="preserve"> </w:t>
      </w:r>
      <w:r w:rsidRPr="00382917">
        <w:t>came</w:t>
      </w:r>
      <w:r w:rsidR="00EE4FC3">
        <w:t xml:space="preserve"> </w:t>
      </w:r>
      <w:r w:rsidRPr="00382917">
        <w:t>out</w:t>
      </w:r>
      <w:r w:rsidR="00EE4FC3">
        <w:t xml:space="preserve"> </w:t>
      </w:r>
      <w:r w:rsidRPr="00382917">
        <w:t>of</w:t>
      </w:r>
      <w:r w:rsidR="00EE4FC3">
        <w:t xml:space="preserve"> </w:t>
      </w:r>
      <w:r w:rsidRPr="00382917">
        <w:t>hiding</w:t>
      </w:r>
      <w:r w:rsidR="00EE4FC3">
        <w:t xml:space="preserve"> </w:t>
      </w:r>
      <w:r w:rsidRPr="00382917">
        <w:t>as</w:t>
      </w:r>
      <w:r w:rsidR="00EE4FC3">
        <w:t xml:space="preserve"> </w:t>
      </w:r>
      <w:r w:rsidRPr="00382917">
        <w:t>soon</w:t>
      </w:r>
      <w:r w:rsidR="00EE4FC3">
        <w:t xml:space="preserve"> </w:t>
      </w:r>
      <w:r w:rsidRPr="00382917">
        <w:t>as</w:t>
      </w:r>
      <w:r w:rsidR="00EE4FC3">
        <w:t xml:space="preserve"> </w:t>
      </w:r>
      <w:r w:rsidRPr="00382917">
        <w:t>Mullá</w:t>
      </w:r>
      <w:r w:rsidR="00EE4FC3">
        <w:t xml:space="preserve"> </w:t>
      </w:r>
      <w:r w:rsidR="00964C11" w:rsidRPr="00382917">
        <w:t>Ḥusayn</w:t>
      </w:r>
      <w:r w:rsidR="00EE4FC3">
        <w:t xml:space="preserve"> </w:t>
      </w:r>
      <w:r w:rsidRPr="00382917">
        <w:t>departed</w:t>
      </w:r>
      <w:r w:rsidR="00EE4FC3">
        <w:t xml:space="preserve"> </w:t>
      </w:r>
      <w:r w:rsidRPr="00382917">
        <w:t>with</w:t>
      </w:r>
      <w:r w:rsidR="00EE4FC3">
        <w:t xml:space="preserve"> </w:t>
      </w:r>
      <w:r w:rsidRPr="00382917">
        <w:t>his</w:t>
      </w:r>
      <w:r w:rsidR="00EE4FC3">
        <w:t xml:space="preserve"> </w:t>
      </w:r>
      <w:r w:rsidRPr="00382917">
        <w:t>friends</w:t>
      </w:r>
      <w:r w:rsidR="00A93643">
        <w:t>.</w:t>
      </w:r>
      <w:r w:rsidR="00EE4FC3">
        <w:t xml:space="preserve">  </w:t>
      </w:r>
      <w:r w:rsidRPr="00382917">
        <w:t>He</w:t>
      </w:r>
      <w:r w:rsidR="00EE4FC3">
        <w:t xml:space="preserve"> </w:t>
      </w:r>
      <w:r w:rsidRPr="00382917">
        <w:t>immediately</w:t>
      </w:r>
      <w:r w:rsidR="00EE4FC3">
        <w:t xml:space="preserve"> </w:t>
      </w:r>
      <w:r w:rsidRPr="00382917">
        <w:t>planned</w:t>
      </w:r>
      <w:r w:rsidR="00EE4FC3">
        <w:t xml:space="preserve"> </w:t>
      </w:r>
      <w:r w:rsidRPr="00382917">
        <w:t>an</w:t>
      </w:r>
      <w:r w:rsidR="00EE4FC3">
        <w:t xml:space="preserve"> </w:t>
      </w:r>
      <w:r w:rsidRPr="00382917">
        <w:t>attack</w:t>
      </w:r>
      <w:r w:rsidR="00EE4FC3">
        <w:t xml:space="preserve"> </w:t>
      </w:r>
      <w:r w:rsidRPr="00382917">
        <w:t>upon</w:t>
      </w:r>
      <w:r w:rsidR="00EE4FC3">
        <w:t xml:space="preserve"> </w:t>
      </w:r>
      <w:r w:rsidRPr="00382917">
        <w:t>them</w:t>
      </w:r>
      <w:r w:rsidR="00EE4FC3">
        <w:t xml:space="preserve"> </w:t>
      </w:r>
      <w:r w:rsidRPr="00382917">
        <w:t>at</w:t>
      </w:r>
      <w:r w:rsidR="00EE4FC3">
        <w:t xml:space="preserve"> </w:t>
      </w:r>
      <w:r w:rsidRPr="00382917">
        <w:t>the</w:t>
      </w:r>
      <w:r w:rsidR="00EE4FC3">
        <w:t xml:space="preserve"> </w:t>
      </w:r>
      <w:r w:rsidRPr="00382917">
        <w:t>place</w:t>
      </w:r>
      <w:r w:rsidR="00EE4FC3">
        <w:t xml:space="preserve"> </w:t>
      </w:r>
      <w:r w:rsidRPr="00382917">
        <w:t>where</w:t>
      </w:r>
      <w:r w:rsidR="00EE4FC3">
        <w:t xml:space="preserve"> </w:t>
      </w:r>
      <w:r w:rsidRPr="00382917">
        <w:t>they</w:t>
      </w:r>
      <w:r w:rsidR="00EE4FC3">
        <w:t xml:space="preserve"> </w:t>
      </w:r>
      <w:r w:rsidRPr="00382917">
        <w:t>had</w:t>
      </w:r>
      <w:r w:rsidR="00EE4FC3">
        <w:t xml:space="preserve"> </w:t>
      </w:r>
      <w:r w:rsidRPr="00382917">
        <w:t>encamped</w:t>
      </w:r>
      <w:r w:rsidR="00EE4FC3">
        <w:t xml:space="preserve"> </w:t>
      </w:r>
      <w:r w:rsidRPr="00382917">
        <w:t>for</w:t>
      </w:r>
      <w:r w:rsidR="00EE4FC3">
        <w:t xml:space="preserve"> </w:t>
      </w:r>
      <w:r w:rsidRPr="00382917">
        <w:t>the</w:t>
      </w:r>
      <w:r w:rsidR="00EE4FC3">
        <w:t xml:space="preserve"> </w:t>
      </w:r>
      <w:r w:rsidRPr="00382917">
        <w:t>night,</w:t>
      </w:r>
      <w:r w:rsidR="00EE4FC3">
        <w:t xml:space="preserve"> </w:t>
      </w:r>
      <w:r w:rsidRPr="00382917">
        <w:t>at</w:t>
      </w:r>
      <w:r w:rsidR="00EE4FC3">
        <w:t xml:space="preserve"> </w:t>
      </w:r>
      <w:r w:rsidRPr="00382917">
        <w:t>the</w:t>
      </w:r>
      <w:r w:rsidR="00EE4FC3">
        <w:t xml:space="preserve"> </w:t>
      </w:r>
      <w:r w:rsidRPr="00382917">
        <w:t>Sabzih-Maydán</w:t>
      </w:r>
      <w:r w:rsidR="00EE4FC3">
        <w:t xml:space="preserve"> </w:t>
      </w:r>
      <w:r w:rsidRPr="00382917">
        <w:t>caravanserai.</w:t>
      </w:r>
    </w:p>
    <w:p w:rsidR="00B2576B" w:rsidRPr="00382917" w:rsidRDefault="00B2576B" w:rsidP="00B2576B">
      <w:pPr>
        <w:pStyle w:val="Text"/>
      </w:pPr>
      <w:r w:rsidRPr="00382917">
        <w:t>That</w:t>
      </w:r>
      <w:r w:rsidR="00EE4FC3">
        <w:t xml:space="preserve"> </w:t>
      </w:r>
      <w:r w:rsidRPr="00382917">
        <w:t>evening</w:t>
      </w:r>
      <w:r w:rsidR="00EE4FC3">
        <w:t xml:space="preserve"> </w:t>
      </w:r>
      <w:r w:rsidRPr="00382917">
        <w:t>at</w:t>
      </w:r>
      <w:r w:rsidR="00EE4FC3">
        <w:t xml:space="preserve"> </w:t>
      </w:r>
      <w:r w:rsidRPr="00382917">
        <w:t>sunset,</w:t>
      </w:r>
      <w:r w:rsidR="00EE4FC3">
        <w:t xml:space="preserve"> </w:t>
      </w:r>
      <w:r w:rsidRPr="00382917">
        <w:t>Mullá</w:t>
      </w:r>
      <w:r w:rsidR="00EE4FC3">
        <w:t xml:space="preserve"> </w:t>
      </w:r>
      <w:r w:rsidR="00964C11" w:rsidRPr="00382917">
        <w:t>Ḥusayn</w:t>
      </w:r>
      <w:r w:rsidR="00EE4FC3">
        <w:t xml:space="preserve"> </w:t>
      </w:r>
      <w:r w:rsidRPr="00382917">
        <w:t>gathered</w:t>
      </w:r>
      <w:r w:rsidR="00EE4FC3">
        <w:t xml:space="preserve"> </w:t>
      </w:r>
      <w:r w:rsidRPr="00382917">
        <w:t>his</w:t>
      </w:r>
      <w:r w:rsidR="00EE4FC3">
        <w:t xml:space="preserve"> </w:t>
      </w:r>
      <w:r w:rsidRPr="00382917">
        <w:t>companions</w:t>
      </w:r>
      <w:r w:rsidR="00EE4FC3">
        <w:t xml:space="preserve"> </w:t>
      </w:r>
      <w:r w:rsidRPr="00382917">
        <w:t>together.</w:t>
      </w:r>
    </w:p>
    <w:p w:rsidR="00B2576B" w:rsidRPr="00382917" w:rsidRDefault="009C713D" w:rsidP="00B2576B">
      <w:pPr>
        <w:pStyle w:val="Text"/>
      </w:pPr>
      <w:r w:rsidRPr="00382917">
        <w:t>“</w:t>
      </w:r>
      <w:r w:rsidR="00B2576B" w:rsidRPr="00382917">
        <w:t>Is</w:t>
      </w:r>
      <w:r w:rsidR="00EE4FC3">
        <w:t xml:space="preserve"> </w:t>
      </w:r>
      <w:r w:rsidR="00B2576B" w:rsidRPr="00382917">
        <w:t>there</w:t>
      </w:r>
      <w:r w:rsidR="00EE4FC3">
        <w:t xml:space="preserve"> </w:t>
      </w:r>
      <w:r w:rsidR="00B2576B" w:rsidRPr="00382917">
        <w:t>one</w:t>
      </w:r>
      <w:r w:rsidR="00EE4FC3">
        <w:t xml:space="preserve"> </w:t>
      </w:r>
      <w:r w:rsidR="00B2576B" w:rsidRPr="00382917">
        <w:t>among</w:t>
      </w:r>
      <w:r w:rsidR="00EE4FC3">
        <w:t xml:space="preserve"> </w:t>
      </w:r>
      <w:r w:rsidR="00B2576B" w:rsidRPr="00382917">
        <w:t>you,</w:t>
      </w:r>
      <w:r w:rsidRPr="00382917">
        <w:t>”</w:t>
      </w:r>
      <w:r w:rsidR="00EE4FC3">
        <w:t xml:space="preserve"> </w:t>
      </w:r>
      <w:r w:rsidR="00B2576B" w:rsidRPr="00382917">
        <w:t>he</w:t>
      </w:r>
      <w:r w:rsidR="00EE4FC3">
        <w:t xml:space="preserve"> </w:t>
      </w:r>
      <w:r w:rsidR="00B2576B" w:rsidRPr="00382917">
        <w:t>asked,</w:t>
      </w:r>
      <w:r w:rsidR="00EE4FC3">
        <w:t xml:space="preserve"> </w:t>
      </w:r>
      <w:r w:rsidRPr="00382917">
        <w:t>“</w:t>
      </w:r>
      <w:r w:rsidR="00B2576B" w:rsidRPr="00382917">
        <w:t>who</w:t>
      </w:r>
      <w:r w:rsidR="00EE4FC3">
        <w:t xml:space="preserve"> </w:t>
      </w:r>
      <w:r w:rsidR="00B2576B" w:rsidRPr="00382917">
        <w:t>is</w:t>
      </w:r>
      <w:r w:rsidR="00EE4FC3">
        <w:t xml:space="preserve"> </w:t>
      </w:r>
      <w:r w:rsidR="00B2576B" w:rsidRPr="00382917">
        <w:t>willing</w:t>
      </w:r>
      <w:r w:rsidR="00EE4FC3">
        <w:t xml:space="preserve"> </w:t>
      </w:r>
      <w:r w:rsidR="00B2576B" w:rsidRPr="00382917">
        <w:t>to</w:t>
      </w:r>
      <w:r w:rsidR="00EE4FC3">
        <w:t xml:space="preserve"> </w:t>
      </w:r>
      <w:r w:rsidR="00B2576B" w:rsidRPr="00382917">
        <w:t>arise</w:t>
      </w:r>
      <w:r w:rsidR="00EE4FC3">
        <w:t xml:space="preserve"> </w:t>
      </w:r>
      <w:r w:rsidR="00B2576B" w:rsidRPr="00382917">
        <w:t>and</w:t>
      </w:r>
      <w:r w:rsidR="00EE4FC3">
        <w:t xml:space="preserve"> </w:t>
      </w:r>
      <w:r w:rsidR="00B2576B" w:rsidRPr="00382917">
        <w:t>risk</w:t>
      </w:r>
      <w:r w:rsidR="00EE4FC3">
        <w:t xml:space="preserve"> </w:t>
      </w:r>
      <w:r w:rsidR="00B2576B" w:rsidRPr="00382917">
        <w:t>his</w:t>
      </w:r>
      <w:r w:rsidR="00EE4FC3">
        <w:t xml:space="preserve"> </w:t>
      </w:r>
      <w:r w:rsidR="00B2576B" w:rsidRPr="00382917">
        <w:t>life</w:t>
      </w:r>
      <w:r w:rsidR="00EE4FC3">
        <w:t xml:space="preserve"> </w:t>
      </w:r>
      <w:r w:rsidR="00B2576B" w:rsidRPr="00382917">
        <w:t>for</w:t>
      </w:r>
      <w:r w:rsidR="00EE4FC3">
        <w:t xml:space="preserve"> </w:t>
      </w:r>
      <w:r w:rsidR="00B2576B" w:rsidRPr="00382917">
        <w:t>the</w:t>
      </w:r>
      <w:r w:rsidR="00EE4FC3">
        <w:t xml:space="preserve"> </w:t>
      </w:r>
      <w:r w:rsidR="00B2576B" w:rsidRPr="00382917">
        <w:t>sake</w:t>
      </w:r>
      <w:r w:rsidR="00EE4FC3">
        <w:t xml:space="preserve"> </w:t>
      </w:r>
      <w:r w:rsidR="00B2576B" w:rsidRPr="00382917">
        <w:t>of</w:t>
      </w:r>
      <w:r w:rsidR="00EE4FC3">
        <w:t xml:space="preserve"> </w:t>
      </w:r>
      <w:r w:rsidR="00B2576B" w:rsidRPr="00382917">
        <w:t>God</w:t>
      </w:r>
      <w:r w:rsidR="00EE4FC3">
        <w:t xml:space="preserve"> </w:t>
      </w:r>
      <w:r w:rsidR="00B2576B" w:rsidRPr="00382917">
        <w:t>and</w:t>
      </w:r>
      <w:r w:rsidR="00EE4FC3">
        <w:t xml:space="preserve"> </w:t>
      </w:r>
      <w:r w:rsidR="00B2576B" w:rsidRPr="00382917">
        <w:t>ascend</w:t>
      </w:r>
      <w:r w:rsidR="00EE4FC3">
        <w:t xml:space="preserve"> </w:t>
      </w:r>
      <w:r w:rsidR="00B2576B" w:rsidRPr="00382917">
        <w:t>to</w:t>
      </w:r>
      <w:r w:rsidR="00EE4FC3">
        <w:t xml:space="preserve"> </w:t>
      </w:r>
      <w:r w:rsidR="00B2576B" w:rsidRPr="00382917">
        <w:t>the</w:t>
      </w:r>
      <w:r w:rsidR="00EE4FC3">
        <w:t xml:space="preserve"> </w:t>
      </w:r>
      <w:r w:rsidR="00B2576B" w:rsidRPr="00382917">
        <w:t>roof</w:t>
      </w:r>
      <w:r w:rsidR="00EE4FC3">
        <w:t xml:space="preserve"> </w:t>
      </w:r>
      <w:r w:rsidR="00B2576B" w:rsidRPr="00382917">
        <w:t>of</w:t>
      </w:r>
      <w:r w:rsidR="00EE4FC3">
        <w:t xml:space="preserve"> </w:t>
      </w:r>
      <w:r w:rsidR="00B2576B" w:rsidRPr="00382917">
        <w:t>the</w:t>
      </w:r>
      <w:r w:rsidR="00EE4FC3">
        <w:t xml:space="preserve"> </w:t>
      </w:r>
      <w:r w:rsidR="00B2576B" w:rsidRPr="00382917">
        <w:t>caravanserai</w:t>
      </w:r>
      <w:r w:rsidR="00EE4FC3">
        <w:t xml:space="preserve"> </w:t>
      </w:r>
      <w:r w:rsidR="00B2576B" w:rsidRPr="00382917">
        <w:t>and</w:t>
      </w:r>
      <w:r w:rsidR="00EE4FC3">
        <w:t xml:space="preserve"> </w:t>
      </w:r>
      <w:r w:rsidR="00B2576B" w:rsidRPr="00382917">
        <w:t>sound</w:t>
      </w:r>
      <w:r w:rsidR="00EE4FC3">
        <w:t xml:space="preserve"> </w:t>
      </w:r>
      <w:r w:rsidR="00B2576B" w:rsidRPr="00382917">
        <w:t>the</w:t>
      </w:r>
      <w:r w:rsidR="00EE4FC3">
        <w:t xml:space="preserve"> </w:t>
      </w:r>
      <w:r w:rsidR="00B2576B" w:rsidRPr="00382917">
        <w:t>call</w:t>
      </w:r>
      <w:r w:rsidR="00EE4FC3">
        <w:t xml:space="preserve"> </w:t>
      </w:r>
      <w:r w:rsidR="00B2576B" w:rsidRPr="00382917">
        <w:t>to</w:t>
      </w:r>
      <w:r w:rsidR="00EE4FC3">
        <w:t xml:space="preserve"> </w:t>
      </w:r>
      <w:r w:rsidR="00B2576B" w:rsidRPr="00382917">
        <w:t>prayer?</w:t>
      </w:r>
      <w:r w:rsidRPr="00382917">
        <w:t>”</w:t>
      </w:r>
    </w:p>
    <w:p w:rsidR="00B2576B" w:rsidRPr="00382917" w:rsidRDefault="00B2576B" w:rsidP="00B529E0">
      <w:pPr>
        <w:pStyle w:val="Text"/>
      </w:pPr>
      <w:r w:rsidRPr="00382917">
        <w:t>In</w:t>
      </w:r>
      <w:r w:rsidR="00EE4FC3">
        <w:t xml:space="preserve"> </w:t>
      </w:r>
      <w:r w:rsidRPr="00382917">
        <w:t>this</w:t>
      </w:r>
      <w:r w:rsidR="00EE4FC3">
        <w:t xml:space="preserve"> </w:t>
      </w:r>
      <w:r w:rsidRPr="00382917">
        <w:t>way,</w:t>
      </w:r>
      <w:r w:rsidR="00EE4FC3">
        <w:t xml:space="preserve"> </w:t>
      </w:r>
      <w:r w:rsidRPr="00382917">
        <w:t>Mullá</w:t>
      </w:r>
      <w:r w:rsidR="00EE4FC3">
        <w:t xml:space="preserve"> </w:t>
      </w:r>
      <w:r w:rsidR="00964C11" w:rsidRPr="00382917">
        <w:t>Ḥusayn</w:t>
      </w:r>
      <w:r w:rsidR="00EE4FC3">
        <w:t xml:space="preserve"> </w:t>
      </w:r>
      <w:r w:rsidRPr="00382917">
        <w:t>told</w:t>
      </w:r>
      <w:r w:rsidR="00EE4FC3">
        <w:t xml:space="preserve"> </w:t>
      </w:r>
      <w:r w:rsidRPr="00382917">
        <w:t>them,</w:t>
      </w:r>
      <w:r w:rsidR="00EE4FC3">
        <w:t xml:space="preserve"> </w:t>
      </w:r>
      <w:r w:rsidRPr="00382917">
        <w:t>they</w:t>
      </w:r>
      <w:r w:rsidR="00EE4FC3">
        <w:t xml:space="preserve"> </w:t>
      </w:r>
      <w:r w:rsidRPr="00382917">
        <w:t>would</w:t>
      </w:r>
      <w:r w:rsidR="00EE4FC3">
        <w:t xml:space="preserve"> </w:t>
      </w:r>
      <w:r w:rsidRPr="00382917">
        <w:t>demonstrate</w:t>
      </w:r>
      <w:r w:rsidR="00EE4FC3">
        <w:t xml:space="preserve"> </w:t>
      </w:r>
      <w:r w:rsidRPr="00382917">
        <w:t>to</w:t>
      </w:r>
      <w:r w:rsidR="00EE4FC3">
        <w:t xml:space="preserve"> </w:t>
      </w:r>
      <w:r w:rsidRPr="00382917">
        <w:t>the</w:t>
      </w:r>
      <w:r w:rsidR="00EE4FC3">
        <w:t xml:space="preserve"> </w:t>
      </w:r>
      <w:r w:rsidRPr="00382917">
        <w:t>people</w:t>
      </w:r>
      <w:r w:rsidR="00EE4FC3">
        <w:t xml:space="preserve"> </w:t>
      </w:r>
      <w:r w:rsidRPr="00382917">
        <w:t>that</w:t>
      </w:r>
      <w:r w:rsidR="00EE4FC3">
        <w:t xml:space="preserve"> </w:t>
      </w:r>
      <w:r w:rsidRPr="00382917">
        <w:t>they</w:t>
      </w:r>
      <w:r w:rsidR="00EE4FC3">
        <w:t xml:space="preserve"> </w:t>
      </w:r>
      <w:r w:rsidRPr="00382917">
        <w:t>were</w:t>
      </w:r>
      <w:r w:rsidR="00EE4FC3">
        <w:t xml:space="preserve"> </w:t>
      </w:r>
      <w:r w:rsidRPr="00382917">
        <w:t>not</w:t>
      </w:r>
      <w:r w:rsidR="00EE4FC3">
        <w:t xml:space="preserve"> </w:t>
      </w:r>
      <w:r w:rsidRPr="00382917">
        <w:t>enemies,</w:t>
      </w:r>
      <w:r w:rsidR="00EE4FC3">
        <w:t xml:space="preserve"> </w:t>
      </w:r>
      <w:r w:rsidRPr="00382917">
        <w:t>but</w:t>
      </w:r>
      <w:r w:rsidR="00EE4FC3">
        <w:t xml:space="preserve"> </w:t>
      </w:r>
      <w:r w:rsidRPr="00382917">
        <w:t>friends;</w:t>
      </w:r>
      <w:r w:rsidR="00EE4FC3">
        <w:t xml:space="preserve"> </w:t>
      </w:r>
      <w:r w:rsidRPr="00382917">
        <w:t>that</w:t>
      </w:r>
      <w:r w:rsidR="00EE4FC3">
        <w:t xml:space="preserve"> </w:t>
      </w:r>
      <w:r w:rsidRPr="00382917">
        <w:t>they</w:t>
      </w:r>
      <w:r w:rsidR="00EE4FC3">
        <w:t xml:space="preserve"> </w:t>
      </w:r>
      <w:r w:rsidRPr="00382917">
        <w:t>were</w:t>
      </w:r>
      <w:r w:rsidR="00EE4FC3">
        <w:t xml:space="preserve"> </w:t>
      </w:r>
      <w:r w:rsidRPr="00382917">
        <w:t>lovers</w:t>
      </w:r>
      <w:r w:rsidR="00EE4FC3">
        <w:t xml:space="preserve"> </w:t>
      </w:r>
      <w:r w:rsidRPr="00382917">
        <w:t>of</w:t>
      </w:r>
      <w:r w:rsidR="00EE4FC3">
        <w:t xml:space="preserve"> </w:t>
      </w:r>
      <w:r w:rsidRPr="00382917">
        <w:t>Isl</w:t>
      </w:r>
      <w:r w:rsidR="00B529E0" w:rsidRPr="00382917">
        <w:t>á</w:t>
      </w:r>
      <w:r w:rsidRPr="00382917">
        <w:t>m.</w:t>
      </w:r>
    </w:p>
    <w:p w:rsidR="00B2576B" w:rsidRPr="00382917" w:rsidRDefault="00B2576B" w:rsidP="00B2576B">
      <w:pPr>
        <w:pStyle w:val="Text"/>
      </w:pPr>
      <w:r w:rsidRPr="00382917">
        <w:t>A</w:t>
      </w:r>
      <w:r w:rsidR="00EE4FC3">
        <w:t xml:space="preserve"> </w:t>
      </w:r>
      <w:r w:rsidRPr="00382917">
        <w:t>youth</w:t>
      </w:r>
      <w:r w:rsidR="00EE4FC3">
        <w:t xml:space="preserve"> </w:t>
      </w:r>
      <w:r w:rsidRPr="00382917">
        <w:t>gladly</w:t>
      </w:r>
      <w:r w:rsidR="00EE4FC3">
        <w:t xml:space="preserve"> </w:t>
      </w:r>
      <w:r w:rsidRPr="00382917">
        <w:t>responded</w:t>
      </w:r>
      <w:r w:rsidR="00A93643">
        <w:t>.</w:t>
      </w:r>
      <w:r w:rsidR="00EE4FC3">
        <w:t xml:space="preserve">  </w:t>
      </w:r>
      <w:r w:rsidRPr="00382917">
        <w:t>No</w:t>
      </w:r>
      <w:r w:rsidR="00EE4FC3">
        <w:t xml:space="preserve"> </w:t>
      </w:r>
      <w:r w:rsidRPr="00382917">
        <w:t>sooner</w:t>
      </w:r>
      <w:r w:rsidR="00EE4FC3">
        <w:t xml:space="preserve"> </w:t>
      </w:r>
      <w:r w:rsidRPr="00382917">
        <w:t>had</w:t>
      </w:r>
      <w:r w:rsidR="00EE4FC3">
        <w:t xml:space="preserve"> </w:t>
      </w:r>
      <w:r w:rsidRPr="00382917">
        <w:t>the</w:t>
      </w:r>
      <w:r w:rsidR="00EE4FC3">
        <w:t xml:space="preserve"> </w:t>
      </w:r>
      <w:r w:rsidRPr="00382917">
        <w:t>melodious</w:t>
      </w:r>
      <w:r w:rsidR="00EE4FC3">
        <w:t xml:space="preserve"> </w:t>
      </w:r>
      <w:r w:rsidRPr="00382917">
        <w:t>words</w:t>
      </w:r>
      <w:r w:rsidR="00EE4FC3">
        <w:t xml:space="preserve"> </w:t>
      </w:r>
      <w:r w:rsidRPr="00382917">
        <w:t>of</w:t>
      </w:r>
      <w:r w:rsidR="00EE4FC3">
        <w:t xml:space="preserve"> </w:t>
      </w:r>
      <w:r w:rsidR="009C713D" w:rsidRPr="00382917">
        <w:t>“</w:t>
      </w:r>
      <w:r w:rsidRPr="00382917">
        <w:t>God</w:t>
      </w:r>
      <w:r w:rsidR="00EE4FC3">
        <w:t xml:space="preserve"> </w:t>
      </w:r>
      <w:r w:rsidRPr="00382917">
        <w:t>is</w:t>
      </w:r>
      <w:r w:rsidR="00EE4FC3">
        <w:t xml:space="preserve"> </w:t>
      </w:r>
      <w:r w:rsidRPr="00382917">
        <w:t>great!</w:t>
      </w:r>
      <w:r w:rsidR="009C713D" w:rsidRPr="00382917">
        <w:t>”</w:t>
      </w:r>
      <w:r w:rsidR="00EE4FC3">
        <w:t xml:space="preserve"> </w:t>
      </w:r>
      <w:r w:rsidRPr="00382917">
        <w:t>echoed</w:t>
      </w:r>
      <w:r w:rsidR="00EE4FC3">
        <w:t xml:space="preserve"> </w:t>
      </w:r>
      <w:r w:rsidRPr="00382917">
        <w:t>over</w:t>
      </w:r>
      <w:r w:rsidR="00EE4FC3">
        <w:t xml:space="preserve"> </w:t>
      </w:r>
      <w:r w:rsidRPr="00382917">
        <w:t>the</w:t>
      </w:r>
      <w:r w:rsidR="00EE4FC3">
        <w:t xml:space="preserve"> </w:t>
      </w:r>
      <w:r w:rsidRPr="00382917">
        <w:t>countryside</w:t>
      </w:r>
      <w:r w:rsidR="00EE4FC3">
        <w:t xml:space="preserve"> </w:t>
      </w:r>
      <w:r w:rsidRPr="00382917">
        <w:t>than</w:t>
      </w:r>
      <w:r w:rsidR="00EE4FC3">
        <w:t xml:space="preserve"> </w:t>
      </w:r>
      <w:r w:rsidRPr="00382917">
        <w:t>a</w:t>
      </w:r>
      <w:r w:rsidR="00EE4FC3">
        <w:t xml:space="preserve"> </w:t>
      </w:r>
      <w:r w:rsidRPr="00382917">
        <w:t>bullet</w:t>
      </w:r>
      <w:r w:rsidR="00EE4FC3">
        <w:t xml:space="preserve"> </w:t>
      </w:r>
      <w:r w:rsidRPr="00382917">
        <w:t>struck</w:t>
      </w:r>
      <w:r w:rsidR="00EE4FC3">
        <w:t xml:space="preserve"> </w:t>
      </w:r>
      <w:r w:rsidRPr="00382917">
        <w:t>him,</w:t>
      </w:r>
      <w:r w:rsidR="00EE4FC3">
        <w:t xml:space="preserve"> </w:t>
      </w:r>
      <w:r w:rsidRPr="00382917">
        <w:t>killing</w:t>
      </w:r>
      <w:r w:rsidR="00EE4FC3">
        <w:t xml:space="preserve"> </w:t>
      </w:r>
      <w:r w:rsidRPr="00382917">
        <w:t>him</w:t>
      </w:r>
      <w:r w:rsidR="00EE4FC3">
        <w:t xml:space="preserve"> </w:t>
      </w:r>
      <w:r w:rsidRPr="00382917">
        <w:t>instantly.</w:t>
      </w:r>
    </w:p>
    <w:p w:rsidR="00B2576B" w:rsidRPr="00382917" w:rsidRDefault="009C713D" w:rsidP="00B2576B">
      <w:pPr>
        <w:pStyle w:val="Text"/>
      </w:pPr>
      <w:r w:rsidRPr="00382917">
        <w:t>“</w:t>
      </w:r>
      <w:r w:rsidR="00B2576B" w:rsidRPr="00382917">
        <w:t>Let</w:t>
      </w:r>
      <w:r w:rsidR="00EE4FC3">
        <w:t xml:space="preserve"> </w:t>
      </w:r>
      <w:r w:rsidR="00B2576B" w:rsidRPr="00382917">
        <w:t>another</w:t>
      </w:r>
      <w:r w:rsidR="00EE4FC3">
        <w:t xml:space="preserve"> </w:t>
      </w:r>
      <w:r w:rsidR="00B2576B" w:rsidRPr="00382917">
        <w:t>arise,</w:t>
      </w:r>
      <w:r w:rsidRPr="00382917">
        <w:t>”</w:t>
      </w:r>
      <w:r w:rsidR="00EE4FC3">
        <w:t xml:space="preserve"> </w:t>
      </w:r>
      <w:r w:rsidR="00B2576B" w:rsidRPr="00382917">
        <w:t>Mullá</w:t>
      </w:r>
      <w:r w:rsidR="00EE4FC3">
        <w:t xml:space="preserve"> </w:t>
      </w:r>
      <w:r w:rsidR="00964C11" w:rsidRPr="00382917">
        <w:t>Ḥusayn</w:t>
      </w:r>
      <w:r w:rsidR="00EE4FC3">
        <w:t xml:space="preserve"> </w:t>
      </w:r>
      <w:r w:rsidR="00B2576B" w:rsidRPr="00382917">
        <w:t>urged</w:t>
      </w:r>
      <w:r w:rsidR="00EE4FC3">
        <w:t xml:space="preserve"> </w:t>
      </w:r>
      <w:r w:rsidR="00B2576B" w:rsidRPr="00382917">
        <w:t>them,</w:t>
      </w:r>
      <w:r w:rsidR="00EE4FC3">
        <w:t xml:space="preserve"> </w:t>
      </w:r>
      <w:r w:rsidRPr="00382917">
        <w:t>“</w:t>
      </w:r>
      <w:r w:rsidR="00B2576B" w:rsidRPr="00382917">
        <w:t>and,</w:t>
      </w:r>
      <w:r w:rsidR="00EE4FC3">
        <w:t xml:space="preserve"> </w:t>
      </w:r>
      <w:r w:rsidR="00B2576B" w:rsidRPr="00382917">
        <w:t>with</w:t>
      </w:r>
      <w:r w:rsidR="00EE4FC3">
        <w:t xml:space="preserve"> </w:t>
      </w:r>
      <w:r w:rsidR="00B2576B" w:rsidRPr="00382917">
        <w:t>the</w:t>
      </w:r>
      <w:r w:rsidR="00EE4FC3">
        <w:t xml:space="preserve"> </w:t>
      </w:r>
      <w:r w:rsidR="00B2576B" w:rsidRPr="00382917">
        <w:t>self</w:t>
      </w:r>
      <w:r w:rsidR="00B529E0" w:rsidRPr="00382917">
        <w:t>-</w:t>
      </w:r>
      <w:r w:rsidR="00B2576B" w:rsidRPr="00382917">
        <w:t>same</w:t>
      </w:r>
      <w:r w:rsidR="00EE4FC3">
        <w:t xml:space="preserve"> </w:t>
      </w:r>
      <w:r w:rsidR="00B2576B" w:rsidRPr="00382917">
        <w:t>renunciation,</w:t>
      </w:r>
      <w:r w:rsidR="00EE4FC3">
        <w:t xml:space="preserve"> </w:t>
      </w:r>
      <w:r w:rsidR="00B2576B" w:rsidRPr="00382917">
        <w:t>proceed</w:t>
      </w:r>
      <w:r w:rsidR="00EE4FC3">
        <w:t xml:space="preserve"> </w:t>
      </w:r>
      <w:r w:rsidR="00B2576B" w:rsidRPr="00382917">
        <w:t>with</w:t>
      </w:r>
      <w:r w:rsidR="00EE4FC3">
        <w:t xml:space="preserve"> </w:t>
      </w:r>
      <w:r w:rsidR="00B2576B" w:rsidRPr="00382917">
        <w:t>the</w:t>
      </w:r>
      <w:r w:rsidR="00EE4FC3">
        <w:t xml:space="preserve"> </w:t>
      </w:r>
      <w:r w:rsidR="00B2576B" w:rsidRPr="00382917">
        <w:t>prayer</w:t>
      </w:r>
      <w:r w:rsidR="00EE4FC3">
        <w:t xml:space="preserve"> </w:t>
      </w:r>
      <w:r w:rsidR="00B2576B" w:rsidRPr="00382917">
        <w:t>which</w:t>
      </w:r>
      <w:r w:rsidR="00EE4FC3">
        <w:t xml:space="preserve"> </w:t>
      </w:r>
      <w:r w:rsidR="00B2576B" w:rsidRPr="00382917">
        <w:t>that</w:t>
      </w:r>
      <w:r w:rsidR="00EE4FC3">
        <w:t xml:space="preserve"> </w:t>
      </w:r>
      <w:r w:rsidR="00B2576B" w:rsidRPr="00382917">
        <w:t>youth</w:t>
      </w:r>
      <w:r w:rsidR="00EE4FC3">
        <w:t xml:space="preserve"> </w:t>
      </w:r>
      <w:r w:rsidR="00B2576B" w:rsidRPr="00382917">
        <w:t>was</w:t>
      </w:r>
      <w:r w:rsidR="00EE4FC3">
        <w:t xml:space="preserve"> </w:t>
      </w:r>
      <w:r w:rsidR="00B2576B" w:rsidRPr="00382917">
        <w:t>unable</w:t>
      </w:r>
      <w:r w:rsidR="00EE4FC3">
        <w:t xml:space="preserve"> </w:t>
      </w:r>
      <w:r w:rsidR="00B2576B" w:rsidRPr="00382917">
        <w:t>to</w:t>
      </w:r>
      <w:r w:rsidR="00EE4FC3">
        <w:t xml:space="preserve"> </w:t>
      </w:r>
      <w:r w:rsidR="00B2576B" w:rsidRPr="00382917">
        <w:t>finish.</w:t>
      </w:r>
      <w:r w:rsidRPr="00382917">
        <w:t>”</w:t>
      </w:r>
    </w:p>
    <w:p w:rsidR="00B2576B" w:rsidRPr="00382917" w:rsidRDefault="00B2576B" w:rsidP="00B2576B">
      <w:pPr>
        <w:pStyle w:val="Text"/>
      </w:pPr>
      <w:r w:rsidRPr="00382917">
        <w:t>Another</w:t>
      </w:r>
      <w:r w:rsidR="00EE4FC3">
        <w:t xml:space="preserve"> </w:t>
      </w:r>
      <w:r w:rsidRPr="00382917">
        <w:t>young</w:t>
      </w:r>
      <w:r w:rsidR="00EE4FC3">
        <w:t xml:space="preserve"> </w:t>
      </w:r>
      <w:r w:rsidRPr="00382917">
        <w:t>man</w:t>
      </w:r>
      <w:r w:rsidR="00EE4FC3">
        <w:t xml:space="preserve"> </w:t>
      </w:r>
      <w:r w:rsidRPr="00382917">
        <w:t>mounted</w:t>
      </w:r>
      <w:r w:rsidR="00EE4FC3">
        <w:t xml:space="preserve"> </w:t>
      </w:r>
      <w:r w:rsidRPr="00382917">
        <w:t>to</w:t>
      </w:r>
      <w:r w:rsidR="00EE4FC3">
        <w:t xml:space="preserve"> </w:t>
      </w:r>
      <w:r w:rsidRPr="00382917">
        <w:t>the</w:t>
      </w:r>
      <w:r w:rsidR="00EE4FC3">
        <w:t xml:space="preserve"> </w:t>
      </w:r>
      <w:r w:rsidRPr="00382917">
        <w:t>roof</w:t>
      </w:r>
      <w:r w:rsidR="00EE4FC3">
        <w:t xml:space="preserve"> </w:t>
      </w:r>
      <w:r w:rsidRPr="00382917">
        <w:t>and</w:t>
      </w:r>
      <w:r w:rsidR="00EE4FC3">
        <w:t xml:space="preserve"> </w:t>
      </w:r>
      <w:r w:rsidRPr="00382917">
        <w:t>began</w:t>
      </w:r>
      <w:r w:rsidR="00EE4FC3">
        <w:t xml:space="preserve"> </w:t>
      </w:r>
      <w:r w:rsidRPr="00382917">
        <w:t>to</w:t>
      </w:r>
      <w:r w:rsidR="00EE4FC3">
        <w:t xml:space="preserve"> </w:t>
      </w:r>
      <w:r w:rsidRPr="00382917">
        <w:t>chant</w:t>
      </w:r>
      <w:r w:rsidR="00EE4FC3">
        <w:t xml:space="preserve"> </w:t>
      </w:r>
      <w:r w:rsidRPr="00382917">
        <w:t>the</w:t>
      </w:r>
      <w:r w:rsidR="00EE4FC3">
        <w:t xml:space="preserve"> </w:t>
      </w:r>
      <w:r w:rsidRPr="00382917">
        <w:t>words</w:t>
      </w:r>
      <w:r w:rsidR="00C03C91">
        <w:t>:</w:t>
      </w:r>
      <w:r w:rsidR="00EE4FC3">
        <w:t xml:space="preserve">  </w:t>
      </w:r>
      <w:r w:rsidR="009C713D" w:rsidRPr="00382917">
        <w:t>“</w:t>
      </w:r>
      <w:r w:rsidRPr="00382917">
        <w:t>I</w:t>
      </w:r>
      <w:r w:rsidR="00EE4FC3">
        <w:t xml:space="preserve"> </w:t>
      </w:r>
      <w:r w:rsidRPr="00382917">
        <w:t>bear</w:t>
      </w:r>
      <w:r w:rsidR="00EE4FC3">
        <w:t xml:space="preserve"> </w:t>
      </w:r>
      <w:r w:rsidRPr="00382917">
        <w:t>witness</w:t>
      </w:r>
      <w:r w:rsidR="00EE4FC3">
        <w:t xml:space="preserve"> </w:t>
      </w:r>
      <w:r w:rsidRPr="00382917">
        <w:t>that</w:t>
      </w:r>
      <w:r w:rsidR="00EE4FC3">
        <w:t xml:space="preserve"> </w:t>
      </w:r>
      <w:r w:rsidR="0040329F" w:rsidRPr="00382917">
        <w:t>Mu</w:t>
      </w:r>
      <w:r w:rsidR="0040329F" w:rsidRPr="0040329F">
        <w:t>ḥ</w:t>
      </w:r>
      <w:r w:rsidR="0040329F" w:rsidRPr="00382917">
        <w:t>ammad</w:t>
      </w:r>
      <w:r w:rsidR="00EE4FC3">
        <w:t xml:space="preserve"> </w:t>
      </w:r>
      <w:r w:rsidRPr="00382917">
        <w:t>is</w:t>
      </w:r>
      <w:r w:rsidR="00EE4FC3">
        <w:t xml:space="preserve"> </w:t>
      </w:r>
      <w:r w:rsidRPr="00382917">
        <w:t>the</w:t>
      </w:r>
      <w:r w:rsidR="00EE4FC3">
        <w:t xml:space="preserve"> </w:t>
      </w:r>
      <w:r w:rsidRPr="00382917">
        <w:t>Apostle</w:t>
      </w:r>
      <w:r w:rsidR="00EE4FC3">
        <w:t xml:space="preserve"> </w:t>
      </w:r>
      <w:r w:rsidRPr="00382917">
        <w:t>of</w:t>
      </w:r>
      <w:r w:rsidR="00EE4FC3">
        <w:t xml:space="preserve"> </w:t>
      </w:r>
      <w:r w:rsidRPr="00382917">
        <w:t>God!</w:t>
      </w:r>
      <w:r w:rsidR="009C713D" w:rsidRPr="00382917">
        <w:t>”</w:t>
      </w:r>
      <w:r w:rsidR="00EE4FC3">
        <w:t xml:space="preserve">  </w:t>
      </w:r>
      <w:r w:rsidRPr="00382917">
        <w:t>His</w:t>
      </w:r>
      <w:r w:rsidR="00EE4FC3">
        <w:t xml:space="preserve"> </w:t>
      </w:r>
      <w:r w:rsidRPr="00382917">
        <w:t>testimony</w:t>
      </w:r>
      <w:r w:rsidR="00EE4FC3">
        <w:t xml:space="preserve"> </w:t>
      </w:r>
      <w:r w:rsidRPr="00382917">
        <w:t>was</w:t>
      </w:r>
      <w:r w:rsidR="00EE4FC3">
        <w:t xml:space="preserve"> </w:t>
      </w:r>
      <w:r w:rsidRPr="00382917">
        <w:t>cut</w:t>
      </w:r>
      <w:r w:rsidR="00EE4FC3">
        <w:t xml:space="preserve"> </w:t>
      </w:r>
      <w:r w:rsidRPr="00382917">
        <w:t>short</w:t>
      </w:r>
      <w:r w:rsidR="00EE4FC3">
        <w:t xml:space="preserve"> </w:t>
      </w:r>
      <w:r w:rsidRPr="00382917">
        <w:t>by</w:t>
      </w:r>
      <w:r w:rsidR="00EE4FC3">
        <w:t xml:space="preserve"> </w:t>
      </w:r>
      <w:r w:rsidRPr="00382917">
        <w:t>another</w:t>
      </w:r>
      <w:r w:rsidR="00EE4FC3">
        <w:t xml:space="preserve"> </w:t>
      </w:r>
      <w:r w:rsidRPr="00382917">
        <w:t>bullet</w:t>
      </w:r>
      <w:r w:rsidR="00EE4FC3">
        <w:t xml:space="preserve"> </w:t>
      </w:r>
      <w:r w:rsidRPr="00382917">
        <w:t>which</w:t>
      </w:r>
      <w:r w:rsidR="00EE4FC3">
        <w:t xml:space="preserve"> </w:t>
      </w:r>
      <w:r w:rsidRPr="00382917">
        <w:t>struck</w:t>
      </w:r>
      <w:r w:rsidR="00EE4FC3">
        <w:t xml:space="preserve"> </w:t>
      </w:r>
      <w:r w:rsidRPr="00382917">
        <w:t>him</w:t>
      </w:r>
      <w:r w:rsidR="00EE4FC3">
        <w:t xml:space="preserve"> </w:t>
      </w:r>
      <w:r w:rsidRPr="00382917">
        <w:t>down.</w:t>
      </w:r>
    </w:p>
    <w:p w:rsidR="00B2576B" w:rsidRPr="00382917" w:rsidRDefault="00B2576B" w:rsidP="00B2576B">
      <w:pPr>
        <w:pStyle w:val="Text"/>
      </w:pPr>
      <w:r w:rsidRPr="00382917">
        <w:t>Although</w:t>
      </w:r>
      <w:r w:rsidR="00EE4FC3">
        <w:t xml:space="preserve"> </w:t>
      </w:r>
      <w:r w:rsidRPr="00382917">
        <w:t>Muḥammad,</w:t>
      </w:r>
      <w:r w:rsidR="00EE4FC3">
        <w:t xml:space="preserve"> </w:t>
      </w:r>
      <w:r w:rsidRPr="00382917">
        <w:t>Himself,</w:t>
      </w:r>
      <w:r w:rsidR="00EE4FC3">
        <w:t xml:space="preserve"> </w:t>
      </w:r>
      <w:r w:rsidRPr="00382917">
        <w:t>had</w:t>
      </w:r>
      <w:r w:rsidR="00EE4FC3">
        <w:t xml:space="preserve"> </w:t>
      </w:r>
      <w:r w:rsidRPr="00382917">
        <w:t>commanded</w:t>
      </w:r>
      <w:r w:rsidR="00EE4FC3">
        <w:t xml:space="preserve"> </w:t>
      </w:r>
      <w:r w:rsidRPr="00382917">
        <w:t>that</w:t>
      </w:r>
      <w:r w:rsidR="00EE4FC3">
        <w:t xml:space="preserve"> </w:t>
      </w:r>
      <w:r w:rsidRPr="00382917">
        <w:t>everyone</w:t>
      </w:r>
      <w:r w:rsidR="00EE4FC3">
        <w:t xml:space="preserve"> </w:t>
      </w:r>
      <w:r w:rsidRPr="00382917">
        <w:t>should</w:t>
      </w:r>
      <w:r w:rsidR="00EE4FC3">
        <w:t xml:space="preserve"> </w:t>
      </w:r>
      <w:r w:rsidR="009C713D" w:rsidRPr="00382917">
        <w:t>“</w:t>
      </w:r>
      <w:proofErr w:type="spellStart"/>
      <w:r w:rsidRPr="00382917">
        <w:t>Honor</w:t>
      </w:r>
      <w:proofErr w:type="spellEnd"/>
      <w:r w:rsidR="00EE4FC3">
        <w:t xml:space="preserve"> </w:t>
      </w:r>
      <w:r w:rsidRPr="00382917">
        <w:t>thy</w:t>
      </w:r>
      <w:r w:rsidR="00EE4FC3">
        <w:t xml:space="preserve"> </w:t>
      </w:r>
      <w:r w:rsidRPr="00382917">
        <w:t>guest</w:t>
      </w:r>
      <w:r w:rsidR="00EE4FC3">
        <w:t xml:space="preserve"> </w:t>
      </w:r>
      <w:r w:rsidRPr="00382917">
        <w:t>though</w:t>
      </w:r>
      <w:r w:rsidR="00EE4FC3">
        <w:t xml:space="preserve"> </w:t>
      </w:r>
      <w:r w:rsidRPr="00382917">
        <w:t>he</w:t>
      </w:r>
      <w:r w:rsidR="00EE4FC3">
        <w:t xml:space="preserve"> </w:t>
      </w:r>
      <w:r w:rsidRPr="00382917">
        <w:t>be</w:t>
      </w:r>
      <w:r w:rsidR="00EE4FC3">
        <w:t xml:space="preserve"> </w:t>
      </w:r>
      <w:r w:rsidRPr="00382917">
        <w:t>an</w:t>
      </w:r>
      <w:r w:rsidR="00EE4FC3">
        <w:t xml:space="preserve"> </w:t>
      </w:r>
      <w:r w:rsidRPr="00382917">
        <w:t>infidel,</w:t>
      </w:r>
      <w:r w:rsidR="009C713D" w:rsidRPr="00382917">
        <w:t>”</w:t>
      </w:r>
      <w:r w:rsidR="00EE4FC3">
        <w:t xml:space="preserve"> </w:t>
      </w:r>
      <w:r w:rsidRPr="00382917">
        <w:t>still</w:t>
      </w:r>
      <w:r w:rsidR="00EE4FC3">
        <w:t xml:space="preserve"> </w:t>
      </w:r>
      <w:r w:rsidRPr="00382917">
        <w:t>these</w:t>
      </w:r>
      <w:r w:rsidR="00EE4FC3">
        <w:t xml:space="preserve"> </w:t>
      </w:r>
      <w:r w:rsidRPr="00382917">
        <w:t>companions</w:t>
      </w:r>
      <w:r w:rsidR="00EE4FC3">
        <w:t xml:space="preserve"> </w:t>
      </w:r>
      <w:r w:rsidRPr="00382917">
        <w:t>who</w:t>
      </w:r>
      <w:r w:rsidR="00EE4FC3">
        <w:t xml:space="preserve"> </w:t>
      </w:r>
      <w:r w:rsidRPr="00382917">
        <w:t>were</w:t>
      </w:r>
      <w:r w:rsidR="00EE4FC3">
        <w:t xml:space="preserve"> </w:t>
      </w:r>
      <w:r w:rsidRPr="00382917">
        <w:t>lodged</w:t>
      </w:r>
      <w:r w:rsidR="00EE4FC3">
        <w:t xml:space="preserve"> </w:t>
      </w:r>
      <w:r w:rsidRPr="00382917">
        <w:t>for</w:t>
      </w:r>
      <w:r w:rsidR="00EE4FC3">
        <w:t xml:space="preserve"> </w:t>
      </w:r>
      <w:r w:rsidRPr="00382917">
        <w:t>the</w:t>
      </w:r>
      <w:r w:rsidR="00EE4FC3">
        <w:t xml:space="preserve"> </w:t>
      </w:r>
      <w:r w:rsidRPr="00382917">
        <w:t>night</w:t>
      </w:r>
      <w:r w:rsidR="00EE4FC3">
        <w:t xml:space="preserve"> </w:t>
      </w:r>
      <w:r w:rsidRPr="00382917">
        <w:t>in</w:t>
      </w:r>
      <w:r w:rsidR="00EE4FC3">
        <w:t xml:space="preserve"> </w:t>
      </w:r>
      <w:r w:rsidRPr="00382917">
        <w:t>the</w:t>
      </w:r>
      <w:r w:rsidR="00EE4FC3">
        <w:t xml:space="preserve"> </w:t>
      </w:r>
      <w:r w:rsidRPr="00382917">
        <w:t>village</w:t>
      </w:r>
      <w:r w:rsidR="00EE4FC3">
        <w:t xml:space="preserve"> </w:t>
      </w:r>
      <w:r w:rsidRPr="00382917">
        <w:t>caravanserai</w:t>
      </w:r>
      <w:r w:rsidR="00EE4FC3">
        <w:t xml:space="preserve"> </w:t>
      </w:r>
      <w:r w:rsidRPr="00382917">
        <w:t>were</w:t>
      </w:r>
      <w:r w:rsidR="00EE4FC3">
        <w:t xml:space="preserve"> </w:t>
      </w:r>
      <w:r w:rsidRPr="00382917">
        <w:t>being</w:t>
      </w:r>
      <w:r w:rsidR="00EE4FC3">
        <w:t xml:space="preserve"> </w:t>
      </w:r>
      <w:r w:rsidRPr="00382917">
        <w:t>slain</w:t>
      </w:r>
      <w:r w:rsidR="00EE4FC3">
        <w:t xml:space="preserve"> </w:t>
      </w:r>
      <w:r w:rsidRPr="00382917">
        <w:t>for</w:t>
      </w:r>
      <w:r w:rsidR="00EE4FC3">
        <w:t xml:space="preserve"> </w:t>
      </w:r>
      <w:r w:rsidRPr="00382917">
        <w:t>observing</w:t>
      </w:r>
      <w:r w:rsidR="00EE4FC3">
        <w:t xml:space="preserve"> </w:t>
      </w:r>
      <w:r w:rsidRPr="00382917">
        <w:t>out</w:t>
      </w:r>
      <w:r w:rsidR="00EE4FC3">
        <w:t xml:space="preserve"> </w:t>
      </w:r>
      <w:r w:rsidRPr="00382917">
        <w:t>of</w:t>
      </w:r>
      <w:r w:rsidR="00EE4FC3">
        <w:t xml:space="preserve"> </w:t>
      </w:r>
      <w:r w:rsidRPr="00382917">
        <w:t>respect</w:t>
      </w:r>
      <w:r w:rsidR="00EE4FC3">
        <w:t xml:space="preserve"> </w:t>
      </w:r>
      <w:r w:rsidRPr="00382917">
        <w:t>and</w:t>
      </w:r>
      <w:r w:rsidR="00EE4FC3">
        <w:t xml:space="preserve"> </w:t>
      </w:r>
      <w:r w:rsidRPr="00382917">
        <w:t>love</w:t>
      </w:r>
      <w:r w:rsidR="00EE4FC3">
        <w:t xml:space="preserve"> </w:t>
      </w:r>
      <w:r w:rsidRPr="00382917">
        <w:t>His</w:t>
      </w:r>
      <w:r w:rsidR="00EE4FC3">
        <w:t xml:space="preserve"> </w:t>
      </w:r>
      <w:r w:rsidRPr="00382917">
        <w:t>sacred</w:t>
      </w:r>
      <w:r w:rsidR="00EE4FC3">
        <w:t xml:space="preserve"> </w:t>
      </w:r>
      <w:r w:rsidRPr="00382917">
        <w:t>call</w:t>
      </w:r>
      <w:r w:rsidR="00EE4FC3">
        <w:t xml:space="preserve"> </w:t>
      </w:r>
      <w:r w:rsidRPr="00382917">
        <w:t>to</w:t>
      </w:r>
      <w:r w:rsidR="00EE4FC3">
        <w:t xml:space="preserve"> </w:t>
      </w:r>
      <w:r w:rsidRPr="00382917">
        <w:t>prayer</w:t>
      </w:r>
      <w:r w:rsidR="00A93643">
        <w:t>.</w:t>
      </w:r>
      <w:r w:rsidR="00EE4FC3">
        <w:t xml:space="preserve">  </w:t>
      </w:r>
      <w:r w:rsidRPr="00382917">
        <w:t>Mullá</w:t>
      </w:r>
      <w:r w:rsidR="00EE4FC3">
        <w:t xml:space="preserve"> </w:t>
      </w:r>
      <w:r w:rsidR="00964C11" w:rsidRPr="00382917">
        <w:t>Ḥusayn</w:t>
      </w:r>
      <w:r w:rsidR="00EE4FC3">
        <w:t xml:space="preserve"> </w:t>
      </w:r>
      <w:r w:rsidRPr="00382917">
        <w:t>entreated</w:t>
      </w:r>
      <w:r w:rsidR="00EE4FC3">
        <w:t xml:space="preserve"> </w:t>
      </w:r>
      <w:r w:rsidRPr="00382917">
        <w:t>them</w:t>
      </w:r>
      <w:r w:rsidR="00EE4FC3">
        <w:t xml:space="preserve"> </w:t>
      </w:r>
      <w:r w:rsidRPr="00382917">
        <w:t>to</w:t>
      </w:r>
      <w:r w:rsidR="00EE4FC3">
        <w:t xml:space="preserve"> </w:t>
      </w:r>
      <w:r w:rsidRPr="00382917">
        <w:t>show</w:t>
      </w:r>
      <w:r w:rsidR="00EE4FC3">
        <w:t xml:space="preserve"> </w:t>
      </w:r>
      <w:r w:rsidRPr="00382917">
        <w:t>their</w:t>
      </w:r>
      <w:r w:rsidR="00EE4FC3">
        <w:t xml:space="preserve"> </w:t>
      </w:r>
      <w:r w:rsidRPr="00382917">
        <w:t>loyalty</w:t>
      </w:r>
      <w:r w:rsidR="00EE4FC3">
        <w:t xml:space="preserve"> </w:t>
      </w:r>
      <w:r w:rsidRPr="00382917">
        <w:t>and</w:t>
      </w:r>
      <w:r w:rsidR="00EE4FC3">
        <w:t xml:space="preserve"> </w:t>
      </w:r>
      <w:r w:rsidRPr="00382917">
        <w:t>thus</w:t>
      </w:r>
      <w:r w:rsidR="00EE4FC3">
        <w:t xml:space="preserve"> </w:t>
      </w:r>
      <w:r w:rsidRPr="00382917">
        <w:t>expose</w:t>
      </w:r>
      <w:r w:rsidR="00EE4FC3">
        <w:t xml:space="preserve"> </w:t>
      </w:r>
      <w:r w:rsidRPr="00382917">
        <w:t>the</w:t>
      </w:r>
      <w:r w:rsidR="00EE4FC3">
        <w:t xml:space="preserve"> </w:t>
      </w:r>
      <w:r w:rsidRPr="00382917">
        <w:t>unfaithfulness</w:t>
      </w:r>
      <w:r w:rsidR="00EE4FC3">
        <w:t xml:space="preserve"> </w:t>
      </w:r>
      <w:r w:rsidRPr="00382917">
        <w:t>of</w:t>
      </w:r>
      <w:r w:rsidR="00EE4FC3">
        <w:t xml:space="preserve"> </w:t>
      </w:r>
      <w:r w:rsidRPr="00382917">
        <w:t>those</w:t>
      </w:r>
      <w:r w:rsidR="00EE4FC3">
        <w:t xml:space="preserve"> </w:t>
      </w:r>
      <w:r w:rsidRPr="00382917">
        <w:t>who</w:t>
      </w:r>
      <w:r w:rsidR="00EE4FC3">
        <w:t xml:space="preserve"> </w:t>
      </w:r>
      <w:r w:rsidRPr="00382917">
        <w:t>were</w:t>
      </w:r>
      <w:r w:rsidR="00EE4FC3">
        <w:t xml:space="preserve"> </w:t>
      </w:r>
      <w:r w:rsidRPr="00382917">
        <w:t>attacking</w:t>
      </w:r>
      <w:r w:rsidR="00EE4FC3">
        <w:t xml:space="preserve"> </w:t>
      </w:r>
      <w:r w:rsidRPr="00382917">
        <w:t>them.</w:t>
      </w:r>
    </w:p>
    <w:p w:rsidR="00B2576B" w:rsidRPr="00382917" w:rsidRDefault="00B2576B" w:rsidP="00B2576B">
      <w:pPr>
        <w:pStyle w:val="Text"/>
      </w:pPr>
      <w:r w:rsidRPr="00382917">
        <w:t>A</w:t>
      </w:r>
      <w:r w:rsidR="00EE4FC3">
        <w:t xml:space="preserve"> </w:t>
      </w:r>
      <w:r w:rsidRPr="00382917">
        <w:t>third</w:t>
      </w:r>
      <w:r w:rsidR="00EE4FC3">
        <w:t xml:space="preserve"> </w:t>
      </w:r>
      <w:r w:rsidRPr="00382917">
        <w:t>youth,</w:t>
      </w:r>
      <w:r w:rsidR="00EE4FC3">
        <w:t xml:space="preserve"> </w:t>
      </w:r>
      <w:r w:rsidRPr="00382917">
        <w:t>at</w:t>
      </w:r>
      <w:r w:rsidR="00EE4FC3">
        <w:t xml:space="preserve"> </w:t>
      </w:r>
      <w:r w:rsidRPr="00382917">
        <w:t>the</w:t>
      </w:r>
      <w:r w:rsidR="00EE4FC3">
        <w:t xml:space="preserve"> </w:t>
      </w:r>
      <w:r w:rsidRPr="00382917">
        <w:t>bidding</w:t>
      </w:r>
      <w:r w:rsidR="00EE4FC3">
        <w:t xml:space="preserve"> </w:t>
      </w:r>
      <w:r w:rsidRPr="00382917">
        <w:t>of</w:t>
      </w:r>
      <w:r w:rsidR="00EE4FC3">
        <w:t xml:space="preserve"> </w:t>
      </w:r>
      <w:r w:rsidRPr="00382917">
        <w:t>Mullá</w:t>
      </w:r>
      <w:r w:rsidR="00EE4FC3">
        <w:t xml:space="preserve"> </w:t>
      </w:r>
      <w:r w:rsidR="00964C11" w:rsidRPr="00382917">
        <w:t>Ḥusayn</w:t>
      </w:r>
      <w:r w:rsidRPr="00382917">
        <w:t>,</w:t>
      </w:r>
      <w:r w:rsidR="00EE4FC3">
        <w:t xml:space="preserve"> </w:t>
      </w:r>
      <w:r w:rsidRPr="00382917">
        <w:t>attempted</w:t>
      </w:r>
      <w:r w:rsidR="00EE4FC3">
        <w:t xml:space="preserve"> </w:t>
      </w:r>
      <w:r w:rsidRPr="00382917">
        <w:t>to</w:t>
      </w:r>
      <w:r w:rsidR="00EE4FC3">
        <w:t xml:space="preserve"> </w:t>
      </w:r>
      <w:r w:rsidRPr="00382917">
        <w:t>complete</w:t>
      </w:r>
      <w:r w:rsidR="00EE4FC3">
        <w:t xml:space="preserve"> </w:t>
      </w:r>
      <w:r w:rsidRPr="00382917">
        <w:t>the</w:t>
      </w:r>
      <w:r w:rsidR="00EE4FC3">
        <w:t xml:space="preserve"> </w:t>
      </w:r>
      <w:r w:rsidRPr="00382917">
        <w:t>prayer</w:t>
      </w:r>
      <w:r w:rsidR="00EE4FC3">
        <w:t xml:space="preserve"> </w:t>
      </w:r>
      <w:r w:rsidRPr="00382917">
        <w:t>which</w:t>
      </w:r>
      <w:r w:rsidR="00EE4FC3">
        <w:t xml:space="preserve"> </w:t>
      </w:r>
      <w:r w:rsidRPr="00382917">
        <w:t>his</w:t>
      </w:r>
      <w:r w:rsidR="00EE4FC3">
        <w:t xml:space="preserve"> </w:t>
      </w:r>
      <w:r w:rsidRPr="00382917">
        <w:t>two</w:t>
      </w:r>
      <w:r w:rsidR="00EE4FC3">
        <w:t xml:space="preserve"> </w:t>
      </w:r>
      <w:r w:rsidRPr="00382917">
        <w:t>martyred</w:t>
      </w:r>
      <w:r w:rsidR="00EE4FC3">
        <w:t xml:space="preserve"> </w:t>
      </w:r>
      <w:r w:rsidRPr="00382917">
        <w:t>companions</w:t>
      </w:r>
      <w:r w:rsidR="00EE4FC3">
        <w:t xml:space="preserve"> </w:t>
      </w:r>
      <w:r w:rsidRPr="00382917">
        <w:t>had</w:t>
      </w:r>
      <w:r w:rsidR="00EE4FC3">
        <w:t xml:space="preserve"> </w:t>
      </w:r>
      <w:r w:rsidRPr="00382917">
        <w:t>left</w:t>
      </w:r>
      <w:r w:rsidR="00EE4FC3">
        <w:t xml:space="preserve"> </w:t>
      </w:r>
      <w:r w:rsidRPr="00382917">
        <w:t>unfinished</w:t>
      </w:r>
      <w:r w:rsidR="00A93643">
        <w:t>.</w:t>
      </w:r>
      <w:r w:rsidR="00EE4FC3">
        <w:t xml:space="preserve">  </w:t>
      </w:r>
      <w:r w:rsidRPr="00382917">
        <w:t>He,</w:t>
      </w:r>
      <w:r w:rsidR="00EE4FC3">
        <w:t xml:space="preserve"> </w:t>
      </w:r>
      <w:r w:rsidRPr="00382917">
        <w:t>too,</w:t>
      </w:r>
      <w:r w:rsidR="00EE4FC3">
        <w:t xml:space="preserve"> </w:t>
      </w:r>
      <w:r w:rsidRPr="00382917">
        <w:t>suffered</w:t>
      </w:r>
      <w:r w:rsidR="00EE4FC3">
        <w:t xml:space="preserve"> </w:t>
      </w:r>
      <w:r w:rsidRPr="00382917">
        <w:t>the</w:t>
      </w:r>
      <w:r w:rsidR="00EE4FC3">
        <w:t xml:space="preserve"> </w:t>
      </w:r>
      <w:r w:rsidRPr="00382917">
        <w:t>same</w:t>
      </w:r>
      <w:r w:rsidR="00EE4FC3">
        <w:t xml:space="preserve"> </w:t>
      </w:r>
      <w:r w:rsidRPr="00382917">
        <w:t>fate</w:t>
      </w:r>
      <w:r w:rsidR="00A93643">
        <w:t>.</w:t>
      </w:r>
      <w:r w:rsidR="00EE4FC3">
        <w:t xml:space="preserve">  </w:t>
      </w:r>
      <w:r w:rsidRPr="00382917">
        <w:t>As</w:t>
      </w:r>
      <w:r w:rsidR="00EE4FC3">
        <w:t xml:space="preserve"> </w:t>
      </w:r>
      <w:r w:rsidRPr="00382917">
        <w:t>he</w:t>
      </w:r>
      <w:r w:rsidR="00EE4FC3">
        <w:t xml:space="preserve"> </w:t>
      </w:r>
      <w:r w:rsidRPr="00382917">
        <w:t>approached</w:t>
      </w:r>
      <w:r w:rsidR="00EE4FC3">
        <w:t xml:space="preserve"> </w:t>
      </w:r>
      <w:r w:rsidRPr="00382917">
        <w:t>the</w:t>
      </w:r>
      <w:r w:rsidR="00EE4FC3">
        <w:t xml:space="preserve"> </w:t>
      </w:r>
      <w:r w:rsidRPr="00382917">
        <w:t>end</w:t>
      </w:r>
      <w:r w:rsidR="00EE4FC3">
        <w:t xml:space="preserve"> </w:t>
      </w:r>
      <w:r w:rsidRPr="00382917">
        <w:t>of</w:t>
      </w:r>
      <w:r w:rsidR="00EE4FC3">
        <w:t xml:space="preserve"> </w:t>
      </w:r>
      <w:r w:rsidRPr="00382917">
        <w:t>his</w:t>
      </w:r>
      <w:r w:rsidR="00EE4FC3">
        <w:t xml:space="preserve"> </w:t>
      </w:r>
      <w:r w:rsidRPr="00382917">
        <w:t>prayer,</w:t>
      </w:r>
      <w:r w:rsidR="00EE4FC3">
        <w:t xml:space="preserve"> </w:t>
      </w:r>
      <w:r w:rsidRPr="00382917">
        <w:t>and</w:t>
      </w:r>
      <w:r w:rsidR="00EE4FC3">
        <w:t xml:space="preserve"> </w:t>
      </w:r>
      <w:r w:rsidRPr="00382917">
        <w:t>with</w:t>
      </w:r>
      <w:r w:rsidR="00EE4FC3">
        <w:t xml:space="preserve"> </w:t>
      </w:r>
      <w:r w:rsidRPr="00382917">
        <w:t>power</w:t>
      </w:r>
      <w:r w:rsidR="00EE4FC3">
        <w:t xml:space="preserve"> </w:t>
      </w:r>
      <w:r w:rsidRPr="00382917">
        <w:t>and</w:t>
      </w:r>
      <w:r w:rsidR="00EE4FC3">
        <w:t xml:space="preserve"> </w:t>
      </w:r>
      <w:proofErr w:type="spellStart"/>
      <w:r w:rsidRPr="00382917">
        <w:t>vigor</w:t>
      </w:r>
      <w:proofErr w:type="spellEnd"/>
      <w:r w:rsidR="00EE4FC3">
        <w:t xml:space="preserve"> </w:t>
      </w:r>
      <w:r w:rsidRPr="00382917">
        <w:t>called</w:t>
      </w:r>
      <w:r w:rsidR="00EE4FC3">
        <w:t xml:space="preserve"> </w:t>
      </w:r>
      <w:r w:rsidRPr="00382917">
        <w:t>out</w:t>
      </w:r>
      <w:r w:rsidR="00EE4FC3">
        <w:t xml:space="preserve"> </w:t>
      </w:r>
      <w:r w:rsidRPr="00382917">
        <w:t>the</w:t>
      </w:r>
      <w:r w:rsidR="00EE4FC3">
        <w:t xml:space="preserve"> </w:t>
      </w:r>
      <w:r w:rsidRPr="00382917">
        <w:t>words,</w:t>
      </w:r>
      <w:r w:rsidR="00EE4FC3">
        <w:t xml:space="preserve"> </w:t>
      </w:r>
      <w:r w:rsidR="009C713D" w:rsidRPr="00382917">
        <w:t>“</w:t>
      </w:r>
      <w:r w:rsidRPr="00382917">
        <w:t>There</w:t>
      </w:r>
      <w:r w:rsidR="00EE4FC3">
        <w:t xml:space="preserve"> </w:t>
      </w:r>
      <w:r w:rsidRPr="00382917">
        <w:t>is</w:t>
      </w:r>
      <w:r w:rsidR="00EE4FC3">
        <w:t xml:space="preserve"> </w:t>
      </w:r>
      <w:r w:rsidRPr="00382917">
        <w:t>no</w:t>
      </w:r>
      <w:r w:rsidR="00EE4FC3">
        <w:t xml:space="preserve"> </w:t>
      </w:r>
      <w:r w:rsidRPr="00382917">
        <w:t>God</w:t>
      </w:r>
      <w:r w:rsidR="00EE4FC3">
        <w:t xml:space="preserve"> </w:t>
      </w:r>
      <w:r w:rsidRPr="00382917">
        <w:t>but</w:t>
      </w:r>
      <w:r w:rsidR="00EE4FC3">
        <w:t xml:space="preserve"> </w:t>
      </w:r>
      <w:r w:rsidRPr="00382917">
        <w:t>God,</w:t>
      </w:r>
      <w:r w:rsidR="009C713D" w:rsidRPr="00382917">
        <w:t>”</w:t>
      </w:r>
      <w:r w:rsidR="00EE4FC3">
        <w:t xml:space="preserve"> </w:t>
      </w:r>
      <w:r w:rsidRPr="00382917">
        <w:t>he</w:t>
      </w:r>
      <w:r w:rsidR="00EE4FC3">
        <w:t xml:space="preserve"> </w:t>
      </w:r>
      <w:r w:rsidRPr="00382917">
        <w:t>in</w:t>
      </w:r>
      <w:r w:rsidR="00EE4FC3">
        <w:t xml:space="preserve"> </w:t>
      </w:r>
      <w:r w:rsidRPr="00382917">
        <w:t>his</w:t>
      </w:r>
      <w:r w:rsidR="00EE4FC3">
        <w:t xml:space="preserve"> </w:t>
      </w:r>
      <w:r w:rsidRPr="00382917">
        <w:t>turn,</w:t>
      </w:r>
      <w:r w:rsidR="00EE4FC3">
        <w:t xml:space="preserve"> </w:t>
      </w:r>
      <w:r w:rsidRPr="00382917">
        <w:t>fell</w:t>
      </w:r>
      <w:r w:rsidR="00EE4FC3">
        <w:t xml:space="preserve"> </w:t>
      </w:r>
      <w:r w:rsidRPr="00382917">
        <w:t>dead.</w:t>
      </w:r>
    </w:p>
    <w:p w:rsidR="00B2576B" w:rsidRPr="00382917" w:rsidRDefault="00B2576B" w:rsidP="00B2576B">
      <w:pPr>
        <w:pStyle w:val="Text"/>
      </w:pPr>
      <w:r w:rsidRPr="00382917">
        <w:t>Such</w:t>
      </w:r>
      <w:r w:rsidR="00EE4FC3">
        <w:t xml:space="preserve"> </w:t>
      </w:r>
      <w:r w:rsidRPr="00382917">
        <w:t>ruthless</w:t>
      </w:r>
      <w:r w:rsidR="00EE4FC3">
        <w:t xml:space="preserve"> </w:t>
      </w:r>
      <w:proofErr w:type="spellStart"/>
      <w:r w:rsidRPr="00382917">
        <w:t>behavior</w:t>
      </w:r>
      <w:proofErr w:type="spellEnd"/>
      <w:r w:rsidR="00EE4FC3">
        <w:t xml:space="preserve"> </w:t>
      </w:r>
      <w:r w:rsidRPr="00382917">
        <w:t>impelled</w:t>
      </w:r>
      <w:r w:rsidR="00EE4FC3">
        <w:t xml:space="preserve"> </w:t>
      </w:r>
      <w:r w:rsidRPr="00382917">
        <w:t>Mullá</w:t>
      </w:r>
      <w:r w:rsidR="00EE4FC3">
        <w:t xml:space="preserve"> </w:t>
      </w:r>
      <w:r w:rsidR="00964C11" w:rsidRPr="00382917">
        <w:t>Ḥusayn</w:t>
      </w:r>
      <w:r w:rsidR="00EE4FC3">
        <w:t xml:space="preserve"> </w:t>
      </w:r>
      <w:r w:rsidRPr="00382917">
        <w:t>to</w:t>
      </w:r>
      <w:r w:rsidR="00EE4FC3">
        <w:t xml:space="preserve"> </w:t>
      </w:r>
      <w:r w:rsidRPr="00382917">
        <w:t>throw</w:t>
      </w:r>
      <w:r w:rsidR="00EE4FC3">
        <w:t xml:space="preserve"> </w:t>
      </w:r>
      <w:r w:rsidRPr="00382917">
        <w:t>open</w:t>
      </w:r>
      <w:r w:rsidR="00EE4FC3">
        <w:t xml:space="preserve"> </w:t>
      </w:r>
      <w:r w:rsidRPr="00382917">
        <w:t>the</w:t>
      </w:r>
    </w:p>
    <w:p w:rsidR="00B2576B" w:rsidRPr="00382917" w:rsidRDefault="00B2576B">
      <w:pPr>
        <w:widowControl/>
        <w:kinsoku/>
        <w:overflowPunct/>
        <w:textAlignment w:val="auto"/>
      </w:pPr>
      <w:r w:rsidRPr="00382917">
        <w:br w:type="page"/>
      </w:r>
    </w:p>
    <w:p w:rsidR="00B2576B" w:rsidRPr="00382917" w:rsidRDefault="00B2576B" w:rsidP="00B2576B">
      <w:pPr>
        <w:pStyle w:val="Textcts"/>
      </w:pPr>
      <w:proofErr w:type="gramStart"/>
      <w:r w:rsidRPr="00382917">
        <w:t>gates</w:t>
      </w:r>
      <w:proofErr w:type="gramEnd"/>
      <w:r w:rsidR="00EE4FC3">
        <w:t xml:space="preserve"> </w:t>
      </w:r>
      <w:r w:rsidRPr="00382917">
        <w:t>of</w:t>
      </w:r>
      <w:r w:rsidR="00EE4FC3">
        <w:t xml:space="preserve"> </w:t>
      </w:r>
      <w:r w:rsidRPr="00382917">
        <w:t>the</w:t>
      </w:r>
      <w:r w:rsidR="00EE4FC3">
        <w:t xml:space="preserve"> </w:t>
      </w:r>
      <w:r w:rsidRPr="00382917">
        <w:t>caravanserai</w:t>
      </w:r>
      <w:r w:rsidR="00A93643">
        <w:t>.</w:t>
      </w:r>
      <w:r w:rsidR="00EE4FC3">
        <w:t xml:space="preserve">  </w:t>
      </w:r>
      <w:r w:rsidRPr="00382917">
        <w:t>He</w:t>
      </w:r>
      <w:r w:rsidR="00EE4FC3">
        <w:t xml:space="preserve"> </w:t>
      </w:r>
      <w:r w:rsidRPr="00382917">
        <w:t>leaped</w:t>
      </w:r>
      <w:r w:rsidR="00EE4FC3">
        <w:t xml:space="preserve"> </w:t>
      </w:r>
      <w:r w:rsidRPr="00382917">
        <w:t>onto</w:t>
      </w:r>
      <w:r w:rsidR="00EE4FC3">
        <w:t xml:space="preserve"> </w:t>
      </w:r>
      <w:r w:rsidRPr="00382917">
        <w:t>his</w:t>
      </w:r>
      <w:r w:rsidR="00EE4FC3">
        <w:t xml:space="preserve"> </w:t>
      </w:r>
      <w:r w:rsidRPr="00382917">
        <w:t>horse,</w:t>
      </w:r>
      <w:r w:rsidR="00EE4FC3">
        <w:t xml:space="preserve"> </w:t>
      </w:r>
      <w:r w:rsidRPr="00382917">
        <w:t>gave</w:t>
      </w:r>
      <w:r w:rsidR="00EE4FC3">
        <w:t xml:space="preserve"> </w:t>
      </w:r>
      <w:r w:rsidRPr="00382917">
        <w:t>the</w:t>
      </w:r>
      <w:r w:rsidR="00EE4FC3">
        <w:t xml:space="preserve"> </w:t>
      </w:r>
      <w:r w:rsidRPr="00382917">
        <w:t>signal</w:t>
      </w:r>
      <w:r w:rsidR="00EE4FC3">
        <w:t xml:space="preserve"> </w:t>
      </w:r>
      <w:r w:rsidRPr="00382917">
        <w:t>to</w:t>
      </w:r>
      <w:r w:rsidR="00EE4FC3">
        <w:t xml:space="preserve"> </w:t>
      </w:r>
      <w:r w:rsidRPr="00382917">
        <w:t>charge,</w:t>
      </w:r>
      <w:r w:rsidR="00EE4FC3">
        <w:t xml:space="preserve"> </w:t>
      </w:r>
      <w:r w:rsidRPr="00382917">
        <w:t>and</w:t>
      </w:r>
      <w:r w:rsidR="00EE4FC3">
        <w:t xml:space="preserve"> </w:t>
      </w:r>
      <w:r w:rsidRPr="00382917">
        <w:t>at</w:t>
      </w:r>
      <w:r w:rsidR="00EE4FC3">
        <w:t xml:space="preserve"> </w:t>
      </w:r>
      <w:r w:rsidRPr="00382917">
        <w:t>the</w:t>
      </w:r>
      <w:r w:rsidR="00EE4FC3">
        <w:t xml:space="preserve"> </w:t>
      </w:r>
      <w:r w:rsidRPr="00382917">
        <w:t>head</w:t>
      </w:r>
      <w:r w:rsidR="00EE4FC3">
        <w:t xml:space="preserve"> </w:t>
      </w:r>
      <w:r w:rsidRPr="00382917">
        <w:t>of</w:t>
      </w:r>
      <w:r w:rsidR="00EE4FC3">
        <w:t xml:space="preserve"> </w:t>
      </w:r>
      <w:r w:rsidRPr="00382917">
        <w:t>his</w:t>
      </w:r>
      <w:r w:rsidR="00EE4FC3">
        <w:t xml:space="preserve"> </w:t>
      </w:r>
      <w:r w:rsidRPr="00382917">
        <w:t>companions</w:t>
      </w:r>
      <w:r w:rsidR="00EE4FC3">
        <w:t xml:space="preserve"> </w:t>
      </w:r>
      <w:r w:rsidRPr="00382917">
        <w:t>he</w:t>
      </w:r>
      <w:r w:rsidR="00EE4FC3">
        <w:t xml:space="preserve"> </w:t>
      </w:r>
      <w:r w:rsidRPr="00382917">
        <w:t>swept</w:t>
      </w:r>
      <w:r w:rsidR="00EE4FC3">
        <w:t xml:space="preserve"> </w:t>
      </w:r>
      <w:r w:rsidRPr="00382917">
        <w:t>out</w:t>
      </w:r>
      <w:r w:rsidR="00EE4FC3">
        <w:t xml:space="preserve"> </w:t>
      </w:r>
      <w:r w:rsidRPr="00382917">
        <w:t>upon</w:t>
      </w:r>
      <w:r w:rsidR="00EE4FC3">
        <w:t xml:space="preserve"> </w:t>
      </w:r>
      <w:r w:rsidRPr="00382917">
        <w:t>the</w:t>
      </w:r>
      <w:r w:rsidR="00EE4FC3">
        <w:t xml:space="preserve"> </w:t>
      </w:r>
      <w:r w:rsidRPr="00382917">
        <w:t>assailants</w:t>
      </w:r>
      <w:r w:rsidR="00EE4FC3">
        <w:t xml:space="preserve"> </w:t>
      </w:r>
      <w:r w:rsidRPr="00382917">
        <w:t>who</w:t>
      </w:r>
      <w:r w:rsidR="00EE4FC3">
        <w:t xml:space="preserve"> </w:t>
      </w:r>
      <w:r w:rsidRPr="00382917">
        <w:t>had</w:t>
      </w:r>
      <w:r w:rsidR="00EE4FC3">
        <w:t xml:space="preserve"> </w:t>
      </w:r>
      <w:r w:rsidRPr="00382917">
        <w:t>been</w:t>
      </w:r>
      <w:r w:rsidR="00EE4FC3">
        <w:t xml:space="preserve"> </w:t>
      </w:r>
      <w:r w:rsidRPr="00382917">
        <w:t>massing</w:t>
      </w:r>
      <w:r w:rsidR="00EE4FC3">
        <w:t xml:space="preserve"> </w:t>
      </w:r>
      <w:r w:rsidRPr="00382917">
        <w:t>before</w:t>
      </w:r>
      <w:r w:rsidR="00EE4FC3">
        <w:t xml:space="preserve"> </w:t>
      </w:r>
      <w:r w:rsidRPr="00382917">
        <w:t>the</w:t>
      </w:r>
      <w:r w:rsidR="00EE4FC3">
        <w:t xml:space="preserve"> </w:t>
      </w:r>
      <w:r w:rsidRPr="00382917">
        <w:t>gates</w:t>
      </w:r>
      <w:r w:rsidR="00A93643">
        <w:t>.</w:t>
      </w:r>
      <w:r w:rsidR="00EE4FC3">
        <w:t xml:space="preserve">  </w:t>
      </w:r>
      <w:r w:rsidRPr="00382917">
        <w:t>They</w:t>
      </w:r>
      <w:r w:rsidR="00EE4FC3">
        <w:t xml:space="preserve"> </w:t>
      </w:r>
      <w:r w:rsidRPr="00382917">
        <w:t>fled</w:t>
      </w:r>
      <w:r w:rsidR="00EE4FC3">
        <w:t xml:space="preserve"> </w:t>
      </w:r>
      <w:r w:rsidRPr="00382917">
        <w:t>before</w:t>
      </w:r>
      <w:r w:rsidR="00EE4FC3">
        <w:t xml:space="preserve"> </w:t>
      </w:r>
      <w:r w:rsidRPr="00382917">
        <w:t>the</w:t>
      </w:r>
      <w:r w:rsidR="00EE4FC3">
        <w:t xml:space="preserve"> </w:t>
      </w:r>
      <w:r w:rsidRPr="00382917">
        <w:t>fury</w:t>
      </w:r>
      <w:r w:rsidR="00EE4FC3">
        <w:t xml:space="preserve"> </w:t>
      </w:r>
      <w:r w:rsidRPr="00382917">
        <w:t>of</w:t>
      </w:r>
      <w:r w:rsidR="00EE4FC3">
        <w:t xml:space="preserve"> </w:t>
      </w:r>
      <w:r w:rsidRPr="00382917">
        <w:t>his</w:t>
      </w:r>
      <w:r w:rsidR="00EE4FC3">
        <w:t xml:space="preserve"> </w:t>
      </w:r>
      <w:r w:rsidRPr="00382917">
        <w:t>onslaught</w:t>
      </w:r>
      <w:r w:rsidR="00A93643">
        <w:t>.</w:t>
      </w:r>
      <w:r w:rsidR="00EE4FC3">
        <w:t xml:space="preserve">  </w:t>
      </w:r>
      <w:r w:rsidRPr="00382917">
        <w:t>It</w:t>
      </w:r>
      <w:r w:rsidR="00EE4FC3">
        <w:t xml:space="preserve"> </w:t>
      </w:r>
      <w:r w:rsidRPr="00382917">
        <w:t>was</w:t>
      </w:r>
      <w:r w:rsidR="00EE4FC3">
        <w:t xml:space="preserve"> </w:t>
      </w:r>
      <w:r w:rsidRPr="00382917">
        <w:t>the</w:t>
      </w:r>
      <w:r w:rsidR="00EE4FC3">
        <w:t xml:space="preserve"> </w:t>
      </w:r>
      <w:r w:rsidRPr="00382917">
        <w:t>story</w:t>
      </w:r>
      <w:r w:rsidR="00EE4FC3">
        <w:t xml:space="preserve"> </w:t>
      </w:r>
      <w:r w:rsidRPr="00382917">
        <w:t>of</w:t>
      </w:r>
      <w:r w:rsidR="00EE4FC3">
        <w:t xml:space="preserve"> </w:t>
      </w:r>
      <w:r w:rsidR="00814CFC" w:rsidRPr="00382917">
        <w:t>Bárfurú</w:t>
      </w:r>
      <w:r w:rsidR="00814CFC" w:rsidRPr="00814CFC">
        <w:rPr>
          <w:u w:val="single"/>
        </w:rPr>
        <w:t>sh</w:t>
      </w:r>
      <w:r w:rsidR="00EE4FC3">
        <w:t xml:space="preserve"> </w:t>
      </w:r>
      <w:r w:rsidRPr="00382917">
        <w:t>repeated</w:t>
      </w:r>
      <w:r w:rsidR="00C03C91">
        <w:t>:</w:t>
      </w:r>
      <w:r w:rsidR="00EE4FC3">
        <w:t xml:space="preserve">  </w:t>
      </w:r>
      <w:r w:rsidRPr="00382917">
        <w:t>again</w:t>
      </w:r>
      <w:r w:rsidR="00EE4FC3">
        <w:t xml:space="preserve"> </w:t>
      </w:r>
      <w:r w:rsidRPr="00382917">
        <w:t>the</w:t>
      </w:r>
      <w:r w:rsidR="00EE4FC3">
        <w:t xml:space="preserve"> </w:t>
      </w:r>
      <w:r w:rsidRPr="00382917">
        <w:t>enemy</w:t>
      </w:r>
      <w:r w:rsidR="00EE4FC3">
        <w:t xml:space="preserve"> </w:t>
      </w:r>
      <w:r w:rsidRPr="00382917">
        <w:t>fled</w:t>
      </w:r>
      <w:r w:rsidR="00EE4FC3">
        <w:t xml:space="preserve"> </w:t>
      </w:r>
      <w:r w:rsidRPr="00382917">
        <w:t>in</w:t>
      </w:r>
      <w:r w:rsidR="00EE4FC3">
        <w:t xml:space="preserve"> </w:t>
      </w:r>
      <w:r w:rsidRPr="00382917">
        <w:t>panic,</w:t>
      </w:r>
      <w:r w:rsidR="00EE4FC3">
        <w:t xml:space="preserve"> </w:t>
      </w:r>
      <w:r w:rsidRPr="00382917">
        <w:t>again</w:t>
      </w:r>
      <w:r w:rsidR="00EE4FC3">
        <w:t xml:space="preserve"> </w:t>
      </w:r>
      <w:r w:rsidRPr="00382917">
        <w:t>they</w:t>
      </w:r>
      <w:r w:rsidR="00EE4FC3">
        <w:t xml:space="preserve"> </w:t>
      </w:r>
      <w:r w:rsidRPr="00382917">
        <w:t>pleaded</w:t>
      </w:r>
      <w:r w:rsidR="00EE4FC3">
        <w:t xml:space="preserve"> </w:t>
      </w:r>
      <w:r w:rsidRPr="00382917">
        <w:t>for</w:t>
      </w:r>
      <w:r w:rsidR="00EE4FC3">
        <w:t xml:space="preserve"> </w:t>
      </w:r>
      <w:r w:rsidRPr="00382917">
        <w:t>peace,</w:t>
      </w:r>
      <w:r w:rsidR="00EE4FC3">
        <w:t xml:space="preserve"> </w:t>
      </w:r>
      <w:r w:rsidRPr="00382917">
        <w:t>again</w:t>
      </w:r>
      <w:r w:rsidR="00EE4FC3">
        <w:t xml:space="preserve"> </w:t>
      </w:r>
      <w:r w:rsidRPr="00382917">
        <w:t>they</w:t>
      </w:r>
      <w:r w:rsidR="00EE4FC3">
        <w:t xml:space="preserve"> </w:t>
      </w:r>
      <w:r w:rsidRPr="00382917">
        <w:t>implored</w:t>
      </w:r>
      <w:r w:rsidR="00EE4FC3">
        <w:t xml:space="preserve"> </w:t>
      </w:r>
      <w:r w:rsidRPr="00382917">
        <w:t>for</w:t>
      </w:r>
      <w:r w:rsidR="00EE4FC3">
        <w:t xml:space="preserve"> </w:t>
      </w:r>
      <w:r w:rsidRPr="00382917">
        <w:t>mercy.</w:t>
      </w:r>
    </w:p>
    <w:p w:rsidR="00B2576B" w:rsidRPr="00382917" w:rsidRDefault="00B2576B" w:rsidP="00B2576B">
      <w:pPr>
        <w:pStyle w:val="Text"/>
      </w:pPr>
      <w:r w:rsidRPr="00382917">
        <w:t>This</w:t>
      </w:r>
      <w:r w:rsidR="00EE4FC3">
        <w:t xml:space="preserve"> </w:t>
      </w:r>
      <w:r w:rsidRPr="00382917">
        <w:t>was</w:t>
      </w:r>
      <w:r w:rsidR="00EE4FC3">
        <w:t xml:space="preserve"> </w:t>
      </w:r>
      <w:r w:rsidRPr="00382917">
        <w:t>to</w:t>
      </w:r>
      <w:r w:rsidR="00EE4FC3">
        <w:t xml:space="preserve"> </w:t>
      </w:r>
      <w:r w:rsidRPr="00382917">
        <w:t>be</w:t>
      </w:r>
      <w:r w:rsidR="00EE4FC3">
        <w:t xml:space="preserve"> </w:t>
      </w:r>
      <w:r w:rsidRPr="00382917">
        <w:t>the</w:t>
      </w:r>
      <w:r w:rsidR="00EE4FC3">
        <w:t xml:space="preserve"> </w:t>
      </w:r>
      <w:r w:rsidRPr="00382917">
        <w:t>first</w:t>
      </w:r>
      <w:r w:rsidR="00EE4FC3">
        <w:t xml:space="preserve"> </w:t>
      </w:r>
      <w:r w:rsidRPr="00382917">
        <w:t>in</w:t>
      </w:r>
      <w:r w:rsidR="00EE4FC3">
        <w:t xml:space="preserve"> </w:t>
      </w:r>
      <w:r w:rsidRPr="00382917">
        <w:t>a</w:t>
      </w:r>
      <w:r w:rsidR="00EE4FC3">
        <w:t xml:space="preserve"> </w:t>
      </w:r>
      <w:r w:rsidRPr="00382917">
        <w:t>series</w:t>
      </w:r>
      <w:r w:rsidR="00EE4FC3">
        <w:t xml:space="preserve"> </w:t>
      </w:r>
      <w:r w:rsidRPr="00382917">
        <w:t>of</w:t>
      </w:r>
      <w:r w:rsidR="00EE4FC3">
        <w:t xml:space="preserve"> </w:t>
      </w:r>
      <w:r w:rsidRPr="00382917">
        <w:t>such</w:t>
      </w:r>
      <w:r w:rsidR="00EE4FC3">
        <w:t xml:space="preserve"> </w:t>
      </w:r>
      <w:r w:rsidRPr="00382917">
        <w:t>encounters</w:t>
      </w:r>
      <w:r w:rsidR="00EE4FC3">
        <w:t xml:space="preserve"> </w:t>
      </w:r>
      <w:r w:rsidRPr="00382917">
        <w:t>which</w:t>
      </w:r>
      <w:r w:rsidR="00EE4FC3">
        <w:t xml:space="preserve"> </w:t>
      </w:r>
      <w:r w:rsidRPr="00382917">
        <w:t>were</w:t>
      </w:r>
      <w:r w:rsidR="00EE4FC3">
        <w:t xml:space="preserve"> </w:t>
      </w:r>
      <w:r w:rsidRPr="00382917">
        <w:t>to</w:t>
      </w:r>
      <w:r w:rsidR="00EE4FC3">
        <w:t xml:space="preserve"> </w:t>
      </w:r>
      <w:r w:rsidRPr="00382917">
        <w:t>last</w:t>
      </w:r>
      <w:r w:rsidR="00EE4FC3">
        <w:t xml:space="preserve"> </w:t>
      </w:r>
      <w:r w:rsidRPr="00382917">
        <w:t>for</w:t>
      </w:r>
      <w:r w:rsidR="00EE4FC3">
        <w:t xml:space="preserve"> </w:t>
      </w:r>
      <w:r w:rsidRPr="00382917">
        <w:t>nearly</w:t>
      </w:r>
      <w:r w:rsidR="00EE4FC3">
        <w:t xml:space="preserve"> </w:t>
      </w:r>
      <w:r w:rsidRPr="00382917">
        <w:t>a</w:t>
      </w:r>
      <w:r w:rsidR="00EE4FC3">
        <w:t xml:space="preserve"> </w:t>
      </w:r>
      <w:r w:rsidRPr="00382917">
        <w:t>year</w:t>
      </w:r>
      <w:r w:rsidR="00A93643">
        <w:t>.</w:t>
      </w:r>
      <w:r w:rsidR="00EE4FC3">
        <w:t xml:space="preserve">  </w:t>
      </w:r>
      <w:r w:rsidRPr="00382917">
        <w:t>The</w:t>
      </w:r>
      <w:r w:rsidR="00EE4FC3">
        <w:t xml:space="preserve"> </w:t>
      </w:r>
      <w:r w:rsidRPr="00382917">
        <w:t>believers</w:t>
      </w:r>
      <w:r w:rsidR="00EE4FC3">
        <w:t xml:space="preserve"> </w:t>
      </w:r>
      <w:r w:rsidRPr="00382917">
        <w:t>met</w:t>
      </w:r>
      <w:r w:rsidR="00EE4FC3">
        <w:t xml:space="preserve"> </w:t>
      </w:r>
      <w:r w:rsidRPr="00382917">
        <w:t>every</w:t>
      </w:r>
      <w:r w:rsidR="00EE4FC3">
        <w:t xml:space="preserve"> </w:t>
      </w:r>
      <w:r w:rsidRPr="00382917">
        <w:t>attack</w:t>
      </w:r>
      <w:r w:rsidR="00EE4FC3">
        <w:t xml:space="preserve"> </w:t>
      </w:r>
      <w:r w:rsidRPr="00382917">
        <w:t>with</w:t>
      </w:r>
      <w:r w:rsidR="00EE4FC3">
        <w:t xml:space="preserve"> </w:t>
      </w:r>
      <w:r w:rsidRPr="00382917">
        <w:t>a</w:t>
      </w:r>
      <w:r w:rsidR="00EE4FC3">
        <w:t xml:space="preserve"> </w:t>
      </w:r>
      <w:r w:rsidRPr="00382917">
        <w:t>counter-attack</w:t>
      </w:r>
      <w:r w:rsidR="00EE4FC3">
        <w:t xml:space="preserve"> </w:t>
      </w:r>
      <w:r w:rsidRPr="00382917">
        <w:t>and</w:t>
      </w:r>
      <w:r w:rsidR="00EE4FC3">
        <w:t xml:space="preserve"> </w:t>
      </w:r>
      <w:r w:rsidRPr="00382917">
        <w:t>time</w:t>
      </w:r>
      <w:r w:rsidR="00EE4FC3">
        <w:t xml:space="preserve"> </w:t>
      </w:r>
      <w:r w:rsidRPr="00382917">
        <w:t>after</w:t>
      </w:r>
      <w:r w:rsidR="00EE4FC3">
        <w:t xml:space="preserve"> </w:t>
      </w:r>
      <w:r w:rsidRPr="00382917">
        <w:t>time</w:t>
      </w:r>
      <w:r w:rsidR="00EE4FC3">
        <w:t xml:space="preserve"> </w:t>
      </w:r>
      <w:r w:rsidRPr="00382917">
        <w:t>humiliated</w:t>
      </w:r>
      <w:r w:rsidR="00EE4FC3">
        <w:t xml:space="preserve"> </w:t>
      </w:r>
      <w:r w:rsidRPr="00382917">
        <w:t>their</w:t>
      </w:r>
      <w:r w:rsidR="00EE4FC3">
        <w:t xml:space="preserve"> </w:t>
      </w:r>
      <w:r w:rsidRPr="00382917">
        <w:t>opponents</w:t>
      </w:r>
      <w:r w:rsidR="00A93643">
        <w:t>.</w:t>
      </w:r>
      <w:r w:rsidR="00EE4FC3">
        <w:t xml:space="preserve">  </w:t>
      </w:r>
      <w:r w:rsidRPr="00382917">
        <w:t>They</w:t>
      </w:r>
      <w:r w:rsidR="00EE4FC3">
        <w:t xml:space="preserve"> </w:t>
      </w:r>
      <w:r w:rsidRPr="00382917">
        <w:t>would</w:t>
      </w:r>
      <w:r w:rsidR="00EE4FC3">
        <w:t xml:space="preserve"> </w:t>
      </w:r>
      <w:r w:rsidRPr="00382917">
        <w:t>rally</w:t>
      </w:r>
      <w:r w:rsidR="00EE4FC3">
        <w:t xml:space="preserve"> </w:t>
      </w:r>
      <w:r w:rsidRPr="00382917">
        <w:t>to</w:t>
      </w:r>
      <w:r w:rsidR="00EE4FC3">
        <w:t xml:space="preserve"> </w:t>
      </w:r>
      <w:r w:rsidRPr="00382917">
        <w:t>the</w:t>
      </w:r>
      <w:r w:rsidR="00EE4FC3">
        <w:t xml:space="preserve"> </w:t>
      </w:r>
      <w:r w:rsidRPr="00382917">
        <w:t>encouraging</w:t>
      </w:r>
      <w:r w:rsidR="00EE4FC3">
        <w:t xml:space="preserve"> </w:t>
      </w:r>
      <w:r w:rsidRPr="00382917">
        <w:t>cry</w:t>
      </w:r>
      <w:r w:rsidR="00EE4FC3">
        <w:t xml:space="preserve"> </w:t>
      </w:r>
      <w:r w:rsidRPr="00382917">
        <w:t>of</w:t>
      </w:r>
      <w:r w:rsidR="00EE4FC3">
        <w:t xml:space="preserve"> </w:t>
      </w:r>
      <w:r w:rsidRPr="00382917">
        <w:t>Mullá</w:t>
      </w:r>
      <w:r w:rsidR="00EE4FC3">
        <w:t xml:space="preserve"> </w:t>
      </w:r>
      <w:r w:rsidR="00964C11" w:rsidRPr="00382917">
        <w:t>Ḥusayn</w:t>
      </w:r>
      <w:r w:rsidRPr="00382917">
        <w:t>,</w:t>
      </w:r>
      <w:r w:rsidR="00EE4FC3">
        <w:t xml:space="preserve"> </w:t>
      </w:r>
      <w:r w:rsidRPr="00382917">
        <w:t>which</w:t>
      </w:r>
      <w:r w:rsidR="00EE4FC3">
        <w:t xml:space="preserve"> </w:t>
      </w:r>
      <w:r w:rsidRPr="00382917">
        <w:t>all</w:t>
      </w:r>
      <w:r w:rsidR="00EE4FC3">
        <w:t xml:space="preserve"> </w:t>
      </w:r>
      <w:r w:rsidRPr="00382917">
        <w:t>took</w:t>
      </w:r>
      <w:r w:rsidR="00EE4FC3">
        <w:t xml:space="preserve"> </w:t>
      </w:r>
      <w:r w:rsidRPr="00382917">
        <w:t>up</w:t>
      </w:r>
      <w:r w:rsidR="00EE4FC3">
        <w:t xml:space="preserve"> </w:t>
      </w:r>
      <w:r w:rsidRPr="00382917">
        <w:t>in</w:t>
      </w:r>
      <w:r w:rsidR="00EE4FC3">
        <w:t xml:space="preserve"> </w:t>
      </w:r>
      <w:r w:rsidRPr="00382917">
        <w:t>turn:</w:t>
      </w:r>
    </w:p>
    <w:p w:rsidR="00B2576B" w:rsidRPr="00382917" w:rsidRDefault="009C713D" w:rsidP="00B2576B">
      <w:pPr>
        <w:pStyle w:val="Text"/>
      </w:pPr>
      <w:r w:rsidRPr="00382917">
        <w:t>“</w:t>
      </w:r>
      <w:r w:rsidR="00B2576B" w:rsidRPr="00382917">
        <w:t>Mount</w:t>
      </w:r>
      <w:r w:rsidR="00EE4FC3">
        <w:t xml:space="preserve"> </w:t>
      </w:r>
      <w:r w:rsidR="00B2576B" w:rsidRPr="00382917">
        <w:t>your</w:t>
      </w:r>
      <w:r w:rsidR="00EE4FC3">
        <w:t xml:space="preserve"> </w:t>
      </w:r>
      <w:r w:rsidR="00B2576B" w:rsidRPr="00382917">
        <w:t>steeds,</w:t>
      </w:r>
      <w:r w:rsidR="00EE4FC3">
        <w:t xml:space="preserve"> </w:t>
      </w:r>
      <w:r w:rsidR="00B2576B" w:rsidRPr="00382917">
        <w:t>O</w:t>
      </w:r>
      <w:r w:rsidR="00EE4FC3">
        <w:t xml:space="preserve"> </w:t>
      </w:r>
      <w:r w:rsidR="00B2576B" w:rsidRPr="00382917">
        <w:t>heroes</w:t>
      </w:r>
      <w:r w:rsidR="00EE4FC3">
        <w:t xml:space="preserve"> </w:t>
      </w:r>
      <w:r w:rsidR="00B2576B" w:rsidRPr="00382917">
        <w:t>of</w:t>
      </w:r>
      <w:r w:rsidR="00EE4FC3">
        <w:t xml:space="preserve"> </w:t>
      </w:r>
      <w:r w:rsidR="00B2576B" w:rsidRPr="00382917">
        <w:t>God!</w:t>
      </w:r>
      <w:r w:rsidRPr="00382917">
        <w:t>”</w:t>
      </w:r>
    </w:p>
    <w:p w:rsidR="00B2576B" w:rsidRPr="00382917" w:rsidRDefault="00B2576B" w:rsidP="00B2576B">
      <w:pPr>
        <w:pStyle w:val="Text"/>
      </w:pPr>
      <w:r w:rsidRPr="00382917">
        <w:t>Mullá</w:t>
      </w:r>
      <w:r w:rsidR="00EE4FC3">
        <w:t xml:space="preserve"> </w:t>
      </w:r>
      <w:r w:rsidR="00964C11" w:rsidRPr="00382917">
        <w:t>Ḥusayn</w:t>
      </w:r>
      <w:r w:rsidR="00EE4FC3">
        <w:t xml:space="preserve"> </w:t>
      </w:r>
      <w:r w:rsidRPr="00382917">
        <w:t>and</w:t>
      </w:r>
      <w:r w:rsidR="00EE4FC3">
        <w:t xml:space="preserve"> </w:t>
      </w:r>
      <w:r w:rsidRPr="00382917">
        <w:t>his</w:t>
      </w:r>
      <w:r w:rsidR="00EE4FC3">
        <w:t xml:space="preserve"> </w:t>
      </w:r>
      <w:r w:rsidRPr="00382917">
        <w:t>companions</w:t>
      </w:r>
      <w:r w:rsidR="00EE4FC3">
        <w:t xml:space="preserve"> </w:t>
      </w:r>
      <w:r w:rsidRPr="00382917">
        <w:t>finally</w:t>
      </w:r>
      <w:r w:rsidR="00EE4FC3">
        <w:t xml:space="preserve"> </w:t>
      </w:r>
      <w:r w:rsidRPr="00382917">
        <w:t>arrived</w:t>
      </w:r>
      <w:r w:rsidR="00EE4FC3">
        <w:t xml:space="preserve"> </w:t>
      </w:r>
      <w:r w:rsidRPr="00382917">
        <w:t>at</w:t>
      </w:r>
      <w:r w:rsidR="00EE4FC3">
        <w:t xml:space="preserve"> </w:t>
      </w:r>
      <w:r w:rsidRPr="00382917">
        <w:t>the</w:t>
      </w:r>
      <w:r w:rsidR="00EE4FC3">
        <w:t xml:space="preserve"> </w:t>
      </w:r>
      <w:r w:rsidRPr="00382917">
        <w:t>small</w:t>
      </w:r>
      <w:r w:rsidR="00EE4FC3">
        <w:t xml:space="preserve"> </w:t>
      </w:r>
      <w:r w:rsidRPr="00382917">
        <w:t>shrine</w:t>
      </w:r>
      <w:r w:rsidR="00EE4FC3">
        <w:t xml:space="preserve"> </w:t>
      </w:r>
      <w:r w:rsidR="008A073E" w:rsidRPr="00382917">
        <w:rPr>
          <w:u w:val="single"/>
        </w:rPr>
        <w:t>Sh</w:t>
      </w:r>
      <w:r w:rsidR="008A073E" w:rsidRPr="00382917">
        <w:t>ay</w:t>
      </w:r>
      <w:r w:rsidR="008A073E" w:rsidRPr="00382917">
        <w:rPr>
          <w:u w:val="single"/>
        </w:rPr>
        <w:t>kh</w:t>
      </w:r>
      <w:r w:rsidR="00EE4FC3">
        <w:t xml:space="preserve"> </w:t>
      </w:r>
      <w:r w:rsidRPr="00382917">
        <w:t>Ṭabarsí</w:t>
      </w:r>
      <w:r w:rsidR="00EE4FC3">
        <w:t xml:space="preserve"> </w:t>
      </w:r>
      <w:r w:rsidRPr="00382917">
        <w:t>about</w:t>
      </w:r>
      <w:r w:rsidR="00EE4FC3">
        <w:t xml:space="preserve"> </w:t>
      </w:r>
      <w:r w:rsidRPr="00382917">
        <w:t>fourteen</w:t>
      </w:r>
      <w:r w:rsidR="00EE4FC3">
        <w:t xml:space="preserve"> </w:t>
      </w:r>
      <w:r w:rsidRPr="00382917">
        <w:t>miles</w:t>
      </w:r>
      <w:r w:rsidR="00EE4FC3">
        <w:t xml:space="preserve"> </w:t>
      </w:r>
      <w:r w:rsidRPr="00382917">
        <w:t>from</w:t>
      </w:r>
      <w:r w:rsidR="00EE4FC3">
        <w:t xml:space="preserve"> </w:t>
      </w:r>
      <w:r w:rsidR="00814CFC" w:rsidRPr="00382917">
        <w:t>Bárfurú</w:t>
      </w:r>
      <w:r w:rsidR="00814CFC" w:rsidRPr="00814CFC">
        <w:rPr>
          <w:u w:val="single"/>
        </w:rPr>
        <w:t>sh</w:t>
      </w:r>
      <w:r w:rsidR="00A93643">
        <w:t>.</w:t>
      </w:r>
      <w:r w:rsidR="00EE4FC3">
        <w:t xml:space="preserve">  </w:t>
      </w:r>
      <w:r w:rsidRPr="00382917">
        <w:t>They</w:t>
      </w:r>
      <w:r w:rsidR="00EE4FC3">
        <w:t xml:space="preserve"> </w:t>
      </w:r>
      <w:r w:rsidRPr="00382917">
        <w:t>hoped</w:t>
      </w:r>
      <w:r w:rsidR="00EE4FC3">
        <w:t xml:space="preserve"> </w:t>
      </w:r>
      <w:r w:rsidRPr="00382917">
        <w:t>that</w:t>
      </w:r>
      <w:r w:rsidR="00EE4FC3">
        <w:t xml:space="preserve"> </w:t>
      </w:r>
      <w:r w:rsidRPr="00382917">
        <w:t>by</w:t>
      </w:r>
      <w:r w:rsidR="00EE4FC3">
        <w:t xml:space="preserve"> </w:t>
      </w:r>
      <w:r w:rsidRPr="00382917">
        <w:t>withdrawing,</w:t>
      </w:r>
      <w:r w:rsidR="00EE4FC3">
        <w:t xml:space="preserve"> </w:t>
      </w:r>
      <w:r w:rsidRPr="00382917">
        <w:t>the</w:t>
      </w:r>
      <w:r w:rsidR="00EE4FC3">
        <w:t xml:space="preserve"> </w:t>
      </w:r>
      <w:r w:rsidRPr="00382917">
        <w:t>onslaught</w:t>
      </w:r>
      <w:r w:rsidR="00EE4FC3">
        <w:t xml:space="preserve"> </w:t>
      </w:r>
      <w:r w:rsidRPr="00382917">
        <w:t>against</w:t>
      </w:r>
      <w:r w:rsidR="00EE4FC3">
        <w:t xml:space="preserve"> </w:t>
      </w:r>
      <w:r w:rsidRPr="00382917">
        <w:t>them</w:t>
      </w:r>
      <w:r w:rsidR="00EE4FC3">
        <w:t xml:space="preserve"> </w:t>
      </w:r>
      <w:r w:rsidRPr="00382917">
        <w:t>might</w:t>
      </w:r>
      <w:r w:rsidR="00EE4FC3">
        <w:t xml:space="preserve"> </w:t>
      </w:r>
      <w:r w:rsidRPr="00382917">
        <w:t>cease,</w:t>
      </w:r>
      <w:r w:rsidR="00EE4FC3">
        <w:t xml:space="preserve"> </w:t>
      </w:r>
      <w:r w:rsidRPr="00382917">
        <w:t>and</w:t>
      </w:r>
      <w:r w:rsidR="00EE4FC3">
        <w:t xml:space="preserve"> </w:t>
      </w:r>
      <w:r w:rsidRPr="00382917">
        <w:t>that</w:t>
      </w:r>
      <w:r w:rsidR="00EE4FC3">
        <w:t xml:space="preserve"> </w:t>
      </w:r>
      <w:r w:rsidRPr="00382917">
        <w:t>after</w:t>
      </w:r>
      <w:r w:rsidR="00EE4FC3">
        <w:t xml:space="preserve"> </w:t>
      </w:r>
      <w:r w:rsidRPr="00382917">
        <w:t>a</w:t>
      </w:r>
      <w:r w:rsidR="00EE4FC3">
        <w:t xml:space="preserve"> </w:t>
      </w:r>
      <w:r w:rsidRPr="00382917">
        <w:t>reasonable</w:t>
      </w:r>
      <w:r w:rsidR="00EE4FC3">
        <w:t xml:space="preserve"> </w:t>
      </w:r>
      <w:r w:rsidRPr="00382917">
        <w:t>time</w:t>
      </w:r>
      <w:r w:rsidR="00EE4FC3">
        <w:t xml:space="preserve"> </w:t>
      </w:r>
      <w:r w:rsidRPr="00382917">
        <w:t>they</w:t>
      </w:r>
      <w:r w:rsidR="00EE4FC3">
        <w:t xml:space="preserve"> </w:t>
      </w:r>
      <w:r w:rsidRPr="00382917">
        <w:t>might</w:t>
      </w:r>
      <w:r w:rsidR="00EE4FC3">
        <w:t xml:space="preserve"> </w:t>
      </w:r>
      <w:r w:rsidRPr="00382917">
        <w:t>be</w:t>
      </w:r>
      <w:r w:rsidR="00EE4FC3">
        <w:t xml:space="preserve"> </w:t>
      </w:r>
      <w:r w:rsidRPr="00382917">
        <w:t>permitted</w:t>
      </w:r>
      <w:r w:rsidR="00EE4FC3">
        <w:t xml:space="preserve"> </w:t>
      </w:r>
      <w:r w:rsidRPr="00382917">
        <w:t>to</w:t>
      </w:r>
      <w:r w:rsidR="00EE4FC3">
        <w:t xml:space="preserve"> </w:t>
      </w:r>
      <w:r w:rsidRPr="00382917">
        <w:t>go</w:t>
      </w:r>
      <w:r w:rsidR="00EE4FC3">
        <w:t xml:space="preserve"> </w:t>
      </w:r>
      <w:r w:rsidRPr="00382917">
        <w:t>on</w:t>
      </w:r>
      <w:r w:rsidR="00EE4FC3">
        <w:t xml:space="preserve"> </w:t>
      </w:r>
      <w:r w:rsidRPr="00382917">
        <w:t>their</w:t>
      </w:r>
      <w:r w:rsidR="00EE4FC3">
        <w:t xml:space="preserve"> </w:t>
      </w:r>
      <w:r w:rsidRPr="00382917">
        <w:t>way</w:t>
      </w:r>
      <w:r w:rsidR="00EE4FC3">
        <w:t xml:space="preserve"> </w:t>
      </w:r>
      <w:r w:rsidRPr="00382917">
        <w:t>to</w:t>
      </w:r>
      <w:r w:rsidR="00EE4FC3">
        <w:t xml:space="preserve"> </w:t>
      </w:r>
      <w:r w:rsidRPr="00382917">
        <w:t>Sari</w:t>
      </w:r>
      <w:r w:rsidR="00EE4FC3">
        <w:t xml:space="preserve"> </w:t>
      </w:r>
      <w:r w:rsidRPr="00382917">
        <w:t>in</w:t>
      </w:r>
      <w:r w:rsidR="00EE4FC3">
        <w:t xml:space="preserve"> </w:t>
      </w:r>
      <w:r w:rsidRPr="00382917">
        <w:t>peace.</w:t>
      </w:r>
    </w:p>
    <w:p w:rsidR="00B2576B" w:rsidRPr="00382917" w:rsidRDefault="00B2576B" w:rsidP="009C713D">
      <w:pPr>
        <w:pStyle w:val="Text"/>
      </w:pPr>
      <w:r w:rsidRPr="00382917">
        <w:t>The</w:t>
      </w:r>
      <w:r w:rsidR="00EE4FC3">
        <w:t xml:space="preserve"> </w:t>
      </w:r>
      <w:proofErr w:type="gramStart"/>
      <w:r w:rsidRPr="00382917">
        <w:t>Sa</w:t>
      </w:r>
      <w:r w:rsidR="009C713D" w:rsidRPr="00382917">
        <w:t>‘</w:t>
      </w:r>
      <w:r w:rsidRPr="00382917">
        <w:t>ídu</w:t>
      </w:r>
      <w:r w:rsidR="009C713D" w:rsidRPr="00382917">
        <w:t>’</w:t>
      </w:r>
      <w:r w:rsidRPr="00382917">
        <w:t>l</w:t>
      </w:r>
      <w:proofErr w:type="gramEnd"/>
      <w:r w:rsidR="009C713D" w:rsidRPr="00382917">
        <w:t>-‘</w:t>
      </w:r>
      <w:r w:rsidRPr="00382917">
        <w:t>Ulamá</w:t>
      </w:r>
      <w:r w:rsidR="009C713D" w:rsidRPr="00382917">
        <w:t>’</w:t>
      </w:r>
      <w:r w:rsidR="00EE4FC3">
        <w:t xml:space="preserve"> </w:t>
      </w:r>
      <w:r w:rsidRPr="00382917">
        <w:t>rejoiced</w:t>
      </w:r>
      <w:r w:rsidR="00A93643">
        <w:t>.</w:t>
      </w:r>
      <w:r w:rsidR="00EE4FC3">
        <w:t xml:space="preserve">  </w:t>
      </w:r>
      <w:r w:rsidRPr="00382917">
        <w:t>He</w:t>
      </w:r>
      <w:r w:rsidR="00EE4FC3">
        <w:t xml:space="preserve"> </w:t>
      </w:r>
      <w:r w:rsidRPr="00382917">
        <w:t>felt</w:t>
      </w:r>
      <w:r w:rsidR="00EE4FC3">
        <w:t xml:space="preserve"> </w:t>
      </w:r>
      <w:r w:rsidRPr="00382917">
        <w:t>that</w:t>
      </w:r>
      <w:r w:rsidR="00EE4FC3">
        <w:t xml:space="preserve"> </w:t>
      </w:r>
      <w:r w:rsidRPr="00382917">
        <w:t>he</w:t>
      </w:r>
      <w:r w:rsidR="00EE4FC3">
        <w:t xml:space="preserve"> </w:t>
      </w:r>
      <w:r w:rsidRPr="00382917">
        <w:t>had</w:t>
      </w:r>
      <w:r w:rsidR="00EE4FC3">
        <w:t xml:space="preserve"> </w:t>
      </w:r>
      <w:r w:rsidRPr="00382917">
        <w:t>his</w:t>
      </w:r>
      <w:r w:rsidR="00EE4FC3">
        <w:t xml:space="preserve"> </w:t>
      </w:r>
      <w:r w:rsidRPr="00382917">
        <w:t>hated</w:t>
      </w:r>
      <w:r w:rsidR="00EE4FC3">
        <w:t xml:space="preserve"> </w:t>
      </w:r>
      <w:r w:rsidRPr="00382917">
        <w:t>enemies</w:t>
      </w:r>
      <w:r w:rsidR="00EE4FC3">
        <w:t xml:space="preserve"> </w:t>
      </w:r>
      <w:r w:rsidRPr="00382917">
        <w:t>trapped</w:t>
      </w:r>
      <w:r w:rsidR="00EE4FC3">
        <w:t xml:space="preserve"> </w:t>
      </w:r>
      <w:r w:rsidRPr="00382917">
        <w:t>at</w:t>
      </w:r>
      <w:r w:rsidR="00EE4FC3">
        <w:t xml:space="preserve"> </w:t>
      </w:r>
      <w:r w:rsidRPr="00382917">
        <w:t>last</w:t>
      </w:r>
      <w:r w:rsidR="00A93643">
        <w:t>.</w:t>
      </w:r>
      <w:r w:rsidR="00EE4FC3">
        <w:t xml:space="preserve">  </w:t>
      </w:r>
      <w:r w:rsidRPr="00382917">
        <w:t>He</w:t>
      </w:r>
      <w:r w:rsidR="00EE4FC3">
        <w:t xml:space="preserve"> </w:t>
      </w:r>
      <w:r w:rsidRPr="00382917">
        <w:t>vowed</w:t>
      </w:r>
      <w:r w:rsidR="00EE4FC3">
        <w:t xml:space="preserve"> </w:t>
      </w:r>
      <w:r w:rsidRPr="00382917">
        <w:t>they</w:t>
      </w:r>
      <w:r w:rsidR="00EE4FC3">
        <w:t xml:space="preserve"> </w:t>
      </w:r>
      <w:r w:rsidRPr="00382917">
        <w:t>would</w:t>
      </w:r>
      <w:r w:rsidR="00EE4FC3">
        <w:t xml:space="preserve"> </w:t>
      </w:r>
      <w:r w:rsidRPr="00382917">
        <w:t>never</w:t>
      </w:r>
      <w:r w:rsidR="00EE4FC3">
        <w:t xml:space="preserve"> </w:t>
      </w:r>
      <w:r w:rsidRPr="00382917">
        <w:t>escape</w:t>
      </w:r>
      <w:r w:rsidR="00A93643">
        <w:t>.</w:t>
      </w:r>
      <w:r w:rsidR="00EE4FC3">
        <w:t xml:space="preserve">  </w:t>
      </w:r>
      <w:r w:rsidRPr="00382917">
        <w:t>He</w:t>
      </w:r>
      <w:r w:rsidR="00EE4FC3">
        <w:t xml:space="preserve"> </w:t>
      </w:r>
      <w:r w:rsidRPr="00382917">
        <w:t>called</w:t>
      </w:r>
      <w:r w:rsidR="00EE4FC3">
        <w:t xml:space="preserve"> </w:t>
      </w:r>
      <w:r w:rsidRPr="00382917">
        <w:t>upon</w:t>
      </w:r>
      <w:r w:rsidR="00EE4FC3">
        <w:t xml:space="preserve"> </w:t>
      </w:r>
      <w:r w:rsidRPr="00382917">
        <w:t>the</w:t>
      </w:r>
      <w:r w:rsidR="00EE4FC3">
        <w:t xml:space="preserve"> </w:t>
      </w:r>
      <w:r w:rsidRPr="00382917">
        <w:t>government</w:t>
      </w:r>
      <w:r w:rsidR="00EE4FC3">
        <w:t xml:space="preserve"> </w:t>
      </w:r>
      <w:r w:rsidRPr="00382917">
        <w:t>to</w:t>
      </w:r>
      <w:r w:rsidR="00EE4FC3">
        <w:t xml:space="preserve"> </w:t>
      </w:r>
      <w:r w:rsidRPr="00382917">
        <w:t>help</w:t>
      </w:r>
      <w:r w:rsidR="00EE4FC3">
        <w:t xml:space="preserve"> </w:t>
      </w:r>
      <w:r w:rsidRPr="00382917">
        <w:t>him</w:t>
      </w:r>
      <w:r w:rsidR="00EE4FC3">
        <w:t xml:space="preserve"> </w:t>
      </w:r>
      <w:r w:rsidRPr="00382917">
        <w:t>annihilate</w:t>
      </w:r>
      <w:r w:rsidR="00EE4FC3">
        <w:t xml:space="preserve"> </w:t>
      </w:r>
      <w:r w:rsidRPr="00382917">
        <w:t>them.</w:t>
      </w:r>
    </w:p>
    <w:p w:rsidR="00B2576B" w:rsidRPr="00382917" w:rsidRDefault="00B2576B" w:rsidP="00B2576B">
      <w:pPr>
        <w:pStyle w:val="Text"/>
      </w:pPr>
      <w:r w:rsidRPr="00382917">
        <w:t>The</w:t>
      </w:r>
      <w:r w:rsidR="00EE4FC3">
        <w:t xml:space="preserve"> </w:t>
      </w:r>
      <w:r w:rsidRPr="00382917">
        <w:t>night</w:t>
      </w:r>
      <w:r w:rsidR="00EE4FC3">
        <w:t xml:space="preserve"> </w:t>
      </w:r>
      <w:r w:rsidRPr="00382917">
        <w:t>preceding</w:t>
      </w:r>
      <w:r w:rsidR="00EE4FC3">
        <w:t xml:space="preserve"> </w:t>
      </w:r>
      <w:r w:rsidRPr="00382917">
        <w:t>the</w:t>
      </w:r>
      <w:r w:rsidR="00EE4FC3">
        <w:t xml:space="preserve"> </w:t>
      </w:r>
      <w:r w:rsidRPr="00382917">
        <w:t>arrival</w:t>
      </w:r>
      <w:r w:rsidR="00EE4FC3">
        <w:t xml:space="preserve"> </w:t>
      </w:r>
      <w:r w:rsidRPr="00382917">
        <w:t>of</w:t>
      </w:r>
      <w:r w:rsidR="00EE4FC3">
        <w:t xml:space="preserve"> </w:t>
      </w:r>
      <w:r w:rsidRPr="00382917">
        <w:t>Mullá</w:t>
      </w:r>
      <w:r w:rsidR="00EE4FC3">
        <w:t xml:space="preserve"> </w:t>
      </w:r>
      <w:r w:rsidR="00964C11" w:rsidRPr="00382917">
        <w:t>Ḥusayn</w:t>
      </w:r>
      <w:r w:rsidR="00EE4FC3">
        <w:t xml:space="preserve"> </w:t>
      </w:r>
      <w:r w:rsidRPr="00382917">
        <w:t>and</w:t>
      </w:r>
      <w:r w:rsidR="00EE4FC3">
        <w:t xml:space="preserve"> </w:t>
      </w:r>
      <w:r w:rsidRPr="00382917">
        <w:t>his</w:t>
      </w:r>
      <w:r w:rsidR="00EE4FC3">
        <w:t xml:space="preserve"> </w:t>
      </w:r>
      <w:r w:rsidRPr="00382917">
        <w:t>companions</w:t>
      </w:r>
      <w:r w:rsidR="00EE4FC3">
        <w:t xml:space="preserve"> </w:t>
      </w:r>
      <w:r w:rsidRPr="00382917">
        <w:t>at</w:t>
      </w:r>
      <w:r w:rsidR="00EE4FC3">
        <w:t xml:space="preserve"> </w:t>
      </w:r>
      <w:r w:rsidRPr="00382917">
        <w:t>the</w:t>
      </w:r>
      <w:r w:rsidR="00EE4FC3">
        <w:t xml:space="preserve"> </w:t>
      </w:r>
      <w:r w:rsidRPr="00382917">
        <w:t>fort</w:t>
      </w:r>
      <w:r w:rsidR="00EE4FC3">
        <w:t xml:space="preserve"> </w:t>
      </w:r>
      <w:r w:rsidRPr="00382917">
        <w:t>of</w:t>
      </w:r>
      <w:r w:rsidR="00EE4FC3">
        <w:t xml:space="preserve"> </w:t>
      </w:r>
      <w:r w:rsidR="008A073E" w:rsidRPr="00382917">
        <w:rPr>
          <w:u w:val="single"/>
        </w:rPr>
        <w:t>Sh</w:t>
      </w:r>
      <w:r w:rsidR="008A073E" w:rsidRPr="00382917">
        <w:t>ay</w:t>
      </w:r>
      <w:r w:rsidR="008A073E" w:rsidRPr="00382917">
        <w:rPr>
          <w:u w:val="single"/>
        </w:rPr>
        <w:t>kh</w:t>
      </w:r>
      <w:r w:rsidR="00EE4FC3">
        <w:t xml:space="preserve"> </w:t>
      </w:r>
      <w:r w:rsidRPr="00382917">
        <w:t>Ṭabarsí,</w:t>
      </w:r>
      <w:r w:rsidR="00EE4FC3">
        <w:t xml:space="preserve"> </w:t>
      </w:r>
      <w:r w:rsidRPr="00382917">
        <w:t>the</w:t>
      </w:r>
      <w:r w:rsidR="00EE4FC3">
        <w:t xml:space="preserve"> </w:t>
      </w:r>
      <w:r w:rsidRPr="00382917">
        <w:t>keeper</w:t>
      </w:r>
      <w:r w:rsidR="00EE4FC3">
        <w:t xml:space="preserve"> </w:t>
      </w:r>
      <w:r w:rsidRPr="00382917">
        <w:t>of</w:t>
      </w:r>
      <w:r w:rsidR="00EE4FC3">
        <w:t xml:space="preserve"> </w:t>
      </w:r>
      <w:r w:rsidRPr="00382917">
        <w:t>the</w:t>
      </w:r>
      <w:r w:rsidR="00EE4FC3">
        <w:t xml:space="preserve"> </w:t>
      </w:r>
      <w:r w:rsidRPr="00382917">
        <w:t>shrine</w:t>
      </w:r>
      <w:r w:rsidR="00EE4FC3">
        <w:t xml:space="preserve"> </w:t>
      </w:r>
      <w:r w:rsidRPr="00382917">
        <w:t>had</w:t>
      </w:r>
      <w:r w:rsidR="00EE4FC3">
        <w:t xml:space="preserve"> </w:t>
      </w:r>
      <w:r w:rsidRPr="00382917">
        <w:t>a</w:t>
      </w:r>
      <w:r w:rsidR="00EE4FC3">
        <w:t xml:space="preserve"> </w:t>
      </w:r>
      <w:r w:rsidRPr="00382917">
        <w:t>strange</w:t>
      </w:r>
      <w:r w:rsidR="00EE4FC3">
        <w:t xml:space="preserve"> </w:t>
      </w:r>
      <w:r w:rsidRPr="00382917">
        <w:t>dream</w:t>
      </w:r>
      <w:r w:rsidR="00A93643">
        <w:t>.</w:t>
      </w:r>
      <w:r w:rsidR="00EE4FC3">
        <w:t xml:space="preserve">  </w:t>
      </w:r>
      <w:r w:rsidRPr="00382917">
        <w:t>He</w:t>
      </w:r>
      <w:r w:rsidR="00EE4FC3">
        <w:t xml:space="preserve"> </w:t>
      </w:r>
      <w:r w:rsidRPr="00382917">
        <w:t>saw</w:t>
      </w:r>
      <w:r w:rsidR="00EE4FC3">
        <w:t xml:space="preserve"> </w:t>
      </w:r>
      <w:r w:rsidRPr="00382917">
        <w:t>a</w:t>
      </w:r>
      <w:r w:rsidR="00EE4FC3">
        <w:t xml:space="preserve"> </w:t>
      </w:r>
      <w:r w:rsidRPr="00382917">
        <w:t>holy</w:t>
      </w:r>
      <w:r w:rsidR="00EE4FC3">
        <w:t xml:space="preserve"> </w:t>
      </w:r>
      <w:r w:rsidRPr="00382917">
        <w:t>man</w:t>
      </w:r>
      <w:r w:rsidR="00EE4FC3">
        <w:t xml:space="preserve"> </w:t>
      </w:r>
      <w:r w:rsidRPr="00382917">
        <w:t>with</w:t>
      </w:r>
      <w:r w:rsidR="00EE4FC3">
        <w:t xml:space="preserve"> </w:t>
      </w:r>
      <w:r w:rsidRPr="00382917">
        <w:t>seventy</w:t>
      </w:r>
      <w:r w:rsidR="00EE4FC3">
        <w:t xml:space="preserve"> </w:t>
      </w:r>
      <w:r w:rsidRPr="00382917">
        <w:t>warriors</w:t>
      </w:r>
      <w:r w:rsidR="00EE4FC3">
        <w:t xml:space="preserve"> </w:t>
      </w:r>
      <w:r w:rsidRPr="00382917">
        <w:t>and</w:t>
      </w:r>
      <w:r w:rsidR="00EE4FC3">
        <w:t xml:space="preserve"> </w:t>
      </w:r>
      <w:r w:rsidRPr="00382917">
        <w:t>many</w:t>
      </w:r>
      <w:r w:rsidR="00EE4FC3">
        <w:t xml:space="preserve"> </w:t>
      </w:r>
      <w:r w:rsidRPr="00382917">
        <w:t>companions</w:t>
      </w:r>
      <w:r w:rsidR="00EE4FC3">
        <w:t xml:space="preserve"> </w:t>
      </w:r>
      <w:r w:rsidRPr="00382917">
        <w:t>arrive</w:t>
      </w:r>
      <w:r w:rsidR="00EE4FC3">
        <w:t xml:space="preserve"> </w:t>
      </w:r>
      <w:r w:rsidRPr="00382917">
        <w:t>at</w:t>
      </w:r>
      <w:r w:rsidR="00EE4FC3">
        <w:t xml:space="preserve"> </w:t>
      </w:r>
      <w:r w:rsidRPr="00382917">
        <w:t>Ṭabarsí</w:t>
      </w:r>
      <w:r w:rsidR="00A93643">
        <w:t>.</w:t>
      </w:r>
      <w:r w:rsidR="00EE4FC3">
        <w:t xml:space="preserve">  </w:t>
      </w:r>
      <w:r w:rsidRPr="00382917">
        <w:t>He</w:t>
      </w:r>
      <w:r w:rsidR="00EE4FC3">
        <w:t xml:space="preserve"> </w:t>
      </w:r>
      <w:r w:rsidRPr="00382917">
        <w:t>dreamed</w:t>
      </w:r>
      <w:r w:rsidR="00EE4FC3">
        <w:t xml:space="preserve"> </w:t>
      </w:r>
      <w:r w:rsidRPr="00382917">
        <w:t>that</w:t>
      </w:r>
      <w:r w:rsidR="00EE4FC3">
        <w:t xml:space="preserve"> </w:t>
      </w:r>
      <w:r w:rsidRPr="00382917">
        <w:t>they</w:t>
      </w:r>
      <w:r w:rsidR="00EE4FC3">
        <w:t xml:space="preserve"> </w:t>
      </w:r>
      <w:r w:rsidRPr="00382917">
        <w:t>remained</w:t>
      </w:r>
      <w:r w:rsidR="00EE4FC3">
        <w:t xml:space="preserve"> </w:t>
      </w:r>
      <w:r w:rsidRPr="00382917">
        <w:t>in</w:t>
      </w:r>
      <w:r w:rsidR="00EE4FC3">
        <w:t xml:space="preserve"> </w:t>
      </w:r>
      <w:r w:rsidRPr="00382917">
        <w:t>that</w:t>
      </w:r>
      <w:r w:rsidR="00EE4FC3">
        <w:t xml:space="preserve"> </w:t>
      </w:r>
      <w:r w:rsidRPr="00382917">
        <w:t>place</w:t>
      </w:r>
      <w:r w:rsidR="00EE4FC3">
        <w:t xml:space="preserve"> </w:t>
      </w:r>
      <w:r w:rsidRPr="00382917">
        <w:t>and</w:t>
      </w:r>
      <w:r w:rsidR="00EE4FC3">
        <w:t xml:space="preserve"> </w:t>
      </w:r>
      <w:r w:rsidRPr="00382917">
        <w:t>engaged</w:t>
      </w:r>
      <w:r w:rsidR="00EE4FC3">
        <w:t xml:space="preserve"> </w:t>
      </w:r>
      <w:r w:rsidRPr="00382917">
        <w:t>in</w:t>
      </w:r>
      <w:r w:rsidR="00EE4FC3">
        <w:t xml:space="preserve"> </w:t>
      </w:r>
      <w:r w:rsidRPr="00382917">
        <w:t>the</w:t>
      </w:r>
      <w:r w:rsidR="00EE4FC3">
        <w:t xml:space="preserve"> </w:t>
      </w:r>
      <w:r w:rsidRPr="00382917">
        <w:t>most</w:t>
      </w:r>
      <w:r w:rsidR="00EE4FC3">
        <w:t xml:space="preserve"> </w:t>
      </w:r>
      <w:r w:rsidRPr="00382917">
        <w:t>heroic</w:t>
      </w:r>
      <w:r w:rsidR="00EE4FC3">
        <w:t xml:space="preserve"> </w:t>
      </w:r>
      <w:r w:rsidRPr="00382917">
        <w:t>of</w:t>
      </w:r>
      <w:r w:rsidR="00EE4FC3">
        <w:t xml:space="preserve"> </w:t>
      </w:r>
      <w:r w:rsidRPr="00382917">
        <w:t>battles,</w:t>
      </w:r>
      <w:r w:rsidR="00EE4FC3">
        <w:t xml:space="preserve"> </w:t>
      </w:r>
      <w:r w:rsidRPr="00382917">
        <w:t>triumphing</w:t>
      </w:r>
      <w:r w:rsidR="00EE4FC3">
        <w:t xml:space="preserve"> </w:t>
      </w:r>
      <w:r w:rsidRPr="00382917">
        <w:t>over</w:t>
      </w:r>
      <w:r w:rsidR="00EE4FC3">
        <w:t xml:space="preserve"> </w:t>
      </w:r>
      <w:r w:rsidRPr="00382917">
        <w:t>the</w:t>
      </w:r>
      <w:r w:rsidR="00EE4FC3">
        <w:t xml:space="preserve"> </w:t>
      </w:r>
      <w:r w:rsidRPr="00382917">
        <w:t>forces</w:t>
      </w:r>
      <w:r w:rsidR="00EE4FC3">
        <w:t xml:space="preserve"> </w:t>
      </w:r>
      <w:r w:rsidRPr="00382917">
        <w:t>against</w:t>
      </w:r>
      <w:r w:rsidR="00EE4FC3">
        <w:t xml:space="preserve"> </w:t>
      </w:r>
      <w:r w:rsidRPr="00382917">
        <w:t>them,</w:t>
      </w:r>
      <w:r w:rsidR="00EE4FC3">
        <w:t xml:space="preserve"> </w:t>
      </w:r>
      <w:r w:rsidRPr="00382917">
        <w:t>and</w:t>
      </w:r>
      <w:r w:rsidR="00EE4FC3">
        <w:t xml:space="preserve"> </w:t>
      </w:r>
      <w:r w:rsidRPr="00382917">
        <w:t>that</w:t>
      </w:r>
      <w:r w:rsidR="00EE4FC3">
        <w:t xml:space="preserve"> </w:t>
      </w:r>
      <w:r w:rsidRPr="00382917">
        <w:t>finally,</w:t>
      </w:r>
      <w:r w:rsidR="00EE4FC3">
        <w:t xml:space="preserve"> </w:t>
      </w:r>
      <w:r w:rsidRPr="00382917">
        <w:t>the</w:t>
      </w:r>
      <w:r w:rsidR="00EE4FC3">
        <w:t xml:space="preserve"> </w:t>
      </w:r>
      <w:r w:rsidRPr="00382917">
        <w:t>Prophet</w:t>
      </w:r>
      <w:r w:rsidR="00EE4FC3">
        <w:t xml:space="preserve"> </w:t>
      </w:r>
      <w:r w:rsidRPr="00382917">
        <w:t>of</w:t>
      </w:r>
      <w:r w:rsidR="00EE4FC3">
        <w:t xml:space="preserve"> </w:t>
      </w:r>
      <w:r w:rsidRPr="00382917">
        <w:t>God</w:t>
      </w:r>
      <w:r w:rsidR="00EE4FC3">
        <w:t xml:space="preserve"> </w:t>
      </w:r>
      <w:r w:rsidRPr="00382917">
        <w:t>Himself</w:t>
      </w:r>
      <w:r w:rsidR="00EE4FC3">
        <w:t xml:space="preserve"> </w:t>
      </w:r>
      <w:r w:rsidRPr="00382917">
        <w:t>arrived</w:t>
      </w:r>
      <w:r w:rsidR="00EE4FC3">
        <w:t xml:space="preserve"> </w:t>
      </w:r>
      <w:r w:rsidRPr="00382917">
        <w:t>one</w:t>
      </w:r>
      <w:r w:rsidR="00EE4FC3">
        <w:t xml:space="preserve"> </w:t>
      </w:r>
      <w:r w:rsidRPr="00382917">
        <w:t>night</w:t>
      </w:r>
      <w:r w:rsidR="00EE4FC3">
        <w:t xml:space="preserve"> </w:t>
      </w:r>
      <w:r w:rsidRPr="00382917">
        <w:t>to</w:t>
      </w:r>
      <w:r w:rsidR="00EE4FC3">
        <w:t xml:space="preserve"> </w:t>
      </w:r>
      <w:r w:rsidRPr="00382917">
        <w:t>speak</w:t>
      </w:r>
      <w:r w:rsidR="00EE4FC3">
        <w:t xml:space="preserve"> </w:t>
      </w:r>
      <w:r w:rsidRPr="00382917">
        <w:t>with</w:t>
      </w:r>
      <w:r w:rsidR="00EE4FC3">
        <w:t xml:space="preserve"> </w:t>
      </w:r>
      <w:r w:rsidRPr="00382917">
        <w:t>them.</w:t>
      </w:r>
    </w:p>
    <w:p w:rsidR="00B2576B" w:rsidRPr="00382917" w:rsidRDefault="00B2576B" w:rsidP="00B2576B">
      <w:pPr>
        <w:pStyle w:val="Text"/>
      </w:pPr>
      <w:r w:rsidRPr="00382917">
        <w:t>When</w:t>
      </w:r>
      <w:r w:rsidR="00EE4FC3">
        <w:t xml:space="preserve"> </w:t>
      </w:r>
      <w:r w:rsidRPr="00382917">
        <w:t>Mullá</w:t>
      </w:r>
      <w:r w:rsidR="00EE4FC3">
        <w:t xml:space="preserve"> </w:t>
      </w:r>
      <w:r w:rsidR="00964C11" w:rsidRPr="00382917">
        <w:t>Ḥusayn</w:t>
      </w:r>
      <w:r w:rsidR="00EE4FC3">
        <w:t xml:space="preserve"> </w:t>
      </w:r>
      <w:r w:rsidRPr="00382917">
        <w:t>appeared</w:t>
      </w:r>
      <w:r w:rsidR="00EE4FC3">
        <w:t xml:space="preserve"> </w:t>
      </w:r>
      <w:r w:rsidRPr="00382917">
        <w:t>the</w:t>
      </w:r>
      <w:r w:rsidR="00EE4FC3">
        <w:t xml:space="preserve"> </w:t>
      </w:r>
      <w:r w:rsidRPr="00382917">
        <w:t>next</w:t>
      </w:r>
      <w:r w:rsidR="00EE4FC3">
        <w:t xml:space="preserve"> </w:t>
      </w:r>
      <w:r w:rsidRPr="00382917">
        <w:t>day,</w:t>
      </w:r>
      <w:r w:rsidR="00EE4FC3">
        <w:t xml:space="preserve"> </w:t>
      </w:r>
      <w:r w:rsidRPr="00382917">
        <w:t>the</w:t>
      </w:r>
      <w:r w:rsidR="00EE4FC3">
        <w:t xml:space="preserve"> </w:t>
      </w:r>
      <w:r w:rsidRPr="00382917">
        <w:t>keeper</w:t>
      </w:r>
      <w:r w:rsidR="00EE4FC3">
        <w:t xml:space="preserve"> </w:t>
      </w:r>
      <w:r w:rsidRPr="00382917">
        <w:t>recognized</w:t>
      </w:r>
      <w:r w:rsidR="00EE4FC3">
        <w:t xml:space="preserve"> </w:t>
      </w:r>
      <w:r w:rsidRPr="00382917">
        <w:t>him</w:t>
      </w:r>
      <w:r w:rsidR="00EE4FC3">
        <w:t xml:space="preserve"> </w:t>
      </w:r>
      <w:r w:rsidRPr="00382917">
        <w:t>and</w:t>
      </w:r>
      <w:r w:rsidR="00EE4FC3">
        <w:t xml:space="preserve"> </w:t>
      </w:r>
      <w:r w:rsidRPr="00382917">
        <w:t>told</w:t>
      </w:r>
      <w:r w:rsidR="00EE4FC3">
        <w:t xml:space="preserve"> </w:t>
      </w:r>
      <w:r w:rsidRPr="00382917">
        <w:t>him</w:t>
      </w:r>
      <w:r w:rsidR="00EE4FC3">
        <w:t xml:space="preserve"> </w:t>
      </w:r>
      <w:r w:rsidRPr="00382917">
        <w:t>of</w:t>
      </w:r>
      <w:r w:rsidR="00EE4FC3">
        <w:t xml:space="preserve"> </w:t>
      </w:r>
      <w:r w:rsidRPr="00382917">
        <w:t>his</w:t>
      </w:r>
      <w:r w:rsidR="00EE4FC3">
        <w:t xml:space="preserve"> </w:t>
      </w:r>
      <w:r w:rsidRPr="00382917">
        <w:t>dream</w:t>
      </w:r>
      <w:r w:rsidR="00A93643">
        <w:t>.</w:t>
      </w:r>
      <w:r w:rsidR="00EE4FC3">
        <w:t xml:space="preserve">  </w:t>
      </w:r>
      <w:r w:rsidRPr="00382917">
        <w:t>Mullá</w:t>
      </w:r>
      <w:r w:rsidR="00EE4FC3">
        <w:t xml:space="preserve"> </w:t>
      </w:r>
      <w:r w:rsidR="00964C11" w:rsidRPr="00382917">
        <w:t>Ḥusayn</w:t>
      </w:r>
      <w:r w:rsidR="00EE4FC3">
        <w:t xml:space="preserve"> </w:t>
      </w:r>
      <w:r w:rsidRPr="00382917">
        <w:t>replied</w:t>
      </w:r>
      <w:r w:rsidR="00C03C91">
        <w:t>:</w:t>
      </w:r>
      <w:r w:rsidR="00EE4FC3">
        <w:t xml:space="preserve">  </w:t>
      </w:r>
      <w:r w:rsidR="009C713D" w:rsidRPr="00382917">
        <w:t>“</w:t>
      </w:r>
      <w:r w:rsidRPr="00382917">
        <w:t>All</w:t>
      </w:r>
      <w:r w:rsidR="00EE4FC3">
        <w:t xml:space="preserve"> </w:t>
      </w:r>
      <w:r w:rsidRPr="00382917">
        <w:t>that</w:t>
      </w:r>
      <w:r w:rsidR="00EE4FC3">
        <w:t xml:space="preserve"> </w:t>
      </w:r>
      <w:r w:rsidRPr="00382917">
        <w:t>you</w:t>
      </w:r>
      <w:r w:rsidR="00EE4FC3">
        <w:t xml:space="preserve"> </w:t>
      </w:r>
      <w:r w:rsidRPr="00382917">
        <w:t>witnessed</w:t>
      </w:r>
      <w:r w:rsidR="00EE4FC3">
        <w:t xml:space="preserve"> </w:t>
      </w:r>
      <w:r w:rsidRPr="00382917">
        <w:t>will</w:t>
      </w:r>
      <w:r w:rsidR="00EE4FC3">
        <w:t xml:space="preserve"> </w:t>
      </w:r>
      <w:r w:rsidRPr="00382917">
        <w:t>come</w:t>
      </w:r>
      <w:r w:rsidR="00EE4FC3">
        <w:t xml:space="preserve"> </w:t>
      </w:r>
      <w:r w:rsidRPr="00382917">
        <w:t>to</w:t>
      </w:r>
      <w:r w:rsidR="00EE4FC3">
        <w:t xml:space="preserve"> </w:t>
      </w:r>
      <w:r w:rsidRPr="00382917">
        <w:t>pass</w:t>
      </w:r>
      <w:r w:rsidR="00A93643">
        <w:t>.</w:t>
      </w:r>
      <w:r w:rsidR="00EE4FC3">
        <w:t xml:space="preserve">  </w:t>
      </w:r>
      <w:r w:rsidRPr="00382917">
        <w:t>Those</w:t>
      </w:r>
      <w:r w:rsidR="00EE4FC3">
        <w:t xml:space="preserve"> </w:t>
      </w:r>
      <w:r w:rsidRPr="00382917">
        <w:t>glorious</w:t>
      </w:r>
      <w:r w:rsidR="00EE4FC3">
        <w:t xml:space="preserve"> </w:t>
      </w:r>
      <w:r w:rsidRPr="00382917">
        <w:t>scenes</w:t>
      </w:r>
      <w:r w:rsidR="00EE4FC3">
        <w:t xml:space="preserve"> </w:t>
      </w:r>
      <w:r w:rsidRPr="00382917">
        <w:t>of</w:t>
      </w:r>
      <w:r w:rsidR="00EE4FC3">
        <w:t xml:space="preserve"> </w:t>
      </w:r>
      <w:r w:rsidRPr="00382917">
        <w:t>your</w:t>
      </w:r>
      <w:r w:rsidR="00EE4FC3">
        <w:t xml:space="preserve"> </w:t>
      </w:r>
      <w:r w:rsidRPr="00382917">
        <w:t>dream</w:t>
      </w:r>
      <w:r w:rsidR="00EE4FC3">
        <w:t xml:space="preserve"> </w:t>
      </w:r>
      <w:r w:rsidRPr="00382917">
        <w:t>will</w:t>
      </w:r>
      <w:r w:rsidR="00EE4FC3">
        <w:t xml:space="preserve"> </w:t>
      </w:r>
      <w:r w:rsidRPr="00382917">
        <w:t>soon</w:t>
      </w:r>
      <w:r w:rsidR="00EE4FC3">
        <w:t xml:space="preserve"> </w:t>
      </w:r>
      <w:r w:rsidRPr="00382917">
        <w:t>be</w:t>
      </w:r>
      <w:r w:rsidR="00EE4FC3">
        <w:t xml:space="preserve"> </w:t>
      </w:r>
      <w:r w:rsidRPr="00382917">
        <w:t>enacted</w:t>
      </w:r>
      <w:r w:rsidR="00EE4FC3">
        <w:t xml:space="preserve"> </w:t>
      </w:r>
      <w:r w:rsidRPr="00382917">
        <w:t>before</w:t>
      </w:r>
      <w:r w:rsidR="00EE4FC3">
        <w:t xml:space="preserve"> </w:t>
      </w:r>
      <w:r w:rsidRPr="00382917">
        <w:t>your</w:t>
      </w:r>
      <w:r w:rsidR="00EE4FC3">
        <w:t xml:space="preserve"> </w:t>
      </w:r>
      <w:r w:rsidRPr="00382917">
        <w:t>eyes.</w:t>
      </w:r>
      <w:r w:rsidR="009C713D" w:rsidRPr="00382917">
        <w:t>”</w:t>
      </w:r>
    </w:p>
    <w:p w:rsidR="00B2576B" w:rsidRPr="00382917" w:rsidRDefault="00B2576B" w:rsidP="00B2576B">
      <w:pPr>
        <w:pStyle w:val="Text"/>
      </w:pPr>
      <w:r w:rsidRPr="00382917">
        <w:t>The</w:t>
      </w:r>
      <w:r w:rsidR="00EE4FC3">
        <w:t xml:space="preserve"> </w:t>
      </w:r>
      <w:r w:rsidRPr="00382917">
        <w:t>keeper</w:t>
      </w:r>
      <w:r w:rsidR="00EE4FC3">
        <w:t xml:space="preserve"> </w:t>
      </w:r>
      <w:r w:rsidRPr="00382917">
        <w:t>threw</w:t>
      </w:r>
      <w:r w:rsidR="00EE4FC3">
        <w:t xml:space="preserve"> </w:t>
      </w:r>
      <w:r w:rsidRPr="00382917">
        <w:t>in</w:t>
      </w:r>
      <w:r w:rsidR="00EE4FC3">
        <w:t xml:space="preserve"> </w:t>
      </w:r>
      <w:r w:rsidRPr="00382917">
        <w:t>his</w:t>
      </w:r>
      <w:r w:rsidR="00EE4FC3">
        <w:t xml:space="preserve"> </w:t>
      </w:r>
      <w:r w:rsidRPr="00382917">
        <w:t>lot</w:t>
      </w:r>
      <w:r w:rsidR="00EE4FC3">
        <w:t xml:space="preserve"> </w:t>
      </w:r>
      <w:r w:rsidRPr="00382917">
        <w:t>with</w:t>
      </w:r>
      <w:r w:rsidR="00EE4FC3">
        <w:t xml:space="preserve"> </w:t>
      </w:r>
      <w:r w:rsidRPr="00382917">
        <w:t>Mullá</w:t>
      </w:r>
      <w:r w:rsidR="00EE4FC3">
        <w:t xml:space="preserve"> </w:t>
      </w:r>
      <w:r w:rsidR="00964C11" w:rsidRPr="00382917">
        <w:t>Ḥusayn</w:t>
      </w:r>
      <w:r w:rsidR="00EE4FC3">
        <w:t xml:space="preserve"> </w:t>
      </w:r>
      <w:r w:rsidRPr="00382917">
        <w:t>and</w:t>
      </w:r>
      <w:r w:rsidR="00EE4FC3">
        <w:t xml:space="preserve"> </w:t>
      </w:r>
      <w:r w:rsidRPr="00382917">
        <w:t>the</w:t>
      </w:r>
      <w:r w:rsidR="00EE4FC3">
        <w:t xml:space="preserve"> </w:t>
      </w:r>
      <w:r w:rsidRPr="00382917">
        <w:t>heroic</w:t>
      </w:r>
      <w:r w:rsidR="00EE4FC3">
        <w:t xml:space="preserve"> </w:t>
      </w:r>
      <w:r w:rsidRPr="00382917">
        <w:t>defenders</w:t>
      </w:r>
      <w:r w:rsidR="00EE4FC3">
        <w:t xml:space="preserve"> </w:t>
      </w:r>
      <w:r w:rsidRPr="00382917">
        <w:t>of</w:t>
      </w:r>
      <w:r w:rsidR="00EE4FC3">
        <w:t xml:space="preserve"> </w:t>
      </w:r>
      <w:r w:rsidRPr="00382917">
        <w:t>what</w:t>
      </w:r>
      <w:r w:rsidR="00EE4FC3">
        <w:t xml:space="preserve"> </w:t>
      </w:r>
      <w:r w:rsidRPr="00382917">
        <w:t>came</w:t>
      </w:r>
      <w:r w:rsidR="00EE4FC3">
        <w:t xml:space="preserve"> </w:t>
      </w:r>
      <w:r w:rsidRPr="00382917">
        <w:t>to</w:t>
      </w:r>
      <w:r w:rsidR="00EE4FC3">
        <w:t xml:space="preserve"> </w:t>
      </w:r>
      <w:r w:rsidRPr="00382917">
        <w:t>be</w:t>
      </w:r>
      <w:r w:rsidR="00EE4FC3">
        <w:t xml:space="preserve"> </w:t>
      </w:r>
      <w:r w:rsidRPr="00382917">
        <w:t>known</w:t>
      </w:r>
      <w:r w:rsidR="00EE4FC3">
        <w:t xml:space="preserve"> </w:t>
      </w:r>
      <w:r w:rsidRPr="00382917">
        <w:t>as</w:t>
      </w:r>
      <w:r w:rsidR="00EE4FC3">
        <w:t xml:space="preserve"> </w:t>
      </w:r>
      <w:r w:rsidRPr="00382917">
        <w:t>the</w:t>
      </w:r>
      <w:r w:rsidR="00EE4FC3">
        <w:t xml:space="preserve"> </w:t>
      </w:r>
      <w:r w:rsidRPr="00382917">
        <w:t>fort</w:t>
      </w:r>
      <w:r w:rsidR="00EE4FC3">
        <w:t xml:space="preserve"> </w:t>
      </w:r>
      <w:r w:rsidR="008A073E" w:rsidRPr="00382917">
        <w:rPr>
          <w:u w:val="single"/>
        </w:rPr>
        <w:t>Sh</w:t>
      </w:r>
      <w:r w:rsidR="008A073E" w:rsidRPr="00382917">
        <w:t>ay</w:t>
      </w:r>
      <w:r w:rsidR="008A073E" w:rsidRPr="00382917">
        <w:rPr>
          <w:u w:val="single"/>
        </w:rPr>
        <w:t>kh</w:t>
      </w:r>
      <w:r w:rsidR="00EE4FC3">
        <w:t xml:space="preserve"> </w:t>
      </w:r>
      <w:r w:rsidRPr="00382917">
        <w:t>Ṭabarsí.</w:t>
      </w:r>
    </w:p>
    <w:p w:rsidR="00B2576B" w:rsidRPr="00382917" w:rsidRDefault="00B2576B" w:rsidP="00B2576B">
      <w:pPr>
        <w:pStyle w:val="Text"/>
      </w:pPr>
      <w:r w:rsidRPr="00382917">
        <w:t>Realizing</w:t>
      </w:r>
      <w:r w:rsidR="00EE4FC3">
        <w:t xml:space="preserve"> </w:t>
      </w:r>
      <w:r w:rsidRPr="00382917">
        <w:t>that</w:t>
      </w:r>
      <w:r w:rsidR="00EE4FC3">
        <w:t xml:space="preserve"> </w:t>
      </w:r>
      <w:r w:rsidRPr="00382917">
        <w:t>they</w:t>
      </w:r>
      <w:r w:rsidR="00EE4FC3">
        <w:t xml:space="preserve"> </w:t>
      </w:r>
      <w:r w:rsidRPr="00382917">
        <w:t>would</w:t>
      </w:r>
      <w:r w:rsidR="00EE4FC3">
        <w:t xml:space="preserve"> </w:t>
      </w:r>
      <w:r w:rsidRPr="00382917">
        <w:t>never</w:t>
      </w:r>
      <w:r w:rsidR="00EE4FC3">
        <w:t xml:space="preserve"> </w:t>
      </w:r>
      <w:r w:rsidRPr="00382917">
        <w:t>be</w:t>
      </w:r>
      <w:r w:rsidR="00EE4FC3">
        <w:t xml:space="preserve"> </w:t>
      </w:r>
      <w:r w:rsidRPr="00382917">
        <w:t>set</w:t>
      </w:r>
      <w:r w:rsidR="00EE4FC3">
        <w:t xml:space="preserve"> </w:t>
      </w:r>
      <w:r w:rsidRPr="00382917">
        <w:t>free,</w:t>
      </w:r>
      <w:r w:rsidR="00EE4FC3">
        <w:t xml:space="preserve"> </w:t>
      </w:r>
      <w:r w:rsidRPr="00382917">
        <w:t>but</w:t>
      </w:r>
      <w:r w:rsidR="00EE4FC3">
        <w:t xml:space="preserve"> </w:t>
      </w:r>
      <w:r w:rsidRPr="00382917">
        <w:t>that</w:t>
      </w:r>
      <w:r w:rsidR="00EE4FC3">
        <w:t xml:space="preserve"> </w:t>
      </w:r>
      <w:r w:rsidRPr="00382917">
        <w:t>orders</w:t>
      </w:r>
      <w:r w:rsidR="00EE4FC3">
        <w:t xml:space="preserve"> </w:t>
      </w:r>
      <w:r w:rsidRPr="00382917">
        <w:t>had</w:t>
      </w:r>
      <w:r w:rsidR="00EE4FC3">
        <w:t xml:space="preserve"> </w:t>
      </w:r>
      <w:r w:rsidRPr="00382917">
        <w:t>been</w:t>
      </w:r>
      <w:r w:rsidR="00EE4FC3">
        <w:t xml:space="preserve"> </w:t>
      </w:r>
      <w:r w:rsidRPr="00382917">
        <w:t>issued</w:t>
      </w:r>
      <w:r w:rsidR="00EE4FC3">
        <w:t xml:space="preserve"> </w:t>
      </w:r>
      <w:r w:rsidRPr="00382917">
        <w:t>to</w:t>
      </w:r>
      <w:r w:rsidR="00EE4FC3">
        <w:t xml:space="preserve"> </w:t>
      </w:r>
      <w:r w:rsidRPr="00382917">
        <w:t>exterminate</w:t>
      </w:r>
      <w:r w:rsidR="00EE4FC3">
        <w:t xml:space="preserve"> </w:t>
      </w:r>
      <w:r w:rsidRPr="00382917">
        <w:t>them,</w:t>
      </w:r>
      <w:r w:rsidR="00EE4FC3">
        <w:t xml:space="preserve"> </w:t>
      </w:r>
      <w:r w:rsidRPr="00382917">
        <w:t>Mullá</w:t>
      </w:r>
      <w:r w:rsidR="00EE4FC3">
        <w:t xml:space="preserve"> </w:t>
      </w:r>
      <w:r w:rsidR="00964C11" w:rsidRPr="00382917">
        <w:t>Ḥusayn</w:t>
      </w:r>
      <w:r w:rsidR="00EE4FC3">
        <w:t xml:space="preserve"> </w:t>
      </w:r>
      <w:r w:rsidRPr="00382917">
        <w:t>and</w:t>
      </w:r>
      <w:r w:rsidR="00EE4FC3">
        <w:t xml:space="preserve"> </w:t>
      </w:r>
      <w:r w:rsidRPr="00382917">
        <w:t>his</w:t>
      </w:r>
      <w:r w:rsidR="00EE4FC3">
        <w:t xml:space="preserve"> </w:t>
      </w:r>
      <w:r w:rsidRPr="00382917">
        <w:t>companions</w:t>
      </w:r>
      <w:r w:rsidR="00EE4FC3">
        <w:t xml:space="preserve"> </w:t>
      </w:r>
      <w:r w:rsidRPr="00382917">
        <w:t>erected</w:t>
      </w:r>
      <w:r w:rsidR="00EE4FC3">
        <w:t xml:space="preserve"> </w:t>
      </w:r>
      <w:proofErr w:type="spellStart"/>
      <w:r w:rsidRPr="00382917">
        <w:t>defenses</w:t>
      </w:r>
      <w:proofErr w:type="spellEnd"/>
      <w:r w:rsidR="00EE4FC3">
        <w:t xml:space="preserve"> </w:t>
      </w:r>
      <w:r w:rsidRPr="00382917">
        <w:t>about</w:t>
      </w:r>
      <w:r w:rsidR="00EE4FC3">
        <w:t xml:space="preserve"> </w:t>
      </w:r>
      <w:r w:rsidRPr="00382917">
        <w:t>Ṭabarsí</w:t>
      </w:r>
      <w:r w:rsidR="00EE4FC3">
        <w:t xml:space="preserve"> </w:t>
      </w:r>
      <w:r w:rsidRPr="00382917">
        <w:t>to</w:t>
      </w:r>
      <w:r w:rsidR="00EE4FC3">
        <w:t xml:space="preserve"> </w:t>
      </w:r>
      <w:r w:rsidRPr="00382917">
        <w:t>help</w:t>
      </w:r>
      <w:r w:rsidR="00EE4FC3">
        <w:t xml:space="preserve"> </w:t>
      </w:r>
      <w:r w:rsidRPr="00382917">
        <w:t>protect</w:t>
      </w:r>
      <w:r w:rsidR="00EE4FC3">
        <w:t xml:space="preserve"> </w:t>
      </w:r>
      <w:proofErr w:type="gramStart"/>
      <w:r w:rsidRPr="00382917">
        <w:t>themselves</w:t>
      </w:r>
      <w:proofErr w:type="gramEnd"/>
      <w:r w:rsidRPr="00382917">
        <w:t>.</w:t>
      </w:r>
    </w:p>
    <w:p w:rsidR="00B2576B" w:rsidRPr="00382917" w:rsidRDefault="00B2576B" w:rsidP="00B2576B">
      <w:pPr>
        <w:pStyle w:val="Text"/>
      </w:pPr>
      <w:r w:rsidRPr="00382917">
        <w:t>Mullá</w:t>
      </w:r>
      <w:r w:rsidR="00EE4FC3">
        <w:t xml:space="preserve"> </w:t>
      </w:r>
      <w:r w:rsidR="00964C11" w:rsidRPr="00382917">
        <w:t>Ḥusayn</w:t>
      </w:r>
      <w:r w:rsidR="00EE4FC3">
        <w:t xml:space="preserve"> </w:t>
      </w:r>
      <w:r w:rsidRPr="00382917">
        <w:t>was</w:t>
      </w:r>
      <w:r w:rsidR="00EE4FC3">
        <w:t xml:space="preserve"> </w:t>
      </w:r>
      <w:r w:rsidRPr="00382917">
        <w:t>feeling</w:t>
      </w:r>
      <w:r w:rsidR="00EE4FC3">
        <w:t xml:space="preserve"> </w:t>
      </w:r>
      <w:r w:rsidRPr="00382917">
        <w:t>very</w:t>
      </w:r>
      <w:r w:rsidR="00EE4FC3">
        <w:t xml:space="preserve"> </w:t>
      </w:r>
      <w:r w:rsidRPr="00382917">
        <w:t>sad</w:t>
      </w:r>
      <w:r w:rsidR="00EE4FC3">
        <w:t xml:space="preserve"> </w:t>
      </w:r>
      <w:r w:rsidRPr="00382917">
        <w:t>because</w:t>
      </w:r>
      <w:r w:rsidR="00EE4FC3">
        <w:t xml:space="preserve"> </w:t>
      </w:r>
      <w:r w:rsidRPr="00382917">
        <w:t>of</w:t>
      </w:r>
      <w:r w:rsidR="00EE4FC3">
        <w:t xml:space="preserve"> </w:t>
      </w:r>
      <w:r w:rsidRPr="00382917">
        <w:t>his</w:t>
      </w:r>
      <w:r w:rsidR="00EE4FC3">
        <w:t xml:space="preserve"> </w:t>
      </w:r>
      <w:r w:rsidRPr="00382917">
        <w:t>failure</w:t>
      </w:r>
      <w:r w:rsidR="00EE4FC3">
        <w:t xml:space="preserve"> </w:t>
      </w:r>
      <w:r w:rsidRPr="00382917">
        <w:t>to</w:t>
      </w:r>
      <w:r w:rsidR="00EE4FC3">
        <w:t xml:space="preserve"> </w:t>
      </w:r>
      <w:r w:rsidRPr="00382917">
        <w:t>reach</w:t>
      </w:r>
      <w:r w:rsidR="00EE4FC3">
        <w:t xml:space="preserve"> </w:t>
      </w:r>
      <w:r w:rsidRPr="00382917">
        <w:t>Sárí</w:t>
      </w:r>
      <w:r w:rsidR="00EE4FC3">
        <w:t xml:space="preserve"> </w:t>
      </w:r>
      <w:r w:rsidRPr="00382917">
        <w:t>and</w:t>
      </w:r>
      <w:r w:rsidR="00EE4FC3">
        <w:t xml:space="preserve"> </w:t>
      </w:r>
      <w:r w:rsidRPr="00382917">
        <w:t>rescue</w:t>
      </w:r>
      <w:r w:rsidR="00EE4FC3">
        <w:t xml:space="preserve"> </w:t>
      </w:r>
      <w:r w:rsidRPr="00382917">
        <w:t>Quddús,</w:t>
      </w:r>
      <w:r w:rsidR="00EE4FC3">
        <w:t xml:space="preserve"> </w:t>
      </w:r>
      <w:r w:rsidRPr="00382917">
        <w:t>when</w:t>
      </w:r>
      <w:r w:rsidR="00EE4FC3">
        <w:t xml:space="preserve"> </w:t>
      </w:r>
      <w:r w:rsidRPr="00382917">
        <w:t>word</w:t>
      </w:r>
      <w:r w:rsidR="00EE4FC3">
        <w:t xml:space="preserve"> </w:t>
      </w:r>
      <w:r w:rsidRPr="00382917">
        <w:t>came</w:t>
      </w:r>
      <w:r w:rsidR="00EE4FC3">
        <w:t xml:space="preserve"> </w:t>
      </w:r>
      <w:r w:rsidRPr="00382917">
        <w:t>that</w:t>
      </w:r>
      <w:r w:rsidR="00EE4FC3">
        <w:t xml:space="preserve"> </w:t>
      </w:r>
      <w:r w:rsidRPr="00382917">
        <w:t>Quddús</w:t>
      </w:r>
      <w:r w:rsidR="00EE4FC3">
        <w:t xml:space="preserve"> </w:t>
      </w:r>
      <w:r w:rsidRPr="00382917">
        <w:t>was</w:t>
      </w:r>
      <w:r w:rsidR="00EE4FC3">
        <w:t xml:space="preserve"> </w:t>
      </w:r>
      <w:r w:rsidRPr="00382917">
        <w:t>approaching</w:t>
      </w:r>
      <w:r w:rsidR="00EE4FC3">
        <w:t xml:space="preserve"> </w:t>
      </w:r>
      <w:r w:rsidRPr="00382917">
        <w:t>the</w:t>
      </w:r>
      <w:r w:rsidR="00EE4FC3">
        <w:t xml:space="preserve"> </w:t>
      </w:r>
      <w:r w:rsidRPr="00382917">
        <w:t>fort</w:t>
      </w:r>
      <w:r w:rsidR="00A93643">
        <w:t>.</w:t>
      </w:r>
      <w:r w:rsidR="00EE4FC3">
        <w:t xml:space="preserve">  </w:t>
      </w:r>
      <w:r w:rsidRPr="00382917">
        <w:t>The</w:t>
      </w:r>
      <w:r w:rsidR="00EE4FC3">
        <w:t xml:space="preserve"> </w:t>
      </w:r>
      <w:r w:rsidRPr="00382917">
        <w:t>messengers</w:t>
      </w:r>
      <w:r w:rsidR="00EE4FC3">
        <w:t xml:space="preserve"> </w:t>
      </w:r>
      <w:r w:rsidRPr="00382917">
        <w:t>Mullá</w:t>
      </w:r>
      <w:r w:rsidR="00EE4FC3">
        <w:t xml:space="preserve"> </w:t>
      </w:r>
      <w:r w:rsidR="00964C11" w:rsidRPr="00382917">
        <w:t>Ḥusayn</w:t>
      </w:r>
      <w:r w:rsidR="00EE4FC3">
        <w:t xml:space="preserve"> </w:t>
      </w:r>
      <w:r w:rsidRPr="00382917">
        <w:t>had</w:t>
      </w:r>
      <w:r w:rsidR="00EE4FC3">
        <w:t xml:space="preserve"> </w:t>
      </w:r>
      <w:r w:rsidRPr="00382917">
        <w:t>sent</w:t>
      </w:r>
      <w:r w:rsidR="00EE4FC3">
        <w:t xml:space="preserve"> </w:t>
      </w:r>
      <w:r w:rsidRPr="00382917">
        <w:t>to</w:t>
      </w:r>
    </w:p>
    <w:p w:rsidR="00B2576B" w:rsidRPr="00382917" w:rsidRDefault="00B2576B">
      <w:pPr>
        <w:widowControl/>
        <w:kinsoku/>
        <w:overflowPunct/>
        <w:textAlignment w:val="auto"/>
      </w:pPr>
      <w:r w:rsidRPr="00382917">
        <w:br w:type="page"/>
      </w:r>
    </w:p>
    <w:p w:rsidR="00B2576B" w:rsidRPr="00382917" w:rsidRDefault="00B2576B" w:rsidP="00B2576B">
      <w:pPr>
        <w:pStyle w:val="Textcts"/>
      </w:pPr>
      <w:proofErr w:type="gramStart"/>
      <w:r w:rsidRPr="00382917">
        <w:t>Sari</w:t>
      </w:r>
      <w:r w:rsidR="00EE4FC3">
        <w:t xml:space="preserve"> </w:t>
      </w:r>
      <w:r w:rsidRPr="00382917">
        <w:t>were</w:t>
      </w:r>
      <w:proofErr w:type="gramEnd"/>
      <w:r w:rsidR="00EE4FC3">
        <w:t xml:space="preserve"> </w:t>
      </w:r>
      <w:r w:rsidRPr="00382917">
        <w:t>successful</w:t>
      </w:r>
      <w:r w:rsidR="00EE4FC3">
        <w:t xml:space="preserve"> </w:t>
      </w:r>
      <w:r w:rsidRPr="00382917">
        <w:t>in</w:t>
      </w:r>
      <w:r w:rsidR="00EE4FC3">
        <w:t xml:space="preserve"> </w:t>
      </w:r>
      <w:r w:rsidRPr="00382917">
        <w:t>securing</w:t>
      </w:r>
      <w:r w:rsidR="00EE4FC3">
        <w:t xml:space="preserve"> </w:t>
      </w:r>
      <w:r w:rsidRPr="00382917">
        <w:t>his</w:t>
      </w:r>
      <w:r w:rsidR="00EE4FC3">
        <w:t xml:space="preserve"> </w:t>
      </w:r>
      <w:r w:rsidRPr="00382917">
        <w:t>release</w:t>
      </w:r>
      <w:r w:rsidR="00EE4FC3">
        <w:t xml:space="preserve"> </w:t>
      </w:r>
      <w:r w:rsidRPr="00382917">
        <w:t>from</w:t>
      </w:r>
      <w:r w:rsidR="00EE4FC3">
        <w:t xml:space="preserve"> </w:t>
      </w:r>
      <w:r w:rsidRPr="00382917">
        <w:t>the</w:t>
      </w:r>
      <w:r w:rsidR="00EE4FC3">
        <w:t xml:space="preserve"> </w:t>
      </w:r>
      <w:r w:rsidRPr="00382917">
        <w:t>official</w:t>
      </w:r>
      <w:r w:rsidR="00EE4FC3">
        <w:t xml:space="preserve"> </w:t>
      </w:r>
      <w:r w:rsidRPr="00382917">
        <w:t>in</w:t>
      </w:r>
      <w:r w:rsidR="00EE4FC3">
        <w:t xml:space="preserve"> </w:t>
      </w:r>
      <w:r w:rsidRPr="00382917">
        <w:t>whose</w:t>
      </w:r>
      <w:r w:rsidR="00EE4FC3">
        <w:t xml:space="preserve"> </w:t>
      </w:r>
      <w:r w:rsidRPr="00382917">
        <w:t>home</w:t>
      </w:r>
      <w:r w:rsidR="00EE4FC3">
        <w:t xml:space="preserve"> </w:t>
      </w:r>
      <w:r w:rsidRPr="00382917">
        <w:t>he</w:t>
      </w:r>
      <w:r w:rsidR="00EE4FC3">
        <w:t xml:space="preserve"> </w:t>
      </w:r>
      <w:r w:rsidRPr="00382917">
        <w:t>had</w:t>
      </w:r>
      <w:r w:rsidR="00EE4FC3">
        <w:t xml:space="preserve"> </w:t>
      </w:r>
      <w:r w:rsidRPr="00382917">
        <w:t>been</w:t>
      </w:r>
      <w:r w:rsidR="00EE4FC3">
        <w:t xml:space="preserve"> </w:t>
      </w:r>
      <w:r w:rsidRPr="00382917">
        <w:t>held</w:t>
      </w:r>
      <w:r w:rsidR="00EE4FC3">
        <w:t xml:space="preserve"> </w:t>
      </w:r>
      <w:r w:rsidRPr="00382917">
        <w:t>captive.</w:t>
      </w:r>
    </w:p>
    <w:p w:rsidR="00B2576B" w:rsidRPr="00382917" w:rsidRDefault="00B2576B" w:rsidP="00B2576B">
      <w:pPr>
        <w:pStyle w:val="Text"/>
      </w:pPr>
      <w:r w:rsidRPr="00382917">
        <w:t>Inside</w:t>
      </w:r>
      <w:r w:rsidR="00EE4FC3">
        <w:t xml:space="preserve"> </w:t>
      </w:r>
      <w:r w:rsidRPr="00382917">
        <w:t>this</w:t>
      </w:r>
      <w:r w:rsidR="00EE4FC3">
        <w:t xml:space="preserve"> </w:t>
      </w:r>
      <w:r w:rsidRPr="00382917">
        <w:t>fort</w:t>
      </w:r>
      <w:r w:rsidR="00EE4FC3">
        <w:t xml:space="preserve"> </w:t>
      </w:r>
      <w:r w:rsidRPr="00382917">
        <w:t>the</w:t>
      </w:r>
      <w:r w:rsidR="00EE4FC3">
        <w:t xml:space="preserve"> </w:t>
      </w:r>
      <w:r w:rsidRPr="00382917">
        <w:t>followers</w:t>
      </w:r>
      <w:r w:rsidR="00EE4FC3">
        <w:t xml:space="preserve"> </w:t>
      </w:r>
      <w:r w:rsidRPr="00382917">
        <w:t>of</w:t>
      </w:r>
      <w:r w:rsidR="00EE4FC3">
        <w:t xml:space="preserve"> </w:t>
      </w:r>
      <w:r w:rsidRPr="00382917">
        <w:t>the</w:t>
      </w:r>
      <w:r w:rsidR="00EE4FC3">
        <w:t xml:space="preserve"> </w:t>
      </w:r>
      <w:r w:rsidRPr="00382917">
        <w:t>Báb</w:t>
      </w:r>
      <w:r w:rsidR="00EE4FC3">
        <w:t xml:space="preserve"> </w:t>
      </w:r>
      <w:r w:rsidRPr="00382917">
        <w:t>were</w:t>
      </w:r>
      <w:r w:rsidR="00EE4FC3">
        <w:t xml:space="preserve"> </w:t>
      </w:r>
      <w:r w:rsidRPr="00382917">
        <w:t>to</w:t>
      </w:r>
      <w:r w:rsidR="00EE4FC3">
        <w:t xml:space="preserve"> </w:t>
      </w:r>
      <w:r w:rsidRPr="00382917">
        <w:t>hold</w:t>
      </w:r>
      <w:r w:rsidR="00EE4FC3">
        <w:t xml:space="preserve"> </w:t>
      </w:r>
      <w:r w:rsidRPr="00382917">
        <w:t>out</w:t>
      </w:r>
      <w:r w:rsidR="00EE4FC3">
        <w:t xml:space="preserve"> </w:t>
      </w:r>
      <w:r w:rsidRPr="00382917">
        <w:t>against</w:t>
      </w:r>
      <w:r w:rsidR="00EE4FC3">
        <w:t xml:space="preserve"> </w:t>
      </w:r>
      <w:r w:rsidRPr="00382917">
        <w:t>assault,</w:t>
      </w:r>
      <w:r w:rsidR="00EE4FC3">
        <w:t xml:space="preserve"> </w:t>
      </w:r>
      <w:r w:rsidRPr="00382917">
        <w:t>starvation,</w:t>
      </w:r>
      <w:r w:rsidR="00EE4FC3">
        <w:t xml:space="preserve"> </w:t>
      </w:r>
      <w:r w:rsidRPr="00382917">
        <w:t>and</w:t>
      </w:r>
      <w:r w:rsidR="00EE4FC3">
        <w:t xml:space="preserve"> </w:t>
      </w:r>
      <w:r w:rsidRPr="00382917">
        <w:t>treachery;</w:t>
      </w:r>
      <w:r w:rsidR="00EE4FC3">
        <w:t xml:space="preserve"> </w:t>
      </w:r>
      <w:r w:rsidRPr="00382917">
        <w:t>they</w:t>
      </w:r>
      <w:r w:rsidR="00EE4FC3">
        <w:t xml:space="preserve"> </w:t>
      </w:r>
      <w:r w:rsidRPr="00382917">
        <w:t>would</w:t>
      </w:r>
      <w:r w:rsidR="00EE4FC3">
        <w:t xml:space="preserve"> </w:t>
      </w:r>
      <w:r w:rsidRPr="00382917">
        <w:t>outwit</w:t>
      </w:r>
      <w:r w:rsidR="00EE4FC3">
        <w:t xml:space="preserve"> </w:t>
      </w:r>
      <w:r w:rsidRPr="00382917">
        <w:t>and</w:t>
      </w:r>
      <w:r w:rsidR="00EE4FC3">
        <w:t xml:space="preserve"> </w:t>
      </w:r>
      <w:r w:rsidRPr="00382917">
        <w:t>outfight</w:t>
      </w:r>
      <w:r w:rsidR="00EE4FC3">
        <w:t xml:space="preserve"> </w:t>
      </w:r>
      <w:r w:rsidRPr="00382917">
        <w:t>the</w:t>
      </w:r>
      <w:r w:rsidR="00EE4FC3">
        <w:t xml:space="preserve"> </w:t>
      </w:r>
      <w:r w:rsidRPr="00382917">
        <w:t>entire</w:t>
      </w:r>
      <w:r w:rsidR="00EE4FC3">
        <w:t xml:space="preserve"> </w:t>
      </w:r>
      <w:r w:rsidRPr="00382917">
        <w:t>army</w:t>
      </w:r>
      <w:r w:rsidR="00EE4FC3">
        <w:t xml:space="preserve"> </w:t>
      </w:r>
      <w:r w:rsidRPr="00382917">
        <w:t>of</w:t>
      </w:r>
      <w:r w:rsidR="00EE4FC3">
        <w:t xml:space="preserve"> </w:t>
      </w:r>
      <w:r w:rsidRPr="00382917">
        <w:t>the</w:t>
      </w:r>
      <w:r w:rsidR="00EE4FC3">
        <w:t xml:space="preserve"> </w:t>
      </w:r>
      <w:r w:rsidRPr="00382917">
        <w:t>king;</w:t>
      </w:r>
      <w:r w:rsidR="00EE4FC3">
        <w:t xml:space="preserve"> </w:t>
      </w:r>
      <w:r w:rsidRPr="00382917">
        <w:t>this</w:t>
      </w:r>
      <w:r w:rsidR="00EE4FC3">
        <w:t xml:space="preserve"> </w:t>
      </w:r>
      <w:r w:rsidRPr="00382917">
        <w:t>God-intoxicated</w:t>
      </w:r>
      <w:r w:rsidR="00EE4FC3">
        <w:t xml:space="preserve"> </w:t>
      </w:r>
      <w:r w:rsidRPr="00382917">
        <w:t>handful</w:t>
      </w:r>
      <w:r w:rsidR="00EE4FC3">
        <w:t xml:space="preserve"> </w:t>
      </w:r>
      <w:r w:rsidRPr="00382917">
        <w:t>would</w:t>
      </w:r>
      <w:r w:rsidR="00EE4FC3">
        <w:t xml:space="preserve"> </w:t>
      </w:r>
      <w:r w:rsidRPr="00382917">
        <w:t>be</w:t>
      </w:r>
      <w:r w:rsidR="00EE4FC3">
        <w:t xml:space="preserve"> </w:t>
      </w:r>
      <w:r w:rsidRPr="00382917">
        <w:t>pitted</w:t>
      </w:r>
      <w:r w:rsidR="00EE4FC3">
        <w:t xml:space="preserve"> </w:t>
      </w:r>
      <w:r w:rsidRPr="00382917">
        <w:t>against</w:t>
      </w:r>
      <w:r w:rsidR="00EE4FC3">
        <w:t xml:space="preserve"> </w:t>
      </w:r>
      <w:r w:rsidRPr="00382917">
        <w:t>a</w:t>
      </w:r>
      <w:r w:rsidR="00EE4FC3">
        <w:t xml:space="preserve"> </w:t>
      </w:r>
      <w:r w:rsidRPr="00382917">
        <w:t>trained</w:t>
      </w:r>
      <w:r w:rsidR="00EE4FC3">
        <w:t xml:space="preserve"> </w:t>
      </w:r>
      <w:r w:rsidRPr="00382917">
        <w:t>army,</w:t>
      </w:r>
      <w:r w:rsidR="00EE4FC3">
        <w:t xml:space="preserve"> </w:t>
      </w:r>
      <w:r w:rsidRPr="00382917">
        <w:t>well</w:t>
      </w:r>
      <w:r w:rsidR="00EE4FC3">
        <w:t xml:space="preserve"> </w:t>
      </w:r>
      <w:r w:rsidRPr="00382917">
        <w:t>equipped,</w:t>
      </w:r>
      <w:r w:rsidR="00EE4FC3">
        <w:t xml:space="preserve"> </w:t>
      </w:r>
      <w:r w:rsidRPr="00382917">
        <w:t>supported</w:t>
      </w:r>
      <w:r w:rsidR="00EE4FC3">
        <w:t xml:space="preserve"> </w:t>
      </w:r>
      <w:r w:rsidRPr="00382917">
        <w:t>by</w:t>
      </w:r>
      <w:r w:rsidR="00EE4FC3">
        <w:t xml:space="preserve"> </w:t>
      </w:r>
      <w:r w:rsidRPr="00382917">
        <w:t>the</w:t>
      </w:r>
      <w:r w:rsidR="00EE4FC3">
        <w:t xml:space="preserve"> </w:t>
      </w:r>
      <w:r w:rsidRPr="00382917">
        <w:t>masses</w:t>
      </w:r>
      <w:r w:rsidR="00EE4FC3">
        <w:t xml:space="preserve"> </w:t>
      </w:r>
      <w:r w:rsidRPr="00382917">
        <w:t>of</w:t>
      </w:r>
      <w:r w:rsidR="00EE4FC3">
        <w:t xml:space="preserve"> </w:t>
      </w:r>
      <w:r w:rsidRPr="00382917">
        <w:t>the</w:t>
      </w:r>
      <w:r w:rsidR="00EE4FC3">
        <w:t xml:space="preserve"> </w:t>
      </w:r>
      <w:r w:rsidRPr="00382917">
        <w:t>people,</w:t>
      </w:r>
      <w:r w:rsidR="00EE4FC3">
        <w:t xml:space="preserve"> </w:t>
      </w:r>
      <w:r w:rsidRPr="00382917">
        <w:t>blessed</w:t>
      </w:r>
      <w:r w:rsidR="00EE4FC3">
        <w:t xml:space="preserve"> </w:t>
      </w:r>
      <w:r w:rsidRPr="00382917">
        <w:t>by</w:t>
      </w:r>
      <w:r w:rsidR="00EE4FC3">
        <w:t xml:space="preserve"> </w:t>
      </w:r>
      <w:r w:rsidRPr="00382917">
        <w:t>the</w:t>
      </w:r>
      <w:r w:rsidR="00EE4FC3">
        <w:t xml:space="preserve"> </w:t>
      </w:r>
      <w:r w:rsidRPr="00382917">
        <w:t>clergy,</w:t>
      </w:r>
      <w:r w:rsidR="00EE4FC3">
        <w:t xml:space="preserve"> </w:t>
      </w:r>
      <w:r w:rsidRPr="00382917">
        <w:t>headed</w:t>
      </w:r>
      <w:r w:rsidR="00EE4FC3">
        <w:t xml:space="preserve"> </w:t>
      </w:r>
      <w:r w:rsidRPr="00382917">
        <w:t>by</w:t>
      </w:r>
      <w:r w:rsidR="00EE4FC3">
        <w:t xml:space="preserve"> </w:t>
      </w:r>
      <w:r w:rsidRPr="00382917">
        <w:t>a</w:t>
      </w:r>
      <w:r w:rsidR="00EE4FC3">
        <w:t xml:space="preserve"> </w:t>
      </w:r>
      <w:r w:rsidRPr="00382917">
        <w:t>prince</w:t>
      </w:r>
      <w:r w:rsidR="00EE4FC3">
        <w:t xml:space="preserve"> </w:t>
      </w:r>
      <w:r w:rsidRPr="00382917">
        <w:t>of</w:t>
      </w:r>
      <w:r w:rsidR="00EE4FC3">
        <w:t xml:space="preserve"> </w:t>
      </w:r>
      <w:r w:rsidRPr="00382917">
        <w:t>royal</w:t>
      </w:r>
      <w:r w:rsidR="00EE4FC3">
        <w:t xml:space="preserve"> </w:t>
      </w:r>
      <w:r w:rsidRPr="00382917">
        <w:t>blood,</w:t>
      </w:r>
      <w:r w:rsidR="00EE4FC3">
        <w:t xml:space="preserve"> </w:t>
      </w:r>
      <w:r w:rsidRPr="00382917">
        <w:t>backed</w:t>
      </w:r>
      <w:r w:rsidR="00EE4FC3">
        <w:t xml:space="preserve"> </w:t>
      </w:r>
      <w:r w:rsidRPr="00382917">
        <w:t>by</w:t>
      </w:r>
      <w:r w:rsidR="00EE4FC3">
        <w:t xml:space="preserve"> </w:t>
      </w:r>
      <w:r w:rsidRPr="00382917">
        <w:t>the</w:t>
      </w:r>
      <w:r w:rsidR="00EE4FC3">
        <w:t xml:space="preserve"> </w:t>
      </w:r>
      <w:r w:rsidRPr="00382917">
        <w:t>resources</w:t>
      </w:r>
      <w:r w:rsidR="00EE4FC3">
        <w:t xml:space="preserve"> </w:t>
      </w:r>
      <w:r w:rsidRPr="00382917">
        <w:t>of</w:t>
      </w:r>
      <w:r w:rsidR="00EE4FC3">
        <w:t xml:space="preserve"> </w:t>
      </w:r>
      <w:r w:rsidRPr="00382917">
        <w:t>the</w:t>
      </w:r>
      <w:r w:rsidR="00EE4FC3">
        <w:t xml:space="preserve"> </w:t>
      </w:r>
      <w:r w:rsidRPr="00382917">
        <w:t>state,</w:t>
      </w:r>
      <w:r w:rsidR="00EE4FC3">
        <w:t xml:space="preserve"> </w:t>
      </w:r>
      <w:r w:rsidRPr="00382917">
        <w:t>and</w:t>
      </w:r>
      <w:r w:rsidR="00EE4FC3">
        <w:t xml:space="preserve"> </w:t>
      </w:r>
      <w:r w:rsidRPr="00382917">
        <w:t>acting</w:t>
      </w:r>
      <w:r w:rsidR="00EE4FC3">
        <w:t xml:space="preserve"> </w:t>
      </w:r>
      <w:r w:rsidRPr="00382917">
        <w:t>with</w:t>
      </w:r>
      <w:r w:rsidR="00EE4FC3">
        <w:t xml:space="preserve"> </w:t>
      </w:r>
      <w:r w:rsidRPr="00382917">
        <w:t>the</w:t>
      </w:r>
      <w:r w:rsidR="00EE4FC3">
        <w:t xml:space="preserve"> </w:t>
      </w:r>
      <w:r w:rsidRPr="00382917">
        <w:t>enthusiastic</w:t>
      </w:r>
      <w:r w:rsidR="00EE4FC3">
        <w:t xml:space="preserve"> </w:t>
      </w:r>
      <w:r w:rsidRPr="00382917">
        <w:t>approval</w:t>
      </w:r>
      <w:r w:rsidR="00EE4FC3">
        <w:t xml:space="preserve"> </w:t>
      </w:r>
      <w:r w:rsidRPr="00382917">
        <w:t>of</w:t>
      </w:r>
      <w:r w:rsidR="00EE4FC3">
        <w:t xml:space="preserve"> </w:t>
      </w:r>
      <w:r w:rsidRPr="00382917">
        <w:t>the</w:t>
      </w:r>
      <w:r w:rsidR="00EE4FC3">
        <w:t xml:space="preserve"> </w:t>
      </w:r>
      <w:r w:rsidRPr="00382917">
        <w:t>king</w:t>
      </w:r>
      <w:r w:rsidR="00EE4FC3">
        <w:t xml:space="preserve"> </w:t>
      </w:r>
      <w:r w:rsidRPr="00382917">
        <w:t>himself.</w:t>
      </w:r>
    </w:p>
    <w:p w:rsidR="00B2576B" w:rsidRPr="00382917" w:rsidRDefault="00B2576B" w:rsidP="00B2576B">
      <w:pPr>
        <w:pStyle w:val="Text"/>
      </w:pPr>
      <w:r w:rsidRPr="00382917">
        <w:t>When</w:t>
      </w:r>
      <w:r w:rsidR="00EE4FC3">
        <w:t xml:space="preserve"> </w:t>
      </w:r>
      <w:r w:rsidRPr="00382917">
        <w:t>Quddús</w:t>
      </w:r>
      <w:r w:rsidR="00EE4FC3">
        <w:t xml:space="preserve"> </w:t>
      </w:r>
      <w:r w:rsidRPr="00382917">
        <w:t>entered</w:t>
      </w:r>
      <w:r w:rsidR="00EE4FC3">
        <w:t xml:space="preserve"> </w:t>
      </w:r>
      <w:r w:rsidRPr="00382917">
        <w:t>the</w:t>
      </w:r>
      <w:r w:rsidR="00EE4FC3">
        <w:t xml:space="preserve"> </w:t>
      </w:r>
      <w:r w:rsidRPr="00382917">
        <w:t>fort,</w:t>
      </w:r>
      <w:r w:rsidR="00EE4FC3">
        <w:t xml:space="preserve"> </w:t>
      </w:r>
      <w:r w:rsidRPr="00382917">
        <w:t>he</w:t>
      </w:r>
      <w:r w:rsidR="00EE4FC3">
        <w:t xml:space="preserve"> </w:t>
      </w:r>
      <w:r w:rsidRPr="00382917">
        <w:t>asked</w:t>
      </w:r>
      <w:r w:rsidR="00EE4FC3">
        <w:t xml:space="preserve"> </w:t>
      </w:r>
      <w:r w:rsidRPr="00382917">
        <w:t>Mullá</w:t>
      </w:r>
      <w:r w:rsidR="00EE4FC3">
        <w:t xml:space="preserve"> </w:t>
      </w:r>
      <w:r w:rsidR="00964C11" w:rsidRPr="00382917">
        <w:t>Ḥusayn</w:t>
      </w:r>
      <w:r w:rsidR="00EE4FC3">
        <w:t xml:space="preserve"> </w:t>
      </w:r>
      <w:r w:rsidRPr="00382917">
        <w:t>to</w:t>
      </w:r>
      <w:r w:rsidR="00EE4FC3">
        <w:t xml:space="preserve"> </w:t>
      </w:r>
      <w:r w:rsidRPr="00382917">
        <w:t>determine</w:t>
      </w:r>
      <w:r w:rsidR="00EE4FC3">
        <w:t xml:space="preserve"> </w:t>
      </w:r>
      <w:r w:rsidRPr="00382917">
        <w:t>the</w:t>
      </w:r>
      <w:r w:rsidR="00EE4FC3">
        <w:t xml:space="preserve"> </w:t>
      </w:r>
      <w:r w:rsidRPr="00382917">
        <w:t>exact</w:t>
      </w:r>
      <w:r w:rsidR="00EE4FC3">
        <w:t xml:space="preserve"> </w:t>
      </w:r>
      <w:r w:rsidRPr="00382917">
        <w:t>number</w:t>
      </w:r>
      <w:r w:rsidR="00EE4FC3">
        <w:t xml:space="preserve"> </w:t>
      </w:r>
      <w:r w:rsidRPr="00382917">
        <w:t>of</w:t>
      </w:r>
      <w:r w:rsidR="00EE4FC3">
        <w:t xml:space="preserve"> </w:t>
      </w:r>
      <w:r w:rsidRPr="00382917">
        <w:t>the</w:t>
      </w:r>
      <w:r w:rsidR="00EE4FC3">
        <w:t xml:space="preserve"> </w:t>
      </w:r>
      <w:r w:rsidRPr="00382917">
        <w:t>assembled</w:t>
      </w:r>
      <w:r w:rsidR="00EE4FC3">
        <w:t xml:space="preserve"> </w:t>
      </w:r>
      <w:r w:rsidRPr="00382917">
        <w:t>companions</w:t>
      </w:r>
      <w:r w:rsidR="00A93643">
        <w:t>.</w:t>
      </w:r>
      <w:r w:rsidR="00EE4FC3">
        <w:t xml:space="preserve">  </w:t>
      </w:r>
      <w:r w:rsidRPr="00382917">
        <w:t>One</w:t>
      </w:r>
      <w:r w:rsidR="00EE4FC3">
        <w:t xml:space="preserve"> </w:t>
      </w:r>
      <w:r w:rsidRPr="00382917">
        <w:t>by</w:t>
      </w:r>
      <w:r w:rsidR="00EE4FC3">
        <w:t xml:space="preserve"> </w:t>
      </w:r>
      <w:r w:rsidRPr="00382917">
        <w:t>one</w:t>
      </w:r>
      <w:r w:rsidR="00EE4FC3">
        <w:t xml:space="preserve"> </w:t>
      </w:r>
      <w:r w:rsidRPr="00382917">
        <w:t>Mullá</w:t>
      </w:r>
      <w:r w:rsidR="00EE4FC3">
        <w:t xml:space="preserve"> </w:t>
      </w:r>
      <w:r w:rsidR="00964C11" w:rsidRPr="00382917">
        <w:t>Ḥusayn</w:t>
      </w:r>
      <w:r w:rsidR="00EE4FC3">
        <w:t xml:space="preserve"> </w:t>
      </w:r>
      <w:r w:rsidRPr="00382917">
        <w:t>counted</w:t>
      </w:r>
      <w:r w:rsidR="00EE4FC3">
        <w:t xml:space="preserve"> </w:t>
      </w:r>
      <w:r w:rsidRPr="00382917">
        <w:t>them</w:t>
      </w:r>
      <w:r w:rsidR="00EE4FC3">
        <w:t xml:space="preserve"> </w:t>
      </w:r>
      <w:r w:rsidRPr="00382917">
        <w:t>off</w:t>
      </w:r>
      <w:r w:rsidR="00EE4FC3">
        <w:t xml:space="preserve"> </w:t>
      </w:r>
      <w:r w:rsidRPr="00382917">
        <w:t>as</w:t>
      </w:r>
      <w:r w:rsidR="00EE4FC3">
        <w:t xml:space="preserve"> </w:t>
      </w:r>
      <w:r w:rsidRPr="00382917">
        <w:t>they</w:t>
      </w:r>
      <w:r w:rsidR="00EE4FC3">
        <w:t xml:space="preserve"> </w:t>
      </w:r>
      <w:r w:rsidRPr="00382917">
        <w:t>passed</w:t>
      </w:r>
      <w:r w:rsidR="00EE4FC3">
        <w:t xml:space="preserve"> </w:t>
      </w:r>
      <w:r w:rsidRPr="00382917">
        <w:t>in</w:t>
      </w:r>
      <w:r w:rsidR="00EE4FC3">
        <w:t xml:space="preserve"> </w:t>
      </w:r>
      <w:r w:rsidRPr="00382917">
        <w:t>through</w:t>
      </w:r>
      <w:r w:rsidR="00EE4FC3">
        <w:t xml:space="preserve"> </w:t>
      </w:r>
      <w:r w:rsidRPr="00382917">
        <w:t>the</w:t>
      </w:r>
      <w:r w:rsidR="00EE4FC3">
        <w:t xml:space="preserve"> </w:t>
      </w:r>
      <w:r w:rsidRPr="00382917">
        <w:t>gate</w:t>
      </w:r>
      <w:r w:rsidR="00C03C91">
        <w:t>:</w:t>
      </w:r>
      <w:r w:rsidR="00EE4FC3">
        <w:t xml:space="preserve">  </w:t>
      </w:r>
      <w:r w:rsidRPr="00382917">
        <w:t>three</w:t>
      </w:r>
      <w:r w:rsidR="00EE4FC3">
        <w:t xml:space="preserve"> </w:t>
      </w:r>
      <w:r w:rsidRPr="00382917">
        <w:t>hundred</w:t>
      </w:r>
      <w:r w:rsidR="00EE4FC3">
        <w:t xml:space="preserve"> </w:t>
      </w:r>
      <w:r w:rsidRPr="00382917">
        <w:t>and</w:t>
      </w:r>
      <w:r w:rsidR="00EE4FC3">
        <w:t xml:space="preserve"> </w:t>
      </w:r>
      <w:r w:rsidRPr="00382917">
        <w:t>twelve</w:t>
      </w:r>
      <w:r w:rsidR="00EE4FC3">
        <w:t xml:space="preserve"> </w:t>
      </w:r>
      <w:r w:rsidRPr="00382917">
        <w:t>in</w:t>
      </w:r>
      <w:r w:rsidR="00EE4FC3">
        <w:t xml:space="preserve"> </w:t>
      </w:r>
      <w:r w:rsidRPr="00382917">
        <w:t>all</w:t>
      </w:r>
      <w:r w:rsidR="00A93643">
        <w:t>.</w:t>
      </w:r>
      <w:r w:rsidR="00EE4FC3">
        <w:t xml:space="preserve">  </w:t>
      </w:r>
      <w:r w:rsidRPr="00382917">
        <w:t>He</w:t>
      </w:r>
      <w:r w:rsidR="00EE4FC3">
        <w:t xml:space="preserve"> </w:t>
      </w:r>
      <w:r w:rsidRPr="00382917">
        <w:t>was</w:t>
      </w:r>
      <w:r w:rsidR="00EE4FC3">
        <w:t xml:space="preserve"> </w:t>
      </w:r>
      <w:r w:rsidRPr="00382917">
        <w:t>on</w:t>
      </w:r>
      <w:r w:rsidR="00EE4FC3">
        <w:t xml:space="preserve"> </w:t>
      </w:r>
      <w:r w:rsidRPr="00382917">
        <w:t>his</w:t>
      </w:r>
      <w:r w:rsidR="00EE4FC3">
        <w:t xml:space="preserve"> </w:t>
      </w:r>
      <w:r w:rsidRPr="00382917">
        <w:t>way</w:t>
      </w:r>
      <w:r w:rsidR="00EE4FC3">
        <w:t xml:space="preserve"> </w:t>
      </w:r>
      <w:r w:rsidRPr="00382917">
        <w:t>to</w:t>
      </w:r>
      <w:r w:rsidR="00EE4FC3">
        <w:t xml:space="preserve"> </w:t>
      </w:r>
      <w:r w:rsidRPr="00382917">
        <w:t>make</w:t>
      </w:r>
      <w:r w:rsidR="00EE4FC3">
        <w:t xml:space="preserve"> </w:t>
      </w:r>
      <w:r w:rsidRPr="00382917">
        <w:t>his</w:t>
      </w:r>
      <w:r w:rsidR="00EE4FC3">
        <w:t xml:space="preserve"> </w:t>
      </w:r>
      <w:r w:rsidRPr="00382917">
        <w:t>report</w:t>
      </w:r>
      <w:r w:rsidR="00EE4FC3">
        <w:t xml:space="preserve"> </w:t>
      </w:r>
      <w:r w:rsidRPr="00382917">
        <w:t>to</w:t>
      </w:r>
      <w:r w:rsidR="00EE4FC3">
        <w:t xml:space="preserve"> </w:t>
      </w:r>
      <w:r w:rsidRPr="00382917">
        <w:t>Quddús</w:t>
      </w:r>
      <w:r w:rsidR="00EE4FC3">
        <w:t xml:space="preserve"> </w:t>
      </w:r>
      <w:r w:rsidRPr="00382917">
        <w:t>when</w:t>
      </w:r>
      <w:r w:rsidR="00EE4FC3">
        <w:t xml:space="preserve"> </w:t>
      </w:r>
      <w:r w:rsidRPr="00382917">
        <w:t>a</w:t>
      </w:r>
      <w:r w:rsidR="00EE4FC3">
        <w:t xml:space="preserve"> </w:t>
      </w:r>
      <w:r w:rsidRPr="00382917">
        <w:t>young</w:t>
      </w:r>
      <w:r w:rsidR="00EE4FC3">
        <w:t xml:space="preserve"> </w:t>
      </w:r>
      <w:r w:rsidRPr="00382917">
        <w:t>man</w:t>
      </w:r>
      <w:r w:rsidR="00EE4FC3">
        <w:t xml:space="preserve"> </w:t>
      </w:r>
      <w:r w:rsidRPr="00382917">
        <w:t>who</w:t>
      </w:r>
      <w:r w:rsidR="00EE4FC3">
        <w:t xml:space="preserve"> </w:t>
      </w:r>
      <w:r w:rsidRPr="00382917">
        <w:t>had</w:t>
      </w:r>
      <w:r w:rsidR="00EE4FC3">
        <w:t xml:space="preserve"> </w:t>
      </w:r>
      <w:r w:rsidRPr="00382917">
        <w:t>come</w:t>
      </w:r>
      <w:r w:rsidR="00EE4FC3">
        <w:t xml:space="preserve"> </w:t>
      </w:r>
      <w:r w:rsidRPr="00382917">
        <w:t>on</w:t>
      </w:r>
      <w:r w:rsidR="00EE4FC3">
        <w:t xml:space="preserve"> </w:t>
      </w:r>
      <w:r w:rsidRPr="00382917">
        <w:t>foot</w:t>
      </w:r>
      <w:r w:rsidR="00EE4FC3">
        <w:t xml:space="preserve"> </w:t>
      </w:r>
      <w:r w:rsidRPr="00382917">
        <w:t>from</w:t>
      </w:r>
      <w:r w:rsidR="00EE4FC3">
        <w:t xml:space="preserve"> </w:t>
      </w:r>
      <w:r w:rsidR="00814CFC" w:rsidRPr="00382917">
        <w:t>Bárfurú</w:t>
      </w:r>
      <w:r w:rsidR="00814CFC" w:rsidRPr="00814CFC">
        <w:rPr>
          <w:u w:val="single"/>
        </w:rPr>
        <w:t>sh</w:t>
      </w:r>
      <w:r w:rsidR="00EE4FC3">
        <w:t xml:space="preserve"> </w:t>
      </w:r>
      <w:r w:rsidRPr="00382917">
        <w:t>rushed</w:t>
      </w:r>
      <w:r w:rsidR="00EE4FC3">
        <w:t xml:space="preserve"> </w:t>
      </w:r>
      <w:r w:rsidRPr="00382917">
        <w:t>through</w:t>
      </w:r>
      <w:r w:rsidR="00EE4FC3">
        <w:t xml:space="preserve"> </w:t>
      </w:r>
      <w:r w:rsidRPr="00382917">
        <w:t>the</w:t>
      </w:r>
      <w:r w:rsidR="00EE4FC3">
        <w:t xml:space="preserve"> </w:t>
      </w:r>
      <w:r w:rsidRPr="00382917">
        <w:t>gate</w:t>
      </w:r>
      <w:r w:rsidR="00EE4FC3">
        <w:t xml:space="preserve"> </w:t>
      </w:r>
      <w:r w:rsidRPr="00382917">
        <w:t>and</w:t>
      </w:r>
      <w:r w:rsidR="00EE4FC3">
        <w:t xml:space="preserve"> </w:t>
      </w:r>
      <w:r w:rsidRPr="00382917">
        <w:t>begged</w:t>
      </w:r>
      <w:r w:rsidR="00EE4FC3">
        <w:t xml:space="preserve"> </w:t>
      </w:r>
      <w:r w:rsidRPr="00382917">
        <w:t>to</w:t>
      </w:r>
      <w:r w:rsidR="00EE4FC3">
        <w:t xml:space="preserve"> </w:t>
      </w:r>
      <w:r w:rsidRPr="00382917">
        <w:t>be</w:t>
      </w:r>
      <w:r w:rsidR="00EE4FC3">
        <w:t xml:space="preserve"> </w:t>
      </w:r>
      <w:r w:rsidRPr="00382917">
        <w:t>allowed</w:t>
      </w:r>
      <w:r w:rsidR="00EE4FC3">
        <w:t xml:space="preserve"> </w:t>
      </w:r>
      <w:r w:rsidRPr="00382917">
        <w:t>to</w:t>
      </w:r>
      <w:r w:rsidR="00EE4FC3">
        <w:t xml:space="preserve"> </w:t>
      </w:r>
      <w:r w:rsidRPr="00382917">
        <w:t>join</w:t>
      </w:r>
      <w:r w:rsidR="00EE4FC3">
        <w:t xml:space="preserve"> </w:t>
      </w:r>
      <w:r w:rsidRPr="00382917">
        <w:t>them</w:t>
      </w:r>
      <w:r w:rsidR="00A93643">
        <w:t>.</w:t>
      </w:r>
      <w:r w:rsidR="00EE4FC3">
        <w:t xml:space="preserve">  </w:t>
      </w:r>
      <w:r w:rsidRPr="00382917">
        <w:t>Thus,</w:t>
      </w:r>
      <w:r w:rsidR="00EE4FC3">
        <w:t xml:space="preserve"> </w:t>
      </w:r>
      <w:r w:rsidRPr="00382917">
        <w:t>the</w:t>
      </w:r>
      <w:r w:rsidR="00EE4FC3">
        <w:t xml:space="preserve"> </w:t>
      </w:r>
      <w:r w:rsidRPr="00382917">
        <w:t>number</w:t>
      </w:r>
      <w:r w:rsidR="00EE4FC3">
        <w:t xml:space="preserve"> </w:t>
      </w:r>
      <w:r w:rsidRPr="00382917">
        <w:t>reported</w:t>
      </w:r>
      <w:r w:rsidR="00EE4FC3">
        <w:t xml:space="preserve"> </w:t>
      </w:r>
      <w:r w:rsidRPr="00382917">
        <w:t>to</w:t>
      </w:r>
      <w:r w:rsidR="00EE4FC3">
        <w:t xml:space="preserve"> </w:t>
      </w:r>
      <w:r w:rsidRPr="00382917">
        <w:t>Quddús</w:t>
      </w:r>
      <w:r w:rsidR="00EE4FC3">
        <w:t xml:space="preserve"> </w:t>
      </w:r>
      <w:r w:rsidRPr="00382917">
        <w:t>was</w:t>
      </w:r>
      <w:r w:rsidR="00EE4FC3">
        <w:t xml:space="preserve"> </w:t>
      </w:r>
      <w:r w:rsidRPr="00382917">
        <w:t>exactly</w:t>
      </w:r>
      <w:r w:rsidR="00EE4FC3">
        <w:t xml:space="preserve"> </w:t>
      </w:r>
      <w:r w:rsidRPr="00382917">
        <w:t>three</w:t>
      </w:r>
      <w:r w:rsidR="00EE4FC3">
        <w:t xml:space="preserve"> </w:t>
      </w:r>
      <w:r w:rsidRPr="00382917">
        <w:t>hundred</w:t>
      </w:r>
      <w:r w:rsidR="00EE4FC3">
        <w:t xml:space="preserve"> </w:t>
      </w:r>
      <w:r w:rsidRPr="00382917">
        <w:t>and</w:t>
      </w:r>
      <w:r w:rsidR="00EE4FC3">
        <w:t xml:space="preserve"> </w:t>
      </w:r>
      <w:r w:rsidRPr="00382917">
        <w:t>thirteen.</w:t>
      </w:r>
    </w:p>
    <w:p w:rsidR="00B2576B" w:rsidRPr="00382917" w:rsidRDefault="00B2576B" w:rsidP="00B2576B">
      <w:pPr>
        <w:pStyle w:val="Text"/>
      </w:pPr>
      <w:r w:rsidRPr="00382917">
        <w:t>Quddús</w:t>
      </w:r>
      <w:r w:rsidR="00EE4FC3">
        <w:t xml:space="preserve"> </w:t>
      </w:r>
      <w:r w:rsidRPr="00382917">
        <w:t>said</w:t>
      </w:r>
      <w:r w:rsidR="00EE4FC3">
        <w:t xml:space="preserve"> </w:t>
      </w:r>
      <w:r w:rsidRPr="00382917">
        <w:t>to</w:t>
      </w:r>
      <w:r w:rsidR="00EE4FC3">
        <w:t xml:space="preserve"> </w:t>
      </w:r>
      <w:r w:rsidRPr="00382917">
        <w:t>them</w:t>
      </w:r>
      <w:r w:rsidR="00C03C91">
        <w:t>:</w:t>
      </w:r>
      <w:r w:rsidR="00EE4FC3">
        <w:t xml:space="preserve">  </w:t>
      </w:r>
      <w:r w:rsidR="009C713D" w:rsidRPr="00382917">
        <w:t>“</w:t>
      </w:r>
      <w:r w:rsidRPr="00382917">
        <w:t>Whatever</w:t>
      </w:r>
      <w:r w:rsidR="00EE4FC3">
        <w:t xml:space="preserve"> </w:t>
      </w:r>
      <w:r w:rsidRPr="00382917">
        <w:t>the</w:t>
      </w:r>
      <w:r w:rsidR="00EE4FC3">
        <w:t xml:space="preserve"> </w:t>
      </w:r>
      <w:r w:rsidRPr="00382917">
        <w:t>tongue</w:t>
      </w:r>
      <w:r w:rsidR="00EE4FC3">
        <w:t xml:space="preserve"> </w:t>
      </w:r>
      <w:r w:rsidRPr="00382917">
        <w:t>of</w:t>
      </w:r>
      <w:r w:rsidR="00EE4FC3">
        <w:t xml:space="preserve"> </w:t>
      </w:r>
      <w:r w:rsidRPr="00382917">
        <w:t>the</w:t>
      </w:r>
      <w:r w:rsidR="00EE4FC3">
        <w:t xml:space="preserve"> </w:t>
      </w:r>
      <w:r w:rsidRPr="00382917">
        <w:t>Prophet</w:t>
      </w:r>
      <w:r w:rsidR="00EE4FC3">
        <w:t xml:space="preserve"> </w:t>
      </w:r>
      <w:r w:rsidRPr="00382917">
        <w:t>of</w:t>
      </w:r>
      <w:r w:rsidR="00EE4FC3">
        <w:t xml:space="preserve"> </w:t>
      </w:r>
      <w:r w:rsidRPr="00382917">
        <w:t>God</w:t>
      </w:r>
      <w:r w:rsidR="00EE4FC3">
        <w:t xml:space="preserve"> </w:t>
      </w:r>
      <w:r w:rsidRPr="00382917">
        <w:t>has</w:t>
      </w:r>
      <w:r w:rsidR="00EE4FC3">
        <w:t xml:space="preserve"> </w:t>
      </w:r>
      <w:r w:rsidRPr="00382917">
        <w:t>spoken</w:t>
      </w:r>
      <w:r w:rsidR="00EE4FC3">
        <w:t xml:space="preserve"> </w:t>
      </w:r>
      <w:r w:rsidRPr="00382917">
        <w:t>concerning</w:t>
      </w:r>
      <w:r w:rsidR="00EE4FC3">
        <w:t xml:space="preserve"> </w:t>
      </w:r>
      <w:r w:rsidRPr="00382917">
        <w:t>the</w:t>
      </w:r>
      <w:r w:rsidR="00EE4FC3">
        <w:t xml:space="preserve"> </w:t>
      </w:r>
      <w:r w:rsidRPr="00382917">
        <w:t>Promised</w:t>
      </w:r>
      <w:r w:rsidR="00EE4FC3">
        <w:t xml:space="preserve"> </w:t>
      </w:r>
      <w:r w:rsidRPr="00382917">
        <w:t>One</w:t>
      </w:r>
      <w:r w:rsidR="00EE4FC3">
        <w:t xml:space="preserve"> </w:t>
      </w:r>
      <w:proofErr w:type="gramStart"/>
      <w:r w:rsidRPr="00382917">
        <w:t>must</w:t>
      </w:r>
      <w:r w:rsidR="00EE4FC3">
        <w:t xml:space="preserve"> </w:t>
      </w:r>
      <w:r w:rsidRPr="00382917">
        <w:t>needs</w:t>
      </w:r>
      <w:proofErr w:type="gramEnd"/>
      <w:r w:rsidR="00EE4FC3">
        <w:t xml:space="preserve"> </w:t>
      </w:r>
      <w:r w:rsidRPr="00382917">
        <w:t>be</w:t>
      </w:r>
      <w:r w:rsidR="00EE4FC3">
        <w:t xml:space="preserve"> </w:t>
      </w:r>
      <w:r w:rsidRPr="00382917">
        <w:t>fulfilled.</w:t>
      </w:r>
      <w:r w:rsidR="009C713D" w:rsidRPr="00382917">
        <w:t>”</w:t>
      </w:r>
    </w:p>
    <w:p w:rsidR="00E13D49" w:rsidRPr="00382917" w:rsidRDefault="00B2576B" w:rsidP="009C18CA">
      <w:pPr>
        <w:pStyle w:val="Text"/>
      </w:pPr>
      <w:r w:rsidRPr="00382917">
        <w:t>Then</w:t>
      </w:r>
      <w:r w:rsidR="00EE4FC3">
        <w:t xml:space="preserve"> </w:t>
      </w:r>
      <w:r w:rsidRPr="00382917">
        <w:t>the</w:t>
      </w:r>
      <w:r w:rsidR="00EE4FC3">
        <w:t xml:space="preserve"> </w:t>
      </w:r>
      <w:r w:rsidRPr="00382917">
        <w:t>companions</w:t>
      </w:r>
      <w:r w:rsidR="00EE4FC3">
        <w:t xml:space="preserve"> </w:t>
      </w:r>
      <w:r w:rsidRPr="00382917">
        <w:t>were</w:t>
      </w:r>
      <w:r w:rsidR="00EE4FC3">
        <w:t xml:space="preserve"> </w:t>
      </w:r>
      <w:r w:rsidRPr="00382917">
        <w:t>reminded</w:t>
      </w:r>
      <w:r w:rsidR="00EE4FC3">
        <w:t xml:space="preserve"> </w:t>
      </w:r>
      <w:r w:rsidRPr="00382917">
        <w:t>of</w:t>
      </w:r>
      <w:r w:rsidR="00EE4FC3">
        <w:t xml:space="preserve"> </w:t>
      </w:r>
      <w:r w:rsidRPr="00382917">
        <w:t>the</w:t>
      </w:r>
      <w:r w:rsidR="00EE4FC3">
        <w:t xml:space="preserve"> </w:t>
      </w:r>
      <w:r w:rsidRPr="00382917">
        <w:t>prophecy</w:t>
      </w:r>
      <w:r w:rsidR="00EE4FC3">
        <w:t xml:space="preserve"> </w:t>
      </w:r>
      <w:r w:rsidRPr="00382917">
        <w:t>given</w:t>
      </w:r>
      <w:r w:rsidR="00EE4FC3">
        <w:t xml:space="preserve"> </w:t>
      </w:r>
      <w:r w:rsidRPr="00382917">
        <w:t>for</w:t>
      </w:r>
      <w:r w:rsidR="00EE4FC3">
        <w:t xml:space="preserve"> </w:t>
      </w:r>
      <w:r w:rsidRPr="00382917">
        <w:t>this</w:t>
      </w:r>
      <w:r w:rsidR="00EE4FC3">
        <w:t xml:space="preserve"> </w:t>
      </w:r>
      <w:proofErr w:type="gramStart"/>
      <w:r w:rsidRPr="00382917">
        <w:t>day,</w:t>
      </w:r>
      <w:r w:rsidR="00EE4FC3">
        <w:t xml:space="preserve"> </w:t>
      </w:r>
      <w:r w:rsidRPr="00382917">
        <w:t>that</w:t>
      </w:r>
      <w:proofErr w:type="gramEnd"/>
      <w:r w:rsidR="00EE4FC3">
        <w:t xml:space="preserve"> </w:t>
      </w:r>
      <w:r w:rsidR="009C713D" w:rsidRPr="00382917">
        <w:t>“</w:t>
      </w:r>
      <w:r w:rsidRPr="00382917">
        <w:t>the</w:t>
      </w:r>
      <w:r w:rsidR="00EE4FC3">
        <w:t xml:space="preserve"> </w:t>
      </w:r>
      <w:r w:rsidRPr="00382917">
        <w:t>assembling</w:t>
      </w:r>
      <w:r w:rsidR="00EE4FC3">
        <w:t xml:space="preserve"> </w:t>
      </w:r>
      <w:r w:rsidRPr="00382917">
        <w:t>of</w:t>
      </w:r>
      <w:r w:rsidR="00EE4FC3">
        <w:t xml:space="preserve"> </w:t>
      </w:r>
      <w:r w:rsidRPr="00382917">
        <w:t>three</w:t>
      </w:r>
      <w:r w:rsidR="00EE4FC3">
        <w:t xml:space="preserve"> </w:t>
      </w:r>
      <w:r w:rsidRPr="00382917">
        <w:t>hundred</w:t>
      </w:r>
      <w:r w:rsidR="00EE4FC3">
        <w:t xml:space="preserve"> </w:t>
      </w:r>
      <w:r w:rsidRPr="00382917">
        <w:t>and</w:t>
      </w:r>
      <w:r w:rsidR="00EE4FC3">
        <w:t xml:space="preserve"> </w:t>
      </w:r>
      <w:r w:rsidRPr="00382917">
        <w:t>thirteen</w:t>
      </w:r>
      <w:r w:rsidR="00EE4FC3">
        <w:t xml:space="preserve"> </w:t>
      </w:r>
      <w:r w:rsidRPr="00382917">
        <w:t>chosen</w:t>
      </w:r>
      <w:r w:rsidR="00EE4FC3">
        <w:t xml:space="preserve"> </w:t>
      </w:r>
      <w:r w:rsidRPr="00382917">
        <w:t>supporters</w:t>
      </w:r>
      <w:r w:rsidR="009C713D" w:rsidRPr="00382917">
        <w:t>”</w:t>
      </w:r>
      <w:r w:rsidR="00EE4FC3">
        <w:t xml:space="preserve"> </w:t>
      </w:r>
      <w:r w:rsidRPr="00382917">
        <w:t>would</w:t>
      </w:r>
      <w:r w:rsidR="00EE4FC3">
        <w:t xml:space="preserve"> </w:t>
      </w:r>
      <w:r w:rsidRPr="00382917">
        <w:t>be</w:t>
      </w:r>
      <w:r w:rsidR="00EE4FC3">
        <w:t xml:space="preserve"> </w:t>
      </w:r>
      <w:r w:rsidRPr="00382917">
        <w:t>yet</w:t>
      </w:r>
      <w:r w:rsidR="00EE4FC3">
        <w:t xml:space="preserve"> </w:t>
      </w:r>
      <w:r w:rsidRPr="00382917">
        <w:t>another</w:t>
      </w:r>
      <w:r w:rsidR="00EE4FC3">
        <w:t xml:space="preserve"> </w:t>
      </w:r>
      <w:r w:rsidRPr="00382917">
        <w:t>proof</w:t>
      </w:r>
      <w:r w:rsidR="00EE4FC3">
        <w:t xml:space="preserve"> </w:t>
      </w:r>
      <w:r w:rsidRPr="00382917">
        <w:t>which</w:t>
      </w:r>
      <w:r w:rsidR="00EE4FC3">
        <w:t xml:space="preserve"> </w:t>
      </w:r>
      <w:r w:rsidRPr="00382917">
        <w:t>would</w:t>
      </w:r>
      <w:r w:rsidR="00EE4FC3">
        <w:t xml:space="preserve"> </w:t>
      </w:r>
      <w:r w:rsidRPr="00382917">
        <w:t>herald</w:t>
      </w:r>
      <w:r w:rsidR="00EE4FC3">
        <w:t xml:space="preserve"> </w:t>
      </w:r>
      <w:r w:rsidRPr="00382917">
        <w:t>the</w:t>
      </w:r>
      <w:r w:rsidR="00EE4FC3">
        <w:t xml:space="preserve"> </w:t>
      </w:r>
      <w:r w:rsidRPr="00382917">
        <w:t>coming</w:t>
      </w:r>
      <w:r w:rsidR="00EE4FC3">
        <w:t xml:space="preserve"> </w:t>
      </w:r>
      <w:r w:rsidRPr="00382917">
        <w:t>of</w:t>
      </w:r>
      <w:r w:rsidR="00EE4FC3">
        <w:t xml:space="preserve"> </w:t>
      </w:r>
      <w:r w:rsidRPr="00382917">
        <w:t>the</w:t>
      </w:r>
      <w:r w:rsidR="00EE4FC3">
        <w:t xml:space="preserve"> </w:t>
      </w:r>
      <w:r w:rsidRPr="00382917">
        <w:t>Promised</w:t>
      </w:r>
      <w:r w:rsidR="00EE4FC3">
        <w:t xml:space="preserve"> </w:t>
      </w:r>
      <w:r w:rsidRPr="00382917">
        <w:t>One</w:t>
      </w:r>
      <w:r w:rsidR="00EE4FC3">
        <w:t xml:space="preserve"> </w:t>
      </w:r>
      <w:r w:rsidRPr="00382917">
        <w:t>on</w:t>
      </w:r>
      <w:r w:rsidR="00EE4FC3">
        <w:t xml:space="preserve"> </w:t>
      </w:r>
      <w:r w:rsidRPr="00382917">
        <w:t>earth.</w:t>
      </w:r>
      <w:r w:rsidR="009C18CA">
        <w:rPr>
          <w:rStyle w:val="FootnoteReference"/>
        </w:rPr>
        <w:footnoteReference w:id="113"/>
      </w:r>
    </w:p>
    <w:p w:rsidR="00B2576B" w:rsidRPr="00382917" w:rsidRDefault="00B2576B" w:rsidP="009C713D">
      <w:pPr>
        <w:pStyle w:val="Text"/>
      </w:pPr>
      <w:r w:rsidRPr="00382917">
        <w:t>The</w:t>
      </w:r>
      <w:r w:rsidR="00EE4FC3">
        <w:t xml:space="preserve"> </w:t>
      </w:r>
      <w:r w:rsidRPr="00382917">
        <w:t>fury</w:t>
      </w:r>
      <w:r w:rsidR="00EE4FC3">
        <w:t xml:space="preserve"> </w:t>
      </w:r>
      <w:r w:rsidRPr="00382917">
        <w:t>of</w:t>
      </w:r>
      <w:r w:rsidR="00EE4FC3">
        <w:t xml:space="preserve"> </w:t>
      </w:r>
      <w:r w:rsidRPr="00382917">
        <w:t>the</w:t>
      </w:r>
      <w:r w:rsidR="00EE4FC3">
        <w:t xml:space="preserve"> </w:t>
      </w:r>
      <w:proofErr w:type="gramStart"/>
      <w:r w:rsidRPr="00382917">
        <w:t>Sa</w:t>
      </w:r>
      <w:r w:rsidR="009C713D" w:rsidRPr="00382917">
        <w:t>‘</w:t>
      </w:r>
      <w:r w:rsidRPr="00382917">
        <w:t>ídu</w:t>
      </w:r>
      <w:r w:rsidR="009C713D" w:rsidRPr="00382917">
        <w:t>’</w:t>
      </w:r>
      <w:r w:rsidRPr="00382917">
        <w:t>l</w:t>
      </w:r>
      <w:proofErr w:type="gramEnd"/>
      <w:r w:rsidR="009C713D" w:rsidRPr="00382917">
        <w:t>-‘</w:t>
      </w:r>
      <w:r w:rsidRPr="00382917">
        <w:t>Ulamá</w:t>
      </w:r>
      <w:r w:rsidR="009C713D" w:rsidRPr="00382917">
        <w:t>’</w:t>
      </w:r>
      <w:r w:rsidR="00EE4FC3">
        <w:t xml:space="preserve"> </w:t>
      </w:r>
      <w:r w:rsidRPr="00382917">
        <w:t>of</w:t>
      </w:r>
      <w:r w:rsidR="00EE4FC3">
        <w:t xml:space="preserve"> </w:t>
      </w:r>
      <w:r w:rsidR="00814CFC" w:rsidRPr="00382917">
        <w:t>Bárfurú</w:t>
      </w:r>
      <w:r w:rsidR="00814CFC" w:rsidRPr="00814CFC">
        <w:rPr>
          <w:u w:val="single"/>
        </w:rPr>
        <w:t>sh</w:t>
      </w:r>
      <w:r w:rsidR="00EE4FC3">
        <w:t xml:space="preserve"> </w:t>
      </w:r>
      <w:r w:rsidRPr="00382917">
        <w:t>was</w:t>
      </w:r>
      <w:r w:rsidR="00EE4FC3">
        <w:t xml:space="preserve"> </w:t>
      </w:r>
      <w:r w:rsidRPr="00382917">
        <w:t>increased</w:t>
      </w:r>
      <w:r w:rsidR="00EE4FC3">
        <w:t xml:space="preserve"> </w:t>
      </w:r>
      <w:r w:rsidRPr="00382917">
        <w:t>when</w:t>
      </w:r>
      <w:r w:rsidR="00EE4FC3">
        <w:t xml:space="preserve"> </w:t>
      </w:r>
      <w:r w:rsidRPr="00382917">
        <w:t>the</w:t>
      </w:r>
      <w:r w:rsidR="00EE4FC3">
        <w:t xml:space="preserve"> </w:t>
      </w:r>
      <w:r w:rsidRPr="00382917">
        <w:t>news</w:t>
      </w:r>
      <w:r w:rsidR="00EE4FC3">
        <w:t xml:space="preserve"> </w:t>
      </w:r>
      <w:r w:rsidRPr="00382917">
        <w:t>of</w:t>
      </w:r>
      <w:r w:rsidR="00EE4FC3">
        <w:t xml:space="preserve"> </w:t>
      </w:r>
      <w:r w:rsidRPr="00382917">
        <w:t>Quddús</w:t>
      </w:r>
      <w:r w:rsidR="009C713D" w:rsidRPr="00382917">
        <w:t>’</w:t>
      </w:r>
      <w:r w:rsidR="00EE4FC3">
        <w:t xml:space="preserve"> </w:t>
      </w:r>
      <w:r w:rsidRPr="00382917">
        <w:t>presence</w:t>
      </w:r>
      <w:r w:rsidR="00EE4FC3">
        <w:t xml:space="preserve"> </w:t>
      </w:r>
      <w:r w:rsidRPr="00382917">
        <w:t>in</w:t>
      </w:r>
      <w:r w:rsidR="00EE4FC3">
        <w:t xml:space="preserve"> </w:t>
      </w:r>
      <w:r w:rsidRPr="00382917">
        <w:t>the</w:t>
      </w:r>
      <w:r w:rsidR="00EE4FC3">
        <w:t xml:space="preserve"> </w:t>
      </w:r>
      <w:r w:rsidRPr="00382917">
        <w:t>fort</w:t>
      </w:r>
      <w:r w:rsidR="00EE4FC3">
        <w:t xml:space="preserve"> </w:t>
      </w:r>
      <w:r w:rsidRPr="00382917">
        <w:t>reached</w:t>
      </w:r>
      <w:r w:rsidR="00EE4FC3">
        <w:t xml:space="preserve"> </w:t>
      </w:r>
      <w:r w:rsidRPr="00382917">
        <w:t>him</w:t>
      </w:r>
      <w:r w:rsidR="00A93643">
        <w:t>.</w:t>
      </w:r>
      <w:r w:rsidR="00EE4FC3">
        <w:t xml:space="preserve">  </w:t>
      </w:r>
      <w:r w:rsidRPr="00382917">
        <w:t>Impelled</w:t>
      </w:r>
      <w:r w:rsidR="00EE4FC3">
        <w:t xml:space="preserve"> </w:t>
      </w:r>
      <w:r w:rsidRPr="00382917">
        <w:t>by</w:t>
      </w:r>
      <w:r w:rsidR="00EE4FC3">
        <w:t xml:space="preserve"> </w:t>
      </w:r>
      <w:r w:rsidRPr="00382917">
        <w:t>an</w:t>
      </w:r>
      <w:r w:rsidR="00EE4FC3">
        <w:t xml:space="preserve"> </w:t>
      </w:r>
      <w:r w:rsidRPr="00382917">
        <w:t>implacable</w:t>
      </w:r>
      <w:r w:rsidR="00EE4FC3">
        <w:t xml:space="preserve"> </w:t>
      </w:r>
      <w:r w:rsidRPr="00382917">
        <w:t>hatred,</w:t>
      </w:r>
      <w:r w:rsidR="00EE4FC3">
        <w:t xml:space="preserve"> </w:t>
      </w:r>
      <w:r w:rsidRPr="00382917">
        <w:t>he</w:t>
      </w:r>
      <w:r w:rsidR="00EE4FC3">
        <w:t xml:space="preserve"> </w:t>
      </w:r>
      <w:r w:rsidRPr="00382917">
        <w:t>sent</w:t>
      </w:r>
      <w:r w:rsidR="00EE4FC3">
        <w:t xml:space="preserve"> </w:t>
      </w:r>
      <w:r w:rsidRPr="00382917">
        <w:t>a</w:t>
      </w:r>
      <w:r w:rsidR="00EE4FC3">
        <w:t xml:space="preserve"> </w:t>
      </w:r>
      <w:r w:rsidRPr="00382917">
        <w:t>burning</w:t>
      </w:r>
      <w:r w:rsidR="00EE4FC3">
        <w:t xml:space="preserve"> </w:t>
      </w:r>
      <w:r w:rsidRPr="00382917">
        <w:t>appeal</w:t>
      </w:r>
      <w:r w:rsidR="00EE4FC3">
        <w:t xml:space="preserve"> </w:t>
      </w:r>
      <w:r w:rsidRPr="00382917">
        <w:t>to</w:t>
      </w:r>
      <w:r w:rsidR="00EE4FC3">
        <w:t xml:space="preserve"> </w:t>
      </w:r>
      <w:r w:rsidRPr="00382917">
        <w:t>the</w:t>
      </w:r>
      <w:r w:rsidR="00EE4FC3">
        <w:t xml:space="preserve"> </w:t>
      </w:r>
      <w:r w:rsidRPr="00382917">
        <w:t>king.</w:t>
      </w:r>
    </w:p>
    <w:p w:rsidR="00B2576B" w:rsidRPr="00382917" w:rsidRDefault="009C713D" w:rsidP="005049E7">
      <w:pPr>
        <w:pStyle w:val="Text"/>
      </w:pPr>
      <w:r w:rsidRPr="00382917">
        <w:t>“</w:t>
      </w:r>
      <w:r w:rsidR="00B2576B" w:rsidRPr="00382917">
        <w:t>A</w:t>
      </w:r>
      <w:r w:rsidR="00EE4FC3">
        <w:t xml:space="preserve"> </w:t>
      </w:r>
      <w:r w:rsidR="00B2576B" w:rsidRPr="00382917">
        <w:t>revolt</w:t>
      </w:r>
      <w:r w:rsidR="00EE4FC3">
        <w:t xml:space="preserve"> </w:t>
      </w:r>
      <w:r w:rsidR="00B2576B" w:rsidRPr="00382917">
        <w:t>has</w:t>
      </w:r>
      <w:r w:rsidR="00EE4FC3">
        <w:t xml:space="preserve"> </w:t>
      </w:r>
      <w:r w:rsidR="00B2576B" w:rsidRPr="00382917">
        <w:t>taken</w:t>
      </w:r>
      <w:r w:rsidR="00EE4FC3">
        <w:t xml:space="preserve"> </w:t>
      </w:r>
      <w:r w:rsidR="00B2576B" w:rsidRPr="00382917">
        <w:t>place,</w:t>
      </w:r>
      <w:r w:rsidRPr="00382917">
        <w:t>”</w:t>
      </w:r>
      <w:r w:rsidR="00EE4FC3">
        <w:t xml:space="preserve"> </w:t>
      </w:r>
      <w:r w:rsidR="00B2576B" w:rsidRPr="00382917">
        <w:t>he</w:t>
      </w:r>
      <w:r w:rsidR="00EE4FC3">
        <w:t xml:space="preserve"> </w:t>
      </w:r>
      <w:r w:rsidR="00B2576B" w:rsidRPr="00382917">
        <w:t>told</w:t>
      </w:r>
      <w:r w:rsidR="00EE4FC3">
        <w:t xml:space="preserve"> </w:t>
      </w:r>
      <w:r w:rsidR="00B2576B" w:rsidRPr="00382917">
        <w:t>the</w:t>
      </w:r>
      <w:r w:rsidR="00EE4FC3">
        <w:t xml:space="preserve"> </w:t>
      </w:r>
      <w:r w:rsidR="004F6339" w:rsidRPr="004F6339">
        <w:rPr>
          <w:u w:val="single"/>
        </w:rPr>
        <w:t>Sh</w:t>
      </w:r>
      <w:r w:rsidR="004F6339" w:rsidRPr="00382917">
        <w:t>áh</w:t>
      </w:r>
      <w:r w:rsidR="00A93643">
        <w:t>.</w:t>
      </w:r>
      <w:r w:rsidR="00EE4FC3">
        <w:t xml:space="preserve">  </w:t>
      </w:r>
      <w:r w:rsidRPr="00382917">
        <w:t>“</w:t>
      </w:r>
      <w:r w:rsidR="00B2576B" w:rsidRPr="00382917">
        <w:t>This</w:t>
      </w:r>
      <w:r w:rsidR="00EE4FC3">
        <w:t xml:space="preserve"> </w:t>
      </w:r>
      <w:r w:rsidR="00B2576B" w:rsidRPr="00382917">
        <w:t>wretched</w:t>
      </w:r>
      <w:r w:rsidR="00EE4FC3">
        <w:t xml:space="preserve"> </w:t>
      </w:r>
      <w:r w:rsidR="00B2576B" w:rsidRPr="00382917">
        <w:t>band</w:t>
      </w:r>
      <w:r w:rsidR="00EE4FC3">
        <w:t xml:space="preserve"> </w:t>
      </w:r>
      <w:r w:rsidR="00B2576B" w:rsidRPr="00382917">
        <w:t>of</w:t>
      </w:r>
      <w:r w:rsidR="00EE4FC3">
        <w:t xml:space="preserve"> </w:t>
      </w:r>
      <w:r w:rsidR="00B2576B" w:rsidRPr="00382917">
        <w:t>agitators</w:t>
      </w:r>
      <w:r w:rsidR="00EE4FC3">
        <w:t xml:space="preserve"> </w:t>
      </w:r>
      <w:r w:rsidR="00B2576B" w:rsidRPr="00382917">
        <w:t>strikes</w:t>
      </w:r>
      <w:r w:rsidR="00EE4FC3">
        <w:t xml:space="preserve"> </w:t>
      </w:r>
      <w:r w:rsidR="00B2576B" w:rsidRPr="00382917">
        <w:t>at</w:t>
      </w:r>
      <w:r w:rsidR="00EE4FC3">
        <w:t xml:space="preserve"> </w:t>
      </w:r>
      <w:r w:rsidR="00B2576B" w:rsidRPr="00382917">
        <w:t>the</w:t>
      </w:r>
      <w:r w:rsidR="00EE4FC3">
        <w:t xml:space="preserve"> </w:t>
      </w:r>
      <w:r w:rsidR="00B2576B" w:rsidRPr="00382917">
        <w:t>very</w:t>
      </w:r>
      <w:r w:rsidR="00EE4FC3">
        <w:t xml:space="preserve"> </w:t>
      </w:r>
      <w:r w:rsidR="00B2576B" w:rsidRPr="00382917">
        <w:t>foundation</w:t>
      </w:r>
      <w:r w:rsidR="00EE4FC3">
        <w:t xml:space="preserve"> </w:t>
      </w:r>
      <w:r w:rsidR="00B2576B" w:rsidRPr="00382917">
        <w:t>of</w:t>
      </w:r>
      <w:r w:rsidR="00EE4FC3">
        <w:t xml:space="preserve"> </w:t>
      </w:r>
      <w:r w:rsidR="00B2576B" w:rsidRPr="00382917">
        <w:t>your</w:t>
      </w:r>
      <w:r w:rsidR="00EE4FC3">
        <w:t xml:space="preserve"> </w:t>
      </w:r>
      <w:r w:rsidR="00B2576B" w:rsidRPr="00382917">
        <w:t>kingdom</w:t>
      </w:r>
      <w:r w:rsidR="00A93643">
        <w:t>.</w:t>
      </w:r>
      <w:r w:rsidR="00EE4FC3">
        <w:t xml:space="preserve">  </w:t>
      </w:r>
      <w:r w:rsidR="00B2576B" w:rsidRPr="00382917">
        <w:t>They</w:t>
      </w:r>
      <w:r w:rsidR="00EE4FC3">
        <w:t xml:space="preserve"> </w:t>
      </w:r>
      <w:r w:rsidR="00B2576B" w:rsidRPr="00382917">
        <w:t>have</w:t>
      </w:r>
      <w:r w:rsidR="00EE4FC3">
        <w:t xml:space="preserve"> </w:t>
      </w:r>
      <w:r w:rsidR="00B2576B" w:rsidRPr="00382917">
        <w:t>built</w:t>
      </w:r>
      <w:r w:rsidR="00EE4FC3">
        <w:t xml:space="preserve"> </w:t>
      </w:r>
      <w:r w:rsidR="00B2576B" w:rsidRPr="00382917">
        <w:t>a</w:t>
      </w:r>
      <w:r w:rsidR="00EE4FC3">
        <w:t xml:space="preserve"> </w:t>
      </w:r>
      <w:r w:rsidR="00B2576B" w:rsidRPr="00382917">
        <w:t>fort,</w:t>
      </w:r>
      <w:r w:rsidR="00EE4FC3">
        <w:t xml:space="preserve"> </w:t>
      </w:r>
      <w:r w:rsidR="00B2576B" w:rsidRPr="00382917">
        <w:t>and</w:t>
      </w:r>
      <w:r w:rsidR="00EE4FC3">
        <w:t xml:space="preserve"> </w:t>
      </w:r>
      <w:r w:rsidR="00B2576B" w:rsidRPr="00382917">
        <w:t>in</w:t>
      </w:r>
      <w:r w:rsidR="00EE4FC3">
        <w:t xml:space="preserve"> </w:t>
      </w:r>
      <w:r w:rsidR="00B2576B" w:rsidRPr="00382917">
        <w:t>that</w:t>
      </w:r>
      <w:r w:rsidR="00EE4FC3">
        <w:t xml:space="preserve"> </w:t>
      </w:r>
      <w:r w:rsidR="00B2576B" w:rsidRPr="00382917">
        <w:t>massive</w:t>
      </w:r>
      <w:r w:rsidR="00EE4FC3">
        <w:t xml:space="preserve"> </w:t>
      </w:r>
      <w:r w:rsidR="00B2576B" w:rsidRPr="00382917">
        <w:t>stronghold</w:t>
      </w:r>
      <w:r w:rsidR="00EE4FC3">
        <w:t xml:space="preserve"> </w:t>
      </w:r>
      <w:r w:rsidR="00B2576B" w:rsidRPr="00382917">
        <w:t>they</w:t>
      </w:r>
      <w:r w:rsidR="00EE4FC3">
        <w:t xml:space="preserve"> </w:t>
      </w:r>
      <w:r w:rsidR="00B2576B" w:rsidRPr="00382917">
        <w:t>have</w:t>
      </w:r>
      <w:r w:rsidR="00EE4FC3">
        <w:t xml:space="preserve"> </w:t>
      </w:r>
      <w:r w:rsidR="00B2576B" w:rsidRPr="00382917">
        <w:t>entrenched</w:t>
      </w:r>
      <w:r w:rsidR="00EE4FC3">
        <w:t xml:space="preserve"> </w:t>
      </w:r>
      <w:r w:rsidR="00B2576B" w:rsidRPr="00382917">
        <w:t>themselves,</w:t>
      </w:r>
      <w:r w:rsidR="00EE4FC3">
        <w:t xml:space="preserve"> </w:t>
      </w:r>
      <w:r w:rsidR="00B2576B" w:rsidRPr="00382917">
        <w:t>preparing</w:t>
      </w:r>
      <w:r w:rsidR="00EE4FC3">
        <w:t xml:space="preserve"> </w:t>
      </w:r>
      <w:r w:rsidR="00B2576B" w:rsidRPr="00382917">
        <w:t>to</w:t>
      </w:r>
      <w:r w:rsidR="00EE4FC3">
        <w:t xml:space="preserve"> </w:t>
      </w:r>
      <w:r w:rsidR="00B2576B" w:rsidRPr="00382917">
        <w:t>direct</w:t>
      </w:r>
      <w:r w:rsidR="00EE4FC3">
        <w:t xml:space="preserve"> </w:t>
      </w:r>
      <w:r w:rsidR="00B2576B" w:rsidRPr="00382917">
        <w:t>a</w:t>
      </w:r>
      <w:r w:rsidR="00EE4FC3">
        <w:t xml:space="preserve"> </w:t>
      </w:r>
      <w:r w:rsidR="00B2576B" w:rsidRPr="00382917">
        <w:t>campaign</w:t>
      </w:r>
      <w:r w:rsidR="00EE4FC3">
        <w:t xml:space="preserve"> </w:t>
      </w:r>
      <w:r w:rsidR="00B2576B" w:rsidRPr="00382917">
        <w:t>which</w:t>
      </w:r>
      <w:r w:rsidR="00EE4FC3">
        <w:t xml:space="preserve"> </w:t>
      </w:r>
      <w:r w:rsidR="00B2576B" w:rsidRPr="00382917">
        <w:t>will</w:t>
      </w:r>
      <w:r w:rsidR="00EE4FC3">
        <w:t xml:space="preserve"> </w:t>
      </w:r>
      <w:r w:rsidR="00B2576B" w:rsidRPr="00382917">
        <w:t>sweep</w:t>
      </w:r>
      <w:r w:rsidR="00EE4FC3">
        <w:t xml:space="preserve"> </w:t>
      </w:r>
      <w:r w:rsidR="00B2576B" w:rsidRPr="00382917">
        <w:t>you</w:t>
      </w:r>
      <w:r w:rsidR="00EE4FC3">
        <w:t xml:space="preserve"> </w:t>
      </w:r>
      <w:r w:rsidR="00B2576B" w:rsidRPr="00382917">
        <w:t>from</w:t>
      </w:r>
      <w:r w:rsidR="00EE4FC3">
        <w:t xml:space="preserve"> </w:t>
      </w:r>
      <w:r w:rsidR="00B2576B" w:rsidRPr="00382917">
        <w:t>your</w:t>
      </w:r>
      <w:r w:rsidR="00EE4FC3">
        <w:t xml:space="preserve"> </w:t>
      </w:r>
      <w:r w:rsidR="00B2576B" w:rsidRPr="00382917">
        <w:t>throne</w:t>
      </w:r>
      <w:r w:rsidR="00A93643">
        <w:t>.</w:t>
      </w:r>
      <w:r w:rsidR="00EE4FC3">
        <w:t xml:space="preserve">  </w:t>
      </w:r>
      <w:r w:rsidR="00B2576B" w:rsidRPr="00382917">
        <w:t>What</w:t>
      </w:r>
      <w:r w:rsidR="00EE4FC3">
        <w:t xml:space="preserve"> </w:t>
      </w:r>
      <w:r w:rsidR="00B2576B" w:rsidRPr="00382917">
        <w:t>greater</w:t>
      </w:r>
      <w:r w:rsidR="00EE4FC3">
        <w:t xml:space="preserve"> </w:t>
      </w:r>
      <w:r w:rsidR="00B2576B" w:rsidRPr="00382917">
        <w:t>triumph</w:t>
      </w:r>
      <w:r w:rsidR="00EE4FC3">
        <w:t xml:space="preserve"> </w:t>
      </w:r>
      <w:r w:rsidR="00B2576B" w:rsidRPr="00382917">
        <w:t>could</w:t>
      </w:r>
      <w:r w:rsidR="00EE4FC3">
        <w:t xml:space="preserve"> </w:t>
      </w:r>
      <w:r w:rsidR="00B2576B" w:rsidRPr="00382917">
        <w:t>begin</w:t>
      </w:r>
      <w:r w:rsidR="00EE4FC3">
        <w:t xml:space="preserve"> </w:t>
      </w:r>
      <w:r w:rsidR="00B2576B" w:rsidRPr="00382917">
        <w:t>your</w:t>
      </w:r>
      <w:r w:rsidR="00EE4FC3">
        <w:t xml:space="preserve"> </w:t>
      </w:r>
      <w:r w:rsidR="00B2576B" w:rsidRPr="00382917">
        <w:t>new</w:t>
      </w:r>
      <w:r w:rsidR="00EE4FC3">
        <w:t xml:space="preserve"> </w:t>
      </w:r>
      <w:r w:rsidR="00B2576B" w:rsidRPr="00382917">
        <w:t>rule</w:t>
      </w:r>
      <w:r w:rsidR="00EE4FC3">
        <w:t xml:space="preserve"> </w:t>
      </w:r>
      <w:r w:rsidR="00B2576B" w:rsidRPr="00382917">
        <w:t>than</w:t>
      </w:r>
      <w:r w:rsidR="00EE4FC3">
        <w:t xml:space="preserve"> </w:t>
      </w:r>
      <w:r w:rsidR="00B2576B" w:rsidRPr="00382917">
        <w:t>to</w:t>
      </w:r>
      <w:r w:rsidR="00EE4FC3">
        <w:t xml:space="preserve"> </w:t>
      </w:r>
      <w:r w:rsidR="00B2576B" w:rsidRPr="00382917">
        <w:t>wipe</w:t>
      </w:r>
      <w:r w:rsidR="00EE4FC3">
        <w:t xml:space="preserve"> </w:t>
      </w:r>
      <w:r w:rsidR="00B2576B" w:rsidRPr="00382917">
        <w:t>out</w:t>
      </w:r>
      <w:r w:rsidR="00EE4FC3">
        <w:t xml:space="preserve"> </w:t>
      </w:r>
      <w:r w:rsidR="00B2576B" w:rsidRPr="00382917">
        <w:t>this</w:t>
      </w:r>
      <w:r w:rsidR="00EE4FC3">
        <w:t xml:space="preserve"> </w:t>
      </w:r>
      <w:r w:rsidR="00B2576B" w:rsidRPr="00382917">
        <w:t>hateful</w:t>
      </w:r>
      <w:r w:rsidR="00EE4FC3">
        <w:t xml:space="preserve"> </w:t>
      </w:r>
      <w:r w:rsidR="00B2576B" w:rsidRPr="00382917">
        <w:t>group</w:t>
      </w:r>
      <w:r w:rsidR="00EE4FC3">
        <w:t xml:space="preserve"> </w:t>
      </w:r>
      <w:r w:rsidR="00B2576B" w:rsidRPr="00382917">
        <w:t>which</w:t>
      </w:r>
      <w:r w:rsidR="00EE4FC3">
        <w:t xml:space="preserve"> </w:t>
      </w:r>
      <w:r w:rsidR="00B2576B" w:rsidRPr="00382917">
        <w:t>has</w:t>
      </w:r>
      <w:r w:rsidR="00EE4FC3">
        <w:t xml:space="preserve"> </w:t>
      </w:r>
      <w:r w:rsidR="00B2576B" w:rsidRPr="00382917">
        <w:t>dared</w:t>
      </w:r>
      <w:r w:rsidR="00EE4FC3">
        <w:t xml:space="preserve"> </w:t>
      </w:r>
      <w:r w:rsidR="00B2576B" w:rsidRPr="00382917">
        <w:t>to</w:t>
      </w:r>
      <w:r w:rsidR="00EE4FC3">
        <w:t xml:space="preserve"> </w:t>
      </w:r>
      <w:r w:rsidR="00B2576B" w:rsidRPr="00382917">
        <w:t>conspire</w:t>
      </w:r>
      <w:r w:rsidR="00EE4FC3">
        <w:t xml:space="preserve"> </w:t>
      </w:r>
      <w:r w:rsidR="00B2576B" w:rsidRPr="00382917">
        <w:t>against</w:t>
      </w:r>
      <w:r w:rsidR="00EE4FC3">
        <w:t xml:space="preserve"> </w:t>
      </w:r>
      <w:proofErr w:type="gramStart"/>
      <w:r w:rsidR="00B2576B" w:rsidRPr="00382917">
        <w:t>you</w:t>
      </w:r>
      <w:r w:rsidR="00A93643">
        <w:t>.</w:t>
      </w:r>
      <w:proofErr w:type="gramEnd"/>
      <w:r w:rsidR="00EE4FC3">
        <w:t xml:space="preserve">  </w:t>
      </w:r>
      <w:r w:rsidR="00B2576B" w:rsidRPr="00382917">
        <w:t>Should</w:t>
      </w:r>
      <w:r w:rsidR="00EE4FC3">
        <w:t xml:space="preserve"> </w:t>
      </w:r>
      <w:r w:rsidR="00B2576B" w:rsidRPr="00382917">
        <w:t>you</w:t>
      </w:r>
      <w:r w:rsidR="00EE4FC3">
        <w:t xml:space="preserve"> </w:t>
      </w:r>
      <w:r w:rsidR="00B2576B" w:rsidRPr="00382917">
        <w:t>fail</w:t>
      </w:r>
      <w:r w:rsidR="00EE4FC3">
        <w:t xml:space="preserve"> </w:t>
      </w:r>
      <w:r w:rsidR="00B2576B" w:rsidRPr="00382917">
        <w:t>to</w:t>
      </w:r>
      <w:r w:rsidR="00EE4FC3">
        <w:t xml:space="preserve"> </w:t>
      </w:r>
      <w:r w:rsidR="00B2576B" w:rsidRPr="00382917">
        <w:t>rise</w:t>
      </w:r>
      <w:r w:rsidR="00EE4FC3">
        <w:t xml:space="preserve"> </w:t>
      </w:r>
      <w:r w:rsidR="00B2576B" w:rsidRPr="00382917">
        <w:t>against</w:t>
      </w:r>
      <w:r w:rsidR="00EE4FC3">
        <w:t xml:space="preserve"> </w:t>
      </w:r>
      <w:r w:rsidR="00B2576B" w:rsidRPr="00382917">
        <w:t>them,</w:t>
      </w:r>
      <w:r w:rsidR="00EE4FC3">
        <w:t xml:space="preserve"> </w:t>
      </w:r>
      <w:r w:rsidR="00B2576B" w:rsidRPr="00382917">
        <w:t>I</w:t>
      </w:r>
      <w:r w:rsidR="00EE4FC3">
        <w:t xml:space="preserve"> </w:t>
      </w:r>
      <w:r w:rsidR="00B2576B" w:rsidRPr="00382917">
        <w:t>feel</w:t>
      </w:r>
      <w:r w:rsidR="00EE4FC3">
        <w:t xml:space="preserve"> </w:t>
      </w:r>
      <w:r w:rsidR="00B2576B" w:rsidRPr="00382917">
        <w:t>it</w:t>
      </w:r>
      <w:r w:rsidR="00EE4FC3">
        <w:t xml:space="preserve"> </w:t>
      </w:r>
      <w:r w:rsidR="00B2576B" w:rsidRPr="00382917">
        <w:t>my</w:t>
      </w:r>
      <w:r w:rsidR="00EE4FC3">
        <w:t xml:space="preserve"> </w:t>
      </w:r>
      <w:r w:rsidR="00B2576B" w:rsidRPr="00382917">
        <w:t>duty</w:t>
      </w:r>
      <w:r w:rsidR="00EE4FC3">
        <w:t xml:space="preserve"> </w:t>
      </w:r>
      <w:r w:rsidR="00B2576B" w:rsidRPr="00382917">
        <w:t>to</w:t>
      </w:r>
      <w:r w:rsidR="00EE4FC3">
        <w:t xml:space="preserve"> </w:t>
      </w:r>
      <w:r w:rsidR="00B2576B" w:rsidRPr="00382917">
        <w:t>warn</w:t>
      </w:r>
      <w:r w:rsidR="00EE4FC3">
        <w:t xml:space="preserve"> </w:t>
      </w:r>
      <w:r w:rsidR="00B2576B" w:rsidRPr="00382917">
        <w:t>you</w:t>
      </w:r>
      <w:r w:rsidR="00EE4FC3">
        <w:t xml:space="preserve"> </w:t>
      </w:r>
      <w:r w:rsidR="00B2576B" w:rsidRPr="00382917">
        <w:t>that</w:t>
      </w:r>
      <w:r w:rsidR="00EE4FC3">
        <w:t xml:space="preserve"> </w:t>
      </w:r>
      <w:r w:rsidR="00B2576B" w:rsidRPr="00382917">
        <w:t>the</w:t>
      </w:r>
      <w:r w:rsidR="00EE4FC3">
        <w:t xml:space="preserve"> </w:t>
      </w:r>
      <w:r w:rsidR="00B2576B" w:rsidRPr="00382917">
        <w:t>day</w:t>
      </w:r>
      <w:r w:rsidR="00EE4FC3">
        <w:t xml:space="preserve"> </w:t>
      </w:r>
      <w:r w:rsidR="00B2576B" w:rsidRPr="00382917">
        <w:t>is</w:t>
      </w:r>
      <w:r w:rsidR="00EE4FC3">
        <w:t xml:space="preserve"> </w:t>
      </w:r>
      <w:r w:rsidR="00B2576B" w:rsidRPr="00382917">
        <w:t>fast</w:t>
      </w:r>
      <w:r w:rsidR="00EE4FC3">
        <w:t xml:space="preserve"> </w:t>
      </w:r>
      <w:r w:rsidR="00B2576B" w:rsidRPr="00382917">
        <w:t>approaching</w:t>
      </w:r>
      <w:r w:rsidR="00EE4FC3">
        <w:t xml:space="preserve"> </w:t>
      </w:r>
      <w:r w:rsidR="00B2576B" w:rsidRPr="00382917">
        <w:t>when</w:t>
      </w:r>
      <w:r w:rsidR="00EE4FC3">
        <w:t xml:space="preserve"> </w:t>
      </w:r>
      <w:r w:rsidR="00B2576B" w:rsidRPr="00382917">
        <w:t>not</w:t>
      </w:r>
      <w:r w:rsidR="00EE4FC3">
        <w:t xml:space="preserve"> </w:t>
      </w:r>
      <w:r w:rsidR="00B2576B" w:rsidRPr="00382917">
        <w:t>only</w:t>
      </w:r>
      <w:r w:rsidR="00EE4FC3">
        <w:t xml:space="preserve"> </w:t>
      </w:r>
      <w:r w:rsidR="00B2576B" w:rsidRPr="00382917">
        <w:t>this</w:t>
      </w:r>
      <w:r w:rsidR="00EE4FC3">
        <w:t xml:space="preserve"> </w:t>
      </w:r>
      <w:r w:rsidR="00B2576B" w:rsidRPr="00382917">
        <w:t>province,</w:t>
      </w:r>
      <w:r w:rsidR="00EE4FC3">
        <w:t xml:space="preserve"> </w:t>
      </w:r>
      <w:r w:rsidR="00B2576B" w:rsidRPr="00382917">
        <w:t>but</w:t>
      </w:r>
      <w:r w:rsidR="00EE4FC3">
        <w:t xml:space="preserve"> </w:t>
      </w:r>
      <w:r w:rsidR="00B2576B" w:rsidRPr="00382917">
        <w:t>the</w:t>
      </w:r>
      <w:r w:rsidR="00EE4FC3">
        <w:t xml:space="preserve"> </w:t>
      </w:r>
      <w:r w:rsidR="00B2576B" w:rsidRPr="00382917">
        <w:t>whole</w:t>
      </w:r>
      <w:r w:rsidR="00EE4FC3">
        <w:t xml:space="preserve"> </w:t>
      </w:r>
      <w:r w:rsidR="00B2576B" w:rsidRPr="00382917">
        <w:t>of</w:t>
      </w:r>
      <w:r w:rsidR="00EE4FC3">
        <w:t xml:space="preserve"> </w:t>
      </w:r>
      <w:r w:rsidR="00B2576B" w:rsidRPr="00382917">
        <w:t>Persia</w:t>
      </w:r>
      <w:r w:rsidR="00EE4FC3">
        <w:t xml:space="preserve"> </w:t>
      </w:r>
      <w:r w:rsidR="00B2576B" w:rsidRPr="00382917">
        <w:t>will</w:t>
      </w:r>
      <w:r w:rsidR="00EE4FC3">
        <w:t xml:space="preserve"> </w:t>
      </w:r>
      <w:r w:rsidR="00B2576B" w:rsidRPr="00382917">
        <w:t>have</w:t>
      </w:r>
      <w:r w:rsidR="00EE4FC3">
        <w:t xml:space="preserve"> </w:t>
      </w:r>
      <w:r w:rsidR="00B2576B" w:rsidRPr="00382917">
        <w:t>cast</w:t>
      </w:r>
      <w:r w:rsidR="00EE4FC3">
        <w:t xml:space="preserve"> </w:t>
      </w:r>
      <w:r w:rsidR="00B2576B" w:rsidRPr="00382917">
        <w:t>aside</w:t>
      </w:r>
      <w:r w:rsidR="00EE4FC3">
        <w:t xml:space="preserve"> </w:t>
      </w:r>
      <w:r w:rsidR="00B2576B" w:rsidRPr="00382917">
        <w:t>your</w:t>
      </w:r>
      <w:r w:rsidR="00EE4FC3">
        <w:t xml:space="preserve"> </w:t>
      </w:r>
      <w:r w:rsidR="00B2576B" w:rsidRPr="00382917">
        <w:t>authority</w:t>
      </w:r>
      <w:r w:rsidR="00EE4FC3">
        <w:t xml:space="preserve"> </w:t>
      </w:r>
      <w:r w:rsidR="00B2576B" w:rsidRPr="00382917">
        <w:t>and</w:t>
      </w:r>
      <w:r w:rsidR="00EE4FC3">
        <w:t xml:space="preserve"> </w:t>
      </w:r>
      <w:r w:rsidR="00B2576B" w:rsidRPr="00382917">
        <w:t>surrendered</w:t>
      </w:r>
      <w:r w:rsidR="00EE4FC3">
        <w:t xml:space="preserve"> </w:t>
      </w:r>
      <w:r w:rsidR="00B2576B" w:rsidRPr="00382917">
        <w:t>to</w:t>
      </w:r>
      <w:r w:rsidR="00EE4FC3">
        <w:t xml:space="preserve"> </w:t>
      </w:r>
      <w:r w:rsidR="00B2576B" w:rsidRPr="00382917">
        <w:t>their</w:t>
      </w:r>
      <w:r w:rsidR="00EE4FC3">
        <w:t xml:space="preserve"> </w:t>
      </w:r>
      <w:r w:rsidR="00B2576B" w:rsidRPr="00382917">
        <w:t>cause.</w:t>
      </w:r>
      <w:r w:rsidRPr="00382917">
        <w:t>”</w:t>
      </w:r>
      <w:r w:rsidR="005049E7">
        <w:rPr>
          <w:rStyle w:val="FootnoteReference"/>
        </w:rPr>
        <w:footnoteReference w:id="114"/>
      </w:r>
    </w:p>
    <w:p w:rsidR="00B2576B" w:rsidRPr="00382917" w:rsidRDefault="00B2576B" w:rsidP="00B2576B">
      <w:pPr>
        <w:pStyle w:val="Text"/>
      </w:pPr>
      <w:r w:rsidRPr="00382917">
        <w:t>The</w:t>
      </w:r>
      <w:r w:rsidR="00EE4FC3">
        <w:t xml:space="preserve"> </w:t>
      </w:r>
      <w:r w:rsidRPr="00382917">
        <w:t>king</w:t>
      </w:r>
      <w:r w:rsidR="00EE4FC3">
        <w:t xml:space="preserve"> </w:t>
      </w:r>
      <w:r w:rsidRPr="00382917">
        <w:t>was</w:t>
      </w:r>
      <w:r w:rsidR="00EE4FC3">
        <w:t xml:space="preserve"> </w:t>
      </w:r>
      <w:r w:rsidRPr="00382917">
        <w:t>alarmed</w:t>
      </w:r>
      <w:r w:rsidR="00EE4FC3">
        <w:t xml:space="preserve"> </w:t>
      </w:r>
      <w:r w:rsidRPr="00382917">
        <w:t>and</w:t>
      </w:r>
      <w:r w:rsidR="00EE4FC3">
        <w:t xml:space="preserve"> </w:t>
      </w:r>
      <w:r w:rsidRPr="00382917">
        <w:t>responded</w:t>
      </w:r>
      <w:r w:rsidR="00EE4FC3">
        <w:t xml:space="preserve"> </w:t>
      </w:r>
      <w:r w:rsidRPr="00382917">
        <w:t>by</w:t>
      </w:r>
      <w:r w:rsidR="00EE4FC3">
        <w:t xml:space="preserve"> </w:t>
      </w:r>
      <w:r w:rsidRPr="00382917">
        <w:t>sending</w:t>
      </w:r>
      <w:r w:rsidR="00EE4FC3">
        <w:t xml:space="preserve"> </w:t>
      </w:r>
      <w:r w:rsidRPr="00382917">
        <w:t>an</w:t>
      </w:r>
      <w:r w:rsidR="00EE4FC3">
        <w:t xml:space="preserve"> </w:t>
      </w:r>
      <w:r w:rsidRPr="00382917">
        <w:t>army</w:t>
      </w:r>
      <w:r w:rsidR="00EE4FC3">
        <w:t xml:space="preserve"> </w:t>
      </w:r>
      <w:r w:rsidRPr="00382917">
        <w:t>of</w:t>
      </w:r>
      <w:r w:rsidR="00EE4FC3">
        <w:t xml:space="preserve"> </w:t>
      </w:r>
      <w:r w:rsidRPr="00382917">
        <w:t>twelve</w:t>
      </w:r>
      <w:r w:rsidR="00EE4FC3">
        <w:t xml:space="preserve"> </w:t>
      </w:r>
      <w:r w:rsidRPr="00382917">
        <w:t>thousand</w:t>
      </w:r>
      <w:r w:rsidR="00EE4FC3">
        <w:t xml:space="preserve"> </w:t>
      </w:r>
      <w:r w:rsidRPr="00382917">
        <w:t>men</w:t>
      </w:r>
      <w:r w:rsidR="00EE4FC3">
        <w:t xml:space="preserve"> </w:t>
      </w:r>
      <w:r w:rsidRPr="00382917">
        <w:t>to</w:t>
      </w:r>
      <w:r w:rsidR="00EE4FC3">
        <w:t xml:space="preserve"> </w:t>
      </w:r>
      <w:r w:rsidRPr="00382917">
        <w:t>drive</w:t>
      </w:r>
      <w:r w:rsidR="00EE4FC3">
        <w:t xml:space="preserve"> </w:t>
      </w:r>
      <w:r w:rsidRPr="00382917">
        <w:t>this</w:t>
      </w:r>
      <w:r w:rsidR="00EE4FC3">
        <w:t xml:space="preserve"> </w:t>
      </w:r>
      <w:r w:rsidRPr="00382917">
        <w:t>small</w:t>
      </w:r>
      <w:r w:rsidR="00EE4FC3">
        <w:t xml:space="preserve"> </w:t>
      </w:r>
      <w:r w:rsidRPr="00382917">
        <w:t>band</w:t>
      </w:r>
      <w:r w:rsidR="00EE4FC3">
        <w:t xml:space="preserve"> </w:t>
      </w:r>
      <w:r w:rsidRPr="00382917">
        <w:t>from</w:t>
      </w:r>
      <w:r w:rsidR="00EE4FC3">
        <w:t xml:space="preserve"> </w:t>
      </w:r>
      <w:r w:rsidRPr="00382917">
        <w:t>the</w:t>
      </w:r>
      <w:r w:rsidR="00EE4FC3">
        <w:t xml:space="preserve"> </w:t>
      </w:r>
      <w:r w:rsidRPr="00382917">
        <w:t>fort</w:t>
      </w:r>
      <w:r w:rsidR="00EE4FC3">
        <w:t xml:space="preserve"> </w:t>
      </w:r>
      <w:r w:rsidRPr="00382917">
        <w:t>of</w:t>
      </w:r>
      <w:r w:rsidR="00EE4FC3">
        <w:t xml:space="preserve"> </w:t>
      </w:r>
      <w:r w:rsidRPr="00382917">
        <w:t>Ṭabarsí</w:t>
      </w:r>
      <w:r w:rsidR="00EE4FC3">
        <w:t xml:space="preserve"> </w:t>
      </w:r>
      <w:r w:rsidRPr="00382917">
        <w:t>and</w:t>
      </w:r>
      <w:r w:rsidR="00EE4FC3">
        <w:t xml:space="preserve"> </w:t>
      </w:r>
      <w:r w:rsidRPr="00382917">
        <w:t>to</w:t>
      </w:r>
      <w:r w:rsidR="00EE4FC3">
        <w:t xml:space="preserve"> </w:t>
      </w:r>
      <w:r w:rsidRPr="00382917">
        <w:t>destroy</w:t>
      </w:r>
      <w:r w:rsidR="00EE4FC3">
        <w:t xml:space="preserve"> </w:t>
      </w:r>
      <w:r w:rsidRPr="00382917">
        <w:t>them</w:t>
      </w:r>
      <w:r w:rsidR="00EE4FC3">
        <w:t xml:space="preserve"> </w:t>
      </w:r>
      <w:r w:rsidRPr="00382917">
        <w:t>all</w:t>
      </w:r>
      <w:r w:rsidR="00A93643">
        <w:t>.</w:t>
      </w:r>
      <w:r w:rsidR="00EE4FC3">
        <w:t xml:space="preserve">  </w:t>
      </w:r>
      <w:r w:rsidRPr="00382917">
        <w:t>Food</w:t>
      </w:r>
      <w:r w:rsidR="00EE4FC3">
        <w:t xml:space="preserve"> </w:t>
      </w:r>
      <w:r w:rsidRPr="00382917">
        <w:t>and</w:t>
      </w:r>
      <w:r w:rsidR="00EE4FC3">
        <w:t xml:space="preserve"> </w:t>
      </w:r>
      <w:r w:rsidRPr="00382917">
        <w:t>water</w:t>
      </w:r>
      <w:r w:rsidR="00EE4FC3">
        <w:t xml:space="preserve"> </w:t>
      </w:r>
      <w:r w:rsidRPr="00382917">
        <w:t>were</w:t>
      </w:r>
      <w:r w:rsidR="00EE4FC3">
        <w:t xml:space="preserve"> </w:t>
      </w:r>
      <w:r w:rsidRPr="00382917">
        <w:t>cut</w:t>
      </w:r>
      <w:r w:rsidR="00EE4FC3">
        <w:t xml:space="preserve"> </w:t>
      </w:r>
      <w:r w:rsidRPr="00382917">
        <w:t>off</w:t>
      </w:r>
      <w:r w:rsidR="00EE4FC3">
        <w:t xml:space="preserve"> </w:t>
      </w:r>
      <w:r w:rsidRPr="00382917">
        <w:t>from</w:t>
      </w:r>
    </w:p>
    <w:p w:rsidR="00B2576B" w:rsidRPr="00382917" w:rsidRDefault="00B2576B">
      <w:pPr>
        <w:widowControl/>
        <w:kinsoku/>
        <w:overflowPunct/>
        <w:textAlignment w:val="auto"/>
      </w:pPr>
      <w:r w:rsidRPr="00382917">
        <w:br w:type="page"/>
      </w:r>
    </w:p>
    <w:p w:rsidR="00B2576B" w:rsidRPr="00382917" w:rsidRDefault="00B2576B" w:rsidP="00B2576B">
      <w:pPr>
        <w:pStyle w:val="Textcts"/>
      </w:pPr>
      <w:proofErr w:type="gramStart"/>
      <w:r w:rsidRPr="00382917">
        <w:t>them</w:t>
      </w:r>
      <w:proofErr w:type="gramEnd"/>
      <w:r w:rsidR="00EE4FC3">
        <w:t xml:space="preserve"> </w:t>
      </w:r>
      <w:r w:rsidRPr="00382917">
        <w:t>and</w:t>
      </w:r>
      <w:r w:rsidR="00EE4FC3">
        <w:t xml:space="preserve"> </w:t>
      </w:r>
      <w:r w:rsidRPr="00382917">
        <w:t>soon</w:t>
      </w:r>
      <w:r w:rsidR="00EE4FC3">
        <w:t xml:space="preserve"> </w:t>
      </w:r>
      <w:r w:rsidRPr="00382917">
        <w:t>the</w:t>
      </w:r>
      <w:r w:rsidR="00EE4FC3">
        <w:t xml:space="preserve"> </w:t>
      </w:r>
      <w:r w:rsidRPr="00382917">
        <w:t>companions</w:t>
      </w:r>
      <w:r w:rsidR="00EE4FC3">
        <w:t xml:space="preserve"> </w:t>
      </w:r>
      <w:r w:rsidRPr="00382917">
        <w:t>were</w:t>
      </w:r>
      <w:r w:rsidR="00EE4FC3">
        <w:t xml:space="preserve"> </w:t>
      </w:r>
      <w:r w:rsidRPr="00382917">
        <w:t>reduced</w:t>
      </w:r>
      <w:r w:rsidR="00EE4FC3">
        <w:t xml:space="preserve"> </w:t>
      </w:r>
      <w:r w:rsidRPr="00382917">
        <w:t>to</w:t>
      </w:r>
      <w:r w:rsidR="00EE4FC3">
        <w:t xml:space="preserve"> </w:t>
      </w:r>
      <w:r w:rsidRPr="00382917">
        <w:t>grave</w:t>
      </w:r>
      <w:r w:rsidR="00EE4FC3">
        <w:t xml:space="preserve"> </w:t>
      </w:r>
      <w:r w:rsidRPr="00382917">
        <w:t>conditions</w:t>
      </w:r>
      <w:r w:rsidR="00A93643">
        <w:t>.</w:t>
      </w:r>
      <w:r w:rsidR="00EE4FC3">
        <w:t xml:space="preserve">  </w:t>
      </w:r>
      <w:r w:rsidRPr="00382917">
        <w:t>The</w:t>
      </w:r>
      <w:r w:rsidR="00EE4FC3">
        <w:t xml:space="preserve"> </w:t>
      </w:r>
      <w:r w:rsidRPr="00382917">
        <w:t>army</w:t>
      </w:r>
      <w:r w:rsidR="00EE4FC3">
        <w:t xml:space="preserve"> </w:t>
      </w:r>
      <w:r w:rsidRPr="00382917">
        <w:t>was</w:t>
      </w:r>
      <w:r w:rsidR="00EE4FC3">
        <w:t xml:space="preserve"> </w:t>
      </w:r>
      <w:r w:rsidRPr="00382917">
        <w:t>installed</w:t>
      </w:r>
      <w:r w:rsidR="00EE4FC3">
        <w:t xml:space="preserve"> </w:t>
      </w:r>
      <w:r w:rsidRPr="00382917">
        <w:t>upon</w:t>
      </w:r>
      <w:r w:rsidR="00EE4FC3">
        <w:t xml:space="preserve"> </w:t>
      </w:r>
      <w:r w:rsidRPr="00382917">
        <w:t>a</w:t>
      </w:r>
      <w:r w:rsidR="00EE4FC3">
        <w:t xml:space="preserve"> </w:t>
      </w:r>
      <w:r w:rsidRPr="00382917">
        <w:t>hill</w:t>
      </w:r>
      <w:r w:rsidR="00EE4FC3">
        <w:t xml:space="preserve"> </w:t>
      </w:r>
      <w:r w:rsidRPr="00382917">
        <w:t>overlooking</w:t>
      </w:r>
      <w:r w:rsidR="00EE4FC3">
        <w:t xml:space="preserve"> </w:t>
      </w:r>
      <w:r w:rsidRPr="00382917">
        <w:t>the</w:t>
      </w:r>
      <w:r w:rsidR="00EE4FC3">
        <w:t xml:space="preserve"> </w:t>
      </w:r>
      <w:r w:rsidRPr="00382917">
        <w:t>fort.</w:t>
      </w:r>
    </w:p>
    <w:p w:rsidR="00B2576B" w:rsidRPr="00382917" w:rsidRDefault="00B2576B" w:rsidP="00B2576B">
      <w:pPr>
        <w:pStyle w:val="Text"/>
      </w:pPr>
      <w:r w:rsidRPr="00382917">
        <w:t>As</w:t>
      </w:r>
      <w:r w:rsidR="00EE4FC3">
        <w:t xml:space="preserve"> </w:t>
      </w:r>
      <w:r w:rsidRPr="00382917">
        <w:t>Quddús</w:t>
      </w:r>
      <w:r w:rsidR="00EE4FC3">
        <w:t xml:space="preserve"> </w:t>
      </w:r>
      <w:r w:rsidRPr="00382917">
        <w:t>stood</w:t>
      </w:r>
      <w:r w:rsidR="00EE4FC3">
        <w:t xml:space="preserve"> </w:t>
      </w:r>
      <w:r w:rsidRPr="00382917">
        <w:t>with</w:t>
      </w:r>
      <w:r w:rsidR="00EE4FC3">
        <w:t xml:space="preserve"> </w:t>
      </w:r>
      <w:r w:rsidRPr="00382917">
        <w:t>Mullá</w:t>
      </w:r>
      <w:r w:rsidR="00EE4FC3">
        <w:t xml:space="preserve"> </w:t>
      </w:r>
      <w:r w:rsidR="00964C11" w:rsidRPr="00382917">
        <w:t>Ḥusayn</w:t>
      </w:r>
      <w:r w:rsidR="00EE4FC3">
        <w:t xml:space="preserve"> </w:t>
      </w:r>
      <w:r w:rsidRPr="00382917">
        <w:t>watching</w:t>
      </w:r>
      <w:r w:rsidR="00EE4FC3">
        <w:t xml:space="preserve"> </w:t>
      </w:r>
      <w:r w:rsidRPr="00382917">
        <w:t>the</w:t>
      </w:r>
      <w:r w:rsidR="00EE4FC3">
        <w:t xml:space="preserve"> </w:t>
      </w:r>
      <w:r w:rsidRPr="00382917">
        <w:t>army</w:t>
      </w:r>
      <w:r w:rsidR="00EE4FC3">
        <w:t xml:space="preserve"> </w:t>
      </w:r>
      <w:r w:rsidRPr="00382917">
        <w:t>of</w:t>
      </w:r>
      <w:r w:rsidR="00EE4FC3">
        <w:t xml:space="preserve"> </w:t>
      </w:r>
      <w:r w:rsidRPr="00382917">
        <w:t>the</w:t>
      </w:r>
      <w:r w:rsidR="00EE4FC3">
        <w:t xml:space="preserve"> </w:t>
      </w:r>
      <w:r w:rsidRPr="00382917">
        <w:t>king,</w:t>
      </w:r>
      <w:r w:rsidR="00EE4FC3">
        <w:t xml:space="preserve"> </w:t>
      </w:r>
      <w:r w:rsidRPr="00382917">
        <w:t>he</w:t>
      </w:r>
      <w:r w:rsidR="00EE4FC3">
        <w:t xml:space="preserve"> </w:t>
      </w:r>
      <w:r w:rsidRPr="00382917">
        <w:t>said,</w:t>
      </w:r>
      <w:r w:rsidR="00EE4FC3">
        <w:t xml:space="preserve"> </w:t>
      </w:r>
      <w:r w:rsidR="009C713D" w:rsidRPr="00382917">
        <w:t>“</w:t>
      </w:r>
      <w:r w:rsidRPr="00382917">
        <w:t>The</w:t>
      </w:r>
      <w:r w:rsidR="00EE4FC3">
        <w:t xml:space="preserve"> </w:t>
      </w:r>
      <w:r w:rsidRPr="00382917">
        <w:t>scarcity</w:t>
      </w:r>
      <w:r w:rsidR="00EE4FC3">
        <w:t xml:space="preserve"> </w:t>
      </w:r>
      <w:r w:rsidRPr="00382917">
        <w:t>of</w:t>
      </w:r>
      <w:r w:rsidR="00EE4FC3">
        <w:t xml:space="preserve"> </w:t>
      </w:r>
      <w:r w:rsidRPr="00382917">
        <w:t>water</w:t>
      </w:r>
      <w:r w:rsidR="00EE4FC3">
        <w:t xml:space="preserve"> </w:t>
      </w:r>
      <w:r w:rsidRPr="00382917">
        <w:t>has</w:t>
      </w:r>
      <w:r w:rsidR="00EE4FC3">
        <w:t xml:space="preserve"> </w:t>
      </w:r>
      <w:r w:rsidRPr="00382917">
        <w:t>distressed</w:t>
      </w:r>
      <w:r w:rsidR="00EE4FC3">
        <w:t xml:space="preserve"> </w:t>
      </w:r>
      <w:r w:rsidRPr="00382917">
        <w:t>our</w:t>
      </w:r>
      <w:r w:rsidR="00EE4FC3">
        <w:t xml:space="preserve"> </w:t>
      </w:r>
      <w:r w:rsidRPr="00382917">
        <w:t>companions.</w:t>
      </w:r>
    </w:p>
    <w:p w:rsidR="00B2576B" w:rsidRPr="00382917" w:rsidRDefault="00B2576B" w:rsidP="00B2576B">
      <w:pPr>
        <w:pStyle w:val="Text"/>
      </w:pPr>
      <w:r w:rsidRPr="00382917">
        <w:t>God</w:t>
      </w:r>
      <w:r w:rsidR="00EE4FC3">
        <w:t xml:space="preserve"> </w:t>
      </w:r>
      <w:r w:rsidRPr="00382917">
        <w:t>willing,</w:t>
      </w:r>
      <w:r w:rsidR="00EE4FC3">
        <w:t xml:space="preserve"> </w:t>
      </w:r>
      <w:r w:rsidRPr="00382917">
        <w:t>this</w:t>
      </w:r>
      <w:r w:rsidR="00EE4FC3">
        <w:t xml:space="preserve"> </w:t>
      </w:r>
      <w:r w:rsidRPr="00382917">
        <w:t>very</w:t>
      </w:r>
      <w:r w:rsidR="00EE4FC3">
        <w:t xml:space="preserve"> </w:t>
      </w:r>
      <w:r w:rsidRPr="00382917">
        <w:t>night</w:t>
      </w:r>
      <w:r w:rsidR="00EE4FC3">
        <w:t xml:space="preserve"> </w:t>
      </w:r>
      <w:r w:rsidRPr="00382917">
        <w:t>a</w:t>
      </w:r>
      <w:r w:rsidR="00EE4FC3">
        <w:t xml:space="preserve"> </w:t>
      </w:r>
      <w:r w:rsidRPr="00382917">
        <w:t>downpour</w:t>
      </w:r>
      <w:r w:rsidR="00EE4FC3">
        <w:t xml:space="preserve"> </w:t>
      </w:r>
      <w:r w:rsidRPr="00382917">
        <w:t>of</w:t>
      </w:r>
      <w:r w:rsidR="00EE4FC3">
        <w:t xml:space="preserve"> </w:t>
      </w:r>
      <w:r w:rsidRPr="00382917">
        <w:t>rain</w:t>
      </w:r>
      <w:r w:rsidR="00EE4FC3">
        <w:t xml:space="preserve"> </w:t>
      </w:r>
      <w:r w:rsidRPr="00382917">
        <w:t>will</w:t>
      </w:r>
      <w:r w:rsidR="00EE4FC3">
        <w:t xml:space="preserve"> </w:t>
      </w:r>
      <w:r w:rsidRPr="00382917">
        <w:t>overtake</w:t>
      </w:r>
      <w:r w:rsidR="00EE4FC3">
        <w:t xml:space="preserve"> </w:t>
      </w:r>
      <w:r w:rsidRPr="00382917">
        <w:t>our</w:t>
      </w:r>
      <w:r w:rsidR="00EE4FC3">
        <w:t xml:space="preserve"> </w:t>
      </w:r>
      <w:r w:rsidRPr="00382917">
        <w:t>opponents,</w:t>
      </w:r>
      <w:r w:rsidR="00EE4FC3">
        <w:t xml:space="preserve"> </w:t>
      </w:r>
      <w:r w:rsidRPr="00382917">
        <w:t>followed</w:t>
      </w:r>
      <w:r w:rsidR="00EE4FC3">
        <w:t xml:space="preserve"> </w:t>
      </w:r>
      <w:r w:rsidRPr="00382917">
        <w:t>by</w:t>
      </w:r>
      <w:r w:rsidR="00EE4FC3">
        <w:t xml:space="preserve"> </w:t>
      </w:r>
      <w:r w:rsidRPr="00382917">
        <w:t>a</w:t>
      </w:r>
      <w:r w:rsidR="00EE4FC3">
        <w:t xml:space="preserve"> </w:t>
      </w:r>
      <w:r w:rsidRPr="00382917">
        <w:t>heavy</w:t>
      </w:r>
      <w:r w:rsidR="00EE4FC3">
        <w:t xml:space="preserve"> </w:t>
      </w:r>
      <w:r w:rsidRPr="00382917">
        <w:t>snowfall,</w:t>
      </w:r>
      <w:r w:rsidR="00EE4FC3">
        <w:t xml:space="preserve"> </w:t>
      </w:r>
      <w:r w:rsidRPr="00382917">
        <w:t>which</w:t>
      </w:r>
      <w:r w:rsidR="00EE4FC3">
        <w:t xml:space="preserve"> </w:t>
      </w:r>
      <w:r w:rsidRPr="00382917">
        <w:t>will</w:t>
      </w:r>
      <w:r w:rsidR="00EE4FC3">
        <w:t xml:space="preserve"> </w:t>
      </w:r>
      <w:r w:rsidRPr="00382917">
        <w:t>assist</w:t>
      </w:r>
      <w:r w:rsidR="00EE4FC3">
        <w:t xml:space="preserve"> </w:t>
      </w:r>
      <w:r w:rsidRPr="00382917">
        <w:t>us</w:t>
      </w:r>
      <w:r w:rsidR="00EE4FC3">
        <w:t xml:space="preserve"> </w:t>
      </w:r>
      <w:r w:rsidRPr="00382917">
        <w:t>to</w:t>
      </w:r>
      <w:r w:rsidR="00EE4FC3">
        <w:t xml:space="preserve"> </w:t>
      </w:r>
      <w:r w:rsidRPr="00382917">
        <w:t>repulse</w:t>
      </w:r>
      <w:r w:rsidR="00EE4FC3">
        <w:t xml:space="preserve"> </w:t>
      </w:r>
      <w:r w:rsidRPr="00382917">
        <w:t>their</w:t>
      </w:r>
      <w:r w:rsidR="00EE4FC3">
        <w:t xml:space="preserve"> </w:t>
      </w:r>
      <w:r w:rsidRPr="00382917">
        <w:t>planned</w:t>
      </w:r>
      <w:r w:rsidR="00EE4FC3">
        <w:t xml:space="preserve"> </w:t>
      </w:r>
      <w:r w:rsidRPr="00382917">
        <w:t>attack.</w:t>
      </w:r>
      <w:r w:rsidR="009C713D" w:rsidRPr="00382917">
        <w:t>”</w:t>
      </w:r>
    </w:p>
    <w:p w:rsidR="00B2576B" w:rsidRPr="00382917" w:rsidRDefault="00B2576B" w:rsidP="00B2576B">
      <w:pPr>
        <w:pStyle w:val="Text"/>
      </w:pPr>
      <w:r w:rsidRPr="00382917">
        <w:t>That</w:t>
      </w:r>
      <w:r w:rsidR="00EE4FC3">
        <w:t xml:space="preserve"> </w:t>
      </w:r>
      <w:r w:rsidRPr="00382917">
        <w:t>night</w:t>
      </w:r>
      <w:r w:rsidR="00EE4FC3">
        <w:t xml:space="preserve"> </w:t>
      </w:r>
      <w:r w:rsidRPr="00382917">
        <w:t>as</w:t>
      </w:r>
      <w:r w:rsidR="00EE4FC3">
        <w:t xml:space="preserve"> </w:t>
      </w:r>
      <w:r w:rsidRPr="00382917">
        <w:t>the</w:t>
      </w:r>
      <w:r w:rsidR="00EE4FC3">
        <w:t xml:space="preserve"> </w:t>
      </w:r>
      <w:r w:rsidRPr="00382917">
        <w:t>great</w:t>
      </w:r>
      <w:r w:rsidR="00EE4FC3">
        <w:t xml:space="preserve"> </w:t>
      </w:r>
      <w:r w:rsidRPr="00382917">
        <w:t>mass</w:t>
      </w:r>
      <w:r w:rsidR="00EE4FC3">
        <w:t xml:space="preserve"> </w:t>
      </w:r>
      <w:r w:rsidRPr="00382917">
        <w:t>of</w:t>
      </w:r>
      <w:r w:rsidR="00EE4FC3">
        <w:t xml:space="preserve"> </w:t>
      </w:r>
      <w:r w:rsidRPr="00382917">
        <w:t>soldiers</w:t>
      </w:r>
      <w:r w:rsidR="00EE4FC3">
        <w:t xml:space="preserve"> </w:t>
      </w:r>
      <w:r w:rsidRPr="00382917">
        <w:t>prepared</w:t>
      </w:r>
      <w:r w:rsidR="00EE4FC3">
        <w:t xml:space="preserve"> </w:t>
      </w:r>
      <w:r w:rsidRPr="00382917">
        <w:t>to</w:t>
      </w:r>
      <w:r w:rsidR="00EE4FC3">
        <w:t xml:space="preserve"> </w:t>
      </w:r>
      <w:r w:rsidRPr="00382917">
        <w:t>launch</w:t>
      </w:r>
      <w:r w:rsidR="00EE4FC3">
        <w:t xml:space="preserve"> </w:t>
      </w:r>
      <w:r w:rsidRPr="00382917">
        <w:t>an</w:t>
      </w:r>
      <w:r w:rsidR="00EE4FC3">
        <w:t xml:space="preserve"> </w:t>
      </w:r>
      <w:r w:rsidRPr="00382917">
        <w:t>assault</w:t>
      </w:r>
      <w:r w:rsidR="00EE4FC3">
        <w:t xml:space="preserve"> </w:t>
      </w:r>
      <w:r w:rsidRPr="00382917">
        <w:t>upon</w:t>
      </w:r>
      <w:r w:rsidR="00EE4FC3">
        <w:t xml:space="preserve"> </w:t>
      </w:r>
      <w:r w:rsidRPr="00382917">
        <w:t>the</w:t>
      </w:r>
      <w:r w:rsidR="00EE4FC3">
        <w:t xml:space="preserve"> </w:t>
      </w:r>
      <w:r w:rsidRPr="00382917">
        <w:t>fort,</w:t>
      </w:r>
      <w:r w:rsidR="00EE4FC3">
        <w:t xml:space="preserve"> </w:t>
      </w:r>
      <w:r w:rsidRPr="00382917">
        <w:t>a</w:t>
      </w:r>
      <w:r w:rsidR="00EE4FC3">
        <w:t xml:space="preserve"> </w:t>
      </w:r>
      <w:r w:rsidRPr="00382917">
        <w:t>torrential</w:t>
      </w:r>
      <w:r w:rsidR="00EE4FC3">
        <w:t xml:space="preserve"> </w:t>
      </w:r>
      <w:r w:rsidRPr="00382917">
        <w:t>rain</w:t>
      </w:r>
      <w:r w:rsidR="00EE4FC3">
        <w:t xml:space="preserve"> </w:t>
      </w:r>
      <w:r w:rsidRPr="00382917">
        <w:t>overtook</w:t>
      </w:r>
      <w:r w:rsidR="00EE4FC3">
        <w:t xml:space="preserve"> </w:t>
      </w:r>
      <w:r w:rsidRPr="00382917">
        <w:t>them</w:t>
      </w:r>
      <w:r w:rsidR="00A93643">
        <w:t>.</w:t>
      </w:r>
      <w:r w:rsidR="00EE4FC3">
        <w:t xml:space="preserve">  </w:t>
      </w:r>
      <w:r w:rsidRPr="00382917">
        <w:t>It</w:t>
      </w:r>
      <w:r w:rsidR="00EE4FC3">
        <w:t xml:space="preserve"> </w:t>
      </w:r>
      <w:r w:rsidRPr="00382917">
        <w:t>ruined</w:t>
      </w:r>
      <w:r w:rsidR="00EE4FC3">
        <w:t xml:space="preserve"> </w:t>
      </w:r>
      <w:r w:rsidRPr="00382917">
        <w:t>their</w:t>
      </w:r>
      <w:r w:rsidR="00EE4FC3">
        <w:t xml:space="preserve"> </w:t>
      </w:r>
      <w:r w:rsidRPr="00382917">
        <w:t>ammunition</w:t>
      </w:r>
      <w:r w:rsidR="00A93643">
        <w:t>.</w:t>
      </w:r>
      <w:r w:rsidR="00EE4FC3">
        <w:t xml:space="preserve">  </w:t>
      </w:r>
      <w:r w:rsidRPr="00382917">
        <w:t>They</w:t>
      </w:r>
      <w:r w:rsidR="00EE4FC3">
        <w:t xml:space="preserve"> </w:t>
      </w:r>
      <w:r w:rsidRPr="00382917">
        <w:t>broke</w:t>
      </w:r>
      <w:r w:rsidR="00EE4FC3">
        <w:t xml:space="preserve"> </w:t>
      </w:r>
      <w:r w:rsidRPr="00382917">
        <w:t>ranks</w:t>
      </w:r>
      <w:r w:rsidR="00EE4FC3">
        <w:t xml:space="preserve"> </w:t>
      </w:r>
      <w:r w:rsidRPr="00382917">
        <w:t>and</w:t>
      </w:r>
      <w:r w:rsidR="00EE4FC3">
        <w:t xml:space="preserve"> </w:t>
      </w:r>
      <w:r w:rsidRPr="00382917">
        <w:t>took</w:t>
      </w:r>
      <w:r w:rsidR="00EE4FC3">
        <w:t xml:space="preserve"> </w:t>
      </w:r>
      <w:r w:rsidRPr="00382917">
        <w:t>shelter,</w:t>
      </w:r>
      <w:r w:rsidR="00EE4FC3">
        <w:t xml:space="preserve"> </w:t>
      </w:r>
      <w:r w:rsidRPr="00382917">
        <w:t>abandoning</w:t>
      </w:r>
      <w:r w:rsidR="00EE4FC3">
        <w:t xml:space="preserve"> </w:t>
      </w:r>
      <w:r w:rsidRPr="00382917">
        <w:t>all</w:t>
      </w:r>
      <w:r w:rsidR="00EE4FC3">
        <w:t xml:space="preserve"> </w:t>
      </w:r>
      <w:r w:rsidRPr="00382917">
        <w:t>plans</w:t>
      </w:r>
      <w:r w:rsidR="00EE4FC3">
        <w:t xml:space="preserve"> </w:t>
      </w:r>
      <w:r w:rsidRPr="00382917">
        <w:t>of</w:t>
      </w:r>
      <w:r w:rsidR="00EE4FC3">
        <w:t xml:space="preserve"> </w:t>
      </w:r>
      <w:r w:rsidRPr="00382917">
        <w:t>attack</w:t>
      </w:r>
      <w:r w:rsidR="00A93643">
        <w:t>.</w:t>
      </w:r>
      <w:r w:rsidR="00EE4FC3">
        <w:t xml:space="preserve">  </w:t>
      </w:r>
      <w:r w:rsidRPr="00382917">
        <w:t>Rainwater</w:t>
      </w:r>
      <w:r w:rsidR="00EE4FC3">
        <w:t xml:space="preserve"> </w:t>
      </w:r>
      <w:r w:rsidRPr="00382917">
        <w:t>was</w:t>
      </w:r>
      <w:r w:rsidR="00EE4FC3">
        <w:t xml:space="preserve"> </w:t>
      </w:r>
      <w:r w:rsidRPr="00382917">
        <w:t>quickly</w:t>
      </w:r>
      <w:r w:rsidR="00EE4FC3">
        <w:t xml:space="preserve"> </w:t>
      </w:r>
      <w:r w:rsidRPr="00382917">
        <w:t>gathered</w:t>
      </w:r>
      <w:r w:rsidR="00EE4FC3">
        <w:t xml:space="preserve"> </w:t>
      </w:r>
      <w:r w:rsidRPr="00382917">
        <w:t>inside</w:t>
      </w:r>
      <w:r w:rsidR="00EE4FC3">
        <w:t xml:space="preserve"> </w:t>
      </w:r>
      <w:r w:rsidRPr="00382917">
        <w:t>the</w:t>
      </w:r>
      <w:r w:rsidR="00EE4FC3">
        <w:t xml:space="preserve"> </w:t>
      </w:r>
      <w:r w:rsidRPr="00382917">
        <w:t>fort</w:t>
      </w:r>
      <w:r w:rsidR="00EE4FC3">
        <w:t xml:space="preserve"> </w:t>
      </w:r>
      <w:r w:rsidRPr="00382917">
        <w:t>to</w:t>
      </w:r>
      <w:r w:rsidR="00EE4FC3">
        <w:t xml:space="preserve"> </w:t>
      </w:r>
      <w:r w:rsidRPr="00382917">
        <w:t>quench</w:t>
      </w:r>
      <w:r w:rsidR="00EE4FC3">
        <w:t xml:space="preserve"> </w:t>
      </w:r>
      <w:r w:rsidRPr="00382917">
        <w:t>the</w:t>
      </w:r>
      <w:r w:rsidR="00EE4FC3">
        <w:t xml:space="preserve"> </w:t>
      </w:r>
      <w:r w:rsidRPr="00382917">
        <w:t>thirst</w:t>
      </w:r>
      <w:r w:rsidR="00EE4FC3">
        <w:t xml:space="preserve"> </w:t>
      </w:r>
      <w:r w:rsidRPr="00382917">
        <w:t>of</w:t>
      </w:r>
      <w:r w:rsidR="00EE4FC3">
        <w:t xml:space="preserve"> </w:t>
      </w:r>
      <w:r w:rsidRPr="00382917">
        <w:t>the</w:t>
      </w:r>
      <w:r w:rsidR="00EE4FC3">
        <w:t xml:space="preserve"> </w:t>
      </w:r>
      <w:r w:rsidRPr="00382917">
        <w:t>friends.</w:t>
      </w:r>
    </w:p>
    <w:p w:rsidR="00B2576B" w:rsidRPr="00382917" w:rsidRDefault="00B2576B" w:rsidP="00B2576B">
      <w:pPr>
        <w:pStyle w:val="Text"/>
      </w:pPr>
      <w:r w:rsidRPr="00382917">
        <w:t>The</w:t>
      </w:r>
      <w:r w:rsidR="00EE4FC3">
        <w:t xml:space="preserve"> </w:t>
      </w:r>
      <w:r w:rsidRPr="00382917">
        <w:t>following</w:t>
      </w:r>
      <w:r w:rsidR="00EE4FC3">
        <w:t xml:space="preserve"> </w:t>
      </w:r>
      <w:r w:rsidRPr="00382917">
        <w:t>historical</w:t>
      </w:r>
      <w:r w:rsidR="00EE4FC3">
        <w:t xml:space="preserve"> </w:t>
      </w:r>
      <w:r w:rsidRPr="00382917">
        <w:t>record</w:t>
      </w:r>
      <w:r w:rsidR="00EE4FC3">
        <w:t xml:space="preserve"> </w:t>
      </w:r>
      <w:r w:rsidRPr="00382917">
        <w:t>of</w:t>
      </w:r>
      <w:r w:rsidR="00EE4FC3">
        <w:t xml:space="preserve"> </w:t>
      </w:r>
      <w:r w:rsidRPr="00382917">
        <w:t>that</w:t>
      </w:r>
      <w:r w:rsidR="00EE4FC3">
        <w:t xml:space="preserve"> </w:t>
      </w:r>
      <w:r w:rsidRPr="00382917">
        <w:t>period</w:t>
      </w:r>
      <w:r w:rsidR="00EE4FC3">
        <w:t xml:space="preserve"> </w:t>
      </w:r>
      <w:r w:rsidRPr="00382917">
        <w:t>has</w:t>
      </w:r>
      <w:r w:rsidR="00EE4FC3">
        <w:t xml:space="preserve"> </w:t>
      </w:r>
      <w:r w:rsidRPr="00382917">
        <w:t>been</w:t>
      </w:r>
      <w:r w:rsidR="00EE4FC3">
        <w:t xml:space="preserve"> </w:t>
      </w:r>
      <w:r w:rsidRPr="00382917">
        <w:t>preserved</w:t>
      </w:r>
      <w:r w:rsidR="00C03C91">
        <w:t>:</w:t>
      </w:r>
      <w:r w:rsidR="00EE4FC3">
        <w:t xml:space="preserve">  </w:t>
      </w:r>
      <w:r w:rsidR="009C713D" w:rsidRPr="00382917">
        <w:t>“</w:t>
      </w:r>
      <w:r w:rsidRPr="00382917">
        <w:t>A</w:t>
      </w:r>
      <w:r w:rsidR="00EE4FC3">
        <w:t xml:space="preserve"> </w:t>
      </w:r>
      <w:r w:rsidRPr="00382917">
        <w:t>snowfall</w:t>
      </w:r>
      <w:r w:rsidR="00EE4FC3">
        <w:t xml:space="preserve"> </w:t>
      </w:r>
      <w:r w:rsidRPr="00382917">
        <w:t>such</w:t>
      </w:r>
      <w:r w:rsidR="00EE4FC3">
        <w:t xml:space="preserve"> </w:t>
      </w:r>
      <w:r w:rsidRPr="00382917">
        <w:t>as</w:t>
      </w:r>
      <w:r w:rsidR="00EE4FC3">
        <w:t xml:space="preserve"> </w:t>
      </w:r>
      <w:r w:rsidRPr="00382917">
        <w:t>the</w:t>
      </w:r>
      <w:r w:rsidR="00EE4FC3">
        <w:t xml:space="preserve"> </w:t>
      </w:r>
      <w:r w:rsidRPr="00382917">
        <w:t>people</w:t>
      </w:r>
      <w:r w:rsidR="00EE4FC3">
        <w:t xml:space="preserve"> </w:t>
      </w:r>
      <w:r w:rsidRPr="00382917">
        <w:t>of</w:t>
      </w:r>
      <w:r w:rsidR="00EE4FC3">
        <w:t xml:space="preserve"> </w:t>
      </w:r>
      <w:r w:rsidRPr="00382917">
        <w:t>the</w:t>
      </w:r>
      <w:r w:rsidR="00EE4FC3">
        <w:t xml:space="preserve"> </w:t>
      </w:r>
      <w:proofErr w:type="spellStart"/>
      <w:r w:rsidRPr="00382917">
        <w:t>neighborhood</w:t>
      </w:r>
      <w:proofErr w:type="spellEnd"/>
      <w:r w:rsidR="00EE4FC3">
        <w:t xml:space="preserve"> </w:t>
      </w:r>
      <w:r w:rsidRPr="00382917">
        <w:t>even</w:t>
      </w:r>
      <w:r w:rsidR="00EE4FC3">
        <w:t xml:space="preserve"> </w:t>
      </w:r>
      <w:r w:rsidRPr="00382917">
        <w:t>in</w:t>
      </w:r>
      <w:r w:rsidR="00EE4FC3">
        <w:t xml:space="preserve"> </w:t>
      </w:r>
      <w:r w:rsidRPr="00382917">
        <w:t>the</w:t>
      </w:r>
      <w:r w:rsidR="00EE4FC3">
        <w:t xml:space="preserve"> </w:t>
      </w:r>
      <w:r w:rsidRPr="00382917">
        <w:t>depths</w:t>
      </w:r>
      <w:r w:rsidR="00EE4FC3">
        <w:t xml:space="preserve"> </w:t>
      </w:r>
      <w:r w:rsidRPr="00382917">
        <w:t>of</w:t>
      </w:r>
      <w:r w:rsidR="00EE4FC3">
        <w:t xml:space="preserve"> </w:t>
      </w:r>
      <w:r w:rsidRPr="00382917">
        <w:t>winter</w:t>
      </w:r>
      <w:r w:rsidR="00EE4FC3">
        <w:t xml:space="preserve"> </w:t>
      </w:r>
      <w:r w:rsidRPr="00382917">
        <w:t>had</w:t>
      </w:r>
      <w:r w:rsidR="00EE4FC3">
        <w:t xml:space="preserve"> </w:t>
      </w:r>
      <w:r w:rsidRPr="00382917">
        <w:t>never</w:t>
      </w:r>
      <w:r w:rsidR="00EE4FC3">
        <w:t xml:space="preserve"> </w:t>
      </w:r>
      <w:r w:rsidRPr="00382917">
        <w:t>experienced</w:t>
      </w:r>
      <w:r w:rsidR="00EE4FC3">
        <w:t xml:space="preserve"> </w:t>
      </w:r>
      <w:r w:rsidRPr="00382917">
        <w:t>added</w:t>
      </w:r>
      <w:r w:rsidR="00EE4FC3">
        <w:t xml:space="preserve"> </w:t>
      </w:r>
      <w:r w:rsidRPr="00382917">
        <w:t>considerably</w:t>
      </w:r>
      <w:r w:rsidR="00EE4FC3">
        <w:t xml:space="preserve"> </w:t>
      </w:r>
      <w:r w:rsidRPr="00382917">
        <w:t>to</w:t>
      </w:r>
      <w:r w:rsidR="00EE4FC3">
        <w:t xml:space="preserve"> </w:t>
      </w:r>
      <w:r w:rsidRPr="00382917">
        <w:t>the</w:t>
      </w:r>
      <w:r w:rsidR="00EE4FC3">
        <w:t xml:space="preserve"> </w:t>
      </w:r>
      <w:r w:rsidRPr="00382917">
        <w:t>annoyance</w:t>
      </w:r>
      <w:r w:rsidR="00EE4FC3">
        <w:t xml:space="preserve"> </w:t>
      </w:r>
      <w:r w:rsidRPr="00382917">
        <w:t>which</w:t>
      </w:r>
      <w:r w:rsidR="00EE4FC3">
        <w:t xml:space="preserve"> </w:t>
      </w:r>
      <w:r w:rsidRPr="00382917">
        <w:t>the</w:t>
      </w:r>
      <w:r w:rsidR="00EE4FC3">
        <w:t xml:space="preserve"> </w:t>
      </w:r>
      <w:r w:rsidRPr="00382917">
        <w:t>rain</w:t>
      </w:r>
      <w:r w:rsidR="00EE4FC3">
        <w:t xml:space="preserve"> </w:t>
      </w:r>
      <w:r w:rsidRPr="00382917">
        <w:t>caused.</w:t>
      </w:r>
      <w:r w:rsidR="009C713D" w:rsidRPr="00382917">
        <w:t>”</w:t>
      </w:r>
      <w:r w:rsidR="00EE4FC3">
        <w:t xml:space="preserve">  </w:t>
      </w:r>
      <w:r w:rsidRPr="00382917">
        <w:t>These</w:t>
      </w:r>
      <w:r w:rsidR="00EE4FC3">
        <w:t xml:space="preserve"> </w:t>
      </w:r>
      <w:r w:rsidRPr="00382917">
        <w:t>storms</w:t>
      </w:r>
      <w:r w:rsidR="00EE4FC3">
        <w:t xml:space="preserve"> </w:t>
      </w:r>
      <w:r w:rsidRPr="00382917">
        <w:t>brought</w:t>
      </w:r>
      <w:r w:rsidR="00EE4FC3">
        <w:t xml:space="preserve"> </w:t>
      </w:r>
      <w:r w:rsidRPr="00382917">
        <w:t>hardship</w:t>
      </w:r>
      <w:r w:rsidR="00EE4FC3">
        <w:t xml:space="preserve"> </w:t>
      </w:r>
      <w:r w:rsidRPr="00382917">
        <w:t>and</w:t>
      </w:r>
      <w:r w:rsidR="00EE4FC3">
        <w:t xml:space="preserve"> </w:t>
      </w:r>
      <w:r w:rsidRPr="00382917">
        <w:t>ruin</w:t>
      </w:r>
      <w:r w:rsidR="00EE4FC3">
        <w:t xml:space="preserve"> </w:t>
      </w:r>
      <w:r w:rsidRPr="00382917">
        <w:t>to</w:t>
      </w:r>
      <w:r w:rsidR="00EE4FC3">
        <w:t xml:space="preserve"> </w:t>
      </w:r>
      <w:r w:rsidRPr="00382917">
        <w:t>the</w:t>
      </w:r>
      <w:r w:rsidR="00EE4FC3">
        <w:t xml:space="preserve"> </w:t>
      </w:r>
      <w:r w:rsidRPr="00382917">
        <w:t>camp</w:t>
      </w:r>
      <w:r w:rsidR="00EE4FC3">
        <w:t xml:space="preserve"> </w:t>
      </w:r>
      <w:r w:rsidRPr="00382917">
        <w:t>of</w:t>
      </w:r>
      <w:r w:rsidR="00EE4FC3">
        <w:t xml:space="preserve"> </w:t>
      </w:r>
      <w:r w:rsidRPr="00382917">
        <w:t>the</w:t>
      </w:r>
      <w:r w:rsidR="00EE4FC3">
        <w:t xml:space="preserve"> </w:t>
      </w:r>
      <w:r w:rsidRPr="00382917">
        <w:t>king</w:t>
      </w:r>
      <w:r w:rsidR="009C713D" w:rsidRPr="00382917">
        <w:t>’</w:t>
      </w:r>
      <w:r w:rsidRPr="00382917">
        <w:t>s</w:t>
      </w:r>
      <w:r w:rsidR="00EE4FC3">
        <w:t xml:space="preserve"> </w:t>
      </w:r>
      <w:r w:rsidRPr="00382917">
        <w:t>soldiers,</w:t>
      </w:r>
      <w:r w:rsidR="00EE4FC3">
        <w:t xml:space="preserve"> </w:t>
      </w:r>
      <w:r w:rsidRPr="00382917">
        <w:t>but</w:t>
      </w:r>
      <w:r w:rsidR="00EE4FC3">
        <w:t xml:space="preserve"> </w:t>
      </w:r>
      <w:r w:rsidRPr="00382917">
        <w:t>refreshment</w:t>
      </w:r>
      <w:r w:rsidR="00EE4FC3">
        <w:t xml:space="preserve"> </w:t>
      </w:r>
      <w:r w:rsidRPr="00382917">
        <w:t>to</w:t>
      </w:r>
      <w:r w:rsidR="00EE4FC3">
        <w:t xml:space="preserve"> </w:t>
      </w:r>
      <w:r w:rsidRPr="00382917">
        <w:t>the</w:t>
      </w:r>
      <w:r w:rsidR="00EE4FC3">
        <w:t xml:space="preserve"> </w:t>
      </w:r>
      <w:r w:rsidRPr="00382917">
        <w:t>fort.</w:t>
      </w:r>
    </w:p>
    <w:p w:rsidR="00B2576B" w:rsidRPr="00382917" w:rsidRDefault="00B2576B" w:rsidP="00B2576B">
      <w:pPr>
        <w:pStyle w:val="Text"/>
      </w:pPr>
      <w:r w:rsidRPr="00382917">
        <w:t>One</w:t>
      </w:r>
      <w:r w:rsidR="00EE4FC3">
        <w:t xml:space="preserve"> </w:t>
      </w:r>
      <w:r w:rsidRPr="00382917">
        <w:t>of</w:t>
      </w:r>
      <w:r w:rsidR="00EE4FC3">
        <w:t xml:space="preserve"> </w:t>
      </w:r>
      <w:r w:rsidRPr="00382917">
        <w:t>the</w:t>
      </w:r>
      <w:r w:rsidR="00EE4FC3">
        <w:t xml:space="preserve"> </w:t>
      </w:r>
      <w:r w:rsidRPr="00382917">
        <w:t>most</w:t>
      </w:r>
      <w:r w:rsidR="00EE4FC3">
        <w:t xml:space="preserve"> </w:t>
      </w:r>
      <w:r w:rsidRPr="00382917">
        <w:t>memorable</w:t>
      </w:r>
      <w:r w:rsidR="00EE4FC3">
        <w:t xml:space="preserve"> </w:t>
      </w:r>
      <w:r w:rsidRPr="00382917">
        <w:t>encounters</w:t>
      </w:r>
      <w:r w:rsidR="00EE4FC3">
        <w:t xml:space="preserve"> </w:t>
      </w:r>
      <w:r w:rsidRPr="00382917">
        <w:t>took</w:t>
      </w:r>
      <w:r w:rsidR="00EE4FC3">
        <w:t xml:space="preserve"> </w:t>
      </w:r>
      <w:r w:rsidRPr="00382917">
        <w:t>place</w:t>
      </w:r>
      <w:r w:rsidR="00EE4FC3">
        <w:t xml:space="preserve"> </w:t>
      </w:r>
      <w:r w:rsidRPr="00382917">
        <w:t>one</w:t>
      </w:r>
      <w:r w:rsidR="00EE4FC3">
        <w:t xml:space="preserve"> </w:t>
      </w:r>
      <w:r w:rsidRPr="00382917">
        <w:t>morning</w:t>
      </w:r>
      <w:r w:rsidR="00EE4FC3">
        <w:t xml:space="preserve"> </w:t>
      </w:r>
      <w:r w:rsidRPr="00382917">
        <w:t>just</w:t>
      </w:r>
      <w:r w:rsidR="00EE4FC3">
        <w:t xml:space="preserve"> </w:t>
      </w:r>
      <w:r w:rsidRPr="00382917">
        <w:t>before</w:t>
      </w:r>
      <w:r w:rsidR="00EE4FC3">
        <w:t xml:space="preserve"> </w:t>
      </w:r>
      <w:r w:rsidRPr="00382917">
        <w:t>dawn</w:t>
      </w:r>
      <w:r w:rsidR="00A93643">
        <w:t>.</w:t>
      </w:r>
      <w:r w:rsidR="00EE4FC3">
        <w:t xml:space="preserve">  </w:t>
      </w:r>
      <w:r w:rsidRPr="00382917">
        <w:t>The</w:t>
      </w:r>
      <w:r w:rsidR="00EE4FC3">
        <w:t xml:space="preserve"> </w:t>
      </w:r>
      <w:r w:rsidRPr="00382917">
        <w:t>companions</w:t>
      </w:r>
      <w:r w:rsidR="00EE4FC3">
        <w:t xml:space="preserve"> </w:t>
      </w:r>
      <w:r w:rsidRPr="00382917">
        <w:t>were</w:t>
      </w:r>
      <w:r w:rsidR="00EE4FC3">
        <w:t xml:space="preserve"> </w:t>
      </w:r>
      <w:r w:rsidRPr="00382917">
        <w:t>sorely</w:t>
      </w:r>
      <w:r w:rsidR="00EE4FC3">
        <w:t xml:space="preserve"> </w:t>
      </w:r>
      <w:r w:rsidRPr="00382917">
        <w:t>distressed</w:t>
      </w:r>
      <w:r w:rsidR="00EE4FC3">
        <w:t xml:space="preserve"> </w:t>
      </w:r>
      <w:r w:rsidRPr="00382917">
        <w:t>and</w:t>
      </w:r>
      <w:r w:rsidR="00EE4FC3">
        <w:t xml:space="preserve"> </w:t>
      </w:r>
      <w:r w:rsidRPr="00382917">
        <w:t>constantly</w:t>
      </w:r>
      <w:r w:rsidR="00EE4FC3">
        <w:t xml:space="preserve"> </w:t>
      </w:r>
      <w:r w:rsidRPr="00382917">
        <w:t>harried</w:t>
      </w:r>
      <w:r w:rsidR="00EE4FC3">
        <w:t xml:space="preserve"> </w:t>
      </w:r>
      <w:r w:rsidRPr="00382917">
        <w:t>by</w:t>
      </w:r>
      <w:r w:rsidR="00EE4FC3">
        <w:t xml:space="preserve"> </w:t>
      </w:r>
      <w:r w:rsidRPr="00382917">
        <w:t>the</w:t>
      </w:r>
      <w:r w:rsidR="00EE4FC3">
        <w:t xml:space="preserve"> </w:t>
      </w:r>
      <w:r w:rsidRPr="00382917">
        <w:t>outright</w:t>
      </w:r>
      <w:r w:rsidR="00EE4FC3">
        <w:t xml:space="preserve"> </w:t>
      </w:r>
      <w:r w:rsidRPr="00382917">
        <w:t>attacks</w:t>
      </w:r>
      <w:r w:rsidR="00EE4FC3">
        <w:t xml:space="preserve"> </w:t>
      </w:r>
      <w:r w:rsidRPr="00382917">
        <w:t>as</w:t>
      </w:r>
      <w:r w:rsidR="00EE4FC3">
        <w:t xml:space="preserve"> </w:t>
      </w:r>
      <w:r w:rsidRPr="00382917">
        <w:t>well</w:t>
      </w:r>
      <w:r w:rsidR="00EE4FC3">
        <w:t xml:space="preserve"> </w:t>
      </w:r>
      <w:r w:rsidRPr="00382917">
        <w:t>as</w:t>
      </w:r>
      <w:r w:rsidR="00EE4FC3">
        <w:t xml:space="preserve"> </w:t>
      </w:r>
      <w:r w:rsidRPr="00382917">
        <w:t>by</w:t>
      </w:r>
      <w:r w:rsidR="00EE4FC3">
        <w:t xml:space="preserve"> </w:t>
      </w:r>
      <w:r w:rsidRPr="00382917">
        <w:t>the</w:t>
      </w:r>
      <w:r w:rsidR="00EE4FC3">
        <w:t xml:space="preserve"> </w:t>
      </w:r>
      <w:r w:rsidRPr="00382917">
        <w:t>snipers</w:t>
      </w:r>
      <w:r w:rsidR="00A93643">
        <w:t>.</w:t>
      </w:r>
      <w:r w:rsidR="00EE4FC3">
        <w:t xml:space="preserve">  </w:t>
      </w:r>
      <w:r w:rsidRPr="00382917">
        <w:t>One</w:t>
      </w:r>
      <w:r w:rsidR="00EE4FC3">
        <w:t xml:space="preserve"> </w:t>
      </w:r>
      <w:r w:rsidRPr="00382917">
        <w:t>morning</w:t>
      </w:r>
      <w:r w:rsidR="00EE4FC3">
        <w:t xml:space="preserve"> </w:t>
      </w:r>
      <w:r w:rsidRPr="00382917">
        <w:t>the</w:t>
      </w:r>
      <w:r w:rsidR="00EE4FC3">
        <w:t xml:space="preserve"> </w:t>
      </w:r>
      <w:r w:rsidRPr="00382917">
        <w:t>gates</w:t>
      </w:r>
      <w:r w:rsidR="00EE4FC3">
        <w:t xml:space="preserve"> </w:t>
      </w:r>
      <w:r w:rsidRPr="00382917">
        <w:t>of</w:t>
      </w:r>
      <w:r w:rsidR="00EE4FC3">
        <w:t xml:space="preserve"> </w:t>
      </w:r>
      <w:r w:rsidRPr="00382917">
        <w:t>the</w:t>
      </w:r>
      <w:r w:rsidR="00EE4FC3">
        <w:t xml:space="preserve"> </w:t>
      </w:r>
      <w:r w:rsidRPr="00382917">
        <w:t>fort</w:t>
      </w:r>
      <w:r w:rsidR="00EE4FC3">
        <w:t xml:space="preserve"> </w:t>
      </w:r>
      <w:r w:rsidRPr="00382917">
        <w:t>were</w:t>
      </w:r>
      <w:r w:rsidR="00EE4FC3">
        <w:t xml:space="preserve"> </w:t>
      </w:r>
      <w:r w:rsidRPr="00382917">
        <w:t>thrown</w:t>
      </w:r>
      <w:r w:rsidR="00EE4FC3">
        <w:t xml:space="preserve"> </w:t>
      </w:r>
      <w:r w:rsidRPr="00382917">
        <w:t>open</w:t>
      </w:r>
      <w:r w:rsidR="00EE4FC3">
        <w:t xml:space="preserve"> </w:t>
      </w:r>
      <w:r w:rsidRPr="00382917">
        <w:t>to</w:t>
      </w:r>
      <w:r w:rsidR="00EE4FC3">
        <w:t xml:space="preserve"> </w:t>
      </w:r>
      <w:r w:rsidRPr="00382917">
        <w:t>meet</w:t>
      </w:r>
      <w:r w:rsidR="00EE4FC3">
        <w:t xml:space="preserve"> </w:t>
      </w:r>
      <w:r w:rsidRPr="00382917">
        <w:t>an</w:t>
      </w:r>
      <w:r w:rsidR="00EE4FC3">
        <w:t xml:space="preserve"> </w:t>
      </w:r>
      <w:r w:rsidRPr="00382917">
        <w:t>attack.</w:t>
      </w:r>
    </w:p>
    <w:p w:rsidR="00B2576B" w:rsidRPr="00382917" w:rsidRDefault="009C713D" w:rsidP="00B2576B">
      <w:pPr>
        <w:pStyle w:val="Text"/>
      </w:pPr>
      <w:r w:rsidRPr="00382917">
        <w:t>“</w:t>
      </w:r>
      <w:r w:rsidR="00B2576B" w:rsidRPr="00382917">
        <w:t>Mount</w:t>
      </w:r>
      <w:r w:rsidR="00EE4FC3">
        <w:t xml:space="preserve"> </w:t>
      </w:r>
      <w:r w:rsidR="00B2576B" w:rsidRPr="00382917">
        <w:t>your</w:t>
      </w:r>
      <w:r w:rsidR="00EE4FC3">
        <w:t xml:space="preserve"> </w:t>
      </w:r>
      <w:r w:rsidR="00B2576B" w:rsidRPr="00382917">
        <w:t>steeds,</w:t>
      </w:r>
      <w:r w:rsidR="00EE4FC3">
        <w:t xml:space="preserve"> </w:t>
      </w:r>
      <w:r w:rsidR="00B2576B" w:rsidRPr="00382917">
        <w:t>O</w:t>
      </w:r>
      <w:r w:rsidR="00EE4FC3">
        <w:t xml:space="preserve"> </w:t>
      </w:r>
      <w:r w:rsidR="00B2576B" w:rsidRPr="00382917">
        <w:t>heroes</w:t>
      </w:r>
      <w:r w:rsidR="00EE4FC3">
        <w:t xml:space="preserve"> </w:t>
      </w:r>
      <w:r w:rsidR="00B2576B" w:rsidRPr="00382917">
        <w:t>of</w:t>
      </w:r>
      <w:r w:rsidR="00EE4FC3">
        <w:t xml:space="preserve"> </w:t>
      </w:r>
      <w:r w:rsidR="00B2576B" w:rsidRPr="00382917">
        <w:t>God!</w:t>
      </w:r>
      <w:r w:rsidRPr="00382917">
        <w:t>”</w:t>
      </w:r>
      <w:r w:rsidR="00EE4FC3">
        <w:t xml:space="preserve"> </w:t>
      </w:r>
      <w:proofErr w:type="gramStart"/>
      <w:r w:rsidR="00B2576B" w:rsidRPr="00382917">
        <w:t>came</w:t>
      </w:r>
      <w:proofErr w:type="gramEnd"/>
      <w:r w:rsidR="00EE4FC3">
        <w:t xml:space="preserve"> </w:t>
      </w:r>
      <w:r w:rsidR="00B2576B" w:rsidRPr="00382917">
        <w:t>the</w:t>
      </w:r>
      <w:r w:rsidR="00EE4FC3">
        <w:t xml:space="preserve"> </w:t>
      </w:r>
      <w:r w:rsidR="00B2576B" w:rsidRPr="00382917">
        <w:t>command</w:t>
      </w:r>
      <w:r w:rsidR="00EE4FC3">
        <w:t xml:space="preserve"> </w:t>
      </w:r>
      <w:r w:rsidR="00B2576B" w:rsidRPr="00382917">
        <w:t>from</w:t>
      </w:r>
      <w:r w:rsidR="00EE4FC3">
        <w:t xml:space="preserve"> </w:t>
      </w:r>
      <w:r w:rsidR="00B2576B" w:rsidRPr="00382917">
        <w:t>Mullá</w:t>
      </w:r>
      <w:r w:rsidR="00EE4FC3">
        <w:t xml:space="preserve"> </w:t>
      </w:r>
      <w:r w:rsidR="00964C11" w:rsidRPr="00382917">
        <w:t>Ḥusayn</w:t>
      </w:r>
      <w:r w:rsidR="00B2576B" w:rsidRPr="00382917">
        <w:t>.</w:t>
      </w:r>
    </w:p>
    <w:p w:rsidR="00B2576B" w:rsidRPr="00382917" w:rsidRDefault="00B2576B" w:rsidP="00B2576B">
      <w:pPr>
        <w:pStyle w:val="Text"/>
      </w:pPr>
      <w:r w:rsidRPr="00382917">
        <w:t>This</w:t>
      </w:r>
      <w:r w:rsidR="00EE4FC3">
        <w:t xml:space="preserve"> </w:t>
      </w:r>
      <w:r w:rsidRPr="00382917">
        <w:t>stirring</w:t>
      </w:r>
      <w:r w:rsidR="00EE4FC3">
        <w:t xml:space="preserve"> </w:t>
      </w:r>
      <w:r w:rsidRPr="00382917">
        <w:t>call</w:t>
      </w:r>
      <w:r w:rsidR="00EE4FC3">
        <w:t xml:space="preserve"> </w:t>
      </w:r>
      <w:r w:rsidRPr="00382917">
        <w:t>rallied</w:t>
      </w:r>
      <w:r w:rsidR="00EE4FC3">
        <w:t xml:space="preserve"> </w:t>
      </w:r>
      <w:r w:rsidRPr="00382917">
        <w:t>all</w:t>
      </w:r>
      <w:r w:rsidR="00EE4FC3">
        <w:t xml:space="preserve"> </w:t>
      </w:r>
      <w:r w:rsidRPr="00382917">
        <w:t>hearts</w:t>
      </w:r>
      <w:r w:rsidR="00A93643">
        <w:t>.</w:t>
      </w:r>
      <w:r w:rsidR="00EE4FC3">
        <w:t xml:space="preserve">  </w:t>
      </w:r>
      <w:r w:rsidRPr="00382917">
        <w:t>Preceded</w:t>
      </w:r>
      <w:r w:rsidR="00EE4FC3">
        <w:t xml:space="preserve"> </w:t>
      </w:r>
      <w:r w:rsidRPr="00382917">
        <w:t>by</w:t>
      </w:r>
      <w:r w:rsidR="00EE4FC3">
        <w:t xml:space="preserve"> </w:t>
      </w:r>
      <w:r w:rsidRPr="00382917">
        <w:t>Quddús,</w:t>
      </w:r>
      <w:r w:rsidR="00EE4FC3">
        <w:t xml:space="preserve"> </w:t>
      </w:r>
      <w:r w:rsidRPr="00382917">
        <w:t>they</w:t>
      </w:r>
      <w:r w:rsidR="00EE4FC3">
        <w:t xml:space="preserve"> </w:t>
      </w:r>
      <w:r w:rsidRPr="00382917">
        <w:t>rushed</w:t>
      </w:r>
      <w:r w:rsidR="00EE4FC3">
        <w:t xml:space="preserve"> </w:t>
      </w:r>
      <w:r w:rsidRPr="00382917">
        <w:t>full</w:t>
      </w:r>
      <w:r w:rsidR="00EE4FC3">
        <w:t xml:space="preserve"> </w:t>
      </w:r>
      <w:r w:rsidRPr="00382917">
        <w:t>charge</w:t>
      </w:r>
      <w:r w:rsidR="00EE4FC3">
        <w:t xml:space="preserve"> </w:t>
      </w:r>
      <w:r w:rsidRPr="00382917">
        <w:t>toward</w:t>
      </w:r>
      <w:r w:rsidR="00EE4FC3">
        <w:t xml:space="preserve"> </w:t>
      </w:r>
      <w:r w:rsidRPr="00382917">
        <w:t>the</w:t>
      </w:r>
      <w:r w:rsidR="00EE4FC3">
        <w:t xml:space="preserve"> </w:t>
      </w:r>
      <w:r w:rsidRPr="00382917">
        <w:t>stronghold</w:t>
      </w:r>
      <w:r w:rsidR="00EE4FC3">
        <w:t xml:space="preserve"> </w:t>
      </w:r>
      <w:r w:rsidRPr="00382917">
        <w:t>of</w:t>
      </w:r>
      <w:r w:rsidR="00EE4FC3">
        <w:t xml:space="preserve"> </w:t>
      </w:r>
      <w:r w:rsidRPr="00382917">
        <w:t>the</w:t>
      </w:r>
      <w:r w:rsidR="00EE4FC3">
        <w:t xml:space="preserve"> </w:t>
      </w:r>
      <w:r w:rsidRPr="00382917">
        <w:t>prince,</w:t>
      </w:r>
      <w:r w:rsidR="00EE4FC3">
        <w:t xml:space="preserve"> </w:t>
      </w:r>
      <w:r w:rsidRPr="00382917">
        <w:t>the</w:t>
      </w:r>
      <w:r w:rsidR="00EE4FC3">
        <w:t xml:space="preserve"> </w:t>
      </w:r>
      <w:r w:rsidRPr="00382917">
        <w:t>leader</w:t>
      </w:r>
      <w:r w:rsidR="00EE4FC3">
        <w:t xml:space="preserve"> </w:t>
      </w:r>
      <w:r w:rsidRPr="00382917">
        <w:t>of</w:t>
      </w:r>
      <w:r w:rsidR="00EE4FC3">
        <w:t xml:space="preserve"> </w:t>
      </w:r>
      <w:r w:rsidRPr="00382917">
        <w:t>the</w:t>
      </w:r>
      <w:r w:rsidR="00EE4FC3">
        <w:t xml:space="preserve"> </w:t>
      </w:r>
      <w:r w:rsidRPr="00382917">
        <w:t>army</w:t>
      </w:r>
      <w:r w:rsidR="00EE4FC3">
        <w:t xml:space="preserve"> </w:t>
      </w:r>
      <w:r w:rsidRPr="00382917">
        <w:t>of</w:t>
      </w:r>
      <w:r w:rsidR="00EE4FC3">
        <w:t xml:space="preserve"> </w:t>
      </w:r>
      <w:r w:rsidRPr="00382917">
        <w:t>the</w:t>
      </w:r>
      <w:r w:rsidR="00EE4FC3">
        <w:t xml:space="preserve"> </w:t>
      </w:r>
      <w:r w:rsidRPr="00382917">
        <w:t>king</w:t>
      </w:r>
      <w:r w:rsidR="00A93643">
        <w:t>.</w:t>
      </w:r>
      <w:r w:rsidR="00EE4FC3">
        <w:t xml:space="preserve">  </w:t>
      </w:r>
      <w:r w:rsidRPr="00382917">
        <w:t>Mullá</w:t>
      </w:r>
      <w:r w:rsidR="00EE4FC3">
        <w:t xml:space="preserve"> </w:t>
      </w:r>
      <w:r w:rsidR="00964C11" w:rsidRPr="00382917">
        <w:t>Ḥusayn</w:t>
      </w:r>
      <w:r w:rsidR="00EE4FC3">
        <w:t xml:space="preserve"> </w:t>
      </w:r>
      <w:r w:rsidRPr="00382917">
        <w:t>thrust</w:t>
      </w:r>
      <w:r w:rsidR="00EE4FC3">
        <w:t xml:space="preserve"> </w:t>
      </w:r>
      <w:r w:rsidRPr="00382917">
        <w:t>his</w:t>
      </w:r>
      <w:r w:rsidR="00EE4FC3">
        <w:t xml:space="preserve"> </w:t>
      </w:r>
      <w:r w:rsidRPr="00382917">
        <w:t>way</w:t>
      </w:r>
      <w:r w:rsidR="00EE4FC3">
        <w:t xml:space="preserve"> </w:t>
      </w:r>
      <w:r w:rsidRPr="00382917">
        <w:t>right</w:t>
      </w:r>
      <w:r w:rsidR="00EE4FC3">
        <w:t xml:space="preserve"> </w:t>
      </w:r>
      <w:r w:rsidRPr="00382917">
        <w:t>into</w:t>
      </w:r>
      <w:r w:rsidR="00EE4FC3">
        <w:t xml:space="preserve"> </w:t>
      </w:r>
      <w:r w:rsidRPr="00382917">
        <w:t>the</w:t>
      </w:r>
      <w:r w:rsidR="00EE4FC3">
        <w:t xml:space="preserve"> </w:t>
      </w:r>
      <w:r w:rsidRPr="00382917">
        <w:t>royal</w:t>
      </w:r>
      <w:r w:rsidR="00EE4FC3">
        <w:t xml:space="preserve"> </w:t>
      </w:r>
      <w:r w:rsidRPr="00382917">
        <w:t>quarters</w:t>
      </w:r>
      <w:r w:rsidR="00A93643">
        <w:t>.</w:t>
      </w:r>
      <w:r w:rsidR="00EE4FC3">
        <w:t xml:space="preserve">  </w:t>
      </w:r>
      <w:r w:rsidRPr="00382917">
        <w:t>The</w:t>
      </w:r>
      <w:r w:rsidR="00EE4FC3">
        <w:t xml:space="preserve"> </w:t>
      </w:r>
      <w:r w:rsidRPr="00382917">
        <w:t>prince</w:t>
      </w:r>
      <w:r w:rsidR="00EE4FC3">
        <w:t xml:space="preserve"> </w:t>
      </w:r>
      <w:r w:rsidRPr="00382917">
        <w:t>had</w:t>
      </w:r>
      <w:r w:rsidR="00EE4FC3">
        <w:t xml:space="preserve"> </w:t>
      </w:r>
      <w:r w:rsidRPr="00382917">
        <w:t>already</w:t>
      </w:r>
      <w:r w:rsidR="00EE4FC3">
        <w:t xml:space="preserve"> </w:t>
      </w:r>
      <w:r w:rsidRPr="00382917">
        <w:t>thrown</w:t>
      </w:r>
      <w:r w:rsidR="00EE4FC3">
        <w:t xml:space="preserve"> </w:t>
      </w:r>
      <w:r w:rsidRPr="00382917">
        <w:t>himself</w:t>
      </w:r>
      <w:r w:rsidR="00EE4FC3">
        <w:t xml:space="preserve"> </w:t>
      </w:r>
      <w:r w:rsidRPr="00382917">
        <w:t>from</w:t>
      </w:r>
      <w:r w:rsidR="00EE4FC3">
        <w:t xml:space="preserve"> </w:t>
      </w:r>
      <w:r w:rsidRPr="00382917">
        <w:t>a</w:t>
      </w:r>
      <w:r w:rsidR="00EE4FC3">
        <w:t xml:space="preserve"> </w:t>
      </w:r>
      <w:r w:rsidRPr="00382917">
        <w:t>back</w:t>
      </w:r>
      <w:r w:rsidR="00EE4FC3">
        <w:t xml:space="preserve"> </w:t>
      </w:r>
      <w:r w:rsidRPr="00382917">
        <w:t>window</w:t>
      </w:r>
      <w:r w:rsidR="00EE4FC3">
        <w:t xml:space="preserve"> </w:t>
      </w:r>
      <w:r w:rsidRPr="00382917">
        <w:t>into</w:t>
      </w:r>
      <w:r w:rsidR="00EE4FC3">
        <w:t xml:space="preserve"> </w:t>
      </w:r>
      <w:r w:rsidRPr="00382917">
        <w:t>the</w:t>
      </w:r>
      <w:r w:rsidR="00EE4FC3">
        <w:t xml:space="preserve"> </w:t>
      </w:r>
      <w:r w:rsidRPr="00382917">
        <w:t>moat,</w:t>
      </w:r>
      <w:r w:rsidR="00EE4FC3">
        <w:t xml:space="preserve"> </w:t>
      </w:r>
      <w:r w:rsidRPr="00382917">
        <w:t>and</w:t>
      </w:r>
      <w:r w:rsidR="00EE4FC3">
        <w:t xml:space="preserve"> </w:t>
      </w:r>
      <w:r w:rsidRPr="00382917">
        <w:t>had</w:t>
      </w:r>
      <w:r w:rsidR="00EE4FC3">
        <w:t xml:space="preserve"> </w:t>
      </w:r>
      <w:r w:rsidRPr="00382917">
        <w:t>escaped</w:t>
      </w:r>
      <w:r w:rsidR="00EE4FC3">
        <w:t xml:space="preserve"> </w:t>
      </w:r>
      <w:r w:rsidRPr="00382917">
        <w:t>barefooted,</w:t>
      </w:r>
      <w:r w:rsidR="00EE4FC3">
        <w:t xml:space="preserve"> </w:t>
      </w:r>
      <w:r w:rsidRPr="00382917">
        <w:t>leaving</w:t>
      </w:r>
      <w:r w:rsidR="00EE4FC3">
        <w:t xml:space="preserve"> </w:t>
      </w:r>
      <w:r w:rsidRPr="00382917">
        <w:t>the</w:t>
      </w:r>
      <w:r w:rsidR="00EE4FC3">
        <w:t xml:space="preserve"> </w:t>
      </w:r>
      <w:r w:rsidRPr="00382917">
        <w:t>army</w:t>
      </w:r>
      <w:r w:rsidR="00EE4FC3">
        <w:t xml:space="preserve"> </w:t>
      </w:r>
      <w:r w:rsidRPr="00382917">
        <w:t>bewildered</w:t>
      </w:r>
      <w:r w:rsidR="00EE4FC3">
        <w:t xml:space="preserve"> </w:t>
      </w:r>
      <w:r w:rsidRPr="00382917">
        <w:t>and</w:t>
      </w:r>
      <w:r w:rsidR="00EE4FC3">
        <w:t xml:space="preserve"> </w:t>
      </w:r>
      <w:r w:rsidRPr="00382917">
        <w:t>routed</w:t>
      </w:r>
      <w:r w:rsidR="00EE4FC3">
        <w:t xml:space="preserve"> </w:t>
      </w:r>
      <w:r w:rsidRPr="00382917">
        <w:t>by</w:t>
      </w:r>
      <w:r w:rsidR="00EE4FC3">
        <w:t xml:space="preserve"> </w:t>
      </w:r>
      <w:r w:rsidRPr="00382917">
        <w:t>a</w:t>
      </w:r>
      <w:r w:rsidR="00EE4FC3">
        <w:t xml:space="preserve"> </w:t>
      </w:r>
      <w:r w:rsidRPr="00382917">
        <w:t>handful</w:t>
      </w:r>
      <w:r w:rsidR="00EE4FC3">
        <w:t xml:space="preserve"> </w:t>
      </w:r>
      <w:r w:rsidRPr="00382917">
        <w:t>of</w:t>
      </w:r>
      <w:r w:rsidR="00EE4FC3">
        <w:t xml:space="preserve"> </w:t>
      </w:r>
      <w:r w:rsidRPr="00382917">
        <w:t>Mullá</w:t>
      </w:r>
      <w:r w:rsidR="00EE4FC3">
        <w:t xml:space="preserve"> </w:t>
      </w:r>
      <w:proofErr w:type="spellStart"/>
      <w:r w:rsidR="00964C11" w:rsidRPr="00382917">
        <w:t>Ḥusayn</w:t>
      </w:r>
      <w:r w:rsidR="009C713D" w:rsidRPr="00382917">
        <w:t>’</w:t>
      </w:r>
      <w:r w:rsidRPr="00382917">
        <w:t>s</w:t>
      </w:r>
      <w:proofErr w:type="spellEnd"/>
      <w:r w:rsidR="00EE4FC3">
        <w:t xml:space="preserve"> </w:t>
      </w:r>
      <w:r w:rsidRPr="00382917">
        <w:t>companions.</w:t>
      </w:r>
    </w:p>
    <w:p w:rsidR="00B2576B" w:rsidRPr="00382917" w:rsidRDefault="00B2576B" w:rsidP="00B2576B">
      <w:pPr>
        <w:pStyle w:val="Text"/>
      </w:pPr>
      <w:r w:rsidRPr="00382917">
        <w:t>Comte</w:t>
      </w:r>
      <w:r w:rsidR="00EE4FC3">
        <w:t xml:space="preserve"> </w:t>
      </w:r>
      <w:r w:rsidRPr="00382917">
        <w:t>de</w:t>
      </w:r>
      <w:r w:rsidR="00EE4FC3">
        <w:t xml:space="preserve"> </w:t>
      </w:r>
      <w:proofErr w:type="spellStart"/>
      <w:r w:rsidRPr="00382917">
        <w:t>Gobineau</w:t>
      </w:r>
      <w:proofErr w:type="spellEnd"/>
      <w:r w:rsidR="00EE4FC3">
        <w:t xml:space="preserve"> </w:t>
      </w:r>
      <w:r w:rsidRPr="00382917">
        <w:t>in</w:t>
      </w:r>
      <w:r w:rsidR="00EE4FC3">
        <w:t xml:space="preserve"> </w:t>
      </w:r>
      <w:r w:rsidRPr="00382917">
        <w:t>his</w:t>
      </w:r>
      <w:r w:rsidR="00EE4FC3">
        <w:t xml:space="preserve"> </w:t>
      </w:r>
      <w:r w:rsidRPr="00382917">
        <w:t>account</w:t>
      </w:r>
      <w:r w:rsidR="00EE4FC3">
        <w:t xml:space="preserve"> </w:t>
      </w:r>
      <w:r w:rsidRPr="00382917">
        <w:t>states</w:t>
      </w:r>
      <w:r w:rsidR="00EE4FC3">
        <w:t xml:space="preserve"> </w:t>
      </w:r>
      <w:r w:rsidRPr="00382917">
        <w:t>that</w:t>
      </w:r>
      <w:r w:rsidR="00EE4FC3">
        <w:t xml:space="preserve"> </w:t>
      </w:r>
      <w:r w:rsidR="009C713D" w:rsidRPr="00382917">
        <w:t>“</w:t>
      </w:r>
      <w:r w:rsidRPr="00382917">
        <w:t>in</w:t>
      </w:r>
      <w:r w:rsidR="00EE4FC3">
        <w:t xml:space="preserve"> </w:t>
      </w:r>
      <w:r w:rsidRPr="00382917">
        <w:t>a</w:t>
      </w:r>
      <w:r w:rsidR="00EE4FC3">
        <w:t xml:space="preserve"> </w:t>
      </w:r>
      <w:r w:rsidRPr="00382917">
        <w:t>few</w:t>
      </w:r>
      <w:r w:rsidR="00EE4FC3">
        <w:t xml:space="preserve"> </w:t>
      </w:r>
      <w:r w:rsidRPr="00382917">
        <w:t>moments</w:t>
      </w:r>
      <w:r w:rsidR="00EE4FC3">
        <w:t xml:space="preserve"> </w:t>
      </w:r>
      <w:r w:rsidRPr="00382917">
        <w:t>his</w:t>
      </w:r>
      <w:r w:rsidR="00EE4FC3">
        <w:t xml:space="preserve"> </w:t>
      </w:r>
      <w:r w:rsidRPr="00382917">
        <w:t>[the</w:t>
      </w:r>
      <w:r w:rsidR="00EE4FC3">
        <w:t xml:space="preserve"> </w:t>
      </w:r>
      <w:r w:rsidRPr="00382917">
        <w:t>prince</w:t>
      </w:r>
      <w:r w:rsidR="009C713D" w:rsidRPr="00382917">
        <w:t>’</w:t>
      </w:r>
      <w:r w:rsidRPr="00382917">
        <w:t>s]</w:t>
      </w:r>
      <w:r w:rsidR="00EE4FC3">
        <w:t xml:space="preserve"> </w:t>
      </w:r>
      <w:r w:rsidRPr="00382917">
        <w:t>army</w:t>
      </w:r>
      <w:r w:rsidR="00EE4FC3">
        <w:t xml:space="preserve"> </w:t>
      </w:r>
      <w:r w:rsidRPr="00382917">
        <w:t>already</w:t>
      </w:r>
      <w:r w:rsidR="00EE4FC3">
        <w:t xml:space="preserve"> </w:t>
      </w:r>
      <w:r w:rsidRPr="00382917">
        <w:t>in</w:t>
      </w:r>
      <w:r w:rsidR="00EE4FC3">
        <w:t xml:space="preserve"> </w:t>
      </w:r>
      <w:r w:rsidRPr="00382917">
        <w:t>such</w:t>
      </w:r>
      <w:r w:rsidR="00EE4FC3">
        <w:t xml:space="preserve"> </w:t>
      </w:r>
      <w:r w:rsidRPr="00382917">
        <w:t>confusion,</w:t>
      </w:r>
      <w:r w:rsidR="00EE4FC3">
        <w:t xml:space="preserve"> </w:t>
      </w:r>
      <w:r w:rsidRPr="00382917">
        <w:t>was</w:t>
      </w:r>
      <w:r w:rsidR="00EE4FC3">
        <w:t xml:space="preserve"> </w:t>
      </w:r>
      <w:r w:rsidRPr="00382917">
        <w:t>scattered</w:t>
      </w:r>
      <w:r w:rsidR="00EE4FC3">
        <w:t xml:space="preserve"> </w:t>
      </w:r>
      <w:r w:rsidRPr="00382917">
        <w:t>by</w:t>
      </w:r>
      <w:r w:rsidR="00EE4FC3">
        <w:t xml:space="preserve"> </w:t>
      </w:r>
      <w:r w:rsidRPr="00382917">
        <w:t>the</w:t>
      </w:r>
      <w:r w:rsidR="00EE4FC3">
        <w:t xml:space="preserve"> </w:t>
      </w:r>
      <w:r w:rsidRPr="00382917">
        <w:t>three</w:t>
      </w:r>
      <w:r w:rsidR="00EE4FC3">
        <w:t xml:space="preserve"> </w:t>
      </w:r>
      <w:r w:rsidRPr="00382917">
        <w:t>hundred</w:t>
      </w:r>
      <w:r w:rsidR="00EE4FC3">
        <w:t xml:space="preserve"> </w:t>
      </w:r>
      <w:r w:rsidRPr="00382917">
        <w:t>men</w:t>
      </w:r>
      <w:r w:rsidR="00EE4FC3">
        <w:t xml:space="preserve"> </w:t>
      </w:r>
      <w:r w:rsidRPr="00382917">
        <w:t>of</w:t>
      </w:r>
      <w:r w:rsidR="00EE4FC3">
        <w:t xml:space="preserve"> </w:t>
      </w:r>
      <w:r w:rsidRPr="00382917">
        <w:t>Mullá</w:t>
      </w:r>
      <w:r w:rsidR="00EE4FC3">
        <w:t xml:space="preserve"> </w:t>
      </w:r>
      <w:r w:rsidR="00964C11" w:rsidRPr="00382917">
        <w:t>Ḥusayn</w:t>
      </w:r>
      <w:proofErr w:type="gramStart"/>
      <w:r w:rsidRPr="00382917">
        <w:t>!</w:t>
      </w:r>
      <w:r w:rsidR="00EE4FC3">
        <w:t xml:space="preserve"> </w:t>
      </w:r>
      <w:proofErr w:type="gramEnd"/>
      <w:r w:rsidRPr="00382917">
        <w:t>Was</w:t>
      </w:r>
      <w:r w:rsidR="00EE4FC3">
        <w:t xml:space="preserve"> </w:t>
      </w:r>
      <w:r w:rsidRPr="00382917">
        <w:t>not</w:t>
      </w:r>
      <w:r w:rsidR="00EE4FC3">
        <w:t xml:space="preserve"> </w:t>
      </w:r>
      <w:r w:rsidRPr="00382917">
        <w:t>this</w:t>
      </w:r>
      <w:r w:rsidR="00EE4FC3">
        <w:t xml:space="preserve"> </w:t>
      </w:r>
      <w:r w:rsidRPr="00382917">
        <w:t>the</w:t>
      </w:r>
      <w:r w:rsidR="00EE4FC3">
        <w:t xml:space="preserve"> </w:t>
      </w:r>
      <w:r w:rsidRPr="00382917">
        <w:t>sword</w:t>
      </w:r>
      <w:r w:rsidR="00EE4FC3">
        <w:t xml:space="preserve"> </w:t>
      </w:r>
      <w:r w:rsidRPr="00382917">
        <w:t>of</w:t>
      </w:r>
      <w:r w:rsidR="00EE4FC3">
        <w:t xml:space="preserve"> </w:t>
      </w:r>
      <w:r w:rsidRPr="00382917">
        <w:t>the</w:t>
      </w:r>
      <w:r w:rsidR="00EE4FC3">
        <w:t xml:space="preserve"> </w:t>
      </w:r>
      <w:r w:rsidRPr="00382917">
        <w:t>Lord</w:t>
      </w:r>
      <w:r w:rsidR="00EE4FC3">
        <w:t xml:space="preserve"> </w:t>
      </w:r>
      <w:r w:rsidRPr="00382917">
        <w:t>and</w:t>
      </w:r>
      <w:r w:rsidR="00EE4FC3">
        <w:t xml:space="preserve"> </w:t>
      </w:r>
      <w:r w:rsidRPr="00382917">
        <w:t>of</w:t>
      </w:r>
      <w:r w:rsidR="00EE4FC3">
        <w:t xml:space="preserve"> </w:t>
      </w:r>
      <w:r w:rsidRPr="00382917">
        <w:t>Gideon?</w:t>
      </w:r>
      <w:r w:rsidR="009C713D" w:rsidRPr="00382917">
        <w:t>”</w:t>
      </w:r>
    </w:p>
    <w:p w:rsidR="00B2576B" w:rsidRPr="00382917" w:rsidRDefault="00B2576B" w:rsidP="00B2576B">
      <w:pPr>
        <w:pStyle w:val="Text"/>
      </w:pPr>
      <w:r w:rsidRPr="00382917">
        <w:t>In</w:t>
      </w:r>
      <w:r w:rsidR="00EE4FC3">
        <w:t xml:space="preserve"> </w:t>
      </w:r>
      <w:r w:rsidRPr="00382917">
        <w:t>the</w:t>
      </w:r>
      <w:r w:rsidR="00EE4FC3">
        <w:t xml:space="preserve"> </w:t>
      </w:r>
      <w:r w:rsidRPr="00382917">
        <w:t>prince</w:t>
      </w:r>
      <w:r w:rsidR="009C713D" w:rsidRPr="00382917">
        <w:t>’</w:t>
      </w:r>
      <w:r w:rsidRPr="00382917">
        <w:t>s</w:t>
      </w:r>
      <w:r w:rsidR="00EE4FC3">
        <w:t xml:space="preserve"> </w:t>
      </w:r>
      <w:r w:rsidRPr="00382917">
        <w:t>quarters,</w:t>
      </w:r>
      <w:r w:rsidR="00EE4FC3">
        <w:t xml:space="preserve"> </w:t>
      </w:r>
      <w:r w:rsidRPr="00382917">
        <w:t>the</w:t>
      </w:r>
      <w:r w:rsidR="00EE4FC3">
        <w:t xml:space="preserve"> </w:t>
      </w:r>
      <w:r w:rsidRPr="00382917">
        <w:t>companions</w:t>
      </w:r>
      <w:r w:rsidR="00EE4FC3">
        <w:t xml:space="preserve"> </w:t>
      </w:r>
      <w:r w:rsidRPr="00382917">
        <w:t>found</w:t>
      </w:r>
      <w:r w:rsidR="00EE4FC3">
        <w:t xml:space="preserve"> </w:t>
      </w:r>
      <w:r w:rsidRPr="00382917">
        <w:t>coffers</w:t>
      </w:r>
      <w:r w:rsidR="00EE4FC3">
        <w:t xml:space="preserve"> </w:t>
      </w:r>
      <w:r w:rsidRPr="00382917">
        <w:t>filled</w:t>
      </w:r>
      <w:r w:rsidR="00EE4FC3">
        <w:t xml:space="preserve"> </w:t>
      </w:r>
      <w:r w:rsidRPr="00382917">
        <w:t>with</w:t>
      </w:r>
      <w:r w:rsidR="00EE4FC3">
        <w:t xml:space="preserve"> </w:t>
      </w:r>
      <w:r w:rsidRPr="00382917">
        <w:t>gold</w:t>
      </w:r>
      <w:r w:rsidR="00EE4FC3">
        <w:t xml:space="preserve"> </w:t>
      </w:r>
      <w:r w:rsidRPr="00382917">
        <w:t>and</w:t>
      </w:r>
      <w:r w:rsidR="00EE4FC3">
        <w:t xml:space="preserve"> </w:t>
      </w:r>
      <w:r w:rsidRPr="00382917">
        <w:t>silver</w:t>
      </w:r>
      <w:r w:rsidR="00A93643">
        <w:t>.</w:t>
      </w:r>
      <w:r w:rsidR="00EE4FC3">
        <w:t xml:space="preserve">  </w:t>
      </w:r>
      <w:r w:rsidRPr="00382917">
        <w:t>They</w:t>
      </w:r>
      <w:r w:rsidR="00EE4FC3">
        <w:t xml:space="preserve"> </w:t>
      </w:r>
      <w:r w:rsidRPr="00382917">
        <w:t>looked</w:t>
      </w:r>
      <w:r w:rsidR="00EE4FC3">
        <w:t xml:space="preserve"> </w:t>
      </w:r>
      <w:r w:rsidRPr="00382917">
        <w:t>at</w:t>
      </w:r>
      <w:r w:rsidR="00EE4FC3">
        <w:t xml:space="preserve"> </w:t>
      </w:r>
      <w:r w:rsidRPr="00382917">
        <w:t>them,</w:t>
      </w:r>
      <w:r w:rsidR="00EE4FC3">
        <w:t xml:space="preserve"> </w:t>
      </w:r>
      <w:r w:rsidRPr="00382917">
        <w:t>then</w:t>
      </w:r>
      <w:r w:rsidR="00EE4FC3">
        <w:t xml:space="preserve"> </w:t>
      </w:r>
      <w:r w:rsidRPr="00382917">
        <w:t>left</w:t>
      </w:r>
      <w:r w:rsidR="00EE4FC3">
        <w:t xml:space="preserve"> </w:t>
      </w:r>
      <w:r w:rsidRPr="00382917">
        <w:t>them</w:t>
      </w:r>
      <w:r w:rsidR="00EE4FC3">
        <w:t xml:space="preserve"> </w:t>
      </w:r>
      <w:r w:rsidRPr="00382917">
        <w:t>behind,</w:t>
      </w:r>
      <w:r w:rsidR="00EE4FC3">
        <w:t xml:space="preserve"> </w:t>
      </w:r>
      <w:r w:rsidRPr="00382917">
        <w:t>taking</w:t>
      </w:r>
      <w:r w:rsidR="00EE4FC3">
        <w:t xml:space="preserve"> </w:t>
      </w:r>
      <w:r w:rsidRPr="00382917">
        <w:t>only</w:t>
      </w:r>
      <w:r w:rsidR="00EE4FC3">
        <w:t xml:space="preserve"> </w:t>
      </w:r>
      <w:r w:rsidRPr="00382917">
        <w:t>the</w:t>
      </w:r>
      <w:r w:rsidR="00EE4FC3">
        <w:t xml:space="preserve"> </w:t>
      </w:r>
      <w:r w:rsidRPr="00382917">
        <w:t>abandoned</w:t>
      </w:r>
      <w:r w:rsidR="00EE4FC3">
        <w:t xml:space="preserve"> </w:t>
      </w:r>
      <w:r w:rsidRPr="00382917">
        <w:t>sword</w:t>
      </w:r>
      <w:r w:rsidR="00EE4FC3">
        <w:t xml:space="preserve"> </w:t>
      </w:r>
      <w:r w:rsidRPr="00382917">
        <w:t>of</w:t>
      </w:r>
      <w:r w:rsidR="00EE4FC3">
        <w:t xml:space="preserve"> </w:t>
      </w:r>
      <w:r w:rsidRPr="00382917">
        <w:t>the</w:t>
      </w:r>
      <w:r w:rsidR="00EE4FC3">
        <w:t xml:space="preserve"> </w:t>
      </w:r>
      <w:r w:rsidRPr="00382917">
        <w:t>prince</w:t>
      </w:r>
      <w:r w:rsidR="00EE4FC3">
        <w:t xml:space="preserve"> </w:t>
      </w:r>
      <w:r w:rsidRPr="00382917">
        <w:t>which</w:t>
      </w:r>
      <w:r w:rsidR="00EE4FC3">
        <w:t xml:space="preserve"> </w:t>
      </w:r>
      <w:r w:rsidRPr="00382917">
        <w:t>they</w:t>
      </w:r>
      <w:r w:rsidR="00EE4FC3">
        <w:t xml:space="preserve"> </w:t>
      </w:r>
      <w:r w:rsidRPr="00382917">
        <w:t>gave</w:t>
      </w:r>
      <w:r w:rsidR="00EE4FC3">
        <w:t xml:space="preserve"> </w:t>
      </w:r>
      <w:r w:rsidRPr="00382917">
        <w:t>to</w:t>
      </w:r>
      <w:r w:rsidR="00EE4FC3">
        <w:t xml:space="preserve"> </w:t>
      </w:r>
      <w:r w:rsidRPr="00382917">
        <w:t>Mullá</w:t>
      </w:r>
      <w:r w:rsidR="00EE4FC3">
        <w:t xml:space="preserve"> </w:t>
      </w:r>
      <w:r w:rsidR="00964C11" w:rsidRPr="00382917">
        <w:t>Ḥusayn</w:t>
      </w:r>
      <w:r w:rsidR="00EE4FC3">
        <w:t xml:space="preserve"> </w:t>
      </w:r>
      <w:r w:rsidRPr="00382917">
        <w:t>whose</w:t>
      </w:r>
      <w:r w:rsidR="00EE4FC3">
        <w:t xml:space="preserve"> </w:t>
      </w:r>
      <w:r w:rsidRPr="00382917">
        <w:t>own</w:t>
      </w:r>
      <w:r w:rsidR="00EE4FC3">
        <w:t xml:space="preserve"> </w:t>
      </w:r>
      <w:r w:rsidRPr="00382917">
        <w:t>sword</w:t>
      </w:r>
      <w:r w:rsidR="00EE4FC3">
        <w:t xml:space="preserve"> </w:t>
      </w:r>
      <w:r w:rsidRPr="00382917">
        <w:t>had</w:t>
      </w:r>
      <w:r w:rsidR="00EE4FC3">
        <w:t xml:space="preserve"> </w:t>
      </w:r>
      <w:r w:rsidRPr="00382917">
        <w:t>been</w:t>
      </w:r>
      <w:r w:rsidR="00EE4FC3">
        <w:t xml:space="preserve"> </w:t>
      </w:r>
      <w:r w:rsidRPr="00382917">
        <w:t>struck</w:t>
      </w:r>
      <w:r w:rsidR="00EE4FC3">
        <w:t xml:space="preserve"> </w:t>
      </w:r>
      <w:r w:rsidRPr="00382917">
        <w:t>by</w:t>
      </w:r>
      <w:r w:rsidR="00EE4FC3">
        <w:t xml:space="preserve"> </w:t>
      </w:r>
      <w:r w:rsidRPr="00382917">
        <w:t>a</w:t>
      </w:r>
      <w:r w:rsidR="00EE4FC3">
        <w:t xml:space="preserve"> </w:t>
      </w:r>
      <w:r w:rsidRPr="00382917">
        <w:t>bullet.</w:t>
      </w:r>
    </w:p>
    <w:p w:rsidR="00B2576B" w:rsidRPr="00382917" w:rsidRDefault="00B2576B">
      <w:pPr>
        <w:widowControl/>
        <w:kinsoku/>
        <w:overflowPunct/>
        <w:textAlignment w:val="auto"/>
      </w:pPr>
      <w:r w:rsidRPr="00382917">
        <w:br w:type="page"/>
      </w:r>
    </w:p>
    <w:p w:rsidR="00B2576B" w:rsidRPr="00382917" w:rsidRDefault="00B2576B" w:rsidP="00B2576B">
      <w:pPr>
        <w:pStyle w:val="Text"/>
      </w:pPr>
      <w:r w:rsidRPr="00382917">
        <w:t>A</w:t>
      </w:r>
      <w:r w:rsidR="00EE4FC3">
        <w:t xml:space="preserve"> </w:t>
      </w:r>
      <w:r w:rsidRPr="00382917">
        <w:t>detachment</w:t>
      </w:r>
      <w:r w:rsidR="00EE4FC3">
        <w:t xml:space="preserve"> </w:t>
      </w:r>
      <w:r w:rsidRPr="00382917">
        <w:t>of</w:t>
      </w:r>
      <w:r w:rsidR="00EE4FC3">
        <w:t xml:space="preserve"> </w:t>
      </w:r>
      <w:r w:rsidRPr="00382917">
        <w:t>soldiers,</w:t>
      </w:r>
      <w:r w:rsidR="00EE4FC3">
        <w:t xml:space="preserve"> </w:t>
      </w:r>
      <w:r w:rsidRPr="00382917">
        <w:t>meanwhile,</w:t>
      </w:r>
      <w:r w:rsidR="00EE4FC3">
        <w:t xml:space="preserve"> </w:t>
      </w:r>
      <w:r w:rsidRPr="00382917">
        <w:t>surrounded</w:t>
      </w:r>
      <w:r w:rsidR="00EE4FC3">
        <w:t xml:space="preserve"> </w:t>
      </w:r>
      <w:r w:rsidRPr="00382917">
        <w:t>Quddús</w:t>
      </w:r>
      <w:r w:rsidR="00EE4FC3">
        <w:t xml:space="preserve"> </w:t>
      </w:r>
      <w:r w:rsidRPr="00382917">
        <w:t>and</w:t>
      </w:r>
      <w:r w:rsidR="00EE4FC3">
        <w:t xml:space="preserve"> </w:t>
      </w:r>
      <w:r w:rsidRPr="00382917">
        <w:t>fired</w:t>
      </w:r>
      <w:r w:rsidR="00EE4FC3">
        <w:t xml:space="preserve"> </w:t>
      </w:r>
      <w:r w:rsidRPr="00382917">
        <w:t>a</w:t>
      </w:r>
      <w:r w:rsidR="00EE4FC3">
        <w:t xml:space="preserve"> </w:t>
      </w:r>
      <w:r w:rsidRPr="00382917">
        <w:t>volley</w:t>
      </w:r>
      <w:r w:rsidR="00EE4FC3">
        <w:t xml:space="preserve"> </w:t>
      </w:r>
      <w:r w:rsidRPr="00382917">
        <w:t>at</w:t>
      </w:r>
      <w:r w:rsidR="00EE4FC3">
        <w:t xml:space="preserve"> </w:t>
      </w:r>
      <w:r w:rsidRPr="00382917">
        <w:t>him,</w:t>
      </w:r>
      <w:r w:rsidR="00EE4FC3">
        <w:t xml:space="preserve"> </w:t>
      </w:r>
      <w:r w:rsidRPr="00382917">
        <w:t>wounding</w:t>
      </w:r>
      <w:r w:rsidR="00EE4FC3">
        <w:t xml:space="preserve"> </w:t>
      </w:r>
      <w:r w:rsidRPr="00382917">
        <w:t>him</w:t>
      </w:r>
      <w:r w:rsidR="00EE4FC3">
        <w:t xml:space="preserve"> </w:t>
      </w:r>
      <w:r w:rsidRPr="00382917">
        <w:t>in</w:t>
      </w:r>
      <w:r w:rsidR="00EE4FC3">
        <w:t xml:space="preserve"> </w:t>
      </w:r>
      <w:r w:rsidRPr="00382917">
        <w:t>the</w:t>
      </w:r>
      <w:r w:rsidR="00EE4FC3">
        <w:t xml:space="preserve"> </w:t>
      </w:r>
      <w:r w:rsidRPr="00382917">
        <w:t>mouth</w:t>
      </w:r>
      <w:r w:rsidR="00EE4FC3">
        <w:t xml:space="preserve"> </w:t>
      </w:r>
      <w:r w:rsidRPr="00382917">
        <w:t>and</w:t>
      </w:r>
      <w:r w:rsidR="00EE4FC3">
        <w:t xml:space="preserve"> </w:t>
      </w:r>
      <w:r w:rsidRPr="00382917">
        <w:t>throat</w:t>
      </w:r>
      <w:r w:rsidR="00A93643">
        <w:t>.</w:t>
      </w:r>
      <w:r w:rsidR="00EE4FC3">
        <w:t xml:space="preserve">  </w:t>
      </w:r>
      <w:r w:rsidRPr="00382917">
        <w:t>Mullá</w:t>
      </w:r>
      <w:r w:rsidR="00EE4FC3">
        <w:t xml:space="preserve"> </w:t>
      </w:r>
      <w:r w:rsidR="00964C11" w:rsidRPr="00382917">
        <w:t>Ḥusayn</w:t>
      </w:r>
      <w:r w:rsidR="00EE4FC3">
        <w:t xml:space="preserve"> </w:t>
      </w:r>
      <w:r w:rsidRPr="00382917">
        <w:t>rushed</w:t>
      </w:r>
      <w:r w:rsidR="00EE4FC3">
        <w:t xml:space="preserve"> </w:t>
      </w:r>
      <w:r w:rsidRPr="00382917">
        <w:t>to</w:t>
      </w:r>
      <w:r w:rsidR="00EE4FC3">
        <w:t xml:space="preserve"> </w:t>
      </w:r>
      <w:r w:rsidRPr="00382917">
        <w:t>his</w:t>
      </w:r>
      <w:r w:rsidR="00EE4FC3">
        <w:t xml:space="preserve"> </w:t>
      </w:r>
      <w:r w:rsidRPr="00382917">
        <w:t>aid</w:t>
      </w:r>
      <w:r w:rsidR="00A93643">
        <w:t>.</w:t>
      </w:r>
      <w:r w:rsidR="00EE4FC3">
        <w:t xml:space="preserve">  </w:t>
      </w:r>
      <w:r w:rsidRPr="00382917">
        <w:t>He</w:t>
      </w:r>
      <w:r w:rsidR="00EE4FC3">
        <w:t xml:space="preserve"> </w:t>
      </w:r>
      <w:r w:rsidRPr="00382917">
        <w:t>seized</w:t>
      </w:r>
      <w:r w:rsidR="00EE4FC3">
        <w:t xml:space="preserve"> </w:t>
      </w:r>
      <w:r w:rsidRPr="00382917">
        <w:t>the</w:t>
      </w:r>
      <w:r w:rsidR="00EE4FC3">
        <w:t xml:space="preserve"> </w:t>
      </w:r>
      <w:r w:rsidRPr="00382917">
        <w:t>sword</w:t>
      </w:r>
      <w:r w:rsidR="00EE4FC3">
        <w:t xml:space="preserve"> </w:t>
      </w:r>
      <w:r w:rsidRPr="00382917">
        <w:t>of</w:t>
      </w:r>
      <w:r w:rsidR="00EE4FC3">
        <w:t xml:space="preserve"> </w:t>
      </w:r>
      <w:r w:rsidRPr="00382917">
        <w:t>Quddús,</w:t>
      </w:r>
      <w:r w:rsidR="00EE4FC3">
        <w:t xml:space="preserve"> </w:t>
      </w:r>
      <w:r w:rsidRPr="00382917">
        <w:t>and</w:t>
      </w:r>
      <w:r w:rsidR="00EE4FC3">
        <w:t xml:space="preserve"> </w:t>
      </w:r>
      <w:r w:rsidRPr="00382917">
        <w:t>brandishing</w:t>
      </w:r>
      <w:r w:rsidR="00EE4FC3">
        <w:t xml:space="preserve"> </w:t>
      </w:r>
      <w:r w:rsidRPr="00382917">
        <w:t>this</w:t>
      </w:r>
      <w:r w:rsidR="00EE4FC3">
        <w:t xml:space="preserve"> </w:t>
      </w:r>
      <w:r w:rsidRPr="00382917">
        <w:t>blade</w:t>
      </w:r>
      <w:r w:rsidR="00EE4FC3">
        <w:t xml:space="preserve"> </w:t>
      </w:r>
      <w:r w:rsidRPr="00382917">
        <w:t>in</w:t>
      </w:r>
      <w:r w:rsidR="00EE4FC3">
        <w:t xml:space="preserve"> </w:t>
      </w:r>
      <w:r w:rsidRPr="00382917">
        <w:t>one</w:t>
      </w:r>
      <w:r w:rsidR="00EE4FC3">
        <w:t xml:space="preserve"> </w:t>
      </w:r>
      <w:r w:rsidRPr="00382917">
        <w:t>hand</w:t>
      </w:r>
      <w:r w:rsidR="00EE4FC3">
        <w:t xml:space="preserve"> </w:t>
      </w:r>
      <w:r w:rsidRPr="00382917">
        <w:t>and</w:t>
      </w:r>
      <w:r w:rsidR="00EE4FC3">
        <w:t xml:space="preserve"> </w:t>
      </w:r>
      <w:r w:rsidRPr="00382917">
        <w:t>the</w:t>
      </w:r>
      <w:r w:rsidR="00EE4FC3">
        <w:t xml:space="preserve"> </w:t>
      </w:r>
      <w:r w:rsidRPr="00382917">
        <w:t>captured</w:t>
      </w:r>
      <w:r w:rsidR="00EE4FC3">
        <w:t xml:space="preserve"> </w:t>
      </w:r>
      <w:r w:rsidRPr="00382917">
        <w:t>sword</w:t>
      </w:r>
      <w:r w:rsidR="00EE4FC3">
        <w:t xml:space="preserve"> </w:t>
      </w:r>
      <w:r w:rsidRPr="00382917">
        <w:t>of</w:t>
      </w:r>
      <w:r w:rsidR="00EE4FC3">
        <w:t xml:space="preserve"> </w:t>
      </w:r>
      <w:r w:rsidRPr="00382917">
        <w:t>the</w:t>
      </w:r>
      <w:r w:rsidR="00EE4FC3">
        <w:t xml:space="preserve"> </w:t>
      </w:r>
      <w:r w:rsidRPr="00382917">
        <w:t>prince</w:t>
      </w:r>
      <w:r w:rsidR="00EE4FC3">
        <w:t xml:space="preserve"> </w:t>
      </w:r>
      <w:r w:rsidRPr="00382917">
        <w:t>in</w:t>
      </w:r>
      <w:r w:rsidR="00EE4FC3">
        <w:t xml:space="preserve"> </w:t>
      </w:r>
      <w:r w:rsidRPr="00382917">
        <w:t>the</w:t>
      </w:r>
      <w:r w:rsidR="00EE4FC3">
        <w:t xml:space="preserve"> </w:t>
      </w:r>
      <w:proofErr w:type="gramStart"/>
      <w:r w:rsidRPr="00382917">
        <w:t>other,</w:t>
      </w:r>
      <w:proofErr w:type="gramEnd"/>
      <w:r w:rsidR="00EE4FC3">
        <w:t xml:space="preserve"> </w:t>
      </w:r>
      <w:r w:rsidRPr="00382917">
        <w:t>he</w:t>
      </w:r>
      <w:r w:rsidR="00EE4FC3">
        <w:t xml:space="preserve"> </w:t>
      </w:r>
      <w:r w:rsidRPr="00382917">
        <w:t>attacked</w:t>
      </w:r>
      <w:r w:rsidR="00EE4FC3">
        <w:t xml:space="preserve"> </w:t>
      </w:r>
      <w:r w:rsidRPr="00382917">
        <w:t>the</w:t>
      </w:r>
      <w:r w:rsidR="00EE4FC3">
        <w:t xml:space="preserve"> </w:t>
      </w:r>
      <w:r w:rsidRPr="00382917">
        <w:t>enemy</w:t>
      </w:r>
      <w:r w:rsidR="00EE4FC3">
        <w:t xml:space="preserve"> </w:t>
      </w:r>
      <w:r w:rsidRPr="00382917">
        <w:t>and</w:t>
      </w:r>
      <w:r w:rsidR="00EE4FC3">
        <w:t xml:space="preserve"> </w:t>
      </w:r>
      <w:r w:rsidRPr="00382917">
        <w:t>aided</w:t>
      </w:r>
      <w:r w:rsidR="00EE4FC3">
        <w:t xml:space="preserve"> </w:t>
      </w:r>
      <w:r w:rsidRPr="00382917">
        <w:t>by</w:t>
      </w:r>
      <w:r w:rsidR="00EE4FC3">
        <w:t xml:space="preserve"> </w:t>
      </w:r>
      <w:r w:rsidRPr="00382917">
        <w:t>one</w:t>
      </w:r>
      <w:r w:rsidR="00EE4FC3">
        <w:t xml:space="preserve"> </w:t>
      </w:r>
      <w:r w:rsidRPr="00382917">
        <w:t>hundred</w:t>
      </w:r>
      <w:r w:rsidR="00EE4FC3">
        <w:t xml:space="preserve"> </w:t>
      </w:r>
      <w:r w:rsidRPr="00382917">
        <w:t>and</w:t>
      </w:r>
      <w:r w:rsidR="00EE4FC3">
        <w:t xml:space="preserve"> </w:t>
      </w:r>
      <w:r w:rsidRPr="00382917">
        <w:t>ten</w:t>
      </w:r>
      <w:r w:rsidR="00EE4FC3">
        <w:t xml:space="preserve"> </w:t>
      </w:r>
      <w:r w:rsidRPr="00382917">
        <w:t>of</w:t>
      </w:r>
      <w:r w:rsidR="00EE4FC3">
        <w:t xml:space="preserve"> </w:t>
      </w:r>
      <w:r w:rsidRPr="00382917">
        <w:t>his</w:t>
      </w:r>
      <w:r w:rsidR="00EE4FC3">
        <w:t xml:space="preserve"> </w:t>
      </w:r>
      <w:r w:rsidRPr="00382917">
        <w:t>fellow</w:t>
      </w:r>
      <w:r w:rsidR="00EE4FC3">
        <w:t xml:space="preserve"> </w:t>
      </w:r>
      <w:r w:rsidRPr="00382917">
        <w:t>disciples,</w:t>
      </w:r>
      <w:r w:rsidR="00EE4FC3">
        <w:t xml:space="preserve"> </w:t>
      </w:r>
      <w:r w:rsidRPr="00382917">
        <w:t>put</w:t>
      </w:r>
      <w:r w:rsidR="00EE4FC3">
        <w:t xml:space="preserve"> </w:t>
      </w:r>
      <w:r w:rsidRPr="00382917">
        <w:t>the</w:t>
      </w:r>
      <w:r w:rsidR="00EE4FC3">
        <w:t xml:space="preserve"> </w:t>
      </w:r>
      <w:r w:rsidRPr="00382917">
        <w:t>soldiers</w:t>
      </w:r>
      <w:r w:rsidR="00EE4FC3">
        <w:t xml:space="preserve"> </w:t>
      </w:r>
      <w:r w:rsidRPr="00382917">
        <w:t>to</w:t>
      </w:r>
      <w:r w:rsidR="00EE4FC3">
        <w:t xml:space="preserve"> </w:t>
      </w:r>
      <w:r w:rsidRPr="00382917">
        <w:t>flight</w:t>
      </w:r>
      <w:r w:rsidR="00A93643">
        <w:t>.</w:t>
      </w:r>
      <w:r w:rsidR="00EE4FC3">
        <w:t xml:space="preserve">  </w:t>
      </w:r>
      <w:r w:rsidRPr="00382917">
        <w:t>Quddús</w:t>
      </w:r>
      <w:r w:rsidR="00EE4FC3">
        <w:t xml:space="preserve"> </w:t>
      </w:r>
      <w:r w:rsidRPr="00382917">
        <w:t>recovered</w:t>
      </w:r>
      <w:r w:rsidR="00EE4FC3">
        <w:t xml:space="preserve"> </w:t>
      </w:r>
      <w:r w:rsidRPr="00382917">
        <w:t>from</w:t>
      </w:r>
      <w:r w:rsidR="00EE4FC3">
        <w:t xml:space="preserve"> </w:t>
      </w:r>
      <w:r w:rsidRPr="00382917">
        <w:t>his</w:t>
      </w:r>
      <w:r w:rsidR="00EE4FC3">
        <w:t xml:space="preserve"> </w:t>
      </w:r>
      <w:r w:rsidRPr="00382917">
        <w:t>wound,</w:t>
      </w:r>
      <w:r w:rsidR="00EE4FC3">
        <w:t xml:space="preserve"> </w:t>
      </w:r>
      <w:r w:rsidRPr="00382917">
        <w:t>minimizing</w:t>
      </w:r>
      <w:r w:rsidR="00EE4FC3">
        <w:t xml:space="preserve"> </w:t>
      </w:r>
      <w:r w:rsidRPr="00382917">
        <w:t>its</w:t>
      </w:r>
      <w:r w:rsidR="00EE4FC3">
        <w:t xml:space="preserve"> </w:t>
      </w:r>
      <w:r w:rsidRPr="00382917">
        <w:t>importance.</w:t>
      </w:r>
    </w:p>
    <w:p w:rsidR="00B2576B" w:rsidRPr="00382917" w:rsidRDefault="00B2576B" w:rsidP="00B2576B">
      <w:pPr>
        <w:pStyle w:val="Text"/>
      </w:pPr>
      <w:r w:rsidRPr="00382917">
        <w:t>Each</w:t>
      </w:r>
      <w:r w:rsidR="00EE4FC3">
        <w:t xml:space="preserve"> </w:t>
      </w:r>
      <w:r w:rsidRPr="00382917">
        <w:t>time</w:t>
      </w:r>
      <w:r w:rsidR="00EE4FC3">
        <w:t xml:space="preserve"> </w:t>
      </w:r>
      <w:r w:rsidRPr="00382917">
        <w:t>the</w:t>
      </w:r>
      <w:r w:rsidR="00EE4FC3">
        <w:t xml:space="preserve"> </w:t>
      </w:r>
      <w:r w:rsidRPr="00382917">
        <w:t>enemy</w:t>
      </w:r>
      <w:r w:rsidR="00EE4FC3">
        <w:t xml:space="preserve"> </w:t>
      </w:r>
      <w:r w:rsidRPr="00382917">
        <w:t>was</w:t>
      </w:r>
      <w:r w:rsidR="00EE4FC3">
        <w:t xml:space="preserve"> </w:t>
      </w:r>
      <w:r w:rsidRPr="00382917">
        <w:t>routed,</w:t>
      </w:r>
      <w:r w:rsidR="00EE4FC3">
        <w:t xml:space="preserve"> </w:t>
      </w:r>
      <w:r w:rsidRPr="00382917">
        <w:t>Quddús</w:t>
      </w:r>
      <w:r w:rsidR="00EE4FC3">
        <w:t xml:space="preserve"> </w:t>
      </w:r>
      <w:r w:rsidRPr="00382917">
        <w:t>would</w:t>
      </w:r>
      <w:r w:rsidR="00EE4FC3">
        <w:t xml:space="preserve"> </w:t>
      </w:r>
      <w:r w:rsidRPr="00382917">
        <w:t>remind</w:t>
      </w:r>
      <w:r w:rsidR="00EE4FC3">
        <w:t xml:space="preserve"> </w:t>
      </w:r>
      <w:r w:rsidRPr="00382917">
        <w:t>the</w:t>
      </w:r>
      <w:r w:rsidR="00EE4FC3">
        <w:t xml:space="preserve"> </w:t>
      </w:r>
      <w:r w:rsidRPr="00382917">
        <w:t>companions</w:t>
      </w:r>
      <w:r w:rsidR="00EE4FC3">
        <w:t xml:space="preserve"> </w:t>
      </w:r>
      <w:r w:rsidRPr="00382917">
        <w:t>of</w:t>
      </w:r>
      <w:r w:rsidR="00EE4FC3">
        <w:t xml:space="preserve"> </w:t>
      </w:r>
      <w:r w:rsidRPr="00382917">
        <w:t>their</w:t>
      </w:r>
      <w:r w:rsidR="00EE4FC3">
        <w:t xml:space="preserve"> </w:t>
      </w:r>
      <w:r w:rsidRPr="00382917">
        <w:t>real</w:t>
      </w:r>
      <w:r w:rsidR="00EE4FC3">
        <w:t xml:space="preserve"> </w:t>
      </w:r>
      <w:r w:rsidRPr="00382917">
        <w:t>purpose</w:t>
      </w:r>
      <w:r w:rsidR="00A93643">
        <w:t>.</w:t>
      </w:r>
      <w:r w:rsidR="00EE4FC3">
        <w:t xml:space="preserve">  </w:t>
      </w:r>
      <w:r w:rsidR="009C713D" w:rsidRPr="00382917">
        <w:t>“</w:t>
      </w:r>
      <w:r w:rsidRPr="00382917">
        <w:t>We</w:t>
      </w:r>
      <w:r w:rsidR="00EE4FC3">
        <w:t xml:space="preserve"> </w:t>
      </w:r>
      <w:r w:rsidRPr="00382917">
        <w:t>have</w:t>
      </w:r>
      <w:r w:rsidR="00EE4FC3">
        <w:t xml:space="preserve"> </w:t>
      </w:r>
      <w:r w:rsidRPr="00382917">
        <w:t>repulsed</w:t>
      </w:r>
      <w:r w:rsidR="00EE4FC3">
        <w:t xml:space="preserve"> </w:t>
      </w:r>
      <w:r w:rsidRPr="00382917">
        <w:t>them,</w:t>
      </w:r>
      <w:r w:rsidR="009C713D" w:rsidRPr="00382917">
        <w:t>”</w:t>
      </w:r>
      <w:r w:rsidR="00EE4FC3">
        <w:t xml:space="preserve"> </w:t>
      </w:r>
      <w:r w:rsidRPr="00382917">
        <w:t>he</w:t>
      </w:r>
      <w:r w:rsidR="00EE4FC3">
        <w:t xml:space="preserve"> </w:t>
      </w:r>
      <w:r w:rsidRPr="00382917">
        <w:t>said,</w:t>
      </w:r>
      <w:r w:rsidR="00EE4FC3">
        <w:t xml:space="preserve"> </w:t>
      </w:r>
      <w:r w:rsidR="009C713D" w:rsidRPr="00382917">
        <w:t>“</w:t>
      </w:r>
      <w:r w:rsidRPr="00382917">
        <w:t>no</w:t>
      </w:r>
      <w:r w:rsidR="00EE4FC3">
        <w:t xml:space="preserve"> </w:t>
      </w:r>
      <w:r w:rsidRPr="00382917">
        <w:t>need</w:t>
      </w:r>
      <w:r w:rsidR="00EE4FC3">
        <w:t xml:space="preserve"> </w:t>
      </w:r>
      <w:r w:rsidRPr="00382917">
        <w:t>to</w:t>
      </w:r>
      <w:r w:rsidR="00EE4FC3">
        <w:t xml:space="preserve"> </w:t>
      </w:r>
      <w:r w:rsidRPr="00382917">
        <w:t>carry</w:t>
      </w:r>
      <w:r w:rsidR="00EE4FC3">
        <w:t xml:space="preserve"> </w:t>
      </w:r>
      <w:r w:rsidRPr="00382917">
        <w:t>the</w:t>
      </w:r>
      <w:r w:rsidR="00EE4FC3">
        <w:t xml:space="preserve"> </w:t>
      </w:r>
      <w:r w:rsidRPr="00382917">
        <w:t>punishment</w:t>
      </w:r>
      <w:r w:rsidR="00EE4FC3">
        <w:t xml:space="preserve"> </w:t>
      </w:r>
      <w:r w:rsidRPr="00382917">
        <w:t>further</w:t>
      </w:r>
      <w:r w:rsidR="00A93643">
        <w:t>.</w:t>
      </w:r>
      <w:r w:rsidR="00EE4FC3">
        <w:t xml:space="preserve">  </w:t>
      </w:r>
      <w:r w:rsidRPr="00382917">
        <w:t>Our</w:t>
      </w:r>
      <w:r w:rsidR="00EE4FC3">
        <w:t xml:space="preserve"> </w:t>
      </w:r>
      <w:r w:rsidRPr="00382917">
        <w:t>purpose</w:t>
      </w:r>
      <w:r w:rsidR="00EE4FC3">
        <w:t xml:space="preserve"> </w:t>
      </w:r>
      <w:r w:rsidRPr="00382917">
        <w:t>is</w:t>
      </w:r>
      <w:r w:rsidR="00EE4FC3">
        <w:t xml:space="preserve"> </w:t>
      </w:r>
      <w:r w:rsidRPr="00382917">
        <w:t>to</w:t>
      </w:r>
      <w:r w:rsidR="00EE4FC3">
        <w:t xml:space="preserve"> </w:t>
      </w:r>
      <w:r w:rsidRPr="00382917">
        <w:t>protect</w:t>
      </w:r>
      <w:r w:rsidR="00EE4FC3">
        <w:t xml:space="preserve"> </w:t>
      </w:r>
      <w:r w:rsidRPr="00382917">
        <w:t>ourselves</w:t>
      </w:r>
      <w:r w:rsidR="00EE4FC3">
        <w:t xml:space="preserve"> </w:t>
      </w:r>
      <w:r w:rsidRPr="00382917">
        <w:t>in</w:t>
      </w:r>
      <w:r w:rsidR="00EE4FC3">
        <w:t xml:space="preserve"> </w:t>
      </w:r>
      <w:r w:rsidRPr="00382917">
        <w:t>the</w:t>
      </w:r>
      <w:r w:rsidR="00EE4FC3">
        <w:t xml:space="preserve"> </w:t>
      </w:r>
      <w:r w:rsidRPr="00382917">
        <w:t>hope</w:t>
      </w:r>
      <w:r w:rsidR="00EE4FC3">
        <w:t xml:space="preserve"> </w:t>
      </w:r>
      <w:r w:rsidRPr="00382917">
        <w:t>that</w:t>
      </w:r>
      <w:r w:rsidR="00EE4FC3">
        <w:t xml:space="preserve"> </w:t>
      </w:r>
      <w:r w:rsidRPr="00382917">
        <w:t>God</w:t>
      </w:r>
      <w:r w:rsidR="00EE4FC3">
        <w:t xml:space="preserve"> </w:t>
      </w:r>
      <w:r w:rsidRPr="00382917">
        <w:t>may</w:t>
      </w:r>
      <w:r w:rsidR="00EE4FC3">
        <w:t xml:space="preserve"> </w:t>
      </w:r>
      <w:r w:rsidRPr="00382917">
        <w:t>enable</w:t>
      </w:r>
      <w:r w:rsidR="00EE4FC3">
        <w:t xml:space="preserve"> </w:t>
      </w:r>
      <w:r w:rsidRPr="00382917">
        <w:t>us</w:t>
      </w:r>
      <w:r w:rsidR="00EE4FC3">
        <w:t xml:space="preserve"> </w:t>
      </w:r>
      <w:r w:rsidRPr="00382917">
        <w:t>to</w:t>
      </w:r>
      <w:r w:rsidR="00EE4FC3">
        <w:t xml:space="preserve"> </w:t>
      </w:r>
      <w:r w:rsidRPr="00382917">
        <w:t>continue</w:t>
      </w:r>
      <w:r w:rsidR="00EE4FC3">
        <w:t xml:space="preserve"> </w:t>
      </w:r>
      <w:r w:rsidRPr="00382917">
        <w:t>our</w:t>
      </w:r>
      <w:r w:rsidR="00EE4FC3">
        <w:t xml:space="preserve"> </w:t>
      </w:r>
      <w:r w:rsidRPr="00382917">
        <w:t>work</w:t>
      </w:r>
      <w:r w:rsidR="00EE4FC3">
        <w:t xml:space="preserve"> </w:t>
      </w:r>
      <w:r w:rsidRPr="00382917">
        <w:t>of</w:t>
      </w:r>
      <w:r w:rsidR="00EE4FC3">
        <w:t xml:space="preserve"> </w:t>
      </w:r>
      <w:r w:rsidRPr="00382917">
        <w:t>teaching</w:t>
      </w:r>
      <w:r w:rsidR="00EE4FC3">
        <w:t xml:space="preserve"> </w:t>
      </w:r>
      <w:r w:rsidRPr="00382917">
        <w:t>and</w:t>
      </w:r>
      <w:r w:rsidR="00EE4FC3">
        <w:t xml:space="preserve"> </w:t>
      </w:r>
      <w:r w:rsidRPr="00382917">
        <w:t>regenerating</w:t>
      </w:r>
      <w:r w:rsidR="00EE4FC3">
        <w:t xml:space="preserve"> </w:t>
      </w:r>
      <w:r w:rsidRPr="00382917">
        <w:t>the</w:t>
      </w:r>
      <w:r w:rsidR="00EE4FC3">
        <w:t xml:space="preserve"> </w:t>
      </w:r>
      <w:r w:rsidRPr="00382917">
        <w:t>hearts</w:t>
      </w:r>
      <w:r w:rsidR="00EE4FC3">
        <w:t xml:space="preserve"> </w:t>
      </w:r>
      <w:r w:rsidRPr="00382917">
        <w:t>of</w:t>
      </w:r>
      <w:r w:rsidR="00EE4FC3">
        <w:t xml:space="preserve"> </w:t>
      </w:r>
      <w:r w:rsidRPr="00382917">
        <w:t>men</w:t>
      </w:r>
      <w:r w:rsidR="00A93643">
        <w:t>.</w:t>
      </w:r>
      <w:r w:rsidR="00EE4FC3">
        <w:t xml:space="preserve">  </w:t>
      </w:r>
      <w:r w:rsidRPr="00382917">
        <w:t>We</w:t>
      </w:r>
      <w:r w:rsidR="00EE4FC3">
        <w:t xml:space="preserve"> </w:t>
      </w:r>
      <w:r w:rsidRPr="00382917">
        <w:t>have</w:t>
      </w:r>
      <w:r w:rsidR="00EE4FC3">
        <w:t xml:space="preserve"> </w:t>
      </w:r>
      <w:r w:rsidRPr="00382917">
        <w:t>no</w:t>
      </w:r>
      <w:r w:rsidR="00EE4FC3">
        <w:t xml:space="preserve"> </w:t>
      </w:r>
      <w:r w:rsidRPr="00382917">
        <w:t>intention</w:t>
      </w:r>
      <w:r w:rsidR="00EE4FC3">
        <w:t xml:space="preserve"> </w:t>
      </w:r>
      <w:r w:rsidRPr="00382917">
        <w:t>whatever</w:t>
      </w:r>
      <w:r w:rsidR="00EE4FC3">
        <w:t xml:space="preserve"> </w:t>
      </w:r>
      <w:r w:rsidRPr="00382917">
        <w:t>of</w:t>
      </w:r>
      <w:r w:rsidR="00EE4FC3">
        <w:t xml:space="preserve"> </w:t>
      </w:r>
      <w:r w:rsidRPr="00382917">
        <w:t>causing</w:t>
      </w:r>
      <w:r w:rsidR="00EE4FC3">
        <w:t xml:space="preserve"> </w:t>
      </w:r>
      <w:r w:rsidRPr="00382917">
        <w:t>unnecessary</w:t>
      </w:r>
      <w:r w:rsidR="00EE4FC3">
        <w:t xml:space="preserve"> </w:t>
      </w:r>
      <w:proofErr w:type="gramStart"/>
      <w:r w:rsidRPr="00382917">
        <w:t>harm</w:t>
      </w:r>
      <w:proofErr w:type="gramEnd"/>
      <w:r w:rsidR="00EE4FC3">
        <w:t xml:space="preserve"> </w:t>
      </w:r>
      <w:r w:rsidRPr="00382917">
        <w:t>to</w:t>
      </w:r>
      <w:r w:rsidR="00EE4FC3">
        <w:t xml:space="preserve"> </w:t>
      </w:r>
      <w:proofErr w:type="spellStart"/>
      <w:r w:rsidRPr="00382917">
        <w:t>any</w:t>
      </w:r>
      <w:r w:rsidR="00EE4FC3">
        <w:t xml:space="preserve"> </w:t>
      </w:r>
      <w:r w:rsidRPr="00382917">
        <w:t>one</w:t>
      </w:r>
      <w:proofErr w:type="spellEnd"/>
      <w:r w:rsidRPr="00382917">
        <w:t>.</w:t>
      </w:r>
      <w:r w:rsidR="009C713D" w:rsidRPr="00382917">
        <w:t>”</w:t>
      </w:r>
    </w:p>
    <w:p w:rsidR="00B2576B" w:rsidRPr="00382917" w:rsidRDefault="00B2576B" w:rsidP="007961F3">
      <w:pPr>
        <w:pStyle w:val="Text"/>
      </w:pPr>
      <w:r w:rsidRPr="00382917">
        <w:t>Repeatedly</w:t>
      </w:r>
      <w:r w:rsidR="00EE4FC3">
        <w:t xml:space="preserve"> </w:t>
      </w:r>
      <w:r w:rsidRPr="00382917">
        <w:t>the</w:t>
      </w:r>
      <w:r w:rsidR="00EE4FC3">
        <w:t xml:space="preserve"> </w:t>
      </w:r>
      <w:r w:rsidRPr="00382917">
        <w:t>companions</w:t>
      </w:r>
      <w:r w:rsidR="00EE4FC3">
        <w:t xml:space="preserve"> </w:t>
      </w:r>
      <w:r w:rsidRPr="00382917">
        <w:t>of</w:t>
      </w:r>
      <w:r w:rsidR="00EE4FC3">
        <w:t xml:space="preserve"> </w:t>
      </w:r>
      <w:r w:rsidRPr="00382917">
        <w:t>Mullá</w:t>
      </w:r>
      <w:r w:rsidR="00EE4FC3">
        <w:t xml:space="preserve"> </w:t>
      </w:r>
      <w:r w:rsidR="00964C11" w:rsidRPr="00382917">
        <w:t>Ḥusayn</w:t>
      </w:r>
      <w:r w:rsidR="00EE4FC3">
        <w:t xml:space="preserve"> </w:t>
      </w:r>
      <w:r w:rsidRPr="00382917">
        <w:t>and</w:t>
      </w:r>
      <w:r w:rsidR="00EE4FC3">
        <w:t xml:space="preserve"> </w:t>
      </w:r>
      <w:r w:rsidRPr="00382917">
        <w:t>Quddús</w:t>
      </w:r>
      <w:r w:rsidR="00EE4FC3">
        <w:t xml:space="preserve"> </w:t>
      </w:r>
      <w:r w:rsidRPr="00382917">
        <w:t>tried</w:t>
      </w:r>
      <w:r w:rsidR="00EE4FC3">
        <w:t xml:space="preserve"> </w:t>
      </w:r>
      <w:r w:rsidRPr="00382917">
        <w:t>to</w:t>
      </w:r>
      <w:r w:rsidR="00EE4FC3">
        <w:t xml:space="preserve"> </w:t>
      </w:r>
      <w:r w:rsidRPr="00382917">
        <w:t>persuade</w:t>
      </w:r>
      <w:r w:rsidR="00EE4FC3">
        <w:t xml:space="preserve"> </w:t>
      </w:r>
      <w:r w:rsidRPr="00382917">
        <w:t>their</w:t>
      </w:r>
      <w:r w:rsidR="00EE4FC3">
        <w:t xml:space="preserve"> </w:t>
      </w:r>
      <w:r w:rsidRPr="00382917">
        <w:t>enemies</w:t>
      </w:r>
      <w:r w:rsidR="00EE4FC3">
        <w:t xml:space="preserve"> </w:t>
      </w:r>
      <w:r w:rsidRPr="00382917">
        <w:t>to</w:t>
      </w:r>
      <w:r w:rsidR="00EE4FC3">
        <w:t xml:space="preserve"> </w:t>
      </w:r>
      <w:r w:rsidRPr="00382917">
        <w:t>permit</w:t>
      </w:r>
      <w:r w:rsidR="00EE4FC3">
        <w:t xml:space="preserve"> </w:t>
      </w:r>
      <w:r w:rsidRPr="00382917">
        <w:t>them</w:t>
      </w:r>
      <w:r w:rsidR="00EE4FC3">
        <w:t xml:space="preserve"> </w:t>
      </w:r>
      <w:r w:rsidRPr="00382917">
        <w:t>to</w:t>
      </w:r>
      <w:r w:rsidR="00EE4FC3">
        <w:t xml:space="preserve"> </w:t>
      </w:r>
      <w:r w:rsidRPr="00382917">
        <w:t>go</w:t>
      </w:r>
      <w:r w:rsidR="00EE4FC3">
        <w:t xml:space="preserve"> </w:t>
      </w:r>
      <w:r w:rsidRPr="00382917">
        <w:t>on</w:t>
      </w:r>
      <w:r w:rsidR="00EE4FC3">
        <w:t xml:space="preserve"> </w:t>
      </w:r>
      <w:r w:rsidRPr="00382917">
        <w:t>their</w:t>
      </w:r>
      <w:r w:rsidR="00EE4FC3">
        <w:t xml:space="preserve"> </w:t>
      </w:r>
      <w:r w:rsidRPr="00382917">
        <w:t>way</w:t>
      </w:r>
      <w:r w:rsidR="00EE4FC3">
        <w:t xml:space="preserve"> </w:t>
      </w:r>
      <w:r w:rsidRPr="00382917">
        <w:t>without</w:t>
      </w:r>
      <w:r w:rsidR="00EE4FC3">
        <w:t xml:space="preserve"> </w:t>
      </w:r>
      <w:r w:rsidRPr="00382917">
        <w:t>the</w:t>
      </w:r>
      <w:r w:rsidR="00EE4FC3">
        <w:t xml:space="preserve"> </w:t>
      </w:r>
      <w:r w:rsidRPr="00382917">
        <w:t>shedding</w:t>
      </w:r>
      <w:r w:rsidR="00EE4FC3">
        <w:t xml:space="preserve"> </w:t>
      </w:r>
      <w:r w:rsidRPr="00382917">
        <w:t>of</w:t>
      </w:r>
      <w:r w:rsidR="00EE4FC3">
        <w:t xml:space="preserve"> </w:t>
      </w:r>
      <w:r w:rsidRPr="00382917">
        <w:t>further</w:t>
      </w:r>
      <w:r w:rsidR="00EE4FC3">
        <w:t xml:space="preserve"> </w:t>
      </w:r>
      <w:r w:rsidRPr="00382917">
        <w:t>blood</w:t>
      </w:r>
      <w:r w:rsidR="00A93643">
        <w:t>.</w:t>
      </w:r>
      <w:r w:rsidR="00EE4FC3">
        <w:t xml:space="preserve">  </w:t>
      </w:r>
      <w:r w:rsidRPr="00382917">
        <w:t>Even</w:t>
      </w:r>
      <w:r w:rsidR="00EE4FC3">
        <w:t xml:space="preserve"> </w:t>
      </w:r>
      <w:r w:rsidRPr="00382917">
        <w:t>one</w:t>
      </w:r>
      <w:r w:rsidR="00EE4FC3">
        <w:t xml:space="preserve"> </w:t>
      </w:r>
      <w:r w:rsidRPr="00382917">
        <w:t>of</w:t>
      </w:r>
      <w:r w:rsidR="00EE4FC3">
        <w:t xml:space="preserve"> </w:t>
      </w:r>
      <w:r w:rsidRPr="00382917">
        <w:t>the</w:t>
      </w:r>
      <w:r w:rsidR="00EE4FC3">
        <w:t xml:space="preserve"> </w:t>
      </w:r>
      <w:r w:rsidRPr="00382917">
        <w:t>leaders</w:t>
      </w:r>
      <w:r w:rsidR="00EE4FC3">
        <w:t xml:space="preserve"> </w:t>
      </w:r>
      <w:r w:rsidRPr="00382917">
        <w:t>of</w:t>
      </w:r>
      <w:r w:rsidR="00EE4FC3">
        <w:t xml:space="preserve"> </w:t>
      </w:r>
      <w:r w:rsidRPr="00382917">
        <w:t>the</w:t>
      </w:r>
      <w:r w:rsidR="00EE4FC3">
        <w:t xml:space="preserve"> </w:t>
      </w:r>
      <w:r w:rsidRPr="00382917">
        <w:t>king</w:t>
      </w:r>
      <w:r w:rsidR="009C713D" w:rsidRPr="00382917">
        <w:t>’</w:t>
      </w:r>
      <w:r w:rsidRPr="00382917">
        <w:t>s</w:t>
      </w:r>
      <w:r w:rsidR="00EE4FC3">
        <w:t xml:space="preserve"> </w:t>
      </w:r>
      <w:r w:rsidRPr="00382917">
        <w:t>army</w:t>
      </w:r>
      <w:r w:rsidR="00EE4FC3">
        <w:t xml:space="preserve"> </w:t>
      </w:r>
      <w:r w:rsidRPr="00382917">
        <w:t>has</w:t>
      </w:r>
      <w:r w:rsidR="00EE4FC3">
        <w:t xml:space="preserve"> </w:t>
      </w:r>
      <w:r w:rsidRPr="00382917">
        <w:t>testified</w:t>
      </w:r>
      <w:r w:rsidR="00EE4FC3">
        <w:t xml:space="preserve"> </w:t>
      </w:r>
      <w:r w:rsidRPr="00382917">
        <w:t>to</w:t>
      </w:r>
      <w:r w:rsidR="00EE4FC3">
        <w:t xml:space="preserve"> </w:t>
      </w:r>
      <w:r w:rsidRPr="00382917">
        <w:t>this</w:t>
      </w:r>
      <w:r w:rsidR="00A93643">
        <w:t>.</w:t>
      </w:r>
      <w:r w:rsidR="00EE4FC3">
        <w:t xml:space="preserve">  </w:t>
      </w:r>
      <w:r w:rsidRPr="00382917">
        <w:t>When</w:t>
      </w:r>
      <w:r w:rsidR="00EE4FC3">
        <w:t xml:space="preserve"> </w:t>
      </w:r>
      <w:r w:rsidRPr="00382917">
        <w:t>questioned</w:t>
      </w:r>
      <w:r w:rsidR="00EE4FC3">
        <w:t xml:space="preserve"> </w:t>
      </w:r>
      <w:r w:rsidRPr="00382917">
        <w:t>at</w:t>
      </w:r>
      <w:r w:rsidR="00EE4FC3">
        <w:t xml:space="preserve"> </w:t>
      </w:r>
      <w:r w:rsidRPr="00382917">
        <w:t>a</w:t>
      </w:r>
      <w:r w:rsidR="00EE4FC3">
        <w:t xml:space="preserve"> </w:t>
      </w:r>
      <w:r w:rsidRPr="00382917">
        <w:t>later</w:t>
      </w:r>
      <w:r w:rsidR="00EE4FC3">
        <w:t xml:space="preserve"> </w:t>
      </w:r>
      <w:r w:rsidRPr="00382917">
        <w:t>date</w:t>
      </w:r>
      <w:r w:rsidR="00EE4FC3">
        <w:t xml:space="preserve"> </w:t>
      </w:r>
      <w:r w:rsidRPr="00382917">
        <w:t>by</w:t>
      </w:r>
      <w:r w:rsidR="00EE4FC3">
        <w:t xml:space="preserve"> </w:t>
      </w:r>
      <w:proofErr w:type="gramStart"/>
      <w:r w:rsidR="007961F3">
        <w:t>p</w:t>
      </w:r>
      <w:r w:rsidRPr="00382917">
        <w:t>rince</w:t>
      </w:r>
      <w:proofErr w:type="gramEnd"/>
      <w:r w:rsidR="00EE4FC3">
        <w:t xml:space="preserve"> </w:t>
      </w:r>
      <w:r w:rsidRPr="00382917">
        <w:t>A</w:t>
      </w:r>
      <w:r w:rsidR="007B319A" w:rsidRPr="00382917">
        <w:t>ḥ</w:t>
      </w:r>
      <w:r w:rsidRPr="00382917">
        <w:t>mad</w:t>
      </w:r>
      <w:r w:rsidR="00EE4FC3">
        <w:t xml:space="preserve"> </w:t>
      </w:r>
      <w:r w:rsidR="007B319A" w:rsidRPr="00382917">
        <w:t>Mírzá</w:t>
      </w:r>
      <w:r w:rsidR="00EE4FC3">
        <w:t xml:space="preserve"> </w:t>
      </w:r>
      <w:r w:rsidRPr="00382917">
        <w:t>about</w:t>
      </w:r>
      <w:r w:rsidR="00EE4FC3">
        <w:t xml:space="preserve"> </w:t>
      </w:r>
      <w:r w:rsidRPr="00382917">
        <w:t>Ṭabarsí</w:t>
      </w:r>
      <w:r w:rsidR="00EE4FC3">
        <w:t xml:space="preserve"> </w:t>
      </w:r>
      <w:r w:rsidRPr="00382917">
        <w:t>and</w:t>
      </w:r>
      <w:r w:rsidR="00EE4FC3">
        <w:t xml:space="preserve"> </w:t>
      </w:r>
      <w:r w:rsidRPr="00382917">
        <w:t>Mullá</w:t>
      </w:r>
      <w:r w:rsidR="00EE4FC3">
        <w:t xml:space="preserve"> </w:t>
      </w:r>
      <w:r w:rsidR="00964C11" w:rsidRPr="00382917">
        <w:t>Ḥusayn</w:t>
      </w:r>
      <w:r w:rsidRPr="00382917">
        <w:t>,</w:t>
      </w:r>
      <w:r w:rsidR="00EE4FC3">
        <w:t xml:space="preserve"> </w:t>
      </w:r>
      <w:r w:rsidR="009C713D" w:rsidRPr="00382917">
        <w:t>‘</w:t>
      </w:r>
      <w:r w:rsidRPr="00382917">
        <w:t>Abbás-Qulí</w:t>
      </w:r>
      <w:r w:rsidR="00EE4FC3">
        <w:t xml:space="preserve"> </w:t>
      </w:r>
      <w:r w:rsidR="0040329F" w:rsidRPr="0040329F">
        <w:rPr>
          <w:u w:val="single"/>
        </w:rPr>
        <w:t>Kh</w:t>
      </w:r>
      <w:r w:rsidR="0040329F" w:rsidRPr="00382917">
        <w:t>án</w:t>
      </w:r>
      <w:r w:rsidR="00EE4FC3">
        <w:t xml:space="preserve"> </w:t>
      </w:r>
      <w:r w:rsidRPr="00382917">
        <w:t>gave</w:t>
      </w:r>
      <w:r w:rsidR="00EE4FC3">
        <w:t xml:space="preserve"> </w:t>
      </w:r>
      <w:r w:rsidRPr="00382917">
        <w:t>this</w:t>
      </w:r>
      <w:r w:rsidR="00EE4FC3">
        <w:t xml:space="preserve"> </w:t>
      </w:r>
      <w:r w:rsidRPr="00382917">
        <w:t>account:</w:t>
      </w:r>
    </w:p>
    <w:p w:rsidR="00B2576B" w:rsidRPr="00382917" w:rsidRDefault="009C713D" w:rsidP="007961F3">
      <w:pPr>
        <w:pStyle w:val="Text"/>
      </w:pPr>
      <w:r w:rsidRPr="00382917">
        <w:t>“</w:t>
      </w:r>
      <w:r w:rsidR="00B2576B" w:rsidRPr="00382917">
        <w:t>One</w:t>
      </w:r>
      <w:r w:rsidR="00EE4FC3">
        <w:t xml:space="preserve"> </w:t>
      </w:r>
      <w:r w:rsidR="00B2576B" w:rsidRPr="00382917">
        <w:t>day</w:t>
      </w:r>
      <w:r w:rsidR="00EE4FC3">
        <w:t xml:space="preserve"> </w:t>
      </w:r>
      <w:r w:rsidR="00B2576B" w:rsidRPr="00382917">
        <w:t>Mullá</w:t>
      </w:r>
      <w:r w:rsidR="00EE4FC3">
        <w:t xml:space="preserve"> </w:t>
      </w:r>
      <w:r w:rsidR="00964C11" w:rsidRPr="00382917">
        <w:t>Ḥusayn</w:t>
      </w:r>
      <w:r w:rsidR="00EE4FC3">
        <w:t xml:space="preserve"> </w:t>
      </w:r>
      <w:r w:rsidR="00B2576B" w:rsidRPr="00382917">
        <w:t>stood</w:t>
      </w:r>
      <w:r w:rsidR="00EE4FC3">
        <w:t xml:space="preserve"> </w:t>
      </w:r>
      <w:r w:rsidR="00B2576B" w:rsidRPr="00382917">
        <w:t>forth</w:t>
      </w:r>
      <w:r w:rsidR="00EE4FC3">
        <w:t xml:space="preserve"> </w:t>
      </w:r>
      <w:r w:rsidR="00B2576B" w:rsidRPr="00382917">
        <w:t>in</w:t>
      </w:r>
      <w:r w:rsidR="00EE4FC3">
        <w:t xml:space="preserve"> </w:t>
      </w:r>
      <w:r w:rsidR="00B2576B" w:rsidRPr="00382917">
        <w:t>the</w:t>
      </w:r>
      <w:r w:rsidR="00EE4FC3">
        <w:t xml:space="preserve"> </w:t>
      </w:r>
      <w:r w:rsidR="00B2576B" w:rsidRPr="00382917">
        <w:t>open</w:t>
      </w:r>
      <w:r w:rsidR="00EE4FC3">
        <w:t xml:space="preserve"> </w:t>
      </w:r>
      <w:r w:rsidR="00B2576B" w:rsidRPr="00382917">
        <w:t>field,</w:t>
      </w:r>
      <w:r w:rsidR="00EE4FC3">
        <w:t xml:space="preserve"> </w:t>
      </w:r>
      <w:r w:rsidR="00B2576B" w:rsidRPr="00382917">
        <w:t>and</w:t>
      </w:r>
      <w:r w:rsidR="00EE4FC3">
        <w:t xml:space="preserve"> </w:t>
      </w:r>
      <w:r w:rsidR="00B2576B" w:rsidRPr="00382917">
        <w:t>leaning</w:t>
      </w:r>
      <w:r w:rsidR="00EE4FC3">
        <w:t xml:space="preserve"> </w:t>
      </w:r>
      <w:r w:rsidR="00B2576B" w:rsidRPr="00382917">
        <w:t>upon</w:t>
      </w:r>
      <w:r w:rsidR="00EE4FC3">
        <w:t xml:space="preserve"> </w:t>
      </w:r>
      <w:r w:rsidR="00B2576B" w:rsidRPr="00382917">
        <w:t>a</w:t>
      </w:r>
      <w:r w:rsidR="00EE4FC3">
        <w:t xml:space="preserve"> </w:t>
      </w:r>
      <w:r w:rsidR="00B2576B" w:rsidRPr="00382917">
        <w:t>lance</w:t>
      </w:r>
      <w:r w:rsidR="00EE4FC3">
        <w:t xml:space="preserve"> </w:t>
      </w:r>
      <w:r w:rsidR="00B2576B" w:rsidRPr="00382917">
        <w:t>which</w:t>
      </w:r>
      <w:r w:rsidR="00EE4FC3">
        <w:t xml:space="preserve"> </w:t>
      </w:r>
      <w:r w:rsidR="00B2576B" w:rsidRPr="00382917">
        <w:t>he</w:t>
      </w:r>
      <w:r w:rsidR="00EE4FC3">
        <w:t xml:space="preserve"> </w:t>
      </w:r>
      <w:r w:rsidR="00B2576B" w:rsidRPr="00382917">
        <w:t>held</w:t>
      </w:r>
      <w:r w:rsidR="00EE4FC3">
        <w:t xml:space="preserve"> </w:t>
      </w:r>
      <w:r w:rsidR="00B2576B" w:rsidRPr="00382917">
        <w:t>in</w:t>
      </w:r>
      <w:r w:rsidR="00EE4FC3">
        <w:t xml:space="preserve"> </w:t>
      </w:r>
      <w:r w:rsidR="00B2576B" w:rsidRPr="00382917">
        <w:t>his</w:t>
      </w:r>
      <w:r w:rsidR="00EE4FC3">
        <w:t xml:space="preserve"> </w:t>
      </w:r>
      <w:r w:rsidR="00B2576B" w:rsidRPr="00382917">
        <w:t>hand,</w:t>
      </w:r>
      <w:r w:rsidR="00EE4FC3">
        <w:t xml:space="preserve"> </w:t>
      </w:r>
      <w:r w:rsidR="00B2576B" w:rsidRPr="00382917">
        <w:t>said,</w:t>
      </w:r>
      <w:r w:rsidR="00EE4FC3">
        <w:t xml:space="preserve"> </w:t>
      </w:r>
      <w:r w:rsidRPr="00382917">
        <w:t>‘</w:t>
      </w:r>
      <w:r w:rsidR="00B2576B" w:rsidRPr="00382917">
        <w:t>O</w:t>
      </w:r>
      <w:r w:rsidR="00EE4FC3">
        <w:t xml:space="preserve"> </w:t>
      </w:r>
      <w:r w:rsidR="00B2576B" w:rsidRPr="00382917">
        <w:t>people,</w:t>
      </w:r>
      <w:r w:rsidR="00EE4FC3">
        <w:t xml:space="preserve"> </w:t>
      </w:r>
      <w:r w:rsidR="00B2576B" w:rsidRPr="00382917">
        <w:t>why</w:t>
      </w:r>
      <w:r w:rsidR="00EE4FC3">
        <w:t xml:space="preserve"> </w:t>
      </w:r>
      <w:r w:rsidR="00B2576B" w:rsidRPr="00382917">
        <w:t>without</w:t>
      </w:r>
      <w:r w:rsidR="00EE4FC3">
        <w:t xml:space="preserve"> </w:t>
      </w:r>
      <w:r w:rsidR="00B2576B" w:rsidRPr="00382917">
        <w:t>enquiry,</w:t>
      </w:r>
      <w:r w:rsidR="00EE4FC3">
        <w:t xml:space="preserve"> </w:t>
      </w:r>
      <w:r w:rsidR="00B2576B" w:rsidRPr="00382917">
        <w:t>and</w:t>
      </w:r>
      <w:r w:rsidR="00EE4FC3">
        <w:t xml:space="preserve"> </w:t>
      </w:r>
      <w:r w:rsidR="00B2576B" w:rsidRPr="00382917">
        <w:t>under</w:t>
      </w:r>
      <w:r w:rsidR="00EE4FC3">
        <w:t xml:space="preserve"> </w:t>
      </w:r>
      <w:r w:rsidR="00B2576B" w:rsidRPr="00382917">
        <w:t>the</w:t>
      </w:r>
      <w:r w:rsidR="00EE4FC3">
        <w:t xml:space="preserve"> </w:t>
      </w:r>
      <w:r w:rsidR="00B2576B" w:rsidRPr="00382917">
        <w:t>influence</w:t>
      </w:r>
      <w:r w:rsidR="00EE4FC3">
        <w:t xml:space="preserve"> </w:t>
      </w:r>
      <w:r w:rsidR="00B2576B" w:rsidRPr="00382917">
        <w:t>of</w:t>
      </w:r>
      <w:r w:rsidR="00EE4FC3">
        <w:t xml:space="preserve"> </w:t>
      </w:r>
      <w:r w:rsidR="00B2576B" w:rsidRPr="00382917">
        <w:t>passion</w:t>
      </w:r>
      <w:r w:rsidR="00EE4FC3">
        <w:t xml:space="preserve"> </w:t>
      </w:r>
      <w:r w:rsidR="00B2576B" w:rsidRPr="00382917">
        <w:t>and</w:t>
      </w:r>
      <w:r w:rsidR="00EE4FC3">
        <w:t xml:space="preserve"> </w:t>
      </w:r>
      <w:r w:rsidR="00B2576B" w:rsidRPr="00382917">
        <w:t>prejudiced</w:t>
      </w:r>
      <w:r w:rsidR="00EE4FC3">
        <w:t xml:space="preserve"> </w:t>
      </w:r>
      <w:r w:rsidR="00B2576B" w:rsidRPr="00382917">
        <w:t>misrepresentation,</w:t>
      </w:r>
      <w:r w:rsidR="00EE4FC3">
        <w:t xml:space="preserve"> </w:t>
      </w:r>
      <w:r w:rsidR="00B2576B" w:rsidRPr="00382917">
        <w:t>do</w:t>
      </w:r>
      <w:r w:rsidR="00EE4FC3">
        <w:t xml:space="preserve"> </w:t>
      </w:r>
      <w:r w:rsidR="00B2576B" w:rsidRPr="00382917">
        <w:t>ye</w:t>
      </w:r>
      <w:r w:rsidR="00EE4FC3">
        <w:t xml:space="preserve"> </w:t>
      </w:r>
      <w:r w:rsidR="00B2576B" w:rsidRPr="00382917">
        <w:t>act</w:t>
      </w:r>
      <w:r w:rsidR="00EE4FC3">
        <w:t xml:space="preserve"> </w:t>
      </w:r>
      <w:r w:rsidR="00B2576B" w:rsidRPr="00382917">
        <w:t>so</w:t>
      </w:r>
      <w:r w:rsidR="00EE4FC3">
        <w:t xml:space="preserve"> </w:t>
      </w:r>
      <w:r w:rsidR="00B2576B" w:rsidRPr="00382917">
        <w:t>cruelly</w:t>
      </w:r>
      <w:r w:rsidR="00EE4FC3">
        <w:t xml:space="preserve"> </w:t>
      </w:r>
      <w:r w:rsidR="00B2576B" w:rsidRPr="00382917">
        <w:t>toward</w:t>
      </w:r>
      <w:r w:rsidR="00EE4FC3">
        <w:t xml:space="preserve"> </w:t>
      </w:r>
      <w:r w:rsidR="00B2576B" w:rsidRPr="00382917">
        <w:t>us,</w:t>
      </w:r>
      <w:r w:rsidR="00EE4FC3">
        <w:t xml:space="preserve"> </w:t>
      </w:r>
      <w:r w:rsidR="00B2576B" w:rsidRPr="00382917">
        <w:t>and</w:t>
      </w:r>
      <w:r w:rsidR="00EE4FC3">
        <w:t xml:space="preserve"> </w:t>
      </w:r>
      <w:r w:rsidR="00B2576B" w:rsidRPr="00382917">
        <w:t>strive</w:t>
      </w:r>
      <w:r w:rsidR="00EE4FC3">
        <w:t xml:space="preserve"> </w:t>
      </w:r>
      <w:r w:rsidR="00B2576B" w:rsidRPr="00382917">
        <w:t>without</w:t>
      </w:r>
      <w:r w:rsidR="00EE4FC3">
        <w:t xml:space="preserve"> </w:t>
      </w:r>
      <w:r w:rsidR="00B2576B" w:rsidRPr="00382917">
        <w:t>cause</w:t>
      </w:r>
      <w:r w:rsidR="00EE4FC3">
        <w:t xml:space="preserve"> </w:t>
      </w:r>
      <w:r w:rsidR="00B2576B" w:rsidRPr="00382917">
        <w:t>to</w:t>
      </w:r>
      <w:r w:rsidR="00EE4FC3">
        <w:t xml:space="preserve"> </w:t>
      </w:r>
      <w:r w:rsidR="00B2576B" w:rsidRPr="00382917">
        <w:t>shed</w:t>
      </w:r>
      <w:r w:rsidR="00EE4FC3">
        <w:t xml:space="preserve"> </w:t>
      </w:r>
      <w:r w:rsidR="00B2576B" w:rsidRPr="00382917">
        <w:t>innocent</w:t>
      </w:r>
      <w:r w:rsidR="00EE4FC3">
        <w:t xml:space="preserve"> </w:t>
      </w:r>
      <w:r w:rsidR="00B2576B" w:rsidRPr="00382917">
        <w:t>blood?</w:t>
      </w:r>
      <w:r w:rsidR="00EE4FC3">
        <w:t xml:space="preserve">  </w:t>
      </w:r>
      <w:r w:rsidR="00B2576B" w:rsidRPr="00382917">
        <w:t>Be</w:t>
      </w:r>
      <w:r w:rsidR="00EE4FC3">
        <w:t xml:space="preserve"> </w:t>
      </w:r>
      <w:r w:rsidR="00B2576B" w:rsidRPr="00382917">
        <w:t>ashamed</w:t>
      </w:r>
      <w:r w:rsidR="00EE4FC3">
        <w:t xml:space="preserve"> </w:t>
      </w:r>
      <w:r w:rsidR="00B2576B" w:rsidRPr="00382917">
        <w:t>before</w:t>
      </w:r>
      <w:r w:rsidR="00EE4FC3">
        <w:t xml:space="preserve"> </w:t>
      </w:r>
      <w:r w:rsidR="00B2576B" w:rsidRPr="00382917">
        <w:t>the</w:t>
      </w:r>
      <w:r w:rsidR="00EE4FC3">
        <w:t xml:space="preserve"> </w:t>
      </w:r>
      <w:r w:rsidR="00B2576B" w:rsidRPr="00382917">
        <w:t>Creator</w:t>
      </w:r>
      <w:r w:rsidR="00EE4FC3">
        <w:t xml:space="preserve"> </w:t>
      </w:r>
      <w:r w:rsidR="00B2576B" w:rsidRPr="00382917">
        <w:t>of</w:t>
      </w:r>
      <w:r w:rsidR="00EE4FC3">
        <w:t xml:space="preserve"> </w:t>
      </w:r>
      <w:r w:rsidR="00B2576B" w:rsidRPr="00382917">
        <w:t>the</w:t>
      </w:r>
      <w:r w:rsidR="00EE4FC3">
        <w:t xml:space="preserve"> </w:t>
      </w:r>
      <w:r w:rsidR="00B2576B" w:rsidRPr="00382917">
        <w:t>universe,</w:t>
      </w:r>
      <w:r w:rsidR="00EE4FC3">
        <w:t xml:space="preserve"> </w:t>
      </w:r>
      <w:r w:rsidR="00B2576B" w:rsidRPr="00382917">
        <w:t>and</w:t>
      </w:r>
      <w:r w:rsidR="00EE4FC3">
        <w:t xml:space="preserve"> </w:t>
      </w:r>
      <w:r w:rsidR="00B2576B" w:rsidRPr="00382917">
        <w:t>at</w:t>
      </w:r>
      <w:r w:rsidR="00EE4FC3">
        <w:t xml:space="preserve"> </w:t>
      </w:r>
      <w:r w:rsidR="00B2576B" w:rsidRPr="00382917">
        <w:t>least</w:t>
      </w:r>
      <w:r w:rsidR="00EE4FC3">
        <w:t xml:space="preserve"> </w:t>
      </w:r>
      <w:r w:rsidR="00B2576B" w:rsidRPr="00382917">
        <w:t>give</w:t>
      </w:r>
      <w:r w:rsidR="00EE4FC3">
        <w:t xml:space="preserve"> </w:t>
      </w:r>
      <w:r w:rsidR="00B2576B" w:rsidRPr="00382917">
        <w:t>us</w:t>
      </w:r>
      <w:r w:rsidR="00EE4FC3">
        <w:t xml:space="preserve"> </w:t>
      </w:r>
      <w:r w:rsidR="00B2576B" w:rsidRPr="00382917">
        <w:t>passage,</w:t>
      </w:r>
      <w:r w:rsidR="00EE4FC3">
        <w:t xml:space="preserve"> </w:t>
      </w:r>
      <w:r w:rsidR="00B2576B" w:rsidRPr="00382917">
        <w:t>that</w:t>
      </w:r>
      <w:r w:rsidR="00EE4FC3">
        <w:t xml:space="preserve"> </w:t>
      </w:r>
      <w:r w:rsidR="00B2576B" w:rsidRPr="00382917">
        <w:t>we</w:t>
      </w:r>
      <w:r w:rsidR="00EE4FC3">
        <w:t xml:space="preserve"> </w:t>
      </w:r>
      <w:r w:rsidR="00B2576B" w:rsidRPr="00382917">
        <w:t>may</w:t>
      </w:r>
      <w:r w:rsidR="00EE4FC3">
        <w:t xml:space="preserve"> </w:t>
      </w:r>
      <w:r w:rsidR="00B2576B" w:rsidRPr="00382917">
        <w:t>depart</w:t>
      </w:r>
      <w:r w:rsidR="00EE4FC3">
        <w:t xml:space="preserve"> </w:t>
      </w:r>
      <w:r w:rsidR="00B2576B" w:rsidRPr="00382917">
        <w:t>out</w:t>
      </w:r>
      <w:r w:rsidR="00EE4FC3">
        <w:t xml:space="preserve"> </w:t>
      </w:r>
      <w:r w:rsidR="00B2576B" w:rsidRPr="00382917">
        <w:t>of</w:t>
      </w:r>
      <w:r w:rsidR="00EE4FC3">
        <w:t xml:space="preserve"> </w:t>
      </w:r>
      <w:r w:rsidR="00B2576B" w:rsidRPr="00382917">
        <w:t>this</w:t>
      </w:r>
      <w:r w:rsidR="00EE4FC3">
        <w:t xml:space="preserve"> </w:t>
      </w:r>
      <w:r w:rsidR="00B2576B" w:rsidRPr="00382917">
        <w:t>land.</w:t>
      </w:r>
      <w:r w:rsidRPr="00382917">
        <w:t>’</w:t>
      </w:r>
      <w:r w:rsidR="00EE4FC3">
        <w:t xml:space="preserve">  </w:t>
      </w:r>
      <w:r w:rsidR="00B2576B" w:rsidRPr="00382917">
        <w:t>Seeing</w:t>
      </w:r>
      <w:r w:rsidR="00EE4FC3">
        <w:t xml:space="preserve"> </w:t>
      </w:r>
      <w:r w:rsidR="00B2576B" w:rsidRPr="00382917">
        <w:t>that</w:t>
      </w:r>
      <w:r w:rsidR="00EE4FC3">
        <w:t xml:space="preserve"> </w:t>
      </w:r>
      <w:r w:rsidR="00B2576B" w:rsidRPr="00382917">
        <w:t>the</w:t>
      </w:r>
      <w:r w:rsidR="00EE4FC3">
        <w:t xml:space="preserve"> </w:t>
      </w:r>
      <w:r w:rsidR="00B2576B" w:rsidRPr="00382917">
        <w:t>soldiers</w:t>
      </w:r>
      <w:r w:rsidR="00EE4FC3">
        <w:t xml:space="preserve"> </w:t>
      </w:r>
      <w:r w:rsidR="00B2576B" w:rsidRPr="00382917">
        <w:t>were</w:t>
      </w:r>
      <w:r w:rsidR="00EE4FC3">
        <w:t xml:space="preserve"> </w:t>
      </w:r>
      <w:r w:rsidR="00B2576B" w:rsidRPr="00382917">
        <w:t>moved,</w:t>
      </w:r>
      <w:r w:rsidR="00EE4FC3">
        <w:t xml:space="preserve"> </w:t>
      </w:r>
      <w:r w:rsidR="00B2576B" w:rsidRPr="00382917">
        <w:t>I</w:t>
      </w:r>
      <w:r w:rsidR="00EE4FC3">
        <w:t xml:space="preserve"> </w:t>
      </w:r>
      <w:r w:rsidR="00B2576B" w:rsidRPr="00382917">
        <w:t>opened</w:t>
      </w:r>
      <w:r w:rsidR="00EE4FC3">
        <w:t xml:space="preserve"> </w:t>
      </w:r>
      <w:r w:rsidR="00B2576B" w:rsidRPr="00382917">
        <w:t>fire,</w:t>
      </w:r>
      <w:r w:rsidR="00EE4FC3">
        <w:t xml:space="preserve"> </w:t>
      </w:r>
      <w:r w:rsidR="00B2576B" w:rsidRPr="00382917">
        <w:t>and</w:t>
      </w:r>
      <w:r w:rsidR="00EE4FC3">
        <w:t xml:space="preserve"> </w:t>
      </w:r>
      <w:r w:rsidR="00B2576B" w:rsidRPr="00382917">
        <w:t>ordered</w:t>
      </w:r>
      <w:r w:rsidR="00EE4FC3">
        <w:t xml:space="preserve"> </w:t>
      </w:r>
      <w:r w:rsidR="00B2576B" w:rsidRPr="00382917">
        <w:t>the</w:t>
      </w:r>
      <w:r w:rsidR="00EE4FC3">
        <w:t xml:space="preserve"> </w:t>
      </w:r>
      <w:r w:rsidR="00B2576B" w:rsidRPr="00382917">
        <w:t>troops</w:t>
      </w:r>
      <w:r w:rsidR="00EE4FC3">
        <w:t xml:space="preserve"> </w:t>
      </w:r>
      <w:r w:rsidR="00B2576B" w:rsidRPr="00382917">
        <w:t>to</w:t>
      </w:r>
      <w:r w:rsidR="00EE4FC3">
        <w:t xml:space="preserve"> </w:t>
      </w:r>
      <w:r w:rsidR="00B2576B" w:rsidRPr="00382917">
        <w:t>shout</w:t>
      </w:r>
      <w:r w:rsidR="00EE4FC3">
        <w:t xml:space="preserve"> </w:t>
      </w:r>
      <w:r w:rsidR="00B2576B" w:rsidRPr="00382917">
        <w:t>so</w:t>
      </w:r>
      <w:r w:rsidR="00EE4FC3">
        <w:t xml:space="preserve"> </w:t>
      </w:r>
      <w:r w:rsidR="00B2576B" w:rsidRPr="00382917">
        <w:t>as</w:t>
      </w:r>
      <w:r w:rsidR="00EE4FC3">
        <w:t xml:space="preserve"> </w:t>
      </w:r>
      <w:r w:rsidR="00B2576B" w:rsidRPr="00382917">
        <w:t>to</w:t>
      </w:r>
      <w:r w:rsidR="00EE4FC3">
        <w:t xml:space="preserve"> </w:t>
      </w:r>
      <w:r w:rsidR="00B2576B" w:rsidRPr="00382917">
        <w:t>drown</w:t>
      </w:r>
      <w:r w:rsidR="00EE4FC3">
        <w:t xml:space="preserve"> </w:t>
      </w:r>
      <w:r w:rsidR="00B2576B" w:rsidRPr="00382917">
        <w:t>out</w:t>
      </w:r>
      <w:r w:rsidR="00EE4FC3">
        <w:t xml:space="preserve"> </w:t>
      </w:r>
      <w:r w:rsidR="00B2576B" w:rsidRPr="00382917">
        <w:t>his</w:t>
      </w:r>
      <w:r w:rsidR="00EE4FC3">
        <w:t xml:space="preserve"> </w:t>
      </w:r>
      <w:r w:rsidR="00B2576B" w:rsidRPr="00382917">
        <w:t>voice</w:t>
      </w:r>
      <w:r w:rsidR="00A93643">
        <w:t>.</w:t>
      </w:r>
      <w:r w:rsidR="00EE4FC3">
        <w:t xml:space="preserve">  </w:t>
      </w:r>
      <w:r w:rsidR="00B2576B" w:rsidRPr="00382917">
        <w:t>Again</w:t>
      </w:r>
      <w:r w:rsidR="00EE4FC3">
        <w:t xml:space="preserve"> </w:t>
      </w:r>
      <w:r w:rsidR="00B2576B" w:rsidRPr="00382917">
        <w:t>I</w:t>
      </w:r>
      <w:r w:rsidR="00EE4FC3">
        <w:t xml:space="preserve"> </w:t>
      </w:r>
      <w:r w:rsidR="00B2576B" w:rsidRPr="00382917">
        <w:t>saw</w:t>
      </w:r>
      <w:r w:rsidR="00EE4FC3">
        <w:t xml:space="preserve"> </w:t>
      </w:r>
      <w:r w:rsidR="00B2576B" w:rsidRPr="00382917">
        <w:t>him</w:t>
      </w:r>
      <w:r w:rsidR="00EE4FC3">
        <w:t xml:space="preserve"> </w:t>
      </w:r>
      <w:r w:rsidR="00B2576B" w:rsidRPr="00382917">
        <w:t>lean</w:t>
      </w:r>
      <w:r w:rsidR="00EE4FC3">
        <w:t xml:space="preserve"> </w:t>
      </w:r>
      <w:r w:rsidR="00B2576B" w:rsidRPr="00382917">
        <w:t>on</w:t>
      </w:r>
      <w:r w:rsidR="00EE4FC3">
        <w:t xml:space="preserve"> </w:t>
      </w:r>
      <w:r w:rsidR="00B2576B" w:rsidRPr="00382917">
        <w:t>his</w:t>
      </w:r>
      <w:r w:rsidR="00EE4FC3">
        <w:t xml:space="preserve"> </w:t>
      </w:r>
      <w:r w:rsidR="00B2576B" w:rsidRPr="00382917">
        <w:t>lance</w:t>
      </w:r>
      <w:r w:rsidR="00EE4FC3">
        <w:t xml:space="preserve"> </w:t>
      </w:r>
      <w:r w:rsidR="00B2576B" w:rsidRPr="00382917">
        <w:t>and</w:t>
      </w:r>
      <w:r w:rsidR="00EE4FC3">
        <w:t xml:space="preserve"> </w:t>
      </w:r>
      <w:r w:rsidR="00B2576B" w:rsidRPr="00382917">
        <w:t>cry</w:t>
      </w:r>
      <w:r w:rsidR="00C03C91">
        <w:t>:</w:t>
      </w:r>
      <w:r w:rsidR="00EE4FC3">
        <w:t xml:space="preserve">  </w:t>
      </w:r>
      <w:r w:rsidRPr="00382917">
        <w:t>‘</w:t>
      </w:r>
      <w:r w:rsidR="00B2576B" w:rsidRPr="00382917">
        <w:t>Is</w:t>
      </w:r>
      <w:r w:rsidR="00EE4FC3">
        <w:t xml:space="preserve"> </w:t>
      </w:r>
      <w:r w:rsidR="00B2576B" w:rsidRPr="00382917">
        <w:t>there</w:t>
      </w:r>
      <w:r w:rsidR="00EE4FC3">
        <w:t xml:space="preserve"> </w:t>
      </w:r>
      <w:r w:rsidR="00B2576B" w:rsidRPr="00382917">
        <w:t>anyone</w:t>
      </w:r>
      <w:r w:rsidR="00EE4FC3">
        <w:t xml:space="preserve"> </w:t>
      </w:r>
      <w:r w:rsidR="00B2576B" w:rsidRPr="00382917">
        <w:t>who</w:t>
      </w:r>
      <w:r w:rsidR="00EE4FC3">
        <w:t xml:space="preserve"> </w:t>
      </w:r>
      <w:r w:rsidR="00B2576B" w:rsidRPr="00382917">
        <w:t>will</w:t>
      </w:r>
      <w:r w:rsidR="00EE4FC3">
        <w:t xml:space="preserve"> </w:t>
      </w:r>
      <w:r w:rsidR="00B2576B" w:rsidRPr="00382917">
        <w:t>help</w:t>
      </w:r>
      <w:r w:rsidR="00EE4FC3">
        <w:t xml:space="preserve"> </w:t>
      </w:r>
      <w:r w:rsidR="00B2576B" w:rsidRPr="00382917">
        <w:t>me?</w:t>
      </w:r>
      <w:r w:rsidRPr="00382917">
        <w:t>’</w:t>
      </w:r>
      <w:r w:rsidR="00EE4FC3">
        <w:t xml:space="preserve">  </w:t>
      </w:r>
      <w:r w:rsidR="00B2576B" w:rsidRPr="00382917">
        <w:t>Three</w:t>
      </w:r>
      <w:r w:rsidR="00EE4FC3">
        <w:t xml:space="preserve"> </w:t>
      </w:r>
      <w:r w:rsidR="00B2576B" w:rsidRPr="00382917">
        <w:t>times,</w:t>
      </w:r>
      <w:r w:rsidR="00EE4FC3">
        <w:t xml:space="preserve"> </w:t>
      </w:r>
      <w:r w:rsidR="00B2576B" w:rsidRPr="00382917">
        <w:t>so</w:t>
      </w:r>
      <w:r w:rsidR="00EE4FC3">
        <w:t xml:space="preserve"> </w:t>
      </w:r>
      <w:r w:rsidR="00B2576B" w:rsidRPr="00382917">
        <w:t>that</w:t>
      </w:r>
      <w:r w:rsidR="00EE4FC3">
        <w:t xml:space="preserve"> </w:t>
      </w:r>
      <w:r w:rsidR="00B2576B" w:rsidRPr="00382917">
        <w:t>all</w:t>
      </w:r>
      <w:r w:rsidR="00EE4FC3">
        <w:t xml:space="preserve"> </w:t>
      </w:r>
      <w:r w:rsidR="00B2576B" w:rsidRPr="00382917">
        <w:t>heard</w:t>
      </w:r>
      <w:r w:rsidR="00EE4FC3">
        <w:t xml:space="preserve"> </w:t>
      </w:r>
      <w:r w:rsidR="00B2576B" w:rsidRPr="00382917">
        <w:t>his</w:t>
      </w:r>
      <w:r w:rsidR="00EE4FC3">
        <w:t xml:space="preserve"> </w:t>
      </w:r>
      <w:r w:rsidR="00B2576B" w:rsidRPr="00382917">
        <w:t>cry</w:t>
      </w:r>
      <w:r w:rsidR="00A93643">
        <w:t>.</w:t>
      </w:r>
      <w:r w:rsidR="00EE4FC3">
        <w:t xml:space="preserve">  </w:t>
      </w:r>
      <w:r w:rsidR="00B2576B" w:rsidRPr="00382917">
        <w:t>At</w:t>
      </w:r>
      <w:r w:rsidR="00EE4FC3">
        <w:t xml:space="preserve"> </w:t>
      </w:r>
      <w:r w:rsidR="00B2576B" w:rsidRPr="00382917">
        <w:t>this</w:t>
      </w:r>
      <w:r w:rsidR="00EE4FC3">
        <w:t xml:space="preserve"> </w:t>
      </w:r>
      <w:r w:rsidR="00B2576B" w:rsidRPr="00382917">
        <w:t>moment</w:t>
      </w:r>
      <w:r w:rsidR="00EE4FC3">
        <w:t xml:space="preserve"> </w:t>
      </w:r>
      <w:r w:rsidR="00B2576B" w:rsidRPr="00382917">
        <w:t>all</w:t>
      </w:r>
      <w:r w:rsidR="00EE4FC3">
        <w:t xml:space="preserve"> </w:t>
      </w:r>
      <w:r w:rsidR="00B2576B" w:rsidRPr="00382917">
        <w:t>the</w:t>
      </w:r>
      <w:r w:rsidR="00EE4FC3">
        <w:t xml:space="preserve"> </w:t>
      </w:r>
      <w:r w:rsidR="00B2576B" w:rsidRPr="00382917">
        <w:t>soldiers</w:t>
      </w:r>
      <w:r w:rsidR="00EE4FC3">
        <w:t xml:space="preserve"> </w:t>
      </w:r>
      <w:r w:rsidR="00B2576B" w:rsidRPr="00382917">
        <w:t>were</w:t>
      </w:r>
      <w:r w:rsidR="00EE4FC3">
        <w:t xml:space="preserve"> </w:t>
      </w:r>
      <w:r w:rsidR="00B2576B" w:rsidRPr="00382917">
        <w:t>silent,</w:t>
      </w:r>
      <w:r w:rsidR="00EE4FC3">
        <w:t xml:space="preserve"> </w:t>
      </w:r>
      <w:r w:rsidR="00B2576B" w:rsidRPr="00382917">
        <w:t>and</w:t>
      </w:r>
      <w:r w:rsidR="00EE4FC3">
        <w:t xml:space="preserve"> </w:t>
      </w:r>
      <w:r w:rsidR="00B2576B" w:rsidRPr="00382917">
        <w:t>some</w:t>
      </w:r>
      <w:r w:rsidR="00EE4FC3">
        <w:t xml:space="preserve"> </w:t>
      </w:r>
      <w:r w:rsidR="00B2576B" w:rsidRPr="00382917">
        <w:t>began</w:t>
      </w:r>
      <w:r w:rsidR="00EE4FC3">
        <w:t xml:space="preserve"> </w:t>
      </w:r>
      <w:r w:rsidR="00B2576B" w:rsidRPr="00382917">
        <w:t>to</w:t>
      </w:r>
      <w:r w:rsidR="00EE4FC3">
        <w:t xml:space="preserve"> </w:t>
      </w:r>
      <w:r w:rsidR="00B2576B" w:rsidRPr="00382917">
        <w:t>weep,</w:t>
      </w:r>
      <w:r w:rsidR="00EE4FC3">
        <w:t xml:space="preserve"> </w:t>
      </w:r>
      <w:r w:rsidR="00B2576B" w:rsidRPr="00382917">
        <w:t>and</w:t>
      </w:r>
      <w:r w:rsidR="00EE4FC3">
        <w:t xml:space="preserve"> </w:t>
      </w:r>
      <w:r w:rsidR="00B2576B" w:rsidRPr="00382917">
        <w:t>many</w:t>
      </w:r>
      <w:r w:rsidR="00EE4FC3">
        <w:t xml:space="preserve"> </w:t>
      </w:r>
      <w:r w:rsidR="00B2576B" w:rsidRPr="00382917">
        <w:t>of</w:t>
      </w:r>
      <w:r w:rsidR="00EE4FC3">
        <w:t xml:space="preserve"> </w:t>
      </w:r>
      <w:r w:rsidR="00B2576B" w:rsidRPr="00382917">
        <w:t>the</w:t>
      </w:r>
      <w:r w:rsidR="00EE4FC3">
        <w:t xml:space="preserve"> </w:t>
      </w:r>
      <w:r w:rsidR="00B2576B" w:rsidRPr="00382917">
        <w:t>horsemen</w:t>
      </w:r>
      <w:r w:rsidR="00EE4FC3">
        <w:t xml:space="preserve"> </w:t>
      </w:r>
      <w:r w:rsidR="00B2576B" w:rsidRPr="00382917">
        <w:t>were</w:t>
      </w:r>
      <w:r w:rsidR="00EE4FC3">
        <w:t xml:space="preserve"> </w:t>
      </w:r>
      <w:r w:rsidR="00B2576B" w:rsidRPr="00382917">
        <w:t>visibly</w:t>
      </w:r>
      <w:r w:rsidR="00EE4FC3">
        <w:t xml:space="preserve"> </w:t>
      </w:r>
      <w:r w:rsidR="00B2576B" w:rsidRPr="00382917">
        <w:t>affected</w:t>
      </w:r>
      <w:r w:rsidR="00A93643">
        <w:t>.</w:t>
      </w:r>
      <w:r w:rsidR="00EE4FC3">
        <w:t xml:space="preserve">  </w:t>
      </w:r>
      <w:r w:rsidR="00B2576B" w:rsidRPr="00382917">
        <w:t>Fearing</w:t>
      </w:r>
      <w:r w:rsidR="00EE4FC3">
        <w:t xml:space="preserve"> </w:t>
      </w:r>
      <w:r w:rsidR="00B2576B" w:rsidRPr="00382917">
        <w:t>that</w:t>
      </w:r>
      <w:r w:rsidR="00EE4FC3">
        <w:t xml:space="preserve"> </w:t>
      </w:r>
      <w:r w:rsidR="00B2576B" w:rsidRPr="00382917">
        <w:t>the</w:t>
      </w:r>
      <w:r w:rsidR="00EE4FC3">
        <w:t xml:space="preserve"> </w:t>
      </w:r>
      <w:r w:rsidR="00B2576B" w:rsidRPr="00382917">
        <w:t>army</w:t>
      </w:r>
      <w:r w:rsidR="00EE4FC3">
        <w:t xml:space="preserve"> </w:t>
      </w:r>
      <w:r w:rsidR="00B2576B" w:rsidRPr="00382917">
        <w:t>might</w:t>
      </w:r>
      <w:r w:rsidR="00EE4FC3">
        <w:t xml:space="preserve"> </w:t>
      </w:r>
      <w:r w:rsidR="00B2576B" w:rsidRPr="00382917">
        <w:t>be</w:t>
      </w:r>
      <w:r w:rsidR="00EE4FC3">
        <w:t xml:space="preserve"> </w:t>
      </w:r>
      <w:r w:rsidR="00B2576B" w:rsidRPr="00382917">
        <w:t>seduced</w:t>
      </w:r>
      <w:r w:rsidR="00EE4FC3">
        <w:t xml:space="preserve"> </w:t>
      </w:r>
      <w:r w:rsidR="00B2576B" w:rsidRPr="00382917">
        <w:t>from</w:t>
      </w:r>
      <w:r w:rsidR="00EE4FC3">
        <w:t xml:space="preserve"> </w:t>
      </w:r>
      <w:r w:rsidR="00B2576B" w:rsidRPr="00382917">
        <w:t>their</w:t>
      </w:r>
      <w:r w:rsidR="00EE4FC3">
        <w:t xml:space="preserve"> </w:t>
      </w:r>
      <w:r w:rsidR="00B2576B" w:rsidRPr="00382917">
        <w:t>allegiance,</w:t>
      </w:r>
      <w:r w:rsidR="00EE4FC3">
        <w:t xml:space="preserve"> </w:t>
      </w:r>
      <w:r w:rsidR="00B2576B" w:rsidRPr="00382917">
        <w:t>I</w:t>
      </w:r>
      <w:r w:rsidR="00EE4FC3">
        <w:t xml:space="preserve"> </w:t>
      </w:r>
      <w:r w:rsidR="00B2576B" w:rsidRPr="00382917">
        <w:t>again</w:t>
      </w:r>
      <w:r w:rsidR="00EE4FC3">
        <w:t xml:space="preserve"> </w:t>
      </w:r>
      <w:r w:rsidR="00B2576B" w:rsidRPr="00382917">
        <w:t>ordered</w:t>
      </w:r>
      <w:r w:rsidR="00EE4FC3">
        <w:t xml:space="preserve"> </w:t>
      </w:r>
      <w:r w:rsidR="00B2576B" w:rsidRPr="00382917">
        <w:t>them</w:t>
      </w:r>
      <w:r w:rsidR="00EE4FC3">
        <w:t xml:space="preserve"> </w:t>
      </w:r>
      <w:r w:rsidR="00B2576B" w:rsidRPr="00382917">
        <w:t>to</w:t>
      </w:r>
      <w:r w:rsidR="00EE4FC3">
        <w:t xml:space="preserve"> </w:t>
      </w:r>
      <w:r w:rsidR="00B2576B" w:rsidRPr="00382917">
        <w:t>fire</w:t>
      </w:r>
      <w:r w:rsidR="00EE4FC3">
        <w:t xml:space="preserve"> </w:t>
      </w:r>
      <w:r w:rsidR="00B2576B" w:rsidRPr="00382917">
        <w:t>and</w:t>
      </w:r>
      <w:r w:rsidR="00EE4FC3">
        <w:t xml:space="preserve"> </w:t>
      </w:r>
      <w:r w:rsidR="00B2576B" w:rsidRPr="00382917">
        <w:t>shout</w:t>
      </w:r>
      <w:r w:rsidR="00A93643">
        <w:t>.</w:t>
      </w:r>
      <w:r w:rsidR="00EE4FC3">
        <w:t xml:space="preserve">  </w:t>
      </w:r>
      <w:r w:rsidR="00B2576B" w:rsidRPr="00382917">
        <w:t>Then</w:t>
      </w:r>
      <w:r w:rsidR="00EE4FC3">
        <w:t xml:space="preserve"> </w:t>
      </w:r>
      <w:r w:rsidR="00B2576B" w:rsidRPr="00382917">
        <w:t>I</w:t>
      </w:r>
      <w:r w:rsidR="00EE4FC3">
        <w:t xml:space="preserve"> </w:t>
      </w:r>
      <w:r w:rsidR="00B2576B" w:rsidRPr="00382917">
        <w:t>saw</w:t>
      </w:r>
      <w:r w:rsidR="00EE4FC3">
        <w:t xml:space="preserve"> </w:t>
      </w:r>
      <w:r w:rsidR="00B2576B" w:rsidRPr="00382917">
        <w:t>Mullá</w:t>
      </w:r>
      <w:r w:rsidR="00EE4FC3">
        <w:t xml:space="preserve"> </w:t>
      </w:r>
      <w:r w:rsidR="00964C11" w:rsidRPr="00382917">
        <w:t>Ḥusayn</w:t>
      </w:r>
      <w:r w:rsidR="00EE4FC3">
        <w:t xml:space="preserve"> </w:t>
      </w:r>
      <w:r w:rsidR="00B2576B" w:rsidRPr="00382917">
        <w:t>unsheathe</w:t>
      </w:r>
      <w:r w:rsidR="00EE4FC3">
        <w:t xml:space="preserve"> </w:t>
      </w:r>
      <w:r w:rsidR="00B2576B" w:rsidRPr="00382917">
        <w:t>his</w:t>
      </w:r>
      <w:r w:rsidR="00EE4FC3">
        <w:t xml:space="preserve"> </w:t>
      </w:r>
      <w:r w:rsidR="00B2576B" w:rsidRPr="00382917">
        <w:t>sword,</w:t>
      </w:r>
      <w:r w:rsidR="00EE4FC3">
        <w:t xml:space="preserve"> </w:t>
      </w:r>
      <w:r w:rsidR="00B2576B" w:rsidRPr="00382917">
        <w:t>raise</w:t>
      </w:r>
      <w:r w:rsidR="00EE4FC3">
        <w:t xml:space="preserve"> </w:t>
      </w:r>
      <w:r w:rsidR="00B2576B" w:rsidRPr="00382917">
        <w:t>his</w:t>
      </w:r>
      <w:r w:rsidR="00EE4FC3">
        <w:t xml:space="preserve"> </w:t>
      </w:r>
      <w:r w:rsidR="00B2576B" w:rsidRPr="00382917">
        <w:t>face</w:t>
      </w:r>
      <w:r w:rsidR="00EE4FC3">
        <w:t xml:space="preserve"> </w:t>
      </w:r>
      <w:r w:rsidR="00B2576B" w:rsidRPr="00382917">
        <w:t>toward</w:t>
      </w:r>
      <w:r w:rsidR="00EE4FC3">
        <w:t xml:space="preserve"> </w:t>
      </w:r>
      <w:r w:rsidR="00B2576B" w:rsidRPr="00382917">
        <w:t>heaven</w:t>
      </w:r>
      <w:r w:rsidR="00EE4FC3">
        <w:t xml:space="preserve"> </w:t>
      </w:r>
      <w:r w:rsidR="00B2576B" w:rsidRPr="00382917">
        <w:t>and</w:t>
      </w:r>
      <w:r w:rsidR="00EE4FC3">
        <w:t xml:space="preserve"> </w:t>
      </w:r>
      <w:r w:rsidR="00B2576B" w:rsidRPr="00382917">
        <w:t>heard</w:t>
      </w:r>
      <w:r w:rsidR="00EE4FC3">
        <w:t xml:space="preserve"> </w:t>
      </w:r>
      <w:r w:rsidR="00B2576B" w:rsidRPr="00382917">
        <w:t>him</w:t>
      </w:r>
      <w:r w:rsidR="00EE4FC3">
        <w:t xml:space="preserve"> </w:t>
      </w:r>
      <w:r w:rsidR="00B2576B" w:rsidRPr="00382917">
        <w:t>exclaim</w:t>
      </w:r>
      <w:r w:rsidR="00C03C91">
        <w:t>:</w:t>
      </w:r>
      <w:r w:rsidR="00EE4FC3">
        <w:t xml:space="preserve">  </w:t>
      </w:r>
      <w:r w:rsidRPr="00382917">
        <w:t>‘</w:t>
      </w:r>
      <w:r w:rsidR="00B2576B" w:rsidRPr="00382917">
        <w:t>O</w:t>
      </w:r>
      <w:r w:rsidR="00EE4FC3">
        <w:t xml:space="preserve"> </w:t>
      </w:r>
      <w:r w:rsidR="00B2576B" w:rsidRPr="00382917">
        <w:t>God,</w:t>
      </w:r>
      <w:r w:rsidR="00EE4FC3">
        <w:t xml:space="preserve"> </w:t>
      </w:r>
      <w:r w:rsidR="00B2576B" w:rsidRPr="00382917">
        <w:t>I</w:t>
      </w:r>
      <w:r w:rsidR="00EE4FC3">
        <w:t xml:space="preserve"> </w:t>
      </w:r>
      <w:r w:rsidR="00B2576B" w:rsidRPr="00382917">
        <w:t>have</w:t>
      </w:r>
      <w:r w:rsidR="00EE4FC3">
        <w:t xml:space="preserve"> </w:t>
      </w:r>
      <w:r w:rsidR="00B2576B" w:rsidRPr="00382917">
        <w:t>completed</w:t>
      </w:r>
      <w:r w:rsidR="00EE4FC3">
        <w:t xml:space="preserve"> </w:t>
      </w:r>
      <w:r w:rsidR="00B2576B" w:rsidRPr="00382917">
        <w:t>the</w:t>
      </w:r>
      <w:r w:rsidR="00EE4FC3">
        <w:t xml:space="preserve"> </w:t>
      </w:r>
      <w:r w:rsidR="00B2576B" w:rsidRPr="00382917">
        <w:t>proof</w:t>
      </w:r>
      <w:r w:rsidR="00EE4FC3">
        <w:t xml:space="preserve"> </w:t>
      </w:r>
      <w:r w:rsidR="00B2576B" w:rsidRPr="00382917">
        <w:t>to</w:t>
      </w:r>
      <w:r w:rsidR="00EE4FC3">
        <w:t xml:space="preserve"> </w:t>
      </w:r>
      <w:r w:rsidR="00B2576B" w:rsidRPr="00382917">
        <w:t>this</w:t>
      </w:r>
      <w:r w:rsidR="00EE4FC3">
        <w:t xml:space="preserve"> </w:t>
      </w:r>
      <w:r w:rsidR="00B2576B" w:rsidRPr="00382917">
        <w:t>host,</w:t>
      </w:r>
      <w:r w:rsidR="00EE4FC3">
        <w:t xml:space="preserve"> </w:t>
      </w:r>
      <w:r w:rsidR="00B2576B" w:rsidRPr="00382917">
        <w:t>but</w:t>
      </w:r>
      <w:r w:rsidR="00EE4FC3">
        <w:t xml:space="preserve"> </w:t>
      </w:r>
      <w:r w:rsidR="00B2576B" w:rsidRPr="00382917">
        <w:t>it</w:t>
      </w:r>
      <w:r w:rsidR="00EE4FC3">
        <w:t xml:space="preserve"> </w:t>
      </w:r>
      <w:proofErr w:type="spellStart"/>
      <w:r w:rsidR="00B2576B" w:rsidRPr="00382917">
        <w:t>availeth</w:t>
      </w:r>
      <w:proofErr w:type="spellEnd"/>
      <w:r w:rsidR="00EE4FC3">
        <w:t xml:space="preserve"> </w:t>
      </w:r>
      <w:r w:rsidR="00B2576B" w:rsidRPr="00382917">
        <w:t>not.</w:t>
      </w:r>
      <w:r w:rsidRPr="00382917">
        <w:t>’</w:t>
      </w:r>
      <w:r w:rsidR="00EE4FC3">
        <w:t xml:space="preserve">  </w:t>
      </w:r>
      <w:r w:rsidR="00B2576B" w:rsidRPr="00382917">
        <w:t>Then</w:t>
      </w:r>
      <w:r w:rsidR="00EE4FC3">
        <w:t xml:space="preserve"> </w:t>
      </w:r>
      <w:r w:rsidR="00B2576B" w:rsidRPr="00382917">
        <w:t>he</w:t>
      </w:r>
      <w:r w:rsidR="00EE4FC3">
        <w:t xml:space="preserve"> </w:t>
      </w:r>
      <w:r w:rsidR="00B2576B" w:rsidRPr="00382917">
        <w:t>began</w:t>
      </w:r>
      <w:r w:rsidR="00EE4FC3">
        <w:t xml:space="preserve"> </w:t>
      </w:r>
      <w:r w:rsidR="00B2576B" w:rsidRPr="00382917">
        <w:t>to</w:t>
      </w:r>
      <w:r w:rsidR="00EE4FC3">
        <w:t xml:space="preserve"> </w:t>
      </w:r>
      <w:r w:rsidR="00B2576B" w:rsidRPr="00382917">
        <w:t>attack</w:t>
      </w:r>
      <w:r w:rsidR="00EE4FC3">
        <w:t xml:space="preserve"> </w:t>
      </w:r>
      <w:r w:rsidR="00B2576B" w:rsidRPr="00382917">
        <w:t>us</w:t>
      </w:r>
      <w:r w:rsidR="00EE4FC3">
        <w:t xml:space="preserve"> </w:t>
      </w:r>
      <w:r w:rsidR="00B2576B" w:rsidRPr="00382917">
        <w:t>on</w:t>
      </w:r>
      <w:r w:rsidR="00EE4FC3">
        <w:t xml:space="preserve"> </w:t>
      </w:r>
      <w:r w:rsidR="00B2576B" w:rsidRPr="00382917">
        <w:t>the</w:t>
      </w:r>
      <w:r w:rsidR="00EE4FC3">
        <w:t xml:space="preserve"> </w:t>
      </w:r>
      <w:r w:rsidR="00B2576B" w:rsidRPr="00382917">
        <w:t>right</w:t>
      </w:r>
      <w:r w:rsidR="00EE4FC3">
        <w:t xml:space="preserve"> </w:t>
      </w:r>
      <w:r w:rsidR="00B2576B" w:rsidRPr="00382917">
        <w:t>and</w:t>
      </w:r>
      <w:r w:rsidR="00EE4FC3">
        <w:t xml:space="preserve"> </w:t>
      </w:r>
      <w:r w:rsidR="00B2576B" w:rsidRPr="00382917">
        <w:t>on</w:t>
      </w:r>
      <w:r w:rsidR="00EE4FC3">
        <w:t xml:space="preserve"> </w:t>
      </w:r>
      <w:r w:rsidR="00B2576B" w:rsidRPr="00382917">
        <w:t>the</w:t>
      </w:r>
      <w:r w:rsidR="00EE4FC3">
        <w:t xml:space="preserve"> </w:t>
      </w:r>
      <w:r w:rsidR="00B2576B" w:rsidRPr="00382917">
        <w:t>left.</w:t>
      </w:r>
      <w:r w:rsidRPr="00382917">
        <w:t>”</w:t>
      </w:r>
      <w:r w:rsidR="007961F3">
        <w:rPr>
          <w:rStyle w:val="FootnoteReference"/>
        </w:rPr>
        <w:footnoteReference w:id="115"/>
      </w:r>
    </w:p>
    <w:p w:rsidR="00B2576B" w:rsidRPr="00382917" w:rsidRDefault="00B2576B" w:rsidP="00B2576B">
      <w:pPr>
        <w:pStyle w:val="Text"/>
      </w:pPr>
      <w:r w:rsidRPr="00382917">
        <w:t>Mullá</w:t>
      </w:r>
      <w:r w:rsidR="00EE4FC3">
        <w:t xml:space="preserve"> </w:t>
      </w:r>
      <w:r w:rsidR="00964C11" w:rsidRPr="00382917">
        <w:t>Ḥusayn</w:t>
      </w:r>
      <w:r w:rsidR="00EE4FC3">
        <w:t xml:space="preserve"> </w:t>
      </w:r>
      <w:r w:rsidRPr="00382917">
        <w:t>was</w:t>
      </w:r>
      <w:r w:rsidR="00EE4FC3">
        <w:t xml:space="preserve"> </w:t>
      </w:r>
      <w:r w:rsidRPr="00382917">
        <w:t>slain</w:t>
      </w:r>
      <w:r w:rsidR="00EE4FC3">
        <w:t xml:space="preserve"> </w:t>
      </w:r>
      <w:r w:rsidRPr="00382917">
        <w:t>during</w:t>
      </w:r>
      <w:r w:rsidR="00EE4FC3">
        <w:t xml:space="preserve"> </w:t>
      </w:r>
      <w:r w:rsidRPr="00382917">
        <w:t>the</w:t>
      </w:r>
      <w:r w:rsidR="00EE4FC3">
        <w:t xml:space="preserve"> </w:t>
      </w:r>
      <w:r w:rsidRPr="00382917">
        <w:t>course</w:t>
      </w:r>
      <w:r w:rsidR="00EE4FC3">
        <w:t xml:space="preserve"> </w:t>
      </w:r>
      <w:r w:rsidRPr="00382917">
        <w:t>of</w:t>
      </w:r>
      <w:r w:rsidR="00EE4FC3">
        <w:t xml:space="preserve"> </w:t>
      </w:r>
      <w:r w:rsidRPr="00382917">
        <w:t>the</w:t>
      </w:r>
      <w:r w:rsidR="00EE4FC3">
        <w:t xml:space="preserve"> </w:t>
      </w:r>
      <w:r w:rsidRPr="00382917">
        <w:t>struggle</w:t>
      </w:r>
      <w:r w:rsidR="00EE4FC3">
        <w:t xml:space="preserve"> </w:t>
      </w:r>
      <w:r w:rsidRPr="00382917">
        <w:t>to</w:t>
      </w:r>
      <w:r w:rsidR="00EE4FC3">
        <w:t xml:space="preserve"> </w:t>
      </w:r>
      <w:r w:rsidRPr="00382917">
        <w:t>defend</w:t>
      </w:r>
      <w:r w:rsidR="00EE4FC3">
        <w:t xml:space="preserve"> </w:t>
      </w:r>
      <w:r w:rsidRPr="00382917">
        <w:t>the</w:t>
      </w:r>
      <w:r w:rsidR="00EE4FC3">
        <w:t xml:space="preserve"> </w:t>
      </w:r>
      <w:r w:rsidRPr="00382917">
        <w:t>fort</w:t>
      </w:r>
      <w:r w:rsidR="00EE4FC3">
        <w:t xml:space="preserve"> </w:t>
      </w:r>
      <w:r w:rsidRPr="00382917">
        <w:t>of</w:t>
      </w:r>
      <w:r w:rsidR="00EE4FC3">
        <w:t xml:space="preserve"> </w:t>
      </w:r>
      <w:r w:rsidRPr="00382917">
        <w:t>Ṭabarsí</w:t>
      </w:r>
      <w:r w:rsidR="00A93643">
        <w:t>.</w:t>
      </w:r>
      <w:r w:rsidR="00EE4FC3">
        <w:t xml:space="preserve">  </w:t>
      </w:r>
      <w:r w:rsidRPr="00382917">
        <w:t>True</w:t>
      </w:r>
      <w:r w:rsidR="00EE4FC3">
        <w:t xml:space="preserve"> </w:t>
      </w:r>
      <w:r w:rsidRPr="00382917">
        <w:t>to</w:t>
      </w:r>
      <w:r w:rsidR="00EE4FC3">
        <w:t xml:space="preserve"> </w:t>
      </w:r>
      <w:r w:rsidRPr="00382917">
        <w:t>his</w:t>
      </w:r>
      <w:r w:rsidR="00EE4FC3">
        <w:t xml:space="preserve"> </w:t>
      </w:r>
      <w:r w:rsidRPr="00382917">
        <w:t>forecast,</w:t>
      </w:r>
      <w:r w:rsidR="00EE4FC3">
        <w:t xml:space="preserve"> </w:t>
      </w:r>
      <w:r w:rsidRPr="00382917">
        <w:t>he</w:t>
      </w:r>
      <w:r w:rsidR="00EE4FC3">
        <w:t xml:space="preserve"> </w:t>
      </w:r>
      <w:proofErr w:type="gramStart"/>
      <w:r w:rsidRPr="00382917">
        <w:t>fell</w:t>
      </w:r>
      <w:proofErr w:type="gramEnd"/>
      <w:r w:rsidR="00EE4FC3">
        <w:t xml:space="preserve"> </w:t>
      </w:r>
      <w:r w:rsidRPr="00382917">
        <w:t>a</w:t>
      </w:r>
      <w:r w:rsidR="00EE4FC3">
        <w:t xml:space="preserve"> </w:t>
      </w:r>
      <w:r w:rsidRPr="00382917">
        <w:t>victim</w:t>
      </w:r>
      <w:r w:rsidR="00EE4FC3">
        <w:t xml:space="preserve"> </w:t>
      </w:r>
      <w:r w:rsidRPr="00382917">
        <w:t>to</w:t>
      </w:r>
      <w:r w:rsidR="00EE4FC3">
        <w:t xml:space="preserve"> </w:t>
      </w:r>
      <w:r w:rsidRPr="00382917">
        <w:t>the</w:t>
      </w:r>
      <w:r w:rsidR="00EE4FC3">
        <w:t xml:space="preserve"> </w:t>
      </w:r>
      <w:r w:rsidRPr="00382917">
        <w:t>enemy</w:t>
      </w:r>
      <w:r w:rsidR="00EE4FC3">
        <w:t xml:space="preserve"> </w:t>
      </w:r>
      <w:r w:rsidRPr="00382917">
        <w:t>fire,</w:t>
      </w:r>
      <w:r w:rsidR="00EE4FC3">
        <w:t xml:space="preserve"> </w:t>
      </w:r>
      <w:r w:rsidRPr="00382917">
        <w:t>along</w:t>
      </w:r>
      <w:r w:rsidR="00EE4FC3">
        <w:t xml:space="preserve"> </w:t>
      </w:r>
      <w:r w:rsidRPr="00382917">
        <w:t>with</w:t>
      </w:r>
      <w:r w:rsidR="00EE4FC3">
        <w:t xml:space="preserve"> </w:t>
      </w:r>
      <w:r w:rsidRPr="00382917">
        <w:t>seventy-two</w:t>
      </w:r>
      <w:r w:rsidR="00EE4FC3">
        <w:t xml:space="preserve"> </w:t>
      </w:r>
      <w:r w:rsidRPr="00382917">
        <w:t>of</w:t>
      </w:r>
      <w:r w:rsidR="00EE4FC3">
        <w:t xml:space="preserve"> </w:t>
      </w:r>
      <w:r w:rsidRPr="00382917">
        <w:t>his</w:t>
      </w:r>
      <w:r w:rsidR="00EE4FC3">
        <w:t xml:space="preserve"> </w:t>
      </w:r>
      <w:r w:rsidRPr="00382917">
        <w:t>friends.</w:t>
      </w:r>
    </w:p>
    <w:p w:rsidR="00B2576B" w:rsidRPr="00382917" w:rsidRDefault="00B2576B" w:rsidP="00B2576B">
      <w:pPr>
        <w:pStyle w:val="Text"/>
      </w:pPr>
      <w:r w:rsidRPr="00382917">
        <w:t>The</w:t>
      </w:r>
      <w:r w:rsidR="00EE4FC3">
        <w:t xml:space="preserve"> </w:t>
      </w:r>
      <w:r w:rsidRPr="00382917">
        <w:t>scarcity</w:t>
      </w:r>
      <w:r w:rsidR="00EE4FC3">
        <w:t xml:space="preserve"> </w:t>
      </w:r>
      <w:r w:rsidRPr="00382917">
        <w:t>of</w:t>
      </w:r>
      <w:r w:rsidR="00EE4FC3">
        <w:t xml:space="preserve"> </w:t>
      </w:r>
      <w:r w:rsidRPr="00382917">
        <w:t>water</w:t>
      </w:r>
      <w:r w:rsidR="00EE4FC3">
        <w:t xml:space="preserve"> </w:t>
      </w:r>
      <w:r w:rsidRPr="00382917">
        <w:t>compelled</w:t>
      </w:r>
      <w:r w:rsidR="00EE4FC3">
        <w:t xml:space="preserve"> </w:t>
      </w:r>
      <w:r w:rsidRPr="00382917">
        <w:t>the</w:t>
      </w:r>
      <w:r w:rsidR="00EE4FC3">
        <w:t xml:space="preserve"> </w:t>
      </w:r>
      <w:r w:rsidRPr="00382917">
        <w:t>companions</w:t>
      </w:r>
      <w:r w:rsidR="00EE4FC3">
        <w:t xml:space="preserve"> </w:t>
      </w:r>
      <w:r w:rsidRPr="00382917">
        <w:t>to</w:t>
      </w:r>
      <w:r w:rsidR="00EE4FC3">
        <w:t xml:space="preserve"> </w:t>
      </w:r>
      <w:r w:rsidRPr="00382917">
        <w:t>dig</w:t>
      </w:r>
      <w:r w:rsidR="00EE4FC3">
        <w:t xml:space="preserve"> </w:t>
      </w:r>
      <w:r w:rsidRPr="00382917">
        <w:t>a</w:t>
      </w:r>
      <w:r w:rsidR="00EE4FC3">
        <w:t xml:space="preserve"> </w:t>
      </w:r>
      <w:r w:rsidRPr="00382917">
        <w:t>well</w:t>
      </w:r>
    </w:p>
    <w:p w:rsidR="00B2576B" w:rsidRPr="00382917" w:rsidRDefault="00B2576B">
      <w:pPr>
        <w:widowControl/>
        <w:kinsoku/>
        <w:overflowPunct/>
        <w:textAlignment w:val="auto"/>
      </w:pPr>
      <w:r w:rsidRPr="00382917">
        <w:br w:type="page"/>
      </w:r>
    </w:p>
    <w:p w:rsidR="00B2576B" w:rsidRPr="00382917" w:rsidRDefault="00B2576B" w:rsidP="00B2576B">
      <w:pPr>
        <w:pStyle w:val="Textcts"/>
      </w:pPr>
      <w:proofErr w:type="gramStart"/>
      <w:r w:rsidRPr="00382917">
        <w:t>inside</w:t>
      </w:r>
      <w:proofErr w:type="gramEnd"/>
      <w:r w:rsidR="00EE4FC3">
        <w:t xml:space="preserve"> </w:t>
      </w:r>
      <w:r w:rsidRPr="00382917">
        <w:t>the</w:t>
      </w:r>
      <w:r w:rsidR="00EE4FC3">
        <w:t xml:space="preserve"> </w:t>
      </w:r>
      <w:r w:rsidRPr="00382917">
        <w:t>fort.-</w:t>
      </w:r>
      <w:r w:rsidR="00EE4FC3">
        <w:t xml:space="preserve"> </w:t>
      </w:r>
      <w:r w:rsidRPr="00382917">
        <w:t>Mullá</w:t>
      </w:r>
      <w:r w:rsidR="00EE4FC3">
        <w:t xml:space="preserve"> </w:t>
      </w:r>
      <w:r w:rsidR="00964C11" w:rsidRPr="00382917">
        <w:t>Ḥusayn</w:t>
      </w:r>
      <w:r w:rsidRPr="00382917">
        <w:t>,</w:t>
      </w:r>
      <w:r w:rsidR="00EE4FC3">
        <w:t xml:space="preserve"> </w:t>
      </w:r>
      <w:r w:rsidRPr="00382917">
        <w:t>who</w:t>
      </w:r>
      <w:r w:rsidR="00EE4FC3">
        <w:t xml:space="preserve"> </w:t>
      </w:r>
      <w:r w:rsidRPr="00382917">
        <w:t>was</w:t>
      </w:r>
      <w:r w:rsidR="00EE4FC3">
        <w:t xml:space="preserve"> </w:t>
      </w:r>
      <w:r w:rsidRPr="00382917">
        <w:t>watching</w:t>
      </w:r>
      <w:r w:rsidR="00EE4FC3">
        <w:t xml:space="preserve"> </w:t>
      </w:r>
      <w:r w:rsidRPr="00382917">
        <w:t>the</w:t>
      </w:r>
      <w:r w:rsidR="00EE4FC3">
        <w:t xml:space="preserve"> </w:t>
      </w:r>
      <w:r w:rsidRPr="00382917">
        <w:t>completion,</w:t>
      </w:r>
      <w:r w:rsidR="00EE4FC3">
        <w:t xml:space="preserve"> </w:t>
      </w:r>
      <w:r w:rsidRPr="00382917">
        <w:t>said</w:t>
      </w:r>
      <w:r w:rsidR="00EE4FC3">
        <w:t xml:space="preserve"> </w:t>
      </w:r>
      <w:r w:rsidRPr="00382917">
        <w:t>with</w:t>
      </w:r>
      <w:r w:rsidR="00EE4FC3">
        <w:t xml:space="preserve"> </w:t>
      </w:r>
      <w:r w:rsidRPr="00382917">
        <w:t>a</w:t>
      </w:r>
      <w:r w:rsidR="00EE4FC3">
        <w:t xml:space="preserve"> </w:t>
      </w:r>
      <w:r w:rsidRPr="00382917">
        <w:t>smile,</w:t>
      </w:r>
      <w:r w:rsidR="00EE4FC3">
        <w:t xml:space="preserve"> </w:t>
      </w:r>
      <w:r w:rsidR="009C713D" w:rsidRPr="00382917">
        <w:t>“</w:t>
      </w:r>
      <w:r w:rsidRPr="00382917">
        <w:t>Today</w:t>
      </w:r>
      <w:r w:rsidR="00EE4FC3">
        <w:t xml:space="preserve"> </w:t>
      </w:r>
      <w:r w:rsidRPr="00382917">
        <w:t>we</w:t>
      </w:r>
      <w:r w:rsidR="00EE4FC3">
        <w:t xml:space="preserve"> </w:t>
      </w:r>
      <w:r w:rsidRPr="00382917">
        <w:t>shall</w:t>
      </w:r>
      <w:r w:rsidR="00EE4FC3">
        <w:t xml:space="preserve"> </w:t>
      </w:r>
      <w:r w:rsidRPr="00382917">
        <w:t>have</w:t>
      </w:r>
      <w:r w:rsidR="00EE4FC3">
        <w:t xml:space="preserve"> </w:t>
      </w:r>
      <w:r w:rsidRPr="00382917">
        <w:t>all</w:t>
      </w:r>
      <w:r w:rsidR="00EE4FC3">
        <w:t xml:space="preserve"> </w:t>
      </w:r>
      <w:r w:rsidRPr="00382917">
        <w:t>the</w:t>
      </w:r>
      <w:r w:rsidR="00EE4FC3">
        <w:t xml:space="preserve"> </w:t>
      </w:r>
      <w:r w:rsidRPr="00382917">
        <w:t>water</w:t>
      </w:r>
      <w:r w:rsidR="00EE4FC3">
        <w:t xml:space="preserve"> </w:t>
      </w:r>
      <w:r w:rsidRPr="00382917">
        <w:t>we</w:t>
      </w:r>
      <w:r w:rsidR="00EE4FC3">
        <w:t xml:space="preserve"> </w:t>
      </w:r>
      <w:r w:rsidRPr="00382917">
        <w:t>require</w:t>
      </w:r>
      <w:r w:rsidR="00EE4FC3">
        <w:t xml:space="preserve"> </w:t>
      </w:r>
      <w:r w:rsidRPr="00382917">
        <w:t>for</w:t>
      </w:r>
      <w:r w:rsidR="00EE4FC3">
        <w:t xml:space="preserve"> </w:t>
      </w:r>
      <w:r w:rsidRPr="00382917">
        <w:t>our</w:t>
      </w:r>
      <w:r w:rsidR="00EE4FC3">
        <w:t xml:space="preserve"> </w:t>
      </w:r>
      <w:r w:rsidRPr="00382917">
        <w:t>bath</w:t>
      </w:r>
      <w:r w:rsidR="00A93643">
        <w:t>.</w:t>
      </w:r>
      <w:r w:rsidR="00EE4FC3">
        <w:t xml:space="preserve">  </w:t>
      </w:r>
      <w:r w:rsidRPr="00382917">
        <w:t>Cleansed</w:t>
      </w:r>
      <w:r w:rsidR="00EE4FC3">
        <w:t xml:space="preserve"> </w:t>
      </w:r>
      <w:r w:rsidRPr="00382917">
        <w:t>of</w:t>
      </w:r>
      <w:r w:rsidR="00EE4FC3">
        <w:t xml:space="preserve"> </w:t>
      </w:r>
      <w:r w:rsidRPr="00382917">
        <w:t>all</w:t>
      </w:r>
      <w:r w:rsidR="00EE4FC3">
        <w:t xml:space="preserve"> </w:t>
      </w:r>
      <w:r w:rsidRPr="00382917">
        <w:t>earthly</w:t>
      </w:r>
      <w:r w:rsidR="00EE4FC3">
        <w:t xml:space="preserve"> </w:t>
      </w:r>
      <w:r w:rsidRPr="00382917">
        <w:t>defilements,</w:t>
      </w:r>
      <w:r w:rsidR="00EE4FC3">
        <w:t xml:space="preserve"> </w:t>
      </w:r>
      <w:r w:rsidRPr="00382917">
        <w:t>we</w:t>
      </w:r>
      <w:r w:rsidR="00EE4FC3">
        <w:t xml:space="preserve"> </w:t>
      </w:r>
      <w:r w:rsidRPr="00382917">
        <w:t>shall</w:t>
      </w:r>
      <w:r w:rsidR="00EE4FC3">
        <w:t xml:space="preserve"> </w:t>
      </w:r>
      <w:r w:rsidRPr="00382917">
        <w:t>seek</w:t>
      </w:r>
      <w:r w:rsidR="00EE4FC3">
        <w:t xml:space="preserve"> </w:t>
      </w:r>
      <w:r w:rsidRPr="00382917">
        <w:t>the</w:t>
      </w:r>
      <w:r w:rsidR="00EE4FC3">
        <w:t xml:space="preserve"> </w:t>
      </w:r>
      <w:r w:rsidRPr="00382917">
        <w:t>court</w:t>
      </w:r>
      <w:r w:rsidR="00EE4FC3">
        <w:t xml:space="preserve"> </w:t>
      </w:r>
      <w:r w:rsidRPr="00382917">
        <w:t>of</w:t>
      </w:r>
      <w:r w:rsidR="00EE4FC3">
        <w:t xml:space="preserve"> </w:t>
      </w:r>
      <w:r w:rsidRPr="00382917">
        <w:t>the</w:t>
      </w:r>
      <w:r w:rsidR="00EE4FC3">
        <w:t xml:space="preserve"> </w:t>
      </w:r>
      <w:r w:rsidRPr="00382917">
        <w:t>Almighty</w:t>
      </w:r>
      <w:r w:rsidR="00A93643">
        <w:t>.</w:t>
      </w:r>
      <w:r w:rsidR="00EE4FC3">
        <w:t xml:space="preserve">  </w:t>
      </w:r>
      <w:r w:rsidRPr="00382917">
        <w:t>Whoso</w:t>
      </w:r>
      <w:r w:rsidR="00EE4FC3">
        <w:t xml:space="preserve"> </w:t>
      </w:r>
      <w:r w:rsidRPr="00382917">
        <w:t>is</w:t>
      </w:r>
      <w:r w:rsidR="00EE4FC3">
        <w:t xml:space="preserve"> </w:t>
      </w:r>
      <w:r w:rsidRPr="00382917">
        <w:t>willing</w:t>
      </w:r>
      <w:r w:rsidR="00EE4FC3">
        <w:t xml:space="preserve"> </w:t>
      </w:r>
      <w:r w:rsidRPr="00382917">
        <w:t>to</w:t>
      </w:r>
      <w:r w:rsidR="00EE4FC3">
        <w:t xml:space="preserve"> </w:t>
      </w:r>
      <w:r w:rsidRPr="00382917">
        <w:t>join</w:t>
      </w:r>
      <w:r w:rsidR="00EE4FC3">
        <w:t xml:space="preserve"> </w:t>
      </w:r>
      <w:proofErr w:type="gramStart"/>
      <w:r w:rsidRPr="00382917">
        <w:t>me,</w:t>
      </w:r>
      <w:proofErr w:type="gramEnd"/>
      <w:r w:rsidR="00EE4FC3">
        <w:t xml:space="preserve"> </w:t>
      </w:r>
      <w:r w:rsidRPr="00382917">
        <w:t>let</w:t>
      </w:r>
      <w:r w:rsidR="00EE4FC3">
        <w:t xml:space="preserve"> </w:t>
      </w:r>
      <w:r w:rsidRPr="00382917">
        <w:t>him</w:t>
      </w:r>
      <w:r w:rsidR="00EE4FC3">
        <w:t xml:space="preserve"> </w:t>
      </w:r>
      <w:r w:rsidRPr="00382917">
        <w:t>prepare</w:t>
      </w:r>
      <w:r w:rsidR="00EE4FC3">
        <w:t xml:space="preserve"> </w:t>
      </w:r>
      <w:r w:rsidRPr="00382917">
        <w:t>himself</w:t>
      </w:r>
      <w:r w:rsidR="00EE4FC3">
        <w:t xml:space="preserve"> </w:t>
      </w:r>
      <w:r w:rsidRPr="00382917">
        <w:t>to</w:t>
      </w:r>
      <w:r w:rsidR="00EE4FC3">
        <w:t xml:space="preserve"> </w:t>
      </w:r>
      <w:r w:rsidRPr="00382917">
        <w:t>partake</w:t>
      </w:r>
      <w:r w:rsidR="00EE4FC3">
        <w:t xml:space="preserve"> </w:t>
      </w:r>
      <w:r w:rsidRPr="00382917">
        <w:t>of</w:t>
      </w:r>
      <w:r w:rsidR="00EE4FC3">
        <w:t xml:space="preserve"> </w:t>
      </w:r>
      <w:r w:rsidRPr="00382917">
        <w:t>the</w:t>
      </w:r>
      <w:r w:rsidR="00EE4FC3">
        <w:t xml:space="preserve"> </w:t>
      </w:r>
      <w:r w:rsidRPr="00382917">
        <w:t>cup</w:t>
      </w:r>
      <w:r w:rsidR="00EE4FC3">
        <w:t xml:space="preserve"> </w:t>
      </w:r>
      <w:r w:rsidRPr="00382917">
        <w:t>of</w:t>
      </w:r>
      <w:r w:rsidR="00EE4FC3">
        <w:t xml:space="preserve"> </w:t>
      </w:r>
      <w:r w:rsidRPr="00382917">
        <w:t>martyrdom</w:t>
      </w:r>
      <w:r w:rsidR="00EE4FC3">
        <w:t xml:space="preserve"> </w:t>
      </w:r>
      <w:r w:rsidRPr="00382917">
        <w:t>ere</w:t>
      </w:r>
      <w:r w:rsidR="00EE4FC3">
        <w:t xml:space="preserve"> </w:t>
      </w:r>
      <w:r w:rsidRPr="00382917">
        <w:t>dawn.</w:t>
      </w:r>
      <w:r w:rsidR="009C713D" w:rsidRPr="00382917">
        <w:t>”</w:t>
      </w:r>
    </w:p>
    <w:p w:rsidR="00B2576B" w:rsidRPr="00382917" w:rsidRDefault="00B2576B" w:rsidP="00B2576B">
      <w:pPr>
        <w:pStyle w:val="Text"/>
      </w:pPr>
      <w:r w:rsidRPr="00382917">
        <w:t>That</w:t>
      </w:r>
      <w:r w:rsidR="00EE4FC3">
        <w:t xml:space="preserve"> </w:t>
      </w:r>
      <w:r w:rsidRPr="00382917">
        <w:t>afternoon</w:t>
      </w:r>
      <w:r w:rsidR="00EE4FC3">
        <w:t xml:space="preserve"> </w:t>
      </w:r>
      <w:r w:rsidRPr="00382917">
        <w:t>he</w:t>
      </w:r>
      <w:r w:rsidR="00EE4FC3">
        <w:t xml:space="preserve"> </w:t>
      </w:r>
      <w:r w:rsidRPr="00382917">
        <w:t>had</w:t>
      </w:r>
      <w:r w:rsidR="00EE4FC3">
        <w:t xml:space="preserve"> </w:t>
      </w:r>
      <w:r w:rsidRPr="00382917">
        <w:t>washed</w:t>
      </w:r>
      <w:r w:rsidR="00EE4FC3">
        <w:t xml:space="preserve"> </w:t>
      </w:r>
      <w:r w:rsidRPr="00382917">
        <w:t>himself</w:t>
      </w:r>
      <w:r w:rsidR="00EE4FC3">
        <w:t xml:space="preserve"> </w:t>
      </w:r>
      <w:r w:rsidRPr="00382917">
        <w:t>thoroughly,</w:t>
      </w:r>
      <w:r w:rsidR="00EE4FC3">
        <w:t xml:space="preserve"> </w:t>
      </w:r>
      <w:r w:rsidRPr="00382917">
        <w:t>clothed</w:t>
      </w:r>
      <w:r w:rsidR="00EE4FC3">
        <w:t xml:space="preserve"> </w:t>
      </w:r>
      <w:r w:rsidRPr="00382917">
        <w:t>himself</w:t>
      </w:r>
      <w:r w:rsidR="00EE4FC3">
        <w:t xml:space="preserve"> </w:t>
      </w:r>
      <w:r w:rsidRPr="00382917">
        <w:t>with</w:t>
      </w:r>
      <w:r w:rsidR="00EE4FC3">
        <w:t xml:space="preserve"> </w:t>
      </w:r>
      <w:r w:rsidRPr="00382917">
        <w:t>freshly</w:t>
      </w:r>
      <w:r w:rsidR="00EE4FC3">
        <w:t xml:space="preserve"> </w:t>
      </w:r>
      <w:r w:rsidRPr="00382917">
        <w:t>washed</w:t>
      </w:r>
      <w:r w:rsidR="00EE4FC3">
        <w:t xml:space="preserve"> </w:t>
      </w:r>
      <w:r w:rsidRPr="00382917">
        <w:t>garments,</w:t>
      </w:r>
      <w:r w:rsidR="00EE4FC3">
        <w:t xml:space="preserve"> </w:t>
      </w:r>
      <w:r w:rsidRPr="00382917">
        <w:t>and</w:t>
      </w:r>
      <w:r w:rsidR="00EE4FC3">
        <w:t xml:space="preserve"> </w:t>
      </w:r>
      <w:r w:rsidRPr="00382917">
        <w:t>placed</w:t>
      </w:r>
      <w:r w:rsidR="00EE4FC3">
        <w:t xml:space="preserve"> </w:t>
      </w:r>
      <w:r w:rsidRPr="00382917">
        <w:t>the</w:t>
      </w:r>
      <w:r w:rsidR="00EE4FC3">
        <w:t xml:space="preserve"> </w:t>
      </w:r>
      <w:r w:rsidRPr="00382917">
        <w:t>Báb</w:t>
      </w:r>
      <w:r w:rsidR="009C713D" w:rsidRPr="00382917">
        <w:t>’</w:t>
      </w:r>
      <w:r w:rsidRPr="00382917">
        <w:t>s</w:t>
      </w:r>
      <w:r w:rsidR="00EE4FC3">
        <w:t xml:space="preserve"> </w:t>
      </w:r>
      <w:r w:rsidRPr="00382917">
        <w:t>green</w:t>
      </w:r>
      <w:r w:rsidR="00EE4FC3">
        <w:t xml:space="preserve"> </w:t>
      </w:r>
      <w:r w:rsidRPr="00382917">
        <w:t>turban</w:t>
      </w:r>
      <w:r w:rsidR="00EE4FC3">
        <w:t xml:space="preserve"> </w:t>
      </w:r>
      <w:r w:rsidRPr="00382917">
        <w:t>upon</w:t>
      </w:r>
      <w:r w:rsidR="00EE4FC3">
        <w:t xml:space="preserve"> </w:t>
      </w:r>
      <w:r w:rsidRPr="00382917">
        <w:t>his</w:t>
      </w:r>
      <w:r w:rsidR="00EE4FC3">
        <w:t xml:space="preserve"> </w:t>
      </w:r>
      <w:r w:rsidRPr="00382917">
        <w:t>head</w:t>
      </w:r>
      <w:r w:rsidR="00A93643">
        <w:t>.</w:t>
      </w:r>
      <w:r w:rsidR="00EE4FC3">
        <w:t xml:space="preserve">  </w:t>
      </w:r>
      <w:r w:rsidRPr="00382917">
        <w:t>A</w:t>
      </w:r>
      <w:r w:rsidR="00EE4FC3">
        <w:t xml:space="preserve"> </w:t>
      </w:r>
      <w:r w:rsidRPr="00382917">
        <w:t>great</w:t>
      </w:r>
      <w:r w:rsidR="00EE4FC3">
        <w:t xml:space="preserve"> </w:t>
      </w:r>
      <w:r w:rsidRPr="00382917">
        <w:t>happiness</w:t>
      </w:r>
      <w:r w:rsidR="00EE4FC3">
        <w:t xml:space="preserve"> </w:t>
      </w:r>
      <w:r w:rsidRPr="00382917">
        <w:t>appeared</w:t>
      </w:r>
      <w:r w:rsidR="00EE4FC3">
        <w:t xml:space="preserve"> </w:t>
      </w:r>
      <w:r w:rsidRPr="00382917">
        <w:t>to</w:t>
      </w:r>
      <w:r w:rsidR="00EE4FC3">
        <w:t xml:space="preserve"> </w:t>
      </w:r>
      <w:r w:rsidRPr="00382917">
        <w:t>surround</w:t>
      </w:r>
      <w:r w:rsidR="00EE4FC3">
        <w:t xml:space="preserve"> </w:t>
      </w:r>
      <w:r w:rsidRPr="00382917">
        <w:t>him</w:t>
      </w:r>
      <w:r w:rsidR="00A93643">
        <w:t>.</w:t>
      </w:r>
      <w:r w:rsidR="00EE4FC3">
        <w:t xml:space="preserve">  </w:t>
      </w:r>
      <w:r w:rsidRPr="00382917">
        <w:t>He</w:t>
      </w:r>
      <w:r w:rsidR="00EE4FC3">
        <w:t xml:space="preserve"> </w:t>
      </w:r>
      <w:r w:rsidRPr="00382917">
        <w:t>spent</w:t>
      </w:r>
      <w:r w:rsidR="00EE4FC3">
        <w:t xml:space="preserve"> </w:t>
      </w:r>
      <w:r w:rsidRPr="00382917">
        <w:t>a</w:t>
      </w:r>
      <w:r w:rsidR="00EE4FC3">
        <w:t xml:space="preserve"> </w:t>
      </w:r>
      <w:r w:rsidRPr="00382917">
        <w:t>long</w:t>
      </w:r>
      <w:r w:rsidR="00EE4FC3">
        <w:t xml:space="preserve"> </w:t>
      </w:r>
      <w:r w:rsidRPr="00382917">
        <w:t>time</w:t>
      </w:r>
      <w:r w:rsidR="00EE4FC3">
        <w:t xml:space="preserve"> </w:t>
      </w:r>
      <w:r w:rsidRPr="00382917">
        <w:t>in</w:t>
      </w:r>
      <w:r w:rsidR="00EE4FC3">
        <w:t xml:space="preserve"> </w:t>
      </w:r>
      <w:r w:rsidRPr="00382917">
        <w:t>conversation</w:t>
      </w:r>
      <w:r w:rsidR="00EE4FC3">
        <w:t xml:space="preserve"> </w:t>
      </w:r>
      <w:r w:rsidRPr="00382917">
        <w:t>with</w:t>
      </w:r>
      <w:r w:rsidR="00EE4FC3">
        <w:t xml:space="preserve"> </w:t>
      </w:r>
      <w:r w:rsidRPr="00382917">
        <w:t>Quddús</w:t>
      </w:r>
      <w:r w:rsidR="00A93643">
        <w:t>.</w:t>
      </w:r>
      <w:r w:rsidR="00EE4FC3">
        <w:t xml:space="preserve">  </w:t>
      </w:r>
      <w:r w:rsidRPr="00382917">
        <w:t>He</w:t>
      </w:r>
      <w:r w:rsidR="00EE4FC3">
        <w:t xml:space="preserve"> </w:t>
      </w:r>
      <w:r w:rsidRPr="00382917">
        <w:t>visited</w:t>
      </w:r>
      <w:r w:rsidR="00EE4FC3">
        <w:t xml:space="preserve"> </w:t>
      </w:r>
      <w:r w:rsidRPr="00382917">
        <w:t>with</w:t>
      </w:r>
      <w:r w:rsidR="00EE4FC3">
        <w:t xml:space="preserve"> </w:t>
      </w:r>
      <w:r w:rsidRPr="00382917">
        <w:t>each</w:t>
      </w:r>
      <w:r w:rsidR="00EE4FC3">
        <w:t xml:space="preserve"> </w:t>
      </w:r>
      <w:r w:rsidRPr="00382917">
        <w:t>one</w:t>
      </w:r>
      <w:r w:rsidR="00EE4FC3">
        <w:t xml:space="preserve"> </w:t>
      </w:r>
      <w:r w:rsidRPr="00382917">
        <w:t>of</w:t>
      </w:r>
      <w:r w:rsidR="00EE4FC3">
        <w:t xml:space="preserve"> </w:t>
      </w:r>
      <w:r w:rsidRPr="00382917">
        <w:t>his</w:t>
      </w:r>
      <w:r w:rsidR="00EE4FC3">
        <w:t xml:space="preserve"> </w:t>
      </w:r>
      <w:r w:rsidRPr="00382917">
        <w:t>companions</w:t>
      </w:r>
      <w:r w:rsidR="00EE4FC3">
        <w:t xml:space="preserve"> </w:t>
      </w:r>
      <w:r w:rsidRPr="00382917">
        <w:t>that</w:t>
      </w:r>
      <w:r w:rsidR="00EE4FC3">
        <w:t xml:space="preserve"> </w:t>
      </w:r>
      <w:r w:rsidRPr="00382917">
        <w:t>evening,</w:t>
      </w:r>
      <w:r w:rsidR="00EE4FC3">
        <w:t xml:space="preserve"> </w:t>
      </w:r>
      <w:r w:rsidRPr="00382917">
        <w:t>cheering</w:t>
      </w:r>
      <w:r w:rsidR="00EE4FC3">
        <w:t xml:space="preserve"> </w:t>
      </w:r>
      <w:r w:rsidRPr="00382917">
        <w:t>them</w:t>
      </w:r>
      <w:r w:rsidR="00EE4FC3">
        <w:t xml:space="preserve"> </w:t>
      </w:r>
      <w:r w:rsidRPr="00382917">
        <w:t>and</w:t>
      </w:r>
      <w:r w:rsidR="00EE4FC3">
        <w:t xml:space="preserve"> </w:t>
      </w:r>
      <w:r w:rsidRPr="00382917">
        <w:t>encouraging</w:t>
      </w:r>
      <w:r w:rsidR="00EE4FC3">
        <w:t xml:space="preserve"> </w:t>
      </w:r>
      <w:r w:rsidRPr="00382917">
        <w:t>their</w:t>
      </w:r>
      <w:r w:rsidR="00EE4FC3">
        <w:t xml:space="preserve"> </w:t>
      </w:r>
      <w:r w:rsidRPr="00382917">
        <w:t>hearts.</w:t>
      </w:r>
    </w:p>
    <w:p w:rsidR="00B2576B" w:rsidRPr="00382917" w:rsidRDefault="00B2576B" w:rsidP="00B2576B">
      <w:pPr>
        <w:pStyle w:val="Text"/>
      </w:pPr>
      <w:r w:rsidRPr="00382917">
        <w:t>Soon</w:t>
      </w:r>
      <w:r w:rsidR="00EE4FC3">
        <w:t xml:space="preserve"> </w:t>
      </w:r>
      <w:r w:rsidRPr="00382917">
        <w:t>after</w:t>
      </w:r>
      <w:r w:rsidR="00EE4FC3">
        <w:t xml:space="preserve"> </w:t>
      </w:r>
      <w:r w:rsidRPr="00382917">
        <w:t>midnight,</w:t>
      </w:r>
      <w:r w:rsidR="00EE4FC3">
        <w:t xml:space="preserve"> </w:t>
      </w:r>
      <w:r w:rsidRPr="00382917">
        <w:t>the</w:t>
      </w:r>
      <w:r w:rsidR="00EE4FC3">
        <w:t xml:space="preserve"> </w:t>
      </w:r>
      <w:r w:rsidRPr="00382917">
        <w:t>morning</w:t>
      </w:r>
      <w:r w:rsidR="00EE4FC3">
        <w:t xml:space="preserve"> </w:t>
      </w:r>
      <w:r w:rsidRPr="00382917">
        <w:t>star</w:t>
      </w:r>
      <w:r w:rsidR="00EE4FC3">
        <w:t xml:space="preserve"> </w:t>
      </w:r>
      <w:r w:rsidRPr="00382917">
        <w:t>appeared</w:t>
      </w:r>
      <w:r w:rsidR="00EE4FC3">
        <w:t xml:space="preserve"> </w:t>
      </w:r>
      <w:r w:rsidRPr="00382917">
        <w:t>in</w:t>
      </w:r>
      <w:r w:rsidR="00EE4FC3">
        <w:t xml:space="preserve"> </w:t>
      </w:r>
      <w:r w:rsidRPr="00382917">
        <w:t>the</w:t>
      </w:r>
      <w:r w:rsidR="00EE4FC3">
        <w:t xml:space="preserve"> </w:t>
      </w:r>
      <w:r w:rsidRPr="00382917">
        <w:t>skies</w:t>
      </w:r>
      <w:r w:rsidR="00A93643">
        <w:t>.</w:t>
      </w:r>
      <w:r w:rsidR="00EE4FC3">
        <w:t xml:space="preserve">  </w:t>
      </w:r>
      <w:r w:rsidRPr="00382917">
        <w:t>Mullá</w:t>
      </w:r>
      <w:r w:rsidR="00EE4FC3">
        <w:t xml:space="preserve"> </w:t>
      </w:r>
      <w:r w:rsidR="00964C11" w:rsidRPr="00382917">
        <w:t>Ḥusayn</w:t>
      </w:r>
      <w:r w:rsidRPr="00382917">
        <w:t>,</w:t>
      </w:r>
      <w:r w:rsidR="00EE4FC3">
        <w:t xml:space="preserve"> </w:t>
      </w:r>
      <w:r w:rsidRPr="00382917">
        <w:t>gazing</w:t>
      </w:r>
      <w:r w:rsidR="00EE4FC3">
        <w:t xml:space="preserve"> </w:t>
      </w:r>
      <w:r w:rsidRPr="00382917">
        <w:t>at</w:t>
      </w:r>
      <w:r w:rsidR="00EE4FC3">
        <w:t xml:space="preserve"> </w:t>
      </w:r>
      <w:r w:rsidRPr="00382917">
        <w:t>it,</w:t>
      </w:r>
      <w:r w:rsidR="00EE4FC3">
        <w:t xml:space="preserve"> </w:t>
      </w:r>
      <w:r w:rsidRPr="00382917">
        <w:t>recognized</w:t>
      </w:r>
      <w:r w:rsidR="00EE4FC3">
        <w:t xml:space="preserve"> </w:t>
      </w:r>
      <w:r w:rsidRPr="00382917">
        <w:t>it</w:t>
      </w:r>
      <w:r w:rsidR="00EE4FC3">
        <w:t xml:space="preserve"> </w:t>
      </w:r>
      <w:r w:rsidRPr="00382917">
        <w:t>as</w:t>
      </w:r>
      <w:r w:rsidR="00EE4FC3">
        <w:t xml:space="preserve"> </w:t>
      </w:r>
      <w:r w:rsidRPr="00382917">
        <w:t>a</w:t>
      </w:r>
      <w:r w:rsidR="00EE4FC3">
        <w:t xml:space="preserve"> </w:t>
      </w:r>
      <w:r w:rsidRPr="00382917">
        <w:t>star</w:t>
      </w:r>
      <w:r w:rsidR="00EE4FC3">
        <w:t xml:space="preserve"> </w:t>
      </w:r>
      <w:r w:rsidRPr="00382917">
        <w:t>that</w:t>
      </w:r>
      <w:r w:rsidR="00EE4FC3">
        <w:t xml:space="preserve"> </w:t>
      </w:r>
      <w:r w:rsidR="009C713D" w:rsidRPr="00382917">
        <w:t>“</w:t>
      </w:r>
      <w:r w:rsidRPr="00382917">
        <w:t>heralded</w:t>
      </w:r>
      <w:r w:rsidR="00EE4FC3">
        <w:t xml:space="preserve"> </w:t>
      </w:r>
      <w:r w:rsidRPr="00382917">
        <w:t>the</w:t>
      </w:r>
      <w:r w:rsidR="00EE4FC3">
        <w:t xml:space="preserve"> </w:t>
      </w:r>
      <w:r w:rsidRPr="00382917">
        <w:t>dawn</w:t>
      </w:r>
      <w:r w:rsidR="00EE4FC3">
        <w:t xml:space="preserve"> </w:t>
      </w:r>
      <w:r w:rsidRPr="00382917">
        <w:t>of</w:t>
      </w:r>
      <w:r w:rsidR="00EE4FC3">
        <w:t xml:space="preserve"> </w:t>
      </w:r>
      <w:r w:rsidRPr="00382917">
        <w:t>reunion</w:t>
      </w:r>
      <w:r w:rsidR="00EE4FC3">
        <w:t xml:space="preserve"> </w:t>
      </w:r>
      <w:r w:rsidRPr="00382917">
        <w:t>with</w:t>
      </w:r>
      <w:r w:rsidR="00EE4FC3">
        <w:t xml:space="preserve"> </w:t>
      </w:r>
      <w:r w:rsidRPr="00382917">
        <w:t>his</w:t>
      </w:r>
      <w:r w:rsidR="00EE4FC3">
        <w:t xml:space="preserve"> </w:t>
      </w:r>
      <w:r w:rsidRPr="00382917">
        <w:t>Beloved.</w:t>
      </w:r>
      <w:r w:rsidR="009C713D" w:rsidRPr="00382917">
        <w:t>”</w:t>
      </w:r>
    </w:p>
    <w:p w:rsidR="00B2576B" w:rsidRPr="00382917" w:rsidRDefault="00B2576B" w:rsidP="00B2576B">
      <w:pPr>
        <w:pStyle w:val="Text"/>
      </w:pPr>
      <w:r w:rsidRPr="00382917">
        <w:t>He</w:t>
      </w:r>
      <w:r w:rsidR="00EE4FC3">
        <w:t xml:space="preserve"> </w:t>
      </w:r>
      <w:r w:rsidRPr="00382917">
        <w:t>mounted</w:t>
      </w:r>
      <w:r w:rsidR="00EE4FC3">
        <w:t xml:space="preserve"> </w:t>
      </w:r>
      <w:r w:rsidRPr="00382917">
        <w:t>his</w:t>
      </w:r>
      <w:r w:rsidR="00EE4FC3">
        <w:t xml:space="preserve"> </w:t>
      </w:r>
      <w:r w:rsidRPr="00382917">
        <w:t>charger</w:t>
      </w:r>
      <w:r w:rsidR="00EE4FC3">
        <w:t xml:space="preserve"> </w:t>
      </w:r>
      <w:r w:rsidRPr="00382917">
        <w:t>and</w:t>
      </w:r>
      <w:r w:rsidR="00EE4FC3">
        <w:t xml:space="preserve"> </w:t>
      </w:r>
      <w:r w:rsidRPr="00382917">
        <w:t>ordered</w:t>
      </w:r>
      <w:r w:rsidR="00EE4FC3">
        <w:t xml:space="preserve"> </w:t>
      </w:r>
      <w:r w:rsidRPr="00382917">
        <w:t>that</w:t>
      </w:r>
      <w:r w:rsidR="00EE4FC3">
        <w:t xml:space="preserve"> </w:t>
      </w:r>
      <w:r w:rsidRPr="00382917">
        <w:t>the</w:t>
      </w:r>
      <w:r w:rsidR="00EE4FC3">
        <w:t xml:space="preserve"> </w:t>
      </w:r>
      <w:r w:rsidRPr="00382917">
        <w:t>gate</w:t>
      </w:r>
      <w:r w:rsidR="00EE4FC3">
        <w:t xml:space="preserve"> </w:t>
      </w:r>
      <w:r w:rsidRPr="00382917">
        <w:t>of</w:t>
      </w:r>
      <w:r w:rsidR="00EE4FC3">
        <w:t xml:space="preserve"> </w:t>
      </w:r>
      <w:r w:rsidRPr="00382917">
        <w:t>the</w:t>
      </w:r>
      <w:r w:rsidR="00EE4FC3">
        <w:t xml:space="preserve"> </w:t>
      </w:r>
      <w:r w:rsidRPr="00382917">
        <w:t>fort</w:t>
      </w:r>
      <w:r w:rsidR="00EE4FC3">
        <w:t xml:space="preserve"> </w:t>
      </w:r>
      <w:r w:rsidRPr="00382917">
        <w:t>be</w:t>
      </w:r>
      <w:r w:rsidR="00EE4FC3">
        <w:t xml:space="preserve"> </w:t>
      </w:r>
      <w:r w:rsidRPr="00382917">
        <w:t>thrown</w:t>
      </w:r>
      <w:r w:rsidR="00EE4FC3">
        <w:t xml:space="preserve"> </w:t>
      </w:r>
      <w:r w:rsidRPr="00382917">
        <w:t>open</w:t>
      </w:r>
      <w:r w:rsidR="00A93643">
        <w:t>.</w:t>
      </w:r>
      <w:r w:rsidR="00EE4FC3">
        <w:t xml:space="preserve">  </w:t>
      </w:r>
      <w:r w:rsidRPr="00382917">
        <w:t>He</w:t>
      </w:r>
      <w:r w:rsidR="00EE4FC3">
        <w:t xml:space="preserve"> </w:t>
      </w:r>
      <w:r w:rsidRPr="00382917">
        <w:t>rode</w:t>
      </w:r>
      <w:r w:rsidR="00EE4FC3">
        <w:t xml:space="preserve"> </w:t>
      </w:r>
      <w:r w:rsidRPr="00382917">
        <w:t>out</w:t>
      </w:r>
      <w:r w:rsidR="00EE4FC3">
        <w:t xml:space="preserve"> </w:t>
      </w:r>
      <w:r w:rsidRPr="00382917">
        <w:t>at</w:t>
      </w:r>
      <w:r w:rsidR="00EE4FC3">
        <w:t xml:space="preserve"> </w:t>
      </w:r>
      <w:r w:rsidRPr="00382917">
        <w:t>the</w:t>
      </w:r>
      <w:r w:rsidR="00EE4FC3">
        <w:t xml:space="preserve"> </w:t>
      </w:r>
      <w:r w:rsidRPr="00382917">
        <w:t>head</w:t>
      </w:r>
      <w:r w:rsidR="00EE4FC3">
        <w:t xml:space="preserve"> </w:t>
      </w:r>
      <w:r w:rsidRPr="00382917">
        <w:t>of</w:t>
      </w:r>
      <w:r w:rsidR="00EE4FC3">
        <w:t xml:space="preserve"> </w:t>
      </w:r>
      <w:r w:rsidRPr="00382917">
        <w:t>his</w:t>
      </w:r>
      <w:r w:rsidR="00EE4FC3">
        <w:t xml:space="preserve"> </w:t>
      </w:r>
      <w:r w:rsidRPr="00382917">
        <w:t>companions,</w:t>
      </w:r>
      <w:r w:rsidR="00EE4FC3">
        <w:t xml:space="preserve"> </w:t>
      </w:r>
      <w:r w:rsidRPr="00382917">
        <w:t>to</w:t>
      </w:r>
      <w:r w:rsidR="00EE4FC3">
        <w:t xml:space="preserve"> </w:t>
      </w:r>
      <w:r w:rsidRPr="00382917">
        <w:t>cry</w:t>
      </w:r>
      <w:r w:rsidR="00C03C91">
        <w:t>:</w:t>
      </w:r>
      <w:r w:rsidR="00EE4FC3">
        <w:t xml:space="preserve">  </w:t>
      </w:r>
      <w:r w:rsidR="009C713D" w:rsidRPr="00382917">
        <w:t>“</w:t>
      </w:r>
      <w:r w:rsidR="00CD32C5" w:rsidRPr="00382917">
        <w:t>O</w:t>
      </w:r>
      <w:r w:rsidR="00EE4FC3">
        <w:t xml:space="preserve"> </w:t>
      </w:r>
      <w:r w:rsidRPr="00382917">
        <w:t>Lord</w:t>
      </w:r>
      <w:r w:rsidR="00EE4FC3">
        <w:t xml:space="preserve"> </w:t>
      </w:r>
      <w:r w:rsidRPr="00382917">
        <w:t>of</w:t>
      </w:r>
      <w:r w:rsidR="00EE4FC3">
        <w:t xml:space="preserve"> </w:t>
      </w:r>
      <w:r w:rsidRPr="00382917">
        <w:t>the</w:t>
      </w:r>
      <w:r w:rsidR="00EE4FC3">
        <w:t xml:space="preserve"> </w:t>
      </w:r>
      <w:r w:rsidRPr="00382917">
        <w:t>Age!</w:t>
      </w:r>
      <w:r w:rsidR="009C713D" w:rsidRPr="00382917">
        <w:t>”</w:t>
      </w:r>
      <w:r w:rsidR="00EE4FC3">
        <w:t xml:space="preserve">  </w:t>
      </w:r>
      <w:r w:rsidRPr="00382917">
        <w:t>So</w:t>
      </w:r>
      <w:r w:rsidR="00EE4FC3">
        <w:t xml:space="preserve"> </w:t>
      </w:r>
      <w:r w:rsidRPr="00382917">
        <w:t>intense</w:t>
      </w:r>
      <w:r w:rsidR="00EE4FC3">
        <w:t xml:space="preserve"> </w:t>
      </w:r>
      <w:r w:rsidRPr="00382917">
        <w:t>and</w:t>
      </w:r>
      <w:r w:rsidR="00EE4FC3">
        <w:t xml:space="preserve"> </w:t>
      </w:r>
      <w:r w:rsidRPr="00382917">
        <w:t>powerful</w:t>
      </w:r>
      <w:r w:rsidR="00EE4FC3">
        <w:t xml:space="preserve"> </w:t>
      </w:r>
      <w:r w:rsidRPr="00382917">
        <w:t>was</w:t>
      </w:r>
      <w:r w:rsidR="00EE4FC3">
        <w:t xml:space="preserve"> </w:t>
      </w:r>
      <w:r w:rsidRPr="00382917">
        <w:t>this</w:t>
      </w:r>
      <w:r w:rsidR="00EE4FC3">
        <w:t xml:space="preserve"> </w:t>
      </w:r>
      <w:r w:rsidRPr="00382917">
        <w:t>shout</w:t>
      </w:r>
      <w:r w:rsidR="00EE4FC3">
        <w:t xml:space="preserve"> </w:t>
      </w:r>
      <w:r w:rsidRPr="00382917">
        <w:t>in</w:t>
      </w:r>
      <w:r w:rsidR="00EE4FC3">
        <w:t xml:space="preserve"> </w:t>
      </w:r>
      <w:r w:rsidRPr="00382917">
        <w:t>praise</w:t>
      </w:r>
      <w:r w:rsidR="00EE4FC3">
        <w:t xml:space="preserve"> </w:t>
      </w:r>
      <w:r w:rsidRPr="00382917">
        <w:t>of</w:t>
      </w:r>
      <w:r w:rsidR="00EE4FC3">
        <w:t xml:space="preserve"> </w:t>
      </w:r>
      <w:r w:rsidRPr="00382917">
        <w:t>the</w:t>
      </w:r>
      <w:r w:rsidR="00EE4FC3">
        <w:t xml:space="preserve"> </w:t>
      </w:r>
      <w:r w:rsidRPr="00382917">
        <w:t>Báb</w:t>
      </w:r>
      <w:r w:rsidR="00EE4FC3">
        <w:t xml:space="preserve"> </w:t>
      </w:r>
      <w:r w:rsidRPr="00382917">
        <w:t>that</w:t>
      </w:r>
      <w:r w:rsidR="00EE4FC3">
        <w:t xml:space="preserve"> </w:t>
      </w:r>
      <w:r w:rsidRPr="00382917">
        <w:t>forest,</w:t>
      </w:r>
      <w:r w:rsidR="00EE4FC3">
        <w:t xml:space="preserve"> </w:t>
      </w:r>
      <w:r w:rsidRPr="00382917">
        <w:t>fort,</w:t>
      </w:r>
      <w:r w:rsidR="00EE4FC3">
        <w:t xml:space="preserve"> </w:t>
      </w:r>
      <w:r w:rsidRPr="00382917">
        <w:t>and</w:t>
      </w:r>
      <w:r w:rsidR="00EE4FC3">
        <w:t xml:space="preserve"> </w:t>
      </w:r>
      <w:r w:rsidRPr="00382917">
        <w:t>camp</w:t>
      </w:r>
      <w:r w:rsidR="00EE4FC3">
        <w:t xml:space="preserve"> </w:t>
      </w:r>
      <w:r w:rsidRPr="00382917">
        <w:t>vibrated</w:t>
      </w:r>
      <w:r w:rsidR="00EE4FC3">
        <w:t xml:space="preserve"> </w:t>
      </w:r>
      <w:r w:rsidRPr="00382917">
        <w:t>to</w:t>
      </w:r>
      <w:r w:rsidR="00EE4FC3">
        <w:t xml:space="preserve"> </w:t>
      </w:r>
      <w:r w:rsidRPr="00382917">
        <w:t>its</w:t>
      </w:r>
      <w:r w:rsidR="00EE4FC3">
        <w:t xml:space="preserve"> </w:t>
      </w:r>
      <w:r w:rsidRPr="00382917">
        <w:t>resounding</w:t>
      </w:r>
      <w:r w:rsidR="00EE4FC3">
        <w:t xml:space="preserve"> </w:t>
      </w:r>
      <w:r w:rsidRPr="00382917">
        <w:t>echo.</w:t>
      </w:r>
    </w:p>
    <w:p w:rsidR="00B2576B" w:rsidRPr="00382917" w:rsidRDefault="00B2576B" w:rsidP="00B2576B">
      <w:pPr>
        <w:pStyle w:val="Text"/>
      </w:pPr>
      <w:r w:rsidRPr="00382917">
        <w:t>Mullá</w:t>
      </w:r>
      <w:r w:rsidR="00EE4FC3">
        <w:t xml:space="preserve"> </w:t>
      </w:r>
      <w:r w:rsidR="00964C11" w:rsidRPr="00382917">
        <w:t>Ḥusayn</w:t>
      </w:r>
      <w:r w:rsidR="00EE4FC3">
        <w:t xml:space="preserve"> </w:t>
      </w:r>
      <w:r w:rsidRPr="00382917">
        <w:t>charged</w:t>
      </w:r>
      <w:r w:rsidR="00EE4FC3">
        <w:t xml:space="preserve"> </w:t>
      </w:r>
      <w:r w:rsidRPr="00382917">
        <w:t>the</w:t>
      </w:r>
      <w:r w:rsidR="00EE4FC3">
        <w:t xml:space="preserve"> </w:t>
      </w:r>
      <w:r w:rsidRPr="00382917">
        <w:t>barricades</w:t>
      </w:r>
      <w:r w:rsidR="00EE4FC3">
        <w:t xml:space="preserve"> </w:t>
      </w:r>
      <w:r w:rsidRPr="00382917">
        <w:t>from</w:t>
      </w:r>
      <w:r w:rsidR="00EE4FC3">
        <w:t xml:space="preserve"> </w:t>
      </w:r>
      <w:r w:rsidRPr="00382917">
        <w:t>behind</w:t>
      </w:r>
      <w:r w:rsidR="00EE4FC3">
        <w:t xml:space="preserve"> </w:t>
      </w:r>
      <w:r w:rsidRPr="00382917">
        <w:t>which</w:t>
      </w:r>
      <w:r w:rsidR="00EE4FC3">
        <w:t xml:space="preserve"> </w:t>
      </w:r>
      <w:r w:rsidRPr="00382917">
        <w:t>the</w:t>
      </w:r>
      <w:r w:rsidR="00EE4FC3">
        <w:t xml:space="preserve"> </w:t>
      </w:r>
      <w:r w:rsidRPr="00382917">
        <w:t>army</w:t>
      </w:r>
      <w:r w:rsidR="00EE4FC3">
        <w:t xml:space="preserve"> </w:t>
      </w:r>
      <w:r w:rsidRPr="00382917">
        <w:t>planned</w:t>
      </w:r>
      <w:r w:rsidR="00EE4FC3">
        <w:t xml:space="preserve"> </w:t>
      </w:r>
      <w:r w:rsidRPr="00382917">
        <w:t>to</w:t>
      </w:r>
      <w:r w:rsidR="00EE4FC3">
        <w:t xml:space="preserve"> </w:t>
      </w:r>
      <w:r w:rsidRPr="00382917">
        <w:t>launch</w:t>
      </w:r>
      <w:r w:rsidR="00EE4FC3">
        <w:t xml:space="preserve"> </w:t>
      </w:r>
      <w:r w:rsidRPr="00382917">
        <w:t>their</w:t>
      </w:r>
      <w:r w:rsidR="00EE4FC3">
        <w:t xml:space="preserve"> </w:t>
      </w:r>
      <w:r w:rsidRPr="00382917">
        <w:t>most</w:t>
      </w:r>
      <w:r w:rsidR="00EE4FC3">
        <w:t xml:space="preserve"> </w:t>
      </w:r>
      <w:r w:rsidRPr="00382917">
        <w:t>concentrated</w:t>
      </w:r>
      <w:r w:rsidR="00EE4FC3">
        <w:t xml:space="preserve"> </w:t>
      </w:r>
      <w:r w:rsidRPr="00382917">
        <w:t>offensive</w:t>
      </w:r>
      <w:r w:rsidR="00A93643">
        <w:t>.</w:t>
      </w:r>
      <w:r w:rsidR="00EE4FC3">
        <w:t xml:space="preserve">  </w:t>
      </w:r>
      <w:r w:rsidRPr="00382917">
        <w:t>One</w:t>
      </w:r>
      <w:r w:rsidR="00EE4FC3">
        <w:t xml:space="preserve"> </w:t>
      </w:r>
      <w:r w:rsidRPr="00382917">
        <w:t>after</w:t>
      </w:r>
      <w:r w:rsidR="00EE4FC3">
        <w:t xml:space="preserve"> </w:t>
      </w:r>
      <w:r w:rsidRPr="00382917">
        <w:t>the</w:t>
      </w:r>
      <w:r w:rsidR="00EE4FC3">
        <w:t xml:space="preserve"> </w:t>
      </w:r>
      <w:r w:rsidRPr="00382917">
        <w:t>other</w:t>
      </w:r>
      <w:r w:rsidR="00EE4FC3">
        <w:t xml:space="preserve"> </w:t>
      </w:r>
      <w:r w:rsidRPr="00382917">
        <w:t>he</w:t>
      </w:r>
      <w:r w:rsidR="00EE4FC3">
        <w:t xml:space="preserve"> </w:t>
      </w:r>
      <w:r w:rsidRPr="00382917">
        <w:t>crushed</w:t>
      </w:r>
      <w:r w:rsidR="00EE4FC3">
        <w:t xml:space="preserve"> </w:t>
      </w:r>
      <w:r w:rsidRPr="00382917">
        <w:t>his</w:t>
      </w:r>
      <w:r w:rsidR="00EE4FC3">
        <w:t xml:space="preserve"> </w:t>
      </w:r>
      <w:r w:rsidRPr="00382917">
        <w:t>way</w:t>
      </w:r>
      <w:r w:rsidR="00EE4FC3">
        <w:t xml:space="preserve"> </w:t>
      </w:r>
      <w:r w:rsidRPr="00382917">
        <w:t>through</w:t>
      </w:r>
      <w:r w:rsidR="00EE4FC3">
        <w:t xml:space="preserve"> </w:t>
      </w:r>
      <w:r w:rsidRPr="00382917">
        <w:t>them</w:t>
      </w:r>
      <w:r w:rsidR="00EE4FC3">
        <w:t xml:space="preserve"> </w:t>
      </w:r>
      <w:r w:rsidRPr="00382917">
        <w:t>until</w:t>
      </w:r>
      <w:r w:rsidR="00EE4FC3">
        <w:t xml:space="preserve"> </w:t>
      </w:r>
      <w:r w:rsidRPr="00382917">
        <w:t>all</w:t>
      </w:r>
      <w:r w:rsidR="00EE4FC3">
        <w:t xml:space="preserve"> </w:t>
      </w:r>
      <w:r w:rsidRPr="00382917">
        <w:t>seven</w:t>
      </w:r>
      <w:r w:rsidR="00EE4FC3">
        <w:t xml:space="preserve"> </w:t>
      </w:r>
      <w:r w:rsidRPr="00382917">
        <w:t>of</w:t>
      </w:r>
      <w:r w:rsidR="00EE4FC3">
        <w:t xml:space="preserve"> </w:t>
      </w:r>
      <w:r w:rsidRPr="00382917">
        <w:t>the</w:t>
      </w:r>
      <w:r w:rsidR="00EE4FC3">
        <w:t xml:space="preserve"> </w:t>
      </w:r>
      <w:r w:rsidRPr="00382917">
        <w:t>barricades</w:t>
      </w:r>
      <w:r w:rsidR="00EE4FC3">
        <w:t xml:space="preserve"> </w:t>
      </w:r>
      <w:r w:rsidRPr="00382917">
        <w:t>had</w:t>
      </w:r>
      <w:r w:rsidR="00EE4FC3">
        <w:t xml:space="preserve"> </w:t>
      </w:r>
      <w:r w:rsidRPr="00382917">
        <w:t>fallen</w:t>
      </w:r>
      <w:r w:rsidR="00A93643">
        <w:t>.</w:t>
      </w:r>
      <w:r w:rsidR="00EE4FC3">
        <w:t xml:space="preserve">  </w:t>
      </w:r>
      <w:r w:rsidRPr="00382917">
        <w:t>His</w:t>
      </w:r>
      <w:r w:rsidR="00EE4FC3">
        <w:t xml:space="preserve"> </w:t>
      </w:r>
      <w:r w:rsidRPr="00382917">
        <w:t>gallantry</w:t>
      </w:r>
      <w:r w:rsidR="00EE4FC3">
        <w:t xml:space="preserve"> </w:t>
      </w:r>
      <w:r w:rsidRPr="00382917">
        <w:t>and</w:t>
      </w:r>
      <w:r w:rsidR="00EE4FC3">
        <w:t xml:space="preserve"> </w:t>
      </w:r>
      <w:r w:rsidRPr="00382917">
        <w:t>courage</w:t>
      </w:r>
      <w:r w:rsidR="00EE4FC3">
        <w:t xml:space="preserve"> </w:t>
      </w:r>
      <w:r w:rsidRPr="00382917">
        <w:t>were</w:t>
      </w:r>
      <w:r w:rsidR="00EE4FC3">
        <w:t xml:space="preserve"> </w:t>
      </w:r>
      <w:r w:rsidRPr="00382917">
        <w:t>never</w:t>
      </w:r>
      <w:r w:rsidR="00EE4FC3">
        <w:t xml:space="preserve"> </w:t>
      </w:r>
      <w:r w:rsidRPr="00382917">
        <w:t>greater,</w:t>
      </w:r>
      <w:r w:rsidR="00EE4FC3">
        <w:t xml:space="preserve"> </w:t>
      </w:r>
      <w:r w:rsidRPr="00382917">
        <w:t>but</w:t>
      </w:r>
      <w:r w:rsidR="00EE4FC3">
        <w:t xml:space="preserve"> </w:t>
      </w:r>
      <w:r w:rsidRPr="00382917">
        <w:t>his</w:t>
      </w:r>
      <w:r w:rsidR="00EE4FC3">
        <w:t xml:space="preserve"> </w:t>
      </w:r>
      <w:r w:rsidRPr="00382917">
        <w:t>days</w:t>
      </w:r>
      <w:r w:rsidR="00EE4FC3">
        <w:t xml:space="preserve"> </w:t>
      </w:r>
      <w:r w:rsidRPr="00382917">
        <w:t>of</w:t>
      </w:r>
      <w:r w:rsidR="00EE4FC3">
        <w:t xml:space="preserve"> </w:t>
      </w:r>
      <w:r w:rsidRPr="00382917">
        <w:t>horsemanship</w:t>
      </w:r>
      <w:r w:rsidR="00EE4FC3">
        <w:t xml:space="preserve"> </w:t>
      </w:r>
      <w:r w:rsidRPr="00382917">
        <w:t>and</w:t>
      </w:r>
      <w:r w:rsidR="00EE4FC3">
        <w:t xml:space="preserve"> </w:t>
      </w:r>
      <w:r w:rsidRPr="00382917">
        <w:t>heroism</w:t>
      </w:r>
      <w:r w:rsidR="00EE4FC3">
        <w:t xml:space="preserve"> </w:t>
      </w:r>
      <w:r w:rsidRPr="00382917">
        <w:t>were</w:t>
      </w:r>
      <w:r w:rsidR="00EE4FC3">
        <w:t xml:space="preserve"> </w:t>
      </w:r>
      <w:r w:rsidRPr="00382917">
        <w:t>now</w:t>
      </w:r>
      <w:r w:rsidR="00EE4FC3">
        <w:t xml:space="preserve"> </w:t>
      </w:r>
      <w:r w:rsidRPr="00382917">
        <w:t>at</w:t>
      </w:r>
      <w:r w:rsidR="00EE4FC3">
        <w:t xml:space="preserve"> </w:t>
      </w:r>
      <w:r w:rsidRPr="00382917">
        <w:t>an</w:t>
      </w:r>
      <w:r w:rsidR="00EE4FC3">
        <w:t xml:space="preserve"> </w:t>
      </w:r>
      <w:r w:rsidRPr="00382917">
        <w:t>end.</w:t>
      </w:r>
    </w:p>
    <w:p w:rsidR="00B2576B" w:rsidRPr="00382917" w:rsidRDefault="00B2576B" w:rsidP="00B2576B">
      <w:pPr>
        <w:pStyle w:val="Text"/>
      </w:pPr>
      <w:r w:rsidRPr="00382917">
        <w:t>With</w:t>
      </w:r>
      <w:r w:rsidR="00EE4FC3">
        <w:t xml:space="preserve"> </w:t>
      </w:r>
      <w:r w:rsidRPr="00382917">
        <w:t>victory</w:t>
      </w:r>
      <w:r w:rsidR="00EE4FC3">
        <w:t xml:space="preserve"> </w:t>
      </w:r>
      <w:r w:rsidRPr="00382917">
        <w:t>complete,</w:t>
      </w:r>
      <w:r w:rsidR="00EE4FC3">
        <w:t xml:space="preserve"> </w:t>
      </w:r>
      <w:r w:rsidRPr="00382917">
        <w:t>Mullá</w:t>
      </w:r>
      <w:r w:rsidR="00EE4FC3">
        <w:t xml:space="preserve"> </w:t>
      </w:r>
      <w:proofErr w:type="spellStart"/>
      <w:r w:rsidR="00964C11" w:rsidRPr="00382917">
        <w:t>Ḥusayn</w:t>
      </w:r>
      <w:r w:rsidR="009C713D" w:rsidRPr="00382917">
        <w:t>’</w:t>
      </w:r>
      <w:r w:rsidRPr="00382917">
        <w:t>s</w:t>
      </w:r>
      <w:proofErr w:type="spellEnd"/>
      <w:r w:rsidR="00EE4FC3">
        <w:t xml:space="preserve"> </w:t>
      </w:r>
      <w:r w:rsidRPr="00382917">
        <w:t>steed</w:t>
      </w:r>
      <w:r w:rsidR="00EE4FC3">
        <w:t xml:space="preserve"> </w:t>
      </w:r>
      <w:r w:rsidRPr="00382917">
        <w:t>became</w:t>
      </w:r>
      <w:r w:rsidR="00EE4FC3">
        <w:t xml:space="preserve"> </w:t>
      </w:r>
      <w:r w:rsidRPr="00382917">
        <w:t>entangled</w:t>
      </w:r>
      <w:r w:rsidR="00EE4FC3">
        <w:t xml:space="preserve"> </w:t>
      </w:r>
      <w:r w:rsidRPr="00382917">
        <w:t>in</w:t>
      </w:r>
      <w:r w:rsidR="00EE4FC3">
        <w:t xml:space="preserve"> </w:t>
      </w:r>
      <w:r w:rsidRPr="00382917">
        <w:t>the</w:t>
      </w:r>
      <w:r w:rsidR="00EE4FC3">
        <w:t xml:space="preserve"> </w:t>
      </w:r>
      <w:r w:rsidRPr="00382917">
        <w:t>rope</w:t>
      </w:r>
      <w:r w:rsidR="00EE4FC3">
        <w:t xml:space="preserve"> </w:t>
      </w:r>
      <w:r w:rsidRPr="00382917">
        <w:t>of</w:t>
      </w:r>
      <w:r w:rsidR="00EE4FC3">
        <w:t xml:space="preserve"> </w:t>
      </w:r>
      <w:r w:rsidRPr="00382917">
        <w:t>a</w:t>
      </w:r>
      <w:r w:rsidR="00EE4FC3">
        <w:t xml:space="preserve"> </w:t>
      </w:r>
      <w:r w:rsidRPr="00382917">
        <w:t>tent</w:t>
      </w:r>
      <w:r w:rsidR="00A93643">
        <w:t>.</w:t>
      </w:r>
      <w:r w:rsidR="00EE4FC3">
        <w:t xml:space="preserve">  </w:t>
      </w:r>
      <w:r w:rsidRPr="00382917">
        <w:t>Before</w:t>
      </w:r>
      <w:r w:rsidR="00EE4FC3">
        <w:t xml:space="preserve"> </w:t>
      </w:r>
      <w:r w:rsidRPr="00382917">
        <w:t>he</w:t>
      </w:r>
      <w:r w:rsidR="00EE4FC3">
        <w:t xml:space="preserve"> </w:t>
      </w:r>
      <w:r w:rsidRPr="00382917">
        <w:t>could</w:t>
      </w:r>
      <w:r w:rsidR="00EE4FC3">
        <w:t xml:space="preserve"> </w:t>
      </w:r>
      <w:r w:rsidRPr="00382917">
        <w:t>free</w:t>
      </w:r>
      <w:r w:rsidR="00EE4FC3">
        <w:t xml:space="preserve"> </w:t>
      </w:r>
      <w:r w:rsidRPr="00382917">
        <w:t>himself,</w:t>
      </w:r>
      <w:r w:rsidR="00EE4FC3">
        <w:t xml:space="preserve"> </w:t>
      </w:r>
      <w:r w:rsidRPr="00382917">
        <w:t>he</w:t>
      </w:r>
      <w:r w:rsidR="00EE4FC3">
        <w:t xml:space="preserve"> </w:t>
      </w:r>
      <w:r w:rsidRPr="00382917">
        <w:t>was</w:t>
      </w:r>
      <w:r w:rsidR="00EE4FC3">
        <w:t xml:space="preserve"> </w:t>
      </w:r>
      <w:r w:rsidRPr="00382917">
        <w:t>struck</w:t>
      </w:r>
      <w:r w:rsidR="00EE4FC3">
        <w:t xml:space="preserve"> </w:t>
      </w:r>
      <w:r w:rsidRPr="00382917">
        <w:t>in</w:t>
      </w:r>
      <w:r w:rsidR="00EE4FC3">
        <w:t xml:space="preserve"> </w:t>
      </w:r>
      <w:r w:rsidRPr="00382917">
        <w:t>the</w:t>
      </w:r>
      <w:r w:rsidR="00EE4FC3">
        <w:t xml:space="preserve"> </w:t>
      </w:r>
      <w:r w:rsidRPr="00382917">
        <w:t>breast</w:t>
      </w:r>
      <w:r w:rsidR="00EE4FC3">
        <w:t xml:space="preserve"> </w:t>
      </w:r>
      <w:r w:rsidRPr="00382917">
        <w:t>by</w:t>
      </w:r>
      <w:r w:rsidR="00EE4FC3">
        <w:t xml:space="preserve"> </w:t>
      </w:r>
      <w:r w:rsidRPr="00382917">
        <w:t>a</w:t>
      </w:r>
      <w:r w:rsidR="00EE4FC3">
        <w:t xml:space="preserve"> </w:t>
      </w:r>
      <w:r w:rsidRPr="00382917">
        <w:t>bullet</w:t>
      </w:r>
      <w:r w:rsidR="00EE4FC3">
        <w:t xml:space="preserve"> </w:t>
      </w:r>
      <w:r w:rsidRPr="00382917">
        <w:t>which</w:t>
      </w:r>
      <w:r w:rsidR="00EE4FC3">
        <w:t xml:space="preserve"> </w:t>
      </w:r>
      <w:r w:rsidRPr="00382917">
        <w:t>had</w:t>
      </w:r>
      <w:r w:rsidR="00EE4FC3">
        <w:t xml:space="preserve"> </w:t>
      </w:r>
      <w:r w:rsidRPr="00382917">
        <w:t>been</w:t>
      </w:r>
      <w:r w:rsidR="00EE4FC3">
        <w:t xml:space="preserve"> </w:t>
      </w:r>
      <w:r w:rsidRPr="00382917">
        <w:t>fired</w:t>
      </w:r>
      <w:r w:rsidR="00EE4FC3">
        <w:t xml:space="preserve"> </w:t>
      </w:r>
      <w:r w:rsidRPr="00382917">
        <w:t>from</w:t>
      </w:r>
      <w:r w:rsidR="00EE4FC3">
        <w:t xml:space="preserve"> </w:t>
      </w:r>
      <w:r w:rsidRPr="00382917">
        <w:t>the</w:t>
      </w:r>
      <w:r w:rsidR="00EE4FC3">
        <w:t xml:space="preserve"> </w:t>
      </w:r>
      <w:r w:rsidRPr="00382917">
        <w:t>ambush</w:t>
      </w:r>
      <w:r w:rsidR="00EE4FC3">
        <w:t xml:space="preserve"> </w:t>
      </w:r>
      <w:r w:rsidRPr="00382917">
        <w:t>of</w:t>
      </w:r>
      <w:r w:rsidR="00EE4FC3">
        <w:t xml:space="preserve"> </w:t>
      </w:r>
      <w:r w:rsidRPr="00382917">
        <w:t>a</w:t>
      </w:r>
      <w:r w:rsidR="00EE4FC3">
        <w:t xml:space="preserve"> </w:t>
      </w:r>
      <w:proofErr w:type="spellStart"/>
      <w:r w:rsidRPr="00382917">
        <w:t>neighboring</w:t>
      </w:r>
      <w:proofErr w:type="spellEnd"/>
      <w:r w:rsidR="00EE4FC3">
        <w:t xml:space="preserve"> </w:t>
      </w:r>
      <w:r w:rsidRPr="00382917">
        <w:t>tree</w:t>
      </w:r>
      <w:r w:rsidR="00A93643">
        <w:t>.</w:t>
      </w:r>
      <w:r w:rsidR="00EE4FC3">
        <w:t xml:space="preserve">  </w:t>
      </w:r>
      <w:proofErr w:type="gramStart"/>
      <w:r w:rsidRPr="00382917">
        <w:t>One</w:t>
      </w:r>
      <w:r w:rsidR="00EE4FC3">
        <w:t xml:space="preserve"> </w:t>
      </w:r>
      <w:r w:rsidRPr="00382917">
        <w:t>of</w:t>
      </w:r>
      <w:r w:rsidR="00EE4FC3">
        <w:t xml:space="preserve"> </w:t>
      </w:r>
      <w:r w:rsidRPr="00382917">
        <w:t>the</w:t>
      </w:r>
      <w:r w:rsidR="00EE4FC3">
        <w:t xml:space="preserve"> </w:t>
      </w:r>
      <w:r w:rsidRPr="00382917">
        <w:t>leaders</w:t>
      </w:r>
      <w:r w:rsidR="00EE4FC3">
        <w:t xml:space="preserve"> </w:t>
      </w:r>
      <w:r w:rsidRPr="00382917">
        <w:t>of</w:t>
      </w:r>
      <w:r w:rsidR="00EE4FC3">
        <w:t xml:space="preserve"> </w:t>
      </w:r>
      <w:r w:rsidRPr="00382917">
        <w:t>the</w:t>
      </w:r>
      <w:r w:rsidR="00EE4FC3">
        <w:t xml:space="preserve"> </w:t>
      </w:r>
      <w:r w:rsidRPr="00382917">
        <w:t>enemy,</w:t>
      </w:r>
      <w:r w:rsidR="00EE4FC3">
        <w:t xml:space="preserve"> </w:t>
      </w:r>
      <w:r w:rsidR="009C713D" w:rsidRPr="00382917">
        <w:t>‘</w:t>
      </w:r>
      <w:r w:rsidRPr="00382917">
        <w:t>Abbás-Qulí</w:t>
      </w:r>
      <w:r w:rsidR="00EE4FC3">
        <w:t xml:space="preserve"> </w:t>
      </w:r>
      <w:r w:rsidR="0040329F" w:rsidRPr="0040329F">
        <w:rPr>
          <w:u w:val="single"/>
        </w:rPr>
        <w:t>Kh</w:t>
      </w:r>
      <w:r w:rsidR="0040329F" w:rsidRPr="00382917">
        <w:t>án</w:t>
      </w:r>
      <w:r w:rsidRPr="00382917">
        <w:t>,</w:t>
      </w:r>
      <w:r w:rsidR="00EE4FC3">
        <w:t xml:space="preserve"> </w:t>
      </w:r>
      <w:r w:rsidRPr="00382917">
        <w:t>had</w:t>
      </w:r>
      <w:r w:rsidR="00EE4FC3">
        <w:t xml:space="preserve"> </w:t>
      </w:r>
      <w:r w:rsidRPr="00382917">
        <w:t>fled</w:t>
      </w:r>
      <w:r w:rsidR="00EE4FC3">
        <w:t xml:space="preserve"> </w:t>
      </w:r>
      <w:r w:rsidRPr="00382917">
        <w:t>and</w:t>
      </w:r>
      <w:r w:rsidR="00EE4FC3">
        <w:t xml:space="preserve"> </w:t>
      </w:r>
      <w:r w:rsidRPr="00382917">
        <w:t>hidden</w:t>
      </w:r>
      <w:r w:rsidR="00EE4FC3">
        <w:t xml:space="preserve"> </w:t>
      </w:r>
      <w:r w:rsidRPr="00382917">
        <w:t>in</w:t>
      </w:r>
      <w:r w:rsidR="00EE4FC3">
        <w:t xml:space="preserve"> </w:t>
      </w:r>
      <w:r w:rsidRPr="00382917">
        <w:t>the</w:t>
      </w:r>
      <w:r w:rsidR="00EE4FC3">
        <w:t xml:space="preserve"> </w:t>
      </w:r>
      <w:r w:rsidRPr="00382917">
        <w:t>sheltering</w:t>
      </w:r>
      <w:r w:rsidR="00EE4FC3">
        <w:t xml:space="preserve"> </w:t>
      </w:r>
      <w:r w:rsidRPr="00382917">
        <w:t>branches</w:t>
      </w:r>
      <w:r w:rsidR="00EE4FC3">
        <w:t xml:space="preserve"> </w:t>
      </w:r>
      <w:r w:rsidRPr="00382917">
        <w:t>rather</w:t>
      </w:r>
      <w:r w:rsidR="00EE4FC3">
        <w:t xml:space="preserve"> </w:t>
      </w:r>
      <w:r w:rsidRPr="00382917">
        <w:t>than</w:t>
      </w:r>
      <w:r w:rsidR="00EE4FC3">
        <w:t xml:space="preserve"> </w:t>
      </w:r>
      <w:r w:rsidRPr="00382917">
        <w:t>face</w:t>
      </w:r>
      <w:r w:rsidR="00EE4FC3">
        <w:t xml:space="preserve"> </w:t>
      </w:r>
      <w:r w:rsidRPr="00382917">
        <w:t>the</w:t>
      </w:r>
      <w:r w:rsidR="00EE4FC3">
        <w:t xml:space="preserve"> </w:t>
      </w:r>
      <w:r w:rsidRPr="00382917">
        <w:t>attack</w:t>
      </w:r>
      <w:r w:rsidR="00EE4FC3">
        <w:t xml:space="preserve"> </w:t>
      </w:r>
      <w:r w:rsidRPr="00382917">
        <w:t>of</w:t>
      </w:r>
      <w:r w:rsidR="00EE4FC3">
        <w:t xml:space="preserve"> </w:t>
      </w:r>
      <w:r w:rsidRPr="00382917">
        <w:t>Mullá</w:t>
      </w:r>
      <w:r w:rsidR="00EE4FC3">
        <w:t xml:space="preserve"> </w:t>
      </w:r>
      <w:r w:rsidR="00964C11" w:rsidRPr="00382917">
        <w:t>Ḥusayn</w:t>
      </w:r>
      <w:r w:rsidR="00A93643">
        <w:t>.</w:t>
      </w:r>
      <w:proofErr w:type="gramEnd"/>
      <w:r w:rsidR="00EE4FC3">
        <w:t xml:space="preserve">  </w:t>
      </w:r>
      <w:r w:rsidRPr="00382917">
        <w:t>Seeing</w:t>
      </w:r>
      <w:r w:rsidR="00EE4FC3">
        <w:t xml:space="preserve"> </w:t>
      </w:r>
      <w:r w:rsidRPr="00382917">
        <w:t>him</w:t>
      </w:r>
      <w:r w:rsidR="00EE4FC3">
        <w:t xml:space="preserve"> </w:t>
      </w:r>
      <w:r w:rsidRPr="00382917">
        <w:t>in</w:t>
      </w:r>
      <w:r w:rsidR="00EE4FC3">
        <w:t xml:space="preserve"> </w:t>
      </w:r>
      <w:r w:rsidRPr="00382917">
        <w:t>distress,</w:t>
      </w:r>
      <w:r w:rsidR="00EE4FC3">
        <w:t xml:space="preserve"> </w:t>
      </w:r>
      <w:r w:rsidRPr="00382917">
        <w:t>he</w:t>
      </w:r>
      <w:r w:rsidR="00EE4FC3">
        <w:t xml:space="preserve"> </w:t>
      </w:r>
      <w:r w:rsidRPr="00382917">
        <w:t>fired</w:t>
      </w:r>
      <w:r w:rsidR="00EE4FC3">
        <w:t xml:space="preserve"> </w:t>
      </w:r>
      <w:r w:rsidRPr="00382917">
        <w:t>the</w:t>
      </w:r>
      <w:r w:rsidR="00EE4FC3">
        <w:t xml:space="preserve"> </w:t>
      </w:r>
      <w:r w:rsidRPr="00382917">
        <w:t>fatal</w:t>
      </w:r>
      <w:r w:rsidR="00EE4FC3">
        <w:t xml:space="preserve"> </w:t>
      </w:r>
      <w:r w:rsidRPr="00382917">
        <w:t>shot.</w:t>
      </w:r>
    </w:p>
    <w:p w:rsidR="00B2576B" w:rsidRPr="00382917" w:rsidRDefault="00B2576B" w:rsidP="00B2576B">
      <w:pPr>
        <w:pStyle w:val="Text"/>
      </w:pPr>
      <w:r w:rsidRPr="00382917">
        <w:t>Mullá</w:t>
      </w:r>
      <w:r w:rsidR="00EE4FC3">
        <w:t xml:space="preserve"> </w:t>
      </w:r>
      <w:r w:rsidR="00964C11" w:rsidRPr="00382917">
        <w:t>Ḥusayn</w:t>
      </w:r>
      <w:r w:rsidR="00EE4FC3">
        <w:t xml:space="preserve"> </w:t>
      </w:r>
      <w:r w:rsidRPr="00382917">
        <w:t>dismounted,</w:t>
      </w:r>
      <w:r w:rsidR="00EE4FC3">
        <w:t xml:space="preserve"> </w:t>
      </w:r>
      <w:r w:rsidRPr="00382917">
        <w:t>staggered</w:t>
      </w:r>
      <w:r w:rsidR="00EE4FC3">
        <w:t xml:space="preserve"> </w:t>
      </w:r>
      <w:r w:rsidRPr="00382917">
        <w:t>a</w:t>
      </w:r>
      <w:r w:rsidR="00EE4FC3">
        <w:t xml:space="preserve"> </w:t>
      </w:r>
      <w:r w:rsidRPr="00382917">
        <w:t>few</w:t>
      </w:r>
      <w:r w:rsidR="00EE4FC3">
        <w:t xml:space="preserve"> </w:t>
      </w:r>
      <w:r w:rsidRPr="00382917">
        <w:t>steps,</w:t>
      </w:r>
      <w:r w:rsidR="00EE4FC3">
        <w:t xml:space="preserve"> </w:t>
      </w:r>
      <w:proofErr w:type="gramStart"/>
      <w:r w:rsidRPr="00382917">
        <w:t>then</w:t>
      </w:r>
      <w:proofErr w:type="gramEnd"/>
      <w:r w:rsidR="00EE4FC3">
        <w:t xml:space="preserve"> </w:t>
      </w:r>
      <w:r w:rsidRPr="00382917">
        <w:t>fell</w:t>
      </w:r>
      <w:r w:rsidR="00EE4FC3">
        <w:t xml:space="preserve"> </w:t>
      </w:r>
      <w:r w:rsidRPr="00382917">
        <w:t>exhausted</w:t>
      </w:r>
      <w:r w:rsidR="00EE4FC3">
        <w:t xml:space="preserve"> </w:t>
      </w:r>
      <w:r w:rsidRPr="00382917">
        <w:t>to</w:t>
      </w:r>
      <w:r w:rsidR="00EE4FC3">
        <w:t xml:space="preserve"> </w:t>
      </w:r>
      <w:r w:rsidRPr="00382917">
        <w:t>the</w:t>
      </w:r>
      <w:r w:rsidR="00EE4FC3">
        <w:t xml:space="preserve"> </w:t>
      </w:r>
      <w:r w:rsidRPr="00382917">
        <w:t>ground,</w:t>
      </w:r>
      <w:r w:rsidR="00EE4FC3">
        <w:t xml:space="preserve"> </w:t>
      </w:r>
      <w:r w:rsidRPr="00382917">
        <w:t>unconscious</w:t>
      </w:r>
      <w:r w:rsidR="00A93643">
        <w:t>.</w:t>
      </w:r>
      <w:r w:rsidR="00EE4FC3">
        <w:t xml:space="preserve">  </w:t>
      </w:r>
      <w:r w:rsidRPr="00382917">
        <w:t>Two</w:t>
      </w:r>
      <w:r w:rsidR="00EE4FC3">
        <w:t xml:space="preserve"> </w:t>
      </w:r>
      <w:r w:rsidRPr="00382917">
        <w:t>of</w:t>
      </w:r>
      <w:r w:rsidR="00EE4FC3">
        <w:t xml:space="preserve"> </w:t>
      </w:r>
      <w:r w:rsidRPr="00382917">
        <w:t>his</w:t>
      </w:r>
      <w:r w:rsidR="00EE4FC3">
        <w:t xml:space="preserve"> </w:t>
      </w:r>
      <w:r w:rsidRPr="00382917">
        <w:t>companions</w:t>
      </w:r>
      <w:r w:rsidR="00EE4FC3">
        <w:t xml:space="preserve"> </w:t>
      </w:r>
      <w:r w:rsidRPr="00382917">
        <w:t>bore</w:t>
      </w:r>
      <w:r w:rsidR="00EE4FC3">
        <w:t xml:space="preserve"> </w:t>
      </w:r>
      <w:r w:rsidRPr="00382917">
        <w:t>him</w:t>
      </w:r>
      <w:r w:rsidR="00EE4FC3">
        <w:t xml:space="preserve"> </w:t>
      </w:r>
      <w:r w:rsidRPr="00382917">
        <w:t>back</w:t>
      </w:r>
      <w:r w:rsidR="00EE4FC3">
        <w:t xml:space="preserve"> </w:t>
      </w:r>
      <w:r w:rsidRPr="00382917">
        <w:t>to</w:t>
      </w:r>
      <w:r w:rsidR="00EE4FC3">
        <w:t xml:space="preserve"> </w:t>
      </w:r>
      <w:r w:rsidRPr="00382917">
        <w:t>the</w:t>
      </w:r>
      <w:r w:rsidR="00EE4FC3">
        <w:t xml:space="preserve"> </w:t>
      </w:r>
      <w:r w:rsidRPr="00382917">
        <w:t>fort.</w:t>
      </w:r>
    </w:p>
    <w:p w:rsidR="00B2576B" w:rsidRPr="00382917" w:rsidRDefault="00B2576B" w:rsidP="00B2576B">
      <w:pPr>
        <w:pStyle w:val="Text"/>
      </w:pPr>
      <w:r w:rsidRPr="00382917">
        <w:t>Quddús</w:t>
      </w:r>
      <w:r w:rsidR="00EE4FC3">
        <w:t xml:space="preserve"> </w:t>
      </w:r>
      <w:r w:rsidRPr="00382917">
        <w:t>said,</w:t>
      </w:r>
      <w:r w:rsidR="00EE4FC3">
        <w:t xml:space="preserve"> </w:t>
      </w:r>
      <w:r w:rsidR="009C713D" w:rsidRPr="00382917">
        <w:t>“</w:t>
      </w:r>
      <w:r w:rsidRPr="00382917">
        <w:t>Leave</w:t>
      </w:r>
      <w:r w:rsidR="00EE4FC3">
        <w:t xml:space="preserve"> </w:t>
      </w:r>
      <w:r w:rsidRPr="00382917">
        <w:t>me</w:t>
      </w:r>
      <w:r w:rsidR="00EE4FC3">
        <w:t xml:space="preserve"> </w:t>
      </w:r>
      <w:r w:rsidRPr="00382917">
        <w:t>alone</w:t>
      </w:r>
      <w:r w:rsidR="00EE4FC3">
        <w:t xml:space="preserve"> </w:t>
      </w:r>
      <w:r w:rsidRPr="00382917">
        <w:t>with</w:t>
      </w:r>
      <w:r w:rsidR="00EE4FC3">
        <w:t xml:space="preserve"> </w:t>
      </w:r>
      <w:r w:rsidRPr="00382917">
        <w:t>him.</w:t>
      </w:r>
      <w:r w:rsidR="009C713D" w:rsidRPr="00382917">
        <w:t>”</w:t>
      </w:r>
    </w:p>
    <w:p w:rsidR="00B2576B" w:rsidRPr="00382917" w:rsidRDefault="00B2576B" w:rsidP="00B2576B">
      <w:pPr>
        <w:pStyle w:val="Text"/>
      </w:pPr>
      <w:r w:rsidRPr="00382917">
        <w:t>The</w:t>
      </w:r>
      <w:r w:rsidR="00EE4FC3">
        <w:t xml:space="preserve"> </w:t>
      </w:r>
      <w:r w:rsidRPr="00382917">
        <w:t>friends</w:t>
      </w:r>
      <w:r w:rsidR="00EE4FC3">
        <w:t xml:space="preserve"> </w:t>
      </w:r>
      <w:r w:rsidRPr="00382917">
        <w:t>retired</w:t>
      </w:r>
      <w:r w:rsidR="00A93643">
        <w:t>.</w:t>
      </w:r>
      <w:r w:rsidR="00EE4FC3">
        <w:t xml:space="preserve">  </w:t>
      </w:r>
      <w:r w:rsidRPr="00382917">
        <w:t>One</w:t>
      </w:r>
      <w:r w:rsidR="00EE4FC3">
        <w:t xml:space="preserve"> </w:t>
      </w:r>
      <w:r w:rsidRPr="00382917">
        <w:t>of</w:t>
      </w:r>
      <w:r w:rsidR="00EE4FC3">
        <w:t xml:space="preserve"> </w:t>
      </w:r>
      <w:r w:rsidRPr="00382917">
        <w:t>them</w:t>
      </w:r>
      <w:r w:rsidR="00EE4FC3">
        <w:t xml:space="preserve"> </w:t>
      </w:r>
      <w:r w:rsidRPr="00382917">
        <w:t>standing</w:t>
      </w:r>
      <w:r w:rsidR="00EE4FC3">
        <w:t xml:space="preserve"> </w:t>
      </w:r>
      <w:r w:rsidRPr="00382917">
        <w:t>near</w:t>
      </w:r>
      <w:r w:rsidR="00EE4FC3">
        <w:t xml:space="preserve"> </w:t>
      </w:r>
      <w:r w:rsidRPr="00382917">
        <w:t>the</w:t>
      </w:r>
      <w:r w:rsidR="00EE4FC3">
        <w:t xml:space="preserve"> </w:t>
      </w:r>
      <w:r w:rsidRPr="00382917">
        <w:t>door</w:t>
      </w:r>
      <w:r w:rsidR="00EE4FC3">
        <w:t xml:space="preserve"> </w:t>
      </w:r>
      <w:r w:rsidRPr="00382917">
        <w:t>heard</w:t>
      </w:r>
      <w:r w:rsidR="00EE4FC3">
        <w:t xml:space="preserve"> </w:t>
      </w:r>
      <w:r w:rsidRPr="00382917">
        <w:t>Quddús</w:t>
      </w:r>
      <w:r w:rsidR="00EE4FC3">
        <w:t xml:space="preserve"> </w:t>
      </w:r>
      <w:r w:rsidRPr="00382917">
        <w:t>speak</w:t>
      </w:r>
      <w:r w:rsidR="00EE4FC3">
        <w:t xml:space="preserve"> </w:t>
      </w:r>
      <w:r w:rsidRPr="00382917">
        <w:t>gently</w:t>
      </w:r>
      <w:r w:rsidR="00EE4FC3">
        <w:t xml:space="preserve"> </w:t>
      </w:r>
      <w:r w:rsidRPr="00382917">
        <w:t>to</w:t>
      </w:r>
      <w:r w:rsidR="00EE4FC3">
        <w:t xml:space="preserve"> </w:t>
      </w:r>
      <w:r w:rsidRPr="00382917">
        <w:t>Mullá</w:t>
      </w:r>
      <w:r w:rsidR="00EE4FC3">
        <w:t xml:space="preserve"> </w:t>
      </w:r>
      <w:r w:rsidR="00964C11" w:rsidRPr="00382917">
        <w:t>Ḥusayn</w:t>
      </w:r>
      <w:r w:rsidR="00EE4FC3">
        <w:t xml:space="preserve"> </w:t>
      </w:r>
      <w:r w:rsidRPr="00382917">
        <w:t>with</w:t>
      </w:r>
      <w:r w:rsidR="00EE4FC3">
        <w:t xml:space="preserve"> </w:t>
      </w:r>
      <w:r w:rsidRPr="00382917">
        <w:t>the</w:t>
      </w:r>
      <w:r w:rsidR="00EE4FC3">
        <w:t xml:space="preserve"> </w:t>
      </w:r>
      <w:r w:rsidRPr="00382917">
        <w:t>greatest</w:t>
      </w:r>
      <w:r w:rsidR="00EE4FC3">
        <w:t xml:space="preserve"> </w:t>
      </w:r>
      <w:r w:rsidRPr="00382917">
        <w:t>love</w:t>
      </w:r>
      <w:r w:rsidR="00A93643">
        <w:t>.</w:t>
      </w:r>
      <w:r w:rsidR="00EE4FC3">
        <w:t xml:space="preserve">  </w:t>
      </w:r>
      <w:r w:rsidR="009C713D" w:rsidRPr="00382917">
        <w:t>“</w:t>
      </w:r>
      <w:r w:rsidRPr="00382917">
        <w:t>You</w:t>
      </w:r>
      <w:r w:rsidR="00EE4FC3">
        <w:t xml:space="preserve"> </w:t>
      </w:r>
      <w:r w:rsidRPr="00382917">
        <w:t>have</w:t>
      </w:r>
      <w:r w:rsidR="00EE4FC3">
        <w:t xml:space="preserve"> </w:t>
      </w:r>
      <w:r w:rsidRPr="00382917">
        <w:t>hastened</w:t>
      </w:r>
      <w:r w:rsidR="00EE4FC3">
        <w:t xml:space="preserve"> </w:t>
      </w:r>
      <w:r w:rsidRPr="00382917">
        <w:t>the</w:t>
      </w:r>
      <w:r w:rsidR="00EE4FC3">
        <w:t xml:space="preserve"> </w:t>
      </w:r>
      <w:r w:rsidRPr="00382917">
        <w:t>hour</w:t>
      </w:r>
      <w:r w:rsidR="00EE4FC3">
        <w:t xml:space="preserve"> </w:t>
      </w:r>
      <w:r w:rsidRPr="00382917">
        <w:t>of</w:t>
      </w:r>
      <w:r w:rsidR="00EE4FC3">
        <w:t xml:space="preserve"> </w:t>
      </w:r>
      <w:r w:rsidRPr="00382917">
        <w:t>your</w:t>
      </w:r>
      <w:r w:rsidR="00EE4FC3">
        <w:t xml:space="preserve"> </w:t>
      </w:r>
      <w:r w:rsidRPr="00382917">
        <w:t>departure,</w:t>
      </w:r>
      <w:r w:rsidR="00EE4FC3">
        <w:t xml:space="preserve"> </w:t>
      </w:r>
      <w:r w:rsidRPr="00382917">
        <w:t>and</w:t>
      </w:r>
      <w:r w:rsidR="00EE4FC3">
        <w:t xml:space="preserve"> </w:t>
      </w:r>
      <w:r w:rsidRPr="00382917">
        <w:t>have</w:t>
      </w:r>
    </w:p>
    <w:p w:rsidR="00B2576B" w:rsidRPr="00382917" w:rsidRDefault="00B2576B">
      <w:pPr>
        <w:widowControl/>
        <w:kinsoku/>
        <w:overflowPunct/>
        <w:textAlignment w:val="auto"/>
      </w:pPr>
      <w:r w:rsidRPr="00382917">
        <w:br w:type="page"/>
      </w:r>
    </w:p>
    <w:p w:rsidR="00DB6293" w:rsidRPr="00382917" w:rsidRDefault="00DB6293" w:rsidP="00DB6293">
      <w:pPr>
        <w:pStyle w:val="Textcts"/>
      </w:pPr>
      <w:proofErr w:type="gramStart"/>
      <w:r w:rsidRPr="00382917">
        <w:t>abandoned</w:t>
      </w:r>
      <w:proofErr w:type="gramEnd"/>
      <w:r w:rsidR="00EE4FC3">
        <w:t xml:space="preserve"> </w:t>
      </w:r>
      <w:r w:rsidRPr="00382917">
        <w:t>me</w:t>
      </w:r>
      <w:r w:rsidR="00EE4FC3">
        <w:t xml:space="preserve"> </w:t>
      </w:r>
      <w:r w:rsidRPr="00382917">
        <w:t>to</w:t>
      </w:r>
      <w:r w:rsidR="00EE4FC3">
        <w:t xml:space="preserve"> </w:t>
      </w:r>
      <w:r w:rsidRPr="00382917">
        <w:t>the</w:t>
      </w:r>
      <w:r w:rsidR="00EE4FC3">
        <w:t xml:space="preserve"> </w:t>
      </w:r>
      <w:r w:rsidRPr="00382917">
        <w:t>mercy</w:t>
      </w:r>
      <w:r w:rsidR="00EE4FC3">
        <w:t xml:space="preserve"> </w:t>
      </w:r>
      <w:r w:rsidRPr="00382917">
        <w:t>of</w:t>
      </w:r>
      <w:r w:rsidR="00EE4FC3">
        <w:t xml:space="preserve"> </w:t>
      </w:r>
      <w:r w:rsidRPr="00382917">
        <w:t>my</w:t>
      </w:r>
      <w:r w:rsidR="00EE4FC3">
        <w:t xml:space="preserve"> </w:t>
      </w:r>
      <w:r w:rsidRPr="00382917">
        <w:t>foes</w:t>
      </w:r>
      <w:r w:rsidR="00A93643">
        <w:t>.</w:t>
      </w:r>
      <w:r w:rsidR="00EE4FC3">
        <w:t xml:space="preserve">  </w:t>
      </w:r>
      <w:r w:rsidRPr="00382917">
        <w:t>Please</w:t>
      </w:r>
      <w:r w:rsidR="00EE4FC3">
        <w:t xml:space="preserve"> </w:t>
      </w:r>
      <w:r w:rsidRPr="00382917">
        <w:t>God</w:t>
      </w:r>
      <w:r w:rsidR="00EE4FC3">
        <w:t xml:space="preserve"> </w:t>
      </w:r>
      <w:r w:rsidRPr="00382917">
        <w:t>I</w:t>
      </w:r>
      <w:r w:rsidR="00EE4FC3">
        <w:t xml:space="preserve"> </w:t>
      </w:r>
      <w:r w:rsidRPr="00382917">
        <w:t>will</w:t>
      </w:r>
      <w:r w:rsidR="00EE4FC3">
        <w:t xml:space="preserve"> </w:t>
      </w:r>
      <w:r w:rsidRPr="00382917">
        <w:t>ere</w:t>
      </w:r>
      <w:r w:rsidR="00EE4FC3">
        <w:t xml:space="preserve"> </w:t>
      </w:r>
      <w:r w:rsidRPr="00382917">
        <w:t>long</w:t>
      </w:r>
      <w:r w:rsidR="00EE4FC3">
        <w:t xml:space="preserve"> </w:t>
      </w:r>
      <w:r w:rsidRPr="00382917">
        <w:t>join</w:t>
      </w:r>
      <w:r w:rsidR="00EE4FC3">
        <w:t xml:space="preserve"> </w:t>
      </w:r>
      <w:r w:rsidRPr="00382917">
        <w:t>you</w:t>
      </w:r>
      <w:r w:rsidR="00EE4FC3">
        <w:t xml:space="preserve"> </w:t>
      </w:r>
      <w:r w:rsidRPr="00382917">
        <w:t>and</w:t>
      </w:r>
      <w:r w:rsidR="00EE4FC3">
        <w:t xml:space="preserve"> </w:t>
      </w:r>
      <w:r w:rsidRPr="00382917">
        <w:t>taste</w:t>
      </w:r>
      <w:r w:rsidR="00EE4FC3">
        <w:t xml:space="preserve"> </w:t>
      </w:r>
      <w:r w:rsidRPr="00382917">
        <w:t>the</w:t>
      </w:r>
      <w:r w:rsidR="00EE4FC3">
        <w:t xml:space="preserve"> </w:t>
      </w:r>
      <w:r w:rsidRPr="00382917">
        <w:t>sweetness</w:t>
      </w:r>
      <w:r w:rsidR="00EE4FC3">
        <w:t xml:space="preserve"> </w:t>
      </w:r>
      <w:r w:rsidRPr="00382917">
        <w:t>of</w:t>
      </w:r>
      <w:r w:rsidR="00EE4FC3">
        <w:t xml:space="preserve"> </w:t>
      </w:r>
      <w:r w:rsidRPr="00382917">
        <w:t>heaven.</w:t>
      </w:r>
      <w:r w:rsidR="009C713D" w:rsidRPr="00382917">
        <w:t>”</w:t>
      </w:r>
    </w:p>
    <w:p w:rsidR="00DB6293" w:rsidRPr="00382917" w:rsidRDefault="00DB6293" w:rsidP="00DB6293">
      <w:pPr>
        <w:pStyle w:val="Text"/>
      </w:pPr>
      <w:r w:rsidRPr="00382917">
        <w:t>What</w:t>
      </w:r>
      <w:r w:rsidR="00EE4FC3">
        <w:t xml:space="preserve"> </w:t>
      </w:r>
      <w:r w:rsidRPr="00382917">
        <w:t>a</w:t>
      </w:r>
      <w:r w:rsidR="00EE4FC3">
        <w:t xml:space="preserve"> </w:t>
      </w:r>
      <w:r w:rsidRPr="00382917">
        <w:t>short</w:t>
      </w:r>
      <w:r w:rsidR="00EE4FC3">
        <w:t xml:space="preserve"> </w:t>
      </w:r>
      <w:r w:rsidRPr="00382917">
        <w:t>time</w:t>
      </w:r>
      <w:r w:rsidR="00EE4FC3">
        <w:t xml:space="preserve"> </w:t>
      </w:r>
      <w:r w:rsidRPr="00382917">
        <w:t>had</w:t>
      </w:r>
      <w:r w:rsidR="00EE4FC3">
        <w:t xml:space="preserve"> </w:t>
      </w:r>
      <w:r w:rsidRPr="00382917">
        <w:t>passed</w:t>
      </w:r>
      <w:r w:rsidR="00EE4FC3">
        <w:t xml:space="preserve"> </w:t>
      </w:r>
      <w:r w:rsidRPr="00382917">
        <w:t>since</w:t>
      </w:r>
      <w:r w:rsidR="00EE4FC3">
        <w:t xml:space="preserve"> </w:t>
      </w:r>
      <w:r w:rsidRPr="00382917">
        <w:t>that</w:t>
      </w:r>
      <w:r w:rsidR="00EE4FC3">
        <w:t xml:space="preserve"> </w:t>
      </w:r>
      <w:r w:rsidRPr="00382917">
        <w:t>night</w:t>
      </w:r>
      <w:r w:rsidR="00EE4FC3">
        <w:t xml:space="preserve"> </w:t>
      </w:r>
      <w:r w:rsidRPr="00382917">
        <w:t>in</w:t>
      </w:r>
      <w:r w:rsidR="00EE4FC3">
        <w:t xml:space="preserve"> </w:t>
      </w:r>
      <w:r w:rsidR="008A073E" w:rsidRPr="00382917">
        <w:rPr>
          <w:u w:val="single"/>
        </w:rPr>
        <w:t>Sh</w:t>
      </w:r>
      <w:r w:rsidR="008A073E" w:rsidRPr="00382917">
        <w:t>íráz</w:t>
      </w:r>
      <w:r w:rsidR="00EE4FC3">
        <w:t xml:space="preserve"> </w:t>
      </w:r>
      <w:r w:rsidRPr="00382917">
        <w:t>when</w:t>
      </w:r>
      <w:r w:rsidR="00EE4FC3">
        <w:t xml:space="preserve"> </w:t>
      </w:r>
      <w:r w:rsidRPr="00382917">
        <w:t>the</w:t>
      </w:r>
      <w:r w:rsidR="00EE4FC3">
        <w:t xml:space="preserve"> </w:t>
      </w:r>
      <w:r w:rsidRPr="00382917">
        <w:t>Báb</w:t>
      </w:r>
      <w:r w:rsidR="00EE4FC3">
        <w:t xml:space="preserve"> </w:t>
      </w:r>
      <w:r w:rsidRPr="00382917">
        <w:t>had</w:t>
      </w:r>
      <w:r w:rsidR="00EE4FC3">
        <w:t xml:space="preserve"> </w:t>
      </w:r>
      <w:r w:rsidRPr="00382917">
        <w:t>spoken</w:t>
      </w:r>
      <w:r w:rsidR="00EE4FC3">
        <w:t xml:space="preserve"> </w:t>
      </w:r>
      <w:r w:rsidRPr="00382917">
        <w:t>to</w:t>
      </w:r>
      <w:r w:rsidR="00EE4FC3">
        <w:t xml:space="preserve"> </w:t>
      </w:r>
      <w:r w:rsidRPr="00382917">
        <w:t>Mullá</w:t>
      </w:r>
      <w:r w:rsidR="00EE4FC3">
        <w:t xml:space="preserve"> </w:t>
      </w:r>
      <w:r w:rsidR="00964C11" w:rsidRPr="00382917">
        <w:t>Ḥusayn</w:t>
      </w:r>
      <w:r w:rsidRPr="00382917">
        <w:t>,</w:t>
      </w:r>
      <w:r w:rsidR="00EE4FC3">
        <w:t xml:space="preserve"> </w:t>
      </w:r>
      <w:r w:rsidRPr="00382917">
        <w:t>saying</w:t>
      </w:r>
      <w:r w:rsidR="00C03C91">
        <w:t>:</w:t>
      </w:r>
      <w:r w:rsidR="00EE4FC3">
        <w:t xml:space="preserve">  </w:t>
      </w:r>
      <w:r w:rsidR="009C713D" w:rsidRPr="00382917">
        <w:t>“</w:t>
      </w:r>
      <w:r w:rsidRPr="00382917">
        <w:t>O</w:t>
      </w:r>
      <w:r w:rsidR="00EE4FC3">
        <w:t xml:space="preserve"> </w:t>
      </w:r>
      <w:r w:rsidRPr="00382917">
        <w:t>thou</w:t>
      </w:r>
      <w:r w:rsidR="00EE4FC3">
        <w:t xml:space="preserve"> </w:t>
      </w:r>
      <w:r w:rsidRPr="00382917">
        <w:t>who</w:t>
      </w:r>
      <w:r w:rsidR="00EE4FC3">
        <w:t xml:space="preserve"> </w:t>
      </w:r>
      <w:proofErr w:type="spellStart"/>
      <w:r w:rsidRPr="00382917">
        <w:t>art</w:t>
      </w:r>
      <w:proofErr w:type="spellEnd"/>
      <w:r w:rsidR="00EE4FC3">
        <w:t xml:space="preserve"> </w:t>
      </w:r>
      <w:r w:rsidRPr="00382917">
        <w:t>the</w:t>
      </w:r>
      <w:r w:rsidR="00EE4FC3">
        <w:t xml:space="preserve"> </w:t>
      </w:r>
      <w:r w:rsidRPr="00382917">
        <w:t>first</w:t>
      </w:r>
      <w:r w:rsidR="00EE4FC3">
        <w:t xml:space="preserve"> </w:t>
      </w:r>
      <w:r w:rsidRPr="00382917">
        <w:t>to</w:t>
      </w:r>
      <w:r w:rsidR="00EE4FC3">
        <w:t xml:space="preserve"> </w:t>
      </w:r>
      <w:r w:rsidRPr="00382917">
        <w:t>believe</w:t>
      </w:r>
      <w:r w:rsidR="00EE4FC3">
        <w:t xml:space="preserve"> </w:t>
      </w:r>
      <w:r w:rsidRPr="00382917">
        <w:t>in</w:t>
      </w:r>
      <w:r w:rsidR="00EE4FC3">
        <w:t xml:space="preserve"> </w:t>
      </w:r>
      <w:proofErr w:type="gramStart"/>
      <w:r w:rsidRPr="00382917">
        <w:t>Me</w:t>
      </w:r>
      <w:proofErr w:type="gramEnd"/>
      <w:r w:rsidRPr="00382917">
        <w:t>,</w:t>
      </w:r>
      <w:r w:rsidR="00EE4FC3">
        <w:t xml:space="preserve"> </w:t>
      </w:r>
      <w:r w:rsidRPr="00382917">
        <w:t>verily,</w:t>
      </w:r>
      <w:r w:rsidR="00EE4FC3">
        <w:t xml:space="preserve"> </w:t>
      </w:r>
      <w:r w:rsidRPr="00382917">
        <w:t>I</w:t>
      </w:r>
      <w:r w:rsidR="00EE4FC3">
        <w:t xml:space="preserve"> </w:t>
      </w:r>
      <w:r w:rsidRPr="00382917">
        <w:t>say</w:t>
      </w:r>
      <w:r w:rsidR="00EE4FC3">
        <w:t xml:space="preserve"> </w:t>
      </w:r>
      <w:r w:rsidRPr="00382917">
        <w:t>I</w:t>
      </w:r>
      <w:r w:rsidR="00EE4FC3">
        <w:t xml:space="preserve"> </w:t>
      </w:r>
      <w:r w:rsidRPr="00382917">
        <w:t>am</w:t>
      </w:r>
      <w:r w:rsidR="00EE4FC3">
        <w:t xml:space="preserve"> </w:t>
      </w:r>
      <w:r w:rsidRPr="00382917">
        <w:t>the</w:t>
      </w:r>
      <w:r w:rsidR="00EE4FC3">
        <w:t xml:space="preserve"> </w:t>
      </w:r>
      <w:r w:rsidRPr="00382917">
        <w:t>Báb,</w:t>
      </w:r>
      <w:r w:rsidR="00EE4FC3">
        <w:t xml:space="preserve"> </w:t>
      </w:r>
      <w:r w:rsidRPr="00382917">
        <w:t>the</w:t>
      </w:r>
      <w:r w:rsidR="00EE4FC3">
        <w:t xml:space="preserve"> </w:t>
      </w:r>
      <w:r w:rsidRPr="00382917">
        <w:t>Gate</w:t>
      </w:r>
      <w:r w:rsidR="00EE4FC3">
        <w:t xml:space="preserve"> </w:t>
      </w:r>
      <w:r w:rsidRPr="00382917">
        <w:t>of</w:t>
      </w:r>
      <w:r w:rsidR="00EE4FC3">
        <w:t xml:space="preserve"> </w:t>
      </w:r>
      <w:r w:rsidRPr="00382917">
        <w:t>God.</w:t>
      </w:r>
      <w:r w:rsidR="009C713D" w:rsidRPr="00382917">
        <w:t>”</w:t>
      </w:r>
      <w:r w:rsidR="00EE4FC3">
        <w:t xml:space="preserve">  </w:t>
      </w:r>
      <w:r w:rsidRPr="00382917">
        <w:t>On</w:t>
      </w:r>
      <w:r w:rsidR="00EE4FC3">
        <w:t xml:space="preserve"> </w:t>
      </w:r>
      <w:r w:rsidRPr="00382917">
        <w:t>that</w:t>
      </w:r>
      <w:r w:rsidR="00EE4FC3">
        <w:t xml:space="preserve"> </w:t>
      </w:r>
      <w:r w:rsidRPr="00382917">
        <w:t>never-to-be-forgotten</w:t>
      </w:r>
      <w:r w:rsidR="00EE4FC3">
        <w:t xml:space="preserve"> </w:t>
      </w:r>
      <w:r w:rsidRPr="00382917">
        <w:t>night,</w:t>
      </w:r>
      <w:r w:rsidR="00EE4FC3">
        <w:t xml:space="preserve"> </w:t>
      </w:r>
      <w:r w:rsidRPr="00382917">
        <w:t>the</w:t>
      </w:r>
      <w:r w:rsidR="00EE4FC3">
        <w:t xml:space="preserve"> </w:t>
      </w:r>
      <w:r w:rsidRPr="00382917">
        <w:t>Báb</w:t>
      </w:r>
      <w:r w:rsidR="00EE4FC3">
        <w:t xml:space="preserve"> </w:t>
      </w:r>
      <w:r w:rsidRPr="00382917">
        <w:t>had</w:t>
      </w:r>
      <w:r w:rsidR="00EE4FC3">
        <w:t xml:space="preserve"> </w:t>
      </w:r>
      <w:r w:rsidRPr="00382917">
        <w:t>called</w:t>
      </w:r>
      <w:r w:rsidR="00EE4FC3">
        <w:t xml:space="preserve"> </w:t>
      </w:r>
      <w:r w:rsidRPr="00382917">
        <w:t>upon</w:t>
      </w:r>
      <w:r w:rsidR="00EE4FC3">
        <w:t xml:space="preserve"> </w:t>
      </w:r>
      <w:r w:rsidRPr="00382917">
        <w:t>all</w:t>
      </w:r>
      <w:r w:rsidR="00EE4FC3">
        <w:t xml:space="preserve"> </w:t>
      </w:r>
      <w:r w:rsidRPr="00382917">
        <w:t>men</w:t>
      </w:r>
      <w:r w:rsidR="00EE4FC3">
        <w:t xml:space="preserve"> </w:t>
      </w:r>
      <w:r w:rsidRPr="00382917">
        <w:t>to</w:t>
      </w:r>
      <w:r w:rsidR="00EE4FC3">
        <w:t xml:space="preserve"> </w:t>
      </w:r>
      <w:r w:rsidRPr="00382917">
        <w:t>awake</w:t>
      </w:r>
      <w:proofErr w:type="gramStart"/>
      <w:r w:rsidRPr="00382917">
        <w:t>!</w:t>
      </w:r>
      <w:r w:rsidR="00EE4FC3">
        <w:t xml:space="preserve"> </w:t>
      </w:r>
      <w:proofErr w:type="gramEnd"/>
      <w:r w:rsidRPr="00382917">
        <w:t>teach</w:t>
      </w:r>
      <w:r w:rsidR="00EE4FC3">
        <w:t xml:space="preserve"> </w:t>
      </w:r>
      <w:r w:rsidRPr="00382917">
        <w:t>the</w:t>
      </w:r>
      <w:r w:rsidR="00EE4FC3">
        <w:t xml:space="preserve"> </w:t>
      </w:r>
      <w:r w:rsidRPr="00382917">
        <w:t>Word</w:t>
      </w:r>
      <w:r w:rsidR="00EE4FC3">
        <w:t xml:space="preserve"> </w:t>
      </w:r>
      <w:r w:rsidRPr="00382917">
        <w:t>of</w:t>
      </w:r>
      <w:r w:rsidR="00EE4FC3">
        <w:t xml:space="preserve"> </w:t>
      </w:r>
      <w:r w:rsidRPr="00382917">
        <w:t>God</w:t>
      </w:r>
      <w:proofErr w:type="gramStart"/>
      <w:r w:rsidRPr="00382917">
        <w:t>!</w:t>
      </w:r>
      <w:r w:rsidR="00EE4FC3">
        <w:t xml:space="preserve"> </w:t>
      </w:r>
      <w:r w:rsidRPr="00382917">
        <w:t>quicken</w:t>
      </w:r>
      <w:proofErr w:type="gramEnd"/>
      <w:r w:rsidR="00EE4FC3">
        <w:t xml:space="preserve"> </w:t>
      </w:r>
      <w:r w:rsidRPr="00382917">
        <w:t>the</w:t>
      </w:r>
      <w:r w:rsidR="00EE4FC3">
        <w:t xml:space="preserve"> </w:t>
      </w:r>
      <w:r w:rsidRPr="00382917">
        <w:t>souls</w:t>
      </w:r>
      <w:r w:rsidR="00EE4FC3">
        <w:t xml:space="preserve"> </w:t>
      </w:r>
      <w:r w:rsidRPr="00382917">
        <w:t>of</w:t>
      </w:r>
      <w:r w:rsidR="00EE4FC3">
        <w:t xml:space="preserve"> </w:t>
      </w:r>
      <w:r w:rsidRPr="00382917">
        <w:t>men!</w:t>
      </w:r>
    </w:p>
    <w:p w:rsidR="00DB6293" w:rsidRPr="00382917" w:rsidRDefault="00DB6293" w:rsidP="00DB6293">
      <w:pPr>
        <w:pStyle w:val="Text"/>
      </w:pPr>
      <w:r w:rsidRPr="00382917">
        <w:t>Now</w:t>
      </w:r>
      <w:r w:rsidR="00EE4FC3">
        <w:t xml:space="preserve"> </w:t>
      </w:r>
      <w:r w:rsidRPr="00382917">
        <w:t>Mullá</w:t>
      </w:r>
      <w:r w:rsidR="00EE4FC3">
        <w:t xml:space="preserve"> </w:t>
      </w:r>
      <w:r w:rsidR="00964C11" w:rsidRPr="00382917">
        <w:t>Ḥusayn</w:t>
      </w:r>
      <w:r w:rsidR="00EE4FC3">
        <w:t xml:space="preserve"> </w:t>
      </w:r>
      <w:r w:rsidRPr="00382917">
        <w:t>lay</w:t>
      </w:r>
      <w:r w:rsidR="00EE4FC3">
        <w:t xml:space="preserve"> </w:t>
      </w:r>
      <w:r w:rsidRPr="00382917">
        <w:t>dying</w:t>
      </w:r>
      <w:r w:rsidR="00EE4FC3">
        <w:t xml:space="preserve"> </w:t>
      </w:r>
      <w:r w:rsidRPr="00382917">
        <w:t>in</w:t>
      </w:r>
      <w:r w:rsidR="00EE4FC3">
        <w:t xml:space="preserve"> </w:t>
      </w:r>
      <w:r w:rsidRPr="00382917">
        <w:t>the</w:t>
      </w:r>
      <w:r w:rsidR="00EE4FC3">
        <w:t xml:space="preserve"> </w:t>
      </w:r>
      <w:r w:rsidRPr="00382917">
        <w:t>fort</w:t>
      </w:r>
      <w:r w:rsidR="00EE4FC3">
        <w:t xml:space="preserve"> </w:t>
      </w:r>
      <w:r w:rsidRPr="00382917">
        <w:t>of</w:t>
      </w:r>
      <w:r w:rsidR="00EE4FC3">
        <w:t xml:space="preserve"> </w:t>
      </w:r>
      <w:r w:rsidRPr="00382917">
        <w:t>Ṭabarsí</w:t>
      </w:r>
      <w:r w:rsidR="00A93643">
        <w:t>.</w:t>
      </w:r>
      <w:r w:rsidR="00EE4FC3">
        <w:t xml:space="preserve">  </w:t>
      </w:r>
      <w:r w:rsidRPr="00382917">
        <w:t>His</w:t>
      </w:r>
      <w:r w:rsidR="00EE4FC3">
        <w:t xml:space="preserve"> </w:t>
      </w:r>
      <w:r w:rsidRPr="00382917">
        <w:t>last</w:t>
      </w:r>
      <w:r w:rsidR="00EE4FC3">
        <w:t xml:space="preserve"> </w:t>
      </w:r>
      <w:r w:rsidRPr="00382917">
        <w:t>words,</w:t>
      </w:r>
      <w:r w:rsidR="00EE4FC3">
        <w:t xml:space="preserve"> </w:t>
      </w:r>
      <w:r w:rsidRPr="00382917">
        <w:t>addressed</w:t>
      </w:r>
      <w:r w:rsidR="00EE4FC3">
        <w:t xml:space="preserve"> </w:t>
      </w:r>
      <w:r w:rsidRPr="00382917">
        <w:t>to</w:t>
      </w:r>
      <w:r w:rsidR="00EE4FC3">
        <w:t xml:space="preserve"> </w:t>
      </w:r>
      <w:r w:rsidRPr="00382917">
        <w:t>Quddús</w:t>
      </w:r>
      <w:r w:rsidR="00EE4FC3">
        <w:t xml:space="preserve"> </w:t>
      </w:r>
      <w:r w:rsidRPr="00382917">
        <w:t>were</w:t>
      </w:r>
      <w:r w:rsidR="00EE4FC3">
        <w:t xml:space="preserve"> </w:t>
      </w:r>
      <w:r w:rsidRPr="00382917">
        <w:t>directed</w:t>
      </w:r>
      <w:r w:rsidR="00EE4FC3">
        <w:t xml:space="preserve"> </w:t>
      </w:r>
      <w:r w:rsidRPr="00382917">
        <w:t>beyond</w:t>
      </w:r>
      <w:r w:rsidR="00EE4FC3">
        <w:t xml:space="preserve"> </w:t>
      </w:r>
      <w:r w:rsidRPr="00382917">
        <w:t>him</w:t>
      </w:r>
      <w:r w:rsidR="00EE4FC3">
        <w:t xml:space="preserve"> </w:t>
      </w:r>
      <w:r w:rsidRPr="00382917">
        <w:t>to</w:t>
      </w:r>
      <w:r w:rsidR="00EE4FC3">
        <w:t xml:space="preserve"> </w:t>
      </w:r>
      <w:r w:rsidRPr="00382917">
        <w:t>the</w:t>
      </w:r>
      <w:r w:rsidR="00EE4FC3">
        <w:t xml:space="preserve"> </w:t>
      </w:r>
      <w:r w:rsidRPr="00382917">
        <w:t>Beloved</w:t>
      </w:r>
      <w:r w:rsidR="00EE4FC3">
        <w:t xml:space="preserve"> </w:t>
      </w:r>
      <w:r w:rsidRPr="00382917">
        <w:t>of</w:t>
      </w:r>
      <w:r w:rsidR="00EE4FC3">
        <w:t xml:space="preserve"> </w:t>
      </w:r>
      <w:r w:rsidRPr="00382917">
        <w:t>his</w:t>
      </w:r>
      <w:r w:rsidR="00EE4FC3">
        <w:t xml:space="preserve"> </w:t>
      </w:r>
      <w:r w:rsidRPr="00382917">
        <w:t>heart,</w:t>
      </w:r>
      <w:r w:rsidR="00EE4FC3">
        <w:t xml:space="preserve"> </w:t>
      </w:r>
      <w:r w:rsidRPr="00382917">
        <w:t>the</w:t>
      </w:r>
      <w:r w:rsidR="00EE4FC3">
        <w:t xml:space="preserve"> </w:t>
      </w:r>
      <w:r w:rsidRPr="00382917">
        <w:t>Báb</w:t>
      </w:r>
      <w:r w:rsidR="00A93643">
        <w:t>.</w:t>
      </w:r>
      <w:r w:rsidR="00EE4FC3">
        <w:t xml:space="preserve">  </w:t>
      </w:r>
      <w:r w:rsidRPr="00382917">
        <w:t>Softly,</w:t>
      </w:r>
      <w:r w:rsidR="00EE4FC3">
        <w:t xml:space="preserve"> </w:t>
      </w:r>
      <w:r w:rsidRPr="00382917">
        <w:t>he</w:t>
      </w:r>
      <w:r w:rsidR="00EE4FC3">
        <w:t xml:space="preserve"> </w:t>
      </w:r>
      <w:r w:rsidRPr="00382917">
        <w:t>said,</w:t>
      </w:r>
      <w:r w:rsidR="00EE4FC3">
        <w:t xml:space="preserve"> </w:t>
      </w:r>
      <w:r w:rsidR="009C713D" w:rsidRPr="00382917">
        <w:t>“</w:t>
      </w:r>
      <w:r w:rsidRPr="00382917">
        <w:t>Are</w:t>
      </w:r>
      <w:r w:rsidR="00EE4FC3">
        <w:t xml:space="preserve"> </w:t>
      </w:r>
      <w:r w:rsidRPr="00382917">
        <w:t>you</w:t>
      </w:r>
      <w:r w:rsidR="00EE4FC3">
        <w:t xml:space="preserve"> </w:t>
      </w:r>
      <w:r w:rsidRPr="00382917">
        <w:t>pleased</w:t>
      </w:r>
      <w:r w:rsidR="00EE4FC3">
        <w:t xml:space="preserve"> </w:t>
      </w:r>
      <w:r w:rsidRPr="00382917">
        <w:t>with</w:t>
      </w:r>
      <w:r w:rsidR="00EE4FC3">
        <w:t xml:space="preserve"> </w:t>
      </w:r>
      <w:r w:rsidRPr="00382917">
        <w:t>me?</w:t>
      </w:r>
      <w:r w:rsidR="009C713D" w:rsidRPr="00382917">
        <w:t>”</w:t>
      </w:r>
    </w:p>
    <w:p w:rsidR="00E13D49" w:rsidRPr="00382917" w:rsidRDefault="00DB6293" w:rsidP="00661C86">
      <w:pPr>
        <w:pStyle w:val="Text"/>
      </w:pPr>
      <w:r w:rsidRPr="00382917">
        <w:t>Quddús</w:t>
      </w:r>
      <w:r w:rsidR="00EE4FC3">
        <w:t xml:space="preserve"> </w:t>
      </w:r>
      <w:r w:rsidRPr="00382917">
        <w:t>opened</w:t>
      </w:r>
      <w:r w:rsidR="00EE4FC3">
        <w:t xml:space="preserve"> </w:t>
      </w:r>
      <w:r w:rsidRPr="00382917">
        <w:t>the</w:t>
      </w:r>
      <w:r w:rsidR="00EE4FC3">
        <w:t xml:space="preserve"> </w:t>
      </w:r>
      <w:r w:rsidRPr="00382917">
        <w:t>door</w:t>
      </w:r>
      <w:r w:rsidR="00EE4FC3">
        <w:t xml:space="preserve"> </w:t>
      </w:r>
      <w:r w:rsidRPr="00382917">
        <w:t>and</w:t>
      </w:r>
      <w:r w:rsidR="00EE4FC3">
        <w:t xml:space="preserve"> </w:t>
      </w:r>
      <w:r w:rsidRPr="00382917">
        <w:t>came</w:t>
      </w:r>
      <w:r w:rsidR="00EE4FC3">
        <w:t xml:space="preserve"> </w:t>
      </w:r>
      <w:r w:rsidRPr="00382917">
        <w:t>out</w:t>
      </w:r>
      <w:r w:rsidR="00EE4FC3">
        <w:t xml:space="preserve"> </w:t>
      </w:r>
      <w:r w:rsidRPr="00382917">
        <w:t>to</w:t>
      </w:r>
      <w:r w:rsidR="00EE4FC3">
        <w:t xml:space="preserve"> </w:t>
      </w:r>
      <w:r w:rsidRPr="00382917">
        <w:t>the</w:t>
      </w:r>
      <w:r w:rsidR="00EE4FC3">
        <w:t xml:space="preserve"> </w:t>
      </w:r>
      <w:r w:rsidRPr="00382917">
        <w:t>companions</w:t>
      </w:r>
      <w:r w:rsidR="00EE4FC3">
        <w:t xml:space="preserve"> </w:t>
      </w:r>
      <w:r w:rsidRPr="00382917">
        <w:t>of</w:t>
      </w:r>
      <w:r w:rsidR="00EE4FC3">
        <w:t xml:space="preserve"> </w:t>
      </w:r>
      <w:r w:rsidRPr="00382917">
        <w:t>Mullá</w:t>
      </w:r>
      <w:r w:rsidR="00EE4FC3">
        <w:t xml:space="preserve"> </w:t>
      </w:r>
      <w:r w:rsidR="00964C11" w:rsidRPr="00382917">
        <w:t>Ḥusayn</w:t>
      </w:r>
      <w:r w:rsidR="00A93643">
        <w:t>.</w:t>
      </w:r>
      <w:r w:rsidR="00EE4FC3">
        <w:t xml:space="preserve">  </w:t>
      </w:r>
      <w:r w:rsidR="009C713D" w:rsidRPr="00382917">
        <w:t>“</w:t>
      </w:r>
      <w:r w:rsidRPr="00382917">
        <w:t>I</w:t>
      </w:r>
      <w:r w:rsidR="00EE4FC3">
        <w:t xml:space="preserve"> </w:t>
      </w:r>
      <w:r w:rsidRPr="00382917">
        <w:t>have</w:t>
      </w:r>
      <w:r w:rsidR="00EE4FC3">
        <w:t xml:space="preserve"> </w:t>
      </w:r>
      <w:proofErr w:type="gramStart"/>
      <w:r w:rsidRPr="00382917">
        <w:t>bade</w:t>
      </w:r>
      <w:proofErr w:type="gramEnd"/>
      <w:r w:rsidR="00EE4FC3">
        <w:t xml:space="preserve"> </w:t>
      </w:r>
      <w:r w:rsidRPr="00382917">
        <w:t>my</w:t>
      </w:r>
      <w:r w:rsidR="00EE4FC3">
        <w:t xml:space="preserve"> </w:t>
      </w:r>
      <w:r w:rsidRPr="00382917">
        <w:t>last</w:t>
      </w:r>
      <w:r w:rsidR="00EE4FC3">
        <w:t xml:space="preserve"> </w:t>
      </w:r>
      <w:r w:rsidRPr="00382917">
        <w:t>farewell</w:t>
      </w:r>
      <w:r w:rsidR="00EE4FC3">
        <w:t xml:space="preserve"> </w:t>
      </w:r>
      <w:r w:rsidRPr="00382917">
        <w:t>to</w:t>
      </w:r>
      <w:r w:rsidR="00EE4FC3">
        <w:t xml:space="preserve"> </w:t>
      </w:r>
      <w:r w:rsidRPr="00382917">
        <w:t>him,</w:t>
      </w:r>
      <w:r w:rsidR="009C713D" w:rsidRPr="00382917">
        <w:t>”</w:t>
      </w:r>
      <w:r w:rsidR="00EE4FC3">
        <w:t xml:space="preserve"> </w:t>
      </w:r>
      <w:r w:rsidRPr="00382917">
        <w:t>he</w:t>
      </w:r>
      <w:r w:rsidR="00EE4FC3">
        <w:t xml:space="preserve"> </w:t>
      </w:r>
      <w:r w:rsidRPr="00382917">
        <w:t>said</w:t>
      </w:r>
      <w:r w:rsidR="00A93643">
        <w:t>.</w:t>
      </w:r>
      <w:r w:rsidR="00EE4FC3">
        <w:t xml:space="preserve">  </w:t>
      </w:r>
      <w:r w:rsidRPr="00382917">
        <w:t>They</w:t>
      </w:r>
      <w:r w:rsidR="00EE4FC3">
        <w:t xml:space="preserve"> </w:t>
      </w:r>
      <w:r w:rsidRPr="00382917">
        <w:t>knew</w:t>
      </w:r>
      <w:r w:rsidR="00EE4FC3">
        <w:t xml:space="preserve"> </w:t>
      </w:r>
      <w:r w:rsidRPr="00382917">
        <w:t>then</w:t>
      </w:r>
      <w:r w:rsidR="00EE4FC3">
        <w:t xml:space="preserve"> </w:t>
      </w:r>
      <w:r w:rsidRPr="00382917">
        <w:t>that</w:t>
      </w:r>
      <w:r w:rsidR="00EE4FC3">
        <w:t xml:space="preserve"> </w:t>
      </w:r>
      <w:r w:rsidRPr="00382917">
        <w:t>Mullá</w:t>
      </w:r>
      <w:r w:rsidR="00EE4FC3">
        <w:t xml:space="preserve"> </w:t>
      </w:r>
      <w:r w:rsidR="00964C11" w:rsidRPr="00382917">
        <w:t>Ḥusayn</w:t>
      </w:r>
      <w:r w:rsidR="00EE4FC3">
        <w:t xml:space="preserve"> </w:t>
      </w:r>
      <w:r w:rsidRPr="00382917">
        <w:t>was</w:t>
      </w:r>
      <w:r w:rsidR="00EE4FC3">
        <w:t xml:space="preserve"> </w:t>
      </w:r>
      <w:r w:rsidRPr="00382917">
        <w:t>dead</w:t>
      </w:r>
      <w:r w:rsidR="00A93643">
        <w:t>.</w:t>
      </w:r>
      <w:r w:rsidR="00EE4FC3">
        <w:t xml:space="preserve">  </w:t>
      </w:r>
      <w:r w:rsidRPr="00382917">
        <w:t>They</w:t>
      </w:r>
      <w:r w:rsidR="00EE4FC3">
        <w:t xml:space="preserve"> </w:t>
      </w:r>
      <w:r w:rsidRPr="00382917">
        <w:t>entered</w:t>
      </w:r>
      <w:r w:rsidR="00EE4FC3">
        <w:t xml:space="preserve"> </w:t>
      </w:r>
      <w:r w:rsidRPr="00382917">
        <w:t>to</w:t>
      </w:r>
      <w:r w:rsidR="00EE4FC3">
        <w:t xml:space="preserve"> </w:t>
      </w:r>
      <w:r w:rsidRPr="00382917">
        <w:t>say</w:t>
      </w:r>
      <w:r w:rsidR="00EE4FC3">
        <w:t xml:space="preserve"> </w:t>
      </w:r>
      <w:r w:rsidRPr="00382917">
        <w:t>farewell,</w:t>
      </w:r>
      <w:r w:rsidR="00EE4FC3">
        <w:t xml:space="preserve"> </w:t>
      </w:r>
      <w:r w:rsidRPr="00382917">
        <w:t>moved</w:t>
      </w:r>
      <w:r w:rsidR="00EE4FC3">
        <w:t xml:space="preserve"> </w:t>
      </w:r>
      <w:r w:rsidRPr="00382917">
        <w:t>to</w:t>
      </w:r>
      <w:r w:rsidR="00EE4FC3">
        <w:t xml:space="preserve"> </w:t>
      </w:r>
      <w:r w:rsidRPr="00382917">
        <w:t>tears</w:t>
      </w:r>
      <w:r w:rsidR="00EE4FC3">
        <w:t xml:space="preserve"> </w:t>
      </w:r>
      <w:r w:rsidRPr="00382917">
        <w:t>by</w:t>
      </w:r>
      <w:r w:rsidR="00EE4FC3">
        <w:t xml:space="preserve"> </w:t>
      </w:r>
      <w:r w:rsidRPr="00382917">
        <w:t>the</w:t>
      </w:r>
      <w:r w:rsidR="00EE4FC3">
        <w:t xml:space="preserve"> </w:t>
      </w:r>
      <w:r w:rsidRPr="00382917">
        <w:t>faint</w:t>
      </w:r>
      <w:r w:rsidR="00EE4FC3">
        <w:t xml:space="preserve"> </w:t>
      </w:r>
      <w:r w:rsidRPr="00382917">
        <w:t>smile</w:t>
      </w:r>
      <w:r w:rsidR="00EE4FC3">
        <w:t xml:space="preserve"> </w:t>
      </w:r>
      <w:r w:rsidRPr="00382917">
        <w:t>of</w:t>
      </w:r>
      <w:r w:rsidR="00EE4FC3">
        <w:t xml:space="preserve"> </w:t>
      </w:r>
      <w:r w:rsidRPr="00382917">
        <w:t>happiness</w:t>
      </w:r>
      <w:r w:rsidR="00EE4FC3">
        <w:t xml:space="preserve"> </w:t>
      </w:r>
      <w:r w:rsidRPr="00382917">
        <w:t>that</w:t>
      </w:r>
      <w:r w:rsidR="00EE4FC3">
        <w:t xml:space="preserve"> </w:t>
      </w:r>
      <w:r w:rsidRPr="00382917">
        <w:t>still</w:t>
      </w:r>
      <w:r w:rsidR="00EE4FC3">
        <w:t xml:space="preserve"> </w:t>
      </w:r>
      <w:r w:rsidRPr="00382917">
        <w:t>lingered</w:t>
      </w:r>
      <w:r w:rsidR="00EE4FC3">
        <w:t xml:space="preserve"> </w:t>
      </w:r>
      <w:r w:rsidRPr="00382917">
        <w:t>upon</w:t>
      </w:r>
      <w:r w:rsidR="00EE4FC3">
        <w:t xml:space="preserve"> </w:t>
      </w:r>
      <w:r w:rsidRPr="00382917">
        <w:t>his</w:t>
      </w:r>
      <w:r w:rsidR="00EE4FC3">
        <w:t xml:space="preserve"> </w:t>
      </w:r>
      <w:r w:rsidRPr="00382917">
        <w:t>face</w:t>
      </w:r>
      <w:r w:rsidR="00A93643">
        <w:t>.</w:t>
      </w:r>
      <w:r w:rsidR="00EE4FC3">
        <w:t xml:space="preserve">  </w:t>
      </w:r>
      <w:r w:rsidRPr="00382917">
        <w:t>Such</w:t>
      </w:r>
      <w:r w:rsidR="00EE4FC3">
        <w:t xml:space="preserve"> </w:t>
      </w:r>
      <w:r w:rsidRPr="00382917">
        <w:t>was</w:t>
      </w:r>
      <w:r w:rsidR="00EE4FC3">
        <w:t xml:space="preserve"> </w:t>
      </w:r>
      <w:r w:rsidRPr="00382917">
        <w:t>the</w:t>
      </w:r>
      <w:r w:rsidR="00EE4FC3">
        <w:t xml:space="preserve"> </w:t>
      </w:r>
      <w:r w:rsidRPr="00382917">
        <w:t>peacefulness</w:t>
      </w:r>
      <w:r w:rsidR="00EE4FC3">
        <w:t xml:space="preserve"> </w:t>
      </w:r>
      <w:r w:rsidRPr="00382917">
        <w:t>of</w:t>
      </w:r>
      <w:r w:rsidR="00EE4FC3">
        <w:t xml:space="preserve"> </w:t>
      </w:r>
      <w:r w:rsidRPr="00382917">
        <w:t>his</w:t>
      </w:r>
      <w:r w:rsidR="00EE4FC3">
        <w:t xml:space="preserve"> </w:t>
      </w:r>
      <w:proofErr w:type="gramStart"/>
      <w:r w:rsidRPr="00382917">
        <w:t>countenance,</w:t>
      </w:r>
      <w:r w:rsidR="00EE4FC3">
        <w:t xml:space="preserve"> </w:t>
      </w:r>
      <w:r w:rsidRPr="00382917">
        <w:t>that</w:t>
      </w:r>
      <w:proofErr w:type="gramEnd"/>
      <w:r w:rsidR="00EE4FC3">
        <w:t xml:space="preserve"> </w:t>
      </w:r>
      <w:r w:rsidRPr="00382917">
        <w:t>he</w:t>
      </w:r>
      <w:r w:rsidR="00EE4FC3">
        <w:t xml:space="preserve"> </w:t>
      </w:r>
      <w:r w:rsidRPr="00382917">
        <w:t>seemed</w:t>
      </w:r>
      <w:r w:rsidR="00EE4FC3">
        <w:t xml:space="preserve"> </w:t>
      </w:r>
      <w:r w:rsidRPr="00382917">
        <w:t>to</w:t>
      </w:r>
      <w:r w:rsidR="00EE4FC3">
        <w:t xml:space="preserve"> </w:t>
      </w:r>
      <w:r w:rsidRPr="00382917">
        <w:t>have</w:t>
      </w:r>
      <w:r w:rsidR="00EE4FC3">
        <w:t xml:space="preserve"> </w:t>
      </w:r>
      <w:r w:rsidRPr="00382917">
        <w:t>fallen</w:t>
      </w:r>
      <w:r w:rsidR="00EE4FC3">
        <w:t xml:space="preserve"> </w:t>
      </w:r>
      <w:r w:rsidRPr="00382917">
        <w:t>asleep.</w:t>
      </w:r>
      <w:r w:rsidR="00661C86">
        <w:rPr>
          <w:rStyle w:val="FootnoteReference"/>
        </w:rPr>
        <w:footnoteReference w:id="116"/>
      </w:r>
    </w:p>
    <w:p w:rsidR="00DB6293" w:rsidRPr="00382917" w:rsidRDefault="00DB6293" w:rsidP="0010343E">
      <w:pPr>
        <w:pStyle w:val="Text"/>
      </w:pPr>
      <w:r w:rsidRPr="00382917">
        <w:t>Quddús</w:t>
      </w:r>
      <w:r w:rsidR="00EE4FC3">
        <w:t xml:space="preserve"> </w:t>
      </w:r>
      <w:r w:rsidRPr="00382917">
        <w:t>attended</w:t>
      </w:r>
      <w:r w:rsidR="00EE4FC3">
        <w:t xml:space="preserve"> </w:t>
      </w:r>
      <w:r w:rsidRPr="00382917">
        <w:t>to</w:t>
      </w:r>
      <w:r w:rsidR="00EE4FC3">
        <w:t xml:space="preserve"> </w:t>
      </w:r>
      <w:r w:rsidRPr="00382917">
        <w:t>the</w:t>
      </w:r>
      <w:r w:rsidR="00EE4FC3">
        <w:t xml:space="preserve"> </w:t>
      </w:r>
      <w:r w:rsidRPr="00382917">
        <w:t>burial</w:t>
      </w:r>
      <w:r w:rsidR="00A93643">
        <w:t>.</w:t>
      </w:r>
      <w:r w:rsidR="00EE4FC3">
        <w:t xml:space="preserve">  </w:t>
      </w:r>
      <w:r w:rsidRPr="00382917">
        <w:t>He</w:t>
      </w:r>
      <w:r w:rsidR="00EE4FC3">
        <w:t xml:space="preserve"> </w:t>
      </w:r>
      <w:r w:rsidRPr="00382917">
        <w:t>clothed</w:t>
      </w:r>
      <w:r w:rsidR="00EE4FC3">
        <w:t xml:space="preserve"> </w:t>
      </w:r>
      <w:r w:rsidRPr="00382917">
        <w:t>Mullá</w:t>
      </w:r>
      <w:r w:rsidR="00EE4FC3">
        <w:t xml:space="preserve"> </w:t>
      </w:r>
      <w:r w:rsidR="00964C11" w:rsidRPr="00382917">
        <w:t>Ḥusayn</w:t>
      </w:r>
      <w:r w:rsidR="00EE4FC3">
        <w:t xml:space="preserve"> </w:t>
      </w:r>
      <w:r w:rsidRPr="00382917">
        <w:t>in</w:t>
      </w:r>
      <w:r w:rsidR="00EE4FC3">
        <w:t xml:space="preserve"> </w:t>
      </w:r>
      <w:r w:rsidRPr="00382917">
        <w:t>his</w:t>
      </w:r>
      <w:r w:rsidR="00EE4FC3">
        <w:t xml:space="preserve"> </w:t>
      </w:r>
      <w:r w:rsidRPr="00382917">
        <w:t>own</w:t>
      </w:r>
      <w:r w:rsidR="00EE4FC3">
        <w:t xml:space="preserve"> </w:t>
      </w:r>
      <w:r w:rsidRPr="00382917">
        <w:t>shirt</w:t>
      </w:r>
      <w:r w:rsidR="00EE4FC3">
        <w:t xml:space="preserve"> </w:t>
      </w:r>
      <w:r w:rsidRPr="00382917">
        <w:t>and</w:t>
      </w:r>
      <w:r w:rsidR="00EE4FC3">
        <w:t xml:space="preserve"> </w:t>
      </w:r>
      <w:r w:rsidRPr="00382917">
        <w:t>gave</w:t>
      </w:r>
      <w:r w:rsidR="00EE4FC3">
        <w:t xml:space="preserve"> </w:t>
      </w:r>
      <w:r w:rsidRPr="00382917">
        <w:t>instructions</w:t>
      </w:r>
      <w:r w:rsidR="00EE4FC3">
        <w:t xml:space="preserve"> </w:t>
      </w:r>
      <w:r w:rsidRPr="00382917">
        <w:t>to</w:t>
      </w:r>
      <w:r w:rsidR="00EE4FC3">
        <w:t xml:space="preserve"> </w:t>
      </w:r>
      <w:r w:rsidRPr="00382917">
        <w:t>bury</w:t>
      </w:r>
      <w:r w:rsidR="00EE4FC3">
        <w:t xml:space="preserve"> </w:t>
      </w:r>
      <w:r w:rsidRPr="00382917">
        <w:t>him</w:t>
      </w:r>
      <w:r w:rsidR="00EE4FC3">
        <w:t xml:space="preserve"> </w:t>
      </w:r>
      <w:r w:rsidRPr="00382917">
        <w:t>in</w:t>
      </w:r>
      <w:r w:rsidR="00EE4FC3">
        <w:t xml:space="preserve"> </w:t>
      </w:r>
      <w:r w:rsidRPr="00382917">
        <w:t>a</w:t>
      </w:r>
      <w:r w:rsidR="00EE4FC3">
        <w:t xml:space="preserve"> </w:t>
      </w:r>
      <w:r w:rsidRPr="00382917">
        <w:t>spot</w:t>
      </w:r>
      <w:r w:rsidR="00EE4FC3">
        <w:t xml:space="preserve"> </w:t>
      </w:r>
      <w:r w:rsidRPr="00382917">
        <w:t>adjoining</w:t>
      </w:r>
      <w:r w:rsidR="00EE4FC3">
        <w:t xml:space="preserve"> </w:t>
      </w:r>
      <w:r w:rsidRPr="00382917">
        <w:t>the</w:t>
      </w:r>
      <w:r w:rsidR="00EE4FC3">
        <w:t xml:space="preserve"> </w:t>
      </w:r>
      <w:r w:rsidRPr="00382917">
        <w:t>Shrine</w:t>
      </w:r>
      <w:r w:rsidR="00EE4FC3">
        <w:t xml:space="preserve"> </w:t>
      </w:r>
      <w:r w:rsidRPr="00382917">
        <w:t>at</w:t>
      </w:r>
      <w:r w:rsidR="00EE4FC3">
        <w:t xml:space="preserve"> </w:t>
      </w:r>
      <w:r w:rsidRPr="00382917">
        <w:t>the</w:t>
      </w:r>
      <w:r w:rsidR="00EE4FC3">
        <w:t xml:space="preserve"> </w:t>
      </w:r>
      <w:r w:rsidRPr="00382917">
        <w:t>fort</w:t>
      </w:r>
      <w:r w:rsidR="00EE4FC3">
        <w:t xml:space="preserve"> </w:t>
      </w:r>
      <w:r w:rsidRPr="00382917">
        <w:t>of</w:t>
      </w:r>
      <w:r w:rsidR="00EE4FC3">
        <w:t xml:space="preserve"> </w:t>
      </w:r>
      <w:r w:rsidRPr="00382917">
        <w:t>Ṭabarsí</w:t>
      </w:r>
      <w:r w:rsidR="00A93643">
        <w:t>.</w:t>
      </w:r>
      <w:r w:rsidR="00EE4FC3">
        <w:t xml:space="preserve">  </w:t>
      </w:r>
      <w:r w:rsidR="001713B3" w:rsidRPr="001713B3">
        <w:rPr>
          <w:i/>
          <w:iCs/>
        </w:rPr>
        <w:t>A</w:t>
      </w:r>
      <w:r w:rsidR="00EE4FC3">
        <w:rPr>
          <w:i/>
          <w:iCs/>
        </w:rPr>
        <w:t xml:space="preserve"> </w:t>
      </w:r>
      <w:r w:rsidR="001713B3" w:rsidRPr="001713B3">
        <w:rPr>
          <w:i/>
          <w:iCs/>
        </w:rPr>
        <w:t>Traveller’s</w:t>
      </w:r>
      <w:r w:rsidR="00EE4FC3">
        <w:rPr>
          <w:i/>
          <w:iCs/>
        </w:rPr>
        <w:t xml:space="preserve"> </w:t>
      </w:r>
      <w:r w:rsidR="001713B3" w:rsidRPr="001713B3">
        <w:rPr>
          <w:i/>
          <w:iCs/>
        </w:rPr>
        <w:t>Narrative</w:t>
      </w:r>
      <w:r w:rsidR="00EE4FC3">
        <w:t xml:space="preserve"> </w:t>
      </w:r>
      <w:r w:rsidRPr="00382917">
        <w:t>says</w:t>
      </w:r>
      <w:r w:rsidR="00EE4FC3">
        <w:t xml:space="preserve"> </w:t>
      </w:r>
      <w:r w:rsidRPr="00382917">
        <w:t>that</w:t>
      </w:r>
      <w:r w:rsidR="00EE4FC3">
        <w:t xml:space="preserve"> </w:t>
      </w:r>
      <w:r w:rsidR="009C713D" w:rsidRPr="00382917">
        <w:t>“</w:t>
      </w:r>
      <w:r w:rsidRPr="00382917">
        <w:t>his</w:t>
      </w:r>
      <w:r w:rsidR="00EE4FC3">
        <w:t xml:space="preserve"> </w:t>
      </w:r>
      <w:r w:rsidRPr="00382917">
        <w:t>mortal</w:t>
      </w:r>
      <w:r w:rsidR="00EE4FC3">
        <w:t xml:space="preserve"> </w:t>
      </w:r>
      <w:r w:rsidRPr="00382917">
        <w:t>remains</w:t>
      </w:r>
      <w:r w:rsidR="00EE4FC3">
        <w:t xml:space="preserve"> </w:t>
      </w:r>
      <w:r w:rsidRPr="00382917">
        <w:t>still</w:t>
      </w:r>
      <w:r w:rsidR="00EE4FC3">
        <w:t xml:space="preserve"> </w:t>
      </w:r>
      <w:r w:rsidRPr="00382917">
        <w:t>repose</w:t>
      </w:r>
      <w:r w:rsidR="00EE4FC3">
        <w:t xml:space="preserve"> </w:t>
      </w:r>
      <w:r w:rsidRPr="00382917">
        <w:t>in</w:t>
      </w:r>
      <w:r w:rsidR="00EE4FC3">
        <w:t xml:space="preserve"> </w:t>
      </w:r>
      <w:r w:rsidRPr="00382917">
        <w:t>the</w:t>
      </w:r>
      <w:r w:rsidR="00EE4FC3">
        <w:t xml:space="preserve"> </w:t>
      </w:r>
      <w:r w:rsidRPr="00382917">
        <w:t>little</w:t>
      </w:r>
      <w:r w:rsidR="00EE4FC3">
        <w:t xml:space="preserve"> </w:t>
      </w:r>
      <w:r w:rsidRPr="00382917">
        <w:t>inner</w:t>
      </w:r>
      <w:r w:rsidR="00EE4FC3">
        <w:t xml:space="preserve"> </w:t>
      </w:r>
      <w:r w:rsidRPr="00382917">
        <w:t>room</w:t>
      </w:r>
      <w:r w:rsidR="00EE4FC3">
        <w:t xml:space="preserve"> </w:t>
      </w:r>
      <w:r w:rsidRPr="00382917">
        <w:t>of</w:t>
      </w:r>
      <w:r w:rsidR="00EE4FC3">
        <w:t xml:space="preserve"> </w:t>
      </w:r>
      <w:r w:rsidRPr="00382917">
        <w:t>the</w:t>
      </w:r>
      <w:r w:rsidR="00EE4FC3">
        <w:t xml:space="preserve"> </w:t>
      </w:r>
      <w:r w:rsidRPr="00382917">
        <w:t>Shrine</w:t>
      </w:r>
      <w:r w:rsidR="00EE4FC3">
        <w:t xml:space="preserve"> </w:t>
      </w:r>
      <w:r w:rsidRPr="00382917">
        <w:t>of</w:t>
      </w:r>
      <w:r w:rsidR="00EE4FC3">
        <w:t xml:space="preserve"> </w:t>
      </w:r>
      <w:r w:rsidR="008A073E" w:rsidRPr="00382917">
        <w:rPr>
          <w:u w:val="single"/>
        </w:rPr>
        <w:t>Sh</w:t>
      </w:r>
      <w:r w:rsidR="008A073E" w:rsidRPr="00382917">
        <w:t>ay</w:t>
      </w:r>
      <w:r w:rsidR="008A073E" w:rsidRPr="00382917">
        <w:rPr>
          <w:u w:val="single"/>
        </w:rPr>
        <w:t>kh</w:t>
      </w:r>
      <w:r w:rsidR="00EE4FC3">
        <w:t xml:space="preserve"> </w:t>
      </w:r>
      <w:r w:rsidRPr="00382917">
        <w:t>Ṭabarsí</w:t>
      </w:r>
      <w:r w:rsidR="00EE4FC3">
        <w:t xml:space="preserve"> </w:t>
      </w:r>
      <w:r w:rsidRPr="00382917">
        <w:t>where,</w:t>
      </w:r>
      <w:r w:rsidR="00EE4FC3">
        <w:t xml:space="preserve"> </w:t>
      </w:r>
      <w:r w:rsidRPr="00382917">
        <w:t>at</w:t>
      </w:r>
      <w:r w:rsidR="00EE4FC3">
        <w:t xml:space="preserve"> </w:t>
      </w:r>
      <w:r w:rsidRPr="00382917">
        <w:t>the</w:t>
      </w:r>
      <w:r w:rsidR="00EE4FC3">
        <w:t xml:space="preserve"> </w:t>
      </w:r>
      <w:r w:rsidRPr="00382917">
        <w:t>direction</w:t>
      </w:r>
      <w:r w:rsidR="00EE4FC3">
        <w:t xml:space="preserve"> </w:t>
      </w:r>
      <w:r w:rsidRPr="00382917">
        <w:t>of</w:t>
      </w:r>
      <w:r w:rsidR="00EE4FC3">
        <w:t xml:space="preserve"> </w:t>
      </w:r>
      <w:r w:rsidRPr="00382917">
        <w:t>[Quddús],</w:t>
      </w:r>
      <w:r w:rsidR="00EE4FC3">
        <w:t xml:space="preserve"> </w:t>
      </w:r>
      <w:r w:rsidRPr="00382917">
        <w:t>they</w:t>
      </w:r>
      <w:r w:rsidR="00EE4FC3">
        <w:t xml:space="preserve"> </w:t>
      </w:r>
      <w:r w:rsidRPr="00382917">
        <w:t>were</w:t>
      </w:r>
      <w:r w:rsidR="00EE4FC3">
        <w:t xml:space="preserve"> </w:t>
      </w:r>
      <w:r w:rsidRPr="00382917">
        <w:t>reverently</w:t>
      </w:r>
      <w:r w:rsidR="00EE4FC3">
        <w:t xml:space="preserve"> </w:t>
      </w:r>
      <w:r w:rsidRPr="00382917">
        <w:t>laid</w:t>
      </w:r>
      <w:r w:rsidR="00EE4FC3">
        <w:t xml:space="preserve"> </w:t>
      </w:r>
      <w:r w:rsidRPr="00382917">
        <w:t>by</w:t>
      </w:r>
      <w:r w:rsidR="00EE4FC3">
        <w:t xml:space="preserve"> </w:t>
      </w:r>
      <w:r w:rsidRPr="00382917">
        <w:t>the</w:t>
      </w:r>
      <w:r w:rsidR="00EE4FC3">
        <w:t xml:space="preserve"> </w:t>
      </w:r>
      <w:r w:rsidRPr="00382917">
        <w:t>hands</w:t>
      </w:r>
      <w:r w:rsidR="00EE4FC3">
        <w:t xml:space="preserve"> </w:t>
      </w:r>
      <w:r w:rsidRPr="00382917">
        <w:t>of</w:t>
      </w:r>
      <w:r w:rsidR="00EE4FC3">
        <w:t xml:space="preserve"> </w:t>
      </w:r>
      <w:r w:rsidRPr="00382917">
        <w:t>his</w:t>
      </w:r>
      <w:r w:rsidR="00EE4FC3">
        <w:t xml:space="preserve"> </w:t>
      </w:r>
      <w:r w:rsidRPr="00382917">
        <w:t>sorrowing</w:t>
      </w:r>
      <w:r w:rsidR="00EE4FC3">
        <w:t xml:space="preserve"> </w:t>
      </w:r>
      <w:r w:rsidRPr="00382917">
        <w:t>comrades</w:t>
      </w:r>
      <w:r w:rsidR="00EE4FC3">
        <w:t xml:space="preserve"> </w:t>
      </w:r>
      <w:r w:rsidRPr="00382917">
        <w:t>in</w:t>
      </w:r>
      <w:r w:rsidR="00EE4FC3">
        <w:t xml:space="preserve"> </w:t>
      </w:r>
      <w:r w:rsidRPr="00382917">
        <w:t>the</w:t>
      </w:r>
      <w:r w:rsidR="00EE4FC3">
        <w:t xml:space="preserve"> </w:t>
      </w:r>
      <w:r w:rsidRPr="00382917">
        <w:t>beginning</w:t>
      </w:r>
      <w:r w:rsidR="00EE4FC3">
        <w:t xml:space="preserve"> </w:t>
      </w:r>
      <w:r w:rsidRPr="00382917">
        <w:t>of</w:t>
      </w:r>
      <w:r w:rsidR="00EE4FC3">
        <w:t xml:space="preserve"> </w:t>
      </w:r>
      <w:r w:rsidRPr="00382917">
        <w:t>the</w:t>
      </w:r>
      <w:r w:rsidR="00EE4FC3">
        <w:t xml:space="preserve"> </w:t>
      </w:r>
      <w:r w:rsidRPr="00382917">
        <w:t>year</w:t>
      </w:r>
      <w:r w:rsidR="00EE4FC3">
        <w:t xml:space="preserve"> </w:t>
      </w:r>
      <w:r w:rsidRPr="00382917">
        <w:t>CE</w:t>
      </w:r>
      <w:r w:rsidR="00EE4FC3">
        <w:t xml:space="preserve"> </w:t>
      </w:r>
      <w:r w:rsidRPr="00382917">
        <w:t>1849.</w:t>
      </w:r>
      <w:r w:rsidR="009C713D" w:rsidRPr="00382917">
        <w:t>”</w:t>
      </w:r>
      <w:r w:rsidR="0010343E">
        <w:rPr>
          <w:rStyle w:val="FootnoteReference"/>
        </w:rPr>
        <w:footnoteReference w:id="117"/>
      </w:r>
      <w:r w:rsidR="00EE4FC3">
        <w:t xml:space="preserve">  </w:t>
      </w:r>
      <w:r w:rsidRPr="00382917">
        <w:t>As</w:t>
      </w:r>
      <w:r w:rsidR="00EE4FC3">
        <w:t xml:space="preserve"> </w:t>
      </w:r>
      <w:r w:rsidRPr="00382917">
        <w:t>Quddús</w:t>
      </w:r>
      <w:r w:rsidR="00EE4FC3">
        <w:t xml:space="preserve"> </w:t>
      </w:r>
      <w:r w:rsidRPr="00382917">
        <w:t>placed</w:t>
      </w:r>
      <w:r w:rsidR="00EE4FC3">
        <w:t xml:space="preserve"> </w:t>
      </w:r>
      <w:r w:rsidRPr="00382917">
        <w:t>Mullá</w:t>
      </w:r>
      <w:r w:rsidR="00EE4FC3">
        <w:t xml:space="preserve"> </w:t>
      </w:r>
      <w:proofErr w:type="spellStart"/>
      <w:r w:rsidR="00964C11" w:rsidRPr="00382917">
        <w:t>Ḥusayn</w:t>
      </w:r>
      <w:r w:rsidR="009C713D" w:rsidRPr="00382917">
        <w:t>’</w:t>
      </w:r>
      <w:r w:rsidRPr="00382917">
        <w:t>s</w:t>
      </w:r>
      <w:proofErr w:type="spellEnd"/>
      <w:r w:rsidR="00EE4FC3">
        <w:t xml:space="preserve"> </w:t>
      </w:r>
      <w:r w:rsidRPr="00382917">
        <w:t>body</w:t>
      </w:r>
      <w:r w:rsidR="00EE4FC3">
        <w:t xml:space="preserve"> </w:t>
      </w:r>
      <w:r w:rsidRPr="00382917">
        <w:t>in</w:t>
      </w:r>
      <w:r w:rsidR="00EE4FC3">
        <w:t xml:space="preserve"> </w:t>
      </w:r>
      <w:r w:rsidRPr="00382917">
        <w:t>its</w:t>
      </w:r>
      <w:r w:rsidR="00EE4FC3">
        <w:t xml:space="preserve"> </w:t>
      </w:r>
      <w:r w:rsidRPr="00382917">
        <w:t>last</w:t>
      </w:r>
      <w:r w:rsidR="00EE4FC3">
        <w:t xml:space="preserve"> </w:t>
      </w:r>
      <w:r w:rsidRPr="00382917">
        <w:t>resting</w:t>
      </w:r>
      <w:r w:rsidR="00EE4FC3">
        <w:t xml:space="preserve"> </w:t>
      </w:r>
      <w:r w:rsidRPr="00382917">
        <w:t>place,</w:t>
      </w:r>
      <w:r w:rsidR="00EE4FC3">
        <w:t xml:space="preserve"> </w:t>
      </w:r>
      <w:r w:rsidRPr="00382917">
        <w:t>he</w:t>
      </w:r>
      <w:r w:rsidR="00EE4FC3">
        <w:t xml:space="preserve"> </w:t>
      </w:r>
      <w:r w:rsidRPr="00382917">
        <w:t>said</w:t>
      </w:r>
      <w:r w:rsidR="00C03C91">
        <w:t>:</w:t>
      </w:r>
      <w:r w:rsidR="00EE4FC3">
        <w:t xml:space="preserve">  </w:t>
      </w:r>
      <w:r w:rsidR="009C713D" w:rsidRPr="00382917">
        <w:t>“</w:t>
      </w:r>
      <w:r w:rsidRPr="00382917">
        <w:t>I</w:t>
      </w:r>
      <w:r w:rsidR="00EE4FC3">
        <w:t xml:space="preserve"> </w:t>
      </w:r>
      <w:r w:rsidRPr="00382917">
        <w:t>pray</w:t>
      </w:r>
      <w:r w:rsidR="00EE4FC3">
        <w:t xml:space="preserve"> </w:t>
      </w:r>
      <w:r w:rsidRPr="00382917">
        <w:t>God</w:t>
      </w:r>
      <w:r w:rsidR="00EE4FC3">
        <w:t xml:space="preserve"> </w:t>
      </w:r>
      <w:r w:rsidRPr="00382917">
        <w:t>to</w:t>
      </w:r>
      <w:r w:rsidR="00EE4FC3">
        <w:t xml:space="preserve"> </w:t>
      </w:r>
      <w:r w:rsidRPr="00382917">
        <w:t>grant</w:t>
      </w:r>
      <w:r w:rsidR="00EE4FC3">
        <w:t xml:space="preserve"> </w:t>
      </w:r>
      <w:r w:rsidRPr="00382917">
        <w:t>that</w:t>
      </w:r>
      <w:r w:rsidR="00EE4FC3">
        <w:t xml:space="preserve"> </w:t>
      </w:r>
      <w:r w:rsidRPr="00382917">
        <w:t>no</w:t>
      </w:r>
      <w:r w:rsidR="00EE4FC3">
        <w:t xml:space="preserve"> </w:t>
      </w:r>
      <w:r w:rsidRPr="00382917">
        <w:t>division</w:t>
      </w:r>
      <w:r w:rsidR="00EE4FC3">
        <w:t xml:space="preserve"> </w:t>
      </w:r>
      <w:r w:rsidRPr="00382917">
        <w:t>ever</w:t>
      </w:r>
      <w:r w:rsidR="00EE4FC3">
        <w:t xml:space="preserve"> </w:t>
      </w:r>
      <w:r w:rsidRPr="00382917">
        <w:t>be</w:t>
      </w:r>
      <w:r w:rsidR="00EE4FC3">
        <w:t xml:space="preserve"> </w:t>
      </w:r>
      <w:r w:rsidRPr="00382917">
        <w:t>caused</w:t>
      </w:r>
      <w:r w:rsidR="00EE4FC3">
        <w:t xml:space="preserve"> </w:t>
      </w:r>
      <w:r w:rsidRPr="00382917">
        <w:t>between</w:t>
      </w:r>
      <w:r w:rsidR="00EE4FC3">
        <w:t xml:space="preserve"> </w:t>
      </w:r>
      <w:r w:rsidRPr="00382917">
        <w:t>you</w:t>
      </w:r>
      <w:r w:rsidR="00EE4FC3">
        <w:t xml:space="preserve"> </w:t>
      </w:r>
      <w:r w:rsidRPr="00382917">
        <w:t>and</w:t>
      </w:r>
      <w:r w:rsidR="00EE4FC3">
        <w:t xml:space="preserve"> </w:t>
      </w:r>
      <w:r w:rsidRPr="00382917">
        <w:t>me.</w:t>
      </w:r>
      <w:r w:rsidR="009C713D" w:rsidRPr="00382917">
        <w:t>”</w:t>
      </w:r>
    </w:p>
    <w:p w:rsidR="00DB6293" w:rsidRPr="00382917" w:rsidRDefault="00DB6293" w:rsidP="00DB6293">
      <w:pPr>
        <w:pStyle w:val="Text"/>
      </w:pPr>
      <w:r w:rsidRPr="00382917">
        <w:t>In</w:t>
      </w:r>
      <w:r w:rsidR="00EE4FC3">
        <w:t xml:space="preserve"> </w:t>
      </w:r>
      <w:r w:rsidRPr="00382917">
        <w:t>every</w:t>
      </w:r>
      <w:r w:rsidR="00EE4FC3">
        <w:t xml:space="preserve"> </w:t>
      </w:r>
      <w:r w:rsidRPr="00382917">
        <w:t>encounter,</w:t>
      </w:r>
      <w:r w:rsidR="00EE4FC3">
        <w:t xml:space="preserve"> </w:t>
      </w:r>
      <w:r w:rsidRPr="00382917">
        <w:t>Mullá</w:t>
      </w:r>
      <w:r w:rsidR="00EE4FC3">
        <w:t xml:space="preserve"> </w:t>
      </w:r>
      <w:r w:rsidR="00964C11" w:rsidRPr="00382917">
        <w:t>Ḥusayn</w:t>
      </w:r>
      <w:r w:rsidR="00EE4FC3">
        <w:t xml:space="preserve"> </w:t>
      </w:r>
      <w:r w:rsidRPr="00382917">
        <w:t>had</w:t>
      </w:r>
      <w:r w:rsidR="00EE4FC3">
        <w:t xml:space="preserve"> </w:t>
      </w:r>
      <w:r w:rsidRPr="00382917">
        <w:t>distinguished</w:t>
      </w:r>
      <w:r w:rsidR="00EE4FC3">
        <w:t xml:space="preserve"> </w:t>
      </w:r>
      <w:proofErr w:type="gramStart"/>
      <w:r w:rsidRPr="00382917">
        <w:t>himself</w:t>
      </w:r>
      <w:proofErr w:type="gramEnd"/>
      <w:r w:rsidR="00EE4FC3">
        <w:t xml:space="preserve"> </w:t>
      </w:r>
      <w:r w:rsidRPr="00382917">
        <w:t>by</w:t>
      </w:r>
      <w:r w:rsidR="00EE4FC3">
        <w:t xml:space="preserve"> </w:t>
      </w:r>
      <w:r w:rsidRPr="00382917">
        <w:t>acts</w:t>
      </w:r>
      <w:r w:rsidR="00EE4FC3">
        <w:t xml:space="preserve"> </w:t>
      </w:r>
      <w:r w:rsidRPr="00382917">
        <w:t>of</w:t>
      </w:r>
      <w:r w:rsidR="00EE4FC3">
        <w:t xml:space="preserve"> </w:t>
      </w:r>
      <w:proofErr w:type="spellStart"/>
      <w:r w:rsidRPr="00382917">
        <w:t>valor</w:t>
      </w:r>
      <w:proofErr w:type="spellEnd"/>
      <w:r w:rsidR="00EE4FC3">
        <w:t xml:space="preserve"> </w:t>
      </w:r>
      <w:r w:rsidRPr="00382917">
        <w:t>and</w:t>
      </w:r>
      <w:r w:rsidR="00EE4FC3">
        <w:t xml:space="preserve"> </w:t>
      </w:r>
      <w:r w:rsidRPr="00382917">
        <w:t>chivalry</w:t>
      </w:r>
      <w:r w:rsidR="00B71244">
        <w:t>.</w:t>
      </w:r>
      <w:r w:rsidR="00EE4FC3">
        <w:t xml:space="preserve">  </w:t>
      </w:r>
      <w:r w:rsidRPr="00382917">
        <w:t>His</w:t>
      </w:r>
      <w:r w:rsidR="00EE4FC3">
        <w:t xml:space="preserve"> </w:t>
      </w:r>
      <w:r w:rsidRPr="00382917">
        <w:t>great</w:t>
      </w:r>
      <w:r w:rsidR="00EE4FC3">
        <w:t xml:space="preserve"> </w:t>
      </w:r>
      <w:r w:rsidRPr="00382917">
        <w:t>learning,</w:t>
      </w:r>
      <w:r w:rsidR="00EE4FC3">
        <w:t xml:space="preserve"> </w:t>
      </w:r>
      <w:r w:rsidRPr="00382917">
        <w:t>his</w:t>
      </w:r>
      <w:r w:rsidR="00EE4FC3">
        <w:t xml:space="preserve"> </w:t>
      </w:r>
      <w:r w:rsidRPr="00382917">
        <w:t>high</w:t>
      </w:r>
      <w:r w:rsidR="00EE4FC3">
        <w:t xml:space="preserve"> </w:t>
      </w:r>
      <w:r w:rsidRPr="00382917">
        <w:t>sense</w:t>
      </w:r>
      <w:r w:rsidR="00EE4FC3">
        <w:t xml:space="preserve"> </w:t>
      </w:r>
      <w:r w:rsidRPr="00382917">
        <w:t>of</w:t>
      </w:r>
      <w:r w:rsidR="00EE4FC3">
        <w:t xml:space="preserve"> </w:t>
      </w:r>
      <w:r w:rsidRPr="00382917">
        <w:t>justice,</w:t>
      </w:r>
      <w:r w:rsidR="00EE4FC3">
        <w:t xml:space="preserve"> </w:t>
      </w:r>
      <w:r w:rsidRPr="00382917">
        <w:t>his</w:t>
      </w:r>
      <w:r w:rsidR="00EE4FC3">
        <w:t xml:space="preserve"> </w:t>
      </w:r>
      <w:r w:rsidRPr="00382917">
        <w:t>tenacity</w:t>
      </w:r>
      <w:r w:rsidR="00EE4FC3">
        <w:t xml:space="preserve"> </w:t>
      </w:r>
      <w:r w:rsidRPr="00382917">
        <w:t>of</w:t>
      </w:r>
      <w:r w:rsidR="00EE4FC3">
        <w:t xml:space="preserve"> </w:t>
      </w:r>
      <w:r w:rsidRPr="00382917">
        <w:t>faith,</w:t>
      </w:r>
      <w:r w:rsidR="00EE4FC3">
        <w:t xml:space="preserve"> </w:t>
      </w:r>
      <w:r w:rsidRPr="00382917">
        <w:t>and</w:t>
      </w:r>
      <w:r w:rsidR="00EE4FC3">
        <w:t xml:space="preserve"> </w:t>
      </w:r>
      <w:r w:rsidRPr="00382917">
        <w:t>his</w:t>
      </w:r>
      <w:r w:rsidR="00EE4FC3">
        <w:t xml:space="preserve"> </w:t>
      </w:r>
      <w:r w:rsidRPr="00382917">
        <w:t>unswerving</w:t>
      </w:r>
      <w:r w:rsidR="00EE4FC3">
        <w:t xml:space="preserve"> </w:t>
      </w:r>
      <w:r w:rsidRPr="00382917">
        <w:t>devotion</w:t>
      </w:r>
      <w:r w:rsidR="00EE4FC3">
        <w:t xml:space="preserve"> </w:t>
      </w:r>
      <w:r w:rsidRPr="00382917">
        <w:t>to</w:t>
      </w:r>
      <w:r w:rsidR="00EE4FC3">
        <w:t xml:space="preserve"> </w:t>
      </w:r>
      <w:r w:rsidRPr="00382917">
        <w:t>God</w:t>
      </w:r>
      <w:r w:rsidR="00EE4FC3">
        <w:t xml:space="preserve"> </w:t>
      </w:r>
      <w:r w:rsidRPr="00382917">
        <w:t>marked</w:t>
      </w:r>
      <w:r w:rsidR="00EE4FC3">
        <w:t xml:space="preserve"> </w:t>
      </w:r>
      <w:r w:rsidRPr="00382917">
        <w:t>him</w:t>
      </w:r>
      <w:r w:rsidR="00EE4FC3">
        <w:t xml:space="preserve"> </w:t>
      </w:r>
      <w:r w:rsidRPr="00382917">
        <w:t>as</w:t>
      </w:r>
      <w:r w:rsidR="00EE4FC3">
        <w:t xml:space="preserve"> </w:t>
      </w:r>
      <w:r w:rsidRPr="00382917">
        <w:t>an</w:t>
      </w:r>
      <w:r w:rsidR="00EE4FC3">
        <w:t xml:space="preserve"> </w:t>
      </w:r>
      <w:r w:rsidRPr="00382917">
        <w:t>outstanding</w:t>
      </w:r>
      <w:r w:rsidR="00EE4FC3">
        <w:t xml:space="preserve"> </w:t>
      </w:r>
      <w:r w:rsidRPr="00382917">
        <w:t>figure</w:t>
      </w:r>
      <w:r w:rsidR="00EE4FC3">
        <w:t xml:space="preserve"> </w:t>
      </w:r>
      <w:r w:rsidRPr="00382917">
        <w:t>among</w:t>
      </w:r>
      <w:r w:rsidR="00EE4FC3">
        <w:t xml:space="preserve"> </w:t>
      </w:r>
      <w:r w:rsidRPr="00382917">
        <w:t>those</w:t>
      </w:r>
      <w:r w:rsidR="00EE4FC3">
        <w:t xml:space="preserve"> </w:t>
      </w:r>
      <w:r w:rsidRPr="00382917">
        <w:t>who</w:t>
      </w:r>
      <w:r w:rsidR="00EE4FC3">
        <w:t xml:space="preserve"> </w:t>
      </w:r>
      <w:r w:rsidRPr="00382917">
        <w:t>have</w:t>
      </w:r>
      <w:r w:rsidR="00EE4FC3">
        <w:t xml:space="preserve"> </w:t>
      </w:r>
      <w:r w:rsidRPr="00382917">
        <w:t>borne</w:t>
      </w:r>
      <w:r w:rsidR="00EE4FC3">
        <w:t xml:space="preserve"> </w:t>
      </w:r>
      <w:r w:rsidRPr="00382917">
        <w:t>witness</w:t>
      </w:r>
      <w:r w:rsidR="00EE4FC3">
        <w:t xml:space="preserve"> </w:t>
      </w:r>
      <w:r w:rsidRPr="00382917">
        <w:t>to</w:t>
      </w:r>
      <w:r w:rsidR="00EE4FC3">
        <w:t xml:space="preserve"> </w:t>
      </w:r>
      <w:r w:rsidRPr="00382917">
        <w:t>the</w:t>
      </w:r>
      <w:r w:rsidR="00EE4FC3">
        <w:t xml:space="preserve"> </w:t>
      </w:r>
      <w:r w:rsidRPr="00382917">
        <w:t>power</w:t>
      </w:r>
      <w:r w:rsidR="00EE4FC3">
        <w:t xml:space="preserve"> </w:t>
      </w:r>
      <w:r w:rsidRPr="00382917">
        <w:t>of</w:t>
      </w:r>
      <w:r w:rsidR="00EE4FC3">
        <w:t xml:space="preserve"> </w:t>
      </w:r>
      <w:r w:rsidRPr="00382917">
        <w:t>the</w:t>
      </w:r>
      <w:r w:rsidR="00EE4FC3">
        <w:t xml:space="preserve"> </w:t>
      </w:r>
      <w:r w:rsidRPr="00382917">
        <w:t>Faith</w:t>
      </w:r>
      <w:r w:rsidR="00EE4FC3">
        <w:t xml:space="preserve"> </w:t>
      </w:r>
      <w:r w:rsidRPr="00382917">
        <w:t>of</w:t>
      </w:r>
      <w:r w:rsidR="00EE4FC3">
        <w:t xml:space="preserve"> </w:t>
      </w:r>
      <w:r w:rsidRPr="00382917">
        <w:t>the</w:t>
      </w:r>
      <w:r w:rsidR="00EE4FC3">
        <w:t xml:space="preserve"> </w:t>
      </w:r>
      <w:r w:rsidRPr="00382917">
        <w:t>Báb.</w:t>
      </w:r>
    </w:p>
    <w:p w:rsidR="00E13D49" w:rsidRPr="00382917" w:rsidRDefault="00DB6293" w:rsidP="00537BAD">
      <w:pPr>
        <w:pStyle w:val="Text"/>
      </w:pPr>
      <w:r w:rsidRPr="00382917">
        <w:t>The</w:t>
      </w:r>
      <w:r w:rsidR="00EE4FC3">
        <w:t xml:space="preserve"> </w:t>
      </w:r>
      <w:r w:rsidRPr="00382917">
        <w:t>historian</w:t>
      </w:r>
      <w:r w:rsidR="00EE4FC3">
        <w:t xml:space="preserve"> </w:t>
      </w:r>
      <w:proofErr w:type="spellStart"/>
      <w:r w:rsidRPr="00382917">
        <w:t>Gobineau</w:t>
      </w:r>
      <w:proofErr w:type="spellEnd"/>
      <w:r w:rsidR="00EE4FC3">
        <w:t xml:space="preserve"> </w:t>
      </w:r>
      <w:r w:rsidRPr="00382917">
        <w:t>said</w:t>
      </w:r>
      <w:r w:rsidR="00EE4FC3">
        <w:t xml:space="preserve"> </w:t>
      </w:r>
      <w:r w:rsidRPr="00382917">
        <w:t>of</w:t>
      </w:r>
      <w:r w:rsidR="00EE4FC3">
        <w:t xml:space="preserve"> </w:t>
      </w:r>
      <w:r w:rsidRPr="00382917">
        <w:t>him,</w:t>
      </w:r>
      <w:r w:rsidR="00EE4FC3">
        <w:t xml:space="preserve"> </w:t>
      </w:r>
      <w:r w:rsidR="009C713D" w:rsidRPr="00382917">
        <w:t>“</w:t>
      </w:r>
      <w:r w:rsidRPr="00382917">
        <w:t>At</w:t>
      </w:r>
      <w:r w:rsidR="00EE4FC3">
        <w:t xml:space="preserve"> </w:t>
      </w:r>
      <w:r w:rsidRPr="00382917">
        <w:t>last,</w:t>
      </w:r>
      <w:r w:rsidR="00EE4FC3">
        <w:t xml:space="preserve"> </w:t>
      </w:r>
      <w:r w:rsidRPr="00382917">
        <w:t>he</w:t>
      </w:r>
      <w:r w:rsidR="00EE4FC3">
        <w:t xml:space="preserve"> </w:t>
      </w:r>
      <w:r w:rsidRPr="00382917">
        <w:t>passed</w:t>
      </w:r>
      <w:r w:rsidR="00EE4FC3">
        <w:t xml:space="preserve"> </w:t>
      </w:r>
      <w:r w:rsidRPr="00382917">
        <w:t>away</w:t>
      </w:r>
      <w:r w:rsidR="00B71244">
        <w:t>.</w:t>
      </w:r>
      <w:r w:rsidR="00EE4FC3">
        <w:t xml:space="preserve">  </w:t>
      </w:r>
      <w:r w:rsidRPr="00382917">
        <w:t>The</w:t>
      </w:r>
      <w:r w:rsidR="00EE4FC3">
        <w:t xml:space="preserve"> </w:t>
      </w:r>
      <w:r w:rsidRPr="00382917">
        <w:t>new</w:t>
      </w:r>
      <w:r w:rsidR="00EE4FC3">
        <w:t xml:space="preserve"> </w:t>
      </w:r>
      <w:r w:rsidRPr="00382917">
        <w:t>religion</w:t>
      </w:r>
      <w:r w:rsidR="00EE4FC3">
        <w:t xml:space="preserve"> </w:t>
      </w:r>
      <w:r w:rsidRPr="00382917">
        <w:t>which</w:t>
      </w:r>
      <w:r w:rsidR="00EE4FC3">
        <w:t xml:space="preserve"> </w:t>
      </w:r>
      <w:r w:rsidRPr="00382917">
        <w:t>found</w:t>
      </w:r>
      <w:r w:rsidR="00EE4FC3">
        <w:t xml:space="preserve"> </w:t>
      </w:r>
      <w:r w:rsidRPr="00382917">
        <w:t>in</w:t>
      </w:r>
      <w:r w:rsidR="00EE4FC3">
        <w:t xml:space="preserve"> </w:t>
      </w:r>
      <w:r w:rsidRPr="00382917">
        <w:t>him</w:t>
      </w:r>
      <w:r w:rsidR="00EE4FC3">
        <w:t xml:space="preserve"> </w:t>
      </w:r>
      <w:r w:rsidRPr="00382917">
        <w:t>its</w:t>
      </w:r>
      <w:r w:rsidR="00EE4FC3">
        <w:t xml:space="preserve"> </w:t>
      </w:r>
      <w:r w:rsidRPr="00382917">
        <w:t>first</w:t>
      </w:r>
      <w:r w:rsidR="00EE4FC3">
        <w:t xml:space="preserve"> </w:t>
      </w:r>
      <w:r w:rsidRPr="00382917">
        <w:t>martyr,</w:t>
      </w:r>
      <w:r w:rsidR="00EE4FC3">
        <w:t xml:space="preserve"> </w:t>
      </w:r>
      <w:r w:rsidRPr="00382917">
        <w:t>lost,</w:t>
      </w:r>
      <w:r w:rsidR="00EE4FC3">
        <w:t xml:space="preserve"> </w:t>
      </w:r>
      <w:r w:rsidRPr="00382917">
        <w:t>in</w:t>
      </w:r>
      <w:r w:rsidR="00EE4FC3">
        <w:t xml:space="preserve"> </w:t>
      </w:r>
      <w:r w:rsidRPr="00382917">
        <w:t>the</w:t>
      </w:r>
      <w:r w:rsidR="00EE4FC3">
        <w:t xml:space="preserve"> </w:t>
      </w:r>
      <w:r w:rsidRPr="00382917">
        <w:t>same</w:t>
      </w:r>
      <w:r w:rsidR="00EE4FC3">
        <w:t xml:space="preserve"> </w:t>
      </w:r>
      <w:r w:rsidRPr="00382917">
        <w:t>stroke,</w:t>
      </w:r>
      <w:r w:rsidR="00EE4FC3">
        <w:t xml:space="preserve"> </w:t>
      </w:r>
      <w:r w:rsidRPr="00382917">
        <w:t>a</w:t>
      </w:r>
      <w:r w:rsidR="00EE4FC3">
        <w:t xml:space="preserve"> </w:t>
      </w:r>
      <w:r w:rsidRPr="00382917">
        <w:t>man</w:t>
      </w:r>
      <w:r w:rsidR="00EE4FC3">
        <w:t xml:space="preserve"> </w:t>
      </w:r>
      <w:r w:rsidRPr="00382917">
        <w:t>whose</w:t>
      </w:r>
      <w:r w:rsidR="00EE4FC3">
        <w:t xml:space="preserve"> </w:t>
      </w:r>
      <w:r w:rsidRPr="00382917">
        <w:t>moral</w:t>
      </w:r>
      <w:r w:rsidR="00EE4FC3">
        <w:t xml:space="preserve"> </w:t>
      </w:r>
      <w:r w:rsidRPr="00382917">
        <w:t>strength</w:t>
      </w:r>
      <w:r w:rsidR="00EE4FC3">
        <w:t xml:space="preserve"> </w:t>
      </w:r>
      <w:r w:rsidRPr="00382917">
        <w:t>and</w:t>
      </w:r>
      <w:r w:rsidR="00EE4FC3">
        <w:t xml:space="preserve"> </w:t>
      </w:r>
      <w:r w:rsidRPr="00382917">
        <w:t>ability</w:t>
      </w:r>
      <w:r w:rsidR="00EE4FC3">
        <w:t xml:space="preserve"> </w:t>
      </w:r>
      <w:r w:rsidRPr="00382917">
        <w:t>would</w:t>
      </w:r>
      <w:r w:rsidR="00EE4FC3">
        <w:t xml:space="preserve"> </w:t>
      </w:r>
      <w:r w:rsidRPr="00382917">
        <w:t>have</w:t>
      </w:r>
      <w:r w:rsidR="00EE4FC3">
        <w:t xml:space="preserve"> </w:t>
      </w:r>
      <w:r w:rsidRPr="00382917">
        <w:t>been</w:t>
      </w:r>
      <w:r w:rsidR="00EE4FC3">
        <w:t xml:space="preserve"> </w:t>
      </w:r>
      <w:r w:rsidRPr="00382917">
        <w:t>of</w:t>
      </w:r>
      <w:r w:rsidR="00EE4FC3">
        <w:t xml:space="preserve"> </w:t>
      </w:r>
      <w:r w:rsidRPr="00382917">
        <w:t>great</w:t>
      </w:r>
      <w:r w:rsidR="00EE4FC3">
        <w:t xml:space="preserve"> </w:t>
      </w:r>
      <w:r w:rsidRPr="00382917">
        <w:t>value</w:t>
      </w:r>
      <w:r w:rsidR="00EE4FC3">
        <w:t xml:space="preserve"> </w:t>
      </w:r>
      <w:r w:rsidRPr="00382917">
        <w:t>to</w:t>
      </w:r>
      <w:r w:rsidR="00EE4FC3">
        <w:t xml:space="preserve"> </w:t>
      </w:r>
      <w:r w:rsidRPr="00382917">
        <w:t>it,</w:t>
      </w:r>
      <w:r w:rsidR="00EE4FC3">
        <w:t xml:space="preserve"> </w:t>
      </w:r>
      <w:r w:rsidRPr="00382917">
        <w:t>had</w:t>
      </w:r>
      <w:r w:rsidR="00EE4FC3">
        <w:t xml:space="preserve"> </w:t>
      </w:r>
      <w:r w:rsidRPr="00382917">
        <w:t>he</w:t>
      </w:r>
      <w:r w:rsidR="00EE4FC3">
        <w:t xml:space="preserve"> </w:t>
      </w:r>
      <w:r w:rsidRPr="00382917">
        <w:t>lived</w:t>
      </w:r>
      <w:r w:rsidR="00EE4FC3">
        <w:t xml:space="preserve"> </w:t>
      </w:r>
      <w:r w:rsidRPr="00382917">
        <w:t>longer</w:t>
      </w:r>
      <w:r w:rsidR="00B71244">
        <w:t>.</w:t>
      </w:r>
      <w:r w:rsidR="00EE4FC3">
        <w:t xml:space="preserve">  </w:t>
      </w:r>
      <w:r w:rsidRPr="00382917">
        <w:t>The</w:t>
      </w:r>
      <w:r w:rsidR="00EE4FC3">
        <w:t xml:space="preserve"> </w:t>
      </w:r>
      <w:r w:rsidRPr="00382917">
        <w:t>[opposing</w:t>
      </w:r>
      <w:r w:rsidR="00EE4FC3">
        <w:t xml:space="preserve"> </w:t>
      </w:r>
      <w:r w:rsidRPr="00382917">
        <w:t>forces]</w:t>
      </w:r>
      <w:r w:rsidR="00EE4FC3">
        <w:t xml:space="preserve"> </w:t>
      </w:r>
      <w:r w:rsidRPr="00382917">
        <w:t>naturally</w:t>
      </w:r>
      <w:r w:rsidR="00EE4FC3">
        <w:t xml:space="preserve"> </w:t>
      </w:r>
      <w:r w:rsidRPr="00382917">
        <w:t>feel</w:t>
      </w:r>
      <w:r w:rsidR="00EE4FC3">
        <w:t xml:space="preserve"> </w:t>
      </w:r>
      <w:r w:rsidRPr="00382917">
        <w:t>a</w:t>
      </w:r>
      <w:r w:rsidR="00EE4FC3">
        <w:t xml:space="preserve"> </w:t>
      </w:r>
      <w:r w:rsidRPr="00382917">
        <w:t>hatred</w:t>
      </w:r>
      <w:r w:rsidR="00EE4FC3">
        <w:t xml:space="preserve"> </w:t>
      </w:r>
      <w:r w:rsidRPr="00382917">
        <w:t>for</w:t>
      </w:r>
      <w:r w:rsidR="00EE4FC3">
        <w:t xml:space="preserve"> </w:t>
      </w:r>
      <w:r w:rsidRPr="00382917">
        <w:t>the</w:t>
      </w:r>
      <w:r w:rsidR="00EE4FC3">
        <w:t xml:space="preserve"> </w:t>
      </w:r>
      <w:r w:rsidRPr="00382917">
        <w:t>memory</w:t>
      </w:r>
      <w:r w:rsidR="00EE4FC3">
        <w:t xml:space="preserve"> </w:t>
      </w:r>
      <w:r w:rsidRPr="00382917">
        <w:t>of</w:t>
      </w:r>
      <w:r w:rsidR="00EE4FC3">
        <w:t xml:space="preserve"> </w:t>
      </w:r>
      <w:r w:rsidRPr="00382917">
        <w:t>this</w:t>
      </w:r>
      <w:r w:rsidR="00EE4FC3">
        <w:t xml:space="preserve"> </w:t>
      </w:r>
      <w:r w:rsidRPr="00382917">
        <w:t>leader,</w:t>
      </w:r>
      <w:r w:rsidR="00EE4FC3">
        <w:t xml:space="preserve"> </w:t>
      </w:r>
      <w:r w:rsidRPr="00382917">
        <w:t>which</w:t>
      </w:r>
      <w:r w:rsidR="00EE4FC3">
        <w:t xml:space="preserve"> </w:t>
      </w:r>
      <w:r w:rsidRPr="00382917">
        <w:t>is</w:t>
      </w:r>
      <w:r w:rsidR="00EE4FC3">
        <w:t xml:space="preserve"> </w:t>
      </w:r>
      <w:r w:rsidRPr="00382917">
        <w:t>as</w:t>
      </w:r>
      <w:r w:rsidR="00EE4FC3">
        <w:t xml:space="preserve"> </w:t>
      </w:r>
      <w:r w:rsidRPr="00382917">
        <w:t>deep</w:t>
      </w:r>
      <w:r w:rsidR="00EE4FC3">
        <w:t xml:space="preserve"> </w:t>
      </w:r>
      <w:r w:rsidRPr="00382917">
        <w:t>as</w:t>
      </w:r>
      <w:r w:rsidR="00EE4FC3">
        <w:t xml:space="preserve"> </w:t>
      </w:r>
      <w:r w:rsidRPr="00382917">
        <w:t>the</w:t>
      </w:r>
      <w:r w:rsidR="00EE4FC3">
        <w:t xml:space="preserve"> </w:t>
      </w:r>
      <w:r w:rsidRPr="00382917">
        <w:t>love</w:t>
      </w:r>
      <w:r w:rsidR="00EE4FC3">
        <w:t xml:space="preserve"> </w:t>
      </w:r>
      <w:r w:rsidRPr="00382917">
        <w:t>and</w:t>
      </w:r>
      <w:r w:rsidR="00EE4FC3">
        <w:t xml:space="preserve"> </w:t>
      </w:r>
      <w:r w:rsidRPr="00382917">
        <w:t>veneration</w:t>
      </w:r>
      <w:r w:rsidR="00EE4FC3">
        <w:t xml:space="preserve"> </w:t>
      </w:r>
      <w:r w:rsidRPr="00382917">
        <w:t>shown</w:t>
      </w:r>
      <w:r w:rsidR="00EE4FC3">
        <w:t xml:space="preserve"> </w:t>
      </w:r>
      <w:r w:rsidRPr="00382917">
        <w:t>for</w:t>
      </w:r>
      <w:r w:rsidR="00EE4FC3">
        <w:t xml:space="preserve"> </w:t>
      </w:r>
      <w:r w:rsidRPr="00382917">
        <w:t>him</w:t>
      </w:r>
      <w:r w:rsidR="00EE4FC3">
        <w:t xml:space="preserve"> </w:t>
      </w:r>
      <w:r w:rsidRPr="00382917">
        <w:t>by</w:t>
      </w:r>
      <w:r w:rsidR="00EE4FC3">
        <w:t xml:space="preserve"> </w:t>
      </w:r>
      <w:r w:rsidRPr="00382917">
        <w:t>the</w:t>
      </w:r>
      <w:r w:rsidR="00EE4FC3">
        <w:t xml:space="preserve"> </w:t>
      </w:r>
      <w:r w:rsidRPr="00382917">
        <w:t>[followers</w:t>
      </w:r>
      <w:r w:rsidR="00EE4FC3">
        <w:t xml:space="preserve"> </w:t>
      </w:r>
      <w:r w:rsidRPr="00382917">
        <w:t>of</w:t>
      </w:r>
      <w:r w:rsidR="00EE4FC3">
        <w:t xml:space="preserve"> </w:t>
      </w:r>
      <w:r w:rsidRPr="00382917">
        <w:t>the</w:t>
      </w:r>
      <w:r w:rsidR="00EE4FC3">
        <w:t xml:space="preserve"> </w:t>
      </w:r>
      <w:r w:rsidRPr="00382917">
        <w:t>Báb].</w:t>
      </w:r>
      <w:r w:rsidR="00537BAD">
        <w:rPr>
          <w:rStyle w:val="FootnoteReference"/>
        </w:rPr>
        <w:footnoteReference w:id="118"/>
      </w:r>
    </w:p>
    <w:p w:rsidR="00DB6293" w:rsidRPr="00382917" w:rsidRDefault="00DB6293" w:rsidP="00B71244">
      <w:pPr>
        <w:pStyle w:val="Text"/>
      </w:pPr>
      <w:r w:rsidRPr="00382917">
        <w:t>The</w:t>
      </w:r>
      <w:r w:rsidR="00EE4FC3">
        <w:t xml:space="preserve"> </w:t>
      </w:r>
      <w:r w:rsidRPr="00382917">
        <w:t>Christian</w:t>
      </w:r>
      <w:r w:rsidR="00EE4FC3">
        <w:t xml:space="preserve"> </w:t>
      </w:r>
      <w:r w:rsidRPr="00382917">
        <w:t>clergyman,</w:t>
      </w:r>
      <w:r w:rsidR="00EE4FC3">
        <w:t xml:space="preserve"> </w:t>
      </w:r>
      <w:r w:rsidRPr="00382917">
        <w:t>Dr</w:t>
      </w:r>
      <w:r w:rsidR="00EE4FC3">
        <w:t xml:space="preserve"> </w:t>
      </w:r>
      <w:r w:rsidRPr="00382917">
        <w:t>T.</w:t>
      </w:r>
      <w:r w:rsidR="00EE4FC3">
        <w:t xml:space="preserve"> </w:t>
      </w:r>
      <w:r w:rsidRPr="00382917">
        <w:t>K.</w:t>
      </w:r>
      <w:r w:rsidR="00EE4FC3">
        <w:t xml:space="preserve"> </w:t>
      </w:r>
      <w:r w:rsidRPr="00382917">
        <w:t>Cheyne,</w:t>
      </w:r>
      <w:r w:rsidR="00EE4FC3">
        <w:t xml:space="preserve"> </w:t>
      </w:r>
      <w:r w:rsidRPr="00382917">
        <w:t>wrote,</w:t>
      </w:r>
      <w:r w:rsidR="00EE4FC3">
        <w:t xml:space="preserve"> </w:t>
      </w:r>
      <w:r w:rsidR="009C713D" w:rsidRPr="00382917">
        <w:t>“</w:t>
      </w:r>
      <w:r w:rsidRPr="00382917">
        <w:t>Frail</w:t>
      </w:r>
      <w:r w:rsidR="00EE4FC3">
        <w:t xml:space="preserve"> </w:t>
      </w:r>
      <w:r w:rsidRPr="00382917">
        <w:t>of</w:t>
      </w:r>
      <w:r w:rsidR="00EE4FC3">
        <w:t xml:space="preserve"> </w:t>
      </w:r>
      <w:r w:rsidRPr="00382917">
        <w:t>form,</w:t>
      </w:r>
      <w:r w:rsidR="00EE4FC3">
        <w:t xml:space="preserve"> </w:t>
      </w:r>
      <w:r w:rsidRPr="00382917">
        <w:t>but</w:t>
      </w:r>
      <w:r w:rsidR="00EE4FC3">
        <w:t xml:space="preserve"> </w:t>
      </w:r>
      <w:r w:rsidRPr="00382917">
        <w:t>a</w:t>
      </w:r>
      <w:r w:rsidR="00EE4FC3">
        <w:t xml:space="preserve"> </w:t>
      </w:r>
      <w:r w:rsidRPr="00382917">
        <w:t>gallant</w:t>
      </w:r>
      <w:r w:rsidR="00EE4FC3">
        <w:t xml:space="preserve"> </w:t>
      </w:r>
      <w:r w:rsidRPr="00382917">
        <w:t>soldier</w:t>
      </w:r>
      <w:r w:rsidR="00EE4FC3">
        <w:t xml:space="preserve"> </w:t>
      </w:r>
      <w:r w:rsidRPr="00382917">
        <w:t>and</w:t>
      </w:r>
      <w:r w:rsidR="00EE4FC3">
        <w:t xml:space="preserve"> </w:t>
      </w:r>
      <w:r w:rsidRPr="00382917">
        <w:t>an</w:t>
      </w:r>
      <w:r w:rsidR="00EE4FC3">
        <w:t xml:space="preserve"> </w:t>
      </w:r>
      <w:r w:rsidRPr="00382917">
        <w:t>impassioned</w:t>
      </w:r>
      <w:r w:rsidR="00EE4FC3">
        <w:t xml:space="preserve"> </w:t>
      </w:r>
      <w:r w:rsidRPr="00382917">
        <w:t>lover</w:t>
      </w:r>
      <w:r w:rsidR="00EE4FC3">
        <w:t xml:space="preserve"> </w:t>
      </w:r>
      <w:r w:rsidRPr="00382917">
        <w:t>of</w:t>
      </w:r>
      <w:r w:rsidR="00EE4FC3">
        <w:t xml:space="preserve"> </w:t>
      </w:r>
      <w:r w:rsidRPr="00382917">
        <w:t>God,</w:t>
      </w:r>
      <w:r w:rsidR="00EE4FC3">
        <w:t xml:space="preserve"> </w:t>
      </w:r>
      <w:r w:rsidRPr="00382917">
        <w:t>he</w:t>
      </w:r>
      <w:r w:rsidR="00EE4FC3">
        <w:t xml:space="preserve"> </w:t>
      </w:r>
      <w:r w:rsidRPr="00382917">
        <w:t>[Mullá</w:t>
      </w:r>
    </w:p>
    <w:p w:rsidR="00DB6293" w:rsidRPr="00382917" w:rsidRDefault="00DB6293">
      <w:pPr>
        <w:widowControl/>
        <w:kinsoku/>
        <w:overflowPunct/>
        <w:textAlignment w:val="auto"/>
      </w:pPr>
      <w:r w:rsidRPr="00382917">
        <w:br w:type="page"/>
      </w:r>
    </w:p>
    <w:p w:rsidR="00DB6293" w:rsidRPr="00382917" w:rsidRDefault="00964C11" w:rsidP="004E032E">
      <w:pPr>
        <w:pStyle w:val="Textcts"/>
      </w:pPr>
      <w:r w:rsidRPr="00382917">
        <w:t>Ḥusayn</w:t>
      </w:r>
      <w:r w:rsidR="00DB6293" w:rsidRPr="00382917">
        <w:t>]</w:t>
      </w:r>
      <w:r w:rsidR="00EE4FC3">
        <w:t xml:space="preserve"> </w:t>
      </w:r>
      <w:r w:rsidR="00DB6293" w:rsidRPr="00382917">
        <w:t>combined</w:t>
      </w:r>
      <w:r w:rsidR="00EE4FC3">
        <w:t xml:space="preserve"> </w:t>
      </w:r>
      <w:r w:rsidR="00DB6293" w:rsidRPr="00382917">
        <w:t>the</w:t>
      </w:r>
      <w:r w:rsidR="00EE4FC3">
        <w:t xml:space="preserve"> </w:t>
      </w:r>
      <w:r w:rsidR="00DB6293" w:rsidRPr="00382917">
        <w:t>qualities</w:t>
      </w:r>
      <w:r w:rsidR="00EE4FC3">
        <w:t xml:space="preserve"> </w:t>
      </w:r>
      <w:r w:rsidR="00DB6293" w:rsidRPr="00382917">
        <w:t>and</w:t>
      </w:r>
      <w:r w:rsidR="00EE4FC3">
        <w:t xml:space="preserve"> </w:t>
      </w:r>
      <w:r w:rsidR="00DB6293" w:rsidRPr="00382917">
        <w:t>characteristics</w:t>
      </w:r>
      <w:r w:rsidR="00EE4FC3">
        <w:t xml:space="preserve"> </w:t>
      </w:r>
      <w:r w:rsidR="00F04416" w:rsidRPr="00382917">
        <w:t>…</w:t>
      </w:r>
      <w:r w:rsidR="00EE4FC3">
        <w:t xml:space="preserve"> </w:t>
      </w:r>
      <w:r w:rsidR="00DB6293" w:rsidRPr="00382917">
        <w:t>seldom</w:t>
      </w:r>
      <w:r w:rsidR="00EE4FC3">
        <w:t xml:space="preserve"> </w:t>
      </w:r>
      <w:r w:rsidR="00DB6293" w:rsidRPr="00382917">
        <w:t>found</w:t>
      </w:r>
      <w:r w:rsidR="00EE4FC3">
        <w:t xml:space="preserve"> </w:t>
      </w:r>
      <w:r w:rsidR="00DB6293" w:rsidRPr="00382917">
        <w:t>united</w:t>
      </w:r>
      <w:r w:rsidR="00EE4FC3">
        <w:t xml:space="preserve"> </w:t>
      </w:r>
      <w:r w:rsidR="00DB6293" w:rsidRPr="00382917">
        <w:t>in</w:t>
      </w:r>
      <w:r w:rsidR="00EE4FC3">
        <w:t xml:space="preserve"> </w:t>
      </w:r>
      <w:r w:rsidR="00DB6293" w:rsidRPr="00382917">
        <w:t>the</w:t>
      </w:r>
      <w:r w:rsidR="00EE4FC3">
        <w:t xml:space="preserve"> </w:t>
      </w:r>
      <w:r w:rsidR="00DB6293" w:rsidRPr="00382917">
        <w:t>same</w:t>
      </w:r>
      <w:r w:rsidR="00EE4FC3">
        <w:t xml:space="preserve"> </w:t>
      </w:r>
      <w:r w:rsidR="00DB6293" w:rsidRPr="00382917">
        <w:t>person.</w:t>
      </w:r>
      <w:r w:rsidR="009C713D" w:rsidRPr="00382917">
        <w:t>”</w:t>
      </w:r>
      <w:r w:rsidR="004E032E">
        <w:rPr>
          <w:rStyle w:val="FootnoteReference"/>
        </w:rPr>
        <w:footnoteReference w:id="119"/>
      </w:r>
    </w:p>
    <w:p w:rsidR="00E13D49" w:rsidRPr="00382917" w:rsidRDefault="00DB6293" w:rsidP="00EF1F66">
      <w:pPr>
        <w:pStyle w:val="Text"/>
      </w:pPr>
      <w:r w:rsidRPr="00382917">
        <w:t>The</w:t>
      </w:r>
      <w:r w:rsidR="00EE4FC3">
        <w:t xml:space="preserve"> </w:t>
      </w:r>
      <w:r w:rsidRPr="00382917">
        <w:t>death</w:t>
      </w:r>
      <w:r w:rsidR="00EE4FC3">
        <w:t xml:space="preserve"> </w:t>
      </w:r>
      <w:r w:rsidRPr="00382917">
        <w:t>of</w:t>
      </w:r>
      <w:r w:rsidR="00EE4FC3">
        <w:t xml:space="preserve"> </w:t>
      </w:r>
      <w:r w:rsidRPr="00382917">
        <w:t>Mullá</w:t>
      </w:r>
      <w:r w:rsidR="00EE4FC3">
        <w:t xml:space="preserve"> </w:t>
      </w:r>
      <w:r w:rsidR="00964C11" w:rsidRPr="00382917">
        <w:t>Ḥusayn</w:t>
      </w:r>
      <w:r w:rsidR="00EE4FC3">
        <w:t xml:space="preserve"> </w:t>
      </w:r>
      <w:r w:rsidRPr="00382917">
        <w:t>caused</w:t>
      </w:r>
      <w:r w:rsidR="00EE4FC3">
        <w:t xml:space="preserve"> </w:t>
      </w:r>
      <w:r w:rsidRPr="00382917">
        <w:t>inexpressible</w:t>
      </w:r>
      <w:r w:rsidR="00EE4FC3">
        <w:t xml:space="preserve"> </w:t>
      </w:r>
      <w:r w:rsidRPr="00382917">
        <w:t>sorrow</w:t>
      </w:r>
      <w:r w:rsidR="00EE4FC3">
        <w:t xml:space="preserve"> </w:t>
      </w:r>
      <w:r w:rsidRPr="00382917">
        <w:t>to</w:t>
      </w:r>
      <w:r w:rsidR="00EE4FC3">
        <w:t xml:space="preserve"> </w:t>
      </w:r>
      <w:r w:rsidRPr="00382917">
        <w:t>the</w:t>
      </w:r>
      <w:r w:rsidR="00EE4FC3">
        <w:t xml:space="preserve"> </w:t>
      </w:r>
      <w:r w:rsidRPr="00382917">
        <w:t>Báb,</w:t>
      </w:r>
      <w:r w:rsidR="00EE4FC3">
        <w:t xml:space="preserve"> </w:t>
      </w:r>
      <w:r w:rsidRPr="00382917">
        <w:t>a</w:t>
      </w:r>
      <w:r w:rsidR="00EE4FC3">
        <w:t xml:space="preserve"> </w:t>
      </w:r>
      <w:r w:rsidRPr="00382917">
        <w:t>sorrow</w:t>
      </w:r>
      <w:r w:rsidR="00EE4FC3">
        <w:t xml:space="preserve"> </w:t>
      </w:r>
      <w:r w:rsidRPr="00382917">
        <w:t>that</w:t>
      </w:r>
      <w:r w:rsidR="00EE4FC3">
        <w:t xml:space="preserve"> </w:t>
      </w:r>
      <w:r w:rsidRPr="00382917">
        <w:t>gave</w:t>
      </w:r>
      <w:r w:rsidR="00EE4FC3">
        <w:t xml:space="preserve"> </w:t>
      </w:r>
      <w:r w:rsidRPr="00382917">
        <w:t>rise</w:t>
      </w:r>
      <w:r w:rsidR="00EE4FC3">
        <w:t xml:space="preserve"> </w:t>
      </w:r>
      <w:r w:rsidRPr="00382917">
        <w:t>to</w:t>
      </w:r>
      <w:r w:rsidR="00EE4FC3">
        <w:t xml:space="preserve"> </w:t>
      </w:r>
      <w:r w:rsidRPr="00382917">
        <w:t>eulogies</w:t>
      </w:r>
      <w:r w:rsidR="00EE4FC3">
        <w:t xml:space="preserve"> </w:t>
      </w:r>
      <w:r w:rsidRPr="00382917">
        <w:t>and</w:t>
      </w:r>
      <w:r w:rsidR="00EE4FC3">
        <w:t xml:space="preserve"> </w:t>
      </w:r>
      <w:r w:rsidRPr="00382917">
        <w:t>prayers</w:t>
      </w:r>
      <w:r w:rsidR="00EE4FC3">
        <w:t xml:space="preserve"> </w:t>
      </w:r>
      <w:r w:rsidRPr="00382917">
        <w:t>equivalent</w:t>
      </w:r>
      <w:r w:rsidR="00EE4FC3">
        <w:t xml:space="preserve"> </w:t>
      </w:r>
      <w:r w:rsidRPr="00382917">
        <w:t>to</w:t>
      </w:r>
      <w:r w:rsidR="00EE4FC3">
        <w:t xml:space="preserve"> </w:t>
      </w:r>
      <w:r w:rsidRPr="00382917">
        <w:t>thrice</w:t>
      </w:r>
      <w:r w:rsidR="00EE4FC3">
        <w:t xml:space="preserve"> </w:t>
      </w:r>
      <w:r w:rsidRPr="00382917">
        <w:t>the</w:t>
      </w:r>
      <w:r w:rsidR="00EE4FC3">
        <w:t xml:space="preserve"> </w:t>
      </w:r>
      <w:r w:rsidRPr="00382917">
        <w:t>volume</w:t>
      </w:r>
      <w:r w:rsidR="00EE4FC3">
        <w:t xml:space="preserve"> </w:t>
      </w:r>
      <w:r w:rsidRPr="00382917">
        <w:t>of</w:t>
      </w:r>
      <w:r w:rsidR="00EE4FC3">
        <w:t xml:space="preserve"> </w:t>
      </w:r>
      <w:r w:rsidRPr="00382917">
        <w:t>the</w:t>
      </w:r>
      <w:r w:rsidR="00EE4FC3">
        <w:t xml:space="preserve"> </w:t>
      </w:r>
      <w:r w:rsidR="00382917">
        <w:t>Qur’án</w:t>
      </w:r>
      <w:r w:rsidR="00B71244">
        <w:t>.</w:t>
      </w:r>
      <w:r w:rsidR="00EE4FC3">
        <w:t xml:space="preserve">  </w:t>
      </w:r>
      <w:r w:rsidRPr="00382917">
        <w:t>In</w:t>
      </w:r>
      <w:r w:rsidR="00EE4FC3">
        <w:t xml:space="preserve"> </w:t>
      </w:r>
      <w:r w:rsidRPr="00382917">
        <w:t>one</w:t>
      </w:r>
      <w:r w:rsidR="00EE4FC3">
        <w:t xml:space="preserve"> </w:t>
      </w:r>
      <w:r w:rsidRPr="00382917">
        <w:t>of</w:t>
      </w:r>
      <w:r w:rsidR="00EE4FC3">
        <w:t xml:space="preserve"> </w:t>
      </w:r>
      <w:r w:rsidRPr="00382917">
        <w:t>His</w:t>
      </w:r>
      <w:r w:rsidR="00EE4FC3">
        <w:t xml:space="preserve"> </w:t>
      </w:r>
      <w:r w:rsidRPr="00382917">
        <w:t>prayers,</w:t>
      </w:r>
      <w:r w:rsidR="00EE4FC3">
        <w:t xml:space="preserve"> </w:t>
      </w:r>
      <w:r w:rsidRPr="00382917">
        <w:t>the</w:t>
      </w:r>
      <w:r w:rsidR="00EE4FC3">
        <w:t xml:space="preserve"> </w:t>
      </w:r>
      <w:r w:rsidRPr="00382917">
        <w:t>Báb</w:t>
      </w:r>
      <w:r w:rsidR="00EE4FC3">
        <w:t xml:space="preserve"> </w:t>
      </w:r>
      <w:r w:rsidRPr="00382917">
        <w:t>declared</w:t>
      </w:r>
      <w:r w:rsidR="00EE4FC3">
        <w:t xml:space="preserve"> </w:t>
      </w:r>
      <w:r w:rsidRPr="00382917">
        <w:t>that</w:t>
      </w:r>
      <w:r w:rsidR="00EE4FC3">
        <w:t xml:space="preserve"> </w:t>
      </w:r>
      <w:r w:rsidRPr="00382917">
        <w:t>the</w:t>
      </w:r>
      <w:r w:rsidR="00EE4FC3">
        <w:t xml:space="preserve"> </w:t>
      </w:r>
      <w:r w:rsidRPr="00382917">
        <w:t>very</w:t>
      </w:r>
      <w:r w:rsidR="00EE4FC3">
        <w:t xml:space="preserve"> </w:t>
      </w:r>
      <w:r w:rsidRPr="00382917">
        <w:t>dust</w:t>
      </w:r>
      <w:r w:rsidR="00EE4FC3">
        <w:t xml:space="preserve"> </w:t>
      </w:r>
      <w:r w:rsidRPr="00382917">
        <w:t>of</w:t>
      </w:r>
      <w:r w:rsidR="00EE4FC3">
        <w:t xml:space="preserve"> </w:t>
      </w:r>
      <w:r w:rsidRPr="00382917">
        <w:t>the</w:t>
      </w:r>
      <w:r w:rsidR="00EE4FC3">
        <w:t xml:space="preserve"> </w:t>
      </w:r>
      <w:r w:rsidRPr="00382917">
        <w:t>ground</w:t>
      </w:r>
      <w:r w:rsidR="00EE4FC3">
        <w:t xml:space="preserve"> </w:t>
      </w:r>
      <w:r w:rsidRPr="00382917">
        <w:t>where</w:t>
      </w:r>
      <w:r w:rsidR="00EE4FC3">
        <w:t xml:space="preserve"> </w:t>
      </w:r>
      <w:r w:rsidRPr="00382917">
        <w:t>the</w:t>
      </w:r>
      <w:r w:rsidR="00EE4FC3">
        <w:t xml:space="preserve"> </w:t>
      </w:r>
      <w:r w:rsidRPr="00382917">
        <w:t>remains</w:t>
      </w:r>
      <w:r w:rsidR="00EE4FC3">
        <w:t xml:space="preserve"> </w:t>
      </w:r>
      <w:r w:rsidRPr="00382917">
        <w:t>of</w:t>
      </w:r>
      <w:r w:rsidR="00EE4FC3">
        <w:t xml:space="preserve"> </w:t>
      </w:r>
      <w:r w:rsidRPr="00382917">
        <w:t>Mullá</w:t>
      </w:r>
      <w:r w:rsidR="00EE4FC3">
        <w:t xml:space="preserve"> </w:t>
      </w:r>
      <w:r w:rsidR="00964C11" w:rsidRPr="00382917">
        <w:t>Ḥusayn</w:t>
      </w:r>
      <w:r w:rsidR="00EE4FC3">
        <w:t xml:space="preserve"> </w:t>
      </w:r>
      <w:r w:rsidRPr="00382917">
        <w:t>lie</w:t>
      </w:r>
      <w:r w:rsidR="00EE4FC3">
        <w:t xml:space="preserve"> </w:t>
      </w:r>
      <w:r w:rsidRPr="00382917">
        <w:t>buried</w:t>
      </w:r>
      <w:r w:rsidR="00EE4FC3">
        <w:t xml:space="preserve"> </w:t>
      </w:r>
      <w:r w:rsidRPr="00382917">
        <w:t>is</w:t>
      </w:r>
      <w:r w:rsidR="00EE4FC3">
        <w:t xml:space="preserve"> </w:t>
      </w:r>
      <w:r w:rsidRPr="00382917">
        <w:t>endowed</w:t>
      </w:r>
      <w:r w:rsidR="00EE4FC3">
        <w:t xml:space="preserve"> </w:t>
      </w:r>
      <w:r w:rsidRPr="00382917">
        <w:t>with</w:t>
      </w:r>
      <w:r w:rsidR="00EE4FC3">
        <w:t xml:space="preserve"> </w:t>
      </w:r>
      <w:r w:rsidRPr="00382917">
        <w:t>such</w:t>
      </w:r>
      <w:r w:rsidR="00EE4FC3">
        <w:t xml:space="preserve"> </w:t>
      </w:r>
      <w:proofErr w:type="gramStart"/>
      <w:r w:rsidRPr="00382917">
        <w:t>a</w:t>
      </w:r>
      <w:r w:rsidR="00EE4FC3">
        <w:t xml:space="preserve"> </w:t>
      </w:r>
      <w:r w:rsidRPr="00382917">
        <w:t>potency</w:t>
      </w:r>
      <w:proofErr w:type="gramEnd"/>
      <w:r w:rsidR="00EE4FC3">
        <w:t xml:space="preserve"> </w:t>
      </w:r>
      <w:r w:rsidRPr="00382917">
        <w:t>as</w:t>
      </w:r>
      <w:r w:rsidR="00EE4FC3">
        <w:t xml:space="preserve"> </w:t>
      </w:r>
      <w:r w:rsidRPr="00382917">
        <w:t>to</w:t>
      </w:r>
      <w:r w:rsidR="00EE4FC3">
        <w:t xml:space="preserve"> </w:t>
      </w:r>
      <w:r w:rsidRPr="00382917">
        <w:t>bring</w:t>
      </w:r>
      <w:r w:rsidR="00EE4FC3">
        <w:t xml:space="preserve"> </w:t>
      </w:r>
      <w:r w:rsidRPr="00382917">
        <w:t>joy</w:t>
      </w:r>
      <w:r w:rsidR="00EE4FC3">
        <w:t xml:space="preserve"> </w:t>
      </w:r>
      <w:r w:rsidRPr="00382917">
        <w:t>to</w:t>
      </w:r>
      <w:r w:rsidR="00EE4FC3">
        <w:t xml:space="preserve"> </w:t>
      </w:r>
      <w:r w:rsidRPr="00382917">
        <w:t>the</w:t>
      </w:r>
      <w:r w:rsidR="00EE4FC3">
        <w:t xml:space="preserve"> </w:t>
      </w:r>
      <w:r w:rsidRPr="00382917">
        <w:t>disconsolate</w:t>
      </w:r>
      <w:r w:rsidR="00EE4FC3">
        <w:t xml:space="preserve"> </w:t>
      </w:r>
      <w:r w:rsidRPr="00382917">
        <w:t>and</w:t>
      </w:r>
      <w:r w:rsidR="00EE4FC3">
        <w:t xml:space="preserve"> </w:t>
      </w:r>
      <w:r w:rsidRPr="00382917">
        <w:t>healing</w:t>
      </w:r>
      <w:r w:rsidR="00EE4FC3">
        <w:t xml:space="preserve"> </w:t>
      </w:r>
      <w:r w:rsidRPr="00382917">
        <w:t>to</w:t>
      </w:r>
      <w:r w:rsidR="00EE4FC3">
        <w:t xml:space="preserve"> </w:t>
      </w:r>
      <w:r w:rsidRPr="00382917">
        <w:t>the</w:t>
      </w:r>
      <w:r w:rsidR="00EE4FC3">
        <w:t xml:space="preserve"> </w:t>
      </w:r>
      <w:r w:rsidRPr="00382917">
        <w:t>sick.</w:t>
      </w:r>
      <w:r w:rsidR="00EF1F66">
        <w:rPr>
          <w:rStyle w:val="FootnoteReference"/>
        </w:rPr>
        <w:footnoteReference w:id="120"/>
      </w:r>
    </w:p>
    <w:p w:rsidR="00DB6293" w:rsidRPr="00382917" w:rsidRDefault="00DB6293" w:rsidP="00DB6293">
      <w:pPr>
        <w:pStyle w:val="Text"/>
      </w:pPr>
      <w:r w:rsidRPr="00382917">
        <w:t>That</w:t>
      </w:r>
      <w:r w:rsidR="00EE4FC3">
        <w:t xml:space="preserve"> </w:t>
      </w:r>
      <w:r w:rsidRPr="00382917">
        <w:t>great</w:t>
      </w:r>
      <w:r w:rsidR="00EE4FC3">
        <w:t xml:space="preserve"> </w:t>
      </w:r>
      <w:r w:rsidRPr="00382917">
        <w:t>Figure</w:t>
      </w:r>
      <w:r w:rsidR="00EE4FC3">
        <w:t xml:space="preserve"> </w:t>
      </w:r>
      <w:r w:rsidRPr="00382917">
        <w:t>(Bahá</w:t>
      </w:r>
      <w:r w:rsidR="009C713D" w:rsidRPr="00382917">
        <w:t>’</w:t>
      </w:r>
      <w:r w:rsidRPr="00382917">
        <w:t>u</w:t>
      </w:r>
      <w:r w:rsidR="009C713D" w:rsidRPr="00382917">
        <w:t>’</w:t>
      </w:r>
      <w:r w:rsidRPr="00382917">
        <w:t>lláh)</w:t>
      </w:r>
      <w:r w:rsidR="00EE4FC3">
        <w:t xml:space="preserve"> </w:t>
      </w:r>
      <w:proofErr w:type="gramStart"/>
      <w:r w:rsidRPr="00382917">
        <w:t>Whose</w:t>
      </w:r>
      <w:proofErr w:type="gramEnd"/>
      <w:r w:rsidR="00EE4FC3">
        <w:t xml:space="preserve"> </w:t>
      </w:r>
      <w:r w:rsidRPr="00382917">
        <w:t>coming</w:t>
      </w:r>
      <w:r w:rsidR="00EE4FC3">
        <w:t xml:space="preserve"> </w:t>
      </w:r>
      <w:r w:rsidRPr="00382917">
        <w:t>the</w:t>
      </w:r>
      <w:r w:rsidR="00EE4FC3">
        <w:t xml:space="preserve"> </w:t>
      </w:r>
      <w:r w:rsidRPr="00382917">
        <w:t>Báb</w:t>
      </w:r>
      <w:r w:rsidR="00EE4FC3">
        <w:t xml:space="preserve"> </w:t>
      </w:r>
      <w:r w:rsidRPr="00382917">
        <w:t>unceasingly</w:t>
      </w:r>
      <w:r w:rsidR="00EE4FC3">
        <w:t xml:space="preserve"> </w:t>
      </w:r>
      <w:r w:rsidRPr="00382917">
        <w:t>proclaimed,</w:t>
      </w:r>
      <w:r w:rsidR="00EE4FC3">
        <w:t xml:space="preserve"> </w:t>
      </w:r>
      <w:r w:rsidRPr="00382917">
        <w:t>wrote</w:t>
      </w:r>
      <w:r w:rsidR="00EE4FC3">
        <w:t xml:space="preserve"> </w:t>
      </w:r>
      <w:r w:rsidRPr="00382917">
        <w:t>at</w:t>
      </w:r>
      <w:r w:rsidR="00EE4FC3">
        <w:t xml:space="preserve"> </w:t>
      </w:r>
      <w:r w:rsidRPr="00382917">
        <w:t>a</w:t>
      </w:r>
      <w:r w:rsidR="00EE4FC3">
        <w:t xml:space="preserve"> </w:t>
      </w:r>
      <w:r w:rsidRPr="00382917">
        <w:t>later</w:t>
      </w:r>
      <w:r w:rsidR="00EE4FC3">
        <w:t xml:space="preserve"> </w:t>
      </w:r>
      <w:r w:rsidRPr="00382917">
        <w:t>date,</w:t>
      </w:r>
      <w:r w:rsidR="00EE4FC3">
        <w:t xml:space="preserve"> </w:t>
      </w:r>
      <w:r w:rsidRPr="00382917">
        <w:t>that</w:t>
      </w:r>
      <w:r w:rsidR="00EE4FC3">
        <w:t xml:space="preserve"> </w:t>
      </w:r>
      <w:r w:rsidRPr="00382917">
        <w:t>but</w:t>
      </w:r>
      <w:r w:rsidR="00EE4FC3">
        <w:t xml:space="preserve"> </w:t>
      </w:r>
      <w:r w:rsidRPr="00382917">
        <w:t>for</w:t>
      </w:r>
      <w:r w:rsidR="00EE4FC3">
        <w:t xml:space="preserve"> </w:t>
      </w:r>
      <w:r w:rsidRPr="00382917">
        <w:t>Mullá</w:t>
      </w:r>
      <w:r w:rsidR="00EE4FC3">
        <w:t xml:space="preserve"> </w:t>
      </w:r>
      <w:r w:rsidR="00964C11" w:rsidRPr="00382917">
        <w:t>Ḥusayn</w:t>
      </w:r>
      <w:r w:rsidR="00EE4FC3">
        <w:t xml:space="preserve"> </w:t>
      </w:r>
      <w:r w:rsidRPr="00382917">
        <w:t>the</w:t>
      </w:r>
      <w:r w:rsidR="00EE4FC3">
        <w:t xml:space="preserve"> </w:t>
      </w:r>
      <w:r w:rsidRPr="00382917">
        <w:t>Cause</w:t>
      </w:r>
      <w:r w:rsidR="00EE4FC3">
        <w:t xml:space="preserve"> </w:t>
      </w:r>
      <w:r w:rsidRPr="00382917">
        <w:t>of</w:t>
      </w:r>
      <w:r w:rsidR="00EE4FC3">
        <w:t xml:space="preserve"> </w:t>
      </w:r>
      <w:r w:rsidRPr="00382917">
        <w:t>God</w:t>
      </w:r>
      <w:r w:rsidR="00EE4FC3">
        <w:t xml:space="preserve"> </w:t>
      </w:r>
      <w:r w:rsidRPr="00382917">
        <w:t>would</w:t>
      </w:r>
      <w:r w:rsidR="00EE4FC3">
        <w:t xml:space="preserve"> </w:t>
      </w:r>
      <w:r w:rsidRPr="00382917">
        <w:t>not</w:t>
      </w:r>
      <w:r w:rsidR="00EE4FC3">
        <w:t xml:space="preserve"> </w:t>
      </w:r>
      <w:r w:rsidRPr="00382917">
        <w:t>have</w:t>
      </w:r>
      <w:r w:rsidR="00EE4FC3">
        <w:t xml:space="preserve"> </w:t>
      </w:r>
      <w:r w:rsidRPr="00382917">
        <w:t>been</w:t>
      </w:r>
      <w:r w:rsidR="00EE4FC3">
        <w:t xml:space="preserve"> </w:t>
      </w:r>
      <w:r w:rsidRPr="00382917">
        <w:t>established.</w:t>
      </w:r>
    </w:p>
    <w:p w:rsidR="00DB6293" w:rsidRPr="00382917" w:rsidRDefault="00DB6293" w:rsidP="00DB6293">
      <w:pPr>
        <w:pStyle w:val="Text"/>
      </w:pPr>
      <w:r w:rsidRPr="00382917">
        <w:t>Mullá</w:t>
      </w:r>
      <w:r w:rsidR="00EE4FC3">
        <w:t xml:space="preserve"> </w:t>
      </w:r>
      <w:r w:rsidR="00964C11" w:rsidRPr="00382917">
        <w:t>Ḥusayn</w:t>
      </w:r>
      <w:r w:rsidR="00EE4FC3">
        <w:t xml:space="preserve"> </w:t>
      </w:r>
      <w:r w:rsidRPr="00382917">
        <w:t>was</w:t>
      </w:r>
      <w:r w:rsidR="00EE4FC3">
        <w:t xml:space="preserve"> </w:t>
      </w:r>
      <w:r w:rsidRPr="00382917">
        <w:t>thirty-six</w:t>
      </w:r>
      <w:r w:rsidR="00EE4FC3">
        <w:t xml:space="preserve"> </w:t>
      </w:r>
      <w:r w:rsidRPr="00382917">
        <w:t>when</w:t>
      </w:r>
      <w:r w:rsidR="00EE4FC3">
        <w:t xml:space="preserve"> </w:t>
      </w:r>
      <w:r w:rsidRPr="00382917">
        <w:t>he</w:t>
      </w:r>
      <w:r w:rsidR="00EE4FC3">
        <w:t xml:space="preserve"> </w:t>
      </w:r>
      <w:r w:rsidRPr="00382917">
        <w:t>was</w:t>
      </w:r>
      <w:r w:rsidR="00EE4FC3">
        <w:t xml:space="preserve"> </w:t>
      </w:r>
      <w:r w:rsidRPr="00382917">
        <w:t>slain</w:t>
      </w:r>
      <w:r w:rsidR="00B71244">
        <w:t>.</w:t>
      </w:r>
      <w:r w:rsidR="00EE4FC3">
        <w:t xml:space="preserve">  </w:t>
      </w:r>
      <w:r w:rsidRPr="00382917">
        <w:t>After</w:t>
      </w:r>
      <w:r w:rsidR="00EE4FC3">
        <w:t xml:space="preserve"> </w:t>
      </w:r>
      <w:r w:rsidRPr="00382917">
        <w:t>his</w:t>
      </w:r>
      <w:r w:rsidR="00EE4FC3">
        <w:t xml:space="preserve"> </w:t>
      </w:r>
      <w:r w:rsidRPr="00382917">
        <w:t>burial</w:t>
      </w:r>
      <w:r w:rsidR="00EE4FC3">
        <w:t xml:space="preserve"> </w:t>
      </w:r>
      <w:r w:rsidRPr="00382917">
        <w:t>Quddús</w:t>
      </w:r>
      <w:r w:rsidR="00EE4FC3">
        <w:t xml:space="preserve"> </w:t>
      </w:r>
      <w:r w:rsidRPr="00382917">
        <w:t>gave</w:t>
      </w:r>
      <w:r w:rsidR="00EE4FC3">
        <w:t xml:space="preserve"> </w:t>
      </w:r>
      <w:r w:rsidRPr="00382917">
        <w:t>instructions</w:t>
      </w:r>
      <w:r w:rsidR="00EE4FC3">
        <w:t xml:space="preserve"> </w:t>
      </w:r>
      <w:r w:rsidRPr="00382917">
        <w:t>to</w:t>
      </w:r>
      <w:r w:rsidR="00EE4FC3">
        <w:t xml:space="preserve"> </w:t>
      </w:r>
      <w:r w:rsidRPr="00382917">
        <w:t>inter</w:t>
      </w:r>
      <w:r w:rsidR="00EE4FC3">
        <w:t xml:space="preserve"> </w:t>
      </w:r>
      <w:r w:rsidRPr="00382917">
        <w:t>the</w:t>
      </w:r>
      <w:r w:rsidR="00EE4FC3">
        <w:t xml:space="preserve"> </w:t>
      </w:r>
      <w:r w:rsidRPr="00382917">
        <w:t>bodies</w:t>
      </w:r>
      <w:r w:rsidR="00EE4FC3">
        <w:t xml:space="preserve"> </w:t>
      </w:r>
      <w:r w:rsidRPr="00382917">
        <w:t>of</w:t>
      </w:r>
      <w:r w:rsidR="00EE4FC3">
        <w:t xml:space="preserve"> </w:t>
      </w:r>
      <w:r w:rsidRPr="00382917">
        <w:t>the</w:t>
      </w:r>
      <w:r w:rsidR="00EE4FC3">
        <w:t xml:space="preserve"> </w:t>
      </w:r>
      <w:r w:rsidRPr="00382917">
        <w:t>thirty-six</w:t>
      </w:r>
      <w:r w:rsidR="00EE4FC3">
        <w:t xml:space="preserve"> </w:t>
      </w:r>
      <w:r w:rsidRPr="00382917">
        <w:t>who</w:t>
      </w:r>
      <w:r w:rsidR="00EE4FC3">
        <w:t xml:space="preserve"> </w:t>
      </w:r>
      <w:r w:rsidRPr="00382917">
        <w:t>had</w:t>
      </w:r>
      <w:r w:rsidR="00EE4FC3">
        <w:t xml:space="preserve"> </w:t>
      </w:r>
      <w:r w:rsidRPr="00382917">
        <w:t>fallen</w:t>
      </w:r>
      <w:r w:rsidR="00EE4FC3">
        <w:t xml:space="preserve"> </w:t>
      </w:r>
      <w:r w:rsidRPr="00382917">
        <w:t>with</w:t>
      </w:r>
      <w:r w:rsidR="00EE4FC3">
        <w:t xml:space="preserve"> </w:t>
      </w:r>
      <w:r w:rsidRPr="00382917">
        <w:t>him</w:t>
      </w:r>
      <w:r w:rsidR="00EE4FC3">
        <w:t xml:space="preserve"> </w:t>
      </w:r>
      <w:r w:rsidRPr="00382917">
        <w:t>that</w:t>
      </w:r>
      <w:r w:rsidR="00EE4FC3">
        <w:t xml:space="preserve"> </w:t>
      </w:r>
      <w:r w:rsidRPr="00382917">
        <w:t>night</w:t>
      </w:r>
      <w:r w:rsidR="00EE4FC3">
        <w:t xml:space="preserve"> </w:t>
      </w:r>
      <w:r w:rsidRPr="00382917">
        <w:t>in</w:t>
      </w:r>
      <w:r w:rsidR="00EE4FC3">
        <w:t xml:space="preserve"> </w:t>
      </w:r>
      <w:r w:rsidRPr="00382917">
        <w:t>one</w:t>
      </w:r>
      <w:r w:rsidR="00EE4FC3">
        <w:t xml:space="preserve"> </w:t>
      </w:r>
      <w:r w:rsidRPr="00382917">
        <w:t>and</w:t>
      </w:r>
      <w:r w:rsidR="00EE4FC3">
        <w:t xml:space="preserve"> </w:t>
      </w:r>
      <w:r w:rsidRPr="00382917">
        <w:t>the</w:t>
      </w:r>
      <w:r w:rsidR="00EE4FC3">
        <w:t xml:space="preserve"> </w:t>
      </w:r>
      <w:r w:rsidRPr="00382917">
        <w:t>same</w:t>
      </w:r>
      <w:r w:rsidR="00EE4FC3">
        <w:t xml:space="preserve"> </w:t>
      </w:r>
      <w:r w:rsidRPr="00382917">
        <w:t>grave</w:t>
      </w:r>
      <w:r w:rsidR="00EE4FC3">
        <w:t xml:space="preserve"> </w:t>
      </w:r>
      <w:r w:rsidRPr="00382917">
        <w:t>near</w:t>
      </w:r>
      <w:r w:rsidR="00EE4FC3">
        <w:t xml:space="preserve"> </w:t>
      </w:r>
      <w:r w:rsidRPr="00382917">
        <w:t>the</w:t>
      </w:r>
      <w:r w:rsidR="00EE4FC3">
        <w:t xml:space="preserve"> </w:t>
      </w:r>
      <w:r w:rsidRPr="00382917">
        <w:t>shrine.</w:t>
      </w:r>
    </w:p>
    <w:p w:rsidR="00DB6293" w:rsidRPr="00382917" w:rsidRDefault="009C713D" w:rsidP="00DB6293">
      <w:pPr>
        <w:pStyle w:val="Text"/>
      </w:pPr>
      <w:r w:rsidRPr="00382917">
        <w:t>“</w:t>
      </w:r>
      <w:r w:rsidR="00DB6293" w:rsidRPr="00382917">
        <w:t>Let</w:t>
      </w:r>
      <w:r w:rsidR="00EE4FC3">
        <w:t xml:space="preserve"> </w:t>
      </w:r>
      <w:r w:rsidR="00DB6293" w:rsidRPr="00382917">
        <w:t>the</w:t>
      </w:r>
      <w:r w:rsidR="00EE4FC3">
        <w:t xml:space="preserve"> </w:t>
      </w:r>
      <w:r w:rsidR="00DB6293" w:rsidRPr="00382917">
        <w:t>loved</w:t>
      </w:r>
      <w:r w:rsidR="00EE4FC3">
        <w:t xml:space="preserve"> </w:t>
      </w:r>
      <w:r w:rsidR="00DB6293" w:rsidRPr="00382917">
        <w:t>ones</w:t>
      </w:r>
      <w:r w:rsidR="00EE4FC3">
        <w:t xml:space="preserve"> </w:t>
      </w:r>
      <w:r w:rsidR="00DB6293" w:rsidRPr="00382917">
        <w:t>of</w:t>
      </w:r>
      <w:r w:rsidR="00EE4FC3">
        <w:t xml:space="preserve"> </w:t>
      </w:r>
      <w:r w:rsidR="00DB6293" w:rsidRPr="00382917">
        <w:t>God,</w:t>
      </w:r>
      <w:r w:rsidRPr="00382917">
        <w:t>”</w:t>
      </w:r>
      <w:r w:rsidR="00EE4FC3">
        <w:t xml:space="preserve"> </w:t>
      </w:r>
      <w:r w:rsidR="00DB6293" w:rsidRPr="00382917">
        <w:t>Quddús</w:t>
      </w:r>
      <w:r w:rsidR="00EE4FC3">
        <w:t xml:space="preserve"> </w:t>
      </w:r>
      <w:r w:rsidR="00DB6293" w:rsidRPr="00382917">
        <w:t>said,</w:t>
      </w:r>
      <w:r w:rsidR="00EE4FC3">
        <w:t xml:space="preserve"> </w:t>
      </w:r>
      <w:r w:rsidR="00DB6293" w:rsidRPr="00382917">
        <w:t>as</w:t>
      </w:r>
      <w:r w:rsidR="00EE4FC3">
        <w:t xml:space="preserve"> </w:t>
      </w:r>
      <w:r w:rsidR="00DB6293" w:rsidRPr="00382917">
        <w:t>they</w:t>
      </w:r>
      <w:r w:rsidR="00EE4FC3">
        <w:t xml:space="preserve"> </w:t>
      </w:r>
      <w:r w:rsidR="00DB6293" w:rsidRPr="00382917">
        <w:t>were</w:t>
      </w:r>
      <w:r w:rsidR="00EE4FC3">
        <w:t xml:space="preserve"> </w:t>
      </w:r>
      <w:r w:rsidR="00DB6293" w:rsidRPr="00382917">
        <w:t>lowered</w:t>
      </w:r>
      <w:r w:rsidR="00EE4FC3">
        <w:t xml:space="preserve"> </w:t>
      </w:r>
      <w:r w:rsidR="00DB6293" w:rsidRPr="00382917">
        <w:t>into</w:t>
      </w:r>
      <w:r w:rsidR="00EE4FC3">
        <w:t xml:space="preserve"> </w:t>
      </w:r>
      <w:r w:rsidR="00DB6293" w:rsidRPr="00382917">
        <w:t>the</w:t>
      </w:r>
      <w:r w:rsidR="00EE4FC3">
        <w:t xml:space="preserve"> </w:t>
      </w:r>
      <w:r w:rsidR="00DB6293" w:rsidRPr="00382917">
        <w:t>earth,</w:t>
      </w:r>
      <w:r w:rsidR="00EE4FC3">
        <w:t xml:space="preserve"> </w:t>
      </w:r>
      <w:r w:rsidRPr="00382917">
        <w:t>“</w:t>
      </w:r>
      <w:r w:rsidR="00DB6293" w:rsidRPr="00382917">
        <w:t>take</w:t>
      </w:r>
      <w:r w:rsidR="00EE4FC3">
        <w:t xml:space="preserve"> </w:t>
      </w:r>
      <w:r w:rsidR="00DB6293" w:rsidRPr="00382917">
        <w:t>heed</w:t>
      </w:r>
      <w:r w:rsidR="00EE4FC3">
        <w:t xml:space="preserve"> </w:t>
      </w:r>
      <w:r w:rsidR="00DB6293" w:rsidRPr="00382917">
        <w:t>of</w:t>
      </w:r>
      <w:r w:rsidR="00EE4FC3">
        <w:t xml:space="preserve"> </w:t>
      </w:r>
      <w:r w:rsidR="00DB6293" w:rsidRPr="00382917">
        <w:t>the</w:t>
      </w:r>
      <w:r w:rsidR="00EE4FC3">
        <w:t xml:space="preserve"> </w:t>
      </w:r>
      <w:r w:rsidR="00DB6293" w:rsidRPr="00382917">
        <w:t>example</w:t>
      </w:r>
      <w:r w:rsidR="00EE4FC3">
        <w:t xml:space="preserve"> </w:t>
      </w:r>
      <w:r w:rsidR="00DB6293" w:rsidRPr="00382917">
        <w:t>of</w:t>
      </w:r>
      <w:r w:rsidR="00EE4FC3">
        <w:t xml:space="preserve"> </w:t>
      </w:r>
      <w:r w:rsidR="00DB6293" w:rsidRPr="00382917">
        <w:t>these</w:t>
      </w:r>
      <w:r w:rsidR="00EE4FC3">
        <w:t xml:space="preserve"> </w:t>
      </w:r>
      <w:r w:rsidR="00DB6293" w:rsidRPr="00382917">
        <w:t>martyrs</w:t>
      </w:r>
      <w:r w:rsidR="00EE4FC3">
        <w:t xml:space="preserve"> </w:t>
      </w:r>
      <w:r w:rsidR="00DB6293" w:rsidRPr="00382917">
        <w:t>of</w:t>
      </w:r>
      <w:r w:rsidR="00EE4FC3">
        <w:t xml:space="preserve"> </w:t>
      </w:r>
      <w:r w:rsidR="00DB6293" w:rsidRPr="00382917">
        <w:t>our</w:t>
      </w:r>
      <w:r w:rsidR="00EE4FC3">
        <w:t xml:space="preserve"> </w:t>
      </w:r>
      <w:r w:rsidR="00DB6293" w:rsidRPr="00382917">
        <w:t>Faith</w:t>
      </w:r>
      <w:r w:rsidR="00B71244">
        <w:t>.</w:t>
      </w:r>
      <w:r w:rsidR="00EE4FC3">
        <w:t xml:space="preserve">  </w:t>
      </w:r>
      <w:r w:rsidR="00DB6293" w:rsidRPr="00382917">
        <w:t>Let</w:t>
      </w:r>
      <w:r w:rsidR="00EE4FC3">
        <w:t xml:space="preserve"> </w:t>
      </w:r>
      <w:r w:rsidR="00DB6293" w:rsidRPr="00382917">
        <w:t>them</w:t>
      </w:r>
      <w:r w:rsidR="00EE4FC3">
        <w:t xml:space="preserve"> </w:t>
      </w:r>
      <w:r w:rsidR="00DB6293" w:rsidRPr="00382917">
        <w:t>be</w:t>
      </w:r>
      <w:r w:rsidR="00EE4FC3">
        <w:t xml:space="preserve"> </w:t>
      </w:r>
      <w:r w:rsidR="00DB6293" w:rsidRPr="00382917">
        <w:t>as</w:t>
      </w:r>
      <w:r w:rsidR="00EE4FC3">
        <w:t xml:space="preserve"> </w:t>
      </w:r>
      <w:r w:rsidR="00DB6293" w:rsidRPr="00382917">
        <w:t>united</w:t>
      </w:r>
      <w:r w:rsidR="00EE4FC3">
        <w:t xml:space="preserve"> </w:t>
      </w:r>
      <w:r w:rsidR="00DB6293" w:rsidRPr="00382917">
        <w:t>in</w:t>
      </w:r>
      <w:r w:rsidR="00EE4FC3">
        <w:t xml:space="preserve"> </w:t>
      </w:r>
      <w:r w:rsidR="00DB6293" w:rsidRPr="00382917">
        <w:t>life</w:t>
      </w:r>
      <w:r w:rsidR="00EE4FC3">
        <w:t xml:space="preserve"> </w:t>
      </w:r>
      <w:r w:rsidR="00DB6293" w:rsidRPr="00382917">
        <w:t>as</w:t>
      </w:r>
      <w:r w:rsidR="00EE4FC3">
        <w:t xml:space="preserve"> </w:t>
      </w:r>
      <w:r w:rsidR="00DB6293" w:rsidRPr="00382917">
        <w:t>these</w:t>
      </w:r>
      <w:r w:rsidR="00EE4FC3">
        <w:t xml:space="preserve"> </w:t>
      </w:r>
      <w:r w:rsidR="00DB6293" w:rsidRPr="00382917">
        <w:t>are</w:t>
      </w:r>
      <w:r w:rsidR="00EE4FC3">
        <w:t xml:space="preserve"> </w:t>
      </w:r>
      <w:r w:rsidR="00DB6293" w:rsidRPr="00382917">
        <w:t>now</w:t>
      </w:r>
      <w:r w:rsidR="00EE4FC3">
        <w:t xml:space="preserve"> </w:t>
      </w:r>
      <w:r w:rsidR="00DB6293" w:rsidRPr="00382917">
        <w:t>in</w:t>
      </w:r>
      <w:r w:rsidR="00EE4FC3">
        <w:t xml:space="preserve"> </w:t>
      </w:r>
      <w:r w:rsidR="00DB6293" w:rsidRPr="00382917">
        <w:t>death.</w:t>
      </w:r>
      <w:r w:rsidRPr="00382917">
        <w:t>”</w:t>
      </w:r>
    </w:p>
    <w:p w:rsidR="00DB6293" w:rsidRPr="00382917" w:rsidRDefault="00DB6293" w:rsidP="00DB6293">
      <w:pPr>
        <w:pStyle w:val="Text"/>
      </w:pPr>
      <w:r w:rsidRPr="00382917">
        <w:t>Quddús</w:t>
      </w:r>
      <w:r w:rsidR="00EE4FC3">
        <w:t xml:space="preserve"> </w:t>
      </w:r>
      <w:r w:rsidRPr="00382917">
        <w:t>was</w:t>
      </w:r>
      <w:r w:rsidR="00EE4FC3">
        <w:t xml:space="preserve"> </w:t>
      </w:r>
      <w:r w:rsidRPr="00382917">
        <w:t>now</w:t>
      </w:r>
      <w:r w:rsidR="00EE4FC3">
        <w:t xml:space="preserve"> </w:t>
      </w:r>
      <w:r w:rsidRPr="00382917">
        <w:t>in</w:t>
      </w:r>
      <w:r w:rsidR="00EE4FC3">
        <w:t xml:space="preserve"> </w:t>
      </w:r>
      <w:r w:rsidRPr="00382917">
        <w:t>sole</w:t>
      </w:r>
      <w:r w:rsidR="00EE4FC3">
        <w:t xml:space="preserve"> </w:t>
      </w:r>
      <w:r w:rsidRPr="00382917">
        <w:t>command</w:t>
      </w:r>
      <w:r w:rsidR="00EE4FC3">
        <w:t xml:space="preserve"> </w:t>
      </w:r>
      <w:r w:rsidRPr="00382917">
        <w:t>of</w:t>
      </w:r>
      <w:r w:rsidR="00EE4FC3">
        <w:t xml:space="preserve"> </w:t>
      </w:r>
      <w:r w:rsidRPr="00382917">
        <w:t>those</w:t>
      </w:r>
      <w:r w:rsidR="00EE4FC3">
        <w:t xml:space="preserve"> </w:t>
      </w:r>
      <w:r w:rsidRPr="00382917">
        <w:t>in</w:t>
      </w:r>
      <w:r w:rsidR="00EE4FC3">
        <w:t xml:space="preserve"> </w:t>
      </w:r>
      <w:r w:rsidRPr="00382917">
        <w:t>the</w:t>
      </w:r>
      <w:r w:rsidR="00EE4FC3">
        <w:t xml:space="preserve"> </w:t>
      </w:r>
      <w:r w:rsidRPr="00382917">
        <w:t>fort</w:t>
      </w:r>
      <w:r w:rsidR="00B71244">
        <w:t>.</w:t>
      </w:r>
      <w:r w:rsidR="00EE4FC3">
        <w:t xml:space="preserve">  </w:t>
      </w:r>
      <w:r w:rsidRPr="00382917">
        <w:t>When</w:t>
      </w:r>
      <w:r w:rsidR="00EE4FC3">
        <w:t xml:space="preserve"> </w:t>
      </w:r>
      <w:r w:rsidRPr="00382917">
        <w:t>their</w:t>
      </w:r>
      <w:r w:rsidR="00EE4FC3">
        <w:t xml:space="preserve"> </w:t>
      </w:r>
      <w:r w:rsidRPr="00382917">
        <w:t>supply</w:t>
      </w:r>
      <w:r w:rsidR="00EE4FC3">
        <w:t xml:space="preserve"> </w:t>
      </w:r>
      <w:r w:rsidRPr="00382917">
        <w:t>of</w:t>
      </w:r>
      <w:r w:rsidR="00EE4FC3">
        <w:t xml:space="preserve"> </w:t>
      </w:r>
      <w:r w:rsidRPr="00382917">
        <w:t>provisions</w:t>
      </w:r>
      <w:r w:rsidR="00EE4FC3">
        <w:t xml:space="preserve"> </w:t>
      </w:r>
      <w:r w:rsidRPr="00382917">
        <w:t>was</w:t>
      </w:r>
      <w:r w:rsidR="00EE4FC3">
        <w:t xml:space="preserve"> </w:t>
      </w:r>
      <w:r w:rsidRPr="00382917">
        <w:t>nearly</w:t>
      </w:r>
      <w:r w:rsidR="00EE4FC3">
        <w:t xml:space="preserve"> </w:t>
      </w:r>
      <w:r w:rsidRPr="00382917">
        <w:t>exhausted,</w:t>
      </w:r>
      <w:r w:rsidR="00EE4FC3">
        <w:t xml:space="preserve"> </w:t>
      </w:r>
      <w:r w:rsidRPr="00382917">
        <w:t>Quddús</w:t>
      </w:r>
      <w:r w:rsidR="00EE4FC3">
        <w:t xml:space="preserve"> </w:t>
      </w:r>
      <w:r w:rsidRPr="00382917">
        <w:t>distributed</w:t>
      </w:r>
      <w:r w:rsidR="00EE4FC3">
        <w:t xml:space="preserve"> </w:t>
      </w:r>
      <w:r w:rsidRPr="00382917">
        <w:t>the</w:t>
      </w:r>
      <w:r w:rsidR="00EE4FC3">
        <w:t xml:space="preserve"> </w:t>
      </w:r>
      <w:r w:rsidRPr="00382917">
        <w:t>last</w:t>
      </w:r>
      <w:r w:rsidR="00EE4FC3">
        <w:t xml:space="preserve"> </w:t>
      </w:r>
      <w:r w:rsidRPr="00382917">
        <w:t>of</w:t>
      </w:r>
      <w:r w:rsidR="00EE4FC3">
        <w:t xml:space="preserve"> </w:t>
      </w:r>
      <w:r w:rsidRPr="00382917">
        <w:t>the</w:t>
      </w:r>
      <w:r w:rsidR="00EE4FC3">
        <w:t xml:space="preserve"> </w:t>
      </w:r>
      <w:r w:rsidRPr="00382917">
        <w:t>rice</w:t>
      </w:r>
      <w:r w:rsidR="00EE4FC3">
        <w:t xml:space="preserve"> </w:t>
      </w:r>
      <w:r w:rsidRPr="00382917">
        <w:t>among</w:t>
      </w:r>
      <w:r w:rsidR="00EE4FC3">
        <w:t xml:space="preserve"> </w:t>
      </w:r>
      <w:r w:rsidRPr="00382917">
        <w:t>them,</w:t>
      </w:r>
      <w:r w:rsidR="00EE4FC3">
        <w:t xml:space="preserve"> </w:t>
      </w:r>
      <w:r w:rsidRPr="00382917">
        <w:t>and</w:t>
      </w:r>
      <w:r w:rsidR="00EE4FC3">
        <w:t xml:space="preserve"> </w:t>
      </w:r>
      <w:r w:rsidRPr="00382917">
        <w:t>warned</w:t>
      </w:r>
      <w:r w:rsidR="00EE4FC3">
        <w:t xml:space="preserve"> </w:t>
      </w:r>
      <w:r w:rsidRPr="00382917">
        <w:t>them</w:t>
      </w:r>
      <w:r w:rsidR="00EE4FC3">
        <w:t xml:space="preserve"> </w:t>
      </w:r>
      <w:r w:rsidRPr="00382917">
        <w:t>of</w:t>
      </w:r>
      <w:r w:rsidR="00EE4FC3">
        <w:t xml:space="preserve"> </w:t>
      </w:r>
      <w:r w:rsidRPr="00382917">
        <w:t>the</w:t>
      </w:r>
      <w:r w:rsidR="00EE4FC3">
        <w:t xml:space="preserve"> </w:t>
      </w:r>
      <w:r w:rsidRPr="00382917">
        <w:t>hardships</w:t>
      </w:r>
      <w:r w:rsidR="00EE4FC3">
        <w:t xml:space="preserve"> </w:t>
      </w:r>
      <w:r w:rsidRPr="00382917">
        <w:t>that</w:t>
      </w:r>
      <w:r w:rsidR="00EE4FC3">
        <w:t xml:space="preserve"> </w:t>
      </w:r>
      <w:r w:rsidRPr="00382917">
        <w:t>lay</w:t>
      </w:r>
      <w:r w:rsidR="00EE4FC3">
        <w:t xml:space="preserve"> </w:t>
      </w:r>
      <w:r w:rsidRPr="00382917">
        <w:t>ahead.</w:t>
      </w:r>
    </w:p>
    <w:p w:rsidR="00DB6293" w:rsidRPr="00382917" w:rsidRDefault="009C713D" w:rsidP="00DB6293">
      <w:pPr>
        <w:pStyle w:val="Text"/>
      </w:pPr>
      <w:r w:rsidRPr="00382917">
        <w:t>“</w:t>
      </w:r>
      <w:r w:rsidR="00DB6293" w:rsidRPr="00382917">
        <w:t>Whoever</w:t>
      </w:r>
      <w:r w:rsidR="00EE4FC3">
        <w:t xml:space="preserve"> </w:t>
      </w:r>
      <w:r w:rsidR="00DB6293" w:rsidRPr="00382917">
        <w:t>feels</w:t>
      </w:r>
      <w:r w:rsidR="00EE4FC3">
        <w:t xml:space="preserve"> </w:t>
      </w:r>
      <w:r w:rsidR="00DB6293" w:rsidRPr="00382917">
        <w:t>himself</w:t>
      </w:r>
      <w:r w:rsidR="00EE4FC3">
        <w:t xml:space="preserve"> </w:t>
      </w:r>
      <w:r w:rsidR="00DB6293" w:rsidRPr="00382917">
        <w:t>strong</w:t>
      </w:r>
      <w:r w:rsidR="00EE4FC3">
        <w:t xml:space="preserve"> </w:t>
      </w:r>
      <w:r w:rsidR="00DB6293" w:rsidRPr="00382917">
        <w:t>enough</w:t>
      </w:r>
      <w:r w:rsidR="00EE4FC3">
        <w:t xml:space="preserve"> </w:t>
      </w:r>
      <w:r w:rsidR="00DB6293" w:rsidRPr="00382917">
        <w:t>to</w:t>
      </w:r>
      <w:r w:rsidR="00EE4FC3">
        <w:t xml:space="preserve"> </w:t>
      </w:r>
      <w:r w:rsidR="00DB6293" w:rsidRPr="00382917">
        <w:t>withstand</w:t>
      </w:r>
      <w:r w:rsidR="00EE4FC3">
        <w:t xml:space="preserve"> </w:t>
      </w:r>
      <w:r w:rsidR="00DB6293" w:rsidRPr="00382917">
        <w:t>the</w:t>
      </w:r>
      <w:r w:rsidR="00EE4FC3">
        <w:t xml:space="preserve"> </w:t>
      </w:r>
      <w:r w:rsidR="00DB6293" w:rsidRPr="00382917">
        <w:t>calamities</w:t>
      </w:r>
      <w:r w:rsidR="00EE4FC3">
        <w:t xml:space="preserve"> </w:t>
      </w:r>
      <w:r w:rsidR="00DB6293" w:rsidRPr="00382917">
        <w:t>that</w:t>
      </w:r>
      <w:r w:rsidR="00EE4FC3">
        <w:t xml:space="preserve"> </w:t>
      </w:r>
      <w:r w:rsidR="00DB6293" w:rsidRPr="00382917">
        <w:t>are</w:t>
      </w:r>
      <w:r w:rsidR="00EE4FC3">
        <w:t xml:space="preserve"> </w:t>
      </w:r>
      <w:r w:rsidR="00DB6293" w:rsidRPr="00382917">
        <w:t>soon</w:t>
      </w:r>
      <w:r w:rsidR="00EE4FC3">
        <w:t xml:space="preserve"> </w:t>
      </w:r>
      <w:r w:rsidR="00DB6293" w:rsidRPr="00382917">
        <w:t>to</w:t>
      </w:r>
      <w:r w:rsidR="00EE4FC3">
        <w:t xml:space="preserve"> </w:t>
      </w:r>
      <w:r w:rsidR="00DB6293" w:rsidRPr="00382917">
        <w:t>befall</w:t>
      </w:r>
      <w:r w:rsidR="00EE4FC3">
        <w:t xml:space="preserve"> </w:t>
      </w:r>
      <w:r w:rsidR="00DB6293" w:rsidRPr="00382917">
        <w:t>us,</w:t>
      </w:r>
      <w:r w:rsidR="00EE4FC3">
        <w:t xml:space="preserve"> </w:t>
      </w:r>
      <w:r w:rsidR="00DB6293" w:rsidRPr="00382917">
        <w:t>let</w:t>
      </w:r>
      <w:r w:rsidR="00EE4FC3">
        <w:t xml:space="preserve"> </w:t>
      </w:r>
      <w:r w:rsidR="00DB6293" w:rsidRPr="00382917">
        <w:t>him</w:t>
      </w:r>
      <w:r w:rsidR="00EE4FC3">
        <w:t xml:space="preserve"> </w:t>
      </w:r>
      <w:r w:rsidR="00DB6293" w:rsidRPr="00382917">
        <w:t>remain</w:t>
      </w:r>
      <w:r w:rsidR="00EE4FC3">
        <w:t xml:space="preserve"> </w:t>
      </w:r>
      <w:r w:rsidR="00DB6293" w:rsidRPr="00382917">
        <w:t>with</w:t>
      </w:r>
      <w:r w:rsidR="00EE4FC3">
        <w:t xml:space="preserve"> </w:t>
      </w:r>
      <w:r w:rsidR="00DB6293" w:rsidRPr="00382917">
        <w:t>us</w:t>
      </w:r>
      <w:r w:rsidR="00EE4FC3">
        <w:t xml:space="preserve"> </w:t>
      </w:r>
      <w:r w:rsidR="00DB6293" w:rsidRPr="00382917">
        <w:t>in</w:t>
      </w:r>
      <w:r w:rsidR="00EE4FC3">
        <w:t xml:space="preserve"> </w:t>
      </w:r>
      <w:r w:rsidR="00DB6293" w:rsidRPr="00382917">
        <w:t>this</w:t>
      </w:r>
      <w:r w:rsidR="00EE4FC3">
        <w:t xml:space="preserve"> </w:t>
      </w:r>
      <w:proofErr w:type="gramStart"/>
      <w:r w:rsidR="00DB6293" w:rsidRPr="00382917">
        <w:t>fort</w:t>
      </w:r>
      <w:r w:rsidR="00B71244">
        <w:t>.</w:t>
      </w:r>
      <w:proofErr w:type="gramEnd"/>
      <w:r w:rsidR="00EE4FC3">
        <w:t xml:space="preserve">  </w:t>
      </w:r>
      <w:r w:rsidR="00DB6293" w:rsidRPr="00382917">
        <w:t>And</w:t>
      </w:r>
      <w:r w:rsidR="00EE4FC3">
        <w:t xml:space="preserve"> </w:t>
      </w:r>
      <w:r w:rsidR="00DB6293" w:rsidRPr="00382917">
        <w:t>whoever</w:t>
      </w:r>
      <w:r w:rsidR="00EE4FC3">
        <w:t xml:space="preserve"> </w:t>
      </w:r>
      <w:r w:rsidR="00DB6293" w:rsidRPr="00382917">
        <w:t>perceives</w:t>
      </w:r>
      <w:r w:rsidR="00EE4FC3">
        <w:t xml:space="preserve"> </w:t>
      </w:r>
      <w:r w:rsidR="00DB6293" w:rsidRPr="00382917">
        <w:t>in</w:t>
      </w:r>
      <w:r w:rsidR="00EE4FC3">
        <w:t xml:space="preserve"> </w:t>
      </w:r>
      <w:r w:rsidR="00DB6293" w:rsidRPr="00382917">
        <w:t>himself</w:t>
      </w:r>
      <w:r w:rsidR="00EE4FC3">
        <w:t xml:space="preserve"> </w:t>
      </w:r>
      <w:r w:rsidR="00DB6293" w:rsidRPr="00382917">
        <w:t>the</w:t>
      </w:r>
      <w:r w:rsidR="00EE4FC3">
        <w:t xml:space="preserve"> </w:t>
      </w:r>
      <w:r w:rsidR="00DB6293" w:rsidRPr="00382917">
        <w:t>least</w:t>
      </w:r>
      <w:r w:rsidR="00EE4FC3">
        <w:t xml:space="preserve"> </w:t>
      </w:r>
      <w:r w:rsidR="00DB6293" w:rsidRPr="00382917">
        <w:t>hesitation</w:t>
      </w:r>
      <w:r w:rsidR="00EE4FC3">
        <w:t xml:space="preserve"> </w:t>
      </w:r>
      <w:r w:rsidR="00DB6293" w:rsidRPr="00382917">
        <w:t>and</w:t>
      </w:r>
      <w:r w:rsidR="00EE4FC3">
        <w:t xml:space="preserve"> </w:t>
      </w:r>
      <w:r w:rsidR="00DB6293" w:rsidRPr="00382917">
        <w:t>fear,</w:t>
      </w:r>
      <w:r w:rsidR="00EE4FC3">
        <w:t xml:space="preserve"> </w:t>
      </w:r>
      <w:r w:rsidR="00DB6293" w:rsidRPr="00382917">
        <w:t>let</w:t>
      </w:r>
      <w:r w:rsidR="00EE4FC3">
        <w:t xml:space="preserve"> </w:t>
      </w:r>
      <w:r w:rsidR="00DB6293" w:rsidRPr="00382917">
        <w:t>him</w:t>
      </w:r>
      <w:r w:rsidR="00EE4FC3">
        <w:t xml:space="preserve"> </w:t>
      </w:r>
      <w:r w:rsidR="00DB6293" w:rsidRPr="00382917">
        <w:t>betake</w:t>
      </w:r>
      <w:r w:rsidR="00EE4FC3">
        <w:t xml:space="preserve"> </w:t>
      </w:r>
      <w:r w:rsidR="00DB6293" w:rsidRPr="00382917">
        <w:t>himself</w:t>
      </w:r>
      <w:r w:rsidR="00EE4FC3">
        <w:t xml:space="preserve"> </w:t>
      </w:r>
      <w:r w:rsidR="00DB6293" w:rsidRPr="00382917">
        <w:t>away</w:t>
      </w:r>
      <w:r w:rsidR="00EE4FC3">
        <w:t xml:space="preserve"> </w:t>
      </w:r>
      <w:r w:rsidR="00DB6293" w:rsidRPr="00382917">
        <w:t>from</w:t>
      </w:r>
      <w:r w:rsidR="00EE4FC3">
        <w:t xml:space="preserve"> </w:t>
      </w:r>
      <w:r w:rsidR="00DB6293" w:rsidRPr="00382917">
        <w:t>this</w:t>
      </w:r>
      <w:r w:rsidR="00EE4FC3">
        <w:t xml:space="preserve"> </w:t>
      </w:r>
      <w:r w:rsidR="00DB6293" w:rsidRPr="00382917">
        <w:t>place</w:t>
      </w:r>
      <w:r w:rsidR="00B71244">
        <w:t>.</w:t>
      </w:r>
      <w:r w:rsidR="00EE4FC3">
        <w:t xml:space="preserve">  </w:t>
      </w:r>
      <w:r w:rsidR="00DB6293" w:rsidRPr="00382917">
        <w:t>The</w:t>
      </w:r>
      <w:r w:rsidR="00EE4FC3">
        <w:t xml:space="preserve"> </w:t>
      </w:r>
      <w:r w:rsidR="00DB6293" w:rsidRPr="00382917">
        <w:t>way</w:t>
      </w:r>
      <w:r w:rsidR="00EE4FC3">
        <w:t xml:space="preserve"> </w:t>
      </w:r>
      <w:r w:rsidR="00DB6293" w:rsidRPr="00382917">
        <w:t>will</w:t>
      </w:r>
      <w:r w:rsidR="00EE4FC3">
        <w:t xml:space="preserve"> </w:t>
      </w:r>
      <w:r w:rsidR="00DB6293" w:rsidRPr="00382917">
        <w:t>soon</w:t>
      </w:r>
      <w:r w:rsidR="00EE4FC3">
        <w:t xml:space="preserve"> </w:t>
      </w:r>
      <w:r w:rsidR="00DB6293" w:rsidRPr="00382917">
        <w:t>be</w:t>
      </w:r>
      <w:r w:rsidR="00EE4FC3">
        <w:t xml:space="preserve"> </w:t>
      </w:r>
      <w:r w:rsidR="00DB6293" w:rsidRPr="00382917">
        <w:t>barred</w:t>
      </w:r>
      <w:r w:rsidR="00EE4FC3">
        <w:t xml:space="preserve"> </w:t>
      </w:r>
      <w:r w:rsidR="00DB6293" w:rsidRPr="00382917">
        <w:t>before</w:t>
      </w:r>
      <w:r w:rsidR="00EE4FC3">
        <w:t xml:space="preserve"> </w:t>
      </w:r>
      <w:r w:rsidR="00DB6293" w:rsidRPr="00382917">
        <w:t>our</w:t>
      </w:r>
      <w:r w:rsidR="00EE4FC3">
        <w:t xml:space="preserve"> </w:t>
      </w:r>
      <w:r w:rsidR="00DB6293" w:rsidRPr="00382917">
        <w:t>faces,</w:t>
      </w:r>
      <w:r w:rsidR="00EE4FC3">
        <w:t xml:space="preserve"> </w:t>
      </w:r>
      <w:r w:rsidR="00DB6293" w:rsidRPr="00382917">
        <w:t>and</w:t>
      </w:r>
      <w:r w:rsidR="00EE4FC3">
        <w:t xml:space="preserve"> </w:t>
      </w:r>
      <w:r w:rsidR="00DB6293" w:rsidRPr="00382917">
        <w:t>we</w:t>
      </w:r>
      <w:r w:rsidR="00EE4FC3">
        <w:t xml:space="preserve"> </w:t>
      </w:r>
      <w:r w:rsidR="00DB6293" w:rsidRPr="00382917">
        <w:t>shall</w:t>
      </w:r>
      <w:r w:rsidR="00EE4FC3">
        <w:t xml:space="preserve"> </w:t>
      </w:r>
      <w:r w:rsidR="00DB6293" w:rsidRPr="00382917">
        <w:t>fall</w:t>
      </w:r>
      <w:r w:rsidR="00EE4FC3">
        <w:t xml:space="preserve"> </w:t>
      </w:r>
      <w:r w:rsidR="00DB6293" w:rsidRPr="00382917">
        <w:t>a</w:t>
      </w:r>
      <w:r w:rsidR="00EE4FC3">
        <w:t xml:space="preserve"> </w:t>
      </w:r>
      <w:r w:rsidR="00DB6293" w:rsidRPr="00382917">
        <w:t>victim</w:t>
      </w:r>
      <w:r w:rsidR="00EE4FC3">
        <w:t xml:space="preserve"> </w:t>
      </w:r>
      <w:r w:rsidR="00DB6293" w:rsidRPr="00382917">
        <w:t>to</w:t>
      </w:r>
      <w:r w:rsidR="00EE4FC3">
        <w:t xml:space="preserve"> </w:t>
      </w:r>
      <w:r w:rsidR="00DB6293" w:rsidRPr="00382917">
        <w:t>devastating</w:t>
      </w:r>
      <w:r w:rsidR="00EE4FC3">
        <w:t xml:space="preserve"> </w:t>
      </w:r>
      <w:r w:rsidR="00DB6293" w:rsidRPr="00382917">
        <w:t>afflictions.</w:t>
      </w:r>
      <w:r w:rsidRPr="00382917">
        <w:t>”</w:t>
      </w:r>
    </w:p>
    <w:p w:rsidR="00DB6293" w:rsidRPr="00382917" w:rsidRDefault="00DB6293" w:rsidP="00DB6293">
      <w:pPr>
        <w:pStyle w:val="Text"/>
      </w:pPr>
      <w:r w:rsidRPr="00382917">
        <w:t>The</w:t>
      </w:r>
      <w:r w:rsidR="00EE4FC3">
        <w:t xml:space="preserve"> </w:t>
      </w:r>
      <w:r w:rsidRPr="00382917">
        <w:t>very</w:t>
      </w:r>
      <w:r w:rsidR="00EE4FC3">
        <w:t xml:space="preserve"> </w:t>
      </w:r>
      <w:r w:rsidRPr="00382917">
        <w:t>night</w:t>
      </w:r>
      <w:r w:rsidR="00EE4FC3">
        <w:t xml:space="preserve"> </w:t>
      </w:r>
      <w:r w:rsidRPr="00382917">
        <w:t>Quddús</w:t>
      </w:r>
      <w:r w:rsidR="00EE4FC3">
        <w:t xml:space="preserve"> </w:t>
      </w:r>
      <w:r w:rsidRPr="00382917">
        <w:t>gave</w:t>
      </w:r>
      <w:r w:rsidR="00EE4FC3">
        <w:t xml:space="preserve"> </w:t>
      </w:r>
      <w:r w:rsidRPr="00382917">
        <w:t>this</w:t>
      </w:r>
      <w:r w:rsidR="00EE4FC3">
        <w:t xml:space="preserve"> </w:t>
      </w:r>
      <w:proofErr w:type="gramStart"/>
      <w:r w:rsidRPr="00382917">
        <w:t>warning,</w:t>
      </w:r>
      <w:proofErr w:type="gramEnd"/>
      <w:r w:rsidR="00EE4FC3">
        <w:t xml:space="preserve"> </w:t>
      </w:r>
      <w:r w:rsidRPr="00382917">
        <w:t>one</w:t>
      </w:r>
      <w:r w:rsidR="00EE4FC3">
        <w:t xml:space="preserve"> </w:t>
      </w:r>
      <w:r w:rsidRPr="00382917">
        <w:t>fearful</w:t>
      </w:r>
      <w:r w:rsidR="00EE4FC3">
        <w:t xml:space="preserve"> </w:t>
      </w:r>
      <w:r w:rsidRPr="00382917">
        <w:t>soul</w:t>
      </w:r>
      <w:r w:rsidR="00EE4FC3">
        <w:t xml:space="preserve"> </w:t>
      </w:r>
      <w:r w:rsidRPr="00382917">
        <w:t>betrayed</w:t>
      </w:r>
      <w:r w:rsidR="00EE4FC3">
        <w:t xml:space="preserve"> </w:t>
      </w:r>
      <w:r w:rsidRPr="00382917">
        <w:t>his</w:t>
      </w:r>
      <w:r w:rsidR="00EE4FC3">
        <w:t xml:space="preserve"> </w:t>
      </w:r>
      <w:r w:rsidRPr="00382917">
        <w:t>companions</w:t>
      </w:r>
      <w:r w:rsidR="00B71244">
        <w:t>.</w:t>
      </w:r>
      <w:r w:rsidR="00EE4FC3">
        <w:t xml:space="preserve">  </w:t>
      </w:r>
      <w:r w:rsidRPr="00382917">
        <w:t>He</w:t>
      </w:r>
      <w:r w:rsidR="00EE4FC3">
        <w:t xml:space="preserve"> </w:t>
      </w:r>
      <w:r w:rsidRPr="00382917">
        <w:t>wrote</w:t>
      </w:r>
      <w:r w:rsidR="00EE4FC3">
        <w:t xml:space="preserve"> </w:t>
      </w:r>
      <w:r w:rsidRPr="00382917">
        <w:t>a</w:t>
      </w:r>
      <w:r w:rsidR="00EE4FC3">
        <w:t xml:space="preserve"> </w:t>
      </w:r>
      <w:r w:rsidRPr="00382917">
        <w:t>letter</w:t>
      </w:r>
      <w:r w:rsidR="00EE4FC3">
        <w:t xml:space="preserve"> </w:t>
      </w:r>
      <w:r w:rsidRPr="00382917">
        <w:t>to</w:t>
      </w:r>
      <w:r w:rsidR="00EE4FC3">
        <w:t xml:space="preserve"> </w:t>
      </w:r>
      <w:r w:rsidR="009C713D" w:rsidRPr="00382917">
        <w:t>‘</w:t>
      </w:r>
      <w:r w:rsidRPr="00382917">
        <w:t>Abbás-Qulí</w:t>
      </w:r>
      <w:r w:rsidR="00EE4FC3">
        <w:t xml:space="preserve"> </w:t>
      </w:r>
      <w:r w:rsidR="0040329F" w:rsidRPr="0040329F">
        <w:rPr>
          <w:u w:val="single"/>
        </w:rPr>
        <w:t>Kh</w:t>
      </w:r>
      <w:r w:rsidR="0040329F" w:rsidRPr="00382917">
        <w:t>án</w:t>
      </w:r>
      <w:r w:rsidRPr="00382917">
        <w:t>,</w:t>
      </w:r>
      <w:r w:rsidR="00EE4FC3">
        <w:t xml:space="preserve"> </w:t>
      </w:r>
      <w:r w:rsidRPr="00382917">
        <w:t>the</w:t>
      </w:r>
      <w:r w:rsidR="00EE4FC3">
        <w:t xml:space="preserve"> </w:t>
      </w:r>
      <w:r w:rsidRPr="00382917">
        <w:t>king</w:t>
      </w:r>
      <w:r w:rsidR="009C713D" w:rsidRPr="00382917">
        <w:t>’</w:t>
      </w:r>
      <w:r w:rsidRPr="00382917">
        <w:t>s</w:t>
      </w:r>
      <w:r w:rsidR="00EE4FC3">
        <w:t xml:space="preserve"> </w:t>
      </w:r>
      <w:r w:rsidRPr="00382917">
        <w:t>general,</w:t>
      </w:r>
      <w:r w:rsidR="00EE4FC3">
        <w:t xml:space="preserve"> </w:t>
      </w:r>
      <w:r w:rsidRPr="00382917">
        <w:t>informing</w:t>
      </w:r>
      <w:r w:rsidR="00EE4FC3">
        <w:t xml:space="preserve"> </w:t>
      </w:r>
      <w:r w:rsidRPr="00382917">
        <w:t>him</w:t>
      </w:r>
      <w:r w:rsidR="00EE4FC3">
        <w:t xml:space="preserve"> </w:t>
      </w:r>
      <w:r w:rsidRPr="00382917">
        <w:t>that</w:t>
      </w:r>
      <w:r w:rsidR="00EE4FC3">
        <w:t xml:space="preserve"> </w:t>
      </w:r>
      <w:r w:rsidRPr="00382917">
        <w:t>Mullá</w:t>
      </w:r>
      <w:r w:rsidR="00EE4FC3">
        <w:t xml:space="preserve"> </w:t>
      </w:r>
      <w:r w:rsidR="00964C11" w:rsidRPr="00382917">
        <w:t>Ḥusayn</w:t>
      </w:r>
      <w:r w:rsidR="00EE4FC3">
        <w:t xml:space="preserve"> </w:t>
      </w:r>
      <w:r w:rsidRPr="00382917">
        <w:t>was</w:t>
      </w:r>
      <w:r w:rsidR="00EE4FC3">
        <w:t xml:space="preserve"> </w:t>
      </w:r>
      <w:r w:rsidRPr="00382917">
        <w:t>dead</w:t>
      </w:r>
      <w:r w:rsidR="00B71244">
        <w:t>.</w:t>
      </w:r>
      <w:r w:rsidR="00EE4FC3">
        <w:t xml:space="preserve">  </w:t>
      </w:r>
      <w:r w:rsidR="009C713D" w:rsidRPr="00382917">
        <w:t>“</w:t>
      </w:r>
      <w:r w:rsidRPr="00382917">
        <w:t>He</w:t>
      </w:r>
      <w:r w:rsidR="00EE4FC3">
        <w:t xml:space="preserve"> </w:t>
      </w:r>
      <w:r w:rsidRPr="00382917">
        <w:t>was</w:t>
      </w:r>
      <w:r w:rsidR="00EE4FC3">
        <w:t xml:space="preserve"> </w:t>
      </w:r>
      <w:r w:rsidRPr="00382917">
        <w:t>the</w:t>
      </w:r>
      <w:r w:rsidR="00EE4FC3">
        <w:t xml:space="preserve"> </w:t>
      </w:r>
      <w:r w:rsidRPr="00382917">
        <w:t>pillar</w:t>
      </w:r>
      <w:r w:rsidR="00EE4FC3">
        <w:t xml:space="preserve"> </w:t>
      </w:r>
      <w:r w:rsidRPr="00382917">
        <w:t>upon</w:t>
      </w:r>
      <w:r w:rsidR="00EE4FC3">
        <w:t xml:space="preserve"> </w:t>
      </w:r>
      <w:r w:rsidRPr="00382917">
        <w:t>which</w:t>
      </w:r>
      <w:r w:rsidR="00EE4FC3">
        <w:t xml:space="preserve"> </w:t>
      </w:r>
      <w:r w:rsidRPr="00382917">
        <w:t>the</w:t>
      </w:r>
      <w:r w:rsidR="00EE4FC3">
        <w:t xml:space="preserve"> </w:t>
      </w:r>
      <w:r w:rsidRPr="00382917">
        <w:t>strength</w:t>
      </w:r>
      <w:r w:rsidR="00EE4FC3">
        <w:t xml:space="preserve"> </w:t>
      </w:r>
      <w:r w:rsidRPr="00382917">
        <w:t>and</w:t>
      </w:r>
      <w:r w:rsidR="00EE4FC3">
        <w:t xml:space="preserve"> </w:t>
      </w:r>
      <w:r w:rsidRPr="00382917">
        <w:t>security</w:t>
      </w:r>
      <w:r w:rsidR="00EE4FC3">
        <w:t xml:space="preserve"> </w:t>
      </w:r>
      <w:r w:rsidRPr="00382917">
        <w:t>of</w:t>
      </w:r>
      <w:r w:rsidR="00EE4FC3">
        <w:t xml:space="preserve"> </w:t>
      </w:r>
      <w:r w:rsidRPr="00382917">
        <w:t>the</w:t>
      </w:r>
      <w:r w:rsidR="00EE4FC3">
        <w:t xml:space="preserve"> </w:t>
      </w:r>
      <w:r w:rsidRPr="00382917">
        <w:t>fort</w:t>
      </w:r>
      <w:r w:rsidR="00EE4FC3">
        <w:t xml:space="preserve"> </w:t>
      </w:r>
      <w:r w:rsidRPr="00382917">
        <w:t>depended</w:t>
      </w:r>
      <w:r w:rsidR="00B71244">
        <w:t>.</w:t>
      </w:r>
      <w:r w:rsidR="00EE4FC3">
        <w:t xml:space="preserve">  </w:t>
      </w:r>
      <w:r w:rsidRPr="00382917">
        <w:t>They</w:t>
      </w:r>
      <w:r w:rsidR="00EE4FC3">
        <w:t xml:space="preserve"> </w:t>
      </w:r>
      <w:r w:rsidRPr="00382917">
        <w:t>are</w:t>
      </w:r>
      <w:r w:rsidR="00EE4FC3">
        <w:t xml:space="preserve"> </w:t>
      </w:r>
      <w:r w:rsidRPr="00382917">
        <w:t>worn</w:t>
      </w:r>
      <w:r w:rsidR="00EE4FC3">
        <w:t xml:space="preserve"> </w:t>
      </w:r>
      <w:r w:rsidRPr="00382917">
        <w:t>with</w:t>
      </w:r>
      <w:r w:rsidR="00EE4FC3">
        <w:t xml:space="preserve"> </w:t>
      </w:r>
      <w:r w:rsidRPr="00382917">
        <w:t>famine</w:t>
      </w:r>
      <w:r w:rsidR="00EE4FC3">
        <w:t xml:space="preserve"> </w:t>
      </w:r>
      <w:r w:rsidRPr="00382917">
        <w:t>and</w:t>
      </w:r>
      <w:r w:rsidR="00EE4FC3">
        <w:t xml:space="preserve"> </w:t>
      </w:r>
      <w:r w:rsidRPr="00382917">
        <w:t>are</w:t>
      </w:r>
      <w:r w:rsidR="00EE4FC3">
        <w:t xml:space="preserve"> </w:t>
      </w:r>
      <w:r w:rsidRPr="00382917">
        <w:t>being</w:t>
      </w:r>
      <w:r w:rsidR="00EE4FC3">
        <w:t xml:space="preserve"> </w:t>
      </w:r>
      <w:r w:rsidRPr="00382917">
        <w:t>grievously</w:t>
      </w:r>
      <w:r w:rsidR="00EE4FC3">
        <w:t xml:space="preserve"> </w:t>
      </w:r>
      <w:r w:rsidRPr="00382917">
        <w:t>treated.</w:t>
      </w:r>
      <w:r w:rsidR="009C713D" w:rsidRPr="00382917">
        <w:t>”</w:t>
      </w:r>
      <w:r w:rsidR="00EE4FC3">
        <w:t xml:space="preserve">  </w:t>
      </w:r>
      <w:r w:rsidRPr="00382917">
        <w:t>The</w:t>
      </w:r>
      <w:r w:rsidR="00EE4FC3">
        <w:t xml:space="preserve"> </w:t>
      </w:r>
      <w:r w:rsidRPr="00382917">
        <w:t>letter</w:t>
      </w:r>
      <w:r w:rsidR="00EE4FC3">
        <w:t xml:space="preserve"> </w:t>
      </w:r>
      <w:r w:rsidRPr="00382917">
        <w:t>was</w:t>
      </w:r>
      <w:r w:rsidR="00EE4FC3">
        <w:t xml:space="preserve"> </w:t>
      </w:r>
      <w:r w:rsidRPr="00382917">
        <w:t>carried</w:t>
      </w:r>
      <w:r w:rsidR="00EE4FC3">
        <w:t xml:space="preserve"> </w:t>
      </w:r>
      <w:r w:rsidRPr="00382917">
        <w:t>by</w:t>
      </w:r>
      <w:r w:rsidR="00EE4FC3">
        <w:t xml:space="preserve"> </w:t>
      </w:r>
      <w:r w:rsidRPr="00382917">
        <w:t>a</w:t>
      </w:r>
      <w:r w:rsidR="00EE4FC3">
        <w:t xml:space="preserve"> </w:t>
      </w:r>
      <w:r w:rsidRPr="00382917">
        <w:t>messenger,</w:t>
      </w:r>
      <w:r w:rsidR="00EE4FC3">
        <w:t xml:space="preserve"> </w:t>
      </w:r>
      <w:r w:rsidRPr="00382917">
        <w:t>who,</w:t>
      </w:r>
      <w:r w:rsidR="00EE4FC3">
        <w:t xml:space="preserve"> </w:t>
      </w:r>
      <w:r w:rsidRPr="00382917">
        <w:t>with</w:t>
      </w:r>
      <w:r w:rsidR="00EE4FC3">
        <w:t xml:space="preserve"> </w:t>
      </w:r>
      <w:r w:rsidRPr="00382917">
        <w:t>his</w:t>
      </w:r>
      <w:r w:rsidR="00EE4FC3">
        <w:t xml:space="preserve"> </w:t>
      </w:r>
      <w:r w:rsidRPr="00382917">
        <w:t>share</w:t>
      </w:r>
      <w:r w:rsidR="00EE4FC3">
        <w:t xml:space="preserve"> </w:t>
      </w:r>
      <w:r w:rsidRPr="00382917">
        <w:t>of</w:t>
      </w:r>
      <w:r w:rsidR="00EE4FC3">
        <w:t xml:space="preserve"> </w:t>
      </w:r>
      <w:r w:rsidRPr="00382917">
        <w:t>the</w:t>
      </w:r>
      <w:r w:rsidR="00EE4FC3">
        <w:t xml:space="preserve"> </w:t>
      </w:r>
      <w:r w:rsidRPr="00382917">
        <w:t>rice</w:t>
      </w:r>
      <w:r w:rsidR="00EE4FC3">
        <w:t xml:space="preserve"> </w:t>
      </w:r>
      <w:r w:rsidRPr="00382917">
        <w:t>given</w:t>
      </w:r>
      <w:r w:rsidR="00EE4FC3">
        <w:t xml:space="preserve"> </w:t>
      </w:r>
      <w:r w:rsidRPr="00382917">
        <w:t>him</w:t>
      </w:r>
      <w:r w:rsidR="00EE4FC3">
        <w:t xml:space="preserve"> </w:t>
      </w:r>
      <w:r w:rsidRPr="00382917">
        <w:t>by</w:t>
      </w:r>
      <w:r w:rsidR="00EE4FC3">
        <w:t xml:space="preserve"> </w:t>
      </w:r>
      <w:r w:rsidRPr="00382917">
        <w:t>Quddús,</w:t>
      </w:r>
      <w:r w:rsidR="00EE4FC3">
        <w:t xml:space="preserve"> </w:t>
      </w:r>
      <w:r w:rsidRPr="00382917">
        <w:t>stole</w:t>
      </w:r>
      <w:r w:rsidR="00EE4FC3">
        <w:t xml:space="preserve"> </w:t>
      </w:r>
      <w:r w:rsidRPr="00382917">
        <w:t>out</w:t>
      </w:r>
      <w:r w:rsidR="00EE4FC3">
        <w:t xml:space="preserve"> </w:t>
      </w:r>
      <w:r w:rsidRPr="00382917">
        <w:t>of</w:t>
      </w:r>
      <w:r w:rsidR="00EE4FC3">
        <w:t xml:space="preserve"> </w:t>
      </w:r>
      <w:r w:rsidRPr="00382917">
        <w:t>the</w:t>
      </w:r>
      <w:r w:rsidR="00EE4FC3">
        <w:t xml:space="preserve"> </w:t>
      </w:r>
      <w:r w:rsidRPr="00382917">
        <w:t>fort</w:t>
      </w:r>
      <w:r w:rsidR="00EE4FC3">
        <w:t xml:space="preserve"> </w:t>
      </w:r>
      <w:r w:rsidRPr="00382917">
        <w:t>during</w:t>
      </w:r>
      <w:r w:rsidR="00EE4FC3">
        <w:t xml:space="preserve"> </w:t>
      </w:r>
      <w:r w:rsidRPr="00382917">
        <w:t>the</w:t>
      </w:r>
      <w:r w:rsidR="00EE4FC3">
        <w:t xml:space="preserve"> </w:t>
      </w:r>
      <w:r w:rsidRPr="00382917">
        <w:t>night.</w:t>
      </w:r>
    </w:p>
    <w:p w:rsidR="00DB6293" w:rsidRPr="00382917" w:rsidRDefault="00DB6293" w:rsidP="00DB6293">
      <w:pPr>
        <w:pStyle w:val="Text"/>
      </w:pPr>
      <w:r w:rsidRPr="00382917">
        <w:t>The</w:t>
      </w:r>
      <w:r w:rsidR="00EE4FC3">
        <w:t xml:space="preserve"> </w:t>
      </w:r>
      <w:r w:rsidRPr="00382917">
        <w:t>welcome</w:t>
      </w:r>
      <w:r w:rsidR="00EE4FC3">
        <w:t xml:space="preserve"> </w:t>
      </w:r>
      <w:r w:rsidRPr="00382917">
        <w:t>news</w:t>
      </w:r>
      <w:r w:rsidR="00EE4FC3">
        <w:t xml:space="preserve"> </w:t>
      </w:r>
      <w:r w:rsidRPr="00382917">
        <w:t>of</w:t>
      </w:r>
      <w:r w:rsidR="00EE4FC3">
        <w:t xml:space="preserve"> </w:t>
      </w:r>
      <w:r w:rsidRPr="00382917">
        <w:t>the</w:t>
      </w:r>
      <w:r w:rsidR="00EE4FC3">
        <w:t xml:space="preserve"> </w:t>
      </w:r>
      <w:r w:rsidRPr="00382917">
        <w:t>death</w:t>
      </w:r>
      <w:r w:rsidR="00EE4FC3">
        <w:t xml:space="preserve"> </w:t>
      </w:r>
      <w:r w:rsidRPr="00382917">
        <w:t>of</w:t>
      </w:r>
      <w:r w:rsidR="00EE4FC3">
        <w:t xml:space="preserve"> </w:t>
      </w:r>
      <w:r w:rsidRPr="00382917">
        <w:t>Mullá</w:t>
      </w:r>
      <w:r w:rsidR="00EE4FC3">
        <w:t xml:space="preserve"> </w:t>
      </w:r>
      <w:r w:rsidR="00964C11" w:rsidRPr="00382917">
        <w:t>Ḥusayn</w:t>
      </w:r>
      <w:r w:rsidR="00EE4FC3">
        <w:t xml:space="preserve"> </w:t>
      </w:r>
      <w:r w:rsidRPr="00382917">
        <w:t>nerved</w:t>
      </w:r>
      <w:r w:rsidR="00EE4FC3">
        <w:t xml:space="preserve"> </w:t>
      </w:r>
      <w:r w:rsidR="009C713D" w:rsidRPr="00382917">
        <w:t>‘</w:t>
      </w:r>
      <w:r w:rsidRPr="00382917">
        <w:t>Abbás-Qulí</w:t>
      </w:r>
      <w:r w:rsidR="00EE4FC3">
        <w:t xml:space="preserve"> </w:t>
      </w:r>
      <w:r w:rsidR="0040329F" w:rsidRPr="0040329F">
        <w:rPr>
          <w:u w:val="single"/>
        </w:rPr>
        <w:t>Kh</w:t>
      </w:r>
      <w:r w:rsidR="0040329F" w:rsidRPr="00382917">
        <w:t>án</w:t>
      </w:r>
      <w:r w:rsidR="00EE4FC3">
        <w:t xml:space="preserve"> </w:t>
      </w:r>
      <w:r w:rsidRPr="00382917">
        <w:t>to</w:t>
      </w:r>
      <w:r w:rsidR="00EE4FC3">
        <w:t xml:space="preserve"> </w:t>
      </w:r>
      <w:r w:rsidRPr="00382917">
        <w:t>a</w:t>
      </w:r>
      <w:r w:rsidR="00EE4FC3">
        <w:t xml:space="preserve"> </w:t>
      </w:r>
      <w:r w:rsidRPr="00382917">
        <w:t>fresh</w:t>
      </w:r>
      <w:r w:rsidR="00EE4FC3">
        <w:t xml:space="preserve"> </w:t>
      </w:r>
      <w:r w:rsidRPr="00382917">
        <w:t>attack</w:t>
      </w:r>
      <w:r w:rsidR="00B71244">
        <w:t>.</w:t>
      </w:r>
      <w:r w:rsidR="00EE4FC3">
        <w:t xml:space="preserve">  </w:t>
      </w:r>
      <w:r w:rsidRPr="00382917">
        <w:t>Fearing</w:t>
      </w:r>
      <w:r w:rsidR="00EE4FC3">
        <w:t xml:space="preserve"> </w:t>
      </w:r>
      <w:r w:rsidRPr="00382917">
        <w:t>that</w:t>
      </w:r>
      <w:r w:rsidR="00EE4FC3">
        <w:t xml:space="preserve"> </w:t>
      </w:r>
      <w:r w:rsidRPr="00382917">
        <w:t>the</w:t>
      </w:r>
      <w:r w:rsidR="00EE4FC3">
        <w:t xml:space="preserve"> </w:t>
      </w:r>
      <w:r w:rsidRPr="00382917">
        <w:t>messenger</w:t>
      </w:r>
      <w:r w:rsidR="00EE4FC3">
        <w:t xml:space="preserve"> </w:t>
      </w:r>
      <w:r w:rsidRPr="00382917">
        <w:t>might</w:t>
      </w:r>
      <w:r w:rsidR="00EE4FC3">
        <w:t xml:space="preserve"> </w:t>
      </w:r>
      <w:r w:rsidRPr="00382917">
        <w:t>spread</w:t>
      </w:r>
      <w:r w:rsidR="00EE4FC3">
        <w:t xml:space="preserve"> </w:t>
      </w:r>
      <w:r w:rsidRPr="00382917">
        <w:t>the</w:t>
      </w:r>
      <w:r w:rsidR="00EE4FC3">
        <w:t xml:space="preserve"> </w:t>
      </w:r>
      <w:r w:rsidRPr="00382917">
        <w:t>report</w:t>
      </w:r>
      <w:r w:rsidR="00EE4FC3">
        <w:t xml:space="preserve"> </w:t>
      </w:r>
      <w:r w:rsidRPr="00382917">
        <w:t>of</w:t>
      </w:r>
      <w:r w:rsidR="00EE4FC3">
        <w:t xml:space="preserve"> </w:t>
      </w:r>
      <w:r w:rsidRPr="00382917">
        <w:t>Mullá</w:t>
      </w:r>
      <w:r w:rsidR="00EE4FC3">
        <w:t xml:space="preserve"> </w:t>
      </w:r>
      <w:proofErr w:type="spellStart"/>
      <w:r w:rsidR="00964C11" w:rsidRPr="00382917">
        <w:t>Ḥusayn</w:t>
      </w:r>
      <w:r w:rsidR="009C713D" w:rsidRPr="00382917">
        <w:t>’</w:t>
      </w:r>
      <w:r w:rsidRPr="00382917">
        <w:t>s</w:t>
      </w:r>
      <w:proofErr w:type="spellEnd"/>
      <w:r w:rsidR="00EE4FC3">
        <w:t xml:space="preserve"> </w:t>
      </w:r>
      <w:r w:rsidRPr="00382917">
        <w:t>death</w:t>
      </w:r>
      <w:r w:rsidR="00EE4FC3">
        <w:t xml:space="preserve"> </w:t>
      </w:r>
      <w:r w:rsidRPr="00382917">
        <w:t>and</w:t>
      </w:r>
      <w:r w:rsidR="00EE4FC3">
        <w:t xml:space="preserve"> </w:t>
      </w:r>
      <w:r w:rsidRPr="00382917">
        <w:t>thus</w:t>
      </w:r>
      <w:r w:rsidR="00EE4FC3">
        <w:t xml:space="preserve"> </w:t>
      </w:r>
      <w:r w:rsidRPr="00382917">
        <w:t>rob</w:t>
      </w:r>
      <w:r w:rsidR="00EE4FC3">
        <w:t xml:space="preserve"> </w:t>
      </w:r>
      <w:r w:rsidRPr="00382917">
        <w:t>him</w:t>
      </w:r>
      <w:r w:rsidR="00EE4FC3">
        <w:t xml:space="preserve"> </w:t>
      </w:r>
      <w:r w:rsidRPr="00382917">
        <w:t>of</w:t>
      </w:r>
      <w:r w:rsidR="00EE4FC3">
        <w:t xml:space="preserve"> </w:t>
      </w:r>
      <w:r w:rsidRPr="00382917">
        <w:t>some</w:t>
      </w:r>
      <w:r w:rsidR="00EE4FC3">
        <w:t xml:space="preserve"> </w:t>
      </w:r>
      <w:r w:rsidRPr="00382917">
        <w:t>of</w:t>
      </w:r>
      <w:r w:rsidR="00EE4FC3">
        <w:t xml:space="preserve"> </w:t>
      </w:r>
      <w:r w:rsidRPr="00382917">
        <w:t>the</w:t>
      </w:r>
      <w:r w:rsidR="00EE4FC3">
        <w:t xml:space="preserve"> </w:t>
      </w:r>
      <w:r w:rsidRPr="00382917">
        <w:t>glory</w:t>
      </w:r>
      <w:r w:rsidR="00EE4FC3">
        <w:t xml:space="preserve"> </w:t>
      </w:r>
      <w:r w:rsidRPr="00382917">
        <w:t>of</w:t>
      </w:r>
      <w:r w:rsidR="00EE4FC3">
        <w:t xml:space="preserve"> </w:t>
      </w:r>
      <w:r w:rsidRPr="00382917">
        <w:t>victory,</w:t>
      </w:r>
      <w:r w:rsidR="00EE4FC3">
        <w:t xml:space="preserve"> </w:t>
      </w:r>
      <w:r w:rsidRPr="00382917">
        <w:t>he</w:t>
      </w:r>
      <w:r w:rsidR="00EE4FC3">
        <w:t xml:space="preserve"> </w:t>
      </w:r>
      <w:r w:rsidRPr="00382917">
        <w:t>killed</w:t>
      </w:r>
      <w:r w:rsidR="00EE4FC3">
        <w:t xml:space="preserve"> </w:t>
      </w:r>
      <w:r w:rsidRPr="00382917">
        <w:t>him</w:t>
      </w:r>
      <w:r w:rsidR="00EE4FC3">
        <w:t xml:space="preserve"> </w:t>
      </w:r>
      <w:r w:rsidRPr="00382917">
        <w:t>instantly</w:t>
      </w:r>
      <w:r w:rsidR="00B71244">
        <w:t>.</w:t>
      </w:r>
      <w:r w:rsidR="00EE4FC3">
        <w:t xml:space="preserve">  </w:t>
      </w:r>
      <w:r w:rsidRPr="00382917">
        <w:t>He</w:t>
      </w:r>
      <w:r w:rsidR="00EE4FC3">
        <w:t xml:space="preserve"> </w:t>
      </w:r>
      <w:proofErr w:type="spellStart"/>
      <w:r w:rsidRPr="00382917">
        <w:t>massed</w:t>
      </w:r>
      <w:proofErr w:type="spellEnd"/>
      <w:r w:rsidR="00EE4FC3">
        <w:t xml:space="preserve"> </w:t>
      </w:r>
      <w:r w:rsidRPr="00382917">
        <w:t>his</w:t>
      </w:r>
    </w:p>
    <w:p w:rsidR="00DB6293" w:rsidRPr="00382917" w:rsidRDefault="00DB6293">
      <w:pPr>
        <w:widowControl/>
        <w:kinsoku/>
        <w:overflowPunct/>
        <w:textAlignment w:val="auto"/>
      </w:pPr>
      <w:r w:rsidRPr="00382917">
        <w:br w:type="page"/>
      </w:r>
    </w:p>
    <w:p w:rsidR="00DB6293" w:rsidRPr="00382917" w:rsidRDefault="00DB6293" w:rsidP="00DB6293">
      <w:pPr>
        <w:pStyle w:val="Textcts"/>
      </w:pPr>
      <w:proofErr w:type="gramStart"/>
      <w:r w:rsidRPr="00382917">
        <w:t>soldiers</w:t>
      </w:r>
      <w:proofErr w:type="gramEnd"/>
      <w:r w:rsidR="00EE4FC3">
        <w:t xml:space="preserve"> </w:t>
      </w:r>
      <w:r w:rsidRPr="00382917">
        <w:t>for</w:t>
      </w:r>
      <w:r w:rsidR="00EE4FC3">
        <w:t xml:space="preserve"> </w:t>
      </w:r>
      <w:r w:rsidRPr="00382917">
        <w:t>an</w:t>
      </w:r>
      <w:r w:rsidR="00EE4FC3">
        <w:t xml:space="preserve"> </w:t>
      </w:r>
      <w:r w:rsidRPr="00382917">
        <w:t>advance</w:t>
      </w:r>
      <w:r w:rsidR="00EE4FC3">
        <w:t xml:space="preserve"> </w:t>
      </w:r>
      <w:r w:rsidRPr="00382917">
        <w:t>and,</w:t>
      </w:r>
      <w:r w:rsidR="00EE4FC3">
        <w:t xml:space="preserve"> </w:t>
      </w:r>
      <w:r w:rsidRPr="00382917">
        <w:t>at</w:t>
      </w:r>
      <w:r w:rsidR="00EE4FC3">
        <w:t xml:space="preserve"> </w:t>
      </w:r>
      <w:r w:rsidRPr="00382917">
        <w:t>the</w:t>
      </w:r>
      <w:r w:rsidR="00EE4FC3">
        <w:t xml:space="preserve"> </w:t>
      </w:r>
      <w:r w:rsidRPr="00382917">
        <w:t>head</w:t>
      </w:r>
      <w:r w:rsidR="00EE4FC3">
        <w:t xml:space="preserve"> </w:t>
      </w:r>
      <w:r w:rsidRPr="00382917">
        <w:t>of</w:t>
      </w:r>
      <w:r w:rsidR="00EE4FC3">
        <w:t xml:space="preserve"> </w:t>
      </w:r>
      <w:r w:rsidRPr="00382917">
        <w:t>two</w:t>
      </w:r>
      <w:r w:rsidR="00EE4FC3">
        <w:t xml:space="preserve"> </w:t>
      </w:r>
      <w:r w:rsidRPr="00382917">
        <w:t>detachments,</w:t>
      </w:r>
      <w:r w:rsidR="00EE4FC3">
        <w:t xml:space="preserve"> </w:t>
      </w:r>
      <w:r w:rsidRPr="00382917">
        <w:t>he</w:t>
      </w:r>
      <w:r w:rsidR="00EE4FC3">
        <w:t xml:space="preserve"> </w:t>
      </w:r>
      <w:r w:rsidRPr="00382917">
        <w:t>had</w:t>
      </w:r>
      <w:r w:rsidR="00EE4FC3">
        <w:t xml:space="preserve"> </w:t>
      </w:r>
      <w:r w:rsidRPr="00382917">
        <w:t>the</w:t>
      </w:r>
      <w:r w:rsidR="00EE4FC3">
        <w:t xml:space="preserve"> </w:t>
      </w:r>
      <w:r w:rsidRPr="00382917">
        <w:t>fort</w:t>
      </w:r>
      <w:r w:rsidR="00EE4FC3">
        <w:t xml:space="preserve"> </w:t>
      </w:r>
      <w:r w:rsidRPr="00382917">
        <w:t>surrounded.</w:t>
      </w:r>
    </w:p>
    <w:p w:rsidR="00DB6293" w:rsidRPr="00382917" w:rsidRDefault="00DB6293" w:rsidP="00DB6293">
      <w:pPr>
        <w:pStyle w:val="Text"/>
      </w:pPr>
      <w:r w:rsidRPr="00382917">
        <w:t>Quddús</w:t>
      </w:r>
      <w:r w:rsidR="00EE4FC3">
        <w:t xml:space="preserve"> </w:t>
      </w:r>
      <w:r w:rsidRPr="00382917">
        <w:t>understood</w:t>
      </w:r>
      <w:r w:rsidR="00EE4FC3">
        <w:t xml:space="preserve"> </w:t>
      </w:r>
      <w:r w:rsidRPr="00382917">
        <w:t>at</w:t>
      </w:r>
      <w:r w:rsidR="00EE4FC3">
        <w:t xml:space="preserve"> </w:t>
      </w:r>
      <w:r w:rsidRPr="00382917">
        <w:t>once</w:t>
      </w:r>
      <w:r w:rsidR="00EE4FC3">
        <w:t xml:space="preserve"> </w:t>
      </w:r>
      <w:r w:rsidRPr="00382917">
        <w:t>what</w:t>
      </w:r>
      <w:r w:rsidR="00EE4FC3">
        <w:t xml:space="preserve"> </w:t>
      </w:r>
      <w:r w:rsidRPr="00382917">
        <w:t>had</w:t>
      </w:r>
      <w:r w:rsidR="00EE4FC3">
        <w:t xml:space="preserve"> </w:t>
      </w:r>
      <w:r w:rsidRPr="00382917">
        <w:t>happened</w:t>
      </w:r>
      <w:r w:rsidR="00B71244">
        <w:t>.</w:t>
      </w:r>
      <w:r w:rsidR="00EE4FC3">
        <w:t xml:space="preserve">  </w:t>
      </w:r>
      <w:r w:rsidR="009C713D" w:rsidRPr="00382917">
        <w:t>“</w:t>
      </w:r>
      <w:r w:rsidRPr="00382917">
        <w:t>A</w:t>
      </w:r>
      <w:r w:rsidR="00EE4FC3">
        <w:t xml:space="preserve"> </w:t>
      </w:r>
      <w:r w:rsidRPr="00382917">
        <w:t>betrayer</w:t>
      </w:r>
      <w:r w:rsidR="00EE4FC3">
        <w:t xml:space="preserve"> </w:t>
      </w:r>
      <w:r w:rsidRPr="00382917">
        <w:t>has</w:t>
      </w:r>
      <w:r w:rsidR="00EE4FC3">
        <w:t xml:space="preserve"> </w:t>
      </w:r>
      <w:r w:rsidRPr="00382917">
        <w:t>announced</w:t>
      </w:r>
      <w:r w:rsidR="00EE4FC3">
        <w:t xml:space="preserve"> </w:t>
      </w:r>
      <w:r w:rsidRPr="00382917">
        <w:t>the</w:t>
      </w:r>
      <w:r w:rsidR="00EE4FC3">
        <w:t xml:space="preserve"> </w:t>
      </w:r>
      <w:r w:rsidRPr="00382917">
        <w:t>death</w:t>
      </w:r>
      <w:r w:rsidR="00EE4FC3">
        <w:t xml:space="preserve"> </w:t>
      </w:r>
      <w:r w:rsidRPr="00382917">
        <w:t>of</w:t>
      </w:r>
      <w:r w:rsidR="00EE4FC3">
        <w:t xml:space="preserve"> </w:t>
      </w:r>
      <w:r w:rsidRPr="00382917">
        <w:t>Mullá</w:t>
      </w:r>
      <w:r w:rsidR="00EE4FC3">
        <w:t xml:space="preserve"> </w:t>
      </w:r>
      <w:r w:rsidR="00964C11" w:rsidRPr="00382917">
        <w:t>Ḥusayn</w:t>
      </w:r>
      <w:r w:rsidRPr="00382917">
        <w:t>,</w:t>
      </w:r>
      <w:r w:rsidR="009C713D" w:rsidRPr="00382917">
        <w:t>”</w:t>
      </w:r>
      <w:r w:rsidR="00EE4FC3">
        <w:t xml:space="preserve"> </w:t>
      </w:r>
      <w:r w:rsidRPr="00382917">
        <w:t>he</w:t>
      </w:r>
      <w:r w:rsidR="00EE4FC3">
        <w:t xml:space="preserve"> </w:t>
      </w:r>
      <w:r w:rsidRPr="00382917">
        <w:t>said</w:t>
      </w:r>
      <w:r w:rsidR="00B71244">
        <w:t>.</w:t>
      </w:r>
      <w:r w:rsidR="00EE4FC3">
        <w:t xml:space="preserve">  </w:t>
      </w:r>
      <w:r w:rsidR="009C713D" w:rsidRPr="00382917">
        <w:t>“</w:t>
      </w:r>
      <w:r w:rsidRPr="00382917">
        <w:t>Sally</w:t>
      </w:r>
      <w:r w:rsidR="00EE4FC3">
        <w:t xml:space="preserve"> </w:t>
      </w:r>
      <w:r w:rsidRPr="00382917">
        <w:t>out</w:t>
      </w:r>
      <w:r w:rsidR="00EE4FC3">
        <w:t xml:space="preserve"> </w:t>
      </w:r>
      <w:r w:rsidRPr="00382917">
        <w:t>and</w:t>
      </w:r>
      <w:r w:rsidR="00EE4FC3">
        <w:t xml:space="preserve"> </w:t>
      </w:r>
      <w:r w:rsidRPr="00382917">
        <w:t>administer</w:t>
      </w:r>
      <w:r w:rsidR="00EE4FC3">
        <w:t xml:space="preserve"> </w:t>
      </w:r>
      <w:r w:rsidRPr="00382917">
        <w:t>a</w:t>
      </w:r>
      <w:r w:rsidR="00EE4FC3">
        <w:t xml:space="preserve"> </w:t>
      </w:r>
      <w:r w:rsidRPr="00382917">
        <w:t>befitting</w:t>
      </w:r>
      <w:r w:rsidR="00EE4FC3">
        <w:t xml:space="preserve"> </w:t>
      </w:r>
      <w:r w:rsidRPr="00382917">
        <w:t>chastisement.</w:t>
      </w:r>
      <w:r w:rsidR="009C713D" w:rsidRPr="00382917">
        <w:t>”</w:t>
      </w:r>
    </w:p>
    <w:p w:rsidR="00DB6293" w:rsidRPr="00382917" w:rsidRDefault="00DB6293" w:rsidP="00DB6293">
      <w:pPr>
        <w:pStyle w:val="Text"/>
      </w:pPr>
      <w:r w:rsidRPr="00382917">
        <w:t>Nineteen</w:t>
      </w:r>
      <w:r w:rsidR="00EE4FC3">
        <w:t xml:space="preserve"> </w:t>
      </w:r>
      <w:r w:rsidRPr="00382917">
        <w:t>of</w:t>
      </w:r>
      <w:r w:rsidR="00EE4FC3">
        <w:t xml:space="preserve"> </w:t>
      </w:r>
      <w:r w:rsidRPr="00382917">
        <w:t>the</w:t>
      </w:r>
      <w:r w:rsidR="00EE4FC3">
        <w:t xml:space="preserve"> </w:t>
      </w:r>
      <w:r w:rsidRPr="00382917">
        <w:t>companions</w:t>
      </w:r>
      <w:r w:rsidR="00EE4FC3">
        <w:t xml:space="preserve"> </w:t>
      </w:r>
      <w:r w:rsidRPr="00382917">
        <w:t>plunged</w:t>
      </w:r>
      <w:r w:rsidR="00EE4FC3">
        <w:t xml:space="preserve"> </w:t>
      </w:r>
      <w:r w:rsidRPr="00382917">
        <w:t>headlong</w:t>
      </w:r>
      <w:r w:rsidR="00EE4FC3">
        <w:t xml:space="preserve"> </w:t>
      </w:r>
      <w:r w:rsidRPr="00382917">
        <w:t>into</w:t>
      </w:r>
      <w:r w:rsidR="00EE4FC3">
        <w:t xml:space="preserve"> </w:t>
      </w:r>
      <w:r w:rsidRPr="00382917">
        <w:t>the</w:t>
      </w:r>
      <w:r w:rsidR="00EE4FC3">
        <w:t xml:space="preserve"> </w:t>
      </w:r>
      <w:r w:rsidRPr="00382917">
        <w:t>ranks</w:t>
      </w:r>
      <w:r w:rsidR="00EE4FC3">
        <w:t xml:space="preserve"> </w:t>
      </w:r>
      <w:r w:rsidRPr="00382917">
        <w:t>of</w:t>
      </w:r>
      <w:r w:rsidR="00EE4FC3">
        <w:t xml:space="preserve"> </w:t>
      </w:r>
      <w:r w:rsidRPr="00382917">
        <w:t>the</w:t>
      </w:r>
      <w:r w:rsidR="00EE4FC3">
        <w:t xml:space="preserve"> </w:t>
      </w:r>
      <w:r w:rsidRPr="00382917">
        <w:t>enemy</w:t>
      </w:r>
      <w:r w:rsidR="00B71244">
        <w:t>.</w:t>
      </w:r>
      <w:r w:rsidR="00EE4FC3">
        <w:t xml:space="preserve">  </w:t>
      </w:r>
      <w:r w:rsidRPr="00382917">
        <w:t>They</w:t>
      </w:r>
      <w:r w:rsidR="00EE4FC3">
        <w:t xml:space="preserve"> </w:t>
      </w:r>
      <w:r w:rsidRPr="00382917">
        <w:t>were</w:t>
      </w:r>
      <w:r w:rsidR="00EE4FC3">
        <w:t xml:space="preserve"> </w:t>
      </w:r>
      <w:r w:rsidRPr="00382917">
        <w:t>pitted</w:t>
      </w:r>
      <w:r w:rsidR="00EE4FC3">
        <w:t xml:space="preserve"> </w:t>
      </w:r>
      <w:r w:rsidRPr="00382917">
        <w:t>against</w:t>
      </w:r>
      <w:r w:rsidR="00EE4FC3">
        <w:t xml:space="preserve"> </w:t>
      </w:r>
      <w:r w:rsidRPr="00382917">
        <w:t>no</w:t>
      </w:r>
      <w:r w:rsidR="00EE4FC3">
        <w:t xml:space="preserve"> </w:t>
      </w:r>
      <w:r w:rsidRPr="00382917">
        <w:t>less</w:t>
      </w:r>
      <w:r w:rsidR="00EE4FC3">
        <w:t xml:space="preserve"> </w:t>
      </w:r>
      <w:r w:rsidRPr="00382917">
        <w:t>than</w:t>
      </w:r>
      <w:r w:rsidR="00EE4FC3">
        <w:t xml:space="preserve"> </w:t>
      </w:r>
      <w:r w:rsidRPr="00382917">
        <w:t>two</w:t>
      </w:r>
      <w:r w:rsidR="00EE4FC3">
        <w:t xml:space="preserve"> </w:t>
      </w:r>
      <w:r w:rsidRPr="00382917">
        <w:t>regiments</w:t>
      </w:r>
      <w:r w:rsidR="00EE4FC3">
        <w:t xml:space="preserve"> </w:t>
      </w:r>
      <w:r w:rsidRPr="00382917">
        <w:t>of</w:t>
      </w:r>
      <w:r w:rsidR="00EE4FC3">
        <w:t xml:space="preserve"> </w:t>
      </w:r>
      <w:r w:rsidRPr="00382917">
        <w:t>infantry</w:t>
      </w:r>
      <w:r w:rsidR="00EE4FC3">
        <w:t xml:space="preserve"> </w:t>
      </w:r>
      <w:r w:rsidRPr="00382917">
        <w:t>and</w:t>
      </w:r>
      <w:r w:rsidR="00EE4FC3">
        <w:t xml:space="preserve"> </w:t>
      </w:r>
      <w:r w:rsidRPr="00382917">
        <w:t>cavalry</w:t>
      </w:r>
      <w:r w:rsidR="00B71244">
        <w:t>.</w:t>
      </w:r>
      <w:r w:rsidR="00EE4FC3">
        <w:t xml:space="preserve">  </w:t>
      </w:r>
      <w:r w:rsidRPr="00382917">
        <w:t>They</w:t>
      </w:r>
      <w:r w:rsidR="00EE4FC3">
        <w:t xml:space="preserve"> </w:t>
      </w:r>
      <w:r w:rsidRPr="00382917">
        <w:t>counter-attacked</w:t>
      </w:r>
      <w:r w:rsidR="00EE4FC3">
        <w:t xml:space="preserve"> </w:t>
      </w:r>
      <w:r w:rsidRPr="00382917">
        <w:t>with</w:t>
      </w:r>
      <w:r w:rsidR="00EE4FC3">
        <w:t xml:space="preserve"> </w:t>
      </w:r>
      <w:r w:rsidRPr="00382917">
        <w:t>such</w:t>
      </w:r>
      <w:r w:rsidR="00EE4FC3">
        <w:t xml:space="preserve"> </w:t>
      </w:r>
      <w:r w:rsidRPr="00382917">
        <w:t>fury</w:t>
      </w:r>
      <w:r w:rsidR="00EE4FC3">
        <w:t xml:space="preserve"> </w:t>
      </w:r>
      <w:r w:rsidRPr="00382917">
        <w:t>that</w:t>
      </w:r>
      <w:r w:rsidR="00EE4FC3">
        <w:t xml:space="preserve"> </w:t>
      </w:r>
      <w:r w:rsidR="009C713D" w:rsidRPr="00382917">
        <w:t>‘</w:t>
      </w:r>
      <w:r w:rsidRPr="00382917">
        <w:t>Abbás-Qulí</w:t>
      </w:r>
      <w:r w:rsidR="00EE4FC3">
        <w:t xml:space="preserve"> </w:t>
      </w:r>
      <w:r w:rsidR="0040329F" w:rsidRPr="0040329F">
        <w:rPr>
          <w:u w:val="single"/>
        </w:rPr>
        <w:t>Kh</w:t>
      </w:r>
      <w:r w:rsidR="0040329F" w:rsidRPr="00382917">
        <w:t>án</w:t>
      </w:r>
      <w:r w:rsidRPr="00382917">
        <w:t>,</w:t>
      </w:r>
      <w:r w:rsidR="00EE4FC3">
        <w:t xml:space="preserve"> </w:t>
      </w:r>
      <w:r w:rsidRPr="00382917">
        <w:t>the</w:t>
      </w:r>
      <w:r w:rsidR="00EE4FC3">
        <w:t xml:space="preserve"> </w:t>
      </w:r>
      <w:r w:rsidRPr="00382917">
        <w:t>slayer</w:t>
      </w:r>
      <w:r w:rsidR="00EE4FC3">
        <w:t xml:space="preserve"> </w:t>
      </w:r>
      <w:r w:rsidRPr="00382917">
        <w:t>of</w:t>
      </w:r>
      <w:r w:rsidR="00EE4FC3">
        <w:t xml:space="preserve"> </w:t>
      </w:r>
      <w:r w:rsidRPr="00382917">
        <w:t>Mullá</w:t>
      </w:r>
      <w:r w:rsidR="00EE4FC3">
        <w:t xml:space="preserve"> </w:t>
      </w:r>
      <w:r w:rsidR="00964C11" w:rsidRPr="00382917">
        <w:t>Ḥusayn</w:t>
      </w:r>
      <w:r w:rsidRPr="00382917">
        <w:t>,</w:t>
      </w:r>
      <w:r w:rsidR="00EE4FC3">
        <w:t xml:space="preserve"> </w:t>
      </w:r>
      <w:r w:rsidRPr="00382917">
        <w:t>became</w:t>
      </w:r>
      <w:r w:rsidR="00EE4FC3">
        <w:t xml:space="preserve"> </w:t>
      </w:r>
      <w:r w:rsidRPr="00382917">
        <w:t>terrified</w:t>
      </w:r>
      <w:r w:rsidR="00EE4FC3">
        <w:t xml:space="preserve"> </w:t>
      </w:r>
      <w:r w:rsidRPr="00382917">
        <w:t>and</w:t>
      </w:r>
      <w:r w:rsidR="00EE4FC3">
        <w:t xml:space="preserve"> </w:t>
      </w:r>
      <w:r w:rsidRPr="00382917">
        <w:t>fell</w:t>
      </w:r>
      <w:r w:rsidR="00EE4FC3">
        <w:t xml:space="preserve"> </w:t>
      </w:r>
      <w:r w:rsidRPr="00382917">
        <w:t>from</w:t>
      </w:r>
      <w:r w:rsidR="00EE4FC3">
        <w:t xml:space="preserve"> </w:t>
      </w:r>
      <w:r w:rsidRPr="00382917">
        <w:t>his</w:t>
      </w:r>
      <w:r w:rsidR="00EE4FC3">
        <w:t xml:space="preserve"> </w:t>
      </w:r>
      <w:r w:rsidRPr="00382917">
        <w:t>horse</w:t>
      </w:r>
      <w:r w:rsidR="00B71244">
        <w:t>.</w:t>
      </w:r>
      <w:r w:rsidR="00EE4FC3">
        <w:t xml:space="preserve">  </w:t>
      </w:r>
      <w:r w:rsidRPr="00382917">
        <w:t>In</w:t>
      </w:r>
      <w:r w:rsidR="00EE4FC3">
        <w:t xml:space="preserve"> </w:t>
      </w:r>
      <w:r w:rsidRPr="00382917">
        <w:t>his</w:t>
      </w:r>
      <w:r w:rsidR="00EE4FC3">
        <w:t xml:space="preserve"> </w:t>
      </w:r>
      <w:r w:rsidRPr="00382917">
        <w:t>panic</w:t>
      </w:r>
      <w:r w:rsidR="00EE4FC3">
        <w:t xml:space="preserve"> </w:t>
      </w:r>
      <w:r w:rsidRPr="00382917">
        <w:t>and</w:t>
      </w:r>
      <w:r w:rsidR="00EE4FC3">
        <w:t xml:space="preserve"> </w:t>
      </w:r>
      <w:r w:rsidRPr="00382917">
        <w:t>haste,</w:t>
      </w:r>
      <w:r w:rsidR="00EE4FC3">
        <w:t xml:space="preserve"> </w:t>
      </w:r>
      <w:r w:rsidRPr="00382917">
        <w:t>he</w:t>
      </w:r>
      <w:r w:rsidR="00EE4FC3">
        <w:t xml:space="preserve"> </w:t>
      </w:r>
      <w:r w:rsidRPr="00382917">
        <w:t>left</w:t>
      </w:r>
      <w:r w:rsidR="00EE4FC3">
        <w:t xml:space="preserve"> </w:t>
      </w:r>
      <w:r w:rsidRPr="00382917">
        <w:t>one</w:t>
      </w:r>
      <w:r w:rsidR="00EE4FC3">
        <w:t xml:space="preserve"> </w:t>
      </w:r>
      <w:r w:rsidRPr="00382917">
        <w:t>of</w:t>
      </w:r>
      <w:r w:rsidR="00EE4FC3">
        <w:t xml:space="preserve"> </w:t>
      </w:r>
      <w:r w:rsidRPr="00382917">
        <w:t>his</w:t>
      </w:r>
      <w:r w:rsidR="00EE4FC3">
        <w:t xml:space="preserve"> </w:t>
      </w:r>
      <w:r w:rsidRPr="00382917">
        <w:t>boots</w:t>
      </w:r>
      <w:r w:rsidR="00EE4FC3">
        <w:t xml:space="preserve"> </w:t>
      </w:r>
      <w:r w:rsidRPr="00382917">
        <w:t>hanging</w:t>
      </w:r>
      <w:r w:rsidR="00EE4FC3">
        <w:t xml:space="preserve"> </w:t>
      </w:r>
      <w:r w:rsidRPr="00382917">
        <w:t>from</w:t>
      </w:r>
      <w:r w:rsidR="00EE4FC3">
        <w:t xml:space="preserve"> </w:t>
      </w:r>
      <w:r w:rsidRPr="00382917">
        <w:t>the</w:t>
      </w:r>
      <w:r w:rsidR="00EE4FC3">
        <w:t xml:space="preserve"> </w:t>
      </w:r>
      <w:r w:rsidRPr="00382917">
        <w:t>stirrup</w:t>
      </w:r>
      <w:r w:rsidR="00B71244">
        <w:t>.</w:t>
      </w:r>
      <w:r w:rsidR="00EE4FC3">
        <w:t xml:space="preserve">  </w:t>
      </w:r>
      <w:r w:rsidRPr="00382917">
        <w:t>He</w:t>
      </w:r>
      <w:r w:rsidR="00EE4FC3">
        <w:t xml:space="preserve"> </w:t>
      </w:r>
      <w:r w:rsidRPr="00382917">
        <w:t>ran</w:t>
      </w:r>
      <w:r w:rsidR="00EE4FC3">
        <w:t xml:space="preserve"> </w:t>
      </w:r>
      <w:r w:rsidRPr="00382917">
        <w:t>away</w:t>
      </w:r>
      <w:r w:rsidR="00EE4FC3">
        <w:t xml:space="preserve"> </w:t>
      </w:r>
      <w:r w:rsidRPr="00382917">
        <w:t>half-shod</w:t>
      </w:r>
      <w:r w:rsidR="00EE4FC3">
        <w:t xml:space="preserve"> </w:t>
      </w:r>
      <w:r w:rsidRPr="00382917">
        <w:t>and</w:t>
      </w:r>
      <w:r w:rsidR="00EE4FC3">
        <w:t xml:space="preserve"> </w:t>
      </w:r>
      <w:r w:rsidRPr="00382917">
        <w:t>thoroughly</w:t>
      </w:r>
      <w:r w:rsidR="00EE4FC3">
        <w:t xml:space="preserve"> </w:t>
      </w:r>
      <w:r w:rsidRPr="00382917">
        <w:t>frightened</w:t>
      </w:r>
      <w:r w:rsidR="00B71244">
        <w:t>.</w:t>
      </w:r>
      <w:r w:rsidR="00EE4FC3">
        <w:t xml:space="preserve">  </w:t>
      </w:r>
      <w:r w:rsidRPr="00382917">
        <w:t>He</w:t>
      </w:r>
      <w:r w:rsidR="00EE4FC3">
        <w:t xml:space="preserve"> </w:t>
      </w:r>
      <w:r w:rsidRPr="00382917">
        <w:t>fled</w:t>
      </w:r>
      <w:r w:rsidR="00EE4FC3">
        <w:t xml:space="preserve"> </w:t>
      </w:r>
      <w:r w:rsidRPr="00382917">
        <w:t>to</w:t>
      </w:r>
      <w:r w:rsidR="00EE4FC3">
        <w:t xml:space="preserve"> </w:t>
      </w:r>
      <w:r w:rsidRPr="00382917">
        <w:t>the</w:t>
      </w:r>
      <w:r w:rsidR="00EE4FC3">
        <w:t xml:space="preserve"> </w:t>
      </w:r>
      <w:r w:rsidRPr="00382917">
        <w:t>prince</w:t>
      </w:r>
      <w:r w:rsidR="00EE4FC3">
        <w:t xml:space="preserve"> </w:t>
      </w:r>
      <w:r w:rsidRPr="00382917">
        <w:t>and</w:t>
      </w:r>
      <w:r w:rsidR="00EE4FC3">
        <w:t xml:space="preserve"> </w:t>
      </w:r>
      <w:r w:rsidRPr="00382917">
        <w:t>confessed</w:t>
      </w:r>
      <w:r w:rsidR="00EE4FC3">
        <w:t xml:space="preserve"> </w:t>
      </w:r>
      <w:r w:rsidRPr="00382917">
        <w:t>the</w:t>
      </w:r>
      <w:r w:rsidR="00EE4FC3">
        <w:t xml:space="preserve"> </w:t>
      </w:r>
      <w:r w:rsidRPr="00382917">
        <w:t>ignominious</w:t>
      </w:r>
      <w:r w:rsidR="00EE4FC3">
        <w:t xml:space="preserve"> </w:t>
      </w:r>
      <w:r w:rsidRPr="00382917">
        <w:t>reverse</w:t>
      </w:r>
      <w:r w:rsidR="00EE4FC3">
        <w:t xml:space="preserve"> </w:t>
      </w:r>
      <w:r w:rsidRPr="00382917">
        <w:t>he</w:t>
      </w:r>
      <w:r w:rsidR="00EE4FC3">
        <w:t xml:space="preserve"> </w:t>
      </w:r>
      <w:r w:rsidRPr="00382917">
        <w:t>had</w:t>
      </w:r>
      <w:r w:rsidR="00EE4FC3">
        <w:t xml:space="preserve"> </w:t>
      </w:r>
      <w:r w:rsidRPr="00382917">
        <w:t>suffered</w:t>
      </w:r>
      <w:r w:rsidR="00EE4FC3">
        <w:t xml:space="preserve"> </w:t>
      </w:r>
      <w:r w:rsidRPr="00382917">
        <w:t>at</w:t>
      </w:r>
      <w:r w:rsidR="00EE4FC3">
        <w:t xml:space="preserve"> </w:t>
      </w:r>
      <w:r w:rsidRPr="00382917">
        <w:t>the</w:t>
      </w:r>
      <w:r w:rsidR="00EE4FC3">
        <w:t xml:space="preserve"> </w:t>
      </w:r>
      <w:r w:rsidRPr="00382917">
        <w:t>hands</w:t>
      </w:r>
      <w:r w:rsidR="00EE4FC3">
        <w:t xml:space="preserve"> </w:t>
      </w:r>
      <w:r w:rsidRPr="00382917">
        <w:t>of</w:t>
      </w:r>
      <w:r w:rsidR="00EE4FC3">
        <w:t xml:space="preserve"> </w:t>
      </w:r>
      <w:r w:rsidRPr="00382917">
        <w:t>those</w:t>
      </w:r>
      <w:r w:rsidR="00EE4FC3">
        <w:t xml:space="preserve"> </w:t>
      </w:r>
      <w:r w:rsidRPr="00382917">
        <w:t>nineteen</w:t>
      </w:r>
      <w:r w:rsidR="00EE4FC3">
        <w:t xml:space="preserve"> </w:t>
      </w:r>
      <w:r w:rsidRPr="00382917">
        <w:t>companions</w:t>
      </w:r>
      <w:r w:rsidR="00EE4FC3">
        <w:t xml:space="preserve"> </w:t>
      </w:r>
      <w:r w:rsidRPr="00382917">
        <w:t>of</w:t>
      </w:r>
      <w:r w:rsidR="00EE4FC3">
        <w:t xml:space="preserve"> </w:t>
      </w:r>
      <w:r w:rsidRPr="00382917">
        <w:t>Mullá</w:t>
      </w:r>
      <w:r w:rsidR="00EE4FC3">
        <w:t xml:space="preserve"> </w:t>
      </w:r>
      <w:r w:rsidR="00964C11" w:rsidRPr="00382917">
        <w:t>Ḥusayn</w:t>
      </w:r>
      <w:r w:rsidRPr="00382917">
        <w:t>.</w:t>
      </w:r>
    </w:p>
    <w:p w:rsidR="00DB6293" w:rsidRPr="00382917" w:rsidRDefault="00DB6293" w:rsidP="00520ECF">
      <w:pPr>
        <w:pStyle w:val="Text"/>
      </w:pPr>
      <w:r w:rsidRPr="00382917">
        <w:t>This</w:t>
      </w:r>
      <w:r w:rsidR="00EE4FC3">
        <w:t xml:space="preserve"> </w:t>
      </w:r>
      <w:r w:rsidRPr="00382917">
        <w:t>same</w:t>
      </w:r>
      <w:r w:rsidR="00EE4FC3">
        <w:t xml:space="preserve"> </w:t>
      </w:r>
      <w:r w:rsidR="009C713D" w:rsidRPr="00382917">
        <w:t>‘</w:t>
      </w:r>
      <w:r w:rsidRPr="00382917">
        <w:t>Abbás-Qulí</w:t>
      </w:r>
      <w:r w:rsidR="00EE4FC3">
        <w:t xml:space="preserve"> </w:t>
      </w:r>
      <w:r w:rsidR="0040329F" w:rsidRPr="0040329F">
        <w:rPr>
          <w:u w:val="single"/>
        </w:rPr>
        <w:t>Kh</w:t>
      </w:r>
      <w:r w:rsidR="0040329F" w:rsidRPr="00382917">
        <w:t>án</w:t>
      </w:r>
      <w:r w:rsidR="00EE4FC3">
        <w:t xml:space="preserve"> </w:t>
      </w:r>
      <w:r w:rsidRPr="00382917">
        <w:t>later</w:t>
      </w:r>
      <w:r w:rsidR="00EE4FC3">
        <w:t xml:space="preserve"> </w:t>
      </w:r>
      <w:r w:rsidRPr="00382917">
        <w:t>wrote</w:t>
      </w:r>
      <w:r w:rsidR="00EE4FC3">
        <w:t xml:space="preserve"> </w:t>
      </w:r>
      <w:r w:rsidRPr="00382917">
        <w:t>of</w:t>
      </w:r>
      <w:r w:rsidR="00EE4FC3">
        <w:t xml:space="preserve"> </w:t>
      </w:r>
      <w:r w:rsidRPr="00382917">
        <w:t>these</w:t>
      </w:r>
      <w:r w:rsidR="00EE4FC3">
        <w:t xml:space="preserve"> </w:t>
      </w:r>
      <w:r w:rsidRPr="00382917">
        <w:t>defenders</w:t>
      </w:r>
      <w:r w:rsidR="00EE4FC3">
        <w:t xml:space="preserve"> </w:t>
      </w:r>
      <w:r w:rsidRPr="00382917">
        <w:t>of</w:t>
      </w:r>
      <w:r w:rsidR="00EE4FC3">
        <w:t xml:space="preserve"> </w:t>
      </w:r>
      <w:r w:rsidR="00520ECF" w:rsidRPr="00520ECF">
        <w:t>Ṭ</w:t>
      </w:r>
      <w:r w:rsidRPr="00382917">
        <w:t>abars</w:t>
      </w:r>
      <w:r w:rsidR="00520ECF" w:rsidRPr="00520ECF">
        <w:t>í</w:t>
      </w:r>
      <w:r w:rsidR="00C03C91">
        <w:t>:</w:t>
      </w:r>
      <w:r w:rsidR="00EE4FC3">
        <w:t xml:space="preserve">  </w:t>
      </w:r>
      <w:r w:rsidR="009C713D" w:rsidRPr="00382917">
        <w:t>“</w:t>
      </w:r>
      <w:r w:rsidRPr="00382917">
        <w:t>In</w:t>
      </w:r>
      <w:r w:rsidR="00EE4FC3">
        <w:t xml:space="preserve"> </w:t>
      </w:r>
      <w:r w:rsidRPr="00382917">
        <w:t>truth,</w:t>
      </w:r>
      <w:r w:rsidR="00EE4FC3">
        <w:t xml:space="preserve"> </w:t>
      </w:r>
      <w:r w:rsidRPr="00382917">
        <w:t>I</w:t>
      </w:r>
      <w:r w:rsidR="00EE4FC3">
        <w:t xml:space="preserve"> </w:t>
      </w:r>
      <w:r w:rsidRPr="00382917">
        <w:t>know</w:t>
      </w:r>
      <w:r w:rsidR="00EE4FC3">
        <w:t xml:space="preserve"> </w:t>
      </w:r>
      <w:r w:rsidRPr="00382917">
        <w:t>not</w:t>
      </w:r>
      <w:r w:rsidR="00EE4FC3">
        <w:t xml:space="preserve"> </w:t>
      </w:r>
      <w:r w:rsidRPr="00382917">
        <w:t>what</w:t>
      </w:r>
      <w:r w:rsidR="00EE4FC3">
        <w:t xml:space="preserve"> </w:t>
      </w:r>
      <w:r w:rsidRPr="00382917">
        <w:t>had</w:t>
      </w:r>
      <w:r w:rsidR="00EE4FC3">
        <w:t xml:space="preserve"> </w:t>
      </w:r>
      <w:r w:rsidRPr="00382917">
        <w:t>been</w:t>
      </w:r>
      <w:r w:rsidR="00EE4FC3">
        <w:t xml:space="preserve"> </w:t>
      </w:r>
      <w:r w:rsidRPr="00382917">
        <w:t>shown</w:t>
      </w:r>
      <w:r w:rsidR="00EE4FC3">
        <w:t xml:space="preserve"> </w:t>
      </w:r>
      <w:r w:rsidRPr="00382917">
        <w:t>unto</w:t>
      </w:r>
      <w:r w:rsidR="00EE4FC3">
        <w:t xml:space="preserve"> </w:t>
      </w:r>
      <w:r w:rsidRPr="00382917">
        <w:t>these</w:t>
      </w:r>
      <w:r w:rsidR="00EE4FC3">
        <w:t xml:space="preserve"> </w:t>
      </w:r>
      <w:r w:rsidRPr="00382917">
        <w:t>people,</w:t>
      </w:r>
      <w:r w:rsidR="00EE4FC3">
        <w:t xml:space="preserve"> </w:t>
      </w:r>
      <w:r w:rsidRPr="00382917">
        <w:t>or</w:t>
      </w:r>
      <w:r w:rsidR="00EE4FC3">
        <w:t xml:space="preserve"> </w:t>
      </w:r>
      <w:r w:rsidRPr="00382917">
        <w:t>what</w:t>
      </w:r>
      <w:r w:rsidR="00EE4FC3">
        <w:t xml:space="preserve"> </w:t>
      </w:r>
      <w:r w:rsidRPr="00382917">
        <w:t>they</w:t>
      </w:r>
      <w:r w:rsidR="00EE4FC3">
        <w:t xml:space="preserve"> </w:t>
      </w:r>
      <w:r w:rsidRPr="00382917">
        <w:t>had</w:t>
      </w:r>
      <w:r w:rsidR="00EE4FC3">
        <w:t xml:space="preserve"> </w:t>
      </w:r>
      <w:r w:rsidRPr="00382917">
        <w:t>seen,</w:t>
      </w:r>
      <w:r w:rsidR="00EE4FC3">
        <w:t xml:space="preserve"> </w:t>
      </w:r>
      <w:r w:rsidRPr="00382917">
        <w:t>that</w:t>
      </w:r>
      <w:r w:rsidR="00EE4FC3">
        <w:t xml:space="preserve"> </w:t>
      </w:r>
      <w:r w:rsidRPr="00382917">
        <w:t>they</w:t>
      </w:r>
      <w:r w:rsidR="00EE4FC3">
        <w:t xml:space="preserve"> </w:t>
      </w:r>
      <w:r w:rsidRPr="00382917">
        <w:t>came</w:t>
      </w:r>
      <w:r w:rsidR="00EE4FC3">
        <w:t xml:space="preserve"> </w:t>
      </w:r>
      <w:r w:rsidRPr="00382917">
        <w:t>forth</w:t>
      </w:r>
      <w:r w:rsidR="00EE4FC3">
        <w:t xml:space="preserve"> </w:t>
      </w:r>
      <w:r w:rsidRPr="00382917">
        <w:t>to</w:t>
      </w:r>
      <w:r w:rsidR="00EE4FC3">
        <w:t xml:space="preserve"> </w:t>
      </w:r>
      <w:r w:rsidRPr="00382917">
        <w:t>battle</w:t>
      </w:r>
      <w:r w:rsidR="00EE4FC3">
        <w:t xml:space="preserve"> </w:t>
      </w:r>
      <w:r w:rsidRPr="00382917">
        <w:t>with</w:t>
      </w:r>
      <w:r w:rsidR="00EE4FC3">
        <w:t xml:space="preserve"> </w:t>
      </w:r>
      <w:r w:rsidRPr="00382917">
        <w:t>such</w:t>
      </w:r>
      <w:r w:rsidR="00EE4FC3">
        <w:t xml:space="preserve"> </w:t>
      </w:r>
      <w:r w:rsidRPr="00382917">
        <w:t>alacrity</w:t>
      </w:r>
      <w:r w:rsidR="00EE4FC3">
        <w:t xml:space="preserve"> </w:t>
      </w:r>
      <w:r w:rsidRPr="00382917">
        <w:t>and</w:t>
      </w:r>
      <w:r w:rsidR="00EE4FC3">
        <w:t xml:space="preserve"> </w:t>
      </w:r>
      <w:r w:rsidRPr="00382917">
        <w:t>joy</w:t>
      </w:r>
      <w:r w:rsidR="00B71244">
        <w:t>.</w:t>
      </w:r>
      <w:r w:rsidR="00EE4FC3">
        <w:t xml:space="preserve">  </w:t>
      </w:r>
      <w:r w:rsidRPr="00382917">
        <w:t>The</w:t>
      </w:r>
      <w:r w:rsidR="00EE4FC3">
        <w:t xml:space="preserve"> </w:t>
      </w:r>
      <w:r w:rsidRPr="00382917">
        <w:t>imagination</w:t>
      </w:r>
      <w:r w:rsidR="00EE4FC3">
        <w:t xml:space="preserve"> </w:t>
      </w:r>
      <w:r w:rsidRPr="00382917">
        <w:t>of</w:t>
      </w:r>
      <w:r w:rsidR="00EE4FC3">
        <w:t xml:space="preserve"> </w:t>
      </w:r>
      <w:r w:rsidRPr="00382917">
        <w:t>man</w:t>
      </w:r>
      <w:r w:rsidR="00EE4FC3">
        <w:t xml:space="preserve"> </w:t>
      </w:r>
      <w:r w:rsidRPr="00382917">
        <w:t>cannot</w:t>
      </w:r>
      <w:r w:rsidR="00EE4FC3">
        <w:t xml:space="preserve"> </w:t>
      </w:r>
      <w:r w:rsidRPr="00382917">
        <w:t>conceive</w:t>
      </w:r>
      <w:r w:rsidR="00EE4FC3">
        <w:t xml:space="preserve"> </w:t>
      </w:r>
      <w:r w:rsidRPr="00382917">
        <w:t>the</w:t>
      </w:r>
      <w:r w:rsidR="00EE4FC3">
        <w:t xml:space="preserve"> </w:t>
      </w:r>
      <w:r w:rsidRPr="00382917">
        <w:t>vehemence</w:t>
      </w:r>
      <w:r w:rsidR="00EE4FC3">
        <w:t xml:space="preserve"> </w:t>
      </w:r>
      <w:r w:rsidRPr="00382917">
        <w:t>of</w:t>
      </w:r>
      <w:r w:rsidR="00EE4FC3">
        <w:t xml:space="preserve"> </w:t>
      </w:r>
      <w:r w:rsidRPr="00382917">
        <w:t>their</w:t>
      </w:r>
      <w:r w:rsidR="00EE4FC3">
        <w:t xml:space="preserve"> </w:t>
      </w:r>
      <w:r w:rsidRPr="00382917">
        <w:t>courage</w:t>
      </w:r>
      <w:r w:rsidR="00EE4FC3">
        <w:t xml:space="preserve"> </w:t>
      </w:r>
      <w:r w:rsidRPr="00382917">
        <w:t>and</w:t>
      </w:r>
      <w:r w:rsidR="00EE4FC3">
        <w:t xml:space="preserve"> </w:t>
      </w:r>
      <w:proofErr w:type="spellStart"/>
      <w:r w:rsidRPr="00382917">
        <w:t>valor</w:t>
      </w:r>
      <w:proofErr w:type="spellEnd"/>
      <w:r w:rsidRPr="00382917">
        <w:t>.</w:t>
      </w:r>
      <w:r w:rsidR="009C713D" w:rsidRPr="00382917">
        <w:t>”</w:t>
      </w:r>
    </w:p>
    <w:p w:rsidR="00E13D49" w:rsidRPr="00382917" w:rsidRDefault="00DB6293" w:rsidP="006225E8">
      <w:pPr>
        <w:pStyle w:val="Text"/>
      </w:pPr>
      <w:proofErr w:type="spellStart"/>
      <w:r w:rsidRPr="00382917">
        <w:t>Gobineau</w:t>
      </w:r>
      <w:proofErr w:type="spellEnd"/>
      <w:r w:rsidR="00EE4FC3">
        <w:t xml:space="preserve"> </w:t>
      </w:r>
      <w:r w:rsidRPr="00382917">
        <w:t>records</w:t>
      </w:r>
      <w:r w:rsidR="00EE4FC3">
        <w:t xml:space="preserve"> </w:t>
      </w:r>
      <w:r w:rsidRPr="00382917">
        <w:t>that</w:t>
      </w:r>
      <w:r w:rsidR="00EE4FC3">
        <w:t xml:space="preserve"> </w:t>
      </w:r>
      <w:r w:rsidRPr="00382917">
        <w:t>the</w:t>
      </w:r>
      <w:r w:rsidR="00EE4FC3">
        <w:t xml:space="preserve"> </w:t>
      </w:r>
      <w:r w:rsidRPr="00382917">
        <w:t>army</w:t>
      </w:r>
      <w:r w:rsidR="00EE4FC3">
        <w:t xml:space="preserve"> </w:t>
      </w:r>
      <w:r w:rsidR="009C713D" w:rsidRPr="00382917">
        <w:t>“</w:t>
      </w:r>
      <w:r w:rsidRPr="00382917">
        <w:t>built</w:t>
      </w:r>
      <w:r w:rsidR="00EE4FC3">
        <w:t xml:space="preserve"> </w:t>
      </w:r>
      <w:r w:rsidRPr="00382917">
        <w:t>large</w:t>
      </w:r>
      <w:r w:rsidR="00EE4FC3">
        <w:t xml:space="preserve"> </w:t>
      </w:r>
      <w:r w:rsidRPr="00382917">
        <w:t>towers</w:t>
      </w:r>
      <w:r w:rsidR="00EE4FC3">
        <w:t xml:space="preserve"> </w:t>
      </w:r>
      <w:r w:rsidRPr="00382917">
        <w:t>as</w:t>
      </w:r>
      <w:r w:rsidR="00EE4FC3">
        <w:t xml:space="preserve"> </w:t>
      </w:r>
      <w:r w:rsidRPr="00382917">
        <w:t>high</w:t>
      </w:r>
      <w:r w:rsidR="00EE4FC3">
        <w:t xml:space="preserve"> </w:t>
      </w:r>
      <w:r w:rsidRPr="00382917">
        <w:t>as</w:t>
      </w:r>
      <w:r w:rsidR="00EE4FC3">
        <w:t xml:space="preserve"> </w:t>
      </w:r>
      <w:r w:rsidRPr="00382917">
        <w:t>the</w:t>
      </w:r>
      <w:r w:rsidR="00EE4FC3">
        <w:t xml:space="preserve"> </w:t>
      </w:r>
      <w:r w:rsidRPr="00382917">
        <w:t>various</w:t>
      </w:r>
      <w:r w:rsidR="00EE4FC3">
        <w:t xml:space="preserve"> </w:t>
      </w:r>
      <w:r w:rsidRPr="00382917">
        <w:t>levels</w:t>
      </w:r>
      <w:r w:rsidR="00EE4FC3">
        <w:t xml:space="preserve"> </w:t>
      </w:r>
      <w:r w:rsidRPr="00382917">
        <w:t>of</w:t>
      </w:r>
      <w:r w:rsidR="00EE4FC3">
        <w:t xml:space="preserve"> </w:t>
      </w:r>
      <w:r w:rsidRPr="00382917">
        <w:t>the</w:t>
      </w:r>
      <w:r w:rsidR="00EE4FC3">
        <w:t xml:space="preserve"> </w:t>
      </w:r>
      <w:r w:rsidRPr="00382917">
        <w:t>fortress</w:t>
      </w:r>
      <w:r w:rsidR="00EE4FC3">
        <w:t xml:space="preserve"> </w:t>
      </w:r>
      <w:r w:rsidRPr="00382917">
        <w:t>or</w:t>
      </w:r>
      <w:r w:rsidR="00EE4FC3">
        <w:t xml:space="preserve"> </w:t>
      </w:r>
      <w:r w:rsidRPr="00382917">
        <w:t>higher</w:t>
      </w:r>
      <w:r w:rsidR="00EE4FC3">
        <w:t xml:space="preserve"> </w:t>
      </w:r>
      <w:r w:rsidRPr="00382917">
        <w:t>and,</w:t>
      </w:r>
      <w:r w:rsidR="00EE4FC3">
        <w:t xml:space="preserve"> </w:t>
      </w:r>
      <w:r w:rsidRPr="00382917">
        <w:t>through</w:t>
      </w:r>
      <w:r w:rsidR="00EE4FC3">
        <w:t xml:space="preserve"> </w:t>
      </w:r>
      <w:r w:rsidRPr="00382917">
        <w:t>a</w:t>
      </w:r>
      <w:r w:rsidR="00EE4FC3">
        <w:t xml:space="preserve"> </w:t>
      </w:r>
      <w:r w:rsidRPr="00382917">
        <w:t>continuous</w:t>
      </w:r>
      <w:r w:rsidR="00EE4FC3">
        <w:t xml:space="preserve"> </w:t>
      </w:r>
      <w:r w:rsidRPr="00382917">
        <w:t>plunging</w:t>
      </w:r>
      <w:r w:rsidR="00EE4FC3">
        <w:t xml:space="preserve"> </w:t>
      </w:r>
      <w:r w:rsidRPr="00382917">
        <w:t>fire,</w:t>
      </w:r>
      <w:r w:rsidR="00EE4FC3">
        <w:t xml:space="preserve"> </w:t>
      </w:r>
      <w:r w:rsidRPr="00382917">
        <w:t>they</w:t>
      </w:r>
      <w:r w:rsidR="00EE4FC3">
        <w:t xml:space="preserve"> </w:t>
      </w:r>
      <w:r w:rsidRPr="00382917">
        <w:t>rendered</w:t>
      </w:r>
      <w:r w:rsidR="00EE4FC3">
        <w:t xml:space="preserve"> </w:t>
      </w:r>
      <w:r w:rsidRPr="00382917">
        <w:t>the</w:t>
      </w:r>
      <w:r w:rsidR="00EE4FC3">
        <w:t xml:space="preserve"> </w:t>
      </w:r>
      <w:r w:rsidRPr="00382917">
        <w:t>circulation</w:t>
      </w:r>
      <w:r w:rsidR="00EE4FC3">
        <w:t xml:space="preserve"> </w:t>
      </w:r>
      <w:r w:rsidRPr="00382917">
        <w:t>of</w:t>
      </w:r>
      <w:r w:rsidR="00EE4FC3">
        <w:t xml:space="preserve"> </w:t>
      </w:r>
      <w:r w:rsidRPr="00382917">
        <w:t>the</w:t>
      </w:r>
      <w:r w:rsidR="00EE4FC3">
        <w:t xml:space="preserve"> </w:t>
      </w:r>
      <w:r w:rsidRPr="00382917">
        <w:t>[followers</w:t>
      </w:r>
      <w:r w:rsidR="00EE4FC3">
        <w:t xml:space="preserve"> </w:t>
      </w:r>
      <w:r w:rsidRPr="00382917">
        <w:t>of</w:t>
      </w:r>
      <w:r w:rsidR="00EE4FC3">
        <w:t xml:space="preserve"> </w:t>
      </w:r>
      <w:r w:rsidRPr="00382917">
        <w:t>the</w:t>
      </w:r>
      <w:r w:rsidR="00EE4FC3">
        <w:t xml:space="preserve"> </w:t>
      </w:r>
      <w:r w:rsidRPr="00382917">
        <w:t>Báb]</w:t>
      </w:r>
      <w:r w:rsidR="00EE4FC3">
        <w:t xml:space="preserve"> </w:t>
      </w:r>
      <w:r w:rsidRPr="00382917">
        <w:t>within</w:t>
      </w:r>
      <w:r w:rsidR="00EE4FC3">
        <w:t xml:space="preserve"> </w:t>
      </w:r>
      <w:r w:rsidRPr="00382917">
        <w:t>their</w:t>
      </w:r>
      <w:r w:rsidR="00EE4FC3">
        <w:t xml:space="preserve"> </w:t>
      </w:r>
      <w:r w:rsidRPr="00382917">
        <w:t>fort</w:t>
      </w:r>
      <w:r w:rsidR="00EE4FC3">
        <w:t xml:space="preserve"> </w:t>
      </w:r>
      <w:r w:rsidRPr="00382917">
        <w:t>extremely</w:t>
      </w:r>
      <w:r w:rsidR="00EE4FC3">
        <w:t xml:space="preserve"> </w:t>
      </w:r>
      <w:r w:rsidRPr="00382917">
        <w:t>dangerous</w:t>
      </w:r>
      <w:r w:rsidR="00EE4FC3">
        <w:t xml:space="preserve"> </w:t>
      </w:r>
      <w:r w:rsidR="00F04416" w:rsidRPr="00382917">
        <w:t>…</w:t>
      </w:r>
      <w:r w:rsidR="00EE4FC3">
        <w:t xml:space="preserve"> </w:t>
      </w:r>
      <w:r w:rsidRPr="00382917">
        <w:t>but</w:t>
      </w:r>
      <w:r w:rsidR="00EE4FC3">
        <w:t xml:space="preserve"> </w:t>
      </w:r>
      <w:r w:rsidRPr="00382917">
        <w:t>in</w:t>
      </w:r>
      <w:r w:rsidR="00EE4FC3">
        <w:t xml:space="preserve"> </w:t>
      </w:r>
      <w:r w:rsidRPr="00382917">
        <w:t>a</w:t>
      </w:r>
      <w:r w:rsidR="00EE4FC3">
        <w:t xml:space="preserve"> </w:t>
      </w:r>
      <w:r w:rsidRPr="00382917">
        <w:t>few</w:t>
      </w:r>
      <w:r w:rsidR="00EE4FC3">
        <w:t xml:space="preserve"> </w:t>
      </w:r>
      <w:r w:rsidRPr="00382917">
        <w:t>days,</w:t>
      </w:r>
      <w:r w:rsidR="00EE4FC3">
        <w:t xml:space="preserve"> </w:t>
      </w:r>
      <w:r w:rsidRPr="00382917">
        <w:t>[they],</w:t>
      </w:r>
      <w:r w:rsidR="00EE4FC3">
        <w:t xml:space="preserve"> </w:t>
      </w:r>
      <w:r w:rsidRPr="00382917">
        <w:t>taking</w:t>
      </w:r>
      <w:r w:rsidR="00EE4FC3">
        <w:t xml:space="preserve"> </w:t>
      </w:r>
      <w:r w:rsidRPr="00382917">
        <w:t>advantage</w:t>
      </w:r>
      <w:r w:rsidR="00EE4FC3">
        <w:t xml:space="preserve"> </w:t>
      </w:r>
      <w:r w:rsidRPr="00382917">
        <w:t>of</w:t>
      </w:r>
      <w:r w:rsidR="00EE4FC3">
        <w:t xml:space="preserve"> </w:t>
      </w:r>
      <w:r w:rsidRPr="00382917">
        <w:t>the</w:t>
      </w:r>
      <w:r w:rsidR="00EE4FC3">
        <w:t xml:space="preserve"> </w:t>
      </w:r>
      <w:r w:rsidRPr="00382917">
        <w:t>long</w:t>
      </w:r>
      <w:r w:rsidR="00EE4FC3">
        <w:t xml:space="preserve"> </w:t>
      </w:r>
      <w:r w:rsidRPr="00382917">
        <w:t>nights,</w:t>
      </w:r>
      <w:r w:rsidR="00EE4FC3">
        <w:t xml:space="preserve"> </w:t>
      </w:r>
      <w:r w:rsidRPr="00382917">
        <w:t>raised</w:t>
      </w:r>
      <w:r w:rsidR="00EE4FC3">
        <w:t xml:space="preserve"> </w:t>
      </w:r>
      <w:r w:rsidRPr="00382917">
        <w:t>their</w:t>
      </w:r>
      <w:r w:rsidR="00EE4FC3">
        <w:t xml:space="preserve"> </w:t>
      </w:r>
      <w:r w:rsidRPr="00382917">
        <w:t>fortifications</w:t>
      </w:r>
      <w:r w:rsidR="00EE4FC3">
        <w:t xml:space="preserve"> </w:t>
      </w:r>
      <w:r w:rsidRPr="00382917">
        <w:t>so</w:t>
      </w:r>
      <w:r w:rsidR="00EE4FC3">
        <w:t xml:space="preserve"> </w:t>
      </w:r>
      <w:r w:rsidRPr="00382917">
        <w:t>that</w:t>
      </w:r>
      <w:r w:rsidR="00EE4FC3">
        <w:t xml:space="preserve"> </w:t>
      </w:r>
      <w:r w:rsidRPr="00382917">
        <w:t>their</w:t>
      </w:r>
      <w:r w:rsidR="00EE4FC3">
        <w:t xml:space="preserve"> </w:t>
      </w:r>
      <w:r w:rsidRPr="00382917">
        <w:t>height</w:t>
      </w:r>
      <w:r w:rsidR="00EE4FC3">
        <w:t xml:space="preserve"> </w:t>
      </w:r>
      <w:r w:rsidRPr="00382917">
        <w:t>exceeded</w:t>
      </w:r>
      <w:r w:rsidR="00EE4FC3">
        <w:t xml:space="preserve"> </w:t>
      </w:r>
      <w:r w:rsidRPr="00382917">
        <w:t>that</w:t>
      </w:r>
      <w:r w:rsidR="00EE4FC3">
        <w:t xml:space="preserve"> </w:t>
      </w:r>
      <w:r w:rsidRPr="00382917">
        <w:t>of</w:t>
      </w:r>
      <w:r w:rsidR="00EE4FC3">
        <w:t xml:space="preserve"> </w:t>
      </w:r>
      <w:r w:rsidRPr="00382917">
        <w:t>the</w:t>
      </w:r>
      <w:r w:rsidR="00EE4FC3">
        <w:t xml:space="preserve"> </w:t>
      </w:r>
      <w:r w:rsidRPr="00382917">
        <w:t>attacking</w:t>
      </w:r>
      <w:r w:rsidR="00EE4FC3">
        <w:t xml:space="preserve"> </w:t>
      </w:r>
      <w:r w:rsidRPr="00382917">
        <w:t>towers</w:t>
      </w:r>
      <w:r w:rsidR="00EE4FC3">
        <w:t xml:space="preserve"> </w:t>
      </w:r>
      <w:r w:rsidRPr="00382917">
        <w:t>of</w:t>
      </w:r>
      <w:r w:rsidR="00EE4FC3">
        <w:t xml:space="preserve"> </w:t>
      </w:r>
      <w:r w:rsidRPr="00382917">
        <w:t>the</w:t>
      </w:r>
      <w:r w:rsidR="00EE4FC3">
        <w:t xml:space="preserve"> </w:t>
      </w:r>
      <w:r w:rsidRPr="00382917">
        <w:t>enemy.</w:t>
      </w:r>
      <w:r w:rsidR="009C713D" w:rsidRPr="00382917">
        <w:t>”</w:t>
      </w:r>
      <w:r w:rsidR="00520ECF">
        <w:rPr>
          <w:rStyle w:val="FootnoteReference"/>
        </w:rPr>
        <w:footnoteReference w:id="121"/>
      </w:r>
    </w:p>
    <w:p w:rsidR="00DB6293" w:rsidRPr="00382917" w:rsidRDefault="009C713D" w:rsidP="00DB6293">
      <w:pPr>
        <w:pStyle w:val="Text"/>
      </w:pPr>
      <w:r w:rsidRPr="00382917">
        <w:t>“</w:t>
      </w:r>
      <w:r w:rsidR="00DB6293" w:rsidRPr="00382917">
        <w:t>Exasperated</w:t>
      </w:r>
      <w:r w:rsidR="00EE4FC3">
        <w:t xml:space="preserve"> </w:t>
      </w:r>
      <w:r w:rsidR="00DB6293" w:rsidRPr="00382917">
        <w:t>by</w:t>
      </w:r>
      <w:r w:rsidR="00EE4FC3">
        <w:t xml:space="preserve"> </w:t>
      </w:r>
      <w:r w:rsidR="00DB6293" w:rsidRPr="00382917">
        <w:t>these</w:t>
      </w:r>
      <w:r w:rsidR="00EE4FC3">
        <w:t xml:space="preserve"> </w:t>
      </w:r>
      <w:r w:rsidR="00DB6293" w:rsidRPr="00382917">
        <w:t>evidences</w:t>
      </w:r>
      <w:r w:rsidR="00EE4FC3">
        <w:t xml:space="preserve"> </w:t>
      </w:r>
      <w:r w:rsidR="00DB6293" w:rsidRPr="00382917">
        <w:t>of</w:t>
      </w:r>
      <w:r w:rsidR="00EE4FC3">
        <w:t xml:space="preserve"> </w:t>
      </w:r>
      <w:r w:rsidR="00DB6293" w:rsidRPr="00382917">
        <w:t>unquenchable</w:t>
      </w:r>
      <w:r w:rsidR="00EE4FC3">
        <w:t xml:space="preserve"> </w:t>
      </w:r>
      <w:proofErr w:type="spellStart"/>
      <w:r w:rsidR="00DB6293" w:rsidRPr="00382917">
        <w:t>fervor</w:t>
      </w:r>
      <w:proofErr w:type="spellEnd"/>
      <w:r w:rsidR="00DB6293" w:rsidRPr="00382917">
        <w:t>,</w:t>
      </w:r>
      <w:r w:rsidR="00EE4FC3">
        <w:t xml:space="preserve"> </w:t>
      </w:r>
      <w:r w:rsidR="00DB6293" w:rsidRPr="00382917">
        <w:t>the</w:t>
      </w:r>
      <w:r w:rsidR="00EE4FC3">
        <w:t xml:space="preserve"> </w:t>
      </w:r>
      <w:r w:rsidR="00DB6293" w:rsidRPr="00382917">
        <w:t>commanding</w:t>
      </w:r>
      <w:r w:rsidR="00EE4FC3">
        <w:t xml:space="preserve"> </w:t>
      </w:r>
      <w:r w:rsidR="00DB6293" w:rsidRPr="00382917">
        <w:t>officer</w:t>
      </w:r>
      <w:r w:rsidR="00EE4FC3">
        <w:t xml:space="preserve"> </w:t>
      </w:r>
      <w:r w:rsidR="00DB6293" w:rsidRPr="00382917">
        <w:t>erected</w:t>
      </w:r>
      <w:r w:rsidR="00EE4FC3">
        <w:t xml:space="preserve"> </w:t>
      </w:r>
      <w:r w:rsidR="00DB6293" w:rsidRPr="00382917">
        <w:t>a</w:t>
      </w:r>
      <w:r w:rsidR="00EE4FC3">
        <w:t xml:space="preserve"> </w:t>
      </w:r>
      <w:r w:rsidR="00DB6293" w:rsidRPr="00382917">
        <w:t>great</w:t>
      </w:r>
      <w:r w:rsidR="00EE4FC3">
        <w:t xml:space="preserve"> </w:t>
      </w:r>
      <w:r w:rsidR="00DB6293" w:rsidRPr="00382917">
        <w:t>tower</w:t>
      </w:r>
      <w:r w:rsidR="00EE4FC3">
        <w:t xml:space="preserve"> </w:t>
      </w:r>
      <w:r w:rsidR="00DB6293" w:rsidRPr="00382917">
        <w:t>upon</w:t>
      </w:r>
      <w:r w:rsidR="00EE4FC3">
        <w:t xml:space="preserve"> </w:t>
      </w:r>
      <w:r w:rsidR="00DB6293" w:rsidRPr="00382917">
        <w:t>which</w:t>
      </w:r>
      <w:r w:rsidR="00EE4FC3">
        <w:t xml:space="preserve"> </w:t>
      </w:r>
      <w:r w:rsidR="00DB6293" w:rsidRPr="00382917">
        <w:t>he</w:t>
      </w:r>
      <w:r w:rsidR="00EE4FC3">
        <w:t xml:space="preserve"> </w:t>
      </w:r>
      <w:r w:rsidR="00DB6293" w:rsidRPr="00382917">
        <w:t>placed</w:t>
      </w:r>
      <w:r w:rsidR="00EE4FC3">
        <w:t xml:space="preserve"> </w:t>
      </w:r>
      <w:r w:rsidR="00DB6293" w:rsidRPr="00382917">
        <w:t>his</w:t>
      </w:r>
      <w:r w:rsidR="00EE4FC3">
        <w:t xml:space="preserve"> </w:t>
      </w:r>
      <w:r w:rsidR="00DB6293" w:rsidRPr="00382917">
        <w:t>biggest</w:t>
      </w:r>
      <w:r w:rsidR="00EE4FC3">
        <w:t xml:space="preserve"> </w:t>
      </w:r>
      <w:r w:rsidR="00DB6293" w:rsidRPr="00382917">
        <w:t>cannon,</w:t>
      </w:r>
      <w:r w:rsidR="00EE4FC3">
        <w:t xml:space="preserve"> </w:t>
      </w:r>
      <w:r w:rsidR="00DB6293" w:rsidRPr="00382917">
        <w:t>and</w:t>
      </w:r>
      <w:r w:rsidR="00EE4FC3">
        <w:t xml:space="preserve"> </w:t>
      </w:r>
      <w:r w:rsidR="00DB6293" w:rsidRPr="00382917">
        <w:t>directed</w:t>
      </w:r>
      <w:r w:rsidR="00EE4FC3">
        <w:t xml:space="preserve"> </w:t>
      </w:r>
      <w:r w:rsidR="00DB6293" w:rsidRPr="00382917">
        <w:t>his</w:t>
      </w:r>
      <w:r w:rsidR="00EE4FC3">
        <w:t xml:space="preserve"> </w:t>
      </w:r>
      <w:r w:rsidR="00DB6293" w:rsidRPr="00382917">
        <w:t>fire</w:t>
      </w:r>
      <w:r w:rsidR="00EE4FC3">
        <w:t xml:space="preserve"> </w:t>
      </w:r>
      <w:r w:rsidR="00DB6293" w:rsidRPr="00382917">
        <w:t>into</w:t>
      </w:r>
      <w:r w:rsidR="00EE4FC3">
        <w:t xml:space="preserve"> </w:t>
      </w:r>
      <w:r w:rsidR="00DB6293" w:rsidRPr="00382917">
        <w:t>the</w:t>
      </w:r>
      <w:r w:rsidR="00EE4FC3">
        <w:t xml:space="preserve"> </w:t>
      </w:r>
      <w:r w:rsidR="00DB6293" w:rsidRPr="00382917">
        <w:t>heart</w:t>
      </w:r>
      <w:r w:rsidR="00EE4FC3">
        <w:t xml:space="preserve"> </w:t>
      </w:r>
      <w:r w:rsidR="00DB6293" w:rsidRPr="00382917">
        <w:t>of</w:t>
      </w:r>
      <w:r w:rsidR="00EE4FC3">
        <w:t xml:space="preserve"> </w:t>
      </w:r>
      <w:r w:rsidR="00DB6293" w:rsidRPr="00382917">
        <w:t>the</w:t>
      </w:r>
      <w:r w:rsidR="00EE4FC3">
        <w:t xml:space="preserve"> </w:t>
      </w:r>
      <w:r w:rsidR="00DB6293" w:rsidRPr="00382917">
        <w:t>fort.</w:t>
      </w:r>
    </w:p>
    <w:p w:rsidR="00E13D49" w:rsidRPr="00382917" w:rsidRDefault="009C713D" w:rsidP="00962DC1">
      <w:pPr>
        <w:pStyle w:val="Text"/>
      </w:pPr>
      <w:r w:rsidRPr="00382917">
        <w:t>“</w:t>
      </w:r>
      <w:r w:rsidR="00DB6293" w:rsidRPr="00382917">
        <w:t>The</w:t>
      </w:r>
      <w:r w:rsidR="00EE4FC3">
        <w:t xml:space="preserve"> </w:t>
      </w:r>
      <w:r w:rsidR="00DB6293" w:rsidRPr="00382917">
        <w:t>faithful</w:t>
      </w:r>
      <w:r w:rsidR="00EE4FC3">
        <w:t xml:space="preserve"> </w:t>
      </w:r>
      <w:r w:rsidR="00DB6293" w:rsidRPr="00382917">
        <w:t>seeing</w:t>
      </w:r>
      <w:r w:rsidR="00EE4FC3">
        <w:t xml:space="preserve"> </w:t>
      </w:r>
      <w:r w:rsidR="00DB6293" w:rsidRPr="00382917">
        <w:t>this,</w:t>
      </w:r>
      <w:r w:rsidRPr="00382917">
        <w:t>”</w:t>
      </w:r>
      <w:r w:rsidR="00EE4FC3">
        <w:t xml:space="preserve"> </w:t>
      </w:r>
      <w:r w:rsidR="00DB6293" w:rsidRPr="00382917">
        <w:t>an</w:t>
      </w:r>
      <w:r w:rsidR="00EE4FC3">
        <w:t xml:space="preserve"> </w:t>
      </w:r>
      <w:r w:rsidR="00DB6293" w:rsidRPr="00382917">
        <w:t>historical</w:t>
      </w:r>
      <w:r w:rsidR="00EE4FC3">
        <w:t xml:space="preserve"> </w:t>
      </w:r>
      <w:r w:rsidR="00DB6293" w:rsidRPr="00382917">
        <w:t>document</w:t>
      </w:r>
      <w:r w:rsidR="00EE4FC3">
        <w:t xml:space="preserve"> </w:t>
      </w:r>
      <w:r w:rsidR="00DB6293" w:rsidRPr="00382917">
        <w:t>tells</w:t>
      </w:r>
      <w:r w:rsidR="00EE4FC3">
        <w:t xml:space="preserve"> </w:t>
      </w:r>
      <w:r w:rsidR="00DB6293" w:rsidRPr="00382917">
        <w:t>us,</w:t>
      </w:r>
      <w:r w:rsidR="00EE4FC3">
        <w:t xml:space="preserve"> </w:t>
      </w:r>
      <w:r w:rsidRPr="00382917">
        <w:t>“</w:t>
      </w:r>
      <w:r w:rsidR="00DB6293" w:rsidRPr="00382917">
        <w:t>began</w:t>
      </w:r>
      <w:r w:rsidR="00EE4FC3">
        <w:t xml:space="preserve"> </w:t>
      </w:r>
      <w:r w:rsidR="00DB6293" w:rsidRPr="00382917">
        <w:t>to</w:t>
      </w:r>
      <w:r w:rsidR="00EE4FC3">
        <w:t xml:space="preserve"> </w:t>
      </w:r>
      <w:r w:rsidR="00DB6293" w:rsidRPr="00382917">
        <w:t>dig</w:t>
      </w:r>
      <w:r w:rsidR="00EE4FC3">
        <w:t xml:space="preserve"> </w:t>
      </w:r>
      <w:r w:rsidR="00DB6293" w:rsidRPr="00382917">
        <w:t>subterranean</w:t>
      </w:r>
      <w:r w:rsidR="00EE4FC3">
        <w:t xml:space="preserve"> </w:t>
      </w:r>
      <w:r w:rsidR="00DB6293" w:rsidRPr="00382917">
        <w:t>passages</w:t>
      </w:r>
      <w:r w:rsidR="00EE4FC3">
        <w:t xml:space="preserve"> </w:t>
      </w:r>
      <w:r w:rsidR="00DB6293" w:rsidRPr="00382917">
        <w:t>and</w:t>
      </w:r>
      <w:r w:rsidR="00EE4FC3">
        <w:t xml:space="preserve"> </w:t>
      </w:r>
      <w:r w:rsidR="00DB6293" w:rsidRPr="00382917">
        <w:t>retreat</w:t>
      </w:r>
      <w:r w:rsidR="00EE4FC3">
        <w:t xml:space="preserve"> </w:t>
      </w:r>
      <w:r w:rsidR="00DB6293" w:rsidRPr="00382917">
        <w:t>thither</w:t>
      </w:r>
      <w:r w:rsidR="00B71244">
        <w:t>.</w:t>
      </w:r>
      <w:r w:rsidR="00EE4FC3">
        <w:t xml:space="preserve">  </w:t>
      </w:r>
      <w:r w:rsidR="00DB6293" w:rsidRPr="00382917">
        <w:t>But</w:t>
      </w:r>
      <w:r w:rsidR="00EE4FC3">
        <w:t xml:space="preserve"> </w:t>
      </w:r>
      <w:r w:rsidR="00DB6293" w:rsidRPr="00382917">
        <w:t>the</w:t>
      </w:r>
      <w:r w:rsidR="00EE4FC3">
        <w:t xml:space="preserve"> </w:t>
      </w:r>
      <w:r w:rsidR="00DB6293" w:rsidRPr="00382917">
        <w:t>ground</w:t>
      </w:r>
      <w:r w:rsidR="00EE4FC3">
        <w:t xml:space="preserve"> </w:t>
      </w:r>
      <w:r w:rsidR="00DB6293" w:rsidRPr="00382917">
        <w:t>of</w:t>
      </w:r>
      <w:r w:rsidR="00EE4FC3">
        <w:t xml:space="preserve"> </w:t>
      </w:r>
      <w:r w:rsidR="00DB6293" w:rsidRPr="00382917">
        <w:t>Mázindarán</w:t>
      </w:r>
      <w:r w:rsidR="00EE4FC3">
        <w:t xml:space="preserve"> </w:t>
      </w:r>
      <w:r w:rsidR="00DB6293" w:rsidRPr="00382917">
        <w:t>lies</w:t>
      </w:r>
      <w:r w:rsidR="00EE4FC3">
        <w:t xml:space="preserve"> </w:t>
      </w:r>
      <w:r w:rsidR="00DB6293" w:rsidRPr="00382917">
        <w:t>near</w:t>
      </w:r>
      <w:r w:rsidR="00EE4FC3">
        <w:t xml:space="preserve"> </w:t>
      </w:r>
      <w:r w:rsidR="00DB6293" w:rsidRPr="00382917">
        <w:t>the</w:t>
      </w:r>
      <w:r w:rsidR="00EE4FC3">
        <w:t xml:space="preserve"> </w:t>
      </w:r>
      <w:r w:rsidR="00DB6293" w:rsidRPr="00382917">
        <w:t>water</w:t>
      </w:r>
      <w:r w:rsidR="00EE4FC3">
        <w:t xml:space="preserve"> </w:t>
      </w:r>
      <w:r w:rsidR="00DB6293" w:rsidRPr="00382917">
        <w:t>and</w:t>
      </w:r>
      <w:r w:rsidR="00EE4FC3">
        <w:t xml:space="preserve"> </w:t>
      </w:r>
      <w:r w:rsidR="00DB6293" w:rsidRPr="00382917">
        <w:t>is</w:t>
      </w:r>
      <w:r w:rsidR="00EE4FC3">
        <w:t xml:space="preserve"> </w:t>
      </w:r>
      <w:r w:rsidR="00DB6293" w:rsidRPr="00382917">
        <w:t>saturated</w:t>
      </w:r>
      <w:r w:rsidR="00EE4FC3">
        <w:t xml:space="preserve"> </w:t>
      </w:r>
      <w:r w:rsidR="00DB6293" w:rsidRPr="00382917">
        <w:t>with</w:t>
      </w:r>
      <w:r w:rsidR="00EE4FC3">
        <w:t xml:space="preserve"> </w:t>
      </w:r>
      <w:r w:rsidR="00DB6293" w:rsidRPr="00382917">
        <w:t>moisture,</w:t>
      </w:r>
      <w:r w:rsidR="00EE4FC3">
        <w:t xml:space="preserve"> </w:t>
      </w:r>
      <w:r w:rsidR="00DB6293" w:rsidRPr="00382917">
        <w:t>added</w:t>
      </w:r>
      <w:r w:rsidR="00EE4FC3">
        <w:t xml:space="preserve"> </w:t>
      </w:r>
      <w:r w:rsidR="00DB6293" w:rsidRPr="00382917">
        <w:t>to</w:t>
      </w:r>
      <w:r w:rsidR="00EE4FC3">
        <w:t xml:space="preserve"> </w:t>
      </w:r>
      <w:r w:rsidR="00DB6293" w:rsidRPr="00382917">
        <w:t>which</w:t>
      </w:r>
      <w:r w:rsidR="00EE4FC3">
        <w:t xml:space="preserve"> </w:t>
      </w:r>
      <w:r w:rsidR="00DB6293" w:rsidRPr="00382917">
        <w:t>rain</w:t>
      </w:r>
      <w:r w:rsidR="00EE4FC3">
        <w:t xml:space="preserve"> </w:t>
      </w:r>
      <w:r w:rsidR="00DB6293" w:rsidRPr="00382917">
        <w:t>fell</w:t>
      </w:r>
      <w:r w:rsidR="00EE4FC3">
        <w:t xml:space="preserve"> </w:t>
      </w:r>
      <w:r w:rsidR="00DB6293" w:rsidRPr="00382917">
        <w:t>continually,</w:t>
      </w:r>
      <w:r w:rsidR="00EE4FC3">
        <w:t xml:space="preserve"> </w:t>
      </w:r>
      <w:r w:rsidR="00DB6293" w:rsidRPr="00382917">
        <w:t>increasing</w:t>
      </w:r>
      <w:r w:rsidR="00EE4FC3">
        <w:t xml:space="preserve"> </w:t>
      </w:r>
      <w:r w:rsidR="00DB6293" w:rsidRPr="00382917">
        <w:t>the</w:t>
      </w:r>
      <w:r w:rsidR="00EE4FC3">
        <w:t xml:space="preserve"> </w:t>
      </w:r>
      <w:r w:rsidR="00DB6293" w:rsidRPr="00382917">
        <w:t>damage</w:t>
      </w:r>
      <w:r w:rsidR="00EE4FC3">
        <w:t xml:space="preserve"> </w:t>
      </w:r>
      <w:r w:rsidR="00DB6293" w:rsidRPr="00382917">
        <w:t>so</w:t>
      </w:r>
      <w:r w:rsidR="00EE4FC3">
        <w:t xml:space="preserve"> </w:t>
      </w:r>
      <w:r w:rsidR="00DB6293" w:rsidRPr="00382917">
        <w:t>those</w:t>
      </w:r>
      <w:r w:rsidR="00EE4FC3">
        <w:t xml:space="preserve"> </w:t>
      </w:r>
      <w:r w:rsidR="00DB6293" w:rsidRPr="00382917">
        <w:t>poor</w:t>
      </w:r>
      <w:r w:rsidR="00EE4FC3">
        <w:t xml:space="preserve"> </w:t>
      </w:r>
      <w:r w:rsidR="00DB6293" w:rsidRPr="00382917">
        <w:t>sufferers</w:t>
      </w:r>
      <w:r w:rsidR="00EE4FC3">
        <w:t xml:space="preserve"> </w:t>
      </w:r>
      <w:r w:rsidR="00DB6293" w:rsidRPr="00382917">
        <w:t>dwelt</w:t>
      </w:r>
      <w:r w:rsidR="00EE4FC3">
        <w:t xml:space="preserve"> </w:t>
      </w:r>
      <w:r w:rsidR="00DB6293" w:rsidRPr="00382917">
        <w:t>amidst</w:t>
      </w:r>
      <w:r w:rsidR="00EE4FC3">
        <w:t xml:space="preserve"> </w:t>
      </w:r>
      <w:r w:rsidR="00DB6293" w:rsidRPr="00382917">
        <w:t>mud</w:t>
      </w:r>
      <w:r w:rsidR="00EE4FC3">
        <w:t xml:space="preserve"> </w:t>
      </w:r>
      <w:r w:rsidR="00DB6293" w:rsidRPr="00382917">
        <w:t>and</w:t>
      </w:r>
      <w:r w:rsidR="00EE4FC3">
        <w:t xml:space="preserve"> </w:t>
      </w:r>
      <w:r w:rsidR="00DB6293" w:rsidRPr="00382917">
        <w:t>water</w:t>
      </w:r>
      <w:r w:rsidR="00EE4FC3">
        <w:t xml:space="preserve"> </w:t>
      </w:r>
      <w:r w:rsidR="00DB6293" w:rsidRPr="00382917">
        <w:t>till</w:t>
      </w:r>
      <w:r w:rsidR="00EE4FC3">
        <w:t xml:space="preserve"> </w:t>
      </w:r>
      <w:r w:rsidR="00DB6293" w:rsidRPr="00382917">
        <w:t>their</w:t>
      </w:r>
      <w:r w:rsidR="00EE4FC3">
        <w:t xml:space="preserve"> </w:t>
      </w:r>
      <w:r w:rsidR="00DB6293" w:rsidRPr="00382917">
        <w:t>garments</w:t>
      </w:r>
      <w:r w:rsidR="00EE4FC3">
        <w:t xml:space="preserve"> </w:t>
      </w:r>
      <w:r w:rsidR="00DB6293" w:rsidRPr="00382917">
        <w:t>rotted</w:t>
      </w:r>
      <w:r w:rsidR="00EE4FC3">
        <w:t xml:space="preserve"> </w:t>
      </w:r>
      <w:r w:rsidR="00DB6293" w:rsidRPr="00382917">
        <w:t>away</w:t>
      </w:r>
      <w:r w:rsidR="00EE4FC3">
        <w:t xml:space="preserve"> </w:t>
      </w:r>
      <w:r w:rsidR="00DB6293" w:rsidRPr="00382917">
        <w:t>with</w:t>
      </w:r>
      <w:r w:rsidR="00EE4FC3">
        <w:t xml:space="preserve"> </w:t>
      </w:r>
      <w:r w:rsidR="00DB6293" w:rsidRPr="00382917">
        <w:t>damp.</w:t>
      </w:r>
      <w:r w:rsidRPr="00382917">
        <w:t>”</w:t>
      </w:r>
      <w:r w:rsidR="00962DC1">
        <w:rPr>
          <w:rStyle w:val="FootnoteReference"/>
        </w:rPr>
        <w:footnoteReference w:id="122"/>
      </w:r>
    </w:p>
    <w:p w:rsidR="00DB6293" w:rsidRPr="00382917" w:rsidRDefault="00DB6293" w:rsidP="00DB6293">
      <w:pPr>
        <w:pStyle w:val="Text"/>
      </w:pPr>
      <w:r w:rsidRPr="00382917">
        <w:t>Outraged</w:t>
      </w:r>
      <w:r w:rsidR="00EE4FC3">
        <w:t xml:space="preserve"> </w:t>
      </w:r>
      <w:r w:rsidRPr="00382917">
        <w:t>at</w:t>
      </w:r>
      <w:r w:rsidR="00EE4FC3">
        <w:t xml:space="preserve"> </w:t>
      </w:r>
      <w:r w:rsidRPr="00382917">
        <w:t>their</w:t>
      </w:r>
      <w:r w:rsidR="00EE4FC3">
        <w:t xml:space="preserve"> </w:t>
      </w:r>
      <w:r w:rsidRPr="00382917">
        <w:t>failure</w:t>
      </w:r>
      <w:r w:rsidR="00EE4FC3">
        <w:t xml:space="preserve"> </w:t>
      </w:r>
      <w:r w:rsidRPr="00382917">
        <w:t>to</w:t>
      </w:r>
      <w:r w:rsidR="00EE4FC3">
        <w:t xml:space="preserve"> </w:t>
      </w:r>
      <w:r w:rsidRPr="00382917">
        <w:t>conquer</w:t>
      </w:r>
      <w:r w:rsidR="00EE4FC3">
        <w:t xml:space="preserve"> </w:t>
      </w:r>
      <w:r w:rsidRPr="00382917">
        <w:t>this</w:t>
      </w:r>
      <w:r w:rsidR="00EE4FC3">
        <w:t xml:space="preserve"> </w:t>
      </w:r>
      <w:r w:rsidRPr="00382917">
        <w:t>pitiful</w:t>
      </w:r>
      <w:r w:rsidR="00EE4FC3">
        <w:t xml:space="preserve"> </w:t>
      </w:r>
      <w:r w:rsidRPr="00382917">
        <w:t>band</w:t>
      </w:r>
      <w:r w:rsidR="00EE4FC3">
        <w:t xml:space="preserve"> </w:t>
      </w:r>
      <w:r w:rsidRPr="00382917">
        <w:t>of</w:t>
      </w:r>
      <w:r w:rsidR="00EE4FC3">
        <w:t xml:space="preserve"> </w:t>
      </w:r>
      <w:r w:rsidRPr="00382917">
        <w:t>untrained</w:t>
      </w:r>
      <w:r w:rsidR="00EE4FC3">
        <w:t xml:space="preserve"> </w:t>
      </w:r>
      <w:r w:rsidRPr="00382917">
        <w:t>students,</w:t>
      </w:r>
      <w:r w:rsidR="00EE4FC3">
        <w:t xml:space="preserve"> </w:t>
      </w:r>
      <w:r w:rsidRPr="00382917">
        <w:t>the</w:t>
      </w:r>
      <w:r w:rsidR="00EE4FC3">
        <w:t xml:space="preserve"> </w:t>
      </w:r>
      <w:r w:rsidRPr="00382917">
        <w:t>leading</w:t>
      </w:r>
      <w:r w:rsidR="00EE4FC3">
        <w:t xml:space="preserve"> </w:t>
      </w:r>
      <w:r w:rsidRPr="00382917">
        <w:t>officers</w:t>
      </w:r>
      <w:r w:rsidR="00EE4FC3">
        <w:t xml:space="preserve"> </w:t>
      </w:r>
      <w:r w:rsidRPr="00382917">
        <w:t>of</w:t>
      </w:r>
      <w:r w:rsidR="00EE4FC3">
        <w:t xml:space="preserve"> </w:t>
      </w:r>
      <w:r w:rsidRPr="00382917">
        <w:t>the</w:t>
      </w:r>
      <w:r w:rsidR="00EE4FC3">
        <w:t xml:space="preserve"> </w:t>
      </w:r>
      <w:r w:rsidRPr="00382917">
        <w:t>army,</w:t>
      </w:r>
      <w:r w:rsidR="00EE4FC3">
        <w:t xml:space="preserve"> </w:t>
      </w:r>
      <w:r w:rsidRPr="00382917">
        <w:t>under</w:t>
      </w:r>
      <w:r w:rsidR="00EE4FC3">
        <w:t xml:space="preserve"> </w:t>
      </w:r>
      <w:r w:rsidRPr="00382917">
        <w:t>the</w:t>
      </w:r>
      <w:r w:rsidR="00EE4FC3">
        <w:t xml:space="preserve"> </w:t>
      </w:r>
      <w:r w:rsidRPr="00382917">
        <w:t>command</w:t>
      </w:r>
      <w:r w:rsidR="00EE4FC3">
        <w:t xml:space="preserve"> </w:t>
      </w:r>
      <w:r w:rsidRPr="00382917">
        <w:t>of</w:t>
      </w:r>
      <w:r w:rsidR="00EE4FC3">
        <w:t xml:space="preserve"> </w:t>
      </w:r>
      <w:r w:rsidRPr="00382917">
        <w:t>the</w:t>
      </w:r>
      <w:r w:rsidR="00EE4FC3">
        <w:t xml:space="preserve"> </w:t>
      </w:r>
      <w:r w:rsidRPr="00382917">
        <w:t>prince,</w:t>
      </w:r>
      <w:r w:rsidR="00EE4FC3">
        <w:t xml:space="preserve"> </w:t>
      </w:r>
      <w:r w:rsidRPr="00382917">
        <w:t>gathered</w:t>
      </w:r>
      <w:r w:rsidR="00EE4FC3">
        <w:t xml:space="preserve"> </w:t>
      </w:r>
      <w:r w:rsidRPr="00382917">
        <w:t>a</w:t>
      </w:r>
      <w:r w:rsidR="00EE4FC3">
        <w:t xml:space="preserve"> </w:t>
      </w:r>
      <w:r w:rsidRPr="00382917">
        <w:t>huge</w:t>
      </w:r>
      <w:r w:rsidR="00EE4FC3">
        <w:t xml:space="preserve"> </w:t>
      </w:r>
      <w:r w:rsidRPr="00382917">
        <w:t>force</w:t>
      </w:r>
      <w:r w:rsidR="00EE4FC3">
        <w:t xml:space="preserve"> </w:t>
      </w:r>
      <w:r w:rsidRPr="00382917">
        <w:t>and</w:t>
      </w:r>
      <w:r w:rsidR="00EE4FC3">
        <w:t xml:space="preserve"> </w:t>
      </w:r>
      <w:r w:rsidRPr="00382917">
        <w:t>constructed</w:t>
      </w:r>
      <w:r w:rsidR="00EE4FC3">
        <w:t xml:space="preserve"> </w:t>
      </w:r>
      <w:r w:rsidRPr="00382917">
        <w:t>trenches</w:t>
      </w:r>
      <w:r w:rsidR="00EE4FC3">
        <w:t xml:space="preserve"> </w:t>
      </w:r>
      <w:r w:rsidRPr="00382917">
        <w:t>and</w:t>
      </w:r>
      <w:r w:rsidR="00EE4FC3">
        <w:t xml:space="preserve"> </w:t>
      </w:r>
      <w:r w:rsidRPr="00382917">
        <w:t>barricades</w:t>
      </w:r>
      <w:r w:rsidR="00B71244">
        <w:t>.</w:t>
      </w:r>
      <w:r w:rsidR="00EE4FC3">
        <w:t xml:space="preserve">  </w:t>
      </w:r>
      <w:r w:rsidRPr="00382917">
        <w:t>They</w:t>
      </w:r>
      <w:r w:rsidR="00EE4FC3">
        <w:t xml:space="preserve"> </w:t>
      </w:r>
      <w:r w:rsidRPr="00382917">
        <w:t>brought</w:t>
      </w:r>
      <w:r w:rsidR="00EE4FC3">
        <w:t xml:space="preserve"> </w:t>
      </w:r>
      <w:r w:rsidRPr="00382917">
        <w:t>up</w:t>
      </w:r>
      <w:r w:rsidR="00EE4FC3">
        <w:t xml:space="preserve"> </w:t>
      </w:r>
      <w:r w:rsidRPr="00382917">
        <w:t>more</w:t>
      </w:r>
      <w:r w:rsidR="00EE4FC3">
        <w:t xml:space="preserve"> </w:t>
      </w:r>
      <w:r w:rsidRPr="00382917">
        <w:t>cannon</w:t>
      </w:r>
      <w:r w:rsidR="00EE4FC3">
        <w:t xml:space="preserve"> </w:t>
      </w:r>
      <w:r w:rsidRPr="00382917">
        <w:t>and</w:t>
      </w:r>
      <w:r w:rsidR="00EE4FC3">
        <w:t xml:space="preserve"> </w:t>
      </w:r>
      <w:r w:rsidRPr="00382917">
        <w:t>cannon-balls.</w:t>
      </w:r>
    </w:p>
    <w:p w:rsidR="00DB6293" w:rsidRPr="00382917" w:rsidRDefault="00DB6293">
      <w:pPr>
        <w:widowControl/>
        <w:kinsoku/>
        <w:overflowPunct/>
        <w:textAlignment w:val="auto"/>
      </w:pPr>
      <w:r w:rsidRPr="00382917">
        <w:br w:type="page"/>
      </w:r>
    </w:p>
    <w:p w:rsidR="00DB6293" w:rsidRPr="00382917" w:rsidRDefault="00DB6293" w:rsidP="00DB6293">
      <w:pPr>
        <w:pStyle w:val="Textcts"/>
      </w:pPr>
      <w:r w:rsidRPr="00382917">
        <w:t>They</w:t>
      </w:r>
      <w:r w:rsidR="00EE4FC3">
        <w:t xml:space="preserve"> </w:t>
      </w:r>
      <w:r w:rsidRPr="00382917">
        <w:t>hurled</w:t>
      </w:r>
      <w:r w:rsidR="00EE4FC3">
        <w:t xml:space="preserve"> </w:t>
      </w:r>
      <w:r w:rsidRPr="00382917">
        <w:t>flaming</w:t>
      </w:r>
      <w:r w:rsidR="00EE4FC3">
        <w:t xml:space="preserve"> </w:t>
      </w:r>
      <w:r w:rsidRPr="00382917">
        <w:t>projectiles</w:t>
      </w:r>
      <w:r w:rsidR="00EE4FC3">
        <w:t xml:space="preserve"> </w:t>
      </w:r>
      <w:r w:rsidRPr="00382917">
        <w:t>into</w:t>
      </w:r>
      <w:r w:rsidR="00EE4FC3">
        <w:t xml:space="preserve"> </w:t>
      </w:r>
      <w:r w:rsidRPr="00382917">
        <w:t>the</w:t>
      </w:r>
      <w:r w:rsidR="00EE4FC3">
        <w:t xml:space="preserve"> </w:t>
      </w:r>
      <w:r w:rsidRPr="00382917">
        <w:t>fort</w:t>
      </w:r>
      <w:r w:rsidR="00EE4FC3">
        <w:t xml:space="preserve"> </w:t>
      </w:r>
      <w:r w:rsidRPr="00382917">
        <w:t>and</w:t>
      </w:r>
      <w:r w:rsidR="00EE4FC3">
        <w:t xml:space="preserve"> </w:t>
      </w:r>
      <w:r w:rsidRPr="00382917">
        <w:t>gave</w:t>
      </w:r>
      <w:r w:rsidR="00EE4FC3">
        <w:t xml:space="preserve"> </w:t>
      </w:r>
      <w:r w:rsidRPr="00382917">
        <w:t>orders</w:t>
      </w:r>
      <w:r w:rsidR="00EE4FC3">
        <w:t xml:space="preserve"> </w:t>
      </w:r>
      <w:r w:rsidRPr="00382917">
        <w:t>to</w:t>
      </w:r>
      <w:r w:rsidR="00EE4FC3">
        <w:t xml:space="preserve"> </w:t>
      </w:r>
      <w:r w:rsidRPr="00382917">
        <w:t>begin</w:t>
      </w:r>
      <w:r w:rsidR="00EE4FC3">
        <w:t xml:space="preserve"> </w:t>
      </w:r>
      <w:r w:rsidRPr="00382917">
        <w:t>a</w:t>
      </w:r>
      <w:r w:rsidR="00EE4FC3">
        <w:t xml:space="preserve"> </w:t>
      </w:r>
      <w:r w:rsidRPr="00382917">
        <w:t>heavy</w:t>
      </w:r>
      <w:r w:rsidR="00EE4FC3">
        <w:t xml:space="preserve"> </w:t>
      </w:r>
      <w:r w:rsidRPr="00382917">
        <w:t>bombardment.</w:t>
      </w:r>
    </w:p>
    <w:p w:rsidR="00DB6293" w:rsidRPr="00382917" w:rsidRDefault="00DB6293" w:rsidP="00306C86">
      <w:pPr>
        <w:pStyle w:val="Text"/>
      </w:pPr>
      <w:proofErr w:type="spellStart"/>
      <w:r w:rsidRPr="00382917">
        <w:t>Gobineau</w:t>
      </w:r>
      <w:proofErr w:type="spellEnd"/>
      <w:r w:rsidR="00EE4FC3">
        <w:t xml:space="preserve"> </w:t>
      </w:r>
      <w:r w:rsidRPr="00382917">
        <w:t>states</w:t>
      </w:r>
      <w:r w:rsidR="00EE4FC3">
        <w:t xml:space="preserve"> </w:t>
      </w:r>
      <w:r w:rsidRPr="00382917">
        <w:t>in</w:t>
      </w:r>
      <w:r w:rsidR="00EE4FC3">
        <w:t xml:space="preserve"> </w:t>
      </w:r>
      <w:r w:rsidRPr="00382917">
        <w:t>his</w:t>
      </w:r>
      <w:r w:rsidR="00EE4FC3">
        <w:t xml:space="preserve"> </w:t>
      </w:r>
      <w:r w:rsidRPr="00382917">
        <w:t>book,</w:t>
      </w:r>
      <w:r w:rsidR="00EE4FC3">
        <w:t xml:space="preserve"> </w:t>
      </w:r>
      <w:r w:rsidR="009C713D" w:rsidRPr="00382917">
        <w:t>“</w:t>
      </w:r>
      <w:r w:rsidRPr="00382917">
        <w:t>In</w:t>
      </w:r>
      <w:r w:rsidR="00EE4FC3">
        <w:t xml:space="preserve"> </w:t>
      </w:r>
      <w:r w:rsidRPr="00382917">
        <w:t>a</w:t>
      </w:r>
      <w:r w:rsidR="00EE4FC3">
        <w:t xml:space="preserve"> </w:t>
      </w:r>
      <w:r w:rsidRPr="00382917">
        <w:t>very</w:t>
      </w:r>
      <w:r w:rsidR="00EE4FC3">
        <w:t xml:space="preserve"> </w:t>
      </w:r>
      <w:r w:rsidRPr="00382917">
        <w:t>short</w:t>
      </w:r>
      <w:r w:rsidR="00EE4FC3">
        <w:t xml:space="preserve"> </w:t>
      </w:r>
      <w:r w:rsidRPr="00382917">
        <w:t>time,</w:t>
      </w:r>
      <w:r w:rsidR="00EE4FC3">
        <w:t xml:space="preserve"> </w:t>
      </w:r>
      <w:r w:rsidRPr="00382917">
        <w:t>the</w:t>
      </w:r>
      <w:r w:rsidR="00EE4FC3">
        <w:t xml:space="preserve"> </w:t>
      </w:r>
      <w:r w:rsidRPr="00382917">
        <w:t>outer</w:t>
      </w:r>
      <w:r w:rsidR="00EE4FC3">
        <w:t xml:space="preserve"> </w:t>
      </w:r>
      <w:proofErr w:type="spellStart"/>
      <w:r w:rsidRPr="00382917">
        <w:t>defenses</w:t>
      </w:r>
      <w:proofErr w:type="spellEnd"/>
      <w:r w:rsidR="00EE4FC3">
        <w:t xml:space="preserve"> </w:t>
      </w:r>
      <w:r w:rsidRPr="00382917">
        <w:t>of</w:t>
      </w:r>
      <w:r w:rsidR="00EE4FC3">
        <w:t xml:space="preserve"> </w:t>
      </w:r>
      <w:r w:rsidRPr="00382917">
        <w:t>the</w:t>
      </w:r>
      <w:r w:rsidR="00EE4FC3">
        <w:t xml:space="preserve"> </w:t>
      </w:r>
      <w:r w:rsidRPr="00382917">
        <w:t>fortress</w:t>
      </w:r>
      <w:r w:rsidR="00EE4FC3">
        <w:t xml:space="preserve"> </w:t>
      </w:r>
      <w:r w:rsidRPr="00382917">
        <w:t>were</w:t>
      </w:r>
      <w:r w:rsidR="00EE4FC3">
        <w:t xml:space="preserve"> </w:t>
      </w:r>
      <w:r w:rsidRPr="00382917">
        <w:t>dismantled;</w:t>
      </w:r>
      <w:r w:rsidR="00EE4FC3">
        <w:t xml:space="preserve"> </w:t>
      </w:r>
      <w:r w:rsidRPr="00382917">
        <w:t>nothing</w:t>
      </w:r>
      <w:r w:rsidR="00EE4FC3">
        <w:t xml:space="preserve"> </w:t>
      </w:r>
      <w:r w:rsidRPr="00382917">
        <w:t>was</w:t>
      </w:r>
      <w:r w:rsidR="00EE4FC3">
        <w:t xml:space="preserve"> </w:t>
      </w:r>
      <w:r w:rsidRPr="00382917">
        <w:t>left</w:t>
      </w:r>
      <w:r w:rsidR="00EE4FC3">
        <w:t xml:space="preserve"> </w:t>
      </w:r>
      <w:r w:rsidRPr="00382917">
        <w:t>of</w:t>
      </w:r>
      <w:r w:rsidR="00EE4FC3">
        <w:t xml:space="preserve"> </w:t>
      </w:r>
      <w:r w:rsidRPr="00382917">
        <w:t>them</w:t>
      </w:r>
      <w:r w:rsidR="00EE4FC3">
        <w:t xml:space="preserve"> </w:t>
      </w:r>
      <w:r w:rsidRPr="00382917">
        <w:t>but</w:t>
      </w:r>
      <w:r w:rsidR="00EE4FC3">
        <w:t xml:space="preserve"> </w:t>
      </w:r>
      <w:r w:rsidRPr="00382917">
        <w:t>falling</w:t>
      </w:r>
      <w:r w:rsidR="00EE4FC3">
        <w:t xml:space="preserve"> </w:t>
      </w:r>
      <w:r w:rsidRPr="00382917">
        <w:t>girders,</w:t>
      </w:r>
      <w:r w:rsidR="00EE4FC3">
        <w:t xml:space="preserve"> </w:t>
      </w:r>
      <w:r w:rsidRPr="00382917">
        <w:t>smoked</w:t>
      </w:r>
      <w:r w:rsidR="00EE4FC3">
        <w:t xml:space="preserve"> </w:t>
      </w:r>
      <w:r w:rsidRPr="00382917">
        <w:t>and</w:t>
      </w:r>
      <w:r w:rsidR="00EE4FC3">
        <w:t xml:space="preserve"> </w:t>
      </w:r>
      <w:r w:rsidRPr="00382917">
        <w:t>burning</w:t>
      </w:r>
      <w:r w:rsidR="00EE4FC3">
        <w:t xml:space="preserve"> </w:t>
      </w:r>
      <w:r w:rsidRPr="00382917">
        <w:t>timbers,</w:t>
      </w:r>
      <w:r w:rsidR="00EE4FC3">
        <w:t xml:space="preserve"> </w:t>
      </w:r>
      <w:r w:rsidRPr="00382917">
        <w:t>and</w:t>
      </w:r>
      <w:r w:rsidR="00EE4FC3">
        <w:t xml:space="preserve"> </w:t>
      </w:r>
      <w:r w:rsidRPr="00382917">
        <w:t>scattered</w:t>
      </w:r>
      <w:r w:rsidR="00EE4FC3">
        <w:t xml:space="preserve"> </w:t>
      </w:r>
      <w:r w:rsidRPr="00382917">
        <w:t>stones:</w:t>
      </w:r>
      <w:r w:rsidR="009C713D" w:rsidRPr="00382917">
        <w:t>”</w:t>
      </w:r>
      <w:r w:rsidR="00306C86">
        <w:rPr>
          <w:rStyle w:val="FootnoteReference"/>
        </w:rPr>
        <w:footnoteReference w:id="123"/>
      </w:r>
    </w:p>
    <w:p w:rsidR="00DB6293" w:rsidRPr="00382917" w:rsidRDefault="00DB6293" w:rsidP="00DB6293">
      <w:pPr>
        <w:pStyle w:val="Text"/>
      </w:pPr>
      <w:r w:rsidRPr="00382917">
        <w:t>While</w:t>
      </w:r>
      <w:r w:rsidR="00EE4FC3">
        <w:t xml:space="preserve"> </w:t>
      </w:r>
      <w:r w:rsidRPr="00382917">
        <w:t>the</w:t>
      </w:r>
      <w:r w:rsidR="00EE4FC3">
        <w:t xml:space="preserve"> </w:t>
      </w:r>
      <w:r w:rsidRPr="00382917">
        <w:t>bombardment</w:t>
      </w:r>
      <w:r w:rsidR="00EE4FC3">
        <w:t xml:space="preserve"> </w:t>
      </w:r>
      <w:r w:rsidRPr="00382917">
        <w:t>was</w:t>
      </w:r>
      <w:r w:rsidR="00EE4FC3">
        <w:t xml:space="preserve"> </w:t>
      </w:r>
      <w:r w:rsidRPr="00382917">
        <w:t>in</w:t>
      </w:r>
      <w:r w:rsidR="00EE4FC3">
        <w:t xml:space="preserve"> </w:t>
      </w:r>
      <w:r w:rsidRPr="00382917">
        <w:t>process,</w:t>
      </w:r>
      <w:r w:rsidR="00EE4FC3">
        <w:t xml:space="preserve"> </w:t>
      </w:r>
      <w:r w:rsidRPr="00382917">
        <w:t>Quddús</w:t>
      </w:r>
      <w:r w:rsidR="00EE4FC3">
        <w:t xml:space="preserve"> </w:t>
      </w:r>
      <w:r w:rsidRPr="00382917">
        <w:t>emerged</w:t>
      </w:r>
      <w:r w:rsidR="00EE4FC3">
        <w:t xml:space="preserve"> </w:t>
      </w:r>
      <w:r w:rsidRPr="00382917">
        <w:t>from</w:t>
      </w:r>
      <w:r w:rsidR="00EE4FC3">
        <w:t xml:space="preserve"> </w:t>
      </w:r>
      <w:r w:rsidRPr="00382917">
        <w:t>his</w:t>
      </w:r>
      <w:r w:rsidR="00EE4FC3">
        <w:t xml:space="preserve"> </w:t>
      </w:r>
      <w:r w:rsidRPr="00382917">
        <w:t>shelter</w:t>
      </w:r>
      <w:r w:rsidR="00EE4FC3">
        <w:t xml:space="preserve"> </w:t>
      </w:r>
      <w:r w:rsidRPr="00382917">
        <w:t>and</w:t>
      </w:r>
      <w:r w:rsidR="00EE4FC3">
        <w:t xml:space="preserve"> </w:t>
      </w:r>
      <w:r w:rsidRPr="00382917">
        <w:t>walked</w:t>
      </w:r>
      <w:r w:rsidR="00EE4FC3">
        <w:t xml:space="preserve"> </w:t>
      </w:r>
      <w:r w:rsidRPr="00382917">
        <w:t>to</w:t>
      </w:r>
      <w:r w:rsidR="00EE4FC3">
        <w:t xml:space="preserve"> </w:t>
      </w:r>
      <w:r w:rsidRPr="00382917">
        <w:t>the</w:t>
      </w:r>
      <w:r w:rsidR="00EE4FC3">
        <w:t xml:space="preserve"> </w:t>
      </w:r>
      <w:proofErr w:type="spellStart"/>
      <w:r w:rsidRPr="00382917">
        <w:t>center</w:t>
      </w:r>
      <w:proofErr w:type="spellEnd"/>
      <w:r w:rsidR="00EE4FC3">
        <w:t xml:space="preserve"> </w:t>
      </w:r>
      <w:r w:rsidRPr="00382917">
        <w:t>of</w:t>
      </w:r>
      <w:r w:rsidR="00EE4FC3">
        <w:t xml:space="preserve"> </w:t>
      </w:r>
      <w:r w:rsidRPr="00382917">
        <w:t>the</w:t>
      </w:r>
      <w:r w:rsidR="00EE4FC3">
        <w:t xml:space="preserve"> </w:t>
      </w:r>
      <w:r w:rsidRPr="00382917">
        <w:t>fort</w:t>
      </w:r>
      <w:r w:rsidR="00B71244">
        <w:t>.</w:t>
      </w:r>
      <w:r w:rsidR="00EE4FC3">
        <w:t xml:space="preserve">  </w:t>
      </w:r>
      <w:r w:rsidRPr="00382917">
        <w:t>His</w:t>
      </w:r>
      <w:r w:rsidR="00EE4FC3">
        <w:t xml:space="preserve"> </w:t>
      </w:r>
      <w:r w:rsidRPr="00382917">
        <w:t>manner</w:t>
      </w:r>
      <w:r w:rsidR="00EE4FC3">
        <w:t xml:space="preserve"> </w:t>
      </w:r>
      <w:r w:rsidRPr="00382917">
        <w:t>was</w:t>
      </w:r>
      <w:r w:rsidR="00EE4FC3">
        <w:t xml:space="preserve"> </w:t>
      </w:r>
      <w:r w:rsidRPr="00382917">
        <w:t>one</w:t>
      </w:r>
      <w:r w:rsidR="00EE4FC3">
        <w:t xml:space="preserve"> </w:t>
      </w:r>
      <w:r w:rsidRPr="00382917">
        <w:t>of</w:t>
      </w:r>
      <w:r w:rsidR="00EE4FC3">
        <w:t xml:space="preserve"> </w:t>
      </w:r>
      <w:r w:rsidRPr="00382917">
        <w:t>the</w:t>
      </w:r>
      <w:r w:rsidR="00EE4FC3">
        <w:t xml:space="preserve"> </w:t>
      </w:r>
      <w:r w:rsidRPr="00382917">
        <w:t>greatest</w:t>
      </w:r>
      <w:r w:rsidR="00EE4FC3">
        <w:t xml:space="preserve"> </w:t>
      </w:r>
      <w:r w:rsidRPr="00382917">
        <w:t>tranquillity</w:t>
      </w:r>
      <w:r w:rsidR="00B71244">
        <w:t>.</w:t>
      </w:r>
      <w:r w:rsidR="00EE4FC3">
        <w:t xml:space="preserve">  </w:t>
      </w:r>
      <w:r w:rsidRPr="00382917">
        <w:t>A</w:t>
      </w:r>
      <w:r w:rsidR="00EE4FC3">
        <w:t xml:space="preserve"> </w:t>
      </w:r>
      <w:r w:rsidRPr="00382917">
        <w:t>cannon-ball</w:t>
      </w:r>
      <w:r w:rsidR="00EE4FC3">
        <w:t xml:space="preserve"> </w:t>
      </w:r>
      <w:r w:rsidRPr="00382917">
        <w:t>fell</w:t>
      </w:r>
      <w:r w:rsidR="00EE4FC3">
        <w:t xml:space="preserve"> </w:t>
      </w:r>
      <w:r w:rsidRPr="00382917">
        <w:t>suddenly</w:t>
      </w:r>
      <w:r w:rsidR="00EE4FC3">
        <w:t xml:space="preserve"> </w:t>
      </w:r>
      <w:r w:rsidRPr="00382917">
        <w:t>into</w:t>
      </w:r>
      <w:r w:rsidR="00EE4FC3">
        <w:t xml:space="preserve"> </w:t>
      </w:r>
      <w:r w:rsidRPr="00382917">
        <w:t>the</w:t>
      </w:r>
      <w:r w:rsidR="00EE4FC3">
        <w:t xml:space="preserve"> </w:t>
      </w:r>
      <w:r w:rsidRPr="00382917">
        <w:t>fort</w:t>
      </w:r>
      <w:r w:rsidR="00B71244">
        <w:t>.</w:t>
      </w:r>
      <w:r w:rsidR="00EE4FC3">
        <w:t xml:space="preserve">  </w:t>
      </w:r>
      <w:r w:rsidRPr="00382917">
        <w:t>It</w:t>
      </w:r>
      <w:r w:rsidR="00EE4FC3">
        <w:t xml:space="preserve"> </w:t>
      </w:r>
      <w:r w:rsidRPr="00382917">
        <w:t>embedded</w:t>
      </w:r>
      <w:r w:rsidR="00EE4FC3">
        <w:t xml:space="preserve"> </w:t>
      </w:r>
      <w:r w:rsidRPr="00382917">
        <w:t>itself</w:t>
      </w:r>
      <w:r w:rsidR="00EE4FC3">
        <w:t xml:space="preserve"> </w:t>
      </w:r>
      <w:r w:rsidRPr="00382917">
        <w:t>in</w:t>
      </w:r>
      <w:r w:rsidR="00EE4FC3">
        <w:t xml:space="preserve"> </w:t>
      </w:r>
      <w:r w:rsidRPr="00382917">
        <w:t>the</w:t>
      </w:r>
      <w:r w:rsidR="00EE4FC3">
        <w:t xml:space="preserve"> </w:t>
      </w:r>
      <w:r w:rsidRPr="00382917">
        <w:t>earth</w:t>
      </w:r>
      <w:r w:rsidR="00EE4FC3">
        <w:t xml:space="preserve"> </w:t>
      </w:r>
      <w:r w:rsidRPr="00382917">
        <w:t>before</w:t>
      </w:r>
      <w:r w:rsidR="00EE4FC3">
        <w:t xml:space="preserve"> </w:t>
      </w:r>
      <w:r w:rsidRPr="00382917">
        <w:t>him,</w:t>
      </w:r>
      <w:r w:rsidR="00EE4FC3">
        <w:t xml:space="preserve"> </w:t>
      </w:r>
      <w:proofErr w:type="gramStart"/>
      <w:r w:rsidRPr="00382917">
        <w:t>then</w:t>
      </w:r>
      <w:proofErr w:type="gramEnd"/>
      <w:r w:rsidR="00EE4FC3">
        <w:t xml:space="preserve"> </w:t>
      </w:r>
      <w:r w:rsidRPr="00382917">
        <w:t>rolled</w:t>
      </w:r>
      <w:r w:rsidR="00EE4FC3">
        <w:t xml:space="preserve"> </w:t>
      </w:r>
      <w:r w:rsidRPr="00382917">
        <w:t>free</w:t>
      </w:r>
      <w:r w:rsidR="00B71244">
        <w:t>.</w:t>
      </w:r>
      <w:r w:rsidR="00EE4FC3">
        <w:t xml:space="preserve">  </w:t>
      </w:r>
      <w:r w:rsidRPr="00382917">
        <w:t>It</w:t>
      </w:r>
      <w:r w:rsidR="00EE4FC3">
        <w:t xml:space="preserve"> </w:t>
      </w:r>
      <w:r w:rsidRPr="00382917">
        <w:t>came</w:t>
      </w:r>
      <w:r w:rsidR="00EE4FC3">
        <w:t xml:space="preserve"> </w:t>
      </w:r>
      <w:r w:rsidRPr="00382917">
        <w:t>to</w:t>
      </w:r>
      <w:r w:rsidR="00EE4FC3">
        <w:t xml:space="preserve"> </w:t>
      </w:r>
      <w:r w:rsidRPr="00382917">
        <w:t>a</w:t>
      </w:r>
      <w:r w:rsidR="00EE4FC3">
        <w:t xml:space="preserve"> </w:t>
      </w:r>
      <w:r w:rsidRPr="00382917">
        <w:t>stop</w:t>
      </w:r>
      <w:r w:rsidR="00EE4FC3">
        <w:t xml:space="preserve"> </w:t>
      </w:r>
      <w:r w:rsidRPr="00382917">
        <w:t>in</w:t>
      </w:r>
      <w:r w:rsidR="00EE4FC3">
        <w:t xml:space="preserve"> </w:t>
      </w:r>
      <w:r w:rsidRPr="00382917">
        <w:t>front</w:t>
      </w:r>
      <w:r w:rsidR="00EE4FC3">
        <w:t xml:space="preserve"> </w:t>
      </w:r>
      <w:r w:rsidRPr="00382917">
        <w:t>of</w:t>
      </w:r>
      <w:r w:rsidR="00EE4FC3">
        <w:t xml:space="preserve"> </w:t>
      </w:r>
      <w:r w:rsidRPr="00382917">
        <w:t>him</w:t>
      </w:r>
      <w:r w:rsidR="00B71244">
        <w:t>.</w:t>
      </w:r>
      <w:r w:rsidR="00EE4FC3">
        <w:t xml:space="preserve">  </w:t>
      </w:r>
      <w:r w:rsidRPr="00382917">
        <w:t>Calmly</w:t>
      </w:r>
      <w:r w:rsidR="00EE4FC3">
        <w:t xml:space="preserve"> </w:t>
      </w:r>
      <w:r w:rsidRPr="00382917">
        <w:t>Quddús</w:t>
      </w:r>
      <w:r w:rsidR="00EE4FC3">
        <w:t xml:space="preserve"> </w:t>
      </w:r>
      <w:r w:rsidRPr="00382917">
        <w:t>placed</w:t>
      </w:r>
      <w:r w:rsidR="00EE4FC3">
        <w:t xml:space="preserve"> </w:t>
      </w:r>
      <w:r w:rsidRPr="00382917">
        <w:t>his</w:t>
      </w:r>
      <w:r w:rsidR="00EE4FC3">
        <w:t xml:space="preserve"> </w:t>
      </w:r>
      <w:r w:rsidRPr="00382917">
        <w:t>foot</w:t>
      </w:r>
      <w:r w:rsidR="00EE4FC3">
        <w:t xml:space="preserve"> </w:t>
      </w:r>
      <w:r w:rsidRPr="00382917">
        <w:t>on</w:t>
      </w:r>
      <w:r w:rsidR="00EE4FC3">
        <w:t xml:space="preserve"> </w:t>
      </w:r>
      <w:r w:rsidRPr="00382917">
        <w:t>it</w:t>
      </w:r>
      <w:r w:rsidR="00EE4FC3">
        <w:t xml:space="preserve"> </w:t>
      </w:r>
      <w:r w:rsidRPr="00382917">
        <w:t>and</w:t>
      </w:r>
      <w:r w:rsidR="00EE4FC3">
        <w:t xml:space="preserve"> </w:t>
      </w:r>
      <w:r w:rsidRPr="00382917">
        <w:t>rolled</w:t>
      </w:r>
      <w:r w:rsidR="00EE4FC3">
        <w:t xml:space="preserve"> </w:t>
      </w:r>
      <w:r w:rsidRPr="00382917">
        <w:t>it</w:t>
      </w:r>
      <w:r w:rsidR="00EE4FC3">
        <w:t xml:space="preserve"> </w:t>
      </w:r>
      <w:r w:rsidRPr="00382917">
        <w:t>back</w:t>
      </w:r>
      <w:r w:rsidR="00EE4FC3">
        <w:t xml:space="preserve"> </w:t>
      </w:r>
      <w:r w:rsidRPr="00382917">
        <w:t>and</w:t>
      </w:r>
      <w:r w:rsidR="00EE4FC3">
        <w:t xml:space="preserve"> </w:t>
      </w:r>
      <w:r w:rsidRPr="00382917">
        <w:t>forth.</w:t>
      </w:r>
    </w:p>
    <w:p w:rsidR="00DB6293" w:rsidRPr="00382917" w:rsidRDefault="009C713D" w:rsidP="00DB6293">
      <w:pPr>
        <w:pStyle w:val="Text"/>
      </w:pPr>
      <w:r w:rsidRPr="00382917">
        <w:t>“</w:t>
      </w:r>
      <w:r w:rsidR="00DB6293" w:rsidRPr="00382917">
        <w:t>How</w:t>
      </w:r>
      <w:r w:rsidR="00EE4FC3">
        <w:t xml:space="preserve"> </w:t>
      </w:r>
      <w:r w:rsidR="00DB6293" w:rsidRPr="00382917">
        <w:t>utterly</w:t>
      </w:r>
      <w:r w:rsidR="00EE4FC3">
        <w:t xml:space="preserve"> </w:t>
      </w:r>
      <w:r w:rsidR="00DB6293" w:rsidRPr="00382917">
        <w:t>unaware,</w:t>
      </w:r>
      <w:r w:rsidRPr="00382917">
        <w:t>”</w:t>
      </w:r>
      <w:r w:rsidR="00EE4FC3">
        <w:t xml:space="preserve"> </w:t>
      </w:r>
      <w:r w:rsidR="00DB6293" w:rsidRPr="00382917">
        <w:t>he</w:t>
      </w:r>
      <w:r w:rsidR="00EE4FC3">
        <w:t xml:space="preserve"> </w:t>
      </w:r>
      <w:r w:rsidR="00DB6293" w:rsidRPr="00382917">
        <w:t>said,</w:t>
      </w:r>
      <w:r w:rsidR="00EE4FC3">
        <w:t xml:space="preserve"> </w:t>
      </w:r>
      <w:r w:rsidRPr="00382917">
        <w:t>“</w:t>
      </w:r>
      <w:r w:rsidR="00DB6293" w:rsidRPr="00382917">
        <w:t>are</w:t>
      </w:r>
      <w:r w:rsidR="00EE4FC3">
        <w:t xml:space="preserve"> </w:t>
      </w:r>
      <w:r w:rsidR="00DB6293" w:rsidRPr="00382917">
        <w:t>these</w:t>
      </w:r>
      <w:r w:rsidR="00EE4FC3">
        <w:t xml:space="preserve"> </w:t>
      </w:r>
      <w:r w:rsidR="00DB6293" w:rsidRPr="00382917">
        <w:t>boastful</w:t>
      </w:r>
      <w:r w:rsidR="00EE4FC3">
        <w:t xml:space="preserve"> </w:t>
      </w:r>
      <w:r w:rsidR="00DB6293" w:rsidRPr="00382917">
        <w:t>aggressors</w:t>
      </w:r>
      <w:r w:rsidR="00EE4FC3">
        <w:t xml:space="preserve"> </w:t>
      </w:r>
      <w:r w:rsidR="00DB6293" w:rsidRPr="00382917">
        <w:t>of</w:t>
      </w:r>
      <w:r w:rsidR="00EE4FC3">
        <w:t xml:space="preserve"> </w:t>
      </w:r>
      <w:r w:rsidR="00DB6293" w:rsidRPr="00382917">
        <w:t>the</w:t>
      </w:r>
      <w:r w:rsidR="00EE4FC3">
        <w:t xml:space="preserve"> </w:t>
      </w:r>
      <w:r w:rsidR="00DB6293" w:rsidRPr="00382917">
        <w:t>power</w:t>
      </w:r>
      <w:r w:rsidR="00EE4FC3">
        <w:t xml:space="preserve"> </w:t>
      </w:r>
      <w:r w:rsidR="00DB6293" w:rsidRPr="00382917">
        <w:t>of</w:t>
      </w:r>
      <w:r w:rsidR="00EE4FC3">
        <w:t xml:space="preserve"> </w:t>
      </w:r>
      <w:r w:rsidR="00DB6293" w:rsidRPr="00382917">
        <w:t>God</w:t>
      </w:r>
      <w:r w:rsidRPr="00382917">
        <w:t>’</w:t>
      </w:r>
      <w:r w:rsidR="00DB6293" w:rsidRPr="00382917">
        <w:t>s</w:t>
      </w:r>
      <w:r w:rsidR="00EE4FC3">
        <w:t xml:space="preserve"> </w:t>
      </w:r>
      <w:r w:rsidR="00DB6293" w:rsidRPr="00382917">
        <w:t>avenging</w:t>
      </w:r>
      <w:r w:rsidR="00EE4FC3">
        <w:t xml:space="preserve"> </w:t>
      </w:r>
      <w:proofErr w:type="gramStart"/>
      <w:r w:rsidR="00DB6293" w:rsidRPr="00382917">
        <w:t>wrath</w:t>
      </w:r>
      <w:r w:rsidR="00B71244">
        <w:t>.</w:t>
      </w:r>
      <w:proofErr w:type="gramEnd"/>
      <w:r w:rsidR="00EE4FC3">
        <w:t xml:space="preserve">  </w:t>
      </w:r>
      <w:r w:rsidR="00DB6293" w:rsidRPr="00382917">
        <w:t>Do</w:t>
      </w:r>
      <w:r w:rsidR="00EE4FC3">
        <w:t xml:space="preserve"> </w:t>
      </w:r>
      <w:r w:rsidR="00DB6293" w:rsidRPr="00382917">
        <w:t>they</w:t>
      </w:r>
      <w:r w:rsidR="00EE4FC3">
        <w:t xml:space="preserve"> </w:t>
      </w:r>
      <w:r w:rsidR="00DB6293" w:rsidRPr="00382917">
        <w:t>seek</w:t>
      </w:r>
      <w:r w:rsidR="00EE4FC3">
        <w:t xml:space="preserve"> </w:t>
      </w:r>
      <w:r w:rsidR="00DB6293" w:rsidRPr="00382917">
        <w:t>to</w:t>
      </w:r>
      <w:r w:rsidR="00EE4FC3">
        <w:t xml:space="preserve"> </w:t>
      </w:r>
      <w:r w:rsidR="00DB6293" w:rsidRPr="00382917">
        <w:t>intimidate</w:t>
      </w:r>
      <w:r w:rsidR="00EE4FC3">
        <w:t xml:space="preserve"> </w:t>
      </w:r>
      <w:r w:rsidR="00DB6293" w:rsidRPr="00382917">
        <w:t>the</w:t>
      </w:r>
      <w:r w:rsidR="00EE4FC3">
        <w:t xml:space="preserve"> </w:t>
      </w:r>
      <w:r w:rsidR="00DB6293" w:rsidRPr="00382917">
        <w:t>heroes</w:t>
      </w:r>
      <w:r w:rsidR="00EE4FC3">
        <w:t xml:space="preserve"> </w:t>
      </w:r>
      <w:r w:rsidR="00DB6293" w:rsidRPr="00382917">
        <w:t>of</w:t>
      </w:r>
      <w:r w:rsidR="00EE4FC3">
        <w:t xml:space="preserve"> </w:t>
      </w:r>
      <w:r w:rsidR="00DB6293" w:rsidRPr="00382917">
        <w:t>God,</w:t>
      </w:r>
      <w:r w:rsidR="00EE4FC3">
        <w:t xml:space="preserve"> </w:t>
      </w:r>
      <w:r w:rsidR="00DB6293" w:rsidRPr="00382917">
        <w:t>in</w:t>
      </w:r>
      <w:r w:rsidR="00EE4FC3">
        <w:t xml:space="preserve"> </w:t>
      </w:r>
      <w:r w:rsidR="00DB6293" w:rsidRPr="00382917">
        <w:t>whose</w:t>
      </w:r>
      <w:r w:rsidR="00EE4FC3">
        <w:t xml:space="preserve"> </w:t>
      </w:r>
      <w:r w:rsidR="00DB6293" w:rsidRPr="00382917">
        <w:t>sight</w:t>
      </w:r>
      <w:r w:rsidR="00EE4FC3">
        <w:t xml:space="preserve"> </w:t>
      </w:r>
      <w:r w:rsidR="00DB6293" w:rsidRPr="00382917">
        <w:t>the</w:t>
      </w:r>
      <w:r w:rsidR="00EE4FC3">
        <w:t xml:space="preserve"> </w:t>
      </w:r>
      <w:r w:rsidR="00DB6293" w:rsidRPr="00382917">
        <w:t>power</w:t>
      </w:r>
      <w:r w:rsidR="00EE4FC3">
        <w:t xml:space="preserve"> </w:t>
      </w:r>
      <w:r w:rsidR="00DB6293" w:rsidRPr="00382917">
        <w:t>of</w:t>
      </w:r>
      <w:r w:rsidR="00EE4FC3">
        <w:t xml:space="preserve"> </w:t>
      </w:r>
      <w:r w:rsidR="00DB6293" w:rsidRPr="00382917">
        <w:t>kings</w:t>
      </w:r>
      <w:r w:rsidR="00EE4FC3">
        <w:t xml:space="preserve"> </w:t>
      </w:r>
      <w:r w:rsidR="00DB6293" w:rsidRPr="00382917">
        <w:t>is</w:t>
      </w:r>
      <w:r w:rsidR="00EE4FC3">
        <w:t xml:space="preserve"> </w:t>
      </w:r>
      <w:r w:rsidR="00DB6293" w:rsidRPr="00382917">
        <w:t>but</w:t>
      </w:r>
      <w:r w:rsidR="00EE4FC3">
        <w:t xml:space="preserve"> </w:t>
      </w:r>
      <w:r w:rsidR="00DB6293" w:rsidRPr="00382917">
        <w:t>an</w:t>
      </w:r>
      <w:r w:rsidR="00EE4FC3">
        <w:t xml:space="preserve"> </w:t>
      </w:r>
      <w:r w:rsidR="00DB6293" w:rsidRPr="00382917">
        <w:t>empty</w:t>
      </w:r>
      <w:r w:rsidR="00EE4FC3">
        <w:t xml:space="preserve"> </w:t>
      </w:r>
      <w:r w:rsidR="00DB6293" w:rsidRPr="00382917">
        <w:t>shadow?</w:t>
      </w:r>
      <w:r w:rsidRPr="00382917">
        <w:t>”</w:t>
      </w:r>
    </w:p>
    <w:p w:rsidR="00DB6293" w:rsidRPr="00382917" w:rsidRDefault="00DB6293" w:rsidP="00DB6293">
      <w:pPr>
        <w:pStyle w:val="Text"/>
      </w:pPr>
      <w:r w:rsidRPr="00382917">
        <w:t>Quddús</w:t>
      </w:r>
      <w:r w:rsidR="00EE4FC3">
        <w:t xml:space="preserve"> </w:t>
      </w:r>
      <w:r w:rsidRPr="00382917">
        <w:t>turned</w:t>
      </w:r>
      <w:r w:rsidR="00EE4FC3">
        <w:t xml:space="preserve"> </w:t>
      </w:r>
      <w:r w:rsidRPr="00382917">
        <w:t>to</w:t>
      </w:r>
      <w:r w:rsidR="00EE4FC3">
        <w:t xml:space="preserve"> </w:t>
      </w:r>
      <w:r w:rsidRPr="00382917">
        <w:t>his</w:t>
      </w:r>
      <w:r w:rsidR="00EE4FC3">
        <w:t xml:space="preserve"> </w:t>
      </w:r>
      <w:r w:rsidRPr="00382917">
        <w:t>friends</w:t>
      </w:r>
      <w:r w:rsidR="00B71244">
        <w:t>.</w:t>
      </w:r>
      <w:r w:rsidR="00EE4FC3">
        <w:t xml:space="preserve">  </w:t>
      </w:r>
      <w:r w:rsidR="009C713D" w:rsidRPr="00382917">
        <w:t>“</w:t>
      </w:r>
      <w:r w:rsidRPr="00382917">
        <w:t>Beware,</w:t>
      </w:r>
      <w:r w:rsidR="009C713D" w:rsidRPr="00382917">
        <w:t>”</w:t>
      </w:r>
      <w:r w:rsidR="00EE4FC3">
        <w:t xml:space="preserve"> </w:t>
      </w:r>
      <w:r w:rsidRPr="00382917">
        <w:t>he</w:t>
      </w:r>
      <w:r w:rsidR="00EE4FC3">
        <w:t xml:space="preserve"> </w:t>
      </w:r>
      <w:r w:rsidRPr="00382917">
        <w:t>cautioned</w:t>
      </w:r>
      <w:r w:rsidR="00EE4FC3">
        <w:t xml:space="preserve"> </w:t>
      </w:r>
      <w:r w:rsidRPr="00382917">
        <w:t>them,</w:t>
      </w:r>
      <w:r w:rsidR="00EE4FC3">
        <w:t xml:space="preserve"> </w:t>
      </w:r>
      <w:r w:rsidR="009C713D" w:rsidRPr="00382917">
        <w:t>“</w:t>
      </w:r>
      <w:r w:rsidRPr="00382917">
        <w:t>lest</w:t>
      </w:r>
      <w:r w:rsidR="00EE4FC3">
        <w:t xml:space="preserve"> </w:t>
      </w:r>
      <w:r w:rsidRPr="00382917">
        <w:t>fear</w:t>
      </w:r>
      <w:r w:rsidR="00EE4FC3">
        <w:t xml:space="preserve"> </w:t>
      </w:r>
      <w:r w:rsidRPr="00382917">
        <w:t>and</w:t>
      </w:r>
      <w:r w:rsidR="00EE4FC3">
        <w:t xml:space="preserve"> </w:t>
      </w:r>
      <w:r w:rsidRPr="00382917">
        <w:t>selfishness</w:t>
      </w:r>
      <w:r w:rsidR="00EE4FC3">
        <w:t xml:space="preserve"> </w:t>
      </w:r>
      <w:r w:rsidRPr="00382917">
        <w:t>steal</w:t>
      </w:r>
      <w:r w:rsidR="00EE4FC3">
        <w:t xml:space="preserve"> </w:t>
      </w:r>
      <w:r w:rsidRPr="00382917">
        <w:t>away</w:t>
      </w:r>
      <w:r w:rsidR="00EE4FC3">
        <w:t xml:space="preserve"> </w:t>
      </w:r>
      <w:r w:rsidRPr="00382917">
        <w:t>your</w:t>
      </w:r>
      <w:r w:rsidR="00EE4FC3">
        <w:t xml:space="preserve"> </w:t>
      </w:r>
      <w:r w:rsidRPr="00382917">
        <w:t>glorious</w:t>
      </w:r>
      <w:r w:rsidR="00EE4FC3">
        <w:t xml:space="preserve"> </w:t>
      </w:r>
      <w:r w:rsidRPr="00382917">
        <w:t>station</w:t>
      </w:r>
      <w:r w:rsidR="00B71244">
        <w:t>.</w:t>
      </w:r>
      <w:r w:rsidR="00EE4FC3">
        <w:t xml:space="preserve">  </w:t>
      </w:r>
      <w:r w:rsidRPr="00382917">
        <w:t>Each</w:t>
      </w:r>
      <w:r w:rsidR="00EE4FC3">
        <w:t xml:space="preserve"> </w:t>
      </w:r>
      <w:r w:rsidRPr="00382917">
        <w:t>one</w:t>
      </w:r>
      <w:r w:rsidR="00EE4FC3">
        <w:t xml:space="preserve"> </w:t>
      </w:r>
      <w:r w:rsidRPr="00382917">
        <w:t>of</w:t>
      </w:r>
      <w:r w:rsidR="00EE4FC3">
        <w:t xml:space="preserve"> </w:t>
      </w:r>
      <w:r w:rsidRPr="00382917">
        <w:t>you</w:t>
      </w:r>
      <w:r w:rsidR="00EE4FC3">
        <w:t xml:space="preserve"> </w:t>
      </w:r>
      <w:r w:rsidRPr="00382917">
        <w:t>has</w:t>
      </w:r>
      <w:r w:rsidR="00EE4FC3">
        <w:t xml:space="preserve"> </w:t>
      </w:r>
      <w:r w:rsidRPr="00382917">
        <w:t>his</w:t>
      </w:r>
      <w:r w:rsidR="00EE4FC3">
        <w:t xml:space="preserve"> </w:t>
      </w:r>
      <w:r w:rsidRPr="00382917">
        <w:t>appointed</w:t>
      </w:r>
      <w:r w:rsidR="00EE4FC3">
        <w:t xml:space="preserve"> </w:t>
      </w:r>
      <w:r w:rsidRPr="00382917">
        <w:t>hour,</w:t>
      </w:r>
      <w:r w:rsidR="00EE4FC3">
        <w:t xml:space="preserve"> </w:t>
      </w:r>
      <w:r w:rsidRPr="00382917">
        <w:t>and</w:t>
      </w:r>
      <w:r w:rsidR="00EE4FC3">
        <w:t xml:space="preserve"> </w:t>
      </w:r>
      <w:r w:rsidRPr="00382917">
        <w:t>when</w:t>
      </w:r>
      <w:r w:rsidR="00EE4FC3">
        <w:t xml:space="preserve"> </w:t>
      </w:r>
      <w:r w:rsidRPr="00382917">
        <w:t>that</w:t>
      </w:r>
      <w:r w:rsidR="00EE4FC3">
        <w:t xml:space="preserve"> </w:t>
      </w:r>
      <w:r w:rsidRPr="00382917">
        <w:t>hour</w:t>
      </w:r>
      <w:r w:rsidR="00EE4FC3">
        <w:t xml:space="preserve"> </w:t>
      </w:r>
      <w:r w:rsidRPr="00382917">
        <w:t>is</w:t>
      </w:r>
      <w:r w:rsidR="00EE4FC3">
        <w:t xml:space="preserve"> </w:t>
      </w:r>
      <w:r w:rsidRPr="00382917">
        <w:t>come</w:t>
      </w:r>
      <w:r w:rsidR="00EE4FC3">
        <w:t xml:space="preserve"> </w:t>
      </w:r>
      <w:r w:rsidRPr="00382917">
        <w:t>neither</w:t>
      </w:r>
      <w:r w:rsidR="00EE4FC3">
        <w:t xml:space="preserve"> </w:t>
      </w:r>
      <w:r w:rsidRPr="00382917">
        <w:t>the</w:t>
      </w:r>
      <w:r w:rsidR="00EE4FC3">
        <w:t xml:space="preserve"> </w:t>
      </w:r>
      <w:r w:rsidRPr="00382917">
        <w:t>assault</w:t>
      </w:r>
      <w:r w:rsidR="00EE4FC3">
        <w:t xml:space="preserve"> </w:t>
      </w:r>
      <w:r w:rsidRPr="00382917">
        <w:t>of</w:t>
      </w:r>
      <w:r w:rsidR="00EE4FC3">
        <w:t xml:space="preserve"> </w:t>
      </w:r>
      <w:r w:rsidRPr="00382917">
        <w:t>the</w:t>
      </w:r>
      <w:r w:rsidR="00EE4FC3">
        <w:t xml:space="preserve"> </w:t>
      </w:r>
      <w:r w:rsidRPr="00382917">
        <w:t>enemy</w:t>
      </w:r>
      <w:r w:rsidR="00EE4FC3">
        <w:t xml:space="preserve"> </w:t>
      </w:r>
      <w:r w:rsidRPr="00382917">
        <w:t>nor</w:t>
      </w:r>
      <w:r w:rsidR="00EE4FC3">
        <w:t xml:space="preserve"> </w:t>
      </w:r>
      <w:r w:rsidRPr="00382917">
        <w:t>the</w:t>
      </w:r>
      <w:r w:rsidR="00EE4FC3">
        <w:t xml:space="preserve"> </w:t>
      </w:r>
      <w:r w:rsidRPr="00382917">
        <w:t>pleading</w:t>
      </w:r>
      <w:r w:rsidR="00EE4FC3">
        <w:t xml:space="preserve"> </w:t>
      </w:r>
      <w:r w:rsidRPr="00382917">
        <w:t>of</w:t>
      </w:r>
      <w:r w:rsidR="00EE4FC3">
        <w:t xml:space="preserve"> </w:t>
      </w:r>
      <w:r w:rsidRPr="00382917">
        <w:t>your</w:t>
      </w:r>
      <w:r w:rsidR="00EE4FC3">
        <w:t xml:space="preserve"> </w:t>
      </w:r>
      <w:r w:rsidRPr="00382917">
        <w:t>friends</w:t>
      </w:r>
      <w:r w:rsidR="00EE4FC3">
        <w:t xml:space="preserve"> </w:t>
      </w:r>
      <w:r w:rsidRPr="00382917">
        <w:t>will</w:t>
      </w:r>
      <w:r w:rsidR="00EE4FC3">
        <w:t xml:space="preserve"> </w:t>
      </w:r>
      <w:r w:rsidRPr="00382917">
        <w:t>be</w:t>
      </w:r>
      <w:r w:rsidR="00EE4FC3">
        <w:t xml:space="preserve"> </w:t>
      </w:r>
      <w:r w:rsidRPr="00382917">
        <w:t>able</w:t>
      </w:r>
      <w:r w:rsidR="00EE4FC3">
        <w:t xml:space="preserve"> </w:t>
      </w:r>
      <w:r w:rsidRPr="00382917">
        <w:t>to</w:t>
      </w:r>
      <w:r w:rsidR="00EE4FC3">
        <w:t xml:space="preserve"> </w:t>
      </w:r>
      <w:r w:rsidRPr="00382917">
        <w:t>retard</w:t>
      </w:r>
      <w:r w:rsidR="00EE4FC3">
        <w:t xml:space="preserve"> </w:t>
      </w:r>
      <w:r w:rsidRPr="00382917">
        <w:t>or</w:t>
      </w:r>
      <w:r w:rsidR="00EE4FC3">
        <w:t xml:space="preserve"> </w:t>
      </w:r>
      <w:r w:rsidRPr="00382917">
        <w:t>advance</w:t>
      </w:r>
      <w:r w:rsidR="00EE4FC3">
        <w:t xml:space="preserve"> </w:t>
      </w:r>
      <w:r w:rsidRPr="00382917">
        <w:t>it</w:t>
      </w:r>
      <w:r w:rsidR="00B71244">
        <w:t>.</w:t>
      </w:r>
      <w:r w:rsidR="00EE4FC3">
        <w:t xml:space="preserve">  </w:t>
      </w:r>
      <w:r w:rsidRPr="00382917">
        <w:t>If</w:t>
      </w:r>
      <w:r w:rsidR="00EE4FC3">
        <w:t xml:space="preserve"> </w:t>
      </w:r>
      <w:r w:rsidRPr="00382917">
        <w:t>you</w:t>
      </w:r>
      <w:r w:rsidR="00EE4FC3">
        <w:t xml:space="preserve"> </w:t>
      </w:r>
      <w:r w:rsidRPr="00382917">
        <w:t>allow</w:t>
      </w:r>
      <w:r w:rsidR="00EE4FC3">
        <w:t xml:space="preserve"> </w:t>
      </w:r>
      <w:r w:rsidRPr="00382917">
        <w:t>your</w:t>
      </w:r>
      <w:r w:rsidR="00EE4FC3">
        <w:t xml:space="preserve"> </w:t>
      </w:r>
      <w:r w:rsidRPr="00382917">
        <w:t>hearts</w:t>
      </w:r>
      <w:r w:rsidR="00EE4FC3">
        <w:t xml:space="preserve"> </w:t>
      </w:r>
      <w:r w:rsidRPr="00382917">
        <w:t>to</w:t>
      </w:r>
      <w:r w:rsidR="00EE4FC3">
        <w:t xml:space="preserve"> </w:t>
      </w:r>
      <w:r w:rsidRPr="00382917">
        <w:t>be</w:t>
      </w:r>
      <w:r w:rsidR="00EE4FC3">
        <w:t xml:space="preserve"> </w:t>
      </w:r>
      <w:r w:rsidRPr="00382917">
        <w:t>frightened</w:t>
      </w:r>
      <w:r w:rsidR="00EE4FC3">
        <w:t xml:space="preserve"> </w:t>
      </w:r>
      <w:r w:rsidRPr="00382917">
        <w:t>by</w:t>
      </w:r>
      <w:r w:rsidR="00EE4FC3">
        <w:t xml:space="preserve"> </w:t>
      </w:r>
      <w:r w:rsidRPr="00382917">
        <w:t>the</w:t>
      </w:r>
      <w:r w:rsidR="00EE4FC3">
        <w:t xml:space="preserve"> </w:t>
      </w:r>
      <w:r w:rsidRPr="00382917">
        <w:t>booming</w:t>
      </w:r>
      <w:r w:rsidR="00EE4FC3">
        <w:t xml:space="preserve"> </w:t>
      </w:r>
      <w:r w:rsidRPr="00382917">
        <w:t>of</w:t>
      </w:r>
      <w:r w:rsidR="00EE4FC3">
        <w:t xml:space="preserve"> </w:t>
      </w:r>
      <w:r w:rsidRPr="00382917">
        <w:t>these</w:t>
      </w:r>
      <w:r w:rsidR="00EE4FC3">
        <w:t xml:space="preserve"> </w:t>
      </w:r>
      <w:r w:rsidRPr="00382917">
        <w:t>guns</w:t>
      </w:r>
      <w:r w:rsidR="00EE4FC3">
        <w:t xml:space="preserve"> </w:t>
      </w:r>
      <w:r w:rsidRPr="00382917">
        <w:t>which</w:t>
      </w:r>
      <w:r w:rsidR="00EE4FC3">
        <w:t xml:space="preserve"> </w:t>
      </w:r>
      <w:r w:rsidRPr="00382917">
        <w:t>with</w:t>
      </w:r>
      <w:r w:rsidR="00EE4FC3">
        <w:t xml:space="preserve"> </w:t>
      </w:r>
      <w:r w:rsidRPr="00382917">
        <w:t>increasing</w:t>
      </w:r>
      <w:r w:rsidR="00EE4FC3">
        <w:t xml:space="preserve"> </w:t>
      </w:r>
      <w:r w:rsidRPr="00382917">
        <w:t>violence</w:t>
      </w:r>
      <w:r w:rsidR="00EE4FC3">
        <w:t xml:space="preserve"> </w:t>
      </w:r>
      <w:r w:rsidRPr="00382917">
        <w:t>will</w:t>
      </w:r>
      <w:r w:rsidR="00EE4FC3">
        <w:t xml:space="preserve"> </w:t>
      </w:r>
      <w:r w:rsidRPr="00382917">
        <w:t>shower</w:t>
      </w:r>
      <w:r w:rsidR="00EE4FC3">
        <w:t xml:space="preserve"> </w:t>
      </w:r>
      <w:r w:rsidRPr="00382917">
        <w:t>their</w:t>
      </w:r>
      <w:r w:rsidR="00EE4FC3">
        <w:t xml:space="preserve"> </w:t>
      </w:r>
      <w:r w:rsidRPr="00382917">
        <w:t>projectiles</w:t>
      </w:r>
      <w:r w:rsidR="00EE4FC3">
        <w:t xml:space="preserve"> </w:t>
      </w:r>
      <w:r w:rsidRPr="00382917">
        <w:t>on</w:t>
      </w:r>
      <w:r w:rsidR="00EE4FC3">
        <w:t xml:space="preserve"> </w:t>
      </w:r>
      <w:r w:rsidRPr="00382917">
        <w:t>this</w:t>
      </w:r>
      <w:r w:rsidR="00EE4FC3">
        <w:t xml:space="preserve"> </w:t>
      </w:r>
      <w:r w:rsidRPr="00382917">
        <w:t>fort,</w:t>
      </w:r>
      <w:r w:rsidR="00EE4FC3">
        <w:t xml:space="preserve"> </w:t>
      </w:r>
      <w:r w:rsidRPr="00382917">
        <w:t>you</w:t>
      </w:r>
      <w:r w:rsidR="00EE4FC3">
        <w:t xml:space="preserve"> </w:t>
      </w:r>
      <w:r w:rsidRPr="00382917">
        <w:t>will</w:t>
      </w:r>
      <w:r w:rsidR="00EE4FC3">
        <w:t xml:space="preserve"> </w:t>
      </w:r>
      <w:r w:rsidRPr="00382917">
        <w:t>have</w:t>
      </w:r>
      <w:r w:rsidR="00EE4FC3">
        <w:t xml:space="preserve"> </w:t>
      </w:r>
      <w:r w:rsidRPr="00382917">
        <w:t>cast</w:t>
      </w:r>
      <w:r w:rsidR="00EE4FC3">
        <w:t xml:space="preserve"> </w:t>
      </w:r>
      <w:r w:rsidRPr="00382917">
        <w:t>yourself</w:t>
      </w:r>
      <w:r w:rsidR="00EE4FC3">
        <w:t xml:space="preserve"> </w:t>
      </w:r>
      <w:r w:rsidRPr="00382917">
        <w:t>out</w:t>
      </w:r>
      <w:r w:rsidR="00EE4FC3">
        <w:t xml:space="preserve"> </w:t>
      </w:r>
      <w:r w:rsidRPr="00382917">
        <w:t>of</w:t>
      </w:r>
      <w:r w:rsidR="00EE4FC3">
        <w:t xml:space="preserve"> </w:t>
      </w:r>
      <w:r w:rsidRPr="00382917">
        <w:t>the</w:t>
      </w:r>
      <w:r w:rsidR="00EE4FC3">
        <w:t xml:space="preserve"> </w:t>
      </w:r>
      <w:r w:rsidRPr="00382917">
        <w:t>stronghold</w:t>
      </w:r>
      <w:r w:rsidR="00EE4FC3">
        <w:t xml:space="preserve"> </w:t>
      </w:r>
      <w:r w:rsidRPr="00382917">
        <w:t>of</w:t>
      </w:r>
      <w:r w:rsidR="00EE4FC3">
        <w:t xml:space="preserve"> </w:t>
      </w:r>
      <w:r w:rsidRPr="00382917">
        <w:t>God</w:t>
      </w:r>
      <w:r w:rsidR="009C713D" w:rsidRPr="00382917">
        <w:t>’</w:t>
      </w:r>
      <w:r w:rsidRPr="00382917">
        <w:t>s</w:t>
      </w:r>
      <w:r w:rsidR="00EE4FC3">
        <w:t xml:space="preserve"> </w:t>
      </w:r>
      <w:r w:rsidRPr="00382917">
        <w:t>protection.</w:t>
      </w:r>
      <w:r w:rsidR="009C713D" w:rsidRPr="00382917">
        <w:t>”</w:t>
      </w:r>
    </w:p>
    <w:p w:rsidR="00DB6293" w:rsidRPr="00382917" w:rsidRDefault="00DB6293" w:rsidP="00DB6293">
      <w:pPr>
        <w:pStyle w:val="Text"/>
      </w:pPr>
      <w:r w:rsidRPr="00382917">
        <w:t>This</w:t>
      </w:r>
      <w:r w:rsidR="00EE4FC3">
        <w:t xml:space="preserve"> </w:t>
      </w:r>
      <w:r w:rsidRPr="00382917">
        <w:t>appeal</w:t>
      </w:r>
      <w:r w:rsidR="00EE4FC3">
        <w:t xml:space="preserve"> </w:t>
      </w:r>
      <w:r w:rsidRPr="00382917">
        <w:t>breathed</w:t>
      </w:r>
      <w:r w:rsidR="00EE4FC3">
        <w:t xml:space="preserve"> </w:t>
      </w:r>
      <w:r w:rsidRPr="00382917">
        <w:t>much-needed</w:t>
      </w:r>
      <w:r w:rsidR="00EE4FC3">
        <w:t xml:space="preserve"> </w:t>
      </w:r>
      <w:r w:rsidRPr="00382917">
        <w:t>confidence</w:t>
      </w:r>
      <w:r w:rsidR="00EE4FC3">
        <w:t xml:space="preserve"> </w:t>
      </w:r>
      <w:r w:rsidRPr="00382917">
        <w:t>into</w:t>
      </w:r>
      <w:r w:rsidR="00EE4FC3">
        <w:t xml:space="preserve"> </w:t>
      </w:r>
      <w:r w:rsidRPr="00382917">
        <w:t>every</w:t>
      </w:r>
      <w:r w:rsidR="00EE4FC3">
        <w:t xml:space="preserve"> </w:t>
      </w:r>
      <w:r w:rsidRPr="00382917">
        <w:t>heart,</w:t>
      </w:r>
      <w:r w:rsidR="00EE4FC3">
        <w:t xml:space="preserve"> </w:t>
      </w:r>
      <w:r w:rsidRPr="00382917">
        <w:t>for</w:t>
      </w:r>
      <w:r w:rsidR="00EE4FC3">
        <w:t xml:space="preserve"> </w:t>
      </w:r>
      <w:r w:rsidRPr="00382917">
        <w:t>their</w:t>
      </w:r>
      <w:r w:rsidR="00EE4FC3">
        <w:t xml:space="preserve"> </w:t>
      </w:r>
      <w:r w:rsidRPr="00382917">
        <w:t>troubles</w:t>
      </w:r>
      <w:r w:rsidR="00EE4FC3">
        <w:t xml:space="preserve"> </w:t>
      </w:r>
      <w:r w:rsidRPr="00382917">
        <w:t>were</w:t>
      </w:r>
      <w:r w:rsidR="00EE4FC3">
        <w:t xml:space="preserve"> </w:t>
      </w:r>
      <w:r w:rsidRPr="00382917">
        <w:t>mounting</w:t>
      </w:r>
      <w:r w:rsidR="00B71244">
        <w:t>.</w:t>
      </w:r>
      <w:r w:rsidR="00EE4FC3">
        <w:t xml:space="preserve">  </w:t>
      </w:r>
      <w:r w:rsidRPr="00382917">
        <w:t>Their</w:t>
      </w:r>
      <w:r w:rsidR="00EE4FC3">
        <w:t xml:space="preserve"> </w:t>
      </w:r>
      <w:r w:rsidRPr="00382917">
        <w:t>food</w:t>
      </w:r>
      <w:r w:rsidR="00EE4FC3">
        <w:t xml:space="preserve"> </w:t>
      </w:r>
      <w:r w:rsidRPr="00382917">
        <w:t>was</w:t>
      </w:r>
      <w:r w:rsidR="00EE4FC3">
        <w:t xml:space="preserve"> </w:t>
      </w:r>
      <w:r w:rsidRPr="00382917">
        <w:t>at</w:t>
      </w:r>
      <w:r w:rsidR="00EE4FC3">
        <w:t xml:space="preserve"> </w:t>
      </w:r>
      <w:r w:rsidRPr="00382917">
        <w:t>last</w:t>
      </w:r>
      <w:r w:rsidR="00EE4FC3">
        <w:t xml:space="preserve"> </w:t>
      </w:r>
      <w:r w:rsidRPr="00382917">
        <w:t>reduced</w:t>
      </w:r>
      <w:r w:rsidR="00EE4FC3">
        <w:t xml:space="preserve"> </w:t>
      </w:r>
      <w:r w:rsidRPr="00382917">
        <w:t>to</w:t>
      </w:r>
      <w:r w:rsidR="00EE4FC3">
        <w:t xml:space="preserve"> </w:t>
      </w:r>
      <w:r w:rsidRPr="00382917">
        <w:t>the</w:t>
      </w:r>
      <w:r w:rsidR="00EE4FC3">
        <w:t xml:space="preserve"> </w:t>
      </w:r>
      <w:r w:rsidRPr="00382917">
        <w:t>flesh</w:t>
      </w:r>
      <w:r w:rsidR="00EE4FC3">
        <w:t xml:space="preserve"> </w:t>
      </w:r>
      <w:r w:rsidRPr="00382917">
        <w:t>of</w:t>
      </w:r>
      <w:r w:rsidR="00EE4FC3">
        <w:t xml:space="preserve"> </w:t>
      </w:r>
      <w:r w:rsidRPr="00382917">
        <w:t>the</w:t>
      </w:r>
      <w:r w:rsidR="00EE4FC3">
        <w:t xml:space="preserve"> </w:t>
      </w:r>
      <w:r w:rsidRPr="00382917">
        <w:t>horses</w:t>
      </w:r>
      <w:r w:rsidR="00EE4FC3">
        <w:t xml:space="preserve"> </w:t>
      </w:r>
      <w:r w:rsidRPr="00382917">
        <w:t>they</w:t>
      </w:r>
      <w:r w:rsidR="00EE4FC3">
        <w:t xml:space="preserve"> </w:t>
      </w:r>
      <w:r w:rsidRPr="00382917">
        <w:t>had</w:t>
      </w:r>
      <w:r w:rsidR="00EE4FC3">
        <w:t xml:space="preserve"> </w:t>
      </w:r>
      <w:r w:rsidRPr="00382917">
        <w:t>brought</w:t>
      </w:r>
      <w:r w:rsidR="00EE4FC3">
        <w:t xml:space="preserve"> </w:t>
      </w:r>
      <w:r w:rsidRPr="00382917">
        <w:t>away</w:t>
      </w:r>
      <w:r w:rsidR="00EE4FC3">
        <w:t xml:space="preserve"> </w:t>
      </w:r>
      <w:r w:rsidRPr="00382917">
        <w:t>from</w:t>
      </w:r>
      <w:r w:rsidR="00EE4FC3">
        <w:t xml:space="preserve"> </w:t>
      </w:r>
      <w:r w:rsidRPr="00382917">
        <w:t>the</w:t>
      </w:r>
      <w:r w:rsidR="00EE4FC3">
        <w:t xml:space="preserve"> </w:t>
      </w:r>
      <w:r w:rsidRPr="00382917">
        <w:t>camp</w:t>
      </w:r>
      <w:r w:rsidR="00EE4FC3">
        <w:t xml:space="preserve"> </w:t>
      </w:r>
      <w:r w:rsidRPr="00382917">
        <w:t>of</w:t>
      </w:r>
      <w:r w:rsidR="00EE4FC3">
        <w:t xml:space="preserve"> </w:t>
      </w:r>
      <w:r w:rsidRPr="00382917">
        <w:t>the</w:t>
      </w:r>
      <w:r w:rsidR="00EE4FC3">
        <w:t xml:space="preserve"> </w:t>
      </w:r>
      <w:r w:rsidRPr="00382917">
        <w:t>enemy</w:t>
      </w:r>
      <w:r w:rsidR="00B71244">
        <w:t>.</w:t>
      </w:r>
      <w:r w:rsidR="00EE4FC3">
        <w:t xml:space="preserve">  </w:t>
      </w:r>
      <w:r w:rsidRPr="00382917">
        <w:t>Later</w:t>
      </w:r>
      <w:r w:rsidR="00EE4FC3">
        <w:t xml:space="preserve"> </w:t>
      </w:r>
      <w:r w:rsidRPr="00382917">
        <w:t>they</w:t>
      </w:r>
      <w:r w:rsidR="00EE4FC3">
        <w:t xml:space="preserve"> </w:t>
      </w:r>
      <w:r w:rsidRPr="00382917">
        <w:t>had</w:t>
      </w:r>
      <w:r w:rsidR="00EE4FC3">
        <w:t xml:space="preserve"> </w:t>
      </w:r>
      <w:r w:rsidRPr="00382917">
        <w:t>to</w:t>
      </w:r>
      <w:r w:rsidR="00EE4FC3">
        <w:t xml:space="preserve"> </w:t>
      </w:r>
      <w:r w:rsidRPr="00382917">
        <w:t>content</w:t>
      </w:r>
      <w:r w:rsidR="00EE4FC3">
        <w:t xml:space="preserve"> </w:t>
      </w:r>
      <w:r w:rsidRPr="00382917">
        <w:t>themselves</w:t>
      </w:r>
      <w:r w:rsidR="00EE4FC3">
        <w:t xml:space="preserve"> </w:t>
      </w:r>
      <w:r w:rsidRPr="00382917">
        <w:t>with</w:t>
      </w:r>
      <w:r w:rsidR="00EE4FC3">
        <w:t xml:space="preserve"> </w:t>
      </w:r>
      <w:r w:rsidRPr="00382917">
        <w:t>grass</w:t>
      </w:r>
      <w:r w:rsidR="00EE4FC3">
        <w:t xml:space="preserve"> </w:t>
      </w:r>
      <w:r w:rsidRPr="00382917">
        <w:t>snatched</w:t>
      </w:r>
      <w:r w:rsidR="00EE4FC3">
        <w:t xml:space="preserve"> </w:t>
      </w:r>
      <w:r w:rsidRPr="00382917">
        <w:t>from</w:t>
      </w:r>
      <w:r w:rsidR="00EE4FC3">
        <w:t xml:space="preserve"> </w:t>
      </w:r>
      <w:r w:rsidRPr="00382917">
        <w:t>the</w:t>
      </w:r>
      <w:r w:rsidR="00EE4FC3">
        <w:t xml:space="preserve"> </w:t>
      </w:r>
      <w:r w:rsidRPr="00382917">
        <w:t>ground</w:t>
      </w:r>
      <w:r w:rsidR="00B71244">
        <w:t>.</w:t>
      </w:r>
      <w:r w:rsidR="00EE4FC3">
        <w:t xml:space="preserve">  </w:t>
      </w:r>
      <w:r w:rsidRPr="00382917">
        <w:t>Finally,</w:t>
      </w:r>
      <w:r w:rsidR="00EE4FC3">
        <w:t xml:space="preserve"> </w:t>
      </w:r>
      <w:r w:rsidRPr="00382917">
        <w:t>they</w:t>
      </w:r>
      <w:r w:rsidR="00EE4FC3">
        <w:t xml:space="preserve"> </w:t>
      </w:r>
      <w:r w:rsidRPr="00382917">
        <w:t>consumed</w:t>
      </w:r>
      <w:r w:rsidR="00EE4FC3">
        <w:t xml:space="preserve"> </w:t>
      </w:r>
      <w:r w:rsidRPr="00382917">
        <w:t>the</w:t>
      </w:r>
      <w:r w:rsidR="00EE4FC3">
        <w:t xml:space="preserve"> </w:t>
      </w:r>
      <w:r w:rsidRPr="00382917">
        <w:t>bark</w:t>
      </w:r>
      <w:r w:rsidR="00EE4FC3">
        <w:t xml:space="preserve"> </w:t>
      </w:r>
      <w:r w:rsidRPr="00382917">
        <w:t>of</w:t>
      </w:r>
      <w:r w:rsidR="00EE4FC3">
        <w:t xml:space="preserve"> </w:t>
      </w:r>
      <w:r w:rsidRPr="00382917">
        <w:t>trees</w:t>
      </w:r>
      <w:r w:rsidR="00EE4FC3">
        <w:t xml:space="preserve"> </w:t>
      </w:r>
      <w:r w:rsidRPr="00382917">
        <w:t>and</w:t>
      </w:r>
      <w:r w:rsidR="00EE4FC3">
        <w:t xml:space="preserve"> </w:t>
      </w:r>
      <w:r w:rsidRPr="00382917">
        <w:t>the</w:t>
      </w:r>
      <w:r w:rsidR="00EE4FC3">
        <w:t xml:space="preserve"> </w:t>
      </w:r>
      <w:r w:rsidRPr="00382917">
        <w:t>leather</w:t>
      </w:r>
      <w:r w:rsidR="00EE4FC3">
        <w:t xml:space="preserve"> </w:t>
      </w:r>
      <w:r w:rsidRPr="00382917">
        <w:t>of</w:t>
      </w:r>
      <w:r w:rsidR="00EE4FC3">
        <w:t xml:space="preserve"> </w:t>
      </w:r>
      <w:r w:rsidRPr="00382917">
        <w:t>their</w:t>
      </w:r>
      <w:r w:rsidR="00EE4FC3">
        <w:t xml:space="preserve"> </w:t>
      </w:r>
      <w:r w:rsidRPr="00382917">
        <w:t>saddles,</w:t>
      </w:r>
      <w:r w:rsidR="00EE4FC3">
        <w:t xml:space="preserve"> </w:t>
      </w:r>
      <w:r w:rsidRPr="00382917">
        <w:t>their</w:t>
      </w:r>
      <w:r w:rsidR="00EE4FC3">
        <w:t xml:space="preserve"> </w:t>
      </w:r>
      <w:r w:rsidRPr="00382917">
        <w:t>belts,</w:t>
      </w:r>
      <w:r w:rsidR="00EE4FC3">
        <w:t xml:space="preserve"> </w:t>
      </w:r>
      <w:r w:rsidRPr="00382917">
        <w:t>their</w:t>
      </w:r>
      <w:r w:rsidR="00EE4FC3">
        <w:t xml:space="preserve"> </w:t>
      </w:r>
      <w:r w:rsidRPr="00382917">
        <w:t>scabbards,</w:t>
      </w:r>
      <w:r w:rsidR="00EE4FC3">
        <w:t xml:space="preserve"> </w:t>
      </w:r>
      <w:r w:rsidRPr="00382917">
        <w:t>and</w:t>
      </w:r>
      <w:r w:rsidR="00EE4FC3">
        <w:t xml:space="preserve"> </w:t>
      </w:r>
      <w:r w:rsidRPr="00382917">
        <w:t>their</w:t>
      </w:r>
      <w:r w:rsidR="00EE4FC3">
        <w:t xml:space="preserve"> </w:t>
      </w:r>
      <w:r w:rsidRPr="00382917">
        <w:t>shoes</w:t>
      </w:r>
      <w:r w:rsidR="00B71244">
        <w:t>.</w:t>
      </w:r>
      <w:r w:rsidR="00EE4FC3">
        <w:t xml:space="preserve">  </w:t>
      </w:r>
      <w:r w:rsidRPr="00382917">
        <w:t>They</w:t>
      </w:r>
      <w:r w:rsidR="00EE4FC3">
        <w:t xml:space="preserve"> </w:t>
      </w:r>
      <w:r w:rsidRPr="00382917">
        <w:t>even</w:t>
      </w:r>
      <w:r w:rsidR="00EE4FC3">
        <w:t xml:space="preserve"> </w:t>
      </w:r>
      <w:r w:rsidRPr="00382917">
        <w:t>subsisted</w:t>
      </w:r>
      <w:r w:rsidR="00EE4FC3">
        <w:t xml:space="preserve"> </w:t>
      </w:r>
      <w:r w:rsidRPr="00382917">
        <w:t>on</w:t>
      </w:r>
      <w:r w:rsidR="00EE4FC3">
        <w:t xml:space="preserve"> </w:t>
      </w:r>
      <w:r w:rsidRPr="00382917">
        <w:t>the</w:t>
      </w:r>
      <w:r w:rsidR="00EE4FC3">
        <w:t xml:space="preserve"> </w:t>
      </w:r>
      <w:r w:rsidRPr="00382917">
        <w:t>ground</w:t>
      </w:r>
      <w:r w:rsidR="00EE4FC3">
        <w:t xml:space="preserve"> </w:t>
      </w:r>
      <w:r w:rsidRPr="00382917">
        <w:t>bones</w:t>
      </w:r>
      <w:r w:rsidR="00EE4FC3">
        <w:t xml:space="preserve"> </w:t>
      </w:r>
      <w:r w:rsidRPr="00382917">
        <w:t>of</w:t>
      </w:r>
      <w:r w:rsidR="00EE4FC3">
        <w:t xml:space="preserve"> </w:t>
      </w:r>
      <w:r w:rsidRPr="00382917">
        <w:t>the</w:t>
      </w:r>
      <w:r w:rsidR="00EE4FC3">
        <w:t xml:space="preserve"> </w:t>
      </w:r>
      <w:r w:rsidRPr="00382917">
        <w:t>horses</w:t>
      </w:r>
      <w:r w:rsidR="00EE4FC3">
        <w:t xml:space="preserve"> </w:t>
      </w:r>
      <w:r w:rsidRPr="00382917">
        <w:t>fallen</w:t>
      </w:r>
      <w:r w:rsidR="00EE4FC3">
        <w:t xml:space="preserve"> </w:t>
      </w:r>
      <w:r w:rsidRPr="00382917">
        <w:t>in</w:t>
      </w:r>
      <w:r w:rsidR="00EE4FC3">
        <w:t xml:space="preserve"> </w:t>
      </w:r>
      <w:r w:rsidRPr="00382917">
        <w:t>battle</w:t>
      </w:r>
      <w:r w:rsidR="00B71244">
        <w:t>.</w:t>
      </w:r>
      <w:r w:rsidR="00EE4FC3">
        <w:t xml:space="preserve">  </w:t>
      </w:r>
      <w:r w:rsidRPr="00382917">
        <w:t>For</w:t>
      </w:r>
      <w:r w:rsidR="00EE4FC3">
        <w:t xml:space="preserve"> </w:t>
      </w:r>
      <w:r w:rsidRPr="00382917">
        <w:t>eighteen</w:t>
      </w:r>
      <w:r w:rsidR="00EE4FC3">
        <w:t xml:space="preserve"> </w:t>
      </w:r>
      <w:r w:rsidRPr="00382917">
        <w:t>days</w:t>
      </w:r>
      <w:r w:rsidR="00EE4FC3">
        <w:t xml:space="preserve"> </w:t>
      </w:r>
      <w:r w:rsidRPr="00382917">
        <w:t>their</w:t>
      </w:r>
      <w:r w:rsidR="00EE4FC3">
        <w:t xml:space="preserve"> </w:t>
      </w:r>
      <w:r w:rsidRPr="00382917">
        <w:t>only</w:t>
      </w:r>
      <w:r w:rsidR="00EE4FC3">
        <w:t xml:space="preserve"> </w:t>
      </w:r>
      <w:r w:rsidRPr="00382917">
        <w:t>sustenance</w:t>
      </w:r>
      <w:r w:rsidR="00EE4FC3">
        <w:t xml:space="preserve"> </w:t>
      </w:r>
      <w:r w:rsidRPr="00382917">
        <w:t>was</w:t>
      </w:r>
      <w:r w:rsidR="00EE4FC3">
        <w:t xml:space="preserve"> </w:t>
      </w:r>
      <w:r w:rsidRPr="00382917">
        <w:t>a</w:t>
      </w:r>
      <w:r w:rsidR="00EE4FC3">
        <w:t xml:space="preserve"> </w:t>
      </w:r>
      <w:r w:rsidRPr="00382917">
        <w:t>mouthful</w:t>
      </w:r>
      <w:r w:rsidR="00EE4FC3">
        <w:t xml:space="preserve"> </w:t>
      </w:r>
      <w:r w:rsidRPr="00382917">
        <w:t>of</w:t>
      </w:r>
      <w:r w:rsidR="00EE4FC3">
        <w:t xml:space="preserve"> </w:t>
      </w:r>
      <w:r w:rsidRPr="00382917">
        <w:t>water</w:t>
      </w:r>
      <w:r w:rsidR="00EE4FC3">
        <w:t xml:space="preserve"> </w:t>
      </w:r>
      <w:r w:rsidRPr="00382917">
        <w:t>each</w:t>
      </w:r>
      <w:r w:rsidR="00EE4FC3">
        <w:t xml:space="preserve"> </w:t>
      </w:r>
      <w:r w:rsidRPr="00382917">
        <w:t>morning.</w:t>
      </w:r>
    </w:p>
    <w:p w:rsidR="00DB6293" w:rsidRPr="00382917" w:rsidRDefault="009C713D" w:rsidP="00DB6293">
      <w:pPr>
        <w:pStyle w:val="Text"/>
      </w:pPr>
      <w:r w:rsidRPr="00382917">
        <w:t>“</w:t>
      </w:r>
      <w:r w:rsidR="00DB6293" w:rsidRPr="00382917">
        <w:t>God</w:t>
      </w:r>
      <w:r w:rsidR="00EE4FC3">
        <w:t xml:space="preserve"> </w:t>
      </w:r>
      <w:r w:rsidR="00DB6293" w:rsidRPr="00382917">
        <w:t>knows,</w:t>
      </w:r>
      <w:r w:rsidRPr="00382917">
        <w:t>”</w:t>
      </w:r>
      <w:r w:rsidR="00EE4FC3">
        <w:t xml:space="preserve"> </w:t>
      </w:r>
      <w:r w:rsidR="00DB6293" w:rsidRPr="00382917">
        <w:t>one</w:t>
      </w:r>
      <w:r w:rsidR="00EE4FC3">
        <w:t xml:space="preserve"> </w:t>
      </w:r>
      <w:r w:rsidR="00DB6293" w:rsidRPr="00382917">
        <w:t>of</w:t>
      </w:r>
      <w:r w:rsidR="00EE4FC3">
        <w:t xml:space="preserve"> </w:t>
      </w:r>
      <w:r w:rsidR="00DB6293" w:rsidRPr="00382917">
        <w:t>the</w:t>
      </w:r>
      <w:r w:rsidR="00EE4FC3">
        <w:t xml:space="preserve"> </w:t>
      </w:r>
      <w:r w:rsidR="00DB6293" w:rsidRPr="00382917">
        <w:t>survivors</w:t>
      </w:r>
      <w:r w:rsidR="00EE4FC3">
        <w:t xml:space="preserve"> </w:t>
      </w:r>
      <w:r w:rsidR="00DB6293" w:rsidRPr="00382917">
        <w:t>has</w:t>
      </w:r>
      <w:r w:rsidR="00EE4FC3">
        <w:t xml:space="preserve"> </w:t>
      </w:r>
      <w:r w:rsidR="00DB6293" w:rsidRPr="00382917">
        <w:t>testified,</w:t>
      </w:r>
      <w:r w:rsidR="00EE4FC3">
        <w:t xml:space="preserve"> </w:t>
      </w:r>
      <w:r w:rsidRPr="00382917">
        <w:t>“</w:t>
      </w:r>
      <w:r w:rsidR="00DB6293" w:rsidRPr="00382917">
        <w:t>that</w:t>
      </w:r>
      <w:r w:rsidR="00EE4FC3">
        <w:t xml:space="preserve"> </w:t>
      </w:r>
      <w:r w:rsidR="00DB6293" w:rsidRPr="00382917">
        <w:t>we</w:t>
      </w:r>
      <w:r w:rsidR="00EE4FC3">
        <w:t xml:space="preserve"> </w:t>
      </w:r>
      <w:r w:rsidR="00DB6293" w:rsidRPr="00382917">
        <w:t>had</w:t>
      </w:r>
      <w:r w:rsidR="00EE4FC3">
        <w:t xml:space="preserve"> </w:t>
      </w:r>
      <w:r w:rsidR="00DB6293" w:rsidRPr="00382917">
        <w:t>ceased</w:t>
      </w:r>
      <w:r w:rsidR="00EE4FC3">
        <w:t xml:space="preserve"> </w:t>
      </w:r>
      <w:r w:rsidR="00DB6293" w:rsidRPr="00382917">
        <w:t>to</w:t>
      </w:r>
      <w:r w:rsidR="00EE4FC3">
        <w:t xml:space="preserve"> </w:t>
      </w:r>
      <w:r w:rsidR="00DB6293" w:rsidRPr="00382917">
        <w:t>hunger</w:t>
      </w:r>
      <w:r w:rsidR="00EE4FC3">
        <w:t xml:space="preserve"> </w:t>
      </w:r>
      <w:r w:rsidR="00DB6293" w:rsidRPr="00382917">
        <w:t>for</w:t>
      </w:r>
      <w:r w:rsidR="00EE4FC3">
        <w:t xml:space="preserve"> </w:t>
      </w:r>
      <w:r w:rsidR="00DB6293" w:rsidRPr="00382917">
        <w:t>food.</w:t>
      </w:r>
      <w:r w:rsidRPr="00382917">
        <w:t>”</w:t>
      </w:r>
      <w:r w:rsidR="00EE4FC3">
        <w:t xml:space="preserve">  </w:t>
      </w:r>
      <w:r w:rsidR="00DB6293" w:rsidRPr="00382917">
        <w:t>Quddús</w:t>
      </w:r>
      <w:r w:rsidR="00EE4FC3">
        <w:t xml:space="preserve"> </w:t>
      </w:r>
      <w:r w:rsidR="00DB6293" w:rsidRPr="00382917">
        <w:t>quickened</w:t>
      </w:r>
      <w:r w:rsidR="00EE4FC3">
        <w:t xml:space="preserve"> </w:t>
      </w:r>
      <w:r w:rsidR="00DB6293" w:rsidRPr="00382917">
        <w:t>their</w:t>
      </w:r>
      <w:r w:rsidR="00EE4FC3">
        <w:t xml:space="preserve"> </w:t>
      </w:r>
      <w:r w:rsidR="00DB6293" w:rsidRPr="00382917">
        <w:t>enthusiasm</w:t>
      </w:r>
      <w:r w:rsidR="00EE4FC3">
        <w:t xml:space="preserve"> </w:t>
      </w:r>
      <w:r w:rsidR="00DB6293" w:rsidRPr="00382917">
        <w:t>and</w:t>
      </w:r>
      <w:r w:rsidR="00EE4FC3">
        <w:t xml:space="preserve"> </w:t>
      </w:r>
      <w:r w:rsidR="00DB6293" w:rsidRPr="00382917">
        <w:t>brightened</w:t>
      </w:r>
      <w:r w:rsidR="00EE4FC3">
        <w:t xml:space="preserve"> </w:t>
      </w:r>
      <w:r w:rsidR="00DB6293" w:rsidRPr="00382917">
        <w:t>their</w:t>
      </w:r>
      <w:r w:rsidR="00EE4FC3">
        <w:t xml:space="preserve"> </w:t>
      </w:r>
      <w:r w:rsidR="00DB6293" w:rsidRPr="00382917">
        <w:t>hopes</w:t>
      </w:r>
      <w:r w:rsidR="00EE4FC3">
        <w:t xml:space="preserve"> </w:t>
      </w:r>
      <w:r w:rsidR="00DB6293" w:rsidRPr="00382917">
        <w:t>each</w:t>
      </w:r>
      <w:r w:rsidR="00EE4FC3">
        <w:t xml:space="preserve"> </w:t>
      </w:r>
      <w:r w:rsidR="00DB6293" w:rsidRPr="00382917">
        <w:t>day</w:t>
      </w:r>
      <w:r w:rsidR="00EE4FC3">
        <w:t xml:space="preserve"> </w:t>
      </w:r>
      <w:r w:rsidR="00DB6293" w:rsidRPr="00382917">
        <w:t>at</w:t>
      </w:r>
      <w:r w:rsidR="00EE4FC3">
        <w:t xml:space="preserve"> </w:t>
      </w:r>
      <w:r w:rsidR="00DB6293" w:rsidRPr="00382917">
        <w:t>sunrise</w:t>
      </w:r>
      <w:r w:rsidR="00EE4FC3">
        <w:t xml:space="preserve"> </w:t>
      </w:r>
      <w:r w:rsidR="00DB6293" w:rsidRPr="00382917">
        <w:t>and</w:t>
      </w:r>
      <w:r w:rsidR="00EE4FC3">
        <w:t xml:space="preserve"> </w:t>
      </w:r>
      <w:r w:rsidR="00DB6293" w:rsidRPr="00382917">
        <w:t>at</w:t>
      </w:r>
      <w:r w:rsidR="00EE4FC3">
        <w:t xml:space="preserve"> </w:t>
      </w:r>
      <w:r w:rsidR="00DB6293" w:rsidRPr="00382917">
        <w:t>sunset,</w:t>
      </w:r>
      <w:r w:rsidR="00EE4FC3">
        <w:t xml:space="preserve"> </w:t>
      </w:r>
      <w:r w:rsidR="00DB6293" w:rsidRPr="00382917">
        <w:t>by</w:t>
      </w:r>
      <w:r w:rsidR="00EE4FC3">
        <w:t xml:space="preserve"> </w:t>
      </w:r>
      <w:r w:rsidR="00DB6293" w:rsidRPr="00382917">
        <w:t>telling</w:t>
      </w:r>
      <w:r w:rsidR="00EE4FC3">
        <w:t xml:space="preserve"> </w:t>
      </w:r>
      <w:r w:rsidR="00DB6293" w:rsidRPr="00382917">
        <w:t>of</w:t>
      </w:r>
      <w:r w:rsidR="00EE4FC3">
        <w:t xml:space="preserve"> </w:t>
      </w:r>
      <w:r w:rsidR="00DB6293" w:rsidRPr="00382917">
        <w:t>the</w:t>
      </w:r>
      <w:r w:rsidR="00EE4FC3">
        <w:t xml:space="preserve"> </w:t>
      </w:r>
      <w:r w:rsidR="00DB6293" w:rsidRPr="00382917">
        <w:t>beauty</w:t>
      </w:r>
      <w:r w:rsidR="00EE4FC3">
        <w:t xml:space="preserve"> </w:t>
      </w:r>
      <w:r w:rsidR="00DB6293" w:rsidRPr="00382917">
        <w:t>and</w:t>
      </w:r>
      <w:r w:rsidR="00EE4FC3">
        <w:t xml:space="preserve"> </w:t>
      </w:r>
      <w:r w:rsidR="00DB6293" w:rsidRPr="00382917">
        <w:t>greatness</w:t>
      </w:r>
      <w:r w:rsidR="00EE4FC3">
        <w:t xml:space="preserve"> </w:t>
      </w:r>
      <w:r w:rsidR="00DB6293" w:rsidRPr="00382917">
        <w:t>of</w:t>
      </w:r>
      <w:r w:rsidR="00EE4FC3">
        <w:t xml:space="preserve"> </w:t>
      </w:r>
      <w:r w:rsidR="00DB6293" w:rsidRPr="00382917">
        <w:t>the</w:t>
      </w:r>
      <w:r w:rsidR="00EE4FC3">
        <w:t xml:space="preserve"> </w:t>
      </w:r>
      <w:r w:rsidR="00DB6293" w:rsidRPr="00382917">
        <w:t>Báb.</w:t>
      </w:r>
    </w:p>
    <w:p w:rsidR="00DB6293" w:rsidRPr="00382917" w:rsidRDefault="00DB6293" w:rsidP="00DB6293">
      <w:pPr>
        <w:pStyle w:val="Text"/>
      </w:pPr>
      <w:r w:rsidRPr="00382917">
        <w:t>Many</w:t>
      </w:r>
      <w:r w:rsidR="00EE4FC3">
        <w:t xml:space="preserve"> </w:t>
      </w:r>
      <w:r w:rsidRPr="00382917">
        <w:t>lost</w:t>
      </w:r>
      <w:r w:rsidR="00EE4FC3">
        <w:t xml:space="preserve"> </w:t>
      </w:r>
      <w:r w:rsidRPr="00382917">
        <w:t>their</w:t>
      </w:r>
      <w:r w:rsidR="00EE4FC3">
        <w:t xml:space="preserve"> </w:t>
      </w:r>
      <w:r w:rsidRPr="00382917">
        <w:t>lives,</w:t>
      </w:r>
      <w:r w:rsidR="00EE4FC3">
        <w:t xml:space="preserve"> </w:t>
      </w:r>
      <w:r w:rsidRPr="00382917">
        <w:t>but</w:t>
      </w:r>
      <w:r w:rsidR="00EE4FC3">
        <w:t xml:space="preserve"> </w:t>
      </w:r>
      <w:r w:rsidRPr="00382917">
        <w:t>the</w:t>
      </w:r>
      <w:r w:rsidR="00EE4FC3">
        <w:t xml:space="preserve"> </w:t>
      </w:r>
      <w:r w:rsidRPr="00382917">
        <w:t>dwindling</w:t>
      </w:r>
      <w:r w:rsidR="00EE4FC3">
        <w:t xml:space="preserve"> </w:t>
      </w:r>
      <w:r w:rsidRPr="00382917">
        <w:t>band</w:t>
      </w:r>
      <w:r w:rsidR="00EE4FC3">
        <w:t xml:space="preserve"> </w:t>
      </w:r>
      <w:r w:rsidRPr="00382917">
        <w:t>still</w:t>
      </w:r>
      <w:r w:rsidR="00EE4FC3">
        <w:t xml:space="preserve"> </w:t>
      </w:r>
      <w:r w:rsidRPr="00382917">
        <w:t>remained</w:t>
      </w:r>
      <w:r w:rsidR="00EE4FC3">
        <w:t xml:space="preserve"> </w:t>
      </w:r>
      <w:r w:rsidRPr="00382917">
        <w:t>unconquered</w:t>
      </w:r>
      <w:r w:rsidR="00B71244">
        <w:t>.</w:t>
      </w:r>
      <w:r w:rsidR="00EE4FC3">
        <w:t xml:space="preserve">  </w:t>
      </w:r>
      <w:r w:rsidRPr="00382917">
        <w:t>Their</w:t>
      </w:r>
      <w:r w:rsidR="00EE4FC3">
        <w:t xml:space="preserve"> </w:t>
      </w:r>
      <w:r w:rsidRPr="00382917">
        <w:t>actions</w:t>
      </w:r>
      <w:r w:rsidR="00EE4FC3">
        <w:t xml:space="preserve"> </w:t>
      </w:r>
      <w:r w:rsidRPr="00382917">
        <w:t>fulfilled</w:t>
      </w:r>
      <w:r w:rsidR="00EE4FC3">
        <w:t xml:space="preserve"> </w:t>
      </w:r>
      <w:r w:rsidRPr="00382917">
        <w:t>several</w:t>
      </w:r>
      <w:r w:rsidR="00EE4FC3">
        <w:t xml:space="preserve"> </w:t>
      </w:r>
      <w:r w:rsidRPr="00382917">
        <w:t>prophecies</w:t>
      </w:r>
      <w:r w:rsidR="00EE4FC3">
        <w:t xml:space="preserve"> </w:t>
      </w:r>
      <w:r w:rsidRPr="00382917">
        <w:t>which</w:t>
      </w:r>
      <w:r w:rsidR="00EE4FC3">
        <w:t xml:space="preserve"> </w:t>
      </w:r>
      <w:r w:rsidRPr="00382917">
        <w:t>foretold</w:t>
      </w:r>
      <w:r w:rsidR="00EE4FC3">
        <w:t xml:space="preserve"> </w:t>
      </w:r>
      <w:r w:rsidRPr="00382917">
        <w:t>of</w:t>
      </w:r>
      <w:r w:rsidR="00EE4FC3">
        <w:t xml:space="preserve"> </w:t>
      </w:r>
      <w:r w:rsidRPr="00382917">
        <w:t>the</w:t>
      </w:r>
      <w:r w:rsidR="00EE4FC3">
        <w:t xml:space="preserve"> </w:t>
      </w:r>
      <w:r w:rsidRPr="00382917">
        <w:t>coming</w:t>
      </w:r>
      <w:r w:rsidR="00EE4FC3">
        <w:t xml:space="preserve"> </w:t>
      </w:r>
      <w:r w:rsidRPr="00382917">
        <w:t>of</w:t>
      </w:r>
      <w:r w:rsidR="00EE4FC3">
        <w:t xml:space="preserve"> </w:t>
      </w:r>
      <w:r w:rsidRPr="00382917">
        <w:t>God</w:t>
      </w:r>
      <w:r w:rsidR="009C713D" w:rsidRPr="00382917">
        <w:t>’</w:t>
      </w:r>
      <w:r w:rsidRPr="00382917">
        <w:t>s</w:t>
      </w:r>
      <w:r w:rsidR="00EE4FC3">
        <w:t xml:space="preserve"> </w:t>
      </w:r>
      <w:r w:rsidRPr="00382917">
        <w:t>Prophet</w:t>
      </w:r>
      <w:r w:rsidR="00EE4FC3">
        <w:t xml:space="preserve"> </w:t>
      </w:r>
      <w:r w:rsidRPr="00382917">
        <w:t>in</w:t>
      </w:r>
      <w:r w:rsidR="00EE4FC3">
        <w:t xml:space="preserve"> </w:t>
      </w:r>
      <w:r w:rsidRPr="00382917">
        <w:t>the</w:t>
      </w:r>
      <w:r w:rsidR="00EE4FC3">
        <w:t xml:space="preserve"> </w:t>
      </w:r>
      <w:r w:rsidRPr="00382917">
        <w:t>last</w:t>
      </w:r>
      <w:r w:rsidR="00EE4FC3">
        <w:t xml:space="preserve"> </w:t>
      </w:r>
      <w:r w:rsidRPr="00382917">
        <w:t>days</w:t>
      </w:r>
      <w:r w:rsidR="00B71244">
        <w:t>.</w:t>
      </w:r>
      <w:r w:rsidR="00EE4FC3">
        <w:t xml:space="preserve">  </w:t>
      </w:r>
      <w:r w:rsidRPr="00382917">
        <w:t>One</w:t>
      </w:r>
      <w:r w:rsidR="00EE4FC3">
        <w:t xml:space="preserve"> </w:t>
      </w:r>
      <w:r w:rsidRPr="00382917">
        <w:t>of</w:t>
      </w:r>
      <w:r w:rsidR="00EE4FC3">
        <w:t xml:space="preserve"> </w:t>
      </w:r>
      <w:r w:rsidRPr="00382917">
        <w:t>the</w:t>
      </w:r>
      <w:r w:rsidR="00EE4FC3">
        <w:t xml:space="preserve"> </w:t>
      </w:r>
      <w:r w:rsidRPr="00382917">
        <w:t>most</w:t>
      </w:r>
    </w:p>
    <w:p w:rsidR="00DB6293" w:rsidRPr="00382917" w:rsidRDefault="00DB6293">
      <w:pPr>
        <w:widowControl/>
        <w:kinsoku/>
        <w:overflowPunct/>
        <w:textAlignment w:val="auto"/>
      </w:pPr>
      <w:r w:rsidRPr="00382917">
        <w:br w:type="page"/>
      </w:r>
    </w:p>
    <w:p w:rsidR="00DB6293" w:rsidRPr="00382917" w:rsidRDefault="00DB6293" w:rsidP="00306C86">
      <w:pPr>
        <w:pStyle w:val="Textcts"/>
      </w:pPr>
      <w:proofErr w:type="gramStart"/>
      <w:r w:rsidRPr="00382917">
        <w:t>significant</w:t>
      </w:r>
      <w:proofErr w:type="gramEnd"/>
      <w:r w:rsidR="00EE4FC3">
        <w:t xml:space="preserve"> </w:t>
      </w:r>
      <w:r w:rsidRPr="00382917">
        <w:t>spoke</w:t>
      </w:r>
      <w:r w:rsidR="00EE4FC3">
        <w:t xml:space="preserve"> </w:t>
      </w:r>
      <w:r w:rsidRPr="00382917">
        <w:t>of</w:t>
      </w:r>
      <w:r w:rsidR="00EE4FC3">
        <w:t xml:space="preserve"> </w:t>
      </w:r>
      <w:r w:rsidRPr="00382917">
        <w:t>the</w:t>
      </w:r>
      <w:r w:rsidR="00EE4FC3">
        <w:t xml:space="preserve"> </w:t>
      </w:r>
      <w:r w:rsidR="009C713D" w:rsidRPr="00382917">
        <w:t>“</w:t>
      </w:r>
      <w:r w:rsidRPr="00382917">
        <w:t>halting</w:t>
      </w:r>
      <w:r w:rsidR="00EE4FC3">
        <w:t xml:space="preserve"> </w:t>
      </w:r>
      <w:r w:rsidRPr="00382917">
        <w:t>of</w:t>
      </w:r>
      <w:r w:rsidR="00EE4FC3">
        <w:t xml:space="preserve"> </w:t>
      </w:r>
      <w:r w:rsidRPr="00382917">
        <w:t>those</w:t>
      </w:r>
      <w:r w:rsidR="00EE4FC3">
        <w:t xml:space="preserve"> </w:t>
      </w:r>
      <w:r w:rsidRPr="00382917">
        <w:t>who</w:t>
      </w:r>
      <w:r w:rsidR="00EE4FC3">
        <w:t xml:space="preserve"> </w:t>
      </w:r>
      <w:r w:rsidRPr="00382917">
        <w:t>had</w:t>
      </w:r>
      <w:r w:rsidR="00EE4FC3">
        <w:t xml:space="preserve"> </w:t>
      </w:r>
      <w:r w:rsidRPr="00382917">
        <w:t>believed</w:t>
      </w:r>
      <w:r w:rsidR="00EE4FC3">
        <w:t xml:space="preserve"> </w:t>
      </w:r>
      <w:r w:rsidRPr="00382917">
        <w:t>in</w:t>
      </w:r>
      <w:r w:rsidR="00EE4FC3">
        <w:t xml:space="preserve"> </w:t>
      </w:r>
      <w:r w:rsidRPr="00382917">
        <w:t>the</w:t>
      </w:r>
      <w:r w:rsidR="00EE4FC3">
        <w:t xml:space="preserve"> </w:t>
      </w:r>
      <w:r w:rsidRPr="00382917">
        <w:t>Lord</w:t>
      </w:r>
      <w:r w:rsidR="00EE4FC3">
        <w:t xml:space="preserve"> </w:t>
      </w:r>
      <w:r w:rsidRPr="00382917">
        <w:t>about</w:t>
      </w:r>
      <w:r w:rsidR="00EE4FC3">
        <w:t xml:space="preserve"> </w:t>
      </w:r>
      <w:r w:rsidRPr="00382917">
        <w:t>Ṭabarsí,</w:t>
      </w:r>
      <w:r w:rsidR="00EE4FC3">
        <w:t xml:space="preserve"> </w:t>
      </w:r>
      <w:r w:rsidRPr="00382917">
        <w:t>and</w:t>
      </w:r>
      <w:r w:rsidR="00EE4FC3">
        <w:t xml:space="preserve"> </w:t>
      </w:r>
      <w:r w:rsidRPr="00382917">
        <w:t>their</w:t>
      </w:r>
      <w:r w:rsidR="00EE4FC3">
        <w:t xml:space="preserve"> </w:t>
      </w:r>
      <w:r w:rsidRPr="00382917">
        <w:t>martyrdom.</w:t>
      </w:r>
      <w:r w:rsidR="009C713D" w:rsidRPr="00382917">
        <w:t>”</w:t>
      </w:r>
      <w:r w:rsidR="00306C86">
        <w:rPr>
          <w:rStyle w:val="FootnoteReference"/>
        </w:rPr>
        <w:footnoteReference w:id="124"/>
      </w:r>
    </w:p>
    <w:p w:rsidR="00DB6293" w:rsidRPr="00382917" w:rsidRDefault="00DB6293" w:rsidP="00DB6293">
      <w:pPr>
        <w:pStyle w:val="Text"/>
      </w:pPr>
      <w:r w:rsidRPr="00382917">
        <w:t>The</w:t>
      </w:r>
      <w:r w:rsidR="00EE4FC3">
        <w:t xml:space="preserve"> </w:t>
      </w:r>
      <w:r w:rsidRPr="00382917">
        <w:t>young</w:t>
      </w:r>
      <w:r w:rsidR="00EE4FC3">
        <w:t xml:space="preserve"> </w:t>
      </w:r>
      <w:r w:rsidRPr="00382917">
        <w:t>king</w:t>
      </w:r>
      <w:r w:rsidR="00EE4FC3">
        <w:t xml:space="preserve"> </w:t>
      </w:r>
      <w:r w:rsidRPr="00382917">
        <w:t>at</w:t>
      </w:r>
      <w:r w:rsidR="00EE4FC3">
        <w:t xml:space="preserve"> </w:t>
      </w:r>
      <w:r w:rsidRPr="00382917">
        <w:t>last</w:t>
      </w:r>
      <w:r w:rsidR="00EE4FC3">
        <w:t xml:space="preserve"> </w:t>
      </w:r>
      <w:r w:rsidRPr="00382917">
        <w:t>grew</w:t>
      </w:r>
      <w:r w:rsidR="00EE4FC3">
        <w:t xml:space="preserve"> </w:t>
      </w:r>
      <w:r w:rsidRPr="00382917">
        <w:t>impatient</w:t>
      </w:r>
      <w:r w:rsidR="00B71244">
        <w:t>.</w:t>
      </w:r>
      <w:r w:rsidR="00EE4FC3">
        <w:t xml:space="preserve">  </w:t>
      </w:r>
      <w:r w:rsidR="009C713D" w:rsidRPr="00382917">
        <w:t>“</w:t>
      </w:r>
      <w:r w:rsidRPr="00382917">
        <w:t>An</w:t>
      </w:r>
      <w:r w:rsidR="00EE4FC3">
        <w:t xml:space="preserve"> </w:t>
      </w:r>
      <w:r w:rsidRPr="00382917">
        <w:t>army</w:t>
      </w:r>
      <w:r w:rsidR="00EE4FC3">
        <w:t xml:space="preserve"> </w:t>
      </w:r>
      <w:r w:rsidRPr="00382917">
        <w:t>which</w:t>
      </w:r>
      <w:r w:rsidR="00EE4FC3">
        <w:t xml:space="preserve"> </w:t>
      </w:r>
      <w:r w:rsidRPr="00382917">
        <w:t>we</w:t>
      </w:r>
      <w:r w:rsidR="00EE4FC3">
        <w:t xml:space="preserve"> </w:t>
      </w:r>
      <w:r w:rsidRPr="00382917">
        <w:t>thought</w:t>
      </w:r>
      <w:r w:rsidR="00EE4FC3">
        <w:t xml:space="preserve"> </w:t>
      </w:r>
      <w:r w:rsidRPr="00382917">
        <w:t>could</w:t>
      </w:r>
      <w:r w:rsidR="00EE4FC3">
        <w:t xml:space="preserve"> </w:t>
      </w:r>
      <w:r w:rsidRPr="00382917">
        <w:t>fight</w:t>
      </w:r>
      <w:r w:rsidR="00EE4FC3">
        <w:t xml:space="preserve"> </w:t>
      </w:r>
      <w:r w:rsidRPr="00382917">
        <w:t>a</w:t>
      </w:r>
      <w:r w:rsidR="00EE4FC3">
        <w:t xml:space="preserve"> </w:t>
      </w:r>
      <w:r w:rsidRPr="00382917">
        <w:t>lion</w:t>
      </w:r>
      <w:r w:rsidR="00EE4FC3">
        <w:t xml:space="preserve"> </w:t>
      </w:r>
      <w:r w:rsidRPr="00382917">
        <w:t>or</w:t>
      </w:r>
      <w:r w:rsidR="00EE4FC3">
        <w:t xml:space="preserve"> </w:t>
      </w:r>
      <w:r w:rsidRPr="00382917">
        <w:t>a</w:t>
      </w:r>
      <w:r w:rsidR="00EE4FC3">
        <w:t xml:space="preserve"> </w:t>
      </w:r>
      <w:r w:rsidRPr="00382917">
        <w:t>whale</w:t>
      </w:r>
      <w:r w:rsidR="00EE4FC3">
        <w:t xml:space="preserve"> </w:t>
      </w:r>
      <w:r w:rsidRPr="00382917">
        <w:t>cannot</w:t>
      </w:r>
      <w:r w:rsidR="00EE4FC3">
        <w:t xml:space="preserve"> </w:t>
      </w:r>
      <w:r w:rsidRPr="00382917">
        <w:t>fight</w:t>
      </w:r>
      <w:r w:rsidR="00EE4FC3">
        <w:t xml:space="preserve"> </w:t>
      </w:r>
      <w:r w:rsidRPr="00382917">
        <w:t>a</w:t>
      </w:r>
      <w:r w:rsidR="00EE4FC3">
        <w:t xml:space="preserve"> </w:t>
      </w:r>
      <w:r w:rsidRPr="00382917">
        <w:t>handful</w:t>
      </w:r>
      <w:r w:rsidR="00EE4FC3">
        <w:t xml:space="preserve"> </w:t>
      </w:r>
      <w:r w:rsidRPr="00382917">
        <w:t>of</w:t>
      </w:r>
      <w:r w:rsidR="00EE4FC3">
        <w:t xml:space="preserve"> </w:t>
      </w:r>
      <w:r w:rsidRPr="00382917">
        <w:t>weak</w:t>
      </w:r>
      <w:r w:rsidR="00EE4FC3">
        <w:t xml:space="preserve"> </w:t>
      </w:r>
      <w:r w:rsidRPr="00382917">
        <w:t>and</w:t>
      </w:r>
      <w:r w:rsidR="00EE4FC3">
        <w:t xml:space="preserve"> </w:t>
      </w:r>
      <w:proofErr w:type="spellStart"/>
      <w:r w:rsidRPr="00382917">
        <w:t>defenseless</w:t>
      </w:r>
      <w:proofErr w:type="spellEnd"/>
      <w:r w:rsidR="00EE4FC3">
        <w:t xml:space="preserve"> </w:t>
      </w:r>
      <w:r w:rsidRPr="00382917">
        <w:t>men,</w:t>
      </w:r>
      <w:r w:rsidR="009C713D" w:rsidRPr="00382917">
        <w:t>”</w:t>
      </w:r>
      <w:r w:rsidR="00EE4FC3">
        <w:t xml:space="preserve"> </w:t>
      </w:r>
      <w:r w:rsidRPr="00382917">
        <w:t>he</w:t>
      </w:r>
      <w:r w:rsidR="00EE4FC3">
        <w:t xml:space="preserve"> </w:t>
      </w:r>
      <w:r w:rsidRPr="00382917">
        <w:t>said</w:t>
      </w:r>
      <w:r w:rsidR="00B71244">
        <w:t>.</w:t>
      </w:r>
      <w:r w:rsidR="00EE4FC3">
        <w:t xml:space="preserve">  </w:t>
      </w:r>
      <w:r w:rsidR="009C713D" w:rsidRPr="00382917">
        <w:t>“</w:t>
      </w:r>
      <w:r w:rsidRPr="00382917">
        <w:t>It</w:t>
      </w:r>
      <w:r w:rsidR="00EE4FC3">
        <w:t xml:space="preserve"> </w:t>
      </w:r>
      <w:r w:rsidRPr="00382917">
        <w:t>has</w:t>
      </w:r>
      <w:r w:rsidR="00EE4FC3">
        <w:t xml:space="preserve"> </w:t>
      </w:r>
      <w:r w:rsidRPr="00382917">
        <w:t>achieved</w:t>
      </w:r>
      <w:r w:rsidR="00EE4FC3">
        <w:t xml:space="preserve"> </w:t>
      </w:r>
      <w:r w:rsidRPr="00382917">
        <w:t>nothing!</w:t>
      </w:r>
      <w:r w:rsidR="009C713D" w:rsidRPr="00382917">
        <w:t>”</w:t>
      </w:r>
    </w:p>
    <w:p w:rsidR="00DB6293" w:rsidRPr="00382917" w:rsidRDefault="00DB6293" w:rsidP="00DB6293">
      <w:pPr>
        <w:pStyle w:val="Text"/>
      </w:pPr>
      <w:r w:rsidRPr="00382917">
        <w:t>He</w:t>
      </w:r>
      <w:r w:rsidR="00EE4FC3">
        <w:t xml:space="preserve"> </w:t>
      </w:r>
      <w:r w:rsidRPr="00382917">
        <w:t>and</w:t>
      </w:r>
      <w:r w:rsidR="00EE4FC3">
        <w:t xml:space="preserve"> </w:t>
      </w:r>
      <w:r w:rsidRPr="00382917">
        <w:t>his</w:t>
      </w:r>
      <w:r w:rsidR="00EE4FC3">
        <w:t xml:space="preserve"> </w:t>
      </w:r>
      <w:r w:rsidRPr="00382917">
        <w:t>Prime</w:t>
      </w:r>
      <w:r w:rsidR="00EE4FC3">
        <w:t xml:space="preserve"> </w:t>
      </w:r>
      <w:r w:rsidRPr="00382917">
        <w:t>Minister,</w:t>
      </w:r>
      <w:r w:rsidR="00EE4FC3">
        <w:t xml:space="preserve"> </w:t>
      </w:r>
      <w:r w:rsidRPr="00382917">
        <w:t>Mírzá</w:t>
      </w:r>
      <w:r w:rsidR="00EE4FC3">
        <w:t xml:space="preserve"> </w:t>
      </w:r>
      <w:r w:rsidRPr="00382917">
        <w:t>Taqí</w:t>
      </w:r>
      <w:r w:rsidR="00EE4FC3">
        <w:t xml:space="preserve"> </w:t>
      </w:r>
      <w:r w:rsidR="0040329F" w:rsidRPr="0040329F">
        <w:rPr>
          <w:u w:val="single"/>
        </w:rPr>
        <w:t>Kh</w:t>
      </w:r>
      <w:r w:rsidR="0040329F" w:rsidRPr="00382917">
        <w:t>án</w:t>
      </w:r>
      <w:r w:rsidRPr="00382917">
        <w:t>,</w:t>
      </w:r>
      <w:r w:rsidR="00EE4FC3">
        <w:t xml:space="preserve"> </w:t>
      </w:r>
      <w:r w:rsidRPr="00382917">
        <w:t>burst</w:t>
      </w:r>
      <w:r w:rsidR="00EE4FC3">
        <w:t xml:space="preserve"> </w:t>
      </w:r>
      <w:r w:rsidRPr="00382917">
        <w:t>forth</w:t>
      </w:r>
      <w:r w:rsidR="00EE4FC3">
        <w:t xml:space="preserve"> </w:t>
      </w:r>
      <w:r w:rsidRPr="00382917">
        <w:t>against</w:t>
      </w:r>
      <w:r w:rsidR="00EE4FC3">
        <w:t xml:space="preserve"> </w:t>
      </w:r>
      <w:r w:rsidRPr="00382917">
        <w:t>their</w:t>
      </w:r>
      <w:r w:rsidR="00EE4FC3">
        <w:t xml:space="preserve"> </w:t>
      </w:r>
      <w:r w:rsidRPr="00382917">
        <w:t>army</w:t>
      </w:r>
      <w:r w:rsidR="00EE4FC3">
        <w:t xml:space="preserve"> </w:t>
      </w:r>
      <w:r w:rsidRPr="00382917">
        <w:t>leaders</w:t>
      </w:r>
      <w:r w:rsidR="00B71244">
        <w:t>.</w:t>
      </w:r>
      <w:r w:rsidR="00EE4FC3">
        <w:t xml:space="preserve">  </w:t>
      </w:r>
      <w:r w:rsidRPr="00382917">
        <w:t>In</w:t>
      </w:r>
      <w:r w:rsidR="00EE4FC3">
        <w:t xml:space="preserve"> </w:t>
      </w:r>
      <w:r w:rsidRPr="00382917">
        <w:t>the</w:t>
      </w:r>
      <w:r w:rsidR="00EE4FC3">
        <w:t xml:space="preserve"> </w:t>
      </w:r>
      <w:proofErr w:type="gramStart"/>
      <w:r w:rsidRPr="00382917">
        <w:t>most</w:t>
      </w:r>
      <w:r w:rsidR="00EE4FC3">
        <w:t xml:space="preserve"> </w:t>
      </w:r>
      <w:r w:rsidRPr="00382917">
        <w:t>bitter</w:t>
      </w:r>
      <w:proofErr w:type="gramEnd"/>
      <w:r w:rsidR="00EE4FC3">
        <w:t xml:space="preserve"> </w:t>
      </w:r>
      <w:r w:rsidRPr="00382917">
        <w:t>terms</w:t>
      </w:r>
      <w:r w:rsidR="00EE4FC3">
        <w:t xml:space="preserve"> </w:t>
      </w:r>
      <w:r w:rsidRPr="00382917">
        <w:t>they</w:t>
      </w:r>
      <w:r w:rsidR="00EE4FC3">
        <w:t xml:space="preserve"> </w:t>
      </w:r>
      <w:r w:rsidRPr="00382917">
        <w:t>accused</w:t>
      </w:r>
      <w:r w:rsidR="00EE4FC3">
        <w:t xml:space="preserve"> </w:t>
      </w:r>
      <w:r w:rsidRPr="00382917">
        <w:t>them</w:t>
      </w:r>
      <w:r w:rsidR="00EE4FC3">
        <w:t xml:space="preserve"> </w:t>
      </w:r>
      <w:r w:rsidRPr="00382917">
        <w:t>of</w:t>
      </w:r>
      <w:r w:rsidR="00EE4FC3">
        <w:t xml:space="preserve"> </w:t>
      </w:r>
      <w:r w:rsidRPr="00382917">
        <w:t>rank</w:t>
      </w:r>
      <w:r w:rsidR="00EE4FC3">
        <w:t xml:space="preserve"> </w:t>
      </w:r>
      <w:r w:rsidRPr="00382917">
        <w:t>incompetency</w:t>
      </w:r>
      <w:r w:rsidR="00B71244">
        <w:t>.</w:t>
      </w:r>
      <w:r w:rsidR="00EE4FC3">
        <w:t xml:space="preserve">  </w:t>
      </w:r>
      <w:r w:rsidRPr="00382917">
        <w:t>They</w:t>
      </w:r>
      <w:r w:rsidR="00EE4FC3">
        <w:t xml:space="preserve"> </w:t>
      </w:r>
      <w:r w:rsidRPr="00382917">
        <w:t>threatened</w:t>
      </w:r>
      <w:r w:rsidR="00EE4FC3">
        <w:t xml:space="preserve"> </w:t>
      </w:r>
      <w:r w:rsidRPr="00382917">
        <w:t>to</w:t>
      </w:r>
      <w:r w:rsidR="00EE4FC3">
        <w:t xml:space="preserve"> </w:t>
      </w:r>
      <w:r w:rsidRPr="00382917">
        <w:t>punish</w:t>
      </w:r>
      <w:r w:rsidR="00EE4FC3">
        <w:t xml:space="preserve"> </w:t>
      </w:r>
      <w:r w:rsidRPr="00382917">
        <w:t>them</w:t>
      </w:r>
      <w:r w:rsidR="00EE4FC3">
        <w:t xml:space="preserve"> </w:t>
      </w:r>
      <w:r w:rsidRPr="00382917">
        <w:t>with</w:t>
      </w:r>
      <w:r w:rsidR="00EE4FC3">
        <w:t xml:space="preserve"> </w:t>
      </w:r>
      <w:r w:rsidRPr="00382917">
        <w:t>the</w:t>
      </w:r>
      <w:r w:rsidR="00EE4FC3">
        <w:t xml:space="preserve"> </w:t>
      </w:r>
      <w:r w:rsidRPr="00382917">
        <w:t>same</w:t>
      </w:r>
      <w:r w:rsidR="00EE4FC3">
        <w:t xml:space="preserve"> </w:t>
      </w:r>
      <w:r w:rsidRPr="00382917">
        <w:t>treatment</w:t>
      </w:r>
      <w:r w:rsidR="00EE4FC3">
        <w:t xml:space="preserve"> </w:t>
      </w:r>
      <w:r w:rsidRPr="00382917">
        <w:t>which</w:t>
      </w:r>
      <w:r w:rsidR="00EE4FC3">
        <w:t xml:space="preserve"> </w:t>
      </w:r>
      <w:r w:rsidRPr="00382917">
        <w:t>had</w:t>
      </w:r>
      <w:r w:rsidR="00EE4FC3">
        <w:t xml:space="preserve"> </w:t>
      </w:r>
      <w:r w:rsidRPr="00382917">
        <w:t>been</w:t>
      </w:r>
      <w:r w:rsidR="00EE4FC3">
        <w:t xml:space="preserve"> </w:t>
      </w:r>
      <w:r w:rsidRPr="00382917">
        <w:t>planned</w:t>
      </w:r>
      <w:r w:rsidR="00EE4FC3">
        <w:t xml:space="preserve"> </w:t>
      </w:r>
      <w:r w:rsidRPr="00382917">
        <w:t>for</w:t>
      </w:r>
      <w:r w:rsidR="00EE4FC3">
        <w:t xml:space="preserve"> </w:t>
      </w:r>
      <w:r w:rsidRPr="00382917">
        <w:t>the</w:t>
      </w:r>
      <w:r w:rsidR="00EE4FC3">
        <w:t xml:space="preserve"> </w:t>
      </w:r>
      <w:r w:rsidRPr="00382917">
        <w:t>followers</w:t>
      </w:r>
      <w:r w:rsidR="00EE4FC3">
        <w:t xml:space="preserve"> </w:t>
      </w:r>
      <w:r w:rsidRPr="00382917">
        <w:t>of</w:t>
      </w:r>
      <w:r w:rsidR="00EE4FC3">
        <w:t xml:space="preserve"> </w:t>
      </w:r>
      <w:r w:rsidRPr="00382917">
        <w:t>the</w:t>
      </w:r>
      <w:r w:rsidR="00EE4FC3">
        <w:t xml:space="preserve"> </w:t>
      </w:r>
      <w:r w:rsidRPr="00382917">
        <w:t>Báb</w:t>
      </w:r>
      <w:r w:rsidR="00B71244">
        <w:t>.</w:t>
      </w:r>
      <w:r w:rsidR="00EE4FC3">
        <w:t xml:space="preserve">  </w:t>
      </w:r>
      <w:r w:rsidRPr="00382917">
        <w:t>The</w:t>
      </w:r>
      <w:r w:rsidR="00EE4FC3">
        <w:t xml:space="preserve"> </w:t>
      </w:r>
      <w:r w:rsidRPr="00382917">
        <w:t>king,</w:t>
      </w:r>
      <w:r w:rsidR="00EE4FC3">
        <w:t xml:space="preserve"> </w:t>
      </w:r>
      <w:r w:rsidRPr="00382917">
        <w:t>in</w:t>
      </w:r>
      <w:r w:rsidR="00EE4FC3">
        <w:t xml:space="preserve"> </w:t>
      </w:r>
      <w:r w:rsidRPr="00382917">
        <w:t>his</w:t>
      </w:r>
      <w:r w:rsidR="00EE4FC3">
        <w:t xml:space="preserve"> </w:t>
      </w:r>
      <w:r w:rsidRPr="00382917">
        <w:t>anxiety</w:t>
      </w:r>
      <w:r w:rsidR="00EE4FC3">
        <w:t xml:space="preserve"> </w:t>
      </w:r>
      <w:r w:rsidRPr="00382917">
        <w:t>and</w:t>
      </w:r>
      <w:r w:rsidR="00EE4FC3">
        <w:t xml:space="preserve"> </w:t>
      </w:r>
      <w:r w:rsidRPr="00382917">
        <w:t>anger,</w:t>
      </w:r>
      <w:r w:rsidR="00EE4FC3">
        <w:t xml:space="preserve"> </w:t>
      </w:r>
      <w:r w:rsidRPr="00382917">
        <w:t>threatened</w:t>
      </w:r>
      <w:r w:rsidR="00EE4FC3">
        <w:t xml:space="preserve"> </w:t>
      </w:r>
      <w:r w:rsidRPr="00382917">
        <w:t>the</w:t>
      </w:r>
      <w:r w:rsidR="00EE4FC3">
        <w:t xml:space="preserve"> </w:t>
      </w:r>
      <w:r w:rsidRPr="00382917">
        <w:t>lives</w:t>
      </w:r>
      <w:r w:rsidR="00EE4FC3">
        <w:t xml:space="preserve"> </w:t>
      </w:r>
      <w:r w:rsidRPr="00382917">
        <w:t>of</w:t>
      </w:r>
      <w:r w:rsidR="00EE4FC3">
        <w:t xml:space="preserve"> </w:t>
      </w:r>
      <w:r w:rsidRPr="00382917">
        <w:t>every</w:t>
      </w:r>
      <w:r w:rsidR="00EE4FC3">
        <w:t xml:space="preserve"> </w:t>
      </w:r>
      <w:r w:rsidRPr="00382917">
        <w:t>person</w:t>
      </w:r>
      <w:r w:rsidR="00EE4FC3">
        <w:t xml:space="preserve"> </w:t>
      </w:r>
      <w:r w:rsidRPr="00382917">
        <w:t>in</w:t>
      </w:r>
      <w:r w:rsidR="00EE4FC3">
        <w:t xml:space="preserve"> </w:t>
      </w:r>
      <w:r w:rsidRPr="00382917">
        <w:t>the</w:t>
      </w:r>
      <w:r w:rsidR="00EE4FC3">
        <w:t xml:space="preserve"> </w:t>
      </w:r>
      <w:r w:rsidRPr="00382917">
        <w:t>province</w:t>
      </w:r>
      <w:r w:rsidR="00EE4FC3">
        <w:t xml:space="preserve"> </w:t>
      </w:r>
      <w:r w:rsidRPr="00382917">
        <w:t>around</w:t>
      </w:r>
      <w:r w:rsidR="00EE4FC3">
        <w:t xml:space="preserve"> </w:t>
      </w:r>
      <w:r w:rsidRPr="00382917">
        <w:t>the</w:t>
      </w:r>
      <w:r w:rsidR="00EE4FC3">
        <w:t xml:space="preserve"> </w:t>
      </w:r>
      <w:r w:rsidRPr="00382917">
        <w:t>fort</w:t>
      </w:r>
      <w:r w:rsidR="00EE4FC3">
        <w:t xml:space="preserve"> </w:t>
      </w:r>
      <w:r w:rsidRPr="00382917">
        <w:t>of</w:t>
      </w:r>
      <w:r w:rsidR="00EE4FC3">
        <w:t xml:space="preserve"> </w:t>
      </w:r>
      <w:r w:rsidR="008A073E" w:rsidRPr="00382917">
        <w:rPr>
          <w:u w:val="single"/>
        </w:rPr>
        <w:t>Sh</w:t>
      </w:r>
      <w:r w:rsidR="008A073E" w:rsidRPr="00382917">
        <w:t>ay</w:t>
      </w:r>
      <w:r w:rsidR="008A073E" w:rsidRPr="00382917">
        <w:rPr>
          <w:u w:val="single"/>
        </w:rPr>
        <w:t>kh</w:t>
      </w:r>
      <w:r w:rsidR="00EE4FC3">
        <w:t xml:space="preserve"> </w:t>
      </w:r>
      <w:r w:rsidRPr="00382917">
        <w:t>Ṭabarsí</w:t>
      </w:r>
      <w:r w:rsidR="00B71244">
        <w:t>.</w:t>
      </w:r>
      <w:r w:rsidR="00EE4FC3">
        <w:t xml:space="preserve">  </w:t>
      </w:r>
      <w:r w:rsidR="009C713D" w:rsidRPr="00382917">
        <w:t>“</w:t>
      </w:r>
      <w:r w:rsidRPr="00382917">
        <w:t>I</w:t>
      </w:r>
      <w:r w:rsidR="00EE4FC3">
        <w:t xml:space="preserve"> </w:t>
      </w:r>
      <w:r w:rsidRPr="00382917">
        <w:t>shall</w:t>
      </w:r>
      <w:r w:rsidR="00EE4FC3">
        <w:t xml:space="preserve"> </w:t>
      </w:r>
      <w:r w:rsidRPr="00382917">
        <w:t>exterminate</w:t>
      </w:r>
      <w:r w:rsidR="00EE4FC3">
        <w:t xml:space="preserve"> </w:t>
      </w:r>
      <w:r w:rsidRPr="00382917">
        <w:t>them</w:t>
      </w:r>
      <w:r w:rsidR="00EE4FC3">
        <w:t xml:space="preserve"> </w:t>
      </w:r>
      <w:r w:rsidRPr="00382917">
        <w:t>to</w:t>
      </w:r>
      <w:r w:rsidR="00EE4FC3">
        <w:t xml:space="preserve"> </w:t>
      </w:r>
      <w:r w:rsidRPr="00382917">
        <w:t>the</w:t>
      </w:r>
      <w:r w:rsidR="00EE4FC3">
        <w:t xml:space="preserve"> </w:t>
      </w:r>
      <w:r w:rsidRPr="00382917">
        <w:t>last</w:t>
      </w:r>
      <w:r w:rsidR="00EE4FC3">
        <w:t xml:space="preserve"> </w:t>
      </w:r>
      <w:r w:rsidRPr="00382917">
        <w:t>man!</w:t>
      </w:r>
      <w:r w:rsidR="009C713D" w:rsidRPr="00382917">
        <w:t>”</w:t>
      </w:r>
      <w:r w:rsidR="00EE4FC3">
        <w:t xml:space="preserve"> </w:t>
      </w:r>
      <w:r w:rsidRPr="00382917">
        <w:t>he</w:t>
      </w:r>
      <w:r w:rsidR="00EE4FC3">
        <w:t xml:space="preserve"> </w:t>
      </w:r>
      <w:r w:rsidRPr="00382917">
        <w:t>said.</w:t>
      </w:r>
    </w:p>
    <w:p w:rsidR="00E13D49" w:rsidRPr="00382917" w:rsidRDefault="00DB6293" w:rsidP="00507DC4">
      <w:pPr>
        <w:pStyle w:val="Text"/>
      </w:pPr>
      <w:r w:rsidRPr="00382917">
        <w:t>The</w:t>
      </w:r>
      <w:r w:rsidR="00EE4FC3">
        <w:t xml:space="preserve"> </w:t>
      </w:r>
      <w:r w:rsidRPr="00382917">
        <w:t>prince</w:t>
      </w:r>
      <w:r w:rsidR="00EE4FC3">
        <w:t xml:space="preserve"> </w:t>
      </w:r>
      <w:r w:rsidRPr="00382917">
        <w:t>and</w:t>
      </w:r>
      <w:r w:rsidR="00EE4FC3">
        <w:t xml:space="preserve"> </w:t>
      </w:r>
      <w:r w:rsidR="009C713D" w:rsidRPr="00382917">
        <w:t>‘</w:t>
      </w:r>
      <w:r w:rsidRPr="00382917">
        <w:t>Abbás-Qulí</w:t>
      </w:r>
      <w:r w:rsidR="00EE4FC3">
        <w:t xml:space="preserve"> </w:t>
      </w:r>
      <w:r w:rsidR="0040329F" w:rsidRPr="0040329F">
        <w:rPr>
          <w:u w:val="single"/>
        </w:rPr>
        <w:t>Kh</w:t>
      </w:r>
      <w:r w:rsidR="0040329F" w:rsidRPr="00382917">
        <w:t>án</w:t>
      </w:r>
      <w:r w:rsidR="00EE4FC3">
        <w:t xml:space="preserve"> </w:t>
      </w:r>
      <w:r w:rsidRPr="00382917">
        <w:t>knew</w:t>
      </w:r>
      <w:r w:rsidR="00EE4FC3">
        <w:t xml:space="preserve"> </w:t>
      </w:r>
      <w:r w:rsidRPr="00382917">
        <w:t>that</w:t>
      </w:r>
      <w:r w:rsidR="00EE4FC3">
        <w:t xml:space="preserve"> </w:t>
      </w:r>
      <w:r w:rsidRPr="00382917">
        <w:t>it</w:t>
      </w:r>
      <w:r w:rsidR="00EE4FC3">
        <w:t xml:space="preserve"> </w:t>
      </w:r>
      <w:r w:rsidRPr="00382917">
        <w:t>was</w:t>
      </w:r>
      <w:r w:rsidR="00EE4FC3">
        <w:t xml:space="preserve"> </w:t>
      </w:r>
      <w:r w:rsidRPr="00382917">
        <w:t>useless</w:t>
      </w:r>
      <w:r w:rsidR="00EE4FC3">
        <w:t xml:space="preserve"> </w:t>
      </w:r>
      <w:r w:rsidRPr="00382917">
        <w:t>to</w:t>
      </w:r>
      <w:r w:rsidR="00EE4FC3">
        <w:t xml:space="preserve"> </w:t>
      </w:r>
      <w:r w:rsidRPr="00382917">
        <w:t>try</w:t>
      </w:r>
      <w:r w:rsidR="00EE4FC3">
        <w:t xml:space="preserve"> </w:t>
      </w:r>
      <w:r w:rsidRPr="00382917">
        <w:t>and</w:t>
      </w:r>
      <w:r w:rsidR="00EE4FC3">
        <w:t xml:space="preserve"> </w:t>
      </w:r>
      <w:r w:rsidRPr="00382917">
        <w:t>explain</w:t>
      </w:r>
      <w:r w:rsidR="00EE4FC3">
        <w:t xml:space="preserve"> </w:t>
      </w:r>
      <w:r w:rsidRPr="00382917">
        <w:t>to</w:t>
      </w:r>
      <w:r w:rsidR="00EE4FC3">
        <w:t xml:space="preserve"> </w:t>
      </w:r>
      <w:r w:rsidRPr="00382917">
        <w:t>an</w:t>
      </w:r>
      <w:r w:rsidR="00EE4FC3">
        <w:t xml:space="preserve"> </w:t>
      </w:r>
      <w:r w:rsidRPr="00382917">
        <w:t>angry</w:t>
      </w:r>
      <w:r w:rsidR="00EE4FC3">
        <w:t xml:space="preserve"> </w:t>
      </w:r>
      <w:r w:rsidRPr="00382917">
        <w:t>king</w:t>
      </w:r>
      <w:r w:rsidR="00EE4FC3">
        <w:t xml:space="preserve"> </w:t>
      </w:r>
      <w:r w:rsidRPr="00382917">
        <w:t>that</w:t>
      </w:r>
      <w:r w:rsidR="00EE4FC3">
        <w:t xml:space="preserve"> </w:t>
      </w:r>
      <w:r w:rsidRPr="00382917">
        <w:t>although</w:t>
      </w:r>
      <w:r w:rsidR="00EE4FC3">
        <w:t xml:space="preserve"> </w:t>
      </w:r>
      <w:r w:rsidRPr="00382917">
        <w:t>the</w:t>
      </w:r>
      <w:r w:rsidR="00EE4FC3">
        <w:t xml:space="preserve"> </w:t>
      </w:r>
      <w:r w:rsidRPr="00382917">
        <w:t>defenders</w:t>
      </w:r>
      <w:r w:rsidR="00EE4FC3">
        <w:t xml:space="preserve"> </w:t>
      </w:r>
      <w:r w:rsidRPr="00382917">
        <w:t>of</w:t>
      </w:r>
      <w:r w:rsidR="00EE4FC3">
        <w:t xml:space="preserve"> </w:t>
      </w:r>
      <w:r w:rsidRPr="00382917">
        <w:t>the</w:t>
      </w:r>
      <w:r w:rsidR="00EE4FC3">
        <w:t xml:space="preserve"> </w:t>
      </w:r>
      <w:r w:rsidRPr="00382917">
        <w:t>fort</w:t>
      </w:r>
      <w:r w:rsidR="00EE4FC3">
        <w:t xml:space="preserve"> </w:t>
      </w:r>
      <w:r w:rsidRPr="00382917">
        <w:t>were</w:t>
      </w:r>
      <w:r w:rsidR="00EE4FC3">
        <w:t xml:space="preserve"> </w:t>
      </w:r>
      <w:r w:rsidRPr="00382917">
        <w:t>not</w:t>
      </w:r>
      <w:r w:rsidR="00EE4FC3">
        <w:t xml:space="preserve"> </w:t>
      </w:r>
      <w:r w:rsidRPr="00382917">
        <w:t>professional</w:t>
      </w:r>
      <w:r w:rsidR="00EE4FC3">
        <w:t xml:space="preserve"> </w:t>
      </w:r>
      <w:r w:rsidRPr="00382917">
        <w:t>soldiers,</w:t>
      </w:r>
      <w:r w:rsidR="00EE4FC3">
        <w:t xml:space="preserve"> </w:t>
      </w:r>
      <w:r w:rsidRPr="00382917">
        <w:t>it</w:t>
      </w:r>
      <w:r w:rsidR="00EE4FC3">
        <w:t xml:space="preserve"> </w:t>
      </w:r>
      <w:r w:rsidRPr="00382917">
        <w:t>had</w:t>
      </w:r>
      <w:r w:rsidR="00EE4FC3">
        <w:t xml:space="preserve"> </w:t>
      </w:r>
      <w:r w:rsidRPr="00382917">
        <w:t>proved</w:t>
      </w:r>
      <w:r w:rsidR="00EE4FC3">
        <w:t xml:space="preserve"> </w:t>
      </w:r>
      <w:r w:rsidRPr="00382917">
        <w:t>impossible</w:t>
      </w:r>
      <w:r w:rsidR="00EE4FC3">
        <w:t xml:space="preserve"> </w:t>
      </w:r>
      <w:r w:rsidRPr="00382917">
        <w:t>to</w:t>
      </w:r>
      <w:r w:rsidR="00EE4FC3">
        <w:t xml:space="preserve"> </w:t>
      </w:r>
      <w:r w:rsidRPr="00382917">
        <w:t>force</w:t>
      </w:r>
      <w:r w:rsidR="00EE4FC3">
        <w:t xml:space="preserve"> </w:t>
      </w:r>
      <w:r w:rsidRPr="00382917">
        <w:t>their</w:t>
      </w:r>
      <w:r w:rsidR="00EE4FC3">
        <w:t xml:space="preserve"> </w:t>
      </w:r>
      <w:r w:rsidRPr="00382917">
        <w:t>surrender</w:t>
      </w:r>
      <w:r w:rsidR="00B71244">
        <w:t>.</w:t>
      </w:r>
      <w:r w:rsidR="00EE4FC3">
        <w:t xml:space="preserve">  </w:t>
      </w:r>
      <w:r w:rsidR="009C713D" w:rsidRPr="00382917">
        <w:t>‘</w:t>
      </w:r>
      <w:r w:rsidRPr="00382917">
        <w:t>Abbás-Qulí</w:t>
      </w:r>
      <w:r w:rsidR="00EE4FC3">
        <w:t xml:space="preserve"> </w:t>
      </w:r>
      <w:r w:rsidR="0040329F" w:rsidRPr="0040329F">
        <w:rPr>
          <w:u w:val="single"/>
        </w:rPr>
        <w:t>Kh</w:t>
      </w:r>
      <w:r w:rsidR="0040329F" w:rsidRPr="00382917">
        <w:t>án</w:t>
      </w:r>
      <w:r w:rsidR="00EE4FC3">
        <w:t xml:space="preserve"> </w:t>
      </w:r>
      <w:r w:rsidRPr="00382917">
        <w:t>himself</w:t>
      </w:r>
      <w:r w:rsidR="00EE4FC3">
        <w:t xml:space="preserve"> </w:t>
      </w:r>
      <w:r w:rsidRPr="00382917">
        <w:t>expressed</w:t>
      </w:r>
      <w:r w:rsidR="00EE4FC3">
        <w:t xml:space="preserve"> </w:t>
      </w:r>
      <w:r w:rsidRPr="00382917">
        <w:t>this</w:t>
      </w:r>
      <w:r w:rsidR="00EE4FC3">
        <w:t xml:space="preserve"> </w:t>
      </w:r>
      <w:r w:rsidRPr="00382917">
        <w:t>dilemma</w:t>
      </w:r>
      <w:r w:rsidR="00EE4FC3">
        <w:t xml:space="preserve"> </w:t>
      </w:r>
      <w:r w:rsidRPr="00382917">
        <w:t>by</w:t>
      </w:r>
      <w:r w:rsidR="00EE4FC3">
        <w:t xml:space="preserve"> </w:t>
      </w:r>
      <w:r w:rsidRPr="00382917">
        <w:t>admitting</w:t>
      </w:r>
      <w:r w:rsidR="00EE4FC3">
        <w:t xml:space="preserve"> </w:t>
      </w:r>
      <w:r w:rsidRPr="00382917">
        <w:t>in</w:t>
      </w:r>
      <w:r w:rsidR="00EE4FC3">
        <w:t xml:space="preserve"> </w:t>
      </w:r>
      <w:r w:rsidRPr="00382917">
        <w:t>his</w:t>
      </w:r>
      <w:r w:rsidR="00EE4FC3">
        <w:t xml:space="preserve"> </w:t>
      </w:r>
      <w:r w:rsidRPr="00382917">
        <w:t>own</w:t>
      </w:r>
      <w:r w:rsidR="00EE4FC3">
        <w:t xml:space="preserve"> </w:t>
      </w:r>
      <w:r w:rsidRPr="00382917">
        <w:t>words</w:t>
      </w:r>
      <w:r w:rsidR="00EE4FC3">
        <w:t xml:space="preserve"> </w:t>
      </w:r>
      <w:r w:rsidRPr="00382917">
        <w:t>that</w:t>
      </w:r>
      <w:r w:rsidR="00EE4FC3">
        <w:t xml:space="preserve"> </w:t>
      </w:r>
      <w:r w:rsidRPr="00382917">
        <w:t>the</w:t>
      </w:r>
      <w:r w:rsidR="00EE4FC3">
        <w:t xml:space="preserve"> </w:t>
      </w:r>
      <w:r w:rsidRPr="00382917">
        <w:t>companions</w:t>
      </w:r>
      <w:r w:rsidR="00EE4FC3">
        <w:t xml:space="preserve"> </w:t>
      </w:r>
      <w:r w:rsidRPr="00382917">
        <w:t>of</w:t>
      </w:r>
      <w:r w:rsidR="00EE4FC3">
        <w:t xml:space="preserve"> </w:t>
      </w:r>
      <w:r w:rsidRPr="00382917">
        <w:t>Quddús</w:t>
      </w:r>
      <w:r w:rsidR="00EE4FC3">
        <w:t xml:space="preserve"> </w:t>
      </w:r>
      <w:r w:rsidRPr="00382917">
        <w:t>were</w:t>
      </w:r>
      <w:r w:rsidR="00C03C91">
        <w:t>:</w:t>
      </w:r>
      <w:r w:rsidR="00EE4FC3">
        <w:t xml:space="preserve">  </w:t>
      </w:r>
      <w:r w:rsidR="009C713D" w:rsidRPr="00382917">
        <w:t>“</w:t>
      </w:r>
      <w:r w:rsidRPr="00382917">
        <w:t>Scholars</w:t>
      </w:r>
      <w:r w:rsidR="00EE4FC3">
        <w:t xml:space="preserve"> </w:t>
      </w:r>
      <w:r w:rsidRPr="00382917">
        <w:t>and</w:t>
      </w:r>
      <w:r w:rsidR="00EE4FC3">
        <w:t xml:space="preserve"> </w:t>
      </w:r>
      <w:r w:rsidRPr="00382917">
        <w:t>men</w:t>
      </w:r>
      <w:r w:rsidR="00EE4FC3">
        <w:t xml:space="preserve"> </w:t>
      </w:r>
      <w:r w:rsidRPr="00382917">
        <w:t>of</w:t>
      </w:r>
      <w:r w:rsidR="00EE4FC3">
        <w:t xml:space="preserve"> </w:t>
      </w:r>
      <w:r w:rsidRPr="00382917">
        <w:t>learning</w:t>
      </w:r>
      <w:r w:rsidR="00EE4FC3">
        <w:t xml:space="preserve"> </w:t>
      </w:r>
      <w:r w:rsidR="00F04416" w:rsidRPr="00382917">
        <w:t>…</w:t>
      </w:r>
      <w:r w:rsidR="00EE4FC3">
        <w:t xml:space="preserve"> </w:t>
      </w:r>
      <w:r w:rsidRPr="00382917">
        <w:t>strangers</w:t>
      </w:r>
      <w:r w:rsidR="00EE4FC3">
        <w:t xml:space="preserve"> </w:t>
      </w:r>
      <w:r w:rsidRPr="00382917">
        <w:t>to</w:t>
      </w:r>
      <w:r w:rsidR="00EE4FC3">
        <w:t xml:space="preserve"> </w:t>
      </w:r>
      <w:r w:rsidRPr="00382917">
        <w:t>the</w:t>
      </w:r>
      <w:r w:rsidR="00EE4FC3">
        <w:t xml:space="preserve"> </w:t>
      </w:r>
      <w:r w:rsidRPr="00382917">
        <w:t>roar</w:t>
      </w:r>
      <w:r w:rsidR="00EE4FC3">
        <w:t xml:space="preserve"> </w:t>
      </w:r>
      <w:r w:rsidRPr="00382917">
        <w:t>of</w:t>
      </w:r>
      <w:r w:rsidR="00EE4FC3">
        <w:t xml:space="preserve"> </w:t>
      </w:r>
      <w:r w:rsidRPr="00382917">
        <w:t>the</w:t>
      </w:r>
      <w:r w:rsidR="00EE4FC3">
        <w:t xml:space="preserve"> </w:t>
      </w:r>
      <w:r w:rsidRPr="00382917">
        <w:t>cannon,</w:t>
      </w:r>
      <w:r w:rsidR="00EE4FC3">
        <w:t xml:space="preserve"> </w:t>
      </w:r>
      <w:r w:rsidRPr="00382917">
        <w:t>the</w:t>
      </w:r>
      <w:r w:rsidR="00EE4FC3">
        <w:t xml:space="preserve"> </w:t>
      </w:r>
      <w:r w:rsidRPr="00382917">
        <w:t>rattle</w:t>
      </w:r>
      <w:r w:rsidR="00EE4FC3">
        <w:t xml:space="preserve"> </w:t>
      </w:r>
      <w:r w:rsidRPr="00382917">
        <w:t>of</w:t>
      </w:r>
      <w:r w:rsidR="00EE4FC3">
        <w:t xml:space="preserve"> </w:t>
      </w:r>
      <w:r w:rsidRPr="00382917">
        <w:t>musketry,</w:t>
      </w:r>
      <w:r w:rsidR="00EE4FC3">
        <w:t xml:space="preserve"> </w:t>
      </w:r>
      <w:r w:rsidRPr="00382917">
        <w:t>and</w:t>
      </w:r>
      <w:r w:rsidR="00EE4FC3">
        <w:t xml:space="preserve"> </w:t>
      </w:r>
      <w:r w:rsidRPr="00382917">
        <w:t>the</w:t>
      </w:r>
      <w:r w:rsidR="00EE4FC3">
        <w:t xml:space="preserve"> </w:t>
      </w:r>
      <w:r w:rsidRPr="00382917">
        <w:t>field</w:t>
      </w:r>
      <w:r w:rsidR="00EE4FC3">
        <w:t xml:space="preserve"> </w:t>
      </w:r>
      <w:r w:rsidRPr="00382917">
        <w:t>of</w:t>
      </w:r>
      <w:r w:rsidR="00EE4FC3">
        <w:t xml:space="preserve"> </w:t>
      </w:r>
      <w:r w:rsidRPr="00382917">
        <w:t>battle</w:t>
      </w:r>
      <w:r w:rsidR="00EE4FC3">
        <w:t xml:space="preserve"> </w:t>
      </w:r>
      <w:r w:rsidR="00F04416" w:rsidRPr="00382917">
        <w:t>…</w:t>
      </w:r>
      <w:r w:rsidR="00EE4FC3">
        <w:t xml:space="preserve"> </w:t>
      </w:r>
      <w:r w:rsidRPr="00382917">
        <w:t>Notwithstanding</w:t>
      </w:r>
      <w:r w:rsidR="00EE4FC3">
        <w:t xml:space="preserve"> </w:t>
      </w:r>
      <w:r w:rsidRPr="00382917">
        <w:t>this,</w:t>
      </w:r>
      <w:r w:rsidR="00EE4FC3">
        <w:t xml:space="preserve"> </w:t>
      </w:r>
      <w:r w:rsidRPr="00382917">
        <w:t>it</w:t>
      </w:r>
      <w:r w:rsidR="00EE4FC3">
        <w:t xml:space="preserve"> </w:t>
      </w:r>
      <w:r w:rsidRPr="00382917">
        <w:t>seemed</w:t>
      </w:r>
      <w:r w:rsidR="00EE4FC3">
        <w:t xml:space="preserve"> </w:t>
      </w:r>
      <w:r w:rsidRPr="00382917">
        <w:t>as</w:t>
      </w:r>
      <w:r w:rsidR="00EE4FC3">
        <w:t xml:space="preserve"> </w:t>
      </w:r>
      <w:r w:rsidRPr="00382917">
        <w:t>if</w:t>
      </w:r>
      <w:r w:rsidR="00EE4FC3">
        <w:t xml:space="preserve"> </w:t>
      </w:r>
      <w:r w:rsidRPr="00382917">
        <w:t>in</w:t>
      </w:r>
      <w:r w:rsidR="00EE4FC3">
        <w:t xml:space="preserve"> </w:t>
      </w:r>
      <w:r w:rsidRPr="00382917">
        <w:t>time</w:t>
      </w:r>
      <w:r w:rsidR="00EE4FC3">
        <w:t xml:space="preserve"> </w:t>
      </w:r>
      <w:r w:rsidRPr="00382917">
        <w:t>of</w:t>
      </w:r>
      <w:r w:rsidR="00EE4FC3">
        <w:t xml:space="preserve"> </w:t>
      </w:r>
      <w:r w:rsidRPr="00382917">
        <w:t>battle</w:t>
      </w:r>
      <w:r w:rsidR="00EE4FC3">
        <w:t xml:space="preserve"> </w:t>
      </w:r>
      <w:r w:rsidRPr="00382917">
        <w:t>a</w:t>
      </w:r>
      <w:r w:rsidR="00EE4FC3">
        <w:t xml:space="preserve"> </w:t>
      </w:r>
      <w:r w:rsidRPr="00382917">
        <w:t>new</w:t>
      </w:r>
      <w:r w:rsidR="00EE4FC3">
        <w:t xml:space="preserve"> </w:t>
      </w:r>
      <w:r w:rsidRPr="00382917">
        <w:t>spirit</w:t>
      </w:r>
      <w:r w:rsidR="00EE4FC3">
        <w:t xml:space="preserve"> </w:t>
      </w:r>
      <w:r w:rsidRPr="00382917">
        <w:t>were</w:t>
      </w:r>
      <w:r w:rsidR="00EE4FC3">
        <w:t xml:space="preserve"> </w:t>
      </w:r>
      <w:r w:rsidRPr="00382917">
        <w:t>breathed</w:t>
      </w:r>
      <w:r w:rsidR="00EE4FC3">
        <w:t xml:space="preserve"> </w:t>
      </w:r>
      <w:r w:rsidRPr="00382917">
        <w:t>into</w:t>
      </w:r>
      <w:r w:rsidR="00EE4FC3">
        <w:t xml:space="preserve"> </w:t>
      </w:r>
      <w:r w:rsidRPr="00382917">
        <w:t>their</w:t>
      </w:r>
      <w:r w:rsidR="00EE4FC3">
        <w:t xml:space="preserve"> </w:t>
      </w:r>
      <w:r w:rsidRPr="00382917">
        <w:t>frames</w:t>
      </w:r>
      <w:r w:rsidR="00EE4FC3">
        <w:t xml:space="preserve"> </w:t>
      </w:r>
      <w:r w:rsidR="00F04416" w:rsidRPr="00382917">
        <w:t>…</w:t>
      </w:r>
      <w:r w:rsidR="00EE4FC3">
        <w:t xml:space="preserve"> </w:t>
      </w:r>
      <w:r w:rsidRPr="00382917">
        <w:t>the</w:t>
      </w:r>
      <w:r w:rsidR="00EE4FC3">
        <w:t xml:space="preserve"> </w:t>
      </w:r>
      <w:r w:rsidRPr="00382917">
        <w:t>imagination</w:t>
      </w:r>
      <w:r w:rsidR="00EE4FC3">
        <w:t xml:space="preserve"> </w:t>
      </w:r>
      <w:r w:rsidRPr="00382917">
        <w:t>of</w:t>
      </w:r>
      <w:r w:rsidR="00EE4FC3">
        <w:t xml:space="preserve"> </w:t>
      </w:r>
      <w:r w:rsidRPr="00382917">
        <w:t>man</w:t>
      </w:r>
      <w:r w:rsidR="00EE4FC3">
        <w:t xml:space="preserve"> </w:t>
      </w:r>
      <w:r w:rsidRPr="00382917">
        <w:t>cannot</w:t>
      </w:r>
      <w:r w:rsidR="00EE4FC3">
        <w:t xml:space="preserve"> </w:t>
      </w:r>
      <w:r w:rsidRPr="00382917">
        <w:t>conceive</w:t>
      </w:r>
      <w:r w:rsidR="00EE4FC3">
        <w:t xml:space="preserve"> </w:t>
      </w:r>
      <w:r w:rsidRPr="00382917">
        <w:t>the</w:t>
      </w:r>
      <w:r w:rsidR="00EE4FC3">
        <w:t xml:space="preserve"> </w:t>
      </w:r>
      <w:r w:rsidRPr="00382917">
        <w:t>vehemence</w:t>
      </w:r>
      <w:r w:rsidR="00EE4FC3">
        <w:t xml:space="preserve"> </w:t>
      </w:r>
      <w:r w:rsidRPr="00382917">
        <w:t>of</w:t>
      </w:r>
      <w:r w:rsidR="00EE4FC3">
        <w:t xml:space="preserve"> </w:t>
      </w:r>
      <w:r w:rsidRPr="00382917">
        <w:t>their</w:t>
      </w:r>
      <w:r w:rsidR="00EE4FC3">
        <w:t xml:space="preserve"> </w:t>
      </w:r>
      <w:r w:rsidRPr="00382917">
        <w:t>courage</w:t>
      </w:r>
      <w:r w:rsidR="00EE4FC3">
        <w:t xml:space="preserve"> </w:t>
      </w:r>
      <w:r w:rsidRPr="00382917">
        <w:t>and</w:t>
      </w:r>
      <w:r w:rsidR="00EE4FC3">
        <w:t xml:space="preserve"> </w:t>
      </w:r>
      <w:proofErr w:type="spellStart"/>
      <w:r w:rsidRPr="00382917">
        <w:t>valor</w:t>
      </w:r>
      <w:proofErr w:type="spellEnd"/>
      <w:r w:rsidR="00B71244">
        <w:t>.</w:t>
      </w:r>
      <w:r w:rsidR="00EE4FC3">
        <w:t xml:space="preserve">  </w:t>
      </w:r>
      <w:r w:rsidRPr="00382917">
        <w:t>They</w:t>
      </w:r>
      <w:r w:rsidR="00EE4FC3">
        <w:t xml:space="preserve"> </w:t>
      </w:r>
      <w:r w:rsidRPr="00382917">
        <w:t>used</w:t>
      </w:r>
      <w:r w:rsidR="00EE4FC3">
        <w:t xml:space="preserve"> </w:t>
      </w:r>
      <w:r w:rsidRPr="00382917">
        <w:t>to</w:t>
      </w:r>
      <w:r w:rsidR="00EE4FC3">
        <w:t xml:space="preserve"> </w:t>
      </w:r>
      <w:r w:rsidRPr="00382917">
        <w:t>expose</w:t>
      </w:r>
      <w:r w:rsidR="00EE4FC3">
        <w:t xml:space="preserve"> </w:t>
      </w:r>
      <w:r w:rsidRPr="00382917">
        <w:t>their</w:t>
      </w:r>
      <w:r w:rsidR="00EE4FC3">
        <w:t xml:space="preserve"> </w:t>
      </w:r>
      <w:r w:rsidRPr="00382917">
        <w:t>bodies</w:t>
      </w:r>
      <w:r w:rsidR="00EE4FC3">
        <w:t xml:space="preserve"> </w:t>
      </w:r>
      <w:r w:rsidRPr="00382917">
        <w:t>to</w:t>
      </w:r>
      <w:r w:rsidR="00EE4FC3">
        <w:t xml:space="preserve"> </w:t>
      </w:r>
      <w:r w:rsidRPr="00382917">
        <w:t>the</w:t>
      </w:r>
      <w:r w:rsidR="00EE4FC3">
        <w:t xml:space="preserve"> </w:t>
      </w:r>
      <w:r w:rsidRPr="00382917">
        <w:t>bullets</w:t>
      </w:r>
      <w:r w:rsidR="00EE4FC3">
        <w:t xml:space="preserve"> </w:t>
      </w:r>
      <w:r w:rsidRPr="00382917">
        <w:t>and</w:t>
      </w:r>
      <w:r w:rsidR="00EE4FC3">
        <w:t xml:space="preserve"> </w:t>
      </w:r>
      <w:r w:rsidRPr="00382917">
        <w:t>cannon-balls</w:t>
      </w:r>
      <w:r w:rsidR="00EE4FC3">
        <w:t xml:space="preserve"> </w:t>
      </w:r>
      <w:r w:rsidRPr="00382917">
        <w:t>not</w:t>
      </w:r>
      <w:r w:rsidR="00EE4FC3">
        <w:t xml:space="preserve"> </w:t>
      </w:r>
      <w:r w:rsidRPr="00382917">
        <w:t>only</w:t>
      </w:r>
      <w:r w:rsidR="00EE4FC3">
        <w:t xml:space="preserve"> </w:t>
      </w:r>
      <w:r w:rsidRPr="00382917">
        <w:t>fearlessly</w:t>
      </w:r>
      <w:r w:rsidR="00EE4FC3">
        <w:t xml:space="preserve"> </w:t>
      </w:r>
      <w:r w:rsidRPr="00382917">
        <w:t>and</w:t>
      </w:r>
      <w:r w:rsidR="00EE4FC3">
        <w:t xml:space="preserve"> </w:t>
      </w:r>
      <w:r w:rsidRPr="00382917">
        <w:t>courageously,</w:t>
      </w:r>
      <w:r w:rsidR="00EE4FC3">
        <w:t xml:space="preserve"> </w:t>
      </w:r>
      <w:r w:rsidRPr="00382917">
        <w:t>but</w:t>
      </w:r>
      <w:r w:rsidR="00EE4FC3">
        <w:t xml:space="preserve"> </w:t>
      </w:r>
      <w:r w:rsidRPr="00382917">
        <w:t>eagerly</w:t>
      </w:r>
      <w:r w:rsidR="00EE4FC3">
        <w:t xml:space="preserve"> </w:t>
      </w:r>
      <w:r w:rsidRPr="00382917">
        <w:t>and</w:t>
      </w:r>
      <w:r w:rsidR="00EE4FC3">
        <w:t xml:space="preserve"> </w:t>
      </w:r>
      <w:r w:rsidRPr="00382917">
        <w:t>joyously,</w:t>
      </w:r>
      <w:r w:rsidR="00EE4FC3">
        <w:t xml:space="preserve"> </w:t>
      </w:r>
      <w:r w:rsidRPr="00382917">
        <w:t>seeming</w:t>
      </w:r>
      <w:r w:rsidR="00EE4FC3">
        <w:t xml:space="preserve"> </w:t>
      </w:r>
      <w:r w:rsidRPr="00382917">
        <w:t>to</w:t>
      </w:r>
      <w:r w:rsidR="00EE4FC3">
        <w:t xml:space="preserve"> </w:t>
      </w:r>
      <w:r w:rsidRPr="00382917">
        <w:t>regard</w:t>
      </w:r>
      <w:r w:rsidR="00EE4FC3">
        <w:t xml:space="preserve"> </w:t>
      </w:r>
      <w:r w:rsidRPr="00382917">
        <w:t>the</w:t>
      </w:r>
      <w:r w:rsidR="00EE4FC3">
        <w:t xml:space="preserve"> </w:t>
      </w:r>
      <w:r w:rsidRPr="00382917">
        <w:t>battle-field</w:t>
      </w:r>
      <w:r w:rsidR="00EE4FC3">
        <w:t xml:space="preserve"> </w:t>
      </w:r>
      <w:r w:rsidRPr="00382917">
        <w:t>as</w:t>
      </w:r>
      <w:r w:rsidR="00EE4FC3">
        <w:t xml:space="preserve"> </w:t>
      </w:r>
      <w:r w:rsidRPr="00382917">
        <w:t>a</w:t>
      </w:r>
      <w:r w:rsidR="00EE4FC3">
        <w:t xml:space="preserve"> </w:t>
      </w:r>
      <w:r w:rsidRPr="00382917">
        <w:t>banquet.</w:t>
      </w:r>
      <w:r w:rsidR="00507DC4">
        <w:rPr>
          <w:rStyle w:val="FootnoteReference"/>
        </w:rPr>
        <w:footnoteReference w:id="125"/>
      </w:r>
    </w:p>
    <w:p w:rsidR="00DB6293" w:rsidRPr="00382917" w:rsidRDefault="00DB6293" w:rsidP="00DB6293">
      <w:pPr>
        <w:pStyle w:val="Text"/>
      </w:pPr>
      <w:r w:rsidRPr="00382917">
        <w:t>The</w:t>
      </w:r>
      <w:r w:rsidR="00EE4FC3">
        <w:t xml:space="preserve"> </w:t>
      </w:r>
      <w:r w:rsidRPr="00382917">
        <w:t>prince</w:t>
      </w:r>
      <w:r w:rsidR="00EE4FC3">
        <w:t xml:space="preserve"> </w:t>
      </w:r>
      <w:r w:rsidRPr="00382917">
        <w:t>was</w:t>
      </w:r>
      <w:r w:rsidR="00EE4FC3">
        <w:t xml:space="preserve"> </w:t>
      </w:r>
      <w:r w:rsidRPr="00382917">
        <w:t>informed</w:t>
      </w:r>
      <w:r w:rsidR="00EE4FC3">
        <w:t xml:space="preserve"> </w:t>
      </w:r>
      <w:r w:rsidRPr="00382917">
        <w:t>of</w:t>
      </w:r>
      <w:r w:rsidR="00EE4FC3">
        <w:t xml:space="preserve"> </w:t>
      </w:r>
      <w:r w:rsidRPr="00382917">
        <w:t>the</w:t>
      </w:r>
      <w:r w:rsidR="00EE4FC3">
        <w:t xml:space="preserve"> </w:t>
      </w:r>
      <w:r w:rsidRPr="00382917">
        <w:t>threats</w:t>
      </w:r>
      <w:r w:rsidR="00EE4FC3">
        <w:t xml:space="preserve"> </w:t>
      </w:r>
      <w:r w:rsidRPr="00382917">
        <w:t>which</w:t>
      </w:r>
      <w:r w:rsidR="00EE4FC3">
        <w:t xml:space="preserve"> </w:t>
      </w:r>
      <w:r w:rsidRPr="00382917">
        <w:t>the</w:t>
      </w:r>
      <w:r w:rsidR="00EE4FC3">
        <w:t xml:space="preserve"> </w:t>
      </w:r>
      <w:r w:rsidRPr="00382917">
        <w:t>king</w:t>
      </w:r>
      <w:r w:rsidR="00EE4FC3">
        <w:t xml:space="preserve"> </w:t>
      </w:r>
      <w:r w:rsidRPr="00382917">
        <w:t>had</w:t>
      </w:r>
      <w:r w:rsidR="00EE4FC3">
        <w:t xml:space="preserve"> </w:t>
      </w:r>
      <w:r w:rsidRPr="00382917">
        <w:t>made</w:t>
      </w:r>
      <w:r w:rsidR="00B71244">
        <w:t>.</w:t>
      </w:r>
      <w:r w:rsidR="00EE4FC3">
        <w:t xml:space="preserve">  </w:t>
      </w:r>
      <w:r w:rsidRPr="00382917">
        <w:t>He</w:t>
      </w:r>
      <w:r w:rsidR="00EE4FC3">
        <w:t xml:space="preserve"> </w:t>
      </w:r>
      <w:r w:rsidRPr="00382917">
        <w:t>was</w:t>
      </w:r>
      <w:r w:rsidR="00EE4FC3">
        <w:t xml:space="preserve"> </w:t>
      </w:r>
      <w:r w:rsidRPr="00382917">
        <w:t>afraid</w:t>
      </w:r>
      <w:r w:rsidR="00EE4FC3">
        <w:t xml:space="preserve"> </w:t>
      </w:r>
      <w:r w:rsidRPr="00382917">
        <w:t>that</w:t>
      </w:r>
      <w:r w:rsidR="00EE4FC3">
        <w:t xml:space="preserve"> </w:t>
      </w:r>
      <w:r w:rsidRPr="00382917">
        <w:t>any</w:t>
      </w:r>
      <w:r w:rsidR="00EE4FC3">
        <w:t xml:space="preserve"> </w:t>
      </w:r>
      <w:r w:rsidRPr="00382917">
        <w:t>further</w:t>
      </w:r>
      <w:r w:rsidR="00EE4FC3">
        <w:t xml:space="preserve"> </w:t>
      </w:r>
      <w:r w:rsidRPr="00382917">
        <w:t>delay</w:t>
      </w:r>
      <w:r w:rsidR="00EE4FC3">
        <w:t xml:space="preserve"> </w:t>
      </w:r>
      <w:r w:rsidRPr="00382917">
        <w:t>in</w:t>
      </w:r>
      <w:r w:rsidR="00EE4FC3">
        <w:t xml:space="preserve"> </w:t>
      </w:r>
      <w:r w:rsidRPr="00382917">
        <w:t>subduing</w:t>
      </w:r>
      <w:r w:rsidR="00EE4FC3">
        <w:t xml:space="preserve"> </w:t>
      </w:r>
      <w:r w:rsidRPr="00382917">
        <w:t>Quddús</w:t>
      </w:r>
      <w:r w:rsidR="00EE4FC3">
        <w:t xml:space="preserve"> </w:t>
      </w:r>
      <w:r w:rsidRPr="00382917">
        <w:t>and</w:t>
      </w:r>
      <w:r w:rsidR="00EE4FC3">
        <w:t xml:space="preserve"> </w:t>
      </w:r>
      <w:r w:rsidRPr="00382917">
        <w:t>his</w:t>
      </w:r>
      <w:r w:rsidR="00EE4FC3">
        <w:t xml:space="preserve"> </w:t>
      </w:r>
      <w:r w:rsidRPr="00382917">
        <w:t>companions</w:t>
      </w:r>
      <w:r w:rsidR="00EE4FC3">
        <w:t xml:space="preserve"> </w:t>
      </w:r>
      <w:r w:rsidRPr="00382917">
        <w:t>might</w:t>
      </w:r>
      <w:r w:rsidR="00EE4FC3">
        <w:t xml:space="preserve"> </w:t>
      </w:r>
      <w:r w:rsidRPr="00382917">
        <w:t>result</w:t>
      </w:r>
      <w:r w:rsidR="00EE4FC3">
        <w:t xml:space="preserve"> </w:t>
      </w:r>
      <w:r w:rsidRPr="00382917">
        <w:t>in</w:t>
      </w:r>
      <w:r w:rsidR="00EE4FC3">
        <w:t xml:space="preserve"> </w:t>
      </w:r>
      <w:r w:rsidRPr="00382917">
        <w:t>the</w:t>
      </w:r>
      <w:r w:rsidR="00EE4FC3">
        <w:t xml:space="preserve"> </w:t>
      </w:r>
      <w:r w:rsidRPr="00382917">
        <w:t>loss</w:t>
      </w:r>
      <w:r w:rsidR="00EE4FC3">
        <w:t xml:space="preserve"> </w:t>
      </w:r>
      <w:r w:rsidRPr="00382917">
        <w:t>of</w:t>
      </w:r>
      <w:r w:rsidR="00EE4FC3">
        <w:t xml:space="preserve"> </w:t>
      </w:r>
      <w:r w:rsidRPr="00382917">
        <w:t>his</w:t>
      </w:r>
      <w:r w:rsidR="00EE4FC3">
        <w:t xml:space="preserve"> </w:t>
      </w:r>
      <w:r w:rsidRPr="00382917">
        <w:t>prestige,</w:t>
      </w:r>
      <w:r w:rsidR="00EE4FC3">
        <w:t xml:space="preserve"> </w:t>
      </w:r>
      <w:r w:rsidRPr="00382917">
        <w:t>perhaps</w:t>
      </w:r>
      <w:r w:rsidR="00EE4FC3">
        <w:t xml:space="preserve"> </w:t>
      </w:r>
      <w:r w:rsidRPr="00382917">
        <w:t>his</w:t>
      </w:r>
      <w:r w:rsidR="00EE4FC3">
        <w:t xml:space="preserve"> </w:t>
      </w:r>
      <w:r w:rsidRPr="00382917">
        <w:t>own</w:t>
      </w:r>
      <w:r w:rsidR="00EE4FC3">
        <w:t xml:space="preserve"> </w:t>
      </w:r>
      <w:r w:rsidRPr="00382917">
        <w:t>life</w:t>
      </w:r>
      <w:r w:rsidR="00B71244">
        <w:t>.</w:t>
      </w:r>
      <w:r w:rsidR="00EE4FC3">
        <w:t xml:space="preserve">  </w:t>
      </w:r>
      <w:r w:rsidRPr="00382917">
        <w:t>Therefore,</w:t>
      </w:r>
      <w:r w:rsidR="00EE4FC3">
        <w:t xml:space="preserve"> </w:t>
      </w:r>
      <w:r w:rsidRPr="00382917">
        <w:t>he</w:t>
      </w:r>
      <w:r w:rsidR="00EE4FC3">
        <w:t xml:space="preserve"> </w:t>
      </w:r>
      <w:r w:rsidRPr="00382917">
        <w:t>resorted</w:t>
      </w:r>
      <w:r w:rsidR="00EE4FC3">
        <w:t xml:space="preserve"> </w:t>
      </w:r>
      <w:r w:rsidRPr="00382917">
        <w:t>to</w:t>
      </w:r>
      <w:r w:rsidR="00EE4FC3">
        <w:t xml:space="preserve"> </w:t>
      </w:r>
      <w:r w:rsidRPr="00382917">
        <w:t>treachery</w:t>
      </w:r>
      <w:r w:rsidR="00B71244">
        <w:t>.</w:t>
      </w:r>
      <w:r w:rsidR="00EE4FC3">
        <w:t xml:space="preserve">  </w:t>
      </w:r>
      <w:r w:rsidRPr="00382917">
        <w:t>He</w:t>
      </w:r>
      <w:r w:rsidR="00EE4FC3">
        <w:t xml:space="preserve"> </w:t>
      </w:r>
      <w:r w:rsidRPr="00382917">
        <w:t>despaired</w:t>
      </w:r>
      <w:r w:rsidR="00EE4FC3">
        <w:t xml:space="preserve"> </w:t>
      </w:r>
      <w:r w:rsidRPr="00382917">
        <w:t>of</w:t>
      </w:r>
      <w:r w:rsidR="00EE4FC3">
        <w:t xml:space="preserve"> </w:t>
      </w:r>
      <w:r w:rsidRPr="00382917">
        <w:t>conquering,</w:t>
      </w:r>
      <w:r w:rsidR="00EE4FC3">
        <w:t xml:space="preserve"> </w:t>
      </w:r>
      <w:r w:rsidRPr="00382917">
        <w:t>so</w:t>
      </w:r>
      <w:r w:rsidR="00EE4FC3">
        <w:t xml:space="preserve"> </w:t>
      </w:r>
      <w:r w:rsidRPr="00382917">
        <w:t>he</w:t>
      </w:r>
      <w:r w:rsidR="00EE4FC3">
        <w:t xml:space="preserve"> </w:t>
      </w:r>
      <w:r w:rsidRPr="00382917">
        <w:t>conceived</w:t>
      </w:r>
      <w:r w:rsidR="00EE4FC3">
        <w:t xml:space="preserve"> </w:t>
      </w:r>
      <w:r w:rsidRPr="00382917">
        <w:t>a</w:t>
      </w:r>
      <w:r w:rsidR="00EE4FC3">
        <w:t xml:space="preserve"> </w:t>
      </w:r>
      <w:r w:rsidRPr="00382917">
        <w:t>plan</w:t>
      </w:r>
      <w:r w:rsidR="00EE4FC3">
        <w:t xml:space="preserve"> </w:t>
      </w:r>
      <w:r w:rsidRPr="00382917">
        <w:t>of</w:t>
      </w:r>
      <w:r w:rsidR="00EE4FC3">
        <w:t xml:space="preserve"> </w:t>
      </w:r>
      <w:r w:rsidRPr="00382917">
        <w:t>betrayal.</w:t>
      </w:r>
    </w:p>
    <w:p w:rsidR="00DB6293" w:rsidRPr="00382917" w:rsidRDefault="00DB6293" w:rsidP="00DB6293">
      <w:pPr>
        <w:pStyle w:val="Text"/>
      </w:pPr>
      <w:r w:rsidRPr="00382917">
        <w:t>The</w:t>
      </w:r>
      <w:r w:rsidR="00EE4FC3">
        <w:t xml:space="preserve"> </w:t>
      </w:r>
      <w:r w:rsidRPr="00382917">
        <w:t>prince</w:t>
      </w:r>
      <w:r w:rsidR="00EE4FC3">
        <w:t xml:space="preserve"> </w:t>
      </w:r>
      <w:r w:rsidRPr="00382917">
        <w:t>sent</w:t>
      </w:r>
      <w:r w:rsidR="00EE4FC3">
        <w:t xml:space="preserve"> </w:t>
      </w:r>
      <w:r w:rsidRPr="00382917">
        <w:t>a</w:t>
      </w:r>
      <w:r w:rsidR="00EE4FC3">
        <w:t xml:space="preserve"> </w:t>
      </w:r>
      <w:r w:rsidR="00382917">
        <w:t>Qur’án</w:t>
      </w:r>
      <w:r w:rsidR="00EE4FC3">
        <w:t xml:space="preserve"> </w:t>
      </w:r>
      <w:r w:rsidRPr="00382917">
        <w:t>to</w:t>
      </w:r>
      <w:r w:rsidR="00EE4FC3">
        <w:t xml:space="preserve"> </w:t>
      </w:r>
      <w:r w:rsidRPr="00382917">
        <w:t>Quddús</w:t>
      </w:r>
      <w:r w:rsidR="00EE4FC3">
        <w:t xml:space="preserve"> </w:t>
      </w:r>
      <w:r w:rsidRPr="00382917">
        <w:t>and</w:t>
      </w:r>
      <w:r w:rsidR="00EE4FC3">
        <w:t xml:space="preserve"> </w:t>
      </w:r>
      <w:r w:rsidRPr="00382917">
        <w:t>swore</w:t>
      </w:r>
      <w:r w:rsidR="00EE4FC3">
        <w:t xml:space="preserve"> </w:t>
      </w:r>
      <w:r w:rsidRPr="00382917">
        <w:t>by</w:t>
      </w:r>
      <w:r w:rsidR="00EE4FC3">
        <w:t xml:space="preserve"> </w:t>
      </w:r>
      <w:r w:rsidRPr="00382917">
        <w:t>that</w:t>
      </w:r>
      <w:r w:rsidR="00EE4FC3">
        <w:t xml:space="preserve"> </w:t>
      </w:r>
      <w:r w:rsidRPr="00382917">
        <w:t>Holy</w:t>
      </w:r>
      <w:r w:rsidR="00EE4FC3">
        <w:t xml:space="preserve"> </w:t>
      </w:r>
      <w:r w:rsidRPr="00382917">
        <w:t>Book</w:t>
      </w:r>
      <w:r w:rsidR="00EE4FC3">
        <w:t xml:space="preserve"> </w:t>
      </w:r>
      <w:r w:rsidRPr="00382917">
        <w:t>that</w:t>
      </w:r>
      <w:r w:rsidR="00EE4FC3">
        <w:t xml:space="preserve"> </w:t>
      </w:r>
      <w:r w:rsidRPr="00382917">
        <w:t>he</w:t>
      </w:r>
      <w:r w:rsidR="00EE4FC3">
        <w:t xml:space="preserve"> </w:t>
      </w:r>
      <w:r w:rsidRPr="00382917">
        <w:t>would</w:t>
      </w:r>
      <w:r w:rsidR="00EE4FC3">
        <w:t xml:space="preserve"> </w:t>
      </w:r>
      <w:r w:rsidRPr="00382917">
        <w:t>set</w:t>
      </w:r>
      <w:r w:rsidR="00EE4FC3">
        <w:t xml:space="preserve"> </w:t>
      </w:r>
      <w:r w:rsidRPr="00382917">
        <w:t>free</w:t>
      </w:r>
      <w:r w:rsidR="00EE4FC3">
        <w:t xml:space="preserve"> </w:t>
      </w:r>
      <w:r w:rsidRPr="00382917">
        <w:t>all</w:t>
      </w:r>
      <w:r w:rsidR="00EE4FC3">
        <w:t xml:space="preserve"> </w:t>
      </w:r>
      <w:r w:rsidRPr="00382917">
        <w:t>the</w:t>
      </w:r>
      <w:r w:rsidR="00EE4FC3">
        <w:t xml:space="preserve"> </w:t>
      </w:r>
      <w:r w:rsidRPr="00382917">
        <w:t>defenders</w:t>
      </w:r>
      <w:r w:rsidR="00EE4FC3">
        <w:t xml:space="preserve"> </w:t>
      </w:r>
      <w:r w:rsidRPr="00382917">
        <w:t>of</w:t>
      </w:r>
      <w:r w:rsidR="00EE4FC3">
        <w:t xml:space="preserve"> </w:t>
      </w:r>
      <w:r w:rsidRPr="00382917">
        <w:t>the</w:t>
      </w:r>
      <w:r w:rsidR="00EE4FC3">
        <w:t xml:space="preserve"> </w:t>
      </w:r>
      <w:r w:rsidRPr="00382917">
        <w:t>fort</w:t>
      </w:r>
      <w:r w:rsidR="00EE4FC3">
        <w:t xml:space="preserve"> </w:t>
      </w:r>
      <w:r w:rsidRPr="00382917">
        <w:t>and</w:t>
      </w:r>
      <w:r w:rsidR="00EE4FC3">
        <w:t xml:space="preserve"> </w:t>
      </w:r>
      <w:r w:rsidRPr="00382917">
        <w:t>permit</w:t>
      </w:r>
      <w:r w:rsidR="00EE4FC3">
        <w:t xml:space="preserve"> </w:t>
      </w:r>
      <w:r w:rsidRPr="00382917">
        <w:t>them</w:t>
      </w:r>
      <w:r w:rsidR="00EE4FC3">
        <w:t xml:space="preserve"> </w:t>
      </w:r>
      <w:r w:rsidRPr="00382917">
        <w:t>to</w:t>
      </w:r>
      <w:r w:rsidR="00EE4FC3">
        <w:t xml:space="preserve"> </w:t>
      </w:r>
      <w:r w:rsidRPr="00382917">
        <w:t>go</w:t>
      </w:r>
      <w:r w:rsidR="00EE4FC3">
        <w:t xml:space="preserve"> </w:t>
      </w:r>
      <w:r w:rsidRPr="00382917">
        <w:t>their</w:t>
      </w:r>
      <w:r w:rsidR="00EE4FC3">
        <w:t xml:space="preserve"> </w:t>
      </w:r>
      <w:r w:rsidRPr="00382917">
        <w:t>way</w:t>
      </w:r>
      <w:r w:rsidR="00B71244">
        <w:t>.</w:t>
      </w:r>
      <w:r w:rsidR="00EE4FC3">
        <w:t xml:space="preserve">  </w:t>
      </w:r>
      <w:r w:rsidRPr="00382917">
        <w:t>They</w:t>
      </w:r>
      <w:r w:rsidR="00EE4FC3">
        <w:t xml:space="preserve"> </w:t>
      </w:r>
      <w:r w:rsidRPr="00382917">
        <w:t>would</w:t>
      </w:r>
      <w:r w:rsidR="00EE4FC3">
        <w:t xml:space="preserve"> </w:t>
      </w:r>
      <w:r w:rsidRPr="00382917">
        <w:t>not</w:t>
      </w:r>
      <w:r w:rsidR="00EE4FC3">
        <w:t xml:space="preserve"> </w:t>
      </w:r>
      <w:r w:rsidRPr="00382917">
        <w:t>even</w:t>
      </w:r>
      <w:r w:rsidR="00EE4FC3">
        <w:t xml:space="preserve"> </w:t>
      </w:r>
      <w:r w:rsidRPr="00382917">
        <w:t>be</w:t>
      </w:r>
      <w:r w:rsidR="00EE4FC3">
        <w:t xml:space="preserve"> </w:t>
      </w:r>
      <w:r w:rsidRPr="00382917">
        <w:t>molested,</w:t>
      </w:r>
      <w:r w:rsidR="00EE4FC3">
        <w:t xml:space="preserve"> </w:t>
      </w:r>
      <w:r w:rsidRPr="00382917">
        <w:t>the</w:t>
      </w:r>
      <w:r w:rsidR="00EE4FC3">
        <w:t xml:space="preserve"> </w:t>
      </w:r>
      <w:r w:rsidRPr="00382917">
        <w:t>prince</w:t>
      </w:r>
      <w:r w:rsidR="00EE4FC3">
        <w:t xml:space="preserve"> </w:t>
      </w:r>
      <w:r w:rsidRPr="00382917">
        <w:t>promised</w:t>
      </w:r>
      <w:r w:rsidR="00B71244">
        <w:t>.</w:t>
      </w:r>
      <w:r w:rsidR="00EE4FC3">
        <w:t xml:space="preserve">  </w:t>
      </w:r>
      <w:r w:rsidRPr="00382917">
        <w:t>He</w:t>
      </w:r>
      <w:r w:rsidR="00EE4FC3">
        <w:t xml:space="preserve"> </w:t>
      </w:r>
      <w:r w:rsidRPr="00382917">
        <w:t>himself,</w:t>
      </w:r>
      <w:r w:rsidR="00EE4FC3">
        <w:t xml:space="preserve"> </w:t>
      </w:r>
      <w:r w:rsidRPr="00382917">
        <w:t>at</w:t>
      </w:r>
      <w:r w:rsidR="00EE4FC3">
        <w:t xml:space="preserve"> </w:t>
      </w:r>
      <w:r w:rsidRPr="00382917">
        <w:t>his</w:t>
      </w:r>
      <w:r w:rsidR="00EE4FC3">
        <w:t xml:space="preserve"> </w:t>
      </w:r>
      <w:r w:rsidRPr="00382917">
        <w:t>own</w:t>
      </w:r>
      <w:r w:rsidR="00EE4FC3">
        <w:t xml:space="preserve"> </w:t>
      </w:r>
      <w:r w:rsidRPr="00382917">
        <w:t>expense,</w:t>
      </w:r>
      <w:r w:rsidR="00EE4FC3">
        <w:t xml:space="preserve"> </w:t>
      </w:r>
      <w:r w:rsidRPr="00382917">
        <w:t>he</w:t>
      </w:r>
      <w:r w:rsidR="00EE4FC3">
        <w:t xml:space="preserve"> </w:t>
      </w:r>
      <w:r w:rsidRPr="00382917">
        <w:t>vowed,</w:t>
      </w:r>
      <w:r w:rsidR="00EE4FC3">
        <w:t xml:space="preserve"> </w:t>
      </w:r>
      <w:r w:rsidRPr="00382917">
        <w:t>would</w:t>
      </w:r>
      <w:r w:rsidR="00EE4FC3">
        <w:t xml:space="preserve"> </w:t>
      </w:r>
      <w:r w:rsidRPr="00382917">
        <w:t>arrange</w:t>
      </w:r>
      <w:r w:rsidR="00EE4FC3">
        <w:t xml:space="preserve"> </w:t>
      </w:r>
      <w:r w:rsidRPr="00382917">
        <w:t>for</w:t>
      </w:r>
      <w:r w:rsidR="00EE4FC3">
        <w:t xml:space="preserve"> </w:t>
      </w:r>
      <w:r w:rsidRPr="00382917">
        <w:t>their</w:t>
      </w:r>
      <w:r w:rsidR="00EE4FC3">
        <w:t xml:space="preserve"> </w:t>
      </w:r>
      <w:r w:rsidRPr="00382917">
        <w:t>safe</w:t>
      </w:r>
      <w:r w:rsidR="00EE4FC3">
        <w:t xml:space="preserve"> </w:t>
      </w:r>
      <w:r w:rsidRPr="00382917">
        <w:t>departure</w:t>
      </w:r>
      <w:r w:rsidR="00EE4FC3">
        <w:t xml:space="preserve"> </w:t>
      </w:r>
      <w:r w:rsidRPr="00382917">
        <w:t>with</w:t>
      </w:r>
      <w:r w:rsidR="00EE4FC3">
        <w:t xml:space="preserve"> </w:t>
      </w:r>
      <w:proofErr w:type="spellStart"/>
      <w:r w:rsidRPr="00382917">
        <w:t>honor</w:t>
      </w:r>
      <w:proofErr w:type="spellEnd"/>
      <w:r w:rsidR="00EE4FC3">
        <w:t xml:space="preserve"> </w:t>
      </w:r>
      <w:r w:rsidRPr="00382917">
        <w:t>to</w:t>
      </w:r>
      <w:r w:rsidR="00EE4FC3">
        <w:t xml:space="preserve"> </w:t>
      </w:r>
      <w:r w:rsidRPr="00382917">
        <w:t>their</w:t>
      </w:r>
      <w:r w:rsidR="00EE4FC3">
        <w:t xml:space="preserve"> </w:t>
      </w:r>
      <w:r w:rsidRPr="00382917">
        <w:t>homes</w:t>
      </w:r>
      <w:r w:rsidR="00B71244">
        <w:t>.</w:t>
      </w:r>
      <w:r w:rsidR="00EE4FC3">
        <w:t xml:space="preserve">  </w:t>
      </w:r>
      <w:r w:rsidRPr="00382917">
        <w:t>Quddús</w:t>
      </w:r>
      <w:r w:rsidR="00EE4FC3">
        <w:t xml:space="preserve"> </w:t>
      </w:r>
      <w:r w:rsidRPr="00382917">
        <w:t>received</w:t>
      </w:r>
      <w:r w:rsidR="00EE4FC3">
        <w:t xml:space="preserve"> </w:t>
      </w:r>
      <w:r w:rsidRPr="00382917">
        <w:t>the</w:t>
      </w:r>
      <w:r w:rsidR="00EE4FC3">
        <w:t xml:space="preserve"> </w:t>
      </w:r>
      <w:r w:rsidRPr="00382917">
        <w:t>Book,</w:t>
      </w:r>
      <w:r w:rsidR="00EE4FC3">
        <w:t xml:space="preserve"> </w:t>
      </w:r>
      <w:r w:rsidRPr="00382917">
        <w:t>kissed</w:t>
      </w:r>
      <w:r w:rsidR="00EE4FC3">
        <w:t xml:space="preserve"> </w:t>
      </w:r>
      <w:r w:rsidRPr="00382917">
        <w:t>it</w:t>
      </w:r>
      <w:r w:rsidR="00EE4FC3">
        <w:t xml:space="preserve"> </w:t>
      </w:r>
      <w:r w:rsidRPr="00382917">
        <w:t>reverently,</w:t>
      </w:r>
      <w:r w:rsidR="00EE4FC3">
        <w:t xml:space="preserve"> </w:t>
      </w:r>
      <w:r w:rsidRPr="00382917">
        <w:t>and</w:t>
      </w:r>
      <w:r w:rsidR="00EE4FC3">
        <w:t xml:space="preserve"> </w:t>
      </w:r>
      <w:r w:rsidRPr="00382917">
        <w:t>quoted</w:t>
      </w:r>
      <w:r w:rsidR="00EE4FC3">
        <w:t xml:space="preserve"> </w:t>
      </w:r>
      <w:r w:rsidRPr="00382917">
        <w:t>from</w:t>
      </w:r>
      <w:r w:rsidR="00EE4FC3">
        <w:t xml:space="preserve"> </w:t>
      </w:r>
      <w:r w:rsidRPr="00382917">
        <w:t>the</w:t>
      </w:r>
      <w:r w:rsidR="00EE4FC3">
        <w:t xml:space="preserve"> </w:t>
      </w:r>
      <w:r w:rsidRPr="00382917">
        <w:t>sacred</w:t>
      </w:r>
      <w:r w:rsidR="00EE4FC3">
        <w:t xml:space="preserve"> </w:t>
      </w:r>
      <w:r w:rsidRPr="00382917">
        <w:t>words</w:t>
      </w:r>
      <w:r w:rsidR="00C03C91">
        <w:t>:</w:t>
      </w:r>
      <w:r w:rsidR="00EE4FC3">
        <w:t xml:space="preserve">  </w:t>
      </w:r>
      <w:r w:rsidR="009C713D" w:rsidRPr="00382917">
        <w:t>“</w:t>
      </w:r>
      <w:r w:rsidRPr="00382917">
        <w:t>O</w:t>
      </w:r>
      <w:r w:rsidR="00EE4FC3">
        <w:t xml:space="preserve"> </w:t>
      </w:r>
      <w:r w:rsidRPr="00382917">
        <w:t>our</w:t>
      </w:r>
      <w:r w:rsidR="00EE4FC3">
        <w:t xml:space="preserve"> </w:t>
      </w:r>
      <w:r w:rsidRPr="00382917">
        <w:t>Lord,</w:t>
      </w:r>
      <w:r w:rsidR="00EE4FC3">
        <w:t xml:space="preserve"> </w:t>
      </w:r>
      <w:r w:rsidRPr="00382917">
        <w:t>decide</w:t>
      </w:r>
      <w:r w:rsidR="00EE4FC3">
        <w:t xml:space="preserve"> </w:t>
      </w:r>
      <w:r w:rsidRPr="00382917">
        <w:t>between</w:t>
      </w:r>
      <w:r w:rsidR="00EE4FC3">
        <w:t xml:space="preserve"> </w:t>
      </w:r>
      <w:r w:rsidRPr="00382917">
        <w:t>us</w:t>
      </w:r>
      <w:r w:rsidR="00EE4FC3">
        <w:t xml:space="preserve"> </w:t>
      </w:r>
      <w:r w:rsidRPr="00382917">
        <w:t>and</w:t>
      </w:r>
      <w:r w:rsidR="00EE4FC3">
        <w:t xml:space="preserve"> </w:t>
      </w:r>
      <w:r w:rsidRPr="00382917">
        <w:t>between</w:t>
      </w:r>
      <w:r w:rsidR="00EE4FC3">
        <w:t xml:space="preserve"> </w:t>
      </w:r>
      <w:r w:rsidRPr="00382917">
        <w:t>our</w:t>
      </w:r>
      <w:r w:rsidR="00EE4FC3">
        <w:t xml:space="preserve"> </w:t>
      </w:r>
      <w:r w:rsidRPr="00382917">
        <w:t>people</w:t>
      </w:r>
      <w:r w:rsidR="00EE4FC3">
        <w:t xml:space="preserve"> </w:t>
      </w:r>
      <w:r w:rsidRPr="00382917">
        <w:t>with</w:t>
      </w:r>
      <w:r w:rsidR="00EE4FC3">
        <w:t xml:space="preserve"> </w:t>
      </w:r>
      <w:r w:rsidRPr="00382917">
        <w:t>truth;</w:t>
      </w:r>
      <w:r w:rsidR="00EE4FC3">
        <w:t xml:space="preserve"> </w:t>
      </w:r>
      <w:r w:rsidRPr="00382917">
        <w:t>for</w:t>
      </w:r>
      <w:r w:rsidR="00EE4FC3">
        <w:t xml:space="preserve"> </w:t>
      </w:r>
      <w:r w:rsidRPr="00382917">
        <w:t>the</w:t>
      </w:r>
      <w:r w:rsidR="00EE4FC3">
        <w:t xml:space="preserve"> </w:t>
      </w:r>
      <w:r w:rsidRPr="00382917">
        <w:t>best</w:t>
      </w:r>
      <w:r w:rsidR="00EE4FC3">
        <w:t xml:space="preserve"> </w:t>
      </w:r>
      <w:r w:rsidRPr="00382917">
        <w:t>to</w:t>
      </w:r>
      <w:r w:rsidR="00EE4FC3">
        <w:t xml:space="preserve"> </w:t>
      </w:r>
      <w:r w:rsidRPr="00382917">
        <w:t>decide</w:t>
      </w:r>
      <w:r w:rsidR="00EE4FC3">
        <w:t xml:space="preserve"> </w:t>
      </w:r>
      <w:r w:rsidRPr="00382917">
        <w:t>art</w:t>
      </w:r>
      <w:r w:rsidR="00EE4FC3">
        <w:t xml:space="preserve"> </w:t>
      </w:r>
      <w:r w:rsidRPr="00382917">
        <w:t>Thou.</w:t>
      </w:r>
      <w:r w:rsidR="009C713D" w:rsidRPr="00382917">
        <w:t>”</w:t>
      </w:r>
      <w:r w:rsidR="00EE4FC3">
        <w:t xml:space="preserve">  </w:t>
      </w:r>
      <w:r w:rsidRPr="00382917">
        <w:t>Then</w:t>
      </w:r>
      <w:r w:rsidR="00EE4FC3">
        <w:t xml:space="preserve"> </w:t>
      </w:r>
      <w:r w:rsidRPr="00382917">
        <w:t>he</w:t>
      </w:r>
      <w:r w:rsidR="00EE4FC3">
        <w:t xml:space="preserve"> </w:t>
      </w:r>
      <w:r w:rsidRPr="00382917">
        <w:t>read</w:t>
      </w:r>
      <w:r w:rsidR="00EE4FC3">
        <w:t xml:space="preserve"> </w:t>
      </w:r>
      <w:r w:rsidRPr="00382917">
        <w:t>the</w:t>
      </w:r>
      <w:r w:rsidR="00EE4FC3">
        <w:t xml:space="preserve"> </w:t>
      </w:r>
      <w:r w:rsidRPr="00382917">
        <w:t>pledge,</w:t>
      </w:r>
      <w:r w:rsidR="00EE4FC3">
        <w:t xml:space="preserve"> </w:t>
      </w:r>
      <w:r w:rsidRPr="00382917">
        <w:t>and</w:t>
      </w:r>
      <w:r w:rsidR="00EE4FC3">
        <w:t xml:space="preserve"> </w:t>
      </w:r>
      <w:r w:rsidRPr="00382917">
        <w:t>assembled</w:t>
      </w:r>
      <w:r w:rsidR="00EE4FC3">
        <w:t xml:space="preserve"> </w:t>
      </w:r>
      <w:r w:rsidRPr="00382917">
        <w:t>his</w:t>
      </w:r>
      <w:r w:rsidR="00EE4FC3">
        <w:t xml:space="preserve"> </w:t>
      </w:r>
      <w:r w:rsidRPr="00382917">
        <w:t>companions</w:t>
      </w:r>
      <w:r w:rsidR="00B71244">
        <w:t>.</w:t>
      </w:r>
      <w:r w:rsidR="00EE4FC3">
        <w:t xml:space="preserve">  </w:t>
      </w:r>
      <w:r w:rsidR="009C713D" w:rsidRPr="00382917">
        <w:t>“</w:t>
      </w:r>
      <w:r w:rsidRPr="00382917">
        <w:t>Prepare</w:t>
      </w:r>
      <w:r w:rsidR="00EE4FC3">
        <w:t xml:space="preserve"> </w:t>
      </w:r>
      <w:r w:rsidRPr="00382917">
        <w:t>to</w:t>
      </w:r>
      <w:r w:rsidR="00EE4FC3">
        <w:t xml:space="preserve"> </w:t>
      </w:r>
      <w:r w:rsidRPr="00382917">
        <w:t>leave</w:t>
      </w:r>
      <w:r w:rsidR="00EE4FC3">
        <w:t xml:space="preserve"> </w:t>
      </w:r>
      <w:r w:rsidRPr="00382917">
        <w:t>the</w:t>
      </w:r>
      <w:r w:rsidR="00EE4FC3">
        <w:t xml:space="preserve"> </w:t>
      </w:r>
      <w:r w:rsidRPr="00382917">
        <w:t>fort,</w:t>
      </w:r>
      <w:r w:rsidR="009C713D" w:rsidRPr="00382917">
        <w:t>”</w:t>
      </w:r>
    </w:p>
    <w:p w:rsidR="00DB6293" w:rsidRPr="00382917" w:rsidRDefault="00DB6293">
      <w:pPr>
        <w:widowControl/>
        <w:kinsoku/>
        <w:overflowPunct/>
        <w:textAlignment w:val="auto"/>
      </w:pPr>
      <w:r w:rsidRPr="00382917">
        <w:br w:type="page"/>
      </w:r>
    </w:p>
    <w:p w:rsidR="00DB6293" w:rsidRPr="00382917" w:rsidRDefault="00DB6293" w:rsidP="00DB6293">
      <w:pPr>
        <w:pStyle w:val="Textcts"/>
      </w:pPr>
      <w:proofErr w:type="gramStart"/>
      <w:r w:rsidRPr="00382917">
        <w:t>he</w:t>
      </w:r>
      <w:proofErr w:type="gramEnd"/>
      <w:r w:rsidR="00EE4FC3">
        <w:t xml:space="preserve"> </w:t>
      </w:r>
      <w:r w:rsidRPr="00382917">
        <w:t>said</w:t>
      </w:r>
      <w:r w:rsidR="00B71244">
        <w:t>.</w:t>
      </w:r>
      <w:r w:rsidR="00EE4FC3">
        <w:t xml:space="preserve">  </w:t>
      </w:r>
      <w:r w:rsidR="009C713D" w:rsidRPr="00382917">
        <w:t>“</w:t>
      </w:r>
      <w:r w:rsidRPr="00382917">
        <w:t>By</w:t>
      </w:r>
      <w:r w:rsidR="00EE4FC3">
        <w:t xml:space="preserve"> </w:t>
      </w:r>
      <w:r w:rsidRPr="00382917">
        <w:t>our</w:t>
      </w:r>
      <w:r w:rsidR="00EE4FC3">
        <w:t xml:space="preserve"> </w:t>
      </w:r>
      <w:r w:rsidRPr="00382917">
        <w:t>response</w:t>
      </w:r>
      <w:r w:rsidR="00EE4FC3">
        <w:t xml:space="preserve"> </w:t>
      </w:r>
      <w:r w:rsidRPr="00382917">
        <w:t>to</w:t>
      </w:r>
      <w:r w:rsidR="00EE4FC3">
        <w:t xml:space="preserve"> </w:t>
      </w:r>
      <w:r w:rsidRPr="00382917">
        <w:t>their</w:t>
      </w:r>
      <w:r w:rsidR="00EE4FC3">
        <w:t xml:space="preserve"> </w:t>
      </w:r>
      <w:r w:rsidRPr="00382917">
        <w:t>oath,</w:t>
      </w:r>
      <w:r w:rsidR="00EE4FC3">
        <w:t xml:space="preserve"> </w:t>
      </w:r>
      <w:r w:rsidRPr="00382917">
        <w:t>we</w:t>
      </w:r>
      <w:r w:rsidR="00EE4FC3">
        <w:t xml:space="preserve"> </w:t>
      </w:r>
      <w:r w:rsidRPr="00382917">
        <w:t>shall</w:t>
      </w:r>
      <w:r w:rsidR="00EE4FC3">
        <w:t xml:space="preserve"> </w:t>
      </w:r>
      <w:r w:rsidRPr="00382917">
        <w:t>test</w:t>
      </w:r>
      <w:r w:rsidR="00EE4FC3">
        <w:t xml:space="preserve"> </w:t>
      </w:r>
      <w:r w:rsidRPr="00382917">
        <w:t>the</w:t>
      </w:r>
      <w:r w:rsidR="00EE4FC3">
        <w:t xml:space="preserve"> </w:t>
      </w:r>
      <w:r w:rsidRPr="00382917">
        <w:t>sincerity</w:t>
      </w:r>
      <w:r w:rsidR="00EE4FC3">
        <w:t xml:space="preserve"> </w:t>
      </w:r>
      <w:r w:rsidRPr="00382917">
        <w:t>of</w:t>
      </w:r>
      <w:r w:rsidR="00EE4FC3">
        <w:t xml:space="preserve"> </w:t>
      </w:r>
      <w:r w:rsidRPr="00382917">
        <w:t>their</w:t>
      </w:r>
      <w:r w:rsidR="00EE4FC3">
        <w:t xml:space="preserve"> </w:t>
      </w:r>
      <w:r w:rsidRPr="00382917">
        <w:t>intentions.</w:t>
      </w:r>
      <w:r w:rsidR="009C713D" w:rsidRPr="00382917">
        <w:t>”</w:t>
      </w:r>
    </w:p>
    <w:p w:rsidR="00DB6293" w:rsidRPr="00382917" w:rsidRDefault="00DB6293" w:rsidP="00DB6293">
      <w:pPr>
        <w:pStyle w:val="Text"/>
      </w:pPr>
      <w:r w:rsidRPr="00382917">
        <w:t>At</w:t>
      </w:r>
      <w:r w:rsidR="00EE4FC3">
        <w:t xml:space="preserve"> </w:t>
      </w:r>
      <w:r w:rsidRPr="00382917">
        <w:t>the</w:t>
      </w:r>
      <w:r w:rsidR="00EE4FC3">
        <w:t xml:space="preserve"> </w:t>
      </w:r>
      <w:r w:rsidRPr="00382917">
        <w:t>gate</w:t>
      </w:r>
      <w:r w:rsidR="00EE4FC3">
        <w:t xml:space="preserve"> </w:t>
      </w:r>
      <w:r w:rsidRPr="00382917">
        <w:t>of</w:t>
      </w:r>
      <w:r w:rsidR="00EE4FC3">
        <w:t xml:space="preserve"> </w:t>
      </w:r>
      <w:r w:rsidRPr="00382917">
        <w:t>the</w:t>
      </w:r>
      <w:r w:rsidR="00EE4FC3">
        <w:t xml:space="preserve"> </w:t>
      </w:r>
      <w:r w:rsidRPr="00382917">
        <w:t>fort,</w:t>
      </w:r>
      <w:r w:rsidR="00EE4FC3">
        <w:t xml:space="preserve"> </w:t>
      </w:r>
      <w:r w:rsidRPr="00382917">
        <w:t>they</w:t>
      </w:r>
      <w:r w:rsidR="00EE4FC3">
        <w:t xml:space="preserve"> </w:t>
      </w:r>
      <w:r w:rsidRPr="00382917">
        <w:t>mounted</w:t>
      </w:r>
      <w:r w:rsidR="00EE4FC3">
        <w:t xml:space="preserve"> </w:t>
      </w:r>
      <w:r w:rsidRPr="00382917">
        <w:t>the</w:t>
      </w:r>
      <w:r w:rsidR="00EE4FC3">
        <w:t xml:space="preserve"> </w:t>
      </w:r>
      <w:r w:rsidRPr="00382917">
        <w:t>horses</w:t>
      </w:r>
      <w:r w:rsidR="00EE4FC3">
        <w:t xml:space="preserve"> </w:t>
      </w:r>
      <w:r w:rsidRPr="00382917">
        <w:t>which</w:t>
      </w:r>
      <w:r w:rsidR="00EE4FC3">
        <w:t xml:space="preserve"> </w:t>
      </w:r>
      <w:r w:rsidRPr="00382917">
        <w:t>were</w:t>
      </w:r>
      <w:r w:rsidR="00EE4FC3">
        <w:t xml:space="preserve"> </w:t>
      </w:r>
      <w:r w:rsidRPr="00382917">
        <w:t>to</w:t>
      </w:r>
      <w:r w:rsidR="00EE4FC3">
        <w:t xml:space="preserve"> </w:t>
      </w:r>
      <w:r w:rsidRPr="00382917">
        <w:t>take</w:t>
      </w:r>
      <w:r w:rsidR="00EE4FC3">
        <w:t xml:space="preserve"> </w:t>
      </w:r>
      <w:r w:rsidRPr="00382917">
        <w:t>them</w:t>
      </w:r>
      <w:r w:rsidR="00EE4FC3">
        <w:t xml:space="preserve"> </w:t>
      </w:r>
      <w:r w:rsidRPr="00382917">
        <w:t>to</w:t>
      </w:r>
      <w:r w:rsidR="00EE4FC3">
        <w:t xml:space="preserve"> </w:t>
      </w:r>
      <w:r w:rsidRPr="00382917">
        <w:t>the</w:t>
      </w:r>
      <w:r w:rsidR="00EE4FC3">
        <w:t xml:space="preserve"> </w:t>
      </w:r>
      <w:r w:rsidRPr="00382917">
        <w:t>camp</w:t>
      </w:r>
      <w:r w:rsidR="00EE4FC3">
        <w:t xml:space="preserve"> </w:t>
      </w:r>
      <w:r w:rsidRPr="00382917">
        <w:t>of</w:t>
      </w:r>
      <w:r w:rsidR="00EE4FC3">
        <w:t xml:space="preserve"> </w:t>
      </w:r>
      <w:r w:rsidRPr="00382917">
        <w:t>the</w:t>
      </w:r>
      <w:r w:rsidR="00EE4FC3">
        <w:t xml:space="preserve"> </w:t>
      </w:r>
      <w:r w:rsidRPr="00382917">
        <w:t>prince</w:t>
      </w:r>
      <w:r w:rsidR="00B71244">
        <w:t>.</w:t>
      </w:r>
      <w:r w:rsidR="00EE4FC3">
        <w:t xml:space="preserve">  </w:t>
      </w:r>
      <w:r w:rsidRPr="00382917">
        <w:t>A</w:t>
      </w:r>
      <w:r w:rsidR="00EE4FC3">
        <w:t xml:space="preserve"> </w:t>
      </w:r>
      <w:r w:rsidRPr="00382917">
        <w:t>dinner</w:t>
      </w:r>
      <w:r w:rsidR="00EE4FC3">
        <w:t xml:space="preserve"> </w:t>
      </w:r>
      <w:r w:rsidRPr="00382917">
        <w:t>was</w:t>
      </w:r>
      <w:r w:rsidR="00EE4FC3">
        <w:t xml:space="preserve"> </w:t>
      </w:r>
      <w:r w:rsidRPr="00382917">
        <w:t>placed</w:t>
      </w:r>
      <w:r w:rsidR="00EE4FC3">
        <w:t xml:space="preserve"> </w:t>
      </w:r>
      <w:r w:rsidRPr="00382917">
        <w:t>before</w:t>
      </w:r>
      <w:r w:rsidR="00EE4FC3">
        <w:t xml:space="preserve"> </w:t>
      </w:r>
      <w:r w:rsidRPr="00382917">
        <w:t>Quddús</w:t>
      </w:r>
      <w:r w:rsidR="00EE4FC3">
        <w:t xml:space="preserve"> </w:t>
      </w:r>
      <w:r w:rsidRPr="00382917">
        <w:t>and</w:t>
      </w:r>
      <w:r w:rsidR="00EE4FC3">
        <w:t xml:space="preserve"> </w:t>
      </w:r>
      <w:r w:rsidRPr="00382917">
        <w:t>his</w:t>
      </w:r>
      <w:r w:rsidR="00EE4FC3">
        <w:t xml:space="preserve"> </w:t>
      </w:r>
      <w:r w:rsidRPr="00382917">
        <w:t>starving</w:t>
      </w:r>
      <w:r w:rsidR="00EE4FC3">
        <w:t xml:space="preserve"> </w:t>
      </w:r>
      <w:r w:rsidRPr="00382917">
        <w:t>friends</w:t>
      </w:r>
      <w:r w:rsidR="00B71244">
        <w:t>.</w:t>
      </w:r>
      <w:r w:rsidR="00EE4FC3">
        <w:t xml:space="preserve">  </w:t>
      </w:r>
      <w:r w:rsidRPr="00382917">
        <w:t>He</w:t>
      </w:r>
      <w:r w:rsidR="00EE4FC3">
        <w:t xml:space="preserve"> </w:t>
      </w:r>
      <w:r w:rsidRPr="00382917">
        <w:t>refused</w:t>
      </w:r>
      <w:r w:rsidR="00EE4FC3">
        <w:t xml:space="preserve"> </w:t>
      </w:r>
      <w:r w:rsidRPr="00382917">
        <w:t>to</w:t>
      </w:r>
      <w:r w:rsidR="00EE4FC3">
        <w:t xml:space="preserve"> </w:t>
      </w:r>
      <w:r w:rsidRPr="00382917">
        <w:t>touch</w:t>
      </w:r>
      <w:r w:rsidR="00EE4FC3">
        <w:t xml:space="preserve"> </w:t>
      </w:r>
      <w:r w:rsidRPr="00382917">
        <w:t>it,</w:t>
      </w:r>
      <w:r w:rsidR="00EE4FC3">
        <w:t xml:space="preserve"> </w:t>
      </w:r>
      <w:r w:rsidRPr="00382917">
        <w:t>knowing</w:t>
      </w:r>
      <w:r w:rsidR="00EE4FC3">
        <w:t xml:space="preserve"> </w:t>
      </w:r>
      <w:r w:rsidRPr="00382917">
        <w:t>that</w:t>
      </w:r>
      <w:r w:rsidR="00EE4FC3">
        <w:t xml:space="preserve"> </w:t>
      </w:r>
      <w:r w:rsidRPr="00382917">
        <w:t>the</w:t>
      </w:r>
      <w:r w:rsidR="00EE4FC3">
        <w:t xml:space="preserve"> </w:t>
      </w:r>
      <w:r w:rsidRPr="00382917">
        <w:t>hour</w:t>
      </w:r>
      <w:r w:rsidR="00EE4FC3">
        <w:t xml:space="preserve"> </w:t>
      </w:r>
      <w:r w:rsidRPr="00382917">
        <w:t>of</w:t>
      </w:r>
      <w:r w:rsidR="00EE4FC3">
        <w:t xml:space="preserve"> </w:t>
      </w:r>
      <w:r w:rsidRPr="00382917">
        <w:t>death</w:t>
      </w:r>
      <w:r w:rsidR="00EE4FC3">
        <w:t xml:space="preserve"> </w:t>
      </w:r>
      <w:r w:rsidRPr="00382917">
        <w:t>was</w:t>
      </w:r>
      <w:r w:rsidR="00EE4FC3">
        <w:t xml:space="preserve"> </w:t>
      </w:r>
      <w:r w:rsidRPr="00382917">
        <w:t>upon</w:t>
      </w:r>
      <w:r w:rsidR="00EE4FC3">
        <w:t xml:space="preserve"> </w:t>
      </w:r>
      <w:r w:rsidRPr="00382917">
        <w:t>him</w:t>
      </w:r>
      <w:r w:rsidR="00B71244">
        <w:t>.</w:t>
      </w:r>
      <w:r w:rsidR="00EE4FC3">
        <w:t xml:space="preserve">  </w:t>
      </w:r>
      <w:r w:rsidRPr="00382917">
        <w:t>The</w:t>
      </w:r>
      <w:r w:rsidR="00EE4FC3">
        <w:t xml:space="preserve"> </w:t>
      </w:r>
      <w:r w:rsidRPr="00382917">
        <w:t>prince</w:t>
      </w:r>
      <w:r w:rsidR="00EE4FC3">
        <w:t xml:space="preserve"> </w:t>
      </w:r>
      <w:r w:rsidRPr="00382917">
        <w:t>repeated</w:t>
      </w:r>
      <w:r w:rsidR="00EE4FC3">
        <w:t xml:space="preserve"> </w:t>
      </w:r>
      <w:r w:rsidRPr="00382917">
        <w:t>his</w:t>
      </w:r>
      <w:r w:rsidR="00EE4FC3">
        <w:t xml:space="preserve"> </w:t>
      </w:r>
      <w:r w:rsidRPr="00382917">
        <w:t>promise</w:t>
      </w:r>
      <w:r w:rsidR="00C03C91">
        <w:t>:</w:t>
      </w:r>
      <w:r w:rsidR="00EE4FC3">
        <w:t xml:space="preserve">  </w:t>
      </w:r>
      <w:r w:rsidR="009C713D" w:rsidRPr="00382917">
        <w:t>“</w:t>
      </w:r>
      <w:r w:rsidRPr="00382917">
        <w:t>My</w:t>
      </w:r>
      <w:r w:rsidR="00EE4FC3">
        <w:t xml:space="preserve"> </w:t>
      </w:r>
      <w:r w:rsidRPr="00382917">
        <w:t>oath</w:t>
      </w:r>
      <w:r w:rsidR="00EE4FC3">
        <w:t xml:space="preserve"> </w:t>
      </w:r>
      <w:r w:rsidRPr="00382917">
        <w:t>is</w:t>
      </w:r>
      <w:r w:rsidR="00EE4FC3">
        <w:t xml:space="preserve"> </w:t>
      </w:r>
      <w:r w:rsidRPr="00382917">
        <w:t>irrevocable</w:t>
      </w:r>
      <w:r w:rsidR="00EE4FC3">
        <w:t xml:space="preserve"> </w:t>
      </w:r>
      <w:r w:rsidRPr="00382917">
        <w:t>and</w:t>
      </w:r>
      <w:r w:rsidR="00EE4FC3">
        <w:t xml:space="preserve"> </w:t>
      </w:r>
      <w:r w:rsidRPr="00382917">
        <w:t>sacred,</w:t>
      </w:r>
      <w:r w:rsidR="009C713D" w:rsidRPr="00382917">
        <w:t>”</w:t>
      </w:r>
      <w:r w:rsidR="00EE4FC3">
        <w:t xml:space="preserve"> </w:t>
      </w:r>
      <w:r w:rsidRPr="00382917">
        <w:t>he</w:t>
      </w:r>
      <w:r w:rsidR="00EE4FC3">
        <w:t xml:space="preserve"> </w:t>
      </w:r>
      <w:r w:rsidRPr="00382917">
        <w:t>said.</w:t>
      </w:r>
    </w:p>
    <w:p w:rsidR="00DB6293" w:rsidRPr="00382917" w:rsidRDefault="00DB6293" w:rsidP="00DB6293">
      <w:pPr>
        <w:pStyle w:val="Text"/>
      </w:pPr>
      <w:r w:rsidRPr="00382917">
        <w:t>One</w:t>
      </w:r>
      <w:r w:rsidR="00EE4FC3">
        <w:t xml:space="preserve"> </w:t>
      </w:r>
      <w:r w:rsidRPr="00382917">
        <w:t>of</w:t>
      </w:r>
      <w:r w:rsidR="00EE4FC3">
        <w:t xml:space="preserve"> </w:t>
      </w:r>
      <w:r w:rsidRPr="00382917">
        <w:t>the</w:t>
      </w:r>
      <w:r w:rsidR="00EE4FC3">
        <w:t xml:space="preserve"> </w:t>
      </w:r>
      <w:r w:rsidRPr="00382917">
        <w:t>companions</w:t>
      </w:r>
      <w:r w:rsidR="00EE4FC3">
        <w:t xml:space="preserve"> </w:t>
      </w:r>
      <w:r w:rsidRPr="00382917">
        <w:t>whispered</w:t>
      </w:r>
      <w:r w:rsidR="00EE4FC3">
        <w:t xml:space="preserve"> </w:t>
      </w:r>
      <w:r w:rsidRPr="00382917">
        <w:t>to</w:t>
      </w:r>
      <w:r w:rsidR="00EE4FC3">
        <w:t xml:space="preserve"> </w:t>
      </w:r>
      <w:r w:rsidRPr="00382917">
        <w:t>Quddús,</w:t>
      </w:r>
      <w:r w:rsidR="00EE4FC3">
        <w:t xml:space="preserve"> </w:t>
      </w:r>
      <w:r w:rsidR="009C713D" w:rsidRPr="00382917">
        <w:t>“</w:t>
      </w:r>
      <w:r w:rsidRPr="00382917">
        <w:t>I</w:t>
      </w:r>
      <w:r w:rsidR="00EE4FC3">
        <w:t xml:space="preserve"> </w:t>
      </w:r>
      <w:r w:rsidRPr="00382917">
        <w:t>am</w:t>
      </w:r>
      <w:r w:rsidR="00EE4FC3">
        <w:t xml:space="preserve"> </w:t>
      </w:r>
      <w:r w:rsidRPr="00382917">
        <w:t>of</w:t>
      </w:r>
      <w:r w:rsidR="00EE4FC3">
        <w:t xml:space="preserve"> </w:t>
      </w:r>
      <w:r w:rsidRPr="00382917">
        <w:t>the</w:t>
      </w:r>
      <w:r w:rsidR="00EE4FC3">
        <w:t xml:space="preserve"> </w:t>
      </w:r>
      <w:r w:rsidRPr="00382917">
        <w:t>opinion</w:t>
      </w:r>
      <w:r w:rsidR="00EE4FC3">
        <w:t xml:space="preserve"> </w:t>
      </w:r>
      <w:r w:rsidRPr="00382917">
        <w:t>that</w:t>
      </w:r>
      <w:r w:rsidR="00EE4FC3">
        <w:t xml:space="preserve"> </w:t>
      </w:r>
      <w:r w:rsidRPr="00382917">
        <w:t>what</w:t>
      </w:r>
      <w:r w:rsidR="00EE4FC3">
        <w:t xml:space="preserve"> </w:t>
      </w:r>
      <w:r w:rsidRPr="00382917">
        <w:t>his</w:t>
      </w:r>
      <w:r w:rsidR="00EE4FC3">
        <w:t xml:space="preserve"> </w:t>
      </w:r>
      <w:r w:rsidRPr="00382917">
        <w:t>tongue</w:t>
      </w:r>
      <w:r w:rsidR="00EE4FC3">
        <w:t xml:space="preserve"> </w:t>
      </w:r>
      <w:r w:rsidRPr="00382917">
        <w:t>professes,</w:t>
      </w:r>
      <w:r w:rsidR="00EE4FC3">
        <w:t xml:space="preserve"> </w:t>
      </w:r>
      <w:r w:rsidRPr="00382917">
        <w:t>his</w:t>
      </w:r>
      <w:r w:rsidR="00EE4FC3">
        <w:t xml:space="preserve"> </w:t>
      </w:r>
      <w:r w:rsidRPr="00382917">
        <w:t>heart</w:t>
      </w:r>
      <w:r w:rsidR="00EE4FC3">
        <w:t xml:space="preserve"> </w:t>
      </w:r>
      <w:r w:rsidRPr="00382917">
        <w:t>does</w:t>
      </w:r>
      <w:r w:rsidR="00EE4FC3">
        <w:t xml:space="preserve"> </w:t>
      </w:r>
      <w:r w:rsidRPr="00382917">
        <w:t>not</w:t>
      </w:r>
      <w:r w:rsidR="00EE4FC3">
        <w:t xml:space="preserve"> </w:t>
      </w:r>
      <w:r w:rsidRPr="00382917">
        <w:t>believe</w:t>
      </w:r>
      <w:r w:rsidR="00EE4FC3">
        <w:t xml:space="preserve"> </w:t>
      </w:r>
      <w:r w:rsidRPr="00382917">
        <w:t>at</w:t>
      </w:r>
      <w:r w:rsidR="00EE4FC3">
        <w:t xml:space="preserve"> </w:t>
      </w:r>
      <w:r w:rsidRPr="00382917">
        <w:t>all.</w:t>
      </w:r>
      <w:r w:rsidR="009C713D" w:rsidRPr="00382917">
        <w:t>”</w:t>
      </w:r>
    </w:p>
    <w:p w:rsidR="00DB6293" w:rsidRPr="00382917" w:rsidRDefault="00DB6293" w:rsidP="00DB6293">
      <w:pPr>
        <w:pStyle w:val="Text"/>
      </w:pPr>
      <w:r w:rsidRPr="00382917">
        <w:t>Quddús,</w:t>
      </w:r>
      <w:r w:rsidR="00EE4FC3">
        <w:t xml:space="preserve"> </w:t>
      </w:r>
      <w:r w:rsidRPr="00382917">
        <w:t>who</w:t>
      </w:r>
      <w:r w:rsidR="00EE4FC3">
        <w:t xml:space="preserve"> </w:t>
      </w:r>
      <w:r w:rsidRPr="00382917">
        <w:t>shared</w:t>
      </w:r>
      <w:r w:rsidR="00EE4FC3">
        <w:t xml:space="preserve"> </w:t>
      </w:r>
      <w:r w:rsidRPr="00382917">
        <w:t>this</w:t>
      </w:r>
      <w:r w:rsidR="00EE4FC3">
        <w:t xml:space="preserve"> </w:t>
      </w:r>
      <w:r w:rsidRPr="00382917">
        <w:t>view,</w:t>
      </w:r>
      <w:r w:rsidR="00EE4FC3">
        <w:t xml:space="preserve"> </w:t>
      </w:r>
      <w:r w:rsidRPr="00382917">
        <w:t>told</w:t>
      </w:r>
      <w:r w:rsidR="00EE4FC3">
        <w:t xml:space="preserve"> </w:t>
      </w:r>
      <w:r w:rsidRPr="00382917">
        <w:t>his</w:t>
      </w:r>
      <w:r w:rsidR="00EE4FC3">
        <w:t xml:space="preserve"> </w:t>
      </w:r>
      <w:r w:rsidRPr="00382917">
        <w:t>companions</w:t>
      </w:r>
      <w:r w:rsidR="00EE4FC3">
        <w:t xml:space="preserve"> </w:t>
      </w:r>
      <w:r w:rsidRPr="00382917">
        <w:t>to</w:t>
      </w:r>
      <w:r w:rsidR="00EE4FC3">
        <w:t xml:space="preserve"> </w:t>
      </w:r>
      <w:r w:rsidRPr="00382917">
        <w:t>disperse</w:t>
      </w:r>
      <w:r w:rsidR="00EE4FC3">
        <w:t xml:space="preserve"> </w:t>
      </w:r>
      <w:r w:rsidRPr="00382917">
        <w:t>that</w:t>
      </w:r>
      <w:r w:rsidR="00EE4FC3">
        <w:t xml:space="preserve"> </w:t>
      </w:r>
      <w:r w:rsidRPr="00382917">
        <w:t>very</w:t>
      </w:r>
      <w:r w:rsidR="00EE4FC3">
        <w:t xml:space="preserve"> </w:t>
      </w:r>
      <w:r w:rsidRPr="00382917">
        <w:t>night</w:t>
      </w:r>
      <w:r w:rsidR="00EE4FC3">
        <w:t xml:space="preserve"> </w:t>
      </w:r>
      <w:r w:rsidRPr="00382917">
        <w:t>before</w:t>
      </w:r>
      <w:r w:rsidR="00EE4FC3">
        <w:t xml:space="preserve"> </w:t>
      </w:r>
      <w:r w:rsidRPr="00382917">
        <w:t>it</w:t>
      </w:r>
      <w:r w:rsidR="00EE4FC3">
        <w:t xml:space="preserve"> </w:t>
      </w:r>
      <w:r w:rsidRPr="00382917">
        <w:t>was</w:t>
      </w:r>
      <w:r w:rsidR="00EE4FC3">
        <w:t xml:space="preserve"> </w:t>
      </w:r>
      <w:r w:rsidRPr="00382917">
        <w:t>too</w:t>
      </w:r>
      <w:r w:rsidR="00EE4FC3">
        <w:t xml:space="preserve"> </w:t>
      </w:r>
      <w:r w:rsidRPr="00382917">
        <w:t>late</w:t>
      </w:r>
      <w:r w:rsidR="00B71244">
        <w:t>.</w:t>
      </w:r>
      <w:r w:rsidR="00EE4FC3">
        <w:t xml:space="preserve">  </w:t>
      </w:r>
      <w:r w:rsidRPr="00382917">
        <w:t>They</w:t>
      </w:r>
      <w:r w:rsidR="00EE4FC3">
        <w:t xml:space="preserve"> </w:t>
      </w:r>
      <w:r w:rsidRPr="00382917">
        <w:t>implored</w:t>
      </w:r>
      <w:r w:rsidR="00EE4FC3">
        <w:t xml:space="preserve"> </w:t>
      </w:r>
      <w:r w:rsidRPr="00382917">
        <w:t>him</w:t>
      </w:r>
      <w:r w:rsidR="00EE4FC3">
        <w:t xml:space="preserve"> </w:t>
      </w:r>
      <w:r w:rsidRPr="00382917">
        <w:t>not</w:t>
      </w:r>
      <w:r w:rsidR="00EE4FC3">
        <w:t xml:space="preserve"> </w:t>
      </w:r>
      <w:r w:rsidRPr="00382917">
        <w:t>to</w:t>
      </w:r>
      <w:r w:rsidR="00EE4FC3">
        <w:t xml:space="preserve"> </w:t>
      </w:r>
      <w:r w:rsidRPr="00382917">
        <w:t>send</w:t>
      </w:r>
      <w:r w:rsidR="00EE4FC3">
        <w:t xml:space="preserve"> </w:t>
      </w:r>
      <w:r w:rsidRPr="00382917">
        <w:t>them</w:t>
      </w:r>
      <w:r w:rsidR="00EE4FC3">
        <w:t xml:space="preserve"> </w:t>
      </w:r>
      <w:r w:rsidRPr="00382917">
        <w:t>away</w:t>
      </w:r>
      <w:r w:rsidR="00EE4FC3">
        <w:t xml:space="preserve"> </w:t>
      </w:r>
      <w:r w:rsidRPr="00382917">
        <w:t>from</w:t>
      </w:r>
      <w:r w:rsidR="00EE4FC3">
        <w:t xml:space="preserve"> </w:t>
      </w:r>
      <w:r w:rsidRPr="00382917">
        <w:t>his</w:t>
      </w:r>
      <w:r w:rsidR="00EE4FC3">
        <w:t xml:space="preserve"> </w:t>
      </w:r>
      <w:r w:rsidRPr="00382917">
        <w:t>side.</w:t>
      </w:r>
    </w:p>
    <w:p w:rsidR="00DB6293" w:rsidRPr="00382917" w:rsidRDefault="009C713D" w:rsidP="00DB6293">
      <w:pPr>
        <w:pStyle w:val="Text"/>
      </w:pPr>
      <w:r w:rsidRPr="00382917">
        <w:t>“</w:t>
      </w:r>
      <w:r w:rsidR="00DB6293" w:rsidRPr="00382917">
        <w:t>Weep</w:t>
      </w:r>
      <w:r w:rsidR="00EE4FC3">
        <w:t xml:space="preserve"> </w:t>
      </w:r>
      <w:r w:rsidR="00DB6293" w:rsidRPr="00382917">
        <w:t>not,</w:t>
      </w:r>
      <w:r w:rsidRPr="00382917">
        <w:t>”</w:t>
      </w:r>
      <w:r w:rsidR="00EE4FC3">
        <w:t xml:space="preserve"> </w:t>
      </w:r>
      <w:r w:rsidR="00DB6293" w:rsidRPr="00382917">
        <w:t>was</w:t>
      </w:r>
      <w:r w:rsidR="00EE4FC3">
        <w:t xml:space="preserve"> </w:t>
      </w:r>
      <w:r w:rsidR="00DB6293" w:rsidRPr="00382917">
        <w:t>his</w:t>
      </w:r>
      <w:r w:rsidR="00EE4FC3">
        <w:t xml:space="preserve"> </w:t>
      </w:r>
      <w:r w:rsidR="00DB6293" w:rsidRPr="00382917">
        <w:t>final</w:t>
      </w:r>
      <w:r w:rsidR="00EE4FC3">
        <w:t xml:space="preserve"> </w:t>
      </w:r>
      <w:r w:rsidR="00DB6293" w:rsidRPr="00382917">
        <w:t>word,</w:t>
      </w:r>
      <w:r w:rsidR="00EE4FC3">
        <w:t xml:space="preserve"> </w:t>
      </w:r>
      <w:r w:rsidRPr="00382917">
        <w:t>“</w:t>
      </w:r>
      <w:r w:rsidR="00DB6293" w:rsidRPr="00382917">
        <w:t>the</w:t>
      </w:r>
      <w:r w:rsidR="00EE4FC3">
        <w:t xml:space="preserve"> </w:t>
      </w:r>
      <w:r w:rsidR="00DB6293" w:rsidRPr="00382917">
        <w:t>reunion</w:t>
      </w:r>
      <w:r w:rsidR="00EE4FC3">
        <w:t xml:space="preserve"> </w:t>
      </w:r>
      <w:r w:rsidR="00DB6293" w:rsidRPr="00382917">
        <w:t>which</w:t>
      </w:r>
      <w:r w:rsidR="00EE4FC3">
        <w:t xml:space="preserve"> </w:t>
      </w:r>
      <w:r w:rsidR="00DB6293" w:rsidRPr="00382917">
        <w:t>will</w:t>
      </w:r>
      <w:r w:rsidR="00EE4FC3">
        <w:t xml:space="preserve"> </w:t>
      </w:r>
      <w:r w:rsidR="00DB6293" w:rsidRPr="00382917">
        <w:t>follow</w:t>
      </w:r>
      <w:r w:rsidR="00EE4FC3">
        <w:t xml:space="preserve"> </w:t>
      </w:r>
      <w:r w:rsidR="00DB6293" w:rsidRPr="00382917">
        <w:t>this</w:t>
      </w:r>
      <w:r w:rsidR="00EE4FC3">
        <w:t xml:space="preserve"> </w:t>
      </w:r>
      <w:r w:rsidR="00DB6293" w:rsidRPr="00382917">
        <w:t>separation</w:t>
      </w:r>
      <w:r w:rsidR="00EE4FC3">
        <w:t xml:space="preserve"> </w:t>
      </w:r>
      <w:r w:rsidR="00DB6293" w:rsidRPr="00382917">
        <w:t>will</w:t>
      </w:r>
      <w:r w:rsidR="00EE4FC3">
        <w:t xml:space="preserve"> </w:t>
      </w:r>
      <w:r w:rsidR="00DB6293" w:rsidRPr="00382917">
        <w:t>endure</w:t>
      </w:r>
      <w:r w:rsidR="00EE4FC3">
        <w:t xml:space="preserve"> </w:t>
      </w:r>
      <w:r w:rsidR="00DB6293" w:rsidRPr="00382917">
        <w:t>eternally</w:t>
      </w:r>
      <w:r w:rsidR="00B71244">
        <w:t>.</w:t>
      </w:r>
      <w:r w:rsidR="00EE4FC3">
        <w:t xml:space="preserve">  </w:t>
      </w:r>
      <w:r w:rsidR="00DB6293" w:rsidRPr="00382917">
        <w:t>We</w:t>
      </w:r>
      <w:r w:rsidR="00EE4FC3">
        <w:t xml:space="preserve"> </w:t>
      </w:r>
      <w:r w:rsidR="00DB6293" w:rsidRPr="00382917">
        <w:t>now</w:t>
      </w:r>
      <w:r w:rsidR="00EE4FC3">
        <w:t xml:space="preserve"> </w:t>
      </w:r>
      <w:r w:rsidR="00DB6293" w:rsidRPr="00382917">
        <w:t>commit</w:t>
      </w:r>
      <w:r w:rsidR="00EE4FC3">
        <w:t xml:space="preserve"> </w:t>
      </w:r>
      <w:r w:rsidR="00DB6293" w:rsidRPr="00382917">
        <w:t>our</w:t>
      </w:r>
      <w:r w:rsidR="00EE4FC3">
        <w:t xml:space="preserve"> </w:t>
      </w:r>
      <w:r w:rsidR="00DB6293" w:rsidRPr="00382917">
        <w:t>Cause</w:t>
      </w:r>
      <w:r w:rsidR="00EE4FC3">
        <w:t xml:space="preserve"> </w:t>
      </w:r>
      <w:r w:rsidR="00DB6293" w:rsidRPr="00382917">
        <w:t>to</w:t>
      </w:r>
      <w:r w:rsidR="00EE4FC3">
        <w:t xml:space="preserve"> </w:t>
      </w:r>
      <w:r w:rsidR="00DB6293" w:rsidRPr="00382917">
        <w:t>the</w:t>
      </w:r>
      <w:r w:rsidR="00EE4FC3">
        <w:t xml:space="preserve"> </w:t>
      </w:r>
      <w:r w:rsidR="00DB6293" w:rsidRPr="00382917">
        <w:t>care</w:t>
      </w:r>
      <w:r w:rsidR="00EE4FC3">
        <w:t xml:space="preserve"> </w:t>
      </w:r>
      <w:r w:rsidR="00DB6293" w:rsidRPr="00382917">
        <w:t>of</w:t>
      </w:r>
      <w:r w:rsidR="00EE4FC3">
        <w:t xml:space="preserve"> </w:t>
      </w:r>
      <w:r w:rsidR="00DB6293" w:rsidRPr="00382917">
        <w:t>God.</w:t>
      </w:r>
      <w:r w:rsidRPr="00382917">
        <w:t>”</w:t>
      </w:r>
    </w:p>
    <w:p w:rsidR="00DB6293" w:rsidRPr="00382917" w:rsidRDefault="00DB6293" w:rsidP="00DB6293">
      <w:pPr>
        <w:pStyle w:val="Text"/>
      </w:pPr>
      <w:r w:rsidRPr="00382917">
        <w:t>This</w:t>
      </w:r>
      <w:r w:rsidR="00EE4FC3">
        <w:t xml:space="preserve"> </w:t>
      </w:r>
      <w:r w:rsidRPr="00382917">
        <w:t>was</w:t>
      </w:r>
      <w:r w:rsidR="00EE4FC3">
        <w:t xml:space="preserve"> </w:t>
      </w:r>
      <w:r w:rsidRPr="00382917">
        <w:t>the</w:t>
      </w:r>
      <w:r w:rsidR="00EE4FC3">
        <w:t xml:space="preserve"> </w:t>
      </w:r>
      <w:r w:rsidRPr="00382917">
        <w:t>final</w:t>
      </w:r>
      <w:r w:rsidR="00EE4FC3">
        <w:t xml:space="preserve"> </w:t>
      </w:r>
      <w:r w:rsidRPr="00382917">
        <w:t>scene</w:t>
      </w:r>
      <w:r w:rsidR="00EE4FC3">
        <w:t xml:space="preserve"> </w:t>
      </w:r>
      <w:r w:rsidRPr="00382917">
        <w:t>of</w:t>
      </w:r>
      <w:r w:rsidR="00EE4FC3">
        <w:t xml:space="preserve"> </w:t>
      </w:r>
      <w:r w:rsidRPr="00382917">
        <w:t>that</w:t>
      </w:r>
      <w:r w:rsidR="00EE4FC3">
        <w:t xml:space="preserve"> </w:t>
      </w:r>
      <w:proofErr w:type="spellStart"/>
      <w:r w:rsidRPr="00382917">
        <w:t>somber</w:t>
      </w:r>
      <w:proofErr w:type="spellEnd"/>
      <w:r w:rsidR="00EE4FC3">
        <w:t xml:space="preserve"> </w:t>
      </w:r>
      <w:r w:rsidRPr="00382917">
        <w:t>tragedy</w:t>
      </w:r>
      <w:r w:rsidR="00EE4FC3">
        <w:t xml:space="preserve"> </w:t>
      </w:r>
      <w:r w:rsidRPr="00382917">
        <w:t>at</w:t>
      </w:r>
      <w:r w:rsidR="00EE4FC3">
        <w:t xml:space="preserve"> </w:t>
      </w:r>
      <w:r w:rsidRPr="00382917">
        <w:t>Ṭabarsí</w:t>
      </w:r>
      <w:r w:rsidR="00B71244">
        <w:t>.</w:t>
      </w:r>
      <w:r w:rsidR="00EE4FC3">
        <w:t xml:space="preserve">  </w:t>
      </w:r>
      <w:r w:rsidRPr="00382917">
        <w:t>The</w:t>
      </w:r>
      <w:r w:rsidR="00EE4FC3">
        <w:t xml:space="preserve"> </w:t>
      </w:r>
      <w:r w:rsidRPr="00382917">
        <w:t>prince</w:t>
      </w:r>
      <w:r w:rsidR="00EE4FC3">
        <w:t xml:space="preserve"> </w:t>
      </w:r>
      <w:r w:rsidRPr="00382917">
        <w:t>violated</w:t>
      </w:r>
      <w:r w:rsidR="00EE4FC3">
        <w:t xml:space="preserve"> </w:t>
      </w:r>
      <w:r w:rsidRPr="00382917">
        <w:t>his</w:t>
      </w:r>
      <w:r w:rsidR="00EE4FC3">
        <w:t xml:space="preserve"> </w:t>
      </w:r>
      <w:r w:rsidRPr="00382917">
        <w:t>sacred</w:t>
      </w:r>
      <w:r w:rsidR="00EE4FC3">
        <w:t xml:space="preserve"> </w:t>
      </w:r>
      <w:r w:rsidRPr="00382917">
        <w:t>pledge</w:t>
      </w:r>
      <w:r w:rsidR="00B71244">
        <w:t>.</w:t>
      </w:r>
      <w:r w:rsidR="00EE4FC3">
        <w:t xml:space="preserve">  </w:t>
      </w:r>
      <w:r w:rsidRPr="00382917">
        <w:t>Quddús</w:t>
      </w:r>
      <w:r w:rsidR="00EE4FC3">
        <w:t xml:space="preserve"> </w:t>
      </w:r>
      <w:r w:rsidRPr="00382917">
        <w:t>and</w:t>
      </w:r>
      <w:r w:rsidR="00EE4FC3">
        <w:t xml:space="preserve"> </w:t>
      </w:r>
      <w:r w:rsidRPr="00382917">
        <w:t>his</w:t>
      </w:r>
      <w:r w:rsidR="00EE4FC3">
        <w:t xml:space="preserve"> </w:t>
      </w:r>
      <w:r w:rsidRPr="00382917">
        <w:t>companions</w:t>
      </w:r>
      <w:r w:rsidR="00EE4FC3">
        <w:t xml:space="preserve"> </w:t>
      </w:r>
      <w:r w:rsidRPr="00382917">
        <w:t>were</w:t>
      </w:r>
      <w:r w:rsidR="00EE4FC3">
        <w:t xml:space="preserve"> </w:t>
      </w:r>
      <w:r w:rsidRPr="00382917">
        <w:t>seized,</w:t>
      </w:r>
      <w:r w:rsidR="00EE4FC3">
        <w:t xml:space="preserve"> </w:t>
      </w:r>
      <w:r w:rsidRPr="00382917">
        <w:t>stripped</w:t>
      </w:r>
      <w:r w:rsidR="00EE4FC3">
        <w:t xml:space="preserve"> </w:t>
      </w:r>
      <w:r w:rsidRPr="00382917">
        <w:t>of</w:t>
      </w:r>
      <w:r w:rsidR="00EE4FC3">
        <w:t xml:space="preserve"> </w:t>
      </w:r>
      <w:r w:rsidRPr="00382917">
        <w:t>their</w:t>
      </w:r>
      <w:r w:rsidR="00EE4FC3">
        <w:t xml:space="preserve"> </w:t>
      </w:r>
      <w:proofErr w:type="spellStart"/>
      <w:r w:rsidRPr="00382917">
        <w:t>meager</w:t>
      </w:r>
      <w:proofErr w:type="spellEnd"/>
      <w:r w:rsidR="00EE4FC3">
        <w:t xml:space="preserve"> </w:t>
      </w:r>
      <w:r w:rsidRPr="00382917">
        <w:t>possessions,</w:t>
      </w:r>
      <w:r w:rsidR="00EE4FC3">
        <w:t xml:space="preserve"> </w:t>
      </w:r>
      <w:r w:rsidRPr="00382917">
        <w:t>and</w:t>
      </w:r>
      <w:r w:rsidR="00EE4FC3">
        <w:t xml:space="preserve"> </w:t>
      </w:r>
      <w:r w:rsidRPr="00382917">
        <w:t>some</w:t>
      </w:r>
      <w:r w:rsidR="00EE4FC3">
        <w:t xml:space="preserve"> </w:t>
      </w:r>
      <w:r w:rsidRPr="00382917">
        <w:t>were</w:t>
      </w:r>
      <w:r w:rsidR="00EE4FC3">
        <w:t xml:space="preserve"> </w:t>
      </w:r>
      <w:r w:rsidRPr="00382917">
        <w:t>sold</w:t>
      </w:r>
      <w:r w:rsidR="00EE4FC3">
        <w:t xml:space="preserve"> </w:t>
      </w:r>
      <w:r w:rsidRPr="00382917">
        <w:t>as</w:t>
      </w:r>
      <w:r w:rsidR="00EE4FC3">
        <w:t xml:space="preserve"> </w:t>
      </w:r>
      <w:r w:rsidRPr="00382917">
        <w:t>slaves</w:t>
      </w:r>
      <w:r w:rsidR="00B71244">
        <w:t>.</w:t>
      </w:r>
      <w:r w:rsidR="00EE4FC3">
        <w:t xml:space="preserve">  </w:t>
      </w:r>
      <w:r w:rsidRPr="00382917">
        <w:t>Others</w:t>
      </w:r>
      <w:r w:rsidR="00EE4FC3">
        <w:t xml:space="preserve"> </w:t>
      </w:r>
      <w:r w:rsidRPr="00382917">
        <w:t>were</w:t>
      </w:r>
      <w:r w:rsidR="00EE4FC3">
        <w:t xml:space="preserve"> </w:t>
      </w:r>
      <w:r w:rsidRPr="00382917">
        <w:t>slain</w:t>
      </w:r>
      <w:r w:rsidR="00EE4FC3">
        <w:t xml:space="preserve"> </w:t>
      </w:r>
      <w:r w:rsidRPr="00382917">
        <w:t>outright,</w:t>
      </w:r>
      <w:r w:rsidR="00EE4FC3">
        <w:t xml:space="preserve"> </w:t>
      </w:r>
      <w:r w:rsidRPr="00382917">
        <w:t>killed</w:t>
      </w:r>
      <w:r w:rsidR="00EE4FC3">
        <w:t xml:space="preserve"> </w:t>
      </w:r>
      <w:r w:rsidRPr="00382917">
        <w:t>by</w:t>
      </w:r>
      <w:r w:rsidR="00EE4FC3">
        <w:t xml:space="preserve"> </w:t>
      </w:r>
      <w:r w:rsidRPr="00382917">
        <w:t>the</w:t>
      </w:r>
      <w:r w:rsidR="00EE4FC3">
        <w:t xml:space="preserve"> </w:t>
      </w:r>
      <w:r w:rsidRPr="00382917">
        <w:t>spears</w:t>
      </w:r>
      <w:r w:rsidR="00EE4FC3">
        <w:t xml:space="preserve"> </w:t>
      </w:r>
      <w:r w:rsidRPr="00382917">
        <w:t>and</w:t>
      </w:r>
      <w:r w:rsidR="00EE4FC3">
        <w:t xml:space="preserve"> </w:t>
      </w:r>
      <w:r w:rsidRPr="00382917">
        <w:t>swords</w:t>
      </w:r>
      <w:r w:rsidR="00EE4FC3">
        <w:t xml:space="preserve"> </w:t>
      </w:r>
      <w:r w:rsidRPr="00382917">
        <w:t>of</w:t>
      </w:r>
      <w:r w:rsidR="00EE4FC3">
        <w:t xml:space="preserve"> </w:t>
      </w:r>
      <w:r w:rsidRPr="00382917">
        <w:t>the</w:t>
      </w:r>
      <w:r w:rsidR="00EE4FC3">
        <w:t xml:space="preserve"> </w:t>
      </w:r>
      <w:r w:rsidRPr="00382917">
        <w:t>officers</w:t>
      </w:r>
      <w:r w:rsidR="00EE4FC3">
        <w:t xml:space="preserve"> </w:t>
      </w:r>
      <w:r w:rsidRPr="00382917">
        <w:t>who</w:t>
      </w:r>
      <w:r w:rsidR="00EE4FC3">
        <w:t xml:space="preserve"> </w:t>
      </w:r>
      <w:r w:rsidRPr="00382917">
        <w:t>were</w:t>
      </w:r>
      <w:r w:rsidR="00EE4FC3">
        <w:t xml:space="preserve"> </w:t>
      </w:r>
      <w:r w:rsidRPr="00382917">
        <w:t>hungry</w:t>
      </w:r>
      <w:r w:rsidR="00EE4FC3">
        <w:t xml:space="preserve"> </w:t>
      </w:r>
      <w:r w:rsidRPr="00382917">
        <w:t>for</w:t>
      </w:r>
      <w:r w:rsidR="00EE4FC3">
        <w:t xml:space="preserve"> </w:t>
      </w:r>
      <w:r w:rsidRPr="00382917">
        <w:t>revenge.</w:t>
      </w:r>
    </w:p>
    <w:p w:rsidR="00DB6293" w:rsidRPr="00382917" w:rsidRDefault="00DB6293" w:rsidP="00E640CB">
      <w:pPr>
        <w:pStyle w:val="Text"/>
      </w:pPr>
      <w:r w:rsidRPr="00382917">
        <w:t>One</w:t>
      </w:r>
      <w:r w:rsidR="00EE4FC3">
        <w:t xml:space="preserve"> </w:t>
      </w:r>
      <w:r w:rsidRPr="00382917">
        <w:t>account</w:t>
      </w:r>
      <w:r w:rsidR="00EE4FC3">
        <w:t xml:space="preserve"> </w:t>
      </w:r>
      <w:r w:rsidRPr="00382917">
        <w:t>states,</w:t>
      </w:r>
      <w:r w:rsidR="00EE4FC3">
        <w:t xml:space="preserve"> </w:t>
      </w:r>
      <w:r w:rsidR="009C713D" w:rsidRPr="00382917">
        <w:t>“</w:t>
      </w:r>
      <w:r w:rsidRPr="00382917">
        <w:t>the</w:t>
      </w:r>
      <w:r w:rsidR="00EE4FC3">
        <w:t xml:space="preserve"> </w:t>
      </w:r>
      <w:r w:rsidRPr="00382917">
        <w:t>whole</w:t>
      </w:r>
      <w:r w:rsidR="00EE4FC3">
        <w:t xml:space="preserve"> </w:t>
      </w:r>
      <w:r w:rsidRPr="00382917">
        <w:t>world</w:t>
      </w:r>
      <w:r w:rsidR="00EE4FC3">
        <w:t xml:space="preserve"> </w:t>
      </w:r>
      <w:r w:rsidRPr="00382917">
        <w:t>marvelled</w:t>
      </w:r>
      <w:r w:rsidR="00EE4FC3">
        <w:t xml:space="preserve"> </w:t>
      </w:r>
      <w:r w:rsidRPr="00382917">
        <w:t>at</w:t>
      </w:r>
      <w:r w:rsidR="00EE4FC3">
        <w:t xml:space="preserve"> </w:t>
      </w:r>
      <w:r w:rsidRPr="00382917">
        <w:t>the</w:t>
      </w:r>
      <w:r w:rsidR="00EE4FC3">
        <w:t xml:space="preserve"> </w:t>
      </w:r>
      <w:r w:rsidRPr="00382917">
        <w:t>manner</w:t>
      </w:r>
      <w:r w:rsidR="00EE4FC3">
        <w:t xml:space="preserve"> </w:t>
      </w:r>
      <w:r w:rsidRPr="00382917">
        <w:t>of</w:t>
      </w:r>
      <w:r w:rsidR="00EE4FC3">
        <w:t xml:space="preserve"> </w:t>
      </w:r>
      <w:r w:rsidRPr="00382917">
        <w:t>their</w:t>
      </w:r>
      <w:r w:rsidR="00EE4FC3">
        <w:t xml:space="preserve"> </w:t>
      </w:r>
      <w:r w:rsidRPr="00382917">
        <w:t>sacrifice</w:t>
      </w:r>
      <w:r w:rsidR="00EE4FC3">
        <w:t xml:space="preserve"> </w:t>
      </w:r>
      <w:r w:rsidR="00F04416" w:rsidRPr="00382917">
        <w:t>…</w:t>
      </w:r>
      <w:r w:rsidR="00EE4FC3">
        <w:t xml:space="preserve"> </w:t>
      </w:r>
      <w:r w:rsidRPr="00382917">
        <w:t>their</w:t>
      </w:r>
      <w:r w:rsidR="00EE4FC3">
        <w:t xml:space="preserve"> </w:t>
      </w:r>
      <w:r w:rsidRPr="00382917">
        <w:t>deeds</w:t>
      </w:r>
      <w:r w:rsidR="00EE4FC3">
        <w:t xml:space="preserve"> </w:t>
      </w:r>
      <w:r w:rsidR="00F04416" w:rsidRPr="00382917">
        <w:t>…</w:t>
      </w:r>
      <w:r w:rsidR="00EE4FC3">
        <w:t xml:space="preserve"> </w:t>
      </w:r>
      <w:r w:rsidRPr="00382917">
        <w:t>their</w:t>
      </w:r>
      <w:r w:rsidR="00EE4FC3">
        <w:t xml:space="preserve"> </w:t>
      </w:r>
      <w:r w:rsidRPr="00382917">
        <w:t>fortitude</w:t>
      </w:r>
      <w:r w:rsidR="00EE4FC3">
        <w:t xml:space="preserve"> </w:t>
      </w:r>
      <w:r w:rsidRPr="00382917">
        <w:t>and</w:t>
      </w:r>
      <w:r w:rsidR="00EE4FC3">
        <w:t xml:space="preserve"> </w:t>
      </w:r>
      <w:r w:rsidRPr="00382917">
        <w:t>bodily</w:t>
      </w:r>
      <w:r w:rsidR="00EE4FC3">
        <w:t xml:space="preserve"> </w:t>
      </w:r>
      <w:r w:rsidRPr="00382917">
        <w:t>endurance.</w:t>
      </w:r>
      <w:r w:rsidR="009C713D" w:rsidRPr="00382917">
        <w:t>”</w:t>
      </w:r>
      <w:r w:rsidR="00E640CB">
        <w:rPr>
          <w:rStyle w:val="FootnoteReference"/>
        </w:rPr>
        <w:footnoteReference w:id="126"/>
      </w:r>
    </w:p>
    <w:p w:rsidR="00DB6293" w:rsidRPr="00382917" w:rsidRDefault="00DB6293" w:rsidP="00DB6293">
      <w:pPr>
        <w:pStyle w:val="Text"/>
      </w:pPr>
      <w:r w:rsidRPr="00382917">
        <w:t>No</w:t>
      </w:r>
      <w:r w:rsidR="00EE4FC3">
        <w:t xml:space="preserve"> </w:t>
      </w:r>
      <w:r w:rsidRPr="00382917">
        <w:t>less</w:t>
      </w:r>
      <w:r w:rsidR="00EE4FC3">
        <w:t xml:space="preserve"> </w:t>
      </w:r>
      <w:r w:rsidRPr="00382917">
        <w:t>than</w:t>
      </w:r>
      <w:r w:rsidR="00EE4FC3">
        <w:t xml:space="preserve"> </w:t>
      </w:r>
      <w:r w:rsidRPr="00382917">
        <w:t>nine</w:t>
      </w:r>
      <w:r w:rsidR="00EE4FC3">
        <w:t xml:space="preserve"> </w:t>
      </w:r>
      <w:r w:rsidRPr="00382917">
        <w:t>of</w:t>
      </w:r>
      <w:r w:rsidR="00EE4FC3">
        <w:t xml:space="preserve"> </w:t>
      </w:r>
      <w:r w:rsidRPr="00382917">
        <w:t>the</w:t>
      </w:r>
      <w:r w:rsidR="00EE4FC3">
        <w:t xml:space="preserve"> </w:t>
      </w:r>
      <w:r w:rsidRPr="00382917">
        <w:t>Báb</w:t>
      </w:r>
      <w:r w:rsidR="009C713D" w:rsidRPr="00382917">
        <w:t>’</w:t>
      </w:r>
      <w:r w:rsidRPr="00382917">
        <w:t>s</w:t>
      </w:r>
      <w:r w:rsidR="00EE4FC3">
        <w:t xml:space="preserve"> </w:t>
      </w:r>
      <w:r w:rsidRPr="00382917">
        <w:t>first</w:t>
      </w:r>
      <w:r w:rsidR="00EE4FC3">
        <w:t xml:space="preserve"> </w:t>
      </w:r>
      <w:r w:rsidRPr="00382917">
        <w:t>eighteen</w:t>
      </w:r>
      <w:r w:rsidR="00EE4FC3">
        <w:t xml:space="preserve"> </w:t>
      </w:r>
      <w:r w:rsidRPr="00382917">
        <w:t>disciples,</w:t>
      </w:r>
      <w:r w:rsidR="00EE4FC3">
        <w:t xml:space="preserve"> </w:t>
      </w:r>
      <w:r w:rsidRPr="00382917">
        <w:t>known</w:t>
      </w:r>
      <w:r w:rsidR="00EE4FC3">
        <w:t xml:space="preserve"> </w:t>
      </w:r>
      <w:r w:rsidRPr="00382917">
        <w:t>as</w:t>
      </w:r>
      <w:r w:rsidR="00EE4FC3">
        <w:t xml:space="preserve"> </w:t>
      </w:r>
      <w:r w:rsidRPr="00382917">
        <w:t>the</w:t>
      </w:r>
      <w:r w:rsidR="00EE4FC3">
        <w:t xml:space="preserve"> </w:t>
      </w:r>
      <w:r w:rsidRPr="00382917">
        <w:t>Letters</w:t>
      </w:r>
      <w:r w:rsidR="00EE4FC3">
        <w:t xml:space="preserve"> </w:t>
      </w:r>
      <w:r w:rsidRPr="00382917">
        <w:t>of</w:t>
      </w:r>
      <w:r w:rsidR="00EE4FC3">
        <w:t xml:space="preserve"> </w:t>
      </w:r>
      <w:r w:rsidRPr="00382917">
        <w:t>the</w:t>
      </w:r>
      <w:r w:rsidR="00EE4FC3">
        <w:t xml:space="preserve"> </w:t>
      </w:r>
      <w:r w:rsidRPr="00382917">
        <w:t>Living,</w:t>
      </w:r>
      <w:r w:rsidR="00EE4FC3">
        <w:t xml:space="preserve"> </w:t>
      </w:r>
      <w:r w:rsidRPr="00382917">
        <w:t>fell</w:t>
      </w:r>
      <w:r w:rsidR="00EE4FC3">
        <w:t xml:space="preserve"> </w:t>
      </w:r>
      <w:r w:rsidRPr="00382917">
        <w:t>in</w:t>
      </w:r>
      <w:r w:rsidR="00EE4FC3">
        <w:t xml:space="preserve"> </w:t>
      </w:r>
      <w:r w:rsidRPr="00382917">
        <w:t>this</w:t>
      </w:r>
      <w:r w:rsidR="00EE4FC3">
        <w:t xml:space="preserve"> </w:t>
      </w:r>
      <w:r w:rsidRPr="00382917">
        <w:t>disaster.</w:t>
      </w:r>
    </w:p>
    <w:p w:rsidR="00DB6293" w:rsidRPr="00382917" w:rsidRDefault="00DB6293" w:rsidP="00DB6293">
      <w:pPr>
        <w:pStyle w:val="Text"/>
      </w:pPr>
      <w:r w:rsidRPr="00382917">
        <w:t>The</w:t>
      </w:r>
      <w:r w:rsidR="00EE4FC3">
        <w:t xml:space="preserve"> </w:t>
      </w:r>
      <w:r w:rsidRPr="00382917">
        <w:t>historian</w:t>
      </w:r>
      <w:r w:rsidR="00EE4FC3">
        <w:t xml:space="preserve"> </w:t>
      </w:r>
      <w:r w:rsidRPr="00382917">
        <w:t>Nicolas</w:t>
      </w:r>
      <w:r w:rsidR="00EE4FC3">
        <w:t xml:space="preserve"> </w:t>
      </w:r>
      <w:r w:rsidRPr="00382917">
        <w:t>speaks</w:t>
      </w:r>
      <w:r w:rsidR="00EE4FC3">
        <w:t xml:space="preserve"> </w:t>
      </w:r>
      <w:r w:rsidRPr="00382917">
        <w:t>of</w:t>
      </w:r>
      <w:r w:rsidR="00EE4FC3">
        <w:t xml:space="preserve"> </w:t>
      </w:r>
      <w:r w:rsidRPr="00382917">
        <w:t>the</w:t>
      </w:r>
      <w:r w:rsidR="00EE4FC3">
        <w:t xml:space="preserve"> </w:t>
      </w:r>
      <w:r w:rsidRPr="00382917">
        <w:t>futile</w:t>
      </w:r>
      <w:r w:rsidR="00EE4FC3">
        <w:t xml:space="preserve"> </w:t>
      </w:r>
      <w:r w:rsidRPr="00382917">
        <w:t>attempt</w:t>
      </w:r>
      <w:r w:rsidR="00EE4FC3">
        <w:t xml:space="preserve"> </w:t>
      </w:r>
      <w:r w:rsidRPr="00382917">
        <w:t>of</w:t>
      </w:r>
      <w:r w:rsidR="00EE4FC3">
        <w:t xml:space="preserve"> </w:t>
      </w:r>
      <w:r w:rsidRPr="00382917">
        <w:t>the</w:t>
      </w:r>
      <w:r w:rsidR="00EE4FC3">
        <w:t xml:space="preserve"> </w:t>
      </w:r>
      <w:r w:rsidRPr="00382917">
        <w:t>civil</w:t>
      </w:r>
      <w:r w:rsidR="00EE4FC3">
        <w:t xml:space="preserve"> </w:t>
      </w:r>
      <w:r w:rsidRPr="00382917">
        <w:t>and</w:t>
      </w:r>
      <w:r w:rsidR="00EE4FC3">
        <w:t xml:space="preserve"> </w:t>
      </w:r>
      <w:r w:rsidRPr="00382917">
        <w:t>religious</w:t>
      </w:r>
      <w:r w:rsidR="00EE4FC3">
        <w:t xml:space="preserve"> </w:t>
      </w:r>
      <w:r w:rsidRPr="00382917">
        <w:t>authorities</w:t>
      </w:r>
      <w:r w:rsidR="00EE4FC3">
        <w:t xml:space="preserve"> </w:t>
      </w:r>
      <w:r w:rsidRPr="00382917">
        <w:t>to</w:t>
      </w:r>
      <w:r w:rsidR="00EE4FC3">
        <w:t xml:space="preserve"> </w:t>
      </w:r>
      <w:r w:rsidRPr="00382917">
        <w:t>erase</w:t>
      </w:r>
      <w:r w:rsidR="00EE4FC3">
        <w:t xml:space="preserve"> </w:t>
      </w:r>
      <w:r w:rsidRPr="00382917">
        <w:t>all</w:t>
      </w:r>
      <w:r w:rsidR="00EE4FC3">
        <w:t xml:space="preserve"> </w:t>
      </w:r>
      <w:r w:rsidRPr="00382917">
        <w:t>trace</w:t>
      </w:r>
      <w:r w:rsidR="00EE4FC3">
        <w:t xml:space="preserve"> </w:t>
      </w:r>
      <w:r w:rsidRPr="00382917">
        <w:t>of</w:t>
      </w:r>
      <w:r w:rsidR="00EE4FC3">
        <w:t xml:space="preserve"> </w:t>
      </w:r>
      <w:r w:rsidRPr="00382917">
        <w:t>that</w:t>
      </w:r>
      <w:r w:rsidR="00EE4FC3">
        <w:t xml:space="preserve"> </w:t>
      </w:r>
      <w:r w:rsidRPr="00382917">
        <w:t>gallant</w:t>
      </w:r>
      <w:r w:rsidR="00EE4FC3">
        <w:t xml:space="preserve"> </w:t>
      </w:r>
      <w:r w:rsidRPr="00382917">
        <w:t>spot</w:t>
      </w:r>
      <w:r w:rsidR="00B71244">
        <w:t>.</w:t>
      </w:r>
      <w:r w:rsidR="00EE4FC3">
        <w:t xml:space="preserve">  </w:t>
      </w:r>
      <w:r w:rsidR="009C713D" w:rsidRPr="00382917">
        <w:t>“</w:t>
      </w:r>
      <w:r w:rsidRPr="00382917">
        <w:t>All</w:t>
      </w:r>
      <w:r w:rsidR="00EE4FC3">
        <w:t xml:space="preserve"> </w:t>
      </w:r>
      <w:r w:rsidRPr="00382917">
        <w:t>the</w:t>
      </w:r>
      <w:r w:rsidR="00EE4FC3">
        <w:t xml:space="preserve"> </w:t>
      </w:r>
      <w:r w:rsidRPr="00382917">
        <w:t>fortifications</w:t>
      </w:r>
      <w:r w:rsidR="00EE4FC3">
        <w:t xml:space="preserve"> </w:t>
      </w:r>
      <w:r w:rsidRPr="00382917">
        <w:t>constructed</w:t>
      </w:r>
      <w:r w:rsidR="00EE4FC3">
        <w:t xml:space="preserve"> </w:t>
      </w:r>
      <w:r w:rsidRPr="00382917">
        <w:t>by</w:t>
      </w:r>
      <w:r w:rsidR="00EE4FC3">
        <w:t xml:space="preserve"> </w:t>
      </w:r>
      <w:r w:rsidRPr="00382917">
        <w:t>the</w:t>
      </w:r>
      <w:r w:rsidR="00EE4FC3">
        <w:t xml:space="preserve"> </w:t>
      </w:r>
      <w:r w:rsidRPr="00382917">
        <w:t>followers</w:t>
      </w:r>
      <w:r w:rsidR="00EE4FC3">
        <w:t xml:space="preserve"> </w:t>
      </w:r>
      <w:r w:rsidRPr="00382917">
        <w:t>of</w:t>
      </w:r>
      <w:r w:rsidR="00EE4FC3">
        <w:t xml:space="preserve"> </w:t>
      </w:r>
      <w:r w:rsidRPr="00382917">
        <w:t>the</w:t>
      </w:r>
      <w:r w:rsidR="00EE4FC3">
        <w:t xml:space="preserve"> </w:t>
      </w:r>
      <w:r w:rsidRPr="00382917">
        <w:t>Báb,</w:t>
      </w:r>
      <w:r w:rsidR="009C713D" w:rsidRPr="00382917">
        <w:t>”</w:t>
      </w:r>
      <w:r w:rsidR="00EE4FC3">
        <w:t xml:space="preserve"> </w:t>
      </w:r>
      <w:r w:rsidRPr="00382917">
        <w:t>he</w:t>
      </w:r>
      <w:r w:rsidR="00EE4FC3">
        <w:t xml:space="preserve"> </w:t>
      </w:r>
      <w:r w:rsidRPr="00382917">
        <w:t>says,</w:t>
      </w:r>
      <w:r w:rsidR="00EE4FC3">
        <w:t xml:space="preserve"> </w:t>
      </w:r>
      <w:r w:rsidR="009C713D" w:rsidRPr="00382917">
        <w:t>“</w:t>
      </w:r>
      <w:r w:rsidRPr="00382917">
        <w:t>were</w:t>
      </w:r>
      <w:r w:rsidR="00EE4FC3">
        <w:t xml:space="preserve"> </w:t>
      </w:r>
      <w:r w:rsidRPr="00382917">
        <w:t>razed</w:t>
      </w:r>
      <w:r w:rsidR="00EE4FC3">
        <w:t xml:space="preserve"> </w:t>
      </w:r>
      <w:r w:rsidRPr="00382917">
        <w:t>to</w:t>
      </w:r>
      <w:r w:rsidR="00EE4FC3">
        <w:t xml:space="preserve"> </w:t>
      </w:r>
      <w:r w:rsidRPr="00382917">
        <w:t>the</w:t>
      </w:r>
      <w:r w:rsidR="00EE4FC3">
        <w:t xml:space="preserve"> </w:t>
      </w:r>
      <w:r w:rsidRPr="00382917">
        <w:t>ground,</w:t>
      </w:r>
      <w:r w:rsidR="00EE4FC3">
        <w:t xml:space="preserve"> </w:t>
      </w:r>
      <w:r w:rsidRPr="00382917">
        <w:t>and</w:t>
      </w:r>
      <w:r w:rsidR="00EE4FC3">
        <w:t xml:space="preserve"> </w:t>
      </w:r>
      <w:r w:rsidRPr="00382917">
        <w:t>even</w:t>
      </w:r>
      <w:r w:rsidR="00EE4FC3">
        <w:t xml:space="preserve"> </w:t>
      </w:r>
      <w:r w:rsidRPr="00382917">
        <w:t>the</w:t>
      </w:r>
      <w:r w:rsidR="00EE4FC3">
        <w:t xml:space="preserve"> </w:t>
      </w:r>
      <w:r w:rsidRPr="00382917">
        <w:t>ground</w:t>
      </w:r>
      <w:r w:rsidR="00EE4FC3">
        <w:t xml:space="preserve"> </w:t>
      </w:r>
      <w:r w:rsidRPr="00382917">
        <w:t>was</w:t>
      </w:r>
      <w:r w:rsidR="00EE4FC3">
        <w:t xml:space="preserve"> </w:t>
      </w:r>
      <w:proofErr w:type="spellStart"/>
      <w:r w:rsidRPr="00382917">
        <w:t>leveled</w:t>
      </w:r>
      <w:proofErr w:type="spellEnd"/>
      <w:r w:rsidR="00EE4FC3">
        <w:t xml:space="preserve"> </w:t>
      </w:r>
      <w:r w:rsidRPr="00382917">
        <w:t>to</w:t>
      </w:r>
      <w:r w:rsidR="00EE4FC3">
        <w:t xml:space="preserve"> </w:t>
      </w:r>
      <w:r w:rsidRPr="00382917">
        <w:t>remove</w:t>
      </w:r>
      <w:r w:rsidR="00EE4FC3">
        <w:t xml:space="preserve"> </w:t>
      </w:r>
      <w:r w:rsidRPr="00382917">
        <w:t>any</w:t>
      </w:r>
      <w:r w:rsidR="00EE4FC3">
        <w:t xml:space="preserve"> </w:t>
      </w:r>
      <w:r w:rsidRPr="00382917">
        <w:t>evidence</w:t>
      </w:r>
      <w:r w:rsidR="00EE4FC3">
        <w:t xml:space="preserve"> </w:t>
      </w:r>
      <w:r w:rsidRPr="00382917">
        <w:t>of</w:t>
      </w:r>
      <w:r w:rsidR="00EE4FC3">
        <w:t xml:space="preserve"> </w:t>
      </w:r>
      <w:r w:rsidRPr="00382917">
        <w:t>the</w:t>
      </w:r>
      <w:r w:rsidR="00EE4FC3">
        <w:t xml:space="preserve"> </w:t>
      </w:r>
      <w:r w:rsidRPr="00382917">
        <w:t>heroic</w:t>
      </w:r>
      <w:r w:rsidR="00EE4FC3">
        <w:t xml:space="preserve"> </w:t>
      </w:r>
      <w:proofErr w:type="spellStart"/>
      <w:r w:rsidRPr="00382917">
        <w:t>defense</w:t>
      </w:r>
      <w:proofErr w:type="spellEnd"/>
      <w:r w:rsidR="00EE4FC3">
        <w:t xml:space="preserve"> </w:t>
      </w:r>
      <w:r w:rsidRPr="00382917">
        <w:t>of</w:t>
      </w:r>
      <w:r w:rsidR="00EE4FC3">
        <w:t xml:space="preserve"> </w:t>
      </w:r>
      <w:r w:rsidRPr="00382917">
        <w:t>those</w:t>
      </w:r>
      <w:r w:rsidR="00EE4FC3">
        <w:t xml:space="preserve"> </w:t>
      </w:r>
      <w:r w:rsidRPr="00382917">
        <w:t>who</w:t>
      </w:r>
      <w:r w:rsidR="00EE4FC3">
        <w:t xml:space="preserve"> </w:t>
      </w:r>
      <w:r w:rsidRPr="00382917">
        <w:t>had</w:t>
      </w:r>
      <w:r w:rsidR="00EE4FC3">
        <w:t xml:space="preserve"> </w:t>
      </w:r>
      <w:r w:rsidRPr="00382917">
        <w:t>died</w:t>
      </w:r>
      <w:r w:rsidR="00EE4FC3">
        <w:t xml:space="preserve"> </w:t>
      </w:r>
      <w:r w:rsidRPr="00382917">
        <w:t>for</w:t>
      </w:r>
      <w:r w:rsidR="00EE4FC3">
        <w:t xml:space="preserve"> </w:t>
      </w:r>
      <w:r w:rsidRPr="00382917">
        <w:t>their</w:t>
      </w:r>
      <w:r w:rsidR="00EE4FC3">
        <w:t xml:space="preserve"> </w:t>
      </w:r>
      <w:r w:rsidRPr="00382917">
        <w:t>Faith</w:t>
      </w:r>
      <w:r w:rsidR="00B71244">
        <w:t>.</w:t>
      </w:r>
      <w:r w:rsidR="00EE4FC3">
        <w:t xml:space="preserve">  </w:t>
      </w:r>
      <w:r w:rsidRPr="00382917">
        <w:t>They</w:t>
      </w:r>
      <w:r w:rsidR="00EE4FC3">
        <w:t xml:space="preserve"> </w:t>
      </w:r>
      <w:r w:rsidRPr="00382917">
        <w:t>imagined</w:t>
      </w:r>
      <w:r w:rsidR="00EE4FC3">
        <w:t xml:space="preserve"> </w:t>
      </w:r>
      <w:r w:rsidRPr="00382917">
        <w:t>that</w:t>
      </w:r>
      <w:r w:rsidR="00EE4FC3">
        <w:t xml:space="preserve"> </w:t>
      </w:r>
      <w:r w:rsidRPr="00382917">
        <w:t>this</w:t>
      </w:r>
      <w:r w:rsidR="00EE4FC3">
        <w:t xml:space="preserve"> </w:t>
      </w:r>
      <w:r w:rsidRPr="00382917">
        <w:t>would</w:t>
      </w:r>
      <w:r w:rsidR="00EE4FC3">
        <w:t xml:space="preserve"> </w:t>
      </w:r>
      <w:r w:rsidRPr="00382917">
        <w:t>silence</w:t>
      </w:r>
      <w:r w:rsidR="00EE4FC3">
        <w:t xml:space="preserve"> </w:t>
      </w:r>
      <w:r w:rsidRPr="00382917">
        <w:t>history.</w:t>
      </w:r>
      <w:r w:rsidR="009C713D" w:rsidRPr="00382917">
        <w:t>”</w:t>
      </w:r>
    </w:p>
    <w:p w:rsidR="00DB6293" w:rsidRPr="00382917" w:rsidRDefault="00DB6293" w:rsidP="009C713D">
      <w:pPr>
        <w:pStyle w:val="Text"/>
      </w:pPr>
      <w:r w:rsidRPr="00382917">
        <w:t>Quddús</w:t>
      </w:r>
      <w:r w:rsidR="00EE4FC3">
        <w:t xml:space="preserve"> </w:t>
      </w:r>
      <w:r w:rsidRPr="00382917">
        <w:t>was</w:t>
      </w:r>
      <w:r w:rsidR="00EE4FC3">
        <w:t xml:space="preserve"> </w:t>
      </w:r>
      <w:r w:rsidRPr="00382917">
        <w:t>bound</w:t>
      </w:r>
      <w:r w:rsidR="00EE4FC3">
        <w:t xml:space="preserve"> </w:t>
      </w:r>
      <w:r w:rsidRPr="00382917">
        <w:t>with</w:t>
      </w:r>
      <w:r w:rsidR="00EE4FC3">
        <w:t xml:space="preserve"> </w:t>
      </w:r>
      <w:r w:rsidRPr="00382917">
        <w:t>chains</w:t>
      </w:r>
      <w:r w:rsidR="00EE4FC3">
        <w:t xml:space="preserve"> </w:t>
      </w:r>
      <w:r w:rsidRPr="00382917">
        <w:t>and</w:t>
      </w:r>
      <w:r w:rsidR="00EE4FC3">
        <w:t xml:space="preserve"> </w:t>
      </w:r>
      <w:r w:rsidRPr="00382917">
        <w:t>taken</w:t>
      </w:r>
      <w:r w:rsidR="00EE4FC3">
        <w:t xml:space="preserve"> </w:t>
      </w:r>
      <w:r w:rsidRPr="00382917">
        <w:t>by</w:t>
      </w:r>
      <w:r w:rsidR="00EE4FC3">
        <w:t xml:space="preserve"> </w:t>
      </w:r>
      <w:r w:rsidRPr="00382917">
        <w:t>the</w:t>
      </w:r>
      <w:r w:rsidR="00EE4FC3">
        <w:t xml:space="preserve"> </w:t>
      </w:r>
      <w:r w:rsidRPr="00382917">
        <w:t>prince</w:t>
      </w:r>
      <w:r w:rsidR="00EE4FC3">
        <w:t xml:space="preserve"> </w:t>
      </w:r>
      <w:r w:rsidRPr="00382917">
        <w:t>on</w:t>
      </w:r>
      <w:r w:rsidR="00EE4FC3">
        <w:t xml:space="preserve"> </w:t>
      </w:r>
      <w:r w:rsidRPr="00382917">
        <w:t>foot</w:t>
      </w:r>
      <w:r w:rsidR="00EE4FC3">
        <w:t xml:space="preserve"> </w:t>
      </w:r>
      <w:r w:rsidRPr="00382917">
        <w:t>to</w:t>
      </w:r>
      <w:r w:rsidR="00EE4FC3">
        <w:t xml:space="preserve"> </w:t>
      </w:r>
      <w:r w:rsidR="00814CFC" w:rsidRPr="00382917">
        <w:t>Bárfurú</w:t>
      </w:r>
      <w:r w:rsidR="00814CFC" w:rsidRPr="00814CFC">
        <w:rPr>
          <w:u w:val="single"/>
        </w:rPr>
        <w:t>sh</w:t>
      </w:r>
      <w:r w:rsidRPr="00382917">
        <w:t>,</w:t>
      </w:r>
      <w:r w:rsidR="00EE4FC3">
        <w:t xml:space="preserve"> </w:t>
      </w:r>
      <w:r w:rsidRPr="00382917">
        <w:t>the</w:t>
      </w:r>
      <w:r w:rsidR="00EE4FC3">
        <w:t xml:space="preserve"> </w:t>
      </w:r>
      <w:r w:rsidRPr="00382917">
        <w:t>city</w:t>
      </w:r>
      <w:r w:rsidR="00EE4FC3">
        <w:t xml:space="preserve"> </w:t>
      </w:r>
      <w:r w:rsidRPr="00382917">
        <w:t>of</w:t>
      </w:r>
      <w:r w:rsidR="00EE4FC3">
        <w:t xml:space="preserve"> </w:t>
      </w:r>
      <w:r w:rsidRPr="00382917">
        <w:t>the</w:t>
      </w:r>
      <w:r w:rsidR="00EE4FC3">
        <w:t xml:space="preserve"> </w:t>
      </w:r>
      <w:r w:rsidRPr="00382917">
        <w:t>cowardly</w:t>
      </w:r>
      <w:r w:rsidR="00EE4FC3">
        <w:t xml:space="preserve"> </w:t>
      </w:r>
      <w:r w:rsidRPr="00382917">
        <w:t>high-priest,</w:t>
      </w:r>
      <w:r w:rsidR="00EE4FC3">
        <w:t xml:space="preserve"> </w:t>
      </w:r>
      <w:r w:rsidRPr="00382917">
        <w:t>the</w:t>
      </w:r>
      <w:r w:rsidR="00EE4FC3">
        <w:t xml:space="preserve"> </w:t>
      </w:r>
      <w:proofErr w:type="gramStart"/>
      <w:r w:rsidRPr="00382917">
        <w:t>Sa</w:t>
      </w:r>
      <w:r w:rsidR="009C713D" w:rsidRPr="00382917">
        <w:t>‘</w:t>
      </w:r>
      <w:r w:rsidRPr="00382917">
        <w:t>ídu</w:t>
      </w:r>
      <w:r w:rsidR="009C713D" w:rsidRPr="00382917">
        <w:t>’</w:t>
      </w:r>
      <w:r w:rsidRPr="00382917">
        <w:t>l</w:t>
      </w:r>
      <w:proofErr w:type="gramEnd"/>
      <w:r w:rsidR="009C713D" w:rsidRPr="00382917">
        <w:t>-‘</w:t>
      </w:r>
      <w:r w:rsidRPr="00382917">
        <w:t>Ulamá</w:t>
      </w:r>
      <w:r w:rsidR="009C713D" w:rsidRPr="00382917">
        <w:t>’</w:t>
      </w:r>
      <w:r w:rsidR="00B71244">
        <w:t>.</w:t>
      </w:r>
      <w:r w:rsidR="00EE4FC3">
        <w:t xml:space="preserve">  </w:t>
      </w:r>
      <w:r w:rsidR="00814CFC" w:rsidRPr="00382917">
        <w:t>Bárfurú</w:t>
      </w:r>
      <w:r w:rsidR="00814CFC" w:rsidRPr="00814CFC">
        <w:rPr>
          <w:u w:val="single"/>
        </w:rPr>
        <w:t>sh</w:t>
      </w:r>
      <w:r w:rsidR="00EE4FC3">
        <w:t xml:space="preserve"> </w:t>
      </w:r>
      <w:r w:rsidRPr="00382917">
        <w:t>was</w:t>
      </w:r>
      <w:r w:rsidR="00EE4FC3">
        <w:t xml:space="preserve"> </w:t>
      </w:r>
      <w:r w:rsidRPr="00382917">
        <w:t>also</w:t>
      </w:r>
      <w:r w:rsidR="00EE4FC3">
        <w:t xml:space="preserve"> </w:t>
      </w:r>
      <w:r w:rsidRPr="00382917">
        <w:t>the</w:t>
      </w:r>
      <w:r w:rsidR="00EE4FC3">
        <w:t xml:space="preserve"> </w:t>
      </w:r>
      <w:r w:rsidRPr="00382917">
        <w:t>city</w:t>
      </w:r>
      <w:r w:rsidR="00EE4FC3">
        <w:t xml:space="preserve"> </w:t>
      </w:r>
      <w:r w:rsidRPr="00382917">
        <w:t>in</w:t>
      </w:r>
      <w:r w:rsidR="00EE4FC3">
        <w:t xml:space="preserve"> </w:t>
      </w:r>
      <w:r w:rsidRPr="00382917">
        <w:t>which</w:t>
      </w:r>
      <w:r w:rsidR="00EE4FC3">
        <w:t xml:space="preserve"> </w:t>
      </w:r>
      <w:r w:rsidRPr="00382917">
        <w:t>Quddús</w:t>
      </w:r>
      <w:r w:rsidR="00EE4FC3">
        <w:t xml:space="preserve"> </w:t>
      </w:r>
      <w:r w:rsidRPr="00382917">
        <w:t>had</w:t>
      </w:r>
      <w:r w:rsidR="00EE4FC3">
        <w:t xml:space="preserve"> </w:t>
      </w:r>
      <w:r w:rsidRPr="00382917">
        <w:t>been</w:t>
      </w:r>
      <w:r w:rsidR="00EE4FC3">
        <w:t xml:space="preserve"> </w:t>
      </w:r>
      <w:r w:rsidRPr="00382917">
        <w:t>born.</w:t>
      </w:r>
    </w:p>
    <w:p w:rsidR="00DB6293" w:rsidRPr="00382917" w:rsidRDefault="00DB6293" w:rsidP="00DB6293">
      <w:pPr>
        <w:pStyle w:val="Text"/>
      </w:pPr>
      <w:r w:rsidRPr="00382917">
        <w:t>The</w:t>
      </w:r>
      <w:r w:rsidR="00EE4FC3">
        <w:t xml:space="preserve"> </w:t>
      </w:r>
      <w:proofErr w:type="gramStart"/>
      <w:r w:rsidRPr="00382917">
        <w:t>Sa</w:t>
      </w:r>
      <w:r w:rsidR="009C713D" w:rsidRPr="00382917">
        <w:t>‘</w:t>
      </w:r>
      <w:r w:rsidRPr="00382917">
        <w:t>ídu</w:t>
      </w:r>
      <w:r w:rsidR="009C713D" w:rsidRPr="00382917">
        <w:t>’</w:t>
      </w:r>
      <w:r w:rsidRPr="00382917">
        <w:t>l</w:t>
      </w:r>
      <w:proofErr w:type="gramEnd"/>
      <w:r w:rsidR="009C713D" w:rsidRPr="00382917">
        <w:t>-‘</w:t>
      </w:r>
      <w:r w:rsidRPr="00382917">
        <w:t>Ulamá</w:t>
      </w:r>
      <w:r w:rsidR="009C713D" w:rsidRPr="00382917">
        <w:t>’</w:t>
      </w:r>
      <w:r w:rsidR="00EE4FC3">
        <w:t xml:space="preserve"> </w:t>
      </w:r>
      <w:r w:rsidRPr="00382917">
        <w:t>was</w:t>
      </w:r>
      <w:r w:rsidR="00EE4FC3">
        <w:t xml:space="preserve"> </w:t>
      </w:r>
      <w:r w:rsidRPr="00382917">
        <w:t>not</w:t>
      </w:r>
      <w:r w:rsidR="00EE4FC3">
        <w:t xml:space="preserve"> </w:t>
      </w:r>
      <w:r w:rsidRPr="00382917">
        <w:t>afraid</w:t>
      </w:r>
      <w:r w:rsidR="00EE4FC3">
        <w:t xml:space="preserve"> </w:t>
      </w:r>
      <w:r w:rsidRPr="00382917">
        <w:t>now</w:t>
      </w:r>
      <w:r w:rsidR="00EE4FC3">
        <w:t xml:space="preserve"> </w:t>
      </w:r>
      <w:r w:rsidRPr="00382917">
        <w:t>to</w:t>
      </w:r>
      <w:r w:rsidR="00EE4FC3">
        <w:t xml:space="preserve"> </w:t>
      </w:r>
      <w:r w:rsidRPr="00382917">
        <w:t>come</w:t>
      </w:r>
      <w:r w:rsidR="00EE4FC3">
        <w:t xml:space="preserve"> </w:t>
      </w:r>
      <w:r w:rsidRPr="00382917">
        <w:t>out</w:t>
      </w:r>
      <w:r w:rsidR="00EE4FC3">
        <w:t xml:space="preserve"> </w:t>
      </w:r>
      <w:r w:rsidRPr="00382917">
        <w:t>of</w:t>
      </w:r>
      <w:r w:rsidR="00EE4FC3">
        <w:t xml:space="preserve"> </w:t>
      </w:r>
      <w:r w:rsidRPr="00382917">
        <w:t>his</w:t>
      </w:r>
      <w:r w:rsidR="00EE4FC3">
        <w:t xml:space="preserve"> </w:t>
      </w:r>
      <w:r w:rsidRPr="00382917">
        <w:t>home</w:t>
      </w:r>
      <w:r w:rsidR="00B71244">
        <w:t>.</w:t>
      </w:r>
      <w:r w:rsidR="00EE4FC3">
        <w:t xml:space="preserve">  </w:t>
      </w:r>
      <w:r w:rsidRPr="00382917">
        <w:t>With</w:t>
      </w:r>
      <w:r w:rsidR="00EE4FC3">
        <w:t xml:space="preserve"> </w:t>
      </w:r>
      <w:r w:rsidRPr="00382917">
        <w:t>all</w:t>
      </w:r>
      <w:r w:rsidR="00EE4FC3">
        <w:t xml:space="preserve"> </w:t>
      </w:r>
      <w:r w:rsidRPr="00382917">
        <w:t>the</w:t>
      </w:r>
      <w:r w:rsidR="00EE4FC3">
        <w:t xml:space="preserve"> </w:t>
      </w:r>
      <w:r w:rsidRPr="00382917">
        <w:t>religious</w:t>
      </w:r>
      <w:r w:rsidR="00EE4FC3">
        <w:t xml:space="preserve"> </w:t>
      </w:r>
      <w:r w:rsidRPr="00382917">
        <w:t>leaders</w:t>
      </w:r>
      <w:r w:rsidR="00EE4FC3">
        <w:t xml:space="preserve"> </w:t>
      </w:r>
      <w:r w:rsidRPr="00382917">
        <w:t>of</w:t>
      </w:r>
      <w:r w:rsidR="00EE4FC3">
        <w:t xml:space="preserve"> </w:t>
      </w:r>
      <w:r w:rsidR="00814CFC" w:rsidRPr="00382917">
        <w:t>Bárfurú</w:t>
      </w:r>
      <w:r w:rsidR="00814CFC" w:rsidRPr="00814CFC">
        <w:rPr>
          <w:u w:val="single"/>
        </w:rPr>
        <w:t>sh</w:t>
      </w:r>
      <w:r w:rsidRPr="00382917">
        <w:t>,</w:t>
      </w:r>
      <w:r w:rsidR="00EE4FC3">
        <w:t xml:space="preserve"> </w:t>
      </w:r>
      <w:r w:rsidRPr="00382917">
        <w:t>he</w:t>
      </w:r>
      <w:r w:rsidR="00EE4FC3">
        <w:t xml:space="preserve"> </w:t>
      </w:r>
      <w:r w:rsidRPr="00382917">
        <w:t>went</w:t>
      </w:r>
      <w:r w:rsidR="00EE4FC3">
        <w:t xml:space="preserve"> </w:t>
      </w:r>
      <w:r w:rsidRPr="00382917">
        <w:t>to</w:t>
      </w:r>
      <w:r w:rsidR="00EE4FC3">
        <w:t xml:space="preserve"> </w:t>
      </w:r>
      <w:r w:rsidRPr="00382917">
        <w:t>welcome</w:t>
      </w:r>
      <w:r w:rsidR="00EE4FC3">
        <w:t xml:space="preserve"> </w:t>
      </w:r>
      <w:r w:rsidRPr="00382917">
        <w:t>the</w:t>
      </w:r>
      <w:r w:rsidR="00EE4FC3">
        <w:t xml:space="preserve"> </w:t>
      </w:r>
      <w:r w:rsidRPr="00382917">
        <w:t>prince,</w:t>
      </w:r>
      <w:r w:rsidR="00EE4FC3">
        <w:t xml:space="preserve"> </w:t>
      </w:r>
      <w:r w:rsidRPr="00382917">
        <w:t>and</w:t>
      </w:r>
      <w:r w:rsidR="00EE4FC3">
        <w:t xml:space="preserve"> </w:t>
      </w:r>
      <w:r w:rsidRPr="00382917">
        <w:t>to</w:t>
      </w:r>
      <w:r w:rsidR="00EE4FC3">
        <w:t xml:space="preserve"> </w:t>
      </w:r>
      <w:r w:rsidRPr="00382917">
        <w:t>extend</w:t>
      </w:r>
      <w:r w:rsidR="00EE4FC3">
        <w:t xml:space="preserve"> </w:t>
      </w:r>
      <w:r w:rsidRPr="00382917">
        <w:t>his</w:t>
      </w:r>
      <w:r w:rsidR="00EE4FC3">
        <w:t xml:space="preserve"> </w:t>
      </w:r>
      <w:r w:rsidRPr="00382917">
        <w:t>congratulations</w:t>
      </w:r>
      <w:r w:rsidR="00EE4FC3">
        <w:t xml:space="preserve"> </w:t>
      </w:r>
      <w:r w:rsidRPr="00382917">
        <w:t>on</w:t>
      </w:r>
      <w:r w:rsidR="00EE4FC3">
        <w:t xml:space="preserve"> </w:t>
      </w:r>
      <w:r w:rsidRPr="00382917">
        <w:t>their</w:t>
      </w:r>
      <w:r w:rsidR="00EE4FC3">
        <w:t xml:space="preserve"> </w:t>
      </w:r>
      <w:r w:rsidRPr="00382917">
        <w:t>triumphal</w:t>
      </w:r>
    </w:p>
    <w:p w:rsidR="00DB6293" w:rsidRPr="00382917" w:rsidRDefault="00DB6293">
      <w:pPr>
        <w:widowControl/>
        <w:kinsoku/>
        <w:overflowPunct/>
        <w:textAlignment w:val="auto"/>
      </w:pPr>
      <w:r w:rsidRPr="00382917">
        <w:br w:type="page"/>
      </w:r>
    </w:p>
    <w:p w:rsidR="00DB6293" w:rsidRPr="00382917" w:rsidRDefault="00DB6293" w:rsidP="00DB6293">
      <w:pPr>
        <w:pStyle w:val="Textcts"/>
      </w:pPr>
      <w:proofErr w:type="gramStart"/>
      <w:r w:rsidRPr="00382917">
        <w:t>return</w:t>
      </w:r>
      <w:proofErr w:type="gramEnd"/>
      <w:r w:rsidR="00B71244">
        <w:t>.</w:t>
      </w:r>
      <w:r w:rsidR="00EE4FC3">
        <w:t xml:space="preserve">  </w:t>
      </w:r>
      <w:r w:rsidRPr="00382917">
        <w:t>The</w:t>
      </w:r>
      <w:r w:rsidR="00EE4FC3">
        <w:t xml:space="preserve"> </w:t>
      </w:r>
      <w:r w:rsidRPr="00382917">
        <w:t>entire</w:t>
      </w:r>
      <w:r w:rsidR="00EE4FC3">
        <w:t xml:space="preserve"> </w:t>
      </w:r>
      <w:r w:rsidRPr="00382917">
        <w:t>town</w:t>
      </w:r>
      <w:r w:rsidR="00EE4FC3">
        <w:t xml:space="preserve"> </w:t>
      </w:r>
      <w:r w:rsidRPr="00382917">
        <w:t>was</w:t>
      </w:r>
      <w:r w:rsidR="00EE4FC3">
        <w:t xml:space="preserve"> </w:t>
      </w:r>
      <w:r w:rsidRPr="00382917">
        <w:t>hung</w:t>
      </w:r>
      <w:r w:rsidR="00EE4FC3">
        <w:t xml:space="preserve"> </w:t>
      </w:r>
      <w:r w:rsidRPr="00382917">
        <w:t>with</w:t>
      </w:r>
      <w:r w:rsidR="00EE4FC3">
        <w:t xml:space="preserve"> </w:t>
      </w:r>
      <w:r w:rsidRPr="00382917">
        <w:t>flags</w:t>
      </w:r>
      <w:r w:rsidR="00EE4FC3">
        <w:t xml:space="preserve"> </w:t>
      </w:r>
      <w:r w:rsidRPr="00382917">
        <w:t>to</w:t>
      </w:r>
      <w:r w:rsidR="00EE4FC3">
        <w:t xml:space="preserve"> </w:t>
      </w:r>
      <w:r w:rsidRPr="00382917">
        <w:t>celebrate</w:t>
      </w:r>
      <w:r w:rsidR="00EE4FC3">
        <w:t xml:space="preserve"> </w:t>
      </w:r>
      <w:r w:rsidRPr="00382917">
        <w:t>the</w:t>
      </w:r>
      <w:r w:rsidR="00EE4FC3">
        <w:t xml:space="preserve"> </w:t>
      </w:r>
      <w:r w:rsidRPr="00382917">
        <w:t>victory</w:t>
      </w:r>
      <w:r w:rsidR="00B71244">
        <w:t>.</w:t>
      </w:r>
      <w:r w:rsidR="00EE4FC3">
        <w:t xml:space="preserve">  </w:t>
      </w:r>
      <w:r w:rsidRPr="00382917">
        <w:t>Bonfires</w:t>
      </w:r>
      <w:r w:rsidR="00EE4FC3">
        <w:t xml:space="preserve"> </w:t>
      </w:r>
      <w:r w:rsidRPr="00382917">
        <w:t>blazed</w:t>
      </w:r>
      <w:r w:rsidR="00EE4FC3">
        <w:t xml:space="preserve"> </w:t>
      </w:r>
      <w:r w:rsidRPr="00382917">
        <w:t>at</w:t>
      </w:r>
      <w:r w:rsidR="00EE4FC3">
        <w:t xml:space="preserve"> </w:t>
      </w:r>
      <w:r w:rsidRPr="00382917">
        <w:t>night</w:t>
      </w:r>
      <w:r w:rsidR="00B71244">
        <w:t>.</w:t>
      </w:r>
      <w:r w:rsidR="00EE4FC3">
        <w:t xml:space="preserve">  </w:t>
      </w:r>
      <w:r w:rsidRPr="00382917">
        <w:t>Three</w:t>
      </w:r>
      <w:r w:rsidR="00EE4FC3">
        <w:t xml:space="preserve"> </w:t>
      </w:r>
      <w:r w:rsidRPr="00382917">
        <w:t>days</w:t>
      </w:r>
      <w:r w:rsidR="00EE4FC3">
        <w:t xml:space="preserve"> </w:t>
      </w:r>
      <w:r w:rsidRPr="00382917">
        <w:t>of</w:t>
      </w:r>
      <w:r w:rsidR="00EE4FC3">
        <w:t xml:space="preserve"> </w:t>
      </w:r>
      <w:r w:rsidRPr="00382917">
        <w:t>festivities</w:t>
      </w:r>
      <w:r w:rsidR="00EE4FC3">
        <w:t xml:space="preserve"> </w:t>
      </w:r>
      <w:r w:rsidRPr="00382917">
        <w:t>took</w:t>
      </w:r>
      <w:r w:rsidR="00EE4FC3">
        <w:t xml:space="preserve"> </w:t>
      </w:r>
      <w:r w:rsidRPr="00382917">
        <w:t>place.</w:t>
      </w:r>
    </w:p>
    <w:p w:rsidR="00DB6293" w:rsidRPr="00382917" w:rsidRDefault="00DB6293" w:rsidP="00DB6293">
      <w:pPr>
        <w:pStyle w:val="Text"/>
      </w:pPr>
      <w:r w:rsidRPr="00382917">
        <w:t>The</w:t>
      </w:r>
      <w:r w:rsidR="00EE4FC3">
        <w:t xml:space="preserve"> </w:t>
      </w:r>
      <w:r w:rsidRPr="00382917">
        <w:t>prince</w:t>
      </w:r>
      <w:r w:rsidR="00EE4FC3">
        <w:t xml:space="preserve"> </w:t>
      </w:r>
      <w:r w:rsidRPr="00382917">
        <w:t>gave</w:t>
      </w:r>
      <w:r w:rsidR="00EE4FC3">
        <w:t xml:space="preserve"> </w:t>
      </w:r>
      <w:r w:rsidRPr="00382917">
        <w:t>no</w:t>
      </w:r>
      <w:r w:rsidR="00EE4FC3">
        <w:t xml:space="preserve"> </w:t>
      </w:r>
      <w:r w:rsidRPr="00382917">
        <w:t>indication</w:t>
      </w:r>
      <w:r w:rsidR="00EE4FC3">
        <w:t xml:space="preserve"> </w:t>
      </w:r>
      <w:r w:rsidRPr="00382917">
        <w:t>to</w:t>
      </w:r>
      <w:r w:rsidR="00EE4FC3">
        <w:t xml:space="preserve"> </w:t>
      </w:r>
      <w:r w:rsidRPr="00382917">
        <w:t>the</w:t>
      </w:r>
      <w:r w:rsidR="00EE4FC3">
        <w:t xml:space="preserve"> </w:t>
      </w:r>
      <w:r w:rsidRPr="00382917">
        <w:t>high-priest</w:t>
      </w:r>
      <w:r w:rsidR="00EE4FC3">
        <w:t xml:space="preserve"> </w:t>
      </w:r>
      <w:r w:rsidRPr="00382917">
        <w:t>as</w:t>
      </w:r>
      <w:r w:rsidR="00EE4FC3">
        <w:t xml:space="preserve"> </w:t>
      </w:r>
      <w:r w:rsidRPr="00382917">
        <w:t>to</w:t>
      </w:r>
      <w:r w:rsidR="00EE4FC3">
        <w:t xml:space="preserve"> </w:t>
      </w:r>
      <w:r w:rsidRPr="00382917">
        <w:t>what</w:t>
      </w:r>
      <w:r w:rsidR="00EE4FC3">
        <w:t xml:space="preserve"> </w:t>
      </w:r>
      <w:r w:rsidRPr="00382917">
        <w:t>was</w:t>
      </w:r>
      <w:r w:rsidR="00EE4FC3">
        <w:t xml:space="preserve"> </w:t>
      </w:r>
      <w:r w:rsidRPr="00382917">
        <w:t>to</w:t>
      </w:r>
      <w:r w:rsidR="00EE4FC3">
        <w:t xml:space="preserve"> </w:t>
      </w:r>
      <w:r w:rsidRPr="00382917">
        <w:t>be</w:t>
      </w:r>
      <w:r w:rsidR="00EE4FC3">
        <w:t xml:space="preserve"> </w:t>
      </w:r>
      <w:r w:rsidRPr="00382917">
        <w:t>done</w:t>
      </w:r>
      <w:r w:rsidR="00EE4FC3">
        <w:t xml:space="preserve"> </w:t>
      </w:r>
      <w:r w:rsidRPr="00382917">
        <w:t>with</w:t>
      </w:r>
      <w:r w:rsidR="00EE4FC3">
        <w:t xml:space="preserve"> </w:t>
      </w:r>
      <w:r w:rsidRPr="00382917">
        <w:t>Quddús</w:t>
      </w:r>
      <w:r w:rsidR="00B71244">
        <w:t>.</w:t>
      </w:r>
      <w:r w:rsidR="00EE4FC3">
        <w:t xml:space="preserve">  </w:t>
      </w:r>
      <w:r w:rsidRPr="00382917">
        <w:t>The</w:t>
      </w:r>
      <w:r w:rsidR="00EE4FC3">
        <w:t xml:space="preserve"> </w:t>
      </w:r>
      <w:r w:rsidRPr="00382917">
        <w:t>prince</w:t>
      </w:r>
      <w:r w:rsidR="00EE4FC3">
        <w:t xml:space="preserve"> </w:t>
      </w:r>
      <w:r w:rsidRPr="00382917">
        <w:t>himself</w:t>
      </w:r>
      <w:r w:rsidR="00EE4FC3">
        <w:t xml:space="preserve"> </w:t>
      </w:r>
      <w:r w:rsidRPr="00382917">
        <w:t>was</w:t>
      </w:r>
      <w:r w:rsidR="00EE4FC3">
        <w:t xml:space="preserve"> </w:t>
      </w:r>
      <w:r w:rsidRPr="00382917">
        <w:t>extremely</w:t>
      </w:r>
      <w:r w:rsidR="00EE4FC3">
        <w:t xml:space="preserve"> </w:t>
      </w:r>
      <w:r w:rsidRPr="00382917">
        <w:t>reluctant</w:t>
      </w:r>
      <w:r w:rsidR="00EE4FC3">
        <w:t xml:space="preserve"> </w:t>
      </w:r>
      <w:r w:rsidRPr="00382917">
        <w:t>to</w:t>
      </w:r>
      <w:r w:rsidR="00EE4FC3">
        <w:t xml:space="preserve"> </w:t>
      </w:r>
      <w:r w:rsidRPr="00382917">
        <w:t>ill-treat</w:t>
      </w:r>
      <w:r w:rsidR="00EE4FC3">
        <w:t xml:space="preserve"> </w:t>
      </w:r>
      <w:r w:rsidRPr="00382917">
        <w:t>his</w:t>
      </w:r>
      <w:r w:rsidR="00EE4FC3">
        <w:t xml:space="preserve"> </w:t>
      </w:r>
      <w:r w:rsidRPr="00382917">
        <w:t>captive</w:t>
      </w:r>
      <w:r w:rsidR="00EE4FC3">
        <w:t xml:space="preserve"> </w:t>
      </w:r>
      <w:r w:rsidRPr="00382917">
        <w:t>further</w:t>
      </w:r>
      <w:r w:rsidR="00B71244">
        <w:t>.</w:t>
      </w:r>
      <w:r w:rsidR="00EE4FC3">
        <w:t xml:space="preserve">  </w:t>
      </w:r>
      <w:r w:rsidRPr="00382917">
        <w:t>He</w:t>
      </w:r>
      <w:r w:rsidR="00EE4FC3">
        <w:t xml:space="preserve"> </w:t>
      </w:r>
      <w:r w:rsidRPr="00382917">
        <w:t>had</w:t>
      </w:r>
      <w:r w:rsidR="00EE4FC3">
        <w:t xml:space="preserve"> </w:t>
      </w:r>
      <w:r w:rsidRPr="00382917">
        <w:t>captured</w:t>
      </w:r>
      <w:r w:rsidR="00EE4FC3">
        <w:t xml:space="preserve"> </w:t>
      </w:r>
      <w:r w:rsidRPr="00382917">
        <w:t>Quddús</w:t>
      </w:r>
      <w:r w:rsidR="00EE4FC3">
        <w:t xml:space="preserve"> </w:t>
      </w:r>
      <w:r w:rsidRPr="00382917">
        <w:t>by</w:t>
      </w:r>
      <w:r w:rsidR="00EE4FC3">
        <w:t xml:space="preserve"> </w:t>
      </w:r>
      <w:r w:rsidRPr="00382917">
        <w:t>treachery,</w:t>
      </w:r>
      <w:r w:rsidR="00EE4FC3">
        <w:t xml:space="preserve"> </w:t>
      </w:r>
      <w:r w:rsidRPr="00382917">
        <w:t>but</w:t>
      </w:r>
      <w:r w:rsidR="00EE4FC3">
        <w:t xml:space="preserve"> </w:t>
      </w:r>
      <w:r w:rsidRPr="00382917">
        <w:t>now</w:t>
      </w:r>
      <w:r w:rsidR="00EE4FC3">
        <w:t xml:space="preserve"> </w:t>
      </w:r>
      <w:r w:rsidRPr="00382917">
        <w:t>that</w:t>
      </w:r>
      <w:r w:rsidR="00EE4FC3">
        <w:t xml:space="preserve"> </w:t>
      </w:r>
      <w:r w:rsidRPr="00382917">
        <w:t>his</w:t>
      </w:r>
      <w:r w:rsidR="00EE4FC3">
        <w:t xml:space="preserve"> </w:t>
      </w:r>
      <w:r w:rsidRPr="00382917">
        <w:t>prestige</w:t>
      </w:r>
      <w:r w:rsidR="00EE4FC3">
        <w:t xml:space="preserve"> </w:t>
      </w:r>
      <w:r w:rsidRPr="00382917">
        <w:t>was</w:t>
      </w:r>
      <w:r w:rsidR="00EE4FC3">
        <w:t xml:space="preserve"> </w:t>
      </w:r>
      <w:r w:rsidRPr="00382917">
        <w:t>secure,</w:t>
      </w:r>
      <w:r w:rsidR="00EE4FC3">
        <w:t xml:space="preserve"> </w:t>
      </w:r>
      <w:r w:rsidRPr="00382917">
        <w:t>he</w:t>
      </w:r>
      <w:r w:rsidR="00EE4FC3">
        <w:t xml:space="preserve"> </w:t>
      </w:r>
      <w:r w:rsidRPr="00382917">
        <w:t>did</w:t>
      </w:r>
      <w:r w:rsidR="00EE4FC3">
        <w:t xml:space="preserve"> </w:t>
      </w:r>
      <w:r w:rsidRPr="00382917">
        <w:t>not</w:t>
      </w:r>
      <w:r w:rsidR="00EE4FC3">
        <w:t xml:space="preserve"> </w:t>
      </w:r>
      <w:r w:rsidRPr="00382917">
        <w:t>wish</w:t>
      </w:r>
      <w:r w:rsidR="00EE4FC3">
        <w:t xml:space="preserve"> </w:t>
      </w:r>
      <w:r w:rsidRPr="00382917">
        <w:t>any</w:t>
      </w:r>
      <w:r w:rsidR="00EE4FC3">
        <w:t xml:space="preserve"> </w:t>
      </w:r>
      <w:r w:rsidRPr="00382917">
        <w:t>further</w:t>
      </w:r>
      <w:r w:rsidR="00EE4FC3">
        <w:t xml:space="preserve"> </w:t>
      </w:r>
      <w:r w:rsidRPr="00382917">
        <w:t>shame</w:t>
      </w:r>
      <w:r w:rsidR="00EE4FC3">
        <w:t xml:space="preserve"> </w:t>
      </w:r>
      <w:r w:rsidRPr="00382917">
        <w:t>to</w:t>
      </w:r>
      <w:r w:rsidR="00EE4FC3">
        <w:t xml:space="preserve"> </w:t>
      </w:r>
      <w:r w:rsidRPr="00382917">
        <w:t>be</w:t>
      </w:r>
      <w:r w:rsidR="00EE4FC3">
        <w:t xml:space="preserve"> </w:t>
      </w:r>
      <w:r w:rsidRPr="00382917">
        <w:t>attached</w:t>
      </w:r>
      <w:r w:rsidR="00EE4FC3">
        <w:t xml:space="preserve"> </w:t>
      </w:r>
      <w:r w:rsidRPr="00382917">
        <w:t>to</w:t>
      </w:r>
      <w:r w:rsidR="00EE4FC3">
        <w:t xml:space="preserve"> </w:t>
      </w:r>
      <w:r w:rsidRPr="00382917">
        <w:t>his</w:t>
      </w:r>
      <w:r w:rsidR="00EE4FC3">
        <w:t xml:space="preserve"> </w:t>
      </w:r>
      <w:r w:rsidRPr="00382917">
        <w:t>share</w:t>
      </w:r>
      <w:r w:rsidR="00EE4FC3">
        <w:t xml:space="preserve"> </w:t>
      </w:r>
      <w:r w:rsidRPr="00382917">
        <w:t>in</w:t>
      </w:r>
      <w:r w:rsidR="00EE4FC3">
        <w:t xml:space="preserve"> </w:t>
      </w:r>
      <w:r w:rsidRPr="00382917">
        <w:t>this</w:t>
      </w:r>
      <w:r w:rsidR="00EE4FC3">
        <w:t xml:space="preserve"> </w:t>
      </w:r>
      <w:r w:rsidRPr="00382917">
        <w:t>hateful</w:t>
      </w:r>
      <w:r w:rsidR="00EE4FC3">
        <w:t xml:space="preserve"> </w:t>
      </w:r>
      <w:r w:rsidRPr="00382917">
        <w:t>episode.</w:t>
      </w:r>
    </w:p>
    <w:p w:rsidR="00DB6293" w:rsidRPr="00382917" w:rsidRDefault="00DB6293" w:rsidP="00DB6293">
      <w:pPr>
        <w:pStyle w:val="Text"/>
      </w:pPr>
      <w:r w:rsidRPr="00382917">
        <w:t>The</w:t>
      </w:r>
      <w:r w:rsidR="00EE4FC3">
        <w:t xml:space="preserve"> </w:t>
      </w:r>
      <w:r w:rsidRPr="00382917">
        <w:t>prince</w:t>
      </w:r>
      <w:r w:rsidR="00EE4FC3">
        <w:t xml:space="preserve"> </w:t>
      </w:r>
      <w:r w:rsidRPr="00382917">
        <w:t>made</w:t>
      </w:r>
      <w:r w:rsidR="00EE4FC3">
        <w:t xml:space="preserve"> </w:t>
      </w:r>
      <w:r w:rsidRPr="00382917">
        <w:t>up</w:t>
      </w:r>
      <w:r w:rsidR="00EE4FC3">
        <w:t xml:space="preserve"> </w:t>
      </w:r>
      <w:r w:rsidRPr="00382917">
        <w:t>his</w:t>
      </w:r>
      <w:r w:rsidR="00EE4FC3">
        <w:t xml:space="preserve"> </w:t>
      </w:r>
      <w:r w:rsidRPr="00382917">
        <w:t>mind</w:t>
      </w:r>
      <w:r w:rsidR="00EE4FC3">
        <w:t xml:space="preserve"> </w:t>
      </w:r>
      <w:r w:rsidRPr="00382917">
        <w:t>to</w:t>
      </w:r>
      <w:r w:rsidR="00EE4FC3">
        <w:t xml:space="preserve"> </w:t>
      </w:r>
      <w:r w:rsidRPr="00382917">
        <w:t>conduct</w:t>
      </w:r>
      <w:r w:rsidR="00EE4FC3">
        <w:t xml:space="preserve"> </w:t>
      </w:r>
      <w:r w:rsidRPr="00382917">
        <w:t>Quddús</w:t>
      </w:r>
      <w:r w:rsidR="00EE4FC3">
        <w:t xml:space="preserve"> </w:t>
      </w:r>
      <w:r w:rsidRPr="00382917">
        <w:t>to</w:t>
      </w:r>
      <w:r w:rsidR="00EE4FC3">
        <w:t xml:space="preserve"> </w:t>
      </w:r>
      <w:r w:rsidRPr="00382917">
        <w:t>Ṭihrán</w:t>
      </w:r>
      <w:r w:rsidR="00EE4FC3">
        <w:t xml:space="preserve"> </w:t>
      </w:r>
      <w:r w:rsidRPr="00382917">
        <w:t>and</w:t>
      </w:r>
      <w:r w:rsidR="00EE4FC3">
        <w:t xml:space="preserve"> </w:t>
      </w:r>
      <w:r w:rsidRPr="00382917">
        <w:t>deliver</w:t>
      </w:r>
      <w:r w:rsidR="00EE4FC3">
        <w:t xml:space="preserve"> </w:t>
      </w:r>
      <w:r w:rsidRPr="00382917">
        <w:t>him</w:t>
      </w:r>
      <w:r w:rsidR="00EE4FC3">
        <w:t xml:space="preserve"> </w:t>
      </w:r>
      <w:r w:rsidRPr="00382917">
        <w:t>into</w:t>
      </w:r>
      <w:r w:rsidR="00EE4FC3">
        <w:t xml:space="preserve"> </w:t>
      </w:r>
      <w:r w:rsidRPr="00382917">
        <w:t>the</w:t>
      </w:r>
      <w:r w:rsidR="00EE4FC3">
        <w:t xml:space="preserve"> </w:t>
      </w:r>
      <w:r w:rsidRPr="00382917">
        <w:t>hands</w:t>
      </w:r>
      <w:r w:rsidR="00EE4FC3">
        <w:t xml:space="preserve"> </w:t>
      </w:r>
      <w:r w:rsidRPr="00382917">
        <w:t>of</w:t>
      </w:r>
      <w:r w:rsidR="00EE4FC3">
        <w:t xml:space="preserve"> </w:t>
      </w:r>
      <w:r w:rsidRPr="00382917">
        <w:t>the</w:t>
      </w:r>
      <w:r w:rsidR="00EE4FC3">
        <w:t xml:space="preserve"> </w:t>
      </w:r>
      <w:r w:rsidRPr="00382917">
        <w:t>king</w:t>
      </w:r>
      <w:r w:rsidR="00B71244">
        <w:t>.</w:t>
      </w:r>
      <w:r w:rsidR="00EE4FC3">
        <w:t xml:space="preserve">  </w:t>
      </w:r>
      <w:r w:rsidRPr="00382917">
        <w:t>This,</w:t>
      </w:r>
      <w:r w:rsidR="00EE4FC3">
        <w:t xml:space="preserve"> </w:t>
      </w:r>
      <w:r w:rsidRPr="00382917">
        <w:t>he</w:t>
      </w:r>
      <w:r w:rsidR="00EE4FC3">
        <w:t xml:space="preserve"> </w:t>
      </w:r>
      <w:r w:rsidRPr="00382917">
        <w:t>felt,</w:t>
      </w:r>
      <w:r w:rsidR="00EE4FC3">
        <w:t xml:space="preserve"> </w:t>
      </w:r>
      <w:r w:rsidRPr="00382917">
        <w:t>would</w:t>
      </w:r>
      <w:r w:rsidR="00EE4FC3">
        <w:t xml:space="preserve"> </w:t>
      </w:r>
      <w:r w:rsidRPr="00382917">
        <w:t>relieve</w:t>
      </w:r>
      <w:r w:rsidR="00EE4FC3">
        <w:t xml:space="preserve"> </w:t>
      </w:r>
      <w:r w:rsidRPr="00382917">
        <w:t>him</w:t>
      </w:r>
      <w:r w:rsidR="00EE4FC3">
        <w:t xml:space="preserve"> </w:t>
      </w:r>
      <w:r w:rsidRPr="00382917">
        <w:t>of</w:t>
      </w:r>
      <w:r w:rsidR="00EE4FC3">
        <w:t xml:space="preserve"> </w:t>
      </w:r>
      <w:r w:rsidRPr="00382917">
        <w:t>the</w:t>
      </w:r>
      <w:r w:rsidR="00EE4FC3">
        <w:t xml:space="preserve"> </w:t>
      </w:r>
      <w:r w:rsidRPr="00382917">
        <w:t>responsibility</w:t>
      </w:r>
      <w:r w:rsidR="00EE4FC3">
        <w:t xml:space="preserve"> </w:t>
      </w:r>
      <w:r w:rsidRPr="00382917">
        <w:t>of</w:t>
      </w:r>
      <w:r w:rsidR="00EE4FC3">
        <w:t xml:space="preserve"> </w:t>
      </w:r>
      <w:r w:rsidRPr="00382917">
        <w:t>deciding</w:t>
      </w:r>
      <w:r w:rsidR="00EE4FC3">
        <w:t xml:space="preserve"> </w:t>
      </w:r>
      <w:r w:rsidRPr="00382917">
        <w:t>Quddús</w:t>
      </w:r>
      <w:r w:rsidR="009C713D" w:rsidRPr="00382917">
        <w:t>’</w:t>
      </w:r>
      <w:r w:rsidR="00EE4FC3">
        <w:t xml:space="preserve"> </w:t>
      </w:r>
      <w:r w:rsidRPr="00382917">
        <w:t>fate</w:t>
      </w:r>
      <w:r w:rsidR="00B71244">
        <w:t>.</w:t>
      </w:r>
      <w:r w:rsidR="00EE4FC3">
        <w:t xml:space="preserve">  </w:t>
      </w:r>
      <w:r w:rsidRPr="00382917">
        <w:t>What</w:t>
      </w:r>
      <w:r w:rsidR="00EE4FC3">
        <w:t xml:space="preserve"> </w:t>
      </w:r>
      <w:r w:rsidRPr="00382917">
        <w:t>was</w:t>
      </w:r>
      <w:r w:rsidR="00EE4FC3">
        <w:t xml:space="preserve"> </w:t>
      </w:r>
      <w:r w:rsidRPr="00382917">
        <w:t>more</w:t>
      </w:r>
      <w:r w:rsidR="00EE4FC3">
        <w:t xml:space="preserve"> </w:t>
      </w:r>
      <w:r w:rsidRPr="00382917">
        <w:t>important,</w:t>
      </w:r>
      <w:r w:rsidR="00EE4FC3">
        <w:t xml:space="preserve"> </w:t>
      </w:r>
      <w:r w:rsidRPr="00382917">
        <w:t>it</w:t>
      </w:r>
      <w:r w:rsidR="00EE4FC3">
        <w:t xml:space="preserve"> </w:t>
      </w:r>
      <w:r w:rsidRPr="00382917">
        <w:t>would</w:t>
      </w:r>
      <w:r w:rsidR="00EE4FC3">
        <w:t xml:space="preserve"> </w:t>
      </w:r>
      <w:r w:rsidRPr="00382917">
        <w:t>also</w:t>
      </w:r>
      <w:r w:rsidR="00EE4FC3">
        <w:t xml:space="preserve"> </w:t>
      </w:r>
      <w:r w:rsidRPr="00382917">
        <w:t>bring</w:t>
      </w:r>
      <w:r w:rsidR="00EE4FC3">
        <w:t xml:space="preserve"> </w:t>
      </w:r>
      <w:r w:rsidRPr="00382917">
        <w:t>additional</w:t>
      </w:r>
      <w:r w:rsidR="00EE4FC3">
        <w:t xml:space="preserve"> </w:t>
      </w:r>
      <w:proofErr w:type="spellStart"/>
      <w:r w:rsidRPr="00382917">
        <w:t>honors</w:t>
      </w:r>
      <w:proofErr w:type="spellEnd"/>
      <w:r w:rsidR="00EE4FC3">
        <w:t xml:space="preserve"> </w:t>
      </w:r>
      <w:r w:rsidRPr="00382917">
        <w:t>to</w:t>
      </w:r>
      <w:r w:rsidR="00EE4FC3">
        <w:t xml:space="preserve"> </w:t>
      </w:r>
      <w:r w:rsidRPr="00382917">
        <w:t>him</w:t>
      </w:r>
      <w:r w:rsidR="00EE4FC3">
        <w:t xml:space="preserve"> </w:t>
      </w:r>
      <w:r w:rsidRPr="00382917">
        <w:t>along</w:t>
      </w:r>
      <w:r w:rsidR="00EE4FC3">
        <w:t xml:space="preserve"> </w:t>
      </w:r>
      <w:r w:rsidRPr="00382917">
        <w:t>the</w:t>
      </w:r>
      <w:r w:rsidR="00EE4FC3">
        <w:t xml:space="preserve"> </w:t>
      </w:r>
      <w:r w:rsidRPr="00382917">
        <w:t>route</w:t>
      </w:r>
      <w:r w:rsidR="00EE4FC3">
        <w:t xml:space="preserve"> </w:t>
      </w:r>
      <w:r w:rsidRPr="00382917">
        <w:t>of</w:t>
      </w:r>
      <w:r w:rsidR="00EE4FC3">
        <w:t xml:space="preserve"> </w:t>
      </w:r>
      <w:proofErr w:type="gramStart"/>
      <w:r w:rsidRPr="00382917">
        <w:t>march</w:t>
      </w:r>
      <w:proofErr w:type="gramEnd"/>
      <w:r w:rsidR="00B71244">
        <w:t>.</w:t>
      </w:r>
      <w:r w:rsidR="00EE4FC3">
        <w:t xml:space="preserve">  </w:t>
      </w:r>
      <w:r w:rsidRPr="00382917">
        <w:t>However,</w:t>
      </w:r>
      <w:r w:rsidR="00EE4FC3">
        <w:t xml:space="preserve"> </w:t>
      </w:r>
      <w:r w:rsidRPr="00382917">
        <w:t>the</w:t>
      </w:r>
      <w:r w:rsidR="00EE4FC3">
        <w:t xml:space="preserve"> </w:t>
      </w:r>
      <w:r w:rsidRPr="00382917">
        <w:t>unquenchable</w:t>
      </w:r>
      <w:r w:rsidR="00EE4FC3">
        <w:t xml:space="preserve"> </w:t>
      </w:r>
      <w:r w:rsidRPr="00382917">
        <w:t>hostility</w:t>
      </w:r>
      <w:r w:rsidR="00EE4FC3">
        <w:t xml:space="preserve"> </w:t>
      </w:r>
      <w:r w:rsidRPr="00382917">
        <w:t>of</w:t>
      </w:r>
      <w:r w:rsidR="00EE4FC3">
        <w:t xml:space="preserve"> </w:t>
      </w:r>
      <w:r w:rsidRPr="00382917">
        <w:t>the</w:t>
      </w:r>
      <w:r w:rsidR="00EE4FC3">
        <w:t xml:space="preserve"> </w:t>
      </w:r>
      <w:r w:rsidRPr="00382917">
        <w:t>high-priest</w:t>
      </w:r>
      <w:r w:rsidR="00EE4FC3">
        <w:t xml:space="preserve"> </w:t>
      </w:r>
      <w:r w:rsidRPr="00382917">
        <w:t>interfered</w:t>
      </w:r>
      <w:r w:rsidR="00EE4FC3">
        <w:t xml:space="preserve"> </w:t>
      </w:r>
      <w:r w:rsidRPr="00382917">
        <w:t>with</w:t>
      </w:r>
      <w:r w:rsidR="00EE4FC3">
        <w:t xml:space="preserve"> </w:t>
      </w:r>
      <w:r w:rsidRPr="00382917">
        <w:t>this</w:t>
      </w:r>
      <w:r w:rsidR="00EE4FC3">
        <w:t xml:space="preserve"> </w:t>
      </w:r>
      <w:r w:rsidRPr="00382917">
        <w:t>plan</w:t>
      </w:r>
      <w:r w:rsidR="00B71244">
        <w:t>.</w:t>
      </w:r>
      <w:r w:rsidR="00EE4FC3">
        <w:t xml:space="preserve">  </w:t>
      </w:r>
      <w:r w:rsidRPr="00382917">
        <w:t>When</w:t>
      </w:r>
      <w:r w:rsidR="00EE4FC3">
        <w:t xml:space="preserve"> </w:t>
      </w:r>
      <w:r w:rsidRPr="00382917">
        <w:t>the</w:t>
      </w:r>
      <w:r w:rsidR="00EE4FC3">
        <w:t xml:space="preserve"> </w:t>
      </w:r>
      <w:r w:rsidRPr="00382917">
        <w:t>high-priest</w:t>
      </w:r>
      <w:r w:rsidR="00EE4FC3">
        <w:t xml:space="preserve"> </w:t>
      </w:r>
      <w:r w:rsidRPr="00382917">
        <w:t>saw</w:t>
      </w:r>
      <w:r w:rsidR="00EE4FC3">
        <w:t xml:space="preserve"> </w:t>
      </w:r>
      <w:r w:rsidRPr="00382917">
        <w:t>that</w:t>
      </w:r>
      <w:r w:rsidR="00EE4FC3">
        <w:t xml:space="preserve"> </w:t>
      </w:r>
      <w:r w:rsidRPr="00382917">
        <w:t>Quddús</w:t>
      </w:r>
      <w:r w:rsidR="00EE4FC3">
        <w:t xml:space="preserve"> </w:t>
      </w:r>
      <w:r w:rsidRPr="00382917">
        <w:t>might</w:t>
      </w:r>
      <w:r w:rsidR="00EE4FC3">
        <w:t xml:space="preserve"> </w:t>
      </w:r>
      <w:r w:rsidRPr="00382917">
        <w:t>slip</w:t>
      </w:r>
      <w:r w:rsidR="00EE4FC3">
        <w:t xml:space="preserve"> </w:t>
      </w:r>
      <w:r w:rsidRPr="00382917">
        <w:t>from</w:t>
      </w:r>
      <w:r w:rsidR="00EE4FC3">
        <w:t xml:space="preserve"> </w:t>
      </w:r>
      <w:r w:rsidRPr="00382917">
        <w:t>his</w:t>
      </w:r>
      <w:r w:rsidR="00EE4FC3">
        <w:t xml:space="preserve"> </w:t>
      </w:r>
      <w:r w:rsidRPr="00382917">
        <w:t>grasp,</w:t>
      </w:r>
      <w:r w:rsidR="00EE4FC3">
        <w:t xml:space="preserve"> </w:t>
      </w:r>
      <w:r w:rsidRPr="00382917">
        <w:t>he</w:t>
      </w:r>
      <w:r w:rsidR="00EE4FC3">
        <w:t xml:space="preserve"> </w:t>
      </w:r>
      <w:r w:rsidRPr="00382917">
        <w:t>appealed</w:t>
      </w:r>
      <w:r w:rsidR="00EE4FC3">
        <w:t xml:space="preserve"> </w:t>
      </w:r>
      <w:r w:rsidRPr="00382917">
        <w:t>to</w:t>
      </w:r>
      <w:r w:rsidR="00EE4FC3">
        <w:t xml:space="preserve"> </w:t>
      </w:r>
      <w:r w:rsidRPr="00382917">
        <w:t>the</w:t>
      </w:r>
      <w:r w:rsidR="00EE4FC3">
        <w:t xml:space="preserve"> </w:t>
      </w:r>
      <w:r w:rsidRPr="00382917">
        <w:t>mob</w:t>
      </w:r>
      <w:r w:rsidR="00EE4FC3">
        <w:t xml:space="preserve"> </w:t>
      </w:r>
      <w:r w:rsidRPr="00382917">
        <w:t>once</w:t>
      </w:r>
      <w:r w:rsidR="00EE4FC3">
        <w:t xml:space="preserve"> </w:t>
      </w:r>
      <w:r w:rsidRPr="00382917">
        <w:t>more,</w:t>
      </w:r>
      <w:r w:rsidR="00EE4FC3">
        <w:t xml:space="preserve"> </w:t>
      </w:r>
      <w:r w:rsidRPr="00382917">
        <w:t>as</w:t>
      </w:r>
      <w:r w:rsidR="00EE4FC3">
        <w:t xml:space="preserve"> </w:t>
      </w:r>
      <w:r w:rsidRPr="00382917">
        <w:t>he</w:t>
      </w:r>
      <w:r w:rsidR="00EE4FC3">
        <w:t xml:space="preserve"> </w:t>
      </w:r>
      <w:r w:rsidRPr="00382917">
        <w:t>had</w:t>
      </w:r>
      <w:r w:rsidR="00EE4FC3">
        <w:t xml:space="preserve"> </w:t>
      </w:r>
      <w:r w:rsidRPr="00382917">
        <w:t>appealed</w:t>
      </w:r>
      <w:r w:rsidR="00EE4FC3">
        <w:t xml:space="preserve"> </w:t>
      </w:r>
      <w:r w:rsidRPr="00382917">
        <w:t>to</w:t>
      </w:r>
      <w:r w:rsidR="00EE4FC3">
        <w:t xml:space="preserve"> </w:t>
      </w:r>
      <w:r w:rsidRPr="00382917">
        <w:t>them</w:t>
      </w:r>
      <w:r w:rsidR="00EE4FC3">
        <w:t xml:space="preserve"> </w:t>
      </w:r>
      <w:r w:rsidRPr="00382917">
        <w:t>on</w:t>
      </w:r>
      <w:r w:rsidR="00EE4FC3">
        <w:t xml:space="preserve"> </w:t>
      </w:r>
      <w:r w:rsidRPr="00382917">
        <w:t>that</w:t>
      </w:r>
      <w:r w:rsidR="00EE4FC3">
        <w:t xml:space="preserve"> </w:t>
      </w:r>
      <w:r w:rsidRPr="00382917">
        <w:t>first</w:t>
      </w:r>
      <w:r w:rsidR="00EE4FC3">
        <w:t xml:space="preserve"> </w:t>
      </w:r>
      <w:r w:rsidRPr="00382917">
        <w:t>day</w:t>
      </w:r>
      <w:r w:rsidR="00EE4FC3">
        <w:t xml:space="preserve"> </w:t>
      </w:r>
      <w:r w:rsidRPr="00382917">
        <w:t>when</w:t>
      </w:r>
      <w:r w:rsidR="00EE4FC3">
        <w:t xml:space="preserve"> </w:t>
      </w:r>
      <w:r w:rsidRPr="00382917">
        <w:t>Mullá</w:t>
      </w:r>
      <w:r w:rsidR="00EE4FC3">
        <w:t xml:space="preserve"> </w:t>
      </w:r>
      <w:r w:rsidR="00964C11" w:rsidRPr="00382917">
        <w:t>Ḥusayn</w:t>
      </w:r>
      <w:r w:rsidR="00EE4FC3">
        <w:t xml:space="preserve"> </w:t>
      </w:r>
      <w:r w:rsidRPr="00382917">
        <w:t>and</w:t>
      </w:r>
      <w:r w:rsidR="00EE4FC3">
        <w:t xml:space="preserve"> </w:t>
      </w:r>
      <w:r w:rsidRPr="00382917">
        <w:t>his</w:t>
      </w:r>
      <w:r w:rsidR="00EE4FC3">
        <w:t xml:space="preserve"> </w:t>
      </w:r>
      <w:r w:rsidRPr="00382917">
        <w:t>companions</w:t>
      </w:r>
      <w:r w:rsidR="00EE4FC3">
        <w:t xml:space="preserve"> </w:t>
      </w:r>
      <w:r w:rsidRPr="00382917">
        <w:t>had</w:t>
      </w:r>
      <w:r w:rsidR="00EE4FC3">
        <w:t xml:space="preserve"> </w:t>
      </w:r>
      <w:r w:rsidRPr="00382917">
        <w:t>appeared</w:t>
      </w:r>
      <w:r w:rsidR="00EE4FC3">
        <w:t xml:space="preserve"> </w:t>
      </w:r>
      <w:r w:rsidRPr="00382917">
        <w:t>on</w:t>
      </w:r>
      <w:r w:rsidR="00EE4FC3">
        <w:t xml:space="preserve"> </w:t>
      </w:r>
      <w:r w:rsidRPr="00382917">
        <w:t>the</w:t>
      </w:r>
      <w:r w:rsidR="00EE4FC3">
        <w:t xml:space="preserve"> </w:t>
      </w:r>
      <w:r w:rsidRPr="00382917">
        <w:t>plain</w:t>
      </w:r>
      <w:r w:rsidR="00EE4FC3">
        <w:t xml:space="preserve"> </w:t>
      </w:r>
      <w:r w:rsidRPr="00382917">
        <w:t>of</w:t>
      </w:r>
      <w:r w:rsidR="00EE4FC3">
        <w:t xml:space="preserve"> </w:t>
      </w:r>
      <w:r w:rsidR="00814CFC" w:rsidRPr="00382917">
        <w:t>Bárfurú</w:t>
      </w:r>
      <w:r w:rsidR="00814CFC" w:rsidRPr="00814CFC">
        <w:rPr>
          <w:u w:val="single"/>
        </w:rPr>
        <w:t>sh</w:t>
      </w:r>
      <w:r w:rsidR="00B71244">
        <w:t>.</w:t>
      </w:r>
      <w:r w:rsidR="00EE4FC3">
        <w:t xml:space="preserve">  </w:t>
      </w:r>
      <w:r w:rsidRPr="00382917">
        <w:t>He</w:t>
      </w:r>
      <w:r w:rsidR="00EE4FC3">
        <w:t xml:space="preserve"> </w:t>
      </w:r>
      <w:r w:rsidRPr="00382917">
        <w:t>encouraged</w:t>
      </w:r>
      <w:r w:rsidR="00EE4FC3">
        <w:t xml:space="preserve"> </w:t>
      </w:r>
      <w:r w:rsidRPr="00382917">
        <w:t>their</w:t>
      </w:r>
      <w:r w:rsidR="00EE4FC3">
        <w:t xml:space="preserve"> </w:t>
      </w:r>
      <w:r w:rsidRPr="00382917">
        <w:t>basest</w:t>
      </w:r>
      <w:r w:rsidR="00EE4FC3">
        <w:t xml:space="preserve"> </w:t>
      </w:r>
      <w:r w:rsidRPr="00382917">
        <w:t>sentiments</w:t>
      </w:r>
      <w:r w:rsidR="00B71244">
        <w:t>.</w:t>
      </w:r>
      <w:r w:rsidR="00EE4FC3">
        <w:t xml:space="preserve">  </w:t>
      </w:r>
      <w:r w:rsidRPr="00382917">
        <w:t>He</w:t>
      </w:r>
      <w:r w:rsidR="00EE4FC3">
        <w:t xml:space="preserve"> </w:t>
      </w:r>
      <w:r w:rsidRPr="00382917">
        <w:t>whipped</w:t>
      </w:r>
      <w:r w:rsidR="00EE4FC3">
        <w:t xml:space="preserve"> </w:t>
      </w:r>
      <w:r w:rsidRPr="00382917">
        <w:t>them</w:t>
      </w:r>
      <w:r w:rsidR="00EE4FC3">
        <w:t xml:space="preserve"> </w:t>
      </w:r>
      <w:r w:rsidRPr="00382917">
        <w:t>into</w:t>
      </w:r>
      <w:r w:rsidR="00EE4FC3">
        <w:t xml:space="preserve"> </w:t>
      </w:r>
      <w:proofErr w:type="gramStart"/>
      <w:r w:rsidRPr="00382917">
        <w:t>a</w:t>
      </w:r>
      <w:r w:rsidR="00EE4FC3">
        <w:t xml:space="preserve"> </w:t>
      </w:r>
      <w:r w:rsidRPr="00382917">
        <w:t>frenzy</w:t>
      </w:r>
      <w:proofErr w:type="gramEnd"/>
      <w:r w:rsidR="00B71244">
        <w:t>.</w:t>
      </w:r>
      <w:r w:rsidR="00EE4FC3">
        <w:t xml:space="preserve">  </w:t>
      </w:r>
      <w:r w:rsidRPr="00382917">
        <w:t>The</w:t>
      </w:r>
      <w:r w:rsidR="00EE4FC3">
        <w:t xml:space="preserve"> </w:t>
      </w:r>
      <w:r w:rsidRPr="00382917">
        <w:t>whole</w:t>
      </w:r>
      <w:r w:rsidR="00EE4FC3">
        <w:t xml:space="preserve"> </w:t>
      </w:r>
      <w:r w:rsidRPr="00382917">
        <w:t>of</w:t>
      </w:r>
      <w:r w:rsidR="00EE4FC3">
        <w:t xml:space="preserve"> </w:t>
      </w:r>
      <w:r w:rsidR="00814CFC" w:rsidRPr="00382917">
        <w:t>Bárfurú</w:t>
      </w:r>
      <w:r w:rsidR="00814CFC" w:rsidRPr="00814CFC">
        <w:rPr>
          <w:u w:val="single"/>
        </w:rPr>
        <w:t>sh</w:t>
      </w:r>
      <w:r w:rsidR="00EE4FC3">
        <w:t xml:space="preserve"> </w:t>
      </w:r>
      <w:r w:rsidRPr="00382917">
        <w:t>was</w:t>
      </w:r>
      <w:r w:rsidR="00EE4FC3">
        <w:t xml:space="preserve"> </w:t>
      </w:r>
      <w:r w:rsidRPr="00382917">
        <w:t>aroused</w:t>
      </w:r>
      <w:r w:rsidR="00EE4FC3">
        <w:t xml:space="preserve"> </w:t>
      </w:r>
      <w:r w:rsidRPr="00382917">
        <w:t>by</w:t>
      </w:r>
      <w:r w:rsidR="00EE4FC3">
        <w:t xml:space="preserve"> </w:t>
      </w:r>
      <w:r w:rsidRPr="00382917">
        <w:t>the</w:t>
      </w:r>
      <w:r w:rsidR="00EE4FC3">
        <w:t xml:space="preserve"> </w:t>
      </w:r>
      <w:r w:rsidRPr="00382917">
        <w:t>persistency</w:t>
      </w:r>
      <w:r w:rsidR="00EE4FC3">
        <w:t xml:space="preserve"> </w:t>
      </w:r>
      <w:r w:rsidRPr="00382917">
        <w:t>and</w:t>
      </w:r>
      <w:r w:rsidR="00EE4FC3">
        <w:t xml:space="preserve"> </w:t>
      </w:r>
      <w:r w:rsidRPr="00382917">
        <w:t>viciousness</w:t>
      </w:r>
      <w:r w:rsidR="00EE4FC3">
        <w:t xml:space="preserve"> </w:t>
      </w:r>
      <w:r w:rsidRPr="00382917">
        <w:t>of</w:t>
      </w:r>
      <w:r w:rsidR="00EE4FC3">
        <w:t xml:space="preserve"> </w:t>
      </w:r>
      <w:r w:rsidRPr="00382917">
        <w:t>his</w:t>
      </w:r>
      <w:r w:rsidR="00EE4FC3">
        <w:t xml:space="preserve"> </w:t>
      </w:r>
      <w:r w:rsidRPr="00382917">
        <w:t>call</w:t>
      </w:r>
      <w:r w:rsidR="00EE4FC3">
        <w:t xml:space="preserve"> </w:t>
      </w:r>
      <w:r w:rsidRPr="00382917">
        <w:t>to</w:t>
      </w:r>
      <w:r w:rsidR="00EE4FC3">
        <w:t xml:space="preserve"> </w:t>
      </w:r>
      <w:r w:rsidRPr="00382917">
        <w:t>action.</w:t>
      </w:r>
    </w:p>
    <w:p w:rsidR="00DB6293" w:rsidRPr="00382917" w:rsidRDefault="009C713D" w:rsidP="00DB6293">
      <w:pPr>
        <w:pStyle w:val="Text"/>
      </w:pPr>
      <w:r w:rsidRPr="00382917">
        <w:t>“</w:t>
      </w:r>
      <w:r w:rsidR="00DB6293" w:rsidRPr="00382917">
        <w:t>I</w:t>
      </w:r>
      <w:r w:rsidR="00EE4FC3">
        <w:t xml:space="preserve"> </w:t>
      </w:r>
      <w:r w:rsidR="00DB6293" w:rsidRPr="00382917">
        <w:t>have</w:t>
      </w:r>
      <w:r w:rsidR="00EE4FC3">
        <w:t xml:space="preserve"> </w:t>
      </w:r>
      <w:r w:rsidR="00DB6293" w:rsidRPr="00382917">
        <w:t>vowed</w:t>
      </w:r>
      <w:r w:rsidR="00EE4FC3">
        <w:t xml:space="preserve"> </w:t>
      </w:r>
      <w:r w:rsidR="00DB6293" w:rsidRPr="00382917">
        <w:t>to</w:t>
      </w:r>
      <w:r w:rsidR="00EE4FC3">
        <w:t xml:space="preserve"> </w:t>
      </w:r>
      <w:r w:rsidR="00DB6293" w:rsidRPr="00382917">
        <w:t>deny</w:t>
      </w:r>
      <w:r w:rsidR="00EE4FC3">
        <w:t xml:space="preserve"> </w:t>
      </w:r>
      <w:r w:rsidR="00DB6293" w:rsidRPr="00382917">
        <w:t>myself</w:t>
      </w:r>
      <w:r w:rsidR="00EE4FC3">
        <w:t xml:space="preserve"> </w:t>
      </w:r>
      <w:r w:rsidR="00DB6293" w:rsidRPr="00382917">
        <w:t>both</w:t>
      </w:r>
      <w:r w:rsidR="00EE4FC3">
        <w:t xml:space="preserve"> </w:t>
      </w:r>
      <w:r w:rsidR="00DB6293" w:rsidRPr="00382917">
        <w:t>food</w:t>
      </w:r>
      <w:r w:rsidR="00EE4FC3">
        <w:t xml:space="preserve"> </w:t>
      </w:r>
      <w:r w:rsidR="00DB6293" w:rsidRPr="00382917">
        <w:t>and</w:t>
      </w:r>
      <w:r w:rsidR="00EE4FC3">
        <w:t xml:space="preserve"> </w:t>
      </w:r>
      <w:r w:rsidR="00DB6293" w:rsidRPr="00382917">
        <w:t>sleep,</w:t>
      </w:r>
      <w:r w:rsidRPr="00382917">
        <w:t>”</w:t>
      </w:r>
      <w:r w:rsidR="00EE4FC3">
        <w:t xml:space="preserve"> </w:t>
      </w:r>
      <w:r w:rsidR="00DB6293" w:rsidRPr="00382917">
        <w:t>he</w:t>
      </w:r>
      <w:r w:rsidR="00EE4FC3">
        <w:t xml:space="preserve"> </w:t>
      </w:r>
      <w:r w:rsidR="00DB6293" w:rsidRPr="00382917">
        <w:t>cried</w:t>
      </w:r>
      <w:r w:rsidR="00EE4FC3">
        <w:t xml:space="preserve"> </w:t>
      </w:r>
      <w:r w:rsidR="00DB6293" w:rsidRPr="00382917">
        <w:t>from</w:t>
      </w:r>
      <w:r w:rsidR="00EE4FC3">
        <w:t xml:space="preserve"> </w:t>
      </w:r>
      <w:r w:rsidR="00DB6293" w:rsidRPr="00382917">
        <w:t>the</w:t>
      </w:r>
      <w:r w:rsidR="00EE4FC3">
        <w:t xml:space="preserve"> </w:t>
      </w:r>
      <w:r w:rsidR="00DB6293" w:rsidRPr="00382917">
        <w:t>pulpit,</w:t>
      </w:r>
      <w:r w:rsidR="00EE4FC3">
        <w:t xml:space="preserve"> </w:t>
      </w:r>
      <w:r w:rsidRPr="00382917">
        <w:t>“</w:t>
      </w:r>
      <w:r w:rsidR="00DB6293" w:rsidRPr="00382917">
        <w:t>until</w:t>
      </w:r>
      <w:r w:rsidR="00EE4FC3">
        <w:t xml:space="preserve"> </w:t>
      </w:r>
      <w:r w:rsidR="00DB6293" w:rsidRPr="00382917">
        <w:t>such</w:t>
      </w:r>
      <w:r w:rsidR="00EE4FC3">
        <w:t xml:space="preserve"> </w:t>
      </w:r>
      <w:r w:rsidR="00DB6293" w:rsidRPr="00382917">
        <w:t>a</w:t>
      </w:r>
      <w:r w:rsidR="00EE4FC3">
        <w:t xml:space="preserve"> </w:t>
      </w:r>
      <w:r w:rsidR="00DB6293" w:rsidRPr="00382917">
        <w:t>time</w:t>
      </w:r>
      <w:r w:rsidR="00EE4FC3">
        <w:t xml:space="preserve"> </w:t>
      </w:r>
      <w:r w:rsidR="00DB6293" w:rsidRPr="00382917">
        <w:t>as</w:t>
      </w:r>
      <w:r w:rsidR="00EE4FC3">
        <w:t xml:space="preserve"> </w:t>
      </w:r>
      <w:r w:rsidR="00DB6293" w:rsidRPr="00382917">
        <w:t>I</w:t>
      </w:r>
      <w:r w:rsidR="00EE4FC3">
        <w:t xml:space="preserve"> </w:t>
      </w:r>
      <w:r w:rsidR="00DB6293" w:rsidRPr="00382917">
        <w:t>am</w:t>
      </w:r>
      <w:r w:rsidR="00EE4FC3">
        <w:t xml:space="preserve"> </w:t>
      </w:r>
      <w:r w:rsidR="00DB6293" w:rsidRPr="00382917">
        <w:t>able</w:t>
      </w:r>
      <w:r w:rsidR="00EE4FC3">
        <w:t xml:space="preserve"> </w:t>
      </w:r>
      <w:r w:rsidR="00DB6293" w:rsidRPr="00382917">
        <w:t>to</w:t>
      </w:r>
      <w:r w:rsidR="00EE4FC3">
        <w:t xml:space="preserve"> </w:t>
      </w:r>
      <w:r w:rsidR="00DB6293" w:rsidRPr="00382917">
        <w:t>end</w:t>
      </w:r>
      <w:r w:rsidR="00EE4FC3">
        <w:t xml:space="preserve"> </w:t>
      </w:r>
      <w:r w:rsidR="00DB6293" w:rsidRPr="00382917">
        <w:t>the</w:t>
      </w:r>
      <w:r w:rsidR="00EE4FC3">
        <w:t xml:space="preserve"> </w:t>
      </w:r>
      <w:r w:rsidR="00DB6293" w:rsidRPr="00382917">
        <w:t>life</w:t>
      </w:r>
      <w:r w:rsidR="00EE4FC3">
        <w:t xml:space="preserve"> </w:t>
      </w:r>
      <w:r w:rsidR="00DB6293" w:rsidRPr="00382917">
        <w:t>of</w:t>
      </w:r>
      <w:r w:rsidR="00EE4FC3">
        <w:t xml:space="preserve"> </w:t>
      </w:r>
      <w:r w:rsidR="00DB6293" w:rsidRPr="00382917">
        <w:t>Quddús</w:t>
      </w:r>
      <w:r w:rsidR="00EE4FC3">
        <w:t xml:space="preserve"> </w:t>
      </w:r>
      <w:r w:rsidR="00DB6293" w:rsidRPr="00382917">
        <w:t>with</w:t>
      </w:r>
      <w:r w:rsidR="00EE4FC3">
        <w:t xml:space="preserve"> </w:t>
      </w:r>
      <w:r w:rsidR="00DB6293" w:rsidRPr="00382917">
        <w:t>my</w:t>
      </w:r>
      <w:r w:rsidR="00EE4FC3">
        <w:t xml:space="preserve"> </w:t>
      </w:r>
      <w:r w:rsidR="00DB6293" w:rsidRPr="00382917">
        <w:t>own</w:t>
      </w:r>
      <w:r w:rsidR="00EE4FC3">
        <w:t xml:space="preserve"> </w:t>
      </w:r>
      <w:r w:rsidR="00DB6293" w:rsidRPr="00382917">
        <w:t>hands.</w:t>
      </w:r>
      <w:r w:rsidRPr="00382917">
        <w:t>”</w:t>
      </w:r>
    </w:p>
    <w:p w:rsidR="00DB6293" w:rsidRPr="00382917" w:rsidRDefault="00DB6293" w:rsidP="00DB6293">
      <w:pPr>
        <w:pStyle w:val="Text"/>
      </w:pPr>
      <w:r w:rsidRPr="00382917">
        <w:t>The</w:t>
      </w:r>
      <w:r w:rsidR="00EE4FC3">
        <w:t xml:space="preserve"> </w:t>
      </w:r>
      <w:r w:rsidRPr="00382917">
        <w:t>crowd</w:t>
      </w:r>
      <w:r w:rsidR="00EE4FC3">
        <w:t xml:space="preserve"> </w:t>
      </w:r>
      <w:r w:rsidRPr="00382917">
        <w:t>rallied</w:t>
      </w:r>
      <w:r w:rsidR="00EE4FC3">
        <w:t xml:space="preserve"> </w:t>
      </w:r>
      <w:r w:rsidRPr="00382917">
        <w:t>around</w:t>
      </w:r>
      <w:r w:rsidR="00EE4FC3">
        <w:t xml:space="preserve"> </w:t>
      </w:r>
      <w:r w:rsidRPr="00382917">
        <w:t>him</w:t>
      </w:r>
      <w:r w:rsidR="00EE4FC3">
        <w:t xml:space="preserve"> </w:t>
      </w:r>
      <w:r w:rsidRPr="00382917">
        <w:t>and</w:t>
      </w:r>
      <w:r w:rsidR="00EE4FC3">
        <w:t xml:space="preserve"> </w:t>
      </w:r>
      <w:r w:rsidRPr="00382917">
        <w:t>became</w:t>
      </w:r>
      <w:r w:rsidR="00EE4FC3">
        <w:t xml:space="preserve"> </w:t>
      </w:r>
      <w:r w:rsidRPr="00382917">
        <w:t>so</w:t>
      </w:r>
      <w:r w:rsidR="00EE4FC3">
        <w:t xml:space="preserve"> </w:t>
      </w:r>
      <w:r w:rsidRPr="00382917">
        <w:t>ugly</w:t>
      </w:r>
      <w:r w:rsidR="00EE4FC3">
        <w:t xml:space="preserve"> </w:t>
      </w:r>
      <w:r w:rsidRPr="00382917">
        <w:t>that</w:t>
      </w:r>
      <w:r w:rsidR="00EE4FC3">
        <w:t xml:space="preserve"> </w:t>
      </w:r>
      <w:r w:rsidRPr="00382917">
        <w:t>the</w:t>
      </w:r>
      <w:r w:rsidR="00EE4FC3">
        <w:t xml:space="preserve"> </w:t>
      </w:r>
      <w:r w:rsidRPr="00382917">
        <w:t>prince</w:t>
      </w:r>
      <w:r w:rsidR="00EE4FC3">
        <w:t xml:space="preserve"> </w:t>
      </w:r>
      <w:r w:rsidRPr="00382917">
        <w:t>feared</w:t>
      </w:r>
      <w:r w:rsidR="00EE4FC3">
        <w:t xml:space="preserve"> </w:t>
      </w:r>
      <w:r w:rsidRPr="00382917">
        <w:t>that</w:t>
      </w:r>
      <w:r w:rsidR="00EE4FC3">
        <w:t xml:space="preserve"> </w:t>
      </w:r>
      <w:r w:rsidRPr="00382917">
        <w:t>his</w:t>
      </w:r>
      <w:r w:rsidR="00EE4FC3">
        <w:t xml:space="preserve"> </w:t>
      </w:r>
      <w:r w:rsidRPr="00382917">
        <w:t>own</w:t>
      </w:r>
      <w:r w:rsidR="00EE4FC3">
        <w:t xml:space="preserve"> </w:t>
      </w:r>
      <w:r w:rsidRPr="00382917">
        <w:t>safety</w:t>
      </w:r>
      <w:r w:rsidR="00EE4FC3">
        <w:t xml:space="preserve"> </w:t>
      </w:r>
      <w:r w:rsidRPr="00382917">
        <w:t>might</w:t>
      </w:r>
      <w:r w:rsidR="00EE4FC3">
        <w:t xml:space="preserve"> </w:t>
      </w:r>
      <w:r w:rsidRPr="00382917">
        <w:t>be</w:t>
      </w:r>
      <w:r w:rsidR="00EE4FC3">
        <w:t xml:space="preserve"> </w:t>
      </w:r>
      <w:r w:rsidRPr="00382917">
        <w:t>in</w:t>
      </w:r>
      <w:r w:rsidR="00EE4FC3">
        <w:t xml:space="preserve"> </w:t>
      </w:r>
      <w:r w:rsidRPr="00382917">
        <w:t>danger</w:t>
      </w:r>
      <w:r w:rsidR="00B71244">
        <w:t>.</w:t>
      </w:r>
      <w:r w:rsidR="00EE4FC3">
        <w:t xml:space="preserve">  </w:t>
      </w:r>
      <w:r w:rsidRPr="00382917">
        <w:t>He</w:t>
      </w:r>
      <w:r w:rsidR="00EE4FC3">
        <w:t xml:space="preserve"> </w:t>
      </w:r>
      <w:r w:rsidRPr="00382917">
        <w:t>summoned</w:t>
      </w:r>
      <w:r w:rsidR="00EE4FC3">
        <w:t xml:space="preserve"> </w:t>
      </w:r>
      <w:r w:rsidRPr="00382917">
        <w:t>all</w:t>
      </w:r>
      <w:r w:rsidR="00EE4FC3">
        <w:t xml:space="preserve"> </w:t>
      </w:r>
      <w:r w:rsidRPr="00382917">
        <w:t>the</w:t>
      </w:r>
      <w:r w:rsidR="00EE4FC3">
        <w:t xml:space="preserve"> </w:t>
      </w:r>
      <w:r w:rsidRPr="00382917">
        <w:t>priests</w:t>
      </w:r>
      <w:r w:rsidR="00EE4FC3">
        <w:t xml:space="preserve"> </w:t>
      </w:r>
      <w:r w:rsidRPr="00382917">
        <w:t>of</w:t>
      </w:r>
      <w:r w:rsidR="00EE4FC3">
        <w:t xml:space="preserve"> </w:t>
      </w:r>
      <w:r w:rsidR="00814CFC" w:rsidRPr="00382917">
        <w:t>Bárfurú</w:t>
      </w:r>
      <w:r w:rsidR="00814CFC" w:rsidRPr="00814CFC">
        <w:rPr>
          <w:u w:val="single"/>
        </w:rPr>
        <w:t>sh</w:t>
      </w:r>
      <w:r w:rsidR="00EE4FC3">
        <w:t xml:space="preserve"> </w:t>
      </w:r>
      <w:r w:rsidRPr="00382917">
        <w:t>in</w:t>
      </w:r>
      <w:r w:rsidR="00EE4FC3">
        <w:t xml:space="preserve"> </w:t>
      </w:r>
      <w:r w:rsidRPr="00382917">
        <w:t>to</w:t>
      </w:r>
      <w:r w:rsidR="00EE4FC3">
        <w:t xml:space="preserve"> </w:t>
      </w:r>
      <w:r w:rsidRPr="00382917">
        <w:t>consult</w:t>
      </w:r>
      <w:r w:rsidR="00EE4FC3">
        <w:t xml:space="preserve"> </w:t>
      </w:r>
      <w:r w:rsidRPr="00382917">
        <w:t>upon</w:t>
      </w:r>
      <w:r w:rsidR="00EE4FC3">
        <w:t xml:space="preserve"> </w:t>
      </w:r>
      <w:r w:rsidRPr="00382917">
        <w:t>measures</w:t>
      </w:r>
      <w:r w:rsidR="00EE4FC3">
        <w:t xml:space="preserve"> </w:t>
      </w:r>
      <w:r w:rsidRPr="00382917">
        <w:t>to</w:t>
      </w:r>
      <w:r w:rsidR="00EE4FC3">
        <w:t xml:space="preserve"> </w:t>
      </w:r>
      <w:r w:rsidRPr="00382917">
        <w:t>quiet</w:t>
      </w:r>
      <w:r w:rsidR="00EE4FC3">
        <w:t xml:space="preserve"> </w:t>
      </w:r>
      <w:r w:rsidRPr="00382917">
        <w:t>and</w:t>
      </w:r>
      <w:r w:rsidR="00EE4FC3">
        <w:t xml:space="preserve"> </w:t>
      </w:r>
      <w:r w:rsidRPr="00382917">
        <w:t>restrain</w:t>
      </w:r>
      <w:r w:rsidR="00EE4FC3">
        <w:t xml:space="preserve"> </w:t>
      </w:r>
      <w:r w:rsidRPr="00382917">
        <w:t>the</w:t>
      </w:r>
      <w:r w:rsidR="00EE4FC3">
        <w:t xml:space="preserve"> </w:t>
      </w:r>
      <w:r w:rsidRPr="00382917">
        <w:t>populace.</w:t>
      </w:r>
    </w:p>
    <w:p w:rsidR="00DB6293" w:rsidRPr="00382917" w:rsidRDefault="00DB6293" w:rsidP="00DB6293">
      <w:pPr>
        <w:pStyle w:val="Text"/>
      </w:pPr>
      <w:r w:rsidRPr="00382917">
        <w:t>Quddús</w:t>
      </w:r>
      <w:r w:rsidR="00EE4FC3">
        <w:t xml:space="preserve"> </w:t>
      </w:r>
      <w:r w:rsidRPr="00382917">
        <w:t>was</w:t>
      </w:r>
      <w:r w:rsidR="00EE4FC3">
        <w:t xml:space="preserve"> </w:t>
      </w:r>
      <w:r w:rsidRPr="00382917">
        <w:t>also</w:t>
      </w:r>
      <w:r w:rsidR="00EE4FC3">
        <w:t xml:space="preserve"> </w:t>
      </w:r>
      <w:r w:rsidRPr="00382917">
        <w:t>summoned</w:t>
      </w:r>
      <w:r w:rsidR="00EE4FC3">
        <w:t xml:space="preserve"> </w:t>
      </w:r>
      <w:r w:rsidRPr="00382917">
        <w:t>into</w:t>
      </w:r>
      <w:r w:rsidR="00EE4FC3">
        <w:t xml:space="preserve"> </w:t>
      </w:r>
      <w:r w:rsidRPr="00382917">
        <w:t>their</w:t>
      </w:r>
      <w:r w:rsidR="00EE4FC3">
        <w:t xml:space="preserve"> </w:t>
      </w:r>
      <w:r w:rsidRPr="00382917">
        <w:t>presence</w:t>
      </w:r>
      <w:r w:rsidR="00B71244">
        <w:t>.</w:t>
      </w:r>
      <w:r w:rsidR="00EE4FC3">
        <w:t xml:space="preserve">  </w:t>
      </w:r>
      <w:r w:rsidRPr="00382917">
        <w:t>At</w:t>
      </w:r>
      <w:r w:rsidR="00EE4FC3">
        <w:t xml:space="preserve"> </w:t>
      </w:r>
      <w:r w:rsidRPr="00382917">
        <w:t>that</w:t>
      </w:r>
      <w:r w:rsidR="00EE4FC3">
        <w:t xml:space="preserve"> </w:t>
      </w:r>
      <w:r w:rsidRPr="00382917">
        <w:t>moment,</w:t>
      </w:r>
      <w:r w:rsidR="00EE4FC3">
        <w:t xml:space="preserve"> </w:t>
      </w:r>
      <w:r w:rsidRPr="00382917">
        <w:t>the</w:t>
      </w:r>
      <w:r w:rsidR="00EE4FC3">
        <w:t xml:space="preserve"> </w:t>
      </w:r>
      <w:r w:rsidRPr="00382917">
        <w:t>prince</w:t>
      </w:r>
      <w:r w:rsidR="00EE4FC3">
        <w:t xml:space="preserve"> </w:t>
      </w:r>
      <w:r w:rsidRPr="00382917">
        <w:t>realized</w:t>
      </w:r>
      <w:r w:rsidR="00EE4FC3">
        <w:t xml:space="preserve"> </w:t>
      </w:r>
      <w:r w:rsidRPr="00382917">
        <w:t>that</w:t>
      </w:r>
      <w:r w:rsidR="00EE4FC3">
        <w:t xml:space="preserve"> </w:t>
      </w:r>
      <w:r w:rsidRPr="00382917">
        <w:t>the</w:t>
      </w:r>
      <w:r w:rsidR="00EE4FC3">
        <w:t xml:space="preserve"> </w:t>
      </w:r>
      <w:r w:rsidRPr="00382917">
        <w:t>hatred</w:t>
      </w:r>
      <w:r w:rsidR="00EE4FC3">
        <w:t xml:space="preserve"> </w:t>
      </w:r>
      <w:r w:rsidRPr="00382917">
        <w:t>of</w:t>
      </w:r>
      <w:r w:rsidR="00EE4FC3">
        <w:t xml:space="preserve"> </w:t>
      </w:r>
      <w:r w:rsidRPr="00382917">
        <w:t>the</w:t>
      </w:r>
      <w:r w:rsidR="00EE4FC3">
        <w:t xml:space="preserve"> </w:t>
      </w:r>
      <w:r w:rsidRPr="00382917">
        <w:t>entire</w:t>
      </w:r>
      <w:r w:rsidR="00EE4FC3">
        <w:t xml:space="preserve"> </w:t>
      </w:r>
      <w:r w:rsidRPr="00382917">
        <w:t>city</w:t>
      </w:r>
      <w:r w:rsidR="00EE4FC3">
        <w:t xml:space="preserve"> </w:t>
      </w:r>
      <w:r w:rsidRPr="00382917">
        <w:t>was</w:t>
      </w:r>
      <w:r w:rsidR="00EE4FC3">
        <w:t xml:space="preserve"> </w:t>
      </w:r>
      <w:r w:rsidRPr="00382917">
        <w:t>solidly</w:t>
      </w:r>
      <w:r w:rsidR="00EE4FC3">
        <w:t xml:space="preserve"> </w:t>
      </w:r>
      <w:r w:rsidRPr="00382917">
        <w:t>against</w:t>
      </w:r>
      <w:r w:rsidR="00EE4FC3">
        <w:t xml:space="preserve"> </w:t>
      </w:r>
      <w:r w:rsidRPr="00382917">
        <w:t>him</w:t>
      </w:r>
      <w:r w:rsidR="00B71244">
        <w:t>.</w:t>
      </w:r>
      <w:r w:rsidR="00EE4FC3">
        <w:t xml:space="preserve">  </w:t>
      </w:r>
      <w:r w:rsidRPr="00382917">
        <w:t>He</w:t>
      </w:r>
      <w:r w:rsidR="00EE4FC3">
        <w:t xml:space="preserve"> </w:t>
      </w:r>
      <w:r w:rsidRPr="00382917">
        <w:t>sighed,</w:t>
      </w:r>
      <w:r w:rsidR="00EE4FC3">
        <w:t xml:space="preserve"> </w:t>
      </w:r>
      <w:r w:rsidRPr="00382917">
        <w:t>and</w:t>
      </w:r>
      <w:r w:rsidR="00EE4FC3">
        <w:t xml:space="preserve"> </w:t>
      </w:r>
      <w:r w:rsidRPr="00382917">
        <w:t>spoke</w:t>
      </w:r>
      <w:r w:rsidR="00EE4FC3">
        <w:t xml:space="preserve"> </w:t>
      </w:r>
      <w:r w:rsidRPr="00382917">
        <w:t>words</w:t>
      </w:r>
      <w:r w:rsidR="00EE4FC3">
        <w:t xml:space="preserve"> </w:t>
      </w:r>
      <w:r w:rsidRPr="00382917">
        <w:t>reminiscent</w:t>
      </w:r>
      <w:r w:rsidR="00EE4FC3">
        <w:t xml:space="preserve"> </w:t>
      </w:r>
      <w:r w:rsidRPr="00382917">
        <w:t>of</w:t>
      </w:r>
      <w:r w:rsidR="00EE4FC3">
        <w:t xml:space="preserve"> </w:t>
      </w:r>
      <w:r w:rsidRPr="00382917">
        <w:t>those</w:t>
      </w:r>
      <w:r w:rsidR="00EE4FC3">
        <w:t xml:space="preserve"> </w:t>
      </w:r>
      <w:r w:rsidRPr="00382917">
        <w:t>of</w:t>
      </w:r>
      <w:r w:rsidR="00EE4FC3">
        <w:t xml:space="preserve"> </w:t>
      </w:r>
      <w:r w:rsidRPr="00382917">
        <w:t>Pontius</w:t>
      </w:r>
      <w:r w:rsidR="00EE4FC3">
        <w:t xml:space="preserve"> </w:t>
      </w:r>
      <w:r w:rsidRPr="00382917">
        <w:t>Pilate</w:t>
      </w:r>
      <w:r w:rsidR="00C03C91">
        <w:t>:</w:t>
      </w:r>
      <w:r w:rsidR="00EE4FC3">
        <w:t xml:space="preserve">  </w:t>
      </w:r>
      <w:r w:rsidR="009C713D" w:rsidRPr="00382917">
        <w:t>“</w:t>
      </w:r>
      <w:r w:rsidRPr="00382917">
        <w:t>I</w:t>
      </w:r>
      <w:r w:rsidR="00EE4FC3">
        <w:t xml:space="preserve"> </w:t>
      </w:r>
      <w:r w:rsidRPr="00382917">
        <w:t>wash</w:t>
      </w:r>
      <w:r w:rsidR="00EE4FC3">
        <w:t xml:space="preserve"> </w:t>
      </w:r>
      <w:r w:rsidRPr="00382917">
        <w:t>my</w:t>
      </w:r>
      <w:r w:rsidR="00EE4FC3">
        <w:t xml:space="preserve"> </w:t>
      </w:r>
      <w:r w:rsidRPr="00382917">
        <w:t>hands</w:t>
      </w:r>
      <w:r w:rsidR="00EE4FC3">
        <w:t xml:space="preserve"> </w:t>
      </w:r>
      <w:r w:rsidRPr="00382917">
        <w:t>of</w:t>
      </w:r>
      <w:r w:rsidR="00EE4FC3">
        <w:t xml:space="preserve"> </w:t>
      </w:r>
      <w:r w:rsidRPr="00382917">
        <w:t>all</w:t>
      </w:r>
      <w:r w:rsidR="00EE4FC3">
        <w:t xml:space="preserve"> </w:t>
      </w:r>
      <w:r w:rsidRPr="00382917">
        <w:t>responsibility</w:t>
      </w:r>
      <w:r w:rsidR="00EE4FC3">
        <w:t xml:space="preserve"> </w:t>
      </w:r>
      <w:r w:rsidRPr="00382917">
        <w:t>for</w:t>
      </w:r>
      <w:r w:rsidR="00EE4FC3">
        <w:t xml:space="preserve"> </w:t>
      </w:r>
      <w:r w:rsidRPr="00382917">
        <w:t>any</w:t>
      </w:r>
      <w:r w:rsidR="00EE4FC3">
        <w:t xml:space="preserve"> </w:t>
      </w:r>
      <w:r w:rsidRPr="00382917">
        <w:t>harm</w:t>
      </w:r>
      <w:r w:rsidR="00EE4FC3">
        <w:t xml:space="preserve"> </w:t>
      </w:r>
      <w:r w:rsidRPr="00382917">
        <w:t>that</w:t>
      </w:r>
      <w:r w:rsidR="00EE4FC3">
        <w:t xml:space="preserve"> </w:t>
      </w:r>
      <w:r w:rsidRPr="00382917">
        <w:t>may</w:t>
      </w:r>
      <w:r w:rsidR="00EE4FC3">
        <w:t xml:space="preserve"> </w:t>
      </w:r>
      <w:r w:rsidRPr="00382917">
        <w:t>befall</w:t>
      </w:r>
      <w:r w:rsidR="00EE4FC3">
        <w:t xml:space="preserve"> </w:t>
      </w:r>
      <w:r w:rsidRPr="00382917">
        <w:t>this</w:t>
      </w:r>
      <w:r w:rsidR="00EE4FC3">
        <w:t xml:space="preserve"> </w:t>
      </w:r>
      <w:r w:rsidRPr="00382917">
        <w:t>man</w:t>
      </w:r>
      <w:r w:rsidR="00B71244">
        <w:t>.</w:t>
      </w:r>
      <w:r w:rsidR="00EE4FC3">
        <w:t xml:space="preserve">  </w:t>
      </w:r>
      <w:r w:rsidRPr="00382917">
        <w:t>You</w:t>
      </w:r>
      <w:r w:rsidR="00EE4FC3">
        <w:t xml:space="preserve"> </w:t>
      </w:r>
      <w:r w:rsidRPr="00382917">
        <w:t>are</w:t>
      </w:r>
      <w:r w:rsidR="00EE4FC3">
        <w:t xml:space="preserve"> </w:t>
      </w:r>
      <w:r w:rsidRPr="00382917">
        <w:t>free</w:t>
      </w:r>
      <w:r w:rsidR="00EE4FC3">
        <w:t xml:space="preserve"> </w:t>
      </w:r>
      <w:r w:rsidRPr="00382917">
        <w:t>to</w:t>
      </w:r>
      <w:r w:rsidR="00EE4FC3">
        <w:t xml:space="preserve"> </w:t>
      </w:r>
      <w:r w:rsidRPr="00382917">
        <w:t>do</w:t>
      </w:r>
      <w:r w:rsidR="00EE4FC3">
        <w:t xml:space="preserve"> </w:t>
      </w:r>
      <w:r w:rsidRPr="00382917">
        <w:t>what</w:t>
      </w:r>
      <w:r w:rsidR="00EE4FC3">
        <w:t xml:space="preserve"> </w:t>
      </w:r>
      <w:r w:rsidRPr="00382917">
        <w:t>you</w:t>
      </w:r>
      <w:r w:rsidR="00EE4FC3">
        <w:t xml:space="preserve"> </w:t>
      </w:r>
      <w:r w:rsidRPr="00382917">
        <w:t>wish</w:t>
      </w:r>
      <w:r w:rsidR="00EE4FC3">
        <w:t xml:space="preserve"> </w:t>
      </w:r>
      <w:r w:rsidRPr="00382917">
        <w:t>with</w:t>
      </w:r>
      <w:r w:rsidR="00EE4FC3">
        <w:t xml:space="preserve"> </w:t>
      </w:r>
      <w:r w:rsidRPr="00382917">
        <w:t>him</w:t>
      </w:r>
      <w:r w:rsidR="00B71244">
        <w:t>.</w:t>
      </w:r>
      <w:r w:rsidR="00EE4FC3">
        <w:t xml:space="preserve">  </w:t>
      </w:r>
      <w:r w:rsidRPr="00382917">
        <w:t>You</w:t>
      </w:r>
      <w:r w:rsidR="00EE4FC3">
        <w:t xml:space="preserve"> </w:t>
      </w:r>
      <w:r w:rsidRPr="00382917">
        <w:t>will</w:t>
      </w:r>
      <w:r w:rsidR="00EE4FC3">
        <w:t xml:space="preserve"> </w:t>
      </w:r>
      <w:r w:rsidRPr="00382917">
        <w:t>yourselves</w:t>
      </w:r>
      <w:r w:rsidR="00EE4FC3">
        <w:t xml:space="preserve"> </w:t>
      </w:r>
      <w:r w:rsidRPr="00382917">
        <w:t>be</w:t>
      </w:r>
      <w:r w:rsidR="00EE4FC3">
        <w:t xml:space="preserve"> </w:t>
      </w:r>
      <w:r w:rsidRPr="00382917">
        <w:t>answerable</w:t>
      </w:r>
      <w:r w:rsidR="00EE4FC3">
        <w:t xml:space="preserve"> </w:t>
      </w:r>
      <w:r w:rsidRPr="00382917">
        <w:t>to</w:t>
      </w:r>
      <w:r w:rsidR="00EE4FC3">
        <w:t xml:space="preserve"> </w:t>
      </w:r>
      <w:r w:rsidRPr="00382917">
        <w:t>God</w:t>
      </w:r>
      <w:r w:rsidR="00EE4FC3">
        <w:t xml:space="preserve"> </w:t>
      </w:r>
      <w:r w:rsidRPr="00382917">
        <w:t>on</w:t>
      </w:r>
      <w:r w:rsidR="00EE4FC3">
        <w:t xml:space="preserve"> </w:t>
      </w:r>
      <w:r w:rsidRPr="00382917">
        <w:t>the</w:t>
      </w:r>
      <w:r w:rsidR="00EE4FC3">
        <w:t xml:space="preserve"> </w:t>
      </w:r>
      <w:r w:rsidRPr="00382917">
        <w:t>day</w:t>
      </w:r>
      <w:r w:rsidR="00EE4FC3">
        <w:t xml:space="preserve"> </w:t>
      </w:r>
      <w:r w:rsidRPr="00382917">
        <w:t>of</w:t>
      </w:r>
      <w:r w:rsidR="00EE4FC3">
        <w:t xml:space="preserve"> </w:t>
      </w:r>
      <w:r w:rsidRPr="00382917">
        <w:t>Judgment.</w:t>
      </w:r>
      <w:r w:rsidR="009C713D" w:rsidRPr="00382917">
        <w:t>”</w:t>
      </w:r>
    </w:p>
    <w:p w:rsidR="00DB6293" w:rsidRPr="00382917" w:rsidRDefault="00DB6293" w:rsidP="00DB6293">
      <w:pPr>
        <w:pStyle w:val="Text"/>
      </w:pPr>
      <w:r w:rsidRPr="00382917">
        <w:t>As</w:t>
      </w:r>
      <w:r w:rsidR="00EE4FC3">
        <w:t xml:space="preserve"> </w:t>
      </w:r>
      <w:r w:rsidRPr="00382917">
        <w:t>soon</w:t>
      </w:r>
      <w:r w:rsidR="00EE4FC3">
        <w:t xml:space="preserve"> </w:t>
      </w:r>
      <w:r w:rsidRPr="00382917">
        <w:t>as</w:t>
      </w:r>
      <w:r w:rsidR="00EE4FC3">
        <w:t xml:space="preserve"> </w:t>
      </w:r>
      <w:r w:rsidRPr="00382917">
        <w:t>he</w:t>
      </w:r>
      <w:r w:rsidR="00EE4FC3">
        <w:t xml:space="preserve"> </w:t>
      </w:r>
      <w:r w:rsidRPr="00382917">
        <w:t>had</w:t>
      </w:r>
      <w:r w:rsidR="00EE4FC3">
        <w:t xml:space="preserve"> </w:t>
      </w:r>
      <w:r w:rsidRPr="00382917">
        <w:t>spoken</w:t>
      </w:r>
      <w:r w:rsidR="00EE4FC3">
        <w:t xml:space="preserve"> </w:t>
      </w:r>
      <w:r w:rsidRPr="00382917">
        <w:t>these</w:t>
      </w:r>
      <w:r w:rsidR="00EE4FC3">
        <w:t xml:space="preserve"> </w:t>
      </w:r>
      <w:r w:rsidRPr="00382917">
        <w:t>words,</w:t>
      </w:r>
      <w:r w:rsidR="00EE4FC3">
        <w:t xml:space="preserve"> </w:t>
      </w:r>
      <w:r w:rsidRPr="00382917">
        <w:t>the</w:t>
      </w:r>
      <w:r w:rsidR="00EE4FC3">
        <w:t xml:space="preserve"> </w:t>
      </w:r>
      <w:r w:rsidRPr="00382917">
        <w:t>prince</w:t>
      </w:r>
      <w:r w:rsidR="00EE4FC3">
        <w:t xml:space="preserve"> </w:t>
      </w:r>
      <w:r w:rsidRPr="00382917">
        <w:t>surrendered</w:t>
      </w:r>
      <w:r w:rsidR="00EE4FC3">
        <w:t xml:space="preserve"> </w:t>
      </w:r>
      <w:r w:rsidRPr="00382917">
        <w:t>Quddús</w:t>
      </w:r>
      <w:r w:rsidR="00EE4FC3">
        <w:t xml:space="preserve"> </w:t>
      </w:r>
      <w:r w:rsidRPr="00382917">
        <w:t>into</w:t>
      </w:r>
      <w:r w:rsidR="00EE4FC3">
        <w:t xml:space="preserve"> </w:t>
      </w:r>
      <w:r w:rsidRPr="00382917">
        <w:t>the</w:t>
      </w:r>
      <w:r w:rsidR="00EE4FC3">
        <w:t xml:space="preserve"> </w:t>
      </w:r>
      <w:r w:rsidRPr="00382917">
        <w:t>hands</w:t>
      </w:r>
      <w:r w:rsidR="00EE4FC3">
        <w:t xml:space="preserve"> </w:t>
      </w:r>
      <w:r w:rsidRPr="00382917">
        <w:t>of</w:t>
      </w:r>
      <w:r w:rsidR="00EE4FC3">
        <w:t xml:space="preserve"> </w:t>
      </w:r>
      <w:r w:rsidRPr="00382917">
        <w:t>the</w:t>
      </w:r>
      <w:r w:rsidR="00EE4FC3">
        <w:t xml:space="preserve"> </w:t>
      </w:r>
      <w:r w:rsidRPr="00382917">
        <w:t>chief</w:t>
      </w:r>
      <w:r w:rsidR="00EE4FC3">
        <w:t xml:space="preserve"> </w:t>
      </w:r>
      <w:r w:rsidRPr="00382917">
        <w:t>priest</w:t>
      </w:r>
      <w:r w:rsidR="00B71244">
        <w:t>.</w:t>
      </w:r>
      <w:r w:rsidR="00EE4FC3">
        <w:t xml:space="preserve">  </w:t>
      </w:r>
      <w:r w:rsidRPr="00382917">
        <w:t>He</w:t>
      </w:r>
      <w:r w:rsidR="00EE4FC3">
        <w:t xml:space="preserve"> </w:t>
      </w:r>
      <w:r w:rsidRPr="00382917">
        <w:t>mounted</w:t>
      </w:r>
      <w:r w:rsidR="00EE4FC3">
        <w:t xml:space="preserve"> </w:t>
      </w:r>
      <w:r w:rsidRPr="00382917">
        <w:t>his</w:t>
      </w:r>
      <w:r w:rsidR="00EE4FC3">
        <w:t xml:space="preserve"> </w:t>
      </w:r>
      <w:r w:rsidRPr="00382917">
        <w:t>horse</w:t>
      </w:r>
      <w:r w:rsidR="00EE4FC3">
        <w:t xml:space="preserve"> </w:t>
      </w:r>
      <w:r w:rsidRPr="00382917">
        <w:t>and</w:t>
      </w:r>
      <w:r w:rsidR="00EE4FC3">
        <w:t xml:space="preserve"> </w:t>
      </w:r>
      <w:r w:rsidRPr="00382917">
        <w:t>as</w:t>
      </w:r>
      <w:r w:rsidR="00EE4FC3">
        <w:t xml:space="preserve"> </w:t>
      </w:r>
      <w:r w:rsidRPr="00382917">
        <w:t>his</w:t>
      </w:r>
      <w:r w:rsidR="00EE4FC3">
        <w:t xml:space="preserve"> </w:t>
      </w:r>
      <w:r w:rsidRPr="00382917">
        <w:t>final</w:t>
      </w:r>
      <w:r w:rsidR="00EE4FC3">
        <w:t xml:space="preserve"> </w:t>
      </w:r>
      <w:r w:rsidRPr="00382917">
        <w:t>act</w:t>
      </w:r>
      <w:r w:rsidR="00EE4FC3">
        <w:t xml:space="preserve"> </w:t>
      </w:r>
      <w:r w:rsidRPr="00382917">
        <w:t>of</w:t>
      </w:r>
      <w:r w:rsidR="00EE4FC3">
        <w:t xml:space="preserve"> </w:t>
      </w:r>
      <w:r w:rsidRPr="00382917">
        <w:t>cowardice,</w:t>
      </w:r>
      <w:r w:rsidR="00EE4FC3">
        <w:t xml:space="preserve"> </w:t>
      </w:r>
      <w:r w:rsidRPr="00382917">
        <w:t>fled</w:t>
      </w:r>
      <w:r w:rsidR="00EE4FC3">
        <w:t xml:space="preserve"> </w:t>
      </w:r>
      <w:r w:rsidRPr="00382917">
        <w:t>from</w:t>
      </w:r>
      <w:r w:rsidR="00EE4FC3">
        <w:t xml:space="preserve"> </w:t>
      </w:r>
      <w:r w:rsidRPr="00382917">
        <w:t>the</w:t>
      </w:r>
      <w:r w:rsidR="00EE4FC3">
        <w:t xml:space="preserve"> </w:t>
      </w:r>
      <w:r w:rsidRPr="00382917">
        <w:t>city,</w:t>
      </w:r>
      <w:r w:rsidR="00EE4FC3">
        <w:t xml:space="preserve"> </w:t>
      </w:r>
      <w:r w:rsidRPr="00382917">
        <w:t>turning</w:t>
      </w:r>
      <w:r w:rsidR="00EE4FC3">
        <w:t xml:space="preserve"> </w:t>
      </w:r>
      <w:r w:rsidRPr="00382917">
        <w:t>his</w:t>
      </w:r>
      <w:r w:rsidR="00EE4FC3">
        <w:t xml:space="preserve"> </w:t>
      </w:r>
      <w:r w:rsidRPr="00382917">
        <w:t>back</w:t>
      </w:r>
      <w:r w:rsidR="00EE4FC3">
        <w:t xml:space="preserve"> </w:t>
      </w:r>
      <w:r w:rsidRPr="00382917">
        <w:t>upon</w:t>
      </w:r>
      <w:r w:rsidR="00EE4FC3">
        <w:t xml:space="preserve"> </w:t>
      </w:r>
      <w:r w:rsidRPr="00382917">
        <w:t>Quddús.</w:t>
      </w:r>
    </w:p>
    <w:p w:rsidR="00DB6293" w:rsidRPr="00382917" w:rsidRDefault="00DB6293" w:rsidP="00DB6293">
      <w:pPr>
        <w:pStyle w:val="Text"/>
      </w:pPr>
      <w:r w:rsidRPr="00382917">
        <w:t>There</w:t>
      </w:r>
      <w:r w:rsidR="00EE4FC3">
        <w:t xml:space="preserve"> </w:t>
      </w:r>
      <w:r w:rsidRPr="00382917">
        <w:t>was</w:t>
      </w:r>
      <w:r w:rsidR="00EE4FC3">
        <w:t xml:space="preserve"> </w:t>
      </w:r>
      <w:r w:rsidRPr="00382917">
        <w:t>now</w:t>
      </w:r>
      <w:r w:rsidR="00EE4FC3">
        <w:t xml:space="preserve"> </w:t>
      </w:r>
      <w:r w:rsidRPr="00382917">
        <w:t>no</w:t>
      </w:r>
      <w:r w:rsidR="00EE4FC3">
        <w:t xml:space="preserve"> </w:t>
      </w:r>
      <w:r w:rsidRPr="00382917">
        <w:t>restraint</w:t>
      </w:r>
      <w:r w:rsidR="00EE4FC3">
        <w:t xml:space="preserve"> </w:t>
      </w:r>
      <w:r w:rsidRPr="00382917">
        <w:t>upon</w:t>
      </w:r>
      <w:r w:rsidR="00EE4FC3">
        <w:t xml:space="preserve"> </w:t>
      </w:r>
      <w:r w:rsidRPr="00382917">
        <w:t>the</w:t>
      </w:r>
      <w:r w:rsidR="00EE4FC3">
        <w:t xml:space="preserve"> </w:t>
      </w:r>
      <w:r w:rsidRPr="00382917">
        <w:t>people</w:t>
      </w:r>
      <w:r w:rsidR="00B71244">
        <w:t>.</w:t>
      </w:r>
      <w:r w:rsidR="00EE4FC3">
        <w:t xml:space="preserve">  </w:t>
      </w:r>
      <w:r w:rsidRPr="00382917">
        <w:t>They</w:t>
      </w:r>
      <w:r w:rsidR="00EE4FC3">
        <w:t xml:space="preserve"> </w:t>
      </w:r>
      <w:r w:rsidRPr="00382917">
        <w:t>pounced</w:t>
      </w:r>
      <w:r w:rsidR="00EE4FC3">
        <w:t xml:space="preserve"> </w:t>
      </w:r>
      <w:r w:rsidRPr="00382917">
        <w:t>upon</w:t>
      </w:r>
      <w:r w:rsidR="00EE4FC3">
        <w:t xml:space="preserve"> </w:t>
      </w:r>
      <w:r w:rsidRPr="00382917">
        <w:t>Quddús</w:t>
      </w:r>
      <w:r w:rsidR="00EE4FC3">
        <w:t xml:space="preserve"> </w:t>
      </w:r>
      <w:r w:rsidRPr="00382917">
        <w:t>with</w:t>
      </w:r>
      <w:r w:rsidR="00EE4FC3">
        <w:t xml:space="preserve"> </w:t>
      </w:r>
      <w:r w:rsidRPr="00382917">
        <w:t>uncontrolled</w:t>
      </w:r>
      <w:r w:rsidR="00EE4FC3">
        <w:t xml:space="preserve"> </w:t>
      </w:r>
      <w:r w:rsidRPr="00382917">
        <w:t>violence</w:t>
      </w:r>
      <w:r w:rsidR="00B71244">
        <w:t>.</w:t>
      </w:r>
      <w:r w:rsidR="00EE4FC3">
        <w:t xml:space="preserve">  </w:t>
      </w:r>
      <w:r w:rsidRPr="00382917">
        <w:t>He</w:t>
      </w:r>
      <w:r w:rsidR="00EE4FC3">
        <w:t xml:space="preserve"> </w:t>
      </w:r>
      <w:r w:rsidRPr="00382917">
        <w:t>was</w:t>
      </w:r>
      <w:r w:rsidR="00EE4FC3">
        <w:t xml:space="preserve"> </w:t>
      </w:r>
      <w:r w:rsidRPr="00382917">
        <w:t>stripped</w:t>
      </w:r>
      <w:r w:rsidR="00EE4FC3">
        <w:t xml:space="preserve"> </w:t>
      </w:r>
      <w:r w:rsidRPr="00382917">
        <w:t>of</w:t>
      </w:r>
      <w:r w:rsidR="00EE4FC3">
        <w:t xml:space="preserve"> </w:t>
      </w:r>
      <w:r w:rsidRPr="00382917">
        <w:t>his</w:t>
      </w:r>
      <w:r w:rsidR="00EE4FC3">
        <w:t xml:space="preserve"> </w:t>
      </w:r>
      <w:r w:rsidRPr="00382917">
        <w:t>clothes</w:t>
      </w:r>
      <w:r w:rsidR="00B71244">
        <w:t>.</w:t>
      </w:r>
      <w:r w:rsidR="00EE4FC3">
        <w:t xml:space="preserve">  </w:t>
      </w:r>
      <w:r w:rsidRPr="00382917">
        <w:t>He</w:t>
      </w:r>
      <w:r w:rsidR="00EE4FC3">
        <w:t xml:space="preserve"> </w:t>
      </w:r>
      <w:r w:rsidRPr="00382917">
        <w:t>was</w:t>
      </w:r>
      <w:r w:rsidR="00EE4FC3">
        <w:t xml:space="preserve"> </w:t>
      </w:r>
      <w:r w:rsidRPr="00382917">
        <w:t>paraded</w:t>
      </w:r>
      <w:r w:rsidR="00EE4FC3">
        <w:t xml:space="preserve"> </w:t>
      </w:r>
      <w:r w:rsidRPr="00382917">
        <w:t>through</w:t>
      </w:r>
      <w:r w:rsidR="00EE4FC3">
        <w:t xml:space="preserve"> </w:t>
      </w:r>
      <w:r w:rsidRPr="00382917">
        <w:t>the</w:t>
      </w:r>
      <w:r w:rsidR="00EE4FC3">
        <w:t xml:space="preserve"> </w:t>
      </w:r>
      <w:r w:rsidRPr="00382917">
        <w:t>streets</w:t>
      </w:r>
      <w:r w:rsidR="00EE4FC3">
        <w:t xml:space="preserve"> </w:t>
      </w:r>
      <w:r w:rsidRPr="00382917">
        <w:t>barefooted,</w:t>
      </w:r>
      <w:r w:rsidR="00EE4FC3">
        <w:t xml:space="preserve"> </w:t>
      </w:r>
      <w:r w:rsidRPr="00382917">
        <w:t>bareheaded,</w:t>
      </w:r>
      <w:r w:rsidR="00EE4FC3">
        <w:t xml:space="preserve"> </w:t>
      </w:r>
      <w:r w:rsidRPr="00382917">
        <w:t>and</w:t>
      </w:r>
    </w:p>
    <w:p w:rsidR="00DB6293" w:rsidRPr="00382917" w:rsidRDefault="00DB6293">
      <w:pPr>
        <w:widowControl/>
        <w:kinsoku/>
        <w:overflowPunct/>
        <w:textAlignment w:val="auto"/>
      </w:pPr>
      <w:r w:rsidRPr="00382917">
        <w:br w:type="page"/>
      </w:r>
    </w:p>
    <w:p w:rsidR="00DB6293" w:rsidRPr="00382917" w:rsidRDefault="00DB6293" w:rsidP="00DB6293">
      <w:pPr>
        <w:pStyle w:val="Textcts"/>
      </w:pPr>
      <w:proofErr w:type="gramStart"/>
      <w:r w:rsidRPr="00382917">
        <w:t>loaded</w:t>
      </w:r>
      <w:proofErr w:type="gramEnd"/>
      <w:r w:rsidR="00EE4FC3">
        <w:t xml:space="preserve"> </w:t>
      </w:r>
      <w:r w:rsidRPr="00382917">
        <w:t>down</w:t>
      </w:r>
      <w:r w:rsidR="00EE4FC3">
        <w:t xml:space="preserve"> </w:t>
      </w:r>
      <w:r w:rsidRPr="00382917">
        <w:t>with</w:t>
      </w:r>
      <w:r w:rsidR="00EE4FC3">
        <w:t xml:space="preserve"> </w:t>
      </w:r>
      <w:r w:rsidRPr="00382917">
        <w:t>chains</w:t>
      </w:r>
      <w:r w:rsidR="00B71244">
        <w:t>.</w:t>
      </w:r>
      <w:r w:rsidR="00EE4FC3">
        <w:t xml:space="preserve">  </w:t>
      </w:r>
      <w:r w:rsidRPr="00382917">
        <w:t>He</w:t>
      </w:r>
      <w:r w:rsidR="00EE4FC3">
        <w:t xml:space="preserve"> </w:t>
      </w:r>
      <w:r w:rsidRPr="00382917">
        <w:t>was</w:t>
      </w:r>
      <w:r w:rsidR="00EE4FC3">
        <w:t xml:space="preserve"> </w:t>
      </w:r>
      <w:r w:rsidRPr="00382917">
        <w:t>followed</w:t>
      </w:r>
      <w:r w:rsidR="00EE4FC3">
        <w:t xml:space="preserve"> </w:t>
      </w:r>
      <w:r w:rsidRPr="00382917">
        <w:t>each</w:t>
      </w:r>
      <w:r w:rsidR="00EE4FC3">
        <w:t xml:space="preserve"> </w:t>
      </w:r>
      <w:r w:rsidRPr="00382917">
        <w:t>step</w:t>
      </w:r>
      <w:r w:rsidR="00EE4FC3">
        <w:t xml:space="preserve"> </w:t>
      </w:r>
      <w:r w:rsidRPr="00382917">
        <w:t>of</w:t>
      </w:r>
      <w:r w:rsidR="00EE4FC3">
        <w:t xml:space="preserve"> </w:t>
      </w:r>
      <w:r w:rsidRPr="00382917">
        <w:t>the</w:t>
      </w:r>
      <w:r w:rsidR="00EE4FC3">
        <w:t xml:space="preserve"> </w:t>
      </w:r>
      <w:r w:rsidRPr="00382917">
        <w:t>way</w:t>
      </w:r>
      <w:r w:rsidR="00EE4FC3">
        <w:t xml:space="preserve"> </w:t>
      </w:r>
      <w:r w:rsidRPr="00382917">
        <w:t>by</w:t>
      </w:r>
      <w:r w:rsidR="00EE4FC3">
        <w:t xml:space="preserve"> </w:t>
      </w:r>
      <w:r w:rsidRPr="00382917">
        <w:t>a</w:t>
      </w:r>
      <w:r w:rsidR="00EE4FC3">
        <w:t xml:space="preserve"> </w:t>
      </w:r>
      <w:r w:rsidRPr="00382917">
        <w:t>howling</w:t>
      </w:r>
      <w:r w:rsidR="00EE4FC3">
        <w:t xml:space="preserve"> </w:t>
      </w:r>
      <w:r w:rsidRPr="00382917">
        <w:t>mob</w:t>
      </w:r>
      <w:r w:rsidR="00B71244">
        <w:t>.</w:t>
      </w:r>
      <w:r w:rsidR="00EE4FC3">
        <w:t xml:space="preserve">  </w:t>
      </w:r>
      <w:r w:rsidRPr="00382917">
        <w:t>They</w:t>
      </w:r>
      <w:r w:rsidR="00EE4FC3">
        <w:t xml:space="preserve"> </w:t>
      </w:r>
      <w:r w:rsidRPr="00382917">
        <w:t>jeered</w:t>
      </w:r>
      <w:r w:rsidR="00EE4FC3">
        <w:t xml:space="preserve"> </w:t>
      </w:r>
      <w:r w:rsidRPr="00382917">
        <w:t>at</w:t>
      </w:r>
      <w:r w:rsidR="00EE4FC3">
        <w:t xml:space="preserve"> </w:t>
      </w:r>
      <w:r w:rsidRPr="00382917">
        <w:t>him,</w:t>
      </w:r>
      <w:r w:rsidR="00EE4FC3">
        <w:t xml:space="preserve"> </w:t>
      </w:r>
      <w:r w:rsidRPr="00382917">
        <w:t>spat</w:t>
      </w:r>
      <w:r w:rsidR="00EE4FC3">
        <w:t xml:space="preserve"> </w:t>
      </w:r>
      <w:r w:rsidRPr="00382917">
        <w:t>upon</w:t>
      </w:r>
      <w:r w:rsidR="00EE4FC3">
        <w:t xml:space="preserve"> </w:t>
      </w:r>
      <w:r w:rsidRPr="00382917">
        <w:t>him,</w:t>
      </w:r>
      <w:r w:rsidR="00EE4FC3">
        <w:t xml:space="preserve"> </w:t>
      </w:r>
      <w:r w:rsidRPr="00382917">
        <w:t>and</w:t>
      </w:r>
      <w:r w:rsidR="00EE4FC3">
        <w:t xml:space="preserve"> </w:t>
      </w:r>
      <w:r w:rsidRPr="00382917">
        <w:t>flung</w:t>
      </w:r>
      <w:r w:rsidR="00EE4FC3">
        <w:t xml:space="preserve"> </w:t>
      </w:r>
      <w:r w:rsidRPr="00382917">
        <w:t>refuse</w:t>
      </w:r>
      <w:r w:rsidR="00EE4FC3">
        <w:t xml:space="preserve"> </w:t>
      </w:r>
      <w:r w:rsidRPr="00382917">
        <w:t>at</w:t>
      </w:r>
      <w:r w:rsidR="00EE4FC3">
        <w:t xml:space="preserve"> </w:t>
      </w:r>
      <w:r w:rsidRPr="00382917">
        <w:t>him.</w:t>
      </w:r>
    </w:p>
    <w:p w:rsidR="00DB6293" w:rsidRPr="00382917" w:rsidRDefault="00DB6293" w:rsidP="00DB6293">
      <w:pPr>
        <w:pStyle w:val="Text"/>
      </w:pPr>
      <w:r w:rsidRPr="00382917">
        <w:t>Amidst</w:t>
      </w:r>
      <w:r w:rsidR="00EE4FC3">
        <w:t xml:space="preserve"> </w:t>
      </w:r>
      <w:r w:rsidRPr="00382917">
        <w:t>his</w:t>
      </w:r>
      <w:r w:rsidR="00EE4FC3">
        <w:t xml:space="preserve"> </w:t>
      </w:r>
      <w:r w:rsidRPr="00382917">
        <w:t>last</w:t>
      </w:r>
      <w:r w:rsidR="00EE4FC3">
        <w:t xml:space="preserve"> </w:t>
      </w:r>
      <w:r w:rsidRPr="00382917">
        <w:t>tortures,</w:t>
      </w:r>
      <w:r w:rsidR="00EE4FC3">
        <w:t xml:space="preserve"> </w:t>
      </w:r>
      <w:r w:rsidRPr="00382917">
        <w:t>Quddús</w:t>
      </w:r>
      <w:r w:rsidR="00EE4FC3">
        <w:t xml:space="preserve"> </w:t>
      </w:r>
      <w:r w:rsidRPr="00382917">
        <w:t>asked</w:t>
      </w:r>
      <w:r w:rsidR="00EE4FC3">
        <w:t xml:space="preserve"> </w:t>
      </w:r>
      <w:r w:rsidRPr="00382917">
        <w:t>the</w:t>
      </w:r>
      <w:r w:rsidR="00EE4FC3">
        <w:t xml:space="preserve"> </w:t>
      </w:r>
      <w:r w:rsidRPr="00382917">
        <w:t>pardon</w:t>
      </w:r>
      <w:r w:rsidR="00EE4FC3">
        <w:t xml:space="preserve"> </w:t>
      </w:r>
      <w:r w:rsidRPr="00382917">
        <w:t>of</w:t>
      </w:r>
      <w:r w:rsidR="00EE4FC3">
        <w:t xml:space="preserve"> </w:t>
      </w:r>
      <w:r w:rsidRPr="00382917">
        <w:t>God</w:t>
      </w:r>
      <w:r w:rsidR="00EE4FC3">
        <w:t xml:space="preserve"> </w:t>
      </w:r>
      <w:r w:rsidRPr="00382917">
        <w:t>for</w:t>
      </w:r>
      <w:r w:rsidR="00EE4FC3">
        <w:t xml:space="preserve"> </w:t>
      </w:r>
      <w:r w:rsidRPr="00382917">
        <w:t>his</w:t>
      </w:r>
      <w:r w:rsidR="00EE4FC3">
        <w:t xml:space="preserve"> </w:t>
      </w:r>
      <w:r w:rsidRPr="00382917">
        <w:t>persecutors</w:t>
      </w:r>
      <w:r w:rsidR="00B71244">
        <w:t>.</w:t>
      </w:r>
      <w:r w:rsidR="00EE4FC3">
        <w:t xml:space="preserve">  </w:t>
      </w:r>
      <w:r w:rsidR="009C713D" w:rsidRPr="00382917">
        <w:t>“</w:t>
      </w:r>
      <w:r w:rsidRPr="00382917">
        <w:t>Forgive</w:t>
      </w:r>
      <w:r w:rsidR="00EE4FC3">
        <w:t xml:space="preserve"> </w:t>
      </w:r>
      <w:r w:rsidRPr="00382917">
        <w:t>the</w:t>
      </w:r>
      <w:r w:rsidR="00EE4FC3">
        <w:t xml:space="preserve"> </w:t>
      </w:r>
      <w:r w:rsidRPr="00382917">
        <w:t>trespasses</w:t>
      </w:r>
      <w:r w:rsidR="00EE4FC3">
        <w:t xml:space="preserve"> </w:t>
      </w:r>
      <w:r w:rsidRPr="00382917">
        <w:t>of</w:t>
      </w:r>
      <w:r w:rsidR="00EE4FC3">
        <w:t xml:space="preserve"> </w:t>
      </w:r>
      <w:r w:rsidRPr="00382917">
        <w:t>these</w:t>
      </w:r>
      <w:r w:rsidR="00EE4FC3">
        <w:t xml:space="preserve"> </w:t>
      </w:r>
      <w:r w:rsidRPr="00382917">
        <w:t>people,</w:t>
      </w:r>
      <w:r w:rsidR="00EE4FC3">
        <w:t xml:space="preserve"> </w:t>
      </w:r>
      <w:r w:rsidRPr="00382917">
        <w:t>O</w:t>
      </w:r>
      <w:r w:rsidR="00EE4FC3">
        <w:t xml:space="preserve"> </w:t>
      </w:r>
      <w:r w:rsidRPr="00382917">
        <w:t>God,</w:t>
      </w:r>
      <w:r w:rsidR="009C713D" w:rsidRPr="00382917">
        <w:t>”</w:t>
      </w:r>
      <w:r w:rsidR="00EE4FC3">
        <w:t xml:space="preserve"> </w:t>
      </w:r>
      <w:r w:rsidRPr="00382917">
        <w:t>he</w:t>
      </w:r>
      <w:r w:rsidR="00EE4FC3">
        <w:t xml:space="preserve"> </w:t>
      </w:r>
      <w:r w:rsidRPr="00382917">
        <w:t>cried</w:t>
      </w:r>
      <w:r w:rsidR="00B71244">
        <w:t>.</w:t>
      </w:r>
      <w:r w:rsidR="00EE4FC3">
        <w:t xml:space="preserve">  </w:t>
      </w:r>
      <w:r w:rsidR="009C713D" w:rsidRPr="00382917">
        <w:t>“</w:t>
      </w:r>
      <w:r w:rsidRPr="00382917">
        <w:t>Deal</w:t>
      </w:r>
      <w:r w:rsidR="00EE4FC3">
        <w:t xml:space="preserve"> </w:t>
      </w:r>
      <w:r w:rsidRPr="00382917">
        <w:t>with</w:t>
      </w:r>
      <w:r w:rsidR="00EE4FC3">
        <w:t xml:space="preserve"> </w:t>
      </w:r>
      <w:r w:rsidRPr="00382917">
        <w:t>them</w:t>
      </w:r>
      <w:r w:rsidR="00EE4FC3">
        <w:t xml:space="preserve"> </w:t>
      </w:r>
      <w:r w:rsidRPr="00382917">
        <w:t>in</w:t>
      </w:r>
      <w:r w:rsidR="00EE4FC3">
        <w:t xml:space="preserve"> </w:t>
      </w:r>
      <w:r w:rsidRPr="00382917">
        <w:t>Thy</w:t>
      </w:r>
      <w:r w:rsidR="00EE4FC3">
        <w:t xml:space="preserve"> </w:t>
      </w:r>
      <w:r w:rsidRPr="00382917">
        <w:t>mercy,</w:t>
      </w:r>
      <w:r w:rsidR="00EE4FC3">
        <w:t xml:space="preserve"> </w:t>
      </w:r>
      <w:r w:rsidRPr="00382917">
        <w:t>for</w:t>
      </w:r>
      <w:r w:rsidR="00EE4FC3">
        <w:t xml:space="preserve"> </w:t>
      </w:r>
      <w:r w:rsidRPr="00382917">
        <w:t>they</w:t>
      </w:r>
      <w:r w:rsidR="00EE4FC3">
        <w:t xml:space="preserve"> </w:t>
      </w:r>
      <w:r w:rsidRPr="00382917">
        <w:t>do</w:t>
      </w:r>
      <w:r w:rsidR="00EE4FC3">
        <w:t xml:space="preserve"> </w:t>
      </w:r>
      <w:r w:rsidRPr="00382917">
        <w:t>not</w:t>
      </w:r>
      <w:r w:rsidR="00EE4FC3">
        <w:t xml:space="preserve"> </w:t>
      </w:r>
      <w:r w:rsidRPr="00382917">
        <w:t>know</w:t>
      </w:r>
      <w:r w:rsidR="00EE4FC3">
        <w:t xml:space="preserve"> </w:t>
      </w:r>
      <w:r w:rsidRPr="00382917">
        <w:t>the</w:t>
      </w:r>
      <w:r w:rsidR="00EE4FC3">
        <w:t xml:space="preserve"> </w:t>
      </w:r>
      <w:r w:rsidRPr="00382917">
        <w:t>secret</w:t>
      </w:r>
      <w:r w:rsidR="00EE4FC3">
        <w:t xml:space="preserve"> </w:t>
      </w:r>
      <w:r w:rsidRPr="00382917">
        <w:t>we</w:t>
      </w:r>
      <w:r w:rsidR="00EE4FC3">
        <w:t xml:space="preserve"> </w:t>
      </w:r>
      <w:r w:rsidRPr="00382917">
        <w:t>have</w:t>
      </w:r>
      <w:r w:rsidR="00EE4FC3">
        <w:t xml:space="preserve"> </w:t>
      </w:r>
      <w:r w:rsidRPr="00382917">
        <w:t>already</w:t>
      </w:r>
      <w:r w:rsidR="00EE4FC3">
        <w:t xml:space="preserve"> </w:t>
      </w:r>
      <w:r w:rsidRPr="00382917">
        <w:t>discovered</w:t>
      </w:r>
      <w:r w:rsidR="00B71244">
        <w:t>.</w:t>
      </w:r>
      <w:r w:rsidR="00EE4FC3">
        <w:t xml:space="preserve">  </w:t>
      </w:r>
      <w:r w:rsidRPr="00382917">
        <w:t>Show</w:t>
      </w:r>
      <w:r w:rsidR="00EE4FC3">
        <w:t xml:space="preserve"> </w:t>
      </w:r>
      <w:r w:rsidRPr="00382917">
        <w:t>them</w:t>
      </w:r>
      <w:r w:rsidR="00EE4FC3">
        <w:t xml:space="preserve"> </w:t>
      </w:r>
      <w:r w:rsidRPr="00382917">
        <w:t>the</w:t>
      </w:r>
      <w:r w:rsidR="00EE4FC3">
        <w:t xml:space="preserve"> </w:t>
      </w:r>
      <w:r w:rsidRPr="00382917">
        <w:t>way</w:t>
      </w:r>
      <w:r w:rsidR="00EE4FC3">
        <w:t xml:space="preserve"> </w:t>
      </w:r>
      <w:r w:rsidRPr="00382917">
        <w:t>of</w:t>
      </w:r>
      <w:r w:rsidR="00EE4FC3">
        <w:t xml:space="preserve"> </w:t>
      </w:r>
      <w:r w:rsidRPr="00382917">
        <w:t>Truth,</w:t>
      </w:r>
      <w:r w:rsidR="00EE4FC3">
        <w:t xml:space="preserve"> </w:t>
      </w:r>
      <w:r w:rsidR="00CD32C5" w:rsidRPr="00382917">
        <w:t>O</w:t>
      </w:r>
      <w:r w:rsidR="00EE4FC3">
        <w:t xml:space="preserve"> </w:t>
      </w:r>
      <w:r w:rsidRPr="00382917">
        <w:t>God,</w:t>
      </w:r>
      <w:r w:rsidR="00EE4FC3">
        <w:t xml:space="preserve"> </w:t>
      </w:r>
      <w:r w:rsidRPr="00382917">
        <w:t>and</w:t>
      </w:r>
      <w:r w:rsidR="00EE4FC3">
        <w:t xml:space="preserve"> </w:t>
      </w:r>
      <w:r w:rsidRPr="00382917">
        <w:t>turn</w:t>
      </w:r>
      <w:r w:rsidR="00EE4FC3">
        <w:t xml:space="preserve"> </w:t>
      </w:r>
      <w:r w:rsidRPr="00382917">
        <w:t>their</w:t>
      </w:r>
      <w:r w:rsidR="00EE4FC3">
        <w:t xml:space="preserve"> </w:t>
      </w:r>
      <w:r w:rsidRPr="00382917">
        <w:t>ignorance</w:t>
      </w:r>
      <w:r w:rsidR="00EE4FC3">
        <w:t xml:space="preserve"> </w:t>
      </w:r>
      <w:r w:rsidRPr="00382917">
        <w:t>into</w:t>
      </w:r>
      <w:r w:rsidR="00EE4FC3">
        <w:t xml:space="preserve"> </w:t>
      </w:r>
      <w:r w:rsidRPr="00382917">
        <w:t>faith.</w:t>
      </w:r>
      <w:r w:rsidR="009C713D" w:rsidRPr="00382917">
        <w:t>”</w:t>
      </w:r>
    </w:p>
    <w:p w:rsidR="00DB6293" w:rsidRPr="00382917" w:rsidRDefault="00DB6293" w:rsidP="00DB6293">
      <w:pPr>
        <w:pStyle w:val="Text"/>
      </w:pPr>
      <w:r w:rsidRPr="00382917">
        <w:t>In</w:t>
      </w:r>
      <w:r w:rsidR="00EE4FC3">
        <w:t xml:space="preserve"> </w:t>
      </w:r>
      <w:r w:rsidRPr="00382917">
        <w:t>his</w:t>
      </w:r>
      <w:r w:rsidR="00EE4FC3">
        <w:t xml:space="preserve"> </w:t>
      </w:r>
      <w:r w:rsidRPr="00382917">
        <w:t>hour</w:t>
      </w:r>
      <w:r w:rsidR="00EE4FC3">
        <w:t xml:space="preserve"> </w:t>
      </w:r>
      <w:r w:rsidRPr="00382917">
        <w:t>of</w:t>
      </w:r>
      <w:r w:rsidR="00EE4FC3">
        <w:t xml:space="preserve"> </w:t>
      </w:r>
      <w:r w:rsidRPr="00382917">
        <w:t>agony,</w:t>
      </w:r>
      <w:r w:rsidR="00EE4FC3">
        <w:t xml:space="preserve"> </w:t>
      </w:r>
      <w:r w:rsidRPr="00382917">
        <w:t>one</w:t>
      </w:r>
      <w:r w:rsidR="00EE4FC3">
        <w:t xml:space="preserve"> </w:t>
      </w:r>
      <w:r w:rsidRPr="00382917">
        <w:t>of</w:t>
      </w:r>
      <w:r w:rsidR="00EE4FC3">
        <w:t xml:space="preserve"> </w:t>
      </w:r>
      <w:r w:rsidRPr="00382917">
        <w:t>the</w:t>
      </w:r>
      <w:r w:rsidR="00EE4FC3">
        <w:t xml:space="preserve"> </w:t>
      </w:r>
      <w:r w:rsidRPr="00382917">
        <w:t>traitors</w:t>
      </w:r>
      <w:r w:rsidR="00EE4FC3">
        <w:t xml:space="preserve"> </w:t>
      </w:r>
      <w:r w:rsidRPr="00382917">
        <w:t>who</w:t>
      </w:r>
      <w:r w:rsidR="00EE4FC3">
        <w:t xml:space="preserve"> </w:t>
      </w:r>
      <w:r w:rsidRPr="00382917">
        <w:t>had</w:t>
      </w:r>
      <w:r w:rsidR="00EE4FC3">
        <w:t xml:space="preserve"> </w:t>
      </w:r>
      <w:r w:rsidRPr="00382917">
        <w:t>deserted</w:t>
      </w:r>
      <w:r w:rsidR="00EE4FC3">
        <w:t xml:space="preserve"> </w:t>
      </w:r>
      <w:r w:rsidRPr="00382917">
        <w:t>the</w:t>
      </w:r>
      <w:r w:rsidR="00EE4FC3">
        <w:t xml:space="preserve"> </w:t>
      </w:r>
      <w:r w:rsidRPr="00382917">
        <w:t>fort</w:t>
      </w:r>
      <w:r w:rsidR="00EE4FC3">
        <w:t xml:space="preserve"> </w:t>
      </w:r>
      <w:r w:rsidRPr="00382917">
        <w:t>passed</w:t>
      </w:r>
      <w:r w:rsidR="00EE4FC3">
        <w:t xml:space="preserve"> </w:t>
      </w:r>
      <w:r w:rsidRPr="00382917">
        <w:t>Quddús</w:t>
      </w:r>
      <w:r w:rsidR="00B71244">
        <w:t>.</w:t>
      </w:r>
      <w:r w:rsidR="00EE4FC3">
        <w:t xml:space="preserve">  </w:t>
      </w:r>
      <w:r w:rsidRPr="00382917">
        <w:t>He</w:t>
      </w:r>
      <w:r w:rsidR="00EE4FC3">
        <w:t xml:space="preserve"> </w:t>
      </w:r>
      <w:r w:rsidRPr="00382917">
        <w:t>saw</w:t>
      </w:r>
      <w:r w:rsidR="00EE4FC3">
        <w:t xml:space="preserve"> </w:t>
      </w:r>
      <w:r w:rsidRPr="00382917">
        <w:t>how</w:t>
      </w:r>
      <w:r w:rsidR="00EE4FC3">
        <w:t xml:space="preserve"> </w:t>
      </w:r>
      <w:r w:rsidRPr="00382917">
        <w:t>helpless</w:t>
      </w:r>
      <w:r w:rsidR="00EE4FC3">
        <w:t xml:space="preserve"> </w:t>
      </w:r>
      <w:r w:rsidRPr="00382917">
        <w:t>Quddús</w:t>
      </w:r>
      <w:r w:rsidR="00EE4FC3">
        <w:t xml:space="preserve"> </w:t>
      </w:r>
      <w:r w:rsidRPr="00382917">
        <w:t>now</w:t>
      </w:r>
      <w:r w:rsidR="00EE4FC3">
        <w:t xml:space="preserve"> </w:t>
      </w:r>
      <w:r w:rsidRPr="00382917">
        <w:t>was</w:t>
      </w:r>
      <w:r w:rsidR="00B71244">
        <w:t>.</w:t>
      </w:r>
      <w:r w:rsidR="00EE4FC3">
        <w:t xml:space="preserve">  </w:t>
      </w:r>
      <w:r w:rsidRPr="00382917">
        <w:t>Emboldened,</w:t>
      </w:r>
      <w:r w:rsidR="00EE4FC3">
        <w:t xml:space="preserve"> </w:t>
      </w:r>
      <w:r w:rsidRPr="00382917">
        <w:t>he</w:t>
      </w:r>
      <w:r w:rsidR="00EE4FC3">
        <w:t xml:space="preserve"> </w:t>
      </w:r>
      <w:r w:rsidRPr="00382917">
        <w:t>came</w:t>
      </w:r>
      <w:r w:rsidR="00EE4FC3">
        <w:t xml:space="preserve"> </w:t>
      </w:r>
      <w:r w:rsidRPr="00382917">
        <w:t>forward</w:t>
      </w:r>
      <w:r w:rsidR="00EE4FC3">
        <w:t xml:space="preserve"> </w:t>
      </w:r>
      <w:r w:rsidRPr="00382917">
        <w:t>and</w:t>
      </w:r>
      <w:r w:rsidR="00EE4FC3">
        <w:t xml:space="preserve"> </w:t>
      </w:r>
      <w:r w:rsidRPr="00382917">
        <w:t>struck</w:t>
      </w:r>
      <w:r w:rsidR="00EE4FC3">
        <w:t xml:space="preserve"> </w:t>
      </w:r>
      <w:r w:rsidRPr="00382917">
        <w:t>him</w:t>
      </w:r>
      <w:r w:rsidR="00EE4FC3">
        <w:t xml:space="preserve"> </w:t>
      </w:r>
      <w:r w:rsidRPr="00382917">
        <w:t>in</w:t>
      </w:r>
      <w:r w:rsidR="00EE4FC3">
        <w:t xml:space="preserve"> </w:t>
      </w:r>
      <w:r w:rsidRPr="00382917">
        <w:t>the</w:t>
      </w:r>
      <w:r w:rsidR="00EE4FC3">
        <w:t xml:space="preserve"> </w:t>
      </w:r>
      <w:r w:rsidRPr="00382917">
        <w:t>face.</w:t>
      </w:r>
    </w:p>
    <w:p w:rsidR="00DB6293" w:rsidRPr="00382917" w:rsidRDefault="009C713D" w:rsidP="00DB6293">
      <w:pPr>
        <w:pStyle w:val="Text"/>
      </w:pPr>
      <w:r w:rsidRPr="00382917">
        <w:t>“</w:t>
      </w:r>
      <w:r w:rsidR="00DB6293" w:rsidRPr="00382917">
        <w:t>If</w:t>
      </w:r>
      <w:r w:rsidR="00EE4FC3">
        <w:t xml:space="preserve"> </w:t>
      </w:r>
      <w:r w:rsidR="00DB6293" w:rsidRPr="00382917">
        <w:t>what</w:t>
      </w:r>
      <w:r w:rsidR="00EE4FC3">
        <w:t xml:space="preserve"> </w:t>
      </w:r>
      <w:r w:rsidR="00DB6293" w:rsidRPr="00382917">
        <w:t>you</w:t>
      </w:r>
      <w:r w:rsidR="00EE4FC3">
        <w:t xml:space="preserve"> </w:t>
      </w:r>
      <w:r w:rsidR="00DB6293" w:rsidRPr="00382917">
        <w:t>speak</w:t>
      </w:r>
      <w:r w:rsidR="00EE4FC3">
        <w:t xml:space="preserve"> </w:t>
      </w:r>
      <w:r w:rsidR="00DB6293" w:rsidRPr="00382917">
        <w:t>is</w:t>
      </w:r>
      <w:r w:rsidR="00EE4FC3">
        <w:t xml:space="preserve"> </w:t>
      </w:r>
      <w:r w:rsidR="00DB6293" w:rsidRPr="00382917">
        <w:t>of</w:t>
      </w:r>
      <w:r w:rsidR="00EE4FC3">
        <w:t xml:space="preserve"> </w:t>
      </w:r>
      <w:r w:rsidR="00DB6293" w:rsidRPr="00382917">
        <w:t>God,</w:t>
      </w:r>
      <w:r w:rsidRPr="00382917">
        <w:t>”</w:t>
      </w:r>
      <w:r w:rsidR="00EE4FC3">
        <w:t xml:space="preserve"> </w:t>
      </w:r>
      <w:r w:rsidR="00DB6293" w:rsidRPr="00382917">
        <w:t>he</w:t>
      </w:r>
      <w:r w:rsidR="00EE4FC3">
        <w:t xml:space="preserve"> </w:t>
      </w:r>
      <w:r w:rsidR="00DB6293" w:rsidRPr="00382917">
        <w:t>scoffed,</w:t>
      </w:r>
      <w:r w:rsidR="00EE4FC3">
        <w:t xml:space="preserve"> </w:t>
      </w:r>
      <w:r w:rsidRPr="00382917">
        <w:t>“</w:t>
      </w:r>
      <w:r w:rsidR="00DB6293" w:rsidRPr="00382917">
        <w:t>free</w:t>
      </w:r>
      <w:r w:rsidR="00EE4FC3">
        <w:t xml:space="preserve"> </w:t>
      </w:r>
      <w:r w:rsidR="00DB6293" w:rsidRPr="00382917">
        <w:t>yourself.</w:t>
      </w:r>
      <w:r w:rsidRPr="00382917">
        <w:t>”</w:t>
      </w:r>
    </w:p>
    <w:p w:rsidR="00DB6293" w:rsidRPr="00382917" w:rsidRDefault="00DB6293" w:rsidP="00DB6293">
      <w:pPr>
        <w:pStyle w:val="Text"/>
      </w:pPr>
      <w:r w:rsidRPr="00382917">
        <w:t>Quddús</w:t>
      </w:r>
      <w:r w:rsidR="00EE4FC3">
        <w:t xml:space="preserve"> </w:t>
      </w:r>
      <w:r w:rsidRPr="00382917">
        <w:t>looked</w:t>
      </w:r>
      <w:r w:rsidR="00EE4FC3">
        <w:t xml:space="preserve"> </w:t>
      </w:r>
      <w:r w:rsidRPr="00382917">
        <w:t>quietly</w:t>
      </w:r>
      <w:r w:rsidR="00EE4FC3">
        <w:t xml:space="preserve"> </w:t>
      </w:r>
      <w:r w:rsidRPr="00382917">
        <w:t>into</w:t>
      </w:r>
      <w:r w:rsidR="00EE4FC3">
        <w:t xml:space="preserve"> </w:t>
      </w:r>
      <w:r w:rsidRPr="00382917">
        <w:t>his</w:t>
      </w:r>
      <w:r w:rsidR="00EE4FC3">
        <w:t xml:space="preserve"> </w:t>
      </w:r>
      <w:r w:rsidRPr="00382917">
        <w:t>eyes</w:t>
      </w:r>
      <w:r w:rsidR="00B71244">
        <w:t>.</w:t>
      </w:r>
      <w:r w:rsidR="00EE4FC3">
        <w:t xml:space="preserve">  </w:t>
      </w:r>
      <w:r w:rsidR="009C713D" w:rsidRPr="00382917">
        <w:t>“</w:t>
      </w:r>
      <w:r w:rsidRPr="00382917">
        <w:t>May</w:t>
      </w:r>
      <w:r w:rsidR="00EE4FC3">
        <w:t xml:space="preserve"> </w:t>
      </w:r>
      <w:r w:rsidRPr="00382917">
        <w:t>God</w:t>
      </w:r>
      <w:r w:rsidR="00EE4FC3">
        <w:t xml:space="preserve"> </w:t>
      </w:r>
      <w:r w:rsidRPr="00382917">
        <w:t>forgive,</w:t>
      </w:r>
      <w:r w:rsidR="00EE4FC3">
        <w:t xml:space="preserve"> </w:t>
      </w:r>
      <w:r w:rsidRPr="00382917">
        <w:t>you</w:t>
      </w:r>
      <w:r w:rsidR="00EE4FC3">
        <w:t xml:space="preserve"> </w:t>
      </w:r>
      <w:r w:rsidRPr="00382917">
        <w:t>your</w:t>
      </w:r>
      <w:r w:rsidR="00EE4FC3">
        <w:t xml:space="preserve"> </w:t>
      </w:r>
      <w:r w:rsidRPr="00382917">
        <w:t>deed,</w:t>
      </w:r>
      <w:r w:rsidR="009C713D" w:rsidRPr="00382917">
        <w:t>”</w:t>
      </w:r>
      <w:r w:rsidR="00EE4FC3">
        <w:t xml:space="preserve"> </w:t>
      </w:r>
      <w:r w:rsidRPr="00382917">
        <w:t>he</w:t>
      </w:r>
      <w:r w:rsidR="00EE4FC3">
        <w:t xml:space="preserve"> </w:t>
      </w:r>
      <w:r w:rsidRPr="00382917">
        <w:t>said,</w:t>
      </w:r>
      <w:r w:rsidR="00EE4FC3">
        <w:t xml:space="preserve"> </w:t>
      </w:r>
      <w:r w:rsidR="009C713D" w:rsidRPr="00382917">
        <w:t>“</w:t>
      </w:r>
      <w:r w:rsidRPr="00382917">
        <w:t>inasmuch</w:t>
      </w:r>
      <w:r w:rsidR="00EE4FC3">
        <w:t xml:space="preserve"> </w:t>
      </w:r>
      <w:r w:rsidRPr="00382917">
        <w:t>as</w:t>
      </w:r>
      <w:r w:rsidR="00EE4FC3">
        <w:t xml:space="preserve"> </w:t>
      </w:r>
      <w:r w:rsidRPr="00382917">
        <w:t>you</w:t>
      </w:r>
      <w:r w:rsidR="00EE4FC3">
        <w:t xml:space="preserve"> </w:t>
      </w:r>
      <w:r w:rsidRPr="00382917">
        <w:t>have</w:t>
      </w:r>
      <w:r w:rsidR="00EE4FC3">
        <w:t xml:space="preserve"> </w:t>
      </w:r>
      <w:r w:rsidRPr="00382917">
        <w:t>added</w:t>
      </w:r>
      <w:r w:rsidR="00EE4FC3">
        <w:t xml:space="preserve"> </w:t>
      </w:r>
      <w:r w:rsidRPr="00382917">
        <w:t>to</w:t>
      </w:r>
      <w:r w:rsidR="00EE4FC3">
        <w:t xml:space="preserve"> </w:t>
      </w:r>
      <w:r w:rsidRPr="00382917">
        <w:t>the</w:t>
      </w:r>
      <w:r w:rsidR="00EE4FC3">
        <w:t xml:space="preserve"> </w:t>
      </w:r>
      <w:r w:rsidRPr="00382917">
        <w:t>measure</w:t>
      </w:r>
      <w:r w:rsidR="00EE4FC3">
        <w:t xml:space="preserve"> </w:t>
      </w:r>
      <w:r w:rsidRPr="00382917">
        <w:t>of</w:t>
      </w:r>
      <w:r w:rsidR="00EE4FC3">
        <w:t xml:space="preserve"> </w:t>
      </w:r>
      <w:r w:rsidRPr="00382917">
        <w:t>my</w:t>
      </w:r>
      <w:r w:rsidR="00EE4FC3">
        <w:t xml:space="preserve"> </w:t>
      </w:r>
      <w:r w:rsidRPr="00382917">
        <w:t>suffering.</w:t>
      </w:r>
      <w:r w:rsidR="009C713D" w:rsidRPr="00382917">
        <w:t>”</w:t>
      </w:r>
    </w:p>
    <w:p w:rsidR="00DB6293" w:rsidRPr="00382917" w:rsidRDefault="009C713D" w:rsidP="00DB6293">
      <w:pPr>
        <w:pStyle w:val="Text"/>
      </w:pPr>
      <w:r w:rsidRPr="00382917">
        <w:t>‘</w:t>
      </w:r>
      <w:r w:rsidR="00DB6293" w:rsidRPr="00382917">
        <w:t>When</w:t>
      </w:r>
      <w:r w:rsidR="00EE4FC3">
        <w:t xml:space="preserve"> </w:t>
      </w:r>
      <w:r w:rsidR="00DB6293" w:rsidRPr="00382917">
        <w:t>the</w:t>
      </w:r>
      <w:r w:rsidR="00EE4FC3">
        <w:t xml:space="preserve"> </w:t>
      </w:r>
      <w:r w:rsidR="00DB6293" w:rsidRPr="00382917">
        <w:t>family</w:t>
      </w:r>
      <w:r w:rsidR="00EE4FC3">
        <w:t xml:space="preserve"> </w:t>
      </w:r>
      <w:r w:rsidR="00DB6293" w:rsidRPr="00382917">
        <w:t>of</w:t>
      </w:r>
      <w:r w:rsidR="00EE4FC3">
        <w:t xml:space="preserve"> </w:t>
      </w:r>
      <w:r w:rsidR="00DB6293" w:rsidRPr="00382917">
        <w:t>Quddús</w:t>
      </w:r>
      <w:r w:rsidR="00EE4FC3">
        <w:t xml:space="preserve"> </w:t>
      </w:r>
      <w:r w:rsidR="00DB6293" w:rsidRPr="00382917">
        <w:t>heard</w:t>
      </w:r>
      <w:r w:rsidR="00EE4FC3">
        <w:t xml:space="preserve"> </w:t>
      </w:r>
      <w:r w:rsidR="00DB6293" w:rsidRPr="00382917">
        <w:t>of</w:t>
      </w:r>
      <w:r w:rsidR="00EE4FC3">
        <w:t xml:space="preserve"> </w:t>
      </w:r>
      <w:r w:rsidR="00DB6293" w:rsidRPr="00382917">
        <w:t>his</w:t>
      </w:r>
      <w:r w:rsidR="00EE4FC3">
        <w:t xml:space="preserve"> </w:t>
      </w:r>
      <w:r w:rsidR="00DB6293" w:rsidRPr="00382917">
        <w:t>agonies,</w:t>
      </w:r>
      <w:r w:rsidR="00EE4FC3">
        <w:t xml:space="preserve"> </w:t>
      </w:r>
      <w:r w:rsidR="00DB6293" w:rsidRPr="00382917">
        <w:t>they</w:t>
      </w:r>
      <w:r w:rsidR="00EE4FC3">
        <w:t xml:space="preserve"> </w:t>
      </w:r>
      <w:r w:rsidR="00DB6293" w:rsidRPr="00382917">
        <w:t>recalled</w:t>
      </w:r>
      <w:r w:rsidR="00EE4FC3">
        <w:t xml:space="preserve"> </w:t>
      </w:r>
      <w:r w:rsidR="00DB6293" w:rsidRPr="00382917">
        <w:t>the</w:t>
      </w:r>
      <w:r w:rsidR="00EE4FC3">
        <w:t xml:space="preserve"> </w:t>
      </w:r>
      <w:r w:rsidR="00DB6293" w:rsidRPr="00382917">
        <w:t>prophetic</w:t>
      </w:r>
      <w:r w:rsidR="00EE4FC3">
        <w:t xml:space="preserve"> </w:t>
      </w:r>
      <w:r w:rsidR="00DB6293" w:rsidRPr="00382917">
        <w:t>words</w:t>
      </w:r>
      <w:r w:rsidR="00EE4FC3">
        <w:t xml:space="preserve"> </w:t>
      </w:r>
      <w:r w:rsidR="00DB6293" w:rsidRPr="00382917">
        <w:t>he</w:t>
      </w:r>
      <w:r w:rsidR="00EE4FC3">
        <w:t xml:space="preserve"> </w:t>
      </w:r>
      <w:r w:rsidR="00DB6293" w:rsidRPr="00382917">
        <w:t>had</w:t>
      </w:r>
      <w:r w:rsidR="00EE4FC3">
        <w:t xml:space="preserve"> </w:t>
      </w:r>
      <w:r w:rsidR="00DB6293" w:rsidRPr="00382917">
        <w:t>spoken</w:t>
      </w:r>
      <w:r w:rsidR="00EE4FC3">
        <w:t xml:space="preserve"> </w:t>
      </w:r>
      <w:r w:rsidR="00DB6293" w:rsidRPr="00382917">
        <w:t>to</w:t>
      </w:r>
      <w:r w:rsidR="00EE4FC3">
        <w:t xml:space="preserve"> </w:t>
      </w:r>
      <w:r w:rsidR="00DB6293" w:rsidRPr="00382917">
        <w:t>them</w:t>
      </w:r>
      <w:r w:rsidR="00EE4FC3">
        <w:t xml:space="preserve"> </w:t>
      </w:r>
      <w:r w:rsidR="00DB6293" w:rsidRPr="00382917">
        <w:t>many</w:t>
      </w:r>
      <w:r w:rsidR="00EE4FC3">
        <w:t xml:space="preserve"> </w:t>
      </w:r>
      <w:r w:rsidR="00DB6293" w:rsidRPr="00382917">
        <w:t>years</w:t>
      </w:r>
      <w:r w:rsidR="00EE4FC3">
        <w:t xml:space="preserve"> </w:t>
      </w:r>
      <w:r w:rsidR="00DB6293" w:rsidRPr="00382917">
        <w:t>before</w:t>
      </w:r>
      <w:r w:rsidR="00EE4FC3">
        <w:t xml:space="preserve"> </w:t>
      </w:r>
      <w:r w:rsidR="00DB6293" w:rsidRPr="00382917">
        <w:t>in</w:t>
      </w:r>
      <w:r w:rsidR="00EE4FC3">
        <w:t xml:space="preserve"> </w:t>
      </w:r>
      <w:r w:rsidR="00DB6293" w:rsidRPr="00382917">
        <w:t>that</w:t>
      </w:r>
      <w:r w:rsidR="00EE4FC3">
        <w:t xml:space="preserve"> </w:t>
      </w:r>
      <w:r w:rsidR="00DB6293" w:rsidRPr="00382917">
        <w:t>same</w:t>
      </w:r>
      <w:r w:rsidR="00EE4FC3">
        <w:t xml:space="preserve"> </w:t>
      </w:r>
      <w:r w:rsidR="00DB6293" w:rsidRPr="00382917">
        <w:t>city.</w:t>
      </w:r>
    </w:p>
    <w:p w:rsidR="00DB6293" w:rsidRPr="00382917" w:rsidRDefault="00DB6293" w:rsidP="00DB6293">
      <w:pPr>
        <w:pStyle w:val="Text"/>
      </w:pPr>
      <w:r w:rsidRPr="00382917">
        <w:t>His</w:t>
      </w:r>
      <w:r w:rsidR="00EE4FC3">
        <w:t xml:space="preserve"> </w:t>
      </w:r>
      <w:r w:rsidRPr="00382917">
        <w:t>step-mother,</w:t>
      </w:r>
      <w:r w:rsidR="00EE4FC3">
        <w:t xml:space="preserve"> </w:t>
      </w:r>
      <w:r w:rsidRPr="00382917">
        <w:t>who</w:t>
      </w:r>
      <w:r w:rsidR="00EE4FC3">
        <w:t xml:space="preserve"> </w:t>
      </w:r>
      <w:r w:rsidRPr="00382917">
        <w:t>had</w:t>
      </w:r>
      <w:r w:rsidR="00EE4FC3">
        <w:t xml:space="preserve"> </w:t>
      </w:r>
      <w:r w:rsidRPr="00382917">
        <w:t>been</w:t>
      </w:r>
      <w:r w:rsidR="00EE4FC3">
        <w:t xml:space="preserve"> </w:t>
      </w:r>
      <w:r w:rsidRPr="00382917">
        <w:t>kind</w:t>
      </w:r>
      <w:r w:rsidR="00EE4FC3">
        <w:t xml:space="preserve"> </w:t>
      </w:r>
      <w:r w:rsidRPr="00382917">
        <w:t>and</w:t>
      </w:r>
      <w:r w:rsidR="00EE4FC3">
        <w:t xml:space="preserve"> </w:t>
      </w:r>
      <w:r w:rsidRPr="00382917">
        <w:t>loving</w:t>
      </w:r>
      <w:r w:rsidR="00EE4FC3">
        <w:t xml:space="preserve"> </w:t>
      </w:r>
      <w:r w:rsidRPr="00382917">
        <w:t>to</w:t>
      </w:r>
      <w:r w:rsidR="00EE4FC3">
        <w:t xml:space="preserve"> </w:t>
      </w:r>
      <w:r w:rsidRPr="00382917">
        <w:t>him,</w:t>
      </w:r>
      <w:r w:rsidR="00EE4FC3">
        <w:t xml:space="preserve"> </w:t>
      </w:r>
      <w:r w:rsidRPr="00382917">
        <w:t>had</w:t>
      </w:r>
      <w:r w:rsidR="00EE4FC3">
        <w:t xml:space="preserve"> </w:t>
      </w:r>
      <w:r w:rsidRPr="00382917">
        <w:t>urged</w:t>
      </w:r>
      <w:r w:rsidR="00EE4FC3">
        <w:t xml:space="preserve"> </w:t>
      </w:r>
      <w:r w:rsidRPr="00382917">
        <w:t>him</w:t>
      </w:r>
      <w:r w:rsidR="00EE4FC3">
        <w:t xml:space="preserve"> </w:t>
      </w:r>
      <w:r w:rsidRPr="00382917">
        <w:t>to</w:t>
      </w:r>
      <w:r w:rsidR="00EE4FC3">
        <w:t xml:space="preserve"> </w:t>
      </w:r>
      <w:r w:rsidRPr="00382917">
        <w:t>marry</w:t>
      </w:r>
      <w:r w:rsidR="00B71244">
        <w:t>.</w:t>
      </w:r>
      <w:r w:rsidR="00EE4FC3">
        <w:t xml:space="preserve">  </w:t>
      </w:r>
      <w:r w:rsidR="009C713D" w:rsidRPr="00382917">
        <w:t>“</w:t>
      </w:r>
      <w:r w:rsidRPr="00382917">
        <w:t>I</w:t>
      </w:r>
      <w:r w:rsidR="00EE4FC3">
        <w:t xml:space="preserve"> </w:t>
      </w:r>
      <w:r w:rsidRPr="00382917">
        <w:t>long</w:t>
      </w:r>
      <w:r w:rsidR="00EE4FC3">
        <w:t xml:space="preserve"> </w:t>
      </w:r>
      <w:r w:rsidRPr="00382917">
        <w:t>to</w:t>
      </w:r>
      <w:r w:rsidR="00EE4FC3">
        <w:t xml:space="preserve"> </w:t>
      </w:r>
      <w:r w:rsidRPr="00382917">
        <w:t>witness</w:t>
      </w:r>
      <w:r w:rsidR="00EE4FC3">
        <w:t xml:space="preserve"> </w:t>
      </w:r>
      <w:r w:rsidRPr="00382917">
        <w:t>your</w:t>
      </w:r>
      <w:r w:rsidR="00EE4FC3">
        <w:t xml:space="preserve"> </w:t>
      </w:r>
      <w:r w:rsidRPr="00382917">
        <w:t>nuptials,</w:t>
      </w:r>
      <w:r w:rsidR="009C713D" w:rsidRPr="00382917">
        <w:t>”</w:t>
      </w:r>
      <w:r w:rsidR="00EE4FC3">
        <w:t xml:space="preserve"> </w:t>
      </w:r>
      <w:r w:rsidRPr="00382917">
        <w:t>she</w:t>
      </w:r>
      <w:r w:rsidR="00EE4FC3">
        <w:t xml:space="preserve"> </w:t>
      </w:r>
      <w:r w:rsidRPr="00382917">
        <w:t>told</w:t>
      </w:r>
      <w:r w:rsidR="00EE4FC3">
        <w:t xml:space="preserve"> </w:t>
      </w:r>
      <w:r w:rsidRPr="00382917">
        <w:t>him,</w:t>
      </w:r>
      <w:r w:rsidR="00EE4FC3">
        <w:t xml:space="preserve"> </w:t>
      </w:r>
      <w:r w:rsidR="009C713D" w:rsidRPr="00382917">
        <w:t>“</w:t>
      </w:r>
      <w:r w:rsidRPr="00382917">
        <w:t>but</w:t>
      </w:r>
      <w:r w:rsidR="00EE4FC3">
        <w:t xml:space="preserve"> </w:t>
      </w:r>
      <w:r w:rsidRPr="00382917">
        <w:t>I</w:t>
      </w:r>
      <w:r w:rsidR="00EE4FC3">
        <w:t xml:space="preserve"> </w:t>
      </w:r>
      <w:r w:rsidRPr="00382917">
        <w:t>fear</w:t>
      </w:r>
      <w:r w:rsidR="00EE4FC3">
        <w:t xml:space="preserve"> </w:t>
      </w:r>
      <w:r w:rsidRPr="00382917">
        <w:t>this</w:t>
      </w:r>
      <w:r w:rsidR="00EE4FC3">
        <w:t xml:space="preserve"> </w:t>
      </w:r>
      <w:r w:rsidRPr="00382917">
        <w:t>longing</w:t>
      </w:r>
      <w:r w:rsidR="00EE4FC3">
        <w:t xml:space="preserve"> </w:t>
      </w:r>
      <w:r w:rsidRPr="00382917">
        <w:t>will</w:t>
      </w:r>
      <w:r w:rsidR="00EE4FC3">
        <w:t xml:space="preserve"> </w:t>
      </w:r>
      <w:r w:rsidRPr="00382917">
        <w:t>always</w:t>
      </w:r>
      <w:r w:rsidR="00EE4FC3">
        <w:t xml:space="preserve"> </w:t>
      </w:r>
      <w:r w:rsidRPr="00382917">
        <w:t>remain</w:t>
      </w:r>
      <w:r w:rsidR="00EE4FC3">
        <w:t xml:space="preserve"> </w:t>
      </w:r>
      <w:r w:rsidRPr="00382917">
        <w:t>unfulfilled.</w:t>
      </w:r>
      <w:r w:rsidR="009C713D" w:rsidRPr="00382917">
        <w:t>”</w:t>
      </w:r>
    </w:p>
    <w:p w:rsidR="00DB6293" w:rsidRPr="00382917" w:rsidRDefault="00DB6293" w:rsidP="00DB6293">
      <w:pPr>
        <w:pStyle w:val="Text"/>
      </w:pPr>
      <w:r w:rsidRPr="00382917">
        <w:t>Quddús</w:t>
      </w:r>
      <w:r w:rsidR="00EE4FC3">
        <w:t xml:space="preserve"> </w:t>
      </w:r>
      <w:r w:rsidRPr="00382917">
        <w:t>replied</w:t>
      </w:r>
      <w:r w:rsidR="00C03C91">
        <w:t>:</w:t>
      </w:r>
      <w:r w:rsidR="00EE4FC3">
        <w:t xml:space="preserve">  </w:t>
      </w:r>
      <w:r w:rsidR="009C713D" w:rsidRPr="00382917">
        <w:t>“</w:t>
      </w:r>
      <w:r w:rsidRPr="00382917">
        <w:t>The</w:t>
      </w:r>
      <w:r w:rsidR="00EE4FC3">
        <w:t xml:space="preserve"> </w:t>
      </w:r>
      <w:r w:rsidRPr="00382917">
        <w:t>day</w:t>
      </w:r>
      <w:r w:rsidR="00EE4FC3">
        <w:t xml:space="preserve"> </w:t>
      </w:r>
      <w:r w:rsidRPr="00382917">
        <w:t>of</w:t>
      </w:r>
      <w:r w:rsidR="00EE4FC3">
        <w:t xml:space="preserve"> </w:t>
      </w:r>
      <w:r w:rsidRPr="00382917">
        <w:t>my</w:t>
      </w:r>
      <w:r w:rsidR="00EE4FC3">
        <w:t xml:space="preserve"> </w:t>
      </w:r>
      <w:r w:rsidRPr="00382917">
        <w:t>wedding</w:t>
      </w:r>
      <w:r w:rsidR="00EE4FC3">
        <w:t xml:space="preserve"> </w:t>
      </w:r>
      <w:r w:rsidRPr="00382917">
        <w:t>is</w:t>
      </w:r>
      <w:r w:rsidR="00EE4FC3">
        <w:t xml:space="preserve"> </w:t>
      </w:r>
      <w:r w:rsidRPr="00382917">
        <w:t>not</w:t>
      </w:r>
      <w:r w:rsidR="00EE4FC3">
        <w:t xml:space="preserve"> </w:t>
      </w:r>
      <w:r w:rsidRPr="00382917">
        <w:t>yet</w:t>
      </w:r>
      <w:r w:rsidR="00EE4FC3">
        <w:t xml:space="preserve"> </w:t>
      </w:r>
      <w:r w:rsidRPr="00382917">
        <w:t>come</w:t>
      </w:r>
      <w:r w:rsidR="00B71244">
        <w:t>.</w:t>
      </w:r>
      <w:r w:rsidR="00EE4FC3">
        <w:t xml:space="preserve">  </w:t>
      </w:r>
      <w:r w:rsidRPr="00382917">
        <w:t>That</w:t>
      </w:r>
      <w:r w:rsidR="00EE4FC3">
        <w:t xml:space="preserve"> </w:t>
      </w:r>
      <w:r w:rsidRPr="00382917">
        <w:t>day</w:t>
      </w:r>
      <w:r w:rsidR="00EE4FC3">
        <w:t xml:space="preserve"> </w:t>
      </w:r>
      <w:r w:rsidRPr="00382917">
        <w:t>will</w:t>
      </w:r>
      <w:r w:rsidR="00EE4FC3">
        <w:t xml:space="preserve"> </w:t>
      </w:r>
      <w:r w:rsidRPr="00382917">
        <w:t>be</w:t>
      </w:r>
      <w:r w:rsidR="00EE4FC3">
        <w:t xml:space="preserve"> </w:t>
      </w:r>
      <w:r w:rsidRPr="00382917">
        <w:t>unspeakably</w:t>
      </w:r>
      <w:r w:rsidR="00EE4FC3">
        <w:t xml:space="preserve"> </w:t>
      </w:r>
      <w:r w:rsidRPr="00382917">
        <w:t>glorious</w:t>
      </w:r>
      <w:r w:rsidR="00B71244">
        <w:t>.</w:t>
      </w:r>
      <w:r w:rsidR="00EE4FC3">
        <w:t xml:space="preserve">  </w:t>
      </w:r>
      <w:r w:rsidRPr="00382917">
        <w:t>Not</w:t>
      </w:r>
      <w:r w:rsidR="00EE4FC3">
        <w:t xml:space="preserve"> </w:t>
      </w:r>
      <w:r w:rsidRPr="00382917">
        <w:t>within</w:t>
      </w:r>
      <w:r w:rsidR="00EE4FC3">
        <w:t xml:space="preserve"> </w:t>
      </w:r>
      <w:r w:rsidRPr="00382917">
        <w:t>the</w:t>
      </w:r>
      <w:r w:rsidR="00EE4FC3">
        <w:t xml:space="preserve"> </w:t>
      </w:r>
      <w:r w:rsidRPr="00382917">
        <w:t>confines</w:t>
      </w:r>
      <w:r w:rsidR="00EE4FC3">
        <w:t xml:space="preserve"> </w:t>
      </w:r>
      <w:r w:rsidRPr="00382917">
        <w:t>of</w:t>
      </w:r>
      <w:r w:rsidR="00EE4FC3">
        <w:t xml:space="preserve"> </w:t>
      </w:r>
      <w:r w:rsidRPr="00382917">
        <w:t>this</w:t>
      </w:r>
      <w:r w:rsidR="00EE4FC3">
        <w:t xml:space="preserve"> </w:t>
      </w:r>
      <w:r w:rsidRPr="00382917">
        <w:t>house,</w:t>
      </w:r>
      <w:r w:rsidR="00EE4FC3">
        <w:t xml:space="preserve"> </w:t>
      </w:r>
      <w:r w:rsidRPr="00382917">
        <w:t>but</w:t>
      </w:r>
      <w:r w:rsidR="00EE4FC3">
        <w:t xml:space="preserve"> </w:t>
      </w:r>
      <w:r w:rsidRPr="00382917">
        <w:t>out</w:t>
      </w:r>
      <w:r w:rsidR="00EE4FC3">
        <w:t xml:space="preserve"> </w:t>
      </w:r>
      <w:r w:rsidRPr="00382917">
        <w:t>in</w:t>
      </w:r>
      <w:r w:rsidR="00EE4FC3">
        <w:t xml:space="preserve"> </w:t>
      </w:r>
      <w:r w:rsidRPr="00382917">
        <w:t>the</w:t>
      </w:r>
      <w:r w:rsidR="00EE4FC3">
        <w:t xml:space="preserve"> </w:t>
      </w:r>
      <w:r w:rsidRPr="00382917">
        <w:t>open</w:t>
      </w:r>
      <w:r w:rsidR="00EE4FC3">
        <w:t xml:space="preserve"> </w:t>
      </w:r>
      <w:r w:rsidRPr="00382917">
        <w:t>air,</w:t>
      </w:r>
      <w:r w:rsidR="00EE4FC3">
        <w:t xml:space="preserve"> </w:t>
      </w:r>
      <w:r w:rsidRPr="00382917">
        <w:t>under</w:t>
      </w:r>
      <w:r w:rsidR="00EE4FC3">
        <w:t xml:space="preserve"> </w:t>
      </w:r>
      <w:r w:rsidRPr="00382917">
        <w:t>the</w:t>
      </w:r>
      <w:r w:rsidR="00EE4FC3">
        <w:t xml:space="preserve"> </w:t>
      </w:r>
      <w:r w:rsidRPr="00382917">
        <w:t>vault</w:t>
      </w:r>
      <w:r w:rsidR="00EE4FC3">
        <w:t xml:space="preserve"> </w:t>
      </w:r>
      <w:r w:rsidRPr="00382917">
        <w:t>of</w:t>
      </w:r>
      <w:r w:rsidR="00EE4FC3">
        <w:t xml:space="preserve"> </w:t>
      </w:r>
      <w:r w:rsidRPr="00382917">
        <w:t>heaven,</w:t>
      </w:r>
      <w:r w:rsidR="00EE4FC3">
        <w:t xml:space="preserve"> </w:t>
      </w:r>
      <w:r w:rsidRPr="00382917">
        <w:t>in</w:t>
      </w:r>
      <w:r w:rsidR="00EE4FC3">
        <w:t xml:space="preserve"> </w:t>
      </w:r>
      <w:r w:rsidRPr="00382917">
        <w:t>the</w:t>
      </w:r>
      <w:r w:rsidR="00EE4FC3">
        <w:t xml:space="preserve"> </w:t>
      </w:r>
      <w:r w:rsidRPr="00382917">
        <w:t>public</w:t>
      </w:r>
      <w:r w:rsidR="00EE4FC3">
        <w:t xml:space="preserve"> </w:t>
      </w:r>
      <w:r w:rsidRPr="00382917">
        <w:t>square</w:t>
      </w:r>
      <w:r w:rsidR="00EE4FC3">
        <w:t xml:space="preserve"> </w:t>
      </w:r>
      <w:r w:rsidRPr="00382917">
        <w:t>before</w:t>
      </w:r>
      <w:r w:rsidR="00EE4FC3">
        <w:t xml:space="preserve"> </w:t>
      </w:r>
      <w:r w:rsidRPr="00382917">
        <w:t>the</w:t>
      </w:r>
      <w:r w:rsidR="00EE4FC3">
        <w:t xml:space="preserve"> </w:t>
      </w:r>
      <w:r w:rsidRPr="00382917">
        <w:t>gaze</w:t>
      </w:r>
      <w:r w:rsidR="00EE4FC3">
        <w:t xml:space="preserve"> </w:t>
      </w:r>
      <w:r w:rsidRPr="00382917">
        <w:t>of</w:t>
      </w:r>
      <w:r w:rsidR="00EE4FC3">
        <w:t xml:space="preserve"> </w:t>
      </w:r>
      <w:r w:rsidRPr="00382917">
        <w:t>the</w:t>
      </w:r>
      <w:r w:rsidR="00EE4FC3">
        <w:t xml:space="preserve"> </w:t>
      </w:r>
      <w:r w:rsidRPr="00382917">
        <w:t>great</w:t>
      </w:r>
      <w:r w:rsidR="00EE4FC3">
        <w:t xml:space="preserve"> </w:t>
      </w:r>
      <w:r w:rsidRPr="00382917">
        <w:t>multitude,</w:t>
      </w:r>
      <w:r w:rsidR="00EE4FC3">
        <w:t xml:space="preserve"> </w:t>
      </w:r>
      <w:r w:rsidRPr="00382917">
        <w:t>I</w:t>
      </w:r>
      <w:r w:rsidR="00EE4FC3">
        <w:t xml:space="preserve"> </w:t>
      </w:r>
      <w:r w:rsidRPr="00382917">
        <w:t>shall</w:t>
      </w:r>
      <w:r w:rsidR="00EE4FC3">
        <w:t xml:space="preserve"> </w:t>
      </w:r>
      <w:r w:rsidRPr="00382917">
        <w:t>celebrate</w:t>
      </w:r>
      <w:r w:rsidR="00EE4FC3">
        <w:t xml:space="preserve"> </w:t>
      </w:r>
      <w:r w:rsidRPr="00382917">
        <w:t>my</w:t>
      </w:r>
      <w:r w:rsidR="00EE4FC3">
        <w:t xml:space="preserve"> </w:t>
      </w:r>
      <w:r w:rsidRPr="00382917">
        <w:t>nuptials</w:t>
      </w:r>
      <w:r w:rsidR="00EE4FC3">
        <w:t xml:space="preserve"> </w:t>
      </w:r>
      <w:r w:rsidRPr="00382917">
        <w:t>and</w:t>
      </w:r>
      <w:r w:rsidR="00EE4FC3">
        <w:t xml:space="preserve"> </w:t>
      </w:r>
      <w:r w:rsidRPr="00382917">
        <w:t>witness</w:t>
      </w:r>
      <w:r w:rsidR="00EE4FC3">
        <w:t xml:space="preserve"> </w:t>
      </w:r>
      <w:r w:rsidRPr="00382917">
        <w:t>the</w:t>
      </w:r>
      <w:r w:rsidR="00EE4FC3">
        <w:t xml:space="preserve"> </w:t>
      </w:r>
      <w:proofErr w:type="spellStart"/>
      <w:r w:rsidRPr="00382917">
        <w:t>fulfillment</w:t>
      </w:r>
      <w:proofErr w:type="spellEnd"/>
      <w:r w:rsidR="00EE4FC3">
        <w:t xml:space="preserve"> </w:t>
      </w:r>
      <w:r w:rsidRPr="00382917">
        <w:t>of</w:t>
      </w:r>
      <w:r w:rsidR="00EE4FC3">
        <w:t xml:space="preserve"> </w:t>
      </w:r>
      <w:r w:rsidRPr="00382917">
        <w:t>all</w:t>
      </w:r>
      <w:r w:rsidR="00EE4FC3">
        <w:t xml:space="preserve"> </w:t>
      </w:r>
      <w:r w:rsidRPr="00382917">
        <w:t>my</w:t>
      </w:r>
      <w:r w:rsidR="00EE4FC3">
        <w:t xml:space="preserve"> </w:t>
      </w:r>
      <w:r w:rsidRPr="00382917">
        <w:t>hopes.</w:t>
      </w:r>
      <w:r w:rsidR="009C713D" w:rsidRPr="00382917">
        <w:t>”</w:t>
      </w:r>
    </w:p>
    <w:p w:rsidR="00DB6293" w:rsidRPr="00382917" w:rsidRDefault="00DB6293" w:rsidP="00DB6293">
      <w:pPr>
        <w:pStyle w:val="Text"/>
      </w:pPr>
      <w:r w:rsidRPr="00382917">
        <w:t>Now</w:t>
      </w:r>
      <w:r w:rsidR="00EE4FC3">
        <w:t xml:space="preserve"> </w:t>
      </w:r>
      <w:r w:rsidRPr="00382917">
        <w:t>that</w:t>
      </w:r>
      <w:r w:rsidR="00EE4FC3">
        <w:t xml:space="preserve"> </w:t>
      </w:r>
      <w:r w:rsidRPr="00382917">
        <w:t>promise</w:t>
      </w:r>
      <w:r w:rsidR="00EE4FC3">
        <w:t xml:space="preserve"> </w:t>
      </w:r>
      <w:r w:rsidRPr="00382917">
        <w:t>had</w:t>
      </w:r>
      <w:r w:rsidR="00EE4FC3">
        <w:t xml:space="preserve"> </w:t>
      </w:r>
      <w:r w:rsidRPr="00382917">
        <w:t>come</w:t>
      </w:r>
      <w:r w:rsidR="00EE4FC3">
        <w:t xml:space="preserve"> </w:t>
      </w:r>
      <w:r w:rsidRPr="00382917">
        <w:t>true</w:t>
      </w:r>
      <w:r w:rsidR="00B71244">
        <w:t>.</w:t>
      </w:r>
      <w:r w:rsidR="00EE4FC3">
        <w:t xml:space="preserve">  </w:t>
      </w:r>
      <w:r w:rsidRPr="00382917">
        <w:t>As</w:t>
      </w:r>
      <w:r w:rsidR="00EE4FC3">
        <w:t xml:space="preserve"> </w:t>
      </w:r>
      <w:r w:rsidRPr="00382917">
        <w:t>he</w:t>
      </w:r>
      <w:r w:rsidR="00EE4FC3">
        <w:t xml:space="preserve"> </w:t>
      </w:r>
      <w:r w:rsidRPr="00382917">
        <w:t>approached</w:t>
      </w:r>
      <w:r w:rsidR="00EE4FC3">
        <w:t xml:space="preserve"> </w:t>
      </w:r>
      <w:r w:rsidRPr="00382917">
        <w:t>the</w:t>
      </w:r>
      <w:r w:rsidR="00EE4FC3">
        <w:t xml:space="preserve"> </w:t>
      </w:r>
      <w:r w:rsidRPr="00382917">
        <w:t>public</w:t>
      </w:r>
      <w:r w:rsidR="00EE4FC3">
        <w:t xml:space="preserve"> </w:t>
      </w:r>
      <w:r w:rsidRPr="00382917">
        <w:t>square,</w:t>
      </w:r>
      <w:r w:rsidR="00EE4FC3">
        <w:t xml:space="preserve"> </w:t>
      </w:r>
      <w:r w:rsidRPr="00382917">
        <w:t>Quddús</w:t>
      </w:r>
      <w:r w:rsidR="00EE4FC3">
        <w:t xml:space="preserve"> </w:t>
      </w:r>
      <w:r w:rsidRPr="00382917">
        <w:t>remembered</w:t>
      </w:r>
      <w:r w:rsidR="00EE4FC3">
        <w:t xml:space="preserve"> </w:t>
      </w:r>
      <w:r w:rsidRPr="00382917">
        <w:t>those</w:t>
      </w:r>
      <w:r w:rsidR="00EE4FC3">
        <w:t xml:space="preserve"> </w:t>
      </w:r>
      <w:r w:rsidRPr="00382917">
        <w:t>long-ago</w:t>
      </w:r>
      <w:r w:rsidR="00EE4FC3">
        <w:t xml:space="preserve"> </w:t>
      </w:r>
      <w:r w:rsidRPr="00382917">
        <w:t>tender</w:t>
      </w:r>
      <w:r w:rsidR="00EE4FC3">
        <w:t xml:space="preserve"> </w:t>
      </w:r>
      <w:r w:rsidRPr="00382917">
        <w:t>years,</w:t>
      </w:r>
      <w:r w:rsidR="00EE4FC3">
        <w:t xml:space="preserve"> </w:t>
      </w:r>
      <w:r w:rsidRPr="00382917">
        <w:t>and</w:t>
      </w:r>
      <w:r w:rsidR="00EE4FC3">
        <w:t xml:space="preserve"> </w:t>
      </w:r>
      <w:r w:rsidRPr="00382917">
        <w:t>the</w:t>
      </w:r>
      <w:r w:rsidR="00EE4FC3">
        <w:t xml:space="preserve"> </w:t>
      </w:r>
      <w:r w:rsidRPr="00382917">
        <w:t>words</w:t>
      </w:r>
      <w:r w:rsidR="00EE4FC3">
        <w:t xml:space="preserve"> </w:t>
      </w:r>
      <w:r w:rsidRPr="00382917">
        <w:t>he</w:t>
      </w:r>
      <w:r w:rsidR="00EE4FC3">
        <w:t xml:space="preserve"> </w:t>
      </w:r>
      <w:r w:rsidRPr="00382917">
        <w:t>had</w:t>
      </w:r>
      <w:r w:rsidR="00EE4FC3">
        <w:t xml:space="preserve"> </w:t>
      </w:r>
      <w:r w:rsidRPr="00382917">
        <w:t>spoken</w:t>
      </w:r>
      <w:r w:rsidR="00B71244">
        <w:t>.</w:t>
      </w:r>
      <w:r w:rsidR="00EE4FC3">
        <w:t xml:space="preserve">  </w:t>
      </w:r>
      <w:r w:rsidRPr="00382917">
        <w:t>He</w:t>
      </w:r>
      <w:r w:rsidR="00EE4FC3">
        <w:t xml:space="preserve"> </w:t>
      </w:r>
      <w:r w:rsidRPr="00382917">
        <w:t>raised</w:t>
      </w:r>
      <w:r w:rsidR="00EE4FC3">
        <w:t xml:space="preserve"> </w:t>
      </w:r>
      <w:r w:rsidRPr="00382917">
        <w:t>his</w:t>
      </w:r>
      <w:r w:rsidR="00EE4FC3">
        <w:t xml:space="preserve"> </w:t>
      </w:r>
      <w:r w:rsidRPr="00382917">
        <w:t>voice</w:t>
      </w:r>
      <w:r w:rsidR="00B71244">
        <w:t>.</w:t>
      </w:r>
      <w:r w:rsidR="00EE4FC3">
        <w:t xml:space="preserve">  </w:t>
      </w:r>
      <w:r w:rsidR="009C713D" w:rsidRPr="00382917">
        <w:t>“</w:t>
      </w:r>
      <w:r w:rsidRPr="00382917">
        <w:t>Would</w:t>
      </w:r>
      <w:r w:rsidR="00EE4FC3">
        <w:t xml:space="preserve"> </w:t>
      </w:r>
      <w:r w:rsidRPr="00382917">
        <w:t>that</w:t>
      </w:r>
      <w:r w:rsidR="00EE4FC3">
        <w:t xml:space="preserve"> </w:t>
      </w:r>
      <w:r w:rsidRPr="00382917">
        <w:t>my</w:t>
      </w:r>
      <w:r w:rsidR="00EE4FC3">
        <w:t xml:space="preserve"> </w:t>
      </w:r>
      <w:proofErr w:type="gramStart"/>
      <w:r w:rsidRPr="00382917">
        <w:t>mother</w:t>
      </w:r>
      <w:r w:rsidR="00EE4FC3">
        <w:t xml:space="preserve"> </w:t>
      </w:r>
      <w:r w:rsidRPr="00382917">
        <w:t>were</w:t>
      </w:r>
      <w:proofErr w:type="gramEnd"/>
      <w:r w:rsidR="00EE4FC3">
        <w:t xml:space="preserve"> </w:t>
      </w:r>
      <w:r w:rsidRPr="00382917">
        <w:t>with</w:t>
      </w:r>
      <w:r w:rsidR="00EE4FC3">
        <w:t xml:space="preserve"> </w:t>
      </w:r>
      <w:r w:rsidRPr="00382917">
        <w:t>me</w:t>
      </w:r>
      <w:r w:rsidR="00EE4FC3">
        <w:t xml:space="preserve"> </w:t>
      </w:r>
      <w:r w:rsidRPr="00382917">
        <w:t>now,</w:t>
      </w:r>
      <w:r w:rsidR="00EE4FC3">
        <w:t xml:space="preserve"> </w:t>
      </w:r>
      <w:r w:rsidRPr="00382917">
        <w:t>and</w:t>
      </w:r>
      <w:r w:rsidR="00EE4FC3">
        <w:t xml:space="preserve"> </w:t>
      </w:r>
      <w:r w:rsidRPr="00382917">
        <w:t>could</w:t>
      </w:r>
      <w:r w:rsidR="00EE4FC3">
        <w:t xml:space="preserve"> </w:t>
      </w:r>
      <w:r w:rsidRPr="00382917">
        <w:t>see</w:t>
      </w:r>
      <w:r w:rsidR="00EE4FC3">
        <w:t xml:space="preserve"> </w:t>
      </w:r>
      <w:r w:rsidRPr="00382917">
        <w:t>the</w:t>
      </w:r>
      <w:r w:rsidR="00EE4FC3">
        <w:t xml:space="preserve"> </w:t>
      </w:r>
      <w:proofErr w:type="spellStart"/>
      <w:r w:rsidRPr="00382917">
        <w:t>splendor</w:t>
      </w:r>
      <w:proofErr w:type="spellEnd"/>
      <w:r w:rsidR="00EE4FC3">
        <w:t xml:space="preserve"> </w:t>
      </w:r>
      <w:r w:rsidRPr="00382917">
        <w:t>of</w:t>
      </w:r>
      <w:r w:rsidR="00EE4FC3">
        <w:t xml:space="preserve"> </w:t>
      </w:r>
      <w:r w:rsidRPr="00382917">
        <w:t>my</w:t>
      </w:r>
      <w:r w:rsidR="00EE4FC3">
        <w:t xml:space="preserve"> </w:t>
      </w:r>
      <w:r w:rsidRPr="00382917">
        <w:t>nuptials!</w:t>
      </w:r>
      <w:r w:rsidR="009C713D" w:rsidRPr="00382917">
        <w:t>”</w:t>
      </w:r>
    </w:p>
    <w:p w:rsidR="00DB6293" w:rsidRPr="00382917" w:rsidRDefault="00DB6293" w:rsidP="00DB6293">
      <w:pPr>
        <w:pStyle w:val="Text"/>
      </w:pPr>
      <w:r w:rsidRPr="00382917">
        <w:t>In</w:t>
      </w:r>
      <w:r w:rsidR="00EE4FC3">
        <w:t xml:space="preserve"> </w:t>
      </w:r>
      <w:r w:rsidRPr="00382917">
        <w:t>the</w:t>
      </w:r>
      <w:r w:rsidR="00EE4FC3">
        <w:t xml:space="preserve"> </w:t>
      </w:r>
      <w:r w:rsidRPr="00382917">
        <w:t>middle</w:t>
      </w:r>
      <w:r w:rsidR="00EE4FC3">
        <w:t xml:space="preserve"> </w:t>
      </w:r>
      <w:r w:rsidRPr="00382917">
        <w:t>of</w:t>
      </w:r>
      <w:r w:rsidR="00EE4FC3">
        <w:t xml:space="preserve"> </w:t>
      </w:r>
      <w:r w:rsidRPr="00382917">
        <w:t>the</w:t>
      </w:r>
      <w:r w:rsidR="00EE4FC3">
        <w:t xml:space="preserve"> </w:t>
      </w:r>
      <w:r w:rsidRPr="00382917">
        <w:t>night,</w:t>
      </w:r>
      <w:r w:rsidR="00EE4FC3">
        <w:t xml:space="preserve"> </w:t>
      </w:r>
      <w:r w:rsidRPr="00382917">
        <w:t>a</w:t>
      </w:r>
      <w:r w:rsidR="00EE4FC3">
        <w:t xml:space="preserve"> </w:t>
      </w:r>
      <w:r w:rsidRPr="00382917">
        <w:t>devoted</w:t>
      </w:r>
      <w:r w:rsidR="00EE4FC3">
        <w:t xml:space="preserve"> </w:t>
      </w:r>
      <w:r w:rsidRPr="00382917">
        <w:t>friend</w:t>
      </w:r>
      <w:r w:rsidR="00EE4FC3">
        <w:t xml:space="preserve"> </w:t>
      </w:r>
      <w:r w:rsidRPr="00382917">
        <w:t>gathered</w:t>
      </w:r>
      <w:r w:rsidR="00EE4FC3">
        <w:t xml:space="preserve"> </w:t>
      </w:r>
      <w:r w:rsidRPr="00382917">
        <w:t>what</w:t>
      </w:r>
      <w:r w:rsidR="00EE4FC3">
        <w:t xml:space="preserve"> </w:t>
      </w:r>
      <w:r w:rsidRPr="00382917">
        <w:t>still</w:t>
      </w:r>
      <w:r w:rsidR="00EE4FC3">
        <w:t xml:space="preserve"> </w:t>
      </w:r>
      <w:r w:rsidRPr="00382917">
        <w:t>remained</w:t>
      </w:r>
      <w:r w:rsidR="00EE4FC3">
        <w:t xml:space="preserve"> </w:t>
      </w:r>
      <w:r w:rsidRPr="00382917">
        <w:t>of</w:t>
      </w:r>
      <w:r w:rsidR="00EE4FC3">
        <w:t xml:space="preserve"> </w:t>
      </w:r>
      <w:r w:rsidRPr="00382917">
        <w:t>Quddús</w:t>
      </w:r>
      <w:r w:rsidR="009C713D" w:rsidRPr="00382917">
        <w:t>’</w:t>
      </w:r>
      <w:r w:rsidR="00EE4FC3">
        <w:t xml:space="preserve"> </w:t>
      </w:r>
      <w:r w:rsidRPr="00382917">
        <w:t>burned</w:t>
      </w:r>
      <w:r w:rsidR="00EE4FC3">
        <w:t xml:space="preserve"> </w:t>
      </w:r>
      <w:r w:rsidRPr="00382917">
        <w:t>and</w:t>
      </w:r>
      <w:r w:rsidR="00EE4FC3">
        <w:t xml:space="preserve"> </w:t>
      </w:r>
      <w:r w:rsidRPr="00382917">
        <w:t>mutilated</w:t>
      </w:r>
      <w:r w:rsidR="00EE4FC3">
        <w:t xml:space="preserve"> </w:t>
      </w:r>
      <w:r w:rsidRPr="00382917">
        <w:t>body</w:t>
      </w:r>
      <w:r w:rsidR="00B71244">
        <w:t>.</w:t>
      </w:r>
      <w:r w:rsidR="00EE4FC3">
        <w:t xml:space="preserve">  </w:t>
      </w:r>
      <w:r w:rsidRPr="00382917">
        <w:t>He</w:t>
      </w:r>
      <w:r w:rsidR="00EE4FC3">
        <w:t xml:space="preserve"> </w:t>
      </w:r>
      <w:r w:rsidRPr="00382917">
        <w:t>buried</w:t>
      </w:r>
      <w:r w:rsidR="00EE4FC3">
        <w:t xml:space="preserve"> </w:t>
      </w:r>
      <w:r w:rsidRPr="00382917">
        <w:t>them</w:t>
      </w:r>
      <w:r w:rsidR="00EE4FC3">
        <w:t xml:space="preserve"> </w:t>
      </w:r>
      <w:r w:rsidRPr="00382917">
        <w:t>in</w:t>
      </w:r>
      <w:r w:rsidR="00EE4FC3">
        <w:t xml:space="preserve"> </w:t>
      </w:r>
      <w:r w:rsidRPr="00382917">
        <w:t>a</w:t>
      </w:r>
      <w:r w:rsidR="00EE4FC3">
        <w:t xml:space="preserve"> </w:t>
      </w:r>
      <w:r w:rsidRPr="00382917">
        <w:t>place</w:t>
      </w:r>
      <w:r w:rsidR="00EE4FC3">
        <w:t xml:space="preserve"> </w:t>
      </w:r>
      <w:r w:rsidRPr="00382917">
        <w:t>not</w:t>
      </w:r>
      <w:r w:rsidR="00EE4FC3">
        <w:t xml:space="preserve"> </w:t>
      </w:r>
      <w:r w:rsidRPr="00382917">
        <w:t>far</w:t>
      </w:r>
      <w:r w:rsidR="00EE4FC3">
        <w:t xml:space="preserve"> </w:t>
      </w:r>
      <w:r w:rsidRPr="00382917">
        <w:t>from</w:t>
      </w:r>
      <w:r w:rsidR="00EE4FC3">
        <w:t xml:space="preserve"> </w:t>
      </w:r>
      <w:r w:rsidRPr="00382917">
        <w:t>the</w:t>
      </w:r>
      <w:r w:rsidR="00EE4FC3">
        <w:t xml:space="preserve"> </w:t>
      </w:r>
      <w:r w:rsidRPr="00382917">
        <w:t>scene</w:t>
      </w:r>
      <w:r w:rsidR="00EE4FC3">
        <w:t xml:space="preserve"> </w:t>
      </w:r>
      <w:r w:rsidRPr="00382917">
        <w:t>of</w:t>
      </w:r>
      <w:r w:rsidR="00EE4FC3">
        <w:t xml:space="preserve"> </w:t>
      </w:r>
      <w:r w:rsidRPr="00382917">
        <w:t>his</w:t>
      </w:r>
      <w:r w:rsidR="00EE4FC3">
        <w:t xml:space="preserve"> </w:t>
      </w:r>
      <w:r w:rsidRPr="00382917">
        <w:t>martyrdom.</w:t>
      </w:r>
    </w:p>
    <w:p w:rsidR="00E13D49" w:rsidRPr="00382917" w:rsidRDefault="00DB6293" w:rsidP="002A56F9">
      <w:pPr>
        <w:pStyle w:val="Text"/>
      </w:pPr>
      <w:r w:rsidRPr="00382917">
        <w:t>Nabíl</w:t>
      </w:r>
      <w:r w:rsidR="00EE4FC3">
        <w:t xml:space="preserve"> </w:t>
      </w:r>
      <w:r w:rsidRPr="00382917">
        <w:t>in</w:t>
      </w:r>
      <w:r w:rsidR="00EE4FC3">
        <w:t xml:space="preserve"> </w:t>
      </w:r>
      <w:r w:rsidRPr="00382917">
        <w:t>his</w:t>
      </w:r>
      <w:r w:rsidR="00EE4FC3">
        <w:t xml:space="preserve"> </w:t>
      </w:r>
      <w:r w:rsidRPr="00382917">
        <w:t>history</w:t>
      </w:r>
      <w:r w:rsidR="00EE4FC3">
        <w:t xml:space="preserve"> </w:t>
      </w:r>
      <w:r w:rsidRPr="00382917">
        <w:t>declares</w:t>
      </w:r>
      <w:r w:rsidR="00EE4FC3">
        <w:t xml:space="preserve"> </w:t>
      </w:r>
      <w:r w:rsidRPr="00382917">
        <w:t>that</w:t>
      </w:r>
      <w:r w:rsidR="00EE4FC3">
        <w:t xml:space="preserve"> </w:t>
      </w:r>
      <w:r w:rsidRPr="00382917">
        <w:t>the</w:t>
      </w:r>
      <w:r w:rsidR="00EE4FC3">
        <w:t xml:space="preserve"> </w:t>
      </w:r>
      <w:r w:rsidRPr="00382917">
        <w:t>story</w:t>
      </w:r>
      <w:r w:rsidR="00EE4FC3">
        <w:t xml:space="preserve"> </w:t>
      </w:r>
      <w:r w:rsidRPr="00382917">
        <w:t>of</w:t>
      </w:r>
      <w:r w:rsidR="00EE4FC3">
        <w:t xml:space="preserve"> </w:t>
      </w:r>
      <w:r w:rsidRPr="00382917">
        <w:t>Mullá</w:t>
      </w:r>
      <w:r w:rsidR="00EE4FC3">
        <w:t xml:space="preserve"> </w:t>
      </w:r>
      <w:r w:rsidR="00964C11" w:rsidRPr="00382917">
        <w:t>Ḥusayn</w:t>
      </w:r>
      <w:r w:rsidRPr="00382917">
        <w:t>,</w:t>
      </w:r>
      <w:r w:rsidR="00EE4FC3">
        <w:t xml:space="preserve"> </w:t>
      </w:r>
      <w:r w:rsidRPr="00382917">
        <w:t>Quddús,</w:t>
      </w:r>
      <w:r w:rsidR="00EE4FC3">
        <w:t xml:space="preserve"> </w:t>
      </w:r>
      <w:r w:rsidRPr="00382917">
        <w:t>and</w:t>
      </w:r>
      <w:r w:rsidR="00EE4FC3">
        <w:t xml:space="preserve"> </w:t>
      </w:r>
      <w:r w:rsidRPr="00382917">
        <w:t>the</w:t>
      </w:r>
      <w:r w:rsidR="00EE4FC3">
        <w:t xml:space="preserve"> </w:t>
      </w:r>
      <w:proofErr w:type="spellStart"/>
      <w:r w:rsidRPr="00382917">
        <w:t>defense</w:t>
      </w:r>
      <w:proofErr w:type="spellEnd"/>
      <w:r w:rsidR="00EE4FC3">
        <w:t xml:space="preserve"> </w:t>
      </w:r>
      <w:r w:rsidRPr="00382917">
        <w:t>of</w:t>
      </w:r>
      <w:r w:rsidR="00EE4FC3">
        <w:t xml:space="preserve"> </w:t>
      </w:r>
      <w:r w:rsidRPr="00382917">
        <w:t>the</w:t>
      </w:r>
      <w:r w:rsidR="00EE4FC3">
        <w:t xml:space="preserve"> </w:t>
      </w:r>
      <w:r w:rsidRPr="00382917">
        <w:t>fort</w:t>
      </w:r>
      <w:r w:rsidR="00EE4FC3">
        <w:t xml:space="preserve"> </w:t>
      </w:r>
      <w:r w:rsidRPr="00382917">
        <w:t>of</w:t>
      </w:r>
      <w:r w:rsidR="00EE4FC3">
        <w:t xml:space="preserve"> </w:t>
      </w:r>
      <w:r w:rsidR="002A56F9" w:rsidRPr="002A56F9">
        <w:t>Ṭ</w:t>
      </w:r>
      <w:r w:rsidRPr="00382917">
        <w:t>abarsí</w:t>
      </w:r>
      <w:r w:rsidR="00EE4FC3">
        <w:t xml:space="preserve"> </w:t>
      </w:r>
      <w:r w:rsidR="009C713D" w:rsidRPr="00382917">
        <w:t>“</w:t>
      </w:r>
      <w:r w:rsidRPr="00382917">
        <w:t>must</w:t>
      </w:r>
      <w:r w:rsidR="00EE4FC3">
        <w:t xml:space="preserve"> </w:t>
      </w:r>
      <w:r w:rsidRPr="00382917">
        <w:t>ever</w:t>
      </w:r>
      <w:r w:rsidR="00EE4FC3">
        <w:t xml:space="preserve"> </w:t>
      </w:r>
      <w:r w:rsidRPr="00382917">
        <w:t>remain</w:t>
      </w:r>
      <w:r w:rsidR="00EE4FC3">
        <w:t xml:space="preserve"> </w:t>
      </w:r>
      <w:r w:rsidRPr="00382917">
        <w:t>as</w:t>
      </w:r>
      <w:r w:rsidR="00EE4FC3">
        <w:t xml:space="preserve"> </w:t>
      </w:r>
      <w:r w:rsidRPr="00382917">
        <w:t>one</w:t>
      </w:r>
      <w:r w:rsidR="00EE4FC3">
        <w:t xml:space="preserve"> </w:t>
      </w:r>
      <w:r w:rsidRPr="00382917">
        <w:t>of</w:t>
      </w:r>
      <w:r w:rsidR="00EE4FC3">
        <w:t xml:space="preserve"> </w:t>
      </w:r>
      <w:r w:rsidRPr="00382917">
        <w:t>the</w:t>
      </w:r>
      <w:r w:rsidR="00EE4FC3">
        <w:t xml:space="preserve"> </w:t>
      </w:r>
      <w:r w:rsidRPr="00382917">
        <w:t>most</w:t>
      </w:r>
      <w:r w:rsidR="00EE4FC3">
        <w:t xml:space="preserve"> </w:t>
      </w:r>
      <w:r w:rsidRPr="00382917">
        <w:t>moving</w:t>
      </w:r>
      <w:r w:rsidR="00EE4FC3">
        <w:t xml:space="preserve"> </w:t>
      </w:r>
      <w:r w:rsidRPr="00382917">
        <w:t>episodes</w:t>
      </w:r>
      <w:r w:rsidR="00EE4FC3">
        <w:t xml:space="preserve"> </w:t>
      </w:r>
      <w:r w:rsidRPr="00382917">
        <w:t>of</w:t>
      </w:r>
      <w:r w:rsidR="00EE4FC3">
        <w:t xml:space="preserve"> </w:t>
      </w:r>
      <w:r w:rsidRPr="00382917">
        <w:t>modern</w:t>
      </w:r>
      <w:r w:rsidR="00EE4FC3">
        <w:t xml:space="preserve"> </w:t>
      </w:r>
      <w:r w:rsidRPr="00382917">
        <w:t>times.</w:t>
      </w:r>
      <w:r w:rsidR="009C713D" w:rsidRPr="00382917">
        <w:t>”</w:t>
      </w:r>
      <w:r w:rsidR="002A56F9">
        <w:rPr>
          <w:rStyle w:val="FootnoteReference"/>
        </w:rPr>
        <w:footnoteReference w:id="127"/>
      </w:r>
    </w:p>
    <w:p w:rsidR="00DB6293" w:rsidRPr="00382917" w:rsidRDefault="00DB6293" w:rsidP="00BE13DE">
      <w:pPr>
        <w:pStyle w:val="Text"/>
      </w:pPr>
      <w:r w:rsidRPr="00382917">
        <w:t>The</w:t>
      </w:r>
      <w:r w:rsidR="00EE4FC3">
        <w:t xml:space="preserve"> </w:t>
      </w:r>
      <w:r w:rsidRPr="00382917">
        <w:t>words</w:t>
      </w:r>
      <w:r w:rsidR="00EE4FC3">
        <w:t xml:space="preserve"> </w:t>
      </w:r>
      <w:r w:rsidRPr="00382917">
        <w:t>spoken</w:t>
      </w:r>
      <w:r w:rsidR="00EE4FC3">
        <w:t xml:space="preserve"> </w:t>
      </w:r>
      <w:r w:rsidRPr="00382917">
        <w:t>by</w:t>
      </w:r>
      <w:r w:rsidR="00EE4FC3">
        <w:t xml:space="preserve"> </w:t>
      </w:r>
      <w:r w:rsidRPr="00382917">
        <w:t>Quddús</w:t>
      </w:r>
      <w:r w:rsidR="00EE4FC3">
        <w:t xml:space="preserve"> </w:t>
      </w:r>
      <w:r w:rsidRPr="00382917">
        <w:t>in</w:t>
      </w:r>
      <w:r w:rsidR="00EE4FC3">
        <w:t xml:space="preserve"> </w:t>
      </w:r>
      <w:r w:rsidRPr="00382917">
        <w:t>the</w:t>
      </w:r>
      <w:r w:rsidR="00EE4FC3">
        <w:t xml:space="preserve"> </w:t>
      </w:r>
      <w:r w:rsidRPr="00382917">
        <w:t>fort</w:t>
      </w:r>
      <w:r w:rsidR="00EE4FC3">
        <w:t xml:space="preserve"> </w:t>
      </w:r>
      <w:r w:rsidRPr="00382917">
        <w:t>of</w:t>
      </w:r>
      <w:r w:rsidR="00EE4FC3">
        <w:t xml:space="preserve"> </w:t>
      </w:r>
      <w:r w:rsidRPr="00382917">
        <w:t>Ṭabarsí</w:t>
      </w:r>
      <w:r w:rsidR="00EE4FC3">
        <w:t xml:space="preserve"> </w:t>
      </w:r>
      <w:r w:rsidRPr="00382917">
        <w:t>now</w:t>
      </w:r>
      <w:r w:rsidR="00EE4FC3">
        <w:t xml:space="preserve"> </w:t>
      </w:r>
      <w:r w:rsidRPr="00382917">
        <w:t>made</w:t>
      </w:r>
      <w:r w:rsidR="00EE4FC3">
        <w:t xml:space="preserve"> </w:t>
      </w:r>
      <w:proofErr w:type="gramStart"/>
      <w:r w:rsidRPr="00382917">
        <w:t>themselves</w:t>
      </w:r>
      <w:proofErr w:type="gramEnd"/>
      <w:r w:rsidR="00EE4FC3">
        <w:t xml:space="preserve"> </w:t>
      </w:r>
      <w:r w:rsidRPr="00382917">
        <w:t>felt,</w:t>
      </w:r>
      <w:r w:rsidR="00EE4FC3">
        <w:t xml:space="preserve"> </w:t>
      </w:r>
      <w:r w:rsidRPr="00382917">
        <w:t>fulfilling</w:t>
      </w:r>
      <w:r w:rsidR="00EE4FC3">
        <w:t xml:space="preserve"> </w:t>
      </w:r>
      <w:r w:rsidRPr="00382917">
        <w:t>his</w:t>
      </w:r>
      <w:r w:rsidR="00EE4FC3">
        <w:t xml:space="preserve"> </w:t>
      </w:r>
      <w:r w:rsidRPr="00382917">
        <w:t>prediction</w:t>
      </w:r>
      <w:r w:rsidR="00C03C91">
        <w:t>:</w:t>
      </w:r>
      <w:r w:rsidR="00EE4FC3">
        <w:t xml:space="preserve">  </w:t>
      </w:r>
      <w:r w:rsidR="009C713D" w:rsidRPr="00382917">
        <w:t>“</w:t>
      </w:r>
      <w:r w:rsidRPr="00382917">
        <w:t>How</w:t>
      </w:r>
      <w:r w:rsidR="00EE4FC3">
        <w:t xml:space="preserve"> </w:t>
      </w:r>
      <w:r w:rsidRPr="00382917">
        <w:t>utterly</w:t>
      </w:r>
      <w:r w:rsidR="00EE4FC3">
        <w:t xml:space="preserve"> </w:t>
      </w:r>
      <w:r w:rsidRPr="00382917">
        <w:t>unaware</w:t>
      </w:r>
      <w:r w:rsidR="00EE4FC3">
        <w:t xml:space="preserve"> </w:t>
      </w:r>
      <w:r w:rsidRPr="00382917">
        <w:t>are</w:t>
      </w:r>
      <w:r w:rsidR="00EE4FC3">
        <w:t xml:space="preserve"> </w:t>
      </w:r>
      <w:r w:rsidRPr="00382917">
        <w:t>these</w:t>
      </w:r>
      <w:r w:rsidR="00EE4FC3">
        <w:t xml:space="preserve"> </w:t>
      </w:r>
      <w:r w:rsidRPr="00382917">
        <w:t>boastful</w:t>
      </w:r>
      <w:r w:rsidR="00EE4FC3">
        <w:t xml:space="preserve"> </w:t>
      </w:r>
      <w:r w:rsidRPr="00382917">
        <w:t>aggressors</w:t>
      </w:r>
      <w:r w:rsidR="00EE4FC3">
        <w:t xml:space="preserve"> </w:t>
      </w:r>
      <w:r w:rsidRPr="00382917">
        <w:t>of</w:t>
      </w:r>
      <w:r w:rsidR="00EE4FC3">
        <w:t xml:space="preserve"> </w:t>
      </w:r>
      <w:r w:rsidRPr="00382917">
        <w:t>the</w:t>
      </w:r>
      <w:r w:rsidR="00EE4FC3">
        <w:t xml:space="preserve"> </w:t>
      </w:r>
      <w:r w:rsidRPr="00382917">
        <w:t>power</w:t>
      </w:r>
      <w:r w:rsidR="00EE4FC3">
        <w:t xml:space="preserve"> </w:t>
      </w:r>
      <w:r w:rsidRPr="00382917">
        <w:t>of</w:t>
      </w:r>
      <w:r w:rsidR="00EE4FC3">
        <w:t xml:space="preserve"> </w:t>
      </w:r>
      <w:r w:rsidRPr="00382917">
        <w:t>God</w:t>
      </w:r>
      <w:r w:rsidR="009C713D" w:rsidRPr="00382917">
        <w:t>’</w:t>
      </w:r>
      <w:r w:rsidRPr="00382917">
        <w:t>s</w:t>
      </w:r>
      <w:r w:rsidR="00EE4FC3">
        <w:t xml:space="preserve"> </w:t>
      </w:r>
      <w:r w:rsidRPr="00382917">
        <w:t>avenging</w:t>
      </w:r>
      <w:r w:rsidR="00EE4FC3">
        <w:t xml:space="preserve"> </w:t>
      </w:r>
      <w:r w:rsidRPr="00382917">
        <w:t>wrath.</w:t>
      </w:r>
      <w:r w:rsidR="009C713D" w:rsidRPr="00382917">
        <w:t>”</w:t>
      </w:r>
      <w:r w:rsidR="00EE4FC3">
        <w:t xml:space="preserve">  </w:t>
      </w:r>
      <w:r w:rsidRPr="00382917">
        <w:t>After</w:t>
      </w:r>
      <w:r w:rsidR="00EE4FC3">
        <w:t xml:space="preserve"> </w:t>
      </w:r>
      <w:r w:rsidRPr="00382917">
        <w:t>the</w:t>
      </w:r>
      <w:r w:rsidR="00EE4FC3">
        <w:t xml:space="preserve"> </w:t>
      </w:r>
      <w:r w:rsidRPr="00382917">
        <w:t>passing</w:t>
      </w:r>
      <w:r w:rsidR="00EE4FC3">
        <w:t xml:space="preserve"> </w:t>
      </w:r>
      <w:r w:rsidRPr="00382917">
        <w:t>of</w:t>
      </w:r>
      <w:r w:rsidR="00EE4FC3">
        <w:t xml:space="preserve"> </w:t>
      </w:r>
      <w:r w:rsidRPr="00382917">
        <w:t>but</w:t>
      </w:r>
      <w:r w:rsidR="00EE4FC3">
        <w:t xml:space="preserve"> </w:t>
      </w:r>
      <w:r w:rsidRPr="00382917">
        <w:t>a</w:t>
      </w:r>
      <w:r w:rsidR="00EE4FC3">
        <w:t xml:space="preserve"> </w:t>
      </w:r>
      <w:r w:rsidRPr="00382917">
        <w:t>short</w:t>
      </w:r>
      <w:r w:rsidR="00EE4FC3">
        <w:t xml:space="preserve"> </w:t>
      </w:r>
      <w:r w:rsidRPr="00382917">
        <w:t>time,</w:t>
      </w:r>
      <w:r w:rsidR="00EE4FC3">
        <w:t xml:space="preserve"> </w:t>
      </w:r>
      <w:r w:rsidRPr="00382917">
        <w:t>the</w:t>
      </w:r>
      <w:r w:rsidR="00EE4FC3">
        <w:t xml:space="preserve"> </w:t>
      </w:r>
      <w:proofErr w:type="gramStart"/>
      <w:r w:rsidRPr="00382917">
        <w:t>Sa</w:t>
      </w:r>
      <w:r w:rsidR="009C713D" w:rsidRPr="00382917">
        <w:t>‘</w:t>
      </w:r>
      <w:r w:rsidRPr="00382917">
        <w:t>ídu</w:t>
      </w:r>
      <w:r w:rsidR="009C713D" w:rsidRPr="00382917">
        <w:t>’</w:t>
      </w:r>
      <w:r w:rsidRPr="00382917">
        <w:t>l</w:t>
      </w:r>
      <w:proofErr w:type="gramEnd"/>
      <w:r w:rsidR="009C713D" w:rsidRPr="00382917">
        <w:t>-‘</w:t>
      </w:r>
      <w:r w:rsidRPr="00382917">
        <w:t>Ulamá</w:t>
      </w:r>
      <w:r w:rsidR="009C713D" w:rsidRPr="00382917">
        <w:t>’</w:t>
      </w:r>
      <w:r w:rsidR="00EE4FC3">
        <w:t xml:space="preserve"> </w:t>
      </w:r>
      <w:r w:rsidRPr="00382917">
        <w:t>was</w:t>
      </w:r>
    </w:p>
    <w:p w:rsidR="00DB6293" w:rsidRPr="00382917" w:rsidRDefault="00DB6293">
      <w:pPr>
        <w:widowControl/>
        <w:kinsoku/>
        <w:overflowPunct/>
        <w:textAlignment w:val="auto"/>
      </w:pPr>
      <w:r w:rsidRPr="00382917">
        <w:br w:type="page"/>
      </w:r>
    </w:p>
    <w:p w:rsidR="00DB6293" w:rsidRPr="00382917" w:rsidRDefault="00DB6293" w:rsidP="00DB6293">
      <w:pPr>
        <w:pStyle w:val="Textcts"/>
      </w:pPr>
      <w:proofErr w:type="gramStart"/>
      <w:r w:rsidRPr="00382917">
        <w:t>struck</w:t>
      </w:r>
      <w:proofErr w:type="gramEnd"/>
      <w:r w:rsidR="00EE4FC3">
        <w:t xml:space="preserve"> </w:t>
      </w:r>
      <w:r w:rsidRPr="00382917">
        <w:t>down</w:t>
      </w:r>
      <w:r w:rsidR="00EE4FC3">
        <w:t xml:space="preserve"> </w:t>
      </w:r>
      <w:r w:rsidRPr="00382917">
        <w:t>by</w:t>
      </w:r>
      <w:r w:rsidR="00EE4FC3">
        <w:t xml:space="preserve"> </w:t>
      </w:r>
      <w:r w:rsidRPr="00382917">
        <w:t>the</w:t>
      </w:r>
      <w:r w:rsidR="00EE4FC3">
        <w:t xml:space="preserve"> </w:t>
      </w:r>
      <w:r w:rsidRPr="00382917">
        <w:t>same</w:t>
      </w:r>
      <w:r w:rsidR="00EE4FC3">
        <w:t xml:space="preserve"> </w:t>
      </w:r>
      <w:r w:rsidRPr="00382917">
        <w:t>fate</w:t>
      </w:r>
      <w:r w:rsidR="00EE4FC3">
        <w:t xml:space="preserve"> </w:t>
      </w:r>
      <w:r w:rsidRPr="00382917">
        <w:t>that</w:t>
      </w:r>
      <w:r w:rsidR="00EE4FC3">
        <w:t xml:space="preserve"> </w:t>
      </w:r>
      <w:r w:rsidRPr="00382917">
        <w:t>had</w:t>
      </w:r>
      <w:r w:rsidR="00EE4FC3">
        <w:t xml:space="preserve"> </w:t>
      </w:r>
      <w:r w:rsidRPr="00382917">
        <w:t>crushed</w:t>
      </w:r>
      <w:r w:rsidR="00EE4FC3">
        <w:t xml:space="preserve"> </w:t>
      </w:r>
      <w:r w:rsidR="00964C11" w:rsidRPr="00382917">
        <w:t>Ḥusayn</w:t>
      </w:r>
      <w:r w:rsidR="00EE4FC3">
        <w:t xml:space="preserve"> </w:t>
      </w:r>
      <w:r w:rsidR="0040329F" w:rsidRPr="0040329F">
        <w:rPr>
          <w:u w:val="single"/>
        </w:rPr>
        <w:t>Kh</w:t>
      </w:r>
      <w:r w:rsidR="0040329F" w:rsidRPr="00382917">
        <w:t>án</w:t>
      </w:r>
      <w:r w:rsidRPr="00382917">
        <w:t>,</w:t>
      </w:r>
      <w:r w:rsidR="00EE4FC3">
        <w:t xml:space="preserve"> </w:t>
      </w:r>
      <w:r w:rsidRPr="00382917">
        <w:t>Mírzá</w:t>
      </w:r>
      <w:r w:rsidR="00EE4FC3">
        <w:t xml:space="preserve"> </w:t>
      </w:r>
      <w:r w:rsidR="009C713D" w:rsidRPr="00382917">
        <w:t>‘</w:t>
      </w:r>
      <w:r w:rsidRPr="00382917">
        <w:t>Alí-Aṣghar,</w:t>
      </w:r>
      <w:r w:rsidR="00EE4FC3">
        <w:t xml:space="preserve"> </w:t>
      </w:r>
      <w:r w:rsidRPr="00382917">
        <w:t>Muḥammad</w:t>
      </w:r>
      <w:r w:rsidR="00EE4FC3">
        <w:t xml:space="preserve"> </w:t>
      </w:r>
      <w:r w:rsidR="004F6339" w:rsidRPr="004F6339">
        <w:rPr>
          <w:u w:val="single"/>
        </w:rPr>
        <w:t>Sh</w:t>
      </w:r>
      <w:r w:rsidR="004F6339" w:rsidRPr="00382917">
        <w:t>áh</w:t>
      </w:r>
      <w:r w:rsidRPr="00382917">
        <w:t>,</w:t>
      </w:r>
      <w:r w:rsidR="00EE4FC3">
        <w:t xml:space="preserve"> </w:t>
      </w:r>
      <w:r w:rsidRPr="00382917">
        <w:t>and</w:t>
      </w:r>
      <w:r w:rsidR="00EE4FC3">
        <w:t xml:space="preserve"> </w:t>
      </w:r>
      <w:r w:rsidRPr="00382917">
        <w:t>Ḥájí</w:t>
      </w:r>
      <w:r w:rsidR="00EE4FC3">
        <w:t xml:space="preserve"> </w:t>
      </w:r>
      <w:r w:rsidRPr="00382917">
        <w:t>Mírzá</w:t>
      </w:r>
      <w:r w:rsidR="00EE4FC3">
        <w:t xml:space="preserve"> </w:t>
      </w:r>
      <w:r w:rsidRPr="00382917">
        <w:t>Áqásí</w:t>
      </w:r>
      <w:r w:rsidR="00B71244">
        <w:t>.</w:t>
      </w:r>
      <w:r w:rsidR="00EE4FC3">
        <w:t xml:space="preserve">  </w:t>
      </w:r>
      <w:r w:rsidRPr="00382917">
        <w:t>Thus</w:t>
      </w:r>
      <w:r w:rsidR="00EE4FC3">
        <w:t xml:space="preserve"> </w:t>
      </w:r>
      <w:r w:rsidRPr="00382917">
        <w:t>still</w:t>
      </w:r>
      <w:r w:rsidR="00EE4FC3">
        <w:t xml:space="preserve"> </w:t>
      </w:r>
      <w:r w:rsidRPr="00382917">
        <w:t>another</w:t>
      </w:r>
      <w:r w:rsidR="00EE4FC3">
        <w:t xml:space="preserve"> </w:t>
      </w:r>
      <w:r w:rsidRPr="00382917">
        <w:t>leader</w:t>
      </w:r>
      <w:r w:rsidR="00EE4FC3">
        <w:t xml:space="preserve"> </w:t>
      </w:r>
      <w:r w:rsidRPr="00382917">
        <w:t>in</w:t>
      </w:r>
      <w:r w:rsidR="00EE4FC3">
        <w:t xml:space="preserve"> </w:t>
      </w:r>
      <w:r w:rsidRPr="00382917">
        <w:t>the</w:t>
      </w:r>
      <w:r w:rsidR="00EE4FC3">
        <w:t xml:space="preserve"> </w:t>
      </w:r>
      <w:r w:rsidRPr="00382917">
        <w:t>plot</w:t>
      </w:r>
      <w:r w:rsidR="00EE4FC3">
        <w:t xml:space="preserve"> </w:t>
      </w:r>
      <w:r w:rsidRPr="00382917">
        <w:t>against</w:t>
      </w:r>
      <w:r w:rsidR="00EE4FC3">
        <w:t xml:space="preserve"> </w:t>
      </w:r>
      <w:r w:rsidRPr="00382917">
        <w:t>the</w:t>
      </w:r>
      <w:r w:rsidR="00EE4FC3">
        <w:t xml:space="preserve"> </w:t>
      </w:r>
      <w:r w:rsidRPr="00382917">
        <w:t>Báb</w:t>
      </w:r>
      <w:r w:rsidR="00EE4FC3">
        <w:t xml:space="preserve"> </w:t>
      </w:r>
      <w:r w:rsidRPr="00382917">
        <w:t>and</w:t>
      </w:r>
      <w:r w:rsidR="00EE4FC3">
        <w:t xml:space="preserve"> </w:t>
      </w:r>
      <w:r w:rsidRPr="00382917">
        <w:t>his</w:t>
      </w:r>
      <w:r w:rsidR="00EE4FC3">
        <w:t xml:space="preserve"> </w:t>
      </w:r>
      <w:r w:rsidRPr="00382917">
        <w:t>followers</w:t>
      </w:r>
      <w:r w:rsidR="00EE4FC3">
        <w:t xml:space="preserve"> </w:t>
      </w:r>
      <w:r w:rsidRPr="00382917">
        <w:t>was</w:t>
      </w:r>
      <w:r w:rsidR="00EE4FC3">
        <w:t xml:space="preserve"> </w:t>
      </w:r>
      <w:r w:rsidRPr="00382917">
        <w:t>seized</w:t>
      </w:r>
      <w:r w:rsidR="00EE4FC3">
        <w:t xml:space="preserve"> </w:t>
      </w:r>
      <w:r w:rsidRPr="00382917">
        <w:t>in</w:t>
      </w:r>
      <w:r w:rsidR="00EE4FC3">
        <w:t xml:space="preserve"> </w:t>
      </w:r>
      <w:r w:rsidRPr="00382917">
        <w:t>the</w:t>
      </w:r>
      <w:r w:rsidR="00EE4FC3">
        <w:t xml:space="preserve"> </w:t>
      </w:r>
      <w:r w:rsidRPr="00382917">
        <w:t>grip</w:t>
      </w:r>
      <w:r w:rsidR="00EE4FC3">
        <w:t xml:space="preserve"> </w:t>
      </w:r>
      <w:r w:rsidRPr="00382917">
        <w:t>of</w:t>
      </w:r>
      <w:r w:rsidR="00EE4FC3">
        <w:t xml:space="preserve"> </w:t>
      </w:r>
      <w:r w:rsidRPr="00382917">
        <w:t>destruction.</w:t>
      </w:r>
    </w:p>
    <w:p w:rsidR="00DB6293" w:rsidRPr="00382917" w:rsidRDefault="00DB6293" w:rsidP="00DB6293">
      <w:pPr>
        <w:pStyle w:val="Text"/>
      </w:pPr>
      <w:r w:rsidRPr="00382917">
        <w:t>He</w:t>
      </w:r>
      <w:r w:rsidR="00EE4FC3">
        <w:t xml:space="preserve"> </w:t>
      </w:r>
      <w:r w:rsidRPr="00382917">
        <w:t>became</w:t>
      </w:r>
      <w:r w:rsidR="00EE4FC3">
        <w:t xml:space="preserve"> </w:t>
      </w:r>
      <w:r w:rsidRPr="00382917">
        <w:t>afflicted</w:t>
      </w:r>
      <w:r w:rsidR="00EE4FC3">
        <w:t xml:space="preserve"> </w:t>
      </w:r>
      <w:r w:rsidRPr="00382917">
        <w:t>with</w:t>
      </w:r>
      <w:r w:rsidR="00EE4FC3">
        <w:t xml:space="preserve"> </w:t>
      </w:r>
      <w:r w:rsidRPr="00382917">
        <w:t>a</w:t>
      </w:r>
      <w:r w:rsidR="00EE4FC3">
        <w:t xml:space="preserve"> </w:t>
      </w:r>
      <w:r w:rsidRPr="00382917">
        <w:t>strange</w:t>
      </w:r>
      <w:r w:rsidR="00EE4FC3">
        <w:t xml:space="preserve"> </w:t>
      </w:r>
      <w:r w:rsidRPr="00382917">
        <w:t>disease</w:t>
      </w:r>
      <w:r w:rsidR="00EE4FC3">
        <w:t xml:space="preserve"> </w:t>
      </w:r>
      <w:r w:rsidRPr="00382917">
        <w:t>for</w:t>
      </w:r>
      <w:r w:rsidR="00EE4FC3">
        <w:t xml:space="preserve"> </w:t>
      </w:r>
      <w:r w:rsidRPr="00382917">
        <w:t>which</w:t>
      </w:r>
      <w:r w:rsidR="00EE4FC3">
        <w:t xml:space="preserve"> </w:t>
      </w:r>
      <w:r w:rsidRPr="00382917">
        <w:t>there</w:t>
      </w:r>
      <w:r w:rsidR="00EE4FC3">
        <w:t xml:space="preserve"> </w:t>
      </w:r>
      <w:r w:rsidRPr="00382917">
        <w:t>was</w:t>
      </w:r>
      <w:r w:rsidR="00EE4FC3">
        <w:t xml:space="preserve"> </w:t>
      </w:r>
      <w:r w:rsidRPr="00382917">
        <w:t>no</w:t>
      </w:r>
      <w:r w:rsidR="00EE4FC3">
        <w:t xml:space="preserve"> </w:t>
      </w:r>
      <w:r w:rsidRPr="00382917">
        <w:t>cure</w:t>
      </w:r>
      <w:r w:rsidR="00B71244">
        <w:t>.</w:t>
      </w:r>
      <w:r w:rsidR="00EE4FC3">
        <w:t xml:space="preserve">  </w:t>
      </w:r>
      <w:r w:rsidRPr="00382917">
        <w:t>In</w:t>
      </w:r>
      <w:r w:rsidR="00EE4FC3">
        <w:t xml:space="preserve"> </w:t>
      </w:r>
      <w:r w:rsidRPr="00382917">
        <w:t>spite</w:t>
      </w:r>
      <w:r w:rsidR="00EE4FC3">
        <w:t xml:space="preserve"> </w:t>
      </w:r>
      <w:r w:rsidRPr="00382917">
        <w:t>of</w:t>
      </w:r>
      <w:r w:rsidR="00EE4FC3">
        <w:t xml:space="preserve"> </w:t>
      </w:r>
      <w:r w:rsidRPr="00382917">
        <w:t>the</w:t>
      </w:r>
      <w:r w:rsidR="00EE4FC3">
        <w:t xml:space="preserve"> </w:t>
      </w:r>
      <w:r w:rsidRPr="00382917">
        <w:t>furs</w:t>
      </w:r>
      <w:r w:rsidR="00EE4FC3">
        <w:t xml:space="preserve"> </w:t>
      </w:r>
      <w:r w:rsidRPr="00382917">
        <w:t>which</w:t>
      </w:r>
      <w:r w:rsidR="00EE4FC3">
        <w:t xml:space="preserve"> </w:t>
      </w:r>
      <w:r w:rsidRPr="00382917">
        <w:t>he</w:t>
      </w:r>
      <w:r w:rsidR="00EE4FC3">
        <w:t xml:space="preserve"> </w:t>
      </w:r>
      <w:r w:rsidRPr="00382917">
        <w:t>wore,</w:t>
      </w:r>
      <w:r w:rsidR="00EE4FC3">
        <w:t xml:space="preserve"> </w:t>
      </w:r>
      <w:r w:rsidRPr="00382917">
        <w:t>in</w:t>
      </w:r>
      <w:r w:rsidR="00EE4FC3">
        <w:t xml:space="preserve"> </w:t>
      </w:r>
      <w:r w:rsidRPr="00382917">
        <w:t>spite</w:t>
      </w:r>
      <w:r w:rsidR="00EE4FC3">
        <w:t xml:space="preserve"> </w:t>
      </w:r>
      <w:r w:rsidRPr="00382917">
        <w:t>of</w:t>
      </w:r>
      <w:r w:rsidR="00EE4FC3">
        <w:t xml:space="preserve"> </w:t>
      </w:r>
      <w:r w:rsidRPr="00382917">
        <w:t>the</w:t>
      </w:r>
      <w:r w:rsidR="00EE4FC3">
        <w:t xml:space="preserve"> </w:t>
      </w:r>
      <w:r w:rsidRPr="00382917">
        <w:t>fire</w:t>
      </w:r>
      <w:r w:rsidR="00EE4FC3">
        <w:t xml:space="preserve"> </w:t>
      </w:r>
      <w:r w:rsidRPr="00382917">
        <w:t>which</w:t>
      </w:r>
      <w:r w:rsidR="00EE4FC3">
        <w:t xml:space="preserve"> </w:t>
      </w:r>
      <w:r w:rsidRPr="00382917">
        <w:t>burned</w:t>
      </w:r>
      <w:r w:rsidR="00EE4FC3">
        <w:t xml:space="preserve"> </w:t>
      </w:r>
      <w:r w:rsidRPr="00382917">
        <w:t>constantly</w:t>
      </w:r>
      <w:r w:rsidR="00EE4FC3">
        <w:t xml:space="preserve"> </w:t>
      </w:r>
      <w:r w:rsidRPr="00382917">
        <w:t>in</w:t>
      </w:r>
      <w:r w:rsidR="00EE4FC3">
        <w:t xml:space="preserve"> </w:t>
      </w:r>
      <w:r w:rsidRPr="00382917">
        <w:t>his</w:t>
      </w:r>
      <w:r w:rsidR="00EE4FC3">
        <w:t xml:space="preserve"> </w:t>
      </w:r>
      <w:r w:rsidRPr="00382917">
        <w:t>room,</w:t>
      </w:r>
      <w:r w:rsidR="00EE4FC3">
        <w:t xml:space="preserve"> </w:t>
      </w:r>
      <w:r w:rsidRPr="00382917">
        <w:t>he</w:t>
      </w:r>
      <w:r w:rsidR="00EE4FC3">
        <w:t xml:space="preserve"> </w:t>
      </w:r>
      <w:r w:rsidRPr="00382917">
        <w:t>could</w:t>
      </w:r>
      <w:r w:rsidR="00EE4FC3">
        <w:t xml:space="preserve"> </w:t>
      </w:r>
      <w:r w:rsidRPr="00382917">
        <w:t>never</w:t>
      </w:r>
      <w:r w:rsidR="00EE4FC3">
        <w:t xml:space="preserve"> </w:t>
      </w:r>
      <w:r w:rsidRPr="00382917">
        <w:t>become</w:t>
      </w:r>
      <w:r w:rsidR="00EE4FC3">
        <w:t xml:space="preserve"> </w:t>
      </w:r>
      <w:r w:rsidRPr="00382917">
        <w:t>warm</w:t>
      </w:r>
      <w:r w:rsidR="00B71244">
        <w:t>.</w:t>
      </w:r>
      <w:r w:rsidR="00EE4FC3">
        <w:t xml:space="preserve">  </w:t>
      </w:r>
      <w:r w:rsidRPr="00382917">
        <w:t>Even</w:t>
      </w:r>
      <w:r w:rsidR="00EE4FC3">
        <w:t xml:space="preserve"> </w:t>
      </w:r>
      <w:r w:rsidRPr="00382917">
        <w:t>as</w:t>
      </w:r>
      <w:r w:rsidR="00EE4FC3">
        <w:t xml:space="preserve"> </w:t>
      </w:r>
      <w:r w:rsidRPr="00382917">
        <w:t>he</w:t>
      </w:r>
      <w:r w:rsidR="00EE4FC3">
        <w:t xml:space="preserve"> </w:t>
      </w:r>
      <w:r w:rsidRPr="00382917">
        <w:t>trembled</w:t>
      </w:r>
      <w:r w:rsidR="00EE4FC3">
        <w:t xml:space="preserve"> </w:t>
      </w:r>
      <w:r w:rsidRPr="00382917">
        <w:t>with</w:t>
      </w:r>
      <w:r w:rsidR="00EE4FC3">
        <w:t xml:space="preserve"> </w:t>
      </w:r>
      <w:r w:rsidRPr="00382917">
        <w:t>the</w:t>
      </w:r>
      <w:r w:rsidR="00EE4FC3">
        <w:t xml:space="preserve"> </w:t>
      </w:r>
      <w:r w:rsidRPr="00382917">
        <w:t>cold,</w:t>
      </w:r>
      <w:r w:rsidR="00EE4FC3">
        <w:t xml:space="preserve"> </w:t>
      </w:r>
      <w:r w:rsidRPr="00382917">
        <w:t>his</w:t>
      </w:r>
      <w:r w:rsidR="00EE4FC3">
        <w:t xml:space="preserve"> </w:t>
      </w:r>
      <w:r w:rsidRPr="00382917">
        <w:t>fever</w:t>
      </w:r>
      <w:r w:rsidR="00EE4FC3">
        <w:t xml:space="preserve"> </w:t>
      </w:r>
      <w:r w:rsidRPr="00382917">
        <w:t>was</w:t>
      </w:r>
      <w:r w:rsidR="00EE4FC3">
        <w:t xml:space="preserve"> </w:t>
      </w:r>
      <w:r w:rsidRPr="00382917">
        <w:t>so</w:t>
      </w:r>
      <w:r w:rsidR="00EE4FC3">
        <w:t xml:space="preserve"> </w:t>
      </w:r>
      <w:r w:rsidRPr="00382917">
        <w:t>high</w:t>
      </w:r>
      <w:r w:rsidR="00EE4FC3">
        <w:t xml:space="preserve"> </w:t>
      </w:r>
      <w:r w:rsidRPr="00382917">
        <w:t>that</w:t>
      </w:r>
      <w:r w:rsidR="00EE4FC3">
        <w:t xml:space="preserve"> </w:t>
      </w:r>
      <w:r w:rsidRPr="00382917">
        <w:t>nothing</w:t>
      </w:r>
      <w:r w:rsidR="00EE4FC3">
        <w:t xml:space="preserve"> </w:t>
      </w:r>
      <w:r w:rsidRPr="00382917">
        <w:t>could</w:t>
      </w:r>
      <w:r w:rsidR="00EE4FC3">
        <w:t xml:space="preserve"> </w:t>
      </w:r>
      <w:r w:rsidRPr="00382917">
        <w:t>quench</w:t>
      </w:r>
      <w:r w:rsidR="00EE4FC3">
        <w:t xml:space="preserve"> </w:t>
      </w:r>
      <w:r w:rsidRPr="00382917">
        <w:t>his</w:t>
      </w:r>
      <w:r w:rsidR="00EE4FC3">
        <w:t xml:space="preserve"> </w:t>
      </w:r>
      <w:r w:rsidRPr="00382917">
        <w:t>burning</w:t>
      </w:r>
      <w:r w:rsidR="00EE4FC3">
        <w:t xml:space="preserve"> </w:t>
      </w:r>
      <w:r w:rsidRPr="00382917">
        <w:t>thirst.</w:t>
      </w:r>
    </w:p>
    <w:p w:rsidR="00DB6293" w:rsidRPr="00382917" w:rsidRDefault="00DB6293" w:rsidP="00DB6293">
      <w:pPr>
        <w:pStyle w:val="Text"/>
      </w:pPr>
      <w:r w:rsidRPr="00382917">
        <w:t>He</w:t>
      </w:r>
      <w:r w:rsidR="00EE4FC3">
        <w:t xml:space="preserve"> </w:t>
      </w:r>
      <w:r w:rsidRPr="00382917">
        <w:t>died</w:t>
      </w:r>
      <w:r w:rsidR="00EE4FC3">
        <w:t xml:space="preserve"> </w:t>
      </w:r>
      <w:r w:rsidRPr="00382917">
        <w:t>of</w:t>
      </w:r>
      <w:r w:rsidR="00EE4FC3">
        <w:t xml:space="preserve"> </w:t>
      </w:r>
      <w:r w:rsidRPr="00382917">
        <w:t>his</w:t>
      </w:r>
      <w:r w:rsidR="00EE4FC3">
        <w:t xml:space="preserve"> </w:t>
      </w:r>
      <w:r w:rsidRPr="00382917">
        <w:t>illness,</w:t>
      </w:r>
      <w:r w:rsidR="00EE4FC3">
        <w:t xml:space="preserve"> </w:t>
      </w:r>
      <w:r w:rsidRPr="00382917">
        <w:t>and</w:t>
      </w:r>
      <w:r w:rsidR="00EE4FC3">
        <w:t xml:space="preserve"> </w:t>
      </w:r>
      <w:r w:rsidRPr="00382917">
        <w:t>his</w:t>
      </w:r>
      <w:r w:rsidR="00EE4FC3">
        <w:t xml:space="preserve"> </w:t>
      </w:r>
      <w:r w:rsidRPr="00382917">
        <w:t>beautiful</w:t>
      </w:r>
      <w:r w:rsidR="00EE4FC3">
        <w:t xml:space="preserve"> </w:t>
      </w:r>
      <w:r w:rsidRPr="00382917">
        <w:t>house</w:t>
      </w:r>
      <w:r w:rsidR="00EE4FC3">
        <w:t xml:space="preserve"> </w:t>
      </w:r>
      <w:r w:rsidRPr="00382917">
        <w:t>was</w:t>
      </w:r>
      <w:r w:rsidR="00EE4FC3">
        <w:t xml:space="preserve"> </w:t>
      </w:r>
      <w:r w:rsidRPr="00382917">
        <w:t>abandoned</w:t>
      </w:r>
      <w:r w:rsidR="00EE4FC3">
        <w:t xml:space="preserve"> </w:t>
      </w:r>
      <w:r w:rsidRPr="00382917">
        <w:t>until</w:t>
      </w:r>
      <w:r w:rsidR="00EE4FC3">
        <w:t xml:space="preserve"> </w:t>
      </w:r>
      <w:r w:rsidRPr="00382917">
        <w:t>it</w:t>
      </w:r>
      <w:r w:rsidR="00EE4FC3">
        <w:t xml:space="preserve"> </w:t>
      </w:r>
      <w:r w:rsidRPr="00382917">
        <w:t>crumbled</w:t>
      </w:r>
      <w:r w:rsidR="00EE4FC3">
        <w:t xml:space="preserve"> </w:t>
      </w:r>
      <w:r w:rsidRPr="00382917">
        <w:t>into</w:t>
      </w:r>
      <w:r w:rsidR="00EE4FC3">
        <w:t xml:space="preserve"> </w:t>
      </w:r>
      <w:r w:rsidRPr="00382917">
        <w:t>ruins</w:t>
      </w:r>
      <w:r w:rsidR="00B71244">
        <w:t>.</w:t>
      </w:r>
      <w:r w:rsidR="00EE4FC3">
        <w:t xml:space="preserve">  </w:t>
      </w:r>
      <w:r w:rsidRPr="00382917">
        <w:t>Little</w:t>
      </w:r>
      <w:r w:rsidR="00EE4FC3">
        <w:t xml:space="preserve"> </w:t>
      </w:r>
      <w:r w:rsidRPr="00382917">
        <w:t>by</w:t>
      </w:r>
      <w:r w:rsidR="00EE4FC3">
        <w:t xml:space="preserve"> </w:t>
      </w:r>
      <w:r w:rsidRPr="00382917">
        <w:t>little</w:t>
      </w:r>
      <w:r w:rsidR="00EE4FC3">
        <w:t xml:space="preserve"> </w:t>
      </w:r>
      <w:r w:rsidRPr="00382917">
        <w:t>the</w:t>
      </w:r>
      <w:r w:rsidR="00EE4FC3">
        <w:t xml:space="preserve"> </w:t>
      </w:r>
      <w:r w:rsidRPr="00382917">
        <w:t>practice</w:t>
      </w:r>
      <w:r w:rsidR="00EE4FC3">
        <w:t xml:space="preserve"> </w:t>
      </w:r>
      <w:r w:rsidRPr="00382917">
        <w:t>grew</w:t>
      </w:r>
      <w:r w:rsidR="00EE4FC3">
        <w:t xml:space="preserve"> </w:t>
      </w:r>
      <w:r w:rsidRPr="00382917">
        <w:t>of</w:t>
      </w:r>
      <w:r w:rsidR="00EE4FC3">
        <w:t xml:space="preserve"> </w:t>
      </w:r>
      <w:r w:rsidRPr="00382917">
        <w:t>dumping</w:t>
      </w:r>
      <w:r w:rsidR="00EE4FC3">
        <w:t xml:space="preserve"> </w:t>
      </w:r>
      <w:r w:rsidRPr="00382917">
        <w:t>refuse</w:t>
      </w:r>
      <w:r w:rsidR="00EE4FC3">
        <w:t xml:space="preserve"> </w:t>
      </w:r>
      <w:r w:rsidRPr="00382917">
        <w:t>upon</w:t>
      </w:r>
      <w:r w:rsidR="00EE4FC3">
        <w:t xml:space="preserve"> </w:t>
      </w:r>
      <w:r w:rsidRPr="00382917">
        <w:t>the</w:t>
      </w:r>
      <w:r w:rsidR="00EE4FC3">
        <w:t xml:space="preserve"> </w:t>
      </w:r>
      <w:r w:rsidRPr="00382917">
        <w:t>site</w:t>
      </w:r>
      <w:r w:rsidR="00EE4FC3">
        <w:t xml:space="preserve"> </w:t>
      </w:r>
      <w:r w:rsidRPr="00382917">
        <w:t>where</w:t>
      </w:r>
      <w:r w:rsidR="00EE4FC3">
        <w:t xml:space="preserve"> </w:t>
      </w:r>
      <w:r w:rsidRPr="00382917">
        <w:t>it</w:t>
      </w:r>
      <w:r w:rsidR="00EE4FC3">
        <w:t xml:space="preserve"> </w:t>
      </w:r>
      <w:r w:rsidRPr="00382917">
        <w:t>had</w:t>
      </w:r>
      <w:r w:rsidR="00EE4FC3">
        <w:t xml:space="preserve"> </w:t>
      </w:r>
      <w:r w:rsidRPr="00382917">
        <w:t>once</w:t>
      </w:r>
      <w:r w:rsidR="00EE4FC3">
        <w:t xml:space="preserve"> </w:t>
      </w:r>
      <w:r w:rsidRPr="00382917">
        <w:t>so</w:t>
      </w:r>
      <w:r w:rsidR="00EE4FC3">
        <w:t xml:space="preserve"> </w:t>
      </w:r>
      <w:r w:rsidRPr="00382917">
        <w:t>proudly</w:t>
      </w:r>
      <w:r w:rsidR="00EE4FC3">
        <w:t xml:space="preserve"> </w:t>
      </w:r>
      <w:r w:rsidRPr="00382917">
        <w:t>stood.</w:t>
      </w:r>
    </w:p>
    <w:p w:rsidR="00E13D49" w:rsidRPr="00382917" w:rsidRDefault="00DB6293" w:rsidP="00BE13DE">
      <w:pPr>
        <w:pStyle w:val="Text"/>
      </w:pPr>
      <w:r w:rsidRPr="00382917">
        <w:t>Nicolas</w:t>
      </w:r>
      <w:r w:rsidR="00EE4FC3">
        <w:t xml:space="preserve"> </w:t>
      </w:r>
      <w:r w:rsidRPr="00382917">
        <w:t>points</w:t>
      </w:r>
      <w:r w:rsidR="00EE4FC3">
        <w:t xml:space="preserve"> </w:t>
      </w:r>
      <w:r w:rsidRPr="00382917">
        <w:t>out</w:t>
      </w:r>
      <w:r w:rsidR="00EE4FC3">
        <w:t xml:space="preserve"> </w:t>
      </w:r>
      <w:r w:rsidRPr="00382917">
        <w:t>in</w:t>
      </w:r>
      <w:r w:rsidR="00EE4FC3">
        <w:t xml:space="preserve"> </w:t>
      </w:r>
      <w:r w:rsidRPr="00382917">
        <w:t>his</w:t>
      </w:r>
      <w:r w:rsidR="00EE4FC3">
        <w:t xml:space="preserve"> </w:t>
      </w:r>
      <w:r w:rsidRPr="00382917">
        <w:t>history,</w:t>
      </w:r>
      <w:r w:rsidR="00EE4FC3">
        <w:t xml:space="preserve"> </w:t>
      </w:r>
      <w:r w:rsidR="009C713D" w:rsidRPr="00382917">
        <w:t>“</w:t>
      </w:r>
      <w:r w:rsidRPr="00382917">
        <w:t>This</w:t>
      </w:r>
      <w:r w:rsidR="00EE4FC3">
        <w:t xml:space="preserve"> </w:t>
      </w:r>
      <w:r w:rsidRPr="00382917">
        <w:t>so</w:t>
      </w:r>
      <w:r w:rsidR="00EE4FC3">
        <w:t xml:space="preserve"> </w:t>
      </w:r>
      <w:r w:rsidRPr="00382917">
        <w:t>impressed</w:t>
      </w:r>
      <w:r w:rsidR="00EE4FC3">
        <w:t xml:space="preserve"> </w:t>
      </w:r>
      <w:r w:rsidRPr="00382917">
        <w:t>the</w:t>
      </w:r>
      <w:r w:rsidR="00EE4FC3">
        <w:t xml:space="preserve"> </w:t>
      </w:r>
      <w:r w:rsidRPr="00382917">
        <w:t>people</w:t>
      </w:r>
      <w:r w:rsidR="00EE4FC3">
        <w:t xml:space="preserve"> </w:t>
      </w:r>
      <w:r w:rsidRPr="00382917">
        <w:t>[of</w:t>
      </w:r>
      <w:r w:rsidR="00EE4FC3">
        <w:t xml:space="preserve"> </w:t>
      </w:r>
      <w:r w:rsidRPr="00382917">
        <w:t>that</w:t>
      </w:r>
      <w:r w:rsidR="00EE4FC3">
        <w:t xml:space="preserve"> </w:t>
      </w:r>
      <w:r w:rsidRPr="00382917">
        <w:t>district]</w:t>
      </w:r>
      <w:r w:rsidR="00EE4FC3">
        <w:t xml:space="preserve"> </w:t>
      </w:r>
      <w:r w:rsidRPr="00382917">
        <w:t>that</w:t>
      </w:r>
      <w:r w:rsidR="00EE4FC3">
        <w:t xml:space="preserve"> </w:t>
      </w:r>
      <w:r w:rsidRPr="00382917">
        <w:t>when</w:t>
      </w:r>
      <w:r w:rsidR="00EE4FC3">
        <w:t xml:space="preserve"> </w:t>
      </w:r>
      <w:r w:rsidRPr="00382917">
        <w:t>they</w:t>
      </w:r>
      <w:r w:rsidR="00EE4FC3">
        <w:t xml:space="preserve"> </w:t>
      </w:r>
      <w:r w:rsidRPr="00382917">
        <w:t>quarrel</w:t>
      </w:r>
      <w:r w:rsidR="00EE4FC3">
        <w:t xml:space="preserve"> </w:t>
      </w:r>
      <w:r w:rsidRPr="00382917">
        <w:t>among</w:t>
      </w:r>
      <w:r w:rsidR="00EE4FC3">
        <w:t xml:space="preserve"> </w:t>
      </w:r>
      <w:r w:rsidRPr="00382917">
        <w:t>themselves,</w:t>
      </w:r>
      <w:r w:rsidR="00EE4FC3">
        <w:t xml:space="preserve"> </w:t>
      </w:r>
      <w:r w:rsidRPr="00382917">
        <w:t>the</w:t>
      </w:r>
      <w:r w:rsidR="00EE4FC3">
        <w:t xml:space="preserve"> </w:t>
      </w:r>
      <w:r w:rsidRPr="00382917">
        <w:t>final</w:t>
      </w:r>
      <w:r w:rsidR="00EE4FC3">
        <w:t xml:space="preserve"> </w:t>
      </w:r>
      <w:r w:rsidRPr="00382917">
        <w:t>insult</w:t>
      </w:r>
      <w:r w:rsidR="00EE4FC3">
        <w:t xml:space="preserve"> </w:t>
      </w:r>
      <w:r w:rsidRPr="00382917">
        <w:t>frequently</w:t>
      </w:r>
      <w:r w:rsidR="00EE4FC3">
        <w:t xml:space="preserve"> </w:t>
      </w:r>
      <w:r w:rsidRPr="00382917">
        <w:t>is,</w:t>
      </w:r>
      <w:r w:rsidR="00EE4FC3">
        <w:t xml:space="preserve"> </w:t>
      </w:r>
      <w:r w:rsidR="009C713D" w:rsidRPr="00382917">
        <w:t>‘</w:t>
      </w:r>
      <w:r w:rsidRPr="00382917">
        <w:t>May</w:t>
      </w:r>
      <w:r w:rsidR="00EE4FC3">
        <w:t xml:space="preserve"> </w:t>
      </w:r>
      <w:r w:rsidRPr="00382917">
        <w:t>thy</w:t>
      </w:r>
      <w:r w:rsidR="00EE4FC3">
        <w:t xml:space="preserve"> </w:t>
      </w:r>
      <w:r w:rsidRPr="00382917">
        <w:t>house</w:t>
      </w:r>
      <w:r w:rsidR="00EE4FC3">
        <w:t xml:space="preserve"> </w:t>
      </w:r>
      <w:r w:rsidRPr="00382917">
        <w:t>meet</w:t>
      </w:r>
      <w:r w:rsidR="00EE4FC3">
        <w:t xml:space="preserve"> </w:t>
      </w:r>
      <w:r w:rsidRPr="00382917">
        <w:t>the</w:t>
      </w:r>
      <w:r w:rsidR="00EE4FC3">
        <w:t xml:space="preserve"> </w:t>
      </w:r>
      <w:r w:rsidRPr="00382917">
        <w:t>same</w:t>
      </w:r>
      <w:r w:rsidR="00EE4FC3">
        <w:t xml:space="preserve"> </w:t>
      </w:r>
      <w:r w:rsidRPr="00382917">
        <w:t>fate</w:t>
      </w:r>
      <w:r w:rsidR="00EE4FC3">
        <w:t xml:space="preserve"> </w:t>
      </w:r>
      <w:r w:rsidRPr="00382917">
        <w:t>as</w:t>
      </w:r>
      <w:r w:rsidR="00EE4FC3">
        <w:t xml:space="preserve"> </w:t>
      </w:r>
      <w:r w:rsidRPr="00382917">
        <w:t>the</w:t>
      </w:r>
      <w:r w:rsidR="00EE4FC3">
        <w:t xml:space="preserve"> </w:t>
      </w:r>
      <w:r w:rsidRPr="00382917">
        <w:t>house</w:t>
      </w:r>
      <w:r w:rsidR="00EE4FC3">
        <w:t xml:space="preserve"> </w:t>
      </w:r>
      <w:r w:rsidRPr="00382917">
        <w:t>of</w:t>
      </w:r>
      <w:r w:rsidR="00EE4FC3">
        <w:t xml:space="preserve"> </w:t>
      </w:r>
      <w:r w:rsidRPr="00382917">
        <w:t>the</w:t>
      </w:r>
      <w:r w:rsidR="00EE4FC3">
        <w:t xml:space="preserve"> </w:t>
      </w:r>
      <w:r w:rsidRPr="00382917">
        <w:t>Sa</w:t>
      </w:r>
      <w:r w:rsidR="009C713D" w:rsidRPr="00382917">
        <w:t>‘</w:t>
      </w:r>
      <w:r w:rsidRPr="00382917">
        <w:t>ídu</w:t>
      </w:r>
      <w:r w:rsidR="009C713D" w:rsidRPr="00382917">
        <w:t>’</w:t>
      </w:r>
      <w:r w:rsidRPr="00382917">
        <w:t>l</w:t>
      </w:r>
      <w:r w:rsidR="009C713D" w:rsidRPr="00382917">
        <w:t>-‘</w:t>
      </w:r>
      <w:r w:rsidRPr="00382917">
        <w:t>Ulamá</w:t>
      </w:r>
      <w:r w:rsidR="009C713D" w:rsidRPr="00382917">
        <w:t>’</w:t>
      </w:r>
      <w:r w:rsidRPr="00382917">
        <w:t>!</w:t>
      </w:r>
      <w:r w:rsidR="009C713D" w:rsidRPr="00382917">
        <w:t>’”</w:t>
      </w:r>
      <w:r w:rsidR="00BE13DE">
        <w:rPr>
          <w:rStyle w:val="FootnoteReference"/>
        </w:rPr>
        <w:footnoteReference w:id="128"/>
      </w:r>
    </w:p>
    <w:p w:rsidR="00DB6293" w:rsidRPr="00382917" w:rsidRDefault="00DB6293" w:rsidP="00DB6293">
      <w:pPr>
        <w:pStyle w:val="Text"/>
      </w:pPr>
      <w:r w:rsidRPr="00382917">
        <w:t>The</w:t>
      </w:r>
      <w:r w:rsidR="00EE4FC3">
        <w:t xml:space="preserve"> </w:t>
      </w:r>
      <w:r w:rsidRPr="00382917">
        <w:t>news</w:t>
      </w:r>
      <w:r w:rsidR="00EE4FC3">
        <w:t xml:space="preserve"> </w:t>
      </w:r>
      <w:r w:rsidRPr="00382917">
        <w:t>of</w:t>
      </w:r>
      <w:r w:rsidR="00EE4FC3">
        <w:t xml:space="preserve"> </w:t>
      </w:r>
      <w:r w:rsidRPr="00382917">
        <w:t>the</w:t>
      </w:r>
      <w:r w:rsidR="00EE4FC3">
        <w:t xml:space="preserve"> </w:t>
      </w:r>
      <w:r w:rsidRPr="00382917">
        <w:t>tragic</w:t>
      </w:r>
      <w:r w:rsidR="00EE4FC3">
        <w:t xml:space="preserve"> </w:t>
      </w:r>
      <w:r w:rsidRPr="00382917">
        <w:t>fate</w:t>
      </w:r>
      <w:r w:rsidR="00EE4FC3">
        <w:t xml:space="preserve"> </w:t>
      </w:r>
      <w:r w:rsidRPr="00382917">
        <w:t>which</w:t>
      </w:r>
      <w:r w:rsidR="00EE4FC3">
        <w:t xml:space="preserve"> </w:t>
      </w:r>
      <w:r w:rsidRPr="00382917">
        <w:t>had</w:t>
      </w:r>
      <w:r w:rsidR="00EE4FC3">
        <w:t xml:space="preserve"> </w:t>
      </w:r>
      <w:r w:rsidRPr="00382917">
        <w:t>overtaken</w:t>
      </w:r>
      <w:r w:rsidR="00EE4FC3">
        <w:t xml:space="preserve"> </w:t>
      </w:r>
      <w:r w:rsidRPr="00382917">
        <w:t>the</w:t>
      </w:r>
      <w:r w:rsidR="00EE4FC3">
        <w:t xml:space="preserve"> </w:t>
      </w:r>
      <w:r w:rsidRPr="00382917">
        <w:t>heroes</w:t>
      </w:r>
      <w:r w:rsidR="00EE4FC3">
        <w:t xml:space="preserve"> </w:t>
      </w:r>
      <w:r w:rsidRPr="00382917">
        <w:t>of</w:t>
      </w:r>
      <w:r w:rsidR="00EE4FC3">
        <w:t xml:space="preserve"> </w:t>
      </w:r>
      <w:r w:rsidRPr="00382917">
        <w:t>Ṭabarsí</w:t>
      </w:r>
      <w:r w:rsidR="00EE4FC3">
        <w:t xml:space="preserve"> </w:t>
      </w:r>
      <w:r w:rsidRPr="00382917">
        <w:t>reached</w:t>
      </w:r>
      <w:r w:rsidR="00EE4FC3">
        <w:t xml:space="preserve"> </w:t>
      </w:r>
      <w:r w:rsidRPr="00382917">
        <w:t>the</w:t>
      </w:r>
      <w:r w:rsidR="00EE4FC3">
        <w:t xml:space="preserve"> </w:t>
      </w:r>
      <w:r w:rsidRPr="00382917">
        <w:t>Báb</w:t>
      </w:r>
      <w:r w:rsidR="00EE4FC3">
        <w:t xml:space="preserve"> </w:t>
      </w:r>
      <w:r w:rsidRPr="00382917">
        <w:t>in</w:t>
      </w:r>
      <w:r w:rsidR="00EE4FC3">
        <w:t xml:space="preserve"> </w:t>
      </w:r>
      <w:r w:rsidRPr="00382917">
        <w:t>His</w:t>
      </w:r>
      <w:r w:rsidR="00EE4FC3">
        <w:t xml:space="preserve"> </w:t>
      </w:r>
      <w:r w:rsidRPr="00382917">
        <w:t>prison</w:t>
      </w:r>
      <w:r w:rsidR="00EE4FC3">
        <w:t xml:space="preserve"> </w:t>
      </w:r>
      <w:r w:rsidRPr="00382917">
        <w:t>at</w:t>
      </w:r>
      <w:r w:rsidR="00EE4FC3">
        <w:t xml:space="preserve"> </w:t>
      </w:r>
      <w:r w:rsidR="001713B3" w:rsidRPr="001713B3">
        <w:rPr>
          <w:u w:val="single"/>
        </w:rPr>
        <w:t>Ch</w:t>
      </w:r>
      <w:r w:rsidR="001713B3" w:rsidRPr="00382917">
        <w:t>ihríq</w:t>
      </w:r>
      <w:r w:rsidR="00B71244">
        <w:t>.</w:t>
      </w:r>
      <w:r w:rsidR="00EE4FC3">
        <w:t xml:space="preserve">  </w:t>
      </w:r>
      <w:r w:rsidRPr="00382917">
        <w:t>It</w:t>
      </w:r>
      <w:r w:rsidR="00EE4FC3">
        <w:t xml:space="preserve"> </w:t>
      </w:r>
      <w:r w:rsidRPr="00382917">
        <w:t>brought</w:t>
      </w:r>
      <w:r w:rsidR="00EE4FC3">
        <w:t xml:space="preserve"> </w:t>
      </w:r>
      <w:r w:rsidRPr="00382917">
        <w:t>great</w:t>
      </w:r>
      <w:r w:rsidR="00EE4FC3">
        <w:t xml:space="preserve"> </w:t>
      </w:r>
      <w:r w:rsidRPr="00382917">
        <w:t>sadness</w:t>
      </w:r>
      <w:r w:rsidR="00EE4FC3">
        <w:t xml:space="preserve"> </w:t>
      </w:r>
      <w:r w:rsidRPr="00382917">
        <w:t>to</w:t>
      </w:r>
      <w:r w:rsidR="00EE4FC3">
        <w:t xml:space="preserve"> </w:t>
      </w:r>
      <w:r w:rsidRPr="00382917">
        <w:t>His</w:t>
      </w:r>
      <w:r w:rsidR="00EE4FC3">
        <w:t xml:space="preserve"> </w:t>
      </w:r>
      <w:r w:rsidRPr="00382917">
        <w:t>heart</w:t>
      </w:r>
      <w:r w:rsidR="00B71244">
        <w:t>.</w:t>
      </w:r>
      <w:r w:rsidR="00EE4FC3">
        <w:t xml:space="preserve">  </w:t>
      </w:r>
      <w:r w:rsidRPr="00382917">
        <w:t>He</w:t>
      </w:r>
      <w:r w:rsidR="00EE4FC3">
        <w:t xml:space="preserve"> </w:t>
      </w:r>
      <w:r w:rsidRPr="00382917">
        <w:t>penned</w:t>
      </w:r>
      <w:r w:rsidR="00EE4FC3">
        <w:t xml:space="preserve"> </w:t>
      </w:r>
      <w:r w:rsidRPr="00382917">
        <w:t>a</w:t>
      </w:r>
      <w:r w:rsidR="00EE4FC3">
        <w:t xml:space="preserve"> </w:t>
      </w:r>
      <w:r w:rsidRPr="00382917">
        <w:t>eulogy</w:t>
      </w:r>
      <w:r w:rsidR="00EE4FC3">
        <w:t xml:space="preserve"> </w:t>
      </w:r>
      <w:r w:rsidRPr="00382917">
        <w:t>in</w:t>
      </w:r>
      <w:r w:rsidR="00EE4FC3">
        <w:t xml:space="preserve"> </w:t>
      </w:r>
      <w:proofErr w:type="spellStart"/>
      <w:r w:rsidRPr="00382917">
        <w:t>honor</w:t>
      </w:r>
      <w:proofErr w:type="spellEnd"/>
      <w:r w:rsidR="00EE4FC3">
        <w:t xml:space="preserve"> </w:t>
      </w:r>
      <w:r w:rsidRPr="00382917">
        <w:t>of</w:t>
      </w:r>
      <w:r w:rsidR="00EE4FC3">
        <w:t xml:space="preserve"> </w:t>
      </w:r>
      <w:r w:rsidRPr="00382917">
        <w:t>Quddús</w:t>
      </w:r>
      <w:r w:rsidR="00EE4FC3">
        <w:t xml:space="preserve"> </w:t>
      </w:r>
      <w:r w:rsidRPr="00382917">
        <w:t>and</w:t>
      </w:r>
      <w:r w:rsidR="00EE4FC3">
        <w:t xml:space="preserve"> </w:t>
      </w:r>
      <w:r w:rsidRPr="00382917">
        <w:t>Mullá</w:t>
      </w:r>
      <w:r w:rsidR="00EE4FC3">
        <w:t xml:space="preserve"> </w:t>
      </w:r>
      <w:r w:rsidR="00964C11" w:rsidRPr="00382917">
        <w:t>Ḥusayn</w:t>
      </w:r>
      <w:r w:rsidR="00B71244">
        <w:t>.</w:t>
      </w:r>
      <w:r w:rsidR="00EE4FC3">
        <w:t xml:space="preserve">  </w:t>
      </w:r>
      <w:r w:rsidRPr="00382917">
        <w:t>In</w:t>
      </w:r>
      <w:r w:rsidR="00EE4FC3">
        <w:t xml:space="preserve"> </w:t>
      </w:r>
      <w:r w:rsidRPr="00382917">
        <w:t>it</w:t>
      </w:r>
      <w:r w:rsidR="00EE4FC3">
        <w:t xml:space="preserve"> </w:t>
      </w:r>
      <w:r w:rsidRPr="00382917">
        <w:t>He</w:t>
      </w:r>
      <w:r w:rsidR="00EE4FC3">
        <w:t xml:space="preserve"> </w:t>
      </w:r>
      <w:r w:rsidRPr="00382917">
        <w:t>wrote</w:t>
      </w:r>
      <w:r w:rsidR="00EE4FC3">
        <w:t xml:space="preserve"> </w:t>
      </w:r>
      <w:r w:rsidRPr="00382917">
        <w:t>that</w:t>
      </w:r>
      <w:r w:rsidR="00EE4FC3">
        <w:t xml:space="preserve"> </w:t>
      </w:r>
      <w:r w:rsidRPr="00382917">
        <w:t>He,</w:t>
      </w:r>
      <w:r w:rsidR="00EE4FC3">
        <w:t xml:space="preserve"> </w:t>
      </w:r>
      <w:r w:rsidRPr="00382917">
        <w:t>too,</w:t>
      </w:r>
      <w:r w:rsidR="00EE4FC3">
        <w:t xml:space="preserve"> </w:t>
      </w:r>
      <w:r w:rsidRPr="00382917">
        <w:t>would</w:t>
      </w:r>
      <w:r w:rsidR="00EE4FC3">
        <w:t xml:space="preserve"> </w:t>
      </w:r>
      <w:r w:rsidRPr="00382917">
        <w:t>soon</w:t>
      </w:r>
      <w:r w:rsidR="00EE4FC3">
        <w:t xml:space="preserve"> </w:t>
      </w:r>
      <w:r w:rsidRPr="00382917">
        <w:t>join</w:t>
      </w:r>
      <w:r w:rsidR="00EE4FC3">
        <w:t xml:space="preserve"> </w:t>
      </w:r>
      <w:r w:rsidRPr="00382917">
        <w:t>these</w:t>
      </w:r>
      <w:r w:rsidR="00EE4FC3">
        <w:t xml:space="preserve"> </w:t>
      </w:r>
      <w:r w:rsidRPr="00382917">
        <w:t>twin</w:t>
      </w:r>
      <w:r w:rsidR="00EE4FC3">
        <w:t xml:space="preserve"> </w:t>
      </w:r>
      <w:r w:rsidRPr="00382917">
        <w:t>immortals;</w:t>
      </w:r>
      <w:r w:rsidR="00EE4FC3">
        <w:t xml:space="preserve"> </w:t>
      </w:r>
      <w:r w:rsidRPr="00382917">
        <w:t>each</w:t>
      </w:r>
      <w:r w:rsidR="00EE4FC3">
        <w:t xml:space="preserve"> </w:t>
      </w:r>
      <w:r w:rsidRPr="00382917">
        <w:t>of</w:t>
      </w:r>
      <w:r w:rsidR="00EE4FC3">
        <w:t xml:space="preserve"> </w:t>
      </w:r>
      <w:r w:rsidRPr="00382917">
        <w:t>whom</w:t>
      </w:r>
      <w:r w:rsidR="00EE4FC3">
        <w:t xml:space="preserve"> </w:t>
      </w:r>
      <w:r w:rsidRPr="00382917">
        <w:t>by</w:t>
      </w:r>
      <w:r w:rsidR="00EE4FC3">
        <w:t xml:space="preserve"> </w:t>
      </w:r>
      <w:r w:rsidRPr="00382917">
        <w:t>his</w:t>
      </w:r>
      <w:r w:rsidR="00EE4FC3">
        <w:t xml:space="preserve"> </w:t>
      </w:r>
      <w:r w:rsidRPr="00382917">
        <w:t>life</w:t>
      </w:r>
      <w:r w:rsidR="00EE4FC3">
        <w:t xml:space="preserve"> </w:t>
      </w:r>
      <w:r w:rsidRPr="00382917">
        <w:t>and</w:t>
      </w:r>
      <w:r w:rsidR="00EE4FC3">
        <w:t xml:space="preserve"> </w:t>
      </w:r>
      <w:r w:rsidRPr="00382917">
        <w:t>his</w:t>
      </w:r>
      <w:r w:rsidR="00EE4FC3">
        <w:t xml:space="preserve"> </w:t>
      </w:r>
      <w:r w:rsidRPr="00382917">
        <w:t>death</w:t>
      </w:r>
      <w:r w:rsidR="00EE4FC3">
        <w:t xml:space="preserve"> </w:t>
      </w:r>
      <w:r w:rsidRPr="00382917">
        <w:t>had</w:t>
      </w:r>
      <w:r w:rsidR="00EE4FC3">
        <w:t xml:space="preserve"> </w:t>
      </w:r>
      <w:r w:rsidRPr="00382917">
        <w:t>shed</w:t>
      </w:r>
      <w:r w:rsidR="00EE4FC3">
        <w:t xml:space="preserve"> </w:t>
      </w:r>
      <w:r w:rsidRPr="00382917">
        <w:t>imperishable</w:t>
      </w:r>
      <w:r w:rsidR="00EE4FC3">
        <w:t xml:space="preserve"> </w:t>
      </w:r>
      <w:proofErr w:type="spellStart"/>
      <w:r w:rsidRPr="00382917">
        <w:t>luster</w:t>
      </w:r>
      <w:proofErr w:type="spellEnd"/>
      <w:r w:rsidR="00EE4FC3">
        <w:t xml:space="preserve"> </w:t>
      </w:r>
      <w:r w:rsidRPr="00382917">
        <w:t>upon</w:t>
      </w:r>
      <w:r w:rsidR="00EE4FC3">
        <w:t xml:space="preserve"> </w:t>
      </w:r>
      <w:r w:rsidRPr="00382917">
        <w:t>the</w:t>
      </w:r>
      <w:r w:rsidR="00EE4FC3">
        <w:t xml:space="preserve"> </w:t>
      </w:r>
      <w:r w:rsidRPr="00382917">
        <w:t>Faith</w:t>
      </w:r>
      <w:r w:rsidR="00EE4FC3">
        <w:t xml:space="preserve"> </w:t>
      </w:r>
      <w:r w:rsidRPr="00382917">
        <w:t>of</w:t>
      </w:r>
      <w:r w:rsidR="00EE4FC3">
        <w:t xml:space="preserve"> </w:t>
      </w:r>
      <w:r w:rsidRPr="00382917">
        <w:t>God.</w:t>
      </w:r>
    </w:p>
    <w:p w:rsidR="00DB6293" w:rsidRPr="00382917" w:rsidRDefault="00DB6293" w:rsidP="00DB6293">
      <w:pPr>
        <w:pStyle w:val="Text"/>
      </w:pPr>
      <w:r w:rsidRPr="00382917">
        <w:t>He</w:t>
      </w:r>
      <w:r w:rsidR="00EE4FC3">
        <w:t xml:space="preserve"> </w:t>
      </w:r>
      <w:r w:rsidRPr="00382917">
        <w:t>instructed</w:t>
      </w:r>
      <w:r w:rsidR="00EE4FC3">
        <w:t xml:space="preserve"> </w:t>
      </w:r>
      <w:r w:rsidRPr="00382917">
        <w:t>one</w:t>
      </w:r>
      <w:r w:rsidR="00EE4FC3">
        <w:t xml:space="preserve"> </w:t>
      </w:r>
      <w:r w:rsidRPr="00382917">
        <w:t>of</w:t>
      </w:r>
      <w:r w:rsidR="00EE4FC3">
        <w:t xml:space="preserve"> </w:t>
      </w:r>
      <w:r w:rsidRPr="00382917">
        <w:t>His</w:t>
      </w:r>
      <w:r w:rsidR="00EE4FC3">
        <w:t xml:space="preserve"> </w:t>
      </w:r>
      <w:r w:rsidRPr="00382917">
        <w:t>followers</w:t>
      </w:r>
      <w:r w:rsidR="00EE4FC3">
        <w:t xml:space="preserve"> </w:t>
      </w:r>
      <w:r w:rsidRPr="00382917">
        <w:t>to</w:t>
      </w:r>
      <w:r w:rsidR="00EE4FC3">
        <w:t xml:space="preserve"> </w:t>
      </w:r>
      <w:r w:rsidRPr="00382917">
        <w:t>visit</w:t>
      </w:r>
      <w:r w:rsidR="00EE4FC3">
        <w:t xml:space="preserve"> </w:t>
      </w:r>
      <w:r w:rsidR="00B71244" w:rsidRPr="00382917">
        <w:t>Ṭabarsí</w:t>
      </w:r>
      <w:r w:rsidR="00EE4FC3">
        <w:t xml:space="preserve"> </w:t>
      </w:r>
      <w:r w:rsidRPr="00382917">
        <w:t>and</w:t>
      </w:r>
      <w:r w:rsidR="00EE4FC3">
        <w:t xml:space="preserve"> </w:t>
      </w:r>
      <w:r w:rsidR="00814CFC" w:rsidRPr="00382917">
        <w:t>Bárfurú</w:t>
      </w:r>
      <w:r w:rsidR="00814CFC" w:rsidRPr="00814CFC">
        <w:rPr>
          <w:u w:val="single"/>
        </w:rPr>
        <w:t>sh</w:t>
      </w:r>
      <w:r w:rsidRPr="00382917">
        <w:t>.</w:t>
      </w:r>
    </w:p>
    <w:p w:rsidR="00DB6293" w:rsidRPr="00382917" w:rsidRDefault="009C713D" w:rsidP="006D7320">
      <w:pPr>
        <w:pStyle w:val="Text"/>
      </w:pPr>
      <w:r w:rsidRPr="00382917">
        <w:t>“</w:t>
      </w:r>
      <w:r w:rsidR="00DB6293" w:rsidRPr="00382917">
        <w:t>Arise,</w:t>
      </w:r>
      <w:r w:rsidRPr="00382917">
        <w:t>”</w:t>
      </w:r>
      <w:r w:rsidR="00EE4FC3">
        <w:t xml:space="preserve"> </w:t>
      </w:r>
      <w:r w:rsidR="00DB6293" w:rsidRPr="00382917">
        <w:t>He</w:t>
      </w:r>
      <w:r w:rsidR="00EE4FC3">
        <w:t xml:space="preserve"> </w:t>
      </w:r>
      <w:r w:rsidR="00DB6293" w:rsidRPr="00382917">
        <w:t>said,</w:t>
      </w:r>
      <w:r w:rsidR="00EE4FC3">
        <w:t xml:space="preserve"> </w:t>
      </w:r>
      <w:r w:rsidRPr="00382917">
        <w:t>“</w:t>
      </w:r>
      <w:r w:rsidR="00DB6293" w:rsidRPr="00382917">
        <w:t>and</w:t>
      </w:r>
      <w:r w:rsidR="00EE4FC3">
        <w:t xml:space="preserve"> </w:t>
      </w:r>
      <w:r w:rsidR="00F04416" w:rsidRPr="00382917">
        <w:t>…</w:t>
      </w:r>
      <w:r w:rsidR="00EE4FC3">
        <w:t xml:space="preserve"> </w:t>
      </w:r>
      <w:r w:rsidR="00DB6293" w:rsidRPr="00382917">
        <w:t>in</w:t>
      </w:r>
      <w:r w:rsidR="00EE4FC3">
        <w:t xml:space="preserve"> </w:t>
      </w:r>
      <w:r w:rsidR="00DB6293" w:rsidRPr="00382917">
        <w:t>the</w:t>
      </w:r>
      <w:r w:rsidR="00EE4FC3">
        <w:t xml:space="preserve"> </w:t>
      </w:r>
      <w:r w:rsidR="00DB6293" w:rsidRPr="00382917">
        <w:t>guise</w:t>
      </w:r>
      <w:r w:rsidR="00EE4FC3">
        <w:t xml:space="preserve"> </w:t>
      </w:r>
      <w:r w:rsidR="00DB6293" w:rsidRPr="00382917">
        <w:t>of</w:t>
      </w:r>
      <w:r w:rsidR="00EE4FC3">
        <w:t xml:space="preserve"> </w:t>
      </w:r>
      <w:r w:rsidR="00DB6293" w:rsidRPr="00382917">
        <w:t>a</w:t>
      </w:r>
      <w:r w:rsidR="00EE4FC3">
        <w:t xml:space="preserve"> </w:t>
      </w:r>
      <w:proofErr w:type="spellStart"/>
      <w:proofErr w:type="gramStart"/>
      <w:r w:rsidR="00DB6293" w:rsidRPr="00382917">
        <w:t>traveler</w:t>
      </w:r>
      <w:proofErr w:type="spellEnd"/>
      <w:r w:rsidR="00DB6293" w:rsidRPr="00382917">
        <w:t>,</w:t>
      </w:r>
      <w:r w:rsidR="00EE4FC3">
        <w:t xml:space="preserve"> </w:t>
      </w:r>
      <w:r w:rsidR="00F04416" w:rsidRPr="00382917">
        <w:t>…</w:t>
      </w:r>
      <w:proofErr w:type="gramEnd"/>
      <w:r w:rsidR="00EE4FC3">
        <w:t xml:space="preserve"> </w:t>
      </w:r>
      <w:r w:rsidR="00DB6293" w:rsidRPr="00382917">
        <w:t>visit</w:t>
      </w:r>
      <w:r w:rsidR="00EE4FC3">
        <w:t xml:space="preserve"> </w:t>
      </w:r>
      <w:r w:rsidR="00DB6293" w:rsidRPr="00382917">
        <w:t>on</w:t>
      </w:r>
      <w:r w:rsidR="00EE4FC3">
        <w:t xml:space="preserve"> </w:t>
      </w:r>
      <w:r w:rsidR="00DB6293" w:rsidRPr="00382917">
        <w:t>My</w:t>
      </w:r>
      <w:r w:rsidR="00EE4FC3">
        <w:t xml:space="preserve"> </w:t>
      </w:r>
      <w:r w:rsidR="00DB6293" w:rsidRPr="00382917">
        <w:t>behalf,</w:t>
      </w:r>
      <w:r w:rsidR="00EE4FC3">
        <w:t xml:space="preserve"> </w:t>
      </w:r>
      <w:r w:rsidR="00DB6293" w:rsidRPr="00382917">
        <w:t>the</w:t>
      </w:r>
      <w:r w:rsidR="00EE4FC3">
        <w:t xml:space="preserve"> </w:t>
      </w:r>
      <w:r w:rsidR="00DB6293" w:rsidRPr="00382917">
        <w:t>spot</w:t>
      </w:r>
      <w:r w:rsidR="00EE4FC3">
        <w:t xml:space="preserve"> </w:t>
      </w:r>
      <w:r w:rsidR="00DB6293" w:rsidRPr="00382917">
        <w:t>which</w:t>
      </w:r>
      <w:r w:rsidR="00EE4FC3">
        <w:t xml:space="preserve"> </w:t>
      </w:r>
      <w:r w:rsidR="00DB6293" w:rsidRPr="00382917">
        <w:t>enshrines</w:t>
      </w:r>
      <w:r w:rsidR="00EE4FC3">
        <w:t xml:space="preserve"> </w:t>
      </w:r>
      <w:r w:rsidR="00DB6293" w:rsidRPr="00382917">
        <w:t>[their]</w:t>
      </w:r>
      <w:r w:rsidR="00EE4FC3">
        <w:t xml:space="preserve"> </w:t>
      </w:r>
      <w:r w:rsidR="00DB6293" w:rsidRPr="00382917">
        <w:t>bodies</w:t>
      </w:r>
      <w:r w:rsidR="00F04416" w:rsidRPr="00382917">
        <w:t>…</w:t>
      </w:r>
      <w:r w:rsidR="00B71244">
        <w:t>.</w:t>
      </w:r>
      <w:r w:rsidR="00EE4FC3">
        <w:t xml:space="preserve">  </w:t>
      </w:r>
      <w:r w:rsidR="00DB6293" w:rsidRPr="00382917">
        <w:t>Bring</w:t>
      </w:r>
      <w:r w:rsidR="00EE4FC3">
        <w:t xml:space="preserve"> </w:t>
      </w:r>
      <w:r w:rsidR="00DB6293" w:rsidRPr="00382917">
        <w:t>back</w:t>
      </w:r>
      <w:r w:rsidR="00EE4FC3">
        <w:t xml:space="preserve"> </w:t>
      </w:r>
      <w:r w:rsidR="00DB6293" w:rsidRPr="00382917">
        <w:t>to</w:t>
      </w:r>
      <w:r w:rsidR="00EE4FC3">
        <w:t xml:space="preserve"> </w:t>
      </w:r>
      <w:proofErr w:type="gramStart"/>
      <w:r w:rsidR="00DB6293" w:rsidRPr="00382917">
        <w:t>Me</w:t>
      </w:r>
      <w:proofErr w:type="gramEnd"/>
      <w:r w:rsidR="00DB6293" w:rsidRPr="00382917">
        <w:t>,</w:t>
      </w:r>
      <w:r w:rsidR="00EE4FC3">
        <w:t xml:space="preserve"> </w:t>
      </w:r>
      <w:r w:rsidR="00DB6293" w:rsidRPr="00382917">
        <w:t>as</w:t>
      </w:r>
      <w:r w:rsidR="00EE4FC3">
        <w:t xml:space="preserve"> </w:t>
      </w:r>
      <w:r w:rsidR="00DB6293" w:rsidRPr="00382917">
        <w:t>a</w:t>
      </w:r>
      <w:r w:rsidR="00EE4FC3">
        <w:t xml:space="preserve"> </w:t>
      </w:r>
      <w:r w:rsidR="00DB6293" w:rsidRPr="00382917">
        <w:t>remembrance</w:t>
      </w:r>
      <w:r w:rsidR="00EE4FC3">
        <w:t xml:space="preserve"> </w:t>
      </w:r>
      <w:r w:rsidR="00DB6293" w:rsidRPr="00382917">
        <w:t>of</w:t>
      </w:r>
      <w:r w:rsidR="00EE4FC3">
        <w:t xml:space="preserve"> </w:t>
      </w:r>
      <w:r w:rsidR="00DB6293" w:rsidRPr="00382917">
        <w:t>your</w:t>
      </w:r>
      <w:r w:rsidR="00EE4FC3">
        <w:t xml:space="preserve"> </w:t>
      </w:r>
      <w:r w:rsidR="00DB6293" w:rsidRPr="00382917">
        <w:t>visit,</w:t>
      </w:r>
      <w:r w:rsidR="00EE4FC3">
        <w:t xml:space="preserve"> </w:t>
      </w:r>
      <w:r w:rsidR="00DB6293" w:rsidRPr="00382917">
        <w:t>a</w:t>
      </w:r>
      <w:r w:rsidR="00EE4FC3">
        <w:t xml:space="preserve"> </w:t>
      </w:r>
      <w:r w:rsidR="00DB6293" w:rsidRPr="00382917">
        <w:t>handful</w:t>
      </w:r>
      <w:r w:rsidR="00EE4FC3">
        <w:t xml:space="preserve"> </w:t>
      </w:r>
      <w:r w:rsidR="00DB6293" w:rsidRPr="00382917">
        <w:t>of</w:t>
      </w:r>
      <w:r w:rsidR="00EE4FC3">
        <w:t xml:space="preserve"> </w:t>
      </w:r>
      <w:r w:rsidR="00DB6293" w:rsidRPr="00382917">
        <w:t>that</w:t>
      </w:r>
      <w:r w:rsidR="00EE4FC3">
        <w:t xml:space="preserve"> </w:t>
      </w:r>
      <w:r w:rsidR="00DB6293" w:rsidRPr="00382917">
        <w:t>holy</w:t>
      </w:r>
      <w:r w:rsidR="00EE4FC3">
        <w:t xml:space="preserve"> </w:t>
      </w:r>
      <w:r w:rsidR="00DB6293" w:rsidRPr="00382917">
        <w:t>earth</w:t>
      </w:r>
      <w:r w:rsidR="00EE4FC3">
        <w:t xml:space="preserve"> </w:t>
      </w:r>
      <w:r w:rsidR="00DB6293" w:rsidRPr="00382917">
        <w:t>which</w:t>
      </w:r>
      <w:r w:rsidR="00EE4FC3">
        <w:t xml:space="preserve"> </w:t>
      </w:r>
      <w:r w:rsidR="00DB6293" w:rsidRPr="00382917">
        <w:t>covers</w:t>
      </w:r>
      <w:r w:rsidR="00EE4FC3">
        <w:t xml:space="preserve"> </w:t>
      </w:r>
      <w:r w:rsidR="00DB6293" w:rsidRPr="00382917">
        <w:t>the</w:t>
      </w:r>
      <w:r w:rsidR="00EE4FC3">
        <w:t xml:space="preserve"> </w:t>
      </w:r>
      <w:r w:rsidR="00DB6293" w:rsidRPr="00382917">
        <w:t>remains</w:t>
      </w:r>
      <w:r w:rsidR="00EE4FC3">
        <w:t xml:space="preserve"> </w:t>
      </w:r>
      <w:r w:rsidR="00DB6293" w:rsidRPr="00382917">
        <w:t>of</w:t>
      </w:r>
      <w:r w:rsidR="00EE4FC3">
        <w:t xml:space="preserve"> </w:t>
      </w:r>
      <w:r w:rsidR="00DB6293" w:rsidRPr="00382917">
        <w:t>My</w:t>
      </w:r>
      <w:r w:rsidR="00EE4FC3">
        <w:t xml:space="preserve"> </w:t>
      </w:r>
      <w:r w:rsidR="00DB6293" w:rsidRPr="00382917">
        <w:t>beloved</w:t>
      </w:r>
      <w:r w:rsidR="00EE4FC3">
        <w:t xml:space="preserve"> </w:t>
      </w:r>
      <w:r w:rsidR="00DB6293" w:rsidRPr="00382917">
        <w:t>ones,</w:t>
      </w:r>
      <w:r w:rsidR="00EE4FC3">
        <w:t xml:space="preserve"> </w:t>
      </w:r>
      <w:r w:rsidR="00DB6293" w:rsidRPr="00382917">
        <w:t>Quddús</w:t>
      </w:r>
      <w:r w:rsidR="00EE4FC3">
        <w:t xml:space="preserve"> </w:t>
      </w:r>
      <w:r w:rsidR="00DB6293" w:rsidRPr="00382917">
        <w:t>and</w:t>
      </w:r>
      <w:r w:rsidR="00EE4FC3">
        <w:t xml:space="preserve"> </w:t>
      </w:r>
      <w:r w:rsidR="00DB6293" w:rsidRPr="00382917">
        <w:t>Mullá</w:t>
      </w:r>
      <w:r w:rsidR="00EE4FC3">
        <w:t xml:space="preserve"> </w:t>
      </w:r>
      <w:r w:rsidR="00964C11" w:rsidRPr="00382917">
        <w:t>Ḥusayn</w:t>
      </w:r>
      <w:r w:rsidR="00B71244">
        <w:t>.</w:t>
      </w:r>
      <w:r w:rsidR="00EE4FC3">
        <w:t xml:space="preserve">  </w:t>
      </w:r>
      <w:r w:rsidR="00DB6293" w:rsidRPr="00382917">
        <w:t>Strive</w:t>
      </w:r>
      <w:r w:rsidR="00EE4FC3">
        <w:t xml:space="preserve"> </w:t>
      </w:r>
      <w:r w:rsidR="00DB6293" w:rsidRPr="00382917">
        <w:t>to</w:t>
      </w:r>
      <w:r w:rsidR="00EE4FC3">
        <w:t xml:space="preserve"> </w:t>
      </w:r>
      <w:r w:rsidR="00DB6293" w:rsidRPr="00382917">
        <w:t>be</w:t>
      </w:r>
      <w:r w:rsidR="00EE4FC3">
        <w:t xml:space="preserve"> </w:t>
      </w:r>
      <w:r w:rsidR="00DB6293" w:rsidRPr="00382917">
        <w:t>back</w:t>
      </w:r>
      <w:r w:rsidR="00EE4FC3">
        <w:t xml:space="preserve"> </w:t>
      </w:r>
      <w:proofErr w:type="spellStart"/>
      <w:r w:rsidR="00DB6293" w:rsidRPr="00382917">
        <w:t>ere</w:t>
      </w:r>
      <w:proofErr w:type="spellEnd"/>
      <w:r w:rsidR="00EE4FC3">
        <w:t xml:space="preserve"> </w:t>
      </w:r>
      <w:r w:rsidR="00DB6293" w:rsidRPr="00382917">
        <w:t>the</w:t>
      </w:r>
      <w:r w:rsidR="00EE4FC3">
        <w:t xml:space="preserve"> </w:t>
      </w:r>
      <w:r w:rsidR="00DB6293" w:rsidRPr="00382917">
        <w:t>day</w:t>
      </w:r>
      <w:r w:rsidR="00EE4FC3">
        <w:t xml:space="preserve"> </w:t>
      </w:r>
      <w:r w:rsidR="00DB6293" w:rsidRPr="00382917">
        <w:t>of</w:t>
      </w:r>
      <w:r w:rsidR="00EE4FC3">
        <w:t xml:space="preserve"> </w:t>
      </w:r>
      <w:r w:rsidR="00DB6293" w:rsidRPr="00382917">
        <w:t>Naw-Rúz</w:t>
      </w:r>
      <w:r w:rsidR="00EE4FC3">
        <w:t xml:space="preserve"> </w:t>
      </w:r>
      <w:r w:rsidR="00DB6293" w:rsidRPr="00382917">
        <w:t>[New</w:t>
      </w:r>
      <w:r w:rsidR="00EE4FC3">
        <w:t xml:space="preserve"> </w:t>
      </w:r>
      <w:r w:rsidR="00DB6293" w:rsidRPr="00382917">
        <w:t>Year]</w:t>
      </w:r>
      <w:r w:rsidR="00EE4FC3">
        <w:t xml:space="preserve"> </w:t>
      </w:r>
      <w:r w:rsidR="00DB6293" w:rsidRPr="00382917">
        <w:t>that</w:t>
      </w:r>
      <w:r w:rsidR="00EE4FC3">
        <w:t xml:space="preserve"> </w:t>
      </w:r>
      <w:r w:rsidR="00DB6293" w:rsidRPr="00382917">
        <w:t>you</w:t>
      </w:r>
      <w:r w:rsidR="00EE4FC3">
        <w:t xml:space="preserve"> </w:t>
      </w:r>
      <w:r w:rsidR="00DB6293" w:rsidRPr="00382917">
        <w:t>may</w:t>
      </w:r>
      <w:r w:rsidR="00EE4FC3">
        <w:t xml:space="preserve"> </w:t>
      </w:r>
      <w:r w:rsidR="00DB6293" w:rsidRPr="00382917">
        <w:t>celebrate</w:t>
      </w:r>
      <w:r w:rsidR="00EE4FC3">
        <w:t xml:space="preserve"> </w:t>
      </w:r>
      <w:r w:rsidR="00DB6293" w:rsidRPr="00382917">
        <w:t>with</w:t>
      </w:r>
      <w:r w:rsidR="00EE4FC3">
        <w:t xml:space="preserve"> </w:t>
      </w:r>
      <w:proofErr w:type="gramStart"/>
      <w:r w:rsidR="00DB6293" w:rsidRPr="00382917">
        <w:t>Me</w:t>
      </w:r>
      <w:proofErr w:type="gramEnd"/>
      <w:r w:rsidR="00EE4FC3">
        <w:t xml:space="preserve"> </w:t>
      </w:r>
      <w:r w:rsidR="00DB6293" w:rsidRPr="00382917">
        <w:t>that</w:t>
      </w:r>
      <w:r w:rsidR="00EE4FC3">
        <w:t xml:space="preserve"> </w:t>
      </w:r>
      <w:r w:rsidR="00DB6293" w:rsidRPr="00382917">
        <w:t>festival,</w:t>
      </w:r>
      <w:r w:rsidR="00EE4FC3">
        <w:t xml:space="preserve"> </w:t>
      </w:r>
      <w:r w:rsidR="00DB6293" w:rsidRPr="00382917">
        <w:t>the</w:t>
      </w:r>
      <w:r w:rsidR="00EE4FC3">
        <w:t xml:space="preserve"> </w:t>
      </w:r>
      <w:r w:rsidR="00DB6293" w:rsidRPr="00382917">
        <w:t>only</w:t>
      </w:r>
      <w:r w:rsidR="00EE4FC3">
        <w:t xml:space="preserve"> </w:t>
      </w:r>
      <w:r w:rsidR="00DB6293" w:rsidRPr="00382917">
        <w:t>one</w:t>
      </w:r>
      <w:r w:rsidR="00EE4FC3">
        <w:t xml:space="preserve"> </w:t>
      </w:r>
      <w:r w:rsidR="00DB6293" w:rsidRPr="00382917">
        <w:t>I</w:t>
      </w:r>
      <w:r w:rsidR="00EE4FC3">
        <w:t xml:space="preserve"> </w:t>
      </w:r>
      <w:r w:rsidR="00DB6293" w:rsidRPr="00382917">
        <w:t>probably</w:t>
      </w:r>
      <w:r w:rsidR="00EE4FC3">
        <w:t xml:space="preserve"> </w:t>
      </w:r>
      <w:r w:rsidR="00DB6293" w:rsidRPr="00382917">
        <w:t>shall</w:t>
      </w:r>
      <w:r w:rsidR="00EE4FC3">
        <w:t xml:space="preserve"> </w:t>
      </w:r>
      <w:r w:rsidR="00DB6293" w:rsidRPr="00382917">
        <w:t>ever</w:t>
      </w:r>
      <w:r w:rsidR="00EE4FC3">
        <w:t xml:space="preserve"> </w:t>
      </w:r>
      <w:r w:rsidR="00DB6293" w:rsidRPr="00382917">
        <w:t>see</w:t>
      </w:r>
      <w:r w:rsidR="00EE4FC3">
        <w:t xml:space="preserve"> </w:t>
      </w:r>
      <w:r w:rsidR="00DB6293" w:rsidRPr="00382917">
        <w:t>again.</w:t>
      </w:r>
      <w:r w:rsidRPr="00382917">
        <w:t>”</w:t>
      </w:r>
      <w:r w:rsidR="006D7320">
        <w:rPr>
          <w:rStyle w:val="FootnoteReference"/>
        </w:rPr>
        <w:footnoteReference w:id="129"/>
      </w:r>
    </w:p>
    <w:p w:rsidR="00DB6293" w:rsidRPr="00382917" w:rsidRDefault="00DB6293" w:rsidP="00DB6293"/>
    <w:p w:rsidR="00DB6293" w:rsidRPr="00382917" w:rsidRDefault="00DB6293" w:rsidP="00DB6293">
      <w:pPr>
        <w:sectPr w:rsidR="00DB6293" w:rsidRPr="00382917" w:rsidSect="009073C7">
          <w:footnotePr>
            <w:numRestart w:val="eachPage"/>
          </w:footnotePr>
          <w:type w:val="evenPage"/>
          <w:pgSz w:w="8618" w:h="12984" w:code="188"/>
          <w:pgMar w:top="720" w:right="720" w:bottom="720" w:left="720" w:header="720" w:footer="567" w:gutter="357"/>
          <w:cols w:space="708"/>
          <w:noEndnote/>
          <w:titlePg/>
          <w:docGrid w:linePitch="272"/>
        </w:sectPr>
      </w:pPr>
    </w:p>
    <w:p w:rsidR="00DB6293" w:rsidRPr="00382917" w:rsidRDefault="00417538" w:rsidP="00417538">
      <w:r w:rsidRPr="00382917">
        <w:rPr>
          <w:sz w:val="12"/>
          <w:szCs w:val="12"/>
        </w:rPr>
        <w:fldChar w:fldCharType="begin"/>
      </w:r>
      <w:r w:rsidR="00EE4FC3">
        <w:rPr>
          <w:sz w:val="12"/>
          <w:szCs w:val="12"/>
        </w:rPr>
        <w:instrText xml:space="preserve"> </w:instrText>
      </w:r>
      <w:proofErr w:type="gramStart"/>
      <w:r w:rsidRPr="00382917">
        <w:rPr>
          <w:sz w:val="12"/>
          <w:szCs w:val="12"/>
        </w:rPr>
        <w:instrText>TC</w:instrText>
      </w:r>
      <w:r w:rsidR="00EE4FC3">
        <w:rPr>
          <w:sz w:val="12"/>
          <w:szCs w:val="12"/>
        </w:rPr>
        <w:instrText xml:space="preserve">  </w:instrText>
      </w:r>
      <w:r w:rsidRPr="00382917">
        <w:rPr>
          <w:sz w:val="12"/>
          <w:szCs w:val="12"/>
        </w:rPr>
        <w:instrText>“</w:instrText>
      </w:r>
      <w:bookmarkStart w:id="17" w:name="_Toc206658613"/>
      <w:proofErr w:type="gramEnd"/>
      <w:r>
        <w:rPr>
          <w:sz w:val="12"/>
          <w:szCs w:val="12"/>
        </w:rPr>
        <w:tab/>
        <w:instrText>15.</w:instrText>
      </w:r>
      <w:r>
        <w:rPr>
          <w:sz w:val="12"/>
          <w:szCs w:val="12"/>
        </w:rPr>
        <w:tab/>
      </w:r>
      <w:r w:rsidRPr="00417538">
        <w:rPr>
          <w:sz w:val="12"/>
          <w:szCs w:val="12"/>
        </w:rPr>
        <w:instrText>A</w:instrText>
      </w:r>
      <w:r w:rsidR="00EE4FC3">
        <w:rPr>
          <w:sz w:val="12"/>
          <w:szCs w:val="12"/>
        </w:rPr>
        <w:instrText xml:space="preserve"> </w:instrText>
      </w:r>
      <w:r w:rsidRPr="00417538">
        <w:rPr>
          <w:sz w:val="12"/>
          <w:szCs w:val="12"/>
        </w:rPr>
        <w:instrText>wonder</w:instrText>
      </w:r>
      <w:r w:rsidR="00EE4FC3">
        <w:rPr>
          <w:sz w:val="12"/>
          <w:szCs w:val="12"/>
        </w:rPr>
        <w:instrText xml:space="preserve"> </w:instrText>
      </w:r>
      <w:r w:rsidRPr="00417538">
        <w:rPr>
          <w:sz w:val="12"/>
          <w:szCs w:val="12"/>
        </w:rPr>
        <w:instrText>among</w:instrText>
      </w:r>
      <w:r w:rsidR="00EE4FC3">
        <w:rPr>
          <w:sz w:val="12"/>
          <w:szCs w:val="12"/>
        </w:rPr>
        <w:instrText xml:space="preserve"> </w:instrText>
      </w:r>
      <w:r w:rsidRPr="00417538">
        <w:rPr>
          <w:sz w:val="12"/>
          <w:szCs w:val="12"/>
        </w:rPr>
        <w:instrText>women</w:instrText>
      </w:r>
      <w:proofErr w:type="gramStart"/>
      <w:r w:rsidRPr="00382917">
        <w:rPr>
          <w:color w:val="FFFFFF" w:themeColor="background1"/>
          <w:sz w:val="12"/>
          <w:szCs w:val="12"/>
        </w:rPr>
        <w:instrText>..</w:instrText>
      </w:r>
      <w:proofErr w:type="gramEnd"/>
      <w:r w:rsidRPr="00382917">
        <w:rPr>
          <w:sz w:val="12"/>
          <w:szCs w:val="12"/>
        </w:rPr>
        <w:tab/>
      </w:r>
      <w:r w:rsidRPr="00382917">
        <w:rPr>
          <w:color w:val="FFFFFF" w:themeColor="background1"/>
          <w:sz w:val="12"/>
          <w:szCs w:val="12"/>
        </w:rPr>
        <w:instrText>.</w:instrText>
      </w:r>
      <w:bookmarkEnd w:id="17"/>
      <w:proofErr w:type="gramStart"/>
      <w:r w:rsidRPr="00382917">
        <w:rPr>
          <w:sz w:val="12"/>
          <w:szCs w:val="12"/>
        </w:rPr>
        <w:instrText>”</w:instrText>
      </w:r>
      <w:r w:rsidR="00EE4FC3">
        <w:rPr>
          <w:sz w:val="12"/>
          <w:szCs w:val="12"/>
        </w:rPr>
        <w:instrText xml:space="preserve"> </w:instrText>
      </w:r>
      <w:proofErr w:type="gramEnd"/>
      <w:r w:rsidRPr="00382917">
        <w:rPr>
          <w:sz w:val="12"/>
          <w:szCs w:val="12"/>
        </w:rPr>
        <w:instrText>\l</w:instrText>
      </w:r>
      <w:r w:rsidR="00EE4FC3">
        <w:rPr>
          <w:sz w:val="12"/>
          <w:szCs w:val="12"/>
        </w:rPr>
        <w:instrText xml:space="preserve"> </w:instrText>
      </w:r>
      <w:r w:rsidRPr="00382917">
        <w:rPr>
          <w:sz w:val="12"/>
          <w:szCs w:val="12"/>
        </w:rPr>
        <w:instrText>1</w:instrText>
      </w:r>
      <w:r w:rsidR="00EE4FC3">
        <w:rPr>
          <w:sz w:val="12"/>
          <w:szCs w:val="12"/>
        </w:rPr>
        <w:instrText xml:space="preserve"> </w:instrText>
      </w:r>
      <w:r w:rsidRPr="00382917">
        <w:rPr>
          <w:sz w:val="12"/>
          <w:szCs w:val="12"/>
        </w:rPr>
        <w:fldChar w:fldCharType="end"/>
      </w:r>
    </w:p>
    <w:p w:rsidR="00DB6293" w:rsidRPr="00382917" w:rsidRDefault="00DB6293" w:rsidP="00DB6293"/>
    <w:p w:rsidR="00DB6293" w:rsidRPr="00382917" w:rsidRDefault="00DB6293" w:rsidP="00417538">
      <w:pPr>
        <w:pStyle w:val="Myheadc"/>
      </w:pPr>
      <w:r w:rsidRPr="00382917">
        <w:t>15</w:t>
      </w:r>
      <w:r w:rsidR="00417538">
        <w:br/>
      </w:r>
      <w:r w:rsidRPr="00382917">
        <w:rPr>
          <w:noProof/>
          <w:lang w:val="en-AU" w:eastAsia="en-AU"/>
          <w14:numForm w14:val="default"/>
          <w14:numSpacing w14:val="default"/>
        </w:rPr>
        <w:drawing>
          <wp:inline distT="0" distB="0" distL="0" distR="0" wp14:anchorId="44D1C0A7" wp14:editId="3DD89B43">
            <wp:extent cx="396000" cy="392400"/>
            <wp:effectExtent l="0" t="0" r="4445" b="825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p.emf"/>
                    <pic:cNvPicPr/>
                  </pic:nvPicPr>
                  <pic:blipFill>
                    <a:blip r:embed="rId17">
                      <a:extLst>
                        <a:ext uri="{28A0092B-C50C-407E-A947-70E740481C1C}">
                          <a14:useLocalDpi xmlns:a14="http://schemas.microsoft.com/office/drawing/2010/main" val="0"/>
                        </a:ext>
                      </a:extLst>
                    </a:blip>
                    <a:stretch>
                      <a:fillRect/>
                    </a:stretch>
                  </pic:blipFill>
                  <pic:spPr>
                    <a:xfrm>
                      <a:off x="0" y="0"/>
                      <a:ext cx="396000" cy="392400"/>
                    </a:xfrm>
                    <a:prstGeom prst="rect">
                      <a:avLst/>
                    </a:prstGeom>
                  </pic:spPr>
                </pic:pic>
              </a:graphicData>
            </a:graphic>
          </wp:inline>
        </w:drawing>
      </w:r>
      <w:r w:rsidR="00417538">
        <w:br/>
      </w:r>
      <w:r w:rsidRPr="00382917">
        <w:t>A</w:t>
      </w:r>
      <w:r w:rsidR="00EE4FC3">
        <w:t xml:space="preserve"> </w:t>
      </w:r>
      <w:r w:rsidRPr="00382917">
        <w:t>wonder</w:t>
      </w:r>
      <w:r w:rsidR="00EE4FC3">
        <w:t xml:space="preserve"> </w:t>
      </w:r>
      <w:r w:rsidRPr="00382917">
        <w:t>among</w:t>
      </w:r>
      <w:r w:rsidR="00EE4FC3">
        <w:t xml:space="preserve"> </w:t>
      </w:r>
      <w:r w:rsidRPr="00382917">
        <w:t>women</w:t>
      </w:r>
    </w:p>
    <w:p w:rsidR="00DB6293" w:rsidRPr="00382917" w:rsidRDefault="00DB6293" w:rsidP="00B65346">
      <w:pPr>
        <w:pStyle w:val="Text"/>
      </w:pPr>
      <w:r w:rsidRPr="00382917">
        <w:t>One</w:t>
      </w:r>
      <w:r w:rsidR="00EE4FC3">
        <w:t xml:space="preserve"> </w:t>
      </w:r>
      <w:r w:rsidRPr="00382917">
        <w:t>of</w:t>
      </w:r>
      <w:r w:rsidR="00EE4FC3">
        <w:t xml:space="preserve"> </w:t>
      </w:r>
      <w:r w:rsidRPr="00382917">
        <w:t>the</w:t>
      </w:r>
      <w:r w:rsidR="00EE4FC3">
        <w:t xml:space="preserve"> </w:t>
      </w:r>
      <w:r w:rsidRPr="00382917">
        <w:t>most</w:t>
      </w:r>
      <w:r w:rsidR="00EE4FC3">
        <w:t xml:space="preserve"> </w:t>
      </w:r>
      <w:r w:rsidRPr="00382917">
        <w:t>courageous</w:t>
      </w:r>
      <w:r w:rsidR="00EE4FC3">
        <w:t xml:space="preserve"> </w:t>
      </w:r>
      <w:r w:rsidRPr="00382917">
        <w:t>of</w:t>
      </w:r>
      <w:r w:rsidR="00EE4FC3">
        <w:t xml:space="preserve"> </w:t>
      </w:r>
      <w:r w:rsidRPr="00382917">
        <w:t>all</w:t>
      </w:r>
      <w:r w:rsidR="00EE4FC3">
        <w:t xml:space="preserve"> </w:t>
      </w:r>
      <w:r w:rsidRPr="00382917">
        <w:t>the</w:t>
      </w:r>
      <w:r w:rsidR="00EE4FC3">
        <w:t xml:space="preserve"> </w:t>
      </w:r>
      <w:r w:rsidRPr="00382917">
        <w:t>followers</w:t>
      </w:r>
      <w:r w:rsidR="00EE4FC3">
        <w:t xml:space="preserve"> </w:t>
      </w:r>
      <w:r w:rsidRPr="00382917">
        <w:t>of</w:t>
      </w:r>
      <w:r w:rsidR="00EE4FC3">
        <w:t xml:space="preserve"> </w:t>
      </w:r>
      <w:r w:rsidRPr="00382917">
        <w:t>the</w:t>
      </w:r>
      <w:r w:rsidR="00EE4FC3">
        <w:t xml:space="preserve"> </w:t>
      </w:r>
      <w:r w:rsidRPr="00382917">
        <w:t>Báb</w:t>
      </w:r>
      <w:r w:rsidR="00EE4FC3">
        <w:t xml:space="preserve"> </w:t>
      </w:r>
      <w:r w:rsidRPr="00382917">
        <w:t>was</w:t>
      </w:r>
      <w:r w:rsidR="00EE4FC3">
        <w:t xml:space="preserve"> </w:t>
      </w:r>
      <w:r w:rsidRPr="00382917">
        <w:t>a</w:t>
      </w:r>
      <w:r w:rsidR="00EE4FC3">
        <w:t xml:space="preserve"> </w:t>
      </w:r>
      <w:r w:rsidRPr="00382917">
        <w:t>woman</w:t>
      </w:r>
      <w:r w:rsidR="00B71244">
        <w:t>.</w:t>
      </w:r>
      <w:r w:rsidR="00EE4FC3">
        <w:t xml:space="preserve">  </w:t>
      </w:r>
      <w:r w:rsidRPr="00382917">
        <w:t>She</w:t>
      </w:r>
      <w:r w:rsidR="00EE4FC3">
        <w:t xml:space="preserve"> </w:t>
      </w:r>
      <w:r w:rsidRPr="00382917">
        <w:t>was</w:t>
      </w:r>
      <w:r w:rsidR="00EE4FC3">
        <w:t xml:space="preserve"> </w:t>
      </w:r>
      <w:r w:rsidRPr="00382917">
        <w:t>among</w:t>
      </w:r>
      <w:r w:rsidR="00EE4FC3">
        <w:t xml:space="preserve"> </w:t>
      </w:r>
      <w:r w:rsidRPr="00382917">
        <w:t>His</w:t>
      </w:r>
      <w:r w:rsidR="00EE4FC3">
        <w:t xml:space="preserve"> </w:t>
      </w:r>
      <w:r w:rsidRPr="00382917">
        <w:t>chosen</w:t>
      </w:r>
      <w:r w:rsidR="00EE4FC3">
        <w:t xml:space="preserve"> </w:t>
      </w:r>
      <w:r w:rsidRPr="00382917">
        <w:t>disciples</w:t>
      </w:r>
      <w:r w:rsidR="00B71244">
        <w:t>.</w:t>
      </w:r>
      <w:r w:rsidR="00EE4FC3">
        <w:t xml:space="preserve">  </w:t>
      </w:r>
      <w:r w:rsidRPr="00382917">
        <w:t>She</w:t>
      </w:r>
      <w:r w:rsidR="00EE4FC3">
        <w:t xml:space="preserve"> </w:t>
      </w:r>
      <w:r w:rsidRPr="00382917">
        <w:t>was</w:t>
      </w:r>
      <w:r w:rsidR="00EE4FC3">
        <w:t xml:space="preserve"> </w:t>
      </w:r>
      <w:r w:rsidRPr="00382917">
        <w:t>known</w:t>
      </w:r>
      <w:r w:rsidR="00EE4FC3">
        <w:t xml:space="preserve"> </w:t>
      </w:r>
      <w:r w:rsidRPr="00382917">
        <w:t>as</w:t>
      </w:r>
      <w:r w:rsidR="00EE4FC3">
        <w:t xml:space="preserve"> </w:t>
      </w:r>
      <w:r w:rsidRPr="00382917">
        <w:t>Ṭáhirih,</w:t>
      </w:r>
      <w:r w:rsidR="00EE4FC3">
        <w:t xml:space="preserve"> </w:t>
      </w:r>
      <w:r w:rsidRPr="00382917">
        <w:t>which</w:t>
      </w:r>
      <w:r w:rsidR="00EE4FC3">
        <w:t xml:space="preserve"> </w:t>
      </w:r>
      <w:r w:rsidRPr="00382917">
        <w:t>means</w:t>
      </w:r>
      <w:r w:rsidR="00EE4FC3">
        <w:t xml:space="preserve"> </w:t>
      </w:r>
      <w:r w:rsidR="009C713D" w:rsidRPr="00382917">
        <w:t>“</w:t>
      </w:r>
      <w:r w:rsidRPr="00382917">
        <w:t>The</w:t>
      </w:r>
      <w:r w:rsidR="00EE4FC3">
        <w:t xml:space="preserve"> </w:t>
      </w:r>
      <w:r w:rsidRPr="00382917">
        <w:t>Pure</w:t>
      </w:r>
      <w:r w:rsidR="00EE4FC3">
        <w:t xml:space="preserve"> </w:t>
      </w:r>
      <w:r w:rsidRPr="00382917">
        <w:t>One</w:t>
      </w:r>
      <w:r w:rsidR="009C713D" w:rsidRPr="00382917">
        <w:t>”</w:t>
      </w:r>
      <w:r w:rsidR="00B71244">
        <w:t>.</w:t>
      </w:r>
      <w:r w:rsidR="00EE4FC3">
        <w:t xml:space="preserve">  </w:t>
      </w:r>
      <w:r w:rsidRPr="00382917">
        <w:t>The</w:t>
      </w:r>
      <w:r w:rsidR="00EE4FC3">
        <w:t xml:space="preserve"> </w:t>
      </w:r>
      <w:r w:rsidRPr="00382917">
        <w:t>members</w:t>
      </w:r>
      <w:r w:rsidR="00EE4FC3">
        <w:t xml:space="preserve"> </w:t>
      </w:r>
      <w:r w:rsidRPr="00382917">
        <w:t>of</w:t>
      </w:r>
      <w:r w:rsidR="00EE4FC3">
        <w:t xml:space="preserve"> </w:t>
      </w:r>
      <w:r w:rsidRPr="00382917">
        <w:t>her</w:t>
      </w:r>
      <w:r w:rsidR="00EE4FC3">
        <w:t xml:space="preserve"> </w:t>
      </w:r>
      <w:r w:rsidRPr="00382917">
        <w:t>family</w:t>
      </w:r>
      <w:r w:rsidR="00EE4FC3">
        <w:t xml:space="preserve"> </w:t>
      </w:r>
      <w:r w:rsidRPr="00382917">
        <w:t>ranked</w:t>
      </w:r>
      <w:r w:rsidR="00EE4FC3">
        <w:t xml:space="preserve"> </w:t>
      </w:r>
      <w:r w:rsidRPr="00382917">
        <w:t>high</w:t>
      </w:r>
      <w:r w:rsidR="00EE4FC3">
        <w:t xml:space="preserve"> </w:t>
      </w:r>
      <w:r w:rsidRPr="00382917">
        <w:t>among</w:t>
      </w:r>
      <w:r w:rsidR="00EE4FC3">
        <w:t xml:space="preserve"> </w:t>
      </w:r>
      <w:r w:rsidRPr="00382917">
        <w:t>the</w:t>
      </w:r>
      <w:r w:rsidR="00EE4FC3">
        <w:t xml:space="preserve"> </w:t>
      </w:r>
      <w:r w:rsidRPr="00382917">
        <w:t>religious</w:t>
      </w:r>
      <w:r w:rsidR="00EE4FC3">
        <w:t xml:space="preserve"> </w:t>
      </w:r>
      <w:r w:rsidRPr="00382917">
        <w:t>leaders</w:t>
      </w:r>
      <w:r w:rsidR="00EE4FC3">
        <w:t xml:space="preserve"> </w:t>
      </w:r>
      <w:r w:rsidRPr="00382917">
        <w:t>of</w:t>
      </w:r>
      <w:r w:rsidR="00EE4FC3">
        <w:t xml:space="preserve"> </w:t>
      </w:r>
      <w:r w:rsidRPr="00382917">
        <w:t>Persia</w:t>
      </w:r>
      <w:r w:rsidR="00B71244">
        <w:t>.</w:t>
      </w:r>
      <w:r w:rsidR="00EE4FC3">
        <w:t xml:space="preserve">  </w:t>
      </w:r>
      <w:r w:rsidRPr="00382917">
        <w:t>Her</w:t>
      </w:r>
      <w:r w:rsidR="00EE4FC3">
        <w:t xml:space="preserve"> </w:t>
      </w:r>
      <w:r w:rsidRPr="00382917">
        <w:t>father</w:t>
      </w:r>
      <w:r w:rsidR="00EE4FC3">
        <w:t xml:space="preserve"> </w:t>
      </w:r>
      <w:r w:rsidRPr="00382917">
        <w:t>was</w:t>
      </w:r>
      <w:r w:rsidR="00EE4FC3">
        <w:t xml:space="preserve"> </w:t>
      </w:r>
      <w:r w:rsidRPr="00382917">
        <w:t>one</w:t>
      </w:r>
      <w:r w:rsidR="00EE4FC3">
        <w:t xml:space="preserve"> </w:t>
      </w:r>
      <w:r w:rsidRPr="00382917">
        <w:t>of</w:t>
      </w:r>
      <w:r w:rsidR="00EE4FC3">
        <w:t xml:space="preserve"> </w:t>
      </w:r>
      <w:r w:rsidRPr="00382917">
        <w:t>the</w:t>
      </w:r>
      <w:r w:rsidR="00EE4FC3">
        <w:t xml:space="preserve"> </w:t>
      </w:r>
      <w:r w:rsidRPr="00382917">
        <w:t>most</w:t>
      </w:r>
      <w:r w:rsidR="00EE4FC3">
        <w:t xml:space="preserve"> </w:t>
      </w:r>
      <w:r w:rsidRPr="00382917">
        <w:t>famous</w:t>
      </w:r>
      <w:r w:rsidR="00EE4FC3">
        <w:t xml:space="preserve"> </w:t>
      </w:r>
      <w:r w:rsidRPr="00382917">
        <w:t>of</w:t>
      </w:r>
      <w:r w:rsidR="00EE4FC3">
        <w:t xml:space="preserve"> </w:t>
      </w:r>
      <w:r w:rsidRPr="00382917">
        <w:t>all</w:t>
      </w:r>
      <w:r w:rsidR="00B71244">
        <w:t>.</w:t>
      </w:r>
      <w:r w:rsidR="00EE4FC3">
        <w:t xml:space="preserve">  </w:t>
      </w:r>
      <w:r w:rsidRPr="00382917">
        <w:t>From</w:t>
      </w:r>
      <w:r w:rsidR="00EE4FC3">
        <w:t xml:space="preserve"> </w:t>
      </w:r>
      <w:r w:rsidRPr="00382917">
        <w:t>her</w:t>
      </w:r>
      <w:r w:rsidR="00EE4FC3">
        <w:t xml:space="preserve"> </w:t>
      </w:r>
      <w:r w:rsidRPr="00382917">
        <w:t>earliest</w:t>
      </w:r>
      <w:r w:rsidR="00EE4FC3">
        <w:t xml:space="preserve"> </w:t>
      </w:r>
      <w:r w:rsidRPr="00382917">
        <w:t>childhood,</w:t>
      </w:r>
      <w:r w:rsidR="00EE4FC3">
        <w:t xml:space="preserve"> </w:t>
      </w:r>
      <w:r w:rsidRPr="00382917">
        <w:t>she</w:t>
      </w:r>
      <w:r w:rsidR="00EE4FC3">
        <w:t xml:space="preserve"> </w:t>
      </w:r>
      <w:r w:rsidRPr="00382917">
        <w:t>was</w:t>
      </w:r>
      <w:r w:rsidR="00EE4FC3">
        <w:t xml:space="preserve"> </w:t>
      </w:r>
      <w:r w:rsidRPr="00382917">
        <w:t>regarded</w:t>
      </w:r>
      <w:r w:rsidR="00EE4FC3">
        <w:t xml:space="preserve"> </w:t>
      </w:r>
      <w:r w:rsidRPr="00382917">
        <w:t>by</w:t>
      </w:r>
      <w:r w:rsidR="00EE4FC3">
        <w:t xml:space="preserve"> </w:t>
      </w:r>
      <w:r w:rsidRPr="00382917">
        <w:t>her</w:t>
      </w:r>
      <w:r w:rsidR="00EE4FC3">
        <w:t xml:space="preserve"> </w:t>
      </w:r>
      <w:r w:rsidRPr="00382917">
        <w:t>fellow-townsmen</w:t>
      </w:r>
      <w:r w:rsidR="00EE4FC3">
        <w:t xml:space="preserve"> </w:t>
      </w:r>
      <w:r w:rsidRPr="00382917">
        <w:t>as</w:t>
      </w:r>
      <w:r w:rsidR="00EE4FC3">
        <w:t xml:space="preserve"> </w:t>
      </w:r>
      <w:r w:rsidRPr="00382917">
        <w:t>a</w:t>
      </w:r>
      <w:r w:rsidR="00EE4FC3">
        <w:t xml:space="preserve"> </w:t>
      </w:r>
      <w:r w:rsidRPr="00382917">
        <w:t>prodigy</w:t>
      </w:r>
      <w:r w:rsidR="00B71244">
        <w:t>.</w:t>
      </w:r>
      <w:r w:rsidR="00EE4FC3">
        <w:t xml:space="preserve">  </w:t>
      </w:r>
      <w:r w:rsidRPr="00382917">
        <w:t>Her</w:t>
      </w:r>
      <w:r w:rsidR="00EE4FC3">
        <w:t xml:space="preserve"> </w:t>
      </w:r>
      <w:r w:rsidRPr="00382917">
        <w:t>knowledge</w:t>
      </w:r>
      <w:r w:rsidR="00EE4FC3">
        <w:t xml:space="preserve"> </w:t>
      </w:r>
      <w:r w:rsidRPr="00382917">
        <w:t>and</w:t>
      </w:r>
      <w:r w:rsidR="00EE4FC3">
        <w:t xml:space="preserve"> </w:t>
      </w:r>
      <w:r w:rsidRPr="00382917">
        <w:t>gifts</w:t>
      </w:r>
      <w:r w:rsidR="00EE4FC3">
        <w:t xml:space="preserve"> </w:t>
      </w:r>
      <w:r w:rsidRPr="00382917">
        <w:t>were</w:t>
      </w:r>
      <w:r w:rsidR="00EE4FC3">
        <w:t xml:space="preserve"> </w:t>
      </w:r>
      <w:r w:rsidRPr="00382917">
        <w:t>so</w:t>
      </w:r>
      <w:r w:rsidR="00EE4FC3">
        <w:t xml:space="preserve"> </w:t>
      </w:r>
      <w:r w:rsidRPr="00382917">
        <w:t>outstanding</w:t>
      </w:r>
      <w:r w:rsidR="00EE4FC3">
        <w:t xml:space="preserve"> </w:t>
      </w:r>
      <w:r w:rsidRPr="00382917">
        <w:t>that</w:t>
      </w:r>
      <w:r w:rsidR="00EE4FC3">
        <w:t xml:space="preserve"> </w:t>
      </w:r>
      <w:r w:rsidRPr="00382917">
        <w:t>her</w:t>
      </w:r>
      <w:r w:rsidR="00EE4FC3">
        <w:t xml:space="preserve"> </w:t>
      </w:r>
      <w:r w:rsidRPr="00382917">
        <w:t>father</w:t>
      </w:r>
      <w:r w:rsidR="00EE4FC3">
        <w:t xml:space="preserve"> </w:t>
      </w:r>
      <w:r w:rsidRPr="00382917">
        <w:t>often</w:t>
      </w:r>
      <w:r w:rsidR="00EE4FC3">
        <w:t xml:space="preserve"> </w:t>
      </w:r>
      <w:r w:rsidRPr="00382917">
        <w:t>was</w:t>
      </w:r>
      <w:r w:rsidR="00EE4FC3">
        <w:t xml:space="preserve"> </w:t>
      </w:r>
      <w:r w:rsidRPr="00382917">
        <w:t>heard</w:t>
      </w:r>
      <w:r w:rsidR="00EE4FC3">
        <w:t xml:space="preserve"> </w:t>
      </w:r>
      <w:r w:rsidRPr="00382917">
        <w:t>to</w:t>
      </w:r>
      <w:r w:rsidR="00EE4FC3">
        <w:t xml:space="preserve"> </w:t>
      </w:r>
      <w:r w:rsidRPr="00382917">
        <w:t>lament,</w:t>
      </w:r>
      <w:r w:rsidR="00EE4FC3">
        <w:t xml:space="preserve"> </w:t>
      </w:r>
      <w:r w:rsidR="009C713D" w:rsidRPr="00382917">
        <w:t>“</w:t>
      </w:r>
      <w:r w:rsidRPr="00382917">
        <w:t>Would</w:t>
      </w:r>
      <w:r w:rsidR="00EE4FC3">
        <w:t xml:space="preserve"> </w:t>
      </w:r>
      <w:r w:rsidRPr="00382917">
        <w:t>that</w:t>
      </w:r>
      <w:r w:rsidR="00EE4FC3">
        <w:t xml:space="preserve"> </w:t>
      </w:r>
      <w:r w:rsidRPr="00382917">
        <w:t>she</w:t>
      </w:r>
      <w:r w:rsidR="00EE4FC3">
        <w:t xml:space="preserve"> </w:t>
      </w:r>
      <w:r w:rsidRPr="00382917">
        <w:t>had</w:t>
      </w:r>
      <w:r w:rsidR="00EE4FC3">
        <w:t xml:space="preserve"> </w:t>
      </w:r>
      <w:r w:rsidRPr="00382917">
        <w:t>been</w:t>
      </w:r>
      <w:r w:rsidR="00EE4FC3">
        <w:t xml:space="preserve"> </w:t>
      </w:r>
      <w:r w:rsidRPr="00382917">
        <w:t>a</w:t>
      </w:r>
      <w:r w:rsidR="00EE4FC3">
        <w:t xml:space="preserve"> </w:t>
      </w:r>
      <w:r w:rsidRPr="00382917">
        <w:t>boy,</w:t>
      </w:r>
      <w:r w:rsidR="00EE4FC3">
        <w:t xml:space="preserve"> </w:t>
      </w:r>
      <w:r w:rsidRPr="00382917">
        <w:t>for</w:t>
      </w:r>
      <w:r w:rsidR="00EE4FC3">
        <w:t xml:space="preserve"> </w:t>
      </w:r>
      <w:r w:rsidRPr="00382917">
        <w:t>he</w:t>
      </w:r>
      <w:r w:rsidR="00EE4FC3">
        <w:t xml:space="preserve"> </w:t>
      </w:r>
      <w:r w:rsidRPr="00382917">
        <w:t>would</w:t>
      </w:r>
      <w:r w:rsidR="00EE4FC3">
        <w:t xml:space="preserve"> </w:t>
      </w:r>
      <w:r w:rsidRPr="00382917">
        <w:t>have</w:t>
      </w:r>
      <w:r w:rsidR="00EE4FC3">
        <w:t xml:space="preserve"> </w:t>
      </w:r>
      <w:r w:rsidRPr="00382917">
        <w:t>shed</w:t>
      </w:r>
      <w:r w:rsidR="00EE4FC3">
        <w:t xml:space="preserve"> </w:t>
      </w:r>
      <w:r w:rsidRPr="00382917">
        <w:t>illumination</w:t>
      </w:r>
      <w:r w:rsidR="00EE4FC3">
        <w:t xml:space="preserve"> </w:t>
      </w:r>
      <w:r w:rsidRPr="00382917">
        <w:t>upon</w:t>
      </w:r>
      <w:r w:rsidR="00EE4FC3">
        <w:t xml:space="preserve"> </w:t>
      </w:r>
      <w:r w:rsidRPr="00382917">
        <w:t>my</w:t>
      </w:r>
      <w:r w:rsidR="00EE4FC3">
        <w:t xml:space="preserve"> </w:t>
      </w:r>
      <w:r w:rsidRPr="00382917">
        <w:t>household,</w:t>
      </w:r>
      <w:r w:rsidR="00EE4FC3">
        <w:t xml:space="preserve"> </w:t>
      </w:r>
      <w:r w:rsidRPr="00382917">
        <w:t>and</w:t>
      </w:r>
      <w:r w:rsidR="00EE4FC3">
        <w:t xml:space="preserve"> </w:t>
      </w:r>
      <w:r w:rsidRPr="00382917">
        <w:t>would</w:t>
      </w:r>
      <w:r w:rsidR="00EE4FC3">
        <w:t xml:space="preserve"> </w:t>
      </w:r>
      <w:r w:rsidRPr="00382917">
        <w:t>have</w:t>
      </w:r>
      <w:r w:rsidR="00EE4FC3">
        <w:t xml:space="preserve"> </w:t>
      </w:r>
      <w:r w:rsidRPr="00382917">
        <w:t>succeeded</w:t>
      </w:r>
      <w:r w:rsidR="00EE4FC3">
        <w:t xml:space="preserve"> </w:t>
      </w:r>
      <w:r w:rsidRPr="00382917">
        <w:t>me.</w:t>
      </w:r>
      <w:r w:rsidR="009C713D" w:rsidRPr="00382917">
        <w:t>”</w:t>
      </w:r>
      <w:r w:rsidR="00B65346">
        <w:rPr>
          <w:rStyle w:val="FootnoteReference"/>
        </w:rPr>
        <w:footnoteReference w:id="130"/>
      </w:r>
    </w:p>
    <w:p w:rsidR="00E13D49" w:rsidRPr="00382917" w:rsidRDefault="00DB6293" w:rsidP="00E95592">
      <w:pPr>
        <w:pStyle w:val="Text"/>
      </w:pPr>
      <w:r w:rsidRPr="00382917">
        <w:t>She</w:t>
      </w:r>
      <w:r w:rsidR="00EE4FC3">
        <w:t xml:space="preserve"> </w:t>
      </w:r>
      <w:r w:rsidRPr="00382917">
        <w:t>was</w:t>
      </w:r>
      <w:r w:rsidR="00EE4FC3">
        <w:t xml:space="preserve"> </w:t>
      </w:r>
      <w:r w:rsidRPr="00382917">
        <w:t>renowned</w:t>
      </w:r>
      <w:r w:rsidR="00EE4FC3">
        <w:t xml:space="preserve"> </w:t>
      </w:r>
      <w:r w:rsidRPr="00382917">
        <w:t>for</w:t>
      </w:r>
      <w:r w:rsidR="00EE4FC3">
        <w:t xml:space="preserve"> </w:t>
      </w:r>
      <w:r w:rsidRPr="00382917">
        <w:t>both</w:t>
      </w:r>
      <w:r w:rsidR="00EE4FC3">
        <w:t xml:space="preserve"> </w:t>
      </w:r>
      <w:r w:rsidRPr="00382917">
        <w:t>her</w:t>
      </w:r>
      <w:r w:rsidR="00EE4FC3">
        <w:t xml:space="preserve"> </w:t>
      </w:r>
      <w:r w:rsidRPr="00382917">
        <w:t>intelligence</w:t>
      </w:r>
      <w:r w:rsidR="00EE4FC3">
        <w:t xml:space="preserve"> </w:t>
      </w:r>
      <w:r w:rsidRPr="00382917">
        <w:t>and</w:t>
      </w:r>
      <w:r w:rsidR="00EE4FC3">
        <w:t xml:space="preserve"> </w:t>
      </w:r>
      <w:r w:rsidRPr="00382917">
        <w:t>her</w:t>
      </w:r>
      <w:r w:rsidR="00EE4FC3">
        <w:t xml:space="preserve"> </w:t>
      </w:r>
      <w:r w:rsidRPr="00382917">
        <w:t>beauty</w:t>
      </w:r>
      <w:r w:rsidR="00B71244">
        <w:t>.</w:t>
      </w:r>
      <w:r w:rsidR="00EE4FC3">
        <w:t xml:space="preserve">  </w:t>
      </w:r>
      <w:r w:rsidRPr="00382917">
        <w:t>Her</w:t>
      </w:r>
      <w:r w:rsidR="00EE4FC3">
        <w:t xml:space="preserve"> </w:t>
      </w:r>
      <w:r w:rsidRPr="00382917">
        <w:t>brother,</w:t>
      </w:r>
      <w:r w:rsidR="00EE4FC3">
        <w:t xml:space="preserve"> </w:t>
      </w:r>
      <w:r w:rsidR="009C713D" w:rsidRPr="00382917">
        <w:t>‘</w:t>
      </w:r>
      <w:r w:rsidRPr="00382917">
        <w:t>Abd</w:t>
      </w:r>
      <w:r w:rsidR="00E95592">
        <w:t>u’</w:t>
      </w:r>
      <w:r w:rsidRPr="00382917">
        <w:t>l-Vahháb</w:t>
      </w:r>
      <w:r w:rsidR="00EE4FC3">
        <w:t xml:space="preserve"> </w:t>
      </w:r>
      <w:r w:rsidRPr="00382917">
        <w:t>said,</w:t>
      </w:r>
      <w:r w:rsidR="00EE4FC3">
        <w:t xml:space="preserve"> </w:t>
      </w:r>
      <w:r w:rsidR="009C713D" w:rsidRPr="00382917">
        <w:t>“</w:t>
      </w:r>
      <w:r w:rsidRPr="00382917">
        <w:t>None</w:t>
      </w:r>
      <w:r w:rsidR="00EE4FC3">
        <w:t xml:space="preserve"> </w:t>
      </w:r>
      <w:r w:rsidRPr="00382917">
        <w:t>of</w:t>
      </w:r>
      <w:r w:rsidR="00EE4FC3">
        <w:t xml:space="preserve"> </w:t>
      </w:r>
      <w:r w:rsidRPr="00382917">
        <w:t>us,</w:t>
      </w:r>
      <w:r w:rsidR="00EE4FC3">
        <w:t xml:space="preserve"> </w:t>
      </w:r>
      <w:r w:rsidRPr="00382917">
        <w:t>her</w:t>
      </w:r>
      <w:r w:rsidR="00EE4FC3">
        <w:t xml:space="preserve"> </w:t>
      </w:r>
      <w:r w:rsidRPr="00382917">
        <w:t>brothers</w:t>
      </w:r>
      <w:r w:rsidR="00EE4FC3">
        <w:t xml:space="preserve"> </w:t>
      </w:r>
      <w:r w:rsidRPr="00382917">
        <w:t>or</w:t>
      </w:r>
      <w:r w:rsidR="00EE4FC3">
        <w:t xml:space="preserve"> </w:t>
      </w:r>
      <w:r w:rsidRPr="00382917">
        <w:t>her</w:t>
      </w:r>
      <w:r w:rsidR="00EE4FC3">
        <w:t xml:space="preserve"> </w:t>
      </w:r>
      <w:r w:rsidRPr="00382917">
        <w:t>cousins</w:t>
      </w:r>
      <w:r w:rsidR="00EE4FC3">
        <w:t xml:space="preserve"> </w:t>
      </w:r>
      <w:r w:rsidRPr="00382917">
        <w:t>dared</w:t>
      </w:r>
      <w:r w:rsidR="00EE4FC3">
        <w:t xml:space="preserve"> </w:t>
      </w:r>
      <w:r w:rsidRPr="00382917">
        <w:t>to</w:t>
      </w:r>
      <w:r w:rsidR="00EE4FC3">
        <w:t xml:space="preserve"> </w:t>
      </w:r>
      <w:r w:rsidRPr="00382917">
        <w:t>speak</w:t>
      </w:r>
      <w:r w:rsidR="00EE4FC3">
        <w:t xml:space="preserve"> </w:t>
      </w:r>
      <w:r w:rsidRPr="00382917">
        <w:t>in</w:t>
      </w:r>
      <w:r w:rsidR="00EE4FC3">
        <w:t xml:space="preserve"> </w:t>
      </w:r>
      <w:r w:rsidRPr="00382917">
        <w:t>her</w:t>
      </w:r>
      <w:r w:rsidR="00EE4FC3">
        <w:t xml:space="preserve"> </w:t>
      </w:r>
      <w:r w:rsidRPr="00382917">
        <w:t>presence,</w:t>
      </w:r>
      <w:r w:rsidR="00EE4FC3">
        <w:t xml:space="preserve"> </w:t>
      </w:r>
      <w:r w:rsidRPr="00382917">
        <w:t>her</w:t>
      </w:r>
      <w:r w:rsidR="00EE4FC3">
        <w:t xml:space="preserve"> </w:t>
      </w:r>
      <w:r w:rsidRPr="00382917">
        <w:t>learning</w:t>
      </w:r>
      <w:r w:rsidR="00EE4FC3">
        <w:t xml:space="preserve"> </w:t>
      </w:r>
      <w:r w:rsidRPr="00382917">
        <w:t>so</w:t>
      </w:r>
      <w:r w:rsidR="00EE4FC3">
        <w:t xml:space="preserve"> </w:t>
      </w:r>
      <w:r w:rsidRPr="00382917">
        <w:t>intimidated</w:t>
      </w:r>
      <w:r w:rsidR="00EE4FC3">
        <w:t xml:space="preserve"> </w:t>
      </w:r>
      <w:r w:rsidRPr="00382917">
        <w:t>us;</w:t>
      </w:r>
      <w:r w:rsidR="00EE4FC3">
        <w:t xml:space="preserve"> </w:t>
      </w:r>
      <w:r w:rsidRPr="00382917">
        <w:t>and</w:t>
      </w:r>
      <w:r w:rsidR="00EE4FC3">
        <w:t xml:space="preserve"> </w:t>
      </w:r>
      <w:r w:rsidRPr="00382917">
        <w:t>if</w:t>
      </w:r>
      <w:r w:rsidR="00EE4FC3">
        <w:t xml:space="preserve"> </w:t>
      </w:r>
      <w:r w:rsidRPr="00382917">
        <w:t>we</w:t>
      </w:r>
      <w:r w:rsidR="00EE4FC3">
        <w:t xml:space="preserve"> </w:t>
      </w:r>
      <w:r w:rsidRPr="00382917">
        <w:t>ventured</w:t>
      </w:r>
      <w:r w:rsidR="00EE4FC3">
        <w:t xml:space="preserve"> </w:t>
      </w:r>
      <w:r w:rsidRPr="00382917">
        <w:t>to</w:t>
      </w:r>
      <w:r w:rsidR="00EE4FC3">
        <w:t xml:space="preserve"> </w:t>
      </w:r>
      <w:r w:rsidRPr="00382917">
        <w:t>express</w:t>
      </w:r>
      <w:r w:rsidR="00EE4FC3">
        <w:t xml:space="preserve"> </w:t>
      </w:r>
      <w:r w:rsidRPr="00382917">
        <w:t>some</w:t>
      </w:r>
      <w:r w:rsidR="00EE4FC3">
        <w:t xml:space="preserve"> </w:t>
      </w:r>
      <w:r w:rsidRPr="00382917">
        <w:t>hypothesis</w:t>
      </w:r>
      <w:r w:rsidR="00EE4FC3">
        <w:t xml:space="preserve"> </w:t>
      </w:r>
      <w:r w:rsidRPr="00382917">
        <w:t>upon</w:t>
      </w:r>
      <w:r w:rsidR="00EE4FC3">
        <w:t xml:space="preserve"> </w:t>
      </w:r>
      <w:r w:rsidRPr="00382917">
        <w:t>a</w:t>
      </w:r>
      <w:r w:rsidR="00EE4FC3">
        <w:t xml:space="preserve"> </w:t>
      </w:r>
      <w:r w:rsidRPr="00382917">
        <w:t>disputed</w:t>
      </w:r>
      <w:r w:rsidR="00EE4FC3">
        <w:t xml:space="preserve"> </w:t>
      </w:r>
      <w:r w:rsidRPr="00382917">
        <w:t>point</w:t>
      </w:r>
      <w:r w:rsidR="00EE4FC3">
        <w:t xml:space="preserve"> </w:t>
      </w:r>
      <w:r w:rsidRPr="00382917">
        <w:t>of</w:t>
      </w:r>
      <w:r w:rsidR="00EE4FC3">
        <w:t xml:space="preserve"> </w:t>
      </w:r>
      <w:r w:rsidRPr="00382917">
        <w:t>doctrine,</w:t>
      </w:r>
      <w:r w:rsidR="00EE4FC3">
        <w:t xml:space="preserve"> </w:t>
      </w:r>
      <w:r w:rsidRPr="00382917">
        <w:t>she</w:t>
      </w:r>
      <w:r w:rsidR="00EE4FC3">
        <w:t xml:space="preserve"> </w:t>
      </w:r>
      <w:r w:rsidRPr="00382917">
        <w:t>demonstrated</w:t>
      </w:r>
      <w:r w:rsidR="00EE4FC3">
        <w:t xml:space="preserve"> </w:t>
      </w:r>
      <w:r w:rsidRPr="00382917">
        <w:t>in</w:t>
      </w:r>
      <w:r w:rsidR="00EE4FC3">
        <w:t xml:space="preserve"> </w:t>
      </w:r>
      <w:r w:rsidRPr="00382917">
        <w:t>such</w:t>
      </w:r>
      <w:r w:rsidR="00EE4FC3">
        <w:t xml:space="preserve"> </w:t>
      </w:r>
      <w:r w:rsidRPr="00382917">
        <w:t>a</w:t>
      </w:r>
      <w:r w:rsidR="00EE4FC3">
        <w:t xml:space="preserve"> </w:t>
      </w:r>
      <w:r w:rsidRPr="00382917">
        <w:t>clear,</w:t>
      </w:r>
      <w:r w:rsidR="00EE4FC3">
        <w:t xml:space="preserve"> </w:t>
      </w:r>
      <w:r w:rsidRPr="00382917">
        <w:t>precise</w:t>
      </w:r>
      <w:r w:rsidR="00EE4FC3">
        <w:t xml:space="preserve"> </w:t>
      </w:r>
      <w:r w:rsidRPr="00382917">
        <w:t>and</w:t>
      </w:r>
      <w:r w:rsidR="00EE4FC3">
        <w:t xml:space="preserve"> </w:t>
      </w:r>
      <w:r w:rsidRPr="00382917">
        <w:t>conclusive</w:t>
      </w:r>
      <w:r w:rsidR="00EE4FC3">
        <w:t xml:space="preserve"> </w:t>
      </w:r>
      <w:r w:rsidRPr="00382917">
        <w:t>manner</w:t>
      </w:r>
      <w:r w:rsidR="00EE4FC3">
        <w:t xml:space="preserve"> </w:t>
      </w:r>
      <w:r w:rsidRPr="00382917">
        <w:t>that</w:t>
      </w:r>
      <w:r w:rsidR="00EE4FC3">
        <w:t xml:space="preserve"> </w:t>
      </w:r>
      <w:r w:rsidRPr="00382917">
        <w:t>we</w:t>
      </w:r>
      <w:r w:rsidR="00EE4FC3">
        <w:t xml:space="preserve"> </w:t>
      </w:r>
      <w:r w:rsidRPr="00382917">
        <w:t>were</w:t>
      </w:r>
      <w:r w:rsidR="00EE4FC3">
        <w:t xml:space="preserve"> </w:t>
      </w:r>
      <w:r w:rsidRPr="00382917">
        <w:t>going</w:t>
      </w:r>
      <w:r w:rsidR="00EE4FC3">
        <w:t xml:space="preserve"> </w:t>
      </w:r>
      <w:r w:rsidRPr="00382917">
        <w:t>astray,</w:t>
      </w:r>
      <w:r w:rsidR="00EE4FC3">
        <w:t xml:space="preserve"> </w:t>
      </w:r>
      <w:r w:rsidRPr="00382917">
        <w:t>that</w:t>
      </w:r>
      <w:r w:rsidR="00EE4FC3">
        <w:t xml:space="preserve"> </w:t>
      </w:r>
      <w:r w:rsidRPr="00382917">
        <w:t>we</w:t>
      </w:r>
      <w:r w:rsidR="00EE4FC3">
        <w:t xml:space="preserve"> </w:t>
      </w:r>
      <w:r w:rsidRPr="00382917">
        <w:t>instantly</w:t>
      </w:r>
      <w:r w:rsidR="00EE4FC3">
        <w:t xml:space="preserve"> </w:t>
      </w:r>
      <w:r w:rsidRPr="00382917">
        <w:t>withdrew</w:t>
      </w:r>
      <w:r w:rsidR="00EE4FC3">
        <w:t xml:space="preserve"> </w:t>
      </w:r>
      <w:r w:rsidRPr="00382917">
        <w:t>confused.</w:t>
      </w:r>
      <w:r w:rsidR="009C713D" w:rsidRPr="00382917">
        <w:t>”</w:t>
      </w:r>
      <w:r w:rsidR="00E95592">
        <w:rPr>
          <w:rStyle w:val="FootnoteReference"/>
        </w:rPr>
        <w:footnoteReference w:id="131"/>
      </w:r>
    </w:p>
    <w:p w:rsidR="00DB6293" w:rsidRPr="00382917" w:rsidRDefault="00DB6293" w:rsidP="00CE169B">
      <w:pPr>
        <w:pStyle w:val="Text"/>
      </w:pPr>
      <w:r w:rsidRPr="00382917">
        <w:t>A.</w:t>
      </w:r>
      <w:r w:rsidR="00EE4FC3">
        <w:t xml:space="preserve"> </w:t>
      </w:r>
      <w:r w:rsidRPr="00382917">
        <w:t>L.</w:t>
      </w:r>
      <w:r w:rsidR="00EE4FC3">
        <w:t xml:space="preserve"> </w:t>
      </w:r>
      <w:r w:rsidRPr="00382917">
        <w:t>M.</w:t>
      </w:r>
      <w:r w:rsidR="00EE4FC3">
        <w:t xml:space="preserve"> </w:t>
      </w:r>
      <w:r w:rsidRPr="00382917">
        <w:t>Nicolas</w:t>
      </w:r>
      <w:r w:rsidR="009C713D" w:rsidRPr="00382917">
        <w:t>’</w:t>
      </w:r>
      <w:r w:rsidR="00EE4FC3">
        <w:t xml:space="preserve"> </w:t>
      </w:r>
      <w:r w:rsidRPr="00382917">
        <w:t>historical</w:t>
      </w:r>
      <w:r w:rsidR="00EE4FC3">
        <w:t xml:space="preserve"> </w:t>
      </w:r>
      <w:r w:rsidRPr="00382917">
        <w:t>account</w:t>
      </w:r>
      <w:r w:rsidR="00EE4FC3">
        <w:t xml:space="preserve"> </w:t>
      </w:r>
      <w:r w:rsidRPr="00382917">
        <w:t>tells</w:t>
      </w:r>
      <w:r w:rsidR="00EE4FC3">
        <w:t xml:space="preserve"> </w:t>
      </w:r>
      <w:r w:rsidRPr="00382917">
        <w:t>us</w:t>
      </w:r>
      <w:r w:rsidR="00EE4FC3">
        <w:t xml:space="preserve"> </w:t>
      </w:r>
      <w:r w:rsidRPr="00382917">
        <w:t>that</w:t>
      </w:r>
      <w:r w:rsidR="00EE4FC3">
        <w:t xml:space="preserve"> </w:t>
      </w:r>
      <w:r w:rsidR="009C713D" w:rsidRPr="00382917">
        <w:t>“</w:t>
      </w:r>
      <w:r w:rsidRPr="00382917">
        <w:t>her</w:t>
      </w:r>
      <w:r w:rsidR="00EE4FC3">
        <w:t xml:space="preserve"> </w:t>
      </w:r>
      <w:r w:rsidRPr="00382917">
        <w:t>reputation</w:t>
      </w:r>
      <w:r w:rsidR="00EE4FC3">
        <w:t xml:space="preserve"> </w:t>
      </w:r>
      <w:r w:rsidRPr="00382917">
        <w:t>became</w:t>
      </w:r>
      <w:r w:rsidR="00EE4FC3">
        <w:t xml:space="preserve"> </w:t>
      </w:r>
      <w:r w:rsidRPr="00382917">
        <w:t>universal</w:t>
      </w:r>
      <w:r w:rsidR="00EE4FC3">
        <w:t xml:space="preserve"> </w:t>
      </w:r>
      <w:r w:rsidRPr="00382917">
        <w:t>throughout</w:t>
      </w:r>
      <w:r w:rsidR="00EE4FC3">
        <w:t xml:space="preserve"> </w:t>
      </w:r>
      <w:r w:rsidRPr="00382917">
        <w:t>Persia,</w:t>
      </w:r>
      <w:r w:rsidR="00EE4FC3">
        <w:t xml:space="preserve"> </w:t>
      </w:r>
      <w:r w:rsidRPr="00382917">
        <w:t>and</w:t>
      </w:r>
      <w:r w:rsidR="00EE4FC3">
        <w:t xml:space="preserve"> </w:t>
      </w:r>
      <w:r w:rsidRPr="00382917">
        <w:t>the</w:t>
      </w:r>
      <w:r w:rsidR="00EE4FC3">
        <w:t xml:space="preserve"> </w:t>
      </w:r>
      <w:proofErr w:type="gramStart"/>
      <w:r w:rsidRPr="00382917">
        <w:t>most</w:t>
      </w:r>
      <w:r w:rsidR="00EE4FC3">
        <w:t xml:space="preserve"> </w:t>
      </w:r>
      <w:r w:rsidRPr="00382917">
        <w:t>haughty</w:t>
      </w:r>
      <w:proofErr w:type="gramEnd"/>
      <w:r w:rsidR="00EE4FC3">
        <w:t xml:space="preserve"> </w:t>
      </w:r>
      <w:proofErr w:type="spellStart"/>
      <w:r w:rsidRPr="00382917">
        <w:t>ulamas</w:t>
      </w:r>
      <w:proofErr w:type="spellEnd"/>
      <w:r w:rsidR="00EE4FC3">
        <w:t xml:space="preserve"> </w:t>
      </w:r>
      <w:r w:rsidRPr="00382917">
        <w:t>[scholars]</w:t>
      </w:r>
      <w:r w:rsidR="00EE4FC3">
        <w:t xml:space="preserve"> </w:t>
      </w:r>
      <w:r w:rsidRPr="00382917">
        <w:t>consented</w:t>
      </w:r>
      <w:r w:rsidR="00EE4FC3">
        <w:t xml:space="preserve"> </w:t>
      </w:r>
      <w:r w:rsidRPr="00382917">
        <w:t>to</w:t>
      </w:r>
      <w:r w:rsidR="00EE4FC3">
        <w:t xml:space="preserve"> </w:t>
      </w:r>
      <w:r w:rsidRPr="00382917">
        <w:t>adopt</w:t>
      </w:r>
      <w:r w:rsidR="00EE4FC3">
        <w:t xml:space="preserve"> </w:t>
      </w:r>
      <w:r w:rsidRPr="00382917">
        <w:t>some</w:t>
      </w:r>
      <w:r w:rsidR="00EE4FC3">
        <w:t xml:space="preserve"> </w:t>
      </w:r>
      <w:r w:rsidRPr="00382917">
        <w:t>of</w:t>
      </w:r>
      <w:r w:rsidR="00EE4FC3">
        <w:t xml:space="preserve"> </w:t>
      </w:r>
      <w:r w:rsidRPr="00382917">
        <w:t>her</w:t>
      </w:r>
      <w:r w:rsidR="00EE4FC3">
        <w:t xml:space="preserve"> </w:t>
      </w:r>
      <w:r w:rsidRPr="00382917">
        <w:t>hypotheses</w:t>
      </w:r>
      <w:r w:rsidR="00EE4FC3">
        <w:t xml:space="preserve"> </w:t>
      </w:r>
      <w:r w:rsidRPr="00382917">
        <w:t>and</w:t>
      </w:r>
      <w:r w:rsidR="00EE4FC3">
        <w:t xml:space="preserve"> </w:t>
      </w:r>
      <w:r w:rsidRPr="00382917">
        <w:t>opinions.</w:t>
      </w:r>
      <w:r w:rsidR="009C713D" w:rsidRPr="00382917">
        <w:t>”</w:t>
      </w:r>
    </w:p>
    <w:p w:rsidR="00DB6293" w:rsidRPr="00382917" w:rsidRDefault="00DB6293" w:rsidP="00CE169B">
      <w:pPr>
        <w:pStyle w:val="Text"/>
      </w:pPr>
      <w:r w:rsidRPr="00382917">
        <w:t>One</w:t>
      </w:r>
      <w:r w:rsidR="00EE4FC3">
        <w:t xml:space="preserve"> </w:t>
      </w:r>
      <w:r w:rsidRPr="00382917">
        <w:t>day</w:t>
      </w:r>
      <w:r w:rsidR="00EE4FC3">
        <w:t xml:space="preserve"> </w:t>
      </w:r>
      <w:r w:rsidRPr="00382917">
        <w:t>while</w:t>
      </w:r>
      <w:r w:rsidR="00EE4FC3">
        <w:t xml:space="preserve"> </w:t>
      </w:r>
      <w:r w:rsidRPr="00382917">
        <w:t>visiting</w:t>
      </w:r>
      <w:r w:rsidR="00EE4FC3">
        <w:t xml:space="preserve"> </w:t>
      </w:r>
      <w:r w:rsidRPr="00382917">
        <w:t>in</w:t>
      </w:r>
      <w:r w:rsidR="00EE4FC3">
        <w:t xml:space="preserve"> </w:t>
      </w:r>
      <w:r w:rsidRPr="00382917">
        <w:t>the</w:t>
      </w:r>
      <w:r w:rsidR="00EE4FC3">
        <w:t xml:space="preserve"> </w:t>
      </w:r>
      <w:r w:rsidRPr="00382917">
        <w:t>home</w:t>
      </w:r>
      <w:r w:rsidR="00EE4FC3">
        <w:t xml:space="preserve"> </w:t>
      </w:r>
      <w:r w:rsidRPr="00382917">
        <w:t>of</w:t>
      </w:r>
      <w:r w:rsidR="00EE4FC3">
        <w:t xml:space="preserve"> </w:t>
      </w:r>
      <w:r w:rsidRPr="00382917">
        <w:t>her</w:t>
      </w:r>
      <w:r w:rsidR="00EE4FC3">
        <w:t xml:space="preserve"> </w:t>
      </w:r>
      <w:r w:rsidRPr="00382917">
        <w:t>cousin,</w:t>
      </w:r>
      <w:r w:rsidR="00EE4FC3">
        <w:t xml:space="preserve"> </w:t>
      </w:r>
      <w:r w:rsidRPr="00382917">
        <w:t>she</w:t>
      </w:r>
      <w:r w:rsidR="00EE4FC3">
        <w:t xml:space="preserve"> </w:t>
      </w:r>
      <w:r w:rsidRPr="00382917">
        <w:t>discovered</w:t>
      </w:r>
      <w:r w:rsidR="00EE4FC3">
        <w:t xml:space="preserve"> </w:t>
      </w:r>
      <w:r w:rsidRPr="00382917">
        <w:t>some</w:t>
      </w:r>
      <w:r w:rsidR="00EE4FC3">
        <w:t xml:space="preserve"> </w:t>
      </w:r>
      <w:r w:rsidRPr="00382917">
        <w:t>books</w:t>
      </w:r>
      <w:r w:rsidR="00EE4FC3">
        <w:t xml:space="preserve"> </w:t>
      </w:r>
      <w:r w:rsidRPr="00382917">
        <w:t>in</w:t>
      </w:r>
      <w:r w:rsidR="00EE4FC3">
        <w:t xml:space="preserve"> </w:t>
      </w:r>
      <w:r w:rsidRPr="00382917">
        <w:t>his</w:t>
      </w:r>
      <w:r w:rsidR="00EE4FC3">
        <w:t xml:space="preserve"> </w:t>
      </w:r>
      <w:r w:rsidRPr="00382917">
        <w:t>library</w:t>
      </w:r>
      <w:r w:rsidR="00EE4FC3">
        <w:t xml:space="preserve"> </w:t>
      </w:r>
      <w:r w:rsidRPr="00382917">
        <w:t>which</w:t>
      </w:r>
      <w:r w:rsidR="00EE4FC3">
        <w:t xml:space="preserve"> </w:t>
      </w:r>
      <w:r w:rsidRPr="00382917">
        <w:t>interested</w:t>
      </w:r>
      <w:r w:rsidR="00EE4FC3">
        <w:t xml:space="preserve"> </w:t>
      </w:r>
      <w:r w:rsidRPr="00382917">
        <w:t>her</w:t>
      </w:r>
      <w:r w:rsidR="00EE4FC3">
        <w:t xml:space="preserve"> </w:t>
      </w:r>
      <w:r w:rsidRPr="00382917">
        <w:t>very</w:t>
      </w:r>
      <w:r w:rsidR="00EE4FC3">
        <w:t xml:space="preserve"> </w:t>
      </w:r>
      <w:r w:rsidRPr="00382917">
        <w:t>much</w:t>
      </w:r>
      <w:r w:rsidR="00B71244">
        <w:t>.</w:t>
      </w:r>
      <w:r w:rsidR="00EE4FC3">
        <w:t xml:space="preserve">  </w:t>
      </w:r>
      <w:r w:rsidRPr="00382917">
        <w:t>They</w:t>
      </w:r>
      <w:r w:rsidR="00EE4FC3">
        <w:t xml:space="preserve"> </w:t>
      </w:r>
      <w:r w:rsidRPr="00382917">
        <w:t>were</w:t>
      </w:r>
      <w:r w:rsidR="00EE4FC3">
        <w:t xml:space="preserve"> </w:t>
      </w:r>
      <w:r w:rsidRPr="00382917">
        <w:t>written</w:t>
      </w:r>
      <w:r w:rsidR="00EE4FC3">
        <w:t xml:space="preserve"> </w:t>
      </w:r>
      <w:r w:rsidRPr="00382917">
        <w:t>by</w:t>
      </w:r>
      <w:r w:rsidR="00EE4FC3">
        <w:t xml:space="preserve"> </w:t>
      </w:r>
      <w:r w:rsidR="008A073E" w:rsidRPr="00382917">
        <w:rPr>
          <w:u w:val="single"/>
        </w:rPr>
        <w:t>Sh</w:t>
      </w:r>
      <w:r w:rsidR="008A073E" w:rsidRPr="00382917">
        <w:t>ay</w:t>
      </w:r>
      <w:r w:rsidR="008A073E" w:rsidRPr="00382917">
        <w:rPr>
          <w:u w:val="single"/>
        </w:rPr>
        <w:t>kh</w:t>
      </w:r>
      <w:r w:rsidR="00EE4FC3">
        <w:t xml:space="preserve"> </w:t>
      </w:r>
      <w:r w:rsidRPr="00382917">
        <w:t>Aḥmad</w:t>
      </w:r>
      <w:r w:rsidR="00EE4FC3">
        <w:t xml:space="preserve"> </w:t>
      </w:r>
      <w:r w:rsidRPr="00382917">
        <w:t>and</w:t>
      </w:r>
      <w:r w:rsidR="00EE4FC3">
        <w:t xml:space="preserve"> </w:t>
      </w:r>
      <w:r w:rsidRPr="00382917">
        <w:t>his</w:t>
      </w:r>
      <w:r w:rsidR="00EE4FC3">
        <w:t xml:space="preserve"> </w:t>
      </w:r>
      <w:r w:rsidRPr="00382917">
        <w:t>successor,</w:t>
      </w:r>
      <w:r w:rsidR="00EE4FC3">
        <w:t xml:space="preserve"> </w:t>
      </w:r>
      <w:r w:rsidRPr="00382917">
        <w:t>Siyyid</w:t>
      </w:r>
      <w:r w:rsidR="00EE4FC3">
        <w:t xml:space="preserve"> </w:t>
      </w:r>
      <w:r w:rsidRPr="00382917">
        <w:t>Káẓim.</w:t>
      </w:r>
    </w:p>
    <w:p w:rsidR="00CE169B" w:rsidRPr="00382917" w:rsidRDefault="00CE169B">
      <w:pPr>
        <w:widowControl/>
        <w:kinsoku/>
        <w:overflowPunct/>
        <w:textAlignment w:val="auto"/>
      </w:pPr>
      <w:r w:rsidRPr="00382917">
        <w:br w:type="page"/>
      </w:r>
    </w:p>
    <w:p w:rsidR="005B5622" w:rsidRPr="00382917" w:rsidRDefault="005B5622" w:rsidP="006340BC">
      <w:pPr>
        <w:pStyle w:val="Textcts"/>
      </w:pPr>
      <w:r w:rsidRPr="00382917">
        <w:t>Her</w:t>
      </w:r>
      <w:r w:rsidR="00EE4FC3">
        <w:t xml:space="preserve"> </w:t>
      </w:r>
      <w:r w:rsidRPr="00382917">
        <w:t>cousin</w:t>
      </w:r>
      <w:r w:rsidR="00EE4FC3">
        <w:t xml:space="preserve"> </w:t>
      </w:r>
      <w:r w:rsidRPr="00382917">
        <w:t>warned</w:t>
      </w:r>
      <w:r w:rsidR="00EE4FC3">
        <w:t xml:space="preserve"> </w:t>
      </w:r>
      <w:r w:rsidRPr="00382917">
        <w:t>her</w:t>
      </w:r>
      <w:r w:rsidR="00EE4FC3">
        <w:t xml:space="preserve"> </w:t>
      </w:r>
      <w:r w:rsidRPr="00382917">
        <w:t>that</w:t>
      </w:r>
      <w:r w:rsidR="00EE4FC3">
        <w:t xml:space="preserve"> </w:t>
      </w:r>
      <w:r w:rsidRPr="00382917">
        <w:t>her</w:t>
      </w:r>
      <w:r w:rsidR="00EE4FC3">
        <w:t xml:space="preserve"> </w:t>
      </w:r>
      <w:r w:rsidRPr="00382917">
        <w:t>father</w:t>
      </w:r>
      <w:r w:rsidR="00EE4FC3">
        <w:t xml:space="preserve"> </w:t>
      </w:r>
      <w:r w:rsidRPr="00382917">
        <w:t>would</w:t>
      </w:r>
      <w:r w:rsidR="00EE4FC3">
        <w:t xml:space="preserve"> </w:t>
      </w:r>
      <w:r w:rsidRPr="00382917">
        <w:t>be</w:t>
      </w:r>
      <w:r w:rsidR="00EE4FC3">
        <w:t xml:space="preserve"> </w:t>
      </w:r>
      <w:r w:rsidRPr="00382917">
        <w:t>very</w:t>
      </w:r>
      <w:r w:rsidR="00EE4FC3">
        <w:t xml:space="preserve"> </w:t>
      </w:r>
      <w:r w:rsidRPr="00382917">
        <w:t>displeased</w:t>
      </w:r>
      <w:r w:rsidR="00EE4FC3">
        <w:t xml:space="preserve"> </w:t>
      </w:r>
      <w:r w:rsidRPr="00382917">
        <w:t>if</w:t>
      </w:r>
      <w:r w:rsidR="00EE4FC3">
        <w:t xml:space="preserve"> </w:t>
      </w:r>
      <w:r w:rsidRPr="00382917">
        <w:t>he</w:t>
      </w:r>
      <w:r w:rsidR="00EE4FC3">
        <w:t xml:space="preserve"> </w:t>
      </w:r>
      <w:r w:rsidRPr="00382917">
        <w:t>found</w:t>
      </w:r>
      <w:r w:rsidR="00EE4FC3">
        <w:t xml:space="preserve"> </w:t>
      </w:r>
      <w:r w:rsidRPr="00382917">
        <w:t>her</w:t>
      </w:r>
      <w:r w:rsidR="00EE4FC3">
        <w:t xml:space="preserve"> </w:t>
      </w:r>
      <w:r w:rsidRPr="00382917">
        <w:t>reading</w:t>
      </w:r>
      <w:r w:rsidR="00EE4FC3">
        <w:t xml:space="preserve"> </w:t>
      </w:r>
      <w:r w:rsidRPr="00382917">
        <w:t>them.</w:t>
      </w:r>
    </w:p>
    <w:p w:rsidR="005B5622" w:rsidRPr="00382917" w:rsidRDefault="009C713D" w:rsidP="006340BC">
      <w:pPr>
        <w:pStyle w:val="Text"/>
      </w:pPr>
      <w:r w:rsidRPr="00382917">
        <w:t>“</w:t>
      </w:r>
      <w:r w:rsidR="005B5622" w:rsidRPr="00382917">
        <w:t>He</w:t>
      </w:r>
      <w:r w:rsidR="00EE4FC3">
        <w:t xml:space="preserve"> </w:t>
      </w:r>
      <w:r w:rsidR="005B5622" w:rsidRPr="00382917">
        <w:t>is</w:t>
      </w:r>
      <w:r w:rsidR="00EE4FC3">
        <w:t xml:space="preserve"> </w:t>
      </w:r>
      <w:r w:rsidR="005B5622" w:rsidRPr="00382917">
        <w:t>opposed</w:t>
      </w:r>
      <w:r w:rsidR="00EE4FC3">
        <w:t xml:space="preserve"> </w:t>
      </w:r>
      <w:r w:rsidR="005B5622" w:rsidRPr="00382917">
        <w:t>to</w:t>
      </w:r>
      <w:r w:rsidR="00EE4FC3">
        <w:t xml:space="preserve"> </w:t>
      </w:r>
      <w:r w:rsidR="005B5622" w:rsidRPr="00382917">
        <w:t>these</w:t>
      </w:r>
      <w:r w:rsidR="00EE4FC3">
        <w:t xml:space="preserve"> </w:t>
      </w:r>
      <w:r w:rsidR="005B5622" w:rsidRPr="00382917">
        <w:t>modern</w:t>
      </w:r>
      <w:r w:rsidR="00EE4FC3">
        <w:t xml:space="preserve"> </w:t>
      </w:r>
      <w:r w:rsidR="005B5622" w:rsidRPr="00382917">
        <w:t>thinkers,</w:t>
      </w:r>
      <w:r w:rsidRPr="00382917">
        <w:t>”</w:t>
      </w:r>
      <w:r w:rsidR="00EE4FC3">
        <w:t xml:space="preserve"> </w:t>
      </w:r>
      <w:r w:rsidR="005B5622" w:rsidRPr="00382917">
        <w:t>he</w:t>
      </w:r>
      <w:r w:rsidR="00EE4FC3">
        <w:t xml:space="preserve"> </w:t>
      </w:r>
      <w:r w:rsidR="005B5622" w:rsidRPr="00382917">
        <w:t>told</w:t>
      </w:r>
      <w:r w:rsidR="00EE4FC3">
        <w:t xml:space="preserve"> </w:t>
      </w:r>
      <w:r w:rsidR="005B5622" w:rsidRPr="00382917">
        <w:t>her.</w:t>
      </w:r>
    </w:p>
    <w:p w:rsidR="005B5622" w:rsidRPr="00382917" w:rsidRDefault="005B5622" w:rsidP="006340BC">
      <w:pPr>
        <w:pStyle w:val="Text"/>
      </w:pPr>
      <w:r w:rsidRPr="00382917">
        <w:t>However,</w:t>
      </w:r>
      <w:r w:rsidR="00EE4FC3">
        <w:t xml:space="preserve"> </w:t>
      </w:r>
      <w:r w:rsidRPr="00382917">
        <w:t>she</w:t>
      </w:r>
      <w:r w:rsidR="00EE4FC3">
        <w:t xml:space="preserve"> </w:t>
      </w:r>
      <w:r w:rsidRPr="00382917">
        <w:t>persuaded</w:t>
      </w:r>
      <w:r w:rsidR="00EE4FC3">
        <w:t xml:space="preserve"> </w:t>
      </w:r>
      <w:r w:rsidRPr="00382917">
        <w:t>him,</w:t>
      </w:r>
      <w:r w:rsidR="00EE4FC3">
        <w:t xml:space="preserve"> </w:t>
      </w:r>
      <w:r w:rsidRPr="00382917">
        <w:t>and</w:t>
      </w:r>
      <w:r w:rsidR="00EE4FC3">
        <w:t xml:space="preserve"> </w:t>
      </w:r>
      <w:r w:rsidRPr="00382917">
        <w:t>took</w:t>
      </w:r>
      <w:r w:rsidR="00EE4FC3">
        <w:t xml:space="preserve"> </w:t>
      </w:r>
      <w:r w:rsidRPr="00382917">
        <w:t>the</w:t>
      </w:r>
      <w:r w:rsidR="00EE4FC3">
        <w:t xml:space="preserve"> </w:t>
      </w:r>
      <w:r w:rsidRPr="00382917">
        <w:t>books</w:t>
      </w:r>
      <w:r w:rsidR="00EE4FC3">
        <w:t xml:space="preserve"> </w:t>
      </w:r>
      <w:r w:rsidRPr="00382917">
        <w:t>home</w:t>
      </w:r>
      <w:r w:rsidR="00EE4FC3">
        <w:t xml:space="preserve"> </w:t>
      </w:r>
      <w:r w:rsidRPr="00382917">
        <w:t>to</w:t>
      </w:r>
      <w:r w:rsidR="00EE4FC3">
        <w:t xml:space="preserve"> </w:t>
      </w:r>
      <w:r w:rsidRPr="00382917">
        <w:t>study</w:t>
      </w:r>
      <w:r w:rsidR="00B71244">
        <w:t>.</w:t>
      </w:r>
      <w:r w:rsidR="00EE4FC3">
        <w:t xml:space="preserve">  </w:t>
      </w:r>
      <w:r w:rsidRPr="00382917">
        <w:t>Her</w:t>
      </w:r>
      <w:r w:rsidR="00EE4FC3">
        <w:t xml:space="preserve"> </w:t>
      </w:r>
      <w:r w:rsidRPr="00382917">
        <w:t>father</w:t>
      </w:r>
      <w:r w:rsidR="00EE4FC3">
        <w:t xml:space="preserve"> </w:t>
      </w:r>
      <w:r w:rsidRPr="00382917">
        <w:t>raised</w:t>
      </w:r>
      <w:r w:rsidR="00EE4FC3">
        <w:t xml:space="preserve"> </w:t>
      </w:r>
      <w:r w:rsidRPr="00382917">
        <w:t>violent</w:t>
      </w:r>
      <w:r w:rsidR="00EE4FC3">
        <w:t xml:space="preserve"> </w:t>
      </w:r>
      <w:r w:rsidRPr="00382917">
        <w:t>objections,</w:t>
      </w:r>
      <w:r w:rsidR="00EE4FC3">
        <w:t xml:space="preserve"> </w:t>
      </w:r>
      <w:r w:rsidRPr="00382917">
        <w:t>had</w:t>
      </w:r>
      <w:r w:rsidR="00EE4FC3">
        <w:t xml:space="preserve"> </w:t>
      </w:r>
      <w:r w:rsidRPr="00382917">
        <w:t>heated</w:t>
      </w:r>
      <w:r w:rsidR="00EE4FC3">
        <w:t xml:space="preserve"> </w:t>
      </w:r>
      <w:r w:rsidRPr="00382917">
        <w:t>discussions</w:t>
      </w:r>
      <w:r w:rsidR="00EE4FC3">
        <w:t xml:space="preserve"> </w:t>
      </w:r>
      <w:r w:rsidRPr="00382917">
        <w:t>with</w:t>
      </w:r>
      <w:r w:rsidR="00EE4FC3">
        <w:t xml:space="preserve"> </w:t>
      </w:r>
      <w:r w:rsidRPr="00382917">
        <w:t>her,</w:t>
      </w:r>
      <w:r w:rsidR="00EE4FC3">
        <w:t xml:space="preserve"> </w:t>
      </w:r>
      <w:r w:rsidRPr="00382917">
        <w:t>and</w:t>
      </w:r>
      <w:r w:rsidR="00EE4FC3">
        <w:t xml:space="preserve"> </w:t>
      </w:r>
      <w:r w:rsidRPr="00382917">
        <w:t>criticized</w:t>
      </w:r>
      <w:r w:rsidR="00EE4FC3">
        <w:t xml:space="preserve"> </w:t>
      </w:r>
      <w:r w:rsidRPr="00382917">
        <w:t>and</w:t>
      </w:r>
      <w:r w:rsidR="00EE4FC3">
        <w:t xml:space="preserve"> </w:t>
      </w:r>
      <w:r w:rsidRPr="00382917">
        <w:t>denounced</w:t>
      </w:r>
      <w:r w:rsidR="00EE4FC3">
        <w:t xml:space="preserve"> </w:t>
      </w:r>
      <w:r w:rsidRPr="00382917">
        <w:t>the</w:t>
      </w:r>
      <w:r w:rsidR="00EE4FC3">
        <w:t xml:space="preserve"> </w:t>
      </w:r>
      <w:r w:rsidRPr="00382917">
        <w:t>writings</w:t>
      </w:r>
      <w:r w:rsidR="00EE4FC3">
        <w:t xml:space="preserve"> </w:t>
      </w:r>
      <w:r w:rsidRPr="00382917">
        <w:t>of</w:t>
      </w:r>
      <w:r w:rsidR="00EE4FC3">
        <w:t xml:space="preserve"> </w:t>
      </w:r>
      <w:r w:rsidR="008A073E" w:rsidRPr="00382917">
        <w:rPr>
          <w:u w:val="single"/>
        </w:rPr>
        <w:t>Sh</w:t>
      </w:r>
      <w:r w:rsidR="008A073E" w:rsidRPr="00382917">
        <w:t>ay</w:t>
      </w:r>
      <w:r w:rsidR="008A073E" w:rsidRPr="00382917">
        <w:rPr>
          <w:u w:val="single"/>
        </w:rPr>
        <w:t>kh</w:t>
      </w:r>
      <w:r w:rsidR="00EE4FC3">
        <w:t xml:space="preserve"> </w:t>
      </w:r>
      <w:r w:rsidR="008A073E" w:rsidRPr="00382917">
        <w:t>Aḥmad</w:t>
      </w:r>
      <w:r w:rsidR="00B71244">
        <w:t>.</w:t>
      </w:r>
      <w:r w:rsidR="00EE4FC3">
        <w:t xml:space="preserve">  </w:t>
      </w:r>
      <w:r w:rsidRPr="00382917">
        <w:t>She</w:t>
      </w:r>
      <w:r w:rsidR="00EE4FC3">
        <w:t xml:space="preserve"> </w:t>
      </w:r>
      <w:r w:rsidRPr="00382917">
        <w:t>eagerly</w:t>
      </w:r>
      <w:r w:rsidR="00EE4FC3">
        <w:t xml:space="preserve"> </w:t>
      </w:r>
      <w:r w:rsidRPr="00382917">
        <w:t>read</w:t>
      </w:r>
      <w:r w:rsidR="00EE4FC3">
        <w:t xml:space="preserve"> </w:t>
      </w:r>
      <w:r w:rsidRPr="00382917">
        <w:t>all</w:t>
      </w:r>
      <w:r w:rsidR="00EE4FC3">
        <w:t xml:space="preserve"> </w:t>
      </w:r>
      <w:r w:rsidRPr="00382917">
        <w:t>of</w:t>
      </w:r>
      <w:r w:rsidR="00EE4FC3">
        <w:t xml:space="preserve"> </w:t>
      </w:r>
      <w:r w:rsidRPr="00382917">
        <w:t>their</w:t>
      </w:r>
      <w:r w:rsidR="00EE4FC3">
        <w:t xml:space="preserve"> </w:t>
      </w:r>
      <w:r w:rsidRPr="00382917">
        <w:t>books</w:t>
      </w:r>
      <w:r w:rsidR="00EE4FC3">
        <w:t xml:space="preserve"> </w:t>
      </w:r>
      <w:r w:rsidRPr="00382917">
        <w:t>that</w:t>
      </w:r>
      <w:r w:rsidR="00EE4FC3">
        <w:t xml:space="preserve"> </w:t>
      </w:r>
      <w:r w:rsidRPr="00382917">
        <w:t>she</w:t>
      </w:r>
      <w:r w:rsidR="00EE4FC3">
        <w:t xml:space="preserve"> </w:t>
      </w:r>
      <w:r w:rsidRPr="00382917">
        <w:t>could</w:t>
      </w:r>
      <w:r w:rsidR="00EE4FC3">
        <w:t xml:space="preserve"> </w:t>
      </w:r>
      <w:r w:rsidRPr="00382917">
        <w:t>find</w:t>
      </w:r>
      <w:r w:rsidR="00B71244">
        <w:t>.</w:t>
      </w:r>
      <w:r w:rsidR="00EE4FC3">
        <w:t xml:space="preserve">  </w:t>
      </w:r>
      <w:r w:rsidR="008A073E" w:rsidRPr="00382917">
        <w:rPr>
          <w:u w:val="single"/>
        </w:rPr>
        <w:t>Sh</w:t>
      </w:r>
      <w:r w:rsidR="008A073E" w:rsidRPr="00382917">
        <w:t>ay</w:t>
      </w:r>
      <w:r w:rsidR="008A073E" w:rsidRPr="00382917">
        <w:rPr>
          <w:u w:val="single"/>
        </w:rPr>
        <w:t>kh</w:t>
      </w:r>
      <w:r w:rsidR="00EE4FC3">
        <w:t xml:space="preserve"> </w:t>
      </w:r>
      <w:r w:rsidR="008A073E" w:rsidRPr="00382917">
        <w:t>Aḥmad</w:t>
      </w:r>
      <w:r w:rsidR="00EE4FC3">
        <w:t xml:space="preserve"> </w:t>
      </w:r>
      <w:r w:rsidRPr="00382917">
        <w:t>was</w:t>
      </w:r>
      <w:r w:rsidR="00EE4FC3">
        <w:t xml:space="preserve"> </w:t>
      </w:r>
      <w:r w:rsidRPr="00382917">
        <w:t>dead,</w:t>
      </w:r>
      <w:r w:rsidR="00EE4FC3">
        <w:t xml:space="preserve"> </w:t>
      </w:r>
      <w:r w:rsidRPr="00382917">
        <w:t>but</w:t>
      </w:r>
      <w:r w:rsidR="00EE4FC3">
        <w:t xml:space="preserve"> </w:t>
      </w:r>
      <w:r w:rsidRPr="00382917">
        <w:t>Siyyid</w:t>
      </w:r>
      <w:r w:rsidR="00EE4FC3">
        <w:t xml:space="preserve"> </w:t>
      </w:r>
      <w:r w:rsidRPr="00382917">
        <w:t>Káẓim</w:t>
      </w:r>
      <w:r w:rsidR="00EE4FC3">
        <w:t xml:space="preserve"> </w:t>
      </w:r>
      <w:r w:rsidRPr="00382917">
        <w:t>was</w:t>
      </w:r>
      <w:r w:rsidR="00EE4FC3">
        <w:t xml:space="preserve"> </w:t>
      </w:r>
      <w:r w:rsidRPr="00382917">
        <w:t>still</w:t>
      </w:r>
      <w:r w:rsidR="00EE4FC3">
        <w:t xml:space="preserve"> </w:t>
      </w:r>
      <w:r w:rsidRPr="00382917">
        <w:t>living</w:t>
      </w:r>
      <w:r w:rsidR="00EE4FC3">
        <w:t xml:space="preserve"> </w:t>
      </w:r>
      <w:r w:rsidRPr="00382917">
        <w:t>in</w:t>
      </w:r>
      <w:r w:rsidR="00EE4FC3">
        <w:t xml:space="preserve"> </w:t>
      </w:r>
      <w:r w:rsidRPr="00382917">
        <w:t>Karbilá,</w:t>
      </w:r>
      <w:r w:rsidR="00EE4FC3">
        <w:t xml:space="preserve"> </w:t>
      </w:r>
      <w:r w:rsidRPr="00382917">
        <w:t>so</w:t>
      </w:r>
      <w:r w:rsidR="00EE4FC3">
        <w:t xml:space="preserve"> </w:t>
      </w:r>
      <w:r w:rsidRPr="00382917">
        <w:t>Ṭáhirih</w:t>
      </w:r>
      <w:r w:rsidR="00EE4FC3">
        <w:t xml:space="preserve"> </w:t>
      </w:r>
      <w:r w:rsidRPr="00382917">
        <w:t>began</w:t>
      </w:r>
      <w:r w:rsidR="00EE4FC3">
        <w:t xml:space="preserve"> </w:t>
      </w:r>
      <w:r w:rsidRPr="00382917">
        <w:t>corresponding</w:t>
      </w:r>
      <w:r w:rsidR="00EE4FC3">
        <w:t xml:space="preserve"> </w:t>
      </w:r>
      <w:r w:rsidRPr="00382917">
        <w:t>with</w:t>
      </w:r>
      <w:r w:rsidR="00EE4FC3">
        <w:t xml:space="preserve"> </w:t>
      </w:r>
      <w:r w:rsidRPr="00382917">
        <w:t>him</w:t>
      </w:r>
      <w:r w:rsidR="00B71244">
        <w:t>.</w:t>
      </w:r>
      <w:r w:rsidR="00EE4FC3">
        <w:t xml:space="preserve">  </w:t>
      </w:r>
      <w:r w:rsidRPr="00382917">
        <w:t>His</w:t>
      </w:r>
      <w:r w:rsidR="00EE4FC3">
        <w:t xml:space="preserve"> </w:t>
      </w:r>
      <w:r w:rsidRPr="00382917">
        <w:t>letters</w:t>
      </w:r>
      <w:r w:rsidR="00EE4FC3">
        <w:t xml:space="preserve"> </w:t>
      </w:r>
      <w:r w:rsidRPr="00382917">
        <w:t>excited</w:t>
      </w:r>
      <w:r w:rsidR="00EE4FC3">
        <w:t xml:space="preserve"> </w:t>
      </w:r>
      <w:r w:rsidRPr="00382917">
        <w:t>in</w:t>
      </w:r>
      <w:r w:rsidR="00EE4FC3">
        <w:t xml:space="preserve"> </w:t>
      </w:r>
      <w:r w:rsidRPr="00382917">
        <w:t>her</w:t>
      </w:r>
      <w:r w:rsidR="00EE4FC3">
        <w:t xml:space="preserve"> </w:t>
      </w:r>
      <w:r w:rsidRPr="00382917">
        <w:t>an</w:t>
      </w:r>
      <w:r w:rsidR="00EE4FC3">
        <w:t xml:space="preserve"> </w:t>
      </w:r>
      <w:r w:rsidRPr="00382917">
        <w:t>ever</w:t>
      </w:r>
      <w:r w:rsidR="00EE4FC3">
        <w:t xml:space="preserve"> </w:t>
      </w:r>
      <w:r w:rsidRPr="00382917">
        <w:t>keener</w:t>
      </w:r>
      <w:r w:rsidR="00EE4FC3">
        <w:t xml:space="preserve"> </w:t>
      </w:r>
      <w:r w:rsidRPr="00382917">
        <w:t>interest</w:t>
      </w:r>
      <w:r w:rsidR="00EE4FC3">
        <w:t xml:space="preserve"> </w:t>
      </w:r>
      <w:r w:rsidRPr="00382917">
        <w:t>in</w:t>
      </w:r>
      <w:r w:rsidR="00EE4FC3">
        <w:t xml:space="preserve"> </w:t>
      </w:r>
      <w:r w:rsidRPr="00382917">
        <w:t>the</w:t>
      </w:r>
      <w:r w:rsidR="00EE4FC3">
        <w:t xml:space="preserve"> </w:t>
      </w:r>
      <w:r w:rsidRPr="00382917">
        <w:t>coming</w:t>
      </w:r>
      <w:r w:rsidR="00EE4FC3">
        <w:t xml:space="preserve"> </w:t>
      </w:r>
      <w:r w:rsidRPr="00382917">
        <w:t>of</w:t>
      </w:r>
      <w:r w:rsidR="00EE4FC3">
        <w:t xml:space="preserve"> </w:t>
      </w:r>
      <w:r w:rsidRPr="00382917">
        <w:t>a</w:t>
      </w:r>
      <w:r w:rsidR="00EE4FC3">
        <w:t xml:space="preserve"> </w:t>
      </w:r>
      <w:r w:rsidRPr="00382917">
        <w:t>promised</w:t>
      </w:r>
      <w:r w:rsidR="00EE4FC3">
        <w:t xml:space="preserve"> </w:t>
      </w:r>
      <w:r w:rsidRPr="00382917">
        <w:t>Messenger</w:t>
      </w:r>
      <w:r w:rsidR="00B71244">
        <w:t>.</w:t>
      </w:r>
      <w:r w:rsidR="00EE4FC3">
        <w:t xml:space="preserve">  </w:t>
      </w:r>
      <w:r w:rsidRPr="00382917">
        <w:t>She</w:t>
      </w:r>
      <w:r w:rsidR="00EE4FC3">
        <w:t xml:space="preserve"> </w:t>
      </w:r>
      <w:r w:rsidRPr="00382917">
        <w:t>had</w:t>
      </w:r>
      <w:r w:rsidR="00EE4FC3">
        <w:t xml:space="preserve"> </w:t>
      </w:r>
      <w:r w:rsidRPr="00382917">
        <w:t>a</w:t>
      </w:r>
      <w:r w:rsidR="00EE4FC3">
        <w:t xml:space="preserve"> </w:t>
      </w:r>
      <w:r w:rsidRPr="00382917">
        <w:t>great</w:t>
      </w:r>
      <w:r w:rsidR="00EE4FC3">
        <w:t xml:space="preserve"> </w:t>
      </w:r>
      <w:r w:rsidRPr="00382917">
        <w:t>longing</w:t>
      </w:r>
      <w:r w:rsidR="00EE4FC3">
        <w:t xml:space="preserve"> </w:t>
      </w:r>
      <w:r w:rsidRPr="00382917">
        <w:t>to</w:t>
      </w:r>
      <w:r w:rsidR="00EE4FC3">
        <w:t xml:space="preserve"> </w:t>
      </w:r>
      <w:r w:rsidRPr="00382917">
        <w:t>go</w:t>
      </w:r>
      <w:r w:rsidR="00EE4FC3">
        <w:t xml:space="preserve"> </w:t>
      </w:r>
      <w:r w:rsidRPr="00382917">
        <w:t>to</w:t>
      </w:r>
      <w:r w:rsidR="00EE4FC3">
        <w:t xml:space="preserve"> </w:t>
      </w:r>
      <w:r w:rsidRPr="00382917">
        <w:t>Karbilá</w:t>
      </w:r>
      <w:r w:rsidR="00EE4FC3">
        <w:t xml:space="preserve"> </w:t>
      </w:r>
      <w:r w:rsidRPr="00382917">
        <w:t>to</w:t>
      </w:r>
      <w:r w:rsidR="00EE4FC3">
        <w:t xml:space="preserve"> </w:t>
      </w:r>
      <w:r w:rsidRPr="00382917">
        <w:t>study</w:t>
      </w:r>
      <w:r w:rsidR="00EE4FC3">
        <w:t xml:space="preserve"> </w:t>
      </w:r>
      <w:r w:rsidRPr="00382917">
        <w:t>under</w:t>
      </w:r>
      <w:r w:rsidR="00EE4FC3">
        <w:t xml:space="preserve"> </w:t>
      </w:r>
      <w:r w:rsidRPr="00382917">
        <w:t>Siyyid</w:t>
      </w:r>
      <w:r w:rsidR="00EE4FC3">
        <w:t xml:space="preserve"> </w:t>
      </w:r>
      <w:r w:rsidRPr="00382917">
        <w:t>Káẓim.</w:t>
      </w:r>
    </w:p>
    <w:p w:rsidR="005B5622" w:rsidRPr="00382917" w:rsidRDefault="005B5622" w:rsidP="006340BC">
      <w:pPr>
        <w:pStyle w:val="Text"/>
      </w:pPr>
      <w:r w:rsidRPr="00382917">
        <w:t>She</w:t>
      </w:r>
      <w:r w:rsidR="00EE4FC3">
        <w:t xml:space="preserve"> </w:t>
      </w:r>
      <w:r w:rsidRPr="00382917">
        <w:t>knew</w:t>
      </w:r>
      <w:r w:rsidR="00EE4FC3">
        <w:t xml:space="preserve"> </w:t>
      </w:r>
      <w:r w:rsidRPr="00382917">
        <w:t>that</w:t>
      </w:r>
      <w:r w:rsidR="00EE4FC3">
        <w:t xml:space="preserve"> </w:t>
      </w:r>
      <w:r w:rsidRPr="00382917">
        <w:t>her</w:t>
      </w:r>
      <w:r w:rsidR="00EE4FC3">
        <w:t xml:space="preserve"> </w:t>
      </w:r>
      <w:r w:rsidRPr="00382917">
        <w:t>father</w:t>
      </w:r>
      <w:r w:rsidR="00EE4FC3">
        <w:t xml:space="preserve"> </w:t>
      </w:r>
      <w:r w:rsidRPr="00382917">
        <w:t>would</w:t>
      </w:r>
      <w:r w:rsidR="00EE4FC3">
        <w:t xml:space="preserve"> </w:t>
      </w:r>
      <w:r w:rsidRPr="00382917">
        <w:t>never</w:t>
      </w:r>
      <w:r w:rsidR="00EE4FC3">
        <w:t xml:space="preserve"> </w:t>
      </w:r>
      <w:r w:rsidRPr="00382917">
        <w:t>grant</w:t>
      </w:r>
      <w:r w:rsidR="00EE4FC3">
        <w:t xml:space="preserve"> </w:t>
      </w:r>
      <w:r w:rsidRPr="00382917">
        <w:t>his</w:t>
      </w:r>
      <w:r w:rsidR="00EE4FC3">
        <w:t xml:space="preserve"> </w:t>
      </w:r>
      <w:r w:rsidRPr="00382917">
        <w:t>permission</w:t>
      </w:r>
      <w:r w:rsidR="00B71244">
        <w:t>.</w:t>
      </w:r>
      <w:r w:rsidR="00EE4FC3">
        <w:t xml:space="preserve">  </w:t>
      </w:r>
      <w:r w:rsidRPr="00382917">
        <w:t>However,</w:t>
      </w:r>
      <w:r w:rsidR="00EE4FC3">
        <w:t xml:space="preserve"> </w:t>
      </w:r>
      <w:r w:rsidRPr="00382917">
        <w:t>with</w:t>
      </w:r>
      <w:r w:rsidR="00EE4FC3">
        <w:t xml:space="preserve"> </w:t>
      </w:r>
      <w:r w:rsidRPr="00382917">
        <w:t>the</w:t>
      </w:r>
      <w:r w:rsidR="00EE4FC3">
        <w:t xml:space="preserve"> </w:t>
      </w:r>
      <w:r w:rsidRPr="00382917">
        <w:t>help</w:t>
      </w:r>
      <w:r w:rsidR="00EE4FC3">
        <w:t xml:space="preserve"> </w:t>
      </w:r>
      <w:r w:rsidRPr="00382917">
        <w:t>of</w:t>
      </w:r>
      <w:r w:rsidR="00EE4FC3">
        <w:t xml:space="preserve"> </w:t>
      </w:r>
      <w:r w:rsidRPr="00382917">
        <w:t>her</w:t>
      </w:r>
      <w:r w:rsidR="00EE4FC3">
        <w:t xml:space="preserve"> </w:t>
      </w:r>
      <w:r w:rsidRPr="00382917">
        <w:t>uncle,</w:t>
      </w:r>
      <w:r w:rsidR="00EE4FC3">
        <w:t xml:space="preserve"> </w:t>
      </w:r>
      <w:r w:rsidRPr="00382917">
        <w:t>she</w:t>
      </w:r>
      <w:r w:rsidR="00EE4FC3">
        <w:t xml:space="preserve"> </w:t>
      </w:r>
      <w:r w:rsidRPr="00382917">
        <w:t>secured</w:t>
      </w:r>
      <w:r w:rsidR="00EE4FC3">
        <w:t xml:space="preserve"> </w:t>
      </w:r>
      <w:r w:rsidRPr="00382917">
        <w:t>permission</w:t>
      </w:r>
      <w:r w:rsidR="00EE4FC3">
        <w:t xml:space="preserve"> </w:t>
      </w:r>
      <w:r w:rsidRPr="00382917">
        <w:t>to</w:t>
      </w:r>
      <w:r w:rsidR="00EE4FC3">
        <w:t xml:space="preserve"> </w:t>
      </w:r>
      <w:r w:rsidRPr="00382917">
        <w:t>visit</w:t>
      </w:r>
      <w:r w:rsidR="00EE4FC3">
        <w:t xml:space="preserve"> </w:t>
      </w:r>
      <w:r w:rsidRPr="00382917">
        <w:t>the</w:t>
      </w:r>
      <w:r w:rsidR="00EE4FC3">
        <w:t xml:space="preserve"> </w:t>
      </w:r>
      <w:r w:rsidRPr="00382917">
        <w:t>Shrines</w:t>
      </w:r>
      <w:r w:rsidR="00EE4FC3">
        <w:t xml:space="preserve"> </w:t>
      </w:r>
      <w:r w:rsidRPr="00382917">
        <w:t>at</w:t>
      </w:r>
      <w:r w:rsidR="00EE4FC3">
        <w:t xml:space="preserve"> </w:t>
      </w:r>
      <w:r w:rsidRPr="00382917">
        <w:t>Karbilá</w:t>
      </w:r>
      <w:r w:rsidR="00EE4FC3">
        <w:t xml:space="preserve"> </w:t>
      </w:r>
      <w:r w:rsidRPr="00382917">
        <w:t>and</w:t>
      </w:r>
      <w:r w:rsidR="00EE4FC3">
        <w:t xml:space="preserve"> </w:t>
      </w:r>
      <w:r w:rsidRPr="00382917">
        <w:t>Najaf</w:t>
      </w:r>
      <w:r w:rsidR="00B71244">
        <w:t>.</w:t>
      </w:r>
      <w:r w:rsidR="00EE4FC3">
        <w:t xml:space="preserve">  </w:t>
      </w:r>
      <w:r w:rsidRPr="00382917">
        <w:t>Her</w:t>
      </w:r>
      <w:r w:rsidR="00EE4FC3">
        <w:t xml:space="preserve"> </w:t>
      </w:r>
      <w:r w:rsidRPr="00382917">
        <w:t>family</w:t>
      </w:r>
      <w:r w:rsidR="00EE4FC3">
        <w:t xml:space="preserve"> </w:t>
      </w:r>
      <w:r w:rsidRPr="00382917">
        <w:t>willingly</w:t>
      </w:r>
      <w:r w:rsidR="00EE4FC3">
        <w:t xml:space="preserve"> </w:t>
      </w:r>
      <w:r w:rsidRPr="00382917">
        <w:t>granted</w:t>
      </w:r>
      <w:r w:rsidR="00EE4FC3">
        <w:t xml:space="preserve"> </w:t>
      </w:r>
      <w:r w:rsidRPr="00382917">
        <w:t>permission</w:t>
      </w:r>
      <w:r w:rsidR="00EE4FC3">
        <w:t xml:space="preserve"> </w:t>
      </w:r>
      <w:r w:rsidRPr="00382917">
        <w:t>for</w:t>
      </w:r>
      <w:r w:rsidR="00EE4FC3">
        <w:t xml:space="preserve"> </w:t>
      </w:r>
      <w:r w:rsidRPr="00382917">
        <w:t>this,</w:t>
      </w:r>
      <w:r w:rsidR="00EE4FC3">
        <w:t xml:space="preserve"> </w:t>
      </w:r>
      <w:r w:rsidRPr="00382917">
        <w:t>believing</w:t>
      </w:r>
      <w:r w:rsidR="00EE4FC3">
        <w:t xml:space="preserve"> </w:t>
      </w:r>
      <w:r w:rsidRPr="00382917">
        <w:t>that</w:t>
      </w:r>
      <w:r w:rsidR="00EE4FC3">
        <w:t xml:space="preserve"> </w:t>
      </w:r>
      <w:r w:rsidRPr="00382917">
        <w:t>a</w:t>
      </w:r>
      <w:r w:rsidR="00EE4FC3">
        <w:t xml:space="preserve"> </w:t>
      </w:r>
      <w:r w:rsidRPr="00382917">
        <w:t>pilgrimage</w:t>
      </w:r>
      <w:r w:rsidR="00EE4FC3">
        <w:t xml:space="preserve"> </w:t>
      </w:r>
      <w:r w:rsidRPr="00382917">
        <w:t>might</w:t>
      </w:r>
      <w:r w:rsidR="00EE4FC3">
        <w:t xml:space="preserve"> </w:t>
      </w:r>
      <w:r w:rsidRPr="00382917">
        <w:t>bring</w:t>
      </w:r>
      <w:r w:rsidR="00EE4FC3">
        <w:t xml:space="preserve"> </w:t>
      </w:r>
      <w:r w:rsidRPr="00382917">
        <w:t>her</w:t>
      </w:r>
      <w:r w:rsidR="00EE4FC3">
        <w:t xml:space="preserve"> </w:t>
      </w:r>
      <w:r w:rsidRPr="00382917">
        <w:t>back</w:t>
      </w:r>
      <w:r w:rsidR="00EE4FC3">
        <w:t xml:space="preserve"> </w:t>
      </w:r>
      <w:r w:rsidRPr="00382917">
        <w:t>to</w:t>
      </w:r>
      <w:r w:rsidR="00EE4FC3">
        <w:t xml:space="preserve"> </w:t>
      </w:r>
      <w:r w:rsidRPr="00382917">
        <w:t>her</w:t>
      </w:r>
      <w:r w:rsidR="00EE4FC3">
        <w:t xml:space="preserve"> </w:t>
      </w:r>
      <w:r w:rsidRPr="00382917">
        <w:t>senses</w:t>
      </w:r>
      <w:r w:rsidR="00EE4FC3">
        <w:t xml:space="preserve"> </w:t>
      </w:r>
      <w:r w:rsidRPr="00382917">
        <w:t>and</w:t>
      </w:r>
      <w:r w:rsidR="00EE4FC3">
        <w:t xml:space="preserve"> </w:t>
      </w:r>
      <w:r w:rsidRPr="00382917">
        <w:t>to</w:t>
      </w:r>
      <w:r w:rsidR="00EE4FC3">
        <w:t xml:space="preserve"> </w:t>
      </w:r>
      <w:r w:rsidRPr="00382917">
        <w:t>more</w:t>
      </w:r>
      <w:r w:rsidR="00EE4FC3">
        <w:t xml:space="preserve"> </w:t>
      </w:r>
      <w:r w:rsidRPr="00382917">
        <w:t>orthodox</w:t>
      </w:r>
      <w:r w:rsidR="00EE4FC3">
        <w:t xml:space="preserve"> </w:t>
      </w:r>
      <w:r w:rsidRPr="00382917">
        <w:t>ways</w:t>
      </w:r>
      <w:r w:rsidR="00B71244">
        <w:t>.</w:t>
      </w:r>
      <w:r w:rsidR="00EE4FC3">
        <w:t xml:space="preserve">  </w:t>
      </w:r>
      <w:r w:rsidRPr="00382917">
        <w:t>They</w:t>
      </w:r>
      <w:r w:rsidR="00EE4FC3">
        <w:t xml:space="preserve"> </w:t>
      </w:r>
      <w:r w:rsidRPr="00382917">
        <w:t>did</w:t>
      </w:r>
      <w:r w:rsidR="00EE4FC3">
        <w:t xml:space="preserve"> </w:t>
      </w:r>
      <w:r w:rsidRPr="00382917">
        <w:t>not</w:t>
      </w:r>
      <w:r w:rsidR="00EE4FC3">
        <w:t xml:space="preserve"> </w:t>
      </w:r>
      <w:r w:rsidRPr="00382917">
        <w:t>suspect</w:t>
      </w:r>
      <w:r w:rsidR="00EE4FC3">
        <w:t xml:space="preserve"> </w:t>
      </w:r>
      <w:r w:rsidRPr="00382917">
        <w:t>that</w:t>
      </w:r>
      <w:r w:rsidR="00EE4FC3">
        <w:t xml:space="preserve"> </w:t>
      </w:r>
      <w:r w:rsidRPr="00382917">
        <w:t>her</w:t>
      </w:r>
      <w:r w:rsidR="00EE4FC3">
        <w:t xml:space="preserve"> </w:t>
      </w:r>
      <w:r w:rsidRPr="00382917">
        <w:t>true</w:t>
      </w:r>
      <w:r w:rsidR="00EE4FC3">
        <w:t xml:space="preserve"> </w:t>
      </w:r>
      <w:r w:rsidRPr="00382917">
        <w:t>purpose</w:t>
      </w:r>
      <w:r w:rsidR="00EE4FC3">
        <w:t xml:space="preserve"> </w:t>
      </w:r>
      <w:r w:rsidRPr="00382917">
        <w:t>in</w:t>
      </w:r>
      <w:r w:rsidR="00EE4FC3">
        <w:t xml:space="preserve"> </w:t>
      </w:r>
      <w:r w:rsidRPr="00382917">
        <w:t>going</w:t>
      </w:r>
      <w:r w:rsidR="00EE4FC3">
        <w:t xml:space="preserve"> </w:t>
      </w:r>
      <w:r w:rsidRPr="00382917">
        <w:t>was</w:t>
      </w:r>
      <w:r w:rsidR="00EE4FC3">
        <w:t xml:space="preserve"> </w:t>
      </w:r>
      <w:r w:rsidRPr="00382917">
        <w:t>to</w:t>
      </w:r>
      <w:r w:rsidR="00EE4FC3">
        <w:t xml:space="preserve"> </w:t>
      </w:r>
      <w:r w:rsidRPr="00382917">
        <w:t>meet</w:t>
      </w:r>
      <w:r w:rsidR="00EE4FC3">
        <w:t xml:space="preserve"> </w:t>
      </w:r>
      <w:r w:rsidRPr="00382917">
        <w:t>Siyyid</w:t>
      </w:r>
      <w:r w:rsidR="00EE4FC3">
        <w:t xml:space="preserve"> </w:t>
      </w:r>
      <w:r w:rsidRPr="00382917">
        <w:t>Káẓim.</w:t>
      </w:r>
    </w:p>
    <w:p w:rsidR="005B5622" w:rsidRPr="00382917" w:rsidRDefault="005B5622" w:rsidP="006340BC">
      <w:pPr>
        <w:pStyle w:val="Text"/>
      </w:pPr>
      <w:r w:rsidRPr="00382917">
        <w:t>She</w:t>
      </w:r>
      <w:r w:rsidR="00EE4FC3">
        <w:t xml:space="preserve"> </w:t>
      </w:r>
      <w:r w:rsidRPr="00382917">
        <w:t>made</w:t>
      </w:r>
      <w:r w:rsidR="00EE4FC3">
        <w:t xml:space="preserve"> </w:t>
      </w:r>
      <w:r w:rsidRPr="00382917">
        <w:t>the</w:t>
      </w:r>
      <w:r w:rsidR="00EE4FC3">
        <w:t xml:space="preserve"> </w:t>
      </w:r>
      <w:r w:rsidRPr="00382917">
        <w:t>journey</w:t>
      </w:r>
      <w:r w:rsidR="00EE4FC3">
        <w:t xml:space="preserve"> </w:t>
      </w:r>
      <w:r w:rsidRPr="00382917">
        <w:t>in</w:t>
      </w:r>
      <w:r w:rsidR="00EE4FC3">
        <w:t xml:space="preserve"> </w:t>
      </w:r>
      <w:r w:rsidRPr="00382917">
        <w:t>1843</w:t>
      </w:r>
      <w:r w:rsidR="00B71244">
        <w:t>.</w:t>
      </w:r>
      <w:r w:rsidR="00EE4FC3">
        <w:t xml:space="preserve">  </w:t>
      </w:r>
      <w:r w:rsidRPr="00382917">
        <w:t>She</w:t>
      </w:r>
      <w:r w:rsidR="00EE4FC3">
        <w:t xml:space="preserve"> </w:t>
      </w:r>
      <w:r w:rsidRPr="00382917">
        <w:t>looked</w:t>
      </w:r>
      <w:r w:rsidR="00EE4FC3">
        <w:t xml:space="preserve"> </w:t>
      </w:r>
      <w:r w:rsidRPr="00382917">
        <w:t>forward</w:t>
      </w:r>
      <w:r w:rsidR="00EE4FC3">
        <w:t xml:space="preserve"> </w:t>
      </w:r>
      <w:r w:rsidRPr="00382917">
        <w:t>to</w:t>
      </w:r>
      <w:r w:rsidR="00EE4FC3">
        <w:t xml:space="preserve"> </w:t>
      </w:r>
      <w:r w:rsidRPr="00382917">
        <w:t>studying</w:t>
      </w:r>
      <w:r w:rsidR="00EE4FC3">
        <w:t xml:space="preserve"> </w:t>
      </w:r>
      <w:r w:rsidRPr="00382917">
        <w:t>under</w:t>
      </w:r>
      <w:r w:rsidR="00EE4FC3">
        <w:t xml:space="preserve"> </w:t>
      </w:r>
      <w:r w:rsidRPr="00382917">
        <w:t>Siyyid</w:t>
      </w:r>
      <w:r w:rsidR="00EE4FC3">
        <w:t xml:space="preserve"> </w:t>
      </w:r>
      <w:r w:rsidRPr="00382917">
        <w:t>Káẓim</w:t>
      </w:r>
      <w:r w:rsidR="00B71244">
        <w:t>.</w:t>
      </w:r>
      <w:r w:rsidR="00EE4FC3">
        <w:t xml:space="preserve">  </w:t>
      </w:r>
      <w:r w:rsidRPr="00382917">
        <w:t>During</w:t>
      </w:r>
      <w:r w:rsidR="00EE4FC3">
        <w:t xml:space="preserve"> </w:t>
      </w:r>
      <w:r w:rsidRPr="00382917">
        <w:t>those</w:t>
      </w:r>
      <w:r w:rsidR="00EE4FC3">
        <w:t xml:space="preserve"> </w:t>
      </w:r>
      <w:r w:rsidRPr="00382917">
        <w:t>days</w:t>
      </w:r>
      <w:r w:rsidR="00EE4FC3">
        <w:t xml:space="preserve"> </w:t>
      </w:r>
      <w:r w:rsidRPr="00382917">
        <w:t>she</w:t>
      </w:r>
      <w:r w:rsidR="00EE4FC3">
        <w:t xml:space="preserve"> </w:t>
      </w:r>
      <w:r w:rsidRPr="00382917">
        <w:t>thought</w:t>
      </w:r>
      <w:r w:rsidR="00EE4FC3">
        <w:t xml:space="preserve"> </w:t>
      </w:r>
      <w:r w:rsidRPr="00382917">
        <w:t>only</w:t>
      </w:r>
      <w:r w:rsidR="00EE4FC3">
        <w:t xml:space="preserve"> </w:t>
      </w:r>
      <w:r w:rsidRPr="00382917">
        <w:t>of</w:t>
      </w:r>
      <w:r w:rsidR="00EE4FC3">
        <w:t xml:space="preserve"> </w:t>
      </w:r>
      <w:r w:rsidRPr="00382917">
        <w:t>his</w:t>
      </w:r>
      <w:r w:rsidR="00EE4FC3">
        <w:t xml:space="preserve"> </w:t>
      </w:r>
      <w:r w:rsidRPr="00382917">
        <w:t>promise</w:t>
      </w:r>
      <w:r w:rsidR="00C03C91">
        <w:t>:</w:t>
      </w:r>
      <w:r w:rsidR="00EE4FC3">
        <w:t xml:space="preserve">  </w:t>
      </w:r>
      <w:r w:rsidRPr="00382917">
        <w:t>the</w:t>
      </w:r>
      <w:r w:rsidR="00EE4FC3">
        <w:t xml:space="preserve"> </w:t>
      </w:r>
      <w:r w:rsidRPr="00382917">
        <w:t>approaching</w:t>
      </w:r>
      <w:r w:rsidR="00EE4FC3">
        <w:t xml:space="preserve"> </w:t>
      </w:r>
      <w:r w:rsidRPr="00382917">
        <w:t>appearance</w:t>
      </w:r>
      <w:r w:rsidR="00EE4FC3">
        <w:t xml:space="preserve"> </w:t>
      </w:r>
      <w:r w:rsidRPr="00382917">
        <w:t>of</w:t>
      </w:r>
      <w:r w:rsidR="00EE4FC3">
        <w:t xml:space="preserve"> </w:t>
      </w:r>
      <w:r w:rsidRPr="00382917">
        <w:t>a</w:t>
      </w:r>
      <w:r w:rsidR="00EE4FC3">
        <w:t xml:space="preserve"> </w:t>
      </w:r>
      <w:r w:rsidRPr="00382917">
        <w:t>new</w:t>
      </w:r>
      <w:r w:rsidR="00EE4FC3">
        <w:t xml:space="preserve"> </w:t>
      </w:r>
      <w:r w:rsidRPr="00382917">
        <w:t>spiritual</w:t>
      </w:r>
      <w:r w:rsidR="00EE4FC3">
        <w:t xml:space="preserve"> </w:t>
      </w:r>
      <w:r w:rsidRPr="00382917">
        <w:t>Teacher</w:t>
      </w:r>
      <w:r w:rsidR="00EE4FC3">
        <w:t xml:space="preserve"> </w:t>
      </w:r>
      <w:r w:rsidRPr="00382917">
        <w:t>in</w:t>
      </w:r>
      <w:r w:rsidR="00EE4FC3">
        <w:t xml:space="preserve"> </w:t>
      </w:r>
      <w:r w:rsidRPr="00382917">
        <w:t>the</w:t>
      </w:r>
      <w:r w:rsidR="00EE4FC3">
        <w:t xml:space="preserve"> </w:t>
      </w:r>
      <w:r w:rsidRPr="00382917">
        <w:t>world</w:t>
      </w:r>
      <w:r w:rsidR="00B71244">
        <w:t>.</w:t>
      </w:r>
      <w:r w:rsidR="00EE4FC3">
        <w:t xml:space="preserve">  </w:t>
      </w:r>
      <w:r w:rsidRPr="00382917">
        <w:t>Ṭáhirih</w:t>
      </w:r>
      <w:r w:rsidR="00EE4FC3">
        <w:t xml:space="preserve"> </w:t>
      </w:r>
      <w:r w:rsidRPr="00382917">
        <w:t>told</w:t>
      </w:r>
      <w:r w:rsidR="00EE4FC3">
        <w:t xml:space="preserve"> </w:t>
      </w:r>
      <w:r w:rsidRPr="00382917">
        <w:t>her</w:t>
      </w:r>
      <w:r w:rsidR="00EE4FC3">
        <w:t xml:space="preserve"> </w:t>
      </w:r>
      <w:r w:rsidRPr="00382917">
        <w:t>uncle</w:t>
      </w:r>
      <w:r w:rsidR="00EE4FC3">
        <w:t xml:space="preserve"> </w:t>
      </w:r>
      <w:r w:rsidRPr="00382917">
        <w:t>that</w:t>
      </w:r>
      <w:r w:rsidR="00EE4FC3">
        <w:t xml:space="preserve"> </w:t>
      </w:r>
      <w:r w:rsidRPr="00382917">
        <w:t>she</w:t>
      </w:r>
      <w:r w:rsidR="00EE4FC3">
        <w:t xml:space="preserve"> </w:t>
      </w:r>
      <w:r w:rsidRPr="00382917">
        <w:t>wished</w:t>
      </w:r>
      <w:r w:rsidR="00EE4FC3">
        <w:t xml:space="preserve"> </w:t>
      </w:r>
      <w:r w:rsidRPr="00382917">
        <w:t>to</w:t>
      </w:r>
      <w:r w:rsidR="00EE4FC3">
        <w:t xml:space="preserve"> </w:t>
      </w:r>
      <w:r w:rsidRPr="00382917">
        <w:t>be</w:t>
      </w:r>
      <w:r w:rsidR="00EE4FC3">
        <w:t xml:space="preserve"> </w:t>
      </w:r>
      <w:r w:rsidRPr="00382917">
        <w:t>the</w:t>
      </w:r>
      <w:r w:rsidR="00EE4FC3">
        <w:t xml:space="preserve"> </w:t>
      </w:r>
      <w:r w:rsidRPr="00382917">
        <w:t>first</w:t>
      </w:r>
      <w:r w:rsidR="00EE4FC3">
        <w:t xml:space="preserve"> </w:t>
      </w:r>
      <w:r w:rsidRPr="00382917">
        <w:t>woman</w:t>
      </w:r>
      <w:r w:rsidR="00EE4FC3">
        <w:t xml:space="preserve"> </w:t>
      </w:r>
      <w:r w:rsidRPr="00382917">
        <w:t>to</w:t>
      </w:r>
      <w:r w:rsidR="00EE4FC3">
        <w:t xml:space="preserve"> </w:t>
      </w:r>
      <w:r w:rsidRPr="00382917">
        <w:t>serve</w:t>
      </w:r>
      <w:r w:rsidR="00EE4FC3">
        <w:t xml:space="preserve"> </w:t>
      </w:r>
      <w:r w:rsidRPr="00382917">
        <w:t>Him</w:t>
      </w:r>
      <w:r w:rsidR="00EE4FC3">
        <w:t xml:space="preserve"> </w:t>
      </w:r>
      <w:r w:rsidRPr="00382917">
        <w:t>when</w:t>
      </w:r>
      <w:r w:rsidR="00EE4FC3">
        <w:t xml:space="preserve"> </w:t>
      </w:r>
      <w:r w:rsidRPr="00382917">
        <w:t>He</w:t>
      </w:r>
      <w:r w:rsidR="00EE4FC3">
        <w:t xml:space="preserve"> </w:t>
      </w:r>
      <w:r w:rsidRPr="00382917">
        <w:t>appeared.</w:t>
      </w:r>
    </w:p>
    <w:p w:rsidR="00E13D49" w:rsidRPr="00382917" w:rsidRDefault="009C713D" w:rsidP="00667FB4">
      <w:pPr>
        <w:pStyle w:val="Text"/>
      </w:pPr>
      <w:r w:rsidRPr="00382917">
        <w:t>“</w:t>
      </w:r>
      <w:r w:rsidR="005B5622" w:rsidRPr="00382917">
        <w:t>Oh,</w:t>
      </w:r>
      <w:r w:rsidR="00EE4FC3">
        <w:t xml:space="preserve"> </w:t>
      </w:r>
      <w:r w:rsidR="005B5622" w:rsidRPr="00382917">
        <w:t>when</w:t>
      </w:r>
      <w:r w:rsidR="00EE4FC3">
        <w:t xml:space="preserve"> </w:t>
      </w:r>
      <w:proofErr w:type="gramStart"/>
      <w:r w:rsidR="005B5622" w:rsidRPr="00382917">
        <w:t>will</w:t>
      </w:r>
      <w:r w:rsidR="00EE4FC3">
        <w:t xml:space="preserve"> </w:t>
      </w:r>
      <w:r w:rsidR="005B5622" w:rsidRPr="00382917">
        <w:t>the</w:t>
      </w:r>
      <w:r w:rsidR="00EE4FC3">
        <w:t xml:space="preserve"> </w:t>
      </w:r>
      <w:r w:rsidR="005B5622" w:rsidRPr="00382917">
        <w:t>day</w:t>
      </w:r>
      <w:proofErr w:type="gramEnd"/>
      <w:r w:rsidR="00EE4FC3">
        <w:t xml:space="preserve"> </w:t>
      </w:r>
      <w:r w:rsidR="005B5622" w:rsidRPr="00382917">
        <w:t>come,</w:t>
      </w:r>
      <w:r w:rsidRPr="00382917">
        <w:t>”</w:t>
      </w:r>
      <w:r w:rsidR="00EE4FC3">
        <w:t xml:space="preserve"> </w:t>
      </w:r>
      <w:r w:rsidR="005B5622" w:rsidRPr="00382917">
        <w:t>she</w:t>
      </w:r>
      <w:r w:rsidR="00EE4FC3">
        <w:t xml:space="preserve"> </w:t>
      </w:r>
      <w:r w:rsidR="005B5622" w:rsidRPr="00382917">
        <w:t>said,</w:t>
      </w:r>
      <w:r w:rsidR="00EE4FC3">
        <w:t xml:space="preserve"> </w:t>
      </w:r>
      <w:r w:rsidRPr="00382917">
        <w:t>“</w:t>
      </w:r>
      <w:r w:rsidR="005B5622" w:rsidRPr="00382917">
        <w:t>when</w:t>
      </w:r>
      <w:r w:rsidR="00EE4FC3">
        <w:t xml:space="preserve"> </w:t>
      </w:r>
      <w:r w:rsidR="005B5622" w:rsidRPr="00382917">
        <w:t>new</w:t>
      </w:r>
      <w:r w:rsidR="00EE4FC3">
        <w:t xml:space="preserve"> </w:t>
      </w:r>
      <w:r w:rsidR="005B5622" w:rsidRPr="00382917">
        <w:t>laws</w:t>
      </w:r>
      <w:r w:rsidR="00EE4FC3">
        <w:t xml:space="preserve"> </w:t>
      </w:r>
      <w:r w:rsidR="005B5622" w:rsidRPr="00382917">
        <w:t>will</w:t>
      </w:r>
      <w:r w:rsidR="00EE4FC3">
        <w:t xml:space="preserve"> </w:t>
      </w:r>
      <w:r w:rsidR="005B5622" w:rsidRPr="00382917">
        <w:t>be</w:t>
      </w:r>
      <w:r w:rsidR="00EE4FC3">
        <w:t xml:space="preserve"> </w:t>
      </w:r>
      <w:r w:rsidR="005B5622" w:rsidRPr="00382917">
        <w:t>revealed</w:t>
      </w:r>
      <w:r w:rsidR="00EE4FC3">
        <w:t xml:space="preserve"> </w:t>
      </w:r>
      <w:r w:rsidR="005B5622" w:rsidRPr="00382917">
        <w:t>on</w:t>
      </w:r>
      <w:r w:rsidR="00EE4FC3">
        <w:t xml:space="preserve"> </w:t>
      </w:r>
      <w:r w:rsidR="005B5622" w:rsidRPr="00382917">
        <w:t>earth!</w:t>
      </w:r>
      <w:r w:rsidR="00EE4FC3">
        <w:t xml:space="preserve">  </w:t>
      </w:r>
      <w:r w:rsidR="005B5622" w:rsidRPr="00382917">
        <w:t>I</w:t>
      </w:r>
      <w:r w:rsidR="00EE4FC3">
        <w:t xml:space="preserve"> </w:t>
      </w:r>
      <w:r w:rsidR="005B5622" w:rsidRPr="00382917">
        <w:t>shall</w:t>
      </w:r>
      <w:r w:rsidR="00EE4FC3">
        <w:t xml:space="preserve"> </w:t>
      </w:r>
      <w:r w:rsidR="005B5622" w:rsidRPr="00382917">
        <w:t>be</w:t>
      </w:r>
      <w:r w:rsidR="00EE4FC3">
        <w:t xml:space="preserve"> </w:t>
      </w:r>
      <w:r w:rsidR="005B5622" w:rsidRPr="00382917">
        <w:t>the</w:t>
      </w:r>
      <w:r w:rsidR="00EE4FC3">
        <w:t xml:space="preserve"> </w:t>
      </w:r>
      <w:r w:rsidR="005B5622" w:rsidRPr="00382917">
        <w:t>first</w:t>
      </w:r>
      <w:r w:rsidR="00EE4FC3">
        <w:t xml:space="preserve"> </w:t>
      </w:r>
      <w:r w:rsidR="005B5622" w:rsidRPr="00382917">
        <w:t>to</w:t>
      </w:r>
      <w:r w:rsidR="00EE4FC3">
        <w:t xml:space="preserve"> </w:t>
      </w:r>
      <w:r w:rsidR="005B5622" w:rsidRPr="00382917">
        <w:t>follow</w:t>
      </w:r>
      <w:r w:rsidR="00EE4FC3">
        <w:t xml:space="preserve"> </w:t>
      </w:r>
      <w:r w:rsidR="005B5622" w:rsidRPr="00382917">
        <w:t>those</w:t>
      </w:r>
      <w:r w:rsidR="00EE4FC3">
        <w:t xml:space="preserve"> </w:t>
      </w:r>
      <w:r w:rsidR="005B5622" w:rsidRPr="00382917">
        <w:t>new</w:t>
      </w:r>
      <w:r w:rsidR="00EE4FC3">
        <w:t xml:space="preserve"> </w:t>
      </w:r>
      <w:r w:rsidR="005B5622" w:rsidRPr="00382917">
        <w:t>Teachings</w:t>
      </w:r>
      <w:r w:rsidR="00EE4FC3">
        <w:t xml:space="preserve"> </w:t>
      </w:r>
      <w:r w:rsidR="005B5622" w:rsidRPr="00382917">
        <w:t>and</w:t>
      </w:r>
      <w:r w:rsidR="00EE4FC3">
        <w:t xml:space="preserve"> </w:t>
      </w:r>
      <w:r w:rsidR="005B5622" w:rsidRPr="00382917">
        <w:t>to</w:t>
      </w:r>
      <w:r w:rsidR="00EE4FC3">
        <w:t xml:space="preserve"> </w:t>
      </w:r>
      <w:r w:rsidR="005B5622" w:rsidRPr="00382917">
        <w:t>give</w:t>
      </w:r>
      <w:r w:rsidR="00EE4FC3">
        <w:t xml:space="preserve"> </w:t>
      </w:r>
      <w:r w:rsidR="005B5622" w:rsidRPr="00382917">
        <w:t>my</w:t>
      </w:r>
      <w:r w:rsidR="00EE4FC3">
        <w:t xml:space="preserve"> </w:t>
      </w:r>
      <w:r w:rsidR="005B5622" w:rsidRPr="00382917">
        <w:t>life</w:t>
      </w:r>
      <w:r w:rsidR="00EE4FC3">
        <w:t xml:space="preserve"> </w:t>
      </w:r>
      <w:r w:rsidR="005B5622" w:rsidRPr="00382917">
        <w:t>for</w:t>
      </w:r>
      <w:r w:rsidR="00EE4FC3">
        <w:t xml:space="preserve"> </w:t>
      </w:r>
      <w:r w:rsidR="005B5622" w:rsidRPr="00382917">
        <w:t>my</w:t>
      </w:r>
      <w:r w:rsidR="00EE4FC3">
        <w:t xml:space="preserve"> </w:t>
      </w:r>
      <w:r w:rsidR="005B5622" w:rsidRPr="00382917">
        <w:t>sisters!</w:t>
      </w:r>
      <w:r w:rsidRPr="00382917">
        <w:t>”</w:t>
      </w:r>
      <w:r w:rsidR="00667FB4">
        <w:rPr>
          <w:rStyle w:val="FootnoteReference"/>
        </w:rPr>
        <w:footnoteReference w:id="132"/>
      </w:r>
    </w:p>
    <w:p w:rsidR="005B5622" w:rsidRPr="00382917" w:rsidRDefault="005B5622" w:rsidP="006340BC">
      <w:pPr>
        <w:pStyle w:val="Text"/>
      </w:pPr>
      <w:r w:rsidRPr="00382917">
        <w:t>Ṭáhirih</w:t>
      </w:r>
      <w:r w:rsidR="009C713D" w:rsidRPr="00382917">
        <w:t>’</w:t>
      </w:r>
      <w:r w:rsidRPr="00382917">
        <w:t>s</w:t>
      </w:r>
      <w:r w:rsidR="00EE4FC3">
        <w:t xml:space="preserve"> </w:t>
      </w:r>
      <w:r w:rsidRPr="00382917">
        <w:t>grief</w:t>
      </w:r>
      <w:r w:rsidR="00EE4FC3">
        <w:t xml:space="preserve"> </w:t>
      </w:r>
      <w:r w:rsidRPr="00382917">
        <w:t>was</w:t>
      </w:r>
      <w:r w:rsidR="00EE4FC3">
        <w:t xml:space="preserve"> </w:t>
      </w:r>
      <w:r w:rsidRPr="00382917">
        <w:t>very</w:t>
      </w:r>
      <w:r w:rsidR="00EE4FC3">
        <w:t xml:space="preserve"> </w:t>
      </w:r>
      <w:r w:rsidRPr="00382917">
        <w:t>deep</w:t>
      </w:r>
      <w:r w:rsidR="00EE4FC3">
        <w:t xml:space="preserve"> </w:t>
      </w:r>
      <w:r w:rsidRPr="00382917">
        <w:t>when</w:t>
      </w:r>
      <w:r w:rsidR="00EE4FC3">
        <w:t xml:space="preserve"> </w:t>
      </w:r>
      <w:r w:rsidRPr="00382917">
        <w:t>she</w:t>
      </w:r>
      <w:r w:rsidR="00EE4FC3">
        <w:t xml:space="preserve"> </w:t>
      </w:r>
      <w:r w:rsidRPr="00382917">
        <w:t>reached</w:t>
      </w:r>
      <w:r w:rsidR="00EE4FC3">
        <w:t xml:space="preserve"> </w:t>
      </w:r>
      <w:r w:rsidRPr="00382917">
        <w:t>Karbilá</w:t>
      </w:r>
      <w:r w:rsidR="00EE4FC3">
        <w:t xml:space="preserve"> </w:t>
      </w:r>
      <w:r w:rsidRPr="00382917">
        <w:t>and</w:t>
      </w:r>
      <w:r w:rsidR="00EE4FC3">
        <w:t xml:space="preserve"> </w:t>
      </w:r>
      <w:r w:rsidRPr="00382917">
        <w:t>found</w:t>
      </w:r>
      <w:r w:rsidR="00EE4FC3">
        <w:t xml:space="preserve"> </w:t>
      </w:r>
      <w:r w:rsidRPr="00382917">
        <w:t>that</w:t>
      </w:r>
      <w:r w:rsidR="00EE4FC3">
        <w:t xml:space="preserve"> </w:t>
      </w:r>
      <w:r w:rsidRPr="00382917">
        <w:t>Siyyid</w:t>
      </w:r>
      <w:r w:rsidR="00EE4FC3">
        <w:t xml:space="preserve"> </w:t>
      </w:r>
      <w:r w:rsidRPr="00382917">
        <w:t>Káẓim</w:t>
      </w:r>
      <w:r w:rsidR="00EE4FC3">
        <w:t xml:space="preserve"> </w:t>
      </w:r>
      <w:r w:rsidRPr="00382917">
        <w:t>had</w:t>
      </w:r>
      <w:r w:rsidR="00EE4FC3">
        <w:t xml:space="preserve"> </w:t>
      </w:r>
      <w:r w:rsidRPr="00382917">
        <w:t>died</w:t>
      </w:r>
      <w:r w:rsidR="00EE4FC3">
        <w:t xml:space="preserve"> </w:t>
      </w:r>
      <w:r w:rsidRPr="00382917">
        <w:t>just</w:t>
      </w:r>
      <w:r w:rsidR="00EE4FC3">
        <w:t xml:space="preserve"> </w:t>
      </w:r>
      <w:r w:rsidRPr="00382917">
        <w:t>ten</w:t>
      </w:r>
      <w:r w:rsidR="00EE4FC3">
        <w:t xml:space="preserve"> </w:t>
      </w:r>
      <w:r w:rsidRPr="00382917">
        <w:t>days</w:t>
      </w:r>
      <w:r w:rsidR="00EE4FC3">
        <w:t xml:space="preserve"> </w:t>
      </w:r>
      <w:r w:rsidRPr="00382917">
        <w:t>before</w:t>
      </w:r>
      <w:r w:rsidR="00EE4FC3">
        <w:t xml:space="preserve"> </w:t>
      </w:r>
      <w:r w:rsidRPr="00382917">
        <w:t>her</w:t>
      </w:r>
      <w:r w:rsidR="00EE4FC3">
        <w:t xml:space="preserve"> </w:t>
      </w:r>
      <w:r w:rsidRPr="00382917">
        <w:t>arrival</w:t>
      </w:r>
      <w:r w:rsidR="00B71244">
        <w:t>.</w:t>
      </w:r>
      <w:r w:rsidR="00EE4FC3">
        <w:t xml:space="preserve">  </w:t>
      </w:r>
      <w:r w:rsidRPr="00382917">
        <w:t>Her</w:t>
      </w:r>
      <w:r w:rsidR="00EE4FC3">
        <w:t xml:space="preserve"> </w:t>
      </w:r>
      <w:r w:rsidRPr="00382917">
        <w:t>sorrow</w:t>
      </w:r>
      <w:r w:rsidR="00EE4FC3">
        <w:t xml:space="preserve"> </w:t>
      </w:r>
      <w:r w:rsidRPr="00382917">
        <w:t>softened</w:t>
      </w:r>
      <w:r w:rsidR="00EE4FC3">
        <w:t xml:space="preserve"> </w:t>
      </w:r>
      <w:r w:rsidRPr="00382917">
        <w:t>when</w:t>
      </w:r>
      <w:r w:rsidR="00EE4FC3">
        <w:t xml:space="preserve"> </w:t>
      </w:r>
      <w:r w:rsidRPr="00382917">
        <w:t>she</w:t>
      </w:r>
      <w:r w:rsidR="00EE4FC3">
        <w:t xml:space="preserve"> </w:t>
      </w:r>
      <w:r w:rsidRPr="00382917">
        <w:t>was</w:t>
      </w:r>
      <w:r w:rsidR="00EE4FC3">
        <w:t xml:space="preserve"> </w:t>
      </w:r>
      <w:r w:rsidRPr="00382917">
        <w:t>permitted</w:t>
      </w:r>
      <w:r w:rsidR="00EE4FC3">
        <w:t xml:space="preserve"> </w:t>
      </w:r>
      <w:r w:rsidRPr="00382917">
        <w:t>to</w:t>
      </w:r>
      <w:r w:rsidR="00EE4FC3">
        <w:t xml:space="preserve"> </w:t>
      </w:r>
      <w:r w:rsidRPr="00382917">
        <w:t>stay</w:t>
      </w:r>
      <w:r w:rsidR="00EE4FC3">
        <w:t xml:space="preserve"> </w:t>
      </w:r>
      <w:r w:rsidRPr="00382917">
        <w:t>in</w:t>
      </w:r>
      <w:r w:rsidR="00EE4FC3">
        <w:t xml:space="preserve"> </w:t>
      </w:r>
      <w:r w:rsidRPr="00382917">
        <w:t>his</w:t>
      </w:r>
      <w:r w:rsidR="00EE4FC3">
        <w:t xml:space="preserve"> </w:t>
      </w:r>
      <w:r w:rsidRPr="00382917">
        <w:t>home,</w:t>
      </w:r>
      <w:r w:rsidR="00EE4FC3">
        <w:t xml:space="preserve"> </w:t>
      </w:r>
      <w:r w:rsidRPr="00382917">
        <w:t>and</w:t>
      </w:r>
      <w:r w:rsidR="00EE4FC3">
        <w:t xml:space="preserve"> </w:t>
      </w:r>
      <w:r w:rsidRPr="00382917">
        <w:t>was</w:t>
      </w:r>
      <w:r w:rsidR="00EE4FC3">
        <w:t xml:space="preserve"> </w:t>
      </w:r>
      <w:r w:rsidRPr="00382917">
        <w:t>given</w:t>
      </w:r>
      <w:r w:rsidR="00EE4FC3">
        <w:t xml:space="preserve"> </w:t>
      </w:r>
      <w:r w:rsidRPr="00382917">
        <w:t>access</w:t>
      </w:r>
      <w:r w:rsidR="00EE4FC3">
        <w:t xml:space="preserve"> </w:t>
      </w:r>
      <w:r w:rsidRPr="00382917">
        <w:t>to</w:t>
      </w:r>
      <w:r w:rsidR="00EE4FC3">
        <w:t xml:space="preserve"> </w:t>
      </w:r>
      <w:r w:rsidRPr="00382917">
        <w:t>all</w:t>
      </w:r>
      <w:r w:rsidR="00EE4FC3">
        <w:t xml:space="preserve"> </w:t>
      </w:r>
      <w:r w:rsidRPr="00382917">
        <w:t>his</w:t>
      </w:r>
      <w:r w:rsidR="00EE4FC3">
        <w:t xml:space="preserve"> </w:t>
      </w:r>
      <w:r w:rsidRPr="00382917">
        <w:t>writings,</w:t>
      </w:r>
      <w:r w:rsidR="00EE4FC3">
        <w:t xml:space="preserve"> </w:t>
      </w:r>
      <w:r w:rsidRPr="00382917">
        <w:t>some</w:t>
      </w:r>
      <w:r w:rsidR="00EE4FC3">
        <w:t xml:space="preserve"> </w:t>
      </w:r>
      <w:r w:rsidRPr="00382917">
        <w:t>of</w:t>
      </w:r>
      <w:r w:rsidR="00EE4FC3">
        <w:t xml:space="preserve"> </w:t>
      </w:r>
      <w:r w:rsidRPr="00382917">
        <w:t>which</w:t>
      </w:r>
      <w:r w:rsidR="00EE4FC3">
        <w:t xml:space="preserve"> </w:t>
      </w:r>
      <w:r w:rsidRPr="00382917">
        <w:t>had</w:t>
      </w:r>
      <w:r w:rsidR="00EE4FC3">
        <w:t xml:space="preserve"> </w:t>
      </w:r>
      <w:r w:rsidRPr="00382917">
        <w:t>never</w:t>
      </w:r>
      <w:r w:rsidR="00EE4FC3">
        <w:t xml:space="preserve"> </w:t>
      </w:r>
      <w:r w:rsidRPr="00382917">
        <w:t>been</w:t>
      </w:r>
      <w:r w:rsidR="00EE4FC3">
        <w:t xml:space="preserve"> </w:t>
      </w:r>
      <w:r w:rsidRPr="00382917">
        <w:t>published</w:t>
      </w:r>
      <w:r w:rsidR="00B71244">
        <w:t>.</w:t>
      </w:r>
      <w:r w:rsidR="00EE4FC3">
        <w:t xml:space="preserve">  </w:t>
      </w:r>
      <w:r w:rsidRPr="00382917">
        <w:t>She</w:t>
      </w:r>
      <w:r w:rsidR="00EE4FC3">
        <w:t xml:space="preserve"> </w:t>
      </w:r>
      <w:r w:rsidRPr="00382917">
        <w:t>studied</w:t>
      </w:r>
      <w:r w:rsidR="00EE4FC3">
        <w:t xml:space="preserve"> </w:t>
      </w:r>
      <w:r w:rsidRPr="00382917">
        <w:t>them</w:t>
      </w:r>
      <w:r w:rsidR="00EE4FC3">
        <w:t xml:space="preserve"> </w:t>
      </w:r>
      <w:r w:rsidRPr="00382917">
        <w:t>eagerly</w:t>
      </w:r>
      <w:r w:rsidR="00B71244">
        <w:t>.</w:t>
      </w:r>
      <w:r w:rsidR="00EE4FC3">
        <w:t xml:space="preserve">  </w:t>
      </w:r>
      <w:r w:rsidRPr="00382917">
        <w:t>In</w:t>
      </w:r>
      <w:r w:rsidR="00EE4FC3">
        <w:t xml:space="preserve"> </w:t>
      </w:r>
      <w:r w:rsidRPr="00382917">
        <w:t>each</w:t>
      </w:r>
      <w:r w:rsidR="00EE4FC3">
        <w:t xml:space="preserve"> </w:t>
      </w:r>
      <w:r w:rsidRPr="00382917">
        <w:t>one</w:t>
      </w:r>
      <w:r w:rsidR="00EE4FC3">
        <w:t xml:space="preserve"> </w:t>
      </w:r>
      <w:r w:rsidRPr="00382917">
        <w:t>of</w:t>
      </w:r>
      <w:r w:rsidR="00EE4FC3">
        <w:t xml:space="preserve"> </w:t>
      </w:r>
      <w:r w:rsidRPr="00382917">
        <w:t>them</w:t>
      </w:r>
      <w:r w:rsidR="00EE4FC3">
        <w:t xml:space="preserve"> </w:t>
      </w:r>
      <w:r w:rsidRPr="00382917">
        <w:t>she</w:t>
      </w:r>
      <w:r w:rsidR="00EE4FC3">
        <w:t xml:space="preserve"> </w:t>
      </w:r>
      <w:r w:rsidRPr="00382917">
        <w:t>discovered</w:t>
      </w:r>
      <w:r w:rsidR="00EE4FC3">
        <w:t xml:space="preserve"> </w:t>
      </w:r>
      <w:r w:rsidRPr="00382917">
        <w:t>that</w:t>
      </w:r>
      <w:r w:rsidR="00EE4FC3">
        <w:t xml:space="preserve"> </w:t>
      </w:r>
      <w:r w:rsidRPr="00382917">
        <w:t>same</w:t>
      </w:r>
      <w:r w:rsidR="00EE4FC3">
        <w:t xml:space="preserve"> </w:t>
      </w:r>
      <w:r w:rsidRPr="00382917">
        <w:t>thrilling</w:t>
      </w:r>
      <w:r w:rsidR="00EE4FC3">
        <w:t xml:space="preserve"> </w:t>
      </w:r>
      <w:r w:rsidRPr="00382917">
        <w:t>promise</w:t>
      </w:r>
      <w:r w:rsidR="00EE4FC3">
        <w:t xml:space="preserve"> </w:t>
      </w:r>
      <w:r w:rsidRPr="00382917">
        <w:t>of</w:t>
      </w:r>
      <w:r w:rsidR="00EE4FC3">
        <w:t xml:space="preserve"> </w:t>
      </w:r>
      <w:r w:rsidRPr="00382917">
        <w:t>a</w:t>
      </w:r>
      <w:r w:rsidR="00EE4FC3">
        <w:t xml:space="preserve"> </w:t>
      </w:r>
      <w:r w:rsidRPr="00382917">
        <w:t>great</w:t>
      </w:r>
      <w:r w:rsidR="00EE4FC3">
        <w:t xml:space="preserve"> </w:t>
      </w:r>
      <w:r w:rsidRPr="00382917">
        <w:t>Figure</w:t>
      </w:r>
      <w:r w:rsidR="00EE4FC3">
        <w:t xml:space="preserve"> </w:t>
      </w:r>
      <w:r w:rsidRPr="00382917">
        <w:t>soon</w:t>
      </w:r>
      <w:r w:rsidR="00EE4FC3">
        <w:t xml:space="preserve"> </w:t>
      </w:r>
      <w:r w:rsidRPr="00382917">
        <w:t>to</w:t>
      </w:r>
      <w:r w:rsidR="00EE4FC3">
        <w:t xml:space="preserve"> </w:t>
      </w:r>
      <w:r w:rsidRPr="00382917">
        <w:t>appear</w:t>
      </w:r>
      <w:r w:rsidR="00EE4FC3">
        <w:t xml:space="preserve"> </w:t>
      </w:r>
      <w:r w:rsidRPr="00382917">
        <w:t>on</w:t>
      </w:r>
      <w:r w:rsidR="00EE4FC3">
        <w:t xml:space="preserve"> </w:t>
      </w:r>
      <w:r w:rsidRPr="00382917">
        <w:t>earth.</w:t>
      </w:r>
    </w:p>
    <w:p w:rsidR="005B5622" w:rsidRPr="00382917" w:rsidRDefault="005B5622" w:rsidP="006340BC">
      <w:pPr>
        <w:pStyle w:val="Text"/>
      </w:pPr>
      <w:r w:rsidRPr="00382917">
        <w:t>While</w:t>
      </w:r>
      <w:r w:rsidR="00EE4FC3">
        <w:t xml:space="preserve"> </w:t>
      </w:r>
      <w:r w:rsidRPr="00382917">
        <w:t>she</w:t>
      </w:r>
      <w:r w:rsidR="00EE4FC3">
        <w:t xml:space="preserve"> </w:t>
      </w:r>
      <w:r w:rsidRPr="00382917">
        <w:t>was</w:t>
      </w:r>
      <w:r w:rsidR="00EE4FC3">
        <w:t xml:space="preserve"> </w:t>
      </w:r>
      <w:r w:rsidRPr="00382917">
        <w:t>in</w:t>
      </w:r>
      <w:r w:rsidR="00EE4FC3">
        <w:t xml:space="preserve"> </w:t>
      </w:r>
      <w:r w:rsidRPr="00382917">
        <w:t>Karbilá,</w:t>
      </w:r>
      <w:r w:rsidR="00EE4FC3">
        <w:t xml:space="preserve"> </w:t>
      </w:r>
      <w:r w:rsidRPr="00382917">
        <w:t>Ṭáhirih</w:t>
      </w:r>
      <w:r w:rsidR="00EE4FC3">
        <w:t xml:space="preserve"> </w:t>
      </w:r>
      <w:r w:rsidRPr="00382917">
        <w:t>met</w:t>
      </w:r>
      <w:r w:rsidR="00EE4FC3">
        <w:t xml:space="preserve"> </w:t>
      </w:r>
      <w:r w:rsidRPr="00382917">
        <w:t>Mullá</w:t>
      </w:r>
      <w:r w:rsidR="00EE4FC3">
        <w:t xml:space="preserve"> </w:t>
      </w:r>
      <w:r w:rsidR="00964C11" w:rsidRPr="00382917">
        <w:t>Ḥusayn</w:t>
      </w:r>
      <w:r w:rsidR="00EE4FC3">
        <w:t xml:space="preserve"> </w:t>
      </w:r>
      <w:r w:rsidRPr="00382917">
        <w:t>who</w:t>
      </w:r>
      <w:r w:rsidR="00EE4FC3">
        <w:t xml:space="preserve"> </w:t>
      </w:r>
      <w:r w:rsidRPr="00382917">
        <w:t>was</w:t>
      </w:r>
      <w:r w:rsidR="00EE4FC3">
        <w:t xml:space="preserve"> </w:t>
      </w:r>
      <w:r w:rsidRPr="00382917">
        <w:t>just</w:t>
      </w:r>
      <w:r w:rsidR="00EE4FC3">
        <w:t xml:space="preserve"> </w:t>
      </w:r>
      <w:r w:rsidRPr="00382917">
        <w:t>starting</w:t>
      </w:r>
      <w:r w:rsidR="00EE4FC3">
        <w:t xml:space="preserve"> </w:t>
      </w:r>
      <w:r w:rsidRPr="00382917">
        <w:t>out</w:t>
      </w:r>
      <w:r w:rsidR="00EE4FC3">
        <w:t xml:space="preserve"> </w:t>
      </w:r>
      <w:r w:rsidRPr="00382917">
        <w:t>on</w:t>
      </w:r>
      <w:r w:rsidR="00EE4FC3">
        <w:t xml:space="preserve"> </w:t>
      </w:r>
      <w:r w:rsidRPr="00382917">
        <w:t>his</w:t>
      </w:r>
      <w:r w:rsidR="00EE4FC3">
        <w:t xml:space="preserve"> </w:t>
      </w:r>
      <w:r w:rsidRPr="00382917">
        <w:t>search</w:t>
      </w:r>
      <w:r w:rsidR="00EE4FC3">
        <w:t xml:space="preserve"> </w:t>
      </w:r>
      <w:r w:rsidRPr="00382917">
        <w:t>for</w:t>
      </w:r>
      <w:r w:rsidR="00EE4FC3">
        <w:t xml:space="preserve"> </w:t>
      </w:r>
      <w:r w:rsidRPr="00382917">
        <w:t>the</w:t>
      </w:r>
      <w:r w:rsidR="00EE4FC3">
        <w:t xml:space="preserve"> </w:t>
      </w:r>
      <w:r w:rsidRPr="00382917">
        <w:t>Promised</w:t>
      </w:r>
      <w:r w:rsidR="00EE4FC3">
        <w:t xml:space="preserve"> </w:t>
      </w:r>
      <w:r w:rsidRPr="00382917">
        <w:t>One</w:t>
      </w:r>
      <w:r w:rsidR="00B71244">
        <w:t>.</w:t>
      </w:r>
      <w:r w:rsidR="00EE4FC3">
        <w:t xml:space="preserve">  </w:t>
      </w:r>
      <w:r w:rsidRPr="00382917">
        <w:t>Her</w:t>
      </w:r>
      <w:r w:rsidR="00EE4FC3">
        <w:t xml:space="preserve"> </w:t>
      </w:r>
      <w:r w:rsidRPr="00382917">
        <w:t>hopes</w:t>
      </w:r>
      <w:r w:rsidR="00EE4FC3">
        <w:t xml:space="preserve"> </w:t>
      </w:r>
      <w:r w:rsidRPr="00382917">
        <w:t>were</w:t>
      </w:r>
      <w:r w:rsidR="00EE4FC3">
        <w:t xml:space="preserve"> </w:t>
      </w:r>
      <w:r w:rsidRPr="00382917">
        <w:t>set</w:t>
      </w:r>
      <w:r w:rsidR="00EE4FC3">
        <w:t xml:space="preserve"> </w:t>
      </w:r>
      <w:r w:rsidRPr="00382917">
        <w:t>ablaze</w:t>
      </w:r>
      <w:r w:rsidR="00B71244">
        <w:t>.</w:t>
      </w:r>
      <w:r w:rsidR="00EE4FC3">
        <w:t xml:space="preserve">  </w:t>
      </w:r>
      <w:r w:rsidRPr="00382917">
        <w:t>She,</w:t>
      </w:r>
      <w:r w:rsidR="00EE4FC3">
        <w:t xml:space="preserve"> </w:t>
      </w:r>
      <w:r w:rsidRPr="00382917">
        <w:t>like</w:t>
      </w:r>
      <w:r w:rsidR="00EE4FC3">
        <w:t xml:space="preserve"> </w:t>
      </w:r>
      <w:r w:rsidRPr="00382917">
        <w:t>Mullá</w:t>
      </w:r>
      <w:r w:rsidR="00EE4FC3">
        <w:t xml:space="preserve"> </w:t>
      </w:r>
      <w:r w:rsidR="00964C11" w:rsidRPr="00382917">
        <w:t>Ḥusayn</w:t>
      </w:r>
      <w:r w:rsidRPr="00382917">
        <w:t>,</w:t>
      </w:r>
      <w:r w:rsidR="00EE4FC3">
        <w:t xml:space="preserve"> </w:t>
      </w:r>
      <w:r w:rsidRPr="00382917">
        <w:t>spent</w:t>
      </w:r>
      <w:r w:rsidR="00EE4FC3">
        <w:t xml:space="preserve"> </w:t>
      </w:r>
      <w:r w:rsidRPr="00382917">
        <w:t>her</w:t>
      </w:r>
      <w:r w:rsidR="00EE4FC3">
        <w:t xml:space="preserve"> </w:t>
      </w:r>
      <w:r w:rsidRPr="00382917">
        <w:t>time</w:t>
      </w:r>
      <w:r w:rsidR="00EE4FC3">
        <w:t xml:space="preserve"> </w:t>
      </w:r>
      <w:r w:rsidRPr="00382917">
        <w:t>in</w:t>
      </w:r>
      <w:r w:rsidR="00EE4FC3">
        <w:t xml:space="preserve"> </w:t>
      </w:r>
      <w:r w:rsidRPr="00382917">
        <w:t>prayer</w:t>
      </w:r>
      <w:r w:rsidR="00EE4FC3">
        <w:t xml:space="preserve"> </w:t>
      </w:r>
      <w:r w:rsidRPr="00382917">
        <w:t>and</w:t>
      </w:r>
      <w:r w:rsidR="00EE4FC3">
        <w:t xml:space="preserve"> </w:t>
      </w:r>
      <w:r w:rsidRPr="00382917">
        <w:t>meditation.</w:t>
      </w:r>
    </w:p>
    <w:p w:rsidR="005B5622" w:rsidRPr="00382917" w:rsidRDefault="005B5622" w:rsidP="006340BC">
      <w:pPr>
        <w:pStyle w:val="Text"/>
      </w:pPr>
      <w:r w:rsidRPr="00382917">
        <w:t>One</w:t>
      </w:r>
      <w:r w:rsidR="00EE4FC3">
        <w:t xml:space="preserve"> </w:t>
      </w:r>
      <w:r w:rsidRPr="00382917">
        <w:t>night</w:t>
      </w:r>
      <w:r w:rsidR="00EE4FC3">
        <w:t xml:space="preserve"> </w:t>
      </w:r>
      <w:r w:rsidRPr="00382917">
        <w:t>in</w:t>
      </w:r>
      <w:r w:rsidR="00EE4FC3">
        <w:t xml:space="preserve"> </w:t>
      </w:r>
      <w:r w:rsidRPr="00382917">
        <w:t>a</w:t>
      </w:r>
      <w:r w:rsidR="00EE4FC3">
        <w:t xml:space="preserve"> </w:t>
      </w:r>
      <w:r w:rsidRPr="00382917">
        <w:t>dream,</w:t>
      </w:r>
      <w:r w:rsidR="00EE4FC3">
        <w:t xml:space="preserve"> </w:t>
      </w:r>
      <w:r w:rsidRPr="00382917">
        <w:t>a</w:t>
      </w:r>
      <w:r w:rsidR="00EE4FC3">
        <w:t xml:space="preserve"> </w:t>
      </w:r>
      <w:r w:rsidRPr="00382917">
        <w:t>young</w:t>
      </w:r>
      <w:r w:rsidR="00EE4FC3">
        <w:t xml:space="preserve"> </w:t>
      </w:r>
      <w:r w:rsidRPr="00382917">
        <w:t>man</w:t>
      </w:r>
      <w:r w:rsidR="00EE4FC3">
        <w:t xml:space="preserve"> </w:t>
      </w:r>
      <w:r w:rsidRPr="00382917">
        <w:t>appeared</w:t>
      </w:r>
      <w:r w:rsidR="00EE4FC3">
        <w:t xml:space="preserve"> </w:t>
      </w:r>
      <w:r w:rsidRPr="00382917">
        <w:t>before</w:t>
      </w:r>
      <w:r w:rsidR="00EE4FC3">
        <w:t xml:space="preserve"> </w:t>
      </w:r>
      <w:r w:rsidRPr="00382917">
        <w:t>her</w:t>
      </w:r>
      <w:r w:rsidR="00B71244">
        <w:t>.</w:t>
      </w:r>
      <w:r w:rsidR="00EE4FC3">
        <w:t xml:space="preserve">  </w:t>
      </w:r>
      <w:r w:rsidRPr="00382917">
        <w:t>He</w:t>
      </w:r>
      <w:r w:rsidR="00EE4FC3">
        <w:t xml:space="preserve"> </w:t>
      </w:r>
      <w:r w:rsidRPr="00382917">
        <w:t>raised</w:t>
      </w:r>
      <w:r w:rsidR="00EE4FC3">
        <w:t xml:space="preserve"> </w:t>
      </w:r>
      <w:r w:rsidRPr="00382917">
        <w:t>his</w:t>
      </w:r>
      <w:r w:rsidR="00EE4FC3">
        <w:t xml:space="preserve"> </w:t>
      </w:r>
      <w:r w:rsidRPr="00382917">
        <w:t>hands</w:t>
      </w:r>
      <w:r w:rsidR="00EE4FC3">
        <w:t xml:space="preserve"> </w:t>
      </w:r>
      <w:r w:rsidRPr="00382917">
        <w:t>toward</w:t>
      </w:r>
      <w:r w:rsidR="00EE4FC3">
        <w:t xml:space="preserve"> </w:t>
      </w:r>
      <w:r w:rsidRPr="00382917">
        <w:t>heaven</w:t>
      </w:r>
      <w:r w:rsidR="00EE4FC3">
        <w:t xml:space="preserve"> </w:t>
      </w:r>
      <w:r w:rsidRPr="00382917">
        <w:t>and</w:t>
      </w:r>
      <w:r w:rsidR="00EE4FC3">
        <w:t xml:space="preserve"> </w:t>
      </w:r>
      <w:r w:rsidRPr="00382917">
        <w:t>in</w:t>
      </w:r>
      <w:r w:rsidR="00EE4FC3">
        <w:t xml:space="preserve"> </w:t>
      </w:r>
      <w:r w:rsidRPr="00382917">
        <w:t>a</w:t>
      </w:r>
      <w:r w:rsidR="00EE4FC3">
        <w:t xml:space="preserve"> </w:t>
      </w:r>
      <w:r w:rsidRPr="00382917">
        <w:t>beautiful</w:t>
      </w:r>
      <w:r w:rsidR="00EE4FC3">
        <w:t xml:space="preserve"> </w:t>
      </w:r>
      <w:r w:rsidRPr="00382917">
        <w:t>voice</w:t>
      </w:r>
      <w:r w:rsidR="00EE4FC3">
        <w:t xml:space="preserve"> </w:t>
      </w:r>
      <w:r w:rsidRPr="00382917">
        <w:t>recited</w:t>
      </w:r>
    </w:p>
    <w:p w:rsidR="006340BC" w:rsidRPr="00382917" w:rsidRDefault="006340BC">
      <w:pPr>
        <w:widowControl/>
        <w:kinsoku/>
        <w:overflowPunct/>
        <w:textAlignment w:val="auto"/>
      </w:pPr>
      <w:r w:rsidRPr="00382917">
        <w:br w:type="page"/>
      </w:r>
    </w:p>
    <w:p w:rsidR="005B5622" w:rsidRPr="00382917" w:rsidRDefault="005B5622" w:rsidP="006340BC">
      <w:pPr>
        <w:pStyle w:val="Textcts"/>
      </w:pPr>
      <w:proofErr w:type="gramStart"/>
      <w:r w:rsidRPr="00382917">
        <w:t>many</w:t>
      </w:r>
      <w:proofErr w:type="gramEnd"/>
      <w:r w:rsidR="00EE4FC3">
        <w:t xml:space="preserve"> </w:t>
      </w:r>
      <w:r w:rsidRPr="00382917">
        <w:t>wonderful</w:t>
      </w:r>
      <w:r w:rsidR="00EE4FC3">
        <w:t xml:space="preserve"> </w:t>
      </w:r>
      <w:r w:rsidRPr="00382917">
        <w:t>verses,</w:t>
      </w:r>
      <w:r w:rsidR="00EE4FC3">
        <w:t xml:space="preserve"> </w:t>
      </w:r>
      <w:r w:rsidRPr="00382917">
        <w:t>one</w:t>
      </w:r>
      <w:r w:rsidR="00EE4FC3">
        <w:t xml:space="preserve"> </w:t>
      </w:r>
      <w:r w:rsidRPr="00382917">
        <w:t>of</w:t>
      </w:r>
      <w:r w:rsidR="00EE4FC3">
        <w:t xml:space="preserve"> </w:t>
      </w:r>
      <w:r w:rsidRPr="00382917">
        <w:t>which</w:t>
      </w:r>
      <w:r w:rsidR="00EE4FC3">
        <w:t xml:space="preserve"> </w:t>
      </w:r>
      <w:r w:rsidRPr="00382917">
        <w:t>she</w:t>
      </w:r>
      <w:r w:rsidR="00EE4FC3">
        <w:t xml:space="preserve"> </w:t>
      </w:r>
      <w:r w:rsidRPr="00382917">
        <w:t>wrote</w:t>
      </w:r>
      <w:r w:rsidR="00EE4FC3">
        <w:t xml:space="preserve"> </w:t>
      </w:r>
      <w:r w:rsidRPr="00382917">
        <w:t>down</w:t>
      </w:r>
      <w:r w:rsidR="00B71244">
        <w:t>.</w:t>
      </w:r>
      <w:r w:rsidR="00EE4FC3">
        <w:t xml:space="preserve">  </w:t>
      </w:r>
      <w:r w:rsidRPr="00382917">
        <w:t>She</w:t>
      </w:r>
      <w:r w:rsidR="00EE4FC3">
        <w:t xml:space="preserve"> </w:t>
      </w:r>
      <w:r w:rsidRPr="00382917">
        <w:t>awakened</w:t>
      </w:r>
      <w:r w:rsidR="00EE4FC3">
        <w:t xml:space="preserve"> </w:t>
      </w:r>
      <w:r w:rsidRPr="00382917">
        <w:t>with</w:t>
      </w:r>
      <w:r w:rsidR="00EE4FC3">
        <w:t xml:space="preserve"> </w:t>
      </w:r>
      <w:r w:rsidRPr="00382917">
        <w:t>a</w:t>
      </w:r>
      <w:r w:rsidR="00EE4FC3">
        <w:t xml:space="preserve"> </w:t>
      </w:r>
      <w:r w:rsidRPr="00382917">
        <w:t>feeling</w:t>
      </w:r>
      <w:r w:rsidR="00EE4FC3">
        <w:t xml:space="preserve"> </w:t>
      </w:r>
      <w:r w:rsidRPr="00382917">
        <w:t>of</w:t>
      </w:r>
      <w:r w:rsidR="00EE4FC3">
        <w:t xml:space="preserve"> </w:t>
      </w:r>
      <w:r w:rsidRPr="00382917">
        <w:t>joy</w:t>
      </w:r>
      <w:r w:rsidR="00EE4FC3">
        <w:t xml:space="preserve"> </w:t>
      </w:r>
      <w:r w:rsidRPr="00382917">
        <w:t>which</w:t>
      </w:r>
      <w:r w:rsidR="00EE4FC3">
        <w:t xml:space="preserve"> </w:t>
      </w:r>
      <w:r w:rsidRPr="00382917">
        <w:t>flooded</w:t>
      </w:r>
      <w:r w:rsidR="00EE4FC3">
        <w:t xml:space="preserve"> </w:t>
      </w:r>
      <w:r w:rsidRPr="00382917">
        <w:t>her</w:t>
      </w:r>
      <w:r w:rsidR="00EE4FC3">
        <w:t xml:space="preserve"> </w:t>
      </w:r>
      <w:r w:rsidRPr="00382917">
        <w:t>being.</w:t>
      </w:r>
    </w:p>
    <w:p w:rsidR="005B5622" w:rsidRPr="00382917" w:rsidRDefault="005B5622" w:rsidP="006340BC">
      <w:pPr>
        <w:pStyle w:val="Text"/>
      </w:pPr>
      <w:r w:rsidRPr="00382917">
        <w:t>One</w:t>
      </w:r>
      <w:r w:rsidR="00EE4FC3">
        <w:t xml:space="preserve"> </w:t>
      </w:r>
      <w:r w:rsidRPr="00382917">
        <w:t>day,</w:t>
      </w:r>
      <w:r w:rsidR="00EE4FC3">
        <w:t xml:space="preserve"> </w:t>
      </w:r>
      <w:proofErr w:type="spellStart"/>
      <w:r w:rsidRPr="00382917">
        <w:t>some</w:t>
      </w:r>
      <w:r w:rsidR="00EE4FC3">
        <w:t xml:space="preserve"> </w:t>
      </w:r>
      <w:r w:rsidRPr="00382917">
        <w:t>time</w:t>
      </w:r>
      <w:proofErr w:type="spellEnd"/>
      <w:r w:rsidR="00EE4FC3">
        <w:t xml:space="preserve"> </w:t>
      </w:r>
      <w:r w:rsidRPr="00382917">
        <w:t>later,</w:t>
      </w:r>
      <w:r w:rsidR="00EE4FC3">
        <w:t xml:space="preserve"> </w:t>
      </w:r>
      <w:r w:rsidRPr="00382917">
        <w:t>a</w:t>
      </w:r>
      <w:r w:rsidR="00EE4FC3">
        <w:t xml:space="preserve"> </w:t>
      </w:r>
      <w:r w:rsidRPr="00382917">
        <w:t>friend</w:t>
      </w:r>
      <w:r w:rsidR="00EE4FC3">
        <w:t xml:space="preserve"> </w:t>
      </w:r>
      <w:r w:rsidRPr="00382917">
        <w:t>placed</w:t>
      </w:r>
      <w:r w:rsidR="00EE4FC3">
        <w:t xml:space="preserve"> </w:t>
      </w:r>
      <w:r w:rsidRPr="00382917">
        <w:t>in</w:t>
      </w:r>
      <w:r w:rsidR="00EE4FC3">
        <w:t xml:space="preserve"> </w:t>
      </w:r>
      <w:r w:rsidRPr="00382917">
        <w:t>her</w:t>
      </w:r>
      <w:r w:rsidR="00EE4FC3">
        <w:t xml:space="preserve"> </w:t>
      </w:r>
      <w:r w:rsidRPr="00382917">
        <w:t>hands</w:t>
      </w:r>
      <w:r w:rsidR="00EE4FC3">
        <w:t xml:space="preserve"> </w:t>
      </w:r>
      <w:r w:rsidRPr="00382917">
        <w:t>certain</w:t>
      </w:r>
      <w:r w:rsidR="00EE4FC3">
        <w:t xml:space="preserve"> </w:t>
      </w:r>
      <w:r w:rsidRPr="00382917">
        <w:t>writings</w:t>
      </w:r>
      <w:r w:rsidR="00EE4FC3">
        <w:t xml:space="preserve"> </w:t>
      </w:r>
      <w:r w:rsidRPr="00382917">
        <w:t>of</w:t>
      </w:r>
      <w:r w:rsidR="00EE4FC3">
        <w:t xml:space="preserve"> </w:t>
      </w:r>
      <w:r w:rsidRPr="00382917">
        <w:t>the</w:t>
      </w:r>
      <w:r w:rsidR="00EE4FC3">
        <w:t xml:space="preserve"> </w:t>
      </w:r>
      <w:r w:rsidRPr="00382917">
        <w:t>Báb</w:t>
      </w:r>
      <w:r w:rsidR="00B71244">
        <w:t>.</w:t>
      </w:r>
      <w:r w:rsidR="00EE4FC3">
        <w:t xml:space="preserve">  </w:t>
      </w:r>
      <w:r w:rsidRPr="00382917">
        <w:t>As</w:t>
      </w:r>
      <w:r w:rsidR="00EE4FC3">
        <w:t xml:space="preserve"> </w:t>
      </w:r>
      <w:r w:rsidRPr="00382917">
        <w:t>her</w:t>
      </w:r>
      <w:r w:rsidR="00EE4FC3">
        <w:t xml:space="preserve"> </w:t>
      </w:r>
      <w:r w:rsidRPr="00382917">
        <w:t>eyes</w:t>
      </w:r>
      <w:r w:rsidR="00EE4FC3">
        <w:t xml:space="preserve"> </w:t>
      </w:r>
      <w:r w:rsidRPr="00382917">
        <w:t>looked</w:t>
      </w:r>
      <w:r w:rsidR="00EE4FC3">
        <w:t xml:space="preserve"> </w:t>
      </w:r>
      <w:r w:rsidRPr="00382917">
        <w:t>down</w:t>
      </w:r>
      <w:r w:rsidR="00EE4FC3">
        <w:t xml:space="preserve"> </w:t>
      </w:r>
      <w:r w:rsidRPr="00382917">
        <w:t>upon</w:t>
      </w:r>
      <w:r w:rsidR="00EE4FC3">
        <w:t xml:space="preserve"> </w:t>
      </w:r>
      <w:r w:rsidRPr="00382917">
        <w:t>a</w:t>
      </w:r>
      <w:r w:rsidR="00EE4FC3">
        <w:t xml:space="preserve"> </w:t>
      </w:r>
      <w:r w:rsidRPr="00382917">
        <w:t>page,</w:t>
      </w:r>
      <w:r w:rsidR="00EE4FC3">
        <w:t xml:space="preserve"> </w:t>
      </w:r>
      <w:r w:rsidRPr="00382917">
        <w:t>she</w:t>
      </w:r>
      <w:r w:rsidR="00EE4FC3">
        <w:t xml:space="preserve"> </w:t>
      </w:r>
      <w:r w:rsidRPr="00382917">
        <w:t>discovered</w:t>
      </w:r>
      <w:r w:rsidR="00EE4FC3">
        <w:t xml:space="preserve"> </w:t>
      </w:r>
      <w:r w:rsidRPr="00382917">
        <w:t>the</w:t>
      </w:r>
      <w:r w:rsidR="00EE4FC3">
        <w:t xml:space="preserve"> </w:t>
      </w:r>
      <w:r w:rsidRPr="00382917">
        <w:t>exact</w:t>
      </w:r>
      <w:r w:rsidR="00EE4FC3">
        <w:t xml:space="preserve"> </w:t>
      </w:r>
      <w:r w:rsidRPr="00382917">
        <w:t>same</w:t>
      </w:r>
      <w:r w:rsidR="00EE4FC3">
        <w:t xml:space="preserve"> </w:t>
      </w:r>
      <w:r w:rsidRPr="00382917">
        <w:t>words</w:t>
      </w:r>
      <w:r w:rsidR="00EE4FC3">
        <w:t xml:space="preserve"> </w:t>
      </w:r>
      <w:r w:rsidRPr="00382917">
        <w:t>she</w:t>
      </w:r>
      <w:r w:rsidR="00EE4FC3">
        <w:t xml:space="preserve"> </w:t>
      </w:r>
      <w:r w:rsidRPr="00382917">
        <w:t>had</w:t>
      </w:r>
      <w:r w:rsidR="00EE4FC3">
        <w:t xml:space="preserve"> </w:t>
      </w:r>
      <w:r w:rsidRPr="00382917">
        <w:t>written</w:t>
      </w:r>
      <w:r w:rsidR="00EE4FC3">
        <w:t xml:space="preserve"> </w:t>
      </w:r>
      <w:r w:rsidRPr="00382917">
        <w:t>down</w:t>
      </w:r>
      <w:r w:rsidR="00EE4FC3">
        <w:t xml:space="preserve"> </w:t>
      </w:r>
      <w:r w:rsidRPr="00382917">
        <w:t>from</w:t>
      </w:r>
      <w:r w:rsidR="00EE4FC3">
        <w:t xml:space="preserve"> </w:t>
      </w:r>
      <w:r w:rsidRPr="00382917">
        <w:t>her</w:t>
      </w:r>
      <w:r w:rsidR="00EE4FC3">
        <w:t xml:space="preserve"> </w:t>
      </w:r>
      <w:r w:rsidRPr="00382917">
        <w:t>dream</w:t>
      </w:r>
      <w:r w:rsidR="00B71244">
        <w:t>.</w:t>
      </w:r>
      <w:r w:rsidR="00EE4FC3">
        <w:t xml:space="preserve">  </w:t>
      </w:r>
      <w:r w:rsidRPr="00382917">
        <w:t>To</w:t>
      </w:r>
      <w:r w:rsidR="00EE4FC3">
        <w:t xml:space="preserve"> </w:t>
      </w:r>
      <w:r w:rsidRPr="00382917">
        <w:t>her</w:t>
      </w:r>
      <w:r w:rsidR="00EE4FC3">
        <w:t xml:space="preserve"> </w:t>
      </w:r>
      <w:r w:rsidRPr="00382917">
        <w:t>intense</w:t>
      </w:r>
      <w:r w:rsidR="00EE4FC3">
        <w:t xml:space="preserve"> </w:t>
      </w:r>
      <w:r w:rsidRPr="00382917">
        <w:t>delight</w:t>
      </w:r>
      <w:r w:rsidR="00EE4FC3">
        <w:t xml:space="preserve"> </w:t>
      </w:r>
      <w:r w:rsidRPr="00382917">
        <w:t>she</w:t>
      </w:r>
      <w:r w:rsidR="00EE4FC3">
        <w:t xml:space="preserve"> </w:t>
      </w:r>
      <w:r w:rsidRPr="00382917">
        <w:t>realized</w:t>
      </w:r>
      <w:r w:rsidR="00EE4FC3">
        <w:t xml:space="preserve"> </w:t>
      </w:r>
      <w:r w:rsidRPr="00382917">
        <w:t>that</w:t>
      </w:r>
      <w:r w:rsidR="00EE4FC3">
        <w:t xml:space="preserve"> </w:t>
      </w:r>
      <w:r w:rsidRPr="00382917">
        <w:t>the</w:t>
      </w:r>
      <w:r w:rsidR="00EE4FC3">
        <w:t xml:space="preserve"> </w:t>
      </w:r>
      <w:r w:rsidRPr="00382917">
        <w:t>Message</w:t>
      </w:r>
      <w:r w:rsidR="00EE4FC3">
        <w:t xml:space="preserve"> </w:t>
      </w:r>
      <w:r w:rsidRPr="00382917">
        <w:t>of</w:t>
      </w:r>
      <w:r w:rsidR="00EE4FC3">
        <w:t xml:space="preserve"> </w:t>
      </w:r>
      <w:r w:rsidRPr="00382917">
        <w:t>the</w:t>
      </w:r>
      <w:r w:rsidR="00EE4FC3">
        <w:t xml:space="preserve"> </w:t>
      </w:r>
      <w:r w:rsidRPr="00382917">
        <w:t>Author</w:t>
      </w:r>
      <w:r w:rsidR="00EE4FC3">
        <w:t xml:space="preserve"> </w:t>
      </w:r>
      <w:r w:rsidRPr="00382917">
        <w:t>was</w:t>
      </w:r>
      <w:r w:rsidR="00EE4FC3">
        <w:t xml:space="preserve"> </w:t>
      </w:r>
      <w:r w:rsidRPr="00382917">
        <w:t>true.</w:t>
      </w:r>
    </w:p>
    <w:p w:rsidR="00E13D49" w:rsidRPr="00382917" w:rsidRDefault="005B5622" w:rsidP="00FF2ABC">
      <w:pPr>
        <w:pStyle w:val="Text"/>
      </w:pPr>
      <w:r w:rsidRPr="00382917">
        <w:t>Ṭáhirih</w:t>
      </w:r>
      <w:r w:rsidR="00EE4FC3">
        <w:t xml:space="preserve"> </w:t>
      </w:r>
      <w:r w:rsidRPr="00382917">
        <w:t>wrote</w:t>
      </w:r>
      <w:r w:rsidR="00EE4FC3">
        <w:t xml:space="preserve"> </w:t>
      </w:r>
      <w:r w:rsidRPr="00382917">
        <w:t>immediately</w:t>
      </w:r>
      <w:r w:rsidR="00EE4FC3">
        <w:t xml:space="preserve"> </w:t>
      </w:r>
      <w:r w:rsidRPr="00382917">
        <w:t>to</w:t>
      </w:r>
      <w:r w:rsidR="00EE4FC3">
        <w:t xml:space="preserve"> </w:t>
      </w:r>
      <w:r w:rsidRPr="00382917">
        <w:t>the</w:t>
      </w:r>
      <w:r w:rsidR="00EE4FC3">
        <w:t xml:space="preserve"> </w:t>
      </w:r>
      <w:r w:rsidRPr="00382917">
        <w:t>Báb,</w:t>
      </w:r>
      <w:r w:rsidR="00EE4FC3">
        <w:t xml:space="preserve"> </w:t>
      </w:r>
      <w:r w:rsidRPr="00382917">
        <w:t>telling</w:t>
      </w:r>
      <w:r w:rsidR="00EE4FC3">
        <w:t xml:space="preserve"> </w:t>
      </w:r>
      <w:r w:rsidRPr="00382917">
        <w:t>Him</w:t>
      </w:r>
      <w:r w:rsidR="00EE4FC3">
        <w:t xml:space="preserve"> </w:t>
      </w:r>
      <w:r w:rsidRPr="00382917">
        <w:t>that</w:t>
      </w:r>
      <w:r w:rsidR="00EE4FC3">
        <w:t xml:space="preserve"> </w:t>
      </w:r>
      <w:r w:rsidRPr="00382917">
        <w:t>she</w:t>
      </w:r>
      <w:r w:rsidR="00EE4FC3">
        <w:t xml:space="preserve"> </w:t>
      </w:r>
      <w:r w:rsidRPr="00382917">
        <w:t>believed</w:t>
      </w:r>
      <w:r w:rsidR="00EE4FC3">
        <w:t xml:space="preserve"> </w:t>
      </w:r>
      <w:r w:rsidRPr="00382917">
        <w:t>Him</w:t>
      </w:r>
      <w:r w:rsidR="00EE4FC3">
        <w:t xml:space="preserve"> </w:t>
      </w:r>
      <w:r w:rsidRPr="00382917">
        <w:t>to</w:t>
      </w:r>
      <w:r w:rsidR="00EE4FC3">
        <w:t xml:space="preserve"> </w:t>
      </w:r>
      <w:r w:rsidRPr="00382917">
        <w:t>be</w:t>
      </w:r>
      <w:r w:rsidR="00EE4FC3">
        <w:t xml:space="preserve"> </w:t>
      </w:r>
      <w:r w:rsidRPr="00382917">
        <w:t>that</w:t>
      </w:r>
      <w:r w:rsidR="00EE4FC3">
        <w:t xml:space="preserve"> </w:t>
      </w:r>
      <w:r w:rsidRPr="00382917">
        <w:t>promised</w:t>
      </w:r>
      <w:r w:rsidR="00EE4FC3">
        <w:t xml:space="preserve"> </w:t>
      </w:r>
      <w:r w:rsidRPr="00382917">
        <w:t>Messenger</w:t>
      </w:r>
      <w:r w:rsidR="00EE4FC3">
        <w:t xml:space="preserve"> </w:t>
      </w:r>
      <w:r w:rsidRPr="00382917">
        <w:t>foretold</w:t>
      </w:r>
      <w:r w:rsidR="00EE4FC3">
        <w:t xml:space="preserve"> </w:t>
      </w:r>
      <w:r w:rsidRPr="00382917">
        <w:t>in</w:t>
      </w:r>
      <w:r w:rsidR="00EE4FC3">
        <w:t xml:space="preserve"> </w:t>
      </w:r>
      <w:r w:rsidRPr="00382917">
        <w:t>all</w:t>
      </w:r>
      <w:r w:rsidR="00EE4FC3">
        <w:t xml:space="preserve"> </w:t>
      </w:r>
      <w:r w:rsidRPr="00382917">
        <w:t>the</w:t>
      </w:r>
      <w:r w:rsidR="00EE4FC3">
        <w:t xml:space="preserve"> </w:t>
      </w:r>
      <w:r w:rsidRPr="00382917">
        <w:t>holy</w:t>
      </w:r>
      <w:r w:rsidR="00EE4FC3">
        <w:t xml:space="preserve"> </w:t>
      </w:r>
      <w:r w:rsidRPr="00382917">
        <w:t>Books,</w:t>
      </w:r>
      <w:r w:rsidR="00EE4FC3">
        <w:t xml:space="preserve"> </w:t>
      </w:r>
      <w:r w:rsidRPr="00382917">
        <w:t>and</w:t>
      </w:r>
      <w:r w:rsidR="00EE4FC3">
        <w:t xml:space="preserve"> </w:t>
      </w:r>
      <w:r w:rsidRPr="00382917">
        <w:t>so</w:t>
      </w:r>
      <w:r w:rsidR="00EE4FC3">
        <w:t xml:space="preserve"> </w:t>
      </w:r>
      <w:r w:rsidRPr="00382917">
        <w:t>long</w:t>
      </w:r>
      <w:r w:rsidR="00EE4FC3">
        <w:t xml:space="preserve"> </w:t>
      </w:r>
      <w:r w:rsidRPr="00382917">
        <w:t>and</w:t>
      </w:r>
      <w:r w:rsidR="00EE4FC3">
        <w:t xml:space="preserve"> </w:t>
      </w:r>
      <w:r w:rsidRPr="00382917">
        <w:t>eagerly</w:t>
      </w:r>
      <w:r w:rsidR="00EE4FC3">
        <w:t xml:space="preserve"> </w:t>
      </w:r>
      <w:r w:rsidRPr="00382917">
        <w:t>awaited</w:t>
      </w:r>
      <w:r w:rsidR="00B71244">
        <w:t>.</w:t>
      </w:r>
      <w:r w:rsidR="00EE4FC3">
        <w:t xml:space="preserve">  </w:t>
      </w:r>
      <w:r w:rsidRPr="00382917">
        <w:t>To</w:t>
      </w:r>
      <w:r w:rsidR="00EE4FC3">
        <w:t xml:space="preserve"> </w:t>
      </w:r>
      <w:r w:rsidRPr="00382917">
        <w:t>the</w:t>
      </w:r>
      <w:r w:rsidR="00EE4FC3">
        <w:t xml:space="preserve"> </w:t>
      </w:r>
      <w:r w:rsidRPr="00382917">
        <w:t>one</w:t>
      </w:r>
      <w:r w:rsidR="00EE4FC3">
        <w:t xml:space="preserve"> </w:t>
      </w:r>
      <w:r w:rsidRPr="00382917">
        <w:t>who</w:t>
      </w:r>
      <w:r w:rsidR="00EE4FC3">
        <w:t xml:space="preserve"> </w:t>
      </w:r>
      <w:r w:rsidRPr="00382917">
        <w:t>delivered</w:t>
      </w:r>
      <w:r w:rsidR="00EE4FC3">
        <w:t xml:space="preserve"> </w:t>
      </w:r>
      <w:r w:rsidRPr="00382917">
        <w:t>the</w:t>
      </w:r>
      <w:r w:rsidR="00EE4FC3">
        <w:t xml:space="preserve"> </w:t>
      </w:r>
      <w:r w:rsidRPr="00382917">
        <w:t>letter</w:t>
      </w:r>
      <w:r w:rsidR="00EE4FC3">
        <w:t xml:space="preserve"> </w:t>
      </w:r>
      <w:r w:rsidRPr="00382917">
        <w:t>for</w:t>
      </w:r>
      <w:r w:rsidR="00EE4FC3">
        <w:t xml:space="preserve"> </w:t>
      </w:r>
      <w:r w:rsidRPr="00382917">
        <w:t>her,</w:t>
      </w:r>
      <w:r w:rsidR="00EE4FC3">
        <w:t xml:space="preserve"> </w:t>
      </w:r>
      <w:r w:rsidRPr="00382917">
        <w:t>she</w:t>
      </w:r>
      <w:r w:rsidR="00EE4FC3">
        <w:t xml:space="preserve"> </w:t>
      </w:r>
      <w:r w:rsidRPr="00382917">
        <w:t>added</w:t>
      </w:r>
      <w:r w:rsidR="00C03C91">
        <w:t>:</w:t>
      </w:r>
      <w:r w:rsidR="00EE4FC3">
        <w:t xml:space="preserve">  </w:t>
      </w:r>
      <w:r w:rsidR="009C713D" w:rsidRPr="00382917">
        <w:t>“</w:t>
      </w:r>
      <w:r w:rsidRPr="00382917">
        <w:t>Say</w:t>
      </w:r>
      <w:r w:rsidR="00EE4FC3">
        <w:t xml:space="preserve"> </w:t>
      </w:r>
      <w:r w:rsidRPr="00382917">
        <w:t>to</w:t>
      </w:r>
      <w:r w:rsidR="00EE4FC3">
        <w:t xml:space="preserve"> </w:t>
      </w:r>
      <w:r w:rsidRPr="00382917">
        <w:t>Him,</w:t>
      </w:r>
      <w:r w:rsidR="00EE4FC3">
        <w:t xml:space="preserve"> </w:t>
      </w:r>
      <w:r w:rsidRPr="00382917">
        <w:t>from</w:t>
      </w:r>
      <w:r w:rsidR="00EE4FC3">
        <w:t xml:space="preserve"> </w:t>
      </w:r>
      <w:r w:rsidRPr="00382917">
        <w:t>me,</w:t>
      </w:r>
      <w:r w:rsidR="00EE4FC3">
        <w:t xml:space="preserve"> </w:t>
      </w:r>
      <w:r w:rsidR="009C713D" w:rsidRPr="00382917">
        <w:t>‘</w:t>
      </w:r>
      <w:r w:rsidRPr="00382917">
        <w:t>The</w:t>
      </w:r>
      <w:r w:rsidR="00EE4FC3">
        <w:t xml:space="preserve"> </w:t>
      </w:r>
      <w:r w:rsidRPr="00382917">
        <w:t>effulgence</w:t>
      </w:r>
      <w:r w:rsidR="00EE4FC3">
        <w:t xml:space="preserve"> </w:t>
      </w:r>
      <w:r w:rsidRPr="00382917">
        <w:t>of</w:t>
      </w:r>
      <w:r w:rsidR="00EE4FC3">
        <w:t xml:space="preserve"> </w:t>
      </w:r>
      <w:r w:rsidRPr="00382917">
        <w:t>Thy</w:t>
      </w:r>
      <w:r w:rsidR="00EE4FC3">
        <w:t xml:space="preserve"> </w:t>
      </w:r>
      <w:r w:rsidRPr="00382917">
        <w:t>face</w:t>
      </w:r>
      <w:r w:rsidR="00EE4FC3">
        <w:t xml:space="preserve"> </w:t>
      </w:r>
      <w:r w:rsidRPr="00382917">
        <w:t>hath</w:t>
      </w:r>
      <w:r w:rsidR="00EE4FC3">
        <w:t xml:space="preserve"> </w:t>
      </w:r>
      <w:r w:rsidRPr="00382917">
        <w:t>flashed</w:t>
      </w:r>
      <w:r w:rsidR="00EE4FC3">
        <w:t xml:space="preserve"> </w:t>
      </w:r>
      <w:r w:rsidRPr="00382917">
        <w:t>forth,</w:t>
      </w:r>
      <w:r w:rsidR="00EE4FC3">
        <w:t xml:space="preserve"> </w:t>
      </w:r>
      <w:r w:rsidRPr="00382917">
        <w:t>and</w:t>
      </w:r>
      <w:r w:rsidR="00EE4FC3">
        <w:t xml:space="preserve"> </w:t>
      </w:r>
      <w:r w:rsidRPr="00382917">
        <w:t>the</w:t>
      </w:r>
      <w:r w:rsidR="00EE4FC3">
        <w:t xml:space="preserve"> </w:t>
      </w:r>
      <w:r w:rsidRPr="00382917">
        <w:t>rays</w:t>
      </w:r>
      <w:r w:rsidR="00EE4FC3">
        <w:t xml:space="preserve"> </w:t>
      </w:r>
      <w:r w:rsidRPr="00382917">
        <w:t>of</w:t>
      </w:r>
      <w:r w:rsidR="00EE4FC3">
        <w:t xml:space="preserve"> </w:t>
      </w:r>
      <w:r w:rsidRPr="00382917">
        <w:t>Thy</w:t>
      </w:r>
      <w:r w:rsidR="00EE4FC3">
        <w:t xml:space="preserve"> </w:t>
      </w:r>
      <w:r w:rsidRPr="00382917">
        <w:t>visage</w:t>
      </w:r>
      <w:r w:rsidR="00EE4FC3">
        <w:t xml:space="preserve"> </w:t>
      </w:r>
      <w:r w:rsidRPr="00382917">
        <w:t>arose</w:t>
      </w:r>
      <w:r w:rsidR="00EE4FC3">
        <w:t xml:space="preserve"> </w:t>
      </w:r>
      <w:r w:rsidRPr="00382917">
        <w:t>on</w:t>
      </w:r>
      <w:r w:rsidR="00EE4FC3">
        <w:t xml:space="preserve"> </w:t>
      </w:r>
      <w:r w:rsidRPr="00382917">
        <w:t>high</w:t>
      </w:r>
      <w:r w:rsidR="00B71244">
        <w:t>.</w:t>
      </w:r>
      <w:r w:rsidR="00EE4FC3">
        <w:t xml:space="preserve">  </w:t>
      </w:r>
      <w:r w:rsidRPr="00382917">
        <w:t>Then</w:t>
      </w:r>
      <w:r w:rsidR="00EE4FC3">
        <w:t xml:space="preserve"> </w:t>
      </w:r>
      <w:r w:rsidRPr="00382917">
        <w:t>speak</w:t>
      </w:r>
      <w:r w:rsidR="00EE4FC3">
        <w:t xml:space="preserve"> </w:t>
      </w:r>
      <w:r w:rsidRPr="00382917">
        <w:t>the</w:t>
      </w:r>
      <w:r w:rsidR="00EE4FC3">
        <w:t xml:space="preserve"> </w:t>
      </w:r>
      <w:r w:rsidRPr="00382917">
        <w:t>word,</w:t>
      </w:r>
      <w:r w:rsidR="00EE4FC3">
        <w:t xml:space="preserve"> </w:t>
      </w:r>
      <w:r w:rsidR="009C713D" w:rsidRPr="00382917">
        <w:t>“</w:t>
      </w:r>
      <w:r w:rsidRPr="00382917">
        <w:t>Am</w:t>
      </w:r>
      <w:r w:rsidR="00EE4FC3">
        <w:t xml:space="preserve"> </w:t>
      </w:r>
      <w:r w:rsidRPr="00382917">
        <w:t>I</w:t>
      </w:r>
      <w:r w:rsidR="00EE4FC3">
        <w:t xml:space="preserve"> </w:t>
      </w:r>
      <w:r w:rsidRPr="00382917">
        <w:t>not</w:t>
      </w:r>
      <w:r w:rsidR="00EE4FC3">
        <w:t xml:space="preserve"> </w:t>
      </w:r>
      <w:r w:rsidRPr="00382917">
        <w:t>your</w:t>
      </w:r>
      <w:r w:rsidR="00EE4FC3">
        <w:t xml:space="preserve"> </w:t>
      </w:r>
      <w:r w:rsidRPr="00382917">
        <w:t>Lord?</w:t>
      </w:r>
      <w:r w:rsidR="009C713D" w:rsidRPr="00382917">
        <w:t>”</w:t>
      </w:r>
      <w:r w:rsidR="00EE4FC3">
        <w:t xml:space="preserve"> </w:t>
      </w:r>
      <w:r w:rsidRPr="00382917">
        <w:t>and</w:t>
      </w:r>
      <w:r w:rsidR="00EE4FC3">
        <w:t xml:space="preserve"> </w:t>
      </w:r>
      <w:r w:rsidR="009C713D" w:rsidRPr="00382917">
        <w:t>“</w:t>
      </w:r>
      <w:r w:rsidRPr="00382917">
        <w:t>Thou</w:t>
      </w:r>
      <w:r w:rsidR="00EE4FC3">
        <w:t xml:space="preserve"> </w:t>
      </w:r>
      <w:r w:rsidRPr="00382917">
        <w:t>art,</w:t>
      </w:r>
      <w:r w:rsidR="00EE4FC3">
        <w:t xml:space="preserve"> </w:t>
      </w:r>
      <w:r w:rsidRPr="00382917">
        <w:t>Thou</w:t>
      </w:r>
      <w:r w:rsidR="00EE4FC3">
        <w:t xml:space="preserve"> </w:t>
      </w:r>
      <w:r w:rsidRPr="00382917">
        <w:t>art!</w:t>
      </w:r>
      <w:r w:rsidR="009C713D" w:rsidRPr="00382917">
        <w:t>”</w:t>
      </w:r>
      <w:r w:rsidR="00EE4FC3">
        <w:t xml:space="preserve"> </w:t>
      </w:r>
      <w:r w:rsidRPr="00382917">
        <w:t>we</w:t>
      </w:r>
      <w:r w:rsidR="00EE4FC3">
        <w:t xml:space="preserve"> </w:t>
      </w:r>
      <w:r w:rsidRPr="00382917">
        <w:t>will</w:t>
      </w:r>
      <w:r w:rsidR="00EE4FC3">
        <w:t xml:space="preserve"> </w:t>
      </w:r>
      <w:r w:rsidRPr="00382917">
        <w:t>all</w:t>
      </w:r>
      <w:r w:rsidR="00EE4FC3">
        <w:t xml:space="preserve"> </w:t>
      </w:r>
      <w:r w:rsidRPr="00382917">
        <w:t>reply.</w:t>
      </w:r>
      <w:r w:rsidR="009C713D" w:rsidRPr="00382917">
        <w:t>”</w:t>
      </w:r>
      <w:r w:rsidR="00FF2ABC">
        <w:rPr>
          <w:rStyle w:val="FootnoteReference"/>
        </w:rPr>
        <w:footnoteReference w:id="133"/>
      </w:r>
    </w:p>
    <w:p w:rsidR="005B5622" w:rsidRPr="00382917" w:rsidRDefault="005B5622" w:rsidP="006340BC">
      <w:pPr>
        <w:pStyle w:val="Text"/>
      </w:pPr>
      <w:r w:rsidRPr="00382917">
        <w:t>Her</w:t>
      </w:r>
      <w:r w:rsidR="00EE4FC3">
        <w:t xml:space="preserve"> </w:t>
      </w:r>
      <w:r w:rsidRPr="00382917">
        <w:t>acceptance</w:t>
      </w:r>
      <w:r w:rsidR="00EE4FC3">
        <w:t xml:space="preserve"> </w:t>
      </w:r>
      <w:r w:rsidRPr="00382917">
        <w:t>of</w:t>
      </w:r>
      <w:r w:rsidR="00EE4FC3">
        <w:t xml:space="preserve"> </w:t>
      </w:r>
      <w:r w:rsidRPr="00382917">
        <w:t>the</w:t>
      </w:r>
      <w:r w:rsidR="00EE4FC3">
        <w:t xml:space="preserve"> </w:t>
      </w:r>
      <w:r w:rsidRPr="00382917">
        <w:t>Báb</w:t>
      </w:r>
      <w:r w:rsidR="00EE4FC3">
        <w:t xml:space="preserve"> </w:t>
      </w:r>
      <w:r w:rsidRPr="00382917">
        <w:t>brought</w:t>
      </w:r>
      <w:r w:rsidR="00EE4FC3">
        <w:t xml:space="preserve"> </w:t>
      </w:r>
      <w:r w:rsidRPr="00382917">
        <w:t>immediate</w:t>
      </w:r>
      <w:r w:rsidR="00EE4FC3">
        <w:t xml:space="preserve"> </w:t>
      </w:r>
      <w:r w:rsidRPr="00382917">
        <w:t>and</w:t>
      </w:r>
      <w:r w:rsidR="00EE4FC3">
        <w:t xml:space="preserve"> </w:t>
      </w:r>
      <w:r w:rsidRPr="00382917">
        <w:t>violent</w:t>
      </w:r>
      <w:r w:rsidR="00EE4FC3">
        <w:t xml:space="preserve"> </w:t>
      </w:r>
      <w:r w:rsidRPr="00382917">
        <w:t>protests</w:t>
      </w:r>
      <w:r w:rsidR="00EE4FC3">
        <w:t xml:space="preserve"> </w:t>
      </w:r>
      <w:r w:rsidRPr="00382917">
        <w:t>from</w:t>
      </w:r>
      <w:r w:rsidR="00EE4FC3">
        <w:t xml:space="preserve"> </w:t>
      </w:r>
      <w:r w:rsidRPr="00382917">
        <w:t>her</w:t>
      </w:r>
      <w:r w:rsidR="00EE4FC3">
        <w:t xml:space="preserve"> </w:t>
      </w:r>
      <w:r w:rsidRPr="00382917">
        <w:t>father,</w:t>
      </w:r>
      <w:r w:rsidR="00EE4FC3">
        <w:t xml:space="preserve"> </w:t>
      </w:r>
      <w:r w:rsidRPr="00382917">
        <w:t>her</w:t>
      </w:r>
      <w:r w:rsidR="00EE4FC3">
        <w:t xml:space="preserve"> </w:t>
      </w:r>
      <w:r w:rsidRPr="00382917">
        <w:t>uncle,</w:t>
      </w:r>
      <w:r w:rsidR="00EE4FC3">
        <w:t xml:space="preserve"> </w:t>
      </w:r>
      <w:r w:rsidRPr="00382917">
        <w:t>her</w:t>
      </w:r>
      <w:r w:rsidR="00EE4FC3">
        <w:t xml:space="preserve"> </w:t>
      </w:r>
      <w:r w:rsidRPr="00382917">
        <w:t>husband,</w:t>
      </w:r>
      <w:r w:rsidR="00EE4FC3">
        <w:t xml:space="preserve"> </w:t>
      </w:r>
      <w:r w:rsidRPr="00382917">
        <w:t>and</w:t>
      </w:r>
      <w:r w:rsidR="00EE4FC3">
        <w:t xml:space="preserve"> </w:t>
      </w:r>
      <w:r w:rsidRPr="00382917">
        <w:t>her</w:t>
      </w:r>
      <w:r w:rsidR="00EE4FC3">
        <w:t xml:space="preserve"> </w:t>
      </w:r>
      <w:r w:rsidRPr="00382917">
        <w:t>brothers</w:t>
      </w:r>
      <w:r w:rsidR="00B71244">
        <w:t>.</w:t>
      </w:r>
      <w:r w:rsidR="00EE4FC3">
        <w:t xml:space="preserve">  </w:t>
      </w:r>
      <w:r w:rsidRPr="00382917">
        <w:t>Because</w:t>
      </w:r>
      <w:r w:rsidR="00EE4FC3">
        <w:t xml:space="preserve"> </w:t>
      </w:r>
      <w:r w:rsidRPr="00382917">
        <w:t>of</w:t>
      </w:r>
      <w:r w:rsidR="00EE4FC3">
        <w:t xml:space="preserve"> </w:t>
      </w:r>
      <w:r w:rsidRPr="00382917">
        <w:t>the</w:t>
      </w:r>
      <w:r w:rsidR="00EE4FC3">
        <w:t xml:space="preserve"> </w:t>
      </w:r>
      <w:r w:rsidRPr="00382917">
        <w:t>illustrious</w:t>
      </w:r>
      <w:r w:rsidR="00EE4FC3">
        <w:t xml:space="preserve"> </w:t>
      </w:r>
      <w:r w:rsidRPr="00382917">
        <w:t>name</w:t>
      </w:r>
      <w:r w:rsidR="00EE4FC3">
        <w:t xml:space="preserve"> </w:t>
      </w:r>
      <w:r w:rsidRPr="00382917">
        <w:t>of</w:t>
      </w:r>
      <w:r w:rsidR="00EE4FC3">
        <w:t xml:space="preserve"> </w:t>
      </w:r>
      <w:r w:rsidRPr="00382917">
        <w:t>her</w:t>
      </w:r>
      <w:r w:rsidR="00EE4FC3">
        <w:t xml:space="preserve"> </w:t>
      </w:r>
      <w:r w:rsidRPr="00382917">
        <w:t>family,</w:t>
      </w:r>
      <w:r w:rsidR="00EE4FC3">
        <w:t xml:space="preserve"> </w:t>
      </w:r>
      <w:r w:rsidRPr="00382917">
        <w:t>they</w:t>
      </w:r>
      <w:r w:rsidR="00EE4FC3">
        <w:t xml:space="preserve"> </w:t>
      </w:r>
      <w:r w:rsidRPr="00382917">
        <w:t>all</w:t>
      </w:r>
      <w:r w:rsidR="00EE4FC3">
        <w:t xml:space="preserve"> </w:t>
      </w:r>
      <w:r w:rsidRPr="00382917">
        <w:t>tried</w:t>
      </w:r>
      <w:r w:rsidR="00EE4FC3">
        <w:t xml:space="preserve"> </w:t>
      </w:r>
      <w:r w:rsidRPr="00382917">
        <w:t>to</w:t>
      </w:r>
      <w:r w:rsidR="00EE4FC3">
        <w:t xml:space="preserve"> </w:t>
      </w:r>
      <w:r w:rsidRPr="00382917">
        <w:t>quiet</w:t>
      </w:r>
      <w:r w:rsidR="00EE4FC3">
        <w:t xml:space="preserve"> </w:t>
      </w:r>
      <w:r w:rsidRPr="00382917">
        <w:t>her</w:t>
      </w:r>
      <w:r w:rsidR="00EE4FC3">
        <w:t xml:space="preserve"> </w:t>
      </w:r>
      <w:r w:rsidRPr="00382917">
        <w:t>and</w:t>
      </w:r>
      <w:r w:rsidR="00EE4FC3">
        <w:t xml:space="preserve"> </w:t>
      </w:r>
      <w:r w:rsidRPr="00382917">
        <w:t>to</w:t>
      </w:r>
      <w:r w:rsidR="00EE4FC3">
        <w:t xml:space="preserve"> </w:t>
      </w:r>
      <w:r w:rsidRPr="00382917">
        <w:t>curb</w:t>
      </w:r>
      <w:r w:rsidR="00EE4FC3">
        <w:t xml:space="preserve"> </w:t>
      </w:r>
      <w:r w:rsidRPr="00382917">
        <w:t>her</w:t>
      </w:r>
      <w:r w:rsidR="00EE4FC3">
        <w:t xml:space="preserve"> </w:t>
      </w:r>
      <w:r w:rsidRPr="00382917">
        <w:t>teaching.</w:t>
      </w:r>
    </w:p>
    <w:p w:rsidR="005B5622" w:rsidRPr="00382917" w:rsidRDefault="005B5622" w:rsidP="00F825CC">
      <w:pPr>
        <w:pStyle w:val="Text"/>
      </w:pPr>
      <w:r w:rsidRPr="00382917">
        <w:t>Ṭáhirih</w:t>
      </w:r>
      <w:r w:rsidR="00EE4FC3">
        <w:t xml:space="preserve"> </w:t>
      </w:r>
      <w:r w:rsidRPr="00382917">
        <w:t>was</w:t>
      </w:r>
      <w:r w:rsidR="00EE4FC3">
        <w:t xml:space="preserve"> </w:t>
      </w:r>
      <w:r w:rsidRPr="00382917">
        <w:t>aflame</w:t>
      </w:r>
      <w:r w:rsidR="00EE4FC3">
        <w:t xml:space="preserve"> </w:t>
      </w:r>
      <w:r w:rsidRPr="00382917">
        <w:t>with</w:t>
      </w:r>
      <w:r w:rsidR="00EE4FC3">
        <w:t xml:space="preserve"> </w:t>
      </w:r>
      <w:r w:rsidRPr="00382917">
        <w:t>the</w:t>
      </w:r>
      <w:r w:rsidR="00EE4FC3">
        <w:t xml:space="preserve"> </w:t>
      </w:r>
      <w:r w:rsidRPr="00382917">
        <w:t>message</w:t>
      </w:r>
      <w:r w:rsidR="00EE4FC3">
        <w:t xml:space="preserve"> </w:t>
      </w:r>
      <w:r w:rsidRPr="00382917">
        <w:t>of</w:t>
      </w:r>
      <w:r w:rsidR="00EE4FC3">
        <w:t xml:space="preserve"> </w:t>
      </w:r>
      <w:r w:rsidRPr="00382917">
        <w:t>the</w:t>
      </w:r>
      <w:r w:rsidR="00EE4FC3">
        <w:t xml:space="preserve"> </w:t>
      </w:r>
      <w:r w:rsidR="0040329F" w:rsidRPr="00382917">
        <w:t>B</w:t>
      </w:r>
      <w:r w:rsidR="0040329F" w:rsidRPr="0040329F">
        <w:t>á</w:t>
      </w:r>
      <w:r w:rsidR="0040329F" w:rsidRPr="00382917">
        <w:t>b</w:t>
      </w:r>
      <w:r w:rsidR="00B71244">
        <w:t>.</w:t>
      </w:r>
      <w:r w:rsidR="00EE4FC3">
        <w:t xml:space="preserve">  </w:t>
      </w:r>
      <w:r w:rsidRPr="00382917">
        <w:t>She</w:t>
      </w:r>
      <w:r w:rsidR="00EE4FC3">
        <w:t xml:space="preserve"> </w:t>
      </w:r>
      <w:r w:rsidRPr="00382917">
        <w:t>won</w:t>
      </w:r>
      <w:r w:rsidR="00EE4FC3">
        <w:t xml:space="preserve"> </w:t>
      </w:r>
      <w:r w:rsidRPr="00382917">
        <w:t>many</w:t>
      </w:r>
      <w:r w:rsidR="00EE4FC3">
        <w:t xml:space="preserve"> </w:t>
      </w:r>
      <w:r w:rsidRPr="00382917">
        <w:t>to</w:t>
      </w:r>
      <w:r w:rsidR="00EE4FC3">
        <w:t xml:space="preserve"> </w:t>
      </w:r>
      <w:r w:rsidRPr="00382917">
        <w:t>His</w:t>
      </w:r>
      <w:r w:rsidR="00EE4FC3">
        <w:t xml:space="preserve"> </w:t>
      </w:r>
      <w:r w:rsidRPr="00382917">
        <w:t>Faith</w:t>
      </w:r>
      <w:r w:rsidR="00EE4FC3">
        <w:t xml:space="preserve"> </w:t>
      </w:r>
      <w:r w:rsidRPr="00382917">
        <w:t>in</w:t>
      </w:r>
      <w:r w:rsidR="00EE4FC3">
        <w:t xml:space="preserve"> </w:t>
      </w:r>
      <w:r w:rsidRPr="00382917">
        <w:t>Karbilá</w:t>
      </w:r>
      <w:r w:rsidR="00B71244">
        <w:t>.</w:t>
      </w:r>
      <w:r w:rsidR="00EE4FC3">
        <w:t xml:space="preserve">  </w:t>
      </w:r>
      <w:r w:rsidRPr="00382917">
        <w:t>The</w:t>
      </w:r>
      <w:r w:rsidR="00EE4FC3">
        <w:t xml:space="preserve"> </w:t>
      </w:r>
      <w:r w:rsidRPr="00382917">
        <w:t>following</w:t>
      </w:r>
      <w:r w:rsidR="00EE4FC3">
        <w:t xml:space="preserve"> </w:t>
      </w:r>
      <w:r w:rsidRPr="00382917">
        <w:t>description</w:t>
      </w:r>
      <w:r w:rsidR="00EE4FC3">
        <w:t xml:space="preserve"> </w:t>
      </w:r>
      <w:r w:rsidRPr="00382917">
        <w:t>has</w:t>
      </w:r>
      <w:r w:rsidR="00EE4FC3">
        <w:t xml:space="preserve"> </w:t>
      </w:r>
      <w:r w:rsidRPr="00382917">
        <w:t>been</w:t>
      </w:r>
      <w:r w:rsidR="00EE4FC3">
        <w:t xml:space="preserve"> </w:t>
      </w:r>
      <w:r w:rsidRPr="00382917">
        <w:t>recorded</w:t>
      </w:r>
      <w:r w:rsidR="00EE4FC3">
        <w:t xml:space="preserve"> </w:t>
      </w:r>
      <w:r w:rsidRPr="00382917">
        <w:t>of</w:t>
      </w:r>
      <w:r w:rsidR="00EE4FC3">
        <w:t xml:space="preserve"> </w:t>
      </w:r>
      <w:r w:rsidRPr="00382917">
        <w:t>her</w:t>
      </w:r>
      <w:r w:rsidR="00EE4FC3">
        <w:t xml:space="preserve"> </w:t>
      </w:r>
      <w:r w:rsidRPr="00382917">
        <w:t>early</w:t>
      </w:r>
      <w:r w:rsidR="00EE4FC3">
        <w:t xml:space="preserve"> </w:t>
      </w:r>
      <w:r w:rsidRPr="00382917">
        <w:t>days</w:t>
      </w:r>
      <w:r w:rsidR="00EE4FC3">
        <w:t xml:space="preserve"> </w:t>
      </w:r>
      <w:r w:rsidRPr="00382917">
        <w:t>of</w:t>
      </w:r>
      <w:r w:rsidR="00EE4FC3">
        <w:t xml:space="preserve"> </w:t>
      </w:r>
      <w:r w:rsidRPr="00382917">
        <w:t>teaching</w:t>
      </w:r>
      <w:r w:rsidR="00EE4FC3">
        <w:t xml:space="preserve"> </w:t>
      </w:r>
      <w:r w:rsidRPr="00382917">
        <w:t>in</w:t>
      </w:r>
      <w:r w:rsidR="00EE4FC3">
        <w:t xml:space="preserve"> </w:t>
      </w:r>
      <w:r w:rsidRPr="00382917">
        <w:t>that</w:t>
      </w:r>
      <w:r w:rsidR="00EE4FC3">
        <w:t xml:space="preserve"> </w:t>
      </w:r>
      <w:r w:rsidRPr="00382917">
        <w:t>city</w:t>
      </w:r>
      <w:r w:rsidR="00C03C91">
        <w:t>:</w:t>
      </w:r>
      <w:r w:rsidR="00EE4FC3">
        <w:t xml:space="preserve">  </w:t>
      </w:r>
      <w:r w:rsidR="009C713D" w:rsidRPr="00382917">
        <w:t>“</w:t>
      </w:r>
      <w:r w:rsidRPr="00382917">
        <w:t>All</w:t>
      </w:r>
      <w:r w:rsidR="00EE4FC3">
        <w:t xml:space="preserve"> </w:t>
      </w:r>
      <w:r w:rsidRPr="00382917">
        <w:t>who</w:t>
      </w:r>
      <w:r w:rsidR="00EE4FC3">
        <w:t xml:space="preserve"> </w:t>
      </w:r>
      <w:r w:rsidRPr="00382917">
        <w:t>met</w:t>
      </w:r>
      <w:r w:rsidR="00EE4FC3">
        <w:t xml:space="preserve"> </w:t>
      </w:r>
      <w:r w:rsidRPr="00382917">
        <w:t>her</w:t>
      </w:r>
      <w:r w:rsidR="00EE4FC3">
        <w:t xml:space="preserve"> </w:t>
      </w:r>
      <w:r w:rsidRPr="00382917">
        <w:t>were</w:t>
      </w:r>
      <w:r w:rsidR="00EE4FC3">
        <w:t xml:space="preserve"> </w:t>
      </w:r>
      <w:r w:rsidRPr="00382917">
        <w:t>ensnared</w:t>
      </w:r>
      <w:r w:rsidR="00EE4FC3">
        <w:t xml:space="preserve"> </w:t>
      </w:r>
      <w:r w:rsidRPr="00382917">
        <w:t>by</w:t>
      </w:r>
      <w:r w:rsidR="00EE4FC3">
        <w:t xml:space="preserve"> </w:t>
      </w:r>
      <w:r w:rsidRPr="00382917">
        <w:t>her</w:t>
      </w:r>
      <w:r w:rsidR="00EE4FC3">
        <w:t xml:space="preserve"> </w:t>
      </w:r>
      <w:r w:rsidRPr="00382917">
        <w:t>bewitching</w:t>
      </w:r>
      <w:r w:rsidR="00EE4FC3">
        <w:t xml:space="preserve"> </w:t>
      </w:r>
      <w:r w:rsidRPr="00382917">
        <w:t>eloquence</w:t>
      </w:r>
      <w:r w:rsidR="00EE4FC3">
        <w:t xml:space="preserve"> </w:t>
      </w:r>
      <w:r w:rsidRPr="00382917">
        <w:t>and</w:t>
      </w:r>
      <w:r w:rsidR="00EE4FC3">
        <w:t xml:space="preserve"> </w:t>
      </w:r>
      <w:r w:rsidRPr="00382917">
        <w:t>felt</w:t>
      </w:r>
      <w:r w:rsidR="00EE4FC3">
        <w:t xml:space="preserve"> </w:t>
      </w:r>
      <w:r w:rsidRPr="00382917">
        <w:t>the</w:t>
      </w:r>
      <w:r w:rsidR="00EE4FC3">
        <w:t xml:space="preserve"> </w:t>
      </w:r>
      <w:r w:rsidRPr="00382917">
        <w:t>fascination</w:t>
      </w:r>
      <w:r w:rsidR="00EE4FC3">
        <w:t xml:space="preserve"> </w:t>
      </w:r>
      <w:r w:rsidRPr="00382917">
        <w:t>of</w:t>
      </w:r>
      <w:r w:rsidR="00EE4FC3">
        <w:t xml:space="preserve"> </w:t>
      </w:r>
      <w:r w:rsidRPr="00382917">
        <w:t>her</w:t>
      </w:r>
      <w:r w:rsidR="00EE4FC3">
        <w:t xml:space="preserve"> </w:t>
      </w:r>
      <w:r w:rsidRPr="00382917">
        <w:t>words</w:t>
      </w:r>
      <w:r w:rsidR="00B71244">
        <w:t>.</w:t>
      </w:r>
      <w:r w:rsidR="00EE4FC3">
        <w:t xml:space="preserve">  </w:t>
      </w:r>
      <w:r w:rsidRPr="00382917">
        <w:t>None</w:t>
      </w:r>
      <w:r w:rsidR="00EE4FC3">
        <w:t xml:space="preserve"> </w:t>
      </w:r>
      <w:r w:rsidRPr="00382917">
        <w:t>could</w:t>
      </w:r>
      <w:r w:rsidR="00EE4FC3">
        <w:t xml:space="preserve"> </w:t>
      </w:r>
      <w:r w:rsidRPr="00382917">
        <w:t>resist</w:t>
      </w:r>
      <w:r w:rsidR="00EE4FC3">
        <w:t xml:space="preserve"> </w:t>
      </w:r>
      <w:r w:rsidRPr="00382917">
        <w:t>her</w:t>
      </w:r>
      <w:r w:rsidR="00EE4FC3">
        <w:t xml:space="preserve"> </w:t>
      </w:r>
      <w:r w:rsidRPr="00382917">
        <w:t>charm;</w:t>
      </w:r>
      <w:r w:rsidR="00EE4FC3">
        <w:t xml:space="preserve"> </w:t>
      </w:r>
      <w:r w:rsidRPr="00382917">
        <w:t>few</w:t>
      </w:r>
      <w:r w:rsidR="00EE4FC3">
        <w:t xml:space="preserve"> </w:t>
      </w:r>
      <w:r w:rsidRPr="00382917">
        <w:t>could</w:t>
      </w:r>
      <w:r w:rsidR="00EE4FC3">
        <w:t xml:space="preserve"> </w:t>
      </w:r>
      <w:r w:rsidRPr="00382917">
        <w:t>escape</w:t>
      </w:r>
      <w:r w:rsidR="00EE4FC3">
        <w:t xml:space="preserve"> </w:t>
      </w:r>
      <w:r w:rsidRPr="00382917">
        <w:t>the</w:t>
      </w:r>
      <w:r w:rsidR="00EE4FC3">
        <w:t xml:space="preserve"> </w:t>
      </w:r>
      <w:r w:rsidRPr="00382917">
        <w:t>contagion</w:t>
      </w:r>
      <w:r w:rsidR="00EE4FC3">
        <w:t xml:space="preserve"> </w:t>
      </w:r>
      <w:r w:rsidRPr="00382917">
        <w:t>of</w:t>
      </w:r>
      <w:r w:rsidR="00EE4FC3">
        <w:t xml:space="preserve"> </w:t>
      </w:r>
      <w:r w:rsidRPr="00382917">
        <w:t>her</w:t>
      </w:r>
      <w:r w:rsidR="00EE4FC3">
        <w:t xml:space="preserve"> </w:t>
      </w:r>
      <w:r w:rsidRPr="00382917">
        <w:t>belief</w:t>
      </w:r>
      <w:r w:rsidR="00B71244">
        <w:t>.</w:t>
      </w:r>
      <w:r w:rsidR="00EE4FC3">
        <w:t xml:space="preserve">  </w:t>
      </w:r>
      <w:r w:rsidRPr="00382917">
        <w:t>All</w:t>
      </w:r>
      <w:r w:rsidR="00EE4FC3">
        <w:t xml:space="preserve"> </w:t>
      </w:r>
      <w:r w:rsidRPr="00382917">
        <w:t>testified</w:t>
      </w:r>
      <w:r w:rsidR="00EE4FC3">
        <w:t xml:space="preserve"> </w:t>
      </w:r>
      <w:r w:rsidRPr="00382917">
        <w:t>to</w:t>
      </w:r>
      <w:r w:rsidR="00EE4FC3">
        <w:t xml:space="preserve"> </w:t>
      </w:r>
      <w:r w:rsidRPr="00382917">
        <w:t>the</w:t>
      </w:r>
      <w:r w:rsidR="00EE4FC3">
        <w:t xml:space="preserve"> </w:t>
      </w:r>
      <w:r w:rsidRPr="00382917">
        <w:t>extraordinary</w:t>
      </w:r>
      <w:r w:rsidR="00EE4FC3">
        <w:t xml:space="preserve"> </w:t>
      </w:r>
      <w:r w:rsidRPr="00382917">
        <w:t>traits</w:t>
      </w:r>
      <w:r w:rsidR="00EE4FC3">
        <w:t xml:space="preserve"> </w:t>
      </w:r>
      <w:r w:rsidRPr="00382917">
        <w:t>of</w:t>
      </w:r>
      <w:r w:rsidR="00EE4FC3">
        <w:t xml:space="preserve"> </w:t>
      </w:r>
      <w:r w:rsidRPr="00382917">
        <w:t>her</w:t>
      </w:r>
      <w:r w:rsidR="00EE4FC3">
        <w:t xml:space="preserve"> </w:t>
      </w:r>
      <w:r w:rsidRPr="00382917">
        <w:t>character,</w:t>
      </w:r>
      <w:r w:rsidR="00EE4FC3">
        <w:t xml:space="preserve"> </w:t>
      </w:r>
      <w:proofErr w:type="spellStart"/>
      <w:r w:rsidRPr="00382917">
        <w:t>marveled</w:t>
      </w:r>
      <w:proofErr w:type="spellEnd"/>
      <w:r w:rsidR="00EE4FC3">
        <w:t xml:space="preserve"> </w:t>
      </w:r>
      <w:r w:rsidRPr="00382917">
        <w:t>at</w:t>
      </w:r>
      <w:r w:rsidR="00EE4FC3">
        <w:t xml:space="preserve"> </w:t>
      </w:r>
      <w:r w:rsidRPr="00382917">
        <w:t>her</w:t>
      </w:r>
      <w:r w:rsidR="00EE4FC3">
        <w:t xml:space="preserve"> </w:t>
      </w:r>
      <w:r w:rsidRPr="00382917">
        <w:t>amazing</w:t>
      </w:r>
      <w:r w:rsidR="00EE4FC3">
        <w:t xml:space="preserve"> </w:t>
      </w:r>
      <w:r w:rsidRPr="00382917">
        <w:t>personality,</w:t>
      </w:r>
      <w:r w:rsidR="00EE4FC3">
        <w:t xml:space="preserve"> </w:t>
      </w:r>
      <w:r w:rsidRPr="00382917">
        <w:t>and</w:t>
      </w:r>
      <w:r w:rsidR="00EE4FC3">
        <w:t xml:space="preserve"> </w:t>
      </w:r>
      <w:r w:rsidRPr="00382917">
        <w:t>were</w:t>
      </w:r>
      <w:r w:rsidR="00EE4FC3">
        <w:t xml:space="preserve"> </w:t>
      </w:r>
      <w:r w:rsidRPr="00382917">
        <w:t>convinced</w:t>
      </w:r>
      <w:r w:rsidR="00EE4FC3">
        <w:t xml:space="preserve"> </w:t>
      </w:r>
      <w:r w:rsidRPr="00382917">
        <w:t>of</w:t>
      </w:r>
      <w:r w:rsidR="00EE4FC3">
        <w:t xml:space="preserve"> </w:t>
      </w:r>
      <w:r w:rsidRPr="00382917">
        <w:t>the</w:t>
      </w:r>
      <w:r w:rsidR="00EE4FC3">
        <w:t xml:space="preserve"> </w:t>
      </w:r>
      <w:r w:rsidRPr="00382917">
        <w:t>sincerity</w:t>
      </w:r>
      <w:r w:rsidR="00EE4FC3">
        <w:t xml:space="preserve"> </w:t>
      </w:r>
      <w:r w:rsidRPr="00382917">
        <w:t>of</w:t>
      </w:r>
      <w:r w:rsidR="00EE4FC3">
        <w:t xml:space="preserve"> </w:t>
      </w:r>
      <w:r w:rsidRPr="00382917">
        <w:t>her</w:t>
      </w:r>
      <w:r w:rsidR="00EE4FC3">
        <w:t xml:space="preserve"> </w:t>
      </w:r>
      <w:r w:rsidRPr="00382917">
        <w:t>convictions.</w:t>
      </w:r>
      <w:r w:rsidR="009C713D" w:rsidRPr="00382917">
        <w:t>”</w:t>
      </w:r>
      <w:r w:rsidR="00F825CC">
        <w:rPr>
          <w:rStyle w:val="FootnoteReference"/>
        </w:rPr>
        <w:footnoteReference w:id="134"/>
      </w:r>
    </w:p>
    <w:p w:rsidR="005B5622" w:rsidRPr="00382917" w:rsidRDefault="005B5622" w:rsidP="006340BC">
      <w:pPr>
        <w:pStyle w:val="Text"/>
      </w:pPr>
      <w:r w:rsidRPr="00382917">
        <w:t>Ṭáhirih</w:t>
      </w:r>
      <w:r w:rsidR="00EE4FC3">
        <w:t xml:space="preserve"> </w:t>
      </w:r>
      <w:r w:rsidRPr="00382917">
        <w:t>was</w:t>
      </w:r>
      <w:r w:rsidR="00EE4FC3">
        <w:t xml:space="preserve"> </w:t>
      </w:r>
      <w:r w:rsidRPr="00382917">
        <w:t>not</w:t>
      </w:r>
      <w:r w:rsidR="00EE4FC3">
        <w:t xml:space="preserve"> </w:t>
      </w:r>
      <w:r w:rsidRPr="00382917">
        <w:t>content</w:t>
      </w:r>
      <w:r w:rsidR="00EE4FC3">
        <w:t xml:space="preserve"> </w:t>
      </w:r>
      <w:r w:rsidRPr="00382917">
        <w:t>with</w:t>
      </w:r>
      <w:r w:rsidR="00EE4FC3">
        <w:t xml:space="preserve"> </w:t>
      </w:r>
      <w:r w:rsidRPr="00382917">
        <w:t>a</w:t>
      </w:r>
      <w:r w:rsidR="00EE4FC3">
        <w:t xml:space="preserve"> </w:t>
      </w:r>
      <w:r w:rsidRPr="00382917">
        <w:t>passive</w:t>
      </w:r>
      <w:r w:rsidR="00EE4FC3">
        <w:t xml:space="preserve"> </w:t>
      </w:r>
      <w:r w:rsidRPr="00382917">
        <w:t>sympathy</w:t>
      </w:r>
      <w:r w:rsidR="00EE4FC3">
        <w:t xml:space="preserve"> </w:t>
      </w:r>
      <w:r w:rsidRPr="00382917">
        <w:t>for</w:t>
      </w:r>
      <w:r w:rsidR="00EE4FC3">
        <w:t xml:space="preserve"> </w:t>
      </w:r>
      <w:r w:rsidRPr="00382917">
        <w:t>the</w:t>
      </w:r>
      <w:r w:rsidR="00EE4FC3">
        <w:t xml:space="preserve"> </w:t>
      </w:r>
      <w:r w:rsidRPr="00382917">
        <w:t>Faith</w:t>
      </w:r>
      <w:r w:rsidR="00EE4FC3">
        <w:t xml:space="preserve"> </w:t>
      </w:r>
      <w:r w:rsidRPr="00382917">
        <w:t>of</w:t>
      </w:r>
      <w:r w:rsidR="00EE4FC3">
        <w:t xml:space="preserve"> </w:t>
      </w:r>
      <w:r w:rsidRPr="00382917">
        <w:t>the</w:t>
      </w:r>
      <w:r w:rsidR="00EE4FC3">
        <w:t xml:space="preserve"> </w:t>
      </w:r>
      <w:r w:rsidRPr="00382917">
        <w:t>Báb</w:t>
      </w:r>
      <w:r w:rsidR="00B71244">
        <w:t>.</w:t>
      </w:r>
      <w:r w:rsidR="00EE4FC3">
        <w:t xml:space="preserve">  </w:t>
      </w:r>
      <w:r w:rsidRPr="00382917">
        <w:t>She</w:t>
      </w:r>
      <w:r w:rsidR="00EE4FC3">
        <w:t xml:space="preserve"> </w:t>
      </w:r>
      <w:r w:rsidRPr="00382917">
        <w:t>openly</w:t>
      </w:r>
      <w:r w:rsidR="00EE4FC3">
        <w:t xml:space="preserve"> </w:t>
      </w:r>
      <w:r w:rsidRPr="00382917">
        <w:t>confessed</w:t>
      </w:r>
      <w:r w:rsidR="00EE4FC3">
        <w:t xml:space="preserve"> </w:t>
      </w:r>
      <w:r w:rsidRPr="00382917">
        <w:t>her</w:t>
      </w:r>
      <w:r w:rsidR="00EE4FC3">
        <w:t xml:space="preserve"> </w:t>
      </w:r>
      <w:r w:rsidRPr="00382917">
        <w:t>belief</w:t>
      </w:r>
      <w:r w:rsidR="00EE4FC3">
        <w:t xml:space="preserve"> </w:t>
      </w:r>
      <w:r w:rsidRPr="00382917">
        <w:t>in</w:t>
      </w:r>
      <w:r w:rsidR="00EE4FC3">
        <w:t xml:space="preserve"> </w:t>
      </w:r>
      <w:r w:rsidRPr="00382917">
        <w:t>Him</w:t>
      </w:r>
      <w:r w:rsidR="00B71244">
        <w:t>.</w:t>
      </w:r>
      <w:r w:rsidR="00EE4FC3">
        <w:t xml:space="preserve">  </w:t>
      </w:r>
      <w:r w:rsidRPr="00382917">
        <w:t>She</w:t>
      </w:r>
      <w:r w:rsidR="00EE4FC3">
        <w:t xml:space="preserve"> </w:t>
      </w:r>
      <w:r w:rsidRPr="00382917">
        <w:t>tried</w:t>
      </w:r>
      <w:r w:rsidR="00EE4FC3">
        <w:t xml:space="preserve"> </w:t>
      </w:r>
      <w:r w:rsidRPr="00382917">
        <w:t>to</w:t>
      </w:r>
      <w:r w:rsidR="00EE4FC3">
        <w:t xml:space="preserve"> </w:t>
      </w:r>
      <w:r w:rsidRPr="00382917">
        <w:t>awaken</w:t>
      </w:r>
      <w:r w:rsidR="00EE4FC3">
        <w:t xml:space="preserve"> </w:t>
      </w:r>
      <w:r w:rsidRPr="00382917">
        <w:t>those</w:t>
      </w:r>
      <w:r w:rsidR="00EE4FC3">
        <w:t xml:space="preserve"> </w:t>
      </w:r>
      <w:r w:rsidRPr="00382917">
        <w:t>around</w:t>
      </w:r>
      <w:r w:rsidR="00EE4FC3">
        <w:t xml:space="preserve"> </w:t>
      </w:r>
      <w:r w:rsidRPr="00382917">
        <w:t>her</w:t>
      </w:r>
      <w:r w:rsidR="00EE4FC3">
        <w:t xml:space="preserve"> </w:t>
      </w:r>
      <w:r w:rsidRPr="00382917">
        <w:t>to</w:t>
      </w:r>
      <w:r w:rsidR="00EE4FC3">
        <w:t xml:space="preserve"> </w:t>
      </w:r>
      <w:r w:rsidRPr="00382917">
        <w:t>the</w:t>
      </w:r>
      <w:r w:rsidR="00EE4FC3">
        <w:t xml:space="preserve"> </w:t>
      </w:r>
      <w:r w:rsidRPr="00382917">
        <w:t>coming</w:t>
      </w:r>
      <w:r w:rsidR="00EE4FC3">
        <w:t xml:space="preserve"> </w:t>
      </w:r>
      <w:r w:rsidRPr="00382917">
        <w:t>of</w:t>
      </w:r>
      <w:r w:rsidR="00EE4FC3">
        <w:t xml:space="preserve"> </w:t>
      </w:r>
      <w:r w:rsidRPr="00382917">
        <w:t>a</w:t>
      </w:r>
      <w:r w:rsidR="00EE4FC3">
        <w:t xml:space="preserve"> </w:t>
      </w:r>
      <w:r w:rsidRPr="00382917">
        <w:t>great</w:t>
      </w:r>
      <w:r w:rsidR="00EE4FC3">
        <w:t xml:space="preserve"> </w:t>
      </w:r>
      <w:r w:rsidRPr="00382917">
        <w:t>new</w:t>
      </w:r>
      <w:r w:rsidR="00EE4FC3">
        <w:t xml:space="preserve"> </w:t>
      </w:r>
      <w:r w:rsidRPr="00382917">
        <w:t>day</w:t>
      </w:r>
      <w:r w:rsidR="00EE4FC3">
        <w:t xml:space="preserve"> </w:t>
      </w:r>
      <w:r w:rsidRPr="00382917">
        <w:t>in</w:t>
      </w:r>
      <w:r w:rsidR="00EE4FC3">
        <w:t xml:space="preserve"> </w:t>
      </w:r>
      <w:r w:rsidRPr="00382917">
        <w:t>the</w:t>
      </w:r>
      <w:r w:rsidR="00EE4FC3">
        <w:t xml:space="preserve"> </w:t>
      </w:r>
      <w:r w:rsidRPr="00382917">
        <w:t>affairs</w:t>
      </w:r>
      <w:r w:rsidR="00EE4FC3">
        <w:t xml:space="preserve"> </w:t>
      </w:r>
      <w:r w:rsidRPr="00382917">
        <w:t>of</w:t>
      </w:r>
      <w:r w:rsidR="00EE4FC3">
        <w:t xml:space="preserve"> </w:t>
      </w:r>
      <w:r w:rsidRPr="00382917">
        <w:t>all</w:t>
      </w:r>
      <w:r w:rsidR="00EE4FC3">
        <w:t xml:space="preserve"> </w:t>
      </w:r>
      <w:r w:rsidRPr="00382917">
        <w:t>mankind</w:t>
      </w:r>
      <w:r w:rsidR="00B71244">
        <w:t>.</w:t>
      </w:r>
      <w:r w:rsidR="00EE4FC3">
        <w:t xml:space="preserve">  </w:t>
      </w:r>
      <w:r w:rsidRPr="00382917">
        <w:t>Many</w:t>
      </w:r>
      <w:r w:rsidR="00EE4FC3">
        <w:t xml:space="preserve"> </w:t>
      </w:r>
      <w:r w:rsidRPr="00382917">
        <w:t>people</w:t>
      </w:r>
      <w:r w:rsidR="00EE4FC3">
        <w:t xml:space="preserve"> </w:t>
      </w:r>
      <w:r w:rsidRPr="00382917">
        <w:t>began</w:t>
      </w:r>
      <w:r w:rsidR="00EE4FC3">
        <w:t xml:space="preserve"> </w:t>
      </w:r>
      <w:r w:rsidRPr="00382917">
        <w:t>to</w:t>
      </w:r>
      <w:r w:rsidR="00EE4FC3">
        <w:t xml:space="preserve"> </w:t>
      </w:r>
      <w:r w:rsidRPr="00382917">
        <w:t>share</w:t>
      </w:r>
      <w:r w:rsidR="00EE4FC3">
        <w:t xml:space="preserve"> </w:t>
      </w:r>
      <w:r w:rsidRPr="00382917">
        <w:t>her</w:t>
      </w:r>
      <w:r w:rsidR="00EE4FC3">
        <w:t xml:space="preserve"> </w:t>
      </w:r>
      <w:r w:rsidRPr="00382917">
        <w:t>enthusiasm</w:t>
      </w:r>
      <w:r w:rsidR="00EE4FC3">
        <w:t xml:space="preserve"> </w:t>
      </w:r>
      <w:r w:rsidRPr="00382917">
        <w:t>and</w:t>
      </w:r>
      <w:r w:rsidR="00EE4FC3">
        <w:t xml:space="preserve"> </w:t>
      </w:r>
      <w:r w:rsidRPr="00382917">
        <w:t>flocked</w:t>
      </w:r>
      <w:r w:rsidR="00EE4FC3">
        <w:t xml:space="preserve"> </w:t>
      </w:r>
      <w:r w:rsidRPr="00382917">
        <w:t>to</w:t>
      </w:r>
      <w:r w:rsidR="00EE4FC3">
        <w:t xml:space="preserve"> </w:t>
      </w:r>
      <w:r w:rsidRPr="00382917">
        <w:t>listen</w:t>
      </w:r>
      <w:r w:rsidR="00EE4FC3">
        <w:t xml:space="preserve"> </w:t>
      </w:r>
      <w:r w:rsidRPr="00382917">
        <w:t>to</w:t>
      </w:r>
      <w:r w:rsidR="00EE4FC3">
        <w:t xml:space="preserve"> </w:t>
      </w:r>
      <w:r w:rsidRPr="00382917">
        <w:t>her.</w:t>
      </w:r>
    </w:p>
    <w:p w:rsidR="005B5622" w:rsidRPr="00382917" w:rsidRDefault="005B5622" w:rsidP="006340BC">
      <w:pPr>
        <w:pStyle w:val="Text"/>
      </w:pPr>
      <w:r w:rsidRPr="00382917">
        <w:t>When</w:t>
      </w:r>
      <w:r w:rsidR="00EE4FC3">
        <w:t xml:space="preserve"> </w:t>
      </w:r>
      <w:r w:rsidRPr="00382917">
        <w:t>the</w:t>
      </w:r>
      <w:r w:rsidR="00EE4FC3">
        <w:t xml:space="preserve"> </w:t>
      </w:r>
      <w:r w:rsidRPr="00382917">
        <w:t>learned</w:t>
      </w:r>
      <w:r w:rsidR="00EE4FC3">
        <w:t xml:space="preserve"> </w:t>
      </w:r>
      <w:r w:rsidRPr="00382917">
        <w:t>religious</w:t>
      </w:r>
      <w:r w:rsidR="00EE4FC3">
        <w:t xml:space="preserve"> </w:t>
      </w:r>
      <w:r w:rsidRPr="00382917">
        <w:t>leaders</w:t>
      </w:r>
      <w:r w:rsidR="00EE4FC3">
        <w:t xml:space="preserve"> </w:t>
      </w:r>
      <w:r w:rsidRPr="00382917">
        <w:t>of</w:t>
      </w:r>
      <w:r w:rsidR="00EE4FC3">
        <w:t xml:space="preserve"> </w:t>
      </w:r>
      <w:r w:rsidRPr="00382917">
        <w:t>Karbilá</w:t>
      </w:r>
      <w:r w:rsidR="00EE4FC3">
        <w:t xml:space="preserve"> </w:t>
      </w:r>
      <w:r w:rsidRPr="00382917">
        <w:t>learned</w:t>
      </w:r>
      <w:r w:rsidR="00EE4FC3">
        <w:t xml:space="preserve"> </w:t>
      </w:r>
      <w:r w:rsidRPr="00382917">
        <w:t>that</w:t>
      </w:r>
      <w:r w:rsidR="00EE4FC3">
        <w:t xml:space="preserve"> </w:t>
      </w:r>
      <w:r w:rsidRPr="00382917">
        <w:t>she</w:t>
      </w:r>
      <w:r w:rsidR="00EE4FC3">
        <w:t xml:space="preserve"> </w:t>
      </w:r>
      <w:r w:rsidRPr="00382917">
        <w:t>was</w:t>
      </w:r>
      <w:r w:rsidR="00EE4FC3">
        <w:t xml:space="preserve"> </w:t>
      </w:r>
      <w:r w:rsidRPr="00382917">
        <w:t>an</w:t>
      </w:r>
      <w:r w:rsidR="00EE4FC3">
        <w:t xml:space="preserve"> </w:t>
      </w:r>
      <w:r w:rsidRPr="00382917">
        <w:t>ardent</w:t>
      </w:r>
      <w:r w:rsidR="00EE4FC3">
        <w:t xml:space="preserve"> </w:t>
      </w:r>
      <w:r w:rsidRPr="00382917">
        <w:t>follower</w:t>
      </w:r>
      <w:r w:rsidR="00EE4FC3">
        <w:t xml:space="preserve"> </w:t>
      </w:r>
      <w:r w:rsidRPr="00382917">
        <w:t>of</w:t>
      </w:r>
      <w:r w:rsidR="00EE4FC3">
        <w:t xml:space="preserve"> </w:t>
      </w:r>
      <w:r w:rsidRPr="00382917">
        <w:t>the</w:t>
      </w:r>
      <w:r w:rsidR="00EE4FC3">
        <w:t xml:space="preserve"> </w:t>
      </w:r>
      <w:r w:rsidRPr="00382917">
        <w:t>Báb</w:t>
      </w:r>
      <w:r w:rsidR="00EE4FC3">
        <w:t xml:space="preserve"> </w:t>
      </w:r>
      <w:r w:rsidRPr="00382917">
        <w:t>and</w:t>
      </w:r>
      <w:r w:rsidR="00EE4FC3">
        <w:t xml:space="preserve"> </w:t>
      </w:r>
      <w:r w:rsidRPr="00382917">
        <w:t>was</w:t>
      </w:r>
      <w:r w:rsidR="00EE4FC3">
        <w:t xml:space="preserve"> </w:t>
      </w:r>
      <w:r w:rsidRPr="00382917">
        <w:t>teaching</w:t>
      </w:r>
      <w:r w:rsidR="00EE4FC3">
        <w:t xml:space="preserve"> </w:t>
      </w:r>
      <w:r w:rsidRPr="00382917">
        <w:t>His</w:t>
      </w:r>
      <w:r w:rsidR="00EE4FC3">
        <w:t xml:space="preserve"> </w:t>
      </w:r>
      <w:r w:rsidRPr="00382917">
        <w:t>Faith</w:t>
      </w:r>
      <w:r w:rsidR="00EE4FC3">
        <w:t xml:space="preserve"> </w:t>
      </w:r>
      <w:r w:rsidRPr="00382917">
        <w:t>in</w:t>
      </w:r>
      <w:r w:rsidR="00EE4FC3">
        <w:t xml:space="preserve"> </w:t>
      </w:r>
      <w:r w:rsidRPr="00382917">
        <w:t>the</w:t>
      </w:r>
      <w:r w:rsidR="00EE4FC3">
        <w:t xml:space="preserve"> </w:t>
      </w:r>
      <w:r w:rsidRPr="00382917">
        <w:t>very</w:t>
      </w:r>
      <w:r w:rsidR="00EE4FC3">
        <w:t xml:space="preserve"> </w:t>
      </w:r>
      <w:proofErr w:type="spellStart"/>
      <w:r w:rsidRPr="00382917">
        <w:t>center</w:t>
      </w:r>
      <w:proofErr w:type="spellEnd"/>
      <w:r w:rsidR="00EE4FC3">
        <w:t xml:space="preserve"> </w:t>
      </w:r>
      <w:r w:rsidRPr="00382917">
        <w:t>of</w:t>
      </w:r>
      <w:r w:rsidR="00EE4FC3">
        <w:t xml:space="preserve"> </w:t>
      </w:r>
      <w:r w:rsidRPr="00382917">
        <w:t>their</w:t>
      </w:r>
      <w:r w:rsidR="00EE4FC3">
        <w:t xml:space="preserve"> </w:t>
      </w:r>
      <w:r w:rsidRPr="00382917">
        <w:t>religious</w:t>
      </w:r>
      <w:r w:rsidR="00EE4FC3">
        <w:t xml:space="preserve"> </w:t>
      </w:r>
      <w:r w:rsidRPr="00382917">
        <w:t>life,</w:t>
      </w:r>
      <w:r w:rsidR="00EE4FC3">
        <w:t xml:space="preserve"> </w:t>
      </w:r>
      <w:r w:rsidRPr="00382917">
        <w:t>they</w:t>
      </w:r>
      <w:r w:rsidR="00EE4FC3">
        <w:t xml:space="preserve"> </w:t>
      </w:r>
      <w:r w:rsidRPr="00382917">
        <w:t>complained</w:t>
      </w:r>
      <w:r w:rsidR="00EE4FC3">
        <w:t xml:space="preserve"> </w:t>
      </w:r>
      <w:r w:rsidRPr="00382917">
        <w:t>bitterly</w:t>
      </w:r>
      <w:r w:rsidR="00EE4FC3">
        <w:t xml:space="preserve"> </w:t>
      </w:r>
      <w:r w:rsidRPr="00382917">
        <w:t>to</w:t>
      </w:r>
      <w:r w:rsidR="00EE4FC3">
        <w:t xml:space="preserve"> </w:t>
      </w:r>
      <w:r w:rsidRPr="00382917">
        <w:t>the</w:t>
      </w:r>
      <w:r w:rsidR="00EE4FC3">
        <w:t xml:space="preserve"> </w:t>
      </w:r>
      <w:r w:rsidRPr="00382917">
        <w:t>government.</w:t>
      </w:r>
    </w:p>
    <w:p w:rsidR="005B5622" w:rsidRPr="00382917" w:rsidRDefault="005B5622" w:rsidP="006340BC">
      <w:pPr>
        <w:pStyle w:val="Text"/>
      </w:pPr>
      <w:r w:rsidRPr="00382917">
        <w:t>They</w:t>
      </w:r>
      <w:r w:rsidR="00EE4FC3">
        <w:t xml:space="preserve"> </w:t>
      </w:r>
      <w:r w:rsidRPr="00382917">
        <w:t>were</w:t>
      </w:r>
      <w:r w:rsidR="00EE4FC3">
        <w:t xml:space="preserve"> </w:t>
      </w:r>
      <w:r w:rsidRPr="00382917">
        <w:t>especially</w:t>
      </w:r>
      <w:r w:rsidR="00EE4FC3">
        <w:t xml:space="preserve"> </w:t>
      </w:r>
      <w:r w:rsidRPr="00382917">
        <w:t>angered</w:t>
      </w:r>
      <w:r w:rsidR="00EE4FC3">
        <w:t xml:space="preserve"> </w:t>
      </w:r>
      <w:r w:rsidRPr="00382917">
        <w:t>when</w:t>
      </w:r>
      <w:r w:rsidR="00EE4FC3">
        <w:t xml:space="preserve"> </w:t>
      </w:r>
      <w:r w:rsidRPr="00382917">
        <w:t>Ṭáhirih</w:t>
      </w:r>
      <w:r w:rsidR="00EE4FC3">
        <w:t xml:space="preserve"> </w:t>
      </w:r>
      <w:r w:rsidRPr="00382917">
        <w:t>wanted</w:t>
      </w:r>
      <w:r w:rsidR="00EE4FC3">
        <w:t xml:space="preserve"> </w:t>
      </w:r>
      <w:r w:rsidRPr="00382917">
        <w:t>to</w:t>
      </w:r>
      <w:r w:rsidR="00EE4FC3">
        <w:t xml:space="preserve"> </w:t>
      </w:r>
      <w:r w:rsidRPr="00382917">
        <w:t>celebrate</w:t>
      </w:r>
      <w:r w:rsidR="00EE4FC3">
        <w:t xml:space="preserve"> </w:t>
      </w:r>
      <w:r w:rsidRPr="00382917">
        <w:t>the</w:t>
      </w:r>
      <w:r w:rsidR="00EE4FC3">
        <w:t xml:space="preserve"> </w:t>
      </w:r>
      <w:r w:rsidRPr="00382917">
        <w:t>birthday</w:t>
      </w:r>
      <w:r w:rsidR="00EE4FC3">
        <w:t xml:space="preserve"> </w:t>
      </w:r>
      <w:r w:rsidRPr="00382917">
        <w:t>of</w:t>
      </w:r>
      <w:r w:rsidR="00EE4FC3">
        <w:t xml:space="preserve"> </w:t>
      </w:r>
      <w:r w:rsidRPr="00382917">
        <w:t>the</w:t>
      </w:r>
      <w:r w:rsidR="00EE4FC3">
        <w:t xml:space="preserve"> </w:t>
      </w:r>
      <w:r w:rsidRPr="00382917">
        <w:t>Báb</w:t>
      </w:r>
      <w:r w:rsidR="00EE4FC3">
        <w:t xml:space="preserve"> </w:t>
      </w:r>
      <w:r w:rsidRPr="00382917">
        <w:t>which</w:t>
      </w:r>
      <w:r w:rsidR="00EE4FC3">
        <w:t xml:space="preserve"> </w:t>
      </w:r>
      <w:r w:rsidRPr="00382917">
        <w:t>fell</w:t>
      </w:r>
      <w:r w:rsidR="00EE4FC3">
        <w:t xml:space="preserve"> </w:t>
      </w:r>
      <w:r w:rsidRPr="00382917">
        <w:t>within</w:t>
      </w:r>
      <w:r w:rsidR="00EE4FC3">
        <w:t xml:space="preserve"> </w:t>
      </w:r>
      <w:r w:rsidRPr="00382917">
        <w:t>the</w:t>
      </w:r>
      <w:r w:rsidR="00EE4FC3">
        <w:t xml:space="preserve"> </w:t>
      </w:r>
      <w:r w:rsidRPr="00382917">
        <w:t>month</w:t>
      </w:r>
      <w:r w:rsidR="00EE4FC3">
        <w:t xml:space="preserve"> </w:t>
      </w:r>
      <w:r w:rsidRPr="00382917">
        <w:t>of</w:t>
      </w:r>
      <w:r w:rsidR="00EE4FC3">
        <w:t xml:space="preserve"> </w:t>
      </w:r>
      <w:r w:rsidRPr="00382917">
        <w:t>the</w:t>
      </w:r>
      <w:r w:rsidR="00EE4FC3">
        <w:t xml:space="preserve"> </w:t>
      </w:r>
      <w:r w:rsidRPr="00382917">
        <w:t>commemoration</w:t>
      </w:r>
      <w:r w:rsidR="00EE4FC3">
        <w:t xml:space="preserve"> </w:t>
      </w:r>
      <w:r w:rsidRPr="00382917">
        <w:t>of</w:t>
      </w:r>
      <w:r w:rsidR="00EE4FC3">
        <w:t xml:space="preserve"> </w:t>
      </w:r>
      <w:r w:rsidRPr="00382917">
        <w:t>the</w:t>
      </w:r>
      <w:r w:rsidR="00EE4FC3">
        <w:t xml:space="preserve"> </w:t>
      </w:r>
      <w:r w:rsidRPr="00382917">
        <w:t>martyrdom</w:t>
      </w:r>
      <w:r w:rsidR="00EE4FC3">
        <w:t xml:space="preserve"> </w:t>
      </w:r>
      <w:r w:rsidRPr="00382917">
        <w:t>of</w:t>
      </w:r>
      <w:r w:rsidR="00EE4FC3">
        <w:t xml:space="preserve"> </w:t>
      </w:r>
      <w:r w:rsidRPr="00382917">
        <w:t>the</w:t>
      </w:r>
      <w:r w:rsidR="00EE4FC3">
        <w:t xml:space="preserve"> </w:t>
      </w:r>
      <w:r w:rsidRPr="00382917">
        <w:t>Imám</w:t>
      </w:r>
      <w:r w:rsidR="00EE4FC3">
        <w:t xml:space="preserve"> </w:t>
      </w:r>
      <w:r w:rsidR="00964C11" w:rsidRPr="00382917">
        <w:t>Ḥusayn</w:t>
      </w:r>
      <w:r w:rsidR="00B71244">
        <w:t>.</w:t>
      </w:r>
      <w:r w:rsidR="00EE4FC3">
        <w:t xml:space="preserve">  </w:t>
      </w:r>
      <w:r w:rsidRPr="00382917">
        <w:t>She</w:t>
      </w:r>
      <w:r w:rsidR="00EE4FC3">
        <w:t xml:space="preserve"> </w:t>
      </w:r>
      <w:r w:rsidRPr="00382917">
        <w:t>discarded</w:t>
      </w:r>
      <w:r w:rsidR="00EE4FC3">
        <w:t xml:space="preserve"> </w:t>
      </w:r>
      <w:r w:rsidRPr="00382917">
        <w:t>her</w:t>
      </w:r>
      <w:r w:rsidR="00EE4FC3">
        <w:t xml:space="preserve"> </w:t>
      </w:r>
      <w:r w:rsidRPr="00382917">
        <w:t>mourning</w:t>
      </w:r>
      <w:r w:rsidR="00EE4FC3">
        <w:t xml:space="preserve"> </w:t>
      </w:r>
      <w:r w:rsidRPr="00382917">
        <w:t>garb</w:t>
      </w:r>
      <w:r w:rsidR="00EE4FC3">
        <w:t xml:space="preserve"> </w:t>
      </w:r>
      <w:r w:rsidRPr="00382917">
        <w:t>and</w:t>
      </w:r>
      <w:r w:rsidR="00EE4FC3">
        <w:t xml:space="preserve"> </w:t>
      </w:r>
      <w:r w:rsidRPr="00382917">
        <w:t>attired</w:t>
      </w:r>
      <w:r w:rsidR="00EE4FC3">
        <w:t xml:space="preserve"> </w:t>
      </w:r>
      <w:r w:rsidRPr="00382917">
        <w:t>herself</w:t>
      </w:r>
      <w:r w:rsidR="00EE4FC3">
        <w:t xml:space="preserve"> </w:t>
      </w:r>
      <w:r w:rsidRPr="00382917">
        <w:t>in</w:t>
      </w:r>
      <w:r w:rsidR="00EE4FC3">
        <w:t xml:space="preserve"> </w:t>
      </w:r>
      <w:r w:rsidRPr="00382917">
        <w:t>clothes</w:t>
      </w:r>
      <w:r w:rsidR="00EE4FC3">
        <w:t xml:space="preserve"> </w:t>
      </w:r>
      <w:r w:rsidRPr="00382917">
        <w:t>which</w:t>
      </w:r>
      <w:r w:rsidR="00EE4FC3">
        <w:t xml:space="preserve"> </w:t>
      </w:r>
      <w:r w:rsidRPr="00382917">
        <w:t>showed</w:t>
      </w:r>
      <w:r w:rsidR="00EE4FC3">
        <w:t xml:space="preserve"> </w:t>
      </w:r>
      <w:r w:rsidRPr="00382917">
        <w:t>her</w:t>
      </w:r>
      <w:r w:rsidR="00EE4FC3">
        <w:t xml:space="preserve"> </w:t>
      </w:r>
      <w:r w:rsidRPr="00382917">
        <w:t>happiness.</w:t>
      </w:r>
      <w:r w:rsidR="00B57D7F">
        <w:rPr>
          <w:rStyle w:val="FootnoteReference"/>
        </w:rPr>
        <w:footnoteReference w:id="135"/>
      </w:r>
    </w:p>
    <w:p w:rsidR="006340BC" w:rsidRPr="00382917" w:rsidRDefault="006340BC">
      <w:pPr>
        <w:widowControl/>
        <w:kinsoku/>
        <w:overflowPunct/>
        <w:textAlignment w:val="auto"/>
      </w:pPr>
      <w:r w:rsidRPr="00382917">
        <w:br w:type="page"/>
      </w:r>
    </w:p>
    <w:p w:rsidR="005B5622" w:rsidRPr="00382917" w:rsidRDefault="005B5622" w:rsidP="006340BC">
      <w:pPr>
        <w:pStyle w:val="Text"/>
      </w:pPr>
      <w:r w:rsidRPr="00382917">
        <w:t>Officials</w:t>
      </w:r>
      <w:r w:rsidR="00EE4FC3">
        <w:t xml:space="preserve"> </w:t>
      </w:r>
      <w:r w:rsidRPr="00382917">
        <w:t>were</w:t>
      </w:r>
      <w:r w:rsidR="00EE4FC3">
        <w:t xml:space="preserve"> </w:t>
      </w:r>
      <w:r w:rsidRPr="00382917">
        <w:t>dispatched</w:t>
      </w:r>
      <w:r w:rsidR="00EE4FC3">
        <w:t xml:space="preserve"> </w:t>
      </w:r>
      <w:r w:rsidRPr="00382917">
        <w:t>at</w:t>
      </w:r>
      <w:r w:rsidR="00EE4FC3">
        <w:t xml:space="preserve"> </w:t>
      </w:r>
      <w:r w:rsidRPr="00382917">
        <w:t>once</w:t>
      </w:r>
      <w:r w:rsidR="00EE4FC3">
        <w:t xml:space="preserve"> </w:t>
      </w:r>
      <w:r w:rsidRPr="00382917">
        <w:t>to</w:t>
      </w:r>
      <w:r w:rsidR="00EE4FC3">
        <w:t xml:space="preserve"> </w:t>
      </w:r>
      <w:r w:rsidRPr="00382917">
        <w:t>arrest</w:t>
      </w:r>
      <w:r w:rsidR="00EE4FC3">
        <w:t xml:space="preserve"> </w:t>
      </w:r>
      <w:r w:rsidRPr="00382917">
        <w:t>her,</w:t>
      </w:r>
      <w:r w:rsidR="00EE4FC3">
        <w:t xml:space="preserve"> </w:t>
      </w:r>
      <w:r w:rsidRPr="00382917">
        <w:t>but</w:t>
      </w:r>
      <w:r w:rsidR="00EE4FC3">
        <w:t xml:space="preserve"> </w:t>
      </w:r>
      <w:r w:rsidRPr="00382917">
        <w:t>they</w:t>
      </w:r>
      <w:r w:rsidR="00EE4FC3">
        <w:t xml:space="preserve"> </w:t>
      </w:r>
      <w:r w:rsidRPr="00382917">
        <w:t>seized</w:t>
      </w:r>
      <w:r w:rsidR="00EE4FC3">
        <w:t xml:space="preserve"> </w:t>
      </w:r>
      <w:r w:rsidRPr="00382917">
        <w:t>a</w:t>
      </w:r>
      <w:r w:rsidR="00EE4FC3">
        <w:t xml:space="preserve"> </w:t>
      </w:r>
      <w:r w:rsidRPr="00382917">
        <w:t>friend</w:t>
      </w:r>
      <w:r w:rsidR="00EE4FC3">
        <w:t xml:space="preserve"> </w:t>
      </w:r>
      <w:r w:rsidRPr="00382917">
        <w:t>of</w:t>
      </w:r>
      <w:r w:rsidR="00EE4FC3">
        <w:t xml:space="preserve"> </w:t>
      </w:r>
      <w:r w:rsidRPr="00382917">
        <w:t>hers</w:t>
      </w:r>
      <w:r w:rsidR="00EE4FC3">
        <w:t xml:space="preserve"> </w:t>
      </w:r>
      <w:r w:rsidRPr="00382917">
        <w:t>by</w:t>
      </w:r>
      <w:r w:rsidR="00EE4FC3">
        <w:t xml:space="preserve"> </w:t>
      </w:r>
      <w:r w:rsidRPr="00382917">
        <w:t>mistake</w:t>
      </w:r>
      <w:r w:rsidR="00B71244">
        <w:t>.</w:t>
      </w:r>
      <w:r w:rsidR="00EE4FC3">
        <w:t xml:space="preserve">  </w:t>
      </w:r>
      <w:r w:rsidRPr="00382917">
        <w:t>Ṭáhirih</w:t>
      </w:r>
      <w:r w:rsidR="00EE4FC3">
        <w:t xml:space="preserve"> </w:t>
      </w:r>
      <w:r w:rsidRPr="00382917">
        <w:t>wrote</w:t>
      </w:r>
      <w:r w:rsidR="00EE4FC3">
        <w:t xml:space="preserve"> </w:t>
      </w:r>
      <w:r w:rsidRPr="00382917">
        <w:t>immediately</w:t>
      </w:r>
      <w:r w:rsidR="00EE4FC3">
        <w:t xml:space="preserve"> </w:t>
      </w:r>
      <w:r w:rsidRPr="00382917">
        <w:t>to</w:t>
      </w:r>
      <w:r w:rsidR="00EE4FC3">
        <w:t xml:space="preserve"> </w:t>
      </w:r>
      <w:r w:rsidRPr="00382917">
        <w:t>the</w:t>
      </w:r>
      <w:r w:rsidR="00EE4FC3">
        <w:t xml:space="preserve"> </w:t>
      </w:r>
      <w:r w:rsidRPr="00382917">
        <w:t>governor</w:t>
      </w:r>
      <w:r w:rsidR="00EE4FC3">
        <w:t xml:space="preserve"> </w:t>
      </w:r>
      <w:r w:rsidRPr="00382917">
        <w:t>and</w:t>
      </w:r>
      <w:r w:rsidR="00EE4FC3">
        <w:t xml:space="preserve"> </w:t>
      </w:r>
      <w:r w:rsidRPr="00382917">
        <w:t>told</w:t>
      </w:r>
      <w:r w:rsidR="00EE4FC3">
        <w:t xml:space="preserve"> </w:t>
      </w:r>
      <w:r w:rsidRPr="00382917">
        <w:t>him</w:t>
      </w:r>
      <w:r w:rsidR="00EE4FC3">
        <w:t xml:space="preserve"> </w:t>
      </w:r>
      <w:r w:rsidRPr="00382917">
        <w:t>that</w:t>
      </w:r>
      <w:r w:rsidR="00EE4FC3">
        <w:t xml:space="preserve"> </w:t>
      </w:r>
      <w:r w:rsidRPr="00382917">
        <w:t>she</w:t>
      </w:r>
      <w:r w:rsidR="00EE4FC3">
        <w:t xml:space="preserve"> </w:t>
      </w:r>
      <w:r w:rsidRPr="00382917">
        <w:t>was</w:t>
      </w:r>
      <w:r w:rsidR="00EE4FC3">
        <w:t xml:space="preserve"> </w:t>
      </w:r>
      <w:r w:rsidRPr="00382917">
        <w:t>the</w:t>
      </w:r>
      <w:r w:rsidR="00EE4FC3">
        <w:t xml:space="preserve"> </w:t>
      </w:r>
      <w:r w:rsidRPr="00382917">
        <w:t>one</w:t>
      </w:r>
      <w:r w:rsidR="00EE4FC3">
        <w:t xml:space="preserve"> </w:t>
      </w:r>
      <w:r w:rsidRPr="00382917">
        <w:t>for</w:t>
      </w:r>
      <w:r w:rsidR="00EE4FC3">
        <w:t xml:space="preserve"> </w:t>
      </w:r>
      <w:proofErr w:type="gramStart"/>
      <w:r w:rsidRPr="00382917">
        <w:t>whom</w:t>
      </w:r>
      <w:proofErr w:type="gramEnd"/>
      <w:r w:rsidR="00EE4FC3">
        <w:t xml:space="preserve"> </w:t>
      </w:r>
      <w:r w:rsidRPr="00382917">
        <w:t>they</w:t>
      </w:r>
      <w:r w:rsidR="00EE4FC3">
        <w:t xml:space="preserve"> </w:t>
      </w:r>
      <w:r w:rsidRPr="00382917">
        <w:t>were</w:t>
      </w:r>
      <w:r w:rsidR="00EE4FC3">
        <w:t xml:space="preserve"> </w:t>
      </w:r>
      <w:r w:rsidRPr="00382917">
        <w:t>looking</w:t>
      </w:r>
      <w:r w:rsidR="00EE4FC3">
        <w:t xml:space="preserve"> </w:t>
      </w:r>
      <w:r w:rsidRPr="00382917">
        <w:t>and</w:t>
      </w:r>
      <w:r w:rsidR="00EE4FC3">
        <w:t xml:space="preserve"> </w:t>
      </w:r>
      <w:r w:rsidRPr="00382917">
        <w:t>to</w:t>
      </w:r>
      <w:r w:rsidR="00EE4FC3">
        <w:t xml:space="preserve"> </w:t>
      </w:r>
      <w:r w:rsidRPr="00382917">
        <w:t>release</w:t>
      </w:r>
      <w:r w:rsidR="00EE4FC3">
        <w:t xml:space="preserve"> </w:t>
      </w:r>
      <w:r w:rsidRPr="00382917">
        <w:t>her</w:t>
      </w:r>
      <w:r w:rsidR="00EE4FC3">
        <w:t xml:space="preserve"> </w:t>
      </w:r>
      <w:r w:rsidRPr="00382917">
        <w:t>friend.</w:t>
      </w:r>
    </w:p>
    <w:p w:rsidR="005B5622" w:rsidRPr="00382917" w:rsidRDefault="005B5622" w:rsidP="002B02FA">
      <w:pPr>
        <w:pStyle w:val="Text"/>
      </w:pPr>
      <w:r w:rsidRPr="00382917">
        <w:t>The</w:t>
      </w:r>
      <w:r w:rsidR="00EE4FC3">
        <w:t xml:space="preserve"> </w:t>
      </w:r>
      <w:r w:rsidRPr="00382917">
        <w:t>governor</w:t>
      </w:r>
      <w:r w:rsidR="00EE4FC3">
        <w:t xml:space="preserve"> </w:t>
      </w:r>
      <w:r w:rsidRPr="00382917">
        <w:t>put</w:t>
      </w:r>
      <w:r w:rsidR="00EE4FC3">
        <w:t xml:space="preserve"> </w:t>
      </w:r>
      <w:r w:rsidRPr="00382917">
        <w:t>Ṭáhirih</w:t>
      </w:r>
      <w:r w:rsidR="009C713D" w:rsidRPr="00382917">
        <w:t>’</w:t>
      </w:r>
      <w:r w:rsidRPr="00382917">
        <w:t>s</w:t>
      </w:r>
      <w:r w:rsidR="00EE4FC3">
        <w:t xml:space="preserve"> </w:t>
      </w:r>
      <w:r w:rsidRPr="00382917">
        <w:t>residence</w:t>
      </w:r>
      <w:r w:rsidR="00EE4FC3">
        <w:t xml:space="preserve"> </w:t>
      </w:r>
      <w:r w:rsidRPr="00382917">
        <w:t>under</w:t>
      </w:r>
      <w:r w:rsidR="00EE4FC3">
        <w:t xml:space="preserve"> </w:t>
      </w:r>
      <w:r w:rsidRPr="00382917">
        <w:t>guard</w:t>
      </w:r>
      <w:r w:rsidR="00EE4FC3">
        <w:t xml:space="preserve"> </w:t>
      </w:r>
      <w:r w:rsidRPr="00382917">
        <w:t>so</w:t>
      </w:r>
      <w:r w:rsidR="00EE4FC3">
        <w:t xml:space="preserve"> </w:t>
      </w:r>
      <w:r w:rsidRPr="00382917">
        <w:t>that</w:t>
      </w:r>
      <w:r w:rsidR="00EE4FC3">
        <w:t xml:space="preserve"> </w:t>
      </w:r>
      <w:r w:rsidRPr="00382917">
        <w:t>no</w:t>
      </w:r>
      <w:r w:rsidR="00EE4FC3">
        <w:t xml:space="preserve"> </w:t>
      </w:r>
      <w:r w:rsidRPr="00382917">
        <w:t>one</w:t>
      </w:r>
      <w:r w:rsidR="00EE4FC3">
        <w:t xml:space="preserve"> </w:t>
      </w:r>
      <w:r w:rsidRPr="00382917">
        <w:t>could</w:t>
      </w:r>
      <w:r w:rsidR="00EE4FC3">
        <w:t xml:space="preserve"> </w:t>
      </w:r>
      <w:r w:rsidRPr="00382917">
        <w:t>go</w:t>
      </w:r>
      <w:r w:rsidR="00EE4FC3">
        <w:t xml:space="preserve"> </w:t>
      </w:r>
      <w:r w:rsidRPr="00382917">
        <w:t>in</w:t>
      </w:r>
      <w:r w:rsidR="00EE4FC3">
        <w:t xml:space="preserve"> </w:t>
      </w:r>
      <w:r w:rsidRPr="00382917">
        <w:t>or</w:t>
      </w:r>
      <w:r w:rsidR="00EE4FC3">
        <w:t xml:space="preserve"> </w:t>
      </w:r>
      <w:r w:rsidRPr="00382917">
        <w:t>out</w:t>
      </w:r>
      <w:r w:rsidR="00EE4FC3">
        <w:t xml:space="preserve"> </w:t>
      </w:r>
      <w:r w:rsidRPr="00382917">
        <w:t>for</w:t>
      </w:r>
      <w:r w:rsidR="00EE4FC3">
        <w:t xml:space="preserve"> </w:t>
      </w:r>
      <w:r w:rsidRPr="00382917">
        <w:t>three</w:t>
      </w:r>
      <w:r w:rsidR="00EE4FC3">
        <w:t xml:space="preserve"> </w:t>
      </w:r>
      <w:r w:rsidRPr="00382917">
        <w:t>months.</w:t>
      </w:r>
      <w:r w:rsidR="002B02FA">
        <w:rPr>
          <w:rStyle w:val="FootnoteReference"/>
        </w:rPr>
        <w:footnoteReference w:id="136"/>
      </w:r>
    </w:p>
    <w:p w:rsidR="005B5622" w:rsidRPr="00382917" w:rsidRDefault="005B5622" w:rsidP="006340BC">
      <w:pPr>
        <w:pStyle w:val="Text"/>
      </w:pPr>
      <w:r w:rsidRPr="00382917">
        <w:t>Her</w:t>
      </w:r>
      <w:r w:rsidR="00EE4FC3">
        <w:t xml:space="preserve"> </w:t>
      </w:r>
      <w:r w:rsidRPr="00382917">
        <w:t>family</w:t>
      </w:r>
      <w:r w:rsidR="00EE4FC3">
        <w:t xml:space="preserve"> </w:t>
      </w:r>
      <w:r w:rsidRPr="00382917">
        <w:t>heard</w:t>
      </w:r>
      <w:r w:rsidR="00EE4FC3">
        <w:t xml:space="preserve"> </w:t>
      </w:r>
      <w:r w:rsidRPr="00382917">
        <w:t>of</w:t>
      </w:r>
      <w:r w:rsidR="00EE4FC3">
        <w:t xml:space="preserve"> </w:t>
      </w:r>
      <w:r w:rsidRPr="00382917">
        <w:t>these</w:t>
      </w:r>
      <w:r w:rsidR="00EE4FC3">
        <w:t xml:space="preserve"> </w:t>
      </w:r>
      <w:r w:rsidRPr="00382917">
        <w:t>happenings</w:t>
      </w:r>
      <w:r w:rsidR="00EE4FC3">
        <w:t xml:space="preserve"> </w:t>
      </w:r>
      <w:r w:rsidRPr="00382917">
        <w:t>and</w:t>
      </w:r>
      <w:r w:rsidR="00EE4FC3">
        <w:t xml:space="preserve"> </w:t>
      </w:r>
      <w:r w:rsidRPr="00382917">
        <w:t>tried</w:t>
      </w:r>
      <w:r w:rsidR="00EE4FC3">
        <w:t xml:space="preserve"> </w:t>
      </w:r>
      <w:r w:rsidRPr="00382917">
        <w:t>to</w:t>
      </w:r>
      <w:r w:rsidR="00EE4FC3">
        <w:t xml:space="preserve"> </w:t>
      </w:r>
      <w:r w:rsidRPr="00382917">
        <w:t>persuade</w:t>
      </w:r>
      <w:r w:rsidR="00EE4FC3">
        <w:t xml:space="preserve"> </w:t>
      </w:r>
      <w:r w:rsidRPr="00382917">
        <w:t>her</w:t>
      </w:r>
      <w:r w:rsidR="00EE4FC3">
        <w:t xml:space="preserve"> </w:t>
      </w:r>
      <w:r w:rsidRPr="00382917">
        <w:t>to</w:t>
      </w:r>
      <w:r w:rsidR="00EE4FC3">
        <w:t xml:space="preserve"> </w:t>
      </w:r>
      <w:r w:rsidRPr="00382917">
        <w:t>return</w:t>
      </w:r>
      <w:r w:rsidR="00EE4FC3">
        <w:t xml:space="preserve"> </w:t>
      </w:r>
      <w:r w:rsidRPr="00382917">
        <w:t>to</w:t>
      </w:r>
      <w:r w:rsidR="00EE4FC3">
        <w:t xml:space="preserve"> </w:t>
      </w:r>
      <w:r w:rsidRPr="00382917">
        <w:t>Qazvín</w:t>
      </w:r>
      <w:r w:rsidR="00B71244">
        <w:t>.</w:t>
      </w:r>
      <w:r w:rsidR="00EE4FC3">
        <w:t xml:space="preserve">  </w:t>
      </w:r>
      <w:r w:rsidRPr="00382917">
        <w:t>Failing</w:t>
      </w:r>
      <w:r w:rsidR="00EE4FC3">
        <w:t xml:space="preserve"> </w:t>
      </w:r>
      <w:r w:rsidRPr="00382917">
        <w:t>in</w:t>
      </w:r>
      <w:r w:rsidR="00EE4FC3">
        <w:t xml:space="preserve"> </w:t>
      </w:r>
      <w:r w:rsidRPr="00382917">
        <w:t>this,</w:t>
      </w:r>
      <w:r w:rsidR="00EE4FC3">
        <w:t xml:space="preserve"> </w:t>
      </w:r>
      <w:r w:rsidRPr="00382917">
        <w:t>they</w:t>
      </w:r>
      <w:r w:rsidR="00EE4FC3">
        <w:t xml:space="preserve"> </w:t>
      </w:r>
      <w:r w:rsidRPr="00382917">
        <w:t>urged</w:t>
      </w:r>
      <w:r w:rsidR="00EE4FC3">
        <w:t xml:space="preserve"> </w:t>
      </w:r>
      <w:r w:rsidRPr="00382917">
        <w:t>her</w:t>
      </w:r>
      <w:r w:rsidR="00EE4FC3">
        <w:t xml:space="preserve"> </w:t>
      </w:r>
      <w:r w:rsidRPr="00382917">
        <w:t>to</w:t>
      </w:r>
      <w:r w:rsidR="00EE4FC3">
        <w:t xml:space="preserve"> </w:t>
      </w:r>
      <w:r w:rsidRPr="00382917">
        <w:t>be</w:t>
      </w:r>
      <w:r w:rsidR="00EE4FC3">
        <w:t xml:space="preserve"> </w:t>
      </w:r>
      <w:proofErr w:type="gramStart"/>
      <w:r w:rsidRPr="00382917">
        <w:t>more</w:t>
      </w:r>
      <w:r w:rsidR="00EE4FC3">
        <w:t xml:space="preserve"> </w:t>
      </w:r>
      <w:r w:rsidRPr="00382917">
        <w:t>calm</w:t>
      </w:r>
      <w:proofErr w:type="gramEnd"/>
      <w:r w:rsidR="00EE4FC3">
        <w:t xml:space="preserve"> </w:t>
      </w:r>
      <w:r w:rsidRPr="00382917">
        <w:t>and</w:t>
      </w:r>
      <w:r w:rsidR="00EE4FC3">
        <w:t xml:space="preserve"> </w:t>
      </w:r>
      <w:r w:rsidRPr="00382917">
        <w:t>reserved</w:t>
      </w:r>
      <w:r w:rsidR="00EE4FC3">
        <w:t xml:space="preserve"> </w:t>
      </w:r>
      <w:r w:rsidRPr="00382917">
        <w:t>and</w:t>
      </w:r>
      <w:r w:rsidR="00EE4FC3">
        <w:t xml:space="preserve"> </w:t>
      </w:r>
      <w:r w:rsidRPr="00382917">
        <w:t>not</w:t>
      </w:r>
      <w:r w:rsidR="00EE4FC3">
        <w:t xml:space="preserve"> </w:t>
      </w:r>
      <w:r w:rsidRPr="00382917">
        <w:t>let</w:t>
      </w:r>
      <w:r w:rsidR="00EE4FC3">
        <w:t xml:space="preserve"> </w:t>
      </w:r>
      <w:r w:rsidRPr="00382917">
        <w:t>her</w:t>
      </w:r>
      <w:r w:rsidR="00EE4FC3">
        <w:t xml:space="preserve"> </w:t>
      </w:r>
      <w:r w:rsidRPr="00382917">
        <w:t>conduct</w:t>
      </w:r>
      <w:r w:rsidR="00EE4FC3">
        <w:t xml:space="preserve"> </w:t>
      </w:r>
      <w:r w:rsidRPr="00382917">
        <w:t>reflect</w:t>
      </w:r>
      <w:r w:rsidR="00EE4FC3">
        <w:t xml:space="preserve"> </w:t>
      </w:r>
      <w:r w:rsidRPr="00382917">
        <w:t>on</w:t>
      </w:r>
      <w:r w:rsidR="00EE4FC3">
        <w:t xml:space="preserve"> </w:t>
      </w:r>
      <w:r w:rsidRPr="00382917">
        <w:t>the</w:t>
      </w:r>
      <w:r w:rsidR="00EE4FC3">
        <w:t xml:space="preserve"> </w:t>
      </w:r>
      <w:r w:rsidRPr="00382917">
        <w:t>good</w:t>
      </w:r>
      <w:r w:rsidR="00EE4FC3">
        <w:t xml:space="preserve"> </w:t>
      </w:r>
      <w:r w:rsidRPr="00382917">
        <w:t>name</w:t>
      </w:r>
      <w:r w:rsidR="00EE4FC3">
        <w:t xml:space="preserve"> </w:t>
      </w:r>
      <w:r w:rsidRPr="00382917">
        <w:t>of</w:t>
      </w:r>
      <w:r w:rsidR="00EE4FC3">
        <w:t xml:space="preserve"> </w:t>
      </w:r>
      <w:r w:rsidRPr="00382917">
        <w:t>the</w:t>
      </w:r>
      <w:r w:rsidR="00EE4FC3">
        <w:t xml:space="preserve"> </w:t>
      </w:r>
      <w:r w:rsidRPr="00382917">
        <w:t>family.</w:t>
      </w:r>
    </w:p>
    <w:p w:rsidR="005B5622" w:rsidRPr="00382917" w:rsidRDefault="005B5622" w:rsidP="006340BC">
      <w:pPr>
        <w:pStyle w:val="Text"/>
      </w:pPr>
      <w:r w:rsidRPr="00382917">
        <w:t>Word</w:t>
      </w:r>
      <w:r w:rsidR="00EE4FC3">
        <w:t xml:space="preserve"> </w:t>
      </w:r>
      <w:r w:rsidRPr="00382917">
        <w:t>came</w:t>
      </w:r>
      <w:r w:rsidR="00EE4FC3">
        <w:t xml:space="preserve"> </w:t>
      </w:r>
      <w:r w:rsidRPr="00382917">
        <w:t>to</w:t>
      </w:r>
      <w:r w:rsidR="00EE4FC3">
        <w:t xml:space="preserve"> </w:t>
      </w:r>
      <w:r w:rsidRPr="00382917">
        <w:t>her</w:t>
      </w:r>
      <w:r w:rsidR="00EE4FC3">
        <w:t xml:space="preserve"> </w:t>
      </w:r>
      <w:r w:rsidRPr="00382917">
        <w:t>that</w:t>
      </w:r>
      <w:r w:rsidR="00EE4FC3">
        <w:t xml:space="preserve"> </w:t>
      </w:r>
      <w:r w:rsidRPr="00382917">
        <w:t>the</w:t>
      </w:r>
      <w:r w:rsidR="00EE4FC3">
        <w:t xml:space="preserve"> </w:t>
      </w:r>
      <w:r w:rsidRPr="00382917">
        <w:t>disciples</w:t>
      </w:r>
      <w:r w:rsidR="00EE4FC3">
        <w:t xml:space="preserve"> </w:t>
      </w:r>
      <w:r w:rsidRPr="00382917">
        <w:t>of</w:t>
      </w:r>
      <w:r w:rsidR="00EE4FC3">
        <w:t xml:space="preserve"> </w:t>
      </w:r>
      <w:r w:rsidRPr="00382917">
        <w:t>the</w:t>
      </w:r>
      <w:r w:rsidR="00EE4FC3">
        <w:t xml:space="preserve"> </w:t>
      </w:r>
      <w:r w:rsidRPr="00382917">
        <w:t>Báb</w:t>
      </w:r>
      <w:r w:rsidR="00EE4FC3">
        <w:t xml:space="preserve"> </w:t>
      </w:r>
      <w:r w:rsidRPr="00382917">
        <w:t>were</w:t>
      </w:r>
      <w:r w:rsidR="00EE4FC3">
        <w:t xml:space="preserve"> </w:t>
      </w:r>
      <w:r w:rsidRPr="00382917">
        <w:t>gathering</w:t>
      </w:r>
      <w:r w:rsidR="00EE4FC3">
        <w:t xml:space="preserve"> </w:t>
      </w:r>
      <w:r w:rsidRPr="00382917">
        <w:t>for</w:t>
      </w:r>
      <w:r w:rsidR="00EE4FC3">
        <w:t xml:space="preserve"> </w:t>
      </w:r>
      <w:r w:rsidRPr="00382917">
        <w:t>a</w:t>
      </w:r>
      <w:r w:rsidR="00EE4FC3">
        <w:t xml:space="preserve"> </w:t>
      </w:r>
      <w:r w:rsidRPr="00382917">
        <w:t>great</w:t>
      </w:r>
      <w:r w:rsidR="00EE4FC3">
        <w:t xml:space="preserve"> </w:t>
      </w:r>
      <w:r w:rsidRPr="00382917">
        <w:t>conference</w:t>
      </w:r>
      <w:r w:rsidR="00EE4FC3">
        <w:t xml:space="preserve"> </w:t>
      </w:r>
      <w:r w:rsidRPr="00382917">
        <w:t>in</w:t>
      </w:r>
      <w:r w:rsidR="00EE4FC3">
        <w:t xml:space="preserve"> </w:t>
      </w:r>
      <w:r w:rsidR="006225E8" w:rsidRPr="006225E8">
        <w:rPr>
          <w:u w:val="single"/>
        </w:rPr>
        <w:t>Kh</w:t>
      </w:r>
      <w:r w:rsidR="006225E8" w:rsidRPr="00382917">
        <w:t>urásán</w:t>
      </w:r>
      <w:r w:rsidRPr="00382917">
        <w:t>,</w:t>
      </w:r>
      <w:r w:rsidR="00EE4FC3">
        <w:t xml:space="preserve"> </w:t>
      </w:r>
      <w:r w:rsidRPr="00382917">
        <w:t>Persia,</w:t>
      </w:r>
      <w:r w:rsidR="00EE4FC3">
        <w:t xml:space="preserve"> </w:t>
      </w:r>
      <w:r w:rsidRPr="00382917">
        <w:t>so</w:t>
      </w:r>
      <w:r w:rsidR="00EE4FC3">
        <w:t xml:space="preserve"> </w:t>
      </w:r>
      <w:r w:rsidRPr="00382917">
        <w:t>Ṭáhirih</w:t>
      </w:r>
      <w:r w:rsidR="00EE4FC3">
        <w:t xml:space="preserve"> </w:t>
      </w:r>
      <w:r w:rsidRPr="00382917">
        <w:t>started</w:t>
      </w:r>
      <w:r w:rsidR="00EE4FC3">
        <w:t xml:space="preserve"> </w:t>
      </w:r>
      <w:r w:rsidRPr="00382917">
        <w:t>on</w:t>
      </w:r>
      <w:r w:rsidR="00EE4FC3">
        <w:t xml:space="preserve"> </w:t>
      </w:r>
      <w:r w:rsidRPr="00382917">
        <w:t>her</w:t>
      </w:r>
      <w:r w:rsidR="00EE4FC3">
        <w:t xml:space="preserve"> </w:t>
      </w:r>
      <w:r w:rsidRPr="00382917">
        <w:t>way</w:t>
      </w:r>
      <w:r w:rsidR="00EE4FC3">
        <w:t xml:space="preserve"> </w:t>
      </w:r>
      <w:r w:rsidRPr="00382917">
        <w:t>immediately.</w:t>
      </w:r>
    </w:p>
    <w:p w:rsidR="00E13D49" w:rsidRPr="00382917" w:rsidRDefault="005B5622" w:rsidP="00E17990">
      <w:pPr>
        <w:pStyle w:val="Text"/>
      </w:pPr>
      <w:r w:rsidRPr="00382917">
        <w:t>Before</w:t>
      </w:r>
      <w:r w:rsidR="00EE4FC3">
        <w:t xml:space="preserve"> </w:t>
      </w:r>
      <w:r w:rsidRPr="00382917">
        <w:t>her</w:t>
      </w:r>
      <w:r w:rsidR="00EE4FC3">
        <w:t xml:space="preserve"> </w:t>
      </w:r>
      <w:r w:rsidRPr="00382917">
        <w:t>departure</w:t>
      </w:r>
      <w:r w:rsidR="00EE4FC3">
        <w:t xml:space="preserve"> </w:t>
      </w:r>
      <w:r w:rsidRPr="00382917">
        <w:t>from</w:t>
      </w:r>
      <w:r w:rsidR="00EE4FC3">
        <w:t xml:space="preserve"> </w:t>
      </w:r>
      <w:r w:rsidRPr="00382917">
        <w:t>Karbilá</w:t>
      </w:r>
      <w:r w:rsidR="00EE4FC3">
        <w:t xml:space="preserve"> </w:t>
      </w:r>
      <w:r w:rsidRPr="00382917">
        <w:t>she</w:t>
      </w:r>
      <w:r w:rsidR="00EE4FC3">
        <w:t xml:space="preserve"> </w:t>
      </w:r>
      <w:r w:rsidRPr="00382917">
        <w:t>unburdened</w:t>
      </w:r>
      <w:r w:rsidR="00EE4FC3">
        <w:t xml:space="preserve"> </w:t>
      </w:r>
      <w:r w:rsidRPr="00382917">
        <w:t>her</w:t>
      </w:r>
      <w:r w:rsidR="00EE4FC3">
        <w:t xml:space="preserve"> </w:t>
      </w:r>
      <w:r w:rsidRPr="00382917">
        <w:t>heart</w:t>
      </w:r>
      <w:r w:rsidR="00EE4FC3">
        <w:t xml:space="preserve"> </w:t>
      </w:r>
      <w:r w:rsidRPr="00382917">
        <w:t>by</w:t>
      </w:r>
      <w:r w:rsidR="00EE4FC3">
        <w:t xml:space="preserve"> </w:t>
      </w:r>
      <w:r w:rsidRPr="00382917">
        <w:t>writing</w:t>
      </w:r>
      <w:r w:rsidR="00EE4FC3">
        <w:t xml:space="preserve"> </w:t>
      </w:r>
      <w:r w:rsidRPr="00382917">
        <w:t>a</w:t>
      </w:r>
      <w:r w:rsidR="00EE4FC3">
        <w:t xml:space="preserve"> </w:t>
      </w:r>
      <w:r w:rsidRPr="00382917">
        <w:t>letter</w:t>
      </w:r>
      <w:r w:rsidR="00EE4FC3">
        <w:t xml:space="preserve"> </w:t>
      </w:r>
      <w:r w:rsidRPr="00382917">
        <w:t>to</w:t>
      </w:r>
      <w:r w:rsidR="00EE4FC3">
        <w:t xml:space="preserve"> </w:t>
      </w:r>
      <w:r w:rsidRPr="00382917">
        <w:t>each</w:t>
      </w:r>
      <w:r w:rsidR="00EE4FC3">
        <w:t xml:space="preserve"> </w:t>
      </w:r>
      <w:r w:rsidRPr="00382917">
        <w:t>of</w:t>
      </w:r>
      <w:r w:rsidR="00EE4FC3">
        <w:t xml:space="preserve"> </w:t>
      </w:r>
      <w:r w:rsidRPr="00382917">
        <w:t>the</w:t>
      </w:r>
      <w:r w:rsidR="00EE4FC3">
        <w:t xml:space="preserve"> </w:t>
      </w:r>
      <w:r w:rsidRPr="00382917">
        <w:t>priests</w:t>
      </w:r>
      <w:r w:rsidR="00EE4FC3">
        <w:t xml:space="preserve"> </w:t>
      </w:r>
      <w:r w:rsidRPr="00382917">
        <w:t>of</w:t>
      </w:r>
      <w:r w:rsidR="00EE4FC3">
        <w:t xml:space="preserve"> </w:t>
      </w:r>
      <w:r w:rsidRPr="00382917">
        <w:t>that</w:t>
      </w:r>
      <w:r w:rsidR="00EE4FC3">
        <w:t xml:space="preserve"> </w:t>
      </w:r>
      <w:r w:rsidRPr="00382917">
        <w:t>city,</w:t>
      </w:r>
      <w:r w:rsidR="00EE4FC3">
        <w:t xml:space="preserve"> </w:t>
      </w:r>
      <w:r w:rsidRPr="00382917">
        <w:t>condemning</w:t>
      </w:r>
      <w:r w:rsidR="00EE4FC3">
        <w:t xml:space="preserve"> </w:t>
      </w:r>
      <w:r w:rsidRPr="00382917">
        <w:t>their</w:t>
      </w:r>
      <w:r w:rsidR="00EE4FC3">
        <w:t xml:space="preserve"> </w:t>
      </w:r>
      <w:r w:rsidRPr="00382917">
        <w:t>bigotry</w:t>
      </w:r>
      <w:r w:rsidR="00B71244">
        <w:t>.</w:t>
      </w:r>
      <w:r w:rsidR="00EE4FC3">
        <w:t xml:space="preserve">  </w:t>
      </w:r>
      <w:r w:rsidRPr="00382917">
        <w:t>These</w:t>
      </w:r>
      <w:r w:rsidR="00EE4FC3">
        <w:t xml:space="preserve"> </w:t>
      </w:r>
      <w:r w:rsidRPr="00382917">
        <w:t>leaders</w:t>
      </w:r>
      <w:r w:rsidR="00EE4FC3">
        <w:t xml:space="preserve"> </w:t>
      </w:r>
      <w:r w:rsidRPr="00382917">
        <w:t>gave</w:t>
      </w:r>
      <w:r w:rsidR="00EE4FC3">
        <w:t xml:space="preserve"> </w:t>
      </w:r>
      <w:r w:rsidRPr="00382917">
        <w:t>to</w:t>
      </w:r>
      <w:r w:rsidR="00EE4FC3">
        <w:t xml:space="preserve"> </w:t>
      </w:r>
      <w:r w:rsidRPr="00382917">
        <w:t>women</w:t>
      </w:r>
      <w:r w:rsidR="00EE4FC3">
        <w:t xml:space="preserve"> </w:t>
      </w:r>
      <w:r w:rsidRPr="00382917">
        <w:t>a</w:t>
      </w:r>
      <w:r w:rsidR="00EE4FC3">
        <w:t xml:space="preserve"> </w:t>
      </w:r>
      <w:r w:rsidRPr="00382917">
        <w:t>rank</w:t>
      </w:r>
      <w:r w:rsidR="00EE4FC3">
        <w:t xml:space="preserve"> </w:t>
      </w:r>
      <w:r w:rsidRPr="00382917">
        <w:t>little</w:t>
      </w:r>
      <w:r w:rsidR="00EE4FC3">
        <w:t xml:space="preserve"> </w:t>
      </w:r>
      <w:r w:rsidRPr="00382917">
        <w:t>higher</w:t>
      </w:r>
      <w:r w:rsidR="00EE4FC3">
        <w:t xml:space="preserve"> </w:t>
      </w:r>
      <w:r w:rsidRPr="00382917">
        <w:t>than</w:t>
      </w:r>
      <w:r w:rsidR="00EE4FC3">
        <w:t xml:space="preserve"> </w:t>
      </w:r>
      <w:r w:rsidRPr="00382917">
        <w:t>that</w:t>
      </w:r>
      <w:r w:rsidR="00EE4FC3">
        <w:t xml:space="preserve"> </w:t>
      </w:r>
      <w:r w:rsidRPr="00382917">
        <w:t>of</w:t>
      </w:r>
      <w:r w:rsidR="00EE4FC3">
        <w:t xml:space="preserve"> </w:t>
      </w:r>
      <w:r w:rsidRPr="00382917">
        <w:t>animals</w:t>
      </w:r>
      <w:r w:rsidR="00EE4FC3">
        <w:t xml:space="preserve"> </w:t>
      </w:r>
      <w:r w:rsidRPr="00382917">
        <w:t>and</w:t>
      </w:r>
      <w:r w:rsidR="00EE4FC3">
        <w:t xml:space="preserve"> </w:t>
      </w:r>
      <w:r w:rsidRPr="00382917">
        <w:t>even</w:t>
      </w:r>
      <w:r w:rsidR="00EE4FC3">
        <w:t xml:space="preserve"> </w:t>
      </w:r>
      <w:r w:rsidRPr="00382917">
        <w:t>denied</w:t>
      </w:r>
      <w:r w:rsidR="00EE4FC3">
        <w:t xml:space="preserve"> </w:t>
      </w:r>
      <w:r w:rsidRPr="00382917">
        <w:t>them</w:t>
      </w:r>
      <w:r w:rsidR="00EE4FC3">
        <w:t xml:space="preserve"> </w:t>
      </w:r>
      <w:r w:rsidRPr="00382917">
        <w:t>the</w:t>
      </w:r>
      <w:r w:rsidR="00EE4FC3">
        <w:t xml:space="preserve"> </w:t>
      </w:r>
      <w:r w:rsidRPr="00382917">
        <w:t>possession</w:t>
      </w:r>
      <w:r w:rsidR="00EE4FC3">
        <w:t xml:space="preserve"> </w:t>
      </w:r>
      <w:r w:rsidRPr="00382917">
        <w:t>of</w:t>
      </w:r>
      <w:r w:rsidR="00EE4FC3">
        <w:t xml:space="preserve"> </w:t>
      </w:r>
      <w:r w:rsidRPr="00382917">
        <w:t>a</w:t>
      </w:r>
      <w:r w:rsidR="00EE4FC3">
        <w:t xml:space="preserve"> </w:t>
      </w:r>
      <w:r w:rsidRPr="00382917">
        <w:t>soul</w:t>
      </w:r>
      <w:r w:rsidR="00B71244">
        <w:t>.</w:t>
      </w:r>
      <w:r w:rsidR="00EE4FC3">
        <w:t xml:space="preserve">  </w:t>
      </w:r>
      <w:r w:rsidRPr="00382917">
        <w:t>Ṭáhirih</w:t>
      </w:r>
      <w:r w:rsidR="00EE4FC3">
        <w:t xml:space="preserve"> </w:t>
      </w:r>
      <w:r w:rsidRPr="00382917">
        <w:t>ably</w:t>
      </w:r>
      <w:r w:rsidR="00EE4FC3">
        <w:t xml:space="preserve"> </w:t>
      </w:r>
      <w:r w:rsidRPr="00382917">
        <w:t>defended</w:t>
      </w:r>
      <w:r w:rsidR="00EE4FC3">
        <w:t xml:space="preserve"> </w:t>
      </w:r>
      <w:r w:rsidRPr="00382917">
        <w:t>her</w:t>
      </w:r>
      <w:r w:rsidR="00EE4FC3">
        <w:t xml:space="preserve"> </w:t>
      </w:r>
      <w:r w:rsidRPr="00382917">
        <w:t>Faith</w:t>
      </w:r>
      <w:r w:rsidR="00EE4FC3">
        <w:t xml:space="preserve"> </w:t>
      </w:r>
      <w:r w:rsidRPr="00382917">
        <w:t>in</w:t>
      </w:r>
      <w:r w:rsidR="00EE4FC3">
        <w:t xml:space="preserve"> </w:t>
      </w:r>
      <w:r w:rsidRPr="00382917">
        <w:t>this</w:t>
      </w:r>
      <w:r w:rsidR="00EE4FC3">
        <w:t xml:space="preserve"> </w:t>
      </w:r>
      <w:r w:rsidRPr="00382917">
        <w:t>letter</w:t>
      </w:r>
      <w:r w:rsidR="00EE4FC3">
        <w:t xml:space="preserve"> </w:t>
      </w:r>
      <w:r w:rsidRPr="00382917">
        <w:t>and</w:t>
      </w:r>
      <w:r w:rsidR="00EE4FC3">
        <w:t xml:space="preserve"> </w:t>
      </w:r>
      <w:r w:rsidRPr="00382917">
        <w:t>exposed</w:t>
      </w:r>
      <w:r w:rsidR="00EE4FC3">
        <w:t xml:space="preserve"> </w:t>
      </w:r>
      <w:r w:rsidRPr="00382917">
        <w:t>their</w:t>
      </w:r>
      <w:r w:rsidR="00EE4FC3">
        <w:t xml:space="preserve"> </w:t>
      </w:r>
      <w:r w:rsidRPr="00382917">
        <w:t>unjust</w:t>
      </w:r>
      <w:r w:rsidR="00EE4FC3">
        <w:t xml:space="preserve"> </w:t>
      </w:r>
      <w:r w:rsidRPr="00382917">
        <w:t>and</w:t>
      </w:r>
      <w:r w:rsidR="00EE4FC3">
        <w:t xml:space="preserve"> </w:t>
      </w:r>
      <w:r w:rsidRPr="00382917">
        <w:t>backward</w:t>
      </w:r>
      <w:r w:rsidR="00EE4FC3">
        <w:t xml:space="preserve"> </w:t>
      </w:r>
      <w:r w:rsidRPr="00382917">
        <w:t>views.</w:t>
      </w:r>
      <w:r w:rsidR="00E17990">
        <w:rPr>
          <w:rStyle w:val="FootnoteReference"/>
        </w:rPr>
        <w:footnoteReference w:id="137"/>
      </w:r>
    </w:p>
    <w:p w:rsidR="005B5622" w:rsidRPr="00382917" w:rsidRDefault="005B5622" w:rsidP="006340BC">
      <w:pPr>
        <w:pStyle w:val="Text"/>
      </w:pPr>
      <w:r w:rsidRPr="00382917">
        <w:t>She</w:t>
      </w:r>
      <w:r w:rsidR="00EE4FC3">
        <w:t xml:space="preserve"> </w:t>
      </w:r>
      <w:r w:rsidRPr="00382917">
        <w:t>stopped</w:t>
      </w:r>
      <w:r w:rsidR="00EE4FC3">
        <w:t xml:space="preserve"> </w:t>
      </w:r>
      <w:r w:rsidRPr="00382917">
        <w:t>at</w:t>
      </w:r>
      <w:r w:rsidR="00EE4FC3">
        <w:t xml:space="preserve"> </w:t>
      </w:r>
      <w:r w:rsidR="00664069" w:rsidRPr="00382917">
        <w:t>Ba</w:t>
      </w:r>
      <w:r w:rsidR="00664069" w:rsidRPr="00664069">
        <w:rPr>
          <w:u w:val="single"/>
        </w:rPr>
        <w:t>gh</w:t>
      </w:r>
      <w:r w:rsidR="00664069" w:rsidRPr="00382917">
        <w:t>d</w:t>
      </w:r>
      <w:r w:rsidR="00664069" w:rsidRPr="00664069">
        <w:t>á</w:t>
      </w:r>
      <w:r w:rsidR="00664069" w:rsidRPr="00382917">
        <w:t>d</w:t>
      </w:r>
      <w:r w:rsidR="00EE4FC3">
        <w:t xml:space="preserve"> </w:t>
      </w:r>
      <w:proofErr w:type="spellStart"/>
      <w:r w:rsidRPr="00382917">
        <w:t>enroute</w:t>
      </w:r>
      <w:proofErr w:type="spellEnd"/>
      <w:r w:rsidR="00EE4FC3">
        <w:t xml:space="preserve"> </w:t>
      </w:r>
      <w:r w:rsidRPr="00382917">
        <w:t>eastward</w:t>
      </w:r>
      <w:r w:rsidR="00B71244">
        <w:t>.</w:t>
      </w:r>
      <w:r w:rsidR="00EE4FC3">
        <w:t xml:space="preserve">  </w:t>
      </w:r>
      <w:r w:rsidRPr="00382917">
        <w:t>She</w:t>
      </w:r>
      <w:r w:rsidR="00EE4FC3">
        <w:t xml:space="preserve"> </w:t>
      </w:r>
      <w:r w:rsidRPr="00382917">
        <w:t>was</w:t>
      </w:r>
      <w:r w:rsidR="00EE4FC3">
        <w:t xml:space="preserve"> </w:t>
      </w:r>
      <w:r w:rsidRPr="00382917">
        <w:t>accompanied</w:t>
      </w:r>
      <w:r w:rsidR="00EE4FC3">
        <w:t xml:space="preserve"> </w:t>
      </w:r>
      <w:r w:rsidRPr="00382917">
        <w:t>from</w:t>
      </w:r>
      <w:r w:rsidR="00EE4FC3">
        <w:t xml:space="preserve"> </w:t>
      </w:r>
      <w:r w:rsidRPr="00382917">
        <w:t>Karbilá</w:t>
      </w:r>
      <w:r w:rsidR="00EE4FC3">
        <w:t xml:space="preserve"> </w:t>
      </w:r>
      <w:r w:rsidRPr="00382917">
        <w:t>by</w:t>
      </w:r>
      <w:r w:rsidR="00EE4FC3">
        <w:t xml:space="preserve"> </w:t>
      </w:r>
      <w:r w:rsidRPr="00382917">
        <w:t>the</w:t>
      </w:r>
      <w:r w:rsidR="00EE4FC3">
        <w:t xml:space="preserve"> </w:t>
      </w:r>
      <w:r w:rsidRPr="00382917">
        <w:t>mother</w:t>
      </w:r>
      <w:r w:rsidR="00EE4FC3">
        <w:t xml:space="preserve"> </w:t>
      </w:r>
      <w:r w:rsidRPr="00382917">
        <w:t>and</w:t>
      </w:r>
      <w:r w:rsidR="00EE4FC3">
        <w:t xml:space="preserve"> </w:t>
      </w:r>
      <w:r w:rsidRPr="00382917">
        <w:t>sister</w:t>
      </w:r>
      <w:r w:rsidR="00EE4FC3">
        <w:t xml:space="preserve"> </w:t>
      </w:r>
      <w:r w:rsidRPr="00382917">
        <w:t>of</w:t>
      </w:r>
      <w:r w:rsidR="00EE4FC3">
        <w:t xml:space="preserve"> </w:t>
      </w:r>
      <w:r w:rsidRPr="00382917">
        <w:t>Mullá</w:t>
      </w:r>
      <w:r w:rsidR="00EE4FC3">
        <w:t xml:space="preserve"> </w:t>
      </w:r>
      <w:r w:rsidR="00964C11" w:rsidRPr="00382917">
        <w:t>Ḥusayn</w:t>
      </w:r>
      <w:r w:rsidR="00EE4FC3">
        <w:t xml:space="preserve"> </w:t>
      </w:r>
      <w:r w:rsidRPr="00382917">
        <w:t>in</w:t>
      </w:r>
      <w:r w:rsidR="00EE4FC3">
        <w:t xml:space="preserve"> </w:t>
      </w:r>
      <w:r w:rsidRPr="00382917">
        <w:t>whom</w:t>
      </w:r>
      <w:r w:rsidR="00EE4FC3">
        <w:t xml:space="preserve"> </w:t>
      </w:r>
      <w:r w:rsidRPr="00382917">
        <w:t>she</w:t>
      </w:r>
      <w:r w:rsidR="00EE4FC3">
        <w:t xml:space="preserve"> </w:t>
      </w:r>
      <w:r w:rsidRPr="00382917">
        <w:t>had</w:t>
      </w:r>
      <w:r w:rsidR="00EE4FC3">
        <w:t xml:space="preserve"> </w:t>
      </w:r>
      <w:r w:rsidRPr="00382917">
        <w:t>kindled</w:t>
      </w:r>
      <w:r w:rsidR="00EE4FC3">
        <w:t xml:space="preserve"> </w:t>
      </w:r>
      <w:r w:rsidRPr="00382917">
        <w:t>a</w:t>
      </w:r>
      <w:r w:rsidR="00EE4FC3">
        <w:t xml:space="preserve"> </w:t>
      </w:r>
      <w:r w:rsidRPr="00382917">
        <w:t>great</w:t>
      </w:r>
      <w:r w:rsidR="00EE4FC3">
        <w:t xml:space="preserve"> </w:t>
      </w:r>
      <w:r w:rsidRPr="00382917">
        <w:t>love</w:t>
      </w:r>
      <w:r w:rsidR="00EE4FC3">
        <w:t xml:space="preserve"> </w:t>
      </w:r>
      <w:r w:rsidRPr="00382917">
        <w:t>for</w:t>
      </w:r>
      <w:r w:rsidR="00EE4FC3">
        <w:t xml:space="preserve"> </w:t>
      </w:r>
      <w:r w:rsidRPr="00382917">
        <w:t>the</w:t>
      </w:r>
      <w:r w:rsidR="00EE4FC3">
        <w:t xml:space="preserve"> </w:t>
      </w:r>
      <w:r w:rsidRPr="00382917">
        <w:t>Faith.</w:t>
      </w:r>
    </w:p>
    <w:p w:rsidR="005B5622" w:rsidRPr="00382917" w:rsidRDefault="005B5622" w:rsidP="006340BC">
      <w:pPr>
        <w:pStyle w:val="Text"/>
      </w:pPr>
      <w:r w:rsidRPr="00382917">
        <w:t>The</w:t>
      </w:r>
      <w:r w:rsidR="00EE4FC3">
        <w:t xml:space="preserve"> </w:t>
      </w:r>
      <w:r w:rsidRPr="00382917">
        <w:t>very</w:t>
      </w:r>
      <w:r w:rsidR="00EE4FC3">
        <w:t xml:space="preserve"> </w:t>
      </w:r>
      <w:r w:rsidRPr="00382917">
        <w:t>day</w:t>
      </w:r>
      <w:r w:rsidR="00EE4FC3">
        <w:t xml:space="preserve"> </w:t>
      </w:r>
      <w:r w:rsidRPr="00382917">
        <w:t>that</w:t>
      </w:r>
      <w:r w:rsidR="00EE4FC3">
        <w:t xml:space="preserve"> </w:t>
      </w:r>
      <w:r w:rsidRPr="00382917">
        <w:t>Ṭáhirih</w:t>
      </w:r>
      <w:r w:rsidR="00EE4FC3">
        <w:t xml:space="preserve"> </w:t>
      </w:r>
      <w:r w:rsidRPr="00382917">
        <w:t>arrived</w:t>
      </w:r>
      <w:r w:rsidR="00EE4FC3">
        <w:t xml:space="preserve"> </w:t>
      </w:r>
      <w:r w:rsidRPr="00382917">
        <w:t>in</w:t>
      </w:r>
      <w:r w:rsidR="00EE4FC3">
        <w:t xml:space="preserve"> </w:t>
      </w:r>
      <w:r w:rsidR="00664069" w:rsidRPr="00382917">
        <w:t>Ba</w:t>
      </w:r>
      <w:r w:rsidR="00664069" w:rsidRPr="00664069">
        <w:rPr>
          <w:u w:val="single"/>
        </w:rPr>
        <w:t>gh</w:t>
      </w:r>
      <w:r w:rsidR="00664069" w:rsidRPr="00382917">
        <w:t>d</w:t>
      </w:r>
      <w:r w:rsidR="00664069" w:rsidRPr="00664069">
        <w:t>á</w:t>
      </w:r>
      <w:r w:rsidR="00664069" w:rsidRPr="00382917">
        <w:t>d</w:t>
      </w:r>
      <w:r w:rsidR="00EE4FC3">
        <w:t xml:space="preserve"> </w:t>
      </w:r>
      <w:r w:rsidRPr="00382917">
        <w:t>she</w:t>
      </w:r>
      <w:r w:rsidR="00EE4FC3">
        <w:t xml:space="preserve"> </w:t>
      </w:r>
      <w:r w:rsidRPr="00382917">
        <w:t>began</w:t>
      </w:r>
      <w:r w:rsidR="00EE4FC3">
        <w:t xml:space="preserve"> </w:t>
      </w:r>
      <w:r w:rsidRPr="00382917">
        <w:t>teaching</w:t>
      </w:r>
      <w:r w:rsidR="00EE4FC3">
        <w:t xml:space="preserve"> </w:t>
      </w:r>
      <w:r w:rsidRPr="00382917">
        <w:t>the</w:t>
      </w:r>
      <w:r w:rsidR="00EE4FC3">
        <w:t xml:space="preserve"> </w:t>
      </w:r>
      <w:r w:rsidRPr="00382917">
        <w:t>Cause</w:t>
      </w:r>
      <w:r w:rsidR="00B71244">
        <w:t>.</w:t>
      </w:r>
      <w:r w:rsidR="00EE4FC3">
        <w:t xml:space="preserve">  </w:t>
      </w:r>
      <w:r w:rsidRPr="00382917">
        <w:t>She</w:t>
      </w:r>
      <w:r w:rsidR="00EE4FC3">
        <w:t xml:space="preserve"> </w:t>
      </w:r>
      <w:r w:rsidRPr="00382917">
        <w:t>spoke</w:t>
      </w:r>
      <w:r w:rsidR="00EE4FC3">
        <w:t xml:space="preserve"> </w:t>
      </w:r>
      <w:r w:rsidRPr="00382917">
        <w:t>with</w:t>
      </w:r>
      <w:r w:rsidR="00EE4FC3">
        <w:t xml:space="preserve"> </w:t>
      </w:r>
      <w:r w:rsidRPr="00382917">
        <w:t>such</w:t>
      </w:r>
      <w:r w:rsidR="00EE4FC3">
        <w:t xml:space="preserve"> </w:t>
      </w:r>
      <w:r w:rsidRPr="00382917">
        <w:t>power</w:t>
      </w:r>
      <w:r w:rsidR="00EE4FC3">
        <w:t xml:space="preserve"> </w:t>
      </w:r>
      <w:r w:rsidRPr="00382917">
        <w:t>and</w:t>
      </w:r>
      <w:r w:rsidR="00EE4FC3">
        <w:t xml:space="preserve"> </w:t>
      </w:r>
      <w:r w:rsidRPr="00382917">
        <w:t>eloquence</w:t>
      </w:r>
      <w:r w:rsidR="00EE4FC3">
        <w:t xml:space="preserve"> </w:t>
      </w:r>
      <w:r w:rsidRPr="00382917">
        <w:t>that</w:t>
      </w:r>
      <w:r w:rsidR="00EE4FC3">
        <w:t xml:space="preserve"> </w:t>
      </w:r>
      <w:r w:rsidRPr="00382917">
        <w:t>those</w:t>
      </w:r>
      <w:r w:rsidR="00EE4FC3">
        <w:t xml:space="preserve"> </w:t>
      </w:r>
      <w:r w:rsidRPr="00382917">
        <w:t>who</w:t>
      </w:r>
      <w:r w:rsidR="00EE4FC3">
        <w:t xml:space="preserve"> </w:t>
      </w:r>
      <w:r w:rsidRPr="00382917">
        <w:t>had</w:t>
      </w:r>
      <w:r w:rsidR="00EE4FC3">
        <w:t xml:space="preserve"> </w:t>
      </w:r>
      <w:r w:rsidRPr="00382917">
        <w:t>seen</w:t>
      </w:r>
      <w:r w:rsidR="00EE4FC3">
        <w:t xml:space="preserve"> </w:t>
      </w:r>
      <w:r w:rsidRPr="00382917">
        <w:t>and</w:t>
      </w:r>
      <w:r w:rsidR="00EE4FC3">
        <w:t xml:space="preserve"> </w:t>
      </w:r>
      <w:r w:rsidRPr="00382917">
        <w:t>heard</w:t>
      </w:r>
      <w:r w:rsidR="00EE4FC3">
        <w:t xml:space="preserve"> </w:t>
      </w:r>
      <w:r w:rsidRPr="00382917">
        <w:t>her</w:t>
      </w:r>
      <w:r w:rsidR="00EE4FC3">
        <w:t xml:space="preserve"> </w:t>
      </w:r>
      <w:r w:rsidRPr="00382917">
        <w:t>before</w:t>
      </w:r>
      <w:r w:rsidR="00EE4FC3">
        <w:t xml:space="preserve"> </w:t>
      </w:r>
      <w:r w:rsidRPr="00382917">
        <w:t>she</w:t>
      </w:r>
      <w:r w:rsidR="00EE4FC3">
        <w:t xml:space="preserve"> </w:t>
      </w:r>
      <w:r w:rsidRPr="00382917">
        <w:t>became</w:t>
      </w:r>
      <w:r w:rsidR="00EE4FC3">
        <w:t xml:space="preserve"> </w:t>
      </w:r>
      <w:r w:rsidRPr="00382917">
        <w:t>a</w:t>
      </w:r>
      <w:r w:rsidR="00EE4FC3">
        <w:t xml:space="preserve"> </w:t>
      </w:r>
      <w:r w:rsidRPr="00382917">
        <w:t>follower</w:t>
      </w:r>
      <w:r w:rsidR="00EE4FC3">
        <w:t xml:space="preserve"> </w:t>
      </w:r>
      <w:r w:rsidRPr="00382917">
        <w:t>of</w:t>
      </w:r>
      <w:r w:rsidR="00EE4FC3">
        <w:t xml:space="preserve"> </w:t>
      </w:r>
      <w:r w:rsidRPr="00382917">
        <w:t>the</w:t>
      </w:r>
      <w:r w:rsidR="00EE4FC3">
        <w:t xml:space="preserve"> </w:t>
      </w:r>
      <w:r w:rsidRPr="00382917">
        <w:t>Báb</w:t>
      </w:r>
      <w:r w:rsidR="00EE4FC3">
        <w:t xml:space="preserve"> </w:t>
      </w:r>
      <w:r w:rsidRPr="00382917">
        <w:t>were</w:t>
      </w:r>
      <w:r w:rsidR="00EE4FC3">
        <w:t xml:space="preserve"> </w:t>
      </w:r>
      <w:r w:rsidRPr="00382917">
        <w:t>amazed</w:t>
      </w:r>
      <w:r w:rsidR="00B71244">
        <w:t>.</w:t>
      </w:r>
      <w:r w:rsidR="00EE4FC3">
        <w:t xml:space="preserve">  </w:t>
      </w:r>
      <w:r w:rsidRPr="00382917">
        <w:t>They</w:t>
      </w:r>
      <w:r w:rsidR="00EE4FC3">
        <w:t xml:space="preserve"> </w:t>
      </w:r>
      <w:r w:rsidRPr="00382917">
        <w:t>said</w:t>
      </w:r>
      <w:r w:rsidR="00C03C91">
        <w:t>:</w:t>
      </w:r>
      <w:r w:rsidR="00EE4FC3">
        <w:t xml:space="preserve">  </w:t>
      </w:r>
      <w:r w:rsidR="009C713D" w:rsidRPr="00382917">
        <w:t>“</w:t>
      </w:r>
      <w:r w:rsidRPr="00382917">
        <w:t>This</w:t>
      </w:r>
      <w:r w:rsidR="00EE4FC3">
        <w:t xml:space="preserve"> </w:t>
      </w:r>
      <w:r w:rsidRPr="00382917">
        <w:t>is</w:t>
      </w:r>
      <w:r w:rsidR="00EE4FC3">
        <w:t xml:space="preserve"> </w:t>
      </w:r>
      <w:r w:rsidRPr="00382917">
        <w:t>not</w:t>
      </w:r>
      <w:r w:rsidR="00EE4FC3">
        <w:t xml:space="preserve"> </w:t>
      </w:r>
      <w:r w:rsidRPr="00382917">
        <w:t>the</w:t>
      </w:r>
      <w:r w:rsidR="00EE4FC3">
        <w:t xml:space="preserve"> </w:t>
      </w:r>
      <w:r w:rsidRPr="00382917">
        <w:t>same</w:t>
      </w:r>
      <w:r w:rsidR="00EE4FC3">
        <w:t xml:space="preserve"> </w:t>
      </w:r>
      <w:r w:rsidRPr="00382917">
        <w:t>woman</w:t>
      </w:r>
      <w:r w:rsidR="00EE4FC3">
        <w:t xml:space="preserve"> </w:t>
      </w:r>
      <w:r w:rsidRPr="00382917">
        <w:t>we</w:t>
      </w:r>
      <w:r w:rsidR="00EE4FC3">
        <w:t xml:space="preserve"> </w:t>
      </w:r>
      <w:r w:rsidRPr="00382917">
        <w:t>knew</w:t>
      </w:r>
      <w:r w:rsidR="00EE4FC3">
        <w:t xml:space="preserve"> </w:t>
      </w:r>
      <w:r w:rsidRPr="00382917">
        <w:t>before.</w:t>
      </w:r>
      <w:r w:rsidR="009C713D" w:rsidRPr="00382917">
        <w:t>”</w:t>
      </w:r>
    </w:p>
    <w:p w:rsidR="005B5622" w:rsidRPr="00382917" w:rsidRDefault="005B5622" w:rsidP="006340BC">
      <w:pPr>
        <w:pStyle w:val="Text"/>
      </w:pPr>
      <w:r w:rsidRPr="00382917">
        <w:t>Her</w:t>
      </w:r>
      <w:r w:rsidR="00EE4FC3">
        <w:t xml:space="preserve"> </w:t>
      </w:r>
      <w:r w:rsidRPr="00382917">
        <w:t>lectures</w:t>
      </w:r>
      <w:r w:rsidR="00EE4FC3">
        <w:t xml:space="preserve"> </w:t>
      </w:r>
      <w:r w:rsidRPr="00382917">
        <w:t>began</w:t>
      </w:r>
      <w:r w:rsidR="00EE4FC3">
        <w:t xml:space="preserve"> </w:t>
      </w:r>
      <w:r w:rsidRPr="00382917">
        <w:t>to</w:t>
      </w:r>
      <w:r w:rsidR="00EE4FC3">
        <w:t xml:space="preserve"> </w:t>
      </w:r>
      <w:r w:rsidRPr="00382917">
        <w:t>attract</w:t>
      </w:r>
      <w:r w:rsidR="00EE4FC3">
        <w:t xml:space="preserve"> </w:t>
      </w:r>
      <w:r w:rsidRPr="00382917">
        <w:t>very</w:t>
      </w:r>
      <w:r w:rsidR="00EE4FC3">
        <w:t xml:space="preserve"> </w:t>
      </w:r>
      <w:r w:rsidRPr="00382917">
        <w:t>large</w:t>
      </w:r>
      <w:r w:rsidR="00EE4FC3">
        <w:t xml:space="preserve"> </w:t>
      </w:r>
      <w:r w:rsidRPr="00382917">
        <w:t>audiences</w:t>
      </w:r>
      <w:r w:rsidR="00EE4FC3">
        <w:t xml:space="preserve"> </w:t>
      </w:r>
      <w:r w:rsidRPr="00382917">
        <w:t>from</w:t>
      </w:r>
      <w:r w:rsidR="00EE4FC3">
        <w:t xml:space="preserve"> </w:t>
      </w:r>
      <w:r w:rsidRPr="00382917">
        <w:t>among</w:t>
      </w:r>
      <w:r w:rsidR="00EE4FC3">
        <w:t xml:space="preserve"> </w:t>
      </w:r>
      <w:r w:rsidRPr="00382917">
        <w:t>the</w:t>
      </w:r>
      <w:r w:rsidR="00EE4FC3">
        <w:t xml:space="preserve"> </w:t>
      </w:r>
      <w:r w:rsidRPr="00382917">
        <w:t>peoples</w:t>
      </w:r>
      <w:r w:rsidR="00EE4FC3">
        <w:t xml:space="preserve"> </w:t>
      </w:r>
      <w:r w:rsidRPr="00382917">
        <w:t>of</w:t>
      </w:r>
      <w:r w:rsidR="00EE4FC3">
        <w:t xml:space="preserve"> </w:t>
      </w:r>
      <w:r w:rsidRPr="00382917">
        <w:t>all</w:t>
      </w:r>
      <w:r w:rsidR="00EE4FC3">
        <w:t xml:space="preserve"> </w:t>
      </w:r>
      <w:r w:rsidRPr="00382917">
        <w:t>religions</w:t>
      </w:r>
      <w:r w:rsidR="00B71244">
        <w:t>.</w:t>
      </w:r>
      <w:r w:rsidR="00EE4FC3">
        <w:t xml:space="preserve">  </w:t>
      </w:r>
      <w:r w:rsidRPr="00382917">
        <w:t>One</w:t>
      </w:r>
      <w:r w:rsidR="00EE4FC3">
        <w:t xml:space="preserve"> </w:t>
      </w:r>
      <w:r w:rsidRPr="00382917">
        <w:t>of</w:t>
      </w:r>
      <w:r w:rsidR="00EE4FC3">
        <w:t xml:space="preserve"> </w:t>
      </w:r>
      <w:r w:rsidRPr="00382917">
        <w:t>the</w:t>
      </w:r>
      <w:r w:rsidR="00EE4FC3">
        <w:t xml:space="preserve"> </w:t>
      </w:r>
      <w:r w:rsidRPr="00382917">
        <w:t>most</w:t>
      </w:r>
      <w:r w:rsidR="00EE4FC3">
        <w:t xml:space="preserve"> </w:t>
      </w:r>
      <w:r w:rsidRPr="00382917">
        <w:t>outstanding</w:t>
      </w:r>
      <w:r w:rsidR="00EE4FC3">
        <w:t xml:space="preserve"> </w:t>
      </w:r>
      <w:r w:rsidRPr="00382917">
        <w:t>of</w:t>
      </w:r>
      <w:r w:rsidR="00EE4FC3">
        <w:t xml:space="preserve"> </w:t>
      </w:r>
      <w:r w:rsidRPr="00382917">
        <w:t>her</w:t>
      </w:r>
      <w:r w:rsidR="00EE4FC3">
        <w:t xml:space="preserve"> </w:t>
      </w:r>
      <w:r w:rsidRPr="00382917">
        <w:t>characteristics</w:t>
      </w:r>
      <w:r w:rsidR="00EE4FC3">
        <w:t xml:space="preserve"> </w:t>
      </w:r>
      <w:r w:rsidRPr="00382917">
        <w:t>was</w:t>
      </w:r>
      <w:r w:rsidR="00EE4FC3">
        <w:t xml:space="preserve"> </w:t>
      </w:r>
      <w:r w:rsidRPr="00382917">
        <w:t>her</w:t>
      </w:r>
      <w:r w:rsidR="00EE4FC3">
        <w:t xml:space="preserve"> </w:t>
      </w:r>
      <w:r w:rsidRPr="00382917">
        <w:t>ability</w:t>
      </w:r>
      <w:r w:rsidR="00EE4FC3">
        <w:t xml:space="preserve"> </w:t>
      </w:r>
      <w:r w:rsidRPr="00382917">
        <w:t>to</w:t>
      </w:r>
      <w:r w:rsidR="00EE4FC3">
        <w:t xml:space="preserve"> </w:t>
      </w:r>
      <w:r w:rsidRPr="00382917">
        <w:t>arouse</w:t>
      </w:r>
      <w:r w:rsidR="00EE4FC3">
        <w:t xml:space="preserve"> </w:t>
      </w:r>
      <w:r w:rsidRPr="00382917">
        <w:t>a</w:t>
      </w:r>
      <w:r w:rsidR="00EE4FC3">
        <w:t xml:space="preserve"> </w:t>
      </w:r>
      <w:r w:rsidRPr="00382917">
        <w:t>keen</w:t>
      </w:r>
      <w:r w:rsidR="00EE4FC3">
        <w:t xml:space="preserve"> </w:t>
      </w:r>
      <w:r w:rsidRPr="00382917">
        <w:t>desire</w:t>
      </w:r>
      <w:r w:rsidR="00EE4FC3">
        <w:t xml:space="preserve"> </w:t>
      </w:r>
      <w:r w:rsidRPr="00382917">
        <w:t>in</w:t>
      </w:r>
      <w:r w:rsidR="00EE4FC3">
        <w:t xml:space="preserve"> </w:t>
      </w:r>
      <w:r w:rsidRPr="00382917">
        <w:t>her</w:t>
      </w:r>
      <w:r w:rsidR="00EE4FC3">
        <w:t xml:space="preserve"> </w:t>
      </w:r>
      <w:r w:rsidRPr="00382917">
        <w:t>listeners</w:t>
      </w:r>
      <w:r w:rsidR="00EE4FC3">
        <w:t xml:space="preserve"> </w:t>
      </w:r>
      <w:r w:rsidRPr="00382917">
        <w:t>to</w:t>
      </w:r>
      <w:r w:rsidR="00EE4FC3">
        <w:t xml:space="preserve"> </w:t>
      </w:r>
      <w:r w:rsidRPr="00382917">
        <w:t>investigate</w:t>
      </w:r>
      <w:r w:rsidR="00EE4FC3">
        <w:t xml:space="preserve"> </w:t>
      </w:r>
      <w:r w:rsidRPr="00382917">
        <w:t>the</w:t>
      </w:r>
      <w:r w:rsidR="00EE4FC3">
        <w:t xml:space="preserve"> </w:t>
      </w:r>
      <w:r w:rsidRPr="00382917">
        <w:t>truth</w:t>
      </w:r>
      <w:r w:rsidR="00EE4FC3">
        <w:t xml:space="preserve"> </w:t>
      </w:r>
      <w:r w:rsidRPr="00382917">
        <w:t>of</w:t>
      </w:r>
      <w:r w:rsidR="00EE4FC3">
        <w:t xml:space="preserve"> </w:t>
      </w:r>
      <w:r w:rsidRPr="00382917">
        <w:t>the</w:t>
      </w:r>
      <w:r w:rsidR="00EE4FC3">
        <w:t xml:space="preserve"> </w:t>
      </w:r>
      <w:r w:rsidRPr="00382917">
        <w:t>Báb</w:t>
      </w:r>
      <w:r w:rsidR="009C713D" w:rsidRPr="00382917">
        <w:t>’</w:t>
      </w:r>
      <w:r w:rsidRPr="00382917">
        <w:t>s</w:t>
      </w:r>
      <w:r w:rsidR="00EE4FC3">
        <w:t xml:space="preserve"> </w:t>
      </w:r>
      <w:r w:rsidRPr="00382917">
        <w:t>mission</w:t>
      </w:r>
      <w:r w:rsidR="00EE4FC3">
        <w:t xml:space="preserve"> </w:t>
      </w:r>
      <w:r w:rsidRPr="00382917">
        <w:t>for</w:t>
      </w:r>
      <w:r w:rsidR="00EE4FC3">
        <w:t xml:space="preserve"> </w:t>
      </w:r>
      <w:r w:rsidRPr="00382917">
        <w:t>themselves</w:t>
      </w:r>
      <w:r w:rsidR="00B71244">
        <w:t>.</w:t>
      </w:r>
      <w:r w:rsidR="00EE4FC3">
        <w:t xml:space="preserve">  </w:t>
      </w:r>
      <w:r w:rsidRPr="00382917">
        <w:t>Within</w:t>
      </w:r>
      <w:r w:rsidR="00EE4FC3">
        <w:t xml:space="preserve"> </w:t>
      </w:r>
      <w:r w:rsidRPr="00382917">
        <w:t>a</w:t>
      </w:r>
      <w:r w:rsidR="00EE4FC3">
        <w:t xml:space="preserve"> </w:t>
      </w:r>
      <w:r w:rsidRPr="00382917">
        <w:t>short</w:t>
      </w:r>
      <w:r w:rsidR="00EE4FC3">
        <w:t xml:space="preserve"> </w:t>
      </w:r>
      <w:r w:rsidRPr="00382917">
        <w:t>time</w:t>
      </w:r>
      <w:r w:rsidR="00EE4FC3">
        <w:t xml:space="preserve"> </w:t>
      </w:r>
      <w:r w:rsidRPr="00382917">
        <w:t>her</w:t>
      </w:r>
      <w:r w:rsidR="00EE4FC3">
        <w:t xml:space="preserve"> </w:t>
      </w:r>
      <w:r w:rsidRPr="00382917">
        <w:t>extraordinary</w:t>
      </w:r>
      <w:r w:rsidR="00EE4FC3">
        <w:t xml:space="preserve"> </w:t>
      </w:r>
      <w:r w:rsidRPr="00382917">
        <w:t>attraction</w:t>
      </w:r>
      <w:r w:rsidR="00EE4FC3">
        <w:t xml:space="preserve"> </w:t>
      </w:r>
      <w:r w:rsidRPr="00382917">
        <w:t>had</w:t>
      </w:r>
      <w:r w:rsidR="00EE4FC3">
        <w:t xml:space="preserve"> </w:t>
      </w:r>
      <w:r w:rsidRPr="00382917">
        <w:t>won</w:t>
      </w:r>
      <w:r w:rsidR="00EE4FC3">
        <w:t xml:space="preserve"> </w:t>
      </w:r>
      <w:r w:rsidRPr="00382917">
        <w:t>many</w:t>
      </w:r>
      <w:r w:rsidR="00EE4FC3">
        <w:t xml:space="preserve"> </w:t>
      </w:r>
      <w:r w:rsidRPr="00382917">
        <w:t>supporters</w:t>
      </w:r>
      <w:r w:rsidR="00B71244">
        <w:t>.</w:t>
      </w:r>
      <w:r w:rsidR="00EE4FC3">
        <w:t xml:space="preserve">  </w:t>
      </w:r>
      <w:r w:rsidRPr="00382917">
        <w:t>A</w:t>
      </w:r>
      <w:r w:rsidR="00EE4FC3">
        <w:t xml:space="preserve"> </w:t>
      </w:r>
      <w:r w:rsidRPr="00382917">
        <w:t>large</w:t>
      </w:r>
      <w:r w:rsidR="00EE4FC3">
        <w:t xml:space="preserve"> </w:t>
      </w:r>
      <w:r w:rsidRPr="00382917">
        <w:t>number</w:t>
      </w:r>
      <w:r w:rsidR="00EE4FC3">
        <w:t xml:space="preserve"> </w:t>
      </w:r>
      <w:r w:rsidRPr="00382917">
        <w:t>had</w:t>
      </w:r>
      <w:r w:rsidR="00EE4FC3">
        <w:t xml:space="preserve"> </w:t>
      </w:r>
      <w:r w:rsidRPr="00382917">
        <w:t>followed</w:t>
      </w:r>
      <w:r w:rsidR="00EE4FC3">
        <w:t xml:space="preserve"> </w:t>
      </w:r>
      <w:r w:rsidRPr="00382917">
        <w:t>her</w:t>
      </w:r>
      <w:r w:rsidR="00EE4FC3">
        <w:t xml:space="preserve"> </w:t>
      </w:r>
      <w:r w:rsidRPr="00382917">
        <w:t>from</w:t>
      </w:r>
      <w:r w:rsidR="00EE4FC3">
        <w:t xml:space="preserve"> </w:t>
      </w:r>
      <w:r w:rsidRPr="00382917">
        <w:t>Karbilá</w:t>
      </w:r>
      <w:r w:rsidR="00EE4FC3">
        <w:t xml:space="preserve"> </w:t>
      </w:r>
      <w:r w:rsidRPr="00382917">
        <w:t>to</w:t>
      </w:r>
      <w:r w:rsidR="00EE4FC3">
        <w:t xml:space="preserve"> </w:t>
      </w:r>
      <w:r w:rsidR="00664069" w:rsidRPr="00382917">
        <w:t>Ba</w:t>
      </w:r>
      <w:r w:rsidR="00664069" w:rsidRPr="00664069">
        <w:rPr>
          <w:u w:val="single"/>
        </w:rPr>
        <w:t>gh</w:t>
      </w:r>
      <w:r w:rsidR="00664069" w:rsidRPr="00382917">
        <w:t>d</w:t>
      </w:r>
      <w:r w:rsidR="00664069" w:rsidRPr="00664069">
        <w:t>á</w:t>
      </w:r>
      <w:r w:rsidR="00664069" w:rsidRPr="00382917">
        <w:t>d</w:t>
      </w:r>
      <w:r w:rsidR="00EE4FC3">
        <w:t xml:space="preserve"> </w:t>
      </w:r>
      <w:r w:rsidRPr="00382917">
        <w:t>in</w:t>
      </w:r>
      <w:r w:rsidR="00EE4FC3">
        <w:t xml:space="preserve"> </w:t>
      </w:r>
      <w:r w:rsidRPr="00382917">
        <w:t>order</w:t>
      </w:r>
      <w:r w:rsidR="00EE4FC3">
        <w:t xml:space="preserve"> </w:t>
      </w:r>
      <w:r w:rsidRPr="00382917">
        <w:t>to</w:t>
      </w:r>
      <w:r w:rsidR="00EE4FC3">
        <w:t xml:space="preserve"> </w:t>
      </w:r>
      <w:r w:rsidRPr="00382917">
        <w:t>attend</w:t>
      </w:r>
      <w:r w:rsidR="00EE4FC3">
        <w:t xml:space="preserve"> </w:t>
      </w:r>
      <w:r w:rsidRPr="00382917">
        <w:t>her</w:t>
      </w:r>
      <w:r w:rsidR="00EE4FC3">
        <w:t xml:space="preserve"> </w:t>
      </w:r>
      <w:r w:rsidRPr="00382917">
        <w:t>classes.</w:t>
      </w:r>
    </w:p>
    <w:p w:rsidR="005B5622" w:rsidRPr="00382917" w:rsidRDefault="005B5622" w:rsidP="006340BC">
      <w:pPr>
        <w:pStyle w:val="Text"/>
      </w:pPr>
      <w:r w:rsidRPr="00382917">
        <w:t>The</w:t>
      </w:r>
      <w:r w:rsidR="00EE4FC3">
        <w:t xml:space="preserve"> </w:t>
      </w:r>
      <w:r w:rsidRPr="00382917">
        <w:t>priests</w:t>
      </w:r>
      <w:r w:rsidR="00EE4FC3">
        <w:t xml:space="preserve"> </w:t>
      </w:r>
      <w:r w:rsidRPr="00382917">
        <w:t>of</w:t>
      </w:r>
      <w:r w:rsidR="00EE4FC3">
        <w:t xml:space="preserve"> </w:t>
      </w:r>
      <w:r w:rsidR="00664069" w:rsidRPr="00382917">
        <w:t>Ba</w:t>
      </w:r>
      <w:r w:rsidR="00664069" w:rsidRPr="00664069">
        <w:rPr>
          <w:u w:val="single"/>
        </w:rPr>
        <w:t>gh</w:t>
      </w:r>
      <w:r w:rsidR="00664069" w:rsidRPr="00382917">
        <w:t>d</w:t>
      </w:r>
      <w:r w:rsidR="00664069" w:rsidRPr="00664069">
        <w:t>á</w:t>
      </w:r>
      <w:r w:rsidR="00664069" w:rsidRPr="00382917">
        <w:t>d</w:t>
      </w:r>
      <w:r w:rsidR="00EE4FC3">
        <w:t xml:space="preserve"> </w:t>
      </w:r>
      <w:r w:rsidRPr="00382917">
        <w:t>became</w:t>
      </w:r>
      <w:r w:rsidR="00EE4FC3">
        <w:t xml:space="preserve"> </w:t>
      </w:r>
      <w:r w:rsidRPr="00382917">
        <w:t>aroused</w:t>
      </w:r>
      <w:r w:rsidR="00EE4FC3">
        <w:t xml:space="preserve"> </w:t>
      </w:r>
      <w:r w:rsidRPr="00382917">
        <w:t>as</w:t>
      </w:r>
      <w:r w:rsidR="00EE4FC3">
        <w:t xml:space="preserve"> </w:t>
      </w:r>
      <w:r w:rsidRPr="00382917">
        <w:t>her</w:t>
      </w:r>
      <w:r w:rsidR="00EE4FC3">
        <w:t xml:space="preserve"> </w:t>
      </w:r>
      <w:r w:rsidRPr="00382917">
        <w:t>words</w:t>
      </w:r>
      <w:r w:rsidR="00EE4FC3">
        <w:t xml:space="preserve"> </w:t>
      </w:r>
      <w:r w:rsidRPr="00382917">
        <w:t>began</w:t>
      </w:r>
      <w:r w:rsidR="00EE4FC3">
        <w:t xml:space="preserve"> </w:t>
      </w:r>
      <w:r w:rsidRPr="00382917">
        <w:t>to</w:t>
      </w:r>
      <w:r w:rsidR="00EE4FC3">
        <w:t xml:space="preserve"> </w:t>
      </w:r>
      <w:r w:rsidRPr="00382917">
        <w:t>woo</w:t>
      </w:r>
      <w:r w:rsidR="00EE4FC3">
        <w:t xml:space="preserve"> </w:t>
      </w:r>
      <w:r w:rsidRPr="00382917">
        <w:t>away</w:t>
      </w:r>
      <w:r w:rsidR="00EE4FC3">
        <w:t xml:space="preserve"> </w:t>
      </w:r>
      <w:r w:rsidRPr="00382917">
        <w:t>their</w:t>
      </w:r>
      <w:r w:rsidR="00EE4FC3">
        <w:t xml:space="preserve"> </w:t>
      </w:r>
      <w:r w:rsidRPr="00382917">
        <w:t>own</w:t>
      </w:r>
      <w:r w:rsidR="00EE4FC3">
        <w:t xml:space="preserve"> </w:t>
      </w:r>
      <w:r w:rsidRPr="00382917">
        <w:t>followers</w:t>
      </w:r>
      <w:r w:rsidR="00B71244">
        <w:t>.</w:t>
      </w:r>
      <w:r w:rsidR="00EE4FC3">
        <w:t xml:space="preserve">  </w:t>
      </w:r>
      <w:r w:rsidRPr="00382917">
        <w:t>She</w:t>
      </w:r>
      <w:r w:rsidR="00EE4FC3">
        <w:t xml:space="preserve"> </w:t>
      </w:r>
      <w:r w:rsidRPr="00382917">
        <w:t>was</w:t>
      </w:r>
      <w:r w:rsidR="00EE4FC3">
        <w:t xml:space="preserve"> </w:t>
      </w:r>
      <w:r w:rsidRPr="00382917">
        <w:t>emptying</w:t>
      </w:r>
      <w:r w:rsidR="00EE4FC3">
        <w:t xml:space="preserve"> </w:t>
      </w:r>
      <w:r w:rsidRPr="00382917">
        <w:t>their</w:t>
      </w:r>
      <w:r w:rsidR="00EE4FC3">
        <w:t xml:space="preserve"> </w:t>
      </w:r>
      <w:r w:rsidRPr="00382917">
        <w:t>classes</w:t>
      </w:r>
      <w:r w:rsidR="00B71244">
        <w:t>.</w:t>
      </w:r>
      <w:r w:rsidR="00EE4FC3">
        <w:t xml:space="preserve">  </w:t>
      </w:r>
      <w:r w:rsidRPr="00382917">
        <w:t>Many</w:t>
      </w:r>
      <w:r w:rsidR="00EE4FC3">
        <w:t xml:space="preserve"> </w:t>
      </w:r>
      <w:r w:rsidRPr="00382917">
        <w:t>rose</w:t>
      </w:r>
      <w:r w:rsidR="00EE4FC3">
        <w:t xml:space="preserve"> </w:t>
      </w:r>
      <w:r w:rsidRPr="00382917">
        <w:t>up</w:t>
      </w:r>
      <w:r w:rsidR="00EE4FC3">
        <w:t xml:space="preserve"> </w:t>
      </w:r>
      <w:r w:rsidRPr="00382917">
        <w:t>against</w:t>
      </w:r>
      <w:r w:rsidR="00EE4FC3">
        <w:t xml:space="preserve"> </w:t>
      </w:r>
      <w:r w:rsidRPr="00382917">
        <w:t>her,</w:t>
      </w:r>
      <w:r w:rsidR="00EE4FC3">
        <w:t xml:space="preserve"> </w:t>
      </w:r>
      <w:r w:rsidRPr="00382917">
        <w:t>so</w:t>
      </w:r>
      <w:r w:rsidR="00EE4FC3">
        <w:t xml:space="preserve"> </w:t>
      </w:r>
      <w:r w:rsidRPr="00382917">
        <w:t>she</w:t>
      </w:r>
      <w:r w:rsidR="00EE4FC3">
        <w:t xml:space="preserve"> </w:t>
      </w:r>
      <w:r w:rsidRPr="00382917">
        <w:t>challenged</w:t>
      </w:r>
      <w:r w:rsidR="00EE4FC3">
        <w:t xml:space="preserve"> </w:t>
      </w:r>
      <w:r w:rsidRPr="00382917">
        <w:t>them</w:t>
      </w:r>
      <w:r w:rsidR="00EE4FC3">
        <w:t xml:space="preserve"> </w:t>
      </w:r>
      <w:r w:rsidRPr="00382917">
        <w:t>publicly</w:t>
      </w:r>
      <w:r w:rsidR="00B71244">
        <w:t>.</w:t>
      </w:r>
      <w:r w:rsidR="00EE4FC3">
        <w:t xml:space="preserve">  </w:t>
      </w:r>
      <w:r w:rsidRPr="00382917">
        <w:t>Through</w:t>
      </w:r>
      <w:r w:rsidR="00EE4FC3">
        <w:t xml:space="preserve"> </w:t>
      </w:r>
      <w:r w:rsidRPr="00382917">
        <w:t>the</w:t>
      </w:r>
      <w:r w:rsidR="00EE4FC3">
        <w:t xml:space="preserve"> </w:t>
      </w:r>
      <w:r w:rsidRPr="00382917">
        <w:t>governor</w:t>
      </w:r>
      <w:r w:rsidR="00EE4FC3">
        <w:t xml:space="preserve"> </w:t>
      </w:r>
      <w:r w:rsidRPr="00382917">
        <w:t>she</w:t>
      </w:r>
      <w:r w:rsidR="00EE4FC3">
        <w:t xml:space="preserve"> </w:t>
      </w:r>
      <w:r w:rsidRPr="00382917">
        <w:t>invited</w:t>
      </w:r>
      <w:r w:rsidR="00EE4FC3">
        <w:t xml:space="preserve"> </w:t>
      </w:r>
      <w:r w:rsidRPr="00382917">
        <w:t>them</w:t>
      </w:r>
      <w:r w:rsidR="00EE4FC3">
        <w:t xml:space="preserve"> </w:t>
      </w:r>
      <w:r w:rsidRPr="00382917">
        <w:t>all</w:t>
      </w:r>
      <w:r w:rsidR="00EE4FC3">
        <w:t xml:space="preserve"> </w:t>
      </w:r>
      <w:r w:rsidRPr="00382917">
        <w:t>to</w:t>
      </w:r>
      <w:r w:rsidR="00EE4FC3">
        <w:t xml:space="preserve"> </w:t>
      </w:r>
      <w:r w:rsidRPr="00382917">
        <w:t>meet</w:t>
      </w:r>
      <w:r w:rsidR="00EE4FC3">
        <w:t xml:space="preserve"> </w:t>
      </w:r>
      <w:r w:rsidRPr="00382917">
        <w:t>her</w:t>
      </w:r>
      <w:r w:rsidR="00EE4FC3">
        <w:t xml:space="preserve"> </w:t>
      </w:r>
      <w:r w:rsidRPr="00382917">
        <w:t>in</w:t>
      </w:r>
      <w:r w:rsidR="00EE4FC3">
        <w:t xml:space="preserve"> </w:t>
      </w:r>
      <w:r w:rsidRPr="00382917">
        <w:t>a</w:t>
      </w:r>
      <w:r w:rsidR="00EE4FC3">
        <w:t xml:space="preserve"> </w:t>
      </w:r>
      <w:r w:rsidRPr="00382917">
        <w:t>great</w:t>
      </w:r>
      <w:r w:rsidR="00EE4FC3">
        <w:t xml:space="preserve"> </w:t>
      </w:r>
      <w:r w:rsidRPr="00382917">
        <w:t>public</w:t>
      </w:r>
      <w:r w:rsidR="00EE4FC3">
        <w:t xml:space="preserve"> </w:t>
      </w:r>
      <w:r w:rsidRPr="00382917">
        <w:t>discussion</w:t>
      </w:r>
      <w:r w:rsidR="00EE4FC3">
        <w:t xml:space="preserve"> </w:t>
      </w:r>
      <w:r w:rsidRPr="00382917">
        <w:t>upon</w:t>
      </w:r>
      <w:r w:rsidR="00EE4FC3">
        <w:t xml:space="preserve"> </w:t>
      </w:r>
      <w:r w:rsidRPr="00382917">
        <w:t>the</w:t>
      </w:r>
      <w:r w:rsidR="00EE4FC3">
        <w:t xml:space="preserve"> </w:t>
      </w:r>
      <w:r w:rsidRPr="00382917">
        <w:t>truth</w:t>
      </w:r>
      <w:r w:rsidR="00EE4FC3">
        <w:t xml:space="preserve"> </w:t>
      </w:r>
      <w:r w:rsidRPr="00382917">
        <w:t>or</w:t>
      </w:r>
      <w:r w:rsidR="00EE4FC3">
        <w:t xml:space="preserve"> </w:t>
      </w:r>
      <w:r w:rsidRPr="00382917">
        <w:t>falsehood</w:t>
      </w:r>
      <w:r w:rsidR="00EE4FC3">
        <w:t xml:space="preserve"> </w:t>
      </w:r>
      <w:r w:rsidRPr="00382917">
        <w:t>of</w:t>
      </w:r>
      <w:r w:rsidR="00EE4FC3">
        <w:t xml:space="preserve"> </w:t>
      </w:r>
      <w:r w:rsidRPr="00382917">
        <w:t>the</w:t>
      </w:r>
      <w:r w:rsidR="00EE4FC3">
        <w:t xml:space="preserve"> </w:t>
      </w:r>
      <w:r w:rsidRPr="00382917">
        <w:t>Báb</w:t>
      </w:r>
      <w:r w:rsidR="009C713D" w:rsidRPr="00382917">
        <w:t>’</w:t>
      </w:r>
      <w:r w:rsidRPr="00382917">
        <w:t>s</w:t>
      </w:r>
      <w:r w:rsidR="00EE4FC3">
        <w:t xml:space="preserve"> </w:t>
      </w:r>
      <w:r w:rsidRPr="00382917">
        <w:t>Faith</w:t>
      </w:r>
      <w:r w:rsidR="00B71244">
        <w:t>.</w:t>
      </w:r>
      <w:r w:rsidR="00EE4FC3">
        <w:t xml:space="preserve">  </w:t>
      </w:r>
      <w:r w:rsidRPr="00382917">
        <w:t>They</w:t>
      </w:r>
    </w:p>
    <w:p w:rsidR="006340BC" w:rsidRPr="00382917" w:rsidRDefault="006340BC">
      <w:pPr>
        <w:widowControl/>
        <w:kinsoku/>
        <w:overflowPunct/>
        <w:textAlignment w:val="auto"/>
      </w:pPr>
      <w:r w:rsidRPr="00382917">
        <w:br w:type="page"/>
      </w:r>
    </w:p>
    <w:p w:rsidR="005B5622" w:rsidRPr="00382917" w:rsidRDefault="005B5622" w:rsidP="006340BC">
      <w:pPr>
        <w:pStyle w:val="Textcts"/>
      </w:pPr>
      <w:proofErr w:type="gramStart"/>
      <w:r w:rsidRPr="00382917">
        <w:t>refused</w:t>
      </w:r>
      <w:proofErr w:type="gramEnd"/>
      <w:r w:rsidRPr="00382917">
        <w:t>,</w:t>
      </w:r>
      <w:r w:rsidR="00EE4FC3">
        <w:t xml:space="preserve"> </w:t>
      </w:r>
      <w:r w:rsidRPr="00382917">
        <w:t>made</w:t>
      </w:r>
      <w:r w:rsidR="00EE4FC3">
        <w:t xml:space="preserve"> </w:t>
      </w:r>
      <w:r w:rsidRPr="00382917">
        <w:t>excuses,</w:t>
      </w:r>
      <w:r w:rsidR="00EE4FC3">
        <w:t xml:space="preserve"> </w:t>
      </w:r>
      <w:r w:rsidRPr="00382917">
        <w:t>and</w:t>
      </w:r>
      <w:r w:rsidR="00EE4FC3">
        <w:t xml:space="preserve"> </w:t>
      </w:r>
      <w:r w:rsidRPr="00382917">
        <w:t>instead</w:t>
      </w:r>
      <w:r w:rsidR="00EE4FC3">
        <w:t xml:space="preserve"> </w:t>
      </w:r>
      <w:r w:rsidRPr="00382917">
        <w:t>complained</w:t>
      </w:r>
      <w:r w:rsidR="00EE4FC3">
        <w:t xml:space="preserve"> </w:t>
      </w:r>
      <w:r w:rsidRPr="00382917">
        <w:t>to</w:t>
      </w:r>
      <w:r w:rsidR="00EE4FC3">
        <w:t xml:space="preserve"> </w:t>
      </w:r>
      <w:r w:rsidRPr="00382917">
        <w:t>the</w:t>
      </w:r>
      <w:r w:rsidR="00EE4FC3">
        <w:t xml:space="preserve"> </w:t>
      </w:r>
      <w:r w:rsidRPr="00382917">
        <w:t>government</w:t>
      </w:r>
      <w:r w:rsidR="00EE4FC3">
        <w:t xml:space="preserve"> </w:t>
      </w:r>
      <w:r w:rsidRPr="00382917">
        <w:t>about</w:t>
      </w:r>
      <w:r w:rsidR="00EE4FC3">
        <w:t xml:space="preserve"> </w:t>
      </w:r>
      <w:r w:rsidRPr="00382917">
        <w:t>the</w:t>
      </w:r>
      <w:r w:rsidR="00EE4FC3">
        <w:t xml:space="preserve"> </w:t>
      </w:r>
      <w:r w:rsidRPr="00382917">
        <w:t>revolution</w:t>
      </w:r>
      <w:r w:rsidR="00EE4FC3">
        <w:t xml:space="preserve"> </w:t>
      </w:r>
      <w:r w:rsidRPr="00382917">
        <w:t>she</w:t>
      </w:r>
      <w:r w:rsidR="00EE4FC3">
        <w:t xml:space="preserve"> </w:t>
      </w:r>
      <w:r w:rsidRPr="00382917">
        <w:t>was</w:t>
      </w:r>
      <w:r w:rsidR="00EE4FC3">
        <w:t xml:space="preserve"> </w:t>
      </w:r>
      <w:r w:rsidRPr="00382917">
        <w:t>stirring</w:t>
      </w:r>
      <w:r w:rsidR="00EE4FC3">
        <w:t xml:space="preserve"> </w:t>
      </w:r>
      <w:r w:rsidRPr="00382917">
        <w:t>up.</w:t>
      </w:r>
    </w:p>
    <w:p w:rsidR="00E13D49" w:rsidRPr="00382917" w:rsidRDefault="005B5622" w:rsidP="002833CA">
      <w:pPr>
        <w:pStyle w:val="Text"/>
      </w:pPr>
      <w:r w:rsidRPr="00382917">
        <w:t>The</w:t>
      </w:r>
      <w:r w:rsidR="00EE4FC3">
        <w:t xml:space="preserve"> </w:t>
      </w:r>
      <w:r w:rsidRPr="00382917">
        <w:t>following</w:t>
      </w:r>
      <w:r w:rsidR="00EE4FC3">
        <w:t xml:space="preserve"> </w:t>
      </w:r>
      <w:r w:rsidRPr="00382917">
        <w:t>story</w:t>
      </w:r>
      <w:r w:rsidR="00EE4FC3">
        <w:t xml:space="preserve"> </w:t>
      </w:r>
      <w:r w:rsidRPr="00382917">
        <w:t>is</w:t>
      </w:r>
      <w:r w:rsidR="00EE4FC3">
        <w:t xml:space="preserve"> </w:t>
      </w:r>
      <w:r w:rsidRPr="00382917">
        <w:t>told</w:t>
      </w:r>
      <w:r w:rsidR="00EE4FC3">
        <w:t xml:space="preserve"> </w:t>
      </w:r>
      <w:r w:rsidRPr="00382917">
        <w:t>of</w:t>
      </w:r>
      <w:r w:rsidR="00EE4FC3">
        <w:t xml:space="preserve"> </w:t>
      </w:r>
      <w:r w:rsidRPr="00382917">
        <w:t>a</w:t>
      </w:r>
      <w:r w:rsidR="00EE4FC3">
        <w:t xml:space="preserve"> </w:t>
      </w:r>
      <w:r w:rsidRPr="00382917">
        <w:t>Jewish</w:t>
      </w:r>
      <w:r w:rsidR="00EE4FC3">
        <w:t xml:space="preserve"> </w:t>
      </w:r>
      <w:r w:rsidRPr="00382917">
        <w:t>physician,</w:t>
      </w:r>
      <w:r w:rsidR="00EE4FC3">
        <w:t xml:space="preserve"> </w:t>
      </w:r>
      <w:r w:rsidRPr="00382917">
        <w:t>Ḥakím</w:t>
      </w:r>
      <w:r w:rsidR="00EE4FC3">
        <w:t xml:space="preserve"> </w:t>
      </w:r>
      <w:proofErr w:type="spellStart"/>
      <w:r w:rsidRPr="00382917">
        <w:t>Masíḥ</w:t>
      </w:r>
      <w:proofErr w:type="spellEnd"/>
      <w:r w:rsidRPr="00382917">
        <w:t>,</w:t>
      </w:r>
      <w:r w:rsidR="00EE4FC3">
        <w:t xml:space="preserve"> </w:t>
      </w:r>
      <w:r w:rsidRPr="00382917">
        <w:t>who</w:t>
      </w:r>
      <w:r w:rsidR="00EE4FC3">
        <w:t xml:space="preserve"> </w:t>
      </w:r>
      <w:r w:rsidRPr="00382917">
        <w:t>in</w:t>
      </w:r>
      <w:r w:rsidR="00EE4FC3">
        <w:t xml:space="preserve"> </w:t>
      </w:r>
      <w:r w:rsidRPr="00382917">
        <w:t>the</w:t>
      </w:r>
      <w:r w:rsidR="00EE4FC3">
        <w:t xml:space="preserve"> </w:t>
      </w:r>
      <w:r w:rsidRPr="00382917">
        <w:t>company</w:t>
      </w:r>
      <w:r w:rsidR="00EE4FC3">
        <w:t xml:space="preserve"> </w:t>
      </w:r>
      <w:r w:rsidRPr="00382917">
        <w:t>of</w:t>
      </w:r>
      <w:r w:rsidR="00EE4FC3">
        <w:t xml:space="preserve"> </w:t>
      </w:r>
      <w:r w:rsidRPr="00382917">
        <w:t>the</w:t>
      </w:r>
      <w:r w:rsidR="00EE4FC3">
        <w:t xml:space="preserve"> </w:t>
      </w:r>
      <w:r w:rsidRPr="00382917">
        <w:t>king,</w:t>
      </w:r>
      <w:r w:rsidR="00EE4FC3">
        <w:t xml:space="preserve"> </w:t>
      </w:r>
      <w:r w:rsidRPr="00382917">
        <w:t>passed</w:t>
      </w:r>
      <w:r w:rsidR="00EE4FC3">
        <w:t xml:space="preserve"> </w:t>
      </w:r>
      <w:r w:rsidRPr="00382917">
        <w:t>through</w:t>
      </w:r>
      <w:r w:rsidR="00EE4FC3">
        <w:t xml:space="preserve"> </w:t>
      </w:r>
      <w:r w:rsidR="00664069" w:rsidRPr="00382917">
        <w:t>Ba</w:t>
      </w:r>
      <w:r w:rsidR="00664069" w:rsidRPr="00664069">
        <w:rPr>
          <w:u w:val="single"/>
        </w:rPr>
        <w:t>gh</w:t>
      </w:r>
      <w:r w:rsidR="00664069" w:rsidRPr="00382917">
        <w:t>d</w:t>
      </w:r>
      <w:r w:rsidR="00664069" w:rsidRPr="00664069">
        <w:t>á</w:t>
      </w:r>
      <w:r w:rsidR="00664069" w:rsidRPr="00382917">
        <w:t>d</w:t>
      </w:r>
      <w:r w:rsidR="00EE4FC3">
        <w:t xml:space="preserve"> </w:t>
      </w:r>
      <w:r w:rsidRPr="00382917">
        <w:t>on</w:t>
      </w:r>
      <w:r w:rsidR="00EE4FC3">
        <w:t xml:space="preserve"> </w:t>
      </w:r>
      <w:r w:rsidRPr="00382917">
        <w:t>his</w:t>
      </w:r>
      <w:r w:rsidR="00EE4FC3">
        <w:t xml:space="preserve"> </w:t>
      </w:r>
      <w:r w:rsidRPr="00382917">
        <w:t>way</w:t>
      </w:r>
      <w:r w:rsidR="00EE4FC3">
        <w:t xml:space="preserve"> </w:t>
      </w:r>
      <w:r w:rsidRPr="00382917">
        <w:t>to</w:t>
      </w:r>
      <w:r w:rsidR="00EE4FC3">
        <w:t xml:space="preserve"> </w:t>
      </w:r>
      <w:r w:rsidRPr="00382917">
        <w:t>Karbilá</w:t>
      </w:r>
      <w:r w:rsidR="00B71244">
        <w:t>.</w:t>
      </w:r>
      <w:r w:rsidR="00EE4FC3">
        <w:t xml:space="preserve">  </w:t>
      </w:r>
      <w:r w:rsidRPr="00382917">
        <w:t>One</w:t>
      </w:r>
      <w:r w:rsidR="00EE4FC3">
        <w:t xml:space="preserve"> </w:t>
      </w:r>
      <w:r w:rsidRPr="00382917">
        <w:t>day</w:t>
      </w:r>
      <w:r w:rsidR="00EE4FC3">
        <w:t xml:space="preserve"> </w:t>
      </w:r>
      <w:r w:rsidRPr="00382917">
        <w:t>he</w:t>
      </w:r>
      <w:r w:rsidR="00EE4FC3">
        <w:t xml:space="preserve"> </w:t>
      </w:r>
      <w:r w:rsidRPr="00382917">
        <w:t>came</w:t>
      </w:r>
      <w:r w:rsidR="00EE4FC3">
        <w:t xml:space="preserve"> </w:t>
      </w:r>
      <w:r w:rsidRPr="00382917">
        <w:t>upon</w:t>
      </w:r>
      <w:r w:rsidR="00EE4FC3">
        <w:t xml:space="preserve"> </w:t>
      </w:r>
      <w:r w:rsidRPr="00382917">
        <w:t>a</w:t>
      </w:r>
      <w:r w:rsidR="00EE4FC3">
        <w:t xml:space="preserve"> </w:t>
      </w:r>
      <w:r w:rsidRPr="00382917">
        <w:t>large</w:t>
      </w:r>
      <w:r w:rsidR="00EE4FC3">
        <w:t xml:space="preserve"> </w:t>
      </w:r>
      <w:r w:rsidRPr="00382917">
        <w:t>group</w:t>
      </w:r>
      <w:r w:rsidR="00EE4FC3">
        <w:t xml:space="preserve"> </w:t>
      </w:r>
      <w:r w:rsidRPr="00382917">
        <w:t>of</w:t>
      </w:r>
      <w:r w:rsidR="00EE4FC3">
        <w:t xml:space="preserve"> </w:t>
      </w:r>
      <w:r w:rsidRPr="00382917">
        <w:t>people,</w:t>
      </w:r>
      <w:r w:rsidR="00EE4FC3">
        <w:t xml:space="preserve"> </w:t>
      </w:r>
      <w:r w:rsidRPr="00382917">
        <w:t>mostly</w:t>
      </w:r>
      <w:r w:rsidR="00EE4FC3">
        <w:t xml:space="preserve"> </w:t>
      </w:r>
      <w:r w:rsidRPr="00382917">
        <w:t>priests,</w:t>
      </w:r>
      <w:r w:rsidR="00EE4FC3">
        <w:t xml:space="preserve"> </w:t>
      </w:r>
      <w:r w:rsidRPr="00382917">
        <w:t>listening</w:t>
      </w:r>
      <w:r w:rsidR="00EE4FC3">
        <w:t xml:space="preserve"> </w:t>
      </w:r>
      <w:r w:rsidRPr="00382917">
        <w:t>to</w:t>
      </w:r>
      <w:r w:rsidR="00EE4FC3">
        <w:t xml:space="preserve"> </w:t>
      </w:r>
      <w:r w:rsidRPr="00382917">
        <w:t>a</w:t>
      </w:r>
      <w:r w:rsidR="00EE4FC3">
        <w:t xml:space="preserve"> </w:t>
      </w:r>
      <w:r w:rsidRPr="00382917">
        <w:t>lecture</w:t>
      </w:r>
      <w:r w:rsidR="00EE4FC3">
        <w:t xml:space="preserve"> </w:t>
      </w:r>
      <w:r w:rsidRPr="00382917">
        <w:t>by</w:t>
      </w:r>
      <w:r w:rsidR="00EE4FC3">
        <w:t xml:space="preserve"> </w:t>
      </w:r>
      <w:r w:rsidRPr="00382917">
        <w:t>a</w:t>
      </w:r>
      <w:r w:rsidR="00EE4FC3">
        <w:t xml:space="preserve"> </w:t>
      </w:r>
      <w:r w:rsidRPr="00382917">
        <w:t>woman</w:t>
      </w:r>
      <w:r w:rsidR="00EE4FC3">
        <w:t xml:space="preserve"> </w:t>
      </w:r>
      <w:r w:rsidRPr="00382917">
        <w:t>who</w:t>
      </w:r>
      <w:r w:rsidR="00EE4FC3">
        <w:t xml:space="preserve"> </w:t>
      </w:r>
      <w:r w:rsidRPr="00382917">
        <w:t>was</w:t>
      </w:r>
      <w:r w:rsidR="00EE4FC3">
        <w:t xml:space="preserve"> </w:t>
      </w:r>
      <w:r w:rsidRPr="00382917">
        <w:t>sitting</w:t>
      </w:r>
      <w:r w:rsidR="00EE4FC3">
        <w:t xml:space="preserve"> </w:t>
      </w:r>
      <w:r w:rsidRPr="00382917">
        <w:t>veiled</w:t>
      </w:r>
      <w:r w:rsidR="00EE4FC3">
        <w:t xml:space="preserve"> </w:t>
      </w:r>
      <w:r w:rsidRPr="00382917">
        <w:t>from</w:t>
      </w:r>
      <w:r w:rsidR="00EE4FC3">
        <w:t xml:space="preserve"> </w:t>
      </w:r>
      <w:r w:rsidRPr="00382917">
        <w:t>their</w:t>
      </w:r>
      <w:r w:rsidR="00EE4FC3">
        <w:t xml:space="preserve"> </w:t>
      </w:r>
      <w:r w:rsidRPr="00382917">
        <w:t>sight</w:t>
      </w:r>
      <w:r w:rsidR="00EE4FC3">
        <w:t xml:space="preserve"> </w:t>
      </w:r>
      <w:r w:rsidRPr="00382917">
        <w:t>behind</w:t>
      </w:r>
      <w:r w:rsidR="00EE4FC3">
        <w:t xml:space="preserve"> </w:t>
      </w:r>
      <w:r w:rsidRPr="00382917">
        <w:t>a</w:t>
      </w:r>
      <w:r w:rsidR="00EE4FC3">
        <w:t xml:space="preserve"> </w:t>
      </w:r>
      <w:r w:rsidRPr="00382917">
        <w:t>curtain</w:t>
      </w:r>
      <w:r w:rsidR="00B71244">
        <w:t>.</w:t>
      </w:r>
      <w:r w:rsidR="00EE4FC3">
        <w:t xml:space="preserve">  </w:t>
      </w:r>
      <w:r w:rsidRPr="00382917">
        <w:t>He</w:t>
      </w:r>
      <w:r w:rsidR="00EE4FC3">
        <w:t xml:space="preserve"> </w:t>
      </w:r>
      <w:r w:rsidRPr="00382917">
        <w:t>went</w:t>
      </w:r>
      <w:r w:rsidR="00EE4FC3">
        <w:t xml:space="preserve"> </w:t>
      </w:r>
      <w:r w:rsidRPr="00382917">
        <w:t>in</w:t>
      </w:r>
      <w:r w:rsidR="00EE4FC3">
        <w:t xml:space="preserve"> </w:t>
      </w:r>
      <w:r w:rsidRPr="00382917">
        <w:t>to</w:t>
      </w:r>
      <w:r w:rsidR="00EE4FC3">
        <w:t xml:space="preserve"> </w:t>
      </w:r>
      <w:r w:rsidRPr="00382917">
        <w:t>listen</w:t>
      </w:r>
      <w:r w:rsidR="00B71244">
        <w:t>.</w:t>
      </w:r>
      <w:r w:rsidR="00EE4FC3">
        <w:t xml:space="preserve">  </w:t>
      </w:r>
      <w:r w:rsidRPr="00382917">
        <w:t>As</w:t>
      </w:r>
      <w:r w:rsidR="00EE4FC3">
        <w:t xml:space="preserve"> </w:t>
      </w:r>
      <w:r w:rsidRPr="00382917">
        <w:t>soon</w:t>
      </w:r>
      <w:r w:rsidR="00EE4FC3">
        <w:t xml:space="preserve"> </w:t>
      </w:r>
      <w:r w:rsidRPr="00382917">
        <w:t>as</w:t>
      </w:r>
      <w:r w:rsidR="00EE4FC3">
        <w:t xml:space="preserve"> </w:t>
      </w:r>
      <w:r w:rsidRPr="00382917">
        <w:t>she</w:t>
      </w:r>
      <w:r w:rsidR="00EE4FC3">
        <w:t xml:space="preserve"> </w:t>
      </w:r>
      <w:r w:rsidRPr="00382917">
        <w:t>finished,</w:t>
      </w:r>
      <w:r w:rsidR="00EE4FC3">
        <w:t xml:space="preserve"> </w:t>
      </w:r>
      <w:r w:rsidRPr="00382917">
        <w:t>they</w:t>
      </w:r>
      <w:r w:rsidR="00EE4FC3">
        <w:t xml:space="preserve"> </w:t>
      </w:r>
      <w:r w:rsidRPr="00382917">
        <w:t>began</w:t>
      </w:r>
      <w:r w:rsidR="00EE4FC3">
        <w:t xml:space="preserve"> </w:t>
      </w:r>
      <w:r w:rsidRPr="00382917">
        <w:t>arguing</w:t>
      </w:r>
      <w:r w:rsidR="00EE4FC3">
        <w:t xml:space="preserve"> </w:t>
      </w:r>
      <w:r w:rsidRPr="00382917">
        <w:t>with</w:t>
      </w:r>
      <w:r w:rsidR="00EE4FC3">
        <w:t xml:space="preserve"> </w:t>
      </w:r>
      <w:r w:rsidRPr="00382917">
        <w:t>her</w:t>
      </w:r>
      <w:r w:rsidR="00B71244">
        <w:t>.</w:t>
      </w:r>
      <w:r w:rsidR="00EE4FC3">
        <w:t xml:space="preserve">  </w:t>
      </w:r>
      <w:r w:rsidRPr="00382917">
        <w:t>Her</w:t>
      </w:r>
      <w:r w:rsidR="00EE4FC3">
        <w:t xml:space="preserve"> </w:t>
      </w:r>
      <w:r w:rsidRPr="00382917">
        <w:t>speech</w:t>
      </w:r>
      <w:r w:rsidR="00EE4FC3">
        <w:t xml:space="preserve"> </w:t>
      </w:r>
      <w:r w:rsidRPr="00382917">
        <w:t>was</w:t>
      </w:r>
      <w:r w:rsidR="00EE4FC3">
        <w:t xml:space="preserve"> </w:t>
      </w:r>
      <w:r w:rsidRPr="00382917">
        <w:t>so</w:t>
      </w:r>
      <w:r w:rsidR="00EE4FC3">
        <w:t xml:space="preserve"> </w:t>
      </w:r>
      <w:r w:rsidRPr="00382917">
        <w:t>logical</w:t>
      </w:r>
      <w:r w:rsidR="00EE4FC3">
        <w:t xml:space="preserve"> </w:t>
      </w:r>
      <w:r w:rsidRPr="00382917">
        <w:t>and</w:t>
      </w:r>
      <w:r w:rsidR="00EE4FC3">
        <w:t xml:space="preserve"> </w:t>
      </w:r>
      <w:r w:rsidRPr="00382917">
        <w:t>convincing</w:t>
      </w:r>
      <w:r w:rsidR="00EE4FC3">
        <w:t xml:space="preserve"> </w:t>
      </w:r>
      <w:r w:rsidRPr="00382917">
        <w:t>that</w:t>
      </w:r>
      <w:r w:rsidR="00EE4FC3">
        <w:t xml:space="preserve"> </w:t>
      </w:r>
      <w:r w:rsidRPr="00382917">
        <w:t>the</w:t>
      </w:r>
      <w:r w:rsidR="00EE4FC3">
        <w:t xml:space="preserve"> </w:t>
      </w:r>
      <w:r w:rsidRPr="00382917">
        <w:t>doctor</w:t>
      </w:r>
      <w:r w:rsidR="00EE4FC3">
        <w:t xml:space="preserve"> </w:t>
      </w:r>
      <w:r w:rsidRPr="00382917">
        <w:t>was</w:t>
      </w:r>
      <w:r w:rsidR="00EE4FC3">
        <w:t xml:space="preserve"> </w:t>
      </w:r>
      <w:r w:rsidRPr="00382917">
        <w:t>very</w:t>
      </w:r>
      <w:r w:rsidR="00EE4FC3">
        <w:t xml:space="preserve"> </w:t>
      </w:r>
      <w:r w:rsidRPr="00382917">
        <w:t>much</w:t>
      </w:r>
      <w:r w:rsidR="00EE4FC3">
        <w:t xml:space="preserve"> </w:t>
      </w:r>
      <w:r w:rsidRPr="00382917">
        <w:t>attracted</w:t>
      </w:r>
      <w:r w:rsidR="00B71244">
        <w:t>.</w:t>
      </w:r>
      <w:r w:rsidR="00EE4FC3">
        <w:t xml:space="preserve">  </w:t>
      </w:r>
      <w:r w:rsidRPr="00382917">
        <w:t>The</w:t>
      </w:r>
      <w:r w:rsidR="00EE4FC3">
        <w:t xml:space="preserve"> </w:t>
      </w:r>
      <w:r w:rsidRPr="00382917">
        <w:t>priests</w:t>
      </w:r>
      <w:r w:rsidR="00EE4FC3">
        <w:t xml:space="preserve"> </w:t>
      </w:r>
      <w:r w:rsidRPr="00382917">
        <w:t>were</w:t>
      </w:r>
      <w:r w:rsidR="00EE4FC3">
        <w:t xml:space="preserve"> </w:t>
      </w:r>
      <w:r w:rsidRPr="00382917">
        <w:t>unable</w:t>
      </w:r>
      <w:r w:rsidR="00EE4FC3">
        <w:t xml:space="preserve"> </w:t>
      </w:r>
      <w:r w:rsidRPr="00382917">
        <w:t>to</w:t>
      </w:r>
      <w:r w:rsidR="00EE4FC3">
        <w:t xml:space="preserve"> </w:t>
      </w:r>
      <w:r w:rsidRPr="00382917">
        <w:t>answer</w:t>
      </w:r>
      <w:r w:rsidR="00EE4FC3">
        <w:t xml:space="preserve"> </w:t>
      </w:r>
      <w:r w:rsidRPr="00382917">
        <w:t>her</w:t>
      </w:r>
      <w:r w:rsidR="00EE4FC3">
        <w:t xml:space="preserve"> </w:t>
      </w:r>
      <w:r w:rsidRPr="00382917">
        <w:t>proofs</w:t>
      </w:r>
      <w:r w:rsidR="00B71244">
        <w:t>.</w:t>
      </w:r>
      <w:r w:rsidR="00EE4FC3">
        <w:t xml:space="preserve">  </w:t>
      </w:r>
      <w:r w:rsidRPr="00382917">
        <w:t>He</w:t>
      </w:r>
      <w:r w:rsidR="00EE4FC3">
        <w:t xml:space="preserve"> </w:t>
      </w:r>
      <w:r w:rsidRPr="00382917">
        <w:t>was</w:t>
      </w:r>
      <w:r w:rsidR="00EE4FC3">
        <w:t xml:space="preserve"> </w:t>
      </w:r>
      <w:r w:rsidRPr="00382917">
        <w:t>very</w:t>
      </w:r>
      <w:r w:rsidR="00EE4FC3">
        <w:t xml:space="preserve"> </w:t>
      </w:r>
      <w:r w:rsidRPr="00382917">
        <w:t>astonished</w:t>
      </w:r>
      <w:r w:rsidR="00EE4FC3">
        <w:t xml:space="preserve"> </w:t>
      </w:r>
      <w:r w:rsidRPr="00382917">
        <w:t>and</w:t>
      </w:r>
      <w:r w:rsidR="00EE4FC3">
        <w:t xml:space="preserve"> </w:t>
      </w:r>
      <w:r w:rsidRPr="00382917">
        <w:t>soon</w:t>
      </w:r>
      <w:r w:rsidR="00EE4FC3">
        <w:t xml:space="preserve"> </w:t>
      </w:r>
      <w:r w:rsidRPr="00382917">
        <w:t>he</w:t>
      </w:r>
      <w:r w:rsidR="00EE4FC3">
        <w:t xml:space="preserve"> </w:t>
      </w:r>
      <w:r w:rsidRPr="00382917">
        <w:t>became</w:t>
      </w:r>
      <w:r w:rsidR="00EE4FC3">
        <w:t xml:space="preserve"> </w:t>
      </w:r>
      <w:r w:rsidRPr="00382917">
        <w:t>convinced</w:t>
      </w:r>
      <w:r w:rsidR="00EE4FC3">
        <w:t xml:space="preserve"> </w:t>
      </w:r>
      <w:r w:rsidRPr="00382917">
        <w:t>that</w:t>
      </w:r>
      <w:r w:rsidR="00EE4FC3">
        <w:t xml:space="preserve"> </w:t>
      </w:r>
      <w:r w:rsidRPr="00382917">
        <w:t>this</w:t>
      </w:r>
      <w:r w:rsidR="00EE4FC3">
        <w:t xml:space="preserve"> </w:t>
      </w:r>
      <w:r w:rsidRPr="00382917">
        <w:t>woman</w:t>
      </w:r>
      <w:r w:rsidR="00EE4FC3">
        <w:t xml:space="preserve"> </w:t>
      </w:r>
      <w:r w:rsidRPr="00382917">
        <w:t>was</w:t>
      </w:r>
      <w:r w:rsidR="00EE4FC3">
        <w:t xml:space="preserve"> </w:t>
      </w:r>
      <w:r w:rsidRPr="00382917">
        <w:t>right</w:t>
      </w:r>
      <w:r w:rsidR="00B71244">
        <w:t>.</w:t>
      </w:r>
      <w:r w:rsidR="00EE4FC3">
        <w:t xml:space="preserve">  </w:t>
      </w:r>
      <w:r w:rsidRPr="00382917">
        <w:t>He</w:t>
      </w:r>
      <w:r w:rsidR="00EE4FC3">
        <w:t xml:space="preserve"> </w:t>
      </w:r>
      <w:r w:rsidRPr="00382917">
        <w:t>thought</w:t>
      </w:r>
      <w:r w:rsidR="00EE4FC3">
        <w:t xml:space="preserve"> </w:t>
      </w:r>
      <w:r w:rsidRPr="00382917">
        <w:t>that</w:t>
      </w:r>
      <w:r w:rsidR="00EE4FC3">
        <w:t xml:space="preserve"> </w:t>
      </w:r>
      <w:r w:rsidRPr="00382917">
        <w:t>this</w:t>
      </w:r>
      <w:r w:rsidR="00EE4FC3">
        <w:t xml:space="preserve"> </w:t>
      </w:r>
      <w:r w:rsidRPr="00382917">
        <w:t>magic</w:t>
      </w:r>
      <w:r w:rsidR="00EE4FC3">
        <w:t xml:space="preserve"> </w:t>
      </w:r>
      <w:r w:rsidRPr="00382917">
        <w:t>speaker</w:t>
      </w:r>
      <w:r w:rsidR="00EE4FC3">
        <w:t xml:space="preserve"> </w:t>
      </w:r>
      <w:r w:rsidRPr="00382917">
        <w:t>must</w:t>
      </w:r>
      <w:r w:rsidR="00EE4FC3">
        <w:t xml:space="preserve"> </w:t>
      </w:r>
      <w:r w:rsidRPr="00382917">
        <w:t>be</w:t>
      </w:r>
      <w:r w:rsidR="00EE4FC3">
        <w:t xml:space="preserve"> </w:t>
      </w:r>
      <w:r w:rsidRPr="00382917">
        <w:t>the</w:t>
      </w:r>
      <w:r w:rsidR="00EE4FC3">
        <w:t xml:space="preserve"> </w:t>
      </w:r>
      <w:r w:rsidRPr="00382917">
        <w:t>Promised</w:t>
      </w:r>
      <w:r w:rsidR="00EE4FC3">
        <w:t xml:space="preserve"> </w:t>
      </w:r>
      <w:r w:rsidRPr="00382917">
        <w:t>One</w:t>
      </w:r>
      <w:r w:rsidR="00EE4FC3">
        <w:t xml:space="preserve"> </w:t>
      </w:r>
      <w:r w:rsidRPr="00382917">
        <w:t>of</w:t>
      </w:r>
      <w:r w:rsidR="00EE4FC3">
        <w:t xml:space="preserve"> </w:t>
      </w:r>
      <w:r w:rsidRPr="00382917">
        <w:t>Whom</w:t>
      </w:r>
      <w:r w:rsidR="00EE4FC3">
        <w:t xml:space="preserve"> </w:t>
      </w:r>
      <w:r w:rsidRPr="00382917">
        <w:t>everyone</w:t>
      </w:r>
      <w:r w:rsidR="00EE4FC3">
        <w:t xml:space="preserve"> </w:t>
      </w:r>
      <w:r w:rsidRPr="00382917">
        <w:t>was</w:t>
      </w:r>
      <w:r w:rsidR="00EE4FC3">
        <w:t xml:space="preserve"> </w:t>
      </w:r>
      <w:r w:rsidRPr="00382917">
        <w:t>speaking</w:t>
      </w:r>
      <w:r w:rsidR="00B71244">
        <w:t>.</w:t>
      </w:r>
      <w:r w:rsidR="00EE4FC3">
        <w:t xml:space="preserve">  </w:t>
      </w:r>
      <w:r w:rsidRPr="00382917">
        <w:t>He</w:t>
      </w:r>
      <w:r w:rsidR="00EE4FC3">
        <w:t xml:space="preserve"> </w:t>
      </w:r>
      <w:r w:rsidRPr="00382917">
        <w:t>attended</w:t>
      </w:r>
      <w:r w:rsidR="00EE4FC3">
        <w:t xml:space="preserve"> </w:t>
      </w:r>
      <w:r w:rsidRPr="00382917">
        <w:t>her</w:t>
      </w:r>
      <w:r w:rsidR="00EE4FC3">
        <w:t xml:space="preserve"> </w:t>
      </w:r>
      <w:r w:rsidRPr="00382917">
        <w:t>lectures</w:t>
      </w:r>
      <w:r w:rsidR="00EE4FC3">
        <w:t xml:space="preserve"> </w:t>
      </w:r>
      <w:r w:rsidRPr="00382917">
        <w:t>and</w:t>
      </w:r>
      <w:r w:rsidR="00EE4FC3">
        <w:t xml:space="preserve"> </w:t>
      </w:r>
      <w:r w:rsidRPr="00382917">
        <w:t>learned</w:t>
      </w:r>
      <w:r w:rsidR="00EE4FC3">
        <w:t xml:space="preserve"> </w:t>
      </w:r>
      <w:r w:rsidRPr="00382917">
        <w:t>of</w:t>
      </w:r>
      <w:r w:rsidR="00EE4FC3">
        <w:t xml:space="preserve"> </w:t>
      </w:r>
      <w:r w:rsidRPr="00382917">
        <w:t>the</w:t>
      </w:r>
      <w:r w:rsidR="00EE4FC3">
        <w:t xml:space="preserve"> </w:t>
      </w:r>
      <w:r w:rsidRPr="00382917">
        <w:t>Message</w:t>
      </w:r>
      <w:r w:rsidR="00EE4FC3">
        <w:t xml:space="preserve"> </w:t>
      </w:r>
      <w:r w:rsidRPr="00382917">
        <w:t>of</w:t>
      </w:r>
      <w:r w:rsidR="00EE4FC3">
        <w:t xml:space="preserve"> </w:t>
      </w:r>
      <w:r w:rsidRPr="00382917">
        <w:t>the</w:t>
      </w:r>
      <w:r w:rsidR="00EE4FC3">
        <w:t xml:space="preserve"> </w:t>
      </w:r>
      <w:r w:rsidRPr="00382917">
        <w:t>Báb,</w:t>
      </w:r>
      <w:r w:rsidR="00EE4FC3">
        <w:t xml:space="preserve"> </w:t>
      </w:r>
      <w:r w:rsidRPr="00382917">
        <w:t>and</w:t>
      </w:r>
      <w:r w:rsidR="00EE4FC3">
        <w:t xml:space="preserve"> </w:t>
      </w:r>
      <w:r w:rsidRPr="00382917">
        <w:t>believed</w:t>
      </w:r>
      <w:r w:rsidR="00EE4FC3">
        <w:t xml:space="preserve"> </w:t>
      </w:r>
      <w:r w:rsidRPr="00382917">
        <w:t>in</w:t>
      </w:r>
      <w:r w:rsidR="00EE4FC3">
        <w:t xml:space="preserve"> </w:t>
      </w:r>
      <w:r w:rsidRPr="00382917">
        <w:t>Him</w:t>
      </w:r>
      <w:r w:rsidR="00B71244">
        <w:t>.</w:t>
      </w:r>
      <w:r w:rsidR="00EE4FC3">
        <w:t xml:space="preserve">  </w:t>
      </w:r>
      <w:r w:rsidRPr="00382917">
        <w:t>Thus,</w:t>
      </w:r>
      <w:r w:rsidR="00EE4FC3">
        <w:t xml:space="preserve"> </w:t>
      </w:r>
      <w:r w:rsidRPr="00382917">
        <w:t>a</w:t>
      </w:r>
      <w:r w:rsidR="00EE4FC3">
        <w:t xml:space="preserve"> </w:t>
      </w:r>
      <w:r w:rsidRPr="00382917">
        <w:t>Jew</w:t>
      </w:r>
      <w:r w:rsidR="00EE4FC3">
        <w:t xml:space="preserve"> </w:t>
      </w:r>
      <w:r w:rsidRPr="00382917">
        <w:t>who</w:t>
      </w:r>
      <w:r w:rsidR="00EE4FC3">
        <w:t xml:space="preserve"> </w:t>
      </w:r>
      <w:r w:rsidRPr="00382917">
        <w:t>had</w:t>
      </w:r>
      <w:r w:rsidR="00EE4FC3">
        <w:t xml:space="preserve"> </w:t>
      </w:r>
      <w:r w:rsidRPr="00382917">
        <w:t>passed</w:t>
      </w:r>
      <w:r w:rsidR="00EE4FC3">
        <w:t xml:space="preserve"> </w:t>
      </w:r>
      <w:r w:rsidRPr="00382917">
        <w:t>by</w:t>
      </w:r>
      <w:r w:rsidR="00EE4FC3">
        <w:t xml:space="preserve"> </w:t>
      </w:r>
      <w:r w:rsidRPr="00382917">
        <w:t>the</w:t>
      </w:r>
      <w:r w:rsidR="00EE4FC3">
        <w:t xml:space="preserve"> </w:t>
      </w:r>
      <w:r w:rsidRPr="00382917">
        <w:t>wonderful</w:t>
      </w:r>
      <w:r w:rsidR="00EE4FC3">
        <w:t xml:space="preserve"> </w:t>
      </w:r>
      <w:r w:rsidRPr="00382917">
        <w:t>message</w:t>
      </w:r>
      <w:r w:rsidR="00EE4FC3">
        <w:t xml:space="preserve"> </w:t>
      </w:r>
      <w:r w:rsidRPr="00382917">
        <w:t>of</w:t>
      </w:r>
      <w:r w:rsidR="00EE4FC3">
        <w:t xml:space="preserve"> </w:t>
      </w:r>
      <w:r w:rsidRPr="00382917">
        <w:t>both</w:t>
      </w:r>
      <w:r w:rsidR="00EE4FC3">
        <w:t xml:space="preserve"> </w:t>
      </w:r>
      <w:r w:rsidRPr="00382917">
        <w:t>Christ</w:t>
      </w:r>
      <w:r w:rsidR="00EE4FC3">
        <w:t xml:space="preserve"> </w:t>
      </w:r>
      <w:r w:rsidRPr="00382917">
        <w:t>and</w:t>
      </w:r>
      <w:r w:rsidR="00EE4FC3">
        <w:t xml:space="preserve"> </w:t>
      </w:r>
      <w:r w:rsidRPr="00382917">
        <w:t>Mu</w:t>
      </w:r>
      <w:r w:rsidRPr="00382917">
        <w:rPr>
          <w:sz w:val="22"/>
        </w:rPr>
        <w:t>ḥ</w:t>
      </w:r>
      <w:r w:rsidRPr="00382917">
        <w:t>ammad</w:t>
      </w:r>
      <w:r w:rsidR="00EE4FC3">
        <w:t xml:space="preserve"> </w:t>
      </w:r>
      <w:r w:rsidRPr="00382917">
        <w:t>was</w:t>
      </w:r>
      <w:r w:rsidR="00EE4FC3">
        <w:t xml:space="preserve"> </w:t>
      </w:r>
      <w:r w:rsidRPr="00382917">
        <w:t>won</w:t>
      </w:r>
      <w:r w:rsidR="00EE4FC3">
        <w:t xml:space="preserve"> </w:t>
      </w:r>
      <w:r w:rsidRPr="00382917">
        <w:t>over</w:t>
      </w:r>
      <w:r w:rsidR="00EE4FC3">
        <w:t xml:space="preserve"> </w:t>
      </w:r>
      <w:r w:rsidRPr="00382917">
        <w:t>to</w:t>
      </w:r>
      <w:r w:rsidR="00EE4FC3">
        <w:t xml:space="preserve"> </w:t>
      </w:r>
      <w:r w:rsidRPr="00382917">
        <w:t>the</w:t>
      </w:r>
      <w:r w:rsidR="00EE4FC3">
        <w:t xml:space="preserve"> </w:t>
      </w:r>
      <w:r w:rsidRPr="00382917">
        <w:t>Faith</w:t>
      </w:r>
      <w:r w:rsidR="00EE4FC3">
        <w:t xml:space="preserve"> </w:t>
      </w:r>
      <w:r w:rsidRPr="00382917">
        <w:t>of</w:t>
      </w:r>
      <w:r w:rsidR="00EE4FC3">
        <w:t xml:space="preserve"> </w:t>
      </w:r>
      <w:r w:rsidRPr="00382917">
        <w:t>the</w:t>
      </w:r>
      <w:r w:rsidR="00EE4FC3">
        <w:t xml:space="preserve"> </w:t>
      </w:r>
      <w:r w:rsidRPr="00382917">
        <w:t>Báb</w:t>
      </w:r>
      <w:r w:rsidR="00EE4FC3">
        <w:t xml:space="preserve"> </w:t>
      </w:r>
      <w:r w:rsidRPr="00382917">
        <w:t>by</w:t>
      </w:r>
      <w:r w:rsidR="00EE4FC3">
        <w:t xml:space="preserve"> </w:t>
      </w:r>
      <w:r w:rsidRPr="00382917">
        <w:t>the</w:t>
      </w:r>
      <w:r w:rsidR="00EE4FC3">
        <w:t xml:space="preserve"> </w:t>
      </w:r>
      <w:r w:rsidRPr="00382917">
        <w:t>eloquence</w:t>
      </w:r>
      <w:r w:rsidR="00EE4FC3">
        <w:t xml:space="preserve"> </w:t>
      </w:r>
      <w:r w:rsidRPr="00382917">
        <w:t>and</w:t>
      </w:r>
      <w:r w:rsidR="00EE4FC3">
        <w:t xml:space="preserve"> </w:t>
      </w:r>
      <w:r w:rsidRPr="00382917">
        <w:t>logic</w:t>
      </w:r>
      <w:r w:rsidR="00EE4FC3">
        <w:t xml:space="preserve"> </w:t>
      </w:r>
      <w:r w:rsidRPr="00382917">
        <w:t>of</w:t>
      </w:r>
      <w:r w:rsidR="00EE4FC3">
        <w:t xml:space="preserve"> </w:t>
      </w:r>
      <w:r w:rsidRPr="00382917">
        <w:t>Ṭáhirih</w:t>
      </w:r>
      <w:r w:rsidR="00B71244">
        <w:t>.</w:t>
      </w:r>
      <w:r w:rsidR="00EE4FC3">
        <w:t xml:space="preserve">  </w:t>
      </w:r>
      <w:r w:rsidRPr="00382917">
        <w:t>Now</w:t>
      </w:r>
      <w:r w:rsidR="00EE4FC3">
        <w:t xml:space="preserve"> </w:t>
      </w:r>
      <w:r w:rsidRPr="00382917">
        <w:t>he</w:t>
      </w:r>
      <w:r w:rsidR="00EE4FC3">
        <w:t xml:space="preserve"> </w:t>
      </w:r>
      <w:r w:rsidRPr="00382917">
        <w:t>believed</w:t>
      </w:r>
      <w:r w:rsidR="00EE4FC3">
        <w:t xml:space="preserve"> </w:t>
      </w:r>
      <w:r w:rsidRPr="00382917">
        <w:t>in</w:t>
      </w:r>
      <w:r w:rsidR="00EE4FC3">
        <w:t xml:space="preserve"> </w:t>
      </w:r>
      <w:r w:rsidRPr="00382917">
        <w:t>both</w:t>
      </w:r>
      <w:r w:rsidR="00EE4FC3">
        <w:t xml:space="preserve"> </w:t>
      </w:r>
      <w:r w:rsidRPr="00382917">
        <w:t>Christ</w:t>
      </w:r>
      <w:r w:rsidR="00EE4FC3">
        <w:t xml:space="preserve"> </w:t>
      </w:r>
      <w:r w:rsidRPr="00382917">
        <w:t>and</w:t>
      </w:r>
      <w:r w:rsidR="00EE4FC3">
        <w:t xml:space="preserve"> </w:t>
      </w:r>
      <w:r w:rsidRPr="00382917">
        <w:t>Muḥammad,</w:t>
      </w:r>
      <w:r w:rsidR="00EE4FC3">
        <w:t xml:space="preserve"> </w:t>
      </w:r>
      <w:r w:rsidRPr="00382917">
        <w:t>and</w:t>
      </w:r>
      <w:r w:rsidR="00EE4FC3">
        <w:t xml:space="preserve"> </w:t>
      </w:r>
      <w:r w:rsidRPr="00382917">
        <w:t>all</w:t>
      </w:r>
      <w:r w:rsidR="00EE4FC3">
        <w:t xml:space="preserve"> </w:t>
      </w:r>
      <w:r w:rsidRPr="00382917">
        <w:t>the</w:t>
      </w:r>
      <w:r w:rsidR="00EE4FC3">
        <w:t xml:space="preserve"> </w:t>
      </w:r>
      <w:r w:rsidRPr="00382917">
        <w:t>messengers</w:t>
      </w:r>
      <w:r w:rsidR="00EE4FC3">
        <w:t xml:space="preserve"> </w:t>
      </w:r>
      <w:r w:rsidRPr="00382917">
        <w:t>of</w:t>
      </w:r>
      <w:r w:rsidR="00EE4FC3">
        <w:t xml:space="preserve"> </w:t>
      </w:r>
      <w:r w:rsidRPr="00382917">
        <w:t>God.</w:t>
      </w:r>
      <w:r w:rsidR="002833CA">
        <w:rPr>
          <w:rStyle w:val="FootnoteReference"/>
        </w:rPr>
        <w:footnoteReference w:id="138"/>
      </w:r>
    </w:p>
    <w:p w:rsidR="005B5622" w:rsidRPr="00382917" w:rsidRDefault="005B5622" w:rsidP="006340BC">
      <w:pPr>
        <w:pStyle w:val="Text"/>
      </w:pPr>
      <w:r w:rsidRPr="00382917">
        <w:t>One</w:t>
      </w:r>
      <w:r w:rsidR="00EE4FC3">
        <w:t xml:space="preserve"> </w:t>
      </w:r>
      <w:r w:rsidRPr="00382917">
        <w:t>day</w:t>
      </w:r>
      <w:r w:rsidR="00EE4FC3">
        <w:t xml:space="preserve"> </w:t>
      </w:r>
      <w:r w:rsidRPr="00382917">
        <w:t>a</w:t>
      </w:r>
      <w:r w:rsidR="00EE4FC3">
        <w:t xml:space="preserve"> </w:t>
      </w:r>
      <w:r w:rsidRPr="00382917">
        <w:t>delegation</w:t>
      </w:r>
      <w:r w:rsidR="00EE4FC3">
        <w:t xml:space="preserve"> </w:t>
      </w:r>
      <w:r w:rsidRPr="00382917">
        <w:t>of</w:t>
      </w:r>
      <w:r w:rsidR="00EE4FC3">
        <w:t xml:space="preserve"> </w:t>
      </w:r>
      <w:r w:rsidRPr="00382917">
        <w:t>the</w:t>
      </w:r>
      <w:r w:rsidR="00EE4FC3">
        <w:t xml:space="preserve"> </w:t>
      </w:r>
      <w:r w:rsidRPr="00382917">
        <w:t>ablest</w:t>
      </w:r>
      <w:r w:rsidR="00EE4FC3">
        <w:t xml:space="preserve"> </w:t>
      </w:r>
      <w:r w:rsidRPr="00382917">
        <w:t>religious</w:t>
      </w:r>
      <w:r w:rsidR="00EE4FC3">
        <w:t xml:space="preserve"> </w:t>
      </w:r>
      <w:r w:rsidRPr="00382917">
        <w:t>leaders</w:t>
      </w:r>
      <w:r w:rsidR="00EE4FC3">
        <w:t xml:space="preserve"> </w:t>
      </w:r>
      <w:r w:rsidRPr="00382917">
        <w:t>of</w:t>
      </w:r>
      <w:r w:rsidR="00EE4FC3">
        <w:t xml:space="preserve"> </w:t>
      </w:r>
      <w:r w:rsidR="00664069" w:rsidRPr="00382917">
        <w:t>Ba</w:t>
      </w:r>
      <w:r w:rsidR="00664069" w:rsidRPr="00664069">
        <w:rPr>
          <w:u w:val="single"/>
        </w:rPr>
        <w:t>gh</w:t>
      </w:r>
      <w:r w:rsidR="00664069" w:rsidRPr="00382917">
        <w:t>d</w:t>
      </w:r>
      <w:r w:rsidR="00664069" w:rsidRPr="00664069">
        <w:t>á</w:t>
      </w:r>
      <w:r w:rsidR="00664069" w:rsidRPr="00382917">
        <w:t>d</w:t>
      </w:r>
      <w:r w:rsidR="00EE4FC3">
        <w:t xml:space="preserve"> </w:t>
      </w:r>
      <w:r w:rsidRPr="00382917">
        <w:t>came</w:t>
      </w:r>
      <w:r w:rsidR="00EE4FC3">
        <w:t xml:space="preserve"> </w:t>
      </w:r>
      <w:r w:rsidRPr="00382917">
        <w:t>to</w:t>
      </w:r>
      <w:r w:rsidR="00EE4FC3">
        <w:t xml:space="preserve"> </w:t>
      </w:r>
      <w:r w:rsidRPr="00382917">
        <w:t>see</w:t>
      </w:r>
      <w:r w:rsidR="00EE4FC3">
        <w:t xml:space="preserve"> </w:t>
      </w:r>
      <w:r w:rsidRPr="00382917">
        <w:t>Ṭáhirih</w:t>
      </w:r>
      <w:r w:rsidR="00B71244">
        <w:t>.</w:t>
      </w:r>
      <w:r w:rsidR="00EE4FC3">
        <w:t xml:space="preserve">  </w:t>
      </w:r>
      <w:r w:rsidRPr="00382917">
        <w:t>Her</w:t>
      </w:r>
      <w:r w:rsidR="00EE4FC3">
        <w:t xml:space="preserve"> </w:t>
      </w:r>
      <w:r w:rsidRPr="00382917">
        <w:t>popularity</w:t>
      </w:r>
      <w:r w:rsidR="00EE4FC3">
        <w:t xml:space="preserve"> </w:t>
      </w:r>
      <w:r w:rsidRPr="00382917">
        <w:t>had</w:t>
      </w:r>
      <w:r w:rsidR="00EE4FC3">
        <w:t xml:space="preserve"> </w:t>
      </w:r>
      <w:r w:rsidRPr="00382917">
        <w:t>grown</w:t>
      </w:r>
      <w:r w:rsidR="00EE4FC3">
        <w:t xml:space="preserve"> </w:t>
      </w:r>
      <w:r w:rsidRPr="00382917">
        <w:t>so</w:t>
      </w:r>
      <w:r w:rsidR="00EE4FC3">
        <w:t xml:space="preserve"> </w:t>
      </w:r>
      <w:r w:rsidRPr="00382917">
        <w:t>astonishingly</w:t>
      </w:r>
      <w:r w:rsidR="00EE4FC3">
        <w:t xml:space="preserve"> </w:t>
      </w:r>
      <w:r w:rsidRPr="00382917">
        <w:t>that</w:t>
      </w:r>
      <w:r w:rsidR="00EE4FC3">
        <w:t xml:space="preserve"> </w:t>
      </w:r>
      <w:r w:rsidRPr="00382917">
        <w:t>they</w:t>
      </w:r>
      <w:r w:rsidR="00EE4FC3">
        <w:t xml:space="preserve"> </w:t>
      </w:r>
      <w:r w:rsidRPr="00382917">
        <w:t>became</w:t>
      </w:r>
      <w:r w:rsidR="00EE4FC3">
        <w:t xml:space="preserve"> </w:t>
      </w:r>
      <w:r w:rsidRPr="00382917">
        <w:t>alarmed</w:t>
      </w:r>
      <w:r w:rsidR="00EE4FC3">
        <w:t xml:space="preserve"> </w:t>
      </w:r>
      <w:r w:rsidRPr="00382917">
        <w:t>at</w:t>
      </w:r>
      <w:r w:rsidR="00EE4FC3">
        <w:t xml:space="preserve"> </w:t>
      </w:r>
      <w:r w:rsidRPr="00382917">
        <w:t>the</w:t>
      </w:r>
      <w:r w:rsidR="00EE4FC3">
        <w:t xml:space="preserve"> </w:t>
      </w:r>
      <w:r w:rsidRPr="00382917">
        <w:t>effect</w:t>
      </w:r>
      <w:r w:rsidR="00EE4FC3">
        <w:t xml:space="preserve"> </w:t>
      </w:r>
      <w:r w:rsidRPr="00382917">
        <w:t>she</w:t>
      </w:r>
      <w:r w:rsidR="00EE4FC3">
        <w:t xml:space="preserve"> </w:t>
      </w:r>
      <w:r w:rsidRPr="00382917">
        <w:t>might</w:t>
      </w:r>
      <w:r w:rsidR="00EE4FC3">
        <w:t xml:space="preserve"> </w:t>
      </w:r>
      <w:r w:rsidRPr="00382917">
        <w:t>have</w:t>
      </w:r>
      <w:r w:rsidR="00EE4FC3">
        <w:t xml:space="preserve"> </w:t>
      </w:r>
      <w:r w:rsidRPr="00382917">
        <w:t>upon</w:t>
      </w:r>
      <w:r w:rsidR="00EE4FC3">
        <w:t xml:space="preserve"> </w:t>
      </w:r>
      <w:r w:rsidRPr="00382917">
        <w:t>their</w:t>
      </w:r>
      <w:r w:rsidR="00EE4FC3">
        <w:t xml:space="preserve"> </w:t>
      </w:r>
      <w:r w:rsidRPr="00382917">
        <w:t>people</w:t>
      </w:r>
      <w:r w:rsidR="00EE4FC3">
        <w:t xml:space="preserve"> </w:t>
      </w:r>
      <w:r w:rsidRPr="00382917">
        <w:t>and</w:t>
      </w:r>
      <w:r w:rsidR="00EE4FC3">
        <w:t xml:space="preserve"> </w:t>
      </w:r>
      <w:r w:rsidRPr="00382917">
        <w:t>united</w:t>
      </w:r>
      <w:r w:rsidR="00EE4FC3">
        <w:t xml:space="preserve"> </w:t>
      </w:r>
      <w:r w:rsidRPr="00382917">
        <w:t>against</w:t>
      </w:r>
      <w:r w:rsidR="00EE4FC3">
        <w:t xml:space="preserve"> </w:t>
      </w:r>
      <w:r w:rsidRPr="00382917">
        <w:t>her</w:t>
      </w:r>
      <w:r w:rsidR="00B71244">
        <w:t>.</w:t>
      </w:r>
      <w:r w:rsidR="00EE4FC3">
        <w:t xml:space="preserve">  </w:t>
      </w:r>
      <w:r w:rsidRPr="00382917">
        <w:t>This</w:t>
      </w:r>
      <w:r w:rsidR="00EE4FC3">
        <w:t xml:space="preserve"> </w:t>
      </w:r>
      <w:r w:rsidRPr="00382917">
        <w:t>delegation</w:t>
      </w:r>
      <w:r w:rsidR="00EE4FC3">
        <w:t xml:space="preserve"> </w:t>
      </w:r>
      <w:r w:rsidRPr="00382917">
        <w:t>had</w:t>
      </w:r>
      <w:r w:rsidR="00EE4FC3">
        <w:t xml:space="preserve"> </w:t>
      </w:r>
      <w:r w:rsidRPr="00382917">
        <w:t>representatives</w:t>
      </w:r>
      <w:r w:rsidR="00EE4FC3">
        <w:t xml:space="preserve"> </w:t>
      </w:r>
      <w:r w:rsidRPr="00382917">
        <w:t>from</w:t>
      </w:r>
      <w:r w:rsidR="00EE4FC3">
        <w:t xml:space="preserve"> </w:t>
      </w:r>
      <w:r w:rsidRPr="00382917">
        <w:t>the</w:t>
      </w:r>
      <w:r w:rsidR="00EE4FC3">
        <w:t xml:space="preserve"> </w:t>
      </w:r>
      <w:r w:rsidRPr="00382917">
        <w:t>two</w:t>
      </w:r>
      <w:r w:rsidR="00EE4FC3">
        <w:t xml:space="preserve"> </w:t>
      </w:r>
      <w:r w:rsidRPr="00382917">
        <w:t>leading</w:t>
      </w:r>
      <w:r w:rsidR="00EE4FC3">
        <w:t xml:space="preserve"> </w:t>
      </w:r>
      <w:r w:rsidRPr="00382917">
        <w:t>sects</w:t>
      </w:r>
      <w:r w:rsidR="00EE4FC3">
        <w:t xml:space="preserve"> </w:t>
      </w:r>
      <w:r w:rsidRPr="00382917">
        <w:t>of</w:t>
      </w:r>
      <w:r w:rsidR="00EE4FC3">
        <w:t xml:space="preserve"> </w:t>
      </w:r>
      <w:proofErr w:type="gramStart"/>
      <w:r w:rsidR="00B529E0" w:rsidRPr="00382917">
        <w:t>Islám</w:t>
      </w:r>
      <w:r w:rsidRPr="00382917">
        <w:t>,</w:t>
      </w:r>
      <w:proofErr w:type="gramEnd"/>
      <w:r w:rsidR="00EE4FC3">
        <w:t xml:space="preserve"> </w:t>
      </w:r>
      <w:r w:rsidRPr="00382917">
        <w:t>and</w:t>
      </w:r>
      <w:r w:rsidR="00EE4FC3">
        <w:t xml:space="preserve"> </w:t>
      </w:r>
      <w:r w:rsidRPr="00382917">
        <w:t>from</w:t>
      </w:r>
      <w:r w:rsidR="00EE4FC3">
        <w:t xml:space="preserve"> </w:t>
      </w:r>
      <w:r w:rsidRPr="00382917">
        <w:t>the</w:t>
      </w:r>
      <w:r w:rsidR="00EE4FC3">
        <w:t xml:space="preserve"> </w:t>
      </w:r>
      <w:r w:rsidRPr="00382917">
        <w:t>Jewish</w:t>
      </w:r>
      <w:r w:rsidR="00EE4FC3">
        <w:t xml:space="preserve"> </w:t>
      </w:r>
      <w:r w:rsidRPr="00382917">
        <w:t>and</w:t>
      </w:r>
      <w:r w:rsidR="00EE4FC3">
        <w:t xml:space="preserve"> </w:t>
      </w:r>
      <w:r w:rsidRPr="00382917">
        <w:t>Christian</w:t>
      </w:r>
      <w:r w:rsidR="00EE4FC3">
        <w:t xml:space="preserve"> </w:t>
      </w:r>
      <w:r w:rsidRPr="00382917">
        <w:t>communities</w:t>
      </w:r>
      <w:r w:rsidR="00EE4FC3">
        <w:t xml:space="preserve"> </w:t>
      </w:r>
      <w:r w:rsidRPr="00382917">
        <w:t>as</w:t>
      </w:r>
      <w:r w:rsidR="00EE4FC3">
        <w:t xml:space="preserve"> </w:t>
      </w:r>
      <w:r w:rsidRPr="00382917">
        <w:t>well</w:t>
      </w:r>
      <w:r w:rsidR="00B71244">
        <w:t>.</w:t>
      </w:r>
      <w:r w:rsidR="00EE4FC3">
        <w:t xml:space="preserve">  </w:t>
      </w:r>
      <w:r w:rsidRPr="00382917">
        <w:t>Their</w:t>
      </w:r>
      <w:r w:rsidR="00EE4FC3">
        <w:t xml:space="preserve"> </w:t>
      </w:r>
      <w:r w:rsidRPr="00382917">
        <w:t>mission</w:t>
      </w:r>
      <w:r w:rsidR="00EE4FC3">
        <w:t xml:space="preserve"> </w:t>
      </w:r>
      <w:r w:rsidRPr="00382917">
        <w:t>was</w:t>
      </w:r>
      <w:r w:rsidR="00EE4FC3">
        <w:t xml:space="preserve"> </w:t>
      </w:r>
      <w:r w:rsidRPr="00382917">
        <w:t>to</w:t>
      </w:r>
      <w:r w:rsidR="00EE4FC3">
        <w:t xml:space="preserve"> </w:t>
      </w:r>
      <w:r w:rsidRPr="00382917">
        <w:t>silence</w:t>
      </w:r>
      <w:r w:rsidR="00EE4FC3">
        <w:t xml:space="preserve"> </w:t>
      </w:r>
      <w:r w:rsidRPr="00382917">
        <w:t>her.</w:t>
      </w:r>
    </w:p>
    <w:p w:rsidR="005B5622" w:rsidRPr="00382917" w:rsidRDefault="009C713D" w:rsidP="006340BC">
      <w:pPr>
        <w:pStyle w:val="Text"/>
      </w:pPr>
      <w:r w:rsidRPr="00382917">
        <w:t>“</w:t>
      </w:r>
      <w:r w:rsidR="005B5622" w:rsidRPr="00382917">
        <w:t>We</w:t>
      </w:r>
      <w:r w:rsidR="00EE4FC3">
        <w:t xml:space="preserve"> </w:t>
      </w:r>
      <w:r w:rsidR="005B5622" w:rsidRPr="00382917">
        <w:t>have</w:t>
      </w:r>
      <w:r w:rsidR="00EE4FC3">
        <w:t xml:space="preserve"> </w:t>
      </w:r>
      <w:r w:rsidR="005B5622" w:rsidRPr="00382917">
        <w:t>come,</w:t>
      </w:r>
      <w:r w:rsidRPr="00382917">
        <w:t>”</w:t>
      </w:r>
      <w:r w:rsidR="00EE4FC3">
        <w:t xml:space="preserve"> </w:t>
      </w:r>
      <w:r w:rsidR="005B5622" w:rsidRPr="00382917">
        <w:t>they</w:t>
      </w:r>
      <w:r w:rsidR="00EE4FC3">
        <w:t xml:space="preserve"> </w:t>
      </w:r>
      <w:r w:rsidR="005B5622" w:rsidRPr="00382917">
        <w:t>informed</w:t>
      </w:r>
      <w:r w:rsidR="00EE4FC3">
        <w:t xml:space="preserve"> </w:t>
      </w:r>
      <w:r w:rsidR="005B5622" w:rsidRPr="00382917">
        <w:t>her,</w:t>
      </w:r>
      <w:r w:rsidR="00EE4FC3">
        <w:t xml:space="preserve"> </w:t>
      </w:r>
      <w:r w:rsidRPr="00382917">
        <w:t>“</w:t>
      </w:r>
      <w:r w:rsidR="005B5622" w:rsidRPr="00382917">
        <w:t>to</w:t>
      </w:r>
      <w:r w:rsidR="00EE4FC3">
        <w:t xml:space="preserve"> </w:t>
      </w:r>
      <w:r w:rsidR="005B5622" w:rsidRPr="00382917">
        <w:t>convince</w:t>
      </w:r>
      <w:r w:rsidR="00EE4FC3">
        <w:t xml:space="preserve"> </w:t>
      </w:r>
      <w:r w:rsidR="005B5622" w:rsidRPr="00382917">
        <w:t>you</w:t>
      </w:r>
      <w:r w:rsidR="00EE4FC3">
        <w:t xml:space="preserve"> </w:t>
      </w:r>
      <w:r w:rsidR="005B5622" w:rsidRPr="00382917">
        <w:t>of</w:t>
      </w:r>
      <w:r w:rsidR="00EE4FC3">
        <w:t xml:space="preserve"> </w:t>
      </w:r>
      <w:r w:rsidR="005B5622" w:rsidRPr="00382917">
        <w:t>the</w:t>
      </w:r>
      <w:r w:rsidR="00EE4FC3">
        <w:t xml:space="preserve"> </w:t>
      </w:r>
      <w:r w:rsidR="005B5622" w:rsidRPr="00382917">
        <w:t>folly</w:t>
      </w:r>
      <w:r w:rsidR="00EE4FC3">
        <w:t xml:space="preserve"> </w:t>
      </w:r>
      <w:r w:rsidR="005B5622" w:rsidRPr="00382917">
        <w:t>of</w:t>
      </w:r>
      <w:r w:rsidR="00EE4FC3">
        <w:t xml:space="preserve"> </w:t>
      </w:r>
      <w:r w:rsidR="005B5622" w:rsidRPr="00382917">
        <w:t>your</w:t>
      </w:r>
      <w:r w:rsidR="00EE4FC3">
        <w:t xml:space="preserve"> </w:t>
      </w:r>
      <w:r w:rsidR="005B5622" w:rsidRPr="00382917">
        <w:t>actions,</w:t>
      </w:r>
      <w:r w:rsidR="00EE4FC3">
        <w:t xml:space="preserve"> </w:t>
      </w:r>
      <w:r w:rsidR="005B5622" w:rsidRPr="00382917">
        <w:t>and</w:t>
      </w:r>
      <w:r w:rsidR="00EE4FC3">
        <w:t xml:space="preserve"> </w:t>
      </w:r>
      <w:r w:rsidR="005B5622" w:rsidRPr="00382917">
        <w:t>to</w:t>
      </w:r>
      <w:r w:rsidR="00EE4FC3">
        <w:t xml:space="preserve"> </w:t>
      </w:r>
      <w:r w:rsidR="005B5622" w:rsidRPr="00382917">
        <w:t>turn</w:t>
      </w:r>
      <w:r w:rsidR="00EE4FC3">
        <w:t xml:space="preserve"> </w:t>
      </w:r>
      <w:r w:rsidR="005B5622" w:rsidRPr="00382917">
        <w:t>you</w:t>
      </w:r>
      <w:r w:rsidR="00EE4FC3">
        <w:t xml:space="preserve"> </w:t>
      </w:r>
      <w:r w:rsidR="005B5622" w:rsidRPr="00382917">
        <w:t>from</w:t>
      </w:r>
      <w:r w:rsidR="00EE4FC3">
        <w:t xml:space="preserve"> </w:t>
      </w:r>
      <w:r w:rsidR="005B5622" w:rsidRPr="00382917">
        <w:t>your</w:t>
      </w:r>
      <w:r w:rsidR="00EE4FC3">
        <w:t xml:space="preserve"> </w:t>
      </w:r>
      <w:r w:rsidR="005B5622" w:rsidRPr="00382917">
        <w:t>purpose.</w:t>
      </w:r>
      <w:r w:rsidRPr="00382917">
        <w:t>”</w:t>
      </w:r>
    </w:p>
    <w:p w:rsidR="005B5622" w:rsidRPr="00382917" w:rsidRDefault="005B5622" w:rsidP="006340BC">
      <w:pPr>
        <w:pStyle w:val="Text"/>
      </w:pPr>
      <w:r w:rsidRPr="00382917">
        <w:t>Prior</w:t>
      </w:r>
      <w:r w:rsidR="00EE4FC3">
        <w:t xml:space="preserve"> </w:t>
      </w:r>
      <w:r w:rsidRPr="00382917">
        <w:t>to</w:t>
      </w:r>
      <w:r w:rsidR="00EE4FC3">
        <w:t xml:space="preserve"> </w:t>
      </w:r>
      <w:r w:rsidRPr="00382917">
        <w:t>this</w:t>
      </w:r>
      <w:r w:rsidR="00EE4FC3">
        <w:t xml:space="preserve"> </w:t>
      </w:r>
      <w:r w:rsidRPr="00382917">
        <w:t>meeting,</w:t>
      </w:r>
      <w:r w:rsidR="00EE4FC3">
        <w:t xml:space="preserve"> </w:t>
      </w:r>
      <w:r w:rsidRPr="00382917">
        <w:t>these</w:t>
      </w:r>
      <w:r w:rsidR="00EE4FC3">
        <w:t xml:space="preserve"> </w:t>
      </w:r>
      <w:r w:rsidRPr="00382917">
        <w:t>religious</w:t>
      </w:r>
      <w:r w:rsidR="00EE4FC3">
        <w:t xml:space="preserve"> </w:t>
      </w:r>
      <w:r w:rsidRPr="00382917">
        <w:t>leaders</w:t>
      </w:r>
      <w:r w:rsidR="00EE4FC3">
        <w:t xml:space="preserve"> </w:t>
      </w:r>
      <w:r w:rsidRPr="00382917">
        <w:t>had</w:t>
      </w:r>
      <w:r w:rsidR="00EE4FC3">
        <w:t xml:space="preserve"> </w:t>
      </w:r>
      <w:r w:rsidRPr="00382917">
        <w:t>thought</w:t>
      </w:r>
      <w:r w:rsidR="00EE4FC3">
        <w:t xml:space="preserve"> </w:t>
      </w:r>
      <w:r w:rsidRPr="00382917">
        <w:t>of</w:t>
      </w:r>
      <w:r w:rsidR="00EE4FC3">
        <w:t xml:space="preserve"> </w:t>
      </w:r>
      <w:r w:rsidRPr="00382917">
        <w:t>Ṭáhirih</w:t>
      </w:r>
      <w:r w:rsidR="00EE4FC3">
        <w:t xml:space="preserve"> </w:t>
      </w:r>
      <w:r w:rsidRPr="00382917">
        <w:t>as</w:t>
      </w:r>
      <w:r w:rsidR="00EE4FC3">
        <w:t xml:space="preserve"> </w:t>
      </w:r>
      <w:r w:rsidRPr="00382917">
        <w:t>a</w:t>
      </w:r>
      <w:r w:rsidR="00EE4FC3">
        <w:t xml:space="preserve"> </w:t>
      </w:r>
      <w:r w:rsidRPr="00382917">
        <w:t>gifted</w:t>
      </w:r>
      <w:r w:rsidR="00EE4FC3">
        <w:t xml:space="preserve"> </w:t>
      </w:r>
      <w:r w:rsidRPr="00382917">
        <w:t>woman</w:t>
      </w:r>
      <w:r w:rsidR="00EE4FC3">
        <w:t xml:space="preserve"> </w:t>
      </w:r>
      <w:r w:rsidRPr="00382917">
        <w:t>whose</w:t>
      </w:r>
      <w:r w:rsidR="00EE4FC3">
        <w:t xml:space="preserve"> </w:t>
      </w:r>
      <w:r w:rsidRPr="00382917">
        <w:t>enthusiasm</w:t>
      </w:r>
      <w:r w:rsidR="00EE4FC3">
        <w:t xml:space="preserve"> </w:t>
      </w:r>
      <w:r w:rsidRPr="00382917">
        <w:t>for</w:t>
      </w:r>
      <w:r w:rsidR="00EE4FC3">
        <w:t xml:space="preserve"> </w:t>
      </w:r>
      <w:r w:rsidRPr="00382917">
        <w:t>something</w:t>
      </w:r>
      <w:r w:rsidR="00EE4FC3">
        <w:t xml:space="preserve"> </w:t>
      </w:r>
      <w:r w:rsidRPr="00382917">
        <w:t>new</w:t>
      </w:r>
      <w:r w:rsidR="00EE4FC3">
        <w:t xml:space="preserve"> </w:t>
      </w:r>
      <w:r w:rsidRPr="00382917">
        <w:t>had</w:t>
      </w:r>
      <w:r w:rsidR="00EE4FC3">
        <w:t xml:space="preserve"> </w:t>
      </w:r>
      <w:r w:rsidRPr="00382917">
        <w:t>overleaped</w:t>
      </w:r>
      <w:r w:rsidR="00EE4FC3">
        <w:t xml:space="preserve"> </w:t>
      </w:r>
      <w:r w:rsidRPr="00382917">
        <w:t>the</w:t>
      </w:r>
      <w:r w:rsidR="00EE4FC3">
        <w:t xml:space="preserve"> </w:t>
      </w:r>
      <w:r w:rsidRPr="00382917">
        <w:t>bounds</w:t>
      </w:r>
      <w:r w:rsidR="00EE4FC3">
        <w:t xml:space="preserve"> </w:t>
      </w:r>
      <w:r w:rsidRPr="00382917">
        <w:t>of</w:t>
      </w:r>
      <w:r w:rsidR="00EE4FC3">
        <w:t xml:space="preserve"> </w:t>
      </w:r>
      <w:r w:rsidRPr="00382917">
        <w:t>moderation</w:t>
      </w:r>
      <w:r w:rsidR="00B71244">
        <w:t>.</w:t>
      </w:r>
      <w:r w:rsidR="00EE4FC3">
        <w:t xml:space="preserve">  </w:t>
      </w:r>
      <w:r w:rsidRPr="00382917">
        <w:t>Her</w:t>
      </w:r>
      <w:r w:rsidR="00EE4FC3">
        <w:t xml:space="preserve"> </w:t>
      </w:r>
      <w:r w:rsidRPr="00382917">
        <w:t>popularity,</w:t>
      </w:r>
      <w:r w:rsidR="00EE4FC3">
        <w:t xml:space="preserve"> </w:t>
      </w:r>
      <w:r w:rsidRPr="00382917">
        <w:t>they</w:t>
      </w:r>
      <w:r w:rsidR="00EE4FC3">
        <w:t xml:space="preserve"> </w:t>
      </w:r>
      <w:r w:rsidRPr="00382917">
        <w:t>felt</w:t>
      </w:r>
      <w:r w:rsidR="00EE4FC3">
        <w:t xml:space="preserve"> </w:t>
      </w:r>
      <w:r w:rsidRPr="00382917">
        <w:t>sure,</w:t>
      </w:r>
      <w:r w:rsidR="00EE4FC3">
        <w:t xml:space="preserve"> </w:t>
      </w:r>
      <w:r w:rsidRPr="00382917">
        <w:t>was</w:t>
      </w:r>
      <w:r w:rsidR="00EE4FC3">
        <w:t xml:space="preserve"> </w:t>
      </w:r>
      <w:r w:rsidRPr="00382917">
        <w:t>based</w:t>
      </w:r>
      <w:r w:rsidR="00EE4FC3">
        <w:t xml:space="preserve"> </w:t>
      </w:r>
      <w:r w:rsidRPr="00382917">
        <w:t>on</w:t>
      </w:r>
      <w:r w:rsidR="00EE4FC3">
        <w:t xml:space="preserve"> </w:t>
      </w:r>
      <w:r w:rsidRPr="00382917">
        <w:t>novelty,</w:t>
      </w:r>
      <w:r w:rsidR="00EE4FC3">
        <w:t xml:space="preserve"> </w:t>
      </w:r>
      <w:r w:rsidRPr="00382917">
        <w:t>but</w:t>
      </w:r>
      <w:r w:rsidR="00EE4FC3">
        <w:t xml:space="preserve"> </w:t>
      </w:r>
      <w:r w:rsidRPr="00382917">
        <w:t>once</w:t>
      </w:r>
      <w:r w:rsidR="00EE4FC3">
        <w:t xml:space="preserve"> </w:t>
      </w:r>
      <w:r w:rsidRPr="00382917">
        <w:t>she</w:t>
      </w:r>
      <w:r w:rsidR="00EE4FC3">
        <w:t xml:space="preserve"> </w:t>
      </w:r>
      <w:r w:rsidRPr="00382917">
        <w:t>came</w:t>
      </w:r>
      <w:r w:rsidR="00EE4FC3">
        <w:t xml:space="preserve"> </w:t>
      </w:r>
      <w:r w:rsidRPr="00382917">
        <w:t>face</w:t>
      </w:r>
      <w:r w:rsidR="00EE4FC3">
        <w:t xml:space="preserve"> </w:t>
      </w:r>
      <w:r w:rsidRPr="00382917">
        <w:t>to</w:t>
      </w:r>
      <w:r w:rsidR="00EE4FC3">
        <w:t xml:space="preserve"> </w:t>
      </w:r>
      <w:r w:rsidRPr="00382917">
        <w:t>face</w:t>
      </w:r>
      <w:r w:rsidR="00EE4FC3">
        <w:t xml:space="preserve"> </w:t>
      </w:r>
      <w:r w:rsidRPr="00382917">
        <w:t>with</w:t>
      </w:r>
      <w:r w:rsidR="00EE4FC3">
        <w:t xml:space="preserve"> </w:t>
      </w:r>
      <w:r w:rsidRPr="00382917">
        <w:t>a</w:t>
      </w:r>
      <w:r w:rsidR="00EE4FC3">
        <w:t xml:space="preserve"> </w:t>
      </w:r>
      <w:r w:rsidRPr="00382917">
        <w:t>group</w:t>
      </w:r>
      <w:r w:rsidR="00EE4FC3">
        <w:t xml:space="preserve"> </w:t>
      </w:r>
      <w:r w:rsidRPr="00382917">
        <w:t>of</w:t>
      </w:r>
      <w:r w:rsidR="00EE4FC3">
        <w:t xml:space="preserve"> </w:t>
      </w:r>
      <w:r w:rsidRPr="00382917">
        <w:t>such</w:t>
      </w:r>
      <w:r w:rsidR="00EE4FC3">
        <w:t xml:space="preserve"> </w:t>
      </w:r>
      <w:r w:rsidRPr="00382917">
        <w:t>eminent</w:t>
      </w:r>
      <w:r w:rsidR="00EE4FC3">
        <w:t xml:space="preserve"> </w:t>
      </w:r>
      <w:r w:rsidRPr="00382917">
        <w:t>religious</w:t>
      </w:r>
      <w:r w:rsidR="00EE4FC3">
        <w:t xml:space="preserve"> </w:t>
      </w:r>
      <w:r w:rsidRPr="00382917">
        <w:t>leaders,</w:t>
      </w:r>
      <w:r w:rsidR="00EE4FC3">
        <w:t xml:space="preserve"> </w:t>
      </w:r>
      <w:r w:rsidRPr="00382917">
        <w:t>she</w:t>
      </w:r>
      <w:r w:rsidR="00EE4FC3">
        <w:t xml:space="preserve"> </w:t>
      </w:r>
      <w:r w:rsidRPr="00382917">
        <w:t>would</w:t>
      </w:r>
      <w:r w:rsidR="00EE4FC3">
        <w:t xml:space="preserve"> </w:t>
      </w:r>
      <w:r w:rsidRPr="00382917">
        <w:t>be</w:t>
      </w:r>
      <w:r w:rsidR="00EE4FC3">
        <w:t xml:space="preserve"> </w:t>
      </w:r>
      <w:r w:rsidRPr="00382917">
        <w:t>subdued</w:t>
      </w:r>
      <w:r w:rsidR="00EE4FC3">
        <w:t xml:space="preserve"> </w:t>
      </w:r>
      <w:r w:rsidRPr="00382917">
        <w:t>and</w:t>
      </w:r>
      <w:r w:rsidR="00EE4FC3">
        <w:t xml:space="preserve"> </w:t>
      </w:r>
      <w:r w:rsidRPr="00382917">
        <w:t>once</w:t>
      </w:r>
      <w:r w:rsidR="00EE4FC3">
        <w:t xml:space="preserve"> </w:t>
      </w:r>
      <w:r w:rsidRPr="00382917">
        <w:t>more</w:t>
      </w:r>
      <w:r w:rsidR="00EE4FC3">
        <w:t xml:space="preserve"> </w:t>
      </w:r>
      <w:r w:rsidRPr="00382917">
        <w:t>resume</w:t>
      </w:r>
      <w:r w:rsidR="00EE4FC3">
        <w:t xml:space="preserve"> </w:t>
      </w:r>
      <w:r w:rsidRPr="00382917">
        <w:t>her</w:t>
      </w:r>
      <w:r w:rsidR="00EE4FC3">
        <w:t xml:space="preserve"> </w:t>
      </w:r>
      <w:r w:rsidRPr="00382917">
        <w:t>humble</w:t>
      </w:r>
      <w:r w:rsidR="00EE4FC3">
        <w:t xml:space="preserve"> </w:t>
      </w:r>
      <w:r w:rsidRPr="00382917">
        <w:t>place</w:t>
      </w:r>
      <w:r w:rsidR="00EE4FC3">
        <w:t xml:space="preserve"> </w:t>
      </w:r>
      <w:r w:rsidRPr="00382917">
        <w:t>as</w:t>
      </w:r>
      <w:r w:rsidR="00EE4FC3">
        <w:t xml:space="preserve"> </w:t>
      </w:r>
      <w:r w:rsidRPr="00382917">
        <w:t>a</w:t>
      </w:r>
      <w:r w:rsidR="00EE4FC3">
        <w:t xml:space="preserve"> </w:t>
      </w:r>
      <w:r w:rsidRPr="00382917">
        <w:t>woman</w:t>
      </w:r>
      <w:r w:rsidR="00B71244">
        <w:t>.</w:t>
      </w:r>
      <w:r w:rsidR="00EE4FC3">
        <w:t xml:space="preserve">  </w:t>
      </w:r>
      <w:r w:rsidRPr="00382917">
        <w:t>They</w:t>
      </w:r>
      <w:r w:rsidR="00EE4FC3">
        <w:t xml:space="preserve"> </w:t>
      </w:r>
      <w:r w:rsidRPr="00382917">
        <w:t>were</w:t>
      </w:r>
      <w:r w:rsidR="00EE4FC3">
        <w:t xml:space="preserve"> </w:t>
      </w:r>
      <w:r w:rsidRPr="00382917">
        <w:t>unprepared</w:t>
      </w:r>
      <w:r w:rsidR="00EE4FC3">
        <w:t xml:space="preserve"> </w:t>
      </w:r>
      <w:r w:rsidRPr="00382917">
        <w:t>for</w:t>
      </w:r>
      <w:r w:rsidR="00EE4FC3">
        <w:t xml:space="preserve"> </w:t>
      </w:r>
      <w:r w:rsidRPr="00382917">
        <w:t>her</w:t>
      </w:r>
      <w:r w:rsidR="00EE4FC3">
        <w:t xml:space="preserve"> </w:t>
      </w:r>
      <w:r w:rsidRPr="00382917">
        <w:t>reckless</w:t>
      </w:r>
      <w:r w:rsidR="00EE4FC3">
        <w:t xml:space="preserve"> </w:t>
      </w:r>
      <w:r w:rsidRPr="00382917">
        <w:t>indifference</w:t>
      </w:r>
      <w:r w:rsidR="00EE4FC3">
        <w:t xml:space="preserve"> </w:t>
      </w:r>
      <w:r w:rsidRPr="00382917">
        <w:t>to</w:t>
      </w:r>
      <w:r w:rsidR="00EE4FC3">
        <w:t xml:space="preserve"> </w:t>
      </w:r>
      <w:r w:rsidRPr="00382917">
        <w:t>their</w:t>
      </w:r>
      <w:r w:rsidR="00EE4FC3">
        <w:t xml:space="preserve"> </w:t>
      </w:r>
      <w:r w:rsidRPr="00382917">
        <w:t>combined</w:t>
      </w:r>
      <w:r w:rsidR="00EE4FC3">
        <w:t xml:space="preserve"> </w:t>
      </w:r>
      <w:r w:rsidRPr="00382917">
        <w:t>wisdom</w:t>
      </w:r>
      <w:r w:rsidR="00EE4FC3">
        <w:t xml:space="preserve"> </w:t>
      </w:r>
      <w:r w:rsidRPr="00382917">
        <w:t>and</w:t>
      </w:r>
      <w:r w:rsidR="00EE4FC3">
        <w:t xml:space="preserve"> </w:t>
      </w:r>
      <w:r w:rsidRPr="00382917">
        <w:t>her</w:t>
      </w:r>
      <w:r w:rsidR="00EE4FC3">
        <w:t xml:space="preserve"> </w:t>
      </w:r>
      <w:r w:rsidRPr="00382917">
        <w:t>cool</w:t>
      </w:r>
      <w:r w:rsidR="00EE4FC3">
        <w:t xml:space="preserve"> </w:t>
      </w:r>
      <w:r w:rsidRPr="00382917">
        <w:t>appraisal</w:t>
      </w:r>
      <w:r w:rsidR="00EE4FC3">
        <w:t xml:space="preserve"> </w:t>
      </w:r>
      <w:r w:rsidRPr="00382917">
        <w:t>of</w:t>
      </w:r>
      <w:r w:rsidR="00EE4FC3">
        <w:t xml:space="preserve"> </w:t>
      </w:r>
      <w:r w:rsidRPr="00382917">
        <w:t>their</w:t>
      </w:r>
      <w:r w:rsidR="00EE4FC3">
        <w:t xml:space="preserve"> </w:t>
      </w:r>
      <w:r w:rsidRPr="00382917">
        <w:t>motives</w:t>
      </w:r>
      <w:r w:rsidR="00B71244">
        <w:t>.</w:t>
      </w:r>
      <w:r w:rsidR="00EE4FC3">
        <w:t xml:space="preserve">  </w:t>
      </w:r>
      <w:r w:rsidRPr="00382917">
        <w:t>Following</w:t>
      </w:r>
      <w:r w:rsidR="00EE4FC3">
        <w:t xml:space="preserve"> </w:t>
      </w:r>
      <w:r w:rsidRPr="00382917">
        <w:t>that</w:t>
      </w:r>
      <w:r w:rsidR="00EE4FC3">
        <w:t xml:space="preserve"> </w:t>
      </w:r>
      <w:r w:rsidRPr="00382917">
        <w:t>meeting</w:t>
      </w:r>
      <w:r w:rsidR="00EE4FC3">
        <w:t xml:space="preserve"> </w:t>
      </w:r>
      <w:r w:rsidRPr="00382917">
        <w:t>they</w:t>
      </w:r>
      <w:r w:rsidR="00EE4FC3">
        <w:t xml:space="preserve"> </w:t>
      </w:r>
      <w:r w:rsidRPr="00382917">
        <w:t>looked</w:t>
      </w:r>
      <w:r w:rsidR="00EE4FC3">
        <w:t xml:space="preserve"> </w:t>
      </w:r>
      <w:r w:rsidRPr="00382917">
        <w:t>upon</w:t>
      </w:r>
      <w:r w:rsidR="00EE4FC3">
        <w:t xml:space="preserve"> </w:t>
      </w:r>
      <w:r w:rsidRPr="00382917">
        <w:t>her</w:t>
      </w:r>
      <w:r w:rsidR="00EE4FC3">
        <w:t xml:space="preserve"> </w:t>
      </w:r>
      <w:r w:rsidRPr="00382917">
        <w:t>as</w:t>
      </w:r>
      <w:r w:rsidR="00EE4FC3">
        <w:t xml:space="preserve"> </w:t>
      </w:r>
      <w:r w:rsidRPr="00382917">
        <w:t>a</w:t>
      </w:r>
      <w:r w:rsidR="00EE4FC3">
        <w:t xml:space="preserve"> </w:t>
      </w:r>
      <w:r w:rsidRPr="00382917">
        <w:t>dangerous</w:t>
      </w:r>
      <w:r w:rsidR="00EE4FC3">
        <w:t xml:space="preserve"> </w:t>
      </w:r>
      <w:r w:rsidRPr="00382917">
        <w:t>and</w:t>
      </w:r>
      <w:r w:rsidR="00EE4FC3">
        <w:t xml:space="preserve"> </w:t>
      </w:r>
      <w:r w:rsidRPr="00382917">
        <w:t>powerful</w:t>
      </w:r>
      <w:r w:rsidR="00EE4FC3">
        <w:t xml:space="preserve"> </w:t>
      </w:r>
      <w:r w:rsidRPr="00382917">
        <w:t>adversary</w:t>
      </w:r>
      <w:r w:rsidR="00B71244">
        <w:t>.</w:t>
      </w:r>
      <w:r w:rsidR="00EE4FC3">
        <w:t xml:space="preserve">  </w:t>
      </w:r>
      <w:r w:rsidRPr="00382917">
        <w:t>Ṭáhirih</w:t>
      </w:r>
      <w:r w:rsidR="00EE4FC3">
        <w:t xml:space="preserve"> </w:t>
      </w:r>
      <w:r w:rsidRPr="00382917">
        <w:t>was</w:t>
      </w:r>
      <w:r w:rsidR="00EE4FC3">
        <w:t xml:space="preserve"> </w:t>
      </w:r>
      <w:r w:rsidRPr="00382917">
        <w:t>able</w:t>
      </w:r>
      <w:r w:rsidR="00EE4FC3">
        <w:t xml:space="preserve"> </w:t>
      </w:r>
      <w:r w:rsidRPr="00382917">
        <w:t>to</w:t>
      </w:r>
      <w:r w:rsidR="00EE4FC3">
        <w:t xml:space="preserve"> </w:t>
      </w:r>
      <w:r w:rsidRPr="00382917">
        <w:t>silence</w:t>
      </w:r>
      <w:r w:rsidR="00EE4FC3">
        <w:t xml:space="preserve"> </w:t>
      </w:r>
      <w:r w:rsidRPr="00382917">
        <w:t>every</w:t>
      </w:r>
      <w:r w:rsidR="00EE4FC3">
        <w:t xml:space="preserve"> </w:t>
      </w:r>
      <w:r w:rsidRPr="00382917">
        <w:t>protest</w:t>
      </w:r>
      <w:r w:rsidR="00B71244">
        <w:t>.</w:t>
      </w:r>
      <w:r w:rsidR="00EE4FC3">
        <w:t xml:space="preserve">  </w:t>
      </w:r>
      <w:r w:rsidRPr="00382917">
        <w:t>She</w:t>
      </w:r>
      <w:r w:rsidR="00EE4FC3">
        <w:t xml:space="preserve"> </w:t>
      </w:r>
      <w:r w:rsidRPr="00382917">
        <w:t>astounded</w:t>
      </w:r>
      <w:r w:rsidR="00EE4FC3">
        <w:t xml:space="preserve"> </w:t>
      </w:r>
      <w:r w:rsidRPr="00382917">
        <w:t>them</w:t>
      </w:r>
      <w:r w:rsidR="00EE4FC3">
        <w:t xml:space="preserve"> </w:t>
      </w:r>
      <w:r w:rsidRPr="00382917">
        <w:t>with</w:t>
      </w:r>
      <w:r w:rsidR="00EE4FC3">
        <w:t xml:space="preserve"> </w:t>
      </w:r>
      <w:r w:rsidRPr="00382917">
        <w:t>the</w:t>
      </w:r>
      <w:r w:rsidR="00EE4FC3">
        <w:t xml:space="preserve"> </w:t>
      </w:r>
      <w:r w:rsidRPr="00382917">
        <w:t>force</w:t>
      </w:r>
      <w:r w:rsidR="00EE4FC3">
        <w:t xml:space="preserve"> </w:t>
      </w:r>
      <w:r w:rsidRPr="00382917">
        <w:t>of</w:t>
      </w:r>
      <w:r w:rsidR="00EE4FC3">
        <w:t xml:space="preserve"> </w:t>
      </w:r>
      <w:r w:rsidRPr="00382917">
        <w:t>her</w:t>
      </w:r>
      <w:r w:rsidR="00EE4FC3">
        <w:t xml:space="preserve"> </w:t>
      </w:r>
      <w:r w:rsidRPr="00382917">
        <w:t>argument</w:t>
      </w:r>
      <w:r w:rsidR="00EE4FC3">
        <w:t xml:space="preserve"> </w:t>
      </w:r>
      <w:r w:rsidRPr="00382917">
        <w:t>and</w:t>
      </w:r>
      <w:r w:rsidR="00EE4FC3">
        <w:t xml:space="preserve"> </w:t>
      </w:r>
      <w:r w:rsidRPr="00382917">
        <w:t>the</w:t>
      </w:r>
      <w:r w:rsidR="00EE4FC3">
        <w:t xml:space="preserve"> </w:t>
      </w:r>
      <w:r w:rsidRPr="00382917">
        <w:t>depth</w:t>
      </w:r>
      <w:r w:rsidR="00EE4FC3">
        <w:t xml:space="preserve"> </w:t>
      </w:r>
      <w:r w:rsidRPr="00382917">
        <w:t>of</w:t>
      </w:r>
      <w:r w:rsidR="00EE4FC3">
        <w:t xml:space="preserve"> </w:t>
      </w:r>
      <w:r w:rsidRPr="00382917">
        <w:t>her</w:t>
      </w:r>
      <w:r w:rsidR="00EE4FC3">
        <w:t xml:space="preserve"> </w:t>
      </w:r>
      <w:r w:rsidRPr="00382917">
        <w:t>knowledge</w:t>
      </w:r>
      <w:r w:rsidR="00B71244">
        <w:t>.</w:t>
      </w:r>
      <w:r w:rsidR="00EE4FC3">
        <w:t xml:space="preserve">  </w:t>
      </w:r>
      <w:r w:rsidRPr="00382917">
        <w:t>She</w:t>
      </w:r>
      <w:r w:rsidR="00EE4FC3">
        <w:t xml:space="preserve"> </w:t>
      </w:r>
      <w:r w:rsidRPr="00382917">
        <w:t>was</w:t>
      </w:r>
      <w:r w:rsidR="00EE4FC3">
        <w:t xml:space="preserve"> </w:t>
      </w:r>
      <w:r w:rsidRPr="00382917">
        <w:t>not</w:t>
      </w:r>
      <w:r w:rsidR="00EE4FC3">
        <w:t xml:space="preserve"> </w:t>
      </w:r>
      <w:r w:rsidRPr="00382917">
        <w:t>lowly</w:t>
      </w:r>
      <w:r w:rsidR="00EE4FC3">
        <w:t xml:space="preserve"> </w:t>
      </w:r>
      <w:r w:rsidRPr="00382917">
        <w:t>and</w:t>
      </w:r>
      <w:r w:rsidR="00EE4FC3">
        <w:t xml:space="preserve"> </w:t>
      </w:r>
      <w:r w:rsidRPr="00382917">
        <w:t>submissive</w:t>
      </w:r>
      <w:r w:rsidR="00EE4FC3">
        <w:t xml:space="preserve"> </w:t>
      </w:r>
      <w:r w:rsidRPr="00382917">
        <w:t>before</w:t>
      </w:r>
      <w:r w:rsidR="00EE4FC3">
        <w:t xml:space="preserve"> </w:t>
      </w:r>
      <w:r w:rsidRPr="00382917">
        <w:t>them</w:t>
      </w:r>
      <w:r w:rsidR="00EE4FC3">
        <w:t xml:space="preserve"> </w:t>
      </w:r>
      <w:r w:rsidRPr="00382917">
        <w:t>as</w:t>
      </w:r>
      <w:r w:rsidR="00EE4FC3">
        <w:t xml:space="preserve"> </w:t>
      </w:r>
      <w:r w:rsidRPr="00382917">
        <w:t>they</w:t>
      </w:r>
      <w:r w:rsidR="00EE4FC3">
        <w:t xml:space="preserve"> </w:t>
      </w:r>
      <w:r w:rsidRPr="00382917">
        <w:t>expected</w:t>
      </w:r>
      <w:r w:rsidR="00B71244">
        <w:t>.</w:t>
      </w:r>
      <w:r w:rsidR="00EE4FC3">
        <w:t xml:space="preserve">  </w:t>
      </w:r>
      <w:r w:rsidRPr="00382917">
        <w:t>Instead,</w:t>
      </w:r>
      <w:r w:rsidR="00EE4FC3">
        <w:t xml:space="preserve"> </w:t>
      </w:r>
      <w:r w:rsidRPr="00382917">
        <w:t>she</w:t>
      </w:r>
      <w:r w:rsidR="00EE4FC3">
        <w:t xml:space="preserve"> </w:t>
      </w:r>
      <w:r w:rsidRPr="00382917">
        <w:t>was</w:t>
      </w:r>
      <w:r w:rsidR="00EE4FC3">
        <w:t xml:space="preserve"> </w:t>
      </w:r>
      <w:r w:rsidRPr="00382917">
        <w:t>aflame</w:t>
      </w:r>
      <w:r w:rsidR="00EE4FC3">
        <w:t xml:space="preserve"> </w:t>
      </w:r>
      <w:r w:rsidRPr="00382917">
        <w:t>with</w:t>
      </w:r>
      <w:r w:rsidR="00EE4FC3">
        <w:t xml:space="preserve"> </w:t>
      </w:r>
      <w:r w:rsidRPr="00382917">
        <w:t>the</w:t>
      </w:r>
      <w:r w:rsidR="00EE4FC3">
        <w:t xml:space="preserve"> </w:t>
      </w:r>
      <w:r w:rsidRPr="00382917">
        <w:t>love</w:t>
      </w:r>
      <w:r w:rsidR="00EE4FC3">
        <w:t xml:space="preserve"> </w:t>
      </w:r>
      <w:r w:rsidRPr="00382917">
        <w:t>of</w:t>
      </w:r>
      <w:r w:rsidR="00EE4FC3">
        <w:t xml:space="preserve"> </w:t>
      </w:r>
      <w:r w:rsidRPr="00382917">
        <w:t>God</w:t>
      </w:r>
      <w:r w:rsidR="00EE4FC3">
        <w:t xml:space="preserve"> </w:t>
      </w:r>
      <w:r w:rsidRPr="00382917">
        <w:t>and</w:t>
      </w:r>
      <w:r w:rsidR="00EE4FC3">
        <w:t xml:space="preserve"> </w:t>
      </w:r>
      <w:r w:rsidRPr="00382917">
        <w:t>she</w:t>
      </w:r>
      <w:r w:rsidR="00EE4FC3">
        <w:t xml:space="preserve"> </w:t>
      </w:r>
      <w:r w:rsidRPr="00382917">
        <w:t>burned</w:t>
      </w:r>
      <w:r w:rsidR="00EE4FC3">
        <w:t xml:space="preserve"> </w:t>
      </w:r>
      <w:r w:rsidRPr="00382917">
        <w:t>away</w:t>
      </w:r>
      <w:r w:rsidR="00EE4FC3">
        <w:t xml:space="preserve"> </w:t>
      </w:r>
      <w:r w:rsidRPr="00382917">
        <w:t>their</w:t>
      </w:r>
      <w:r w:rsidR="00EE4FC3">
        <w:t xml:space="preserve"> </w:t>
      </w:r>
      <w:r w:rsidRPr="00382917">
        <w:t>flimsy</w:t>
      </w:r>
      <w:r w:rsidR="00EE4FC3">
        <w:t xml:space="preserve"> </w:t>
      </w:r>
      <w:r w:rsidRPr="00382917">
        <w:t>reasoning</w:t>
      </w:r>
      <w:r w:rsidR="00EE4FC3">
        <w:t xml:space="preserve"> </w:t>
      </w:r>
      <w:r w:rsidRPr="00382917">
        <w:t>with</w:t>
      </w:r>
      <w:r w:rsidR="00EE4FC3">
        <w:t xml:space="preserve"> </w:t>
      </w:r>
      <w:r w:rsidRPr="00382917">
        <w:t>the</w:t>
      </w:r>
      <w:r w:rsidR="00EE4FC3">
        <w:t xml:space="preserve"> </w:t>
      </w:r>
      <w:r w:rsidRPr="00382917">
        <w:t>fire</w:t>
      </w:r>
      <w:r w:rsidR="00EE4FC3">
        <w:t xml:space="preserve"> </w:t>
      </w:r>
      <w:r w:rsidRPr="00382917">
        <w:t>of</w:t>
      </w:r>
      <w:r w:rsidR="00EE4FC3">
        <w:t xml:space="preserve"> </w:t>
      </w:r>
      <w:r w:rsidRPr="00382917">
        <w:t>her</w:t>
      </w:r>
      <w:r w:rsidR="00EE4FC3">
        <w:t xml:space="preserve"> </w:t>
      </w:r>
      <w:r w:rsidRPr="00382917">
        <w:t>words</w:t>
      </w:r>
      <w:r w:rsidR="00B71244">
        <w:t>.</w:t>
      </w:r>
      <w:r w:rsidR="00EE4FC3">
        <w:t xml:space="preserve">  </w:t>
      </w:r>
      <w:r w:rsidR="009C713D" w:rsidRPr="00382917">
        <w:t>“</w:t>
      </w:r>
      <w:r w:rsidRPr="00382917">
        <w:t>She</w:t>
      </w:r>
      <w:r w:rsidR="00EE4FC3">
        <w:t xml:space="preserve"> </w:t>
      </w:r>
      <w:r w:rsidRPr="00382917">
        <w:t>is</w:t>
      </w:r>
      <w:r w:rsidR="00EE4FC3">
        <w:t xml:space="preserve"> </w:t>
      </w:r>
      <w:r w:rsidRPr="00382917">
        <w:t>no</w:t>
      </w:r>
      <w:r w:rsidR="00EE4FC3">
        <w:t xml:space="preserve"> </w:t>
      </w:r>
      <w:r w:rsidRPr="00382917">
        <w:t>mere</w:t>
      </w:r>
      <w:r w:rsidR="00EE4FC3">
        <w:t xml:space="preserve"> </w:t>
      </w:r>
      <w:r w:rsidRPr="00382917">
        <w:t>woman,</w:t>
      </w:r>
      <w:r w:rsidR="009C713D" w:rsidRPr="00382917">
        <w:t>”</w:t>
      </w:r>
      <w:r w:rsidR="00EE4FC3">
        <w:t xml:space="preserve"> </w:t>
      </w:r>
      <w:r w:rsidRPr="00382917">
        <w:t>they</w:t>
      </w:r>
    </w:p>
    <w:p w:rsidR="006340BC" w:rsidRPr="00382917" w:rsidRDefault="006340BC">
      <w:pPr>
        <w:widowControl/>
        <w:kinsoku/>
        <w:overflowPunct/>
        <w:textAlignment w:val="auto"/>
      </w:pPr>
      <w:r w:rsidRPr="00382917">
        <w:br w:type="page"/>
      </w:r>
    </w:p>
    <w:p w:rsidR="005B5622" w:rsidRPr="00382917" w:rsidRDefault="005B5622" w:rsidP="007838C0">
      <w:pPr>
        <w:pStyle w:val="Textcts"/>
      </w:pPr>
      <w:proofErr w:type="gramStart"/>
      <w:r w:rsidRPr="00382917">
        <w:t>said</w:t>
      </w:r>
      <w:proofErr w:type="gramEnd"/>
      <w:r w:rsidR="00B71244">
        <w:t>.</w:t>
      </w:r>
      <w:r w:rsidR="00EE4FC3">
        <w:t xml:space="preserve">  </w:t>
      </w:r>
      <w:r w:rsidRPr="00382917">
        <w:t>They</w:t>
      </w:r>
      <w:r w:rsidR="00EE4FC3">
        <w:t xml:space="preserve"> </w:t>
      </w:r>
      <w:r w:rsidRPr="00382917">
        <w:t>were</w:t>
      </w:r>
      <w:r w:rsidR="00EE4FC3">
        <w:t xml:space="preserve"> </w:t>
      </w:r>
      <w:r w:rsidRPr="00382917">
        <w:t>embarrassed</w:t>
      </w:r>
      <w:r w:rsidR="00EE4FC3">
        <w:t xml:space="preserve"> </w:t>
      </w:r>
      <w:r w:rsidRPr="00382917">
        <w:t>at</w:t>
      </w:r>
      <w:r w:rsidR="00EE4FC3">
        <w:t xml:space="preserve"> </w:t>
      </w:r>
      <w:r w:rsidRPr="00382917">
        <w:t>their</w:t>
      </w:r>
      <w:r w:rsidR="00EE4FC3">
        <w:t xml:space="preserve"> </w:t>
      </w:r>
      <w:r w:rsidRPr="00382917">
        <w:t>inability</w:t>
      </w:r>
      <w:r w:rsidR="00EE4FC3">
        <w:t xml:space="preserve"> </w:t>
      </w:r>
      <w:r w:rsidRPr="00382917">
        <w:t>to</w:t>
      </w:r>
      <w:r w:rsidR="00EE4FC3">
        <w:t xml:space="preserve"> </w:t>
      </w:r>
      <w:r w:rsidRPr="00382917">
        <w:t>subdue</w:t>
      </w:r>
      <w:r w:rsidR="00EE4FC3">
        <w:t xml:space="preserve"> </w:t>
      </w:r>
      <w:r w:rsidRPr="00382917">
        <w:t>her</w:t>
      </w:r>
      <w:r w:rsidR="00B71244">
        <w:t>.</w:t>
      </w:r>
      <w:r w:rsidR="00EE4FC3">
        <w:t xml:space="preserve">  </w:t>
      </w:r>
      <w:r w:rsidRPr="00382917">
        <w:t>Disillusioned</w:t>
      </w:r>
      <w:r w:rsidR="00EE4FC3">
        <w:t xml:space="preserve"> </w:t>
      </w:r>
      <w:r w:rsidRPr="00382917">
        <w:t>at</w:t>
      </w:r>
      <w:r w:rsidR="00EE4FC3">
        <w:t xml:space="preserve"> </w:t>
      </w:r>
      <w:r w:rsidRPr="00382917">
        <w:t>their</w:t>
      </w:r>
      <w:r w:rsidR="00EE4FC3">
        <w:t xml:space="preserve"> </w:t>
      </w:r>
      <w:r w:rsidRPr="00382917">
        <w:t>complete</w:t>
      </w:r>
      <w:r w:rsidR="00EE4FC3">
        <w:t xml:space="preserve"> </w:t>
      </w:r>
      <w:r w:rsidRPr="00382917">
        <w:t>failure,</w:t>
      </w:r>
      <w:r w:rsidR="00EE4FC3">
        <w:t xml:space="preserve"> </w:t>
      </w:r>
      <w:r w:rsidRPr="00382917">
        <w:t>they</w:t>
      </w:r>
      <w:r w:rsidR="00EE4FC3">
        <w:t xml:space="preserve"> </w:t>
      </w:r>
      <w:r w:rsidRPr="00382917">
        <w:t>withdrew</w:t>
      </w:r>
      <w:r w:rsidR="00B71244">
        <w:t>.</w:t>
      </w:r>
      <w:r w:rsidR="00EE4FC3">
        <w:t xml:space="preserve">  </w:t>
      </w:r>
      <w:r w:rsidRPr="00382917">
        <w:t>Such</w:t>
      </w:r>
      <w:r w:rsidR="00EE4FC3">
        <w:t xml:space="preserve"> </w:t>
      </w:r>
      <w:r w:rsidRPr="00382917">
        <w:t>victories</w:t>
      </w:r>
      <w:r w:rsidR="00EE4FC3">
        <w:t xml:space="preserve"> </w:t>
      </w:r>
      <w:r w:rsidRPr="00382917">
        <w:t>increased</w:t>
      </w:r>
      <w:r w:rsidR="00EE4FC3">
        <w:t xml:space="preserve"> </w:t>
      </w:r>
      <w:r w:rsidRPr="00382917">
        <w:t>her</w:t>
      </w:r>
      <w:r w:rsidR="00EE4FC3">
        <w:t xml:space="preserve"> </w:t>
      </w:r>
      <w:r w:rsidRPr="00382917">
        <w:t>fame</w:t>
      </w:r>
      <w:r w:rsidR="00EE4FC3">
        <w:t xml:space="preserve"> </w:t>
      </w:r>
      <w:r w:rsidRPr="00382917">
        <w:t>and</w:t>
      </w:r>
      <w:r w:rsidR="00EE4FC3">
        <w:t xml:space="preserve"> </w:t>
      </w:r>
      <w:r w:rsidRPr="00382917">
        <w:t>their</w:t>
      </w:r>
      <w:r w:rsidR="00EE4FC3">
        <w:t xml:space="preserve"> </w:t>
      </w:r>
      <w:r w:rsidRPr="00382917">
        <w:t>anger.</w:t>
      </w:r>
      <w:r w:rsidR="007838C0">
        <w:rPr>
          <w:rStyle w:val="FootnoteReference"/>
        </w:rPr>
        <w:footnoteReference w:id="139"/>
      </w:r>
    </w:p>
    <w:p w:rsidR="00E13D49" w:rsidRPr="00382917" w:rsidRDefault="005B5622" w:rsidP="008E6528">
      <w:pPr>
        <w:pStyle w:val="Text"/>
      </w:pPr>
      <w:r w:rsidRPr="00382917">
        <w:t>So</w:t>
      </w:r>
      <w:r w:rsidR="00EE4FC3">
        <w:t xml:space="preserve"> </w:t>
      </w:r>
      <w:r w:rsidRPr="00382917">
        <w:t>great</w:t>
      </w:r>
      <w:r w:rsidR="00EE4FC3">
        <w:t xml:space="preserve"> </w:t>
      </w:r>
      <w:r w:rsidRPr="00382917">
        <w:t>was</w:t>
      </w:r>
      <w:r w:rsidR="00EE4FC3">
        <w:t xml:space="preserve"> </w:t>
      </w:r>
      <w:r w:rsidRPr="00382917">
        <w:t>the</w:t>
      </w:r>
      <w:r w:rsidR="00EE4FC3">
        <w:t xml:space="preserve"> </w:t>
      </w:r>
      <w:r w:rsidRPr="00382917">
        <w:t>influence</w:t>
      </w:r>
      <w:r w:rsidR="00EE4FC3">
        <w:t xml:space="preserve"> </w:t>
      </w:r>
      <w:r w:rsidRPr="00382917">
        <w:t>which</w:t>
      </w:r>
      <w:r w:rsidR="00EE4FC3">
        <w:t xml:space="preserve"> </w:t>
      </w:r>
      <w:r w:rsidRPr="00382917">
        <w:t>Ṭáhirih</w:t>
      </w:r>
      <w:r w:rsidR="00EE4FC3">
        <w:t xml:space="preserve"> </w:t>
      </w:r>
      <w:r w:rsidRPr="00382917">
        <w:t>exerted</w:t>
      </w:r>
      <w:r w:rsidR="00EE4FC3">
        <w:t xml:space="preserve"> </w:t>
      </w:r>
      <w:r w:rsidRPr="00382917">
        <w:t>upon</w:t>
      </w:r>
      <w:r w:rsidR="00EE4FC3">
        <w:t xml:space="preserve"> </w:t>
      </w:r>
      <w:r w:rsidRPr="00382917">
        <w:t>the</w:t>
      </w:r>
      <w:r w:rsidR="00EE4FC3">
        <w:t xml:space="preserve"> </w:t>
      </w:r>
      <w:r w:rsidRPr="00382917">
        <w:t>people,</w:t>
      </w:r>
      <w:r w:rsidR="00EE4FC3">
        <w:t xml:space="preserve"> </w:t>
      </w:r>
      <w:r w:rsidRPr="00382917">
        <w:t>so</w:t>
      </w:r>
      <w:r w:rsidR="00EE4FC3">
        <w:t xml:space="preserve"> </w:t>
      </w:r>
      <w:r w:rsidRPr="00382917">
        <w:t>intense</w:t>
      </w:r>
      <w:r w:rsidR="00EE4FC3">
        <w:t xml:space="preserve"> </w:t>
      </w:r>
      <w:r w:rsidRPr="00382917">
        <w:t>became</w:t>
      </w:r>
      <w:r w:rsidR="00EE4FC3">
        <w:t xml:space="preserve"> </w:t>
      </w:r>
      <w:r w:rsidRPr="00382917">
        <w:t>the</w:t>
      </w:r>
      <w:r w:rsidR="00EE4FC3">
        <w:t xml:space="preserve"> </w:t>
      </w:r>
      <w:r w:rsidRPr="00382917">
        <w:t>excitement</w:t>
      </w:r>
      <w:r w:rsidR="00EE4FC3">
        <w:t xml:space="preserve"> </w:t>
      </w:r>
      <w:r w:rsidRPr="00382917">
        <w:t>caused</w:t>
      </w:r>
      <w:r w:rsidR="00EE4FC3">
        <w:t xml:space="preserve"> </w:t>
      </w:r>
      <w:r w:rsidRPr="00382917">
        <w:t>by</w:t>
      </w:r>
      <w:r w:rsidR="00EE4FC3">
        <w:t xml:space="preserve"> </w:t>
      </w:r>
      <w:r w:rsidRPr="00382917">
        <w:t>her</w:t>
      </w:r>
      <w:r w:rsidR="00EE4FC3">
        <w:t xml:space="preserve"> </w:t>
      </w:r>
      <w:r w:rsidRPr="00382917">
        <w:t>teaching,</w:t>
      </w:r>
      <w:r w:rsidR="00EE4FC3">
        <w:t xml:space="preserve"> </w:t>
      </w:r>
      <w:r w:rsidRPr="00382917">
        <w:t>that</w:t>
      </w:r>
      <w:r w:rsidR="00EE4FC3">
        <w:t xml:space="preserve"> </w:t>
      </w:r>
      <w:r w:rsidRPr="00382917">
        <w:t>she</w:t>
      </w:r>
      <w:r w:rsidR="00EE4FC3">
        <w:t xml:space="preserve"> </w:t>
      </w:r>
      <w:r w:rsidRPr="00382917">
        <w:t>was</w:t>
      </w:r>
      <w:r w:rsidR="00EE4FC3">
        <w:t xml:space="preserve"> </w:t>
      </w:r>
      <w:r w:rsidRPr="00382917">
        <w:t>seized</w:t>
      </w:r>
      <w:r w:rsidR="00EE4FC3">
        <w:t xml:space="preserve"> </w:t>
      </w:r>
      <w:r w:rsidRPr="00382917">
        <w:t>by</w:t>
      </w:r>
      <w:r w:rsidR="00EE4FC3">
        <w:t xml:space="preserve"> </w:t>
      </w:r>
      <w:r w:rsidRPr="00382917">
        <w:t>the</w:t>
      </w:r>
      <w:r w:rsidR="00EE4FC3">
        <w:t xml:space="preserve"> </w:t>
      </w:r>
      <w:r w:rsidRPr="00382917">
        <w:t>authorities</w:t>
      </w:r>
      <w:r w:rsidR="00EE4FC3">
        <w:t xml:space="preserve"> </w:t>
      </w:r>
      <w:r w:rsidRPr="00382917">
        <w:t>and</w:t>
      </w:r>
      <w:r w:rsidR="00EE4FC3">
        <w:t xml:space="preserve"> </w:t>
      </w:r>
      <w:r w:rsidRPr="00382917">
        <w:t>placed</w:t>
      </w:r>
      <w:r w:rsidR="00EE4FC3">
        <w:t xml:space="preserve"> </w:t>
      </w:r>
      <w:r w:rsidRPr="00382917">
        <w:t>in</w:t>
      </w:r>
      <w:r w:rsidR="00EE4FC3">
        <w:t xml:space="preserve"> </w:t>
      </w:r>
      <w:r w:rsidRPr="00382917">
        <w:t>the</w:t>
      </w:r>
      <w:r w:rsidR="00EE4FC3">
        <w:t xml:space="preserve"> </w:t>
      </w:r>
      <w:r w:rsidRPr="00382917">
        <w:t>house</w:t>
      </w:r>
      <w:r w:rsidR="00EE4FC3">
        <w:t xml:space="preserve"> </w:t>
      </w:r>
      <w:r w:rsidRPr="00382917">
        <w:t>of</w:t>
      </w:r>
      <w:r w:rsidR="00EE4FC3">
        <w:t xml:space="preserve"> </w:t>
      </w:r>
      <w:r w:rsidRPr="00382917">
        <w:t>the</w:t>
      </w:r>
      <w:r w:rsidR="00EE4FC3">
        <w:t xml:space="preserve"> </w:t>
      </w:r>
      <w:r w:rsidRPr="00382917">
        <w:t>chief-lawyer,</w:t>
      </w:r>
      <w:r w:rsidR="00EE4FC3">
        <w:t xml:space="preserve"> </w:t>
      </w:r>
      <w:r w:rsidRPr="00382917">
        <w:t>by</w:t>
      </w:r>
      <w:r w:rsidR="00EE4FC3">
        <w:t xml:space="preserve"> </w:t>
      </w:r>
      <w:r w:rsidRPr="00382917">
        <w:t>order</w:t>
      </w:r>
      <w:r w:rsidR="00EE4FC3">
        <w:t xml:space="preserve"> </w:t>
      </w:r>
      <w:r w:rsidRPr="00382917">
        <w:t>of</w:t>
      </w:r>
      <w:r w:rsidR="00EE4FC3">
        <w:t xml:space="preserve"> </w:t>
      </w:r>
      <w:r w:rsidRPr="00382917">
        <w:t>the</w:t>
      </w:r>
      <w:r w:rsidR="00EE4FC3">
        <w:t xml:space="preserve"> </w:t>
      </w:r>
      <w:r w:rsidRPr="00382917">
        <w:t>governor</w:t>
      </w:r>
      <w:r w:rsidR="00EE4FC3">
        <w:t xml:space="preserve"> </w:t>
      </w:r>
      <w:r w:rsidRPr="00382917">
        <w:t>of</w:t>
      </w:r>
      <w:r w:rsidR="00EE4FC3">
        <w:t xml:space="preserve"> </w:t>
      </w:r>
      <w:r w:rsidR="00664069" w:rsidRPr="00382917">
        <w:t>Ba</w:t>
      </w:r>
      <w:r w:rsidR="00664069" w:rsidRPr="00664069">
        <w:rPr>
          <w:u w:val="single"/>
        </w:rPr>
        <w:t>gh</w:t>
      </w:r>
      <w:r w:rsidR="00664069" w:rsidRPr="00382917">
        <w:t>d</w:t>
      </w:r>
      <w:r w:rsidR="00664069" w:rsidRPr="00664069">
        <w:t>á</w:t>
      </w:r>
      <w:r w:rsidR="00664069" w:rsidRPr="00382917">
        <w:t>d</w:t>
      </w:r>
      <w:r w:rsidR="00B71244">
        <w:t>.</w:t>
      </w:r>
      <w:r w:rsidR="00EE4FC3">
        <w:t xml:space="preserve">  </w:t>
      </w:r>
      <w:r w:rsidRPr="00382917">
        <w:t>She</w:t>
      </w:r>
      <w:r w:rsidR="00EE4FC3">
        <w:t xml:space="preserve"> </w:t>
      </w:r>
      <w:r w:rsidRPr="00382917">
        <w:t>was</w:t>
      </w:r>
      <w:r w:rsidR="00EE4FC3">
        <w:t xml:space="preserve"> </w:t>
      </w:r>
      <w:r w:rsidRPr="00382917">
        <w:t>kept</w:t>
      </w:r>
      <w:r w:rsidR="00EE4FC3">
        <w:t xml:space="preserve"> </w:t>
      </w:r>
      <w:r w:rsidRPr="00382917">
        <w:t>there</w:t>
      </w:r>
      <w:r w:rsidR="00EE4FC3">
        <w:t xml:space="preserve"> </w:t>
      </w:r>
      <w:r w:rsidRPr="00382917">
        <w:t>under</w:t>
      </w:r>
      <w:r w:rsidR="00EE4FC3">
        <w:t xml:space="preserve"> </w:t>
      </w:r>
      <w:r w:rsidRPr="00382917">
        <w:t>virtual</w:t>
      </w:r>
      <w:r w:rsidR="00EE4FC3">
        <w:t xml:space="preserve"> </w:t>
      </w:r>
      <w:r w:rsidRPr="00382917">
        <w:t>arrest</w:t>
      </w:r>
      <w:r w:rsidR="00EE4FC3">
        <w:t xml:space="preserve"> </w:t>
      </w:r>
      <w:r w:rsidRPr="00382917">
        <w:t>until</w:t>
      </w:r>
      <w:r w:rsidR="00EE4FC3">
        <w:t xml:space="preserve"> </w:t>
      </w:r>
      <w:r w:rsidRPr="00382917">
        <w:t>the</w:t>
      </w:r>
      <w:r w:rsidR="00EE4FC3">
        <w:t xml:space="preserve"> </w:t>
      </w:r>
      <w:r w:rsidRPr="00382917">
        <w:t>governor</w:t>
      </w:r>
      <w:r w:rsidR="00EE4FC3">
        <w:t xml:space="preserve"> </w:t>
      </w:r>
      <w:r w:rsidRPr="00382917">
        <w:t>could</w:t>
      </w:r>
      <w:r w:rsidR="00EE4FC3">
        <w:t xml:space="preserve"> </w:t>
      </w:r>
      <w:r w:rsidRPr="00382917">
        <w:t>receive</w:t>
      </w:r>
      <w:r w:rsidR="00EE4FC3">
        <w:t xml:space="preserve"> </w:t>
      </w:r>
      <w:r w:rsidRPr="00382917">
        <w:t>instructions</w:t>
      </w:r>
      <w:r w:rsidR="00EE4FC3">
        <w:t xml:space="preserve"> </w:t>
      </w:r>
      <w:r w:rsidRPr="00382917">
        <w:t>about</w:t>
      </w:r>
      <w:r w:rsidR="00EE4FC3">
        <w:t xml:space="preserve"> </w:t>
      </w:r>
      <w:r w:rsidRPr="00382917">
        <w:t>her</w:t>
      </w:r>
      <w:r w:rsidR="00EE4FC3">
        <w:t xml:space="preserve"> </w:t>
      </w:r>
      <w:r w:rsidRPr="00382917">
        <w:t>from</w:t>
      </w:r>
      <w:r w:rsidR="00EE4FC3">
        <w:t xml:space="preserve"> </w:t>
      </w:r>
      <w:r w:rsidRPr="00382917">
        <w:t>the</w:t>
      </w:r>
      <w:r w:rsidR="00EE4FC3">
        <w:t xml:space="preserve"> </w:t>
      </w:r>
      <w:r w:rsidRPr="00382917">
        <w:t>central</w:t>
      </w:r>
      <w:r w:rsidR="00EE4FC3">
        <w:t xml:space="preserve"> </w:t>
      </w:r>
      <w:r w:rsidRPr="00382917">
        <w:t>Turkish</w:t>
      </w:r>
      <w:r w:rsidR="00EE4FC3">
        <w:t xml:space="preserve"> </w:t>
      </w:r>
      <w:r w:rsidRPr="00382917">
        <w:t>government</w:t>
      </w:r>
      <w:r w:rsidR="00EE4FC3">
        <w:t xml:space="preserve"> </w:t>
      </w:r>
      <w:r w:rsidRPr="00382917">
        <w:t>in</w:t>
      </w:r>
      <w:r w:rsidR="00EE4FC3">
        <w:t xml:space="preserve"> </w:t>
      </w:r>
      <w:r w:rsidRPr="00382917">
        <w:t>Constantinople.</w:t>
      </w:r>
      <w:r w:rsidR="008E6528">
        <w:rPr>
          <w:rStyle w:val="FootnoteReference"/>
        </w:rPr>
        <w:footnoteReference w:id="140"/>
      </w:r>
    </w:p>
    <w:p w:rsidR="005B5622" w:rsidRPr="00382917" w:rsidRDefault="005B5622" w:rsidP="006340BC">
      <w:pPr>
        <w:pStyle w:val="Text"/>
      </w:pPr>
      <w:r w:rsidRPr="00382917">
        <w:t>During</w:t>
      </w:r>
      <w:r w:rsidR="00EE4FC3">
        <w:t xml:space="preserve"> </w:t>
      </w:r>
      <w:r w:rsidRPr="00382917">
        <w:t>her</w:t>
      </w:r>
      <w:r w:rsidR="00EE4FC3">
        <w:t xml:space="preserve"> </w:t>
      </w:r>
      <w:r w:rsidRPr="00382917">
        <w:t>imprisonment</w:t>
      </w:r>
      <w:r w:rsidR="00EE4FC3">
        <w:t xml:space="preserve"> </w:t>
      </w:r>
      <w:r w:rsidRPr="00382917">
        <w:t>there,</w:t>
      </w:r>
      <w:r w:rsidR="00EE4FC3">
        <w:t xml:space="preserve"> </w:t>
      </w:r>
      <w:r w:rsidRPr="00382917">
        <w:t>Ṭáhirih</w:t>
      </w:r>
      <w:r w:rsidR="00EE4FC3">
        <w:t xml:space="preserve"> </w:t>
      </w:r>
      <w:r w:rsidRPr="00382917">
        <w:t>defended</w:t>
      </w:r>
      <w:r w:rsidR="00EE4FC3">
        <w:t xml:space="preserve"> </w:t>
      </w:r>
      <w:r w:rsidRPr="00382917">
        <w:t>her</w:t>
      </w:r>
      <w:r w:rsidR="00EE4FC3">
        <w:t xml:space="preserve"> </w:t>
      </w:r>
      <w:r w:rsidRPr="00382917">
        <w:t>Faith</w:t>
      </w:r>
      <w:r w:rsidR="00EE4FC3">
        <w:t xml:space="preserve"> </w:t>
      </w:r>
      <w:r w:rsidRPr="00382917">
        <w:t>and</w:t>
      </w:r>
      <w:r w:rsidR="00EE4FC3">
        <w:t xml:space="preserve"> </w:t>
      </w:r>
      <w:r w:rsidRPr="00382917">
        <w:t>her</w:t>
      </w:r>
      <w:r w:rsidR="00EE4FC3">
        <w:t xml:space="preserve"> </w:t>
      </w:r>
      <w:r w:rsidRPr="00382917">
        <w:t>own</w:t>
      </w:r>
      <w:r w:rsidR="00EE4FC3">
        <w:t xml:space="preserve"> </w:t>
      </w:r>
      <w:r w:rsidRPr="00382917">
        <w:t>character</w:t>
      </w:r>
      <w:r w:rsidR="00EE4FC3">
        <w:t xml:space="preserve"> </w:t>
      </w:r>
      <w:r w:rsidRPr="00382917">
        <w:t>before</w:t>
      </w:r>
      <w:r w:rsidR="00EE4FC3">
        <w:t xml:space="preserve"> </w:t>
      </w:r>
      <w:r w:rsidRPr="00382917">
        <w:t>the</w:t>
      </w:r>
      <w:r w:rsidR="00EE4FC3">
        <w:t xml:space="preserve"> </w:t>
      </w:r>
      <w:r w:rsidRPr="00382917">
        <w:t>chief-lawyer</w:t>
      </w:r>
      <w:r w:rsidR="00EE4FC3">
        <w:t xml:space="preserve"> </w:t>
      </w:r>
      <w:r w:rsidRPr="00382917">
        <w:t>with</w:t>
      </w:r>
      <w:r w:rsidR="00EE4FC3">
        <w:t xml:space="preserve"> </w:t>
      </w:r>
      <w:r w:rsidRPr="00382917">
        <w:t>great</w:t>
      </w:r>
      <w:r w:rsidR="00EE4FC3">
        <w:t xml:space="preserve"> </w:t>
      </w:r>
      <w:r w:rsidRPr="00382917">
        <w:t>ability</w:t>
      </w:r>
      <w:r w:rsidR="00B71244">
        <w:t>.</w:t>
      </w:r>
      <w:r w:rsidR="00EE4FC3">
        <w:t xml:space="preserve">  </w:t>
      </w:r>
      <w:r w:rsidRPr="00382917">
        <w:t>Before</w:t>
      </w:r>
      <w:r w:rsidR="00EE4FC3">
        <w:t xml:space="preserve"> </w:t>
      </w:r>
      <w:r w:rsidRPr="00382917">
        <w:t>she</w:t>
      </w:r>
      <w:r w:rsidR="00EE4FC3">
        <w:t xml:space="preserve"> </w:t>
      </w:r>
      <w:r w:rsidRPr="00382917">
        <w:t>left</w:t>
      </w:r>
      <w:r w:rsidR="00EE4FC3">
        <w:t xml:space="preserve"> </w:t>
      </w:r>
      <w:r w:rsidRPr="00382917">
        <w:t>his</w:t>
      </w:r>
      <w:r w:rsidR="00EE4FC3">
        <w:t xml:space="preserve"> </w:t>
      </w:r>
      <w:r w:rsidRPr="00382917">
        <w:t>home,</w:t>
      </w:r>
      <w:r w:rsidR="00EE4FC3">
        <w:t xml:space="preserve"> </w:t>
      </w:r>
      <w:r w:rsidRPr="00382917">
        <w:t>he</w:t>
      </w:r>
      <w:r w:rsidR="00EE4FC3">
        <w:t xml:space="preserve"> </w:t>
      </w:r>
      <w:r w:rsidRPr="00382917">
        <w:t>told</w:t>
      </w:r>
      <w:r w:rsidR="00EE4FC3">
        <w:t xml:space="preserve"> </w:t>
      </w:r>
      <w:r w:rsidRPr="00382917">
        <w:t>her</w:t>
      </w:r>
      <w:r w:rsidR="00EE4FC3">
        <w:t xml:space="preserve"> </w:t>
      </w:r>
      <w:r w:rsidRPr="00382917">
        <w:t>sincerely,</w:t>
      </w:r>
      <w:r w:rsidR="00EE4FC3">
        <w:t xml:space="preserve"> </w:t>
      </w:r>
      <w:r w:rsidR="009C713D" w:rsidRPr="00382917">
        <w:t>“</w:t>
      </w:r>
      <w:r w:rsidRPr="00382917">
        <w:t>I</w:t>
      </w:r>
      <w:r w:rsidR="00EE4FC3">
        <w:t xml:space="preserve"> </w:t>
      </w:r>
      <w:r w:rsidRPr="00382917">
        <w:t>share</w:t>
      </w:r>
      <w:r w:rsidR="00EE4FC3">
        <w:t xml:space="preserve"> </w:t>
      </w:r>
      <w:r w:rsidRPr="00382917">
        <w:t>your</w:t>
      </w:r>
      <w:r w:rsidR="00EE4FC3">
        <w:t xml:space="preserve"> </w:t>
      </w:r>
      <w:r w:rsidRPr="00382917">
        <w:t>belief,</w:t>
      </w:r>
      <w:r w:rsidR="00EE4FC3">
        <w:t xml:space="preserve"> </w:t>
      </w:r>
      <w:r w:rsidRPr="00382917">
        <w:t>but</w:t>
      </w:r>
      <w:r w:rsidR="00EE4FC3">
        <w:t xml:space="preserve"> </w:t>
      </w:r>
      <w:r w:rsidRPr="00382917">
        <w:t>I</w:t>
      </w:r>
      <w:r w:rsidR="00EE4FC3">
        <w:t xml:space="preserve"> </w:t>
      </w:r>
      <w:r w:rsidRPr="00382917">
        <w:t>am</w:t>
      </w:r>
      <w:r w:rsidR="00EE4FC3">
        <w:t xml:space="preserve"> </w:t>
      </w:r>
      <w:r w:rsidRPr="00382917">
        <w:t>apprehensive</w:t>
      </w:r>
      <w:r w:rsidR="00EE4FC3">
        <w:t xml:space="preserve"> </w:t>
      </w:r>
      <w:r w:rsidRPr="00382917">
        <w:t>of</w:t>
      </w:r>
      <w:r w:rsidR="00EE4FC3">
        <w:t xml:space="preserve"> </w:t>
      </w:r>
      <w:r w:rsidRPr="00382917">
        <w:t>the</w:t>
      </w:r>
      <w:r w:rsidR="00EE4FC3">
        <w:t xml:space="preserve"> </w:t>
      </w:r>
      <w:r w:rsidRPr="00382917">
        <w:t>swords</w:t>
      </w:r>
      <w:r w:rsidR="00EE4FC3">
        <w:t xml:space="preserve"> </w:t>
      </w:r>
      <w:r w:rsidRPr="00382917">
        <w:t>of</w:t>
      </w:r>
      <w:r w:rsidR="00EE4FC3">
        <w:t xml:space="preserve"> </w:t>
      </w:r>
      <w:r w:rsidRPr="00382917">
        <w:t>the</w:t>
      </w:r>
      <w:r w:rsidR="00EE4FC3">
        <w:t xml:space="preserve"> </w:t>
      </w:r>
      <w:r w:rsidRPr="00382917">
        <w:t>ruling</w:t>
      </w:r>
      <w:r w:rsidR="00EE4FC3">
        <w:t xml:space="preserve"> </w:t>
      </w:r>
      <w:r w:rsidRPr="00382917">
        <w:t>family</w:t>
      </w:r>
      <w:r w:rsidR="00EE4FC3">
        <w:t xml:space="preserve"> </w:t>
      </w:r>
      <w:r w:rsidRPr="00382917">
        <w:t>of</w:t>
      </w:r>
      <w:r w:rsidR="00EE4FC3">
        <w:t xml:space="preserve"> </w:t>
      </w:r>
      <w:r w:rsidRPr="00382917">
        <w:t>Turkey.</w:t>
      </w:r>
      <w:r w:rsidR="009C713D" w:rsidRPr="00382917">
        <w:t>”</w:t>
      </w:r>
    </w:p>
    <w:p w:rsidR="00E13D49" w:rsidRPr="00382917" w:rsidRDefault="005B5622" w:rsidP="00192E17">
      <w:pPr>
        <w:pStyle w:val="Text"/>
      </w:pPr>
      <w:r w:rsidRPr="00382917">
        <w:t>With</w:t>
      </w:r>
      <w:r w:rsidR="00EE4FC3">
        <w:t xml:space="preserve"> </w:t>
      </w:r>
      <w:r w:rsidRPr="00382917">
        <w:t>so</w:t>
      </w:r>
      <w:r w:rsidR="00EE4FC3">
        <w:t xml:space="preserve"> </w:t>
      </w:r>
      <w:r w:rsidRPr="00382917">
        <w:t>many</w:t>
      </w:r>
      <w:r w:rsidR="00EE4FC3">
        <w:t xml:space="preserve"> </w:t>
      </w:r>
      <w:r w:rsidRPr="00382917">
        <w:t>powerful</w:t>
      </w:r>
      <w:r w:rsidR="00EE4FC3">
        <w:t xml:space="preserve"> </w:t>
      </w:r>
      <w:r w:rsidRPr="00382917">
        <w:t>local</w:t>
      </w:r>
      <w:r w:rsidR="00EE4FC3">
        <w:t xml:space="preserve"> </w:t>
      </w:r>
      <w:r w:rsidRPr="00382917">
        <w:t>leaders</w:t>
      </w:r>
      <w:r w:rsidR="00EE4FC3">
        <w:t xml:space="preserve"> </w:t>
      </w:r>
      <w:r w:rsidRPr="00382917">
        <w:t>pitted</w:t>
      </w:r>
      <w:r w:rsidR="00EE4FC3">
        <w:t xml:space="preserve"> </w:t>
      </w:r>
      <w:r w:rsidRPr="00382917">
        <w:t>against</w:t>
      </w:r>
      <w:r w:rsidR="00EE4FC3">
        <w:t xml:space="preserve"> </w:t>
      </w:r>
      <w:r w:rsidRPr="00382917">
        <w:t>her,</w:t>
      </w:r>
      <w:r w:rsidR="00EE4FC3">
        <w:t xml:space="preserve"> </w:t>
      </w:r>
      <w:r w:rsidRPr="00382917">
        <w:t>the</w:t>
      </w:r>
      <w:r w:rsidR="00EE4FC3">
        <w:t xml:space="preserve"> </w:t>
      </w:r>
      <w:r w:rsidRPr="00382917">
        <w:t>government</w:t>
      </w:r>
      <w:r w:rsidR="00EE4FC3">
        <w:t xml:space="preserve"> </w:t>
      </w:r>
      <w:r w:rsidRPr="00382917">
        <w:t>felt</w:t>
      </w:r>
      <w:r w:rsidR="00EE4FC3">
        <w:t xml:space="preserve"> </w:t>
      </w:r>
      <w:r w:rsidRPr="00382917">
        <w:t>the</w:t>
      </w:r>
      <w:r w:rsidR="00EE4FC3">
        <w:t xml:space="preserve"> </w:t>
      </w:r>
      <w:r w:rsidRPr="00382917">
        <w:t>question</w:t>
      </w:r>
      <w:r w:rsidR="00EE4FC3">
        <w:t xml:space="preserve"> </w:t>
      </w:r>
      <w:r w:rsidRPr="00382917">
        <w:t>had</w:t>
      </w:r>
      <w:r w:rsidR="00EE4FC3">
        <w:t xml:space="preserve"> </w:t>
      </w:r>
      <w:r w:rsidRPr="00382917">
        <w:t>to</w:t>
      </w:r>
      <w:r w:rsidR="00EE4FC3">
        <w:t xml:space="preserve"> </w:t>
      </w:r>
      <w:r w:rsidRPr="00382917">
        <w:t>be</w:t>
      </w:r>
      <w:r w:rsidR="00EE4FC3">
        <w:t xml:space="preserve"> </w:t>
      </w:r>
      <w:r w:rsidRPr="00382917">
        <w:t>settled</w:t>
      </w:r>
      <w:r w:rsidR="00EE4FC3">
        <w:t xml:space="preserve"> </w:t>
      </w:r>
      <w:r w:rsidRPr="00382917">
        <w:t>quickly</w:t>
      </w:r>
      <w:r w:rsidR="00EE4FC3">
        <w:t xml:space="preserve"> </w:t>
      </w:r>
      <w:r w:rsidRPr="00382917">
        <w:t>as</w:t>
      </w:r>
      <w:r w:rsidR="00EE4FC3">
        <w:t xml:space="preserve"> </w:t>
      </w:r>
      <w:r w:rsidRPr="00382917">
        <w:t>to</w:t>
      </w:r>
      <w:r w:rsidR="00EE4FC3">
        <w:t xml:space="preserve"> </w:t>
      </w:r>
      <w:r w:rsidRPr="00382917">
        <w:t>whether</w:t>
      </w:r>
      <w:r w:rsidR="00EE4FC3">
        <w:t xml:space="preserve"> </w:t>
      </w:r>
      <w:r w:rsidRPr="00382917">
        <w:t>or</w:t>
      </w:r>
      <w:r w:rsidR="00EE4FC3">
        <w:t xml:space="preserve"> </w:t>
      </w:r>
      <w:r w:rsidRPr="00382917">
        <w:t>not</w:t>
      </w:r>
      <w:r w:rsidR="00EE4FC3">
        <w:t xml:space="preserve"> </w:t>
      </w:r>
      <w:r w:rsidRPr="00382917">
        <w:t>she</w:t>
      </w:r>
      <w:r w:rsidR="00EE4FC3">
        <w:t xml:space="preserve"> </w:t>
      </w:r>
      <w:r w:rsidRPr="00382917">
        <w:t>should</w:t>
      </w:r>
      <w:r w:rsidR="00EE4FC3">
        <w:t xml:space="preserve"> </w:t>
      </w:r>
      <w:r w:rsidRPr="00382917">
        <w:t>be</w:t>
      </w:r>
      <w:r w:rsidR="00EE4FC3">
        <w:t xml:space="preserve"> </w:t>
      </w:r>
      <w:r w:rsidRPr="00382917">
        <w:t>permitted</w:t>
      </w:r>
      <w:r w:rsidR="00EE4FC3">
        <w:t xml:space="preserve"> </w:t>
      </w:r>
      <w:r w:rsidRPr="00382917">
        <w:t>to</w:t>
      </w:r>
      <w:r w:rsidR="00EE4FC3">
        <w:t xml:space="preserve"> </w:t>
      </w:r>
      <w:r w:rsidRPr="00382917">
        <w:t>continue</w:t>
      </w:r>
      <w:r w:rsidR="00EE4FC3">
        <w:t xml:space="preserve"> </w:t>
      </w:r>
      <w:r w:rsidRPr="00382917">
        <w:t>her</w:t>
      </w:r>
      <w:r w:rsidR="00EE4FC3">
        <w:t xml:space="preserve"> </w:t>
      </w:r>
      <w:r w:rsidRPr="00382917">
        <w:t>teaching</w:t>
      </w:r>
      <w:r w:rsidR="00B71244">
        <w:t>.</w:t>
      </w:r>
      <w:r w:rsidR="00EE4FC3">
        <w:t xml:space="preserve">  </w:t>
      </w:r>
      <w:r w:rsidRPr="00382917">
        <w:t>Her</w:t>
      </w:r>
      <w:r w:rsidR="00EE4FC3">
        <w:t xml:space="preserve"> </w:t>
      </w:r>
      <w:r w:rsidRPr="00382917">
        <w:t>case</w:t>
      </w:r>
      <w:r w:rsidR="00EE4FC3">
        <w:t xml:space="preserve"> </w:t>
      </w:r>
      <w:r w:rsidRPr="00382917">
        <w:t>was</w:t>
      </w:r>
      <w:r w:rsidR="00EE4FC3">
        <w:t xml:space="preserve"> </w:t>
      </w:r>
      <w:r w:rsidRPr="00382917">
        <w:t>submitted</w:t>
      </w:r>
      <w:r w:rsidR="00EE4FC3">
        <w:t xml:space="preserve"> </w:t>
      </w:r>
      <w:r w:rsidRPr="00382917">
        <w:t>first</w:t>
      </w:r>
      <w:r w:rsidR="00EE4FC3">
        <w:t xml:space="preserve"> </w:t>
      </w:r>
      <w:r w:rsidRPr="00382917">
        <w:t>to</w:t>
      </w:r>
      <w:r w:rsidR="00EE4FC3">
        <w:t xml:space="preserve"> </w:t>
      </w:r>
      <w:r w:rsidRPr="00382917">
        <w:t>the</w:t>
      </w:r>
      <w:r w:rsidR="00EE4FC3">
        <w:t xml:space="preserve"> </w:t>
      </w:r>
      <w:r w:rsidRPr="00382917">
        <w:t>governor</w:t>
      </w:r>
      <w:r w:rsidR="00EE4FC3">
        <w:t xml:space="preserve"> </w:t>
      </w:r>
      <w:r w:rsidRPr="00382917">
        <w:t>of</w:t>
      </w:r>
      <w:r w:rsidR="00EE4FC3">
        <w:t xml:space="preserve"> </w:t>
      </w:r>
      <w:r w:rsidR="00664069" w:rsidRPr="00382917">
        <w:t>Ba</w:t>
      </w:r>
      <w:r w:rsidR="00664069" w:rsidRPr="00664069">
        <w:rPr>
          <w:u w:val="single"/>
        </w:rPr>
        <w:t>gh</w:t>
      </w:r>
      <w:r w:rsidR="00664069" w:rsidRPr="00382917">
        <w:t>d</w:t>
      </w:r>
      <w:r w:rsidR="00664069" w:rsidRPr="00664069">
        <w:t>á</w:t>
      </w:r>
      <w:r w:rsidR="00664069" w:rsidRPr="00382917">
        <w:t>d</w:t>
      </w:r>
      <w:r w:rsidRPr="00382917">
        <w:t>,</w:t>
      </w:r>
      <w:r w:rsidR="00EE4FC3">
        <w:t xml:space="preserve"> </w:t>
      </w:r>
      <w:r w:rsidRPr="00382917">
        <w:t>and</w:t>
      </w:r>
      <w:r w:rsidR="00EE4FC3">
        <w:t xml:space="preserve"> </w:t>
      </w:r>
      <w:r w:rsidRPr="00382917">
        <w:t>finally</w:t>
      </w:r>
      <w:r w:rsidR="00EE4FC3">
        <w:t xml:space="preserve"> </w:t>
      </w:r>
      <w:r w:rsidRPr="00382917">
        <w:t>to</w:t>
      </w:r>
      <w:r w:rsidR="00EE4FC3">
        <w:t xml:space="preserve"> </w:t>
      </w:r>
      <w:r w:rsidRPr="00382917">
        <w:t>the</w:t>
      </w:r>
      <w:r w:rsidR="00EE4FC3">
        <w:t xml:space="preserve"> </w:t>
      </w:r>
      <w:r w:rsidRPr="00382917">
        <w:t>authorities</w:t>
      </w:r>
      <w:r w:rsidR="00EE4FC3">
        <w:t xml:space="preserve"> </w:t>
      </w:r>
      <w:r w:rsidRPr="00382917">
        <w:t>in</w:t>
      </w:r>
      <w:r w:rsidR="00EE4FC3">
        <w:t xml:space="preserve"> </w:t>
      </w:r>
      <w:r w:rsidRPr="00382917">
        <w:t>Constantinople.</w:t>
      </w:r>
      <w:r w:rsidR="00192E17">
        <w:rPr>
          <w:rStyle w:val="FootnoteReference"/>
        </w:rPr>
        <w:footnoteReference w:id="141"/>
      </w:r>
    </w:p>
    <w:p w:rsidR="00E13D49" w:rsidRPr="00382917" w:rsidRDefault="005B5622" w:rsidP="00E719B4">
      <w:pPr>
        <w:pStyle w:val="Text"/>
      </w:pPr>
      <w:r w:rsidRPr="00382917">
        <w:t>That</w:t>
      </w:r>
      <w:r w:rsidR="00EE4FC3">
        <w:t xml:space="preserve"> </w:t>
      </w:r>
      <w:r w:rsidRPr="00382917">
        <w:t>same</w:t>
      </w:r>
      <w:r w:rsidR="00EE4FC3">
        <w:t xml:space="preserve"> </w:t>
      </w:r>
      <w:r w:rsidRPr="00382917">
        <w:t>lawyer</w:t>
      </w:r>
      <w:r w:rsidR="00EE4FC3">
        <w:t xml:space="preserve"> </w:t>
      </w:r>
      <w:r w:rsidRPr="00382917">
        <w:t>later</w:t>
      </w:r>
      <w:r w:rsidR="00EE4FC3">
        <w:t xml:space="preserve"> </w:t>
      </w:r>
      <w:r w:rsidRPr="00382917">
        <w:t>wrote</w:t>
      </w:r>
      <w:r w:rsidR="00EE4FC3">
        <w:t xml:space="preserve"> </w:t>
      </w:r>
      <w:r w:rsidRPr="00382917">
        <w:t>a</w:t>
      </w:r>
      <w:r w:rsidR="00EE4FC3">
        <w:t xml:space="preserve"> </w:t>
      </w:r>
      <w:r w:rsidRPr="00382917">
        <w:t>book</w:t>
      </w:r>
      <w:r w:rsidR="00EE4FC3">
        <w:t xml:space="preserve"> </w:t>
      </w:r>
      <w:r w:rsidRPr="00382917">
        <w:t>in</w:t>
      </w:r>
      <w:r w:rsidR="00EE4FC3">
        <w:t xml:space="preserve"> </w:t>
      </w:r>
      <w:r w:rsidRPr="00382917">
        <w:t>Arabic</w:t>
      </w:r>
      <w:r w:rsidR="00EE4FC3">
        <w:t xml:space="preserve"> </w:t>
      </w:r>
      <w:r w:rsidRPr="00382917">
        <w:t>in</w:t>
      </w:r>
      <w:r w:rsidR="00EE4FC3">
        <w:t xml:space="preserve"> </w:t>
      </w:r>
      <w:r w:rsidRPr="00382917">
        <w:t>which</w:t>
      </w:r>
      <w:r w:rsidR="00EE4FC3">
        <w:t xml:space="preserve"> </w:t>
      </w:r>
      <w:r w:rsidRPr="00382917">
        <w:t>he</w:t>
      </w:r>
      <w:r w:rsidR="00EE4FC3">
        <w:t xml:space="preserve"> </w:t>
      </w:r>
      <w:r w:rsidRPr="00382917">
        <w:t>spoke</w:t>
      </w:r>
      <w:r w:rsidR="00EE4FC3">
        <w:t xml:space="preserve"> </w:t>
      </w:r>
      <w:r w:rsidRPr="00382917">
        <w:t>of</w:t>
      </w:r>
      <w:r w:rsidR="00EE4FC3">
        <w:t xml:space="preserve"> </w:t>
      </w:r>
      <w:r w:rsidRPr="00382917">
        <w:t>Ṭáhirih</w:t>
      </w:r>
      <w:r w:rsidR="009C713D" w:rsidRPr="00382917">
        <w:t>’</w:t>
      </w:r>
      <w:r w:rsidRPr="00382917">
        <w:t>s</w:t>
      </w:r>
      <w:r w:rsidR="00EE4FC3">
        <w:t xml:space="preserve"> </w:t>
      </w:r>
      <w:r w:rsidRPr="00382917">
        <w:t>stay</w:t>
      </w:r>
      <w:r w:rsidR="00EE4FC3">
        <w:t xml:space="preserve"> </w:t>
      </w:r>
      <w:r w:rsidRPr="00382917">
        <w:t>in</w:t>
      </w:r>
      <w:r w:rsidR="00EE4FC3">
        <w:t xml:space="preserve"> </w:t>
      </w:r>
      <w:r w:rsidRPr="00382917">
        <w:t>his</w:t>
      </w:r>
      <w:r w:rsidR="00EE4FC3">
        <w:t xml:space="preserve"> </w:t>
      </w:r>
      <w:r w:rsidRPr="00382917">
        <w:t>home</w:t>
      </w:r>
      <w:r w:rsidR="00B71244">
        <w:t>.</w:t>
      </w:r>
      <w:r w:rsidR="00EE4FC3">
        <w:t xml:space="preserve">  </w:t>
      </w:r>
      <w:r w:rsidRPr="00382917">
        <w:t>He</w:t>
      </w:r>
      <w:r w:rsidR="00EE4FC3">
        <w:t xml:space="preserve"> </w:t>
      </w:r>
      <w:r w:rsidRPr="00382917">
        <w:t>said</w:t>
      </w:r>
      <w:r w:rsidR="00EE4FC3">
        <w:t xml:space="preserve"> </w:t>
      </w:r>
      <w:r w:rsidRPr="00382917">
        <w:t>that</w:t>
      </w:r>
      <w:r w:rsidR="00EE4FC3">
        <w:t xml:space="preserve"> </w:t>
      </w:r>
      <w:r w:rsidRPr="00382917">
        <w:t>every</w:t>
      </w:r>
      <w:r w:rsidR="00EE4FC3">
        <w:t xml:space="preserve"> </w:t>
      </w:r>
      <w:r w:rsidRPr="00382917">
        <w:t>morning</w:t>
      </w:r>
      <w:r w:rsidR="00EE4FC3">
        <w:t xml:space="preserve"> </w:t>
      </w:r>
      <w:r w:rsidRPr="00382917">
        <w:t>in</w:t>
      </w:r>
      <w:r w:rsidR="00EE4FC3">
        <w:t xml:space="preserve"> </w:t>
      </w:r>
      <w:r w:rsidRPr="00382917">
        <w:t>the</w:t>
      </w:r>
      <w:r w:rsidR="00EE4FC3">
        <w:t xml:space="preserve"> </w:t>
      </w:r>
      <w:r w:rsidRPr="00382917">
        <w:t>early</w:t>
      </w:r>
      <w:r w:rsidR="00EE4FC3">
        <w:t xml:space="preserve"> </w:t>
      </w:r>
      <w:r w:rsidRPr="00382917">
        <w:t>hours</w:t>
      </w:r>
      <w:r w:rsidR="00EE4FC3">
        <w:t xml:space="preserve"> </w:t>
      </w:r>
      <w:r w:rsidRPr="00382917">
        <w:t>of</w:t>
      </w:r>
      <w:r w:rsidR="00EE4FC3">
        <w:t xml:space="preserve"> </w:t>
      </w:r>
      <w:r w:rsidRPr="00382917">
        <w:t>dawn</w:t>
      </w:r>
      <w:r w:rsidR="00EE4FC3">
        <w:t xml:space="preserve"> </w:t>
      </w:r>
      <w:r w:rsidRPr="00382917">
        <w:t>she</w:t>
      </w:r>
      <w:r w:rsidR="00EE4FC3">
        <w:t xml:space="preserve"> </w:t>
      </w:r>
      <w:r w:rsidRPr="00382917">
        <w:t>would</w:t>
      </w:r>
      <w:r w:rsidR="00EE4FC3">
        <w:t xml:space="preserve"> </w:t>
      </w:r>
      <w:r w:rsidRPr="00382917">
        <w:t>arise</w:t>
      </w:r>
      <w:r w:rsidR="00EE4FC3">
        <w:t xml:space="preserve"> </w:t>
      </w:r>
      <w:r w:rsidRPr="00382917">
        <w:t>to</w:t>
      </w:r>
      <w:r w:rsidR="00EE4FC3">
        <w:t xml:space="preserve"> </w:t>
      </w:r>
      <w:r w:rsidRPr="00382917">
        <w:t>pray</w:t>
      </w:r>
      <w:r w:rsidR="00EE4FC3">
        <w:t xml:space="preserve"> </w:t>
      </w:r>
      <w:r w:rsidRPr="00382917">
        <w:t>and</w:t>
      </w:r>
      <w:r w:rsidR="00EE4FC3">
        <w:t xml:space="preserve"> </w:t>
      </w:r>
      <w:r w:rsidRPr="00382917">
        <w:t>meditate</w:t>
      </w:r>
      <w:r w:rsidR="00B71244">
        <w:t>.</w:t>
      </w:r>
      <w:r w:rsidR="00EE4FC3">
        <w:t xml:space="preserve">  </w:t>
      </w:r>
      <w:r w:rsidRPr="00382917">
        <w:t>She</w:t>
      </w:r>
      <w:r w:rsidR="00EE4FC3">
        <w:t xml:space="preserve"> </w:t>
      </w:r>
      <w:r w:rsidRPr="00382917">
        <w:t>fasted</w:t>
      </w:r>
      <w:r w:rsidR="00EE4FC3">
        <w:t xml:space="preserve"> </w:t>
      </w:r>
      <w:r w:rsidRPr="00382917">
        <w:t>frequently</w:t>
      </w:r>
      <w:r w:rsidR="00B71244">
        <w:t>.</w:t>
      </w:r>
      <w:r w:rsidR="00EE4FC3">
        <w:t xml:space="preserve">  </w:t>
      </w:r>
      <w:r w:rsidRPr="00382917">
        <w:t>He</w:t>
      </w:r>
      <w:r w:rsidR="00EE4FC3">
        <w:t xml:space="preserve"> </w:t>
      </w:r>
      <w:r w:rsidRPr="00382917">
        <w:t>stated</w:t>
      </w:r>
      <w:r w:rsidR="00EE4FC3">
        <w:t xml:space="preserve"> </w:t>
      </w:r>
      <w:r w:rsidRPr="00382917">
        <w:t>that</w:t>
      </w:r>
      <w:r w:rsidR="00EE4FC3">
        <w:t xml:space="preserve"> </w:t>
      </w:r>
      <w:r w:rsidRPr="00382917">
        <w:t>he</w:t>
      </w:r>
      <w:r w:rsidR="00EE4FC3">
        <w:t xml:space="preserve"> </w:t>
      </w:r>
      <w:r w:rsidRPr="00382917">
        <w:t>had</w:t>
      </w:r>
      <w:r w:rsidR="00EE4FC3">
        <w:t xml:space="preserve"> </w:t>
      </w:r>
      <w:r w:rsidRPr="00382917">
        <w:t>never</w:t>
      </w:r>
      <w:r w:rsidR="00EE4FC3">
        <w:t xml:space="preserve"> </w:t>
      </w:r>
      <w:r w:rsidRPr="00382917">
        <w:t>seen</w:t>
      </w:r>
      <w:r w:rsidR="00EE4FC3">
        <w:t xml:space="preserve"> </w:t>
      </w:r>
      <w:r w:rsidRPr="00382917">
        <w:t>a</w:t>
      </w:r>
      <w:r w:rsidR="00EE4FC3">
        <w:t xml:space="preserve"> </w:t>
      </w:r>
      <w:r w:rsidRPr="00382917">
        <w:t>woman</w:t>
      </w:r>
      <w:r w:rsidR="00EE4FC3">
        <w:t xml:space="preserve"> </w:t>
      </w:r>
      <w:r w:rsidRPr="00382917">
        <w:t>more</w:t>
      </w:r>
      <w:r w:rsidR="00EE4FC3">
        <w:t xml:space="preserve"> </w:t>
      </w:r>
      <w:r w:rsidRPr="00382917">
        <w:t>virtuous,</w:t>
      </w:r>
      <w:r w:rsidR="00EE4FC3">
        <w:t xml:space="preserve"> </w:t>
      </w:r>
      <w:r w:rsidRPr="00382917">
        <w:t>more</w:t>
      </w:r>
      <w:r w:rsidR="00EE4FC3">
        <w:t xml:space="preserve"> </w:t>
      </w:r>
      <w:r w:rsidRPr="00382917">
        <w:t>devoted,</w:t>
      </w:r>
      <w:r w:rsidR="00EE4FC3">
        <w:t xml:space="preserve"> </w:t>
      </w:r>
      <w:r w:rsidRPr="00382917">
        <w:t>nor</w:t>
      </w:r>
      <w:r w:rsidR="00EE4FC3">
        <w:t xml:space="preserve"> </w:t>
      </w:r>
      <w:r w:rsidRPr="00382917">
        <w:t>had</w:t>
      </w:r>
      <w:r w:rsidR="00EE4FC3">
        <w:t xml:space="preserve"> </w:t>
      </w:r>
      <w:r w:rsidRPr="00382917">
        <w:t>he</w:t>
      </w:r>
      <w:r w:rsidR="00EE4FC3">
        <w:t xml:space="preserve"> </w:t>
      </w:r>
      <w:r w:rsidRPr="00382917">
        <w:t>seen</w:t>
      </w:r>
      <w:r w:rsidR="00EE4FC3">
        <w:t xml:space="preserve"> </w:t>
      </w:r>
      <w:r w:rsidRPr="00382917">
        <w:t>any</w:t>
      </w:r>
      <w:r w:rsidR="00EE4FC3">
        <w:t xml:space="preserve"> </w:t>
      </w:r>
      <w:r w:rsidRPr="00382917">
        <w:t>man</w:t>
      </w:r>
      <w:r w:rsidR="00EE4FC3">
        <w:t xml:space="preserve"> </w:t>
      </w:r>
      <w:r w:rsidRPr="00382917">
        <w:t>more</w:t>
      </w:r>
      <w:r w:rsidR="00EE4FC3">
        <w:t xml:space="preserve"> </w:t>
      </w:r>
      <w:r w:rsidRPr="00382917">
        <w:t>learned</w:t>
      </w:r>
      <w:r w:rsidR="00EE4FC3">
        <w:t xml:space="preserve"> </w:t>
      </w:r>
      <w:r w:rsidRPr="00382917">
        <w:t>or</w:t>
      </w:r>
      <w:r w:rsidR="00EE4FC3">
        <w:t xml:space="preserve"> </w:t>
      </w:r>
      <w:r w:rsidRPr="00382917">
        <w:t>more</w:t>
      </w:r>
      <w:r w:rsidR="00EE4FC3">
        <w:t xml:space="preserve"> </w:t>
      </w:r>
      <w:r w:rsidRPr="00382917">
        <w:t>courageous</w:t>
      </w:r>
      <w:r w:rsidR="00EE4FC3">
        <w:t xml:space="preserve"> </w:t>
      </w:r>
      <w:r w:rsidRPr="00382917">
        <w:t>than</w:t>
      </w:r>
      <w:r w:rsidR="00EE4FC3">
        <w:t xml:space="preserve"> </w:t>
      </w:r>
      <w:r w:rsidRPr="00382917">
        <w:t>she.</w:t>
      </w:r>
      <w:r w:rsidR="00E719B4">
        <w:rPr>
          <w:rStyle w:val="FootnoteReference"/>
        </w:rPr>
        <w:footnoteReference w:id="142"/>
      </w:r>
    </w:p>
    <w:p w:rsidR="005B5622" w:rsidRPr="00382917" w:rsidRDefault="005B5622" w:rsidP="006340BC">
      <w:pPr>
        <w:pStyle w:val="Text"/>
      </w:pPr>
      <w:r w:rsidRPr="00382917">
        <w:t>One</w:t>
      </w:r>
      <w:r w:rsidR="00EE4FC3">
        <w:t xml:space="preserve"> </w:t>
      </w:r>
      <w:r w:rsidRPr="00382917">
        <w:t>evening</w:t>
      </w:r>
      <w:r w:rsidR="00EE4FC3">
        <w:t xml:space="preserve"> </w:t>
      </w:r>
      <w:r w:rsidRPr="00382917">
        <w:t>the</w:t>
      </w:r>
      <w:r w:rsidR="00EE4FC3">
        <w:t xml:space="preserve"> </w:t>
      </w:r>
      <w:r w:rsidRPr="00382917">
        <w:t>chief-lawyer</w:t>
      </w:r>
      <w:r w:rsidR="009C713D" w:rsidRPr="00382917">
        <w:t>’</w:t>
      </w:r>
      <w:r w:rsidRPr="00382917">
        <w:t>s</w:t>
      </w:r>
      <w:r w:rsidR="00EE4FC3">
        <w:t xml:space="preserve"> </w:t>
      </w:r>
      <w:r w:rsidRPr="00382917">
        <w:t>father</w:t>
      </w:r>
      <w:r w:rsidR="00EE4FC3">
        <w:t xml:space="preserve"> </w:t>
      </w:r>
      <w:r w:rsidRPr="00382917">
        <w:t>came</w:t>
      </w:r>
      <w:r w:rsidR="00EE4FC3">
        <w:t xml:space="preserve"> </w:t>
      </w:r>
      <w:r w:rsidRPr="00382917">
        <w:t>to</w:t>
      </w:r>
      <w:r w:rsidR="00EE4FC3">
        <w:t xml:space="preserve"> </w:t>
      </w:r>
      <w:r w:rsidRPr="00382917">
        <w:t>call</w:t>
      </w:r>
      <w:r w:rsidR="00EE4FC3">
        <w:t xml:space="preserve"> </w:t>
      </w:r>
      <w:r w:rsidRPr="00382917">
        <w:t>upon</w:t>
      </w:r>
      <w:r w:rsidR="00EE4FC3">
        <w:t xml:space="preserve"> </w:t>
      </w:r>
      <w:r w:rsidRPr="00382917">
        <w:t>his</w:t>
      </w:r>
      <w:r w:rsidR="00EE4FC3">
        <w:t xml:space="preserve"> </w:t>
      </w:r>
      <w:r w:rsidRPr="00382917">
        <w:t>son</w:t>
      </w:r>
      <w:r w:rsidR="00B71244">
        <w:t>.</w:t>
      </w:r>
      <w:r w:rsidR="00EE4FC3">
        <w:t xml:space="preserve">  </w:t>
      </w:r>
      <w:r w:rsidRPr="00382917">
        <w:t>He</w:t>
      </w:r>
      <w:r w:rsidR="00EE4FC3">
        <w:t xml:space="preserve"> </w:t>
      </w:r>
      <w:r w:rsidRPr="00382917">
        <w:t>did</w:t>
      </w:r>
      <w:r w:rsidR="00EE4FC3">
        <w:t xml:space="preserve"> </w:t>
      </w:r>
      <w:r w:rsidRPr="00382917">
        <w:t>not</w:t>
      </w:r>
      <w:r w:rsidR="00EE4FC3">
        <w:t xml:space="preserve"> </w:t>
      </w:r>
      <w:r w:rsidRPr="00382917">
        <w:t>even</w:t>
      </w:r>
      <w:r w:rsidR="00EE4FC3">
        <w:t xml:space="preserve"> </w:t>
      </w:r>
      <w:r w:rsidRPr="00382917">
        <w:t>greet</w:t>
      </w:r>
      <w:r w:rsidR="00EE4FC3">
        <w:t xml:space="preserve"> </w:t>
      </w:r>
      <w:r w:rsidRPr="00382917">
        <w:t>Ṭáhirih</w:t>
      </w:r>
      <w:r w:rsidR="00B71244">
        <w:t>.</w:t>
      </w:r>
      <w:r w:rsidR="00EE4FC3">
        <w:t xml:space="preserve">  </w:t>
      </w:r>
      <w:r w:rsidRPr="00382917">
        <w:t>Instead,</w:t>
      </w:r>
      <w:r w:rsidR="00EE4FC3">
        <w:t xml:space="preserve"> </w:t>
      </w:r>
      <w:r w:rsidRPr="00382917">
        <w:t>in</w:t>
      </w:r>
      <w:r w:rsidR="00EE4FC3">
        <w:t xml:space="preserve"> </w:t>
      </w:r>
      <w:r w:rsidRPr="00382917">
        <w:t>her</w:t>
      </w:r>
      <w:r w:rsidR="00EE4FC3">
        <w:t xml:space="preserve"> </w:t>
      </w:r>
      <w:r w:rsidRPr="00382917">
        <w:t>presence,</w:t>
      </w:r>
      <w:r w:rsidR="00EE4FC3">
        <w:t xml:space="preserve"> </w:t>
      </w:r>
      <w:r w:rsidRPr="00382917">
        <w:t>he</w:t>
      </w:r>
      <w:r w:rsidR="00EE4FC3">
        <w:t xml:space="preserve"> </w:t>
      </w:r>
      <w:r w:rsidRPr="00382917">
        <w:t>began</w:t>
      </w:r>
      <w:r w:rsidR="00EE4FC3">
        <w:t xml:space="preserve"> </w:t>
      </w:r>
      <w:r w:rsidRPr="00382917">
        <w:t>to</w:t>
      </w:r>
      <w:r w:rsidR="00EE4FC3">
        <w:t xml:space="preserve"> </w:t>
      </w:r>
      <w:r w:rsidRPr="00382917">
        <w:t>rebuke</w:t>
      </w:r>
      <w:r w:rsidR="00EE4FC3">
        <w:t xml:space="preserve"> </w:t>
      </w:r>
      <w:r w:rsidRPr="00382917">
        <w:t>his</w:t>
      </w:r>
      <w:r w:rsidR="00EE4FC3">
        <w:t xml:space="preserve"> </w:t>
      </w:r>
      <w:r w:rsidRPr="00382917">
        <w:t>son</w:t>
      </w:r>
      <w:r w:rsidR="00EE4FC3">
        <w:t xml:space="preserve"> </w:t>
      </w:r>
      <w:r w:rsidRPr="00382917">
        <w:t>for</w:t>
      </w:r>
      <w:r w:rsidR="00EE4FC3">
        <w:t xml:space="preserve"> </w:t>
      </w:r>
      <w:r w:rsidRPr="00382917">
        <w:t>his</w:t>
      </w:r>
      <w:r w:rsidR="00EE4FC3">
        <w:t xml:space="preserve"> </w:t>
      </w:r>
      <w:r w:rsidRPr="00382917">
        <w:t>kindness</w:t>
      </w:r>
      <w:r w:rsidR="00EE4FC3">
        <w:t xml:space="preserve"> </w:t>
      </w:r>
      <w:r w:rsidRPr="00382917">
        <w:t>to</w:t>
      </w:r>
      <w:r w:rsidR="00EE4FC3">
        <w:t xml:space="preserve"> </w:t>
      </w:r>
      <w:r w:rsidRPr="00382917">
        <w:t>her</w:t>
      </w:r>
      <w:r w:rsidR="00EE4FC3">
        <w:t xml:space="preserve"> </w:t>
      </w:r>
      <w:r w:rsidRPr="00382917">
        <w:t>and</w:t>
      </w:r>
      <w:r w:rsidR="00EE4FC3">
        <w:t xml:space="preserve"> </w:t>
      </w:r>
      <w:r w:rsidRPr="00382917">
        <w:t>cursed</w:t>
      </w:r>
      <w:r w:rsidR="00EE4FC3">
        <w:t xml:space="preserve"> </w:t>
      </w:r>
      <w:r w:rsidRPr="00382917">
        <w:t>her</w:t>
      </w:r>
      <w:r w:rsidR="00EE4FC3">
        <w:t xml:space="preserve"> </w:t>
      </w:r>
      <w:r w:rsidRPr="00382917">
        <w:t>as</w:t>
      </w:r>
      <w:r w:rsidR="00EE4FC3">
        <w:t xml:space="preserve"> </w:t>
      </w:r>
      <w:r w:rsidRPr="00382917">
        <w:t>an</w:t>
      </w:r>
      <w:r w:rsidR="00EE4FC3">
        <w:t xml:space="preserve"> </w:t>
      </w:r>
      <w:r w:rsidRPr="00382917">
        <w:t>enemy</w:t>
      </w:r>
      <w:r w:rsidR="00EE4FC3">
        <w:t xml:space="preserve"> </w:t>
      </w:r>
      <w:r w:rsidRPr="00382917">
        <w:t>of</w:t>
      </w:r>
      <w:r w:rsidR="00EE4FC3">
        <w:t xml:space="preserve"> </w:t>
      </w:r>
      <w:r w:rsidRPr="00382917">
        <w:t>religion</w:t>
      </w:r>
      <w:r w:rsidR="00B71244">
        <w:t>.</w:t>
      </w:r>
      <w:r w:rsidR="00EE4FC3">
        <w:t xml:space="preserve">  </w:t>
      </w:r>
      <w:r w:rsidRPr="00382917">
        <w:t>The</w:t>
      </w:r>
      <w:r w:rsidR="00EE4FC3">
        <w:t xml:space="preserve"> </w:t>
      </w:r>
      <w:r w:rsidRPr="00382917">
        <w:t>father</w:t>
      </w:r>
      <w:r w:rsidR="00EE4FC3">
        <w:t xml:space="preserve"> </w:t>
      </w:r>
      <w:r w:rsidRPr="00382917">
        <w:t>said</w:t>
      </w:r>
      <w:r w:rsidR="00EE4FC3">
        <w:t xml:space="preserve"> </w:t>
      </w:r>
      <w:r w:rsidRPr="00382917">
        <w:t>with</w:t>
      </w:r>
      <w:r w:rsidR="00EE4FC3">
        <w:t xml:space="preserve"> </w:t>
      </w:r>
      <w:r w:rsidRPr="00382917">
        <w:t>grim</w:t>
      </w:r>
      <w:r w:rsidR="00EE4FC3">
        <w:t xml:space="preserve"> </w:t>
      </w:r>
      <w:r w:rsidRPr="00382917">
        <w:t>satisfaction</w:t>
      </w:r>
      <w:r w:rsidR="00EE4FC3">
        <w:t xml:space="preserve"> </w:t>
      </w:r>
      <w:r w:rsidRPr="00382917">
        <w:t>that</w:t>
      </w:r>
      <w:r w:rsidR="00EE4FC3">
        <w:t xml:space="preserve"> </w:t>
      </w:r>
      <w:r w:rsidRPr="00382917">
        <w:t>a</w:t>
      </w:r>
      <w:r w:rsidR="00EE4FC3">
        <w:t xml:space="preserve"> </w:t>
      </w:r>
      <w:r w:rsidRPr="00382917">
        <w:t>message</w:t>
      </w:r>
      <w:r w:rsidR="00EE4FC3">
        <w:t xml:space="preserve"> </w:t>
      </w:r>
      <w:r w:rsidRPr="00382917">
        <w:t>had</w:t>
      </w:r>
      <w:r w:rsidR="00EE4FC3">
        <w:t xml:space="preserve"> </w:t>
      </w:r>
      <w:r w:rsidRPr="00382917">
        <w:t>just</w:t>
      </w:r>
      <w:r w:rsidR="00EE4FC3">
        <w:t xml:space="preserve"> </w:t>
      </w:r>
      <w:r w:rsidRPr="00382917">
        <w:t>arrived</w:t>
      </w:r>
      <w:r w:rsidR="00EE4FC3">
        <w:t xml:space="preserve"> </w:t>
      </w:r>
      <w:r w:rsidRPr="00382917">
        <w:t>from</w:t>
      </w:r>
      <w:r w:rsidR="00EE4FC3">
        <w:t xml:space="preserve"> </w:t>
      </w:r>
      <w:r w:rsidRPr="00382917">
        <w:t>Constantinople</w:t>
      </w:r>
      <w:r w:rsidR="00B71244">
        <w:t>.</w:t>
      </w:r>
      <w:r w:rsidR="00EE4FC3">
        <w:t xml:space="preserve">  </w:t>
      </w:r>
      <w:r w:rsidRPr="00382917">
        <w:t>The</w:t>
      </w:r>
      <w:r w:rsidR="00EE4FC3">
        <w:t xml:space="preserve"> </w:t>
      </w:r>
      <w:r w:rsidRPr="00382917">
        <w:t>Sul</w:t>
      </w:r>
      <w:r w:rsidRPr="00382917">
        <w:rPr>
          <w:sz w:val="22"/>
        </w:rPr>
        <w:t>ṭá</w:t>
      </w:r>
      <w:r w:rsidRPr="00382917">
        <w:t>n</w:t>
      </w:r>
      <w:r w:rsidR="00EE4FC3">
        <w:t xml:space="preserve"> </w:t>
      </w:r>
      <w:r w:rsidRPr="00382917">
        <w:t>of</w:t>
      </w:r>
      <w:r w:rsidR="00EE4FC3">
        <w:t xml:space="preserve"> </w:t>
      </w:r>
      <w:r w:rsidRPr="00382917">
        <w:t>Turkey</w:t>
      </w:r>
      <w:r w:rsidR="00EE4FC3">
        <w:t xml:space="preserve"> </w:t>
      </w:r>
      <w:r w:rsidRPr="00382917">
        <w:t>[of</w:t>
      </w:r>
      <w:r w:rsidR="00EE4FC3">
        <w:t xml:space="preserve"> </w:t>
      </w:r>
      <w:r w:rsidRPr="00382917">
        <w:t>the</w:t>
      </w:r>
      <w:r w:rsidR="00EE4FC3">
        <w:t xml:space="preserve"> </w:t>
      </w:r>
      <w:r w:rsidRPr="00382917">
        <w:t>Ottoman</w:t>
      </w:r>
      <w:r w:rsidR="00EE4FC3">
        <w:t xml:space="preserve"> </w:t>
      </w:r>
      <w:r w:rsidRPr="00382917">
        <w:t>Empire]</w:t>
      </w:r>
      <w:r w:rsidR="00EE4FC3">
        <w:t xml:space="preserve"> </w:t>
      </w:r>
      <w:r w:rsidRPr="00382917">
        <w:t>had</w:t>
      </w:r>
      <w:r w:rsidR="00EE4FC3">
        <w:t xml:space="preserve"> </w:t>
      </w:r>
      <w:r w:rsidRPr="00382917">
        <w:t>given</w:t>
      </w:r>
      <w:r w:rsidR="00EE4FC3">
        <w:t xml:space="preserve"> </w:t>
      </w:r>
      <w:r w:rsidRPr="00382917">
        <w:t>Ṭáhirih</w:t>
      </w:r>
      <w:r w:rsidR="00EE4FC3">
        <w:t xml:space="preserve"> </w:t>
      </w:r>
      <w:r w:rsidRPr="00382917">
        <w:t>her</w:t>
      </w:r>
      <w:r w:rsidR="00EE4FC3">
        <w:t xml:space="preserve"> </w:t>
      </w:r>
      <w:r w:rsidRPr="00382917">
        <w:t>life</w:t>
      </w:r>
      <w:r w:rsidR="00EE4FC3">
        <w:t xml:space="preserve"> </w:t>
      </w:r>
      <w:r w:rsidRPr="00382917">
        <w:t>and</w:t>
      </w:r>
      <w:r w:rsidR="00EE4FC3">
        <w:t xml:space="preserve"> </w:t>
      </w:r>
      <w:r w:rsidRPr="00382917">
        <w:t>her</w:t>
      </w:r>
      <w:r w:rsidR="00EE4FC3">
        <w:t xml:space="preserve"> </w:t>
      </w:r>
      <w:r w:rsidRPr="00382917">
        <w:t>freedom,</w:t>
      </w:r>
      <w:r w:rsidR="00EE4FC3">
        <w:t xml:space="preserve"> </w:t>
      </w:r>
      <w:r w:rsidRPr="00382917">
        <w:t>but</w:t>
      </w:r>
      <w:r w:rsidR="00EE4FC3">
        <w:t xml:space="preserve"> </w:t>
      </w:r>
      <w:r w:rsidRPr="00382917">
        <w:t>she</w:t>
      </w:r>
      <w:r w:rsidR="00EE4FC3">
        <w:t xml:space="preserve"> </w:t>
      </w:r>
      <w:r w:rsidRPr="00382917">
        <w:t>was</w:t>
      </w:r>
      <w:r w:rsidR="00EE4FC3">
        <w:t xml:space="preserve"> </w:t>
      </w:r>
      <w:r w:rsidRPr="00382917">
        <w:t>commanded</w:t>
      </w:r>
      <w:r w:rsidR="00EE4FC3">
        <w:t xml:space="preserve"> </w:t>
      </w:r>
      <w:r w:rsidRPr="00382917">
        <w:t>to</w:t>
      </w:r>
      <w:r w:rsidR="00EE4FC3">
        <w:t xml:space="preserve"> </w:t>
      </w:r>
      <w:r w:rsidRPr="00382917">
        <w:t>leave</w:t>
      </w:r>
      <w:r w:rsidR="00EE4FC3">
        <w:t xml:space="preserve"> </w:t>
      </w:r>
      <w:r w:rsidRPr="00382917">
        <w:t>Turkish</w:t>
      </w:r>
      <w:r w:rsidR="00EE4FC3">
        <w:t xml:space="preserve"> </w:t>
      </w:r>
      <w:r w:rsidRPr="00382917">
        <w:t>territory</w:t>
      </w:r>
      <w:r w:rsidR="00EE4FC3">
        <w:t xml:space="preserve"> </w:t>
      </w:r>
      <w:r w:rsidRPr="00382917">
        <w:t>immediately.</w:t>
      </w:r>
    </w:p>
    <w:p w:rsidR="005B5622" w:rsidRPr="00382917" w:rsidRDefault="009C713D" w:rsidP="006340BC">
      <w:pPr>
        <w:pStyle w:val="Text"/>
      </w:pPr>
      <w:r w:rsidRPr="00382917">
        <w:t>“</w:t>
      </w:r>
      <w:r w:rsidR="005B5622" w:rsidRPr="00382917">
        <w:t>Make</w:t>
      </w:r>
      <w:r w:rsidR="00EE4FC3">
        <w:t xml:space="preserve"> </w:t>
      </w:r>
      <w:r w:rsidR="005B5622" w:rsidRPr="00382917">
        <w:t>preparations</w:t>
      </w:r>
      <w:r w:rsidR="00EE4FC3">
        <w:t xml:space="preserve"> </w:t>
      </w:r>
      <w:r w:rsidR="005B5622" w:rsidRPr="00382917">
        <w:t>to</w:t>
      </w:r>
      <w:r w:rsidR="00EE4FC3">
        <w:t xml:space="preserve"> </w:t>
      </w:r>
      <w:r w:rsidR="005B5622" w:rsidRPr="00382917">
        <w:t>leave</w:t>
      </w:r>
      <w:r w:rsidR="00EE4FC3">
        <w:t xml:space="preserve"> </w:t>
      </w:r>
      <w:r w:rsidR="005B5622" w:rsidRPr="00382917">
        <w:t>Iraq</w:t>
      </w:r>
      <w:r w:rsidR="00EE4FC3">
        <w:t xml:space="preserve"> </w:t>
      </w:r>
      <w:r w:rsidR="005B5622" w:rsidRPr="00382917">
        <w:t>tomorrow,</w:t>
      </w:r>
      <w:r w:rsidRPr="00382917">
        <w:t>”</w:t>
      </w:r>
      <w:r w:rsidR="00EE4FC3">
        <w:t xml:space="preserve"> </w:t>
      </w:r>
      <w:r w:rsidR="005B5622" w:rsidRPr="00382917">
        <w:t>the</w:t>
      </w:r>
      <w:r w:rsidR="00EE4FC3">
        <w:t xml:space="preserve"> </w:t>
      </w:r>
      <w:r w:rsidR="005B5622" w:rsidRPr="00382917">
        <w:t>father</w:t>
      </w:r>
      <w:r w:rsidR="00EE4FC3">
        <w:t xml:space="preserve"> </w:t>
      </w:r>
      <w:r w:rsidR="005B5622" w:rsidRPr="00382917">
        <w:t>told</w:t>
      </w:r>
      <w:r w:rsidR="00EE4FC3">
        <w:t xml:space="preserve"> </w:t>
      </w:r>
      <w:r w:rsidR="005B5622" w:rsidRPr="00382917">
        <w:t>her</w:t>
      </w:r>
      <w:r w:rsidR="00EE4FC3">
        <w:t xml:space="preserve"> </w:t>
      </w:r>
      <w:r w:rsidR="005B5622" w:rsidRPr="00382917">
        <w:t>bluntly,</w:t>
      </w:r>
      <w:r w:rsidR="00EE4FC3">
        <w:t xml:space="preserve"> </w:t>
      </w:r>
      <w:r w:rsidR="005B5622" w:rsidRPr="00382917">
        <w:t>the</w:t>
      </w:r>
      <w:r w:rsidR="00EE4FC3">
        <w:t xml:space="preserve"> </w:t>
      </w:r>
      <w:r w:rsidR="005B5622" w:rsidRPr="00382917">
        <w:t>only</w:t>
      </w:r>
      <w:r w:rsidR="00EE4FC3">
        <w:t xml:space="preserve"> </w:t>
      </w:r>
      <w:r w:rsidR="005B5622" w:rsidRPr="00382917">
        <w:t>words</w:t>
      </w:r>
      <w:r w:rsidR="00EE4FC3">
        <w:t xml:space="preserve"> </w:t>
      </w:r>
      <w:r w:rsidR="005B5622" w:rsidRPr="00382917">
        <w:t>he</w:t>
      </w:r>
      <w:r w:rsidR="00EE4FC3">
        <w:t xml:space="preserve"> </w:t>
      </w:r>
      <w:r w:rsidR="005B5622" w:rsidRPr="00382917">
        <w:t>spoke</w:t>
      </w:r>
      <w:r w:rsidR="00EE4FC3">
        <w:t xml:space="preserve"> </w:t>
      </w:r>
      <w:r w:rsidR="005B5622" w:rsidRPr="00382917">
        <w:t>to</w:t>
      </w:r>
      <w:r w:rsidR="00EE4FC3">
        <w:t xml:space="preserve"> </w:t>
      </w:r>
      <w:r w:rsidR="005B5622" w:rsidRPr="00382917">
        <w:t>her,</w:t>
      </w:r>
      <w:r w:rsidR="00EE4FC3">
        <w:t xml:space="preserve"> </w:t>
      </w:r>
      <w:proofErr w:type="gramStart"/>
      <w:r w:rsidR="005B5622" w:rsidRPr="00382917">
        <w:t>then</w:t>
      </w:r>
      <w:proofErr w:type="gramEnd"/>
      <w:r w:rsidR="00EE4FC3">
        <w:t xml:space="preserve"> </w:t>
      </w:r>
      <w:r w:rsidR="005B5622" w:rsidRPr="00382917">
        <w:t>he</w:t>
      </w:r>
      <w:r w:rsidR="00EE4FC3">
        <w:t xml:space="preserve"> </w:t>
      </w:r>
      <w:r w:rsidR="005B5622" w:rsidRPr="00382917">
        <w:t>departed.</w:t>
      </w:r>
    </w:p>
    <w:p w:rsidR="005B5622" w:rsidRPr="00382917" w:rsidRDefault="005B5622" w:rsidP="006340BC">
      <w:pPr>
        <w:pStyle w:val="Text"/>
      </w:pPr>
      <w:r w:rsidRPr="00382917">
        <w:t>The</w:t>
      </w:r>
      <w:r w:rsidR="00EE4FC3">
        <w:t xml:space="preserve"> </w:t>
      </w:r>
      <w:r w:rsidRPr="00382917">
        <w:t>chief-lawyer</w:t>
      </w:r>
      <w:r w:rsidR="00EE4FC3">
        <w:t xml:space="preserve"> </w:t>
      </w:r>
      <w:r w:rsidRPr="00382917">
        <w:t>was</w:t>
      </w:r>
      <w:r w:rsidR="00EE4FC3">
        <w:t xml:space="preserve"> </w:t>
      </w:r>
      <w:r w:rsidRPr="00382917">
        <w:t>ashamed</w:t>
      </w:r>
      <w:r w:rsidR="00EE4FC3">
        <w:t xml:space="preserve"> </w:t>
      </w:r>
      <w:r w:rsidRPr="00382917">
        <w:t>of</w:t>
      </w:r>
      <w:r w:rsidR="00EE4FC3">
        <w:t xml:space="preserve"> </w:t>
      </w:r>
      <w:r w:rsidRPr="00382917">
        <w:t>his</w:t>
      </w:r>
      <w:r w:rsidR="00EE4FC3">
        <w:t xml:space="preserve"> </w:t>
      </w:r>
      <w:r w:rsidRPr="00382917">
        <w:t>father</w:t>
      </w:r>
      <w:r w:rsidR="009C713D" w:rsidRPr="00382917">
        <w:t>’</w:t>
      </w:r>
      <w:r w:rsidRPr="00382917">
        <w:t>s</w:t>
      </w:r>
      <w:r w:rsidR="00EE4FC3">
        <w:t xml:space="preserve"> </w:t>
      </w:r>
      <w:proofErr w:type="spellStart"/>
      <w:r w:rsidRPr="00382917">
        <w:t>behavior</w:t>
      </w:r>
      <w:proofErr w:type="spellEnd"/>
      <w:r w:rsidR="00B71244">
        <w:t>.</w:t>
      </w:r>
      <w:r w:rsidR="00EE4FC3">
        <w:t xml:space="preserve">  </w:t>
      </w:r>
      <w:r w:rsidRPr="00382917">
        <w:t>He</w:t>
      </w:r>
      <w:r w:rsidR="00EE4FC3">
        <w:t xml:space="preserve"> </w:t>
      </w:r>
      <w:r w:rsidRPr="00382917">
        <w:t>apologized</w:t>
      </w:r>
      <w:r w:rsidR="00EE4FC3">
        <w:t xml:space="preserve"> </w:t>
      </w:r>
      <w:r w:rsidRPr="00382917">
        <w:t>to</w:t>
      </w:r>
      <w:r w:rsidR="00EE4FC3">
        <w:t xml:space="preserve"> </w:t>
      </w:r>
      <w:r w:rsidRPr="00382917">
        <w:t>Ṭáhirih</w:t>
      </w:r>
      <w:r w:rsidR="00B71244">
        <w:t>.</w:t>
      </w:r>
      <w:r w:rsidR="00EE4FC3">
        <w:t xml:space="preserve">  </w:t>
      </w:r>
      <w:r w:rsidRPr="00382917">
        <w:t>After</w:t>
      </w:r>
      <w:r w:rsidR="00EE4FC3">
        <w:t xml:space="preserve"> </w:t>
      </w:r>
      <w:r w:rsidRPr="00382917">
        <w:t>she</w:t>
      </w:r>
      <w:r w:rsidR="00EE4FC3">
        <w:t xml:space="preserve"> </w:t>
      </w:r>
      <w:r w:rsidRPr="00382917">
        <w:t>had</w:t>
      </w:r>
      <w:r w:rsidR="00EE4FC3">
        <w:t xml:space="preserve"> </w:t>
      </w:r>
      <w:r w:rsidRPr="00382917">
        <w:t>left</w:t>
      </w:r>
      <w:r w:rsidR="00EE4FC3">
        <w:t xml:space="preserve"> </w:t>
      </w:r>
      <w:r w:rsidRPr="00382917">
        <w:t>his</w:t>
      </w:r>
      <w:r w:rsidR="00EE4FC3">
        <w:t xml:space="preserve"> </w:t>
      </w:r>
      <w:r w:rsidRPr="00382917">
        <w:t>home,</w:t>
      </w:r>
      <w:r w:rsidR="00EE4FC3">
        <w:t xml:space="preserve"> </w:t>
      </w:r>
      <w:r w:rsidRPr="00382917">
        <w:t>he</w:t>
      </w:r>
      <w:r w:rsidR="00EE4FC3">
        <w:t xml:space="preserve"> </w:t>
      </w:r>
      <w:r w:rsidRPr="00382917">
        <w:t>confided</w:t>
      </w:r>
      <w:r w:rsidR="00EE4FC3">
        <w:t xml:space="preserve"> </w:t>
      </w:r>
      <w:r w:rsidRPr="00382917">
        <w:t>to</w:t>
      </w:r>
      <w:r w:rsidR="00EE4FC3">
        <w:t xml:space="preserve"> </w:t>
      </w:r>
      <w:r w:rsidRPr="00382917">
        <w:t>his</w:t>
      </w:r>
      <w:r w:rsidR="00EE4FC3">
        <w:t xml:space="preserve"> </w:t>
      </w:r>
      <w:r w:rsidRPr="00382917">
        <w:t>friends</w:t>
      </w:r>
      <w:r w:rsidR="00C03C91">
        <w:t>:</w:t>
      </w:r>
      <w:r w:rsidR="00EE4FC3">
        <w:t xml:space="preserve">  </w:t>
      </w:r>
      <w:r w:rsidR="009C713D" w:rsidRPr="00382917">
        <w:t>“</w:t>
      </w:r>
      <w:r w:rsidRPr="00382917">
        <w:t>I</w:t>
      </w:r>
      <w:r w:rsidR="00EE4FC3">
        <w:t xml:space="preserve"> </w:t>
      </w:r>
      <w:r w:rsidRPr="00382917">
        <w:t>see</w:t>
      </w:r>
      <w:r w:rsidR="00EE4FC3">
        <w:t xml:space="preserve"> </w:t>
      </w:r>
      <w:r w:rsidRPr="00382917">
        <w:t>in</w:t>
      </w:r>
      <w:r w:rsidR="00EE4FC3">
        <w:t xml:space="preserve"> </w:t>
      </w:r>
      <w:r w:rsidRPr="00382917">
        <w:t>her</w:t>
      </w:r>
      <w:r w:rsidR="00EE4FC3">
        <w:t xml:space="preserve"> </w:t>
      </w:r>
      <w:r w:rsidRPr="00382917">
        <w:t>such</w:t>
      </w:r>
      <w:r w:rsidR="00EE4FC3">
        <w:t xml:space="preserve"> </w:t>
      </w:r>
      <w:r w:rsidRPr="00382917">
        <w:t>knowledge,</w:t>
      </w:r>
      <w:r w:rsidR="00EE4FC3">
        <w:t xml:space="preserve"> </w:t>
      </w:r>
      <w:r w:rsidRPr="00382917">
        <w:t>education,</w:t>
      </w:r>
      <w:r w:rsidR="00EE4FC3">
        <w:t xml:space="preserve"> </w:t>
      </w:r>
      <w:r w:rsidRPr="00382917">
        <w:t>politeness</w:t>
      </w:r>
      <w:r w:rsidR="00EE4FC3">
        <w:t xml:space="preserve"> </w:t>
      </w:r>
      <w:r w:rsidRPr="00382917">
        <w:t>and</w:t>
      </w:r>
      <w:r w:rsidR="00EE4FC3">
        <w:t xml:space="preserve"> </w:t>
      </w:r>
      <w:r w:rsidRPr="00382917">
        <w:t>good</w:t>
      </w:r>
      <w:r w:rsidR="00EE4FC3">
        <w:t xml:space="preserve"> </w:t>
      </w:r>
      <w:r w:rsidRPr="00382917">
        <w:t>character</w:t>
      </w:r>
      <w:r w:rsidR="00EE4FC3">
        <w:t xml:space="preserve"> </w:t>
      </w:r>
      <w:r w:rsidRPr="00382917">
        <w:t>as</w:t>
      </w:r>
      <w:r w:rsidR="00EE4FC3">
        <w:t xml:space="preserve"> </w:t>
      </w:r>
      <w:r w:rsidRPr="00382917">
        <w:t>I</w:t>
      </w:r>
      <w:r w:rsidR="00EE4FC3">
        <w:t xml:space="preserve"> </w:t>
      </w:r>
      <w:r w:rsidRPr="00382917">
        <w:t>have</w:t>
      </w:r>
      <w:r w:rsidR="00EE4FC3">
        <w:t xml:space="preserve"> </w:t>
      </w:r>
      <w:r w:rsidRPr="00382917">
        <w:t>not</w:t>
      </w:r>
      <w:r w:rsidR="00EE4FC3">
        <w:t xml:space="preserve"> </w:t>
      </w:r>
      <w:r w:rsidRPr="00382917">
        <w:t>seen</w:t>
      </w:r>
      <w:r w:rsidR="00EE4FC3">
        <w:t xml:space="preserve"> </w:t>
      </w:r>
      <w:r w:rsidRPr="00382917">
        <w:t>in</w:t>
      </w:r>
      <w:r w:rsidR="00EE4FC3">
        <w:t xml:space="preserve"> </w:t>
      </w:r>
      <w:r w:rsidRPr="00382917">
        <w:t>any</w:t>
      </w:r>
      <w:r w:rsidR="00EE4FC3">
        <w:t xml:space="preserve"> </w:t>
      </w:r>
      <w:r w:rsidRPr="00382917">
        <w:t>great</w:t>
      </w:r>
      <w:r w:rsidR="00EE4FC3">
        <w:t xml:space="preserve"> </w:t>
      </w:r>
      <w:r w:rsidRPr="00382917">
        <w:t>man</w:t>
      </w:r>
      <w:r w:rsidR="00EE4FC3">
        <w:t xml:space="preserve"> </w:t>
      </w:r>
      <w:r w:rsidRPr="00382917">
        <w:t>of</w:t>
      </w:r>
      <w:r w:rsidR="00EE4FC3">
        <w:t xml:space="preserve"> </w:t>
      </w:r>
      <w:r w:rsidRPr="00382917">
        <w:t>this</w:t>
      </w:r>
      <w:r w:rsidR="00EE4FC3">
        <w:t xml:space="preserve"> </w:t>
      </w:r>
      <w:r w:rsidRPr="00382917">
        <w:t>century.</w:t>
      </w:r>
      <w:r w:rsidR="009C713D" w:rsidRPr="00382917">
        <w:t>”</w:t>
      </w:r>
    </w:p>
    <w:p w:rsidR="005B5622" w:rsidRPr="00382917" w:rsidRDefault="005B5622" w:rsidP="006340BC">
      <w:pPr>
        <w:pStyle w:val="Text"/>
      </w:pPr>
      <w:r w:rsidRPr="00382917">
        <w:t>Ṭáhirih</w:t>
      </w:r>
      <w:r w:rsidR="00EE4FC3">
        <w:t xml:space="preserve"> </w:t>
      </w:r>
      <w:r w:rsidRPr="00382917">
        <w:t>crossed</w:t>
      </w:r>
      <w:r w:rsidR="00EE4FC3">
        <w:t xml:space="preserve"> </w:t>
      </w:r>
      <w:r w:rsidRPr="00382917">
        <w:t>the</w:t>
      </w:r>
      <w:r w:rsidR="00EE4FC3">
        <w:t xml:space="preserve"> </w:t>
      </w:r>
      <w:r w:rsidRPr="00382917">
        <w:t>Turkish-Persian</w:t>
      </w:r>
      <w:r w:rsidR="00EE4FC3">
        <w:t xml:space="preserve"> </w:t>
      </w:r>
      <w:r w:rsidRPr="00382917">
        <w:t>border</w:t>
      </w:r>
      <w:r w:rsidR="00EE4FC3">
        <w:t xml:space="preserve"> </w:t>
      </w:r>
      <w:r w:rsidRPr="00382917">
        <w:t>and</w:t>
      </w:r>
      <w:r w:rsidR="00EE4FC3">
        <w:t xml:space="preserve"> </w:t>
      </w:r>
      <w:r w:rsidRPr="00382917">
        <w:t>entered</w:t>
      </w:r>
      <w:r w:rsidR="00EE4FC3">
        <w:t xml:space="preserve"> </w:t>
      </w:r>
      <w:r w:rsidRPr="00382917">
        <w:t>the</w:t>
      </w:r>
      <w:r w:rsidR="00EE4FC3">
        <w:t xml:space="preserve"> </w:t>
      </w:r>
      <w:r w:rsidRPr="00382917">
        <w:t>city</w:t>
      </w:r>
      <w:r w:rsidR="00EE4FC3">
        <w:t xml:space="preserve"> </w:t>
      </w:r>
      <w:r w:rsidRPr="00382917">
        <w:t>of</w:t>
      </w:r>
      <w:r w:rsidR="00EE4FC3">
        <w:t xml:space="preserve"> </w:t>
      </w:r>
      <w:r w:rsidR="00C471FA" w:rsidRPr="00382917">
        <w:t>Kirmán</w:t>
      </w:r>
      <w:r w:rsidR="00C471FA" w:rsidRPr="00C471FA">
        <w:rPr>
          <w:u w:val="single"/>
        </w:rPr>
        <w:t>sh</w:t>
      </w:r>
      <w:r w:rsidR="00C471FA" w:rsidRPr="00382917">
        <w:t>áh</w:t>
      </w:r>
      <w:r w:rsidR="00B71244">
        <w:t>.</w:t>
      </w:r>
      <w:r w:rsidR="00EE4FC3">
        <w:t xml:space="preserve">  </w:t>
      </w:r>
      <w:r w:rsidRPr="00382917">
        <w:t>Here,</w:t>
      </w:r>
      <w:r w:rsidR="00EE4FC3">
        <w:t xml:space="preserve"> </w:t>
      </w:r>
      <w:r w:rsidRPr="00382917">
        <w:t>unlike</w:t>
      </w:r>
      <w:r w:rsidR="00EE4FC3">
        <w:t xml:space="preserve"> </w:t>
      </w:r>
      <w:r w:rsidR="00664069" w:rsidRPr="00382917">
        <w:t>Ba</w:t>
      </w:r>
      <w:r w:rsidR="00664069" w:rsidRPr="00664069">
        <w:rPr>
          <w:u w:val="single"/>
        </w:rPr>
        <w:t>gh</w:t>
      </w:r>
      <w:r w:rsidR="00664069" w:rsidRPr="00382917">
        <w:t>d</w:t>
      </w:r>
      <w:r w:rsidR="00664069" w:rsidRPr="00664069">
        <w:t>á</w:t>
      </w:r>
      <w:r w:rsidR="00664069" w:rsidRPr="00382917">
        <w:t>d</w:t>
      </w:r>
      <w:r w:rsidRPr="00382917">
        <w:t>,</w:t>
      </w:r>
      <w:r w:rsidR="00EE4FC3">
        <w:t xml:space="preserve"> </w:t>
      </w:r>
      <w:r w:rsidRPr="00382917">
        <w:t>she</w:t>
      </w:r>
      <w:r w:rsidR="00EE4FC3">
        <w:t xml:space="preserve"> </w:t>
      </w:r>
      <w:r w:rsidRPr="00382917">
        <w:t>was</w:t>
      </w:r>
      <w:r w:rsidR="00EE4FC3">
        <w:t xml:space="preserve"> </w:t>
      </w:r>
      <w:r w:rsidRPr="00382917">
        <w:t>given</w:t>
      </w:r>
      <w:r w:rsidR="00EE4FC3">
        <w:t xml:space="preserve"> </w:t>
      </w:r>
      <w:r w:rsidRPr="00382917">
        <w:t>an</w:t>
      </w:r>
      <w:r w:rsidR="00EE4FC3">
        <w:t xml:space="preserve"> </w:t>
      </w:r>
      <w:r w:rsidRPr="00382917">
        <w:t>enthusiastic</w:t>
      </w:r>
    </w:p>
    <w:p w:rsidR="006340BC" w:rsidRPr="00382917" w:rsidRDefault="006340BC">
      <w:pPr>
        <w:widowControl/>
        <w:kinsoku/>
        <w:overflowPunct/>
        <w:textAlignment w:val="auto"/>
      </w:pPr>
      <w:r w:rsidRPr="00382917">
        <w:br w:type="page"/>
      </w:r>
    </w:p>
    <w:p w:rsidR="005B5622" w:rsidRPr="00382917" w:rsidRDefault="005B5622" w:rsidP="006340BC">
      <w:pPr>
        <w:pStyle w:val="Textcts"/>
      </w:pPr>
      <w:proofErr w:type="gramStart"/>
      <w:r w:rsidRPr="00382917">
        <w:t>welcome</w:t>
      </w:r>
      <w:proofErr w:type="gramEnd"/>
      <w:r w:rsidR="00B71244">
        <w:t>.</w:t>
      </w:r>
      <w:r w:rsidR="00EE4FC3">
        <w:t xml:space="preserve">  </w:t>
      </w:r>
      <w:r w:rsidRPr="00382917">
        <w:t>The</w:t>
      </w:r>
      <w:r w:rsidR="00EE4FC3">
        <w:t xml:space="preserve"> </w:t>
      </w:r>
      <w:r w:rsidRPr="00382917">
        <w:t>priests,</w:t>
      </w:r>
      <w:r w:rsidR="00EE4FC3">
        <w:t xml:space="preserve"> </w:t>
      </w:r>
      <w:r w:rsidRPr="00382917">
        <w:t>the</w:t>
      </w:r>
      <w:r w:rsidR="00EE4FC3">
        <w:t xml:space="preserve"> </w:t>
      </w:r>
      <w:r w:rsidRPr="00382917">
        <w:t>government</w:t>
      </w:r>
      <w:r w:rsidR="00EE4FC3">
        <w:t xml:space="preserve"> </w:t>
      </w:r>
      <w:r w:rsidRPr="00382917">
        <w:t>officials</w:t>
      </w:r>
      <w:r w:rsidR="00EE4FC3">
        <w:t xml:space="preserve"> </w:t>
      </w:r>
      <w:r w:rsidRPr="00382917">
        <w:t>and</w:t>
      </w:r>
      <w:r w:rsidR="00EE4FC3">
        <w:t xml:space="preserve"> </w:t>
      </w:r>
      <w:r w:rsidRPr="00382917">
        <w:t>people</w:t>
      </w:r>
      <w:r w:rsidR="00EE4FC3">
        <w:t xml:space="preserve"> </w:t>
      </w:r>
      <w:r w:rsidRPr="00382917">
        <w:t>all</w:t>
      </w:r>
      <w:r w:rsidR="00EE4FC3">
        <w:t xml:space="preserve"> </w:t>
      </w:r>
      <w:r w:rsidRPr="00382917">
        <w:t>came</w:t>
      </w:r>
      <w:r w:rsidR="00EE4FC3">
        <w:t xml:space="preserve"> </w:t>
      </w:r>
      <w:r w:rsidRPr="00382917">
        <w:t>out</w:t>
      </w:r>
      <w:r w:rsidR="00EE4FC3">
        <w:t xml:space="preserve"> </w:t>
      </w:r>
      <w:r w:rsidRPr="00382917">
        <w:t>to</w:t>
      </w:r>
      <w:r w:rsidR="00EE4FC3">
        <w:t xml:space="preserve"> </w:t>
      </w:r>
      <w:r w:rsidRPr="00382917">
        <w:t>welcome</w:t>
      </w:r>
      <w:r w:rsidR="00EE4FC3">
        <w:t xml:space="preserve"> </w:t>
      </w:r>
      <w:r w:rsidRPr="00382917">
        <w:t>so</w:t>
      </w:r>
      <w:r w:rsidR="00EE4FC3">
        <w:t xml:space="preserve"> </w:t>
      </w:r>
      <w:r w:rsidRPr="00382917">
        <w:t>famous</w:t>
      </w:r>
      <w:r w:rsidR="00EE4FC3">
        <w:t xml:space="preserve"> </w:t>
      </w:r>
      <w:r w:rsidRPr="00382917">
        <w:t>a</w:t>
      </w:r>
      <w:r w:rsidR="00EE4FC3">
        <w:t xml:space="preserve"> </w:t>
      </w:r>
      <w:r w:rsidRPr="00382917">
        <w:t>figure</w:t>
      </w:r>
      <w:r w:rsidR="00B71244">
        <w:t>.</w:t>
      </w:r>
      <w:r w:rsidR="00EE4FC3">
        <w:t xml:space="preserve">  </w:t>
      </w:r>
      <w:r w:rsidRPr="00382917">
        <w:t>They</w:t>
      </w:r>
      <w:r w:rsidR="00EE4FC3">
        <w:t xml:space="preserve"> </w:t>
      </w:r>
      <w:r w:rsidRPr="00382917">
        <w:t>were</w:t>
      </w:r>
      <w:r w:rsidR="00EE4FC3">
        <w:t xml:space="preserve"> </w:t>
      </w:r>
      <w:r w:rsidRPr="00382917">
        <w:t>impressed</w:t>
      </w:r>
      <w:r w:rsidR="00EE4FC3">
        <w:t xml:space="preserve"> </w:t>
      </w:r>
      <w:r w:rsidRPr="00382917">
        <w:t>by</w:t>
      </w:r>
      <w:r w:rsidR="00EE4FC3">
        <w:t xml:space="preserve"> </w:t>
      </w:r>
      <w:r w:rsidRPr="00382917">
        <w:t>her</w:t>
      </w:r>
      <w:r w:rsidR="00EE4FC3">
        <w:t xml:space="preserve"> </w:t>
      </w:r>
      <w:r w:rsidRPr="00382917">
        <w:t>eloquence</w:t>
      </w:r>
      <w:r w:rsidR="00EE4FC3">
        <w:t xml:space="preserve"> </w:t>
      </w:r>
      <w:r w:rsidRPr="00382917">
        <w:t>and</w:t>
      </w:r>
      <w:r w:rsidR="00EE4FC3">
        <w:t xml:space="preserve"> </w:t>
      </w:r>
      <w:r w:rsidRPr="00382917">
        <w:t>fearlessness</w:t>
      </w:r>
      <w:r w:rsidR="00B71244">
        <w:t>.</w:t>
      </w:r>
      <w:r w:rsidR="00EE4FC3">
        <w:t xml:space="preserve">  </w:t>
      </w:r>
      <w:r w:rsidRPr="00382917">
        <w:t>She</w:t>
      </w:r>
      <w:r w:rsidR="00EE4FC3">
        <w:t xml:space="preserve"> </w:t>
      </w:r>
      <w:r w:rsidRPr="00382917">
        <w:t>translated</w:t>
      </w:r>
      <w:r w:rsidR="00EE4FC3">
        <w:t xml:space="preserve"> </w:t>
      </w:r>
      <w:r w:rsidRPr="00382917">
        <w:t>one</w:t>
      </w:r>
      <w:r w:rsidR="00EE4FC3">
        <w:t xml:space="preserve"> </w:t>
      </w:r>
      <w:r w:rsidRPr="00382917">
        <w:t>of</w:t>
      </w:r>
      <w:r w:rsidR="00EE4FC3">
        <w:t xml:space="preserve"> </w:t>
      </w:r>
      <w:r w:rsidRPr="00382917">
        <w:t>the</w:t>
      </w:r>
      <w:r w:rsidR="00EE4FC3">
        <w:t xml:space="preserve"> </w:t>
      </w:r>
      <w:r w:rsidRPr="00382917">
        <w:t>writings</w:t>
      </w:r>
      <w:r w:rsidR="00EE4FC3">
        <w:t xml:space="preserve"> </w:t>
      </w:r>
      <w:r w:rsidRPr="00382917">
        <w:t>of</w:t>
      </w:r>
      <w:r w:rsidR="00EE4FC3">
        <w:t xml:space="preserve"> </w:t>
      </w:r>
      <w:r w:rsidRPr="00382917">
        <w:t>the</w:t>
      </w:r>
      <w:r w:rsidR="00EE4FC3">
        <w:t xml:space="preserve"> </w:t>
      </w:r>
      <w:r w:rsidRPr="00382917">
        <w:t>Báb</w:t>
      </w:r>
      <w:r w:rsidR="00EE4FC3">
        <w:t xml:space="preserve"> </w:t>
      </w:r>
      <w:r w:rsidRPr="00382917">
        <w:t>and</w:t>
      </w:r>
      <w:r w:rsidR="00EE4FC3">
        <w:t xml:space="preserve"> </w:t>
      </w:r>
      <w:r w:rsidRPr="00382917">
        <w:t>had</w:t>
      </w:r>
      <w:r w:rsidR="00EE4FC3">
        <w:t xml:space="preserve"> </w:t>
      </w:r>
      <w:r w:rsidRPr="00382917">
        <w:t>it</w:t>
      </w:r>
      <w:r w:rsidR="00EE4FC3">
        <w:t xml:space="preserve"> </w:t>
      </w:r>
      <w:r w:rsidRPr="00382917">
        <w:t>read</w:t>
      </w:r>
      <w:r w:rsidR="00EE4FC3">
        <w:t xml:space="preserve"> </w:t>
      </w:r>
      <w:r w:rsidRPr="00382917">
        <w:t>publicly</w:t>
      </w:r>
      <w:r w:rsidR="00EE4FC3">
        <w:t xml:space="preserve"> </w:t>
      </w:r>
      <w:r w:rsidRPr="00382917">
        <w:t>in</w:t>
      </w:r>
      <w:r w:rsidR="00EE4FC3">
        <w:t xml:space="preserve"> </w:t>
      </w:r>
      <w:r w:rsidR="00C471FA" w:rsidRPr="00382917">
        <w:t>Kirmán</w:t>
      </w:r>
      <w:r w:rsidR="00C471FA" w:rsidRPr="00C471FA">
        <w:rPr>
          <w:u w:val="single"/>
        </w:rPr>
        <w:t>sh</w:t>
      </w:r>
      <w:r w:rsidR="00C471FA" w:rsidRPr="00382917">
        <w:t>áh</w:t>
      </w:r>
      <w:r w:rsidR="00B71244">
        <w:t>.</w:t>
      </w:r>
      <w:r w:rsidR="00EE4FC3">
        <w:t xml:space="preserve">  </w:t>
      </w:r>
      <w:r w:rsidRPr="00382917">
        <w:t>The</w:t>
      </w:r>
      <w:r w:rsidR="00EE4FC3">
        <w:t xml:space="preserve"> </w:t>
      </w:r>
      <w:r w:rsidRPr="00382917">
        <w:t>governor</w:t>
      </w:r>
      <w:r w:rsidR="00EE4FC3">
        <w:t xml:space="preserve"> </w:t>
      </w:r>
      <w:r w:rsidRPr="00382917">
        <w:t>and</w:t>
      </w:r>
      <w:r w:rsidR="00EE4FC3">
        <w:t xml:space="preserve"> </w:t>
      </w:r>
      <w:r w:rsidRPr="00382917">
        <w:t>his</w:t>
      </w:r>
      <w:r w:rsidR="00EE4FC3">
        <w:t xml:space="preserve"> </w:t>
      </w:r>
      <w:r w:rsidRPr="00382917">
        <w:t>family</w:t>
      </w:r>
      <w:r w:rsidR="00EE4FC3">
        <w:t xml:space="preserve"> </w:t>
      </w:r>
      <w:r w:rsidRPr="00382917">
        <w:t>acknowledged</w:t>
      </w:r>
      <w:r w:rsidR="00EE4FC3">
        <w:t xml:space="preserve"> </w:t>
      </w:r>
      <w:r w:rsidRPr="00382917">
        <w:t>the</w:t>
      </w:r>
      <w:r w:rsidR="00EE4FC3">
        <w:t xml:space="preserve"> </w:t>
      </w:r>
      <w:r w:rsidRPr="00382917">
        <w:t>truth</w:t>
      </w:r>
      <w:r w:rsidR="00EE4FC3">
        <w:t xml:space="preserve"> </w:t>
      </w:r>
      <w:r w:rsidRPr="00382917">
        <w:t>of</w:t>
      </w:r>
      <w:r w:rsidR="00EE4FC3">
        <w:t xml:space="preserve"> </w:t>
      </w:r>
      <w:r w:rsidRPr="00382917">
        <w:t>the</w:t>
      </w:r>
      <w:r w:rsidR="00EE4FC3">
        <w:t xml:space="preserve"> </w:t>
      </w:r>
      <w:r w:rsidRPr="00382917">
        <w:t>Cause</w:t>
      </w:r>
      <w:r w:rsidR="00EE4FC3">
        <w:t xml:space="preserve"> </w:t>
      </w:r>
      <w:r w:rsidRPr="00382917">
        <w:t>of</w:t>
      </w:r>
      <w:r w:rsidR="00EE4FC3">
        <w:t xml:space="preserve"> </w:t>
      </w:r>
      <w:r w:rsidRPr="00382917">
        <w:t>the</w:t>
      </w:r>
      <w:r w:rsidR="00EE4FC3">
        <w:t xml:space="preserve"> </w:t>
      </w:r>
      <w:r w:rsidRPr="00382917">
        <w:t>Báb</w:t>
      </w:r>
      <w:r w:rsidR="00EE4FC3">
        <w:t xml:space="preserve"> </w:t>
      </w:r>
      <w:r w:rsidRPr="00382917">
        <w:t>during</w:t>
      </w:r>
      <w:r w:rsidR="00EE4FC3">
        <w:t xml:space="preserve"> </w:t>
      </w:r>
      <w:r w:rsidRPr="00382917">
        <w:t>her</w:t>
      </w:r>
      <w:r w:rsidR="00EE4FC3">
        <w:t xml:space="preserve"> </w:t>
      </w:r>
      <w:r w:rsidRPr="00382917">
        <w:t>presence</w:t>
      </w:r>
      <w:r w:rsidR="00B71244">
        <w:t>.</w:t>
      </w:r>
      <w:r w:rsidR="00EE4FC3">
        <w:t xml:space="preserve">  </w:t>
      </w:r>
      <w:r w:rsidRPr="00382917">
        <w:t>They</w:t>
      </w:r>
      <w:r w:rsidR="00EE4FC3">
        <w:t xml:space="preserve"> </w:t>
      </w:r>
      <w:r w:rsidRPr="00382917">
        <w:t>showed</w:t>
      </w:r>
      <w:r w:rsidR="00EE4FC3">
        <w:t xml:space="preserve"> </w:t>
      </w:r>
      <w:r w:rsidRPr="00382917">
        <w:t>their</w:t>
      </w:r>
      <w:r w:rsidR="00EE4FC3">
        <w:t xml:space="preserve"> </w:t>
      </w:r>
      <w:r w:rsidRPr="00382917">
        <w:t>great</w:t>
      </w:r>
      <w:r w:rsidR="00EE4FC3">
        <w:t xml:space="preserve"> </w:t>
      </w:r>
      <w:r w:rsidRPr="00382917">
        <w:t>admiration</w:t>
      </w:r>
      <w:r w:rsidR="00EE4FC3">
        <w:t xml:space="preserve"> </w:t>
      </w:r>
      <w:r w:rsidRPr="00382917">
        <w:t>and</w:t>
      </w:r>
      <w:r w:rsidR="00EE4FC3">
        <w:t xml:space="preserve"> </w:t>
      </w:r>
      <w:r w:rsidRPr="00382917">
        <w:t>love</w:t>
      </w:r>
      <w:r w:rsidR="00EE4FC3">
        <w:t xml:space="preserve"> </w:t>
      </w:r>
      <w:r w:rsidRPr="00382917">
        <w:t>for</w:t>
      </w:r>
      <w:r w:rsidR="00EE4FC3">
        <w:t xml:space="preserve"> </w:t>
      </w:r>
      <w:r w:rsidRPr="00382917">
        <w:t>Ṭáhirih.</w:t>
      </w:r>
    </w:p>
    <w:p w:rsidR="00E13D49" w:rsidRPr="00382917" w:rsidRDefault="005B5622" w:rsidP="000D1705">
      <w:pPr>
        <w:pStyle w:val="Text"/>
      </w:pPr>
      <w:r w:rsidRPr="00382917">
        <w:t>In</w:t>
      </w:r>
      <w:r w:rsidR="00EE4FC3">
        <w:t xml:space="preserve"> </w:t>
      </w:r>
      <w:r w:rsidRPr="00382917">
        <w:t>the</w:t>
      </w:r>
      <w:r w:rsidR="00EE4FC3">
        <w:t xml:space="preserve"> </w:t>
      </w:r>
      <w:r w:rsidRPr="00382917">
        <w:t>village</w:t>
      </w:r>
      <w:r w:rsidR="00EE4FC3">
        <w:t xml:space="preserve"> </w:t>
      </w:r>
      <w:r w:rsidRPr="00382917">
        <w:t>of</w:t>
      </w:r>
      <w:r w:rsidR="00EE4FC3">
        <w:t xml:space="preserve"> </w:t>
      </w:r>
      <w:proofErr w:type="spellStart"/>
      <w:r w:rsidRPr="00382917">
        <w:t>Karand</w:t>
      </w:r>
      <w:proofErr w:type="spellEnd"/>
      <w:r w:rsidRPr="00382917">
        <w:t>,</w:t>
      </w:r>
      <w:r w:rsidR="00EE4FC3">
        <w:t xml:space="preserve"> </w:t>
      </w:r>
      <w:r w:rsidRPr="00382917">
        <w:t>Ṭáhirih</w:t>
      </w:r>
      <w:r w:rsidR="00EE4FC3">
        <w:t xml:space="preserve"> </w:t>
      </w:r>
      <w:r w:rsidRPr="00382917">
        <w:t>remained</w:t>
      </w:r>
      <w:r w:rsidR="00EE4FC3">
        <w:t xml:space="preserve"> </w:t>
      </w:r>
      <w:r w:rsidRPr="00382917">
        <w:t>and</w:t>
      </w:r>
      <w:r w:rsidR="00EE4FC3">
        <w:t xml:space="preserve"> </w:t>
      </w:r>
      <w:r w:rsidRPr="00382917">
        <w:t>taught</w:t>
      </w:r>
      <w:r w:rsidR="00EE4FC3">
        <w:t xml:space="preserve"> </w:t>
      </w:r>
      <w:r w:rsidRPr="00382917">
        <w:t>for</w:t>
      </w:r>
      <w:r w:rsidR="00EE4FC3">
        <w:t xml:space="preserve"> </w:t>
      </w:r>
      <w:r w:rsidRPr="00382917">
        <w:t>three</w:t>
      </w:r>
      <w:r w:rsidR="00EE4FC3">
        <w:t xml:space="preserve"> </w:t>
      </w:r>
      <w:r w:rsidRPr="00382917">
        <w:t>days</w:t>
      </w:r>
      <w:r w:rsidR="00B71244">
        <w:t>.</w:t>
      </w:r>
      <w:r w:rsidR="00EE4FC3">
        <w:t xml:space="preserve">  </w:t>
      </w:r>
      <w:r w:rsidRPr="00382917">
        <w:t>Openly</w:t>
      </w:r>
      <w:r w:rsidR="00EE4FC3">
        <w:t xml:space="preserve"> </w:t>
      </w:r>
      <w:r w:rsidRPr="00382917">
        <w:t>she</w:t>
      </w:r>
      <w:r w:rsidR="00EE4FC3">
        <w:t xml:space="preserve"> </w:t>
      </w:r>
      <w:r w:rsidRPr="00382917">
        <w:t>proclaimed</w:t>
      </w:r>
      <w:r w:rsidR="00EE4FC3">
        <w:t xml:space="preserve"> </w:t>
      </w:r>
      <w:r w:rsidRPr="00382917">
        <w:t>the</w:t>
      </w:r>
      <w:r w:rsidR="00EE4FC3">
        <w:t xml:space="preserve"> </w:t>
      </w:r>
      <w:r w:rsidRPr="00382917">
        <w:t>teachings</w:t>
      </w:r>
      <w:r w:rsidR="00EE4FC3">
        <w:t xml:space="preserve"> </w:t>
      </w:r>
      <w:r w:rsidRPr="00382917">
        <w:t>of</w:t>
      </w:r>
      <w:r w:rsidR="00EE4FC3">
        <w:t xml:space="preserve"> </w:t>
      </w:r>
      <w:r w:rsidRPr="00382917">
        <w:t>the</w:t>
      </w:r>
      <w:r w:rsidR="00EE4FC3">
        <w:t xml:space="preserve"> </w:t>
      </w:r>
      <w:r w:rsidRPr="00382917">
        <w:t>Báb,</w:t>
      </w:r>
      <w:r w:rsidR="00EE4FC3">
        <w:t xml:space="preserve"> </w:t>
      </w:r>
      <w:r w:rsidRPr="00382917">
        <w:t>and</w:t>
      </w:r>
      <w:r w:rsidR="00EE4FC3">
        <w:t xml:space="preserve"> </w:t>
      </w:r>
      <w:r w:rsidRPr="00382917">
        <w:t>was</w:t>
      </w:r>
      <w:r w:rsidR="00EE4FC3">
        <w:t xml:space="preserve"> </w:t>
      </w:r>
      <w:r w:rsidRPr="00382917">
        <w:t>successful</w:t>
      </w:r>
      <w:r w:rsidR="00EE4FC3">
        <w:t xml:space="preserve"> </w:t>
      </w:r>
      <w:r w:rsidRPr="00382917">
        <w:t>in</w:t>
      </w:r>
      <w:r w:rsidR="00EE4FC3">
        <w:t xml:space="preserve"> </w:t>
      </w:r>
      <w:r w:rsidRPr="00382917">
        <w:t>awakening</w:t>
      </w:r>
      <w:r w:rsidR="00EE4FC3">
        <w:t xml:space="preserve"> </w:t>
      </w:r>
      <w:r w:rsidRPr="00382917">
        <w:t>an</w:t>
      </w:r>
      <w:r w:rsidR="00EE4FC3">
        <w:t xml:space="preserve"> </w:t>
      </w:r>
      <w:r w:rsidRPr="00382917">
        <w:t>interest</w:t>
      </w:r>
      <w:r w:rsidR="00EE4FC3">
        <w:t xml:space="preserve"> </w:t>
      </w:r>
      <w:r w:rsidRPr="00382917">
        <w:t>among</w:t>
      </w:r>
      <w:r w:rsidR="00EE4FC3">
        <w:t xml:space="preserve"> </w:t>
      </w:r>
      <w:r w:rsidRPr="00382917">
        <w:t>all</w:t>
      </w:r>
      <w:r w:rsidR="00EE4FC3">
        <w:t xml:space="preserve"> </w:t>
      </w:r>
      <w:r w:rsidRPr="00382917">
        <w:t>classes</w:t>
      </w:r>
      <w:r w:rsidR="00EE4FC3">
        <w:t xml:space="preserve"> </w:t>
      </w:r>
      <w:r w:rsidRPr="00382917">
        <w:t>of</w:t>
      </w:r>
      <w:r w:rsidR="00EE4FC3">
        <w:t xml:space="preserve"> </w:t>
      </w:r>
      <w:r w:rsidRPr="00382917">
        <w:t>people</w:t>
      </w:r>
      <w:r w:rsidR="00B71244">
        <w:t>.</w:t>
      </w:r>
      <w:r w:rsidR="00EE4FC3">
        <w:t xml:space="preserve">  </w:t>
      </w:r>
      <w:r w:rsidRPr="00382917">
        <w:t>Twelve</w:t>
      </w:r>
      <w:r w:rsidR="00EE4FC3">
        <w:t xml:space="preserve"> </w:t>
      </w:r>
      <w:r w:rsidRPr="00382917">
        <w:t>hundred</w:t>
      </w:r>
      <w:r w:rsidR="00EE4FC3">
        <w:t xml:space="preserve"> </w:t>
      </w:r>
      <w:r w:rsidRPr="00382917">
        <w:t>persons</w:t>
      </w:r>
      <w:r w:rsidR="00EE4FC3">
        <w:t xml:space="preserve"> </w:t>
      </w:r>
      <w:r w:rsidRPr="00382917">
        <w:t>are</w:t>
      </w:r>
      <w:r w:rsidR="00EE4FC3">
        <w:t xml:space="preserve"> </w:t>
      </w:r>
      <w:r w:rsidRPr="00382917">
        <w:t>reported</w:t>
      </w:r>
      <w:r w:rsidR="00EE4FC3">
        <w:t xml:space="preserve"> </w:t>
      </w:r>
      <w:r w:rsidRPr="00382917">
        <w:t>to</w:t>
      </w:r>
      <w:r w:rsidR="00EE4FC3">
        <w:t xml:space="preserve"> </w:t>
      </w:r>
      <w:r w:rsidRPr="00382917">
        <w:t>have</w:t>
      </w:r>
      <w:r w:rsidR="00EE4FC3">
        <w:t xml:space="preserve"> </w:t>
      </w:r>
      <w:r w:rsidRPr="00382917">
        <w:t>accepted</w:t>
      </w:r>
      <w:r w:rsidR="00EE4FC3">
        <w:t xml:space="preserve"> </w:t>
      </w:r>
      <w:r w:rsidRPr="00382917">
        <w:t>the</w:t>
      </w:r>
      <w:r w:rsidR="00EE4FC3">
        <w:t xml:space="preserve"> </w:t>
      </w:r>
      <w:r w:rsidRPr="00382917">
        <w:t>Faith.</w:t>
      </w:r>
      <w:r w:rsidR="000D1705">
        <w:rPr>
          <w:rStyle w:val="FootnoteReference"/>
        </w:rPr>
        <w:footnoteReference w:id="143"/>
      </w:r>
    </w:p>
    <w:p w:rsidR="00E13D49" w:rsidRPr="00382917" w:rsidRDefault="005B5622" w:rsidP="00AE3ECC">
      <w:pPr>
        <w:pStyle w:val="Text"/>
      </w:pPr>
      <w:r w:rsidRPr="00382917">
        <w:t>In</w:t>
      </w:r>
      <w:r w:rsidR="00EE4FC3">
        <w:t xml:space="preserve"> </w:t>
      </w:r>
      <w:r w:rsidRPr="00382917">
        <w:t>the</w:t>
      </w:r>
      <w:r w:rsidR="00EE4FC3">
        <w:t xml:space="preserve"> </w:t>
      </w:r>
      <w:r w:rsidRPr="00382917">
        <w:t>small</w:t>
      </w:r>
      <w:r w:rsidR="00EE4FC3">
        <w:t xml:space="preserve"> </w:t>
      </w:r>
      <w:r w:rsidRPr="00382917">
        <w:t>village</w:t>
      </w:r>
      <w:r w:rsidR="00EE4FC3">
        <w:t xml:space="preserve"> </w:t>
      </w:r>
      <w:r w:rsidRPr="00382917">
        <w:t>of</w:t>
      </w:r>
      <w:r w:rsidR="00EE4FC3">
        <w:t xml:space="preserve"> </w:t>
      </w:r>
      <w:proofErr w:type="spellStart"/>
      <w:r w:rsidRPr="00382917">
        <w:rPr>
          <w:sz w:val="22"/>
        </w:rPr>
        <w:t>Ṣ</w:t>
      </w:r>
      <w:r w:rsidRPr="00382917">
        <w:t>ahni</w:t>
      </w:r>
      <w:r w:rsidRPr="00382917">
        <w:rPr>
          <w:sz w:val="22"/>
        </w:rPr>
        <w:t>ḥ</w:t>
      </w:r>
      <w:proofErr w:type="spellEnd"/>
      <w:r w:rsidR="00EE4FC3">
        <w:t xml:space="preserve"> </w:t>
      </w:r>
      <w:r w:rsidRPr="00382917">
        <w:t>she</w:t>
      </w:r>
      <w:r w:rsidR="00EE4FC3">
        <w:t xml:space="preserve"> </w:t>
      </w:r>
      <w:r w:rsidRPr="00382917">
        <w:t>stayed</w:t>
      </w:r>
      <w:r w:rsidR="00EE4FC3">
        <w:t xml:space="preserve"> </w:t>
      </w:r>
      <w:r w:rsidRPr="00382917">
        <w:t>for</w:t>
      </w:r>
      <w:r w:rsidR="00EE4FC3">
        <w:t xml:space="preserve"> </w:t>
      </w:r>
      <w:r w:rsidRPr="00382917">
        <w:t>two</w:t>
      </w:r>
      <w:r w:rsidR="00EE4FC3">
        <w:t xml:space="preserve"> </w:t>
      </w:r>
      <w:r w:rsidRPr="00382917">
        <w:t>days</w:t>
      </w:r>
      <w:r w:rsidR="00B71244">
        <w:t>.</w:t>
      </w:r>
      <w:r w:rsidR="00EE4FC3">
        <w:t xml:space="preserve">  </w:t>
      </w:r>
      <w:r w:rsidRPr="00382917">
        <w:t>Her</w:t>
      </w:r>
      <w:r w:rsidR="00EE4FC3">
        <w:t xml:space="preserve"> </w:t>
      </w:r>
      <w:r w:rsidRPr="00382917">
        <w:t>reception</w:t>
      </w:r>
      <w:r w:rsidR="00EE4FC3">
        <w:t xml:space="preserve"> </w:t>
      </w:r>
      <w:r w:rsidRPr="00382917">
        <w:t>there</w:t>
      </w:r>
      <w:r w:rsidR="00EE4FC3">
        <w:t xml:space="preserve"> </w:t>
      </w:r>
      <w:r w:rsidRPr="00382917">
        <w:t>outshone</w:t>
      </w:r>
      <w:r w:rsidR="00EE4FC3">
        <w:t xml:space="preserve"> </w:t>
      </w:r>
      <w:r w:rsidRPr="00382917">
        <w:t>even</w:t>
      </w:r>
      <w:r w:rsidR="00EE4FC3">
        <w:t xml:space="preserve"> </w:t>
      </w:r>
      <w:r w:rsidRPr="00382917">
        <w:t>that</w:t>
      </w:r>
      <w:r w:rsidR="00EE4FC3">
        <w:t xml:space="preserve"> </w:t>
      </w:r>
      <w:r w:rsidRPr="00382917">
        <w:t>of</w:t>
      </w:r>
      <w:r w:rsidR="00EE4FC3">
        <w:t xml:space="preserve"> </w:t>
      </w:r>
      <w:proofErr w:type="spellStart"/>
      <w:r w:rsidRPr="00382917">
        <w:t>Karand</w:t>
      </w:r>
      <w:proofErr w:type="spellEnd"/>
      <w:r w:rsidR="00B71244">
        <w:t>.</w:t>
      </w:r>
      <w:r w:rsidR="00EE4FC3">
        <w:t xml:space="preserve">  </w:t>
      </w:r>
      <w:r w:rsidRPr="00382917">
        <w:t>Upon</w:t>
      </w:r>
      <w:r w:rsidR="00EE4FC3">
        <w:t xml:space="preserve"> </w:t>
      </w:r>
      <w:r w:rsidRPr="00382917">
        <w:t>her</w:t>
      </w:r>
      <w:r w:rsidR="00EE4FC3">
        <w:t xml:space="preserve"> </w:t>
      </w:r>
      <w:r w:rsidRPr="00382917">
        <w:t>departure</w:t>
      </w:r>
      <w:r w:rsidR="00EE4FC3">
        <w:t xml:space="preserve"> </w:t>
      </w:r>
      <w:r w:rsidRPr="00382917">
        <w:t>the</w:t>
      </w:r>
      <w:r w:rsidR="00EE4FC3">
        <w:t xml:space="preserve"> </w:t>
      </w:r>
      <w:r w:rsidRPr="00382917">
        <w:t>inhabitants</w:t>
      </w:r>
      <w:r w:rsidR="00EE4FC3">
        <w:t xml:space="preserve"> </w:t>
      </w:r>
      <w:r w:rsidRPr="00382917">
        <w:t>of</w:t>
      </w:r>
      <w:r w:rsidR="00EE4FC3">
        <w:t xml:space="preserve"> </w:t>
      </w:r>
      <w:r w:rsidRPr="00382917">
        <w:t>the</w:t>
      </w:r>
      <w:r w:rsidR="00EE4FC3">
        <w:t xml:space="preserve"> </w:t>
      </w:r>
      <w:r w:rsidRPr="00382917">
        <w:t>village</w:t>
      </w:r>
      <w:r w:rsidR="00EE4FC3">
        <w:t xml:space="preserve"> </w:t>
      </w:r>
      <w:r w:rsidRPr="00382917">
        <w:t>begged</w:t>
      </w:r>
      <w:r w:rsidR="00EE4FC3">
        <w:t xml:space="preserve"> </w:t>
      </w:r>
      <w:r w:rsidRPr="00382917">
        <w:t>to</w:t>
      </w:r>
      <w:r w:rsidR="00EE4FC3">
        <w:t xml:space="preserve"> </w:t>
      </w:r>
      <w:r w:rsidRPr="00382917">
        <w:t>be</w:t>
      </w:r>
      <w:r w:rsidR="00EE4FC3">
        <w:t xml:space="preserve"> </w:t>
      </w:r>
      <w:r w:rsidRPr="00382917">
        <w:t>allowed</w:t>
      </w:r>
      <w:r w:rsidR="00EE4FC3">
        <w:t xml:space="preserve"> </w:t>
      </w:r>
      <w:r w:rsidRPr="00382917">
        <w:t>to</w:t>
      </w:r>
      <w:r w:rsidR="00EE4FC3">
        <w:t xml:space="preserve"> </w:t>
      </w:r>
      <w:r w:rsidRPr="00382917">
        <w:t>gather</w:t>
      </w:r>
      <w:r w:rsidR="00EE4FC3">
        <w:t xml:space="preserve"> </w:t>
      </w:r>
      <w:r w:rsidRPr="00382917">
        <w:t>together</w:t>
      </w:r>
      <w:r w:rsidR="00EE4FC3">
        <w:t xml:space="preserve"> </w:t>
      </w:r>
      <w:r w:rsidRPr="00382917">
        <w:t>the</w:t>
      </w:r>
      <w:r w:rsidR="00EE4FC3">
        <w:t xml:space="preserve"> </w:t>
      </w:r>
      <w:r w:rsidRPr="00382917">
        <w:t>members</w:t>
      </w:r>
      <w:r w:rsidR="00EE4FC3">
        <w:t xml:space="preserve"> </w:t>
      </w:r>
      <w:r w:rsidRPr="00382917">
        <w:t>of</w:t>
      </w:r>
      <w:r w:rsidR="00EE4FC3">
        <w:t xml:space="preserve"> </w:t>
      </w:r>
      <w:r w:rsidRPr="00382917">
        <w:t>their</w:t>
      </w:r>
      <w:r w:rsidR="00EE4FC3">
        <w:t xml:space="preserve"> </w:t>
      </w:r>
      <w:r w:rsidRPr="00382917">
        <w:t>community</w:t>
      </w:r>
      <w:r w:rsidR="00EE4FC3">
        <w:t xml:space="preserve"> </w:t>
      </w:r>
      <w:r w:rsidRPr="00382917">
        <w:t>and</w:t>
      </w:r>
      <w:r w:rsidR="00EE4FC3">
        <w:t xml:space="preserve"> </w:t>
      </w:r>
      <w:r w:rsidRPr="00382917">
        <w:t>come</w:t>
      </w:r>
      <w:r w:rsidR="00EE4FC3">
        <w:t xml:space="preserve"> </w:t>
      </w:r>
      <w:r w:rsidRPr="00382917">
        <w:t>with</w:t>
      </w:r>
      <w:r w:rsidR="00EE4FC3">
        <w:t xml:space="preserve"> </w:t>
      </w:r>
      <w:r w:rsidRPr="00382917">
        <w:t>her</w:t>
      </w:r>
      <w:r w:rsidR="00B71244">
        <w:t>.</w:t>
      </w:r>
      <w:r w:rsidR="00EE4FC3">
        <w:t xml:space="preserve">  </w:t>
      </w:r>
      <w:r w:rsidRPr="00382917">
        <w:t>They</w:t>
      </w:r>
      <w:r w:rsidR="00EE4FC3">
        <w:t xml:space="preserve"> </w:t>
      </w:r>
      <w:r w:rsidRPr="00382917">
        <w:t>were</w:t>
      </w:r>
      <w:r w:rsidR="00EE4FC3">
        <w:t xml:space="preserve"> </w:t>
      </w:r>
      <w:r w:rsidRPr="00382917">
        <w:t>prepared</w:t>
      </w:r>
      <w:r w:rsidR="00EE4FC3">
        <w:t xml:space="preserve"> </w:t>
      </w:r>
      <w:r w:rsidRPr="00382917">
        <w:t>to</w:t>
      </w:r>
      <w:r w:rsidR="00EE4FC3">
        <w:t xml:space="preserve"> </w:t>
      </w:r>
      <w:r w:rsidRPr="00382917">
        <w:t>leave</w:t>
      </w:r>
      <w:r w:rsidR="00EE4FC3">
        <w:t xml:space="preserve"> </w:t>
      </w:r>
      <w:r w:rsidRPr="00382917">
        <w:t>everything</w:t>
      </w:r>
      <w:r w:rsidR="00EE4FC3">
        <w:t xml:space="preserve"> </w:t>
      </w:r>
      <w:r w:rsidRPr="00382917">
        <w:t>behind</w:t>
      </w:r>
      <w:r w:rsidR="00EE4FC3">
        <w:t xml:space="preserve"> </w:t>
      </w:r>
      <w:r w:rsidRPr="00382917">
        <w:t>and</w:t>
      </w:r>
      <w:r w:rsidR="00EE4FC3">
        <w:t xml:space="preserve"> </w:t>
      </w:r>
      <w:r w:rsidRPr="00382917">
        <w:t>join</w:t>
      </w:r>
      <w:r w:rsidR="00EE4FC3">
        <w:t xml:space="preserve"> </w:t>
      </w:r>
      <w:r w:rsidRPr="00382917">
        <w:t>her</w:t>
      </w:r>
      <w:r w:rsidR="00EE4FC3">
        <w:t xml:space="preserve"> </w:t>
      </w:r>
      <w:r w:rsidRPr="00382917">
        <w:t>in</w:t>
      </w:r>
      <w:r w:rsidR="00EE4FC3">
        <w:t xml:space="preserve"> </w:t>
      </w:r>
      <w:r w:rsidRPr="00382917">
        <w:t>the</w:t>
      </w:r>
      <w:r w:rsidR="00EE4FC3">
        <w:t xml:space="preserve"> </w:t>
      </w:r>
      <w:r w:rsidRPr="00382917">
        <w:t>spread</w:t>
      </w:r>
      <w:r w:rsidR="00EE4FC3">
        <w:t xml:space="preserve"> </w:t>
      </w:r>
      <w:r w:rsidRPr="00382917">
        <w:t>and</w:t>
      </w:r>
      <w:r w:rsidR="00EE4FC3">
        <w:t xml:space="preserve"> </w:t>
      </w:r>
      <w:r w:rsidRPr="00382917">
        <w:t>promotion</w:t>
      </w:r>
      <w:r w:rsidR="00EE4FC3">
        <w:t xml:space="preserve"> </w:t>
      </w:r>
      <w:r w:rsidRPr="00382917">
        <w:t>of</w:t>
      </w:r>
      <w:r w:rsidR="00EE4FC3">
        <w:t xml:space="preserve"> </w:t>
      </w:r>
      <w:r w:rsidRPr="00382917">
        <w:t>the</w:t>
      </w:r>
      <w:r w:rsidR="00EE4FC3">
        <w:t xml:space="preserve"> </w:t>
      </w:r>
      <w:r w:rsidRPr="00382917">
        <w:t>Faith</w:t>
      </w:r>
      <w:r w:rsidR="00EE4FC3">
        <w:t xml:space="preserve"> </w:t>
      </w:r>
      <w:r w:rsidRPr="00382917">
        <w:t>of</w:t>
      </w:r>
      <w:r w:rsidR="00EE4FC3">
        <w:t xml:space="preserve"> </w:t>
      </w:r>
      <w:r w:rsidRPr="00382917">
        <w:t>the</w:t>
      </w:r>
      <w:r w:rsidR="00EE4FC3">
        <w:t xml:space="preserve"> </w:t>
      </w:r>
      <w:r w:rsidRPr="00382917">
        <w:t>Báb</w:t>
      </w:r>
      <w:r w:rsidR="00B71244">
        <w:t>.</w:t>
      </w:r>
      <w:r w:rsidR="00EE4FC3">
        <w:t xml:space="preserve">  </w:t>
      </w:r>
      <w:r w:rsidRPr="00382917">
        <w:t>Ṭáhirih,</w:t>
      </w:r>
      <w:r w:rsidR="00EE4FC3">
        <w:t xml:space="preserve"> </w:t>
      </w:r>
      <w:r w:rsidRPr="00382917">
        <w:t>however,</w:t>
      </w:r>
      <w:r w:rsidR="00EE4FC3">
        <w:t xml:space="preserve"> </w:t>
      </w:r>
      <w:r w:rsidRPr="00382917">
        <w:t>advised</w:t>
      </w:r>
      <w:r w:rsidR="00EE4FC3">
        <w:t xml:space="preserve"> </w:t>
      </w:r>
      <w:r w:rsidRPr="00382917">
        <w:t>them</w:t>
      </w:r>
      <w:r w:rsidR="00EE4FC3">
        <w:t xml:space="preserve"> </w:t>
      </w:r>
      <w:r w:rsidRPr="00382917">
        <w:t>to</w:t>
      </w:r>
      <w:r w:rsidR="00EE4FC3">
        <w:t xml:space="preserve"> </w:t>
      </w:r>
      <w:r w:rsidRPr="00382917">
        <w:t>remain</w:t>
      </w:r>
      <w:r w:rsidR="00EE4FC3">
        <w:t xml:space="preserve"> </w:t>
      </w:r>
      <w:r w:rsidRPr="00382917">
        <w:t>where</w:t>
      </w:r>
      <w:r w:rsidR="00EE4FC3">
        <w:t xml:space="preserve"> </w:t>
      </w:r>
      <w:r w:rsidRPr="00382917">
        <w:t>they</w:t>
      </w:r>
      <w:r w:rsidR="00EE4FC3">
        <w:t xml:space="preserve"> </w:t>
      </w:r>
      <w:r w:rsidRPr="00382917">
        <w:t>were</w:t>
      </w:r>
      <w:r w:rsidR="00EE4FC3">
        <w:t xml:space="preserve"> </w:t>
      </w:r>
      <w:r w:rsidRPr="00382917">
        <w:t>and</w:t>
      </w:r>
      <w:r w:rsidR="00EE4FC3">
        <w:t xml:space="preserve"> </w:t>
      </w:r>
      <w:r w:rsidRPr="00382917">
        <w:t>to</w:t>
      </w:r>
      <w:r w:rsidR="00EE4FC3">
        <w:t xml:space="preserve"> </w:t>
      </w:r>
      <w:r w:rsidRPr="00382917">
        <w:t>teach</w:t>
      </w:r>
      <w:r w:rsidR="00EE4FC3">
        <w:t xml:space="preserve"> </w:t>
      </w:r>
      <w:r w:rsidRPr="00382917">
        <w:t>among</w:t>
      </w:r>
      <w:r w:rsidR="00EE4FC3">
        <w:t xml:space="preserve"> </w:t>
      </w:r>
      <w:r w:rsidRPr="00382917">
        <w:t>their</w:t>
      </w:r>
      <w:r w:rsidR="00EE4FC3">
        <w:t xml:space="preserve"> </w:t>
      </w:r>
      <w:r w:rsidRPr="00382917">
        <w:t>own</w:t>
      </w:r>
      <w:r w:rsidR="00EE4FC3">
        <w:t xml:space="preserve"> </w:t>
      </w:r>
      <w:r w:rsidRPr="00382917">
        <w:t>people.</w:t>
      </w:r>
      <w:r w:rsidR="00AE3ECC">
        <w:rPr>
          <w:rStyle w:val="FootnoteReference"/>
        </w:rPr>
        <w:footnoteReference w:id="144"/>
      </w:r>
    </w:p>
    <w:p w:rsidR="005B5622" w:rsidRPr="00382917" w:rsidRDefault="005B5622" w:rsidP="00B71244">
      <w:pPr>
        <w:pStyle w:val="Text"/>
      </w:pPr>
      <w:r w:rsidRPr="00382917">
        <w:t>Ṭáhirih</w:t>
      </w:r>
      <w:r w:rsidR="00EE4FC3">
        <w:t xml:space="preserve"> </w:t>
      </w:r>
      <w:r w:rsidRPr="00382917">
        <w:t>went</w:t>
      </w:r>
      <w:r w:rsidR="00EE4FC3">
        <w:t xml:space="preserve"> </w:t>
      </w:r>
      <w:r w:rsidRPr="00382917">
        <w:t>next</w:t>
      </w:r>
      <w:r w:rsidR="00EE4FC3">
        <w:t xml:space="preserve"> </w:t>
      </w:r>
      <w:r w:rsidRPr="00382917">
        <w:t>to</w:t>
      </w:r>
      <w:r w:rsidR="00EE4FC3">
        <w:t xml:space="preserve"> </w:t>
      </w:r>
      <w:r w:rsidRPr="00382917">
        <w:t>Hamadán</w:t>
      </w:r>
      <w:r w:rsidR="00B71244">
        <w:t>.</w:t>
      </w:r>
      <w:r w:rsidR="00EE4FC3">
        <w:t xml:space="preserve">  </w:t>
      </w:r>
      <w:r w:rsidRPr="00382917">
        <w:t>There</w:t>
      </w:r>
      <w:r w:rsidR="00EE4FC3">
        <w:t xml:space="preserve"> </w:t>
      </w:r>
      <w:r w:rsidRPr="00382917">
        <w:t>the</w:t>
      </w:r>
      <w:r w:rsidR="00EE4FC3">
        <w:t xml:space="preserve"> </w:t>
      </w:r>
      <w:r w:rsidRPr="00382917">
        <w:t>city</w:t>
      </w:r>
      <w:r w:rsidR="00EE4FC3">
        <w:t xml:space="preserve"> </w:t>
      </w:r>
      <w:r w:rsidRPr="00382917">
        <w:t>was</w:t>
      </w:r>
      <w:r w:rsidR="00EE4FC3">
        <w:t xml:space="preserve"> </w:t>
      </w:r>
      <w:r w:rsidRPr="00382917">
        <w:t>divided</w:t>
      </w:r>
      <w:r w:rsidR="00EE4FC3">
        <w:t xml:space="preserve"> </w:t>
      </w:r>
      <w:r w:rsidRPr="00382917">
        <w:t>in</w:t>
      </w:r>
      <w:r w:rsidR="00EE4FC3">
        <w:t xml:space="preserve"> </w:t>
      </w:r>
      <w:r w:rsidRPr="00382917">
        <w:t>its</w:t>
      </w:r>
      <w:r w:rsidR="00EE4FC3">
        <w:t xml:space="preserve"> </w:t>
      </w:r>
      <w:r w:rsidRPr="00382917">
        <w:t>attitude</w:t>
      </w:r>
      <w:r w:rsidR="00EE4FC3">
        <w:t xml:space="preserve"> </w:t>
      </w:r>
      <w:r w:rsidRPr="00382917">
        <w:t>toward</w:t>
      </w:r>
      <w:r w:rsidR="00EE4FC3">
        <w:t xml:space="preserve"> </w:t>
      </w:r>
      <w:r w:rsidRPr="00382917">
        <w:t>her</w:t>
      </w:r>
      <w:r w:rsidR="00B71244">
        <w:t>.</w:t>
      </w:r>
      <w:r w:rsidR="00EE4FC3">
        <w:t xml:space="preserve">  </w:t>
      </w:r>
      <w:r w:rsidRPr="00382917">
        <w:t>Some</w:t>
      </w:r>
      <w:r w:rsidR="00EE4FC3">
        <w:t xml:space="preserve"> </w:t>
      </w:r>
      <w:r w:rsidRPr="00382917">
        <w:t>tried</w:t>
      </w:r>
      <w:r w:rsidR="00EE4FC3">
        <w:t xml:space="preserve"> </w:t>
      </w:r>
      <w:r w:rsidRPr="00382917">
        <w:t>to</w:t>
      </w:r>
      <w:r w:rsidR="00EE4FC3">
        <w:t xml:space="preserve"> </w:t>
      </w:r>
      <w:r w:rsidRPr="00382917">
        <w:t>arouse</w:t>
      </w:r>
      <w:r w:rsidR="00EE4FC3">
        <w:t xml:space="preserve"> </w:t>
      </w:r>
      <w:r w:rsidRPr="00382917">
        <w:t>the</w:t>
      </w:r>
      <w:r w:rsidR="00EE4FC3">
        <w:t xml:space="preserve"> </w:t>
      </w:r>
      <w:r w:rsidRPr="00382917">
        <w:t>people</w:t>
      </w:r>
      <w:r w:rsidR="00EE4FC3">
        <w:t xml:space="preserve"> </w:t>
      </w:r>
      <w:r w:rsidRPr="00382917">
        <w:t>against</w:t>
      </w:r>
      <w:r w:rsidR="00EE4FC3">
        <w:t xml:space="preserve"> </w:t>
      </w:r>
      <w:r w:rsidRPr="00382917">
        <w:t>her,</w:t>
      </w:r>
      <w:r w:rsidR="00EE4FC3">
        <w:t xml:space="preserve"> </w:t>
      </w:r>
      <w:r w:rsidRPr="00382917">
        <w:t>while</w:t>
      </w:r>
      <w:r w:rsidR="00EE4FC3">
        <w:t xml:space="preserve"> </w:t>
      </w:r>
      <w:r w:rsidRPr="00382917">
        <w:t>others</w:t>
      </w:r>
      <w:r w:rsidR="00EE4FC3">
        <w:t xml:space="preserve"> </w:t>
      </w:r>
      <w:r w:rsidRPr="00382917">
        <w:t>loudly</w:t>
      </w:r>
      <w:r w:rsidR="00EE4FC3">
        <w:t xml:space="preserve"> </w:t>
      </w:r>
      <w:r w:rsidRPr="00382917">
        <w:t>praised</w:t>
      </w:r>
      <w:r w:rsidR="00EE4FC3">
        <w:t xml:space="preserve"> </w:t>
      </w:r>
      <w:r w:rsidRPr="00382917">
        <w:t>her.</w:t>
      </w:r>
    </w:p>
    <w:p w:rsidR="005B5622" w:rsidRPr="00382917" w:rsidRDefault="005B5622" w:rsidP="00B71244">
      <w:pPr>
        <w:pStyle w:val="Text"/>
      </w:pPr>
      <w:r w:rsidRPr="00382917">
        <w:t>One</w:t>
      </w:r>
      <w:r w:rsidR="00EE4FC3">
        <w:t xml:space="preserve"> </w:t>
      </w:r>
      <w:r w:rsidRPr="00382917">
        <w:t>of</w:t>
      </w:r>
      <w:r w:rsidR="00EE4FC3">
        <w:t xml:space="preserve"> </w:t>
      </w:r>
      <w:r w:rsidRPr="00382917">
        <w:t>the</w:t>
      </w:r>
      <w:r w:rsidR="00EE4FC3">
        <w:t xml:space="preserve"> </w:t>
      </w:r>
      <w:r w:rsidRPr="00382917">
        <w:t>leading</w:t>
      </w:r>
      <w:r w:rsidR="00EE4FC3">
        <w:t xml:space="preserve"> </w:t>
      </w:r>
      <w:r w:rsidRPr="00382917">
        <w:t>priests</w:t>
      </w:r>
      <w:r w:rsidR="00EE4FC3">
        <w:t xml:space="preserve"> </w:t>
      </w:r>
      <w:r w:rsidRPr="00382917">
        <w:t>of</w:t>
      </w:r>
      <w:r w:rsidR="00EE4FC3">
        <w:t xml:space="preserve"> </w:t>
      </w:r>
      <w:r w:rsidRPr="00382917">
        <w:t>Hamadán</w:t>
      </w:r>
      <w:r w:rsidR="00EE4FC3">
        <w:t xml:space="preserve"> </w:t>
      </w:r>
      <w:r w:rsidRPr="00382917">
        <w:t>deeply</w:t>
      </w:r>
      <w:r w:rsidR="00EE4FC3">
        <w:t xml:space="preserve"> </w:t>
      </w:r>
      <w:r w:rsidRPr="00382917">
        <w:t>resented</w:t>
      </w:r>
      <w:r w:rsidR="00EE4FC3">
        <w:t xml:space="preserve"> </w:t>
      </w:r>
      <w:r w:rsidRPr="00382917">
        <w:t>her</w:t>
      </w:r>
      <w:r w:rsidR="00EE4FC3">
        <w:t xml:space="preserve"> </w:t>
      </w:r>
      <w:r w:rsidRPr="00382917">
        <w:t>fame,</w:t>
      </w:r>
      <w:r w:rsidR="00EE4FC3">
        <w:t xml:space="preserve"> </w:t>
      </w:r>
      <w:r w:rsidRPr="00382917">
        <w:t>and</w:t>
      </w:r>
      <w:r w:rsidR="00EE4FC3">
        <w:t xml:space="preserve"> </w:t>
      </w:r>
      <w:r w:rsidRPr="00382917">
        <w:t>wished</w:t>
      </w:r>
      <w:r w:rsidR="00EE4FC3">
        <w:t xml:space="preserve"> </w:t>
      </w:r>
      <w:r w:rsidRPr="00382917">
        <w:t>to</w:t>
      </w:r>
      <w:r w:rsidR="00EE4FC3">
        <w:t xml:space="preserve"> </w:t>
      </w:r>
      <w:r w:rsidRPr="00382917">
        <w:t>kill</w:t>
      </w:r>
      <w:r w:rsidR="00EE4FC3">
        <w:t xml:space="preserve"> </w:t>
      </w:r>
      <w:r w:rsidRPr="00382917">
        <w:t>her</w:t>
      </w:r>
      <w:r w:rsidR="00B71244">
        <w:t>.</w:t>
      </w:r>
      <w:r w:rsidR="00EE4FC3">
        <w:t xml:space="preserve">  </w:t>
      </w:r>
      <w:r w:rsidRPr="00382917">
        <w:t>He</w:t>
      </w:r>
      <w:r w:rsidR="00EE4FC3">
        <w:t xml:space="preserve"> </w:t>
      </w:r>
      <w:r w:rsidRPr="00382917">
        <w:t>would</w:t>
      </w:r>
      <w:r w:rsidR="00EE4FC3">
        <w:t xml:space="preserve"> </w:t>
      </w:r>
      <w:r w:rsidRPr="00382917">
        <w:t>have</w:t>
      </w:r>
      <w:r w:rsidR="00EE4FC3">
        <w:t xml:space="preserve"> </w:t>
      </w:r>
      <w:r w:rsidRPr="00382917">
        <w:t>openly</w:t>
      </w:r>
      <w:r w:rsidR="00EE4FC3">
        <w:t xml:space="preserve"> </w:t>
      </w:r>
      <w:r w:rsidRPr="00382917">
        <w:t>urged</w:t>
      </w:r>
      <w:r w:rsidR="00EE4FC3">
        <w:t xml:space="preserve"> </w:t>
      </w:r>
      <w:r w:rsidRPr="00382917">
        <w:t>the</w:t>
      </w:r>
      <w:r w:rsidR="00EE4FC3">
        <w:t xml:space="preserve"> </w:t>
      </w:r>
      <w:r w:rsidRPr="00382917">
        <w:t>people</w:t>
      </w:r>
      <w:r w:rsidR="00EE4FC3">
        <w:t xml:space="preserve"> </w:t>
      </w:r>
      <w:r w:rsidRPr="00382917">
        <w:t>to</w:t>
      </w:r>
      <w:r w:rsidR="00EE4FC3">
        <w:t xml:space="preserve"> </w:t>
      </w:r>
      <w:r w:rsidRPr="00382917">
        <w:t>attack</w:t>
      </w:r>
      <w:r w:rsidR="00EE4FC3">
        <w:t xml:space="preserve"> </w:t>
      </w:r>
      <w:r w:rsidRPr="00382917">
        <w:t>her</w:t>
      </w:r>
      <w:r w:rsidR="00EE4FC3">
        <w:t xml:space="preserve"> </w:t>
      </w:r>
      <w:r w:rsidRPr="00382917">
        <w:t>except</w:t>
      </w:r>
      <w:r w:rsidR="00EE4FC3">
        <w:t xml:space="preserve"> </w:t>
      </w:r>
      <w:r w:rsidRPr="00382917">
        <w:t>for</w:t>
      </w:r>
      <w:r w:rsidR="00EE4FC3">
        <w:t xml:space="preserve"> </w:t>
      </w:r>
      <w:r w:rsidRPr="00382917">
        <w:t>his</w:t>
      </w:r>
      <w:r w:rsidR="00EE4FC3">
        <w:t xml:space="preserve"> </w:t>
      </w:r>
      <w:r w:rsidRPr="00382917">
        <w:t>fear</w:t>
      </w:r>
      <w:r w:rsidR="00EE4FC3">
        <w:t xml:space="preserve"> </w:t>
      </w:r>
      <w:r w:rsidRPr="00382917">
        <w:t>of</w:t>
      </w:r>
      <w:r w:rsidR="00EE4FC3">
        <w:t xml:space="preserve"> </w:t>
      </w:r>
      <w:r w:rsidRPr="00382917">
        <w:t>reprisal</w:t>
      </w:r>
      <w:r w:rsidR="00EE4FC3">
        <w:t xml:space="preserve"> </w:t>
      </w:r>
      <w:r w:rsidRPr="00382917">
        <w:t>from</w:t>
      </w:r>
      <w:r w:rsidR="00EE4FC3">
        <w:t xml:space="preserve"> </w:t>
      </w:r>
      <w:r w:rsidRPr="00382917">
        <w:t>her</w:t>
      </w:r>
      <w:r w:rsidR="00EE4FC3">
        <w:t xml:space="preserve"> </w:t>
      </w:r>
      <w:r w:rsidRPr="00382917">
        <w:t>friends.</w:t>
      </w:r>
    </w:p>
    <w:p w:rsidR="005B5622" w:rsidRPr="00382917" w:rsidRDefault="005B5622" w:rsidP="00B71244">
      <w:pPr>
        <w:pStyle w:val="Text"/>
      </w:pPr>
      <w:r w:rsidRPr="00382917">
        <w:t>Ṭáhirih</w:t>
      </w:r>
      <w:r w:rsidR="00EE4FC3">
        <w:t xml:space="preserve"> </w:t>
      </w:r>
      <w:r w:rsidRPr="00382917">
        <w:t>knew</w:t>
      </w:r>
      <w:r w:rsidR="00EE4FC3">
        <w:t xml:space="preserve"> </w:t>
      </w:r>
      <w:r w:rsidRPr="00382917">
        <w:t>of</w:t>
      </w:r>
      <w:r w:rsidR="00EE4FC3">
        <w:t xml:space="preserve"> </w:t>
      </w:r>
      <w:r w:rsidRPr="00382917">
        <w:t>the</w:t>
      </w:r>
      <w:r w:rsidR="00EE4FC3">
        <w:t xml:space="preserve"> </w:t>
      </w:r>
      <w:r w:rsidRPr="00382917">
        <w:t>priest</w:t>
      </w:r>
      <w:r w:rsidR="009C713D" w:rsidRPr="00382917">
        <w:t>’</w:t>
      </w:r>
      <w:r w:rsidRPr="00382917">
        <w:t>s</w:t>
      </w:r>
      <w:r w:rsidR="00EE4FC3">
        <w:t xml:space="preserve"> </w:t>
      </w:r>
      <w:r w:rsidRPr="00382917">
        <w:t>desire,</w:t>
      </w:r>
      <w:r w:rsidR="00EE4FC3">
        <w:t xml:space="preserve"> </w:t>
      </w:r>
      <w:r w:rsidRPr="00382917">
        <w:t>and</w:t>
      </w:r>
      <w:r w:rsidR="00EE4FC3">
        <w:t xml:space="preserve"> </w:t>
      </w:r>
      <w:r w:rsidRPr="00382917">
        <w:t>she</w:t>
      </w:r>
      <w:r w:rsidR="00EE4FC3">
        <w:t xml:space="preserve"> </w:t>
      </w:r>
      <w:r w:rsidRPr="00382917">
        <w:t>wrote</w:t>
      </w:r>
      <w:r w:rsidR="00EE4FC3">
        <w:t xml:space="preserve"> </w:t>
      </w:r>
      <w:r w:rsidRPr="00382917">
        <w:t>him</w:t>
      </w:r>
      <w:r w:rsidR="00EE4FC3">
        <w:t xml:space="preserve"> </w:t>
      </w:r>
      <w:r w:rsidRPr="00382917">
        <w:t>a</w:t>
      </w:r>
      <w:r w:rsidR="00EE4FC3">
        <w:t xml:space="preserve"> </w:t>
      </w:r>
      <w:r w:rsidRPr="00382917">
        <w:t>long</w:t>
      </w:r>
      <w:r w:rsidR="00EE4FC3">
        <w:t xml:space="preserve"> </w:t>
      </w:r>
      <w:r w:rsidRPr="00382917">
        <w:t>letter</w:t>
      </w:r>
      <w:r w:rsidR="00EE4FC3">
        <w:t xml:space="preserve"> </w:t>
      </w:r>
      <w:r w:rsidRPr="00382917">
        <w:t>explaining</w:t>
      </w:r>
      <w:r w:rsidR="00EE4FC3">
        <w:t xml:space="preserve"> </w:t>
      </w:r>
      <w:r w:rsidRPr="00382917">
        <w:t>carefully</w:t>
      </w:r>
      <w:r w:rsidR="00EE4FC3">
        <w:t xml:space="preserve"> </w:t>
      </w:r>
      <w:r w:rsidRPr="00382917">
        <w:t>the</w:t>
      </w:r>
      <w:r w:rsidR="00EE4FC3">
        <w:t xml:space="preserve"> </w:t>
      </w:r>
      <w:r w:rsidRPr="00382917">
        <w:t>teachings</w:t>
      </w:r>
      <w:r w:rsidR="00EE4FC3">
        <w:t xml:space="preserve"> </w:t>
      </w:r>
      <w:r w:rsidRPr="00382917">
        <w:t>of</w:t>
      </w:r>
      <w:r w:rsidR="00EE4FC3">
        <w:t xml:space="preserve"> </w:t>
      </w:r>
      <w:r w:rsidRPr="00382917">
        <w:t>the</w:t>
      </w:r>
      <w:r w:rsidR="00EE4FC3">
        <w:t xml:space="preserve"> </w:t>
      </w:r>
      <w:r w:rsidRPr="00382917">
        <w:t>Báb</w:t>
      </w:r>
      <w:r w:rsidR="00B71244">
        <w:t>.</w:t>
      </w:r>
      <w:r w:rsidR="00EE4FC3">
        <w:t xml:space="preserve">  </w:t>
      </w:r>
      <w:r w:rsidRPr="00382917">
        <w:t>She</w:t>
      </w:r>
      <w:r w:rsidR="00EE4FC3">
        <w:t xml:space="preserve"> </w:t>
      </w:r>
      <w:r w:rsidRPr="00382917">
        <w:t>sent</w:t>
      </w:r>
      <w:r w:rsidR="00EE4FC3">
        <w:t xml:space="preserve"> </w:t>
      </w:r>
      <w:r w:rsidRPr="00382917">
        <w:t>it</w:t>
      </w:r>
      <w:r w:rsidR="00EE4FC3">
        <w:t xml:space="preserve"> </w:t>
      </w:r>
      <w:r w:rsidRPr="00382917">
        <w:t>to</w:t>
      </w:r>
      <w:r w:rsidR="00EE4FC3">
        <w:t xml:space="preserve"> </w:t>
      </w:r>
      <w:r w:rsidRPr="00382917">
        <w:t>him</w:t>
      </w:r>
      <w:r w:rsidR="00EE4FC3">
        <w:t xml:space="preserve"> </w:t>
      </w:r>
      <w:r w:rsidRPr="00382917">
        <w:t>by</w:t>
      </w:r>
      <w:r w:rsidR="00EE4FC3">
        <w:t xml:space="preserve"> </w:t>
      </w:r>
      <w:r w:rsidRPr="00382917">
        <w:t>a</w:t>
      </w:r>
      <w:r w:rsidR="00EE4FC3">
        <w:t xml:space="preserve"> </w:t>
      </w:r>
      <w:r w:rsidRPr="00382917">
        <w:t>faithful</w:t>
      </w:r>
      <w:r w:rsidR="00EE4FC3">
        <w:t xml:space="preserve"> </w:t>
      </w:r>
      <w:r w:rsidRPr="00382917">
        <w:t>friend,</w:t>
      </w:r>
      <w:r w:rsidR="00EE4FC3">
        <w:t xml:space="preserve"> </w:t>
      </w:r>
      <w:r w:rsidRPr="00382917">
        <w:t>Mullá</w:t>
      </w:r>
      <w:r w:rsidR="00EE4FC3">
        <w:t xml:space="preserve"> </w:t>
      </w:r>
      <w:r w:rsidRPr="00382917">
        <w:t>Ibráh</w:t>
      </w:r>
      <w:r w:rsidRPr="00382917">
        <w:rPr>
          <w:sz w:val="22"/>
        </w:rPr>
        <w:t>í</w:t>
      </w:r>
      <w:r w:rsidRPr="00382917">
        <w:t>m</w:t>
      </w:r>
      <w:r w:rsidR="00B71244">
        <w:t>.</w:t>
      </w:r>
      <w:r w:rsidR="00EE4FC3">
        <w:t xml:space="preserve">  </w:t>
      </w:r>
      <w:r w:rsidRPr="00382917">
        <w:t>He</w:t>
      </w:r>
      <w:r w:rsidR="00EE4FC3">
        <w:t xml:space="preserve"> </w:t>
      </w:r>
      <w:r w:rsidRPr="00382917">
        <w:t>arrived</w:t>
      </w:r>
      <w:r w:rsidR="00EE4FC3">
        <w:t xml:space="preserve"> </w:t>
      </w:r>
      <w:r w:rsidRPr="00382917">
        <w:t>with</w:t>
      </w:r>
      <w:r w:rsidR="00EE4FC3">
        <w:t xml:space="preserve"> </w:t>
      </w:r>
      <w:r w:rsidRPr="00382917">
        <w:t>this</w:t>
      </w:r>
      <w:r w:rsidR="00EE4FC3">
        <w:t xml:space="preserve"> </w:t>
      </w:r>
      <w:r w:rsidRPr="00382917">
        <w:t>letter</w:t>
      </w:r>
      <w:r w:rsidR="00EE4FC3">
        <w:t xml:space="preserve"> </w:t>
      </w:r>
      <w:r w:rsidRPr="00382917">
        <w:t>just</w:t>
      </w:r>
      <w:r w:rsidR="00EE4FC3">
        <w:t xml:space="preserve"> </w:t>
      </w:r>
      <w:r w:rsidRPr="00382917">
        <w:t>at</w:t>
      </w:r>
      <w:r w:rsidR="00EE4FC3">
        <w:t xml:space="preserve"> </w:t>
      </w:r>
      <w:r w:rsidRPr="00382917">
        <w:t>an</w:t>
      </w:r>
      <w:r w:rsidR="00EE4FC3">
        <w:t xml:space="preserve"> </w:t>
      </w:r>
      <w:r w:rsidRPr="00382917">
        <w:t>hour</w:t>
      </w:r>
      <w:r w:rsidR="00EE4FC3">
        <w:t xml:space="preserve"> </w:t>
      </w:r>
      <w:r w:rsidRPr="00382917">
        <w:t>when</w:t>
      </w:r>
      <w:r w:rsidR="00EE4FC3">
        <w:t xml:space="preserve"> </w:t>
      </w:r>
      <w:r w:rsidRPr="00382917">
        <w:t>several</w:t>
      </w:r>
      <w:r w:rsidR="00EE4FC3">
        <w:t xml:space="preserve"> </w:t>
      </w:r>
      <w:r w:rsidRPr="00382917">
        <w:t>of</w:t>
      </w:r>
      <w:r w:rsidR="00EE4FC3">
        <w:t xml:space="preserve"> </w:t>
      </w:r>
      <w:r w:rsidRPr="00382917">
        <w:t>these</w:t>
      </w:r>
      <w:r w:rsidR="00EE4FC3">
        <w:t xml:space="preserve"> </w:t>
      </w:r>
      <w:r w:rsidRPr="00382917">
        <w:t>unfriendly</w:t>
      </w:r>
      <w:r w:rsidR="00EE4FC3">
        <w:t xml:space="preserve"> </w:t>
      </w:r>
      <w:r w:rsidRPr="00382917">
        <w:t>priests</w:t>
      </w:r>
      <w:r w:rsidR="00EE4FC3">
        <w:t xml:space="preserve"> </w:t>
      </w:r>
      <w:r w:rsidRPr="00382917">
        <w:t>were</w:t>
      </w:r>
      <w:r w:rsidR="00EE4FC3">
        <w:t xml:space="preserve"> </w:t>
      </w:r>
      <w:r w:rsidRPr="00382917">
        <w:t>meeting</w:t>
      </w:r>
      <w:r w:rsidR="00EE4FC3">
        <w:t xml:space="preserve"> </w:t>
      </w:r>
      <w:r w:rsidRPr="00382917">
        <w:t>to</w:t>
      </w:r>
      <w:r w:rsidR="00EE4FC3">
        <w:t xml:space="preserve"> </w:t>
      </w:r>
      <w:r w:rsidRPr="00382917">
        <w:t>decide</w:t>
      </w:r>
      <w:r w:rsidR="00EE4FC3">
        <w:t xml:space="preserve"> </w:t>
      </w:r>
      <w:r w:rsidRPr="00382917">
        <w:t>what</w:t>
      </w:r>
      <w:r w:rsidR="00EE4FC3">
        <w:t xml:space="preserve"> </w:t>
      </w:r>
      <w:r w:rsidRPr="00382917">
        <w:t>steps</w:t>
      </w:r>
      <w:r w:rsidR="00EE4FC3">
        <w:t xml:space="preserve"> </w:t>
      </w:r>
      <w:r w:rsidRPr="00382917">
        <w:t>they</w:t>
      </w:r>
      <w:r w:rsidR="00EE4FC3">
        <w:t xml:space="preserve"> </w:t>
      </w:r>
      <w:r w:rsidRPr="00382917">
        <w:t>could</w:t>
      </w:r>
      <w:r w:rsidR="00EE4FC3">
        <w:t xml:space="preserve"> </w:t>
      </w:r>
      <w:r w:rsidRPr="00382917">
        <w:t>take</w:t>
      </w:r>
      <w:r w:rsidR="00EE4FC3">
        <w:t xml:space="preserve"> </w:t>
      </w:r>
      <w:r w:rsidRPr="00382917">
        <w:t>against</w:t>
      </w:r>
      <w:r w:rsidR="00EE4FC3">
        <w:t xml:space="preserve"> </w:t>
      </w:r>
      <w:r w:rsidRPr="00382917">
        <w:t>Ṭáhirih</w:t>
      </w:r>
      <w:r w:rsidR="00EE4FC3">
        <w:t xml:space="preserve"> </w:t>
      </w:r>
      <w:r w:rsidRPr="00382917">
        <w:t>to</w:t>
      </w:r>
      <w:r w:rsidR="00EE4FC3">
        <w:t xml:space="preserve"> </w:t>
      </w:r>
      <w:r w:rsidRPr="00382917">
        <w:t>silence</w:t>
      </w:r>
      <w:r w:rsidR="00EE4FC3">
        <w:t xml:space="preserve"> </w:t>
      </w:r>
      <w:r w:rsidRPr="00382917">
        <w:t>her</w:t>
      </w:r>
      <w:r w:rsidR="00B71244">
        <w:t>.</w:t>
      </w:r>
      <w:r w:rsidR="00EE4FC3">
        <w:t xml:space="preserve">  </w:t>
      </w:r>
      <w:r w:rsidRPr="00382917">
        <w:t>They</w:t>
      </w:r>
      <w:r w:rsidR="00EE4FC3">
        <w:t xml:space="preserve"> </w:t>
      </w:r>
      <w:r w:rsidRPr="00382917">
        <w:t>considered</w:t>
      </w:r>
      <w:r w:rsidR="00EE4FC3">
        <w:t xml:space="preserve"> </w:t>
      </w:r>
      <w:r w:rsidRPr="00382917">
        <w:t>the</w:t>
      </w:r>
      <w:r w:rsidR="00EE4FC3">
        <w:t xml:space="preserve"> </w:t>
      </w:r>
      <w:r w:rsidRPr="00382917">
        <w:t>letter</w:t>
      </w:r>
      <w:r w:rsidR="00EE4FC3">
        <w:t xml:space="preserve"> </w:t>
      </w:r>
      <w:r w:rsidRPr="00382917">
        <w:t>impudent</w:t>
      </w:r>
      <w:r w:rsidR="00B71244">
        <w:t>.</w:t>
      </w:r>
      <w:r w:rsidR="00EE4FC3">
        <w:t xml:space="preserve">  </w:t>
      </w:r>
      <w:r w:rsidRPr="00382917">
        <w:t>It</w:t>
      </w:r>
      <w:r w:rsidR="00EE4FC3">
        <w:t xml:space="preserve"> </w:t>
      </w:r>
      <w:r w:rsidRPr="00382917">
        <w:t>enraged</w:t>
      </w:r>
      <w:r w:rsidR="00EE4FC3">
        <w:t xml:space="preserve"> </w:t>
      </w:r>
      <w:r w:rsidRPr="00382917">
        <w:t>them</w:t>
      </w:r>
      <w:r w:rsidR="00B71244">
        <w:t>.</w:t>
      </w:r>
      <w:r w:rsidR="00EE4FC3">
        <w:t xml:space="preserve">  </w:t>
      </w:r>
      <w:r w:rsidRPr="00382917">
        <w:t>They</w:t>
      </w:r>
      <w:r w:rsidR="00EE4FC3">
        <w:t xml:space="preserve"> </w:t>
      </w:r>
      <w:r w:rsidRPr="00382917">
        <w:t>all</w:t>
      </w:r>
      <w:r w:rsidR="00EE4FC3">
        <w:t xml:space="preserve"> </w:t>
      </w:r>
      <w:r w:rsidRPr="00382917">
        <w:t>fell</w:t>
      </w:r>
      <w:r w:rsidR="00EE4FC3">
        <w:t xml:space="preserve"> </w:t>
      </w:r>
      <w:r w:rsidRPr="00382917">
        <w:t>upon</w:t>
      </w:r>
      <w:r w:rsidR="00EE4FC3">
        <w:t xml:space="preserve"> </w:t>
      </w:r>
      <w:r w:rsidRPr="00382917">
        <w:t>Mullá</w:t>
      </w:r>
      <w:r w:rsidR="00EE4FC3">
        <w:t xml:space="preserve"> </w:t>
      </w:r>
      <w:r w:rsidRPr="00382917">
        <w:t>Ibráhím</w:t>
      </w:r>
      <w:r w:rsidR="00EE4FC3">
        <w:t xml:space="preserve"> </w:t>
      </w:r>
      <w:r w:rsidRPr="00382917">
        <w:t>and</w:t>
      </w:r>
      <w:r w:rsidR="00EE4FC3">
        <w:t xml:space="preserve"> </w:t>
      </w:r>
      <w:r w:rsidRPr="00382917">
        <w:t>beat</w:t>
      </w:r>
      <w:r w:rsidR="00EE4FC3">
        <w:t xml:space="preserve"> </w:t>
      </w:r>
      <w:r w:rsidRPr="00382917">
        <w:t>him</w:t>
      </w:r>
      <w:r w:rsidR="00EE4FC3">
        <w:t xml:space="preserve"> </w:t>
      </w:r>
      <w:r w:rsidRPr="00382917">
        <w:t>until</w:t>
      </w:r>
      <w:r w:rsidR="00EE4FC3">
        <w:t xml:space="preserve"> </w:t>
      </w:r>
      <w:r w:rsidRPr="00382917">
        <w:t>he</w:t>
      </w:r>
      <w:r w:rsidR="00EE4FC3">
        <w:t xml:space="preserve"> </w:t>
      </w:r>
      <w:r w:rsidRPr="00382917">
        <w:t>was</w:t>
      </w:r>
      <w:r w:rsidR="00EE4FC3">
        <w:t xml:space="preserve"> </w:t>
      </w:r>
      <w:r w:rsidRPr="00382917">
        <w:t>unconscious</w:t>
      </w:r>
      <w:r w:rsidR="00B71244">
        <w:t>.</w:t>
      </w:r>
      <w:r w:rsidR="00EE4FC3">
        <w:t xml:space="preserve">  </w:t>
      </w:r>
      <w:r w:rsidRPr="00382917">
        <w:t>When</w:t>
      </w:r>
      <w:r w:rsidR="00EE4FC3">
        <w:t xml:space="preserve"> </w:t>
      </w:r>
      <w:r w:rsidRPr="00382917">
        <w:t>he</w:t>
      </w:r>
      <w:r w:rsidR="00EE4FC3">
        <w:t xml:space="preserve"> </w:t>
      </w:r>
      <w:r w:rsidRPr="00382917">
        <w:t>was</w:t>
      </w:r>
      <w:r w:rsidR="00EE4FC3">
        <w:t xml:space="preserve"> </w:t>
      </w:r>
      <w:r w:rsidRPr="00382917">
        <w:t>carried</w:t>
      </w:r>
      <w:r w:rsidR="00EE4FC3">
        <w:t xml:space="preserve"> </w:t>
      </w:r>
      <w:r w:rsidRPr="00382917">
        <w:t>back</w:t>
      </w:r>
      <w:r w:rsidR="00EE4FC3">
        <w:t xml:space="preserve"> </w:t>
      </w:r>
      <w:r w:rsidRPr="00382917">
        <w:t>to</w:t>
      </w:r>
      <w:r w:rsidR="00EE4FC3">
        <w:t xml:space="preserve"> </w:t>
      </w:r>
      <w:r w:rsidRPr="00382917">
        <w:t>Ṭáhirih,</w:t>
      </w:r>
      <w:r w:rsidR="00EE4FC3">
        <w:t xml:space="preserve"> </w:t>
      </w:r>
      <w:r w:rsidRPr="00382917">
        <w:t>still</w:t>
      </w:r>
      <w:r w:rsidR="00EE4FC3">
        <w:t xml:space="preserve"> </w:t>
      </w:r>
      <w:r w:rsidRPr="00382917">
        <w:t>unconscious,</w:t>
      </w:r>
      <w:r w:rsidR="00EE4FC3">
        <w:t xml:space="preserve"> </w:t>
      </w:r>
      <w:r w:rsidRPr="00382917">
        <w:t>she</w:t>
      </w:r>
      <w:r w:rsidR="00EE4FC3">
        <w:t xml:space="preserve"> </w:t>
      </w:r>
      <w:r w:rsidRPr="00382917">
        <w:t>did</w:t>
      </w:r>
      <w:r w:rsidR="00EE4FC3">
        <w:t xml:space="preserve"> </w:t>
      </w:r>
      <w:r w:rsidRPr="00382917">
        <w:t>not</w:t>
      </w:r>
      <w:r w:rsidR="00EE4FC3">
        <w:t xml:space="preserve"> </w:t>
      </w:r>
      <w:r w:rsidRPr="00382917">
        <w:t>weep</w:t>
      </w:r>
      <w:r w:rsidR="00EE4FC3">
        <w:t xml:space="preserve"> </w:t>
      </w:r>
      <w:r w:rsidRPr="00382917">
        <w:t>at</w:t>
      </w:r>
      <w:r w:rsidR="00EE4FC3">
        <w:t xml:space="preserve"> </w:t>
      </w:r>
      <w:r w:rsidRPr="00382917">
        <w:t>the</w:t>
      </w:r>
      <w:r w:rsidR="00EE4FC3">
        <w:t xml:space="preserve"> </w:t>
      </w:r>
      <w:r w:rsidRPr="00382917">
        <w:t>sight</w:t>
      </w:r>
      <w:r w:rsidR="00EE4FC3">
        <w:t xml:space="preserve"> </w:t>
      </w:r>
      <w:r w:rsidRPr="00382917">
        <w:t>of</w:t>
      </w:r>
      <w:r w:rsidR="00EE4FC3">
        <w:t xml:space="preserve"> </w:t>
      </w:r>
      <w:r w:rsidRPr="00382917">
        <w:t>him</w:t>
      </w:r>
      <w:r w:rsidR="00EE4FC3">
        <w:t xml:space="preserve"> </w:t>
      </w:r>
      <w:r w:rsidRPr="00382917">
        <w:t>as</w:t>
      </w:r>
      <w:r w:rsidR="00EE4FC3">
        <w:t xml:space="preserve"> </w:t>
      </w:r>
      <w:r w:rsidRPr="00382917">
        <w:t>those</w:t>
      </w:r>
      <w:r w:rsidR="00EE4FC3">
        <w:t xml:space="preserve"> </w:t>
      </w:r>
      <w:r w:rsidRPr="00382917">
        <w:t>about</w:t>
      </w:r>
      <w:r w:rsidR="00EE4FC3">
        <w:t xml:space="preserve"> </w:t>
      </w:r>
      <w:r w:rsidRPr="00382917">
        <w:t>her</w:t>
      </w:r>
      <w:r w:rsidR="00EE4FC3">
        <w:t xml:space="preserve"> </w:t>
      </w:r>
      <w:r w:rsidRPr="00382917">
        <w:t>had</w:t>
      </w:r>
      <w:r w:rsidR="00EE4FC3">
        <w:t xml:space="preserve"> </w:t>
      </w:r>
      <w:r w:rsidRPr="00382917">
        <w:t>expected</w:t>
      </w:r>
      <w:r w:rsidR="00EE4FC3">
        <w:t xml:space="preserve"> </w:t>
      </w:r>
      <w:r w:rsidRPr="00382917">
        <w:t>her</w:t>
      </w:r>
      <w:r w:rsidR="00EE4FC3">
        <w:t xml:space="preserve"> </w:t>
      </w:r>
      <w:r w:rsidRPr="00382917">
        <w:t>to</w:t>
      </w:r>
      <w:r w:rsidR="00EE4FC3">
        <w:t xml:space="preserve"> </w:t>
      </w:r>
      <w:r w:rsidRPr="00382917">
        <w:t>do</w:t>
      </w:r>
      <w:r w:rsidR="00B71244">
        <w:t>.</w:t>
      </w:r>
      <w:r w:rsidR="00EE4FC3">
        <w:t xml:space="preserve">  </w:t>
      </w:r>
      <w:r w:rsidRPr="00382917">
        <w:t>She</w:t>
      </w:r>
      <w:r w:rsidR="00EE4FC3">
        <w:t xml:space="preserve"> </w:t>
      </w:r>
      <w:r w:rsidRPr="00382917">
        <w:t>astonished</w:t>
      </w:r>
      <w:r w:rsidR="00EE4FC3">
        <w:t xml:space="preserve"> </w:t>
      </w:r>
      <w:r w:rsidRPr="00382917">
        <w:t>them</w:t>
      </w:r>
      <w:r w:rsidR="00EE4FC3">
        <w:t xml:space="preserve"> </w:t>
      </w:r>
      <w:r w:rsidRPr="00382917">
        <w:t>all</w:t>
      </w:r>
      <w:r w:rsidR="00EE4FC3">
        <w:t xml:space="preserve"> </w:t>
      </w:r>
      <w:r w:rsidRPr="00382917">
        <w:t>by</w:t>
      </w:r>
      <w:r w:rsidR="00EE4FC3">
        <w:t xml:space="preserve"> </w:t>
      </w:r>
      <w:r w:rsidRPr="00382917">
        <w:t>saying</w:t>
      </w:r>
      <w:r w:rsidR="00C03C91">
        <w:t>:</w:t>
      </w:r>
      <w:r w:rsidR="00EE4FC3">
        <w:t xml:space="preserve">  </w:t>
      </w:r>
      <w:r w:rsidR="009C713D" w:rsidRPr="00382917">
        <w:t>“</w:t>
      </w:r>
      <w:r w:rsidRPr="00382917">
        <w:t>Get</w:t>
      </w:r>
      <w:r w:rsidR="00EE4FC3">
        <w:t xml:space="preserve"> </w:t>
      </w:r>
      <w:r w:rsidRPr="00382917">
        <w:t>up,</w:t>
      </w:r>
      <w:r w:rsidR="00EE4FC3">
        <w:t xml:space="preserve"> </w:t>
      </w:r>
      <w:r w:rsidRPr="00382917">
        <w:t>Mullá</w:t>
      </w:r>
      <w:r w:rsidR="00EE4FC3">
        <w:t xml:space="preserve"> </w:t>
      </w:r>
      <w:r w:rsidRPr="00382917">
        <w:t>Ibráhím!</w:t>
      </w:r>
      <w:r w:rsidR="00EE4FC3">
        <w:t xml:space="preserve">  </w:t>
      </w:r>
      <w:r w:rsidRPr="00382917">
        <w:t>Praised</w:t>
      </w:r>
      <w:r w:rsidR="00EE4FC3">
        <w:t xml:space="preserve"> </w:t>
      </w:r>
      <w:r w:rsidRPr="00382917">
        <w:t>be</w:t>
      </w:r>
      <w:r w:rsidR="00EE4FC3">
        <w:t xml:space="preserve"> </w:t>
      </w:r>
      <w:r w:rsidRPr="00382917">
        <w:t>God</w:t>
      </w:r>
      <w:r w:rsidR="00EE4FC3">
        <w:t xml:space="preserve"> </w:t>
      </w:r>
      <w:r w:rsidRPr="00382917">
        <w:t>you</w:t>
      </w:r>
      <w:r w:rsidR="00EE4FC3">
        <w:t xml:space="preserve"> </w:t>
      </w:r>
      <w:r w:rsidRPr="00382917">
        <w:t>have</w:t>
      </w:r>
      <w:r w:rsidR="00EE4FC3">
        <w:t xml:space="preserve"> </w:t>
      </w:r>
      <w:r w:rsidRPr="00382917">
        <w:t>suffered</w:t>
      </w:r>
      <w:r w:rsidR="00EE4FC3">
        <w:t xml:space="preserve"> </w:t>
      </w:r>
      <w:r w:rsidRPr="00382917">
        <w:t>in</w:t>
      </w:r>
      <w:r w:rsidR="00EE4FC3">
        <w:t xml:space="preserve"> </w:t>
      </w:r>
      <w:r w:rsidRPr="00382917">
        <w:t>the</w:t>
      </w:r>
      <w:r w:rsidR="00EE4FC3">
        <w:t xml:space="preserve"> </w:t>
      </w:r>
      <w:r w:rsidRPr="00382917">
        <w:t>path</w:t>
      </w:r>
      <w:r w:rsidR="00EE4FC3">
        <w:t xml:space="preserve"> </w:t>
      </w:r>
      <w:r w:rsidRPr="00382917">
        <w:t>of</w:t>
      </w:r>
      <w:r w:rsidR="00EE4FC3">
        <w:t xml:space="preserve"> </w:t>
      </w:r>
      <w:r w:rsidRPr="00382917">
        <w:t>your</w:t>
      </w:r>
      <w:r w:rsidR="00EE4FC3">
        <w:t xml:space="preserve"> </w:t>
      </w:r>
      <w:r w:rsidRPr="00382917">
        <w:t>Beloved</w:t>
      </w:r>
      <w:r w:rsidR="00B71244">
        <w:t>.</w:t>
      </w:r>
      <w:r w:rsidR="00EE4FC3">
        <w:t xml:space="preserve">  </w:t>
      </w:r>
      <w:r w:rsidRPr="00382917">
        <w:t>Nov</w:t>
      </w:r>
      <w:r w:rsidR="00EE4FC3">
        <w:t xml:space="preserve"> </w:t>
      </w:r>
      <w:r w:rsidRPr="00382917">
        <w:t>rise</w:t>
      </w:r>
      <w:r w:rsidR="00EE4FC3">
        <w:t xml:space="preserve"> </w:t>
      </w:r>
      <w:r w:rsidRPr="00382917">
        <w:t>up,</w:t>
      </w:r>
      <w:r w:rsidR="00EE4FC3">
        <w:t xml:space="preserve"> </w:t>
      </w:r>
      <w:r w:rsidRPr="00382917">
        <w:t>and</w:t>
      </w:r>
      <w:r w:rsidR="00EE4FC3">
        <w:t xml:space="preserve"> </w:t>
      </w:r>
      <w:r w:rsidRPr="00382917">
        <w:t>continue</w:t>
      </w:r>
      <w:r w:rsidR="00EE4FC3">
        <w:t xml:space="preserve"> </w:t>
      </w:r>
      <w:r w:rsidRPr="00382917">
        <w:t>to</w:t>
      </w:r>
      <w:r w:rsidR="00EE4FC3">
        <w:t xml:space="preserve"> </w:t>
      </w:r>
      <w:r w:rsidRPr="00382917">
        <w:t>work</w:t>
      </w:r>
      <w:r w:rsidR="00EE4FC3">
        <w:t xml:space="preserve"> </w:t>
      </w:r>
      <w:r w:rsidRPr="00382917">
        <w:t>for</w:t>
      </w:r>
      <w:r w:rsidR="00EE4FC3">
        <w:t xml:space="preserve"> </w:t>
      </w:r>
      <w:r w:rsidRPr="00382917">
        <w:t>Him!</w:t>
      </w:r>
      <w:r w:rsidR="009C713D" w:rsidRPr="00382917">
        <w:t>”</w:t>
      </w:r>
    </w:p>
    <w:p w:rsidR="005B5622" w:rsidRPr="00382917" w:rsidRDefault="005B5622" w:rsidP="00B71244">
      <w:pPr>
        <w:pStyle w:val="Text"/>
      </w:pPr>
      <w:r w:rsidRPr="00382917">
        <w:t>When</w:t>
      </w:r>
      <w:r w:rsidR="00EE4FC3">
        <w:t xml:space="preserve"> </w:t>
      </w:r>
      <w:r w:rsidRPr="00382917">
        <w:t>Mullá</w:t>
      </w:r>
      <w:r w:rsidR="00EE4FC3">
        <w:t xml:space="preserve"> </w:t>
      </w:r>
      <w:r w:rsidRPr="00382917">
        <w:t>Ibráhím</w:t>
      </w:r>
      <w:r w:rsidR="00EE4FC3">
        <w:t xml:space="preserve"> </w:t>
      </w:r>
      <w:r w:rsidRPr="00382917">
        <w:t>opened</w:t>
      </w:r>
      <w:r w:rsidR="00EE4FC3">
        <w:t xml:space="preserve"> </w:t>
      </w:r>
      <w:r w:rsidRPr="00382917">
        <w:t>his</w:t>
      </w:r>
      <w:r w:rsidR="00EE4FC3">
        <w:t xml:space="preserve"> </w:t>
      </w:r>
      <w:r w:rsidRPr="00382917">
        <w:t>eyes,</w:t>
      </w:r>
      <w:r w:rsidR="00EE4FC3">
        <w:t xml:space="preserve"> </w:t>
      </w:r>
      <w:r w:rsidRPr="00382917">
        <w:t>Ṭáhirih</w:t>
      </w:r>
      <w:r w:rsidR="00EE4FC3">
        <w:t xml:space="preserve"> </w:t>
      </w:r>
      <w:r w:rsidRPr="00382917">
        <w:t>smiled</w:t>
      </w:r>
      <w:r w:rsidR="00EE4FC3">
        <w:t xml:space="preserve"> </w:t>
      </w:r>
      <w:r w:rsidRPr="00382917">
        <w:t>at</w:t>
      </w:r>
      <w:r w:rsidR="00EE4FC3">
        <w:t xml:space="preserve"> </w:t>
      </w:r>
      <w:r w:rsidRPr="00382917">
        <w:t>him</w:t>
      </w:r>
      <w:r w:rsidR="00B71244">
        <w:t>.</w:t>
      </w:r>
      <w:r w:rsidR="00EE4FC3">
        <w:t xml:space="preserve">  </w:t>
      </w:r>
      <w:r w:rsidR="009C713D" w:rsidRPr="00382917">
        <w:t>“</w:t>
      </w:r>
      <w:r w:rsidRPr="00382917">
        <w:t>O</w:t>
      </w:r>
      <w:r w:rsidR="00EE4FC3">
        <w:t xml:space="preserve"> </w:t>
      </w:r>
      <w:r w:rsidRPr="00382917">
        <w:t>Mullá</w:t>
      </w:r>
      <w:r w:rsidR="00EE4FC3">
        <w:t xml:space="preserve"> </w:t>
      </w:r>
      <w:r w:rsidRPr="00382917">
        <w:t>Ibráh</w:t>
      </w:r>
      <w:r w:rsidRPr="00382917">
        <w:rPr>
          <w:sz w:val="22"/>
        </w:rPr>
        <w:t>í</w:t>
      </w:r>
      <w:r w:rsidRPr="00382917">
        <w:t>m,</w:t>
      </w:r>
      <w:r w:rsidR="009C713D" w:rsidRPr="00382917">
        <w:t>”</w:t>
      </w:r>
      <w:r w:rsidR="00EE4FC3">
        <w:t xml:space="preserve"> </w:t>
      </w:r>
      <w:r w:rsidRPr="00382917">
        <w:t>she</w:t>
      </w:r>
      <w:r w:rsidR="00EE4FC3">
        <w:t xml:space="preserve"> </w:t>
      </w:r>
      <w:r w:rsidRPr="00382917">
        <w:t>said</w:t>
      </w:r>
      <w:r w:rsidR="00B71244">
        <w:t>.</w:t>
      </w:r>
      <w:r w:rsidR="00EE4FC3">
        <w:t xml:space="preserve">  </w:t>
      </w:r>
      <w:r w:rsidR="009C713D" w:rsidRPr="00382917">
        <w:t>“</w:t>
      </w:r>
      <w:r w:rsidRPr="00382917">
        <w:t>For</w:t>
      </w:r>
      <w:r w:rsidR="00EE4FC3">
        <w:t xml:space="preserve"> </w:t>
      </w:r>
      <w:r w:rsidRPr="00382917">
        <w:t>one</w:t>
      </w:r>
      <w:r w:rsidR="00EE4FC3">
        <w:t xml:space="preserve"> </w:t>
      </w:r>
      <w:r w:rsidRPr="00382917">
        <w:t>small</w:t>
      </w:r>
      <w:r w:rsidR="00EE4FC3">
        <w:t xml:space="preserve"> </w:t>
      </w:r>
      <w:r w:rsidRPr="00382917">
        <w:t>beating</w:t>
      </w:r>
      <w:r w:rsidR="00EE4FC3">
        <w:t xml:space="preserve"> </w:t>
      </w:r>
      <w:r w:rsidRPr="00382917">
        <w:t>you</w:t>
      </w:r>
      <w:r w:rsidR="00EE4FC3">
        <w:t xml:space="preserve"> </w:t>
      </w:r>
      <w:r w:rsidRPr="00382917">
        <w:t>became</w:t>
      </w:r>
      <w:r w:rsidR="00EE4FC3">
        <w:t xml:space="preserve"> </w:t>
      </w:r>
      <w:r w:rsidRPr="00382917">
        <w:t>unconscious</w:t>
      </w:r>
      <w:r w:rsidR="00B71244">
        <w:t>.</w:t>
      </w:r>
      <w:r w:rsidR="00EE4FC3">
        <w:t xml:space="preserve">  </w:t>
      </w:r>
      <w:r w:rsidRPr="00382917">
        <w:t>This</w:t>
      </w:r>
      <w:r w:rsidR="00EE4FC3">
        <w:t xml:space="preserve"> </w:t>
      </w:r>
      <w:r w:rsidRPr="00382917">
        <w:t>is</w:t>
      </w:r>
      <w:r w:rsidR="00EE4FC3">
        <w:t xml:space="preserve"> </w:t>
      </w:r>
      <w:r w:rsidRPr="00382917">
        <w:t>the</w:t>
      </w:r>
      <w:r w:rsidR="00EE4FC3">
        <w:t xml:space="preserve"> </w:t>
      </w:r>
      <w:r w:rsidRPr="00382917">
        <w:t>time</w:t>
      </w:r>
      <w:r w:rsidR="00EE4FC3">
        <w:t xml:space="preserve"> </w:t>
      </w:r>
      <w:r w:rsidRPr="00382917">
        <w:t>we</w:t>
      </w:r>
      <w:r w:rsidR="00EE4FC3">
        <w:t xml:space="preserve"> </w:t>
      </w:r>
      <w:r w:rsidRPr="00382917">
        <w:t>are</w:t>
      </w:r>
      <w:r w:rsidR="00EE4FC3">
        <w:t xml:space="preserve"> </w:t>
      </w:r>
      <w:r w:rsidRPr="00382917">
        <w:t>ready</w:t>
      </w:r>
      <w:r w:rsidR="00EE4FC3">
        <w:t xml:space="preserve"> </w:t>
      </w:r>
      <w:r w:rsidRPr="00382917">
        <w:t>to</w:t>
      </w:r>
      <w:r w:rsidR="00EE4FC3">
        <w:t xml:space="preserve"> </w:t>
      </w:r>
      <w:r w:rsidRPr="00382917">
        <w:t>give</w:t>
      </w:r>
      <w:r w:rsidR="00EE4FC3">
        <w:t xml:space="preserve"> </w:t>
      </w:r>
      <w:r w:rsidRPr="00382917">
        <w:t>our</w:t>
      </w:r>
      <w:r w:rsidR="00EE4FC3">
        <w:t xml:space="preserve"> </w:t>
      </w:r>
      <w:r w:rsidRPr="00382917">
        <w:t>lives</w:t>
      </w:r>
      <w:r w:rsidR="00B71244">
        <w:t>.</w:t>
      </w:r>
      <w:r w:rsidR="00EE4FC3">
        <w:t xml:space="preserve">  </w:t>
      </w:r>
      <w:r w:rsidRPr="00382917">
        <w:t>Did</w:t>
      </w:r>
    </w:p>
    <w:p w:rsidR="006340BC" w:rsidRPr="00382917" w:rsidRDefault="006340BC">
      <w:pPr>
        <w:widowControl/>
        <w:kinsoku/>
        <w:overflowPunct/>
        <w:textAlignment w:val="auto"/>
      </w:pPr>
      <w:r w:rsidRPr="00382917">
        <w:br w:type="page"/>
      </w:r>
    </w:p>
    <w:p w:rsidR="005B5622" w:rsidRPr="00382917" w:rsidRDefault="005B5622" w:rsidP="00C471FA">
      <w:pPr>
        <w:pStyle w:val="Textcts"/>
      </w:pPr>
      <w:proofErr w:type="gramStart"/>
      <w:r w:rsidRPr="00382917">
        <w:t>not</w:t>
      </w:r>
      <w:proofErr w:type="gramEnd"/>
      <w:r w:rsidR="00EE4FC3">
        <w:t xml:space="preserve"> </w:t>
      </w:r>
      <w:r w:rsidRPr="00382917">
        <w:t>the</w:t>
      </w:r>
      <w:r w:rsidR="00EE4FC3">
        <w:t xml:space="preserve"> </w:t>
      </w:r>
      <w:r w:rsidRPr="00382917">
        <w:t>disciples</w:t>
      </w:r>
      <w:r w:rsidR="00EE4FC3">
        <w:t xml:space="preserve"> </w:t>
      </w:r>
      <w:r w:rsidRPr="00382917">
        <w:t>of</w:t>
      </w:r>
      <w:r w:rsidR="00EE4FC3">
        <w:t xml:space="preserve"> </w:t>
      </w:r>
      <w:r w:rsidRPr="00382917">
        <w:t>Christ</w:t>
      </w:r>
      <w:r w:rsidR="00EE4FC3">
        <w:t xml:space="preserve"> </w:t>
      </w:r>
      <w:r w:rsidRPr="00382917">
        <w:t>do</w:t>
      </w:r>
      <w:r w:rsidR="00EE4FC3">
        <w:t xml:space="preserve"> </w:t>
      </w:r>
      <w:r w:rsidRPr="00382917">
        <w:t>it,</w:t>
      </w:r>
      <w:r w:rsidR="00EE4FC3">
        <w:t xml:space="preserve"> </w:t>
      </w:r>
      <w:r w:rsidRPr="00382917">
        <w:t>and</w:t>
      </w:r>
      <w:r w:rsidR="00EE4FC3">
        <w:t xml:space="preserve"> </w:t>
      </w:r>
      <w:r w:rsidRPr="00382917">
        <w:t>the</w:t>
      </w:r>
      <w:r w:rsidR="00EE4FC3">
        <w:t xml:space="preserve"> </w:t>
      </w:r>
      <w:r w:rsidRPr="00382917">
        <w:t>disciples</w:t>
      </w:r>
      <w:r w:rsidR="00EE4FC3">
        <w:t xml:space="preserve"> </w:t>
      </w:r>
      <w:r w:rsidRPr="00382917">
        <w:t>of</w:t>
      </w:r>
      <w:r w:rsidR="00EE4FC3">
        <w:t xml:space="preserve"> </w:t>
      </w:r>
      <w:r w:rsidRPr="00382917">
        <w:t>Muḥammad?</w:t>
      </w:r>
      <w:r w:rsidR="009C713D" w:rsidRPr="00382917">
        <w:t>”</w:t>
      </w:r>
      <w:r w:rsidR="00EE4FC3">
        <w:t xml:space="preserve">  </w:t>
      </w:r>
      <w:r w:rsidRPr="00382917">
        <w:t>And</w:t>
      </w:r>
      <w:r w:rsidR="00EE4FC3">
        <w:t xml:space="preserve"> </w:t>
      </w:r>
      <w:r w:rsidRPr="00382917">
        <w:t>Mullá</w:t>
      </w:r>
      <w:r w:rsidR="00EE4FC3">
        <w:t xml:space="preserve"> </w:t>
      </w:r>
      <w:r w:rsidRPr="00382917">
        <w:t>Ibr</w:t>
      </w:r>
      <w:r w:rsidRPr="00382917">
        <w:rPr>
          <w:sz w:val="22"/>
        </w:rPr>
        <w:t>á</w:t>
      </w:r>
      <w:r w:rsidRPr="00382917">
        <w:t>h</w:t>
      </w:r>
      <w:r w:rsidRPr="00382917">
        <w:rPr>
          <w:sz w:val="22"/>
        </w:rPr>
        <w:t>í</w:t>
      </w:r>
      <w:r w:rsidRPr="00382917">
        <w:t>m</w:t>
      </w:r>
      <w:r w:rsidR="00EE4FC3">
        <w:t xml:space="preserve"> </w:t>
      </w:r>
      <w:r w:rsidRPr="00382917">
        <w:t>actually</w:t>
      </w:r>
      <w:r w:rsidR="00EE4FC3">
        <w:t xml:space="preserve"> </w:t>
      </w:r>
      <w:r w:rsidRPr="00382917">
        <w:t>arose</w:t>
      </w:r>
      <w:r w:rsidR="00EE4FC3">
        <w:t xml:space="preserve"> </w:t>
      </w:r>
      <w:r w:rsidRPr="00382917">
        <w:t>from</w:t>
      </w:r>
      <w:r w:rsidR="00EE4FC3">
        <w:t xml:space="preserve"> </w:t>
      </w:r>
      <w:r w:rsidRPr="00382917">
        <w:t>his</w:t>
      </w:r>
      <w:r w:rsidR="00EE4FC3">
        <w:t xml:space="preserve"> </w:t>
      </w:r>
      <w:r w:rsidRPr="00382917">
        <w:t>faint</w:t>
      </w:r>
      <w:r w:rsidR="00EE4FC3">
        <w:t xml:space="preserve"> </w:t>
      </w:r>
      <w:r w:rsidRPr="00382917">
        <w:t>and</w:t>
      </w:r>
      <w:r w:rsidR="00EE4FC3">
        <w:t xml:space="preserve"> </w:t>
      </w:r>
      <w:r w:rsidRPr="00382917">
        <w:t>departed</w:t>
      </w:r>
      <w:r w:rsidR="00EE4FC3">
        <w:t xml:space="preserve"> </w:t>
      </w:r>
      <w:r w:rsidRPr="00382917">
        <w:t>from</w:t>
      </w:r>
      <w:r w:rsidR="00EE4FC3">
        <w:t xml:space="preserve"> </w:t>
      </w:r>
      <w:r w:rsidRPr="00382917">
        <w:t>her</w:t>
      </w:r>
      <w:r w:rsidR="00EE4FC3">
        <w:t xml:space="preserve"> </w:t>
      </w:r>
      <w:r w:rsidRPr="00382917">
        <w:t>presence,</w:t>
      </w:r>
      <w:r w:rsidR="00EE4FC3">
        <w:t xml:space="preserve"> </w:t>
      </w:r>
      <w:r w:rsidRPr="00382917">
        <w:t>and</w:t>
      </w:r>
      <w:r w:rsidR="00EE4FC3">
        <w:t xml:space="preserve"> </w:t>
      </w:r>
      <w:r w:rsidRPr="00382917">
        <w:t>began</w:t>
      </w:r>
      <w:r w:rsidR="00EE4FC3">
        <w:t xml:space="preserve"> </w:t>
      </w:r>
      <w:r w:rsidRPr="00382917">
        <w:t>to</w:t>
      </w:r>
      <w:r w:rsidR="00EE4FC3">
        <w:t xml:space="preserve"> </w:t>
      </w:r>
      <w:r w:rsidRPr="00382917">
        <w:t>teach.</w:t>
      </w:r>
      <w:r w:rsidR="00C471FA">
        <w:rPr>
          <w:rStyle w:val="FootnoteReference"/>
        </w:rPr>
        <w:footnoteReference w:id="145"/>
      </w:r>
    </w:p>
    <w:p w:rsidR="005B5622" w:rsidRPr="00382917" w:rsidRDefault="005B5622" w:rsidP="006340BC">
      <w:pPr>
        <w:pStyle w:val="Text"/>
      </w:pPr>
      <w:r w:rsidRPr="00382917">
        <w:t>From</w:t>
      </w:r>
      <w:r w:rsidR="00EE4FC3">
        <w:t xml:space="preserve"> </w:t>
      </w:r>
      <w:r w:rsidRPr="00382917">
        <w:t>Hamadán</w:t>
      </w:r>
      <w:r w:rsidR="00EE4FC3">
        <w:t xml:space="preserve"> </w:t>
      </w:r>
      <w:r w:rsidRPr="00382917">
        <w:t>Ṭáhirih</w:t>
      </w:r>
      <w:r w:rsidR="00EE4FC3">
        <w:t xml:space="preserve"> </w:t>
      </w:r>
      <w:r w:rsidRPr="00382917">
        <w:t>planned</w:t>
      </w:r>
      <w:r w:rsidR="00EE4FC3">
        <w:t xml:space="preserve"> </w:t>
      </w:r>
      <w:r w:rsidRPr="00382917">
        <w:t>to</w:t>
      </w:r>
      <w:r w:rsidR="00EE4FC3">
        <w:t xml:space="preserve"> </w:t>
      </w:r>
      <w:r w:rsidRPr="00382917">
        <w:t>go</w:t>
      </w:r>
      <w:r w:rsidR="00EE4FC3">
        <w:t xml:space="preserve"> </w:t>
      </w:r>
      <w:r w:rsidRPr="00382917">
        <w:t>to</w:t>
      </w:r>
      <w:r w:rsidR="00EE4FC3">
        <w:t xml:space="preserve"> </w:t>
      </w:r>
      <w:r w:rsidRPr="00382917">
        <w:t>Ṭihrán</w:t>
      </w:r>
      <w:r w:rsidR="00EE4FC3">
        <w:t xml:space="preserve"> </w:t>
      </w:r>
      <w:r w:rsidRPr="00382917">
        <w:t>to</w:t>
      </w:r>
      <w:r w:rsidR="00EE4FC3">
        <w:t xml:space="preserve"> </w:t>
      </w:r>
      <w:r w:rsidRPr="00382917">
        <w:t>try</w:t>
      </w:r>
      <w:r w:rsidR="00EE4FC3">
        <w:t xml:space="preserve"> </w:t>
      </w:r>
      <w:r w:rsidRPr="00382917">
        <w:t>and</w:t>
      </w:r>
      <w:r w:rsidR="00EE4FC3">
        <w:t xml:space="preserve"> </w:t>
      </w:r>
      <w:r w:rsidRPr="00382917">
        <w:t>meet</w:t>
      </w:r>
      <w:r w:rsidR="00EE4FC3">
        <w:t xml:space="preserve"> </w:t>
      </w:r>
      <w:r w:rsidRPr="00382917">
        <w:t>his</w:t>
      </w:r>
      <w:r w:rsidR="00EE4FC3">
        <w:t xml:space="preserve"> </w:t>
      </w:r>
      <w:r w:rsidRPr="00382917">
        <w:t>Majesty,</w:t>
      </w:r>
      <w:r w:rsidR="00EE4FC3">
        <w:t xml:space="preserve"> </w:t>
      </w:r>
      <w:r w:rsidRPr="00382917">
        <w:t>Mu</w:t>
      </w:r>
      <w:r w:rsidRPr="00382917">
        <w:rPr>
          <w:sz w:val="22"/>
        </w:rPr>
        <w:t>ḥ</w:t>
      </w:r>
      <w:r w:rsidRPr="00382917">
        <w:t>ammad</w:t>
      </w:r>
      <w:r w:rsidR="00EE4FC3">
        <w:t xml:space="preserve"> </w:t>
      </w:r>
      <w:r w:rsidR="004F6339" w:rsidRPr="004F6339">
        <w:rPr>
          <w:u w:val="single"/>
        </w:rPr>
        <w:t>Sh</w:t>
      </w:r>
      <w:r w:rsidR="004F6339" w:rsidRPr="00382917">
        <w:t>áh</w:t>
      </w:r>
      <w:r w:rsidRPr="00382917">
        <w:t>,</w:t>
      </w:r>
      <w:r w:rsidR="00EE4FC3">
        <w:t xml:space="preserve"> </w:t>
      </w:r>
      <w:r w:rsidRPr="00382917">
        <w:t>so</w:t>
      </w:r>
      <w:r w:rsidR="00EE4FC3">
        <w:t xml:space="preserve"> </w:t>
      </w:r>
      <w:r w:rsidRPr="00382917">
        <w:t>that</w:t>
      </w:r>
      <w:r w:rsidR="00EE4FC3">
        <w:t xml:space="preserve"> </w:t>
      </w:r>
      <w:r w:rsidRPr="00382917">
        <w:t>she</w:t>
      </w:r>
      <w:r w:rsidR="00EE4FC3">
        <w:t xml:space="preserve"> </w:t>
      </w:r>
      <w:r w:rsidRPr="00382917">
        <w:t>could</w:t>
      </w:r>
      <w:r w:rsidR="00EE4FC3">
        <w:t xml:space="preserve"> </w:t>
      </w:r>
      <w:r w:rsidRPr="00382917">
        <w:t>tell</w:t>
      </w:r>
      <w:r w:rsidR="00EE4FC3">
        <w:t xml:space="preserve"> </w:t>
      </w:r>
      <w:r w:rsidRPr="00382917">
        <w:t>the</w:t>
      </w:r>
      <w:r w:rsidR="00EE4FC3">
        <w:t xml:space="preserve"> </w:t>
      </w:r>
      <w:r w:rsidRPr="00382917">
        <w:t>king</w:t>
      </w:r>
      <w:r w:rsidR="00EE4FC3">
        <w:t xml:space="preserve"> </w:t>
      </w:r>
      <w:r w:rsidRPr="00382917">
        <w:t>about</w:t>
      </w:r>
      <w:r w:rsidR="00EE4FC3">
        <w:t xml:space="preserve"> </w:t>
      </w:r>
      <w:r w:rsidRPr="00382917">
        <w:t>these</w:t>
      </w:r>
      <w:r w:rsidR="00EE4FC3">
        <w:t xml:space="preserve"> </w:t>
      </w:r>
      <w:r w:rsidRPr="00382917">
        <w:t>new</w:t>
      </w:r>
      <w:r w:rsidR="00EE4FC3">
        <w:t xml:space="preserve"> </w:t>
      </w:r>
      <w:r w:rsidRPr="00382917">
        <w:t>teachings</w:t>
      </w:r>
      <w:r w:rsidR="00B71244">
        <w:t>.</w:t>
      </w:r>
      <w:r w:rsidR="00EE4FC3">
        <w:t xml:space="preserve">  </w:t>
      </w:r>
      <w:r w:rsidRPr="00382917">
        <w:t>However,</w:t>
      </w:r>
      <w:r w:rsidR="00EE4FC3">
        <w:t xml:space="preserve"> </w:t>
      </w:r>
      <w:r w:rsidRPr="00382917">
        <w:t>one</w:t>
      </w:r>
      <w:r w:rsidR="00EE4FC3">
        <w:t xml:space="preserve"> </w:t>
      </w:r>
      <w:r w:rsidRPr="00382917">
        <w:t>of</w:t>
      </w:r>
      <w:r w:rsidR="00EE4FC3">
        <w:t xml:space="preserve"> </w:t>
      </w:r>
      <w:r w:rsidRPr="00382917">
        <w:t>the</w:t>
      </w:r>
      <w:r w:rsidR="00EE4FC3">
        <w:t xml:space="preserve"> </w:t>
      </w:r>
      <w:r w:rsidRPr="00382917">
        <w:t>priests</w:t>
      </w:r>
      <w:r w:rsidR="00EE4FC3">
        <w:t xml:space="preserve"> </w:t>
      </w:r>
      <w:r w:rsidRPr="00382917">
        <w:t>who</w:t>
      </w:r>
      <w:r w:rsidR="00EE4FC3">
        <w:t xml:space="preserve"> </w:t>
      </w:r>
      <w:r w:rsidRPr="00382917">
        <w:t>had</w:t>
      </w:r>
      <w:r w:rsidR="00EE4FC3">
        <w:t xml:space="preserve"> </w:t>
      </w:r>
      <w:r w:rsidRPr="00382917">
        <w:t>refused</w:t>
      </w:r>
      <w:r w:rsidR="00EE4FC3">
        <w:t xml:space="preserve"> </w:t>
      </w:r>
      <w:r w:rsidRPr="00382917">
        <w:t>to</w:t>
      </w:r>
      <w:r w:rsidR="00EE4FC3">
        <w:t xml:space="preserve"> </w:t>
      </w:r>
      <w:r w:rsidRPr="00382917">
        <w:t>meet</w:t>
      </w:r>
      <w:r w:rsidR="00EE4FC3">
        <w:t xml:space="preserve"> </w:t>
      </w:r>
      <w:r w:rsidRPr="00382917">
        <w:t>her</w:t>
      </w:r>
      <w:r w:rsidR="00EE4FC3">
        <w:t xml:space="preserve"> </w:t>
      </w:r>
      <w:r w:rsidRPr="00382917">
        <w:t>in</w:t>
      </w:r>
      <w:r w:rsidR="00EE4FC3">
        <w:t xml:space="preserve"> </w:t>
      </w:r>
      <w:r w:rsidRPr="00382917">
        <w:t>open</w:t>
      </w:r>
      <w:r w:rsidR="00EE4FC3">
        <w:t xml:space="preserve"> </w:t>
      </w:r>
      <w:r w:rsidRPr="00382917">
        <w:t>debate</w:t>
      </w:r>
      <w:r w:rsidR="00EE4FC3">
        <w:t xml:space="preserve"> </w:t>
      </w:r>
      <w:r w:rsidRPr="00382917">
        <w:t>when</w:t>
      </w:r>
      <w:r w:rsidR="00EE4FC3">
        <w:t xml:space="preserve"> </w:t>
      </w:r>
      <w:r w:rsidRPr="00382917">
        <w:t>she</w:t>
      </w:r>
      <w:r w:rsidR="00EE4FC3">
        <w:t xml:space="preserve"> </w:t>
      </w:r>
      <w:r w:rsidRPr="00382917">
        <w:t>was</w:t>
      </w:r>
      <w:r w:rsidR="00EE4FC3">
        <w:t xml:space="preserve"> </w:t>
      </w:r>
      <w:r w:rsidRPr="00382917">
        <w:t>in</w:t>
      </w:r>
      <w:r w:rsidR="00EE4FC3">
        <w:t xml:space="preserve"> </w:t>
      </w:r>
      <w:r w:rsidR="00C471FA" w:rsidRPr="00382917">
        <w:t>Kirmán</w:t>
      </w:r>
      <w:r w:rsidR="00C471FA" w:rsidRPr="00C471FA">
        <w:rPr>
          <w:u w:val="single"/>
        </w:rPr>
        <w:t>sh</w:t>
      </w:r>
      <w:r w:rsidR="00C471FA" w:rsidRPr="00382917">
        <w:t>áh</w:t>
      </w:r>
      <w:r w:rsidR="00EE4FC3">
        <w:t xml:space="preserve"> </w:t>
      </w:r>
      <w:r w:rsidRPr="00382917">
        <w:t>had</w:t>
      </w:r>
      <w:r w:rsidR="00EE4FC3">
        <w:t xml:space="preserve"> </w:t>
      </w:r>
      <w:r w:rsidRPr="00382917">
        <w:t>secretly</w:t>
      </w:r>
      <w:r w:rsidR="00EE4FC3">
        <w:t xml:space="preserve"> </w:t>
      </w:r>
      <w:r w:rsidRPr="00382917">
        <w:t>written</w:t>
      </w:r>
      <w:r w:rsidR="00EE4FC3">
        <w:t xml:space="preserve"> </w:t>
      </w:r>
      <w:r w:rsidRPr="00382917">
        <w:t>to</w:t>
      </w:r>
      <w:r w:rsidR="00EE4FC3">
        <w:t xml:space="preserve"> </w:t>
      </w:r>
      <w:r w:rsidRPr="00382917">
        <w:t>her</w:t>
      </w:r>
      <w:r w:rsidR="00EE4FC3">
        <w:t xml:space="preserve"> </w:t>
      </w:r>
      <w:r w:rsidRPr="00382917">
        <w:t>father</w:t>
      </w:r>
      <w:r w:rsidR="00EE4FC3">
        <w:t xml:space="preserve"> </w:t>
      </w:r>
      <w:r w:rsidRPr="00382917">
        <w:t>in</w:t>
      </w:r>
      <w:r w:rsidR="00EE4FC3">
        <w:t xml:space="preserve"> </w:t>
      </w:r>
      <w:r w:rsidRPr="00382917">
        <w:t>Qazvin</w:t>
      </w:r>
      <w:r w:rsidR="00B71244">
        <w:t>.</w:t>
      </w:r>
      <w:r w:rsidR="00EE4FC3">
        <w:t xml:space="preserve">  </w:t>
      </w:r>
      <w:r w:rsidRPr="00382917">
        <w:t>He</w:t>
      </w:r>
      <w:r w:rsidR="00EE4FC3">
        <w:t xml:space="preserve"> </w:t>
      </w:r>
      <w:r w:rsidRPr="00382917">
        <w:t>told</w:t>
      </w:r>
      <w:r w:rsidR="00EE4FC3">
        <w:t xml:space="preserve"> </w:t>
      </w:r>
      <w:r w:rsidRPr="00382917">
        <w:t>him</w:t>
      </w:r>
      <w:r w:rsidR="00EE4FC3">
        <w:t xml:space="preserve"> </w:t>
      </w:r>
      <w:r w:rsidRPr="00382917">
        <w:t>that</w:t>
      </w:r>
      <w:r w:rsidR="00EE4FC3">
        <w:t xml:space="preserve"> </w:t>
      </w:r>
      <w:r w:rsidRPr="00382917">
        <w:t>his</w:t>
      </w:r>
      <w:r w:rsidR="00EE4FC3">
        <w:t xml:space="preserve"> </w:t>
      </w:r>
      <w:r w:rsidRPr="00382917">
        <w:t>daughter</w:t>
      </w:r>
      <w:r w:rsidR="00EE4FC3">
        <w:t xml:space="preserve"> </w:t>
      </w:r>
      <w:r w:rsidRPr="00382917">
        <w:t>was</w:t>
      </w:r>
      <w:r w:rsidR="00EE4FC3">
        <w:t xml:space="preserve"> </w:t>
      </w:r>
      <w:r w:rsidRPr="00382917">
        <w:t>disgracing</w:t>
      </w:r>
      <w:r w:rsidR="00EE4FC3">
        <w:t xml:space="preserve"> </w:t>
      </w:r>
      <w:r w:rsidRPr="00382917">
        <w:t>the</w:t>
      </w:r>
      <w:r w:rsidR="00EE4FC3">
        <w:t xml:space="preserve"> </w:t>
      </w:r>
      <w:r w:rsidRPr="00382917">
        <w:t>reputation</w:t>
      </w:r>
      <w:r w:rsidR="00EE4FC3">
        <w:t xml:space="preserve"> </w:t>
      </w:r>
      <w:r w:rsidRPr="00382917">
        <w:t>of</w:t>
      </w:r>
      <w:r w:rsidR="00EE4FC3">
        <w:t xml:space="preserve"> </w:t>
      </w:r>
      <w:r w:rsidRPr="00382917">
        <w:t>all</w:t>
      </w:r>
      <w:r w:rsidR="00EE4FC3">
        <w:t xml:space="preserve"> </w:t>
      </w:r>
      <w:r w:rsidRPr="00382917">
        <w:t>the</w:t>
      </w:r>
      <w:r w:rsidR="00EE4FC3">
        <w:t xml:space="preserve"> </w:t>
      </w:r>
      <w:r w:rsidRPr="00382917">
        <w:t>clergy,</w:t>
      </w:r>
      <w:r w:rsidR="00EE4FC3">
        <w:t xml:space="preserve"> </w:t>
      </w:r>
      <w:r w:rsidRPr="00382917">
        <w:t>let</w:t>
      </w:r>
      <w:r w:rsidR="00EE4FC3">
        <w:t xml:space="preserve"> </w:t>
      </w:r>
      <w:r w:rsidRPr="00382917">
        <w:t>alone</w:t>
      </w:r>
      <w:r w:rsidR="00EE4FC3">
        <w:t xml:space="preserve"> </w:t>
      </w:r>
      <w:r w:rsidRPr="00382917">
        <w:t>her</w:t>
      </w:r>
      <w:r w:rsidR="00EE4FC3">
        <w:t xml:space="preserve"> </w:t>
      </w:r>
      <w:r w:rsidRPr="00382917">
        <w:t>family.</w:t>
      </w:r>
    </w:p>
    <w:p w:rsidR="005B5622" w:rsidRPr="00382917" w:rsidRDefault="005B5622" w:rsidP="006340BC">
      <w:pPr>
        <w:pStyle w:val="Text"/>
      </w:pPr>
      <w:r w:rsidRPr="00382917">
        <w:t>Her</w:t>
      </w:r>
      <w:r w:rsidR="00EE4FC3">
        <w:t xml:space="preserve"> </w:t>
      </w:r>
      <w:r w:rsidRPr="00382917">
        <w:t>father</w:t>
      </w:r>
      <w:r w:rsidR="00EE4FC3">
        <w:t xml:space="preserve"> </w:t>
      </w:r>
      <w:r w:rsidRPr="00382917">
        <w:t>at</w:t>
      </w:r>
      <w:r w:rsidR="00EE4FC3">
        <w:t xml:space="preserve"> </w:t>
      </w:r>
      <w:r w:rsidRPr="00382917">
        <w:t>once</w:t>
      </w:r>
      <w:r w:rsidR="00EE4FC3">
        <w:t xml:space="preserve"> </w:t>
      </w:r>
      <w:r w:rsidRPr="00382917">
        <w:t>sent</w:t>
      </w:r>
      <w:r w:rsidR="00EE4FC3">
        <w:t xml:space="preserve"> </w:t>
      </w:r>
      <w:r w:rsidRPr="00382917">
        <w:t>his</w:t>
      </w:r>
      <w:r w:rsidR="00EE4FC3">
        <w:t xml:space="preserve"> </w:t>
      </w:r>
      <w:r w:rsidRPr="00382917">
        <w:t>son</w:t>
      </w:r>
      <w:r w:rsidR="00EE4FC3">
        <w:t xml:space="preserve"> </w:t>
      </w:r>
      <w:r w:rsidRPr="00382917">
        <w:t>with</w:t>
      </w:r>
      <w:r w:rsidR="00EE4FC3">
        <w:t xml:space="preserve"> </w:t>
      </w:r>
      <w:r w:rsidRPr="00382917">
        <w:t>a</w:t>
      </w:r>
      <w:r w:rsidR="00EE4FC3">
        <w:t xml:space="preserve"> </w:t>
      </w:r>
      <w:r w:rsidRPr="00382917">
        <w:t>strong</w:t>
      </w:r>
      <w:r w:rsidR="00EE4FC3">
        <w:t xml:space="preserve"> </w:t>
      </w:r>
      <w:r w:rsidRPr="00382917">
        <w:t>party</w:t>
      </w:r>
      <w:r w:rsidR="00EE4FC3">
        <w:t xml:space="preserve"> </w:t>
      </w:r>
      <w:r w:rsidRPr="00382917">
        <w:t>of</w:t>
      </w:r>
      <w:r w:rsidR="00EE4FC3">
        <w:t xml:space="preserve"> </w:t>
      </w:r>
      <w:r w:rsidRPr="00382917">
        <w:t>relatives</w:t>
      </w:r>
      <w:r w:rsidR="00EE4FC3">
        <w:t xml:space="preserve"> </w:t>
      </w:r>
      <w:r w:rsidRPr="00382917">
        <w:t>to</w:t>
      </w:r>
      <w:r w:rsidR="00EE4FC3">
        <w:t xml:space="preserve"> </w:t>
      </w:r>
      <w:r w:rsidRPr="00382917">
        <w:t>Hamadán</w:t>
      </w:r>
      <w:r w:rsidR="00EE4FC3">
        <w:t xml:space="preserve"> </w:t>
      </w:r>
      <w:r w:rsidRPr="00382917">
        <w:t>to</w:t>
      </w:r>
      <w:r w:rsidR="00EE4FC3">
        <w:t xml:space="preserve"> </w:t>
      </w:r>
      <w:r w:rsidRPr="00382917">
        <w:t>intercept</w:t>
      </w:r>
      <w:r w:rsidR="00EE4FC3">
        <w:t xml:space="preserve"> </w:t>
      </w:r>
      <w:r w:rsidRPr="00382917">
        <w:t>Ṭáhirih,</w:t>
      </w:r>
      <w:r w:rsidR="00EE4FC3">
        <w:t xml:space="preserve"> </w:t>
      </w:r>
      <w:r w:rsidRPr="00382917">
        <w:t>and</w:t>
      </w:r>
      <w:r w:rsidR="00EE4FC3">
        <w:t xml:space="preserve"> </w:t>
      </w:r>
      <w:r w:rsidRPr="00382917">
        <w:t>to</w:t>
      </w:r>
      <w:r w:rsidR="00EE4FC3">
        <w:t xml:space="preserve"> </w:t>
      </w:r>
      <w:r w:rsidRPr="00382917">
        <w:t>urge</w:t>
      </w:r>
      <w:r w:rsidR="00EE4FC3">
        <w:t xml:space="preserve"> </w:t>
      </w:r>
      <w:r w:rsidRPr="00382917">
        <w:t>her</w:t>
      </w:r>
      <w:r w:rsidR="00EE4FC3">
        <w:t xml:space="preserve"> </w:t>
      </w:r>
      <w:r w:rsidRPr="00382917">
        <w:t>to</w:t>
      </w:r>
      <w:r w:rsidR="00EE4FC3">
        <w:t xml:space="preserve"> </w:t>
      </w:r>
      <w:r w:rsidRPr="00382917">
        <w:t>return</w:t>
      </w:r>
      <w:r w:rsidR="00EE4FC3">
        <w:t xml:space="preserve"> </w:t>
      </w:r>
      <w:r w:rsidRPr="00382917">
        <w:t>home</w:t>
      </w:r>
      <w:r w:rsidR="00B71244">
        <w:t>.</w:t>
      </w:r>
      <w:r w:rsidR="00EE4FC3">
        <w:t xml:space="preserve">  </w:t>
      </w:r>
      <w:proofErr w:type="spellStart"/>
      <w:r w:rsidRPr="00382917">
        <w:t>Some</w:t>
      </w:r>
      <w:r w:rsidR="00EE4FC3">
        <w:t xml:space="preserve"> </w:t>
      </w:r>
      <w:r w:rsidRPr="00382917">
        <w:t>time</w:t>
      </w:r>
      <w:proofErr w:type="spellEnd"/>
      <w:r w:rsidR="00EE4FC3">
        <w:t xml:space="preserve"> </w:t>
      </w:r>
      <w:r w:rsidRPr="00382917">
        <w:t>before</w:t>
      </w:r>
      <w:r w:rsidR="00EE4FC3">
        <w:t xml:space="preserve"> </w:t>
      </w:r>
      <w:r w:rsidRPr="00382917">
        <w:t>they</w:t>
      </w:r>
      <w:r w:rsidR="00EE4FC3">
        <w:t xml:space="preserve"> </w:t>
      </w:r>
      <w:r w:rsidRPr="00382917">
        <w:t>arrived</w:t>
      </w:r>
      <w:r w:rsidR="00EE4FC3">
        <w:t xml:space="preserve"> </w:t>
      </w:r>
      <w:r w:rsidRPr="00382917">
        <w:t>from</w:t>
      </w:r>
      <w:r w:rsidR="00EE4FC3">
        <w:t xml:space="preserve"> </w:t>
      </w:r>
      <w:r w:rsidRPr="00382917">
        <w:t>Qazvín,</w:t>
      </w:r>
      <w:r w:rsidR="00EE4FC3">
        <w:t xml:space="preserve"> </w:t>
      </w:r>
      <w:r w:rsidRPr="00382917">
        <w:t>Ṭáhirih</w:t>
      </w:r>
      <w:r w:rsidR="00EE4FC3">
        <w:t xml:space="preserve"> </w:t>
      </w:r>
      <w:r w:rsidRPr="00382917">
        <w:t>said</w:t>
      </w:r>
      <w:r w:rsidR="00EE4FC3">
        <w:t xml:space="preserve"> </w:t>
      </w:r>
      <w:r w:rsidRPr="00382917">
        <w:t>to</w:t>
      </w:r>
      <w:r w:rsidR="00EE4FC3">
        <w:t xml:space="preserve"> </w:t>
      </w:r>
      <w:r w:rsidRPr="00382917">
        <w:t>her</w:t>
      </w:r>
      <w:r w:rsidR="00EE4FC3">
        <w:t xml:space="preserve"> </w:t>
      </w:r>
      <w:r w:rsidRPr="00382917">
        <w:t>companions,</w:t>
      </w:r>
      <w:r w:rsidR="00EE4FC3">
        <w:t xml:space="preserve"> </w:t>
      </w:r>
      <w:r w:rsidR="009C713D" w:rsidRPr="00382917">
        <w:t>“</w:t>
      </w:r>
      <w:r w:rsidRPr="00382917">
        <w:t>They</w:t>
      </w:r>
      <w:r w:rsidR="00EE4FC3">
        <w:t xml:space="preserve"> </w:t>
      </w:r>
      <w:r w:rsidRPr="00382917">
        <w:t>are</w:t>
      </w:r>
      <w:r w:rsidR="00EE4FC3">
        <w:t xml:space="preserve"> </w:t>
      </w:r>
      <w:r w:rsidRPr="00382917">
        <w:t>coming</w:t>
      </w:r>
      <w:r w:rsidR="00EE4FC3">
        <w:t xml:space="preserve"> </w:t>
      </w:r>
      <w:r w:rsidRPr="00382917">
        <w:t>for</w:t>
      </w:r>
      <w:r w:rsidR="00EE4FC3">
        <w:t xml:space="preserve"> </w:t>
      </w:r>
      <w:r w:rsidRPr="00382917">
        <w:t>us</w:t>
      </w:r>
      <w:r w:rsidR="00EE4FC3">
        <w:t xml:space="preserve"> </w:t>
      </w:r>
      <w:r w:rsidRPr="00382917">
        <w:t>from</w:t>
      </w:r>
      <w:r w:rsidR="00EE4FC3">
        <w:t xml:space="preserve"> </w:t>
      </w:r>
      <w:r w:rsidRPr="00382917">
        <w:t>Qazvin</w:t>
      </w:r>
      <w:r w:rsidR="00B71244">
        <w:t>.</w:t>
      </w:r>
      <w:r w:rsidR="00EE4FC3">
        <w:t xml:space="preserve">  </w:t>
      </w:r>
      <w:r w:rsidRPr="00382917">
        <w:t>We</w:t>
      </w:r>
      <w:r w:rsidR="00EE4FC3">
        <w:t xml:space="preserve"> </w:t>
      </w:r>
      <w:r w:rsidRPr="00382917">
        <w:t>shall</w:t>
      </w:r>
      <w:r w:rsidR="00EE4FC3">
        <w:t xml:space="preserve"> </w:t>
      </w:r>
      <w:r w:rsidRPr="00382917">
        <w:t>go</w:t>
      </w:r>
      <w:r w:rsidR="00EE4FC3">
        <w:t xml:space="preserve"> </w:t>
      </w:r>
      <w:r w:rsidRPr="00382917">
        <w:t>out</w:t>
      </w:r>
      <w:r w:rsidR="00EE4FC3">
        <w:t xml:space="preserve"> </w:t>
      </w:r>
      <w:r w:rsidRPr="00382917">
        <w:t>to</w:t>
      </w:r>
      <w:r w:rsidR="00EE4FC3">
        <w:t xml:space="preserve"> </w:t>
      </w:r>
      <w:r w:rsidRPr="00382917">
        <w:t>meet</w:t>
      </w:r>
      <w:r w:rsidR="00EE4FC3">
        <w:t xml:space="preserve"> </w:t>
      </w:r>
      <w:r w:rsidRPr="00382917">
        <w:t>them</w:t>
      </w:r>
      <w:r w:rsidR="00EE4FC3">
        <w:t xml:space="preserve"> </w:t>
      </w:r>
      <w:r w:rsidRPr="00382917">
        <w:t>before</w:t>
      </w:r>
      <w:r w:rsidR="00EE4FC3">
        <w:t xml:space="preserve"> </w:t>
      </w:r>
      <w:r w:rsidRPr="00382917">
        <w:t>they</w:t>
      </w:r>
      <w:r w:rsidR="00EE4FC3">
        <w:t xml:space="preserve"> </w:t>
      </w:r>
      <w:r w:rsidRPr="00382917">
        <w:t>arrive</w:t>
      </w:r>
      <w:r w:rsidR="00EE4FC3">
        <w:t xml:space="preserve"> </w:t>
      </w:r>
      <w:r w:rsidRPr="00382917">
        <w:t>here.</w:t>
      </w:r>
      <w:r w:rsidR="009C713D" w:rsidRPr="00382917">
        <w:t>”</w:t>
      </w:r>
      <w:r w:rsidR="00EE4FC3">
        <w:t xml:space="preserve">  </w:t>
      </w:r>
      <w:r w:rsidRPr="00382917">
        <w:t>She</w:t>
      </w:r>
      <w:r w:rsidR="00EE4FC3">
        <w:t xml:space="preserve"> </w:t>
      </w:r>
      <w:r w:rsidRPr="00382917">
        <w:t>gave</w:t>
      </w:r>
      <w:r w:rsidR="00EE4FC3">
        <w:t xml:space="preserve"> </w:t>
      </w:r>
      <w:r w:rsidRPr="00382917">
        <w:t>up</w:t>
      </w:r>
      <w:r w:rsidR="00EE4FC3">
        <w:t xml:space="preserve"> </w:t>
      </w:r>
      <w:r w:rsidRPr="00382917">
        <w:t>her</w:t>
      </w:r>
      <w:r w:rsidR="00EE4FC3">
        <w:t xml:space="preserve"> </w:t>
      </w:r>
      <w:r w:rsidRPr="00382917">
        <w:t>visit</w:t>
      </w:r>
      <w:r w:rsidR="00EE4FC3">
        <w:t xml:space="preserve"> </w:t>
      </w:r>
      <w:r w:rsidRPr="00382917">
        <w:t>to</w:t>
      </w:r>
      <w:r w:rsidR="00EE4FC3">
        <w:t xml:space="preserve"> </w:t>
      </w:r>
      <w:r w:rsidRPr="00382917">
        <w:t>Ṭihrán,</w:t>
      </w:r>
      <w:r w:rsidR="00EE4FC3">
        <w:t xml:space="preserve"> </w:t>
      </w:r>
      <w:r w:rsidRPr="00382917">
        <w:t>and</w:t>
      </w:r>
      <w:r w:rsidR="00EE4FC3">
        <w:t xml:space="preserve"> </w:t>
      </w:r>
      <w:r w:rsidRPr="00382917">
        <w:t>returned</w:t>
      </w:r>
      <w:r w:rsidR="00EE4FC3">
        <w:t xml:space="preserve"> </w:t>
      </w:r>
      <w:r w:rsidRPr="00382917">
        <w:t>to</w:t>
      </w:r>
      <w:r w:rsidR="00EE4FC3">
        <w:t xml:space="preserve"> </w:t>
      </w:r>
      <w:r w:rsidRPr="00382917">
        <w:t>her</w:t>
      </w:r>
      <w:r w:rsidR="00EE4FC3">
        <w:t xml:space="preserve"> </w:t>
      </w:r>
      <w:r w:rsidRPr="00382917">
        <w:t>home</w:t>
      </w:r>
      <w:r w:rsidR="00EE4FC3">
        <w:t xml:space="preserve"> </w:t>
      </w:r>
      <w:r w:rsidRPr="00382917">
        <w:t>with</w:t>
      </w:r>
      <w:r w:rsidR="00EE4FC3">
        <w:t xml:space="preserve"> </w:t>
      </w:r>
      <w:r w:rsidRPr="00382917">
        <w:t>her</w:t>
      </w:r>
      <w:r w:rsidR="00EE4FC3">
        <w:t xml:space="preserve"> </w:t>
      </w:r>
      <w:r w:rsidRPr="00382917">
        <w:t>escort.</w:t>
      </w:r>
    </w:p>
    <w:p w:rsidR="005B5622" w:rsidRPr="00382917" w:rsidRDefault="005B5622" w:rsidP="006340BC">
      <w:pPr>
        <w:pStyle w:val="Text"/>
      </w:pPr>
      <w:r w:rsidRPr="00382917">
        <w:t>That</w:t>
      </w:r>
      <w:r w:rsidR="00EE4FC3">
        <w:t xml:space="preserve"> </w:t>
      </w:r>
      <w:r w:rsidRPr="00382917">
        <w:t>first</w:t>
      </w:r>
      <w:r w:rsidR="00EE4FC3">
        <w:t xml:space="preserve"> </w:t>
      </w:r>
      <w:r w:rsidRPr="00382917">
        <w:t>night</w:t>
      </w:r>
      <w:r w:rsidR="00EE4FC3">
        <w:t xml:space="preserve"> </w:t>
      </w:r>
      <w:r w:rsidRPr="00382917">
        <w:t>when</w:t>
      </w:r>
      <w:r w:rsidR="00EE4FC3">
        <w:t xml:space="preserve"> </w:t>
      </w:r>
      <w:r w:rsidRPr="00382917">
        <w:t>Ṭáhirih</w:t>
      </w:r>
      <w:r w:rsidR="00EE4FC3">
        <w:t xml:space="preserve"> </w:t>
      </w:r>
      <w:r w:rsidRPr="00382917">
        <w:t>arrived</w:t>
      </w:r>
      <w:r w:rsidR="00EE4FC3">
        <w:t xml:space="preserve"> </w:t>
      </w:r>
      <w:r w:rsidRPr="00382917">
        <w:t>in</w:t>
      </w:r>
      <w:r w:rsidR="00EE4FC3">
        <w:t xml:space="preserve"> </w:t>
      </w:r>
      <w:r w:rsidRPr="00382917">
        <w:t>Qazvín,</w:t>
      </w:r>
      <w:r w:rsidR="00EE4FC3">
        <w:t xml:space="preserve"> </w:t>
      </w:r>
      <w:r w:rsidRPr="00382917">
        <w:t>there</w:t>
      </w:r>
      <w:r w:rsidR="00EE4FC3">
        <w:t xml:space="preserve"> </w:t>
      </w:r>
      <w:r w:rsidRPr="00382917">
        <w:t>was</w:t>
      </w:r>
      <w:r w:rsidR="00EE4FC3">
        <w:t xml:space="preserve"> </w:t>
      </w:r>
      <w:r w:rsidRPr="00382917">
        <w:t>a</w:t>
      </w:r>
      <w:r w:rsidR="00EE4FC3">
        <w:t xml:space="preserve"> </w:t>
      </w:r>
      <w:r w:rsidRPr="00382917">
        <w:t>family</w:t>
      </w:r>
      <w:r w:rsidR="00EE4FC3">
        <w:t xml:space="preserve"> </w:t>
      </w:r>
      <w:r w:rsidRPr="00382917">
        <w:t>council</w:t>
      </w:r>
      <w:r w:rsidR="00B71244">
        <w:t>.</w:t>
      </w:r>
      <w:r w:rsidR="00EE4FC3">
        <w:t xml:space="preserve">  </w:t>
      </w:r>
      <w:r w:rsidRPr="00382917">
        <w:t>Her</w:t>
      </w:r>
      <w:r w:rsidR="00EE4FC3">
        <w:t xml:space="preserve"> </w:t>
      </w:r>
      <w:r w:rsidRPr="00382917">
        <w:t>father</w:t>
      </w:r>
      <w:r w:rsidR="00EE4FC3">
        <w:t xml:space="preserve"> </w:t>
      </w:r>
      <w:r w:rsidRPr="00382917">
        <w:t>and</w:t>
      </w:r>
      <w:r w:rsidR="00EE4FC3">
        <w:t xml:space="preserve"> </w:t>
      </w:r>
      <w:r w:rsidRPr="00382917">
        <w:t>her</w:t>
      </w:r>
      <w:r w:rsidR="00EE4FC3">
        <w:t xml:space="preserve"> </w:t>
      </w:r>
      <w:r w:rsidRPr="00382917">
        <w:t>uncle</w:t>
      </w:r>
      <w:r w:rsidR="00EE4FC3">
        <w:t xml:space="preserve"> </w:t>
      </w:r>
      <w:r w:rsidRPr="00382917">
        <w:t>strongly</w:t>
      </w:r>
      <w:r w:rsidR="00EE4FC3">
        <w:t xml:space="preserve"> </w:t>
      </w:r>
      <w:r w:rsidRPr="00382917">
        <w:t>reproached</w:t>
      </w:r>
      <w:r w:rsidR="00EE4FC3">
        <w:t xml:space="preserve"> </w:t>
      </w:r>
      <w:r w:rsidRPr="00382917">
        <w:t>her</w:t>
      </w:r>
      <w:r w:rsidR="00EE4FC3">
        <w:t xml:space="preserve"> </w:t>
      </w:r>
      <w:r w:rsidRPr="00382917">
        <w:t>for</w:t>
      </w:r>
      <w:r w:rsidR="00EE4FC3">
        <w:t xml:space="preserve"> </w:t>
      </w:r>
      <w:r w:rsidRPr="00382917">
        <w:t>her</w:t>
      </w:r>
      <w:r w:rsidR="00EE4FC3">
        <w:t xml:space="preserve"> </w:t>
      </w:r>
      <w:proofErr w:type="spellStart"/>
      <w:r w:rsidRPr="00382917">
        <w:t>behavior</w:t>
      </w:r>
      <w:proofErr w:type="spellEnd"/>
      <w:r w:rsidRPr="00382917">
        <w:t>.</w:t>
      </w:r>
    </w:p>
    <w:p w:rsidR="005B5622" w:rsidRPr="00382917" w:rsidRDefault="009C713D" w:rsidP="006340BC">
      <w:pPr>
        <w:pStyle w:val="Text"/>
      </w:pPr>
      <w:r w:rsidRPr="00382917">
        <w:t>“</w:t>
      </w:r>
      <w:r w:rsidR="005B5622" w:rsidRPr="00382917">
        <w:t>What</w:t>
      </w:r>
      <w:r w:rsidR="00EE4FC3">
        <w:t xml:space="preserve"> </w:t>
      </w:r>
      <w:r w:rsidR="005B5622" w:rsidRPr="00382917">
        <w:t>can</w:t>
      </w:r>
      <w:r w:rsidR="00EE4FC3">
        <w:t xml:space="preserve"> </w:t>
      </w:r>
      <w:r w:rsidR="005B5622" w:rsidRPr="00382917">
        <w:t>I</w:t>
      </w:r>
      <w:r w:rsidR="00EE4FC3">
        <w:t xml:space="preserve"> </w:t>
      </w:r>
      <w:r w:rsidR="005B5622" w:rsidRPr="00382917">
        <w:t>do</w:t>
      </w:r>
      <w:r w:rsidR="00EE4FC3">
        <w:t xml:space="preserve"> </w:t>
      </w:r>
      <w:r w:rsidR="005B5622" w:rsidRPr="00382917">
        <w:t>with</w:t>
      </w:r>
      <w:r w:rsidR="00EE4FC3">
        <w:t xml:space="preserve"> </w:t>
      </w:r>
      <w:r w:rsidR="005B5622" w:rsidRPr="00382917">
        <w:t>you,</w:t>
      </w:r>
      <w:r w:rsidRPr="00382917">
        <w:t>”</w:t>
      </w:r>
      <w:r w:rsidR="00EE4FC3">
        <w:t xml:space="preserve"> </w:t>
      </w:r>
      <w:r w:rsidR="005B5622" w:rsidRPr="00382917">
        <w:t>her</w:t>
      </w:r>
      <w:r w:rsidR="00EE4FC3">
        <w:t xml:space="preserve"> </w:t>
      </w:r>
      <w:r w:rsidR="005B5622" w:rsidRPr="00382917">
        <w:t>father</w:t>
      </w:r>
      <w:r w:rsidR="00EE4FC3">
        <w:t xml:space="preserve"> </w:t>
      </w:r>
      <w:r w:rsidR="005B5622" w:rsidRPr="00382917">
        <w:t>complained,</w:t>
      </w:r>
      <w:r w:rsidR="00EE4FC3">
        <w:t xml:space="preserve"> </w:t>
      </w:r>
      <w:r w:rsidRPr="00382917">
        <w:t>“</w:t>
      </w:r>
      <w:r w:rsidR="005B5622" w:rsidRPr="00382917">
        <w:t>when</w:t>
      </w:r>
      <w:r w:rsidR="00EE4FC3">
        <w:t xml:space="preserve"> </w:t>
      </w:r>
      <w:r w:rsidR="005B5622" w:rsidRPr="00382917">
        <w:t>you</w:t>
      </w:r>
      <w:r w:rsidR="00EE4FC3">
        <w:t xml:space="preserve"> </w:t>
      </w:r>
      <w:r w:rsidR="005B5622" w:rsidRPr="00382917">
        <w:t>choose</w:t>
      </w:r>
      <w:r w:rsidR="00EE4FC3">
        <w:t xml:space="preserve"> </w:t>
      </w:r>
      <w:r w:rsidR="005B5622" w:rsidRPr="00382917">
        <w:t>to</w:t>
      </w:r>
      <w:r w:rsidR="00EE4FC3">
        <w:t xml:space="preserve"> </w:t>
      </w:r>
      <w:r w:rsidR="005B5622" w:rsidRPr="00382917">
        <w:t>follow</w:t>
      </w:r>
      <w:r w:rsidR="00EE4FC3">
        <w:t xml:space="preserve"> </w:t>
      </w:r>
      <w:r w:rsidR="005B5622" w:rsidRPr="00382917">
        <w:t>this</w:t>
      </w:r>
      <w:r w:rsidR="00EE4FC3">
        <w:t xml:space="preserve"> </w:t>
      </w:r>
      <w:r w:rsidR="008A073E" w:rsidRPr="00382917">
        <w:rPr>
          <w:u w:val="single"/>
        </w:rPr>
        <w:t>Sh</w:t>
      </w:r>
      <w:r w:rsidR="008A073E" w:rsidRPr="00382917">
        <w:t>íráz</w:t>
      </w:r>
      <w:r w:rsidR="005B5622" w:rsidRPr="00382917">
        <w:t>í</w:t>
      </w:r>
      <w:r w:rsidR="00EE4FC3">
        <w:t xml:space="preserve"> </w:t>
      </w:r>
      <w:r w:rsidR="005B5622" w:rsidRPr="00382917">
        <w:t>lad?</w:t>
      </w:r>
      <w:r w:rsidRPr="00382917">
        <w:t>”</w:t>
      </w:r>
    </w:p>
    <w:p w:rsidR="005B5622" w:rsidRPr="00382917" w:rsidRDefault="005B5622" w:rsidP="006340BC">
      <w:pPr>
        <w:pStyle w:val="Text"/>
      </w:pPr>
      <w:r w:rsidRPr="00382917">
        <w:t>Her</w:t>
      </w:r>
      <w:r w:rsidR="00EE4FC3">
        <w:t xml:space="preserve"> </w:t>
      </w:r>
      <w:r w:rsidRPr="00382917">
        <w:t>uncle</w:t>
      </w:r>
      <w:r w:rsidR="00EE4FC3">
        <w:t xml:space="preserve"> </w:t>
      </w:r>
      <w:r w:rsidRPr="00382917">
        <w:t>Taqí</w:t>
      </w:r>
      <w:r w:rsidR="00EE4FC3">
        <w:t xml:space="preserve"> </w:t>
      </w:r>
      <w:r w:rsidRPr="00382917">
        <w:t>cursed</w:t>
      </w:r>
      <w:r w:rsidR="00EE4FC3">
        <w:t xml:space="preserve"> </w:t>
      </w:r>
      <w:r w:rsidRPr="00382917">
        <w:t>the</w:t>
      </w:r>
      <w:r w:rsidR="00EE4FC3">
        <w:t xml:space="preserve"> </w:t>
      </w:r>
      <w:r w:rsidRPr="00382917">
        <w:t>Báb</w:t>
      </w:r>
      <w:r w:rsidR="00EE4FC3">
        <w:t xml:space="preserve"> </w:t>
      </w:r>
      <w:r w:rsidRPr="00382917">
        <w:t>and</w:t>
      </w:r>
      <w:r w:rsidR="00EE4FC3">
        <w:t xml:space="preserve"> </w:t>
      </w:r>
      <w:r w:rsidRPr="00382917">
        <w:t>His</w:t>
      </w:r>
      <w:r w:rsidR="00EE4FC3">
        <w:t xml:space="preserve"> </w:t>
      </w:r>
      <w:r w:rsidRPr="00382917">
        <w:t>Faith</w:t>
      </w:r>
      <w:r w:rsidR="00B71244">
        <w:t>.</w:t>
      </w:r>
      <w:r w:rsidR="00EE4FC3">
        <w:t xml:space="preserve">  </w:t>
      </w:r>
      <w:r w:rsidRPr="00382917">
        <w:t>In</w:t>
      </w:r>
      <w:r w:rsidR="00EE4FC3">
        <w:t xml:space="preserve"> </w:t>
      </w:r>
      <w:r w:rsidRPr="00382917">
        <w:t>his</w:t>
      </w:r>
      <w:r w:rsidR="00EE4FC3">
        <w:t xml:space="preserve"> </w:t>
      </w:r>
      <w:r w:rsidRPr="00382917">
        <w:t>violent</w:t>
      </w:r>
      <w:r w:rsidR="00EE4FC3">
        <w:t xml:space="preserve"> </w:t>
      </w:r>
      <w:r w:rsidRPr="00382917">
        <w:t>anger</w:t>
      </w:r>
      <w:r w:rsidR="00EE4FC3">
        <w:t xml:space="preserve"> </w:t>
      </w:r>
      <w:r w:rsidRPr="00382917">
        <w:t>he</w:t>
      </w:r>
      <w:r w:rsidR="00EE4FC3">
        <w:t xml:space="preserve"> </w:t>
      </w:r>
      <w:r w:rsidRPr="00382917">
        <w:t>struck</w:t>
      </w:r>
      <w:r w:rsidR="00EE4FC3">
        <w:t xml:space="preserve"> </w:t>
      </w:r>
      <w:r w:rsidRPr="00382917">
        <w:t>Ṭáhirih</w:t>
      </w:r>
      <w:r w:rsidR="00EE4FC3">
        <w:t xml:space="preserve"> </w:t>
      </w:r>
      <w:r w:rsidRPr="00382917">
        <w:t>several</w:t>
      </w:r>
      <w:r w:rsidR="00EE4FC3">
        <w:t xml:space="preserve"> </w:t>
      </w:r>
      <w:r w:rsidRPr="00382917">
        <w:t>blows</w:t>
      </w:r>
      <w:r w:rsidR="00B71244">
        <w:t>.</w:t>
      </w:r>
      <w:r w:rsidR="00EE4FC3">
        <w:t xml:space="preserve">  </w:t>
      </w:r>
      <w:r w:rsidRPr="00382917">
        <w:t>With</w:t>
      </w:r>
      <w:r w:rsidR="00EE4FC3">
        <w:t xml:space="preserve"> </w:t>
      </w:r>
      <w:r w:rsidRPr="00382917">
        <w:t>her</w:t>
      </w:r>
      <w:r w:rsidR="00EE4FC3">
        <w:t xml:space="preserve"> </w:t>
      </w:r>
      <w:r w:rsidRPr="00382917">
        <w:t>quick</w:t>
      </w:r>
      <w:r w:rsidR="00EE4FC3">
        <w:t xml:space="preserve"> </w:t>
      </w:r>
      <w:r w:rsidRPr="00382917">
        <w:t>intuition</w:t>
      </w:r>
      <w:r w:rsidR="00EE4FC3">
        <w:t xml:space="preserve"> </w:t>
      </w:r>
      <w:r w:rsidRPr="00382917">
        <w:t>of</w:t>
      </w:r>
      <w:r w:rsidR="00EE4FC3">
        <w:t xml:space="preserve"> </w:t>
      </w:r>
      <w:r w:rsidRPr="00382917">
        <w:t>the</w:t>
      </w:r>
      <w:r w:rsidR="00EE4FC3">
        <w:t xml:space="preserve"> </w:t>
      </w:r>
      <w:r w:rsidRPr="00382917">
        <w:t>avenging</w:t>
      </w:r>
      <w:r w:rsidR="00EE4FC3">
        <w:t xml:space="preserve"> </w:t>
      </w:r>
      <w:r w:rsidRPr="00382917">
        <w:t>hand</w:t>
      </w:r>
      <w:r w:rsidR="00EE4FC3">
        <w:t xml:space="preserve"> </w:t>
      </w:r>
      <w:r w:rsidRPr="00382917">
        <w:t>of</w:t>
      </w:r>
      <w:r w:rsidR="00EE4FC3">
        <w:t xml:space="preserve"> </w:t>
      </w:r>
      <w:r w:rsidRPr="00382917">
        <w:t>God,</w:t>
      </w:r>
      <w:r w:rsidR="00EE4FC3">
        <w:t xml:space="preserve"> </w:t>
      </w:r>
      <w:r w:rsidRPr="00382917">
        <w:t>Ṭáhirih</w:t>
      </w:r>
      <w:r w:rsidR="00EE4FC3">
        <w:t xml:space="preserve"> </w:t>
      </w:r>
      <w:r w:rsidRPr="00382917">
        <w:t>uttered</w:t>
      </w:r>
      <w:r w:rsidR="00EE4FC3">
        <w:t xml:space="preserve"> </w:t>
      </w:r>
      <w:r w:rsidRPr="00382917">
        <w:t>fatal</w:t>
      </w:r>
      <w:r w:rsidR="00EE4FC3">
        <w:t xml:space="preserve"> </w:t>
      </w:r>
      <w:r w:rsidRPr="00382917">
        <w:t>words</w:t>
      </w:r>
      <w:r w:rsidR="00EE4FC3">
        <w:t xml:space="preserve"> </w:t>
      </w:r>
      <w:r w:rsidRPr="00382917">
        <w:t>of</w:t>
      </w:r>
      <w:r w:rsidR="00EE4FC3">
        <w:t xml:space="preserve"> </w:t>
      </w:r>
      <w:r w:rsidRPr="00382917">
        <w:t>foresight.</w:t>
      </w:r>
    </w:p>
    <w:p w:rsidR="005B5622" w:rsidRPr="00382917" w:rsidRDefault="009C713D" w:rsidP="006340BC">
      <w:pPr>
        <w:pStyle w:val="Text"/>
      </w:pPr>
      <w:r w:rsidRPr="00382917">
        <w:t>“</w:t>
      </w:r>
      <w:r w:rsidR="005B5622" w:rsidRPr="00382917">
        <w:t>O</w:t>
      </w:r>
      <w:r w:rsidR="00EE4FC3">
        <w:t xml:space="preserve"> </w:t>
      </w:r>
      <w:r w:rsidR="005B5622" w:rsidRPr="00382917">
        <w:t>uncle,</w:t>
      </w:r>
      <w:r w:rsidRPr="00382917">
        <w:t>”</w:t>
      </w:r>
      <w:r w:rsidR="00EE4FC3">
        <w:t xml:space="preserve"> </w:t>
      </w:r>
      <w:r w:rsidR="005B5622" w:rsidRPr="00382917">
        <w:t>she</w:t>
      </w:r>
      <w:r w:rsidR="00EE4FC3">
        <w:t xml:space="preserve"> </w:t>
      </w:r>
      <w:r w:rsidR="005B5622" w:rsidRPr="00382917">
        <w:t>cried</w:t>
      </w:r>
      <w:r w:rsidR="00EE4FC3">
        <w:t xml:space="preserve"> </w:t>
      </w:r>
      <w:r w:rsidR="005B5622" w:rsidRPr="00382917">
        <w:t>out,</w:t>
      </w:r>
      <w:r w:rsidR="00EE4FC3">
        <w:t xml:space="preserve"> </w:t>
      </w:r>
      <w:r w:rsidRPr="00382917">
        <w:t>“</w:t>
      </w:r>
      <w:r w:rsidR="005B5622" w:rsidRPr="00382917">
        <w:t>I</w:t>
      </w:r>
      <w:r w:rsidR="00EE4FC3">
        <w:t xml:space="preserve"> </w:t>
      </w:r>
      <w:r w:rsidR="005B5622" w:rsidRPr="00382917">
        <w:t>see</w:t>
      </w:r>
      <w:r w:rsidR="00EE4FC3">
        <w:t xml:space="preserve"> </w:t>
      </w:r>
      <w:r w:rsidR="005B5622" w:rsidRPr="00382917">
        <w:t>your</w:t>
      </w:r>
      <w:r w:rsidR="00EE4FC3">
        <w:t xml:space="preserve"> </w:t>
      </w:r>
      <w:r w:rsidR="005B5622" w:rsidRPr="00382917">
        <w:t>mouth</w:t>
      </w:r>
      <w:r w:rsidR="00EE4FC3">
        <w:t xml:space="preserve"> </w:t>
      </w:r>
      <w:r w:rsidR="005B5622" w:rsidRPr="00382917">
        <w:t>fill</w:t>
      </w:r>
      <w:r w:rsidR="00EE4FC3">
        <w:t xml:space="preserve"> </w:t>
      </w:r>
      <w:r w:rsidR="005B5622" w:rsidRPr="00382917">
        <w:t>with</w:t>
      </w:r>
      <w:r w:rsidR="00EE4FC3">
        <w:t xml:space="preserve"> </w:t>
      </w:r>
      <w:r w:rsidR="005B5622" w:rsidRPr="00382917">
        <w:t>blood!</w:t>
      </w:r>
      <w:r w:rsidRPr="00382917">
        <w:t>”</w:t>
      </w:r>
    </w:p>
    <w:p w:rsidR="005B5622" w:rsidRPr="00382917" w:rsidRDefault="005B5622" w:rsidP="006340BC">
      <w:pPr>
        <w:pStyle w:val="Text"/>
      </w:pPr>
      <w:r w:rsidRPr="00382917">
        <w:t>These</w:t>
      </w:r>
      <w:r w:rsidR="00EE4FC3">
        <w:t xml:space="preserve"> </w:t>
      </w:r>
      <w:r w:rsidRPr="00382917">
        <w:t>words</w:t>
      </w:r>
      <w:r w:rsidR="00EE4FC3">
        <w:t xml:space="preserve"> </w:t>
      </w:r>
      <w:r w:rsidRPr="00382917">
        <w:t>so</w:t>
      </w:r>
      <w:r w:rsidR="00EE4FC3">
        <w:t xml:space="preserve"> </w:t>
      </w:r>
      <w:r w:rsidRPr="00382917">
        <w:t>infuriated</w:t>
      </w:r>
      <w:r w:rsidR="00EE4FC3">
        <w:t xml:space="preserve"> </w:t>
      </w:r>
      <w:r w:rsidRPr="00382917">
        <w:t>him</w:t>
      </w:r>
      <w:r w:rsidR="00EE4FC3">
        <w:t xml:space="preserve"> </w:t>
      </w:r>
      <w:r w:rsidRPr="00382917">
        <w:t>that</w:t>
      </w:r>
      <w:r w:rsidR="00EE4FC3">
        <w:t xml:space="preserve"> </w:t>
      </w:r>
      <w:r w:rsidRPr="00382917">
        <w:t>he</w:t>
      </w:r>
      <w:r w:rsidR="00EE4FC3">
        <w:t xml:space="preserve"> </w:t>
      </w:r>
      <w:r w:rsidRPr="00382917">
        <w:t>threatened</w:t>
      </w:r>
      <w:r w:rsidR="00EE4FC3">
        <w:t xml:space="preserve"> </w:t>
      </w:r>
      <w:r w:rsidRPr="00382917">
        <w:t>to</w:t>
      </w:r>
      <w:r w:rsidR="00EE4FC3">
        <w:t xml:space="preserve"> </w:t>
      </w:r>
      <w:r w:rsidRPr="00382917">
        <w:t>have</w:t>
      </w:r>
      <w:r w:rsidR="00EE4FC3">
        <w:t xml:space="preserve"> </w:t>
      </w:r>
      <w:r w:rsidRPr="00382917">
        <w:t>her</w:t>
      </w:r>
      <w:r w:rsidR="00EE4FC3">
        <w:t xml:space="preserve"> </w:t>
      </w:r>
      <w:r w:rsidRPr="00382917">
        <w:t>branded</w:t>
      </w:r>
      <w:r w:rsidR="00EE4FC3">
        <w:t xml:space="preserve"> </w:t>
      </w:r>
      <w:r w:rsidRPr="00382917">
        <w:t>with</w:t>
      </w:r>
      <w:r w:rsidR="00EE4FC3">
        <w:t xml:space="preserve"> </w:t>
      </w:r>
      <w:r w:rsidRPr="00382917">
        <w:t>hot</w:t>
      </w:r>
      <w:r w:rsidR="00EE4FC3">
        <w:t xml:space="preserve"> </w:t>
      </w:r>
      <w:r w:rsidRPr="00382917">
        <w:t>irons</w:t>
      </w:r>
      <w:r w:rsidR="00B71244">
        <w:t>.</w:t>
      </w:r>
      <w:r w:rsidR="00EE4FC3">
        <w:t xml:space="preserve">  </w:t>
      </w:r>
      <w:r w:rsidRPr="00382917">
        <w:t>The</w:t>
      </w:r>
      <w:r w:rsidR="00EE4FC3">
        <w:t xml:space="preserve"> </w:t>
      </w:r>
      <w:r w:rsidRPr="00382917">
        <w:t>council</w:t>
      </w:r>
      <w:r w:rsidR="00EE4FC3">
        <w:t xml:space="preserve"> </w:t>
      </w:r>
      <w:r w:rsidRPr="00382917">
        <w:t>broke</w:t>
      </w:r>
      <w:r w:rsidR="00EE4FC3">
        <w:t xml:space="preserve"> </w:t>
      </w:r>
      <w:r w:rsidRPr="00382917">
        <w:t>up</w:t>
      </w:r>
      <w:r w:rsidR="00EE4FC3">
        <w:t xml:space="preserve"> </w:t>
      </w:r>
      <w:r w:rsidRPr="00382917">
        <w:t>in</w:t>
      </w:r>
      <w:r w:rsidR="00EE4FC3">
        <w:t xml:space="preserve"> </w:t>
      </w:r>
      <w:r w:rsidRPr="00382917">
        <w:t>anger</w:t>
      </w:r>
      <w:r w:rsidR="00B71244">
        <w:t>.</w:t>
      </w:r>
      <w:r w:rsidR="00EE4FC3">
        <w:t xml:space="preserve">  </w:t>
      </w:r>
      <w:r w:rsidRPr="00382917">
        <w:t>Next</w:t>
      </w:r>
      <w:r w:rsidR="00EE4FC3">
        <w:t xml:space="preserve"> </w:t>
      </w:r>
      <w:r w:rsidRPr="00382917">
        <w:t>day</w:t>
      </w:r>
      <w:r w:rsidR="00EE4FC3">
        <w:t xml:space="preserve"> </w:t>
      </w:r>
      <w:r w:rsidRPr="00382917">
        <w:t>the</w:t>
      </w:r>
      <w:r w:rsidR="00EE4FC3">
        <w:t xml:space="preserve"> </w:t>
      </w:r>
      <w:r w:rsidRPr="00382917">
        <w:t>family</w:t>
      </w:r>
      <w:r w:rsidR="00EE4FC3">
        <w:t xml:space="preserve"> </w:t>
      </w:r>
      <w:r w:rsidRPr="00382917">
        <w:t>tried</w:t>
      </w:r>
      <w:r w:rsidR="00EE4FC3">
        <w:t xml:space="preserve"> </w:t>
      </w:r>
      <w:r w:rsidRPr="00382917">
        <w:t>to</w:t>
      </w:r>
      <w:r w:rsidR="00EE4FC3">
        <w:t xml:space="preserve"> </w:t>
      </w:r>
      <w:r w:rsidRPr="00382917">
        <w:t>persuade</w:t>
      </w:r>
      <w:r w:rsidR="00EE4FC3">
        <w:t xml:space="preserve"> </w:t>
      </w:r>
      <w:r w:rsidRPr="00382917">
        <w:t>her</w:t>
      </w:r>
      <w:r w:rsidR="00EE4FC3">
        <w:t xml:space="preserve"> </w:t>
      </w:r>
      <w:r w:rsidRPr="00382917">
        <w:t>to</w:t>
      </w:r>
      <w:r w:rsidR="00EE4FC3">
        <w:t xml:space="preserve"> </w:t>
      </w:r>
      <w:r w:rsidRPr="00382917">
        <w:t>return</w:t>
      </w:r>
      <w:r w:rsidR="00EE4FC3">
        <w:t xml:space="preserve"> </w:t>
      </w:r>
      <w:r w:rsidRPr="00382917">
        <w:t>to</w:t>
      </w:r>
      <w:r w:rsidR="00EE4FC3">
        <w:t xml:space="preserve"> </w:t>
      </w:r>
      <w:r w:rsidRPr="00382917">
        <w:t>her</w:t>
      </w:r>
      <w:r w:rsidR="00EE4FC3">
        <w:t xml:space="preserve"> </w:t>
      </w:r>
      <w:r w:rsidRPr="00382917">
        <w:t>husband,</w:t>
      </w:r>
      <w:r w:rsidR="00EE4FC3">
        <w:t xml:space="preserve"> </w:t>
      </w:r>
      <w:r w:rsidRPr="00382917">
        <w:t>hoping</w:t>
      </w:r>
      <w:r w:rsidR="00EE4FC3">
        <w:t xml:space="preserve"> </w:t>
      </w:r>
      <w:r w:rsidRPr="00382917">
        <w:t>this</w:t>
      </w:r>
      <w:r w:rsidR="00EE4FC3">
        <w:t xml:space="preserve"> </w:t>
      </w:r>
      <w:r w:rsidRPr="00382917">
        <w:t>would</w:t>
      </w:r>
      <w:r w:rsidR="00EE4FC3">
        <w:t xml:space="preserve"> </w:t>
      </w:r>
      <w:r w:rsidRPr="00382917">
        <w:t>keep</w:t>
      </w:r>
      <w:r w:rsidR="00EE4FC3">
        <w:t xml:space="preserve"> </w:t>
      </w:r>
      <w:r w:rsidRPr="00382917">
        <w:t>her</w:t>
      </w:r>
      <w:r w:rsidR="00EE4FC3">
        <w:t xml:space="preserve"> </w:t>
      </w:r>
      <w:r w:rsidRPr="00382917">
        <w:t>under</w:t>
      </w:r>
      <w:r w:rsidR="00EE4FC3">
        <w:t xml:space="preserve"> </w:t>
      </w:r>
      <w:r w:rsidRPr="00382917">
        <w:t>restraint.</w:t>
      </w:r>
    </w:p>
    <w:p w:rsidR="005B5622" w:rsidRPr="00382917" w:rsidRDefault="009C713D" w:rsidP="006340BC">
      <w:pPr>
        <w:pStyle w:val="Text"/>
      </w:pPr>
      <w:r w:rsidRPr="00382917">
        <w:t>“</w:t>
      </w:r>
      <w:r w:rsidR="005B5622" w:rsidRPr="00382917">
        <w:t>We</w:t>
      </w:r>
      <w:r w:rsidR="00EE4FC3">
        <w:t xml:space="preserve"> </w:t>
      </w:r>
      <w:r w:rsidR="005B5622" w:rsidRPr="00382917">
        <w:t>have</w:t>
      </w:r>
      <w:r w:rsidR="00EE4FC3">
        <w:t xml:space="preserve"> </w:t>
      </w:r>
      <w:r w:rsidR="005B5622" w:rsidRPr="00382917">
        <w:t>been</w:t>
      </w:r>
      <w:r w:rsidR="00EE4FC3">
        <w:t xml:space="preserve"> </w:t>
      </w:r>
      <w:r w:rsidR="005B5622" w:rsidRPr="00382917">
        <w:t>separated</w:t>
      </w:r>
      <w:r w:rsidR="00EE4FC3">
        <w:t xml:space="preserve"> </w:t>
      </w:r>
      <w:r w:rsidR="005B5622" w:rsidRPr="00382917">
        <w:t>for</w:t>
      </w:r>
      <w:r w:rsidR="00EE4FC3">
        <w:t xml:space="preserve"> </w:t>
      </w:r>
      <w:r w:rsidR="005B5622" w:rsidRPr="00382917">
        <w:t>three</w:t>
      </w:r>
      <w:r w:rsidR="00EE4FC3">
        <w:t xml:space="preserve"> </w:t>
      </w:r>
      <w:r w:rsidR="005B5622" w:rsidRPr="00382917">
        <w:t>years,</w:t>
      </w:r>
      <w:r w:rsidRPr="00382917">
        <w:t>”</w:t>
      </w:r>
      <w:r w:rsidR="00EE4FC3">
        <w:t xml:space="preserve"> </w:t>
      </w:r>
      <w:r w:rsidR="005B5622" w:rsidRPr="00382917">
        <w:t>she</w:t>
      </w:r>
      <w:r w:rsidR="00EE4FC3">
        <w:t xml:space="preserve"> </w:t>
      </w:r>
      <w:r w:rsidR="005B5622" w:rsidRPr="00382917">
        <w:t>said</w:t>
      </w:r>
      <w:r w:rsidR="00B71244">
        <w:t>.</w:t>
      </w:r>
      <w:r w:rsidR="00EE4FC3">
        <w:t xml:space="preserve">  </w:t>
      </w:r>
      <w:r w:rsidRPr="00382917">
        <w:t>“</w:t>
      </w:r>
      <w:r w:rsidR="005B5622" w:rsidRPr="00382917">
        <w:t>He</w:t>
      </w:r>
      <w:r w:rsidR="00EE4FC3">
        <w:t xml:space="preserve"> </w:t>
      </w:r>
      <w:r w:rsidR="005B5622" w:rsidRPr="00382917">
        <w:t>has</w:t>
      </w:r>
      <w:r w:rsidR="00EE4FC3">
        <w:t xml:space="preserve"> </w:t>
      </w:r>
      <w:r w:rsidR="005B5622" w:rsidRPr="00382917">
        <w:t>rejected</w:t>
      </w:r>
      <w:r w:rsidR="00EE4FC3">
        <w:t xml:space="preserve"> </w:t>
      </w:r>
      <w:r w:rsidR="005B5622" w:rsidRPr="00382917">
        <w:t>the</w:t>
      </w:r>
      <w:r w:rsidR="00EE4FC3">
        <w:t xml:space="preserve"> </w:t>
      </w:r>
      <w:r w:rsidR="005B5622" w:rsidRPr="00382917">
        <w:t>religion</w:t>
      </w:r>
      <w:r w:rsidR="00EE4FC3">
        <w:t xml:space="preserve"> </w:t>
      </w:r>
      <w:r w:rsidR="005B5622" w:rsidRPr="00382917">
        <w:t>of</w:t>
      </w:r>
      <w:r w:rsidR="00EE4FC3">
        <w:t xml:space="preserve"> </w:t>
      </w:r>
      <w:r w:rsidR="005B5622" w:rsidRPr="00382917">
        <w:t>God</w:t>
      </w:r>
      <w:r w:rsidR="00B71244">
        <w:t>.</w:t>
      </w:r>
      <w:r w:rsidR="00EE4FC3">
        <w:t xml:space="preserve">  </w:t>
      </w:r>
      <w:r w:rsidR="005B5622" w:rsidRPr="00382917">
        <w:t>He</w:t>
      </w:r>
      <w:r w:rsidR="00EE4FC3">
        <w:t xml:space="preserve"> </w:t>
      </w:r>
      <w:r w:rsidR="005B5622" w:rsidRPr="00382917">
        <w:t>is</w:t>
      </w:r>
      <w:r w:rsidR="00EE4FC3">
        <w:t xml:space="preserve"> </w:t>
      </w:r>
      <w:r w:rsidR="005B5622" w:rsidRPr="00382917">
        <w:t>ashamed</w:t>
      </w:r>
      <w:r w:rsidR="00EE4FC3">
        <w:t xml:space="preserve"> </w:t>
      </w:r>
      <w:r w:rsidR="005B5622" w:rsidRPr="00382917">
        <w:t>of</w:t>
      </w:r>
      <w:r w:rsidR="00EE4FC3">
        <w:t xml:space="preserve"> </w:t>
      </w:r>
      <w:r w:rsidR="005B5622" w:rsidRPr="00382917">
        <w:t>me</w:t>
      </w:r>
      <w:r w:rsidR="00B71244">
        <w:t>.</w:t>
      </w:r>
      <w:r w:rsidR="00EE4FC3">
        <w:t xml:space="preserve">  </w:t>
      </w:r>
      <w:r w:rsidR="005B5622" w:rsidRPr="00382917">
        <w:t>There</w:t>
      </w:r>
      <w:r w:rsidR="00EE4FC3">
        <w:t xml:space="preserve"> </w:t>
      </w:r>
      <w:r w:rsidR="005B5622" w:rsidRPr="00382917">
        <w:t>can</w:t>
      </w:r>
      <w:r w:rsidR="00EE4FC3">
        <w:t xml:space="preserve"> </w:t>
      </w:r>
      <w:r w:rsidR="005B5622" w:rsidRPr="00382917">
        <w:t>never</w:t>
      </w:r>
      <w:r w:rsidR="00EE4FC3">
        <w:t xml:space="preserve"> </w:t>
      </w:r>
      <w:r w:rsidR="005B5622" w:rsidRPr="00382917">
        <w:t>be</w:t>
      </w:r>
      <w:r w:rsidR="00EE4FC3">
        <w:t xml:space="preserve"> </w:t>
      </w:r>
      <w:r w:rsidR="005B5622" w:rsidRPr="00382917">
        <w:t>anything</w:t>
      </w:r>
      <w:r w:rsidR="00EE4FC3">
        <w:t xml:space="preserve"> </w:t>
      </w:r>
      <w:r w:rsidR="005B5622" w:rsidRPr="00382917">
        <w:t>in</w:t>
      </w:r>
      <w:r w:rsidR="00EE4FC3">
        <w:t xml:space="preserve"> </w:t>
      </w:r>
      <w:r w:rsidR="005B5622" w:rsidRPr="00382917">
        <w:t>common</w:t>
      </w:r>
      <w:r w:rsidR="00EE4FC3">
        <w:t xml:space="preserve"> </w:t>
      </w:r>
      <w:r w:rsidR="005B5622" w:rsidRPr="00382917">
        <w:t>between</w:t>
      </w:r>
      <w:r w:rsidR="00EE4FC3">
        <w:t xml:space="preserve"> </w:t>
      </w:r>
      <w:r w:rsidR="005B5622" w:rsidRPr="00382917">
        <w:t>us.</w:t>
      </w:r>
      <w:r w:rsidRPr="00382917">
        <w:t>”</w:t>
      </w:r>
    </w:p>
    <w:p w:rsidR="005B5622" w:rsidRPr="00382917" w:rsidRDefault="005B5622" w:rsidP="006340BC">
      <w:pPr>
        <w:pStyle w:val="Text"/>
      </w:pPr>
      <w:r w:rsidRPr="00382917">
        <w:t>Her</w:t>
      </w:r>
      <w:r w:rsidR="00EE4FC3">
        <w:t xml:space="preserve"> </w:t>
      </w:r>
      <w:r w:rsidRPr="00382917">
        <w:t>husband,</w:t>
      </w:r>
      <w:r w:rsidR="00EE4FC3">
        <w:t xml:space="preserve"> </w:t>
      </w:r>
      <w:r w:rsidRPr="00382917">
        <w:t>who</w:t>
      </w:r>
      <w:r w:rsidR="00EE4FC3">
        <w:t xml:space="preserve"> </w:t>
      </w:r>
      <w:r w:rsidRPr="00382917">
        <w:t>considered</w:t>
      </w:r>
      <w:r w:rsidR="00EE4FC3">
        <w:t xml:space="preserve"> </w:t>
      </w:r>
      <w:proofErr w:type="gramStart"/>
      <w:r w:rsidRPr="00382917">
        <w:t>himself</w:t>
      </w:r>
      <w:proofErr w:type="gramEnd"/>
      <w:r w:rsidR="00EE4FC3">
        <w:t xml:space="preserve"> </w:t>
      </w:r>
      <w:r w:rsidRPr="00382917">
        <w:t>to</w:t>
      </w:r>
      <w:r w:rsidR="00EE4FC3">
        <w:t xml:space="preserve"> </w:t>
      </w:r>
      <w:r w:rsidRPr="00382917">
        <w:t>be</w:t>
      </w:r>
      <w:r w:rsidR="00EE4FC3">
        <w:t xml:space="preserve"> </w:t>
      </w:r>
      <w:r w:rsidRPr="00382917">
        <w:t>one</w:t>
      </w:r>
      <w:r w:rsidR="00EE4FC3">
        <w:t xml:space="preserve"> </w:t>
      </w:r>
      <w:r w:rsidRPr="00382917">
        <w:t>of</w:t>
      </w:r>
      <w:r w:rsidR="00EE4FC3">
        <w:t xml:space="preserve"> </w:t>
      </w:r>
      <w:r w:rsidRPr="00382917">
        <w:t>the</w:t>
      </w:r>
      <w:r w:rsidR="00EE4FC3">
        <w:t xml:space="preserve"> </w:t>
      </w:r>
      <w:r w:rsidRPr="00382917">
        <w:t>great</w:t>
      </w:r>
      <w:r w:rsidR="00EE4FC3">
        <w:t xml:space="preserve"> </w:t>
      </w:r>
      <w:r w:rsidRPr="00382917">
        <w:t>religious</w:t>
      </w:r>
      <w:r w:rsidR="00EE4FC3">
        <w:t xml:space="preserve"> </w:t>
      </w:r>
      <w:r w:rsidRPr="00382917">
        <w:t>leaders</w:t>
      </w:r>
      <w:r w:rsidR="00EE4FC3">
        <w:t xml:space="preserve"> </w:t>
      </w:r>
      <w:r w:rsidRPr="00382917">
        <w:t>of</w:t>
      </w:r>
      <w:r w:rsidR="00EE4FC3">
        <w:t xml:space="preserve"> </w:t>
      </w:r>
      <w:r w:rsidRPr="00382917">
        <w:t>Persia,</w:t>
      </w:r>
      <w:r w:rsidR="00EE4FC3">
        <w:t xml:space="preserve"> </w:t>
      </w:r>
      <w:r w:rsidRPr="00382917">
        <w:t>sent</w:t>
      </w:r>
      <w:r w:rsidR="00EE4FC3">
        <w:t xml:space="preserve"> </w:t>
      </w:r>
      <w:r w:rsidRPr="00382917">
        <w:t>a</w:t>
      </w:r>
      <w:r w:rsidR="00EE4FC3">
        <w:t xml:space="preserve"> </w:t>
      </w:r>
      <w:r w:rsidRPr="00382917">
        <w:t>stern</w:t>
      </w:r>
      <w:r w:rsidR="00EE4FC3">
        <w:t xml:space="preserve"> </w:t>
      </w:r>
      <w:r w:rsidRPr="00382917">
        <w:t>message</w:t>
      </w:r>
      <w:r w:rsidR="00EE4FC3">
        <w:t xml:space="preserve"> </w:t>
      </w:r>
      <w:r w:rsidRPr="00382917">
        <w:t>to</w:t>
      </w:r>
      <w:r w:rsidR="00EE4FC3">
        <w:t xml:space="preserve"> </w:t>
      </w:r>
      <w:r w:rsidRPr="00382917">
        <w:t>Ṭáhirih</w:t>
      </w:r>
      <w:r w:rsidR="00EE4FC3">
        <w:t xml:space="preserve"> </w:t>
      </w:r>
      <w:r w:rsidRPr="00382917">
        <w:t>to</w:t>
      </w:r>
      <w:r w:rsidR="00EE4FC3">
        <w:t xml:space="preserve"> </w:t>
      </w:r>
      <w:r w:rsidRPr="00382917">
        <w:t>transfer</w:t>
      </w:r>
      <w:r w:rsidR="00EE4FC3">
        <w:t xml:space="preserve"> </w:t>
      </w:r>
      <w:r w:rsidRPr="00382917">
        <w:t>her</w:t>
      </w:r>
      <w:r w:rsidR="00EE4FC3">
        <w:t xml:space="preserve"> </w:t>
      </w:r>
      <w:r w:rsidRPr="00382917">
        <w:t>residence</w:t>
      </w:r>
      <w:r w:rsidR="00EE4FC3">
        <w:t xml:space="preserve"> </w:t>
      </w:r>
      <w:r w:rsidRPr="00382917">
        <w:t>at</w:t>
      </w:r>
      <w:r w:rsidR="00EE4FC3">
        <w:t xml:space="preserve"> </w:t>
      </w:r>
      <w:r w:rsidRPr="00382917">
        <w:t>once</w:t>
      </w:r>
      <w:r w:rsidR="00EE4FC3">
        <w:t xml:space="preserve"> </w:t>
      </w:r>
      <w:r w:rsidRPr="00382917">
        <w:t>to</w:t>
      </w:r>
      <w:r w:rsidR="00EE4FC3">
        <w:t xml:space="preserve"> </w:t>
      </w:r>
      <w:r w:rsidRPr="00382917">
        <w:t>his</w:t>
      </w:r>
      <w:r w:rsidR="00EE4FC3">
        <w:t xml:space="preserve"> </w:t>
      </w:r>
      <w:r w:rsidRPr="00382917">
        <w:t>house</w:t>
      </w:r>
      <w:r w:rsidR="00B71244">
        <w:t>.</w:t>
      </w:r>
      <w:r w:rsidR="00EE4FC3">
        <w:t xml:space="preserve">  </w:t>
      </w:r>
      <w:r w:rsidRPr="00382917">
        <w:t>She</w:t>
      </w:r>
      <w:r w:rsidR="00EE4FC3">
        <w:t xml:space="preserve"> </w:t>
      </w:r>
      <w:r w:rsidRPr="00382917">
        <w:t>replied</w:t>
      </w:r>
      <w:r w:rsidR="00C03C91">
        <w:t>:</w:t>
      </w:r>
      <w:r w:rsidR="00EE4FC3">
        <w:t xml:space="preserve">  </w:t>
      </w:r>
      <w:r w:rsidR="009C713D" w:rsidRPr="00382917">
        <w:t>“</w:t>
      </w:r>
      <w:proofErr w:type="gramStart"/>
      <w:r w:rsidRPr="00382917">
        <w:t>Neither</w:t>
      </w:r>
      <w:r w:rsidR="00EE4FC3">
        <w:t xml:space="preserve"> </w:t>
      </w:r>
      <w:r w:rsidRPr="00382917">
        <w:t>in</w:t>
      </w:r>
      <w:r w:rsidR="00EE4FC3">
        <w:t xml:space="preserve"> </w:t>
      </w:r>
      <w:r w:rsidRPr="00382917">
        <w:t>this</w:t>
      </w:r>
      <w:r w:rsidR="00EE4FC3">
        <w:t xml:space="preserve"> </w:t>
      </w:r>
      <w:r w:rsidRPr="00382917">
        <w:t>world</w:t>
      </w:r>
      <w:r w:rsidR="00EE4FC3">
        <w:t xml:space="preserve"> </w:t>
      </w:r>
      <w:r w:rsidRPr="00382917">
        <w:t>or</w:t>
      </w:r>
      <w:proofErr w:type="gramEnd"/>
      <w:r w:rsidR="00EE4FC3">
        <w:t xml:space="preserve"> </w:t>
      </w:r>
      <w:r w:rsidRPr="00382917">
        <w:t>in</w:t>
      </w:r>
      <w:r w:rsidR="00EE4FC3">
        <w:t xml:space="preserve"> </w:t>
      </w:r>
      <w:r w:rsidRPr="00382917">
        <w:t>the</w:t>
      </w:r>
      <w:r w:rsidR="00EE4FC3">
        <w:t xml:space="preserve"> </w:t>
      </w:r>
      <w:r w:rsidRPr="00382917">
        <w:t>next</w:t>
      </w:r>
      <w:r w:rsidR="00EE4FC3">
        <w:t xml:space="preserve"> </w:t>
      </w:r>
      <w:r w:rsidRPr="00382917">
        <w:t>can</w:t>
      </w:r>
      <w:r w:rsidR="00EE4FC3">
        <w:t xml:space="preserve"> </w:t>
      </w:r>
      <w:r w:rsidRPr="00382917">
        <w:t>I</w:t>
      </w:r>
      <w:r w:rsidR="00EE4FC3">
        <w:t xml:space="preserve"> </w:t>
      </w:r>
      <w:r w:rsidRPr="00382917">
        <w:t>ever</w:t>
      </w:r>
      <w:r w:rsidR="00EE4FC3">
        <w:t xml:space="preserve"> </w:t>
      </w:r>
      <w:r w:rsidRPr="00382917">
        <w:t>be</w:t>
      </w:r>
      <w:r w:rsidR="00EE4FC3">
        <w:t xml:space="preserve"> </w:t>
      </w:r>
      <w:r w:rsidRPr="00382917">
        <w:t>associated</w:t>
      </w:r>
      <w:r w:rsidR="00EE4FC3">
        <w:t xml:space="preserve"> </w:t>
      </w:r>
      <w:r w:rsidRPr="00382917">
        <w:t>with</w:t>
      </w:r>
      <w:r w:rsidR="00EE4FC3">
        <w:t xml:space="preserve"> </w:t>
      </w:r>
      <w:r w:rsidRPr="00382917">
        <w:t>him</w:t>
      </w:r>
      <w:r w:rsidR="00B71244">
        <w:t>.</w:t>
      </w:r>
      <w:r w:rsidR="00EE4FC3">
        <w:t xml:space="preserve">  </w:t>
      </w:r>
      <w:r w:rsidRPr="00382917">
        <w:t>I</w:t>
      </w:r>
      <w:r w:rsidR="00EE4FC3">
        <w:t xml:space="preserve"> </w:t>
      </w:r>
      <w:r w:rsidRPr="00382917">
        <w:t>have</w:t>
      </w:r>
      <w:r w:rsidR="00EE4FC3">
        <w:t xml:space="preserve"> </w:t>
      </w:r>
      <w:r w:rsidRPr="00382917">
        <w:t>cast</w:t>
      </w:r>
      <w:r w:rsidR="00EE4FC3">
        <w:t xml:space="preserve"> </w:t>
      </w:r>
      <w:r w:rsidRPr="00382917">
        <w:t>him</w:t>
      </w:r>
      <w:r w:rsidR="00EE4FC3">
        <w:t xml:space="preserve"> </w:t>
      </w:r>
      <w:r w:rsidRPr="00382917">
        <w:t>out</w:t>
      </w:r>
      <w:r w:rsidR="00EE4FC3">
        <w:t xml:space="preserve"> </w:t>
      </w:r>
      <w:r w:rsidRPr="00382917">
        <w:t>of</w:t>
      </w:r>
      <w:r w:rsidR="00EE4FC3">
        <w:t xml:space="preserve"> </w:t>
      </w:r>
      <w:r w:rsidRPr="00382917">
        <w:t>my</w:t>
      </w:r>
      <w:r w:rsidR="00EE4FC3">
        <w:t xml:space="preserve"> </w:t>
      </w:r>
      <w:r w:rsidRPr="00382917">
        <w:t>life</w:t>
      </w:r>
      <w:r w:rsidR="00EE4FC3">
        <w:t xml:space="preserve"> </w:t>
      </w:r>
      <w:r w:rsidRPr="00382917">
        <w:t>forever.</w:t>
      </w:r>
      <w:r w:rsidR="009C713D" w:rsidRPr="00382917">
        <w:t>”</w:t>
      </w:r>
    </w:p>
    <w:p w:rsidR="005B5622" w:rsidRPr="00382917" w:rsidRDefault="005B5622" w:rsidP="006340BC">
      <w:pPr>
        <w:pStyle w:val="Text"/>
      </w:pPr>
      <w:r w:rsidRPr="00382917">
        <w:t>Her</w:t>
      </w:r>
      <w:r w:rsidR="00EE4FC3">
        <w:t xml:space="preserve"> </w:t>
      </w:r>
      <w:r w:rsidRPr="00382917">
        <w:t>husband</w:t>
      </w:r>
      <w:r w:rsidR="00EE4FC3">
        <w:t xml:space="preserve"> </w:t>
      </w:r>
      <w:r w:rsidRPr="00382917">
        <w:t>in</w:t>
      </w:r>
      <w:r w:rsidR="00EE4FC3">
        <w:t xml:space="preserve"> </w:t>
      </w:r>
      <w:r w:rsidRPr="00382917">
        <w:t>a</w:t>
      </w:r>
      <w:r w:rsidR="00EE4FC3">
        <w:t xml:space="preserve"> </w:t>
      </w:r>
      <w:r w:rsidRPr="00382917">
        <w:t>burst</w:t>
      </w:r>
      <w:r w:rsidR="00EE4FC3">
        <w:t xml:space="preserve"> </w:t>
      </w:r>
      <w:r w:rsidRPr="00382917">
        <w:t>of</w:t>
      </w:r>
      <w:r w:rsidR="00EE4FC3">
        <w:t xml:space="preserve"> </w:t>
      </w:r>
      <w:r w:rsidRPr="00382917">
        <w:t>fury</w:t>
      </w:r>
      <w:r w:rsidR="00EE4FC3">
        <w:t xml:space="preserve"> </w:t>
      </w:r>
      <w:r w:rsidRPr="00382917">
        <w:t>pronounced</w:t>
      </w:r>
      <w:r w:rsidR="00EE4FC3">
        <w:t xml:space="preserve"> </w:t>
      </w:r>
      <w:r w:rsidRPr="00382917">
        <w:t>her</w:t>
      </w:r>
      <w:r w:rsidR="00EE4FC3">
        <w:t xml:space="preserve"> </w:t>
      </w:r>
      <w:r w:rsidRPr="00382917">
        <w:t>a</w:t>
      </w:r>
      <w:r w:rsidR="00EE4FC3">
        <w:t xml:space="preserve"> </w:t>
      </w:r>
      <w:r w:rsidRPr="00382917">
        <w:t>heretic</w:t>
      </w:r>
      <w:r w:rsidR="00EE4FC3">
        <w:t xml:space="preserve"> </w:t>
      </w:r>
      <w:r w:rsidRPr="00382917">
        <w:t>and</w:t>
      </w:r>
      <w:r w:rsidR="00EE4FC3">
        <w:t xml:space="preserve"> </w:t>
      </w:r>
      <w:r w:rsidRPr="00382917">
        <w:t>strove</w:t>
      </w:r>
      <w:r w:rsidR="00EE4FC3">
        <w:t xml:space="preserve"> </w:t>
      </w:r>
      <w:r w:rsidRPr="00382917">
        <w:t>to</w:t>
      </w:r>
      <w:r w:rsidR="00EE4FC3">
        <w:t xml:space="preserve"> </w:t>
      </w:r>
      <w:r w:rsidRPr="00382917">
        <w:t>undermine</w:t>
      </w:r>
      <w:r w:rsidR="00EE4FC3">
        <w:t xml:space="preserve"> </w:t>
      </w:r>
      <w:r w:rsidRPr="00382917">
        <w:t>her</w:t>
      </w:r>
      <w:r w:rsidR="00EE4FC3">
        <w:t xml:space="preserve"> </w:t>
      </w:r>
      <w:r w:rsidRPr="00382917">
        <w:t>position</w:t>
      </w:r>
      <w:r w:rsidR="00EE4FC3">
        <w:t xml:space="preserve"> </w:t>
      </w:r>
      <w:r w:rsidRPr="00382917">
        <w:t>and</w:t>
      </w:r>
      <w:r w:rsidR="00EE4FC3">
        <w:t xml:space="preserve"> </w:t>
      </w:r>
      <w:r w:rsidRPr="00382917">
        <w:t>sully</w:t>
      </w:r>
      <w:r w:rsidR="00EE4FC3">
        <w:t xml:space="preserve"> </w:t>
      </w:r>
      <w:r w:rsidRPr="00382917">
        <w:t>her</w:t>
      </w:r>
      <w:r w:rsidR="00EE4FC3">
        <w:t xml:space="preserve"> </w:t>
      </w:r>
      <w:r w:rsidRPr="00382917">
        <w:t>fame;</w:t>
      </w:r>
      <w:r w:rsidR="00EE4FC3">
        <w:t xml:space="preserve"> </w:t>
      </w:r>
      <w:r w:rsidRPr="00382917">
        <w:t>in</w:t>
      </w:r>
      <w:r w:rsidR="00EE4FC3">
        <w:t xml:space="preserve"> </w:t>
      </w:r>
      <w:r w:rsidRPr="00382917">
        <w:t>anger</w:t>
      </w:r>
      <w:r w:rsidR="00EE4FC3">
        <w:t xml:space="preserve"> </w:t>
      </w:r>
      <w:r w:rsidRPr="00382917">
        <w:t>he</w:t>
      </w:r>
      <w:r w:rsidR="00EE4FC3">
        <w:t xml:space="preserve"> </w:t>
      </w:r>
      <w:r w:rsidRPr="00382917">
        <w:t>divorced</w:t>
      </w:r>
      <w:r w:rsidR="00EE4FC3">
        <w:t xml:space="preserve"> </w:t>
      </w:r>
      <w:r w:rsidRPr="00382917">
        <w:t>her</w:t>
      </w:r>
      <w:r w:rsidR="00EE4FC3">
        <w:t xml:space="preserve"> </w:t>
      </w:r>
      <w:r w:rsidRPr="00382917">
        <w:t>three</w:t>
      </w:r>
      <w:r w:rsidR="00EE4FC3">
        <w:t xml:space="preserve"> </w:t>
      </w:r>
      <w:r w:rsidRPr="00382917">
        <w:t>weeks</w:t>
      </w:r>
      <w:r w:rsidR="00EE4FC3">
        <w:t xml:space="preserve"> </w:t>
      </w:r>
      <w:r w:rsidRPr="00382917">
        <w:t>later.</w:t>
      </w:r>
      <w:r w:rsidR="009C713D" w:rsidRPr="00382917">
        <w:t>’’</w:t>
      </w:r>
      <w:r w:rsidR="009B4DE1">
        <w:rPr>
          <w:rStyle w:val="FootnoteReference"/>
        </w:rPr>
        <w:footnoteReference w:id="146"/>
      </w:r>
    </w:p>
    <w:p w:rsidR="006340BC" w:rsidRPr="00382917" w:rsidRDefault="006340BC">
      <w:pPr>
        <w:widowControl/>
        <w:kinsoku/>
        <w:overflowPunct/>
        <w:textAlignment w:val="auto"/>
      </w:pPr>
      <w:r w:rsidRPr="00382917">
        <w:br w:type="page"/>
      </w:r>
    </w:p>
    <w:p w:rsidR="005B5622" w:rsidRPr="00382917" w:rsidRDefault="005B5622" w:rsidP="006340BC">
      <w:pPr>
        <w:pStyle w:val="Text"/>
      </w:pPr>
      <w:r w:rsidRPr="00382917">
        <w:t>Her</w:t>
      </w:r>
      <w:r w:rsidR="00EE4FC3">
        <w:t xml:space="preserve"> </w:t>
      </w:r>
      <w:r w:rsidRPr="00382917">
        <w:t>father</w:t>
      </w:r>
      <w:r w:rsidR="00EE4FC3">
        <w:t xml:space="preserve"> </w:t>
      </w:r>
      <w:r w:rsidRPr="00382917">
        <w:t>and</w:t>
      </w:r>
      <w:r w:rsidR="00EE4FC3">
        <w:t xml:space="preserve"> </w:t>
      </w:r>
      <w:r w:rsidRPr="00382917">
        <w:t>her</w:t>
      </w:r>
      <w:r w:rsidR="00EE4FC3">
        <w:t xml:space="preserve"> </w:t>
      </w:r>
      <w:r w:rsidRPr="00382917">
        <w:t>brothers</w:t>
      </w:r>
      <w:r w:rsidR="00EE4FC3">
        <w:t xml:space="preserve"> </w:t>
      </w:r>
      <w:r w:rsidRPr="00382917">
        <w:t>still</w:t>
      </w:r>
      <w:r w:rsidR="00EE4FC3">
        <w:t xml:space="preserve"> </w:t>
      </w:r>
      <w:r w:rsidRPr="00382917">
        <w:t>hoped</w:t>
      </w:r>
      <w:r w:rsidR="00EE4FC3">
        <w:t xml:space="preserve"> </w:t>
      </w:r>
      <w:r w:rsidRPr="00382917">
        <w:t>that</w:t>
      </w:r>
      <w:r w:rsidR="00EE4FC3">
        <w:t xml:space="preserve"> </w:t>
      </w:r>
      <w:r w:rsidRPr="00382917">
        <w:t>by</w:t>
      </w:r>
      <w:r w:rsidR="00EE4FC3">
        <w:t xml:space="preserve"> </w:t>
      </w:r>
      <w:r w:rsidRPr="00382917">
        <w:t>having</w:t>
      </w:r>
      <w:r w:rsidR="00EE4FC3">
        <w:t xml:space="preserve"> </w:t>
      </w:r>
      <w:r w:rsidRPr="00382917">
        <w:t>Ṭáhirih</w:t>
      </w:r>
      <w:r w:rsidR="00EE4FC3">
        <w:t xml:space="preserve"> </w:t>
      </w:r>
      <w:r w:rsidRPr="00382917">
        <w:t>at</w:t>
      </w:r>
      <w:r w:rsidR="00EE4FC3">
        <w:t xml:space="preserve"> </w:t>
      </w:r>
      <w:r w:rsidRPr="00382917">
        <w:t>home</w:t>
      </w:r>
      <w:r w:rsidR="00EE4FC3">
        <w:t xml:space="preserve"> </w:t>
      </w:r>
      <w:r w:rsidRPr="00382917">
        <w:t>they</w:t>
      </w:r>
      <w:r w:rsidR="00EE4FC3">
        <w:t xml:space="preserve"> </w:t>
      </w:r>
      <w:r w:rsidRPr="00382917">
        <w:t>could</w:t>
      </w:r>
      <w:r w:rsidR="00EE4FC3">
        <w:t xml:space="preserve"> </w:t>
      </w:r>
      <w:r w:rsidRPr="00382917">
        <w:t>diminish</w:t>
      </w:r>
      <w:r w:rsidR="00EE4FC3">
        <w:t xml:space="preserve"> </w:t>
      </w:r>
      <w:r w:rsidRPr="00382917">
        <w:t>her</w:t>
      </w:r>
      <w:r w:rsidR="00EE4FC3">
        <w:t xml:space="preserve"> </w:t>
      </w:r>
      <w:r w:rsidRPr="00382917">
        <w:t>influence</w:t>
      </w:r>
      <w:r w:rsidR="00EE4FC3">
        <w:t xml:space="preserve"> </w:t>
      </w:r>
      <w:r w:rsidRPr="00382917">
        <w:t>and</w:t>
      </w:r>
      <w:r w:rsidR="00EE4FC3">
        <w:t xml:space="preserve"> </w:t>
      </w:r>
      <w:r w:rsidRPr="00382917">
        <w:t>slowly</w:t>
      </w:r>
      <w:r w:rsidR="00EE4FC3">
        <w:t xml:space="preserve"> </w:t>
      </w:r>
      <w:r w:rsidRPr="00382917">
        <w:t>win</w:t>
      </w:r>
      <w:r w:rsidR="00EE4FC3">
        <w:t xml:space="preserve"> </w:t>
      </w:r>
      <w:r w:rsidRPr="00382917">
        <w:t>her</w:t>
      </w:r>
      <w:r w:rsidR="00EE4FC3">
        <w:t xml:space="preserve"> </w:t>
      </w:r>
      <w:r w:rsidRPr="00382917">
        <w:t>back</w:t>
      </w:r>
      <w:r w:rsidR="00EE4FC3">
        <w:t xml:space="preserve"> </w:t>
      </w:r>
      <w:r w:rsidRPr="00382917">
        <w:t>to</w:t>
      </w:r>
      <w:r w:rsidR="00EE4FC3">
        <w:t xml:space="preserve"> </w:t>
      </w:r>
      <w:r w:rsidRPr="00382917">
        <w:t>the</w:t>
      </w:r>
      <w:r w:rsidR="00EE4FC3">
        <w:t xml:space="preserve"> </w:t>
      </w:r>
      <w:r w:rsidRPr="00382917">
        <w:t>old</w:t>
      </w:r>
      <w:r w:rsidR="00EE4FC3">
        <w:t xml:space="preserve"> </w:t>
      </w:r>
      <w:r w:rsidRPr="00382917">
        <w:t>ways</w:t>
      </w:r>
      <w:r w:rsidR="00B71244">
        <w:t>.</w:t>
      </w:r>
      <w:r w:rsidR="00EE4FC3">
        <w:t xml:space="preserve">  </w:t>
      </w:r>
      <w:r w:rsidRPr="00382917">
        <w:t>However,</w:t>
      </w:r>
      <w:r w:rsidR="00EE4FC3">
        <w:t xml:space="preserve"> </w:t>
      </w:r>
      <w:r w:rsidRPr="00382917">
        <w:t>the</w:t>
      </w:r>
      <w:r w:rsidR="00EE4FC3">
        <w:t xml:space="preserve"> </w:t>
      </w:r>
      <w:r w:rsidRPr="00382917">
        <w:t>opposite</w:t>
      </w:r>
      <w:r w:rsidR="00EE4FC3">
        <w:t xml:space="preserve"> </w:t>
      </w:r>
      <w:r w:rsidRPr="00382917">
        <w:t>proved</w:t>
      </w:r>
      <w:r w:rsidR="00EE4FC3">
        <w:t xml:space="preserve"> </w:t>
      </w:r>
      <w:r w:rsidRPr="00382917">
        <w:t>true</w:t>
      </w:r>
      <w:r w:rsidR="00B71244">
        <w:t>.</w:t>
      </w:r>
      <w:r w:rsidR="00EE4FC3">
        <w:t xml:space="preserve">  </w:t>
      </w:r>
      <w:r w:rsidRPr="00382917">
        <w:t>Her</w:t>
      </w:r>
      <w:r w:rsidR="00EE4FC3">
        <w:t xml:space="preserve"> </w:t>
      </w:r>
      <w:r w:rsidRPr="00382917">
        <w:t>fearlessness,</w:t>
      </w:r>
      <w:r w:rsidR="00EE4FC3">
        <w:t xml:space="preserve"> </w:t>
      </w:r>
      <w:r w:rsidRPr="00382917">
        <w:t>her</w:t>
      </w:r>
      <w:r w:rsidR="00EE4FC3">
        <w:t xml:space="preserve"> </w:t>
      </w:r>
      <w:r w:rsidRPr="00382917">
        <w:t>organizing</w:t>
      </w:r>
      <w:r w:rsidR="00EE4FC3">
        <w:t xml:space="preserve"> </w:t>
      </w:r>
      <w:r w:rsidRPr="00382917">
        <w:t>ability,</w:t>
      </w:r>
      <w:r w:rsidR="00EE4FC3">
        <w:t xml:space="preserve"> </w:t>
      </w:r>
      <w:r w:rsidRPr="00382917">
        <w:t>her</w:t>
      </w:r>
      <w:r w:rsidR="00EE4FC3">
        <w:t xml:space="preserve"> </w:t>
      </w:r>
      <w:r w:rsidRPr="00382917">
        <w:t>skill,</w:t>
      </w:r>
      <w:r w:rsidR="00EE4FC3">
        <w:t xml:space="preserve"> </w:t>
      </w:r>
      <w:r w:rsidRPr="00382917">
        <w:t>and</w:t>
      </w:r>
      <w:r w:rsidR="00EE4FC3">
        <w:t xml:space="preserve"> </w:t>
      </w:r>
      <w:r w:rsidRPr="00382917">
        <w:t>her</w:t>
      </w:r>
      <w:r w:rsidR="00EE4FC3">
        <w:t xml:space="preserve"> </w:t>
      </w:r>
      <w:r w:rsidRPr="00382917">
        <w:t>unquenchable</w:t>
      </w:r>
      <w:r w:rsidR="00EE4FC3">
        <w:t xml:space="preserve"> </w:t>
      </w:r>
      <w:r w:rsidRPr="00382917">
        <w:t>enthusiasm</w:t>
      </w:r>
      <w:r w:rsidR="00EE4FC3">
        <w:t xml:space="preserve"> </w:t>
      </w:r>
      <w:r w:rsidRPr="00382917">
        <w:t>won</w:t>
      </w:r>
      <w:r w:rsidR="00EE4FC3">
        <w:t xml:space="preserve"> </w:t>
      </w:r>
      <w:r w:rsidRPr="00382917">
        <w:t>many</w:t>
      </w:r>
      <w:r w:rsidR="00EE4FC3">
        <w:t xml:space="preserve"> </w:t>
      </w:r>
      <w:r w:rsidRPr="00382917">
        <w:t>new</w:t>
      </w:r>
      <w:r w:rsidR="00EE4FC3">
        <w:t xml:space="preserve"> </w:t>
      </w:r>
      <w:r w:rsidRPr="00382917">
        <w:t>victories</w:t>
      </w:r>
      <w:r w:rsidR="00EE4FC3">
        <w:t xml:space="preserve"> </w:t>
      </w:r>
      <w:r w:rsidRPr="00382917">
        <w:t>for</w:t>
      </w:r>
      <w:r w:rsidR="00EE4FC3">
        <w:t xml:space="preserve"> </w:t>
      </w:r>
      <w:r w:rsidRPr="00382917">
        <w:t>the</w:t>
      </w:r>
      <w:r w:rsidR="00EE4FC3">
        <w:t xml:space="preserve"> </w:t>
      </w:r>
      <w:r w:rsidRPr="00382917">
        <w:t>Báb.</w:t>
      </w:r>
    </w:p>
    <w:p w:rsidR="005B5622" w:rsidRPr="00382917" w:rsidRDefault="005B5622" w:rsidP="006340BC">
      <w:pPr>
        <w:pStyle w:val="Text"/>
      </w:pPr>
      <w:r w:rsidRPr="00382917">
        <w:t>Ṭáhirih</w:t>
      </w:r>
      <w:r w:rsidR="009C713D" w:rsidRPr="00382917">
        <w:t>’</w:t>
      </w:r>
      <w:r w:rsidRPr="00382917">
        <w:t>s</w:t>
      </w:r>
      <w:r w:rsidR="00EE4FC3">
        <w:t xml:space="preserve"> </w:t>
      </w:r>
      <w:r w:rsidRPr="00382917">
        <w:t>uncle,</w:t>
      </w:r>
      <w:r w:rsidR="00EE4FC3">
        <w:t xml:space="preserve"> </w:t>
      </w:r>
      <w:r w:rsidRPr="00382917">
        <w:t>Taqí,</w:t>
      </w:r>
      <w:r w:rsidR="00EE4FC3">
        <w:t xml:space="preserve"> </w:t>
      </w:r>
      <w:r w:rsidRPr="00382917">
        <w:t>was</w:t>
      </w:r>
      <w:r w:rsidR="00EE4FC3">
        <w:t xml:space="preserve"> </w:t>
      </w:r>
      <w:r w:rsidRPr="00382917">
        <w:t>murdered</w:t>
      </w:r>
      <w:r w:rsidR="00EE4FC3">
        <w:t xml:space="preserve"> </w:t>
      </w:r>
      <w:r w:rsidRPr="00382917">
        <w:t>one</w:t>
      </w:r>
      <w:r w:rsidR="00EE4FC3">
        <w:t xml:space="preserve"> </w:t>
      </w:r>
      <w:r w:rsidRPr="00382917">
        <w:t>Friday</w:t>
      </w:r>
      <w:r w:rsidR="00EE4FC3">
        <w:t xml:space="preserve"> </w:t>
      </w:r>
      <w:r w:rsidRPr="00382917">
        <w:t>in</w:t>
      </w:r>
      <w:r w:rsidR="00EE4FC3">
        <w:t xml:space="preserve"> </w:t>
      </w:r>
      <w:r w:rsidRPr="00382917">
        <w:t>the</w:t>
      </w:r>
      <w:r w:rsidR="00EE4FC3">
        <w:t xml:space="preserve"> </w:t>
      </w:r>
      <w:r w:rsidRPr="00382917">
        <w:t>Mosque</w:t>
      </w:r>
      <w:r w:rsidR="00B71244">
        <w:t>.</w:t>
      </w:r>
      <w:r w:rsidR="00EE4FC3">
        <w:t xml:space="preserve">  </w:t>
      </w:r>
      <w:r w:rsidRPr="00382917">
        <w:t>He</w:t>
      </w:r>
      <w:r w:rsidR="00EE4FC3">
        <w:t xml:space="preserve"> </w:t>
      </w:r>
      <w:r w:rsidRPr="00382917">
        <w:t>was</w:t>
      </w:r>
      <w:r w:rsidR="00EE4FC3">
        <w:t xml:space="preserve"> </w:t>
      </w:r>
      <w:r w:rsidRPr="00382917">
        <w:t>stabbed</w:t>
      </w:r>
      <w:r w:rsidR="00EE4FC3">
        <w:t xml:space="preserve"> </w:t>
      </w:r>
      <w:r w:rsidRPr="00382917">
        <w:t>in</w:t>
      </w:r>
      <w:r w:rsidR="00EE4FC3">
        <w:t xml:space="preserve"> </w:t>
      </w:r>
      <w:r w:rsidRPr="00382917">
        <w:t>the</w:t>
      </w:r>
      <w:r w:rsidR="00EE4FC3">
        <w:t xml:space="preserve"> </w:t>
      </w:r>
      <w:r w:rsidRPr="00382917">
        <w:t>throat</w:t>
      </w:r>
      <w:r w:rsidR="00B71244">
        <w:t>.</w:t>
      </w:r>
      <w:r w:rsidR="00EE4FC3">
        <w:t xml:space="preserve">  </w:t>
      </w:r>
      <w:r w:rsidRPr="00382917">
        <w:t>Although</w:t>
      </w:r>
      <w:r w:rsidR="00EE4FC3">
        <w:t xml:space="preserve"> </w:t>
      </w:r>
      <w:r w:rsidRPr="00382917">
        <w:t>the</w:t>
      </w:r>
      <w:r w:rsidR="00EE4FC3">
        <w:t xml:space="preserve"> </w:t>
      </w:r>
      <w:r w:rsidRPr="00382917">
        <w:t>evidence</w:t>
      </w:r>
      <w:r w:rsidR="00EE4FC3">
        <w:t xml:space="preserve"> </w:t>
      </w:r>
      <w:r w:rsidRPr="00382917">
        <w:t>clearly</w:t>
      </w:r>
      <w:r w:rsidR="00EE4FC3">
        <w:t xml:space="preserve"> </w:t>
      </w:r>
      <w:r w:rsidRPr="00382917">
        <w:t>showed</w:t>
      </w:r>
      <w:r w:rsidR="00EE4FC3">
        <w:t xml:space="preserve"> </w:t>
      </w:r>
      <w:r w:rsidRPr="00382917">
        <w:t>that</w:t>
      </w:r>
      <w:r w:rsidR="00EE4FC3">
        <w:t xml:space="preserve"> </w:t>
      </w:r>
      <w:r w:rsidRPr="00382917">
        <w:t>the</w:t>
      </w:r>
      <w:r w:rsidR="00EE4FC3">
        <w:t xml:space="preserve"> </w:t>
      </w:r>
      <w:r w:rsidRPr="00382917">
        <w:t>murderer</w:t>
      </w:r>
      <w:r w:rsidR="00EE4FC3">
        <w:t xml:space="preserve"> </w:t>
      </w:r>
      <w:r w:rsidRPr="00382917">
        <w:t>was</w:t>
      </w:r>
      <w:r w:rsidR="00EE4FC3">
        <w:t xml:space="preserve"> </w:t>
      </w:r>
      <w:r w:rsidRPr="00382917">
        <w:t>not</w:t>
      </w:r>
      <w:r w:rsidR="00EE4FC3">
        <w:t xml:space="preserve"> </w:t>
      </w:r>
      <w:r w:rsidRPr="00382917">
        <w:t>a</w:t>
      </w:r>
      <w:r w:rsidR="00EE4FC3">
        <w:t xml:space="preserve"> </w:t>
      </w:r>
      <w:r w:rsidRPr="00382917">
        <w:t>follower</w:t>
      </w:r>
      <w:r w:rsidR="00EE4FC3">
        <w:t xml:space="preserve"> </w:t>
      </w:r>
      <w:r w:rsidRPr="00382917">
        <w:t>of</w:t>
      </w:r>
      <w:r w:rsidR="00EE4FC3">
        <w:t xml:space="preserve"> </w:t>
      </w:r>
      <w:r w:rsidRPr="00382917">
        <w:t>the</w:t>
      </w:r>
      <w:r w:rsidR="00EE4FC3">
        <w:t xml:space="preserve"> </w:t>
      </w:r>
      <w:r w:rsidRPr="00382917">
        <w:t>Báb,</w:t>
      </w:r>
      <w:r w:rsidR="00EE4FC3">
        <w:t xml:space="preserve"> </w:t>
      </w:r>
      <w:r w:rsidRPr="00382917">
        <w:t>still</w:t>
      </w:r>
      <w:r w:rsidR="00EE4FC3">
        <w:t xml:space="preserve"> </w:t>
      </w:r>
      <w:r w:rsidRPr="00382917">
        <w:t>Ṭáhirih</w:t>
      </w:r>
      <w:r w:rsidR="00EE4FC3">
        <w:t xml:space="preserve"> </w:t>
      </w:r>
      <w:r w:rsidRPr="00382917">
        <w:t>was</w:t>
      </w:r>
      <w:r w:rsidR="00EE4FC3">
        <w:t xml:space="preserve"> </w:t>
      </w:r>
      <w:r w:rsidRPr="00382917">
        <w:t>accused</w:t>
      </w:r>
      <w:r w:rsidR="00EE4FC3">
        <w:t xml:space="preserve"> </w:t>
      </w:r>
      <w:r w:rsidRPr="00382917">
        <w:t>of</w:t>
      </w:r>
      <w:r w:rsidR="00EE4FC3">
        <w:t xml:space="preserve"> </w:t>
      </w:r>
      <w:r w:rsidRPr="00382917">
        <w:t>the</w:t>
      </w:r>
      <w:r w:rsidR="00EE4FC3">
        <w:t xml:space="preserve"> </w:t>
      </w:r>
      <w:r w:rsidRPr="00382917">
        <w:t>slaying</w:t>
      </w:r>
      <w:r w:rsidR="00B71244">
        <w:t>.</w:t>
      </w:r>
      <w:r w:rsidR="00EE4FC3">
        <w:t xml:space="preserve">  </w:t>
      </w:r>
      <w:r w:rsidRPr="00382917">
        <w:t>Her</w:t>
      </w:r>
      <w:r w:rsidR="00EE4FC3">
        <w:t xml:space="preserve"> </w:t>
      </w:r>
      <w:r w:rsidRPr="00382917">
        <w:t>family</w:t>
      </w:r>
      <w:r w:rsidR="00EE4FC3">
        <w:t xml:space="preserve"> </w:t>
      </w:r>
      <w:r w:rsidRPr="00382917">
        <w:t>recalled</w:t>
      </w:r>
      <w:r w:rsidR="00EE4FC3">
        <w:t xml:space="preserve"> </w:t>
      </w:r>
      <w:r w:rsidRPr="00382917">
        <w:t>those</w:t>
      </w:r>
      <w:r w:rsidR="00EE4FC3">
        <w:t xml:space="preserve"> </w:t>
      </w:r>
      <w:r w:rsidRPr="00382917">
        <w:t>prophetic</w:t>
      </w:r>
      <w:r w:rsidR="00EE4FC3">
        <w:t xml:space="preserve"> </w:t>
      </w:r>
      <w:r w:rsidRPr="00382917">
        <w:t>words</w:t>
      </w:r>
      <w:r w:rsidR="00EE4FC3">
        <w:t xml:space="preserve"> </w:t>
      </w:r>
      <w:r w:rsidRPr="00382917">
        <w:t>spoken</w:t>
      </w:r>
      <w:r w:rsidR="00EE4FC3">
        <w:t xml:space="preserve"> </w:t>
      </w:r>
      <w:r w:rsidRPr="00382917">
        <w:t>on</w:t>
      </w:r>
      <w:r w:rsidR="00EE4FC3">
        <w:t xml:space="preserve"> </w:t>
      </w:r>
      <w:r w:rsidRPr="00382917">
        <w:t>the</w:t>
      </w:r>
      <w:r w:rsidR="00EE4FC3">
        <w:t xml:space="preserve"> </w:t>
      </w:r>
      <w:r w:rsidRPr="00382917">
        <w:t>night</w:t>
      </w:r>
      <w:r w:rsidR="00EE4FC3">
        <w:t xml:space="preserve"> </w:t>
      </w:r>
      <w:r w:rsidRPr="00382917">
        <w:t>of</w:t>
      </w:r>
      <w:r w:rsidR="00EE4FC3">
        <w:t xml:space="preserve"> </w:t>
      </w:r>
      <w:r w:rsidRPr="00382917">
        <w:t>her</w:t>
      </w:r>
      <w:r w:rsidR="00EE4FC3">
        <w:t xml:space="preserve"> </w:t>
      </w:r>
      <w:r w:rsidRPr="00382917">
        <w:t>return</w:t>
      </w:r>
      <w:r w:rsidR="00C03C91">
        <w:t>:</w:t>
      </w:r>
      <w:r w:rsidR="00EE4FC3">
        <w:t xml:space="preserve">  </w:t>
      </w:r>
      <w:r w:rsidR="009C713D" w:rsidRPr="00382917">
        <w:t>“</w:t>
      </w:r>
      <w:r w:rsidRPr="00382917">
        <w:t>O</w:t>
      </w:r>
      <w:r w:rsidR="00EE4FC3">
        <w:t xml:space="preserve"> </w:t>
      </w:r>
      <w:r w:rsidRPr="00382917">
        <w:t>uncle!</w:t>
      </w:r>
      <w:r w:rsidR="00EE4FC3">
        <w:t xml:space="preserve">  </w:t>
      </w:r>
      <w:r w:rsidRPr="00382917">
        <w:t>I</w:t>
      </w:r>
      <w:r w:rsidR="00EE4FC3">
        <w:t xml:space="preserve"> </w:t>
      </w:r>
      <w:r w:rsidRPr="00382917">
        <w:t>see</w:t>
      </w:r>
      <w:r w:rsidR="00EE4FC3">
        <w:t xml:space="preserve"> </w:t>
      </w:r>
      <w:r w:rsidRPr="00382917">
        <w:t>your</w:t>
      </w:r>
      <w:r w:rsidR="00EE4FC3">
        <w:t xml:space="preserve"> </w:t>
      </w:r>
      <w:r w:rsidRPr="00382917">
        <w:t>mouth</w:t>
      </w:r>
      <w:r w:rsidR="00EE4FC3">
        <w:t xml:space="preserve"> </w:t>
      </w:r>
      <w:r w:rsidRPr="00382917">
        <w:t>fill</w:t>
      </w:r>
      <w:r w:rsidR="00EE4FC3">
        <w:t xml:space="preserve"> </w:t>
      </w:r>
      <w:r w:rsidRPr="00382917">
        <w:t>with</w:t>
      </w:r>
      <w:r w:rsidR="00EE4FC3">
        <w:t xml:space="preserve"> </w:t>
      </w:r>
      <w:r w:rsidRPr="00382917">
        <w:t>blood!</w:t>
      </w:r>
      <w:r w:rsidR="009C713D" w:rsidRPr="00382917">
        <w:t>”</w:t>
      </w:r>
    </w:p>
    <w:p w:rsidR="005B5622" w:rsidRPr="00382917" w:rsidRDefault="005B5622" w:rsidP="006340BC">
      <w:pPr>
        <w:pStyle w:val="Text"/>
      </w:pPr>
      <w:r w:rsidRPr="00382917">
        <w:t>The</w:t>
      </w:r>
      <w:r w:rsidR="00EE4FC3">
        <w:t xml:space="preserve"> </w:t>
      </w:r>
      <w:r w:rsidRPr="00382917">
        <w:t>entire</w:t>
      </w:r>
      <w:r w:rsidR="00EE4FC3">
        <w:t xml:space="preserve"> </w:t>
      </w:r>
      <w:r w:rsidRPr="00382917">
        <w:t>city</w:t>
      </w:r>
      <w:r w:rsidR="00EE4FC3">
        <w:t xml:space="preserve"> </w:t>
      </w:r>
      <w:r w:rsidRPr="00382917">
        <w:t>was</w:t>
      </w:r>
      <w:r w:rsidR="00EE4FC3">
        <w:t xml:space="preserve"> </w:t>
      </w:r>
      <w:r w:rsidRPr="00382917">
        <w:t>aroused</w:t>
      </w:r>
      <w:r w:rsidR="00B71244">
        <w:t>.</w:t>
      </w:r>
      <w:r w:rsidR="00EE4FC3">
        <w:t xml:space="preserve">  </w:t>
      </w:r>
      <w:r w:rsidRPr="00382917">
        <w:t>The</w:t>
      </w:r>
      <w:r w:rsidR="00EE4FC3">
        <w:t xml:space="preserve"> </w:t>
      </w:r>
      <w:r w:rsidRPr="00382917">
        <w:t>mobs</w:t>
      </w:r>
      <w:r w:rsidR="00EE4FC3">
        <w:t xml:space="preserve"> </w:t>
      </w:r>
      <w:r w:rsidRPr="00382917">
        <w:t>were</w:t>
      </w:r>
      <w:r w:rsidR="00EE4FC3">
        <w:t xml:space="preserve"> </w:t>
      </w:r>
      <w:r w:rsidRPr="00382917">
        <w:t>encouraged</w:t>
      </w:r>
      <w:r w:rsidR="00EE4FC3">
        <w:t xml:space="preserve"> </w:t>
      </w:r>
      <w:r w:rsidRPr="00382917">
        <w:t>to</w:t>
      </w:r>
      <w:r w:rsidR="00EE4FC3">
        <w:t xml:space="preserve"> </w:t>
      </w:r>
      <w:r w:rsidRPr="00382917">
        <w:t>seek</w:t>
      </w:r>
      <w:r w:rsidR="00EE4FC3">
        <w:t xml:space="preserve"> </w:t>
      </w:r>
      <w:r w:rsidRPr="00382917">
        <w:t>revenge</w:t>
      </w:r>
      <w:r w:rsidR="00EE4FC3">
        <w:t xml:space="preserve"> </w:t>
      </w:r>
      <w:r w:rsidRPr="00382917">
        <w:t>by</w:t>
      </w:r>
      <w:r w:rsidR="00EE4FC3">
        <w:t xml:space="preserve"> </w:t>
      </w:r>
      <w:r w:rsidRPr="00382917">
        <w:t>arresting,</w:t>
      </w:r>
      <w:r w:rsidR="00EE4FC3">
        <w:t xml:space="preserve"> </w:t>
      </w:r>
      <w:r w:rsidRPr="00382917">
        <w:t>robbing</w:t>
      </w:r>
      <w:r w:rsidR="00EE4FC3">
        <w:t xml:space="preserve"> </w:t>
      </w:r>
      <w:r w:rsidRPr="00382917">
        <w:t>and</w:t>
      </w:r>
      <w:r w:rsidR="00EE4FC3">
        <w:t xml:space="preserve"> </w:t>
      </w:r>
      <w:r w:rsidRPr="00382917">
        <w:t>killing,</w:t>
      </w:r>
      <w:r w:rsidR="00EE4FC3">
        <w:t xml:space="preserve"> </w:t>
      </w:r>
      <w:r w:rsidRPr="00382917">
        <w:t>and</w:t>
      </w:r>
      <w:r w:rsidR="00EE4FC3">
        <w:t xml:space="preserve"> </w:t>
      </w:r>
      <w:r w:rsidRPr="00382917">
        <w:t>plundering</w:t>
      </w:r>
      <w:r w:rsidR="00EE4FC3">
        <w:t xml:space="preserve"> </w:t>
      </w:r>
      <w:r w:rsidRPr="00382917">
        <w:t>the</w:t>
      </w:r>
      <w:r w:rsidR="00EE4FC3">
        <w:t xml:space="preserve"> </w:t>
      </w:r>
      <w:r w:rsidRPr="00382917">
        <w:t>houses</w:t>
      </w:r>
      <w:r w:rsidR="00EE4FC3">
        <w:t xml:space="preserve"> </w:t>
      </w:r>
      <w:r w:rsidRPr="00382917">
        <w:t>of</w:t>
      </w:r>
      <w:r w:rsidR="00EE4FC3">
        <w:t xml:space="preserve"> </w:t>
      </w:r>
      <w:r w:rsidRPr="00382917">
        <w:t>anyone</w:t>
      </w:r>
      <w:r w:rsidR="00EE4FC3">
        <w:t xml:space="preserve"> </w:t>
      </w:r>
      <w:r w:rsidRPr="00382917">
        <w:t>suspected</w:t>
      </w:r>
      <w:r w:rsidR="00EE4FC3">
        <w:t xml:space="preserve"> </w:t>
      </w:r>
      <w:r w:rsidRPr="00382917">
        <w:t>of</w:t>
      </w:r>
      <w:r w:rsidR="00EE4FC3">
        <w:t xml:space="preserve"> </w:t>
      </w:r>
      <w:r w:rsidRPr="00382917">
        <w:t>being</w:t>
      </w:r>
      <w:r w:rsidR="00EE4FC3">
        <w:t xml:space="preserve"> </w:t>
      </w:r>
      <w:r w:rsidRPr="00382917">
        <w:t>a</w:t>
      </w:r>
      <w:r w:rsidR="00EE4FC3">
        <w:t xml:space="preserve"> </w:t>
      </w:r>
      <w:r w:rsidRPr="00382917">
        <w:t>follower</w:t>
      </w:r>
      <w:r w:rsidR="00EE4FC3">
        <w:t xml:space="preserve"> </w:t>
      </w:r>
      <w:r w:rsidRPr="00382917">
        <w:t>of</w:t>
      </w:r>
      <w:r w:rsidR="00EE4FC3">
        <w:t xml:space="preserve"> </w:t>
      </w:r>
      <w:r w:rsidRPr="00382917">
        <w:t>the</w:t>
      </w:r>
      <w:r w:rsidR="00EE4FC3">
        <w:t xml:space="preserve"> </w:t>
      </w:r>
      <w:r w:rsidRPr="00382917">
        <w:t>Báb.</w:t>
      </w:r>
    </w:p>
    <w:p w:rsidR="005B5622" w:rsidRPr="00382917" w:rsidRDefault="005B5622" w:rsidP="006340BC">
      <w:pPr>
        <w:pStyle w:val="Text"/>
      </w:pPr>
      <w:r w:rsidRPr="00382917">
        <w:t>Ṭáhirih</w:t>
      </w:r>
      <w:r w:rsidR="00EE4FC3">
        <w:t xml:space="preserve"> </w:t>
      </w:r>
      <w:r w:rsidRPr="00382917">
        <w:t>herself</w:t>
      </w:r>
      <w:r w:rsidR="00EE4FC3">
        <w:t xml:space="preserve"> </w:t>
      </w:r>
      <w:r w:rsidRPr="00382917">
        <w:t>was</w:t>
      </w:r>
      <w:r w:rsidR="00EE4FC3">
        <w:t xml:space="preserve"> </w:t>
      </w:r>
      <w:r w:rsidRPr="00382917">
        <w:t>placed</w:t>
      </w:r>
      <w:r w:rsidR="00EE4FC3">
        <w:t xml:space="preserve"> </w:t>
      </w:r>
      <w:r w:rsidRPr="00382917">
        <w:t>in</w:t>
      </w:r>
      <w:r w:rsidR="00EE4FC3">
        <w:t xml:space="preserve"> </w:t>
      </w:r>
      <w:r w:rsidRPr="00382917">
        <w:t>strict</w:t>
      </w:r>
      <w:r w:rsidR="00EE4FC3">
        <w:t xml:space="preserve"> </w:t>
      </w:r>
      <w:r w:rsidRPr="00382917">
        <w:t>confinement</w:t>
      </w:r>
      <w:r w:rsidR="00B71244">
        <w:t>.</w:t>
      </w:r>
      <w:r w:rsidR="00EE4FC3">
        <w:t xml:space="preserve">  </w:t>
      </w:r>
      <w:r w:rsidRPr="00382917">
        <w:t>Out</w:t>
      </w:r>
      <w:r w:rsidR="00EE4FC3">
        <w:t xml:space="preserve"> </w:t>
      </w:r>
      <w:r w:rsidRPr="00382917">
        <w:t>of</w:t>
      </w:r>
      <w:r w:rsidR="00EE4FC3">
        <w:t xml:space="preserve"> </w:t>
      </w:r>
      <w:r w:rsidRPr="00382917">
        <w:t>respect</w:t>
      </w:r>
      <w:r w:rsidR="00EE4FC3">
        <w:t xml:space="preserve"> </w:t>
      </w:r>
      <w:r w:rsidRPr="00382917">
        <w:t>for</w:t>
      </w:r>
      <w:r w:rsidR="00EE4FC3">
        <w:t xml:space="preserve"> </w:t>
      </w:r>
      <w:r w:rsidRPr="00382917">
        <w:t>her</w:t>
      </w:r>
      <w:r w:rsidR="00EE4FC3">
        <w:t xml:space="preserve"> </w:t>
      </w:r>
      <w:r w:rsidRPr="00382917">
        <w:t>father,</w:t>
      </w:r>
      <w:r w:rsidR="00EE4FC3">
        <w:t xml:space="preserve"> </w:t>
      </w:r>
      <w:r w:rsidRPr="00382917">
        <w:t>an</w:t>
      </w:r>
      <w:r w:rsidR="00EE4FC3">
        <w:t xml:space="preserve"> </w:t>
      </w:r>
      <w:r w:rsidRPr="00382917">
        <w:t>eminent</w:t>
      </w:r>
      <w:r w:rsidR="00EE4FC3">
        <w:t xml:space="preserve"> </w:t>
      </w:r>
      <w:r w:rsidRPr="00382917">
        <w:t>Islamic</w:t>
      </w:r>
      <w:r w:rsidR="00EE4FC3">
        <w:t xml:space="preserve"> </w:t>
      </w:r>
      <w:r w:rsidRPr="00382917">
        <w:t>jurist,</w:t>
      </w:r>
      <w:r w:rsidR="00EE4FC3">
        <w:t xml:space="preserve"> </w:t>
      </w:r>
      <w:r w:rsidRPr="00382917">
        <w:t>the</w:t>
      </w:r>
      <w:r w:rsidR="00EE4FC3">
        <w:t xml:space="preserve"> </w:t>
      </w:r>
      <w:r w:rsidRPr="00382917">
        <w:t>authorities</w:t>
      </w:r>
      <w:r w:rsidR="00EE4FC3">
        <w:t xml:space="preserve"> </w:t>
      </w:r>
      <w:r w:rsidRPr="00382917">
        <w:t>permitted</w:t>
      </w:r>
      <w:r w:rsidR="00EE4FC3">
        <w:t xml:space="preserve"> </w:t>
      </w:r>
      <w:r w:rsidRPr="00382917">
        <w:t>him</w:t>
      </w:r>
      <w:r w:rsidR="00EE4FC3">
        <w:t xml:space="preserve"> </w:t>
      </w:r>
      <w:r w:rsidRPr="00382917">
        <w:t>to</w:t>
      </w:r>
      <w:r w:rsidR="00EE4FC3">
        <w:t xml:space="preserve"> </w:t>
      </w:r>
      <w:r w:rsidRPr="00382917">
        <w:t>save</w:t>
      </w:r>
      <w:r w:rsidR="00EE4FC3">
        <w:t xml:space="preserve"> </w:t>
      </w:r>
      <w:r w:rsidRPr="00382917">
        <w:t>her</w:t>
      </w:r>
      <w:r w:rsidR="00EE4FC3">
        <w:t xml:space="preserve"> </w:t>
      </w:r>
      <w:r w:rsidRPr="00382917">
        <w:t>life</w:t>
      </w:r>
      <w:r w:rsidR="00EE4FC3">
        <w:t xml:space="preserve"> </w:t>
      </w:r>
      <w:r w:rsidRPr="00382917">
        <w:t>and</w:t>
      </w:r>
      <w:r w:rsidR="00EE4FC3">
        <w:t xml:space="preserve"> </w:t>
      </w:r>
      <w:r w:rsidRPr="00382917">
        <w:t>imprison</w:t>
      </w:r>
      <w:r w:rsidR="00EE4FC3">
        <w:t xml:space="preserve"> </w:t>
      </w:r>
      <w:r w:rsidRPr="00382917">
        <w:t>Ṭáhirih</w:t>
      </w:r>
      <w:r w:rsidR="00EE4FC3">
        <w:t xml:space="preserve"> </w:t>
      </w:r>
      <w:r w:rsidRPr="00382917">
        <w:t>in</w:t>
      </w:r>
      <w:r w:rsidR="00EE4FC3">
        <w:t xml:space="preserve"> </w:t>
      </w:r>
      <w:r w:rsidRPr="00382917">
        <w:t>the</w:t>
      </w:r>
      <w:r w:rsidR="00EE4FC3">
        <w:t xml:space="preserve"> </w:t>
      </w:r>
      <w:r w:rsidRPr="00382917">
        <w:t>cellar</w:t>
      </w:r>
      <w:r w:rsidR="00EE4FC3">
        <w:t xml:space="preserve"> </w:t>
      </w:r>
      <w:r w:rsidRPr="00382917">
        <w:t>of</w:t>
      </w:r>
      <w:r w:rsidR="00EE4FC3">
        <w:t xml:space="preserve"> </w:t>
      </w:r>
      <w:r w:rsidRPr="00382917">
        <w:t>his</w:t>
      </w:r>
      <w:r w:rsidR="00EE4FC3">
        <w:t xml:space="preserve"> </w:t>
      </w:r>
      <w:r w:rsidRPr="00382917">
        <w:t>home,</w:t>
      </w:r>
      <w:r w:rsidR="00EE4FC3">
        <w:t xml:space="preserve"> </w:t>
      </w:r>
      <w:r w:rsidRPr="00382917">
        <w:t>but</w:t>
      </w:r>
      <w:r w:rsidR="00EE4FC3">
        <w:t xml:space="preserve"> </w:t>
      </w:r>
      <w:r w:rsidRPr="00382917">
        <w:t>the</w:t>
      </w:r>
      <w:r w:rsidR="00EE4FC3">
        <w:t xml:space="preserve"> </w:t>
      </w:r>
      <w:r w:rsidRPr="00382917">
        <w:t>women</w:t>
      </w:r>
      <w:r w:rsidR="00EE4FC3">
        <w:t xml:space="preserve"> </w:t>
      </w:r>
      <w:r w:rsidRPr="00382917">
        <w:t>who</w:t>
      </w:r>
      <w:r w:rsidR="00EE4FC3">
        <w:t xml:space="preserve"> </w:t>
      </w:r>
      <w:r w:rsidRPr="00382917">
        <w:t>were</w:t>
      </w:r>
      <w:r w:rsidR="00EE4FC3">
        <w:t xml:space="preserve"> </w:t>
      </w:r>
      <w:r w:rsidRPr="00382917">
        <w:t>assigned</w:t>
      </w:r>
      <w:r w:rsidR="00EE4FC3">
        <w:t xml:space="preserve"> </w:t>
      </w:r>
      <w:r w:rsidRPr="00382917">
        <w:t>to</w:t>
      </w:r>
      <w:r w:rsidR="00EE4FC3">
        <w:t xml:space="preserve"> </w:t>
      </w:r>
      <w:r w:rsidRPr="00382917">
        <w:t>watch</w:t>
      </w:r>
      <w:r w:rsidR="00EE4FC3">
        <w:t xml:space="preserve"> </w:t>
      </w:r>
      <w:r w:rsidRPr="00382917">
        <w:t>her</w:t>
      </w:r>
      <w:r w:rsidR="00EE4FC3">
        <w:t xml:space="preserve"> </w:t>
      </w:r>
      <w:r w:rsidRPr="00382917">
        <w:t>were</w:t>
      </w:r>
      <w:r w:rsidR="00EE4FC3">
        <w:t xml:space="preserve"> </w:t>
      </w:r>
      <w:r w:rsidRPr="00382917">
        <w:t>told</w:t>
      </w:r>
      <w:r w:rsidR="00EE4FC3">
        <w:t xml:space="preserve"> </w:t>
      </w:r>
      <w:r w:rsidRPr="00382917">
        <w:t>never</w:t>
      </w:r>
      <w:r w:rsidR="00EE4FC3">
        <w:t xml:space="preserve"> </w:t>
      </w:r>
      <w:r w:rsidRPr="00382917">
        <w:t>to</w:t>
      </w:r>
      <w:r w:rsidR="00EE4FC3">
        <w:t xml:space="preserve"> </w:t>
      </w:r>
      <w:r w:rsidRPr="00382917">
        <w:t>let</w:t>
      </w:r>
      <w:r w:rsidR="00EE4FC3">
        <w:t xml:space="preserve"> </w:t>
      </w:r>
      <w:r w:rsidRPr="00382917">
        <w:t>her</w:t>
      </w:r>
      <w:r w:rsidR="00EE4FC3">
        <w:t xml:space="preserve"> </w:t>
      </w:r>
      <w:r w:rsidRPr="00382917">
        <w:t>out</w:t>
      </w:r>
      <w:r w:rsidR="00EE4FC3">
        <w:t xml:space="preserve"> </w:t>
      </w:r>
      <w:r w:rsidRPr="00382917">
        <w:t>of</w:t>
      </w:r>
      <w:r w:rsidR="00EE4FC3">
        <w:t xml:space="preserve"> </w:t>
      </w:r>
      <w:r w:rsidRPr="00382917">
        <w:t>their</w:t>
      </w:r>
      <w:r w:rsidR="00EE4FC3">
        <w:t xml:space="preserve"> </w:t>
      </w:r>
      <w:r w:rsidRPr="00382917">
        <w:t>sight</w:t>
      </w:r>
      <w:r w:rsidR="00B71244">
        <w:t>.</w:t>
      </w:r>
      <w:r w:rsidR="00EE4FC3">
        <w:t xml:space="preserve">  </w:t>
      </w:r>
      <w:r w:rsidRPr="00382917">
        <w:t>She</w:t>
      </w:r>
      <w:r w:rsidR="00EE4FC3">
        <w:t xml:space="preserve"> </w:t>
      </w:r>
      <w:r w:rsidRPr="00382917">
        <w:t>must</w:t>
      </w:r>
      <w:r w:rsidR="00EE4FC3">
        <w:t xml:space="preserve"> </w:t>
      </w:r>
      <w:r w:rsidRPr="00382917">
        <w:t>not</w:t>
      </w:r>
      <w:r w:rsidR="00EE4FC3">
        <w:t xml:space="preserve"> </w:t>
      </w:r>
      <w:r w:rsidRPr="00382917">
        <w:t>escape.</w:t>
      </w:r>
    </w:p>
    <w:p w:rsidR="005B5622" w:rsidRPr="00382917" w:rsidRDefault="005B5622" w:rsidP="009B4DE1">
      <w:pPr>
        <w:pStyle w:val="Text"/>
      </w:pPr>
      <w:r w:rsidRPr="00382917">
        <w:t>A</w:t>
      </w:r>
      <w:r w:rsidR="00EE4FC3">
        <w:t xml:space="preserve"> </w:t>
      </w:r>
      <w:r w:rsidRPr="00382917">
        <w:t>member</w:t>
      </w:r>
      <w:r w:rsidR="00EE4FC3">
        <w:t xml:space="preserve"> </w:t>
      </w:r>
      <w:r w:rsidRPr="00382917">
        <w:t>of</w:t>
      </w:r>
      <w:r w:rsidR="00EE4FC3">
        <w:t xml:space="preserve"> </w:t>
      </w:r>
      <w:r w:rsidRPr="00382917">
        <w:t>Ṭáhirih</w:t>
      </w:r>
      <w:r w:rsidR="009C713D" w:rsidRPr="00382917">
        <w:t>’</w:t>
      </w:r>
      <w:r w:rsidRPr="00382917">
        <w:t>s</w:t>
      </w:r>
      <w:r w:rsidR="00EE4FC3">
        <w:t xml:space="preserve"> </w:t>
      </w:r>
      <w:r w:rsidRPr="00382917">
        <w:t>family,</w:t>
      </w:r>
      <w:r w:rsidR="00EE4FC3">
        <w:t xml:space="preserve"> </w:t>
      </w:r>
      <w:r w:rsidRPr="00382917">
        <w:t>one</w:t>
      </w:r>
      <w:r w:rsidR="00EE4FC3">
        <w:t xml:space="preserve"> </w:t>
      </w:r>
      <w:r w:rsidRPr="00382917">
        <w:t>day</w:t>
      </w:r>
      <w:r w:rsidR="00EE4FC3">
        <w:t xml:space="preserve"> </w:t>
      </w:r>
      <w:r w:rsidRPr="00382917">
        <w:t>years</w:t>
      </w:r>
      <w:r w:rsidR="00EE4FC3">
        <w:t xml:space="preserve"> </w:t>
      </w:r>
      <w:r w:rsidRPr="00382917">
        <w:t>later</w:t>
      </w:r>
      <w:r w:rsidR="00EE4FC3">
        <w:t xml:space="preserve"> </w:t>
      </w:r>
      <w:r w:rsidRPr="00382917">
        <w:t>while</w:t>
      </w:r>
      <w:r w:rsidR="00EE4FC3">
        <w:t xml:space="preserve"> </w:t>
      </w:r>
      <w:r w:rsidRPr="00382917">
        <w:t>showing</w:t>
      </w:r>
      <w:r w:rsidR="00EE4FC3">
        <w:t xml:space="preserve"> </w:t>
      </w:r>
      <w:r w:rsidRPr="00382917">
        <w:t>visitors</w:t>
      </w:r>
      <w:r w:rsidR="00EE4FC3">
        <w:t xml:space="preserve"> </w:t>
      </w:r>
      <w:r w:rsidRPr="00382917">
        <w:t>the</w:t>
      </w:r>
      <w:r w:rsidR="00EE4FC3">
        <w:t xml:space="preserve"> </w:t>
      </w:r>
      <w:r w:rsidRPr="00382917">
        <w:t>prison</w:t>
      </w:r>
      <w:r w:rsidR="00EE4FC3">
        <w:t xml:space="preserve"> </w:t>
      </w:r>
      <w:r w:rsidRPr="00382917">
        <w:t>cellar</w:t>
      </w:r>
      <w:r w:rsidR="00EE4FC3">
        <w:t xml:space="preserve"> </w:t>
      </w:r>
      <w:r w:rsidRPr="00382917">
        <w:t>in</w:t>
      </w:r>
      <w:r w:rsidR="00EE4FC3">
        <w:t xml:space="preserve"> </w:t>
      </w:r>
      <w:r w:rsidRPr="00382917">
        <w:t>which</w:t>
      </w:r>
      <w:r w:rsidR="00EE4FC3">
        <w:t xml:space="preserve"> </w:t>
      </w:r>
      <w:r w:rsidRPr="00382917">
        <w:t>she</w:t>
      </w:r>
      <w:r w:rsidR="00EE4FC3">
        <w:t xml:space="preserve"> </w:t>
      </w:r>
      <w:r w:rsidRPr="00382917">
        <w:t>had</w:t>
      </w:r>
      <w:r w:rsidR="00EE4FC3">
        <w:t xml:space="preserve"> </w:t>
      </w:r>
      <w:r w:rsidRPr="00382917">
        <w:t>been</w:t>
      </w:r>
      <w:r w:rsidR="00EE4FC3">
        <w:t xml:space="preserve"> </w:t>
      </w:r>
      <w:r w:rsidRPr="00382917">
        <w:t>confined,</w:t>
      </w:r>
      <w:r w:rsidR="00EE4FC3">
        <w:t xml:space="preserve"> </w:t>
      </w:r>
      <w:r w:rsidRPr="00382917">
        <w:t>said</w:t>
      </w:r>
      <w:r w:rsidR="00C03C91">
        <w:t>:</w:t>
      </w:r>
      <w:r w:rsidR="00EE4FC3">
        <w:t xml:space="preserve">  </w:t>
      </w:r>
      <w:r w:rsidR="009C713D" w:rsidRPr="00382917">
        <w:t>“</w:t>
      </w:r>
      <w:r w:rsidRPr="00382917">
        <w:t>Ṭáhirih</w:t>
      </w:r>
      <w:r w:rsidR="009C713D" w:rsidRPr="00382917">
        <w:t>’</w:t>
      </w:r>
      <w:r w:rsidRPr="00382917">
        <w:t>s</w:t>
      </w:r>
      <w:r w:rsidR="00EE4FC3">
        <w:t xml:space="preserve"> </w:t>
      </w:r>
      <w:r w:rsidRPr="00382917">
        <w:t>father</w:t>
      </w:r>
      <w:r w:rsidR="00EE4FC3">
        <w:t xml:space="preserve"> </w:t>
      </w:r>
      <w:r w:rsidRPr="00382917">
        <w:t>truly</w:t>
      </w:r>
      <w:r w:rsidR="00EE4FC3">
        <w:t xml:space="preserve"> </w:t>
      </w:r>
      <w:r w:rsidRPr="00382917">
        <w:t>loved</w:t>
      </w:r>
      <w:r w:rsidR="00EE4FC3">
        <w:t xml:space="preserve"> </w:t>
      </w:r>
      <w:r w:rsidRPr="00382917">
        <w:t>his</w:t>
      </w:r>
      <w:r w:rsidR="00EE4FC3">
        <w:t xml:space="preserve"> </w:t>
      </w:r>
      <w:r w:rsidRPr="00382917">
        <w:t>gifted</w:t>
      </w:r>
      <w:r w:rsidR="00EE4FC3">
        <w:t xml:space="preserve"> </w:t>
      </w:r>
      <w:r w:rsidRPr="00382917">
        <w:t>daughter</w:t>
      </w:r>
      <w:r w:rsidR="00EE4FC3">
        <w:t xml:space="preserve"> </w:t>
      </w:r>
      <w:r w:rsidRPr="00382917">
        <w:t>even</w:t>
      </w:r>
      <w:r w:rsidR="00EE4FC3">
        <w:t xml:space="preserve"> </w:t>
      </w:r>
      <w:r w:rsidRPr="00382917">
        <w:t>though</w:t>
      </w:r>
      <w:r w:rsidR="00EE4FC3">
        <w:t xml:space="preserve"> </w:t>
      </w:r>
      <w:r w:rsidRPr="00382917">
        <w:t>he</w:t>
      </w:r>
      <w:r w:rsidR="00EE4FC3">
        <w:t xml:space="preserve"> </w:t>
      </w:r>
      <w:r w:rsidRPr="00382917">
        <w:t>clashed</w:t>
      </w:r>
      <w:r w:rsidR="00EE4FC3">
        <w:t xml:space="preserve"> </w:t>
      </w:r>
      <w:r w:rsidRPr="00382917">
        <w:t>violently</w:t>
      </w:r>
      <w:r w:rsidR="00EE4FC3">
        <w:t xml:space="preserve"> </w:t>
      </w:r>
      <w:r w:rsidRPr="00382917">
        <w:t>with</w:t>
      </w:r>
      <w:r w:rsidR="00EE4FC3">
        <w:t xml:space="preserve"> </w:t>
      </w:r>
      <w:r w:rsidRPr="00382917">
        <w:t>her</w:t>
      </w:r>
      <w:r w:rsidR="00EE4FC3">
        <w:t xml:space="preserve"> </w:t>
      </w:r>
      <w:r w:rsidRPr="00382917">
        <w:t>in</w:t>
      </w:r>
      <w:r w:rsidR="00EE4FC3">
        <w:t xml:space="preserve"> </w:t>
      </w:r>
      <w:r w:rsidRPr="00382917">
        <w:t>religious</w:t>
      </w:r>
      <w:r w:rsidR="00EE4FC3">
        <w:t xml:space="preserve"> </w:t>
      </w:r>
      <w:r w:rsidRPr="00382917">
        <w:t>beliefs</w:t>
      </w:r>
      <w:r w:rsidR="0040329F">
        <w:t>.</w:t>
      </w:r>
      <w:r w:rsidR="00EE4FC3">
        <w:t xml:space="preserve">  </w:t>
      </w:r>
      <w:r w:rsidRPr="00382917">
        <w:t>He</w:t>
      </w:r>
      <w:r w:rsidR="00EE4FC3">
        <w:t xml:space="preserve"> </w:t>
      </w:r>
      <w:r w:rsidRPr="00382917">
        <w:t>imprisoned</w:t>
      </w:r>
      <w:r w:rsidR="00EE4FC3">
        <w:t xml:space="preserve"> </w:t>
      </w:r>
      <w:r w:rsidRPr="00382917">
        <w:t>her</w:t>
      </w:r>
      <w:r w:rsidR="00EE4FC3">
        <w:t xml:space="preserve"> </w:t>
      </w:r>
      <w:r w:rsidRPr="00382917">
        <w:t>in</w:t>
      </w:r>
      <w:r w:rsidR="00EE4FC3">
        <w:t xml:space="preserve"> </w:t>
      </w:r>
      <w:r w:rsidRPr="00382917">
        <w:t>his</w:t>
      </w:r>
      <w:r w:rsidR="00EE4FC3">
        <w:t xml:space="preserve"> </w:t>
      </w:r>
      <w:r w:rsidRPr="00382917">
        <w:t>home</w:t>
      </w:r>
      <w:r w:rsidR="00EE4FC3">
        <w:t xml:space="preserve"> </w:t>
      </w:r>
      <w:r w:rsidRPr="00382917">
        <w:t>trying</w:t>
      </w:r>
      <w:r w:rsidR="00EE4FC3">
        <w:t xml:space="preserve"> </w:t>
      </w:r>
      <w:r w:rsidRPr="00382917">
        <w:t>to</w:t>
      </w:r>
      <w:r w:rsidR="00EE4FC3">
        <w:t xml:space="preserve"> </w:t>
      </w:r>
      <w:r w:rsidRPr="00382917">
        <w:t>protect</w:t>
      </w:r>
      <w:r w:rsidR="00EE4FC3">
        <w:t xml:space="preserve"> </w:t>
      </w:r>
      <w:r w:rsidRPr="00382917">
        <w:t>her</w:t>
      </w:r>
      <w:r w:rsidR="00EE4FC3">
        <w:t xml:space="preserve"> </w:t>
      </w:r>
      <w:r w:rsidRPr="00382917">
        <w:t>from</w:t>
      </w:r>
      <w:r w:rsidR="00EE4FC3">
        <w:t xml:space="preserve"> </w:t>
      </w:r>
      <w:r w:rsidRPr="00382917">
        <w:t>the</w:t>
      </w:r>
      <w:r w:rsidR="00EE4FC3">
        <w:t xml:space="preserve"> </w:t>
      </w:r>
      <w:r w:rsidRPr="00382917">
        <w:t>savagery</w:t>
      </w:r>
      <w:r w:rsidR="00EE4FC3">
        <w:t xml:space="preserve"> </w:t>
      </w:r>
      <w:r w:rsidRPr="00382917">
        <w:t>of</w:t>
      </w:r>
      <w:r w:rsidR="00EE4FC3">
        <w:t xml:space="preserve"> </w:t>
      </w:r>
      <w:r w:rsidRPr="00382917">
        <w:t>those</w:t>
      </w:r>
      <w:r w:rsidR="00EE4FC3">
        <w:t xml:space="preserve"> </w:t>
      </w:r>
      <w:r w:rsidRPr="00382917">
        <w:t>who</w:t>
      </w:r>
      <w:r w:rsidR="00EE4FC3">
        <w:t xml:space="preserve"> </w:t>
      </w:r>
      <w:r w:rsidRPr="00382917">
        <w:t>were</w:t>
      </w:r>
      <w:r w:rsidR="00EE4FC3">
        <w:t xml:space="preserve"> </w:t>
      </w:r>
      <w:r w:rsidRPr="00382917">
        <w:t>ready</w:t>
      </w:r>
      <w:r w:rsidR="00EE4FC3">
        <w:t xml:space="preserve"> </w:t>
      </w:r>
      <w:r w:rsidRPr="00382917">
        <w:t>to</w:t>
      </w:r>
      <w:r w:rsidR="00EE4FC3">
        <w:t xml:space="preserve"> </w:t>
      </w:r>
      <w:r w:rsidRPr="00382917">
        <w:t>brand</w:t>
      </w:r>
      <w:r w:rsidR="00EE4FC3">
        <w:t xml:space="preserve"> </w:t>
      </w:r>
      <w:r w:rsidRPr="00382917">
        <w:t>her</w:t>
      </w:r>
      <w:r w:rsidR="00EE4FC3">
        <w:t xml:space="preserve"> </w:t>
      </w:r>
      <w:r w:rsidRPr="00382917">
        <w:t>with</w:t>
      </w:r>
      <w:r w:rsidR="00EE4FC3">
        <w:t xml:space="preserve"> </w:t>
      </w:r>
      <w:r w:rsidRPr="00382917">
        <w:t>irons</w:t>
      </w:r>
      <w:r w:rsidR="00EE4FC3">
        <w:t xml:space="preserve"> </w:t>
      </w:r>
      <w:r w:rsidRPr="00382917">
        <w:t>because</w:t>
      </w:r>
      <w:r w:rsidR="00EE4FC3">
        <w:t xml:space="preserve"> </w:t>
      </w:r>
      <w:r w:rsidRPr="00382917">
        <w:t>she</w:t>
      </w:r>
      <w:r w:rsidR="00EE4FC3">
        <w:t xml:space="preserve"> </w:t>
      </w:r>
      <w:r w:rsidRPr="00382917">
        <w:t>belonged</w:t>
      </w:r>
      <w:r w:rsidR="00EE4FC3">
        <w:t xml:space="preserve"> </w:t>
      </w:r>
      <w:r w:rsidRPr="00382917">
        <w:t>to</w:t>
      </w:r>
      <w:r w:rsidR="00EE4FC3">
        <w:t xml:space="preserve"> </w:t>
      </w:r>
      <w:r w:rsidRPr="00382917">
        <w:t>the</w:t>
      </w:r>
      <w:r w:rsidR="00EE4FC3">
        <w:t xml:space="preserve"> </w:t>
      </w:r>
      <w:r w:rsidRPr="00382917">
        <w:t>despised</w:t>
      </w:r>
      <w:r w:rsidR="00EE4FC3">
        <w:t xml:space="preserve"> </w:t>
      </w:r>
      <w:r w:rsidRPr="00382917">
        <w:t>[Faith</w:t>
      </w:r>
      <w:r w:rsidR="00EE4FC3">
        <w:t xml:space="preserve"> </w:t>
      </w:r>
      <w:r w:rsidRPr="00382917">
        <w:t>of</w:t>
      </w:r>
      <w:r w:rsidR="00EE4FC3">
        <w:t xml:space="preserve"> </w:t>
      </w:r>
      <w:r w:rsidRPr="00382917">
        <w:t>the</w:t>
      </w:r>
      <w:r w:rsidR="00EE4FC3">
        <w:t xml:space="preserve"> </w:t>
      </w:r>
      <w:r w:rsidRPr="00382917">
        <w:t>Báb],</w:t>
      </w:r>
      <w:r w:rsidR="00EE4FC3">
        <w:t xml:space="preserve"> </w:t>
      </w:r>
      <w:r w:rsidRPr="00382917">
        <w:t>but</w:t>
      </w:r>
      <w:r w:rsidR="00EE4FC3">
        <w:t xml:space="preserve"> </w:t>
      </w:r>
      <w:r w:rsidRPr="00382917">
        <w:t>even</w:t>
      </w:r>
      <w:r w:rsidR="00EE4FC3">
        <w:t xml:space="preserve"> </w:t>
      </w:r>
      <w:r w:rsidRPr="00382917">
        <w:t>her</w:t>
      </w:r>
      <w:r w:rsidR="00EE4FC3">
        <w:t xml:space="preserve"> </w:t>
      </w:r>
      <w:r w:rsidRPr="00382917">
        <w:t>father</w:t>
      </w:r>
      <w:r w:rsidR="00EE4FC3">
        <w:t xml:space="preserve"> </w:t>
      </w:r>
      <w:r w:rsidRPr="00382917">
        <w:t>could</w:t>
      </w:r>
      <w:r w:rsidR="00EE4FC3">
        <w:t xml:space="preserve"> </w:t>
      </w:r>
      <w:r w:rsidRPr="00382917">
        <w:t>not</w:t>
      </w:r>
      <w:r w:rsidR="00EE4FC3">
        <w:t xml:space="preserve"> </w:t>
      </w:r>
      <w:r w:rsidRPr="00382917">
        <w:t>save</w:t>
      </w:r>
      <w:r w:rsidR="00EE4FC3">
        <w:t xml:space="preserve"> </w:t>
      </w:r>
      <w:r w:rsidRPr="00382917">
        <w:t>her</w:t>
      </w:r>
      <w:r w:rsidR="0040329F">
        <w:t>.</w:t>
      </w:r>
      <w:r w:rsidR="00EE4FC3">
        <w:t xml:space="preserve">  </w:t>
      </w:r>
      <w:r w:rsidRPr="00382917">
        <w:t>They</w:t>
      </w:r>
      <w:r w:rsidR="00EE4FC3">
        <w:t xml:space="preserve"> </w:t>
      </w:r>
      <w:r w:rsidRPr="00382917">
        <w:t>came</w:t>
      </w:r>
      <w:r w:rsidR="00EE4FC3">
        <w:t xml:space="preserve"> </w:t>
      </w:r>
      <w:r w:rsidRPr="00382917">
        <w:t>and</w:t>
      </w:r>
      <w:r w:rsidR="00EE4FC3">
        <w:t xml:space="preserve"> </w:t>
      </w:r>
      <w:r w:rsidRPr="00382917">
        <w:t>carried</w:t>
      </w:r>
      <w:r w:rsidR="00EE4FC3">
        <w:t xml:space="preserve"> </w:t>
      </w:r>
      <w:r w:rsidRPr="00382917">
        <w:t>her</w:t>
      </w:r>
      <w:r w:rsidR="00EE4FC3">
        <w:t xml:space="preserve"> </w:t>
      </w:r>
      <w:r w:rsidRPr="00382917">
        <w:t>away</w:t>
      </w:r>
      <w:r w:rsidR="00EE4FC3">
        <w:t xml:space="preserve"> </w:t>
      </w:r>
      <w:r w:rsidRPr="00382917">
        <w:t>to</w:t>
      </w:r>
      <w:r w:rsidR="00EE4FC3">
        <w:t xml:space="preserve"> </w:t>
      </w:r>
      <w:r w:rsidRPr="00382917">
        <w:t>the</w:t>
      </w:r>
      <w:r w:rsidR="00EE4FC3">
        <w:t xml:space="preserve"> </w:t>
      </w:r>
      <w:r w:rsidRPr="00382917">
        <w:t>city</w:t>
      </w:r>
      <w:r w:rsidR="00EE4FC3">
        <w:t xml:space="preserve"> </w:t>
      </w:r>
      <w:r w:rsidRPr="00382917">
        <w:t>prison.</w:t>
      </w:r>
      <w:r w:rsidR="009C713D" w:rsidRPr="00382917">
        <w:t>”</w:t>
      </w:r>
      <w:r w:rsidR="009B4DE1">
        <w:rPr>
          <w:rStyle w:val="FootnoteReference"/>
        </w:rPr>
        <w:footnoteReference w:id="147"/>
      </w:r>
    </w:p>
    <w:p w:rsidR="005B5622" w:rsidRPr="00382917" w:rsidRDefault="005B5622" w:rsidP="006340BC">
      <w:pPr>
        <w:pStyle w:val="Text"/>
      </w:pPr>
      <w:r w:rsidRPr="00382917">
        <w:t>In</w:t>
      </w:r>
      <w:r w:rsidR="00EE4FC3">
        <w:t xml:space="preserve"> </w:t>
      </w:r>
      <w:r w:rsidRPr="00382917">
        <w:t>a</w:t>
      </w:r>
      <w:r w:rsidR="00EE4FC3">
        <w:t xml:space="preserve"> </w:t>
      </w:r>
      <w:r w:rsidRPr="00382917">
        <w:t>spirit</w:t>
      </w:r>
      <w:r w:rsidR="00EE4FC3">
        <w:t xml:space="preserve"> </w:t>
      </w:r>
      <w:r w:rsidRPr="00382917">
        <w:t>of</w:t>
      </w:r>
      <w:r w:rsidR="00EE4FC3">
        <w:t xml:space="preserve"> </w:t>
      </w:r>
      <w:r w:rsidRPr="00382917">
        <w:t>revenge,</w:t>
      </w:r>
      <w:r w:rsidR="00EE4FC3">
        <w:t xml:space="preserve"> </w:t>
      </w:r>
      <w:r w:rsidRPr="00382917">
        <w:t>although</w:t>
      </w:r>
      <w:r w:rsidR="00EE4FC3">
        <w:t xml:space="preserve"> </w:t>
      </w:r>
      <w:r w:rsidRPr="00382917">
        <w:t>well</w:t>
      </w:r>
      <w:r w:rsidR="00EE4FC3">
        <w:t xml:space="preserve"> </w:t>
      </w:r>
      <w:r w:rsidRPr="00382917">
        <w:t>aware</w:t>
      </w:r>
      <w:r w:rsidR="00EE4FC3">
        <w:t xml:space="preserve"> </w:t>
      </w:r>
      <w:r w:rsidRPr="00382917">
        <w:t>of</w:t>
      </w:r>
      <w:r w:rsidR="00EE4FC3">
        <w:t xml:space="preserve"> </w:t>
      </w:r>
      <w:r w:rsidRPr="00382917">
        <w:t>her</w:t>
      </w:r>
      <w:r w:rsidR="00EE4FC3">
        <w:t xml:space="preserve"> </w:t>
      </w:r>
      <w:r w:rsidRPr="00382917">
        <w:t>innocence,</w:t>
      </w:r>
      <w:r w:rsidR="00EE4FC3">
        <w:t xml:space="preserve"> </w:t>
      </w:r>
      <w:r w:rsidRPr="00382917">
        <w:t>Ṭáhirih</w:t>
      </w:r>
      <w:r w:rsidR="009C713D" w:rsidRPr="00382917">
        <w:t>’</w:t>
      </w:r>
      <w:r w:rsidRPr="00382917">
        <w:t>s</w:t>
      </w:r>
      <w:r w:rsidR="00EE4FC3">
        <w:t xml:space="preserve"> </w:t>
      </w:r>
      <w:r w:rsidRPr="00382917">
        <w:t>husband</w:t>
      </w:r>
      <w:r w:rsidR="00EE4FC3">
        <w:t xml:space="preserve"> </w:t>
      </w:r>
      <w:r w:rsidRPr="00382917">
        <w:t>persuaded</w:t>
      </w:r>
      <w:r w:rsidR="00EE4FC3">
        <w:t xml:space="preserve"> </w:t>
      </w:r>
      <w:r w:rsidRPr="00382917">
        <w:t>the</w:t>
      </w:r>
      <w:r w:rsidR="00EE4FC3">
        <w:t xml:space="preserve"> </w:t>
      </w:r>
      <w:r w:rsidRPr="00382917">
        <w:t>governor</w:t>
      </w:r>
      <w:r w:rsidR="00EE4FC3">
        <w:t xml:space="preserve"> </w:t>
      </w:r>
      <w:r w:rsidRPr="00382917">
        <w:t>to</w:t>
      </w:r>
      <w:r w:rsidR="00EE4FC3">
        <w:t xml:space="preserve"> </w:t>
      </w:r>
      <w:r w:rsidRPr="00382917">
        <w:t>put</w:t>
      </w:r>
      <w:r w:rsidR="00EE4FC3">
        <w:t xml:space="preserve"> </w:t>
      </w:r>
      <w:r w:rsidRPr="00382917">
        <w:t>her</w:t>
      </w:r>
      <w:r w:rsidR="00EE4FC3">
        <w:t xml:space="preserve"> </w:t>
      </w:r>
      <w:r w:rsidRPr="00382917">
        <w:t>on</w:t>
      </w:r>
      <w:r w:rsidR="00EE4FC3">
        <w:t xml:space="preserve"> </w:t>
      </w:r>
      <w:r w:rsidRPr="00382917">
        <w:t>trial</w:t>
      </w:r>
      <w:r w:rsidR="00EE4FC3">
        <w:t xml:space="preserve"> </w:t>
      </w:r>
      <w:r w:rsidRPr="00382917">
        <w:t>for</w:t>
      </w:r>
      <w:r w:rsidR="00EE4FC3">
        <w:t xml:space="preserve"> </w:t>
      </w:r>
      <w:r w:rsidRPr="00382917">
        <w:t>the</w:t>
      </w:r>
      <w:r w:rsidR="00EE4FC3">
        <w:t xml:space="preserve"> </w:t>
      </w:r>
      <w:r w:rsidRPr="00382917">
        <w:t>murder</w:t>
      </w:r>
      <w:r w:rsidR="00EE4FC3">
        <w:t xml:space="preserve"> </w:t>
      </w:r>
      <w:r w:rsidRPr="00382917">
        <w:t>of</w:t>
      </w:r>
      <w:r w:rsidR="00EE4FC3">
        <w:t xml:space="preserve"> </w:t>
      </w:r>
      <w:r w:rsidRPr="00382917">
        <w:t>her</w:t>
      </w:r>
      <w:r w:rsidR="00EE4FC3">
        <w:t xml:space="preserve"> </w:t>
      </w:r>
      <w:r w:rsidRPr="00382917">
        <w:t>uncle,</w:t>
      </w:r>
      <w:r w:rsidR="00EE4FC3">
        <w:t xml:space="preserve"> </w:t>
      </w:r>
      <w:r w:rsidRPr="00382917">
        <w:t>Taq</w:t>
      </w:r>
      <w:r w:rsidR="006340BC" w:rsidRPr="00382917">
        <w:t>í</w:t>
      </w:r>
      <w:r w:rsidR="0040329F">
        <w:t>.</w:t>
      </w:r>
      <w:r w:rsidR="00EE4FC3">
        <w:t xml:space="preserve">  </w:t>
      </w:r>
      <w:r w:rsidRPr="00382917">
        <w:t>Her</w:t>
      </w:r>
      <w:r w:rsidR="00EE4FC3">
        <w:t xml:space="preserve"> </w:t>
      </w:r>
      <w:r w:rsidRPr="00382917">
        <w:t>father</w:t>
      </w:r>
      <w:r w:rsidR="00EE4FC3">
        <w:t xml:space="preserve"> </w:t>
      </w:r>
      <w:r w:rsidRPr="00382917">
        <w:t>refused</w:t>
      </w:r>
      <w:r w:rsidR="00EE4FC3">
        <w:t xml:space="preserve"> </w:t>
      </w:r>
      <w:r w:rsidRPr="00382917">
        <w:t>to</w:t>
      </w:r>
      <w:r w:rsidR="00EE4FC3">
        <w:t xml:space="preserve"> </w:t>
      </w:r>
      <w:r w:rsidRPr="00382917">
        <w:t>let</w:t>
      </w:r>
      <w:r w:rsidR="00EE4FC3">
        <w:t xml:space="preserve"> </w:t>
      </w:r>
      <w:r w:rsidRPr="00382917">
        <w:t>her</w:t>
      </w:r>
      <w:r w:rsidR="00EE4FC3">
        <w:t xml:space="preserve"> </w:t>
      </w:r>
      <w:r w:rsidRPr="00382917">
        <w:t>leave</w:t>
      </w:r>
      <w:r w:rsidR="00EE4FC3">
        <w:t xml:space="preserve"> </w:t>
      </w:r>
      <w:r w:rsidRPr="00382917">
        <w:t>his</w:t>
      </w:r>
      <w:r w:rsidR="00EE4FC3">
        <w:t xml:space="preserve"> </w:t>
      </w:r>
      <w:r w:rsidRPr="00382917">
        <w:t>house,</w:t>
      </w:r>
      <w:r w:rsidR="00EE4FC3">
        <w:t xml:space="preserve"> </w:t>
      </w:r>
      <w:r w:rsidRPr="00382917">
        <w:t>but</w:t>
      </w:r>
      <w:r w:rsidR="00EE4FC3">
        <w:t xml:space="preserve"> </w:t>
      </w:r>
      <w:r w:rsidRPr="00382917">
        <w:t>she</w:t>
      </w:r>
      <w:r w:rsidR="00EE4FC3">
        <w:t xml:space="preserve"> </w:t>
      </w:r>
      <w:r w:rsidRPr="00382917">
        <w:t>was</w:t>
      </w:r>
      <w:r w:rsidR="00EE4FC3">
        <w:t xml:space="preserve"> </w:t>
      </w:r>
      <w:r w:rsidRPr="00382917">
        <w:t>taken</w:t>
      </w:r>
      <w:r w:rsidR="00EE4FC3">
        <w:t xml:space="preserve"> </w:t>
      </w:r>
      <w:r w:rsidRPr="00382917">
        <w:t>from</w:t>
      </w:r>
      <w:r w:rsidR="00EE4FC3">
        <w:t xml:space="preserve"> </w:t>
      </w:r>
      <w:r w:rsidRPr="00382917">
        <w:t>him</w:t>
      </w:r>
      <w:r w:rsidR="00EE4FC3">
        <w:t xml:space="preserve"> </w:t>
      </w:r>
      <w:r w:rsidRPr="00382917">
        <w:t>by</w:t>
      </w:r>
      <w:r w:rsidR="00EE4FC3">
        <w:t xml:space="preserve"> </w:t>
      </w:r>
      <w:r w:rsidRPr="00382917">
        <w:t>force</w:t>
      </w:r>
      <w:r w:rsidR="00EE4FC3">
        <w:t xml:space="preserve"> </w:t>
      </w:r>
      <w:r w:rsidRPr="00382917">
        <w:t>and</w:t>
      </w:r>
      <w:r w:rsidR="00EE4FC3">
        <w:t xml:space="preserve"> </w:t>
      </w:r>
      <w:r w:rsidRPr="00382917">
        <w:t>brought</w:t>
      </w:r>
      <w:r w:rsidR="00EE4FC3">
        <w:t xml:space="preserve"> </w:t>
      </w:r>
      <w:r w:rsidRPr="00382917">
        <w:t>to</w:t>
      </w:r>
      <w:r w:rsidR="00EE4FC3">
        <w:t xml:space="preserve"> </w:t>
      </w:r>
      <w:r w:rsidRPr="00382917">
        <w:t>the</w:t>
      </w:r>
      <w:r w:rsidR="00EE4FC3">
        <w:t xml:space="preserve"> </w:t>
      </w:r>
      <w:r w:rsidRPr="00382917">
        <w:t>government</w:t>
      </w:r>
      <w:r w:rsidR="00EE4FC3">
        <w:t xml:space="preserve"> </w:t>
      </w:r>
      <w:r w:rsidRPr="00382917">
        <w:t>house</w:t>
      </w:r>
      <w:r w:rsidR="0040329F">
        <w:t>.</w:t>
      </w:r>
      <w:r w:rsidR="00EE4FC3">
        <w:t xml:space="preserve">  </w:t>
      </w:r>
      <w:r w:rsidRPr="00382917">
        <w:t>They</w:t>
      </w:r>
      <w:r w:rsidR="00EE4FC3">
        <w:t xml:space="preserve"> </w:t>
      </w:r>
      <w:r w:rsidRPr="00382917">
        <w:t>also</w:t>
      </w:r>
      <w:r w:rsidR="00EE4FC3">
        <w:t xml:space="preserve"> </w:t>
      </w:r>
      <w:r w:rsidRPr="00382917">
        <w:t>arrested</w:t>
      </w:r>
      <w:r w:rsidR="00EE4FC3">
        <w:t xml:space="preserve"> </w:t>
      </w:r>
      <w:r w:rsidRPr="00382917">
        <w:t>her</w:t>
      </w:r>
      <w:r w:rsidR="00EE4FC3">
        <w:t xml:space="preserve"> </w:t>
      </w:r>
      <w:r w:rsidRPr="00382917">
        <w:t>servant</w:t>
      </w:r>
      <w:r w:rsidR="00EE4FC3">
        <w:t xml:space="preserve"> </w:t>
      </w:r>
      <w:proofErr w:type="spellStart"/>
      <w:r w:rsidRPr="00382917">
        <w:t>Káfiyih</w:t>
      </w:r>
      <w:proofErr w:type="spellEnd"/>
      <w:r w:rsidR="00EE4FC3">
        <w:t xml:space="preserve"> </w:t>
      </w:r>
      <w:r w:rsidRPr="00382917">
        <w:t>whom</w:t>
      </w:r>
      <w:r w:rsidR="00EE4FC3">
        <w:t xml:space="preserve"> </w:t>
      </w:r>
      <w:r w:rsidRPr="00382917">
        <w:t>they</w:t>
      </w:r>
      <w:r w:rsidR="00EE4FC3">
        <w:t xml:space="preserve"> </w:t>
      </w:r>
      <w:r w:rsidRPr="00382917">
        <w:t>hoped</w:t>
      </w:r>
      <w:r w:rsidR="00EE4FC3">
        <w:t xml:space="preserve"> </w:t>
      </w:r>
      <w:r w:rsidRPr="00382917">
        <w:t>to</w:t>
      </w:r>
      <w:r w:rsidR="00EE4FC3">
        <w:t xml:space="preserve"> </w:t>
      </w:r>
      <w:r w:rsidRPr="00382917">
        <w:t>influence</w:t>
      </w:r>
      <w:r w:rsidR="00EE4FC3">
        <w:t xml:space="preserve"> </w:t>
      </w:r>
      <w:r w:rsidRPr="00382917">
        <w:t>to</w:t>
      </w:r>
      <w:r w:rsidR="00EE4FC3">
        <w:t xml:space="preserve"> </w:t>
      </w:r>
      <w:r w:rsidRPr="00382917">
        <w:t>testify</w:t>
      </w:r>
      <w:r w:rsidR="00EE4FC3">
        <w:t xml:space="preserve"> </w:t>
      </w:r>
      <w:r w:rsidRPr="00382917">
        <w:t>against</w:t>
      </w:r>
      <w:r w:rsidR="00EE4FC3">
        <w:t xml:space="preserve"> </w:t>
      </w:r>
      <w:r w:rsidRPr="00382917">
        <w:t>her.</w:t>
      </w:r>
    </w:p>
    <w:p w:rsidR="005B5622" w:rsidRPr="00382917" w:rsidRDefault="005B5622" w:rsidP="006340BC">
      <w:pPr>
        <w:pStyle w:val="Text"/>
      </w:pPr>
      <w:r w:rsidRPr="00382917">
        <w:t>Hour</w:t>
      </w:r>
      <w:r w:rsidR="00EE4FC3">
        <w:t xml:space="preserve"> </w:t>
      </w:r>
      <w:r w:rsidRPr="00382917">
        <w:t>after</w:t>
      </w:r>
      <w:r w:rsidR="00EE4FC3">
        <w:t xml:space="preserve"> </w:t>
      </w:r>
      <w:r w:rsidRPr="00382917">
        <w:t>hour</w:t>
      </w:r>
      <w:r w:rsidR="00EE4FC3">
        <w:t xml:space="preserve"> </w:t>
      </w:r>
      <w:r w:rsidRPr="00382917">
        <w:t>they</w:t>
      </w:r>
      <w:r w:rsidR="00EE4FC3">
        <w:t xml:space="preserve"> </w:t>
      </w:r>
      <w:r w:rsidRPr="00382917">
        <w:t>questioned</w:t>
      </w:r>
      <w:r w:rsidR="00EE4FC3">
        <w:t xml:space="preserve"> </w:t>
      </w:r>
      <w:r w:rsidRPr="00382917">
        <w:t>them,</w:t>
      </w:r>
      <w:r w:rsidR="00EE4FC3">
        <w:t xml:space="preserve"> </w:t>
      </w:r>
      <w:r w:rsidRPr="00382917">
        <w:t>trying</w:t>
      </w:r>
      <w:r w:rsidR="00EE4FC3">
        <w:t xml:space="preserve"> </w:t>
      </w:r>
      <w:r w:rsidRPr="00382917">
        <w:t>to</w:t>
      </w:r>
      <w:r w:rsidR="00EE4FC3">
        <w:t xml:space="preserve"> </w:t>
      </w:r>
      <w:r w:rsidRPr="00382917">
        <w:t>get</w:t>
      </w:r>
      <w:r w:rsidR="00EE4FC3">
        <w:t xml:space="preserve"> </w:t>
      </w:r>
      <w:r w:rsidRPr="00382917">
        <w:t>them</w:t>
      </w:r>
      <w:r w:rsidR="00EE4FC3">
        <w:t xml:space="preserve"> </w:t>
      </w:r>
      <w:r w:rsidRPr="00382917">
        <w:t>to</w:t>
      </w:r>
      <w:r w:rsidR="00EE4FC3">
        <w:t xml:space="preserve"> </w:t>
      </w:r>
      <w:r w:rsidRPr="00382917">
        <w:t>confess</w:t>
      </w:r>
      <w:r w:rsidR="00EE4FC3">
        <w:t xml:space="preserve"> </w:t>
      </w:r>
      <w:r w:rsidRPr="00382917">
        <w:t>to</w:t>
      </w:r>
      <w:r w:rsidR="00EE4FC3">
        <w:t xml:space="preserve"> </w:t>
      </w:r>
      <w:r w:rsidRPr="00382917">
        <w:t>the</w:t>
      </w:r>
      <w:r w:rsidR="00EE4FC3">
        <w:t xml:space="preserve"> </w:t>
      </w:r>
      <w:r w:rsidRPr="00382917">
        <w:t>murder</w:t>
      </w:r>
      <w:r w:rsidR="0040329F">
        <w:t>.</w:t>
      </w:r>
      <w:r w:rsidR="00EE4FC3">
        <w:t xml:space="preserve">  </w:t>
      </w:r>
      <w:r w:rsidRPr="00382917">
        <w:t>To</w:t>
      </w:r>
      <w:r w:rsidR="00EE4FC3">
        <w:t xml:space="preserve"> </w:t>
      </w:r>
      <w:r w:rsidRPr="00382917">
        <w:t>each</w:t>
      </w:r>
      <w:r w:rsidR="00EE4FC3">
        <w:t xml:space="preserve"> </w:t>
      </w:r>
      <w:r w:rsidRPr="00382917">
        <w:t>question,</w:t>
      </w:r>
      <w:r w:rsidR="00EE4FC3">
        <w:t xml:space="preserve"> </w:t>
      </w:r>
      <w:r w:rsidRPr="00382917">
        <w:t>Ṭáhirih</w:t>
      </w:r>
      <w:r w:rsidR="00EE4FC3">
        <w:t xml:space="preserve"> </w:t>
      </w:r>
      <w:r w:rsidRPr="00382917">
        <w:t>replied</w:t>
      </w:r>
      <w:r w:rsidR="00EE4FC3">
        <w:t xml:space="preserve"> </w:t>
      </w:r>
      <w:r w:rsidRPr="00382917">
        <w:t>calmly</w:t>
      </w:r>
      <w:r w:rsidR="00C03C91">
        <w:t>:</w:t>
      </w:r>
      <w:r w:rsidR="00EE4FC3">
        <w:t xml:space="preserve">  </w:t>
      </w:r>
      <w:r w:rsidR="009C713D" w:rsidRPr="00382917">
        <w:t>“</w:t>
      </w:r>
      <w:r w:rsidRPr="00382917">
        <w:t>We</w:t>
      </w:r>
      <w:r w:rsidR="00EE4FC3">
        <w:t xml:space="preserve"> </w:t>
      </w:r>
      <w:r w:rsidRPr="00382917">
        <w:t>know</w:t>
      </w:r>
      <w:r w:rsidR="00EE4FC3">
        <w:t xml:space="preserve"> </w:t>
      </w:r>
      <w:r w:rsidRPr="00382917">
        <w:t>nothing</w:t>
      </w:r>
      <w:r w:rsidR="00EE4FC3">
        <w:t xml:space="preserve"> </w:t>
      </w:r>
      <w:r w:rsidRPr="00382917">
        <w:t>of</w:t>
      </w:r>
      <w:r w:rsidR="00EE4FC3">
        <w:t xml:space="preserve"> </w:t>
      </w:r>
      <w:r w:rsidRPr="00382917">
        <w:t>this</w:t>
      </w:r>
      <w:r w:rsidR="00EE4FC3">
        <w:t xml:space="preserve"> </w:t>
      </w:r>
      <w:r w:rsidRPr="00382917">
        <w:t>deed</w:t>
      </w:r>
      <w:r w:rsidR="0040329F">
        <w:t>.</w:t>
      </w:r>
      <w:r w:rsidR="00EE4FC3">
        <w:t xml:space="preserve">  </w:t>
      </w:r>
      <w:r w:rsidRPr="00382917">
        <w:t>It</w:t>
      </w:r>
      <w:r w:rsidR="00EE4FC3">
        <w:t xml:space="preserve"> </w:t>
      </w:r>
      <w:r w:rsidRPr="00382917">
        <w:t>was</w:t>
      </w:r>
      <w:r w:rsidR="00EE4FC3">
        <w:t xml:space="preserve"> </w:t>
      </w:r>
      <w:r w:rsidRPr="00382917">
        <w:t>done</w:t>
      </w:r>
      <w:r w:rsidR="00EE4FC3">
        <w:t xml:space="preserve"> </w:t>
      </w:r>
      <w:r w:rsidRPr="00382917">
        <w:t>without</w:t>
      </w:r>
      <w:r w:rsidR="00EE4FC3">
        <w:t xml:space="preserve"> </w:t>
      </w:r>
      <w:r w:rsidRPr="00382917">
        <w:t>our</w:t>
      </w:r>
      <w:r w:rsidR="00EE4FC3">
        <w:t xml:space="preserve"> </w:t>
      </w:r>
      <w:r w:rsidRPr="00382917">
        <w:t>knowledge.</w:t>
      </w:r>
      <w:r w:rsidR="009C713D" w:rsidRPr="00382917">
        <w:t>”</w:t>
      </w:r>
    </w:p>
    <w:p w:rsidR="005B5622" w:rsidRPr="00382917" w:rsidRDefault="005B5622" w:rsidP="006340BC">
      <w:pPr>
        <w:pStyle w:val="Text"/>
      </w:pPr>
      <w:r w:rsidRPr="00382917">
        <w:t>Her</w:t>
      </w:r>
      <w:r w:rsidR="00EE4FC3">
        <w:t xml:space="preserve"> </w:t>
      </w:r>
      <w:r w:rsidRPr="00382917">
        <w:t>husband,</w:t>
      </w:r>
      <w:r w:rsidR="00EE4FC3">
        <w:t xml:space="preserve"> </w:t>
      </w:r>
      <w:r w:rsidRPr="00382917">
        <w:t>seething</w:t>
      </w:r>
      <w:r w:rsidR="00EE4FC3">
        <w:t xml:space="preserve"> </w:t>
      </w:r>
      <w:r w:rsidRPr="00382917">
        <w:t>with</w:t>
      </w:r>
      <w:r w:rsidR="00EE4FC3">
        <w:t xml:space="preserve"> </w:t>
      </w:r>
      <w:r w:rsidRPr="00382917">
        <w:t>hatred,</w:t>
      </w:r>
      <w:r w:rsidR="00EE4FC3">
        <w:t xml:space="preserve"> </w:t>
      </w:r>
      <w:r w:rsidRPr="00382917">
        <w:t>fearful</w:t>
      </w:r>
      <w:r w:rsidR="00EE4FC3">
        <w:t xml:space="preserve"> </w:t>
      </w:r>
      <w:r w:rsidRPr="00382917">
        <w:t>she</w:t>
      </w:r>
      <w:r w:rsidR="00EE4FC3">
        <w:t xml:space="preserve"> </w:t>
      </w:r>
      <w:r w:rsidRPr="00382917">
        <w:t>would</w:t>
      </w:r>
      <w:r w:rsidR="00EE4FC3">
        <w:t xml:space="preserve"> </w:t>
      </w:r>
      <w:r w:rsidRPr="00382917">
        <w:t>go</w:t>
      </w:r>
      <w:r w:rsidR="00EE4FC3">
        <w:t xml:space="preserve"> </w:t>
      </w:r>
      <w:r w:rsidRPr="00382917">
        <w:t>free,</w:t>
      </w:r>
      <w:r w:rsidR="00EE4FC3">
        <w:t xml:space="preserve"> </w:t>
      </w:r>
      <w:r w:rsidRPr="00382917">
        <w:t>kept</w:t>
      </w:r>
      <w:r w:rsidR="00EE4FC3">
        <w:t xml:space="preserve"> </w:t>
      </w:r>
      <w:r w:rsidRPr="00382917">
        <w:t>pleading</w:t>
      </w:r>
      <w:r w:rsidR="00EE4FC3">
        <w:t xml:space="preserve"> </w:t>
      </w:r>
      <w:r w:rsidRPr="00382917">
        <w:t>with</w:t>
      </w:r>
      <w:r w:rsidR="00EE4FC3">
        <w:t xml:space="preserve"> </w:t>
      </w:r>
      <w:r w:rsidRPr="00382917">
        <w:t>the</w:t>
      </w:r>
      <w:r w:rsidR="00EE4FC3">
        <w:t xml:space="preserve"> </w:t>
      </w:r>
      <w:r w:rsidRPr="00382917">
        <w:t>governor</w:t>
      </w:r>
      <w:r w:rsidR="00EE4FC3">
        <w:t xml:space="preserve"> </w:t>
      </w:r>
      <w:r w:rsidRPr="00382917">
        <w:t>to</w:t>
      </w:r>
      <w:r w:rsidR="00EE4FC3">
        <w:t xml:space="preserve"> </w:t>
      </w:r>
      <w:r w:rsidRPr="00382917">
        <w:t>inflict</w:t>
      </w:r>
      <w:r w:rsidR="00EE4FC3">
        <w:t xml:space="preserve"> </w:t>
      </w:r>
      <w:r w:rsidRPr="00382917">
        <w:t>some</w:t>
      </w:r>
      <w:r w:rsidR="00EE4FC3">
        <w:t xml:space="preserve"> </w:t>
      </w:r>
      <w:r w:rsidRPr="00382917">
        <w:t>harsh</w:t>
      </w:r>
      <w:r w:rsidR="00EE4FC3">
        <w:t xml:space="preserve"> </w:t>
      </w:r>
      <w:r w:rsidRPr="00382917">
        <w:t>punishment</w:t>
      </w:r>
      <w:r w:rsidR="00EE4FC3">
        <w:t xml:space="preserve"> </w:t>
      </w:r>
      <w:r w:rsidRPr="00382917">
        <w:t>upon</w:t>
      </w:r>
      <w:r w:rsidR="00EE4FC3">
        <w:t xml:space="preserve"> </w:t>
      </w:r>
      <w:r w:rsidRPr="00382917">
        <w:t>Ṭáhirih</w:t>
      </w:r>
      <w:r w:rsidR="0040329F">
        <w:t>.</w:t>
      </w:r>
      <w:r w:rsidR="00EE4FC3">
        <w:t xml:space="preserve">  </w:t>
      </w:r>
      <w:r w:rsidR="009C713D" w:rsidRPr="00382917">
        <w:t>“</w:t>
      </w:r>
      <w:r w:rsidRPr="00382917">
        <w:t>Something</w:t>
      </w:r>
      <w:r w:rsidR="00EE4FC3">
        <w:t xml:space="preserve"> </w:t>
      </w:r>
      <w:r w:rsidRPr="00382917">
        <w:t>severe,</w:t>
      </w:r>
      <w:r w:rsidR="009C713D" w:rsidRPr="00382917">
        <w:t>”</w:t>
      </w:r>
      <w:r w:rsidR="00EE4FC3">
        <w:t xml:space="preserve"> </w:t>
      </w:r>
      <w:r w:rsidRPr="00382917">
        <w:t>he</w:t>
      </w:r>
      <w:r w:rsidR="00EE4FC3">
        <w:t xml:space="preserve"> </w:t>
      </w:r>
      <w:r w:rsidRPr="00382917">
        <w:t>said,</w:t>
      </w:r>
      <w:r w:rsidR="00EE4FC3">
        <w:t xml:space="preserve"> </w:t>
      </w:r>
      <w:r w:rsidR="009C713D" w:rsidRPr="00382917">
        <w:t>“</w:t>
      </w:r>
      <w:r w:rsidRPr="00382917">
        <w:t>something</w:t>
      </w:r>
      <w:r w:rsidR="00EE4FC3">
        <w:t xml:space="preserve"> </w:t>
      </w:r>
      <w:r w:rsidRPr="00382917">
        <w:t>very</w:t>
      </w:r>
      <w:r w:rsidR="00EE4FC3">
        <w:t xml:space="preserve"> </w:t>
      </w:r>
      <w:r w:rsidRPr="00382917">
        <w:t>severe.</w:t>
      </w:r>
      <w:r w:rsidR="009C713D" w:rsidRPr="00382917">
        <w:t>”</w:t>
      </w:r>
    </w:p>
    <w:p w:rsidR="006340BC" w:rsidRPr="00382917" w:rsidRDefault="006340BC">
      <w:pPr>
        <w:widowControl/>
        <w:kinsoku/>
        <w:overflowPunct/>
        <w:textAlignment w:val="auto"/>
      </w:pPr>
      <w:r w:rsidRPr="00382917">
        <w:br w:type="page"/>
      </w:r>
    </w:p>
    <w:p w:rsidR="005B5622" w:rsidRPr="00382917" w:rsidRDefault="005B5622" w:rsidP="006340BC">
      <w:pPr>
        <w:pStyle w:val="Text"/>
      </w:pPr>
      <w:r w:rsidRPr="00382917">
        <w:t>Acting</w:t>
      </w:r>
      <w:r w:rsidR="00EE4FC3">
        <w:t xml:space="preserve"> </w:t>
      </w:r>
      <w:r w:rsidRPr="00382917">
        <w:t>on</w:t>
      </w:r>
      <w:r w:rsidR="00EE4FC3">
        <w:t xml:space="preserve"> </w:t>
      </w:r>
      <w:r w:rsidRPr="00382917">
        <w:t>this</w:t>
      </w:r>
      <w:r w:rsidR="00EE4FC3">
        <w:t xml:space="preserve"> </w:t>
      </w:r>
      <w:r w:rsidRPr="00382917">
        <w:t>hint,</w:t>
      </w:r>
      <w:r w:rsidR="00EE4FC3">
        <w:t xml:space="preserve"> </w:t>
      </w:r>
      <w:r w:rsidRPr="00382917">
        <w:t>the</w:t>
      </w:r>
      <w:r w:rsidR="00EE4FC3">
        <w:t xml:space="preserve"> </w:t>
      </w:r>
      <w:r w:rsidRPr="00382917">
        <w:t>governor</w:t>
      </w:r>
      <w:r w:rsidR="00EE4FC3">
        <w:t xml:space="preserve"> </w:t>
      </w:r>
      <w:r w:rsidRPr="00382917">
        <w:t>gave</w:t>
      </w:r>
      <w:r w:rsidR="00EE4FC3">
        <w:t xml:space="preserve"> </w:t>
      </w:r>
      <w:r w:rsidRPr="00382917">
        <w:t>the</w:t>
      </w:r>
      <w:r w:rsidR="00EE4FC3">
        <w:t xml:space="preserve"> </w:t>
      </w:r>
      <w:r w:rsidRPr="00382917">
        <w:t>executioner</w:t>
      </w:r>
      <w:r w:rsidR="00EE4FC3">
        <w:t xml:space="preserve"> </w:t>
      </w:r>
      <w:r w:rsidRPr="00382917">
        <w:t>orders</w:t>
      </w:r>
      <w:r w:rsidR="00EE4FC3">
        <w:t xml:space="preserve"> </w:t>
      </w:r>
      <w:r w:rsidRPr="00382917">
        <w:t>to</w:t>
      </w:r>
      <w:r w:rsidR="00EE4FC3">
        <w:t xml:space="preserve"> </w:t>
      </w:r>
      <w:r w:rsidRPr="00382917">
        <w:t>bring</w:t>
      </w:r>
      <w:r w:rsidR="00EE4FC3">
        <w:t xml:space="preserve"> </w:t>
      </w:r>
      <w:r w:rsidRPr="00382917">
        <w:t>in</w:t>
      </w:r>
      <w:r w:rsidR="00EE4FC3">
        <w:t xml:space="preserve"> </w:t>
      </w:r>
      <w:r w:rsidRPr="00382917">
        <w:t>the</w:t>
      </w:r>
      <w:r w:rsidR="00EE4FC3">
        <w:t xml:space="preserve"> </w:t>
      </w:r>
      <w:r w:rsidRPr="00382917">
        <w:t>irons</w:t>
      </w:r>
      <w:r w:rsidR="00EE4FC3">
        <w:t xml:space="preserve"> </w:t>
      </w:r>
      <w:r w:rsidRPr="00382917">
        <w:t>for</w:t>
      </w:r>
      <w:r w:rsidR="00EE4FC3">
        <w:t xml:space="preserve"> </w:t>
      </w:r>
      <w:r w:rsidRPr="00382917">
        <w:t>branding.</w:t>
      </w:r>
    </w:p>
    <w:p w:rsidR="005B5622" w:rsidRPr="00382917" w:rsidRDefault="005B5622" w:rsidP="006340BC">
      <w:pPr>
        <w:pStyle w:val="Text"/>
      </w:pPr>
      <w:r w:rsidRPr="00382917">
        <w:t>In</w:t>
      </w:r>
      <w:r w:rsidR="00EE4FC3">
        <w:t xml:space="preserve"> </w:t>
      </w:r>
      <w:r w:rsidRPr="00382917">
        <w:t>order</w:t>
      </w:r>
      <w:r w:rsidR="00EE4FC3">
        <w:t xml:space="preserve"> </w:t>
      </w:r>
      <w:r w:rsidRPr="00382917">
        <w:t>to</w:t>
      </w:r>
      <w:r w:rsidR="00EE4FC3">
        <w:t xml:space="preserve"> </w:t>
      </w:r>
      <w:r w:rsidRPr="00382917">
        <w:t>terrorize</w:t>
      </w:r>
      <w:r w:rsidR="00EE4FC3">
        <w:t xml:space="preserve"> </w:t>
      </w:r>
      <w:r w:rsidRPr="00382917">
        <w:t>Ṭáhirih</w:t>
      </w:r>
      <w:r w:rsidR="00EE4FC3">
        <w:t xml:space="preserve"> </w:t>
      </w:r>
      <w:r w:rsidRPr="00382917">
        <w:t>and</w:t>
      </w:r>
      <w:r w:rsidR="00EE4FC3">
        <w:t xml:space="preserve"> </w:t>
      </w:r>
      <w:r w:rsidRPr="00382917">
        <w:t>perhaps</w:t>
      </w:r>
      <w:r w:rsidR="00EE4FC3">
        <w:t xml:space="preserve"> </w:t>
      </w:r>
      <w:r w:rsidRPr="00382917">
        <w:t>secure</w:t>
      </w:r>
      <w:r w:rsidR="00EE4FC3">
        <w:t xml:space="preserve"> </w:t>
      </w:r>
      <w:r w:rsidRPr="00382917">
        <w:t>a</w:t>
      </w:r>
      <w:r w:rsidR="00EE4FC3">
        <w:t xml:space="preserve"> </w:t>
      </w:r>
      <w:r w:rsidRPr="00382917">
        <w:t>false</w:t>
      </w:r>
      <w:r w:rsidR="00EE4FC3">
        <w:t xml:space="preserve"> </w:t>
      </w:r>
      <w:r w:rsidRPr="00382917">
        <w:t>confession</w:t>
      </w:r>
      <w:r w:rsidR="00EE4FC3">
        <w:t xml:space="preserve"> </w:t>
      </w:r>
      <w:r w:rsidRPr="00382917">
        <w:t>by</w:t>
      </w:r>
      <w:r w:rsidR="00EE4FC3">
        <w:t xml:space="preserve"> </w:t>
      </w:r>
      <w:r w:rsidRPr="00382917">
        <w:t>torture,</w:t>
      </w:r>
      <w:r w:rsidR="00EE4FC3">
        <w:t xml:space="preserve"> </w:t>
      </w:r>
      <w:r w:rsidRPr="00382917">
        <w:t>they</w:t>
      </w:r>
      <w:r w:rsidR="00EE4FC3">
        <w:t xml:space="preserve"> </w:t>
      </w:r>
      <w:r w:rsidRPr="00382917">
        <w:t>placed</w:t>
      </w:r>
      <w:r w:rsidR="00EE4FC3">
        <w:t xml:space="preserve"> </w:t>
      </w:r>
      <w:r w:rsidRPr="00382917">
        <w:t>the</w:t>
      </w:r>
      <w:r w:rsidR="00EE4FC3">
        <w:t xml:space="preserve"> </w:t>
      </w:r>
      <w:r w:rsidRPr="00382917">
        <w:t>hands</w:t>
      </w:r>
      <w:r w:rsidR="00EE4FC3">
        <w:t xml:space="preserve"> </w:t>
      </w:r>
      <w:r w:rsidRPr="00382917">
        <w:t>of</w:t>
      </w:r>
      <w:r w:rsidR="00EE4FC3">
        <w:t xml:space="preserve"> </w:t>
      </w:r>
      <w:proofErr w:type="spellStart"/>
      <w:r w:rsidRPr="00382917">
        <w:t>Káfiyih</w:t>
      </w:r>
      <w:proofErr w:type="spellEnd"/>
      <w:r w:rsidR="00EE4FC3">
        <w:t xml:space="preserve"> </w:t>
      </w:r>
      <w:r w:rsidRPr="00382917">
        <w:t>under</w:t>
      </w:r>
      <w:r w:rsidR="00EE4FC3">
        <w:t xml:space="preserve"> </w:t>
      </w:r>
      <w:r w:rsidRPr="00382917">
        <w:t>a</w:t>
      </w:r>
      <w:r w:rsidR="00EE4FC3">
        <w:t xml:space="preserve"> </w:t>
      </w:r>
      <w:r w:rsidRPr="00382917">
        <w:t>sliding</w:t>
      </w:r>
      <w:r w:rsidR="00EE4FC3">
        <w:t xml:space="preserve"> </w:t>
      </w:r>
      <w:r w:rsidRPr="00382917">
        <w:t>door,</w:t>
      </w:r>
      <w:r w:rsidR="00EE4FC3">
        <w:t xml:space="preserve"> </w:t>
      </w:r>
      <w:r w:rsidRPr="00382917">
        <w:t>intending</w:t>
      </w:r>
      <w:r w:rsidR="00EE4FC3">
        <w:t xml:space="preserve"> </w:t>
      </w:r>
      <w:r w:rsidRPr="00382917">
        <w:t>to</w:t>
      </w:r>
      <w:r w:rsidR="00EE4FC3">
        <w:t xml:space="preserve"> </w:t>
      </w:r>
      <w:r w:rsidRPr="00382917">
        <w:t>brand</w:t>
      </w:r>
      <w:r w:rsidR="00EE4FC3">
        <w:t xml:space="preserve"> </w:t>
      </w:r>
      <w:r w:rsidRPr="00382917">
        <w:t>her</w:t>
      </w:r>
      <w:r w:rsidR="00EE4FC3">
        <w:t xml:space="preserve"> </w:t>
      </w:r>
      <w:r w:rsidRPr="00382917">
        <w:t>hands</w:t>
      </w:r>
      <w:r w:rsidR="00EE4FC3">
        <w:t xml:space="preserve"> </w:t>
      </w:r>
      <w:r w:rsidRPr="00382917">
        <w:t>from</w:t>
      </w:r>
      <w:r w:rsidR="00EE4FC3">
        <w:t xml:space="preserve"> </w:t>
      </w:r>
      <w:r w:rsidRPr="00382917">
        <w:t>the</w:t>
      </w:r>
      <w:r w:rsidR="00EE4FC3">
        <w:t xml:space="preserve"> </w:t>
      </w:r>
      <w:r w:rsidRPr="00382917">
        <w:t>other</w:t>
      </w:r>
      <w:r w:rsidR="00EE4FC3">
        <w:t xml:space="preserve"> </w:t>
      </w:r>
      <w:r w:rsidRPr="00382917">
        <w:t>side.</w:t>
      </w:r>
    </w:p>
    <w:p w:rsidR="005B5622" w:rsidRPr="00382917" w:rsidRDefault="005B5622" w:rsidP="00FB0B3D">
      <w:pPr>
        <w:pStyle w:val="Text"/>
      </w:pPr>
      <w:r w:rsidRPr="00382917">
        <w:t>Ṭáhirih</w:t>
      </w:r>
      <w:r w:rsidR="00EE4FC3">
        <w:t xml:space="preserve"> </w:t>
      </w:r>
      <w:r w:rsidRPr="00382917">
        <w:t>knew</w:t>
      </w:r>
      <w:r w:rsidR="00EE4FC3">
        <w:t xml:space="preserve"> </w:t>
      </w:r>
      <w:r w:rsidRPr="00382917">
        <w:t>that</w:t>
      </w:r>
      <w:r w:rsidR="00EE4FC3">
        <w:t xml:space="preserve"> </w:t>
      </w:r>
      <w:r w:rsidRPr="00382917">
        <w:t>she</w:t>
      </w:r>
      <w:r w:rsidR="00EE4FC3">
        <w:t xml:space="preserve"> </w:t>
      </w:r>
      <w:r w:rsidRPr="00382917">
        <w:t>was</w:t>
      </w:r>
      <w:r w:rsidR="00EE4FC3">
        <w:t xml:space="preserve"> </w:t>
      </w:r>
      <w:r w:rsidRPr="00382917">
        <w:t>helpless</w:t>
      </w:r>
      <w:r w:rsidR="0040329F">
        <w:t>.</w:t>
      </w:r>
      <w:r w:rsidR="00EE4FC3">
        <w:t xml:space="preserve">  </w:t>
      </w:r>
      <w:r w:rsidRPr="00382917">
        <w:t>Her</w:t>
      </w:r>
      <w:r w:rsidR="00EE4FC3">
        <w:t xml:space="preserve"> </w:t>
      </w:r>
      <w:r w:rsidRPr="00382917">
        <w:t>only</w:t>
      </w:r>
      <w:r w:rsidR="00EE4FC3">
        <w:t xml:space="preserve"> </w:t>
      </w:r>
      <w:r w:rsidRPr="00382917">
        <w:t>refuge</w:t>
      </w:r>
      <w:r w:rsidR="00EE4FC3">
        <w:t xml:space="preserve"> </w:t>
      </w:r>
      <w:r w:rsidRPr="00382917">
        <w:t>was</w:t>
      </w:r>
      <w:r w:rsidR="00EE4FC3">
        <w:t xml:space="preserve"> </w:t>
      </w:r>
      <w:r w:rsidRPr="00382917">
        <w:t>Almighty</w:t>
      </w:r>
      <w:r w:rsidR="00EE4FC3">
        <w:t xml:space="preserve"> </w:t>
      </w:r>
      <w:r w:rsidRPr="00382917">
        <w:t>God</w:t>
      </w:r>
      <w:r w:rsidR="0040329F">
        <w:t>.</w:t>
      </w:r>
      <w:r w:rsidR="00EE4FC3">
        <w:t xml:space="preserve">  </w:t>
      </w:r>
      <w:r w:rsidRPr="00382917">
        <w:t>She</w:t>
      </w:r>
      <w:r w:rsidR="00EE4FC3">
        <w:t xml:space="preserve"> </w:t>
      </w:r>
      <w:r w:rsidRPr="00382917">
        <w:t>uncovered</w:t>
      </w:r>
      <w:r w:rsidR="00EE4FC3">
        <w:t xml:space="preserve"> </w:t>
      </w:r>
      <w:r w:rsidRPr="00382917">
        <w:t>her</w:t>
      </w:r>
      <w:r w:rsidR="00EE4FC3">
        <w:t xml:space="preserve"> </w:t>
      </w:r>
      <w:r w:rsidRPr="00382917">
        <w:t>face</w:t>
      </w:r>
      <w:r w:rsidR="00EE4FC3">
        <w:t xml:space="preserve"> </w:t>
      </w:r>
      <w:r w:rsidRPr="00382917">
        <w:t>and</w:t>
      </w:r>
      <w:r w:rsidR="00EE4FC3">
        <w:t xml:space="preserve"> </w:t>
      </w:r>
      <w:r w:rsidRPr="00382917">
        <w:t>turned</w:t>
      </w:r>
      <w:r w:rsidR="00EE4FC3">
        <w:t xml:space="preserve"> </w:t>
      </w:r>
      <w:r w:rsidRPr="00382917">
        <w:t>toward</w:t>
      </w:r>
      <w:r w:rsidR="00EE4FC3">
        <w:t xml:space="preserve"> </w:t>
      </w:r>
      <w:r w:rsidRPr="00382917">
        <w:t>the</w:t>
      </w:r>
      <w:r w:rsidR="00EE4FC3">
        <w:t xml:space="preserve"> </w:t>
      </w:r>
      <w:r w:rsidRPr="00382917">
        <w:t>prison</w:t>
      </w:r>
      <w:r w:rsidR="00EE4FC3">
        <w:t xml:space="preserve"> </w:t>
      </w:r>
      <w:r w:rsidRPr="00382917">
        <w:t>of</w:t>
      </w:r>
      <w:r w:rsidR="00EE4FC3">
        <w:t xml:space="preserve"> </w:t>
      </w:r>
      <w:r w:rsidRPr="00382917">
        <w:t>the</w:t>
      </w:r>
      <w:r w:rsidR="00EE4FC3">
        <w:t xml:space="preserve"> </w:t>
      </w:r>
      <w:r w:rsidRPr="00382917">
        <w:t>Báb</w:t>
      </w:r>
      <w:r w:rsidR="00EE4FC3">
        <w:t xml:space="preserve"> </w:t>
      </w:r>
      <w:r w:rsidRPr="00382917">
        <w:t>at</w:t>
      </w:r>
      <w:r w:rsidR="00EE4FC3">
        <w:t xml:space="preserve"> </w:t>
      </w:r>
      <w:r w:rsidRPr="00382917">
        <w:t>Máh-Kú</w:t>
      </w:r>
      <w:r w:rsidR="00EE4FC3">
        <w:t xml:space="preserve"> </w:t>
      </w:r>
      <w:r w:rsidRPr="00382917">
        <w:t>and</w:t>
      </w:r>
      <w:r w:rsidR="00EE4FC3">
        <w:t xml:space="preserve"> </w:t>
      </w:r>
      <w:r w:rsidRPr="00382917">
        <w:t>began</w:t>
      </w:r>
      <w:r w:rsidR="00EE4FC3">
        <w:t xml:space="preserve"> </w:t>
      </w:r>
      <w:r w:rsidRPr="00382917">
        <w:t>to</w:t>
      </w:r>
      <w:r w:rsidR="00EE4FC3">
        <w:t xml:space="preserve"> </w:t>
      </w:r>
      <w:r w:rsidRPr="00382917">
        <w:t>pray</w:t>
      </w:r>
      <w:r w:rsidR="0040329F">
        <w:t>.</w:t>
      </w:r>
      <w:r w:rsidR="00EE4FC3">
        <w:t xml:space="preserve">  </w:t>
      </w:r>
      <w:r w:rsidRPr="00382917">
        <w:t>The</w:t>
      </w:r>
      <w:r w:rsidR="00EE4FC3">
        <w:t xml:space="preserve"> </w:t>
      </w:r>
      <w:r w:rsidRPr="00382917">
        <w:t>hot</w:t>
      </w:r>
      <w:r w:rsidR="00EE4FC3">
        <w:t xml:space="preserve"> </w:t>
      </w:r>
      <w:r w:rsidRPr="00382917">
        <w:t>irons</w:t>
      </w:r>
      <w:r w:rsidR="00EE4FC3">
        <w:t xml:space="preserve"> </w:t>
      </w:r>
      <w:r w:rsidRPr="00382917">
        <w:t>were</w:t>
      </w:r>
      <w:r w:rsidR="00EE4FC3">
        <w:t xml:space="preserve"> </w:t>
      </w:r>
      <w:r w:rsidRPr="00382917">
        <w:t>brought</w:t>
      </w:r>
      <w:r w:rsidR="00EE4FC3">
        <w:t xml:space="preserve"> </w:t>
      </w:r>
      <w:r w:rsidRPr="00382917">
        <w:t>forward</w:t>
      </w:r>
      <w:r w:rsidR="00EE4FC3">
        <w:t xml:space="preserve"> </w:t>
      </w:r>
      <w:r w:rsidRPr="00382917">
        <w:t>and</w:t>
      </w:r>
      <w:r w:rsidR="00EE4FC3">
        <w:t xml:space="preserve"> </w:t>
      </w:r>
      <w:r w:rsidRPr="00382917">
        <w:t>the</w:t>
      </w:r>
      <w:r w:rsidR="00EE4FC3">
        <w:t xml:space="preserve"> </w:t>
      </w:r>
      <w:r w:rsidRPr="00382917">
        <w:t>hands</w:t>
      </w:r>
      <w:r w:rsidR="00EE4FC3">
        <w:t xml:space="preserve"> </w:t>
      </w:r>
      <w:r w:rsidRPr="00382917">
        <w:t>of</w:t>
      </w:r>
      <w:r w:rsidR="00EE4FC3">
        <w:t xml:space="preserve"> </w:t>
      </w:r>
      <w:proofErr w:type="spellStart"/>
      <w:r w:rsidRPr="00382917">
        <w:t>Káfiyih</w:t>
      </w:r>
      <w:proofErr w:type="spellEnd"/>
      <w:r w:rsidR="00EE4FC3">
        <w:t xml:space="preserve"> </w:t>
      </w:r>
      <w:r w:rsidRPr="00382917">
        <w:t>were</w:t>
      </w:r>
      <w:r w:rsidR="00EE4FC3">
        <w:t xml:space="preserve"> </w:t>
      </w:r>
      <w:r w:rsidRPr="00382917">
        <w:t>prepared</w:t>
      </w:r>
      <w:r w:rsidR="00EE4FC3">
        <w:t xml:space="preserve"> </w:t>
      </w:r>
      <w:r w:rsidRPr="00382917">
        <w:t>for</w:t>
      </w:r>
      <w:r w:rsidR="00EE4FC3">
        <w:t xml:space="preserve"> </w:t>
      </w:r>
      <w:r w:rsidRPr="00382917">
        <w:t>the</w:t>
      </w:r>
      <w:r w:rsidR="00EE4FC3">
        <w:t xml:space="preserve"> </w:t>
      </w:r>
      <w:r w:rsidRPr="00382917">
        <w:t>burning</w:t>
      </w:r>
      <w:r w:rsidR="0040329F">
        <w:t>.</w:t>
      </w:r>
      <w:r w:rsidR="00EE4FC3">
        <w:t xml:space="preserve">  </w:t>
      </w:r>
      <w:r w:rsidRPr="00382917">
        <w:t>At</w:t>
      </w:r>
      <w:r w:rsidR="00EE4FC3">
        <w:t xml:space="preserve"> </w:t>
      </w:r>
      <w:r w:rsidRPr="00382917">
        <w:t>that</w:t>
      </w:r>
      <w:r w:rsidR="00EE4FC3">
        <w:t xml:space="preserve"> </w:t>
      </w:r>
      <w:r w:rsidRPr="00382917">
        <w:t>terrifying</w:t>
      </w:r>
      <w:r w:rsidR="00EE4FC3">
        <w:t xml:space="preserve"> </w:t>
      </w:r>
      <w:r w:rsidRPr="00382917">
        <w:t>moment,</w:t>
      </w:r>
      <w:r w:rsidR="00EE4FC3">
        <w:t xml:space="preserve"> </w:t>
      </w:r>
      <w:r w:rsidRPr="00382917">
        <w:t>a</w:t>
      </w:r>
      <w:r w:rsidR="00EE4FC3">
        <w:t xml:space="preserve"> </w:t>
      </w:r>
      <w:r w:rsidRPr="00382917">
        <w:t>town</w:t>
      </w:r>
      <w:r w:rsidR="00EE4FC3">
        <w:t xml:space="preserve"> </w:t>
      </w:r>
      <w:r w:rsidRPr="00382917">
        <w:t>crier</w:t>
      </w:r>
      <w:r w:rsidR="009C713D" w:rsidRPr="00382917">
        <w:t>’</w:t>
      </w:r>
      <w:r w:rsidRPr="00382917">
        <w:t>s</w:t>
      </w:r>
      <w:r w:rsidR="00EE4FC3">
        <w:t xml:space="preserve"> </w:t>
      </w:r>
      <w:r w:rsidRPr="00382917">
        <w:t>voice</w:t>
      </w:r>
      <w:r w:rsidR="00EE4FC3">
        <w:t xml:space="preserve"> </w:t>
      </w:r>
      <w:r w:rsidRPr="00382917">
        <w:t>could</w:t>
      </w:r>
      <w:r w:rsidR="00EE4FC3">
        <w:t xml:space="preserve"> </w:t>
      </w:r>
      <w:r w:rsidRPr="00382917">
        <w:t>be</w:t>
      </w:r>
      <w:r w:rsidR="00EE4FC3">
        <w:t xml:space="preserve"> </w:t>
      </w:r>
      <w:r w:rsidRPr="00382917">
        <w:t>heard</w:t>
      </w:r>
      <w:r w:rsidR="00EE4FC3">
        <w:t xml:space="preserve"> </w:t>
      </w:r>
      <w:r w:rsidRPr="00382917">
        <w:t>shouting</w:t>
      </w:r>
      <w:r w:rsidR="00EE4FC3">
        <w:t xml:space="preserve"> </w:t>
      </w:r>
      <w:r w:rsidRPr="00382917">
        <w:t>in</w:t>
      </w:r>
      <w:r w:rsidR="00EE4FC3">
        <w:t xml:space="preserve"> </w:t>
      </w:r>
      <w:r w:rsidRPr="00382917">
        <w:t>the</w:t>
      </w:r>
      <w:r w:rsidR="00EE4FC3">
        <w:t xml:space="preserve"> </w:t>
      </w:r>
      <w:r w:rsidRPr="00382917">
        <w:t>street</w:t>
      </w:r>
      <w:r w:rsidR="00EE4FC3">
        <w:t xml:space="preserve"> </w:t>
      </w:r>
      <w:r w:rsidRPr="00382917">
        <w:t>outside</w:t>
      </w:r>
      <w:r w:rsidR="00C03C91">
        <w:t>:</w:t>
      </w:r>
      <w:r w:rsidR="00EE4FC3">
        <w:t xml:space="preserve">  </w:t>
      </w:r>
      <w:r w:rsidR="009C713D" w:rsidRPr="00382917">
        <w:t>“</w:t>
      </w:r>
      <w:r w:rsidRPr="00382917">
        <w:t>The</w:t>
      </w:r>
      <w:r w:rsidR="00EE4FC3">
        <w:t xml:space="preserve"> </w:t>
      </w:r>
      <w:r w:rsidRPr="00382917">
        <w:t>murderer</w:t>
      </w:r>
      <w:r w:rsidR="00EE4FC3">
        <w:t xml:space="preserve"> </w:t>
      </w:r>
      <w:r w:rsidRPr="00382917">
        <w:t>is</w:t>
      </w:r>
      <w:r w:rsidR="00EE4FC3">
        <w:t xml:space="preserve"> </w:t>
      </w:r>
      <w:r w:rsidRPr="00382917">
        <w:t>found!</w:t>
      </w:r>
      <w:r w:rsidR="00EE4FC3">
        <w:t xml:space="preserve"> </w:t>
      </w:r>
      <w:r w:rsidR="00570E88">
        <w:t xml:space="preserve"> </w:t>
      </w:r>
      <w:r w:rsidRPr="00382917">
        <w:t>The</w:t>
      </w:r>
      <w:r w:rsidR="00EE4FC3">
        <w:t xml:space="preserve"> </w:t>
      </w:r>
      <w:r w:rsidRPr="00382917">
        <w:t>murderer</w:t>
      </w:r>
      <w:r w:rsidR="00EE4FC3">
        <w:t xml:space="preserve"> </w:t>
      </w:r>
      <w:r w:rsidRPr="00382917">
        <w:t>is</w:t>
      </w:r>
      <w:r w:rsidR="00EE4FC3">
        <w:t xml:space="preserve"> </w:t>
      </w:r>
      <w:r w:rsidRPr="00382917">
        <w:t>found!</w:t>
      </w:r>
      <w:r w:rsidR="009C713D" w:rsidRPr="00382917">
        <w:t>”</w:t>
      </w:r>
      <w:r w:rsidR="00FB0B3D">
        <w:rPr>
          <w:rStyle w:val="FootnoteReference"/>
        </w:rPr>
        <w:footnoteReference w:id="148"/>
      </w:r>
    </w:p>
    <w:p w:rsidR="005B5622" w:rsidRPr="00382917" w:rsidRDefault="005B5622" w:rsidP="006340BC">
      <w:pPr>
        <w:pStyle w:val="Text"/>
      </w:pPr>
      <w:r w:rsidRPr="00382917">
        <w:t>The</w:t>
      </w:r>
      <w:r w:rsidR="00EE4FC3">
        <w:t xml:space="preserve"> </w:t>
      </w:r>
      <w:r w:rsidRPr="00382917">
        <w:t>murderer</w:t>
      </w:r>
      <w:r w:rsidR="00EE4FC3">
        <w:t xml:space="preserve"> </w:t>
      </w:r>
      <w:r w:rsidRPr="00382917">
        <w:t>had</w:t>
      </w:r>
      <w:r w:rsidR="00EE4FC3">
        <w:t xml:space="preserve"> </w:t>
      </w:r>
      <w:r w:rsidRPr="00382917">
        <w:t>confessed</w:t>
      </w:r>
      <w:r w:rsidR="0040329F">
        <w:t>.</w:t>
      </w:r>
      <w:r w:rsidR="00EE4FC3">
        <w:t xml:space="preserve">  </w:t>
      </w:r>
      <w:r w:rsidRPr="00382917">
        <w:t>He</w:t>
      </w:r>
      <w:r w:rsidR="00EE4FC3">
        <w:t xml:space="preserve"> </w:t>
      </w:r>
      <w:r w:rsidRPr="00382917">
        <w:t>came</w:t>
      </w:r>
      <w:r w:rsidR="00EE4FC3">
        <w:t xml:space="preserve"> </w:t>
      </w:r>
      <w:r w:rsidRPr="00382917">
        <w:t>by</w:t>
      </w:r>
      <w:r w:rsidR="00EE4FC3">
        <w:t xml:space="preserve"> </w:t>
      </w:r>
      <w:r w:rsidRPr="00382917">
        <w:t>himself</w:t>
      </w:r>
      <w:r w:rsidR="00EE4FC3">
        <w:t xml:space="preserve"> </w:t>
      </w:r>
      <w:r w:rsidRPr="00382917">
        <w:t>to</w:t>
      </w:r>
      <w:r w:rsidR="00EE4FC3">
        <w:t xml:space="preserve"> </w:t>
      </w:r>
      <w:r w:rsidRPr="00382917">
        <w:t>government</w:t>
      </w:r>
      <w:r w:rsidR="00EE4FC3">
        <w:t xml:space="preserve"> </w:t>
      </w:r>
      <w:r w:rsidRPr="00382917">
        <w:t>house,</w:t>
      </w:r>
      <w:r w:rsidR="00EE4FC3">
        <w:t xml:space="preserve"> </w:t>
      </w:r>
      <w:r w:rsidRPr="00382917">
        <w:t>rather</w:t>
      </w:r>
      <w:r w:rsidR="00EE4FC3">
        <w:t xml:space="preserve"> </w:t>
      </w:r>
      <w:r w:rsidRPr="00382917">
        <w:t>than</w:t>
      </w:r>
      <w:r w:rsidR="00EE4FC3">
        <w:t xml:space="preserve"> </w:t>
      </w:r>
      <w:r w:rsidRPr="00382917">
        <w:t>let</w:t>
      </w:r>
      <w:r w:rsidR="00EE4FC3">
        <w:t xml:space="preserve"> </w:t>
      </w:r>
      <w:r w:rsidRPr="00382917">
        <w:t>innocent</w:t>
      </w:r>
      <w:r w:rsidR="00EE4FC3">
        <w:t xml:space="preserve"> </w:t>
      </w:r>
      <w:r w:rsidRPr="00382917">
        <w:t>people</w:t>
      </w:r>
      <w:r w:rsidR="00EE4FC3">
        <w:t xml:space="preserve"> </w:t>
      </w:r>
      <w:r w:rsidRPr="00382917">
        <w:t>suffer</w:t>
      </w:r>
      <w:r w:rsidR="0040329F">
        <w:t>.</w:t>
      </w:r>
      <w:r w:rsidR="00EE4FC3">
        <w:t xml:space="preserve">  </w:t>
      </w:r>
      <w:r w:rsidRPr="00382917">
        <w:t>Ṭáhirih</w:t>
      </w:r>
      <w:r w:rsidR="00EE4FC3">
        <w:t xml:space="preserve"> </w:t>
      </w:r>
      <w:r w:rsidRPr="00382917">
        <w:t>and</w:t>
      </w:r>
      <w:r w:rsidR="00EE4FC3">
        <w:t xml:space="preserve"> </w:t>
      </w:r>
      <w:proofErr w:type="spellStart"/>
      <w:r w:rsidRPr="00382917">
        <w:t>Káfiyih</w:t>
      </w:r>
      <w:proofErr w:type="spellEnd"/>
      <w:r w:rsidR="00EE4FC3">
        <w:t xml:space="preserve"> </w:t>
      </w:r>
      <w:r w:rsidRPr="00382917">
        <w:t>were</w:t>
      </w:r>
      <w:r w:rsidR="00EE4FC3">
        <w:t xml:space="preserve"> </w:t>
      </w:r>
      <w:r w:rsidRPr="00382917">
        <w:t>freed</w:t>
      </w:r>
      <w:r w:rsidR="0040329F">
        <w:t>.</w:t>
      </w:r>
      <w:r w:rsidR="00EE4FC3">
        <w:t xml:space="preserve">  </w:t>
      </w:r>
      <w:r w:rsidRPr="00382917">
        <w:t>Ṭáhirih</w:t>
      </w:r>
      <w:r w:rsidR="00EE4FC3">
        <w:t xml:space="preserve"> </w:t>
      </w:r>
      <w:r w:rsidRPr="00382917">
        <w:t>was</w:t>
      </w:r>
      <w:r w:rsidR="00EE4FC3">
        <w:t xml:space="preserve"> </w:t>
      </w:r>
      <w:r w:rsidRPr="00382917">
        <w:t>returned</w:t>
      </w:r>
      <w:r w:rsidR="00EE4FC3">
        <w:t xml:space="preserve"> </w:t>
      </w:r>
      <w:r w:rsidRPr="00382917">
        <w:t>to</w:t>
      </w:r>
      <w:r w:rsidR="00EE4FC3">
        <w:t xml:space="preserve"> </w:t>
      </w:r>
      <w:r w:rsidRPr="00382917">
        <w:t>her</w:t>
      </w:r>
      <w:r w:rsidR="00EE4FC3">
        <w:t xml:space="preserve"> </w:t>
      </w:r>
      <w:r w:rsidRPr="00382917">
        <w:t>father</w:t>
      </w:r>
      <w:r w:rsidR="009C713D" w:rsidRPr="00382917">
        <w:t>’</w:t>
      </w:r>
      <w:r w:rsidRPr="00382917">
        <w:t>s</w:t>
      </w:r>
      <w:r w:rsidR="00EE4FC3">
        <w:t xml:space="preserve"> </w:t>
      </w:r>
      <w:r w:rsidRPr="00382917">
        <w:t>house,</w:t>
      </w:r>
      <w:r w:rsidR="00EE4FC3">
        <w:t xml:space="preserve"> </w:t>
      </w:r>
      <w:r w:rsidRPr="00382917">
        <w:t>still</w:t>
      </w:r>
      <w:r w:rsidR="00EE4FC3">
        <w:t xml:space="preserve"> </w:t>
      </w:r>
      <w:r w:rsidRPr="00382917">
        <w:t>a</w:t>
      </w:r>
      <w:r w:rsidR="00EE4FC3">
        <w:t xml:space="preserve"> </w:t>
      </w:r>
      <w:r w:rsidRPr="00382917">
        <w:t>prisoner</w:t>
      </w:r>
      <w:r w:rsidR="0040329F">
        <w:t>.</w:t>
      </w:r>
      <w:r w:rsidR="00EE4FC3">
        <w:t xml:space="preserve">  </w:t>
      </w:r>
      <w:r w:rsidRPr="00382917">
        <w:t>Her</w:t>
      </w:r>
      <w:r w:rsidR="00EE4FC3">
        <w:t xml:space="preserve"> </w:t>
      </w:r>
      <w:r w:rsidRPr="00382917">
        <w:t>husband</w:t>
      </w:r>
      <w:r w:rsidR="00EE4FC3">
        <w:t xml:space="preserve"> </w:t>
      </w:r>
      <w:r w:rsidRPr="00382917">
        <w:t>made</w:t>
      </w:r>
      <w:r w:rsidR="00EE4FC3">
        <w:t xml:space="preserve"> </w:t>
      </w:r>
      <w:r w:rsidRPr="00382917">
        <w:t>another</w:t>
      </w:r>
      <w:r w:rsidR="00EE4FC3">
        <w:t xml:space="preserve"> </w:t>
      </w:r>
      <w:r w:rsidRPr="00382917">
        <w:t>unsuccessful</w:t>
      </w:r>
      <w:r w:rsidR="00EE4FC3">
        <w:t xml:space="preserve"> </w:t>
      </w:r>
      <w:r w:rsidRPr="00382917">
        <w:t>attempt</w:t>
      </w:r>
      <w:r w:rsidR="00EE4FC3">
        <w:t xml:space="preserve"> </w:t>
      </w:r>
      <w:r w:rsidRPr="00382917">
        <w:t>on</w:t>
      </w:r>
      <w:r w:rsidR="00EE4FC3">
        <w:t xml:space="preserve"> </w:t>
      </w:r>
      <w:r w:rsidRPr="00382917">
        <w:t>her</w:t>
      </w:r>
      <w:r w:rsidR="00EE4FC3">
        <w:t xml:space="preserve"> </w:t>
      </w:r>
      <w:r w:rsidRPr="00382917">
        <w:t>life</w:t>
      </w:r>
      <w:r w:rsidR="00EE4FC3">
        <w:t xml:space="preserve"> </w:t>
      </w:r>
      <w:r w:rsidRPr="00382917">
        <w:t>by</w:t>
      </w:r>
      <w:r w:rsidR="00EE4FC3">
        <w:t xml:space="preserve"> </w:t>
      </w:r>
      <w:r w:rsidRPr="00382917">
        <w:t>trying</w:t>
      </w:r>
      <w:r w:rsidR="00EE4FC3">
        <w:t xml:space="preserve"> </w:t>
      </w:r>
      <w:r w:rsidRPr="00382917">
        <w:t>to</w:t>
      </w:r>
      <w:r w:rsidR="00EE4FC3">
        <w:t xml:space="preserve"> </w:t>
      </w:r>
      <w:r w:rsidRPr="00382917">
        <w:t>poison</w:t>
      </w:r>
      <w:r w:rsidR="00EE4FC3">
        <w:t xml:space="preserve"> </w:t>
      </w:r>
      <w:r w:rsidRPr="00382917">
        <w:t>her,</w:t>
      </w:r>
      <w:r w:rsidR="00EE4FC3">
        <w:t xml:space="preserve"> </w:t>
      </w:r>
      <w:r w:rsidRPr="00382917">
        <w:t>but</w:t>
      </w:r>
      <w:r w:rsidR="00EE4FC3">
        <w:t xml:space="preserve"> </w:t>
      </w:r>
      <w:r w:rsidRPr="00382917">
        <w:t>in</w:t>
      </w:r>
      <w:r w:rsidR="00EE4FC3">
        <w:t xml:space="preserve"> </w:t>
      </w:r>
      <w:r w:rsidRPr="00382917">
        <w:t>spite</w:t>
      </w:r>
      <w:r w:rsidR="00EE4FC3">
        <w:t xml:space="preserve"> </w:t>
      </w:r>
      <w:r w:rsidRPr="00382917">
        <w:t>of</w:t>
      </w:r>
      <w:r w:rsidR="00EE4FC3">
        <w:t xml:space="preserve"> </w:t>
      </w:r>
      <w:r w:rsidRPr="00382917">
        <w:t>all</w:t>
      </w:r>
      <w:r w:rsidR="00EE4FC3">
        <w:t xml:space="preserve"> </w:t>
      </w:r>
      <w:r w:rsidRPr="00382917">
        <w:t>this</w:t>
      </w:r>
      <w:r w:rsidR="00EE4FC3">
        <w:t xml:space="preserve"> </w:t>
      </w:r>
      <w:r w:rsidRPr="00382917">
        <w:t>opposition</w:t>
      </w:r>
      <w:r w:rsidR="00EE4FC3">
        <w:t xml:space="preserve"> </w:t>
      </w:r>
      <w:r w:rsidRPr="00382917">
        <w:t>Ṭáhirih</w:t>
      </w:r>
      <w:r w:rsidR="00EE4FC3">
        <w:t xml:space="preserve"> </w:t>
      </w:r>
      <w:r w:rsidRPr="00382917">
        <w:t>continued</w:t>
      </w:r>
      <w:r w:rsidR="00EE4FC3">
        <w:t xml:space="preserve"> </w:t>
      </w:r>
      <w:r w:rsidRPr="00382917">
        <w:t>to</w:t>
      </w:r>
      <w:r w:rsidR="00EE4FC3">
        <w:t xml:space="preserve"> </w:t>
      </w:r>
      <w:r w:rsidRPr="00382917">
        <w:t>teach</w:t>
      </w:r>
      <w:r w:rsidR="00EE4FC3">
        <w:t xml:space="preserve"> </w:t>
      </w:r>
      <w:r w:rsidRPr="00382917">
        <w:t>many</w:t>
      </w:r>
      <w:r w:rsidR="00EE4FC3">
        <w:t xml:space="preserve"> </w:t>
      </w:r>
      <w:r w:rsidRPr="00382917">
        <w:t>people.</w:t>
      </w:r>
    </w:p>
    <w:p w:rsidR="005B5622" w:rsidRPr="00382917" w:rsidRDefault="005B5622" w:rsidP="00DC1E1B">
      <w:pPr>
        <w:pStyle w:val="Text"/>
      </w:pPr>
      <w:r w:rsidRPr="00382917">
        <w:t>She</w:t>
      </w:r>
      <w:r w:rsidR="00EE4FC3">
        <w:t xml:space="preserve"> </w:t>
      </w:r>
      <w:r w:rsidRPr="00382917">
        <w:t>profoundly</w:t>
      </w:r>
      <w:r w:rsidR="00EE4FC3">
        <w:t xml:space="preserve"> </w:t>
      </w:r>
      <w:r w:rsidRPr="00382917">
        <w:t>affected</w:t>
      </w:r>
      <w:r w:rsidR="00EE4FC3">
        <w:t xml:space="preserve"> </w:t>
      </w:r>
      <w:r w:rsidRPr="00382917">
        <w:t>the</w:t>
      </w:r>
      <w:r w:rsidR="00EE4FC3">
        <w:t xml:space="preserve"> </w:t>
      </w:r>
      <w:r w:rsidRPr="00382917">
        <w:t>city</w:t>
      </w:r>
      <w:r w:rsidR="00EE4FC3">
        <w:t xml:space="preserve"> </w:t>
      </w:r>
      <w:r w:rsidRPr="00382917">
        <w:t>of</w:t>
      </w:r>
      <w:r w:rsidR="00EE4FC3">
        <w:t xml:space="preserve"> </w:t>
      </w:r>
      <w:r w:rsidRPr="00382917">
        <w:t>Qazvín</w:t>
      </w:r>
      <w:r w:rsidR="0040329F">
        <w:t>.</w:t>
      </w:r>
      <w:r w:rsidR="00EE4FC3">
        <w:t xml:space="preserve">  </w:t>
      </w:r>
      <w:r w:rsidRPr="00382917">
        <w:t>Although</w:t>
      </w:r>
      <w:r w:rsidR="00EE4FC3">
        <w:t xml:space="preserve"> </w:t>
      </w:r>
      <w:r w:rsidRPr="00382917">
        <w:t>it</w:t>
      </w:r>
      <w:r w:rsidR="00EE4FC3">
        <w:t xml:space="preserve"> </w:t>
      </w:r>
      <w:r w:rsidRPr="00382917">
        <w:t>prided</w:t>
      </w:r>
      <w:r w:rsidR="00EE4FC3">
        <w:t xml:space="preserve"> </w:t>
      </w:r>
      <w:r w:rsidRPr="00382917">
        <w:t>itself</w:t>
      </w:r>
      <w:r w:rsidR="00EE4FC3">
        <w:t xml:space="preserve"> </w:t>
      </w:r>
      <w:r w:rsidRPr="00382917">
        <w:t>that</w:t>
      </w:r>
      <w:r w:rsidR="00EE4FC3">
        <w:t xml:space="preserve"> </w:t>
      </w:r>
      <w:r w:rsidRPr="00382917">
        <w:t>no</w:t>
      </w:r>
      <w:r w:rsidR="00EE4FC3">
        <w:t xml:space="preserve"> </w:t>
      </w:r>
      <w:r w:rsidRPr="00382917">
        <w:t>fewer</w:t>
      </w:r>
      <w:r w:rsidR="00EE4FC3">
        <w:t xml:space="preserve"> </w:t>
      </w:r>
      <w:r w:rsidRPr="00382917">
        <w:t>than</w:t>
      </w:r>
      <w:r w:rsidR="00EE4FC3">
        <w:t xml:space="preserve"> </w:t>
      </w:r>
      <w:r w:rsidRPr="00382917">
        <w:t>a</w:t>
      </w:r>
      <w:r w:rsidR="00EE4FC3">
        <w:t xml:space="preserve"> </w:t>
      </w:r>
      <w:r w:rsidRPr="00382917">
        <w:t>hundred</w:t>
      </w:r>
      <w:r w:rsidR="00EE4FC3">
        <w:t xml:space="preserve"> </w:t>
      </w:r>
      <w:r w:rsidRPr="00382917">
        <w:t>of</w:t>
      </w:r>
      <w:r w:rsidR="00EE4FC3">
        <w:t xml:space="preserve"> </w:t>
      </w:r>
      <w:r w:rsidRPr="00382917">
        <w:t>the</w:t>
      </w:r>
      <w:r w:rsidR="00EE4FC3">
        <w:t xml:space="preserve"> </w:t>
      </w:r>
      <w:r w:rsidRPr="00382917">
        <w:t>highest</w:t>
      </w:r>
      <w:r w:rsidR="00EE4FC3">
        <w:t xml:space="preserve"> </w:t>
      </w:r>
      <w:r w:rsidRPr="00382917">
        <w:t>religious</w:t>
      </w:r>
      <w:r w:rsidR="00EE4FC3">
        <w:t xml:space="preserve"> </w:t>
      </w:r>
      <w:r w:rsidRPr="00382917">
        <w:t>leaders</w:t>
      </w:r>
      <w:r w:rsidR="00EE4FC3">
        <w:t xml:space="preserve"> </w:t>
      </w:r>
      <w:r w:rsidRPr="00382917">
        <w:t>of</w:t>
      </w:r>
      <w:r w:rsidR="00EE4FC3">
        <w:t xml:space="preserve"> </w:t>
      </w:r>
      <w:r w:rsidR="00B529E0" w:rsidRPr="00382917">
        <w:t>Islám</w:t>
      </w:r>
      <w:r w:rsidR="00EE4FC3">
        <w:t xml:space="preserve"> </w:t>
      </w:r>
      <w:r w:rsidRPr="00382917">
        <w:t>dwelt</w:t>
      </w:r>
      <w:r w:rsidR="00EE4FC3">
        <w:t xml:space="preserve"> </w:t>
      </w:r>
      <w:r w:rsidRPr="00382917">
        <w:t>within</w:t>
      </w:r>
      <w:r w:rsidR="00EE4FC3">
        <w:t xml:space="preserve"> </w:t>
      </w:r>
      <w:r w:rsidRPr="00382917">
        <w:t>its</w:t>
      </w:r>
      <w:r w:rsidR="00EE4FC3">
        <w:t xml:space="preserve"> </w:t>
      </w:r>
      <w:r w:rsidRPr="00382917">
        <w:t>gates,</w:t>
      </w:r>
      <w:r w:rsidR="00EE4FC3">
        <w:t xml:space="preserve"> </w:t>
      </w:r>
      <w:r w:rsidRPr="00382917">
        <w:t>though</w:t>
      </w:r>
      <w:r w:rsidR="00EE4FC3">
        <w:t xml:space="preserve"> </w:t>
      </w:r>
      <w:r w:rsidRPr="00382917">
        <w:t>she</w:t>
      </w:r>
      <w:r w:rsidR="00EE4FC3">
        <w:t xml:space="preserve"> </w:t>
      </w:r>
      <w:r w:rsidRPr="00382917">
        <w:t>was</w:t>
      </w:r>
      <w:r w:rsidR="00EE4FC3">
        <w:t xml:space="preserve"> </w:t>
      </w:r>
      <w:r w:rsidRPr="00382917">
        <w:t>a</w:t>
      </w:r>
      <w:r w:rsidR="00EE4FC3">
        <w:t xml:space="preserve"> </w:t>
      </w:r>
      <w:r w:rsidRPr="00382917">
        <w:t>prisoner</w:t>
      </w:r>
      <w:r w:rsidR="00EE4FC3">
        <w:t xml:space="preserve"> </w:t>
      </w:r>
      <w:r w:rsidRPr="00382917">
        <w:t>for</w:t>
      </w:r>
      <w:r w:rsidR="00EE4FC3">
        <w:t xml:space="preserve"> </w:t>
      </w:r>
      <w:r w:rsidRPr="00382917">
        <w:t>much</w:t>
      </w:r>
      <w:r w:rsidR="00EE4FC3">
        <w:t xml:space="preserve"> </w:t>
      </w:r>
      <w:r w:rsidRPr="00382917">
        <w:t>of</w:t>
      </w:r>
      <w:r w:rsidR="00EE4FC3">
        <w:t xml:space="preserve"> </w:t>
      </w:r>
      <w:r w:rsidRPr="00382917">
        <w:t>her</w:t>
      </w:r>
      <w:r w:rsidR="00EE4FC3">
        <w:t xml:space="preserve"> </w:t>
      </w:r>
      <w:r w:rsidRPr="00382917">
        <w:t>stay,</w:t>
      </w:r>
      <w:r w:rsidR="00EE4FC3">
        <w:t xml:space="preserve"> </w:t>
      </w:r>
      <w:r w:rsidRPr="00382917">
        <w:t>Ṭáhirih</w:t>
      </w:r>
      <w:r w:rsidR="009C713D" w:rsidRPr="00382917">
        <w:t>’</w:t>
      </w:r>
      <w:r w:rsidRPr="00382917">
        <w:t>s</w:t>
      </w:r>
      <w:r w:rsidR="00EE4FC3">
        <w:t xml:space="preserve"> </w:t>
      </w:r>
      <w:r w:rsidRPr="00382917">
        <w:t>triumphs</w:t>
      </w:r>
      <w:r w:rsidR="00EE4FC3">
        <w:t xml:space="preserve"> </w:t>
      </w:r>
      <w:r w:rsidRPr="00382917">
        <w:t>were</w:t>
      </w:r>
      <w:r w:rsidR="00EE4FC3">
        <w:t xml:space="preserve"> </w:t>
      </w:r>
      <w:r w:rsidRPr="00382917">
        <w:t>greater</w:t>
      </w:r>
      <w:r w:rsidR="00EE4FC3">
        <w:t xml:space="preserve"> </w:t>
      </w:r>
      <w:r w:rsidRPr="00382917">
        <w:t>in</w:t>
      </w:r>
      <w:r w:rsidR="00EE4FC3">
        <w:t xml:space="preserve"> </w:t>
      </w:r>
      <w:r w:rsidRPr="00382917">
        <w:t>Qazvín</w:t>
      </w:r>
      <w:r w:rsidR="00EE4FC3">
        <w:t xml:space="preserve"> </w:t>
      </w:r>
      <w:r w:rsidRPr="00382917">
        <w:t>than</w:t>
      </w:r>
      <w:r w:rsidR="00EE4FC3">
        <w:t xml:space="preserve"> </w:t>
      </w:r>
      <w:r w:rsidRPr="00382917">
        <w:t>any</w:t>
      </w:r>
      <w:r w:rsidR="00EE4FC3">
        <w:t xml:space="preserve"> </w:t>
      </w:r>
      <w:r w:rsidRPr="00382917">
        <w:t>she</w:t>
      </w:r>
      <w:r w:rsidR="00EE4FC3">
        <w:t xml:space="preserve"> </w:t>
      </w:r>
      <w:r w:rsidRPr="00382917">
        <w:t>had</w:t>
      </w:r>
      <w:r w:rsidR="00EE4FC3">
        <w:t xml:space="preserve"> </w:t>
      </w:r>
      <w:r w:rsidRPr="00382917">
        <w:t>yet</w:t>
      </w:r>
      <w:r w:rsidR="00EE4FC3">
        <w:t xml:space="preserve"> </w:t>
      </w:r>
      <w:r w:rsidRPr="00382917">
        <w:t>won.</w:t>
      </w:r>
      <w:r w:rsidR="00DC1E1B">
        <w:rPr>
          <w:rStyle w:val="FootnoteReference"/>
        </w:rPr>
        <w:footnoteReference w:id="149"/>
      </w:r>
    </w:p>
    <w:p w:rsidR="00E13D49" w:rsidRPr="00382917" w:rsidRDefault="005B5622" w:rsidP="00DC1E1B">
      <w:pPr>
        <w:pStyle w:val="Text"/>
      </w:pPr>
      <w:r w:rsidRPr="00382917">
        <w:t>The</w:t>
      </w:r>
      <w:r w:rsidR="00EE4FC3">
        <w:t xml:space="preserve"> </w:t>
      </w:r>
      <w:r w:rsidR="001713B3" w:rsidRPr="001713B3">
        <w:rPr>
          <w:i/>
          <w:iCs/>
        </w:rPr>
        <w:t>Journal</w:t>
      </w:r>
      <w:r w:rsidR="00EE4FC3">
        <w:rPr>
          <w:i/>
          <w:iCs/>
        </w:rPr>
        <w:t xml:space="preserve"> </w:t>
      </w:r>
      <w:proofErr w:type="spellStart"/>
      <w:r w:rsidR="001713B3" w:rsidRPr="001713B3">
        <w:rPr>
          <w:i/>
          <w:iCs/>
        </w:rPr>
        <w:t>Asiatique</w:t>
      </w:r>
      <w:proofErr w:type="spellEnd"/>
      <w:r w:rsidR="00EE4FC3">
        <w:t xml:space="preserve"> </w:t>
      </w:r>
      <w:r w:rsidRPr="00382917">
        <w:t>in</w:t>
      </w:r>
      <w:r w:rsidR="00EE4FC3">
        <w:t xml:space="preserve"> </w:t>
      </w:r>
      <w:r w:rsidRPr="00382917">
        <w:t>a</w:t>
      </w:r>
      <w:r w:rsidR="00EE4FC3">
        <w:t xml:space="preserve"> </w:t>
      </w:r>
      <w:r w:rsidRPr="00382917">
        <w:t>study</w:t>
      </w:r>
      <w:r w:rsidR="00EE4FC3">
        <w:t xml:space="preserve"> </w:t>
      </w:r>
      <w:r w:rsidRPr="00382917">
        <w:t>of</w:t>
      </w:r>
      <w:r w:rsidR="00EE4FC3">
        <w:t xml:space="preserve"> </w:t>
      </w:r>
      <w:r w:rsidRPr="00382917">
        <w:t>this</w:t>
      </w:r>
      <w:r w:rsidR="00EE4FC3">
        <w:t xml:space="preserve"> </w:t>
      </w:r>
      <w:r w:rsidRPr="00382917">
        <w:t>period</w:t>
      </w:r>
      <w:r w:rsidR="00EE4FC3">
        <w:t xml:space="preserve"> </w:t>
      </w:r>
      <w:r w:rsidRPr="00382917">
        <w:t>frankly</w:t>
      </w:r>
      <w:r w:rsidR="00EE4FC3">
        <w:t xml:space="preserve"> </w:t>
      </w:r>
      <w:r w:rsidRPr="00382917">
        <w:t>asks</w:t>
      </w:r>
      <w:r w:rsidR="00EE4FC3">
        <w:t xml:space="preserve"> </w:t>
      </w:r>
      <w:r w:rsidRPr="00382917">
        <w:t>the</w:t>
      </w:r>
      <w:r w:rsidR="00EE4FC3">
        <w:t xml:space="preserve"> </w:t>
      </w:r>
      <w:r w:rsidRPr="00382917">
        <w:t>question</w:t>
      </w:r>
      <w:r w:rsidR="00C03C91">
        <w:t>:</w:t>
      </w:r>
      <w:r w:rsidR="00EE4FC3">
        <w:t xml:space="preserve">  </w:t>
      </w:r>
      <w:r w:rsidR="009C713D" w:rsidRPr="00382917">
        <w:t>“</w:t>
      </w:r>
      <w:r w:rsidRPr="00382917">
        <w:t>How,</w:t>
      </w:r>
      <w:r w:rsidR="00EE4FC3">
        <w:t xml:space="preserve"> </w:t>
      </w:r>
      <w:r w:rsidR="00F04416" w:rsidRPr="00382917">
        <w:t>…</w:t>
      </w:r>
      <w:r w:rsidR="00EE4FC3">
        <w:t xml:space="preserve"> </w:t>
      </w:r>
      <w:r w:rsidRPr="00382917">
        <w:t>in</w:t>
      </w:r>
      <w:r w:rsidR="00EE4FC3">
        <w:t xml:space="preserve"> </w:t>
      </w:r>
      <w:r w:rsidRPr="00382917">
        <w:t>a</w:t>
      </w:r>
      <w:r w:rsidR="00EE4FC3">
        <w:t xml:space="preserve"> </w:t>
      </w:r>
      <w:r w:rsidRPr="00382917">
        <w:t>city</w:t>
      </w:r>
      <w:r w:rsidR="00EE4FC3">
        <w:t xml:space="preserve"> </w:t>
      </w:r>
      <w:r w:rsidRPr="00382917">
        <w:t>like</w:t>
      </w:r>
      <w:r w:rsidR="00EE4FC3">
        <w:t xml:space="preserve"> </w:t>
      </w:r>
      <w:r w:rsidRPr="00382917">
        <w:t>Qazvín,</w:t>
      </w:r>
      <w:r w:rsidR="00EE4FC3">
        <w:t xml:space="preserve"> </w:t>
      </w:r>
      <w:r w:rsidRPr="00382917">
        <w:t>where</w:t>
      </w:r>
      <w:r w:rsidR="00EE4FC3">
        <w:t xml:space="preserve"> </w:t>
      </w:r>
      <w:r w:rsidRPr="00382917">
        <w:t>the</w:t>
      </w:r>
      <w:r w:rsidR="00EE4FC3">
        <w:t xml:space="preserve"> </w:t>
      </w:r>
      <w:r w:rsidRPr="00382917">
        <w:t>clergy</w:t>
      </w:r>
      <w:r w:rsidR="00EE4FC3">
        <w:t xml:space="preserve"> </w:t>
      </w:r>
      <w:r w:rsidRPr="00382917">
        <w:t>possessed</w:t>
      </w:r>
      <w:r w:rsidR="00EE4FC3">
        <w:t xml:space="preserve"> </w:t>
      </w:r>
      <w:r w:rsidRPr="00382917">
        <w:t>so</w:t>
      </w:r>
      <w:r w:rsidR="00EE4FC3">
        <w:t xml:space="preserve"> </w:t>
      </w:r>
      <w:r w:rsidRPr="00382917">
        <w:t>great</w:t>
      </w:r>
      <w:r w:rsidR="00EE4FC3">
        <w:t xml:space="preserve"> </w:t>
      </w:r>
      <w:r w:rsidRPr="00382917">
        <w:t>an</w:t>
      </w:r>
      <w:r w:rsidR="00EE4FC3">
        <w:t xml:space="preserve"> </w:t>
      </w:r>
      <w:r w:rsidRPr="00382917">
        <w:t>influence,</w:t>
      </w:r>
      <w:r w:rsidR="00EE4FC3">
        <w:t xml:space="preserve"> </w:t>
      </w:r>
      <w:r w:rsidR="00F04416" w:rsidRPr="00382917">
        <w:t>…</w:t>
      </w:r>
      <w:r w:rsidR="00EE4FC3">
        <w:t xml:space="preserve"> </w:t>
      </w:r>
      <w:r w:rsidRPr="00382917">
        <w:t>how</w:t>
      </w:r>
      <w:r w:rsidR="00EE4FC3">
        <w:t xml:space="preserve"> </w:t>
      </w:r>
      <w:r w:rsidRPr="00382917">
        <w:t>could</w:t>
      </w:r>
      <w:r w:rsidR="00EE4FC3">
        <w:t xml:space="preserve"> </w:t>
      </w:r>
      <w:r w:rsidRPr="00382917">
        <w:t>it</w:t>
      </w:r>
      <w:r w:rsidR="00EE4FC3">
        <w:t xml:space="preserve"> </w:t>
      </w:r>
      <w:r w:rsidRPr="00382917">
        <w:t>be</w:t>
      </w:r>
      <w:r w:rsidR="00EE4FC3">
        <w:t xml:space="preserve"> </w:t>
      </w:r>
      <w:r w:rsidRPr="00382917">
        <w:t>there</w:t>
      </w:r>
      <w:r w:rsidR="00EE4FC3">
        <w:t xml:space="preserve"> </w:t>
      </w:r>
      <w:r w:rsidR="00F04416" w:rsidRPr="00382917">
        <w:t>…</w:t>
      </w:r>
      <w:r w:rsidR="00EE4FC3">
        <w:t xml:space="preserve"> </w:t>
      </w:r>
      <w:r w:rsidRPr="00382917">
        <w:t>a</w:t>
      </w:r>
      <w:r w:rsidR="00EE4FC3">
        <w:t xml:space="preserve"> </w:t>
      </w:r>
      <w:r w:rsidRPr="00382917">
        <w:t>woman</w:t>
      </w:r>
      <w:r w:rsidR="00EE4FC3">
        <w:t xml:space="preserve"> </w:t>
      </w:r>
      <w:r w:rsidRPr="00382917">
        <w:t>could</w:t>
      </w:r>
      <w:r w:rsidR="00EE4FC3">
        <w:t xml:space="preserve"> </w:t>
      </w:r>
      <w:r w:rsidRPr="00382917">
        <w:t>have</w:t>
      </w:r>
      <w:r w:rsidR="00EE4FC3">
        <w:t xml:space="preserve"> </w:t>
      </w:r>
      <w:r w:rsidRPr="00382917">
        <w:t>organized</w:t>
      </w:r>
      <w:r w:rsidR="00EE4FC3">
        <w:t xml:space="preserve"> </w:t>
      </w:r>
      <w:r w:rsidRPr="00382917">
        <w:t>so</w:t>
      </w:r>
      <w:r w:rsidR="00EE4FC3">
        <w:t xml:space="preserve"> </w:t>
      </w:r>
      <w:r w:rsidRPr="00382917">
        <w:t>strong</w:t>
      </w:r>
      <w:r w:rsidR="00EE4FC3">
        <w:t xml:space="preserve"> </w:t>
      </w:r>
      <w:r w:rsidRPr="00382917">
        <w:t>a</w:t>
      </w:r>
      <w:r w:rsidR="00EE4FC3">
        <w:t xml:space="preserve"> </w:t>
      </w:r>
      <w:r w:rsidRPr="00382917">
        <w:t>group</w:t>
      </w:r>
      <w:r w:rsidR="00EE4FC3">
        <w:t xml:space="preserve"> </w:t>
      </w:r>
      <w:r w:rsidRPr="00382917">
        <w:t>of</w:t>
      </w:r>
      <w:r w:rsidR="00EE4FC3">
        <w:t xml:space="preserve"> </w:t>
      </w:r>
      <w:r w:rsidRPr="00382917">
        <w:t>heretics?</w:t>
      </w:r>
      <w:r w:rsidR="009C713D" w:rsidRPr="00382917">
        <w:t>”</w:t>
      </w:r>
      <w:r w:rsidR="00FB0B3D">
        <w:t xml:space="preserve"> </w:t>
      </w:r>
      <w:r w:rsidR="00EE4FC3">
        <w:t xml:space="preserve"> </w:t>
      </w:r>
      <w:r w:rsidRPr="00382917">
        <w:t>This</w:t>
      </w:r>
      <w:r w:rsidR="00EE4FC3">
        <w:t xml:space="preserve"> </w:t>
      </w:r>
      <w:r w:rsidRPr="00382917">
        <w:t>study</w:t>
      </w:r>
      <w:r w:rsidR="00EE4FC3">
        <w:t xml:space="preserve"> </w:t>
      </w:r>
      <w:r w:rsidRPr="00382917">
        <w:t>concludes</w:t>
      </w:r>
      <w:r w:rsidR="00C03C91">
        <w:t>:</w:t>
      </w:r>
      <w:r w:rsidR="00EE4FC3">
        <w:t xml:space="preserve">  </w:t>
      </w:r>
      <w:r w:rsidR="009C713D" w:rsidRPr="00382917">
        <w:t>“</w:t>
      </w:r>
      <w:r w:rsidRPr="00382917">
        <w:t>There</w:t>
      </w:r>
      <w:r w:rsidR="00EE4FC3">
        <w:t xml:space="preserve"> </w:t>
      </w:r>
      <w:r w:rsidRPr="00382917">
        <w:t>lies</w:t>
      </w:r>
      <w:r w:rsidR="00EE4FC3">
        <w:t xml:space="preserve"> </w:t>
      </w:r>
      <w:r w:rsidRPr="00382917">
        <w:t>a</w:t>
      </w:r>
      <w:r w:rsidR="00EE4FC3">
        <w:t xml:space="preserve"> </w:t>
      </w:r>
      <w:r w:rsidRPr="00382917">
        <w:t>question</w:t>
      </w:r>
      <w:r w:rsidR="00EE4FC3">
        <w:t xml:space="preserve"> </w:t>
      </w:r>
      <w:r w:rsidRPr="00382917">
        <w:t>which</w:t>
      </w:r>
      <w:r w:rsidR="00EE4FC3">
        <w:t xml:space="preserve"> </w:t>
      </w:r>
      <w:r w:rsidRPr="00382917">
        <w:t>puzzles</w:t>
      </w:r>
      <w:r w:rsidR="00EE4FC3">
        <w:t xml:space="preserve"> </w:t>
      </w:r>
      <w:r w:rsidRPr="00382917">
        <w:t>even</w:t>
      </w:r>
      <w:r w:rsidR="00EE4FC3">
        <w:t xml:space="preserve"> </w:t>
      </w:r>
      <w:r w:rsidRPr="00382917">
        <w:t>the</w:t>
      </w:r>
      <w:r w:rsidR="00EE4FC3">
        <w:t xml:space="preserve"> </w:t>
      </w:r>
      <w:r w:rsidRPr="00382917">
        <w:t>Persian</w:t>
      </w:r>
      <w:r w:rsidR="00EE4FC3">
        <w:t xml:space="preserve"> </w:t>
      </w:r>
      <w:r w:rsidRPr="00382917">
        <w:t>historian,</w:t>
      </w:r>
      <w:r w:rsidR="00EE4FC3">
        <w:t xml:space="preserve"> </w:t>
      </w:r>
      <w:proofErr w:type="spellStart"/>
      <w:r w:rsidRPr="00382917">
        <w:t>Sipihr</w:t>
      </w:r>
      <w:proofErr w:type="spellEnd"/>
      <w:r w:rsidRPr="00382917">
        <w:t>,</w:t>
      </w:r>
      <w:r w:rsidR="00EE4FC3">
        <w:t xml:space="preserve"> </w:t>
      </w:r>
      <w:r w:rsidRPr="00382917">
        <w:t>for</w:t>
      </w:r>
      <w:r w:rsidR="00EE4FC3">
        <w:t xml:space="preserve"> </w:t>
      </w:r>
      <w:r w:rsidRPr="00382917">
        <w:t>such</w:t>
      </w:r>
      <w:r w:rsidR="00EE4FC3">
        <w:t xml:space="preserve"> </w:t>
      </w:r>
      <w:r w:rsidRPr="00382917">
        <w:t>an</w:t>
      </w:r>
      <w:r w:rsidR="00EE4FC3">
        <w:t xml:space="preserve"> </w:t>
      </w:r>
      <w:r w:rsidRPr="00382917">
        <w:t>occurrence</w:t>
      </w:r>
      <w:r w:rsidR="00EE4FC3">
        <w:t xml:space="preserve"> </w:t>
      </w:r>
      <w:r w:rsidRPr="00382917">
        <w:t>was</w:t>
      </w:r>
      <w:r w:rsidR="00EE4FC3">
        <w:t xml:space="preserve"> </w:t>
      </w:r>
      <w:r w:rsidRPr="00382917">
        <w:t>without</w:t>
      </w:r>
      <w:r w:rsidR="00EE4FC3">
        <w:t xml:space="preserve"> </w:t>
      </w:r>
      <w:r w:rsidRPr="00382917">
        <w:t>precedent.</w:t>
      </w:r>
      <w:r w:rsidR="009C713D" w:rsidRPr="00382917">
        <w:t>”</w:t>
      </w:r>
      <w:r w:rsidR="00DC1E1B">
        <w:rPr>
          <w:rStyle w:val="FootnoteReference"/>
        </w:rPr>
        <w:footnoteReference w:id="150"/>
      </w:r>
    </w:p>
    <w:p w:rsidR="005B5622" w:rsidRPr="00382917" w:rsidRDefault="005B5622" w:rsidP="006340BC">
      <w:pPr>
        <w:pStyle w:val="Text"/>
      </w:pPr>
      <w:r w:rsidRPr="00382917">
        <w:t>The</w:t>
      </w:r>
      <w:r w:rsidR="00EE4FC3">
        <w:t xml:space="preserve"> </w:t>
      </w:r>
      <w:r w:rsidRPr="00382917">
        <w:t>Prime</w:t>
      </w:r>
      <w:r w:rsidR="00EE4FC3">
        <w:t xml:space="preserve"> </w:t>
      </w:r>
      <w:r w:rsidRPr="00382917">
        <w:t>Minister,</w:t>
      </w:r>
      <w:r w:rsidR="00EE4FC3">
        <w:t xml:space="preserve"> </w:t>
      </w:r>
      <w:r w:rsidRPr="00382917">
        <w:t>M</w:t>
      </w:r>
      <w:r w:rsidRPr="00382917">
        <w:rPr>
          <w:sz w:val="22"/>
        </w:rPr>
        <w:t>í</w:t>
      </w:r>
      <w:r w:rsidRPr="00382917">
        <w:t>rzá</w:t>
      </w:r>
      <w:r w:rsidR="00EE4FC3">
        <w:t xml:space="preserve"> </w:t>
      </w:r>
      <w:r w:rsidRPr="00382917">
        <w:t>Taq</w:t>
      </w:r>
      <w:r w:rsidRPr="00382917">
        <w:rPr>
          <w:sz w:val="22"/>
        </w:rPr>
        <w:t>í</w:t>
      </w:r>
      <w:r w:rsidR="00EE4FC3">
        <w:t xml:space="preserve"> </w:t>
      </w:r>
      <w:r w:rsidR="0040329F" w:rsidRPr="0040329F">
        <w:rPr>
          <w:u w:val="single"/>
        </w:rPr>
        <w:t>Kh</w:t>
      </w:r>
      <w:r w:rsidR="0040329F" w:rsidRPr="00382917">
        <w:t>án</w:t>
      </w:r>
      <w:r w:rsidRPr="00382917">
        <w:t>,</w:t>
      </w:r>
      <w:r w:rsidR="00EE4FC3">
        <w:t xml:space="preserve"> </w:t>
      </w:r>
      <w:r w:rsidRPr="00382917">
        <w:t>took</w:t>
      </w:r>
      <w:r w:rsidR="00EE4FC3">
        <w:t xml:space="preserve"> </w:t>
      </w:r>
      <w:r w:rsidRPr="00382917">
        <w:t>no</w:t>
      </w:r>
      <w:r w:rsidR="00EE4FC3">
        <w:t xml:space="preserve"> </w:t>
      </w:r>
      <w:r w:rsidRPr="00382917">
        <w:t>action</w:t>
      </w:r>
      <w:r w:rsidR="00EE4FC3">
        <w:t xml:space="preserve"> </w:t>
      </w:r>
      <w:r w:rsidRPr="00382917">
        <w:t>against</w:t>
      </w:r>
      <w:r w:rsidR="00EE4FC3">
        <w:t xml:space="preserve"> </w:t>
      </w:r>
      <w:r w:rsidRPr="00382917">
        <w:t>those</w:t>
      </w:r>
      <w:r w:rsidR="00EE4FC3">
        <w:t xml:space="preserve"> </w:t>
      </w:r>
      <w:r w:rsidRPr="00382917">
        <w:t>who</w:t>
      </w:r>
      <w:r w:rsidR="00EE4FC3">
        <w:t xml:space="preserve"> </w:t>
      </w:r>
      <w:r w:rsidRPr="00382917">
        <w:t>without</w:t>
      </w:r>
      <w:r w:rsidR="00EE4FC3">
        <w:t xml:space="preserve"> </w:t>
      </w:r>
      <w:r w:rsidRPr="00382917">
        <w:t>reason</w:t>
      </w:r>
      <w:r w:rsidR="00EE4FC3">
        <w:t xml:space="preserve"> </w:t>
      </w:r>
      <w:r w:rsidRPr="00382917">
        <w:t>had</w:t>
      </w:r>
      <w:r w:rsidR="00EE4FC3">
        <w:t xml:space="preserve"> </w:t>
      </w:r>
      <w:r w:rsidRPr="00382917">
        <w:t>plundered</w:t>
      </w:r>
      <w:r w:rsidR="00EE4FC3">
        <w:t xml:space="preserve"> </w:t>
      </w:r>
      <w:r w:rsidRPr="00382917">
        <w:t>and</w:t>
      </w:r>
      <w:r w:rsidR="00EE4FC3">
        <w:t xml:space="preserve"> </w:t>
      </w:r>
      <w:r w:rsidRPr="00382917">
        <w:t>killed</w:t>
      </w:r>
      <w:r w:rsidR="00EE4FC3">
        <w:t xml:space="preserve"> </w:t>
      </w:r>
      <w:r w:rsidRPr="00382917">
        <w:t>the</w:t>
      </w:r>
      <w:r w:rsidR="00EE4FC3">
        <w:t xml:space="preserve"> </w:t>
      </w:r>
      <w:r w:rsidRPr="00382917">
        <w:t>followers</w:t>
      </w:r>
      <w:r w:rsidR="00EE4FC3">
        <w:t xml:space="preserve"> </w:t>
      </w:r>
      <w:r w:rsidRPr="00382917">
        <w:t>of</w:t>
      </w:r>
      <w:r w:rsidR="00EE4FC3">
        <w:t xml:space="preserve"> </w:t>
      </w:r>
      <w:r w:rsidRPr="00382917">
        <w:t>the</w:t>
      </w:r>
      <w:r w:rsidR="00EE4FC3">
        <w:t xml:space="preserve"> </w:t>
      </w:r>
      <w:r w:rsidRPr="00382917">
        <w:t>Báb</w:t>
      </w:r>
      <w:r w:rsidR="00EE4FC3">
        <w:t xml:space="preserve"> </w:t>
      </w:r>
      <w:r w:rsidRPr="00382917">
        <w:t>in</w:t>
      </w:r>
      <w:r w:rsidR="00EE4FC3">
        <w:t xml:space="preserve"> </w:t>
      </w:r>
      <w:r w:rsidRPr="00382917">
        <w:t>Qazvín</w:t>
      </w:r>
      <w:r w:rsidR="0040329F">
        <w:t>.</w:t>
      </w:r>
      <w:r w:rsidR="00EE4FC3">
        <w:t xml:space="preserve">  </w:t>
      </w:r>
      <w:r w:rsidRPr="00382917">
        <w:t>He</w:t>
      </w:r>
      <w:r w:rsidR="00EE4FC3">
        <w:t xml:space="preserve"> </w:t>
      </w:r>
      <w:r w:rsidRPr="00382917">
        <w:t>closed</w:t>
      </w:r>
      <w:r w:rsidR="00EE4FC3">
        <w:t xml:space="preserve"> </w:t>
      </w:r>
      <w:r w:rsidRPr="00382917">
        <w:t>his</w:t>
      </w:r>
      <w:r w:rsidR="00EE4FC3">
        <w:t xml:space="preserve"> </w:t>
      </w:r>
      <w:r w:rsidRPr="00382917">
        <w:t>eyes</w:t>
      </w:r>
      <w:r w:rsidR="00EE4FC3">
        <w:t xml:space="preserve"> </w:t>
      </w:r>
      <w:r w:rsidRPr="00382917">
        <w:t>to</w:t>
      </w:r>
      <w:r w:rsidR="00EE4FC3">
        <w:t xml:space="preserve"> </w:t>
      </w:r>
      <w:r w:rsidRPr="00382917">
        <w:t>the</w:t>
      </w:r>
      <w:r w:rsidR="00EE4FC3">
        <w:t xml:space="preserve"> </w:t>
      </w:r>
      <w:r w:rsidRPr="00382917">
        <w:t>mistake,</w:t>
      </w:r>
      <w:r w:rsidR="00EE4FC3">
        <w:t xml:space="preserve"> </w:t>
      </w:r>
      <w:r w:rsidRPr="00382917">
        <w:t>secretly</w:t>
      </w:r>
      <w:r w:rsidR="00EE4FC3">
        <w:t xml:space="preserve"> </w:t>
      </w:r>
      <w:r w:rsidRPr="00382917">
        <w:t>pleased</w:t>
      </w:r>
      <w:r w:rsidR="0040329F">
        <w:t>.</w:t>
      </w:r>
      <w:r w:rsidR="00EE4FC3">
        <w:t xml:space="preserve">  </w:t>
      </w:r>
      <w:r w:rsidRPr="00382917">
        <w:t>This</w:t>
      </w:r>
      <w:r w:rsidR="00EE4FC3">
        <w:t xml:space="preserve"> </w:t>
      </w:r>
      <w:r w:rsidRPr="00382917">
        <w:t>encouraged</w:t>
      </w:r>
      <w:r w:rsidR="00EE4FC3">
        <w:t xml:space="preserve"> </w:t>
      </w:r>
      <w:r w:rsidRPr="00382917">
        <w:t>the</w:t>
      </w:r>
      <w:r w:rsidR="00EE4FC3">
        <w:t xml:space="preserve"> </w:t>
      </w:r>
      <w:r w:rsidRPr="00382917">
        <w:t>clergy</w:t>
      </w:r>
      <w:r w:rsidR="00EE4FC3">
        <w:t xml:space="preserve"> </w:t>
      </w:r>
      <w:r w:rsidRPr="00382917">
        <w:t>and</w:t>
      </w:r>
      <w:r w:rsidR="00EE4FC3">
        <w:t xml:space="preserve"> </w:t>
      </w:r>
      <w:r w:rsidRPr="00382917">
        <w:t>people</w:t>
      </w:r>
      <w:r w:rsidR="00EE4FC3">
        <w:t xml:space="preserve"> </w:t>
      </w:r>
      <w:r w:rsidRPr="00382917">
        <w:t>of</w:t>
      </w:r>
      <w:r w:rsidR="00EE4FC3">
        <w:t xml:space="preserve"> </w:t>
      </w:r>
      <w:r w:rsidRPr="00382917">
        <w:t>Qazvín</w:t>
      </w:r>
      <w:r w:rsidR="00EE4FC3">
        <w:t xml:space="preserve"> </w:t>
      </w:r>
      <w:r w:rsidRPr="00382917">
        <w:t>to</w:t>
      </w:r>
      <w:r w:rsidR="00EE4FC3">
        <w:t xml:space="preserve"> </w:t>
      </w:r>
      <w:r w:rsidRPr="00382917">
        <w:t>turn</w:t>
      </w:r>
      <w:r w:rsidR="00EE4FC3">
        <w:t xml:space="preserve"> </w:t>
      </w:r>
      <w:r w:rsidRPr="00382917">
        <w:t>once</w:t>
      </w:r>
      <w:r w:rsidR="00EE4FC3">
        <w:t xml:space="preserve"> </w:t>
      </w:r>
      <w:r w:rsidRPr="00382917">
        <w:t>more</w:t>
      </w:r>
      <w:r w:rsidR="00EE4FC3">
        <w:t xml:space="preserve"> </w:t>
      </w:r>
      <w:r w:rsidRPr="00382917">
        <w:t>against</w:t>
      </w:r>
      <w:r w:rsidR="00EE4FC3">
        <w:t xml:space="preserve"> </w:t>
      </w:r>
      <w:r w:rsidRPr="00382917">
        <w:t>Ṭáhirih</w:t>
      </w:r>
      <w:r w:rsidR="0040329F">
        <w:t>.</w:t>
      </w:r>
      <w:r w:rsidR="00EE4FC3">
        <w:t xml:space="preserve">  </w:t>
      </w:r>
      <w:r w:rsidRPr="00382917">
        <w:t>They</w:t>
      </w:r>
      <w:r w:rsidR="00EE4FC3">
        <w:t xml:space="preserve"> </w:t>
      </w:r>
      <w:r w:rsidRPr="00382917">
        <w:t>were</w:t>
      </w:r>
      <w:r w:rsidR="00EE4FC3">
        <w:t xml:space="preserve"> </w:t>
      </w:r>
      <w:r w:rsidRPr="00382917">
        <w:t>determined</w:t>
      </w:r>
      <w:r w:rsidR="00EE4FC3">
        <w:t xml:space="preserve"> </w:t>
      </w:r>
      <w:r w:rsidRPr="00382917">
        <w:t>that</w:t>
      </w:r>
      <w:r w:rsidR="00EE4FC3">
        <w:t xml:space="preserve"> </w:t>
      </w:r>
      <w:r w:rsidRPr="00382917">
        <w:t>she</w:t>
      </w:r>
      <w:r w:rsidR="00EE4FC3">
        <w:t xml:space="preserve"> </w:t>
      </w:r>
      <w:r w:rsidRPr="00382917">
        <w:t>should</w:t>
      </w:r>
      <w:r w:rsidR="00EE4FC3">
        <w:t xml:space="preserve"> </w:t>
      </w:r>
      <w:r w:rsidRPr="00382917">
        <w:t>be</w:t>
      </w:r>
      <w:r w:rsidR="00EE4FC3">
        <w:t xml:space="preserve"> </w:t>
      </w:r>
      <w:r w:rsidRPr="00382917">
        <w:t>slain,</w:t>
      </w:r>
      <w:r w:rsidR="00EE4FC3">
        <w:t xml:space="preserve"> </w:t>
      </w:r>
      <w:r w:rsidRPr="00382917">
        <w:t>quietly</w:t>
      </w:r>
      <w:r w:rsidR="00EE4FC3">
        <w:t xml:space="preserve"> </w:t>
      </w:r>
      <w:r w:rsidRPr="00382917">
        <w:t>if</w:t>
      </w:r>
      <w:r w:rsidR="00EE4FC3">
        <w:t xml:space="preserve"> </w:t>
      </w:r>
      <w:r w:rsidRPr="00382917">
        <w:t>necessary,</w:t>
      </w:r>
      <w:r w:rsidR="00EE4FC3">
        <w:t xml:space="preserve"> </w:t>
      </w:r>
      <w:r w:rsidRPr="00382917">
        <w:t>but</w:t>
      </w:r>
      <w:r w:rsidR="00EE4FC3">
        <w:t xml:space="preserve"> </w:t>
      </w:r>
      <w:r w:rsidRPr="00382917">
        <w:t>as</w:t>
      </w:r>
      <w:r w:rsidR="00EE4FC3">
        <w:t xml:space="preserve"> </w:t>
      </w:r>
      <w:r w:rsidRPr="00382917">
        <w:t>quickly</w:t>
      </w:r>
      <w:r w:rsidR="00EE4FC3">
        <w:t xml:space="preserve"> </w:t>
      </w:r>
      <w:r w:rsidRPr="00382917">
        <w:t>as</w:t>
      </w:r>
      <w:r w:rsidR="00EE4FC3">
        <w:t xml:space="preserve"> </w:t>
      </w:r>
      <w:r w:rsidRPr="00382917">
        <w:t>possible</w:t>
      </w:r>
      <w:r w:rsidR="0040329F">
        <w:t>.</w:t>
      </w:r>
      <w:r w:rsidR="00EE4FC3">
        <w:t xml:space="preserve">  </w:t>
      </w:r>
      <w:r w:rsidRPr="00382917">
        <w:t>She</w:t>
      </w:r>
      <w:r w:rsidR="00EE4FC3">
        <w:t xml:space="preserve"> </w:t>
      </w:r>
      <w:r w:rsidRPr="00382917">
        <w:t>must</w:t>
      </w:r>
      <w:r w:rsidR="00EE4FC3">
        <w:t xml:space="preserve"> </w:t>
      </w:r>
      <w:r w:rsidRPr="00382917">
        <w:t>never</w:t>
      </w:r>
      <w:r w:rsidR="00EE4FC3">
        <w:t xml:space="preserve"> </w:t>
      </w:r>
      <w:r w:rsidRPr="00382917">
        <w:t>leave</w:t>
      </w:r>
      <w:r w:rsidR="00EE4FC3">
        <w:t xml:space="preserve"> </w:t>
      </w:r>
      <w:r w:rsidRPr="00382917">
        <w:t>Qazvín</w:t>
      </w:r>
      <w:r w:rsidR="00EE4FC3">
        <w:t xml:space="preserve"> </w:t>
      </w:r>
      <w:r w:rsidRPr="00382917">
        <w:t>alive.</w:t>
      </w:r>
    </w:p>
    <w:p w:rsidR="005B5622" w:rsidRPr="00382917" w:rsidRDefault="005B5622" w:rsidP="006340BC">
      <w:pPr>
        <w:pStyle w:val="Text"/>
      </w:pPr>
      <w:r w:rsidRPr="00382917">
        <w:t>When</w:t>
      </w:r>
      <w:r w:rsidR="00EE4FC3">
        <w:t xml:space="preserve"> </w:t>
      </w:r>
      <w:r w:rsidRPr="00382917">
        <w:t>word</w:t>
      </w:r>
      <w:r w:rsidR="00EE4FC3">
        <w:t xml:space="preserve"> </w:t>
      </w:r>
      <w:r w:rsidRPr="00382917">
        <w:t>of</w:t>
      </w:r>
      <w:r w:rsidR="00EE4FC3">
        <w:t xml:space="preserve"> </w:t>
      </w:r>
      <w:r w:rsidRPr="00382917">
        <w:t>this</w:t>
      </w:r>
      <w:r w:rsidR="00EE4FC3">
        <w:t xml:space="preserve"> </w:t>
      </w:r>
      <w:r w:rsidRPr="00382917">
        <w:t>new</w:t>
      </w:r>
      <w:r w:rsidR="00EE4FC3">
        <w:t xml:space="preserve"> </w:t>
      </w:r>
      <w:r w:rsidRPr="00382917">
        <w:t>plot</w:t>
      </w:r>
      <w:r w:rsidR="00EE4FC3">
        <w:t xml:space="preserve"> </w:t>
      </w:r>
      <w:r w:rsidRPr="00382917">
        <w:t>reached</w:t>
      </w:r>
      <w:r w:rsidR="00EE4FC3">
        <w:t xml:space="preserve"> </w:t>
      </w:r>
      <w:r w:rsidRPr="00382917">
        <w:t>her,</w:t>
      </w:r>
      <w:r w:rsidR="00EE4FC3">
        <w:t xml:space="preserve"> </w:t>
      </w:r>
      <w:r w:rsidRPr="00382917">
        <w:t>she</w:t>
      </w:r>
      <w:r w:rsidR="00EE4FC3">
        <w:t xml:space="preserve"> </w:t>
      </w:r>
      <w:r w:rsidRPr="00382917">
        <w:t>was</w:t>
      </w:r>
      <w:r w:rsidR="00EE4FC3">
        <w:t xml:space="preserve"> </w:t>
      </w:r>
      <w:r w:rsidRPr="00382917">
        <w:t>unafraid</w:t>
      </w:r>
      <w:r w:rsidR="0040329F">
        <w:t>.</w:t>
      </w:r>
      <w:r w:rsidR="00EE4FC3">
        <w:t xml:space="preserve">  </w:t>
      </w:r>
      <w:r w:rsidRPr="00382917">
        <w:t>She</w:t>
      </w:r>
      <w:r w:rsidR="00EE4FC3">
        <w:t xml:space="preserve"> </w:t>
      </w:r>
      <w:r w:rsidRPr="00382917">
        <w:t>wrote</w:t>
      </w:r>
      <w:r w:rsidR="00EE4FC3">
        <w:t xml:space="preserve"> </w:t>
      </w:r>
      <w:r w:rsidRPr="00382917">
        <w:t>a</w:t>
      </w:r>
      <w:r w:rsidR="00EE4FC3">
        <w:t xml:space="preserve"> </w:t>
      </w:r>
      <w:r w:rsidRPr="00382917">
        <w:t>bold</w:t>
      </w:r>
      <w:r w:rsidR="00EE4FC3">
        <w:t xml:space="preserve"> </w:t>
      </w:r>
      <w:r w:rsidRPr="00382917">
        <w:t>letter</w:t>
      </w:r>
      <w:r w:rsidR="00EE4FC3">
        <w:t xml:space="preserve"> </w:t>
      </w:r>
      <w:r w:rsidRPr="00382917">
        <w:t>to</w:t>
      </w:r>
      <w:r w:rsidR="00EE4FC3">
        <w:t xml:space="preserve"> </w:t>
      </w:r>
      <w:r w:rsidRPr="00382917">
        <w:t>her</w:t>
      </w:r>
      <w:r w:rsidR="00EE4FC3">
        <w:t xml:space="preserve"> </w:t>
      </w:r>
      <w:r w:rsidRPr="00382917">
        <w:t>former</w:t>
      </w:r>
      <w:r w:rsidR="00EE4FC3">
        <w:t xml:space="preserve"> </w:t>
      </w:r>
      <w:r w:rsidRPr="00382917">
        <w:t>husband,</w:t>
      </w:r>
      <w:r w:rsidR="00EE4FC3">
        <w:t xml:space="preserve"> </w:t>
      </w:r>
      <w:r w:rsidRPr="00382917">
        <w:t>now</w:t>
      </w:r>
      <w:r w:rsidR="00EE4FC3">
        <w:t xml:space="preserve"> </w:t>
      </w:r>
      <w:r w:rsidRPr="00382917">
        <w:t>the</w:t>
      </w:r>
      <w:r w:rsidR="00EE4FC3">
        <w:t xml:space="preserve"> </w:t>
      </w:r>
      <w:r w:rsidRPr="00382917">
        <w:t>chief</w:t>
      </w:r>
      <w:r w:rsidR="00EE4FC3">
        <w:t xml:space="preserve"> </w:t>
      </w:r>
      <w:r w:rsidRPr="00382917">
        <w:t>priest</w:t>
      </w:r>
      <w:r w:rsidR="00EE4FC3">
        <w:t xml:space="preserve"> </w:t>
      </w:r>
      <w:r w:rsidRPr="00382917">
        <w:t>of</w:t>
      </w:r>
      <w:r w:rsidR="00EE4FC3">
        <w:t xml:space="preserve"> </w:t>
      </w:r>
      <w:r w:rsidRPr="00382917">
        <w:t>Qazvín</w:t>
      </w:r>
      <w:r w:rsidR="0040329F">
        <w:t>.</w:t>
      </w:r>
      <w:r w:rsidR="00EE4FC3">
        <w:t xml:space="preserve">  </w:t>
      </w:r>
      <w:r w:rsidRPr="00382917">
        <w:t>She</w:t>
      </w:r>
      <w:r w:rsidR="00EE4FC3">
        <w:t xml:space="preserve"> </w:t>
      </w:r>
      <w:r w:rsidRPr="00382917">
        <w:t>dared</w:t>
      </w:r>
      <w:r w:rsidR="00EE4FC3">
        <w:t xml:space="preserve"> </w:t>
      </w:r>
      <w:r w:rsidRPr="00382917">
        <w:t>him</w:t>
      </w:r>
      <w:r w:rsidR="00EE4FC3">
        <w:t xml:space="preserve"> </w:t>
      </w:r>
      <w:r w:rsidRPr="00382917">
        <w:t>to</w:t>
      </w:r>
      <w:r w:rsidR="00EE4FC3">
        <w:t xml:space="preserve"> </w:t>
      </w:r>
      <w:r w:rsidRPr="00382917">
        <w:t>take</w:t>
      </w:r>
      <w:r w:rsidR="00EE4FC3">
        <w:t xml:space="preserve"> </w:t>
      </w:r>
      <w:r w:rsidRPr="00382917">
        <w:t>her</w:t>
      </w:r>
      <w:r w:rsidR="00EE4FC3">
        <w:t xml:space="preserve"> </w:t>
      </w:r>
      <w:r w:rsidRPr="00382917">
        <w:t>life,</w:t>
      </w:r>
      <w:r w:rsidR="00EE4FC3">
        <w:t xml:space="preserve"> </w:t>
      </w:r>
      <w:r w:rsidRPr="00382917">
        <w:t>saying</w:t>
      </w:r>
      <w:r w:rsidR="00C03C91">
        <w:t>:</w:t>
      </w:r>
      <w:r w:rsidR="00EE4FC3">
        <w:t xml:space="preserve">  </w:t>
      </w:r>
      <w:r w:rsidR="009C713D" w:rsidRPr="00382917">
        <w:t>“</w:t>
      </w:r>
      <w:r w:rsidRPr="00382917">
        <w:t>If</w:t>
      </w:r>
      <w:r w:rsidR="00EE4FC3">
        <w:t xml:space="preserve"> </w:t>
      </w:r>
      <w:r w:rsidRPr="00382917">
        <w:t>my</w:t>
      </w:r>
      <w:r w:rsidR="00EE4FC3">
        <w:t xml:space="preserve"> </w:t>
      </w:r>
      <w:r w:rsidRPr="00382917">
        <w:t>Cause</w:t>
      </w:r>
      <w:r w:rsidR="00EE4FC3">
        <w:t xml:space="preserve"> </w:t>
      </w:r>
      <w:r w:rsidRPr="00382917">
        <w:t>is</w:t>
      </w:r>
      <w:r w:rsidR="00EE4FC3">
        <w:t xml:space="preserve"> </w:t>
      </w:r>
      <w:r w:rsidRPr="00382917">
        <w:t>the</w:t>
      </w:r>
      <w:r w:rsidR="00EE4FC3">
        <w:t xml:space="preserve"> </w:t>
      </w:r>
      <w:r w:rsidRPr="00382917">
        <w:t>Cause</w:t>
      </w:r>
      <w:r w:rsidR="00EE4FC3">
        <w:t xml:space="preserve"> </w:t>
      </w:r>
      <w:r w:rsidRPr="00382917">
        <w:t>of</w:t>
      </w:r>
      <w:r w:rsidR="00EE4FC3">
        <w:t xml:space="preserve"> </w:t>
      </w:r>
      <w:r w:rsidRPr="00382917">
        <w:t>Truth,</w:t>
      </w:r>
      <w:r w:rsidR="00EE4FC3">
        <w:t xml:space="preserve"> </w:t>
      </w:r>
      <w:r w:rsidRPr="00382917">
        <w:t>the</w:t>
      </w:r>
      <w:r w:rsidR="00EE4FC3">
        <w:t xml:space="preserve"> </w:t>
      </w:r>
      <w:r w:rsidRPr="00382917">
        <w:t>Lord</w:t>
      </w:r>
      <w:r w:rsidR="00EE4FC3">
        <w:t xml:space="preserve"> </w:t>
      </w:r>
      <w:r w:rsidRPr="00382917">
        <w:t>will</w:t>
      </w:r>
      <w:r w:rsidR="00EE4FC3">
        <w:t xml:space="preserve"> </w:t>
      </w:r>
      <w:r w:rsidRPr="00382917">
        <w:t>deliver</w:t>
      </w:r>
      <w:r w:rsidR="00EE4FC3">
        <w:t xml:space="preserve"> </w:t>
      </w:r>
      <w:r w:rsidRPr="00382917">
        <w:t>me</w:t>
      </w:r>
      <w:r w:rsidR="00EE4FC3">
        <w:t xml:space="preserve"> </w:t>
      </w:r>
      <w:r w:rsidRPr="00382917">
        <w:t>from</w:t>
      </w:r>
      <w:r w:rsidR="00EE4FC3">
        <w:t xml:space="preserve"> </w:t>
      </w:r>
      <w:r w:rsidRPr="00382917">
        <w:t>the</w:t>
      </w:r>
      <w:r w:rsidR="00EE4FC3">
        <w:t xml:space="preserve"> </w:t>
      </w:r>
      <w:r w:rsidRPr="00382917">
        <w:t>yoke</w:t>
      </w:r>
      <w:r w:rsidR="00EE4FC3">
        <w:t xml:space="preserve"> </w:t>
      </w:r>
      <w:r w:rsidRPr="00382917">
        <w:t>of</w:t>
      </w:r>
    </w:p>
    <w:p w:rsidR="006340BC" w:rsidRPr="00382917" w:rsidRDefault="006340BC">
      <w:pPr>
        <w:widowControl/>
        <w:kinsoku/>
        <w:overflowPunct/>
        <w:textAlignment w:val="auto"/>
      </w:pPr>
      <w:r w:rsidRPr="00382917">
        <w:br w:type="page"/>
      </w:r>
    </w:p>
    <w:p w:rsidR="005B5622" w:rsidRPr="00382917" w:rsidRDefault="005B5622" w:rsidP="00570E88">
      <w:pPr>
        <w:pStyle w:val="Textcts"/>
      </w:pPr>
      <w:proofErr w:type="gramStart"/>
      <w:r w:rsidRPr="00382917">
        <w:t>your</w:t>
      </w:r>
      <w:proofErr w:type="gramEnd"/>
      <w:r w:rsidR="00EE4FC3">
        <w:t xml:space="preserve"> </w:t>
      </w:r>
      <w:r w:rsidRPr="00382917">
        <w:t>tyranny</w:t>
      </w:r>
      <w:r w:rsidR="00EE4FC3">
        <w:t xml:space="preserve"> </w:t>
      </w:r>
      <w:r w:rsidRPr="00382917">
        <w:t>before</w:t>
      </w:r>
      <w:r w:rsidR="00EE4FC3">
        <w:t xml:space="preserve"> </w:t>
      </w:r>
      <w:r w:rsidRPr="00382917">
        <w:t>nine</w:t>
      </w:r>
      <w:r w:rsidR="00EE4FC3">
        <w:t xml:space="preserve"> </w:t>
      </w:r>
      <w:r w:rsidRPr="00382917">
        <w:t>days</w:t>
      </w:r>
      <w:r w:rsidR="00EE4FC3">
        <w:t xml:space="preserve"> </w:t>
      </w:r>
      <w:r w:rsidRPr="00382917">
        <w:t>have</w:t>
      </w:r>
      <w:r w:rsidR="00EE4FC3">
        <w:t xml:space="preserve"> </w:t>
      </w:r>
      <w:r w:rsidRPr="00382917">
        <w:t>passed</w:t>
      </w:r>
      <w:r w:rsidR="0040329F">
        <w:t>.</w:t>
      </w:r>
      <w:r w:rsidR="00EE4FC3">
        <w:t xml:space="preserve">  </w:t>
      </w:r>
      <w:r w:rsidRPr="00382917">
        <w:t>Should</w:t>
      </w:r>
      <w:r w:rsidR="00EE4FC3">
        <w:t xml:space="preserve"> </w:t>
      </w:r>
      <w:r w:rsidRPr="00382917">
        <w:t>He</w:t>
      </w:r>
      <w:r w:rsidR="00EE4FC3">
        <w:t xml:space="preserve"> </w:t>
      </w:r>
      <w:r w:rsidRPr="00382917">
        <w:t>fail</w:t>
      </w:r>
      <w:r w:rsidR="00EE4FC3">
        <w:t xml:space="preserve"> </w:t>
      </w:r>
      <w:r w:rsidRPr="00382917">
        <w:t>to</w:t>
      </w:r>
      <w:r w:rsidR="00EE4FC3">
        <w:t xml:space="preserve"> </w:t>
      </w:r>
      <w:r w:rsidRPr="00382917">
        <w:t>rescue</w:t>
      </w:r>
      <w:r w:rsidR="00EE4FC3">
        <w:t xml:space="preserve"> </w:t>
      </w:r>
      <w:r w:rsidRPr="00382917">
        <w:t>me,</w:t>
      </w:r>
      <w:r w:rsidR="00EE4FC3">
        <w:t xml:space="preserve"> </w:t>
      </w:r>
      <w:r w:rsidRPr="00382917">
        <w:t>you</w:t>
      </w:r>
      <w:r w:rsidR="00EE4FC3">
        <w:t xml:space="preserve"> </w:t>
      </w:r>
      <w:r w:rsidRPr="00382917">
        <w:t>are</w:t>
      </w:r>
      <w:r w:rsidR="00EE4FC3">
        <w:t xml:space="preserve"> </w:t>
      </w:r>
      <w:r w:rsidRPr="00382917">
        <w:t>free</w:t>
      </w:r>
      <w:r w:rsidR="00EE4FC3">
        <w:t xml:space="preserve"> </w:t>
      </w:r>
      <w:r w:rsidRPr="00382917">
        <w:t>to</w:t>
      </w:r>
      <w:r w:rsidR="00EE4FC3">
        <w:t xml:space="preserve"> </w:t>
      </w:r>
      <w:r w:rsidRPr="00382917">
        <w:t>do</w:t>
      </w:r>
      <w:r w:rsidR="00EE4FC3">
        <w:t xml:space="preserve"> </w:t>
      </w:r>
      <w:r w:rsidRPr="00382917">
        <w:t>with</w:t>
      </w:r>
      <w:r w:rsidR="00EE4FC3">
        <w:t xml:space="preserve"> </w:t>
      </w:r>
      <w:r w:rsidRPr="00382917">
        <w:t>me</w:t>
      </w:r>
      <w:r w:rsidR="00EE4FC3">
        <w:t xml:space="preserve"> </w:t>
      </w:r>
      <w:r w:rsidRPr="00382917">
        <w:t>as</w:t>
      </w:r>
      <w:r w:rsidR="00EE4FC3">
        <w:t xml:space="preserve"> </w:t>
      </w:r>
      <w:r w:rsidRPr="00382917">
        <w:t>you</w:t>
      </w:r>
      <w:r w:rsidR="00EE4FC3">
        <w:t xml:space="preserve"> </w:t>
      </w:r>
      <w:r w:rsidRPr="00382917">
        <w:t>wish.</w:t>
      </w:r>
      <w:r w:rsidR="009C713D" w:rsidRPr="00382917">
        <w:t>”</w:t>
      </w:r>
      <w:r w:rsidR="00570E88">
        <w:rPr>
          <w:rStyle w:val="FootnoteReference"/>
        </w:rPr>
        <w:footnoteReference w:id="151"/>
      </w:r>
    </w:p>
    <w:p w:rsidR="005B5622" w:rsidRPr="00382917" w:rsidRDefault="005B5622" w:rsidP="006340BC">
      <w:pPr>
        <w:pStyle w:val="Text"/>
      </w:pPr>
      <w:r w:rsidRPr="00382917">
        <w:t>From</w:t>
      </w:r>
      <w:r w:rsidR="00EE4FC3">
        <w:t xml:space="preserve"> </w:t>
      </w:r>
      <w:r w:rsidRPr="00382917">
        <w:t>that</w:t>
      </w:r>
      <w:r w:rsidR="00EE4FC3">
        <w:t xml:space="preserve"> </w:t>
      </w:r>
      <w:r w:rsidRPr="00382917">
        <w:t>moment</w:t>
      </w:r>
      <w:r w:rsidR="00EE4FC3">
        <w:t xml:space="preserve"> </w:t>
      </w:r>
      <w:r w:rsidRPr="00382917">
        <w:t>on,</w:t>
      </w:r>
      <w:r w:rsidR="00EE4FC3">
        <w:t xml:space="preserve"> </w:t>
      </w:r>
      <w:r w:rsidRPr="00382917">
        <w:t>Ṭáhirih</w:t>
      </w:r>
      <w:r w:rsidR="00EE4FC3">
        <w:t xml:space="preserve"> </w:t>
      </w:r>
      <w:r w:rsidRPr="00382917">
        <w:t>was</w:t>
      </w:r>
      <w:r w:rsidR="00EE4FC3">
        <w:t xml:space="preserve"> </w:t>
      </w:r>
      <w:r w:rsidRPr="00382917">
        <w:t>watched</w:t>
      </w:r>
      <w:r w:rsidR="00EE4FC3">
        <w:t xml:space="preserve"> </w:t>
      </w:r>
      <w:r w:rsidRPr="00382917">
        <w:t>more</w:t>
      </w:r>
      <w:r w:rsidR="00EE4FC3">
        <w:t xml:space="preserve"> </w:t>
      </w:r>
      <w:r w:rsidRPr="00382917">
        <w:t>closely</w:t>
      </w:r>
      <w:r w:rsidR="00EE4FC3">
        <w:t xml:space="preserve"> </w:t>
      </w:r>
      <w:r w:rsidRPr="00382917">
        <w:t>than</w:t>
      </w:r>
      <w:r w:rsidR="00EE4FC3">
        <w:t xml:space="preserve"> </w:t>
      </w:r>
      <w:r w:rsidRPr="00382917">
        <w:t>ever,</w:t>
      </w:r>
      <w:r w:rsidR="00EE4FC3">
        <w:t xml:space="preserve"> </w:t>
      </w:r>
      <w:r w:rsidRPr="00382917">
        <w:t>but</w:t>
      </w:r>
      <w:r w:rsidR="00EE4FC3">
        <w:t xml:space="preserve"> </w:t>
      </w:r>
      <w:r w:rsidRPr="00382917">
        <w:t>in</w:t>
      </w:r>
      <w:r w:rsidR="00EE4FC3">
        <w:t xml:space="preserve"> </w:t>
      </w:r>
      <w:r w:rsidRPr="00382917">
        <w:t>spite</w:t>
      </w:r>
      <w:r w:rsidR="00EE4FC3">
        <w:t xml:space="preserve"> </w:t>
      </w:r>
      <w:r w:rsidRPr="00382917">
        <w:t>of</w:t>
      </w:r>
      <w:r w:rsidR="00EE4FC3">
        <w:t xml:space="preserve"> </w:t>
      </w:r>
      <w:r w:rsidRPr="00382917">
        <w:t>all</w:t>
      </w:r>
      <w:r w:rsidR="00EE4FC3">
        <w:t xml:space="preserve"> </w:t>
      </w:r>
      <w:r w:rsidRPr="00382917">
        <w:t>their</w:t>
      </w:r>
      <w:r w:rsidR="00EE4FC3">
        <w:t xml:space="preserve"> </w:t>
      </w:r>
      <w:r w:rsidRPr="00382917">
        <w:t>efforts,</w:t>
      </w:r>
      <w:r w:rsidR="00EE4FC3">
        <w:t xml:space="preserve"> </w:t>
      </w:r>
      <w:r w:rsidRPr="00382917">
        <w:t>on</w:t>
      </w:r>
      <w:r w:rsidR="00EE4FC3">
        <w:t xml:space="preserve"> </w:t>
      </w:r>
      <w:r w:rsidRPr="00382917">
        <w:t>the</w:t>
      </w:r>
      <w:r w:rsidR="00EE4FC3">
        <w:t xml:space="preserve"> </w:t>
      </w:r>
      <w:r w:rsidRPr="00382917">
        <w:t>ninth</w:t>
      </w:r>
      <w:r w:rsidR="00EE4FC3">
        <w:t xml:space="preserve"> </w:t>
      </w:r>
      <w:r w:rsidRPr="00382917">
        <w:t>day</w:t>
      </w:r>
      <w:r w:rsidR="00EE4FC3">
        <w:t xml:space="preserve"> </w:t>
      </w:r>
      <w:r w:rsidRPr="00382917">
        <w:t>she</w:t>
      </w:r>
      <w:r w:rsidR="00EE4FC3">
        <w:t xml:space="preserve"> </w:t>
      </w:r>
      <w:r w:rsidRPr="00382917">
        <w:t>escaped</w:t>
      </w:r>
      <w:r w:rsidR="00EE4FC3">
        <w:t xml:space="preserve"> </w:t>
      </w:r>
      <w:r w:rsidRPr="00382917">
        <w:t>quietly</w:t>
      </w:r>
      <w:r w:rsidR="00EE4FC3">
        <w:t xml:space="preserve"> </w:t>
      </w:r>
      <w:r w:rsidRPr="00382917">
        <w:t>in</w:t>
      </w:r>
      <w:r w:rsidR="00EE4FC3">
        <w:t xml:space="preserve"> </w:t>
      </w:r>
      <w:r w:rsidRPr="00382917">
        <w:t>the</w:t>
      </w:r>
      <w:r w:rsidR="00EE4FC3">
        <w:t xml:space="preserve"> </w:t>
      </w:r>
      <w:r w:rsidRPr="00382917">
        <w:t>night</w:t>
      </w:r>
      <w:r w:rsidR="0040329F">
        <w:t>.</w:t>
      </w:r>
      <w:r w:rsidR="00EE4FC3">
        <w:t xml:space="preserve">  </w:t>
      </w:r>
      <w:r w:rsidRPr="00382917">
        <w:t>Her</w:t>
      </w:r>
      <w:r w:rsidR="00EE4FC3">
        <w:t xml:space="preserve"> </w:t>
      </w:r>
      <w:r w:rsidRPr="00382917">
        <w:t>sudden</w:t>
      </w:r>
      <w:r w:rsidR="00EE4FC3">
        <w:t xml:space="preserve"> </w:t>
      </w:r>
      <w:r w:rsidRPr="00382917">
        <w:t>and</w:t>
      </w:r>
      <w:r w:rsidR="00EE4FC3">
        <w:t xml:space="preserve"> </w:t>
      </w:r>
      <w:r w:rsidRPr="00382917">
        <w:t>mysterious</w:t>
      </w:r>
      <w:r w:rsidR="00EE4FC3">
        <w:t xml:space="preserve"> </w:t>
      </w:r>
      <w:r w:rsidRPr="00382917">
        <w:t>removal</w:t>
      </w:r>
      <w:r w:rsidR="00EE4FC3">
        <w:t xml:space="preserve"> </w:t>
      </w:r>
      <w:r w:rsidRPr="00382917">
        <w:t>filled</w:t>
      </w:r>
      <w:r w:rsidR="00EE4FC3">
        <w:t xml:space="preserve"> </w:t>
      </w:r>
      <w:r w:rsidRPr="00382917">
        <w:t>her</w:t>
      </w:r>
      <w:r w:rsidR="00EE4FC3">
        <w:t xml:space="preserve"> </w:t>
      </w:r>
      <w:r w:rsidRPr="00382917">
        <w:t>foes</w:t>
      </w:r>
      <w:r w:rsidR="00EE4FC3">
        <w:t xml:space="preserve"> </w:t>
      </w:r>
      <w:r w:rsidRPr="00382917">
        <w:t>with</w:t>
      </w:r>
      <w:r w:rsidR="00EE4FC3">
        <w:t xml:space="preserve"> </w:t>
      </w:r>
      <w:r w:rsidRPr="00382917">
        <w:t>fear</w:t>
      </w:r>
      <w:r w:rsidR="00EE4FC3">
        <w:t xml:space="preserve"> </w:t>
      </w:r>
      <w:r w:rsidRPr="00382917">
        <w:t>and</w:t>
      </w:r>
      <w:r w:rsidR="00EE4FC3">
        <w:t xml:space="preserve"> </w:t>
      </w:r>
      <w:r w:rsidRPr="00382917">
        <w:t>her</w:t>
      </w:r>
      <w:r w:rsidR="00EE4FC3">
        <w:t xml:space="preserve"> </w:t>
      </w:r>
      <w:r w:rsidRPr="00382917">
        <w:t>friends</w:t>
      </w:r>
      <w:r w:rsidR="00EE4FC3">
        <w:t xml:space="preserve"> </w:t>
      </w:r>
      <w:r w:rsidRPr="00382917">
        <w:t>with</w:t>
      </w:r>
      <w:r w:rsidR="00EE4FC3">
        <w:t xml:space="preserve"> </w:t>
      </w:r>
      <w:r w:rsidRPr="00382917">
        <w:t>concern</w:t>
      </w:r>
      <w:r w:rsidR="0040329F">
        <w:t>.</w:t>
      </w:r>
      <w:r w:rsidR="00EE4FC3">
        <w:t xml:space="preserve">  </w:t>
      </w:r>
      <w:r w:rsidRPr="00382917">
        <w:t>The</w:t>
      </w:r>
      <w:r w:rsidR="00EE4FC3">
        <w:t xml:space="preserve"> </w:t>
      </w:r>
      <w:r w:rsidRPr="00382917">
        <w:t>authorities</w:t>
      </w:r>
      <w:r w:rsidR="00EE4FC3">
        <w:t xml:space="preserve"> </w:t>
      </w:r>
      <w:r w:rsidRPr="00382917">
        <w:t>immediately</w:t>
      </w:r>
      <w:r w:rsidR="00EE4FC3">
        <w:t xml:space="preserve"> </w:t>
      </w:r>
      <w:r w:rsidRPr="00382917">
        <w:t>entered</w:t>
      </w:r>
      <w:r w:rsidR="00EE4FC3">
        <w:t xml:space="preserve"> </w:t>
      </w:r>
      <w:r w:rsidRPr="00382917">
        <w:t>every</w:t>
      </w:r>
      <w:r w:rsidR="00EE4FC3">
        <w:t xml:space="preserve"> </w:t>
      </w:r>
      <w:r w:rsidRPr="00382917">
        <w:t>house</w:t>
      </w:r>
      <w:r w:rsidR="00EE4FC3">
        <w:t xml:space="preserve"> </w:t>
      </w:r>
      <w:r w:rsidRPr="00382917">
        <w:t>in</w:t>
      </w:r>
      <w:r w:rsidR="00EE4FC3">
        <w:t xml:space="preserve"> </w:t>
      </w:r>
      <w:r w:rsidRPr="00382917">
        <w:t>Qazvin</w:t>
      </w:r>
      <w:r w:rsidR="00EE4FC3">
        <w:t xml:space="preserve"> </w:t>
      </w:r>
      <w:r w:rsidRPr="00382917">
        <w:t>and</w:t>
      </w:r>
      <w:r w:rsidR="00EE4FC3">
        <w:t xml:space="preserve"> </w:t>
      </w:r>
      <w:r w:rsidRPr="00382917">
        <w:t>searched</w:t>
      </w:r>
      <w:r w:rsidR="00EE4FC3">
        <w:t xml:space="preserve"> </w:t>
      </w:r>
      <w:r w:rsidRPr="00382917">
        <w:t>all</w:t>
      </w:r>
      <w:r w:rsidR="00EE4FC3">
        <w:t xml:space="preserve"> </w:t>
      </w:r>
      <w:r w:rsidRPr="00382917">
        <w:t>night</w:t>
      </w:r>
      <w:r w:rsidR="00EE4FC3">
        <w:t xml:space="preserve"> </w:t>
      </w:r>
      <w:r w:rsidRPr="00382917">
        <w:t>for</w:t>
      </w:r>
      <w:r w:rsidR="00EE4FC3">
        <w:t xml:space="preserve"> </w:t>
      </w:r>
      <w:r w:rsidRPr="00382917">
        <w:t>her</w:t>
      </w:r>
      <w:r w:rsidR="0040329F">
        <w:t>.</w:t>
      </w:r>
      <w:r w:rsidR="00EE4FC3">
        <w:t xml:space="preserve">  </w:t>
      </w:r>
      <w:r w:rsidRPr="00382917">
        <w:t>They</w:t>
      </w:r>
      <w:r w:rsidR="00EE4FC3">
        <w:t xml:space="preserve"> </w:t>
      </w:r>
      <w:r w:rsidRPr="00382917">
        <w:t>were</w:t>
      </w:r>
      <w:r w:rsidR="00EE4FC3">
        <w:t xml:space="preserve"> </w:t>
      </w:r>
      <w:r w:rsidRPr="00382917">
        <w:t>both</w:t>
      </w:r>
      <w:r w:rsidR="00EE4FC3">
        <w:t xml:space="preserve"> </w:t>
      </w:r>
      <w:r w:rsidRPr="00382917">
        <w:t>angered</w:t>
      </w:r>
      <w:r w:rsidR="00EE4FC3">
        <w:t xml:space="preserve"> </w:t>
      </w:r>
      <w:r w:rsidRPr="00382917">
        <w:t>and</w:t>
      </w:r>
      <w:r w:rsidR="00EE4FC3">
        <w:t xml:space="preserve"> </w:t>
      </w:r>
      <w:r w:rsidRPr="00382917">
        <w:t>baffled</w:t>
      </w:r>
      <w:r w:rsidR="00EE4FC3">
        <w:t xml:space="preserve"> </w:t>
      </w:r>
      <w:r w:rsidRPr="00382917">
        <w:t>by</w:t>
      </w:r>
      <w:r w:rsidR="00EE4FC3">
        <w:t xml:space="preserve"> </w:t>
      </w:r>
      <w:r w:rsidRPr="00382917">
        <w:t>her</w:t>
      </w:r>
      <w:r w:rsidR="00EE4FC3">
        <w:t xml:space="preserve"> </w:t>
      </w:r>
      <w:r w:rsidRPr="00382917">
        <w:t>disappearance,</w:t>
      </w:r>
      <w:r w:rsidR="00EE4FC3">
        <w:t xml:space="preserve"> </w:t>
      </w:r>
      <w:r w:rsidRPr="00382917">
        <w:t>and</w:t>
      </w:r>
      <w:r w:rsidR="00EE4FC3">
        <w:t xml:space="preserve"> </w:t>
      </w:r>
      <w:r w:rsidRPr="00382917">
        <w:t>the</w:t>
      </w:r>
      <w:r w:rsidR="00EE4FC3">
        <w:t xml:space="preserve"> </w:t>
      </w:r>
      <w:proofErr w:type="spellStart"/>
      <w:r w:rsidRPr="00382917">
        <w:t>fulfillment</w:t>
      </w:r>
      <w:proofErr w:type="spellEnd"/>
      <w:r w:rsidR="00EE4FC3">
        <w:t xml:space="preserve"> </w:t>
      </w:r>
      <w:r w:rsidRPr="00382917">
        <w:t>of</w:t>
      </w:r>
      <w:r w:rsidR="00EE4FC3">
        <w:t xml:space="preserve"> </w:t>
      </w:r>
      <w:r w:rsidRPr="00382917">
        <w:t>the</w:t>
      </w:r>
      <w:r w:rsidR="00EE4FC3">
        <w:t xml:space="preserve"> </w:t>
      </w:r>
      <w:r w:rsidRPr="00382917">
        <w:t>prediction</w:t>
      </w:r>
      <w:r w:rsidR="00EE4FC3">
        <w:t xml:space="preserve"> </w:t>
      </w:r>
      <w:r w:rsidRPr="00382917">
        <w:t>she</w:t>
      </w:r>
      <w:r w:rsidR="00EE4FC3">
        <w:t xml:space="preserve"> </w:t>
      </w:r>
      <w:r w:rsidRPr="00382917">
        <w:t>had</w:t>
      </w:r>
      <w:r w:rsidR="00EE4FC3">
        <w:t xml:space="preserve"> </w:t>
      </w:r>
      <w:r w:rsidRPr="00382917">
        <w:t>uttered.</w:t>
      </w:r>
    </w:p>
    <w:p w:rsidR="005B5622" w:rsidRPr="00382917" w:rsidRDefault="005B5622" w:rsidP="006340BC">
      <w:pPr>
        <w:pStyle w:val="Text"/>
      </w:pPr>
      <w:r w:rsidRPr="00382917">
        <w:t>Meanwhile</w:t>
      </w:r>
      <w:r w:rsidR="00EE4FC3">
        <w:t xml:space="preserve"> </w:t>
      </w:r>
      <w:r w:rsidRPr="00382917">
        <w:t>Ṭáhirih</w:t>
      </w:r>
      <w:r w:rsidR="00EE4FC3">
        <w:t xml:space="preserve"> </w:t>
      </w:r>
      <w:r w:rsidRPr="00382917">
        <w:t>was</w:t>
      </w:r>
      <w:r w:rsidR="00EE4FC3">
        <w:t xml:space="preserve"> </w:t>
      </w:r>
      <w:r w:rsidRPr="00382917">
        <w:t>in</w:t>
      </w:r>
      <w:r w:rsidR="00EE4FC3">
        <w:t xml:space="preserve"> </w:t>
      </w:r>
      <w:r w:rsidRPr="00382917">
        <w:t>the</w:t>
      </w:r>
      <w:r w:rsidR="00EE4FC3">
        <w:t xml:space="preserve"> </w:t>
      </w:r>
      <w:r w:rsidRPr="00382917">
        <w:t>capital,</w:t>
      </w:r>
      <w:r w:rsidR="00EE4FC3">
        <w:t xml:space="preserve"> </w:t>
      </w:r>
      <w:r w:rsidRPr="00382917">
        <w:t>Ṭihrán</w:t>
      </w:r>
      <w:r w:rsidR="0040329F">
        <w:t>.</w:t>
      </w:r>
      <w:r w:rsidR="00EE4FC3">
        <w:t xml:space="preserve">  </w:t>
      </w:r>
      <w:r w:rsidRPr="00382917">
        <w:t>She</w:t>
      </w:r>
      <w:r w:rsidR="00EE4FC3">
        <w:t xml:space="preserve"> </w:t>
      </w:r>
      <w:r w:rsidRPr="00382917">
        <w:t>spent</w:t>
      </w:r>
      <w:r w:rsidR="00EE4FC3">
        <w:t xml:space="preserve"> </w:t>
      </w:r>
      <w:r w:rsidRPr="00382917">
        <w:t>many</w:t>
      </w:r>
      <w:r w:rsidR="00EE4FC3">
        <w:t xml:space="preserve"> </w:t>
      </w:r>
      <w:r w:rsidRPr="00382917">
        <w:t>happy</w:t>
      </w:r>
      <w:r w:rsidR="00EE4FC3">
        <w:t xml:space="preserve"> </w:t>
      </w:r>
      <w:r w:rsidRPr="00382917">
        <w:t>days</w:t>
      </w:r>
      <w:r w:rsidR="00EE4FC3">
        <w:t xml:space="preserve"> </w:t>
      </w:r>
      <w:r w:rsidRPr="00382917">
        <w:t>there,</w:t>
      </w:r>
      <w:r w:rsidR="00EE4FC3">
        <w:t xml:space="preserve"> </w:t>
      </w:r>
      <w:r w:rsidRPr="00382917">
        <w:t>teaching</w:t>
      </w:r>
      <w:r w:rsidR="00EE4FC3">
        <w:t xml:space="preserve"> </w:t>
      </w:r>
      <w:r w:rsidRPr="00382917">
        <w:t>and</w:t>
      </w:r>
      <w:r w:rsidR="00EE4FC3">
        <w:t xml:space="preserve"> </w:t>
      </w:r>
      <w:r w:rsidRPr="00382917">
        <w:t>meeting</w:t>
      </w:r>
      <w:r w:rsidR="00EE4FC3">
        <w:t xml:space="preserve"> </w:t>
      </w:r>
      <w:r w:rsidRPr="00382917">
        <w:t>the</w:t>
      </w:r>
      <w:r w:rsidR="00EE4FC3">
        <w:t xml:space="preserve"> </w:t>
      </w:r>
      <w:r w:rsidRPr="00382917">
        <w:t>followers</w:t>
      </w:r>
      <w:r w:rsidR="00EE4FC3">
        <w:t xml:space="preserve"> </w:t>
      </w:r>
      <w:r w:rsidRPr="00382917">
        <w:t>of</w:t>
      </w:r>
      <w:r w:rsidR="00EE4FC3">
        <w:t xml:space="preserve"> </w:t>
      </w:r>
      <w:r w:rsidRPr="00382917">
        <w:t>the</w:t>
      </w:r>
      <w:r w:rsidR="00EE4FC3">
        <w:t xml:space="preserve"> </w:t>
      </w:r>
      <w:r w:rsidRPr="00382917">
        <w:t>Báb</w:t>
      </w:r>
      <w:r w:rsidR="00EE4FC3">
        <w:t xml:space="preserve"> </w:t>
      </w:r>
      <w:r w:rsidRPr="00382917">
        <w:t>from</w:t>
      </w:r>
      <w:r w:rsidR="00EE4FC3">
        <w:t xml:space="preserve"> </w:t>
      </w:r>
      <w:r w:rsidRPr="00382917">
        <w:t>other</w:t>
      </w:r>
      <w:r w:rsidR="00EE4FC3">
        <w:t xml:space="preserve"> </w:t>
      </w:r>
      <w:r w:rsidRPr="00382917">
        <w:t>parts</w:t>
      </w:r>
      <w:r w:rsidR="00EE4FC3">
        <w:t xml:space="preserve"> </w:t>
      </w:r>
      <w:r w:rsidRPr="00382917">
        <w:t>of</w:t>
      </w:r>
      <w:r w:rsidR="00EE4FC3">
        <w:t xml:space="preserve"> </w:t>
      </w:r>
      <w:r w:rsidRPr="00382917">
        <w:t>Persia</w:t>
      </w:r>
      <w:r w:rsidR="0040329F">
        <w:t>.</w:t>
      </w:r>
      <w:r w:rsidR="00EE4FC3">
        <w:t xml:space="preserve">  </w:t>
      </w:r>
      <w:r w:rsidRPr="00382917">
        <w:t>These</w:t>
      </w:r>
      <w:r w:rsidR="00EE4FC3">
        <w:t xml:space="preserve"> </w:t>
      </w:r>
      <w:r w:rsidRPr="00382917">
        <w:t>carefree</w:t>
      </w:r>
      <w:r w:rsidR="00EE4FC3">
        <w:t xml:space="preserve"> </w:t>
      </w:r>
      <w:r w:rsidRPr="00382917">
        <w:t>days</w:t>
      </w:r>
      <w:r w:rsidR="00EE4FC3">
        <w:t xml:space="preserve"> </w:t>
      </w:r>
      <w:r w:rsidRPr="00382917">
        <w:t>ended</w:t>
      </w:r>
      <w:r w:rsidR="00EE4FC3">
        <w:t xml:space="preserve"> </w:t>
      </w:r>
      <w:r w:rsidRPr="00382917">
        <w:t>when</w:t>
      </w:r>
      <w:r w:rsidR="00EE4FC3">
        <w:t xml:space="preserve"> </w:t>
      </w:r>
      <w:r w:rsidRPr="00382917">
        <w:t>word</w:t>
      </w:r>
      <w:r w:rsidR="00EE4FC3">
        <w:t xml:space="preserve"> </w:t>
      </w:r>
      <w:r w:rsidRPr="00382917">
        <w:t>came</w:t>
      </w:r>
      <w:r w:rsidR="00EE4FC3">
        <w:t xml:space="preserve"> </w:t>
      </w:r>
      <w:r w:rsidRPr="00382917">
        <w:t>that</w:t>
      </w:r>
      <w:r w:rsidR="00EE4FC3">
        <w:t xml:space="preserve"> </w:t>
      </w:r>
      <w:r w:rsidRPr="00382917">
        <w:t>the</w:t>
      </w:r>
      <w:r w:rsidR="00EE4FC3">
        <w:t xml:space="preserve"> </w:t>
      </w:r>
      <w:r w:rsidRPr="00382917">
        <w:t>Báb</w:t>
      </w:r>
      <w:r w:rsidR="009C713D" w:rsidRPr="00382917">
        <w:t>’</w:t>
      </w:r>
      <w:r w:rsidRPr="00382917">
        <w:t>s</w:t>
      </w:r>
      <w:r w:rsidR="00EE4FC3">
        <w:t xml:space="preserve"> </w:t>
      </w:r>
      <w:r w:rsidRPr="00382917">
        <w:t>followers</w:t>
      </w:r>
      <w:r w:rsidR="00EE4FC3">
        <w:t xml:space="preserve"> </w:t>
      </w:r>
      <w:r w:rsidRPr="00382917">
        <w:t>were</w:t>
      </w:r>
      <w:r w:rsidR="00EE4FC3">
        <w:t xml:space="preserve"> </w:t>
      </w:r>
      <w:r w:rsidRPr="00382917">
        <w:t>gathering</w:t>
      </w:r>
      <w:r w:rsidR="00EE4FC3">
        <w:t xml:space="preserve"> </w:t>
      </w:r>
      <w:r w:rsidRPr="00382917">
        <w:t>at</w:t>
      </w:r>
      <w:r w:rsidR="00EE4FC3">
        <w:t xml:space="preserve"> </w:t>
      </w:r>
      <w:r w:rsidRPr="00382917">
        <w:t>the</w:t>
      </w:r>
      <w:r w:rsidR="00EE4FC3">
        <w:t xml:space="preserve"> </w:t>
      </w:r>
      <w:r w:rsidRPr="00382917">
        <w:t>village</w:t>
      </w:r>
      <w:r w:rsidR="00EE4FC3">
        <w:t xml:space="preserve"> </w:t>
      </w:r>
      <w:r w:rsidRPr="00382917">
        <w:t>of</w:t>
      </w:r>
      <w:r w:rsidR="00EE4FC3">
        <w:t xml:space="preserve"> </w:t>
      </w:r>
      <w:r w:rsidR="00330AF7" w:rsidRPr="00382917">
        <w:t>Bada</w:t>
      </w:r>
      <w:r w:rsidR="00330AF7" w:rsidRPr="00330AF7">
        <w:rPr>
          <w:u w:val="single"/>
        </w:rPr>
        <w:t>sh</w:t>
      </w:r>
      <w:r w:rsidR="00330AF7" w:rsidRPr="00382917">
        <w:t>t</w:t>
      </w:r>
      <w:r w:rsidR="00EE4FC3">
        <w:t xml:space="preserve"> </w:t>
      </w:r>
      <w:r w:rsidRPr="00382917">
        <w:t>in</w:t>
      </w:r>
      <w:r w:rsidR="00EE4FC3">
        <w:t xml:space="preserve"> </w:t>
      </w:r>
      <w:r w:rsidR="006225E8" w:rsidRPr="006225E8">
        <w:rPr>
          <w:u w:val="single"/>
        </w:rPr>
        <w:t>Kh</w:t>
      </w:r>
      <w:r w:rsidR="006225E8" w:rsidRPr="00382917">
        <w:t>urásán</w:t>
      </w:r>
      <w:r w:rsidR="0040329F">
        <w:t>.</w:t>
      </w:r>
      <w:r w:rsidR="00EE4FC3">
        <w:t xml:space="preserve">  </w:t>
      </w:r>
      <w:r w:rsidRPr="00382917">
        <w:t>Ṭáhirih</w:t>
      </w:r>
      <w:r w:rsidR="00EE4FC3">
        <w:t xml:space="preserve"> </w:t>
      </w:r>
      <w:r w:rsidRPr="00382917">
        <w:t>left</w:t>
      </w:r>
      <w:r w:rsidR="00EE4FC3">
        <w:t xml:space="preserve"> </w:t>
      </w:r>
      <w:r w:rsidRPr="00382917">
        <w:t>at</w:t>
      </w:r>
      <w:r w:rsidR="00EE4FC3">
        <w:t xml:space="preserve"> </w:t>
      </w:r>
      <w:r w:rsidRPr="00382917">
        <w:t>once</w:t>
      </w:r>
      <w:r w:rsidR="00EE4FC3">
        <w:t xml:space="preserve"> </w:t>
      </w:r>
      <w:r w:rsidRPr="00382917">
        <w:t>to</w:t>
      </w:r>
      <w:r w:rsidR="00EE4FC3">
        <w:t xml:space="preserve"> </w:t>
      </w:r>
      <w:r w:rsidRPr="00382917">
        <w:t>join</w:t>
      </w:r>
      <w:r w:rsidR="00EE4FC3">
        <w:t xml:space="preserve"> </w:t>
      </w:r>
      <w:r w:rsidRPr="00382917">
        <w:t>the</w:t>
      </w:r>
      <w:r w:rsidR="00EE4FC3">
        <w:t xml:space="preserve"> </w:t>
      </w:r>
      <w:r w:rsidRPr="00382917">
        <w:t>group</w:t>
      </w:r>
      <w:r w:rsidR="0040329F">
        <w:t>.</w:t>
      </w:r>
      <w:r w:rsidR="00EE4FC3">
        <w:t xml:space="preserve">  </w:t>
      </w:r>
      <w:r w:rsidRPr="00382917">
        <w:t>Her</w:t>
      </w:r>
      <w:r w:rsidR="00EE4FC3">
        <w:t xml:space="preserve"> </w:t>
      </w:r>
      <w:r w:rsidRPr="00382917">
        <w:t>enemies</w:t>
      </w:r>
      <w:r w:rsidR="00EE4FC3">
        <w:t xml:space="preserve"> </w:t>
      </w:r>
      <w:r w:rsidRPr="00382917">
        <w:t>were</w:t>
      </w:r>
      <w:r w:rsidR="00EE4FC3">
        <w:t xml:space="preserve"> </w:t>
      </w:r>
      <w:r w:rsidRPr="00382917">
        <w:t>still</w:t>
      </w:r>
      <w:r w:rsidR="00EE4FC3">
        <w:t xml:space="preserve"> </w:t>
      </w:r>
      <w:r w:rsidRPr="00382917">
        <w:t>on</w:t>
      </w:r>
      <w:r w:rsidR="00EE4FC3">
        <w:t xml:space="preserve"> </w:t>
      </w:r>
      <w:r w:rsidRPr="00382917">
        <w:t>the</w:t>
      </w:r>
      <w:r w:rsidR="00EE4FC3">
        <w:t xml:space="preserve"> </w:t>
      </w:r>
      <w:r w:rsidRPr="00382917">
        <w:t>watch</w:t>
      </w:r>
      <w:r w:rsidR="00EE4FC3">
        <w:t xml:space="preserve"> </w:t>
      </w:r>
      <w:r w:rsidRPr="00382917">
        <w:t>for</w:t>
      </w:r>
      <w:r w:rsidR="00EE4FC3">
        <w:t xml:space="preserve"> </w:t>
      </w:r>
      <w:r w:rsidRPr="00382917">
        <w:t>her</w:t>
      </w:r>
      <w:r w:rsidR="00EE4FC3">
        <w:t xml:space="preserve"> </w:t>
      </w:r>
      <w:r w:rsidRPr="00382917">
        <w:t>everywhere</w:t>
      </w:r>
      <w:r w:rsidR="00EE4FC3">
        <w:t xml:space="preserve"> </w:t>
      </w:r>
      <w:r w:rsidRPr="00382917">
        <w:t>along</w:t>
      </w:r>
      <w:r w:rsidR="00EE4FC3">
        <w:t xml:space="preserve"> </w:t>
      </w:r>
      <w:r w:rsidRPr="00382917">
        <w:t>the</w:t>
      </w:r>
      <w:r w:rsidR="00EE4FC3">
        <w:t xml:space="preserve"> </w:t>
      </w:r>
      <w:r w:rsidRPr="00382917">
        <w:t>road,</w:t>
      </w:r>
      <w:r w:rsidR="00EE4FC3">
        <w:t xml:space="preserve"> </w:t>
      </w:r>
      <w:r w:rsidRPr="00382917">
        <w:t>but</w:t>
      </w:r>
      <w:r w:rsidR="00EE4FC3">
        <w:t xml:space="preserve"> </w:t>
      </w:r>
      <w:r w:rsidRPr="00382917">
        <w:t>she</w:t>
      </w:r>
      <w:r w:rsidR="00EE4FC3">
        <w:t xml:space="preserve"> </w:t>
      </w:r>
      <w:r w:rsidRPr="00382917">
        <w:t>escaped</w:t>
      </w:r>
      <w:r w:rsidR="00EE4FC3">
        <w:t xml:space="preserve"> </w:t>
      </w:r>
      <w:r w:rsidRPr="00382917">
        <w:t>from</w:t>
      </w:r>
      <w:r w:rsidR="00EE4FC3">
        <w:t xml:space="preserve"> </w:t>
      </w:r>
      <w:r w:rsidRPr="00382917">
        <w:t>Ṭihrán</w:t>
      </w:r>
      <w:r w:rsidR="00EE4FC3">
        <w:t xml:space="preserve"> </w:t>
      </w:r>
      <w:r w:rsidRPr="00382917">
        <w:t>in</w:t>
      </w:r>
      <w:r w:rsidR="00EE4FC3">
        <w:t xml:space="preserve"> </w:t>
      </w:r>
      <w:r w:rsidRPr="00382917">
        <w:t>disguise</w:t>
      </w:r>
      <w:r w:rsidR="00EE4FC3">
        <w:t xml:space="preserve"> </w:t>
      </w:r>
      <w:r w:rsidRPr="00382917">
        <w:t>and</w:t>
      </w:r>
      <w:r w:rsidR="00EE4FC3">
        <w:t xml:space="preserve"> </w:t>
      </w:r>
      <w:r w:rsidRPr="00382917">
        <w:t>journeyed</w:t>
      </w:r>
      <w:r w:rsidR="00EE4FC3">
        <w:t xml:space="preserve"> </w:t>
      </w:r>
      <w:r w:rsidRPr="00382917">
        <w:t>to</w:t>
      </w:r>
      <w:r w:rsidR="00EE4FC3">
        <w:t xml:space="preserve"> </w:t>
      </w:r>
      <w:r w:rsidR="00330AF7" w:rsidRPr="00382917">
        <w:t>Bada</w:t>
      </w:r>
      <w:r w:rsidR="00330AF7" w:rsidRPr="00330AF7">
        <w:rPr>
          <w:u w:val="single"/>
        </w:rPr>
        <w:t>sh</w:t>
      </w:r>
      <w:r w:rsidR="00330AF7" w:rsidRPr="00382917">
        <w:t>t</w:t>
      </w:r>
      <w:r w:rsidR="0040329F">
        <w:t>.</w:t>
      </w:r>
      <w:r w:rsidR="00EE4FC3">
        <w:t xml:space="preserve">  </w:t>
      </w:r>
      <w:r w:rsidRPr="00382917">
        <w:t>It</w:t>
      </w:r>
      <w:r w:rsidR="00EE4FC3">
        <w:t xml:space="preserve"> </w:t>
      </w:r>
      <w:r w:rsidRPr="00382917">
        <w:t>was</w:t>
      </w:r>
      <w:r w:rsidR="00EE4FC3">
        <w:t xml:space="preserve"> </w:t>
      </w:r>
      <w:r w:rsidRPr="00382917">
        <w:t>early</w:t>
      </w:r>
      <w:r w:rsidR="00EE4FC3">
        <w:t xml:space="preserve"> </w:t>
      </w:r>
      <w:r w:rsidRPr="00382917">
        <w:t>in</w:t>
      </w:r>
      <w:r w:rsidR="00EE4FC3">
        <w:t xml:space="preserve"> </w:t>
      </w:r>
      <w:r w:rsidRPr="00382917">
        <w:t>the</w:t>
      </w:r>
      <w:r w:rsidR="00EE4FC3">
        <w:t xml:space="preserve"> </w:t>
      </w:r>
      <w:r w:rsidRPr="00382917">
        <w:t>summer,</w:t>
      </w:r>
      <w:r w:rsidR="00EE4FC3">
        <w:t xml:space="preserve"> </w:t>
      </w:r>
      <w:r w:rsidRPr="00382917">
        <w:t>1848.</w:t>
      </w:r>
    </w:p>
    <w:p w:rsidR="005B5622" w:rsidRPr="00382917" w:rsidRDefault="005B5622" w:rsidP="0040329F">
      <w:pPr>
        <w:pStyle w:val="Text"/>
      </w:pPr>
      <w:r w:rsidRPr="00382917">
        <w:t>Eighty-one</w:t>
      </w:r>
      <w:r w:rsidR="00EE4FC3">
        <w:t xml:space="preserve"> </w:t>
      </w:r>
      <w:r w:rsidRPr="00382917">
        <w:t>of</w:t>
      </w:r>
      <w:r w:rsidR="00EE4FC3">
        <w:t xml:space="preserve"> </w:t>
      </w:r>
      <w:r w:rsidRPr="00382917">
        <w:t>the</w:t>
      </w:r>
      <w:r w:rsidR="00EE4FC3">
        <w:t xml:space="preserve"> </w:t>
      </w:r>
      <w:r w:rsidRPr="00382917">
        <w:t>leading</w:t>
      </w:r>
      <w:r w:rsidR="00EE4FC3">
        <w:t xml:space="preserve"> </w:t>
      </w:r>
      <w:r w:rsidRPr="00382917">
        <w:t>followers</w:t>
      </w:r>
      <w:r w:rsidR="00EE4FC3">
        <w:t xml:space="preserve"> </w:t>
      </w:r>
      <w:r w:rsidRPr="00382917">
        <w:t>of</w:t>
      </w:r>
      <w:r w:rsidR="00EE4FC3">
        <w:t xml:space="preserve"> </w:t>
      </w:r>
      <w:r w:rsidRPr="00382917">
        <w:t>the</w:t>
      </w:r>
      <w:r w:rsidR="00EE4FC3">
        <w:t xml:space="preserve"> </w:t>
      </w:r>
      <w:r w:rsidRPr="00382917">
        <w:t>Báb</w:t>
      </w:r>
      <w:r w:rsidR="00EE4FC3">
        <w:t xml:space="preserve"> </w:t>
      </w:r>
      <w:r w:rsidRPr="00382917">
        <w:t>gathered</w:t>
      </w:r>
      <w:r w:rsidR="00EE4FC3">
        <w:t xml:space="preserve"> </w:t>
      </w:r>
      <w:r w:rsidRPr="00382917">
        <w:t>at</w:t>
      </w:r>
      <w:r w:rsidR="00EE4FC3">
        <w:t xml:space="preserve"> </w:t>
      </w:r>
      <w:r w:rsidRPr="00382917">
        <w:t>that</w:t>
      </w:r>
      <w:r w:rsidR="00EE4FC3">
        <w:t xml:space="preserve"> </w:t>
      </w:r>
      <w:r w:rsidRPr="00382917">
        <w:t>village</w:t>
      </w:r>
      <w:r w:rsidR="00EE4FC3">
        <w:t xml:space="preserve"> </w:t>
      </w:r>
      <w:r w:rsidRPr="00382917">
        <w:t>to</w:t>
      </w:r>
      <w:r w:rsidR="00EE4FC3">
        <w:t xml:space="preserve"> </w:t>
      </w:r>
      <w:r w:rsidRPr="00382917">
        <w:t>meet</w:t>
      </w:r>
      <w:r w:rsidR="00EE4FC3">
        <w:t xml:space="preserve"> </w:t>
      </w:r>
      <w:r w:rsidRPr="00382917">
        <w:t>in</w:t>
      </w:r>
      <w:r w:rsidR="00EE4FC3">
        <w:t xml:space="preserve"> </w:t>
      </w:r>
      <w:r w:rsidRPr="00382917">
        <w:t>consultation</w:t>
      </w:r>
      <w:r w:rsidR="0040329F">
        <w:t>.</w:t>
      </w:r>
      <w:r w:rsidR="00EE4FC3">
        <w:t xml:space="preserve">  </w:t>
      </w:r>
      <w:r w:rsidRPr="00382917">
        <w:t>Quddús</w:t>
      </w:r>
      <w:r w:rsidR="00EE4FC3">
        <w:t xml:space="preserve"> </w:t>
      </w:r>
      <w:r w:rsidRPr="00382917">
        <w:t>was</w:t>
      </w:r>
      <w:r w:rsidR="00EE4FC3">
        <w:t xml:space="preserve"> </w:t>
      </w:r>
      <w:r w:rsidRPr="00382917">
        <w:t>among</w:t>
      </w:r>
      <w:r w:rsidR="00EE4FC3">
        <w:t xml:space="preserve"> </w:t>
      </w:r>
      <w:r w:rsidRPr="00382917">
        <w:t>those</w:t>
      </w:r>
      <w:r w:rsidR="00EE4FC3">
        <w:t xml:space="preserve"> </w:t>
      </w:r>
      <w:r w:rsidRPr="00382917">
        <w:t>present,</w:t>
      </w:r>
      <w:r w:rsidR="00EE4FC3">
        <w:t xml:space="preserve"> </w:t>
      </w:r>
      <w:r w:rsidRPr="00382917">
        <w:t>since</w:t>
      </w:r>
      <w:r w:rsidR="00EE4FC3">
        <w:t xml:space="preserve"> </w:t>
      </w:r>
      <w:r w:rsidRPr="00382917">
        <w:t>this</w:t>
      </w:r>
      <w:r w:rsidR="00EE4FC3">
        <w:t xml:space="preserve"> </w:t>
      </w:r>
      <w:r w:rsidRPr="00382917">
        <w:t>was</w:t>
      </w:r>
      <w:r w:rsidR="00EE4FC3">
        <w:t xml:space="preserve"> </w:t>
      </w:r>
      <w:r w:rsidRPr="00382917">
        <w:t>before</w:t>
      </w:r>
      <w:r w:rsidR="00EE4FC3">
        <w:t xml:space="preserve"> </w:t>
      </w:r>
      <w:r w:rsidRPr="00382917">
        <w:t>the</w:t>
      </w:r>
      <w:r w:rsidR="00EE4FC3">
        <w:t xml:space="preserve"> </w:t>
      </w:r>
      <w:r w:rsidRPr="00382917">
        <w:t>days</w:t>
      </w:r>
      <w:r w:rsidR="00EE4FC3">
        <w:t xml:space="preserve"> </w:t>
      </w:r>
      <w:r w:rsidRPr="00382917">
        <w:t>of</w:t>
      </w:r>
      <w:r w:rsidR="00EE4FC3">
        <w:t xml:space="preserve"> </w:t>
      </w:r>
      <w:r w:rsidRPr="00382917">
        <w:t>the</w:t>
      </w:r>
      <w:r w:rsidR="00EE4FC3">
        <w:t xml:space="preserve"> </w:t>
      </w:r>
      <w:r w:rsidRPr="00382917">
        <w:t>fort</w:t>
      </w:r>
      <w:r w:rsidR="00EE4FC3">
        <w:t xml:space="preserve"> </w:t>
      </w:r>
      <w:r w:rsidRPr="00382917">
        <w:t>of</w:t>
      </w:r>
      <w:r w:rsidR="00EE4FC3">
        <w:t xml:space="preserve"> </w:t>
      </w:r>
      <w:r w:rsidR="0040329F" w:rsidRPr="0040329F">
        <w:t>Ṭ</w:t>
      </w:r>
      <w:r w:rsidRPr="00382917">
        <w:t>abars</w:t>
      </w:r>
      <w:r w:rsidR="0040329F" w:rsidRPr="0040329F">
        <w:t>í</w:t>
      </w:r>
      <w:r w:rsidR="0040329F">
        <w:t>.</w:t>
      </w:r>
      <w:r w:rsidR="00EE4FC3">
        <w:t xml:space="preserve">  </w:t>
      </w:r>
      <w:r w:rsidRPr="00382917">
        <w:t>The</w:t>
      </w:r>
      <w:r w:rsidR="00EE4FC3">
        <w:t xml:space="preserve"> </w:t>
      </w:r>
      <w:r w:rsidRPr="00382917">
        <w:t>purpose</w:t>
      </w:r>
      <w:r w:rsidR="00EE4FC3">
        <w:t xml:space="preserve"> </w:t>
      </w:r>
      <w:r w:rsidRPr="00382917">
        <w:t>of</w:t>
      </w:r>
      <w:r w:rsidR="00EE4FC3">
        <w:t xml:space="preserve"> </w:t>
      </w:r>
      <w:r w:rsidRPr="00382917">
        <w:t>the</w:t>
      </w:r>
      <w:r w:rsidR="00EE4FC3">
        <w:t xml:space="preserve"> </w:t>
      </w:r>
      <w:r w:rsidRPr="00382917">
        <w:t>gathering</w:t>
      </w:r>
      <w:r w:rsidR="00EE4FC3">
        <w:t xml:space="preserve"> </w:t>
      </w:r>
      <w:r w:rsidRPr="00382917">
        <w:t>was</w:t>
      </w:r>
      <w:r w:rsidR="00EE4FC3">
        <w:t xml:space="preserve"> </w:t>
      </w:r>
      <w:r w:rsidRPr="00382917">
        <w:t>two-fold</w:t>
      </w:r>
      <w:r w:rsidR="0040329F">
        <w:t>.</w:t>
      </w:r>
      <w:r w:rsidR="00EE4FC3">
        <w:t xml:space="preserve">  </w:t>
      </w:r>
      <w:proofErr w:type="gramStart"/>
      <w:r w:rsidRPr="00382917">
        <w:t>First,</w:t>
      </w:r>
      <w:r w:rsidR="00EE4FC3">
        <w:t xml:space="preserve"> </w:t>
      </w:r>
      <w:r w:rsidRPr="00382917">
        <w:t>to</w:t>
      </w:r>
      <w:r w:rsidR="00EE4FC3">
        <w:t xml:space="preserve"> </w:t>
      </w:r>
      <w:r w:rsidRPr="00382917">
        <w:t>decide</w:t>
      </w:r>
      <w:r w:rsidR="00EE4FC3">
        <w:t xml:space="preserve"> </w:t>
      </w:r>
      <w:r w:rsidRPr="00382917">
        <w:t>upon</w:t>
      </w:r>
      <w:r w:rsidR="00EE4FC3">
        <w:t xml:space="preserve"> </w:t>
      </w:r>
      <w:r w:rsidRPr="00382917">
        <w:t>the</w:t>
      </w:r>
      <w:r w:rsidR="00EE4FC3">
        <w:t xml:space="preserve"> </w:t>
      </w:r>
      <w:r w:rsidRPr="00382917">
        <w:t>steps</w:t>
      </w:r>
      <w:r w:rsidR="00EE4FC3">
        <w:t xml:space="preserve"> </w:t>
      </w:r>
      <w:r w:rsidRPr="00382917">
        <w:t>to</w:t>
      </w:r>
      <w:r w:rsidR="00EE4FC3">
        <w:t xml:space="preserve"> </w:t>
      </w:r>
      <w:r w:rsidRPr="00382917">
        <w:t>be</w:t>
      </w:r>
      <w:r w:rsidR="00EE4FC3">
        <w:t xml:space="preserve"> </w:t>
      </w:r>
      <w:r w:rsidRPr="00382917">
        <w:t>taken</w:t>
      </w:r>
      <w:r w:rsidR="00EE4FC3">
        <w:t xml:space="preserve"> </w:t>
      </w:r>
      <w:r w:rsidRPr="00382917">
        <w:t>so</w:t>
      </w:r>
      <w:r w:rsidR="00EE4FC3">
        <w:t xml:space="preserve"> </w:t>
      </w:r>
      <w:r w:rsidRPr="00382917">
        <w:t>that</w:t>
      </w:r>
      <w:r w:rsidR="00EE4FC3">
        <w:t xml:space="preserve"> </w:t>
      </w:r>
      <w:r w:rsidRPr="00382917">
        <w:t>the</w:t>
      </w:r>
      <w:r w:rsidR="00EE4FC3">
        <w:t xml:space="preserve"> </w:t>
      </w:r>
      <w:r w:rsidRPr="00382917">
        <w:t>Faith</w:t>
      </w:r>
      <w:r w:rsidR="00EE4FC3">
        <w:t xml:space="preserve"> </w:t>
      </w:r>
      <w:r w:rsidRPr="00382917">
        <w:t>of</w:t>
      </w:r>
      <w:r w:rsidR="00EE4FC3">
        <w:t xml:space="preserve"> </w:t>
      </w:r>
      <w:r w:rsidRPr="00382917">
        <w:t>the</w:t>
      </w:r>
      <w:r w:rsidR="00EE4FC3">
        <w:t xml:space="preserve"> </w:t>
      </w:r>
      <w:r w:rsidRPr="00382917">
        <w:t>Báb</w:t>
      </w:r>
      <w:r w:rsidR="00EE4FC3">
        <w:t xml:space="preserve"> </w:t>
      </w:r>
      <w:r w:rsidRPr="00382917">
        <w:t>would</w:t>
      </w:r>
      <w:r w:rsidR="00EE4FC3">
        <w:t xml:space="preserve"> </w:t>
      </w:r>
      <w:r w:rsidRPr="00382917">
        <w:t>no</w:t>
      </w:r>
      <w:r w:rsidR="00EE4FC3">
        <w:t xml:space="preserve"> </w:t>
      </w:r>
      <w:r w:rsidRPr="00382917">
        <w:t>longer</w:t>
      </w:r>
      <w:r w:rsidR="00EE4FC3">
        <w:t xml:space="preserve"> </w:t>
      </w:r>
      <w:r w:rsidRPr="00382917">
        <w:t>be</w:t>
      </w:r>
      <w:r w:rsidR="00EE4FC3">
        <w:t xml:space="preserve"> </w:t>
      </w:r>
      <w:r w:rsidRPr="00382917">
        <w:t>looked</w:t>
      </w:r>
      <w:r w:rsidR="00EE4FC3">
        <w:t xml:space="preserve"> </w:t>
      </w:r>
      <w:r w:rsidRPr="00382917">
        <w:t>upon</w:t>
      </w:r>
      <w:r w:rsidR="00EE4FC3">
        <w:t xml:space="preserve"> </w:t>
      </w:r>
      <w:r w:rsidRPr="00382917">
        <w:t>as</w:t>
      </w:r>
      <w:r w:rsidR="00EE4FC3">
        <w:t xml:space="preserve"> </w:t>
      </w:r>
      <w:r w:rsidRPr="00382917">
        <w:t>a</w:t>
      </w:r>
      <w:r w:rsidR="00EE4FC3">
        <w:t xml:space="preserve"> </w:t>
      </w:r>
      <w:r w:rsidRPr="00382917">
        <w:t>sect</w:t>
      </w:r>
      <w:r w:rsidR="00EE4FC3">
        <w:t xml:space="preserve"> </w:t>
      </w:r>
      <w:r w:rsidRPr="00382917">
        <w:t>of</w:t>
      </w:r>
      <w:r w:rsidR="00EE4FC3">
        <w:t xml:space="preserve"> </w:t>
      </w:r>
      <w:r w:rsidR="00B529E0" w:rsidRPr="00382917">
        <w:t>Islám</w:t>
      </w:r>
      <w:r w:rsidRPr="00382917">
        <w:t>,</w:t>
      </w:r>
      <w:r w:rsidR="00EE4FC3">
        <w:t xml:space="preserve"> </w:t>
      </w:r>
      <w:r w:rsidRPr="00382917">
        <w:t>but</w:t>
      </w:r>
      <w:r w:rsidR="00EE4FC3">
        <w:t xml:space="preserve"> </w:t>
      </w:r>
      <w:r w:rsidRPr="00382917">
        <w:t>rather</w:t>
      </w:r>
      <w:r w:rsidR="00EE4FC3">
        <w:t xml:space="preserve"> </w:t>
      </w:r>
      <w:r w:rsidRPr="00382917">
        <w:t>as</w:t>
      </w:r>
      <w:r w:rsidR="00EE4FC3">
        <w:t xml:space="preserve"> </w:t>
      </w:r>
      <w:r w:rsidRPr="00382917">
        <w:t>a</w:t>
      </w:r>
      <w:r w:rsidR="00EE4FC3">
        <w:t xml:space="preserve"> </w:t>
      </w:r>
      <w:r w:rsidRPr="00382917">
        <w:t>new,</w:t>
      </w:r>
      <w:r w:rsidR="00EE4FC3">
        <w:t xml:space="preserve"> </w:t>
      </w:r>
      <w:r w:rsidRPr="00382917">
        <w:t>independent</w:t>
      </w:r>
      <w:r w:rsidR="00EE4FC3">
        <w:t xml:space="preserve"> </w:t>
      </w:r>
      <w:r w:rsidRPr="00382917">
        <w:t>Faith</w:t>
      </w:r>
      <w:r w:rsidR="00EE4FC3">
        <w:t xml:space="preserve"> </w:t>
      </w:r>
      <w:r w:rsidRPr="00382917">
        <w:t>with</w:t>
      </w:r>
      <w:r w:rsidR="00EE4FC3">
        <w:t xml:space="preserve"> </w:t>
      </w:r>
      <w:r w:rsidRPr="00382917">
        <w:t>its</w:t>
      </w:r>
      <w:r w:rsidR="00EE4FC3">
        <w:t xml:space="preserve"> </w:t>
      </w:r>
      <w:r w:rsidRPr="00382917">
        <w:t>own</w:t>
      </w:r>
      <w:r w:rsidR="00EE4FC3">
        <w:t xml:space="preserve"> </w:t>
      </w:r>
      <w:r w:rsidRPr="00382917">
        <w:t>Prophet</w:t>
      </w:r>
      <w:r w:rsidR="00EE4FC3">
        <w:t xml:space="preserve"> </w:t>
      </w:r>
      <w:r w:rsidRPr="00382917">
        <w:t>and</w:t>
      </w:r>
      <w:r w:rsidR="00EE4FC3">
        <w:t xml:space="preserve"> </w:t>
      </w:r>
      <w:r w:rsidRPr="00382917">
        <w:t>Writings</w:t>
      </w:r>
      <w:r w:rsidR="0040329F">
        <w:t>.</w:t>
      </w:r>
      <w:proofErr w:type="gramEnd"/>
      <w:r w:rsidR="00EE4FC3">
        <w:t xml:space="preserve">  </w:t>
      </w:r>
      <w:proofErr w:type="gramStart"/>
      <w:r w:rsidRPr="00382917">
        <w:t>Second,</w:t>
      </w:r>
      <w:r w:rsidR="00EE4FC3">
        <w:t xml:space="preserve"> </w:t>
      </w:r>
      <w:r w:rsidRPr="00382917">
        <w:t>to</w:t>
      </w:r>
      <w:r w:rsidR="00EE4FC3">
        <w:t xml:space="preserve"> </w:t>
      </w:r>
      <w:r w:rsidRPr="00382917">
        <w:t>consider</w:t>
      </w:r>
      <w:r w:rsidR="00EE4FC3">
        <w:t xml:space="preserve"> </w:t>
      </w:r>
      <w:r w:rsidRPr="00382917">
        <w:t>the</w:t>
      </w:r>
      <w:r w:rsidR="00EE4FC3">
        <w:t xml:space="preserve"> </w:t>
      </w:r>
      <w:r w:rsidRPr="00382917">
        <w:t>means</w:t>
      </w:r>
      <w:r w:rsidR="00EE4FC3">
        <w:t xml:space="preserve"> </w:t>
      </w:r>
      <w:r w:rsidRPr="00382917">
        <w:t>of</w:t>
      </w:r>
      <w:r w:rsidR="00EE4FC3">
        <w:t xml:space="preserve"> </w:t>
      </w:r>
      <w:r w:rsidRPr="00382917">
        <w:t>freeing</w:t>
      </w:r>
      <w:r w:rsidR="00EE4FC3">
        <w:t xml:space="preserve"> </w:t>
      </w:r>
      <w:r w:rsidRPr="00382917">
        <w:t>the</w:t>
      </w:r>
      <w:r w:rsidR="00EE4FC3">
        <w:t xml:space="preserve"> </w:t>
      </w:r>
      <w:r w:rsidR="0040329F" w:rsidRPr="00382917">
        <w:t>B</w:t>
      </w:r>
      <w:r w:rsidR="0040329F" w:rsidRPr="0040329F">
        <w:t>á</w:t>
      </w:r>
      <w:r w:rsidR="0040329F" w:rsidRPr="00382917">
        <w:t>b</w:t>
      </w:r>
      <w:r w:rsidR="00EE4FC3">
        <w:t xml:space="preserve"> </w:t>
      </w:r>
      <w:r w:rsidRPr="00382917">
        <w:t>from</w:t>
      </w:r>
      <w:r w:rsidR="00EE4FC3">
        <w:t xml:space="preserve"> </w:t>
      </w:r>
      <w:r w:rsidRPr="00382917">
        <w:t>His</w:t>
      </w:r>
      <w:r w:rsidR="00EE4FC3">
        <w:t xml:space="preserve"> </w:t>
      </w:r>
      <w:r w:rsidRPr="00382917">
        <w:t>cruel</w:t>
      </w:r>
      <w:r w:rsidR="00EE4FC3">
        <w:t xml:space="preserve"> </w:t>
      </w:r>
      <w:r w:rsidRPr="00382917">
        <w:t>imprisonment</w:t>
      </w:r>
      <w:r w:rsidR="00EE4FC3">
        <w:t xml:space="preserve"> </w:t>
      </w:r>
      <w:r w:rsidRPr="00382917">
        <w:t>in</w:t>
      </w:r>
      <w:r w:rsidR="00EE4FC3">
        <w:t xml:space="preserve"> </w:t>
      </w:r>
      <w:r w:rsidR="001713B3" w:rsidRPr="001713B3">
        <w:rPr>
          <w:u w:val="single"/>
        </w:rPr>
        <w:t>Ch</w:t>
      </w:r>
      <w:r w:rsidR="001713B3" w:rsidRPr="00382917">
        <w:t>ihríq</w:t>
      </w:r>
      <w:r w:rsidR="0040329F">
        <w:t>.</w:t>
      </w:r>
      <w:proofErr w:type="gramEnd"/>
      <w:r w:rsidR="00EE4FC3">
        <w:t xml:space="preserve">  </w:t>
      </w:r>
      <w:r w:rsidRPr="00382917">
        <w:t>The</w:t>
      </w:r>
      <w:r w:rsidR="00EE4FC3">
        <w:t xml:space="preserve"> </w:t>
      </w:r>
      <w:r w:rsidRPr="00382917">
        <w:t>gathering</w:t>
      </w:r>
      <w:r w:rsidR="00EE4FC3">
        <w:t xml:space="preserve"> </w:t>
      </w:r>
      <w:r w:rsidRPr="00382917">
        <w:t>succeeded</w:t>
      </w:r>
      <w:r w:rsidR="00EE4FC3">
        <w:t xml:space="preserve"> </w:t>
      </w:r>
      <w:r w:rsidRPr="00382917">
        <w:t>in</w:t>
      </w:r>
      <w:r w:rsidR="00EE4FC3">
        <w:t xml:space="preserve"> </w:t>
      </w:r>
      <w:r w:rsidRPr="00382917">
        <w:t>the</w:t>
      </w:r>
      <w:r w:rsidR="00EE4FC3">
        <w:t xml:space="preserve"> </w:t>
      </w:r>
      <w:r w:rsidRPr="00382917">
        <w:t>first</w:t>
      </w:r>
      <w:r w:rsidR="00EE4FC3">
        <w:t xml:space="preserve"> </w:t>
      </w:r>
      <w:r w:rsidRPr="00382917">
        <w:t>goal,</w:t>
      </w:r>
      <w:r w:rsidR="00EE4FC3">
        <w:t xml:space="preserve"> </w:t>
      </w:r>
      <w:r w:rsidRPr="00382917">
        <w:t>but</w:t>
      </w:r>
      <w:r w:rsidR="00EE4FC3">
        <w:t xml:space="preserve"> </w:t>
      </w:r>
      <w:r w:rsidRPr="00382917">
        <w:t>failed</w:t>
      </w:r>
      <w:r w:rsidR="00EE4FC3">
        <w:t xml:space="preserve"> </w:t>
      </w:r>
      <w:r w:rsidRPr="00382917">
        <w:t>in</w:t>
      </w:r>
      <w:r w:rsidR="00EE4FC3">
        <w:t xml:space="preserve"> </w:t>
      </w:r>
      <w:r w:rsidRPr="00382917">
        <w:t>the</w:t>
      </w:r>
      <w:r w:rsidR="00EE4FC3">
        <w:t xml:space="preserve"> </w:t>
      </w:r>
      <w:r w:rsidRPr="00382917">
        <w:t>second.</w:t>
      </w:r>
    </w:p>
    <w:p w:rsidR="005B5622" w:rsidRPr="00382917" w:rsidRDefault="005B5622" w:rsidP="006340BC">
      <w:pPr>
        <w:pStyle w:val="Text"/>
      </w:pPr>
      <w:r w:rsidRPr="00382917">
        <w:t>The</w:t>
      </w:r>
      <w:r w:rsidR="00EE4FC3">
        <w:t xml:space="preserve"> </w:t>
      </w:r>
      <w:r w:rsidRPr="00382917">
        <w:t>followers</w:t>
      </w:r>
      <w:r w:rsidR="00EE4FC3">
        <w:t xml:space="preserve"> </w:t>
      </w:r>
      <w:r w:rsidRPr="00382917">
        <w:t>of</w:t>
      </w:r>
      <w:r w:rsidR="00EE4FC3">
        <w:t xml:space="preserve"> </w:t>
      </w:r>
      <w:r w:rsidRPr="00382917">
        <w:t>the</w:t>
      </w:r>
      <w:r w:rsidR="00EE4FC3">
        <w:t xml:space="preserve"> </w:t>
      </w:r>
      <w:r w:rsidRPr="00382917">
        <w:t>Báb</w:t>
      </w:r>
      <w:r w:rsidR="00EE4FC3">
        <w:t xml:space="preserve"> </w:t>
      </w:r>
      <w:r w:rsidRPr="00382917">
        <w:t>were</w:t>
      </w:r>
      <w:r w:rsidR="00EE4FC3">
        <w:t xml:space="preserve"> </w:t>
      </w:r>
      <w:r w:rsidRPr="00382917">
        <w:t>eager</w:t>
      </w:r>
      <w:r w:rsidR="00EE4FC3">
        <w:t xml:space="preserve"> </w:t>
      </w:r>
      <w:r w:rsidRPr="00382917">
        <w:t>to</w:t>
      </w:r>
      <w:r w:rsidR="00EE4FC3">
        <w:t xml:space="preserve"> </w:t>
      </w:r>
      <w:r w:rsidRPr="00382917">
        <w:t>make</w:t>
      </w:r>
      <w:r w:rsidR="00EE4FC3">
        <w:t xml:space="preserve"> </w:t>
      </w:r>
      <w:r w:rsidRPr="00382917">
        <w:t>a</w:t>
      </w:r>
      <w:r w:rsidR="00EE4FC3">
        <w:t xml:space="preserve"> </w:t>
      </w:r>
      <w:r w:rsidRPr="00382917">
        <w:t>complete</w:t>
      </w:r>
      <w:r w:rsidR="00EE4FC3">
        <w:t xml:space="preserve"> </w:t>
      </w:r>
      <w:r w:rsidRPr="00382917">
        <w:t>break</w:t>
      </w:r>
      <w:r w:rsidR="00EE4FC3">
        <w:t xml:space="preserve"> </w:t>
      </w:r>
      <w:r w:rsidRPr="00382917">
        <w:t>from</w:t>
      </w:r>
      <w:r w:rsidR="00EE4FC3">
        <w:t xml:space="preserve"> </w:t>
      </w:r>
      <w:r w:rsidRPr="00382917">
        <w:t>the</w:t>
      </w:r>
      <w:r w:rsidR="00EE4FC3">
        <w:t xml:space="preserve"> </w:t>
      </w:r>
      <w:r w:rsidRPr="00382917">
        <w:t>outmoded</w:t>
      </w:r>
      <w:r w:rsidR="00EE4FC3">
        <w:t xml:space="preserve"> </w:t>
      </w:r>
      <w:r w:rsidRPr="00382917">
        <w:t>religious</w:t>
      </w:r>
      <w:r w:rsidR="00EE4FC3">
        <w:t xml:space="preserve"> </w:t>
      </w:r>
      <w:r w:rsidRPr="00382917">
        <w:t>laws,</w:t>
      </w:r>
      <w:r w:rsidR="00EE4FC3">
        <w:t xml:space="preserve"> </w:t>
      </w:r>
      <w:r w:rsidRPr="00382917">
        <w:t>priesthood,</w:t>
      </w:r>
      <w:r w:rsidR="00EE4FC3">
        <w:t xml:space="preserve"> </w:t>
      </w:r>
      <w:r w:rsidRPr="00382917">
        <w:t>traditions</w:t>
      </w:r>
      <w:r w:rsidR="00EE4FC3">
        <w:t xml:space="preserve"> </w:t>
      </w:r>
      <w:r w:rsidRPr="00382917">
        <w:t>and</w:t>
      </w:r>
      <w:r w:rsidR="00EE4FC3">
        <w:t xml:space="preserve"> </w:t>
      </w:r>
      <w:r w:rsidRPr="00382917">
        <w:t>ritual</w:t>
      </w:r>
      <w:r w:rsidR="00EE4FC3">
        <w:t xml:space="preserve"> </w:t>
      </w:r>
      <w:r w:rsidRPr="00382917">
        <w:t>of</w:t>
      </w:r>
      <w:r w:rsidR="00EE4FC3">
        <w:t xml:space="preserve"> </w:t>
      </w:r>
      <w:r w:rsidRPr="00382917">
        <w:t>the</w:t>
      </w:r>
      <w:r w:rsidR="00EE4FC3">
        <w:t xml:space="preserve"> </w:t>
      </w:r>
      <w:r w:rsidRPr="00382917">
        <w:t>past</w:t>
      </w:r>
      <w:r w:rsidR="0040329F">
        <w:t>.</w:t>
      </w:r>
      <w:r w:rsidR="00EE4FC3">
        <w:t xml:space="preserve">  </w:t>
      </w:r>
      <w:r w:rsidRPr="00382917">
        <w:t>Ṭáhirih,</w:t>
      </w:r>
      <w:r w:rsidR="00EE4FC3">
        <w:t xml:space="preserve"> </w:t>
      </w:r>
      <w:proofErr w:type="gramStart"/>
      <w:r w:rsidRPr="00382917">
        <w:t>herself</w:t>
      </w:r>
      <w:proofErr w:type="gramEnd"/>
      <w:r w:rsidRPr="00382917">
        <w:t>,</w:t>
      </w:r>
      <w:r w:rsidR="00EE4FC3">
        <w:t xml:space="preserve"> </w:t>
      </w:r>
      <w:r w:rsidRPr="00382917">
        <w:t>was</w:t>
      </w:r>
      <w:r w:rsidR="00EE4FC3">
        <w:t xml:space="preserve"> </w:t>
      </w:r>
      <w:r w:rsidRPr="00382917">
        <w:t>an</w:t>
      </w:r>
      <w:r w:rsidR="00EE4FC3">
        <w:t xml:space="preserve"> </w:t>
      </w:r>
      <w:r w:rsidRPr="00382917">
        <w:t>instrument</w:t>
      </w:r>
      <w:r w:rsidR="00EE4FC3">
        <w:t xml:space="preserve"> </w:t>
      </w:r>
      <w:r w:rsidRPr="00382917">
        <w:t>of</w:t>
      </w:r>
      <w:r w:rsidR="00EE4FC3">
        <w:t xml:space="preserve"> </w:t>
      </w:r>
      <w:r w:rsidRPr="00382917">
        <w:t>that</w:t>
      </w:r>
      <w:r w:rsidR="00EE4FC3">
        <w:t xml:space="preserve"> </w:t>
      </w:r>
      <w:r w:rsidRPr="00382917">
        <w:t>separation</w:t>
      </w:r>
      <w:r w:rsidR="0040329F">
        <w:t>.</w:t>
      </w:r>
      <w:r w:rsidR="00EE4FC3">
        <w:t xml:space="preserve">  </w:t>
      </w:r>
      <w:r w:rsidRPr="00382917">
        <w:t>She</w:t>
      </w:r>
      <w:r w:rsidR="00EE4FC3">
        <w:t xml:space="preserve"> </w:t>
      </w:r>
      <w:r w:rsidRPr="00382917">
        <w:t>became</w:t>
      </w:r>
      <w:r w:rsidR="00EE4FC3">
        <w:t xml:space="preserve"> </w:t>
      </w:r>
      <w:r w:rsidRPr="00382917">
        <w:t>its</w:t>
      </w:r>
      <w:r w:rsidR="00EE4FC3">
        <w:t xml:space="preserve"> </w:t>
      </w:r>
      <w:r w:rsidRPr="00382917">
        <w:t>outward</w:t>
      </w:r>
      <w:r w:rsidR="00EE4FC3">
        <w:t xml:space="preserve"> </w:t>
      </w:r>
      <w:r w:rsidRPr="00382917">
        <w:t>symbol,</w:t>
      </w:r>
      <w:r w:rsidR="00EE4FC3">
        <w:t xml:space="preserve"> </w:t>
      </w:r>
      <w:r w:rsidRPr="00382917">
        <w:t>when</w:t>
      </w:r>
      <w:r w:rsidR="00EE4FC3">
        <w:t xml:space="preserve"> </w:t>
      </w:r>
      <w:r w:rsidRPr="00382917">
        <w:t>one</w:t>
      </w:r>
      <w:r w:rsidR="00EE4FC3">
        <w:t xml:space="preserve"> </w:t>
      </w:r>
      <w:r w:rsidRPr="00382917">
        <w:t>day</w:t>
      </w:r>
      <w:r w:rsidR="00EE4FC3">
        <w:t xml:space="preserve"> </w:t>
      </w:r>
      <w:r w:rsidRPr="00382917">
        <w:t>she</w:t>
      </w:r>
      <w:r w:rsidR="00EE4FC3">
        <w:t xml:space="preserve"> </w:t>
      </w:r>
      <w:r w:rsidRPr="00382917">
        <w:t>appeared</w:t>
      </w:r>
      <w:r w:rsidR="00EE4FC3">
        <w:t xml:space="preserve"> </w:t>
      </w:r>
      <w:r w:rsidRPr="00382917">
        <w:t>without</w:t>
      </w:r>
      <w:r w:rsidR="00EE4FC3">
        <w:t xml:space="preserve"> </w:t>
      </w:r>
      <w:r w:rsidRPr="00382917">
        <w:t>her</w:t>
      </w:r>
      <w:r w:rsidR="00EE4FC3">
        <w:t xml:space="preserve"> </w:t>
      </w:r>
      <w:r w:rsidRPr="00382917">
        <w:t>veil</w:t>
      </w:r>
      <w:r w:rsidR="0040329F">
        <w:t>.</w:t>
      </w:r>
      <w:r w:rsidR="00EE4FC3">
        <w:t xml:space="preserve">  </w:t>
      </w:r>
      <w:r w:rsidRPr="00382917">
        <w:t>She</w:t>
      </w:r>
      <w:r w:rsidR="00EE4FC3">
        <w:t xml:space="preserve"> </w:t>
      </w:r>
      <w:r w:rsidRPr="00382917">
        <w:t>had</w:t>
      </w:r>
      <w:r w:rsidR="00EE4FC3">
        <w:t xml:space="preserve"> </w:t>
      </w:r>
      <w:r w:rsidRPr="00382917">
        <w:t>cast</w:t>
      </w:r>
      <w:r w:rsidR="00EE4FC3">
        <w:t xml:space="preserve"> </w:t>
      </w:r>
      <w:r w:rsidRPr="00382917">
        <w:t>aside</w:t>
      </w:r>
      <w:r w:rsidR="00EE4FC3">
        <w:t xml:space="preserve"> </w:t>
      </w:r>
      <w:r w:rsidRPr="00382917">
        <w:t>this</w:t>
      </w:r>
      <w:r w:rsidR="00EE4FC3">
        <w:t xml:space="preserve"> </w:t>
      </w:r>
      <w:r w:rsidRPr="00382917">
        <w:t>emblem</w:t>
      </w:r>
      <w:r w:rsidR="00EE4FC3">
        <w:t xml:space="preserve"> </w:t>
      </w:r>
      <w:r w:rsidRPr="00382917">
        <w:t>of</w:t>
      </w:r>
      <w:r w:rsidR="00EE4FC3">
        <w:t xml:space="preserve"> </w:t>
      </w:r>
      <w:r w:rsidRPr="00382917">
        <w:t>women</w:t>
      </w:r>
      <w:r w:rsidR="009C713D" w:rsidRPr="00382917">
        <w:t>’</w:t>
      </w:r>
      <w:r w:rsidRPr="00382917">
        <w:t>s</w:t>
      </w:r>
      <w:r w:rsidR="00EE4FC3">
        <w:t xml:space="preserve"> </w:t>
      </w:r>
      <w:r w:rsidRPr="00382917">
        <w:t>inferior</w:t>
      </w:r>
      <w:r w:rsidR="00EE4FC3">
        <w:t xml:space="preserve"> </w:t>
      </w:r>
      <w:r w:rsidRPr="00382917">
        <w:t>station.</w:t>
      </w:r>
    </w:p>
    <w:p w:rsidR="005B5622" w:rsidRPr="00382917" w:rsidRDefault="005B5622" w:rsidP="006340BC">
      <w:pPr>
        <w:pStyle w:val="Text"/>
      </w:pPr>
      <w:r w:rsidRPr="00382917">
        <w:t>The</w:t>
      </w:r>
      <w:r w:rsidR="00EE4FC3">
        <w:t xml:space="preserve"> </w:t>
      </w:r>
      <w:r w:rsidRPr="00382917">
        <w:t>effect</w:t>
      </w:r>
      <w:r w:rsidR="00EE4FC3">
        <w:t xml:space="preserve"> </w:t>
      </w:r>
      <w:r w:rsidRPr="00382917">
        <w:t>was</w:t>
      </w:r>
      <w:r w:rsidR="00EE4FC3">
        <w:t xml:space="preserve"> </w:t>
      </w:r>
      <w:r w:rsidRPr="00382917">
        <w:t>electric</w:t>
      </w:r>
      <w:r w:rsidR="0040329F">
        <w:t>.</w:t>
      </w:r>
      <w:r w:rsidR="00EE4FC3">
        <w:t xml:space="preserve">  </w:t>
      </w:r>
      <w:r w:rsidRPr="00382917">
        <w:t>Even</w:t>
      </w:r>
      <w:r w:rsidR="00EE4FC3">
        <w:t xml:space="preserve"> </w:t>
      </w:r>
      <w:r w:rsidRPr="00382917">
        <w:t>her</w:t>
      </w:r>
      <w:r w:rsidR="00EE4FC3">
        <w:t xml:space="preserve"> </w:t>
      </w:r>
      <w:r w:rsidRPr="00382917">
        <w:t>fellow-believers</w:t>
      </w:r>
      <w:r w:rsidR="00EE4FC3">
        <w:t xml:space="preserve"> </w:t>
      </w:r>
      <w:r w:rsidRPr="00382917">
        <w:t>were</w:t>
      </w:r>
      <w:r w:rsidR="00EE4FC3">
        <w:t xml:space="preserve"> </w:t>
      </w:r>
      <w:r w:rsidRPr="00382917">
        <w:t>shocked</w:t>
      </w:r>
      <w:r w:rsidR="0040329F">
        <w:t>.</w:t>
      </w:r>
      <w:r w:rsidR="00EE4FC3">
        <w:t xml:space="preserve">  </w:t>
      </w:r>
      <w:r w:rsidRPr="00382917">
        <w:t>They</w:t>
      </w:r>
      <w:r w:rsidR="00EE4FC3">
        <w:t xml:space="preserve"> </w:t>
      </w:r>
      <w:r w:rsidRPr="00382917">
        <w:t>stood</w:t>
      </w:r>
      <w:r w:rsidR="00EE4FC3">
        <w:t xml:space="preserve"> </w:t>
      </w:r>
      <w:r w:rsidRPr="00382917">
        <w:t>aghast</w:t>
      </w:r>
      <w:r w:rsidR="00EE4FC3">
        <w:t xml:space="preserve"> </w:t>
      </w:r>
      <w:r w:rsidRPr="00382917">
        <w:t>at</w:t>
      </w:r>
      <w:r w:rsidR="00EE4FC3">
        <w:t xml:space="preserve"> </w:t>
      </w:r>
      <w:r w:rsidRPr="00382917">
        <w:t>this</w:t>
      </w:r>
      <w:r w:rsidR="00EE4FC3">
        <w:t xml:space="preserve"> </w:t>
      </w:r>
      <w:r w:rsidRPr="00382917">
        <w:t>unexpected</w:t>
      </w:r>
      <w:r w:rsidR="00EE4FC3">
        <w:t xml:space="preserve"> </w:t>
      </w:r>
      <w:r w:rsidRPr="00382917">
        <w:t>and</w:t>
      </w:r>
      <w:r w:rsidR="00EE4FC3">
        <w:t xml:space="preserve"> </w:t>
      </w:r>
      <w:r w:rsidRPr="00382917">
        <w:t>unprecedented</w:t>
      </w:r>
      <w:r w:rsidR="00EE4FC3">
        <w:t xml:space="preserve"> </w:t>
      </w:r>
      <w:r w:rsidRPr="00382917">
        <w:t>sight</w:t>
      </w:r>
      <w:r w:rsidR="0040329F">
        <w:t>.</w:t>
      </w:r>
      <w:r w:rsidR="00EE4FC3">
        <w:t xml:space="preserve">  </w:t>
      </w:r>
      <w:r w:rsidRPr="00382917">
        <w:t>Happiness</w:t>
      </w:r>
      <w:r w:rsidR="00EE4FC3">
        <w:t xml:space="preserve"> </w:t>
      </w:r>
      <w:r w:rsidRPr="00382917">
        <w:t>and</w:t>
      </w:r>
      <w:r w:rsidR="00EE4FC3">
        <w:t xml:space="preserve"> </w:t>
      </w:r>
      <w:r w:rsidRPr="00382917">
        <w:t>triumph</w:t>
      </w:r>
      <w:r w:rsidR="00EE4FC3">
        <w:t xml:space="preserve"> </w:t>
      </w:r>
      <w:r w:rsidRPr="00382917">
        <w:t>shone</w:t>
      </w:r>
      <w:r w:rsidR="00EE4FC3">
        <w:t xml:space="preserve"> </w:t>
      </w:r>
      <w:r w:rsidRPr="00382917">
        <w:t>from</w:t>
      </w:r>
      <w:r w:rsidR="00EE4FC3">
        <w:t xml:space="preserve"> </w:t>
      </w:r>
      <w:r w:rsidRPr="00382917">
        <w:t>her</w:t>
      </w:r>
      <w:r w:rsidR="00EE4FC3">
        <w:t xml:space="preserve"> </w:t>
      </w:r>
      <w:r w:rsidRPr="00382917">
        <w:t>face</w:t>
      </w:r>
      <w:r w:rsidR="0040329F">
        <w:t>.</w:t>
      </w:r>
      <w:r w:rsidR="00EE4FC3">
        <w:t xml:space="preserve">  </w:t>
      </w:r>
      <w:r w:rsidRPr="00382917">
        <w:t>Dignified</w:t>
      </w:r>
      <w:r w:rsidR="00EE4FC3">
        <w:t xml:space="preserve"> </w:t>
      </w:r>
      <w:r w:rsidRPr="00382917">
        <w:t>and</w:t>
      </w:r>
      <w:r w:rsidR="00EE4FC3">
        <w:t xml:space="preserve"> </w:t>
      </w:r>
      <w:r w:rsidRPr="00382917">
        <w:t>confident</w:t>
      </w:r>
      <w:r w:rsidR="00EE4FC3">
        <w:t xml:space="preserve"> </w:t>
      </w:r>
      <w:r w:rsidRPr="00382917">
        <w:t>that</w:t>
      </w:r>
      <w:r w:rsidR="00EE4FC3">
        <w:t xml:space="preserve"> </w:t>
      </w:r>
      <w:r w:rsidRPr="00382917">
        <w:t>a</w:t>
      </w:r>
      <w:r w:rsidR="00EE4FC3">
        <w:t xml:space="preserve"> </w:t>
      </w:r>
      <w:r w:rsidRPr="00382917">
        <w:t>new</w:t>
      </w:r>
      <w:r w:rsidR="00EE4FC3">
        <w:t xml:space="preserve"> </w:t>
      </w:r>
      <w:r w:rsidRPr="00382917">
        <w:t>day</w:t>
      </w:r>
      <w:r w:rsidR="00EE4FC3">
        <w:t xml:space="preserve"> </w:t>
      </w:r>
      <w:r w:rsidRPr="00382917">
        <w:t>had</w:t>
      </w:r>
      <w:r w:rsidR="00EE4FC3">
        <w:t xml:space="preserve"> </w:t>
      </w:r>
      <w:r w:rsidRPr="00382917">
        <w:t>dawned,</w:t>
      </w:r>
      <w:r w:rsidR="00EE4FC3">
        <w:t xml:space="preserve"> </w:t>
      </w:r>
      <w:r w:rsidRPr="00382917">
        <w:t>Ṭáhirih</w:t>
      </w:r>
      <w:r w:rsidR="00EE4FC3">
        <w:t xml:space="preserve"> </w:t>
      </w:r>
      <w:r w:rsidRPr="00382917">
        <w:t>arose</w:t>
      </w:r>
      <w:r w:rsidR="00EE4FC3">
        <w:t xml:space="preserve"> </w:t>
      </w:r>
      <w:r w:rsidRPr="00382917">
        <w:t>from</w:t>
      </w:r>
      <w:r w:rsidR="00EE4FC3">
        <w:t xml:space="preserve"> </w:t>
      </w:r>
      <w:r w:rsidRPr="00382917">
        <w:t>her</w:t>
      </w:r>
      <w:r w:rsidR="00EE4FC3">
        <w:t xml:space="preserve"> </w:t>
      </w:r>
      <w:r w:rsidRPr="00382917">
        <w:t>seat</w:t>
      </w:r>
      <w:r w:rsidR="0040329F">
        <w:t>.</w:t>
      </w:r>
      <w:r w:rsidR="00EE4FC3">
        <w:t xml:space="preserve">  </w:t>
      </w:r>
      <w:r w:rsidRPr="00382917">
        <w:t>She</w:t>
      </w:r>
      <w:r w:rsidR="00EE4FC3">
        <w:t xml:space="preserve"> </w:t>
      </w:r>
      <w:r w:rsidRPr="00382917">
        <w:t>was</w:t>
      </w:r>
      <w:r w:rsidR="00EE4FC3">
        <w:t xml:space="preserve"> </w:t>
      </w:r>
      <w:r w:rsidRPr="00382917">
        <w:t>completely</w:t>
      </w:r>
      <w:r w:rsidR="00EE4FC3">
        <w:t xml:space="preserve"> </w:t>
      </w:r>
      <w:r w:rsidRPr="00382917">
        <w:t>indifferent</w:t>
      </w:r>
      <w:r w:rsidR="00EE4FC3">
        <w:t xml:space="preserve"> </w:t>
      </w:r>
      <w:r w:rsidRPr="00382917">
        <w:t>to</w:t>
      </w:r>
      <w:r w:rsidR="00EE4FC3">
        <w:t xml:space="preserve"> </w:t>
      </w:r>
      <w:r w:rsidRPr="00382917">
        <w:t>the</w:t>
      </w:r>
      <w:r w:rsidR="00EE4FC3">
        <w:t xml:space="preserve"> </w:t>
      </w:r>
      <w:r w:rsidRPr="00382917">
        <w:t>tumult</w:t>
      </w:r>
      <w:r w:rsidR="00EE4FC3">
        <w:t xml:space="preserve"> </w:t>
      </w:r>
      <w:r w:rsidRPr="00382917">
        <w:t>which</w:t>
      </w:r>
      <w:r w:rsidR="00EE4FC3">
        <w:t xml:space="preserve"> </w:t>
      </w:r>
      <w:r w:rsidRPr="00382917">
        <w:t>her</w:t>
      </w:r>
      <w:r w:rsidR="00EE4FC3">
        <w:t xml:space="preserve"> </w:t>
      </w:r>
      <w:r w:rsidRPr="00382917">
        <w:t>unveiled</w:t>
      </w:r>
      <w:r w:rsidR="00EE4FC3">
        <w:t xml:space="preserve"> </w:t>
      </w:r>
      <w:r w:rsidRPr="00382917">
        <w:t>appearance</w:t>
      </w:r>
      <w:r w:rsidR="00EE4FC3">
        <w:t xml:space="preserve"> </w:t>
      </w:r>
      <w:r w:rsidRPr="00382917">
        <w:t>had</w:t>
      </w:r>
      <w:r w:rsidR="00EE4FC3">
        <w:t xml:space="preserve"> </w:t>
      </w:r>
      <w:r w:rsidRPr="00382917">
        <w:t>caused</w:t>
      </w:r>
      <w:r w:rsidR="0040329F">
        <w:t>.</w:t>
      </w:r>
      <w:r w:rsidR="00EE4FC3">
        <w:t xml:space="preserve">  </w:t>
      </w:r>
      <w:r w:rsidRPr="00382917">
        <w:t>It</w:t>
      </w:r>
      <w:r w:rsidR="00EE4FC3">
        <w:t xml:space="preserve"> </w:t>
      </w:r>
      <w:r w:rsidRPr="00382917">
        <w:t>was</w:t>
      </w:r>
      <w:r w:rsidR="00EE4FC3">
        <w:t xml:space="preserve"> </w:t>
      </w:r>
      <w:r w:rsidRPr="00382917">
        <w:t>indecent</w:t>
      </w:r>
      <w:r w:rsidR="00EE4FC3">
        <w:t xml:space="preserve"> </w:t>
      </w:r>
      <w:r w:rsidRPr="00382917">
        <w:t>for</w:t>
      </w:r>
      <w:r w:rsidR="00EE4FC3">
        <w:t xml:space="preserve"> </w:t>
      </w:r>
      <w:r w:rsidRPr="00382917">
        <w:t>men</w:t>
      </w:r>
      <w:r w:rsidR="00EE4FC3">
        <w:t xml:space="preserve"> </w:t>
      </w:r>
      <w:r w:rsidRPr="00382917">
        <w:t>to</w:t>
      </w:r>
      <w:r w:rsidR="00EE4FC3">
        <w:t xml:space="preserve"> </w:t>
      </w:r>
      <w:r w:rsidRPr="00382917">
        <w:t>look</w:t>
      </w:r>
      <w:r w:rsidR="00EE4FC3">
        <w:t xml:space="preserve"> </w:t>
      </w:r>
      <w:r w:rsidRPr="00382917">
        <w:t>upon</w:t>
      </w:r>
      <w:r w:rsidR="00EE4FC3">
        <w:t xml:space="preserve"> </w:t>
      </w:r>
      <w:r w:rsidRPr="00382917">
        <w:t>her</w:t>
      </w:r>
      <w:r w:rsidR="00EE4FC3">
        <w:t xml:space="preserve"> </w:t>
      </w:r>
      <w:r w:rsidRPr="00382917">
        <w:t>uncovered</w:t>
      </w:r>
      <w:r w:rsidR="00EE4FC3">
        <w:t xml:space="preserve"> </w:t>
      </w:r>
      <w:r w:rsidRPr="00382917">
        <w:t>face.</w:t>
      </w:r>
    </w:p>
    <w:p w:rsidR="005B5622" w:rsidRPr="00382917" w:rsidRDefault="005B5622" w:rsidP="006340BC">
      <w:pPr>
        <w:pStyle w:val="Text"/>
      </w:pPr>
      <w:r w:rsidRPr="00382917">
        <w:t>Ṭáhirih,</w:t>
      </w:r>
      <w:r w:rsidR="00EE4FC3">
        <w:t xml:space="preserve"> </w:t>
      </w:r>
      <w:r w:rsidRPr="00382917">
        <w:t>however,</w:t>
      </w:r>
      <w:r w:rsidR="00EE4FC3">
        <w:t xml:space="preserve"> </w:t>
      </w:r>
      <w:r w:rsidRPr="00382917">
        <w:t>was</w:t>
      </w:r>
      <w:r w:rsidR="00EE4FC3">
        <w:t xml:space="preserve"> </w:t>
      </w:r>
      <w:r w:rsidRPr="00382917">
        <w:t>universal</w:t>
      </w:r>
      <w:r w:rsidR="00EE4FC3">
        <w:t xml:space="preserve"> </w:t>
      </w:r>
      <w:r w:rsidRPr="00382917">
        <w:t>in</w:t>
      </w:r>
      <w:r w:rsidR="00EE4FC3">
        <w:t xml:space="preserve"> </w:t>
      </w:r>
      <w:r w:rsidRPr="00382917">
        <w:t>her</w:t>
      </w:r>
      <w:r w:rsidR="00EE4FC3">
        <w:t xml:space="preserve"> </w:t>
      </w:r>
      <w:r w:rsidRPr="00382917">
        <w:t>vision</w:t>
      </w:r>
      <w:r w:rsidR="0040329F">
        <w:t>.</w:t>
      </w:r>
      <w:r w:rsidR="00EE4FC3">
        <w:t xml:space="preserve">  </w:t>
      </w:r>
      <w:r w:rsidRPr="00382917">
        <w:t>She</w:t>
      </w:r>
      <w:r w:rsidR="00EE4FC3">
        <w:t xml:space="preserve"> </w:t>
      </w:r>
      <w:r w:rsidRPr="00382917">
        <w:t>knew</w:t>
      </w:r>
      <w:r w:rsidR="00EE4FC3">
        <w:t xml:space="preserve"> </w:t>
      </w:r>
      <w:r w:rsidRPr="00382917">
        <w:t>that</w:t>
      </w:r>
      <w:r w:rsidR="00EE4FC3">
        <w:t xml:space="preserve"> </w:t>
      </w:r>
      <w:r w:rsidRPr="00382917">
        <w:t>the</w:t>
      </w:r>
    </w:p>
    <w:p w:rsidR="006340BC" w:rsidRPr="00382917" w:rsidRDefault="006340BC">
      <w:pPr>
        <w:widowControl/>
        <w:kinsoku/>
        <w:overflowPunct/>
        <w:textAlignment w:val="auto"/>
      </w:pPr>
      <w:r w:rsidRPr="00382917">
        <w:br w:type="page"/>
      </w:r>
    </w:p>
    <w:p w:rsidR="007E595F" w:rsidRPr="00382917" w:rsidRDefault="007E595F" w:rsidP="007E595F">
      <w:pPr>
        <w:pStyle w:val="Text"/>
      </w:pPr>
      <w:r w:rsidRPr="00382917">
        <w:t>Báb</w:t>
      </w:r>
      <w:r w:rsidR="009C713D" w:rsidRPr="00382917">
        <w:t>’</w:t>
      </w:r>
      <w:r w:rsidRPr="00382917">
        <w:t>s</w:t>
      </w:r>
      <w:r w:rsidR="00EE4FC3">
        <w:t xml:space="preserve"> </w:t>
      </w:r>
      <w:r w:rsidRPr="00382917">
        <w:t>Teaching</w:t>
      </w:r>
      <w:r w:rsidR="00EE4FC3">
        <w:t xml:space="preserve"> </w:t>
      </w:r>
      <w:r w:rsidRPr="00382917">
        <w:t>had</w:t>
      </w:r>
      <w:r w:rsidR="00EE4FC3">
        <w:t xml:space="preserve"> </w:t>
      </w:r>
      <w:r w:rsidRPr="00382917">
        <w:t>wiped</w:t>
      </w:r>
      <w:r w:rsidR="00EE4FC3">
        <w:t xml:space="preserve"> </w:t>
      </w:r>
      <w:r w:rsidRPr="00382917">
        <w:t>out</w:t>
      </w:r>
      <w:r w:rsidR="00EE4FC3">
        <w:t xml:space="preserve"> </w:t>
      </w:r>
      <w:r w:rsidRPr="00382917">
        <w:t>all</w:t>
      </w:r>
      <w:r w:rsidR="00EE4FC3">
        <w:t xml:space="preserve"> </w:t>
      </w:r>
      <w:r w:rsidRPr="00382917">
        <w:t>the</w:t>
      </w:r>
      <w:r w:rsidR="00EE4FC3">
        <w:t xml:space="preserve"> </w:t>
      </w:r>
      <w:r w:rsidRPr="00382917">
        <w:t>limiting</w:t>
      </w:r>
      <w:r w:rsidR="00EE4FC3">
        <w:t xml:space="preserve"> </w:t>
      </w:r>
      <w:r w:rsidRPr="00382917">
        <w:t>traditions</w:t>
      </w:r>
      <w:r w:rsidR="00EE4FC3">
        <w:t xml:space="preserve"> </w:t>
      </w:r>
      <w:r w:rsidRPr="00382917">
        <w:t>of</w:t>
      </w:r>
      <w:r w:rsidR="00EE4FC3">
        <w:t xml:space="preserve"> </w:t>
      </w:r>
      <w:r w:rsidRPr="00382917">
        <w:t>the</w:t>
      </w:r>
      <w:r w:rsidR="00EE4FC3">
        <w:t xml:space="preserve"> </w:t>
      </w:r>
      <w:r w:rsidRPr="00382917">
        <w:t>past</w:t>
      </w:r>
      <w:r w:rsidR="0040329F">
        <w:t>.</w:t>
      </w:r>
      <w:r w:rsidR="00EE4FC3">
        <w:t xml:space="preserve">  </w:t>
      </w:r>
      <w:r w:rsidRPr="00382917">
        <w:t>The</w:t>
      </w:r>
      <w:r w:rsidR="00EE4FC3">
        <w:t xml:space="preserve"> </w:t>
      </w:r>
      <w:r w:rsidRPr="00382917">
        <w:t>injustice</w:t>
      </w:r>
      <w:r w:rsidR="00EE4FC3">
        <w:t xml:space="preserve"> </w:t>
      </w:r>
      <w:r w:rsidRPr="00382917">
        <w:t>and</w:t>
      </w:r>
      <w:r w:rsidR="00EE4FC3">
        <w:t xml:space="preserve"> </w:t>
      </w:r>
      <w:r w:rsidRPr="00382917">
        <w:t>slavery</w:t>
      </w:r>
      <w:r w:rsidR="00EE4FC3">
        <w:t xml:space="preserve"> </w:t>
      </w:r>
      <w:r w:rsidRPr="00382917">
        <w:t>practiced</w:t>
      </w:r>
      <w:r w:rsidR="00EE4FC3">
        <w:t xml:space="preserve"> </w:t>
      </w:r>
      <w:r w:rsidRPr="00382917">
        <w:t>against</w:t>
      </w:r>
      <w:r w:rsidR="00EE4FC3">
        <w:t xml:space="preserve"> </w:t>
      </w:r>
      <w:r w:rsidRPr="00382917">
        <w:t>both</w:t>
      </w:r>
      <w:r w:rsidR="00EE4FC3">
        <w:t xml:space="preserve"> </w:t>
      </w:r>
      <w:r w:rsidRPr="00382917">
        <w:t>men</w:t>
      </w:r>
      <w:r w:rsidR="00EE4FC3">
        <w:t xml:space="preserve"> </w:t>
      </w:r>
      <w:r w:rsidRPr="00382917">
        <w:t>and</w:t>
      </w:r>
      <w:r w:rsidR="00EE4FC3">
        <w:t xml:space="preserve"> </w:t>
      </w:r>
      <w:r w:rsidRPr="00382917">
        <w:t>women</w:t>
      </w:r>
      <w:r w:rsidR="00EE4FC3">
        <w:t xml:space="preserve"> </w:t>
      </w:r>
      <w:r w:rsidRPr="00382917">
        <w:t>were</w:t>
      </w:r>
      <w:r w:rsidR="00EE4FC3">
        <w:t xml:space="preserve"> </w:t>
      </w:r>
      <w:r w:rsidRPr="00382917">
        <w:t>soon</w:t>
      </w:r>
      <w:r w:rsidR="00EE4FC3">
        <w:t xml:space="preserve"> </w:t>
      </w:r>
      <w:r w:rsidRPr="00382917">
        <w:t>to</w:t>
      </w:r>
      <w:r w:rsidR="00EE4FC3">
        <w:t xml:space="preserve"> </w:t>
      </w:r>
      <w:r w:rsidRPr="00382917">
        <w:t>be</w:t>
      </w:r>
      <w:r w:rsidR="00EE4FC3">
        <w:t xml:space="preserve"> </w:t>
      </w:r>
      <w:r w:rsidRPr="00382917">
        <w:t>ended</w:t>
      </w:r>
      <w:r w:rsidR="0040329F">
        <w:t>.</w:t>
      </w:r>
      <w:r w:rsidR="00EE4FC3">
        <w:t xml:space="preserve">  </w:t>
      </w:r>
      <w:r w:rsidRPr="00382917">
        <w:t>She</w:t>
      </w:r>
      <w:r w:rsidR="00EE4FC3">
        <w:t xml:space="preserve"> </w:t>
      </w:r>
      <w:r w:rsidRPr="00382917">
        <w:t>stood</w:t>
      </w:r>
      <w:r w:rsidR="00EE4FC3">
        <w:t xml:space="preserve"> </w:t>
      </w:r>
      <w:r w:rsidRPr="00382917">
        <w:t>before</w:t>
      </w:r>
      <w:r w:rsidR="00EE4FC3">
        <w:t xml:space="preserve"> </w:t>
      </w:r>
      <w:r w:rsidRPr="00382917">
        <w:t>them</w:t>
      </w:r>
      <w:r w:rsidR="00EE4FC3">
        <w:t xml:space="preserve"> </w:t>
      </w:r>
      <w:r w:rsidRPr="00382917">
        <w:t>radiant</w:t>
      </w:r>
      <w:r w:rsidR="00EE4FC3">
        <w:t xml:space="preserve"> </w:t>
      </w:r>
      <w:r w:rsidRPr="00382917">
        <w:t>with</w:t>
      </w:r>
      <w:r w:rsidR="00EE4FC3">
        <w:t xml:space="preserve"> </w:t>
      </w:r>
      <w:r w:rsidRPr="00382917">
        <w:t>an</w:t>
      </w:r>
      <w:r w:rsidR="00EE4FC3">
        <w:t xml:space="preserve"> </w:t>
      </w:r>
      <w:r w:rsidRPr="00382917">
        <w:t>inward</w:t>
      </w:r>
      <w:r w:rsidR="00EE4FC3">
        <w:t xml:space="preserve"> </w:t>
      </w:r>
      <w:r w:rsidRPr="00382917">
        <w:t>and</w:t>
      </w:r>
      <w:r w:rsidR="00EE4FC3">
        <w:t xml:space="preserve"> </w:t>
      </w:r>
      <w:r w:rsidRPr="00382917">
        <w:t>an</w:t>
      </w:r>
      <w:r w:rsidR="00EE4FC3">
        <w:t xml:space="preserve"> </w:t>
      </w:r>
      <w:r w:rsidRPr="00382917">
        <w:t>outward</w:t>
      </w:r>
      <w:r w:rsidR="00EE4FC3">
        <w:t xml:space="preserve"> </w:t>
      </w:r>
      <w:r w:rsidRPr="00382917">
        <w:t>beauty.</w:t>
      </w:r>
    </w:p>
    <w:p w:rsidR="007E595F" w:rsidRPr="00382917" w:rsidRDefault="009C713D" w:rsidP="007E595F">
      <w:pPr>
        <w:pStyle w:val="Text"/>
      </w:pPr>
      <w:r w:rsidRPr="00382917">
        <w:t>“</w:t>
      </w:r>
      <w:r w:rsidR="007E595F" w:rsidRPr="00382917">
        <w:t>I</w:t>
      </w:r>
      <w:r w:rsidR="00EE4FC3">
        <w:t xml:space="preserve"> </w:t>
      </w:r>
      <w:r w:rsidR="007E595F" w:rsidRPr="00382917">
        <w:t>am</w:t>
      </w:r>
      <w:r w:rsidR="00EE4FC3">
        <w:t xml:space="preserve"> </w:t>
      </w:r>
      <w:r w:rsidR="007E595F" w:rsidRPr="00382917">
        <w:t>the</w:t>
      </w:r>
      <w:r w:rsidR="00EE4FC3">
        <w:t xml:space="preserve"> </w:t>
      </w:r>
      <w:r w:rsidR="007E595F" w:rsidRPr="00382917">
        <w:t>blast</w:t>
      </w:r>
      <w:r w:rsidR="00EE4FC3">
        <w:t xml:space="preserve"> </w:t>
      </w:r>
      <w:r w:rsidR="007E595F" w:rsidRPr="00382917">
        <w:t>of</w:t>
      </w:r>
      <w:r w:rsidR="00EE4FC3">
        <w:t xml:space="preserve"> </w:t>
      </w:r>
      <w:r w:rsidR="007E595F" w:rsidRPr="00382917">
        <w:t>the</w:t>
      </w:r>
      <w:r w:rsidR="00EE4FC3">
        <w:t xml:space="preserve"> </w:t>
      </w:r>
      <w:r w:rsidR="007E595F" w:rsidRPr="00382917">
        <w:t>trumpet!</w:t>
      </w:r>
      <w:r w:rsidRPr="00382917">
        <w:t>”</w:t>
      </w:r>
      <w:r w:rsidR="00EE4FC3">
        <w:t xml:space="preserve"> </w:t>
      </w:r>
      <w:r w:rsidR="007E595F" w:rsidRPr="00382917">
        <w:t>she</w:t>
      </w:r>
      <w:r w:rsidR="00EE4FC3">
        <w:t xml:space="preserve"> </w:t>
      </w:r>
      <w:r w:rsidR="007E595F" w:rsidRPr="00382917">
        <w:t>cried</w:t>
      </w:r>
      <w:r w:rsidR="00EE4FC3">
        <w:t xml:space="preserve"> </w:t>
      </w:r>
      <w:r w:rsidR="007E595F" w:rsidRPr="00382917">
        <w:t>out</w:t>
      </w:r>
      <w:r w:rsidR="0040329F">
        <w:t>.</w:t>
      </w:r>
      <w:r w:rsidR="00EE4FC3">
        <w:t xml:space="preserve">  </w:t>
      </w:r>
      <w:r w:rsidRPr="00382917">
        <w:t>“</w:t>
      </w:r>
      <w:r w:rsidR="007E595F" w:rsidRPr="00382917">
        <w:t>I</w:t>
      </w:r>
      <w:r w:rsidR="00EE4FC3">
        <w:t xml:space="preserve"> </w:t>
      </w:r>
      <w:r w:rsidR="007E595F" w:rsidRPr="00382917">
        <w:t>am</w:t>
      </w:r>
      <w:r w:rsidR="00EE4FC3">
        <w:t xml:space="preserve"> </w:t>
      </w:r>
      <w:r w:rsidR="007E595F" w:rsidRPr="00382917">
        <w:t>the</w:t>
      </w:r>
      <w:r w:rsidR="00EE4FC3">
        <w:t xml:space="preserve"> </w:t>
      </w:r>
      <w:r w:rsidR="007E595F" w:rsidRPr="00382917">
        <w:t>call</w:t>
      </w:r>
      <w:r w:rsidR="00EE4FC3">
        <w:t xml:space="preserve"> </w:t>
      </w:r>
      <w:r w:rsidR="007E595F" w:rsidRPr="00382917">
        <w:t>of</w:t>
      </w:r>
      <w:r w:rsidR="00EE4FC3">
        <w:t xml:space="preserve"> </w:t>
      </w:r>
      <w:r w:rsidR="007E595F" w:rsidRPr="00382917">
        <w:t>the</w:t>
      </w:r>
      <w:r w:rsidR="00EE4FC3">
        <w:t xml:space="preserve"> </w:t>
      </w:r>
      <w:r w:rsidR="007E595F" w:rsidRPr="00382917">
        <w:t>bugle!</w:t>
      </w:r>
      <w:r w:rsidRPr="00382917">
        <w:t>”</w:t>
      </w:r>
    </w:p>
    <w:p w:rsidR="007E595F" w:rsidRPr="00382917" w:rsidRDefault="007E595F" w:rsidP="00CF283F">
      <w:pPr>
        <w:pStyle w:val="Text"/>
      </w:pPr>
      <w:r w:rsidRPr="00382917">
        <w:t>Gone</w:t>
      </w:r>
      <w:r w:rsidR="00EE4FC3">
        <w:t xml:space="preserve"> </w:t>
      </w:r>
      <w:r w:rsidRPr="00382917">
        <w:t>are</w:t>
      </w:r>
      <w:r w:rsidR="00EE4FC3">
        <w:t xml:space="preserve"> </w:t>
      </w:r>
      <w:r w:rsidRPr="00382917">
        <w:t>the</w:t>
      </w:r>
      <w:r w:rsidR="00EE4FC3">
        <w:t xml:space="preserve"> </w:t>
      </w:r>
      <w:r w:rsidRPr="00382917">
        <w:t>days</w:t>
      </w:r>
      <w:r w:rsidR="00EE4FC3">
        <w:t xml:space="preserve"> </w:t>
      </w:r>
      <w:r w:rsidRPr="00382917">
        <w:t>of</w:t>
      </w:r>
      <w:r w:rsidR="00EE4FC3">
        <w:t xml:space="preserve"> </w:t>
      </w:r>
      <w:r w:rsidRPr="00382917">
        <w:t>dread</w:t>
      </w:r>
      <w:r w:rsidR="00EE4FC3">
        <w:t xml:space="preserve"> </w:t>
      </w:r>
      <w:r w:rsidRPr="00382917">
        <w:t>and</w:t>
      </w:r>
      <w:r w:rsidR="00EE4FC3">
        <w:t xml:space="preserve"> </w:t>
      </w:r>
      <w:r w:rsidRPr="00382917">
        <w:t>subjection</w:t>
      </w:r>
      <w:r w:rsidR="00EE4FC3">
        <w:t xml:space="preserve"> </w:t>
      </w:r>
      <w:r w:rsidRPr="00382917">
        <w:t>for</w:t>
      </w:r>
      <w:r w:rsidR="00EE4FC3">
        <w:t xml:space="preserve"> </w:t>
      </w:r>
      <w:r w:rsidRPr="00382917">
        <w:t>any</w:t>
      </w:r>
      <w:r w:rsidR="00EE4FC3">
        <w:t xml:space="preserve"> </w:t>
      </w:r>
      <w:r w:rsidRPr="00382917">
        <w:t>of</w:t>
      </w:r>
      <w:r w:rsidR="00EE4FC3">
        <w:t xml:space="preserve"> </w:t>
      </w:r>
      <w:r w:rsidRPr="00382917">
        <w:t>the</w:t>
      </w:r>
      <w:r w:rsidR="00EE4FC3">
        <w:t xml:space="preserve"> </w:t>
      </w:r>
      <w:r w:rsidRPr="00382917">
        <w:t>creatures</w:t>
      </w:r>
      <w:r w:rsidR="00EE4FC3">
        <w:t xml:space="preserve"> </w:t>
      </w:r>
      <w:r w:rsidRPr="00382917">
        <w:t>of</w:t>
      </w:r>
      <w:r w:rsidR="00EE4FC3">
        <w:t xml:space="preserve"> </w:t>
      </w:r>
      <w:r w:rsidRPr="00382917">
        <w:t>God,</w:t>
      </w:r>
      <w:r w:rsidR="00EE4FC3">
        <w:t xml:space="preserve"> </w:t>
      </w:r>
      <w:r w:rsidRPr="00382917">
        <w:t>her</w:t>
      </w:r>
      <w:r w:rsidR="00EE4FC3">
        <w:t xml:space="preserve"> </w:t>
      </w:r>
      <w:r w:rsidRPr="00382917">
        <w:t>words</w:t>
      </w:r>
      <w:r w:rsidR="00EE4FC3">
        <w:t xml:space="preserve"> </w:t>
      </w:r>
      <w:r w:rsidRPr="00382917">
        <w:t>called</w:t>
      </w:r>
      <w:r w:rsidR="00EE4FC3">
        <w:t xml:space="preserve"> </w:t>
      </w:r>
      <w:r w:rsidRPr="00382917">
        <w:t>out</w:t>
      </w:r>
      <w:r w:rsidR="0040329F">
        <w:t>.</w:t>
      </w:r>
      <w:r w:rsidR="00EE4FC3">
        <w:t xml:space="preserve">  </w:t>
      </w:r>
      <w:r w:rsidRPr="00382917">
        <w:t>Exultant</w:t>
      </w:r>
      <w:r w:rsidR="00EE4FC3">
        <w:t xml:space="preserve"> </w:t>
      </w:r>
      <w:r w:rsidRPr="00382917">
        <w:t>with</w:t>
      </w:r>
      <w:r w:rsidR="00EE4FC3">
        <w:t xml:space="preserve"> </w:t>
      </w:r>
      <w:r w:rsidRPr="00382917">
        <w:t>joy,</w:t>
      </w:r>
      <w:r w:rsidR="00EE4FC3">
        <w:t xml:space="preserve"> </w:t>
      </w:r>
      <w:r w:rsidRPr="00382917">
        <w:t>she</w:t>
      </w:r>
      <w:r w:rsidR="00EE4FC3">
        <w:t xml:space="preserve"> </w:t>
      </w:r>
      <w:r w:rsidRPr="00382917">
        <w:t>then</w:t>
      </w:r>
      <w:r w:rsidR="00EE4FC3">
        <w:t xml:space="preserve"> </w:t>
      </w:r>
      <w:r w:rsidRPr="00382917">
        <w:t>delivered</w:t>
      </w:r>
      <w:r w:rsidR="00EE4FC3">
        <w:t xml:space="preserve"> </w:t>
      </w:r>
      <w:r w:rsidRPr="00382917">
        <w:t>a</w:t>
      </w:r>
      <w:r w:rsidR="00EE4FC3">
        <w:t xml:space="preserve"> </w:t>
      </w:r>
      <w:r w:rsidRPr="00382917">
        <w:t>fervent</w:t>
      </w:r>
      <w:r w:rsidR="00EE4FC3">
        <w:t xml:space="preserve"> </w:t>
      </w:r>
      <w:r w:rsidRPr="00382917">
        <w:t>and</w:t>
      </w:r>
      <w:r w:rsidR="00EE4FC3">
        <w:t xml:space="preserve"> </w:t>
      </w:r>
      <w:r w:rsidRPr="00382917">
        <w:t>eloquent</w:t>
      </w:r>
      <w:r w:rsidR="00EE4FC3">
        <w:t xml:space="preserve"> </w:t>
      </w:r>
      <w:r w:rsidRPr="00382917">
        <w:t>appeal</w:t>
      </w:r>
      <w:r w:rsidR="00EE4FC3">
        <w:t xml:space="preserve"> </w:t>
      </w:r>
      <w:r w:rsidRPr="00382917">
        <w:t>to</w:t>
      </w:r>
      <w:r w:rsidR="00EE4FC3">
        <w:t xml:space="preserve"> </w:t>
      </w:r>
      <w:r w:rsidRPr="00382917">
        <w:t>that</w:t>
      </w:r>
      <w:r w:rsidR="00EE4FC3">
        <w:t xml:space="preserve"> </w:t>
      </w:r>
      <w:r w:rsidRPr="00382917">
        <w:t>assembly</w:t>
      </w:r>
      <w:r w:rsidR="0040329F">
        <w:t>.</w:t>
      </w:r>
      <w:r w:rsidR="00EE4FC3">
        <w:t xml:space="preserve">  </w:t>
      </w:r>
      <w:r w:rsidRPr="00382917">
        <w:t>Some</w:t>
      </w:r>
      <w:r w:rsidR="00EE4FC3">
        <w:t xml:space="preserve"> </w:t>
      </w:r>
      <w:r w:rsidRPr="00382917">
        <w:t>on</w:t>
      </w:r>
      <w:r w:rsidR="00EE4FC3">
        <w:t xml:space="preserve"> </w:t>
      </w:r>
      <w:r w:rsidRPr="00382917">
        <w:t>that</w:t>
      </w:r>
      <w:r w:rsidR="00EE4FC3">
        <w:t xml:space="preserve"> </w:t>
      </w:r>
      <w:r w:rsidRPr="00382917">
        <w:t>day</w:t>
      </w:r>
      <w:r w:rsidR="00EE4FC3">
        <w:t xml:space="preserve"> </w:t>
      </w:r>
      <w:r w:rsidRPr="00382917">
        <w:t>recalled</w:t>
      </w:r>
      <w:r w:rsidR="00EE4FC3">
        <w:t xml:space="preserve"> </w:t>
      </w:r>
      <w:r w:rsidRPr="00382917">
        <w:t>the</w:t>
      </w:r>
      <w:r w:rsidR="00EE4FC3">
        <w:t xml:space="preserve"> </w:t>
      </w:r>
      <w:r w:rsidRPr="00382917">
        <w:t>words</w:t>
      </w:r>
      <w:r w:rsidR="00EE4FC3">
        <w:t xml:space="preserve"> </w:t>
      </w:r>
      <w:r w:rsidRPr="00382917">
        <w:t>of</w:t>
      </w:r>
      <w:r w:rsidR="00EE4FC3">
        <w:t xml:space="preserve"> </w:t>
      </w:r>
      <w:r w:rsidRPr="00382917">
        <w:t>the</w:t>
      </w:r>
      <w:r w:rsidR="00EE4FC3">
        <w:t xml:space="preserve"> </w:t>
      </w:r>
      <w:r w:rsidRPr="00382917">
        <w:t>prophecy</w:t>
      </w:r>
      <w:r w:rsidR="00EE4FC3">
        <w:t xml:space="preserve"> </w:t>
      </w:r>
      <w:r w:rsidRPr="00382917">
        <w:t>which</w:t>
      </w:r>
      <w:r w:rsidR="00EE4FC3">
        <w:t xml:space="preserve"> </w:t>
      </w:r>
      <w:r w:rsidRPr="00382917">
        <w:t>foretold</w:t>
      </w:r>
      <w:r w:rsidR="00EE4FC3">
        <w:t xml:space="preserve"> </w:t>
      </w:r>
      <w:r w:rsidRPr="00382917">
        <w:t>that</w:t>
      </w:r>
      <w:r w:rsidR="00EE4FC3">
        <w:t xml:space="preserve"> </w:t>
      </w:r>
      <w:r w:rsidRPr="00382917">
        <w:t>in</w:t>
      </w:r>
      <w:r w:rsidR="00EE4FC3">
        <w:t xml:space="preserve"> </w:t>
      </w:r>
      <w:r w:rsidRPr="00382917">
        <w:t>the</w:t>
      </w:r>
      <w:r w:rsidR="00EE4FC3">
        <w:t xml:space="preserve"> </w:t>
      </w:r>
      <w:r w:rsidRPr="00382917">
        <w:t>day</w:t>
      </w:r>
      <w:r w:rsidR="00EE4FC3">
        <w:t xml:space="preserve"> </w:t>
      </w:r>
      <w:r w:rsidRPr="00382917">
        <w:t>of</w:t>
      </w:r>
      <w:r w:rsidR="00EE4FC3">
        <w:t xml:space="preserve"> </w:t>
      </w:r>
      <w:r w:rsidRPr="00382917">
        <w:t>the</w:t>
      </w:r>
      <w:r w:rsidR="00EE4FC3">
        <w:t xml:space="preserve"> </w:t>
      </w:r>
      <w:r w:rsidRPr="00382917">
        <w:t>Promised</w:t>
      </w:r>
      <w:r w:rsidR="00EE4FC3">
        <w:t xml:space="preserve"> </w:t>
      </w:r>
      <w:r w:rsidRPr="00382917">
        <w:t>One,</w:t>
      </w:r>
      <w:r w:rsidR="00EE4FC3">
        <w:t xml:space="preserve"> </w:t>
      </w:r>
      <w:r w:rsidRPr="00382917">
        <w:t>Fá</w:t>
      </w:r>
      <w:r w:rsidR="0040329F" w:rsidRPr="0040329F">
        <w:t>ṭ</w:t>
      </w:r>
      <w:r w:rsidRPr="00382917">
        <w:t>imih,</w:t>
      </w:r>
      <w:r w:rsidR="00EE4FC3">
        <w:t xml:space="preserve"> </w:t>
      </w:r>
      <w:r w:rsidRPr="00382917">
        <w:t>herself,</w:t>
      </w:r>
      <w:r w:rsidR="00EE4FC3">
        <w:t xml:space="preserve"> </w:t>
      </w:r>
      <w:r w:rsidRPr="00382917">
        <w:t>would</w:t>
      </w:r>
      <w:r w:rsidR="00EE4FC3">
        <w:t xml:space="preserve"> </w:t>
      </w:r>
      <w:r w:rsidRPr="00382917">
        <w:t>appear</w:t>
      </w:r>
      <w:r w:rsidR="00EE4FC3">
        <w:t xml:space="preserve"> </w:t>
      </w:r>
      <w:r w:rsidRPr="00382917">
        <w:t>unveiled</w:t>
      </w:r>
      <w:r w:rsidR="00EE4FC3">
        <w:t xml:space="preserve"> </w:t>
      </w:r>
      <w:r w:rsidRPr="00382917">
        <w:t>before</w:t>
      </w:r>
      <w:r w:rsidR="00EE4FC3">
        <w:t xml:space="preserve"> </w:t>
      </w:r>
      <w:r w:rsidRPr="00382917">
        <w:t>them</w:t>
      </w:r>
      <w:r w:rsidR="0040329F">
        <w:t>.</w:t>
      </w:r>
      <w:r w:rsidR="00EE4FC3">
        <w:t xml:space="preserve">  </w:t>
      </w:r>
      <w:r w:rsidRPr="00382917">
        <w:t>Others</w:t>
      </w:r>
      <w:r w:rsidR="00EE4FC3">
        <w:t xml:space="preserve"> </w:t>
      </w:r>
      <w:r w:rsidRPr="00382917">
        <w:t>may</w:t>
      </w:r>
      <w:r w:rsidR="00EE4FC3">
        <w:t xml:space="preserve"> </w:t>
      </w:r>
      <w:r w:rsidRPr="00382917">
        <w:t>have</w:t>
      </w:r>
      <w:r w:rsidR="00EE4FC3">
        <w:t xml:space="preserve"> </w:t>
      </w:r>
      <w:r w:rsidRPr="00382917">
        <w:t>remembered</w:t>
      </w:r>
      <w:r w:rsidR="00EE4FC3">
        <w:t xml:space="preserve"> </w:t>
      </w:r>
      <w:r w:rsidRPr="00382917">
        <w:t>the</w:t>
      </w:r>
      <w:r w:rsidR="00EE4FC3">
        <w:t xml:space="preserve"> </w:t>
      </w:r>
      <w:r w:rsidRPr="00382917">
        <w:t>sound</w:t>
      </w:r>
      <w:r w:rsidR="00EE4FC3">
        <w:t xml:space="preserve"> </w:t>
      </w:r>
      <w:r w:rsidRPr="00382917">
        <w:t>of</w:t>
      </w:r>
      <w:r w:rsidR="00EE4FC3">
        <w:t xml:space="preserve"> </w:t>
      </w:r>
      <w:r w:rsidRPr="00382917">
        <w:t>the</w:t>
      </w:r>
      <w:r w:rsidR="00EE4FC3">
        <w:t xml:space="preserve"> </w:t>
      </w:r>
      <w:r w:rsidR="009C713D" w:rsidRPr="00382917">
        <w:t>“</w:t>
      </w:r>
      <w:r w:rsidRPr="00382917">
        <w:t>bugle</w:t>
      </w:r>
      <w:r w:rsidR="009C713D" w:rsidRPr="00382917">
        <w:t>”</w:t>
      </w:r>
      <w:r w:rsidR="00EE4FC3">
        <w:t xml:space="preserve"> </w:t>
      </w:r>
      <w:r w:rsidRPr="00382917">
        <w:t>and</w:t>
      </w:r>
      <w:r w:rsidR="00EE4FC3">
        <w:t xml:space="preserve"> </w:t>
      </w:r>
      <w:r w:rsidRPr="00382917">
        <w:t>the</w:t>
      </w:r>
      <w:r w:rsidR="00EE4FC3">
        <w:t xml:space="preserve"> </w:t>
      </w:r>
      <w:r w:rsidR="009C713D" w:rsidRPr="00382917">
        <w:t>“</w:t>
      </w:r>
      <w:r w:rsidRPr="00382917">
        <w:t>stunning</w:t>
      </w:r>
      <w:r w:rsidR="00EE4FC3">
        <w:t xml:space="preserve"> </w:t>
      </w:r>
      <w:r w:rsidRPr="00382917">
        <w:t>trumpet</w:t>
      </w:r>
      <w:r w:rsidR="00EE4FC3">
        <w:t xml:space="preserve"> </w:t>
      </w:r>
      <w:r w:rsidRPr="00382917">
        <w:t>blast</w:t>
      </w:r>
      <w:r w:rsidR="009C713D" w:rsidRPr="00382917">
        <w:t>”</w:t>
      </w:r>
      <w:r w:rsidR="00EE4FC3">
        <w:t xml:space="preserve"> </w:t>
      </w:r>
      <w:r w:rsidRPr="00382917">
        <w:t>promised</w:t>
      </w:r>
      <w:r w:rsidR="00EE4FC3">
        <w:t xml:space="preserve"> </w:t>
      </w:r>
      <w:r w:rsidRPr="00382917">
        <w:t>in</w:t>
      </w:r>
      <w:r w:rsidR="00EE4FC3">
        <w:t xml:space="preserve"> </w:t>
      </w:r>
      <w:r w:rsidRPr="00382917">
        <w:t>their</w:t>
      </w:r>
      <w:r w:rsidR="00EE4FC3">
        <w:t xml:space="preserve"> </w:t>
      </w:r>
      <w:r w:rsidRPr="00382917">
        <w:t>own</w:t>
      </w:r>
      <w:r w:rsidR="00EE4FC3">
        <w:t xml:space="preserve"> </w:t>
      </w:r>
      <w:r w:rsidRPr="00382917">
        <w:t>holy</w:t>
      </w:r>
      <w:r w:rsidR="00EE4FC3">
        <w:t xml:space="preserve"> </w:t>
      </w:r>
      <w:r w:rsidRPr="00382917">
        <w:t>Book</w:t>
      </w:r>
      <w:r w:rsidR="00EE4FC3">
        <w:t xml:space="preserve"> </w:t>
      </w:r>
      <w:r w:rsidRPr="00382917">
        <w:t>for</w:t>
      </w:r>
      <w:r w:rsidR="00EE4FC3">
        <w:t xml:space="preserve"> </w:t>
      </w:r>
      <w:r w:rsidRPr="00382917">
        <w:t>the</w:t>
      </w:r>
      <w:r w:rsidR="00EE4FC3">
        <w:t xml:space="preserve"> </w:t>
      </w:r>
      <w:r w:rsidR="009C713D" w:rsidRPr="00382917">
        <w:t>“</w:t>
      </w:r>
      <w:r w:rsidRPr="00382917">
        <w:t>last</w:t>
      </w:r>
      <w:r w:rsidR="00EE4FC3">
        <w:t xml:space="preserve"> </w:t>
      </w:r>
      <w:r w:rsidRPr="00382917">
        <w:t>days</w:t>
      </w:r>
      <w:r w:rsidR="009C713D" w:rsidRPr="00382917">
        <w:t>”</w:t>
      </w:r>
      <w:r w:rsidR="00CF283F">
        <w:t>.</w:t>
      </w:r>
      <w:r w:rsidR="00CF283F">
        <w:rPr>
          <w:rStyle w:val="FootnoteReference"/>
        </w:rPr>
        <w:footnoteReference w:id="152"/>
      </w:r>
    </w:p>
    <w:p w:rsidR="007E595F" w:rsidRPr="00382917" w:rsidRDefault="007E595F" w:rsidP="007E595F">
      <w:pPr>
        <w:pStyle w:val="Text"/>
      </w:pPr>
      <w:r w:rsidRPr="00382917">
        <w:t>Ṭáhirih</w:t>
      </w:r>
      <w:r w:rsidR="00EE4FC3">
        <w:t xml:space="preserve"> </w:t>
      </w:r>
      <w:r w:rsidRPr="00382917">
        <w:t>finished</w:t>
      </w:r>
      <w:r w:rsidR="00EE4FC3">
        <w:t xml:space="preserve"> </w:t>
      </w:r>
      <w:r w:rsidRPr="00382917">
        <w:t>her</w:t>
      </w:r>
      <w:r w:rsidR="00EE4FC3">
        <w:t xml:space="preserve"> </w:t>
      </w:r>
      <w:r w:rsidRPr="00382917">
        <w:t>appeal</w:t>
      </w:r>
      <w:r w:rsidR="00EE4FC3">
        <w:t xml:space="preserve"> </w:t>
      </w:r>
      <w:r w:rsidRPr="00382917">
        <w:t>by</w:t>
      </w:r>
      <w:r w:rsidR="00EE4FC3">
        <w:t xml:space="preserve"> </w:t>
      </w:r>
      <w:r w:rsidRPr="00382917">
        <w:t>inviting</w:t>
      </w:r>
      <w:r w:rsidR="00EE4FC3">
        <w:t xml:space="preserve"> </w:t>
      </w:r>
      <w:r w:rsidRPr="00382917">
        <w:t>all</w:t>
      </w:r>
      <w:r w:rsidR="00EE4FC3">
        <w:t xml:space="preserve"> </w:t>
      </w:r>
      <w:r w:rsidRPr="00382917">
        <w:t>who</w:t>
      </w:r>
      <w:r w:rsidR="00EE4FC3">
        <w:t xml:space="preserve"> </w:t>
      </w:r>
      <w:r w:rsidRPr="00382917">
        <w:t>were</w:t>
      </w:r>
      <w:r w:rsidR="00EE4FC3">
        <w:t xml:space="preserve"> </w:t>
      </w:r>
      <w:r w:rsidRPr="00382917">
        <w:t>present</w:t>
      </w:r>
      <w:r w:rsidR="00EE4FC3">
        <w:t xml:space="preserve"> </w:t>
      </w:r>
      <w:r w:rsidRPr="00382917">
        <w:t>to</w:t>
      </w:r>
      <w:r w:rsidR="00EE4FC3">
        <w:t xml:space="preserve"> </w:t>
      </w:r>
      <w:r w:rsidRPr="00382917">
        <w:t>celebrate</w:t>
      </w:r>
      <w:r w:rsidR="00EE4FC3">
        <w:t xml:space="preserve"> </w:t>
      </w:r>
      <w:r w:rsidRPr="00382917">
        <w:t>this</w:t>
      </w:r>
      <w:r w:rsidR="00EE4FC3">
        <w:t xml:space="preserve"> </w:t>
      </w:r>
      <w:r w:rsidRPr="00382917">
        <w:t>great</w:t>
      </w:r>
      <w:r w:rsidR="00EE4FC3">
        <w:t xml:space="preserve"> </w:t>
      </w:r>
      <w:r w:rsidRPr="00382917">
        <w:t>occasion</w:t>
      </w:r>
      <w:r w:rsidR="00EE4FC3">
        <w:t xml:space="preserve"> </w:t>
      </w:r>
      <w:r w:rsidRPr="00382917">
        <w:t>befittingly.</w:t>
      </w:r>
    </w:p>
    <w:p w:rsidR="007E595F" w:rsidRPr="00382917" w:rsidRDefault="009C713D" w:rsidP="00606B9A">
      <w:pPr>
        <w:pStyle w:val="Text"/>
      </w:pPr>
      <w:r w:rsidRPr="00382917">
        <w:t>“</w:t>
      </w:r>
      <w:r w:rsidR="007E595F" w:rsidRPr="00382917">
        <w:t>This</w:t>
      </w:r>
      <w:r w:rsidR="00EE4FC3">
        <w:t xml:space="preserve"> </w:t>
      </w:r>
      <w:r w:rsidR="007E595F" w:rsidRPr="00382917">
        <w:t>is</w:t>
      </w:r>
      <w:r w:rsidR="00EE4FC3">
        <w:t xml:space="preserve"> </w:t>
      </w:r>
      <w:r w:rsidR="007E595F" w:rsidRPr="00382917">
        <w:t>the</w:t>
      </w:r>
      <w:r w:rsidR="00EE4FC3">
        <w:t xml:space="preserve"> </w:t>
      </w:r>
      <w:r w:rsidR="007E595F" w:rsidRPr="00382917">
        <w:t>day</w:t>
      </w:r>
      <w:r w:rsidR="00EE4FC3">
        <w:t xml:space="preserve"> </w:t>
      </w:r>
      <w:r w:rsidR="007E595F" w:rsidRPr="00382917">
        <w:t>of</w:t>
      </w:r>
      <w:r w:rsidR="00EE4FC3">
        <w:t xml:space="preserve"> </w:t>
      </w:r>
      <w:r w:rsidR="007E595F" w:rsidRPr="00382917">
        <w:t>festivity</w:t>
      </w:r>
      <w:r w:rsidR="00EE4FC3">
        <w:t xml:space="preserve"> </w:t>
      </w:r>
      <w:r w:rsidR="007E595F" w:rsidRPr="00382917">
        <w:t>and</w:t>
      </w:r>
      <w:r w:rsidR="00EE4FC3">
        <w:t xml:space="preserve"> </w:t>
      </w:r>
      <w:r w:rsidR="007E595F" w:rsidRPr="00382917">
        <w:t>of</w:t>
      </w:r>
      <w:r w:rsidR="00EE4FC3">
        <w:t xml:space="preserve"> </w:t>
      </w:r>
      <w:r w:rsidR="007E595F" w:rsidRPr="00382917">
        <w:t>universal</w:t>
      </w:r>
      <w:r w:rsidR="00EE4FC3">
        <w:t xml:space="preserve"> </w:t>
      </w:r>
      <w:r w:rsidR="007E595F" w:rsidRPr="00382917">
        <w:t>rejoicing,</w:t>
      </w:r>
      <w:r w:rsidRPr="00382917">
        <w:t>”</w:t>
      </w:r>
      <w:r w:rsidR="00EE4FC3">
        <w:t xml:space="preserve"> </w:t>
      </w:r>
      <w:r w:rsidR="007E595F" w:rsidRPr="00382917">
        <w:t>she</w:t>
      </w:r>
      <w:r w:rsidR="00EE4FC3">
        <w:t xml:space="preserve"> </w:t>
      </w:r>
      <w:r w:rsidR="007E595F" w:rsidRPr="00382917">
        <w:t>said</w:t>
      </w:r>
      <w:r w:rsidR="0040329F">
        <w:t>.</w:t>
      </w:r>
      <w:r w:rsidR="00EE4FC3">
        <w:t xml:space="preserve">  </w:t>
      </w:r>
      <w:proofErr w:type="gramStart"/>
      <w:r w:rsidRPr="00382917">
        <w:t>“</w:t>
      </w:r>
      <w:r w:rsidR="007E595F" w:rsidRPr="00382917">
        <w:t>The</w:t>
      </w:r>
      <w:r w:rsidR="00EE4FC3">
        <w:t xml:space="preserve"> </w:t>
      </w:r>
      <w:r w:rsidR="007E595F" w:rsidRPr="00382917">
        <w:t>day</w:t>
      </w:r>
      <w:r w:rsidR="00EE4FC3">
        <w:t xml:space="preserve"> </w:t>
      </w:r>
      <w:r w:rsidR="007E595F" w:rsidRPr="00382917">
        <w:t>on</w:t>
      </w:r>
      <w:r w:rsidR="00EE4FC3">
        <w:t xml:space="preserve"> </w:t>
      </w:r>
      <w:r w:rsidR="007E595F" w:rsidRPr="00382917">
        <w:t>which</w:t>
      </w:r>
      <w:r w:rsidR="00EE4FC3">
        <w:t xml:space="preserve"> </w:t>
      </w:r>
      <w:r w:rsidR="007E595F" w:rsidRPr="00382917">
        <w:t>the</w:t>
      </w:r>
      <w:r w:rsidR="00EE4FC3">
        <w:t xml:space="preserve"> </w:t>
      </w:r>
      <w:r w:rsidR="007E595F" w:rsidRPr="00382917">
        <w:t>fetters</w:t>
      </w:r>
      <w:r w:rsidR="00EE4FC3">
        <w:t xml:space="preserve"> </w:t>
      </w:r>
      <w:r w:rsidR="007E595F" w:rsidRPr="00382917">
        <w:t>of</w:t>
      </w:r>
      <w:r w:rsidR="00EE4FC3">
        <w:t xml:space="preserve"> </w:t>
      </w:r>
      <w:r w:rsidR="007E595F" w:rsidRPr="00382917">
        <w:t>the</w:t>
      </w:r>
      <w:r w:rsidR="00EE4FC3">
        <w:t xml:space="preserve"> </w:t>
      </w:r>
      <w:r w:rsidR="007E595F" w:rsidRPr="00382917">
        <w:t>past</w:t>
      </w:r>
      <w:r w:rsidR="00EE4FC3">
        <w:t xml:space="preserve"> </w:t>
      </w:r>
      <w:r w:rsidR="007E595F" w:rsidRPr="00382917">
        <w:t>are</w:t>
      </w:r>
      <w:r w:rsidR="00EE4FC3">
        <w:t xml:space="preserve"> </w:t>
      </w:r>
      <w:r w:rsidR="007E595F" w:rsidRPr="00382917">
        <w:t>burst</w:t>
      </w:r>
      <w:r w:rsidR="00EE4FC3">
        <w:t xml:space="preserve"> </w:t>
      </w:r>
      <w:r w:rsidR="007E595F" w:rsidRPr="00382917">
        <w:t>asunder</w:t>
      </w:r>
      <w:r w:rsidR="0040329F">
        <w:t>.</w:t>
      </w:r>
      <w:proofErr w:type="gramEnd"/>
      <w:r w:rsidR="00EE4FC3">
        <w:t xml:space="preserve">  </w:t>
      </w:r>
      <w:r w:rsidR="007E595F" w:rsidRPr="00382917">
        <w:t>Let</w:t>
      </w:r>
      <w:r w:rsidR="00EE4FC3">
        <w:t xml:space="preserve"> </w:t>
      </w:r>
      <w:r w:rsidR="007E595F" w:rsidRPr="00382917">
        <w:t>those</w:t>
      </w:r>
      <w:r w:rsidR="00EE4FC3">
        <w:t xml:space="preserve"> </w:t>
      </w:r>
      <w:r w:rsidR="007E595F" w:rsidRPr="00382917">
        <w:t>who</w:t>
      </w:r>
      <w:r w:rsidR="00EE4FC3">
        <w:t xml:space="preserve"> </w:t>
      </w:r>
      <w:r w:rsidR="007E595F" w:rsidRPr="00382917">
        <w:t>have</w:t>
      </w:r>
      <w:r w:rsidR="00EE4FC3">
        <w:t xml:space="preserve"> </w:t>
      </w:r>
      <w:r w:rsidR="007E595F" w:rsidRPr="00382917">
        <w:t>shared</w:t>
      </w:r>
      <w:r w:rsidR="00EE4FC3">
        <w:t xml:space="preserve"> </w:t>
      </w:r>
      <w:r w:rsidR="007E595F" w:rsidRPr="00382917">
        <w:t>in</w:t>
      </w:r>
      <w:r w:rsidR="00EE4FC3">
        <w:t xml:space="preserve"> </w:t>
      </w:r>
      <w:r w:rsidR="007E595F" w:rsidRPr="00382917">
        <w:t>this</w:t>
      </w:r>
      <w:r w:rsidR="00EE4FC3">
        <w:t xml:space="preserve"> </w:t>
      </w:r>
      <w:r w:rsidR="007E595F" w:rsidRPr="00382917">
        <w:t>great</w:t>
      </w:r>
      <w:r w:rsidR="00EE4FC3">
        <w:t xml:space="preserve"> </w:t>
      </w:r>
      <w:r w:rsidR="007E595F" w:rsidRPr="00382917">
        <w:t>achievement</w:t>
      </w:r>
      <w:r w:rsidR="00EE4FC3">
        <w:t xml:space="preserve"> </w:t>
      </w:r>
      <w:r w:rsidR="007E595F" w:rsidRPr="00382917">
        <w:t>arise</w:t>
      </w:r>
      <w:r w:rsidR="00EE4FC3">
        <w:t xml:space="preserve"> </w:t>
      </w:r>
      <w:r w:rsidR="007E595F" w:rsidRPr="00382917">
        <w:t>and</w:t>
      </w:r>
      <w:r w:rsidR="00EE4FC3">
        <w:t xml:space="preserve"> </w:t>
      </w:r>
      <w:r w:rsidR="007E595F" w:rsidRPr="00382917">
        <w:t>embrace</w:t>
      </w:r>
      <w:r w:rsidR="00EE4FC3">
        <w:t xml:space="preserve"> </w:t>
      </w:r>
      <w:r w:rsidR="007E595F" w:rsidRPr="00382917">
        <w:t>each</w:t>
      </w:r>
      <w:r w:rsidR="00EE4FC3">
        <w:t xml:space="preserve"> </w:t>
      </w:r>
      <w:r w:rsidR="007E595F" w:rsidRPr="00382917">
        <w:t>other.</w:t>
      </w:r>
      <w:r w:rsidRPr="00382917">
        <w:t>”</w:t>
      </w:r>
      <w:r w:rsidR="00606B9A">
        <w:rPr>
          <w:rStyle w:val="FootnoteReference"/>
        </w:rPr>
        <w:footnoteReference w:id="153"/>
      </w:r>
    </w:p>
    <w:p w:rsidR="007E595F" w:rsidRPr="00382917" w:rsidRDefault="007E595F" w:rsidP="007E595F">
      <w:pPr>
        <w:pStyle w:val="Text"/>
      </w:pPr>
      <w:r w:rsidRPr="00382917">
        <w:t>The</w:t>
      </w:r>
      <w:r w:rsidR="00EE4FC3">
        <w:t xml:space="preserve"> </w:t>
      </w:r>
      <w:r w:rsidRPr="00382917">
        <w:t>conference</w:t>
      </w:r>
      <w:r w:rsidR="00EE4FC3">
        <w:t xml:space="preserve"> </w:t>
      </w:r>
      <w:r w:rsidRPr="00382917">
        <w:t>ended</w:t>
      </w:r>
      <w:r w:rsidR="00EE4FC3">
        <w:t xml:space="preserve"> </w:t>
      </w:r>
      <w:r w:rsidRPr="00382917">
        <w:t>after</w:t>
      </w:r>
      <w:r w:rsidR="00EE4FC3">
        <w:t xml:space="preserve"> </w:t>
      </w:r>
      <w:r w:rsidRPr="00382917">
        <w:t>several</w:t>
      </w:r>
      <w:r w:rsidR="00EE4FC3">
        <w:t xml:space="preserve"> </w:t>
      </w:r>
      <w:r w:rsidRPr="00382917">
        <w:t>days,</w:t>
      </w:r>
      <w:r w:rsidR="00EE4FC3">
        <w:t xml:space="preserve"> </w:t>
      </w:r>
      <w:r w:rsidRPr="00382917">
        <w:t>and</w:t>
      </w:r>
      <w:r w:rsidR="00EE4FC3">
        <w:t xml:space="preserve"> </w:t>
      </w:r>
      <w:r w:rsidRPr="00382917">
        <w:t>the</w:t>
      </w:r>
      <w:r w:rsidR="00EE4FC3">
        <w:t xml:space="preserve"> </w:t>
      </w:r>
      <w:r w:rsidRPr="00382917">
        <w:t>followers</w:t>
      </w:r>
      <w:r w:rsidR="00EE4FC3">
        <w:t xml:space="preserve"> </w:t>
      </w:r>
      <w:r w:rsidRPr="00382917">
        <w:t>of</w:t>
      </w:r>
      <w:r w:rsidR="00EE4FC3">
        <w:t xml:space="preserve"> </w:t>
      </w:r>
      <w:r w:rsidRPr="00382917">
        <w:t>the</w:t>
      </w:r>
      <w:r w:rsidR="00EE4FC3">
        <w:t xml:space="preserve"> </w:t>
      </w:r>
      <w:r w:rsidRPr="00382917">
        <w:t>Báb</w:t>
      </w:r>
      <w:r w:rsidR="00EE4FC3">
        <w:t xml:space="preserve"> </w:t>
      </w:r>
      <w:r w:rsidRPr="00382917">
        <w:t>scattered</w:t>
      </w:r>
      <w:r w:rsidR="00EE4FC3">
        <w:t xml:space="preserve"> </w:t>
      </w:r>
      <w:r w:rsidRPr="00382917">
        <w:t>in</w:t>
      </w:r>
      <w:r w:rsidR="00EE4FC3">
        <w:t xml:space="preserve"> </w:t>
      </w:r>
      <w:r w:rsidRPr="00382917">
        <w:t>all</w:t>
      </w:r>
      <w:r w:rsidR="00EE4FC3">
        <w:t xml:space="preserve"> </w:t>
      </w:r>
      <w:r w:rsidRPr="00382917">
        <w:t>directions</w:t>
      </w:r>
      <w:r w:rsidR="00EE4FC3">
        <w:t xml:space="preserve"> </w:t>
      </w:r>
      <w:r w:rsidRPr="00382917">
        <w:t>to</w:t>
      </w:r>
      <w:r w:rsidR="00EE4FC3">
        <w:t xml:space="preserve"> </w:t>
      </w:r>
      <w:r w:rsidRPr="00382917">
        <w:t>announce</w:t>
      </w:r>
      <w:r w:rsidR="00EE4FC3">
        <w:t xml:space="preserve"> </w:t>
      </w:r>
      <w:r w:rsidRPr="00382917">
        <w:t>the</w:t>
      </w:r>
      <w:r w:rsidR="00EE4FC3">
        <w:t xml:space="preserve"> </w:t>
      </w:r>
      <w:r w:rsidRPr="00382917">
        <w:t>new</w:t>
      </w:r>
      <w:r w:rsidR="00EE4FC3">
        <w:t xml:space="preserve"> </w:t>
      </w:r>
      <w:r w:rsidRPr="00382917">
        <w:t>day</w:t>
      </w:r>
      <w:r w:rsidR="0040329F">
        <w:t>.</w:t>
      </w:r>
      <w:r w:rsidR="00EE4FC3">
        <w:t xml:space="preserve">  </w:t>
      </w:r>
      <w:r w:rsidRPr="00382917">
        <w:t>Each</w:t>
      </w:r>
      <w:r w:rsidR="00EE4FC3">
        <w:t xml:space="preserve"> </w:t>
      </w:r>
      <w:r w:rsidRPr="00382917">
        <w:t>carried</w:t>
      </w:r>
      <w:r w:rsidR="00EE4FC3">
        <w:t xml:space="preserve"> </w:t>
      </w:r>
      <w:r w:rsidRPr="00382917">
        <w:t>with</w:t>
      </w:r>
      <w:r w:rsidR="00EE4FC3">
        <w:t xml:space="preserve"> </w:t>
      </w:r>
      <w:r w:rsidRPr="00382917">
        <w:t>him</w:t>
      </w:r>
      <w:r w:rsidR="00EE4FC3">
        <w:t xml:space="preserve"> </w:t>
      </w:r>
      <w:r w:rsidRPr="00382917">
        <w:t>to</w:t>
      </w:r>
      <w:r w:rsidR="00EE4FC3">
        <w:t xml:space="preserve"> </w:t>
      </w:r>
      <w:r w:rsidRPr="00382917">
        <w:t>his</w:t>
      </w:r>
      <w:r w:rsidR="00EE4FC3">
        <w:t xml:space="preserve"> </w:t>
      </w:r>
      <w:r w:rsidRPr="00382917">
        <w:t>own</w:t>
      </w:r>
      <w:r w:rsidR="00EE4FC3">
        <w:t xml:space="preserve"> </w:t>
      </w:r>
      <w:r w:rsidRPr="00382917">
        <w:t>area</w:t>
      </w:r>
      <w:r w:rsidR="00EE4FC3">
        <w:t xml:space="preserve"> </w:t>
      </w:r>
      <w:r w:rsidRPr="00382917">
        <w:t>the</w:t>
      </w:r>
      <w:r w:rsidR="00EE4FC3">
        <w:t xml:space="preserve"> </w:t>
      </w:r>
      <w:r w:rsidRPr="00382917">
        <w:t>exciting</w:t>
      </w:r>
      <w:r w:rsidR="00EE4FC3">
        <w:t xml:space="preserve"> </w:t>
      </w:r>
      <w:r w:rsidRPr="00382917">
        <w:t>news</w:t>
      </w:r>
      <w:r w:rsidR="00EE4FC3">
        <w:t xml:space="preserve"> </w:t>
      </w:r>
      <w:r w:rsidRPr="00382917">
        <w:t>of</w:t>
      </w:r>
      <w:r w:rsidR="00EE4FC3">
        <w:t xml:space="preserve"> </w:t>
      </w:r>
      <w:r w:rsidRPr="00382917">
        <w:t>these</w:t>
      </w:r>
      <w:r w:rsidR="00EE4FC3">
        <w:t xml:space="preserve"> </w:t>
      </w:r>
      <w:r w:rsidRPr="00382917">
        <w:t>momentous</w:t>
      </w:r>
      <w:r w:rsidR="00EE4FC3">
        <w:t xml:space="preserve"> </w:t>
      </w:r>
      <w:r w:rsidRPr="00382917">
        <w:t>happenings</w:t>
      </w:r>
      <w:r w:rsidR="00EE4FC3">
        <w:t xml:space="preserve"> </w:t>
      </w:r>
      <w:r w:rsidRPr="00382917">
        <w:t>at</w:t>
      </w:r>
      <w:r w:rsidR="00EE4FC3">
        <w:t xml:space="preserve"> </w:t>
      </w:r>
      <w:r w:rsidR="00330AF7" w:rsidRPr="00382917">
        <w:t>Bada</w:t>
      </w:r>
      <w:r w:rsidR="00330AF7" w:rsidRPr="00330AF7">
        <w:rPr>
          <w:u w:val="single"/>
        </w:rPr>
        <w:t>sh</w:t>
      </w:r>
      <w:r w:rsidR="00330AF7" w:rsidRPr="00382917">
        <w:t>t</w:t>
      </w:r>
      <w:r w:rsidRPr="00382917">
        <w:t>.</w:t>
      </w:r>
    </w:p>
    <w:p w:rsidR="007E595F" w:rsidRPr="00382917" w:rsidRDefault="007E595F" w:rsidP="007E595F">
      <w:pPr>
        <w:pStyle w:val="Text"/>
      </w:pPr>
      <w:r w:rsidRPr="00382917">
        <w:t>Ṭáhirih</w:t>
      </w:r>
      <w:r w:rsidR="00EE4FC3">
        <w:t xml:space="preserve"> </w:t>
      </w:r>
      <w:r w:rsidRPr="00382917">
        <w:t>was</w:t>
      </w:r>
      <w:r w:rsidR="00EE4FC3">
        <w:t xml:space="preserve"> </w:t>
      </w:r>
      <w:r w:rsidRPr="00382917">
        <w:t>on</w:t>
      </w:r>
      <w:r w:rsidR="00EE4FC3">
        <w:t xml:space="preserve"> </w:t>
      </w:r>
      <w:r w:rsidRPr="00382917">
        <w:t>her</w:t>
      </w:r>
      <w:r w:rsidR="00EE4FC3">
        <w:t xml:space="preserve"> </w:t>
      </w:r>
      <w:r w:rsidRPr="00382917">
        <w:t>way</w:t>
      </w:r>
      <w:r w:rsidR="00EE4FC3">
        <w:t xml:space="preserve"> </w:t>
      </w:r>
      <w:r w:rsidRPr="00382917">
        <w:t>back</w:t>
      </w:r>
      <w:r w:rsidR="00EE4FC3">
        <w:t xml:space="preserve"> </w:t>
      </w:r>
      <w:r w:rsidRPr="00382917">
        <w:t>to</w:t>
      </w:r>
      <w:r w:rsidR="00EE4FC3">
        <w:t xml:space="preserve"> </w:t>
      </w:r>
      <w:r w:rsidRPr="00382917">
        <w:t>Ṭihrán</w:t>
      </w:r>
      <w:r w:rsidR="00EE4FC3">
        <w:t xml:space="preserve"> </w:t>
      </w:r>
      <w:r w:rsidRPr="00382917">
        <w:t>when</w:t>
      </w:r>
      <w:r w:rsidR="00EE4FC3">
        <w:t xml:space="preserve"> </w:t>
      </w:r>
      <w:r w:rsidRPr="00382917">
        <w:t>she</w:t>
      </w:r>
      <w:r w:rsidR="00EE4FC3">
        <w:t xml:space="preserve"> </w:t>
      </w:r>
      <w:r w:rsidRPr="00382917">
        <w:t>was</w:t>
      </w:r>
      <w:r w:rsidR="00EE4FC3">
        <w:t xml:space="preserve"> </w:t>
      </w:r>
      <w:r w:rsidRPr="00382917">
        <w:t>intercepted</w:t>
      </w:r>
      <w:r w:rsidR="00EE4FC3">
        <w:t xml:space="preserve"> </w:t>
      </w:r>
      <w:r w:rsidRPr="00382917">
        <w:t>by</w:t>
      </w:r>
      <w:r w:rsidR="00EE4FC3">
        <w:t xml:space="preserve"> </w:t>
      </w:r>
      <w:r w:rsidRPr="00382917">
        <w:t>a</w:t>
      </w:r>
      <w:r w:rsidR="00EE4FC3">
        <w:t xml:space="preserve"> </w:t>
      </w:r>
      <w:r w:rsidRPr="00382917">
        <w:t>party</w:t>
      </w:r>
      <w:r w:rsidR="00EE4FC3">
        <w:t xml:space="preserve"> </w:t>
      </w:r>
      <w:r w:rsidRPr="00382917">
        <w:t>of</w:t>
      </w:r>
      <w:r w:rsidR="00EE4FC3">
        <w:t xml:space="preserve"> </w:t>
      </w:r>
      <w:r w:rsidRPr="00382917">
        <w:t>searchers</w:t>
      </w:r>
      <w:r w:rsidR="0040329F">
        <w:t>.</w:t>
      </w:r>
      <w:r w:rsidR="00EE4FC3">
        <w:t xml:space="preserve">  </w:t>
      </w:r>
      <w:r w:rsidRPr="00382917">
        <w:t>Her</w:t>
      </w:r>
      <w:r w:rsidR="00EE4FC3">
        <w:t xml:space="preserve"> </w:t>
      </w:r>
      <w:r w:rsidRPr="00382917">
        <w:t>captors</w:t>
      </w:r>
      <w:r w:rsidR="00EE4FC3">
        <w:t xml:space="preserve"> </w:t>
      </w:r>
      <w:r w:rsidRPr="00382917">
        <w:t>sent</w:t>
      </w:r>
      <w:r w:rsidR="00EE4FC3">
        <w:t xml:space="preserve"> </w:t>
      </w:r>
      <w:r w:rsidRPr="00382917">
        <w:t>her</w:t>
      </w:r>
      <w:r w:rsidR="00EE4FC3">
        <w:t xml:space="preserve"> </w:t>
      </w:r>
      <w:r w:rsidRPr="00382917">
        <w:t>under</w:t>
      </w:r>
      <w:r w:rsidR="00EE4FC3">
        <w:t xml:space="preserve"> </w:t>
      </w:r>
      <w:r w:rsidRPr="00382917">
        <w:t>escort</w:t>
      </w:r>
      <w:r w:rsidR="00EE4FC3">
        <w:t xml:space="preserve"> </w:t>
      </w:r>
      <w:r w:rsidRPr="00382917">
        <w:t>to</w:t>
      </w:r>
      <w:r w:rsidR="00EE4FC3">
        <w:t xml:space="preserve"> </w:t>
      </w:r>
      <w:r w:rsidRPr="00382917">
        <w:t>the</w:t>
      </w:r>
      <w:r w:rsidR="00EE4FC3">
        <w:t xml:space="preserve"> </w:t>
      </w:r>
      <w:r w:rsidRPr="00382917">
        <w:t>capital</w:t>
      </w:r>
      <w:r w:rsidR="00EE4FC3">
        <w:t xml:space="preserve"> </w:t>
      </w:r>
      <w:r w:rsidRPr="00382917">
        <w:t>where</w:t>
      </w:r>
      <w:r w:rsidR="00EE4FC3">
        <w:t xml:space="preserve"> </w:t>
      </w:r>
      <w:r w:rsidRPr="00382917">
        <w:t>she</w:t>
      </w:r>
      <w:r w:rsidR="00EE4FC3">
        <w:t xml:space="preserve"> </w:t>
      </w:r>
      <w:r w:rsidRPr="00382917">
        <w:t>was</w:t>
      </w:r>
      <w:r w:rsidR="00EE4FC3">
        <w:t xml:space="preserve"> </w:t>
      </w:r>
      <w:r w:rsidRPr="00382917">
        <w:t>brought</w:t>
      </w:r>
      <w:r w:rsidR="00EE4FC3">
        <w:t xml:space="preserve"> </w:t>
      </w:r>
      <w:r w:rsidRPr="00382917">
        <w:t>into</w:t>
      </w:r>
      <w:r w:rsidR="00EE4FC3">
        <w:t xml:space="preserve"> </w:t>
      </w:r>
      <w:r w:rsidRPr="00382917">
        <w:t>the</w:t>
      </w:r>
      <w:r w:rsidR="00EE4FC3">
        <w:t xml:space="preserve"> </w:t>
      </w:r>
      <w:r w:rsidRPr="00382917">
        <w:t>presence</w:t>
      </w:r>
      <w:r w:rsidR="00EE4FC3">
        <w:t xml:space="preserve"> </w:t>
      </w:r>
      <w:r w:rsidRPr="00382917">
        <w:t>of</w:t>
      </w:r>
      <w:r w:rsidR="00EE4FC3">
        <w:t xml:space="preserve"> </w:t>
      </w:r>
      <w:r w:rsidRPr="00382917">
        <w:t>the</w:t>
      </w:r>
      <w:r w:rsidR="00EE4FC3">
        <w:t xml:space="preserve"> </w:t>
      </w:r>
      <w:r w:rsidRPr="00382917">
        <w:t>king</w:t>
      </w:r>
      <w:r w:rsidR="0040329F">
        <w:t>.</w:t>
      </w:r>
      <w:r w:rsidR="00EE4FC3">
        <w:t xml:space="preserve">  </w:t>
      </w:r>
      <w:r w:rsidRPr="00382917">
        <w:t>He</w:t>
      </w:r>
      <w:r w:rsidR="00EE4FC3">
        <w:t xml:space="preserve"> </w:t>
      </w:r>
      <w:r w:rsidRPr="00382917">
        <w:t>commented</w:t>
      </w:r>
      <w:r w:rsidR="00EE4FC3">
        <w:t xml:space="preserve"> </w:t>
      </w:r>
      <w:r w:rsidRPr="00382917">
        <w:t>upon</w:t>
      </w:r>
      <w:r w:rsidR="00EE4FC3">
        <w:t xml:space="preserve"> </w:t>
      </w:r>
      <w:r w:rsidRPr="00382917">
        <w:t>seeing</w:t>
      </w:r>
      <w:r w:rsidR="00EE4FC3">
        <w:t xml:space="preserve"> </w:t>
      </w:r>
      <w:r w:rsidRPr="00382917">
        <w:t>her,</w:t>
      </w:r>
      <w:r w:rsidR="00EE4FC3">
        <w:t xml:space="preserve"> </w:t>
      </w:r>
      <w:r w:rsidR="009C713D" w:rsidRPr="00382917">
        <w:t>“</w:t>
      </w:r>
      <w:r w:rsidRPr="00382917">
        <w:t>I</w:t>
      </w:r>
      <w:r w:rsidR="00EE4FC3">
        <w:t xml:space="preserve"> </w:t>
      </w:r>
      <w:r w:rsidRPr="00382917">
        <w:t>like</w:t>
      </w:r>
      <w:r w:rsidR="00EE4FC3">
        <w:t xml:space="preserve"> </w:t>
      </w:r>
      <w:r w:rsidRPr="00382917">
        <w:t>her</w:t>
      </w:r>
      <w:r w:rsidR="00EE4FC3">
        <w:t xml:space="preserve"> </w:t>
      </w:r>
      <w:r w:rsidRPr="00382917">
        <w:t>looks</w:t>
      </w:r>
      <w:r w:rsidR="0040329F">
        <w:t>.</w:t>
      </w:r>
      <w:r w:rsidR="00EE4FC3">
        <w:t xml:space="preserve">  </w:t>
      </w:r>
      <w:r w:rsidRPr="00382917">
        <w:t>Leave</w:t>
      </w:r>
      <w:r w:rsidR="00EE4FC3">
        <w:t xml:space="preserve"> </w:t>
      </w:r>
      <w:r w:rsidRPr="00382917">
        <w:t>her,</w:t>
      </w:r>
      <w:r w:rsidR="00EE4FC3">
        <w:t xml:space="preserve"> </w:t>
      </w:r>
      <w:r w:rsidRPr="00382917">
        <w:t>and</w:t>
      </w:r>
      <w:r w:rsidR="00EE4FC3">
        <w:t xml:space="preserve"> </w:t>
      </w:r>
      <w:r w:rsidRPr="00382917">
        <w:t>let</w:t>
      </w:r>
      <w:r w:rsidR="00EE4FC3">
        <w:t xml:space="preserve"> </w:t>
      </w:r>
      <w:r w:rsidRPr="00382917">
        <w:t>her</w:t>
      </w:r>
      <w:r w:rsidR="00EE4FC3">
        <w:t xml:space="preserve"> </w:t>
      </w:r>
      <w:r w:rsidRPr="00382917">
        <w:t>be.</w:t>
      </w:r>
      <w:r w:rsidR="009C713D" w:rsidRPr="00382917">
        <w:t>”</w:t>
      </w:r>
    </w:p>
    <w:p w:rsidR="00E13D49" w:rsidRPr="00382917" w:rsidRDefault="007E595F" w:rsidP="0018506C">
      <w:pPr>
        <w:pStyle w:val="Text"/>
      </w:pPr>
      <w:r w:rsidRPr="00382917">
        <w:t>She</w:t>
      </w:r>
      <w:r w:rsidR="00EE4FC3">
        <w:t xml:space="preserve"> </w:t>
      </w:r>
      <w:r w:rsidRPr="00382917">
        <w:t>was</w:t>
      </w:r>
      <w:r w:rsidR="00EE4FC3">
        <w:t xml:space="preserve"> </w:t>
      </w:r>
      <w:r w:rsidRPr="00382917">
        <w:t>then</w:t>
      </w:r>
      <w:r w:rsidR="00EE4FC3">
        <w:t xml:space="preserve"> </w:t>
      </w:r>
      <w:r w:rsidRPr="00382917">
        <w:t>taken</w:t>
      </w:r>
      <w:r w:rsidR="00EE4FC3">
        <w:t xml:space="preserve"> </w:t>
      </w:r>
      <w:r w:rsidRPr="00382917">
        <w:t>as</w:t>
      </w:r>
      <w:r w:rsidR="00EE4FC3">
        <w:t xml:space="preserve"> </w:t>
      </w:r>
      <w:r w:rsidRPr="00382917">
        <w:t>a</w:t>
      </w:r>
      <w:r w:rsidR="00EE4FC3">
        <w:t xml:space="preserve"> </w:t>
      </w:r>
      <w:r w:rsidRPr="00382917">
        <w:t>prisoner</w:t>
      </w:r>
      <w:r w:rsidR="00EE4FC3">
        <w:t xml:space="preserve"> </w:t>
      </w:r>
      <w:r w:rsidRPr="00382917">
        <w:t>to</w:t>
      </w:r>
      <w:r w:rsidR="00EE4FC3">
        <w:t xml:space="preserve"> </w:t>
      </w:r>
      <w:r w:rsidRPr="00382917">
        <w:t>the</w:t>
      </w:r>
      <w:r w:rsidR="00EE4FC3">
        <w:t xml:space="preserve"> </w:t>
      </w:r>
      <w:r w:rsidRPr="00382917">
        <w:t>home</w:t>
      </w:r>
      <w:r w:rsidR="00EE4FC3">
        <w:t xml:space="preserve"> </w:t>
      </w:r>
      <w:r w:rsidRPr="00382917">
        <w:t>of</w:t>
      </w:r>
      <w:r w:rsidR="00EE4FC3">
        <w:t xml:space="preserve"> </w:t>
      </w:r>
      <w:r w:rsidRPr="00382917">
        <w:t>the</w:t>
      </w:r>
      <w:r w:rsidR="00EE4FC3">
        <w:t xml:space="preserve"> </w:t>
      </w:r>
      <w:r w:rsidRPr="00382917">
        <w:t>mayor</w:t>
      </w:r>
      <w:r w:rsidR="00EE4FC3">
        <w:t xml:space="preserve"> </w:t>
      </w:r>
      <w:r w:rsidRPr="00382917">
        <w:t>of</w:t>
      </w:r>
      <w:r w:rsidR="00EE4FC3">
        <w:t xml:space="preserve"> </w:t>
      </w:r>
      <w:r w:rsidRPr="00382917">
        <w:t>Ṭihrán,</w:t>
      </w:r>
      <w:r w:rsidR="00EE4FC3">
        <w:t xml:space="preserve"> </w:t>
      </w:r>
      <w:r w:rsidRPr="00382917">
        <w:t>Maḥmúd</w:t>
      </w:r>
      <w:r w:rsidR="00EE4FC3">
        <w:t xml:space="preserve"> </w:t>
      </w:r>
      <w:r w:rsidR="0040329F" w:rsidRPr="0040329F">
        <w:rPr>
          <w:u w:val="single"/>
        </w:rPr>
        <w:t>Kh</w:t>
      </w:r>
      <w:r w:rsidR="0040329F" w:rsidRPr="00382917">
        <w:t>án</w:t>
      </w:r>
      <w:r w:rsidR="0040329F">
        <w:t>.</w:t>
      </w:r>
      <w:r w:rsidR="00EE4FC3">
        <w:t xml:space="preserve">  </w:t>
      </w:r>
      <w:r w:rsidRPr="00382917">
        <w:t>The</w:t>
      </w:r>
      <w:r w:rsidR="00EE4FC3">
        <w:t xml:space="preserve"> </w:t>
      </w:r>
      <w:r w:rsidRPr="00382917">
        <w:t>king</w:t>
      </w:r>
      <w:r w:rsidR="00EE4FC3">
        <w:t xml:space="preserve"> </w:t>
      </w:r>
      <w:r w:rsidRPr="00382917">
        <w:t>sent</w:t>
      </w:r>
      <w:r w:rsidR="00EE4FC3">
        <w:t xml:space="preserve"> </w:t>
      </w:r>
      <w:r w:rsidRPr="00382917">
        <w:t>a</w:t>
      </w:r>
      <w:r w:rsidR="00EE4FC3">
        <w:t xml:space="preserve"> </w:t>
      </w:r>
      <w:r w:rsidRPr="00382917">
        <w:t>letter</w:t>
      </w:r>
      <w:r w:rsidR="00EE4FC3">
        <w:t xml:space="preserve"> </w:t>
      </w:r>
      <w:r w:rsidRPr="00382917">
        <w:t>to</w:t>
      </w:r>
      <w:r w:rsidR="00EE4FC3">
        <w:t xml:space="preserve"> </w:t>
      </w:r>
      <w:r w:rsidRPr="00382917">
        <w:t>Ṭáhirih</w:t>
      </w:r>
      <w:r w:rsidR="00EE4FC3">
        <w:t xml:space="preserve"> </w:t>
      </w:r>
      <w:r w:rsidRPr="00382917">
        <w:t>at</w:t>
      </w:r>
      <w:r w:rsidR="00EE4FC3">
        <w:t xml:space="preserve"> </w:t>
      </w:r>
      <w:r w:rsidRPr="00382917">
        <w:t>the</w:t>
      </w:r>
      <w:r w:rsidR="00EE4FC3">
        <w:t xml:space="preserve"> </w:t>
      </w:r>
      <w:r w:rsidRPr="00382917">
        <w:t>mayor</w:t>
      </w:r>
      <w:r w:rsidR="009C713D" w:rsidRPr="00382917">
        <w:t>’</w:t>
      </w:r>
      <w:r w:rsidRPr="00382917">
        <w:t>s</w:t>
      </w:r>
      <w:r w:rsidR="00EE4FC3">
        <w:t xml:space="preserve"> </w:t>
      </w:r>
      <w:r w:rsidRPr="00382917">
        <w:t>house</w:t>
      </w:r>
      <w:r w:rsidR="0040329F">
        <w:t>.</w:t>
      </w:r>
      <w:r w:rsidR="00EE4FC3">
        <w:t xml:space="preserve">  </w:t>
      </w:r>
      <w:r w:rsidRPr="00382917">
        <w:t>He</w:t>
      </w:r>
      <w:r w:rsidR="00EE4FC3">
        <w:t xml:space="preserve"> </w:t>
      </w:r>
      <w:r w:rsidRPr="00382917">
        <w:t>urged</w:t>
      </w:r>
      <w:r w:rsidR="00EE4FC3">
        <w:t xml:space="preserve"> </w:t>
      </w:r>
      <w:r w:rsidRPr="00382917">
        <w:t>her</w:t>
      </w:r>
      <w:r w:rsidR="00EE4FC3">
        <w:t xml:space="preserve"> </w:t>
      </w:r>
      <w:r w:rsidRPr="00382917">
        <w:t>to</w:t>
      </w:r>
      <w:r w:rsidR="00EE4FC3">
        <w:t xml:space="preserve"> </w:t>
      </w:r>
      <w:r w:rsidRPr="00382917">
        <w:t>deny</w:t>
      </w:r>
      <w:r w:rsidR="00EE4FC3">
        <w:t xml:space="preserve"> </w:t>
      </w:r>
      <w:r w:rsidRPr="00382917">
        <w:t>the</w:t>
      </w:r>
      <w:r w:rsidR="00EE4FC3">
        <w:t xml:space="preserve"> </w:t>
      </w:r>
      <w:r w:rsidRPr="00382917">
        <w:t>Báb</w:t>
      </w:r>
      <w:r w:rsidR="00EE4FC3">
        <w:t xml:space="preserve"> </w:t>
      </w:r>
      <w:r w:rsidRPr="00382917">
        <w:t>and</w:t>
      </w:r>
      <w:r w:rsidR="00EE4FC3">
        <w:t xml:space="preserve"> </w:t>
      </w:r>
      <w:r w:rsidRPr="00382917">
        <w:t>again</w:t>
      </w:r>
      <w:r w:rsidR="00EE4FC3">
        <w:t xml:space="preserve"> </w:t>
      </w:r>
      <w:r w:rsidRPr="00382917">
        <w:t>become</w:t>
      </w:r>
      <w:r w:rsidR="00EE4FC3">
        <w:t xml:space="preserve"> </w:t>
      </w:r>
      <w:r w:rsidRPr="00382917">
        <w:t>a</w:t>
      </w:r>
      <w:r w:rsidR="00EE4FC3">
        <w:t xml:space="preserve"> </w:t>
      </w:r>
      <w:r w:rsidRPr="00382917">
        <w:t>true</w:t>
      </w:r>
      <w:r w:rsidR="00EE4FC3">
        <w:t xml:space="preserve"> </w:t>
      </w:r>
      <w:r w:rsidRPr="00382917">
        <w:t>Muslim</w:t>
      </w:r>
      <w:r w:rsidR="0040329F">
        <w:t>.</w:t>
      </w:r>
      <w:r w:rsidR="00EE4FC3">
        <w:t xml:space="preserve">  </w:t>
      </w:r>
      <w:r w:rsidRPr="00382917">
        <w:t>He</w:t>
      </w:r>
      <w:r w:rsidR="00EE4FC3">
        <w:t xml:space="preserve"> </w:t>
      </w:r>
      <w:r w:rsidRPr="00382917">
        <w:t>promised</w:t>
      </w:r>
      <w:r w:rsidR="00EE4FC3">
        <w:t xml:space="preserve"> </w:t>
      </w:r>
      <w:r w:rsidRPr="00382917">
        <w:t>her</w:t>
      </w:r>
      <w:r w:rsidR="00EE4FC3">
        <w:t xml:space="preserve"> </w:t>
      </w:r>
      <w:r w:rsidRPr="00382917">
        <w:t>that</w:t>
      </w:r>
      <w:r w:rsidR="00EE4FC3">
        <w:t xml:space="preserve"> </w:t>
      </w:r>
      <w:r w:rsidRPr="00382917">
        <w:t>if</w:t>
      </w:r>
      <w:r w:rsidR="00EE4FC3">
        <w:t xml:space="preserve"> </w:t>
      </w:r>
      <w:r w:rsidRPr="00382917">
        <w:t>she</w:t>
      </w:r>
      <w:r w:rsidR="00EE4FC3">
        <w:t xml:space="preserve"> </w:t>
      </w:r>
      <w:r w:rsidRPr="00382917">
        <w:t>would</w:t>
      </w:r>
      <w:r w:rsidR="00EE4FC3">
        <w:t xml:space="preserve"> </w:t>
      </w:r>
      <w:r w:rsidRPr="00382917">
        <w:t>do</w:t>
      </w:r>
      <w:r w:rsidR="00EE4FC3">
        <w:t xml:space="preserve"> </w:t>
      </w:r>
      <w:r w:rsidRPr="00382917">
        <w:t>this,</w:t>
      </w:r>
      <w:r w:rsidR="00EE4FC3">
        <w:t xml:space="preserve"> </w:t>
      </w:r>
      <w:r w:rsidRPr="00382917">
        <w:t>he</w:t>
      </w:r>
      <w:r w:rsidR="00EE4FC3">
        <w:t xml:space="preserve"> </w:t>
      </w:r>
      <w:r w:rsidRPr="00382917">
        <w:t>would</w:t>
      </w:r>
      <w:r w:rsidR="00EE4FC3">
        <w:t xml:space="preserve"> </w:t>
      </w:r>
      <w:r w:rsidRPr="00382917">
        <w:t>give</w:t>
      </w:r>
      <w:r w:rsidR="00EE4FC3">
        <w:t xml:space="preserve"> </w:t>
      </w:r>
      <w:r w:rsidRPr="00382917">
        <w:t>her</w:t>
      </w:r>
      <w:r w:rsidR="00EE4FC3">
        <w:t xml:space="preserve"> </w:t>
      </w:r>
      <w:r w:rsidRPr="00382917">
        <w:t>an</w:t>
      </w:r>
      <w:r w:rsidR="00EE4FC3">
        <w:t xml:space="preserve"> </w:t>
      </w:r>
      <w:r w:rsidRPr="00382917">
        <w:t>exalted</w:t>
      </w:r>
      <w:r w:rsidR="00EE4FC3">
        <w:t xml:space="preserve"> </w:t>
      </w:r>
      <w:r w:rsidRPr="00382917">
        <w:t>position</w:t>
      </w:r>
      <w:r w:rsidR="00EE4FC3">
        <w:t xml:space="preserve"> </w:t>
      </w:r>
      <w:r w:rsidRPr="00382917">
        <w:t>as</w:t>
      </w:r>
      <w:r w:rsidR="00EE4FC3">
        <w:t xml:space="preserve"> </w:t>
      </w:r>
      <w:r w:rsidRPr="00382917">
        <w:t>the</w:t>
      </w:r>
      <w:r w:rsidR="00EE4FC3">
        <w:t xml:space="preserve"> </w:t>
      </w:r>
      <w:r w:rsidRPr="00382917">
        <w:t>guardian</w:t>
      </w:r>
      <w:r w:rsidR="00EE4FC3">
        <w:t xml:space="preserve"> </w:t>
      </w:r>
      <w:r w:rsidRPr="00382917">
        <w:t>of</w:t>
      </w:r>
      <w:r w:rsidR="00EE4FC3">
        <w:t xml:space="preserve"> </w:t>
      </w:r>
      <w:r w:rsidRPr="00382917">
        <w:t>the</w:t>
      </w:r>
      <w:r w:rsidR="00EE4FC3">
        <w:t xml:space="preserve"> </w:t>
      </w:r>
      <w:r w:rsidRPr="00382917">
        <w:t>ladies</w:t>
      </w:r>
      <w:r w:rsidR="00EE4FC3">
        <w:t xml:space="preserve"> </w:t>
      </w:r>
      <w:r w:rsidRPr="00382917">
        <w:t>of</w:t>
      </w:r>
      <w:r w:rsidR="00EE4FC3">
        <w:t xml:space="preserve"> </w:t>
      </w:r>
      <w:r w:rsidRPr="00382917">
        <w:t>his</w:t>
      </w:r>
      <w:r w:rsidR="00EE4FC3">
        <w:t xml:space="preserve"> </w:t>
      </w:r>
      <w:r w:rsidRPr="00382917">
        <w:t>household,</w:t>
      </w:r>
      <w:r w:rsidR="00EE4FC3">
        <w:t xml:space="preserve"> </w:t>
      </w:r>
      <w:r w:rsidRPr="00382917">
        <w:t>he</w:t>
      </w:r>
      <w:r w:rsidR="00EE4FC3">
        <w:t xml:space="preserve"> </w:t>
      </w:r>
      <w:r w:rsidRPr="00382917">
        <w:t>would</w:t>
      </w:r>
      <w:r w:rsidR="00EE4FC3">
        <w:t xml:space="preserve"> </w:t>
      </w:r>
      <w:r w:rsidRPr="00382917">
        <w:t>even</w:t>
      </w:r>
      <w:r w:rsidR="00EE4FC3">
        <w:t xml:space="preserve"> </w:t>
      </w:r>
      <w:r w:rsidRPr="00382917">
        <w:t>make</w:t>
      </w:r>
      <w:r w:rsidR="00EE4FC3">
        <w:t xml:space="preserve"> </w:t>
      </w:r>
      <w:r w:rsidRPr="00382917">
        <w:t>her</w:t>
      </w:r>
      <w:r w:rsidR="00EE4FC3">
        <w:t xml:space="preserve"> </w:t>
      </w:r>
      <w:r w:rsidRPr="00382917">
        <w:t>his</w:t>
      </w:r>
      <w:r w:rsidR="00EE4FC3">
        <w:t xml:space="preserve"> </w:t>
      </w:r>
      <w:r w:rsidRPr="00382917">
        <w:t>bride</w:t>
      </w:r>
      <w:r w:rsidR="0040329F">
        <w:t>.</w:t>
      </w:r>
      <w:r w:rsidR="00EE4FC3">
        <w:t xml:space="preserve">  </w:t>
      </w:r>
      <w:r w:rsidRPr="00382917">
        <w:t>She</w:t>
      </w:r>
      <w:r w:rsidR="00EE4FC3">
        <w:t xml:space="preserve"> </w:t>
      </w:r>
      <w:r w:rsidRPr="00382917">
        <w:t>replied</w:t>
      </w:r>
      <w:r w:rsidR="00EE4FC3">
        <w:t xml:space="preserve"> </w:t>
      </w:r>
      <w:r w:rsidRPr="00382917">
        <w:t>on</w:t>
      </w:r>
      <w:r w:rsidR="00EE4FC3">
        <w:t xml:space="preserve"> </w:t>
      </w:r>
      <w:r w:rsidRPr="00382917">
        <w:t>the</w:t>
      </w:r>
      <w:r w:rsidR="00EE4FC3">
        <w:t xml:space="preserve"> </w:t>
      </w:r>
      <w:r w:rsidRPr="00382917">
        <w:t>back</w:t>
      </w:r>
      <w:r w:rsidR="00EE4FC3">
        <w:t xml:space="preserve"> </w:t>
      </w:r>
      <w:r w:rsidRPr="00382917">
        <w:t>of</w:t>
      </w:r>
      <w:r w:rsidR="00EE4FC3">
        <w:t xml:space="preserve"> </w:t>
      </w:r>
      <w:r w:rsidRPr="00382917">
        <w:t>his</w:t>
      </w:r>
      <w:r w:rsidR="00EE4FC3">
        <w:t xml:space="preserve"> </w:t>
      </w:r>
      <w:r w:rsidRPr="00382917">
        <w:t>letter</w:t>
      </w:r>
      <w:r w:rsidR="00EE4FC3">
        <w:t xml:space="preserve"> </w:t>
      </w:r>
      <w:r w:rsidRPr="00382917">
        <w:t>in</w:t>
      </w:r>
      <w:r w:rsidR="00EE4FC3">
        <w:t xml:space="preserve"> </w:t>
      </w:r>
      <w:r w:rsidRPr="00382917">
        <w:t>verse,</w:t>
      </w:r>
      <w:r w:rsidR="00EE4FC3">
        <w:t xml:space="preserve"> </w:t>
      </w:r>
      <w:r w:rsidRPr="00382917">
        <w:t>saying</w:t>
      </w:r>
      <w:r w:rsidR="00EE4FC3">
        <w:t xml:space="preserve"> </w:t>
      </w:r>
      <w:r w:rsidRPr="00382917">
        <w:t>that</w:t>
      </w:r>
      <w:r w:rsidR="00EE4FC3">
        <w:t xml:space="preserve"> </w:t>
      </w:r>
      <w:r w:rsidRPr="00382917">
        <w:t>the</w:t>
      </w:r>
      <w:r w:rsidR="00EE4FC3">
        <w:t xml:space="preserve"> </w:t>
      </w:r>
      <w:r w:rsidRPr="00382917">
        <w:t>kingdom</w:t>
      </w:r>
      <w:r w:rsidR="00EE4FC3">
        <w:t xml:space="preserve"> </w:t>
      </w:r>
      <w:r w:rsidRPr="00382917">
        <w:t>and</w:t>
      </w:r>
      <w:r w:rsidR="00EE4FC3">
        <w:t xml:space="preserve"> </w:t>
      </w:r>
      <w:r w:rsidRPr="00382917">
        <w:t>crown</w:t>
      </w:r>
      <w:r w:rsidR="00EE4FC3">
        <w:t xml:space="preserve"> </w:t>
      </w:r>
      <w:r w:rsidRPr="00382917">
        <w:t>were</w:t>
      </w:r>
      <w:r w:rsidR="00EE4FC3">
        <w:t xml:space="preserve"> </w:t>
      </w:r>
      <w:r w:rsidRPr="00382917">
        <w:t>for</w:t>
      </w:r>
      <w:r w:rsidR="00EE4FC3">
        <w:t xml:space="preserve"> </w:t>
      </w:r>
      <w:r w:rsidRPr="00382917">
        <w:t>him,</w:t>
      </w:r>
      <w:r w:rsidR="00EE4FC3">
        <w:t xml:space="preserve"> </w:t>
      </w:r>
      <w:r w:rsidRPr="00382917">
        <w:t>but</w:t>
      </w:r>
      <w:r w:rsidR="00EE4FC3">
        <w:t xml:space="preserve"> </w:t>
      </w:r>
      <w:r w:rsidRPr="00382917">
        <w:t>wandering</w:t>
      </w:r>
      <w:r w:rsidR="00EE4FC3">
        <w:t xml:space="preserve"> </w:t>
      </w:r>
      <w:r w:rsidRPr="00382917">
        <w:t>and</w:t>
      </w:r>
      <w:r w:rsidR="00EE4FC3">
        <w:t xml:space="preserve"> </w:t>
      </w:r>
      <w:r w:rsidRPr="00382917">
        <w:t>calamity</w:t>
      </w:r>
      <w:r w:rsidR="00EE4FC3">
        <w:t xml:space="preserve"> </w:t>
      </w:r>
      <w:r w:rsidRPr="00382917">
        <w:t>were</w:t>
      </w:r>
      <w:r w:rsidR="00EE4FC3">
        <w:t xml:space="preserve"> </w:t>
      </w:r>
      <w:r w:rsidRPr="00382917">
        <w:t>for</w:t>
      </w:r>
      <w:r w:rsidR="00EE4FC3">
        <w:t xml:space="preserve"> </w:t>
      </w:r>
      <w:r w:rsidRPr="00382917">
        <w:t>her</w:t>
      </w:r>
      <w:r w:rsidR="0040329F">
        <w:t>.</w:t>
      </w:r>
      <w:r w:rsidR="00EE4FC3">
        <w:t xml:space="preserve">  </w:t>
      </w:r>
      <w:r w:rsidRPr="00382917">
        <w:t>The</w:t>
      </w:r>
      <w:r w:rsidR="00EE4FC3">
        <w:t xml:space="preserve"> </w:t>
      </w:r>
      <w:r w:rsidRPr="00382917">
        <w:t>king,</w:t>
      </w:r>
      <w:r w:rsidR="00EE4FC3">
        <w:t xml:space="preserve"> </w:t>
      </w:r>
      <w:r w:rsidRPr="00382917">
        <w:t>reading</w:t>
      </w:r>
      <w:r w:rsidR="00EE4FC3">
        <w:t xml:space="preserve"> </w:t>
      </w:r>
      <w:r w:rsidRPr="00382917">
        <w:t>the</w:t>
      </w:r>
      <w:r w:rsidR="00EE4FC3">
        <w:t xml:space="preserve"> </w:t>
      </w:r>
      <w:r w:rsidRPr="00382917">
        <w:t>reply,</w:t>
      </w:r>
      <w:r w:rsidR="00EE4FC3">
        <w:t xml:space="preserve"> </w:t>
      </w:r>
      <w:r w:rsidRPr="00382917">
        <w:t>was</w:t>
      </w:r>
      <w:r w:rsidR="00EE4FC3">
        <w:t xml:space="preserve"> </w:t>
      </w:r>
      <w:r w:rsidRPr="00382917">
        <w:t>deeply</w:t>
      </w:r>
      <w:r w:rsidR="00EE4FC3">
        <w:t xml:space="preserve"> </w:t>
      </w:r>
      <w:r w:rsidRPr="00382917">
        <w:t>moved</w:t>
      </w:r>
      <w:r w:rsidR="0040329F">
        <w:t>.</w:t>
      </w:r>
      <w:r w:rsidR="00EE4FC3">
        <w:t xml:space="preserve">  </w:t>
      </w:r>
      <w:r w:rsidRPr="00382917">
        <w:t>He</w:t>
      </w:r>
      <w:r w:rsidR="00EE4FC3">
        <w:t xml:space="preserve"> </w:t>
      </w:r>
      <w:r w:rsidRPr="00382917">
        <w:t>spoke</w:t>
      </w:r>
      <w:r w:rsidR="00EE4FC3">
        <w:t xml:space="preserve"> </w:t>
      </w:r>
      <w:r w:rsidRPr="00382917">
        <w:t>of</w:t>
      </w:r>
      <w:r w:rsidR="00EE4FC3">
        <w:t xml:space="preserve"> </w:t>
      </w:r>
      <w:r w:rsidRPr="00382917">
        <w:t>her</w:t>
      </w:r>
      <w:r w:rsidR="00EE4FC3">
        <w:t xml:space="preserve"> </w:t>
      </w:r>
      <w:r w:rsidRPr="00382917">
        <w:t>spirit</w:t>
      </w:r>
      <w:r w:rsidR="00EE4FC3">
        <w:t xml:space="preserve"> </w:t>
      </w:r>
      <w:r w:rsidRPr="00382917">
        <w:t>and</w:t>
      </w:r>
      <w:r w:rsidR="00EE4FC3">
        <w:t xml:space="preserve"> </w:t>
      </w:r>
      <w:r w:rsidRPr="00382917">
        <w:t>courage</w:t>
      </w:r>
      <w:r w:rsidR="0040329F">
        <w:t>.</w:t>
      </w:r>
      <w:r w:rsidR="00EE4FC3">
        <w:t xml:space="preserve">  </w:t>
      </w:r>
      <w:r w:rsidRPr="00382917">
        <w:t>He</w:t>
      </w:r>
      <w:r w:rsidR="00EE4FC3">
        <w:t xml:space="preserve"> </w:t>
      </w:r>
      <w:r w:rsidRPr="00382917">
        <w:t>said,</w:t>
      </w:r>
      <w:r w:rsidR="00EE4FC3">
        <w:t xml:space="preserve"> </w:t>
      </w:r>
      <w:r w:rsidR="009C713D" w:rsidRPr="00382917">
        <w:t>“</w:t>
      </w:r>
      <w:r w:rsidRPr="00382917">
        <w:t>So</w:t>
      </w:r>
      <w:r w:rsidR="00EE4FC3">
        <w:t xml:space="preserve"> </w:t>
      </w:r>
      <w:r w:rsidRPr="00382917">
        <w:t>far,</w:t>
      </w:r>
      <w:r w:rsidR="00EE4FC3">
        <w:t xml:space="preserve"> </w:t>
      </w:r>
      <w:r w:rsidRPr="00382917">
        <w:t>history</w:t>
      </w:r>
      <w:r w:rsidR="00EE4FC3">
        <w:t xml:space="preserve"> </w:t>
      </w:r>
      <w:r w:rsidRPr="00382917">
        <w:t>has</w:t>
      </w:r>
      <w:r w:rsidR="00EE4FC3">
        <w:t xml:space="preserve"> </w:t>
      </w:r>
      <w:r w:rsidRPr="00382917">
        <w:t>not</w:t>
      </w:r>
      <w:r w:rsidR="00EE4FC3">
        <w:t xml:space="preserve"> </w:t>
      </w:r>
      <w:r w:rsidRPr="00382917">
        <w:t>shown</w:t>
      </w:r>
      <w:r w:rsidR="00EE4FC3">
        <w:t xml:space="preserve"> </w:t>
      </w:r>
      <w:r w:rsidRPr="00382917">
        <w:t>such</w:t>
      </w:r>
      <w:r w:rsidR="00EE4FC3">
        <w:t xml:space="preserve"> </w:t>
      </w:r>
      <w:r w:rsidRPr="00382917">
        <w:t>a</w:t>
      </w:r>
      <w:r w:rsidR="00EE4FC3">
        <w:t xml:space="preserve"> </w:t>
      </w:r>
      <w:r w:rsidRPr="00382917">
        <w:t>woman</w:t>
      </w:r>
      <w:r w:rsidR="00EE4FC3">
        <w:t xml:space="preserve"> </w:t>
      </w:r>
      <w:r w:rsidRPr="00382917">
        <w:t>to</w:t>
      </w:r>
      <w:r w:rsidR="00EE4FC3">
        <w:t xml:space="preserve"> </w:t>
      </w:r>
      <w:r w:rsidRPr="00382917">
        <w:t>us.</w:t>
      </w:r>
      <w:r w:rsidR="009C713D" w:rsidRPr="00382917">
        <w:t>”</w:t>
      </w:r>
      <w:r w:rsidR="0018506C">
        <w:rPr>
          <w:rStyle w:val="FootnoteReference"/>
        </w:rPr>
        <w:footnoteReference w:id="154"/>
      </w:r>
    </w:p>
    <w:p w:rsidR="007E595F" w:rsidRPr="00382917" w:rsidRDefault="007E595F" w:rsidP="007E595F">
      <w:pPr>
        <w:pStyle w:val="Text"/>
      </w:pPr>
      <w:r w:rsidRPr="00382917">
        <w:t>Ṭáhirih</w:t>
      </w:r>
      <w:r w:rsidR="00EE4FC3">
        <w:t xml:space="preserve"> </w:t>
      </w:r>
      <w:r w:rsidRPr="00382917">
        <w:t>was</w:t>
      </w:r>
      <w:r w:rsidR="00EE4FC3">
        <w:t xml:space="preserve"> </w:t>
      </w:r>
      <w:r w:rsidRPr="00382917">
        <w:t>given</w:t>
      </w:r>
      <w:r w:rsidR="00EE4FC3">
        <w:t xml:space="preserve"> </w:t>
      </w:r>
      <w:r w:rsidRPr="00382917">
        <w:t>considerable</w:t>
      </w:r>
      <w:r w:rsidR="00EE4FC3">
        <w:t xml:space="preserve"> </w:t>
      </w:r>
      <w:r w:rsidRPr="00382917">
        <w:t>freedom</w:t>
      </w:r>
      <w:r w:rsidR="00EE4FC3">
        <w:t xml:space="preserve"> </w:t>
      </w:r>
      <w:r w:rsidRPr="00382917">
        <w:t>during</w:t>
      </w:r>
      <w:r w:rsidR="00EE4FC3">
        <w:t xml:space="preserve"> </w:t>
      </w:r>
      <w:r w:rsidRPr="00382917">
        <w:t>her</w:t>
      </w:r>
      <w:r w:rsidR="00EE4FC3">
        <w:t xml:space="preserve"> </w:t>
      </w:r>
      <w:r w:rsidRPr="00382917">
        <w:t>imprisonment</w:t>
      </w:r>
    </w:p>
    <w:p w:rsidR="007E595F" w:rsidRPr="00382917" w:rsidRDefault="007E595F">
      <w:pPr>
        <w:widowControl/>
        <w:kinsoku/>
        <w:overflowPunct/>
        <w:textAlignment w:val="auto"/>
      </w:pPr>
      <w:r w:rsidRPr="00382917">
        <w:br w:type="page"/>
      </w:r>
    </w:p>
    <w:p w:rsidR="007E595F" w:rsidRPr="00382917" w:rsidRDefault="007E595F" w:rsidP="007E595F">
      <w:pPr>
        <w:pStyle w:val="Textcts"/>
      </w:pPr>
      <w:proofErr w:type="gramStart"/>
      <w:r w:rsidRPr="00382917">
        <w:t>in</w:t>
      </w:r>
      <w:proofErr w:type="gramEnd"/>
      <w:r w:rsidR="00EE4FC3">
        <w:t xml:space="preserve"> </w:t>
      </w:r>
      <w:r w:rsidRPr="00382917">
        <w:t>the</w:t>
      </w:r>
      <w:r w:rsidR="00EE4FC3">
        <w:t xml:space="preserve"> </w:t>
      </w:r>
      <w:r w:rsidRPr="00382917">
        <w:t>mayor</w:t>
      </w:r>
      <w:r w:rsidR="009C713D" w:rsidRPr="00382917">
        <w:t>’</w:t>
      </w:r>
      <w:r w:rsidRPr="00382917">
        <w:t>s</w:t>
      </w:r>
      <w:r w:rsidR="00EE4FC3">
        <w:t xml:space="preserve"> </w:t>
      </w:r>
      <w:r w:rsidRPr="00382917">
        <w:t>house,</w:t>
      </w:r>
      <w:r w:rsidR="00EE4FC3">
        <w:t xml:space="preserve"> </w:t>
      </w:r>
      <w:r w:rsidRPr="00382917">
        <w:t>and</w:t>
      </w:r>
      <w:r w:rsidR="00EE4FC3">
        <w:t xml:space="preserve"> </w:t>
      </w:r>
      <w:r w:rsidRPr="00382917">
        <w:t>she</w:t>
      </w:r>
      <w:r w:rsidR="00EE4FC3">
        <w:t xml:space="preserve"> </w:t>
      </w:r>
      <w:r w:rsidRPr="00382917">
        <w:t>was</w:t>
      </w:r>
      <w:r w:rsidR="00EE4FC3">
        <w:t xml:space="preserve"> </w:t>
      </w:r>
      <w:r w:rsidRPr="00382917">
        <w:t>able</w:t>
      </w:r>
      <w:r w:rsidR="00EE4FC3">
        <w:t xml:space="preserve"> </w:t>
      </w:r>
      <w:r w:rsidRPr="00382917">
        <w:t>to</w:t>
      </w:r>
      <w:r w:rsidR="00EE4FC3">
        <w:t xml:space="preserve"> </w:t>
      </w:r>
      <w:r w:rsidRPr="00382917">
        <w:t>continue</w:t>
      </w:r>
      <w:r w:rsidR="00EE4FC3">
        <w:t xml:space="preserve"> </w:t>
      </w:r>
      <w:r w:rsidRPr="00382917">
        <w:t>her</w:t>
      </w:r>
      <w:r w:rsidR="00EE4FC3">
        <w:t xml:space="preserve"> </w:t>
      </w:r>
      <w:r w:rsidRPr="00382917">
        <w:t>teaching</w:t>
      </w:r>
      <w:r w:rsidR="0040329F">
        <w:t>.</w:t>
      </w:r>
      <w:r w:rsidR="00EE4FC3">
        <w:t xml:space="preserve">  </w:t>
      </w:r>
      <w:r w:rsidRPr="00382917">
        <w:t>She</w:t>
      </w:r>
      <w:r w:rsidR="00EE4FC3">
        <w:t xml:space="preserve"> </w:t>
      </w:r>
      <w:r w:rsidRPr="00382917">
        <w:t>was</w:t>
      </w:r>
      <w:r w:rsidR="00EE4FC3">
        <w:t xml:space="preserve"> </w:t>
      </w:r>
      <w:r w:rsidRPr="00382917">
        <w:t>still</w:t>
      </w:r>
      <w:r w:rsidR="00EE4FC3">
        <w:t xml:space="preserve"> </w:t>
      </w:r>
      <w:r w:rsidRPr="00382917">
        <w:t>alive</w:t>
      </w:r>
      <w:r w:rsidR="00EE4FC3">
        <w:t xml:space="preserve"> </w:t>
      </w:r>
      <w:r w:rsidRPr="00382917">
        <w:t>with</w:t>
      </w:r>
      <w:r w:rsidR="00EE4FC3">
        <w:t xml:space="preserve"> </w:t>
      </w:r>
      <w:r w:rsidRPr="00382917">
        <w:t>the</w:t>
      </w:r>
      <w:r w:rsidR="00EE4FC3">
        <w:t xml:space="preserve"> </w:t>
      </w:r>
      <w:r w:rsidRPr="00382917">
        <w:t>fire</w:t>
      </w:r>
      <w:r w:rsidR="00EE4FC3">
        <w:t xml:space="preserve"> </w:t>
      </w:r>
      <w:r w:rsidRPr="00382917">
        <w:t>and</w:t>
      </w:r>
      <w:r w:rsidR="00EE4FC3">
        <w:t xml:space="preserve"> </w:t>
      </w:r>
      <w:proofErr w:type="spellStart"/>
      <w:r w:rsidRPr="00382917">
        <w:t>fervor</w:t>
      </w:r>
      <w:proofErr w:type="spellEnd"/>
      <w:r w:rsidR="00EE4FC3">
        <w:t xml:space="preserve"> </w:t>
      </w:r>
      <w:r w:rsidRPr="00382917">
        <w:t>of</w:t>
      </w:r>
      <w:r w:rsidR="00EE4FC3">
        <w:t xml:space="preserve"> </w:t>
      </w:r>
      <w:r w:rsidR="00330AF7" w:rsidRPr="00382917">
        <w:t>Bada</w:t>
      </w:r>
      <w:r w:rsidR="00330AF7" w:rsidRPr="00330AF7">
        <w:rPr>
          <w:u w:val="single"/>
        </w:rPr>
        <w:t>sh</w:t>
      </w:r>
      <w:r w:rsidR="00330AF7" w:rsidRPr="00382917">
        <w:t>t</w:t>
      </w:r>
      <w:r w:rsidR="0040329F">
        <w:t>.</w:t>
      </w:r>
      <w:r w:rsidR="00EE4FC3">
        <w:t xml:space="preserve">  </w:t>
      </w:r>
      <w:r w:rsidRPr="00382917">
        <w:t>It</w:t>
      </w:r>
      <w:r w:rsidR="00EE4FC3">
        <w:t xml:space="preserve"> </w:t>
      </w:r>
      <w:r w:rsidRPr="00382917">
        <w:t>was</w:t>
      </w:r>
      <w:r w:rsidR="00EE4FC3">
        <w:t xml:space="preserve"> </w:t>
      </w:r>
      <w:r w:rsidRPr="00382917">
        <w:t>during</w:t>
      </w:r>
      <w:r w:rsidR="00EE4FC3">
        <w:t xml:space="preserve"> </w:t>
      </w:r>
      <w:r w:rsidRPr="00382917">
        <w:t>this</w:t>
      </w:r>
      <w:r w:rsidR="00EE4FC3">
        <w:t xml:space="preserve"> </w:t>
      </w:r>
      <w:r w:rsidRPr="00382917">
        <w:t>period</w:t>
      </w:r>
      <w:r w:rsidR="00EE4FC3">
        <w:t xml:space="preserve"> </w:t>
      </w:r>
      <w:r w:rsidRPr="00382917">
        <w:t>in</w:t>
      </w:r>
      <w:r w:rsidR="00EE4FC3">
        <w:t xml:space="preserve"> </w:t>
      </w:r>
      <w:r w:rsidRPr="00382917">
        <w:t>Ṭihrán</w:t>
      </w:r>
      <w:r w:rsidR="00EE4FC3">
        <w:t xml:space="preserve"> </w:t>
      </w:r>
      <w:r w:rsidRPr="00382917">
        <w:t>that</w:t>
      </w:r>
      <w:r w:rsidR="00EE4FC3">
        <w:t xml:space="preserve"> </w:t>
      </w:r>
      <w:r w:rsidRPr="00382917">
        <w:t>Ṭáhirih</w:t>
      </w:r>
      <w:r w:rsidR="00EE4FC3">
        <w:t xml:space="preserve"> </w:t>
      </w:r>
      <w:r w:rsidRPr="00382917">
        <w:t>reached</w:t>
      </w:r>
      <w:r w:rsidR="00EE4FC3">
        <w:t xml:space="preserve"> </w:t>
      </w:r>
      <w:r w:rsidRPr="00382917">
        <w:t>the</w:t>
      </w:r>
      <w:r w:rsidR="00EE4FC3">
        <w:t xml:space="preserve"> </w:t>
      </w:r>
      <w:r w:rsidRPr="00382917">
        <w:t>height</w:t>
      </w:r>
      <w:r w:rsidR="00EE4FC3">
        <w:t xml:space="preserve"> </w:t>
      </w:r>
      <w:r w:rsidRPr="00382917">
        <w:t>of</w:t>
      </w:r>
      <w:r w:rsidR="00EE4FC3">
        <w:t xml:space="preserve"> </w:t>
      </w:r>
      <w:r w:rsidRPr="00382917">
        <w:t>her</w:t>
      </w:r>
      <w:r w:rsidR="00EE4FC3">
        <w:t xml:space="preserve"> </w:t>
      </w:r>
      <w:r w:rsidRPr="00382917">
        <w:t>popularity</w:t>
      </w:r>
      <w:r w:rsidR="00EE4FC3">
        <w:t xml:space="preserve"> </w:t>
      </w:r>
      <w:r w:rsidRPr="00382917">
        <w:t>and</w:t>
      </w:r>
      <w:r w:rsidR="00EE4FC3">
        <w:t xml:space="preserve"> </w:t>
      </w:r>
      <w:r w:rsidRPr="00382917">
        <w:t>fame</w:t>
      </w:r>
      <w:r w:rsidR="0040329F">
        <w:t>.</w:t>
      </w:r>
      <w:r w:rsidR="00EE4FC3">
        <w:t xml:space="preserve">  </w:t>
      </w:r>
      <w:r w:rsidRPr="00382917">
        <w:t>She</w:t>
      </w:r>
      <w:r w:rsidR="00EE4FC3">
        <w:t xml:space="preserve"> </w:t>
      </w:r>
      <w:r w:rsidRPr="00382917">
        <w:t>openly</w:t>
      </w:r>
      <w:r w:rsidR="00EE4FC3">
        <w:t xml:space="preserve"> </w:t>
      </w:r>
      <w:r w:rsidRPr="00382917">
        <w:t>denounced</w:t>
      </w:r>
      <w:r w:rsidR="00EE4FC3">
        <w:t xml:space="preserve"> </w:t>
      </w:r>
      <w:r w:rsidRPr="00382917">
        <w:t>polygamy,</w:t>
      </w:r>
      <w:r w:rsidR="00EE4FC3">
        <w:t xml:space="preserve"> </w:t>
      </w:r>
      <w:r w:rsidRPr="00382917">
        <w:t>the</w:t>
      </w:r>
      <w:r w:rsidR="00EE4FC3">
        <w:t xml:space="preserve"> </w:t>
      </w:r>
      <w:r w:rsidRPr="00382917">
        <w:t>veil,</w:t>
      </w:r>
      <w:r w:rsidR="00EE4FC3">
        <w:t xml:space="preserve"> </w:t>
      </w:r>
      <w:r w:rsidRPr="00382917">
        <w:t>and</w:t>
      </w:r>
      <w:r w:rsidR="00EE4FC3">
        <w:t xml:space="preserve"> </w:t>
      </w:r>
      <w:r w:rsidRPr="00382917">
        <w:t>all</w:t>
      </w:r>
      <w:r w:rsidR="00EE4FC3">
        <w:t xml:space="preserve"> </w:t>
      </w:r>
      <w:r w:rsidRPr="00382917">
        <w:t>the</w:t>
      </w:r>
      <w:r w:rsidR="00EE4FC3">
        <w:t xml:space="preserve"> </w:t>
      </w:r>
      <w:r w:rsidRPr="00382917">
        <w:t>restraints</w:t>
      </w:r>
      <w:r w:rsidR="00EE4FC3">
        <w:t xml:space="preserve"> </w:t>
      </w:r>
      <w:r w:rsidRPr="00382917">
        <w:t>which</w:t>
      </w:r>
      <w:r w:rsidR="00EE4FC3">
        <w:t xml:space="preserve"> </w:t>
      </w:r>
      <w:r w:rsidRPr="00382917">
        <w:t>had</w:t>
      </w:r>
      <w:r w:rsidR="00EE4FC3">
        <w:t xml:space="preserve"> </w:t>
      </w:r>
      <w:r w:rsidRPr="00382917">
        <w:t>so</w:t>
      </w:r>
      <w:r w:rsidR="00EE4FC3">
        <w:t xml:space="preserve"> </w:t>
      </w:r>
      <w:r w:rsidRPr="00382917">
        <w:t>unjustly</w:t>
      </w:r>
      <w:r w:rsidR="00EE4FC3">
        <w:t xml:space="preserve"> </w:t>
      </w:r>
      <w:r w:rsidRPr="00382917">
        <w:t>shackled</w:t>
      </w:r>
      <w:r w:rsidR="00EE4FC3">
        <w:t xml:space="preserve"> </w:t>
      </w:r>
      <w:r w:rsidRPr="00382917">
        <w:t>her</w:t>
      </w:r>
      <w:r w:rsidR="00EE4FC3">
        <w:t xml:space="preserve"> </w:t>
      </w:r>
      <w:r w:rsidRPr="00382917">
        <w:t>sex</w:t>
      </w:r>
      <w:r w:rsidR="00EE4FC3">
        <w:t xml:space="preserve"> </w:t>
      </w:r>
      <w:r w:rsidRPr="00382917">
        <w:t>for</w:t>
      </w:r>
      <w:r w:rsidR="00EE4FC3">
        <w:t xml:space="preserve"> </w:t>
      </w:r>
      <w:r w:rsidRPr="00382917">
        <w:t>so</w:t>
      </w:r>
      <w:r w:rsidR="00EE4FC3">
        <w:t xml:space="preserve"> </w:t>
      </w:r>
      <w:r w:rsidRPr="00382917">
        <w:t>many</w:t>
      </w:r>
      <w:r w:rsidR="00EE4FC3">
        <w:t xml:space="preserve"> </w:t>
      </w:r>
      <w:r w:rsidRPr="00382917">
        <w:t>centuries</w:t>
      </w:r>
      <w:r w:rsidR="00EE4FC3">
        <w:t xml:space="preserve"> </w:t>
      </w:r>
      <w:r w:rsidRPr="00382917">
        <w:t>in</w:t>
      </w:r>
      <w:r w:rsidR="00EE4FC3">
        <w:t xml:space="preserve"> </w:t>
      </w:r>
      <w:r w:rsidRPr="00382917">
        <w:t>the</w:t>
      </w:r>
      <w:r w:rsidR="00EE4FC3">
        <w:t xml:space="preserve"> </w:t>
      </w:r>
      <w:r w:rsidRPr="00382917">
        <w:t>East</w:t>
      </w:r>
      <w:r w:rsidR="0040329F">
        <w:t>.</w:t>
      </w:r>
      <w:r w:rsidR="00EE4FC3">
        <w:t xml:space="preserve">  </w:t>
      </w:r>
      <w:r w:rsidRPr="00382917">
        <w:t>She</w:t>
      </w:r>
      <w:r w:rsidR="00EE4FC3">
        <w:t xml:space="preserve"> </w:t>
      </w:r>
      <w:r w:rsidRPr="00382917">
        <w:t>aroused</w:t>
      </w:r>
      <w:r w:rsidR="00EE4FC3">
        <w:t xml:space="preserve"> </w:t>
      </w:r>
      <w:r w:rsidRPr="00382917">
        <w:t>the</w:t>
      </w:r>
      <w:r w:rsidR="00EE4FC3">
        <w:t xml:space="preserve"> </w:t>
      </w:r>
      <w:r w:rsidRPr="00382917">
        <w:t>women</w:t>
      </w:r>
      <w:r w:rsidR="00EE4FC3">
        <w:t xml:space="preserve"> </w:t>
      </w:r>
      <w:r w:rsidRPr="00382917">
        <w:t>by</w:t>
      </w:r>
      <w:r w:rsidR="00EE4FC3">
        <w:t xml:space="preserve"> </w:t>
      </w:r>
      <w:r w:rsidRPr="00382917">
        <w:t>pointing</w:t>
      </w:r>
      <w:r w:rsidR="00EE4FC3">
        <w:t xml:space="preserve"> </w:t>
      </w:r>
      <w:r w:rsidRPr="00382917">
        <w:t>out</w:t>
      </w:r>
      <w:r w:rsidR="00EE4FC3">
        <w:t xml:space="preserve"> </w:t>
      </w:r>
      <w:r w:rsidRPr="00382917">
        <w:t>to</w:t>
      </w:r>
      <w:r w:rsidR="00EE4FC3">
        <w:t xml:space="preserve"> </w:t>
      </w:r>
      <w:r w:rsidRPr="00382917">
        <w:t>them</w:t>
      </w:r>
      <w:r w:rsidR="00EE4FC3">
        <w:t xml:space="preserve"> </w:t>
      </w:r>
      <w:r w:rsidRPr="00382917">
        <w:t>the</w:t>
      </w:r>
      <w:r w:rsidR="00EE4FC3">
        <w:t xml:space="preserve"> </w:t>
      </w:r>
      <w:r w:rsidRPr="00382917">
        <w:t>abject</w:t>
      </w:r>
      <w:r w:rsidR="00EE4FC3">
        <w:t xml:space="preserve"> </w:t>
      </w:r>
      <w:r w:rsidRPr="00382917">
        <w:t>roles</w:t>
      </w:r>
      <w:r w:rsidR="00EE4FC3">
        <w:t xml:space="preserve"> </w:t>
      </w:r>
      <w:r w:rsidRPr="00382917">
        <w:t>they</w:t>
      </w:r>
      <w:r w:rsidR="00EE4FC3">
        <w:t xml:space="preserve"> </w:t>
      </w:r>
      <w:r w:rsidRPr="00382917">
        <w:t>had</w:t>
      </w:r>
      <w:r w:rsidR="00EE4FC3">
        <w:t xml:space="preserve"> </w:t>
      </w:r>
      <w:r w:rsidRPr="00382917">
        <w:t>been</w:t>
      </w:r>
      <w:r w:rsidR="00EE4FC3">
        <w:t xml:space="preserve"> </w:t>
      </w:r>
      <w:r w:rsidRPr="00382917">
        <w:t>given</w:t>
      </w:r>
      <w:r w:rsidR="00EE4FC3">
        <w:t xml:space="preserve"> </w:t>
      </w:r>
      <w:r w:rsidRPr="00382917">
        <w:t>by</w:t>
      </w:r>
      <w:r w:rsidR="00EE4FC3">
        <w:t xml:space="preserve"> </w:t>
      </w:r>
      <w:r w:rsidRPr="00382917">
        <w:t>their</w:t>
      </w:r>
      <w:r w:rsidR="00EE4FC3">
        <w:t xml:space="preserve"> </w:t>
      </w:r>
      <w:r w:rsidRPr="00382917">
        <w:t>past</w:t>
      </w:r>
      <w:r w:rsidR="00EE4FC3">
        <w:t xml:space="preserve"> </w:t>
      </w:r>
      <w:r w:rsidRPr="00382917">
        <w:t>beliefs,</w:t>
      </w:r>
      <w:r w:rsidR="00EE4FC3">
        <w:t xml:space="preserve"> </w:t>
      </w:r>
      <w:r w:rsidRPr="00382917">
        <w:t>and</w:t>
      </w:r>
      <w:r w:rsidR="00EE4FC3">
        <w:t xml:space="preserve"> </w:t>
      </w:r>
      <w:r w:rsidRPr="00382917">
        <w:t>she</w:t>
      </w:r>
      <w:r w:rsidR="00EE4FC3">
        <w:t xml:space="preserve"> </w:t>
      </w:r>
      <w:r w:rsidRPr="00382917">
        <w:t>won</w:t>
      </w:r>
      <w:r w:rsidR="00EE4FC3">
        <w:t xml:space="preserve"> </w:t>
      </w:r>
      <w:r w:rsidRPr="00382917">
        <w:t>them</w:t>
      </w:r>
      <w:r w:rsidR="00EE4FC3">
        <w:t xml:space="preserve"> </w:t>
      </w:r>
      <w:r w:rsidRPr="00382917">
        <w:t>over</w:t>
      </w:r>
      <w:r w:rsidR="00EE4FC3">
        <w:t xml:space="preserve"> </w:t>
      </w:r>
      <w:r w:rsidRPr="00382917">
        <w:t>by</w:t>
      </w:r>
      <w:r w:rsidR="00EE4FC3">
        <w:t xml:space="preserve"> </w:t>
      </w:r>
      <w:r w:rsidRPr="00382917">
        <w:t>showing</w:t>
      </w:r>
      <w:r w:rsidR="00EE4FC3">
        <w:t xml:space="preserve"> </w:t>
      </w:r>
      <w:r w:rsidRPr="00382917">
        <w:t>them</w:t>
      </w:r>
      <w:r w:rsidR="00EE4FC3">
        <w:t xml:space="preserve"> </w:t>
      </w:r>
      <w:r w:rsidRPr="00382917">
        <w:t>the</w:t>
      </w:r>
      <w:r w:rsidR="00EE4FC3">
        <w:t xml:space="preserve"> </w:t>
      </w:r>
      <w:r w:rsidRPr="00382917">
        <w:t>freedom,</w:t>
      </w:r>
      <w:r w:rsidR="00EE4FC3">
        <w:t xml:space="preserve"> </w:t>
      </w:r>
      <w:r w:rsidRPr="00382917">
        <w:t>respect</w:t>
      </w:r>
      <w:r w:rsidR="00EE4FC3">
        <w:t xml:space="preserve"> </w:t>
      </w:r>
      <w:r w:rsidRPr="00382917">
        <w:t>and</w:t>
      </w:r>
      <w:r w:rsidR="00EE4FC3">
        <w:t xml:space="preserve"> </w:t>
      </w:r>
      <w:r w:rsidRPr="00382917">
        <w:t>dignity</w:t>
      </w:r>
      <w:r w:rsidR="00EE4FC3">
        <w:t xml:space="preserve"> </w:t>
      </w:r>
      <w:r w:rsidRPr="00382917">
        <w:t>which</w:t>
      </w:r>
      <w:r w:rsidR="00EE4FC3">
        <w:t xml:space="preserve"> </w:t>
      </w:r>
      <w:r w:rsidRPr="00382917">
        <w:t>the</w:t>
      </w:r>
      <w:r w:rsidR="00EE4FC3">
        <w:t xml:space="preserve"> </w:t>
      </w:r>
      <w:r w:rsidRPr="00382917">
        <w:t>Faith</w:t>
      </w:r>
      <w:r w:rsidR="00EE4FC3">
        <w:t xml:space="preserve"> </w:t>
      </w:r>
      <w:r w:rsidRPr="00382917">
        <w:t>of</w:t>
      </w:r>
      <w:r w:rsidR="00EE4FC3">
        <w:t xml:space="preserve"> </w:t>
      </w:r>
      <w:r w:rsidRPr="00382917">
        <w:t>the</w:t>
      </w:r>
      <w:r w:rsidR="00EE4FC3">
        <w:t xml:space="preserve"> </w:t>
      </w:r>
      <w:r w:rsidRPr="00382917">
        <w:t>Báb</w:t>
      </w:r>
      <w:r w:rsidR="00EE4FC3">
        <w:t xml:space="preserve"> </w:t>
      </w:r>
      <w:r w:rsidRPr="00382917">
        <w:t>would</w:t>
      </w:r>
      <w:r w:rsidR="00EE4FC3">
        <w:t xml:space="preserve"> </w:t>
      </w:r>
      <w:r w:rsidRPr="00382917">
        <w:t>bestow</w:t>
      </w:r>
      <w:r w:rsidR="00EE4FC3">
        <w:t xml:space="preserve"> </w:t>
      </w:r>
      <w:r w:rsidRPr="00382917">
        <w:t>upon</w:t>
      </w:r>
      <w:r w:rsidR="00EE4FC3">
        <w:t xml:space="preserve"> </w:t>
      </w:r>
      <w:r w:rsidRPr="00382917">
        <w:t>them.</w:t>
      </w:r>
    </w:p>
    <w:p w:rsidR="00E13D49" w:rsidRPr="00382917" w:rsidRDefault="007E595F" w:rsidP="008D411B">
      <w:pPr>
        <w:pStyle w:val="Text"/>
      </w:pPr>
      <w:r w:rsidRPr="00382917">
        <w:t>Sir</w:t>
      </w:r>
      <w:r w:rsidR="00EE4FC3">
        <w:t xml:space="preserve"> </w:t>
      </w:r>
      <w:r w:rsidRPr="00382917">
        <w:t>Francis</w:t>
      </w:r>
      <w:r w:rsidR="00EE4FC3">
        <w:t xml:space="preserve"> </w:t>
      </w:r>
      <w:proofErr w:type="spellStart"/>
      <w:r w:rsidRPr="00382917">
        <w:t>Younghusband</w:t>
      </w:r>
      <w:proofErr w:type="spellEnd"/>
      <w:r w:rsidR="00EE4FC3">
        <w:t xml:space="preserve"> </w:t>
      </w:r>
      <w:r w:rsidRPr="00382917">
        <w:t>who</w:t>
      </w:r>
      <w:r w:rsidR="00EE4FC3">
        <w:t xml:space="preserve"> </w:t>
      </w:r>
      <w:r w:rsidRPr="00382917">
        <w:t>wrote</w:t>
      </w:r>
      <w:r w:rsidR="00EE4FC3">
        <w:t xml:space="preserve"> </w:t>
      </w:r>
      <w:r w:rsidRPr="00382917">
        <w:t>of</w:t>
      </w:r>
      <w:r w:rsidR="00EE4FC3">
        <w:t xml:space="preserve"> </w:t>
      </w:r>
      <w:proofErr w:type="spellStart"/>
      <w:r w:rsidRPr="00382917">
        <w:t>Táhirih</w:t>
      </w:r>
      <w:r w:rsidR="009C713D" w:rsidRPr="00382917">
        <w:t>’</w:t>
      </w:r>
      <w:r w:rsidRPr="00382917">
        <w:t>s</w:t>
      </w:r>
      <w:proofErr w:type="spellEnd"/>
      <w:r w:rsidR="00EE4FC3">
        <w:t xml:space="preserve"> </w:t>
      </w:r>
      <w:r w:rsidRPr="00382917">
        <w:t>life,</w:t>
      </w:r>
      <w:r w:rsidR="00EE4FC3">
        <w:t xml:space="preserve"> </w:t>
      </w:r>
      <w:r w:rsidRPr="00382917">
        <w:t>says</w:t>
      </w:r>
      <w:r w:rsidR="00C03C91">
        <w:t>:</w:t>
      </w:r>
      <w:r w:rsidR="00EE4FC3">
        <w:t xml:space="preserve">  </w:t>
      </w:r>
      <w:r w:rsidR="009C713D" w:rsidRPr="00382917">
        <w:t>“</w:t>
      </w:r>
      <w:r w:rsidRPr="00382917">
        <w:t>So</w:t>
      </w:r>
      <w:r w:rsidR="00EE4FC3">
        <w:t xml:space="preserve"> </w:t>
      </w:r>
      <w:r w:rsidRPr="00382917">
        <w:t>strong</w:t>
      </w:r>
      <w:r w:rsidR="00EE4FC3">
        <w:t xml:space="preserve"> </w:t>
      </w:r>
      <w:r w:rsidRPr="00382917">
        <w:t>in</w:t>
      </w:r>
      <w:r w:rsidR="00EE4FC3">
        <w:t xml:space="preserve"> </w:t>
      </w:r>
      <w:r w:rsidRPr="00382917">
        <w:t>her</w:t>
      </w:r>
      <w:r w:rsidR="00EE4FC3">
        <w:t xml:space="preserve"> </w:t>
      </w:r>
      <w:r w:rsidRPr="00382917">
        <w:t>faith</w:t>
      </w:r>
      <w:r w:rsidR="00EE4FC3">
        <w:t xml:space="preserve"> </w:t>
      </w:r>
      <w:r w:rsidRPr="00382917">
        <w:t>did</w:t>
      </w:r>
      <w:r w:rsidR="00EE4FC3">
        <w:t xml:space="preserve"> </w:t>
      </w:r>
      <w:r w:rsidRPr="00382917">
        <w:t>she</w:t>
      </w:r>
      <w:r w:rsidR="00EE4FC3">
        <w:t xml:space="preserve"> </w:t>
      </w:r>
      <w:r w:rsidRPr="00382917">
        <w:t>become</w:t>
      </w:r>
      <w:r w:rsidR="00EE4FC3">
        <w:t xml:space="preserve"> </w:t>
      </w:r>
      <w:r w:rsidRPr="00382917">
        <w:t>that</w:t>
      </w:r>
      <w:r w:rsidR="00EE4FC3">
        <w:t xml:space="preserve"> </w:t>
      </w:r>
      <w:r w:rsidRPr="00382917">
        <w:t>although</w:t>
      </w:r>
      <w:r w:rsidR="00EE4FC3">
        <w:t xml:space="preserve"> </w:t>
      </w:r>
      <w:r w:rsidRPr="00382917">
        <w:t>she</w:t>
      </w:r>
      <w:r w:rsidR="00EE4FC3">
        <w:t xml:space="preserve"> </w:t>
      </w:r>
      <w:r w:rsidRPr="00382917">
        <w:t>was</w:t>
      </w:r>
      <w:r w:rsidR="00EE4FC3">
        <w:t xml:space="preserve"> </w:t>
      </w:r>
      <w:r w:rsidRPr="00382917">
        <w:t>both</w:t>
      </w:r>
      <w:r w:rsidR="00EE4FC3">
        <w:t xml:space="preserve"> </w:t>
      </w:r>
      <w:r w:rsidRPr="00382917">
        <w:t>rich</w:t>
      </w:r>
      <w:r w:rsidR="00EE4FC3">
        <w:t xml:space="preserve"> </w:t>
      </w:r>
      <w:r w:rsidRPr="00382917">
        <w:t>and</w:t>
      </w:r>
      <w:r w:rsidR="00EE4FC3">
        <w:t xml:space="preserve"> </w:t>
      </w:r>
      <w:r w:rsidRPr="00382917">
        <w:t>noble,</w:t>
      </w:r>
      <w:r w:rsidR="00EE4FC3">
        <w:t xml:space="preserve"> </w:t>
      </w:r>
      <w:r w:rsidRPr="00382917">
        <w:t>she</w:t>
      </w:r>
      <w:r w:rsidR="00EE4FC3">
        <w:t xml:space="preserve"> </w:t>
      </w:r>
      <w:r w:rsidRPr="00382917">
        <w:t>gave</w:t>
      </w:r>
      <w:r w:rsidR="00EE4FC3">
        <w:t xml:space="preserve"> </w:t>
      </w:r>
      <w:r w:rsidRPr="00382917">
        <w:t>up</w:t>
      </w:r>
      <w:r w:rsidR="00EE4FC3">
        <w:t xml:space="preserve"> </w:t>
      </w:r>
      <w:r w:rsidRPr="00382917">
        <w:t>wealth,</w:t>
      </w:r>
      <w:r w:rsidR="00EE4FC3">
        <w:t xml:space="preserve"> </w:t>
      </w:r>
      <w:r w:rsidRPr="00382917">
        <w:t>child,</w:t>
      </w:r>
      <w:r w:rsidR="00EE4FC3">
        <w:t xml:space="preserve"> </w:t>
      </w:r>
      <w:r w:rsidRPr="00382917">
        <w:t>name</w:t>
      </w:r>
      <w:r w:rsidR="00EE4FC3">
        <w:t xml:space="preserve"> </w:t>
      </w:r>
      <w:r w:rsidRPr="00382917">
        <w:t>and</w:t>
      </w:r>
      <w:r w:rsidR="00EE4FC3">
        <w:t xml:space="preserve"> </w:t>
      </w:r>
      <w:r w:rsidRPr="00382917">
        <w:t>position</w:t>
      </w:r>
      <w:r w:rsidR="00EE4FC3">
        <w:t xml:space="preserve"> </w:t>
      </w:r>
      <w:r w:rsidRPr="00382917">
        <w:t>for</w:t>
      </w:r>
      <w:r w:rsidR="00EE4FC3">
        <w:t xml:space="preserve"> </w:t>
      </w:r>
      <w:r w:rsidRPr="00382917">
        <w:t>her</w:t>
      </w:r>
      <w:r w:rsidR="00EE4FC3">
        <w:t xml:space="preserve"> </w:t>
      </w:r>
      <w:r w:rsidRPr="00382917">
        <w:t>Master</w:t>
      </w:r>
      <w:r w:rsidR="009C713D" w:rsidRPr="00382917">
        <w:t>’</w:t>
      </w:r>
      <w:r w:rsidRPr="00382917">
        <w:t>s</w:t>
      </w:r>
      <w:r w:rsidR="00EE4FC3">
        <w:t xml:space="preserve"> </w:t>
      </w:r>
      <w:r w:rsidRPr="00382917">
        <w:t>service</w:t>
      </w:r>
      <w:r w:rsidR="00EE4FC3">
        <w:t xml:space="preserve"> </w:t>
      </w:r>
      <w:r w:rsidRPr="00382917">
        <w:t>and</w:t>
      </w:r>
      <w:r w:rsidR="00EE4FC3">
        <w:t xml:space="preserve"> </w:t>
      </w:r>
      <w:r w:rsidRPr="00382917">
        <w:t>set</w:t>
      </w:r>
      <w:r w:rsidR="00EE4FC3">
        <w:t xml:space="preserve"> </w:t>
      </w:r>
      <w:r w:rsidRPr="00382917">
        <w:t>herself</w:t>
      </w:r>
      <w:r w:rsidR="00EE4FC3">
        <w:t xml:space="preserve"> </w:t>
      </w:r>
      <w:r w:rsidRPr="00382917">
        <w:t>to</w:t>
      </w:r>
      <w:r w:rsidR="00EE4FC3">
        <w:t xml:space="preserve"> </w:t>
      </w:r>
      <w:r w:rsidRPr="00382917">
        <w:t>proclaim</w:t>
      </w:r>
      <w:r w:rsidR="00EE4FC3">
        <w:t xml:space="preserve"> </w:t>
      </w:r>
      <w:r w:rsidRPr="00382917">
        <w:t>and</w:t>
      </w:r>
      <w:r w:rsidR="00EE4FC3">
        <w:t xml:space="preserve"> </w:t>
      </w:r>
      <w:r w:rsidRPr="00382917">
        <w:t>establish</w:t>
      </w:r>
      <w:r w:rsidR="00EE4FC3">
        <w:t xml:space="preserve"> </w:t>
      </w:r>
      <w:r w:rsidRPr="00382917">
        <w:t>his</w:t>
      </w:r>
      <w:r w:rsidR="00EE4FC3">
        <w:t xml:space="preserve"> </w:t>
      </w:r>
      <w:r w:rsidRPr="00382917">
        <w:t>doctrine.</w:t>
      </w:r>
      <w:r w:rsidR="009C713D" w:rsidRPr="00382917">
        <w:t>”</w:t>
      </w:r>
      <w:r w:rsidR="008D411B">
        <w:t xml:space="preserve"> </w:t>
      </w:r>
      <w:r w:rsidR="00EE4FC3">
        <w:t xml:space="preserve"> </w:t>
      </w:r>
      <w:r w:rsidRPr="00382917">
        <w:t>He</w:t>
      </w:r>
      <w:r w:rsidR="00EE4FC3">
        <w:t xml:space="preserve"> </w:t>
      </w:r>
      <w:r w:rsidRPr="00382917">
        <w:t>adds</w:t>
      </w:r>
      <w:r w:rsidR="00EE4FC3">
        <w:t xml:space="preserve"> </w:t>
      </w:r>
      <w:r w:rsidRPr="00382917">
        <w:t>in</w:t>
      </w:r>
      <w:r w:rsidR="00EE4FC3">
        <w:t xml:space="preserve"> </w:t>
      </w:r>
      <w:r w:rsidRPr="00382917">
        <w:t>yet</w:t>
      </w:r>
      <w:r w:rsidR="00EE4FC3">
        <w:t xml:space="preserve"> </w:t>
      </w:r>
      <w:r w:rsidRPr="00382917">
        <w:t>another</w:t>
      </w:r>
      <w:r w:rsidR="00EE4FC3">
        <w:t xml:space="preserve"> </w:t>
      </w:r>
      <w:r w:rsidRPr="00382917">
        <w:t>place</w:t>
      </w:r>
      <w:r w:rsidR="00C03C91">
        <w:t>:</w:t>
      </w:r>
      <w:r w:rsidR="00EE4FC3">
        <w:t xml:space="preserve">  </w:t>
      </w:r>
      <w:r w:rsidR="009C713D" w:rsidRPr="00382917">
        <w:t>“</w:t>
      </w:r>
      <w:r w:rsidRPr="00382917">
        <w:t>The</w:t>
      </w:r>
      <w:r w:rsidR="00EE4FC3">
        <w:t xml:space="preserve"> </w:t>
      </w:r>
      <w:r w:rsidRPr="00382917">
        <w:t>beauty</w:t>
      </w:r>
      <w:r w:rsidR="00EE4FC3">
        <w:t xml:space="preserve"> </w:t>
      </w:r>
      <w:r w:rsidRPr="00382917">
        <w:t>of</w:t>
      </w:r>
      <w:r w:rsidR="00EE4FC3">
        <w:t xml:space="preserve"> </w:t>
      </w:r>
      <w:r w:rsidRPr="00382917">
        <w:t>her</w:t>
      </w:r>
      <w:r w:rsidR="00EE4FC3">
        <w:t xml:space="preserve"> </w:t>
      </w:r>
      <w:r w:rsidRPr="00382917">
        <w:t>speech</w:t>
      </w:r>
      <w:r w:rsidR="00EE4FC3">
        <w:t xml:space="preserve"> </w:t>
      </w:r>
      <w:r w:rsidRPr="00382917">
        <w:t>was</w:t>
      </w:r>
      <w:r w:rsidR="00EE4FC3">
        <w:t xml:space="preserve"> </w:t>
      </w:r>
      <w:r w:rsidRPr="00382917">
        <w:t>such</w:t>
      </w:r>
      <w:r w:rsidR="00EE4FC3">
        <w:t xml:space="preserve"> </w:t>
      </w:r>
      <w:r w:rsidRPr="00382917">
        <w:t>as</w:t>
      </w:r>
      <w:r w:rsidR="00EE4FC3">
        <w:t xml:space="preserve"> </w:t>
      </w:r>
      <w:r w:rsidRPr="00382917">
        <w:t>to</w:t>
      </w:r>
      <w:r w:rsidR="00EE4FC3">
        <w:t xml:space="preserve"> </w:t>
      </w:r>
      <w:r w:rsidRPr="00382917">
        <w:t>draw</w:t>
      </w:r>
      <w:r w:rsidR="00EE4FC3">
        <w:t xml:space="preserve"> </w:t>
      </w:r>
      <w:r w:rsidRPr="00382917">
        <w:t>guests</w:t>
      </w:r>
      <w:r w:rsidR="00EE4FC3">
        <w:t xml:space="preserve"> </w:t>
      </w:r>
      <w:r w:rsidRPr="00382917">
        <w:t>away</w:t>
      </w:r>
      <w:r w:rsidR="00EE4FC3">
        <w:t xml:space="preserve"> </w:t>
      </w:r>
      <w:r w:rsidRPr="00382917">
        <w:t>from</w:t>
      </w:r>
      <w:r w:rsidR="00EE4FC3">
        <w:t xml:space="preserve"> </w:t>
      </w:r>
      <w:r w:rsidRPr="00382917">
        <w:t>a</w:t>
      </w:r>
      <w:r w:rsidR="00EE4FC3">
        <w:t xml:space="preserve"> </w:t>
      </w:r>
      <w:r w:rsidRPr="00382917">
        <w:t>marriage</w:t>
      </w:r>
      <w:r w:rsidR="00EE4FC3">
        <w:t xml:space="preserve"> </w:t>
      </w:r>
      <w:r w:rsidRPr="00382917">
        <w:t>feast</w:t>
      </w:r>
      <w:r w:rsidR="00EE4FC3">
        <w:t xml:space="preserve"> </w:t>
      </w:r>
      <w:r w:rsidRPr="00382917">
        <w:t>rather</w:t>
      </w:r>
      <w:r w:rsidR="00EE4FC3">
        <w:t xml:space="preserve"> </w:t>
      </w:r>
      <w:r w:rsidRPr="00382917">
        <w:t>than</w:t>
      </w:r>
      <w:r w:rsidR="00EE4FC3">
        <w:t xml:space="preserve"> </w:t>
      </w:r>
      <w:r w:rsidRPr="00382917">
        <w:t>listen</w:t>
      </w:r>
      <w:r w:rsidR="00EE4FC3">
        <w:t xml:space="preserve"> </w:t>
      </w:r>
      <w:r w:rsidRPr="00382917">
        <w:t>to</w:t>
      </w:r>
      <w:r w:rsidR="00EE4FC3">
        <w:t xml:space="preserve"> </w:t>
      </w:r>
      <w:r w:rsidRPr="00382917">
        <w:t>music</w:t>
      </w:r>
      <w:r w:rsidR="00EE4FC3">
        <w:t xml:space="preserve"> </w:t>
      </w:r>
      <w:r w:rsidRPr="00382917">
        <w:t>provided</w:t>
      </w:r>
      <w:r w:rsidR="00EE4FC3">
        <w:t xml:space="preserve"> </w:t>
      </w:r>
      <w:r w:rsidRPr="00382917">
        <w:t>by</w:t>
      </w:r>
      <w:r w:rsidR="00EE4FC3">
        <w:t xml:space="preserve"> </w:t>
      </w:r>
      <w:r w:rsidRPr="00382917">
        <w:t>the</w:t>
      </w:r>
      <w:r w:rsidR="00EE4FC3">
        <w:t xml:space="preserve"> </w:t>
      </w:r>
      <w:r w:rsidRPr="00382917">
        <w:t>host.</w:t>
      </w:r>
      <w:r w:rsidR="009C713D" w:rsidRPr="00382917">
        <w:t>”</w:t>
      </w:r>
      <w:r w:rsidR="008D411B">
        <w:rPr>
          <w:rStyle w:val="FootnoteReference"/>
        </w:rPr>
        <w:footnoteReference w:id="155"/>
      </w:r>
    </w:p>
    <w:p w:rsidR="007E595F" w:rsidRPr="00382917" w:rsidRDefault="007E595F" w:rsidP="0005037B">
      <w:pPr>
        <w:pStyle w:val="Text"/>
      </w:pPr>
      <w:r w:rsidRPr="00382917">
        <w:t>Comte</w:t>
      </w:r>
      <w:r w:rsidR="00EE4FC3">
        <w:t xml:space="preserve"> </w:t>
      </w:r>
      <w:r w:rsidRPr="00382917">
        <w:t>de</w:t>
      </w:r>
      <w:r w:rsidR="00EE4FC3">
        <w:t xml:space="preserve"> </w:t>
      </w:r>
      <w:proofErr w:type="spellStart"/>
      <w:r w:rsidRPr="00382917">
        <w:t>Gobineau</w:t>
      </w:r>
      <w:proofErr w:type="spellEnd"/>
      <w:r w:rsidR="00EE4FC3">
        <w:t xml:space="preserve"> </w:t>
      </w:r>
      <w:r w:rsidRPr="00382917">
        <w:t>writes</w:t>
      </w:r>
      <w:r w:rsidR="00EE4FC3">
        <w:t xml:space="preserve"> </w:t>
      </w:r>
      <w:r w:rsidRPr="00382917">
        <w:t>of</w:t>
      </w:r>
      <w:r w:rsidR="00EE4FC3">
        <w:t xml:space="preserve"> </w:t>
      </w:r>
      <w:r w:rsidRPr="00382917">
        <w:t>her</w:t>
      </w:r>
      <w:r w:rsidR="00C03C91">
        <w:t>:</w:t>
      </w:r>
      <w:r w:rsidR="00EE4FC3">
        <w:t xml:space="preserve">  </w:t>
      </w:r>
      <w:r w:rsidR="009C713D" w:rsidRPr="00382917">
        <w:t>“</w:t>
      </w:r>
      <w:r w:rsidRPr="00382917">
        <w:t>Many</w:t>
      </w:r>
      <w:r w:rsidR="00EE4FC3">
        <w:t xml:space="preserve"> </w:t>
      </w:r>
      <w:r w:rsidRPr="00382917">
        <w:t>who</w:t>
      </w:r>
      <w:r w:rsidR="00EE4FC3">
        <w:t xml:space="preserve"> </w:t>
      </w:r>
      <w:r w:rsidRPr="00382917">
        <w:t>have</w:t>
      </w:r>
      <w:r w:rsidR="00EE4FC3">
        <w:t xml:space="preserve"> </w:t>
      </w:r>
      <w:r w:rsidRPr="00382917">
        <w:t>known</w:t>
      </w:r>
      <w:r w:rsidR="00EE4FC3">
        <w:t xml:space="preserve"> </w:t>
      </w:r>
      <w:r w:rsidRPr="00382917">
        <w:t>her</w:t>
      </w:r>
      <w:r w:rsidR="00EE4FC3">
        <w:t xml:space="preserve"> </w:t>
      </w:r>
      <w:r w:rsidRPr="00382917">
        <w:t>and</w:t>
      </w:r>
      <w:r w:rsidR="00EE4FC3">
        <w:t xml:space="preserve"> </w:t>
      </w:r>
      <w:r w:rsidRPr="00382917">
        <w:t>heard</w:t>
      </w:r>
      <w:r w:rsidR="00EE4FC3">
        <w:t xml:space="preserve"> </w:t>
      </w:r>
      <w:r w:rsidRPr="00382917">
        <w:t>her</w:t>
      </w:r>
      <w:r w:rsidR="00EE4FC3">
        <w:t xml:space="preserve"> </w:t>
      </w:r>
      <w:r w:rsidRPr="00382917">
        <w:t>at</w:t>
      </w:r>
      <w:r w:rsidR="00EE4FC3">
        <w:t xml:space="preserve"> </w:t>
      </w:r>
      <w:r w:rsidRPr="00382917">
        <w:t>different</w:t>
      </w:r>
      <w:r w:rsidR="00EE4FC3">
        <w:t xml:space="preserve"> </w:t>
      </w:r>
      <w:r w:rsidRPr="00382917">
        <w:t>times</w:t>
      </w:r>
      <w:r w:rsidR="00EE4FC3">
        <w:t xml:space="preserve"> </w:t>
      </w:r>
      <w:r w:rsidRPr="00382917">
        <w:t>have</w:t>
      </w:r>
      <w:r w:rsidR="00EE4FC3">
        <w:t xml:space="preserve"> </w:t>
      </w:r>
      <w:r w:rsidRPr="00382917">
        <w:t>stated</w:t>
      </w:r>
      <w:r w:rsidR="00EE4FC3">
        <w:t xml:space="preserve"> </w:t>
      </w:r>
      <w:r w:rsidRPr="00382917">
        <w:t>that,</w:t>
      </w:r>
      <w:r w:rsidR="00EE4FC3">
        <w:t xml:space="preserve"> </w:t>
      </w:r>
      <w:r w:rsidRPr="00382917">
        <w:t>for</w:t>
      </w:r>
      <w:r w:rsidR="00EE4FC3">
        <w:t xml:space="preserve"> </w:t>
      </w:r>
      <w:r w:rsidRPr="00382917">
        <w:t>a</w:t>
      </w:r>
      <w:r w:rsidR="00EE4FC3">
        <w:t xml:space="preserve"> </w:t>
      </w:r>
      <w:r w:rsidRPr="00382917">
        <w:t>person</w:t>
      </w:r>
      <w:r w:rsidR="00EE4FC3">
        <w:t xml:space="preserve"> </w:t>
      </w:r>
      <w:r w:rsidRPr="00382917">
        <w:t>so</w:t>
      </w:r>
      <w:r w:rsidR="00EE4FC3">
        <w:t xml:space="preserve"> </w:t>
      </w:r>
      <w:r w:rsidRPr="00382917">
        <w:t>learned</w:t>
      </w:r>
      <w:r w:rsidR="00EE4FC3">
        <w:t xml:space="preserve"> </w:t>
      </w:r>
      <w:r w:rsidRPr="00382917">
        <w:t>and</w:t>
      </w:r>
      <w:r w:rsidR="00EE4FC3">
        <w:t xml:space="preserve"> </w:t>
      </w:r>
      <w:r w:rsidRPr="00382917">
        <w:t>so</w:t>
      </w:r>
      <w:r w:rsidR="00EE4FC3">
        <w:t xml:space="preserve"> </w:t>
      </w:r>
      <w:r w:rsidRPr="00382917">
        <w:t>well</w:t>
      </w:r>
      <w:r w:rsidR="00EE4FC3">
        <w:t xml:space="preserve"> </w:t>
      </w:r>
      <w:r w:rsidRPr="00382917">
        <w:t>read,</w:t>
      </w:r>
      <w:r w:rsidR="00EE4FC3">
        <w:t xml:space="preserve"> </w:t>
      </w:r>
      <w:r w:rsidRPr="00382917">
        <w:t>the</w:t>
      </w:r>
      <w:r w:rsidR="00EE4FC3">
        <w:t xml:space="preserve"> </w:t>
      </w:r>
      <w:r w:rsidRPr="00382917">
        <w:t>outstanding</w:t>
      </w:r>
      <w:r w:rsidR="00EE4FC3">
        <w:t xml:space="preserve"> </w:t>
      </w:r>
      <w:r w:rsidRPr="00382917">
        <w:t>characteristic</w:t>
      </w:r>
      <w:r w:rsidR="00EE4FC3">
        <w:t xml:space="preserve"> </w:t>
      </w:r>
      <w:r w:rsidRPr="00382917">
        <w:t>of</w:t>
      </w:r>
      <w:r w:rsidR="00EE4FC3">
        <w:t xml:space="preserve"> </w:t>
      </w:r>
      <w:r w:rsidRPr="00382917">
        <w:t>her</w:t>
      </w:r>
      <w:r w:rsidR="00EE4FC3">
        <w:t xml:space="preserve"> </w:t>
      </w:r>
      <w:r w:rsidRPr="00382917">
        <w:t>discourse</w:t>
      </w:r>
      <w:r w:rsidR="00EE4FC3">
        <w:t xml:space="preserve"> </w:t>
      </w:r>
      <w:r w:rsidRPr="00382917">
        <w:t>was</w:t>
      </w:r>
      <w:r w:rsidR="00EE4FC3">
        <w:t xml:space="preserve"> </w:t>
      </w:r>
      <w:r w:rsidRPr="00382917">
        <w:t>an</w:t>
      </w:r>
      <w:r w:rsidR="00EE4FC3">
        <w:t xml:space="preserve"> </w:t>
      </w:r>
      <w:r w:rsidRPr="00382917">
        <w:t>amazing</w:t>
      </w:r>
      <w:r w:rsidR="00EE4FC3">
        <w:t xml:space="preserve"> </w:t>
      </w:r>
      <w:r w:rsidRPr="00382917">
        <w:t>simplicity,</w:t>
      </w:r>
      <w:r w:rsidR="00EE4FC3">
        <w:t xml:space="preserve"> </w:t>
      </w:r>
      <w:r w:rsidRPr="00382917">
        <w:t>and</w:t>
      </w:r>
      <w:r w:rsidR="00EE4FC3">
        <w:t xml:space="preserve"> </w:t>
      </w:r>
      <w:r w:rsidRPr="00382917">
        <w:t>still,</w:t>
      </w:r>
      <w:r w:rsidR="00EE4FC3">
        <w:t xml:space="preserve"> </w:t>
      </w:r>
      <w:r w:rsidRPr="00382917">
        <w:t>when</w:t>
      </w:r>
      <w:r w:rsidR="00EE4FC3">
        <w:t xml:space="preserve"> </w:t>
      </w:r>
      <w:r w:rsidRPr="00382917">
        <w:t>she</w:t>
      </w:r>
      <w:r w:rsidR="00EE4FC3">
        <w:t xml:space="preserve"> </w:t>
      </w:r>
      <w:r w:rsidRPr="00382917">
        <w:t>spoke,</w:t>
      </w:r>
      <w:r w:rsidR="00EE4FC3">
        <w:t xml:space="preserve"> </w:t>
      </w:r>
      <w:r w:rsidRPr="00382917">
        <w:t>her</w:t>
      </w:r>
      <w:r w:rsidR="00EE4FC3">
        <w:t xml:space="preserve"> </w:t>
      </w:r>
      <w:r w:rsidRPr="00382917">
        <w:t>audience</w:t>
      </w:r>
      <w:r w:rsidR="00EE4FC3">
        <w:t xml:space="preserve"> </w:t>
      </w:r>
      <w:r w:rsidRPr="00382917">
        <w:t>was</w:t>
      </w:r>
      <w:r w:rsidR="00EE4FC3">
        <w:t xml:space="preserve"> </w:t>
      </w:r>
      <w:r w:rsidRPr="00382917">
        <w:t>deeply</w:t>
      </w:r>
      <w:r w:rsidR="00EE4FC3">
        <w:t xml:space="preserve"> </w:t>
      </w:r>
      <w:r w:rsidRPr="00382917">
        <w:t>stirred</w:t>
      </w:r>
      <w:r w:rsidR="00EE4FC3">
        <w:t xml:space="preserve"> </w:t>
      </w:r>
      <w:r w:rsidRPr="00382917">
        <w:t>and</w:t>
      </w:r>
      <w:r w:rsidR="00EE4FC3">
        <w:t xml:space="preserve"> </w:t>
      </w:r>
      <w:r w:rsidRPr="00382917">
        <w:t>filled</w:t>
      </w:r>
      <w:r w:rsidR="00EE4FC3">
        <w:t xml:space="preserve"> </w:t>
      </w:r>
      <w:r w:rsidRPr="00382917">
        <w:t>with</w:t>
      </w:r>
      <w:r w:rsidR="00EE4FC3">
        <w:t xml:space="preserve"> </w:t>
      </w:r>
      <w:r w:rsidRPr="00382917">
        <w:t>admiration,</w:t>
      </w:r>
      <w:r w:rsidR="00EE4FC3">
        <w:t xml:space="preserve"> </w:t>
      </w:r>
      <w:r w:rsidRPr="00382917">
        <w:t>often</w:t>
      </w:r>
      <w:r w:rsidR="00EE4FC3">
        <w:t xml:space="preserve"> </w:t>
      </w:r>
      <w:r w:rsidRPr="00382917">
        <w:t>in</w:t>
      </w:r>
      <w:r w:rsidR="00EE4FC3">
        <w:t xml:space="preserve"> </w:t>
      </w:r>
      <w:r w:rsidRPr="00382917">
        <w:t>tears.</w:t>
      </w:r>
      <w:r w:rsidR="009C713D" w:rsidRPr="00382917">
        <w:t>”</w:t>
      </w:r>
      <w:r w:rsidR="0005037B">
        <w:rPr>
          <w:rStyle w:val="FootnoteReference"/>
        </w:rPr>
        <w:footnoteReference w:id="156"/>
      </w:r>
    </w:p>
    <w:p w:rsidR="007E595F" w:rsidRPr="00382917" w:rsidRDefault="007E595F" w:rsidP="007E595F">
      <w:pPr>
        <w:pStyle w:val="Text"/>
      </w:pPr>
      <w:r w:rsidRPr="00382917">
        <w:t>Ṭáhirih</w:t>
      </w:r>
      <w:r w:rsidR="00EE4FC3">
        <w:t xml:space="preserve"> </w:t>
      </w:r>
      <w:r w:rsidRPr="00382917">
        <w:t>stirred</w:t>
      </w:r>
      <w:r w:rsidR="00EE4FC3">
        <w:t xml:space="preserve"> </w:t>
      </w:r>
      <w:r w:rsidRPr="00382917">
        <w:t>up</w:t>
      </w:r>
      <w:r w:rsidR="00EE4FC3">
        <w:t xml:space="preserve"> </w:t>
      </w:r>
      <w:r w:rsidRPr="00382917">
        <w:t>the</w:t>
      </w:r>
      <w:r w:rsidR="00EE4FC3">
        <w:t xml:space="preserve"> </w:t>
      </w:r>
      <w:r w:rsidRPr="00382917">
        <w:t>entire</w:t>
      </w:r>
      <w:r w:rsidR="00EE4FC3">
        <w:t xml:space="preserve"> </w:t>
      </w:r>
      <w:r w:rsidRPr="00382917">
        <w:t>capital</w:t>
      </w:r>
      <w:r w:rsidR="00EE4FC3">
        <w:t xml:space="preserve"> </w:t>
      </w:r>
      <w:r w:rsidRPr="00382917">
        <w:t>city</w:t>
      </w:r>
      <w:r w:rsidR="00EE4FC3">
        <w:t xml:space="preserve"> </w:t>
      </w:r>
      <w:r w:rsidRPr="00382917">
        <w:t>to</w:t>
      </w:r>
      <w:r w:rsidR="00EE4FC3">
        <w:t xml:space="preserve"> </w:t>
      </w:r>
      <w:r w:rsidRPr="00382917">
        <w:t>such</w:t>
      </w:r>
      <w:r w:rsidR="00EE4FC3">
        <w:t xml:space="preserve"> </w:t>
      </w:r>
      <w:r w:rsidRPr="00382917">
        <w:t>an</w:t>
      </w:r>
      <w:r w:rsidR="00EE4FC3">
        <w:t xml:space="preserve"> </w:t>
      </w:r>
      <w:r w:rsidRPr="00382917">
        <w:t>extent</w:t>
      </w:r>
      <w:r w:rsidR="00EE4FC3">
        <w:t xml:space="preserve"> </w:t>
      </w:r>
      <w:r w:rsidRPr="00382917">
        <w:t>that</w:t>
      </w:r>
      <w:r w:rsidR="00EE4FC3">
        <w:t xml:space="preserve"> </w:t>
      </w:r>
      <w:r w:rsidRPr="00382917">
        <w:t>finally</w:t>
      </w:r>
      <w:r w:rsidR="00EE4FC3">
        <w:t xml:space="preserve"> </w:t>
      </w:r>
      <w:r w:rsidRPr="00382917">
        <w:t>the</w:t>
      </w:r>
      <w:r w:rsidR="00EE4FC3">
        <w:t xml:space="preserve"> </w:t>
      </w:r>
      <w:r w:rsidRPr="00382917">
        <w:t>authorities</w:t>
      </w:r>
      <w:r w:rsidR="00EE4FC3">
        <w:t xml:space="preserve"> </w:t>
      </w:r>
      <w:r w:rsidRPr="00382917">
        <w:t>took</w:t>
      </w:r>
      <w:r w:rsidR="00EE4FC3">
        <w:t xml:space="preserve"> </w:t>
      </w:r>
      <w:r w:rsidRPr="00382917">
        <w:t>action</w:t>
      </w:r>
      <w:r w:rsidR="00EE4FC3">
        <w:t xml:space="preserve"> </w:t>
      </w:r>
      <w:r w:rsidRPr="00382917">
        <w:t>against</w:t>
      </w:r>
      <w:r w:rsidR="00EE4FC3">
        <w:t xml:space="preserve"> </w:t>
      </w:r>
      <w:r w:rsidRPr="00382917">
        <w:t>her</w:t>
      </w:r>
      <w:r w:rsidR="0040329F">
        <w:t>.</w:t>
      </w:r>
      <w:r w:rsidR="00EE4FC3">
        <w:t xml:space="preserve">  </w:t>
      </w:r>
      <w:r w:rsidRPr="00382917">
        <w:t>The</w:t>
      </w:r>
      <w:r w:rsidR="00EE4FC3">
        <w:t xml:space="preserve"> </w:t>
      </w:r>
      <w:r w:rsidRPr="00382917">
        <w:t>government</w:t>
      </w:r>
      <w:r w:rsidR="00EE4FC3">
        <w:t xml:space="preserve"> </w:t>
      </w:r>
      <w:r w:rsidRPr="00382917">
        <w:t>sent</w:t>
      </w:r>
      <w:r w:rsidR="00EE4FC3">
        <w:t xml:space="preserve"> </w:t>
      </w:r>
      <w:r w:rsidRPr="00382917">
        <w:t>a</w:t>
      </w:r>
      <w:r w:rsidR="00EE4FC3">
        <w:t xml:space="preserve"> </w:t>
      </w:r>
      <w:r w:rsidRPr="00382917">
        <w:t>special</w:t>
      </w:r>
      <w:r w:rsidR="00EE4FC3">
        <w:t xml:space="preserve"> </w:t>
      </w:r>
      <w:r w:rsidRPr="00382917">
        <w:t>delegation</w:t>
      </w:r>
      <w:r w:rsidR="00EE4FC3">
        <w:t xml:space="preserve"> </w:t>
      </w:r>
      <w:r w:rsidRPr="00382917">
        <w:t>to</w:t>
      </w:r>
      <w:r w:rsidR="00EE4FC3">
        <w:t xml:space="preserve"> </w:t>
      </w:r>
      <w:r w:rsidRPr="00382917">
        <w:t>question</w:t>
      </w:r>
      <w:r w:rsidR="00EE4FC3">
        <w:t xml:space="preserve"> </w:t>
      </w:r>
      <w:r w:rsidRPr="00382917">
        <w:t>her</w:t>
      </w:r>
      <w:r w:rsidR="00EE4FC3">
        <w:t xml:space="preserve"> </w:t>
      </w:r>
      <w:r w:rsidRPr="00382917">
        <w:t>about</w:t>
      </w:r>
      <w:r w:rsidR="00EE4FC3">
        <w:t xml:space="preserve"> </w:t>
      </w:r>
      <w:r w:rsidRPr="00382917">
        <w:t>her</w:t>
      </w:r>
      <w:r w:rsidR="00EE4FC3">
        <w:t xml:space="preserve"> </w:t>
      </w:r>
      <w:r w:rsidRPr="00382917">
        <w:t>Faith</w:t>
      </w:r>
      <w:r w:rsidR="0040329F">
        <w:t>.</w:t>
      </w:r>
      <w:r w:rsidR="00EE4FC3">
        <w:t xml:space="preserve">  </w:t>
      </w:r>
      <w:r w:rsidRPr="00382917">
        <w:t>They</w:t>
      </w:r>
      <w:r w:rsidR="00EE4FC3">
        <w:t xml:space="preserve"> </w:t>
      </w:r>
      <w:r w:rsidRPr="00382917">
        <w:t>held</w:t>
      </w:r>
      <w:r w:rsidR="00EE4FC3">
        <w:t xml:space="preserve"> </w:t>
      </w:r>
      <w:r w:rsidRPr="00382917">
        <w:t>seven</w:t>
      </w:r>
      <w:r w:rsidR="00EE4FC3">
        <w:t xml:space="preserve"> </w:t>
      </w:r>
      <w:r w:rsidRPr="00382917">
        <w:t>conferences</w:t>
      </w:r>
      <w:r w:rsidR="00EE4FC3">
        <w:t xml:space="preserve"> </w:t>
      </w:r>
      <w:r w:rsidRPr="00382917">
        <w:t>with</w:t>
      </w:r>
      <w:r w:rsidR="00EE4FC3">
        <w:t xml:space="preserve"> </w:t>
      </w:r>
      <w:r w:rsidRPr="00382917">
        <w:t>her</w:t>
      </w:r>
      <w:r w:rsidR="00EE4FC3">
        <w:t xml:space="preserve"> </w:t>
      </w:r>
      <w:r w:rsidRPr="00382917">
        <w:t>in</w:t>
      </w:r>
      <w:r w:rsidR="00EE4FC3">
        <w:t xml:space="preserve"> </w:t>
      </w:r>
      <w:r w:rsidRPr="00382917">
        <w:t>which</w:t>
      </w:r>
      <w:r w:rsidR="00EE4FC3">
        <w:t xml:space="preserve"> </w:t>
      </w:r>
      <w:r w:rsidRPr="00382917">
        <w:t>she</w:t>
      </w:r>
      <w:r w:rsidR="00EE4FC3">
        <w:t xml:space="preserve"> </w:t>
      </w:r>
      <w:r w:rsidRPr="00382917">
        <w:t>offered</w:t>
      </w:r>
      <w:r w:rsidR="00EE4FC3">
        <w:t xml:space="preserve"> </w:t>
      </w:r>
      <w:r w:rsidRPr="00382917">
        <w:t>proofs</w:t>
      </w:r>
      <w:r w:rsidR="00EE4FC3">
        <w:t xml:space="preserve"> </w:t>
      </w:r>
      <w:r w:rsidRPr="00382917">
        <w:t>showing</w:t>
      </w:r>
      <w:r w:rsidR="00EE4FC3">
        <w:t xml:space="preserve"> </w:t>
      </w:r>
      <w:r w:rsidRPr="00382917">
        <w:t>that</w:t>
      </w:r>
      <w:r w:rsidR="00EE4FC3">
        <w:t xml:space="preserve"> </w:t>
      </w:r>
      <w:r w:rsidRPr="00382917">
        <w:t>the</w:t>
      </w:r>
      <w:r w:rsidR="00EE4FC3">
        <w:t xml:space="preserve"> </w:t>
      </w:r>
      <w:r w:rsidRPr="00382917">
        <w:t>Báb</w:t>
      </w:r>
      <w:r w:rsidR="00EE4FC3">
        <w:t xml:space="preserve"> </w:t>
      </w:r>
      <w:r w:rsidRPr="00382917">
        <w:t>was</w:t>
      </w:r>
      <w:r w:rsidR="00EE4FC3">
        <w:t xml:space="preserve"> </w:t>
      </w:r>
      <w:r w:rsidRPr="00382917">
        <w:t>the</w:t>
      </w:r>
      <w:r w:rsidR="00EE4FC3">
        <w:t xml:space="preserve"> </w:t>
      </w:r>
      <w:r w:rsidRPr="00382917">
        <w:t>expected</w:t>
      </w:r>
      <w:r w:rsidR="00EE4FC3">
        <w:t xml:space="preserve"> </w:t>
      </w:r>
      <w:r w:rsidRPr="00382917">
        <w:t>Messenger</w:t>
      </w:r>
      <w:r w:rsidR="00EE4FC3">
        <w:t xml:space="preserve"> </w:t>
      </w:r>
      <w:r w:rsidRPr="00382917">
        <w:t>of</w:t>
      </w:r>
      <w:r w:rsidR="00EE4FC3">
        <w:t xml:space="preserve"> </w:t>
      </w:r>
      <w:r w:rsidRPr="00382917">
        <w:t>God</w:t>
      </w:r>
      <w:r w:rsidR="0040329F">
        <w:t>.</w:t>
      </w:r>
      <w:r w:rsidR="00EE4FC3">
        <w:t xml:space="preserve">  </w:t>
      </w:r>
      <w:r w:rsidRPr="00382917">
        <w:t>She</w:t>
      </w:r>
      <w:r w:rsidR="00EE4FC3">
        <w:t xml:space="preserve"> </w:t>
      </w:r>
      <w:r w:rsidRPr="00382917">
        <w:t>quoted</w:t>
      </w:r>
      <w:r w:rsidR="00EE4FC3">
        <w:t xml:space="preserve"> </w:t>
      </w:r>
      <w:r w:rsidRPr="00382917">
        <w:t>from</w:t>
      </w:r>
      <w:r w:rsidR="00EE4FC3">
        <w:t xml:space="preserve"> </w:t>
      </w:r>
      <w:r w:rsidRPr="00382917">
        <w:t>their</w:t>
      </w:r>
      <w:r w:rsidR="00EE4FC3">
        <w:t xml:space="preserve"> </w:t>
      </w:r>
      <w:r w:rsidRPr="00382917">
        <w:t>own</w:t>
      </w:r>
      <w:r w:rsidR="00EE4FC3">
        <w:t xml:space="preserve"> </w:t>
      </w:r>
      <w:r w:rsidRPr="00382917">
        <w:t>holy</w:t>
      </w:r>
      <w:r w:rsidR="00EE4FC3">
        <w:t xml:space="preserve"> </w:t>
      </w:r>
      <w:r w:rsidRPr="00382917">
        <w:t>Book</w:t>
      </w:r>
      <w:r w:rsidR="00EE4FC3">
        <w:t xml:space="preserve"> </w:t>
      </w:r>
      <w:r w:rsidRPr="00382917">
        <w:t>to</w:t>
      </w:r>
      <w:r w:rsidR="00EE4FC3">
        <w:t xml:space="preserve"> </w:t>
      </w:r>
      <w:r w:rsidRPr="00382917">
        <w:t>convince</w:t>
      </w:r>
      <w:r w:rsidR="00EE4FC3">
        <w:t xml:space="preserve"> </w:t>
      </w:r>
      <w:r w:rsidRPr="00382917">
        <w:t>them</w:t>
      </w:r>
      <w:r w:rsidR="0040329F">
        <w:t>.</w:t>
      </w:r>
      <w:r w:rsidR="00EE4FC3">
        <w:t xml:space="preserve">  </w:t>
      </w:r>
      <w:r w:rsidRPr="00382917">
        <w:t>During</w:t>
      </w:r>
      <w:r w:rsidR="00EE4FC3">
        <w:t xml:space="preserve"> </w:t>
      </w:r>
      <w:r w:rsidRPr="00382917">
        <w:t>the</w:t>
      </w:r>
      <w:r w:rsidR="00EE4FC3">
        <w:t xml:space="preserve"> </w:t>
      </w:r>
      <w:r w:rsidRPr="00382917">
        <w:t>last</w:t>
      </w:r>
      <w:r w:rsidR="00EE4FC3">
        <w:t xml:space="preserve"> </w:t>
      </w:r>
      <w:r w:rsidRPr="00382917">
        <w:t>of</w:t>
      </w:r>
      <w:r w:rsidR="00EE4FC3">
        <w:t xml:space="preserve"> </w:t>
      </w:r>
      <w:r w:rsidRPr="00382917">
        <w:t>these</w:t>
      </w:r>
      <w:r w:rsidR="00EE4FC3">
        <w:t xml:space="preserve"> </w:t>
      </w:r>
      <w:r w:rsidRPr="00382917">
        <w:t>conferences,</w:t>
      </w:r>
      <w:r w:rsidR="00EE4FC3">
        <w:t xml:space="preserve"> </w:t>
      </w:r>
      <w:r w:rsidRPr="00382917">
        <w:t>Ṭáhirih</w:t>
      </w:r>
      <w:r w:rsidR="00EE4FC3">
        <w:t xml:space="preserve"> </w:t>
      </w:r>
      <w:r w:rsidRPr="00382917">
        <w:t>became</w:t>
      </w:r>
      <w:r w:rsidR="00EE4FC3">
        <w:t xml:space="preserve"> </w:t>
      </w:r>
      <w:r w:rsidRPr="00382917">
        <w:t>exasperated</w:t>
      </w:r>
      <w:r w:rsidR="00EE4FC3">
        <w:t xml:space="preserve"> </w:t>
      </w:r>
      <w:r w:rsidRPr="00382917">
        <w:t>with</w:t>
      </w:r>
      <w:r w:rsidR="00EE4FC3">
        <w:t xml:space="preserve"> </w:t>
      </w:r>
      <w:r w:rsidRPr="00382917">
        <w:t>their</w:t>
      </w:r>
      <w:r w:rsidR="00EE4FC3">
        <w:t xml:space="preserve"> </w:t>
      </w:r>
      <w:r w:rsidRPr="00382917">
        <w:t>obstinate</w:t>
      </w:r>
      <w:r w:rsidR="00EE4FC3">
        <w:t xml:space="preserve"> </w:t>
      </w:r>
      <w:r w:rsidRPr="00382917">
        <w:t>refusal</w:t>
      </w:r>
      <w:r w:rsidR="00EE4FC3">
        <w:t xml:space="preserve"> </w:t>
      </w:r>
      <w:r w:rsidRPr="00382917">
        <w:t>to</w:t>
      </w:r>
      <w:r w:rsidR="00EE4FC3">
        <w:t xml:space="preserve"> </w:t>
      </w:r>
      <w:r w:rsidRPr="00382917">
        <w:t>accept</w:t>
      </w:r>
      <w:r w:rsidR="00EE4FC3">
        <w:t xml:space="preserve"> </w:t>
      </w:r>
      <w:r w:rsidRPr="00382917">
        <w:t>anything</w:t>
      </w:r>
      <w:r w:rsidR="00EE4FC3">
        <w:t xml:space="preserve"> </w:t>
      </w:r>
      <w:r w:rsidRPr="00382917">
        <w:t>but</w:t>
      </w:r>
      <w:r w:rsidR="00EE4FC3">
        <w:t xml:space="preserve"> </w:t>
      </w:r>
      <w:r w:rsidRPr="00382917">
        <w:t>the</w:t>
      </w:r>
      <w:r w:rsidR="00EE4FC3">
        <w:t xml:space="preserve"> </w:t>
      </w:r>
      <w:r w:rsidRPr="00382917">
        <w:t>most</w:t>
      </w:r>
      <w:r w:rsidR="00EE4FC3">
        <w:t xml:space="preserve"> </w:t>
      </w:r>
      <w:r w:rsidRPr="00382917">
        <w:t>literal</w:t>
      </w:r>
      <w:r w:rsidR="00EE4FC3">
        <w:t xml:space="preserve"> </w:t>
      </w:r>
      <w:r w:rsidRPr="00382917">
        <w:t>interpretation</w:t>
      </w:r>
      <w:r w:rsidR="00EE4FC3">
        <w:t xml:space="preserve"> </w:t>
      </w:r>
      <w:r w:rsidRPr="00382917">
        <w:t>of</w:t>
      </w:r>
      <w:r w:rsidR="00EE4FC3">
        <w:t xml:space="preserve"> </w:t>
      </w:r>
      <w:r w:rsidRPr="00382917">
        <w:t>sacred</w:t>
      </w:r>
      <w:r w:rsidR="00EE4FC3">
        <w:t xml:space="preserve"> </w:t>
      </w:r>
      <w:r w:rsidRPr="00382917">
        <w:t>scripture,</w:t>
      </w:r>
      <w:r w:rsidR="00EE4FC3">
        <w:t xml:space="preserve"> </w:t>
      </w:r>
      <w:r w:rsidRPr="00382917">
        <w:t>and</w:t>
      </w:r>
      <w:r w:rsidR="00EE4FC3">
        <w:t xml:space="preserve"> </w:t>
      </w:r>
      <w:r w:rsidRPr="00382917">
        <w:t>especially</w:t>
      </w:r>
      <w:r w:rsidR="00EE4FC3">
        <w:t xml:space="preserve"> </w:t>
      </w:r>
      <w:r w:rsidRPr="00382917">
        <w:t>certain</w:t>
      </w:r>
      <w:r w:rsidR="00EE4FC3">
        <w:t xml:space="preserve"> </w:t>
      </w:r>
      <w:r w:rsidRPr="00382917">
        <w:t>prophecies.</w:t>
      </w:r>
    </w:p>
    <w:p w:rsidR="007E595F" w:rsidRPr="00382917" w:rsidRDefault="009C713D" w:rsidP="007E595F">
      <w:pPr>
        <w:pStyle w:val="Text"/>
      </w:pPr>
      <w:r w:rsidRPr="00382917">
        <w:t>“</w:t>
      </w:r>
      <w:r w:rsidR="007E595F" w:rsidRPr="00382917">
        <w:t>How</w:t>
      </w:r>
      <w:r w:rsidR="00EE4FC3">
        <w:t xml:space="preserve"> </w:t>
      </w:r>
      <w:r w:rsidR="007E595F" w:rsidRPr="00382917">
        <w:t>long</w:t>
      </w:r>
      <w:r w:rsidR="00EE4FC3">
        <w:t xml:space="preserve"> </w:t>
      </w:r>
      <w:r w:rsidR="007E595F" w:rsidRPr="00382917">
        <w:t>will</w:t>
      </w:r>
      <w:r w:rsidR="00EE4FC3">
        <w:t xml:space="preserve"> </w:t>
      </w:r>
      <w:r w:rsidR="007E595F" w:rsidRPr="00382917">
        <w:t>you</w:t>
      </w:r>
      <w:r w:rsidR="00EE4FC3">
        <w:t xml:space="preserve"> </w:t>
      </w:r>
      <w:r w:rsidR="007E595F" w:rsidRPr="00382917">
        <w:t>cling</w:t>
      </w:r>
      <w:r w:rsidR="00EE4FC3">
        <w:t xml:space="preserve"> </w:t>
      </w:r>
      <w:r w:rsidR="007E595F" w:rsidRPr="00382917">
        <w:t>to</w:t>
      </w:r>
      <w:r w:rsidR="00EE4FC3">
        <w:t xml:space="preserve"> </w:t>
      </w:r>
      <w:r w:rsidR="007E595F" w:rsidRPr="00382917">
        <w:t>these</w:t>
      </w:r>
      <w:r w:rsidR="00EE4FC3">
        <w:t xml:space="preserve"> </w:t>
      </w:r>
      <w:r w:rsidR="007E595F" w:rsidRPr="00382917">
        <w:t>follies</w:t>
      </w:r>
      <w:r w:rsidR="00EE4FC3">
        <w:t xml:space="preserve"> </w:t>
      </w:r>
      <w:r w:rsidR="007E595F" w:rsidRPr="00382917">
        <w:t>and</w:t>
      </w:r>
      <w:r w:rsidR="00EE4FC3">
        <w:t xml:space="preserve"> </w:t>
      </w:r>
      <w:r w:rsidR="007E595F" w:rsidRPr="00382917">
        <w:t>lies?</w:t>
      </w:r>
      <w:r w:rsidR="00EE4FC3">
        <w:t xml:space="preserve"> </w:t>
      </w:r>
      <w:r w:rsidR="0005037B">
        <w:t xml:space="preserve"> </w:t>
      </w:r>
      <w:r w:rsidR="007E595F" w:rsidRPr="00382917">
        <w:t>When</w:t>
      </w:r>
      <w:r w:rsidR="00EE4FC3">
        <w:t xml:space="preserve"> </w:t>
      </w:r>
      <w:r w:rsidR="007E595F" w:rsidRPr="00382917">
        <w:t>will</w:t>
      </w:r>
      <w:r w:rsidR="00EE4FC3">
        <w:t xml:space="preserve"> </w:t>
      </w:r>
      <w:r w:rsidR="007E595F" w:rsidRPr="00382917">
        <w:t>you</w:t>
      </w:r>
      <w:r w:rsidR="00EE4FC3">
        <w:t xml:space="preserve"> </w:t>
      </w:r>
      <w:r w:rsidR="007E595F" w:rsidRPr="00382917">
        <w:t>lift</w:t>
      </w:r>
      <w:r w:rsidR="00EE4FC3">
        <w:t xml:space="preserve"> </w:t>
      </w:r>
      <w:r w:rsidR="007E595F" w:rsidRPr="00382917">
        <w:t>your</w:t>
      </w:r>
      <w:r w:rsidR="00EE4FC3">
        <w:t xml:space="preserve"> </w:t>
      </w:r>
      <w:r w:rsidR="007E595F" w:rsidRPr="00382917">
        <w:t>eyes</w:t>
      </w:r>
      <w:r w:rsidR="00EE4FC3">
        <w:t xml:space="preserve"> </w:t>
      </w:r>
      <w:r w:rsidR="007E595F" w:rsidRPr="00382917">
        <w:t>toward</w:t>
      </w:r>
      <w:r w:rsidR="00EE4FC3">
        <w:t xml:space="preserve"> </w:t>
      </w:r>
      <w:r w:rsidR="007E595F" w:rsidRPr="00382917">
        <w:t>the</w:t>
      </w:r>
      <w:r w:rsidR="00EE4FC3">
        <w:t xml:space="preserve"> </w:t>
      </w:r>
      <w:r w:rsidR="007E595F" w:rsidRPr="00382917">
        <w:t>Sun</w:t>
      </w:r>
      <w:r w:rsidR="00EE4FC3">
        <w:t xml:space="preserve"> </w:t>
      </w:r>
      <w:r w:rsidR="007E595F" w:rsidRPr="00382917">
        <w:t>of</w:t>
      </w:r>
      <w:r w:rsidR="00EE4FC3">
        <w:t xml:space="preserve"> </w:t>
      </w:r>
      <w:r w:rsidR="007E595F" w:rsidRPr="00382917">
        <w:t>Truth?</w:t>
      </w:r>
      <w:r w:rsidRPr="00382917">
        <w:t>”</w:t>
      </w:r>
      <w:r w:rsidR="00EE4FC3">
        <w:t xml:space="preserve"> </w:t>
      </w:r>
      <w:r w:rsidR="007E595F" w:rsidRPr="00382917">
        <w:t>she</w:t>
      </w:r>
      <w:r w:rsidR="00EE4FC3">
        <w:t xml:space="preserve"> </w:t>
      </w:r>
      <w:r w:rsidR="007E595F" w:rsidRPr="00382917">
        <w:t>exclaimed.</w:t>
      </w:r>
    </w:p>
    <w:p w:rsidR="00E13D49" w:rsidRPr="00382917" w:rsidRDefault="007E595F" w:rsidP="006D79B9">
      <w:pPr>
        <w:pStyle w:val="Text"/>
      </w:pPr>
      <w:r w:rsidRPr="00382917">
        <w:t>Her</w:t>
      </w:r>
      <w:r w:rsidR="00EE4FC3">
        <w:t xml:space="preserve"> </w:t>
      </w:r>
      <w:r w:rsidRPr="00382917">
        <w:t>accusers</w:t>
      </w:r>
      <w:r w:rsidR="00EE4FC3">
        <w:t xml:space="preserve"> </w:t>
      </w:r>
      <w:r w:rsidRPr="00382917">
        <w:t>were</w:t>
      </w:r>
      <w:r w:rsidR="00EE4FC3">
        <w:t xml:space="preserve"> </w:t>
      </w:r>
      <w:r w:rsidRPr="00382917">
        <w:t>shocked</w:t>
      </w:r>
      <w:r w:rsidR="00EE4FC3">
        <w:t xml:space="preserve"> </w:t>
      </w:r>
      <w:r w:rsidRPr="00382917">
        <w:t>by</w:t>
      </w:r>
      <w:r w:rsidR="00EE4FC3">
        <w:t xml:space="preserve"> </w:t>
      </w:r>
      <w:r w:rsidRPr="00382917">
        <w:t>her</w:t>
      </w:r>
      <w:r w:rsidR="00EE4FC3">
        <w:t xml:space="preserve"> </w:t>
      </w:r>
      <w:r w:rsidRPr="00382917">
        <w:t>attitude</w:t>
      </w:r>
      <w:r w:rsidR="0040329F">
        <w:t>.</w:t>
      </w:r>
      <w:r w:rsidR="00EE4FC3">
        <w:t xml:space="preserve">  </w:t>
      </w:r>
      <w:r w:rsidRPr="00382917">
        <w:t>They</w:t>
      </w:r>
      <w:r w:rsidR="00EE4FC3">
        <w:t xml:space="preserve"> </w:t>
      </w:r>
      <w:r w:rsidRPr="00382917">
        <w:t>returned</w:t>
      </w:r>
      <w:r w:rsidR="00EE4FC3">
        <w:t xml:space="preserve"> </w:t>
      </w:r>
      <w:r w:rsidRPr="00382917">
        <w:t>to</w:t>
      </w:r>
      <w:r w:rsidR="00EE4FC3">
        <w:t xml:space="preserve"> </w:t>
      </w:r>
      <w:r w:rsidRPr="00382917">
        <w:t>their</w:t>
      </w:r>
      <w:r w:rsidR="00EE4FC3">
        <w:t xml:space="preserve"> </w:t>
      </w:r>
      <w:r w:rsidRPr="00382917">
        <w:t>homes,</w:t>
      </w:r>
      <w:r w:rsidR="00EE4FC3">
        <w:t xml:space="preserve"> </w:t>
      </w:r>
      <w:r w:rsidRPr="00382917">
        <w:t>wrote</w:t>
      </w:r>
      <w:r w:rsidR="00EE4FC3">
        <w:t xml:space="preserve"> </w:t>
      </w:r>
      <w:r w:rsidRPr="00382917">
        <w:t>out</w:t>
      </w:r>
      <w:r w:rsidR="00EE4FC3">
        <w:t xml:space="preserve"> </w:t>
      </w:r>
      <w:r w:rsidRPr="00382917">
        <w:t>a</w:t>
      </w:r>
      <w:r w:rsidR="00EE4FC3">
        <w:t xml:space="preserve"> </w:t>
      </w:r>
      <w:r w:rsidRPr="00382917">
        <w:t>denunciation</w:t>
      </w:r>
      <w:r w:rsidR="00EE4FC3">
        <w:t xml:space="preserve"> </w:t>
      </w:r>
      <w:r w:rsidRPr="00382917">
        <w:t>of</w:t>
      </w:r>
      <w:r w:rsidR="00EE4FC3">
        <w:t xml:space="preserve"> </w:t>
      </w:r>
      <w:r w:rsidRPr="00382917">
        <w:t>Ṭáhirih,</w:t>
      </w:r>
      <w:r w:rsidR="00EE4FC3">
        <w:t xml:space="preserve"> </w:t>
      </w:r>
      <w:r w:rsidRPr="00382917">
        <w:t>saying</w:t>
      </w:r>
      <w:r w:rsidR="00EE4FC3">
        <w:t xml:space="preserve"> </w:t>
      </w:r>
      <w:r w:rsidRPr="00382917">
        <w:t>that</w:t>
      </w:r>
      <w:r w:rsidR="00EE4FC3">
        <w:t xml:space="preserve"> </w:t>
      </w:r>
      <w:r w:rsidRPr="00382917">
        <w:t>she</w:t>
      </w:r>
      <w:r w:rsidR="00EE4FC3">
        <w:t xml:space="preserve"> </w:t>
      </w:r>
      <w:r w:rsidRPr="00382917">
        <w:t>refused</w:t>
      </w:r>
      <w:r w:rsidR="00EE4FC3">
        <w:t xml:space="preserve"> </w:t>
      </w:r>
      <w:r w:rsidRPr="00382917">
        <w:t>to</w:t>
      </w:r>
      <w:r w:rsidR="00EE4FC3">
        <w:t xml:space="preserve"> </w:t>
      </w:r>
      <w:r w:rsidRPr="00382917">
        <w:t>give</w:t>
      </w:r>
      <w:r w:rsidR="00EE4FC3">
        <w:t xml:space="preserve"> </w:t>
      </w:r>
      <w:r w:rsidRPr="00382917">
        <w:t>up</w:t>
      </w:r>
      <w:r w:rsidR="00EE4FC3">
        <w:t xml:space="preserve"> </w:t>
      </w:r>
      <w:r w:rsidRPr="00382917">
        <w:t>her</w:t>
      </w:r>
      <w:r w:rsidR="00EE4FC3">
        <w:t xml:space="preserve"> </w:t>
      </w:r>
      <w:r w:rsidRPr="00382917">
        <w:t>faith,</w:t>
      </w:r>
      <w:r w:rsidR="00EE4FC3">
        <w:t xml:space="preserve"> </w:t>
      </w:r>
      <w:r w:rsidRPr="00382917">
        <w:t>and</w:t>
      </w:r>
      <w:r w:rsidR="00EE4FC3">
        <w:t xml:space="preserve"> </w:t>
      </w:r>
      <w:r w:rsidRPr="00382917">
        <w:t>upon</w:t>
      </w:r>
      <w:r w:rsidR="00EE4FC3">
        <w:t xml:space="preserve"> </w:t>
      </w:r>
      <w:r w:rsidRPr="00382917">
        <w:t>the</w:t>
      </w:r>
      <w:r w:rsidR="00EE4FC3">
        <w:t xml:space="preserve"> </w:t>
      </w:r>
      <w:r w:rsidRPr="00382917">
        <w:t>recommendation</w:t>
      </w:r>
      <w:r w:rsidR="00EE4FC3">
        <w:t xml:space="preserve"> </w:t>
      </w:r>
      <w:r w:rsidRPr="00382917">
        <w:t>of</w:t>
      </w:r>
      <w:r w:rsidR="00EE4FC3">
        <w:t xml:space="preserve"> </w:t>
      </w:r>
      <w:r w:rsidRPr="00382917">
        <w:t>this</w:t>
      </w:r>
      <w:r w:rsidR="00EE4FC3">
        <w:t xml:space="preserve"> </w:t>
      </w:r>
      <w:r w:rsidRPr="00382917">
        <w:t>delegation,</w:t>
      </w:r>
      <w:r w:rsidR="00EE4FC3">
        <w:t xml:space="preserve"> </w:t>
      </w:r>
      <w:r w:rsidRPr="00382917">
        <w:t>Ṭáhirih</w:t>
      </w:r>
      <w:r w:rsidR="00EE4FC3">
        <w:t xml:space="preserve"> </w:t>
      </w:r>
      <w:r w:rsidRPr="00382917">
        <w:t>was</w:t>
      </w:r>
      <w:r w:rsidR="00EE4FC3">
        <w:t xml:space="preserve"> </w:t>
      </w:r>
      <w:r w:rsidRPr="00382917">
        <w:t>sentenced</w:t>
      </w:r>
      <w:r w:rsidR="00EE4FC3">
        <w:t xml:space="preserve"> </w:t>
      </w:r>
      <w:r w:rsidRPr="00382917">
        <w:t>to</w:t>
      </w:r>
      <w:r w:rsidR="00EE4FC3">
        <w:t xml:space="preserve"> </w:t>
      </w:r>
      <w:r w:rsidRPr="00382917">
        <w:t>death.</w:t>
      </w:r>
      <w:r w:rsidR="006D79B9">
        <w:rPr>
          <w:rStyle w:val="FootnoteReference"/>
        </w:rPr>
        <w:footnoteReference w:id="157"/>
      </w:r>
    </w:p>
    <w:p w:rsidR="007E595F" w:rsidRPr="00382917" w:rsidRDefault="007E595F" w:rsidP="007E595F">
      <w:pPr>
        <w:pStyle w:val="Text"/>
      </w:pPr>
      <w:r w:rsidRPr="00382917">
        <w:t>Ṭáhirih</w:t>
      </w:r>
      <w:r w:rsidR="00EE4FC3">
        <w:t xml:space="preserve"> </w:t>
      </w:r>
      <w:r w:rsidRPr="00382917">
        <w:t>was</w:t>
      </w:r>
      <w:r w:rsidR="00EE4FC3">
        <w:t xml:space="preserve"> </w:t>
      </w:r>
      <w:r w:rsidRPr="00382917">
        <w:t>now</w:t>
      </w:r>
      <w:r w:rsidR="00EE4FC3">
        <w:t xml:space="preserve"> </w:t>
      </w:r>
      <w:r w:rsidRPr="00382917">
        <w:t>placed</w:t>
      </w:r>
      <w:r w:rsidR="00EE4FC3">
        <w:t xml:space="preserve"> </w:t>
      </w:r>
      <w:r w:rsidRPr="00382917">
        <w:t>in</w:t>
      </w:r>
      <w:r w:rsidR="00EE4FC3">
        <w:t xml:space="preserve"> </w:t>
      </w:r>
      <w:r w:rsidRPr="00382917">
        <w:t>strict</w:t>
      </w:r>
      <w:r w:rsidR="00EE4FC3">
        <w:t xml:space="preserve"> </w:t>
      </w:r>
      <w:r w:rsidRPr="00382917">
        <w:t>confinement</w:t>
      </w:r>
      <w:r w:rsidR="00EE4FC3">
        <w:t xml:space="preserve"> </w:t>
      </w:r>
      <w:r w:rsidRPr="00382917">
        <w:t>in</w:t>
      </w:r>
      <w:r w:rsidR="00EE4FC3">
        <w:t xml:space="preserve"> </w:t>
      </w:r>
      <w:r w:rsidRPr="00382917">
        <w:t>a</w:t>
      </w:r>
      <w:r w:rsidR="00EE4FC3">
        <w:t xml:space="preserve"> </w:t>
      </w:r>
      <w:r w:rsidRPr="00382917">
        <w:t>single</w:t>
      </w:r>
      <w:r w:rsidR="00EE4FC3">
        <w:t xml:space="preserve"> </w:t>
      </w:r>
      <w:r w:rsidRPr="00382917">
        <w:t>room</w:t>
      </w:r>
      <w:r w:rsidR="00EE4FC3">
        <w:t xml:space="preserve"> </w:t>
      </w:r>
      <w:r w:rsidRPr="00382917">
        <w:t>in</w:t>
      </w:r>
      <w:r w:rsidR="00EE4FC3">
        <w:t xml:space="preserve"> </w:t>
      </w:r>
      <w:r w:rsidRPr="00382917">
        <w:t>the</w:t>
      </w:r>
      <w:r w:rsidR="00EE4FC3">
        <w:t xml:space="preserve"> </w:t>
      </w:r>
      <w:r w:rsidRPr="00382917">
        <w:t>house</w:t>
      </w:r>
      <w:r w:rsidR="00EE4FC3">
        <w:t xml:space="preserve"> </w:t>
      </w:r>
      <w:r w:rsidRPr="00382917">
        <w:t>of</w:t>
      </w:r>
      <w:r w:rsidR="00EE4FC3">
        <w:t xml:space="preserve"> </w:t>
      </w:r>
      <w:r w:rsidRPr="00382917">
        <w:t>the</w:t>
      </w:r>
      <w:r w:rsidR="00EE4FC3">
        <w:t xml:space="preserve"> </w:t>
      </w:r>
      <w:r w:rsidRPr="00382917">
        <w:t>Mayor</w:t>
      </w:r>
      <w:r w:rsidR="00EE4FC3">
        <w:t xml:space="preserve"> </w:t>
      </w:r>
      <w:r w:rsidRPr="00382917">
        <w:t>of</w:t>
      </w:r>
      <w:r w:rsidR="00EE4FC3">
        <w:t xml:space="preserve"> </w:t>
      </w:r>
      <w:r w:rsidRPr="00382917">
        <w:t>Ṭihrán,</w:t>
      </w:r>
      <w:r w:rsidR="00EE4FC3">
        <w:t xml:space="preserve"> </w:t>
      </w:r>
      <w:r w:rsidRPr="00382917">
        <w:t>Maḥmúd</w:t>
      </w:r>
      <w:r w:rsidR="00EE4FC3">
        <w:t xml:space="preserve"> </w:t>
      </w:r>
      <w:r w:rsidR="0040329F" w:rsidRPr="0040329F">
        <w:rPr>
          <w:u w:val="single"/>
        </w:rPr>
        <w:t>Kh</w:t>
      </w:r>
      <w:r w:rsidR="0040329F" w:rsidRPr="00382917">
        <w:t>án</w:t>
      </w:r>
      <w:r w:rsidR="0040329F">
        <w:t>.</w:t>
      </w:r>
      <w:r w:rsidR="00EE4FC3">
        <w:t xml:space="preserve">  </w:t>
      </w:r>
      <w:r w:rsidRPr="00382917">
        <w:t>The</w:t>
      </w:r>
      <w:r w:rsidR="00EE4FC3">
        <w:t xml:space="preserve"> </w:t>
      </w:r>
      <w:r w:rsidRPr="00382917">
        <w:t>wife</w:t>
      </w:r>
      <w:r w:rsidR="00EE4FC3">
        <w:t xml:space="preserve"> </w:t>
      </w:r>
      <w:r w:rsidRPr="00382917">
        <w:t>of</w:t>
      </w:r>
    </w:p>
    <w:p w:rsidR="007E595F" w:rsidRPr="00382917" w:rsidRDefault="007E595F">
      <w:pPr>
        <w:widowControl/>
        <w:kinsoku/>
        <w:overflowPunct/>
        <w:textAlignment w:val="auto"/>
      </w:pPr>
      <w:r w:rsidRPr="00382917">
        <w:br w:type="page"/>
      </w:r>
    </w:p>
    <w:p w:rsidR="007E595F" w:rsidRPr="00382917" w:rsidRDefault="007E595F" w:rsidP="007E595F">
      <w:pPr>
        <w:pStyle w:val="Textcts"/>
      </w:pPr>
      <w:proofErr w:type="gramStart"/>
      <w:r w:rsidRPr="00382917">
        <w:t>the</w:t>
      </w:r>
      <w:proofErr w:type="gramEnd"/>
      <w:r w:rsidR="00EE4FC3">
        <w:t xml:space="preserve"> </w:t>
      </w:r>
      <w:r w:rsidRPr="00382917">
        <w:t>mayor,</w:t>
      </w:r>
      <w:r w:rsidR="00EE4FC3">
        <w:t xml:space="preserve"> </w:t>
      </w:r>
      <w:r w:rsidRPr="00382917">
        <w:t>while</w:t>
      </w:r>
      <w:r w:rsidR="00EE4FC3">
        <w:t xml:space="preserve"> </w:t>
      </w:r>
      <w:r w:rsidRPr="00382917">
        <w:t>not</w:t>
      </w:r>
      <w:r w:rsidR="00EE4FC3">
        <w:t xml:space="preserve"> </w:t>
      </w:r>
      <w:r w:rsidRPr="00382917">
        <w:t>a</w:t>
      </w:r>
      <w:r w:rsidR="00EE4FC3">
        <w:t xml:space="preserve"> </w:t>
      </w:r>
      <w:r w:rsidRPr="00382917">
        <w:t>follower</w:t>
      </w:r>
      <w:r w:rsidR="00EE4FC3">
        <w:t xml:space="preserve"> </w:t>
      </w:r>
      <w:r w:rsidRPr="00382917">
        <w:t>of</w:t>
      </w:r>
      <w:r w:rsidR="00EE4FC3">
        <w:t xml:space="preserve"> </w:t>
      </w:r>
      <w:r w:rsidRPr="00382917">
        <w:t>the</w:t>
      </w:r>
      <w:r w:rsidR="00EE4FC3">
        <w:t xml:space="preserve"> </w:t>
      </w:r>
      <w:r w:rsidRPr="00382917">
        <w:t>Báb,</w:t>
      </w:r>
      <w:r w:rsidR="00EE4FC3">
        <w:t xml:space="preserve"> </w:t>
      </w:r>
      <w:r w:rsidRPr="00382917">
        <w:t>became</w:t>
      </w:r>
      <w:r w:rsidR="00EE4FC3">
        <w:t xml:space="preserve"> </w:t>
      </w:r>
      <w:r w:rsidRPr="00382917">
        <w:t>very</w:t>
      </w:r>
      <w:r w:rsidR="00EE4FC3">
        <w:t xml:space="preserve"> </w:t>
      </w:r>
      <w:r w:rsidRPr="00382917">
        <w:t>attached</w:t>
      </w:r>
      <w:r w:rsidR="00EE4FC3">
        <w:t xml:space="preserve"> </w:t>
      </w:r>
      <w:r w:rsidRPr="00382917">
        <w:t>to</w:t>
      </w:r>
      <w:r w:rsidR="00EE4FC3">
        <w:t xml:space="preserve"> </w:t>
      </w:r>
      <w:r w:rsidRPr="00382917">
        <w:t>her</w:t>
      </w:r>
      <w:r w:rsidR="0040329F">
        <w:t>.</w:t>
      </w:r>
      <w:r w:rsidR="00EE4FC3">
        <w:t xml:space="preserve">  </w:t>
      </w:r>
      <w:r w:rsidRPr="00382917">
        <w:t>Before</w:t>
      </w:r>
      <w:r w:rsidR="00EE4FC3">
        <w:t xml:space="preserve"> </w:t>
      </w:r>
      <w:r w:rsidRPr="00382917">
        <w:t>Ṭáhirih</w:t>
      </w:r>
      <w:r w:rsidR="00EE4FC3">
        <w:t xml:space="preserve"> </w:t>
      </w:r>
      <w:r w:rsidRPr="00382917">
        <w:t>was</w:t>
      </w:r>
      <w:r w:rsidR="00EE4FC3">
        <w:t xml:space="preserve"> </w:t>
      </w:r>
      <w:r w:rsidRPr="00382917">
        <w:t>taken</w:t>
      </w:r>
      <w:r w:rsidR="00EE4FC3">
        <w:t xml:space="preserve"> </w:t>
      </w:r>
      <w:r w:rsidRPr="00382917">
        <w:t>away</w:t>
      </w:r>
      <w:r w:rsidR="00EE4FC3">
        <w:t xml:space="preserve"> </w:t>
      </w:r>
      <w:r w:rsidRPr="00382917">
        <w:t>to</w:t>
      </w:r>
      <w:r w:rsidR="00EE4FC3">
        <w:t xml:space="preserve"> </w:t>
      </w:r>
      <w:r w:rsidRPr="00382917">
        <w:t>be</w:t>
      </w:r>
      <w:r w:rsidR="00EE4FC3">
        <w:t xml:space="preserve"> </w:t>
      </w:r>
      <w:r w:rsidRPr="00382917">
        <w:t>slain,</w:t>
      </w:r>
      <w:r w:rsidR="00EE4FC3">
        <w:t xml:space="preserve"> </w:t>
      </w:r>
      <w:r w:rsidRPr="00382917">
        <w:t>this</w:t>
      </w:r>
      <w:r w:rsidR="00EE4FC3">
        <w:t xml:space="preserve"> </w:t>
      </w:r>
      <w:r w:rsidRPr="00382917">
        <w:t>woman</w:t>
      </w:r>
      <w:r w:rsidR="00EE4FC3">
        <w:t xml:space="preserve"> </w:t>
      </w:r>
      <w:r w:rsidRPr="00382917">
        <w:t>became</w:t>
      </w:r>
      <w:r w:rsidR="00EE4FC3">
        <w:t xml:space="preserve"> </w:t>
      </w:r>
      <w:r w:rsidRPr="00382917">
        <w:t>a</w:t>
      </w:r>
      <w:r w:rsidR="00EE4FC3">
        <w:t xml:space="preserve"> </w:t>
      </w:r>
      <w:r w:rsidRPr="00382917">
        <w:t>devoted</w:t>
      </w:r>
      <w:r w:rsidR="00EE4FC3">
        <w:t xml:space="preserve"> </w:t>
      </w:r>
      <w:r w:rsidRPr="00382917">
        <w:t>friend</w:t>
      </w:r>
      <w:r w:rsidR="0040329F">
        <w:t>.</w:t>
      </w:r>
      <w:r w:rsidR="00EE4FC3">
        <w:t xml:space="preserve">  </w:t>
      </w:r>
      <w:r w:rsidRPr="00382917">
        <w:t>She</w:t>
      </w:r>
      <w:r w:rsidR="00EE4FC3">
        <w:t xml:space="preserve"> </w:t>
      </w:r>
      <w:r w:rsidRPr="00382917">
        <w:t>has</w:t>
      </w:r>
      <w:r w:rsidR="00EE4FC3">
        <w:t xml:space="preserve"> </w:t>
      </w:r>
      <w:r w:rsidRPr="00382917">
        <w:t>left</w:t>
      </w:r>
      <w:r w:rsidR="00EE4FC3">
        <w:t xml:space="preserve"> </w:t>
      </w:r>
      <w:r w:rsidRPr="00382917">
        <w:t>the</w:t>
      </w:r>
      <w:r w:rsidR="00EE4FC3">
        <w:t xml:space="preserve"> </w:t>
      </w:r>
      <w:r w:rsidRPr="00382917">
        <w:t>following</w:t>
      </w:r>
      <w:r w:rsidR="00EE4FC3">
        <w:t xml:space="preserve"> </w:t>
      </w:r>
      <w:r w:rsidRPr="00382917">
        <w:t>account:</w:t>
      </w:r>
    </w:p>
    <w:p w:rsidR="007E595F" w:rsidRPr="00382917" w:rsidRDefault="009C713D" w:rsidP="007E595F">
      <w:pPr>
        <w:pStyle w:val="Text"/>
      </w:pPr>
      <w:r w:rsidRPr="00382917">
        <w:t>“</w:t>
      </w:r>
      <w:r w:rsidR="007E595F" w:rsidRPr="00382917">
        <w:t>One</w:t>
      </w:r>
      <w:r w:rsidR="00EE4FC3">
        <w:t xml:space="preserve"> </w:t>
      </w:r>
      <w:r w:rsidR="007E595F" w:rsidRPr="00382917">
        <w:t>night</w:t>
      </w:r>
      <w:r w:rsidR="00EE4FC3">
        <w:t xml:space="preserve"> </w:t>
      </w:r>
      <w:r w:rsidR="007E595F" w:rsidRPr="00382917">
        <w:t>I</w:t>
      </w:r>
      <w:r w:rsidR="00EE4FC3">
        <w:t xml:space="preserve"> </w:t>
      </w:r>
      <w:r w:rsidR="007E595F" w:rsidRPr="00382917">
        <w:t>went</w:t>
      </w:r>
      <w:r w:rsidR="00EE4FC3">
        <w:t xml:space="preserve"> </w:t>
      </w:r>
      <w:r w:rsidR="007E595F" w:rsidRPr="00382917">
        <w:t>to</w:t>
      </w:r>
      <w:r w:rsidR="00EE4FC3">
        <w:t xml:space="preserve"> </w:t>
      </w:r>
      <w:r w:rsidR="007E595F" w:rsidRPr="00382917">
        <w:t>her</w:t>
      </w:r>
      <w:r w:rsidR="00EE4FC3">
        <w:t xml:space="preserve"> </w:t>
      </w:r>
      <w:r w:rsidR="007E595F" w:rsidRPr="00382917">
        <w:t>room</w:t>
      </w:r>
      <w:r w:rsidR="00EE4FC3">
        <w:t xml:space="preserve"> </w:t>
      </w:r>
      <w:r w:rsidR="007E595F" w:rsidRPr="00382917">
        <w:t>and</w:t>
      </w:r>
      <w:r w:rsidR="00EE4FC3">
        <w:t xml:space="preserve"> </w:t>
      </w:r>
      <w:r w:rsidR="007E595F" w:rsidRPr="00382917">
        <w:t>found</w:t>
      </w:r>
      <w:r w:rsidR="00EE4FC3">
        <w:t xml:space="preserve"> </w:t>
      </w:r>
      <w:r w:rsidR="007E595F" w:rsidRPr="00382917">
        <w:t>her</w:t>
      </w:r>
      <w:r w:rsidR="00EE4FC3">
        <w:t xml:space="preserve"> </w:t>
      </w:r>
      <w:r w:rsidR="007E595F" w:rsidRPr="00382917">
        <w:t>dressed</w:t>
      </w:r>
      <w:r w:rsidR="00EE4FC3">
        <w:t xml:space="preserve"> </w:t>
      </w:r>
      <w:r w:rsidR="007E595F" w:rsidRPr="00382917">
        <w:t>in</w:t>
      </w:r>
      <w:r w:rsidR="00EE4FC3">
        <w:t xml:space="preserve"> </w:t>
      </w:r>
      <w:r w:rsidR="007E595F" w:rsidRPr="00382917">
        <w:t>a</w:t>
      </w:r>
      <w:r w:rsidR="00EE4FC3">
        <w:t xml:space="preserve"> </w:t>
      </w:r>
      <w:r w:rsidR="007E595F" w:rsidRPr="00382917">
        <w:t>gown</w:t>
      </w:r>
      <w:r w:rsidR="00EE4FC3">
        <w:t xml:space="preserve"> </w:t>
      </w:r>
      <w:r w:rsidR="007E595F" w:rsidRPr="00382917">
        <w:t>of</w:t>
      </w:r>
      <w:r w:rsidR="00EE4FC3">
        <w:t xml:space="preserve"> </w:t>
      </w:r>
      <w:r w:rsidR="007E595F" w:rsidRPr="00382917">
        <w:t>snow-white</w:t>
      </w:r>
      <w:r w:rsidR="00EE4FC3">
        <w:t xml:space="preserve"> </w:t>
      </w:r>
      <w:r w:rsidR="007E595F" w:rsidRPr="00382917">
        <w:t>silk</w:t>
      </w:r>
      <w:r w:rsidR="0040329F">
        <w:t>.</w:t>
      </w:r>
      <w:r w:rsidR="00EE4FC3">
        <w:t xml:space="preserve">  </w:t>
      </w:r>
      <w:r w:rsidR="007E595F" w:rsidRPr="00382917">
        <w:t>I</w:t>
      </w:r>
      <w:r w:rsidR="00EE4FC3">
        <w:t xml:space="preserve"> </w:t>
      </w:r>
      <w:r w:rsidR="007E595F" w:rsidRPr="00382917">
        <w:t>expressed</w:t>
      </w:r>
      <w:r w:rsidR="00EE4FC3">
        <w:t xml:space="preserve"> </w:t>
      </w:r>
      <w:r w:rsidR="007E595F" w:rsidRPr="00382917">
        <w:t>my</w:t>
      </w:r>
      <w:r w:rsidR="00EE4FC3">
        <w:t xml:space="preserve"> </w:t>
      </w:r>
      <w:r w:rsidR="007E595F" w:rsidRPr="00382917">
        <w:t>surprise.</w:t>
      </w:r>
    </w:p>
    <w:p w:rsidR="007E595F" w:rsidRPr="00382917" w:rsidRDefault="009C713D" w:rsidP="007E595F">
      <w:pPr>
        <w:pStyle w:val="Text"/>
      </w:pPr>
      <w:r w:rsidRPr="00382917">
        <w:t>“</w:t>
      </w:r>
      <w:r w:rsidR="007E595F" w:rsidRPr="00382917">
        <w:t>She</w:t>
      </w:r>
      <w:r w:rsidR="00EE4FC3">
        <w:t xml:space="preserve"> </w:t>
      </w:r>
      <w:r w:rsidR="007E595F" w:rsidRPr="00382917">
        <w:t>said</w:t>
      </w:r>
      <w:r w:rsidR="00C03C91">
        <w:t>:</w:t>
      </w:r>
      <w:r w:rsidR="00EE4FC3">
        <w:t xml:space="preserve">  </w:t>
      </w:r>
      <w:r w:rsidRPr="00382917">
        <w:t>‘</w:t>
      </w:r>
      <w:r w:rsidR="007E595F" w:rsidRPr="00382917">
        <w:t>I</w:t>
      </w:r>
      <w:r w:rsidR="00EE4FC3">
        <w:t xml:space="preserve"> </w:t>
      </w:r>
      <w:r w:rsidR="007E595F" w:rsidRPr="00382917">
        <w:t>am</w:t>
      </w:r>
      <w:r w:rsidR="00EE4FC3">
        <w:t xml:space="preserve"> </w:t>
      </w:r>
      <w:r w:rsidR="007E595F" w:rsidRPr="00382917">
        <w:t>preparing</w:t>
      </w:r>
      <w:r w:rsidR="00EE4FC3">
        <w:t xml:space="preserve"> </w:t>
      </w:r>
      <w:r w:rsidR="007E595F" w:rsidRPr="00382917">
        <w:t>to</w:t>
      </w:r>
      <w:r w:rsidR="00EE4FC3">
        <w:t xml:space="preserve"> </w:t>
      </w:r>
      <w:r w:rsidR="007E595F" w:rsidRPr="00382917">
        <w:t>meet</w:t>
      </w:r>
      <w:r w:rsidR="00EE4FC3">
        <w:t xml:space="preserve"> </w:t>
      </w:r>
      <w:r w:rsidR="007E595F" w:rsidRPr="00382917">
        <w:t>my</w:t>
      </w:r>
      <w:r w:rsidR="00EE4FC3">
        <w:t xml:space="preserve"> </w:t>
      </w:r>
      <w:r w:rsidR="007E595F" w:rsidRPr="00382917">
        <w:t>Beloved,</w:t>
      </w:r>
      <w:r w:rsidR="00EE4FC3">
        <w:t xml:space="preserve"> </w:t>
      </w:r>
      <w:r w:rsidR="007E595F" w:rsidRPr="00382917">
        <w:t>and</w:t>
      </w:r>
      <w:r w:rsidR="00EE4FC3">
        <w:t xml:space="preserve"> </w:t>
      </w:r>
      <w:r w:rsidR="007E595F" w:rsidRPr="00382917">
        <w:t>I</w:t>
      </w:r>
      <w:r w:rsidR="00EE4FC3">
        <w:t xml:space="preserve"> </w:t>
      </w:r>
      <w:r w:rsidR="007E595F" w:rsidRPr="00382917">
        <w:t>wish</w:t>
      </w:r>
      <w:r w:rsidR="00EE4FC3">
        <w:t xml:space="preserve"> </w:t>
      </w:r>
      <w:r w:rsidR="007E595F" w:rsidRPr="00382917">
        <w:t>to</w:t>
      </w:r>
      <w:r w:rsidR="00EE4FC3">
        <w:t xml:space="preserve"> </w:t>
      </w:r>
      <w:r w:rsidR="007E595F" w:rsidRPr="00382917">
        <w:t>free</w:t>
      </w:r>
      <w:r w:rsidR="00EE4FC3">
        <w:t xml:space="preserve"> </w:t>
      </w:r>
      <w:r w:rsidR="007E595F" w:rsidRPr="00382917">
        <w:t>you</w:t>
      </w:r>
      <w:r w:rsidR="00EE4FC3">
        <w:t xml:space="preserve"> </w:t>
      </w:r>
      <w:r w:rsidR="007E595F" w:rsidRPr="00382917">
        <w:t>from</w:t>
      </w:r>
      <w:r w:rsidR="00EE4FC3">
        <w:t xml:space="preserve"> </w:t>
      </w:r>
      <w:r w:rsidR="007E595F" w:rsidRPr="00382917">
        <w:t>the</w:t>
      </w:r>
      <w:r w:rsidR="00EE4FC3">
        <w:t xml:space="preserve"> </w:t>
      </w:r>
      <w:r w:rsidR="007E595F" w:rsidRPr="00382917">
        <w:t>cares</w:t>
      </w:r>
      <w:r w:rsidR="00EE4FC3">
        <w:t xml:space="preserve"> </w:t>
      </w:r>
      <w:r w:rsidR="007E595F" w:rsidRPr="00382917">
        <w:t>and</w:t>
      </w:r>
      <w:r w:rsidR="00EE4FC3">
        <w:t xml:space="preserve"> </w:t>
      </w:r>
      <w:r w:rsidR="007E595F" w:rsidRPr="00382917">
        <w:t>anxieties</w:t>
      </w:r>
      <w:r w:rsidR="00EE4FC3">
        <w:t xml:space="preserve"> </w:t>
      </w:r>
      <w:r w:rsidR="007E595F" w:rsidRPr="00382917">
        <w:t>of</w:t>
      </w:r>
      <w:r w:rsidR="00EE4FC3">
        <w:t xml:space="preserve"> </w:t>
      </w:r>
      <w:r w:rsidR="007E595F" w:rsidRPr="00382917">
        <w:t>my</w:t>
      </w:r>
      <w:r w:rsidR="00EE4FC3">
        <w:t xml:space="preserve"> </w:t>
      </w:r>
      <w:r w:rsidR="007E595F" w:rsidRPr="00382917">
        <w:t>imprisonment.</w:t>
      </w:r>
      <w:r w:rsidRPr="00382917">
        <w:t>’</w:t>
      </w:r>
    </w:p>
    <w:p w:rsidR="007E595F" w:rsidRPr="00382917" w:rsidRDefault="009C713D" w:rsidP="007E595F">
      <w:pPr>
        <w:pStyle w:val="Text"/>
      </w:pPr>
      <w:r w:rsidRPr="00382917">
        <w:t>“</w:t>
      </w:r>
      <w:r w:rsidR="007E595F" w:rsidRPr="00382917">
        <w:t>I</w:t>
      </w:r>
      <w:r w:rsidR="00EE4FC3">
        <w:t xml:space="preserve"> </w:t>
      </w:r>
      <w:r w:rsidR="007E595F" w:rsidRPr="00382917">
        <w:t>was</w:t>
      </w:r>
      <w:r w:rsidR="00EE4FC3">
        <w:t xml:space="preserve"> </w:t>
      </w:r>
      <w:r w:rsidR="007E595F" w:rsidRPr="00382917">
        <w:t>much</w:t>
      </w:r>
      <w:r w:rsidR="00EE4FC3">
        <w:t xml:space="preserve"> </w:t>
      </w:r>
      <w:r w:rsidR="007E595F" w:rsidRPr="00382917">
        <w:t>startled</w:t>
      </w:r>
      <w:r w:rsidR="00EE4FC3">
        <w:t xml:space="preserve"> </w:t>
      </w:r>
      <w:r w:rsidR="007E595F" w:rsidRPr="00382917">
        <w:t>at</w:t>
      </w:r>
      <w:r w:rsidR="00EE4FC3">
        <w:t xml:space="preserve"> </w:t>
      </w:r>
      <w:r w:rsidR="007E595F" w:rsidRPr="00382917">
        <w:t>first</w:t>
      </w:r>
      <w:r w:rsidR="00EE4FC3">
        <w:t xml:space="preserve"> </w:t>
      </w:r>
      <w:r w:rsidR="007E595F" w:rsidRPr="00382917">
        <w:t>and</w:t>
      </w:r>
      <w:r w:rsidR="00EE4FC3">
        <w:t xml:space="preserve"> </w:t>
      </w:r>
      <w:r w:rsidR="007E595F" w:rsidRPr="00382917">
        <w:t>began</w:t>
      </w:r>
      <w:r w:rsidR="00EE4FC3">
        <w:t xml:space="preserve"> </w:t>
      </w:r>
      <w:r w:rsidR="007E595F" w:rsidRPr="00382917">
        <w:t>to</w:t>
      </w:r>
      <w:r w:rsidR="00EE4FC3">
        <w:t xml:space="preserve"> </w:t>
      </w:r>
      <w:r w:rsidR="007E595F" w:rsidRPr="00382917">
        <w:t>weep</w:t>
      </w:r>
      <w:r w:rsidR="00EE4FC3">
        <w:t xml:space="preserve"> </w:t>
      </w:r>
      <w:r w:rsidR="007E595F" w:rsidRPr="00382917">
        <w:t>at</w:t>
      </w:r>
      <w:r w:rsidR="00EE4FC3">
        <w:t xml:space="preserve"> </w:t>
      </w:r>
      <w:r w:rsidR="007E595F" w:rsidRPr="00382917">
        <w:t>the</w:t>
      </w:r>
      <w:r w:rsidR="00EE4FC3">
        <w:t xml:space="preserve"> </w:t>
      </w:r>
      <w:r w:rsidR="007E595F" w:rsidRPr="00382917">
        <w:t>thought</w:t>
      </w:r>
      <w:r w:rsidR="00EE4FC3">
        <w:t xml:space="preserve"> </w:t>
      </w:r>
      <w:r w:rsidR="007E595F" w:rsidRPr="00382917">
        <w:t>of</w:t>
      </w:r>
      <w:r w:rsidR="00EE4FC3">
        <w:t xml:space="preserve"> </w:t>
      </w:r>
      <w:r w:rsidR="007E595F" w:rsidRPr="00382917">
        <w:t>separation</w:t>
      </w:r>
      <w:r w:rsidR="00EE4FC3">
        <w:t xml:space="preserve"> </w:t>
      </w:r>
      <w:r w:rsidR="007E595F" w:rsidRPr="00382917">
        <w:t>from</w:t>
      </w:r>
      <w:r w:rsidR="00EE4FC3">
        <w:t xml:space="preserve"> </w:t>
      </w:r>
      <w:r w:rsidR="007E595F" w:rsidRPr="00382917">
        <w:t>her.</w:t>
      </w:r>
    </w:p>
    <w:p w:rsidR="007E595F" w:rsidRPr="00382917" w:rsidRDefault="009C713D" w:rsidP="007E595F">
      <w:pPr>
        <w:pStyle w:val="Text"/>
      </w:pPr>
      <w:r w:rsidRPr="00382917">
        <w:t>“</w:t>
      </w:r>
      <w:r w:rsidR="007E595F" w:rsidRPr="00382917">
        <w:t>She</w:t>
      </w:r>
      <w:r w:rsidR="00EE4FC3">
        <w:t xml:space="preserve"> </w:t>
      </w:r>
      <w:r w:rsidR="007E595F" w:rsidRPr="00382917">
        <w:t>comforted</w:t>
      </w:r>
      <w:r w:rsidR="00EE4FC3">
        <w:t xml:space="preserve"> </w:t>
      </w:r>
      <w:r w:rsidR="007E595F" w:rsidRPr="00382917">
        <w:t>me,</w:t>
      </w:r>
      <w:r w:rsidR="00EE4FC3">
        <w:t xml:space="preserve"> </w:t>
      </w:r>
      <w:r w:rsidR="007E595F" w:rsidRPr="00382917">
        <w:t>saying</w:t>
      </w:r>
      <w:r w:rsidR="00C03C91">
        <w:t>:</w:t>
      </w:r>
      <w:r w:rsidR="00EE4FC3">
        <w:t xml:space="preserve">  </w:t>
      </w:r>
      <w:r w:rsidRPr="00382917">
        <w:t>‘</w:t>
      </w:r>
      <w:r w:rsidR="007E595F" w:rsidRPr="00382917">
        <w:t>Weep</w:t>
      </w:r>
      <w:r w:rsidR="00EE4FC3">
        <w:t xml:space="preserve"> </w:t>
      </w:r>
      <w:r w:rsidR="007E595F" w:rsidRPr="00382917">
        <w:t>not</w:t>
      </w:r>
      <w:r w:rsidR="0040329F">
        <w:t>.</w:t>
      </w:r>
      <w:r w:rsidR="00EE4FC3">
        <w:t xml:space="preserve">  </w:t>
      </w:r>
      <w:r w:rsidR="007E595F" w:rsidRPr="00382917">
        <w:t>The</w:t>
      </w:r>
      <w:r w:rsidR="00EE4FC3">
        <w:t xml:space="preserve"> </w:t>
      </w:r>
      <w:r w:rsidR="007E595F" w:rsidRPr="00382917">
        <w:t>hour</w:t>
      </w:r>
      <w:r w:rsidR="00EE4FC3">
        <w:t xml:space="preserve"> </w:t>
      </w:r>
      <w:r w:rsidR="007E595F" w:rsidRPr="00382917">
        <w:t>when</w:t>
      </w:r>
      <w:r w:rsidR="00EE4FC3">
        <w:t xml:space="preserve"> </w:t>
      </w:r>
      <w:r w:rsidR="007E595F" w:rsidRPr="00382917">
        <w:t>I</w:t>
      </w:r>
      <w:r w:rsidR="00EE4FC3">
        <w:t xml:space="preserve"> </w:t>
      </w:r>
      <w:r w:rsidR="007E595F" w:rsidRPr="00382917">
        <w:t>shall</w:t>
      </w:r>
      <w:r w:rsidR="00EE4FC3">
        <w:t xml:space="preserve"> </w:t>
      </w:r>
      <w:r w:rsidR="007E595F" w:rsidRPr="00382917">
        <w:t>be</w:t>
      </w:r>
      <w:r w:rsidR="00EE4FC3">
        <w:t xml:space="preserve"> </w:t>
      </w:r>
      <w:r w:rsidR="007E595F" w:rsidRPr="00382917">
        <w:t>condemned</w:t>
      </w:r>
      <w:r w:rsidR="00EE4FC3">
        <w:t xml:space="preserve"> </w:t>
      </w:r>
      <w:r w:rsidR="007E595F" w:rsidRPr="00382917">
        <w:t>to</w:t>
      </w:r>
      <w:r w:rsidR="00EE4FC3">
        <w:t xml:space="preserve"> </w:t>
      </w:r>
      <w:r w:rsidR="007E595F" w:rsidRPr="00382917">
        <w:t>suffer</w:t>
      </w:r>
      <w:r w:rsidR="00EE4FC3">
        <w:t xml:space="preserve"> </w:t>
      </w:r>
      <w:r w:rsidR="007E595F" w:rsidRPr="00382917">
        <w:t>martyrdom</w:t>
      </w:r>
      <w:r w:rsidR="00EE4FC3">
        <w:t xml:space="preserve"> </w:t>
      </w:r>
      <w:r w:rsidR="007E595F" w:rsidRPr="00382917">
        <w:t>is</w:t>
      </w:r>
      <w:r w:rsidR="00EE4FC3">
        <w:t xml:space="preserve"> </w:t>
      </w:r>
      <w:r w:rsidR="007E595F" w:rsidRPr="00382917">
        <w:t>fast</w:t>
      </w:r>
      <w:r w:rsidR="00EE4FC3">
        <w:t xml:space="preserve"> </w:t>
      </w:r>
      <w:r w:rsidR="007E595F" w:rsidRPr="00382917">
        <w:t>approaching</w:t>
      </w:r>
      <w:r w:rsidR="0040329F">
        <w:t>.</w:t>
      </w:r>
      <w:r w:rsidR="00EE4FC3">
        <w:t xml:space="preserve">  </w:t>
      </w:r>
      <w:r w:rsidR="007E595F" w:rsidRPr="00382917">
        <w:t>It</w:t>
      </w:r>
      <w:r w:rsidR="00EE4FC3">
        <w:t xml:space="preserve"> </w:t>
      </w:r>
      <w:r w:rsidR="007E595F" w:rsidRPr="00382917">
        <w:t>is</w:t>
      </w:r>
      <w:r w:rsidR="00EE4FC3">
        <w:t xml:space="preserve"> </w:t>
      </w:r>
      <w:r w:rsidR="007E595F" w:rsidRPr="00382917">
        <w:t>my</w:t>
      </w:r>
      <w:r w:rsidR="00EE4FC3">
        <w:t xml:space="preserve"> </w:t>
      </w:r>
      <w:r w:rsidR="007E595F" w:rsidRPr="00382917">
        <w:t>wish</w:t>
      </w:r>
      <w:r w:rsidR="00EE4FC3">
        <w:t xml:space="preserve"> </w:t>
      </w:r>
      <w:r w:rsidR="007E595F" w:rsidRPr="00382917">
        <w:t>that</w:t>
      </w:r>
      <w:r w:rsidR="00EE4FC3">
        <w:t xml:space="preserve"> </w:t>
      </w:r>
      <w:r w:rsidR="007E595F" w:rsidRPr="00382917">
        <w:t>my</w:t>
      </w:r>
      <w:r w:rsidR="00EE4FC3">
        <w:t xml:space="preserve"> </w:t>
      </w:r>
      <w:r w:rsidR="007E595F" w:rsidRPr="00382917">
        <w:t>body</w:t>
      </w:r>
      <w:r w:rsidR="00EE4FC3">
        <w:t xml:space="preserve"> </w:t>
      </w:r>
      <w:r w:rsidR="007E595F" w:rsidRPr="00382917">
        <w:t>shall</w:t>
      </w:r>
      <w:r w:rsidR="00EE4FC3">
        <w:t xml:space="preserve"> </w:t>
      </w:r>
      <w:r w:rsidR="007E595F" w:rsidRPr="00382917">
        <w:t>be</w:t>
      </w:r>
      <w:r w:rsidR="00EE4FC3">
        <w:t xml:space="preserve"> </w:t>
      </w:r>
      <w:r w:rsidR="007E595F" w:rsidRPr="00382917">
        <w:t>thrown</w:t>
      </w:r>
      <w:r w:rsidR="00EE4FC3">
        <w:t xml:space="preserve"> </w:t>
      </w:r>
      <w:r w:rsidR="007E595F" w:rsidRPr="00382917">
        <w:t>into</w:t>
      </w:r>
      <w:r w:rsidR="00EE4FC3">
        <w:t xml:space="preserve"> </w:t>
      </w:r>
      <w:r w:rsidR="007E595F" w:rsidRPr="00382917">
        <w:t>a</w:t>
      </w:r>
      <w:r w:rsidR="00EE4FC3">
        <w:t xml:space="preserve"> </w:t>
      </w:r>
      <w:r w:rsidR="007E595F" w:rsidRPr="00382917">
        <w:t>pit,</w:t>
      </w:r>
      <w:r w:rsidR="00EE4FC3">
        <w:t xml:space="preserve"> </w:t>
      </w:r>
      <w:r w:rsidR="007E595F" w:rsidRPr="00382917">
        <w:t>and</w:t>
      </w:r>
      <w:r w:rsidR="00EE4FC3">
        <w:t xml:space="preserve"> </w:t>
      </w:r>
      <w:r w:rsidR="007E595F" w:rsidRPr="00382917">
        <w:t>the</w:t>
      </w:r>
      <w:r w:rsidR="00EE4FC3">
        <w:t xml:space="preserve"> </w:t>
      </w:r>
      <w:r w:rsidR="007E595F" w:rsidRPr="00382917">
        <w:t>pit</w:t>
      </w:r>
      <w:r w:rsidR="00EE4FC3">
        <w:t xml:space="preserve"> </w:t>
      </w:r>
      <w:r w:rsidR="007E595F" w:rsidRPr="00382917">
        <w:t>be</w:t>
      </w:r>
      <w:r w:rsidR="00EE4FC3">
        <w:t xml:space="preserve"> </w:t>
      </w:r>
      <w:r w:rsidR="007E595F" w:rsidRPr="00382917">
        <w:t>filled</w:t>
      </w:r>
      <w:r w:rsidR="00EE4FC3">
        <w:t xml:space="preserve"> </w:t>
      </w:r>
      <w:r w:rsidR="007E595F" w:rsidRPr="00382917">
        <w:t>with</w:t>
      </w:r>
      <w:r w:rsidR="00EE4FC3">
        <w:t xml:space="preserve"> </w:t>
      </w:r>
      <w:r w:rsidR="007E595F" w:rsidRPr="00382917">
        <w:t>earth</w:t>
      </w:r>
      <w:r w:rsidR="00EE4FC3">
        <w:t xml:space="preserve"> </w:t>
      </w:r>
      <w:r w:rsidR="007E595F" w:rsidRPr="00382917">
        <w:t>and</w:t>
      </w:r>
      <w:r w:rsidR="00EE4FC3">
        <w:t xml:space="preserve"> </w:t>
      </w:r>
      <w:r w:rsidR="007E595F" w:rsidRPr="00382917">
        <w:t>stones.</w:t>
      </w:r>
    </w:p>
    <w:p w:rsidR="007E595F" w:rsidRPr="00382917" w:rsidRDefault="009C713D" w:rsidP="007E595F">
      <w:pPr>
        <w:pStyle w:val="Text"/>
      </w:pPr>
      <w:r w:rsidRPr="00382917">
        <w:t>“‘</w:t>
      </w:r>
      <w:r w:rsidR="007E595F" w:rsidRPr="00382917">
        <w:t>My</w:t>
      </w:r>
      <w:r w:rsidR="00EE4FC3">
        <w:t xml:space="preserve"> </w:t>
      </w:r>
      <w:r w:rsidR="007E595F" w:rsidRPr="00382917">
        <w:t>last</w:t>
      </w:r>
      <w:r w:rsidR="00EE4FC3">
        <w:t xml:space="preserve"> </w:t>
      </w:r>
      <w:r w:rsidR="007E595F" w:rsidRPr="00382917">
        <w:t>request</w:t>
      </w:r>
      <w:r w:rsidR="00EE4FC3">
        <w:t xml:space="preserve"> </w:t>
      </w:r>
      <w:r w:rsidR="007E595F" w:rsidRPr="00382917">
        <w:t>is</w:t>
      </w:r>
      <w:r w:rsidR="00EE4FC3">
        <w:t xml:space="preserve"> </w:t>
      </w:r>
      <w:r w:rsidR="007E595F" w:rsidRPr="00382917">
        <w:t>that</w:t>
      </w:r>
      <w:r w:rsidR="00EE4FC3">
        <w:t xml:space="preserve"> </w:t>
      </w:r>
      <w:r w:rsidR="007E595F" w:rsidRPr="00382917">
        <w:t>you</w:t>
      </w:r>
      <w:r w:rsidR="00EE4FC3">
        <w:t xml:space="preserve"> </w:t>
      </w:r>
      <w:r w:rsidR="007E595F" w:rsidRPr="00382917">
        <w:t>permit</w:t>
      </w:r>
      <w:r w:rsidR="00EE4FC3">
        <w:t xml:space="preserve"> </w:t>
      </w:r>
      <w:r w:rsidR="007E595F" w:rsidRPr="00382917">
        <w:t>no</w:t>
      </w:r>
      <w:r w:rsidR="00EE4FC3">
        <w:t xml:space="preserve"> </w:t>
      </w:r>
      <w:r w:rsidR="007E595F" w:rsidRPr="00382917">
        <w:t>one</w:t>
      </w:r>
      <w:r w:rsidR="00EE4FC3">
        <w:t xml:space="preserve"> </w:t>
      </w:r>
      <w:r w:rsidR="007E595F" w:rsidRPr="00382917">
        <w:t>to</w:t>
      </w:r>
      <w:r w:rsidR="00EE4FC3">
        <w:t xml:space="preserve"> </w:t>
      </w:r>
      <w:r w:rsidR="007E595F" w:rsidRPr="00382917">
        <w:t>enter</w:t>
      </w:r>
      <w:r w:rsidR="00EE4FC3">
        <w:t xml:space="preserve"> </w:t>
      </w:r>
      <w:r w:rsidR="007E595F" w:rsidRPr="00382917">
        <w:t>my</w:t>
      </w:r>
      <w:r w:rsidR="00EE4FC3">
        <w:t xml:space="preserve"> </w:t>
      </w:r>
      <w:r w:rsidR="007E595F" w:rsidRPr="00382917">
        <w:t>chamber</w:t>
      </w:r>
      <w:r w:rsidR="0040329F">
        <w:t>.</w:t>
      </w:r>
      <w:r w:rsidR="00EE4FC3">
        <w:t xml:space="preserve">  </w:t>
      </w:r>
      <w:r w:rsidR="007E595F" w:rsidRPr="00382917">
        <w:t>Until</w:t>
      </w:r>
      <w:r w:rsidR="00EE4FC3">
        <w:t xml:space="preserve"> </w:t>
      </w:r>
      <w:r w:rsidR="007E595F" w:rsidRPr="00382917">
        <w:t>the</w:t>
      </w:r>
      <w:r w:rsidR="00EE4FC3">
        <w:t xml:space="preserve"> </w:t>
      </w:r>
      <w:r w:rsidR="007E595F" w:rsidRPr="00382917">
        <w:t>time</w:t>
      </w:r>
      <w:r w:rsidR="00EE4FC3">
        <w:t xml:space="preserve"> </w:t>
      </w:r>
      <w:r w:rsidR="007E595F" w:rsidRPr="00382917">
        <w:t>I</w:t>
      </w:r>
      <w:r w:rsidR="00EE4FC3">
        <w:t xml:space="preserve"> </w:t>
      </w:r>
      <w:r w:rsidR="007E595F" w:rsidRPr="00382917">
        <w:t>shall</w:t>
      </w:r>
      <w:r w:rsidR="00EE4FC3">
        <w:t xml:space="preserve"> </w:t>
      </w:r>
      <w:r w:rsidR="007E595F" w:rsidRPr="00382917">
        <w:t>be</w:t>
      </w:r>
      <w:r w:rsidR="00EE4FC3">
        <w:t xml:space="preserve"> </w:t>
      </w:r>
      <w:r w:rsidR="007E595F" w:rsidRPr="00382917">
        <w:t>summoned</w:t>
      </w:r>
      <w:r w:rsidR="00EE4FC3">
        <w:t xml:space="preserve"> </w:t>
      </w:r>
      <w:r w:rsidR="007E595F" w:rsidRPr="00382917">
        <w:t>to</w:t>
      </w:r>
      <w:r w:rsidR="00EE4FC3">
        <w:t xml:space="preserve"> </w:t>
      </w:r>
      <w:r w:rsidR="007E595F" w:rsidRPr="00382917">
        <w:t>leave</w:t>
      </w:r>
      <w:r w:rsidR="00EE4FC3">
        <w:t xml:space="preserve"> </w:t>
      </w:r>
      <w:r w:rsidR="007E595F" w:rsidRPr="00382917">
        <w:t>this</w:t>
      </w:r>
      <w:r w:rsidR="00EE4FC3">
        <w:t xml:space="preserve"> </w:t>
      </w:r>
      <w:r w:rsidR="007E595F" w:rsidRPr="00382917">
        <w:t>house,</w:t>
      </w:r>
      <w:r w:rsidR="00EE4FC3">
        <w:t xml:space="preserve"> </w:t>
      </w:r>
      <w:r w:rsidR="007E595F" w:rsidRPr="00382917">
        <w:t>let</w:t>
      </w:r>
      <w:r w:rsidR="00EE4FC3">
        <w:t xml:space="preserve"> </w:t>
      </w:r>
      <w:r w:rsidR="007E595F" w:rsidRPr="00382917">
        <w:t>no</w:t>
      </w:r>
      <w:r w:rsidR="00EE4FC3">
        <w:t xml:space="preserve"> </w:t>
      </w:r>
      <w:r w:rsidR="007E595F" w:rsidRPr="00382917">
        <w:t>one</w:t>
      </w:r>
      <w:r w:rsidR="00EE4FC3">
        <w:t xml:space="preserve"> </w:t>
      </w:r>
      <w:r w:rsidR="007E595F" w:rsidRPr="00382917">
        <w:t>be</w:t>
      </w:r>
      <w:r w:rsidR="00EE4FC3">
        <w:t xml:space="preserve"> </w:t>
      </w:r>
      <w:r w:rsidR="007E595F" w:rsidRPr="00382917">
        <w:t>allowed</w:t>
      </w:r>
      <w:r w:rsidR="00EE4FC3">
        <w:t xml:space="preserve"> </w:t>
      </w:r>
      <w:r w:rsidR="007E595F" w:rsidRPr="00382917">
        <w:t>to</w:t>
      </w:r>
      <w:r w:rsidR="00EE4FC3">
        <w:t xml:space="preserve"> </w:t>
      </w:r>
      <w:r w:rsidR="007E595F" w:rsidRPr="00382917">
        <w:t>disturb</w:t>
      </w:r>
      <w:r w:rsidR="00EE4FC3">
        <w:t xml:space="preserve"> </w:t>
      </w:r>
      <w:r w:rsidR="007E595F" w:rsidRPr="00382917">
        <w:t>my</w:t>
      </w:r>
      <w:r w:rsidR="00EE4FC3">
        <w:t xml:space="preserve"> </w:t>
      </w:r>
      <w:r w:rsidR="007E595F" w:rsidRPr="00382917">
        <w:t>devotions</w:t>
      </w:r>
      <w:r w:rsidR="0040329F">
        <w:t>.</w:t>
      </w:r>
      <w:r w:rsidR="00EE4FC3">
        <w:t xml:space="preserve">  </w:t>
      </w:r>
      <w:r w:rsidR="007E595F" w:rsidRPr="00382917">
        <w:t>I</w:t>
      </w:r>
      <w:r w:rsidR="00EE4FC3">
        <w:t xml:space="preserve"> </w:t>
      </w:r>
      <w:r w:rsidR="007E595F" w:rsidRPr="00382917">
        <w:t>intend</w:t>
      </w:r>
      <w:r w:rsidR="00EE4FC3">
        <w:t xml:space="preserve"> </w:t>
      </w:r>
      <w:r w:rsidR="007E595F" w:rsidRPr="00382917">
        <w:t>to</w:t>
      </w:r>
      <w:r w:rsidR="00EE4FC3">
        <w:t xml:space="preserve"> </w:t>
      </w:r>
      <w:r w:rsidR="007E595F" w:rsidRPr="00382917">
        <w:t>fast,</w:t>
      </w:r>
      <w:r w:rsidR="00EE4FC3">
        <w:t xml:space="preserve"> </w:t>
      </w:r>
      <w:r w:rsidR="007E595F" w:rsidRPr="00382917">
        <w:t>a</w:t>
      </w:r>
      <w:r w:rsidR="00EE4FC3">
        <w:t xml:space="preserve"> </w:t>
      </w:r>
      <w:r w:rsidR="007E595F" w:rsidRPr="00382917">
        <w:t>fast</w:t>
      </w:r>
      <w:r w:rsidR="00EE4FC3">
        <w:t xml:space="preserve"> </w:t>
      </w:r>
      <w:r w:rsidR="007E595F" w:rsidRPr="00382917">
        <w:t>which</w:t>
      </w:r>
      <w:r w:rsidR="00EE4FC3">
        <w:t xml:space="preserve"> </w:t>
      </w:r>
      <w:r w:rsidR="007E595F" w:rsidRPr="00382917">
        <w:t>I</w:t>
      </w:r>
      <w:r w:rsidR="00EE4FC3">
        <w:t xml:space="preserve"> </w:t>
      </w:r>
      <w:r w:rsidR="007E595F" w:rsidRPr="00382917">
        <w:t>shall</w:t>
      </w:r>
      <w:r w:rsidR="00EE4FC3">
        <w:t xml:space="preserve"> </w:t>
      </w:r>
      <w:r w:rsidR="007E595F" w:rsidRPr="00382917">
        <w:t>not</w:t>
      </w:r>
      <w:r w:rsidR="00EE4FC3">
        <w:t xml:space="preserve"> </w:t>
      </w:r>
      <w:r w:rsidR="007E595F" w:rsidRPr="00382917">
        <w:t>break</w:t>
      </w:r>
      <w:r w:rsidR="00EE4FC3">
        <w:t xml:space="preserve"> </w:t>
      </w:r>
      <w:r w:rsidR="007E595F" w:rsidRPr="00382917">
        <w:t>until</w:t>
      </w:r>
      <w:r w:rsidR="00EE4FC3">
        <w:t xml:space="preserve"> </w:t>
      </w:r>
      <w:r w:rsidR="007E595F" w:rsidRPr="00382917">
        <w:t>I</w:t>
      </w:r>
      <w:r w:rsidR="00EE4FC3">
        <w:t xml:space="preserve"> </w:t>
      </w:r>
      <w:r w:rsidR="007E595F" w:rsidRPr="00382917">
        <w:t>am</w:t>
      </w:r>
      <w:r w:rsidR="00EE4FC3">
        <w:t xml:space="preserve"> </w:t>
      </w:r>
      <w:r w:rsidR="007E595F" w:rsidRPr="00382917">
        <w:t>brought</w:t>
      </w:r>
      <w:r w:rsidR="00EE4FC3">
        <w:t xml:space="preserve"> </w:t>
      </w:r>
      <w:r w:rsidR="007E595F" w:rsidRPr="00382917">
        <w:t>face</w:t>
      </w:r>
      <w:r w:rsidR="00EE4FC3">
        <w:t xml:space="preserve"> </w:t>
      </w:r>
      <w:r w:rsidR="007E595F" w:rsidRPr="00382917">
        <w:t>to</w:t>
      </w:r>
      <w:r w:rsidR="00EE4FC3">
        <w:t xml:space="preserve"> </w:t>
      </w:r>
      <w:r w:rsidR="007E595F" w:rsidRPr="00382917">
        <w:t>face</w:t>
      </w:r>
      <w:r w:rsidR="00EE4FC3">
        <w:t xml:space="preserve"> </w:t>
      </w:r>
      <w:r w:rsidR="007E595F" w:rsidRPr="00382917">
        <w:t>with</w:t>
      </w:r>
      <w:r w:rsidR="00EE4FC3">
        <w:t xml:space="preserve"> </w:t>
      </w:r>
      <w:r w:rsidR="007E595F" w:rsidRPr="00382917">
        <w:t>my</w:t>
      </w:r>
      <w:r w:rsidR="00EE4FC3">
        <w:t xml:space="preserve"> </w:t>
      </w:r>
      <w:r w:rsidR="007E595F" w:rsidRPr="00382917">
        <w:t>Beloved.</w:t>
      </w:r>
      <w:r w:rsidRPr="00382917">
        <w:t>’</w:t>
      </w:r>
    </w:p>
    <w:p w:rsidR="007E595F" w:rsidRPr="00382917" w:rsidRDefault="009C713D" w:rsidP="007E595F">
      <w:pPr>
        <w:pStyle w:val="Text"/>
      </w:pPr>
      <w:r w:rsidRPr="00382917">
        <w:t>“</w:t>
      </w:r>
      <w:r w:rsidR="007E595F" w:rsidRPr="00382917">
        <w:t>With</w:t>
      </w:r>
      <w:r w:rsidR="00EE4FC3">
        <w:t xml:space="preserve"> </w:t>
      </w:r>
      <w:r w:rsidR="007E595F" w:rsidRPr="00382917">
        <w:t>these</w:t>
      </w:r>
      <w:r w:rsidR="00EE4FC3">
        <w:t xml:space="preserve"> </w:t>
      </w:r>
      <w:r w:rsidR="007E595F" w:rsidRPr="00382917">
        <w:t>words,</w:t>
      </w:r>
      <w:r w:rsidR="00EE4FC3">
        <w:t xml:space="preserve"> </w:t>
      </w:r>
      <w:r w:rsidR="007E595F" w:rsidRPr="00382917">
        <w:t>she</w:t>
      </w:r>
      <w:r w:rsidR="00EE4FC3">
        <w:t xml:space="preserve"> </w:t>
      </w:r>
      <w:r w:rsidR="007E595F" w:rsidRPr="00382917">
        <w:t>bade</w:t>
      </w:r>
      <w:r w:rsidR="00EE4FC3">
        <w:t xml:space="preserve"> </w:t>
      </w:r>
      <w:r w:rsidR="007E595F" w:rsidRPr="00382917">
        <w:t>me</w:t>
      </w:r>
      <w:r w:rsidR="00EE4FC3">
        <w:t xml:space="preserve"> </w:t>
      </w:r>
      <w:r w:rsidR="007E595F" w:rsidRPr="00382917">
        <w:t>lock</w:t>
      </w:r>
      <w:r w:rsidR="00EE4FC3">
        <w:t xml:space="preserve"> </w:t>
      </w:r>
      <w:r w:rsidR="007E595F" w:rsidRPr="00382917">
        <w:t>the</w:t>
      </w:r>
      <w:r w:rsidR="00EE4FC3">
        <w:t xml:space="preserve"> </w:t>
      </w:r>
      <w:r w:rsidR="007E595F" w:rsidRPr="00382917">
        <w:t>door</w:t>
      </w:r>
      <w:r w:rsidR="00EE4FC3">
        <w:t xml:space="preserve"> </w:t>
      </w:r>
      <w:r w:rsidR="007E595F" w:rsidRPr="00382917">
        <w:t>of</w:t>
      </w:r>
      <w:r w:rsidR="00EE4FC3">
        <w:t xml:space="preserve"> </w:t>
      </w:r>
      <w:r w:rsidR="007E595F" w:rsidRPr="00382917">
        <w:t>her</w:t>
      </w:r>
      <w:r w:rsidR="00EE4FC3">
        <w:t xml:space="preserve"> </w:t>
      </w:r>
      <w:r w:rsidR="007E595F" w:rsidRPr="00382917">
        <w:t>chamber</w:t>
      </w:r>
      <w:r w:rsidR="00EE4FC3">
        <w:t xml:space="preserve"> </w:t>
      </w:r>
      <w:r w:rsidR="007E595F" w:rsidRPr="00382917">
        <w:t>and</w:t>
      </w:r>
      <w:r w:rsidR="00EE4FC3">
        <w:t xml:space="preserve"> </w:t>
      </w:r>
      <w:r w:rsidR="007E595F" w:rsidRPr="00382917">
        <w:t>not</w:t>
      </w:r>
      <w:r w:rsidR="00EE4FC3">
        <w:t xml:space="preserve"> </w:t>
      </w:r>
      <w:r w:rsidR="007E595F" w:rsidRPr="00382917">
        <w:t>to</w:t>
      </w:r>
      <w:r w:rsidR="00EE4FC3">
        <w:t xml:space="preserve"> </w:t>
      </w:r>
      <w:r w:rsidR="007E595F" w:rsidRPr="00382917">
        <w:t>open</w:t>
      </w:r>
      <w:r w:rsidR="00EE4FC3">
        <w:t xml:space="preserve"> </w:t>
      </w:r>
      <w:r w:rsidR="007E595F" w:rsidRPr="00382917">
        <w:t>it</w:t>
      </w:r>
      <w:r w:rsidR="00EE4FC3">
        <w:t xml:space="preserve"> </w:t>
      </w:r>
      <w:r w:rsidR="007E595F" w:rsidRPr="00382917">
        <w:t>until</w:t>
      </w:r>
      <w:r w:rsidR="00EE4FC3">
        <w:t xml:space="preserve"> </w:t>
      </w:r>
      <w:r w:rsidR="007E595F" w:rsidRPr="00382917">
        <w:t>the</w:t>
      </w:r>
      <w:r w:rsidR="00EE4FC3">
        <w:t xml:space="preserve"> </w:t>
      </w:r>
      <w:r w:rsidR="007E595F" w:rsidRPr="00382917">
        <w:t>hour</w:t>
      </w:r>
      <w:r w:rsidR="00EE4FC3">
        <w:t xml:space="preserve"> </w:t>
      </w:r>
      <w:r w:rsidR="007E595F" w:rsidRPr="00382917">
        <w:t>of</w:t>
      </w:r>
      <w:r w:rsidR="00EE4FC3">
        <w:t xml:space="preserve"> </w:t>
      </w:r>
      <w:r w:rsidR="007E595F" w:rsidRPr="00382917">
        <w:t>departure</w:t>
      </w:r>
      <w:r w:rsidR="00EE4FC3">
        <w:t xml:space="preserve"> </w:t>
      </w:r>
      <w:r w:rsidR="007E595F" w:rsidRPr="00382917">
        <w:t>should</w:t>
      </w:r>
      <w:r w:rsidR="00EE4FC3">
        <w:t xml:space="preserve"> </w:t>
      </w:r>
      <w:r w:rsidR="007E595F" w:rsidRPr="00382917">
        <w:t>strike.</w:t>
      </w:r>
    </w:p>
    <w:p w:rsidR="00E13D49" w:rsidRPr="00382917" w:rsidRDefault="009C713D" w:rsidP="0081609D">
      <w:pPr>
        <w:pStyle w:val="Text"/>
      </w:pPr>
      <w:r w:rsidRPr="00382917">
        <w:t>“</w:t>
      </w:r>
      <w:r w:rsidR="007E595F" w:rsidRPr="00382917">
        <w:t>I</w:t>
      </w:r>
      <w:r w:rsidR="00EE4FC3">
        <w:t xml:space="preserve"> </w:t>
      </w:r>
      <w:r w:rsidR="007E595F" w:rsidRPr="00382917">
        <w:t>locked</w:t>
      </w:r>
      <w:r w:rsidR="00EE4FC3">
        <w:t xml:space="preserve"> </w:t>
      </w:r>
      <w:r w:rsidR="007E595F" w:rsidRPr="00382917">
        <w:t>her</w:t>
      </w:r>
      <w:r w:rsidR="00EE4FC3">
        <w:t xml:space="preserve"> </w:t>
      </w:r>
      <w:r w:rsidR="007E595F" w:rsidRPr="00382917">
        <w:t>door,</w:t>
      </w:r>
      <w:r w:rsidR="00EE4FC3">
        <w:t xml:space="preserve"> </w:t>
      </w:r>
      <w:r w:rsidR="007E595F" w:rsidRPr="00382917">
        <w:t>and</w:t>
      </w:r>
      <w:r w:rsidR="00EE4FC3">
        <w:t xml:space="preserve"> </w:t>
      </w:r>
      <w:r w:rsidR="007E595F" w:rsidRPr="00382917">
        <w:t>retired</w:t>
      </w:r>
      <w:r w:rsidR="00EE4FC3">
        <w:t xml:space="preserve"> </w:t>
      </w:r>
      <w:r w:rsidR="007E595F" w:rsidRPr="00382917">
        <w:t>to</w:t>
      </w:r>
      <w:r w:rsidR="00EE4FC3">
        <w:t xml:space="preserve"> </w:t>
      </w:r>
      <w:r w:rsidR="007E595F" w:rsidRPr="00382917">
        <w:t>my</w:t>
      </w:r>
      <w:r w:rsidR="00EE4FC3">
        <w:t xml:space="preserve"> </w:t>
      </w:r>
      <w:r w:rsidR="007E595F" w:rsidRPr="00382917">
        <w:t>room</w:t>
      </w:r>
      <w:r w:rsidR="00EE4FC3">
        <w:t xml:space="preserve"> </w:t>
      </w:r>
      <w:r w:rsidR="007E595F" w:rsidRPr="00382917">
        <w:t>in</w:t>
      </w:r>
      <w:r w:rsidR="00EE4FC3">
        <w:t xml:space="preserve"> </w:t>
      </w:r>
      <w:r w:rsidR="007E595F" w:rsidRPr="00382917">
        <w:t>a</w:t>
      </w:r>
      <w:r w:rsidR="00EE4FC3">
        <w:t xml:space="preserve"> </w:t>
      </w:r>
      <w:r w:rsidR="007E595F" w:rsidRPr="00382917">
        <w:t>state</w:t>
      </w:r>
      <w:r w:rsidR="00EE4FC3">
        <w:t xml:space="preserve"> </w:t>
      </w:r>
      <w:r w:rsidR="007E595F" w:rsidRPr="00382917">
        <w:t>of</w:t>
      </w:r>
      <w:r w:rsidR="00EE4FC3">
        <w:t xml:space="preserve"> </w:t>
      </w:r>
      <w:r w:rsidR="007E595F" w:rsidRPr="00382917">
        <w:t>uncontrollable</w:t>
      </w:r>
      <w:r w:rsidR="00EE4FC3">
        <w:t xml:space="preserve"> </w:t>
      </w:r>
      <w:r w:rsidR="007E595F" w:rsidRPr="00382917">
        <w:t>sorrow</w:t>
      </w:r>
      <w:r w:rsidR="0040329F">
        <w:t>.</w:t>
      </w:r>
      <w:r w:rsidR="00EE4FC3">
        <w:t xml:space="preserve">  </w:t>
      </w:r>
      <w:r w:rsidR="007E595F" w:rsidRPr="00382917">
        <w:t>I</w:t>
      </w:r>
      <w:r w:rsidR="00EE4FC3">
        <w:t xml:space="preserve"> </w:t>
      </w:r>
      <w:r w:rsidR="007E595F" w:rsidRPr="00382917">
        <w:t>lay</w:t>
      </w:r>
      <w:r w:rsidR="00EE4FC3">
        <w:t xml:space="preserve"> </w:t>
      </w:r>
      <w:r w:rsidR="007E595F" w:rsidRPr="00382917">
        <w:t>sleepless</w:t>
      </w:r>
      <w:r w:rsidR="00EE4FC3">
        <w:t xml:space="preserve"> </w:t>
      </w:r>
      <w:r w:rsidR="007E595F" w:rsidRPr="00382917">
        <w:t>and</w:t>
      </w:r>
      <w:r w:rsidR="00EE4FC3">
        <w:t xml:space="preserve"> </w:t>
      </w:r>
      <w:r w:rsidR="007E595F" w:rsidRPr="00382917">
        <w:t>disconsolate</w:t>
      </w:r>
      <w:r w:rsidR="00EE4FC3">
        <w:t xml:space="preserve"> </w:t>
      </w:r>
      <w:r w:rsidR="007E595F" w:rsidRPr="00382917">
        <w:t>upon</w:t>
      </w:r>
      <w:r w:rsidR="00EE4FC3">
        <w:t xml:space="preserve"> </w:t>
      </w:r>
      <w:r w:rsidR="007E595F" w:rsidRPr="00382917">
        <w:t>my</w:t>
      </w:r>
      <w:r w:rsidR="00EE4FC3">
        <w:t xml:space="preserve"> </w:t>
      </w:r>
      <w:r w:rsidR="007E595F" w:rsidRPr="00382917">
        <w:t>bed</w:t>
      </w:r>
      <w:r w:rsidR="0040329F">
        <w:t>.</w:t>
      </w:r>
      <w:r w:rsidR="00EE4FC3">
        <w:t xml:space="preserve">  </w:t>
      </w:r>
      <w:r w:rsidR="007E595F" w:rsidRPr="00382917">
        <w:t>The</w:t>
      </w:r>
      <w:r w:rsidR="00EE4FC3">
        <w:t xml:space="preserve"> </w:t>
      </w:r>
      <w:r w:rsidR="007E595F" w:rsidRPr="00382917">
        <w:t>thought</w:t>
      </w:r>
      <w:r w:rsidR="00EE4FC3">
        <w:t xml:space="preserve"> </w:t>
      </w:r>
      <w:r w:rsidR="007E595F" w:rsidRPr="00382917">
        <w:t>of</w:t>
      </w:r>
      <w:r w:rsidR="00EE4FC3">
        <w:t xml:space="preserve"> </w:t>
      </w:r>
      <w:r w:rsidR="007E595F" w:rsidRPr="00382917">
        <w:t>her</w:t>
      </w:r>
      <w:r w:rsidR="00EE4FC3">
        <w:t xml:space="preserve"> </w:t>
      </w:r>
      <w:r w:rsidR="007E595F" w:rsidRPr="00382917">
        <w:t>approaching</w:t>
      </w:r>
      <w:r w:rsidR="00EE4FC3">
        <w:t xml:space="preserve"> </w:t>
      </w:r>
      <w:r w:rsidR="007E595F" w:rsidRPr="00382917">
        <w:t>martyrdom</w:t>
      </w:r>
      <w:r w:rsidR="00EE4FC3">
        <w:t xml:space="preserve"> </w:t>
      </w:r>
      <w:r w:rsidR="007E595F" w:rsidRPr="00382917">
        <w:t>was</w:t>
      </w:r>
      <w:r w:rsidR="00EE4FC3">
        <w:t xml:space="preserve"> </w:t>
      </w:r>
      <w:r w:rsidR="007E595F" w:rsidRPr="00382917">
        <w:t>more</w:t>
      </w:r>
      <w:r w:rsidR="00EE4FC3">
        <w:t xml:space="preserve"> </w:t>
      </w:r>
      <w:r w:rsidR="007E595F" w:rsidRPr="00382917">
        <w:t>than</w:t>
      </w:r>
      <w:r w:rsidR="00EE4FC3">
        <w:t xml:space="preserve"> </w:t>
      </w:r>
      <w:r w:rsidR="007E595F" w:rsidRPr="00382917">
        <w:t>I</w:t>
      </w:r>
      <w:r w:rsidR="00EE4FC3">
        <w:t xml:space="preserve"> </w:t>
      </w:r>
      <w:r w:rsidR="007E595F" w:rsidRPr="00382917">
        <w:t>could</w:t>
      </w:r>
      <w:r w:rsidR="00EE4FC3">
        <w:t xml:space="preserve"> </w:t>
      </w:r>
      <w:r w:rsidR="007E595F" w:rsidRPr="00382917">
        <w:t>bear</w:t>
      </w:r>
      <w:r w:rsidR="0040329F">
        <w:t>.</w:t>
      </w:r>
      <w:r w:rsidR="00EE4FC3">
        <w:t xml:space="preserve">  </w:t>
      </w:r>
      <w:r w:rsidR="007E595F" w:rsidRPr="00382917">
        <w:t>Unable</w:t>
      </w:r>
      <w:r w:rsidR="00EE4FC3">
        <w:t xml:space="preserve"> </w:t>
      </w:r>
      <w:r w:rsidR="007E595F" w:rsidRPr="00382917">
        <w:t>to</w:t>
      </w:r>
      <w:r w:rsidR="00EE4FC3">
        <w:t xml:space="preserve"> </w:t>
      </w:r>
      <w:r w:rsidR="007E595F" w:rsidRPr="00382917">
        <w:t>contain</w:t>
      </w:r>
      <w:r w:rsidR="00EE4FC3">
        <w:t xml:space="preserve"> </w:t>
      </w:r>
      <w:r w:rsidR="007E595F" w:rsidRPr="00382917">
        <w:t>myself,</w:t>
      </w:r>
      <w:r w:rsidR="00EE4FC3">
        <w:t xml:space="preserve"> </w:t>
      </w:r>
      <w:r w:rsidR="007E595F" w:rsidRPr="00382917">
        <w:t>several</w:t>
      </w:r>
      <w:r w:rsidR="00EE4FC3">
        <w:t xml:space="preserve"> </w:t>
      </w:r>
      <w:r w:rsidR="007E595F" w:rsidRPr="00382917">
        <w:t>times</w:t>
      </w:r>
      <w:r w:rsidR="00EE4FC3">
        <w:t xml:space="preserve"> </w:t>
      </w:r>
      <w:r w:rsidR="007E595F" w:rsidRPr="00382917">
        <w:t>I</w:t>
      </w:r>
      <w:r w:rsidR="00EE4FC3">
        <w:t xml:space="preserve"> </w:t>
      </w:r>
      <w:r w:rsidR="007E595F" w:rsidRPr="00382917">
        <w:t>arose</w:t>
      </w:r>
      <w:r w:rsidR="00EE4FC3">
        <w:t xml:space="preserve"> </w:t>
      </w:r>
      <w:r w:rsidR="007E595F" w:rsidRPr="00382917">
        <w:t>and</w:t>
      </w:r>
      <w:r w:rsidR="00EE4FC3">
        <w:t xml:space="preserve"> </w:t>
      </w:r>
      <w:r w:rsidR="007E595F" w:rsidRPr="00382917">
        <w:t>stole</w:t>
      </w:r>
      <w:r w:rsidR="00EE4FC3">
        <w:t xml:space="preserve"> </w:t>
      </w:r>
      <w:r w:rsidR="007E595F" w:rsidRPr="00382917">
        <w:t>quietly</w:t>
      </w:r>
      <w:r w:rsidR="00EE4FC3">
        <w:t xml:space="preserve"> </w:t>
      </w:r>
      <w:r w:rsidR="007E595F" w:rsidRPr="00382917">
        <w:t>to</w:t>
      </w:r>
      <w:r w:rsidR="00EE4FC3">
        <w:t xml:space="preserve"> </w:t>
      </w:r>
      <w:r w:rsidR="007E595F" w:rsidRPr="00382917">
        <w:t>the</w:t>
      </w:r>
      <w:r w:rsidR="00EE4FC3">
        <w:t xml:space="preserve"> </w:t>
      </w:r>
      <w:r w:rsidR="007E595F" w:rsidRPr="00382917">
        <w:t>threshold</w:t>
      </w:r>
      <w:r w:rsidR="00EE4FC3">
        <w:t xml:space="preserve"> </w:t>
      </w:r>
      <w:r w:rsidR="007E595F" w:rsidRPr="00382917">
        <w:t>of</w:t>
      </w:r>
      <w:r w:rsidR="00EE4FC3">
        <w:t xml:space="preserve"> </w:t>
      </w:r>
      <w:r w:rsidR="007E595F" w:rsidRPr="00382917">
        <w:t>her</w:t>
      </w:r>
      <w:r w:rsidR="00EE4FC3">
        <w:t xml:space="preserve"> </w:t>
      </w:r>
      <w:r w:rsidR="007E595F" w:rsidRPr="00382917">
        <w:t>room</w:t>
      </w:r>
      <w:r w:rsidR="0040329F">
        <w:t>.</w:t>
      </w:r>
      <w:r w:rsidR="00EE4FC3">
        <w:t xml:space="preserve">  </w:t>
      </w:r>
      <w:r w:rsidR="007E595F" w:rsidRPr="00382917">
        <w:t>I</w:t>
      </w:r>
      <w:r w:rsidR="00EE4FC3">
        <w:t xml:space="preserve"> </w:t>
      </w:r>
      <w:r w:rsidR="007E595F" w:rsidRPr="00382917">
        <w:t>was</w:t>
      </w:r>
      <w:r w:rsidR="00EE4FC3">
        <w:t xml:space="preserve"> </w:t>
      </w:r>
      <w:r w:rsidR="007E595F" w:rsidRPr="00382917">
        <w:t>enchanted</w:t>
      </w:r>
      <w:r w:rsidR="00EE4FC3">
        <w:t xml:space="preserve"> </w:t>
      </w:r>
      <w:r w:rsidR="007E595F" w:rsidRPr="00382917">
        <w:t>by</w:t>
      </w:r>
      <w:r w:rsidR="00EE4FC3">
        <w:t xml:space="preserve"> </w:t>
      </w:r>
      <w:r w:rsidR="007E595F" w:rsidRPr="00382917">
        <w:t>the</w:t>
      </w:r>
      <w:r w:rsidR="00EE4FC3">
        <w:t xml:space="preserve"> </w:t>
      </w:r>
      <w:r w:rsidR="007E595F" w:rsidRPr="00382917">
        <w:t>melody</w:t>
      </w:r>
      <w:r w:rsidR="00EE4FC3">
        <w:t xml:space="preserve"> </w:t>
      </w:r>
      <w:r w:rsidR="007E595F" w:rsidRPr="00382917">
        <w:t>of</w:t>
      </w:r>
      <w:r w:rsidR="00EE4FC3">
        <w:t xml:space="preserve"> </w:t>
      </w:r>
      <w:r w:rsidR="007E595F" w:rsidRPr="00382917">
        <w:t>her</w:t>
      </w:r>
      <w:r w:rsidR="00EE4FC3">
        <w:t xml:space="preserve"> </w:t>
      </w:r>
      <w:r w:rsidR="007E595F" w:rsidRPr="00382917">
        <w:t>voice</w:t>
      </w:r>
      <w:r w:rsidR="00EE4FC3">
        <w:t xml:space="preserve"> </w:t>
      </w:r>
      <w:r w:rsidR="007E595F" w:rsidRPr="00382917">
        <w:t>as</w:t>
      </w:r>
      <w:r w:rsidR="00EE4FC3">
        <w:t xml:space="preserve"> </w:t>
      </w:r>
      <w:r w:rsidR="007E595F" w:rsidRPr="00382917">
        <w:t>she</w:t>
      </w:r>
      <w:r w:rsidR="00EE4FC3">
        <w:t xml:space="preserve"> </w:t>
      </w:r>
      <w:r w:rsidR="007E595F" w:rsidRPr="00382917">
        <w:t>intoned</w:t>
      </w:r>
      <w:r w:rsidR="00EE4FC3">
        <w:t xml:space="preserve"> </w:t>
      </w:r>
      <w:r w:rsidR="007E595F" w:rsidRPr="00382917">
        <w:t>the</w:t>
      </w:r>
      <w:r w:rsidR="00EE4FC3">
        <w:t xml:space="preserve"> </w:t>
      </w:r>
      <w:r w:rsidR="007E595F" w:rsidRPr="00382917">
        <w:t>praise</w:t>
      </w:r>
      <w:r w:rsidR="00EE4FC3">
        <w:t xml:space="preserve"> </w:t>
      </w:r>
      <w:r w:rsidR="007E595F" w:rsidRPr="00382917">
        <w:t>of</w:t>
      </w:r>
      <w:r w:rsidR="00EE4FC3">
        <w:t xml:space="preserve"> </w:t>
      </w:r>
      <w:r w:rsidR="007E595F" w:rsidRPr="00382917">
        <w:t>her</w:t>
      </w:r>
      <w:r w:rsidR="00EE4FC3">
        <w:t xml:space="preserve"> </w:t>
      </w:r>
      <w:r w:rsidR="007E595F" w:rsidRPr="00382917">
        <w:t>Beloved.</w:t>
      </w:r>
      <w:r w:rsidRPr="00382917">
        <w:t>”</w:t>
      </w:r>
      <w:r w:rsidR="0081609D">
        <w:rPr>
          <w:rStyle w:val="FootnoteReference"/>
        </w:rPr>
        <w:footnoteReference w:id="158"/>
      </w:r>
    </w:p>
    <w:p w:rsidR="007E595F" w:rsidRPr="00382917" w:rsidRDefault="007E595F" w:rsidP="007E595F">
      <w:pPr>
        <w:pStyle w:val="Text"/>
      </w:pPr>
      <w:r w:rsidRPr="00382917">
        <w:t>Ṭáhirih</w:t>
      </w:r>
      <w:r w:rsidR="00EE4FC3">
        <w:t xml:space="preserve"> </w:t>
      </w:r>
      <w:r w:rsidRPr="00382917">
        <w:t>prayed</w:t>
      </w:r>
      <w:r w:rsidR="00EE4FC3">
        <w:t xml:space="preserve"> </w:t>
      </w:r>
      <w:r w:rsidRPr="00382917">
        <w:t>throughout</w:t>
      </w:r>
      <w:r w:rsidR="00EE4FC3">
        <w:t xml:space="preserve"> </w:t>
      </w:r>
      <w:r w:rsidRPr="00382917">
        <w:t>the</w:t>
      </w:r>
      <w:r w:rsidR="00EE4FC3">
        <w:t xml:space="preserve"> </w:t>
      </w:r>
      <w:r w:rsidRPr="00382917">
        <w:t>night</w:t>
      </w:r>
      <w:r w:rsidR="00EE4FC3">
        <w:t xml:space="preserve"> </w:t>
      </w:r>
      <w:r w:rsidRPr="00382917">
        <w:t>that</w:t>
      </w:r>
      <w:r w:rsidR="00EE4FC3">
        <w:t xml:space="preserve"> </w:t>
      </w:r>
      <w:r w:rsidRPr="00382917">
        <w:t>she</w:t>
      </w:r>
      <w:r w:rsidR="00EE4FC3">
        <w:t xml:space="preserve"> </w:t>
      </w:r>
      <w:r w:rsidRPr="00382917">
        <w:t>might</w:t>
      </w:r>
      <w:r w:rsidR="00EE4FC3">
        <w:t xml:space="preserve"> </w:t>
      </w:r>
      <w:r w:rsidRPr="00382917">
        <w:t>be</w:t>
      </w:r>
      <w:r w:rsidR="00EE4FC3">
        <w:t xml:space="preserve"> </w:t>
      </w:r>
      <w:r w:rsidRPr="00382917">
        <w:t>worthy</w:t>
      </w:r>
      <w:r w:rsidR="00EE4FC3">
        <w:t xml:space="preserve"> </w:t>
      </w:r>
      <w:r w:rsidRPr="00382917">
        <w:t>of</w:t>
      </w:r>
      <w:r w:rsidR="00EE4FC3">
        <w:t xml:space="preserve"> </w:t>
      </w:r>
      <w:r w:rsidRPr="00382917">
        <w:t>meeting</w:t>
      </w:r>
      <w:r w:rsidR="00EE4FC3">
        <w:t xml:space="preserve"> </w:t>
      </w:r>
      <w:r w:rsidRPr="00382917">
        <w:t>Almighty</w:t>
      </w:r>
      <w:r w:rsidR="00EE4FC3">
        <w:t xml:space="preserve"> </w:t>
      </w:r>
      <w:r w:rsidRPr="00382917">
        <w:t>God</w:t>
      </w:r>
      <w:r w:rsidR="00EE4FC3">
        <w:t xml:space="preserve"> </w:t>
      </w:r>
      <w:r w:rsidRPr="00382917">
        <w:t>in</w:t>
      </w:r>
      <w:r w:rsidR="00EE4FC3">
        <w:t xml:space="preserve"> </w:t>
      </w:r>
      <w:proofErr w:type="gramStart"/>
      <w:r w:rsidRPr="00382917">
        <w:t>Whose</w:t>
      </w:r>
      <w:proofErr w:type="gramEnd"/>
      <w:r w:rsidR="00EE4FC3">
        <w:t xml:space="preserve"> </w:t>
      </w:r>
      <w:r w:rsidRPr="00382917">
        <w:t>service</w:t>
      </w:r>
      <w:r w:rsidR="00EE4FC3">
        <w:t xml:space="preserve"> </w:t>
      </w:r>
      <w:r w:rsidRPr="00382917">
        <w:t>she</w:t>
      </w:r>
      <w:r w:rsidR="00EE4FC3">
        <w:t xml:space="preserve"> </w:t>
      </w:r>
      <w:r w:rsidRPr="00382917">
        <w:t>longed</w:t>
      </w:r>
      <w:r w:rsidR="00EE4FC3">
        <w:t xml:space="preserve"> </w:t>
      </w:r>
      <w:r w:rsidRPr="00382917">
        <w:t>to</w:t>
      </w:r>
      <w:r w:rsidR="00EE4FC3">
        <w:t xml:space="preserve"> </w:t>
      </w:r>
      <w:r w:rsidRPr="00382917">
        <w:t>give</w:t>
      </w:r>
      <w:r w:rsidR="00EE4FC3">
        <w:t xml:space="preserve"> </w:t>
      </w:r>
      <w:r w:rsidRPr="00382917">
        <w:t>her</w:t>
      </w:r>
      <w:r w:rsidR="00EE4FC3">
        <w:t xml:space="preserve"> </w:t>
      </w:r>
      <w:r w:rsidRPr="00382917">
        <w:t>life.</w:t>
      </w:r>
    </w:p>
    <w:p w:rsidR="007E595F" w:rsidRPr="00382917" w:rsidRDefault="007E595F" w:rsidP="007E595F">
      <w:pPr>
        <w:pStyle w:val="Text"/>
      </w:pPr>
      <w:r w:rsidRPr="00382917">
        <w:t>The</w:t>
      </w:r>
      <w:r w:rsidR="00EE4FC3">
        <w:t xml:space="preserve"> </w:t>
      </w:r>
      <w:r w:rsidRPr="00382917">
        <w:t>hour</w:t>
      </w:r>
      <w:r w:rsidR="00EE4FC3">
        <w:t xml:space="preserve"> </w:t>
      </w:r>
      <w:r w:rsidRPr="00382917">
        <w:t>of</w:t>
      </w:r>
      <w:r w:rsidR="00EE4FC3">
        <w:t xml:space="preserve"> </w:t>
      </w:r>
      <w:r w:rsidRPr="00382917">
        <w:t>her</w:t>
      </w:r>
      <w:r w:rsidR="00EE4FC3">
        <w:t xml:space="preserve"> </w:t>
      </w:r>
      <w:r w:rsidRPr="00382917">
        <w:t>death</w:t>
      </w:r>
      <w:r w:rsidR="00EE4FC3">
        <w:t xml:space="preserve"> </w:t>
      </w:r>
      <w:r w:rsidRPr="00382917">
        <w:t>is</w:t>
      </w:r>
      <w:r w:rsidR="00EE4FC3">
        <w:t xml:space="preserve"> </w:t>
      </w:r>
      <w:r w:rsidRPr="00382917">
        <w:t>recalled</w:t>
      </w:r>
      <w:r w:rsidR="00EE4FC3">
        <w:t xml:space="preserve"> </w:t>
      </w:r>
      <w:r w:rsidRPr="00382917">
        <w:t>by</w:t>
      </w:r>
      <w:r w:rsidR="00EE4FC3">
        <w:t xml:space="preserve"> </w:t>
      </w:r>
      <w:r w:rsidRPr="00382917">
        <w:t>the</w:t>
      </w:r>
      <w:r w:rsidR="00EE4FC3">
        <w:t xml:space="preserve"> </w:t>
      </w:r>
      <w:r w:rsidRPr="00382917">
        <w:t>mayor</w:t>
      </w:r>
      <w:r w:rsidR="009C713D" w:rsidRPr="00382917">
        <w:t>’</w:t>
      </w:r>
      <w:r w:rsidRPr="00382917">
        <w:t>s</w:t>
      </w:r>
      <w:r w:rsidR="00EE4FC3">
        <w:t xml:space="preserve"> </w:t>
      </w:r>
      <w:r w:rsidRPr="00382917">
        <w:t>wife</w:t>
      </w:r>
      <w:r w:rsidR="00EE4FC3">
        <w:t xml:space="preserve"> </w:t>
      </w:r>
      <w:r w:rsidRPr="00382917">
        <w:t>in</w:t>
      </w:r>
      <w:r w:rsidR="00EE4FC3">
        <w:t xml:space="preserve"> </w:t>
      </w:r>
      <w:r w:rsidRPr="00382917">
        <w:t>the</w:t>
      </w:r>
      <w:r w:rsidR="00EE4FC3">
        <w:t xml:space="preserve"> </w:t>
      </w:r>
      <w:r w:rsidRPr="00382917">
        <w:t>following</w:t>
      </w:r>
      <w:r w:rsidR="00EE4FC3">
        <w:t xml:space="preserve"> </w:t>
      </w:r>
      <w:r w:rsidRPr="00382917">
        <w:t>words</w:t>
      </w:r>
      <w:r w:rsidR="00C03C91">
        <w:t>:</w:t>
      </w:r>
      <w:r w:rsidR="00EE4FC3">
        <w:t xml:space="preserve">  </w:t>
      </w:r>
      <w:r w:rsidR="009C713D" w:rsidRPr="00382917">
        <w:t>“</w:t>
      </w:r>
      <w:r w:rsidRPr="00382917">
        <w:t>Four</w:t>
      </w:r>
      <w:r w:rsidR="00EE4FC3">
        <w:t xml:space="preserve"> </w:t>
      </w:r>
      <w:r w:rsidRPr="00382917">
        <w:t>hours</w:t>
      </w:r>
      <w:r w:rsidR="00EE4FC3">
        <w:t xml:space="preserve"> </w:t>
      </w:r>
      <w:r w:rsidRPr="00382917">
        <w:t>after</w:t>
      </w:r>
      <w:r w:rsidR="00EE4FC3">
        <w:t xml:space="preserve"> </w:t>
      </w:r>
      <w:r w:rsidRPr="00382917">
        <w:t>sunset,</w:t>
      </w:r>
      <w:r w:rsidR="00EE4FC3">
        <w:t xml:space="preserve"> </w:t>
      </w:r>
      <w:r w:rsidRPr="00382917">
        <w:t>I</w:t>
      </w:r>
      <w:r w:rsidR="00EE4FC3">
        <w:t xml:space="preserve"> </w:t>
      </w:r>
      <w:r w:rsidRPr="00382917">
        <w:t>heard</w:t>
      </w:r>
      <w:r w:rsidR="00EE4FC3">
        <w:t xml:space="preserve"> </w:t>
      </w:r>
      <w:r w:rsidRPr="00382917">
        <w:t>a</w:t>
      </w:r>
      <w:r w:rsidR="00EE4FC3">
        <w:t xml:space="preserve"> </w:t>
      </w:r>
      <w:r w:rsidRPr="00382917">
        <w:t>knocking</w:t>
      </w:r>
      <w:r w:rsidR="00EE4FC3">
        <w:t xml:space="preserve"> </w:t>
      </w:r>
      <w:r w:rsidRPr="00382917">
        <w:t>at</w:t>
      </w:r>
      <w:r w:rsidR="00EE4FC3">
        <w:t xml:space="preserve"> </w:t>
      </w:r>
      <w:r w:rsidRPr="00382917">
        <w:t>the</w:t>
      </w:r>
      <w:r w:rsidR="00EE4FC3">
        <w:t xml:space="preserve"> </w:t>
      </w:r>
      <w:r w:rsidRPr="00382917">
        <w:t>door</w:t>
      </w:r>
      <w:r w:rsidR="0040329F">
        <w:t>.</w:t>
      </w:r>
      <w:r w:rsidR="00EE4FC3">
        <w:t xml:space="preserve">  </w:t>
      </w:r>
      <w:r w:rsidRPr="00382917">
        <w:t>I</w:t>
      </w:r>
      <w:r w:rsidR="00EE4FC3">
        <w:t xml:space="preserve"> </w:t>
      </w:r>
      <w:r w:rsidRPr="00382917">
        <w:t>hastened</w:t>
      </w:r>
      <w:r w:rsidR="00EE4FC3">
        <w:t xml:space="preserve"> </w:t>
      </w:r>
      <w:r w:rsidRPr="00382917">
        <w:t>to</w:t>
      </w:r>
      <w:r w:rsidR="00EE4FC3">
        <w:t xml:space="preserve"> </w:t>
      </w:r>
      <w:r w:rsidRPr="00382917">
        <w:t>my</w:t>
      </w:r>
      <w:r w:rsidR="00EE4FC3">
        <w:t xml:space="preserve"> </w:t>
      </w:r>
      <w:r w:rsidRPr="00382917">
        <w:t>son</w:t>
      </w:r>
      <w:r w:rsidR="00EE4FC3">
        <w:t xml:space="preserve"> </w:t>
      </w:r>
      <w:r w:rsidRPr="00382917">
        <w:t>and</w:t>
      </w:r>
      <w:r w:rsidR="00EE4FC3">
        <w:t xml:space="preserve"> </w:t>
      </w:r>
      <w:r w:rsidRPr="00382917">
        <w:t>told</w:t>
      </w:r>
      <w:r w:rsidR="00EE4FC3">
        <w:t xml:space="preserve"> </w:t>
      </w:r>
      <w:r w:rsidRPr="00382917">
        <w:t>him</w:t>
      </w:r>
      <w:r w:rsidR="00EE4FC3">
        <w:t xml:space="preserve"> </w:t>
      </w:r>
      <w:r w:rsidRPr="00382917">
        <w:t>of</w:t>
      </w:r>
      <w:r w:rsidR="00EE4FC3">
        <w:t xml:space="preserve"> </w:t>
      </w:r>
      <w:r w:rsidRPr="00382917">
        <w:t>the</w:t>
      </w:r>
      <w:r w:rsidR="00EE4FC3">
        <w:t xml:space="preserve"> </w:t>
      </w:r>
      <w:r w:rsidRPr="00382917">
        <w:t>last</w:t>
      </w:r>
      <w:r w:rsidR="00EE4FC3">
        <w:t xml:space="preserve"> </w:t>
      </w:r>
      <w:r w:rsidRPr="00382917">
        <w:t>wishes</w:t>
      </w:r>
      <w:r w:rsidR="00EE4FC3">
        <w:t xml:space="preserve"> </w:t>
      </w:r>
      <w:r w:rsidRPr="00382917">
        <w:t>of</w:t>
      </w:r>
      <w:r w:rsidR="00EE4FC3">
        <w:t xml:space="preserve"> </w:t>
      </w:r>
      <w:r w:rsidRPr="00382917">
        <w:t>Ṭáhirih</w:t>
      </w:r>
      <w:r w:rsidR="0040329F">
        <w:t>.</w:t>
      </w:r>
      <w:r w:rsidR="00EE4FC3">
        <w:t xml:space="preserve">  </w:t>
      </w:r>
      <w:r w:rsidRPr="00382917">
        <w:t>He</w:t>
      </w:r>
      <w:r w:rsidR="00EE4FC3">
        <w:t xml:space="preserve"> </w:t>
      </w:r>
      <w:r w:rsidRPr="00382917">
        <w:t>pledged</w:t>
      </w:r>
      <w:r w:rsidR="00EE4FC3">
        <w:t xml:space="preserve"> </w:t>
      </w:r>
      <w:r w:rsidRPr="00382917">
        <w:t>his</w:t>
      </w:r>
      <w:r w:rsidR="00EE4FC3">
        <w:t xml:space="preserve"> </w:t>
      </w:r>
      <w:r w:rsidRPr="00382917">
        <w:t>word</w:t>
      </w:r>
      <w:r w:rsidR="00EE4FC3">
        <w:t xml:space="preserve"> </w:t>
      </w:r>
      <w:r w:rsidRPr="00382917">
        <w:t>that</w:t>
      </w:r>
      <w:r w:rsidR="00EE4FC3">
        <w:t xml:space="preserve"> </w:t>
      </w:r>
      <w:r w:rsidRPr="00382917">
        <w:t>he</w:t>
      </w:r>
      <w:r w:rsidR="00EE4FC3">
        <w:t xml:space="preserve"> </w:t>
      </w:r>
      <w:r w:rsidRPr="00382917">
        <w:t>would</w:t>
      </w:r>
      <w:r w:rsidR="00EE4FC3">
        <w:t xml:space="preserve"> </w:t>
      </w:r>
      <w:proofErr w:type="spellStart"/>
      <w:r w:rsidRPr="00382917">
        <w:t>fulfill</w:t>
      </w:r>
      <w:proofErr w:type="spellEnd"/>
      <w:r w:rsidR="00EE4FC3">
        <w:t xml:space="preserve"> </w:t>
      </w:r>
      <w:r w:rsidRPr="00382917">
        <w:t>every</w:t>
      </w:r>
      <w:r w:rsidR="00EE4FC3">
        <w:t xml:space="preserve"> </w:t>
      </w:r>
      <w:r w:rsidRPr="00382917">
        <w:t>instruction</w:t>
      </w:r>
      <w:r w:rsidR="0040329F">
        <w:t>.</w:t>
      </w:r>
      <w:r w:rsidR="00EE4FC3">
        <w:t xml:space="preserve">  </w:t>
      </w:r>
      <w:r w:rsidRPr="00382917">
        <w:t>My</w:t>
      </w:r>
      <w:r w:rsidR="00EE4FC3">
        <w:t xml:space="preserve"> </w:t>
      </w:r>
      <w:r w:rsidRPr="00382917">
        <w:t>son</w:t>
      </w:r>
      <w:r w:rsidR="00EE4FC3">
        <w:t xml:space="preserve"> </w:t>
      </w:r>
      <w:r w:rsidRPr="00382917">
        <w:t>opened</w:t>
      </w:r>
      <w:r w:rsidR="00EE4FC3">
        <w:t xml:space="preserve"> </w:t>
      </w:r>
      <w:r w:rsidRPr="00382917">
        <w:t>the</w:t>
      </w:r>
      <w:r w:rsidR="00EE4FC3">
        <w:t xml:space="preserve"> </w:t>
      </w:r>
      <w:r w:rsidRPr="00382917">
        <w:t>door</w:t>
      </w:r>
      <w:r w:rsidR="0040329F">
        <w:t>.</w:t>
      </w:r>
      <w:r w:rsidR="00EE4FC3">
        <w:t xml:space="preserve">  </w:t>
      </w:r>
      <w:r w:rsidRPr="00382917">
        <w:t>He</w:t>
      </w:r>
      <w:r w:rsidR="00EE4FC3">
        <w:t xml:space="preserve"> </w:t>
      </w:r>
      <w:r w:rsidRPr="00382917">
        <w:t>told</w:t>
      </w:r>
      <w:r w:rsidR="00EE4FC3">
        <w:t xml:space="preserve"> </w:t>
      </w:r>
      <w:r w:rsidRPr="00382917">
        <w:t>me</w:t>
      </w:r>
      <w:r w:rsidR="00EE4FC3">
        <w:t xml:space="preserve"> </w:t>
      </w:r>
      <w:r w:rsidRPr="00382917">
        <w:t>that</w:t>
      </w:r>
      <w:r w:rsidR="00EE4FC3">
        <w:t xml:space="preserve"> </w:t>
      </w:r>
      <w:r w:rsidRPr="00382917">
        <w:t>the</w:t>
      </w:r>
      <w:r w:rsidR="00EE4FC3">
        <w:t xml:space="preserve"> </w:t>
      </w:r>
      <w:r w:rsidRPr="00382917">
        <w:t>attendants</w:t>
      </w:r>
      <w:r w:rsidR="00EE4FC3">
        <w:t xml:space="preserve"> </w:t>
      </w:r>
      <w:r w:rsidRPr="00382917">
        <w:t>of</w:t>
      </w:r>
      <w:r w:rsidR="00EE4FC3">
        <w:t xml:space="preserve"> </w:t>
      </w:r>
      <w:r w:rsidR="009C713D" w:rsidRPr="00382917">
        <w:t>‘</w:t>
      </w:r>
      <w:r w:rsidRPr="00382917">
        <w:t>Azíz</w:t>
      </w:r>
      <w:r w:rsidR="00EE4FC3">
        <w:t xml:space="preserve"> </w:t>
      </w:r>
      <w:r w:rsidR="0040329F" w:rsidRPr="0040329F">
        <w:rPr>
          <w:u w:val="single"/>
        </w:rPr>
        <w:t>Kh</w:t>
      </w:r>
      <w:r w:rsidR="0040329F" w:rsidRPr="00382917">
        <w:t>án</w:t>
      </w:r>
      <w:r w:rsidRPr="00382917">
        <w:t>-i-Sardár,</w:t>
      </w:r>
      <w:r w:rsidR="00EE4FC3">
        <w:t xml:space="preserve"> </w:t>
      </w:r>
      <w:r w:rsidRPr="00382917">
        <w:t>who</w:t>
      </w:r>
      <w:r w:rsidR="00EE4FC3">
        <w:t xml:space="preserve"> </w:t>
      </w:r>
      <w:r w:rsidRPr="00382917">
        <w:t>was</w:t>
      </w:r>
      <w:r w:rsidR="00EE4FC3">
        <w:t xml:space="preserve"> </w:t>
      </w:r>
      <w:r w:rsidRPr="00382917">
        <w:t>to</w:t>
      </w:r>
      <w:r w:rsidR="00EE4FC3">
        <w:t xml:space="preserve"> </w:t>
      </w:r>
      <w:r w:rsidRPr="00382917">
        <w:t>execute</w:t>
      </w:r>
      <w:r w:rsidR="00EE4FC3">
        <w:t xml:space="preserve"> </w:t>
      </w:r>
      <w:r w:rsidRPr="00382917">
        <w:t>her,</w:t>
      </w:r>
      <w:r w:rsidR="00EE4FC3">
        <w:t xml:space="preserve"> </w:t>
      </w:r>
      <w:r w:rsidRPr="00382917">
        <w:t>were</w:t>
      </w:r>
      <w:r w:rsidR="00EE4FC3">
        <w:t xml:space="preserve"> </w:t>
      </w:r>
      <w:r w:rsidRPr="00382917">
        <w:t>standing</w:t>
      </w:r>
      <w:r w:rsidR="00EE4FC3">
        <w:t xml:space="preserve"> </w:t>
      </w:r>
      <w:r w:rsidRPr="00382917">
        <w:t>at</w:t>
      </w:r>
      <w:r w:rsidR="00EE4FC3">
        <w:t xml:space="preserve"> </w:t>
      </w:r>
      <w:r w:rsidRPr="00382917">
        <w:t>the</w:t>
      </w:r>
      <w:r w:rsidR="00EE4FC3">
        <w:t xml:space="preserve"> </w:t>
      </w:r>
      <w:r w:rsidRPr="00382917">
        <w:t>gate,</w:t>
      </w:r>
      <w:r w:rsidR="00EE4FC3">
        <w:t xml:space="preserve"> </w:t>
      </w:r>
      <w:r w:rsidRPr="00382917">
        <w:t>demanding</w:t>
      </w:r>
      <w:r w:rsidR="00EE4FC3">
        <w:t xml:space="preserve"> </w:t>
      </w:r>
      <w:r w:rsidRPr="00382917">
        <w:t>that</w:t>
      </w:r>
      <w:r w:rsidR="00EE4FC3">
        <w:t xml:space="preserve"> </w:t>
      </w:r>
      <w:r w:rsidRPr="00382917">
        <w:t>Ṭáhirih</w:t>
      </w:r>
      <w:r w:rsidR="00EE4FC3">
        <w:t xml:space="preserve"> </w:t>
      </w:r>
      <w:r w:rsidRPr="00382917">
        <w:t>be</w:t>
      </w:r>
      <w:r w:rsidR="00EE4FC3">
        <w:t xml:space="preserve"> </w:t>
      </w:r>
      <w:r w:rsidRPr="00382917">
        <w:t>delivered</w:t>
      </w:r>
      <w:r w:rsidR="00EE4FC3">
        <w:t xml:space="preserve"> </w:t>
      </w:r>
      <w:r w:rsidRPr="00382917">
        <w:t>into</w:t>
      </w:r>
      <w:r w:rsidR="00EE4FC3">
        <w:t xml:space="preserve"> </w:t>
      </w:r>
      <w:r w:rsidRPr="00382917">
        <w:t>their</w:t>
      </w:r>
      <w:r w:rsidR="00EE4FC3">
        <w:t xml:space="preserve"> </w:t>
      </w:r>
      <w:r w:rsidRPr="00382917">
        <w:t>hands.</w:t>
      </w:r>
    </w:p>
    <w:p w:rsidR="007E595F" w:rsidRPr="00382917" w:rsidRDefault="009C713D" w:rsidP="007E595F">
      <w:pPr>
        <w:pStyle w:val="Text"/>
      </w:pPr>
      <w:r w:rsidRPr="00382917">
        <w:t>“</w:t>
      </w:r>
      <w:r w:rsidR="007E595F" w:rsidRPr="00382917">
        <w:t>I</w:t>
      </w:r>
      <w:r w:rsidR="00EE4FC3">
        <w:t xml:space="preserve"> </w:t>
      </w:r>
      <w:r w:rsidR="007E595F" w:rsidRPr="00382917">
        <w:t>was</w:t>
      </w:r>
      <w:r w:rsidR="00EE4FC3">
        <w:t xml:space="preserve"> </w:t>
      </w:r>
      <w:r w:rsidR="007E595F" w:rsidRPr="00382917">
        <w:t>struck</w:t>
      </w:r>
      <w:r w:rsidR="00EE4FC3">
        <w:t xml:space="preserve"> </w:t>
      </w:r>
      <w:r w:rsidR="007E595F" w:rsidRPr="00382917">
        <w:t>with</w:t>
      </w:r>
      <w:r w:rsidR="00EE4FC3">
        <w:t xml:space="preserve"> </w:t>
      </w:r>
      <w:r w:rsidR="007E595F" w:rsidRPr="00382917">
        <w:t>terror</w:t>
      </w:r>
      <w:r w:rsidR="00EE4FC3">
        <w:t xml:space="preserve"> </w:t>
      </w:r>
      <w:r w:rsidR="007E595F" w:rsidRPr="00382917">
        <w:t>at</w:t>
      </w:r>
      <w:r w:rsidR="00EE4FC3">
        <w:t xml:space="preserve"> </w:t>
      </w:r>
      <w:r w:rsidR="007E595F" w:rsidRPr="00382917">
        <w:t>the</w:t>
      </w:r>
      <w:r w:rsidR="00EE4FC3">
        <w:t xml:space="preserve"> </w:t>
      </w:r>
      <w:r w:rsidR="007E595F" w:rsidRPr="00382917">
        <w:t>news,</w:t>
      </w:r>
      <w:r w:rsidR="00EE4FC3">
        <w:t xml:space="preserve"> </w:t>
      </w:r>
      <w:r w:rsidR="007E595F" w:rsidRPr="00382917">
        <w:t>and</w:t>
      </w:r>
      <w:r w:rsidR="00EE4FC3">
        <w:t xml:space="preserve"> </w:t>
      </w:r>
      <w:r w:rsidR="007E595F" w:rsidRPr="00382917">
        <w:t>as</w:t>
      </w:r>
      <w:r w:rsidR="00EE4FC3">
        <w:t xml:space="preserve"> </w:t>
      </w:r>
      <w:r w:rsidR="007E595F" w:rsidRPr="00382917">
        <w:t>I</w:t>
      </w:r>
      <w:r w:rsidR="00EE4FC3">
        <w:t xml:space="preserve"> </w:t>
      </w:r>
      <w:r w:rsidR="007E595F" w:rsidRPr="00382917">
        <w:t>tottered</w:t>
      </w:r>
      <w:r w:rsidR="00EE4FC3">
        <w:t xml:space="preserve"> </w:t>
      </w:r>
      <w:r w:rsidR="007E595F" w:rsidRPr="00382917">
        <w:t>to</w:t>
      </w:r>
      <w:r w:rsidR="00EE4FC3">
        <w:t xml:space="preserve"> </w:t>
      </w:r>
      <w:r w:rsidR="007E595F" w:rsidRPr="00382917">
        <w:t>her</w:t>
      </w:r>
      <w:r w:rsidR="00EE4FC3">
        <w:t xml:space="preserve"> </w:t>
      </w:r>
      <w:r w:rsidR="007E595F" w:rsidRPr="00382917">
        <w:t>door</w:t>
      </w:r>
      <w:r w:rsidR="00EE4FC3">
        <w:t xml:space="preserve"> </w:t>
      </w:r>
      <w:r w:rsidR="007E595F" w:rsidRPr="00382917">
        <w:t>and</w:t>
      </w:r>
      <w:r w:rsidR="00EE4FC3">
        <w:t xml:space="preserve"> </w:t>
      </w:r>
      <w:r w:rsidR="007E595F" w:rsidRPr="00382917">
        <w:t>with</w:t>
      </w:r>
      <w:r w:rsidR="00EE4FC3">
        <w:t xml:space="preserve"> </w:t>
      </w:r>
      <w:r w:rsidR="007E595F" w:rsidRPr="00382917">
        <w:t>trembling</w:t>
      </w:r>
      <w:r w:rsidR="00EE4FC3">
        <w:t xml:space="preserve"> </w:t>
      </w:r>
      <w:r w:rsidR="007E595F" w:rsidRPr="00382917">
        <w:t>hands,</w:t>
      </w:r>
      <w:r w:rsidR="00EE4FC3">
        <w:t xml:space="preserve"> </w:t>
      </w:r>
      <w:r w:rsidR="007E595F" w:rsidRPr="00382917">
        <w:t>unlocked</w:t>
      </w:r>
      <w:r w:rsidR="00EE4FC3">
        <w:t xml:space="preserve"> </w:t>
      </w:r>
      <w:r w:rsidR="007E595F" w:rsidRPr="00382917">
        <w:t>it,</w:t>
      </w:r>
      <w:r w:rsidR="00EE4FC3">
        <w:t xml:space="preserve"> </w:t>
      </w:r>
      <w:r w:rsidR="007E595F" w:rsidRPr="00382917">
        <w:t>I</w:t>
      </w:r>
      <w:r w:rsidR="00EE4FC3">
        <w:t xml:space="preserve"> </w:t>
      </w:r>
      <w:r w:rsidR="007E595F" w:rsidRPr="00382917">
        <w:t>found</w:t>
      </w:r>
      <w:r w:rsidR="00EE4FC3">
        <w:t xml:space="preserve"> </w:t>
      </w:r>
      <w:r w:rsidR="007E595F" w:rsidRPr="00382917">
        <w:t>her</w:t>
      </w:r>
      <w:r w:rsidR="00EE4FC3">
        <w:t xml:space="preserve"> </w:t>
      </w:r>
      <w:r w:rsidR="007E595F" w:rsidRPr="00382917">
        <w:t>veiled</w:t>
      </w:r>
      <w:r w:rsidR="00EE4FC3">
        <w:t xml:space="preserve"> </w:t>
      </w:r>
      <w:r w:rsidR="007E595F" w:rsidRPr="00382917">
        <w:t>and</w:t>
      </w:r>
      <w:r w:rsidR="00EE4FC3">
        <w:t xml:space="preserve"> </w:t>
      </w:r>
      <w:r w:rsidR="007E595F" w:rsidRPr="00382917">
        <w:t>ready</w:t>
      </w:r>
      <w:r w:rsidR="00EE4FC3">
        <w:t xml:space="preserve"> </w:t>
      </w:r>
      <w:r w:rsidR="007E595F" w:rsidRPr="00382917">
        <w:t>to</w:t>
      </w:r>
      <w:r w:rsidR="00EE4FC3">
        <w:t xml:space="preserve"> </w:t>
      </w:r>
      <w:r w:rsidR="007E595F" w:rsidRPr="00382917">
        <w:t>leave</w:t>
      </w:r>
      <w:r w:rsidR="00EE4FC3">
        <w:t xml:space="preserve"> </w:t>
      </w:r>
      <w:r w:rsidR="007E595F" w:rsidRPr="00382917">
        <w:t>her</w:t>
      </w:r>
      <w:r w:rsidR="00EE4FC3">
        <w:t xml:space="preserve"> </w:t>
      </w:r>
      <w:r w:rsidR="007E595F" w:rsidRPr="00382917">
        <w:t>apartment</w:t>
      </w:r>
      <w:r w:rsidR="0040329F">
        <w:t>.</w:t>
      </w:r>
      <w:r w:rsidR="00EE4FC3">
        <w:t xml:space="preserve">  </w:t>
      </w:r>
      <w:r w:rsidR="007E595F" w:rsidRPr="00382917">
        <w:t>As</w:t>
      </w:r>
      <w:r w:rsidR="00EE4FC3">
        <w:t xml:space="preserve"> </w:t>
      </w:r>
      <w:r w:rsidR="007E595F" w:rsidRPr="00382917">
        <w:t>soon</w:t>
      </w:r>
      <w:r w:rsidR="00EE4FC3">
        <w:t xml:space="preserve"> </w:t>
      </w:r>
      <w:r w:rsidR="007E595F" w:rsidRPr="00382917">
        <w:t>as</w:t>
      </w:r>
      <w:r w:rsidR="00EE4FC3">
        <w:t xml:space="preserve"> </w:t>
      </w:r>
      <w:r w:rsidR="007E595F" w:rsidRPr="00382917">
        <w:t>she</w:t>
      </w:r>
      <w:r w:rsidR="00EE4FC3">
        <w:t xml:space="preserve"> </w:t>
      </w:r>
      <w:r w:rsidR="007E595F" w:rsidRPr="00382917">
        <w:t>saw</w:t>
      </w:r>
      <w:r w:rsidR="00EE4FC3">
        <w:t xml:space="preserve"> </w:t>
      </w:r>
      <w:r w:rsidR="007E595F" w:rsidRPr="00382917">
        <w:t>me,</w:t>
      </w:r>
      <w:r w:rsidR="00EE4FC3">
        <w:t xml:space="preserve"> </w:t>
      </w:r>
      <w:r w:rsidR="007E595F" w:rsidRPr="00382917">
        <w:t>she</w:t>
      </w:r>
      <w:r w:rsidR="00EE4FC3">
        <w:t xml:space="preserve"> </w:t>
      </w:r>
      <w:r w:rsidR="007E595F" w:rsidRPr="00382917">
        <w:t>came</w:t>
      </w:r>
      <w:r w:rsidR="00EE4FC3">
        <w:t xml:space="preserve"> </w:t>
      </w:r>
      <w:r w:rsidR="007E595F" w:rsidRPr="00382917">
        <w:t>and</w:t>
      </w:r>
      <w:r w:rsidR="00EE4FC3">
        <w:t xml:space="preserve"> </w:t>
      </w:r>
      <w:r w:rsidR="007E595F" w:rsidRPr="00382917">
        <w:t>kissed</w:t>
      </w:r>
      <w:r w:rsidR="00EE4FC3">
        <w:t xml:space="preserve"> </w:t>
      </w:r>
      <w:r w:rsidR="007E595F" w:rsidRPr="00382917">
        <w:t>me</w:t>
      </w:r>
      <w:r w:rsidR="0040329F">
        <w:t>.</w:t>
      </w:r>
      <w:r w:rsidR="00EE4FC3">
        <w:t xml:space="preserve">  </w:t>
      </w:r>
      <w:r w:rsidR="007E595F" w:rsidRPr="00382917">
        <w:t>She</w:t>
      </w:r>
      <w:r w:rsidR="00EE4FC3">
        <w:t xml:space="preserve"> </w:t>
      </w:r>
      <w:r w:rsidR="007E595F" w:rsidRPr="00382917">
        <w:t>placed</w:t>
      </w:r>
      <w:r w:rsidR="00EE4FC3">
        <w:t xml:space="preserve"> </w:t>
      </w:r>
      <w:r w:rsidR="007E595F" w:rsidRPr="00382917">
        <w:t>in</w:t>
      </w:r>
      <w:r w:rsidR="00EE4FC3">
        <w:t xml:space="preserve"> </w:t>
      </w:r>
      <w:r w:rsidR="007E595F" w:rsidRPr="00382917">
        <w:t>my</w:t>
      </w:r>
      <w:r w:rsidR="00EE4FC3">
        <w:t xml:space="preserve"> </w:t>
      </w:r>
      <w:r w:rsidR="007E595F" w:rsidRPr="00382917">
        <w:t>hand</w:t>
      </w:r>
      <w:r w:rsidR="00EE4FC3">
        <w:t xml:space="preserve"> </w:t>
      </w:r>
      <w:r w:rsidR="007E595F" w:rsidRPr="00382917">
        <w:t>the</w:t>
      </w:r>
      <w:r w:rsidR="00EE4FC3">
        <w:t xml:space="preserve"> </w:t>
      </w:r>
      <w:r w:rsidR="007E595F" w:rsidRPr="00382917">
        <w:t>key</w:t>
      </w:r>
      <w:r w:rsidR="00EE4FC3">
        <w:t xml:space="preserve"> </w:t>
      </w:r>
      <w:r w:rsidR="007E595F" w:rsidRPr="00382917">
        <w:t>to</w:t>
      </w:r>
      <w:r w:rsidR="00EE4FC3">
        <w:t xml:space="preserve"> </w:t>
      </w:r>
      <w:r w:rsidR="007E595F" w:rsidRPr="00382917">
        <w:t>her</w:t>
      </w:r>
      <w:r w:rsidR="00EE4FC3">
        <w:t xml:space="preserve"> </w:t>
      </w:r>
      <w:r w:rsidR="007E595F" w:rsidRPr="00382917">
        <w:t>chest,</w:t>
      </w:r>
      <w:r w:rsidR="00EE4FC3">
        <w:t xml:space="preserve"> </w:t>
      </w:r>
      <w:r w:rsidR="007E595F" w:rsidRPr="00382917">
        <w:t>in</w:t>
      </w:r>
      <w:r w:rsidR="00EE4FC3">
        <w:t xml:space="preserve"> </w:t>
      </w:r>
      <w:r w:rsidR="007E595F" w:rsidRPr="00382917">
        <w:t>which</w:t>
      </w:r>
    </w:p>
    <w:p w:rsidR="007E595F" w:rsidRPr="00382917" w:rsidRDefault="007E595F">
      <w:pPr>
        <w:widowControl/>
        <w:kinsoku/>
        <w:overflowPunct/>
        <w:textAlignment w:val="auto"/>
      </w:pPr>
      <w:r w:rsidRPr="00382917">
        <w:br w:type="page"/>
      </w:r>
    </w:p>
    <w:p w:rsidR="007E595F" w:rsidRPr="00382917" w:rsidRDefault="007E595F" w:rsidP="007E595F">
      <w:pPr>
        <w:pStyle w:val="Textcts"/>
      </w:pPr>
      <w:proofErr w:type="gramStart"/>
      <w:r w:rsidRPr="00382917">
        <w:t>she</w:t>
      </w:r>
      <w:proofErr w:type="gramEnd"/>
      <w:r w:rsidR="00EE4FC3">
        <w:t xml:space="preserve"> </w:t>
      </w:r>
      <w:r w:rsidRPr="00382917">
        <w:t>had</w:t>
      </w:r>
      <w:r w:rsidR="00EE4FC3">
        <w:t xml:space="preserve"> </w:t>
      </w:r>
      <w:r w:rsidRPr="00382917">
        <w:t>left</w:t>
      </w:r>
      <w:r w:rsidR="00EE4FC3">
        <w:t xml:space="preserve"> </w:t>
      </w:r>
      <w:r w:rsidRPr="00382917">
        <w:t>for</w:t>
      </w:r>
      <w:r w:rsidR="00EE4FC3">
        <w:t xml:space="preserve"> </w:t>
      </w:r>
      <w:r w:rsidRPr="00382917">
        <w:t>me</w:t>
      </w:r>
      <w:r w:rsidR="00EE4FC3">
        <w:t xml:space="preserve"> </w:t>
      </w:r>
      <w:r w:rsidRPr="00382917">
        <w:t>a</w:t>
      </w:r>
      <w:r w:rsidR="00EE4FC3">
        <w:t xml:space="preserve"> </w:t>
      </w:r>
      <w:r w:rsidRPr="00382917">
        <w:t>few</w:t>
      </w:r>
      <w:r w:rsidR="00EE4FC3">
        <w:t xml:space="preserve"> </w:t>
      </w:r>
      <w:r w:rsidRPr="00382917">
        <w:t>trivial</w:t>
      </w:r>
      <w:r w:rsidR="00EE4FC3">
        <w:t xml:space="preserve"> </w:t>
      </w:r>
      <w:r w:rsidRPr="00382917">
        <w:t>things</w:t>
      </w:r>
      <w:r w:rsidR="00EE4FC3">
        <w:t xml:space="preserve"> </w:t>
      </w:r>
      <w:r w:rsidRPr="00382917">
        <w:t>as</w:t>
      </w:r>
      <w:r w:rsidR="00EE4FC3">
        <w:t xml:space="preserve"> </w:t>
      </w:r>
      <w:r w:rsidRPr="00382917">
        <w:t>a</w:t>
      </w:r>
      <w:r w:rsidR="00EE4FC3">
        <w:t xml:space="preserve"> </w:t>
      </w:r>
      <w:r w:rsidRPr="00382917">
        <w:t>remembrance</w:t>
      </w:r>
      <w:r w:rsidR="00EE4FC3">
        <w:t xml:space="preserve"> </w:t>
      </w:r>
      <w:r w:rsidRPr="00382917">
        <w:t>of</w:t>
      </w:r>
      <w:r w:rsidR="00EE4FC3">
        <w:t xml:space="preserve"> </w:t>
      </w:r>
      <w:r w:rsidRPr="00382917">
        <w:t>her</w:t>
      </w:r>
      <w:r w:rsidR="00EE4FC3">
        <w:t xml:space="preserve"> </w:t>
      </w:r>
      <w:r w:rsidRPr="00382917">
        <w:t>stay</w:t>
      </w:r>
      <w:r w:rsidR="00EE4FC3">
        <w:t xml:space="preserve"> </w:t>
      </w:r>
      <w:r w:rsidRPr="00382917">
        <w:t>in</w:t>
      </w:r>
      <w:r w:rsidR="00EE4FC3">
        <w:t xml:space="preserve"> </w:t>
      </w:r>
      <w:r w:rsidRPr="00382917">
        <w:t>my</w:t>
      </w:r>
      <w:r w:rsidR="00EE4FC3">
        <w:t xml:space="preserve"> </w:t>
      </w:r>
      <w:r w:rsidRPr="00382917">
        <w:t>house.</w:t>
      </w:r>
    </w:p>
    <w:p w:rsidR="007E595F" w:rsidRPr="00382917" w:rsidRDefault="009C713D" w:rsidP="007E595F">
      <w:pPr>
        <w:pStyle w:val="Text"/>
      </w:pPr>
      <w:r w:rsidRPr="00382917">
        <w:t>“‘</w:t>
      </w:r>
      <w:r w:rsidR="007E595F" w:rsidRPr="00382917">
        <w:t>Whenever</w:t>
      </w:r>
      <w:r w:rsidR="00EE4FC3">
        <w:t xml:space="preserve"> </w:t>
      </w:r>
      <w:r w:rsidR="007E595F" w:rsidRPr="00382917">
        <w:t>you</w:t>
      </w:r>
      <w:r w:rsidR="00EE4FC3">
        <w:t xml:space="preserve"> </w:t>
      </w:r>
      <w:r w:rsidR="007E595F" w:rsidRPr="00382917">
        <w:t>open</w:t>
      </w:r>
      <w:r w:rsidR="00EE4FC3">
        <w:t xml:space="preserve"> </w:t>
      </w:r>
      <w:r w:rsidR="007E595F" w:rsidRPr="00382917">
        <w:t>this</w:t>
      </w:r>
      <w:r w:rsidR="00EE4FC3">
        <w:t xml:space="preserve"> </w:t>
      </w:r>
      <w:r w:rsidR="007E595F" w:rsidRPr="00382917">
        <w:t>chest,</w:t>
      </w:r>
      <w:r w:rsidRPr="00382917">
        <w:t>’</w:t>
      </w:r>
      <w:r w:rsidR="00EE4FC3">
        <w:t xml:space="preserve"> </w:t>
      </w:r>
      <w:r w:rsidR="007E595F" w:rsidRPr="00382917">
        <w:t>she</w:t>
      </w:r>
      <w:r w:rsidR="00EE4FC3">
        <w:t xml:space="preserve"> </w:t>
      </w:r>
      <w:r w:rsidR="007E595F" w:rsidRPr="00382917">
        <w:t>said,</w:t>
      </w:r>
      <w:r w:rsidR="00EE4FC3">
        <w:t xml:space="preserve"> </w:t>
      </w:r>
      <w:r w:rsidRPr="00382917">
        <w:t>‘</w:t>
      </w:r>
      <w:r w:rsidR="007E595F" w:rsidRPr="00382917">
        <w:t>and</w:t>
      </w:r>
      <w:r w:rsidR="00EE4FC3">
        <w:t xml:space="preserve"> </w:t>
      </w:r>
      <w:r w:rsidR="007E595F" w:rsidRPr="00382917">
        <w:t>behold</w:t>
      </w:r>
      <w:r w:rsidR="00EE4FC3">
        <w:t xml:space="preserve"> </w:t>
      </w:r>
      <w:r w:rsidR="007E595F" w:rsidRPr="00382917">
        <w:t>the</w:t>
      </w:r>
      <w:r w:rsidR="00EE4FC3">
        <w:t xml:space="preserve"> </w:t>
      </w:r>
      <w:r w:rsidR="007E595F" w:rsidRPr="00382917">
        <w:t>things</w:t>
      </w:r>
      <w:r w:rsidR="00EE4FC3">
        <w:t xml:space="preserve"> </w:t>
      </w:r>
      <w:r w:rsidR="007E595F" w:rsidRPr="00382917">
        <w:t>it</w:t>
      </w:r>
      <w:r w:rsidR="00EE4FC3">
        <w:t xml:space="preserve"> </w:t>
      </w:r>
      <w:r w:rsidR="007E595F" w:rsidRPr="00382917">
        <w:t>contains,</w:t>
      </w:r>
      <w:r w:rsidR="00EE4FC3">
        <w:t xml:space="preserve"> </w:t>
      </w:r>
      <w:r w:rsidR="007E595F" w:rsidRPr="00382917">
        <w:t>I</w:t>
      </w:r>
      <w:r w:rsidR="00EE4FC3">
        <w:t xml:space="preserve"> </w:t>
      </w:r>
      <w:r w:rsidR="007E595F" w:rsidRPr="00382917">
        <w:t>hope</w:t>
      </w:r>
      <w:r w:rsidR="00EE4FC3">
        <w:t xml:space="preserve"> </w:t>
      </w:r>
      <w:r w:rsidR="007E595F" w:rsidRPr="00382917">
        <w:t>you</w:t>
      </w:r>
      <w:r w:rsidR="00EE4FC3">
        <w:t xml:space="preserve"> </w:t>
      </w:r>
      <w:r w:rsidR="007E595F" w:rsidRPr="00382917">
        <w:t>will</w:t>
      </w:r>
      <w:r w:rsidR="00EE4FC3">
        <w:t xml:space="preserve"> </w:t>
      </w:r>
      <w:r w:rsidR="007E595F" w:rsidRPr="00382917">
        <w:t>remember</w:t>
      </w:r>
      <w:r w:rsidR="00EE4FC3">
        <w:t xml:space="preserve"> </w:t>
      </w:r>
      <w:r w:rsidR="007E595F" w:rsidRPr="00382917">
        <w:t>me</w:t>
      </w:r>
      <w:r w:rsidR="00EE4FC3">
        <w:t xml:space="preserve"> </w:t>
      </w:r>
      <w:r w:rsidR="007E595F" w:rsidRPr="00382917">
        <w:t>and</w:t>
      </w:r>
      <w:r w:rsidR="00EE4FC3">
        <w:t xml:space="preserve"> </w:t>
      </w:r>
      <w:r w:rsidR="007E595F" w:rsidRPr="00382917">
        <w:t>rejoice</w:t>
      </w:r>
      <w:r w:rsidR="00EE4FC3">
        <w:t xml:space="preserve"> </w:t>
      </w:r>
      <w:r w:rsidR="007E595F" w:rsidRPr="00382917">
        <w:t>in</w:t>
      </w:r>
      <w:r w:rsidR="00EE4FC3">
        <w:t xml:space="preserve"> </w:t>
      </w:r>
      <w:r w:rsidR="007E595F" w:rsidRPr="00382917">
        <w:t>my</w:t>
      </w:r>
      <w:r w:rsidR="00EE4FC3">
        <w:t xml:space="preserve"> </w:t>
      </w:r>
      <w:r w:rsidR="007E595F" w:rsidRPr="00382917">
        <w:t>gladness.</w:t>
      </w:r>
      <w:r w:rsidRPr="00382917">
        <w:t>’</w:t>
      </w:r>
    </w:p>
    <w:p w:rsidR="007E595F" w:rsidRPr="00382917" w:rsidRDefault="009C713D" w:rsidP="007E595F">
      <w:pPr>
        <w:pStyle w:val="Text"/>
      </w:pPr>
      <w:r w:rsidRPr="00382917">
        <w:t>“</w:t>
      </w:r>
      <w:r w:rsidR="007E595F" w:rsidRPr="00382917">
        <w:t>With</w:t>
      </w:r>
      <w:r w:rsidR="00EE4FC3">
        <w:t xml:space="preserve"> </w:t>
      </w:r>
      <w:r w:rsidR="007E595F" w:rsidRPr="00382917">
        <w:t>these</w:t>
      </w:r>
      <w:r w:rsidR="00EE4FC3">
        <w:t xml:space="preserve"> </w:t>
      </w:r>
      <w:r w:rsidR="007E595F" w:rsidRPr="00382917">
        <w:t>words</w:t>
      </w:r>
      <w:r w:rsidR="00EE4FC3">
        <w:t xml:space="preserve"> </w:t>
      </w:r>
      <w:r w:rsidR="007E595F" w:rsidRPr="00382917">
        <w:t>she</w:t>
      </w:r>
      <w:r w:rsidR="00EE4FC3">
        <w:t xml:space="preserve"> </w:t>
      </w:r>
      <w:r w:rsidR="007E595F" w:rsidRPr="00382917">
        <w:t>bade</w:t>
      </w:r>
      <w:r w:rsidR="00EE4FC3">
        <w:t xml:space="preserve"> </w:t>
      </w:r>
      <w:r w:rsidR="007E595F" w:rsidRPr="00382917">
        <w:t>me</w:t>
      </w:r>
      <w:r w:rsidR="00EE4FC3">
        <w:t xml:space="preserve"> </w:t>
      </w:r>
      <w:r w:rsidR="007E595F" w:rsidRPr="00382917">
        <w:t>her</w:t>
      </w:r>
      <w:r w:rsidR="00EE4FC3">
        <w:t xml:space="preserve"> </w:t>
      </w:r>
      <w:r w:rsidR="007E595F" w:rsidRPr="00382917">
        <w:t>last</w:t>
      </w:r>
      <w:r w:rsidR="00EE4FC3">
        <w:t xml:space="preserve"> </w:t>
      </w:r>
      <w:r w:rsidR="007E595F" w:rsidRPr="00382917">
        <w:t>farewell</w:t>
      </w:r>
      <w:r w:rsidR="0040329F">
        <w:t>.</w:t>
      </w:r>
      <w:r w:rsidR="00EE4FC3">
        <w:t xml:space="preserve">  </w:t>
      </w:r>
      <w:r w:rsidR="007E595F" w:rsidRPr="00382917">
        <w:t>What</w:t>
      </w:r>
      <w:r w:rsidR="00EE4FC3">
        <w:t xml:space="preserve"> </w:t>
      </w:r>
      <w:r w:rsidR="007E595F" w:rsidRPr="00382917">
        <w:t>pangs</w:t>
      </w:r>
      <w:r w:rsidR="00EE4FC3">
        <w:t xml:space="preserve"> </w:t>
      </w:r>
      <w:r w:rsidR="007E595F" w:rsidRPr="00382917">
        <w:t>of</w:t>
      </w:r>
      <w:r w:rsidR="00EE4FC3">
        <w:t xml:space="preserve"> </w:t>
      </w:r>
      <w:r w:rsidR="007E595F" w:rsidRPr="00382917">
        <w:t>anguish</w:t>
      </w:r>
      <w:r w:rsidR="00EE4FC3">
        <w:t xml:space="preserve"> </w:t>
      </w:r>
      <w:r w:rsidR="007E595F" w:rsidRPr="00382917">
        <w:t>I</w:t>
      </w:r>
      <w:r w:rsidR="00EE4FC3">
        <w:t xml:space="preserve"> </w:t>
      </w:r>
      <w:r w:rsidR="007E595F" w:rsidRPr="00382917">
        <w:t>felt</w:t>
      </w:r>
      <w:r w:rsidR="00EE4FC3">
        <w:t xml:space="preserve"> </w:t>
      </w:r>
      <w:r w:rsidR="007E595F" w:rsidRPr="00382917">
        <w:t>that</w:t>
      </w:r>
      <w:r w:rsidR="00EE4FC3">
        <w:t xml:space="preserve"> </w:t>
      </w:r>
      <w:r w:rsidR="007E595F" w:rsidRPr="00382917">
        <w:t>moment</w:t>
      </w:r>
      <w:r w:rsidR="00EE4FC3">
        <w:t xml:space="preserve"> </w:t>
      </w:r>
      <w:r w:rsidR="007E595F" w:rsidRPr="00382917">
        <w:t>as</w:t>
      </w:r>
      <w:r w:rsidR="00EE4FC3">
        <w:t xml:space="preserve"> </w:t>
      </w:r>
      <w:r w:rsidR="007E595F" w:rsidRPr="00382917">
        <w:t>I</w:t>
      </w:r>
      <w:r w:rsidR="00EE4FC3">
        <w:t xml:space="preserve"> </w:t>
      </w:r>
      <w:r w:rsidR="007E595F" w:rsidRPr="00382917">
        <w:t>beheld</w:t>
      </w:r>
      <w:r w:rsidR="00EE4FC3">
        <w:t xml:space="preserve"> </w:t>
      </w:r>
      <w:r w:rsidR="007E595F" w:rsidRPr="00382917">
        <w:t>her</w:t>
      </w:r>
      <w:r w:rsidR="00EE4FC3">
        <w:t xml:space="preserve"> </w:t>
      </w:r>
      <w:r w:rsidR="007E595F" w:rsidRPr="00382917">
        <w:t>beauteous</w:t>
      </w:r>
      <w:r w:rsidR="00EE4FC3">
        <w:t xml:space="preserve"> </w:t>
      </w:r>
      <w:r w:rsidR="007E595F" w:rsidRPr="00382917">
        <w:t>form</w:t>
      </w:r>
      <w:r w:rsidR="00EE4FC3">
        <w:t xml:space="preserve"> </w:t>
      </w:r>
      <w:r w:rsidR="007E595F" w:rsidRPr="00382917">
        <w:t>fade</w:t>
      </w:r>
      <w:r w:rsidR="00EE4FC3">
        <w:t xml:space="preserve"> </w:t>
      </w:r>
      <w:r w:rsidR="007E595F" w:rsidRPr="00382917">
        <w:t>away</w:t>
      </w:r>
      <w:r w:rsidR="00EE4FC3">
        <w:t xml:space="preserve"> </w:t>
      </w:r>
      <w:r w:rsidR="007E595F" w:rsidRPr="00382917">
        <w:t>in</w:t>
      </w:r>
      <w:r w:rsidR="00EE4FC3">
        <w:t xml:space="preserve"> </w:t>
      </w:r>
      <w:r w:rsidR="007E595F" w:rsidRPr="00382917">
        <w:t>the</w:t>
      </w:r>
      <w:r w:rsidR="00EE4FC3">
        <w:t xml:space="preserve"> </w:t>
      </w:r>
      <w:r w:rsidR="007E595F" w:rsidRPr="00382917">
        <w:t>distance</w:t>
      </w:r>
      <w:r w:rsidR="0040329F">
        <w:t>.</w:t>
      </w:r>
      <w:r w:rsidR="00EE4FC3">
        <w:t xml:space="preserve">  </w:t>
      </w:r>
      <w:r w:rsidR="007E595F" w:rsidRPr="00382917">
        <w:t>She</w:t>
      </w:r>
      <w:r w:rsidR="00EE4FC3">
        <w:t xml:space="preserve"> </w:t>
      </w:r>
      <w:r w:rsidR="007E595F" w:rsidRPr="00382917">
        <w:t>mounted</w:t>
      </w:r>
      <w:r w:rsidR="00EE4FC3">
        <w:t xml:space="preserve"> </w:t>
      </w:r>
      <w:r w:rsidR="007E595F" w:rsidRPr="00382917">
        <w:t>the</w:t>
      </w:r>
      <w:r w:rsidR="00EE4FC3">
        <w:t xml:space="preserve"> </w:t>
      </w:r>
      <w:r w:rsidR="007E595F" w:rsidRPr="00382917">
        <w:t>steed</w:t>
      </w:r>
      <w:r w:rsidR="00EE4FC3">
        <w:t xml:space="preserve"> </w:t>
      </w:r>
      <w:r w:rsidR="007E595F" w:rsidRPr="00382917">
        <w:t>which</w:t>
      </w:r>
      <w:r w:rsidR="00EE4FC3">
        <w:t xml:space="preserve"> </w:t>
      </w:r>
      <w:r w:rsidRPr="00382917">
        <w:t>‘</w:t>
      </w:r>
      <w:r w:rsidR="00582826" w:rsidRPr="00382917">
        <w:t>Azíz</w:t>
      </w:r>
      <w:r w:rsidR="00EE4FC3">
        <w:t xml:space="preserve"> </w:t>
      </w:r>
      <w:r w:rsidR="0040329F" w:rsidRPr="0040329F">
        <w:rPr>
          <w:u w:val="single"/>
        </w:rPr>
        <w:t>Kh</w:t>
      </w:r>
      <w:r w:rsidR="0040329F" w:rsidRPr="00382917">
        <w:t>án</w:t>
      </w:r>
      <w:r w:rsidR="007E595F" w:rsidRPr="00382917">
        <w:t>-i-Sardár</w:t>
      </w:r>
      <w:r w:rsidR="00EE4FC3">
        <w:t xml:space="preserve"> </w:t>
      </w:r>
      <w:r w:rsidR="007E595F" w:rsidRPr="00382917">
        <w:t>had</w:t>
      </w:r>
      <w:r w:rsidR="00EE4FC3">
        <w:t xml:space="preserve"> </w:t>
      </w:r>
      <w:r w:rsidR="007E595F" w:rsidRPr="00382917">
        <w:t>sent</w:t>
      </w:r>
      <w:r w:rsidR="00EE4FC3">
        <w:t xml:space="preserve"> </w:t>
      </w:r>
      <w:r w:rsidR="007E595F" w:rsidRPr="00382917">
        <w:t>for</w:t>
      </w:r>
      <w:r w:rsidR="00EE4FC3">
        <w:t xml:space="preserve"> </w:t>
      </w:r>
      <w:r w:rsidR="007E595F" w:rsidRPr="00382917">
        <w:t>her,</w:t>
      </w:r>
      <w:r w:rsidR="00EE4FC3">
        <w:t xml:space="preserve"> </w:t>
      </w:r>
      <w:r w:rsidR="007E595F" w:rsidRPr="00382917">
        <w:t>and</w:t>
      </w:r>
      <w:r w:rsidR="00EE4FC3">
        <w:t xml:space="preserve"> </w:t>
      </w:r>
      <w:r w:rsidR="007E595F" w:rsidRPr="00382917">
        <w:t>with</w:t>
      </w:r>
      <w:r w:rsidR="00EE4FC3">
        <w:t xml:space="preserve"> </w:t>
      </w:r>
      <w:r w:rsidR="007E595F" w:rsidRPr="00382917">
        <w:t>my</w:t>
      </w:r>
      <w:r w:rsidR="00EE4FC3">
        <w:t xml:space="preserve"> </w:t>
      </w:r>
      <w:r w:rsidR="007E595F" w:rsidRPr="00382917">
        <w:t>son</w:t>
      </w:r>
      <w:r w:rsidR="00EE4FC3">
        <w:t xml:space="preserve"> </w:t>
      </w:r>
      <w:r w:rsidR="007E595F" w:rsidRPr="00382917">
        <w:t>and</w:t>
      </w:r>
      <w:r w:rsidR="00EE4FC3">
        <w:t xml:space="preserve"> </w:t>
      </w:r>
      <w:r w:rsidR="007E595F" w:rsidRPr="00382917">
        <w:t>a</w:t>
      </w:r>
      <w:r w:rsidR="00EE4FC3">
        <w:t xml:space="preserve"> </w:t>
      </w:r>
      <w:r w:rsidR="007E595F" w:rsidRPr="00382917">
        <w:t>number</w:t>
      </w:r>
      <w:r w:rsidR="00EE4FC3">
        <w:t xml:space="preserve"> </w:t>
      </w:r>
      <w:r w:rsidR="007E595F" w:rsidRPr="00382917">
        <w:t>of</w:t>
      </w:r>
      <w:r w:rsidR="00EE4FC3">
        <w:t xml:space="preserve"> </w:t>
      </w:r>
      <w:r w:rsidR="007E595F" w:rsidRPr="00382917">
        <w:t>attendants</w:t>
      </w:r>
      <w:r w:rsidR="00EE4FC3">
        <w:t xml:space="preserve"> </w:t>
      </w:r>
      <w:r w:rsidR="007E595F" w:rsidRPr="00382917">
        <w:t>on</w:t>
      </w:r>
      <w:r w:rsidR="00EE4FC3">
        <w:t xml:space="preserve"> </w:t>
      </w:r>
      <w:r w:rsidR="007E595F" w:rsidRPr="00382917">
        <w:t>each</w:t>
      </w:r>
      <w:r w:rsidR="00EE4FC3">
        <w:t xml:space="preserve"> </w:t>
      </w:r>
      <w:r w:rsidR="007E595F" w:rsidRPr="00382917">
        <w:t>side,</w:t>
      </w:r>
      <w:r w:rsidR="00EE4FC3">
        <w:t xml:space="preserve"> </w:t>
      </w:r>
      <w:r w:rsidR="007E595F" w:rsidRPr="00382917">
        <w:t>rode</w:t>
      </w:r>
      <w:r w:rsidR="00EE4FC3">
        <w:t xml:space="preserve"> </w:t>
      </w:r>
      <w:r w:rsidR="007E595F" w:rsidRPr="00382917">
        <w:t>away.</w:t>
      </w:r>
      <w:r w:rsidRPr="00382917">
        <w:t>”</w:t>
      </w:r>
    </w:p>
    <w:p w:rsidR="007E595F" w:rsidRPr="00382917" w:rsidRDefault="007E595F" w:rsidP="007E595F">
      <w:pPr>
        <w:pStyle w:val="Text"/>
      </w:pPr>
      <w:r w:rsidRPr="00382917">
        <w:t>They</w:t>
      </w:r>
      <w:r w:rsidR="00EE4FC3">
        <w:t xml:space="preserve"> </w:t>
      </w:r>
      <w:r w:rsidRPr="00382917">
        <w:t>led</w:t>
      </w:r>
      <w:r w:rsidR="00EE4FC3">
        <w:t xml:space="preserve"> </w:t>
      </w:r>
      <w:r w:rsidRPr="00382917">
        <w:t>Ṭáhirih</w:t>
      </w:r>
      <w:r w:rsidR="00EE4FC3">
        <w:t xml:space="preserve"> </w:t>
      </w:r>
      <w:r w:rsidRPr="00382917">
        <w:t>to</w:t>
      </w:r>
      <w:r w:rsidR="00EE4FC3">
        <w:t xml:space="preserve"> </w:t>
      </w:r>
      <w:r w:rsidRPr="00382917">
        <w:t>a</w:t>
      </w:r>
      <w:r w:rsidR="00EE4FC3">
        <w:t xml:space="preserve"> </w:t>
      </w:r>
      <w:r w:rsidRPr="00382917">
        <w:t>garden</w:t>
      </w:r>
      <w:r w:rsidR="00EE4FC3">
        <w:t xml:space="preserve"> </w:t>
      </w:r>
      <w:r w:rsidRPr="00382917">
        <w:t>outside</w:t>
      </w:r>
      <w:r w:rsidR="00EE4FC3">
        <w:t xml:space="preserve"> </w:t>
      </w:r>
      <w:r w:rsidRPr="00382917">
        <w:t>of</w:t>
      </w:r>
      <w:r w:rsidR="00EE4FC3">
        <w:t xml:space="preserve"> </w:t>
      </w:r>
      <w:r w:rsidRPr="00382917">
        <w:t>the</w:t>
      </w:r>
      <w:r w:rsidR="00EE4FC3">
        <w:t xml:space="preserve"> </w:t>
      </w:r>
      <w:r w:rsidRPr="00382917">
        <w:t>gates</w:t>
      </w:r>
      <w:r w:rsidR="00EE4FC3">
        <w:t xml:space="preserve"> </w:t>
      </w:r>
      <w:r w:rsidRPr="00382917">
        <w:t>of</w:t>
      </w:r>
      <w:r w:rsidR="00EE4FC3">
        <w:t xml:space="preserve"> </w:t>
      </w:r>
      <w:r w:rsidRPr="00382917">
        <w:t>Ṭihrán</w:t>
      </w:r>
      <w:r w:rsidR="0040329F">
        <w:t>.</w:t>
      </w:r>
      <w:r w:rsidR="00EE4FC3">
        <w:t xml:space="preserve">  </w:t>
      </w:r>
      <w:r w:rsidR="009C713D" w:rsidRPr="00382917">
        <w:t>‘</w:t>
      </w:r>
      <w:r w:rsidRPr="00382917">
        <w:t>Azíz</w:t>
      </w:r>
      <w:r w:rsidR="00EE4FC3">
        <w:t xml:space="preserve"> </w:t>
      </w:r>
      <w:r w:rsidR="0040329F" w:rsidRPr="0040329F">
        <w:rPr>
          <w:u w:val="single"/>
        </w:rPr>
        <w:t>Kh</w:t>
      </w:r>
      <w:r w:rsidR="0040329F" w:rsidRPr="00382917">
        <w:t>án</w:t>
      </w:r>
      <w:r w:rsidRPr="00382917">
        <w:t>-i-Sardár</w:t>
      </w:r>
      <w:r w:rsidR="00EE4FC3">
        <w:t xml:space="preserve"> </w:t>
      </w:r>
      <w:r w:rsidRPr="00382917">
        <w:t>and</w:t>
      </w:r>
      <w:r w:rsidR="00EE4FC3">
        <w:t xml:space="preserve"> </w:t>
      </w:r>
      <w:r w:rsidRPr="00382917">
        <w:t>his</w:t>
      </w:r>
      <w:r w:rsidR="00EE4FC3">
        <w:t xml:space="preserve"> </w:t>
      </w:r>
      <w:r w:rsidRPr="00382917">
        <w:t>lieutenants</w:t>
      </w:r>
      <w:r w:rsidR="00EE4FC3">
        <w:t xml:space="preserve"> </w:t>
      </w:r>
      <w:r w:rsidRPr="00382917">
        <w:t>were</w:t>
      </w:r>
      <w:r w:rsidR="00EE4FC3">
        <w:t xml:space="preserve"> </w:t>
      </w:r>
      <w:r w:rsidRPr="00382917">
        <w:t>in</w:t>
      </w:r>
      <w:r w:rsidR="00EE4FC3">
        <w:t xml:space="preserve"> </w:t>
      </w:r>
      <w:r w:rsidRPr="00382917">
        <w:t>the</w:t>
      </w:r>
      <w:r w:rsidR="00EE4FC3">
        <w:t xml:space="preserve"> </w:t>
      </w:r>
      <w:r w:rsidRPr="00382917">
        <w:t>midst</w:t>
      </w:r>
      <w:r w:rsidR="00EE4FC3">
        <w:t xml:space="preserve"> </w:t>
      </w:r>
      <w:r w:rsidRPr="00382917">
        <w:t>of</w:t>
      </w:r>
      <w:r w:rsidR="00EE4FC3">
        <w:t xml:space="preserve"> </w:t>
      </w:r>
      <w:r w:rsidRPr="00382917">
        <w:t>a</w:t>
      </w:r>
      <w:r w:rsidR="00EE4FC3">
        <w:t xml:space="preserve"> </w:t>
      </w:r>
      <w:r w:rsidRPr="00382917">
        <w:t>drunken</w:t>
      </w:r>
      <w:r w:rsidR="00EE4FC3">
        <w:t xml:space="preserve"> </w:t>
      </w:r>
      <w:r w:rsidRPr="00382917">
        <w:t>brawl</w:t>
      </w:r>
      <w:r w:rsidR="00EE4FC3">
        <w:t xml:space="preserve"> </w:t>
      </w:r>
      <w:r w:rsidRPr="00382917">
        <w:t>when</w:t>
      </w:r>
      <w:r w:rsidR="00EE4FC3">
        <w:t xml:space="preserve"> </w:t>
      </w:r>
      <w:r w:rsidRPr="00382917">
        <w:t>they</w:t>
      </w:r>
      <w:r w:rsidR="00EE4FC3">
        <w:t xml:space="preserve"> </w:t>
      </w:r>
      <w:r w:rsidRPr="00382917">
        <w:t>arrived</w:t>
      </w:r>
      <w:r w:rsidR="0040329F">
        <w:t>.</w:t>
      </w:r>
      <w:r w:rsidR="00EE4FC3">
        <w:t xml:space="preserve">  </w:t>
      </w:r>
      <w:r w:rsidRPr="00382917">
        <w:t>Flushed</w:t>
      </w:r>
      <w:r w:rsidR="00EE4FC3">
        <w:t xml:space="preserve"> </w:t>
      </w:r>
      <w:r w:rsidRPr="00382917">
        <w:t>with</w:t>
      </w:r>
      <w:r w:rsidR="00EE4FC3">
        <w:t xml:space="preserve"> </w:t>
      </w:r>
      <w:r w:rsidRPr="00382917">
        <w:t>wine</w:t>
      </w:r>
      <w:r w:rsidR="00EE4FC3">
        <w:t xml:space="preserve"> </w:t>
      </w:r>
      <w:r w:rsidRPr="00382917">
        <w:t>and</w:t>
      </w:r>
      <w:r w:rsidR="00EE4FC3">
        <w:t xml:space="preserve"> </w:t>
      </w:r>
      <w:r w:rsidRPr="00382917">
        <w:t>roaring</w:t>
      </w:r>
      <w:r w:rsidR="00EE4FC3">
        <w:t xml:space="preserve"> </w:t>
      </w:r>
      <w:r w:rsidRPr="00382917">
        <w:t>with</w:t>
      </w:r>
      <w:r w:rsidR="00EE4FC3">
        <w:t xml:space="preserve"> </w:t>
      </w:r>
      <w:r w:rsidRPr="00382917">
        <w:t>laughter,</w:t>
      </w:r>
      <w:r w:rsidR="00EE4FC3">
        <w:t xml:space="preserve"> </w:t>
      </w:r>
      <w:r w:rsidRPr="00382917">
        <w:t>they</w:t>
      </w:r>
      <w:r w:rsidR="00EE4FC3">
        <w:t xml:space="preserve"> </w:t>
      </w:r>
      <w:r w:rsidRPr="00382917">
        <w:t>were</w:t>
      </w:r>
      <w:r w:rsidR="00EE4FC3">
        <w:t xml:space="preserve"> </w:t>
      </w:r>
      <w:r w:rsidRPr="00382917">
        <w:t>unaware</w:t>
      </w:r>
      <w:r w:rsidR="00EE4FC3">
        <w:t xml:space="preserve"> </w:t>
      </w:r>
      <w:r w:rsidRPr="00382917">
        <w:t>of</w:t>
      </w:r>
      <w:r w:rsidR="00EE4FC3">
        <w:t xml:space="preserve"> </w:t>
      </w:r>
      <w:r w:rsidRPr="00382917">
        <w:t>Ṭáhirih</w:t>
      </w:r>
      <w:r w:rsidR="009C713D" w:rsidRPr="00382917">
        <w:t>’</w:t>
      </w:r>
      <w:r w:rsidRPr="00382917">
        <w:t>s</w:t>
      </w:r>
      <w:r w:rsidR="00EE4FC3">
        <w:t xml:space="preserve"> </w:t>
      </w:r>
      <w:r w:rsidRPr="00382917">
        <w:t>approach.</w:t>
      </w:r>
    </w:p>
    <w:p w:rsidR="007E595F" w:rsidRPr="00382917" w:rsidRDefault="007E595F" w:rsidP="007E595F">
      <w:pPr>
        <w:pStyle w:val="Text"/>
      </w:pPr>
      <w:r w:rsidRPr="00382917">
        <w:t>Ṭáhirih</w:t>
      </w:r>
      <w:r w:rsidR="00EE4FC3">
        <w:t xml:space="preserve"> </w:t>
      </w:r>
      <w:r w:rsidRPr="00382917">
        <w:t>dismounted</w:t>
      </w:r>
      <w:r w:rsidR="00EE4FC3">
        <w:t xml:space="preserve"> </w:t>
      </w:r>
      <w:r w:rsidRPr="00382917">
        <w:t>and</w:t>
      </w:r>
      <w:r w:rsidR="00EE4FC3">
        <w:t xml:space="preserve"> </w:t>
      </w:r>
      <w:r w:rsidRPr="00382917">
        <w:t>turned</w:t>
      </w:r>
      <w:r w:rsidR="00EE4FC3">
        <w:t xml:space="preserve"> </w:t>
      </w:r>
      <w:r w:rsidRPr="00382917">
        <w:t>to</w:t>
      </w:r>
      <w:r w:rsidR="00EE4FC3">
        <w:t xml:space="preserve"> </w:t>
      </w:r>
      <w:r w:rsidRPr="00382917">
        <w:t>the</w:t>
      </w:r>
      <w:r w:rsidR="00EE4FC3">
        <w:t xml:space="preserve"> </w:t>
      </w:r>
      <w:r w:rsidRPr="00382917">
        <w:t>mayor</w:t>
      </w:r>
      <w:r w:rsidR="009C713D" w:rsidRPr="00382917">
        <w:t>’</w:t>
      </w:r>
      <w:r w:rsidRPr="00382917">
        <w:t>s</w:t>
      </w:r>
      <w:r w:rsidR="00EE4FC3">
        <w:t xml:space="preserve"> </w:t>
      </w:r>
      <w:r w:rsidRPr="00382917">
        <w:t>son</w:t>
      </w:r>
      <w:r w:rsidR="00EE4FC3">
        <w:t xml:space="preserve"> </w:t>
      </w:r>
      <w:r w:rsidRPr="00382917">
        <w:t>who</w:t>
      </w:r>
      <w:r w:rsidR="00EE4FC3">
        <w:t xml:space="preserve"> </w:t>
      </w:r>
      <w:r w:rsidRPr="00382917">
        <w:t>had</w:t>
      </w:r>
      <w:r w:rsidR="00EE4FC3">
        <w:t xml:space="preserve"> </w:t>
      </w:r>
      <w:r w:rsidRPr="00382917">
        <w:t>accompanied</w:t>
      </w:r>
      <w:r w:rsidR="00EE4FC3">
        <w:t xml:space="preserve"> </w:t>
      </w:r>
      <w:r w:rsidRPr="00382917">
        <w:t>her</w:t>
      </w:r>
      <w:r w:rsidR="00EE4FC3">
        <w:t xml:space="preserve"> </w:t>
      </w:r>
      <w:r w:rsidRPr="00382917">
        <w:t>as</w:t>
      </w:r>
      <w:r w:rsidR="00EE4FC3">
        <w:t xml:space="preserve"> </w:t>
      </w:r>
      <w:r w:rsidRPr="00382917">
        <w:t>a</w:t>
      </w:r>
      <w:r w:rsidR="00EE4FC3">
        <w:t xml:space="preserve"> </w:t>
      </w:r>
      <w:r w:rsidRPr="00382917">
        <w:t>friend</w:t>
      </w:r>
      <w:r w:rsidR="0040329F">
        <w:t>.</w:t>
      </w:r>
      <w:r w:rsidR="00EE4FC3">
        <w:t xml:space="preserve">  </w:t>
      </w:r>
      <w:r w:rsidRPr="00382917">
        <w:t>She</w:t>
      </w:r>
      <w:r w:rsidR="00EE4FC3">
        <w:t xml:space="preserve"> </w:t>
      </w:r>
      <w:r w:rsidRPr="00382917">
        <w:t>asked</w:t>
      </w:r>
      <w:r w:rsidR="00EE4FC3">
        <w:t xml:space="preserve"> </w:t>
      </w:r>
      <w:r w:rsidRPr="00382917">
        <w:t>him</w:t>
      </w:r>
      <w:r w:rsidR="00EE4FC3">
        <w:t xml:space="preserve"> </w:t>
      </w:r>
      <w:r w:rsidRPr="00382917">
        <w:t>to</w:t>
      </w:r>
      <w:r w:rsidR="00EE4FC3">
        <w:t xml:space="preserve"> </w:t>
      </w:r>
      <w:r w:rsidRPr="00382917">
        <w:t>act</w:t>
      </w:r>
      <w:r w:rsidR="00EE4FC3">
        <w:t xml:space="preserve"> </w:t>
      </w:r>
      <w:r w:rsidRPr="00382917">
        <w:t>as</w:t>
      </w:r>
      <w:r w:rsidR="00EE4FC3">
        <w:t xml:space="preserve"> </w:t>
      </w:r>
      <w:r w:rsidRPr="00382917">
        <w:t>an</w:t>
      </w:r>
      <w:r w:rsidR="00EE4FC3">
        <w:t xml:space="preserve"> </w:t>
      </w:r>
      <w:r w:rsidRPr="00382917">
        <w:t>intermediary</w:t>
      </w:r>
      <w:r w:rsidR="00EE4FC3">
        <w:t xml:space="preserve"> </w:t>
      </w:r>
      <w:r w:rsidRPr="00382917">
        <w:t>with</w:t>
      </w:r>
      <w:r w:rsidR="00EE4FC3">
        <w:t xml:space="preserve"> </w:t>
      </w:r>
      <w:r w:rsidR="009C713D" w:rsidRPr="00382917">
        <w:t>‘</w:t>
      </w:r>
      <w:r w:rsidRPr="00382917">
        <w:t>Azíz</w:t>
      </w:r>
      <w:r w:rsidR="00EE4FC3">
        <w:t xml:space="preserve"> </w:t>
      </w:r>
      <w:r w:rsidR="0040329F" w:rsidRPr="0040329F">
        <w:rPr>
          <w:u w:val="single"/>
        </w:rPr>
        <w:t>Kh</w:t>
      </w:r>
      <w:r w:rsidR="0040329F" w:rsidRPr="00382917">
        <w:t>án</w:t>
      </w:r>
      <w:r w:rsidRPr="00382917">
        <w:t>-i-Sardár.</w:t>
      </w:r>
    </w:p>
    <w:p w:rsidR="007E595F" w:rsidRPr="00382917" w:rsidRDefault="009C713D" w:rsidP="007E595F">
      <w:pPr>
        <w:pStyle w:val="Text"/>
      </w:pPr>
      <w:r w:rsidRPr="00382917">
        <w:t>“</w:t>
      </w:r>
      <w:r w:rsidR="007E595F" w:rsidRPr="00382917">
        <w:t>They</w:t>
      </w:r>
      <w:r w:rsidR="00EE4FC3">
        <w:t xml:space="preserve"> </w:t>
      </w:r>
      <w:r w:rsidR="007E595F" w:rsidRPr="00382917">
        <w:t>will</w:t>
      </w:r>
      <w:r w:rsidR="00EE4FC3">
        <w:t xml:space="preserve"> </w:t>
      </w:r>
      <w:r w:rsidR="007E595F" w:rsidRPr="00382917">
        <w:t>wish</w:t>
      </w:r>
      <w:r w:rsidR="00EE4FC3">
        <w:t xml:space="preserve"> </w:t>
      </w:r>
      <w:r w:rsidR="007E595F" w:rsidRPr="00382917">
        <w:t>to</w:t>
      </w:r>
      <w:r w:rsidR="00EE4FC3">
        <w:t xml:space="preserve"> </w:t>
      </w:r>
      <w:r w:rsidR="007E595F" w:rsidRPr="00382917">
        <w:t>strangle</w:t>
      </w:r>
      <w:r w:rsidR="00EE4FC3">
        <w:t xml:space="preserve"> </w:t>
      </w:r>
      <w:r w:rsidR="007E595F" w:rsidRPr="00382917">
        <w:t>me,</w:t>
      </w:r>
      <w:r w:rsidRPr="00382917">
        <w:t>”</w:t>
      </w:r>
      <w:r w:rsidR="00EE4FC3">
        <w:t xml:space="preserve"> </w:t>
      </w:r>
      <w:r w:rsidR="007E595F" w:rsidRPr="00382917">
        <w:t>she</w:t>
      </w:r>
      <w:r w:rsidR="00EE4FC3">
        <w:t xml:space="preserve"> </w:t>
      </w:r>
      <w:r w:rsidR="007E595F" w:rsidRPr="00382917">
        <w:t>said</w:t>
      </w:r>
      <w:r w:rsidR="0040329F">
        <w:t>.</w:t>
      </w:r>
      <w:r w:rsidR="00EE4FC3">
        <w:t xml:space="preserve">  </w:t>
      </w:r>
      <w:r w:rsidRPr="00382917">
        <w:t>“</w:t>
      </w:r>
      <w:r w:rsidR="007E595F" w:rsidRPr="00382917">
        <w:t>I</w:t>
      </w:r>
      <w:r w:rsidR="00EE4FC3">
        <w:t xml:space="preserve"> </w:t>
      </w:r>
      <w:r w:rsidR="007E595F" w:rsidRPr="00382917">
        <w:t>set</w:t>
      </w:r>
      <w:r w:rsidR="00EE4FC3">
        <w:t xml:space="preserve"> </w:t>
      </w:r>
      <w:r w:rsidR="007E595F" w:rsidRPr="00382917">
        <w:t>aside,</w:t>
      </w:r>
      <w:r w:rsidR="00EE4FC3">
        <w:t xml:space="preserve"> </w:t>
      </w:r>
      <w:r w:rsidR="007E595F" w:rsidRPr="00382917">
        <w:t>long</w:t>
      </w:r>
      <w:r w:rsidR="00EE4FC3">
        <w:t xml:space="preserve"> </w:t>
      </w:r>
      <w:r w:rsidR="007E595F" w:rsidRPr="00382917">
        <w:t>ago,</w:t>
      </w:r>
      <w:r w:rsidR="00EE4FC3">
        <w:t xml:space="preserve"> </w:t>
      </w:r>
      <w:r w:rsidR="007E595F" w:rsidRPr="00382917">
        <w:t>a</w:t>
      </w:r>
      <w:r w:rsidR="00EE4FC3">
        <w:t xml:space="preserve"> </w:t>
      </w:r>
      <w:r w:rsidR="007E595F" w:rsidRPr="00382917">
        <w:t>silken</w:t>
      </w:r>
      <w:r w:rsidR="00EE4FC3">
        <w:t xml:space="preserve"> </w:t>
      </w:r>
      <w:r w:rsidR="007E595F" w:rsidRPr="00382917">
        <w:t>handkerchief</w:t>
      </w:r>
      <w:r w:rsidR="00EE4FC3">
        <w:t xml:space="preserve"> </w:t>
      </w:r>
      <w:r w:rsidR="007E595F" w:rsidRPr="00382917">
        <w:t>which</w:t>
      </w:r>
      <w:r w:rsidR="00EE4FC3">
        <w:t xml:space="preserve"> </w:t>
      </w:r>
      <w:r w:rsidR="007E595F" w:rsidRPr="00382917">
        <w:t>I</w:t>
      </w:r>
      <w:r w:rsidR="00EE4FC3">
        <w:t xml:space="preserve"> </w:t>
      </w:r>
      <w:r w:rsidR="007E595F" w:rsidRPr="00382917">
        <w:t>hoped</w:t>
      </w:r>
      <w:r w:rsidR="00EE4FC3">
        <w:t xml:space="preserve"> </w:t>
      </w:r>
      <w:r w:rsidR="007E595F" w:rsidRPr="00382917">
        <w:t>would</w:t>
      </w:r>
      <w:r w:rsidR="00EE4FC3">
        <w:t xml:space="preserve"> </w:t>
      </w:r>
      <w:r w:rsidR="007E595F" w:rsidRPr="00382917">
        <w:t>be</w:t>
      </w:r>
      <w:r w:rsidR="00EE4FC3">
        <w:t xml:space="preserve"> </w:t>
      </w:r>
      <w:r w:rsidR="007E595F" w:rsidRPr="00382917">
        <w:t>used</w:t>
      </w:r>
      <w:r w:rsidR="00EE4FC3">
        <w:t xml:space="preserve"> </w:t>
      </w:r>
      <w:r w:rsidR="007E595F" w:rsidRPr="00382917">
        <w:t>for</w:t>
      </w:r>
      <w:r w:rsidR="00EE4FC3">
        <w:t xml:space="preserve"> </w:t>
      </w:r>
      <w:r w:rsidR="007E595F" w:rsidRPr="00382917">
        <w:t>this</w:t>
      </w:r>
      <w:r w:rsidR="00EE4FC3">
        <w:t xml:space="preserve"> </w:t>
      </w:r>
      <w:r w:rsidR="007E595F" w:rsidRPr="00382917">
        <w:t>purpose</w:t>
      </w:r>
      <w:r w:rsidR="0040329F">
        <w:t>.</w:t>
      </w:r>
      <w:r w:rsidR="00EE4FC3">
        <w:t xml:space="preserve">  </w:t>
      </w:r>
      <w:r w:rsidR="007E595F" w:rsidRPr="00382917">
        <w:t>I</w:t>
      </w:r>
      <w:r w:rsidR="00EE4FC3">
        <w:t xml:space="preserve"> </w:t>
      </w:r>
      <w:r w:rsidR="007E595F" w:rsidRPr="00382917">
        <w:t>deliver</w:t>
      </w:r>
      <w:r w:rsidR="00EE4FC3">
        <w:t xml:space="preserve"> </w:t>
      </w:r>
      <w:r w:rsidR="007E595F" w:rsidRPr="00382917">
        <w:t>it</w:t>
      </w:r>
      <w:r w:rsidR="00EE4FC3">
        <w:t xml:space="preserve"> </w:t>
      </w:r>
      <w:r w:rsidR="007E595F" w:rsidRPr="00382917">
        <w:t>into</w:t>
      </w:r>
      <w:r w:rsidR="00EE4FC3">
        <w:t xml:space="preserve"> </w:t>
      </w:r>
      <w:r w:rsidR="007E595F" w:rsidRPr="00382917">
        <w:t>your</w:t>
      </w:r>
      <w:r w:rsidR="00EE4FC3">
        <w:t xml:space="preserve"> </w:t>
      </w:r>
      <w:r w:rsidR="007E595F" w:rsidRPr="00382917">
        <w:t>hands</w:t>
      </w:r>
      <w:r w:rsidR="0040329F">
        <w:t>.</w:t>
      </w:r>
      <w:r w:rsidR="00EE4FC3">
        <w:t xml:space="preserve">  </w:t>
      </w:r>
      <w:r w:rsidR="007E595F" w:rsidRPr="00382917">
        <w:t>I</w:t>
      </w:r>
      <w:r w:rsidR="00EE4FC3">
        <w:t xml:space="preserve"> </w:t>
      </w:r>
      <w:r w:rsidR="007E595F" w:rsidRPr="00382917">
        <w:t>am</w:t>
      </w:r>
      <w:r w:rsidR="00EE4FC3">
        <w:t xml:space="preserve"> </w:t>
      </w:r>
      <w:r w:rsidR="007E595F" w:rsidRPr="00382917">
        <w:t>disinclined</w:t>
      </w:r>
      <w:r w:rsidR="00EE4FC3">
        <w:t xml:space="preserve"> </w:t>
      </w:r>
      <w:r w:rsidR="007E595F" w:rsidRPr="00382917">
        <w:t>to</w:t>
      </w:r>
      <w:r w:rsidR="00EE4FC3">
        <w:t xml:space="preserve"> </w:t>
      </w:r>
      <w:r w:rsidR="007E595F" w:rsidRPr="00382917">
        <w:t>address</w:t>
      </w:r>
      <w:r w:rsidR="00EE4FC3">
        <w:t xml:space="preserve"> </w:t>
      </w:r>
      <w:r w:rsidR="007E595F" w:rsidRPr="00382917">
        <w:t>my</w:t>
      </w:r>
      <w:r w:rsidR="00EE4FC3">
        <w:t xml:space="preserve"> </w:t>
      </w:r>
      <w:r w:rsidR="007E595F" w:rsidRPr="00382917">
        <w:t>slayers</w:t>
      </w:r>
      <w:r w:rsidR="00EE4FC3">
        <w:t xml:space="preserve"> </w:t>
      </w:r>
      <w:r w:rsidR="007E595F" w:rsidRPr="00382917">
        <w:t>in</w:t>
      </w:r>
      <w:r w:rsidR="00EE4FC3">
        <w:t xml:space="preserve"> </w:t>
      </w:r>
      <w:r w:rsidR="007E595F" w:rsidRPr="00382917">
        <w:t>the</w:t>
      </w:r>
      <w:r w:rsidR="00EE4FC3">
        <w:t xml:space="preserve"> </w:t>
      </w:r>
      <w:r w:rsidR="007E595F" w:rsidRPr="00382917">
        <w:t>midst</w:t>
      </w:r>
      <w:r w:rsidR="00EE4FC3">
        <w:t xml:space="preserve"> </w:t>
      </w:r>
      <w:r w:rsidR="007E595F" w:rsidRPr="00382917">
        <w:t>of</w:t>
      </w:r>
      <w:r w:rsidR="00EE4FC3">
        <w:t xml:space="preserve"> </w:t>
      </w:r>
      <w:r w:rsidR="007E595F" w:rsidRPr="00382917">
        <w:t>their</w:t>
      </w:r>
      <w:r w:rsidR="00EE4FC3">
        <w:t xml:space="preserve"> </w:t>
      </w:r>
      <w:r w:rsidR="007E595F" w:rsidRPr="00382917">
        <w:t>revelry.</w:t>
      </w:r>
      <w:r w:rsidRPr="00382917">
        <w:t>”</w:t>
      </w:r>
    </w:p>
    <w:p w:rsidR="007E595F" w:rsidRPr="00382917" w:rsidRDefault="007E595F" w:rsidP="00582826">
      <w:pPr>
        <w:pStyle w:val="Text"/>
      </w:pPr>
      <w:r w:rsidRPr="00382917">
        <w:t>The</w:t>
      </w:r>
      <w:r w:rsidR="00EE4FC3">
        <w:t xml:space="preserve"> </w:t>
      </w:r>
      <w:r w:rsidRPr="00382917">
        <w:t>mayor</w:t>
      </w:r>
      <w:r w:rsidR="009C713D" w:rsidRPr="00382917">
        <w:t>’</w:t>
      </w:r>
      <w:r w:rsidRPr="00382917">
        <w:t>s</w:t>
      </w:r>
      <w:r w:rsidR="00EE4FC3">
        <w:t xml:space="preserve"> </w:t>
      </w:r>
      <w:r w:rsidRPr="00382917">
        <w:t>son</w:t>
      </w:r>
      <w:r w:rsidR="00EE4FC3">
        <w:t xml:space="preserve"> </w:t>
      </w:r>
      <w:r w:rsidRPr="00382917">
        <w:t>approached</w:t>
      </w:r>
      <w:r w:rsidR="00EE4FC3">
        <w:t xml:space="preserve"> </w:t>
      </w:r>
      <w:r w:rsidR="009C713D" w:rsidRPr="00382917">
        <w:t>‘</w:t>
      </w:r>
      <w:r w:rsidRPr="00382917">
        <w:t>A</w:t>
      </w:r>
      <w:r w:rsidR="00582826" w:rsidRPr="00382917">
        <w:t>z</w:t>
      </w:r>
      <w:r w:rsidRPr="00382917">
        <w:t>íz</w:t>
      </w:r>
      <w:r w:rsidR="00EE4FC3">
        <w:t xml:space="preserve"> </w:t>
      </w:r>
      <w:r w:rsidR="0040329F" w:rsidRPr="0040329F">
        <w:rPr>
          <w:u w:val="single"/>
        </w:rPr>
        <w:t>Kh</w:t>
      </w:r>
      <w:r w:rsidR="0040329F" w:rsidRPr="00382917">
        <w:t>án</w:t>
      </w:r>
      <w:r w:rsidRPr="00382917">
        <w:t>-i-Sardár</w:t>
      </w:r>
      <w:r w:rsidR="0040329F">
        <w:t>.</w:t>
      </w:r>
      <w:r w:rsidR="00EE4FC3">
        <w:t xml:space="preserve">  </w:t>
      </w:r>
      <w:r w:rsidRPr="00382917">
        <w:t>As</w:t>
      </w:r>
      <w:r w:rsidR="00EE4FC3">
        <w:t xml:space="preserve"> </w:t>
      </w:r>
      <w:r w:rsidRPr="00382917">
        <w:t>the</w:t>
      </w:r>
      <w:r w:rsidR="00EE4FC3">
        <w:t xml:space="preserve"> </w:t>
      </w:r>
      <w:r w:rsidRPr="00382917">
        <w:t>boy</w:t>
      </w:r>
      <w:r w:rsidR="00EE4FC3">
        <w:t xml:space="preserve"> </w:t>
      </w:r>
      <w:r w:rsidRPr="00382917">
        <w:t>came</w:t>
      </w:r>
      <w:r w:rsidR="00EE4FC3">
        <w:t xml:space="preserve"> </w:t>
      </w:r>
      <w:r w:rsidRPr="00382917">
        <w:t>up</w:t>
      </w:r>
      <w:r w:rsidR="00EE4FC3">
        <w:t xml:space="preserve"> </w:t>
      </w:r>
      <w:r w:rsidRPr="00382917">
        <w:t>to</w:t>
      </w:r>
      <w:r w:rsidR="00EE4FC3">
        <w:t xml:space="preserve"> </w:t>
      </w:r>
      <w:r w:rsidRPr="00382917">
        <w:t>him,</w:t>
      </w:r>
      <w:r w:rsidR="00EE4FC3">
        <w:t xml:space="preserve"> </w:t>
      </w:r>
      <w:r w:rsidRPr="00382917">
        <w:t>he</w:t>
      </w:r>
      <w:r w:rsidR="00EE4FC3">
        <w:t xml:space="preserve"> </w:t>
      </w:r>
      <w:r w:rsidRPr="00382917">
        <w:t>waved</w:t>
      </w:r>
      <w:r w:rsidR="00EE4FC3">
        <w:t xml:space="preserve"> </w:t>
      </w:r>
      <w:r w:rsidRPr="00382917">
        <w:t>him</w:t>
      </w:r>
      <w:r w:rsidR="00EE4FC3">
        <w:t xml:space="preserve"> </w:t>
      </w:r>
      <w:r w:rsidRPr="00382917">
        <w:t>aside.</w:t>
      </w:r>
    </w:p>
    <w:p w:rsidR="007E595F" w:rsidRPr="00382917" w:rsidRDefault="009C713D" w:rsidP="007E595F">
      <w:pPr>
        <w:pStyle w:val="Text"/>
      </w:pPr>
      <w:r w:rsidRPr="00382917">
        <w:t>“</w:t>
      </w:r>
      <w:r w:rsidR="007E595F" w:rsidRPr="00382917">
        <w:t>Do</w:t>
      </w:r>
      <w:r w:rsidR="00EE4FC3">
        <w:t xml:space="preserve"> </w:t>
      </w:r>
      <w:r w:rsidR="007E595F" w:rsidRPr="00382917">
        <w:t>not</w:t>
      </w:r>
      <w:r w:rsidR="00EE4FC3">
        <w:t xml:space="preserve"> </w:t>
      </w:r>
      <w:r w:rsidR="007E595F" w:rsidRPr="00382917">
        <w:t>interrupt</w:t>
      </w:r>
      <w:r w:rsidR="00EE4FC3">
        <w:t xml:space="preserve"> </w:t>
      </w:r>
      <w:r w:rsidR="007E595F" w:rsidRPr="00382917">
        <w:t>the</w:t>
      </w:r>
      <w:r w:rsidR="00EE4FC3">
        <w:t xml:space="preserve"> </w:t>
      </w:r>
      <w:r w:rsidR="007E595F" w:rsidRPr="00382917">
        <w:t>gaiety</w:t>
      </w:r>
      <w:r w:rsidR="00EE4FC3">
        <w:t xml:space="preserve"> </w:t>
      </w:r>
      <w:r w:rsidR="007E595F" w:rsidRPr="00382917">
        <w:t>of</w:t>
      </w:r>
      <w:r w:rsidR="00EE4FC3">
        <w:t xml:space="preserve"> </w:t>
      </w:r>
      <w:r w:rsidR="007E595F" w:rsidRPr="00382917">
        <w:t>our</w:t>
      </w:r>
      <w:r w:rsidR="00EE4FC3">
        <w:t xml:space="preserve"> </w:t>
      </w:r>
      <w:r w:rsidR="007E595F" w:rsidRPr="00382917">
        <w:t>festival!</w:t>
      </w:r>
      <w:r w:rsidRPr="00382917">
        <w:t>”</w:t>
      </w:r>
      <w:r w:rsidR="00EE4FC3">
        <w:t xml:space="preserve"> </w:t>
      </w:r>
      <w:r w:rsidR="007E595F" w:rsidRPr="00382917">
        <w:t>he</w:t>
      </w:r>
      <w:r w:rsidR="00EE4FC3">
        <w:t xml:space="preserve"> </w:t>
      </w:r>
      <w:r w:rsidR="007E595F" w:rsidRPr="00382917">
        <w:t>cried</w:t>
      </w:r>
      <w:r w:rsidR="0040329F">
        <w:t>.</w:t>
      </w:r>
      <w:r w:rsidR="00EE4FC3">
        <w:t xml:space="preserve">  </w:t>
      </w:r>
      <w:r w:rsidR="007E595F" w:rsidRPr="00382917">
        <w:t>Then</w:t>
      </w:r>
      <w:r w:rsidR="00EE4FC3">
        <w:t xml:space="preserve"> </w:t>
      </w:r>
      <w:r w:rsidR="007E595F" w:rsidRPr="00382917">
        <w:t>he</w:t>
      </w:r>
      <w:r w:rsidR="00EE4FC3">
        <w:t xml:space="preserve"> </w:t>
      </w:r>
      <w:r w:rsidR="007E595F" w:rsidRPr="00382917">
        <w:t>laughed</w:t>
      </w:r>
      <w:r w:rsidR="00EE4FC3">
        <w:t xml:space="preserve"> </w:t>
      </w:r>
      <w:r w:rsidR="007E595F" w:rsidRPr="00382917">
        <w:t>uproariously</w:t>
      </w:r>
      <w:r w:rsidR="00EE4FC3">
        <w:t xml:space="preserve"> </w:t>
      </w:r>
      <w:r w:rsidR="007E595F" w:rsidRPr="00382917">
        <w:t>and</w:t>
      </w:r>
      <w:r w:rsidR="00EE4FC3">
        <w:t xml:space="preserve"> </w:t>
      </w:r>
      <w:r w:rsidR="007E595F" w:rsidRPr="00382917">
        <w:t>turned</w:t>
      </w:r>
      <w:r w:rsidR="00EE4FC3">
        <w:t xml:space="preserve"> </w:t>
      </w:r>
      <w:r w:rsidR="007E595F" w:rsidRPr="00382917">
        <w:t>back</w:t>
      </w:r>
      <w:r w:rsidR="00EE4FC3">
        <w:t xml:space="preserve"> </w:t>
      </w:r>
      <w:r w:rsidR="007E595F" w:rsidRPr="00382917">
        <w:t>to</w:t>
      </w:r>
      <w:r w:rsidR="00EE4FC3">
        <w:t xml:space="preserve"> </w:t>
      </w:r>
      <w:r w:rsidR="007E595F" w:rsidRPr="00382917">
        <w:t>his</w:t>
      </w:r>
      <w:r w:rsidR="00EE4FC3">
        <w:t xml:space="preserve"> </w:t>
      </w:r>
      <w:r w:rsidR="007E595F" w:rsidRPr="00382917">
        <w:t>party</w:t>
      </w:r>
      <w:r w:rsidR="0040329F">
        <w:t>.</w:t>
      </w:r>
      <w:r w:rsidR="00EE4FC3">
        <w:t xml:space="preserve">  </w:t>
      </w:r>
      <w:r w:rsidRPr="00382917">
        <w:t>“</w:t>
      </w:r>
      <w:r w:rsidR="007E595F" w:rsidRPr="00382917">
        <w:t>Let</w:t>
      </w:r>
      <w:r w:rsidR="00EE4FC3">
        <w:t xml:space="preserve"> </w:t>
      </w:r>
      <w:r w:rsidR="007E595F" w:rsidRPr="00382917">
        <w:t>that</w:t>
      </w:r>
      <w:r w:rsidR="00EE4FC3">
        <w:t xml:space="preserve"> </w:t>
      </w:r>
      <w:r w:rsidR="007E595F" w:rsidRPr="00382917">
        <w:t>miserable</w:t>
      </w:r>
      <w:r w:rsidR="00EE4FC3">
        <w:t xml:space="preserve"> </w:t>
      </w:r>
      <w:r w:rsidR="007E595F" w:rsidRPr="00382917">
        <w:t>wretch</w:t>
      </w:r>
      <w:r w:rsidR="00EE4FC3">
        <w:t xml:space="preserve"> </w:t>
      </w:r>
      <w:r w:rsidR="007E595F" w:rsidRPr="00382917">
        <w:t>be</w:t>
      </w:r>
      <w:r w:rsidR="00EE4FC3">
        <w:t xml:space="preserve"> </w:t>
      </w:r>
      <w:r w:rsidR="007E595F" w:rsidRPr="00382917">
        <w:t>strangled,</w:t>
      </w:r>
      <w:r w:rsidRPr="00382917">
        <w:t>”</w:t>
      </w:r>
      <w:r w:rsidR="00EE4FC3">
        <w:t xml:space="preserve"> </w:t>
      </w:r>
      <w:r w:rsidR="007E595F" w:rsidRPr="00382917">
        <w:t>he</w:t>
      </w:r>
      <w:r w:rsidR="00EE4FC3">
        <w:t xml:space="preserve"> </w:t>
      </w:r>
      <w:r w:rsidR="007E595F" w:rsidRPr="00382917">
        <w:t>mouthed</w:t>
      </w:r>
      <w:r w:rsidR="00EE4FC3">
        <w:t xml:space="preserve"> </w:t>
      </w:r>
      <w:r w:rsidR="007E595F" w:rsidRPr="00382917">
        <w:t>to</w:t>
      </w:r>
      <w:r w:rsidR="00EE4FC3">
        <w:t xml:space="preserve"> </w:t>
      </w:r>
      <w:r w:rsidR="007E595F" w:rsidRPr="00382917">
        <w:t>his</w:t>
      </w:r>
      <w:r w:rsidR="00EE4FC3">
        <w:t xml:space="preserve"> </w:t>
      </w:r>
      <w:r w:rsidR="007E595F" w:rsidRPr="00382917">
        <w:t>attendants,</w:t>
      </w:r>
      <w:r w:rsidR="00EE4FC3">
        <w:t xml:space="preserve"> </w:t>
      </w:r>
      <w:r w:rsidRPr="00382917">
        <w:t>“</w:t>
      </w:r>
      <w:r w:rsidR="007E595F" w:rsidRPr="00382917">
        <w:t>and</w:t>
      </w:r>
      <w:r w:rsidR="00EE4FC3">
        <w:t xml:space="preserve"> </w:t>
      </w:r>
      <w:proofErr w:type="gramStart"/>
      <w:r w:rsidR="007E595F" w:rsidRPr="00382917">
        <w:t>throw</w:t>
      </w:r>
      <w:proofErr w:type="gramEnd"/>
      <w:r w:rsidR="00EE4FC3">
        <w:t xml:space="preserve"> </w:t>
      </w:r>
      <w:r w:rsidR="007E595F" w:rsidRPr="00382917">
        <w:t>her</w:t>
      </w:r>
      <w:r w:rsidR="00EE4FC3">
        <w:t xml:space="preserve"> </w:t>
      </w:r>
      <w:r w:rsidR="007E595F" w:rsidRPr="00382917">
        <w:t>body</w:t>
      </w:r>
      <w:r w:rsidR="00EE4FC3">
        <w:t xml:space="preserve"> </w:t>
      </w:r>
      <w:r w:rsidR="007E595F" w:rsidRPr="00382917">
        <w:t>into</w:t>
      </w:r>
      <w:r w:rsidR="00EE4FC3">
        <w:t xml:space="preserve"> </w:t>
      </w:r>
      <w:r w:rsidR="007E595F" w:rsidRPr="00382917">
        <w:t>a</w:t>
      </w:r>
      <w:r w:rsidR="00EE4FC3">
        <w:t xml:space="preserve"> </w:t>
      </w:r>
      <w:r w:rsidR="007E595F" w:rsidRPr="00382917">
        <w:t>pit.</w:t>
      </w:r>
      <w:r w:rsidRPr="00382917">
        <w:t>”</w:t>
      </w:r>
    </w:p>
    <w:p w:rsidR="007E595F" w:rsidRPr="00382917" w:rsidRDefault="007E595F" w:rsidP="007E595F">
      <w:pPr>
        <w:pStyle w:val="Text"/>
      </w:pPr>
      <w:r w:rsidRPr="00382917">
        <w:t>The</w:t>
      </w:r>
      <w:r w:rsidR="00EE4FC3">
        <w:t xml:space="preserve"> </w:t>
      </w:r>
      <w:r w:rsidRPr="00382917">
        <w:t>boy</w:t>
      </w:r>
      <w:r w:rsidR="00EE4FC3">
        <w:t xml:space="preserve"> </w:t>
      </w:r>
      <w:r w:rsidRPr="00382917">
        <w:t>gave</w:t>
      </w:r>
      <w:r w:rsidR="00EE4FC3">
        <w:t xml:space="preserve"> </w:t>
      </w:r>
      <w:r w:rsidRPr="00382917">
        <w:t>the</w:t>
      </w:r>
      <w:r w:rsidR="00EE4FC3">
        <w:t xml:space="preserve"> </w:t>
      </w:r>
      <w:r w:rsidRPr="00382917">
        <w:t>attendants</w:t>
      </w:r>
      <w:r w:rsidR="00EE4FC3">
        <w:t xml:space="preserve"> </w:t>
      </w:r>
      <w:r w:rsidRPr="00382917">
        <w:t>the</w:t>
      </w:r>
      <w:r w:rsidR="00EE4FC3">
        <w:t xml:space="preserve"> </w:t>
      </w:r>
      <w:r w:rsidRPr="00382917">
        <w:t>kerchief</w:t>
      </w:r>
      <w:r w:rsidR="0040329F">
        <w:t>.</w:t>
      </w:r>
      <w:r w:rsidR="00EE4FC3">
        <w:t xml:space="preserve">  </w:t>
      </w:r>
      <w:r w:rsidRPr="00382917">
        <w:t>This</w:t>
      </w:r>
      <w:r w:rsidR="00EE4FC3">
        <w:t xml:space="preserve"> </w:t>
      </w:r>
      <w:r w:rsidRPr="00382917">
        <w:t>young</w:t>
      </w:r>
      <w:r w:rsidR="00EE4FC3">
        <w:t xml:space="preserve"> </w:t>
      </w:r>
      <w:r w:rsidRPr="00382917">
        <w:t>man</w:t>
      </w:r>
      <w:r w:rsidR="00EE4FC3">
        <w:t xml:space="preserve"> </w:t>
      </w:r>
      <w:r w:rsidRPr="00382917">
        <w:t>has,</w:t>
      </w:r>
      <w:r w:rsidR="00EE4FC3">
        <w:t xml:space="preserve"> </w:t>
      </w:r>
      <w:r w:rsidRPr="00382917">
        <w:t>himself,</w:t>
      </w:r>
      <w:r w:rsidR="00EE4FC3">
        <w:t xml:space="preserve"> </w:t>
      </w:r>
      <w:r w:rsidRPr="00382917">
        <w:t>given</w:t>
      </w:r>
      <w:r w:rsidR="00EE4FC3">
        <w:t xml:space="preserve"> </w:t>
      </w:r>
      <w:r w:rsidRPr="00382917">
        <w:t>an</w:t>
      </w:r>
      <w:r w:rsidR="00EE4FC3">
        <w:t xml:space="preserve"> </w:t>
      </w:r>
      <w:r w:rsidRPr="00382917">
        <w:t>eye-witness</w:t>
      </w:r>
      <w:r w:rsidR="00EE4FC3">
        <w:t xml:space="preserve"> </w:t>
      </w:r>
      <w:r w:rsidRPr="00382917">
        <w:t>account</w:t>
      </w:r>
      <w:r w:rsidR="00EE4FC3">
        <w:t xml:space="preserve"> </w:t>
      </w:r>
      <w:r w:rsidRPr="00382917">
        <w:t>of</w:t>
      </w:r>
      <w:r w:rsidR="00EE4FC3">
        <w:t xml:space="preserve"> </w:t>
      </w:r>
      <w:r w:rsidRPr="00382917">
        <w:t>that</w:t>
      </w:r>
      <w:r w:rsidR="00EE4FC3">
        <w:t xml:space="preserve"> </w:t>
      </w:r>
      <w:r w:rsidRPr="00382917">
        <w:t>fateful</w:t>
      </w:r>
      <w:r w:rsidR="00EE4FC3">
        <w:t xml:space="preserve"> </w:t>
      </w:r>
      <w:r w:rsidRPr="00382917">
        <w:t>moment.</w:t>
      </w:r>
    </w:p>
    <w:p w:rsidR="007E595F" w:rsidRPr="00382917" w:rsidRDefault="009C713D" w:rsidP="007E595F">
      <w:pPr>
        <w:pStyle w:val="Text"/>
      </w:pPr>
      <w:r w:rsidRPr="00382917">
        <w:t>“</w:t>
      </w:r>
      <w:r w:rsidR="007E595F" w:rsidRPr="00382917">
        <w:t>They</w:t>
      </w:r>
      <w:r w:rsidR="00EE4FC3">
        <w:t xml:space="preserve"> </w:t>
      </w:r>
      <w:r w:rsidR="007E595F" w:rsidRPr="00382917">
        <w:t>consented</w:t>
      </w:r>
      <w:r w:rsidR="00EE4FC3">
        <w:t xml:space="preserve"> </w:t>
      </w:r>
      <w:r w:rsidR="007E595F" w:rsidRPr="00382917">
        <w:t>to</w:t>
      </w:r>
      <w:r w:rsidR="00EE4FC3">
        <w:t xml:space="preserve"> </w:t>
      </w:r>
      <w:r w:rsidR="007E595F" w:rsidRPr="00382917">
        <w:t>grant</w:t>
      </w:r>
      <w:r w:rsidR="00EE4FC3">
        <w:t xml:space="preserve"> </w:t>
      </w:r>
      <w:r w:rsidR="007E595F" w:rsidRPr="00382917">
        <w:t>her</w:t>
      </w:r>
      <w:r w:rsidR="00EE4FC3">
        <w:t xml:space="preserve"> </w:t>
      </w:r>
      <w:r w:rsidR="007E595F" w:rsidRPr="00382917">
        <w:t>request,</w:t>
      </w:r>
      <w:r w:rsidRPr="00382917">
        <w:t>”</w:t>
      </w:r>
      <w:r w:rsidR="00EE4FC3">
        <w:t xml:space="preserve"> </w:t>
      </w:r>
      <w:r w:rsidR="007E595F" w:rsidRPr="00382917">
        <w:t>he</w:t>
      </w:r>
      <w:r w:rsidR="00EE4FC3">
        <w:t xml:space="preserve"> </w:t>
      </w:r>
      <w:r w:rsidR="007E595F" w:rsidRPr="00382917">
        <w:t>reported</w:t>
      </w:r>
      <w:r w:rsidR="0040329F">
        <w:t>.</w:t>
      </w:r>
      <w:r w:rsidR="00EE4FC3">
        <w:t xml:space="preserve">  </w:t>
      </w:r>
      <w:r w:rsidRPr="00382917">
        <w:t>“</w:t>
      </w:r>
      <w:r w:rsidR="007E595F" w:rsidRPr="00382917">
        <w:t>That</w:t>
      </w:r>
      <w:r w:rsidR="00EE4FC3">
        <w:t xml:space="preserve"> </w:t>
      </w:r>
      <w:r w:rsidR="007E595F" w:rsidRPr="00382917">
        <w:t>same</w:t>
      </w:r>
      <w:r w:rsidR="00EE4FC3">
        <w:t xml:space="preserve"> </w:t>
      </w:r>
      <w:r w:rsidR="007E595F" w:rsidRPr="00382917">
        <w:t>kerchief</w:t>
      </w:r>
      <w:r w:rsidR="00EE4FC3">
        <w:t xml:space="preserve"> </w:t>
      </w:r>
      <w:r w:rsidR="007E595F" w:rsidRPr="00382917">
        <w:t>was</w:t>
      </w:r>
      <w:r w:rsidR="00EE4FC3">
        <w:t xml:space="preserve"> </w:t>
      </w:r>
      <w:r w:rsidR="007E595F" w:rsidRPr="00382917">
        <w:t>wound</w:t>
      </w:r>
      <w:r w:rsidR="00EE4FC3">
        <w:t xml:space="preserve"> </w:t>
      </w:r>
      <w:r w:rsidR="007E595F" w:rsidRPr="00382917">
        <w:t>round</w:t>
      </w:r>
      <w:r w:rsidR="00EE4FC3">
        <w:t xml:space="preserve"> </w:t>
      </w:r>
      <w:r w:rsidR="007E595F" w:rsidRPr="00382917">
        <w:t>her</w:t>
      </w:r>
      <w:r w:rsidR="00EE4FC3">
        <w:t xml:space="preserve"> </w:t>
      </w:r>
      <w:r w:rsidR="007E595F" w:rsidRPr="00382917">
        <w:t>neck</w:t>
      </w:r>
      <w:r w:rsidR="00EE4FC3">
        <w:t xml:space="preserve"> </w:t>
      </w:r>
      <w:r w:rsidR="007E595F" w:rsidRPr="00382917">
        <w:t>and</w:t>
      </w:r>
      <w:r w:rsidR="00EE4FC3">
        <w:t xml:space="preserve"> </w:t>
      </w:r>
      <w:r w:rsidR="007E595F" w:rsidRPr="00382917">
        <w:t>was</w:t>
      </w:r>
      <w:r w:rsidR="00EE4FC3">
        <w:t xml:space="preserve"> </w:t>
      </w:r>
      <w:r w:rsidR="007E595F" w:rsidRPr="00382917">
        <w:t>made</w:t>
      </w:r>
      <w:r w:rsidR="00EE4FC3">
        <w:t xml:space="preserve"> </w:t>
      </w:r>
      <w:r w:rsidR="007E595F" w:rsidRPr="00382917">
        <w:t>the</w:t>
      </w:r>
      <w:r w:rsidR="00EE4FC3">
        <w:t xml:space="preserve"> </w:t>
      </w:r>
      <w:r w:rsidR="007E595F" w:rsidRPr="00382917">
        <w:t>instrument</w:t>
      </w:r>
      <w:r w:rsidR="00EE4FC3">
        <w:t xml:space="preserve"> </w:t>
      </w:r>
      <w:r w:rsidR="007E595F" w:rsidRPr="00382917">
        <w:t>of</w:t>
      </w:r>
      <w:r w:rsidR="00EE4FC3">
        <w:t xml:space="preserve"> </w:t>
      </w:r>
      <w:r w:rsidR="007E595F" w:rsidRPr="00382917">
        <w:t>her</w:t>
      </w:r>
      <w:r w:rsidR="00EE4FC3">
        <w:t xml:space="preserve"> </w:t>
      </w:r>
      <w:r w:rsidR="007E595F" w:rsidRPr="00382917">
        <w:t>martyrdom</w:t>
      </w:r>
      <w:r w:rsidR="0040329F">
        <w:t>.</w:t>
      </w:r>
      <w:r w:rsidR="00EE4FC3">
        <w:t xml:space="preserve">  </w:t>
      </w:r>
      <w:r w:rsidR="007E595F" w:rsidRPr="00382917">
        <w:t>I</w:t>
      </w:r>
      <w:r w:rsidR="00EE4FC3">
        <w:t xml:space="preserve"> </w:t>
      </w:r>
      <w:r w:rsidR="007E595F" w:rsidRPr="00382917">
        <w:t>hastened</w:t>
      </w:r>
      <w:r w:rsidR="00EE4FC3">
        <w:t xml:space="preserve"> </w:t>
      </w:r>
      <w:r w:rsidR="007E595F" w:rsidRPr="00382917">
        <w:t>immediately</w:t>
      </w:r>
      <w:r w:rsidR="00EE4FC3">
        <w:t xml:space="preserve"> </w:t>
      </w:r>
      <w:r w:rsidR="007E595F" w:rsidRPr="00382917">
        <w:t>afterwards</w:t>
      </w:r>
      <w:r w:rsidR="00EE4FC3">
        <w:t xml:space="preserve"> </w:t>
      </w:r>
      <w:r w:rsidR="007E595F" w:rsidRPr="00382917">
        <w:t>to</w:t>
      </w:r>
      <w:r w:rsidR="00EE4FC3">
        <w:t xml:space="preserve"> </w:t>
      </w:r>
      <w:r w:rsidR="007E595F" w:rsidRPr="00382917">
        <w:t>the</w:t>
      </w:r>
      <w:r w:rsidR="00EE4FC3">
        <w:t xml:space="preserve"> </w:t>
      </w:r>
      <w:r w:rsidR="007E595F" w:rsidRPr="00382917">
        <w:t>gardener</w:t>
      </w:r>
      <w:r w:rsidR="00EE4FC3">
        <w:t xml:space="preserve"> </w:t>
      </w:r>
      <w:r w:rsidR="007E595F" w:rsidRPr="00382917">
        <w:t>and</w:t>
      </w:r>
      <w:r w:rsidR="00EE4FC3">
        <w:t xml:space="preserve"> </w:t>
      </w:r>
      <w:r w:rsidR="007E595F" w:rsidRPr="00382917">
        <w:t>asked</w:t>
      </w:r>
      <w:r w:rsidR="00EE4FC3">
        <w:t xml:space="preserve"> </w:t>
      </w:r>
      <w:r w:rsidR="007E595F" w:rsidRPr="00382917">
        <w:t>him</w:t>
      </w:r>
      <w:r w:rsidR="00EE4FC3">
        <w:t xml:space="preserve"> </w:t>
      </w:r>
      <w:r w:rsidR="007E595F" w:rsidRPr="00382917">
        <w:t>whether</w:t>
      </w:r>
      <w:r w:rsidR="00EE4FC3">
        <w:t xml:space="preserve"> </w:t>
      </w:r>
      <w:r w:rsidR="007E595F" w:rsidRPr="00382917">
        <w:t>he</w:t>
      </w:r>
      <w:r w:rsidR="00EE4FC3">
        <w:t xml:space="preserve"> </w:t>
      </w:r>
      <w:r w:rsidR="007E595F" w:rsidRPr="00382917">
        <w:t>could</w:t>
      </w:r>
      <w:r w:rsidR="00EE4FC3">
        <w:t xml:space="preserve"> </w:t>
      </w:r>
      <w:r w:rsidR="007E595F" w:rsidRPr="00382917">
        <w:t>suggest</w:t>
      </w:r>
      <w:r w:rsidR="00EE4FC3">
        <w:t xml:space="preserve"> </w:t>
      </w:r>
      <w:r w:rsidR="007E595F" w:rsidRPr="00382917">
        <w:t>a</w:t>
      </w:r>
      <w:r w:rsidR="00EE4FC3">
        <w:t xml:space="preserve"> </w:t>
      </w:r>
      <w:r w:rsidR="007E595F" w:rsidRPr="00382917">
        <w:t>place</w:t>
      </w:r>
      <w:r w:rsidR="00EE4FC3">
        <w:t xml:space="preserve"> </w:t>
      </w:r>
      <w:r w:rsidR="007E595F" w:rsidRPr="00382917">
        <w:t>where</w:t>
      </w:r>
      <w:r w:rsidR="00EE4FC3">
        <w:t xml:space="preserve"> </w:t>
      </w:r>
      <w:r w:rsidR="007E595F" w:rsidRPr="00382917">
        <w:t>I</w:t>
      </w:r>
      <w:r w:rsidR="00EE4FC3">
        <w:t xml:space="preserve"> </w:t>
      </w:r>
      <w:r w:rsidR="007E595F" w:rsidRPr="00382917">
        <w:t>could</w:t>
      </w:r>
      <w:r w:rsidR="00EE4FC3">
        <w:t xml:space="preserve"> </w:t>
      </w:r>
      <w:r w:rsidR="007E595F" w:rsidRPr="00382917">
        <w:t>conceal</w:t>
      </w:r>
      <w:r w:rsidR="00EE4FC3">
        <w:t xml:space="preserve"> </w:t>
      </w:r>
      <w:r w:rsidR="007E595F" w:rsidRPr="00382917">
        <w:t>the</w:t>
      </w:r>
      <w:r w:rsidR="00EE4FC3">
        <w:t xml:space="preserve"> </w:t>
      </w:r>
      <w:r w:rsidR="007E595F" w:rsidRPr="00382917">
        <w:t>body</w:t>
      </w:r>
      <w:r w:rsidR="0040329F">
        <w:t>.</w:t>
      </w:r>
      <w:r w:rsidR="00EE4FC3">
        <w:t xml:space="preserve">  </w:t>
      </w:r>
      <w:r w:rsidR="007E595F" w:rsidRPr="00382917">
        <w:t>He</w:t>
      </w:r>
      <w:r w:rsidR="00EE4FC3">
        <w:t xml:space="preserve"> </w:t>
      </w:r>
      <w:r w:rsidR="007E595F" w:rsidRPr="00382917">
        <w:t>directed</w:t>
      </w:r>
      <w:r w:rsidR="00EE4FC3">
        <w:t xml:space="preserve"> </w:t>
      </w:r>
      <w:r w:rsidR="007E595F" w:rsidRPr="00382917">
        <w:t>me</w:t>
      </w:r>
      <w:r w:rsidR="00EE4FC3">
        <w:t xml:space="preserve"> </w:t>
      </w:r>
      <w:r w:rsidR="007E595F" w:rsidRPr="00382917">
        <w:t>to</w:t>
      </w:r>
      <w:r w:rsidR="00EE4FC3">
        <w:t xml:space="preserve"> </w:t>
      </w:r>
      <w:r w:rsidR="007E595F" w:rsidRPr="00382917">
        <w:t>a</w:t>
      </w:r>
      <w:r w:rsidR="00EE4FC3">
        <w:t xml:space="preserve"> </w:t>
      </w:r>
      <w:r w:rsidR="007E595F" w:rsidRPr="00382917">
        <w:t>well</w:t>
      </w:r>
      <w:r w:rsidR="00EE4FC3">
        <w:t xml:space="preserve"> </w:t>
      </w:r>
      <w:r w:rsidR="007E595F" w:rsidRPr="00382917">
        <w:t>that</w:t>
      </w:r>
      <w:r w:rsidR="00EE4FC3">
        <w:t xml:space="preserve"> </w:t>
      </w:r>
      <w:r w:rsidR="007E595F" w:rsidRPr="00382917">
        <w:t>had</w:t>
      </w:r>
      <w:r w:rsidR="00EE4FC3">
        <w:t xml:space="preserve"> </w:t>
      </w:r>
      <w:r w:rsidR="007E595F" w:rsidRPr="00382917">
        <w:t>been</w:t>
      </w:r>
      <w:r w:rsidR="00EE4FC3">
        <w:t xml:space="preserve"> </w:t>
      </w:r>
      <w:r w:rsidR="007E595F" w:rsidRPr="00382917">
        <w:t>dug</w:t>
      </w:r>
      <w:r w:rsidR="00EE4FC3">
        <w:t xml:space="preserve"> </w:t>
      </w:r>
      <w:r w:rsidR="007E595F" w:rsidRPr="00382917">
        <w:t>recently</w:t>
      </w:r>
      <w:r w:rsidR="00EE4FC3">
        <w:t xml:space="preserve"> </w:t>
      </w:r>
      <w:r w:rsidR="007E595F" w:rsidRPr="00382917">
        <w:t>and</w:t>
      </w:r>
      <w:r w:rsidR="00EE4FC3">
        <w:t xml:space="preserve"> </w:t>
      </w:r>
      <w:r w:rsidR="007E595F" w:rsidRPr="00382917">
        <w:t>left</w:t>
      </w:r>
      <w:r w:rsidR="00EE4FC3">
        <w:t xml:space="preserve"> </w:t>
      </w:r>
      <w:r w:rsidR="007E595F" w:rsidRPr="00382917">
        <w:t>unfinished</w:t>
      </w:r>
      <w:r w:rsidR="0040329F">
        <w:t>.</w:t>
      </w:r>
      <w:r w:rsidR="00EE4FC3">
        <w:t xml:space="preserve">  </w:t>
      </w:r>
      <w:r w:rsidR="007E595F" w:rsidRPr="00382917">
        <w:t>With</w:t>
      </w:r>
      <w:r w:rsidR="00EE4FC3">
        <w:t xml:space="preserve"> </w:t>
      </w:r>
      <w:r w:rsidR="007E595F" w:rsidRPr="00382917">
        <w:t>the</w:t>
      </w:r>
      <w:r w:rsidR="00EE4FC3">
        <w:t xml:space="preserve"> </w:t>
      </w:r>
      <w:r w:rsidR="007E595F" w:rsidRPr="00382917">
        <w:t>help</w:t>
      </w:r>
      <w:r w:rsidR="00EE4FC3">
        <w:t xml:space="preserve"> </w:t>
      </w:r>
      <w:r w:rsidR="007E595F" w:rsidRPr="00382917">
        <w:t>of</w:t>
      </w:r>
      <w:r w:rsidR="00EE4FC3">
        <w:t xml:space="preserve"> </w:t>
      </w:r>
      <w:r w:rsidR="007E595F" w:rsidRPr="00382917">
        <w:t>a</w:t>
      </w:r>
      <w:r w:rsidR="00EE4FC3">
        <w:t xml:space="preserve"> </w:t>
      </w:r>
      <w:r w:rsidR="007E595F" w:rsidRPr="00382917">
        <w:t>few</w:t>
      </w:r>
      <w:r w:rsidR="00EE4FC3">
        <w:t xml:space="preserve"> </w:t>
      </w:r>
      <w:r w:rsidR="007E595F" w:rsidRPr="00382917">
        <w:t>others,</w:t>
      </w:r>
      <w:r w:rsidR="00EE4FC3">
        <w:t xml:space="preserve"> </w:t>
      </w:r>
      <w:r w:rsidR="007E595F" w:rsidRPr="00382917">
        <w:t>I</w:t>
      </w:r>
      <w:r w:rsidR="00EE4FC3">
        <w:t xml:space="preserve"> </w:t>
      </w:r>
      <w:r w:rsidR="007E595F" w:rsidRPr="00382917">
        <w:t>lowered</w:t>
      </w:r>
      <w:r w:rsidR="00EE4FC3">
        <w:t xml:space="preserve"> </w:t>
      </w:r>
      <w:r w:rsidR="007E595F" w:rsidRPr="00382917">
        <w:t>Ṭáhirih</w:t>
      </w:r>
      <w:r w:rsidR="00EE4FC3">
        <w:t xml:space="preserve"> </w:t>
      </w:r>
      <w:r w:rsidR="007E595F" w:rsidRPr="00382917">
        <w:t>into</w:t>
      </w:r>
      <w:r w:rsidR="00EE4FC3">
        <w:t xml:space="preserve"> </w:t>
      </w:r>
      <w:r w:rsidR="007E595F" w:rsidRPr="00382917">
        <w:t>her</w:t>
      </w:r>
      <w:r w:rsidR="00EE4FC3">
        <w:t xml:space="preserve"> </w:t>
      </w:r>
      <w:r w:rsidR="007E595F" w:rsidRPr="00382917">
        <w:t>grave</w:t>
      </w:r>
      <w:r w:rsidR="00EE4FC3">
        <w:t xml:space="preserve"> </w:t>
      </w:r>
      <w:r w:rsidR="007E595F" w:rsidRPr="00382917">
        <w:t>and</w:t>
      </w:r>
      <w:r w:rsidR="00EE4FC3">
        <w:t xml:space="preserve"> </w:t>
      </w:r>
      <w:r w:rsidR="007E595F" w:rsidRPr="00382917">
        <w:t>filled</w:t>
      </w:r>
      <w:r w:rsidR="00EE4FC3">
        <w:t xml:space="preserve"> </w:t>
      </w:r>
      <w:r w:rsidR="007E595F" w:rsidRPr="00382917">
        <w:t>the</w:t>
      </w:r>
      <w:r w:rsidR="00EE4FC3">
        <w:t xml:space="preserve"> </w:t>
      </w:r>
      <w:r w:rsidR="007E595F" w:rsidRPr="00382917">
        <w:t>well</w:t>
      </w:r>
      <w:r w:rsidR="00EE4FC3">
        <w:t xml:space="preserve"> </w:t>
      </w:r>
      <w:r w:rsidR="007E595F" w:rsidRPr="00382917">
        <w:t>up</w:t>
      </w:r>
      <w:r w:rsidR="00EE4FC3">
        <w:t xml:space="preserve"> </w:t>
      </w:r>
      <w:r w:rsidR="007E595F" w:rsidRPr="00382917">
        <w:t>with</w:t>
      </w:r>
      <w:r w:rsidR="00EE4FC3">
        <w:t xml:space="preserve"> </w:t>
      </w:r>
      <w:r w:rsidR="007E595F" w:rsidRPr="00382917">
        <w:t>earth</w:t>
      </w:r>
      <w:r w:rsidR="00EE4FC3">
        <w:t xml:space="preserve"> </w:t>
      </w:r>
      <w:r w:rsidR="007E595F" w:rsidRPr="00382917">
        <w:t>and</w:t>
      </w:r>
      <w:r w:rsidR="00EE4FC3">
        <w:t xml:space="preserve"> </w:t>
      </w:r>
      <w:r w:rsidR="007E595F" w:rsidRPr="00382917">
        <w:t>stones</w:t>
      </w:r>
      <w:r w:rsidR="00EE4FC3">
        <w:t xml:space="preserve"> </w:t>
      </w:r>
      <w:r w:rsidR="007E595F" w:rsidRPr="00382917">
        <w:t>in</w:t>
      </w:r>
      <w:r w:rsidR="00EE4FC3">
        <w:t xml:space="preserve"> </w:t>
      </w:r>
      <w:r w:rsidR="007E595F" w:rsidRPr="00382917">
        <w:t>the</w:t>
      </w:r>
      <w:r w:rsidR="00EE4FC3">
        <w:t xml:space="preserve"> </w:t>
      </w:r>
      <w:r w:rsidR="007E595F" w:rsidRPr="00382917">
        <w:t>manner</w:t>
      </w:r>
      <w:r w:rsidR="00EE4FC3">
        <w:t xml:space="preserve"> </w:t>
      </w:r>
      <w:r w:rsidR="007E595F" w:rsidRPr="00382917">
        <w:t>she</w:t>
      </w:r>
      <w:r w:rsidR="00EE4FC3">
        <w:t xml:space="preserve"> </w:t>
      </w:r>
      <w:r w:rsidR="007E595F" w:rsidRPr="00382917">
        <w:t>herself</w:t>
      </w:r>
      <w:r w:rsidR="00EE4FC3">
        <w:t xml:space="preserve"> </w:t>
      </w:r>
      <w:r w:rsidR="007E595F" w:rsidRPr="00382917">
        <w:t>requested</w:t>
      </w:r>
      <w:r w:rsidR="0040329F">
        <w:t>.</w:t>
      </w:r>
      <w:r w:rsidR="00EE4FC3">
        <w:t xml:space="preserve">  </w:t>
      </w:r>
      <w:r w:rsidR="007E595F" w:rsidRPr="00382917">
        <w:t>Those</w:t>
      </w:r>
      <w:r w:rsidR="00EE4FC3">
        <w:t xml:space="preserve"> </w:t>
      </w:r>
      <w:r w:rsidR="007E595F" w:rsidRPr="00382917">
        <w:t>who</w:t>
      </w:r>
      <w:r w:rsidR="00EE4FC3">
        <w:t xml:space="preserve"> </w:t>
      </w:r>
      <w:r w:rsidR="007E595F" w:rsidRPr="00382917">
        <w:t>saw</w:t>
      </w:r>
      <w:r w:rsidR="00EE4FC3">
        <w:t xml:space="preserve"> </w:t>
      </w:r>
      <w:r w:rsidR="007E595F" w:rsidRPr="00382917">
        <w:t>her</w:t>
      </w:r>
      <w:r w:rsidR="00EE4FC3">
        <w:t xml:space="preserve"> </w:t>
      </w:r>
      <w:r w:rsidR="007E595F" w:rsidRPr="00382917">
        <w:t>in</w:t>
      </w:r>
      <w:r w:rsidR="00EE4FC3">
        <w:t xml:space="preserve"> </w:t>
      </w:r>
      <w:r w:rsidR="007E595F" w:rsidRPr="00382917">
        <w:t>those</w:t>
      </w:r>
      <w:r w:rsidR="00EE4FC3">
        <w:t xml:space="preserve"> </w:t>
      </w:r>
      <w:r w:rsidR="007E595F" w:rsidRPr="00382917">
        <w:t>last</w:t>
      </w:r>
      <w:r w:rsidR="00EE4FC3">
        <w:t xml:space="preserve"> </w:t>
      </w:r>
      <w:r w:rsidR="007E595F" w:rsidRPr="00382917">
        <w:t>moments</w:t>
      </w:r>
      <w:r w:rsidR="00EE4FC3">
        <w:t xml:space="preserve"> </w:t>
      </w:r>
      <w:r w:rsidR="007E595F" w:rsidRPr="00382917">
        <w:t>were</w:t>
      </w:r>
      <w:r w:rsidR="00EE4FC3">
        <w:t xml:space="preserve"> </w:t>
      </w:r>
      <w:r w:rsidR="007E595F" w:rsidRPr="00382917">
        <w:t>profoundly</w:t>
      </w:r>
      <w:r w:rsidR="00EE4FC3">
        <w:t xml:space="preserve"> </w:t>
      </w:r>
      <w:r w:rsidR="007E595F" w:rsidRPr="00382917">
        <w:t>affected.</w:t>
      </w:r>
      <w:r w:rsidRPr="00382917">
        <w:t>”</w:t>
      </w:r>
    </w:p>
    <w:p w:rsidR="007E595F" w:rsidRPr="00382917" w:rsidRDefault="007E595F" w:rsidP="0040329F">
      <w:pPr>
        <w:pStyle w:val="Text"/>
      </w:pPr>
      <w:r w:rsidRPr="00382917">
        <w:t>Dr</w:t>
      </w:r>
      <w:r w:rsidR="00EE4FC3">
        <w:t xml:space="preserve"> </w:t>
      </w:r>
      <w:proofErr w:type="spellStart"/>
      <w:r w:rsidRPr="00382917">
        <w:t>Jakob</w:t>
      </w:r>
      <w:proofErr w:type="spellEnd"/>
      <w:r w:rsidR="00EE4FC3">
        <w:t xml:space="preserve"> </w:t>
      </w:r>
      <w:proofErr w:type="spellStart"/>
      <w:r w:rsidRPr="00382917">
        <w:t>Polak</w:t>
      </w:r>
      <w:proofErr w:type="spellEnd"/>
      <w:r w:rsidRPr="00382917">
        <w:t>,</w:t>
      </w:r>
      <w:r w:rsidR="00EE4FC3">
        <w:t xml:space="preserve"> </w:t>
      </w:r>
      <w:r w:rsidRPr="00382917">
        <w:t>Austrian</w:t>
      </w:r>
      <w:r w:rsidR="00EE4FC3">
        <w:t xml:space="preserve"> </w:t>
      </w:r>
      <w:r w:rsidRPr="00382917">
        <w:t>physician</w:t>
      </w:r>
      <w:r w:rsidR="00EE4FC3">
        <w:t xml:space="preserve"> </w:t>
      </w:r>
      <w:r w:rsidRPr="00382917">
        <w:t>to</w:t>
      </w:r>
      <w:r w:rsidR="00EE4FC3">
        <w:t xml:space="preserve"> </w:t>
      </w:r>
      <w:r w:rsidRPr="00382917">
        <w:t>the</w:t>
      </w:r>
      <w:r w:rsidR="00EE4FC3">
        <w:t xml:space="preserve"> </w:t>
      </w:r>
      <w:r w:rsidRPr="00382917">
        <w:t>king,</w:t>
      </w:r>
      <w:r w:rsidR="00EE4FC3">
        <w:t xml:space="preserve"> </w:t>
      </w:r>
      <w:r w:rsidRPr="00382917">
        <w:t>in</w:t>
      </w:r>
      <w:r w:rsidR="00EE4FC3">
        <w:t xml:space="preserve"> </w:t>
      </w:r>
      <w:r w:rsidRPr="00382917">
        <w:t>a</w:t>
      </w:r>
      <w:r w:rsidR="00EE4FC3">
        <w:t xml:space="preserve"> </w:t>
      </w:r>
      <w:r w:rsidRPr="00382917">
        <w:t>book</w:t>
      </w:r>
      <w:r w:rsidR="00EE4FC3">
        <w:t xml:space="preserve"> </w:t>
      </w:r>
      <w:r w:rsidRPr="00382917">
        <w:t>written</w:t>
      </w:r>
    </w:p>
    <w:p w:rsidR="007E595F" w:rsidRPr="00382917" w:rsidRDefault="007E595F">
      <w:pPr>
        <w:widowControl/>
        <w:kinsoku/>
        <w:overflowPunct/>
        <w:textAlignment w:val="auto"/>
      </w:pPr>
      <w:r w:rsidRPr="00382917">
        <w:br w:type="page"/>
      </w:r>
    </w:p>
    <w:p w:rsidR="007E595F" w:rsidRPr="00382917" w:rsidRDefault="007E595F" w:rsidP="008B2D55">
      <w:pPr>
        <w:pStyle w:val="Textcts"/>
      </w:pPr>
      <w:proofErr w:type="gramStart"/>
      <w:r w:rsidRPr="00382917">
        <w:t>in</w:t>
      </w:r>
      <w:proofErr w:type="gramEnd"/>
      <w:r w:rsidR="00EE4FC3">
        <w:t xml:space="preserve"> </w:t>
      </w:r>
      <w:r w:rsidRPr="00382917">
        <w:t>1856,</w:t>
      </w:r>
      <w:r w:rsidR="00EE4FC3">
        <w:t xml:space="preserve"> </w:t>
      </w:r>
      <w:r w:rsidRPr="00382917">
        <w:t>states</w:t>
      </w:r>
      <w:r w:rsidR="00EE4FC3">
        <w:t xml:space="preserve"> </w:t>
      </w:r>
      <w:r w:rsidRPr="00382917">
        <w:t>that</w:t>
      </w:r>
      <w:r w:rsidR="00EE4FC3">
        <w:t xml:space="preserve"> </w:t>
      </w:r>
      <w:r w:rsidRPr="00382917">
        <w:t>he</w:t>
      </w:r>
      <w:r w:rsidR="00EE4FC3">
        <w:t xml:space="preserve"> </w:t>
      </w:r>
      <w:r w:rsidRPr="00382917">
        <w:t>was</w:t>
      </w:r>
      <w:r w:rsidR="00EE4FC3">
        <w:t xml:space="preserve"> </w:t>
      </w:r>
      <w:r w:rsidRPr="00382917">
        <w:t>an</w:t>
      </w:r>
      <w:r w:rsidR="00EE4FC3">
        <w:t xml:space="preserve"> </w:t>
      </w:r>
      <w:r w:rsidRPr="00382917">
        <w:t>eye-witness</w:t>
      </w:r>
      <w:r w:rsidR="00EE4FC3">
        <w:t xml:space="preserve"> </w:t>
      </w:r>
      <w:r w:rsidRPr="00382917">
        <w:t>of</w:t>
      </w:r>
      <w:r w:rsidR="00EE4FC3">
        <w:t xml:space="preserve"> </w:t>
      </w:r>
      <w:r w:rsidRPr="00382917">
        <w:t>Ṭáhirih</w:t>
      </w:r>
      <w:r w:rsidR="009C713D" w:rsidRPr="00382917">
        <w:t>’</w:t>
      </w:r>
      <w:r w:rsidRPr="00382917">
        <w:t>s</w:t>
      </w:r>
      <w:r w:rsidR="00EE4FC3">
        <w:t xml:space="preserve"> </w:t>
      </w:r>
      <w:r w:rsidRPr="00382917">
        <w:t>last</w:t>
      </w:r>
      <w:r w:rsidR="00EE4FC3">
        <w:t xml:space="preserve"> </w:t>
      </w:r>
      <w:r w:rsidRPr="00382917">
        <w:t>hours</w:t>
      </w:r>
      <w:r w:rsidR="0040329F">
        <w:t>.</w:t>
      </w:r>
      <w:r w:rsidR="00EE4FC3">
        <w:t xml:space="preserve">  </w:t>
      </w:r>
      <w:r w:rsidRPr="00382917">
        <w:t>She</w:t>
      </w:r>
      <w:r w:rsidR="00EE4FC3">
        <w:t xml:space="preserve"> </w:t>
      </w:r>
      <w:r w:rsidRPr="00382917">
        <w:t>endured</w:t>
      </w:r>
      <w:r w:rsidR="00EE4FC3">
        <w:t xml:space="preserve"> </w:t>
      </w:r>
      <w:r w:rsidRPr="00382917">
        <w:t>her</w:t>
      </w:r>
      <w:r w:rsidR="00EE4FC3">
        <w:t xml:space="preserve"> </w:t>
      </w:r>
      <w:r w:rsidRPr="00382917">
        <w:t>death</w:t>
      </w:r>
      <w:r w:rsidR="00EE4FC3">
        <w:t xml:space="preserve"> </w:t>
      </w:r>
      <w:r w:rsidRPr="00382917">
        <w:t>with</w:t>
      </w:r>
      <w:r w:rsidR="00EE4FC3">
        <w:t xml:space="preserve"> </w:t>
      </w:r>
      <w:r w:rsidR="009C713D" w:rsidRPr="00382917">
        <w:t>“</w:t>
      </w:r>
      <w:r w:rsidRPr="00382917">
        <w:t>super-human</w:t>
      </w:r>
      <w:r w:rsidR="00EE4FC3">
        <w:t xml:space="preserve"> </w:t>
      </w:r>
      <w:r w:rsidRPr="00382917">
        <w:t>fortitude,</w:t>
      </w:r>
      <w:r w:rsidR="009C713D" w:rsidRPr="00382917">
        <w:t>”</w:t>
      </w:r>
      <w:r w:rsidR="00EE4FC3">
        <w:t xml:space="preserve"> </w:t>
      </w:r>
      <w:r w:rsidRPr="00382917">
        <w:t>he</w:t>
      </w:r>
      <w:r w:rsidR="00EE4FC3">
        <w:t xml:space="preserve"> </w:t>
      </w:r>
      <w:r w:rsidRPr="00382917">
        <w:t>said.</w:t>
      </w:r>
      <w:r w:rsidR="008B2D55">
        <w:rPr>
          <w:rStyle w:val="FootnoteReference"/>
        </w:rPr>
        <w:footnoteReference w:id="159"/>
      </w:r>
      <w:r w:rsidR="008B2D55">
        <w:t xml:space="preserve"> </w:t>
      </w:r>
      <w:r w:rsidR="00EE4FC3">
        <w:t xml:space="preserve"> </w:t>
      </w:r>
      <w:r w:rsidRPr="00382917">
        <w:t>The</w:t>
      </w:r>
      <w:r w:rsidR="00EE4FC3">
        <w:t xml:space="preserve"> </w:t>
      </w:r>
      <w:r w:rsidRPr="00382917">
        <w:t>son</w:t>
      </w:r>
      <w:r w:rsidR="00EE4FC3">
        <w:t xml:space="preserve"> </w:t>
      </w:r>
      <w:r w:rsidRPr="00382917">
        <w:t>returned</w:t>
      </w:r>
      <w:r w:rsidR="00EE4FC3">
        <w:t xml:space="preserve"> </w:t>
      </w:r>
      <w:r w:rsidRPr="00382917">
        <w:t>to</w:t>
      </w:r>
      <w:r w:rsidR="00EE4FC3">
        <w:t xml:space="preserve"> </w:t>
      </w:r>
      <w:r w:rsidRPr="00382917">
        <w:t>tell</w:t>
      </w:r>
      <w:r w:rsidR="00EE4FC3">
        <w:t xml:space="preserve"> </w:t>
      </w:r>
      <w:r w:rsidRPr="00382917">
        <w:t>his</w:t>
      </w:r>
      <w:r w:rsidR="00EE4FC3">
        <w:t xml:space="preserve"> </w:t>
      </w:r>
      <w:r w:rsidRPr="00382917">
        <w:t>mother</w:t>
      </w:r>
      <w:r w:rsidR="00EE4FC3">
        <w:t xml:space="preserve"> </w:t>
      </w:r>
      <w:r w:rsidRPr="00382917">
        <w:t>what</w:t>
      </w:r>
      <w:r w:rsidR="00EE4FC3">
        <w:t xml:space="preserve"> </w:t>
      </w:r>
      <w:r w:rsidRPr="00382917">
        <w:t>had</w:t>
      </w:r>
      <w:r w:rsidR="00EE4FC3">
        <w:t xml:space="preserve"> </w:t>
      </w:r>
      <w:r w:rsidRPr="00382917">
        <w:t>happened.</w:t>
      </w:r>
    </w:p>
    <w:p w:rsidR="007E595F" w:rsidRPr="00382917" w:rsidRDefault="009C713D" w:rsidP="007E595F">
      <w:pPr>
        <w:pStyle w:val="Text"/>
      </w:pPr>
      <w:r w:rsidRPr="00382917">
        <w:t>“</w:t>
      </w:r>
      <w:r w:rsidR="007E595F" w:rsidRPr="00382917">
        <w:t>I</w:t>
      </w:r>
      <w:r w:rsidR="00EE4FC3">
        <w:t xml:space="preserve"> </w:t>
      </w:r>
      <w:r w:rsidR="007E595F" w:rsidRPr="00382917">
        <w:t>wept</w:t>
      </w:r>
      <w:r w:rsidR="00EE4FC3">
        <w:t xml:space="preserve"> </w:t>
      </w:r>
      <w:r w:rsidR="007E595F" w:rsidRPr="00382917">
        <w:t>hot</w:t>
      </w:r>
      <w:r w:rsidR="00EE4FC3">
        <w:t xml:space="preserve"> </w:t>
      </w:r>
      <w:r w:rsidR="007E595F" w:rsidRPr="00382917">
        <w:t>tears,</w:t>
      </w:r>
      <w:r w:rsidRPr="00382917">
        <w:t>”</w:t>
      </w:r>
      <w:r w:rsidR="00EE4FC3">
        <w:t xml:space="preserve"> </w:t>
      </w:r>
      <w:r w:rsidR="007E595F" w:rsidRPr="00382917">
        <w:t>she</w:t>
      </w:r>
      <w:r w:rsidR="00EE4FC3">
        <w:t xml:space="preserve"> </w:t>
      </w:r>
      <w:r w:rsidR="007E595F" w:rsidRPr="00382917">
        <w:t>recalled</w:t>
      </w:r>
      <w:r w:rsidR="00EE4FC3">
        <w:t xml:space="preserve"> </w:t>
      </w:r>
      <w:r w:rsidR="007E595F" w:rsidRPr="00382917">
        <w:t>later,</w:t>
      </w:r>
      <w:r w:rsidR="00EE4FC3">
        <w:t xml:space="preserve"> </w:t>
      </w:r>
      <w:r w:rsidRPr="00382917">
        <w:t>“</w:t>
      </w:r>
      <w:r w:rsidR="007E595F" w:rsidRPr="00382917">
        <w:t>as</w:t>
      </w:r>
      <w:r w:rsidR="00EE4FC3">
        <w:t xml:space="preserve"> </w:t>
      </w:r>
      <w:r w:rsidR="007E595F" w:rsidRPr="00382917">
        <w:t>my</w:t>
      </w:r>
      <w:r w:rsidR="00EE4FC3">
        <w:t xml:space="preserve"> </w:t>
      </w:r>
      <w:r w:rsidR="007E595F" w:rsidRPr="00382917">
        <w:t>son</w:t>
      </w:r>
      <w:r w:rsidR="00EE4FC3">
        <w:t xml:space="preserve"> </w:t>
      </w:r>
      <w:r w:rsidR="007E595F" w:rsidRPr="00382917">
        <w:t>unfolded</w:t>
      </w:r>
      <w:r w:rsidR="00EE4FC3">
        <w:t xml:space="preserve"> </w:t>
      </w:r>
      <w:r w:rsidR="007E595F" w:rsidRPr="00382917">
        <w:t>to</w:t>
      </w:r>
      <w:r w:rsidR="00EE4FC3">
        <w:t xml:space="preserve"> </w:t>
      </w:r>
      <w:r w:rsidR="007E595F" w:rsidRPr="00382917">
        <w:t>me</w:t>
      </w:r>
      <w:r w:rsidR="00EE4FC3">
        <w:t xml:space="preserve"> </w:t>
      </w:r>
      <w:r w:rsidR="007E595F" w:rsidRPr="00382917">
        <w:t>that</w:t>
      </w:r>
      <w:r w:rsidR="00EE4FC3">
        <w:t xml:space="preserve"> </w:t>
      </w:r>
      <w:r w:rsidR="007E595F" w:rsidRPr="00382917">
        <w:t>tragic</w:t>
      </w:r>
      <w:r w:rsidR="00EE4FC3">
        <w:t xml:space="preserve"> </w:t>
      </w:r>
      <w:r w:rsidR="007E595F" w:rsidRPr="00382917">
        <w:t>tale.</w:t>
      </w:r>
      <w:r w:rsidRPr="00382917">
        <w:t>”</w:t>
      </w:r>
      <w:r w:rsidR="00EE4FC3">
        <w:t xml:space="preserve"> </w:t>
      </w:r>
      <w:r w:rsidR="00650D36">
        <w:t xml:space="preserve"> </w:t>
      </w:r>
      <w:r w:rsidR="007E595F" w:rsidRPr="00382917">
        <w:t>As</w:t>
      </w:r>
      <w:r w:rsidR="00EE4FC3">
        <w:t xml:space="preserve"> </w:t>
      </w:r>
      <w:r w:rsidR="007E595F" w:rsidRPr="00382917">
        <w:t>she</w:t>
      </w:r>
      <w:r w:rsidR="00EE4FC3">
        <w:t xml:space="preserve"> </w:t>
      </w:r>
      <w:r w:rsidR="007E595F" w:rsidRPr="00382917">
        <w:t>stood</w:t>
      </w:r>
      <w:r w:rsidR="00EE4FC3">
        <w:t xml:space="preserve"> </w:t>
      </w:r>
      <w:r w:rsidR="007E595F" w:rsidRPr="00382917">
        <w:t>before</w:t>
      </w:r>
      <w:r w:rsidR="00EE4FC3">
        <w:t xml:space="preserve"> </w:t>
      </w:r>
      <w:r w:rsidR="007E595F" w:rsidRPr="00382917">
        <w:t>the</w:t>
      </w:r>
      <w:r w:rsidR="00EE4FC3">
        <w:t xml:space="preserve"> </w:t>
      </w:r>
      <w:r w:rsidR="007E595F" w:rsidRPr="00382917">
        <w:t>chest</w:t>
      </w:r>
      <w:r w:rsidR="00EE4FC3">
        <w:t xml:space="preserve"> </w:t>
      </w:r>
      <w:r w:rsidR="007E595F" w:rsidRPr="00382917">
        <w:t>Ṭáhirih</w:t>
      </w:r>
      <w:r w:rsidR="00EE4FC3">
        <w:t xml:space="preserve"> </w:t>
      </w:r>
      <w:r w:rsidR="007E595F" w:rsidRPr="00382917">
        <w:t>had</w:t>
      </w:r>
      <w:r w:rsidR="00EE4FC3">
        <w:t xml:space="preserve"> </w:t>
      </w:r>
      <w:r w:rsidR="007E595F" w:rsidRPr="00382917">
        <w:t>given</w:t>
      </w:r>
      <w:r w:rsidR="00EE4FC3">
        <w:t xml:space="preserve"> </w:t>
      </w:r>
      <w:r w:rsidR="007E595F" w:rsidRPr="00382917">
        <w:t>her,</w:t>
      </w:r>
      <w:r w:rsidR="00EE4FC3">
        <w:t xml:space="preserve"> </w:t>
      </w:r>
      <w:r w:rsidR="007E595F" w:rsidRPr="00382917">
        <w:t>she</w:t>
      </w:r>
      <w:r w:rsidR="00EE4FC3">
        <w:t xml:space="preserve"> </w:t>
      </w:r>
      <w:r w:rsidR="007E595F" w:rsidRPr="00382917">
        <w:t>wondered</w:t>
      </w:r>
      <w:r w:rsidR="00EE4FC3">
        <w:t xml:space="preserve"> </w:t>
      </w:r>
      <w:r w:rsidR="007E595F" w:rsidRPr="00382917">
        <w:t>what</w:t>
      </w:r>
      <w:r w:rsidR="00EE4FC3">
        <w:t xml:space="preserve"> </w:t>
      </w:r>
      <w:r w:rsidR="007E595F" w:rsidRPr="00382917">
        <w:t>it</w:t>
      </w:r>
      <w:r w:rsidR="00EE4FC3">
        <w:t xml:space="preserve"> </w:t>
      </w:r>
      <w:r w:rsidR="007E595F" w:rsidRPr="00382917">
        <w:t>was</w:t>
      </w:r>
      <w:r w:rsidR="00EE4FC3">
        <w:t xml:space="preserve"> </w:t>
      </w:r>
      <w:r w:rsidR="007E595F" w:rsidRPr="00382917">
        <w:t>that</w:t>
      </w:r>
      <w:r w:rsidR="00EE4FC3">
        <w:t xml:space="preserve"> </w:t>
      </w:r>
      <w:r w:rsidR="007E595F" w:rsidRPr="00382917">
        <w:t>could</w:t>
      </w:r>
      <w:r w:rsidR="00EE4FC3">
        <w:t xml:space="preserve"> </w:t>
      </w:r>
      <w:r w:rsidR="007E595F" w:rsidRPr="00382917">
        <w:t>have</w:t>
      </w:r>
      <w:r w:rsidR="00EE4FC3">
        <w:t xml:space="preserve"> </w:t>
      </w:r>
      <w:r w:rsidR="007E595F" w:rsidRPr="00382917">
        <w:t>induced</w:t>
      </w:r>
      <w:r w:rsidR="00EE4FC3">
        <w:t xml:space="preserve"> </w:t>
      </w:r>
      <w:r w:rsidR="007E595F" w:rsidRPr="00382917">
        <w:t>so</w:t>
      </w:r>
      <w:r w:rsidR="00EE4FC3">
        <w:t xml:space="preserve"> </w:t>
      </w:r>
      <w:r w:rsidR="007E595F" w:rsidRPr="00382917">
        <w:t>great</w:t>
      </w:r>
      <w:r w:rsidR="00EE4FC3">
        <w:t xml:space="preserve"> </w:t>
      </w:r>
      <w:r w:rsidR="007E595F" w:rsidRPr="00382917">
        <w:t>a</w:t>
      </w:r>
      <w:r w:rsidR="00EE4FC3">
        <w:t xml:space="preserve"> </w:t>
      </w:r>
      <w:r w:rsidR="007E595F" w:rsidRPr="00382917">
        <w:t>woman</w:t>
      </w:r>
      <w:r w:rsidR="00EE4FC3">
        <w:t xml:space="preserve"> </w:t>
      </w:r>
      <w:r w:rsidR="007E595F" w:rsidRPr="00382917">
        <w:t>to</w:t>
      </w:r>
      <w:r w:rsidR="00EE4FC3">
        <w:t xml:space="preserve"> </w:t>
      </w:r>
      <w:r w:rsidR="007E595F" w:rsidRPr="00382917">
        <w:t>forsake</w:t>
      </w:r>
      <w:r w:rsidR="00EE4FC3">
        <w:t xml:space="preserve"> </w:t>
      </w:r>
      <w:r w:rsidR="007E595F" w:rsidRPr="00382917">
        <w:t>all</w:t>
      </w:r>
      <w:r w:rsidR="00EE4FC3">
        <w:t xml:space="preserve"> </w:t>
      </w:r>
      <w:r w:rsidR="007E595F" w:rsidRPr="00382917">
        <w:t>the</w:t>
      </w:r>
      <w:r w:rsidR="00EE4FC3">
        <w:t xml:space="preserve"> </w:t>
      </w:r>
      <w:r w:rsidR="007E595F" w:rsidRPr="00382917">
        <w:t>riches</w:t>
      </w:r>
      <w:r w:rsidR="00EE4FC3">
        <w:t xml:space="preserve"> </w:t>
      </w:r>
      <w:r w:rsidR="007E595F" w:rsidRPr="00382917">
        <w:t>and</w:t>
      </w:r>
      <w:r w:rsidR="00EE4FC3">
        <w:t xml:space="preserve"> </w:t>
      </w:r>
      <w:proofErr w:type="spellStart"/>
      <w:r w:rsidR="007E595F" w:rsidRPr="00382917">
        <w:t>honors</w:t>
      </w:r>
      <w:proofErr w:type="spellEnd"/>
      <w:r w:rsidR="00EE4FC3">
        <w:t xml:space="preserve"> </w:t>
      </w:r>
      <w:r w:rsidR="007E595F" w:rsidRPr="00382917">
        <w:t>with</w:t>
      </w:r>
      <w:r w:rsidR="00EE4FC3">
        <w:t xml:space="preserve"> </w:t>
      </w:r>
      <w:r w:rsidR="007E595F" w:rsidRPr="00382917">
        <w:t>which</w:t>
      </w:r>
      <w:r w:rsidR="00EE4FC3">
        <w:t xml:space="preserve"> </w:t>
      </w:r>
      <w:r w:rsidR="007E595F" w:rsidRPr="00382917">
        <w:t>she</w:t>
      </w:r>
      <w:r w:rsidR="00EE4FC3">
        <w:t xml:space="preserve"> </w:t>
      </w:r>
      <w:r w:rsidR="007E595F" w:rsidRPr="00382917">
        <w:t>had</w:t>
      </w:r>
      <w:r w:rsidR="00EE4FC3">
        <w:t xml:space="preserve"> </w:t>
      </w:r>
      <w:r w:rsidR="007E595F" w:rsidRPr="00382917">
        <w:t>been</w:t>
      </w:r>
      <w:r w:rsidR="00EE4FC3">
        <w:t xml:space="preserve"> </w:t>
      </w:r>
      <w:r w:rsidR="007E595F" w:rsidRPr="00382917">
        <w:t>surrounded,</w:t>
      </w:r>
      <w:r w:rsidR="00EE4FC3">
        <w:t xml:space="preserve"> </w:t>
      </w:r>
      <w:r w:rsidR="007E595F" w:rsidRPr="00382917">
        <w:t>and</w:t>
      </w:r>
      <w:r w:rsidR="00EE4FC3">
        <w:t xml:space="preserve"> </w:t>
      </w:r>
      <w:r w:rsidR="007E595F" w:rsidRPr="00382917">
        <w:t>to</w:t>
      </w:r>
      <w:r w:rsidR="00EE4FC3">
        <w:t xml:space="preserve"> </w:t>
      </w:r>
      <w:r w:rsidR="007E595F" w:rsidRPr="00382917">
        <w:t>identify</w:t>
      </w:r>
      <w:r w:rsidR="00EE4FC3">
        <w:t xml:space="preserve"> </w:t>
      </w:r>
      <w:r w:rsidR="007E595F" w:rsidRPr="00382917">
        <w:t>herself</w:t>
      </w:r>
      <w:r w:rsidR="00EE4FC3">
        <w:t xml:space="preserve"> </w:t>
      </w:r>
      <w:r w:rsidR="007E595F" w:rsidRPr="00382917">
        <w:t>with</w:t>
      </w:r>
      <w:r w:rsidR="00EE4FC3">
        <w:t xml:space="preserve"> </w:t>
      </w:r>
      <w:r w:rsidR="007E595F" w:rsidRPr="00382917">
        <w:t>the</w:t>
      </w:r>
      <w:r w:rsidR="00EE4FC3">
        <w:t xml:space="preserve"> </w:t>
      </w:r>
      <w:r w:rsidR="007E595F" w:rsidRPr="00382917">
        <w:t>Cause</w:t>
      </w:r>
      <w:r w:rsidR="00EE4FC3">
        <w:t xml:space="preserve"> </w:t>
      </w:r>
      <w:r w:rsidR="007E595F" w:rsidRPr="00382917">
        <w:t>of</w:t>
      </w:r>
      <w:r w:rsidR="00EE4FC3">
        <w:t xml:space="preserve"> </w:t>
      </w:r>
      <w:r w:rsidR="007E595F" w:rsidRPr="00382917">
        <w:t>an</w:t>
      </w:r>
      <w:r w:rsidR="00EE4FC3">
        <w:t xml:space="preserve"> </w:t>
      </w:r>
      <w:r w:rsidR="007E595F" w:rsidRPr="00382917">
        <w:t>obscure</w:t>
      </w:r>
      <w:r w:rsidR="00EE4FC3">
        <w:t xml:space="preserve"> </w:t>
      </w:r>
      <w:r w:rsidR="007E595F" w:rsidRPr="00382917">
        <w:t>youth</w:t>
      </w:r>
      <w:r w:rsidR="00EE4FC3">
        <w:t xml:space="preserve"> </w:t>
      </w:r>
      <w:r w:rsidR="007E595F" w:rsidRPr="00382917">
        <w:t>from</w:t>
      </w:r>
      <w:r w:rsidR="00EE4FC3">
        <w:t xml:space="preserve"> </w:t>
      </w:r>
      <w:r w:rsidR="008A073E" w:rsidRPr="00382917">
        <w:rPr>
          <w:u w:val="single"/>
        </w:rPr>
        <w:t>Sh</w:t>
      </w:r>
      <w:r w:rsidR="008A073E" w:rsidRPr="00382917">
        <w:t>íráz</w:t>
      </w:r>
      <w:r w:rsidR="0040329F">
        <w:t>.</w:t>
      </w:r>
      <w:r w:rsidR="00EE4FC3">
        <w:t xml:space="preserve">  </w:t>
      </w:r>
      <w:r w:rsidR="007E595F" w:rsidRPr="00382917">
        <w:t>What</w:t>
      </w:r>
      <w:r w:rsidR="00EE4FC3">
        <w:t xml:space="preserve"> </w:t>
      </w:r>
      <w:r w:rsidR="007E595F" w:rsidRPr="00382917">
        <w:t>could</w:t>
      </w:r>
      <w:r w:rsidR="00EE4FC3">
        <w:t xml:space="preserve"> </w:t>
      </w:r>
      <w:r w:rsidR="007E595F" w:rsidRPr="00382917">
        <w:t>have</w:t>
      </w:r>
      <w:r w:rsidR="00EE4FC3">
        <w:t xml:space="preserve"> </w:t>
      </w:r>
      <w:r w:rsidR="007E595F" w:rsidRPr="00382917">
        <w:t>been</w:t>
      </w:r>
      <w:r w:rsidR="00EE4FC3">
        <w:t xml:space="preserve"> </w:t>
      </w:r>
      <w:r w:rsidR="007E595F" w:rsidRPr="00382917">
        <w:t>the</w:t>
      </w:r>
      <w:r w:rsidR="00EE4FC3">
        <w:t xml:space="preserve"> </w:t>
      </w:r>
      <w:r w:rsidR="007E595F" w:rsidRPr="00382917">
        <w:t>secret</w:t>
      </w:r>
      <w:r w:rsidR="00EE4FC3">
        <w:t xml:space="preserve"> </w:t>
      </w:r>
      <w:r w:rsidR="007E595F" w:rsidRPr="00382917">
        <w:t>of</w:t>
      </w:r>
      <w:r w:rsidR="00EE4FC3">
        <w:t xml:space="preserve"> </w:t>
      </w:r>
      <w:r w:rsidR="007E595F" w:rsidRPr="00382917">
        <w:t>that</w:t>
      </w:r>
      <w:r w:rsidR="00EE4FC3">
        <w:t xml:space="preserve"> </w:t>
      </w:r>
      <w:r w:rsidR="007E595F" w:rsidRPr="00382917">
        <w:t>power</w:t>
      </w:r>
      <w:r w:rsidR="00EE4FC3">
        <w:t xml:space="preserve"> </w:t>
      </w:r>
      <w:r w:rsidR="007E595F" w:rsidRPr="00382917">
        <w:t>that</w:t>
      </w:r>
      <w:r w:rsidR="00EE4FC3">
        <w:t xml:space="preserve"> </w:t>
      </w:r>
      <w:r w:rsidR="007E595F" w:rsidRPr="00382917">
        <w:t>tore</w:t>
      </w:r>
      <w:r w:rsidR="00EE4FC3">
        <w:t xml:space="preserve"> </w:t>
      </w:r>
      <w:r w:rsidR="007E595F" w:rsidRPr="00382917">
        <w:t>her</w:t>
      </w:r>
      <w:r w:rsidR="00EE4FC3">
        <w:t xml:space="preserve"> </w:t>
      </w:r>
      <w:r w:rsidR="007E595F" w:rsidRPr="00382917">
        <w:t>away</w:t>
      </w:r>
      <w:r w:rsidR="00EE4FC3">
        <w:t xml:space="preserve"> </w:t>
      </w:r>
      <w:r w:rsidR="007E595F" w:rsidRPr="00382917">
        <w:t>from</w:t>
      </w:r>
      <w:r w:rsidR="00EE4FC3">
        <w:t xml:space="preserve"> </w:t>
      </w:r>
      <w:r w:rsidR="007E595F" w:rsidRPr="00382917">
        <w:t>home</w:t>
      </w:r>
      <w:r w:rsidR="00EE4FC3">
        <w:t xml:space="preserve"> </w:t>
      </w:r>
      <w:r w:rsidR="007E595F" w:rsidRPr="00382917">
        <w:t>and</w:t>
      </w:r>
      <w:r w:rsidR="00EE4FC3">
        <w:t xml:space="preserve"> </w:t>
      </w:r>
      <w:proofErr w:type="gramStart"/>
      <w:r w:rsidR="007E595F" w:rsidRPr="00382917">
        <w:t>kindred,</w:t>
      </w:r>
      <w:r w:rsidR="00EE4FC3">
        <w:t xml:space="preserve"> </w:t>
      </w:r>
      <w:r w:rsidR="007E595F" w:rsidRPr="00382917">
        <w:t>that</w:t>
      </w:r>
      <w:proofErr w:type="gramEnd"/>
      <w:r w:rsidR="00EE4FC3">
        <w:t xml:space="preserve"> </w:t>
      </w:r>
      <w:r w:rsidR="007E595F" w:rsidRPr="00382917">
        <w:t>sustained</w:t>
      </w:r>
      <w:r w:rsidR="00EE4FC3">
        <w:t xml:space="preserve"> </w:t>
      </w:r>
      <w:r w:rsidR="007E595F" w:rsidRPr="00382917">
        <w:t>her</w:t>
      </w:r>
      <w:r w:rsidR="00EE4FC3">
        <w:t xml:space="preserve"> </w:t>
      </w:r>
      <w:r w:rsidR="007E595F" w:rsidRPr="00382917">
        <w:t>to</w:t>
      </w:r>
      <w:r w:rsidR="00EE4FC3">
        <w:t xml:space="preserve"> </w:t>
      </w:r>
      <w:r w:rsidR="007E595F" w:rsidRPr="00382917">
        <w:t>her</w:t>
      </w:r>
      <w:r w:rsidR="00EE4FC3">
        <w:t xml:space="preserve"> </w:t>
      </w:r>
      <w:r w:rsidR="007E595F" w:rsidRPr="00382917">
        <w:t>grave</w:t>
      </w:r>
      <w:r w:rsidR="0040329F">
        <w:t>.</w:t>
      </w:r>
      <w:r w:rsidR="00EE4FC3">
        <w:t xml:space="preserve">  </w:t>
      </w:r>
      <w:r w:rsidR="007E595F" w:rsidRPr="00382917">
        <w:t>Could</w:t>
      </w:r>
      <w:r w:rsidR="00EE4FC3">
        <w:t xml:space="preserve"> </w:t>
      </w:r>
      <w:r w:rsidR="007E595F" w:rsidRPr="00382917">
        <w:t>the</w:t>
      </w:r>
      <w:r w:rsidR="00EE4FC3">
        <w:t xml:space="preserve"> </w:t>
      </w:r>
      <w:r w:rsidR="007E595F" w:rsidRPr="00382917">
        <w:t>hand</w:t>
      </w:r>
      <w:r w:rsidR="00EE4FC3">
        <w:t xml:space="preserve"> </w:t>
      </w:r>
      <w:r w:rsidR="007E595F" w:rsidRPr="00382917">
        <w:t>of</w:t>
      </w:r>
      <w:r w:rsidR="00EE4FC3">
        <w:t xml:space="preserve"> </w:t>
      </w:r>
      <w:r w:rsidR="007E595F" w:rsidRPr="00382917">
        <w:t>the</w:t>
      </w:r>
      <w:r w:rsidR="00EE4FC3">
        <w:t xml:space="preserve"> </w:t>
      </w:r>
      <w:r w:rsidR="007E595F" w:rsidRPr="00382917">
        <w:t>Almighty</w:t>
      </w:r>
      <w:r w:rsidR="00EE4FC3">
        <w:t xml:space="preserve"> </w:t>
      </w:r>
      <w:r w:rsidR="007E595F" w:rsidRPr="00382917">
        <w:t>have</w:t>
      </w:r>
      <w:r w:rsidR="00EE4FC3">
        <w:t xml:space="preserve"> </w:t>
      </w:r>
      <w:r w:rsidR="007E595F" w:rsidRPr="00382917">
        <w:t>guided</w:t>
      </w:r>
      <w:r w:rsidR="00EE4FC3">
        <w:t xml:space="preserve"> </w:t>
      </w:r>
      <w:r w:rsidR="007E595F" w:rsidRPr="00382917">
        <w:t>her?</w:t>
      </w:r>
    </w:p>
    <w:p w:rsidR="007E595F" w:rsidRPr="00382917" w:rsidRDefault="007E595F" w:rsidP="00650D36">
      <w:pPr>
        <w:pStyle w:val="Text"/>
      </w:pPr>
      <w:proofErr w:type="gramStart"/>
      <w:r w:rsidRPr="00382917">
        <w:t>Thus</w:t>
      </w:r>
      <w:r w:rsidR="00EE4FC3">
        <w:t xml:space="preserve"> </w:t>
      </w:r>
      <w:r w:rsidRPr="00382917">
        <w:t>ended</w:t>
      </w:r>
      <w:r w:rsidR="00EE4FC3">
        <w:t xml:space="preserve"> </w:t>
      </w:r>
      <w:r w:rsidRPr="00382917">
        <w:t>the</w:t>
      </w:r>
      <w:r w:rsidR="00EE4FC3">
        <w:t xml:space="preserve"> </w:t>
      </w:r>
      <w:r w:rsidRPr="00382917">
        <w:t>life</w:t>
      </w:r>
      <w:r w:rsidR="00EE4FC3">
        <w:t xml:space="preserve"> </w:t>
      </w:r>
      <w:r w:rsidRPr="00382917">
        <w:t>of</w:t>
      </w:r>
      <w:r w:rsidR="00EE4FC3">
        <w:t xml:space="preserve"> </w:t>
      </w:r>
      <w:r w:rsidRPr="00382917">
        <w:t>Ṭáhirih</w:t>
      </w:r>
      <w:r w:rsidR="0040329F">
        <w:t>.</w:t>
      </w:r>
      <w:proofErr w:type="gramEnd"/>
      <w:r w:rsidR="00EE4FC3">
        <w:t xml:space="preserve">  </w:t>
      </w:r>
      <w:r w:rsidRPr="00382917">
        <w:t>She</w:t>
      </w:r>
      <w:r w:rsidR="00EE4FC3">
        <w:t xml:space="preserve"> </w:t>
      </w:r>
      <w:r w:rsidRPr="00382917">
        <w:t>was</w:t>
      </w:r>
      <w:r w:rsidR="00EE4FC3">
        <w:t xml:space="preserve"> </w:t>
      </w:r>
      <w:r w:rsidRPr="00382917">
        <w:t>one</w:t>
      </w:r>
      <w:r w:rsidR="00EE4FC3">
        <w:t xml:space="preserve"> </w:t>
      </w:r>
      <w:r w:rsidRPr="00382917">
        <w:t>of</w:t>
      </w:r>
      <w:r w:rsidR="00EE4FC3">
        <w:t xml:space="preserve"> </w:t>
      </w:r>
      <w:r w:rsidRPr="00382917">
        <w:t>the</w:t>
      </w:r>
      <w:r w:rsidR="00EE4FC3">
        <w:t xml:space="preserve"> </w:t>
      </w:r>
      <w:r w:rsidRPr="00382917">
        <w:t>greatest</w:t>
      </w:r>
      <w:r w:rsidR="00EE4FC3">
        <w:t xml:space="preserve"> </w:t>
      </w:r>
      <w:r w:rsidRPr="00382917">
        <w:t>of</w:t>
      </w:r>
      <w:r w:rsidR="00EE4FC3">
        <w:t xml:space="preserve"> </w:t>
      </w:r>
      <w:r w:rsidRPr="00382917">
        <w:t>the</w:t>
      </w:r>
      <w:r w:rsidR="00EE4FC3">
        <w:t xml:space="preserve"> </w:t>
      </w:r>
      <w:r w:rsidRPr="00382917">
        <w:t>disciples</w:t>
      </w:r>
      <w:r w:rsidR="00EE4FC3">
        <w:t xml:space="preserve"> </w:t>
      </w:r>
      <w:r w:rsidRPr="00382917">
        <w:t>of</w:t>
      </w:r>
      <w:r w:rsidR="00EE4FC3">
        <w:t xml:space="preserve"> </w:t>
      </w:r>
      <w:r w:rsidRPr="00382917">
        <w:t>the</w:t>
      </w:r>
      <w:r w:rsidR="00EE4FC3">
        <w:t xml:space="preserve"> </w:t>
      </w:r>
      <w:r w:rsidRPr="00382917">
        <w:t>Báb</w:t>
      </w:r>
      <w:r w:rsidR="0040329F">
        <w:t>.</w:t>
      </w:r>
      <w:r w:rsidR="00EE4FC3">
        <w:t xml:space="preserve">  </w:t>
      </w:r>
      <w:r w:rsidRPr="00382917">
        <w:t>She</w:t>
      </w:r>
      <w:r w:rsidR="00EE4FC3">
        <w:t xml:space="preserve"> </w:t>
      </w:r>
      <w:r w:rsidRPr="00382917">
        <w:t>was</w:t>
      </w:r>
      <w:r w:rsidR="00EE4FC3">
        <w:t xml:space="preserve"> </w:t>
      </w:r>
      <w:r w:rsidRPr="00382917">
        <w:t>the</w:t>
      </w:r>
      <w:r w:rsidR="00EE4FC3">
        <w:t xml:space="preserve"> </w:t>
      </w:r>
      <w:r w:rsidRPr="00382917">
        <w:t>first</w:t>
      </w:r>
      <w:r w:rsidR="00EE4FC3">
        <w:t xml:space="preserve"> </w:t>
      </w:r>
      <w:r w:rsidRPr="00382917">
        <w:t>woman-suffrage</w:t>
      </w:r>
      <w:r w:rsidR="00EE4FC3">
        <w:t xml:space="preserve"> </w:t>
      </w:r>
      <w:r w:rsidRPr="00382917">
        <w:t>martyr</w:t>
      </w:r>
      <w:r w:rsidR="00EE4FC3">
        <w:t xml:space="preserve"> </w:t>
      </w:r>
      <w:r w:rsidRPr="00382917">
        <w:t>as</w:t>
      </w:r>
      <w:r w:rsidR="00EE4FC3">
        <w:t xml:space="preserve"> </w:t>
      </w:r>
      <w:r w:rsidRPr="00382917">
        <w:t>well</w:t>
      </w:r>
      <w:r w:rsidR="0040329F">
        <w:t>.</w:t>
      </w:r>
      <w:r w:rsidR="00EE4FC3">
        <w:t xml:space="preserve">  </w:t>
      </w:r>
      <w:r w:rsidRPr="00382917">
        <w:t>As</w:t>
      </w:r>
      <w:r w:rsidR="00EE4FC3">
        <w:t xml:space="preserve"> </w:t>
      </w:r>
      <w:r w:rsidRPr="00382917">
        <w:t>the</w:t>
      </w:r>
      <w:r w:rsidR="00EE4FC3">
        <w:t xml:space="preserve"> </w:t>
      </w:r>
      <w:r w:rsidRPr="00382917">
        <w:t>hour</w:t>
      </w:r>
      <w:r w:rsidR="00EE4FC3">
        <w:t xml:space="preserve"> </w:t>
      </w:r>
      <w:r w:rsidRPr="00382917">
        <w:t>of</w:t>
      </w:r>
      <w:r w:rsidR="00EE4FC3">
        <w:t xml:space="preserve"> </w:t>
      </w:r>
      <w:r w:rsidRPr="00382917">
        <w:t>her</w:t>
      </w:r>
      <w:r w:rsidR="00EE4FC3">
        <w:t xml:space="preserve"> </w:t>
      </w:r>
      <w:r w:rsidRPr="00382917">
        <w:t>death</w:t>
      </w:r>
      <w:r w:rsidR="00EE4FC3">
        <w:t xml:space="preserve"> </w:t>
      </w:r>
      <w:r w:rsidRPr="00382917">
        <w:t>approached,</w:t>
      </w:r>
      <w:r w:rsidR="00EE4FC3">
        <w:t xml:space="preserve"> </w:t>
      </w:r>
      <w:r w:rsidRPr="00382917">
        <w:t>she</w:t>
      </w:r>
      <w:r w:rsidR="00EE4FC3">
        <w:t xml:space="preserve"> </w:t>
      </w:r>
      <w:r w:rsidRPr="00382917">
        <w:t>turned</w:t>
      </w:r>
      <w:r w:rsidR="00EE4FC3">
        <w:t xml:space="preserve"> </w:t>
      </w:r>
      <w:r w:rsidRPr="00382917">
        <w:t>to</w:t>
      </w:r>
      <w:r w:rsidR="00EE4FC3">
        <w:t xml:space="preserve"> </w:t>
      </w:r>
      <w:r w:rsidRPr="00382917">
        <w:t>the</w:t>
      </w:r>
      <w:r w:rsidR="00EE4FC3">
        <w:t xml:space="preserve"> </w:t>
      </w:r>
      <w:r w:rsidRPr="00382917">
        <w:t>one</w:t>
      </w:r>
      <w:r w:rsidR="00EE4FC3">
        <w:t xml:space="preserve"> </w:t>
      </w:r>
      <w:r w:rsidRPr="00382917">
        <w:t>into</w:t>
      </w:r>
      <w:r w:rsidR="00EE4FC3">
        <w:t xml:space="preserve"> </w:t>
      </w:r>
      <w:r w:rsidRPr="00382917">
        <w:t>whose</w:t>
      </w:r>
      <w:r w:rsidR="00EE4FC3">
        <w:t xml:space="preserve"> </w:t>
      </w:r>
      <w:r w:rsidRPr="00382917">
        <w:t>custody</w:t>
      </w:r>
      <w:r w:rsidR="00EE4FC3">
        <w:t xml:space="preserve"> </w:t>
      </w:r>
      <w:r w:rsidRPr="00382917">
        <w:t>she</w:t>
      </w:r>
      <w:r w:rsidR="00EE4FC3">
        <w:t xml:space="preserve"> </w:t>
      </w:r>
      <w:r w:rsidRPr="00382917">
        <w:t>had</w:t>
      </w:r>
      <w:r w:rsidR="00EE4FC3">
        <w:t xml:space="preserve"> </w:t>
      </w:r>
      <w:r w:rsidRPr="00382917">
        <w:t>been</w:t>
      </w:r>
      <w:r w:rsidR="00EE4FC3">
        <w:t xml:space="preserve"> </w:t>
      </w:r>
      <w:r w:rsidRPr="00382917">
        <w:t>placed,</w:t>
      </w:r>
      <w:r w:rsidR="00EE4FC3">
        <w:t xml:space="preserve"> </w:t>
      </w:r>
      <w:r w:rsidRPr="00382917">
        <w:t>and</w:t>
      </w:r>
      <w:r w:rsidR="00EE4FC3">
        <w:t xml:space="preserve"> </w:t>
      </w:r>
      <w:r w:rsidRPr="00382917">
        <w:t>declared</w:t>
      </w:r>
      <w:r w:rsidR="00EE4FC3">
        <w:t xml:space="preserve"> </w:t>
      </w:r>
      <w:r w:rsidRPr="00382917">
        <w:t>boldly</w:t>
      </w:r>
      <w:r w:rsidR="00C03C91">
        <w:t>:</w:t>
      </w:r>
      <w:r w:rsidR="00EE4FC3">
        <w:t xml:space="preserve">  </w:t>
      </w:r>
      <w:r w:rsidR="009C713D" w:rsidRPr="00382917">
        <w:t>“</w:t>
      </w:r>
      <w:r w:rsidRPr="00382917">
        <w:t>You</w:t>
      </w:r>
      <w:r w:rsidR="00EE4FC3">
        <w:t xml:space="preserve"> </w:t>
      </w:r>
      <w:r w:rsidRPr="00382917">
        <w:t>can</w:t>
      </w:r>
      <w:r w:rsidR="00EE4FC3">
        <w:t xml:space="preserve"> </w:t>
      </w:r>
      <w:r w:rsidRPr="00382917">
        <w:t>kill</w:t>
      </w:r>
      <w:r w:rsidR="00EE4FC3">
        <w:t xml:space="preserve"> </w:t>
      </w:r>
      <w:r w:rsidRPr="00382917">
        <w:t>me</w:t>
      </w:r>
      <w:r w:rsidR="00EE4FC3">
        <w:t xml:space="preserve"> </w:t>
      </w:r>
      <w:r w:rsidRPr="00382917">
        <w:t>as</w:t>
      </w:r>
      <w:r w:rsidR="00EE4FC3">
        <w:t xml:space="preserve"> </w:t>
      </w:r>
      <w:r w:rsidRPr="00382917">
        <w:t>soon</w:t>
      </w:r>
      <w:r w:rsidR="00EE4FC3">
        <w:t xml:space="preserve"> </w:t>
      </w:r>
      <w:r w:rsidRPr="00382917">
        <w:t>as</w:t>
      </w:r>
      <w:r w:rsidR="00EE4FC3">
        <w:t xml:space="preserve"> </w:t>
      </w:r>
      <w:r w:rsidRPr="00382917">
        <w:t>you</w:t>
      </w:r>
      <w:r w:rsidR="00EE4FC3">
        <w:t xml:space="preserve"> </w:t>
      </w:r>
      <w:r w:rsidRPr="00382917">
        <w:t>like,</w:t>
      </w:r>
      <w:r w:rsidR="00EE4FC3">
        <w:t xml:space="preserve"> </w:t>
      </w:r>
      <w:r w:rsidRPr="00382917">
        <w:t>but</w:t>
      </w:r>
      <w:r w:rsidR="00EE4FC3">
        <w:t xml:space="preserve"> </w:t>
      </w:r>
      <w:r w:rsidRPr="00382917">
        <w:t>you</w:t>
      </w:r>
      <w:r w:rsidR="00EE4FC3">
        <w:t xml:space="preserve"> </w:t>
      </w:r>
      <w:r w:rsidRPr="00382917">
        <w:t>cannot</w:t>
      </w:r>
      <w:r w:rsidR="00EE4FC3">
        <w:t xml:space="preserve"> </w:t>
      </w:r>
      <w:r w:rsidRPr="00382917">
        <w:t>stop</w:t>
      </w:r>
      <w:r w:rsidR="00EE4FC3">
        <w:t xml:space="preserve"> </w:t>
      </w:r>
      <w:r w:rsidRPr="00382917">
        <w:t>the</w:t>
      </w:r>
      <w:r w:rsidR="00EE4FC3">
        <w:t xml:space="preserve"> </w:t>
      </w:r>
      <w:r w:rsidRPr="00382917">
        <w:t>emancipation</w:t>
      </w:r>
      <w:r w:rsidR="00EE4FC3">
        <w:t xml:space="preserve"> </w:t>
      </w:r>
      <w:r w:rsidRPr="00382917">
        <w:t>of</w:t>
      </w:r>
      <w:r w:rsidR="00EE4FC3">
        <w:t xml:space="preserve"> </w:t>
      </w:r>
      <w:r w:rsidRPr="00382917">
        <w:t>woman!</w:t>
      </w:r>
      <w:r w:rsidR="009C713D" w:rsidRPr="00382917">
        <w:t>”</w:t>
      </w:r>
      <w:r w:rsidR="00650D36">
        <w:rPr>
          <w:rStyle w:val="FootnoteReference"/>
        </w:rPr>
        <w:footnoteReference w:id="160"/>
      </w:r>
    </w:p>
    <w:p w:rsidR="007E595F" w:rsidRPr="00382917" w:rsidRDefault="007E595F" w:rsidP="007E595F">
      <w:pPr>
        <w:pStyle w:val="Text"/>
      </w:pPr>
      <w:r w:rsidRPr="00382917">
        <w:t>Her</w:t>
      </w:r>
      <w:r w:rsidR="00EE4FC3">
        <w:t xml:space="preserve"> </w:t>
      </w:r>
      <w:r w:rsidRPr="00382917">
        <w:t>career</w:t>
      </w:r>
      <w:r w:rsidR="00EE4FC3">
        <w:t xml:space="preserve"> </w:t>
      </w:r>
      <w:r w:rsidRPr="00382917">
        <w:t>was</w:t>
      </w:r>
      <w:r w:rsidR="00EE4FC3">
        <w:t xml:space="preserve"> </w:t>
      </w:r>
      <w:r w:rsidRPr="00382917">
        <w:t>dazzling,</w:t>
      </w:r>
      <w:r w:rsidR="00EE4FC3">
        <w:t xml:space="preserve"> </w:t>
      </w:r>
      <w:r w:rsidRPr="00382917">
        <w:t>brief,</w:t>
      </w:r>
      <w:r w:rsidR="00EE4FC3">
        <w:t xml:space="preserve"> </w:t>
      </w:r>
      <w:r w:rsidRPr="00382917">
        <w:t>tragic,</w:t>
      </w:r>
      <w:r w:rsidR="00EE4FC3">
        <w:t xml:space="preserve"> </w:t>
      </w:r>
      <w:r w:rsidRPr="00382917">
        <w:t>and</w:t>
      </w:r>
      <w:r w:rsidR="00EE4FC3">
        <w:t xml:space="preserve"> </w:t>
      </w:r>
      <w:r w:rsidRPr="00382917">
        <w:t>eventful</w:t>
      </w:r>
      <w:r w:rsidR="0040329F">
        <w:t>.</w:t>
      </w:r>
      <w:r w:rsidR="00EE4FC3">
        <w:t xml:space="preserve">  </w:t>
      </w:r>
      <w:r w:rsidRPr="00382917">
        <w:t>The</w:t>
      </w:r>
      <w:r w:rsidR="00EE4FC3">
        <w:t xml:space="preserve"> </w:t>
      </w:r>
      <w:r w:rsidRPr="00382917">
        <w:t>fame</w:t>
      </w:r>
      <w:r w:rsidR="00EE4FC3">
        <w:t xml:space="preserve"> </w:t>
      </w:r>
      <w:r w:rsidRPr="00382917">
        <w:t>of</w:t>
      </w:r>
      <w:r w:rsidR="00EE4FC3">
        <w:t xml:space="preserve"> </w:t>
      </w:r>
      <w:r w:rsidRPr="00382917">
        <w:t>Ṭáhirih</w:t>
      </w:r>
      <w:r w:rsidR="00EE4FC3">
        <w:t xml:space="preserve"> </w:t>
      </w:r>
      <w:r w:rsidRPr="00382917">
        <w:t>spread</w:t>
      </w:r>
      <w:r w:rsidR="00EE4FC3">
        <w:t xml:space="preserve"> </w:t>
      </w:r>
      <w:r w:rsidRPr="00382917">
        <w:t>with</w:t>
      </w:r>
      <w:r w:rsidR="00EE4FC3">
        <w:t xml:space="preserve"> </w:t>
      </w:r>
      <w:r w:rsidRPr="00382917">
        <w:t>the</w:t>
      </w:r>
      <w:r w:rsidR="00EE4FC3">
        <w:t xml:space="preserve"> </w:t>
      </w:r>
      <w:r w:rsidRPr="00382917">
        <w:t>same</w:t>
      </w:r>
      <w:r w:rsidR="00EE4FC3">
        <w:t xml:space="preserve"> </w:t>
      </w:r>
      <w:r w:rsidRPr="00382917">
        <w:t>remarkable</w:t>
      </w:r>
      <w:r w:rsidR="00EE4FC3">
        <w:t xml:space="preserve"> </w:t>
      </w:r>
      <w:r w:rsidRPr="00382917">
        <w:t>swiftness</w:t>
      </w:r>
      <w:r w:rsidR="00EE4FC3">
        <w:t xml:space="preserve"> </w:t>
      </w:r>
      <w:r w:rsidRPr="00382917">
        <w:t>as</w:t>
      </w:r>
      <w:r w:rsidR="00EE4FC3">
        <w:t xml:space="preserve"> </w:t>
      </w:r>
      <w:r w:rsidRPr="00382917">
        <w:t>that</w:t>
      </w:r>
      <w:r w:rsidR="00EE4FC3">
        <w:t xml:space="preserve"> </w:t>
      </w:r>
      <w:r w:rsidRPr="00382917">
        <w:t>of</w:t>
      </w:r>
      <w:r w:rsidR="00EE4FC3">
        <w:t xml:space="preserve"> </w:t>
      </w:r>
      <w:r w:rsidRPr="00382917">
        <w:t>the</w:t>
      </w:r>
      <w:r w:rsidR="00EE4FC3">
        <w:t xml:space="preserve"> </w:t>
      </w:r>
      <w:r w:rsidRPr="00382917">
        <w:t>Báb,</w:t>
      </w:r>
      <w:r w:rsidR="00EE4FC3">
        <w:t xml:space="preserve"> </w:t>
      </w:r>
      <w:r w:rsidRPr="00382917">
        <w:t>Who</w:t>
      </w:r>
      <w:r w:rsidR="00EE4FC3">
        <w:t xml:space="preserve"> </w:t>
      </w:r>
      <w:r w:rsidRPr="00382917">
        <w:t>was</w:t>
      </w:r>
      <w:r w:rsidR="00EE4FC3">
        <w:t xml:space="preserve"> </w:t>
      </w:r>
      <w:r w:rsidRPr="00382917">
        <w:t>the</w:t>
      </w:r>
      <w:r w:rsidR="00EE4FC3">
        <w:t xml:space="preserve"> </w:t>
      </w:r>
      <w:r w:rsidRPr="00382917">
        <w:t>direct</w:t>
      </w:r>
      <w:r w:rsidR="00EE4FC3">
        <w:t xml:space="preserve"> </w:t>
      </w:r>
      <w:r w:rsidRPr="00382917">
        <w:t>source</w:t>
      </w:r>
      <w:r w:rsidR="00EE4FC3">
        <w:t xml:space="preserve"> </w:t>
      </w:r>
      <w:r w:rsidRPr="00382917">
        <w:t>of</w:t>
      </w:r>
      <w:r w:rsidR="00EE4FC3">
        <w:t xml:space="preserve"> </w:t>
      </w:r>
      <w:r w:rsidRPr="00382917">
        <w:t>all</w:t>
      </w:r>
      <w:r w:rsidR="00EE4FC3">
        <w:t xml:space="preserve"> </w:t>
      </w:r>
      <w:r w:rsidRPr="00382917">
        <w:t>her</w:t>
      </w:r>
      <w:r w:rsidR="00EE4FC3">
        <w:t xml:space="preserve"> </w:t>
      </w:r>
      <w:r w:rsidRPr="00382917">
        <w:t>inspiration.</w:t>
      </w:r>
    </w:p>
    <w:p w:rsidR="00E13D49" w:rsidRPr="00382917" w:rsidRDefault="007E595F" w:rsidP="003907E4">
      <w:pPr>
        <w:pStyle w:val="Text"/>
      </w:pPr>
      <w:r w:rsidRPr="00382917">
        <w:t>Lord</w:t>
      </w:r>
      <w:r w:rsidR="00EE4FC3">
        <w:t xml:space="preserve"> </w:t>
      </w:r>
      <w:r w:rsidRPr="00382917">
        <w:t>Curzon</w:t>
      </w:r>
      <w:r w:rsidR="00EE4FC3">
        <w:t xml:space="preserve"> </w:t>
      </w:r>
      <w:r w:rsidRPr="00382917">
        <w:t>in</w:t>
      </w:r>
      <w:r w:rsidR="00EE4FC3">
        <w:t xml:space="preserve"> </w:t>
      </w:r>
      <w:r w:rsidRPr="00382917">
        <w:t>his</w:t>
      </w:r>
      <w:r w:rsidR="00EE4FC3">
        <w:t xml:space="preserve"> </w:t>
      </w:r>
      <w:r w:rsidRPr="00382917">
        <w:t>book</w:t>
      </w:r>
      <w:r w:rsidR="00EE4FC3">
        <w:t xml:space="preserve"> </w:t>
      </w:r>
      <w:r w:rsidRPr="00382917">
        <w:t>on</w:t>
      </w:r>
      <w:r w:rsidR="00EE4FC3">
        <w:t xml:space="preserve"> </w:t>
      </w:r>
      <w:r w:rsidRPr="00382917">
        <w:t>Persia</w:t>
      </w:r>
      <w:r w:rsidR="00EE4FC3">
        <w:t xml:space="preserve"> </w:t>
      </w:r>
      <w:r w:rsidRPr="00382917">
        <w:t>states</w:t>
      </w:r>
      <w:r w:rsidR="00EE4FC3">
        <w:t xml:space="preserve"> </w:t>
      </w:r>
      <w:r w:rsidRPr="00382917">
        <w:t>bluntly</w:t>
      </w:r>
      <w:r w:rsidR="00C03C91">
        <w:t>:</w:t>
      </w:r>
      <w:r w:rsidR="00EE4FC3">
        <w:t xml:space="preserve">  </w:t>
      </w:r>
      <w:r w:rsidR="009C713D" w:rsidRPr="00382917">
        <w:t>“</w:t>
      </w:r>
      <w:r w:rsidRPr="00382917">
        <w:t>Of</w:t>
      </w:r>
      <w:r w:rsidR="00EE4FC3">
        <w:t xml:space="preserve"> </w:t>
      </w:r>
      <w:r w:rsidRPr="00382917">
        <w:t>no</w:t>
      </w:r>
      <w:r w:rsidR="00EE4FC3">
        <w:t xml:space="preserve"> </w:t>
      </w:r>
      <w:r w:rsidRPr="00382917">
        <w:t>small</w:t>
      </w:r>
      <w:r w:rsidR="00EE4FC3">
        <w:t xml:space="preserve"> </w:t>
      </w:r>
      <w:r w:rsidRPr="00382917">
        <w:t>account,</w:t>
      </w:r>
      <w:r w:rsidR="00EE4FC3">
        <w:t xml:space="preserve"> </w:t>
      </w:r>
      <w:r w:rsidRPr="00382917">
        <w:t>then,</w:t>
      </w:r>
      <w:r w:rsidR="00EE4FC3">
        <w:t xml:space="preserve"> </w:t>
      </w:r>
      <w:r w:rsidRPr="00382917">
        <w:t>must</w:t>
      </w:r>
      <w:r w:rsidR="00EE4FC3">
        <w:t xml:space="preserve"> </w:t>
      </w:r>
      <w:r w:rsidRPr="00382917">
        <w:t>be</w:t>
      </w:r>
      <w:r w:rsidR="00EE4FC3">
        <w:t xml:space="preserve"> </w:t>
      </w:r>
      <w:r w:rsidRPr="00382917">
        <w:t>the</w:t>
      </w:r>
      <w:r w:rsidR="00EE4FC3">
        <w:t xml:space="preserve"> </w:t>
      </w:r>
      <w:r w:rsidRPr="00382917">
        <w:t>tenets</w:t>
      </w:r>
      <w:r w:rsidR="00EE4FC3">
        <w:t xml:space="preserve"> </w:t>
      </w:r>
      <w:r w:rsidRPr="00382917">
        <w:t>of</w:t>
      </w:r>
      <w:r w:rsidR="00EE4FC3">
        <w:t xml:space="preserve"> </w:t>
      </w:r>
      <w:r w:rsidRPr="00382917">
        <w:t>a</w:t>
      </w:r>
      <w:r w:rsidR="00EE4FC3">
        <w:t xml:space="preserve"> </w:t>
      </w:r>
      <w:r w:rsidRPr="00382917">
        <w:t>creed</w:t>
      </w:r>
      <w:r w:rsidR="00EE4FC3">
        <w:t xml:space="preserve"> </w:t>
      </w:r>
      <w:r w:rsidRPr="00382917">
        <w:t>that</w:t>
      </w:r>
      <w:r w:rsidR="00EE4FC3">
        <w:t xml:space="preserve"> </w:t>
      </w:r>
      <w:r w:rsidRPr="00382917">
        <w:t>can</w:t>
      </w:r>
      <w:r w:rsidR="00EE4FC3">
        <w:t xml:space="preserve"> </w:t>
      </w:r>
      <w:r w:rsidRPr="00382917">
        <w:t>awaken</w:t>
      </w:r>
      <w:r w:rsidR="00EE4FC3">
        <w:t xml:space="preserve"> </w:t>
      </w:r>
      <w:r w:rsidRPr="00382917">
        <w:t>in</w:t>
      </w:r>
      <w:r w:rsidR="00EE4FC3">
        <w:t xml:space="preserve"> </w:t>
      </w:r>
      <w:r w:rsidRPr="00382917">
        <w:t>its</w:t>
      </w:r>
      <w:r w:rsidR="00EE4FC3">
        <w:t xml:space="preserve"> </w:t>
      </w:r>
      <w:r w:rsidRPr="00382917">
        <w:t>followers</w:t>
      </w:r>
      <w:r w:rsidR="00EE4FC3">
        <w:t xml:space="preserve"> </w:t>
      </w:r>
      <w:r w:rsidRPr="00382917">
        <w:t>so</w:t>
      </w:r>
      <w:r w:rsidR="00EE4FC3">
        <w:t xml:space="preserve"> </w:t>
      </w:r>
      <w:r w:rsidRPr="00382917">
        <w:t>rare</w:t>
      </w:r>
      <w:r w:rsidR="00EE4FC3">
        <w:t xml:space="preserve"> </w:t>
      </w:r>
      <w:r w:rsidRPr="00382917">
        <w:t>and</w:t>
      </w:r>
      <w:r w:rsidR="00EE4FC3">
        <w:t xml:space="preserve"> </w:t>
      </w:r>
      <w:r w:rsidRPr="00382917">
        <w:t>beautiful</w:t>
      </w:r>
      <w:r w:rsidR="00EE4FC3">
        <w:t xml:space="preserve"> </w:t>
      </w:r>
      <w:r w:rsidRPr="00382917">
        <w:t>a</w:t>
      </w:r>
      <w:r w:rsidR="00EE4FC3">
        <w:t xml:space="preserve"> </w:t>
      </w:r>
      <w:r w:rsidRPr="00382917">
        <w:t>spirit</w:t>
      </w:r>
      <w:r w:rsidR="00EE4FC3">
        <w:t xml:space="preserve"> </w:t>
      </w:r>
      <w:r w:rsidRPr="00382917">
        <w:t>of</w:t>
      </w:r>
      <w:r w:rsidR="00EE4FC3">
        <w:t xml:space="preserve"> </w:t>
      </w:r>
      <w:r w:rsidRPr="00382917">
        <w:t>self-sacrifice.</w:t>
      </w:r>
      <w:r w:rsidR="009C713D" w:rsidRPr="00382917">
        <w:t>”</w:t>
      </w:r>
      <w:r w:rsidR="003907E4">
        <w:rPr>
          <w:rStyle w:val="FootnoteReference"/>
        </w:rPr>
        <w:footnoteReference w:id="161"/>
      </w:r>
    </w:p>
    <w:p w:rsidR="007E595F" w:rsidRPr="00382917" w:rsidRDefault="007E595F" w:rsidP="00B812EA">
      <w:pPr>
        <w:pStyle w:val="Text"/>
      </w:pPr>
      <w:r w:rsidRPr="00382917">
        <w:t>Sarah</w:t>
      </w:r>
      <w:r w:rsidR="00EE4FC3">
        <w:t xml:space="preserve"> </w:t>
      </w:r>
      <w:proofErr w:type="spellStart"/>
      <w:r w:rsidRPr="00382917">
        <w:t>Bernhart</w:t>
      </w:r>
      <w:proofErr w:type="spellEnd"/>
      <w:r w:rsidR="00EE4FC3">
        <w:t xml:space="preserve"> </w:t>
      </w:r>
      <w:r w:rsidRPr="00382917">
        <w:t>the</w:t>
      </w:r>
      <w:r w:rsidR="00EE4FC3">
        <w:t xml:space="preserve"> </w:t>
      </w:r>
      <w:r w:rsidRPr="00382917">
        <w:t>famous</w:t>
      </w:r>
      <w:r w:rsidR="00EE4FC3">
        <w:t xml:space="preserve"> </w:t>
      </w:r>
      <w:r w:rsidRPr="00382917">
        <w:t>actress,</w:t>
      </w:r>
      <w:r w:rsidR="00EE4FC3">
        <w:t xml:space="preserve"> </w:t>
      </w:r>
      <w:r w:rsidRPr="00382917">
        <w:t>requested</w:t>
      </w:r>
      <w:r w:rsidR="00EE4FC3">
        <w:t xml:space="preserve"> </w:t>
      </w:r>
      <w:r w:rsidRPr="00382917">
        <w:t>the</w:t>
      </w:r>
      <w:r w:rsidR="00EE4FC3">
        <w:t xml:space="preserve"> </w:t>
      </w:r>
      <w:r w:rsidRPr="00382917">
        <w:t>playwright</w:t>
      </w:r>
      <w:r w:rsidR="00EE4FC3">
        <w:t xml:space="preserve"> </w:t>
      </w:r>
      <w:proofErr w:type="spellStart"/>
      <w:r w:rsidRPr="00382917">
        <w:t>Catulle</w:t>
      </w:r>
      <w:proofErr w:type="spellEnd"/>
      <w:r w:rsidR="00EE4FC3">
        <w:t xml:space="preserve"> </w:t>
      </w:r>
      <w:r w:rsidRPr="00382917">
        <w:t>Mendes</w:t>
      </w:r>
      <w:r w:rsidR="00EE4FC3">
        <w:t xml:space="preserve"> </w:t>
      </w:r>
      <w:r w:rsidRPr="00382917">
        <w:t>to</w:t>
      </w:r>
      <w:r w:rsidR="00EE4FC3">
        <w:t xml:space="preserve"> </w:t>
      </w:r>
      <w:r w:rsidRPr="00382917">
        <w:t>write</w:t>
      </w:r>
      <w:r w:rsidR="00EE4FC3">
        <w:t xml:space="preserve"> </w:t>
      </w:r>
      <w:r w:rsidRPr="00382917">
        <w:t>a</w:t>
      </w:r>
      <w:r w:rsidR="00EE4FC3">
        <w:t xml:space="preserve"> </w:t>
      </w:r>
      <w:r w:rsidRPr="00382917">
        <w:t>dramatized</w:t>
      </w:r>
      <w:r w:rsidR="00EE4FC3">
        <w:t xml:space="preserve"> </w:t>
      </w:r>
      <w:r w:rsidRPr="00382917">
        <w:t>version</w:t>
      </w:r>
      <w:r w:rsidR="00EE4FC3">
        <w:t xml:space="preserve"> </w:t>
      </w:r>
      <w:r w:rsidRPr="00382917">
        <w:t>of</w:t>
      </w:r>
      <w:r w:rsidR="00EE4FC3">
        <w:t xml:space="preserve"> </w:t>
      </w:r>
      <w:r w:rsidRPr="00382917">
        <w:t>Ṭáhirih</w:t>
      </w:r>
      <w:r w:rsidR="009C713D" w:rsidRPr="00382917">
        <w:t>’</w:t>
      </w:r>
      <w:r w:rsidRPr="00382917">
        <w:t>s</w:t>
      </w:r>
      <w:r w:rsidR="00EE4FC3">
        <w:t xml:space="preserve"> </w:t>
      </w:r>
      <w:r w:rsidRPr="00382917">
        <w:t>life</w:t>
      </w:r>
      <w:r w:rsidR="0040329F">
        <w:t>.</w:t>
      </w:r>
      <w:r w:rsidR="00EE4FC3">
        <w:t xml:space="preserve">  </w:t>
      </w:r>
      <w:r w:rsidRPr="00382917">
        <w:t>The</w:t>
      </w:r>
      <w:r w:rsidR="00EE4FC3">
        <w:t xml:space="preserve"> </w:t>
      </w:r>
      <w:r w:rsidRPr="00382917">
        <w:t>playwright</w:t>
      </w:r>
      <w:r w:rsidR="00EE4FC3">
        <w:t xml:space="preserve"> </w:t>
      </w:r>
      <w:r w:rsidRPr="00382917">
        <w:t>himself</w:t>
      </w:r>
      <w:r w:rsidR="00EE4FC3">
        <w:t xml:space="preserve"> </w:t>
      </w:r>
      <w:r w:rsidRPr="00382917">
        <w:t>called</w:t>
      </w:r>
      <w:r w:rsidR="00EE4FC3">
        <w:t xml:space="preserve"> </w:t>
      </w:r>
      <w:r w:rsidRPr="00382917">
        <w:t>her</w:t>
      </w:r>
      <w:r w:rsidR="00EE4FC3">
        <w:t xml:space="preserve"> </w:t>
      </w:r>
      <w:r w:rsidRPr="00382917">
        <w:t>the</w:t>
      </w:r>
      <w:r w:rsidR="00EE4FC3">
        <w:t xml:space="preserve"> </w:t>
      </w:r>
      <w:r w:rsidR="009C713D" w:rsidRPr="00382917">
        <w:t>“</w:t>
      </w:r>
      <w:r w:rsidRPr="00382917">
        <w:t>Persian</w:t>
      </w:r>
      <w:r w:rsidR="00EE4FC3">
        <w:t xml:space="preserve"> </w:t>
      </w:r>
      <w:r w:rsidRPr="00382917">
        <w:t>Joan</w:t>
      </w:r>
      <w:r w:rsidR="00EE4FC3">
        <w:t xml:space="preserve"> </w:t>
      </w:r>
      <w:r w:rsidRPr="00382917">
        <w:t>of</w:t>
      </w:r>
      <w:r w:rsidR="00EE4FC3">
        <w:t xml:space="preserve"> </w:t>
      </w:r>
      <w:r w:rsidRPr="00382917">
        <w:t>Arc</w:t>
      </w:r>
      <w:r w:rsidR="009C713D" w:rsidRPr="00382917">
        <w:t>”</w:t>
      </w:r>
      <w:r w:rsidR="00B812EA">
        <w:t>.</w:t>
      </w:r>
      <w:r w:rsidR="00B812EA">
        <w:rPr>
          <w:rStyle w:val="FootnoteReference"/>
        </w:rPr>
        <w:footnoteReference w:id="162"/>
      </w:r>
    </w:p>
    <w:p w:rsidR="007E595F" w:rsidRPr="00382917" w:rsidRDefault="007E595F" w:rsidP="007E595F">
      <w:pPr>
        <w:pStyle w:val="Text"/>
      </w:pPr>
      <w:r w:rsidRPr="00382917">
        <w:t>A</w:t>
      </w:r>
      <w:r w:rsidR="00EE4FC3">
        <w:t xml:space="preserve"> </w:t>
      </w:r>
      <w:r w:rsidRPr="00382917">
        <w:t>noted</w:t>
      </w:r>
      <w:r w:rsidR="00EE4FC3">
        <w:t xml:space="preserve"> </w:t>
      </w:r>
      <w:r w:rsidRPr="00382917">
        <w:t>commentator</w:t>
      </w:r>
      <w:r w:rsidR="00EE4FC3">
        <w:t xml:space="preserve"> </w:t>
      </w:r>
      <w:r w:rsidRPr="00382917">
        <w:t>on</w:t>
      </w:r>
      <w:r w:rsidR="00EE4FC3">
        <w:t xml:space="preserve"> </w:t>
      </w:r>
      <w:r w:rsidRPr="00382917">
        <w:t>the</w:t>
      </w:r>
      <w:r w:rsidR="00EE4FC3">
        <w:t xml:space="preserve"> </w:t>
      </w:r>
      <w:r w:rsidRPr="00382917">
        <w:t>life</w:t>
      </w:r>
      <w:r w:rsidR="00EE4FC3">
        <w:t xml:space="preserve"> </w:t>
      </w:r>
      <w:r w:rsidRPr="00382917">
        <w:t>of</w:t>
      </w:r>
      <w:r w:rsidR="00EE4FC3">
        <w:t xml:space="preserve"> </w:t>
      </w:r>
      <w:r w:rsidRPr="00382917">
        <w:t>the</w:t>
      </w:r>
      <w:r w:rsidR="00EE4FC3">
        <w:t xml:space="preserve"> </w:t>
      </w:r>
      <w:r w:rsidRPr="00382917">
        <w:t>Báb</w:t>
      </w:r>
      <w:r w:rsidR="00EE4FC3">
        <w:t xml:space="preserve"> </w:t>
      </w:r>
      <w:r w:rsidRPr="00382917">
        <w:t>and</w:t>
      </w:r>
      <w:r w:rsidR="00EE4FC3">
        <w:t xml:space="preserve"> </w:t>
      </w:r>
      <w:r w:rsidRPr="00382917">
        <w:t>His</w:t>
      </w:r>
      <w:r w:rsidR="00EE4FC3">
        <w:t xml:space="preserve"> </w:t>
      </w:r>
      <w:r w:rsidRPr="00382917">
        <w:t>disciples</w:t>
      </w:r>
      <w:r w:rsidR="00EE4FC3">
        <w:t xml:space="preserve"> </w:t>
      </w:r>
      <w:r w:rsidRPr="00382917">
        <w:t>has</w:t>
      </w:r>
      <w:r w:rsidR="00EE4FC3">
        <w:t xml:space="preserve"> </w:t>
      </w:r>
      <w:r w:rsidRPr="00382917">
        <w:t>paid</w:t>
      </w:r>
      <w:r w:rsidR="00EE4FC3">
        <w:t xml:space="preserve"> </w:t>
      </w:r>
      <w:r w:rsidRPr="00382917">
        <w:t>Ṭáhirih</w:t>
      </w:r>
      <w:r w:rsidR="00EE4FC3">
        <w:t xml:space="preserve"> </w:t>
      </w:r>
      <w:r w:rsidRPr="00382917">
        <w:t>the</w:t>
      </w:r>
      <w:r w:rsidR="00EE4FC3">
        <w:t xml:space="preserve"> </w:t>
      </w:r>
      <w:r w:rsidRPr="00382917">
        <w:t>tribute</w:t>
      </w:r>
      <w:r w:rsidR="00EE4FC3">
        <w:t xml:space="preserve"> </w:t>
      </w:r>
      <w:r w:rsidRPr="00382917">
        <w:t>of</w:t>
      </w:r>
      <w:r w:rsidR="00EE4FC3">
        <w:t xml:space="preserve"> </w:t>
      </w:r>
      <w:r w:rsidRPr="00382917">
        <w:t>calling</w:t>
      </w:r>
      <w:r w:rsidR="00EE4FC3">
        <w:t xml:space="preserve"> </w:t>
      </w:r>
      <w:r w:rsidRPr="00382917">
        <w:t>her</w:t>
      </w:r>
      <w:r w:rsidR="00EE4FC3">
        <w:t xml:space="preserve"> </w:t>
      </w:r>
      <w:r w:rsidR="009C713D" w:rsidRPr="00382917">
        <w:t>“</w:t>
      </w:r>
      <w:r w:rsidRPr="00382917">
        <w:t>a</w:t>
      </w:r>
      <w:r w:rsidR="00EE4FC3">
        <w:t xml:space="preserve"> </w:t>
      </w:r>
      <w:r w:rsidRPr="00382917">
        <w:t>miracle</w:t>
      </w:r>
      <w:r w:rsidR="00EE4FC3">
        <w:t xml:space="preserve"> </w:t>
      </w:r>
      <w:r w:rsidRPr="00382917">
        <w:t>of</w:t>
      </w:r>
      <w:r w:rsidR="00EE4FC3">
        <w:t xml:space="preserve"> </w:t>
      </w:r>
      <w:r w:rsidRPr="00382917">
        <w:t>science</w:t>
      </w:r>
      <w:r w:rsidR="00EE4FC3">
        <w:t xml:space="preserve"> </w:t>
      </w:r>
      <w:r w:rsidRPr="00382917">
        <w:t>and</w:t>
      </w:r>
      <w:r w:rsidR="00EE4FC3">
        <w:t xml:space="preserve"> </w:t>
      </w:r>
      <w:r w:rsidRPr="00382917">
        <w:t>a</w:t>
      </w:r>
      <w:r w:rsidR="00EE4FC3">
        <w:t xml:space="preserve"> </w:t>
      </w:r>
      <w:r w:rsidRPr="00382917">
        <w:t>miracle</w:t>
      </w:r>
      <w:r w:rsidR="00EE4FC3">
        <w:t xml:space="preserve"> </w:t>
      </w:r>
      <w:r w:rsidRPr="00382917">
        <w:t>of</w:t>
      </w:r>
      <w:r w:rsidR="00EE4FC3">
        <w:t xml:space="preserve"> </w:t>
      </w:r>
      <w:r w:rsidRPr="00382917">
        <w:t>beauty.</w:t>
      </w:r>
      <w:r w:rsidR="009C713D" w:rsidRPr="00382917">
        <w:t>”</w:t>
      </w:r>
    </w:p>
    <w:p w:rsidR="007E595F" w:rsidRPr="00382917" w:rsidRDefault="009C713D" w:rsidP="007E595F">
      <w:pPr>
        <w:pStyle w:val="Text"/>
      </w:pPr>
      <w:r w:rsidRPr="00382917">
        <w:t>“</w:t>
      </w:r>
      <w:r w:rsidR="007E595F" w:rsidRPr="00382917">
        <w:t>The</w:t>
      </w:r>
      <w:r w:rsidR="00EE4FC3">
        <w:t xml:space="preserve"> </w:t>
      </w:r>
      <w:r w:rsidR="007E595F" w:rsidRPr="00382917">
        <w:t>heroism</w:t>
      </w:r>
      <w:r w:rsidR="00EE4FC3">
        <w:t xml:space="preserve"> </w:t>
      </w:r>
      <w:r w:rsidR="007E595F" w:rsidRPr="00382917">
        <w:t>of</w:t>
      </w:r>
      <w:r w:rsidR="00EE4FC3">
        <w:t xml:space="preserve"> </w:t>
      </w:r>
      <w:r w:rsidR="007E595F" w:rsidRPr="00382917">
        <w:t>the</w:t>
      </w:r>
      <w:r w:rsidR="00EE4FC3">
        <w:t xml:space="preserve"> </w:t>
      </w:r>
      <w:r w:rsidR="007E595F" w:rsidRPr="00382917">
        <w:t>lovely</w:t>
      </w:r>
      <w:r w:rsidR="00EE4FC3">
        <w:t xml:space="preserve"> </w:t>
      </w:r>
      <w:r w:rsidR="007E595F" w:rsidRPr="00382917">
        <w:t>but</w:t>
      </w:r>
      <w:r w:rsidR="00EE4FC3">
        <w:t xml:space="preserve"> </w:t>
      </w:r>
      <w:r w:rsidR="007E595F" w:rsidRPr="00382917">
        <w:t>ill-fated</w:t>
      </w:r>
      <w:r w:rsidR="00EE4FC3">
        <w:t xml:space="preserve"> </w:t>
      </w:r>
      <w:r w:rsidR="007E595F" w:rsidRPr="00382917">
        <w:t>poetess,</w:t>
      </w:r>
      <w:r w:rsidRPr="00382917">
        <w:t>”</w:t>
      </w:r>
      <w:r w:rsidR="00EE4FC3">
        <w:t xml:space="preserve"> </w:t>
      </w:r>
      <w:r w:rsidR="007E595F" w:rsidRPr="00382917">
        <w:t>testifies</w:t>
      </w:r>
      <w:r w:rsidR="00EE4FC3">
        <w:t xml:space="preserve"> </w:t>
      </w:r>
      <w:r w:rsidR="007E595F" w:rsidRPr="00382917">
        <w:t>Lord</w:t>
      </w:r>
      <w:r w:rsidR="00EE4FC3">
        <w:t xml:space="preserve"> </w:t>
      </w:r>
      <w:r w:rsidR="007E595F" w:rsidRPr="00382917">
        <w:t>Curzon,</w:t>
      </w:r>
      <w:r w:rsidR="00EE4FC3">
        <w:t xml:space="preserve"> </w:t>
      </w:r>
      <w:r w:rsidRPr="00382917">
        <w:t>“</w:t>
      </w:r>
      <w:r w:rsidR="007E595F" w:rsidRPr="00382917">
        <w:t>is</w:t>
      </w:r>
      <w:r w:rsidR="00EE4FC3">
        <w:t xml:space="preserve"> </w:t>
      </w:r>
      <w:r w:rsidR="007E595F" w:rsidRPr="00382917">
        <w:t>one</w:t>
      </w:r>
      <w:r w:rsidR="00EE4FC3">
        <w:t xml:space="preserve"> </w:t>
      </w:r>
      <w:r w:rsidR="007E595F" w:rsidRPr="00382917">
        <w:t>of</w:t>
      </w:r>
      <w:r w:rsidR="00EE4FC3">
        <w:t xml:space="preserve"> </w:t>
      </w:r>
      <w:r w:rsidR="007E595F" w:rsidRPr="00382917">
        <w:t>the</w:t>
      </w:r>
      <w:r w:rsidR="00EE4FC3">
        <w:t xml:space="preserve"> </w:t>
      </w:r>
      <w:r w:rsidR="007E595F" w:rsidRPr="00382917">
        <w:t>most</w:t>
      </w:r>
      <w:r w:rsidR="00EE4FC3">
        <w:t xml:space="preserve"> </w:t>
      </w:r>
      <w:r w:rsidR="007E595F" w:rsidRPr="00382917">
        <w:t>affecting</w:t>
      </w:r>
      <w:r w:rsidR="00EE4FC3">
        <w:t xml:space="preserve"> </w:t>
      </w:r>
      <w:r w:rsidR="007E595F" w:rsidRPr="00382917">
        <w:t>episodes</w:t>
      </w:r>
      <w:r w:rsidR="00EE4FC3">
        <w:t xml:space="preserve"> </w:t>
      </w:r>
      <w:r w:rsidR="007E595F" w:rsidRPr="00382917">
        <w:t>in</w:t>
      </w:r>
      <w:r w:rsidR="00EE4FC3">
        <w:t xml:space="preserve"> </w:t>
      </w:r>
      <w:r w:rsidR="007E595F" w:rsidRPr="00382917">
        <w:t>modern</w:t>
      </w:r>
      <w:r w:rsidR="00EE4FC3">
        <w:t xml:space="preserve"> </w:t>
      </w:r>
      <w:r w:rsidR="007E595F" w:rsidRPr="00382917">
        <w:t>history.</w:t>
      </w:r>
      <w:r w:rsidRPr="00382917">
        <w:t>”</w:t>
      </w:r>
    </w:p>
    <w:p w:rsidR="007E595F" w:rsidRPr="00382917" w:rsidRDefault="007E595F" w:rsidP="007E595F">
      <w:pPr>
        <w:pStyle w:val="Text"/>
      </w:pPr>
      <w:r w:rsidRPr="00382917">
        <w:t>The</w:t>
      </w:r>
      <w:r w:rsidR="00EE4FC3">
        <w:t xml:space="preserve"> </w:t>
      </w:r>
      <w:r w:rsidRPr="00382917">
        <w:t>British</w:t>
      </w:r>
      <w:r w:rsidR="00EE4FC3">
        <w:t xml:space="preserve"> </w:t>
      </w:r>
      <w:r w:rsidRPr="00382917">
        <w:t>orientalist,</w:t>
      </w:r>
      <w:r w:rsidR="00EE4FC3">
        <w:t xml:space="preserve"> </w:t>
      </w:r>
      <w:r w:rsidRPr="00382917">
        <w:t>Professor</w:t>
      </w:r>
      <w:r w:rsidR="00EE4FC3">
        <w:t xml:space="preserve"> </w:t>
      </w:r>
      <w:r w:rsidRPr="00382917">
        <w:t>E.</w:t>
      </w:r>
      <w:r w:rsidR="00EE4FC3">
        <w:t xml:space="preserve"> </w:t>
      </w:r>
      <w:r w:rsidRPr="00382917">
        <w:t>G.</w:t>
      </w:r>
      <w:r w:rsidR="00EE4FC3">
        <w:t xml:space="preserve"> </w:t>
      </w:r>
      <w:r w:rsidRPr="00382917">
        <w:t>Browne,</w:t>
      </w:r>
      <w:r w:rsidR="00EE4FC3">
        <w:t xml:space="preserve"> </w:t>
      </w:r>
      <w:r w:rsidRPr="00382917">
        <w:t>said</w:t>
      </w:r>
      <w:r w:rsidR="00EE4FC3">
        <w:t xml:space="preserve"> </w:t>
      </w:r>
      <w:r w:rsidRPr="00382917">
        <w:t>that</w:t>
      </w:r>
      <w:r w:rsidR="00EE4FC3">
        <w:t xml:space="preserve"> </w:t>
      </w:r>
      <w:r w:rsidRPr="00382917">
        <w:t>if</w:t>
      </w:r>
      <w:r w:rsidR="00EE4FC3">
        <w:t xml:space="preserve"> </w:t>
      </w:r>
      <w:r w:rsidRPr="00382917">
        <w:t>the</w:t>
      </w:r>
      <w:r w:rsidR="00EE4FC3">
        <w:t xml:space="preserve"> </w:t>
      </w:r>
      <w:r w:rsidRPr="00382917">
        <w:t>Faith</w:t>
      </w:r>
      <w:r w:rsidR="00EE4FC3">
        <w:t xml:space="preserve"> </w:t>
      </w:r>
      <w:r w:rsidRPr="00382917">
        <w:t>of</w:t>
      </w:r>
      <w:r w:rsidR="00EE4FC3">
        <w:t xml:space="preserve"> </w:t>
      </w:r>
      <w:r w:rsidRPr="00382917">
        <w:t>the</w:t>
      </w:r>
      <w:r w:rsidR="00EE4FC3">
        <w:t xml:space="preserve"> </w:t>
      </w:r>
      <w:r w:rsidRPr="00382917">
        <w:t>Báb</w:t>
      </w:r>
      <w:r w:rsidR="00EE4FC3">
        <w:t xml:space="preserve"> </w:t>
      </w:r>
      <w:r w:rsidRPr="00382917">
        <w:t>had</w:t>
      </w:r>
      <w:r w:rsidR="00EE4FC3">
        <w:t xml:space="preserve"> </w:t>
      </w:r>
      <w:r w:rsidRPr="00382917">
        <w:t>no</w:t>
      </w:r>
      <w:r w:rsidR="00EE4FC3">
        <w:t xml:space="preserve"> </w:t>
      </w:r>
      <w:r w:rsidRPr="00382917">
        <w:t>other</w:t>
      </w:r>
      <w:r w:rsidR="00EE4FC3">
        <w:t xml:space="preserve"> </w:t>
      </w:r>
      <w:r w:rsidRPr="00382917">
        <w:t>claim</w:t>
      </w:r>
      <w:r w:rsidR="00EE4FC3">
        <w:t xml:space="preserve"> </w:t>
      </w:r>
      <w:r w:rsidRPr="00382917">
        <w:t>to</w:t>
      </w:r>
      <w:r w:rsidR="00EE4FC3">
        <w:t xml:space="preserve"> </w:t>
      </w:r>
      <w:r w:rsidRPr="00382917">
        <w:t>greatness</w:t>
      </w:r>
      <w:r w:rsidR="00EE4FC3">
        <w:t xml:space="preserve"> </w:t>
      </w:r>
      <w:r w:rsidRPr="00382917">
        <w:t>than</w:t>
      </w:r>
      <w:r w:rsidR="00EE4FC3">
        <w:t xml:space="preserve"> </w:t>
      </w:r>
      <w:r w:rsidRPr="00382917">
        <w:t>that</w:t>
      </w:r>
      <w:r w:rsidR="00EE4FC3">
        <w:t xml:space="preserve"> </w:t>
      </w:r>
      <w:r w:rsidRPr="00382917">
        <w:t>it</w:t>
      </w:r>
      <w:r w:rsidR="00EE4FC3">
        <w:t xml:space="preserve"> </w:t>
      </w:r>
      <w:r w:rsidRPr="00382917">
        <w:t>had</w:t>
      </w:r>
      <w:r w:rsidR="00EE4FC3">
        <w:t xml:space="preserve"> </w:t>
      </w:r>
      <w:r w:rsidRPr="00382917">
        <w:t>produced</w:t>
      </w:r>
      <w:r w:rsidR="00EE4FC3">
        <w:t xml:space="preserve"> </w:t>
      </w:r>
      <w:r w:rsidRPr="00382917">
        <w:t>a</w:t>
      </w:r>
      <w:r w:rsidR="00EE4FC3">
        <w:t xml:space="preserve"> </w:t>
      </w:r>
      <w:r w:rsidRPr="00382917">
        <w:t>heroine</w:t>
      </w:r>
      <w:r w:rsidR="00EE4FC3">
        <w:t xml:space="preserve"> </w:t>
      </w:r>
      <w:r w:rsidRPr="00382917">
        <w:t>like</w:t>
      </w:r>
      <w:r w:rsidR="00EE4FC3">
        <w:t xml:space="preserve"> </w:t>
      </w:r>
      <w:r w:rsidRPr="00382917">
        <w:t>Ṭáhirih,</w:t>
      </w:r>
      <w:r w:rsidR="00EE4FC3">
        <w:t xml:space="preserve"> </w:t>
      </w:r>
      <w:r w:rsidRPr="00382917">
        <w:t>it</w:t>
      </w:r>
      <w:r w:rsidR="00EE4FC3">
        <w:t xml:space="preserve"> </w:t>
      </w:r>
      <w:r w:rsidRPr="00382917">
        <w:t>would</w:t>
      </w:r>
      <w:r w:rsidR="00EE4FC3">
        <w:t xml:space="preserve"> </w:t>
      </w:r>
      <w:r w:rsidRPr="00382917">
        <w:t>be</w:t>
      </w:r>
      <w:r w:rsidR="00EE4FC3">
        <w:t xml:space="preserve"> </w:t>
      </w:r>
      <w:r w:rsidRPr="00382917">
        <w:t>sufficient</w:t>
      </w:r>
      <w:r w:rsidR="0040329F">
        <w:t>.</w:t>
      </w:r>
      <w:r w:rsidR="00EE4FC3">
        <w:t xml:space="preserve">  </w:t>
      </w:r>
      <w:r w:rsidR="009C713D" w:rsidRPr="00382917">
        <w:t>“</w:t>
      </w:r>
      <w:r w:rsidRPr="00382917">
        <w:t>The</w:t>
      </w:r>
      <w:r w:rsidR="00EE4FC3">
        <w:t xml:space="preserve"> </w:t>
      </w:r>
      <w:r w:rsidRPr="00382917">
        <w:t>appearance</w:t>
      </w:r>
      <w:r w:rsidR="00EE4FC3">
        <w:t xml:space="preserve"> </w:t>
      </w:r>
      <w:r w:rsidRPr="00382917">
        <w:t>of</w:t>
      </w:r>
      <w:r w:rsidR="00EE4FC3">
        <w:t xml:space="preserve"> </w:t>
      </w:r>
      <w:r w:rsidRPr="00382917">
        <w:t>such</w:t>
      </w:r>
      <w:r w:rsidR="00EE4FC3">
        <w:t xml:space="preserve"> </w:t>
      </w:r>
      <w:r w:rsidRPr="00382917">
        <w:t>a</w:t>
      </w:r>
      <w:r w:rsidR="00EE4FC3">
        <w:t xml:space="preserve"> </w:t>
      </w:r>
      <w:proofErr w:type="gramStart"/>
      <w:r w:rsidRPr="00382917">
        <w:t>woman,</w:t>
      </w:r>
      <w:r w:rsidR="00EE4FC3">
        <w:t xml:space="preserve"> </w:t>
      </w:r>
      <w:r w:rsidR="00F04416" w:rsidRPr="00382917">
        <w:t>…</w:t>
      </w:r>
      <w:r w:rsidR="009C713D" w:rsidRPr="00382917">
        <w:t>”</w:t>
      </w:r>
      <w:proofErr w:type="gramEnd"/>
      <w:r w:rsidR="00EE4FC3">
        <w:t xml:space="preserve"> </w:t>
      </w:r>
      <w:r w:rsidRPr="00382917">
        <w:t>he</w:t>
      </w:r>
      <w:r w:rsidR="00EE4FC3">
        <w:t xml:space="preserve"> </w:t>
      </w:r>
      <w:r w:rsidRPr="00382917">
        <w:t>wrote,</w:t>
      </w:r>
      <w:r w:rsidR="00EE4FC3">
        <w:t xml:space="preserve"> </w:t>
      </w:r>
      <w:r w:rsidR="009C713D" w:rsidRPr="00382917">
        <w:t>“</w:t>
      </w:r>
      <w:r w:rsidRPr="00382917">
        <w:t>is,</w:t>
      </w:r>
      <w:r w:rsidR="00EE4FC3">
        <w:t xml:space="preserve"> </w:t>
      </w:r>
      <w:r w:rsidRPr="00382917">
        <w:t>in</w:t>
      </w:r>
      <w:r w:rsidR="00EE4FC3">
        <w:t xml:space="preserve"> </w:t>
      </w:r>
      <w:r w:rsidRPr="00382917">
        <w:t>any</w:t>
      </w:r>
      <w:r w:rsidR="00EE4FC3">
        <w:t xml:space="preserve"> </w:t>
      </w:r>
      <w:r w:rsidRPr="00382917">
        <w:t>country</w:t>
      </w:r>
      <w:r w:rsidR="00EE4FC3">
        <w:t xml:space="preserve"> </w:t>
      </w:r>
      <w:r w:rsidRPr="00382917">
        <w:t>and</w:t>
      </w:r>
      <w:r w:rsidR="00EE4FC3">
        <w:t xml:space="preserve"> </w:t>
      </w:r>
      <w:r w:rsidRPr="00382917">
        <w:t>any</w:t>
      </w:r>
      <w:r w:rsidR="00EE4FC3">
        <w:t xml:space="preserve"> </w:t>
      </w:r>
      <w:r w:rsidRPr="00382917">
        <w:t>age,</w:t>
      </w:r>
      <w:r w:rsidR="00EE4FC3">
        <w:t xml:space="preserve"> </w:t>
      </w:r>
      <w:r w:rsidRPr="00382917">
        <w:t>a</w:t>
      </w:r>
      <w:r w:rsidR="00EE4FC3">
        <w:t xml:space="preserve"> </w:t>
      </w:r>
      <w:r w:rsidRPr="00382917">
        <w:t>rare</w:t>
      </w:r>
      <w:r w:rsidR="00EE4FC3">
        <w:t xml:space="preserve"> </w:t>
      </w:r>
      <w:r w:rsidRPr="00382917">
        <w:t>phenomenon,</w:t>
      </w:r>
      <w:r w:rsidR="00EE4FC3">
        <w:t xml:space="preserve"> </w:t>
      </w:r>
      <w:r w:rsidRPr="00382917">
        <w:t>but</w:t>
      </w:r>
      <w:r w:rsidR="00EE4FC3">
        <w:t xml:space="preserve"> </w:t>
      </w:r>
      <w:r w:rsidRPr="00382917">
        <w:t>in</w:t>
      </w:r>
      <w:r w:rsidR="00EE4FC3">
        <w:t xml:space="preserve"> </w:t>
      </w:r>
      <w:r w:rsidRPr="00382917">
        <w:t>such</w:t>
      </w:r>
      <w:r w:rsidR="00EE4FC3">
        <w:t xml:space="preserve"> </w:t>
      </w:r>
      <w:r w:rsidRPr="00382917">
        <w:t>a</w:t>
      </w:r>
      <w:r w:rsidR="00EE4FC3">
        <w:t xml:space="preserve"> </w:t>
      </w:r>
      <w:r w:rsidRPr="00382917">
        <w:t>country</w:t>
      </w:r>
      <w:r w:rsidR="00EE4FC3">
        <w:t xml:space="preserve"> </w:t>
      </w:r>
      <w:r w:rsidRPr="00382917">
        <w:t>as</w:t>
      </w:r>
      <w:r w:rsidR="00EE4FC3">
        <w:t xml:space="preserve"> </w:t>
      </w:r>
      <w:r w:rsidRPr="00382917">
        <w:t>Persia</w:t>
      </w:r>
      <w:r w:rsidR="00EE4FC3">
        <w:t xml:space="preserve"> </w:t>
      </w:r>
      <w:r w:rsidRPr="00382917">
        <w:t>it</w:t>
      </w:r>
      <w:r w:rsidR="00EE4FC3">
        <w:t xml:space="preserve"> </w:t>
      </w:r>
      <w:r w:rsidRPr="00382917">
        <w:t>is</w:t>
      </w:r>
      <w:r w:rsidR="00EE4FC3">
        <w:t xml:space="preserve"> </w:t>
      </w:r>
      <w:r w:rsidRPr="00382917">
        <w:t>a</w:t>
      </w:r>
      <w:r w:rsidR="00EE4FC3">
        <w:t xml:space="preserve"> </w:t>
      </w:r>
      <w:r w:rsidRPr="00382917">
        <w:t>prodigy—nay,</w:t>
      </w:r>
      <w:r w:rsidR="00EE4FC3">
        <w:t xml:space="preserve"> </w:t>
      </w:r>
      <w:r w:rsidRPr="00382917">
        <w:t>almost</w:t>
      </w:r>
      <w:r w:rsidR="00EE4FC3">
        <w:t xml:space="preserve"> </w:t>
      </w:r>
      <w:r w:rsidRPr="00382917">
        <w:t>a</w:t>
      </w:r>
      <w:r w:rsidR="00EE4FC3">
        <w:t xml:space="preserve"> </w:t>
      </w:r>
      <w:r w:rsidRPr="00382917">
        <w:t>miracle.</w:t>
      </w:r>
      <w:r w:rsidR="009C713D" w:rsidRPr="00382917">
        <w:t>”</w:t>
      </w:r>
    </w:p>
    <w:p w:rsidR="007E595F" w:rsidRPr="00382917" w:rsidRDefault="007E595F" w:rsidP="007E595F">
      <w:pPr>
        <w:pStyle w:val="Text"/>
      </w:pPr>
      <w:r w:rsidRPr="00382917">
        <w:t>The</w:t>
      </w:r>
      <w:r w:rsidR="00EE4FC3">
        <w:t xml:space="preserve"> </w:t>
      </w:r>
      <w:r w:rsidRPr="00382917">
        <w:t>French</w:t>
      </w:r>
      <w:r w:rsidR="00EE4FC3">
        <w:t xml:space="preserve"> </w:t>
      </w:r>
      <w:r w:rsidRPr="00382917">
        <w:t>diplomat,</w:t>
      </w:r>
      <w:r w:rsidR="00EE4FC3">
        <w:t xml:space="preserve"> </w:t>
      </w:r>
      <w:r w:rsidRPr="00382917">
        <w:t>Comte</w:t>
      </w:r>
      <w:r w:rsidR="00EE4FC3">
        <w:t xml:space="preserve"> </w:t>
      </w:r>
      <w:r w:rsidRPr="00382917">
        <w:t>de</w:t>
      </w:r>
      <w:r w:rsidR="00EE4FC3">
        <w:t xml:space="preserve"> </w:t>
      </w:r>
      <w:proofErr w:type="spellStart"/>
      <w:r w:rsidRPr="00382917">
        <w:t>Gobineau</w:t>
      </w:r>
      <w:proofErr w:type="spellEnd"/>
      <w:r w:rsidRPr="00382917">
        <w:t>,</w:t>
      </w:r>
      <w:r w:rsidR="00EE4FC3">
        <w:t xml:space="preserve"> </w:t>
      </w:r>
      <w:r w:rsidRPr="00382917">
        <w:t>writes,</w:t>
      </w:r>
      <w:r w:rsidR="00EE4FC3">
        <w:t xml:space="preserve"> </w:t>
      </w:r>
      <w:r w:rsidR="009C713D" w:rsidRPr="00382917">
        <w:t>“</w:t>
      </w:r>
      <w:r w:rsidRPr="00382917">
        <w:t>She</w:t>
      </w:r>
      <w:r w:rsidR="00EE4FC3">
        <w:t xml:space="preserve"> </w:t>
      </w:r>
      <w:r w:rsidRPr="00382917">
        <w:t>was</w:t>
      </w:r>
      <w:r w:rsidR="00EE4FC3">
        <w:t xml:space="preserve"> </w:t>
      </w:r>
      <w:r w:rsidRPr="00382917">
        <w:t>held</w:t>
      </w:r>
      <w:r w:rsidR="00EE4FC3">
        <w:t xml:space="preserve"> </w:t>
      </w:r>
      <w:r w:rsidRPr="00382917">
        <w:t>with</w:t>
      </w:r>
      <w:r w:rsidR="00EE4FC3">
        <w:t xml:space="preserve"> </w:t>
      </w:r>
      <w:r w:rsidRPr="00382917">
        <w:t>every</w:t>
      </w:r>
      <w:r w:rsidR="00EE4FC3">
        <w:t xml:space="preserve"> </w:t>
      </w:r>
      <w:r w:rsidRPr="00382917">
        <w:t>justification</w:t>
      </w:r>
      <w:r w:rsidR="00EE4FC3">
        <w:t xml:space="preserve"> </w:t>
      </w:r>
      <w:r w:rsidRPr="00382917">
        <w:t>to</w:t>
      </w:r>
      <w:r w:rsidR="00EE4FC3">
        <w:t xml:space="preserve"> </w:t>
      </w:r>
      <w:r w:rsidRPr="00382917">
        <w:t>be</w:t>
      </w:r>
      <w:r w:rsidR="00EE4FC3">
        <w:t xml:space="preserve"> </w:t>
      </w:r>
      <w:r w:rsidRPr="00382917">
        <w:t>a</w:t>
      </w:r>
      <w:r w:rsidR="00EE4FC3">
        <w:t xml:space="preserve"> </w:t>
      </w:r>
      <w:r w:rsidRPr="00382917">
        <w:t>prodigy.</w:t>
      </w:r>
      <w:r w:rsidR="009C713D" w:rsidRPr="00382917">
        <w:t>”</w:t>
      </w:r>
    </w:p>
    <w:p w:rsidR="007E595F" w:rsidRPr="00382917" w:rsidRDefault="009C713D" w:rsidP="0040329F">
      <w:pPr>
        <w:pStyle w:val="Text"/>
      </w:pPr>
      <w:r w:rsidRPr="00382917">
        <w:t>“</w:t>
      </w:r>
      <w:r w:rsidR="007E595F" w:rsidRPr="00382917">
        <w:t>This</w:t>
      </w:r>
      <w:r w:rsidR="00EE4FC3">
        <w:t xml:space="preserve"> </w:t>
      </w:r>
      <w:r w:rsidR="007E595F" w:rsidRPr="00382917">
        <w:t>noble</w:t>
      </w:r>
      <w:r w:rsidR="00EE4FC3">
        <w:t xml:space="preserve"> </w:t>
      </w:r>
      <w:proofErr w:type="gramStart"/>
      <w:r w:rsidR="007E595F" w:rsidRPr="00382917">
        <w:t>woman,</w:t>
      </w:r>
      <w:r w:rsidR="00EE4FC3">
        <w:t xml:space="preserve"> </w:t>
      </w:r>
      <w:r w:rsidR="00F04416" w:rsidRPr="00382917">
        <w:t>…</w:t>
      </w:r>
      <w:r w:rsidRPr="00382917">
        <w:t>”</w:t>
      </w:r>
      <w:proofErr w:type="gramEnd"/>
      <w:r w:rsidR="00EE4FC3">
        <w:t xml:space="preserve"> </w:t>
      </w:r>
      <w:r w:rsidR="007E595F" w:rsidRPr="00382917">
        <w:t>writes</w:t>
      </w:r>
      <w:r w:rsidR="00EE4FC3">
        <w:t xml:space="preserve"> </w:t>
      </w:r>
      <w:r w:rsidR="007E595F" w:rsidRPr="00382917">
        <w:t>Dr</w:t>
      </w:r>
      <w:r w:rsidR="00EE4FC3">
        <w:t xml:space="preserve"> </w:t>
      </w:r>
      <w:r w:rsidR="007E595F" w:rsidRPr="00382917">
        <w:t>T.</w:t>
      </w:r>
      <w:r w:rsidR="00EE4FC3">
        <w:t xml:space="preserve"> </w:t>
      </w:r>
      <w:r w:rsidR="007E595F" w:rsidRPr="00382917">
        <w:t>K.</w:t>
      </w:r>
      <w:r w:rsidR="00EE4FC3">
        <w:t xml:space="preserve"> </w:t>
      </w:r>
      <w:r w:rsidR="007E595F" w:rsidRPr="00382917">
        <w:t>Cheyne,</w:t>
      </w:r>
      <w:r w:rsidR="00EE4FC3">
        <w:t xml:space="preserve"> </w:t>
      </w:r>
      <w:r w:rsidR="007E595F" w:rsidRPr="00382917">
        <w:t>a</w:t>
      </w:r>
      <w:r w:rsidR="00EE4FC3">
        <w:t xml:space="preserve"> </w:t>
      </w:r>
      <w:r w:rsidR="007E595F" w:rsidRPr="00382917">
        <w:t>renowned</w:t>
      </w:r>
    </w:p>
    <w:p w:rsidR="007E595F" w:rsidRPr="00382917" w:rsidRDefault="007E595F">
      <w:pPr>
        <w:widowControl/>
        <w:kinsoku/>
        <w:overflowPunct/>
        <w:textAlignment w:val="auto"/>
      </w:pPr>
      <w:r w:rsidRPr="00382917">
        <w:br w:type="page"/>
      </w:r>
    </w:p>
    <w:p w:rsidR="007E595F" w:rsidRPr="00382917" w:rsidRDefault="007E595F" w:rsidP="007E595F">
      <w:pPr>
        <w:pStyle w:val="Textcts"/>
      </w:pPr>
      <w:r w:rsidRPr="00382917">
        <w:t>English</w:t>
      </w:r>
      <w:r w:rsidR="00EE4FC3">
        <w:t xml:space="preserve"> </w:t>
      </w:r>
      <w:proofErr w:type="gramStart"/>
      <w:r w:rsidRPr="00382917">
        <w:t>clergyman,</w:t>
      </w:r>
      <w:proofErr w:type="gramEnd"/>
      <w:r w:rsidR="00EE4FC3">
        <w:t xml:space="preserve"> </w:t>
      </w:r>
      <w:r w:rsidR="009C713D" w:rsidRPr="00382917">
        <w:t>“</w:t>
      </w:r>
      <w:r w:rsidRPr="00382917">
        <w:t>has</w:t>
      </w:r>
      <w:r w:rsidR="00EE4FC3">
        <w:t xml:space="preserve"> </w:t>
      </w:r>
      <w:r w:rsidRPr="00382917">
        <w:t>the</w:t>
      </w:r>
      <w:r w:rsidR="00EE4FC3">
        <w:t xml:space="preserve"> </w:t>
      </w:r>
      <w:r w:rsidRPr="00382917">
        <w:t>credit</w:t>
      </w:r>
      <w:r w:rsidR="00EE4FC3">
        <w:t xml:space="preserve"> </w:t>
      </w:r>
      <w:r w:rsidRPr="00382917">
        <w:t>of</w:t>
      </w:r>
      <w:r w:rsidR="00EE4FC3">
        <w:t xml:space="preserve"> </w:t>
      </w:r>
      <w:r w:rsidRPr="00382917">
        <w:t>opening</w:t>
      </w:r>
      <w:r w:rsidR="00EE4FC3">
        <w:t xml:space="preserve"> </w:t>
      </w:r>
      <w:r w:rsidRPr="00382917">
        <w:t>the</w:t>
      </w:r>
      <w:r w:rsidR="00EE4FC3">
        <w:t xml:space="preserve"> </w:t>
      </w:r>
      <w:r w:rsidRPr="00382917">
        <w:t>catalogue</w:t>
      </w:r>
      <w:r w:rsidR="00EE4FC3">
        <w:t xml:space="preserve"> </w:t>
      </w:r>
      <w:r w:rsidRPr="00382917">
        <w:t>of</w:t>
      </w:r>
      <w:r w:rsidR="00EE4FC3">
        <w:t xml:space="preserve"> </w:t>
      </w:r>
      <w:r w:rsidRPr="00382917">
        <w:t>social</w:t>
      </w:r>
      <w:r w:rsidR="00EE4FC3">
        <w:t xml:space="preserve"> </w:t>
      </w:r>
      <w:r w:rsidRPr="00382917">
        <w:t>reforms</w:t>
      </w:r>
      <w:r w:rsidR="00EE4FC3">
        <w:t xml:space="preserve"> </w:t>
      </w:r>
      <w:r w:rsidRPr="00382917">
        <w:t>in</w:t>
      </w:r>
      <w:r w:rsidR="00EE4FC3">
        <w:t xml:space="preserve"> </w:t>
      </w:r>
      <w:r w:rsidRPr="00382917">
        <w:t>Persia.</w:t>
      </w:r>
      <w:r w:rsidR="009C713D" w:rsidRPr="00382917">
        <w:t>”</w:t>
      </w:r>
    </w:p>
    <w:p w:rsidR="007E595F" w:rsidRPr="00382917" w:rsidRDefault="009C713D" w:rsidP="007E595F">
      <w:pPr>
        <w:pStyle w:val="Text"/>
      </w:pPr>
      <w:r w:rsidRPr="00382917">
        <w:t>“</w:t>
      </w:r>
      <w:r w:rsidR="007E595F" w:rsidRPr="00382917">
        <w:t>No</w:t>
      </w:r>
      <w:r w:rsidR="00EE4FC3">
        <w:t xml:space="preserve"> </w:t>
      </w:r>
      <w:r w:rsidR="007E595F" w:rsidRPr="00382917">
        <w:t>memory,</w:t>
      </w:r>
      <w:r w:rsidRPr="00382917">
        <w:t>”</w:t>
      </w:r>
      <w:r w:rsidR="00EE4FC3">
        <w:t xml:space="preserve"> </w:t>
      </w:r>
      <w:r w:rsidR="007E595F" w:rsidRPr="00382917">
        <w:t>writes</w:t>
      </w:r>
      <w:r w:rsidR="00EE4FC3">
        <w:t xml:space="preserve"> </w:t>
      </w:r>
      <w:r w:rsidR="007E595F" w:rsidRPr="00382917">
        <w:t>Sir</w:t>
      </w:r>
      <w:r w:rsidR="00EE4FC3">
        <w:t xml:space="preserve"> </w:t>
      </w:r>
      <w:r w:rsidR="007E595F" w:rsidRPr="00382917">
        <w:t>Valentine</w:t>
      </w:r>
      <w:r w:rsidR="00EE4FC3">
        <w:t xml:space="preserve"> </w:t>
      </w:r>
      <w:proofErr w:type="spellStart"/>
      <w:proofErr w:type="gramStart"/>
      <w:r w:rsidR="007E595F" w:rsidRPr="00382917">
        <w:t>Chirol</w:t>
      </w:r>
      <w:proofErr w:type="spellEnd"/>
      <w:r w:rsidR="007E595F" w:rsidRPr="00382917">
        <w:t>,</w:t>
      </w:r>
      <w:proofErr w:type="gramEnd"/>
      <w:r w:rsidR="00EE4FC3">
        <w:t xml:space="preserve"> </w:t>
      </w:r>
      <w:r w:rsidRPr="00382917">
        <w:t>“</w:t>
      </w:r>
      <w:r w:rsidR="007E595F" w:rsidRPr="00382917">
        <w:t>is</w:t>
      </w:r>
      <w:r w:rsidR="00EE4FC3">
        <w:t xml:space="preserve"> </w:t>
      </w:r>
      <w:r w:rsidR="007E595F" w:rsidRPr="00382917">
        <w:t>more</w:t>
      </w:r>
      <w:r w:rsidR="00EE4FC3">
        <w:t xml:space="preserve"> </w:t>
      </w:r>
      <w:r w:rsidR="007E595F" w:rsidRPr="00382917">
        <w:t>deeply</w:t>
      </w:r>
      <w:r w:rsidR="00EE4FC3">
        <w:t xml:space="preserve"> </w:t>
      </w:r>
      <w:r w:rsidR="007E595F" w:rsidRPr="00382917">
        <w:t>venerated</w:t>
      </w:r>
      <w:r w:rsidR="00EE4FC3">
        <w:t xml:space="preserve"> </w:t>
      </w:r>
      <w:r w:rsidR="007E595F" w:rsidRPr="00382917">
        <w:t>or</w:t>
      </w:r>
      <w:r w:rsidR="00EE4FC3">
        <w:t xml:space="preserve"> </w:t>
      </w:r>
      <w:r w:rsidR="007E595F" w:rsidRPr="00382917">
        <w:t>kindles</w:t>
      </w:r>
      <w:r w:rsidR="00EE4FC3">
        <w:t xml:space="preserve"> </w:t>
      </w:r>
      <w:r w:rsidR="007E595F" w:rsidRPr="00382917">
        <w:t>greater</w:t>
      </w:r>
      <w:r w:rsidR="00EE4FC3">
        <w:t xml:space="preserve"> </w:t>
      </w:r>
      <w:r w:rsidR="007E595F" w:rsidRPr="00382917">
        <w:t>enthusiasm</w:t>
      </w:r>
      <w:r w:rsidR="00EE4FC3">
        <w:t xml:space="preserve"> </w:t>
      </w:r>
      <w:r w:rsidR="007E595F" w:rsidRPr="00382917">
        <w:t>than</w:t>
      </w:r>
      <w:r w:rsidR="00EE4FC3">
        <w:t xml:space="preserve"> </w:t>
      </w:r>
      <w:r w:rsidR="007E595F" w:rsidRPr="00382917">
        <w:t>hers,</w:t>
      </w:r>
      <w:r w:rsidR="00EE4FC3">
        <w:t xml:space="preserve"> </w:t>
      </w:r>
      <w:r w:rsidR="007E595F" w:rsidRPr="00382917">
        <w:t>and</w:t>
      </w:r>
      <w:r w:rsidR="00EE4FC3">
        <w:t xml:space="preserve"> </w:t>
      </w:r>
      <w:r w:rsidR="007E595F" w:rsidRPr="00382917">
        <w:t>the</w:t>
      </w:r>
      <w:r w:rsidR="00EE4FC3">
        <w:t xml:space="preserve"> </w:t>
      </w:r>
      <w:r w:rsidR="007E595F" w:rsidRPr="00382917">
        <w:t>influence</w:t>
      </w:r>
      <w:r w:rsidR="00EE4FC3">
        <w:t xml:space="preserve"> </w:t>
      </w:r>
      <w:r w:rsidR="007E595F" w:rsidRPr="00382917">
        <w:t>she</w:t>
      </w:r>
      <w:r w:rsidR="00EE4FC3">
        <w:t xml:space="preserve"> </w:t>
      </w:r>
      <w:r w:rsidR="007E595F" w:rsidRPr="00382917">
        <w:t>wielded</w:t>
      </w:r>
      <w:r w:rsidR="00EE4FC3">
        <w:t xml:space="preserve"> </w:t>
      </w:r>
      <w:r w:rsidR="007E595F" w:rsidRPr="00382917">
        <w:t>in</w:t>
      </w:r>
      <w:r w:rsidR="00EE4FC3">
        <w:t xml:space="preserve"> </w:t>
      </w:r>
      <w:r w:rsidR="007E595F" w:rsidRPr="00382917">
        <w:t>her</w:t>
      </w:r>
      <w:r w:rsidR="00EE4FC3">
        <w:t xml:space="preserve"> </w:t>
      </w:r>
      <w:r w:rsidR="007E595F" w:rsidRPr="00382917">
        <w:t>lifetime</w:t>
      </w:r>
      <w:r w:rsidR="00EE4FC3">
        <w:t xml:space="preserve"> </w:t>
      </w:r>
      <w:r w:rsidR="007E595F" w:rsidRPr="00382917">
        <w:t>still</w:t>
      </w:r>
      <w:r w:rsidR="00EE4FC3">
        <w:t xml:space="preserve"> </w:t>
      </w:r>
      <w:r w:rsidR="007E595F" w:rsidRPr="00382917">
        <w:t>inures</w:t>
      </w:r>
      <w:r w:rsidR="00EE4FC3">
        <w:t xml:space="preserve"> </w:t>
      </w:r>
      <w:r w:rsidR="007E595F" w:rsidRPr="00382917">
        <w:t>to</w:t>
      </w:r>
      <w:r w:rsidR="00EE4FC3">
        <w:t xml:space="preserve"> </w:t>
      </w:r>
      <w:r w:rsidR="007E595F" w:rsidRPr="00382917">
        <w:t>her</w:t>
      </w:r>
      <w:r w:rsidR="00EE4FC3">
        <w:t xml:space="preserve"> </w:t>
      </w:r>
      <w:r w:rsidR="007E595F" w:rsidRPr="00382917">
        <w:t>sex.</w:t>
      </w:r>
      <w:r w:rsidRPr="00382917">
        <w:t>”</w:t>
      </w:r>
    </w:p>
    <w:p w:rsidR="007E595F" w:rsidRPr="00382917" w:rsidRDefault="007E595F" w:rsidP="005534DF">
      <w:pPr>
        <w:pStyle w:val="Text"/>
      </w:pPr>
      <w:r w:rsidRPr="00382917">
        <w:t>The</w:t>
      </w:r>
      <w:r w:rsidR="00EE4FC3">
        <w:t xml:space="preserve"> </w:t>
      </w:r>
      <w:r w:rsidRPr="00382917">
        <w:t>famous</w:t>
      </w:r>
      <w:r w:rsidR="00EE4FC3">
        <w:t xml:space="preserve"> </w:t>
      </w:r>
      <w:r w:rsidRPr="00382917">
        <w:t>Turkish</w:t>
      </w:r>
      <w:r w:rsidR="00EE4FC3">
        <w:t xml:space="preserve"> </w:t>
      </w:r>
      <w:r w:rsidRPr="00382917">
        <w:t>poet,</w:t>
      </w:r>
      <w:r w:rsidR="00EE4FC3">
        <w:t xml:space="preserve"> </w:t>
      </w:r>
      <w:r w:rsidRPr="00382917">
        <w:t>Sulaymán</w:t>
      </w:r>
      <w:r w:rsidR="00EE4FC3">
        <w:t xml:space="preserve"> </w:t>
      </w:r>
      <w:proofErr w:type="spellStart"/>
      <w:r w:rsidR="005534DF" w:rsidRPr="008F03E5">
        <w:t>Náẓim</w:t>
      </w:r>
      <w:proofErr w:type="spellEnd"/>
      <w:r w:rsidR="00EE4FC3">
        <w:t xml:space="preserve"> </w:t>
      </w:r>
      <w:r w:rsidRPr="00382917">
        <w:t>Bey,</w:t>
      </w:r>
      <w:r w:rsidR="00EE4FC3">
        <w:t xml:space="preserve"> </w:t>
      </w:r>
      <w:r w:rsidRPr="00382917">
        <w:t>exclaims</w:t>
      </w:r>
      <w:r w:rsidR="00C03C91">
        <w:t>:</w:t>
      </w:r>
      <w:r w:rsidR="00EE4FC3">
        <w:t xml:space="preserve">  </w:t>
      </w:r>
      <w:r w:rsidR="009C713D" w:rsidRPr="00382917">
        <w:t>“</w:t>
      </w:r>
      <w:r w:rsidRPr="00382917">
        <w:t>O</w:t>
      </w:r>
      <w:r w:rsidR="00EE4FC3">
        <w:t xml:space="preserve"> </w:t>
      </w:r>
      <w:r w:rsidRPr="00382917">
        <w:t>Ṭáhirih!</w:t>
      </w:r>
      <w:r w:rsidR="00EE4FC3">
        <w:t xml:space="preserve"> </w:t>
      </w:r>
      <w:r w:rsidR="00CF18B5">
        <w:t xml:space="preserve"> </w:t>
      </w:r>
      <w:r w:rsidRPr="00382917">
        <w:t>You</w:t>
      </w:r>
      <w:r w:rsidR="00EE4FC3">
        <w:t xml:space="preserve"> </w:t>
      </w:r>
      <w:r w:rsidRPr="00382917">
        <w:t>are</w:t>
      </w:r>
      <w:r w:rsidR="00EE4FC3">
        <w:t xml:space="preserve"> </w:t>
      </w:r>
      <w:r w:rsidRPr="00382917">
        <w:t>worth</w:t>
      </w:r>
      <w:r w:rsidR="00EE4FC3">
        <w:t xml:space="preserve"> </w:t>
      </w:r>
      <w:r w:rsidRPr="00382917">
        <w:t>a</w:t>
      </w:r>
      <w:r w:rsidR="00EE4FC3">
        <w:t xml:space="preserve"> </w:t>
      </w:r>
      <w:r w:rsidRPr="00382917">
        <w:t>thousand</w:t>
      </w:r>
      <w:r w:rsidR="00EE4FC3">
        <w:t xml:space="preserve"> </w:t>
      </w:r>
      <w:r w:rsidRPr="00382917">
        <w:t>Náṣiru</w:t>
      </w:r>
      <w:r w:rsidR="009C713D" w:rsidRPr="00382917">
        <w:t>’</w:t>
      </w:r>
      <w:r w:rsidRPr="00382917">
        <w:t>d-Dín</w:t>
      </w:r>
      <w:r w:rsidR="00EE4FC3">
        <w:t xml:space="preserve"> </w:t>
      </w:r>
      <w:proofErr w:type="spellStart"/>
      <w:r w:rsidR="004F6339" w:rsidRPr="004F6339">
        <w:rPr>
          <w:u w:val="single"/>
        </w:rPr>
        <w:t>Sh</w:t>
      </w:r>
      <w:r w:rsidR="004F6339" w:rsidRPr="00382917">
        <w:t>áh</w:t>
      </w:r>
      <w:r w:rsidRPr="00382917">
        <w:t>s</w:t>
      </w:r>
      <w:proofErr w:type="spellEnd"/>
      <w:r w:rsidRPr="00382917">
        <w:t>!</w:t>
      </w:r>
      <w:r w:rsidR="009C713D" w:rsidRPr="00382917">
        <w:t>”</w:t>
      </w:r>
    </w:p>
    <w:p w:rsidR="007E595F" w:rsidRPr="00382917" w:rsidRDefault="007E595F" w:rsidP="007E595F">
      <w:pPr>
        <w:pStyle w:val="Text"/>
      </w:pPr>
      <w:r w:rsidRPr="00382917">
        <w:t>Marianna</w:t>
      </w:r>
      <w:r w:rsidR="00EE4FC3">
        <w:t xml:space="preserve"> </w:t>
      </w:r>
      <w:proofErr w:type="spellStart"/>
      <w:r w:rsidRPr="00382917">
        <w:t>Hainisch</w:t>
      </w:r>
      <w:proofErr w:type="spellEnd"/>
      <w:r w:rsidRPr="00382917">
        <w:t>,</w:t>
      </w:r>
      <w:r w:rsidR="00EE4FC3">
        <w:t xml:space="preserve"> </w:t>
      </w:r>
      <w:r w:rsidRPr="00382917">
        <w:t>the</w:t>
      </w:r>
      <w:r w:rsidR="00EE4FC3">
        <w:t xml:space="preserve"> </w:t>
      </w:r>
      <w:r w:rsidRPr="00382917">
        <w:t>mother</w:t>
      </w:r>
      <w:r w:rsidR="00EE4FC3">
        <w:t xml:space="preserve"> </w:t>
      </w:r>
      <w:r w:rsidRPr="00382917">
        <w:t>of</w:t>
      </w:r>
      <w:r w:rsidR="00EE4FC3">
        <w:t xml:space="preserve"> </w:t>
      </w:r>
      <w:r w:rsidRPr="00382917">
        <w:t>one</w:t>
      </w:r>
      <w:r w:rsidR="00EE4FC3">
        <w:t xml:space="preserve"> </w:t>
      </w:r>
      <w:r w:rsidRPr="00382917">
        <w:t>of</w:t>
      </w:r>
      <w:r w:rsidR="00EE4FC3">
        <w:t xml:space="preserve"> </w:t>
      </w:r>
      <w:r w:rsidRPr="00382917">
        <w:t>Austria</w:t>
      </w:r>
      <w:r w:rsidR="009C713D" w:rsidRPr="00382917">
        <w:t>’</w:t>
      </w:r>
      <w:r w:rsidRPr="00382917">
        <w:t>s</w:t>
      </w:r>
      <w:r w:rsidR="00EE4FC3">
        <w:t xml:space="preserve"> </w:t>
      </w:r>
      <w:r w:rsidRPr="00382917">
        <w:t>presidents</w:t>
      </w:r>
      <w:r w:rsidR="00EE4FC3">
        <w:t xml:space="preserve"> </w:t>
      </w:r>
      <w:r w:rsidRPr="00382917">
        <w:t>says</w:t>
      </w:r>
      <w:r w:rsidR="00C03C91">
        <w:t>:</w:t>
      </w:r>
      <w:r w:rsidR="00EE4FC3">
        <w:t xml:space="preserve">  </w:t>
      </w:r>
      <w:r w:rsidR="009C713D" w:rsidRPr="00382917">
        <w:t>“</w:t>
      </w:r>
      <w:r w:rsidRPr="00382917">
        <w:t>The</w:t>
      </w:r>
      <w:r w:rsidR="00EE4FC3">
        <w:t xml:space="preserve"> </w:t>
      </w:r>
      <w:r w:rsidRPr="00382917">
        <w:t>greatest</w:t>
      </w:r>
      <w:r w:rsidR="00EE4FC3">
        <w:t xml:space="preserve"> </w:t>
      </w:r>
      <w:r w:rsidRPr="00382917">
        <w:t>ideal</w:t>
      </w:r>
      <w:r w:rsidR="00EE4FC3">
        <w:t xml:space="preserve"> </w:t>
      </w:r>
      <w:r w:rsidRPr="00382917">
        <w:t>of</w:t>
      </w:r>
      <w:r w:rsidR="00EE4FC3">
        <w:t xml:space="preserve"> </w:t>
      </w:r>
      <w:r w:rsidRPr="00382917">
        <w:t>womanhood</w:t>
      </w:r>
      <w:r w:rsidR="00EE4FC3">
        <w:t xml:space="preserve"> </w:t>
      </w:r>
      <w:r w:rsidRPr="00382917">
        <w:t>has</w:t>
      </w:r>
      <w:r w:rsidR="00EE4FC3">
        <w:t xml:space="preserve"> </w:t>
      </w:r>
      <w:r w:rsidRPr="00382917">
        <w:t>been</w:t>
      </w:r>
      <w:r w:rsidR="00EE4FC3">
        <w:t xml:space="preserve"> </w:t>
      </w:r>
      <w:r w:rsidRPr="00382917">
        <w:t>Ṭáhirih.</w:t>
      </w:r>
      <w:r w:rsidR="009C713D" w:rsidRPr="00382917">
        <w:t>”</w:t>
      </w:r>
    </w:p>
    <w:p w:rsidR="007E595F" w:rsidRPr="00382917" w:rsidRDefault="007E595F" w:rsidP="00CF18B5">
      <w:pPr>
        <w:pStyle w:val="Text"/>
      </w:pPr>
      <w:r w:rsidRPr="00382917">
        <w:t>One</w:t>
      </w:r>
      <w:r w:rsidR="00EE4FC3">
        <w:t xml:space="preserve"> </w:t>
      </w:r>
      <w:r w:rsidRPr="00382917">
        <w:t>of</w:t>
      </w:r>
      <w:r w:rsidR="00EE4FC3">
        <w:t xml:space="preserve"> </w:t>
      </w:r>
      <w:r w:rsidRPr="00382917">
        <w:t>the</w:t>
      </w:r>
      <w:r w:rsidR="00EE4FC3">
        <w:t xml:space="preserve"> </w:t>
      </w:r>
      <w:r w:rsidRPr="00382917">
        <w:t>most</w:t>
      </w:r>
      <w:r w:rsidR="00EE4FC3">
        <w:t xml:space="preserve"> </w:t>
      </w:r>
      <w:r w:rsidRPr="00382917">
        <w:t>penetrating</w:t>
      </w:r>
      <w:r w:rsidR="00EE4FC3">
        <w:t xml:space="preserve"> </w:t>
      </w:r>
      <w:r w:rsidRPr="00382917">
        <w:t>comments</w:t>
      </w:r>
      <w:r w:rsidR="00EE4FC3">
        <w:t xml:space="preserve"> </w:t>
      </w:r>
      <w:r w:rsidRPr="00382917">
        <w:t>of</w:t>
      </w:r>
      <w:r w:rsidR="00EE4FC3">
        <w:t xml:space="preserve"> </w:t>
      </w:r>
      <w:r w:rsidRPr="00382917">
        <w:t>those</w:t>
      </w:r>
      <w:r w:rsidR="00EE4FC3">
        <w:t xml:space="preserve"> </w:t>
      </w:r>
      <w:r w:rsidRPr="00382917">
        <w:t>historians</w:t>
      </w:r>
      <w:r w:rsidR="00EE4FC3">
        <w:t xml:space="preserve"> </w:t>
      </w:r>
      <w:r w:rsidRPr="00382917">
        <w:t>who</w:t>
      </w:r>
      <w:r w:rsidR="00EE4FC3">
        <w:t xml:space="preserve"> </w:t>
      </w:r>
      <w:r w:rsidRPr="00382917">
        <w:t>followed</w:t>
      </w:r>
      <w:r w:rsidR="00EE4FC3">
        <w:t xml:space="preserve"> </w:t>
      </w:r>
      <w:r w:rsidRPr="00382917">
        <w:t>her</w:t>
      </w:r>
      <w:r w:rsidR="00EE4FC3">
        <w:t xml:space="preserve"> </w:t>
      </w:r>
      <w:r w:rsidRPr="00382917">
        <w:t>life</w:t>
      </w:r>
      <w:r w:rsidR="00EE4FC3">
        <w:t xml:space="preserve"> </w:t>
      </w:r>
      <w:r w:rsidRPr="00382917">
        <w:t>was</w:t>
      </w:r>
      <w:r w:rsidR="00EE4FC3">
        <w:t xml:space="preserve"> </w:t>
      </w:r>
      <w:r w:rsidRPr="00382917">
        <w:t>this</w:t>
      </w:r>
      <w:r w:rsidR="00C03C91">
        <w:t>:</w:t>
      </w:r>
      <w:r w:rsidR="00EE4FC3">
        <w:t xml:space="preserve">  </w:t>
      </w:r>
      <w:r w:rsidR="009C713D" w:rsidRPr="00382917">
        <w:t>“</w:t>
      </w:r>
      <w:r w:rsidRPr="00382917">
        <w:t>Looking</w:t>
      </w:r>
      <w:r w:rsidR="00EE4FC3">
        <w:t xml:space="preserve"> </w:t>
      </w:r>
      <w:r w:rsidRPr="00382917">
        <w:t>back</w:t>
      </w:r>
      <w:r w:rsidR="00EE4FC3">
        <w:t xml:space="preserve"> </w:t>
      </w:r>
      <w:r w:rsidRPr="00382917">
        <w:t>on</w:t>
      </w:r>
      <w:r w:rsidR="00EE4FC3">
        <w:t xml:space="preserve"> </w:t>
      </w:r>
      <w:r w:rsidRPr="00382917">
        <w:t>the</w:t>
      </w:r>
      <w:r w:rsidR="00EE4FC3">
        <w:t xml:space="preserve"> </w:t>
      </w:r>
      <w:r w:rsidRPr="00382917">
        <w:t>short</w:t>
      </w:r>
      <w:r w:rsidR="00EE4FC3">
        <w:t xml:space="preserve"> </w:t>
      </w:r>
      <w:r w:rsidRPr="00382917">
        <w:t>career</w:t>
      </w:r>
      <w:r w:rsidR="00EE4FC3">
        <w:t xml:space="preserve"> </w:t>
      </w:r>
      <w:r w:rsidRPr="00382917">
        <w:t>[of</w:t>
      </w:r>
      <w:r w:rsidR="00EE4FC3">
        <w:t xml:space="preserve"> </w:t>
      </w:r>
      <w:r w:rsidRPr="00382917">
        <w:t>Ṭáhirih]</w:t>
      </w:r>
      <w:r w:rsidR="00EE4FC3">
        <w:t xml:space="preserve"> </w:t>
      </w:r>
      <w:r w:rsidRPr="00382917">
        <w:t>one</w:t>
      </w:r>
      <w:r w:rsidR="00EE4FC3">
        <w:t xml:space="preserve"> </w:t>
      </w:r>
      <w:r w:rsidRPr="00382917">
        <w:t>is</w:t>
      </w:r>
      <w:r w:rsidR="00EE4FC3">
        <w:t xml:space="preserve"> </w:t>
      </w:r>
      <w:r w:rsidRPr="00382917">
        <w:t>chiefly</w:t>
      </w:r>
      <w:r w:rsidR="00EE4FC3">
        <w:t xml:space="preserve"> </w:t>
      </w:r>
      <w:r w:rsidRPr="00382917">
        <w:t>struck</w:t>
      </w:r>
      <w:r w:rsidR="00EE4FC3">
        <w:t xml:space="preserve"> </w:t>
      </w:r>
      <w:r w:rsidRPr="00382917">
        <w:t>by</w:t>
      </w:r>
      <w:r w:rsidR="00EE4FC3">
        <w:t xml:space="preserve"> </w:t>
      </w:r>
      <w:r w:rsidRPr="00382917">
        <w:t>her</w:t>
      </w:r>
      <w:r w:rsidR="00EE4FC3">
        <w:t xml:space="preserve"> </w:t>
      </w:r>
      <w:r w:rsidRPr="00382917">
        <w:t>fiery</w:t>
      </w:r>
      <w:r w:rsidR="00EE4FC3">
        <w:t xml:space="preserve"> </w:t>
      </w:r>
      <w:r w:rsidRPr="00382917">
        <w:t>enthusiasm</w:t>
      </w:r>
      <w:r w:rsidR="00EE4FC3">
        <w:t xml:space="preserve"> </w:t>
      </w:r>
      <w:r w:rsidRPr="00382917">
        <w:t>and</w:t>
      </w:r>
      <w:r w:rsidR="00EE4FC3">
        <w:t xml:space="preserve"> </w:t>
      </w:r>
      <w:r w:rsidRPr="00382917">
        <w:t>by</w:t>
      </w:r>
      <w:r w:rsidR="00EE4FC3">
        <w:t xml:space="preserve"> </w:t>
      </w:r>
      <w:r w:rsidRPr="00382917">
        <w:t>her</w:t>
      </w:r>
      <w:r w:rsidR="00EE4FC3">
        <w:t xml:space="preserve"> </w:t>
      </w:r>
      <w:r w:rsidRPr="00382917">
        <w:t>absolute</w:t>
      </w:r>
      <w:r w:rsidR="00EE4FC3">
        <w:t xml:space="preserve"> </w:t>
      </w:r>
      <w:r w:rsidRPr="00382917">
        <w:t>unworldliness</w:t>
      </w:r>
      <w:r w:rsidR="0040329F">
        <w:t>.</w:t>
      </w:r>
      <w:r w:rsidR="00EE4FC3">
        <w:t xml:space="preserve">  </w:t>
      </w:r>
      <w:r w:rsidRPr="00382917">
        <w:t>This</w:t>
      </w:r>
      <w:r w:rsidR="00EE4FC3">
        <w:t xml:space="preserve"> </w:t>
      </w:r>
      <w:r w:rsidRPr="00382917">
        <w:t>world</w:t>
      </w:r>
      <w:r w:rsidR="00EE4FC3">
        <w:t xml:space="preserve"> </w:t>
      </w:r>
      <w:r w:rsidRPr="00382917">
        <w:t>was,</w:t>
      </w:r>
      <w:r w:rsidR="00EE4FC3">
        <w:t xml:space="preserve"> </w:t>
      </w:r>
      <w:r w:rsidRPr="00382917">
        <w:t>in</w:t>
      </w:r>
      <w:r w:rsidR="00EE4FC3">
        <w:t xml:space="preserve"> </w:t>
      </w:r>
      <w:r w:rsidRPr="00382917">
        <w:t>fact,</w:t>
      </w:r>
      <w:r w:rsidR="00EE4FC3">
        <w:t xml:space="preserve"> </w:t>
      </w:r>
      <w:r w:rsidRPr="00382917">
        <w:t>to</w:t>
      </w:r>
      <w:r w:rsidR="00EE4FC3">
        <w:t xml:space="preserve"> </w:t>
      </w:r>
      <w:r w:rsidRPr="00382917">
        <w:t>her</w:t>
      </w:r>
      <w:r w:rsidR="00EE4FC3">
        <w:t xml:space="preserve"> </w:t>
      </w:r>
      <w:r w:rsidR="00F04416" w:rsidRPr="00382917">
        <w:t>…</w:t>
      </w:r>
      <w:r w:rsidR="00EE4FC3">
        <w:t xml:space="preserve"> </w:t>
      </w:r>
      <w:r w:rsidRPr="00382917">
        <w:t>a</w:t>
      </w:r>
      <w:r w:rsidR="00EE4FC3">
        <w:t xml:space="preserve"> </w:t>
      </w:r>
      <w:r w:rsidRPr="00382917">
        <w:t>mere</w:t>
      </w:r>
      <w:r w:rsidR="00EE4FC3">
        <w:t xml:space="preserve"> </w:t>
      </w:r>
      <w:r w:rsidRPr="00382917">
        <w:t>handful</w:t>
      </w:r>
      <w:r w:rsidR="00EE4FC3">
        <w:t xml:space="preserve"> </w:t>
      </w:r>
      <w:r w:rsidRPr="00382917">
        <w:t>of</w:t>
      </w:r>
      <w:r w:rsidR="00EE4FC3">
        <w:t xml:space="preserve"> </w:t>
      </w:r>
      <w:r w:rsidRPr="00382917">
        <w:t>dust.</w:t>
      </w:r>
      <w:r w:rsidR="009C713D" w:rsidRPr="00382917">
        <w:t>”</w:t>
      </w:r>
      <w:r w:rsidR="00CF18B5">
        <w:rPr>
          <w:rStyle w:val="FootnoteReference"/>
        </w:rPr>
        <w:footnoteReference w:id="163"/>
      </w:r>
    </w:p>
    <w:p w:rsidR="007E595F" w:rsidRPr="00382917" w:rsidRDefault="007E595F" w:rsidP="007E595F">
      <w:pPr>
        <w:pStyle w:val="Text"/>
      </w:pPr>
      <w:r w:rsidRPr="00382917">
        <w:t>Ṭáhirih</w:t>
      </w:r>
      <w:r w:rsidR="00EE4FC3">
        <w:t xml:space="preserve"> </w:t>
      </w:r>
      <w:r w:rsidRPr="00382917">
        <w:t>was</w:t>
      </w:r>
      <w:r w:rsidR="00EE4FC3">
        <w:t xml:space="preserve"> </w:t>
      </w:r>
      <w:r w:rsidRPr="00382917">
        <w:t>faithful</w:t>
      </w:r>
      <w:r w:rsidR="00EE4FC3">
        <w:t xml:space="preserve"> </w:t>
      </w:r>
      <w:r w:rsidRPr="00382917">
        <w:t>to</w:t>
      </w:r>
      <w:r w:rsidR="00EE4FC3">
        <w:t xml:space="preserve"> </w:t>
      </w:r>
      <w:r w:rsidRPr="00382917">
        <w:t>the</w:t>
      </w:r>
      <w:r w:rsidR="00EE4FC3">
        <w:t xml:space="preserve"> </w:t>
      </w:r>
      <w:r w:rsidRPr="00382917">
        <w:t>Cause</w:t>
      </w:r>
      <w:r w:rsidR="00EE4FC3">
        <w:t xml:space="preserve"> </w:t>
      </w:r>
      <w:r w:rsidRPr="00382917">
        <w:t>of</w:t>
      </w:r>
      <w:r w:rsidR="00EE4FC3">
        <w:t xml:space="preserve"> </w:t>
      </w:r>
      <w:r w:rsidRPr="00382917">
        <w:t>the</w:t>
      </w:r>
      <w:r w:rsidR="00EE4FC3">
        <w:t xml:space="preserve"> </w:t>
      </w:r>
      <w:r w:rsidRPr="00382917">
        <w:t>Báb</w:t>
      </w:r>
      <w:r w:rsidR="00EE4FC3">
        <w:t xml:space="preserve"> </w:t>
      </w:r>
      <w:r w:rsidRPr="00382917">
        <w:t>from</w:t>
      </w:r>
      <w:r w:rsidR="00EE4FC3">
        <w:t xml:space="preserve"> </w:t>
      </w:r>
      <w:r w:rsidRPr="00382917">
        <w:t>the</w:t>
      </w:r>
      <w:r w:rsidR="00EE4FC3">
        <w:t xml:space="preserve"> </w:t>
      </w:r>
      <w:r w:rsidRPr="00382917">
        <w:t>first</w:t>
      </w:r>
      <w:r w:rsidR="00EE4FC3">
        <w:t xml:space="preserve"> </w:t>
      </w:r>
      <w:r w:rsidRPr="00382917">
        <w:t>moment</w:t>
      </w:r>
      <w:r w:rsidR="00EE4FC3">
        <w:t xml:space="preserve"> </w:t>
      </w:r>
      <w:r w:rsidRPr="00382917">
        <w:t>of</w:t>
      </w:r>
      <w:r w:rsidR="00EE4FC3">
        <w:t xml:space="preserve"> </w:t>
      </w:r>
      <w:r w:rsidRPr="00382917">
        <w:t>her</w:t>
      </w:r>
      <w:r w:rsidR="00EE4FC3">
        <w:t xml:space="preserve"> </w:t>
      </w:r>
      <w:r w:rsidRPr="00382917">
        <w:t>acceptance</w:t>
      </w:r>
      <w:r w:rsidR="00EE4FC3">
        <w:t xml:space="preserve"> </w:t>
      </w:r>
      <w:r w:rsidRPr="00382917">
        <w:t>until</w:t>
      </w:r>
      <w:r w:rsidR="00EE4FC3">
        <w:t xml:space="preserve"> </w:t>
      </w:r>
      <w:r w:rsidRPr="00382917">
        <w:t>the</w:t>
      </w:r>
      <w:r w:rsidR="00EE4FC3">
        <w:t xml:space="preserve"> </w:t>
      </w:r>
      <w:r w:rsidRPr="00382917">
        <w:t>last</w:t>
      </w:r>
      <w:r w:rsidR="00EE4FC3">
        <w:t xml:space="preserve"> </w:t>
      </w:r>
      <w:r w:rsidRPr="00382917">
        <w:t>hour</w:t>
      </w:r>
      <w:r w:rsidR="00EE4FC3">
        <w:t xml:space="preserve"> </w:t>
      </w:r>
      <w:r w:rsidRPr="00382917">
        <w:t>of</w:t>
      </w:r>
      <w:r w:rsidR="00EE4FC3">
        <w:t xml:space="preserve"> </w:t>
      </w:r>
      <w:r w:rsidRPr="00382917">
        <w:t>her</w:t>
      </w:r>
      <w:r w:rsidR="00EE4FC3">
        <w:t xml:space="preserve"> </w:t>
      </w:r>
      <w:r w:rsidRPr="00382917">
        <w:t>death</w:t>
      </w:r>
      <w:r w:rsidR="0040329F">
        <w:t>.</w:t>
      </w:r>
      <w:r w:rsidR="00EE4FC3">
        <w:t xml:space="preserve">  </w:t>
      </w:r>
      <w:r w:rsidRPr="00382917">
        <w:t>Not</w:t>
      </w:r>
      <w:r w:rsidR="00EE4FC3">
        <w:t xml:space="preserve"> </w:t>
      </w:r>
      <w:r w:rsidRPr="00382917">
        <w:t>for</w:t>
      </w:r>
      <w:r w:rsidR="00EE4FC3">
        <w:t xml:space="preserve"> </w:t>
      </w:r>
      <w:r w:rsidRPr="00382917">
        <w:t>an</w:t>
      </w:r>
      <w:r w:rsidR="00EE4FC3">
        <w:t xml:space="preserve"> </w:t>
      </w:r>
      <w:r w:rsidRPr="00382917">
        <w:t>instant</w:t>
      </w:r>
      <w:r w:rsidR="00EE4FC3">
        <w:t xml:space="preserve"> </w:t>
      </w:r>
      <w:r w:rsidRPr="00382917">
        <w:t>did</w:t>
      </w:r>
      <w:r w:rsidR="00EE4FC3">
        <w:t xml:space="preserve"> </w:t>
      </w:r>
      <w:r w:rsidRPr="00382917">
        <w:t>she</w:t>
      </w:r>
      <w:r w:rsidR="00EE4FC3">
        <w:t xml:space="preserve"> </w:t>
      </w:r>
      <w:r w:rsidRPr="00382917">
        <w:t>swerve</w:t>
      </w:r>
      <w:r w:rsidR="00EE4FC3">
        <w:t xml:space="preserve"> </w:t>
      </w:r>
      <w:r w:rsidRPr="00382917">
        <w:t>from</w:t>
      </w:r>
      <w:r w:rsidR="00EE4FC3">
        <w:t xml:space="preserve"> </w:t>
      </w:r>
      <w:r w:rsidRPr="00382917">
        <w:t>that</w:t>
      </w:r>
      <w:r w:rsidR="00EE4FC3">
        <w:t xml:space="preserve"> </w:t>
      </w:r>
      <w:r w:rsidRPr="00382917">
        <w:t>confident</w:t>
      </w:r>
      <w:r w:rsidR="00EE4FC3">
        <w:t xml:space="preserve"> </w:t>
      </w:r>
      <w:r w:rsidRPr="00382917">
        <w:t>belief</w:t>
      </w:r>
      <w:r w:rsidR="00EE4FC3">
        <w:t xml:space="preserve"> </w:t>
      </w:r>
      <w:r w:rsidRPr="00382917">
        <w:t>expressed</w:t>
      </w:r>
      <w:r w:rsidR="00EE4FC3">
        <w:t xml:space="preserve"> </w:t>
      </w:r>
      <w:r w:rsidRPr="00382917">
        <w:t>in</w:t>
      </w:r>
      <w:r w:rsidR="00EE4FC3">
        <w:t xml:space="preserve"> </w:t>
      </w:r>
      <w:r w:rsidRPr="00382917">
        <w:t>her</w:t>
      </w:r>
      <w:r w:rsidR="00EE4FC3">
        <w:t xml:space="preserve"> </w:t>
      </w:r>
      <w:r w:rsidRPr="00382917">
        <w:t>message</w:t>
      </w:r>
      <w:r w:rsidR="00EE4FC3">
        <w:t xml:space="preserve"> </w:t>
      </w:r>
      <w:r w:rsidRPr="00382917">
        <w:t>sent</w:t>
      </w:r>
      <w:r w:rsidR="00EE4FC3">
        <w:t xml:space="preserve"> </w:t>
      </w:r>
      <w:r w:rsidRPr="00382917">
        <w:t>to</w:t>
      </w:r>
      <w:r w:rsidR="00EE4FC3">
        <w:t xml:space="preserve"> </w:t>
      </w:r>
      <w:r w:rsidRPr="00382917">
        <w:t>Him</w:t>
      </w:r>
      <w:r w:rsidR="00EE4FC3">
        <w:t xml:space="preserve"> </w:t>
      </w:r>
      <w:r w:rsidRPr="00382917">
        <w:t>in</w:t>
      </w:r>
      <w:r w:rsidR="00EE4FC3">
        <w:t xml:space="preserve"> </w:t>
      </w:r>
      <w:r w:rsidRPr="00382917">
        <w:t>those</w:t>
      </w:r>
      <w:r w:rsidR="00EE4FC3">
        <w:t xml:space="preserve"> </w:t>
      </w:r>
      <w:r w:rsidRPr="00382917">
        <w:t>beginning</w:t>
      </w:r>
      <w:r w:rsidR="00EE4FC3">
        <w:t xml:space="preserve"> </w:t>
      </w:r>
      <w:r w:rsidRPr="00382917">
        <w:t>days</w:t>
      </w:r>
      <w:r w:rsidR="00EE4FC3">
        <w:t xml:space="preserve"> </w:t>
      </w:r>
      <w:r w:rsidRPr="00382917">
        <w:t>in</w:t>
      </w:r>
      <w:r w:rsidR="00EE4FC3">
        <w:t xml:space="preserve"> </w:t>
      </w:r>
      <w:r w:rsidR="008A073E" w:rsidRPr="00382917">
        <w:rPr>
          <w:u w:val="single"/>
        </w:rPr>
        <w:t>Sh</w:t>
      </w:r>
      <w:r w:rsidR="008A073E" w:rsidRPr="00382917">
        <w:t>íráz</w:t>
      </w:r>
      <w:r w:rsidR="00C03C91">
        <w:t>:</w:t>
      </w:r>
      <w:r w:rsidR="00EE4FC3">
        <w:t xml:space="preserve">  </w:t>
      </w:r>
      <w:r w:rsidR="009C713D" w:rsidRPr="00382917">
        <w:t>“</w:t>
      </w:r>
      <w:r w:rsidRPr="00382917">
        <w:t>Then</w:t>
      </w:r>
      <w:r w:rsidR="00EE4FC3">
        <w:t xml:space="preserve"> </w:t>
      </w:r>
      <w:r w:rsidRPr="00382917">
        <w:t>speak</w:t>
      </w:r>
      <w:r w:rsidR="00EE4FC3">
        <w:t xml:space="preserve"> </w:t>
      </w:r>
      <w:r w:rsidRPr="00382917">
        <w:t>the</w:t>
      </w:r>
      <w:r w:rsidR="00EE4FC3">
        <w:t xml:space="preserve"> </w:t>
      </w:r>
      <w:r w:rsidRPr="00382917">
        <w:t>word,</w:t>
      </w:r>
      <w:r w:rsidR="00EE4FC3">
        <w:t xml:space="preserve"> </w:t>
      </w:r>
      <w:r w:rsidR="009C713D" w:rsidRPr="00382917">
        <w:t>‘</w:t>
      </w:r>
      <w:r w:rsidRPr="00382917">
        <w:t>Am</w:t>
      </w:r>
      <w:r w:rsidR="00EE4FC3">
        <w:t xml:space="preserve"> </w:t>
      </w:r>
      <w:r w:rsidRPr="00382917">
        <w:t>I</w:t>
      </w:r>
      <w:r w:rsidR="00EE4FC3">
        <w:t xml:space="preserve"> </w:t>
      </w:r>
      <w:r w:rsidRPr="00382917">
        <w:t>not</w:t>
      </w:r>
      <w:r w:rsidR="00EE4FC3">
        <w:t xml:space="preserve"> </w:t>
      </w:r>
      <w:r w:rsidRPr="00382917">
        <w:t>your</w:t>
      </w:r>
      <w:r w:rsidR="00EE4FC3">
        <w:t xml:space="preserve"> </w:t>
      </w:r>
      <w:r w:rsidRPr="00382917">
        <w:t>Lord?</w:t>
      </w:r>
      <w:r w:rsidR="009C713D" w:rsidRPr="00382917">
        <w:t>’</w:t>
      </w:r>
      <w:r w:rsidR="00EE4FC3">
        <w:t xml:space="preserve"> </w:t>
      </w:r>
      <w:r w:rsidRPr="00382917">
        <w:t>and</w:t>
      </w:r>
      <w:r w:rsidR="00C03C91">
        <w:t>:</w:t>
      </w:r>
      <w:r w:rsidR="00EE4FC3">
        <w:t xml:space="preserve">  </w:t>
      </w:r>
      <w:r w:rsidR="009C713D" w:rsidRPr="00382917">
        <w:t>‘</w:t>
      </w:r>
      <w:proofErr w:type="gramStart"/>
      <w:r w:rsidR="00F04416" w:rsidRPr="00382917">
        <w:t>…</w:t>
      </w:r>
      <w:r w:rsidR="00EE4FC3">
        <w:t xml:space="preserve"> </w:t>
      </w:r>
      <w:proofErr w:type="gramEnd"/>
      <w:r w:rsidRPr="00382917">
        <w:t>Thou</w:t>
      </w:r>
      <w:r w:rsidR="00EE4FC3">
        <w:t xml:space="preserve"> </w:t>
      </w:r>
      <w:r w:rsidRPr="00382917">
        <w:t>art!</w:t>
      </w:r>
      <w:r w:rsidR="009C713D" w:rsidRPr="00382917">
        <w:t>’</w:t>
      </w:r>
      <w:r w:rsidR="00EE4FC3">
        <w:t xml:space="preserve"> </w:t>
      </w:r>
      <w:r w:rsidRPr="00382917">
        <w:t>we</w:t>
      </w:r>
      <w:r w:rsidR="00EE4FC3">
        <w:t xml:space="preserve"> </w:t>
      </w:r>
      <w:r w:rsidRPr="00382917">
        <w:t>will</w:t>
      </w:r>
      <w:r w:rsidR="00EE4FC3">
        <w:t xml:space="preserve"> </w:t>
      </w:r>
      <w:r w:rsidRPr="00382917">
        <w:t>all</w:t>
      </w:r>
      <w:r w:rsidR="00EE4FC3">
        <w:t xml:space="preserve"> </w:t>
      </w:r>
      <w:r w:rsidRPr="00382917">
        <w:t>reply.</w:t>
      </w:r>
      <w:r w:rsidR="009C713D" w:rsidRPr="00382917">
        <w:t>”</w:t>
      </w:r>
    </w:p>
    <w:p w:rsidR="007E595F" w:rsidRPr="00382917" w:rsidRDefault="007E595F" w:rsidP="007E595F">
      <w:pPr>
        <w:pStyle w:val="Text"/>
      </w:pPr>
      <w:r w:rsidRPr="00382917">
        <w:t>Ṭáhirih</w:t>
      </w:r>
      <w:r w:rsidR="00EE4FC3">
        <w:t xml:space="preserve"> </w:t>
      </w:r>
      <w:r w:rsidRPr="00382917">
        <w:t>lived</w:t>
      </w:r>
      <w:r w:rsidR="00EE4FC3">
        <w:t xml:space="preserve"> </w:t>
      </w:r>
      <w:r w:rsidRPr="00382917">
        <w:t>and</w:t>
      </w:r>
      <w:r w:rsidR="00EE4FC3">
        <w:t xml:space="preserve"> </w:t>
      </w:r>
      <w:r w:rsidRPr="00382917">
        <w:t>died</w:t>
      </w:r>
      <w:r w:rsidR="00EE4FC3">
        <w:t xml:space="preserve"> </w:t>
      </w:r>
      <w:r w:rsidRPr="00382917">
        <w:t>by</w:t>
      </w:r>
      <w:r w:rsidR="00EE4FC3">
        <w:t xml:space="preserve"> </w:t>
      </w:r>
      <w:r w:rsidRPr="00382917">
        <w:t>the</w:t>
      </w:r>
      <w:r w:rsidR="00EE4FC3">
        <w:t xml:space="preserve"> </w:t>
      </w:r>
      <w:r w:rsidRPr="00382917">
        <w:t>words</w:t>
      </w:r>
      <w:r w:rsidR="00EE4FC3">
        <w:t xml:space="preserve"> </w:t>
      </w:r>
      <w:r w:rsidRPr="00382917">
        <w:t>she</w:t>
      </w:r>
      <w:r w:rsidR="00EE4FC3">
        <w:t xml:space="preserve"> </w:t>
      </w:r>
      <w:r w:rsidRPr="00382917">
        <w:t>had</w:t>
      </w:r>
      <w:r w:rsidR="00EE4FC3">
        <w:t xml:space="preserve"> </w:t>
      </w:r>
      <w:r w:rsidRPr="00382917">
        <w:t>spoken</w:t>
      </w:r>
      <w:r w:rsidR="00EE4FC3">
        <w:t xml:space="preserve"> </w:t>
      </w:r>
      <w:r w:rsidRPr="00382917">
        <w:t>so</w:t>
      </w:r>
      <w:r w:rsidR="00EE4FC3">
        <w:t xml:space="preserve"> </w:t>
      </w:r>
      <w:r w:rsidRPr="00382917">
        <w:t>boldly</w:t>
      </w:r>
      <w:r w:rsidR="00EE4FC3">
        <w:t xml:space="preserve"> </w:t>
      </w:r>
      <w:r w:rsidRPr="00382917">
        <w:t>to</w:t>
      </w:r>
      <w:r w:rsidR="00EE4FC3">
        <w:t xml:space="preserve"> </w:t>
      </w:r>
      <w:r w:rsidRPr="00382917">
        <w:t>another</w:t>
      </w:r>
      <w:r w:rsidR="00EE4FC3">
        <w:t xml:space="preserve"> </w:t>
      </w:r>
      <w:r w:rsidRPr="00382917">
        <w:t>great</w:t>
      </w:r>
      <w:r w:rsidR="00EE4FC3">
        <w:t xml:space="preserve"> </w:t>
      </w:r>
      <w:r w:rsidRPr="00382917">
        <w:t>disciple</w:t>
      </w:r>
      <w:r w:rsidR="00EE4FC3">
        <w:t xml:space="preserve"> </w:t>
      </w:r>
      <w:r w:rsidRPr="00382917">
        <w:t>of</w:t>
      </w:r>
      <w:r w:rsidR="00EE4FC3">
        <w:t xml:space="preserve"> </w:t>
      </w:r>
      <w:r w:rsidRPr="00382917">
        <w:t>the</w:t>
      </w:r>
      <w:r w:rsidR="00EE4FC3">
        <w:t xml:space="preserve"> </w:t>
      </w:r>
      <w:r w:rsidRPr="00382917">
        <w:t>Báb</w:t>
      </w:r>
      <w:r w:rsidR="00EE4FC3">
        <w:t xml:space="preserve"> </w:t>
      </w:r>
      <w:r w:rsidRPr="00382917">
        <w:t>one</w:t>
      </w:r>
      <w:r w:rsidR="00EE4FC3">
        <w:t xml:space="preserve"> </w:t>
      </w:r>
      <w:r w:rsidRPr="00382917">
        <w:t>evening</w:t>
      </w:r>
      <w:r w:rsidR="00EE4FC3">
        <w:t xml:space="preserve"> </w:t>
      </w:r>
      <w:r w:rsidRPr="00382917">
        <w:t>in</w:t>
      </w:r>
      <w:r w:rsidR="00EE4FC3">
        <w:t xml:space="preserve"> </w:t>
      </w:r>
      <w:r w:rsidRPr="00382917">
        <w:t>Ṭihrán,</w:t>
      </w:r>
      <w:r w:rsidR="00EE4FC3">
        <w:t xml:space="preserve"> </w:t>
      </w:r>
      <w:r w:rsidRPr="00382917">
        <w:t>so</w:t>
      </w:r>
      <w:r w:rsidR="00EE4FC3">
        <w:t xml:space="preserve"> </w:t>
      </w:r>
      <w:r w:rsidRPr="00382917">
        <w:t>long</w:t>
      </w:r>
      <w:r w:rsidR="00EE4FC3">
        <w:t xml:space="preserve"> </w:t>
      </w:r>
      <w:r w:rsidRPr="00382917">
        <w:t>ago</w:t>
      </w:r>
      <w:r w:rsidR="0040329F">
        <w:t>.</w:t>
      </w:r>
      <w:r w:rsidR="00EE4FC3">
        <w:t xml:space="preserve">  </w:t>
      </w:r>
      <w:r w:rsidRPr="00382917">
        <w:t>She</w:t>
      </w:r>
      <w:r w:rsidR="00EE4FC3">
        <w:t xml:space="preserve"> </w:t>
      </w:r>
      <w:r w:rsidRPr="00382917">
        <w:t>had</w:t>
      </w:r>
      <w:r w:rsidR="00EE4FC3">
        <w:t xml:space="preserve"> </w:t>
      </w:r>
      <w:r w:rsidRPr="00382917">
        <w:t>been</w:t>
      </w:r>
      <w:r w:rsidR="00EE4FC3">
        <w:t xml:space="preserve"> </w:t>
      </w:r>
      <w:r w:rsidRPr="00382917">
        <w:t>listening</w:t>
      </w:r>
      <w:r w:rsidR="00EE4FC3">
        <w:t xml:space="preserve"> </w:t>
      </w:r>
      <w:r w:rsidRPr="00382917">
        <w:t>with</w:t>
      </w:r>
      <w:r w:rsidR="00EE4FC3">
        <w:t xml:space="preserve"> </w:t>
      </w:r>
      <w:r w:rsidRPr="00382917">
        <w:t>some</w:t>
      </w:r>
      <w:r w:rsidR="00EE4FC3">
        <w:t xml:space="preserve"> </w:t>
      </w:r>
      <w:r w:rsidRPr="00382917">
        <w:t>of</w:t>
      </w:r>
      <w:r w:rsidR="00EE4FC3">
        <w:t xml:space="preserve"> </w:t>
      </w:r>
      <w:r w:rsidRPr="00382917">
        <w:t>the</w:t>
      </w:r>
      <w:r w:rsidR="00EE4FC3">
        <w:t xml:space="preserve"> </w:t>
      </w:r>
      <w:r w:rsidRPr="00382917">
        <w:t>other</w:t>
      </w:r>
      <w:r w:rsidR="00EE4FC3">
        <w:t xml:space="preserve"> </w:t>
      </w:r>
      <w:r w:rsidRPr="00382917">
        <w:t>believers</w:t>
      </w:r>
      <w:r w:rsidR="00EE4FC3">
        <w:t xml:space="preserve"> </w:t>
      </w:r>
      <w:r w:rsidRPr="00382917">
        <w:t>to</w:t>
      </w:r>
      <w:r w:rsidR="00EE4FC3">
        <w:t xml:space="preserve"> </w:t>
      </w:r>
      <w:r w:rsidRPr="00382917">
        <w:t>a</w:t>
      </w:r>
      <w:r w:rsidR="00EE4FC3">
        <w:t xml:space="preserve"> </w:t>
      </w:r>
      <w:r w:rsidRPr="00382917">
        <w:t>brilliant</w:t>
      </w:r>
      <w:r w:rsidR="00EE4FC3">
        <w:t xml:space="preserve"> </w:t>
      </w:r>
      <w:r w:rsidRPr="00382917">
        <w:t>and</w:t>
      </w:r>
      <w:r w:rsidR="00EE4FC3">
        <w:t xml:space="preserve"> </w:t>
      </w:r>
      <w:r w:rsidRPr="00382917">
        <w:t>eloquent</w:t>
      </w:r>
      <w:r w:rsidR="00EE4FC3">
        <w:t xml:space="preserve"> </w:t>
      </w:r>
      <w:r w:rsidRPr="00382917">
        <w:t>discourse</w:t>
      </w:r>
      <w:r w:rsidR="00EE4FC3">
        <w:t xml:space="preserve"> </w:t>
      </w:r>
      <w:r w:rsidRPr="00382917">
        <w:t>upon</w:t>
      </w:r>
      <w:r w:rsidR="00EE4FC3">
        <w:t xml:space="preserve"> </w:t>
      </w:r>
      <w:r w:rsidRPr="00382917">
        <w:t>the</w:t>
      </w:r>
      <w:r w:rsidR="00EE4FC3">
        <w:t xml:space="preserve"> </w:t>
      </w:r>
      <w:r w:rsidRPr="00382917">
        <w:t>Faith</w:t>
      </w:r>
      <w:r w:rsidR="00EE4FC3">
        <w:t xml:space="preserve"> </w:t>
      </w:r>
      <w:r w:rsidRPr="00382917">
        <w:t>of</w:t>
      </w:r>
      <w:r w:rsidR="00EE4FC3">
        <w:t xml:space="preserve"> </w:t>
      </w:r>
      <w:r w:rsidRPr="00382917">
        <w:t>the</w:t>
      </w:r>
      <w:r w:rsidR="00EE4FC3">
        <w:t xml:space="preserve"> </w:t>
      </w:r>
      <w:r w:rsidRPr="00382917">
        <w:t>Báb,</w:t>
      </w:r>
      <w:r w:rsidR="00EE4FC3">
        <w:t xml:space="preserve"> </w:t>
      </w:r>
      <w:r w:rsidRPr="00382917">
        <w:t>given</w:t>
      </w:r>
      <w:r w:rsidR="00EE4FC3">
        <w:t xml:space="preserve"> </w:t>
      </w:r>
      <w:r w:rsidRPr="00382917">
        <w:t>by</w:t>
      </w:r>
      <w:r w:rsidR="00EE4FC3">
        <w:t xml:space="preserve"> </w:t>
      </w:r>
      <w:r w:rsidRPr="00382917">
        <w:t>Vaḥíd,</w:t>
      </w:r>
      <w:r w:rsidR="00EE4FC3">
        <w:t xml:space="preserve"> </w:t>
      </w:r>
      <w:r w:rsidRPr="00382917">
        <w:t>himself</w:t>
      </w:r>
      <w:r w:rsidR="0040329F">
        <w:t>.</w:t>
      </w:r>
      <w:r w:rsidR="00EE4FC3">
        <w:t xml:space="preserve">  </w:t>
      </w:r>
      <w:r w:rsidRPr="00382917">
        <w:t>He</w:t>
      </w:r>
      <w:r w:rsidR="00EE4FC3">
        <w:t xml:space="preserve"> </w:t>
      </w:r>
      <w:r w:rsidRPr="00382917">
        <w:t>spoke</w:t>
      </w:r>
      <w:r w:rsidR="00EE4FC3">
        <w:t xml:space="preserve"> </w:t>
      </w:r>
      <w:r w:rsidRPr="00382917">
        <w:t>of</w:t>
      </w:r>
      <w:r w:rsidR="00EE4FC3">
        <w:t xml:space="preserve"> </w:t>
      </w:r>
      <w:r w:rsidRPr="00382917">
        <w:t>the</w:t>
      </w:r>
      <w:r w:rsidR="00EE4FC3">
        <w:t xml:space="preserve"> </w:t>
      </w:r>
      <w:r w:rsidRPr="00382917">
        <w:t>signs</w:t>
      </w:r>
      <w:r w:rsidR="00EE4FC3">
        <w:t xml:space="preserve"> </w:t>
      </w:r>
      <w:r w:rsidRPr="00382917">
        <w:t>and</w:t>
      </w:r>
      <w:r w:rsidR="00EE4FC3">
        <w:t xml:space="preserve"> </w:t>
      </w:r>
      <w:r w:rsidRPr="00382917">
        <w:t>proofs</w:t>
      </w:r>
      <w:r w:rsidR="00EE4FC3">
        <w:t xml:space="preserve"> </w:t>
      </w:r>
      <w:r w:rsidRPr="00382917">
        <w:t>of</w:t>
      </w:r>
      <w:r w:rsidR="00EE4FC3">
        <w:t xml:space="preserve"> </w:t>
      </w:r>
      <w:r w:rsidRPr="00382917">
        <w:t>the</w:t>
      </w:r>
      <w:r w:rsidR="00EE4FC3">
        <w:t xml:space="preserve"> </w:t>
      </w:r>
      <w:r w:rsidRPr="00382917">
        <w:t>coming</w:t>
      </w:r>
      <w:r w:rsidR="00EE4FC3">
        <w:t xml:space="preserve"> </w:t>
      </w:r>
      <w:r w:rsidRPr="00382917">
        <w:t>of</w:t>
      </w:r>
      <w:r w:rsidR="00EE4FC3">
        <w:t xml:space="preserve"> </w:t>
      </w:r>
      <w:r w:rsidRPr="00382917">
        <w:t>the</w:t>
      </w:r>
      <w:r w:rsidR="00EE4FC3">
        <w:t xml:space="preserve"> </w:t>
      </w:r>
      <w:r w:rsidRPr="00382917">
        <w:t>Báb</w:t>
      </w:r>
      <w:r w:rsidR="0040329F">
        <w:t>.</w:t>
      </w:r>
      <w:r w:rsidR="00EE4FC3">
        <w:t xml:space="preserve">  </w:t>
      </w:r>
      <w:r w:rsidRPr="00382917">
        <w:t>Ṭáhirih</w:t>
      </w:r>
      <w:r w:rsidR="00EE4FC3">
        <w:t xml:space="preserve"> </w:t>
      </w:r>
      <w:r w:rsidRPr="00382917">
        <w:t>listened</w:t>
      </w:r>
      <w:r w:rsidR="00EE4FC3">
        <w:t xml:space="preserve"> </w:t>
      </w:r>
      <w:r w:rsidRPr="00382917">
        <w:t>patiently</w:t>
      </w:r>
      <w:r w:rsidR="00EE4FC3">
        <w:t xml:space="preserve"> </w:t>
      </w:r>
      <w:r w:rsidRPr="00382917">
        <w:t>for</w:t>
      </w:r>
      <w:r w:rsidR="00EE4FC3">
        <w:t xml:space="preserve"> </w:t>
      </w:r>
      <w:r w:rsidRPr="00382917">
        <w:t>some</w:t>
      </w:r>
      <w:r w:rsidR="00EE4FC3">
        <w:t xml:space="preserve"> </w:t>
      </w:r>
      <w:r w:rsidRPr="00382917">
        <w:t>time,</w:t>
      </w:r>
      <w:r w:rsidR="00EE4FC3">
        <w:t xml:space="preserve"> </w:t>
      </w:r>
      <w:proofErr w:type="gramStart"/>
      <w:r w:rsidRPr="00382917">
        <w:t>then</w:t>
      </w:r>
      <w:proofErr w:type="gramEnd"/>
      <w:r w:rsidR="00EE4FC3">
        <w:t xml:space="preserve"> </w:t>
      </w:r>
      <w:r w:rsidRPr="00382917">
        <w:t>suddenly</w:t>
      </w:r>
      <w:r w:rsidR="00EE4FC3">
        <w:t xml:space="preserve"> </w:t>
      </w:r>
      <w:r w:rsidRPr="00382917">
        <w:t>she</w:t>
      </w:r>
      <w:r w:rsidR="00EE4FC3">
        <w:t xml:space="preserve"> </w:t>
      </w:r>
      <w:r w:rsidRPr="00382917">
        <w:t>interrupted</w:t>
      </w:r>
      <w:r w:rsidR="00EE4FC3">
        <w:t xml:space="preserve"> </w:t>
      </w:r>
      <w:r w:rsidRPr="00382917">
        <w:t>his</w:t>
      </w:r>
      <w:r w:rsidR="00EE4FC3">
        <w:t xml:space="preserve"> </w:t>
      </w:r>
      <w:r w:rsidRPr="00382917">
        <w:t>words.</w:t>
      </w:r>
    </w:p>
    <w:p w:rsidR="007E595F" w:rsidRPr="00382917" w:rsidRDefault="009C713D" w:rsidP="005534DF">
      <w:pPr>
        <w:pStyle w:val="Text"/>
      </w:pPr>
      <w:r w:rsidRPr="00382917">
        <w:t>“</w:t>
      </w:r>
      <w:r w:rsidR="007E595F" w:rsidRPr="00382917">
        <w:t>Let</w:t>
      </w:r>
      <w:r w:rsidR="00EE4FC3">
        <w:t xml:space="preserve"> </w:t>
      </w:r>
      <w:r w:rsidR="007E595F" w:rsidRPr="00382917">
        <w:t>deeds,</w:t>
      </w:r>
      <w:r w:rsidR="00EE4FC3">
        <w:t xml:space="preserve"> </w:t>
      </w:r>
      <w:r w:rsidR="007E595F" w:rsidRPr="00382917">
        <w:t>not</w:t>
      </w:r>
      <w:r w:rsidR="00EE4FC3">
        <w:t xml:space="preserve"> </w:t>
      </w:r>
      <w:r w:rsidR="007E595F" w:rsidRPr="00382917">
        <w:t>words,</w:t>
      </w:r>
      <w:r w:rsidR="00EE4FC3">
        <w:t xml:space="preserve"> </w:t>
      </w:r>
      <w:r w:rsidR="007E595F" w:rsidRPr="00382917">
        <w:t>testify</w:t>
      </w:r>
      <w:r w:rsidR="00EE4FC3">
        <w:t xml:space="preserve"> </w:t>
      </w:r>
      <w:r w:rsidR="007E595F" w:rsidRPr="00382917">
        <w:t>to</w:t>
      </w:r>
      <w:r w:rsidR="00EE4FC3">
        <w:t xml:space="preserve"> </w:t>
      </w:r>
      <w:r w:rsidR="007E595F" w:rsidRPr="00382917">
        <w:t>your</w:t>
      </w:r>
      <w:r w:rsidR="00EE4FC3">
        <w:t xml:space="preserve"> </w:t>
      </w:r>
      <w:r w:rsidR="007E595F" w:rsidRPr="00382917">
        <w:t>faith,</w:t>
      </w:r>
      <w:r w:rsidRPr="00382917">
        <w:t>”</w:t>
      </w:r>
      <w:r w:rsidR="00EE4FC3">
        <w:t xml:space="preserve"> </w:t>
      </w:r>
      <w:r w:rsidR="007E595F" w:rsidRPr="00382917">
        <w:t>she</w:t>
      </w:r>
      <w:r w:rsidR="00EE4FC3">
        <w:t xml:space="preserve"> </w:t>
      </w:r>
      <w:r w:rsidR="007E595F" w:rsidRPr="00382917">
        <w:t>cried</w:t>
      </w:r>
      <w:r w:rsidR="00EE4FC3">
        <w:t xml:space="preserve"> </w:t>
      </w:r>
      <w:r w:rsidR="007E595F" w:rsidRPr="00382917">
        <w:t>out,</w:t>
      </w:r>
      <w:r w:rsidR="00EE4FC3">
        <w:t xml:space="preserve"> </w:t>
      </w:r>
      <w:r w:rsidRPr="00382917">
        <w:t>“</w:t>
      </w:r>
      <w:r w:rsidR="007E595F" w:rsidRPr="00382917">
        <w:t>if</w:t>
      </w:r>
      <w:r w:rsidR="00EE4FC3">
        <w:t xml:space="preserve"> </w:t>
      </w:r>
      <w:r w:rsidR="007E595F" w:rsidRPr="00382917">
        <w:t>thou</w:t>
      </w:r>
      <w:r w:rsidR="00EE4FC3">
        <w:t xml:space="preserve"> </w:t>
      </w:r>
      <w:r w:rsidR="007E595F" w:rsidRPr="00382917">
        <w:t>art</w:t>
      </w:r>
      <w:r w:rsidR="00EE4FC3">
        <w:t xml:space="preserve"> </w:t>
      </w:r>
      <w:r w:rsidR="007E595F" w:rsidRPr="00382917">
        <w:t>a</w:t>
      </w:r>
      <w:r w:rsidR="00EE4FC3">
        <w:t xml:space="preserve"> </w:t>
      </w:r>
      <w:r w:rsidR="007E595F" w:rsidRPr="00382917">
        <w:t>man</w:t>
      </w:r>
      <w:r w:rsidR="00EE4FC3">
        <w:t xml:space="preserve"> </w:t>
      </w:r>
      <w:r w:rsidR="007E595F" w:rsidRPr="00382917">
        <w:t>of</w:t>
      </w:r>
      <w:r w:rsidR="00EE4FC3">
        <w:t xml:space="preserve"> </w:t>
      </w:r>
      <w:r w:rsidR="007E595F" w:rsidRPr="00382917">
        <w:t>true</w:t>
      </w:r>
      <w:r w:rsidR="00EE4FC3">
        <w:t xml:space="preserve"> </w:t>
      </w:r>
      <w:r w:rsidR="007E595F" w:rsidRPr="00382917">
        <w:t>learning</w:t>
      </w:r>
      <w:r w:rsidR="0040329F">
        <w:t>.</w:t>
      </w:r>
      <w:r w:rsidR="00EE4FC3">
        <w:t xml:space="preserve">  </w:t>
      </w:r>
      <w:r w:rsidR="007E595F" w:rsidRPr="00382917">
        <w:t>Cease</w:t>
      </w:r>
      <w:r w:rsidR="00EE4FC3">
        <w:t xml:space="preserve"> </w:t>
      </w:r>
      <w:r w:rsidR="007E595F" w:rsidRPr="00382917">
        <w:t>idly</w:t>
      </w:r>
      <w:r w:rsidR="00EE4FC3">
        <w:t xml:space="preserve"> </w:t>
      </w:r>
      <w:r w:rsidR="007E595F" w:rsidRPr="00382917">
        <w:t>repeating</w:t>
      </w:r>
      <w:r w:rsidR="00EE4FC3">
        <w:t xml:space="preserve"> </w:t>
      </w:r>
      <w:r w:rsidR="007E595F" w:rsidRPr="00382917">
        <w:t>the</w:t>
      </w:r>
      <w:r w:rsidR="00EE4FC3">
        <w:t xml:space="preserve"> </w:t>
      </w:r>
      <w:r w:rsidR="007E595F" w:rsidRPr="00382917">
        <w:t>traditions</w:t>
      </w:r>
      <w:r w:rsidR="00EE4FC3">
        <w:t xml:space="preserve"> </w:t>
      </w:r>
      <w:r w:rsidR="007E595F" w:rsidRPr="00382917">
        <w:t>of</w:t>
      </w:r>
      <w:r w:rsidR="00EE4FC3">
        <w:t xml:space="preserve"> </w:t>
      </w:r>
      <w:r w:rsidR="007E595F" w:rsidRPr="00382917">
        <w:t>the</w:t>
      </w:r>
      <w:r w:rsidR="00EE4FC3">
        <w:t xml:space="preserve"> </w:t>
      </w:r>
      <w:r w:rsidR="007E595F" w:rsidRPr="00382917">
        <w:t>past,</w:t>
      </w:r>
      <w:r w:rsidR="00EE4FC3">
        <w:t xml:space="preserve"> </w:t>
      </w:r>
      <w:r w:rsidR="007E595F" w:rsidRPr="00382917">
        <w:t>for</w:t>
      </w:r>
      <w:r w:rsidR="00EE4FC3">
        <w:t xml:space="preserve"> </w:t>
      </w:r>
      <w:r w:rsidR="007E595F" w:rsidRPr="00382917">
        <w:t>the</w:t>
      </w:r>
      <w:r w:rsidR="00EE4FC3">
        <w:t xml:space="preserve"> </w:t>
      </w:r>
      <w:r w:rsidR="007E595F" w:rsidRPr="00382917">
        <w:t>day</w:t>
      </w:r>
      <w:r w:rsidR="00EE4FC3">
        <w:t xml:space="preserve"> </w:t>
      </w:r>
      <w:r w:rsidR="007E595F" w:rsidRPr="00382917">
        <w:t>of</w:t>
      </w:r>
      <w:r w:rsidR="00EE4FC3">
        <w:t xml:space="preserve"> </w:t>
      </w:r>
      <w:r w:rsidR="007E595F" w:rsidRPr="00382917">
        <w:t>service,</w:t>
      </w:r>
      <w:r w:rsidR="00EE4FC3">
        <w:t xml:space="preserve"> </w:t>
      </w:r>
      <w:r w:rsidR="007E595F" w:rsidRPr="00382917">
        <w:t>of</w:t>
      </w:r>
      <w:r w:rsidR="00EE4FC3">
        <w:t xml:space="preserve"> </w:t>
      </w:r>
      <w:r w:rsidR="007E595F" w:rsidRPr="00382917">
        <w:t>steadfast</w:t>
      </w:r>
      <w:r w:rsidR="00EE4FC3">
        <w:t xml:space="preserve"> </w:t>
      </w:r>
      <w:r w:rsidR="007E595F" w:rsidRPr="00382917">
        <w:t>action,</w:t>
      </w:r>
      <w:r w:rsidR="00EE4FC3">
        <w:t xml:space="preserve"> </w:t>
      </w:r>
      <w:r w:rsidR="007E595F" w:rsidRPr="00382917">
        <w:t>is</w:t>
      </w:r>
      <w:r w:rsidR="00EE4FC3">
        <w:t xml:space="preserve"> </w:t>
      </w:r>
      <w:r w:rsidR="007E595F" w:rsidRPr="00382917">
        <w:t>come</w:t>
      </w:r>
      <w:r w:rsidR="0040329F">
        <w:t>.</w:t>
      </w:r>
      <w:r w:rsidR="00EE4FC3">
        <w:t xml:space="preserve">  </w:t>
      </w:r>
      <w:r w:rsidR="007E595F" w:rsidRPr="00382917">
        <w:t>Now</w:t>
      </w:r>
      <w:r w:rsidR="00EE4FC3">
        <w:t xml:space="preserve"> </w:t>
      </w:r>
      <w:r w:rsidR="007E595F" w:rsidRPr="00382917">
        <w:t>is</w:t>
      </w:r>
      <w:r w:rsidR="00EE4FC3">
        <w:t xml:space="preserve"> </w:t>
      </w:r>
      <w:r w:rsidR="007E595F" w:rsidRPr="00382917">
        <w:t>the</w:t>
      </w:r>
      <w:r w:rsidR="00EE4FC3">
        <w:t xml:space="preserve"> </w:t>
      </w:r>
      <w:r w:rsidR="007E595F" w:rsidRPr="00382917">
        <w:t>time</w:t>
      </w:r>
      <w:r w:rsidR="00EE4FC3">
        <w:t xml:space="preserve"> </w:t>
      </w:r>
      <w:r w:rsidR="007E595F" w:rsidRPr="00382917">
        <w:t>to</w:t>
      </w:r>
      <w:r w:rsidR="00EE4FC3">
        <w:t xml:space="preserve"> </w:t>
      </w:r>
      <w:r w:rsidR="007E595F" w:rsidRPr="00382917">
        <w:t>promote</w:t>
      </w:r>
      <w:r w:rsidR="00EE4FC3">
        <w:t xml:space="preserve"> </w:t>
      </w:r>
      <w:r w:rsidR="007E595F" w:rsidRPr="00382917">
        <w:t>the</w:t>
      </w:r>
      <w:r w:rsidR="00EE4FC3">
        <w:t xml:space="preserve"> </w:t>
      </w:r>
      <w:r w:rsidR="007E595F" w:rsidRPr="00382917">
        <w:t>Word</w:t>
      </w:r>
      <w:r w:rsidR="00EE4FC3">
        <w:t xml:space="preserve"> </w:t>
      </w:r>
      <w:r w:rsidR="007E595F" w:rsidRPr="00382917">
        <w:t>of</w:t>
      </w:r>
      <w:r w:rsidR="00EE4FC3">
        <w:t xml:space="preserve"> </w:t>
      </w:r>
      <w:r w:rsidR="007E595F" w:rsidRPr="00382917">
        <w:t>God,</w:t>
      </w:r>
      <w:r w:rsidR="00EE4FC3">
        <w:t xml:space="preserve"> </w:t>
      </w:r>
      <w:r w:rsidR="007E595F" w:rsidRPr="00382917">
        <w:t>and</w:t>
      </w:r>
      <w:r w:rsidR="00EE4FC3">
        <w:t xml:space="preserve"> </w:t>
      </w:r>
      <w:r w:rsidR="007E595F" w:rsidRPr="00382917">
        <w:t>to</w:t>
      </w:r>
      <w:r w:rsidR="00EE4FC3">
        <w:t xml:space="preserve"> </w:t>
      </w:r>
      <w:r w:rsidR="007E595F" w:rsidRPr="00382917">
        <w:t>sacrifice</w:t>
      </w:r>
      <w:r w:rsidR="00EE4FC3">
        <w:t xml:space="preserve"> </w:t>
      </w:r>
      <w:r w:rsidR="007E595F" w:rsidRPr="00382917">
        <w:t>ourselves</w:t>
      </w:r>
      <w:r w:rsidR="00EE4FC3">
        <w:t xml:space="preserve"> </w:t>
      </w:r>
      <w:r w:rsidR="007E595F" w:rsidRPr="00382917">
        <w:t>in</w:t>
      </w:r>
      <w:r w:rsidR="00EE4FC3">
        <w:t xml:space="preserve"> </w:t>
      </w:r>
      <w:r w:rsidR="007E595F" w:rsidRPr="00382917">
        <w:t>His</w:t>
      </w:r>
      <w:r w:rsidR="00EE4FC3">
        <w:t xml:space="preserve"> </w:t>
      </w:r>
      <w:r w:rsidR="007E595F" w:rsidRPr="00382917">
        <w:t>path</w:t>
      </w:r>
      <w:r w:rsidR="0040329F">
        <w:t>.</w:t>
      </w:r>
      <w:r w:rsidR="00EE4FC3">
        <w:t xml:space="preserve">  </w:t>
      </w:r>
      <w:r w:rsidR="007E595F" w:rsidRPr="00382917">
        <w:t>Let</w:t>
      </w:r>
      <w:r w:rsidR="00EE4FC3">
        <w:t xml:space="preserve"> </w:t>
      </w:r>
      <w:r w:rsidR="007E595F" w:rsidRPr="00382917">
        <w:t>deeds,</w:t>
      </w:r>
      <w:r w:rsidR="00EE4FC3">
        <w:t xml:space="preserve"> </w:t>
      </w:r>
      <w:r w:rsidR="007E595F" w:rsidRPr="00382917">
        <w:t>not</w:t>
      </w:r>
      <w:r w:rsidR="00EE4FC3">
        <w:t xml:space="preserve"> </w:t>
      </w:r>
      <w:r w:rsidR="007E595F" w:rsidRPr="00382917">
        <w:t>words,</w:t>
      </w:r>
      <w:r w:rsidR="00EE4FC3">
        <w:t xml:space="preserve"> </w:t>
      </w:r>
      <w:proofErr w:type="gramStart"/>
      <w:r w:rsidR="007E595F" w:rsidRPr="00382917">
        <w:t>be</w:t>
      </w:r>
      <w:proofErr w:type="gramEnd"/>
      <w:r w:rsidR="00EE4FC3">
        <w:t xml:space="preserve"> </w:t>
      </w:r>
      <w:r w:rsidR="007E595F" w:rsidRPr="00382917">
        <w:t>our</w:t>
      </w:r>
      <w:r w:rsidR="00EE4FC3">
        <w:t xml:space="preserve"> </w:t>
      </w:r>
      <w:r w:rsidR="007E595F" w:rsidRPr="00382917">
        <w:t>adorning.</w:t>
      </w:r>
      <w:r w:rsidRPr="00382917">
        <w:t>”</w:t>
      </w:r>
      <w:r w:rsidR="005534DF">
        <w:rPr>
          <w:rStyle w:val="FootnoteReference"/>
        </w:rPr>
        <w:footnoteReference w:id="164"/>
      </w:r>
    </w:p>
    <w:p w:rsidR="007E595F" w:rsidRPr="00382917" w:rsidRDefault="007E595F" w:rsidP="007E595F">
      <w:pPr>
        <w:pStyle w:val="Text"/>
      </w:pPr>
      <w:r w:rsidRPr="00382917">
        <w:t>Ṭáhirih</w:t>
      </w:r>
      <w:r w:rsidR="00EE4FC3">
        <w:t xml:space="preserve"> </w:t>
      </w:r>
      <w:r w:rsidRPr="00382917">
        <w:t>had</w:t>
      </w:r>
      <w:r w:rsidR="00EE4FC3">
        <w:t xml:space="preserve"> </w:t>
      </w:r>
      <w:r w:rsidRPr="00382917">
        <w:t>now</w:t>
      </w:r>
      <w:r w:rsidR="00EE4FC3">
        <w:t xml:space="preserve"> </w:t>
      </w:r>
      <w:r w:rsidRPr="00382917">
        <w:t>justified</w:t>
      </w:r>
      <w:r w:rsidR="00EE4FC3">
        <w:t xml:space="preserve"> </w:t>
      </w:r>
      <w:r w:rsidRPr="00382917">
        <w:t>those</w:t>
      </w:r>
      <w:r w:rsidR="00EE4FC3">
        <w:t xml:space="preserve"> </w:t>
      </w:r>
      <w:r w:rsidRPr="00382917">
        <w:t>words</w:t>
      </w:r>
      <w:r w:rsidR="00EE4FC3">
        <w:t xml:space="preserve"> </w:t>
      </w:r>
      <w:r w:rsidRPr="00382917">
        <w:t>by</w:t>
      </w:r>
      <w:r w:rsidR="00EE4FC3">
        <w:t xml:space="preserve"> </w:t>
      </w:r>
      <w:r w:rsidRPr="00382917">
        <w:t>her</w:t>
      </w:r>
      <w:r w:rsidR="00EE4FC3">
        <w:t xml:space="preserve"> </w:t>
      </w:r>
      <w:r w:rsidRPr="00382917">
        <w:t>death</w:t>
      </w:r>
      <w:r w:rsidR="00EE4FC3">
        <w:t xml:space="preserve"> </w:t>
      </w:r>
      <w:r w:rsidRPr="00382917">
        <w:t>in</w:t>
      </w:r>
      <w:r w:rsidR="00EE4FC3">
        <w:t xml:space="preserve"> </w:t>
      </w:r>
      <w:r w:rsidRPr="00382917">
        <w:t>a</w:t>
      </w:r>
      <w:r w:rsidR="00EE4FC3">
        <w:t xml:space="preserve"> </w:t>
      </w:r>
      <w:r w:rsidRPr="00382917">
        <w:t>garden</w:t>
      </w:r>
      <w:r w:rsidR="00EE4FC3">
        <w:t xml:space="preserve"> </w:t>
      </w:r>
      <w:r w:rsidRPr="00382917">
        <w:t>in</w:t>
      </w:r>
      <w:r w:rsidR="00EE4FC3">
        <w:t xml:space="preserve"> </w:t>
      </w:r>
      <w:r w:rsidRPr="00382917">
        <w:t>the</w:t>
      </w:r>
      <w:r w:rsidR="00EE4FC3">
        <w:t xml:space="preserve"> </w:t>
      </w:r>
      <w:r w:rsidRPr="00382917">
        <w:t>shadow</w:t>
      </w:r>
      <w:r w:rsidR="00EE4FC3">
        <w:t xml:space="preserve"> </w:t>
      </w:r>
      <w:r w:rsidRPr="00382917">
        <w:t>of</w:t>
      </w:r>
      <w:r w:rsidR="00EE4FC3">
        <w:t xml:space="preserve"> </w:t>
      </w:r>
      <w:r w:rsidRPr="00382917">
        <w:t>Persia</w:t>
      </w:r>
      <w:r w:rsidR="009C713D" w:rsidRPr="00382917">
        <w:t>’</w:t>
      </w:r>
      <w:r w:rsidRPr="00382917">
        <w:t>s</w:t>
      </w:r>
      <w:r w:rsidR="00EE4FC3">
        <w:t xml:space="preserve"> </w:t>
      </w:r>
      <w:r w:rsidRPr="00382917">
        <w:t>greatest</w:t>
      </w:r>
      <w:r w:rsidR="00EE4FC3">
        <w:t xml:space="preserve"> </w:t>
      </w:r>
      <w:r w:rsidRPr="00382917">
        <w:t>city.</w:t>
      </w:r>
    </w:p>
    <w:p w:rsidR="007E595F" w:rsidRPr="00382917" w:rsidRDefault="007E595F" w:rsidP="007B319A">
      <w:pPr>
        <w:pStyle w:val="Text"/>
      </w:pPr>
      <w:r w:rsidRPr="00382917">
        <w:t>The</w:t>
      </w:r>
      <w:r w:rsidR="00EE4FC3">
        <w:t xml:space="preserve"> </w:t>
      </w:r>
      <w:r w:rsidRPr="00382917">
        <w:t>same</w:t>
      </w:r>
      <w:r w:rsidR="00EE4FC3">
        <w:t xml:space="preserve"> </w:t>
      </w:r>
      <w:r w:rsidRPr="00382917">
        <w:t>inevitable</w:t>
      </w:r>
      <w:r w:rsidR="00EE4FC3">
        <w:t xml:space="preserve"> </w:t>
      </w:r>
      <w:r w:rsidRPr="00382917">
        <w:t>retribution</w:t>
      </w:r>
      <w:r w:rsidR="00EE4FC3">
        <w:t xml:space="preserve"> </w:t>
      </w:r>
      <w:r w:rsidRPr="00382917">
        <w:t>which</w:t>
      </w:r>
      <w:r w:rsidR="00EE4FC3">
        <w:t xml:space="preserve"> </w:t>
      </w:r>
      <w:r w:rsidRPr="00382917">
        <w:t>had</w:t>
      </w:r>
      <w:r w:rsidR="00EE4FC3">
        <w:t xml:space="preserve"> </w:t>
      </w:r>
      <w:r w:rsidRPr="00382917">
        <w:t>remorselessly</w:t>
      </w:r>
      <w:r w:rsidR="00EE4FC3">
        <w:t xml:space="preserve"> </w:t>
      </w:r>
      <w:r w:rsidRPr="00382917">
        <w:t>struck</w:t>
      </w:r>
      <w:r w:rsidR="00EE4FC3">
        <w:t xml:space="preserve"> </w:t>
      </w:r>
      <w:r w:rsidRPr="00382917">
        <w:t>down</w:t>
      </w:r>
      <w:r w:rsidR="00EE4FC3">
        <w:t xml:space="preserve"> </w:t>
      </w:r>
      <w:r w:rsidRPr="00382917">
        <w:t>the</w:t>
      </w:r>
      <w:r w:rsidR="00EE4FC3">
        <w:t xml:space="preserve"> </w:t>
      </w:r>
      <w:r w:rsidRPr="00382917">
        <w:t>enemies</w:t>
      </w:r>
      <w:r w:rsidR="00EE4FC3">
        <w:t xml:space="preserve"> </w:t>
      </w:r>
      <w:r w:rsidRPr="00382917">
        <w:t>of</w:t>
      </w:r>
      <w:r w:rsidR="00EE4FC3">
        <w:t xml:space="preserve"> </w:t>
      </w:r>
      <w:r w:rsidRPr="00382917">
        <w:t>the</w:t>
      </w:r>
      <w:r w:rsidR="00EE4FC3">
        <w:t xml:space="preserve"> </w:t>
      </w:r>
      <w:r w:rsidRPr="00382917">
        <w:t>Faith</w:t>
      </w:r>
      <w:r w:rsidR="00EE4FC3">
        <w:t xml:space="preserve"> </w:t>
      </w:r>
      <w:r w:rsidRPr="00382917">
        <w:t>of</w:t>
      </w:r>
      <w:r w:rsidR="00EE4FC3">
        <w:t xml:space="preserve"> </w:t>
      </w:r>
      <w:r w:rsidR="008A073E" w:rsidRPr="00382917">
        <w:rPr>
          <w:u w:val="single"/>
        </w:rPr>
        <w:t>Sh</w:t>
      </w:r>
      <w:r w:rsidR="008A073E" w:rsidRPr="00382917">
        <w:t>íráz</w:t>
      </w:r>
      <w:r w:rsidRPr="00382917">
        <w:t>,</w:t>
      </w:r>
      <w:r w:rsidR="00EE4FC3">
        <w:t xml:space="preserve"> </w:t>
      </w:r>
      <w:r w:rsidRPr="00382917">
        <w:t>Iṣfahán,</w:t>
      </w:r>
      <w:r w:rsidR="00EE4FC3">
        <w:t xml:space="preserve"> </w:t>
      </w:r>
      <w:r w:rsidR="00B24C41">
        <w:t>Tabríz</w:t>
      </w:r>
      <w:r w:rsidRPr="00382917">
        <w:t>,</w:t>
      </w:r>
      <w:r w:rsidR="00EE4FC3">
        <w:t xml:space="preserve"> </w:t>
      </w:r>
      <w:r w:rsidRPr="00382917">
        <w:t>and</w:t>
      </w:r>
      <w:r w:rsidR="00EE4FC3">
        <w:t xml:space="preserve"> </w:t>
      </w:r>
      <w:r w:rsidR="007B319A" w:rsidRPr="00382917">
        <w:t>Ṭ</w:t>
      </w:r>
      <w:r w:rsidRPr="00382917">
        <w:t>abars</w:t>
      </w:r>
      <w:r w:rsidR="007B319A" w:rsidRPr="00382917">
        <w:t>í</w:t>
      </w:r>
      <w:r w:rsidRPr="00382917">
        <w:t>,</w:t>
      </w:r>
      <w:r w:rsidR="00EE4FC3">
        <w:t xml:space="preserve"> </w:t>
      </w:r>
      <w:r w:rsidRPr="00382917">
        <w:t>again</w:t>
      </w:r>
      <w:r w:rsidR="00EE4FC3">
        <w:t xml:space="preserve"> </w:t>
      </w:r>
      <w:r w:rsidRPr="00382917">
        <w:t>made</w:t>
      </w:r>
      <w:r w:rsidR="00EE4FC3">
        <w:t xml:space="preserve"> </w:t>
      </w:r>
      <w:r w:rsidRPr="00382917">
        <w:t>itself</w:t>
      </w:r>
      <w:r w:rsidR="00EE4FC3">
        <w:t xml:space="preserve"> </w:t>
      </w:r>
      <w:r w:rsidRPr="00382917">
        <w:t>felt</w:t>
      </w:r>
      <w:r w:rsidR="00EE4FC3">
        <w:t xml:space="preserve"> </w:t>
      </w:r>
      <w:r w:rsidRPr="00382917">
        <w:t>against</w:t>
      </w:r>
      <w:r w:rsidR="00EE4FC3">
        <w:t xml:space="preserve"> </w:t>
      </w:r>
      <w:r w:rsidRPr="00382917">
        <w:t>the</w:t>
      </w:r>
      <w:r w:rsidR="00EE4FC3">
        <w:t xml:space="preserve"> </w:t>
      </w:r>
      <w:r w:rsidRPr="00382917">
        <w:t>persecutors</w:t>
      </w:r>
      <w:r w:rsidR="00EE4FC3">
        <w:t xml:space="preserve"> </w:t>
      </w:r>
      <w:r w:rsidRPr="00382917">
        <w:t>of</w:t>
      </w:r>
      <w:r w:rsidR="00EE4FC3">
        <w:t xml:space="preserve"> </w:t>
      </w:r>
      <w:r w:rsidRPr="00382917">
        <w:t>Ṭáhirih.</w:t>
      </w:r>
    </w:p>
    <w:p w:rsidR="007E595F" w:rsidRPr="00382917" w:rsidRDefault="007E595F" w:rsidP="007E595F">
      <w:pPr>
        <w:pStyle w:val="Text"/>
      </w:pPr>
      <w:r w:rsidRPr="00382917">
        <w:t>The</w:t>
      </w:r>
      <w:r w:rsidR="00EE4FC3">
        <w:t xml:space="preserve"> </w:t>
      </w:r>
      <w:r w:rsidRPr="00382917">
        <w:t>king,</w:t>
      </w:r>
      <w:r w:rsidR="00EE4FC3">
        <w:t xml:space="preserve"> </w:t>
      </w:r>
      <w:r w:rsidRPr="00382917">
        <w:t>who</w:t>
      </w:r>
      <w:r w:rsidR="00EE4FC3">
        <w:t xml:space="preserve"> </w:t>
      </w:r>
      <w:r w:rsidRPr="00382917">
        <w:t>knew</w:t>
      </w:r>
      <w:r w:rsidR="00EE4FC3">
        <w:t xml:space="preserve"> </w:t>
      </w:r>
      <w:r w:rsidRPr="00382917">
        <w:t>that</w:t>
      </w:r>
      <w:r w:rsidR="00EE4FC3">
        <w:t xml:space="preserve"> </w:t>
      </w:r>
      <w:r w:rsidRPr="00382917">
        <w:t>she</w:t>
      </w:r>
      <w:r w:rsidR="00EE4FC3">
        <w:t xml:space="preserve"> </w:t>
      </w:r>
      <w:r w:rsidRPr="00382917">
        <w:t>was</w:t>
      </w:r>
      <w:r w:rsidR="00EE4FC3">
        <w:t xml:space="preserve"> </w:t>
      </w:r>
      <w:r w:rsidRPr="00382917">
        <w:t>innocent</w:t>
      </w:r>
      <w:r w:rsidR="00EE4FC3">
        <w:t xml:space="preserve"> </w:t>
      </w:r>
      <w:r w:rsidRPr="00382917">
        <w:t>and</w:t>
      </w:r>
      <w:r w:rsidR="00EE4FC3">
        <w:t xml:space="preserve"> </w:t>
      </w:r>
      <w:r w:rsidRPr="00382917">
        <w:t>might</w:t>
      </w:r>
      <w:r w:rsidR="00EE4FC3">
        <w:t xml:space="preserve"> </w:t>
      </w:r>
      <w:r w:rsidRPr="00382917">
        <w:t>have</w:t>
      </w:r>
      <w:r w:rsidR="00EE4FC3">
        <w:t xml:space="preserve"> </w:t>
      </w:r>
      <w:r w:rsidRPr="00382917">
        <w:t>saved</w:t>
      </w:r>
      <w:r w:rsidR="00EE4FC3">
        <w:t xml:space="preserve"> </w:t>
      </w:r>
      <w:r w:rsidRPr="00382917">
        <w:t>her,</w:t>
      </w:r>
      <w:r w:rsidR="00EE4FC3">
        <w:t xml:space="preserve"> </w:t>
      </w:r>
      <w:r w:rsidRPr="00382917">
        <w:t>was</w:t>
      </w:r>
      <w:r w:rsidR="00EE4FC3">
        <w:t xml:space="preserve"> </w:t>
      </w:r>
      <w:r w:rsidRPr="00382917">
        <w:t>to</w:t>
      </w:r>
      <w:r w:rsidR="00EE4FC3">
        <w:t xml:space="preserve"> </w:t>
      </w:r>
      <w:r w:rsidRPr="00382917">
        <w:t>feel</w:t>
      </w:r>
      <w:r w:rsidR="00EE4FC3">
        <w:t xml:space="preserve"> </w:t>
      </w:r>
      <w:r w:rsidRPr="00382917">
        <w:t>the</w:t>
      </w:r>
      <w:r w:rsidR="00EE4FC3">
        <w:t xml:space="preserve"> </w:t>
      </w:r>
      <w:r w:rsidRPr="00382917">
        <w:t>most</w:t>
      </w:r>
      <w:r w:rsidR="00EE4FC3">
        <w:t xml:space="preserve"> </w:t>
      </w:r>
      <w:r w:rsidRPr="00382917">
        <w:t>punishing</w:t>
      </w:r>
      <w:r w:rsidR="00EE4FC3">
        <w:t xml:space="preserve"> </w:t>
      </w:r>
      <w:r w:rsidRPr="00382917">
        <w:t>blow</w:t>
      </w:r>
      <w:r w:rsidR="00EE4FC3">
        <w:t xml:space="preserve"> </w:t>
      </w:r>
      <w:r w:rsidRPr="00382917">
        <w:t>of</w:t>
      </w:r>
      <w:r w:rsidR="00EE4FC3">
        <w:t xml:space="preserve"> </w:t>
      </w:r>
      <w:r w:rsidRPr="00382917">
        <w:t>all</w:t>
      </w:r>
      <w:r w:rsidR="00EE4FC3">
        <w:t xml:space="preserve"> </w:t>
      </w:r>
      <w:r w:rsidRPr="00382917">
        <w:t>at</w:t>
      </w:r>
      <w:r w:rsidR="00EE4FC3">
        <w:t xml:space="preserve"> </w:t>
      </w:r>
      <w:r w:rsidRPr="00382917">
        <w:t>a</w:t>
      </w:r>
      <w:r w:rsidR="00EE4FC3">
        <w:t xml:space="preserve"> </w:t>
      </w:r>
      <w:r w:rsidRPr="00382917">
        <w:t>later</w:t>
      </w:r>
      <w:r w:rsidR="00EE4FC3">
        <w:t xml:space="preserve"> </w:t>
      </w:r>
      <w:r w:rsidRPr="00382917">
        <w:t>date</w:t>
      </w:r>
      <w:r w:rsidR="0040329F">
        <w:t>.</w:t>
      </w:r>
      <w:r w:rsidR="00EE4FC3">
        <w:t xml:space="preserve">  </w:t>
      </w:r>
      <w:r w:rsidRPr="00382917">
        <w:t>Her</w:t>
      </w:r>
      <w:r w:rsidR="00EE4FC3">
        <w:t xml:space="preserve"> </w:t>
      </w:r>
      <w:r w:rsidRPr="00382917">
        <w:t>uncle,</w:t>
      </w:r>
      <w:r w:rsidR="00EE4FC3">
        <w:t xml:space="preserve"> </w:t>
      </w:r>
      <w:r w:rsidRPr="00382917">
        <w:t>Taqí,</w:t>
      </w:r>
      <w:r w:rsidR="00EE4FC3">
        <w:t xml:space="preserve"> </w:t>
      </w:r>
      <w:r w:rsidRPr="00382917">
        <w:t>who</w:t>
      </w:r>
      <w:r w:rsidR="00EE4FC3">
        <w:t xml:space="preserve"> </w:t>
      </w:r>
      <w:r w:rsidRPr="00382917">
        <w:t>had</w:t>
      </w:r>
      <w:r w:rsidR="00EE4FC3">
        <w:t xml:space="preserve"> </w:t>
      </w:r>
      <w:r w:rsidRPr="00382917">
        <w:t>so</w:t>
      </w:r>
      <w:r w:rsidR="00EE4FC3">
        <w:t xml:space="preserve"> </w:t>
      </w:r>
      <w:r w:rsidRPr="00382917">
        <w:t>brutally</w:t>
      </w:r>
      <w:r w:rsidR="00EE4FC3">
        <w:t xml:space="preserve"> </w:t>
      </w:r>
      <w:r w:rsidRPr="00382917">
        <w:t>struck</w:t>
      </w:r>
      <w:r w:rsidR="00EE4FC3">
        <w:t xml:space="preserve"> </w:t>
      </w:r>
      <w:r w:rsidRPr="00382917">
        <w:t>her,</w:t>
      </w:r>
      <w:r w:rsidR="00EE4FC3">
        <w:t xml:space="preserve"> </w:t>
      </w:r>
      <w:r w:rsidRPr="00382917">
        <w:t>was</w:t>
      </w:r>
      <w:r w:rsidR="00EE4FC3">
        <w:t xml:space="preserve"> </w:t>
      </w:r>
      <w:r w:rsidRPr="00382917">
        <w:t>slain</w:t>
      </w:r>
      <w:r w:rsidR="00EE4FC3">
        <w:t xml:space="preserve"> </w:t>
      </w:r>
      <w:r w:rsidRPr="00382917">
        <w:t>by</w:t>
      </w:r>
      <w:r w:rsidR="00EE4FC3">
        <w:t xml:space="preserve"> </w:t>
      </w:r>
      <w:r w:rsidRPr="00382917">
        <w:t>an</w:t>
      </w:r>
    </w:p>
    <w:p w:rsidR="007E595F" w:rsidRPr="00382917" w:rsidRDefault="007E595F">
      <w:pPr>
        <w:widowControl/>
        <w:kinsoku/>
        <w:overflowPunct/>
        <w:textAlignment w:val="auto"/>
      </w:pPr>
      <w:r w:rsidRPr="00382917">
        <w:br w:type="page"/>
      </w:r>
    </w:p>
    <w:p w:rsidR="007E595F" w:rsidRPr="00382917" w:rsidRDefault="007E595F" w:rsidP="007E595F">
      <w:pPr>
        <w:pStyle w:val="Textcts"/>
      </w:pPr>
      <w:proofErr w:type="gramStart"/>
      <w:r w:rsidRPr="00382917">
        <w:t>assassin</w:t>
      </w:r>
      <w:proofErr w:type="gramEnd"/>
      <w:r w:rsidR="0040329F">
        <w:t>.</w:t>
      </w:r>
      <w:r w:rsidR="00EE4FC3">
        <w:t xml:space="preserve">  </w:t>
      </w:r>
      <w:r w:rsidRPr="00382917">
        <w:t>The</w:t>
      </w:r>
      <w:r w:rsidR="00EE4FC3">
        <w:t xml:space="preserve"> </w:t>
      </w:r>
      <w:r w:rsidRPr="00382917">
        <w:t>mayor</w:t>
      </w:r>
      <w:r w:rsidR="00EE4FC3">
        <w:t xml:space="preserve"> </w:t>
      </w:r>
      <w:r w:rsidRPr="00382917">
        <w:t>of</w:t>
      </w:r>
      <w:r w:rsidR="00EE4FC3">
        <w:t xml:space="preserve"> </w:t>
      </w:r>
      <w:r w:rsidRPr="00382917">
        <w:t>Ṭihrán,</w:t>
      </w:r>
      <w:r w:rsidR="00EE4FC3">
        <w:t xml:space="preserve"> </w:t>
      </w:r>
      <w:r w:rsidRPr="00382917">
        <w:t>Maḥmúd</w:t>
      </w:r>
      <w:r w:rsidR="00EE4FC3">
        <w:t xml:space="preserve"> </w:t>
      </w:r>
      <w:r w:rsidR="0040329F" w:rsidRPr="0040329F">
        <w:rPr>
          <w:u w:val="single"/>
        </w:rPr>
        <w:t>Kh</w:t>
      </w:r>
      <w:r w:rsidR="0040329F" w:rsidRPr="00382917">
        <w:t>án</w:t>
      </w:r>
      <w:r w:rsidRPr="00382917">
        <w:t>,</w:t>
      </w:r>
      <w:r w:rsidR="00EE4FC3">
        <w:t xml:space="preserve"> </w:t>
      </w:r>
      <w:r w:rsidRPr="00382917">
        <w:t>who</w:t>
      </w:r>
      <w:r w:rsidR="00EE4FC3">
        <w:t xml:space="preserve"> </w:t>
      </w:r>
      <w:r w:rsidRPr="00382917">
        <w:t>kept</w:t>
      </w:r>
      <w:r w:rsidR="00EE4FC3">
        <w:t xml:space="preserve"> </w:t>
      </w:r>
      <w:r w:rsidRPr="00382917">
        <w:t>her</w:t>
      </w:r>
      <w:r w:rsidR="00EE4FC3">
        <w:t xml:space="preserve"> </w:t>
      </w:r>
      <w:r w:rsidRPr="00382917">
        <w:t>imprisoned</w:t>
      </w:r>
      <w:r w:rsidR="00EE4FC3">
        <w:t xml:space="preserve"> </w:t>
      </w:r>
      <w:r w:rsidRPr="00382917">
        <w:t>for</w:t>
      </w:r>
      <w:r w:rsidR="00EE4FC3">
        <w:t xml:space="preserve"> </w:t>
      </w:r>
      <w:r w:rsidRPr="00382917">
        <w:t>nearly</w:t>
      </w:r>
      <w:r w:rsidR="00EE4FC3">
        <w:t xml:space="preserve"> </w:t>
      </w:r>
      <w:r w:rsidRPr="00382917">
        <w:t>three</w:t>
      </w:r>
      <w:r w:rsidR="00EE4FC3">
        <w:t xml:space="preserve"> </w:t>
      </w:r>
      <w:r w:rsidRPr="00382917">
        <w:t>years,</w:t>
      </w:r>
      <w:r w:rsidR="00EE4FC3">
        <w:t xml:space="preserve"> </w:t>
      </w:r>
      <w:r w:rsidRPr="00382917">
        <w:t>and</w:t>
      </w:r>
      <w:r w:rsidR="00EE4FC3">
        <w:t xml:space="preserve"> </w:t>
      </w:r>
      <w:r w:rsidRPr="00382917">
        <w:t>who</w:t>
      </w:r>
      <w:r w:rsidR="00EE4FC3">
        <w:t xml:space="preserve"> </w:t>
      </w:r>
      <w:r w:rsidRPr="00382917">
        <w:t>aided</w:t>
      </w:r>
      <w:r w:rsidR="00EE4FC3">
        <w:t xml:space="preserve"> </w:t>
      </w:r>
      <w:r w:rsidRPr="00382917">
        <w:t>the</w:t>
      </w:r>
      <w:r w:rsidR="00EE4FC3">
        <w:t xml:space="preserve"> </w:t>
      </w:r>
      <w:r w:rsidRPr="00382917">
        <w:t>Prime</w:t>
      </w:r>
      <w:r w:rsidR="00EE4FC3">
        <w:t xml:space="preserve"> </w:t>
      </w:r>
      <w:r w:rsidRPr="00382917">
        <w:t>Minister</w:t>
      </w:r>
      <w:r w:rsidR="00EE4FC3">
        <w:t xml:space="preserve"> </w:t>
      </w:r>
      <w:r w:rsidRPr="00382917">
        <w:t>in</w:t>
      </w:r>
      <w:r w:rsidR="00EE4FC3">
        <w:t xml:space="preserve"> </w:t>
      </w:r>
      <w:r w:rsidRPr="00382917">
        <w:t>her</w:t>
      </w:r>
      <w:r w:rsidR="00EE4FC3">
        <w:t xml:space="preserve"> </w:t>
      </w:r>
      <w:r w:rsidRPr="00382917">
        <w:t>execution,</w:t>
      </w:r>
      <w:r w:rsidR="00EE4FC3">
        <w:t xml:space="preserve"> </w:t>
      </w:r>
      <w:r w:rsidRPr="00382917">
        <w:t>suffered</w:t>
      </w:r>
      <w:r w:rsidR="00EE4FC3">
        <w:t xml:space="preserve"> </w:t>
      </w:r>
      <w:r w:rsidRPr="00382917">
        <w:t>a</w:t>
      </w:r>
      <w:r w:rsidR="00EE4FC3">
        <w:t xml:space="preserve"> </w:t>
      </w:r>
      <w:r w:rsidRPr="00382917">
        <w:t>death</w:t>
      </w:r>
      <w:r w:rsidR="00EE4FC3">
        <w:t xml:space="preserve"> </w:t>
      </w:r>
      <w:r w:rsidRPr="00382917">
        <w:t>similar</w:t>
      </w:r>
      <w:r w:rsidR="00EE4FC3">
        <w:t xml:space="preserve"> </w:t>
      </w:r>
      <w:r w:rsidRPr="00382917">
        <w:t>to</w:t>
      </w:r>
      <w:r w:rsidR="00EE4FC3">
        <w:t xml:space="preserve"> </w:t>
      </w:r>
      <w:r w:rsidRPr="00382917">
        <w:t>that</w:t>
      </w:r>
      <w:r w:rsidR="00EE4FC3">
        <w:t xml:space="preserve"> </w:t>
      </w:r>
      <w:r w:rsidRPr="00382917">
        <w:t>which</w:t>
      </w:r>
      <w:r w:rsidR="00EE4FC3">
        <w:t xml:space="preserve"> </w:t>
      </w:r>
      <w:r w:rsidRPr="00382917">
        <w:t>he</w:t>
      </w:r>
      <w:r w:rsidR="00EE4FC3">
        <w:t xml:space="preserve"> </w:t>
      </w:r>
      <w:r w:rsidRPr="00382917">
        <w:t>had</w:t>
      </w:r>
      <w:r w:rsidR="00EE4FC3">
        <w:t xml:space="preserve"> </w:t>
      </w:r>
      <w:r w:rsidRPr="00382917">
        <w:t>permitted</w:t>
      </w:r>
      <w:r w:rsidR="00EE4FC3">
        <w:t xml:space="preserve"> </w:t>
      </w:r>
      <w:r w:rsidRPr="00382917">
        <w:t>to</w:t>
      </w:r>
      <w:r w:rsidR="00EE4FC3">
        <w:t xml:space="preserve"> </w:t>
      </w:r>
      <w:r w:rsidRPr="00382917">
        <w:t>befall</w:t>
      </w:r>
      <w:r w:rsidR="00EE4FC3">
        <w:t xml:space="preserve"> </w:t>
      </w:r>
      <w:r w:rsidRPr="00382917">
        <w:t>Ṭáhirih.</w:t>
      </w:r>
    </w:p>
    <w:p w:rsidR="00E13D49" w:rsidRPr="00382917" w:rsidRDefault="007E595F" w:rsidP="008B74CC">
      <w:pPr>
        <w:pStyle w:val="Text"/>
      </w:pPr>
      <w:r w:rsidRPr="00382917">
        <w:t>The</w:t>
      </w:r>
      <w:r w:rsidR="00EE4FC3">
        <w:t xml:space="preserve"> </w:t>
      </w:r>
      <w:r w:rsidRPr="00382917">
        <w:t>king</w:t>
      </w:r>
      <w:r w:rsidR="00EE4FC3">
        <w:t xml:space="preserve"> </w:t>
      </w:r>
      <w:r w:rsidRPr="00382917">
        <w:t>ordered</w:t>
      </w:r>
      <w:r w:rsidR="00EE4FC3">
        <w:t xml:space="preserve"> </w:t>
      </w:r>
      <w:r w:rsidRPr="00382917">
        <w:t>his</w:t>
      </w:r>
      <w:r w:rsidR="00EE4FC3">
        <w:t xml:space="preserve"> </w:t>
      </w:r>
      <w:r w:rsidRPr="00382917">
        <w:t>slaying</w:t>
      </w:r>
      <w:r w:rsidR="0040329F">
        <w:t>.</w:t>
      </w:r>
      <w:r w:rsidR="00EE4FC3">
        <w:t xml:space="preserve">  </w:t>
      </w:r>
      <w:r w:rsidRPr="00382917">
        <w:t>He</w:t>
      </w:r>
      <w:r w:rsidR="00EE4FC3">
        <w:t xml:space="preserve"> </w:t>
      </w:r>
      <w:r w:rsidRPr="00382917">
        <w:t>called</w:t>
      </w:r>
      <w:r w:rsidR="00EE4FC3">
        <w:t xml:space="preserve"> </w:t>
      </w:r>
      <w:r w:rsidRPr="00382917">
        <w:t>upon</w:t>
      </w:r>
      <w:r w:rsidR="00EE4FC3">
        <w:t xml:space="preserve"> </w:t>
      </w:r>
      <w:r w:rsidRPr="00382917">
        <w:t>the</w:t>
      </w:r>
      <w:r w:rsidR="00EE4FC3">
        <w:t xml:space="preserve"> </w:t>
      </w:r>
      <w:r w:rsidRPr="00382917">
        <w:t>executioner</w:t>
      </w:r>
      <w:r w:rsidR="00EE4FC3">
        <w:t xml:space="preserve"> </w:t>
      </w:r>
      <w:r w:rsidRPr="00382917">
        <w:t>to</w:t>
      </w:r>
      <w:r w:rsidR="00EE4FC3">
        <w:t xml:space="preserve"> </w:t>
      </w:r>
      <w:r w:rsidRPr="00382917">
        <w:t>prepare</w:t>
      </w:r>
      <w:r w:rsidR="00EE4FC3">
        <w:t xml:space="preserve"> </w:t>
      </w:r>
      <w:r w:rsidRPr="00382917">
        <w:t>some</w:t>
      </w:r>
      <w:r w:rsidR="00EE4FC3">
        <w:t xml:space="preserve"> </w:t>
      </w:r>
      <w:r w:rsidRPr="00382917">
        <w:t>ropes</w:t>
      </w:r>
      <w:r w:rsidR="00EE4FC3">
        <w:t xml:space="preserve"> </w:t>
      </w:r>
      <w:r w:rsidRPr="00382917">
        <w:t>and</w:t>
      </w:r>
      <w:r w:rsidR="00EE4FC3">
        <w:t xml:space="preserve"> </w:t>
      </w:r>
      <w:r w:rsidRPr="00382917">
        <w:t>then</w:t>
      </w:r>
      <w:r w:rsidR="00EE4FC3">
        <w:t xml:space="preserve"> </w:t>
      </w:r>
      <w:r w:rsidRPr="00382917">
        <w:t>commanded</w:t>
      </w:r>
      <w:r w:rsidR="00EE4FC3">
        <w:t xml:space="preserve"> </w:t>
      </w:r>
      <w:r w:rsidRPr="00382917">
        <w:t>that</w:t>
      </w:r>
      <w:r w:rsidR="00EE4FC3">
        <w:t xml:space="preserve"> </w:t>
      </w:r>
      <w:r w:rsidRPr="00382917">
        <w:t>these</w:t>
      </w:r>
      <w:r w:rsidR="00EE4FC3">
        <w:t xml:space="preserve"> </w:t>
      </w:r>
      <w:r w:rsidRPr="00382917">
        <w:t>ropes</w:t>
      </w:r>
      <w:r w:rsidR="00EE4FC3">
        <w:t xml:space="preserve"> </w:t>
      </w:r>
      <w:r w:rsidRPr="00382917">
        <w:t>be</w:t>
      </w:r>
      <w:r w:rsidR="00EE4FC3">
        <w:t xml:space="preserve"> </w:t>
      </w:r>
      <w:r w:rsidRPr="00382917">
        <w:t>twisted</w:t>
      </w:r>
      <w:r w:rsidR="00EE4FC3">
        <w:t xml:space="preserve"> </w:t>
      </w:r>
      <w:r w:rsidRPr="00382917">
        <w:t>about</w:t>
      </w:r>
      <w:r w:rsidR="00EE4FC3">
        <w:t xml:space="preserve"> </w:t>
      </w:r>
      <w:r w:rsidRPr="00382917">
        <w:t>the</w:t>
      </w:r>
      <w:r w:rsidR="00EE4FC3">
        <w:t xml:space="preserve"> </w:t>
      </w:r>
      <w:r w:rsidRPr="00382917">
        <w:t>neck</w:t>
      </w:r>
      <w:r w:rsidR="00EE4FC3">
        <w:t xml:space="preserve"> </w:t>
      </w:r>
      <w:r w:rsidRPr="00382917">
        <w:t>of</w:t>
      </w:r>
      <w:r w:rsidR="00EE4FC3">
        <w:t xml:space="preserve"> </w:t>
      </w:r>
      <w:r w:rsidRPr="00382917">
        <w:t>Maḥmúd</w:t>
      </w:r>
      <w:r w:rsidR="00EE4FC3">
        <w:t xml:space="preserve"> </w:t>
      </w:r>
      <w:r w:rsidR="0040329F" w:rsidRPr="0040329F">
        <w:rPr>
          <w:u w:val="single"/>
        </w:rPr>
        <w:t>Kh</w:t>
      </w:r>
      <w:r w:rsidR="0040329F" w:rsidRPr="00382917">
        <w:t>án</w:t>
      </w:r>
      <w:r w:rsidR="00EE4FC3">
        <w:t xml:space="preserve"> </w:t>
      </w:r>
      <w:r w:rsidRPr="00382917">
        <w:t>until</w:t>
      </w:r>
      <w:r w:rsidR="00EE4FC3">
        <w:t xml:space="preserve"> </w:t>
      </w:r>
      <w:r w:rsidRPr="00382917">
        <w:t>he</w:t>
      </w:r>
      <w:r w:rsidR="00EE4FC3">
        <w:t xml:space="preserve"> </w:t>
      </w:r>
      <w:r w:rsidRPr="00382917">
        <w:t>was</w:t>
      </w:r>
      <w:r w:rsidR="00EE4FC3">
        <w:t xml:space="preserve"> </w:t>
      </w:r>
      <w:r w:rsidRPr="00382917">
        <w:t>strangled</w:t>
      </w:r>
      <w:r w:rsidR="0040329F">
        <w:t>.</w:t>
      </w:r>
      <w:r w:rsidR="00EE4FC3">
        <w:t xml:space="preserve">  </w:t>
      </w:r>
      <w:r w:rsidRPr="00382917">
        <w:t>The</w:t>
      </w:r>
      <w:r w:rsidR="00EE4FC3">
        <w:t xml:space="preserve"> </w:t>
      </w:r>
      <w:r w:rsidRPr="00382917">
        <w:t>king</w:t>
      </w:r>
      <w:r w:rsidR="00EE4FC3">
        <w:t xml:space="preserve"> </w:t>
      </w:r>
      <w:r w:rsidRPr="00382917">
        <w:t>ordered</w:t>
      </w:r>
      <w:r w:rsidR="00EE4FC3">
        <w:t xml:space="preserve"> </w:t>
      </w:r>
      <w:r w:rsidRPr="00382917">
        <w:t>the</w:t>
      </w:r>
      <w:r w:rsidR="00EE4FC3">
        <w:t xml:space="preserve"> </w:t>
      </w:r>
      <w:r w:rsidRPr="00382917">
        <w:t>mayor</w:t>
      </w:r>
      <w:r w:rsidR="009C713D" w:rsidRPr="00382917">
        <w:t>’</w:t>
      </w:r>
      <w:r w:rsidRPr="00382917">
        <w:t>s</w:t>
      </w:r>
      <w:r w:rsidR="00EE4FC3">
        <w:t xml:space="preserve"> </w:t>
      </w:r>
      <w:r w:rsidRPr="00382917">
        <w:t>body</w:t>
      </w:r>
      <w:r w:rsidR="00EE4FC3">
        <w:t xml:space="preserve"> </w:t>
      </w:r>
      <w:r w:rsidRPr="00382917">
        <w:t>to</w:t>
      </w:r>
      <w:r w:rsidR="00EE4FC3">
        <w:t xml:space="preserve"> </w:t>
      </w:r>
      <w:r w:rsidRPr="00382917">
        <w:t>be</w:t>
      </w:r>
      <w:r w:rsidR="00EE4FC3">
        <w:t xml:space="preserve"> </w:t>
      </w:r>
      <w:r w:rsidRPr="00382917">
        <w:t>hung</w:t>
      </w:r>
      <w:r w:rsidR="00EE4FC3">
        <w:t xml:space="preserve"> </w:t>
      </w:r>
      <w:r w:rsidRPr="00382917">
        <w:t>on</w:t>
      </w:r>
      <w:r w:rsidR="00EE4FC3">
        <w:t xml:space="preserve"> </w:t>
      </w:r>
      <w:r w:rsidRPr="00382917">
        <w:t>the</w:t>
      </w:r>
      <w:r w:rsidR="00EE4FC3">
        <w:t xml:space="preserve"> </w:t>
      </w:r>
      <w:r w:rsidRPr="00382917">
        <w:t>gallows</w:t>
      </w:r>
      <w:r w:rsidR="00EE4FC3">
        <w:t xml:space="preserve"> </w:t>
      </w:r>
      <w:r w:rsidRPr="00382917">
        <w:t>as</w:t>
      </w:r>
      <w:r w:rsidR="00EE4FC3">
        <w:t xml:space="preserve"> </w:t>
      </w:r>
      <w:r w:rsidRPr="00382917">
        <w:t>a</w:t>
      </w:r>
      <w:r w:rsidR="00EE4FC3">
        <w:t xml:space="preserve"> </w:t>
      </w:r>
      <w:r w:rsidRPr="00382917">
        <w:t>warning.</w:t>
      </w:r>
      <w:r w:rsidR="008B74CC">
        <w:rPr>
          <w:rStyle w:val="FootnoteReference"/>
        </w:rPr>
        <w:footnoteReference w:id="165"/>
      </w:r>
    </w:p>
    <w:p w:rsidR="007E595F" w:rsidRPr="00382917" w:rsidRDefault="007E595F" w:rsidP="008B74CC">
      <w:pPr>
        <w:pStyle w:val="Text"/>
      </w:pPr>
      <w:r w:rsidRPr="00382917">
        <w:t>Ṭáhirih</w:t>
      </w:r>
      <w:r w:rsidR="00EE4FC3">
        <w:t xml:space="preserve"> </w:t>
      </w:r>
      <w:r w:rsidRPr="00382917">
        <w:t>was</w:t>
      </w:r>
      <w:r w:rsidR="00EE4FC3">
        <w:t xml:space="preserve"> </w:t>
      </w:r>
      <w:r w:rsidRPr="00382917">
        <w:t>at</w:t>
      </w:r>
      <w:r w:rsidR="00EE4FC3">
        <w:t xml:space="preserve"> </w:t>
      </w:r>
      <w:r w:rsidRPr="00382917">
        <w:t>the</w:t>
      </w:r>
      <w:r w:rsidR="00EE4FC3">
        <w:t xml:space="preserve"> </w:t>
      </w:r>
      <w:r w:rsidRPr="00382917">
        <w:t>height</w:t>
      </w:r>
      <w:r w:rsidR="00EE4FC3">
        <w:t xml:space="preserve"> </w:t>
      </w:r>
      <w:r w:rsidRPr="00382917">
        <w:t>of</w:t>
      </w:r>
      <w:r w:rsidR="00EE4FC3">
        <w:t xml:space="preserve"> </w:t>
      </w:r>
      <w:r w:rsidRPr="00382917">
        <w:t>her</w:t>
      </w:r>
      <w:r w:rsidR="00EE4FC3">
        <w:t xml:space="preserve"> </w:t>
      </w:r>
      <w:r w:rsidRPr="00382917">
        <w:t>beauty</w:t>
      </w:r>
      <w:r w:rsidR="00EE4FC3">
        <w:t xml:space="preserve"> </w:t>
      </w:r>
      <w:r w:rsidRPr="00382917">
        <w:t>and</w:t>
      </w:r>
      <w:r w:rsidR="00EE4FC3">
        <w:t xml:space="preserve"> </w:t>
      </w:r>
      <w:r w:rsidRPr="00382917">
        <w:t>power</w:t>
      </w:r>
      <w:r w:rsidR="00EE4FC3">
        <w:t xml:space="preserve"> </w:t>
      </w:r>
      <w:r w:rsidRPr="00382917">
        <w:t>when</w:t>
      </w:r>
      <w:r w:rsidR="00EE4FC3">
        <w:t xml:space="preserve"> </w:t>
      </w:r>
      <w:r w:rsidRPr="00382917">
        <w:t>she</w:t>
      </w:r>
      <w:r w:rsidR="00EE4FC3">
        <w:t xml:space="preserve"> </w:t>
      </w:r>
      <w:r w:rsidRPr="00382917">
        <w:t>was</w:t>
      </w:r>
      <w:r w:rsidR="00EE4FC3">
        <w:t xml:space="preserve"> </w:t>
      </w:r>
      <w:r w:rsidRPr="00382917">
        <w:t>slain</w:t>
      </w:r>
      <w:r w:rsidR="00EE4FC3">
        <w:t xml:space="preserve"> </w:t>
      </w:r>
      <w:r w:rsidRPr="00382917">
        <w:t>in</w:t>
      </w:r>
      <w:r w:rsidR="00EE4FC3">
        <w:t xml:space="preserve"> </w:t>
      </w:r>
      <w:r w:rsidRPr="00382917">
        <w:t>August</w:t>
      </w:r>
      <w:r w:rsidR="00EE4FC3">
        <w:t xml:space="preserve"> </w:t>
      </w:r>
      <w:r w:rsidRPr="00382917">
        <w:t>1852</w:t>
      </w:r>
      <w:r w:rsidR="0040329F">
        <w:t>.</w:t>
      </w:r>
      <w:r w:rsidR="00EE4FC3">
        <w:t xml:space="preserve">  </w:t>
      </w:r>
      <w:r w:rsidRPr="00382917">
        <w:t>She</w:t>
      </w:r>
      <w:r w:rsidR="00EE4FC3">
        <w:t xml:space="preserve"> </w:t>
      </w:r>
      <w:r w:rsidRPr="00382917">
        <w:t>was</w:t>
      </w:r>
      <w:r w:rsidR="00EE4FC3">
        <w:t xml:space="preserve"> </w:t>
      </w:r>
      <w:r w:rsidRPr="00382917">
        <w:t>thirty-six</w:t>
      </w:r>
      <w:r w:rsidR="0040329F">
        <w:t>.</w:t>
      </w:r>
      <w:r w:rsidR="00EE4FC3">
        <w:t xml:space="preserve">  </w:t>
      </w:r>
      <w:r w:rsidRPr="00382917">
        <w:t>Siyyid</w:t>
      </w:r>
      <w:r w:rsidR="00EE4FC3">
        <w:t xml:space="preserve"> </w:t>
      </w:r>
      <w:r w:rsidRPr="00382917">
        <w:t>Ká</w:t>
      </w:r>
      <w:r w:rsidR="007B319A" w:rsidRPr="00382917">
        <w:t>ẓ</w:t>
      </w:r>
      <w:r w:rsidRPr="00382917">
        <w:t>im</w:t>
      </w:r>
      <w:r w:rsidR="00EE4FC3">
        <w:t xml:space="preserve"> </w:t>
      </w:r>
      <w:r w:rsidRPr="00382917">
        <w:t>had</w:t>
      </w:r>
      <w:r w:rsidR="00EE4FC3">
        <w:t xml:space="preserve"> </w:t>
      </w:r>
      <w:r w:rsidRPr="00382917">
        <w:t>called</w:t>
      </w:r>
      <w:r w:rsidR="00EE4FC3">
        <w:t xml:space="preserve"> </w:t>
      </w:r>
      <w:r w:rsidRPr="00382917">
        <w:t>her</w:t>
      </w:r>
      <w:r w:rsidR="00EE4FC3">
        <w:t xml:space="preserve"> </w:t>
      </w:r>
      <w:r w:rsidRPr="00382917">
        <w:t>Qurratu</w:t>
      </w:r>
      <w:r w:rsidR="009C713D" w:rsidRPr="00382917">
        <w:t>’</w:t>
      </w:r>
      <w:r w:rsidRPr="00382917">
        <w:t>l</w:t>
      </w:r>
      <w:r w:rsidR="009C713D" w:rsidRPr="00382917">
        <w:t>-‘</w:t>
      </w:r>
      <w:r w:rsidRPr="00382917">
        <w:t>Ayn</w:t>
      </w:r>
      <w:r w:rsidR="008C4ED7" w:rsidRPr="00382917">
        <w:t>—</w:t>
      </w:r>
      <w:r w:rsidR="008C4ED7">
        <w:t>“</w:t>
      </w:r>
      <w:r w:rsidRPr="00382917">
        <w:t>Consolation</w:t>
      </w:r>
      <w:r w:rsidR="00EE4FC3">
        <w:t xml:space="preserve"> </w:t>
      </w:r>
      <w:r w:rsidRPr="00382917">
        <w:t>of</w:t>
      </w:r>
      <w:r w:rsidR="00EE4FC3">
        <w:t xml:space="preserve"> </w:t>
      </w:r>
      <w:r w:rsidRPr="00382917">
        <w:t>the</w:t>
      </w:r>
      <w:r w:rsidR="00EE4FC3">
        <w:t xml:space="preserve"> </w:t>
      </w:r>
      <w:r w:rsidRPr="00382917">
        <w:t>Eyes</w:t>
      </w:r>
      <w:r w:rsidR="009C713D" w:rsidRPr="00382917">
        <w:t>”</w:t>
      </w:r>
      <w:r w:rsidR="008B74CC">
        <w:t xml:space="preserve">. </w:t>
      </w:r>
      <w:r w:rsidR="00EE4FC3">
        <w:t xml:space="preserve"> </w:t>
      </w:r>
      <w:r w:rsidRPr="00382917">
        <w:t>Others</w:t>
      </w:r>
      <w:r w:rsidR="00EE4FC3">
        <w:t xml:space="preserve"> </w:t>
      </w:r>
      <w:r w:rsidRPr="00382917">
        <w:t>had</w:t>
      </w:r>
      <w:r w:rsidR="00EE4FC3">
        <w:t xml:space="preserve"> </w:t>
      </w:r>
      <w:r w:rsidRPr="00382917">
        <w:t>called</w:t>
      </w:r>
      <w:r w:rsidR="00EE4FC3">
        <w:t xml:space="preserve"> </w:t>
      </w:r>
      <w:r w:rsidRPr="00382917">
        <w:t>her</w:t>
      </w:r>
      <w:r w:rsidR="00EE4FC3">
        <w:t xml:space="preserve"> </w:t>
      </w:r>
      <w:r w:rsidRPr="00382917">
        <w:t>Zarrín-Táj—one</w:t>
      </w:r>
      <w:r w:rsidR="00EE4FC3">
        <w:t xml:space="preserve"> </w:t>
      </w:r>
      <w:r w:rsidR="009C713D" w:rsidRPr="00382917">
        <w:t>“</w:t>
      </w:r>
      <w:r w:rsidRPr="00382917">
        <w:t>Crowned</w:t>
      </w:r>
      <w:r w:rsidR="00EE4FC3">
        <w:t xml:space="preserve"> </w:t>
      </w:r>
      <w:r w:rsidRPr="00382917">
        <w:t>of</w:t>
      </w:r>
      <w:r w:rsidR="00EE4FC3">
        <w:t xml:space="preserve"> </w:t>
      </w:r>
      <w:r w:rsidRPr="00382917">
        <w:t>Gold</w:t>
      </w:r>
      <w:r w:rsidR="009C713D" w:rsidRPr="00382917">
        <w:t>”</w:t>
      </w:r>
      <w:r w:rsidR="008B74CC">
        <w:t xml:space="preserve">. </w:t>
      </w:r>
      <w:r w:rsidR="00EE4FC3">
        <w:t xml:space="preserve"> </w:t>
      </w:r>
      <w:r w:rsidRPr="00382917">
        <w:t>But</w:t>
      </w:r>
      <w:r w:rsidR="00EE4FC3">
        <w:t xml:space="preserve"> </w:t>
      </w:r>
      <w:r w:rsidRPr="00382917">
        <w:t>the</w:t>
      </w:r>
      <w:r w:rsidR="00EE4FC3">
        <w:t xml:space="preserve"> </w:t>
      </w:r>
      <w:r w:rsidRPr="00382917">
        <w:t>name</w:t>
      </w:r>
      <w:r w:rsidR="00EE4FC3">
        <w:t xml:space="preserve"> </w:t>
      </w:r>
      <w:r w:rsidRPr="00382917">
        <w:t>by</w:t>
      </w:r>
      <w:r w:rsidR="00EE4FC3">
        <w:t xml:space="preserve"> </w:t>
      </w:r>
      <w:r w:rsidRPr="00382917">
        <w:t>which</w:t>
      </w:r>
      <w:r w:rsidR="00EE4FC3">
        <w:t xml:space="preserve"> </w:t>
      </w:r>
      <w:r w:rsidRPr="00382917">
        <w:t>she</w:t>
      </w:r>
      <w:r w:rsidR="00EE4FC3">
        <w:t xml:space="preserve"> </w:t>
      </w:r>
      <w:r w:rsidRPr="00382917">
        <w:t>lives</w:t>
      </w:r>
      <w:r w:rsidR="00EE4FC3">
        <w:t xml:space="preserve"> </w:t>
      </w:r>
      <w:r w:rsidRPr="00382917">
        <w:t>forever</w:t>
      </w:r>
      <w:r w:rsidR="00EE4FC3">
        <w:t xml:space="preserve"> </w:t>
      </w:r>
      <w:r w:rsidRPr="00382917">
        <w:t>in</w:t>
      </w:r>
      <w:r w:rsidR="00EE4FC3">
        <w:t xml:space="preserve"> </w:t>
      </w:r>
      <w:r w:rsidRPr="00382917">
        <w:t>the</w:t>
      </w:r>
      <w:r w:rsidR="00EE4FC3">
        <w:t xml:space="preserve"> </w:t>
      </w:r>
      <w:r w:rsidRPr="00382917">
        <w:t>hearts</w:t>
      </w:r>
      <w:r w:rsidR="00EE4FC3">
        <w:t xml:space="preserve"> </w:t>
      </w:r>
      <w:r w:rsidRPr="00382917">
        <w:t>of</w:t>
      </w:r>
      <w:r w:rsidR="00EE4FC3">
        <w:t xml:space="preserve"> </w:t>
      </w:r>
      <w:r w:rsidRPr="00382917">
        <w:t>her</w:t>
      </w:r>
      <w:r w:rsidR="00EE4FC3">
        <w:t xml:space="preserve"> </w:t>
      </w:r>
      <w:r w:rsidRPr="00382917">
        <w:t>people</w:t>
      </w:r>
      <w:r w:rsidR="00EE4FC3">
        <w:t xml:space="preserve"> </w:t>
      </w:r>
      <w:r w:rsidRPr="00382917">
        <w:t>is</w:t>
      </w:r>
      <w:r w:rsidR="00EE4FC3">
        <w:t xml:space="preserve"> </w:t>
      </w:r>
      <w:r w:rsidRPr="00382917">
        <w:t>Ṭáhirih—the</w:t>
      </w:r>
      <w:r w:rsidR="00EE4FC3">
        <w:t xml:space="preserve"> </w:t>
      </w:r>
      <w:r w:rsidRPr="00382917">
        <w:t>Pure</w:t>
      </w:r>
      <w:r w:rsidR="00EE4FC3">
        <w:t xml:space="preserve"> </w:t>
      </w:r>
      <w:r w:rsidRPr="00382917">
        <w:t>One.</w:t>
      </w:r>
    </w:p>
    <w:p w:rsidR="007E595F" w:rsidRPr="00382917" w:rsidRDefault="007E595F" w:rsidP="007E595F"/>
    <w:p w:rsidR="007E595F" w:rsidRPr="00382917" w:rsidRDefault="007E595F" w:rsidP="007E595F">
      <w:pPr>
        <w:sectPr w:rsidR="007E595F" w:rsidRPr="00382917" w:rsidSect="009073C7">
          <w:footnotePr>
            <w:numRestart w:val="eachPage"/>
          </w:footnotePr>
          <w:type w:val="oddPage"/>
          <w:pgSz w:w="8618" w:h="12984" w:code="188"/>
          <w:pgMar w:top="720" w:right="720" w:bottom="720" w:left="720" w:header="720" w:footer="567" w:gutter="357"/>
          <w:cols w:space="708"/>
          <w:noEndnote/>
          <w:titlePg/>
          <w:docGrid w:linePitch="272"/>
        </w:sectPr>
      </w:pPr>
    </w:p>
    <w:p w:rsidR="007E595F" w:rsidRPr="00382917" w:rsidRDefault="00417538" w:rsidP="00417538">
      <w:r w:rsidRPr="00382917">
        <w:rPr>
          <w:sz w:val="12"/>
          <w:szCs w:val="12"/>
        </w:rPr>
        <w:fldChar w:fldCharType="begin"/>
      </w:r>
      <w:r w:rsidR="00EE4FC3">
        <w:rPr>
          <w:sz w:val="12"/>
          <w:szCs w:val="12"/>
        </w:rPr>
        <w:instrText xml:space="preserve"> </w:instrText>
      </w:r>
      <w:proofErr w:type="gramStart"/>
      <w:r w:rsidRPr="00382917">
        <w:rPr>
          <w:sz w:val="12"/>
          <w:szCs w:val="12"/>
        </w:rPr>
        <w:instrText>TC</w:instrText>
      </w:r>
      <w:r w:rsidR="00EE4FC3">
        <w:rPr>
          <w:sz w:val="12"/>
          <w:szCs w:val="12"/>
        </w:rPr>
        <w:instrText xml:space="preserve">  </w:instrText>
      </w:r>
      <w:r w:rsidRPr="00382917">
        <w:rPr>
          <w:sz w:val="12"/>
          <w:szCs w:val="12"/>
        </w:rPr>
        <w:instrText>“</w:instrText>
      </w:r>
      <w:bookmarkStart w:id="18" w:name="_Toc206658614"/>
      <w:proofErr w:type="gramEnd"/>
      <w:r>
        <w:rPr>
          <w:sz w:val="12"/>
          <w:szCs w:val="12"/>
        </w:rPr>
        <w:tab/>
        <w:instrText>16.</w:instrText>
      </w:r>
      <w:r>
        <w:rPr>
          <w:sz w:val="12"/>
          <w:szCs w:val="12"/>
        </w:rPr>
        <w:tab/>
      </w:r>
      <w:r w:rsidRPr="00417538">
        <w:rPr>
          <w:sz w:val="12"/>
          <w:szCs w:val="12"/>
        </w:rPr>
        <w:instrText>The</w:instrText>
      </w:r>
      <w:r w:rsidR="00EE4FC3">
        <w:rPr>
          <w:sz w:val="12"/>
          <w:szCs w:val="12"/>
        </w:rPr>
        <w:instrText xml:space="preserve"> </w:instrText>
      </w:r>
      <w:r w:rsidRPr="00417538">
        <w:rPr>
          <w:sz w:val="12"/>
          <w:szCs w:val="12"/>
        </w:rPr>
        <w:instrText>death</w:instrText>
      </w:r>
      <w:r w:rsidR="00EE4FC3">
        <w:rPr>
          <w:sz w:val="12"/>
          <w:szCs w:val="12"/>
        </w:rPr>
        <w:instrText xml:space="preserve"> </w:instrText>
      </w:r>
      <w:r w:rsidRPr="00417538">
        <w:rPr>
          <w:sz w:val="12"/>
          <w:szCs w:val="12"/>
        </w:rPr>
        <w:instrText>of</w:instrText>
      </w:r>
      <w:r w:rsidR="00EE4FC3">
        <w:rPr>
          <w:sz w:val="12"/>
          <w:szCs w:val="12"/>
        </w:rPr>
        <w:instrText xml:space="preserve"> </w:instrText>
      </w:r>
      <w:r w:rsidRPr="00417538">
        <w:rPr>
          <w:sz w:val="12"/>
          <w:szCs w:val="12"/>
        </w:rPr>
        <w:instrText>the</w:instrText>
      </w:r>
      <w:r w:rsidR="00EE4FC3">
        <w:rPr>
          <w:sz w:val="12"/>
          <w:szCs w:val="12"/>
        </w:rPr>
        <w:instrText xml:space="preserve"> </w:instrText>
      </w:r>
      <w:r w:rsidRPr="00417538">
        <w:rPr>
          <w:sz w:val="12"/>
          <w:szCs w:val="12"/>
        </w:rPr>
        <w:instrText>wisest</w:instrText>
      </w:r>
      <w:r w:rsidR="00EE4FC3">
        <w:rPr>
          <w:sz w:val="12"/>
          <w:szCs w:val="12"/>
        </w:rPr>
        <w:instrText xml:space="preserve"> </w:instrText>
      </w:r>
      <w:r w:rsidRPr="00417538">
        <w:rPr>
          <w:sz w:val="12"/>
          <w:szCs w:val="12"/>
        </w:rPr>
        <w:instrText>Persian</w:instrText>
      </w:r>
      <w:proofErr w:type="gramStart"/>
      <w:r w:rsidRPr="00382917">
        <w:rPr>
          <w:color w:val="FFFFFF" w:themeColor="background1"/>
          <w:sz w:val="12"/>
          <w:szCs w:val="12"/>
        </w:rPr>
        <w:instrText>..</w:instrText>
      </w:r>
      <w:proofErr w:type="gramEnd"/>
      <w:r w:rsidRPr="00382917">
        <w:rPr>
          <w:sz w:val="12"/>
          <w:szCs w:val="12"/>
        </w:rPr>
        <w:tab/>
      </w:r>
      <w:r w:rsidRPr="00382917">
        <w:rPr>
          <w:color w:val="FFFFFF" w:themeColor="background1"/>
          <w:sz w:val="12"/>
          <w:szCs w:val="12"/>
        </w:rPr>
        <w:instrText>.</w:instrText>
      </w:r>
      <w:bookmarkEnd w:id="18"/>
      <w:proofErr w:type="gramStart"/>
      <w:r w:rsidRPr="00382917">
        <w:rPr>
          <w:sz w:val="12"/>
          <w:szCs w:val="12"/>
        </w:rPr>
        <w:instrText>”</w:instrText>
      </w:r>
      <w:r w:rsidR="00EE4FC3">
        <w:rPr>
          <w:sz w:val="12"/>
          <w:szCs w:val="12"/>
        </w:rPr>
        <w:instrText xml:space="preserve"> </w:instrText>
      </w:r>
      <w:proofErr w:type="gramEnd"/>
      <w:r w:rsidRPr="00382917">
        <w:rPr>
          <w:sz w:val="12"/>
          <w:szCs w:val="12"/>
        </w:rPr>
        <w:instrText>\l</w:instrText>
      </w:r>
      <w:r w:rsidR="00EE4FC3">
        <w:rPr>
          <w:sz w:val="12"/>
          <w:szCs w:val="12"/>
        </w:rPr>
        <w:instrText xml:space="preserve"> </w:instrText>
      </w:r>
      <w:r w:rsidRPr="00382917">
        <w:rPr>
          <w:sz w:val="12"/>
          <w:szCs w:val="12"/>
        </w:rPr>
        <w:instrText>1</w:instrText>
      </w:r>
      <w:r w:rsidR="00EE4FC3">
        <w:rPr>
          <w:sz w:val="12"/>
          <w:szCs w:val="12"/>
        </w:rPr>
        <w:instrText xml:space="preserve"> </w:instrText>
      </w:r>
      <w:r w:rsidRPr="00382917">
        <w:rPr>
          <w:sz w:val="12"/>
          <w:szCs w:val="12"/>
        </w:rPr>
        <w:fldChar w:fldCharType="end"/>
      </w:r>
    </w:p>
    <w:p w:rsidR="007E595F" w:rsidRPr="00382917" w:rsidRDefault="007E595F" w:rsidP="007E595F"/>
    <w:p w:rsidR="007E595F" w:rsidRPr="00382917" w:rsidRDefault="007E595F" w:rsidP="00417538">
      <w:pPr>
        <w:pStyle w:val="Myheadc"/>
      </w:pPr>
      <w:r w:rsidRPr="00382917">
        <w:t>16</w:t>
      </w:r>
      <w:r w:rsidR="00417538">
        <w:br/>
      </w:r>
      <w:r w:rsidRPr="00382917">
        <w:rPr>
          <w:noProof/>
          <w:lang w:val="en-AU" w:eastAsia="en-AU"/>
          <w14:numForm w14:val="default"/>
          <w14:numSpacing w14:val="default"/>
        </w:rPr>
        <w:drawing>
          <wp:inline distT="0" distB="0" distL="0" distR="0" wp14:anchorId="39C935F4" wp14:editId="77279898">
            <wp:extent cx="396000" cy="392400"/>
            <wp:effectExtent l="0" t="0" r="4445" b="825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p.emf"/>
                    <pic:cNvPicPr/>
                  </pic:nvPicPr>
                  <pic:blipFill>
                    <a:blip r:embed="rId17">
                      <a:extLst>
                        <a:ext uri="{28A0092B-C50C-407E-A947-70E740481C1C}">
                          <a14:useLocalDpi xmlns:a14="http://schemas.microsoft.com/office/drawing/2010/main" val="0"/>
                        </a:ext>
                      </a:extLst>
                    </a:blip>
                    <a:stretch>
                      <a:fillRect/>
                    </a:stretch>
                  </pic:blipFill>
                  <pic:spPr>
                    <a:xfrm>
                      <a:off x="0" y="0"/>
                      <a:ext cx="396000" cy="392400"/>
                    </a:xfrm>
                    <a:prstGeom prst="rect">
                      <a:avLst/>
                    </a:prstGeom>
                  </pic:spPr>
                </pic:pic>
              </a:graphicData>
            </a:graphic>
          </wp:inline>
        </w:drawing>
      </w:r>
      <w:r w:rsidR="00417538">
        <w:br/>
      </w:r>
      <w:r w:rsidRPr="00382917">
        <w:t>The</w:t>
      </w:r>
      <w:r w:rsidR="00EE4FC3">
        <w:t xml:space="preserve"> </w:t>
      </w:r>
      <w:r w:rsidRPr="00382917">
        <w:t>death</w:t>
      </w:r>
      <w:r w:rsidR="00EE4FC3">
        <w:t xml:space="preserve"> </w:t>
      </w:r>
      <w:r w:rsidRPr="00382917">
        <w:t>of</w:t>
      </w:r>
      <w:r w:rsidR="00417538">
        <w:br/>
      </w:r>
      <w:r w:rsidRPr="00382917">
        <w:t>the</w:t>
      </w:r>
      <w:r w:rsidR="00EE4FC3">
        <w:t xml:space="preserve"> </w:t>
      </w:r>
      <w:r w:rsidRPr="00382917">
        <w:t>wisest</w:t>
      </w:r>
      <w:r w:rsidR="00EE4FC3">
        <w:t xml:space="preserve"> </w:t>
      </w:r>
      <w:r w:rsidRPr="00382917">
        <w:t>Persian</w:t>
      </w:r>
    </w:p>
    <w:p w:rsidR="007E595F" w:rsidRPr="00382917" w:rsidRDefault="007E595F" w:rsidP="007E595F">
      <w:pPr>
        <w:pStyle w:val="Text"/>
      </w:pPr>
      <w:r w:rsidRPr="00382917">
        <w:t>Vaḥíd,</w:t>
      </w:r>
      <w:r w:rsidR="00EE4FC3">
        <w:t xml:space="preserve"> </w:t>
      </w:r>
      <w:r w:rsidRPr="00382917">
        <w:t>who</w:t>
      </w:r>
      <w:r w:rsidR="00EE4FC3">
        <w:t xml:space="preserve"> </w:t>
      </w:r>
      <w:r w:rsidRPr="00382917">
        <w:t>had</w:t>
      </w:r>
      <w:r w:rsidR="00EE4FC3">
        <w:t xml:space="preserve"> </w:t>
      </w:r>
      <w:r w:rsidRPr="00382917">
        <w:t>been</w:t>
      </w:r>
      <w:r w:rsidR="00EE4FC3">
        <w:t xml:space="preserve"> </w:t>
      </w:r>
      <w:r w:rsidRPr="00382917">
        <w:t>sent</w:t>
      </w:r>
      <w:r w:rsidR="00EE4FC3">
        <w:t xml:space="preserve"> </w:t>
      </w:r>
      <w:r w:rsidRPr="00382917">
        <w:t>by</w:t>
      </w:r>
      <w:r w:rsidR="00EE4FC3">
        <w:t xml:space="preserve"> </w:t>
      </w:r>
      <w:r w:rsidRPr="00382917">
        <w:t>the</w:t>
      </w:r>
      <w:r w:rsidR="00EE4FC3">
        <w:t xml:space="preserve"> </w:t>
      </w:r>
      <w:r w:rsidRPr="00382917">
        <w:t>king</w:t>
      </w:r>
      <w:r w:rsidR="00EE4FC3">
        <w:t xml:space="preserve"> </w:t>
      </w:r>
      <w:r w:rsidRPr="00382917">
        <w:t>as</w:t>
      </w:r>
      <w:r w:rsidR="00EE4FC3">
        <w:t xml:space="preserve"> </w:t>
      </w:r>
      <w:r w:rsidRPr="00382917">
        <w:t>his</w:t>
      </w:r>
      <w:r w:rsidR="00EE4FC3">
        <w:t xml:space="preserve"> </w:t>
      </w:r>
      <w:r w:rsidRPr="00382917">
        <w:t>personal</w:t>
      </w:r>
      <w:r w:rsidR="00EE4FC3">
        <w:t xml:space="preserve"> </w:t>
      </w:r>
      <w:r w:rsidRPr="00382917">
        <w:t>representative</w:t>
      </w:r>
      <w:r w:rsidR="00EE4FC3">
        <w:t xml:space="preserve"> </w:t>
      </w:r>
      <w:r w:rsidRPr="00382917">
        <w:t>to</w:t>
      </w:r>
      <w:r w:rsidR="00EE4FC3">
        <w:t xml:space="preserve"> </w:t>
      </w:r>
      <w:r w:rsidRPr="00382917">
        <w:t>investigate</w:t>
      </w:r>
      <w:r w:rsidR="00EE4FC3">
        <w:t xml:space="preserve"> </w:t>
      </w:r>
      <w:r w:rsidRPr="00382917">
        <w:t>the</w:t>
      </w:r>
      <w:r w:rsidR="00EE4FC3">
        <w:t xml:space="preserve"> </w:t>
      </w:r>
      <w:r w:rsidRPr="00382917">
        <w:t>truth</w:t>
      </w:r>
      <w:r w:rsidR="00EE4FC3">
        <w:t xml:space="preserve"> </w:t>
      </w:r>
      <w:r w:rsidRPr="00382917">
        <w:t>of</w:t>
      </w:r>
      <w:r w:rsidR="00EE4FC3">
        <w:t xml:space="preserve"> </w:t>
      </w:r>
      <w:r w:rsidRPr="00382917">
        <w:t>the</w:t>
      </w:r>
      <w:r w:rsidR="00EE4FC3">
        <w:t xml:space="preserve"> </w:t>
      </w:r>
      <w:r w:rsidRPr="00382917">
        <w:t>Báb</w:t>
      </w:r>
      <w:r w:rsidR="009C713D" w:rsidRPr="00382917">
        <w:t>’</w:t>
      </w:r>
      <w:r w:rsidRPr="00382917">
        <w:t>s</w:t>
      </w:r>
      <w:r w:rsidR="00EE4FC3">
        <w:t xml:space="preserve"> </w:t>
      </w:r>
      <w:r w:rsidRPr="00382917">
        <w:t>mission,</w:t>
      </w:r>
      <w:r w:rsidR="00EE4FC3">
        <w:t xml:space="preserve"> </w:t>
      </w:r>
      <w:r w:rsidRPr="00382917">
        <w:t>was</w:t>
      </w:r>
      <w:r w:rsidR="00EE4FC3">
        <w:t xml:space="preserve"> </w:t>
      </w:r>
      <w:r w:rsidRPr="00382917">
        <w:t>the</w:t>
      </w:r>
      <w:r w:rsidR="00EE4FC3">
        <w:t xml:space="preserve"> </w:t>
      </w:r>
      <w:r w:rsidRPr="00382917">
        <w:t>next</w:t>
      </w:r>
      <w:r w:rsidR="00EE4FC3">
        <w:t xml:space="preserve"> </w:t>
      </w:r>
      <w:r w:rsidRPr="00382917">
        <w:t>to</w:t>
      </w:r>
      <w:r w:rsidR="00EE4FC3">
        <w:t xml:space="preserve"> </w:t>
      </w:r>
      <w:r w:rsidRPr="00382917">
        <w:t>fall</w:t>
      </w:r>
      <w:r w:rsidR="00EE4FC3">
        <w:t xml:space="preserve"> </w:t>
      </w:r>
      <w:r w:rsidRPr="00382917">
        <w:t>in</w:t>
      </w:r>
      <w:r w:rsidR="00EE4FC3">
        <w:t xml:space="preserve"> </w:t>
      </w:r>
      <w:r w:rsidRPr="00382917">
        <w:t>this</w:t>
      </w:r>
      <w:r w:rsidR="00EE4FC3">
        <w:t xml:space="preserve"> </w:t>
      </w:r>
      <w:r w:rsidRPr="00382917">
        <w:t>nation-wide</w:t>
      </w:r>
      <w:r w:rsidR="00EE4FC3">
        <w:t xml:space="preserve"> </w:t>
      </w:r>
      <w:r w:rsidRPr="00382917">
        <w:t>wave</w:t>
      </w:r>
      <w:r w:rsidR="00EE4FC3">
        <w:t xml:space="preserve"> </w:t>
      </w:r>
      <w:r w:rsidRPr="00382917">
        <w:t>of</w:t>
      </w:r>
      <w:r w:rsidR="00EE4FC3">
        <w:t xml:space="preserve"> </w:t>
      </w:r>
      <w:r w:rsidRPr="00382917">
        <w:t>persecutions.</w:t>
      </w:r>
    </w:p>
    <w:p w:rsidR="007E595F" w:rsidRPr="00382917" w:rsidRDefault="007E595F" w:rsidP="007B319A">
      <w:pPr>
        <w:pStyle w:val="Text"/>
      </w:pPr>
      <w:r w:rsidRPr="00382917">
        <w:t>In</w:t>
      </w:r>
      <w:r w:rsidR="00EE4FC3">
        <w:t xml:space="preserve"> </w:t>
      </w:r>
      <w:r w:rsidRPr="00382917">
        <w:t>the</w:t>
      </w:r>
      <w:r w:rsidR="00EE4FC3">
        <w:t xml:space="preserve"> </w:t>
      </w:r>
      <w:r w:rsidRPr="00382917">
        <w:t>early</w:t>
      </w:r>
      <w:r w:rsidR="00EE4FC3">
        <w:t xml:space="preserve"> </w:t>
      </w:r>
      <w:r w:rsidRPr="00382917">
        <w:t>days</w:t>
      </w:r>
      <w:r w:rsidR="00EE4FC3">
        <w:t xml:space="preserve"> </w:t>
      </w:r>
      <w:r w:rsidRPr="00382917">
        <w:t>of</w:t>
      </w:r>
      <w:r w:rsidR="00EE4FC3">
        <w:t xml:space="preserve"> </w:t>
      </w:r>
      <w:r w:rsidRPr="00382917">
        <w:t>the</w:t>
      </w:r>
      <w:r w:rsidR="00EE4FC3">
        <w:t xml:space="preserve"> </w:t>
      </w:r>
      <w:r w:rsidRPr="00382917">
        <w:t>siege</w:t>
      </w:r>
      <w:r w:rsidR="00EE4FC3">
        <w:t xml:space="preserve"> </w:t>
      </w:r>
      <w:r w:rsidRPr="00382917">
        <w:t>of</w:t>
      </w:r>
      <w:r w:rsidR="00EE4FC3">
        <w:t xml:space="preserve"> </w:t>
      </w:r>
      <w:r w:rsidRPr="00382917">
        <w:t>Ṭabarsí,</w:t>
      </w:r>
      <w:r w:rsidR="00EE4FC3">
        <w:t xml:space="preserve"> </w:t>
      </w:r>
      <w:r w:rsidRPr="00382917">
        <w:t>Va</w:t>
      </w:r>
      <w:r w:rsidR="007B319A" w:rsidRPr="00382917">
        <w:t>ḥ</w:t>
      </w:r>
      <w:r w:rsidRPr="00382917">
        <w:t>íd</w:t>
      </w:r>
      <w:r w:rsidR="00EE4FC3">
        <w:t xml:space="preserve"> </w:t>
      </w:r>
      <w:r w:rsidRPr="00382917">
        <w:t>hurried</w:t>
      </w:r>
      <w:r w:rsidR="00EE4FC3">
        <w:t xml:space="preserve"> </w:t>
      </w:r>
      <w:r w:rsidRPr="00382917">
        <w:t>to</w:t>
      </w:r>
      <w:r w:rsidR="00EE4FC3">
        <w:t xml:space="preserve"> </w:t>
      </w:r>
      <w:r w:rsidR="007B319A" w:rsidRPr="00382917">
        <w:t>Ṭ</w:t>
      </w:r>
      <w:r w:rsidRPr="00382917">
        <w:t>ihrán</w:t>
      </w:r>
      <w:r w:rsidR="00EE4FC3">
        <w:t xml:space="preserve"> </w:t>
      </w:r>
      <w:r w:rsidRPr="00382917">
        <w:t>to</w:t>
      </w:r>
      <w:r w:rsidR="00EE4FC3">
        <w:t xml:space="preserve"> </w:t>
      </w:r>
      <w:r w:rsidRPr="00382917">
        <w:t>make</w:t>
      </w:r>
      <w:r w:rsidR="00EE4FC3">
        <w:t xml:space="preserve"> </w:t>
      </w:r>
      <w:r w:rsidRPr="00382917">
        <w:t>the</w:t>
      </w:r>
      <w:r w:rsidR="00EE4FC3">
        <w:t xml:space="preserve"> </w:t>
      </w:r>
      <w:r w:rsidRPr="00382917">
        <w:t>necessary</w:t>
      </w:r>
      <w:r w:rsidR="00EE4FC3">
        <w:t xml:space="preserve"> </w:t>
      </w:r>
      <w:r w:rsidRPr="00382917">
        <w:t>preparations</w:t>
      </w:r>
      <w:r w:rsidR="00EE4FC3">
        <w:t xml:space="preserve"> </w:t>
      </w:r>
      <w:r w:rsidRPr="00382917">
        <w:t>for</w:t>
      </w:r>
      <w:r w:rsidR="00EE4FC3">
        <w:t xml:space="preserve"> </w:t>
      </w:r>
      <w:r w:rsidRPr="00382917">
        <w:t>joining</w:t>
      </w:r>
      <w:r w:rsidR="00EE4FC3">
        <w:t xml:space="preserve"> </w:t>
      </w:r>
      <w:r w:rsidRPr="00382917">
        <w:t>Mullá</w:t>
      </w:r>
      <w:r w:rsidR="00EE4FC3">
        <w:t xml:space="preserve"> </w:t>
      </w:r>
      <w:r w:rsidR="00964C11" w:rsidRPr="00382917">
        <w:t>Ḥusayn</w:t>
      </w:r>
      <w:r w:rsidR="00EE4FC3">
        <w:t xml:space="preserve"> </w:t>
      </w:r>
      <w:r w:rsidRPr="00382917">
        <w:t>and</w:t>
      </w:r>
      <w:r w:rsidR="00EE4FC3">
        <w:t xml:space="preserve"> </w:t>
      </w:r>
      <w:r w:rsidRPr="00382917">
        <w:t>Quddús</w:t>
      </w:r>
      <w:r w:rsidR="00EE4FC3">
        <w:t xml:space="preserve"> </w:t>
      </w:r>
      <w:r w:rsidRPr="00382917">
        <w:t>inside</w:t>
      </w:r>
      <w:r w:rsidR="00EE4FC3">
        <w:t xml:space="preserve"> </w:t>
      </w:r>
      <w:r w:rsidRPr="00382917">
        <w:t>the</w:t>
      </w:r>
      <w:r w:rsidR="00EE4FC3">
        <w:t xml:space="preserve"> </w:t>
      </w:r>
      <w:r w:rsidRPr="00382917">
        <w:t>fort</w:t>
      </w:r>
      <w:r w:rsidR="0040329F">
        <w:t>.</w:t>
      </w:r>
      <w:r w:rsidR="00EE4FC3">
        <w:t xml:space="preserve">  </w:t>
      </w:r>
      <w:r w:rsidRPr="00382917">
        <w:t>He</w:t>
      </w:r>
      <w:r w:rsidR="00EE4FC3">
        <w:t xml:space="preserve"> </w:t>
      </w:r>
      <w:r w:rsidRPr="00382917">
        <w:t>was</w:t>
      </w:r>
      <w:r w:rsidR="00EE4FC3">
        <w:t xml:space="preserve"> </w:t>
      </w:r>
      <w:r w:rsidRPr="00382917">
        <w:t>about</w:t>
      </w:r>
      <w:r w:rsidR="00EE4FC3">
        <w:t xml:space="preserve"> </w:t>
      </w:r>
      <w:r w:rsidRPr="00382917">
        <w:t>to</w:t>
      </w:r>
      <w:r w:rsidR="00EE4FC3">
        <w:t xml:space="preserve"> </w:t>
      </w:r>
      <w:r w:rsidRPr="00382917">
        <w:t>leave</w:t>
      </w:r>
      <w:r w:rsidR="00EE4FC3">
        <w:t xml:space="preserve"> </w:t>
      </w:r>
      <w:r w:rsidR="007B319A" w:rsidRPr="00382917">
        <w:t>Ṭ</w:t>
      </w:r>
      <w:r w:rsidRPr="00382917">
        <w:t>ihrán</w:t>
      </w:r>
      <w:r w:rsidR="00EE4FC3">
        <w:t xml:space="preserve"> </w:t>
      </w:r>
      <w:r w:rsidRPr="00382917">
        <w:t>when</w:t>
      </w:r>
      <w:r w:rsidR="00EE4FC3">
        <w:t xml:space="preserve"> </w:t>
      </w:r>
      <w:r w:rsidRPr="00382917">
        <w:t>he</w:t>
      </w:r>
      <w:r w:rsidR="00EE4FC3">
        <w:t xml:space="preserve"> </w:t>
      </w:r>
      <w:r w:rsidRPr="00382917">
        <w:t>was</w:t>
      </w:r>
      <w:r w:rsidR="00EE4FC3">
        <w:t xml:space="preserve"> </w:t>
      </w:r>
      <w:r w:rsidRPr="00382917">
        <w:t>told</w:t>
      </w:r>
      <w:r w:rsidR="00EE4FC3">
        <w:t xml:space="preserve"> </w:t>
      </w:r>
      <w:r w:rsidRPr="00382917">
        <w:t>that</w:t>
      </w:r>
      <w:r w:rsidR="00EE4FC3">
        <w:t xml:space="preserve"> </w:t>
      </w:r>
      <w:r w:rsidRPr="00382917">
        <w:t>it</w:t>
      </w:r>
      <w:r w:rsidR="00EE4FC3">
        <w:t xml:space="preserve"> </w:t>
      </w:r>
      <w:r w:rsidRPr="00382917">
        <w:t>was</w:t>
      </w:r>
      <w:r w:rsidR="00EE4FC3">
        <w:t xml:space="preserve"> </w:t>
      </w:r>
      <w:r w:rsidRPr="00382917">
        <w:t>too</w:t>
      </w:r>
      <w:r w:rsidR="00EE4FC3">
        <w:t xml:space="preserve"> </w:t>
      </w:r>
      <w:r w:rsidRPr="00382917">
        <w:t>late,</w:t>
      </w:r>
      <w:r w:rsidR="00EE4FC3">
        <w:t xml:space="preserve"> </w:t>
      </w:r>
      <w:r w:rsidRPr="00382917">
        <w:t>that</w:t>
      </w:r>
      <w:r w:rsidR="00EE4FC3">
        <w:t xml:space="preserve"> </w:t>
      </w:r>
      <w:r w:rsidRPr="00382917">
        <w:t>his</w:t>
      </w:r>
      <w:r w:rsidR="00EE4FC3">
        <w:t xml:space="preserve"> </w:t>
      </w:r>
      <w:r w:rsidRPr="00382917">
        <w:t>friends</w:t>
      </w:r>
      <w:r w:rsidR="00EE4FC3">
        <w:t xml:space="preserve"> </w:t>
      </w:r>
      <w:r w:rsidRPr="00382917">
        <w:t>had</w:t>
      </w:r>
      <w:r w:rsidR="00EE4FC3">
        <w:t xml:space="preserve"> </w:t>
      </w:r>
      <w:r w:rsidRPr="00382917">
        <w:t>already</w:t>
      </w:r>
      <w:r w:rsidR="00EE4FC3">
        <w:t xml:space="preserve"> </w:t>
      </w:r>
      <w:r w:rsidRPr="00382917">
        <w:t>been</w:t>
      </w:r>
      <w:r w:rsidR="00EE4FC3">
        <w:t xml:space="preserve"> </w:t>
      </w:r>
      <w:r w:rsidRPr="00382917">
        <w:t>captured</w:t>
      </w:r>
      <w:r w:rsidR="00EE4FC3">
        <w:t xml:space="preserve"> </w:t>
      </w:r>
      <w:r w:rsidRPr="00382917">
        <w:t>or</w:t>
      </w:r>
      <w:r w:rsidR="00EE4FC3">
        <w:t xml:space="preserve"> </w:t>
      </w:r>
      <w:r w:rsidRPr="00382917">
        <w:t>slain.</w:t>
      </w:r>
    </w:p>
    <w:p w:rsidR="007E595F" w:rsidRPr="00382917" w:rsidRDefault="007E595F" w:rsidP="007B319A">
      <w:pPr>
        <w:pStyle w:val="Text"/>
      </w:pPr>
      <w:r w:rsidRPr="00382917">
        <w:t>During</w:t>
      </w:r>
      <w:r w:rsidR="00EE4FC3">
        <w:t xml:space="preserve"> </w:t>
      </w:r>
      <w:r w:rsidRPr="00382917">
        <w:t>this</w:t>
      </w:r>
      <w:r w:rsidR="00EE4FC3">
        <w:t xml:space="preserve"> </w:t>
      </w:r>
      <w:r w:rsidRPr="00382917">
        <w:t>visit</w:t>
      </w:r>
      <w:r w:rsidR="00EE4FC3">
        <w:t xml:space="preserve"> </w:t>
      </w:r>
      <w:r w:rsidRPr="00382917">
        <w:t>to</w:t>
      </w:r>
      <w:r w:rsidR="00EE4FC3">
        <w:t xml:space="preserve"> </w:t>
      </w:r>
      <w:r w:rsidR="007B319A" w:rsidRPr="00382917">
        <w:t>Ṭ</w:t>
      </w:r>
      <w:r w:rsidRPr="00382917">
        <w:t>ihrán,</w:t>
      </w:r>
      <w:r w:rsidR="00EE4FC3">
        <w:t xml:space="preserve"> </w:t>
      </w:r>
      <w:r w:rsidRPr="00382917">
        <w:t>Va</w:t>
      </w:r>
      <w:r w:rsidR="007B319A" w:rsidRPr="00382917">
        <w:t>ḥ</w:t>
      </w:r>
      <w:r w:rsidRPr="00382917">
        <w:t>íd</w:t>
      </w:r>
      <w:r w:rsidR="00EE4FC3">
        <w:t xml:space="preserve"> </w:t>
      </w:r>
      <w:r w:rsidRPr="00382917">
        <w:t>met</w:t>
      </w:r>
      <w:r w:rsidR="00EE4FC3">
        <w:t xml:space="preserve"> </w:t>
      </w:r>
      <w:r w:rsidRPr="00382917">
        <w:t>a</w:t>
      </w:r>
      <w:r w:rsidR="00EE4FC3">
        <w:t xml:space="preserve"> </w:t>
      </w:r>
      <w:r w:rsidRPr="00382917">
        <w:t>companion</w:t>
      </w:r>
      <w:r w:rsidR="00EE4FC3">
        <w:t xml:space="preserve"> </w:t>
      </w:r>
      <w:r w:rsidRPr="00382917">
        <w:t>who</w:t>
      </w:r>
      <w:r w:rsidR="00EE4FC3">
        <w:t xml:space="preserve"> </w:t>
      </w:r>
      <w:r w:rsidRPr="00382917">
        <w:t>wrote</w:t>
      </w:r>
      <w:r w:rsidR="00EE4FC3">
        <w:t xml:space="preserve"> </w:t>
      </w:r>
      <w:r w:rsidRPr="00382917">
        <w:t>down</w:t>
      </w:r>
      <w:r w:rsidR="00EE4FC3">
        <w:t xml:space="preserve"> </w:t>
      </w:r>
      <w:r w:rsidRPr="00382917">
        <w:t>his</w:t>
      </w:r>
      <w:r w:rsidR="00EE4FC3">
        <w:t xml:space="preserve"> </w:t>
      </w:r>
      <w:r w:rsidRPr="00382917">
        <w:t>recollection</w:t>
      </w:r>
      <w:r w:rsidR="00EE4FC3">
        <w:t xml:space="preserve"> </w:t>
      </w:r>
      <w:r w:rsidRPr="00382917">
        <w:t>of</w:t>
      </w:r>
      <w:r w:rsidR="00EE4FC3">
        <w:t xml:space="preserve"> </w:t>
      </w:r>
      <w:r w:rsidRPr="00382917">
        <w:t>that</w:t>
      </w:r>
      <w:r w:rsidR="00EE4FC3">
        <w:t xml:space="preserve"> </w:t>
      </w:r>
      <w:r w:rsidRPr="00382917">
        <w:t>meeting</w:t>
      </w:r>
      <w:r w:rsidR="00C03C91">
        <w:t>:</w:t>
      </w:r>
      <w:r w:rsidR="00EE4FC3">
        <w:t xml:space="preserve">  </w:t>
      </w:r>
      <w:r w:rsidR="009C713D" w:rsidRPr="00382917">
        <w:t>“</w:t>
      </w:r>
      <w:r w:rsidRPr="00382917">
        <w:t>I</w:t>
      </w:r>
      <w:r w:rsidR="00EE4FC3">
        <w:t xml:space="preserve"> </w:t>
      </w:r>
      <w:r w:rsidRPr="00382917">
        <w:t>observed</w:t>
      </w:r>
      <w:r w:rsidR="00EE4FC3">
        <w:t xml:space="preserve"> </w:t>
      </w:r>
      <w:r w:rsidRPr="00382917">
        <w:t>in</w:t>
      </w:r>
      <w:r w:rsidR="00EE4FC3">
        <w:t xml:space="preserve"> </w:t>
      </w:r>
      <w:r w:rsidRPr="00382917">
        <w:t>his</w:t>
      </w:r>
      <w:r w:rsidR="00EE4FC3">
        <w:t xml:space="preserve"> </w:t>
      </w:r>
      <w:r w:rsidRPr="00382917">
        <w:t>(</w:t>
      </w:r>
      <w:proofErr w:type="spellStart"/>
      <w:r w:rsidRPr="00382917">
        <w:t>Vaḥíd</w:t>
      </w:r>
      <w:r w:rsidR="009C713D" w:rsidRPr="00382917">
        <w:t>’</w:t>
      </w:r>
      <w:r w:rsidRPr="00382917">
        <w:t>s</w:t>
      </w:r>
      <w:proofErr w:type="spellEnd"/>
      <w:r w:rsidR="00935EC1">
        <w:t>)</w:t>
      </w:r>
      <w:r w:rsidR="00EE4FC3">
        <w:t xml:space="preserve"> </w:t>
      </w:r>
      <w:r w:rsidRPr="00382917">
        <w:t>august</w:t>
      </w:r>
      <w:r w:rsidR="00EE4FC3">
        <w:t xml:space="preserve"> </w:t>
      </w:r>
      <w:r w:rsidRPr="00382917">
        <w:t>countenance</w:t>
      </w:r>
      <w:r w:rsidR="00EE4FC3">
        <w:t xml:space="preserve"> </w:t>
      </w:r>
      <w:r w:rsidRPr="00382917">
        <w:t>the</w:t>
      </w:r>
      <w:r w:rsidR="00EE4FC3">
        <w:t xml:space="preserve"> </w:t>
      </w:r>
      <w:r w:rsidRPr="00382917">
        <w:t>signs</w:t>
      </w:r>
      <w:r w:rsidR="00EE4FC3">
        <w:t xml:space="preserve"> </w:t>
      </w:r>
      <w:r w:rsidRPr="00382917">
        <w:t>of</w:t>
      </w:r>
      <w:r w:rsidR="00EE4FC3">
        <w:t xml:space="preserve"> </w:t>
      </w:r>
      <w:r w:rsidRPr="00382917">
        <w:t>a</w:t>
      </w:r>
      <w:r w:rsidR="00EE4FC3">
        <w:t xml:space="preserve"> </w:t>
      </w:r>
      <w:r w:rsidRPr="00382917">
        <w:t>glory</w:t>
      </w:r>
      <w:r w:rsidR="00EE4FC3">
        <w:t xml:space="preserve"> </w:t>
      </w:r>
      <w:r w:rsidRPr="00382917">
        <w:t>and</w:t>
      </w:r>
      <w:r w:rsidR="00EE4FC3">
        <w:t xml:space="preserve"> </w:t>
      </w:r>
      <w:r w:rsidRPr="00382917">
        <w:t>power</w:t>
      </w:r>
      <w:r w:rsidR="00EE4FC3">
        <w:t xml:space="preserve"> </w:t>
      </w:r>
      <w:r w:rsidRPr="00382917">
        <w:t>which</w:t>
      </w:r>
      <w:r w:rsidR="00EE4FC3">
        <w:t xml:space="preserve"> </w:t>
      </w:r>
      <w:r w:rsidRPr="00382917">
        <w:t>I</w:t>
      </w:r>
      <w:r w:rsidR="00EE4FC3">
        <w:t xml:space="preserve"> </w:t>
      </w:r>
      <w:r w:rsidRPr="00382917">
        <w:t>had</w:t>
      </w:r>
      <w:r w:rsidR="00EE4FC3">
        <w:t xml:space="preserve"> </w:t>
      </w:r>
      <w:r w:rsidRPr="00382917">
        <w:t>not</w:t>
      </w:r>
      <w:r w:rsidR="00EE4FC3">
        <w:t xml:space="preserve"> </w:t>
      </w:r>
      <w:r w:rsidRPr="00382917">
        <w:t>noticed</w:t>
      </w:r>
      <w:r w:rsidR="00EE4FC3">
        <w:t xml:space="preserve"> </w:t>
      </w:r>
      <w:r w:rsidRPr="00382917">
        <w:t>during</w:t>
      </w:r>
      <w:r w:rsidR="00EE4FC3">
        <w:t xml:space="preserve"> </w:t>
      </w:r>
      <w:r w:rsidRPr="00382917">
        <w:t>my</w:t>
      </w:r>
      <w:r w:rsidR="00EE4FC3">
        <w:t xml:space="preserve"> </w:t>
      </w:r>
      <w:r w:rsidRPr="00382917">
        <w:t>first</w:t>
      </w:r>
      <w:r w:rsidR="00EE4FC3">
        <w:t xml:space="preserve"> </w:t>
      </w:r>
      <w:r w:rsidRPr="00382917">
        <w:t>journey</w:t>
      </w:r>
      <w:r w:rsidR="00EE4FC3">
        <w:t xml:space="preserve"> </w:t>
      </w:r>
      <w:r w:rsidRPr="00382917">
        <w:t>with</w:t>
      </w:r>
      <w:r w:rsidR="00EE4FC3">
        <w:t xml:space="preserve"> </w:t>
      </w:r>
      <w:r w:rsidRPr="00382917">
        <w:t>him</w:t>
      </w:r>
      <w:r w:rsidR="00EE4FC3">
        <w:t xml:space="preserve"> </w:t>
      </w:r>
      <w:r w:rsidRPr="00382917">
        <w:t>to</w:t>
      </w:r>
      <w:r w:rsidR="00EE4FC3">
        <w:t xml:space="preserve"> </w:t>
      </w:r>
      <w:r w:rsidRPr="00382917">
        <w:t>the</w:t>
      </w:r>
      <w:r w:rsidR="00EE4FC3">
        <w:t xml:space="preserve"> </w:t>
      </w:r>
      <w:r w:rsidRPr="00382917">
        <w:t>capital,</w:t>
      </w:r>
      <w:r w:rsidR="00EE4FC3">
        <w:t xml:space="preserve"> </w:t>
      </w:r>
      <w:r w:rsidRPr="00382917">
        <w:t>nor</w:t>
      </w:r>
      <w:r w:rsidR="00EE4FC3">
        <w:t xml:space="preserve"> </w:t>
      </w:r>
      <w:r w:rsidRPr="00382917">
        <w:t>on</w:t>
      </w:r>
      <w:r w:rsidR="00EE4FC3">
        <w:t xml:space="preserve"> </w:t>
      </w:r>
      <w:r w:rsidRPr="00382917">
        <w:t>the</w:t>
      </w:r>
      <w:r w:rsidR="00EE4FC3">
        <w:t xml:space="preserve"> </w:t>
      </w:r>
      <w:r w:rsidRPr="00382917">
        <w:t>other</w:t>
      </w:r>
      <w:r w:rsidR="00EE4FC3">
        <w:t xml:space="preserve"> </w:t>
      </w:r>
      <w:r w:rsidRPr="00382917">
        <w:t>occasions</w:t>
      </w:r>
      <w:r w:rsidR="00EE4FC3">
        <w:t xml:space="preserve"> </w:t>
      </w:r>
      <w:r w:rsidRPr="00382917">
        <w:t>of</w:t>
      </w:r>
      <w:r w:rsidR="00EE4FC3">
        <w:t xml:space="preserve"> </w:t>
      </w:r>
      <w:r w:rsidRPr="00382917">
        <w:t>meeting</w:t>
      </w:r>
      <w:r w:rsidR="00EE4FC3">
        <w:t xml:space="preserve"> </w:t>
      </w:r>
      <w:r w:rsidR="00F04416" w:rsidRPr="00382917">
        <w:t>…</w:t>
      </w:r>
      <w:r w:rsidR="00EE4FC3">
        <w:t xml:space="preserve"> </w:t>
      </w:r>
      <w:r w:rsidRPr="00382917">
        <w:t>he</w:t>
      </w:r>
      <w:r w:rsidR="00EE4FC3">
        <w:t xml:space="preserve"> </w:t>
      </w:r>
      <w:r w:rsidRPr="00382917">
        <w:t>said</w:t>
      </w:r>
      <w:r w:rsidR="00EE4FC3">
        <w:t xml:space="preserve"> </w:t>
      </w:r>
      <w:r w:rsidRPr="00382917">
        <w:t>several</w:t>
      </w:r>
      <w:r w:rsidR="00EE4FC3">
        <w:t xml:space="preserve"> </w:t>
      </w:r>
      <w:r w:rsidRPr="00382917">
        <w:t>times</w:t>
      </w:r>
      <w:r w:rsidR="00EE4FC3">
        <w:t xml:space="preserve"> </w:t>
      </w:r>
      <w:r w:rsidRPr="00382917">
        <w:t>during</w:t>
      </w:r>
      <w:r w:rsidR="00EE4FC3">
        <w:t xml:space="preserve"> </w:t>
      </w:r>
      <w:r w:rsidRPr="00382917">
        <w:t>the</w:t>
      </w:r>
      <w:r w:rsidR="00EE4FC3">
        <w:t xml:space="preserve"> </w:t>
      </w:r>
      <w:r w:rsidRPr="00382917">
        <w:t>course</w:t>
      </w:r>
      <w:r w:rsidR="00EE4FC3">
        <w:t xml:space="preserve"> </w:t>
      </w:r>
      <w:r w:rsidRPr="00382917">
        <w:t>of</w:t>
      </w:r>
      <w:r w:rsidR="00EE4FC3">
        <w:t xml:space="preserve"> </w:t>
      </w:r>
      <w:r w:rsidRPr="00382917">
        <w:t>conversation</w:t>
      </w:r>
      <w:r w:rsidR="00C03C91">
        <w:t>:</w:t>
      </w:r>
      <w:r w:rsidR="00EE4FC3">
        <w:t xml:space="preserve">  </w:t>
      </w:r>
      <w:r w:rsidR="009C713D" w:rsidRPr="00382917">
        <w:t>‘</w:t>
      </w:r>
      <w:r w:rsidRPr="00382917">
        <w:t>This</w:t>
      </w:r>
      <w:r w:rsidR="00EE4FC3">
        <w:t xml:space="preserve"> </w:t>
      </w:r>
      <w:r w:rsidRPr="00382917">
        <w:t>is</w:t>
      </w:r>
      <w:r w:rsidR="00EE4FC3">
        <w:t xml:space="preserve"> </w:t>
      </w:r>
      <w:r w:rsidRPr="00382917">
        <w:t>my</w:t>
      </w:r>
      <w:r w:rsidR="00EE4FC3">
        <w:t xml:space="preserve"> </w:t>
      </w:r>
      <w:r w:rsidRPr="00382917">
        <w:t>last</w:t>
      </w:r>
      <w:r w:rsidR="00EE4FC3">
        <w:t xml:space="preserve"> </w:t>
      </w:r>
      <w:r w:rsidRPr="00382917">
        <w:t>journey,</w:t>
      </w:r>
      <w:r w:rsidR="00EE4FC3">
        <w:t xml:space="preserve"> </w:t>
      </w:r>
      <w:r w:rsidRPr="00382917">
        <w:t>and</w:t>
      </w:r>
      <w:r w:rsidR="00EE4FC3">
        <w:t xml:space="preserve"> </w:t>
      </w:r>
      <w:r w:rsidRPr="00382917">
        <w:t>henceforth</w:t>
      </w:r>
      <w:r w:rsidR="00EE4FC3">
        <w:t xml:space="preserve"> </w:t>
      </w:r>
      <w:r w:rsidRPr="00382917">
        <w:t>you</w:t>
      </w:r>
      <w:r w:rsidR="00EE4FC3">
        <w:t xml:space="preserve"> </w:t>
      </w:r>
      <w:r w:rsidRPr="00382917">
        <w:t>will</w:t>
      </w:r>
      <w:r w:rsidR="00EE4FC3">
        <w:t xml:space="preserve"> </w:t>
      </w:r>
      <w:r w:rsidRPr="00382917">
        <w:t>see</w:t>
      </w:r>
      <w:r w:rsidR="00EE4FC3">
        <w:t xml:space="preserve"> </w:t>
      </w:r>
      <w:r w:rsidRPr="00382917">
        <w:t>me</w:t>
      </w:r>
      <w:r w:rsidR="00EE4FC3">
        <w:t xml:space="preserve"> </w:t>
      </w:r>
      <w:r w:rsidRPr="00382917">
        <w:t>no</w:t>
      </w:r>
      <w:r w:rsidR="00EE4FC3">
        <w:t xml:space="preserve"> </w:t>
      </w:r>
      <w:r w:rsidRPr="00382917">
        <w:t>more.</w:t>
      </w:r>
      <w:r w:rsidR="009C713D" w:rsidRPr="00382917">
        <w:t>’</w:t>
      </w:r>
      <w:r w:rsidR="00EE4FC3">
        <w:t xml:space="preserve"> </w:t>
      </w:r>
      <w:r w:rsidR="00F04416" w:rsidRPr="00382917">
        <w:t>…</w:t>
      </w:r>
      <w:r w:rsidR="00EE4FC3">
        <w:t xml:space="preserve"> </w:t>
      </w:r>
      <w:r w:rsidR="00082FC4">
        <w:t xml:space="preserve"> </w:t>
      </w:r>
      <w:r w:rsidRPr="00382917">
        <w:t>Sometimes</w:t>
      </w:r>
      <w:r w:rsidR="00EE4FC3">
        <w:t xml:space="preserve"> </w:t>
      </w:r>
      <w:r w:rsidRPr="00382917">
        <w:t>when</w:t>
      </w:r>
      <w:r w:rsidR="00EE4FC3">
        <w:t xml:space="preserve"> </w:t>
      </w:r>
      <w:r w:rsidRPr="00382917">
        <w:t>we</w:t>
      </w:r>
      <w:r w:rsidR="00EE4FC3">
        <w:t xml:space="preserve"> </w:t>
      </w:r>
      <w:r w:rsidRPr="00382917">
        <w:t>were</w:t>
      </w:r>
      <w:r w:rsidR="00EE4FC3">
        <w:t xml:space="preserve"> </w:t>
      </w:r>
      <w:r w:rsidRPr="00382917">
        <w:t>together</w:t>
      </w:r>
      <w:r w:rsidR="00EE4FC3">
        <w:t xml:space="preserve"> </w:t>
      </w:r>
      <w:r w:rsidRPr="00382917">
        <w:t>and</w:t>
      </w:r>
      <w:r w:rsidR="00EE4FC3">
        <w:t xml:space="preserve"> </w:t>
      </w:r>
      <w:r w:rsidRPr="00382917">
        <w:t>the</w:t>
      </w:r>
      <w:r w:rsidR="00EE4FC3">
        <w:t xml:space="preserve"> </w:t>
      </w:r>
      <w:r w:rsidRPr="00382917">
        <w:t>conversation</w:t>
      </w:r>
      <w:r w:rsidR="00EE4FC3">
        <w:t xml:space="preserve"> </w:t>
      </w:r>
      <w:r w:rsidRPr="00382917">
        <w:t>took</w:t>
      </w:r>
      <w:r w:rsidR="00EE4FC3">
        <w:t xml:space="preserve"> </w:t>
      </w:r>
      <w:r w:rsidRPr="00382917">
        <w:t>an</w:t>
      </w:r>
      <w:r w:rsidR="00EE4FC3">
        <w:t xml:space="preserve"> </w:t>
      </w:r>
      <w:r w:rsidRPr="00382917">
        <w:t>appropriate</w:t>
      </w:r>
      <w:r w:rsidR="00EE4FC3">
        <w:t xml:space="preserve"> </w:t>
      </w:r>
      <w:r w:rsidRPr="00382917">
        <w:t>turn,</w:t>
      </w:r>
      <w:r w:rsidR="00EE4FC3">
        <w:t xml:space="preserve"> </w:t>
      </w:r>
      <w:r w:rsidRPr="00382917">
        <w:t>he</w:t>
      </w:r>
      <w:r w:rsidR="00EE4FC3">
        <w:t xml:space="preserve"> </w:t>
      </w:r>
      <w:r w:rsidRPr="00382917">
        <w:t>would</w:t>
      </w:r>
      <w:r w:rsidR="00EE4FC3">
        <w:t xml:space="preserve"> </w:t>
      </w:r>
      <w:r w:rsidRPr="00382917">
        <w:t>remark</w:t>
      </w:r>
      <w:r w:rsidR="00C03C91">
        <w:t>:</w:t>
      </w:r>
      <w:r w:rsidR="00EE4FC3">
        <w:t xml:space="preserve">  </w:t>
      </w:r>
      <w:r w:rsidR="009C713D" w:rsidRPr="00382917">
        <w:t>‘</w:t>
      </w:r>
      <w:r w:rsidRPr="00382917">
        <w:t>I</w:t>
      </w:r>
      <w:r w:rsidR="00EE4FC3">
        <w:t xml:space="preserve"> </w:t>
      </w:r>
      <w:r w:rsidRPr="00382917">
        <w:t>swear</w:t>
      </w:r>
      <w:r w:rsidR="00EE4FC3">
        <w:t xml:space="preserve"> </w:t>
      </w:r>
      <w:r w:rsidRPr="00382917">
        <w:t>by</w:t>
      </w:r>
      <w:r w:rsidR="00EE4FC3">
        <w:t xml:space="preserve"> </w:t>
      </w:r>
      <w:r w:rsidRPr="00382917">
        <w:t>that</w:t>
      </w:r>
      <w:r w:rsidR="00EE4FC3">
        <w:t xml:space="preserve"> </w:t>
      </w:r>
      <w:r w:rsidRPr="00382917">
        <w:t>loved</w:t>
      </w:r>
      <w:r w:rsidR="00EE4FC3">
        <w:t xml:space="preserve"> </w:t>
      </w:r>
      <w:r w:rsidRPr="00382917">
        <w:t>One</w:t>
      </w:r>
      <w:r w:rsidR="00EE4FC3">
        <w:t xml:space="preserve"> </w:t>
      </w:r>
      <w:r w:rsidRPr="00382917">
        <w:t>in</w:t>
      </w:r>
      <w:r w:rsidR="00EE4FC3">
        <w:t xml:space="preserve"> </w:t>
      </w:r>
      <w:r w:rsidRPr="00382917">
        <w:t>the</w:t>
      </w:r>
      <w:r w:rsidR="00EE4FC3">
        <w:t xml:space="preserve"> </w:t>
      </w:r>
      <w:r w:rsidRPr="00382917">
        <w:t>grasp</w:t>
      </w:r>
      <w:r w:rsidR="00EE4FC3">
        <w:t xml:space="preserve"> </w:t>
      </w:r>
      <w:r w:rsidRPr="00382917">
        <w:t>of</w:t>
      </w:r>
      <w:r w:rsidR="00EE4FC3">
        <w:t xml:space="preserve"> </w:t>
      </w:r>
      <w:r w:rsidRPr="00382917">
        <w:t>Whose</w:t>
      </w:r>
      <w:r w:rsidR="00EE4FC3">
        <w:t xml:space="preserve"> </w:t>
      </w:r>
      <w:r w:rsidRPr="00382917">
        <w:t>power</w:t>
      </w:r>
      <w:r w:rsidR="00EE4FC3">
        <w:t xml:space="preserve"> </w:t>
      </w:r>
      <w:r w:rsidRPr="00382917">
        <w:t>my</w:t>
      </w:r>
      <w:r w:rsidR="00EE4FC3">
        <w:t xml:space="preserve"> </w:t>
      </w:r>
      <w:r w:rsidRPr="00382917">
        <w:t>soul</w:t>
      </w:r>
      <w:r w:rsidR="00EE4FC3">
        <w:t xml:space="preserve"> </w:t>
      </w:r>
      <w:r w:rsidRPr="00382917">
        <w:t>lies,</w:t>
      </w:r>
      <w:r w:rsidR="00EE4FC3">
        <w:t xml:space="preserve"> </w:t>
      </w:r>
      <w:r w:rsidRPr="00382917">
        <w:t>that</w:t>
      </w:r>
      <w:r w:rsidR="00EE4FC3">
        <w:t xml:space="preserve"> </w:t>
      </w:r>
      <w:r w:rsidRPr="00382917">
        <w:t>I</w:t>
      </w:r>
      <w:r w:rsidR="00EE4FC3">
        <w:t xml:space="preserve"> </w:t>
      </w:r>
      <w:r w:rsidRPr="00382917">
        <w:t>know</w:t>
      </w:r>
      <w:r w:rsidR="00EE4FC3">
        <w:t xml:space="preserve"> </w:t>
      </w:r>
      <w:r w:rsidRPr="00382917">
        <w:t>and</w:t>
      </w:r>
      <w:r w:rsidR="00EE4FC3">
        <w:t xml:space="preserve"> </w:t>
      </w:r>
      <w:r w:rsidRPr="00382917">
        <w:t>could</w:t>
      </w:r>
      <w:r w:rsidR="00EE4FC3">
        <w:t xml:space="preserve"> </w:t>
      </w:r>
      <w:r w:rsidRPr="00382917">
        <w:t>tell</w:t>
      </w:r>
      <w:r w:rsidR="00EE4FC3">
        <w:t xml:space="preserve"> </w:t>
      </w:r>
      <w:r w:rsidRPr="00382917">
        <w:t>where</w:t>
      </w:r>
      <w:r w:rsidR="00EE4FC3">
        <w:t xml:space="preserve"> </w:t>
      </w:r>
      <w:r w:rsidRPr="00382917">
        <w:t>and</w:t>
      </w:r>
      <w:r w:rsidR="00EE4FC3">
        <w:t xml:space="preserve"> </w:t>
      </w:r>
      <w:r w:rsidRPr="00382917">
        <w:t>how</w:t>
      </w:r>
      <w:r w:rsidR="00EE4FC3">
        <w:t xml:space="preserve"> </w:t>
      </w:r>
      <w:r w:rsidRPr="00382917">
        <w:t>I</w:t>
      </w:r>
      <w:r w:rsidR="00EE4FC3">
        <w:t xml:space="preserve"> </w:t>
      </w:r>
      <w:r w:rsidRPr="00382917">
        <w:t>shall</w:t>
      </w:r>
      <w:r w:rsidR="00EE4FC3">
        <w:t xml:space="preserve"> </w:t>
      </w:r>
      <w:r w:rsidRPr="00382917">
        <w:t>be</w:t>
      </w:r>
      <w:r w:rsidR="00EE4FC3">
        <w:t xml:space="preserve"> </w:t>
      </w:r>
      <w:r w:rsidRPr="00382917">
        <w:t>slain,</w:t>
      </w:r>
      <w:r w:rsidR="00EE4FC3">
        <w:t xml:space="preserve"> </w:t>
      </w:r>
      <w:r w:rsidRPr="00382917">
        <w:t>and</w:t>
      </w:r>
      <w:r w:rsidR="00EE4FC3">
        <w:t xml:space="preserve"> </w:t>
      </w:r>
      <w:r w:rsidRPr="00382917">
        <w:t>who</w:t>
      </w:r>
      <w:r w:rsidR="00EE4FC3">
        <w:t xml:space="preserve"> </w:t>
      </w:r>
      <w:r w:rsidRPr="00382917">
        <w:t>it</w:t>
      </w:r>
      <w:r w:rsidR="00EE4FC3">
        <w:t xml:space="preserve"> </w:t>
      </w:r>
      <w:r w:rsidRPr="00382917">
        <w:t>is</w:t>
      </w:r>
      <w:r w:rsidR="00EE4FC3">
        <w:t xml:space="preserve"> </w:t>
      </w:r>
      <w:r w:rsidRPr="00382917">
        <w:t>that</w:t>
      </w:r>
      <w:r w:rsidR="00EE4FC3">
        <w:t xml:space="preserve"> </w:t>
      </w:r>
      <w:r w:rsidRPr="00382917">
        <w:t>shall</w:t>
      </w:r>
      <w:r w:rsidR="00EE4FC3">
        <w:t xml:space="preserve"> </w:t>
      </w:r>
      <w:r w:rsidRPr="00382917">
        <w:t>slay</w:t>
      </w:r>
      <w:r w:rsidR="00EE4FC3">
        <w:t xml:space="preserve"> </w:t>
      </w:r>
      <w:r w:rsidRPr="00382917">
        <w:t>me</w:t>
      </w:r>
      <w:r w:rsidR="0040329F">
        <w:t>.</w:t>
      </w:r>
      <w:r w:rsidR="00EE4FC3">
        <w:t xml:space="preserve">  </w:t>
      </w:r>
      <w:r w:rsidRPr="00382917">
        <w:t>And</w:t>
      </w:r>
      <w:r w:rsidR="00EE4FC3">
        <w:t xml:space="preserve"> </w:t>
      </w:r>
      <w:r w:rsidRPr="00382917">
        <w:t>how</w:t>
      </w:r>
      <w:r w:rsidR="00EE4FC3">
        <w:t xml:space="preserve"> </w:t>
      </w:r>
      <w:r w:rsidRPr="00382917">
        <w:t>glorious</w:t>
      </w:r>
      <w:r w:rsidR="00EE4FC3">
        <w:t xml:space="preserve"> </w:t>
      </w:r>
      <w:r w:rsidRPr="00382917">
        <w:t>and</w:t>
      </w:r>
      <w:r w:rsidR="00EE4FC3">
        <w:t xml:space="preserve"> </w:t>
      </w:r>
      <w:r w:rsidRPr="00382917">
        <w:t>blessed</w:t>
      </w:r>
      <w:r w:rsidR="00EE4FC3">
        <w:t xml:space="preserve"> </w:t>
      </w:r>
      <w:r w:rsidRPr="00382917">
        <w:t>a</w:t>
      </w:r>
      <w:r w:rsidR="00EE4FC3">
        <w:t xml:space="preserve"> </w:t>
      </w:r>
      <w:r w:rsidRPr="00382917">
        <w:t>thing</w:t>
      </w:r>
      <w:r w:rsidR="00EE4FC3">
        <w:t xml:space="preserve"> </w:t>
      </w:r>
      <w:r w:rsidRPr="00382917">
        <w:t>it</w:t>
      </w:r>
    </w:p>
    <w:p w:rsidR="007E595F" w:rsidRPr="00382917" w:rsidRDefault="007E595F">
      <w:pPr>
        <w:widowControl/>
        <w:kinsoku/>
        <w:overflowPunct/>
        <w:textAlignment w:val="auto"/>
      </w:pPr>
      <w:r w:rsidRPr="00382917">
        <w:br w:type="page"/>
      </w:r>
    </w:p>
    <w:p w:rsidR="00E13D49" w:rsidRPr="00382917" w:rsidRDefault="007E595F" w:rsidP="00082FC4">
      <w:pPr>
        <w:pStyle w:val="Textcts"/>
      </w:pPr>
      <w:proofErr w:type="gramStart"/>
      <w:r w:rsidRPr="00382917">
        <w:t>is</w:t>
      </w:r>
      <w:proofErr w:type="gramEnd"/>
      <w:r w:rsidR="00EE4FC3">
        <w:t xml:space="preserve"> </w:t>
      </w:r>
      <w:r w:rsidRPr="00382917">
        <w:t>that</w:t>
      </w:r>
      <w:r w:rsidR="00EE4FC3">
        <w:t xml:space="preserve"> </w:t>
      </w:r>
      <w:r w:rsidRPr="00382917">
        <w:t>my</w:t>
      </w:r>
      <w:r w:rsidR="00EE4FC3">
        <w:t xml:space="preserve"> </w:t>
      </w:r>
      <w:r w:rsidRPr="00382917">
        <w:t>blood</w:t>
      </w:r>
      <w:r w:rsidR="00EE4FC3">
        <w:t xml:space="preserve"> </w:t>
      </w:r>
      <w:r w:rsidRPr="00382917">
        <w:t>shall</w:t>
      </w:r>
      <w:r w:rsidR="00EE4FC3">
        <w:t xml:space="preserve"> </w:t>
      </w:r>
      <w:r w:rsidRPr="00382917">
        <w:t>be</w:t>
      </w:r>
      <w:r w:rsidR="00EE4FC3">
        <w:t xml:space="preserve"> </w:t>
      </w:r>
      <w:r w:rsidRPr="00382917">
        <w:t>shed</w:t>
      </w:r>
      <w:r w:rsidR="00EE4FC3">
        <w:t xml:space="preserve"> </w:t>
      </w:r>
      <w:r w:rsidRPr="00382917">
        <w:t>for</w:t>
      </w:r>
      <w:r w:rsidR="00EE4FC3">
        <w:t xml:space="preserve"> </w:t>
      </w:r>
      <w:r w:rsidRPr="00382917">
        <w:t>the</w:t>
      </w:r>
      <w:r w:rsidR="00EE4FC3">
        <w:t xml:space="preserve"> </w:t>
      </w:r>
      <w:r w:rsidRPr="00382917">
        <w:t>uplifting</w:t>
      </w:r>
      <w:r w:rsidR="00EE4FC3">
        <w:t xml:space="preserve"> </w:t>
      </w:r>
      <w:r w:rsidRPr="00382917">
        <w:t>of</w:t>
      </w:r>
      <w:r w:rsidR="00EE4FC3">
        <w:t xml:space="preserve"> </w:t>
      </w:r>
      <w:r w:rsidRPr="00382917">
        <w:t>the</w:t>
      </w:r>
      <w:r w:rsidR="00EE4FC3">
        <w:t xml:space="preserve"> </w:t>
      </w:r>
      <w:r w:rsidRPr="00382917">
        <w:t>Word</w:t>
      </w:r>
      <w:r w:rsidR="00EE4FC3">
        <w:t xml:space="preserve"> </w:t>
      </w:r>
      <w:r w:rsidRPr="00382917">
        <w:t>of</w:t>
      </w:r>
      <w:r w:rsidR="00EE4FC3">
        <w:t xml:space="preserve"> </w:t>
      </w:r>
      <w:r w:rsidRPr="00382917">
        <w:t>Truth!</w:t>
      </w:r>
      <w:r w:rsidR="009C713D" w:rsidRPr="00382917">
        <w:t>’”</w:t>
      </w:r>
      <w:r w:rsidR="00082FC4">
        <w:rPr>
          <w:rStyle w:val="FootnoteReference"/>
        </w:rPr>
        <w:footnoteReference w:id="166"/>
      </w:r>
    </w:p>
    <w:p w:rsidR="007E595F" w:rsidRPr="00382917" w:rsidRDefault="007E595F" w:rsidP="007E595F">
      <w:pPr>
        <w:pStyle w:val="Text"/>
      </w:pPr>
      <w:r w:rsidRPr="00382917">
        <w:t>Following</w:t>
      </w:r>
      <w:r w:rsidR="00EE4FC3">
        <w:t xml:space="preserve"> </w:t>
      </w:r>
      <w:r w:rsidRPr="00382917">
        <w:t>his</w:t>
      </w:r>
      <w:r w:rsidR="00EE4FC3">
        <w:t xml:space="preserve"> </w:t>
      </w:r>
      <w:r w:rsidRPr="00382917">
        <w:t>last</w:t>
      </w:r>
      <w:r w:rsidR="00EE4FC3">
        <w:t xml:space="preserve"> </w:t>
      </w:r>
      <w:r w:rsidRPr="00382917">
        <w:t>visit</w:t>
      </w:r>
      <w:r w:rsidR="00EE4FC3">
        <w:t xml:space="preserve"> </w:t>
      </w:r>
      <w:r w:rsidRPr="00382917">
        <w:t>to</w:t>
      </w:r>
      <w:r w:rsidR="00EE4FC3">
        <w:t xml:space="preserve"> </w:t>
      </w:r>
      <w:r w:rsidRPr="00382917">
        <w:t>Ṭihrán,</w:t>
      </w:r>
      <w:r w:rsidR="00EE4FC3">
        <w:t xml:space="preserve"> </w:t>
      </w:r>
      <w:r w:rsidRPr="00382917">
        <w:t>Vaḥíd</w:t>
      </w:r>
      <w:r w:rsidR="00EE4FC3">
        <w:t xml:space="preserve"> </w:t>
      </w:r>
      <w:r w:rsidRPr="00382917">
        <w:t>journeyed</w:t>
      </w:r>
      <w:r w:rsidR="00EE4FC3">
        <w:t xml:space="preserve"> </w:t>
      </w:r>
      <w:r w:rsidRPr="00382917">
        <w:t>to</w:t>
      </w:r>
      <w:r w:rsidR="00EE4FC3">
        <w:t xml:space="preserve"> </w:t>
      </w:r>
      <w:r w:rsidRPr="00382917">
        <w:t>Ṭáhirih</w:t>
      </w:r>
      <w:r w:rsidR="009C713D" w:rsidRPr="00382917">
        <w:t>’</w:t>
      </w:r>
      <w:r w:rsidRPr="00382917">
        <w:t>s</w:t>
      </w:r>
      <w:r w:rsidR="00EE4FC3">
        <w:t xml:space="preserve"> </w:t>
      </w:r>
      <w:r w:rsidRPr="00382917">
        <w:t>native</w:t>
      </w:r>
      <w:r w:rsidR="00EE4FC3">
        <w:t xml:space="preserve"> </w:t>
      </w:r>
      <w:r w:rsidRPr="00382917">
        <w:t>town</w:t>
      </w:r>
      <w:r w:rsidR="00EE4FC3">
        <w:t xml:space="preserve"> </w:t>
      </w:r>
      <w:r w:rsidRPr="00382917">
        <w:t>of</w:t>
      </w:r>
      <w:r w:rsidR="00EE4FC3">
        <w:t xml:space="preserve"> </w:t>
      </w:r>
      <w:r w:rsidRPr="00382917">
        <w:t>Qazvín,</w:t>
      </w:r>
      <w:r w:rsidR="00EE4FC3">
        <w:t xml:space="preserve"> </w:t>
      </w:r>
      <w:r w:rsidRPr="00382917">
        <w:t>and</w:t>
      </w:r>
      <w:r w:rsidR="00EE4FC3">
        <w:t xml:space="preserve"> </w:t>
      </w:r>
      <w:r w:rsidRPr="00382917">
        <w:t>from</w:t>
      </w:r>
      <w:r w:rsidR="00EE4FC3">
        <w:t xml:space="preserve"> </w:t>
      </w:r>
      <w:r w:rsidRPr="00382917">
        <w:t>there</w:t>
      </w:r>
      <w:r w:rsidR="00EE4FC3">
        <w:t xml:space="preserve"> </w:t>
      </w:r>
      <w:r w:rsidRPr="00382917">
        <w:t>he</w:t>
      </w:r>
      <w:r w:rsidR="00EE4FC3">
        <w:t xml:space="preserve"> </w:t>
      </w:r>
      <w:r w:rsidRPr="00382917">
        <w:t>went</w:t>
      </w:r>
      <w:r w:rsidR="00EE4FC3">
        <w:t xml:space="preserve"> </w:t>
      </w:r>
      <w:r w:rsidRPr="00382917">
        <w:t>to</w:t>
      </w:r>
      <w:r w:rsidR="00EE4FC3">
        <w:t xml:space="preserve"> </w:t>
      </w:r>
      <w:r w:rsidRPr="00382917">
        <w:t>Qum,</w:t>
      </w:r>
      <w:r w:rsidR="00EE4FC3">
        <w:t xml:space="preserve"> </w:t>
      </w:r>
      <w:r w:rsidRPr="00382917">
        <w:t>Káshán,</w:t>
      </w:r>
      <w:r w:rsidR="00EE4FC3">
        <w:t xml:space="preserve"> </w:t>
      </w:r>
      <w:r w:rsidRPr="00382917">
        <w:t>Iṣfahán,</w:t>
      </w:r>
      <w:r w:rsidR="00EE4FC3">
        <w:t xml:space="preserve"> </w:t>
      </w:r>
      <w:r w:rsidRPr="00382917">
        <w:t>Ardistán,</w:t>
      </w:r>
      <w:r w:rsidR="00EE4FC3">
        <w:t xml:space="preserve"> </w:t>
      </w:r>
      <w:r w:rsidRPr="00382917">
        <w:t>and</w:t>
      </w:r>
      <w:r w:rsidR="00EE4FC3">
        <w:t xml:space="preserve"> </w:t>
      </w:r>
      <w:r w:rsidRPr="00382917">
        <w:t>Ardikán</w:t>
      </w:r>
      <w:r w:rsidR="0040329F">
        <w:t>.</w:t>
      </w:r>
      <w:r w:rsidR="00EE4FC3">
        <w:t xml:space="preserve">  </w:t>
      </w:r>
      <w:r w:rsidRPr="00382917">
        <w:t>In</w:t>
      </w:r>
      <w:r w:rsidR="00EE4FC3">
        <w:t xml:space="preserve"> </w:t>
      </w:r>
      <w:r w:rsidRPr="00382917">
        <w:t>each</w:t>
      </w:r>
      <w:r w:rsidR="00EE4FC3">
        <w:t xml:space="preserve"> </w:t>
      </w:r>
      <w:r w:rsidRPr="00382917">
        <w:t>of</w:t>
      </w:r>
      <w:r w:rsidR="00EE4FC3">
        <w:t xml:space="preserve"> </w:t>
      </w:r>
      <w:r w:rsidRPr="00382917">
        <w:t>these</w:t>
      </w:r>
      <w:r w:rsidR="00EE4FC3">
        <w:t xml:space="preserve"> </w:t>
      </w:r>
      <w:r w:rsidRPr="00382917">
        <w:t>places</w:t>
      </w:r>
      <w:r w:rsidR="00EE4FC3">
        <w:t xml:space="preserve"> </w:t>
      </w:r>
      <w:r w:rsidRPr="00382917">
        <w:t>he</w:t>
      </w:r>
      <w:r w:rsidR="00EE4FC3">
        <w:t xml:space="preserve"> </w:t>
      </w:r>
      <w:r w:rsidRPr="00382917">
        <w:t>met</w:t>
      </w:r>
      <w:r w:rsidR="00EE4FC3">
        <w:t xml:space="preserve"> </w:t>
      </w:r>
      <w:r w:rsidRPr="00382917">
        <w:t>his</w:t>
      </w:r>
      <w:r w:rsidR="00EE4FC3">
        <w:t xml:space="preserve"> </w:t>
      </w:r>
      <w:r w:rsidRPr="00382917">
        <w:t>fellow</w:t>
      </w:r>
      <w:r w:rsidR="00EE4FC3">
        <w:t xml:space="preserve"> </w:t>
      </w:r>
      <w:r w:rsidRPr="00382917">
        <w:t>believers</w:t>
      </w:r>
      <w:r w:rsidR="00EE4FC3">
        <w:t xml:space="preserve"> </w:t>
      </w:r>
      <w:r w:rsidRPr="00382917">
        <w:t>and</w:t>
      </w:r>
      <w:r w:rsidR="00EE4FC3">
        <w:t xml:space="preserve"> </w:t>
      </w:r>
      <w:r w:rsidRPr="00382917">
        <w:t>was</w:t>
      </w:r>
      <w:r w:rsidR="00EE4FC3">
        <w:t xml:space="preserve"> </w:t>
      </w:r>
      <w:r w:rsidRPr="00382917">
        <w:t>able</w:t>
      </w:r>
      <w:r w:rsidR="00EE4FC3">
        <w:t xml:space="preserve"> </w:t>
      </w:r>
      <w:r w:rsidRPr="00382917">
        <w:t>to</w:t>
      </w:r>
      <w:r w:rsidR="00EE4FC3">
        <w:t xml:space="preserve"> </w:t>
      </w:r>
      <w:r w:rsidRPr="00382917">
        <w:t>stimulate</w:t>
      </w:r>
      <w:r w:rsidR="00EE4FC3">
        <w:t xml:space="preserve"> </w:t>
      </w:r>
      <w:r w:rsidRPr="00382917">
        <w:t>their</w:t>
      </w:r>
      <w:r w:rsidR="00EE4FC3">
        <w:t xml:space="preserve"> </w:t>
      </w:r>
      <w:r w:rsidRPr="00382917">
        <w:t>enthusiasm</w:t>
      </w:r>
      <w:r w:rsidR="00EE4FC3">
        <w:t xml:space="preserve"> </w:t>
      </w:r>
      <w:r w:rsidRPr="00382917">
        <w:t>and</w:t>
      </w:r>
      <w:r w:rsidR="00EE4FC3">
        <w:t xml:space="preserve"> </w:t>
      </w:r>
      <w:r w:rsidRPr="00382917">
        <w:t>reinforce</w:t>
      </w:r>
      <w:r w:rsidR="00EE4FC3">
        <w:t xml:space="preserve"> </w:t>
      </w:r>
      <w:r w:rsidRPr="00382917">
        <w:t>their</w:t>
      </w:r>
      <w:r w:rsidR="00EE4FC3">
        <w:t xml:space="preserve"> </w:t>
      </w:r>
      <w:r w:rsidRPr="00382917">
        <w:t>efforts.</w:t>
      </w:r>
    </w:p>
    <w:p w:rsidR="007E595F" w:rsidRPr="00382917" w:rsidRDefault="007E595F" w:rsidP="007E595F">
      <w:pPr>
        <w:pStyle w:val="Text"/>
      </w:pPr>
      <w:r w:rsidRPr="00382917">
        <w:t>In</w:t>
      </w:r>
      <w:r w:rsidR="00EE4FC3">
        <w:t xml:space="preserve"> </w:t>
      </w:r>
      <w:r w:rsidRPr="00382917">
        <w:t>every</w:t>
      </w:r>
      <w:r w:rsidR="00EE4FC3">
        <w:t xml:space="preserve"> </w:t>
      </w:r>
      <w:r w:rsidRPr="00382917">
        <w:t>city</w:t>
      </w:r>
      <w:r w:rsidR="00EE4FC3">
        <w:t xml:space="preserve"> </w:t>
      </w:r>
      <w:r w:rsidRPr="00382917">
        <w:t>he</w:t>
      </w:r>
      <w:r w:rsidR="00EE4FC3">
        <w:t xml:space="preserve"> </w:t>
      </w:r>
      <w:r w:rsidRPr="00382917">
        <w:t>would</w:t>
      </w:r>
      <w:r w:rsidR="00EE4FC3">
        <w:t xml:space="preserve"> </w:t>
      </w:r>
      <w:r w:rsidRPr="00382917">
        <w:t>explain</w:t>
      </w:r>
      <w:r w:rsidR="00EE4FC3">
        <w:t xml:space="preserve"> </w:t>
      </w:r>
      <w:r w:rsidRPr="00382917">
        <w:t>the</w:t>
      </w:r>
      <w:r w:rsidR="00EE4FC3">
        <w:t xml:space="preserve"> </w:t>
      </w:r>
      <w:r w:rsidRPr="00382917">
        <w:t>fundamental</w:t>
      </w:r>
      <w:r w:rsidR="00EE4FC3">
        <w:t xml:space="preserve"> </w:t>
      </w:r>
      <w:r w:rsidRPr="00382917">
        <w:t>teachings</w:t>
      </w:r>
      <w:r w:rsidR="00EE4FC3">
        <w:t xml:space="preserve"> </w:t>
      </w:r>
      <w:r w:rsidRPr="00382917">
        <w:t>of</w:t>
      </w:r>
      <w:r w:rsidR="00EE4FC3">
        <w:t xml:space="preserve"> </w:t>
      </w:r>
      <w:r w:rsidRPr="00382917">
        <w:t>the</w:t>
      </w:r>
      <w:r w:rsidR="00EE4FC3">
        <w:t xml:space="preserve"> </w:t>
      </w:r>
      <w:r w:rsidRPr="00382917">
        <w:t>Báb</w:t>
      </w:r>
      <w:r w:rsidR="00EE4FC3">
        <w:t xml:space="preserve"> </w:t>
      </w:r>
      <w:r w:rsidRPr="00382917">
        <w:t>with</w:t>
      </w:r>
      <w:r w:rsidR="00EE4FC3">
        <w:t xml:space="preserve"> </w:t>
      </w:r>
      <w:r w:rsidRPr="00382917">
        <w:t>zest</w:t>
      </w:r>
      <w:r w:rsidR="00EE4FC3">
        <w:t xml:space="preserve"> </w:t>
      </w:r>
      <w:r w:rsidRPr="00382917">
        <w:t>and</w:t>
      </w:r>
      <w:r w:rsidR="00EE4FC3">
        <w:t xml:space="preserve"> </w:t>
      </w:r>
      <w:r w:rsidRPr="00382917">
        <w:t>fearlessness</w:t>
      </w:r>
      <w:r w:rsidR="0040329F">
        <w:t>.</w:t>
      </w:r>
      <w:r w:rsidR="00EE4FC3">
        <w:t xml:space="preserve">  </w:t>
      </w:r>
      <w:r w:rsidRPr="00382917">
        <w:t>He</w:t>
      </w:r>
      <w:r w:rsidR="00EE4FC3">
        <w:t xml:space="preserve"> </w:t>
      </w:r>
      <w:r w:rsidRPr="00382917">
        <w:t>succeeded</w:t>
      </w:r>
      <w:r w:rsidR="00EE4FC3">
        <w:t xml:space="preserve"> </w:t>
      </w:r>
      <w:r w:rsidRPr="00382917">
        <w:t>in</w:t>
      </w:r>
      <w:r w:rsidR="00EE4FC3">
        <w:t xml:space="preserve"> </w:t>
      </w:r>
      <w:r w:rsidRPr="00382917">
        <w:t>winning</w:t>
      </w:r>
      <w:r w:rsidR="00EE4FC3">
        <w:t xml:space="preserve"> </w:t>
      </w:r>
      <w:r w:rsidRPr="00382917">
        <w:t>a</w:t>
      </w:r>
      <w:r w:rsidR="00EE4FC3">
        <w:t xml:space="preserve"> </w:t>
      </w:r>
      <w:r w:rsidRPr="00382917">
        <w:t>considerable</w:t>
      </w:r>
      <w:r w:rsidR="00EE4FC3">
        <w:t xml:space="preserve"> </w:t>
      </w:r>
      <w:r w:rsidRPr="00382917">
        <w:t>number</w:t>
      </w:r>
      <w:r w:rsidR="00EE4FC3">
        <w:t xml:space="preserve"> </w:t>
      </w:r>
      <w:r w:rsidRPr="00382917">
        <w:t>of</w:t>
      </w:r>
      <w:r w:rsidR="00EE4FC3">
        <w:t xml:space="preserve"> </w:t>
      </w:r>
      <w:r w:rsidRPr="00382917">
        <w:t>the</w:t>
      </w:r>
      <w:r w:rsidR="00EE4FC3">
        <w:t xml:space="preserve"> </w:t>
      </w:r>
      <w:r w:rsidRPr="00382917">
        <w:t>most</w:t>
      </w:r>
      <w:r w:rsidR="00EE4FC3">
        <w:t xml:space="preserve"> </w:t>
      </w:r>
      <w:r w:rsidRPr="00382917">
        <w:t>able</w:t>
      </w:r>
      <w:r w:rsidR="00EE4FC3">
        <w:t xml:space="preserve"> </w:t>
      </w:r>
      <w:r w:rsidRPr="00382917">
        <w:t>and</w:t>
      </w:r>
      <w:r w:rsidR="00EE4FC3">
        <w:t xml:space="preserve"> </w:t>
      </w:r>
      <w:r w:rsidRPr="00382917">
        <w:t>notable</w:t>
      </w:r>
      <w:r w:rsidR="00EE4FC3">
        <w:t xml:space="preserve"> </w:t>
      </w:r>
      <w:r w:rsidRPr="00382917">
        <w:t>citizens</w:t>
      </w:r>
      <w:r w:rsidR="00EE4FC3">
        <w:t xml:space="preserve"> </w:t>
      </w:r>
      <w:r w:rsidRPr="00382917">
        <w:t>to</w:t>
      </w:r>
      <w:r w:rsidR="00EE4FC3">
        <w:t xml:space="preserve"> </w:t>
      </w:r>
      <w:r w:rsidRPr="00382917">
        <w:t>His</w:t>
      </w:r>
      <w:r w:rsidR="00EE4FC3">
        <w:t xml:space="preserve"> </w:t>
      </w:r>
      <w:r w:rsidRPr="00382917">
        <w:t>Cause</w:t>
      </w:r>
      <w:r w:rsidR="0040329F">
        <w:t>.</w:t>
      </w:r>
      <w:r w:rsidR="00EE4FC3">
        <w:t xml:space="preserve">  </w:t>
      </w:r>
      <w:r w:rsidRPr="00382917">
        <w:t>Thus,</w:t>
      </w:r>
      <w:r w:rsidR="00EE4FC3">
        <w:t xml:space="preserve"> </w:t>
      </w:r>
      <w:r w:rsidRPr="00382917">
        <w:t>Vaḥíd</w:t>
      </w:r>
      <w:r w:rsidR="00EE4FC3">
        <w:t xml:space="preserve"> </w:t>
      </w:r>
      <w:r w:rsidRPr="00382917">
        <w:t>became</w:t>
      </w:r>
      <w:r w:rsidR="00EE4FC3">
        <w:t xml:space="preserve"> </w:t>
      </w:r>
      <w:r w:rsidRPr="00382917">
        <w:t>an</w:t>
      </w:r>
      <w:r w:rsidR="00EE4FC3">
        <w:t xml:space="preserve"> </w:t>
      </w:r>
      <w:r w:rsidRPr="00382917">
        <w:t>important</w:t>
      </w:r>
      <w:r w:rsidR="00EE4FC3">
        <w:t xml:space="preserve"> </w:t>
      </w:r>
      <w:r w:rsidRPr="00382917">
        <w:t>target</w:t>
      </w:r>
      <w:r w:rsidR="00EE4FC3">
        <w:t xml:space="preserve"> </w:t>
      </w:r>
      <w:r w:rsidRPr="00382917">
        <w:t>for</w:t>
      </w:r>
      <w:r w:rsidR="00EE4FC3">
        <w:t xml:space="preserve"> </w:t>
      </w:r>
      <w:r w:rsidRPr="00382917">
        <w:t>the</w:t>
      </w:r>
      <w:r w:rsidR="00EE4FC3">
        <w:t xml:space="preserve"> </w:t>
      </w:r>
      <w:r w:rsidRPr="00382917">
        <w:t>Prime</w:t>
      </w:r>
      <w:r w:rsidR="00EE4FC3">
        <w:t xml:space="preserve"> </w:t>
      </w:r>
      <w:r w:rsidRPr="00382917">
        <w:t>Minister</w:t>
      </w:r>
      <w:r w:rsidR="00EE4FC3">
        <w:t xml:space="preserve"> </w:t>
      </w:r>
      <w:r w:rsidRPr="00382917">
        <w:t>and</w:t>
      </w:r>
      <w:r w:rsidR="00EE4FC3">
        <w:t xml:space="preserve"> </w:t>
      </w:r>
      <w:r w:rsidRPr="00382917">
        <w:t>all</w:t>
      </w:r>
      <w:r w:rsidR="00EE4FC3">
        <w:t xml:space="preserve"> </w:t>
      </w:r>
      <w:r w:rsidRPr="00382917">
        <w:t>other</w:t>
      </w:r>
      <w:r w:rsidR="00EE4FC3">
        <w:t xml:space="preserve"> </w:t>
      </w:r>
      <w:r w:rsidRPr="00382917">
        <w:t>enemies</w:t>
      </w:r>
      <w:r w:rsidR="00EE4FC3">
        <w:t xml:space="preserve"> </w:t>
      </w:r>
      <w:r w:rsidRPr="00382917">
        <w:t>of</w:t>
      </w:r>
      <w:r w:rsidR="00EE4FC3">
        <w:t xml:space="preserve"> </w:t>
      </w:r>
      <w:r w:rsidRPr="00382917">
        <w:t>the</w:t>
      </w:r>
      <w:r w:rsidR="00EE4FC3">
        <w:t xml:space="preserve"> </w:t>
      </w:r>
      <w:r w:rsidRPr="00382917">
        <w:t>Báb.</w:t>
      </w:r>
    </w:p>
    <w:p w:rsidR="007E595F" w:rsidRPr="00382917" w:rsidRDefault="007E595F" w:rsidP="007E595F">
      <w:pPr>
        <w:pStyle w:val="Text"/>
      </w:pPr>
      <w:r w:rsidRPr="00382917">
        <w:t>The</w:t>
      </w:r>
      <w:r w:rsidR="00EE4FC3">
        <w:t xml:space="preserve"> </w:t>
      </w:r>
      <w:r w:rsidRPr="00382917">
        <w:t>story</w:t>
      </w:r>
      <w:r w:rsidR="00EE4FC3">
        <w:t xml:space="preserve"> </w:t>
      </w:r>
      <w:r w:rsidRPr="00382917">
        <w:t>of</w:t>
      </w:r>
      <w:r w:rsidR="00EE4FC3">
        <w:t xml:space="preserve"> </w:t>
      </w:r>
      <w:proofErr w:type="spellStart"/>
      <w:r w:rsidRPr="00382917">
        <w:t>Vaḥíd</w:t>
      </w:r>
      <w:r w:rsidR="009C713D" w:rsidRPr="00382917">
        <w:t>’</w:t>
      </w:r>
      <w:r w:rsidRPr="00382917">
        <w:t>s</w:t>
      </w:r>
      <w:proofErr w:type="spellEnd"/>
      <w:r w:rsidR="00EE4FC3">
        <w:t xml:space="preserve"> </w:t>
      </w:r>
      <w:r w:rsidRPr="00382917">
        <w:t>investigation</w:t>
      </w:r>
      <w:r w:rsidR="00EE4FC3">
        <w:t xml:space="preserve"> </w:t>
      </w:r>
      <w:r w:rsidRPr="00382917">
        <w:t>of</w:t>
      </w:r>
      <w:r w:rsidR="00EE4FC3">
        <w:t xml:space="preserve"> </w:t>
      </w:r>
      <w:r w:rsidRPr="00382917">
        <w:t>the</w:t>
      </w:r>
      <w:r w:rsidR="00EE4FC3">
        <w:t xml:space="preserve"> </w:t>
      </w:r>
      <w:r w:rsidRPr="00382917">
        <w:t>Báb,</w:t>
      </w:r>
      <w:r w:rsidR="00EE4FC3">
        <w:t xml:space="preserve"> </w:t>
      </w:r>
      <w:r w:rsidRPr="00382917">
        <w:t>undertaken</w:t>
      </w:r>
      <w:r w:rsidR="00EE4FC3">
        <w:t xml:space="preserve"> </w:t>
      </w:r>
      <w:r w:rsidRPr="00382917">
        <w:t>on</w:t>
      </w:r>
      <w:r w:rsidR="00EE4FC3">
        <w:t xml:space="preserve"> </w:t>
      </w:r>
      <w:r w:rsidRPr="00382917">
        <w:t>behalf</w:t>
      </w:r>
      <w:r w:rsidR="00EE4FC3">
        <w:t xml:space="preserve"> </w:t>
      </w:r>
      <w:r w:rsidRPr="00382917">
        <w:t>of</w:t>
      </w:r>
      <w:r w:rsidR="00EE4FC3">
        <w:t xml:space="preserve"> </w:t>
      </w:r>
      <w:r w:rsidRPr="00382917">
        <w:t>the</w:t>
      </w:r>
      <w:r w:rsidR="00EE4FC3">
        <w:t xml:space="preserve"> </w:t>
      </w:r>
      <w:r w:rsidRPr="00382917">
        <w:t>former</w:t>
      </w:r>
      <w:r w:rsidR="00EE4FC3">
        <w:t xml:space="preserve"> </w:t>
      </w:r>
      <w:r w:rsidRPr="00382917">
        <w:t>king</w:t>
      </w:r>
      <w:r w:rsidR="00EE4FC3">
        <w:t xml:space="preserve"> </w:t>
      </w:r>
      <w:r w:rsidRPr="00382917">
        <w:t>and</w:t>
      </w:r>
      <w:r w:rsidR="00EE4FC3">
        <w:t xml:space="preserve"> </w:t>
      </w:r>
      <w:r w:rsidRPr="00382917">
        <w:t>Prime</w:t>
      </w:r>
      <w:r w:rsidR="00EE4FC3">
        <w:t xml:space="preserve"> </w:t>
      </w:r>
      <w:r w:rsidRPr="00382917">
        <w:t>Minister,</w:t>
      </w:r>
      <w:r w:rsidR="00EE4FC3">
        <w:t xml:space="preserve"> </w:t>
      </w:r>
      <w:r w:rsidRPr="00382917">
        <w:t>was</w:t>
      </w:r>
      <w:r w:rsidR="00EE4FC3">
        <w:t xml:space="preserve"> </w:t>
      </w:r>
      <w:r w:rsidRPr="00382917">
        <w:t>well</w:t>
      </w:r>
      <w:r w:rsidR="00EE4FC3">
        <w:t xml:space="preserve"> </w:t>
      </w:r>
      <w:r w:rsidRPr="00382917">
        <w:t>known</w:t>
      </w:r>
      <w:r w:rsidR="00EE4FC3">
        <w:t xml:space="preserve"> </w:t>
      </w:r>
      <w:r w:rsidRPr="00382917">
        <w:t>to</w:t>
      </w:r>
      <w:r w:rsidR="00EE4FC3">
        <w:t xml:space="preserve"> </w:t>
      </w:r>
      <w:r w:rsidRPr="00382917">
        <w:t>the</w:t>
      </w:r>
      <w:r w:rsidR="00EE4FC3">
        <w:t xml:space="preserve"> </w:t>
      </w:r>
      <w:r w:rsidRPr="00382917">
        <w:t>people</w:t>
      </w:r>
      <w:r w:rsidR="0040329F">
        <w:t>.</w:t>
      </w:r>
      <w:r w:rsidR="00EE4FC3">
        <w:t xml:space="preserve">  </w:t>
      </w:r>
      <w:r w:rsidRPr="00382917">
        <w:t>That</w:t>
      </w:r>
      <w:r w:rsidR="00EE4FC3">
        <w:t xml:space="preserve"> </w:t>
      </w:r>
      <w:r w:rsidRPr="00382917">
        <w:t>these</w:t>
      </w:r>
      <w:r w:rsidR="00EE4FC3">
        <w:t xml:space="preserve"> </w:t>
      </w:r>
      <w:r w:rsidRPr="00382917">
        <w:t>two</w:t>
      </w:r>
      <w:r w:rsidR="00EE4FC3">
        <w:t xml:space="preserve"> </w:t>
      </w:r>
      <w:r w:rsidRPr="00382917">
        <w:t>had</w:t>
      </w:r>
      <w:r w:rsidR="00EE4FC3">
        <w:t xml:space="preserve"> </w:t>
      </w:r>
      <w:r w:rsidRPr="00382917">
        <w:t>agreed</w:t>
      </w:r>
      <w:r w:rsidR="00EE4FC3">
        <w:t xml:space="preserve"> </w:t>
      </w:r>
      <w:r w:rsidRPr="00382917">
        <w:t>to</w:t>
      </w:r>
      <w:r w:rsidR="00EE4FC3">
        <w:t xml:space="preserve"> </w:t>
      </w:r>
      <w:r w:rsidRPr="00382917">
        <w:t>abide</w:t>
      </w:r>
      <w:r w:rsidR="00EE4FC3">
        <w:t xml:space="preserve"> </w:t>
      </w:r>
      <w:r w:rsidRPr="00382917">
        <w:t>by</w:t>
      </w:r>
      <w:r w:rsidR="00EE4FC3">
        <w:t xml:space="preserve"> </w:t>
      </w:r>
      <w:proofErr w:type="spellStart"/>
      <w:r w:rsidRPr="00382917">
        <w:t>Vaḥíd</w:t>
      </w:r>
      <w:r w:rsidR="009C713D" w:rsidRPr="00382917">
        <w:t>’</w:t>
      </w:r>
      <w:r w:rsidRPr="00382917">
        <w:t>s</w:t>
      </w:r>
      <w:proofErr w:type="spellEnd"/>
      <w:r w:rsidR="00EE4FC3">
        <w:t xml:space="preserve"> </w:t>
      </w:r>
      <w:r w:rsidRPr="00382917">
        <w:t>findings</w:t>
      </w:r>
      <w:r w:rsidR="00EE4FC3">
        <w:t xml:space="preserve"> </w:t>
      </w:r>
      <w:r w:rsidRPr="00382917">
        <w:t>was</w:t>
      </w:r>
      <w:r w:rsidR="00EE4FC3">
        <w:t xml:space="preserve"> </w:t>
      </w:r>
      <w:r w:rsidRPr="00382917">
        <w:t>also</w:t>
      </w:r>
      <w:r w:rsidR="00EE4FC3">
        <w:t xml:space="preserve"> </w:t>
      </w:r>
      <w:r w:rsidRPr="00382917">
        <w:t>well</w:t>
      </w:r>
      <w:r w:rsidR="00EE4FC3">
        <w:t xml:space="preserve"> </w:t>
      </w:r>
      <w:r w:rsidRPr="00382917">
        <w:t>known,</w:t>
      </w:r>
      <w:r w:rsidR="00EE4FC3">
        <w:t xml:space="preserve"> </w:t>
      </w:r>
      <w:r w:rsidRPr="00382917">
        <w:t>as</w:t>
      </w:r>
      <w:r w:rsidR="00EE4FC3">
        <w:t xml:space="preserve"> </w:t>
      </w:r>
      <w:r w:rsidRPr="00382917">
        <w:t>was</w:t>
      </w:r>
      <w:r w:rsidR="00EE4FC3">
        <w:t xml:space="preserve"> </w:t>
      </w:r>
      <w:r w:rsidRPr="00382917">
        <w:t>the</w:t>
      </w:r>
      <w:r w:rsidR="00EE4FC3">
        <w:t xml:space="preserve"> </w:t>
      </w:r>
      <w:r w:rsidRPr="00382917">
        <w:t>fact</w:t>
      </w:r>
      <w:r w:rsidR="00EE4FC3">
        <w:t xml:space="preserve"> </w:t>
      </w:r>
      <w:r w:rsidRPr="00382917">
        <w:t>that</w:t>
      </w:r>
      <w:r w:rsidR="00EE4FC3">
        <w:t xml:space="preserve"> </w:t>
      </w:r>
      <w:r w:rsidRPr="00382917">
        <w:t>they</w:t>
      </w:r>
      <w:r w:rsidR="00EE4FC3">
        <w:t xml:space="preserve"> </w:t>
      </w:r>
      <w:r w:rsidRPr="00382917">
        <w:t>had</w:t>
      </w:r>
      <w:r w:rsidR="00EE4FC3">
        <w:t xml:space="preserve"> </w:t>
      </w:r>
      <w:r w:rsidRPr="00382917">
        <w:t>broken</w:t>
      </w:r>
      <w:r w:rsidR="00EE4FC3">
        <w:t xml:space="preserve"> </w:t>
      </w:r>
      <w:r w:rsidRPr="00382917">
        <w:t>their</w:t>
      </w:r>
      <w:r w:rsidR="00EE4FC3">
        <w:t xml:space="preserve"> </w:t>
      </w:r>
      <w:r w:rsidRPr="00382917">
        <w:t>pledge</w:t>
      </w:r>
      <w:r w:rsidR="00EE4FC3">
        <w:t xml:space="preserve"> </w:t>
      </w:r>
      <w:r w:rsidRPr="00382917">
        <w:t>when</w:t>
      </w:r>
      <w:r w:rsidR="00EE4FC3">
        <w:t xml:space="preserve"> </w:t>
      </w:r>
      <w:r w:rsidRPr="00382917">
        <w:t>they</w:t>
      </w:r>
      <w:r w:rsidR="00EE4FC3">
        <w:t xml:space="preserve"> </w:t>
      </w:r>
      <w:r w:rsidRPr="00382917">
        <w:t>heard</w:t>
      </w:r>
      <w:r w:rsidR="00EE4FC3">
        <w:t xml:space="preserve"> </w:t>
      </w:r>
      <w:r w:rsidRPr="00382917">
        <w:t>that</w:t>
      </w:r>
      <w:r w:rsidR="00EE4FC3">
        <w:t xml:space="preserve"> </w:t>
      </w:r>
      <w:r w:rsidRPr="00382917">
        <w:t>Vaḥíd</w:t>
      </w:r>
      <w:r w:rsidR="00EE4FC3">
        <w:t xml:space="preserve"> </w:t>
      </w:r>
      <w:r w:rsidRPr="00382917">
        <w:t>had</w:t>
      </w:r>
      <w:r w:rsidR="00EE4FC3">
        <w:t xml:space="preserve"> </w:t>
      </w:r>
      <w:r w:rsidRPr="00382917">
        <w:t>become</w:t>
      </w:r>
      <w:r w:rsidR="00EE4FC3">
        <w:t xml:space="preserve"> </w:t>
      </w:r>
      <w:r w:rsidRPr="00382917">
        <w:t>a</w:t>
      </w:r>
      <w:r w:rsidR="00EE4FC3">
        <w:t xml:space="preserve"> </w:t>
      </w:r>
      <w:r w:rsidRPr="00382917">
        <w:t>follower</w:t>
      </w:r>
      <w:r w:rsidR="00EE4FC3">
        <w:t xml:space="preserve"> </w:t>
      </w:r>
      <w:r w:rsidRPr="00382917">
        <w:t>of</w:t>
      </w:r>
      <w:r w:rsidR="00EE4FC3">
        <w:t xml:space="preserve"> </w:t>
      </w:r>
      <w:r w:rsidRPr="00382917">
        <w:t>the</w:t>
      </w:r>
      <w:r w:rsidR="00EE4FC3">
        <w:t xml:space="preserve"> </w:t>
      </w:r>
      <w:r w:rsidRPr="00382917">
        <w:t>Báb.</w:t>
      </w:r>
    </w:p>
    <w:p w:rsidR="007E595F" w:rsidRPr="00382917" w:rsidRDefault="007E595F" w:rsidP="007E595F">
      <w:pPr>
        <w:pStyle w:val="Text"/>
      </w:pPr>
      <w:r w:rsidRPr="00382917">
        <w:t>Vaḥíd</w:t>
      </w:r>
      <w:r w:rsidR="00EE4FC3">
        <w:t xml:space="preserve"> </w:t>
      </w:r>
      <w:r w:rsidRPr="00382917">
        <w:t>was</w:t>
      </w:r>
      <w:r w:rsidR="00EE4FC3">
        <w:t xml:space="preserve"> </w:t>
      </w:r>
      <w:r w:rsidRPr="00382917">
        <w:t>a</w:t>
      </w:r>
      <w:r w:rsidR="00EE4FC3">
        <w:t xml:space="preserve"> </w:t>
      </w:r>
      <w:r w:rsidRPr="00382917">
        <w:t>man</w:t>
      </w:r>
      <w:r w:rsidR="00EE4FC3">
        <w:t xml:space="preserve"> </w:t>
      </w:r>
      <w:r w:rsidRPr="00382917">
        <w:t>of</w:t>
      </w:r>
      <w:r w:rsidR="00EE4FC3">
        <w:t xml:space="preserve"> </w:t>
      </w:r>
      <w:r w:rsidRPr="00382917">
        <w:t>great</w:t>
      </w:r>
      <w:r w:rsidR="00EE4FC3">
        <w:t xml:space="preserve"> </w:t>
      </w:r>
      <w:r w:rsidRPr="00382917">
        <w:t>influence,</w:t>
      </w:r>
      <w:r w:rsidR="00EE4FC3">
        <w:t xml:space="preserve"> </w:t>
      </w:r>
      <w:r w:rsidRPr="00382917">
        <w:t>a</w:t>
      </w:r>
      <w:r w:rsidR="00EE4FC3">
        <w:t xml:space="preserve"> </w:t>
      </w:r>
      <w:r w:rsidRPr="00382917">
        <w:t>man</w:t>
      </w:r>
      <w:r w:rsidR="00EE4FC3">
        <w:t xml:space="preserve"> </w:t>
      </w:r>
      <w:r w:rsidRPr="00382917">
        <w:t>of</w:t>
      </w:r>
      <w:r w:rsidR="00EE4FC3">
        <w:t xml:space="preserve"> </w:t>
      </w:r>
      <w:r w:rsidRPr="00382917">
        <w:t>wealth</w:t>
      </w:r>
      <w:r w:rsidR="00EE4FC3">
        <w:t xml:space="preserve"> </w:t>
      </w:r>
      <w:r w:rsidRPr="00382917">
        <w:t>and</w:t>
      </w:r>
      <w:r w:rsidR="00EE4FC3">
        <w:t xml:space="preserve"> </w:t>
      </w:r>
      <w:r w:rsidRPr="00382917">
        <w:t>fame</w:t>
      </w:r>
      <w:r w:rsidR="0040329F">
        <w:t>.</w:t>
      </w:r>
      <w:r w:rsidR="00EE4FC3">
        <w:t xml:space="preserve">  </w:t>
      </w:r>
      <w:r w:rsidRPr="00382917">
        <w:t>In</w:t>
      </w:r>
      <w:r w:rsidR="00EE4FC3">
        <w:t xml:space="preserve"> </w:t>
      </w:r>
      <w:r w:rsidRPr="00382917">
        <w:t>addition</w:t>
      </w:r>
      <w:r w:rsidR="00EE4FC3">
        <w:t xml:space="preserve"> </w:t>
      </w:r>
      <w:r w:rsidRPr="00382917">
        <w:t>to</w:t>
      </w:r>
      <w:r w:rsidR="00EE4FC3">
        <w:t xml:space="preserve"> </w:t>
      </w:r>
      <w:r w:rsidRPr="00382917">
        <w:t>his</w:t>
      </w:r>
      <w:r w:rsidR="00EE4FC3">
        <w:t xml:space="preserve"> </w:t>
      </w:r>
      <w:r w:rsidRPr="00382917">
        <w:t>beautiful</w:t>
      </w:r>
      <w:r w:rsidR="00EE4FC3">
        <w:t xml:space="preserve"> </w:t>
      </w:r>
      <w:r w:rsidRPr="00382917">
        <w:t>house</w:t>
      </w:r>
      <w:r w:rsidR="00EE4FC3">
        <w:t xml:space="preserve"> </w:t>
      </w:r>
      <w:r w:rsidRPr="00382917">
        <w:t>in</w:t>
      </w:r>
      <w:r w:rsidR="00EE4FC3">
        <w:t xml:space="preserve"> </w:t>
      </w:r>
      <w:r w:rsidRPr="00382917">
        <w:t>Yazd</w:t>
      </w:r>
      <w:r w:rsidR="00EE4FC3">
        <w:t xml:space="preserve"> </w:t>
      </w:r>
      <w:r w:rsidRPr="00382917">
        <w:t>where</w:t>
      </w:r>
      <w:r w:rsidR="00EE4FC3">
        <w:t xml:space="preserve"> </w:t>
      </w:r>
      <w:r w:rsidRPr="00382917">
        <w:t>his</w:t>
      </w:r>
      <w:r w:rsidR="00EE4FC3">
        <w:t xml:space="preserve"> </w:t>
      </w:r>
      <w:r w:rsidRPr="00382917">
        <w:t>wife</w:t>
      </w:r>
      <w:r w:rsidR="00EE4FC3">
        <w:t xml:space="preserve"> </w:t>
      </w:r>
      <w:r w:rsidRPr="00382917">
        <w:t>and</w:t>
      </w:r>
      <w:r w:rsidR="00EE4FC3">
        <w:t xml:space="preserve"> </w:t>
      </w:r>
      <w:r w:rsidRPr="00382917">
        <w:t>four</w:t>
      </w:r>
      <w:r w:rsidR="00EE4FC3">
        <w:t xml:space="preserve"> </w:t>
      </w:r>
      <w:r w:rsidRPr="00382917">
        <w:t>sons</w:t>
      </w:r>
      <w:r w:rsidR="00EE4FC3">
        <w:t xml:space="preserve"> </w:t>
      </w:r>
      <w:r w:rsidRPr="00382917">
        <w:t>lived,</w:t>
      </w:r>
      <w:r w:rsidR="00EE4FC3">
        <w:t xml:space="preserve"> </w:t>
      </w:r>
      <w:r w:rsidRPr="00382917">
        <w:t>he</w:t>
      </w:r>
      <w:r w:rsidR="00EE4FC3">
        <w:t xml:space="preserve"> </w:t>
      </w:r>
      <w:r w:rsidRPr="00382917">
        <w:t>also</w:t>
      </w:r>
      <w:r w:rsidR="00EE4FC3">
        <w:t xml:space="preserve"> </w:t>
      </w:r>
      <w:r w:rsidRPr="00382917">
        <w:t>had</w:t>
      </w:r>
      <w:r w:rsidR="00EE4FC3">
        <w:t xml:space="preserve"> </w:t>
      </w:r>
      <w:r w:rsidRPr="00382917">
        <w:t>a</w:t>
      </w:r>
      <w:r w:rsidR="00EE4FC3">
        <w:t xml:space="preserve"> </w:t>
      </w:r>
      <w:r w:rsidRPr="00382917">
        <w:t>home</w:t>
      </w:r>
      <w:r w:rsidR="00EE4FC3">
        <w:t xml:space="preserve"> </w:t>
      </w:r>
      <w:r w:rsidRPr="00382917">
        <w:t>in</w:t>
      </w:r>
      <w:r w:rsidR="00EE4FC3">
        <w:t xml:space="preserve"> </w:t>
      </w:r>
      <w:r w:rsidRPr="00382917">
        <w:t>Dáráb,</w:t>
      </w:r>
      <w:r w:rsidR="00EE4FC3">
        <w:t xml:space="preserve"> </w:t>
      </w:r>
      <w:r w:rsidRPr="00382917">
        <w:t>and</w:t>
      </w:r>
      <w:r w:rsidR="00EE4FC3">
        <w:t xml:space="preserve"> </w:t>
      </w:r>
      <w:r w:rsidRPr="00382917">
        <w:t>still</w:t>
      </w:r>
      <w:r w:rsidR="00EE4FC3">
        <w:t xml:space="preserve"> </w:t>
      </w:r>
      <w:r w:rsidRPr="00382917">
        <w:t>another</w:t>
      </w:r>
      <w:r w:rsidR="00EE4FC3">
        <w:t xml:space="preserve"> </w:t>
      </w:r>
      <w:r w:rsidRPr="00382917">
        <w:t>in</w:t>
      </w:r>
      <w:r w:rsidR="00EE4FC3">
        <w:t xml:space="preserve"> </w:t>
      </w:r>
      <w:r w:rsidRPr="00382917">
        <w:t>Nayríz</w:t>
      </w:r>
      <w:r w:rsidR="0040329F">
        <w:t>.</w:t>
      </w:r>
      <w:r w:rsidR="00EE4FC3">
        <w:t xml:space="preserve">  </w:t>
      </w:r>
      <w:r w:rsidRPr="00382917">
        <w:t>These</w:t>
      </w:r>
      <w:r w:rsidR="00EE4FC3">
        <w:t xml:space="preserve"> </w:t>
      </w:r>
      <w:r w:rsidRPr="00382917">
        <w:t>homes</w:t>
      </w:r>
      <w:r w:rsidR="00EE4FC3">
        <w:t xml:space="preserve"> </w:t>
      </w:r>
      <w:r w:rsidRPr="00382917">
        <w:t>were</w:t>
      </w:r>
      <w:r w:rsidR="00EE4FC3">
        <w:t xml:space="preserve"> </w:t>
      </w:r>
      <w:r w:rsidRPr="00382917">
        <w:t>noted</w:t>
      </w:r>
      <w:r w:rsidR="00EE4FC3">
        <w:t xml:space="preserve"> </w:t>
      </w:r>
      <w:r w:rsidRPr="00382917">
        <w:t>for</w:t>
      </w:r>
      <w:r w:rsidR="00EE4FC3">
        <w:t xml:space="preserve"> </w:t>
      </w:r>
      <w:r w:rsidRPr="00382917">
        <w:t>their</w:t>
      </w:r>
      <w:r w:rsidR="00EE4FC3">
        <w:t xml:space="preserve"> </w:t>
      </w:r>
      <w:r w:rsidRPr="00382917">
        <w:t>elegance</w:t>
      </w:r>
      <w:r w:rsidR="00EE4FC3">
        <w:t xml:space="preserve"> </w:t>
      </w:r>
      <w:r w:rsidRPr="00382917">
        <w:t>and</w:t>
      </w:r>
      <w:r w:rsidR="00EE4FC3">
        <w:t xml:space="preserve"> </w:t>
      </w:r>
      <w:r w:rsidRPr="00382917">
        <w:t>their</w:t>
      </w:r>
      <w:r w:rsidR="00EE4FC3">
        <w:t xml:space="preserve"> </w:t>
      </w:r>
      <w:r w:rsidRPr="00382917">
        <w:t>superb</w:t>
      </w:r>
      <w:r w:rsidR="00EE4FC3">
        <w:t xml:space="preserve"> </w:t>
      </w:r>
      <w:r w:rsidRPr="00382917">
        <w:t>furnishings.</w:t>
      </w:r>
    </w:p>
    <w:p w:rsidR="007E595F" w:rsidRPr="00382917" w:rsidRDefault="007E595F" w:rsidP="007E595F">
      <w:pPr>
        <w:pStyle w:val="Text"/>
      </w:pPr>
      <w:r w:rsidRPr="00382917">
        <w:t>Vaḥíd</w:t>
      </w:r>
      <w:r w:rsidR="00EE4FC3">
        <w:t xml:space="preserve"> </w:t>
      </w:r>
      <w:r w:rsidRPr="00382917">
        <w:t>visited</w:t>
      </w:r>
      <w:r w:rsidR="00EE4FC3">
        <w:t xml:space="preserve"> </w:t>
      </w:r>
      <w:r w:rsidRPr="00382917">
        <w:t>his</w:t>
      </w:r>
      <w:r w:rsidR="00EE4FC3">
        <w:t xml:space="preserve"> </w:t>
      </w:r>
      <w:r w:rsidRPr="00382917">
        <w:t>home</w:t>
      </w:r>
      <w:r w:rsidR="00EE4FC3">
        <w:t xml:space="preserve"> </w:t>
      </w:r>
      <w:r w:rsidRPr="00382917">
        <w:t>in</w:t>
      </w:r>
      <w:r w:rsidR="00EE4FC3">
        <w:t xml:space="preserve"> </w:t>
      </w:r>
      <w:r w:rsidRPr="00382917">
        <w:t>Yazd</w:t>
      </w:r>
      <w:r w:rsidR="00EE4FC3">
        <w:t xml:space="preserve"> </w:t>
      </w:r>
      <w:r w:rsidRPr="00382917">
        <w:t>on</w:t>
      </w:r>
      <w:r w:rsidR="00EE4FC3">
        <w:t xml:space="preserve"> </w:t>
      </w:r>
      <w:r w:rsidRPr="00382917">
        <w:t>the</w:t>
      </w:r>
      <w:r w:rsidR="00EE4FC3">
        <w:t xml:space="preserve"> </w:t>
      </w:r>
      <w:r w:rsidRPr="00382917">
        <w:t>feast</w:t>
      </w:r>
      <w:r w:rsidR="00EE4FC3">
        <w:t xml:space="preserve"> </w:t>
      </w:r>
      <w:r w:rsidRPr="00382917">
        <w:t>of</w:t>
      </w:r>
      <w:r w:rsidR="00EE4FC3">
        <w:t xml:space="preserve"> </w:t>
      </w:r>
      <w:r w:rsidRPr="00382917">
        <w:t>the</w:t>
      </w:r>
      <w:r w:rsidR="00EE4FC3">
        <w:t xml:space="preserve"> </w:t>
      </w:r>
      <w:r w:rsidRPr="00382917">
        <w:t>New</w:t>
      </w:r>
      <w:r w:rsidR="00EE4FC3">
        <w:t xml:space="preserve"> </w:t>
      </w:r>
      <w:r w:rsidRPr="00382917">
        <w:t>Year</w:t>
      </w:r>
      <w:r w:rsidR="0040329F">
        <w:t>.</w:t>
      </w:r>
      <w:r w:rsidR="00EE4FC3">
        <w:t xml:space="preserve">  </w:t>
      </w:r>
      <w:r w:rsidRPr="00382917">
        <w:t>It</w:t>
      </w:r>
      <w:r w:rsidR="00EE4FC3">
        <w:t xml:space="preserve"> </w:t>
      </w:r>
      <w:r w:rsidRPr="00382917">
        <w:t>coincided</w:t>
      </w:r>
      <w:r w:rsidR="00EE4FC3">
        <w:t xml:space="preserve"> </w:t>
      </w:r>
      <w:r w:rsidRPr="00382917">
        <w:t>with</w:t>
      </w:r>
      <w:r w:rsidR="00EE4FC3">
        <w:t xml:space="preserve"> </w:t>
      </w:r>
      <w:r w:rsidRPr="00382917">
        <w:t>the</w:t>
      </w:r>
      <w:r w:rsidR="00EE4FC3">
        <w:t xml:space="preserve"> </w:t>
      </w:r>
      <w:r w:rsidRPr="00382917">
        <w:t>anniversary</w:t>
      </w:r>
      <w:r w:rsidR="00EE4FC3">
        <w:t xml:space="preserve"> </w:t>
      </w:r>
      <w:r w:rsidRPr="00382917">
        <w:t>of</w:t>
      </w:r>
      <w:r w:rsidR="00EE4FC3">
        <w:t xml:space="preserve"> </w:t>
      </w:r>
      <w:r w:rsidRPr="00382917">
        <w:t>the</w:t>
      </w:r>
      <w:r w:rsidR="00EE4FC3">
        <w:t xml:space="preserve"> </w:t>
      </w:r>
      <w:r w:rsidRPr="00382917">
        <w:t>Báb</w:t>
      </w:r>
      <w:r w:rsidR="009C713D" w:rsidRPr="00382917">
        <w:t>’</w:t>
      </w:r>
      <w:r w:rsidRPr="00382917">
        <w:t>s</w:t>
      </w:r>
      <w:r w:rsidR="00EE4FC3">
        <w:t xml:space="preserve"> </w:t>
      </w:r>
      <w:r w:rsidRPr="00382917">
        <w:t>declaration</w:t>
      </w:r>
      <w:r w:rsidR="00EE4FC3">
        <w:t xml:space="preserve"> </w:t>
      </w:r>
      <w:r w:rsidRPr="00382917">
        <w:t>of</w:t>
      </w:r>
      <w:r w:rsidR="00EE4FC3">
        <w:t xml:space="preserve"> </w:t>
      </w:r>
      <w:r w:rsidRPr="00382917">
        <w:t>His</w:t>
      </w:r>
      <w:r w:rsidR="00EE4FC3">
        <w:t xml:space="preserve"> </w:t>
      </w:r>
      <w:r w:rsidRPr="00382917">
        <w:t>mission</w:t>
      </w:r>
      <w:r w:rsidR="0040329F">
        <w:t>.</w:t>
      </w:r>
      <w:r w:rsidR="00EE4FC3">
        <w:t xml:space="preserve">  </w:t>
      </w:r>
      <w:r w:rsidRPr="00382917">
        <w:t>The</w:t>
      </w:r>
      <w:r w:rsidR="00EE4FC3">
        <w:t xml:space="preserve"> </w:t>
      </w:r>
      <w:r w:rsidRPr="00382917">
        <w:t>most</w:t>
      </w:r>
      <w:r w:rsidR="00EE4FC3">
        <w:t xml:space="preserve"> </w:t>
      </w:r>
      <w:r w:rsidRPr="00382917">
        <w:t>important</w:t>
      </w:r>
      <w:r w:rsidR="00EE4FC3">
        <w:t xml:space="preserve"> </w:t>
      </w:r>
      <w:r w:rsidRPr="00382917">
        <w:t>religious</w:t>
      </w:r>
      <w:r w:rsidR="00EE4FC3">
        <w:t xml:space="preserve"> </w:t>
      </w:r>
      <w:r w:rsidRPr="00382917">
        <w:t>leaders</w:t>
      </w:r>
      <w:r w:rsidR="00EE4FC3">
        <w:t xml:space="preserve"> </w:t>
      </w:r>
      <w:r w:rsidRPr="00382917">
        <w:t>and</w:t>
      </w:r>
      <w:r w:rsidR="00EE4FC3">
        <w:t xml:space="preserve"> </w:t>
      </w:r>
      <w:r w:rsidRPr="00382917">
        <w:t>notables</w:t>
      </w:r>
      <w:r w:rsidR="00EE4FC3">
        <w:t xml:space="preserve"> </w:t>
      </w:r>
      <w:r w:rsidRPr="00382917">
        <w:t>came</w:t>
      </w:r>
      <w:r w:rsidR="00EE4FC3">
        <w:t xml:space="preserve"> </w:t>
      </w:r>
      <w:r w:rsidRPr="00382917">
        <w:t>out</w:t>
      </w:r>
      <w:r w:rsidR="00EE4FC3">
        <w:t xml:space="preserve"> </w:t>
      </w:r>
      <w:r w:rsidRPr="00382917">
        <w:t>to</w:t>
      </w:r>
      <w:r w:rsidR="00EE4FC3">
        <w:t xml:space="preserve"> </w:t>
      </w:r>
      <w:r w:rsidRPr="00382917">
        <w:t>meet</w:t>
      </w:r>
      <w:r w:rsidR="00EE4FC3">
        <w:t xml:space="preserve"> </w:t>
      </w:r>
      <w:r w:rsidRPr="00382917">
        <w:t>him</w:t>
      </w:r>
      <w:r w:rsidR="0040329F">
        <w:t>.</w:t>
      </w:r>
      <w:r w:rsidR="00EE4FC3">
        <w:t xml:space="preserve">  </w:t>
      </w:r>
      <w:r w:rsidRPr="00382917">
        <w:t>The</w:t>
      </w:r>
      <w:r w:rsidR="00EE4FC3">
        <w:t xml:space="preserve"> </w:t>
      </w:r>
      <w:r w:rsidRPr="00382917">
        <w:t>Navváb-</w:t>
      </w:r>
      <w:proofErr w:type="spellStart"/>
      <w:r w:rsidRPr="00382917">
        <w:t>i</w:t>
      </w:r>
      <w:proofErr w:type="spellEnd"/>
      <w:r w:rsidRPr="00382917">
        <w:t>-</w:t>
      </w:r>
      <w:proofErr w:type="spellStart"/>
      <w:r w:rsidRPr="00382917">
        <w:t>Raḍaví</w:t>
      </w:r>
      <w:proofErr w:type="spellEnd"/>
      <w:r w:rsidRPr="00382917">
        <w:t>,</w:t>
      </w:r>
      <w:r w:rsidR="00EE4FC3">
        <w:t xml:space="preserve"> </w:t>
      </w:r>
      <w:r w:rsidRPr="00382917">
        <w:t>who</w:t>
      </w:r>
      <w:r w:rsidR="00EE4FC3">
        <w:t xml:space="preserve"> </w:t>
      </w:r>
      <w:r w:rsidRPr="00382917">
        <w:t>was</w:t>
      </w:r>
      <w:r w:rsidR="00EE4FC3">
        <w:t xml:space="preserve"> </w:t>
      </w:r>
      <w:r w:rsidRPr="00382917">
        <w:t>the</w:t>
      </w:r>
      <w:r w:rsidR="00EE4FC3">
        <w:t xml:space="preserve"> </w:t>
      </w:r>
      <w:r w:rsidRPr="00382917">
        <w:t>most</w:t>
      </w:r>
      <w:r w:rsidR="00EE4FC3">
        <w:t xml:space="preserve"> </w:t>
      </w:r>
      <w:r w:rsidRPr="00382917">
        <w:t>bitter</w:t>
      </w:r>
      <w:r w:rsidR="00EE4FC3">
        <w:t xml:space="preserve"> </w:t>
      </w:r>
      <w:r w:rsidRPr="00382917">
        <w:t>of</w:t>
      </w:r>
      <w:r w:rsidR="00EE4FC3">
        <w:t xml:space="preserve"> </w:t>
      </w:r>
      <w:proofErr w:type="spellStart"/>
      <w:r w:rsidRPr="00382917">
        <w:t>Vaḥíd</w:t>
      </w:r>
      <w:r w:rsidR="009C713D" w:rsidRPr="00382917">
        <w:t>’</w:t>
      </w:r>
      <w:r w:rsidRPr="00382917">
        <w:t>s</w:t>
      </w:r>
      <w:proofErr w:type="spellEnd"/>
      <w:r w:rsidR="00EE4FC3">
        <w:t xml:space="preserve"> </w:t>
      </w:r>
      <w:r w:rsidRPr="00382917">
        <w:t>enemies,</w:t>
      </w:r>
      <w:r w:rsidR="00EE4FC3">
        <w:t xml:space="preserve"> </w:t>
      </w:r>
      <w:r w:rsidRPr="00382917">
        <w:t>was</w:t>
      </w:r>
      <w:r w:rsidR="00EE4FC3">
        <w:t xml:space="preserve"> </w:t>
      </w:r>
      <w:r w:rsidRPr="00382917">
        <w:t>also</w:t>
      </w:r>
      <w:r w:rsidR="00EE4FC3">
        <w:t xml:space="preserve"> </w:t>
      </w:r>
      <w:r w:rsidRPr="00382917">
        <w:t>present</w:t>
      </w:r>
      <w:r w:rsidR="0040329F">
        <w:t>.</w:t>
      </w:r>
      <w:r w:rsidR="00EE4FC3">
        <w:t xml:space="preserve">  </w:t>
      </w:r>
      <w:r w:rsidRPr="00382917">
        <w:t>He</w:t>
      </w:r>
      <w:r w:rsidR="00EE4FC3">
        <w:t xml:space="preserve"> </w:t>
      </w:r>
      <w:r w:rsidRPr="00382917">
        <w:t>resented</w:t>
      </w:r>
      <w:r w:rsidR="00EE4FC3">
        <w:t xml:space="preserve"> </w:t>
      </w:r>
      <w:r w:rsidRPr="00382917">
        <w:t>the</w:t>
      </w:r>
      <w:r w:rsidR="00EE4FC3">
        <w:t xml:space="preserve"> </w:t>
      </w:r>
      <w:proofErr w:type="spellStart"/>
      <w:r w:rsidRPr="00382917">
        <w:t>splendor</w:t>
      </w:r>
      <w:proofErr w:type="spellEnd"/>
      <w:r w:rsidR="00EE4FC3">
        <w:t xml:space="preserve"> </w:t>
      </w:r>
      <w:r w:rsidRPr="00382917">
        <w:t>of</w:t>
      </w:r>
      <w:r w:rsidR="00EE4FC3">
        <w:t xml:space="preserve"> </w:t>
      </w:r>
      <w:proofErr w:type="spellStart"/>
      <w:r w:rsidRPr="00382917">
        <w:t>Vaḥíd</w:t>
      </w:r>
      <w:r w:rsidR="009C713D" w:rsidRPr="00382917">
        <w:t>’</w:t>
      </w:r>
      <w:r w:rsidRPr="00382917">
        <w:t>s</w:t>
      </w:r>
      <w:proofErr w:type="spellEnd"/>
      <w:r w:rsidR="00EE4FC3">
        <w:t xml:space="preserve"> </w:t>
      </w:r>
      <w:r w:rsidRPr="00382917">
        <w:t>reception,</w:t>
      </w:r>
      <w:r w:rsidR="00EE4FC3">
        <w:t xml:space="preserve"> </w:t>
      </w:r>
      <w:r w:rsidRPr="00382917">
        <w:t>and</w:t>
      </w:r>
      <w:r w:rsidR="00EE4FC3">
        <w:t xml:space="preserve"> </w:t>
      </w:r>
      <w:r w:rsidRPr="00382917">
        <w:t>hinted</w:t>
      </w:r>
      <w:r w:rsidR="00EE4FC3">
        <w:t xml:space="preserve"> </w:t>
      </w:r>
      <w:r w:rsidRPr="00382917">
        <w:t>maliciously</w:t>
      </w:r>
      <w:r w:rsidR="00EE4FC3">
        <w:t xml:space="preserve"> </w:t>
      </w:r>
      <w:r w:rsidRPr="00382917">
        <w:t>it</w:t>
      </w:r>
      <w:r w:rsidR="00EE4FC3">
        <w:t xml:space="preserve"> </w:t>
      </w:r>
      <w:r w:rsidRPr="00382917">
        <w:t>was</w:t>
      </w:r>
      <w:r w:rsidR="00EE4FC3">
        <w:t xml:space="preserve"> </w:t>
      </w:r>
      <w:r w:rsidRPr="00382917">
        <w:t>not</w:t>
      </w:r>
      <w:r w:rsidR="00EE4FC3">
        <w:t xml:space="preserve"> </w:t>
      </w:r>
      <w:r w:rsidRPr="00382917">
        <w:t>really</w:t>
      </w:r>
      <w:r w:rsidR="00EE4FC3">
        <w:t xml:space="preserve"> </w:t>
      </w:r>
      <w:r w:rsidRPr="00382917">
        <w:t>the</w:t>
      </w:r>
      <w:r w:rsidR="00EE4FC3">
        <w:t xml:space="preserve"> </w:t>
      </w:r>
      <w:r w:rsidRPr="00382917">
        <w:t>New</w:t>
      </w:r>
      <w:r w:rsidR="00EE4FC3">
        <w:t xml:space="preserve"> </w:t>
      </w:r>
      <w:r w:rsidRPr="00382917">
        <w:t>Year</w:t>
      </w:r>
      <w:r w:rsidR="00EE4FC3">
        <w:t xml:space="preserve"> </w:t>
      </w:r>
      <w:r w:rsidRPr="00382917">
        <w:t>Feast</w:t>
      </w:r>
      <w:r w:rsidR="00EE4FC3">
        <w:t xml:space="preserve"> </w:t>
      </w:r>
      <w:r w:rsidRPr="00382917">
        <w:t>that</w:t>
      </w:r>
      <w:r w:rsidR="00EE4FC3">
        <w:t xml:space="preserve"> </w:t>
      </w:r>
      <w:r w:rsidRPr="00382917">
        <w:t>Vaḥíd</w:t>
      </w:r>
      <w:r w:rsidR="00EE4FC3">
        <w:t xml:space="preserve"> </w:t>
      </w:r>
      <w:r w:rsidRPr="00382917">
        <w:t>was</w:t>
      </w:r>
      <w:r w:rsidR="00EE4FC3">
        <w:t xml:space="preserve"> </w:t>
      </w:r>
      <w:r w:rsidRPr="00382917">
        <w:t>celebrating.</w:t>
      </w:r>
    </w:p>
    <w:p w:rsidR="007E595F" w:rsidRPr="00382917" w:rsidRDefault="009C713D" w:rsidP="007E595F">
      <w:pPr>
        <w:pStyle w:val="Text"/>
      </w:pPr>
      <w:r w:rsidRPr="00382917">
        <w:t>“</w:t>
      </w:r>
      <w:r w:rsidR="007E595F" w:rsidRPr="00382917">
        <w:t>The</w:t>
      </w:r>
      <w:r w:rsidR="00EE4FC3">
        <w:t xml:space="preserve"> </w:t>
      </w:r>
      <w:r w:rsidR="007E595F" w:rsidRPr="00382917">
        <w:t>king</w:t>
      </w:r>
      <w:r w:rsidRPr="00382917">
        <w:t>’</w:t>
      </w:r>
      <w:r w:rsidR="007E595F" w:rsidRPr="00382917">
        <w:t>s</w:t>
      </w:r>
      <w:r w:rsidR="00EE4FC3">
        <w:t xml:space="preserve"> </w:t>
      </w:r>
      <w:r w:rsidR="007E595F" w:rsidRPr="00382917">
        <w:t>royal</w:t>
      </w:r>
      <w:r w:rsidR="00EE4FC3">
        <w:t xml:space="preserve"> </w:t>
      </w:r>
      <w:r w:rsidR="007E595F" w:rsidRPr="00382917">
        <w:t>banquets,</w:t>
      </w:r>
      <w:r w:rsidRPr="00382917">
        <w:t>”</w:t>
      </w:r>
      <w:r w:rsidR="00EE4FC3">
        <w:t xml:space="preserve"> </w:t>
      </w:r>
      <w:r w:rsidR="007E595F" w:rsidRPr="00382917">
        <w:t>he</w:t>
      </w:r>
      <w:r w:rsidR="00EE4FC3">
        <w:t xml:space="preserve"> </w:t>
      </w:r>
      <w:r w:rsidR="007E595F" w:rsidRPr="00382917">
        <w:t>said,</w:t>
      </w:r>
      <w:r w:rsidR="00EE4FC3">
        <w:t xml:space="preserve"> </w:t>
      </w:r>
      <w:r w:rsidRPr="00382917">
        <w:t>“</w:t>
      </w:r>
      <w:r w:rsidR="007E595F" w:rsidRPr="00382917">
        <w:t>can</w:t>
      </w:r>
      <w:r w:rsidR="00EE4FC3">
        <w:t xml:space="preserve"> </w:t>
      </w:r>
      <w:r w:rsidR="007E595F" w:rsidRPr="00382917">
        <w:t>scarcely</w:t>
      </w:r>
      <w:r w:rsidR="00EE4FC3">
        <w:t xml:space="preserve"> </w:t>
      </w:r>
      <w:r w:rsidR="007E595F" w:rsidRPr="00382917">
        <w:t>hope</w:t>
      </w:r>
      <w:r w:rsidR="00EE4FC3">
        <w:t xml:space="preserve"> </w:t>
      </w:r>
      <w:r w:rsidR="007E595F" w:rsidRPr="00382917">
        <w:t>to</w:t>
      </w:r>
      <w:r w:rsidR="00EE4FC3">
        <w:t xml:space="preserve"> </w:t>
      </w:r>
      <w:r w:rsidR="007E595F" w:rsidRPr="00382917">
        <w:t>rival</w:t>
      </w:r>
      <w:r w:rsidR="00EE4FC3">
        <w:t xml:space="preserve"> </w:t>
      </w:r>
      <w:r w:rsidR="007E595F" w:rsidRPr="00382917">
        <w:t>this</w:t>
      </w:r>
      <w:r w:rsidR="00EE4FC3">
        <w:t xml:space="preserve"> </w:t>
      </w:r>
      <w:r w:rsidR="007E595F" w:rsidRPr="00382917">
        <w:t>sumptuous</w:t>
      </w:r>
      <w:r w:rsidR="00EE4FC3">
        <w:t xml:space="preserve"> </w:t>
      </w:r>
      <w:r w:rsidR="007E595F" w:rsidRPr="00382917">
        <w:t>repast</w:t>
      </w:r>
      <w:r w:rsidR="0040329F">
        <w:t>.</w:t>
      </w:r>
      <w:r w:rsidR="00EE4FC3">
        <w:t xml:space="preserve">  </w:t>
      </w:r>
      <w:r w:rsidR="007E595F" w:rsidRPr="00382917">
        <w:t>I</w:t>
      </w:r>
      <w:r w:rsidR="00EE4FC3">
        <w:t xml:space="preserve"> </w:t>
      </w:r>
      <w:r w:rsidR="007E595F" w:rsidRPr="00382917">
        <w:t>suspect</w:t>
      </w:r>
      <w:r w:rsidR="00EE4FC3">
        <w:t xml:space="preserve"> </w:t>
      </w:r>
      <w:r w:rsidR="007E595F" w:rsidRPr="00382917">
        <w:t>that</w:t>
      </w:r>
      <w:r w:rsidR="00EE4FC3">
        <w:t xml:space="preserve"> </w:t>
      </w:r>
      <w:r w:rsidR="007E595F" w:rsidRPr="00382917">
        <w:t>in</w:t>
      </w:r>
      <w:r w:rsidR="00EE4FC3">
        <w:t xml:space="preserve"> </w:t>
      </w:r>
      <w:r w:rsidR="007E595F" w:rsidRPr="00382917">
        <w:t>addition</w:t>
      </w:r>
      <w:r w:rsidR="00EE4FC3">
        <w:t xml:space="preserve"> </w:t>
      </w:r>
      <w:r w:rsidR="007E595F" w:rsidRPr="00382917">
        <w:t>to</w:t>
      </w:r>
      <w:r w:rsidR="00EE4FC3">
        <w:t xml:space="preserve"> </w:t>
      </w:r>
      <w:r w:rsidR="007E595F" w:rsidRPr="00382917">
        <w:t>the</w:t>
      </w:r>
      <w:r w:rsidR="00EE4FC3">
        <w:t xml:space="preserve"> </w:t>
      </w:r>
      <w:r w:rsidR="007E595F" w:rsidRPr="00382917">
        <w:t>national</w:t>
      </w:r>
      <w:r w:rsidR="00EE4FC3">
        <w:t xml:space="preserve"> </w:t>
      </w:r>
      <w:r w:rsidR="007E595F" w:rsidRPr="00382917">
        <w:t>festival</w:t>
      </w:r>
      <w:r w:rsidR="00EE4FC3">
        <w:t xml:space="preserve"> </w:t>
      </w:r>
      <w:r w:rsidR="007E595F" w:rsidRPr="00382917">
        <w:t>which</w:t>
      </w:r>
      <w:r w:rsidR="00EE4FC3">
        <w:t xml:space="preserve"> </w:t>
      </w:r>
      <w:r w:rsidR="007E595F" w:rsidRPr="00382917">
        <w:t>we</w:t>
      </w:r>
      <w:r w:rsidR="00EE4FC3">
        <w:t xml:space="preserve"> </w:t>
      </w:r>
      <w:r w:rsidR="007E595F" w:rsidRPr="00382917">
        <w:t>are</w:t>
      </w:r>
      <w:r w:rsidR="00EE4FC3">
        <w:t xml:space="preserve"> </w:t>
      </w:r>
      <w:r w:rsidR="007E595F" w:rsidRPr="00382917">
        <w:t>celebrating,</w:t>
      </w:r>
      <w:r w:rsidR="00EE4FC3">
        <w:t xml:space="preserve"> </w:t>
      </w:r>
      <w:r w:rsidR="007E595F" w:rsidRPr="00382917">
        <w:t>you</w:t>
      </w:r>
      <w:r w:rsidR="00EE4FC3">
        <w:t xml:space="preserve"> </w:t>
      </w:r>
      <w:r w:rsidR="007E595F" w:rsidRPr="00382917">
        <w:t>are</w:t>
      </w:r>
      <w:r w:rsidR="00EE4FC3">
        <w:t xml:space="preserve"> </w:t>
      </w:r>
      <w:r w:rsidR="007E595F" w:rsidRPr="00382917">
        <w:t>commemorating</w:t>
      </w:r>
      <w:r w:rsidR="00EE4FC3">
        <w:t xml:space="preserve"> </w:t>
      </w:r>
      <w:r w:rsidR="007E595F" w:rsidRPr="00382917">
        <w:t>another</w:t>
      </w:r>
      <w:r w:rsidR="00EE4FC3">
        <w:t xml:space="preserve"> </w:t>
      </w:r>
      <w:r w:rsidR="007E595F" w:rsidRPr="00382917">
        <w:t>one</w:t>
      </w:r>
      <w:r w:rsidR="00EE4FC3">
        <w:t xml:space="preserve"> </w:t>
      </w:r>
      <w:r w:rsidR="007E595F" w:rsidRPr="00382917">
        <w:t>beside</w:t>
      </w:r>
      <w:r w:rsidR="00EE4FC3">
        <w:t xml:space="preserve"> </w:t>
      </w:r>
      <w:r w:rsidR="007E595F" w:rsidRPr="00382917">
        <w:t>it.</w:t>
      </w:r>
      <w:r w:rsidRPr="00382917">
        <w:t>”</w:t>
      </w:r>
    </w:p>
    <w:p w:rsidR="007E595F" w:rsidRPr="00382917" w:rsidRDefault="007E595F" w:rsidP="007E595F">
      <w:pPr>
        <w:pStyle w:val="Text"/>
      </w:pPr>
      <w:proofErr w:type="spellStart"/>
      <w:r w:rsidRPr="00382917">
        <w:t>Vaḥíd</w:t>
      </w:r>
      <w:r w:rsidR="009C713D" w:rsidRPr="00382917">
        <w:t>’</w:t>
      </w:r>
      <w:r w:rsidRPr="00382917">
        <w:t>s</w:t>
      </w:r>
      <w:proofErr w:type="spellEnd"/>
      <w:r w:rsidR="00EE4FC3">
        <w:t xml:space="preserve"> </w:t>
      </w:r>
      <w:r w:rsidRPr="00382917">
        <w:t>bold</w:t>
      </w:r>
      <w:r w:rsidR="00EE4FC3">
        <w:t xml:space="preserve"> </w:t>
      </w:r>
      <w:r w:rsidRPr="00382917">
        <w:t>and</w:t>
      </w:r>
      <w:r w:rsidR="00EE4FC3">
        <w:t xml:space="preserve"> </w:t>
      </w:r>
      <w:r w:rsidRPr="00382917">
        <w:t>sarcastic</w:t>
      </w:r>
      <w:r w:rsidR="00EE4FC3">
        <w:t xml:space="preserve"> </w:t>
      </w:r>
      <w:r w:rsidRPr="00382917">
        <w:t>retort</w:t>
      </w:r>
      <w:r w:rsidR="00EE4FC3">
        <w:t xml:space="preserve"> </w:t>
      </w:r>
      <w:r w:rsidRPr="00382917">
        <w:t>provoked</w:t>
      </w:r>
      <w:r w:rsidR="00EE4FC3">
        <w:t xml:space="preserve"> </w:t>
      </w:r>
      <w:r w:rsidRPr="00382917">
        <w:t>the</w:t>
      </w:r>
      <w:r w:rsidR="00EE4FC3">
        <w:t xml:space="preserve"> </w:t>
      </w:r>
      <w:r w:rsidRPr="00382917">
        <w:t>laughter</w:t>
      </w:r>
      <w:r w:rsidR="00EE4FC3">
        <w:t xml:space="preserve"> </w:t>
      </w:r>
      <w:r w:rsidRPr="00382917">
        <w:t>of</w:t>
      </w:r>
      <w:r w:rsidR="00EE4FC3">
        <w:t xml:space="preserve"> </w:t>
      </w:r>
      <w:r w:rsidRPr="00382917">
        <w:t>those</w:t>
      </w:r>
      <w:r w:rsidR="00EE4FC3">
        <w:t xml:space="preserve"> </w:t>
      </w:r>
      <w:r w:rsidRPr="00382917">
        <w:t>present</w:t>
      </w:r>
      <w:r w:rsidR="0040329F">
        <w:t>.</w:t>
      </w:r>
      <w:r w:rsidR="00EE4FC3">
        <w:t xml:space="preserve">  </w:t>
      </w:r>
      <w:r w:rsidRPr="00382917">
        <w:t>They</w:t>
      </w:r>
      <w:r w:rsidR="00EE4FC3">
        <w:t xml:space="preserve"> </w:t>
      </w:r>
      <w:r w:rsidRPr="00382917">
        <w:t>all</w:t>
      </w:r>
      <w:r w:rsidR="00EE4FC3">
        <w:t xml:space="preserve"> </w:t>
      </w:r>
      <w:r w:rsidRPr="00382917">
        <w:t>applauded</w:t>
      </w:r>
      <w:r w:rsidR="00EE4FC3">
        <w:t xml:space="preserve"> </w:t>
      </w:r>
      <w:proofErr w:type="spellStart"/>
      <w:r w:rsidRPr="00382917">
        <w:t>Vaḥíd</w:t>
      </w:r>
      <w:r w:rsidR="009C713D" w:rsidRPr="00382917">
        <w:t>’</w:t>
      </w:r>
      <w:r w:rsidRPr="00382917">
        <w:t>s</w:t>
      </w:r>
      <w:proofErr w:type="spellEnd"/>
      <w:r w:rsidR="00EE4FC3">
        <w:t xml:space="preserve"> </w:t>
      </w:r>
      <w:r w:rsidRPr="00382917">
        <w:t>stinging</w:t>
      </w:r>
      <w:r w:rsidR="00EE4FC3">
        <w:t xml:space="preserve"> </w:t>
      </w:r>
      <w:r w:rsidRPr="00382917">
        <w:t>rebuke</w:t>
      </w:r>
      <w:r w:rsidR="00EE4FC3">
        <w:t xml:space="preserve"> </w:t>
      </w:r>
      <w:r w:rsidRPr="00382917">
        <w:t>because</w:t>
      </w:r>
      <w:r w:rsidR="00EE4FC3">
        <w:t xml:space="preserve"> </w:t>
      </w:r>
      <w:r w:rsidRPr="00382917">
        <w:t>they</w:t>
      </w:r>
      <w:r w:rsidR="00EE4FC3">
        <w:t xml:space="preserve"> </w:t>
      </w:r>
      <w:r w:rsidRPr="00382917">
        <w:t>were</w:t>
      </w:r>
      <w:r w:rsidR="00EE4FC3">
        <w:t xml:space="preserve"> </w:t>
      </w:r>
      <w:r w:rsidRPr="00382917">
        <w:t>aware</w:t>
      </w:r>
      <w:r w:rsidR="00EE4FC3">
        <w:t xml:space="preserve"> </w:t>
      </w:r>
      <w:r w:rsidRPr="00382917">
        <w:t>of</w:t>
      </w:r>
      <w:r w:rsidR="00EE4FC3">
        <w:t xml:space="preserve"> </w:t>
      </w:r>
      <w:r w:rsidRPr="00382917">
        <w:t>the</w:t>
      </w:r>
      <w:r w:rsidR="00EE4FC3">
        <w:t xml:space="preserve"> </w:t>
      </w:r>
      <w:r w:rsidRPr="00382917">
        <w:t>stinginess</w:t>
      </w:r>
      <w:r w:rsidR="00EE4FC3">
        <w:t xml:space="preserve"> </w:t>
      </w:r>
      <w:r w:rsidRPr="00382917">
        <w:t>and</w:t>
      </w:r>
      <w:r w:rsidR="00EE4FC3">
        <w:t xml:space="preserve"> </w:t>
      </w:r>
      <w:r w:rsidRPr="00382917">
        <w:t>wickedness</w:t>
      </w:r>
      <w:r w:rsidR="00EE4FC3">
        <w:t xml:space="preserve"> </w:t>
      </w:r>
      <w:r w:rsidRPr="00382917">
        <w:t>of</w:t>
      </w:r>
      <w:r w:rsidR="00EE4FC3">
        <w:t xml:space="preserve"> </w:t>
      </w:r>
      <w:r w:rsidRPr="00382917">
        <w:t>the</w:t>
      </w:r>
      <w:r w:rsidR="00EE4FC3">
        <w:t xml:space="preserve"> </w:t>
      </w:r>
      <w:r w:rsidRPr="00382917">
        <w:t>Navváb</w:t>
      </w:r>
      <w:r w:rsidR="0040329F">
        <w:t>.</w:t>
      </w:r>
      <w:r w:rsidR="00EE4FC3">
        <w:t xml:space="preserve">  </w:t>
      </w:r>
      <w:r w:rsidRPr="00382917">
        <w:t>This</w:t>
      </w:r>
      <w:r w:rsidR="00EE4FC3">
        <w:t xml:space="preserve"> </w:t>
      </w:r>
      <w:r w:rsidRPr="00382917">
        <w:t>ridicule</w:t>
      </w:r>
      <w:r w:rsidR="00EE4FC3">
        <w:t xml:space="preserve"> </w:t>
      </w:r>
      <w:r w:rsidRPr="00382917">
        <w:t>enraged</w:t>
      </w:r>
      <w:r w:rsidR="00EE4FC3">
        <w:t xml:space="preserve"> </w:t>
      </w:r>
      <w:r w:rsidRPr="00382917">
        <w:t>the</w:t>
      </w:r>
      <w:r w:rsidR="00EE4FC3">
        <w:t xml:space="preserve"> </w:t>
      </w:r>
      <w:r w:rsidRPr="00382917">
        <w:t>Navváb</w:t>
      </w:r>
      <w:r w:rsidR="0040329F">
        <w:t>.</w:t>
      </w:r>
      <w:r w:rsidR="00EE4FC3">
        <w:t xml:space="preserve">  </w:t>
      </w:r>
      <w:r w:rsidRPr="00382917">
        <w:t>He</w:t>
      </w:r>
      <w:r w:rsidR="00EE4FC3">
        <w:t xml:space="preserve"> </w:t>
      </w:r>
      <w:r w:rsidRPr="00382917">
        <w:t>promised</w:t>
      </w:r>
      <w:r w:rsidR="00EE4FC3">
        <w:t xml:space="preserve"> </w:t>
      </w:r>
      <w:r w:rsidRPr="00382917">
        <w:t>himself</w:t>
      </w:r>
      <w:r w:rsidR="00EE4FC3">
        <w:t xml:space="preserve"> </w:t>
      </w:r>
      <w:r w:rsidRPr="00382917">
        <w:t>that</w:t>
      </w:r>
      <w:r w:rsidR="00EE4FC3">
        <w:t xml:space="preserve"> </w:t>
      </w:r>
      <w:r w:rsidRPr="00382917">
        <w:t>if</w:t>
      </w:r>
      <w:r w:rsidR="00EE4FC3">
        <w:t xml:space="preserve"> </w:t>
      </w:r>
      <w:r w:rsidRPr="00382917">
        <w:t>it</w:t>
      </w:r>
      <w:r w:rsidR="00EE4FC3">
        <w:t xml:space="preserve"> </w:t>
      </w:r>
      <w:r w:rsidRPr="00382917">
        <w:t>lay</w:t>
      </w:r>
      <w:r w:rsidR="00EE4FC3">
        <w:t xml:space="preserve"> </w:t>
      </w:r>
      <w:r w:rsidRPr="00382917">
        <w:t>in</w:t>
      </w:r>
      <w:r w:rsidR="00EE4FC3">
        <w:t xml:space="preserve"> </w:t>
      </w:r>
      <w:r w:rsidRPr="00382917">
        <w:t>his</w:t>
      </w:r>
      <w:r w:rsidR="00EE4FC3">
        <w:t xml:space="preserve"> </w:t>
      </w:r>
      <w:r w:rsidRPr="00382917">
        <w:t>power,</w:t>
      </w:r>
      <w:r w:rsidR="00EE4FC3">
        <w:t xml:space="preserve"> </w:t>
      </w:r>
      <w:r w:rsidRPr="00382917">
        <w:t>Vaḥíd</w:t>
      </w:r>
      <w:r w:rsidR="00EE4FC3">
        <w:t xml:space="preserve"> </w:t>
      </w:r>
      <w:r w:rsidRPr="00382917">
        <w:t>would</w:t>
      </w:r>
      <w:r w:rsidR="00EE4FC3">
        <w:t xml:space="preserve"> </w:t>
      </w:r>
      <w:r w:rsidRPr="00382917">
        <w:t>die</w:t>
      </w:r>
      <w:r w:rsidR="00EE4FC3">
        <w:t xml:space="preserve"> </w:t>
      </w:r>
      <w:r w:rsidRPr="00382917">
        <w:t>violently</w:t>
      </w:r>
      <w:r w:rsidR="00EE4FC3">
        <w:t xml:space="preserve"> </w:t>
      </w:r>
      <w:r w:rsidRPr="00382917">
        <w:t>because</w:t>
      </w:r>
      <w:r w:rsidR="00EE4FC3">
        <w:t xml:space="preserve"> </w:t>
      </w:r>
      <w:r w:rsidRPr="00382917">
        <w:t>of</w:t>
      </w:r>
      <w:r w:rsidR="00EE4FC3">
        <w:t xml:space="preserve"> </w:t>
      </w:r>
      <w:r w:rsidRPr="00382917">
        <w:t>it.</w:t>
      </w:r>
    </w:p>
    <w:p w:rsidR="007E595F" w:rsidRPr="00382917" w:rsidRDefault="007E595F" w:rsidP="007E595F">
      <w:pPr>
        <w:pStyle w:val="Text"/>
      </w:pPr>
      <w:r w:rsidRPr="00382917">
        <w:t>Vaḥíd</w:t>
      </w:r>
      <w:r w:rsidR="00EE4FC3">
        <w:t xml:space="preserve"> </w:t>
      </w:r>
      <w:r w:rsidRPr="00382917">
        <w:t>seized</w:t>
      </w:r>
      <w:r w:rsidR="00EE4FC3">
        <w:t xml:space="preserve"> </w:t>
      </w:r>
      <w:r w:rsidRPr="00382917">
        <w:t>this</w:t>
      </w:r>
      <w:r w:rsidR="00EE4FC3">
        <w:t xml:space="preserve"> </w:t>
      </w:r>
      <w:r w:rsidRPr="00382917">
        <w:t>occasion</w:t>
      </w:r>
      <w:r w:rsidR="00EE4FC3">
        <w:t xml:space="preserve"> </w:t>
      </w:r>
      <w:r w:rsidRPr="00382917">
        <w:t>to</w:t>
      </w:r>
      <w:r w:rsidR="00EE4FC3">
        <w:t xml:space="preserve"> </w:t>
      </w:r>
      <w:r w:rsidRPr="00382917">
        <w:t>proclaim</w:t>
      </w:r>
      <w:r w:rsidR="00EE4FC3">
        <w:t xml:space="preserve"> </w:t>
      </w:r>
      <w:r w:rsidRPr="00382917">
        <w:t>without</w:t>
      </w:r>
      <w:r w:rsidR="00EE4FC3">
        <w:t xml:space="preserve"> </w:t>
      </w:r>
      <w:r w:rsidRPr="00382917">
        <w:t>reserve</w:t>
      </w:r>
      <w:r w:rsidR="00EE4FC3">
        <w:t xml:space="preserve"> </w:t>
      </w:r>
      <w:r w:rsidRPr="00382917">
        <w:t>the</w:t>
      </w:r>
      <w:r w:rsidR="00EE4FC3">
        <w:t xml:space="preserve"> </w:t>
      </w:r>
      <w:proofErr w:type="spellStart"/>
      <w:r w:rsidRPr="00382917">
        <w:t>prin</w:t>
      </w:r>
      <w:proofErr w:type="spellEnd"/>
      <w:r w:rsidRPr="00382917">
        <w:t>-</w:t>
      </w:r>
    </w:p>
    <w:p w:rsidR="007E595F" w:rsidRPr="00382917" w:rsidRDefault="007E595F">
      <w:pPr>
        <w:widowControl/>
        <w:kinsoku/>
        <w:overflowPunct/>
        <w:textAlignment w:val="auto"/>
      </w:pPr>
      <w:r w:rsidRPr="00382917">
        <w:br w:type="page"/>
      </w:r>
    </w:p>
    <w:p w:rsidR="007E595F" w:rsidRPr="00382917" w:rsidRDefault="007E595F" w:rsidP="0064314E">
      <w:pPr>
        <w:pStyle w:val="Textcts"/>
      </w:pPr>
      <w:proofErr w:type="spellStart"/>
      <w:proofErr w:type="gramStart"/>
      <w:r w:rsidRPr="00382917">
        <w:t>ciples</w:t>
      </w:r>
      <w:proofErr w:type="spellEnd"/>
      <w:proofErr w:type="gramEnd"/>
      <w:r w:rsidR="00EE4FC3">
        <w:t xml:space="preserve"> </w:t>
      </w:r>
      <w:r w:rsidRPr="00382917">
        <w:t>of</w:t>
      </w:r>
      <w:r w:rsidR="00EE4FC3">
        <w:t xml:space="preserve"> </w:t>
      </w:r>
      <w:r w:rsidRPr="00382917">
        <w:t>the</w:t>
      </w:r>
      <w:r w:rsidR="00EE4FC3">
        <w:t xml:space="preserve"> </w:t>
      </w:r>
      <w:r w:rsidRPr="00382917">
        <w:t>Báb</w:t>
      </w:r>
      <w:r w:rsidR="009C713D" w:rsidRPr="00382917">
        <w:t>’</w:t>
      </w:r>
      <w:r w:rsidRPr="00382917">
        <w:t>s</w:t>
      </w:r>
      <w:r w:rsidR="00EE4FC3">
        <w:t xml:space="preserve"> </w:t>
      </w:r>
      <w:r w:rsidRPr="00382917">
        <w:t>Faith</w:t>
      </w:r>
      <w:r w:rsidR="0040329F">
        <w:t>.</w:t>
      </w:r>
      <w:r w:rsidR="00EE4FC3">
        <w:t xml:space="preserve">  </w:t>
      </w:r>
      <w:r w:rsidRPr="00382917">
        <w:t>Some</w:t>
      </w:r>
      <w:r w:rsidR="00EE4FC3">
        <w:t xml:space="preserve"> </w:t>
      </w:r>
      <w:r w:rsidRPr="00382917">
        <w:t>were</w:t>
      </w:r>
      <w:r w:rsidR="00EE4FC3">
        <w:t xml:space="preserve"> </w:t>
      </w:r>
      <w:r w:rsidRPr="00382917">
        <w:t>irresistibly</w:t>
      </w:r>
      <w:r w:rsidR="00EE4FC3">
        <w:t xml:space="preserve"> </w:t>
      </w:r>
      <w:r w:rsidRPr="00382917">
        <w:t>attracted</w:t>
      </w:r>
      <w:r w:rsidR="0040329F">
        <w:t>.</w:t>
      </w:r>
      <w:r w:rsidR="00EE4FC3">
        <w:t xml:space="preserve">  </w:t>
      </w:r>
      <w:r w:rsidRPr="00382917">
        <w:t>Others,</w:t>
      </w:r>
      <w:r w:rsidR="00EE4FC3">
        <w:t xml:space="preserve"> </w:t>
      </w:r>
      <w:r w:rsidRPr="00382917">
        <w:t>unable</w:t>
      </w:r>
      <w:r w:rsidR="00EE4FC3">
        <w:t xml:space="preserve"> </w:t>
      </w:r>
      <w:r w:rsidRPr="00382917">
        <w:t>to</w:t>
      </w:r>
      <w:r w:rsidR="00EE4FC3">
        <w:t xml:space="preserve"> </w:t>
      </w:r>
      <w:r w:rsidRPr="00382917">
        <w:t>challenge</w:t>
      </w:r>
      <w:r w:rsidR="00EE4FC3">
        <w:t xml:space="preserve"> </w:t>
      </w:r>
      <w:r w:rsidRPr="00382917">
        <w:t>successfully</w:t>
      </w:r>
      <w:r w:rsidR="00EE4FC3">
        <w:t xml:space="preserve"> </w:t>
      </w:r>
      <w:r w:rsidRPr="00382917">
        <w:t>the</w:t>
      </w:r>
      <w:r w:rsidR="00EE4FC3">
        <w:t xml:space="preserve"> </w:t>
      </w:r>
      <w:r w:rsidRPr="00382917">
        <w:t>defence</w:t>
      </w:r>
      <w:r w:rsidR="00EE4FC3">
        <w:t xml:space="preserve"> </w:t>
      </w:r>
      <w:r w:rsidRPr="00382917">
        <w:t>which</w:t>
      </w:r>
      <w:r w:rsidR="00EE4FC3">
        <w:t xml:space="preserve"> </w:t>
      </w:r>
      <w:r w:rsidRPr="00382917">
        <w:t>Vaḥíd</w:t>
      </w:r>
      <w:r w:rsidR="00EE4FC3">
        <w:t xml:space="preserve"> </w:t>
      </w:r>
      <w:r w:rsidRPr="00382917">
        <w:t>made</w:t>
      </w:r>
      <w:r w:rsidR="00EE4FC3">
        <w:t xml:space="preserve"> </w:t>
      </w:r>
      <w:r w:rsidRPr="00382917">
        <w:t>for</w:t>
      </w:r>
      <w:r w:rsidR="00EE4FC3">
        <w:t xml:space="preserve"> </w:t>
      </w:r>
      <w:r w:rsidRPr="00382917">
        <w:t>his</w:t>
      </w:r>
      <w:r w:rsidR="00EE4FC3">
        <w:t xml:space="preserve"> </w:t>
      </w:r>
      <w:r w:rsidRPr="00382917">
        <w:t>new</w:t>
      </w:r>
      <w:r w:rsidR="00EE4FC3">
        <w:t xml:space="preserve"> </w:t>
      </w:r>
      <w:r w:rsidRPr="00382917">
        <w:t>Faith,</w:t>
      </w:r>
      <w:r w:rsidR="00EE4FC3">
        <w:t xml:space="preserve"> </w:t>
      </w:r>
      <w:r w:rsidRPr="00382917">
        <w:t>denounced</w:t>
      </w:r>
      <w:r w:rsidR="00EE4FC3">
        <w:t xml:space="preserve"> </w:t>
      </w:r>
      <w:r w:rsidRPr="00382917">
        <w:t>it</w:t>
      </w:r>
      <w:r w:rsidR="00EE4FC3">
        <w:t xml:space="preserve"> </w:t>
      </w:r>
      <w:r w:rsidRPr="00382917">
        <w:t>in</w:t>
      </w:r>
      <w:r w:rsidR="00EE4FC3">
        <w:t xml:space="preserve"> </w:t>
      </w:r>
      <w:r w:rsidRPr="00382917">
        <w:t>their</w:t>
      </w:r>
      <w:r w:rsidR="00EE4FC3">
        <w:t xml:space="preserve"> </w:t>
      </w:r>
      <w:r w:rsidRPr="00382917">
        <w:t>hearts</w:t>
      </w:r>
      <w:r w:rsidR="0040329F">
        <w:t>.</w:t>
      </w:r>
      <w:r w:rsidR="00EE4FC3">
        <w:t xml:space="preserve">  </w:t>
      </w:r>
      <w:r w:rsidRPr="00382917">
        <w:t>They</w:t>
      </w:r>
      <w:r w:rsidR="00EE4FC3">
        <w:t xml:space="preserve"> </w:t>
      </w:r>
      <w:r w:rsidRPr="00382917">
        <w:t>joined</w:t>
      </w:r>
      <w:r w:rsidR="00EE4FC3">
        <w:t xml:space="preserve"> </w:t>
      </w:r>
      <w:r w:rsidRPr="00382917">
        <w:t>forces</w:t>
      </w:r>
      <w:r w:rsidR="00EE4FC3">
        <w:t xml:space="preserve"> </w:t>
      </w:r>
      <w:r w:rsidRPr="00382917">
        <w:t>with</w:t>
      </w:r>
      <w:r w:rsidR="00EE4FC3">
        <w:t xml:space="preserve"> </w:t>
      </w:r>
      <w:r w:rsidRPr="00382917">
        <w:t>the</w:t>
      </w:r>
      <w:r w:rsidR="00EE4FC3">
        <w:t xml:space="preserve"> </w:t>
      </w:r>
      <w:r w:rsidRPr="00382917">
        <w:t>Navváb</w:t>
      </w:r>
      <w:r w:rsidR="00EE4FC3">
        <w:t xml:space="preserve"> </w:t>
      </w:r>
      <w:r w:rsidRPr="00382917">
        <w:t>and</w:t>
      </w:r>
      <w:r w:rsidR="00EE4FC3">
        <w:t xml:space="preserve"> </w:t>
      </w:r>
      <w:r w:rsidRPr="00382917">
        <w:t>made</w:t>
      </w:r>
      <w:r w:rsidR="00EE4FC3">
        <w:t xml:space="preserve"> </w:t>
      </w:r>
      <w:r w:rsidRPr="00382917">
        <w:t>plans</w:t>
      </w:r>
      <w:r w:rsidR="00EE4FC3">
        <w:t xml:space="preserve"> </w:t>
      </w:r>
      <w:r w:rsidRPr="00382917">
        <w:t>to</w:t>
      </w:r>
      <w:r w:rsidR="00EE4FC3">
        <w:t xml:space="preserve"> </w:t>
      </w:r>
      <w:r w:rsidRPr="00382917">
        <w:t>overthrow</w:t>
      </w:r>
      <w:r w:rsidR="00EE4FC3">
        <w:t xml:space="preserve"> </w:t>
      </w:r>
      <w:r w:rsidRPr="00382917">
        <w:t>Vaḥíd</w:t>
      </w:r>
      <w:r w:rsidR="00EE4FC3">
        <w:t xml:space="preserve"> </w:t>
      </w:r>
      <w:r w:rsidRPr="00382917">
        <w:t>without</w:t>
      </w:r>
      <w:r w:rsidR="00EE4FC3">
        <w:t xml:space="preserve"> </w:t>
      </w:r>
      <w:r w:rsidRPr="00382917">
        <w:t>delay</w:t>
      </w:r>
      <w:r w:rsidR="0040329F">
        <w:t>.</w:t>
      </w:r>
      <w:r w:rsidR="00EE4FC3">
        <w:t xml:space="preserve">  </w:t>
      </w:r>
      <w:r w:rsidRPr="00382917">
        <w:t>Nicolas</w:t>
      </w:r>
      <w:r w:rsidR="00EE4FC3">
        <w:t xml:space="preserve"> </w:t>
      </w:r>
      <w:r w:rsidRPr="00382917">
        <w:t>in</w:t>
      </w:r>
      <w:r w:rsidR="00EE4FC3">
        <w:t xml:space="preserve"> </w:t>
      </w:r>
      <w:r w:rsidRPr="00382917">
        <w:t>his</w:t>
      </w:r>
      <w:r w:rsidR="00EE4FC3">
        <w:t xml:space="preserve"> </w:t>
      </w:r>
      <w:r w:rsidRPr="00382917">
        <w:t>history</w:t>
      </w:r>
      <w:r w:rsidR="00EE4FC3">
        <w:t xml:space="preserve"> </w:t>
      </w:r>
      <w:r w:rsidRPr="00382917">
        <w:t>of</w:t>
      </w:r>
      <w:r w:rsidR="00EE4FC3">
        <w:t xml:space="preserve"> </w:t>
      </w:r>
      <w:r w:rsidRPr="00382917">
        <w:t>those</w:t>
      </w:r>
      <w:r w:rsidR="00EE4FC3">
        <w:t xml:space="preserve"> </w:t>
      </w:r>
      <w:r w:rsidRPr="00382917">
        <w:t>days</w:t>
      </w:r>
      <w:r w:rsidR="00EE4FC3">
        <w:t xml:space="preserve"> </w:t>
      </w:r>
      <w:r w:rsidRPr="00382917">
        <w:t>writes</w:t>
      </w:r>
      <w:r w:rsidR="00C03C91">
        <w:t>:</w:t>
      </w:r>
      <w:r w:rsidR="00EE4FC3">
        <w:t xml:space="preserve">  </w:t>
      </w:r>
      <w:r w:rsidR="009C713D" w:rsidRPr="00382917">
        <w:t>“‘</w:t>
      </w:r>
      <w:r w:rsidRPr="00382917">
        <w:t>To</w:t>
      </w:r>
      <w:r w:rsidR="00EE4FC3">
        <w:t xml:space="preserve"> </w:t>
      </w:r>
      <w:r w:rsidRPr="00382917">
        <w:t>love</w:t>
      </w:r>
      <w:r w:rsidR="00EE4FC3">
        <w:t xml:space="preserve"> </w:t>
      </w:r>
      <w:r w:rsidRPr="00382917">
        <w:t>and</w:t>
      </w:r>
      <w:r w:rsidR="00EE4FC3">
        <w:t xml:space="preserve"> </w:t>
      </w:r>
      <w:r w:rsidRPr="00382917">
        <w:t>conceal</w:t>
      </w:r>
      <w:r w:rsidR="00EE4FC3">
        <w:t xml:space="preserve"> </w:t>
      </w:r>
      <w:r w:rsidRPr="00382917">
        <w:t>one</w:t>
      </w:r>
      <w:r w:rsidR="009C713D" w:rsidRPr="00382917">
        <w:t>’</w:t>
      </w:r>
      <w:r w:rsidRPr="00382917">
        <w:t>s</w:t>
      </w:r>
      <w:r w:rsidR="00EE4FC3">
        <w:t xml:space="preserve"> </w:t>
      </w:r>
      <w:r w:rsidRPr="00382917">
        <w:t>secret</w:t>
      </w:r>
      <w:r w:rsidR="00EE4FC3">
        <w:t xml:space="preserve"> </w:t>
      </w:r>
      <w:r w:rsidRPr="00382917">
        <w:t>is</w:t>
      </w:r>
      <w:r w:rsidR="00EE4FC3">
        <w:t xml:space="preserve"> </w:t>
      </w:r>
      <w:r w:rsidRPr="00382917">
        <w:t>impossible,</w:t>
      </w:r>
      <w:r w:rsidR="009C713D" w:rsidRPr="00382917">
        <w:t>’</w:t>
      </w:r>
      <w:r w:rsidR="00EE4FC3">
        <w:t xml:space="preserve"> </w:t>
      </w:r>
      <w:r w:rsidRPr="00382917">
        <w:t>says</w:t>
      </w:r>
      <w:r w:rsidR="00EE4FC3">
        <w:t xml:space="preserve"> </w:t>
      </w:r>
      <w:r w:rsidRPr="00382917">
        <w:t>the</w:t>
      </w:r>
      <w:r w:rsidR="00EE4FC3">
        <w:t xml:space="preserve"> </w:t>
      </w:r>
      <w:r w:rsidRPr="00382917">
        <w:t>poet;</w:t>
      </w:r>
      <w:r w:rsidR="00EE4FC3">
        <w:t xml:space="preserve"> </w:t>
      </w:r>
      <w:r w:rsidRPr="00382917">
        <w:t>so</w:t>
      </w:r>
      <w:r w:rsidR="00EE4FC3">
        <w:t xml:space="preserve"> </w:t>
      </w:r>
      <w:r w:rsidR="00F04416" w:rsidRPr="00382917">
        <w:t>…</w:t>
      </w:r>
      <w:r w:rsidR="00EE4FC3">
        <w:t xml:space="preserve"> </w:t>
      </w:r>
      <w:r w:rsidRPr="00382917">
        <w:t>[Vaḥíd]</w:t>
      </w:r>
      <w:r w:rsidR="00EE4FC3">
        <w:t xml:space="preserve"> </w:t>
      </w:r>
      <w:r w:rsidRPr="00382917">
        <w:t>began</w:t>
      </w:r>
      <w:r w:rsidR="00EE4FC3">
        <w:t xml:space="preserve"> </w:t>
      </w:r>
      <w:r w:rsidRPr="00382917">
        <w:t>to</w:t>
      </w:r>
      <w:r w:rsidR="00EE4FC3">
        <w:t xml:space="preserve"> </w:t>
      </w:r>
      <w:r w:rsidRPr="00382917">
        <w:t>preach</w:t>
      </w:r>
      <w:r w:rsidR="00EE4FC3">
        <w:t xml:space="preserve"> </w:t>
      </w:r>
      <w:r w:rsidRPr="00382917">
        <w:t>openly</w:t>
      </w:r>
      <w:r w:rsidR="00EE4FC3">
        <w:t xml:space="preserve"> </w:t>
      </w:r>
      <w:r w:rsidRPr="00382917">
        <w:t>in</w:t>
      </w:r>
      <w:r w:rsidR="00EE4FC3">
        <w:t xml:space="preserve"> </w:t>
      </w:r>
      <w:r w:rsidRPr="00382917">
        <w:t>the</w:t>
      </w:r>
      <w:r w:rsidR="00EE4FC3">
        <w:t xml:space="preserve"> </w:t>
      </w:r>
      <w:r w:rsidRPr="00382917">
        <w:t>mosques,</w:t>
      </w:r>
      <w:r w:rsidR="00EE4FC3">
        <w:t xml:space="preserve"> </w:t>
      </w:r>
      <w:r w:rsidRPr="00382917">
        <w:t>in</w:t>
      </w:r>
      <w:r w:rsidR="00EE4FC3">
        <w:t xml:space="preserve"> </w:t>
      </w:r>
      <w:r w:rsidRPr="00382917">
        <w:t>the</w:t>
      </w:r>
      <w:r w:rsidR="00EE4FC3">
        <w:t xml:space="preserve"> </w:t>
      </w:r>
      <w:r w:rsidRPr="00382917">
        <w:t>streets,</w:t>
      </w:r>
      <w:r w:rsidR="00EE4FC3">
        <w:t xml:space="preserve"> </w:t>
      </w:r>
      <w:r w:rsidRPr="00382917">
        <w:t>in</w:t>
      </w:r>
      <w:r w:rsidR="00EE4FC3">
        <w:t xml:space="preserve"> </w:t>
      </w:r>
      <w:r w:rsidRPr="00382917">
        <w:t>the</w:t>
      </w:r>
      <w:r w:rsidR="00EE4FC3">
        <w:t xml:space="preserve"> </w:t>
      </w:r>
      <w:r w:rsidRPr="00382917">
        <w:t>bazaars,</w:t>
      </w:r>
      <w:r w:rsidR="00EE4FC3">
        <w:t xml:space="preserve"> </w:t>
      </w:r>
      <w:r w:rsidRPr="00382917">
        <w:t>in</w:t>
      </w:r>
      <w:r w:rsidR="00EE4FC3">
        <w:t xml:space="preserve"> </w:t>
      </w:r>
      <w:r w:rsidRPr="00382917">
        <w:t>the</w:t>
      </w:r>
      <w:r w:rsidR="00EE4FC3">
        <w:t xml:space="preserve"> </w:t>
      </w:r>
      <w:r w:rsidRPr="00382917">
        <w:t>public</w:t>
      </w:r>
      <w:r w:rsidR="00EE4FC3">
        <w:t xml:space="preserve"> </w:t>
      </w:r>
      <w:r w:rsidRPr="00382917">
        <w:t>squares,</w:t>
      </w:r>
      <w:r w:rsidR="00EE4FC3">
        <w:t xml:space="preserve"> </w:t>
      </w:r>
      <w:r w:rsidRPr="00382917">
        <w:t>in</w:t>
      </w:r>
      <w:r w:rsidR="00EE4FC3">
        <w:t xml:space="preserve"> </w:t>
      </w:r>
      <w:r w:rsidRPr="00382917">
        <w:t>a</w:t>
      </w:r>
      <w:r w:rsidR="00EE4FC3">
        <w:t xml:space="preserve"> </w:t>
      </w:r>
      <w:r w:rsidRPr="00382917">
        <w:t>word,</w:t>
      </w:r>
      <w:r w:rsidR="00EE4FC3">
        <w:t xml:space="preserve"> </w:t>
      </w:r>
      <w:r w:rsidRPr="00382917">
        <w:t>wherever</w:t>
      </w:r>
      <w:r w:rsidR="00EE4FC3">
        <w:t xml:space="preserve"> </w:t>
      </w:r>
      <w:r w:rsidRPr="00382917">
        <w:t>he</w:t>
      </w:r>
      <w:r w:rsidR="00EE4FC3">
        <w:t xml:space="preserve"> </w:t>
      </w:r>
      <w:r w:rsidRPr="00382917">
        <w:t>could</w:t>
      </w:r>
      <w:r w:rsidR="00EE4FC3">
        <w:t xml:space="preserve"> </w:t>
      </w:r>
      <w:r w:rsidRPr="00382917">
        <w:t>find</w:t>
      </w:r>
      <w:r w:rsidR="00EE4FC3">
        <w:t xml:space="preserve"> </w:t>
      </w:r>
      <w:r w:rsidRPr="00382917">
        <w:t>listeners</w:t>
      </w:r>
      <w:r w:rsidR="0040329F">
        <w:t>.</w:t>
      </w:r>
      <w:r w:rsidR="00EE4FC3">
        <w:t xml:space="preserve">  </w:t>
      </w:r>
      <w:r w:rsidRPr="00382917">
        <w:t>Such</w:t>
      </w:r>
      <w:r w:rsidR="00EE4FC3">
        <w:t xml:space="preserve"> </w:t>
      </w:r>
      <w:r w:rsidRPr="00382917">
        <w:t>an</w:t>
      </w:r>
      <w:r w:rsidR="00EE4FC3">
        <w:t xml:space="preserve"> </w:t>
      </w:r>
      <w:r w:rsidRPr="00382917">
        <w:t>enthusiasm</w:t>
      </w:r>
      <w:r w:rsidR="00EE4FC3">
        <w:t xml:space="preserve"> </w:t>
      </w:r>
      <w:r w:rsidRPr="00382917">
        <w:t>brought</w:t>
      </w:r>
      <w:r w:rsidR="00EE4FC3">
        <w:t xml:space="preserve"> </w:t>
      </w:r>
      <w:r w:rsidRPr="00382917">
        <w:t>forth</w:t>
      </w:r>
      <w:r w:rsidR="00EE4FC3">
        <w:t xml:space="preserve"> </w:t>
      </w:r>
      <w:r w:rsidRPr="00382917">
        <w:t>fruit</w:t>
      </w:r>
      <w:r w:rsidR="00EE4FC3">
        <w:t xml:space="preserve"> </w:t>
      </w:r>
      <w:r w:rsidRPr="00382917">
        <w:t>and</w:t>
      </w:r>
      <w:r w:rsidR="00EE4FC3">
        <w:t xml:space="preserve"> </w:t>
      </w:r>
      <w:r w:rsidRPr="00382917">
        <w:t>the</w:t>
      </w:r>
      <w:r w:rsidR="00EE4FC3">
        <w:t xml:space="preserve"> </w:t>
      </w:r>
      <w:r w:rsidRPr="00382917">
        <w:t>conversions</w:t>
      </w:r>
      <w:r w:rsidR="00EE4FC3">
        <w:t xml:space="preserve"> </w:t>
      </w:r>
      <w:r w:rsidRPr="00382917">
        <w:t>were</w:t>
      </w:r>
      <w:r w:rsidR="00EE4FC3">
        <w:t xml:space="preserve"> </w:t>
      </w:r>
      <w:r w:rsidRPr="00382917">
        <w:t>numerous</w:t>
      </w:r>
      <w:r w:rsidR="00EE4FC3">
        <w:t xml:space="preserve"> </w:t>
      </w:r>
      <w:r w:rsidRPr="00382917">
        <w:t>and</w:t>
      </w:r>
      <w:r w:rsidR="00EE4FC3">
        <w:t xml:space="preserve"> </w:t>
      </w:r>
      <w:r w:rsidRPr="00382917">
        <w:t>sincere</w:t>
      </w:r>
      <w:r w:rsidR="0040329F">
        <w:t>.</w:t>
      </w:r>
      <w:r w:rsidR="00EE4FC3">
        <w:t xml:space="preserve">  </w:t>
      </w:r>
      <w:r w:rsidRPr="00382917">
        <w:t>The</w:t>
      </w:r>
      <w:r w:rsidR="00EE4FC3">
        <w:t xml:space="preserve"> </w:t>
      </w:r>
      <w:proofErr w:type="spellStart"/>
      <w:r w:rsidRPr="00382917">
        <w:t>Mullas</w:t>
      </w:r>
      <w:proofErr w:type="spellEnd"/>
      <w:r w:rsidR="00EE4FC3">
        <w:t xml:space="preserve"> </w:t>
      </w:r>
      <w:r w:rsidRPr="00382917">
        <w:t>[priests]</w:t>
      </w:r>
      <w:r w:rsidR="00EE4FC3">
        <w:t xml:space="preserve"> </w:t>
      </w:r>
      <w:r w:rsidRPr="00382917">
        <w:t>deeply</w:t>
      </w:r>
      <w:r w:rsidR="00EE4FC3">
        <w:t xml:space="preserve"> </w:t>
      </w:r>
      <w:proofErr w:type="gramStart"/>
      <w:r w:rsidRPr="00382917">
        <w:t>troubled,</w:t>
      </w:r>
      <w:proofErr w:type="gramEnd"/>
      <w:r w:rsidR="00EE4FC3">
        <w:t xml:space="preserve"> </w:t>
      </w:r>
      <w:r w:rsidRPr="00382917">
        <w:t>violently</w:t>
      </w:r>
      <w:r w:rsidR="00EE4FC3">
        <w:t xml:space="preserve"> </w:t>
      </w:r>
      <w:r w:rsidRPr="00382917">
        <w:t>denounced</w:t>
      </w:r>
      <w:r w:rsidR="00EE4FC3">
        <w:t xml:space="preserve"> </w:t>
      </w:r>
      <w:r w:rsidRPr="00382917">
        <w:t>the</w:t>
      </w:r>
      <w:r w:rsidR="00EE4FC3">
        <w:t xml:space="preserve"> </w:t>
      </w:r>
      <w:r w:rsidRPr="00382917">
        <w:t>sacrilege</w:t>
      </w:r>
      <w:r w:rsidR="00EE4FC3">
        <w:t xml:space="preserve"> </w:t>
      </w:r>
      <w:r w:rsidRPr="00382917">
        <w:t>to</w:t>
      </w:r>
      <w:r w:rsidR="00EE4FC3">
        <w:t xml:space="preserve"> </w:t>
      </w:r>
      <w:r w:rsidRPr="00382917">
        <w:t>the</w:t>
      </w:r>
      <w:r w:rsidR="00EE4FC3">
        <w:t xml:space="preserve"> </w:t>
      </w:r>
      <w:r w:rsidRPr="00382917">
        <w:t>governor</w:t>
      </w:r>
      <w:r w:rsidR="00EE4FC3">
        <w:t xml:space="preserve"> </w:t>
      </w:r>
      <w:r w:rsidRPr="00382917">
        <w:t>of</w:t>
      </w:r>
      <w:r w:rsidR="00EE4FC3">
        <w:t xml:space="preserve"> </w:t>
      </w:r>
      <w:r w:rsidRPr="00382917">
        <w:t>the</w:t>
      </w:r>
      <w:r w:rsidR="00EE4FC3">
        <w:t xml:space="preserve"> </w:t>
      </w:r>
      <w:r w:rsidRPr="00382917">
        <w:t>city.</w:t>
      </w:r>
      <w:r w:rsidR="009C713D" w:rsidRPr="00382917">
        <w:t>”</w:t>
      </w:r>
      <w:r w:rsidR="0064314E">
        <w:rPr>
          <w:rStyle w:val="FootnoteReference"/>
        </w:rPr>
        <w:footnoteReference w:id="167"/>
      </w:r>
    </w:p>
    <w:p w:rsidR="007E595F" w:rsidRPr="00382917" w:rsidRDefault="007E595F" w:rsidP="007E595F">
      <w:pPr>
        <w:pStyle w:val="Text"/>
      </w:pPr>
      <w:r w:rsidRPr="00382917">
        <w:t>The</w:t>
      </w:r>
      <w:r w:rsidR="00EE4FC3">
        <w:t xml:space="preserve"> </w:t>
      </w:r>
      <w:r w:rsidRPr="00382917">
        <w:t>priests</w:t>
      </w:r>
      <w:r w:rsidR="00EE4FC3">
        <w:t xml:space="preserve"> </w:t>
      </w:r>
      <w:r w:rsidRPr="00382917">
        <w:t>were</w:t>
      </w:r>
      <w:r w:rsidR="00EE4FC3">
        <w:t xml:space="preserve"> </w:t>
      </w:r>
      <w:r w:rsidRPr="00382917">
        <w:t>agreed</w:t>
      </w:r>
      <w:r w:rsidR="00EE4FC3">
        <w:t xml:space="preserve"> </w:t>
      </w:r>
      <w:r w:rsidRPr="00382917">
        <w:t>on</w:t>
      </w:r>
      <w:r w:rsidR="00EE4FC3">
        <w:t xml:space="preserve"> </w:t>
      </w:r>
      <w:r w:rsidRPr="00382917">
        <w:t>one</w:t>
      </w:r>
      <w:r w:rsidR="00EE4FC3">
        <w:t xml:space="preserve"> </w:t>
      </w:r>
      <w:r w:rsidRPr="00382917">
        <w:t>vital</w:t>
      </w:r>
      <w:r w:rsidR="00EE4FC3">
        <w:t xml:space="preserve"> </w:t>
      </w:r>
      <w:r w:rsidRPr="00382917">
        <w:t>point</w:t>
      </w:r>
      <w:r w:rsidR="00C03C91">
        <w:t>:</w:t>
      </w:r>
      <w:r w:rsidR="00EE4FC3">
        <w:t xml:space="preserve">  </w:t>
      </w:r>
      <w:r w:rsidRPr="00382917">
        <w:t>The</w:t>
      </w:r>
      <w:r w:rsidR="00EE4FC3">
        <w:t xml:space="preserve"> </w:t>
      </w:r>
      <w:r w:rsidRPr="00382917">
        <w:t>life</w:t>
      </w:r>
      <w:r w:rsidR="00EE4FC3">
        <w:t xml:space="preserve"> </w:t>
      </w:r>
      <w:r w:rsidRPr="00382917">
        <w:t>of</w:t>
      </w:r>
      <w:r w:rsidR="00EE4FC3">
        <w:t xml:space="preserve"> </w:t>
      </w:r>
      <w:r w:rsidRPr="00382917">
        <w:t>Vaḥíd</w:t>
      </w:r>
      <w:r w:rsidR="00EE4FC3">
        <w:t xml:space="preserve"> </w:t>
      </w:r>
      <w:r w:rsidRPr="00382917">
        <w:t>must</w:t>
      </w:r>
      <w:r w:rsidR="00EE4FC3">
        <w:t xml:space="preserve"> </w:t>
      </w:r>
      <w:r w:rsidRPr="00382917">
        <w:t>be</w:t>
      </w:r>
      <w:r w:rsidR="00EE4FC3">
        <w:t xml:space="preserve"> </w:t>
      </w:r>
      <w:r w:rsidRPr="00382917">
        <w:t>destroyed</w:t>
      </w:r>
      <w:r w:rsidR="0040329F">
        <w:t>.</w:t>
      </w:r>
      <w:r w:rsidR="00EE4FC3">
        <w:t xml:space="preserve">  </w:t>
      </w:r>
      <w:r w:rsidRPr="00382917">
        <w:t>They</w:t>
      </w:r>
      <w:r w:rsidR="00EE4FC3">
        <w:t xml:space="preserve"> </w:t>
      </w:r>
      <w:r w:rsidRPr="00382917">
        <w:t>spread</w:t>
      </w:r>
      <w:r w:rsidR="00EE4FC3">
        <w:t xml:space="preserve"> </w:t>
      </w:r>
      <w:r w:rsidRPr="00382917">
        <w:t>the</w:t>
      </w:r>
      <w:r w:rsidR="00EE4FC3">
        <w:t xml:space="preserve"> </w:t>
      </w:r>
      <w:r w:rsidRPr="00382917">
        <w:t>report</w:t>
      </w:r>
      <w:r w:rsidR="00EE4FC3">
        <w:t xml:space="preserve"> </w:t>
      </w:r>
      <w:r w:rsidRPr="00382917">
        <w:t>of</w:t>
      </w:r>
      <w:r w:rsidR="00EE4FC3">
        <w:t xml:space="preserve"> </w:t>
      </w:r>
      <w:r w:rsidRPr="00382917">
        <w:t>that</w:t>
      </w:r>
      <w:r w:rsidR="00EE4FC3">
        <w:t xml:space="preserve"> </w:t>
      </w:r>
      <w:r w:rsidRPr="00382917">
        <w:t>New</w:t>
      </w:r>
      <w:r w:rsidR="00EE4FC3">
        <w:t xml:space="preserve"> </w:t>
      </w:r>
      <w:proofErr w:type="gramStart"/>
      <w:r w:rsidRPr="00382917">
        <w:t>Year</w:t>
      </w:r>
      <w:r w:rsidR="009C713D" w:rsidRPr="00382917">
        <w:t>’</w:t>
      </w:r>
      <w:r w:rsidRPr="00382917">
        <w:t>s</w:t>
      </w:r>
      <w:r w:rsidR="00EE4FC3">
        <w:t xml:space="preserve"> </w:t>
      </w:r>
      <w:r w:rsidRPr="00382917">
        <w:t>day</w:t>
      </w:r>
      <w:proofErr w:type="gramEnd"/>
      <w:r w:rsidR="00EE4FC3">
        <w:t xml:space="preserve"> </w:t>
      </w:r>
      <w:r w:rsidRPr="00382917">
        <w:t>banquet,</w:t>
      </w:r>
      <w:r w:rsidR="00EE4FC3">
        <w:t xml:space="preserve"> </w:t>
      </w:r>
      <w:r w:rsidRPr="00382917">
        <w:t>saying</w:t>
      </w:r>
      <w:r w:rsidR="00C03C91">
        <w:t>:</w:t>
      </w:r>
      <w:r w:rsidR="00EE4FC3">
        <w:t xml:space="preserve">  </w:t>
      </w:r>
      <w:r w:rsidR="009C713D" w:rsidRPr="00382917">
        <w:t>“</w:t>
      </w:r>
      <w:r w:rsidRPr="00382917">
        <w:t>Though</w:t>
      </w:r>
      <w:r w:rsidR="00EE4FC3">
        <w:t xml:space="preserve"> </w:t>
      </w:r>
      <w:r w:rsidRPr="00382917">
        <w:t>his</w:t>
      </w:r>
      <w:r w:rsidR="00EE4FC3">
        <w:t xml:space="preserve"> </w:t>
      </w:r>
      <w:r w:rsidRPr="00382917">
        <w:t>listeners</w:t>
      </w:r>
      <w:r w:rsidR="00EE4FC3">
        <w:t xml:space="preserve"> </w:t>
      </w:r>
      <w:r w:rsidRPr="00382917">
        <w:t>ranked</w:t>
      </w:r>
      <w:r w:rsidR="00EE4FC3">
        <w:t xml:space="preserve"> </w:t>
      </w:r>
      <w:r w:rsidRPr="00382917">
        <w:t>among</w:t>
      </w:r>
      <w:r w:rsidR="00EE4FC3">
        <w:t xml:space="preserve"> </w:t>
      </w:r>
      <w:r w:rsidRPr="00382917">
        <w:t>the</w:t>
      </w:r>
      <w:r w:rsidR="00EE4FC3">
        <w:t xml:space="preserve"> </w:t>
      </w:r>
      <w:r w:rsidRPr="00382917">
        <w:t>most</w:t>
      </w:r>
      <w:r w:rsidR="00EE4FC3">
        <w:t xml:space="preserve"> </w:t>
      </w:r>
      <w:r w:rsidRPr="00382917">
        <w:t>illustrious</w:t>
      </w:r>
      <w:r w:rsidR="00EE4FC3">
        <w:t xml:space="preserve"> </w:t>
      </w:r>
      <w:r w:rsidRPr="00382917">
        <w:t>doctors</w:t>
      </w:r>
      <w:r w:rsidR="00EE4FC3">
        <w:t xml:space="preserve"> </w:t>
      </w:r>
      <w:r w:rsidRPr="00382917">
        <w:t>of</w:t>
      </w:r>
      <w:r w:rsidR="00EE4FC3">
        <w:t xml:space="preserve"> </w:t>
      </w:r>
      <w:r w:rsidRPr="00382917">
        <w:t>law</w:t>
      </w:r>
      <w:r w:rsidR="00EE4FC3">
        <w:t xml:space="preserve"> </w:t>
      </w:r>
      <w:r w:rsidRPr="00382917">
        <w:t>in</w:t>
      </w:r>
      <w:r w:rsidR="00EE4FC3">
        <w:t xml:space="preserve"> </w:t>
      </w:r>
      <w:r w:rsidRPr="00382917">
        <w:t>Yazd,</w:t>
      </w:r>
      <w:r w:rsidR="00EE4FC3">
        <w:t xml:space="preserve"> </w:t>
      </w:r>
      <w:r w:rsidRPr="00382917">
        <w:t>not</w:t>
      </w:r>
      <w:r w:rsidR="00EE4FC3">
        <w:t xml:space="preserve"> </w:t>
      </w:r>
      <w:r w:rsidRPr="00382917">
        <w:t>one</w:t>
      </w:r>
      <w:r w:rsidR="00EE4FC3">
        <w:t xml:space="preserve"> </w:t>
      </w:r>
      <w:r w:rsidRPr="00382917">
        <w:t>raised</w:t>
      </w:r>
      <w:r w:rsidR="00EE4FC3">
        <w:t xml:space="preserve"> </w:t>
      </w:r>
      <w:r w:rsidRPr="00382917">
        <w:t>a</w:t>
      </w:r>
      <w:r w:rsidR="00EE4FC3">
        <w:t xml:space="preserve"> </w:t>
      </w:r>
      <w:r w:rsidRPr="00382917">
        <w:t>word</w:t>
      </w:r>
      <w:r w:rsidR="00EE4FC3">
        <w:t xml:space="preserve"> </w:t>
      </w:r>
      <w:r w:rsidRPr="00382917">
        <w:t>of</w:t>
      </w:r>
      <w:r w:rsidR="00EE4FC3">
        <w:t xml:space="preserve"> </w:t>
      </w:r>
      <w:r w:rsidRPr="00382917">
        <w:t>protest</w:t>
      </w:r>
      <w:r w:rsidR="00EE4FC3">
        <w:t xml:space="preserve"> </w:t>
      </w:r>
      <w:r w:rsidRPr="00382917">
        <w:t>against</w:t>
      </w:r>
      <w:r w:rsidR="00EE4FC3">
        <w:t xml:space="preserve"> </w:t>
      </w:r>
      <w:r w:rsidRPr="00382917">
        <w:t>his</w:t>
      </w:r>
      <w:r w:rsidR="00EE4FC3">
        <w:t xml:space="preserve"> </w:t>
      </w:r>
      <w:r w:rsidRPr="00382917">
        <w:t>proclamation</w:t>
      </w:r>
      <w:r w:rsidR="00EE4FC3">
        <w:t xml:space="preserve"> </w:t>
      </w:r>
      <w:r w:rsidRPr="00382917">
        <w:t>of</w:t>
      </w:r>
      <w:r w:rsidR="00EE4FC3">
        <w:t xml:space="preserve"> </w:t>
      </w:r>
      <w:r w:rsidRPr="00382917">
        <w:t>the</w:t>
      </w:r>
      <w:r w:rsidR="00EE4FC3">
        <w:t xml:space="preserve"> </w:t>
      </w:r>
      <w:r w:rsidRPr="00382917">
        <w:t>Faith</w:t>
      </w:r>
      <w:r w:rsidR="00EE4FC3">
        <w:t xml:space="preserve"> </w:t>
      </w:r>
      <w:r w:rsidRPr="00382917">
        <w:t>of</w:t>
      </w:r>
      <w:r w:rsidR="00EE4FC3">
        <w:t xml:space="preserve"> </w:t>
      </w:r>
      <w:r w:rsidRPr="00382917">
        <w:t>the</w:t>
      </w:r>
      <w:r w:rsidR="00EE4FC3">
        <w:t xml:space="preserve"> </w:t>
      </w:r>
      <w:r w:rsidRPr="00382917">
        <w:t>Báb</w:t>
      </w:r>
      <w:r w:rsidR="0040329F">
        <w:t>.</w:t>
      </w:r>
      <w:r w:rsidR="00EE4FC3">
        <w:t xml:space="preserve">  </w:t>
      </w:r>
      <w:r w:rsidRPr="00382917">
        <w:t>This</w:t>
      </w:r>
      <w:r w:rsidR="00EE4FC3">
        <w:t xml:space="preserve"> </w:t>
      </w:r>
      <w:r w:rsidRPr="00382917">
        <w:t>silence</w:t>
      </w:r>
      <w:r w:rsidR="00EE4FC3">
        <w:t xml:space="preserve"> </w:t>
      </w:r>
      <w:r w:rsidRPr="00382917">
        <w:t>has</w:t>
      </w:r>
      <w:r w:rsidR="00EE4FC3">
        <w:t xml:space="preserve"> </w:t>
      </w:r>
      <w:r w:rsidRPr="00382917">
        <w:t>been</w:t>
      </w:r>
      <w:r w:rsidR="00EE4FC3">
        <w:t xml:space="preserve"> </w:t>
      </w:r>
      <w:r w:rsidRPr="00382917">
        <w:t>responsible</w:t>
      </w:r>
      <w:r w:rsidR="00EE4FC3">
        <w:t xml:space="preserve"> </w:t>
      </w:r>
      <w:r w:rsidRPr="00382917">
        <w:t>for</w:t>
      </w:r>
      <w:r w:rsidR="00EE4FC3">
        <w:t xml:space="preserve"> </w:t>
      </w:r>
      <w:r w:rsidRPr="00382917">
        <w:t>the</w:t>
      </w:r>
      <w:r w:rsidR="00EE4FC3">
        <w:t xml:space="preserve"> </w:t>
      </w:r>
      <w:r w:rsidRPr="00382917">
        <w:t>wave</w:t>
      </w:r>
      <w:r w:rsidR="00EE4FC3">
        <w:t xml:space="preserve"> </w:t>
      </w:r>
      <w:r w:rsidRPr="00382917">
        <w:t>of</w:t>
      </w:r>
      <w:r w:rsidR="00EE4FC3">
        <w:t xml:space="preserve"> </w:t>
      </w:r>
      <w:r w:rsidRPr="00382917">
        <w:t>enthusiasm</w:t>
      </w:r>
      <w:r w:rsidR="00EE4FC3">
        <w:t xml:space="preserve"> </w:t>
      </w:r>
      <w:r w:rsidRPr="00382917">
        <w:t>which</w:t>
      </w:r>
      <w:r w:rsidR="00EE4FC3">
        <w:t xml:space="preserve"> </w:t>
      </w:r>
      <w:r w:rsidRPr="00382917">
        <w:t>has</w:t>
      </w:r>
      <w:r w:rsidR="00EE4FC3">
        <w:t xml:space="preserve"> </w:t>
      </w:r>
      <w:r w:rsidRPr="00382917">
        <w:t>swept</w:t>
      </w:r>
      <w:r w:rsidR="00EE4FC3">
        <w:t xml:space="preserve"> </w:t>
      </w:r>
      <w:r w:rsidRPr="00382917">
        <w:t>over</w:t>
      </w:r>
      <w:r w:rsidR="00EE4FC3">
        <w:t xml:space="preserve"> </w:t>
      </w:r>
      <w:r w:rsidRPr="00382917">
        <w:t>this</w:t>
      </w:r>
      <w:r w:rsidR="00EE4FC3">
        <w:t xml:space="preserve"> </w:t>
      </w:r>
      <w:r w:rsidRPr="00382917">
        <w:t>city</w:t>
      </w:r>
      <w:r w:rsidR="0040329F">
        <w:t>.</w:t>
      </w:r>
      <w:r w:rsidR="00EE4FC3">
        <w:t xml:space="preserve">  </w:t>
      </w:r>
      <w:r w:rsidRPr="00382917">
        <w:t>Already</w:t>
      </w:r>
      <w:r w:rsidR="00EE4FC3">
        <w:t xml:space="preserve"> </w:t>
      </w:r>
      <w:r w:rsidRPr="00382917">
        <w:t>half</w:t>
      </w:r>
      <w:r w:rsidR="00EE4FC3">
        <w:t xml:space="preserve"> </w:t>
      </w:r>
      <w:r w:rsidRPr="00382917">
        <w:t>of</w:t>
      </w:r>
      <w:r w:rsidR="00EE4FC3">
        <w:t xml:space="preserve"> </w:t>
      </w:r>
      <w:r w:rsidRPr="00382917">
        <w:t>the</w:t>
      </w:r>
      <w:r w:rsidR="00EE4FC3">
        <w:t xml:space="preserve"> </w:t>
      </w:r>
      <w:r w:rsidRPr="00382917">
        <w:t>inhabitants</w:t>
      </w:r>
      <w:r w:rsidR="00EE4FC3">
        <w:t xml:space="preserve"> </w:t>
      </w:r>
      <w:r w:rsidRPr="00382917">
        <w:t>have</w:t>
      </w:r>
      <w:r w:rsidR="00EE4FC3">
        <w:t xml:space="preserve"> </w:t>
      </w:r>
      <w:r w:rsidRPr="00382917">
        <w:t>been</w:t>
      </w:r>
      <w:r w:rsidR="00EE4FC3">
        <w:t xml:space="preserve"> </w:t>
      </w:r>
      <w:r w:rsidRPr="00382917">
        <w:t>brought</w:t>
      </w:r>
      <w:r w:rsidR="00EE4FC3">
        <w:t xml:space="preserve"> </w:t>
      </w:r>
      <w:r w:rsidRPr="00382917">
        <w:t>to</w:t>
      </w:r>
      <w:r w:rsidR="00EE4FC3">
        <w:t xml:space="preserve"> </w:t>
      </w:r>
      <w:r w:rsidRPr="00382917">
        <w:t>his</w:t>
      </w:r>
      <w:r w:rsidR="00EE4FC3">
        <w:t xml:space="preserve"> </w:t>
      </w:r>
      <w:r w:rsidRPr="00382917">
        <w:t>feet,</w:t>
      </w:r>
      <w:r w:rsidR="00EE4FC3">
        <w:t xml:space="preserve"> </w:t>
      </w:r>
      <w:r w:rsidRPr="00382917">
        <w:t>while</w:t>
      </w:r>
      <w:r w:rsidR="00EE4FC3">
        <w:t xml:space="preserve"> </w:t>
      </w:r>
      <w:r w:rsidRPr="00382917">
        <w:t>the</w:t>
      </w:r>
      <w:r w:rsidR="00EE4FC3">
        <w:t xml:space="preserve"> </w:t>
      </w:r>
      <w:r w:rsidRPr="00382917">
        <w:t>remainder</w:t>
      </w:r>
      <w:r w:rsidR="00EE4FC3">
        <w:t xml:space="preserve"> </w:t>
      </w:r>
      <w:r w:rsidRPr="00382917">
        <w:t>are</w:t>
      </w:r>
      <w:r w:rsidR="00EE4FC3">
        <w:t xml:space="preserve"> </w:t>
      </w:r>
      <w:r w:rsidRPr="00382917">
        <w:t>fast</w:t>
      </w:r>
      <w:r w:rsidR="00EE4FC3">
        <w:t xml:space="preserve"> </w:t>
      </w:r>
      <w:r w:rsidRPr="00382917">
        <w:t>being</w:t>
      </w:r>
      <w:r w:rsidR="00EE4FC3">
        <w:t xml:space="preserve"> </w:t>
      </w:r>
      <w:r w:rsidRPr="00382917">
        <w:t>attracted.</w:t>
      </w:r>
      <w:r w:rsidR="009C713D" w:rsidRPr="00382917">
        <w:t>”</w:t>
      </w:r>
    </w:p>
    <w:p w:rsidR="007E595F" w:rsidRPr="00382917" w:rsidRDefault="007E595F" w:rsidP="0040329F">
      <w:pPr>
        <w:pStyle w:val="Text"/>
      </w:pPr>
      <w:r w:rsidRPr="00382917">
        <w:t>This</w:t>
      </w:r>
      <w:r w:rsidR="00EE4FC3">
        <w:t xml:space="preserve"> </w:t>
      </w:r>
      <w:r w:rsidRPr="00382917">
        <w:t>report</w:t>
      </w:r>
      <w:r w:rsidR="00EE4FC3">
        <w:t xml:space="preserve"> </w:t>
      </w:r>
      <w:r w:rsidRPr="00382917">
        <w:t>raced</w:t>
      </w:r>
      <w:r w:rsidR="00EE4FC3">
        <w:t xml:space="preserve"> </w:t>
      </w:r>
      <w:r w:rsidRPr="00382917">
        <w:t>like</w:t>
      </w:r>
      <w:r w:rsidR="00EE4FC3">
        <w:t xml:space="preserve"> </w:t>
      </w:r>
      <w:r w:rsidRPr="00382917">
        <w:t>a</w:t>
      </w:r>
      <w:r w:rsidR="00EE4FC3">
        <w:t xml:space="preserve"> </w:t>
      </w:r>
      <w:r w:rsidRPr="00382917">
        <w:t>grass</w:t>
      </w:r>
      <w:r w:rsidR="00EE4FC3">
        <w:t xml:space="preserve"> </w:t>
      </w:r>
      <w:r w:rsidRPr="00382917">
        <w:t>fire</w:t>
      </w:r>
      <w:r w:rsidR="00EE4FC3">
        <w:t xml:space="preserve"> </w:t>
      </w:r>
      <w:r w:rsidRPr="00382917">
        <w:t>through</w:t>
      </w:r>
      <w:r w:rsidR="00EE4FC3">
        <w:t xml:space="preserve"> </w:t>
      </w:r>
      <w:r w:rsidRPr="00382917">
        <w:t>all</w:t>
      </w:r>
      <w:r w:rsidR="00EE4FC3">
        <w:t xml:space="preserve"> </w:t>
      </w:r>
      <w:r w:rsidRPr="00382917">
        <w:t>the</w:t>
      </w:r>
      <w:r w:rsidR="00EE4FC3">
        <w:t xml:space="preserve"> </w:t>
      </w:r>
      <w:r w:rsidRPr="00382917">
        <w:t>surrounding</w:t>
      </w:r>
      <w:r w:rsidR="00EE4FC3">
        <w:t xml:space="preserve"> </w:t>
      </w:r>
      <w:r w:rsidRPr="00382917">
        <w:t>districts</w:t>
      </w:r>
      <w:r w:rsidR="0040329F">
        <w:t>.</w:t>
      </w:r>
      <w:r w:rsidR="00EE4FC3">
        <w:t xml:space="preserve">  </w:t>
      </w:r>
      <w:r w:rsidRPr="00382917">
        <w:t>It</w:t>
      </w:r>
      <w:r w:rsidR="00EE4FC3">
        <w:t xml:space="preserve"> </w:t>
      </w:r>
      <w:r w:rsidRPr="00382917">
        <w:t>caused</w:t>
      </w:r>
      <w:r w:rsidR="00EE4FC3">
        <w:t xml:space="preserve"> </w:t>
      </w:r>
      <w:r w:rsidRPr="00382917">
        <w:t>hatred</w:t>
      </w:r>
      <w:r w:rsidR="00EE4FC3">
        <w:t xml:space="preserve"> </w:t>
      </w:r>
      <w:r w:rsidRPr="00382917">
        <w:t>to</w:t>
      </w:r>
      <w:r w:rsidR="00EE4FC3">
        <w:t xml:space="preserve"> </w:t>
      </w:r>
      <w:r w:rsidRPr="00382917">
        <w:t>flare</w:t>
      </w:r>
      <w:r w:rsidR="00EE4FC3">
        <w:t xml:space="preserve"> </w:t>
      </w:r>
      <w:r w:rsidRPr="00382917">
        <w:t>up,</w:t>
      </w:r>
      <w:r w:rsidR="00EE4FC3">
        <w:t xml:space="preserve"> </w:t>
      </w:r>
      <w:r w:rsidRPr="00382917">
        <w:t>but,</w:t>
      </w:r>
      <w:r w:rsidR="00EE4FC3">
        <w:t xml:space="preserve"> </w:t>
      </w:r>
      <w:r w:rsidRPr="00382917">
        <w:t>at</w:t>
      </w:r>
      <w:r w:rsidR="00EE4FC3">
        <w:t xml:space="preserve"> </w:t>
      </w:r>
      <w:r w:rsidRPr="00382917">
        <w:t>the</w:t>
      </w:r>
      <w:r w:rsidR="00EE4FC3">
        <w:t xml:space="preserve"> </w:t>
      </w:r>
      <w:r w:rsidRPr="00382917">
        <w:t>same</w:t>
      </w:r>
      <w:r w:rsidR="00EE4FC3">
        <w:t xml:space="preserve"> </w:t>
      </w:r>
      <w:r w:rsidRPr="00382917">
        <w:t>time,</w:t>
      </w:r>
      <w:r w:rsidR="00EE4FC3">
        <w:t xml:space="preserve"> </w:t>
      </w:r>
      <w:r w:rsidRPr="00382917">
        <w:t>it</w:t>
      </w:r>
      <w:r w:rsidR="00EE4FC3">
        <w:t xml:space="preserve"> </w:t>
      </w:r>
      <w:r w:rsidRPr="00382917">
        <w:t>brought</w:t>
      </w:r>
      <w:r w:rsidR="00EE4FC3">
        <w:t xml:space="preserve"> </w:t>
      </w:r>
      <w:r w:rsidRPr="00382917">
        <w:t>crowds</w:t>
      </w:r>
      <w:r w:rsidR="00EE4FC3">
        <w:t xml:space="preserve"> </w:t>
      </w:r>
      <w:r w:rsidRPr="00382917">
        <w:t>of</w:t>
      </w:r>
      <w:r w:rsidR="00EE4FC3">
        <w:t xml:space="preserve"> </w:t>
      </w:r>
      <w:r w:rsidRPr="00382917">
        <w:t>interested</w:t>
      </w:r>
      <w:r w:rsidR="00EE4FC3">
        <w:t xml:space="preserve"> </w:t>
      </w:r>
      <w:r w:rsidRPr="00382917">
        <w:t>people</w:t>
      </w:r>
      <w:r w:rsidR="00EE4FC3">
        <w:t xml:space="preserve"> </w:t>
      </w:r>
      <w:r w:rsidRPr="00382917">
        <w:t>from</w:t>
      </w:r>
      <w:r w:rsidR="00EE4FC3">
        <w:t xml:space="preserve"> </w:t>
      </w:r>
      <w:r w:rsidRPr="00382917">
        <w:t>distant</w:t>
      </w:r>
      <w:r w:rsidR="00EE4FC3">
        <w:t xml:space="preserve"> </w:t>
      </w:r>
      <w:r w:rsidRPr="00382917">
        <w:t>towns</w:t>
      </w:r>
      <w:r w:rsidR="00EE4FC3">
        <w:t xml:space="preserve"> </w:t>
      </w:r>
      <w:r w:rsidRPr="00382917">
        <w:t>and</w:t>
      </w:r>
      <w:r w:rsidR="00EE4FC3">
        <w:t xml:space="preserve"> </w:t>
      </w:r>
      <w:r w:rsidRPr="00382917">
        <w:t>villages</w:t>
      </w:r>
      <w:r w:rsidR="0040329F">
        <w:t>.</w:t>
      </w:r>
      <w:r w:rsidR="00EE4FC3">
        <w:t xml:space="preserve">  </w:t>
      </w:r>
      <w:r w:rsidRPr="00382917">
        <w:t>They</w:t>
      </w:r>
      <w:r w:rsidR="00EE4FC3">
        <w:t xml:space="preserve"> </w:t>
      </w:r>
      <w:r w:rsidRPr="00382917">
        <w:t>flocked</w:t>
      </w:r>
      <w:r w:rsidR="00EE4FC3">
        <w:t xml:space="preserve"> </w:t>
      </w:r>
      <w:r w:rsidRPr="00382917">
        <w:t>to</w:t>
      </w:r>
      <w:r w:rsidR="00EE4FC3">
        <w:t xml:space="preserve"> </w:t>
      </w:r>
      <w:proofErr w:type="spellStart"/>
      <w:r w:rsidRPr="00382917">
        <w:t>Vaḥíd</w:t>
      </w:r>
      <w:r w:rsidR="009C713D" w:rsidRPr="00382917">
        <w:t>’</w:t>
      </w:r>
      <w:r w:rsidRPr="00382917">
        <w:t>s</w:t>
      </w:r>
      <w:proofErr w:type="spellEnd"/>
      <w:r w:rsidR="00EE4FC3">
        <w:t xml:space="preserve"> </w:t>
      </w:r>
      <w:r w:rsidRPr="00382917">
        <w:t>home</w:t>
      </w:r>
      <w:r w:rsidR="00EE4FC3">
        <w:t xml:space="preserve"> </w:t>
      </w:r>
      <w:r w:rsidRPr="00382917">
        <w:t>to</w:t>
      </w:r>
      <w:r w:rsidR="00EE4FC3">
        <w:t xml:space="preserve"> </w:t>
      </w:r>
      <w:r w:rsidRPr="00382917">
        <w:t>hear</w:t>
      </w:r>
      <w:r w:rsidR="00EE4FC3">
        <w:t xml:space="preserve"> </w:t>
      </w:r>
      <w:r w:rsidRPr="00382917">
        <w:t>the</w:t>
      </w:r>
      <w:r w:rsidR="00EE4FC3">
        <w:t xml:space="preserve"> </w:t>
      </w:r>
      <w:r w:rsidRPr="00382917">
        <w:t>message</w:t>
      </w:r>
      <w:r w:rsidR="00EE4FC3">
        <w:t xml:space="preserve"> </w:t>
      </w:r>
      <w:r w:rsidRPr="00382917">
        <w:t>of</w:t>
      </w:r>
      <w:r w:rsidR="00EE4FC3">
        <w:t xml:space="preserve"> </w:t>
      </w:r>
      <w:r w:rsidRPr="00382917">
        <w:t>the</w:t>
      </w:r>
      <w:r w:rsidR="00EE4FC3">
        <w:t xml:space="preserve"> </w:t>
      </w:r>
      <w:r w:rsidRPr="00382917">
        <w:t>B</w:t>
      </w:r>
      <w:r w:rsidR="0040329F" w:rsidRPr="0040329F">
        <w:t>á</w:t>
      </w:r>
      <w:r w:rsidRPr="00382917">
        <w:t>b</w:t>
      </w:r>
      <w:r w:rsidR="0040329F">
        <w:t>.</w:t>
      </w:r>
      <w:r w:rsidR="00EE4FC3">
        <w:t xml:space="preserve">  </w:t>
      </w:r>
      <w:r w:rsidRPr="00382917">
        <w:t>A</w:t>
      </w:r>
      <w:r w:rsidR="00EE4FC3">
        <w:t xml:space="preserve"> </w:t>
      </w:r>
      <w:r w:rsidRPr="00382917">
        <w:t>great</w:t>
      </w:r>
      <w:r w:rsidR="00EE4FC3">
        <w:t xml:space="preserve"> </w:t>
      </w:r>
      <w:r w:rsidRPr="00382917">
        <w:t>many</w:t>
      </w:r>
      <w:r w:rsidR="00EE4FC3">
        <w:t xml:space="preserve"> </w:t>
      </w:r>
      <w:r w:rsidRPr="00382917">
        <w:t>embraced</w:t>
      </w:r>
      <w:r w:rsidR="00EE4FC3">
        <w:t xml:space="preserve"> </w:t>
      </w:r>
      <w:r w:rsidRPr="00382917">
        <w:t>the</w:t>
      </w:r>
      <w:r w:rsidR="00EE4FC3">
        <w:t xml:space="preserve"> </w:t>
      </w:r>
      <w:r w:rsidRPr="00382917">
        <w:t>Faith.</w:t>
      </w:r>
    </w:p>
    <w:p w:rsidR="007E595F" w:rsidRPr="00382917" w:rsidRDefault="009C713D" w:rsidP="007E595F">
      <w:pPr>
        <w:pStyle w:val="Text"/>
      </w:pPr>
      <w:r w:rsidRPr="00382917">
        <w:t>“</w:t>
      </w:r>
      <w:r w:rsidR="007E595F" w:rsidRPr="00382917">
        <w:t>What</w:t>
      </w:r>
      <w:r w:rsidR="00EE4FC3">
        <w:t xml:space="preserve"> </w:t>
      </w:r>
      <w:r w:rsidR="007E595F" w:rsidRPr="00382917">
        <w:t>shall</w:t>
      </w:r>
      <w:r w:rsidR="00EE4FC3">
        <w:t xml:space="preserve"> </w:t>
      </w:r>
      <w:r w:rsidR="007E595F" w:rsidRPr="00382917">
        <w:t>we</w:t>
      </w:r>
      <w:r w:rsidR="00EE4FC3">
        <w:t xml:space="preserve"> </w:t>
      </w:r>
      <w:r w:rsidR="007E595F" w:rsidRPr="00382917">
        <w:t>do</w:t>
      </w:r>
      <w:r w:rsidR="00EE4FC3">
        <w:t xml:space="preserve"> </w:t>
      </w:r>
      <w:r w:rsidR="007E595F" w:rsidRPr="00382917">
        <w:t>next?</w:t>
      </w:r>
      <w:r w:rsidRPr="00382917">
        <w:t>”</w:t>
      </w:r>
      <w:r w:rsidR="00EE4FC3">
        <w:t xml:space="preserve"> </w:t>
      </w:r>
      <w:r w:rsidR="007E595F" w:rsidRPr="00382917">
        <w:t>they</w:t>
      </w:r>
      <w:r w:rsidR="00EE4FC3">
        <w:t xml:space="preserve"> </w:t>
      </w:r>
      <w:r w:rsidR="007E595F" w:rsidRPr="00382917">
        <w:t>asked</w:t>
      </w:r>
      <w:r w:rsidR="00EE4FC3">
        <w:t xml:space="preserve"> </w:t>
      </w:r>
      <w:r w:rsidR="007E595F" w:rsidRPr="00382917">
        <w:t>Vaḥíd</w:t>
      </w:r>
      <w:r w:rsidR="0040329F">
        <w:t>.</w:t>
      </w:r>
      <w:r w:rsidR="00EE4FC3">
        <w:t xml:space="preserve">  </w:t>
      </w:r>
      <w:r w:rsidRPr="00382917">
        <w:t>“</w:t>
      </w:r>
      <w:r w:rsidR="007E595F" w:rsidRPr="00382917">
        <w:t>How</w:t>
      </w:r>
      <w:r w:rsidR="00EE4FC3">
        <w:t xml:space="preserve"> </w:t>
      </w:r>
      <w:r w:rsidR="007E595F" w:rsidRPr="00382917">
        <w:t>can</w:t>
      </w:r>
      <w:r w:rsidR="00EE4FC3">
        <w:t xml:space="preserve"> </w:t>
      </w:r>
      <w:r w:rsidR="007E595F" w:rsidRPr="00382917">
        <w:t>we</w:t>
      </w:r>
      <w:r w:rsidR="00EE4FC3">
        <w:t xml:space="preserve"> </w:t>
      </w:r>
      <w:r w:rsidR="007E595F" w:rsidRPr="00382917">
        <w:t>demonstrate</w:t>
      </w:r>
      <w:r w:rsidR="00EE4FC3">
        <w:t xml:space="preserve"> </w:t>
      </w:r>
      <w:r w:rsidR="007E595F" w:rsidRPr="00382917">
        <w:t>the</w:t>
      </w:r>
      <w:r w:rsidR="00EE4FC3">
        <w:t xml:space="preserve"> </w:t>
      </w:r>
      <w:r w:rsidR="007E595F" w:rsidRPr="00382917">
        <w:t>depth</w:t>
      </w:r>
      <w:r w:rsidR="00EE4FC3">
        <w:t xml:space="preserve"> </w:t>
      </w:r>
      <w:r w:rsidR="007E595F" w:rsidRPr="00382917">
        <w:t>and</w:t>
      </w:r>
      <w:r w:rsidR="00EE4FC3">
        <w:t xml:space="preserve"> </w:t>
      </w:r>
      <w:r w:rsidR="007E595F" w:rsidRPr="00382917">
        <w:t>sincerity</w:t>
      </w:r>
      <w:r w:rsidR="00EE4FC3">
        <w:t xml:space="preserve"> </w:t>
      </w:r>
      <w:r w:rsidR="007E595F" w:rsidRPr="00382917">
        <w:t>of</w:t>
      </w:r>
      <w:r w:rsidR="00EE4FC3">
        <w:t xml:space="preserve"> </w:t>
      </w:r>
      <w:r w:rsidR="007E595F" w:rsidRPr="00382917">
        <w:t>our</w:t>
      </w:r>
      <w:r w:rsidR="00EE4FC3">
        <w:t xml:space="preserve"> </w:t>
      </w:r>
      <w:r w:rsidR="007E595F" w:rsidRPr="00382917">
        <w:t>faith?</w:t>
      </w:r>
      <w:r w:rsidRPr="00382917">
        <w:t>”</w:t>
      </w:r>
    </w:p>
    <w:p w:rsidR="007E595F" w:rsidRPr="00382917" w:rsidRDefault="007E595F" w:rsidP="007E595F">
      <w:pPr>
        <w:pStyle w:val="Text"/>
      </w:pPr>
      <w:r w:rsidRPr="00382917">
        <w:t>Each</w:t>
      </w:r>
      <w:r w:rsidR="00EE4FC3">
        <w:t xml:space="preserve"> </w:t>
      </w:r>
      <w:r w:rsidRPr="00382917">
        <w:t>day</w:t>
      </w:r>
      <w:r w:rsidR="00EE4FC3">
        <w:t xml:space="preserve"> </w:t>
      </w:r>
      <w:r w:rsidRPr="00382917">
        <w:t>from</w:t>
      </w:r>
      <w:r w:rsidR="00EE4FC3">
        <w:t xml:space="preserve"> </w:t>
      </w:r>
      <w:r w:rsidRPr="00382917">
        <w:t>early</w:t>
      </w:r>
      <w:r w:rsidR="00EE4FC3">
        <w:t xml:space="preserve"> </w:t>
      </w:r>
      <w:r w:rsidRPr="00382917">
        <w:t>morning</w:t>
      </w:r>
      <w:r w:rsidR="00EE4FC3">
        <w:t xml:space="preserve"> </w:t>
      </w:r>
      <w:r w:rsidRPr="00382917">
        <w:t>until</w:t>
      </w:r>
      <w:r w:rsidR="00EE4FC3">
        <w:t xml:space="preserve"> </w:t>
      </w:r>
      <w:r w:rsidRPr="00382917">
        <w:t>late</w:t>
      </w:r>
      <w:r w:rsidR="00EE4FC3">
        <w:t xml:space="preserve"> </w:t>
      </w:r>
      <w:r w:rsidRPr="00382917">
        <w:t>night,</w:t>
      </w:r>
      <w:r w:rsidR="00EE4FC3">
        <w:t xml:space="preserve"> </w:t>
      </w:r>
      <w:r w:rsidRPr="00382917">
        <w:t>Vaḥíd</w:t>
      </w:r>
      <w:r w:rsidR="00EE4FC3">
        <w:t xml:space="preserve"> </w:t>
      </w:r>
      <w:r w:rsidRPr="00382917">
        <w:t>was</w:t>
      </w:r>
      <w:r w:rsidR="00EE4FC3">
        <w:t xml:space="preserve"> </w:t>
      </w:r>
      <w:r w:rsidRPr="00382917">
        <w:t>absorbed</w:t>
      </w:r>
      <w:r w:rsidR="00EE4FC3">
        <w:t xml:space="preserve"> </w:t>
      </w:r>
      <w:r w:rsidRPr="00382917">
        <w:t>in</w:t>
      </w:r>
      <w:r w:rsidR="00EE4FC3">
        <w:t xml:space="preserve"> </w:t>
      </w:r>
      <w:r w:rsidRPr="00382917">
        <w:t>teaching</w:t>
      </w:r>
      <w:r w:rsidR="00EE4FC3">
        <w:t xml:space="preserve"> </w:t>
      </w:r>
      <w:r w:rsidRPr="00382917">
        <w:t>them,</w:t>
      </w:r>
      <w:r w:rsidR="00EE4FC3">
        <w:t xml:space="preserve"> </w:t>
      </w:r>
      <w:r w:rsidRPr="00382917">
        <w:t>answering</w:t>
      </w:r>
      <w:r w:rsidR="00EE4FC3">
        <w:t xml:space="preserve"> </w:t>
      </w:r>
      <w:r w:rsidRPr="00382917">
        <w:t>their</w:t>
      </w:r>
      <w:r w:rsidR="00EE4FC3">
        <w:t xml:space="preserve"> </w:t>
      </w:r>
      <w:r w:rsidRPr="00382917">
        <w:t>questions,</w:t>
      </w:r>
      <w:r w:rsidR="00EE4FC3">
        <w:t xml:space="preserve"> </w:t>
      </w:r>
      <w:r w:rsidRPr="00382917">
        <w:t>and</w:t>
      </w:r>
      <w:r w:rsidR="00EE4FC3">
        <w:t xml:space="preserve"> </w:t>
      </w:r>
      <w:r w:rsidRPr="00382917">
        <w:t>inspiring</w:t>
      </w:r>
      <w:r w:rsidR="00EE4FC3">
        <w:t xml:space="preserve"> </w:t>
      </w:r>
      <w:r w:rsidRPr="00382917">
        <w:t>them</w:t>
      </w:r>
      <w:r w:rsidR="00EE4FC3">
        <w:t xml:space="preserve"> </w:t>
      </w:r>
      <w:r w:rsidRPr="00382917">
        <w:t>to</w:t>
      </w:r>
      <w:r w:rsidR="00EE4FC3">
        <w:t xml:space="preserve"> </w:t>
      </w:r>
      <w:r w:rsidRPr="00382917">
        <w:t>return</w:t>
      </w:r>
      <w:r w:rsidR="00EE4FC3">
        <w:t xml:space="preserve"> </w:t>
      </w:r>
      <w:r w:rsidRPr="00382917">
        <w:t>home</w:t>
      </w:r>
      <w:r w:rsidR="00EE4FC3">
        <w:t xml:space="preserve"> </w:t>
      </w:r>
      <w:r w:rsidRPr="00382917">
        <w:t>where</w:t>
      </w:r>
      <w:r w:rsidR="00EE4FC3">
        <w:t xml:space="preserve"> </w:t>
      </w:r>
      <w:r w:rsidRPr="00382917">
        <w:t>they</w:t>
      </w:r>
      <w:r w:rsidR="00EE4FC3">
        <w:t xml:space="preserve"> </w:t>
      </w:r>
      <w:r w:rsidRPr="00382917">
        <w:t>could</w:t>
      </w:r>
      <w:r w:rsidR="00EE4FC3">
        <w:t xml:space="preserve"> </w:t>
      </w:r>
      <w:r w:rsidRPr="00382917">
        <w:t>teach</w:t>
      </w:r>
      <w:r w:rsidR="00EE4FC3">
        <w:t xml:space="preserve"> </w:t>
      </w:r>
      <w:r w:rsidRPr="00382917">
        <w:t>in</w:t>
      </w:r>
      <w:r w:rsidR="00EE4FC3">
        <w:t xml:space="preserve"> </w:t>
      </w:r>
      <w:r w:rsidRPr="00382917">
        <w:t>their</w:t>
      </w:r>
      <w:r w:rsidR="00EE4FC3">
        <w:t xml:space="preserve"> </w:t>
      </w:r>
      <w:r w:rsidRPr="00382917">
        <w:t>own</w:t>
      </w:r>
      <w:r w:rsidR="00EE4FC3">
        <w:t xml:space="preserve"> </w:t>
      </w:r>
      <w:r w:rsidRPr="00382917">
        <w:t>villages.</w:t>
      </w:r>
    </w:p>
    <w:p w:rsidR="007E595F" w:rsidRPr="00382917" w:rsidRDefault="007E595F" w:rsidP="007E595F">
      <w:pPr>
        <w:pStyle w:val="Text"/>
      </w:pPr>
      <w:r w:rsidRPr="00382917">
        <w:t>For</w:t>
      </w:r>
      <w:r w:rsidR="00EE4FC3">
        <w:t xml:space="preserve"> </w:t>
      </w:r>
      <w:r w:rsidRPr="00382917">
        <w:t>forty</w:t>
      </w:r>
      <w:r w:rsidR="00EE4FC3">
        <w:t xml:space="preserve"> </w:t>
      </w:r>
      <w:r w:rsidRPr="00382917">
        <w:t>days</w:t>
      </w:r>
      <w:r w:rsidR="00EE4FC3">
        <w:t xml:space="preserve"> </w:t>
      </w:r>
      <w:r w:rsidRPr="00382917">
        <w:t>this</w:t>
      </w:r>
      <w:r w:rsidR="00EE4FC3">
        <w:t xml:space="preserve"> </w:t>
      </w:r>
      <w:r w:rsidRPr="00382917">
        <w:t>feverish</w:t>
      </w:r>
      <w:r w:rsidR="00EE4FC3">
        <w:t xml:space="preserve"> </w:t>
      </w:r>
      <w:r w:rsidRPr="00382917">
        <w:t>teaching</w:t>
      </w:r>
      <w:r w:rsidR="00EE4FC3">
        <w:t xml:space="preserve"> </w:t>
      </w:r>
      <w:r w:rsidRPr="00382917">
        <w:t>activity</w:t>
      </w:r>
      <w:r w:rsidR="00EE4FC3">
        <w:t xml:space="preserve"> </w:t>
      </w:r>
      <w:r w:rsidRPr="00382917">
        <w:t>continued</w:t>
      </w:r>
      <w:r w:rsidR="0040329F">
        <w:t>.</w:t>
      </w:r>
      <w:r w:rsidR="00EE4FC3">
        <w:t xml:space="preserve">  </w:t>
      </w:r>
      <w:proofErr w:type="spellStart"/>
      <w:r w:rsidRPr="00382917">
        <w:t>Vaḥíd</w:t>
      </w:r>
      <w:r w:rsidR="009C713D" w:rsidRPr="00382917">
        <w:t>’</w:t>
      </w:r>
      <w:r w:rsidRPr="00382917">
        <w:t>s</w:t>
      </w:r>
      <w:proofErr w:type="spellEnd"/>
      <w:r w:rsidR="00EE4FC3">
        <w:t xml:space="preserve"> </w:t>
      </w:r>
      <w:r w:rsidRPr="00382917">
        <w:t>home</w:t>
      </w:r>
      <w:r w:rsidR="00EE4FC3">
        <w:t xml:space="preserve"> </w:t>
      </w:r>
      <w:r w:rsidRPr="00382917">
        <w:t>became</w:t>
      </w:r>
      <w:r w:rsidR="00EE4FC3">
        <w:t xml:space="preserve"> </w:t>
      </w:r>
      <w:r w:rsidRPr="00382917">
        <w:t>a</w:t>
      </w:r>
      <w:r w:rsidR="00EE4FC3">
        <w:t xml:space="preserve"> </w:t>
      </w:r>
      <w:r w:rsidRPr="00382917">
        <w:t>rallying</w:t>
      </w:r>
      <w:r w:rsidR="00EE4FC3">
        <w:t xml:space="preserve"> </w:t>
      </w:r>
      <w:r w:rsidRPr="00382917">
        <w:t>point</w:t>
      </w:r>
      <w:r w:rsidR="00EE4FC3">
        <w:t xml:space="preserve"> </w:t>
      </w:r>
      <w:r w:rsidRPr="00382917">
        <w:t>for</w:t>
      </w:r>
      <w:r w:rsidR="00EE4FC3">
        <w:t xml:space="preserve"> </w:t>
      </w:r>
      <w:r w:rsidRPr="00382917">
        <w:t>both</w:t>
      </w:r>
      <w:r w:rsidR="00EE4FC3">
        <w:t xml:space="preserve"> </w:t>
      </w:r>
      <w:r w:rsidRPr="00382917">
        <w:t>men</w:t>
      </w:r>
      <w:r w:rsidR="00EE4FC3">
        <w:t xml:space="preserve"> </w:t>
      </w:r>
      <w:r w:rsidRPr="00382917">
        <w:t>and</w:t>
      </w:r>
      <w:r w:rsidR="00EE4FC3">
        <w:t xml:space="preserve"> </w:t>
      </w:r>
      <w:r w:rsidRPr="00382917">
        <w:t>women</w:t>
      </w:r>
      <w:r w:rsidR="0040329F">
        <w:t>.</w:t>
      </w:r>
      <w:r w:rsidR="00EE4FC3">
        <w:t xml:space="preserve">  </w:t>
      </w:r>
      <w:r w:rsidRPr="00382917">
        <w:t>The</w:t>
      </w:r>
      <w:r w:rsidR="00EE4FC3">
        <w:t xml:space="preserve"> </w:t>
      </w:r>
      <w:r w:rsidRPr="00382917">
        <w:t>Navváb</w:t>
      </w:r>
      <w:r w:rsidR="00EE4FC3">
        <w:t xml:space="preserve"> </w:t>
      </w:r>
      <w:r w:rsidRPr="00382917">
        <w:t>finally</w:t>
      </w:r>
      <w:r w:rsidR="00EE4FC3">
        <w:t xml:space="preserve"> </w:t>
      </w:r>
      <w:r w:rsidRPr="00382917">
        <w:t>convinced</w:t>
      </w:r>
      <w:r w:rsidR="00EE4FC3">
        <w:t xml:space="preserve"> </w:t>
      </w:r>
      <w:r w:rsidRPr="00382917">
        <w:t>the</w:t>
      </w:r>
      <w:r w:rsidR="00EE4FC3">
        <w:t xml:space="preserve"> </w:t>
      </w:r>
      <w:r w:rsidRPr="00382917">
        <w:t>governor</w:t>
      </w:r>
      <w:r w:rsidR="00EE4FC3">
        <w:t xml:space="preserve"> </w:t>
      </w:r>
      <w:r w:rsidRPr="00382917">
        <w:t>of</w:t>
      </w:r>
      <w:r w:rsidR="00EE4FC3">
        <w:t xml:space="preserve"> </w:t>
      </w:r>
      <w:r w:rsidRPr="00382917">
        <w:t>Yazd</w:t>
      </w:r>
      <w:r w:rsidR="00EE4FC3">
        <w:t xml:space="preserve"> </w:t>
      </w:r>
      <w:r w:rsidRPr="00382917">
        <w:t>that</w:t>
      </w:r>
      <w:r w:rsidR="00EE4FC3">
        <w:t xml:space="preserve"> </w:t>
      </w:r>
      <w:r w:rsidRPr="00382917">
        <w:t>if</w:t>
      </w:r>
      <w:r w:rsidR="00EE4FC3">
        <w:t xml:space="preserve"> </w:t>
      </w:r>
      <w:r w:rsidRPr="00382917">
        <w:t>Vaḥíd</w:t>
      </w:r>
      <w:r w:rsidR="00EE4FC3">
        <w:t xml:space="preserve"> </w:t>
      </w:r>
      <w:r w:rsidRPr="00382917">
        <w:t>was</w:t>
      </w:r>
      <w:r w:rsidR="00EE4FC3">
        <w:t xml:space="preserve"> </w:t>
      </w:r>
      <w:r w:rsidRPr="00382917">
        <w:t>not</w:t>
      </w:r>
      <w:r w:rsidR="00EE4FC3">
        <w:t xml:space="preserve"> </w:t>
      </w:r>
      <w:r w:rsidRPr="00382917">
        <w:t>restrained,</w:t>
      </w:r>
      <w:r w:rsidR="00EE4FC3">
        <w:t xml:space="preserve"> </w:t>
      </w:r>
      <w:r w:rsidRPr="00382917">
        <w:t>the</w:t>
      </w:r>
      <w:r w:rsidR="00EE4FC3">
        <w:t xml:space="preserve"> </w:t>
      </w:r>
      <w:r w:rsidRPr="00382917">
        <w:t>city</w:t>
      </w:r>
      <w:r w:rsidR="00EE4FC3">
        <w:t xml:space="preserve"> </w:t>
      </w:r>
      <w:r w:rsidRPr="00382917">
        <w:t>would</w:t>
      </w:r>
      <w:r w:rsidR="00EE4FC3">
        <w:t xml:space="preserve"> </w:t>
      </w:r>
      <w:r w:rsidRPr="00382917">
        <w:t>soon</w:t>
      </w:r>
      <w:r w:rsidR="00EE4FC3">
        <w:t xml:space="preserve"> </w:t>
      </w:r>
      <w:r w:rsidRPr="00382917">
        <w:t>revolt</w:t>
      </w:r>
      <w:r w:rsidR="00EE4FC3">
        <w:t xml:space="preserve"> </w:t>
      </w:r>
      <w:r w:rsidRPr="00382917">
        <w:t>from</w:t>
      </w:r>
      <w:r w:rsidR="00EE4FC3">
        <w:t xml:space="preserve"> </w:t>
      </w:r>
      <w:r w:rsidRPr="00382917">
        <w:t>the</w:t>
      </w:r>
      <w:r w:rsidR="00EE4FC3">
        <w:t xml:space="preserve"> </w:t>
      </w:r>
      <w:r w:rsidRPr="00382917">
        <w:t>government</w:t>
      </w:r>
      <w:r w:rsidR="00EE4FC3">
        <w:t xml:space="preserve"> </w:t>
      </w:r>
      <w:r w:rsidRPr="00382917">
        <w:t>of</w:t>
      </w:r>
      <w:r w:rsidR="00EE4FC3">
        <w:t xml:space="preserve"> </w:t>
      </w:r>
      <w:r w:rsidRPr="00382917">
        <w:t>the</w:t>
      </w:r>
      <w:r w:rsidR="00EE4FC3">
        <w:t xml:space="preserve"> </w:t>
      </w:r>
      <w:r w:rsidRPr="00382917">
        <w:t>king,</w:t>
      </w:r>
      <w:r w:rsidR="00EE4FC3">
        <w:t xml:space="preserve"> </w:t>
      </w:r>
      <w:r w:rsidRPr="00382917">
        <w:t>and</w:t>
      </w:r>
      <w:r w:rsidR="00EE4FC3">
        <w:t xml:space="preserve"> </w:t>
      </w:r>
      <w:r w:rsidRPr="00382917">
        <w:t>that</w:t>
      </w:r>
      <w:r w:rsidR="00EE4FC3">
        <w:t xml:space="preserve"> </w:t>
      </w:r>
      <w:r w:rsidRPr="00382917">
        <w:t>he,</w:t>
      </w:r>
      <w:r w:rsidR="00EE4FC3">
        <w:t xml:space="preserve"> </w:t>
      </w:r>
      <w:r w:rsidRPr="00382917">
        <w:t>the</w:t>
      </w:r>
      <w:r w:rsidR="00EE4FC3">
        <w:t xml:space="preserve"> </w:t>
      </w:r>
      <w:r w:rsidRPr="00382917">
        <w:t>governor,</w:t>
      </w:r>
      <w:r w:rsidR="00EE4FC3">
        <w:t xml:space="preserve"> </w:t>
      </w:r>
      <w:r w:rsidRPr="00382917">
        <w:t>would</w:t>
      </w:r>
      <w:r w:rsidR="00EE4FC3">
        <w:t xml:space="preserve"> </w:t>
      </w:r>
      <w:r w:rsidRPr="00382917">
        <w:t>be</w:t>
      </w:r>
      <w:r w:rsidR="00EE4FC3">
        <w:t xml:space="preserve"> </w:t>
      </w:r>
      <w:r w:rsidRPr="00382917">
        <w:t>to</w:t>
      </w:r>
      <w:r w:rsidR="00EE4FC3">
        <w:t xml:space="preserve"> </w:t>
      </w:r>
      <w:r w:rsidRPr="00382917">
        <w:t>blame</w:t>
      </w:r>
      <w:r w:rsidR="0040329F">
        <w:t>.</w:t>
      </w:r>
      <w:r w:rsidR="00EE4FC3">
        <w:t xml:space="preserve">  </w:t>
      </w:r>
      <w:r w:rsidRPr="00382917">
        <w:t>The</w:t>
      </w:r>
      <w:r w:rsidR="00EE4FC3">
        <w:t xml:space="preserve"> </w:t>
      </w:r>
      <w:r w:rsidRPr="00382917">
        <w:t>governor</w:t>
      </w:r>
      <w:r w:rsidR="00EE4FC3">
        <w:t xml:space="preserve"> </w:t>
      </w:r>
      <w:r w:rsidRPr="00382917">
        <w:t>was</w:t>
      </w:r>
      <w:r w:rsidR="00EE4FC3">
        <w:t xml:space="preserve"> </w:t>
      </w:r>
      <w:r w:rsidRPr="00382917">
        <w:t>new,</w:t>
      </w:r>
      <w:r w:rsidR="00EE4FC3">
        <w:t xml:space="preserve"> </w:t>
      </w:r>
      <w:r w:rsidRPr="00382917">
        <w:t>young</w:t>
      </w:r>
      <w:r w:rsidR="00EE4FC3">
        <w:t xml:space="preserve"> </w:t>
      </w:r>
      <w:r w:rsidRPr="00382917">
        <w:t>and</w:t>
      </w:r>
      <w:r w:rsidR="00EE4FC3">
        <w:t xml:space="preserve"> </w:t>
      </w:r>
      <w:r w:rsidRPr="00382917">
        <w:t>inexperienced</w:t>
      </w:r>
      <w:r w:rsidR="0040329F">
        <w:t>.</w:t>
      </w:r>
      <w:r w:rsidR="00EE4FC3">
        <w:t xml:space="preserve">  </w:t>
      </w:r>
      <w:r w:rsidRPr="00382917">
        <w:t>The</w:t>
      </w:r>
      <w:r w:rsidR="00EE4FC3">
        <w:t xml:space="preserve"> </w:t>
      </w:r>
      <w:r w:rsidRPr="00382917">
        <w:t>Navváb</w:t>
      </w:r>
      <w:r w:rsidR="00EE4FC3">
        <w:t xml:space="preserve"> </w:t>
      </w:r>
      <w:r w:rsidRPr="00382917">
        <w:t>entreated</w:t>
      </w:r>
      <w:r w:rsidR="00EE4FC3">
        <w:t xml:space="preserve"> </w:t>
      </w:r>
      <w:r w:rsidRPr="00382917">
        <w:t>him</w:t>
      </w:r>
      <w:r w:rsidR="00EE4FC3">
        <w:t xml:space="preserve"> </w:t>
      </w:r>
      <w:r w:rsidRPr="00382917">
        <w:t>day</w:t>
      </w:r>
      <w:r w:rsidR="00EE4FC3">
        <w:t xml:space="preserve"> </w:t>
      </w:r>
      <w:r w:rsidRPr="00382917">
        <w:t>after</w:t>
      </w:r>
      <w:r w:rsidR="00EE4FC3">
        <w:t xml:space="preserve"> </w:t>
      </w:r>
      <w:r w:rsidRPr="00382917">
        <w:t>day</w:t>
      </w:r>
      <w:r w:rsidR="00EE4FC3">
        <w:t xml:space="preserve"> </w:t>
      </w:r>
      <w:r w:rsidRPr="00382917">
        <w:t>to</w:t>
      </w:r>
      <w:r w:rsidR="00EE4FC3">
        <w:t xml:space="preserve"> </w:t>
      </w:r>
      <w:r w:rsidRPr="00382917">
        <w:t>send</w:t>
      </w:r>
      <w:r w:rsidR="00EE4FC3">
        <w:t xml:space="preserve"> </w:t>
      </w:r>
      <w:r w:rsidRPr="00382917">
        <w:t>a</w:t>
      </w:r>
      <w:r w:rsidR="00EE4FC3">
        <w:t xml:space="preserve"> </w:t>
      </w:r>
      <w:r w:rsidRPr="00382917">
        <w:t>force</w:t>
      </w:r>
      <w:r w:rsidR="00EE4FC3">
        <w:t xml:space="preserve"> </w:t>
      </w:r>
      <w:r w:rsidRPr="00382917">
        <w:t>of</w:t>
      </w:r>
      <w:r w:rsidR="00EE4FC3">
        <w:t xml:space="preserve"> </w:t>
      </w:r>
      <w:r w:rsidRPr="00382917">
        <w:t>armed</w:t>
      </w:r>
      <w:r w:rsidR="00EE4FC3">
        <w:t xml:space="preserve"> </w:t>
      </w:r>
      <w:r w:rsidRPr="00382917">
        <w:t>men</w:t>
      </w:r>
      <w:r w:rsidR="00EE4FC3">
        <w:t xml:space="preserve"> </w:t>
      </w:r>
      <w:r w:rsidRPr="00382917">
        <w:t>to</w:t>
      </w:r>
      <w:r w:rsidR="00EE4FC3">
        <w:t xml:space="preserve"> </w:t>
      </w:r>
      <w:r w:rsidRPr="00382917">
        <w:t>surround</w:t>
      </w:r>
      <w:r w:rsidR="00EE4FC3">
        <w:t xml:space="preserve"> </w:t>
      </w:r>
      <w:proofErr w:type="spellStart"/>
      <w:r w:rsidRPr="00382917">
        <w:t>Vaḥíd</w:t>
      </w:r>
      <w:r w:rsidR="009C713D" w:rsidRPr="00382917">
        <w:t>’</w:t>
      </w:r>
      <w:r w:rsidRPr="00382917">
        <w:t>s</w:t>
      </w:r>
      <w:proofErr w:type="spellEnd"/>
      <w:r w:rsidR="00EE4FC3">
        <w:t xml:space="preserve"> </w:t>
      </w:r>
      <w:r w:rsidRPr="00382917">
        <w:t>home</w:t>
      </w:r>
      <w:r w:rsidR="00EE4FC3">
        <w:t xml:space="preserve"> </w:t>
      </w:r>
      <w:r w:rsidRPr="00382917">
        <w:t>and</w:t>
      </w:r>
      <w:r w:rsidR="00EE4FC3">
        <w:t xml:space="preserve"> </w:t>
      </w:r>
      <w:r w:rsidRPr="00382917">
        <w:t>put</w:t>
      </w:r>
      <w:r w:rsidR="00EE4FC3">
        <w:t xml:space="preserve"> </w:t>
      </w:r>
      <w:r w:rsidRPr="00382917">
        <w:t>an</w:t>
      </w:r>
      <w:r w:rsidR="00EE4FC3">
        <w:t xml:space="preserve"> </w:t>
      </w:r>
      <w:r w:rsidRPr="00382917">
        <w:t>end</w:t>
      </w:r>
      <w:r w:rsidR="00EE4FC3">
        <w:t xml:space="preserve"> </w:t>
      </w:r>
      <w:r w:rsidRPr="00382917">
        <w:t>to</w:t>
      </w:r>
      <w:r w:rsidR="00EE4FC3">
        <w:t xml:space="preserve"> </w:t>
      </w:r>
      <w:r w:rsidRPr="00382917">
        <w:t>this</w:t>
      </w:r>
      <w:r w:rsidR="00EE4FC3">
        <w:t xml:space="preserve"> </w:t>
      </w:r>
      <w:r w:rsidRPr="00382917">
        <w:t>teaching</w:t>
      </w:r>
      <w:r w:rsidR="0040329F">
        <w:t>.</w:t>
      </w:r>
      <w:r w:rsidR="00EE4FC3">
        <w:t xml:space="preserve">  </w:t>
      </w:r>
      <w:r w:rsidRPr="00382917">
        <w:t>After</w:t>
      </w:r>
      <w:r w:rsidR="00EE4FC3">
        <w:t xml:space="preserve"> </w:t>
      </w:r>
      <w:r w:rsidRPr="00382917">
        <w:t>all,</w:t>
      </w:r>
      <w:r w:rsidR="00EE4FC3">
        <w:t xml:space="preserve"> </w:t>
      </w:r>
      <w:r w:rsidRPr="00382917">
        <w:t>the</w:t>
      </w:r>
      <w:r w:rsidR="00EE4FC3">
        <w:t xml:space="preserve"> </w:t>
      </w:r>
      <w:r w:rsidRPr="00382917">
        <w:t>Navváb</w:t>
      </w:r>
      <w:r w:rsidR="00EE4FC3">
        <w:t xml:space="preserve"> </w:t>
      </w:r>
      <w:r w:rsidRPr="00382917">
        <w:t>told</w:t>
      </w:r>
      <w:r w:rsidR="00EE4FC3">
        <w:t xml:space="preserve"> </w:t>
      </w:r>
      <w:r w:rsidRPr="00382917">
        <w:t>the</w:t>
      </w:r>
      <w:r w:rsidR="00EE4FC3">
        <w:t xml:space="preserve"> </w:t>
      </w:r>
      <w:r w:rsidRPr="00382917">
        <w:t>governor,</w:t>
      </w:r>
      <w:r w:rsidR="00EE4FC3">
        <w:t xml:space="preserve"> </w:t>
      </w:r>
      <w:r w:rsidRPr="00382917">
        <w:t>hadn</w:t>
      </w:r>
      <w:r w:rsidR="009C713D" w:rsidRPr="00382917">
        <w:t>’</w:t>
      </w:r>
      <w:r w:rsidRPr="00382917">
        <w:t>t</w:t>
      </w:r>
      <w:r w:rsidR="00EE4FC3">
        <w:t xml:space="preserve"> </w:t>
      </w:r>
      <w:r w:rsidRPr="00382917">
        <w:t>the</w:t>
      </w:r>
      <w:r w:rsidR="00EE4FC3">
        <w:t xml:space="preserve"> </w:t>
      </w:r>
      <w:r w:rsidRPr="00382917">
        <w:t>Prime</w:t>
      </w:r>
      <w:r w:rsidR="00EE4FC3">
        <w:t xml:space="preserve"> </w:t>
      </w:r>
      <w:r w:rsidRPr="00382917">
        <w:t>Minister</w:t>
      </w:r>
      <w:r w:rsidR="00EE4FC3">
        <w:t xml:space="preserve"> </w:t>
      </w:r>
      <w:r w:rsidRPr="00382917">
        <w:t>himself</w:t>
      </w:r>
      <w:r w:rsidR="00EE4FC3">
        <w:t xml:space="preserve"> </w:t>
      </w:r>
      <w:r w:rsidRPr="00382917">
        <w:t>encouraged</w:t>
      </w:r>
      <w:r w:rsidR="00EE4FC3">
        <w:t xml:space="preserve"> </w:t>
      </w:r>
      <w:r w:rsidRPr="00382917">
        <w:t>everyone</w:t>
      </w:r>
      <w:r w:rsidR="00EE4FC3">
        <w:t xml:space="preserve"> </w:t>
      </w:r>
      <w:r w:rsidRPr="00382917">
        <w:t>to</w:t>
      </w:r>
      <w:r w:rsidR="00EE4FC3">
        <w:t xml:space="preserve"> </w:t>
      </w:r>
      <w:r w:rsidRPr="00382917">
        <w:t>use</w:t>
      </w:r>
      <w:r w:rsidR="00EE4FC3">
        <w:t xml:space="preserve"> </w:t>
      </w:r>
      <w:r w:rsidRPr="00382917">
        <w:t>the</w:t>
      </w:r>
      <w:r w:rsidR="00EE4FC3">
        <w:t xml:space="preserve"> </w:t>
      </w:r>
      <w:r w:rsidRPr="00382917">
        <w:t>harshest</w:t>
      </w:r>
      <w:r w:rsidR="00EE4FC3">
        <w:t xml:space="preserve"> </w:t>
      </w:r>
      <w:r w:rsidRPr="00382917">
        <w:t>means</w:t>
      </w:r>
      <w:r w:rsidR="00EE4FC3">
        <w:t xml:space="preserve"> </w:t>
      </w:r>
      <w:r w:rsidRPr="00382917">
        <w:t>against</w:t>
      </w:r>
      <w:r w:rsidR="00EE4FC3">
        <w:t xml:space="preserve"> </w:t>
      </w:r>
      <w:r w:rsidRPr="00382917">
        <w:t>the</w:t>
      </w:r>
      <w:r w:rsidR="00EE4FC3">
        <w:t xml:space="preserve"> </w:t>
      </w:r>
      <w:r w:rsidRPr="00382917">
        <w:t>followers</w:t>
      </w:r>
      <w:r w:rsidR="00EE4FC3">
        <w:t xml:space="preserve"> </w:t>
      </w:r>
      <w:r w:rsidRPr="00382917">
        <w:t>of</w:t>
      </w:r>
      <w:r w:rsidR="00EE4FC3">
        <w:t xml:space="preserve"> </w:t>
      </w:r>
      <w:r w:rsidRPr="00382917">
        <w:t>the</w:t>
      </w:r>
      <w:r w:rsidR="00EE4FC3">
        <w:t xml:space="preserve"> </w:t>
      </w:r>
      <w:r w:rsidRPr="00382917">
        <w:t>Báb?</w:t>
      </w:r>
      <w:r w:rsidR="00EE4FC3">
        <w:t xml:space="preserve"> </w:t>
      </w:r>
      <w:r w:rsidR="00CF077E">
        <w:t xml:space="preserve"> </w:t>
      </w:r>
      <w:r w:rsidRPr="00382917">
        <w:t>Was</w:t>
      </w:r>
      <w:r w:rsidR="00EE4FC3">
        <w:t xml:space="preserve"> </w:t>
      </w:r>
      <w:r w:rsidRPr="00382917">
        <w:t>Vaḥíd</w:t>
      </w:r>
      <w:r w:rsidR="00EE4FC3">
        <w:t xml:space="preserve"> </w:t>
      </w:r>
      <w:r w:rsidRPr="00382917">
        <w:t>so</w:t>
      </w:r>
      <w:r w:rsidR="00EE4FC3">
        <w:t xml:space="preserve"> </w:t>
      </w:r>
      <w:r w:rsidRPr="00382917">
        <w:t>prominent,</w:t>
      </w:r>
      <w:r w:rsidR="00EE4FC3">
        <w:t xml:space="preserve"> </w:t>
      </w:r>
      <w:r w:rsidRPr="00382917">
        <w:t>so</w:t>
      </w:r>
      <w:r w:rsidR="00EE4FC3">
        <w:t xml:space="preserve"> </w:t>
      </w:r>
      <w:r w:rsidRPr="00382917">
        <w:t>famous,</w:t>
      </w:r>
      <w:r w:rsidR="00EE4FC3">
        <w:t xml:space="preserve"> </w:t>
      </w:r>
      <w:r w:rsidRPr="00382917">
        <w:t>so</w:t>
      </w:r>
      <w:r w:rsidR="00EE4FC3">
        <w:t xml:space="preserve"> </w:t>
      </w:r>
      <w:r w:rsidRPr="00382917">
        <w:t>noble</w:t>
      </w:r>
      <w:r w:rsidR="00EE4FC3">
        <w:t xml:space="preserve"> </w:t>
      </w:r>
      <w:r w:rsidRPr="00382917">
        <w:t>that</w:t>
      </w:r>
      <w:r w:rsidR="00EE4FC3">
        <w:t xml:space="preserve"> </w:t>
      </w:r>
      <w:r w:rsidRPr="00382917">
        <w:t>he</w:t>
      </w:r>
      <w:r w:rsidR="00EE4FC3">
        <w:t xml:space="preserve"> </w:t>
      </w:r>
      <w:r w:rsidRPr="00382917">
        <w:t>did</w:t>
      </w:r>
      <w:r w:rsidR="00EE4FC3">
        <w:t xml:space="preserve"> </w:t>
      </w:r>
      <w:proofErr w:type="gramStart"/>
      <w:r w:rsidRPr="00382917">
        <w:t>not</w:t>
      </w:r>
      <w:proofErr w:type="gramEnd"/>
    </w:p>
    <w:p w:rsidR="007E595F" w:rsidRPr="00382917" w:rsidRDefault="007E595F">
      <w:pPr>
        <w:widowControl/>
        <w:kinsoku/>
        <w:overflowPunct/>
        <w:textAlignment w:val="auto"/>
      </w:pPr>
      <w:r w:rsidRPr="00382917">
        <w:br w:type="page"/>
      </w:r>
    </w:p>
    <w:p w:rsidR="00B2037B" w:rsidRPr="00382917" w:rsidRDefault="00B2037B" w:rsidP="00B2037B">
      <w:pPr>
        <w:pStyle w:val="Textcts"/>
      </w:pPr>
      <w:proofErr w:type="gramStart"/>
      <w:r w:rsidRPr="00382917">
        <w:t>fall</w:t>
      </w:r>
      <w:proofErr w:type="gramEnd"/>
      <w:r w:rsidR="00EE4FC3">
        <w:t xml:space="preserve"> </w:t>
      </w:r>
      <w:r w:rsidRPr="00382917">
        <w:t>into</w:t>
      </w:r>
      <w:r w:rsidR="00EE4FC3">
        <w:t xml:space="preserve"> </w:t>
      </w:r>
      <w:r w:rsidRPr="00382917">
        <w:t>this</w:t>
      </w:r>
      <w:r w:rsidR="00EE4FC3">
        <w:t xml:space="preserve"> </w:t>
      </w:r>
      <w:r w:rsidRPr="00382917">
        <w:t>class?</w:t>
      </w:r>
      <w:r w:rsidR="00EE4FC3">
        <w:t xml:space="preserve"> </w:t>
      </w:r>
      <w:r w:rsidR="00CF077E">
        <w:t xml:space="preserve"> </w:t>
      </w:r>
      <w:r w:rsidRPr="00382917">
        <w:t>Was</w:t>
      </w:r>
      <w:r w:rsidR="00EE4FC3">
        <w:t xml:space="preserve"> </w:t>
      </w:r>
      <w:r w:rsidRPr="00382917">
        <w:t>he</w:t>
      </w:r>
      <w:r w:rsidR="00EE4FC3">
        <w:t xml:space="preserve"> </w:t>
      </w:r>
      <w:r w:rsidRPr="00382917">
        <w:t>not</w:t>
      </w:r>
      <w:r w:rsidR="00EE4FC3">
        <w:t xml:space="preserve"> </w:t>
      </w:r>
      <w:r w:rsidRPr="00382917">
        <w:t>really</w:t>
      </w:r>
      <w:r w:rsidR="00EE4FC3">
        <w:t xml:space="preserve"> </w:t>
      </w:r>
      <w:r w:rsidRPr="00382917">
        <w:t>the</w:t>
      </w:r>
      <w:r w:rsidR="00EE4FC3">
        <w:t xml:space="preserve"> </w:t>
      </w:r>
      <w:r w:rsidRPr="00382917">
        <w:t>most</w:t>
      </w:r>
      <w:r w:rsidR="00EE4FC3">
        <w:t xml:space="preserve"> </w:t>
      </w:r>
      <w:r w:rsidRPr="00382917">
        <w:t>flagrant</w:t>
      </w:r>
      <w:r w:rsidR="00EE4FC3">
        <w:t xml:space="preserve"> </w:t>
      </w:r>
      <w:r w:rsidRPr="00382917">
        <w:t>offender</w:t>
      </w:r>
      <w:r w:rsidR="00EE4FC3">
        <w:t xml:space="preserve"> </w:t>
      </w:r>
      <w:r w:rsidRPr="00382917">
        <w:t>of</w:t>
      </w:r>
      <w:r w:rsidR="00EE4FC3">
        <w:t xml:space="preserve"> </w:t>
      </w:r>
      <w:r w:rsidRPr="00382917">
        <w:t>all?</w:t>
      </w:r>
      <w:r w:rsidR="00EE4FC3">
        <w:t xml:space="preserve"> </w:t>
      </w:r>
      <w:r w:rsidR="00CF077E">
        <w:t xml:space="preserve"> </w:t>
      </w:r>
      <w:r w:rsidRPr="00382917">
        <w:t>The</w:t>
      </w:r>
      <w:r w:rsidR="00EE4FC3">
        <w:t xml:space="preserve"> </w:t>
      </w:r>
      <w:r w:rsidRPr="00382917">
        <w:t>governor</w:t>
      </w:r>
      <w:r w:rsidR="00EE4FC3">
        <w:t xml:space="preserve"> </w:t>
      </w:r>
      <w:r w:rsidRPr="00382917">
        <w:t>at</w:t>
      </w:r>
      <w:r w:rsidR="00EE4FC3">
        <w:t xml:space="preserve"> </w:t>
      </w:r>
      <w:r w:rsidRPr="00382917">
        <w:t>last</w:t>
      </w:r>
      <w:r w:rsidR="00EE4FC3">
        <w:t xml:space="preserve"> </w:t>
      </w:r>
      <w:r w:rsidRPr="00382917">
        <w:t>succumbed</w:t>
      </w:r>
      <w:r w:rsidR="00EE4FC3">
        <w:t xml:space="preserve"> </w:t>
      </w:r>
      <w:r w:rsidRPr="00382917">
        <w:t>to</w:t>
      </w:r>
      <w:r w:rsidR="00EE4FC3">
        <w:t xml:space="preserve"> </w:t>
      </w:r>
      <w:r w:rsidRPr="00382917">
        <w:t>the</w:t>
      </w:r>
      <w:r w:rsidR="00EE4FC3">
        <w:t xml:space="preserve"> </w:t>
      </w:r>
      <w:proofErr w:type="spellStart"/>
      <w:r w:rsidRPr="00382917">
        <w:t>Navváb</w:t>
      </w:r>
      <w:r w:rsidR="009C713D" w:rsidRPr="00382917">
        <w:t>’</w:t>
      </w:r>
      <w:r w:rsidRPr="00382917">
        <w:t>s</w:t>
      </w:r>
      <w:proofErr w:type="spellEnd"/>
      <w:r w:rsidR="00EE4FC3">
        <w:t xml:space="preserve"> </w:t>
      </w:r>
      <w:r w:rsidRPr="00382917">
        <w:t>entreaties,</w:t>
      </w:r>
      <w:r w:rsidR="00EE4FC3">
        <w:t xml:space="preserve"> </w:t>
      </w:r>
      <w:r w:rsidRPr="00382917">
        <w:t>and</w:t>
      </w:r>
      <w:r w:rsidR="00EE4FC3">
        <w:t xml:space="preserve"> </w:t>
      </w:r>
      <w:r w:rsidRPr="00382917">
        <w:t>ordered</w:t>
      </w:r>
      <w:r w:rsidR="00EE4FC3">
        <w:t xml:space="preserve"> </w:t>
      </w:r>
      <w:r w:rsidRPr="00382917">
        <w:t>out</w:t>
      </w:r>
      <w:r w:rsidR="00EE4FC3">
        <w:t xml:space="preserve"> </w:t>
      </w:r>
      <w:r w:rsidRPr="00382917">
        <w:t>a</w:t>
      </w:r>
      <w:r w:rsidR="00EE4FC3">
        <w:t xml:space="preserve"> </w:t>
      </w:r>
      <w:r w:rsidRPr="00382917">
        <w:t>detachment</w:t>
      </w:r>
      <w:r w:rsidR="00EE4FC3">
        <w:t xml:space="preserve"> </w:t>
      </w:r>
      <w:r w:rsidRPr="00382917">
        <w:t>of</w:t>
      </w:r>
      <w:r w:rsidR="00EE4FC3">
        <w:t xml:space="preserve"> </w:t>
      </w:r>
      <w:r w:rsidRPr="00382917">
        <w:t>soldiers.</w:t>
      </w:r>
    </w:p>
    <w:p w:rsidR="00B2037B" w:rsidRPr="00382917" w:rsidRDefault="00B2037B" w:rsidP="00B2037B">
      <w:pPr>
        <w:pStyle w:val="Text"/>
      </w:pPr>
      <w:r w:rsidRPr="00382917">
        <w:t>The</w:t>
      </w:r>
      <w:r w:rsidR="00EE4FC3">
        <w:t xml:space="preserve"> </w:t>
      </w:r>
      <w:r w:rsidRPr="00382917">
        <w:t>Navváb</w:t>
      </w:r>
      <w:r w:rsidR="00EE4FC3">
        <w:t xml:space="preserve"> </w:t>
      </w:r>
      <w:r w:rsidRPr="00382917">
        <w:t>quickly</w:t>
      </w:r>
      <w:r w:rsidR="00EE4FC3">
        <w:t xml:space="preserve"> </w:t>
      </w:r>
      <w:r w:rsidRPr="00382917">
        <w:t>sent</w:t>
      </w:r>
      <w:r w:rsidR="00EE4FC3">
        <w:t xml:space="preserve"> </w:t>
      </w:r>
      <w:r w:rsidRPr="00382917">
        <w:t>his</w:t>
      </w:r>
      <w:r w:rsidR="00EE4FC3">
        <w:t xml:space="preserve"> </w:t>
      </w:r>
      <w:r w:rsidRPr="00382917">
        <w:t>personal</w:t>
      </w:r>
      <w:r w:rsidR="00EE4FC3">
        <w:t xml:space="preserve"> </w:t>
      </w:r>
      <w:r w:rsidRPr="00382917">
        <w:t>instructions</w:t>
      </w:r>
      <w:r w:rsidR="00EE4FC3">
        <w:t xml:space="preserve"> </w:t>
      </w:r>
      <w:r w:rsidRPr="00382917">
        <w:t>to</w:t>
      </w:r>
      <w:r w:rsidR="00EE4FC3">
        <w:t xml:space="preserve"> </w:t>
      </w:r>
      <w:r w:rsidRPr="00382917">
        <w:t>a</w:t>
      </w:r>
      <w:r w:rsidR="00EE4FC3">
        <w:t xml:space="preserve"> </w:t>
      </w:r>
      <w:r w:rsidRPr="00382917">
        <w:t>degraded</w:t>
      </w:r>
      <w:r w:rsidR="00EE4FC3">
        <w:t xml:space="preserve"> </w:t>
      </w:r>
      <w:r w:rsidRPr="00382917">
        <w:t>element</w:t>
      </w:r>
      <w:r w:rsidR="00EE4FC3">
        <w:t xml:space="preserve"> </w:t>
      </w:r>
      <w:r w:rsidRPr="00382917">
        <w:t>of</w:t>
      </w:r>
      <w:r w:rsidR="00EE4FC3">
        <w:t xml:space="preserve"> </w:t>
      </w:r>
      <w:r w:rsidRPr="00382917">
        <w:t>the</w:t>
      </w:r>
      <w:r w:rsidR="00EE4FC3">
        <w:t xml:space="preserve"> </w:t>
      </w:r>
      <w:r w:rsidRPr="00382917">
        <w:t>people</w:t>
      </w:r>
      <w:r w:rsidR="00EE4FC3">
        <w:t xml:space="preserve"> </w:t>
      </w:r>
      <w:r w:rsidRPr="00382917">
        <w:t>he</w:t>
      </w:r>
      <w:r w:rsidR="00EE4FC3">
        <w:t xml:space="preserve"> </w:t>
      </w:r>
      <w:r w:rsidRPr="00382917">
        <w:t>had</w:t>
      </w:r>
      <w:r w:rsidR="00EE4FC3">
        <w:t xml:space="preserve"> </w:t>
      </w:r>
      <w:r w:rsidRPr="00382917">
        <w:t>been</w:t>
      </w:r>
      <w:r w:rsidR="00EE4FC3">
        <w:t xml:space="preserve"> </w:t>
      </w:r>
      <w:r w:rsidRPr="00382917">
        <w:t>keeping</w:t>
      </w:r>
      <w:r w:rsidR="00EE4FC3">
        <w:t xml:space="preserve"> </w:t>
      </w:r>
      <w:r w:rsidRPr="00382917">
        <w:t>ready</w:t>
      </w:r>
      <w:r w:rsidR="00EE4FC3">
        <w:t xml:space="preserve"> </w:t>
      </w:r>
      <w:r w:rsidRPr="00382917">
        <w:t>for</w:t>
      </w:r>
      <w:r w:rsidR="00EE4FC3">
        <w:t xml:space="preserve"> </w:t>
      </w:r>
      <w:r w:rsidRPr="00382917">
        <w:t>just</w:t>
      </w:r>
      <w:r w:rsidR="00EE4FC3">
        <w:t xml:space="preserve"> </w:t>
      </w:r>
      <w:r w:rsidRPr="00382917">
        <w:t>such</w:t>
      </w:r>
      <w:r w:rsidR="00EE4FC3">
        <w:t xml:space="preserve"> </w:t>
      </w:r>
      <w:r w:rsidRPr="00382917">
        <w:t>an</w:t>
      </w:r>
      <w:r w:rsidR="00EE4FC3">
        <w:t xml:space="preserve"> </w:t>
      </w:r>
      <w:r w:rsidRPr="00382917">
        <w:t>opportunity</w:t>
      </w:r>
      <w:r w:rsidR="0040329F">
        <w:t>.</w:t>
      </w:r>
      <w:r w:rsidR="00EE4FC3">
        <w:t xml:space="preserve">  </w:t>
      </w:r>
      <w:r w:rsidRPr="00382917">
        <w:t>Gleefully,</w:t>
      </w:r>
      <w:r w:rsidR="00EE4FC3">
        <w:t xml:space="preserve"> </w:t>
      </w:r>
      <w:r w:rsidRPr="00382917">
        <w:t>he</w:t>
      </w:r>
      <w:r w:rsidR="00EE4FC3">
        <w:t xml:space="preserve"> </w:t>
      </w:r>
      <w:r w:rsidRPr="00382917">
        <w:t>informed</w:t>
      </w:r>
      <w:r w:rsidR="00EE4FC3">
        <w:t xml:space="preserve"> </w:t>
      </w:r>
      <w:r w:rsidRPr="00382917">
        <w:t>them</w:t>
      </w:r>
      <w:r w:rsidR="00EE4FC3">
        <w:t xml:space="preserve"> </w:t>
      </w:r>
      <w:r w:rsidRPr="00382917">
        <w:t>that</w:t>
      </w:r>
      <w:r w:rsidR="00EE4FC3">
        <w:t xml:space="preserve"> </w:t>
      </w:r>
      <w:r w:rsidRPr="00382917">
        <w:t>the</w:t>
      </w:r>
      <w:r w:rsidR="00EE4FC3">
        <w:t xml:space="preserve"> </w:t>
      </w:r>
      <w:r w:rsidRPr="00382917">
        <w:t>governor</w:t>
      </w:r>
      <w:r w:rsidR="00EE4FC3">
        <w:t xml:space="preserve"> </w:t>
      </w:r>
      <w:r w:rsidRPr="00382917">
        <w:t>had</w:t>
      </w:r>
      <w:r w:rsidR="00EE4FC3">
        <w:t xml:space="preserve"> </w:t>
      </w:r>
      <w:r w:rsidRPr="00382917">
        <w:t>fallen</w:t>
      </w:r>
      <w:r w:rsidR="00EE4FC3">
        <w:t xml:space="preserve"> </w:t>
      </w:r>
      <w:r w:rsidRPr="00382917">
        <w:t>into</w:t>
      </w:r>
      <w:r w:rsidR="00EE4FC3">
        <w:t xml:space="preserve"> </w:t>
      </w:r>
      <w:r w:rsidRPr="00382917">
        <w:t>his</w:t>
      </w:r>
      <w:r w:rsidR="00EE4FC3">
        <w:t xml:space="preserve"> </w:t>
      </w:r>
      <w:r w:rsidRPr="00382917">
        <w:t>trap,</w:t>
      </w:r>
      <w:r w:rsidR="00EE4FC3">
        <w:t xml:space="preserve"> </w:t>
      </w:r>
      <w:r w:rsidRPr="00382917">
        <w:t>and</w:t>
      </w:r>
      <w:r w:rsidR="00EE4FC3">
        <w:t xml:space="preserve"> </w:t>
      </w:r>
      <w:r w:rsidRPr="00382917">
        <w:t>that</w:t>
      </w:r>
      <w:r w:rsidR="00EE4FC3">
        <w:t xml:space="preserve"> </w:t>
      </w:r>
      <w:r w:rsidRPr="00382917">
        <w:t>Vaḥíd</w:t>
      </w:r>
      <w:r w:rsidR="00EE4FC3">
        <w:t xml:space="preserve"> </w:t>
      </w:r>
      <w:r w:rsidRPr="00382917">
        <w:t>was</w:t>
      </w:r>
      <w:r w:rsidR="00EE4FC3">
        <w:t xml:space="preserve"> </w:t>
      </w:r>
      <w:r w:rsidRPr="00382917">
        <w:t>now</w:t>
      </w:r>
      <w:r w:rsidR="00EE4FC3">
        <w:t xml:space="preserve"> </w:t>
      </w:r>
      <w:r w:rsidRPr="00382917">
        <w:t>under</w:t>
      </w:r>
      <w:r w:rsidR="00EE4FC3">
        <w:t xml:space="preserve"> </w:t>
      </w:r>
      <w:r w:rsidRPr="00382917">
        <w:t>attack</w:t>
      </w:r>
      <w:r w:rsidR="0040329F">
        <w:t>.</w:t>
      </w:r>
      <w:r w:rsidR="00EE4FC3">
        <w:t xml:space="preserve">  </w:t>
      </w:r>
      <w:r w:rsidRPr="00382917">
        <w:t>He</w:t>
      </w:r>
      <w:r w:rsidR="00EE4FC3">
        <w:t xml:space="preserve"> </w:t>
      </w:r>
      <w:r w:rsidRPr="00382917">
        <w:t>urged</w:t>
      </w:r>
      <w:r w:rsidR="00EE4FC3">
        <w:t xml:space="preserve"> </w:t>
      </w:r>
      <w:r w:rsidRPr="00382917">
        <w:t>these</w:t>
      </w:r>
      <w:r w:rsidR="00EE4FC3">
        <w:t xml:space="preserve"> </w:t>
      </w:r>
      <w:r w:rsidRPr="00382917">
        <w:t>people</w:t>
      </w:r>
      <w:r w:rsidR="00EE4FC3">
        <w:t xml:space="preserve"> </w:t>
      </w:r>
      <w:r w:rsidRPr="00382917">
        <w:t>to</w:t>
      </w:r>
      <w:r w:rsidR="00EE4FC3">
        <w:t xml:space="preserve"> </w:t>
      </w:r>
      <w:r w:rsidRPr="00382917">
        <w:t>rush</w:t>
      </w:r>
      <w:r w:rsidR="00EE4FC3">
        <w:t xml:space="preserve"> </w:t>
      </w:r>
      <w:r w:rsidRPr="00382917">
        <w:t>to</w:t>
      </w:r>
      <w:r w:rsidR="00EE4FC3">
        <w:t xml:space="preserve"> </w:t>
      </w:r>
      <w:proofErr w:type="spellStart"/>
      <w:r w:rsidRPr="00382917">
        <w:t>Vaḥíd</w:t>
      </w:r>
      <w:r w:rsidR="009C713D" w:rsidRPr="00382917">
        <w:t>’</w:t>
      </w:r>
      <w:r w:rsidRPr="00382917">
        <w:t>s</w:t>
      </w:r>
      <w:proofErr w:type="spellEnd"/>
      <w:r w:rsidR="00EE4FC3">
        <w:t xml:space="preserve"> </w:t>
      </w:r>
      <w:r w:rsidRPr="00382917">
        <w:t>home</w:t>
      </w:r>
      <w:r w:rsidR="00EE4FC3">
        <w:t xml:space="preserve"> </w:t>
      </w:r>
      <w:r w:rsidRPr="00382917">
        <w:t>and</w:t>
      </w:r>
      <w:r w:rsidR="00EE4FC3">
        <w:t xml:space="preserve"> </w:t>
      </w:r>
      <w:r w:rsidRPr="00382917">
        <w:t>do</w:t>
      </w:r>
      <w:r w:rsidR="00EE4FC3">
        <w:t xml:space="preserve"> </w:t>
      </w:r>
      <w:r w:rsidRPr="00382917">
        <w:t>all</w:t>
      </w:r>
      <w:r w:rsidR="00EE4FC3">
        <w:t xml:space="preserve"> </w:t>
      </w:r>
      <w:r w:rsidRPr="00382917">
        <w:t>they</w:t>
      </w:r>
      <w:r w:rsidR="00EE4FC3">
        <w:t xml:space="preserve"> </w:t>
      </w:r>
      <w:r w:rsidRPr="00382917">
        <w:t>could</w:t>
      </w:r>
      <w:r w:rsidR="00EE4FC3">
        <w:t xml:space="preserve"> </w:t>
      </w:r>
      <w:r w:rsidRPr="00382917">
        <w:t>to</w:t>
      </w:r>
      <w:r w:rsidR="00EE4FC3">
        <w:t xml:space="preserve"> </w:t>
      </w:r>
      <w:r w:rsidRPr="00382917">
        <w:t>add</w:t>
      </w:r>
      <w:r w:rsidR="00EE4FC3">
        <w:t xml:space="preserve"> </w:t>
      </w:r>
      <w:r w:rsidRPr="00382917">
        <w:t>to</w:t>
      </w:r>
      <w:r w:rsidR="00EE4FC3">
        <w:t xml:space="preserve"> </w:t>
      </w:r>
      <w:r w:rsidRPr="00382917">
        <w:t>his</w:t>
      </w:r>
      <w:r w:rsidR="00EE4FC3">
        <w:t xml:space="preserve"> </w:t>
      </w:r>
      <w:r w:rsidRPr="00382917">
        <w:t>humiliation.</w:t>
      </w:r>
    </w:p>
    <w:p w:rsidR="00B2037B" w:rsidRPr="00382917" w:rsidRDefault="009C713D" w:rsidP="00B2037B">
      <w:pPr>
        <w:pStyle w:val="Text"/>
      </w:pPr>
      <w:r w:rsidRPr="00382917">
        <w:t>“</w:t>
      </w:r>
      <w:r w:rsidR="00B2037B" w:rsidRPr="00382917">
        <w:t>There</w:t>
      </w:r>
      <w:r w:rsidR="00EE4FC3">
        <w:t xml:space="preserve"> </w:t>
      </w:r>
      <w:r w:rsidR="00B2037B" w:rsidRPr="00382917">
        <w:t>is</w:t>
      </w:r>
      <w:r w:rsidR="00EE4FC3">
        <w:t xml:space="preserve"> </w:t>
      </w:r>
      <w:r w:rsidR="00B2037B" w:rsidRPr="00382917">
        <w:t>no</w:t>
      </w:r>
      <w:r w:rsidR="00EE4FC3">
        <w:t xml:space="preserve"> </w:t>
      </w:r>
      <w:r w:rsidR="00B2037B" w:rsidRPr="00382917">
        <w:t>longer</w:t>
      </w:r>
      <w:r w:rsidR="00EE4FC3">
        <w:t xml:space="preserve"> </w:t>
      </w:r>
      <w:r w:rsidR="00B2037B" w:rsidRPr="00382917">
        <w:t>any</w:t>
      </w:r>
      <w:r w:rsidR="00EE4FC3">
        <w:t xml:space="preserve"> </w:t>
      </w:r>
      <w:r w:rsidR="00B2037B" w:rsidRPr="00382917">
        <w:t>need</w:t>
      </w:r>
      <w:r w:rsidR="00EE4FC3">
        <w:t xml:space="preserve"> </w:t>
      </w:r>
      <w:r w:rsidR="00B2037B" w:rsidRPr="00382917">
        <w:t>to</w:t>
      </w:r>
      <w:r w:rsidR="00EE4FC3">
        <w:t xml:space="preserve"> </w:t>
      </w:r>
      <w:r w:rsidR="00B2037B" w:rsidRPr="00382917">
        <w:t>restrain</w:t>
      </w:r>
      <w:r w:rsidR="00EE4FC3">
        <w:t xml:space="preserve"> </w:t>
      </w:r>
      <w:r w:rsidR="00B2037B" w:rsidRPr="00382917">
        <w:t>your</w:t>
      </w:r>
      <w:r w:rsidR="00EE4FC3">
        <w:t xml:space="preserve"> </w:t>
      </w:r>
      <w:r w:rsidR="00B2037B" w:rsidRPr="00382917">
        <w:t>indignation</w:t>
      </w:r>
      <w:r w:rsidR="00EE4FC3">
        <w:t xml:space="preserve"> </w:t>
      </w:r>
      <w:r w:rsidR="00B2037B" w:rsidRPr="00382917">
        <w:t>and</w:t>
      </w:r>
      <w:r w:rsidR="00EE4FC3">
        <w:t xml:space="preserve"> </w:t>
      </w:r>
      <w:r w:rsidR="00B2037B" w:rsidRPr="00382917">
        <w:t>righteous</w:t>
      </w:r>
      <w:r w:rsidR="00EE4FC3">
        <w:t xml:space="preserve"> </w:t>
      </w:r>
      <w:r w:rsidR="00B2037B" w:rsidRPr="00382917">
        <w:t>feelings</w:t>
      </w:r>
      <w:r w:rsidR="00EE4FC3">
        <w:t xml:space="preserve"> </w:t>
      </w:r>
      <w:r w:rsidR="00B2037B" w:rsidRPr="00382917">
        <w:t>of</w:t>
      </w:r>
      <w:r w:rsidR="00EE4FC3">
        <w:t xml:space="preserve"> </w:t>
      </w:r>
      <w:r w:rsidR="00B2037B" w:rsidRPr="00382917">
        <w:t>anger,</w:t>
      </w:r>
      <w:r w:rsidRPr="00382917">
        <w:t>”</w:t>
      </w:r>
      <w:r w:rsidR="00EE4FC3">
        <w:t xml:space="preserve"> </w:t>
      </w:r>
      <w:r w:rsidR="00B2037B" w:rsidRPr="00382917">
        <w:t>he</w:t>
      </w:r>
      <w:r w:rsidR="00EE4FC3">
        <w:t xml:space="preserve"> </w:t>
      </w:r>
      <w:r w:rsidR="00B2037B" w:rsidRPr="00382917">
        <w:t>told</w:t>
      </w:r>
      <w:r w:rsidR="00EE4FC3">
        <w:t xml:space="preserve"> </w:t>
      </w:r>
      <w:r w:rsidR="00B2037B" w:rsidRPr="00382917">
        <w:t>them</w:t>
      </w:r>
      <w:r w:rsidR="0040329F">
        <w:t>.</w:t>
      </w:r>
      <w:r w:rsidR="00EE4FC3">
        <w:t xml:space="preserve">  </w:t>
      </w:r>
      <w:r w:rsidR="00B2037B" w:rsidRPr="00382917">
        <w:t>He</w:t>
      </w:r>
      <w:r w:rsidR="00EE4FC3">
        <w:t xml:space="preserve"> </w:t>
      </w:r>
      <w:r w:rsidR="00B2037B" w:rsidRPr="00382917">
        <w:t>implied</w:t>
      </w:r>
      <w:r w:rsidR="00EE4FC3">
        <w:t xml:space="preserve"> </w:t>
      </w:r>
      <w:r w:rsidR="00B2037B" w:rsidRPr="00382917">
        <w:t>that</w:t>
      </w:r>
      <w:r w:rsidR="00EE4FC3">
        <w:t xml:space="preserve"> </w:t>
      </w:r>
      <w:proofErr w:type="spellStart"/>
      <w:r w:rsidR="00B2037B" w:rsidRPr="00382917">
        <w:t>Vaḥíd</w:t>
      </w:r>
      <w:r w:rsidRPr="00382917">
        <w:t>’</w:t>
      </w:r>
      <w:r w:rsidR="00B2037B" w:rsidRPr="00382917">
        <w:t>s</w:t>
      </w:r>
      <w:proofErr w:type="spellEnd"/>
      <w:r w:rsidR="00EE4FC3">
        <w:t xml:space="preserve"> </w:t>
      </w:r>
      <w:r w:rsidR="00B2037B" w:rsidRPr="00382917">
        <w:t>death</w:t>
      </w:r>
      <w:r w:rsidR="00EE4FC3">
        <w:t xml:space="preserve"> </w:t>
      </w:r>
      <w:r w:rsidR="00B2037B" w:rsidRPr="00382917">
        <w:t>would</w:t>
      </w:r>
      <w:r w:rsidR="00EE4FC3">
        <w:t xml:space="preserve"> </w:t>
      </w:r>
      <w:r w:rsidR="00B2037B" w:rsidRPr="00382917">
        <w:t>be</w:t>
      </w:r>
      <w:r w:rsidR="00EE4FC3">
        <w:t xml:space="preserve"> </w:t>
      </w:r>
      <w:r w:rsidR="00B2037B" w:rsidRPr="00382917">
        <w:t>a</w:t>
      </w:r>
      <w:r w:rsidR="00EE4FC3">
        <w:t xml:space="preserve"> </w:t>
      </w:r>
      <w:r w:rsidR="00B2037B" w:rsidRPr="00382917">
        <w:t>welcome</w:t>
      </w:r>
      <w:r w:rsidR="00EE4FC3">
        <w:t xml:space="preserve"> </w:t>
      </w:r>
      <w:r w:rsidR="00B2037B" w:rsidRPr="00382917">
        <w:t>thing</w:t>
      </w:r>
      <w:r w:rsidR="00EE4FC3">
        <w:t xml:space="preserve"> </w:t>
      </w:r>
      <w:r w:rsidR="00B2037B" w:rsidRPr="00382917">
        <w:t>in</w:t>
      </w:r>
      <w:r w:rsidR="00EE4FC3">
        <w:t xml:space="preserve"> </w:t>
      </w:r>
      <w:r w:rsidR="00B2037B" w:rsidRPr="00382917">
        <w:t>the</w:t>
      </w:r>
      <w:r w:rsidR="00EE4FC3">
        <w:t xml:space="preserve"> </w:t>
      </w:r>
      <w:r w:rsidR="00B2037B" w:rsidRPr="00382917">
        <w:t>eyes</w:t>
      </w:r>
      <w:r w:rsidR="00EE4FC3">
        <w:t xml:space="preserve"> </w:t>
      </w:r>
      <w:r w:rsidR="00B2037B" w:rsidRPr="00382917">
        <w:t>of</w:t>
      </w:r>
      <w:r w:rsidR="00EE4FC3">
        <w:t xml:space="preserve"> </w:t>
      </w:r>
      <w:r w:rsidR="00B2037B" w:rsidRPr="00382917">
        <w:t>God.</w:t>
      </w:r>
    </w:p>
    <w:p w:rsidR="00B2037B" w:rsidRPr="00382917" w:rsidRDefault="00B2037B" w:rsidP="00B2037B">
      <w:pPr>
        <w:pStyle w:val="Text"/>
      </w:pPr>
      <w:r w:rsidRPr="00382917">
        <w:t>Vaḥíd</w:t>
      </w:r>
      <w:r w:rsidR="00EE4FC3">
        <w:t xml:space="preserve"> </w:t>
      </w:r>
      <w:r w:rsidRPr="00382917">
        <w:t>was</w:t>
      </w:r>
      <w:r w:rsidR="00EE4FC3">
        <w:t xml:space="preserve"> </w:t>
      </w:r>
      <w:r w:rsidRPr="00382917">
        <w:t>standing</w:t>
      </w:r>
      <w:r w:rsidR="00EE4FC3">
        <w:t xml:space="preserve"> </w:t>
      </w:r>
      <w:r w:rsidRPr="00382917">
        <w:t>at</w:t>
      </w:r>
      <w:r w:rsidR="00EE4FC3">
        <w:t xml:space="preserve"> </w:t>
      </w:r>
      <w:r w:rsidRPr="00382917">
        <w:t>a</w:t>
      </w:r>
      <w:r w:rsidR="00EE4FC3">
        <w:t xml:space="preserve"> </w:t>
      </w:r>
      <w:r w:rsidRPr="00382917">
        <w:t>window</w:t>
      </w:r>
      <w:r w:rsidR="00EE4FC3">
        <w:t xml:space="preserve"> </w:t>
      </w:r>
      <w:r w:rsidRPr="00382917">
        <w:t>on</w:t>
      </w:r>
      <w:r w:rsidR="00EE4FC3">
        <w:t xml:space="preserve"> </w:t>
      </w:r>
      <w:r w:rsidRPr="00382917">
        <w:t>the</w:t>
      </w:r>
      <w:r w:rsidR="00EE4FC3">
        <w:t xml:space="preserve"> </w:t>
      </w:r>
      <w:r w:rsidRPr="00382917">
        <w:t>upper</w:t>
      </w:r>
      <w:r w:rsidR="00EE4FC3">
        <w:t xml:space="preserve"> </w:t>
      </w:r>
      <w:r w:rsidRPr="00382917">
        <w:t>floor</w:t>
      </w:r>
      <w:r w:rsidR="00EE4FC3">
        <w:t xml:space="preserve"> </w:t>
      </w:r>
      <w:r w:rsidRPr="00382917">
        <w:t>of</w:t>
      </w:r>
      <w:r w:rsidR="00EE4FC3">
        <w:t xml:space="preserve"> </w:t>
      </w:r>
      <w:r w:rsidRPr="00382917">
        <w:t>his</w:t>
      </w:r>
      <w:r w:rsidR="00EE4FC3">
        <w:t xml:space="preserve"> </w:t>
      </w:r>
      <w:r w:rsidRPr="00382917">
        <w:t>home</w:t>
      </w:r>
      <w:r w:rsidR="00EE4FC3">
        <w:t xml:space="preserve"> </w:t>
      </w:r>
      <w:r w:rsidRPr="00382917">
        <w:t>speaking</w:t>
      </w:r>
      <w:r w:rsidR="00EE4FC3">
        <w:t xml:space="preserve"> </w:t>
      </w:r>
      <w:r w:rsidRPr="00382917">
        <w:t>to</w:t>
      </w:r>
      <w:r w:rsidR="00EE4FC3">
        <w:t xml:space="preserve"> </w:t>
      </w:r>
      <w:r w:rsidRPr="00382917">
        <w:t>a</w:t>
      </w:r>
      <w:r w:rsidR="00EE4FC3">
        <w:t xml:space="preserve"> </w:t>
      </w:r>
      <w:r w:rsidRPr="00382917">
        <w:t>large</w:t>
      </w:r>
      <w:r w:rsidR="00EE4FC3">
        <w:t xml:space="preserve"> </w:t>
      </w:r>
      <w:r w:rsidRPr="00382917">
        <w:t>gathering</w:t>
      </w:r>
      <w:r w:rsidR="00EE4FC3">
        <w:t xml:space="preserve"> </w:t>
      </w:r>
      <w:r w:rsidRPr="00382917">
        <w:t>of</w:t>
      </w:r>
      <w:r w:rsidR="00EE4FC3">
        <w:t xml:space="preserve"> </w:t>
      </w:r>
      <w:r w:rsidRPr="00382917">
        <w:t>his</w:t>
      </w:r>
      <w:r w:rsidR="00EE4FC3">
        <w:t xml:space="preserve"> </w:t>
      </w:r>
      <w:r w:rsidRPr="00382917">
        <w:t>friends</w:t>
      </w:r>
      <w:r w:rsidR="00EE4FC3">
        <w:t xml:space="preserve"> </w:t>
      </w:r>
      <w:r w:rsidRPr="00382917">
        <w:t>in</w:t>
      </w:r>
      <w:r w:rsidR="00EE4FC3">
        <w:t xml:space="preserve"> </w:t>
      </w:r>
      <w:r w:rsidRPr="00382917">
        <w:t>the</w:t>
      </w:r>
      <w:r w:rsidR="00EE4FC3">
        <w:t xml:space="preserve"> </w:t>
      </w:r>
      <w:r w:rsidRPr="00382917">
        <w:t>yard</w:t>
      </w:r>
      <w:r w:rsidR="00EE4FC3">
        <w:t xml:space="preserve"> </w:t>
      </w:r>
      <w:r w:rsidRPr="00382917">
        <w:t>below</w:t>
      </w:r>
      <w:r w:rsidR="00EE4FC3">
        <w:t xml:space="preserve"> </w:t>
      </w:r>
      <w:r w:rsidRPr="00382917">
        <w:t>when</w:t>
      </w:r>
      <w:r w:rsidR="00EE4FC3">
        <w:t xml:space="preserve"> </w:t>
      </w:r>
      <w:r w:rsidRPr="00382917">
        <w:t>a</w:t>
      </w:r>
      <w:r w:rsidR="00EE4FC3">
        <w:t xml:space="preserve"> </w:t>
      </w:r>
      <w:r w:rsidRPr="00382917">
        <w:t>regiment</w:t>
      </w:r>
      <w:r w:rsidR="00EE4FC3">
        <w:t xml:space="preserve"> </w:t>
      </w:r>
      <w:r w:rsidRPr="00382917">
        <w:t>of</w:t>
      </w:r>
      <w:r w:rsidR="00EE4FC3">
        <w:t xml:space="preserve"> </w:t>
      </w:r>
      <w:r w:rsidRPr="00382917">
        <w:t>soldiers</w:t>
      </w:r>
      <w:r w:rsidR="00EE4FC3">
        <w:t xml:space="preserve"> </w:t>
      </w:r>
      <w:r w:rsidRPr="00382917">
        <w:t>accompanied</w:t>
      </w:r>
      <w:r w:rsidR="00EE4FC3">
        <w:t xml:space="preserve"> </w:t>
      </w:r>
      <w:r w:rsidRPr="00382917">
        <w:t>by</w:t>
      </w:r>
      <w:r w:rsidR="00EE4FC3">
        <w:t xml:space="preserve"> </w:t>
      </w:r>
      <w:r w:rsidRPr="00382917">
        <w:t>a</w:t>
      </w:r>
      <w:r w:rsidR="00EE4FC3">
        <w:t xml:space="preserve"> </w:t>
      </w:r>
      <w:r w:rsidRPr="00382917">
        <w:t>huge</w:t>
      </w:r>
      <w:r w:rsidR="00EE4FC3">
        <w:t xml:space="preserve"> </w:t>
      </w:r>
      <w:r w:rsidRPr="00382917">
        <w:t>multitude</w:t>
      </w:r>
      <w:r w:rsidR="00EE4FC3">
        <w:t xml:space="preserve"> </w:t>
      </w:r>
      <w:r w:rsidRPr="00382917">
        <w:t>of</w:t>
      </w:r>
      <w:r w:rsidR="00EE4FC3">
        <w:t xml:space="preserve"> </w:t>
      </w:r>
      <w:r w:rsidRPr="00382917">
        <w:t>people</w:t>
      </w:r>
      <w:r w:rsidR="00EE4FC3">
        <w:t xml:space="preserve"> </w:t>
      </w:r>
      <w:r w:rsidRPr="00382917">
        <w:t>arrived</w:t>
      </w:r>
      <w:r w:rsidR="0040329F">
        <w:t>.</w:t>
      </w:r>
      <w:r w:rsidR="00EE4FC3">
        <w:t xml:space="preserve">  </w:t>
      </w:r>
      <w:r w:rsidRPr="00382917">
        <w:t>They</w:t>
      </w:r>
      <w:r w:rsidR="00EE4FC3">
        <w:t xml:space="preserve"> </w:t>
      </w:r>
      <w:r w:rsidRPr="00382917">
        <w:t>completely</w:t>
      </w:r>
      <w:r w:rsidR="00EE4FC3">
        <w:t xml:space="preserve"> </w:t>
      </w:r>
      <w:r w:rsidRPr="00382917">
        <w:t>surrounded</w:t>
      </w:r>
      <w:r w:rsidR="00EE4FC3">
        <w:t xml:space="preserve"> </w:t>
      </w:r>
      <w:r w:rsidRPr="00382917">
        <w:t>his</w:t>
      </w:r>
      <w:r w:rsidR="00EE4FC3">
        <w:t xml:space="preserve"> </w:t>
      </w:r>
      <w:r w:rsidRPr="00382917">
        <w:t>house.</w:t>
      </w:r>
    </w:p>
    <w:p w:rsidR="00B2037B" w:rsidRPr="00382917" w:rsidRDefault="00B2037B" w:rsidP="00B2037B">
      <w:pPr>
        <w:pStyle w:val="Text"/>
      </w:pPr>
      <w:proofErr w:type="spellStart"/>
      <w:r w:rsidRPr="00382917">
        <w:t>Vaḥíd</w:t>
      </w:r>
      <w:r w:rsidR="009C713D" w:rsidRPr="00382917">
        <w:t>’</w:t>
      </w:r>
      <w:r w:rsidRPr="00382917">
        <w:t>s</w:t>
      </w:r>
      <w:proofErr w:type="spellEnd"/>
      <w:r w:rsidR="00EE4FC3">
        <w:t xml:space="preserve"> </w:t>
      </w:r>
      <w:r w:rsidRPr="00382917">
        <w:t>friends</w:t>
      </w:r>
      <w:r w:rsidR="00EE4FC3">
        <w:t xml:space="preserve"> </w:t>
      </w:r>
      <w:r w:rsidRPr="00382917">
        <w:t>were</w:t>
      </w:r>
      <w:r w:rsidR="00EE4FC3">
        <w:t xml:space="preserve"> </w:t>
      </w:r>
      <w:r w:rsidRPr="00382917">
        <w:t>alarmed</w:t>
      </w:r>
      <w:r w:rsidR="00EE4FC3">
        <w:t xml:space="preserve"> </w:t>
      </w:r>
      <w:r w:rsidRPr="00382917">
        <w:t>at</w:t>
      </w:r>
      <w:r w:rsidR="00EE4FC3">
        <w:t xml:space="preserve"> </w:t>
      </w:r>
      <w:r w:rsidRPr="00382917">
        <w:t>the</w:t>
      </w:r>
      <w:r w:rsidR="00EE4FC3">
        <w:t xml:space="preserve"> </w:t>
      </w:r>
      <w:r w:rsidRPr="00382917">
        <w:t>sight</w:t>
      </w:r>
      <w:r w:rsidR="00EE4FC3">
        <w:t xml:space="preserve"> </w:t>
      </w:r>
      <w:r w:rsidRPr="00382917">
        <w:t>of</w:t>
      </w:r>
      <w:r w:rsidR="00EE4FC3">
        <w:t xml:space="preserve"> </w:t>
      </w:r>
      <w:r w:rsidRPr="00382917">
        <w:t>the</w:t>
      </w:r>
      <w:r w:rsidR="00EE4FC3">
        <w:t xml:space="preserve"> </w:t>
      </w:r>
      <w:r w:rsidRPr="00382917">
        <w:t>soldiers</w:t>
      </w:r>
      <w:r w:rsidR="00EE4FC3">
        <w:t xml:space="preserve"> </w:t>
      </w:r>
      <w:r w:rsidRPr="00382917">
        <w:t>and</w:t>
      </w:r>
      <w:r w:rsidR="00EE4FC3">
        <w:t xml:space="preserve"> </w:t>
      </w:r>
      <w:r w:rsidRPr="00382917">
        <w:t>the</w:t>
      </w:r>
      <w:r w:rsidR="00EE4FC3">
        <w:t xml:space="preserve"> </w:t>
      </w:r>
      <w:r w:rsidRPr="00382917">
        <w:t>great</w:t>
      </w:r>
      <w:r w:rsidR="00EE4FC3">
        <w:t xml:space="preserve"> </w:t>
      </w:r>
      <w:r w:rsidRPr="00382917">
        <w:t>mob</w:t>
      </w:r>
      <w:r w:rsidR="00EE4FC3">
        <w:t xml:space="preserve"> </w:t>
      </w:r>
      <w:r w:rsidRPr="00382917">
        <w:t>of</w:t>
      </w:r>
      <w:r w:rsidR="00EE4FC3">
        <w:t xml:space="preserve"> </w:t>
      </w:r>
      <w:r w:rsidRPr="00382917">
        <w:t>infuriated</w:t>
      </w:r>
      <w:r w:rsidR="00EE4FC3">
        <w:t xml:space="preserve"> </w:t>
      </w:r>
      <w:r w:rsidRPr="00382917">
        <w:t>townspeople</w:t>
      </w:r>
      <w:r w:rsidR="0040329F">
        <w:t>.</w:t>
      </w:r>
      <w:r w:rsidR="00EE4FC3">
        <w:t xml:space="preserve">  </w:t>
      </w:r>
      <w:r w:rsidRPr="00382917">
        <w:t>They</w:t>
      </w:r>
      <w:r w:rsidR="00EE4FC3">
        <w:t xml:space="preserve"> </w:t>
      </w:r>
      <w:r w:rsidRPr="00382917">
        <w:t>turned</w:t>
      </w:r>
      <w:r w:rsidR="00EE4FC3">
        <w:t xml:space="preserve"> </w:t>
      </w:r>
      <w:r w:rsidRPr="00382917">
        <w:t>to</w:t>
      </w:r>
      <w:r w:rsidR="00EE4FC3">
        <w:t xml:space="preserve"> </w:t>
      </w:r>
      <w:r w:rsidRPr="00382917">
        <w:t>Vaḥíd</w:t>
      </w:r>
      <w:r w:rsidR="00EE4FC3">
        <w:t xml:space="preserve"> </w:t>
      </w:r>
      <w:r w:rsidRPr="00382917">
        <w:t>in</w:t>
      </w:r>
      <w:r w:rsidR="00EE4FC3">
        <w:t xml:space="preserve"> </w:t>
      </w:r>
      <w:r w:rsidRPr="00382917">
        <w:t>their</w:t>
      </w:r>
      <w:r w:rsidR="00EE4FC3">
        <w:t xml:space="preserve"> </w:t>
      </w:r>
      <w:r w:rsidRPr="00382917">
        <w:t>distress,</w:t>
      </w:r>
      <w:r w:rsidR="00EE4FC3">
        <w:t xml:space="preserve"> </w:t>
      </w:r>
      <w:r w:rsidRPr="00382917">
        <w:t>asking</w:t>
      </w:r>
      <w:r w:rsidR="00EE4FC3">
        <w:t xml:space="preserve"> </w:t>
      </w:r>
      <w:r w:rsidRPr="00382917">
        <w:t>for</w:t>
      </w:r>
      <w:r w:rsidR="00EE4FC3">
        <w:t xml:space="preserve"> </w:t>
      </w:r>
      <w:r w:rsidRPr="00382917">
        <w:t>instructions</w:t>
      </w:r>
      <w:r w:rsidR="0040329F">
        <w:t>.</w:t>
      </w:r>
      <w:r w:rsidR="00EE4FC3">
        <w:t xml:space="preserve">  </w:t>
      </w:r>
      <w:r w:rsidRPr="00382917">
        <w:t>His</w:t>
      </w:r>
      <w:r w:rsidR="00EE4FC3">
        <w:t xml:space="preserve"> </w:t>
      </w:r>
      <w:r w:rsidRPr="00382917">
        <w:t>servant,</w:t>
      </w:r>
      <w:r w:rsidR="00EE4FC3">
        <w:t xml:space="preserve"> </w:t>
      </w:r>
      <w:r w:rsidRPr="00382917">
        <w:t>Ḥasan,</w:t>
      </w:r>
      <w:r w:rsidR="00EE4FC3">
        <w:t xml:space="preserve"> </w:t>
      </w:r>
      <w:r w:rsidRPr="00382917">
        <w:t>quickly</w:t>
      </w:r>
      <w:r w:rsidR="00EE4FC3">
        <w:t xml:space="preserve"> </w:t>
      </w:r>
      <w:r w:rsidRPr="00382917">
        <w:t>saddled</w:t>
      </w:r>
      <w:r w:rsidR="00EE4FC3">
        <w:t xml:space="preserve"> </w:t>
      </w:r>
      <w:proofErr w:type="spellStart"/>
      <w:r w:rsidRPr="00382917">
        <w:t>Vaḥíd</w:t>
      </w:r>
      <w:r w:rsidR="009C713D" w:rsidRPr="00382917">
        <w:t>’</w:t>
      </w:r>
      <w:r w:rsidRPr="00382917">
        <w:t>s</w:t>
      </w:r>
      <w:proofErr w:type="spellEnd"/>
      <w:r w:rsidR="00EE4FC3">
        <w:t xml:space="preserve"> </w:t>
      </w:r>
      <w:r w:rsidRPr="00382917">
        <w:t>horse</w:t>
      </w:r>
      <w:r w:rsidR="00EE4FC3">
        <w:t xml:space="preserve"> </w:t>
      </w:r>
      <w:r w:rsidRPr="00382917">
        <w:t>and</w:t>
      </w:r>
      <w:r w:rsidR="00EE4FC3">
        <w:t xml:space="preserve"> </w:t>
      </w:r>
      <w:r w:rsidRPr="00382917">
        <w:t>brought</w:t>
      </w:r>
      <w:r w:rsidR="00EE4FC3">
        <w:t xml:space="preserve"> </w:t>
      </w:r>
      <w:r w:rsidRPr="00382917">
        <w:t>it</w:t>
      </w:r>
      <w:r w:rsidR="00EE4FC3">
        <w:t xml:space="preserve"> </w:t>
      </w:r>
      <w:r w:rsidRPr="00382917">
        <w:t>into</w:t>
      </w:r>
      <w:r w:rsidR="00EE4FC3">
        <w:t xml:space="preserve"> </w:t>
      </w:r>
      <w:r w:rsidRPr="00382917">
        <w:t>the</w:t>
      </w:r>
      <w:r w:rsidR="00EE4FC3">
        <w:t xml:space="preserve"> </w:t>
      </w:r>
      <w:r w:rsidRPr="00382917">
        <w:t>courtyard</w:t>
      </w:r>
      <w:r w:rsidR="00EE4FC3">
        <w:t xml:space="preserve"> </w:t>
      </w:r>
      <w:r w:rsidRPr="00382917">
        <w:t>below</w:t>
      </w:r>
      <w:r w:rsidR="00EE4FC3">
        <w:t xml:space="preserve"> </w:t>
      </w:r>
      <w:r w:rsidRPr="00382917">
        <w:t>his</w:t>
      </w:r>
      <w:r w:rsidR="00EE4FC3">
        <w:t xml:space="preserve"> </w:t>
      </w:r>
      <w:r w:rsidRPr="00382917">
        <w:t>window</w:t>
      </w:r>
      <w:r w:rsidR="00EE4FC3">
        <w:t xml:space="preserve"> </w:t>
      </w:r>
      <w:r w:rsidRPr="00382917">
        <w:t>so</w:t>
      </w:r>
      <w:r w:rsidR="00EE4FC3">
        <w:t xml:space="preserve"> </w:t>
      </w:r>
      <w:r w:rsidRPr="00382917">
        <w:t>that</w:t>
      </w:r>
      <w:r w:rsidR="00EE4FC3">
        <w:t xml:space="preserve"> </w:t>
      </w:r>
      <w:r w:rsidRPr="00382917">
        <w:t>he</w:t>
      </w:r>
      <w:r w:rsidR="00EE4FC3">
        <w:t xml:space="preserve"> </w:t>
      </w:r>
      <w:r w:rsidRPr="00382917">
        <w:t>might</w:t>
      </w:r>
      <w:r w:rsidR="00EE4FC3">
        <w:t xml:space="preserve"> </w:t>
      </w:r>
      <w:r w:rsidRPr="00382917">
        <w:t>flee</w:t>
      </w:r>
      <w:r w:rsidR="00EE4FC3">
        <w:t xml:space="preserve"> </w:t>
      </w:r>
      <w:r w:rsidRPr="00382917">
        <w:t>for</w:t>
      </w:r>
      <w:r w:rsidR="00EE4FC3">
        <w:t xml:space="preserve"> </w:t>
      </w:r>
      <w:r w:rsidRPr="00382917">
        <w:t>safety</w:t>
      </w:r>
      <w:r w:rsidR="0040329F">
        <w:t>.</w:t>
      </w:r>
      <w:r w:rsidR="00EE4FC3">
        <w:t xml:space="preserve">  </w:t>
      </w:r>
      <w:r w:rsidRPr="00382917">
        <w:t>Vaḥíd</w:t>
      </w:r>
      <w:r w:rsidR="00EE4FC3">
        <w:t xml:space="preserve"> </w:t>
      </w:r>
      <w:r w:rsidRPr="00382917">
        <w:t>called</w:t>
      </w:r>
      <w:r w:rsidR="00EE4FC3">
        <w:t xml:space="preserve"> </w:t>
      </w:r>
      <w:r w:rsidRPr="00382917">
        <w:t>upon</w:t>
      </w:r>
      <w:r w:rsidR="00EE4FC3">
        <w:t xml:space="preserve"> </w:t>
      </w:r>
      <w:r w:rsidRPr="00382917">
        <w:t>his</w:t>
      </w:r>
      <w:r w:rsidR="00EE4FC3">
        <w:t xml:space="preserve"> </w:t>
      </w:r>
      <w:r w:rsidRPr="00382917">
        <w:t>friends</w:t>
      </w:r>
      <w:r w:rsidR="00EE4FC3">
        <w:t xml:space="preserve"> </w:t>
      </w:r>
      <w:r w:rsidRPr="00382917">
        <w:t>to</w:t>
      </w:r>
      <w:r w:rsidR="00EE4FC3">
        <w:t xml:space="preserve"> </w:t>
      </w:r>
      <w:r w:rsidRPr="00382917">
        <w:t>be</w:t>
      </w:r>
      <w:r w:rsidR="00EE4FC3">
        <w:t xml:space="preserve"> </w:t>
      </w:r>
      <w:r w:rsidRPr="00382917">
        <w:t>calm.</w:t>
      </w:r>
    </w:p>
    <w:p w:rsidR="00B2037B" w:rsidRPr="00382917" w:rsidRDefault="009C713D" w:rsidP="00B2037B">
      <w:pPr>
        <w:pStyle w:val="Text"/>
      </w:pPr>
      <w:r w:rsidRPr="00382917">
        <w:t>“</w:t>
      </w:r>
      <w:r w:rsidR="00B2037B" w:rsidRPr="00382917">
        <w:t>Do</w:t>
      </w:r>
      <w:r w:rsidR="00EE4FC3">
        <w:t xml:space="preserve"> </w:t>
      </w:r>
      <w:r w:rsidR="00B2037B" w:rsidRPr="00382917">
        <w:t>not</w:t>
      </w:r>
      <w:r w:rsidR="00EE4FC3">
        <w:t xml:space="preserve"> </w:t>
      </w:r>
      <w:r w:rsidR="00B2037B" w:rsidRPr="00382917">
        <w:t>fear,</w:t>
      </w:r>
      <w:r w:rsidRPr="00382917">
        <w:t>”</w:t>
      </w:r>
      <w:r w:rsidR="00EE4FC3">
        <w:t xml:space="preserve"> </w:t>
      </w:r>
      <w:r w:rsidR="00B2037B" w:rsidRPr="00382917">
        <w:t>he</w:t>
      </w:r>
      <w:r w:rsidR="00EE4FC3">
        <w:t xml:space="preserve"> </w:t>
      </w:r>
      <w:r w:rsidR="00B2037B" w:rsidRPr="00382917">
        <w:t>told</w:t>
      </w:r>
      <w:r w:rsidR="00EE4FC3">
        <w:t xml:space="preserve"> </w:t>
      </w:r>
      <w:r w:rsidR="00B2037B" w:rsidRPr="00382917">
        <w:t>them</w:t>
      </w:r>
      <w:r w:rsidR="0040329F">
        <w:t>.</w:t>
      </w:r>
      <w:r w:rsidR="00EE4FC3">
        <w:t xml:space="preserve">  </w:t>
      </w:r>
      <w:r w:rsidRPr="00382917">
        <w:t>“</w:t>
      </w:r>
      <w:r w:rsidR="00B2037B" w:rsidRPr="00382917">
        <w:t>In</w:t>
      </w:r>
      <w:r w:rsidR="00EE4FC3">
        <w:t xml:space="preserve"> </w:t>
      </w:r>
      <w:r w:rsidR="00B2037B" w:rsidRPr="00382917">
        <w:t>but</w:t>
      </w:r>
      <w:r w:rsidR="00EE4FC3">
        <w:t xml:space="preserve"> </w:t>
      </w:r>
      <w:r w:rsidR="00B2037B" w:rsidRPr="00382917">
        <w:t>a</w:t>
      </w:r>
      <w:r w:rsidR="00EE4FC3">
        <w:t xml:space="preserve"> </w:t>
      </w:r>
      <w:r w:rsidR="00B2037B" w:rsidRPr="00382917">
        <w:t>short</w:t>
      </w:r>
      <w:r w:rsidR="00EE4FC3">
        <w:t xml:space="preserve"> </w:t>
      </w:r>
      <w:r w:rsidR="00B2037B" w:rsidRPr="00382917">
        <w:t>time,</w:t>
      </w:r>
      <w:r w:rsidR="00EE4FC3">
        <w:t xml:space="preserve"> </w:t>
      </w:r>
      <w:r w:rsidR="00B2037B" w:rsidRPr="00382917">
        <w:t>all</w:t>
      </w:r>
      <w:r w:rsidR="00EE4FC3">
        <w:t xml:space="preserve"> </w:t>
      </w:r>
      <w:r w:rsidR="00B2037B" w:rsidRPr="00382917">
        <w:t>those</w:t>
      </w:r>
      <w:r w:rsidR="00EE4FC3">
        <w:t xml:space="preserve"> </w:t>
      </w:r>
      <w:r w:rsidR="00B2037B" w:rsidRPr="00382917">
        <w:t>who</w:t>
      </w:r>
      <w:r w:rsidR="00EE4FC3">
        <w:t xml:space="preserve"> </w:t>
      </w:r>
      <w:r w:rsidR="00B2037B" w:rsidRPr="00382917">
        <w:t>have</w:t>
      </w:r>
      <w:r w:rsidR="00EE4FC3">
        <w:t xml:space="preserve"> </w:t>
      </w:r>
      <w:r w:rsidR="00B2037B" w:rsidRPr="00382917">
        <w:t>now</w:t>
      </w:r>
      <w:r w:rsidR="00EE4FC3">
        <w:t xml:space="preserve"> </w:t>
      </w:r>
      <w:r w:rsidR="00B2037B" w:rsidRPr="00382917">
        <w:t>encircled</w:t>
      </w:r>
      <w:r w:rsidR="00EE4FC3">
        <w:t xml:space="preserve"> </w:t>
      </w:r>
      <w:r w:rsidR="00B2037B" w:rsidRPr="00382917">
        <w:t>us</w:t>
      </w:r>
      <w:r w:rsidR="00EE4FC3">
        <w:t xml:space="preserve"> </w:t>
      </w:r>
      <w:r w:rsidR="00B2037B" w:rsidRPr="00382917">
        <w:t>will</w:t>
      </w:r>
      <w:r w:rsidR="00EE4FC3">
        <w:t xml:space="preserve"> </w:t>
      </w:r>
      <w:r w:rsidR="00B2037B" w:rsidRPr="00382917">
        <w:t>have</w:t>
      </w:r>
      <w:r w:rsidR="00EE4FC3">
        <w:t xml:space="preserve"> </w:t>
      </w:r>
      <w:r w:rsidR="00B2037B" w:rsidRPr="00382917">
        <w:t>been</w:t>
      </w:r>
      <w:r w:rsidR="00EE4FC3">
        <w:t xml:space="preserve"> </w:t>
      </w:r>
      <w:r w:rsidR="00B2037B" w:rsidRPr="00382917">
        <w:t>scattered.</w:t>
      </w:r>
      <w:r w:rsidRPr="00382917">
        <w:t>”</w:t>
      </w:r>
    </w:p>
    <w:p w:rsidR="00B2037B" w:rsidRPr="00382917" w:rsidRDefault="00B2037B" w:rsidP="00B2037B">
      <w:pPr>
        <w:pStyle w:val="Text"/>
      </w:pPr>
      <w:r w:rsidRPr="00382917">
        <w:t>Vaḥíd</w:t>
      </w:r>
      <w:r w:rsidR="00EE4FC3">
        <w:t xml:space="preserve"> </w:t>
      </w:r>
      <w:r w:rsidRPr="00382917">
        <w:t>pointed</w:t>
      </w:r>
      <w:r w:rsidR="00EE4FC3">
        <w:t xml:space="preserve"> </w:t>
      </w:r>
      <w:r w:rsidRPr="00382917">
        <w:t>down</w:t>
      </w:r>
      <w:r w:rsidR="00EE4FC3">
        <w:t xml:space="preserve"> </w:t>
      </w:r>
      <w:r w:rsidRPr="00382917">
        <w:t>at</w:t>
      </w:r>
      <w:r w:rsidR="00EE4FC3">
        <w:t xml:space="preserve"> </w:t>
      </w:r>
      <w:r w:rsidRPr="00382917">
        <w:t>the</w:t>
      </w:r>
      <w:r w:rsidR="00EE4FC3">
        <w:t xml:space="preserve"> </w:t>
      </w:r>
      <w:r w:rsidRPr="00382917">
        <w:t>horse</w:t>
      </w:r>
      <w:r w:rsidR="00EE4FC3">
        <w:t xml:space="preserve"> </w:t>
      </w:r>
      <w:r w:rsidRPr="00382917">
        <w:t>standing</w:t>
      </w:r>
      <w:r w:rsidR="00EE4FC3">
        <w:t xml:space="preserve"> </w:t>
      </w:r>
      <w:r w:rsidRPr="00382917">
        <w:t>below</w:t>
      </w:r>
      <w:r w:rsidR="00EE4FC3">
        <w:t xml:space="preserve"> </w:t>
      </w:r>
      <w:r w:rsidRPr="00382917">
        <w:t>him</w:t>
      </w:r>
      <w:r w:rsidR="00EE4FC3">
        <w:t xml:space="preserve"> </w:t>
      </w:r>
      <w:r w:rsidRPr="00382917">
        <w:t>in</w:t>
      </w:r>
      <w:r w:rsidR="00EE4FC3">
        <w:t xml:space="preserve"> </w:t>
      </w:r>
      <w:r w:rsidRPr="00382917">
        <w:t>the</w:t>
      </w:r>
      <w:r w:rsidR="00EE4FC3">
        <w:t xml:space="preserve"> </w:t>
      </w:r>
      <w:r w:rsidRPr="00382917">
        <w:t>courtyard</w:t>
      </w:r>
      <w:r w:rsidR="0040329F">
        <w:t>.</w:t>
      </w:r>
      <w:r w:rsidR="00EE4FC3">
        <w:t xml:space="preserve">  </w:t>
      </w:r>
      <w:r w:rsidR="009C713D" w:rsidRPr="00382917">
        <w:t>“</w:t>
      </w:r>
      <w:r w:rsidRPr="00382917">
        <w:t>That</w:t>
      </w:r>
      <w:r w:rsidR="00EE4FC3">
        <w:t xml:space="preserve"> </w:t>
      </w:r>
      <w:r w:rsidRPr="00382917">
        <w:t>very</w:t>
      </w:r>
      <w:r w:rsidR="00EE4FC3">
        <w:t xml:space="preserve"> </w:t>
      </w:r>
      <w:r w:rsidRPr="00382917">
        <w:t>steed,</w:t>
      </w:r>
      <w:r w:rsidR="009C713D" w:rsidRPr="00382917">
        <w:t>”</w:t>
      </w:r>
      <w:r w:rsidR="00EE4FC3">
        <w:t xml:space="preserve"> </w:t>
      </w:r>
      <w:r w:rsidRPr="00382917">
        <w:t>he</w:t>
      </w:r>
      <w:r w:rsidR="00EE4FC3">
        <w:t xml:space="preserve"> </w:t>
      </w:r>
      <w:r w:rsidRPr="00382917">
        <w:t>said,</w:t>
      </w:r>
      <w:r w:rsidR="00EE4FC3">
        <w:t xml:space="preserve"> </w:t>
      </w:r>
      <w:r w:rsidR="009C713D" w:rsidRPr="00382917">
        <w:t>“</w:t>
      </w:r>
      <w:r w:rsidRPr="00382917">
        <w:t>is</w:t>
      </w:r>
      <w:r w:rsidR="00EE4FC3">
        <w:t xml:space="preserve"> </w:t>
      </w:r>
      <w:r w:rsidRPr="00382917">
        <w:t>the</w:t>
      </w:r>
      <w:r w:rsidR="00EE4FC3">
        <w:t xml:space="preserve"> </w:t>
      </w:r>
      <w:r w:rsidRPr="00382917">
        <w:t>one</w:t>
      </w:r>
      <w:r w:rsidR="00EE4FC3">
        <w:t xml:space="preserve"> </w:t>
      </w:r>
      <w:r w:rsidRPr="00382917">
        <w:t>which</w:t>
      </w:r>
      <w:r w:rsidR="00EE4FC3">
        <w:t xml:space="preserve"> </w:t>
      </w:r>
      <w:r w:rsidRPr="00382917">
        <w:t>the</w:t>
      </w:r>
      <w:r w:rsidR="00EE4FC3">
        <w:t xml:space="preserve"> </w:t>
      </w:r>
      <w:r w:rsidRPr="00382917">
        <w:t>late</w:t>
      </w:r>
      <w:r w:rsidR="00EE4FC3">
        <w:t xml:space="preserve"> </w:t>
      </w:r>
      <w:r w:rsidRPr="00382917">
        <w:t>king</w:t>
      </w:r>
      <w:r w:rsidR="00EE4FC3">
        <w:t xml:space="preserve"> </w:t>
      </w:r>
      <w:r w:rsidRPr="00382917">
        <w:t>gave</w:t>
      </w:r>
      <w:r w:rsidR="00EE4FC3">
        <w:t xml:space="preserve"> </w:t>
      </w:r>
      <w:r w:rsidRPr="00382917">
        <w:t>me</w:t>
      </w:r>
      <w:r w:rsidR="00EE4FC3">
        <w:t xml:space="preserve"> </w:t>
      </w:r>
      <w:r w:rsidRPr="00382917">
        <w:t>that</w:t>
      </w:r>
      <w:r w:rsidR="00EE4FC3">
        <w:t xml:space="preserve"> </w:t>
      </w:r>
      <w:r w:rsidRPr="00382917">
        <w:t>I</w:t>
      </w:r>
      <w:r w:rsidR="00EE4FC3">
        <w:t xml:space="preserve"> </w:t>
      </w:r>
      <w:r w:rsidRPr="00382917">
        <w:t>might</w:t>
      </w:r>
      <w:r w:rsidR="00EE4FC3">
        <w:t xml:space="preserve"> </w:t>
      </w:r>
      <w:r w:rsidRPr="00382917">
        <w:t>ride</w:t>
      </w:r>
      <w:r w:rsidR="00EE4FC3">
        <w:t xml:space="preserve"> </w:t>
      </w:r>
      <w:r w:rsidRPr="00382917">
        <w:t>upon</w:t>
      </w:r>
      <w:r w:rsidR="00EE4FC3">
        <w:t xml:space="preserve"> </w:t>
      </w:r>
      <w:r w:rsidRPr="00382917">
        <w:t>it</w:t>
      </w:r>
      <w:r w:rsidR="00EE4FC3">
        <w:t xml:space="preserve"> </w:t>
      </w:r>
      <w:r w:rsidRPr="00382917">
        <w:t>to</w:t>
      </w:r>
      <w:r w:rsidR="00EE4FC3">
        <w:t xml:space="preserve"> </w:t>
      </w:r>
      <w:r w:rsidRPr="00382917">
        <w:t>undertake</w:t>
      </w:r>
      <w:r w:rsidR="00EE4FC3">
        <w:t xml:space="preserve"> </w:t>
      </w:r>
      <w:r w:rsidRPr="00382917">
        <w:t>my</w:t>
      </w:r>
      <w:r w:rsidR="00EE4FC3">
        <w:t xml:space="preserve"> </w:t>
      </w:r>
      <w:r w:rsidRPr="00382917">
        <w:t>mission</w:t>
      </w:r>
      <w:r w:rsidR="00EE4FC3">
        <w:t xml:space="preserve"> </w:t>
      </w:r>
      <w:r w:rsidRPr="00382917">
        <w:t>of</w:t>
      </w:r>
      <w:r w:rsidR="00EE4FC3">
        <w:t xml:space="preserve"> </w:t>
      </w:r>
      <w:r w:rsidRPr="00382917">
        <w:t>conducting</w:t>
      </w:r>
      <w:r w:rsidR="00EE4FC3">
        <w:t xml:space="preserve"> </w:t>
      </w:r>
      <w:r w:rsidRPr="00382917">
        <w:t>an</w:t>
      </w:r>
      <w:r w:rsidR="00EE4FC3">
        <w:t xml:space="preserve"> </w:t>
      </w:r>
      <w:r w:rsidRPr="00382917">
        <w:t>impartial</w:t>
      </w:r>
      <w:r w:rsidR="00EE4FC3">
        <w:t xml:space="preserve"> </w:t>
      </w:r>
      <w:r w:rsidRPr="00382917">
        <w:t>investigation</w:t>
      </w:r>
      <w:r w:rsidR="00EE4FC3">
        <w:t xml:space="preserve"> </w:t>
      </w:r>
      <w:r w:rsidRPr="00382917">
        <w:t>into</w:t>
      </w:r>
      <w:r w:rsidR="00EE4FC3">
        <w:t xml:space="preserve"> </w:t>
      </w:r>
      <w:r w:rsidRPr="00382917">
        <w:t>the</w:t>
      </w:r>
      <w:r w:rsidR="00EE4FC3">
        <w:t xml:space="preserve"> </w:t>
      </w:r>
      <w:r w:rsidRPr="00382917">
        <w:t>nature</w:t>
      </w:r>
      <w:r w:rsidR="00EE4FC3">
        <w:t xml:space="preserve"> </w:t>
      </w:r>
      <w:r w:rsidRPr="00382917">
        <w:t>of</w:t>
      </w:r>
      <w:r w:rsidR="00EE4FC3">
        <w:t xml:space="preserve"> </w:t>
      </w:r>
      <w:r w:rsidRPr="00382917">
        <w:t>the</w:t>
      </w:r>
      <w:r w:rsidR="00EE4FC3">
        <w:t xml:space="preserve"> </w:t>
      </w:r>
      <w:r w:rsidRPr="00382917">
        <w:t>Faith</w:t>
      </w:r>
      <w:r w:rsidR="00EE4FC3">
        <w:t xml:space="preserve"> </w:t>
      </w:r>
      <w:r w:rsidRPr="00382917">
        <w:t>proclaimed</w:t>
      </w:r>
      <w:r w:rsidR="00EE4FC3">
        <w:t xml:space="preserve"> </w:t>
      </w:r>
      <w:r w:rsidRPr="00382917">
        <w:t>by</w:t>
      </w:r>
      <w:r w:rsidR="00EE4FC3">
        <w:t xml:space="preserve"> </w:t>
      </w:r>
      <w:r w:rsidRPr="00382917">
        <w:t>the</w:t>
      </w:r>
      <w:r w:rsidR="00EE4FC3">
        <w:t xml:space="preserve"> </w:t>
      </w:r>
      <w:r w:rsidRPr="00382917">
        <w:t>Báb</w:t>
      </w:r>
      <w:r w:rsidR="0040329F">
        <w:t>.</w:t>
      </w:r>
      <w:r w:rsidR="00EE4FC3">
        <w:t xml:space="preserve">  </w:t>
      </w:r>
      <w:r w:rsidRPr="00382917">
        <w:t>The</w:t>
      </w:r>
      <w:r w:rsidR="00EE4FC3">
        <w:t xml:space="preserve"> </w:t>
      </w:r>
      <w:r w:rsidRPr="00382917">
        <w:t>king</w:t>
      </w:r>
      <w:r w:rsidR="00EE4FC3">
        <w:t xml:space="preserve"> </w:t>
      </w:r>
      <w:r w:rsidRPr="00382917">
        <w:t>asked</w:t>
      </w:r>
      <w:r w:rsidR="00EE4FC3">
        <w:t xml:space="preserve"> </w:t>
      </w:r>
      <w:r w:rsidRPr="00382917">
        <w:t>me</w:t>
      </w:r>
      <w:r w:rsidR="00EE4FC3">
        <w:t xml:space="preserve"> </w:t>
      </w:r>
      <w:r w:rsidRPr="00382917">
        <w:t>to</w:t>
      </w:r>
      <w:r w:rsidR="00EE4FC3">
        <w:t xml:space="preserve"> </w:t>
      </w:r>
      <w:r w:rsidRPr="00382917">
        <w:t>report</w:t>
      </w:r>
      <w:r w:rsidR="00EE4FC3">
        <w:t xml:space="preserve"> </w:t>
      </w:r>
      <w:r w:rsidRPr="00382917">
        <w:t>to</w:t>
      </w:r>
      <w:r w:rsidR="00EE4FC3">
        <w:t xml:space="preserve"> </w:t>
      </w:r>
      <w:r w:rsidRPr="00382917">
        <w:t>him</w:t>
      </w:r>
      <w:r w:rsidR="00EE4FC3">
        <w:t xml:space="preserve"> </w:t>
      </w:r>
      <w:r w:rsidRPr="00382917">
        <w:t>personally</w:t>
      </w:r>
      <w:r w:rsidR="00EE4FC3">
        <w:t xml:space="preserve"> </w:t>
      </w:r>
      <w:r w:rsidRPr="00382917">
        <w:t>the</w:t>
      </w:r>
      <w:r w:rsidR="00EE4FC3">
        <w:t xml:space="preserve"> </w:t>
      </w:r>
      <w:r w:rsidRPr="00382917">
        <w:t>results</w:t>
      </w:r>
      <w:r w:rsidR="00EE4FC3">
        <w:t xml:space="preserve"> </w:t>
      </w:r>
      <w:r w:rsidRPr="00382917">
        <w:t>of</w:t>
      </w:r>
      <w:r w:rsidR="00EE4FC3">
        <w:t xml:space="preserve"> </w:t>
      </w:r>
      <w:r w:rsidRPr="00382917">
        <w:t>my</w:t>
      </w:r>
      <w:r w:rsidR="00EE4FC3">
        <w:t xml:space="preserve"> </w:t>
      </w:r>
      <w:proofErr w:type="gramStart"/>
      <w:r w:rsidRPr="00382917">
        <w:t>inquiry,</w:t>
      </w:r>
      <w:proofErr w:type="gramEnd"/>
      <w:r w:rsidR="00EE4FC3">
        <w:t xml:space="preserve"> </w:t>
      </w:r>
      <w:r w:rsidRPr="00382917">
        <w:t>for</w:t>
      </w:r>
      <w:r w:rsidR="00EE4FC3">
        <w:t xml:space="preserve"> </w:t>
      </w:r>
      <w:r w:rsidRPr="00382917">
        <w:t>he</w:t>
      </w:r>
      <w:r w:rsidR="00EE4FC3">
        <w:t xml:space="preserve"> </w:t>
      </w:r>
      <w:r w:rsidRPr="00382917">
        <w:t>said</w:t>
      </w:r>
      <w:r w:rsidR="00EE4FC3">
        <w:t xml:space="preserve"> </w:t>
      </w:r>
      <w:r w:rsidRPr="00382917">
        <w:t>I</w:t>
      </w:r>
      <w:r w:rsidR="00EE4FC3">
        <w:t xml:space="preserve"> </w:t>
      </w:r>
      <w:r w:rsidRPr="00382917">
        <w:t>was</w:t>
      </w:r>
      <w:r w:rsidR="00EE4FC3">
        <w:t xml:space="preserve"> </w:t>
      </w:r>
      <w:r w:rsidRPr="00382917">
        <w:t>the</w:t>
      </w:r>
      <w:r w:rsidR="00EE4FC3">
        <w:t xml:space="preserve"> </w:t>
      </w:r>
      <w:r w:rsidRPr="00382917">
        <w:t>only</w:t>
      </w:r>
      <w:r w:rsidR="00EE4FC3">
        <w:t xml:space="preserve"> </w:t>
      </w:r>
      <w:r w:rsidRPr="00382917">
        <w:t>one</w:t>
      </w:r>
      <w:r w:rsidR="00EE4FC3">
        <w:t xml:space="preserve"> </w:t>
      </w:r>
      <w:r w:rsidRPr="00382917">
        <w:t>among</w:t>
      </w:r>
      <w:r w:rsidR="00EE4FC3">
        <w:t xml:space="preserve"> </w:t>
      </w:r>
      <w:r w:rsidRPr="00382917">
        <w:t>the</w:t>
      </w:r>
      <w:r w:rsidR="00EE4FC3">
        <w:t xml:space="preserve"> </w:t>
      </w:r>
      <w:r w:rsidRPr="00382917">
        <w:t>religious</w:t>
      </w:r>
      <w:r w:rsidR="00EE4FC3">
        <w:t xml:space="preserve"> </w:t>
      </w:r>
      <w:r w:rsidRPr="00382917">
        <w:t>leaders</w:t>
      </w:r>
      <w:r w:rsidR="00EE4FC3">
        <w:t xml:space="preserve"> </w:t>
      </w:r>
      <w:r w:rsidRPr="00382917">
        <w:t>in</w:t>
      </w:r>
      <w:r w:rsidR="00EE4FC3">
        <w:t xml:space="preserve"> </w:t>
      </w:r>
      <w:r w:rsidRPr="00382917">
        <w:rPr>
          <w:sz w:val="22"/>
        </w:rPr>
        <w:t>Ṭ</w:t>
      </w:r>
      <w:r w:rsidRPr="00382917">
        <w:t>ihrán</w:t>
      </w:r>
      <w:r w:rsidR="00EE4FC3">
        <w:t xml:space="preserve"> </w:t>
      </w:r>
      <w:r w:rsidRPr="00382917">
        <w:t>in</w:t>
      </w:r>
      <w:r w:rsidR="00EE4FC3">
        <w:t xml:space="preserve"> </w:t>
      </w:r>
      <w:r w:rsidRPr="00382917">
        <w:t>whom</w:t>
      </w:r>
      <w:r w:rsidR="00EE4FC3">
        <w:t xml:space="preserve"> </w:t>
      </w:r>
      <w:r w:rsidRPr="00382917">
        <w:t>he</w:t>
      </w:r>
      <w:r w:rsidR="00EE4FC3">
        <w:t xml:space="preserve"> </w:t>
      </w:r>
      <w:r w:rsidRPr="00382917">
        <w:t>had</w:t>
      </w:r>
      <w:r w:rsidR="00EE4FC3">
        <w:t xml:space="preserve"> </w:t>
      </w:r>
      <w:r w:rsidRPr="00382917">
        <w:t>complete</w:t>
      </w:r>
      <w:r w:rsidR="00EE4FC3">
        <w:t xml:space="preserve"> </w:t>
      </w:r>
      <w:r w:rsidRPr="00382917">
        <w:t>confidence.</w:t>
      </w:r>
    </w:p>
    <w:p w:rsidR="00B2037B" w:rsidRPr="00382917" w:rsidRDefault="009C713D" w:rsidP="00B2037B">
      <w:pPr>
        <w:pStyle w:val="Text"/>
      </w:pPr>
      <w:r w:rsidRPr="00382917">
        <w:t>“</w:t>
      </w:r>
      <w:r w:rsidR="00B2037B" w:rsidRPr="00382917">
        <w:t>I</w:t>
      </w:r>
      <w:r w:rsidR="00EE4FC3">
        <w:t xml:space="preserve"> </w:t>
      </w:r>
      <w:r w:rsidR="00B2037B" w:rsidRPr="00382917">
        <w:t>undertook</w:t>
      </w:r>
      <w:r w:rsidR="00EE4FC3">
        <w:t xml:space="preserve"> </w:t>
      </w:r>
      <w:r w:rsidR="00B2037B" w:rsidRPr="00382917">
        <w:t>that</w:t>
      </w:r>
      <w:r w:rsidR="00EE4FC3">
        <w:t xml:space="preserve"> </w:t>
      </w:r>
      <w:r w:rsidR="00B2037B" w:rsidRPr="00382917">
        <w:t>mission</w:t>
      </w:r>
      <w:r w:rsidR="00EE4FC3">
        <w:t xml:space="preserve"> </w:t>
      </w:r>
      <w:r w:rsidR="00B2037B" w:rsidRPr="00382917">
        <w:t>riding</w:t>
      </w:r>
      <w:r w:rsidR="00EE4FC3">
        <w:t xml:space="preserve"> </w:t>
      </w:r>
      <w:r w:rsidR="00B2037B" w:rsidRPr="00382917">
        <w:t>upon</w:t>
      </w:r>
      <w:r w:rsidR="00EE4FC3">
        <w:t xml:space="preserve"> </w:t>
      </w:r>
      <w:r w:rsidR="00B2037B" w:rsidRPr="00382917">
        <w:t>that</w:t>
      </w:r>
      <w:r w:rsidR="00EE4FC3">
        <w:t xml:space="preserve"> </w:t>
      </w:r>
      <w:r w:rsidR="00B2037B" w:rsidRPr="00382917">
        <w:t>very</w:t>
      </w:r>
      <w:r w:rsidR="00EE4FC3">
        <w:t xml:space="preserve"> </w:t>
      </w:r>
      <w:r w:rsidR="00B2037B" w:rsidRPr="00382917">
        <w:t>horse</w:t>
      </w:r>
      <w:r w:rsidR="0040329F">
        <w:t>.</w:t>
      </w:r>
      <w:r w:rsidR="00EE4FC3">
        <w:t xml:space="preserve">  </w:t>
      </w:r>
      <w:r w:rsidR="00B2037B" w:rsidRPr="00382917">
        <w:t>I</w:t>
      </w:r>
      <w:r w:rsidR="00EE4FC3">
        <w:t xml:space="preserve"> </w:t>
      </w:r>
      <w:r w:rsidR="00B2037B" w:rsidRPr="00382917">
        <w:t>was</w:t>
      </w:r>
      <w:r w:rsidR="00EE4FC3">
        <w:t xml:space="preserve"> </w:t>
      </w:r>
      <w:r w:rsidR="00B2037B" w:rsidRPr="00382917">
        <w:t>determined</w:t>
      </w:r>
      <w:r w:rsidR="00EE4FC3">
        <w:t xml:space="preserve"> </w:t>
      </w:r>
      <w:r w:rsidR="00B2037B" w:rsidRPr="00382917">
        <w:t>to</w:t>
      </w:r>
      <w:r w:rsidR="00EE4FC3">
        <w:t xml:space="preserve"> </w:t>
      </w:r>
      <w:r w:rsidR="00B2037B" w:rsidRPr="00382917">
        <w:t>refute</w:t>
      </w:r>
      <w:r w:rsidR="00EE4FC3">
        <w:t xml:space="preserve"> </w:t>
      </w:r>
      <w:r w:rsidR="00B2037B" w:rsidRPr="00382917">
        <w:t>everything</w:t>
      </w:r>
      <w:r w:rsidR="00EE4FC3">
        <w:t xml:space="preserve"> </w:t>
      </w:r>
      <w:r w:rsidR="00B2037B" w:rsidRPr="00382917">
        <w:t>the</w:t>
      </w:r>
      <w:r w:rsidR="00EE4FC3">
        <w:t xml:space="preserve"> </w:t>
      </w:r>
      <w:r w:rsidR="00B2037B" w:rsidRPr="00382917">
        <w:t>Báb</w:t>
      </w:r>
      <w:r w:rsidR="00EE4FC3">
        <w:t xml:space="preserve"> </w:t>
      </w:r>
      <w:r w:rsidR="00B2037B" w:rsidRPr="00382917">
        <w:t>said,</w:t>
      </w:r>
      <w:r w:rsidR="00EE4FC3">
        <w:t xml:space="preserve"> </w:t>
      </w:r>
      <w:r w:rsidR="00B2037B" w:rsidRPr="00382917">
        <w:t>and</w:t>
      </w:r>
      <w:r w:rsidR="00EE4FC3">
        <w:t xml:space="preserve"> </w:t>
      </w:r>
      <w:r w:rsidR="00B2037B" w:rsidRPr="00382917">
        <w:t>to</w:t>
      </w:r>
      <w:r w:rsidR="00EE4FC3">
        <w:t xml:space="preserve"> </w:t>
      </w:r>
      <w:r w:rsidR="00B2037B" w:rsidRPr="00382917">
        <w:t>prove</w:t>
      </w:r>
      <w:r w:rsidR="00EE4FC3">
        <w:t xml:space="preserve"> </w:t>
      </w:r>
      <w:r w:rsidR="00B2037B" w:rsidRPr="00382917">
        <w:t>my</w:t>
      </w:r>
      <w:r w:rsidR="00EE4FC3">
        <w:t xml:space="preserve"> </w:t>
      </w:r>
      <w:r w:rsidR="00B2037B" w:rsidRPr="00382917">
        <w:t>superiority</w:t>
      </w:r>
      <w:r w:rsidR="0040329F">
        <w:t>.</w:t>
      </w:r>
      <w:r w:rsidR="00EE4FC3">
        <w:t xml:space="preserve">  </w:t>
      </w:r>
      <w:r w:rsidR="00B2037B" w:rsidRPr="00382917">
        <w:t>I</w:t>
      </w:r>
      <w:r w:rsidR="00EE4FC3">
        <w:t xml:space="preserve"> </w:t>
      </w:r>
      <w:r w:rsidR="00B2037B" w:rsidRPr="00382917">
        <w:t>planned</w:t>
      </w:r>
      <w:r w:rsidR="00EE4FC3">
        <w:t xml:space="preserve"> </w:t>
      </w:r>
      <w:r w:rsidR="00B2037B" w:rsidRPr="00382917">
        <w:t>to</w:t>
      </w:r>
      <w:r w:rsidR="00EE4FC3">
        <w:t xml:space="preserve"> </w:t>
      </w:r>
      <w:r w:rsidR="00B2037B" w:rsidRPr="00382917">
        <w:t>crush</w:t>
      </w:r>
      <w:r w:rsidR="00EE4FC3">
        <w:t xml:space="preserve"> </w:t>
      </w:r>
      <w:r w:rsidR="00B2037B" w:rsidRPr="00382917">
        <w:t>Him</w:t>
      </w:r>
      <w:r w:rsidR="00EE4FC3">
        <w:t xml:space="preserve"> </w:t>
      </w:r>
      <w:r w:rsidR="00B2037B" w:rsidRPr="00382917">
        <w:t>with</w:t>
      </w:r>
      <w:r w:rsidR="00EE4FC3">
        <w:t xml:space="preserve"> </w:t>
      </w:r>
      <w:r w:rsidR="00B2037B" w:rsidRPr="00382917">
        <w:t>my</w:t>
      </w:r>
      <w:r w:rsidR="00EE4FC3">
        <w:t xml:space="preserve"> </w:t>
      </w:r>
      <w:r w:rsidR="00B2037B" w:rsidRPr="00382917">
        <w:t>superior</w:t>
      </w:r>
      <w:r w:rsidR="00EE4FC3">
        <w:t xml:space="preserve"> </w:t>
      </w:r>
      <w:r w:rsidR="00B2037B" w:rsidRPr="00382917">
        <w:t>knowledge,</w:t>
      </w:r>
      <w:r w:rsidR="00EE4FC3">
        <w:t xml:space="preserve"> </w:t>
      </w:r>
      <w:r w:rsidR="00B2037B" w:rsidRPr="00382917">
        <w:t>force</w:t>
      </w:r>
      <w:r w:rsidR="00EE4FC3">
        <w:t xml:space="preserve"> </w:t>
      </w:r>
      <w:r w:rsidR="00B2037B" w:rsidRPr="00382917">
        <w:t>Him</w:t>
      </w:r>
      <w:r w:rsidR="00EE4FC3">
        <w:t xml:space="preserve"> </w:t>
      </w:r>
      <w:r w:rsidR="00B2037B" w:rsidRPr="00382917">
        <w:t>to</w:t>
      </w:r>
      <w:r w:rsidR="00EE4FC3">
        <w:t xml:space="preserve"> </w:t>
      </w:r>
      <w:r w:rsidR="00B2037B" w:rsidRPr="00382917">
        <w:t>acknowledge</w:t>
      </w:r>
      <w:r w:rsidR="00EE4FC3">
        <w:t xml:space="preserve"> </w:t>
      </w:r>
      <w:r w:rsidR="00B2037B" w:rsidRPr="00382917">
        <w:t>my</w:t>
      </w:r>
      <w:r w:rsidR="00EE4FC3">
        <w:t xml:space="preserve"> </w:t>
      </w:r>
      <w:r w:rsidR="00B2037B" w:rsidRPr="00382917">
        <w:t>leadership,</w:t>
      </w:r>
      <w:r w:rsidR="00EE4FC3">
        <w:t xml:space="preserve"> </w:t>
      </w:r>
      <w:r w:rsidR="00B2037B" w:rsidRPr="00382917">
        <w:t>and</w:t>
      </w:r>
      <w:r w:rsidR="00EE4FC3">
        <w:t xml:space="preserve"> </w:t>
      </w:r>
      <w:r w:rsidR="00B2037B" w:rsidRPr="00382917">
        <w:t>then</w:t>
      </w:r>
      <w:r w:rsidR="00EE4FC3">
        <w:t xml:space="preserve"> </w:t>
      </w:r>
      <w:r w:rsidR="00B2037B" w:rsidRPr="00382917">
        <w:t>conduct</w:t>
      </w:r>
      <w:r w:rsidR="00EE4FC3">
        <w:t xml:space="preserve"> </w:t>
      </w:r>
      <w:r w:rsidR="00B2037B" w:rsidRPr="00382917">
        <w:t>Him</w:t>
      </w:r>
      <w:r w:rsidR="00EE4FC3">
        <w:t xml:space="preserve"> </w:t>
      </w:r>
      <w:r w:rsidR="00B2037B" w:rsidRPr="00382917">
        <w:t>with</w:t>
      </w:r>
      <w:r w:rsidR="00EE4FC3">
        <w:t xml:space="preserve"> </w:t>
      </w:r>
      <w:r w:rsidR="00B2037B" w:rsidRPr="00382917">
        <w:t>me</w:t>
      </w:r>
      <w:r w:rsidR="00EE4FC3">
        <w:t xml:space="preserve"> </w:t>
      </w:r>
      <w:r w:rsidR="00B2037B" w:rsidRPr="00382917">
        <w:t>to</w:t>
      </w:r>
      <w:r w:rsidR="00EE4FC3">
        <w:t xml:space="preserve"> </w:t>
      </w:r>
      <w:r w:rsidR="00B2037B" w:rsidRPr="00382917">
        <w:rPr>
          <w:sz w:val="22"/>
        </w:rPr>
        <w:t>Ṭ</w:t>
      </w:r>
      <w:r w:rsidR="00B2037B" w:rsidRPr="00382917">
        <w:t>ihrán</w:t>
      </w:r>
      <w:r w:rsidR="00EE4FC3">
        <w:t xml:space="preserve"> </w:t>
      </w:r>
      <w:r w:rsidR="00B2037B" w:rsidRPr="00382917">
        <w:t>as</w:t>
      </w:r>
      <w:r w:rsidR="00EE4FC3">
        <w:t xml:space="preserve"> </w:t>
      </w:r>
      <w:r w:rsidR="00B2037B" w:rsidRPr="00382917">
        <w:t>a</w:t>
      </w:r>
      <w:r w:rsidR="00EE4FC3">
        <w:t xml:space="preserve"> </w:t>
      </w:r>
      <w:r w:rsidR="00B2037B" w:rsidRPr="00382917">
        <w:t>witness</w:t>
      </w:r>
      <w:r w:rsidR="00EE4FC3">
        <w:t xml:space="preserve"> </w:t>
      </w:r>
      <w:r w:rsidR="00B2037B" w:rsidRPr="00382917">
        <w:t>to</w:t>
      </w:r>
      <w:r w:rsidR="00EE4FC3">
        <w:t xml:space="preserve"> </w:t>
      </w:r>
      <w:r w:rsidR="00B2037B" w:rsidRPr="00382917">
        <w:t>my</w:t>
      </w:r>
      <w:r w:rsidR="00EE4FC3">
        <w:t xml:space="preserve"> </w:t>
      </w:r>
      <w:r w:rsidR="00B2037B" w:rsidRPr="00382917">
        <w:t>total</w:t>
      </w:r>
      <w:r w:rsidR="00EE4FC3">
        <w:t xml:space="preserve"> </w:t>
      </w:r>
      <w:r w:rsidR="00B2037B" w:rsidRPr="00382917">
        <w:t>triumph.</w:t>
      </w:r>
    </w:p>
    <w:p w:rsidR="00B2037B" w:rsidRPr="00382917" w:rsidRDefault="009C713D" w:rsidP="00B2037B">
      <w:pPr>
        <w:pStyle w:val="Text"/>
      </w:pPr>
      <w:r w:rsidRPr="00382917">
        <w:t>“</w:t>
      </w:r>
      <w:r w:rsidR="00B2037B" w:rsidRPr="00382917">
        <w:t>When</w:t>
      </w:r>
      <w:r w:rsidR="00EE4FC3">
        <w:t xml:space="preserve"> </w:t>
      </w:r>
      <w:r w:rsidR="00B2037B" w:rsidRPr="00382917">
        <w:t>I</w:t>
      </w:r>
      <w:r w:rsidR="00EE4FC3">
        <w:t xml:space="preserve"> </w:t>
      </w:r>
      <w:r w:rsidR="00B2037B" w:rsidRPr="00382917">
        <w:t>came</w:t>
      </w:r>
      <w:r w:rsidR="00EE4FC3">
        <w:t xml:space="preserve"> </w:t>
      </w:r>
      <w:r w:rsidR="00B2037B" w:rsidRPr="00382917">
        <w:t>into</w:t>
      </w:r>
      <w:r w:rsidR="00EE4FC3">
        <w:t xml:space="preserve"> </w:t>
      </w:r>
      <w:r w:rsidR="00B2037B" w:rsidRPr="00382917">
        <w:t>His</w:t>
      </w:r>
      <w:r w:rsidR="00EE4FC3">
        <w:t xml:space="preserve"> </w:t>
      </w:r>
      <w:r w:rsidR="00B2037B" w:rsidRPr="00382917">
        <w:t>presence</w:t>
      </w:r>
      <w:r w:rsidR="00EE4FC3">
        <w:t xml:space="preserve"> </w:t>
      </w:r>
      <w:r w:rsidR="00B2037B" w:rsidRPr="00382917">
        <w:t>and</w:t>
      </w:r>
      <w:r w:rsidR="00EE4FC3">
        <w:t xml:space="preserve"> </w:t>
      </w:r>
      <w:r w:rsidR="00B2037B" w:rsidRPr="00382917">
        <w:t>heard</w:t>
      </w:r>
      <w:r w:rsidR="00EE4FC3">
        <w:t xml:space="preserve"> </w:t>
      </w:r>
      <w:r w:rsidR="00B2037B" w:rsidRPr="00382917">
        <w:t>His</w:t>
      </w:r>
      <w:r w:rsidR="00EE4FC3">
        <w:t xml:space="preserve"> </w:t>
      </w:r>
      <w:r w:rsidR="00B2037B" w:rsidRPr="00382917">
        <w:t>words,</w:t>
      </w:r>
      <w:r w:rsidR="00EE4FC3">
        <w:t xml:space="preserve"> </w:t>
      </w:r>
      <w:r w:rsidR="00B2037B" w:rsidRPr="00382917">
        <w:t>the</w:t>
      </w:r>
      <w:r w:rsidR="00EE4FC3">
        <w:t xml:space="preserve"> </w:t>
      </w:r>
      <w:r w:rsidR="00B2037B" w:rsidRPr="00382917">
        <w:t>opposite</w:t>
      </w:r>
      <w:r w:rsidR="00EE4FC3">
        <w:t xml:space="preserve"> </w:t>
      </w:r>
      <w:r w:rsidR="00B2037B" w:rsidRPr="00382917">
        <w:t>of</w:t>
      </w:r>
      <w:r w:rsidR="00EE4FC3">
        <w:t xml:space="preserve"> </w:t>
      </w:r>
      <w:r w:rsidR="00B2037B" w:rsidRPr="00382917">
        <w:t>what</w:t>
      </w:r>
      <w:r w:rsidR="00EE4FC3">
        <w:t xml:space="preserve"> </w:t>
      </w:r>
      <w:r w:rsidR="00B2037B" w:rsidRPr="00382917">
        <w:t>I</w:t>
      </w:r>
      <w:r w:rsidR="00EE4FC3">
        <w:t xml:space="preserve"> </w:t>
      </w:r>
      <w:r w:rsidR="00B2037B" w:rsidRPr="00382917">
        <w:t>imagined</w:t>
      </w:r>
      <w:r w:rsidR="00EE4FC3">
        <w:t xml:space="preserve"> </w:t>
      </w:r>
      <w:r w:rsidR="00B2037B" w:rsidRPr="00382917">
        <w:t>took</w:t>
      </w:r>
      <w:r w:rsidR="00EE4FC3">
        <w:t xml:space="preserve"> </w:t>
      </w:r>
      <w:r w:rsidR="00B2037B" w:rsidRPr="00382917">
        <w:t>place</w:t>
      </w:r>
      <w:r w:rsidR="0040329F">
        <w:t>.</w:t>
      </w:r>
      <w:r w:rsidR="00EE4FC3">
        <w:t xml:space="preserve">  </w:t>
      </w:r>
      <w:r w:rsidR="00B2037B" w:rsidRPr="00382917">
        <w:t>In</w:t>
      </w:r>
      <w:r w:rsidR="00EE4FC3">
        <w:t xml:space="preserve"> </w:t>
      </w:r>
      <w:r w:rsidR="00B2037B" w:rsidRPr="00382917">
        <w:t>my</w:t>
      </w:r>
      <w:r w:rsidR="00EE4FC3">
        <w:t xml:space="preserve"> </w:t>
      </w:r>
      <w:r w:rsidR="00B2037B" w:rsidRPr="00382917">
        <w:t>first</w:t>
      </w:r>
      <w:r w:rsidR="00EE4FC3">
        <w:t xml:space="preserve"> </w:t>
      </w:r>
      <w:r w:rsidR="00B2037B" w:rsidRPr="00382917">
        <w:t>audience,</w:t>
      </w:r>
      <w:r w:rsidR="00EE4FC3">
        <w:t xml:space="preserve"> </w:t>
      </w:r>
      <w:r w:rsidR="00B2037B" w:rsidRPr="00382917">
        <w:t>I</w:t>
      </w:r>
      <w:r w:rsidR="00EE4FC3">
        <w:t xml:space="preserve"> </w:t>
      </w:r>
      <w:r w:rsidR="00B2037B" w:rsidRPr="00382917">
        <w:t>was</w:t>
      </w:r>
      <w:r w:rsidR="00EE4FC3">
        <w:t xml:space="preserve"> </w:t>
      </w:r>
      <w:r w:rsidR="00B2037B" w:rsidRPr="00382917">
        <w:t>humbled;</w:t>
      </w:r>
      <w:r w:rsidR="00EE4FC3">
        <w:t xml:space="preserve"> </w:t>
      </w:r>
      <w:r w:rsidR="00B2037B" w:rsidRPr="00382917">
        <w:t>by</w:t>
      </w:r>
      <w:r w:rsidR="00EE4FC3">
        <w:t xml:space="preserve"> </w:t>
      </w:r>
      <w:r w:rsidR="00B2037B" w:rsidRPr="00382917">
        <w:t>the</w:t>
      </w:r>
      <w:r w:rsidR="00EE4FC3">
        <w:t xml:space="preserve"> </w:t>
      </w:r>
      <w:r w:rsidR="00B2037B" w:rsidRPr="00382917">
        <w:t>end</w:t>
      </w:r>
      <w:r w:rsidR="00EE4FC3">
        <w:t xml:space="preserve"> </w:t>
      </w:r>
      <w:r w:rsidR="00B2037B" w:rsidRPr="00382917">
        <w:t>of</w:t>
      </w:r>
      <w:r w:rsidR="00EE4FC3">
        <w:t xml:space="preserve"> </w:t>
      </w:r>
      <w:r w:rsidR="00B2037B" w:rsidRPr="00382917">
        <w:t>the</w:t>
      </w:r>
      <w:r w:rsidR="00EE4FC3">
        <w:t xml:space="preserve"> </w:t>
      </w:r>
      <w:r w:rsidR="00B2037B" w:rsidRPr="00382917">
        <w:t>second,</w:t>
      </w:r>
      <w:r w:rsidR="00EE4FC3">
        <w:t xml:space="preserve"> </w:t>
      </w:r>
      <w:r w:rsidR="00B2037B" w:rsidRPr="00382917">
        <w:t>I</w:t>
      </w:r>
      <w:r w:rsidR="00EE4FC3">
        <w:t xml:space="preserve"> </w:t>
      </w:r>
      <w:r w:rsidR="00B2037B" w:rsidRPr="00382917">
        <w:t>felt</w:t>
      </w:r>
      <w:r w:rsidR="00EE4FC3">
        <w:t xml:space="preserve"> </w:t>
      </w:r>
      <w:r w:rsidR="00B2037B" w:rsidRPr="00382917">
        <w:t>helpless</w:t>
      </w:r>
      <w:r w:rsidR="00EE4FC3">
        <w:t xml:space="preserve"> </w:t>
      </w:r>
      <w:r w:rsidR="00B2037B" w:rsidRPr="00382917">
        <w:t>and</w:t>
      </w:r>
      <w:r w:rsidR="00EE4FC3">
        <w:t xml:space="preserve"> </w:t>
      </w:r>
      <w:r w:rsidR="00B2037B" w:rsidRPr="00382917">
        <w:t>ignorant;</w:t>
      </w:r>
    </w:p>
    <w:p w:rsidR="00B2037B" w:rsidRPr="00382917" w:rsidRDefault="00B2037B">
      <w:pPr>
        <w:widowControl/>
        <w:kinsoku/>
        <w:overflowPunct/>
        <w:textAlignment w:val="auto"/>
      </w:pPr>
      <w:r w:rsidRPr="00382917">
        <w:br w:type="page"/>
      </w:r>
    </w:p>
    <w:p w:rsidR="00B2037B" w:rsidRPr="00382917" w:rsidRDefault="00B2037B" w:rsidP="00B2037B">
      <w:pPr>
        <w:pStyle w:val="Textcts"/>
      </w:pPr>
      <w:proofErr w:type="gramStart"/>
      <w:r w:rsidRPr="00382917">
        <w:t>the</w:t>
      </w:r>
      <w:proofErr w:type="gramEnd"/>
      <w:r w:rsidR="00EE4FC3">
        <w:t xml:space="preserve"> </w:t>
      </w:r>
      <w:r w:rsidRPr="00382917">
        <w:t>third</w:t>
      </w:r>
      <w:r w:rsidR="00EE4FC3">
        <w:t xml:space="preserve"> </w:t>
      </w:r>
      <w:r w:rsidRPr="00382917">
        <w:t>found</w:t>
      </w:r>
      <w:r w:rsidR="00EE4FC3">
        <w:t xml:space="preserve"> </w:t>
      </w:r>
      <w:r w:rsidRPr="00382917">
        <w:t>me</w:t>
      </w:r>
      <w:r w:rsidR="00EE4FC3">
        <w:t xml:space="preserve"> </w:t>
      </w:r>
      <w:r w:rsidRPr="00382917">
        <w:t>as</w:t>
      </w:r>
      <w:r w:rsidR="00EE4FC3">
        <w:t xml:space="preserve"> </w:t>
      </w:r>
      <w:r w:rsidRPr="00382917">
        <w:t>lowly</w:t>
      </w:r>
      <w:r w:rsidR="00EE4FC3">
        <w:t xml:space="preserve"> </w:t>
      </w:r>
      <w:r w:rsidRPr="00382917">
        <w:t>as</w:t>
      </w:r>
      <w:r w:rsidR="00EE4FC3">
        <w:t xml:space="preserve"> </w:t>
      </w:r>
      <w:r w:rsidRPr="00382917">
        <w:t>the</w:t>
      </w:r>
      <w:r w:rsidR="00EE4FC3">
        <w:t xml:space="preserve"> </w:t>
      </w:r>
      <w:r w:rsidRPr="00382917">
        <w:t>dust</w:t>
      </w:r>
      <w:r w:rsidR="00EE4FC3">
        <w:t xml:space="preserve"> </w:t>
      </w:r>
      <w:r w:rsidRPr="00382917">
        <w:t>beneath</w:t>
      </w:r>
      <w:r w:rsidR="00EE4FC3">
        <w:t xml:space="preserve"> </w:t>
      </w:r>
      <w:r w:rsidRPr="00382917">
        <w:t>His</w:t>
      </w:r>
      <w:r w:rsidR="00EE4FC3">
        <w:t xml:space="preserve"> </w:t>
      </w:r>
      <w:r w:rsidRPr="00382917">
        <w:t>feet</w:t>
      </w:r>
      <w:r w:rsidR="0040329F">
        <w:t>.</w:t>
      </w:r>
      <w:r w:rsidR="00EE4FC3">
        <w:t xml:space="preserve">  </w:t>
      </w:r>
      <w:r w:rsidRPr="00382917">
        <w:t>He</w:t>
      </w:r>
      <w:r w:rsidR="00EE4FC3">
        <w:t xml:space="preserve"> </w:t>
      </w:r>
      <w:r w:rsidRPr="00382917">
        <w:t>became</w:t>
      </w:r>
      <w:r w:rsidR="00EE4FC3">
        <w:t xml:space="preserve"> </w:t>
      </w:r>
      <w:r w:rsidRPr="00382917">
        <w:t>to</w:t>
      </w:r>
      <w:r w:rsidR="00EE4FC3">
        <w:t xml:space="preserve"> </w:t>
      </w:r>
      <w:r w:rsidRPr="00382917">
        <w:t>me</w:t>
      </w:r>
      <w:r w:rsidR="00EE4FC3">
        <w:t xml:space="preserve"> </w:t>
      </w:r>
      <w:r w:rsidRPr="00382917">
        <w:t>what</w:t>
      </w:r>
      <w:r w:rsidR="00EE4FC3">
        <w:t xml:space="preserve"> </w:t>
      </w:r>
      <w:r w:rsidRPr="00382917">
        <w:t>He</w:t>
      </w:r>
      <w:r w:rsidR="00EE4FC3">
        <w:t xml:space="preserve"> </w:t>
      </w:r>
      <w:r w:rsidRPr="00382917">
        <w:t>truly</w:t>
      </w:r>
      <w:r w:rsidR="00EE4FC3">
        <w:t xml:space="preserve"> </w:t>
      </w:r>
      <w:r w:rsidRPr="00382917">
        <w:t>was</w:t>
      </w:r>
      <w:r w:rsidR="00C03C91">
        <w:t>:</w:t>
      </w:r>
      <w:r w:rsidR="00EE4FC3">
        <w:t xml:space="preserve">  </w:t>
      </w:r>
      <w:r w:rsidRPr="00382917">
        <w:t>the</w:t>
      </w:r>
      <w:r w:rsidR="00EE4FC3">
        <w:t xml:space="preserve"> </w:t>
      </w:r>
      <w:r w:rsidRPr="00382917">
        <w:t>Promised</w:t>
      </w:r>
      <w:r w:rsidR="00EE4FC3">
        <w:t xml:space="preserve"> </w:t>
      </w:r>
      <w:r w:rsidRPr="00382917">
        <w:t>One,</w:t>
      </w:r>
      <w:r w:rsidR="00EE4FC3">
        <w:t xml:space="preserve"> </w:t>
      </w:r>
      <w:r w:rsidRPr="00382917">
        <w:t>the</w:t>
      </w:r>
      <w:r w:rsidR="00EE4FC3">
        <w:t xml:space="preserve"> </w:t>
      </w:r>
      <w:r w:rsidRPr="00382917">
        <w:t>living</w:t>
      </w:r>
      <w:r w:rsidR="00EE4FC3">
        <w:t xml:space="preserve"> </w:t>
      </w:r>
      <w:r w:rsidRPr="00382917">
        <w:t>embodiment</w:t>
      </w:r>
      <w:r w:rsidR="00EE4FC3">
        <w:t xml:space="preserve"> </w:t>
      </w:r>
      <w:r w:rsidRPr="00382917">
        <w:t>of</w:t>
      </w:r>
      <w:r w:rsidR="00EE4FC3">
        <w:t xml:space="preserve"> </w:t>
      </w:r>
      <w:r w:rsidRPr="00382917">
        <w:t>the</w:t>
      </w:r>
      <w:r w:rsidR="00EE4FC3">
        <w:t xml:space="preserve"> </w:t>
      </w:r>
      <w:r w:rsidRPr="00382917">
        <w:t>Holy</w:t>
      </w:r>
      <w:r w:rsidR="00EE4FC3">
        <w:t xml:space="preserve"> </w:t>
      </w:r>
      <w:r w:rsidRPr="00382917">
        <w:t>Spirit.</w:t>
      </w:r>
      <w:r w:rsidR="009C713D" w:rsidRPr="00382917">
        <w:t>”</w:t>
      </w:r>
    </w:p>
    <w:p w:rsidR="00B2037B" w:rsidRPr="00382917" w:rsidRDefault="00B2037B" w:rsidP="00B2037B">
      <w:pPr>
        <w:pStyle w:val="Text"/>
      </w:pPr>
      <w:r w:rsidRPr="00382917">
        <w:t>Vaḥíd</w:t>
      </w:r>
      <w:r w:rsidR="00EE4FC3">
        <w:t xml:space="preserve"> </w:t>
      </w:r>
      <w:r w:rsidRPr="00382917">
        <w:t>looked</w:t>
      </w:r>
      <w:r w:rsidR="00EE4FC3">
        <w:t xml:space="preserve"> </w:t>
      </w:r>
      <w:r w:rsidRPr="00382917">
        <w:t>with</w:t>
      </w:r>
      <w:r w:rsidR="00EE4FC3">
        <w:t xml:space="preserve"> </w:t>
      </w:r>
      <w:r w:rsidRPr="00382917">
        <w:t>indifference</w:t>
      </w:r>
      <w:r w:rsidR="00EE4FC3">
        <w:t xml:space="preserve"> </w:t>
      </w:r>
      <w:r w:rsidRPr="00382917">
        <w:t>upon</w:t>
      </w:r>
      <w:r w:rsidR="00EE4FC3">
        <w:t xml:space="preserve"> </w:t>
      </w:r>
      <w:r w:rsidRPr="00382917">
        <w:t>the</w:t>
      </w:r>
      <w:r w:rsidR="00EE4FC3">
        <w:t xml:space="preserve"> </w:t>
      </w:r>
      <w:r w:rsidRPr="00382917">
        <w:t>enemies</w:t>
      </w:r>
      <w:r w:rsidR="00EE4FC3">
        <w:t xml:space="preserve"> </w:t>
      </w:r>
      <w:r w:rsidRPr="00382917">
        <w:t>who</w:t>
      </w:r>
      <w:r w:rsidR="00EE4FC3">
        <w:t xml:space="preserve"> </w:t>
      </w:r>
      <w:proofErr w:type="gramStart"/>
      <w:r w:rsidRPr="00382917">
        <w:t>were</w:t>
      </w:r>
      <w:proofErr w:type="gramEnd"/>
      <w:r w:rsidR="00EE4FC3">
        <w:t xml:space="preserve"> </w:t>
      </w:r>
      <w:r w:rsidRPr="00382917">
        <w:t>closing</w:t>
      </w:r>
      <w:r w:rsidR="00EE4FC3">
        <w:t xml:space="preserve"> </w:t>
      </w:r>
      <w:r w:rsidRPr="00382917">
        <w:t>in</w:t>
      </w:r>
      <w:r w:rsidR="00EE4FC3">
        <w:t xml:space="preserve"> </w:t>
      </w:r>
      <w:r w:rsidRPr="00382917">
        <w:t>around</w:t>
      </w:r>
      <w:r w:rsidR="00EE4FC3">
        <w:t xml:space="preserve"> </w:t>
      </w:r>
      <w:r w:rsidRPr="00382917">
        <w:t>him</w:t>
      </w:r>
      <w:r w:rsidR="0040329F">
        <w:t>.</w:t>
      </w:r>
      <w:r w:rsidR="00EE4FC3">
        <w:t xml:space="preserve">  </w:t>
      </w:r>
      <w:r w:rsidRPr="00382917">
        <w:t>Of</w:t>
      </w:r>
      <w:r w:rsidR="00EE4FC3">
        <w:t xml:space="preserve"> </w:t>
      </w:r>
      <w:r w:rsidRPr="00382917">
        <w:t>what</w:t>
      </w:r>
      <w:r w:rsidR="00EE4FC3">
        <w:t xml:space="preserve"> </w:t>
      </w:r>
      <w:r w:rsidRPr="00382917">
        <w:t>importance</w:t>
      </w:r>
      <w:r w:rsidR="00EE4FC3">
        <w:t xml:space="preserve"> </w:t>
      </w:r>
      <w:r w:rsidRPr="00382917">
        <w:t>could</w:t>
      </w:r>
      <w:r w:rsidR="00EE4FC3">
        <w:t xml:space="preserve"> </w:t>
      </w:r>
      <w:r w:rsidRPr="00382917">
        <w:t>any</w:t>
      </w:r>
      <w:r w:rsidR="00EE4FC3">
        <w:t xml:space="preserve"> </w:t>
      </w:r>
      <w:r w:rsidRPr="00382917">
        <w:t>of</w:t>
      </w:r>
      <w:r w:rsidR="00EE4FC3">
        <w:t xml:space="preserve"> </w:t>
      </w:r>
      <w:r w:rsidRPr="00382917">
        <w:t>the</w:t>
      </w:r>
      <w:r w:rsidR="00EE4FC3">
        <w:t xml:space="preserve"> </w:t>
      </w:r>
      <w:r w:rsidRPr="00382917">
        <w:t>happenings</w:t>
      </w:r>
      <w:r w:rsidR="00EE4FC3">
        <w:t xml:space="preserve"> </w:t>
      </w:r>
      <w:r w:rsidRPr="00382917">
        <w:t>of</w:t>
      </w:r>
      <w:r w:rsidR="00EE4FC3">
        <w:t xml:space="preserve"> </w:t>
      </w:r>
      <w:r w:rsidRPr="00382917">
        <w:t>this</w:t>
      </w:r>
      <w:r w:rsidR="00EE4FC3">
        <w:t xml:space="preserve"> </w:t>
      </w:r>
      <w:r w:rsidRPr="00382917">
        <w:t>world</w:t>
      </w:r>
      <w:r w:rsidR="00EE4FC3">
        <w:t xml:space="preserve"> </w:t>
      </w:r>
      <w:r w:rsidRPr="00382917">
        <w:t>be</w:t>
      </w:r>
      <w:r w:rsidR="00EE4FC3">
        <w:t xml:space="preserve"> </w:t>
      </w:r>
      <w:r w:rsidRPr="00382917">
        <w:t>to</w:t>
      </w:r>
      <w:r w:rsidR="00EE4FC3">
        <w:t xml:space="preserve"> </w:t>
      </w:r>
      <w:r w:rsidRPr="00382917">
        <w:t>him</w:t>
      </w:r>
      <w:r w:rsidR="00EE4FC3">
        <w:t xml:space="preserve"> </w:t>
      </w:r>
      <w:r w:rsidRPr="00382917">
        <w:t>ever</w:t>
      </w:r>
      <w:r w:rsidR="00EE4FC3">
        <w:t xml:space="preserve"> </w:t>
      </w:r>
      <w:r w:rsidRPr="00382917">
        <w:t>again,</w:t>
      </w:r>
      <w:r w:rsidR="00EE4FC3">
        <w:t xml:space="preserve"> </w:t>
      </w:r>
      <w:r w:rsidRPr="00382917">
        <w:t>whether</w:t>
      </w:r>
      <w:r w:rsidR="00EE4FC3">
        <w:t xml:space="preserve"> </w:t>
      </w:r>
      <w:r w:rsidRPr="00382917">
        <w:t>they</w:t>
      </w:r>
      <w:r w:rsidR="00EE4FC3">
        <w:t xml:space="preserve"> </w:t>
      </w:r>
      <w:r w:rsidRPr="00382917">
        <w:t>were</w:t>
      </w:r>
      <w:r w:rsidR="00EE4FC3">
        <w:t xml:space="preserve"> </w:t>
      </w:r>
      <w:r w:rsidRPr="00382917">
        <w:t>delights</w:t>
      </w:r>
      <w:r w:rsidR="00EE4FC3">
        <w:t xml:space="preserve"> </w:t>
      </w:r>
      <w:r w:rsidRPr="00382917">
        <w:t>or</w:t>
      </w:r>
      <w:r w:rsidR="00EE4FC3">
        <w:t xml:space="preserve"> </w:t>
      </w:r>
      <w:r w:rsidRPr="00382917">
        <w:t>disasters.</w:t>
      </w:r>
    </w:p>
    <w:p w:rsidR="00E13D49" w:rsidRPr="00382917" w:rsidRDefault="009C713D" w:rsidP="00CF077E">
      <w:pPr>
        <w:pStyle w:val="Text"/>
      </w:pPr>
      <w:r w:rsidRPr="00382917">
        <w:t>“</w:t>
      </w:r>
      <w:r w:rsidR="00B2037B" w:rsidRPr="00382917">
        <w:t>Ever</w:t>
      </w:r>
      <w:r w:rsidR="00EE4FC3">
        <w:t xml:space="preserve"> </w:t>
      </w:r>
      <w:r w:rsidR="00B2037B" w:rsidRPr="00382917">
        <w:t>since</w:t>
      </w:r>
      <w:r w:rsidR="00EE4FC3">
        <w:t xml:space="preserve"> </w:t>
      </w:r>
      <w:r w:rsidR="00B2037B" w:rsidRPr="00382917">
        <w:t>that</w:t>
      </w:r>
      <w:r w:rsidR="00EE4FC3">
        <w:t xml:space="preserve"> </w:t>
      </w:r>
      <w:r w:rsidR="00B2037B" w:rsidRPr="00382917">
        <w:t>day,</w:t>
      </w:r>
      <w:r w:rsidRPr="00382917">
        <w:t>”</w:t>
      </w:r>
      <w:r w:rsidR="00EE4FC3">
        <w:t xml:space="preserve"> </w:t>
      </w:r>
      <w:r w:rsidR="00B2037B" w:rsidRPr="00382917">
        <w:t>he</w:t>
      </w:r>
      <w:r w:rsidR="00EE4FC3">
        <w:t xml:space="preserve"> </w:t>
      </w:r>
      <w:r w:rsidR="00B2037B" w:rsidRPr="00382917">
        <w:t>told</w:t>
      </w:r>
      <w:r w:rsidR="00EE4FC3">
        <w:t xml:space="preserve"> </w:t>
      </w:r>
      <w:r w:rsidR="00B2037B" w:rsidRPr="00382917">
        <w:t>his</w:t>
      </w:r>
      <w:r w:rsidR="00EE4FC3">
        <w:t xml:space="preserve"> </w:t>
      </w:r>
      <w:r w:rsidR="00B2037B" w:rsidRPr="00382917">
        <w:t>friends,</w:t>
      </w:r>
      <w:r w:rsidR="00EE4FC3">
        <w:t xml:space="preserve"> </w:t>
      </w:r>
      <w:r w:rsidRPr="00382917">
        <w:t>“</w:t>
      </w:r>
      <w:r w:rsidR="00B2037B" w:rsidRPr="00382917">
        <w:t>I</w:t>
      </w:r>
      <w:r w:rsidR="00EE4FC3">
        <w:t xml:space="preserve"> </w:t>
      </w:r>
      <w:r w:rsidR="00B2037B" w:rsidRPr="00382917">
        <w:t>have</w:t>
      </w:r>
      <w:r w:rsidR="00EE4FC3">
        <w:t xml:space="preserve"> </w:t>
      </w:r>
      <w:r w:rsidR="00B2037B" w:rsidRPr="00382917">
        <w:t>yearned</w:t>
      </w:r>
      <w:r w:rsidR="00EE4FC3">
        <w:t xml:space="preserve"> </w:t>
      </w:r>
      <w:r w:rsidR="00B2037B" w:rsidRPr="00382917">
        <w:t>to</w:t>
      </w:r>
      <w:r w:rsidR="00EE4FC3">
        <w:t xml:space="preserve"> </w:t>
      </w:r>
      <w:r w:rsidR="00B2037B" w:rsidRPr="00382917">
        <w:t>lay</w:t>
      </w:r>
      <w:r w:rsidR="00EE4FC3">
        <w:t xml:space="preserve"> </w:t>
      </w:r>
      <w:r w:rsidR="00B2037B" w:rsidRPr="00382917">
        <w:t>down</w:t>
      </w:r>
      <w:r w:rsidR="00EE4FC3">
        <w:t xml:space="preserve"> </w:t>
      </w:r>
      <w:r w:rsidR="00B2037B" w:rsidRPr="00382917">
        <w:t>my</w:t>
      </w:r>
      <w:r w:rsidR="00EE4FC3">
        <w:t xml:space="preserve"> </w:t>
      </w:r>
      <w:r w:rsidR="00B2037B" w:rsidRPr="00382917">
        <w:t>life</w:t>
      </w:r>
      <w:r w:rsidR="00EE4FC3">
        <w:t xml:space="preserve"> </w:t>
      </w:r>
      <w:r w:rsidR="00B2037B" w:rsidRPr="00382917">
        <w:t>for</w:t>
      </w:r>
      <w:r w:rsidR="00EE4FC3">
        <w:t xml:space="preserve"> </w:t>
      </w:r>
      <w:r w:rsidR="00B2037B" w:rsidRPr="00382917">
        <w:t>His</w:t>
      </w:r>
      <w:r w:rsidR="00EE4FC3">
        <w:t xml:space="preserve"> </w:t>
      </w:r>
      <w:r w:rsidR="00B2037B" w:rsidRPr="00382917">
        <w:t>sake</w:t>
      </w:r>
      <w:r w:rsidR="0040329F">
        <w:t>.</w:t>
      </w:r>
      <w:r w:rsidR="00EE4FC3">
        <w:t xml:space="preserve">  </w:t>
      </w:r>
      <w:r w:rsidR="00B2037B" w:rsidRPr="00382917">
        <w:t>I</w:t>
      </w:r>
      <w:r w:rsidR="00EE4FC3">
        <w:t xml:space="preserve"> </w:t>
      </w:r>
      <w:r w:rsidR="00B2037B" w:rsidRPr="00382917">
        <w:t>rejoice</w:t>
      </w:r>
      <w:r w:rsidR="00EE4FC3">
        <w:t xml:space="preserve"> </w:t>
      </w:r>
      <w:r w:rsidR="00B2037B" w:rsidRPr="00382917">
        <w:t>that</w:t>
      </w:r>
      <w:r w:rsidR="00EE4FC3">
        <w:t xml:space="preserve"> </w:t>
      </w:r>
      <w:r w:rsidR="00B2037B" w:rsidRPr="00382917">
        <w:t>the</w:t>
      </w:r>
      <w:r w:rsidR="00EE4FC3">
        <w:t xml:space="preserve"> </w:t>
      </w:r>
      <w:r w:rsidR="00B2037B" w:rsidRPr="00382917">
        <w:t>day</w:t>
      </w:r>
      <w:r w:rsidR="00EE4FC3">
        <w:t xml:space="preserve"> </w:t>
      </w:r>
      <w:r w:rsidR="00B2037B" w:rsidRPr="00382917">
        <w:t>which</w:t>
      </w:r>
      <w:r w:rsidR="00EE4FC3">
        <w:t xml:space="preserve"> </w:t>
      </w:r>
      <w:r w:rsidR="00B2037B" w:rsidRPr="00382917">
        <w:t>I</w:t>
      </w:r>
      <w:r w:rsidR="00EE4FC3">
        <w:t xml:space="preserve"> </w:t>
      </w:r>
      <w:r w:rsidR="00B2037B" w:rsidRPr="00382917">
        <w:t>have</w:t>
      </w:r>
      <w:r w:rsidR="00EE4FC3">
        <w:t xml:space="preserve"> </w:t>
      </w:r>
      <w:r w:rsidR="00B2037B" w:rsidRPr="00382917">
        <w:t>longed</w:t>
      </w:r>
      <w:r w:rsidR="00EE4FC3">
        <w:t xml:space="preserve"> </w:t>
      </w:r>
      <w:r w:rsidR="00B2037B" w:rsidRPr="00382917">
        <w:t>to</w:t>
      </w:r>
      <w:r w:rsidR="00EE4FC3">
        <w:t xml:space="preserve"> </w:t>
      </w:r>
      <w:r w:rsidR="00B2037B" w:rsidRPr="00382917">
        <w:t>witness</w:t>
      </w:r>
      <w:r w:rsidR="00EE4FC3">
        <w:t xml:space="preserve"> </w:t>
      </w:r>
      <w:r w:rsidR="00B2037B" w:rsidRPr="00382917">
        <w:t>is</w:t>
      </w:r>
      <w:r w:rsidR="00EE4FC3">
        <w:t xml:space="preserve"> </w:t>
      </w:r>
      <w:r w:rsidR="00B2037B" w:rsidRPr="00382917">
        <w:t>fast</w:t>
      </w:r>
      <w:r w:rsidR="00EE4FC3">
        <w:t xml:space="preserve"> </w:t>
      </w:r>
      <w:r w:rsidR="00B2037B" w:rsidRPr="00382917">
        <w:t>approaching.</w:t>
      </w:r>
      <w:r w:rsidRPr="00382917">
        <w:t>”</w:t>
      </w:r>
      <w:r w:rsidR="00CF077E">
        <w:rPr>
          <w:rStyle w:val="FootnoteReference"/>
        </w:rPr>
        <w:footnoteReference w:id="168"/>
      </w:r>
    </w:p>
    <w:p w:rsidR="00B2037B" w:rsidRPr="00382917" w:rsidRDefault="00B2037B" w:rsidP="00B2037B">
      <w:pPr>
        <w:pStyle w:val="Text"/>
      </w:pPr>
      <w:proofErr w:type="spellStart"/>
      <w:r w:rsidRPr="00382917">
        <w:t>Vaḥíd</w:t>
      </w:r>
      <w:r w:rsidR="009C713D" w:rsidRPr="00382917">
        <w:t>’</w:t>
      </w:r>
      <w:r w:rsidRPr="00382917">
        <w:t>s</w:t>
      </w:r>
      <w:proofErr w:type="spellEnd"/>
      <w:r w:rsidR="00EE4FC3">
        <w:t xml:space="preserve"> </w:t>
      </w:r>
      <w:r w:rsidRPr="00382917">
        <w:t>friends</w:t>
      </w:r>
      <w:r w:rsidR="00EE4FC3">
        <w:t xml:space="preserve"> </w:t>
      </w:r>
      <w:r w:rsidRPr="00382917">
        <w:t>became</w:t>
      </w:r>
      <w:r w:rsidR="00EE4FC3">
        <w:t xml:space="preserve"> </w:t>
      </w:r>
      <w:r w:rsidRPr="00382917">
        <w:t>frightened</w:t>
      </w:r>
      <w:r w:rsidR="0040329F">
        <w:t>.</w:t>
      </w:r>
      <w:r w:rsidR="00EE4FC3">
        <w:t xml:space="preserve">  </w:t>
      </w:r>
      <w:r w:rsidRPr="00382917">
        <w:t>They</w:t>
      </w:r>
      <w:r w:rsidR="00EE4FC3">
        <w:t xml:space="preserve"> </w:t>
      </w:r>
      <w:r w:rsidRPr="00382917">
        <w:t>thought</w:t>
      </w:r>
      <w:r w:rsidR="00EE4FC3">
        <w:t xml:space="preserve"> </w:t>
      </w:r>
      <w:r w:rsidRPr="00382917">
        <w:t>he</w:t>
      </w:r>
      <w:r w:rsidR="00EE4FC3">
        <w:t xml:space="preserve"> </w:t>
      </w:r>
      <w:r w:rsidRPr="00382917">
        <w:t>was</w:t>
      </w:r>
      <w:r w:rsidR="00EE4FC3">
        <w:t xml:space="preserve"> </w:t>
      </w:r>
      <w:r w:rsidRPr="00382917">
        <w:t>speaking</w:t>
      </w:r>
      <w:r w:rsidR="00EE4FC3">
        <w:t xml:space="preserve"> </w:t>
      </w:r>
      <w:r w:rsidRPr="00382917">
        <w:t>of</w:t>
      </w:r>
      <w:r w:rsidR="00EE4FC3">
        <w:t xml:space="preserve"> </w:t>
      </w:r>
      <w:r w:rsidRPr="00382917">
        <w:t>that</w:t>
      </w:r>
      <w:r w:rsidR="00EE4FC3">
        <w:t xml:space="preserve"> </w:t>
      </w:r>
      <w:r w:rsidRPr="00382917">
        <w:t>very</w:t>
      </w:r>
      <w:r w:rsidR="00EE4FC3">
        <w:t xml:space="preserve"> </w:t>
      </w:r>
      <w:r w:rsidRPr="00382917">
        <w:t>day</w:t>
      </w:r>
      <w:r w:rsidR="00EE4FC3">
        <w:t xml:space="preserve"> </w:t>
      </w:r>
      <w:r w:rsidRPr="00382917">
        <w:t>and</w:t>
      </w:r>
      <w:r w:rsidR="00EE4FC3">
        <w:t xml:space="preserve"> </w:t>
      </w:r>
      <w:r w:rsidRPr="00382917">
        <w:t>hour,</w:t>
      </w:r>
      <w:r w:rsidR="00EE4FC3">
        <w:t xml:space="preserve"> </w:t>
      </w:r>
      <w:r w:rsidRPr="00382917">
        <w:t>for</w:t>
      </w:r>
      <w:r w:rsidR="00EE4FC3">
        <w:t xml:space="preserve"> </w:t>
      </w:r>
      <w:r w:rsidRPr="00382917">
        <w:t>the</w:t>
      </w:r>
      <w:r w:rsidR="00EE4FC3">
        <w:t xml:space="preserve"> </w:t>
      </w:r>
      <w:r w:rsidRPr="00382917">
        <w:t>soldiers</w:t>
      </w:r>
      <w:r w:rsidR="00EE4FC3">
        <w:t xml:space="preserve"> </w:t>
      </w:r>
      <w:r w:rsidRPr="00382917">
        <w:t>and</w:t>
      </w:r>
      <w:r w:rsidR="00EE4FC3">
        <w:t xml:space="preserve"> </w:t>
      </w:r>
      <w:r w:rsidRPr="00382917">
        <w:t>the</w:t>
      </w:r>
      <w:r w:rsidR="00EE4FC3">
        <w:t xml:space="preserve"> </w:t>
      </w:r>
      <w:r w:rsidRPr="00382917">
        <w:t>mob</w:t>
      </w:r>
      <w:r w:rsidR="00EE4FC3">
        <w:t xml:space="preserve"> </w:t>
      </w:r>
      <w:r w:rsidRPr="00382917">
        <w:t>were</w:t>
      </w:r>
      <w:r w:rsidR="00EE4FC3">
        <w:t xml:space="preserve"> </w:t>
      </w:r>
      <w:r w:rsidRPr="00382917">
        <w:t>preparing</w:t>
      </w:r>
      <w:r w:rsidR="00EE4FC3">
        <w:t xml:space="preserve"> </w:t>
      </w:r>
      <w:r w:rsidRPr="00382917">
        <w:t>to</w:t>
      </w:r>
      <w:r w:rsidR="00EE4FC3">
        <w:t xml:space="preserve"> </w:t>
      </w:r>
      <w:r w:rsidRPr="00382917">
        <w:t>assault</w:t>
      </w:r>
      <w:r w:rsidR="00EE4FC3">
        <w:t xml:space="preserve"> </w:t>
      </w:r>
      <w:r w:rsidRPr="00382917">
        <w:t>them</w:t>
      </w:r>
      <w:r w:rsidR="0040329F">
        <w:t>.</w:t>
      </w:r>
      <w:r w:rsidR="00EE4FC3">
        <w:t xml:space="preserve">  </w:t>
      </w:r>
      <w:r w:rsidRPr="00382917">
        <w:t>Seeing</w:t>
      </w:r>
      <w:r w:rsidR="00EE4FC3">
        <w:t xml:space="preserve"> </w:t>
      </w:r>
      <w:r w:rsidRPr="00382917">
        <w:t>the</w:t>
      </w:r>
      <w:r w:rsidR="00EE4FC3">
        <w:t xml:space="preserve"> </w:t>
      </w:r>
      <w:r w:rsidRPr="00382917">
        <w:t>agitation</w:t>
      </w:r>
      <w:r w:rsidR="00EE4FC3">
        <w:t xml:space="preserve"> </w:t>
      </w:r>
      <w:r w:rsidRPr="00382917">
        <w:t>which</w:t>
      </w:r>
      <w:r w:rsidR="00EE4FC3">
        <w:t xml:space="preserve"> </w:t>
      </w:r>
      <w:r w:rsidRPr="00382917">
        <w:t>had</w:t>
      </w:r>
      <w:r w:rsidR="00EE4FC3">
        <w:t xml:space="preserve"> </w:t>
      </w:r>
      <w:r w:rsidRPr="00382917">
        <w:t>seized</w:t>
      </w:r>
      <w:r w:rsidR="00EE4FC3">
        <w:t xml:space="preserve"> </w:t>
      </w:r>
      <w:r w:rsidRPr="00382917">
        <w:t>them,</w:t>
      </w:r>
      <w:r w:rsidR="00EE4FC3">
        <w:t xml:space="preserve"> </w:t>
      </w:r>
      <w:r w:rsidRPr="00382917">
        <w:t>Vaḥíd</w:t>
      </w:r>
      <w:r w:rsidR="00EE4FC3">
        <w:t xml:space="preserve"> </w:t>
      </w:r>
      <w:r w:rsidRPr="00382917">
        <w:t>urged</w:t>
      </w:r>
      <w:r w:rsidR="00EE4FC3">
        <w:t xml:space="preserve"> </w:t>
      </w:r>
      <w:r w:rsidRPr="00382917">
        <w:t>them</w:t>
      </w:r>
      <w:r w:rsidR="00EE4FC3">
        <w:t xml:space="preserve"> </w:t>
      </w:r>
      <w:r w:rsidRPr="00382917">
        <w:t>to</w:t>
      </w:r>
      <w:r w:rsidR="00EE4FC3">
        <w:t xml:space="preserve"> </w:t>
      </w:r>
      <w:r w:rsidRPr="00382917">
        <w:t>be</w:t>
      </w:r>
      <w:r w:rsidR="00EE4FC3">
        <w:t xml:space="preserve"> </w:t>
      </w:r>
      <w:r w:rsidRPr="00382917">
        <w:t>calm</w:t>
      </w:r>
      <w:r w:rsidR="00EE4FC3">
        <w:t xml:space="preserve"> </w:t>
      </w:r>
      <w:r w:rsidRPr="00382917">
        <w:t>and</w:t>
      </w:r>
      <w:r w:rsidR="00EE4FC3">
        <w:t xml:space="preserve"> </w:t>
      </w:r>
      <w:r w:rsidRPr="00382917">
        <w:t>patient.</w:t>
      </w:r>
    </w:p>
    <w:p w:rsidR="00B2037B" w:rsidRPr="00382917" w:rsidRDefault="009C713D" w:rsidP="00B2037B">
      <w:pPr>
        <w:pStyle w:val="Text"/>
      </w:pPr>
      <w:r w:rsidRPr="00382917">
        <w:t>“</w:t>
      </w:r>
      <w:r w:rsidR="00B2037B" w:rsidRPr="00382917">
        <w:t>Rest</w:t>
      </w:r>
      <w:r w:rsidR="00EE4FC3">
        <w:t xml:space="preserve"> </w:t>
      </w:r>
      <w:r w:rsidR="00B2037B" w:rsidRPr="00382917">
        <w:t>assured,</w:t>
      </w:r>
      <w:r w:rsidRPr="00382917">
        <w:t>”</w:t>
      </w:r>
      <w:r w:rsidR="00EE4FC3">
        <w:t xml:space="preserve"> </w:t>
      </w:r>
      <w:r w:rsidR="00B2037B" w:rsidRPr="00382917">
        <w:t>he</w:t>
      </w:r>
      <w:r w:rsidR="00EE4FC3">
        <w:t xml:space="preserve"> </w:t>
      </w:r>
      <w:r w:rsidR="00B2037B" w:rsidRPr="00382917">
        <w:t>said,</w:t>
      </w:r>
      <w:r w:rsidR="00EE4FC3">
        <w:t xml:space="preserve"> </w:t>
      </w:r>
      <w:r w:rsidRPr="00382917">
        <w:t>“</w:t>
      </w:r>
      <w:r w:rsidR="00B2037B" w:rsidRPr="00382917">
        <w:t>that</w:t>
      </w:r>
      <w:r w:rsidR="00EE4FC3">
        <w:t xml:space="preserve"> </w:t>
      </w:r>
      <w:r w:rsidR="00B2037B" w:rsidRPr="00382917">
        <w:t>God,</w:t>
      </w:r>
      <w:r w:rsidR="00EE4FC3">
        <w:t xml:space="preserve"> </w:t>
      </w:r>
      <w:r w:rsidR="00B2037B" w:rsidRPr="00382917">
        <w:t>the</w:t>
      </w:r>
      <w:r w:rsidR="00EE4FC3">
        <w:t xml:space="preserve"> </w:t>
      </w:r>
      <w:r w:rsidR="00B2037B" w:rsidRPr="00382917">
        <w:t>Avenger,</w:t>
      </w:r>
      <w:r w:rsidR="00EE4FC3">
        <w:t xml:space="preserve"> </w:t>
      </w:r>
      <w:r w:rsidR="00B2037B" w:rsidRPr="00382917">
        <w:t>will</w:t>
      </w:r>
      <w:r w:rsidR="00EE4FC3">
        <w:t xml:space="preserve"> </w:t>
      </w:r>
      <w:r w:rsidR="00B2037B" w:rsidRPr="00382917">
        <w:t>soon</w:t>
      </w:r>
      <w:r w:rsidR="00EE4FC3">
        <w:t xml:space="preserve"> </w:t>
      </w:r>
      <w:r w:rsidR="00B2037B" w:rsidRPr="00382917">
        <w:t>with</w:t>
      </w:r>
      <w:r w:rsidR="00EE4FC3">
        <w:t xml:space="preserve"> </w:t>
      </w:r>
      <w:r w:rsidR="00B2037B" w:rsidRPr="00382917">
        <w:t>His</w:t>
      </w:r>
      <w:r w:rsidR="00EE4FC3">
        <w:t xml:space="preserve"> </w:t>
      </w:r>
      <w:r w:rsidR="00B2037B" w:rsidRPr="00382917">
        <w:t>invisible</w:t>
      </w:r>
      <w:r w:rsidR="00EE4FC3">
        <w:t xml:space="preserve"> </w:t>
      </w:r>
      <w:r w:rsidR="00B2037B" w:rsidRPr="00382917">
        <w:t>hand</w:t>
      </w:r>
      <w:r w:rsidR="00EE4FC3">
        <w:t xml:space="preserve"> </w:t>
      </w:r>
      <w:r w:rsidR="00B2037B" w:rsidRPr="00382917">
        <w:t>inflict</w:t>
      </w:r>
      <w:r w:rsidR="00EE4FC3">
        <w:t xml:space="preserve"> </w:t>
      </w:r>
      <w:r w:rsidR="00B2037B" w:rsidRPr="00382917">
        <w:t>a</w:t>
      </w:r>
      <w:r w:rsidR="00EE4FC3">
        <w:t xml:space="preserve"> </w:t>
      </w:r>
      <w:r w:rsidR="00B2037B" w:rsidRPr="00382917">
        <w:t>crushing</w:t>
      </w:r>
      <w:r w:rsidR="00EE4FC3">
        <w:t xml:space="preserve"> </w:t>
      </w:r>
      <w:r w:rsidR="00B2037B" w:rsidRPr="00382917">
        <w:t>defeat</w:t>
      </w:r>
      <w:r w:rsidR="00EE4FC3">
        <w:t xml:space="preserve"> </w:t>
      </w:r>
      <w:r w:rsidR="00B2037B" w:rsidRPr="00382917">
        <w:t>upon</w:t>
      </w:r>
      <w:r w:rsidR="00EE4FC3">
        <w:t xml:space="preserve"> </w:t>
      </w:r>
      <w:r w:rsidR="00B2037B" w:rsidRPr="00382917">
        <w:t>these</w:t>
      </w:r>
      <w:r w:rsidR="00EE4FC3">
        <w:t xml:space="preserve"> </w:t>
      </w:r>
      <w:r w:rsidR="00B2037B" w:rsidRPr="00382917">
        <w:t>forces</w:t>
      </w:r>
      <w:r w:rsidR="00EE4FC3">
        <w:t xml:space="preserve"> </w:t>
      </w:r>
      <w:r w:rsidR="00B2037B" w:rsidRPr="00382917">
        <w:t>arrayed</w:t>
      </w:r>
      <w:r w:rsidR="00EE4FC3">
        <w:t xml:space="preserve"> </w:t>
      </w:r>
      <w:r w:rsidR="00B2037B" w:rsidRPr="00382917">
        <w:t>against</w:t>
      </w:r>
      <w:r w:rsidR="00EE4FC3">
        <w:t xml:space="preserve"> </w:t>
      </w:r>
      <w:r w:rsidR="00B2037B" w:rsidRPr="00382917">
        <w:t>us.</w:t>
      </w:r>
      <w:r w:rsidRPr="00382917">
        <w:t>”</w:t>
      </w:r>
    </w:p>
    <w:p w:rsidR="00B2037B" w:rsidRPr="00382917" w:rsidRDefault="00B2037B" w:rsidP="00B2037B">
      <w:pPr>
        <w:pStyle w:val="Text"/>
      </w:pPr>
      <w:r w:rsidRPr="00382917">
        <w:t>Shortly</w:t>
      </w:r>
      <w:r w:rsidR="00EE4FC3">
        <w:t xml:space="preserve"> </w:t>
      </w:r>
      <w:r w:rsidRPr="00382917">
        <w:t>after</w:t>
      </w:r>
      <w:r w:rsidR="00EE4FC3">
        <w:t xml:space="preserve"> </w:t>
      </w:r>
      <w:r w:rsidRPr="00382917">
        <w:t>Vaḥíd</w:t>
      </w:r>
      <w:r w:rsidR="00EE4FC3">
        <w:t xml:space="preserve"> </w:t>
      </w:r>
      <w:r w:rsidRPr="00382917">
        <w:t>had</w:t>
      </w:r>
      <w:r w:rsidR="00EE4FC3">
        <w:t xml:space="preserve"> </w:t>
      </w:r>
      <w:r w:rsidRPr="00382917">
        <w:t>uttered</w:t>
      </w:r>
      <w:r w:rsidR="00EE4FC3">
        <w:t xml:space="preserve"> </w:t>
      </w:r>
      <w:r w:rsidRPr="00382917">
        <w:t>these</w:t>
      </w:r>
      <w:r w:rsidR="00EE4FC3">
        <w:t xml:space="preserve"> </w:t>
      </w:r>
      <w:r w:rsidRPr="00382917">
        <w:t>words,</w:t>
      </w:r>
      <w:r w:rsidR="00EE4FC3">
        <w:t xml:space="preserve"> </w:t>
      </w:r>
      <w:r w:rsidRPr="00382917">
        <w:t>the</w:t>
      </w:r>
      <w:r w:rsidR="00EE4FC3">
        <w:t xml:space="preserve"> </w:t>
      </w:r>
      <w:r w:rsidRPr="00382917">
        <w:t>news</w:t>
      </w:r>
      <w:r w:rsidR="00EE4FC3">
        <w:t xml:space="preserve"> </w:t>
      </w:r>
      <w:r w:rsidRPr="00382917">
        <w:t>came</w:t>
      </w:r>
      <w:r w:rsidR="00EE4FC3">
        <w:t xml:space="preserve"> </w:t>
      </w:r>
      <w:r w:rsidRPr="00382917">
        <w:t>that</w:t>
      </w:r>
      <w:r w:rsidR="00EE4FC3">
        <w:t xml:space="preserve"> </w:t>
      </w:r>
      <w:r w:rsidRPr="00382917">
        <w:t>a</w:t>
      </w:r>
      <w:r w:rsidR="00EE4FC3">
        <w:t xml:space="preserve"> </w:t>
      </w:r>
      <w:r w:rsidRPr="00382917">
        <w:t>great</w:t>
      </w:r>
      <w:r w:rsidR="00EE4FC3">
        <w:t xml:space="preserve"> </w:t>
      </w:r>
      <w:r w:rsidRPr="00382917">
        <w:t>number</w:t>
      </w:r>
      <w:r w:rsidR="00EE4FC3">
        <w:t xml:space="preserve"> </w:t>
      </w:r>
      <w:r w:rsidRPr="00382917">
        <w:t>of</w:t>
      </w:r>
      <w:r w:rsidR="00EE4FC3">
        <w:t xml:space="preserve"> </w:t>
      </w:r>
      <w:r w:rsidRPr="00382917">
        <w:t>friendly</w:t>
      </w:r>
      <w:r w:rsidR="00EE4FC3">
        <w:t xml:space="preserve"> </w:t>
      </w:r>
      <w:r w:rsidRPr="00382917">
        <w:t>companions</w:t>
      </w:r>
      <w:r w:rsidR="00EE4FC3">
        <w:t xml:space="preserve"> </w:t>
      </w:r>
      <w:r w:rsidRPr="00382917">
        <w:t>were</w:t>
      </w:r>
      <w:r w:rsidR="00EE4FC3">
        <w:t xml:space="preserve"> </w:t>
      </w:r>
      <w:r w:rsidRPr="00382917">
        <w:t>approaching</w:t>
      </w:r>
      <w:r w:rsidR="00EE4FC3">
        <w:t xml:space="preserve"> </w:t>
      </w:r>
      <w:proofErr w:type="spellStart"/>
      <w:r w:rsidRPr="00382917">
        <w:t>Vaḥíd</w:t>
      </w:r>
      <w:r w:rsidR="009C713D" w:rsidRPr="00382917">
        <w:t>’</w:t>
      </w:r>
      <w:r w:rsidRPr="00382917">
        <w:t>s</w:t>
      </w:r>
      <w:proofErr w:type="spellEnd"/>
      <w:r w:rsidR="00EE4FC3">
        <w:t xml:space="preserve"> </w:t>
      </w:r>
      <w:r w:rsidRPr="00382917">
        <w:t>home</w:t>
      </w:r>
      <w:r w:rsidR="00EE4FC3">
        <w:t xml:space="preserve"> </w:t>
      </w:r>
      <w:r w:rsidRPr="00382917">
        <w:t>to</w:t>
      </w:r>
      <w:r w:rsidR="00EE4FC3">
        <w:t xml:space="preserve"> </w:t>
      </w:r>
      <w:r w:rsidRPr="00382917">
        <w:t>save</w:t>
      </w:r>
      <w:r w:rsidR="00EE4FC3">
        <w:t xml:space="preserve"> </w:t>
      </w:r>
      <w:r w:rsidRPr="00382917">
        <w:t>him</w:t>
      </w:r>
      <w:r w:rsidR="0040329F">
        <w:t>.</w:t>
      </w:r>
      <w:r w:rsidR="00EE4FC3">
        <w:t xml:space="preserve">  </w:t>
      </w:r>
      <w:r w:rsidRPr="00382917">
        <w:t>This</w:t>
      </w:r>
      <w:r w:rsidR="00EE4FC3">
        <w:t xml:space="preserve"> </w:t>
      </w:r>
      <w:r w:rsidRPr="00382917">
        <w:t>rescue</w:t>
      </w:r>
      <w:r w:rsidR="00EE4FC3">
        <w:t xml:space="preserve"> </w:t>
      </w:r>
      <w:r w:rsidRPr="00382917">
        <w:t>party</w:t>
      </w:r>
      <w:r w:rsidR="00EE4FC3">
        <w:t xml:space="preserve"> </w:t>
      </w:r>
      <w:r w:rsidRPr="00382917">
        <w:t>flung</w:t>
      </w:r>
      <w:r w:rsidR="00EE4FC3">
        <w:t xml:space="preserve"> </w:t>
      </w:r>
      <w:r w:rsidRPr="00382917">
        <w:t>themselves</w:t>
      </w:r>
      <w:r w:rsidR="00EE4FC3">
        <w:t xml:space="preserve"> </w:t>
      </w:r>
      <w:r w:rsidRPr="00382917">
        <w:t>upon</w:t>
      </w:r>
      <w:r w:rsidR="00EE4FC3">
        <w:t xml:space="preserve"> </w:t>
      </w:r>
      <w:r w:rsidRPr="00382917">
        <w:t>the</w:t>
      </w:r>
      <w:r w:rsidR="00EE4FC3">
        <w:t xml:space="preserve"> </w:t>
      </w:r>
      <w:r w:rsidRPr="00382917">
        <w:t>attackers</w:t>
      </w:r>
      <w:r w:rsidR="0040329F">
        <w:t>.</w:t>
      </w:r>
      <w:r w:rsidR="00EE4FC3">
        <w:t xml:space="preserve">  </w:t>
      </w:r>
      <w:r w:rsidRPr="00382917">
        <w:t>Their</w:t>
      </w:r>
      <w:r w:rsidR="00EE4FC3">
        <w:t xml:space="preserve"> </w:t>
      </w:r>
      <w:proofErr w:type="spellStart"/>
      <w:r w:rsidRPr="00382917">
        <w:t>valor</w:t>
      </w:r>
      <w:proofErr w:type="spellEnd"/>
      <w:r w:rsidR="00EE4FC3">
        <w:t xml:space="preserve"> </w:t>
      </w:r>
      <w:r w:rsidRPr="00382917">
        <w:t>and</w:t>
      </w:r>
      <w:r w:rsidR="00EE4FC3">
        <w:t xml:space="preserve"> </w:t>
      </w:r>
      <w:r w:rsidRPr="00382917">
        <w:t>reckless</w:t>
      </w:r>
      <w:r w:rsidR="00EE4FC3">
        <w:t xml:space="preserve"> </w:t>
      </w:r>
      <w:r w:rsidRPr="00382917">
        <w:t>indifference</w:t>
      </w:r>
      <w:r w:rsidR="00EE4FC3">
        <w:t xml:space="preserve"> </w:t>
      </w:r>
      <w:r w:rsidRPr="00382917">
        <w:t>to</w:t>
      </w:r>
      <w:r w:rsidR="00EE4FC3">
        <w:t xml:space="preserve"> </w:t>
      </w:r>
      <w:r w:rsidRPr="00382917">
        <w:t>death</w:t>
      </w:r>
      <w:r w:rsidR="00EE4FC3">
        <w:t xml:space="preserve"> </w:t>
      </w:r>
      <w:r w:rsidRPr="00382917">
        <w:t>was</w:t>
      </w:r>
      <w:r w:rsidR="00EE4FC3">
        <w:t xml:space="preserve"> </w:t>
      </w:r>
      <w:r w:rsidRPr="00382917">
        <w:t>of</w:t>
      </w:r>
      <w:r w:rsidR="00EE4FC3">
        <w:t xml:space="preserve"> </w:t>
      </w:r>
      <w:r w:rsidRPr="00382917">
        <w:t>a</w:t>
      </w:r>
      <w:r w:rsidR="00EE4FC3">
        <w:t xml:space="preserve"> </w:t>
      </w:r>
      <w:r w:rsidRPr="00382917">
        <w:t>nature</w:t>
      </w:r>
      <w:r w:rsidR="00EE4FC3">
        <w:t xml:space="preserve"> </w:t>
      </w:r>
      <w:r w:rsidRPr="00382917">
        <w:t>to</w:t>
      </w:r>
      <w:r w:rsidR="00EE4FC3">
        <w:t xml:space="preserve"> </w:t>
      </w:r>
      <w:r w:rsidRPr="00382917">
        <w:t>alarm</w:t>
      </w:r>
      <w:r w:rsidR="00EE4FC3">
        <w:t xml:space="preserve"> </w:t>
      </w:r>
      <w:r w:rsidRPr="00382917">
        <w:t>and</w:t>
      </w:r>
      <w:r w:rsidR="00EE4FC3">
        <w:t xml:space="preserve"> </w:t>
      </w:r>
      <w:r w:rsidRPr="00382917">
        <w:t>scatter</w:t>
      </w:r>
      <w:r w:rsidR="00EE4FC3">
        <w:t xml:space="preserve"> </w:t>
      </w:r>
      <w:r w:rsidRPr="00382917">
        <w:t>the</w:t>
      </w:r>
      <w:r w:rsidR="00EE4FC3">
        <w:t xml:space="preserve"> </w:t>
      </w:r>
      <w:r w:rsidRPr="00382917">
        <w:t>entire</w:t>
      </w:r>
      <w:r w:rsidR="00EE4FC3">
        <w:t xml:space="preserve"> </w:t>
      </w:r>
      <w:r w:rsidRPr="00382917">
        <w:t>detachment</w:t>
      </w:r>
      <w:r w:rsidR="00EE4FC3">
        <w:t xml:space="preserve"> </w:t>
      </w:r>
      <w:r w:rsidRPr="00382917">
        <w:t>of</w:t>
      </w:r>
      <w:r w:rsidR="00EE4FC3">
        <w:t xml:space="preserve"> </w:t>
      </w:r>
      <w:r w:rsidRPr="00382917">
        <w:t>soldiers</w:t>
      </w:r>
      <w:r w:rsidR="00EE4FC3">
        <w:t xml:space="preserve"> </w:t>
      </w:r>
      <w:r w:rsidRPr="00382917">
        <w:t>and</w:t>
      </w:r>
      <w:r w:rsidR="00EE4FC3">
        <w:t xml:space="preserve"> </w:t>
      </w:r>
      <w:r w:rsidRPr="00382917">
        <w:t>people</w:t>
      </w:r>
      <w:r w:rsidR="0040329F">
        <w:t>.</w:t>
      </w:r>
      <w:r w:rsidR="00EE4FC3">
        <w:t xml:space="preserve">  </w:t>
      </w:r>
      <w:r w:rsidRPr="00382917">
        <w:t>The</w:t>
      </w:r>
      <w:r w:rsidR="00EE4FC3">
        <w:t xml:space="preserve"> </w:t>
      </w:r>
      <w:r w:rsidRPr="00382917">
        <w:t>soldiers</w:t>
      </w:r>
      <w:r w:rsidR="00EE4FC3">
        <w:t xml:space="preserve"> </w:t>
      </w:r>
      <w:r w:rsidRPr="00382917">
        <w:t>abandoned</w:t>
      </w:r>
      <w:r w:rsidR="00EE4FC3">
        <w:t xml:space="preserve"> </w:t>
      </w:r>
      <w:r w:rsidRPr="00382917">
        <w:t>their</w:t>
      </w:r>
      <w:r w:rsidR="00EE4FC3">
        <w:t xml:space="preserve"> </w:t>
      </w:r>
      <w:r w:rsidRPr="00382917">
        <w:t>arms</w:t>
      </w:r>
      <w:r w:rsidR="00EE4FC3">
        <w:t xml:space="preserve"> </w:t>
      </w:r>
      <w:r w:rsidRPr="00382917">
        <w:t>and</w:t>
      </w:r>
      <w:r w:rsidR="00EE4FC3">
        <w:t xml:space="preserve"> </w:t>
      </w:r>
      <w:r w:rsidRPr="00382917">
        <w:t>fled</w:t>
      </w:r>
      <w:r w:rsidR="00EE4FC3">
        <w:t xml:space="preserve"> </w:t>
      </w:r>
      <w:r w:rsidRPr="00382917">
        <w:t>for</w:t>
      </w:r>
      <w:r w:rsidR="00EE4FC3">
        <w:t xml:space="preserve"> </w:t>
      </w:r>
      <w:r w:rsidRPr="00382917">
        <w:t>shelter</w:t>
      </w:r>
      <w:r w:rsidR="0040329F">
        <w:t>.</w:t>
      </w:r>
      <w:r w:rsidR="00EE4FC3">
        <w:t xml:space="preserve">  </w:t>
      </w:r>
      <w:r w:rsidRPr="00382917">
        <w:t>The</w:t>
      </w:r>
      <w:r w:rsidR="00EE4FC3">
        <w:t xml:space="preserve"> </w:t>
      </w:r>
      <w:r w:rsidRPr="00382917">
        <w:t>mob,</w:t>
      </w:r>
      <w:r w:rsidR="00EE4FC3">
        <w:t xml:space="preserve"> </w:t>
      </w:r>
      <w:r w:rsidRPr="00382917">
        <w:t>crying</w:t>
      </w:r>
      <w:r w:rsidR="00EE4FC3">
        <w:t xml:space="preserve"> </w:t>
      </w:r>
      <w:r w:rsidRPr="00382917">
        <w:t>for</w:t>
      </w:r>
      <w:r w:rsidR="00EE4FC3">
        <w:t xml:space="preserve"> </w:t>
      </w:r>
      <w:r w:rsidRPr="00382917">
        <w:t>help,</w:t>
      </w:r>
      <w:r w:rsidR="00EE4FC3">
        <w:t xml:space="preserve"> </w:t>
      </w:r>
      <w:r w:rsidRPr="00382917">
        <w:t>scattered</w:t>
      </w:r>
      <w:r w:rsidR="00EE4FC3">
        <w:t xml:space="preserve"> </w:t>
      </w:r>
      <w:r w:rsidRPr="00382917">
        <w:t>in</w:t>
      </w:r>
      <w:r w:rsidR="00EE4FC3">
        <w:t xml:space="preserve"> </w:t>
      </w:r>
      <w:r w:rsidRPr="00382917">
        <w:t>all</w:t>
      </w:r>
      <w:r w:rsidR="00EE4FC3">
        <w:t xml:space="preserve"> </w:t>
      </w:r>
      <w:r w:rsidRPr="00382917">
        <w:t>directions</w:t>
      </w:r>
      <w:r w:rsidR="0040329F">
        <w:t>.</w:t>
      </w:r>
      <w:r w:rsidR="00EE4FC3">
        <w:t xml:space="preserve">  </w:t>
      </w:r>
      <w:r w:rsidRPr="00382917">
        <w:t>Vaḥíd</w:t>
      </w:r>
      <w:r w:rsidR="00EE4FC3">
        <w:t xml:space="preserve"> </w:t>
      </w:r>
      <w:r w:rsidRPr="00382917">
        <w:t>sent</w:t>
      </w:r>
      <w:r w:rsidR="00EE4FC3">
        <w:t xml:space="preserve"> </w:t>
      </w:r>
      <w:r w:rsidRPr="00382917">
        <w:t>a</w:t>
      </w:r>
      <w:r w:rsidR="00EE4FC3">
        <w:t xml:space="preserve"> </w:t>
      </w:r>
      <w:r w:rsidRPr="00382917">
        <w:t>messenger</w:t>
      </w:r>
      <w:r w:rsidR="00EE4FC3">
        <w:t xml:space="preserve"> </w:t>
      </w:r>
      <w:r w:rsidRPr="00382917">
        <w:t>through</w:t>
      </w:r>
      <w:r w:rsidR="00EE4FC3">
        <w:t xml:space="preserve"> </w:t>
      </w:r>
      <w:r w:rsidRPr="00382917">
        <w:t>the</w:t>
      </w:r>
      <w:r w:rsidR="00EE4FC3">
        <w:t xml:space="preserve"> </w:t>
      </w:r>
      <w:r w:rsidRPr="00382917">
        <w:t>streets</w:t>
      </w:r>
      <w:r w:rsidR="00EE4FC3">
        <w:t xml:space="preserve"> </w:t>
      </w:r>
      <w:r w:rsidRPr="00382917">
        <w:t>with</w:t>
      </w:r>
      <w:r w:rsidR="00EE4FC3">
        <w:t xml:space="preserve"> </w:t>
      </w:r>
      <w:r w:rsidRPr="00382917">
        <w:t>the</w:t>
      </w:r>
      <w:r w:rsidR="00EE4FC3">
        <w:t xml:space="preserve"> </w:t>
      </w:r>
      <w:r w:rsidRPr="00382917">
        <w:t>warning</w:t>
      </w:r>
      <w:r w:rsidR="00EE4FC3">
        <w:t xml:space="preserve"> </w:t>
      </w:r>
      <w:r w:rsidRPr="00382917">
        <w:t>that</w:t>
      </w:r>
      <w:r w:rsidR="00EE4FC3">
        <w:t xml:space="preserve"> </w:t>
      </w:r>
      <w:r w:rsidRPr="00382917">
        <w:t>he</w:t>
      </w:r>
      <w:r w:rsidR="00EE4FC3">
        <w:t xml:space="preserve"> </w:t>
      </w:r>
      <w:r w:rsidRPr="00382917">
        <w:t>would</w:t>
      </w:r>
      <w:r w:rsidR="00EE4FC3">
        <w:t xml:space="preserve"> </w:t>
      </w:r>
      <w:r w:rsidRPr="00382917">
        <w:t>not</w:t>
      </w:r>
      <w:r w:rsidR="00EE4FC3">
        <w:t xml:space="preserve"> </w:t>
      </w:r>
      <w:r w:rsidRPr="00382917">
        <w:t>attack</w:t>
      </w:r>
      <w:r w:rsidR="00EE4FC3">
        <w:t xml:space="preserve"> </w:t>
      </w:r>
      <w:r w:rsidRPr="00382917">
        <w:t>anyone</w:t>
      </w:r>
      <w:r w:rsidR="00EE4FC3">
        <w:t xml:space="preserve"> </w:t>
      </w:r>
      <w:r w:rsidRPr="00382917">
        <w:t>but</w:t>
      </w:r>
      <w:r w:rsidR="00EE4FC3">
        <w:t xml:space="preserve"> </w:t>
      </w:r>
      <w:r w:rsidRPr="00382917">
        <w:t>that</w:t>
      </w:r>
      <w:r w:rsidR="00EE4FC3">
        <w:t xml:space="preserve"> </w:t>
      </w:r>
      <w:r w:rsidRPr="00382917">
        <w:t>he</w:t>
      </w:r>
      <w:r w:rsidR="00EE4FC3">
        <w:t xml:space="preserve"> </w:t>
      </w:r>
      <w:r w:rsidRPr="00382917">
        <w:t>would</w:t>
      </w:r>
      <w:r w:rsidR="00EE4FC3">
        <w:t xml:space="preserve"> </w:t>
      </w:r>
      <w:r w:rsidRPr="00382917">
        <w:t>defend</w:t>
      </w:r>
      <w:r w:rsidR="00EE4FC3">
        <w:t xml:space="preserve"> </w:t>
      </w:r>
      <w:r w:rsidRPr="00382917">
        <w:t>himself</w:t>
      </w:r>
      <w:r w:rsidR="00EE4FC3">
        <w:t xml:space="preserve"> </w:t>
      </w:r>
      <w:r w:rsidRPr="00382917">
        <w:t>and</w:t>
      </w:r>
      <w:r w:rsidR="00EE4FC3">
        <w:t xml:space="preserve"> </w:t>
      </w:r>
      <w:r w:rsidRPr="00382917">
        <w:t>his</w:t>
      </w:r>
      <w:r w:rsidR="00EE4FC3">
        <w:t xml:space="preserve"> </w:t>
      </w:r>
      <w:r w:rsidRPr="00382917">
        <w:t>home</w:t>
      </w:r>
      <w:r w:rsidR="0040329F">
        <w:t>.</w:t>
      </w:r>
      <w:r w:rsidR="00EE4FC3">
        <w:t xml:space="preserve">  </w:t>
      </w:r>
      <w:r w:rsidRPr="00382917">
        <w:t>After</w:t>
      </w:r>
      <w:r w:rsidR="00EE4FC3">
        <w:t xml:space="preserve"> </w:t>
      </w:r>
      <w:r w:rsidRPr="00382917">
        <w:t>another</w:t>
      </w:r>
      <w:r w:rsidR="00EE4FC3">
        <w:t xml:space="preserve"> </w:t>
      </w:r>
      <w:r w:rsidRPr="00382917">
        <w:t>skirmish,</w:t>
      </w:r>
      <w:r w:rsidR="00EE4FC3">
        <w:t xml:space="preserve"> </w:t>
      </w:r>
      <w:r w:rsidRPr="00382917">
        <w:t>in</w:t>
      </w:r>
      <w:r w:rsidR="00EE4FC3">
        <w:t xml:space="preserve"> </w:t>
      </w:r>
      <w:r w:rsidRPr="00382917">
        <w:t>which</w:t>
      </w:r>
      <w:r w:rsidR="00EE4FC3">
        <w:t xml:space="preserve"> </w:t>
      </w:r>
      <w:r w:rsidRPr="00382917">
        <w:t>even</w:t>
      </w:r>
      <w:r w:rsidR="00EE4FC3">
        <w:t xml:space="preserve"> </w:t>
      </w:r>
      <w:r w:rsidRPr="00382917">
        <w:t>the</w:t>
      </w:r>
      <w:r w:rsidR="00EE4FC3">
        <w:t xml:space="preserve"> </w:t>
      </w:r>
      <w:r w:rsidRPr="00382917">
        <w:t>governor</w:t>
      </w:r>
      <w:r w:rsidR="009C713D" w:rsidRPr="00382917">
        <w:t>’</w:t>
      </w:r>
      <w:r w:rsidRPr="00382917">
        <w:t>s</w:t>
      </w:r>
      <w:r w:rsidR="00EE4FC3">
        <w:t xml:space="preserve"> </w:t>
      </w:r>
      <w:r w:rsidRPr="00382917">
        <w:t>troops</w:t>
      </w:r>
      <w:r w:rsidR="00EE4FC3">
        <w:t xml:space="preserve"> </w:t>
      </w:r>
      <w:r w:rsidRPr="00382917">
        <w:t>were</w:t>
      </w:r>
      <w:r w:rsidR="00EE4FC3">
        <w:t xml:space="preserve"> </w:t>
      </w:r>
      <w:r w:rsidRPr="00382917">
        <w:t>routed,</w:t>
      </w:r>
      <w:r w:rsidR="00EE4FC3">
        <w:t xml:space="preserve"> </w:t>
      </w:r>
      <w:r w:rsidRPr="00382917">
        <w:t>Vaḥíd</w:t>
      </w:r>
      <w:r w:rsidR="00EE4FC3">
        <w:t xml:space="preserve"> </w:t>
      </w:r>
      <w:r w:rsidRPr="00382917">
        <w:t>directed</w:t>
      </w:r>
      <w:r w:rsidR="00EE4FC3">
        <w:t xml:space="preserve"> </w:t>
      </w:r>
      <w:r w:rsidRPr="00382917">
        <w:t>his</w:t>
      </w:r>
      <w:r w:rsidR="00EE4FC3">
        <w:t xml:space="preserve"> </w:t>
      </w:r>
      <w:r w:rsidRPr="00382917">
        <w:t>companions</w:t>
      </w:r>
      <w:r w:rsidR="00EE4FC3">
        <w:t xml:space="preserve"> </w:t>
      </w:r>
      <w:r w:rsidRPr="00382917">
        <w:t>to</w:t>
      </w:r>
      <w:r w:rsidR="00EE4FC3">
        <w:t xml:space="preserve"> </w:t>
      </w:r>
      <w:r w:rsidRPr="00382917">
        <w:t>disperse</w:t>
      </w:r>
      <w:r w:rsidR="00EE4FC3">
        <w:t xml:space="preserve"> </w:t>
      </w:r>
      <w:r w:rsidRPr="00382917">
        <w:t>to</w:t>
      </w:r>
      <w:r w:rsidR="00EE4FC3">
        <w:t xml:space="preserve"> </w:t>
      </w:r>
      <w:r w:rsidRPr="00382917">
        <w:t>safety</w:t>
      </w:r>
      <w:r w:rsidR="0040329F">
        <w:t>.</w:t>
      </w:r>
      <w:r w:rsidR="00EE4FC3">
        <w:t xml:space="preserve">  </w:t>
      </w:r>
      <w:r w:rsidRPr="00382917">
        <w:t>He</w:t>
      </w:r>
      <w:r w:rsidR="00EE4FC3">
        <w:t xml:space="preserve"> </w:t>
      </w:r>
      <w:r w:rsidRPr="00382917">
        <w:t>knew</w:t>
      </w:r>
      <w:r w:rsidR="00EE4FC3">
        <w:t xml:space="preserve"> </w:t>
      </w:r>
      <w:r w:rsidRPr="00382917">
        <w:t>that</w:t>
      </w:r>
      <w:r w:rsidR="00EE4FC3">
        <w:t xml:space="preserve"> </w:t>
      </w:r>
      <w:r w:rsidRPr="00382917">
        <w:t>the</w:t>
      </w:r>
      <w:r w:rsidR="00EE4FC3">
        <w:t xml:space="preserve"> </w:t>
      </w:r>
      <w:r w:rsidRPr="00382917">
        <w:t>hour</w:t>
      </w:r>
      <w:r w:rsidR="00EE4FC3">
        <w:t xml:space="preserve"> </w:t>
      </w:r>
      <w:r w:rsidRPr="00382917">
        <w:t>for</w:t>
      </w:r>
      <w:r w:rsidR="00EE4FC3">
        <w:t xml:space="preserve"> </w:t>
      </w:r>
      <w:r w:rsidRPr="00382917">
        <w:t>his</w:t>
      </w:r>
      <w:r w:rsidR="00EE4FC3">
        <w:t xml:space="preserve"> </w:t>
      </w:r>
      <w:r w:rsidRPr="00382917">
        <w:t>own</w:t>
      </w:r>
      <w:r w:rsidR="00EE4FC3">
        <w:t xml:space="preserve"> </w:t>
      </w:r>
      <w:r w:rsidRPr="00382917">
        <w:t>departure</w:t>
      </w:r>
      <w:r w:rsidR="00EE4FC3">
        <w:t xml:space="preserve"> </w:t>
      </w:r>
      <w:r w:rsidRPr="00382917">
        <w:t>from</w:t>
      </w:r>
      <w:r w:rsidR="00EE4FC3">
        <w:t xml:space="preserve"> </w:t>
      </w:r>
      <w:r w:rsidRPr="00382917">
        <w:t>Yazd</w:t>
      </w:r>
      <w:r w:rsidR="00EE4FC3">
        <w:t xml:space="preserve"> </w:t>
      </w:r>
      <w:r w:rsidRPr="00382917">
        <w:t>had</w:t>
      </w:r>
      <w:r w:rsidR="00EE4FC3">
        <w:t xml:space="preserve"> </w:t>
      </w:r>
      <w:r w:rsidRPr="00382917">
        <w:t>come</w:t>
      </w:r>
      <w:r w:rsidR="0040329F">
        <w:t>.</w:t>
      </w:r>
      <w:r w:rsidR="00EE4FC3">
        <w:t xml:space="preserve">  </w:t>
      </w:r>
      <w:r w:rsidRPr="00382917">
        <w:t>He</w:t>
      </w:r>
      <w:r w:rsidR="00EE4FC3">
        <w:t xml:space="preserve"> </w:t>
      </w:r>
      <w:r w:rsidRPr="00382917">
        <w:t>called</w:t>
      </w:r>
      <w:r w:rsidR="00EE4FC3">
        <w:t xml:space="preserve"> </w:t>
      </w:r>
      <w:r w:rsidRPr="00382917">
        <w:t>his</w:t>
      </w:r>
      <w:r w:rsidR="00EE4FC3">
        <w:t xml:space="preserve"> </w:t>
      </w:r>
      <w:r w:rsidRPr="00382917">
        <w:t>wife</w:t>
      </w:r>
      <w:r w:rsidR="00EE4FC3">
        <w:t xml:space="preserve"> </w:t>
      </w:r>
      <w:r w:rsidRPr="00382917">
        <w:t>to</w:t>
      </w:r>
      <w:r w:rsidR="00EE4FC3">
        <w:t xml:space="preserve"> </w:t>
      </w:r>
      <w:r w:rsidRPr="00382917">
        <w:t>him</w:t>
      </w:r>
      <w:r w:rsidR="00EE4FC3">
        <w:t xml:space="preserve"> </w:t>
      </w:r>
      <w:r w:rsidRPr="00382917">
        <w:t>and</w:t>
      </w:r>
      <w:r w:rsidR="00EE4FC3">
        <w:t xml:space="preserve"> </w:t>
      </w:r>
      <w:r w:rsidRPr="00382917">
        <w:t>told</w:t>
      </w:r>
      <w:r w:rsidR="00EE4FC3">
        <w:t xml:space="preserve"> </w:t>
      </w:r>
      <w:r w:rsidRPr="00382917">
        <w:t>her</w:t>
      </w:r>
      <w:r w:rsidR="00EE4FC3">
        <w:t xml:space="preserve"> </w:t>
      </w:r>
      <w:r w:rsidRPr="00382917">
        <w:t>to</w:t>
      </w:r>
      <w:r w:rsidR="00EE4FC3">
        <w:t xml:space="preserve"> </w:t>
      </w:r>
      <w:r w:rsidRPr="00382917">
        <w:t>take</w:t>
      </w:r>
      <w:r w:rsidR="00EE4FC3">
        <w:t xml:space="preserve"> </w:t>
      </w:r>
      <w:r w:rsidRPr="00382917">
        <w:t>the</w:t>
      </w:r>
      <w:r w:rsidR="00EE4FC3">
        <w:t xml:space="preserve"> </w:t>
      </w:r>
      <w:r w:rsidRPr="00382917">
        <w:t>children</w:t>
      </w:r>
      <w:r w:rsidR="00EE4FC3">
        <w:t xml:space="preserve"> </w:t>
      </w:r>
      <w:r w:rsidRPr="00382917">
        <w:t>and</w:t>
      </w:r>
      <w:r w:rsidR="00EE4FC3">
        <w:t xml:space="preserve"> </w:t>
      </w:r>
      <w:r w:rsidRPr="00382917">
        <w:t>all</w:t>
      </w:r>
      <w:r w:rsidR="00EE4FC3">
        <w:t xml:space="preserve"> </w:t>
      </w:r>
      <w:r w:rsidRPr="00382917">
        <w:t>of</w:t>
      </w:r>
      <w:r w:rsidR="00EE4FC3">
        <w:t xml:space="preserve"> </w:t>
      </w:r>
      <w:r w:rsidRPr="00382917">
        <w:t>their</w:t>
      </w:r>
      <w:r w:rsidR="00EE4FC3">
        <w:t xml:space="preserve"> </w:t>
      </w:r>
      <w:r w:rsidRPr="00382917">
        <w:t>belongings</w:t>
      </w:r>
      <w:r w:rsidR="00EE4FC3">
        <w:t xml:space="preserve"> </w:t>
      </w:r>
      <w:r w:rsidRPr="00382917">
        <w:t>and</w:t>
      </w:r>
      <w:r w:rsidR="00EE4FC3">
        <w:t xml:space="preserve"> </w:t>
      </w:r>
      <w:r w:rsidRPr="00382917">
        <w:t>go</w:t>
      </w:r>
      <w:r w:rsidR="00EE4FC3">
        <w:t xml:space="preserve"> </w:t>
      </w:r>
      <w:r w:rsidRPr="00382917">
        <w:t>to</w:t>
      </w:r>
      <w:r w:rsidR="00EE4FC3">
        <w:t xml:space="preserve"> </w:t>
      </w:r>
      <w:r w:rsidRPr="00382917">
        <w:t>the</w:t>
      </w:r>
      <w:r w:rsidR="00EE4FC3">
        <w:t xml:space="preserve"> </w:t>
      </w:r>
      <w:r w:rsidRPr="00382917">
        <w:t>house</w:t>
      </w:r>
      <w:r w:rsidR="00EE4FC3">
        <w:t xml:space="preserve"> </w:t>
      </w:r>
      <w:r w:rsidRPr="00382917">
        <w:t>of</w:t>
      </w:r>
      <w:r w:rsidR="00EE4FC3">
        <w:t xml:space="preserve"> </w:t>
      </w:r>
      <w:r w:rsidRPr="00382917">
        <w:t>her</w:t>
      </w:r>
      <w:r w:rsidR="00EE4FC3">
        <w:t xml:space="preserve"> </w:t>
      </w:r>
      <w:r w:rsidRPr="00382917">
        <w:t>father</w:t>
      </w:r>
      <w:r w:rsidR="00EE4FC3">
        <w:t xml:space="preserve"> </w:t>
      </w:r>
      <w:r w:rsidRPr="00382917">
        <w:t>for</w:t>
      </w:r>
      <w:r w:rsidR="00EE4FC3">
        <w:t xml:space="preserve"> </w:t>
      </w:r>
      <w:r w:rsidRPr="00382917">
        <w:t>safety</w:t>
      </w:r>
      <w:r w:rsidR="0040329F">
        <w:t>.</w:t>
      </w:r>
      <w:r w:rsidR="00EE4FC3">
        <w:t xml:space="preserve">  </w:t>
      </w:r>
      <w:r w:rsidRPr="00382917">
        <w:t>He</w:t>
      </w:r>
      <w:r w:rsidR="00EE4FC3">
        <w:t xml:space="preserve"> </w:t>
      </w:r>
      <w:r w:rsidRPr="00382917">
        <w:t>instructed</w:t>
      </w:r>
      <w:r w:rsidR="00EE4FC3">
        <w:t xml:space="preserve"> </w:t>
      </w:r>
      <w:r w:rsidRPr="00382917">
        <w:t>her</w:t>
      </w:r>
      <w:r w:rsidR="00EE4FC3">
        <w:t xml:space="preserve"> </w:t>
      </w:r>
      <w:r w:rsidRPr="00382917">
        <w:t>to</w:t>
      </w:r>
      <w:r w:rsidR="00EE4FC3">
        <w:t xml:space="preserve"> </w:t>
      </w:r>
      <w:r w:rsidRPr="00382917">
        <w:t>leave</w:t>
      </w:r>
      <w:r w:rsidR="00EE4FC3">
        <w:t xml:space="preserve"> </w:t>
      </w:r>
      <w:r w:rsidRPr="00382917">
        <w:t>all</w:t>
      </w:r>
      <w:r w:rsidR="00EE4FC3">
        <w:t xml:space="preserve"> </w:t>
      </w:r>
      <w:r w:rsidRPr="00382917">
        <w:t>of</w:t>
      </w:r>
      <w:r w:rsidR="00EE4FC3">
        <w:t xml:space="preserve"> </w:t>
      </w:r>
      <w:r w:rsidRPr="00382917">
        <w:t>his</w:t>
      </w:r>
      <w:r w:rsidR="00EE4FC3">
        <w:t xml:space="preserve"> </w:t>
      </w:r>
      <w:r w:rsidRPr="00382917">
        <w:t>own</w:t>
      </w:r>
      <w:r w:rsidR="00EE4FC3">
        <w:t xml:space="preserve"> </w:t>
      </w:r>
      <w:r w:rsidRPr="00382917">
        <w:t>personal</w:t>
      </w:r>
      <w:r w:rsidR="00EE4FC3">
        <w:t xml:space="preserve"> </w:t>
      </w:r>
      <w:r w:rsidRPr="00382917">
        <w:t>possessions</w:t>
      </w:r>
      <w:r w:rsidR="00EE4FC3">
        <w:t xml:space="preserve"> </w:t>
      </w:r>
      <w:r w:rsidRPr="00382917">
        <w:t>in</w:t>
      </w:r>
      <w:r w:rsidR="00EE4FC3">
        <w:t xml:space="preserve"> </w:t>
      </w:r>
      <w:r w:rsidRPr="00382917">
        <w:t>the</w:t>
      </w:r>
      <w:r w:rsidR="00EE4FC3">
        <w:t xml:space="preserve"> </w:t>
      </w:r>
      <w:r w:rsidRPr="00382917">
        <w:t>house.</w:t>
      </w:r>
    </w:p>
    <w:p w:rsidR="00B2037B" w:rsidRPr="00382917" w:rsidRDefault="009C713D" w:rsidP="00B2037B">
      <w:pPr>
        <w:pStyle w:val="Text"/>
      </w:pPr>
      <w:r w:rsidRPr="00382917">
        <w:t>“</w:t>
      </w:r>
      <w:r w:rsidR="00B2037B" w:rsidRPr="00382917">
        <w:t>I</w:t>
      </w:r>
      <w:r w:rsidR="00EE4FC3">
        <w:t xml:space="preserve"> </w:t>
      </w:r>
      <w:r w:rsidR="00B2037B" w:rsidRPr="00382917">
        <w:t>have</w:t>
      </w:r>
      <w:r w:rsidR="00EE4FC3">
        <w:t xml:space="preserve"> </w:t>
      </w:r>
      <w:r w:rsidR="00B2037B" w:rsidRPr="00382917">
        <w:t>built</w:t>
      </w:r>
      <w:r w:rsidR="00EE4FC3">
        <w:t xml:space="preserve"> </w:t>
      </w:r>
      <w:r w:rsidR="00B2037B" w:rsidRPr="00382917">
        <w:t>this</w:t>
      </w:r>
      <w:r w:rsidR="00EE4FC3">
        <w:t xml:space="preserve"> </w:t>
      </w:r>
      <w:r w:rsidR="00B2037B" w:rsidRPr="00382917">
        <w:t>palatial</w:t>
      </w:r>
      <w:r w:rsidR="00EE4FC3">
        <w:t xml:space="preserve"> </w:t>
      </w:r>
      <w:r w:rsidR="00B2037B" w:rsidRPr="00382917">
        <w:t>residence,</w:t>
      </w:r>
      <w:r w:rsidRPr="00382917">
        <w:t>”</w:t>
      </w:r>
      <w:r w:rsidR="00EE4FC3">
        <w:t xml:space="preserve"> </w:t>
      </w:r>
      <w:r w:rsidR="00B2037B" w:rsidRPr="00382917">
        <w:t>he</w:t>
      </w:r>
      <w:r w:rsidR="00EE4FC3">
        <w:t xml:space="preserve"> </w:t>
      </w:r>
      <w:r w:rsidR="00B2037B" w:rsidRPr="00382917">
        <w:t>told</w:t>
      </w:r>
      <w:r w:rsidR="00EE4FC3">
        <w:t xml:space="preserve"> </w:t>
      </w:r>
      <w:r w:rsidR="00B2037B" w:rsidRPr="00382917">
        <w:t>her,</w:t>
      </w:r>
      <w:r w:rsidR="00EE4FC3">
        <w:t xml:space="preserve"> </w:t>
      </w:r>
      <w:r w:rsidRPr="00382917">
        <w:t>“</w:t>
      </w:r>
      <w:r w:rsidR="00B2037B" w:rsidRPr="00382917">
        <w:t>with</w:t>
      </w:r>
      <w:r w:rsidR="00EE4FC3">
        <w:t xml:space="preserve"> </w:t>
      </w:r>
      <w:r w:rsidR="00B2037B" w:rsidRPr="00382917">
        <w:t>the</w:t>
      </w:r>
      <w:r w:rsidR="00EE4FC3">
        <w:t xml:space="preserve"> </w:t>
      </w:r>
      <w:r w:rsidR="00B2037B" w:rsidRPr="00382917">
        <w:t>sole</w:t>
      </w:r>
      <w:r w:rsidR="00EE4FC3">
        <w:t xml:space="preserve"> </w:t>
      </w:r>
      <w:r w:rsidR="00B2037B" w:rsidRPr="00382917">
        <w:t>intention</w:t>
      </w:r>
      <w:r w:rsidR="00EE4FC3">
        <w:t xml:space="preserve"> </w:t>
      </w:r>
      <w:r w:rsidR="00B2037B" w:rsidRPr="00382917">
        <w:t>that</w:t>
      </w:r>
      <w:r w:rsidR="00EE4FC3">
        <w:t xml:space="preserve"> </w:t>
      </w:r>
      <w:r w:rsidR="00B2037B" w:rsidRPr="00382917">
        <w:t>it</w:t>
      </w:r>
      <w:r w:rsidR="00EE4FC3">
        <w:t xml:space="preserve"> </w:t>
      </w:r>
      <w:r w:rsidR="00B2037B" w:rsidRPr="00382917">
        <w:t>should</w:t>
      </w:r>
      <w:r w:rsidR="00EE4FC3">
        <w:t xml:space="preserve"> </w:t>
      </w:r>
      <w:r w:rsidR="00B2037B" w:rsidRPr="00382917">
        <w:t>be</w:t>
      </w:r>
      <w:r w:rsidR="00EE4FC3">
        <w:t xml:space="preserve"> </w:t>
      </w:r>
      <w:r w:rsidR="00B2037B" w:rsidRPr="00382917">
        <w:t>demolished</w:t>
      </w:r>
      <w:r w:rsidR="00EE4FC3">
        <w:t xml:space="preserve"> </w:t>
      </w:r>
      <w:r w:rsidR="00B2037B" w:rsidRPr="00382917">
        <w:t>eventually</w:t>
      </w:r>
      <w:r w:rsidR="00EE4FC3">
        <w:t xml:space="preserve"> </w:t>
      </w:r>
      <w:r w:rsidR="00B2037B" w:rsidRPr="00382917">
        <w:t>in</w:t>
      </w:r>
      <w:r w:rsidR="00EE4FC3">
        <w:t xml:space="preserve"> </w:t>
      </w:r>
      <w:r w:rsidR="00B2037B" w:rsidRPr="00382917">
        <w:t>the</w:t>
      </w:r>
      <w:r w:rsidR="00EE4FC3">
        <w:t xml:space="preserve"> </w:t>
      </w:r>
      <w:r w:rsidR="00B2037B" w:rsidRPr="00382917">
        <w:t>path</w:t>
      </w:r>
      <w:r w:rsidR="00EE4FC3">
        <w:t xml:space="preserve"> </w:t>
      </w:r>
      <w:r w:rsidR="00B2037B" w:rsidRPr="00382917">
        <w:t>of</w:t>
      </w:r>
      <w:r w:rsidR="00EE4FC3">
        <w:t xml:space="preserve"> </w:t>
      </w:r>
      <w:r w:rsidR="00B2037B" w:rsidRPr="00382917">
        <w:t>the</w:t>
      </w:r>
    </w:p>
    <w:p w:rsidR="00B2037B" w:rsidRPr="00382917" w:rsidRDefault="00B2037B" w:rsidP="005E05DA">
      <w:pPr>
        <w:pStyle w:val="Text"/>
      </w:pPr>
      <w:proofErr w:type="gramStart"/>
      <w:r w:rsidRPr="00382917">
        <w:t>Cause</w:t>
      </w:r>
      <w:r w:rsidR="00EE4FC3">
        <w:t xml:space="preserve"> </w:t>
      </w:r>
      <w:r w:rsidRPr="00382917">
        <w:t>of</w:t>
      </w:r>
      <w:r w:rsidR="00EE4FC3">
        <w:t xml:space="preserve"> </w:t>
      </w:r>
      <w:r w:rsidRPr="00382917">
        <w:t>God</w:t>
      </w:r>
      <w:r w:rsidR="0040329F">
        <w:t>.</w:t>
      </w:r>
      <w:proofErr w:type="gramEnd"/>
      <w:r w:rsidR="00EE4FC3">
        <w:t xml:space="preserve">  </w:t>
      </w:r>
      <w:r w:rsidRPr="00382917">
        <w:t>The</w:t>
      </w:r>
      <w:r w:rsidR="00EE4FC3">
        <w:t xml:space="preserve"> </w:t>
      </w:r>
      <w:r w:rsidRPr="00382917">
        <w:t>stately</w:t>
      </w:r>
      <w:r w:rsidR="00EE4FC3">
        <w:t xml:space="preserve"> </w:t>
      </w:r>
      <w:r w:rsidRPr="00382917">
        <w:t>furnishings</w:t>
      </w:r>
      <w:r w:rsidR="00EE4FC3">
        <w:t xml:space="preserve"> </w:t>
      </w:r>
      <w:r w:rsidRPr="00382917">
        <w:t>with</w:t>
      </w:r>
      <w:r w:rsidR="00EE4FC3">
        <w:t xml:space="preserve"> </w:t>
      </w:r>
      <w:r w:rsidRPr="00382917">
        <w:t>which</w:t>
      </w:r>
      <w:r w:rsidR="00EE4FC3">
        <w:t xml:space="preserve"> </w:t>
      </w:r>
      <w:r w:rsidRPr="00382917">
        <w:t>I</w:t>
      </w:r>
      <w:r w:rsidR="00EE4FC3">
        <w:t xml:space="preserve"> </w:t>
      </w:r>
      <w:r w:rsidRPr="00382917">
        <w:t>have</w:t>
      </w:r>
      <w:r w:rsidR="00EE4FC3">
        <w:t xml:space="preserve"> </w:t>
      </w:r>
      <w:r w:rsidRPr="00382917">
        <w:t>adorned</w:t>
      </w:r>
      <w:r w:rsidR="00EE4FC3">
        <w:t xml:space="preserve"> </w:t>
      </w:r>
      <w:r w:rsidRPr="00382917">
        <w:t>it</w:t>
      </w:r>
      <w:r w:rsidR="00EE4FC3">
        <w:t xml:space="preserve"> </w:t>
      </w:r>
      <w:r w:rsidRPr="00382917">
        <w:t>have</w:t>
      </w:r>
      <w:r w:rsidR="00EE4FC3">
        <w:t xml:space="preserve"> </w:t>
      </w:r>
      <w:r w:rsidRPr="00382917">
        <w:t>been</w:t>
      </w:r>
      <w:r w:rsidR="00EE4FC3">
        <w:t xml:space="preserve"> </w:t>
      </w:r>
      <w:r w:rsidRPr="00382917">
        <w:t>purchased</w:t>
      </w:r>
      <w:r w:rsidR="00EE4FC3">
        <w:t xml:space="preserve"> </w:t>
      </w:r>
      <w:r w:rsidRPr="00382917">
        <w:t>with</w:t>
      </w:r>
      <w:r w:rsidR="00EE4FC3">
        <w:t xml:space="preserve"> </w:t>
      </w:r>
      <w:r w:rsidRPr="00382917">
        <w:t>the</w:t>
      </w:r>
      <w:r w:rsidR="00EE4FC3">
        <w:t xml:space="preserve"> </w:t>
      </w:r>
      <w:r w:rsidRPr="00382917">
        <w:t>hope</w:t>
      </w:r>
      <w:r w:rsidR="00EE4FC3">
        <w:t xml:space="preserve"> </w:t>
      </w:r>
      <w:r w:rsidRPr="00382917">
        <w:t>that</w:t>
      </w:r>
      <w:r w:rsidR="00EE4FC3">
        <w:t xml:space="preserve"> </w:t>
      </w:r>
      <w:r w:rsidRPr="00382917">
        <w:t>one</w:t>
      </w:r>
      <w:r w:rsidR="00EE4FC3">
        <w:t xml:space="preserve"> </w:t>
      </w:r>
      <w:r w:rsidRPr="00382917">
        <w:t>day</w:t>
      </w:r>
      <w:r w:rsidR="00EE4FC3">
        <w:t xml:space="preserve"> </w:t>
      </w:r>
      <w:r w:rsidRPr="00382917">
        <w:t>I</w:t>
      </w:r>
      <w:r w:rsidR="00EE4FC3">
        <w:t xml:space="preserve"> </w:t>
      </w:r>
      <w:r w:rsidRPr="00382917">
        <w:t>should</w:t>
      </w:r>
      <w:r w:rsidR="00EE4FC3">
        <w:t xml:space="preserve"> </w:t>
      </w:r>
      <w:r w:rsidRPr="00382917">
        <w:t>be</w:t>
      </w:r>
      <w:r w:rsidR="00EE4FC3">
        <w:t xml:space="preserve"> </w:t>
      </w:r>
      <w:r w:rsidRPr="00382917">
        <w:t>able</w:t>
      </w:r>
      <w:r w:rsidR="005E05DA">
        <w:t xml:space="preserve"> </w:t>
      </w:r>
      <w:r w:rsidRPr="00382917">
        <w:t>to</w:t>
      </w:r>
      <w:r w:rsidR="00EE4FC3">
        <w:t xml:space="preserve"> </w:t>
      </w:r>
      <w:r w:rsidRPr="00382917">
        <w:t>sacrifice</w:t>
      </w:r>
      <w:r w:rsidR="00EE4FC3">
        <w:t xml:space="preserve"> </w:t>
      </w:r>
      <w:r w:rsidRPr="00382917">
        <w:t>them</w:t>
      </w:r>
      <w:r w:rsidR="00EE4FC3">
        <w:t xml:space="preserve"> </w:t>
      </w:r>
      <w:r w:rsidRPr="00382917">
        <w:t>all</w:t>
      </w:r>
      <w:r w:rsidR="00EE4FC3">
        <w:t xml:space="preserve"> </w:t>
      </w:r>
      <w:r w:rsidRPr="00382917">
        <w:t>for</w:t>
      </w:r>
      <w:r w:rsidR="00EE4FC3">
        <w:t xml:space="preserve"> </w:t>
      </w:r>
      <w:r w:rsidRPr="00382917">
        <w:t>the</w:t>
      </w:r>
      <w:r w:rsidR="00EE4FC3">
        <w:t xml:space="preserve"> </w:t>
      </w:r>
      <w:r w:rsidRPr="00382917">
        <w:t>sake</w:t>
      </w:r>
      <w:r w:rsidR="00EE4FC3">
        <w:t xml:space="preserve"> </w:t>
      </w:r>
      <w:r w:rsidRPr="00382917">
        <w:t>of</w:t>
      </w:r>
      <w:r w:rsidR="00EE4FC3">
        <w:t xml:space="preserve"> </w:t>
      </w:r>
      <w:r w:rsidRPr="00382917">
        <w:t>my</w:t>
      </w:r>
      <w:r w:rsidR="00EE4FC3">
        <w:t xml:space="preserve"> </w:t>
      </w:r>
      <w:r w:rsidRPr="00382917">
        <w:t>Beloved.</w:t>
      </w:r>
      <w:r w:rsidR="009C713D" w:rsidRPr="00382917">
        <w:t>”</w:t>
      </w:r>
      <w:r w:rsidR="00EE4FC3">
        <w:t xml:space="preserve"> </w:t>
      </w:r>
      <w:r w:rsidR="005E05DA">
        <w:t xml:space="preserve"> </w:t>
      </w:r>
      <w:r w:rsidRPr="00382917">
        <w:t>Vaḥíd</w:t>
      </w:r>
      <w:r w:rsidR="00EE4FC3">
        <w:t xml:space="preserve"> </w:t>
      </w:r>
      <w:r w:rsidRPr="00382917">
        <w:t>tried</w:t>
      </w:r>
      <w:r w:rsidR="00EE4FC3">
        <w:t xml:space="preserve"> </w:t>
      </w:r>
      <w:r w:rsidRPr="00382917">
        <w:t>to</w:t>
      </w:r>
      <w:r w:rsidR="00EE4FC3">
        <w:t xml:space="preserve"> </w:t>
      </w:r>
      <w:r w:rsidRPr="00382917">
        <w:t>make</w:t>
      </w:r>
      <w:r w:rsidR="00EE4FC3">
        <w:t xml:space="preserve"> </w:t>
      </w:r>
      <w:r w:rsidRPr="00382917">
        <w:t>his</w:t>
      </w:r>
      <w:r w:rsidR="00EE4FC3">
        <w:t xml:space="preserve"> </w:t>
      </w:r>
      <w:r w:rsidRPr="00382917">
        <w:t>wife</w:t>
      </w:r>
      <w:r w:rsidR="00EE4FC3">
        <w:t xml:space="preserve"> </w:t>
      </w:r>
      <w:r w:rsidRPr="00382917">
        <w:t>understand,</w:t>
      </w:r>
      <w:r w:rsidR="00EE4FC3">
        <w:t xml:space="preserve"> </w:t>
      </w:r>
      <w:r w:rsidRPr="00382917">
        <w:t>saying</w:t>
      </w:r>
      <w:r w:rsidR="00C03C91">
        <w:t>:</w:t>
      </w:r>
      <w:r w:rsidR="00EE4FC3">
        <w:t xml:space="preserve">  </w:t>
      </w:r>
      <w:r w:rsidR="009C713D" w:rsidRPr="00382917">
        <w:t>“</w:t>
      </w:r>
      <w:r w:rsidRPr="00382917">
        <w:t>In</w:t>
      </w:r>
      <w:r w:rsidR="00EE4FC3">
        <w:t xml:space="preserve"> </w:t>
      </w:r>
      <w:r w:rsidRPr="00382917">
        <w:t>that</w:t>
      </w:r>
      <w:r w:rsidR="00EE4FC3">
        <w:t xml:space="preserve"> </w:t>
      </w:r>
      <w:r w:rsidRPr="00382917">
        <w:t>day</w:t>
      </w:r>
      <w:r w:rsidR="00EE4FC3">
        <w:t xml:space="preserve"> </w:t>
      </w:r>
      <w:r w:rsidRPr="00382917">
        <w:t>friend</w:t>
      </w:r>
      <w:r w:rsidR="00EE4FC3">
        <w:t xml:space="preserve"> </w:t>
      </w:r>
      <w:r w:rsidRPr="00382917">
        <w:t>and</w:t>
      </w:r>
      <w:r w:rsidR="00EE4FC3">
        <w:t xml:space="preserve"> </w:t>
      </w:r>
      <w:r w:rsidRPr="00382917">
        <w:t>foe</w:t>
      </w:r>
      <w:r w:rsidR="00EE4FC3">
        <w:t xml:space="preserve"> </w:t>
      </w:r>
      <w:r w:rsidRPr="00382917">
        <w:t>alike</w:t>
      </w:r>
      <w:r w:rsidR="00EE4FC3">
        <w:t xml:space="preserve"> </w:t>
      </w:r>
      <w:r w:rsidRPr="00382917">
        <w:t>will</w:t>
      </w:r>
      <w:r w:rsidR="00EE4FC3">
        <w:t xml:space="preserve"> </w:t>
      </w:r>
      <w:r w:rsidRPr="00382917">
        <w:t>realize</w:t>
      </w:r>
      <w:r w:rsidR="00EE4FC3">
        <w:t xml:space="preserve"> </w:t>
      </w:r>
      <w:r w:rsidRPr="00382917">
        <w:t>that</w:t>
      </w:r>
      <w:r w:rsidR="00EE4FC3">
        <w:t xml:space="preserve"> </w:t>
      </w:r>
      <w:r w:rsidRPr="00382917">
        <w:t>he</w:t>
      </w:r>
      <w:r w:rsidR="00EE4FC3">
        <w:t xml:space="preserve"> </w:t>
      </w:r>
      <w:r w:rsidRPr="00382917">
        <w:t>who</w:t>
      </w:r>
      <w:r w:rsidR="00EE4FC3">
        <w:t xml:space="preserve"> </w:t>
      </w:r>
      <w:r w:rsidRPr="00382917">
        <w:t>owned</w:t>
      </w:r>
      <w:r w:rsidR="00EE4FC3">
        <w:t xml:space="preserve"> </w:t>
      </w:r>
      <w:r w:rsidRPr="00382917">
        <w:t>this</w:t>
      </w:r>
      <w:r w:rsidR="00EE4FC3">
        <w:t xml:space="preserve"> </w:t>
      </w:r>
      <w:r w:rsidRPr="00382917">
        <w:t>house</w:t>
      </w:r>
      <w:r w:rsidR="00EE4FC3">
        <w:t xml:space="preserve"> </w:t>
      </w:r>
      <w:r w:rsidRPr="00382917">
        <w:t>possessed</w:t>
      </w:r>
      <w:r w:rsidR="00EE4FC3">
        <w:t xml:space="preserve"> </w:t>
      </w:r>
      <w:r w:rsidRPr="00382917">
        <w:t>another</w:t>
      </w:r>
    </w:p>
    <w:p w:rsidR="00B2037B" w:rsidRPr="00382917" w:rsidRDefault="00B2037B">
      <w:pPr>
        <w:widowControl/>
        <w:kinsoku/>
        <w:overflowPunct/>
        <w:textAlignment w:val="auto"/>
      </w:pPr>
      <w:r w:rsidRPr="00382917">
        <w:br w:type="page"/>
      </w:r>
    </w:p>
    <w:p w:rsidR="00B2037B" w:rsidRPr="00382917" w:rsidRDefault="00B2037B" w:rsidP="00B2037B">
      <w:pPr>
        <w:pStyle w:val="Textcts"/>
      </w:pPr>
      <w:proofErr w:type="gramStart"/>
      <w:r w:rsidRPr="00382917">
        <w:t>treasure</w:t>
      </w:r>
      <w:proofErr w:type="gramEnd"/>
      <w:r w:rsidR="00EE4FC3">
        <w:t xml:space="preserve"> </w:t>
      </w:r>
      <w:r w:rsidRPr="00382917">
        <w:t>so</w:t>
      </w:r>
      <w:r w:rsidR="00EE4FC3">
        <w:t xml:space="preserve"> </w:t>
      </w:r>
      <w:r w:rsidRPr="00382917">
        <w:t>priceless</w:t>
      </w:r>
      <w:r w:rsidR="00EE4FC3">
        <w:t xml:space="preserve"> </w:t>
      </w:r>
      <w:r w:rsidRPr="00382917">
        <w:t>that</w:t>
      </w:r>
      <w:r w:rsidR="00EE4FC3">
        <w:t xml:space="preserve"> </w:t>
      </w:r>
      <w:r w:rsidRPr="00382917">
        <w:t>an</w:t>
      </w:r>
      <w:r w:rsidR="00EE4FC3">
        <w:t xml:space="preserve"> </w:t>
      </w:r>
      <w:r w:rsidRPr="00382917">
        <w:t>earthly</w:t>
      </w:r>
      <w:r w:rsidR="00EE4FC3">
        <w:t xml:space="preserve"> </w:t>
      </w:r>
      <w:r w:rsidRPr="00382917">
        <w:t>mansion,</w:t>
      </w:r>
      <w:r w:rsidR="00EE4FC3">
        <w:t xml:space="preserve"> </w:t>
      </w:r>
      <w:r w:rsidRPr="00382917">
        <w:t>however</w:t>
      </w:r>
      <w:r w:rsidR="00EE4FC3">
        <w:t xml:space="preserve"> </w:t>
      </w:r>
      <w:r w:rsidRPr="00382917">
        <w:t>magnificent,</w:t>
      </w:r>
      <w:r w:rsidR="00EE4FC3">
        <w:t xml:space="preserve"> </w:t>
      </w:r>
      <w:r w:rsidRPr="00382917">
        <w:t>had</w:t>
      </w:r>
      <w:r w:rsidR="00EE4FC3">
        <w:t xml:space="preserve"> </w:t>
      </w:r>
      <w:r w:rsidRPr="00382917">
        <w:t>no</w:t>
      </w:r>
      <w:r w:rsidR="00EE4FC3">
        <w:t xml:space="preserve"> </w:t>
      </w:r>
      <w:r w:rsidRPr="00382917">
        <w:t>worth</w:t>
      </w:r>
      <w:r w:rsidR="00EE4FC3">
        <w:t xml:space="preserve"> </w:t>
      </w:r>
      <w:r w:rsidRPr="00382917">
        <w:t>in</w:t>
      </w:r>
      <w:r w:rsidR="00EE4FC3">
        <w:t xml:space="preserve"> </w:t>
      </w:r>
      <w:r w:rsidRPr="00382917">
        <w:t>his</w:t>
      </w:r>
      <w:r w:rsidR="00EE4FC3">
        <w:t xml:space="preserve"> </w:t>
      </w:r>
      <w:r w:rsidRPr="00382917">
        <w:t>eyes;</w:t>
      </w:r>
      <w:r w:rsidR="00EE4FC3">
        <w:t xml:space="preserve"> </w:t>
      </w:r>
      <w:r w:rsidRPr="00382917">
        <w:t>that</w:t>
      </w:r>
      <w:r w:rsidR="00EE4FC3">
        <w:t xml:space="preserve"> </w:t>
      </w:r>
      <w:r w:rsidRPr="00382917">
        <w:t>it</w:t>
      </w:r>
      <w:r w:rsidR="00EE4FC3">
        <w:t xml:space="preserve"> </w:t>
      </w:r>
      <w:r w:rsidRPr="00382917">
        <w:t>had</w:t>
      </w:r>
      <w:r w:rsidR="00EE4FC3">
        <w:t xml:space="preserve"> </w:t>
      </w:r>
      <w:r w:rsidRPr="00382917">
        <w:t>sunk</w:t>
      </w:r>
      <w:r w:rsidR="00EE4FC3">
        <w:t xml:space="preserve"> </w:t>
      </w:r>
      <w:r w:rsidRPr="00382917">
        <w:t>to</w:t>
      </w:r>
      <w:r w:rsidR="00EE4FC3">
        <w:t xml:space="preserve"> </w:t>
      </w:r>
      <w:r w:rsidRPr="00382917">
        <w:t>nothing</w:t>
      </w:r>
      <w:r w:rsidR="00EE4FC3">
        <w:t xml:space="preserve"> </w:t>
      </w:r>
      <w:r w:rsidRPr="00382917">
        <w:t>more</w:t>
      </w:r>
      <w:r w:rsidR="00EE4FC3">
        <w:t xml:space="preserve"> </w:t>
      </w:r>
      <w:r w:rsidRPr="00382917">
        <w:t>than</w:t>
      </w:r>
      <w:r w:rsidR="00EE4FC3">
        <w:t xml:space="preserve"> </w:t>
      </w:r>
      <w:r w:rsidRPr="00382917">
        <w:t>a</w:t>
      </w:r>
      <w:r w:rsidR="00EE4FC3">
        <w:t xml:space="preserve"> </w:t>
      </w:r>
      <w:r w:rsidRPr="00382917">
        <w:t>heap</w:t>
      </w:r>
      <w:r w:rsidR="00EE4FC3">
        <w:t xml:space="preserve"> </w:t>
      </w:r>
      <w:r w:rsidRPr="00382917">
        <w:t>of</w:t>
      </w:r>
      <w:r w:rsidR="00EE4FC3">
        <w:t xml:space="preserve"> </w:t>
      </w:r>
      <w:r w:rsidRPr="00382917">
        <w:t>bones</w:t>
      </w:r>
      <w:r w:rsidR="00EE4FC3">
        <w:t xml:space="preserve"> </w:t>
      </w:r>
      <w:r w:rsidRPr="00382917">
        <w:t>which</w:t>
      </w:r>
      <w:r w:rsidR="00EE4FC3">
        <w:t xml:space="preserve"> </w:t>
      </w:r>
      <w:r w:rsidRPr="00382917">
        <w:t>only</w:t>
      </w:r>
      <w:r w:rsidR="00EE4FC3">
        <w:t xml:space="preserve"> </w:t>
      </w:r>
      <w:r w:rsidRPr="00382917">
        <w:t>the</w:t>
      </w:r>
      <w:r w:rsidR="00EE4FC3">
        <w:t xml:space="preserve"> </w:t>
      </w:r>
      <w:r w:rsidRPr="00382917">
        <w:t>dogs</w:t>
      </w:r>
      <w:r w:rsidR="00EE4FC3">
        <w:t xml:space="preserve"> </w:t>
      </w:r>
      <w:r w:rsidRPr="00382917">
        <w:t>of</w:t>
      </w:r>
      <w:r w:rsidR="00EE4FC3">
        <w:t xml:space="preserve"> </w:t>
      </w:r>
      <w:r w:rsidRPr="00382917">
        <w:t>the</w:t>
      </w:r>
      <w:r w:rsidR="00EE4FC3">
        <w:t xml:space="preserve"> </w:t>
      </w:r>
      <w:r w:rsidRPr="00382917">
        <w:t>earth</w:t>
      </w:r>
      <w:r w:rsidR="00EE4FC3">
        <w:t xml:space="preserve"> </w:t>
      </w:r>
      <w:r w:rsidRPr="00382917">
        <w:t>could</w:t>
      </w:r>
      <w:r w:rsidR="00EE4FC3">
        <w:t xml:space="preserve"> </w:t>
      </w:r>
      <w:r w:rsidRPr="00382917">
        <w:t>desire.</w:t>
      </w:r>
      <w:r w:rsidR="009C713D" w:rsidRPr="00382917">
        <w:t>”</w:t>
      </w:r>
    </w:p>
    <w:p w:rsidR="00B2037B" w:rsidRPr="00382917" w:rsidRDefault="00B2037B" w:rsidP="00B2037B">
      <w:pPr>
        <w:pStyle w:val="Text"/>
      </w:pPr>
      <w:r w:rsidRPr="00382917">
        <w:t>Vaḥíd</w:t>
      </w:r>
      <w:r w:rsidR="00EE4FC3">
        <w:t xml:space="preserve"> </w:t>
      </w:r>
      <w:r w:rsidRPr="00382917">
        <w:t>said</w:t>
      </w:r>
      <w:r w:rsidR="00EE4FC3">
        <w:t xml:space="preserve"> </w:t>
      </w:r>
      <w:r w:rsidRPr="00382917">
        <w:t>farewell</w:t>
      </w:r>
      <w:r w:rsidR="00EE4FC3">
        <w:t xml:space="preserve"> </w:t>
      </w:r>
      <w:r w:rsidRPr="00382917">
        <w:t>to</w:t>
      </w:r>
      <w:r w:rsidR="00EE4FC3">
        <w:t xml:space="preserve"> </w:t>
      </w:r>
      <w:r w:rsidRPr="00382917">
        <w:t>his</w:t>
      </w:r>
      <w:r w:rsidR="00EE4FC3">
        <w:t xml:space="preserve"> </w:t>
      </w:r>
      <w:r w:rsidRPr="00382917">
        <w:t>dear</w:t>
      </w:r>
      <w:r w:rsidR="00EE4FC3">
        <w:t xml:space="preserve"> </w:t>
      </w:r>
      <w:r w:rsidRPr="00382917">
        <w:t>wife</w:t>
      </w:r>
      <w:r w:rsidR="00EE4FC3">
        <w:t xml:space="preserve"> </w:t>
      </w:r>
      <w:r w:rsidRPr="00382917">
        <w:t>and</w:t>
      </w:r>
      <w:r w:rsidR="00EE4FC3">
        <w:t xml:space="preserve"> </w:t>
      </w:r>
      <w:r w:rsidRPr="00382917">
        <w:t>bade</w:t>
      </w:r>
      <w:r w:rsidR="00EE4FC3">
        <w:t xml:space="preserve"> </w:t>
      </w:r>
      <w:r w:rsidRPr="00382917">
        <w:t>a</w:t>
      </w:r>
      <w:r w:rsidR="00EE4FC3">
        <w:t xml:space="preserve"> </w:t>
      </w:r>
      <w:r w:rsidRPr="00382917">
        <w:t>tender</w:t>
      </w:r>
      <w:r w:rsidR="00EE4FC3">
        <w:t xml:space="preserve"> </w:t>
      </w:r>
      <w:r w:rsidRPr="00382917">
        <w:t>goodbye</w:t>
      </w:r>
      <w:r w:rsidR="00EE4FC3">
        <w:t xml:space="preserve"> </w:t>
      </w:r>
      <w:r w:rsidRPr="00382917">
        <w:t>to</w:t>
      </w:r>
      <w:r w:rsidR="00EE4FC3">
        <w:t xml:space="preserve"> </w:t>
      </w:r>
      <w:r w:rsidRPr="00382917">
        <w:t>his</w:t>
      </w:r>
      <w:r w:rsidR="00EE4FC3">
        <w:t xml:space="preserve"> </w:t>
      </w:r>
      <w:r w:rsidRPr="00382917">
        <w:t>children.</w:t>
      </w:r>
    </w:p>
    <w:p w:rsidR="00B2037B" w:rsidRPr="00382917" w:rsidRDefault="00B2037B" w:rsidP="00B2037B">
      <w:pPr>
        <w:pStyle w:val="Text"/>
      </w:pPr>
      <w:r w:rsidRPr="00382917">
        <w:t>In</w:t>
      </w:r>
      <w:r w:rsidR="00EE4FC3">
        <w:t xml:space="preserve"> </w:t>
      </w:r>
      <w:r w:rsidRPr="00382917">
        <w:t>the</w:t>
      </w:r>
      <w:r w:rsidR="00EE4FC3">
        <w:t xml:space="preserve"> </w:t>
      </w:r>
      <w:r w:rsidRPr="00382917">
        <w:t>middle</w:t>
      </w:r>
      <w:r w:rsidR="00EE4FC3">
        <w:t xml:space="preserve"> </w:t>
      </w:r>
      <w:r w:rsidRPr="00382917">
        <w:t>of</w:t>
      </w:r>
      <w:r w:rsidR="00EE4FC3">
        <w:t xml:space="preserve"> </w:t>
      </w:r>
      <w:r w:rsidRPr="00382917">
        <w:t>that</w:t>
      </w:r>
      <w:r w:rsidR="00EE4FC3">
        <w:t xml:space="preserve"> </w:t>
      </w:r>
      <w:r w:rsidRPr="00382917">
        <w:t>night</w:t>
      </w:r>
      <w:r w:rsidR="00EE4FC3">
        <w:t xml:space="preserve"> </w:t>
      </w:r>
      <w:r w:rsidRPr="00382917">
        <w:t>he</w:t>
      </w:r>
      <w:r w:rsidR="00EE4FC3">
        <w:t xml:space="preserve"> </w:t>
      </w:r>
      <w:r w:rsidRPr="00382917">
        <w:t>collected</w:t>
      </w:r>
      <w:r w:rsidR="00EE4FC3">
        <w:t xml:space="preserve"> </w:t>
      </w:r>
      <w:r w:rsidRPr="00382917">
        <w:t>the</w:t>
      </w:r>
      <w:r w:rsidR="00EE4FC3">
        <w:t xml:space="preserve"> </w:t>
      </w:r>
      <w:r w:rsidRPr="00382917">
        <w:t>writings</w:t>
      </w:r>
      <w:r w:rsidR="00EE4FC3">
        <w:t xml:space="preserve"> </w:t>
      </w:r>
      <w:r w:rsidRPr="00382917">
        <w:t>of</w:t>
      </w:r>
      <w:r w:rsidR="00EE4FC3">
        <w:t xml:space="preserve"> </w:t>
      </w:r>
      <w:r w:rsidRPr="00382917">
        <w:t>the</w:t>
      </w:r>
      <w:r w:rsidR="00EE4FC3">
        <w:t xml:space="preserve"> </w:t>
      </w:r>
      <w:r w:rsidRPr="00382917">
        <w:t>Báb</w:t>
      </w:r>
      <w:r w:rsidR="00EE4FC3">
        <w:t xml:space="preserve"> </w:t>
      </w:r>
      <w:r w:rsidRPr="00382917">
        <w:t>which</w:t>
      </w:r>
      <w:r w:rsidR="00EE4FC3">
        <w:t xml:space="preserve"> </w:t>
      </w:r>
      <w:r w:rsidRPr="00382917">
        <w:t>were</w:t>
      </w:r>
      <w:r w:rsidR="00EE4FC3">
        <w:t xml:space="preserve"> </w:t>
      </w:r>
      <w:r w:rsidRPr="00382917">
        <w:t>in</w:t>
      </w:r>
      <w:r w:rsidR="00EE4FC3">
        <w:t xml:space="preserve"> </w:t>
      </w:r>
      <w:r w:rsidRPr="00382917">
        <w:t>his</w:t>
      </w:r>
      <w:r w:rsidR="00EE4FC3">
        <w:t xml:space="preserve"> </w:t>
      </w:r>
      <w:r w:rsidRPr="00382917">
        <w:t>possession,</w:t>
      </w:r>
      <w:r w:rsidR="00EE4FC3">
        <w:t xml:space="preserve"> </w:t>
      </w:r>
      <w:r w:rsidRPr="00382917">
        <w:t>and</w:t>
      </w:r>
      <w:r w:rsidR="00EE4FC3">
        <w:t xml:space="preserve"> </w:t>
      </w:r>
      <w:r w:rsidRPr="00382917">
        <w:t>gave</w:t>
      </w:r>
      <w:r w:rsidR="00EE4FC3">
        <w:t xml:space="preserve"> </w:t>
      </w:r>
      <w:r w:rsidRPr="00382917">
        <w:t>them</w:t>
      </w:r>
      <w:r w:rsidR="00EE4FC3">
        <w:t xml:space="preserve"> </w:t>
      </w:r>
      <w:r w:rsidRPr="00382917">
        <w:t>to</w:t>
      </w:r>
      <w:r w:rsidR="00EE4FC3">
        <w:t xml:space="preserve"> </w:t>
      </w:r>
      <w:r w:rsidRPr="00382917">
        <w:t>his</w:t>
      </w:r>
      <w:r w:rsidR="00EE4FC3">
        <w:t xml:space="preserve"> </w:t>
      </w:r>
      <w:r w:rsidRPr="00382917">
        <w:t>servant,</w:t>
      </w:r>
      <w:r w:rsidR="00EE4FC3">
        <w:t xml:space="preserve"> </w:t>
      </w:r>
      <w:r w:rsidRPr="00382917">
        <w:t>Ḥasan,</w:t>
      </w:r>
      <w:r w:rsidR="00EE4FC3">
        <w:t xml:space="preserve"> </w:t>
      </w:r>
      <w:r w:rsidRPr="00382917">
        <w:t>with</w:t>
      </w:r>
      <w:r w:rsidR="00EE4FC3">
        <w:t xml:space="preserve"> </w:t>
      </w:r>
      <w:r w:rsidRPr="00382917">
        <w:t>the</w:t>
      </w:r>
      <w:r w:rsidR="00EE4FC3">
        <w:t xml:space="preserve"> </w:t>
      </w:r>
      <w:r w:rsidRPr="00382917">
        <w:t>order</w:t>
      </w:r>
      <w:r w:rsidR="00EE4FC3">
        <w:t xml:space="preserve"> </w:t>
      </w:r>
      <w:r w:rsidRPr="00382917">
        <w:t>to</w:t>
      </w:r>
      <w:r w:rsidR="00EE4FC3">
        <w:t xml:space="preserve"> </w:t>
      </w:r>
      <w:r w:rsidRPr="00382917">
        <w:t>take</w:t>
      </w:r>
      <w:r w:rsidR="00EE4FC3">
        <w:t xml:space="preserve"> </w:t>
      </w:r>
      <w:r w:rsidRPr="00382917">
        <w:t>them</w:t>
      </w:r>
      <w:r w:rsidR="00EE4FC3">
        <w:t xml:space="preserve"> </w:t>
      </w:r>
      <w:r w:rsidRPr="00382917">
        <w:t>and</w:t>
      </w:r>
      <w:r w:rsidR="00EE4FC3">
        <w:t xml:space="preserve"> </w:t>
      </w:r>
      <w:r w:rsidRPr="00382917">
        <w:t>await</w:t>
      </w:r>
      <w:r w:rsidR="00EE4FC3">
        <w:t xml:space="preserve"> </w:t>
      </w:r>
      <w:r w:rsidRPr="00382917">
        <w:t>his</w:t>
      </w:r>
      <w:r w:rsidR="00EE4FC3">
        <w:t xml:space="preserve"> </w:t>
      </w:r>
      <w:r w:rsidRPr="00382917">
        <w:t>arrival</w:t>
      </w:r>
      <w:r w:rsidR="00EE4FC3">
        <w:t xml:space="preserve"> </w:t>
      </w:r>
      <w:r w:rsidRPr="00382917">
        <w:t>outside</w:t>
      </w:r>
      <w:r w:rsidR="00EE4FC3">
        <w:t xml:space="preserve"> </w:t>
      </w:r>
      <w:r w:rsidRPr="00382917">
        <w:t>the</w:t>
      </w:r>
      <w:r w:rsidR="00EE4FC3">
        <w:t xml:space="preserve"> </w:t>
      </w:r>
      <w:r w:rsidRPr="00382917">
        <w:t>gate</w:t>
      </w:r>
      <w:r w:rsidR="00EE4FC3">
        <w:t xml:space="preserve"> </w:t>
      </w:r>
      <w:r w:rsidRPr="00382917">
        <w:t>of</w:t>
      </w:r>
      <w:r w:rsidR="00EE4FC3">
        <w:t xml:space="preserve"> </w:t>
      </w:r>
      <w:r w:rsidRPr="00382917">
        <w:t>the</w:t>
      </w:r>
      <w:r w:rsidR="00EE4FC3">
        <w:t xml:space="preserve"> </w:t>
      </w:r>
      <w:r w:rsidRPr="00382917">
        <w:t>city</w:t>
      </w:r>
      <w:r w:rsidR="0040329F">
        <w:t>.</w:t>
      </w:r>
      <w:r w:rsidR="00EE4FC3">
        <w:t xml:space="preserve">  </w:t>
      </w:r>
      <w:r w:rsidRPr="00382917">
        <w:t>He</w:t>
      </w:r>
      <w:r w:rsidR="00EE4FC3">
        <w:t xml:space="preserve"> </w:t>
      </w:r>
      <w:r w:rsidRPr="00382917">
        <w:t>told</w:t>
      </w:r>
      <w:r w:rsidR="00EE4FC3">
        <w:t xml:space="preserve"> </w:t>
      </w:r>
      <w:r w:rsidRPr="00382917">
        <w:t>Ḥasan</w:t>
      </w:r>
      <w:r w:rsidR="00EE4FC3">
        <w:t xml:space="preserve"> </w:t>
      </w:r>
      <w:r w:rsidRPr="00382917">
        <w:t>which</w:t>
      </w:r>
      <w:r w:rsidR="00EE4FC3">
        <w:t xml:space="preserve"> </w:t>
      </w:r>
      <w:r w:rsidRPr="00382917">
        <w:t>route</w:t>
      </w:r>
      <w:r w:rsidR="00EE4FC3">
        <w:t xml:space="preserve"> </w:t>
      </w:r>
      <w:r w:rsidRPr="00382917">
        <w:t>to</w:t>
      </w:r>
      <w:r w:rsidR="00EE4FC3">
        <w:t xml:space="preserve"> </w:t>
      </w:r>
      <w:r w:rsidRPr="00382917">
        <w:t>take</w:t>
      </w:r>
      <w:r w:rsidR="00EE4FC3">
        <w:t xml:space="preserve"> </w:t>
      </w:r>
      <w:r w:rsidRPr="00382917">
        <w:t>so</w:t>
      </w:r>
      <w:r w:rsidR="00EE4FC3">
        <w:t xml:space="preserve"> </w:t>
      </w:r>
      <w:r w:rsidRPr="00382917">
        <w:t>that</w:t>
      </w:r>
      <w:r w:rsidR="00EE4FC3">
        <w:t xml:space="preserve"> </w:t>
      </w:r>
      <w:r w:rsidRPr="00382917">
        <w:t>he</w:t>
      </w:r>
      <w:r w:rsidR="00EE4FC3">
        <w:t xml:space="preserve"> </w:t>
      </w:r>
      <w:r w:rsidRPr="00382917">
        <w:t>would</w:t>
      </w:r>
      <w:r w:rsidR="00EE4FC3">
        <w:t xml:space="preserve"> </w:t>
      </w:r>
      <w:r w:rsidRPr="00382917">
        <w:t>be</w:t>
      </w:r>
      <w:r w:rsidR="00EE4FC3">
        <w:t xml:space="preserve"> </w:t>
      </w:r>
      <w:r w:rsidRPr="00382917">
        <w:t>safe</w:t>
      </w:r>
      <w:r w:rsidR="0040329F">
        <w:t>.</w:t>
      </w:r>
      <w:r w:rsidR="00EE4FC3">
        <w:t xml:space="preserve">  </w:t>
      </w:r>
      <w:r w:rsidR="009C713D" w:rsidRPr="00382917">
        <w:t>“</w:t>
      </w:r>
      <w:r w:rsidRPr="00382917">
        <w:t>Do</w:t>
      </w:r>
      <w:r w:rsidR="00EE4FC3">
        <w:t xml:space="preserve"> </w:t>
      </w:r>
      <w:r w:rsidRPr="00382917">
        <w:t>not</w:t>
      </w:r>
      <w:r w:rsidR="00EE4FC3">
        <w:t xml:space="preserve"> </w:t>
      </w:r>
      <w:r w:rsidRPr="00382917">
        <w:t>disregard</w:t>
      </w:r>
      <w:r w:rsidR="00EE4FC3">
        <w:t xml:space="preserve"> </w:t>
      </w:r>
      <w:r w:rsidRPr="00382917">
        <w:t>my</w:t>
      </w:r>
      <w:r w:rsidR="00EE4FC3">
        <w:t xml:space="preserve"> </w:t>
      </w:r>
      <w:r w:rsidRPr="00382917">
        <w:t>instructions,</w:t>
      </w:r>
      <w:r w:rsidR="009C713D" w:rsidRPr="00382917">
        <w:t>”</w:t>
      </w:r>
      <w:r w:rsidR="00EE4FC3">
        <w:t xml:space="preserve"> </w:t>
      </w:r>
      <w:r w:rsidRPr="00382917">
        <w:t>he</w:t>
      </w:r>
      <w:r w:rsidR="00EE4FC3">
        <w:t xml:space="preserve"> </w:t>
      </w:r>
      <w:r w:rsidRPr="00382917">
        <w:t>warned,</w:t>
      </w:r>
      <w:r w:rsidR="00EE4FC3">
        <w:t xml:space="preserve"> </w:t>
      </w:r>
      <w:r w:rsidR="009C713D" w:rsidRPr="00382917">
        <w:t>“</w:t>
      </w:r>
      <w:r w:rsidRPr="00382917">
        <w:t>or</w:t>
      </w:r>
      <w:r w:rsidR="00EE4FC3">
        <w:t xml:space="preserve"> </w:t>
      </w:r>
      <w:r w:rsidRPr="00382917">
        <w:t>we</w:t>
      </w:r>
      <w:r w:rsidR="00EE4FC3">
        <w:t xml:space="preserve"> </w:t>
      </w:r>
      <w:r w:rsidRPr="00382917">
        <w:t>shall</w:t>
      </w:r>
      <w:r w:rsidR="00EE4FC3">
        <w:t xml:space="preserve"> </w:t>
      </w:r>
      <w:r w:rsidRPr="00382917">
        <w:t>never</w:t>
      </w:r>
      <w:r w:rsidR="00EE4FC3">
        <w:t xml:space="preserve"> </w:t>
      </w:r>
      <w:r w:rsidRPr="00382917">
        <w:t>meet</w:t>
      </w:r>
      <w:r w:rsidR="00EE4FC3">
        <w:t xml:space="preserve"> </w:t>
      </w:r>
      <w:r w:rsidRPr="00382917">
        <w:t>again.</w:t>
      </w:r>
      <w:r w:rsidR="009C713D" w:rsidRPr="00382917">
        <w:t>”</w:t>
      </w:r>
    </w:p>
    <w:p w:rsidR="00B2037B" w:rsidRPr="00382917" w:rsidRDefault="00B2037B" w:rsidP="00B2037B">
      <w:pPr>
        <w:pStyle w:val="Text"/>
      </w:pPr>
      <w:r w:rsidRPr="00382917">
        <w:t>Ḥasan</w:t>
      </w:r>
      <w:r w:rsidR="00EE4FC3">
        <w:t xml:space="preserve"> </w:t>
      </w:r>
      <w:r w:rsidRPr="00382917">
        <w:t>mounted</w:t>
      </w:r>
      <w:r w:rsidR="00EE4FC3">
        <w:t xml:space="preserve"> </w:t>
      </w:r>
      <w:r w:rsidRPr="00382917">
        <w:t>his</w:t>
      </w:r>
      <w:r w:rsidR="00EE4FC3">
        <w:t xml:space="preserve"> </w:t>
      </w:r>
      <w:r w:rsidRPr="00382917">
        <w:t>horse</w:t>
      </w:r>
      <w:r w:rsidR="00EE4FC3">
        <w:t xml:space="preserve"> </w:t>
      </w:r>
      <w:r w:rsidRPr="00382917">
        <w:t>and</w:t>
      </w:r>
      <w:r w:rsidR="00EE4FC3">
        <w:t xml:space="preserve"> </w:t>
      </w:r>
      <w:r w:rsidRPr="00382917">
        <w:t>prepared</w:t>
      </w:r>
      <w:r w:rsidR="00EE4FC3">
        <w:t xml:space="preserve"> </w:t>
      </w:r>
      <w:r w:rsidRPr="00382917">
        <w:t>to</w:t>
      </w:r>
      <w:r w:rsidR="00EE4FC3">
        <w:t xml:space="preserve"> </w:t>
      </w:r>
      <w:r w:rsidRPr="00382917">
        <w:t>leave</w:t>
      </w:r>
      <w:r w:rsidR="0040329F">
        <w:t>.</w:t>
      </w:r>
      <w:r w:rsidR="00EE4FC3">
        <w:t xml:space="preserve">  </w:t>
      </w:r>
      <w:r w:rsidRPr="00382917">
        <w:t>He</w:t>
      </w:r>
      <w:r w:rsidR="00EE4FC3">
        <w:t xml:space="preserve"> </w:t>
      </w:r>
      <w:r w:rsidRPr="00382917">
        <w:t>heard</w:t>
      </w:r>
      <w:r w:rsidR="00EE4FC3">
        <w:t xml:space="preserve"> </w:t>
      </w:r>
      <w:r w:rsidRPr="00382917">
        <w:t>the</w:t>
      </w:r>
      <w:r w:rsidR="00EE4FC3">
        <w:t xml:space="preserve"> </w:t>
      </w:r>
      <w:r w:rsidRPr="00382917">
        <w:t>cries</w:t>
      </w:r>
      <w:r w:rsidR="00EE4FC3">
        <w:t xml:space="preserve"> </w:t>
      </w:r>
      <w:r w:rsidRPr="00382917">
        <w:t>of</w:t>
      </w:r>
      <w:r w:rsidR="00EE4FC3">
        <w:t xml:space="preserve"> </w:t>
      </w:r>
      <w:r w:rsidRPr="00382917">
        <w:t>the</w:t>
      </w:r>
      <w:r w:rsidR="00EE4FC3">
        <w:t xml:space="preserve"> </w:t>
      </w:r>
      <w:proofErr w:type="spellStart"/>
      <w:r w:rsidRPr="00382917">
        <w:t>patroling</w:t>
      </w:r>
      <w:proofErr w:type="spellEnd"/>
      <w:r w:rsidR="00EE4FC3">
        <w:t xml:space="preserve"> </w:t>
      </w:r>
      <w:r w:rsidRPr="00382917">
        <w:t>sentinels</w:t>
      </w:r>
      <w:r w:rsidR="00EE4FC3">
        <w:t xml:space="preserve"> </w:t>
      </w:r>
      <w:r w:rsidRPr="00382917">
        <w:t>who</w:t>
      </w:r>
      <w:r w:rsidR="00EE4FC3">
        <w:t xml:space="preserve"> </w:t>
      </w:r>
      <w:r w:rsidRPr="00382917">
        <w:t>were</w:t>
      </w:r>
      <w:r w:rsidR="00EE4FC3">
        <w:t xml:space="preserve"> </w:t>
      </w:r>
      <w:r w:rsidRPr="00382917">
        <w:t>keeping</w:t>
      </w:r>
      <w:r w:rsidR="00EE4FC3">
        <w:t xml:space="preserve"> </w:t>
      </w:r>
      <w:r w:rsidRPr="00382917">
        <w:t>a</w:t>
      </w:r>
      <w:r w:rsidR="00EE4FC3">
        <w:t xml:space="preserve"> </w:t>
      </w:r>
      <w:r w:rsidRPr="00382917">
        <w:t>night</w:t>
      </w:r>
      <w:r w:rsidR="00EE4FC3">
        <w:t xml:space="preserve"> </w:t>
      </w:r>
      <w:r w:rsidRPr="00382917">
        <w:t>watch</w:t>
      </w:r>
      <w:r w:rsidR="00EE4FC3">
        <w:t xml:space="preserve"> </w:t>
      </w:r>
      <w:r w:rsidRPr="00382917">
        <w:t>over</w:t>
      </w:r>
      <w:r w:rsidR="00EE4FC3">
        <w:t xml:space="preserve"> </w:t>
      </w:r>
      <w:r w:rsidRPr="00382917">
        <w:t>the</w:t>
      </w:r>
      <w:r w:rsidR="00EE4FC3">
        <w:t xml:space="preserve"> </w:t>
      </w:r>
      <w:r w:rsidRPr="00382917">
        <w:t>city</w:t>
      </w:r>
      <w:r w:rsidR="0040329F">
        <w:t>.</w:t>
      </w:r>
      <w:r w:rsidR="00EE4FC3">
        <w:t xml:space="preserve">  </w:t>
      </w:r>
      <w:r w:rsidRPr="00382917">
        <w:t>He</w:t>
      </w:r>
      <w:r w:rsidR="00EE4FC3">
        <w:t xml:space="preserve"> </w:t>
      </w:r>
      <w:r w:rsidRPr="00382917">
        <w:t>was</w:t>
      </w:r>
      <w:r w:rsidR="00EE4FC3">
        <w:t xml:space="preserve"> </w:t>
      </w:r>
      <w:r w:rsidRPr="00382917">
        <w:t>afraid</w:t>
      </w:r>
      <w:r w:rsidR="00EE4FC3">
        <w:t xml:space="preserve"> </w:t>
      </w:r>
      <w:r w:rsidRPr="00382917">
        <w:t>they</w:t>
      </w:r>
      <w:r w:rsidR="00EE4FC3">
        <w:t xml:space="preserve"> </w:t>
      </w:r>
      <w:r w:rsidRPr="00382917">
        <w:t>might</w:t>
      </w:r>
      <w:r w:rsidR="00EE4FC3">
        <w:t xml:space="preserve"> </w:t>
      </w:r>
      <w:r w:rsidRPr="00382917">
        <w:t>capture</w:t>
      </w:r>
      <w:r w:rsidR="00EE4FC3">
        <w:t xml:space="preserve"> </w:t>
      </w:r>
      <w:r w:rsidRPr="00382917">
        <w:t>him</w:t>
      </w:r>
      <w:r w:rsidR="00EE4FC3">
        <w:t xml:space="preserve"> </w:t>
      </w:r>
      <w:r w:rsidRPr="00382917">
        <w:t>and</w:t>
      </w:r>
      <w:r w:rsidR="00EE4FC3">
        <w:t xml:space="preserve"> </w:t>
      </w:r>
      <w:r w:rsidRPr="00382917">
        <w:t>seize</w:t>
      </w:r>
      <w:r w:rsidR="00EE4FC3">
        <w:t xml:space="preserve"> </w:t>
      </w:r>
      <w:r w:rsidRPr="00382917">
        <w:t>the</w:t>
      </w:r>
      <w:r w:rsidR="00EE4FC3">
        <w:t xml:space="preserve"> </w:t>
      </w:r>
      <w:r w:rsidRPr="00382917">
        <w:t>manuscripts,</w:t>
      </w:r>
      <w:r w:rsidR="00EE4FC3">
        <w:t xml:space="preserve"> </w:t>
      </w:r>
      <w:r w:rsidRPr="00382917">
        <w:t>so</w:t>
      </w:r>
      <w:r w:rsidR="00EE4FC3">
        <w:t xml:space="preserve"> </w:t>
      </w:r>
      <w:r w:rsidRPr="00382917">
        <w:t>he</w:t>
      </w:r>
      <w:r w:rsidR="00EE4FC3">
        <w:t xml:space="preserve"> </w:t>
      </w:r>
      <w:r w:rsidRPr="00382917">
        <w:t>took</w:t>
      </w:r>
      <w:r w:rsidR="00EE4FC3">
        <w:t xml:space="preserve"> </w:t>
      </w:r>
      <w:r w:rsidRPr="00382917">
        <w:t>what</w:t>
      </w:r>
      <w:r w:rsidR="00EE4FC3">
        <w:t xml:space="preserve"> </w:t>
      </w:r>
      <w:r w:rsidRPr="00382917">
        <w:t>he</w:t>
      </w:r>
      <w:r w:rsidR="00EE4FC3">
        <w:t xml:space="preserve"> </w:t>
      </w:r>
      <w:r w:rsidRPr="00382917">
        <w:t>thought</w:t>
      </w:r>
      <w:r w:rsidR="00EE4FC3">
        <w:t xml:space="preserve"> </w:t>
      </w:r>
      <w:r w:rsidRPr="00382917">
        <w:t>to</w:t>
      </w:r>
      <w:r w:rsidR="00EE4FC3">
        <w:t xml:space="preserve"> </w:t>
      </w:r>
      <w:r w:rsidRPr="00382917">
        <w:t>be</w:t>
      </w:r>
      <w:r w:rsidR="00EE4FC3">
        <w:t xml:space="preserve"> </w:t>
      </w:r>
      <w:r w:rsidRPr="00382917">
        <w:t>a</w:t>
      </w:r>
      <w:r w:rsidR="00EE4FC3">
        <w:t xml:space="preserve"> </w:t>
      </w:r>
      <w:r w:rsidRPr="00382917">
        <w:t>safer</w:t>
      </w:r>
      <w:r w:rsidR="00EE4FC3">
        <w:t xml:space="preserve"> </w:t>
      </w:r>
      <w:r w:rsidRPr="00382917">
        <w:t>route</w:t>
      </w:r>
      <w:r w:rsidR="00EE4FC3">
        <w:t xml:space="preserve"> </w:t>
      </w:r>
      <w:r w:rsidRPr="00382917">
        <w:t>to</w:t>
      </w:r>
      <w:r w:rsidR="00EE4FC3">
        <w:t xml:space="preserve"> </w:t>
      </w:r>
      <w:r w:rsidRPr="00382917">
        <w:t>the</w:t>
      </w:r>
      <w:r w:rsidR="00EE4FC3">
        <w:t xml:space="preserve"> </w:t>
      </w:r>
      <w:r w:rsidRPr="00382917">
        <w:t>gates</w:t>
      </w:r>
      <w:r w:rsidR="00EE4FC3">
        <w:t xml:space="preserve"> </w:t>
      </w:r>
      <w:r w:rsidRPr="00382917">
        <w:t>of</w:t>
      </w:r>
      <w:r w:rsidR="00EE4FC3">
        <w:t xml:space="preserve"> </w:t>
      </w:r>
      <w:r w:rsidRPr="00382917">
        <w:t>the</w:t>
      </w:r>
      <w:r w:rsidR="00EE4FC3">
        <w:t xml:space="preserve"> </w:t>
      </w:r>
      <w:r w:rsidRPr="00382917">
        <w:t>city</w:t>
      </w:r>
      <w:r w:rsidR="0040329F">
        <w:t>.</w:t>
      </w:r>
      <w:r w:rsidR="00EE4FC3">
        <w:t xml:space="preserve">  </w:t>
      </w:r>
      <w:r w:rsidRPr="00382917">
        <w:t>As</w:t>
      </w:r>
      <w:r w:rsidR="00EE4FC3">
        <w:t xml:space="preserve"> </w:t>
      </w:r>
      <w:r w:rsidRPr="00382917">
        <w:t>he</w:t>
      </w:r>
      <w:r w:rsidR="00EE4FC3">
        <w:t xml:space="preserve"> </w:t>
      </w:r>
      <w:r w:rsidRPr="00382917">
        <w:t>was</w:t>
      </w:r>
      <w:r w:rsidR="00EE4FC3">
        <w:t xml:space="preserve"> </w:t>
      </w:r>
      <w:r w:rsidRPr="00382917">
        <w:t>passing</w:t>
      </w:r>
      <w:r w:rsidR="00EE4FC3">
        <w:t xml:space="preserve"> </w:t>
      </w:r>
      <w:r w:rsidRPr="00382917">
        <w:t>through</w:t>
      </w:r>
      <w:r w:rsidR="00EE4FC3">
        <w:t xml:space="preserve"> </w:t>
      </w:r>
      <w:r w:rsidRPr="00382917">
        <w:t>one</w:t>
      </w:r>
      <w:r w:rsidR="00EE4FC3">
        <w:t xml:space="preserve"> </w:t>
      </w:r>
      <w:r w:rsidRPr="00382917">
        <w:t>section</w:t>
      </w:r>
      <w:r w:rsidR="00EE4FC3">
        <w:t xml:space="preserve"> </w:t>
      </w:r>
      <w:r w:rsidRPr="00382917">
        <w:t>of</w:t>
      </w:r>
      <w:r w:rsidR="00EE4FC3">
        <w:t xml:space="preserve"> </w:t>
      </w:r>
      <w:r w:rsidRPr="00382917">
        <w:t>town,</w:t>
      </w:r>
      <w:r w:rsidR="00EE4FC3">
        <w:t xml:space="preserve"> </w:t>
      </w:r>
      <w:r w:rsidRPr="00382917">
        <w:t>he</w:t>
      </w:r>
      <w:r w:rsidR="00EE4FC3">
        <w:t xml:space="preserve"> </w:t>
      </w:r>
      <w:r w:rsidRPr="00382917">
        <w:t>was</w:t>
      </w:r>
      <w:r w:rsidR="00EE4FC3">
        <w:t xml:space="preserve"> </w:t>
      </w:r>
      <w:r w:rsidRPr="00382917">
        <w:t>recognized</w:t>
      </w:r>
      <w:r w:rsidR="00EE4FC3">
        <w:t xml:space="preserve"> </w:t>
      </w:r>
      <w:r w:rsidRPr="00382917">
        <w:t>by</w:t>
      </w:r>
      <w:r w:rsidR="00EE4FC3">
        <w:t xml:space="preserve"> </w:t>
      </w:r>
      <w:r w:rsidRPr="00382917">
        <w:t>the</w:t>
      </w:r>
      <w:r w:rsidR="00EE4FC3">
        <w:t xml:space="preserve"> </w:t>
      </w:r>
      <w:r w:rsidRPr="00382917">
        <w:t>sentinels.</w:t>
      </w:r>
    </w:p>
    <w:p w:rsidR="00B2037B" w:rsidRPr="00382917" w:rsidRDefault="009C713D" w:rsidP="00B2037B">
      <w:pPr>
        <w:pStyle w:val="Text"/>
      </w:pPr>
      <w:r w:rsidRPr="00382917">
        <w:t>“</w:t>
      </w:r>
      <w:r w:rsidR="00B2037B" w:rsidRPr="00382917">
        <w:t>There</w:t>
      </w:r>
      <w:r w:rsidR="00EE4FC3">
        <w:t xml:space="preserve"> </w:t>
      </w:r>
      <w:r w:rsidR="00B2037B" w:rsidRPr="00382917">
        <w:t>goes</w:t>
      </w:r>
      <w:r w:rsidR="00EE4FC3">
        <w:t xml:space="preserve"> </w:t>
      </w:r>
      <w:proofErr w:type="spellStart"/>
      <w:r w:rsidR="00B2037B" w:rsidRPr="00382917">
        <w:t>Vaḥíd</w:t>
      </w:r>
      <w:r w:rsidRPr="00382917">
        <w:t>’</w:t>
      </w:r>
      <w:r w:rsidR="00B2037B" w:rsidRPr="00382917">
        <w:t>s</w:t>
      </w:r>
      <w:proofErr w:type="spellEnd"/>
      <w:r w:rsidR="00EE4FC3">
        <w:t xml:space="preserve"> </w:t>
      </w:r>
      <w:r w:rsidR="00B2037B" w:rsidRPr="00382917">
        <w:t>servant!</w:t>
      </w:r>
      <w:r w:rsidRPr="00382917">
        <w:t>”</w:t>
      </w:r>
      <w:r w:rsidR="00EE4FC3">
        <w:t xml:space="preserve"> </w:t>
      </w:r>
      <w:r w:rsidR="00B2037B" w:rsidRPr="00382917">
        <w:t>they</w:t>
      </w:r>
      <w:r w:rsidR="00EE4FC3">
        <w:t xml:space="preserve"> </w:t>
      </w:r>
      <w:r w:rsidR="00B2037B" w:rsidRPr="00382917">
        <w:t>cried</w:t>
      </w:r>
      <w:r w:rsidR="00EE4FC3">
        <w:t xml:space="preserve"> </w:t>
      </w:r>
      <w:r w:rsidR="00B2037B" w:rsidRPr="00382917">
        <w:t>out.</w:t>
      </w:r>
    </w:p>
    <w:p w:rsidR="00B2037B" w:rsidRPr="00382917" w:rsidRDefault="00B2037B" w:rsidP="00B2037B">
      <w:pPr>
        <w:pStyle w:val="Text"/>
      </w:pPr>
      <w:r w:rsidRPr="00382917">
        <w:t>They</w:t>
      </w:r>
      <w:r w:rsidR="00EE4FC3">
        <w:t xml:space="preserve"> </w:t>
      </w:r>
      <w:r w:rsidRPr="00382917">
        <w:t>opened</w:t>
      </w:r>
      <w:r w:rsidR="00EE4FC3">
        <w:t xml:space="preserve"> </w:t>
      </w:r>
      <w:r w:rsidRPr="00382917">
        <w:t>fire</w:t>
      </w:r>
      <w:r w:rsidR="00EE4FC3">
        <w:t xml:space="preserve"> </w:t>
      </w:r>
      <w:r w:rsidRPr="00382917">
        <w:t>upon</w:t>
      </w:r>
      <w:r w:rsidR="00EE4FC3">
        <w:t xml:space="preserve"> </w:t>
      </w:r>
      <w:r w:rsidRPr="00382917">
        <w:t>Ḥasan,</w:t>
      </w:r>
      <w:r w:rsidR="00EE4FC3">
        <w:t xml:space="preserve"> </w:t>
      </w:r>
      <w:r w:rsidRPr="00382917">
        <w:t>shot</w:t>
      </w:r>
      <w:r w:rsidR="00EE4FC3">
        <w:t xml:space="preserve"> </w:t>
      </w:r>
      <w:r w:rsidRPr="00382917">
        <w:t>down</w:t>
      </w:r>
      <w:r w:rsidR="00EE4FC3">
        <w:t xml:space="preserve"> </w:t>
      </w:r>
      <w:r w:rsidRPr="00382917">
        <w:t>his</w:t>
      </w:r>
      <w:r w:rsidR="00EE4FC3">
        <w:t xml:space="preserve"> </w:t>
      </w:r>
      <w:r w:rsidRPr="00382917">
        <w:t>horse,</w:t>
      </w:r>
      <w:r w:rsidR="00EE4FC3">
        <w:t xml:space="preserve"> </w:t>
      </w:r>
      <w:r w:rsidRPr="00382917">
        <w:t>and</w:t>
      </w:r>
      <w:r w:rsidR="00EE4FC3">
        <w:t xml:space="preserve"> </w:t>
      </w:r>
      <w:r w:rsidRPr="00382917">
        <w:t>captured</w:t>
      </w:r>
      <w:r w:rsidR="00EE4FC3">
        <w:t xml:space="preserve"> </w:t>
      </w:r>
      <w:r w:rsidRPr="00382917">
        <w:t>him</w:t>
      </w:r>
      <w:r w:rsidR="00EE4FC3">
        <w:t xml:space="preserve"> </w:t>
      </w:r>
      <w:r w:rsidRPr="00382917">
        <w:t>alive.</w:t>
      </w:r>
    </w:p>
    <w:p w:rsidR="00B2037B" w:rsidRPr="00382917" w:rsidRDefault="00B2037B" w:rsidP="00B2037B">
      <w:pPr>
        <w:pStyle w:val="Text"/>
      </w:pPr>
      <w:r w:rsidRPr="00382917">
        <w:t>Vaḥíd,</w:t>
      </w:r>
      <w:r w:rsidR="00EE4FC3">
        <w:t xml:space="preserve"> </w:t>
      </w:r>
      <w:r w:rsidRPr="00382917">
        <w:t>meanwhile,</w:t>
      </w:r>
      <w:r w:rsidR="00EE4FC3">
        <w:t xml:space="preserve"> </w:t>
      </w:r>
      <w:r w:rsidRPr="00382917">
        <w:t>followed</w:t>
      </w:r>
      <w:r w:rsidR="00EE4FC3">
        <w:t xml:space="preserve"> </w:t>
      </w:r>
      <w:r w:rsidRPr="00382917">
        <w:t>the</w:t>
      </w:r>
      <w:r w:rsidR="00EE4FC3">
        <w:t xml:space="preserve"> </w:t>
      </w:r>
      <w:r w:rsidRPr="00382917">
        <w:t>route</w:t>
      </w:r>
      <w:r w:rsidR="00EE4FC3">
        <w:t xml:space="preserve"> </w:t>
      </w:r>
      <w:r w:rsidRPr="00382917">
        <w:t>he</w:t>
      </w:r>
      <w:r w:rsidR="00EE4FC3">
        <w:t xml:space="preserve"> </w:t>
      </w:r>
      <w:r w:rsidRPr="00382917">
        <w:t>had</w:t>
      </w:r>
      <w:r w:rsidR="00EE4FC3">
        <w:t xml:space="preserve"> </w:t>
      </w:r>
      <w:r w:rsidRPr="00382917">
        <w:t>told</w:t>
      </w:r>
      <w:r w:rsidR="00EE4FC3">
        <w:t xml:space="preserve"> </w:t>
      </w:r>
      <w:r w:rsidRPr="00382917">
        <w:t>Ḥasan</w:t>
      </w:r>
      <w:r w:rsidR="00EE4FC3">
        <w:t xml:space="preserve"> </w:t>
      </w:r>
      <w:r w:rsidRPr="00382917">
        <w:t>to</w:t>
      </w:r>
      <w:r w:rsidR="00EE4FC3">
        <w:t xml:space="preserve"> </w:t>
      </w:r>
      <w:r w:rsidRPr="00382917">
        <w:t>take</w:t>
      </w:r>
      <w:r w:rsidR="00EE4FC3">
        <w:t xml:space="preserve"> </w:t>
      </w:r>
      <w:r w:rsidRPr="00382917">
        <w:t>and</w:t>
      </w:r>
      <w:r w:rsidR="00EE4FC3">
        <w:t xml:space="preserve"> </w:t>
      </w:r>
      <w:r w:rsidRPr="00382917">
        <w:t>was</w:t>
      </w:r>
      <w:r w:rsidR="00EE4FC3">
        <w:t xml:space="preserve"> </w:t>
      </w:r>
      <w:r w:rsidRPr="00382917">
        <w:t>soon</w:t>
      </w:r>
      <w:r w:rsidR="00EE4FC3">
        <w:t xml:space="preserve"> </w:t>
      </w:r>
      <w:r w:rsidRPr="00382917">
        <w:t>safely</w:t>
      </w:r>
      <w:r w:rsidR="00EE4FC3">
        <w:t xml:space="preserve"> </w:t>
      </w:r>
      <w:r w:rsidRPr="00382917">
        <w:t>outside</w:t>
      </w:r>
      <w:r w:rsidR="00EE4FC3">
        <w:t xml:space="preserve"> </w:t>
      </w:r>
      <w:r w:rsidRPr="00382917">
        <w:t>the</w:t>
      </w:r>
      <w:r w:rsidR="00EE4FC3">
        <w:t xml:space="preserve"> </w:t>
      </w:r>
      <w:r w:rsidRPr="00382917">
        <w:t>city</w:t>
      </w:r>
      <w:r w:rsidR="0040329F">
        <w:t>.</w:t>
      </w:r>
      <w:r w:rsidR="00EE4FC3">
        <w:t xml:space="preserve">  </w:t>
      </w:r>
      <w:r w:rsidRPr="00382917">
        <w:t>The</w:t>
      </w:r>
      <w:r w:rsidR="00EE4FC3">
        <w:t xml:space="preserve"> </w:t>
      </w:r>
      <w:r w:rsidRPr="00382917">
        <w:t>moment</w:t>
      </w:r>
      <w:r w:rsidR="00EE4FC3">
        <w:t xml:space="preserve"> </w:t>
      </w:r>
      <w:r w:rsidRPr="00382917">
        <w:t>Vaḥíd</w:t>
      </w:r>
      <w:r w:rsidR="00EE4FC3">
        <w:t xml:space="preserve"> </w:t>
      </w:r>
      <w:r w:rsidRPr="00382917">
        <w:t>left</w:t>
      </w:r>
      <w:r w:rsidR="00EE4FC3">
        <w:t xml:space="preserve"> </w:t>
      </w:r>
      <w:r w:rsidRPr="00382917">
        <w:t>Yazd,</w:t>
      </w:r>
      <w:r w:rsidR="00EE4FC3">
        <w:t xml:space="preserve"> </w:t>
      </w:r>
      <w:r w:rsidRPr="00382917">
        <w:t>his</w:t>
      </w:r>
      <w:r w:rsidR="00EE4FC3">
        <w:t xml:space="preserve"> </w:t>
      </w:r>
      <w:r w:rsidRPr="00382917">
        <w:t>enemies,</w:t>
      </w:r>
      <w:r w:rsidR="00EE4FC3">
        <w:t xml:space="preserve"> </w:t>
      </w:r>
      <w:r w:rsidRPr="00382917">
        <w:t>under</w:t>
      </w:r>
      <w:r w:rsidR="00EE4FC3">
        <w:t xml:space="preserve"> </w:t>
      </w:r>
      <w:r w:rsidRPr="00382917">
        <w:t>the</w:t>
      </w:r>
      <w:r w:rsidR="00EE4FC3">
        <w:t xml:space="preserve"> </w:t>
      </w:r>
      <w:r w:rsidRPr="00382917">
        <w:t>leadership</w:t>
      </w:r>
      <w:r w:rsidR="00EE4FC3">
        <w:t xml:space="preserve"> </w:t>
      </w:r>
      <w:r w:rsidRPr="00382917">
        <w:t>of</w:t>
      </w:r>
      <w:r w:rsidR="00EE4FC3">
        <w:t xml:space="preserve"> </w:t>
      </w:r>
      <w:r w:rsidRPr="00382917">
        <w:t>the</w:t>
      </w:r>
      <w:r w:rsidR="00EE4FC3">
        <w:t xml:space="preserve"> </w:t>
      </w:r>
      <w:r w:rsidRPr="00382917">
        <w:t>Navváb,</w:t>
      </w:r>
      <w:r w:rsidR="00EE4FC3">
        <w:t xml:space="preserve"> </w:t>
      </w:r>
      <w:r w:rsidRPr="00382917">
        <w:t>rushed</w:t>
      </w:r>
      <w:r w:rsidR="00EE4FC3">
        <w:t xml:space="preserve"> </w:t>
      </w:r>
      <w:r w:rsidRPr="00382917">
        <w:t>to</w:t>
      </w:r>
      <w:r w:rsidR="00EE4FC3">
        <w:t xml:space="preserve"> </w:t>
      </w:r>
      <w:r w:rsidRPr="00382917">
        <w:t>his</w:t>
      </w:r>
      <w:r w:rsidR="00EE4FC3">
        <w:t xml:space="preserve"> </w:t>
      </w:r>
      <w:r w:rsidRPr="00382917">
        <w:t>house</w:t>
      </w:r>
      <w:r w:rsidR="00EE4FC3">
        <w:t xml:space="preserve"> </w:t>
      </w:r>
      <w:r w:rsidRPr="00382917">
        <w:t>to</w:t>
      </w:r>
      <w:r w:rsidR="00EE4FC3">
        <w:t xml:space="preserve"> </w:t>
      </w:r>
      <w:r w:rsidRPr="00382917">
        <w:t>plunder</w:t>
      </w:r>
      <w:r w:rsidR="00EE4FC3">
        <w:t xml:space="preserve"> </w:t>
      </w:r>
      <w:r w:rsidRPr="00382917">
        <w:t>his</w:t>
      </w:r>
      <w:r w:rsidR="00EE4FC3">
        <w:t xml:space="preserve"> </w:t>
      </w:r>
      <w:r w:rsidRPr="00382917">
        <w:t>possessions</w:t>
      </w:r>
      <w:r w:rsidR="0040329F">
        <w:t>.</w:t>
      </w:r>
      <w:r w:rsidR="00EE4FC3">
        <w:t xml:space="preserve">  </w:t>
      </w:r>
      <w:r w:rsidRPr="00382917">
        <w:t>They</w:t>
      </w:r>
      <w:r w:rsidR="00EE4FC3">
        <w:t xml:space="preserve"> </w:t>
      </w:r>
      <w:r w:rsidRPr="00382917">
        <w:t>carried</w:t>
      </w:r>
      <w:r w:rsidR="00EE4FC3">
        <w:t xml:space="preserve"> </w:t>
      </w:r>
      <w:r w:rsidRPr="00382917">
        <w:t>away</w:t>
      </w:r>
      <w:r w:rsidR="00EE4FC3">
        <w:t xml:space="preserve"> </w:t>
      </w:r>
      <w:r w:rsidRPr="00382917">
        <w:t>all</w:t>
      </w:r>
      <w:r w:rsidR="00EE4FC3">
        <w:t xml:space="preserve"> </w:t>
      </w:r>
      <w:r w:rsidRPr="00382917">
        <w:t>of</w:t>
      </w:r>
      <w:r w:rsidR="00EE4FC3">
        <w:t xml:space="preserve"> </w:t>
      </w:r>
      <w:r w:rsidRPr="00382917">
        <w:t>the</w:t>
      </w:r>
      <w:r w:rsidR="00EE4FC3">
        <w:t xml:space="preserve"> </w:t>
      </w:r>
      <w:r w:rsidRPr="00382917">
        <w:t>furnishings,</w:t>
      </w:r>
      <w:r w:rsidR="00EE4FC3">
        <w:t xml:space="preserve"> </w:t>
      </w:r>
      <w:r w:rsidRPr="00382917">
        <w:t>then</w:t>
      </w:r>
      <w:r w:rsidR="00EE4FC3">
        <w:t xml:space="preserve"> </w:t>
      </w:r>
      <w:r w:rsidRPr="00382917">
        <w:t>demolished</w:t>
      </w:r>
      <w:r w:rsidR="00EE4FC3">
        <w:t xml:space="preserve"> </w:t>
      </w:r>
      <w:r w:rsidRPr="00382917">
        <w:t>the</w:t>
      </w:r>
      <w:r w:rsidR="00EE4FC3">
        <w:t xml:space="preserve"> </w:t>
      </w:r>
      <w:r w:rsidRPr="00382917">
        <w:t>house</w:t>
      </w:r>
      <w:r w:rsidR="00EE4FC3">
        <w:t xml:space="preserve"> </w:t>
      </w:r>
      <w:r w:rsidRPr="00382917">
        <w:t>completely.</w:t>
      </w:r>
    </w:p>
    <w:p w:rsidR="00B2037B" w:rsidRPr="00382917" w:rsidRDefault="00B2037B" w:rsidP="00B2037B">
      <w:pPr>
        <w:pStyle w:val="Text"/>
      </w:pPr>
      <w:r w:rsidRPr="00382917">
        <w:t>Vaḥíd</w:t>
      </w:r>
      <w:r w:rsidR="00EE4FC3">
        <w:t xml:space="preserve"> </w:t>
      </w:r>
      <w:r w:rsidRPr="00382917">
        <w:t>set</w:t>
      </w:r>
      <w:r w:rsidR="00EE4FC3">
        <w:t xml:space="preserve"> </w:t>
      </w:r>
      <w:r w:rsidRPr="00382917">
        <w:t>out</w:t>
      </w:r>
      <w:r w:rsidR="00EE4FC3">
        <w:t xml:space="preserve"> </w:t>
      </w:r>
      <w:r w:rsidRPr="00382917">
        <w:t>at</w:t>
      </w:r>
      <w:r w:rsidR="00EE4FC3">
        <w:t xml:space="preserve"> </w:t>
      </w:r>
      <w:r w:rsidRPr="00382917">
        <w:t>once</w:t>
      </w:r>
      <w:r w:rsidR="00EE4FC3">
        <w:t xml:space="preserve"> </w:t>
      </w:r>
      <w:r w:rsidRPr="00382917">
        <w:t>for</w:t>
      </w:r>
      <w:r w:rsidR="00EE4FC3">
        <w:t xml:space="preserve"> </w:t>
      </w:r>
      <w:r w:rsidRPr="00382917">
        <w:t>his</w:t>
      </w:r>
      <w:r w:rsidR="00EE4FC3">
        <w:t xml:space="preserve"> </w:t>
      </w:r>
      <w:r w:rsidRPr="00382917">
        <w:t>home</w:t>
      </w:r>
      <w:r w:rsidR="00EE4FC3">
        <w:t xml:space="preserve"> </w:t>
      </w:r>
      <w:r w:rsidRPr="00382917">
        <w:t>in</w:t>
      </w:r>
      <w:r w:rsidR="00EE4FC3">
        <w:t xml:space="preserve"> </w:t>
      </w:r>
      <w:r w:rsidRPr="00382917">
        <w:t>Nayr</w:t>
      </w:r>
      <w:r w:rsidRPr="00382917">
        <w:rPr>
          <w:sz w:val="22"/>
        </w:rPr>
        <w:t>í</w:t>
      </w:r>
      <w:r w:rsidRPr="00382917">
        <w:t>z</w:t>
      </w:r>
      <w:r w:rsidR="0040329F">
        <w:t>.</w:t>
      </w:r>
      <w:r w:rsidR="00EE4FC3">
        <w:t xml:space="preserve">  </w:t>
      </w:r>
      <w:r w:rsidRPr="00382917">
        <w:t>That</w:t>
      </w:r>
      <w:r w:rsidR="00EE4FC3">
        <w:t xml:space="preserve"> </w:t>
      </w:r>
      <w:r w:rsidRPr="00382917">
        <w:t>first</w:t>
      </w:r>
      <w:r w:rsidR="00EE4FC3">
        <w:t xml:space="preserve"> </w:t>
      </w:r>
      <w:r w:rsidRPr="00382917">
        <w:t>night</w:t>
      </w:r>
      <w:r w:rsidR="00EE4FC3">
        <w:t xml:space="preserve"> </w:t>
      </w:r>
      <w:r w:rsidRPr="00382917">
        <w:t>he</w:t>
      </w:r>
      <w:r w:rsidR="00EE4FC3">
        <w:t xml:space="preserve"> </w:t>
      </w:r>
      <w:r w:rsidRPr="00382917">
        <w:t>walked</w:t>
      </w:r>
      <w:r w:rsidR="00EE4FC3">
        <w:t xml:space="preserve"> </w:t>
      </w:r>
      <w:r w:rsidRPr="00382917">
        <w:t>twenty</w:t>
      </w:r>
      <w:r w:rsidR="00EE4FC3">
        <w:t xml:space="preserve"> </w:t>
      </w:r>
      <w:r w:rsidRPr="00382917">
        <w:t>miles</w:t>
      </w:r>
      <w:r w:rsidR="00EE4FC3">
        <w:t xml:space="preserve"> </w:t>
      </w:r>
      <w:r w:rsidRPr="00382917">
        <w:t>until</w:t>
      </w:r>
      <w:r w:rsidR="00EE4FC3">
        <w:t xml:space="preserve"> </w:t>
      </w:r>
      <w:r w:rsidRPr="00382917">
        <w:t>he</w:t>
      </w:r>
      <w:r w:rsidR="00EE4FC3">
        <w:t xml:space="preserve"> </w:t>
      </w:r>
      <w:r w:rsidRPr="00382917">
        <w:t>at</w:t>
      </w:r>
      <w:r w:rsidR="00EE4FC3">
        <w:t xml:space="preserve"> </w:t>
      </w:r>
      <w:r w:rsidRPr="00382917">
        <w:t>last</w:t>
      </w:r>
      <w:r w:rsidR="00EE4FC3">
        <w:t xml:space="preserve"> </w:t>
      </w:r>
      <w:r w:rsidRPr="00382917">
        <w:t>approached</w:t>
      </w:r>
      <w:r w:rsidR="00EE4FC3">
        <w:t xml:space="preserve"> </w:t>
      </w:r>
      <w:r w:rsidRPr="00382917">
        <w:t>a</w:t>
      </w:r>
      <w:r w:rsidR="00EE4FC3">
        <w:t xml:space="preserve"> </w:t>
      </w:r>
      <w:r w:rsidRPr="00382917">
        <w:t>village</w:t>
      </w:r>
      <w:r w:rsidR="00EE4FC3">
        <w:t xml:space="preserve"> </w:t>
      </w:r>
      <w:r w:rsidRPr="00382917">
        <w:t>in</w:t>
      </w:r>
      <w:r w:rsidR="00EE4FC3">
        <w:t xml:space="preserve"> </w:t>
      </w:r>
      <w:r w:rsidRPr="00382917">
        <w:t>which</w:t>
      </w:r>
      <w:r w:rsidR="00EE4FC3">
        <w:t xml:space="preserve"> </w:t>
      </w:r>
      <w:r w:rsidRPr="00382917">
        <w:t>his</w:t>
      </w:r>
      <w:r w:rsidR="00EE4FC3">
        <w:t xml:space="preserve"> </w:t>
      </w:r>
      <w:r w:rsidRPr="00382917">
        <w:t>brother</w:t>
      </w:r>
      <w:r w:rsidR="00EE4FC3">
        <w:t xml:space="preserve"> </w:t>
      </w:r>
      <w:r w:rsidRPr="00382917">
        <w:t>lived</w:t>
      </w:r>
      <w:r w:rsidR="0040329F">
        <w:t>.</w:t>
      </w:r>
      <w:r w:rsidR="00EE4FC3">
        <w:t xml:space="preserve">  </w:t>
      </w:r>
      <w:r w:rsidRPr="00382917">
        <w:t>Vaḥíd</w:t>
      </w:r>
      <w:r w:rsidR="00EE4FC3">
        <w:t xml:space="preserve"> </w:t>
      </w:r>
      <w:r w:rsidRPr="00382917">
        <w:t>did</w:t>
      </w:r>
      <w:r w:rsidR="00EE4FC3">
        <w:t xml:space="preserve"> </w:t>
      </w:r>
      <w:r w:rsidRPr="00382917">
        <w:t>not</w:t>
      </w:r>
      <w:r w:rsidR="00EE4FC3">
        <w:t xml:space="preserve"> </w:t>
      </w:r>
      <w:r w:rsidRPr="00382917">
        <w:t>enter</w:t>
      </w:r>
      <w:r w:rsidR="00EE4FC3">
        <w:t xml:space="preserve"> </w:t>
      </w:r>
      <w:r w:rsidRPr="00382917">
        <w:t>his</w:t>
      </w:r>
      <w:r w:rsidR="00EE4FC3">
        <w:t xml:space="preserve"> </w:t>
      </w:r>
      <w:r w:rsidRPr="00382917">
        <w:t>brother</w:t>
      </w:r>
      <w:r w:rsidR="009C713D" w:rsidRPr="00382917">
        <w:t>’</w:t>
      </w:r>
      <w:r w:rsidRPr="00382917">
        <w:t>s</w:t>
      </w:r>
      <w:r w:rsidR="00EE4FC3">
        <w:t xml:space="preserve"> </w:t>
      </w:r>
      <w:proofErr w:type="gramStart"/>
      <w:r w:rsidRPr="00382917">
        <w:t>house,</w:t>
      </w:r>
      <w:proofErr w:type="gramEnd"/>
      <w:r w:rsidR="00EE4FC3">
        <w:t xml:space="preserve"> </w:t>
      </w:r>
      <w:r w:rsidRPr="00382917">
        <w:t>instead,</w:t>
      </w:r>
      <w:r w:rsidR="00EE4FC3">
        <w:t xml:space="preserve"> </w:t>
      </w:r>
      <w:r w:rsidRPr="00382917">
        <w:t>he</w:t>
      </w:r>
      <w:r w:rsidR="00EE4FC3">
        <w:t xml:space="preserve"> </w:t>
      </w:r>
      <w:r w:rsidRPr="00382917">
        <w:t>encamped</w:t>
      </w:r>
      <w:r w:rsidR="00EE4FC3">
        <w:t xml:space="preserve"> </w:t>
      </w:r>
      <w:r w:rsidRPr="00382917">
        <w:t>in</w:t>
      </w:r>
      <w:r w:rsidR="00EE4FC3">
        <w:t xml:space="preserve"> </w:t>
      </w:r>
      <w:r w:rsidRPr="00382917">
        <w:t>a</w:t>
      </w:r>
      <w:r w:rsidR="00EE4FC3">
        <w:t xml:space="preserve"> </w:t>
      </w:r>
      <w:r w:rsidRPr="00382917">
        <w:t>near-by</w:t>
      </w:r>
      <w:r w:rsidR="00EE4FC3">
        <w:t xml:space="preserve"> </w:t>
      </w:r>
      <w:r w:rsidRPr="00382917">
        <w:t>mountain</w:t>
      </w:r>
      <w:r w:rsidR="0040329F">
        <w:t>.</w:t>
      </w:r>
      <w:r w:rsidR="00EE4FC3">
        <w:t xml:space="preserve">  </w:t>
      </w:r>
      <w:r w:rsidRPr="00382917">
        <w:t>His</w:t>
      </w:r>
      <w:r w:rsidR="00EE4FC3">
        <w:t xml:space="preserve"> </w:t>
      </w:r>
      <w:r w:rsidRPr="00382917">
        <w:t>brother,</w:t>
      </w:r>
      <w:r w:rsidR="00EE4FC3">
        <w:t xml:space="preserve"> </w:t>
      </w:r>
      <w:r w:rsidRPr="00382917">
        <w:t>hearing</w:t>
      </w:r>
      <w:r w:rsidR="00EE4FC3">
        <w:t xml:space="preserve"> </w:t>
      </w:r>
      <w:r w:rsidRPr="00382917">
        <w:t>of</w:t>
      </w:r>
      <w:r w:rsidR="00EE4FC3">
        <w:t xml:space="preserve"> </w:t>
      </w:r>
      <w:r w:rsidRPr="00382917">
        <w:t>his</w:t>
      </w:r>
      <w:r w:rsidR="00EE4FC3">
        <w:t xml:space="preserve"> </w:t>
      </w:r>
      <w:r w:rsidRPr="00382917">
        <w:t>presence</w:t>
      </w:r>
      <w:r w:rsidR="00EE4FC3">
        <w:t xml:space="preserve"> </w:t>
      </w:r>
      <w:r w:rsidRPr="00382917">
        <w:t>there,</w:t>
      </w:r>
      <w:r w:rsidR="00EE4FC3">
        <w:t xml:space="preserve"> </w:t>
      </w:r>
      <w:r w:rsidRPr="00382917">
        <w:t>sent</w:t>
      </w:r>
      <w:r w:rsidR="00EE4FC3">
        <w:t xml:space="preserve"> </w:t>
      </w:r>
      <w:r w:rsidRPr="00382917">
        <w:t>out</w:t>
      </w:r>
      <w:r w:rsidR="00EE4FC3">
        <w:t xml:space="preserve"> </w:t>
      </w:r>
      <w:r w:rsidRPr="00382917">
        <w:t>horses</w:t>
      </w:r>
      <w:r w:rsidR="00EE4FC3">
        <w:t xml:space="preserve"> </w:t>
      </w:r>
      <w:r w:rsidRPr="00382917">
        <w:t>and</w:t>
      </w:r>
      <w:r w:rsidR="00EE4FC3">
        <w:t xml:space="preserve"> </w:t>
      </w:r>
      <w:r w:rsidRPr="00382917">
        <w:t>provisions</w:t>
      </w:r>
      <w:r w:rsidR="00EE4FC3">
        <w:t xml:space="preserve"> </w:t>
      </w:r>
      <w:r w:rsidRPr="00382917">
        <w:t>which</w:t>
      </w:r>
      <w:r w:rsidR="00EE4FC3">
        <w:t xml:space="preserve"> </w:t>
      </w:r>
      <w:r w:rsidRPr="00382917">
        <w:t>he</w:t>
      </w:r>
      <w:r w:rsidR="00EE4FC3">
        <w:t xml:space="preserve"> </w:t>
      </w:r>
      <w:r w:rsidRPr="00382917">
        <w:t>felt</w:t>
      </w:r>
      <w:r w:rsidR="00EE4FC3">
        <w:t xml:space="preserve"> </w:t>
      </w:r>
      <w:r w:rsidRPr="00382917">
        <w:t>Vaḥíd</w:t>
      </w:r>
      <w:r w:rsidR="00EE4FC3">
        <w:t xml:space="preserve"> </w:t>
      </w:r>
      <w:r w:rsidRPr="00382917">
        <w:t>would</w:t>
      </w:r>
      <w:r w:rsidR="00EE4FC3">
        <w:t xml:space="preserve"> </w:t>
      </w:r>
      <w:r w:rsidRPr="00382917">
        <w:t>need</w:t>
      </w:r>
      <w:r w:rsidR="00EE4FC3">
        <w:t xml:space="preserve"> </w:t>
      </w:r>
      <w:r w:rsidRPr="00382917">
        <w:t>for</w:t>
      </w:r>
      <w:r w:rsidR="00EE4FC3">
        <w:t xml:space="preserve"> </w:t>
      </w:r>
      <w:r w:rsidRPr="00382917">
        <w:t>his</w:t>
      </w:r>
      <w:r w:rsidR="00EE4FC3">
        <w:t xml:space="preserve"> </w:t>
      </w:r>
      <w:r w:rsidRPr="00382917">
        <w:t>journey</w:t>
      </w:r>
      <w:r w:rsidR="00EE4FC3">
        <w:t xml:space="preserve"> </w:t>
      </w:r>
      <w:r w:rsidRPr="00382917">
        <w:t>to</w:t>
      </w:r>
      <w:r w:rsidR="00EE4FC3">
        <w:t xml:space="preserve"> </w:t>
      </w:r>
      <w:r w:rsidRPr="00382917">
        <w:t>Nayríz.</w:t>
      </w:r>
    </w:p>
    <w:p w:rsidR="00B2037B" w:rsidRPr="00382917" w:rsidRDefault="00B2037B" w:rsidP="00B2037B">
      <w:pPr>
        <w:pStyle w:val="Text"/>
      </w:pPr>
      <w:r w:rsidRPr="00382917">
        <w:t>A</w:t>
      </w:r>
      <w:r w:rsidR="00EE4FC3">
        <w:t xml:space="preserve"> </w:t>
      </w:r>
      <w:r w:rsidRPr="00382917">
        <w:t>body</w:t>
      </w:r>
      <w:r w:rsidR="00EE4FC3">
        <w:t xml:space="preserve"> </w:t>
      </w:r>
      <w:r w:rsidRPr="00382917">
        <w:t>of</w:t>
      </w:r>
      <w:r w:rsidR="00EE4FC3">
        <w:t xml:space="preserve"> </w:t>
      </w:r>
      <w:r w:rsidRPr="00382917">
        <w:t>the</w:t>
      </w:r>
      <w:r w:rsidR="00EE4FC3">
        <w:t xml:space="preserve"> </w:t>
      </w:r>
      <w:r w:rsidRPr="00382917">
        <w:t>governor</w:t>
      </w:r>
      <w:r w:rsidR="009C713D" w:rsidRPr="00382917">
        <w:t>’</w:t>
      </w:r>
      <w:r w:rsidRPr="00382917">
        <w:t>s</w:t>
      </w:r>
      <w:r w:rsidR="00EE4FC3">
        <w:t xml:space="preserve"> </w:t>
      </w:r>
      <w:r w:rsidRPr="00382917">
        <w:t>troops</w:t>
      </w:r>
      <w:r w:rsidR="00EE4FC3">
        <w:t xml:space="preserve"> </w:t>
      </w:r>
      <w:r w:rsidRPr="00382917">
        <w:t>was</w:t>
      </w:r>
      <w:r w:rsidR="00EE4FC3">
        <w:t xml:space="preserve"> </w:t>
      </w:r>
      <w:r w:rsidRPr="00382917">
        <w:t>sent</w:t>
      </w:r>
      <w:r w:rsidR="00EE4FC3">
        <w:t xml:space="preserve"> </w:t>
      </w:r>
      <w:r w:rsidRPr="00382917">
        <w:t>out</w:t>
      </w:r>
      <w:r w:rsidR="00EE4FC3">
        <w:t xml:space="preserve"> </w:t>
      </w:r>
      <w:r w:rsidRPr="00382917">
        <w:t>from</w:t>
      </w:r>
      <w:r w:rsidR="00EE4FC3">
        <w:t xml:space="preserve"> </w:t>
      </w:r>
      <w:r w:rsidRPr="00382917">
        <w:t>Yazd</w:t>
      </w:r>
      <w:r w:rsidR="00EE4FC3">
        <w:t xml:space="preserve"> </w:t>
      </w:r>
      <w:r w:rsidRPr="00382917">
        <w:t>in</w:t>
      </w:r>
      <w:r w:rsidR="00EE4FC3">
        <w:t xml:space="preserve"> </w:t>
      </w:r>
      <w:r w:rsidRPr="00382917">
        <w:t>pursuit</w:t>
      </w:r>
      <w:r w:rsidR="00EE4FC3">
        <w:t xml:space="preserve"> </w:t>
      </w:r>
      <w:r w:rsidRPr="00382917">
        <w:t>of</w:t>
      </w:r>
      <w:r w:rsidR="00EE4FC3">
        <w:t xml:space="preserve"> </w:t>
      </w:r>
      <w:r w:rsidRPr="00382917">
        <w:t>Vaḥíd</w:t>
      </w:r>
      <w:r w:rsidR="0040329F">
        <w:t>.</w:t>
      </w:r>
      <w:r w:rsidR="00EE4FC3">
        <w:t xml:space="preserve">  </w:t>
      </w:r>
      <w:r w:rsidRPr="00382917">
        <w:t>They</w:t>
      </w:r>
      <w:r w:rsidR="00EE4FC3">
        <w:t xml:space="preserve"> </w:t>
      </w:r>
      <w:r w:rsidRPr="00382917">
        <w:t>followed</w:t>
      </w:r>
      <w:r w:rsidR="00EE4FC3">
        <w:t xml:space="preserve"> </w:t>
      </w:r>
      <w:r w:rsidRPr="00382917">
        <w:t>his</w:t>
      </w:r>
      <w:r w:rsidR="00EE4FC3">
        <w:t xml:space="preserve"> </w:t>
      </w:r>
      <w:r w:rsidRPr="00382917">
        <w:t>trail</w:t>
      </w:r>
      <w:r w:rsidR="00EE4FC3">
        <w:t xml:space="preserve"> </w:t>
      </w:r>
      <w:r w:rsidRPr="00382917">
        <w:t>to</w:t>
      </w:r>
      <w:r w:rsidR="00EE4FC3">
        <w:t xml:space="preserve"> </w:t>
      </w:r>
      <w:r w:rsidRPr="00382917">
        <w:t>the</w:t>
      </w:r>
      <w:r w:rsidR="00EE4FC3">
        <w:t xml:space="preserve"> </w:t>
      </w:r>
      <w:r w:rsidRPr="00382917">
        <w:t>village</w:t>
      </w:r>
      <w:r w:rsidR="00EE4FC3">
        <w:t xml:space="preserve"> </w:t>
      </w:r>
      <w:r w:rsidRPr="00382917">
        <w:t>of</w:t>
      </w:r>
      <w:r w:rsidR="00EE4FC3">
        <w:t xml:space="preserve"> </w:t>
      </w:r>
      <w:r w:rsidRPr="00382917">
        <w:t>his</w:t>
      </w:r>
      <w:r w:rsidR="00EE4FC3">
        <w:t xml:space="preserve"> </w:t>
      </w:r>
      <w:r w:rsidRPr="00382917">
        <w:t>brother</w:t>
      </w:r>
      <w:r w:rsidR="0040329F">
        <w:t>.</w:t>
      </w:r>
      <w:r w:rsidR="00EE4FC3">
        <w:t xml:space="preserve">  </w:t>
      </w:r>
      <w:r w:rsidRPr="00382917">
        <w:t>They</w:t>
      </w:r>
      <w:r w:rsidR="00EE4FC3">
        <w:t xml:space="preserve"> </w:t>
      </w:r>
      <w:r w:rsidRPr="00382917">
        <w:t>searched</w:t>
      </w:r>
      <w:r w:rsidR="00EE4FC3">
        <w:t xml:space="preserve"> </w:t>
      </w:r>
      <w:r w:rsidRPr="00382917">
        <w:t>the</w:t>
      </w:r>
      <w:r w:rsidR="00EE4FC3">
        <w:t xml:space="preserve"> </w:t>
      </w:r>
      <w:r w:rsidRPr="00382917">
        <w:t>house</w:t>
      </w:r>
      <w:r w:rsidR="00EE4FC3">
        <w:t xml:space="preserve"> </w:t>
      </w:r>
      <w:r w:rsidRPr="00382917">
        <w:t>where</w:t>
      </w:r>
      <w:r w:rsidR="00EE4FC3">
        <w:t xml:space="preserve"> </w:t>
      </w:r>
      <w:r w:rsidRPr="00382917">
        <w:t>they</w:t>
      </w:r>
      <w:r w:rsidR="00EE4FC3">
        <w:t xml:space="preserve"> </w:t>
      </w:r>
      <w:r w:rsidRPr="00382917">
        <w:t>suspected</w:t>
      </w:r>
      <w:r w:rsidR="00EE4FC3">
        <w:t xml:space="preserve"> </w:t>
      </w:r>
      <w:r w:rsidRPr="00382917">
        <w:t>he</w:t>
      </w:r>
      <w:r w:rsidR="00EE4FC3">
        <w:t xml:space="preserve"> </w:t>
      </w:r>
      <w:r w:rsidRPr="00382917">
        <w:t>was</w:t>
      </w:r>
      <w:r w:rsidR="00EE4FC3">
        <w:t xml:space="preserve"> </w:t>
      </w:r>
      <w:r w:rsidRPr="00382917">
        <w:t>concealed</w:t>
      </w:r>
      <w:r w:rsidR="0040329F">
        <w:t>.</w:t>
      </w:r>
      <w:r w:rsidR="00EE4FC3">
        <w:t xml:space="preserve">  </w:t>
      </w:r>
      <w:r w:rsidRPr="00382917">
        <w:t>Not</w:t>
      </w:r>
      <w:r w:rsidR="00EE4FC3">
        <w:t xml:space="preserve"> </w:t>
      </w:r>
      <w:r w:rsidRPr="00382917">
        <w:t>finding</w:t>
      </w:r>
      <w:r w:rsidR="00EE4FC3">
        <w:t xml:space="preserve"> </w:t>
      </w:r>
      <w:r w:rsidRPr="00382917">
        <w:t>him,</w:t>
      </w:r>
      <w:r w:rsidR="00EE4FC3">
        <w:t xml:space="preserve"> </w:t>
      </w:r>
      <w:r w:rsidRPr="00382917">
        <w:t>they</w:t>
      </w:r>
      <w:r w:rsidR="00EE4FC3">
        <w:t xml:space="preserve"> </w:t>
      </w:r>
      <w:r w:rsidRPr="00382917">
        <w:t>appeased</w:t>
      </w:r>
      <w:r w:rsidR="00EE4FC3">
        <w:t xml:space="preserve"> </w:t>
      </w:r>
      <w:r w:rsidRPr="00382917">
        <w:t>their</w:t>
      </w:r>
      <w:r w:rsidR="00EE4FC3">
        <w:t xml:space="preserve"> </w:t>
      </w:r>
      <w:r w:rsidRPr="00382917">
        <w:t>anger</w:t>
      </w:r>
      <w:r w:rsidR="00EE4FC3">
        <w:t xml:space="preserve"> </w:t>
      </w:r>
      <w:r w:rsidRPr="00382917">
        <w:t>and</w:t>
      </w:r>
      <w:r w:rsidR="00EE4FC3">
        <w:t xml:space="preserve"> </w:t>
      </w:r>
      <w:r w:rsidRPr="00382917">
        <w:t>disappointment</w:t>
      </w:r>
      <w:r w:rsidR="00EE4FC3">
        <w:t xml:space="preserve"> </w:t>
      </w:r>
      <w:r w:rsidRPr="00382917">
        <w:t>by</w:t>
      </w:r>
      <w:r w:rsidR="00EE4FC3">
        <w:t xml:space="preserve"> </w:t>
      </w:r>
      <w:r w:rsidRPr="00382917">
        <w:t>seizing</w:t>
      </w:r>
      <w:r w:rsidR="00EE4FC3">
        <w:t xml:space="preserve"> </w:t>
      </w:r>
      <w:r w:rsidRPr="00382917">
        <w:t>as</w:t>
      </w:r>
      <w:r w:rsidR="00EE4FC3">
        <w:t xml:space="preserve"> </w:t>
      </w:r>
      <w:r w:rsidRPr="00382917">
        <w:t>much</w:t>
      </w:r>
      <w:r w:rsidR="00EE4FC3">
        <w:t xml:space="preserve"> </w:t>
      </w:r>
      <w:r w:rsidRPr="00382917">
        <w:t>of</w:t>
      </w:r>
      <w:r w:rsidR="00EE4FC3">
        <w:t xml:space="preserve"> </w:t>
      </w:r>
      <w:r w:rsidRPr="00382917">
        <w:t>his</w:t>
      </w:r>
      <w:r w:rsidR="00EE4FC3">
        <w:t xml:space="preserve"> </w:t>
      </w:r>
      <w:r w:rsidRPr="00382917">
        <w:t>brother</w:t>
      </w:r>
      <w:r w:rsidR="009C713D" w:rsidRPr="00382917">
        <w:t>’</w:t>
      </w:r>
      <w:r w:rsidRPr="00382917">
        <w:t>s</w:t>
      </w:r>
      <w:r w:rsidR="00EE4FC3">
        <w:t xml:space="preserve"> </w:t>
      </w:r>
      <w:r w:rsidRPr="00382917">
        <w:t>property</w:t>
      </w:r>
      <w:r w:rsidR="00EE4FC3">
        <w:t xml:space="preserve"> </w:t>
      </w:r>
      <w:r w:rsidRPr="00382917">
        <w:t>as</w:t>
      </w:r>
      <w:r w:rsidR="00EE4FC3">
        <w:t xml:space="preserve"> </w:t>
      </w:r>
      <w:r w:rsidRPr="00382917">
        <w:t>they</w:t>
      </w:r>
      <w:r w:rsidR="00EE4FC3">
        <w:t xml:space="preserve"> </w:t>
      </w:r>
      <w:r w:rsidRPr="00382917">
        <w:t>could</w:t>
      </w:r>
      <w:r w:rsidR="00EE4FC3">
        <w:t xml:space="preserve"> </w:t>
      </w:r>
      <w:r w:rsidRPr="00382917">
        <w:t>carry</w:t>
      </w:r>
      <w:r w:rsidR="00EE4FC3">
        <w:t xml:space="preserve"> </w:t>
      </w:r>
      <w:r w:rsidRPr="00382917">
        <w:t>away</w:t>
      </w:r>
      <w:r w:rsidR="0040329F">
        <w:t>.</w:t>
      </w:r>
      <w:r w:rsidR="00EE4FC3">
        <w:t xml:space="preserve">  </w:t>
      </w:r>
      <w:r w:rsidRPr="00382917">
        <w:t>They</w:t>
      </w:r>
      <w:r w:rsidR="00EE4FC3">
        <w:t xml:space="preserve"> </w:t>
      </w:r>
      <w:r w:rsidRPr="00382917">
        <w:t>searched</w:t>
      </w:r>
      <w:r w:rsidR="00EE4FC3">
        <w:t xml:space="preserve"> </w:t>
      </w:r>
      <w:r w:rsidRPr="00382917">
        <w:t>the</w:t>
      </w:r>
      <w:r w:rsidR="00EE4FC3">
        <w:t xml:space="preserve"> </w:t>
      </w:r>
      <w:proofErr w:type="spellStart"/>
      <w:r w:rsidRPr="00382917">
        <w:t>neighborhood</w:t>
      </w:r>
      <w:proofErr w:type="spellEnd"/>
      <w:r w:rsidR="00EE4FC3">
        <w:t xml:space="preserve"> </w:t>
      </w:r>
      <w:r w:rsidRPr="00382917">
        <w:t>further,</w:t>
      </w:r>
      <w:r w:rsidR="00EE4FC3">
        <w:t xml:space="preserve"> </w:t>
      </w:r>
      <w:r w:rsidRPr="00382917">
        <w:t>but</w:t>
      </w:r>
      <w:r w:rsidR="00EE4FC3">
        <w:t xml:space="preserve"> </w:t>
      </w:r>
      <w:r w:rsidRPr="00382917">
        <w:t>did</w:t>
      </w:r>
      <w:r w:rsidR="00EE4FC3">
        <w:t xml:space="preserve"> </w:t>
      </w:r>
      <w:r w:rsidRPr="00382917">
        <w:t>not</w:t>
      </w:r>
      <w:r w:rsidR="00EE4FC3">
        <w:t xml:space="preserve"> </w:t>
      </w:r>
      <w:r w:rsidRPr="00382917">
        <w:t>find</w:t>
      </w:r>
      <w:r w:rsidR="00EE4FC3">
        <w:t xml:space="preserve"> </w:t>
      </w:r>
      <w:proofErr w:type="spellStart"/>
      <w:r w:rsidRPr="00382917">
        <w:t>Vaḥíd</w:t>
      </w:r>
      <w:r w:rsidR="009C713D" w:rsidRPr="00382917">
        <w:t>’</w:t>
      </w:r>
      <w:r w:rsidRPr="00382917">
        <w:t>s</w:t>
      </w:r>
      <w:proofErr w:type="spellEnd"/>
      <w:r w:rsidR="00EE4FC3">
        <w:t xml:space="preserve"> </w:t>
      </w:r>
      <w:r w:rsidRPr="00382917">
        <w:t>mountain</w:t>
      </w:r>
      <w:r w:rsidR="00EE4FC3">
        <w:t xml:space="preserve"> </w:t>
      </w:r>
      <w:r w:rsidRPr="00382917">
        <w:t>camp</w:t>
      </w:r>
      <w:r w:rsidR="0040329F">
        <w:t>.</w:t>
      </w:r>
      <w:r w:rsidR="00EE4FC3">
        <w:t xml:space="preserve">  </w:t>
      </w:r>
      <w:r w:rsidRPr="00382917">
        <w:t>Disappointed,</w:t>
      </w:r>
      <w:r w:rsidR="00EE4FC3">
        <w:t xml:space="preserve"> </w:t>
      </w:r>
      <w:r w:rsidRPr="00382917">
        <w:t>they</w:t>
      </w:r>
      <w:r w:rsidR="00EE4FC3">
        <w:t xml:space="preserve"> </w:t>
      </w:r>
      <w:r w:rsidRPr="00382917">
        <w:t>returned</w:t>
      </w:r>
      <w:r w:rsidR="00EE4FC3">
        <w:t xml:space="preserve"> </w:t>
      </w:r>
      <w:r w:rsidRPr="00382917">
        <w:t>to</w:t>
      </w:r>
      <w:r w:rsidR="00EE4FC3">
        <w:t xml:space="preserve"> </w:t>
      </w:r>
      <w:r w:rsidRPr="00382917">
        <w:t>Yazd.</w:t>
      </w:r>
    </w:p>
    <w:p w:rsidR="00B2037B" w:rsidRPr="00382917" w:rsidRDefault="00B2037B" w:rsidP="00B2037B">
      <w:pPr>
        <w:pStyle w:val="Text"/>
      </w:pPr>
      <w:r w:rsidRPr="00382917">
        <w:t>The</w:t>
      </w:r>
      <w:r w:rsidR="00EE4FC3">
        <w:t xml:space="preserve"> </w:t>
      </w:r>
      <w:r w:rsidRPr="00382917">
        <w:t>Navváb</w:t>
      </w:r>
      <w:r w:rsidR="00EE4FC3">
        <w:t xml:space="preserve"> </w:t>
      </w:r>
      <w:r w:rsidRPr="00382917">
        <w:t>was</w:t>
      </w:r>
      <w:r w:rsidR="00EE4FC3">
        <w:t xml:space="preserve"> </w:t>
      </w:r>
      <w:r w:rsidRPr="00382917">
        <w:t>still</w:t>
      </w:r>
      <w:r w:rsidR="00EE4FC3">
        <w:t xml:space="preserve"> </w:t>
      </w:r>
      <w:r w:rsidRPr="00382917">
        <w:t>not</w:t>
      </w:r>
      <w:r w:rsidR="00EE4FC3">
        <w:t xml:space="preserve"> </w:t>
      </w:r>
      <w:r w:rsidRPr="00382917">
        <w:t>satisfied</w:t>
      </w:r>
      <w:r w:rsidR="0040329F">
        <w:t>.</w:t>
      </w:r>
      <w:r w:rsidR="00EE4FC3">
        <w:t xml:space="preserve">  </w:t>
      </w:r>
      <w:proofErr w:type="spellStart"/>
      <w:r w:rsidRPr="00382917">
        <w:t>Vaḥíd</w:t>
      </w:r>
      <w:r w:rsidR="009C713D" w:rsidRPr="00382917">
        <w:t>’</w:t>
      </w:r>
      <w:r w:rsidRPr="00382917">
        <w:t>s</w:t>
      </w:r>
      <w:proofErr w:type="spellEnd"/>
      <w:r w:rsidR="00EE4FC3">
        <w:t xml:space="preserve"> </w:t>
      </w:r>
      <w:r w:rsidRPr="00382917">
        <w:t>teaching</w:t>
      </w:r>
      <w:r w:rsidR="00EE4FC3">
        <w:t xml:space="preserve"> </w:t>
      </w:r>
      <w:r w:rsidRPr="00382917">
        <w:t>had</w:t>
      </w:r>
      <w:r w:rsidR="00EE4FC3">
        <w:t xml:space="preserve"> </w:t>
      </w:r>
      <w:r w:rsidRPr="00382917">
        <w:t>stopped,</w:t>
      </w:r>
      <w:r w:rsidR="00EE4FC3">
        <w:t xml:space="preserve"> </w:t>
      </w:r>
      <w:r w:rsidRPr="00382917">
        <w:t>but</w:t>
      </w:r>
      <w:r w:rsidR="00EE4FC3">
        <w:t xml:space="preserve"> </w:t>
      </w:r>
      <w:r w:rsidRPr="00382917">
        <w:t>Vaḥíd</w:t>
      </w:r>
      <w:r w:rsidR="00EE4FC3">
        <w:t xml:space="preserve"> </w:t>
      </w:r>
      <w:r w:rsidRPr="00382917">
        <w:t>had</w:t>
      </w:r>
      <w:r w:rsidR="00EE4FC3">
        <w:t xml:space="preserve"> </w:t>
      </w:r>
      <w:r w:rsidRPr="00382917">
        <w:t>escaped</w:t>
      </w:r>
      <w:r w:rsidR="0040329F">
        <w:t>.</w:t>
      </w:r>
      <w:r w:rsidR="00EE4FC3">
        <w:t xml:space="preserve">  </w:t>
      </w:r>
      <w:r w:rsidRPr="00382917">
        <w:t>He</w:t>
      </w:r>
      <w:r w:rsidR="00EE4FC3">
        <w:t xml:space="preserve"> </w:t>
      </w:r>
      <w:r w:rsidRPr="00382917">
        <w:t>did</w:t>
      </w:r>
      <w:r w:rsidR="00EE4FC3">
        <w:t xml:space="preserve"> </w:t>
      </w:r>
      <w:r w:rsidRPr="00382917">
        <w:t>not</w:t>
      </w:r>
      <w:r w:rsidR="00EE4FC3">
        <w:t xml:space="preserve"> </w:t>
      </w:r>
      <w:r w:rsidRPr="00382917">
        <w:t>pursue</w:t>
      </w:r>
      <w:r w:rsidR="00EE4FC3">
        <w:t xml:space="preserve"> </w:t>
      </w:r>
      <w:r w:rsidRPr="00382917">
        <w:t>Vaḥíd</w:t>
      </w:r>
      <w:r w:rsidR="00EE4FC3">
        <w:t xml:space="preserve"> </w:t>
      </w:r>
      <w:r w:rsidRPr="00382917">
        <w:t>himself</w:t>
      </w:r>
      <w:r w:rsidR="0040329F">
        <w:t>.</w:t>
      </w:r>
      <w:r w:rsidR="00EE4FC3">
        <w:t xml:space="preserve">  </w:t>
      </w:r>
      <w:r w:rsidRPr="00382917">
        <w:t>He</w:t>
      </w:r>
      <w:r w:rsidR="00EE4FC3">
        <w:t xml:space="preserve"> </w:t>
      </w:r>
      <w:r w:rsidRPr="00382917">
        <w:t>left</w:t>
      </w:r>
    </w:p>
    <w:p w:rsidR="00B2037B" w:rsidRPr="00382917" w:rsidRDefault="00B2037B">
      <w:pPr>
        <w:widowControl/>
        <w:kinsoku/>
        <w:overflowPunct/>
        <w:textAlignment w:val="auto"/>
      </w:pPr>
      <w:r w:rsidRPr="00382917">
        <w:br w:type="page"/>
      </w:r>
    </w:p>
    <w:p w:rsidR="00B2037B" w:rsidRPr="00382917" w:rsidRDefault="00B2037B" w:rsidP="00B2037B">
      <w:pPr>
        <w:pStyle w:val="Textcts"/>
      </w:pPr>
      <w:proofErr w:type="gramStart"/>
      <w:r w:rsidRPr="00382917">
        <w:t>that</w:t>
      </w:r>
      <w:proofErr w:type="gramEnd"/>
      <w:r w:rsidR="00EE4FC3">
        <w:t xml:space="preserve"> </w:t>
      </w:r>
      <w:r w:rsidRPr="00382917">
        <w:t>to</w:t>
      </w:r>
      <w:r w:rsidR="00EE4FC3">
        <w:t xml:space="preserve"> </w:t>
      </w:r>
      <w:r w:rsidRPr="00382917">
        <w:t>the</w:t>
      </w:r>
      <w:r w:rsidR="00EE4FC3">
        <w:t xml:space="preserve"> </w:t>
      </w:r>
      <w:r w:rsidRPr="00382917">
        <w:t>governor</w:t>
      </w:r>
      <w:r w:rsidR="0040329F">
        <w:t>.</w:t>
      </w:r>
      <w:r w:rsidR="00EE4FC3">
        <w:t xml:space="preserve">  </w:t>
      </w:r>
      <w:r w:rsidRPr="00382917">
        <w:t>Instead,</w:t>
      </w:r>
      <w:r w:rsidR="00EE4FC3">
        <w:t xml:space="preserve"> </w:t>
      </w:r>
      <w:r w:rsidRPr="00382917">
        <w:t>in</w:t>
      </w:r>
      <w:r w:rsidR="00EE4FC3">
        <w:t xml:space="preserve"> </w:t>
      </w:r>
      <w:r w:rsidRPr="00382917">
        <w:t>concert</w:t>
      </w:r>
      <w:r w:rsidR="00EE4FC3">
        <w:t xml:space="preserve"> </w:t>
      </w:r>
      <w:r w:rsidRPr="00382917">
        <w:t>with</w:t>
      </w:r>
      <w:r w:rsidR="00EE4FC3">
        <w:t xml:space="preserve"> </w:t>
      </w:r>
      <w:r w:rsidRPr="00382917">
        <w:t>the</w:t>
      </w:r>
      <w:r w:rsidR="00EE4FC3">
        <w:t xml:space="preserve"> </w:t>
      </w:r>
      <w:r w:rsidRPr="00382917">
        <w:t>leading</w:t>
      </w:r>
      <w:r w:rsidR="00EE4FC3">
        <w:t xml:space="preserve"> </w:t>
      </w:r>
      <w:r w:rsidRPr="00382917">
        <w:t>priests</w:t>
      </w:r>
      <w:r w:rsidR="00EE4FC3">
        <w:t xml:space="preserve"> </w:t>
      </w:r>
      <w:r w:rsidRPr="00382917">
        <w:t>of</w:t>
      </w:r>
      <w:r w:rsidR="00EE4FC3">
        <w:t xml:space="preserve"> </w:t>
      </w:r>
      <w:r w:rsidRPr="00382917">
        <w:t>Yazd,</w:t>
      </w:r>
      <w:r w:rsidR="00EE4FC3">
        <w:t xml:space="preserve"> </w:t>
      </w:r>
      <w:r w:rsidRPr="00382917">
        <w:t>he</w:t>
      </w:r>
      <w:r w:rsidR="00EE4FC3">
        <w:t xml:space="preserve"> </w:t>
      </w:r>
      <w:r w:rsidRPr="00382917">
        <w:t>took</w:t>
      </w:r>
      <w:r w:rsidR="00EE4FC3">
        <w:t xml:space="preserve"> </w:t>
      </w:r>
      <w:r w:rsidRPr="00382917">
        <w:t>a</w:t>
      </w:r>
      <w:r w:rsidR="00EE4FC3">
        <w:t xml:space="preserve"> </w:t>
      </w:r>
      <w:r w:rsidRPr="00382917">
        <w:t>far</w:t>
      </w:r>
      <w:r w:rsidR="00EE4FC3">
        <w:t xml:space="preserve"> </w:t>
      </w:r>
      <w:r w:rsidRPr="00382917">
        <w:t>more</w:t>
      </w:r>
      <w:r w:rsidR="00EE4FC3">
        <w:t xml:space="preserve"> </w:t>
      </w:r>
      <w:r w:rsidRPr="00382917">
        <w:t>gratifying</w:t>
      </w:r>
      <w:r w:rsidR="00EE4FC3">
        <w:t xml:space="preserve"> </w:t>
      </w:r>
      <w:r w:rsidRPr="00382917">
        <w:t>step.</w:t>
      </w:r>
    </w:p>
    <w:p w:rsidR="00B2037B" w:rsidRPr="00382917" w:rsidRDefault="00B2037B" w:rsidP="005E05DA">
      <w:pPr>
        <w:pStyle w:val="Text"/>
      </w:pPr>
      <w:r w:rsidRPr="00382917">
        <w:t>Nicolas</w:t>
      </w:r>
      <w:r w:rsidR="00EE4FC3">
        <w:t xml:space="preserve"> </w:t>
      </w:r>
      <w:r w:rsidRPr="00382917">
        <w:t>reports</w:t>
      </w:r>
      <w:r w:rsidR="00EE4FC3">
        <w:t xml:space="preserve"> </w:t>
      </w:r>
      <w:r w:rsidRPr="00382917">
        <w:t>the</w:t>
      </w:r>
      <w:r w:rsidR="00EE4FC3">
        <w:t xml:space="preserve"> </w:t>
      </w:r>
      <w:proofErr w:type="spellStart"/>
      <w:r w:rsidRPr="00382917">
        <w:t>Navváb</w:t>
      </w:r>
      <w:r w:rsidR="009C713D" w:rsidRPr="00382917">
        <w:t>’</w:t>
      </w:r>
      <w:r w:rsidRPr="00382917">
        <w:t>s</w:t>
      </w:r>
      <w:proofErr w:type="spellEnd"/>
      <w:r w:rsidR="00EE4FC3">
        <w:t xml:space="preserve"> </w:t>
      </w:r>
      <w:r w:rsidRPr="00382917">
        <w:t>actions</w:t>
      </w:r>
      <w:r w:rsidR="00EE4FC3">
        <w:t xml:space="preserve"> </w:t>
      </w:r>
      <w:r w:rsidRPr="00382917">
        <w:t>after</w:t>
      </w:r>
      <w:r w:rsidR="00EE4FC3">
        <w:t xml:space="preserve"> </w:t>
      </w:r>
      <w:proofErr w:type="spellStart"/>
      <w:r w:rsidRPr="00382917">
        <w:t>Vaḥíd</w:t>
      </w:r>
      <w:r w:rsidR="009C713D" w:rsidRPr="00382917">
        <w:t>’</w:t>
      </w:r>
      <w:r w:rsidRPr="00382917">
        <w:t>s</w:t>
      </w:r>
      <w:proofErr w:type="spellEnd"/>
      <w:r w:rsidR="00EE4FC3">
        <w:t xml:space="preserve"> </w:t>
      </w:r>
      <w:r w:rsidRPr="00382917">
        <w:t>departure</w:t>
      </w:r>
      <w:r w:rsidR="00EE4FC3">
        <w:t xml:space="preserve"> </w:t>
      </w:r>
      <w:r w:rsidRPr="00382917">
        <w:t>as</w:t>
      </w:r>
      <w:r w:rsidR="00EE4FC3">
        <w:t xml:space="preserve"> </w:t>
      </w:r>
      <w:r w:rsidRPr="00382917">
        <w:t>follows</w:t>
      </w:r>
      <w:r w:rsidR="00C03C91">
        <w:t>:</w:t>
      </w:r>
      <w:r w:rsidR="00EE4FC3">
        <w:t xml:space="preserve">  </w:t>
      </w:r>
      <w:r w:rsidR="009C713D" w:rsidRPr="00382917">
        <w:t>“</w:t>
      </w:r>
      <w:r w:rsidR="00F04416" w:rsidRPr="00382917">
        <w:t>…</w:t>
      </w:r>
      <w:r w:rsidR="00EE4FC3">
        <w:t xml:space="preserve"> </w:t>
      </w:r>
      <w:r w:rsidRPr="00382917">
        <w:t>he</w:t>
      </w:r>
      <w:r w:rsidR="00EE4FC3">
        <w:t xml:space="preserve"> </w:t>
      </w:r>
      <w:r w:rsidRPr="00382917">
        <w:t>[the</w:t>
      </w:r>
      <w:r w:rsidR="00EE4FC3">
        <w:t xml:space="preserve"> </w:t>
      </w:r>
      <w:r w:rsidRPr="00382917">
        <w:t>Navváb]</w:t>
      </w:r>
      <w:r w:rsidR="00EE4FC3">
        <w:t xml:space="preserve"> </w:t>
      </w:r>
      <w:r w:rsidRPr="00382917">
        <w:t>gave</w:t>
      </w:r>
      <w:r w:rsidR="00EE4FC3">
        <w:t xml:space="preserve"> </w:t>
      </w:r>
      <w:r w:rsidRPr="00382917">
        <w:t>a</w:t>
      </w:r>
      <w:r w:rsidR="00EE4FC3">
        <w:t xml:space="preserve"> </w:t>
      </w:r>
      <w:r w:rsidRPr="00382917">
        <w:t>sigh</w:t>
      </w:r>
      <w:r w:rsidR="00EE4FC3">
        <w:t xml:space="preserve"> </w:t>
      </w:r>
      <w:r w:rsidRPr="00382917">
        <w:t>of</w:t>
      </w:r>
      <w:r w:rsidR="00EE4FC3">
        <w:t xml:space="preserve"> </w:t>
      </w:r>
      <w:r w:rsidRPr="00382917">
        <w:t>relief</w:t>
      </w:r>
      <w:r w:rsidR="0040329F">
        <w:t>.</w:t>
      </w:r>
      <w:r w:rsidR="00EE4FC3">
        <w:t xml:space="preserve">  </w:t>
      </w:r>
      <w:r w:rsidRPr="00382917">
        <w:t>Besides,</w:t>
      </w:r>
      <w:r w:rsidR="00EE4FC3">
        <w:t xml:space="preserve"> </w:t>
      </w:r>
      <w:r w:rsidRPr="00382917">
        <w:t>he</w:t>
      </w:r>
      <w:r w:rsidR="00EE4FC3">
        <w:t xml:space="preserve"> </w:t>
      </w:r>
      <w:r w:rsidRPr="00382917">
        <w:t>felt</w:t>
      </w:r>
      <w:r w:rsidR="00EE4FC3">
        <w:t xml:space="preserve"> </w:t>
      </w:r>
      <w:r w:rsidRPr="00382917">
        <w:t>that</w:t>
      </w:r>
      <w:r w:rsidR="00EE4FC3">
        <w:t xml:space="preserve"> </w:t>
      </w:r>
      <w:r w:rsidRPr="00382917">
        <w:t>to</w:t>
      </w:r>
      <w:r w:rsidR="00EE4FC3">
        <w:t xml:space="preserve"> </w:t>
      </w:r>
      <w:r w:rsidRPr="00382917">
        <w:t>pursue</w:t>
      </w:r>
      <w:r w:rsidR="00EE4FC3">
        <w:t xml:space="preserve"> </w:t>
      </w:r>
      <w:r w:rsidRPr="00382917">
        <w:t>the</w:t>
      </w:r>
      <w:r w:rsidR="00EE4FC3">
        <w:t xml:space="preserve"> </w:t>
      </w:r>
      <w:r w:rsidRPr="00382917">
        <w:t>fugitive</w:t>
      </w:r>
      <w:r w:rsidR="00EE4FC3">
        <w:t xml:space="preserve"> </w:t>
      </w:r>
      <w:r w:rsidRPr="00382917">
        <w:t>would</w:t>
      </w:r>
      <w:r w:rsidR="00EE4FC3">
        <w:t xml:space="preserve"> </w:t>
      </w:r>
      <w:r w:rsidRPr="00382917">
        <w:t>involve</w:t>
      </w:r>
      <w:r w:rsidR="00EE4FC3">
        <w:t xml:space="preserve"> </w:t>
      </w:r>
      <w:r w:rsidRPr="00382917">
        <w:t>some</w:t>
      </w:r>
      <w:r w:rsidR="00EE4FC3">
        <w:t xml:space="preserve"> </w:t>
      </w:r>
      <w:r w:rsidRPr="00382917">
        <w:t>peril</w:t>
      </w:r>
      <w:r w:rsidR="00EE4FC3">
        <w:t xml:space="preserve"> </w:t>
      </w:r>
      <w:r w:rsidRPr="00382917">
        <w:t>and</w:t>
      </w:r>
      <w:r w:rsidR="00EE4FC3">
        <w:t xml:space="preserve"> </w:t>
      </w:r>
      <w:r w:rsidRPr="00382917">
        <w:t>that,</w:t>
      </w:r>
      <w:r w:rsidR="00EE4FC3">
        <w:t xml:space="preserve"> </w:t>
      </w:r>
      <w:r w:rsidRPr="00382917">
        <w:t>therefore,</w:t>
      </w:r>
      <w:r w:rsidR="00EE4FC3">
        <w:t xml:space="preserve"> </w:t>
      </w:r>
      <w:r w:rsidRPr="00382917">
        <w:t>it</w:t>
      </w:r>
      <w:r w:rsidR="00EE4FC3">
        <w:t xml:space="preserve"> </w:t>
      </w:r>
      <w:r w:rsidRPr="00382917">
        <w:t>would</w:t>
      </w:r>
      <w:r w:rsidR="00EE4FC3">
        <w:t xml:space="preserve"> </w:t>
      </w:r>
      <w:r w:rsidRPr="00382917">
        <w:t>be</w:t>
      </w:r>
      <w:r w:rsidR="00EE4FC3">
        <w:t xml:space="preserve"> </w:t>
      </w:r>
      <w:r w:rsidRPr="00382917">
        <w:t>infinitely</w:t>
      </w:r>
      <w:r w:rsidR="00EE4FC3">
        <w:t xml:space="preserve"> </w:t>
      </w:r>
      <w:r w:rsidRPr="00382917">
        <w:t>more</w:t>
      </w:r>
      <w:r w:rsidR="00EE4FC3">
        <w:t xml:space="preserve"> </w:t>
      </w:r>
      <w:r w:rsidRPr="00382917">
        <w:t>practical,</w:t>
      </w:r>
      <w:r w:rsidR="00EE4FC3">
        <w:t xml:space="preserve"> </w:t>
      </w:r>
      <w:r w:rsidRPr="00382917">
        <w:t>more</w:t>
      </w:r>
      <w:r w:rsidR="00EE4FC3">
        <w:t xml:space="preserve"> </w:t>
      </w:r>
      <w:r w:rsidRPr="00382917">
        <w:t>beneficial,</w:t>
      </w:r>
      <w:r w:rsidR="00EE4FC3">
        <w:t xml:space="preserve"> </w:t>
      </w:r>
      <w:r w:rsidRPr="00382917">
        <w:t>more</w:t>
      </w:r>
      <w:r w:rsidR="00EE4FC3">
        <w:t xml:space="preserve"> </w:t>
      </w:r>
      <w:r w:rsidRPr="00382917">
        <w:t>profitable</w:t>
      </w:r>
      <w:r w:rsidR="00EE4FC3">
        <w:t xml:space="preserve"> </w:t>
      </w:r>
      <w:r w:rsidRPr="00382917">
        <w:t>and</w:t>
      </w:r>
      <w:r w:rsidR="00EE4FC3">
        <w:t xml:space="preserve"> </w:t>
      </w:r>
      <w:r w:rsidRPr="00382917">
        <w:t>less</w:t>
      </w:r>
      <w:r w:rsidR="00EE4FC3">
        <w:t xml:space="preserve"> </w:t>
      </w:r>
      <w:r w:rsidRPr="00382917">
        <w:t>dangerous</w:t>
      </w:r>
      <w:r w:rsidR="00EE4FC3">
        <w:t xml:space="preserve"> </w:t>
      </w:r>
      <w:r w:rsidRPr="00382917">
        <w:t>to</w:t>
      </w:r>
      <w:r w:rsidR="00EE4FC3">
        <w:t xml:space="preserve"> </w:t>
      </w:r>
      <w:r w:rsidRPr="00382917">
        <w:t>torture</w:t>
      </w:r>
      <w:r w:rsidR="00EE4FC3">
        <w:t xml:space="preserve"> </w:t>
      </w:r>
      <w:r w:rsidRPr="00382917">
        <w:t>the</w:t>
      </w:r>
      <w:r w:rsidR="00EE4FC3">
        <w:t xml:space="preserve"> </w:t>
      </w:r>
      <w:r w:rsidRPr="00382917">
        <w:t>[followers</w:t>
      </w:r>
      <w:r w:rsidR="00EE4FC3">
        <w:t xml:space="preserve"> </w:t>
      </w:r>
      <w:r w:rsidRPr="00382917">
        <w:t>of</w:t>
      </w:r>
      <w:r w:rsidR="00EE4FC3">
        <w:t xml:space="preserve"> </w:t>
      </w:r>
      <w:r w:rsidRPr="00382917">
        <w:t>the</w:t>
      </w:r>
      <w:r w:rsidR="00EE4FC3">
        <w:t xml:space="preserve"> </w:t>
      </w:r>
      <w:r w:rsidRPr="00382917">
        <w:t>Báb],</w:t>
      </w:r>
      <w:r w:rsidR="00EE4FC3">
        <w:t xml:space="preserve"> </w:t>
      </w:r>
      <w:r w:rsidRPr="00382917">
        <w:t>or</w:t>
      </w:r>
      <w:r w:rsidR="00EE4FC3">
        <w:t xml:space="preserve"> </w:t>
      </w:r>
      <w:r w:rsidRPr="00382917">
        <w:t>those</w:t>
      </w:r>
      <w:r w:rsidR="00EE4FC3">
        <w:t xml:space="preserve"> </w:t>
      </w:r>
      <w:r w:rsidRPr="00382917">
        <w:t>presumed</w:t>
      </w:r>
      <w:r w:rsidR="00EE4FC3">
        <w:t xml:space="preserve"> </w:t>
      </w:r>
      <w:r w:rsidRPr="00382917">
        <w:t>to</w:t>
      </w:r>
      <w:r w:rsidR="00EE4FC3">
        <w:t xml:space="preserve"> </w:t>
      </w:r>
      <w:r w:rsidRPr="00382917">
        <w:t>be—provided</w:t>
      </w:r>
      <w:r w:rsidR="00EE4FC3">
        <w:t xml:space="preserve"> </w:t>
      </w:r>
      <w:r w:rsidRPr="00382917">
        <w:t>that</w:t>
      </w:r>
      <w:r w:rsidR="00EE4FC3">
        <w:t xml:space="preserve"> </w:t>
      </w:r>
      <w:r w:rsidRPr="00382917">
        <w:t>they</w:t>
      </w:r>
      <w:r w:rsidR="00EE4FC3">
        <w:t xml:space="preserve"> </w:t>
      </w:r>
      <w:r w:rsidRPr="00382917">
        <w:t>were</w:t>
      </w:r>
      <w:r w:rsidR="00EE4FC3">
        <w:t xml:space="preserve"> </w:t>
      </w:r>
      <w:r w:rsidRPr="00382917">
        <w:t>wealthy—who</w:t>
      </w:r>
      <w:r w:rsidR="00EE4FC3">
        <w:t xml:space="preserve"> </w:t>
      </w:r>
      <w:r w:rsidRPr="00382917">
        <w:t>had</w:t>
      </w:r>
      <w:r w:rsidR="00EE4FC3">
        <w:t xml:space="preserve"> </w:t>
      </w:r>
      <w:r w:rsidRPr="00382917">
        <w:t>remained</w:t>
      </w:r>
      <w:r w:rsidR="00EE4FC3">
        <w:t xml:space="preserve"> </w:t>
      </w:r>
      <w:r w:rsidRPr="00382917">
        <w:t>in</w:t>
      </w:r>
      <w:r w:rsidR="00EE4FC3">
        <w:t xml:space="preserve"> </w:t>
      </w:r>
      <w:r w:rsidRPr="00382917">
        <w:t>the</w:t>
      </w:r>
      <w:r w:rsidR="00EE4FC3">
        <w:t xml:space="preserve"> </w:t>
      </w:r>
      <w:r w:rsidRPr="00382917">
        <w:t>city</w:t>
      </w:r>
      <w:r w:rsidR="0040329F">
        <w:t>.</w:t>
      </w:r>
      <w:r w:rsidR="00EE4FC3">
        <w:t xml:space="preserve">  </w:t>
      </w:r>
      <w:r w:rsidRPr="00382917">
        <w:t>He</w:t>
      </w:r>
      <w:r w:rsidR="00EE4FC3">
        <w:t xml:space="preserve"> </w:t>
      </w:r>
      <w:r w:rsidRPr="00382917">
        <w:t>sought</w:t>
      </w:r>
      <w:r w:rsidR="00EE4FC3">
        <w:t xml:space="preserve"> </w:t>
      </w:r>
      <w:r w:rsidRPr="00382917">
        <w:t>out</w:t>
      </w:r>
      <w:r w:rsidR="00EE4FC3">
        <w:t xml:space="preserve"> </w:t>
      </w:r>
      <w:r w:rsidRPr="00382917">
        <w:t>the</w:t>
      </w:r>
      <w:r w:rsidR="00EE4FC3">
        <w:t xml:space="preserve"> </w:t>
      </w:r>
      <w:r w:rsidRPr="00382917">
        <w:t>most</w:t>
      </w:r>
      <w:r w:rsidR="00EE4FC3">
        <w:t xml:space="preserve"> </w:t>
      </w:r>
      <w:r w:rsidRPr="00382917">
        <w:t>prosperous,</w:t>
      </w:r>
      <w:r w:rsidR="00EE4FC3">
        <w:t xml:space="preserve"> </w:t>
      </w:r>
      <w:r w:rsidRPr="00382917">
        <w:t>ordered</w:t>
      </w:r>
      <w:r w:rsidR="00EE4FC3">
        <w:t xml:space="preserve"> </w:t>
      </w:r>
      <w:r w:rsidRPr="00382917">
        <w:t>their</w:t>
      </w:r>
      <w:r w:rsidR="00EE4FC3">
        <w:t xml:space="preserve"> </w:t>
      </w:r>
      <w:r w:rsidRPr="00382917">
        <w:t>execution,</w:t>
      </w:r>
      <w:r w:rsidR="00EE4FC3">
        <w:t xml:space="preserve"> </w:t>
      </w:r>
      <w:r w:rsidRPr="00382917">
        <w:t>and</w:t>
      </w:r>
      <w:r w:rsidR="00EE4FC3">
        <w:t xml:space="preserve"> </w:t>
      </w:r>
      <w:r w:rsidRPr="00382917">
        <w:t>confiscated</w:t>
      </w:r>
      <w:r w:rsidR="00EE4FC3">
        <w:t xml:space="preserve"> </w:t>
      </w:r>
      <w:r w:rsidRPr="00382917">
        <w:t>their</w:t>
      </w:r>
      <w:r w:rsidR="00EE4FC3">
        <w:t xml:space="preserve"> </w:t>
      </w:r>
      <w:r w:rsidRPr="00382917">
        <w:t>possessions,</w:t>
      </w:r>
      <w:r w:rsidR="00EE4FC3">
        <w:t xml:space="preserve"> </w:t>
      </w:r>
      <w:r w:rsidRPr="00382917">
        <w:t>avenging</w:t>
      </w:r>
      <w:r w:rsidR="00EE4FC3">
        <w:t xml:space="preserve"> </w:t>
      </w:r>
      <w:r w:rsidRPr="00382917">
        <w:t>thus</w:t>
      </w:r>
      <w:r w:rsidR="00EE4FC3">
        <w:t xml:space="preserve"> </w:t>
      </w:r>
      <w:r w:rsidRPr="00382917">
        <w:t>his</w:t>
      </w:r>
      <w:r w:rsidR="00EE4FC3">
        <w:t xml:space="preserve"> </w:t>
      </w:r>
      <w:r w:rsidRPr="00382917">
        <w:t>outraged</w:t>
      </w:r>
      <w:r w:rsidR="00EE4FC3">
        <w:t xml:space="preserve"> </w:t>
      </w:r>
      <w:r w:rsidRPr="00382917">
        <w:t>religion,</w:t>
      </w:r>
      <w:r w:rsidR="00EE4FC3">
        <w:t xml:space="preserve"> </w:t>
      </w:r>
      <w:r w:rsidRPr="00382917">
        <w:t>a</w:t>
      </w:r>
      <w:r w:rsidR="00EE4FC3">
        <w:t xml:space="preserve"> </w:t>
      </w:r>
      <w:r w:rsidRPr="00382917">
        <w:t>matter</w:t>
      </w:r>
      <w:r w:rsidR="00EE4FC3">
        <w:t xml:space="preserve"> </w:t>
      </w:r>
      <w:r w:rsidRPr="00382917">
        <w:t>of</w:t>
      </w:r>
      <w:r w:rsidR="00EE4FC3">
        <w:t xml:space="preserve"> </w:t>
      </w:r>
      <w:r w:rsidRPr="00382917">
        <w:t>perhaps</w:t>
      </w:r>
      <w:r w:rsidR="00EE4FC3">
        <w:t xml:space="preserve"> </w:t>
      </w:r>
      <w:r w:rsidRPr="00382917">
        <w:t>little</w:t>
      </w:r>
      <w:r w:rsidR="00EE4FC3">
        <w:t xml:space="preserve"> </w:t>
      </w:r>
      <w:r w:rsidRPr="00382917">
        <w:t>concern</w:t>
      </w:r>
      <w:r w:rsidR="00EE4FC3">
        <w:t xml:space="preserve"> </w:t>
      </w:r>
      <w:r w:rsidRPr="00382917">
        <w:t>to</w:t>
      </w:r>
      <w:r w:rsidR="00EE4FC3">
        <w:t xml:space="preserve"> </w:t>
      </w:r>
      <w:r w:rsidRPr="00382917">
        <w:t>him,</w:t>
      </w:r>
      <w:r w:rsidR="00EE4FC3">
        <w:t xml:space="preserve"> </w:t>
      </w:r>
      <w:r w:rsidRPr="00382917">
        <w:t>and</w:t>
      </w:r>
      <w:r w:rsidR="00EE4FC3">
        <w:t xml:space="preserve"> </w:t>
      </w:r>
      <w:r w:rsidRPr="00382917">
        <w:t>filling</w:t>
      </w:r>
      <w:r w:rsidR="00EE4FC3">
        <w:t xml:space="preserve"> </w:t>
      </w:r>
      <w:r w:rsidRPr="00382917">
        <w:t>his</w:t>
      </w:r>
      <w:r w:rsidR="00EE4FC3">
        <w:t xml:space="preserve"> </w:t>
      </w:r>
      <w:r w:rsidRPr="00382917">
        <w:t>coffers,</w:t>
      </w:r>
      <w:r w:rsidR="00EE4FC3">
        <w:t xml:space="preserve"> </w:t>
      </w:r>
      <w:r w:rsidRPr="00382917">
        <w:t>which</w:t>
      </w:r>
      <w:r w:rsidR="00EE4FC3">
        <w:t xml:space="preserve"> </w:t>
      </w:r>
      <w:r w:rsidRPr="00382917">
        <w:t>pleased</w:t>
      </w:r>
      <w:r w:rsidR="00EE4FC3">
        <w:t xml:space="preserve"> </w:t>
      </w:r>
      <w:r w:rsidRPr="00382917">
        <w:t>him</w:t>
      </w:r>
      <w:r w:rsidR="00EE4FC3">
        <w:t xml:space="preserve"> </w:t>
      </w:r>
      <w:r w:rsidRPr="00382917">
        <w:t>immensely.</w:t>
      </w:r>
      <w:r w:rsidR="009C713D" w:rsidRPr="00382917">
        <w:t>”</w:t>
      </w:r>
      <w:r w:rsidR="005E05DA">
        <w:rPr>
          <w:rStyle w:val="FootnoteReference"/>
        </w:rPr>
        <w:footnoteReference w:id="169"/>
      </w:r>
    </w:p>
    <w:p w:rsidR="00B2037B" w:rsidRPr="00382917" w:rsidRDefault="00B2037B" w:rsidP="00B2037B">
      <w:pPr>
        <w:pStyle w:val="Text"/>
      </w:pPr>
      <w:r w:rsidRPr="00382917">
        <w:t>Having</w:t>
      </w:r>
      <w:r w:rsidR="00EE4FC3">
        <w:t xml:space="preserve"> </w:t>
      </w:r>
      <w:r w:rsidRPr="00382917">
        <w:t>failed</w:t>
      </w:r>
      <w:r w:rsidR="00EE4FC3">
        <w:t xml:space="preserve"> </w:t>
      </w:r>
      <w:r w:rsidRPr="00382917">
        <w:t>in</w:t>
      </w:r>
      <w:r w:rsidR="00EE4FC3">
        <w:t xml:space="preserve"> </w:t>
      </w:r>
      <w:r w:rsidRPr="00382917">
        <w:t>their</w:t>
      </w:r>
      <w:r w:rsidR="00EE4FC3">
        <w:t xml:space="preserve"> </w:t>
      </w:r>
      <w:r w:rsidRPr="00382917">
        <w:t>plans</w:t>
      </w:r>
      <w:r w:rsidR="00EE4FC3">
        <w:t xml:space="preserve"> </w:t>
      </w:r>
      <w:r w:rsidRPr="00382917">
        <w:t>to</w:t>
      </w:r>
      <w:r w:rsidR="00EE4FC3">
        <w:t xml:space="preserve"> </w:t>
      </w:r>
      <w:r w:rsidRPr="00382917">
        <w:t>capture</w:t>
      </w:r>
      <w:r w:rsidR="00EE4FC3">
        <w:t xml:space="preserve"> </w:t>
      </w:r>
      <w:r w:rsidRPr="00382917">
        <w:t>and</w:t>
      </w:r>
      <w:r w:rsidR="00EE4FC3">
        <w:t xml:space="preserve"> </w:t>
      </w:r>
      <w:r w:rsidRPr="00382917">
        <w:t>slay</w:t>
      </w:r>
      <w:r w:rsidR="00EE4FC3">
        <w:t xml:space="preserve"> </w:t>
      </w:r>
      <w:r w:rsidRPr="00382917">
        <w:t>Vaḥíd,</w:t>
      </w:r>
      <w:r w:rsidR="00EE4FC3">
        <w:t xml:space="preserve"> </w:t>
      </w:r>
      <w:r w:rsidRPr="00382917">
        <w:t>the</w:t>
      </w:r>
      <w:r w:rsidR="00EE4FC3">
        <w:t xml:space="preserve"> </w:t>
      </w:r>
      <w:r w:rsidRPr="00382917">
        <w:t>authorities</w:t>
      </w:r>
      <w:r w:rsidR="00EE4FC3">
        <w:t xml:space="preserve"> </w:t>
      </w:r>
      <w:r w:rsidRPr="00382917">
        <w:t>had</w:t>
      </w:r>
      <w:r w:rsidR="00EE4FC3">
        <w:t xml:space="preserve"> </w:t>
      </w:r>
      <w:r w:rsidRPr="00382917">
        <w:t>to</w:t>
      </w:r>
      <w:r w:rsidR="00EE4FC3">
        <w:t xml:space="preserve"> </w:t>
      </w:r>
      <w:r w:rsidRPr="00382917">
        <w:t>content</w:t>
      </w:r>
      <w:r w:rsidR="00EE4FC3">
        <w:t xml:space="preserve"> </w:t>
      </w:r>
      <w:r w:rsidRPr="00382917">
        <w:t>themselves</w:t>
      </w:r>
      <w:r w:rsidR="00EE4FC3">
        <w:t xml:space="preserve"> </w:t>
      </w:r>
      <w:r w:rsidRPr="00382917">
        <w:t>with</w:t>
      </w:r>
      <w:r w:rsidR="00EE4FC3">
        <w:t xml:space="preserve"> </w:t>
      </w:r>
      <w:r w:rsidRPr="00382917">
        <w:t>the</w:t>
      </w:r>
      <w:r w:rsidR="00EE4FC3">
        <w:t xml:space="preserve"> </w:t>
      </w:r>
      <w:r w:rsidRPr="00382917">
        <w:t>torture</w:t>
      </w:r>
      <w:r w:rsidR="00EE4FC3">
        <w:t xml:space="preserve"> </w:t>
      </w:r>
      <w:r w:rsidRPr="00382917">
        <w:t>of</w:t>
      </w:r>
      <w:r w:rsidR="00EE4FC3">
        <w:t xml:space="preserve"> </w:t>
      </w:r>
      <w:r w:rsidRPr="00382917">
        <w:t>his</w:t>
      </w:r>
      <w:r w:rsidR="00EE4FC3">
        <w:t xml:space="preserve"> </w:t>
      </w:r>
      <w:r w:rsidRPr="00382917">
        <w:t>servant,</w:t>
      </w:r>
      <w:r w:rsidR="00EE4FC3">
        <w:t xml:space="preserve"> </w:t>
      </w:r>
      <w:r w:rsidRPr="00382917">
        <w:t>Ḥasan</w:t>
      </w:r>
      <w:r w:rsidR="0040329F">
        <w:t>.</w:t>
      </w:r>
      <w:r w:rsidR="00EE4FC3">
        <w:t xml:space="preserve">  </w:t>
      </w:r>
      <w:r w:rsidRPr="00382917">
        <w:t>They</w:t>
      </w:r>
      <w:r w:rsidR="00EE4FC3">
        <w:t xml:space="preserve"> </w:t>
      </w:r>
      <w:r w:rsidRPr="00382917">
        <w:t>led</w:t>
      </w:r>
      <w:r w:rsidR="00EE4FC3">
        <w:t xml:space="preserve"> </w:t>
      </w:r>
      <w:r w:rsidRPr="00382917">
        <w:t>him</w:t>
      </w:r>
      <w:r w:rsidR="00EE4FC3">
        <w:t xml:space="preserve"> </w:t>
      </w:r>
      <w:r w:rsidRPr="00382917">
        <w:t>out</w:t>
      </w:r>
      <w:r w:rsidR="00EE4FC3">
        <w:t xml:space="preserve"> </w:t>
      </w:r>
      <w:proofErr w:type="gramStart"/>
      <w:r w:rsidRPr="00382917">
        <w:t>to</w:t>
      </w:r>
      <w:r w:rsidR="00EE4FC3">
        <w:t xml:space="preserve"> </w:t>
      </w:r>
      <w:r w:rsidRPr="00382917">
        <w:t>a</w:t>
      </w:r>
      <w:proofErr w:type="gramEnd"/>
      <w:r w:rsidR="00EE4FC3">
        <w:t xml:space="preserve"> </w:t>
      </w:r>
      <w:r w:rsidRPr="00382917">
        <w:t>loaded</w:t>
      </w:r>
      <w:r w:rsidR="00EE4FC3">
        <w:t xml:space="preserve"> </w:t>
      </w:r>
      <w:r w:rsidRPr="00382917">
        <w:t>cannon</w:t>
      </w:r>
      <w:r w:rsidR="0040329F">
        <w:t>.</w:t>
      </w:r>
      <w:r w:rsidR="00EE4FC3">
        <w:t xml:space="preserve">  </w:t>
      </w:r>
      <w:r w:rsidRPr="00382917">
        <w:t>They</w:t>
      </w:r>
      <w:r w:rsidR="00EE4FC3">
        <w:t xml:space="preserve"> </w:t>
      </w:r>
      <w:r w:rsidRPr="00382917">
        <w:t>thought</w:t>
      </w:r>
      <w:r w:rsidR="00EE4FC3">
        <w:t xml:space="preserve"> </w:t>
      </w:r>
      <w:r w:rsidRPr="00382917">
        <w:t>they</w:t>
      </w:r>
      <w:r w:rsidR="00EE4FC3">
        <w:t xml:space="preserve"> </w:t>
      </w:r>
      <w:r w:rsidRPr="00382917">
        <w:t>might</w:t>
      </w:r>
      <w:r w:rsidR="00EE4FC3">
        <w:t xml:space="preserve"> </w:t>
      </w:r>
      <w:r w:rsidRPr="00382917">
        <w:t>frighten</w:t>
      </w:r>
      <w:r w:rsidR="00EE4FC3">
        <w:t xml:space="preserve"> </w:t>
      </w:r>
      <w:r w:rsidRPr="00382917">
        <w:t>Ḥasan</w:t>
      </w:r>
      <w:r w:rsidR="00EE4FC3">
        <w:t xml:space="preserve"> </w:t>
      </w:r>
      <w:r w:rsidRPr="00382917">
        <w:t>into</w:t>
      </w:r>
      <w:r w:rsidR="00EE4FC3">
        <w:t xml:space="preserve"> </w:t>
      </w:r>
      <w:r w:rsidRPr="00382917">
        <w:t>pleading</w:t>
      </w:r>
      <w:r w:rsidR="00EE4FC3">
        <w:t xml:space="preserve"> </w:t>
      </w:r>
      <w:r w:rsidRPr="00382917">
        <w:t>for</w:t>
      </w:r>
      <w:r w:rsidR="00EE4FC3">
        <w:t xml:space="preserve"> </w:t>
      </w:r>
      <w:r w:rsidRPr="00382917">
        <w:t>mercy</w:t>
      </w:r>
      <w:r w:rsidR="00EE4FC3">
        <w:t xml:space="preserve"> </w:t>
      </w:r>
      <w:r w:rsidRPr="00382917">
        <w:t>and</w:t>
      </w:r>
      <w:r w:rsidR="00EE4FC3">
        <w:t xml:space="preserve"> </w:t>
      </w:r>
      <w:r w:rsidRPr="00382917">
        <w:t>thus</w:t>
      </w:r>
      <w:r w:rsidR="00EE4FC3">
        <w:t xml:space="preserve"> </w:t>
      </w:r>
      <w:r w:rsidRPr="00382917">
        <w:t>force</w:t>
      </w:r>
      <w:r w:rsidR="00EE4FC3">
        <w:t xml:space="preserve"> </w:t>
      </w:r>
      <w:r w:rsidRPr="00382917">
        <w:t>him</w:t>
      </w:r>
      <w:r w:rsidR="00EE4FC3">
        <w:t xml:space="preserve"> </w:t>
      </w:r>
      <w:r w:rsidRPr="00382917">
        <w:t>to</w:t>
      </w:r>
      <w:r w:rsidR="00EE4FC3">
        <w:t xml:space="preserve"> </w:t>
      </w:r>
      <w:r w:rsidRPr="00382917">
        <w:t>renounce</w:t>
      </w:r>
      <w:r w:rsidR="00EE4FC3">
        <w:t xml:space="preserve"> </w:t>
      </w:r>
      <w:r w:rsidRPr="00382917">
        <w:t>his</w:t>
      </w:r>
      <w:r w:rsidR="00EE4FC3">
        <w:t xml:space="preserve"> </w:t>
      </w:r>
      <w:r w:rsidRPr="00382917">
        <w:t>Faith</w:t>
      </w:r>
      <w:r w:rsidR="0040329F">
        <w:t>.</w:t>
      </w:r>
      <w:r w:rsidR="00EE4FC3">
        <w:t xml:space="preserve">  </w:t>
      </w:r>
      <w:r w:rsidRPr="00382917">
        <w:t>After</w:t>
      </w:r>
      <w:r w:rsidR="00EE4FC3">
        <w:t xml:space="preserve"> </w:t>
      </w:r>
      <w:r w:rsidRPr="00382917">
        <w:t>all,</w:t>
      </w:r>
      <w:r w:rsidR="00EE4FC3">
        <w:t xml:space="preserve"> </w:t>
      </w:r>
      <w:r w:rsidRPr="00382917">
        <w:t>he</w:t>
      </w:r>
      <w:r w:rsidR="00EE4FC3">
        <w:t xml:space="preserve"> </w:t>
      </w:r>
      <w:r w:rsidRPr="00382917">
        <w:t>was</w:t>
      </w:r>
      <w:r w:rsidR="00EE4FC3">
        <w:t xml:space="preserve"> </w:t>
      </w:r>
      <w:r w:rsidRPr="00382917">
        <w:t>only</w:t>
      </w:r>
      <w:r w:rsidR="00EE4FC3">
        <w:t xml:space="preserve"> </w:t>
      </w:r>
      <w:r w:rsidRPr="00382917">
        <w:t>a</w:t>
      </w:r>
      <w:r w:rsidR="00EE4FC3">
        <w:t xml:space="preserve"> </w:t>
      </w:r>
      <w:r w:rsidRPr="00382917">
        <w:t>servant</w:t>
      </w:r>
      <w:r w:rsidR="0040329F">
        <w:t>.</w:t>
      </w:r>
      <w:r w:rsidR="00EE4FC3">
        <w:t xml:space="preserve">  </w:t>
      </w:r>
      <w:r w:rsidRPr="00382917">
        <w:t>Vaḥíd</w:t>
      </w:r>
      <w:r w:rsidR="00EE4FC3">
        <w:t xml:space="preserve"> </w:t>
      </w:r>
      <w:r w:rsidRPr="00382917">
        <w:t>was</w:t>
      </w:r>
      <w:r w:rsidR="00EE4FC3">
        <w:t xml:space="preserve"> </w:t>
      </w:r>
      <w:r w:rsidRPr="00382917">
        <w:t>a</w:t>
      </w:r>
      <w:r w:rsidR="00EE4FC3">
        <w:t xml:space="preserve"> </w:t>
      </w:r>
      <w:r w:rsidRPr="00382917">
        <w:t>man</w:t>
      </w:r>
      <w:r w:rsidR="00EE4FC3">
        <w:t xml:space="preserve"> </w:t>
      </w:r>
      <w:r w:rsidRPr="00382917">
        <w:t>of</w:t>
      </w:r>
      <w:r w:rsidR="00EE4FC3">
        <w:t xml:space="preserve"> </w:t>
      </w:r>
      <w:r w:rsidRPr="00382917">
        <w:t>great</w:t>
      </w:r>
      <w:r w:rsidR="00EE4FC3">
        <w:t xml:space="preserve"> </w:t>
      </w:r>
      <w:r w:rsidRPr="00382917">
        <w:t>nobility</w:t>
      </w:r>
      <w:r w:rsidR="00EE4FC3">
        <w:t xml:space="preserve"> </w:t>
      </w:r>
      <w:r w:rsidRPr="00382917">
        <w:t>and</w:t>
      </w:r>
      <w:r w:rsidR="00EE4FC3">
        <w:t xml:space="preserve"> </w:t>
      </w:r>
      <w:r w:rsidRPr="00382917">
        <w:t>wisdom,</w:t>
      </w:r>
      <w:r w:rsidR="00EE4FC3">
        <w:t xml:space="preserve"> </w:t>
      </w:r>
      <w:r w:rsidRPr="00382917">
        <w:t>and</w:t>
      </w:r>
      <w:r w:rsidR="00EE4FC3">
        <w:t xml:space="preserve"> </w:t>
      </w:r>
      <w:r w:rsidRPr="00382917">
        <w:t>he</w:t>
      </w:r>
      <w:r w:rsidR="00EE4FC3">
        <w:t xml:space="preserve"> </w:t>
      </w:r>
      <w:r w:rsidRPr="00382917">
        <w:t>might</w:t>
      </w:r>
      <w:r w:rsidR="00EE4FC3">
        <w:t xml:space="preserve"> </w:t>
      </w:r>
      <w:r w:rsidRPr="00382917">
        <w:t>be</w:t>
      </w:r>
      <w:r w:rsidR="00EE4FC3">
        <w:t xml:space="preserve"> </w:t>
      </w:r>
      <w:r w:rsidRPr="00382917">
        <w:t>expected</w:t>
      </w:r>
      <w:r w:rsidR="00EE4FC3">
        <w:t xml:space="preserve"> </w:t>
      </w:r>
      <w:r w:rsidRPr="00382917">
        <w:t>to</w:t>
      </w:r>
      <w:r w:rsidR="00EE4FC3">
        <w:t xml:space="preserve"> </w:t>
      </w:r>
      <w:r w:rsidRPr="00382917">
        <w:t>know</w:t>
      </w:r>
      <w:r w:rsidR="00EE4FC3">
        <w:t xml:space="preserve"> </w:t>
      </w:r>
      <w:r w:rsidRPr="00382917">
        <w:t>what</w:t>
      </w:r>
      <w:r w:rsidR="00EE4FC3">
        <w:t xml:space="preserve"> </w:t>
      </w:r>
      <w:r w:rsidRPr="00382917">
        <w:t>he</w:t>
      </w:r>
      <w:r w:rsidR="00EE4FC3">
        <w:t xml:space="preserve"> </w:t>
      </w:r>
      <w:r w:rsidRPr="00382917">
        <w:t>was</w:t>
      </w:r>
      <w:r w:rsidR="00EE4FC3">
        <w:t xml:space="preserve"> </w:t>
      </w:r>
      <w:r w:rsidRPr="00382917">
        <w:t>doing;</w:t>
      </w:r>
      <w:r w:rsidR="00EE4FC3">
        <w:t xml:space="preserve"> </w:t>
      </w:r>
      <w:r w:rsidRPr="00382917">
        <w:t>but</w:t>
      </w:r>
      <w:r w:rsidR="00EE4FC3">
        <w:t xml:space="preserve"> </w:t>
      </w:r>
      <w:r w:rsidRPr="00382917">
        <w:t>this</w:t>
      </w:r>
      <w:r w:rsidR="00EE4FC3">
        <w:t xml:space="preserve"> </w:t>
      </w:r>
      <w:r w:rsidRPr="00382917">
        <w:t>ignorant</w:t>
      </w:r>
      <w:r w:rsidR="00EE4FC3">
        <w:t xml:space="preserve"> </w:t>
      </w:r>
      <w:r w:rsidRPr="00382917">
        <w:t>servant</w:t>
      </w:r>
      <w:r w:rsidR="00EE4FC3">
        <w:t xml:space="preserve"> </w:t>
      </w:r>
      <w:r w:rsidRPr="00382917">
        <w:t>would</w:t>
      </w:r>
      <w:r w:rsidR="00EE4FC3">
        <w:t xml:space="preserve"> </w:t>
      </w:r>
      <w:r w:rsidRPr="00382917">
        <w:t>certainly</w:t>
      </w:r>
      <w:r w:rsidR="00EE4FC3">
        <w:t xml:space="preserve"> </w:t>
      </w:r>
      <w:r w:rsidRPr="00382917">
        <w:t>save</w:t>
      </w:r>
      <w:r w:rsidR="00EE4FC3">
        <w:t xml:space="preserve"> </w:t>
      </w:r>
      <w:r w:rsidRPr="00382917">
        <w:t>his</w:t>
      </w:r>
      <w:r w:rsidR="00EE4FC3">
        <w:t xml:space="preserve"> </w:t>
      </w:r>
      <w:r w:rsidRPr="00382917">
        <w:t>own</w:t>
      </w:r>
      <w:r w:rsidR="00EE4FC3">
        <w:t xml:space="preserve"> </w:t>
      </w:r>
      <w:r w:rsidRPr="00382917">
        <w:t>life</w:t>
      </w:r>
      <w:r w:rsidR="00EE4FC3">
        <w:t xml:space="preserve"> </w:t>
      </w:r>
      <w:r w:rsidRPr="00382917">
        <w:t>now</w:t>
      </w:r>
      <w:r w:rsidR="00EE4FC3">
        <w:t xml:space="preserve"> </w:t>
      </w:r>
      <w:r w:rsidRPr="00382917">
        <w:t>that</w:t>
      </w:r>
      <w:r w:rsidR="00EE4FC3">
        <w:t xml:space="preserve"> </w:t>
      </w:r>
      <w:r w:rsidRPr="00382917">
        <w:t>his</w:t>
      </w:r>
      <w:r w:rsidR="00EE4FC3">
        <w:t xml:space="preserve"> </w:t>
      </w:r>
      <w:r w:rsidRPr="00382917">
        <w:t>master</w:t>
      </w:r>
      <w:r w:rsidR="00EE4FC3">
        <w:t xml:space="preserve"> </w:t>
      </w:r>
      <w:r w:rsidRPr="00382917">
        <w:t>was</w:t>
      </w:r>
      <w:r w:rsidR="00EE4FC3">
        <w:t xml:space="preserve"> </w:t>
      </w:r>
      <w:r w:rsidRPr="00382917">
        <w:t>gone</w:t>
      </w:r>
      <w:r w:rsidR="0040329F">
        <w:t>.</w:t>
      </w:r>
      <w:r w:rsidR="00EE4FC3">
        <w:t xml:space="preserve">  </w:t>
      </w:r>
      <w:r w:rsidRPr="00382917">
        <w:t>If</w:t>
      </w:r>
      <w:r w:rsidR="00EE4FC3">
        <w:t xml:space="preserve"> </w:t>
      </w:r>
      <w:r w:rsidRPr="00382917">
        <w:t>they</w:t>
      </w:r>
      <w:r w:rsidR="00EE4FC3">
        <w:t xml:space="preserve"> </w:t>
      </w:r>
      <w:r w:rsidRPr="00382917">
        <w:t>could</w:t>
      </w:r>
      <w:r w:rsidR="00EE4FC3">
        <w:t xml:space="preserve"> </w:t>
      </w:r>
      <w:r w:rsidRPr="00382917">
        <w:t>make</w:t>
      </w:r>
      <w:r w:rsidR="00EE4FC3">
        <w:t xml:space="preserve"> </w:t>
      </w:r>
      <w:r w:rsidRPr="00382917">
        <w:t>him</w:t>
      </w:r>
      <w:r w:rsidR="00EE4FC3">
        <w:t xml:space="preserve"> </w:t>
      </w:r>
      <w:r w:rsidRPr="00382917">
        <w:t>cry</w:t>
      </w:r>
      <w:r w:rsidR="00EE4FC3">
        <w:t xml:space="preserve"> </w:t>
      </w:r>
      <w:r w:rsidRPr="00382917">
        <w:t>for</w:t>
      </w:r>
      <w:r w:rsidR="00EE4FC3">
        <w:t xml:space="preserve"> </w:t>
      </w:r>
      <w:r w:rsidRPr="00382917">
        <w:t>mercy,</w:t>
      </w:r>
      <w:r w:rsidR="00EE4FC3">
        <w:t xml:space="preserve"> </w:t>
      </w:r>
      <w:r w:rsidRPr="00382917">
        <w:t>they</w:t>
      </w:r>
      <w:r w:rsidR="00EE4FC3">
        <w:t xml:space="preserve"> </w:t>
      </w:r>
      <w:r w:rsidRPr="00382917">
        <w:t>could</w:t>
      </w:r>
      <w:r w:rsidR="00EE4FC3">
        <w:t xml:space="preserve"> </w:t>
      </w:r>
      <w:r w:rsidRPr="00382917">
        <w:t>publicize</w:t>
      </w:r>
      <w:r w:rsidR="00EE4FC3">
        <w:t xml:space="preserve"> </w:t>
      </w:r>
      <w:r w:rsidRPr="00382917">
        <w:t>his</w:t>
      </w:r>
      <w:r w:rsidR="00EE4FC3">
        <w:t xml:space="preserve"> </w:t>
      </w:r>
      <w:r w:rsidRPr="00382917">
        <w:t>recantation</w:t>
      </w:r>
      <w:r w:rsidR="0040329F">
        <w:t>.</w:t>
      </w:r>
      <w:r w:rsidR="00EE4FC3">
        <w:t xml:space="preserve">  </w:t>
      </w:r>
      <w:r w:rsidRPr="00382917">
        <w:t>This</w:t>
      </w:r>
      <w:r w:rsidR="00EE4FC3">
        <w:t xml:space="preserve"> </w:t>
      </w:r>
      <w:r w:rsidRPr="00382917">
        <w:t>would</w:t>
      </w:r>
      <w:r w:rsidR="00EE4FC3">
        <w:t xml:space="preserve"> </w:t>
      </w:r>
      <w:r w:rsidRPr="00382917">
        <w:t>at</w:t>
      </w:r>
      <w:r w:rsidR="00EE4FC3">
        <w:t xml:space="preserve"> </w:t>
      </w:r>
      <w:r w:rsidRPr="00382917">
        <w:t>least</w:t>
      </w:r>
      <w:r w:rsidR="00EE4FC3">
        <w:t xml:space="preserve"> </w:t>
      </w:r>
      <w:r w:rsidRPr="00382917">
        <w:t>be</w:t>
      </w:r>
      <w:r w:rsidR="00EE4FC3">
        <w:t xml:space="preserve"> </w:t>
      </w:r>
      <w:r w:rsidRPr="00382917">
        <w:t>a</w:t>
      </w:r>
      <w:r w:rsidR="00EE4FC3">
        <w:t xml:space="preserve"> </w:t>
      </w:r>
      <w:r w:rsidRPr="00382917">
        <w:t>small</w:t>
      </w:r>
      <w:r w:rsidR="00EE4FC3">
        <w:t xml:space="preserve"> </w:t>
      </w:r>
      <w:r w:rsidRPr="00382917">
        <w:t>way</w:t>
      </w:r>
      <w:r w:rsidR="00EE4FC3">
        <w:t xml:space="preserve"> </w:t>
      </w:r>
      <w:r w:rsidRPr="00382917">
        <w:t>of</w:t>
      </w:r>
      <w:r w:rsidR="00EE4FC3">
        <w:t xml:space="preserve"> </w:t>
      </w:r>
      <w:r w:rsidRPr="00382917">
        <w:t>humiliating</w:t>
      </w:r>
      <w:r w:rsidR="00EE4FC3">
        <w:t xml:space="preserve"> </w:t>
      </w:r>
      <w:r w:rsidRPr="00382917">
        <w:t>Vaḥíd</w:t>
      </w:r>
      <w:r w:rsidR="0040329F">
        <w:t>.</w:t>
      </w:r>
      <w:r w:rsidR="00EE4FC3">
        <w:t xml:space="preserve">  </w:t>
      </w:r>
      <w:r w:rsidRPr="00382917">
        <w:t>The</w:t>
      </w:r>
      <w:r w:rsidR="00EE4FC3">
        <w:t xml:space="preserve"> </w:t>
      </w:r>
      <w:r w:rsidRPr="00382917">
        <w:t>officer</w:t>
      </w:r>
      <w:r w:rsidR="00EE4FC3">
        <w:t xml:space="preserve"> </w:t>
      </w:r>
      <w:r w:rsidRPr="00382917">
        <w:t>gave</w:t>
      </w:r>
      <w:r w:rsidR="00EE4FC3">
        <w:t xml:space="preserve"> </w:t>
      </w:r>
      <w:r w:rsidRPr="00382917">
        <w:t>the</w:t>
      </w:r>
      <w:r w:rsidR="00EE4FC3">
        <w:t xml:space="preserve"> </w:t>
      </w:r>
      <w:r w:rsidRPr="00382917">
        <w:t>instruction</w:t>
      </w:r>
      <w:r w:rsidR="00EE4FC3">
        <w:t xml:space="preserve"> </w:t>
      </w:r>
      <w:r w:rsidRPr="00382917">
        <w:t>which</w:t>
      </w:r>
      <w:r w:rsidR="00EE4FC3">
        <w:t xml:space="preserve"> </w:t>
      </w:r>
      <w:r w:rsidRPr="00382917">
        <w:t>was</w:t>
      </w:r>
      <w:r w:rsidR="00EE4FC3">
        <w:t xml:space="preserve"> </w:t>
      </w:r>
      <w:r w:rsidRPr="00382917">
        <w:t>calculated</w:t>
      </w:r>
      <w:r w:rsidR="00EE4FC3">
        <w:t xml:space="preserve"> </w:t>
      </w:r>
      <w:r w:rsidRPr="00382917">
        <w:t>to</w:t>
      </w:r>
      <w:r w:rsidR="00EE4FC3">
        <w:t xml:space="preserve"> </w:t>
      </w:r>
      <w:r w:rsidRPr="00382917">
        <w:t>bring</w:t>
      </w:r>
      <w:r w:rsidR="00EE4FC3">
        <w:t xml:space="preserve"> </w:t>
      </w:r>
      <w:r w:rsidRPr="00382917">
        <w:t>Ḥasan</w:t>
      </w:r>
      <w:r w:rsidR="00EE4FC3">
        <w:t xml:space="preserve"> </w:t>
      </w:r>
      <w:r w:rsidRPr="00382917">
        <w:t>to</w:t>
      </w:r>
      <w:r w:rsidR="00EE4FC3">
        <w:t xml:space="preserve"> </w:t>
      </w:r>
      <w:r w:rsidRPr="00382917">
        <w:t>his</w:t>
      </w:r>
      <w:r w:rsidR="00EE4FC3">
        <w:t xml:space="preserve"> </w:t>
      </w:r>
      <w:r w:rsidRPr="00382917">
        <w:t>knees.</w:t>
      </w:r>
    </w:p>
    <w:p w:rsidR="00B2037B" w:rsidRPr="00382917" w:rsidRDefault="009C713D" w:rsidP="00B2037B">
      <w:pPr>
        <w:pStyle w:val="Text"/>
      </w:pPr>
      <w:r w:rsidRPr="00382917">
        <w:t>“</w:t>
      </w:r>
      <w:r w:rsidR="00B2037B" w:rsidRPr="00382917">
        <w:t>Bind</w:t>
      </w:r>
      <w:r w:rsidR="00EE4FC3">
        <w:t xml:space="preserve"> </w:t>
      </w:r>
      <w:r w:rsidR="00B2037B" w:rsidRPr="00382917">
        <w:t>him</w:t>
      </w:r>
      <w:r w:rsidR="00EE4FC3">
        <w:t xml:space="preserve"> </w:t>
      </w:r>
      <w:r w:rsidR="00B2037B" w:rsidRPr="00382917">
        <w:t>with</w:t>
      </w:r>
      <w:r w:rsidR="00EE4FC3">
        <w:t xml:space="preserve"> </w:t>
      </w:r>
      <w:r w:rsidR="00B2037B" w:rsidRPr="00382917">
        <w:t>his</w:t>
      </w:r>
      <w:r w:rsidR="00EE4FC3">
        <w:t xml:space="preserve"> </w:t>
      </w:r>
      <w:r w:rsidR="00B2037B" w:rsidRPr="00382917">
        <w:t>back</w:t>
      </w:r>
      <w:r w:rsidR="00EE4FC3">
        <w:t xml:space="preserve"> </w:t>
      </w:r>
      <w:r w:rsidR="00B2037B" w:rsidRPr="00382917">
        <w:t>to</w:t>
      </w:r>
      <w:r w:rsidR="00EE4FC3">
        <w:t xml:space="preserve"> </w:t>
      </w:r>
      <w:r w:rsidR="00B2037B" w:rsidRPr="00382917">
        <w:t>the</w:t>
      </w:r>
      <w:r w:rsidR="00EE4FC3">
        <w:t xml:space="preserve"> </w:t>
      </w:r>
      <w:r w:rsidR="00B2037B" w:rsidRPr="00382917">
        <w:t>mouth</w:t>
      </w:r>
      <w:r w:rsidR="00EE4FC3">
        <w:t xml:space="preserve"> </w:t>
      </w:r>
      <w:r w:rsidR="00B2037B" w:rsidRPr="00382917">
        <w:t>of</w:t>
      </w:r>
      <w:r w:rsidR="00EE4FC3">
        <w:t xml:space="preserve"> </w:t>
      </w:r>
      <w:r w:rsidR="00B2037B" w:rsidRPr="00382917">
        <w:t>the</w:t>
      </w:r>
      <w:r w:rsidR="00EE4FC3">
        <w:t xml:space="preserve"> </w:t>
      </w:r>
      <w:r w:rsidR="00B2037B" w:rsidRPr="00382917">
        <w:t>cannon,</w:t>
      </w:r>
      <w:r w:rsidRPr="00382917">
        <w:t>”</w:t>
      </w:r>
      <w:r w:rsidR="00EE4FC3">
        <w:t xml:space="preserve"> </w:t>
      </w:r>
      <w:r w:rsidR="00B2037B" w:rsidRPr="00382917">
        <w:t>he</w:t>
      </w:r>
      <w:r w:rsidR="00EE4FC3">
        <w:t xml:space="preserve"> </w:t>
      </w:r>
      <w:r w:rsidR="00B2037B" w:rsidRPr="00382917">
        <w:t>commanded.</w:t>
      </w:r>
    </w:p>
    <w:p w:rsidR="00B2037B" w:rsidRPr="00382917" w:rsidRDefault="009C713D" w:rsidP="00B2037B">
      <w:pPr>
        <w:pStyle w:val="Text"/>
      </w:pPr>
      <w:r w:rsidRPr="00382917">
        <w:t>“</w:t>
      </w:r>
      <w:r w:rsidR="00B2037B" w:rsidRPr="00382917">
        <w:t>No,</w:t>
      </w:r>
      <w:r w:rsidRPr="00382917">
        <w:t>”</w:t>
      </w:r>
      <w:r w:rsidR="00EE4FC3">
        <w:t xml:space="preserve"> </w:t>
      </w:r>
      <w:r w:rsidR="00B2037B" w:rsidRPr="00382917">
        <w:t>Ḥasan</w:t>
      </w:r>
      <w:r w:rsidR="00EE4FC3">
        <w:t xml:space="preserve"> </w:t>
      </w:r>
      <w:r w:rsidR="00B2037B" w:rsidRPr="00382917">
        <w:t>entreated</w:t>
      </w:r>
      <w:r w:rsidR="00EE4FC3">
        <w:t xml:space="preserve"> </w:t>
      </w:r>
      <w:r w:rsidR="00B2037B" w:rsidRPr="00382917">
        <w:t>them</w:t>
      </w:r>
      <w:r w:rsidR="0040329F">
        <w:t>.</w:t>
      </w:r>
      <w:r w:rsidR="00EE4FC3">
        <w:t xml:space="preserve">  </w:t>
      </w:r>
      <w:r w:rsidRPr="00382917">
        <w:t>“</w:t>
      </w:r>
      <w:r w:rsidR="00B2037B" w:rsidRPr="00382917">
        <w:t>Do</w:t>
      </w:r>
      <w:r w:rsidR="00EE4FC3">
        <w:t xml:space="preserve"> </w:t>
      </w:r>
      <w:r w:rsidR="00B2037B" w:rsidRPr="00382917">
        <w:t>not</w:t>
      </w:r>
      <w:r w:rsidR="00EE4FC3">
        <w:t xml:space="preserve"> </w:t>
      </w:r>
      <w:r w:rsidR="00B2037B" w:rsidRPr="00382917">
        <w:t>do</w:t>
      </w:r>
      <w:r w:rsidR="00EE4FC3">
        <w:t xml:space="preserve"> </w:t>
      </w:r>
      <w:r w:rsidR="00B2037B" w:rsidRPr="00382917">
        <w:t>that</w:t>
      </w:r>
      <w:r w:rsidR="00EE4FC3">
        <w:t xml:space="preserve"> </w:t>
      </w:r>
      <w:r w:rsidR="00B2037B" w:rsidRPr="00382917">
        <w:t>to</w:t>
      </w:r>
      <w:r w:rsidR="00EE4FC3">
        <w:t xml:space="preserve"> </w:t>
      </w:r>
      <w:r w:rsidR="00B2037B" w:rsidRPr="00382917">
        <w:t>me.</w:t>
      </w:r>
      <w:r w:rsidRPr="00382917">
        <w:t>”</w:t>
      </w:r>
    </w:p>
    <w:p w:rsidR="00B2037B" w:rsidRPr="00382917" w:rsidRDefault="00B2037B" w:rsidP="00B2037B">
      <w:pPr>
        <w:pStyle w:val="Text"/>
      </w:pPr>
      <w:r w:rsidRPr="00382917">
        <w:t>The</w:t>
      </w:r>
      <w:r w:rsidR="00EE4FC3">
        <w:t xml:space="preserve"> </w:t>
      </w:r>
      <w:r w:rsidRPr="00382917">
        <w:t>officer</w:t>
      </w:r>
      <w:r w:rsidR="00EE4FC3">
        <w:t xml:space="preserve"> </w:t>
      </w:r>
      <w:r w:rsidRPr="00382917">
        <w:t>smiled,</w:t>
      </w:r>
      <w:r w:rsidR="00EE4FC3">
        <w:t xml:space="preserve"> </w:t>
      </w:r>
      <w:r w:rsidRPr="00382917">
        <w:t>gratified</w:t>
      </w:r>
      <w:r w:rsidR="00EE4FC3">
        <w:t xml:space="preserve"> </w:t>
      </w:r>
      <w:r w:rsidRPr="00382917">
        <w:t>by</w:t>
      </w:r>
      <w:r w:rsidR="00EE4FC3">
        <w:t xml:space="preserve"> </w:t>
      </w:r>
      <w:r w:rsidRPr="00382917">
        <w:t>the</w:t>
      </w:r>
      <w:r w:rsidR="00EE4FC3">
        <w:t xml:space="preserve"> </w:t>
      </w:r>
      <w:r w:rsidRPr="00382917">
        <w:t>expected</w:t>
      </w:r>
      <w:r w:rsidR="00EE4FC3">
        <w:t xml:space="preserve"> </w:t>
      </w:r>
      <w:r w:rsidRPr="00382917">
        <w:t>words</w:t>
      </w:r>
      <w:r w:rsidR="0040329F">
        <w:t>.</w:t>
      </w:r>
      <w:r w:rsidR="00EE4FC3">
        <w:t xml:space="preserve">  </w:t>
      </w:r>
      <w:r w:rsidRPr="00382917">
        <w:t>His</w:t>
      </w:r>
      <w:r w:rsidR="00EE4FC3">
        <w:t xml:space="preserve"> </w:t>
      </w:r>
      <w:r w:rsidRPr="00382917">
        <w:t>pleasure</w:t>
      </w:r>
      <w:r w:rsidR="00EE4FC3">
        <w:t xml:space="preserve"> </w:t>
      </w:r>
      <w:r w:rsidRPr="00382917">
        <w:t>turned</w:t>
      </w:r>
      <w:r w:rsidR="00EE4FC3">
        <w:t xml:space="preserve"> </w:t>
      </w:r>
      <w:r w:rsidRPr="00382917">
        <w:t>to</w:t>
      </w:r>
      <w:r w:rsidR="00EE4FC3">
        <w:t xml:space="preserve"> </w:t>
      </w:r>
      <w:r w:rsidRPr="00382917">
        <w:t>wrath</w:t>
      </w:r>
      <w:r w:rsidR="00EE4FC3">
        <w:t xml:space="preserve"> </w:t>
      </w:r>
      <w:r w:rsidRPr="00382917">
        <w:t>as</w:t>
      </w:r>
      <w:r w:rsidR="00EE4FC3">
        <w:t xml:space="preserve"> </w:t>
      </w:r>
      <w:r w:rsidRPr="00382917">
        <w:t>Ḥasan</w:t>
      </w:r>
      <w:r w:rsidR="00EE4FC3">
        <w:t xml:space="preserve"> </w:t>
      </w:r>
      <w:r w:rsidRPr="00382917">
        <w:t>continued</w:t>
      </w:r>
      <w:r w:rsidR="00EE4FC3">
        <w:t xml:space="preserve"> </w:t>
      </w:r>
      <w:r w:rsidRPr="00382917">
        <w:t>his</w:t>
      </w:r>
      <w:r w:rsidR="00EE4FC3">
        <w:t xml:space="preserve"> </w:t>
      </w:r>
      <w:r w:rsidRPr="00382917">
        <w:t>entreaty.</w:t>
      </w:r>
    </w:p>
    <w:p w:rsidR="00B2037B" w:rsidRPr="00382917" w:rsidRDefault="009C713D" w:rsidP="00B2037B">
      <w:pPr>
        <w:pStyle w:val="Text"/>
      </w:pPr>
      <w:r w:rsidRPr="00382917">
        <w:t>“</w:t>
      </w:r>
      <w:r w:rsidR="00B2037B" w:rsidRPr="00382917">
        <w:t>Do</w:t>
      </w:r>
      <w:r w:rsidR="00EE4FC3">
        <w:t xml:space="preserve"> </w:t>
      </w:r>
      <w:r w:rsidR="00B2037B" w:rsidRPr="00382917">
        <w:t>not</w:t>
      </w:r>
      <w:r w:rsidR="00EE4FC3">
        <w:t xml:space="preserve"> </w:t>
      </w:r>
      <w:r w:rsidR="00B2037B" w:rsidRPr="00382917">
        <w:t>bind</w:t>
      </w:r>
      <w:r w:rsidR="00EE4FC3">
        <w:t xml:space="preserve"> </w:t>
      </w:r>
      <w:r w:rsidR="00B2037B" w:rsidRPr="00382917">
        <w:t>me</w:t>
      </w:r>
      <w:r w:rsidR="00EE4FC3">
        <w:t xml:space="preserve"> </w:t>
      </w:r>
      <w:r w:rsidR="00B2037B" w:rsidRPr="00382917">
        <w:t>with</w:t>
      </w:r>
      <w:r w:rsidR="00EE4FC3">
        <w:t xml:space="preserve"> </w:t>
      </w:r>
      <w:r w:rsidR="00B2037B" w:rsidRPr="00382917">
        <w:t>my</w:t>
      </w:r>
      <w:r w:rsidR="00EE4FC3">
        <w:t xml:space="preserve"> </w:t>
      </w:r>
      <w:r w:rsidR="00B2037B" w:rsidRPr="00382917">
        <w:t>back</w:t>
      </w:r>
      <w:r w:rsidR="00EE4FC3">
        <w:t xml:space="preserve"> </w:t>
      </w:r>
      <w:r w:rsidR="00B2037B" w:rsidRPr="00382917">
        <w:t>to</w:t>
      </w:r>
      <w:r w:rsidR="00EE4FC3">
        <w:t xml:space="preserve"> </w:t>
      </w:r>
      <w:r w:rsidR="00B2037B" w:rsidRPr="00382917">
        <w:t>the</w:t>
      </w:r>
      <w:r w:rsidR="00EE4FC3">
        <w:t xml:space="preserve"> </w:t>
      </w:r>
      <w:r w:rsidR="00B2037B" w:rsidRPr="00382917">
        <w:t>cannon,</w:t>
      </w:r>
      <w:r w:rsidRPr="00382917">
        <w:t>”</w:t>
      </w:r>
      <w:r w:rsidR="00EE4FC3">
        <w:t xml:space="preserve"> </w:t>
      </w:r>
      <w:r w:rsidR="00B2037B" w:rsidRPr="00382917">
        <w:t>Ḥasan</w:t>
      </w:r>
      <w:r w:rsidR="00EE4FC3">
        <w:t xml:space="preserve"> </w:t>
      </w:r>
      <w:r w:rsidR="00B2037B" w:rsidRPr="00382917">
        <w:t>pleaded</w:t>
      </w:r>
      <w:r w:rsidR="00EE4FC3">
        <w:t xml:space="preserve"> </w:t>
      </w:r>
      <w:r w:rsidR="00B2037B" w:rsidRPr="00382917">
        <w:t>with</w:t>
      </w:r>
      <w:r w:rsidR="00EE4FC3">
        <w:t xml:space="preserve"> </w:t>
      </w:r>
      <w:r w:rsidR="00B2037B" w:rsidRPr="00382917">
        <w:t>the</w:t>
      </w:r>
      <w:r w:rsidR="00EE4FC3">
        <w:t xml:space="preserve"> </w:t>
      </w:r>
      <w:r w:rsidR="00B2037B" w:rsidRPr="00382917">
        <w:t>soldiers</w:t>
      </w:r>
      <w:r w:rsidR="0040329F">
        <w:t>.</w:t>
      </w:r>
      <w:r w:rsidR="00EE4FC3">
        <w:t xml:space="preserve">  </w:t>
      </w:r>
      <w:r w:rsidRPr="00382917">
        <w:t>“</w:t>
      </w:r>
      <w:r w:rsidR="00B2037B" w:rsidRPr="00382917">
        <w:t>Rather</w:t>
      </w:r>
      <w:r w:rsidR="00EE4FC3">
        <w:t xml:space="preserve"> </w:t>
      </w:r>
      <w:r w:rsidR="00B2037B" w:rsidRPr="00382917">
        <w:t>bind</w:t>
      </w:r>
      <w:r w:rsidR="00EE4FC3">
        <w:t xml:space="preserve"> </w:t>
      </w:r>
      <w:r w:rsidR="00B2037B" w:rsidRPr="00382917">
        <w:t>me</w:t>
      </w:r>
      <w:r w:rsidR="00EE4FC3">
        <w:t xml:space="preserve"> </w:t>
      </w:r>
      <w:r w:rsidR="00B2037B" w:rsidRPr="00382917">
        <w:t>with</w:t>
      </w:r>
      <w:r w:rsidR="00EE4FC3">
        <w:t xml:space="preserve"> </w:t>
      </w:r>
      <w:r w:rsidR="00B2037B" w:rsidRPr="00382917">
        <w:t>my</w:t>
      </w:r>
      <w:r w:rsidR="00EE4FC3">
        <w:t xml:space="preserve"> </w:t>
      </w:r>
      <w:r w:rsidR="00B2037B" w:rsidRPr="00382917">
        <w:t>face</w:t>
      </w:r>
      <w:r w:rsidR="00EE4FC3">
        <w:t xml:space="preserve"> </w:t>
      </w:r>
      <w:r w:rsidR="00B2037B" w:rsidRPr="00382917">
        <w:t>to</w:t>
      </w:r>
      <w:r w:rsidR="00EE4FC3">
        <w:t xml:space="preserve"> </w:t>
      </w:r>
      <w:r w:rsidR="00B2037B" w:rsidRPr="00382917">
        <w:t>the</w:t>
      </w:r>
      <w:r w:rsidR="00EE4FC3">
        <w:t xml:space="preserve"> </w:t>
      </w:r>
      <w:r w:rsidR="00B2037B" w:rsidRPr="00382917">
        <w:t>gun</w:t>
      </w:r>
      <w:r w:rsidR="00EE4FC3">
        <w:t xml:space="preserve"> </w:t>
      </w:r>
      <w:r w:rsidR="00B2037B" w:rsidRPr="00382917">
        <w:t>so</w:t>
      </w:r>
      <w:r w:rsidR="00EE4FC3">
        <w:t xml:space="preserve"> </w:t>
      </w:r>
      <w:r w:rsidR="00B2037B" w:rsidRPr="00382917">
        <w:t>that</w:t>
      </w:r>
      <w:r w:rsidR="00EE4FC3">
        <w:t xml:space="preserve"> </w:t>
      </w:r>
      <w:r w:rsidR="00B2037B" w:rsidRPr="00382917">
        <w:t>I</w:t>
      </w:r>
      <w:r w:rsidR="00EE4FC3">
        <w:t xml:space="preserve"> </w:t>
      </w:r>
      <w:r w:rsidR="00B2037B" w:rsidRPr="00382917">
        <w:t>may</w:t>
      </w:r>
      <w:r w:rsidR="00EE4FC3">
        <w:t xml:space="preserve"> </w:t>
      </w:r>
      <w:r w:rsidR="00B2037B" w:rsidRPr="00382917">
        <w:t>see</w:t>
      </w:r>
      <w:r w:rsidR="00EE4FC3">
        <w:t xml:space="preserve"> </w:t>
      </w:r>
      <w:r w:rsidR="00B2037B" w:rsidRPr="00382917">
        <w:t>it</w:t>
      </w:r>
      <w:r w:rsidR="00EE4FC3">
        <w:t xml:space="preserve"> </w:t>
      </w:r>
      <w:r w:rsidR="00B2037B" w:rsidRPr="00382917">
        <w:t>fired.</w:t>
      </w:r>
      <w:r w:rsidRPr="00382917">
        <w:t>”</w:t>
      </w:r>
    </w:p>
    <w:p w:rsidR="00B2037B" w:rsidRPr="00382917" w:rsidRDefault="00B2037B" w:rsidP="00D84534">
      <w:pPr>
        <w:pStyle w:val="Text"/>
      </w:pPr>
      <w:r w:rsidRPr="00382917">
        <w:t>The</w:t>
      </w:r>
      <w:r w:rsidR="00EE4FC3">
        <w:t xml:space="preserve"> </w:t>
      </w:r>
      <w:r w:rsidRPr="00382917">
        <w:t>gunners</w:t>
      </w:r>
      <w:r w:rsidR="00EE4FC3">
        <w:t xml:space="preserve"> </w:t>
      </w:r>
      <w:r w:rsidRPr="00382917">
        <w:t>and</w:t>
      </w:r>
      <w:r w:rsidR="00EE4FC3">
        <w:t xml:space="preserve"> </w:t>
      </w:r>
      <w:r w:rsidRPr="00382917">
        <w:t>those</w:t>
      </w:r>
      <w:r w:rsidR="00EE4FC3">
        <w:t xml:space="preserve"> </w:t>
      </w:r>
      <w:r w:rsidRPr="00382917">
        <w:t>who</w:t>
      </w:r>
      <w:r w:rsidR="00EE4FC3">
        <w:t xml:space="preserve"> </w:t>
      </w:r>
      <w:r w:rsidRPr="00382917">
        <w:t>looked</w:t>
      </w:r>
      <w:r w:rsidR="00EE4FC3">
        <w:t xml:space="preserve"> </w:t>
      </w:r>
      <w:r w:rsidRPr="00382917">
        <w:t>on</w:t>
      </w:r>
      <w:r w:rsidR="00EE4FC3">
        <w:t xml:space="preserve"> </w:t>
      </w:r>
      <w:r w:rsidRPr="00382917">
        <w:t>were</w:t>
      </w:r>
      <w:r w:rsidR="00EE4FC3">
        <w:t xml:space="preserve"> </w:t>
      </w:r>
      <w:r w:rsidRPr="00382917">
        <w:t>astonished</w:t>
      </w:r>
      <w:r w:rsidR="00EE4FC3">
        <w:t xml:space="preserve"> </w:t>
      </w:r>
      <w:r w:rsidRPr="00382917">
        <w:t>at</w:t>
      </w:r>
      <w:r w:rsidR="00EE4FC3">
        <w:t xml:space="preserve"> </w:t>
      </w:r>
      <w:proofErr w:type="spellStart"/>
      <w:r w:rsidRPr="00382917">
        <w:t>Ḥasan</w:t>
      </w:r>
      <w:r w:rsidR="009C713D" w:rsidRPr="00382917">
        <w:t>’</w:t>
      </w:r>
      <w:r w:rsidRPr="00382917">
        <w:t>s</w:t>
      </w:r>
      <w:proofErr w:type="spellEnd"/>
      <w:r w:rsidR="00EE4FC3">
        <w:t xml:space="preserve"> </w:t>
      </w:r>
      <w:r w:rsidRPr="00382917">
        <w:t>composure</w:t>
      </w:r>
      <w:r w:rsidR="00EE4FC3">
        <w:t xml:space="preserve"> </w:t>
      </w:r>
      <w:r w:rsidRPr="00382917">
        <w:t>and</w:t>
      </w:r>
      <w:r w:rsidR="00EE4FC3">
        <w:t xml:space="preserve"> </w:t>
      </w:r>
      <w:r w:rsidRPr="00382917">
        <w:t>cheerfulness</w:t>
      </w:r>
      <w:r w:rsidR="0040329F">
        <w:t>.</w:t>
      </w:r>
      <w:r w:rsidR="00EE4FC3">
        <w:t xml:space="preserve">  </w:t>
      </w:r>
      <w:r w:rsidRPr="00382917">
        <w:t>To</w:t>
      </w:r>
      <w:r w:rsidR="00EE4FC3">
        <w:t xml:space="preserve"> </w:t>
      </w:r>
      <w:r w:rsidRPr="00382917">
        <w:t>themselves</w:t>
      </w:r>
      <w:r w:rsidR="00EE4FC3">
        <w:t xml:space="preserve"> </w:t>
      </w:r>
      <w:r w:rsidRPr="00382917">
        <w:t>they</w:t>
      </w:r>
      <w:r w:rsidR="00EE4FC3">
        <w:t xml:space="preserve"> </w:t>
      </w:r>
      <w:r w:rsidRPr="00382917">
        <w:t>said</w:t>
      </w:r>
      <w:r w:rsidR="00C03C91">
        <w:t>:</w:t>
      </w:r>
      <w:r w:rsidR="00EE4FC3">
        <w:t xml:space="preserve">  </w:t>
      </w:r>
      <w:r w:rsidR="009C713D" w:rsidRPr="00382917">
        <w:t>“</w:t>
      </w:r>
      <w:r w:rsidRPr="00382917">
        <w:t>One</w:t>
      </w:r>
      <w:r w:rsidR="00EE4FC3">
        <w:t xml:space="preserve"> </w:t>
      </w:r>
      <w:r w:rsidRPr="00382917">
        <w:t>who</w:t>
      </w:r>
      <w:r w:rsidR="00EE4FC3">
        <w:t xml:space="preserve"> </w:t>
      </w:r>
      <w:r w:rsidRPr="00382917">
        <w:t>can</w:t>
      </w:r>
      <w:r w:rsidR="00EE4FC3">
        <w:t xml:space="preserve"> </w:t>
      </w:r>
      <w:r w:rsidRPr="00382917">
        <w:t>be</w:t>
      </w:r>
      <w:r w:rsidR="00EE4FC3">
        <w:t xml:space="preserve"> </w:t>
      </w:r>
      <w:r w:rsidRPr="00382917">
        <w:t>cheerful</w:t>
      </w:r>
      <w:r w:rsidR="00EE4FC3">
        <w:t xml:space="preserve"> </w:t>
      </w:r>
      <w:r w:rsidRPr="00382917">
        <w:t>in</w:t>
      </w:r>
      <w:r w:rsidR="00EE4FC3">
        <w:t xml:space="preserve"> </w:t>
      </w:r>
      <w:r w:rsidRPr="00382917">
        <w:t>such</w:t>
      </w:r>
      <w:r w:rsidR="00EE4FC3">
        <w:t xml:space="preserve"> </w:t>
      </w:r>
      <w:r w:rsidRPr="00382917">
        <w:t>a</w:t>
      </w:r>
      <w:r w:rsidR="00EE4FC3">
        <w:t xml:space="preserve"> </w:t>
      </w:r>
      <w:r w:rsidRPr="00382917">
        <w:t>plight</w:t>
      </w:r>
      <w:r w:rsidR="00EE4FC3">
        <w:t xml:space="preserve"> </w:t>
      </w:r>
      <w:proofErr w:type="gramStart"/>
      <w:r w:rsidRPr="00382917">
        <w:t>must</w:t>
      </w:r>
      <w:r w:rsidR="00EE4FC3">
        <w:t xml:space="preserve"> </w:t>
      </w:r>
      <w:r w:rsidRPr="00382917">
        <w:t>needs</w:t>
      </w:r>
      <w:proofErr w:type="gramEnd"/>
      <w:r w:rsidR="00EE4FC3">
        <w:t xml:space="preserve"> </w:t>
      </w:r>
      <w:r w:rsidRPr="00382917">
        <w:t>have</w:t>
      </w:r>
      <w:r w:rsidR="00EE4FC3">
        <w:t xml:space="preserve"> </w:t>
      </w:r>
      <w:r w:rsidRPr="00382917">
        <w:t>great</w:t>
      </w:r>
      <w:r w:rsidR="00EE4FC3">
        <w:t xml:space="preserve"> </w:t>
      </w:r>
      <w:r w:rsidRPr="00382917">
        <w:t>faith</w:t>
      </w:r>
      <w:r w:rsidR="00EE4FC3">
        <w:t xml:space="preserve"> </w:t>
      </w:r>
      <w:r w:rsidRPr="00382917">
        <w:t>and</w:t>
      </w:r>
      <w:r w:rsidR="00EE4FC3">
        <w:t xml:space="preserve"> </w:t>
      </w:r>
      <w:r w:rsidRPr="00382917">
        <w:t>fortitude.</w:t>
      </w:r>
      <w:r w:rsidR="009C713D" w:rsidRPr="00382917">
        <w:t>”</w:t>
      </w:r>
      <w:r w:rsidR="00D84534">
        <w:rPr>
          <w:rStyle w:val="FootnoteReference"/>
        </w:rPr>
        <w:footnoteReference w:id="170"/>
      </w:r>
    </w:p>
    <w:p w:rsidR="00B2037B" w:rsidRPr="00382917" w:rsidRDefault="00B2037B" w:rsidP="00B2037B">
      <w:pPr>
        <w:pStyle w:val="Text"/>
      </w:pPr>
      <w:r w:rsidRPr="00382917">
        <w:t>All</w:t>
      </w:r>
      <w:r w:rsidR="00EE4FC3">
        <w:t xml:space="preserve"> </w:t>
      </w:r>
      <w:r w:rsidRPr="00382917">
        <w:t>along</w:t>
      </w:r>
      <w:r w:rsidR="00EE4FC3">
        <w:t xml:space="preserve"> </w:t>
      </w:r>
      <w:r w:rsidRPr="00382917">
        <w:t>the</w:t>
      </w:r>
      <w:r w:rsidR="00EE4FC3">
        <w:t xml:space="preserve"> </w:t>
      </w:r>
      <w:r w:rsidRPr="00382917">
        <w:t>road</w:t>
      </w:r>
      <w:r w:rsidR="00EE4FC3">
        <w:t xml:space="preserve"> </w:t>
      </w:r>
      <w:r w:rsidRPr="00382917">
        <w:t>to</w:t>
      </w:r>
      <w:r w:rsidR="00EE4FC3">
        <w:t xml:space="preserve"> </w:t>
      </w:r>
      <w:r w:rsidRPr="00382917">
        <w:t>Nayríz,</w:t>
      </w:r>
      <w:r w:rsidR="00EE4FC3">
        <w:t xml:space="preserve"> </w:t>
      </w:r>
      <w:r w:rsidRPr="00382917">
        <w:t>Vaḥíd</w:t>
      </w:r>
      <w:r w:rsidR="00EE4FC3">
        <w:t xml:space="preserve"> </w:t>
      </w:r>
      <w:r w:rsidRPr="00382917">
        <w:t>continued</w:t>
      </w:r>
      <w:r w:rsidR="00EE4FC3">
        <w:t xml:space="preserve"> </w:t>
      </w:r>
      <w:r w:rsidRPr="00382917">
        <w:t>his</w:t>
      </w:r>
      <w:r w:rsidR="00EE4FC3">
        <w:t xml:space="preserve"> </w:t>
      </w:r>
      <w:r w:rsidRPr="00382917">
        <w:t>teaching</w:t>
      </w:r>
      <w:r w:rsidR="0040329F">
        <w:t>.</w:t>
      </w:r>
      <w:r w:rsidR="00EE4FC3">
        <w:t xml:space="preserve">  </w:t>
      </w:r>
      <w:r w:rsidRPr="00382917">
        <w:t>Wherever</w:t>
      </w:r>
      <w:r w:rsidR="00EE4FC3">
        <w:t xml:space="preserve"> </w:t>
      </w:r>
      <w:r w:rsidRPr="00382917">
        <w:t>he</w:t>
      </w:r>
      <w:r w:rsidR="00EE4FC3">
        <w:t xml:space="preserve"> </w:t>
      </w:r>
      <w:r w:rsidRPr="00382917">
        <w:t>made</w:t>
      </w:r>
      <w:r w:rsidR="00EE4FC3">
        <w:t xml:space="preserve"> </w:t>
      </w:r>
      <w:r w:rsidRPr="00382917">
        <w:t>camp,</w:t>
      </w:r>
      <w:r w:rsidR="00EE4FC3">
        <w:t xml:space="preserve"> </w:t>
      </w:r>
      <w:r w:rsidRPr="00382917">
        <w:t>his</w:t>
      </w:r>
      <w:r w:rsidR="00EE4FC3">
        <w:t xml:space="preserve"> </w:t>
      </w:r>
      <w:r w:rsidRPr="00382917">
        <w:t>first</w:t>
      </w:r>
      <w:r w:rsidR="00EE4FC3">
        <w:t xml:space="preserve"> </w:t>
      </w:r>
      <w:r w:rsidRPr="00382917">
        <w:t>action</w:t>
      </w:r>
      <w:r w:rsidR="00EE4FC3">
        <w:t xml:space="preserve"> </w:t>
      </w:r>
      <w:r w:rsidRPr="00382917">
        <w:t>was</w:t>
      </w:r>
      <w:r w:rsidR="00EE4FC3">
        <w:t xml:space="preserve"> </w:t>
      </w:r>
      <w:r w:rsidRPr="00382917">
        <w:t>to</w:t>
      </w:r>
      <w:r w:rsidR="00EE4FC3">
        <w:t xml:space="preserve"> </w:t>
      </w:r>
      <w:r w:rsidRPr="00382917">
        <w:t>go</w:t>
      </w:r>
      <w:r w:rsidR="00EE4FC3">
        <w:t xml:space="preserve"> </w:t>
      </w:r>
      <w:r w:rsidRPr="00382917">
        <w:t>immediately</w:t>
      </w:r>
      <w:r w:rsidR="00EE4FC3">
        <w:t xml:space="preserve"> </w:t>
      </w:r>
      <w:r w:rsidRPr="00382917">
        <w:t>to</w:t>
      </w:r>
      <w:r w:rsidR="00EE4FC3">
        <w:t xml:space="preserve"> </w:t>
      </w:r>
      <w:r w:rsidRPr="00382917">
        <w:t>the</w:t>
      </w:r>
      <w:r w:rsidR="00EE4FC3">
        <w:t xml:space="preserve"> </w:t>
      </w:r>
      <w:proofErr w:type="spellStart"/>
      <w:r w:rsidRPr="00382917">
        <w:t>neighboring</w:t>
      </w:r>
      <w:proofErr w:type="spellEnd"/>
      <w:r w:rsidR="00EE4FC3">
        <w:t xml:space="preserve"> </w:t>
      </w:r>
      <w:r w:rsidRPr="00382917">
        <w:t>village</w:t>
      </w:r>
      <w:r w:rsidR="00EE4FC3">
        <w:t xml:space="preserve"> </w:t>
      </w:r>
      <w:r w:rsidRPr="00382917">
        <w:t>or</w:t>
      </w:r>
      <w:r w:rsidR="00EE4FC3">
        <w:t xml:space="preserve"> </w:t>
      </w:r>
      <w:r w:rsidRPr="00382917">
        <w:t>town</w:t>
      </w:r>
      <w:r w:rsidR="0040329F">
        <w:t>.</w:t>
      </w:r>
      <w:r w:rsidR="00EE4FC3">
        <w:t xml:space="preserve">  </w:t>
      </w:r>
      <w:r w:rsidRPr="00382917">
        <w:t>He</w:t>
      </w:r>
      <w:r w:rsidR="00EE4FC3">
        <w:t xml:space="preserve"> </w:t>
      </w:r>
      <w:r w:rsidRPr="00382917">
        <w:t>would</w:t>
      </w:r>
      <w:r w:rsidR="00EE4FC3">
        <w:t xml:space="preserve"> </w:t>
      </w:r>
      <w:r w:rsidRPr="00382917">
        <w:t>gather</w:t>
      </w:r>
      <w:r w:rsidR="00EE4FC3">
        <w:t xml:space="preserve"> </w:t>
      </w:r>
      <w:r w:rsidRPr="00382917">
        <w:t>all</w:t>
      </w:r>
      <w:r w:rsidR="00EE4FC3">
        <w:t xml:space="preserve"> </w:t>
      </w:r>
      <w:r w:rsidRPr="00382917">
        <w:t>the</w:t>
      </w:r>
      <w:r w:rsidR="00EE4FC3">
        <w:t xml:space="preserve"> </w:t>
      </w:r>
      <w:r w:rsidRPr="00382917">
        <w:t>people</w:t>
      </w:r>
      <w:r w:rsidR="00EE4FC3">
        <w:t xml:space="preserve"> </w:t>
      </w:r>
      <w:r w:rsidRPr="00382917">
        <w:t>together,</w:t>
      </w:r>
      <w:r w:rsidR="00EE4FC3">
        <w:t xml:space="preserve"> </w:t>
      </w:r>
      <w:r w:rsidRPr="00382917">
        <w:t>then</w:t>
      </w:r>
      <w:r w:rsidR="00EE4FC3">
        <w:t xml:space="preserve"> </w:t>
      </w:r>
      <w:r w:rsidRPr="00382917">
        <w:t>he</w:t>
      </w:r>
      <w:r w:rsidR="00EE4FC3">
        <w:t xml:space="preserve"> </w:t>
      </w:r>
      <w:r w:rsidRPr="00382917">
        <w:t>would</w:t>
      </w:r>
      <w:r w:rsidR="00EE4FC3">
        <w:t xml:space="preserve"> </w:t>
      </w:r>
      <w:r w:rsidRPr="00382917">
        <w:t>announce</w:t>
      </w:r>
      <w:r w:rsidR="00EE4FC3">
        <w:t xml:space="preserve"> </w:t>
      </w:r>
      <w:r w:rsidRPr="00382917">
        <w:t>to</w:t>
      </w:r>
      <w:r w:rsidR="00EE4FC3">
        <w:t xml:space="preserve"> </w:t>
      </w:r>
      <w:r w:rsidRPr="00382917">
        <w:t>them</w:t>
      </w:r>
      <w:r w:rsidR="00EE4FC3">
        <w:t xml:space="preserve"> </w:t>
      </w:r>
      <w:r w:rsidRPr="00382917">
        <w:t>the</w:t>
      </w:r>
      <w:r w:rsidR="00EE4FC3">
        <w:t xml:space="preserve"> </w:t>
      </w:r>
      <w:r w:rsidR="009C713D" w:rsidRPr="00382917">
        <w:t>“</w:t>
      </w:r>
      <w:r w:rsidRPr="00382917">
        <w:t>glad</w:t>
      </w:r>
      <w:r w:rsidR="00EE4FC3">
        <w:t xml:space="preserve"> </w:t>
      </w:r>
      <w:r w:rsidRPr="00382917">
        <w:t>tidings</w:t>
      </w:r>
      <w:r w:rsidR="009C713D" w:rsidRPr="00382917">
        <w:t>”</w:t>
      </w:r>
      <w:r w:rsidR="00EE4FC3">
        <w:t xml:space="preserve"> </w:t>
      </w:r>
      <w:r w:rsidRPr="00382917">
        <w:t>of</w:t>
      </w:r>
      <w:r w:rsidR="00EE4FC3">
        <w:t xml:space="preserve"> </w:t>
      </w:r>
      <w:r w:rsidRPr="00382917">
        <w:t>the</w:t>
      </w:r>
    </w:p>
    <w:p w:rsidR="00B2037B" w:rsidRPr="00382917" w:rsidRDefault="00B2037B">
      <w:pPr>
        <w:widowControl/>
        <w:kinsoku/>
        <w:overflowPunct/>
        <w:textAlignment w:val="auto"/>
      </w:pPr>
      <w:r w:rsidRPr="00382917">
        <w:br w:type="page"/>
      </w:r>
    </w:p>
    <w:p w:rsidR="00B2037B" w:rsidRPr="00382917" w:rsidRDefault="00B2037B" w:rsidP="00B2037B">
      <w:pPr>
        <w:pStyle w:val="Textcts"/>
      </w:pPr>
      <w:proofErr w:type="gramStart"/>
      <w:r w:rsidRPr="00382917">
        <w:t>Báb</w:t>
      </w:r>
      <w:r w:rsidR="009C713D" w:rsidRPr="00382917">
        <w:t>’</w:t>
      </w:r>
      <w:r w:rsidRPr="00382917">
        <w:t>s</w:t>
      </w:r>
      <w:r w:rsidR="00EE4FC3">
        <w:t xml:space="preserve"> </w:t>
      </w:r>
      <w:r w:rsidRPr="00382917">
        <w:t>appearance</w:t>
      </w:r>
      <w:r w:rsidR="0040329F">
        <w:t>.</w:t>
      </w:r>
      <w:proofErr w:type="gramEnd"/>
      <w:r w:rsidR="00EE4FC3">
        <w:t xml:space="preserve">  </w:t>
      </w:r>
      <w:r w:rsidRPr="00382917">
        <w:t>In</w:t>
      </w:r>
      <w:r w:rsidR="00EE4FC3">
        <w:t xml:space="preserve"> </w:t>
      </w:r>
      <w:r w:rsidRPr="00382917">
        <w:t>the</w:t>
      </w:r>
      <w:r w:rsidR="00EE4FC3">
        <w:t xml:space="preserve"> </w:t>
      </w:r>
      <w:r w:rsidRPr="00382917">
        <w:t>mountain</w:t>
      </w:r>
      <w:r w:rsidR="00EE4FC3">
        <w:t xml:space="preserve"> </w:t>
      </w:r>
      <w:r w:rsidRPr="00382917">
        <w:t>village</w:t>
      </w:r>
      <w:r w:rsidR="00EE4FC3">
        <w:t xml:space="preserve"> </w:t>
      </w:r>
      <w:r w:rsidRPr="00382917">
        <w:t>of</w:t>
      </w:r>
      <w:r w:rsidR="00EE4FC3">
        <w:t xml:space="preserve"> </w:t>
      </w:r>
      <w:r w:rsidRPr="00382917">
        <w:t>Bavánát,</w:t>
      </w:r>
      <w:r w:rsidR="00EE4FC3">
        <w:t xml:space="preserve"> </w:t>
      </w:r>
      <w:r w:rsidRPr="00382917">
        <w:t>the</w:t>
      </w:r>
      <w:r w:rsidR="00EE4FC3">
        <w:t xml:space="preserve"> </w:t>
      </w:r>
      <w:r w:rsidRPr="00382917">
        <w:t>high-priest</w:t>
      </w:r>
      <w:r w:rsidR="00EE4FC3">
        <w:t xml:space="preserve"> </w:t>
      </w:r>
      <w:r w:rsidRPr="00382917">
        <w:t>of</w:t>
      </w:r>
      <w:r w:rsidR="00EE4FC3">
        <w:t xml:space="preserve"> </w:t>
      </w:r>
      <w:r w:rsidRPr="00382917">
        <w:t>the</w:t>
      </w:r>
      <w:r w:rsidR="00EE4FC3">
        <w:t xml:space="preserve"> </w:t>
      </w:r>
      <w:r w:rsidRPr="00382917">
        <w:t>village,</w:t>
      </w:r>
      <w:r w:rsidR="00EE4FC3">
        <w:t xml:space="preserve"> </w:t>
      </w:r>
      <w:r w:rsidRPr="00382917">
        <w:t>Ḥájí</w:t>
      </w:r>
      <w:r w:rsidR="00EE4FC3">
        <w:t xml:space="preserve"> </w:t>
      </w:r>
      <w:r w:rsidRPr="00382917">
        <w:t>Siyyid</w:t>
      </w:r>
      <w:r w:rsidR="00EE4FC3">
        <w:t xml:space="preserve"> </w:t>
      </w:r>
      <w:r w:rsidRPr="00382917">
        <w:t>Ismá</w:t>
      </w:r>
      <w:r w:rsidR="009C713D" w:rsidRPr="00382917">
        <w:t>‘</w:t>
      </w:r>
      <w:r w:rsidRPr="00382917">
        <w:t>íl,</w:t>
      </w:r>
      <w:r w:rsidR="00EE4FC3">
        <w:t xml:space="preserve"> </w:t>
      </w:r>
      <w:r w:rsidRPr="00382917">
        <w:t>accepted</w:t>
      </w:r>
      <w:r w:rsidR="00EE4FC3">
        <w:t xml:space="preserve"> </w:t>
      </w:r>
      <w:r w:rsidRPr="00382917">
        <w:t>the</w:t>
      </w:r>
      <w:r w:rsidR="00EE4FC3">
        <w:t xml:space="preserve"> </w:t>
      </w:r>
      <w:r w:rsidRPr="00382917">
        <w:t>Faith.</w:t>
      </w:r>
    </w:p>
    <w:p w:rsidR="00E13D49" w:rsidRPr="00382917" w:rsidRDefault="00B2037B" w:rsidP="00B2037B">
      <w:pPr>
        <w:pStyle w:val="Text"/>
      </w:pPr>
      <w:r w:rsidRPr="00382917">
        <w:t>Vaḥíd</w:t>
      </w:r>
      <w:r w:rsidR="00EE4FC3">
        <w:t xml:space="preserve"> </w:t>
      </w:r>
      <w:r w:rsidRPr="00382917">
        <w:t>was</w:t>
      </w:r>
      <w:r w:rsidR="00EE4FC3">
        <w:t xml:space="preserve"> </w:t>
      </w:r>
      <w:r w:rsidRPr="00382917">
        <w:t>utterly</w:t>
      </w:r>
      <w:r w:rsidR="00EE4FC3">
        <w:t xml:space="preserve"> </w:t>
      </w:r>
      <w:r w:rsidRPr="00382917">
        <w:t>indifferent</w:t>
      </w:r>
      <w:r w:rsidR="00EE4FC3">
        <w:t xml:space="preserve"> </w:t>
      </w:r>
      <w:r w:rsidRPr="00382917">
        <w:t>to</w:t>
      </w:r>
      <w:r w:rsidR="00EE4FC3">
        <w:t xml:space="preserve"> </w:t>
      </w:r>
      <w:r w:rsidRPr="00382917">
        <w:t>fatigue</w:t>
      </w:r>
      <w:r w:rsidR="0040329F">
        <w:t>.</w:t>
      </w:r>
      <w:r w:rsidR="00EE4FC3">
        <w:t xml:space="preserve">  </w:t>
      </w:r>
      <w:r w:rsidRPr="00382917">
        <w:t>In</w:t>
      </w:r>
      <w:r w:rsidR="00EE4FC3">
        <w:t xml:space="preserve"> </w:t>
      </w:r>
      <w:r w:rsidRPr="00382917">
        <w:t>whatever</w:t>
      </w:r>
      <w:r w:rsidR="00EE4FC3">
        <w:t xml:space="preserve"> </w:t>
      </w:r>
      <w:r w:rsidRPr="00382917">
        <w:t>place</w:t>
      </w:r>
      <w:r w:rsidR="00EE4FC3">
        <w:t xml:space="preserve"> </w:t>
      </w:r>
      <w:r w:rsidRPr="00382917">
        <w:t>he</w:t>
      </w:r>
      <w:r w:rsidR="00EE4FC3">
        <w:t xml:space="preserve"> </w:t>
      </w:r>
      <w:r w:rsidRPr="00382917">
        <w:t>succeeded</w:t>
      </w:r>
      <w:r w:rsidR="00EE4FC3">
        <w:t xml:space="preserve"> </w:t>
      </w:r>
      <w:r w:rsidRPr="00382917">
        <w:t>in</w:t>
      </w:r>
      <w:r w:rsidR="00EE4FC3">
        <w:t xml:space="preserve"> </w:t>
      </w:r>
      <w:r w:rsidRPr="00382917">
        <w:t>attracting</w:t>
      </w:r>
      <w:r w:rsidR="00EE4FC3">
        <w:t xml:space="preserve"> </w:t>
      </w:r>
      <w:r w:rsidRPr="00382917">
        <w:t>souls</w:t>
      </w:r>
      <w:r w:rsidR="00EE4FC3">
        <w:t xml:space="preserve"> </w:t>
      </w:r>
      <w:r w:rsidRPr="00382917">
        <w:t>to</w:t>
      </w:r>
      <w:r w:rsidR="00EE4FC3">
        <w:t xml:space="preserve"> </w:t>
      </w:r>
      <w:r w:rsidRPr="00382917">
        <w:t>the</w:t>
      </w:r>
      <w:r w:rsidR="00EE4FC3">
        <w:t xml:space="preserve"> </w:t>
      </w:r>
      <w:r w:rsidRPr="00382917">
        <w:t>Faith</w:t>
      </w:r>
      <w:r w:rsidR="00EE4FC3">
        <w:t xml:space="preserve"> </w:t>
      </w:r>
      <w:r w:rsidRPr="00382917">
        <w:t>of</w:t>
      </w:r>
      <w:r w:rsidR="00EE4FC3">
        <w:t xml:space="preserve"> </w:t>
      </w:r>
      <w:r w:rsidRPr="00382917">
        <w:t>the</w:t>
      </w:r>
      <w:r w:rsidR="00EE4FC3">
        <w:t xml:space="preserve"> </w:t>
      </w:r>
      <w:r w:rsidRPr="00382917">
        <w:t>Báb,</w:t>
      </w:r>
      <w:r w:rsidR="00EE4FC3">
        <w:t xml:space="preserve"> </w:t>
      </w:r>
      <w:r w:rsidRPr="00382917">
        <w:t>he</w:t>
      </w:r>
      <w:r w:rsidR="00EE4FC3">
        <w:t xml:space="preserve"> </w:t>
      </w:r>
      <w:r w:rsidRPr="00382917">
        <w:t>would</w:t>
      </w:r>
      <w:r w:rsidR="00EE4FC3">
        <w:t xml:space="preserve"> </w:t>
      </w:r>
      <w:r w:rsidRPr="00382917">
        <w:t>stay</w:t>
      </w:r>
      <w:r w:rsidR="00EE4FC3">
        <w:t xml:space="preserve"> </w:t>
      </w:r>
      <w:r w:rsidRPr="00382917">
        <w:t>the</w:t>
      </w:r>
      <w:r w:rsidR="00EE4FC3">
        <w:t xml:space="preserve"> </w:t>
      </w:r>
      <w:r w:rsidRPr="00382917">
        <w:t>night</w:t>
      </w:r>
      <w:r w:rsidR="00EE4FC3">
        <w:t xml:space="preserve"> </w:t>
      </w:r>
      <w:r w:rsidRPr="00382917">
        <w:t>so</w:t>
      </w:r>
      <w:r w:rsidR="00EE4FC3">
        <w:t xml:space="preserve"> </w:t>
      </w:r>
      <w:r w:rsidRPr="00382917">
        <w:t>that</w:t>
      </w:r>
      <w:r w:rsidR="00EE4FC3">
        <w:t xml:space="preserve"> </w:t>
      </w:r>
      <w:r w:rsidRPr="00382917">
        <w:t>he</w:t>
      </w:r>
      <w:r w:rsidR="00EE4FC3">
        <w:t xml:space="preserve"> </w:t>
      </w:r>
      <w:r w:rsidRPr="00382917">
        <w:t>could</w:t>
      </w:r>
      <w:r w:rsidR="00EE4FC3">
        <w:t xml:space="preserve"> </w:t>
      </w:r>
      <w:r w:rsidRPr="00382917">
        <w:t>deepen</w:t>
      </w:r>
      <w:r w:rsidR="00EE4FC3">
        <w:t xml:space="preserve"> </w:t>
      </w:r>
      <w:r w:rsidRPr="00382917">
        <w:t>them</w:t>
      </w:r>
      <w:r w:rsidR="00EE4FC3">
        <w:t xml:space="preserve"> </w:t>
      </w:r>
      <w:r w:rsidRPr="00382917">
        <w:t>in</w:t>
      </w:r>
      <w:r w:rsidR="00EE4FC3">
        <w:t xml:space="preserve"> </w:t>
      </w:r>
      <w:r w:rsidRPr="00382917">
        <w:t>their</w:t>
      </w:r>
      <w:r w:rsidR="00EE4FC3">
        <w:t xml:space="preserve"> </w:t>
      </w:r>
      <w:r w:rsidRPr="00382917">
        <w:t>understanding</w:t>
      </w:r>
      <w:r w:rsidR="00EE4FC3">
        <w:t xml:space="preserve"> </w:t>
      </w:r>
      <w:r w:rsidRPr="00382917">
        <w:t>and</w:t>
      </w:r>
      <w:r w:rsidR="00EE4FC3">
        <w:t xml:space="preserve"> </w:t>
      </w:r>
      <w:r w:rsidRPr="00382917">
        <w:t>prepare</w:t>
      </w:r>
      <w:r w:rsidR="00EE4FC3">
        <w:t xml:space="preserve"> </w:t>
      </w:r>
      <w:r w:rsidRPr="00382917">
        <w:t>them</w:t>
      </w:r>
      <w:r w:rsidR="00EE4FC3">
        <w:t xml:space="preserve"> </w:t>
      </w:r>
      <w:r w:rsidRPr="00382917">
        <w:t>to</w:t>
      </w:r>
      <w:r w:rsidR="00EE4FC3">
        <w:t xml:space="preserve"> </w:t>
      </w:r>
      <w:r w:rsidRPr="00382917">
        <w:t>continue</w:t>
      </w:r>
      <w:r w:rsidR="00EE4FC3">
        <w:t xml:space="preserve"> </w:t>
      </w:r>
      <w:r w:rsidRPr="00382917">
        <w:t>the</w:t>
      </w:r>
      <w:r w:rsidR="00EE4FC3">
        <w:t xml:space="preserve"> </w:t>
      </w:r>
      <w:r w:rsidRPr="00382917">
        <w:t>work</w:t>
      </w:r>
      <w:r w:rsidR="00EE4FC3">
        <w:t xml:space="preserve"> </w:t>
      </w:r>
      <w:r w:rsidRPr="00382917">
        <w:t>of</w:t>
      </w:r>
      <w:r w:rsidR="00EE4FC3">
        <w:t xml:space="preserve"> </w:t>
      </w:r>
      <w:r w:rsidRPr="00382917">
        <w:t>teaching</w:t>
      </w:r>
      <w:r w:rsidR="00EE4FC3">
        <w:t xml:space="preserve"> </w:t>
      </w:r>
      <w:r w:rsidRPr="00382917">
        <w:t>after</w:t>
      </w:r>
      <w:r w:rsidR="00EE4FC3">
        <w:t xml:space="preserve"> </w:t>
      </w:r>
      <w:r w:rsidRPr="00382917">
        <w:t>his</w:t>
      </w:r>
      <w:r w:rsidR="00EE4FC3">
        <w:t xml:space="preserve"> </w:t>
      </w:r>
      <w:r w:rsidRPr="00382917">
        <w:t>departure</w:t>
      </w:r>
      <w:r w:rsidR="0040329F">
        <w:t>.</w:t>
      </w:r>
      <w:r w:rsidR="00EE4FC3">
        <w:t xml:space="preserve">  </w:t>
      </w:r>
      <w:r w:rsidRPr="00382917">
        <w:t>If</w:t>
      </w:r>
      <w:r w:rsidR="00EE4FC3">
        <w:t xml:space="preserve"> </w:t>
      </w:r>
      <w:r w:rsidRPr="00382917">
        <w:t>none</w:t>
      </w:r>
      <w:r w:rsidR="00EE4FC3">
        <w:t xml:space="preserve"> </w:t>
      </w:r>
      <w:r w:rsidRPr="00382917">
        <w:t>arose</w:t>
      </w:r>
      <w:r w:rsidR="00EE4FC3">
        <w:t xml:space="preserve"> </w:t>
      </w:r>
      <w:r w:rsidRPr="00382917">
        <w:t>to</w:t>
      </w:r>
      <w:r w:rsidR="00EE4FC3">
        <w:t xml:space="preserve"> </w:t>
      </w:r>
      <w:r w:rsidRPr="00382917">
        <w:t>accept</w:t>
      </w:r>
      <w:r w:rsidR="00EE4FC3">
        <w:t xml:space="preserve"> </w:t>
      </w:r>
      <w:r w:rsidRPr="00382917">
        <w:t>or</w:t>
      </w:r>
      <w:r w:rsidR="00EE4FC3">
        <w:t xml:space="preserve"> </w:t>
      </w:r>
      <w:r w:rsidRPr="00382917">
        <w:t>to</w:t>
      </w:r>
      <w:r w:rsidR="00EE4FC3">
        <w:t xml:space="preserve"> </w:t>
      </w:r>
      <w:r w:rsidRPr="00382917">
        <w:t>inquire</w:t>
      </w:r>
      <w:r w:rsidR="00EE4FC3">
        <w:t xml:space="preserve"> </w:t>
      </w:r>
      <w:r w:rsidRPr="00382917">
        <w:t>further,</w:t>
      </w:r>
      <w:r w:rsidR="00EE4FC3">
        <w:t xml:space="preserve"> </w:t>
      </w:r>
      <w:r w:rsidRPr="00382917">
        <w:t>Vaḥíd</w:t>
      </w:r>
      <w:r w:rsidR="00EE4FC3">
        <w:t xml:space="preserve"> </w:t>
      </w:r>
      <w:r w:rsidRPr="00382917">
        <w:t>would</w:t>
      </w:r>
      <w:r w:rsidR="00EE4FC3">
        <w:t xml:space="preserve"> </w:t>
      </w:r>
      <w:r w:rsidRPr="00382917">
        <w:t>leave</w:t>
      </w:r>
      <w:r w:rsidR="00EE4FC3">
        <w:t xml:space="preserve"> </w:t>
      </w:r>
      <w:r w:rsidRPr="00382917">
        <w:t>that</w:t>
      </w:r>
      <w:r w:rsidR="00EE4FC3">
        <w:t xml:space="preserve"> </w:t>
      </w:r>
      <w:r w:rsidRPr="00382917">
        <w:t>village</w:t>
      </w:r>
      <w:r w:rsidR="00EE4FC3">
        <w:t xml:space="preserve"> </w:t>
      </w:r>
      <w:r w:rsidRPr="00382917">
        <w:t>at</w:t>
      </w:r>
      <w:r w:rsidR="00EE4FC3">
        <w:t xml:space="preserve"> </w:t>
      </w:r>
      <w:r w:rsidRPr="00382917">
        <w:t>once.</w:t>
      </w:r>
    </w:p>
    <w:p w:rsidR="00B2037B" w:rsidRPr="00382917" w:rsidRDefault="009C713D" w:rsidP="00046594">
      <w:pPr>
        <w:pStyle w:val="Text"/>
      </w:pPr>
      <w:r w:rsidRPr="00382917">
        <w:t>“</w:t>
      </w:r>
      <w:r w:rsidR="00B2037B" w:rsidRPr="00382917">
        <w:t>Through</w:t>
      </w:r>
      <w:r w:rsidR="00EE4FC3">
        <w:t xml:space="preserve"> </w:t>
      </w:r>
      <w:r w:rsidR="00B2037B" w:rsidRPr="00382917">
        <w:t>whichever</w:t>
      </w:r>
      <w:r w:rsidR="00EE4FC3">
        <w:t xml:space="preserve"> </w:t>
      </w:r>
      <w:r w:rsidR="00B2037B" w:rsidRPr="00382917">
        <w:t>village</w:t>
      </w:r>
      <w:r w:rsidR="00EE4FC3">
        <w:t xml:space="preserve"> </w:t>
      </w:r>
      <w:r w:rsidR="00B2037B" w:rsidRPr="00382917">
        <w:t>I</w:t>
      </w:r>
      <w:r w:rsidR="00EE4FC3">
        <w:t xml:space="preserve"> </w:t>
      </w:r>
      <w:r w:rsidR="00B2037B" w:rsidRPr="00382917">
        <w:t>pass,</w:t>
      </w:r>
      <w:r w:rsidRPr="00382917">
        <w:t>”</w:t>
      </w:r>
      <w:r w:rsidR="00EE4FC3">
        <w:t xml:space="preserve"> </w:t>
      </w:r>
      <w:r w:rsidR="00B2037B" w:rsidRPr="00382917">
        <w:t>he</w:t>
      </w:r>
      <w:r w:rsidR="00EE4FC3">
        <w:t xml:space="preserve"> </w:t>
      </w:r>
      <w:r w:rsidR="00B2037B" w:rsidRPr="00382917">
        <w:t>told</w:t>
      </w:r>
      <w:r w:rsidR="00EE4FC3">
        <w:t xml:space="preserve"> </w:t>
      </w:r>
      <w:r w:rsidR="00B2037B" w:rsidRPr="00382917">
        <w:t>his</w:t>
      </w:r>
      <w:r w:rsidR="00EE4FC3">
        <w:t xml:space="preserve"> </w:t>
      </w:r>
      <w:r w:rsidR="00B2037B" w:rsidRPr="00382917">
        <w:t>companions,</w:t>
      </w:r>
      <w:r w:rsidR="00EE4FC3">
        <w:t xml:space="preserve"> </w:t>
      </w:r>
      <w:r w:rsidRPr="00382917">
        <w:t>“</w:t>
      </w:r>
      <w:r w:rsidR="00B2037B" w:rsidRPr="00382917">
        <w:t>and</w:t>
      </w:r>
      <w:r w:rsidR="00EE4FC3">
        <w:t xml:space="preserve"> </w:t>
      </w:r>
      <w:r w:rsidR="00B2037B" w:rsidRPr="00382917">
        <w:t>fail</w:t>
      </w:r>
      <w:r w:rsidR="00EE4FC3">
        <w:t xml:space="preserve"> </w:t>
      </w:r>
      <w:r w:rsidR="00B2037B" w:rsidRPr="00382917">
        <w:t>to</w:t>
      </w:r>
      <w:r w:rsidR="00EE4FC3">
        <w:t xml:space="preserve"> </w:t>
      </w:r>
      <w:r w:rsidR="00B2037B" w:rsidRPr="00382917">
        <w:t>inhale</w:t>
      </w:r>
      <w:r w:rsidR="00EE4FC3">
        <w:t xml:space="preserve"> </w:t>
      </w:r>
      <w:r w:rsidR="00B2037B" w:rsidRPr="00382917">
        <w:t>from</w:t>
      </w:r>
      <w:r w:rsidR="00EE4FC3">
        <w:t xml:space="preserve"> </w:t>
      </w:r>
      <w:r w:rsidR="00B2037B" w:rsidRPr="00382917">
        <w:t>its</w:t>
      </w:r>
      <w:r w:rsidR="00EE4FC3">
        <w:t xml:space="preserve"> </w:t>
      </w:r>
      <w:r w:rsidR="00B2037B" w:rsidRPr="00382917">
        <w:t>inhabitants</w:t>
      </w:r>
      <w:r w:rsidR="00EE4FC3">
        <w:t xml:space="preserve"> </w:t>
      </w:r>
      <w:r w:rsidR="00B2037B" w:rsidRPr="00382917">
        <w:t>the</w:t>
      </w:r>
      <w:r w:rsidR="00EE4FC3">
        <w:t xml:space="preserve"> </w:t>
      </w:r>
      <w:r w:rsidR="00B2037B" w:rsidRPr="00382917">
        <w:t>fragrance</w:t>
      </w:r>
      <w:r w:rsidR="00EE4FC3">
        <w:t xml:space="preserve"> </w:t>
      </w:r>
      <w:r w:rsidR="00B2037B" w:rsidRPr="00382917">
        <w:t>of</w:t>
      </w:r>
      <w:r w:rsidR="00EE4FC3">
        <w:t xml:space="preserve"> </w:t>
      </w:r>
      <w:r w:rsidR="00B2037B" w:rsidRPr="00382917">
        <w:t>belief,</w:t>
      </w:r>
      <w:r w:rsidR="00EE4FC3">
        <w:t xml:space="preserve"> </w:t>
      </w:r>
      <w:r w:rsidR="00B2037B" w:rsidRPr="00382917">
        <w:t>its</w:t>
      </w:r>
      <w:r w:rsidR="00EE4FC3">
        <w:t xml:space="preserve"> </w:t>
      </w:r>
      <w:r w:rsidR="00B2037B" w:rsidRPr="00382917">
        <w:t>food</w:t>
      </w:r>
      <w:r w:rsidR="00EE4FC3">
        <w:t xml:space="preserve"> </w:t>
      </w:r>
      <w:r w:rsidR="00B2037B" w:rsidRPr="00382917">
        <w:t>and</w:t>
      </w:r>
      <w:r w:rsidR="00EE4FC3">
        <w:t xml:space="preserve"> </w:t>
      </w:r>
      <w:r w:rsidR="00B2037B" w:rsidRPr="00382917">
        <w:t>drink</w:t>
      </w:r>
      <w:r w:rsidR="00EE4FC3">
        <w:t xml:space="preserve"> </w:t>
      </w:r>
      <w:r w:rsidR="00B2037B" w:rsidRPr="00382917">
        <w:t>are</w:t>
      </w:r>
      <w:r w:rsidR="00EE4FC3">
        <w:t xml:space="preserve"> </w:t>
      </w:r>
      <w:r w:rsidR="00B2037B" w:rsidRPr="00382917">
        <w:t>distasteful</w:t>
      </w:r>
      <w:r w:rsidR="00EE4FC3">
        <w:t xml:space="preserve"> </w:t>
      </w:r>
      <w:r w:rsidR="00B2037B" w:rsidRPr="00382917">
        <w:t>to</w:t>
      </w:r>
      <w:r w:rsidR="00EE4FC3">
        <w:t xml:space="preserve"> </w:t>
      </w:r>
      <w:r w:rsidR="00B2037B" w:rsidRPr="00382917">
        <w:t>me.</w:t>
      </w:r>
      <w:r w:rsidRPr="00382917">
        <w:t>”</w:t>
      </w:r>
      <w:r w:rsidR="00046594">
        <w:rPr>
          <w:rStyle w:val="FootnoteReference"/>
        </w:rPr>
        <w:footnoteReference w:id="171"/>
      </w:r>
    </w:p>
    <w:p w:rsidR="00B2037B" w:rsidRPr="00382917" w:rsidRDefault="00B2037B" w:rsidP="00B2037B">
      <w:pPr>
        <w:pStyle w:val="Text"/>
      </w:pPr>
      <w:r w:rsidRPr="00382917">
        <w:t>When</w:t>
      </w:r>
      <w:r w:rsidR="00EE4FC3">
        <w:t xml:space="preserve"> </w:t>
      </w:r>
      <w:r w:rsidRPr="00382917">
        <w:t>the</w:t>
      </w:r>
      <w:r w:rsidR="00EE4FC3">
        <w:t xml:space="preserve"> </w:t>
      </w:r>
      <w:r w:rsidRPr="00382917">
        <w:t>news</w:t>
      </w:r>
      <w:r w:rsidR="00EE4FC3">
        <w:t xml:space="preserve"> </w:t>
      </w:r>
      <w:r w:rsidRPr="00382917">
        <w:t>of</w:t>
      </w:r>
      <w:r w:rsidR="00EE4FC3">
        <w:t xml:space="preserve"> </w:t>
      </w:r>
      <w:proofErr w:type="spellStart"/>
      <w:r w:rsidRPr="00382917">
        <w:t>Va</w:t>
      </w:r>
      <w:r w:rsidRPr="00382917">
        <w:rPr>
          <w:sz w:val="22"/>
        </w:rPr>
        <w:t>ḥ</w:t>
      </w:r>
      <w:r w:rsidRPr="00382917">
        <w:t>íd</w:t>
      </w:r>
      <w:r w:rsidR="009C713D" w:rsidRPr="00382917">
        <w:t>’</w:t>
      </w:r>
      <w:r w:rsidRPr="00382917">
        <w:t>s</w:t>
      </w:r>
      <w:proofErr w:type="spellEnd"/>
      <w:r w:rsidR="00EE4FC3">
        <w:t xml:space="preserve"> </w:t>
      </w:r>
      <w:r w:rsidRPr="00382917">
        <w:t>approach</w:t>
      </w:r>
      <w:r w:rsidR="00EE4FC3">
        <w:t xml:space="preserve"> </w:t>
      </w:r>
      <w:r w:rsidRPr="00382917">
        <w:t>to</w:t>
      </w:r>
      <w:r w:rsidR="00EE4FC3">
        <w:t xml:space="preserve"> </w:t>
      </w:r>
      <w:r w:rsidRPr="00382917">
        <w:t>Nayríz</w:t>
      </w:r>
      <w:r w:rsidR="00EE4FC3">
        <w:t xml:space="preserve"> </w:t>
      </w:r>
      <w:r w:rsidRPr="00382917">
        <w:t>became</w:t>
      </w:r>
      <w:r w:rsidR="00EE4FC3">
        <w:t xml:space="preserve"> </w:t>
      </w:r>
      <w:r w:rsidRPr="00382917">
        <w:t>known,</w:t>
      </w:r>
      <w:r w:rsidR="00EE4FC3">
        <w:t xml:space="preserve"> </w:t>
      </w:r>
      <w:r w:rsidRPr="00382917">
        <w:t>there</w:t>
      </w:r>
      <w:r w:rsidR="00EE4FC3">
        <w:t xml:space="preserve"> </w:t>
      </w:r>
      <w:r w:rsidRPr="00382917">
        <w:t>was</w:t>
      </w:r>
      <w:r w:rsidR="00EE4FC3">
        <w:t xml:space="preserve"> </w:t>
      </w:r>
      <w:r w:rsidRPr="00382917">
        <w:t>an</w:t>
      </w:r>
      <w:r w:rsidR="00EE4FC3">
        <w:t xml:space="preserve"> </w:t>
      </w:r>
      <w:r w:rsidRPr="00382917">
        <w:t>exodus</w:t>
      </w:r>
      <w:r w:rsidR="00EE4FC3">
        <w:t xml:space="preserve"> </w:t>
      </w:r>
      <w:r w:rsidRPr="00382917">
        <w:t>from</w:t>
      </w:r>
      <w:r w:rsidR="00EE4FC3">
        <w:t xml:space="preserve"> </w:t>
      </w:r>
      <w:r w:rsidRPr="00382917">
        <w:t>the</w:t>
      </w:r>
      <w:r w:rsidR="00EE4FC3">
        <w:t xml:space="preserve"> </w:t>
      </w:r>
      <w:r w:rsidRPr="00382917">
        <w:t>city</w:t>
      </w:r>
      <w:r w:rsidR="00EE4FC3">
        <w:t xml:space="preserve"> </w:t>
      </w:r>
      <w:r w:rsidRPr="00382917">
        <w:t>to</w:t>
      </w:r>
      <w:r w:rsidR="00EE4FC3">
        <w:t xml:space="preserve"> </w:t>
      </w:r>
      <w:r w:rsidRPr="00382917">
        <w:t>greet</w:t>
      </w:r>
      <w:r w:rsidR="00EE4FC3">
        <w:t xml:space="preserve"> </w:t>
      </w:r>
      <w:r w:rsidRPr="00382917">
        <w:t>him</w:t>
      </w:r>
      <w:r w:rsidR="0040329F">
        <w:t>.</w:t>
      </w:r>
      <w:r w:rsidR="00EE4FC3">
        <w:t xml:space="preserve">  </w:t>
      </w:r>
      <w:r w:rsidRPr="00382917">
        <w:t>The</w:t>
      </w:r>
      <w:r w:rsidR="00EE4FC3">
        <w:t xml:space="preserve"> </w:t>
      </w:r>
      <w:r w:rsidRPr="00382917">
        <w:t>governor</w:t>
      </w:r>
      <w:r w:rsidR="00EE4FC3">
        <w:t xml:space="preserve"> </w:t>
      </w:r>
      <w:r w:rsidRPr="00382917">
        <w:t>forbade</w:t>
      </w:r>
      <w:r w:rsidR="00EE4FC3">
        <w:t xml:space="preserve"> </w:t>
      </w:r>
      <w:r w:rsidRPr="00382917">
        <w:t>it,</w:t>
      </w:r>
      <w:r w:rsidR="00EE4FC3">
        <w:t xml:space="preserve"> </w:t>
      </w:r>
      <w:r w:rsidRPr="00382917">
        <w:t>warning</w:t>
      </w:r>
      <w:r w:rsidR="00EE4FC3">
        <w:t xml:space="preserve"> </w:t>
      </w:r>
      <w:r w:rsidRPr="00382917">
        <w:t>the</w:t>
      </w:r>
      <w:r w:rsidR="00EE4FC3">
        <w:t xml:space="preserve"> </w:t>
      </w:r>
      <w:r w:rsidRPr="00382917">
        <w:t>people</w:t>
      </w:r>
      <w:r w:rsidR="00EE4FC3">
        <w:t xml:space="preserve"> </w:t>
      </w:r>
      <w:r w:rsidRPr="00382917">
        <w:t>of</w:t>
      </w:r>
      <w:r w:rsidR="00EE4FC3">
        <w:t xml:space="preserve"> </w:t>
      </w:r>
      <w:r w:rsidRPr="00382917">
        <w:t>the</w:t>
      </w:r>
      <w:r w:rsidR="00EE4FC3">
        <w:t xml:space="preserve"> </w:t>
      </w:r>
      <w:r w:rsidRPr="00382917">
        <w:t>danger</w:t>
      </w:r>
      <w:r w:rsidR="00EE4FC3">
        <w:t xml:space="preserve"> </w:t>
      </w:r>
      <w:r w:rsidRPr="00382917">
        <w:t>to</w:t>
      </w:r>
      <w:r w:rsidR="00EE4FC3">
        <w:t xml:space="preserve"> </w:t>
      </w:r>
      <w:r w:rsidRPr="00382917">
        <w:t>their</w:t>
      </w:r>
      <w:r w:rsidR="00EE4FC3">
        <w:t xml:space="preserve"> </w:t>
      </w:r>
      <w:r w:rsidRPr="00382917">
        <w:t>lives</w:t>
      </w:r>
      <w:r w:rsidR="00EE4FC3">
        <w:t xml:space="preserve"> </w:t>
      </w:r>
      <w:r w:rsidRPr="00382917">
        <w:t>and</w:t>
      </w:r>
      <w:r w:rsidR="00EE4FC3">
        <w:t xml:space="preserve"> </w:t>
      </w:r>
      <w:r w:rsidRPr="00382917">
        <w:t>possessions</w:t>
      </w:r>
      <w:r w:rsidR="0040329F">
        <w:t>.</w:t>
      </w:r>
      <w:r w:rsidR="00EE4FC3">
        <w:t xml:space="preserve">  </w:t>
      </w:r>
      <w:r w:rsidRPr="00382917">
        <w:t>Therefore,</w:t>
      </w:r>
      <w:r w:rsidR="00EE4FC3">
        <w:t xml:space="preserve"> </w:t>
      </w:r>
      <w:r w:rsidRPr="00382917">
        <w:t>the</w:t>
      </w:r>
      <w:r w:rsidR="00EE4FC3">
        <w:t xml:space="preserve"> </w:t>
      </w:r>
      <w:r w:rsidRPr="00382917">
        <w:t>majority</w:t>
      </w:r>
      <w:r w:rsidR="00EE4FC3">
        <w:t xml:space="preserve"> </w:t>
      </w:r>
      <w:r w:rsidRPr="00382917">
        <w:t>of</w:t>
      </w:r>
      <w:r w:rsidR="00EE4FC3">
        <w:t xml:space="preserve"> </w:t>
      </w:r>
      <w:r w:rsidRPr="00382917">
        <w:t>them</w:t>
      </w:r>
      <w:r w:rsidR="00EE4FC3">
        <w:t xml:space="preserve"> </w:t>
      </w:r>
      <w:r w:rsidRPr="00382917">
        <w:t>set</w:t>
      </w:r>
      <w:r w:rsidR="00EE4FC3">
        <w:t xml:space="preserve"> </w:t>
      </w:r>
      <w:r w:rsidRPr="00382917">
        <w:t>out</w:t>
      </w:r>
      <w:r w:rsidR="00EE4FC3">
        <w:t xml:space="preserve"> </w:t>
      </w:r>
      <w:r w:rsidRPr="00382917">
        <w:t>at</w:t>
      </w:r>
      <w:r w:rsidR="00EE4FC3">
        <w:t xml:space="preserve"> </w:t>
      </w:r>
      <w:r w:rsidRPr="00382917">
        <w:t>night</w:t>
      </w:r>
      <w:r w:rsidR="00EE4FC3">
        <w:t xml:space="preserve"> </w:t>
      </w:r>
      <w:r w:rsidRPr="00382917">
        <w:t>to</w:t>
      </w:r>
      <w:r w:rsidR="00EE4FC3">
        <w:t xml:space="preserve"> </w:t>
      </w:r>
      <w:r w:rsidRPr="00382917">
        <w:t>meet</w:t>
      </w:r>
      <w:r w:rsidR="00EE4FC3">
        <w:t xml:space="preserve"> </w:t>
      </w:r>
      <w:r w:rsidRPr="00382917">
        <w:t>Vaḥíd</w:t>
      </w:r>
      <w:r w:rsidR="00EE4FC3">
        <w:t xml:space="preserve"> </w:t>
      </w:r>
      <w:r w:rsidRPr="00382917">
        <w:t>under</w:t>
      </w:r>
      <w:r w:rsidR="00EE4FC3">
        <w:t xml:space="preserve"> </w:t>
      </w:r>
      <w:r w:rsidRPr="00382917">
        <w:t>cover</w:t>
      </w:r>
      <w:r w:rsidR="00EE4FC3">
        <w:t xml:space="preserve"> </w:t>
      </w:r>
      <w:r w:rsidRPr="00382917">
        <w:t>of</w:t>
      </w:r>
      <w:r w:rsidR="00EE4FC3">
        <w:t xml:space="preserve"> </w:t>
      </w:r>
      <w:r w:rsidRPr="00382917">
        <w:t>darkness.</w:t>
      </w:r>
    </w:p>
    <w:p w:rsidR="00B2037B" w:rsidRPr="00382917" w:rsidRDefault="00B2037B" w:rsidP="00B2037B">
      <w:pPr>
        <w:pStyle w:val="Text"/>
      </w:pPr>
      <w:r w:rsidRPr="00382917">
        <w:t>The</w:t>
      </w:r>
      <w:r w:rsidR="00EE4FC3">
        <w:t xml:space="preserve"> </w:t>
      </w:r>
      <w:r w:rsidRPr="00382917">
        <w:t>governor</w:t>
      </w:r>
      <w:r w:rsidR="00EE4FC3">
        <w:t xml:space="preserve"> </w:t>
      </w:r>
      <w:r w:rsidRPr="00382917">
        <w:t>was</w:t>
      </w:r>
      <w:r w:rsidR="00EE4FC3">
        <w:t xml:space="preserve"> </w:t>
      </w:r>
      <w:r w:rsidRPr="00382917">
        <w:t>informed</w:t>
      </w:r>
      <w:r w:rsidR="00EE4FC3">
        <w:t xml:space="preserve"> </w:t>
      </w:r>
      <w:r w:rsidRPr="00382917">
        <w:t>of</w:t>
      </w:r>
      <w:r w:rsidR="00EE4FC3">
        <w:t xml:space="preserve"> </w:t>
      </w:r>
      <w:r w:rsidRPr="00382917">
        <w:t>their</w:t>
      </w:r>
      <w:r w:rsidR="00EE4FC3">
        <w:t xml:space="preserve"> </w:t>
      </w:r>
      <w:r w:rsidRPr="00382917">
        <w:t>secret</w:t>
      </w:r>
      <w:r w:rsidR="00EE4FC3">
        <w:t xml:space="preserve"> </w:t>
      </w:r>
      <w:r w:rsidRPr="00382917">
        <w:t>departure</w:t>
      </w:r>
      <w:r w:rsidR="0040329F">
        <w:t>.</w:t>
      </w:r>
      <w:r w:rsidR="00EE4FC3">
        <w:t xml:space="preserve">  </w:t>
      </w:r>
      <w:r w:rsidRPr="00382917">
        <w:t>He</w:t>
      </w:r>
      <w:r w:rsidR="00EE4FC3">
        <w:t xml:space="preserve"> </w:t>
      </w:r>
      <w:r w:rsidRPr="00382917">
        <w:t>sent</w:t>
      </w:r>
      <w:r w:rsidR="00EE4FC3">
        <w:t xml:space="preserve"> </w:t>
      </w:r>
      <w:r w:rsidRPr="00382917">
        <w:t>a</w:t>
      </w:r>
      <w:r w:rsidR="00EE4FC3">
        <w:t xml:space="preserve"> </w:t>
      </w:r>
      <w:r w:rsidRPr="00382917">
        <w:t>special</w:t>
      </w:r>
      <w:r w:rsidR="00EE4FC3">
        <w:t xml:space="preserve"> </w:t>
      </w:r>
      <w:r w:rsidRPr="00382917">
        <w:t>messenger</w:t>
      </w:r>
      <w:r w:rsidR="00EE4FC3">
        <w:t xml:space="preserve"> </w:t>
      </w:r>
      <w:r w:rsidRPr="00382917">
        <w:t>to</w:t>
      </w:r>
      <w:r w:rsidR="00EE4FC3">
        <w:t xml:space="preserve"> </w:t>
      </w:r>
      <w:r w:rsidRPr="00382917">
        <w:t>overtake</w:t>
      </w:r>
      <w:r w:rsidR="00EE4FC3">
        <w:t xml:space="preserve"> </w:t>
      </w:r>
      <w:r w:rsidRPr="00382917">
        <w:t>them.</w:t>
      </w:r>
    </w:p>
    <w:p w:rsidR="00B2037B" w:rsidRPr="00382917" w:rsidRDefault="009C713D" w:rsidP="00B2037B">
      <w:pPr>
        <w:pStyle w:val="Text"/>
      </w:pPr>
      <w:r w:rsidRPr="00382917">
        <w:t>“</w:t>
      </w:r>
      <w:r w:rsidR="00B2037B" w:rsidRPr="00382917">
        <w:t>You</w:t>
      </w:r>
      <w:r w:rsidR="00EE4FC3">
        <w:t xml:space="preserve"> </w:t>
      </w:r>
      <w:r w:rsidR="00B2037B" w:rsidRPr="00382917">
        <w:t>will</w:t>
      </w:r>
      <w:r w:rsidR="00EE4FC3">
        <w:t xml:space="preserve"> </w:t>
      </w:r>
      <w:r w:rsidR="00B2037B" w:rsidRPr="00382917">
        <w:t>be</w:t>
      </w:r>
      <w:r w:rsidR="00EE4FC3">
        <w:t xml:space="preserve"> </w:t>
      </w:r>
      <w:r w:rsidR="00B2037B" w:rsidRPr="00382917">
        <w:t>put</w:t>
      </w:r>
      <w:r w:rsidR="00EE4FC3">
        <w:t xml:space="preserve"> </w:t>
      </w:r>
      <w:r w:rsidR="00B2037B" w:rsidRPr="00382917">
        <w:t>to</w:t>
      </w:r>
      <w:r w:rsidR="00EE4FC3">
        <w:t xml:space="preserve"> </w:t>
      </w:r>
      <w:r w:rsidR="00B2037B" w:rsidRPr="00382917">
        <w:t>death,</w:t>
      </w:r>
      <w:r w:rsidRPr="00382917">
        <w:t>”</w:t>
      </w:r>
      <w:r w:rsidR="00EE4FC3">
        <w:t xml:space="preserve"> </w:t>
      </w:r>
      <w:r w:rsidR="00B2037B" w:rsidRPr="00382917">
        <w:t>he</w:t>
      </w:r>
      <w:r w:rsidR="00EE4FC3">
        <w:t xml:space="preserve"> </w:t>
      </w:r>
      <w:r w:rsidR="00B2037B" w:rsidRPr="00382917">
        <w:t>warned</w:t>
      </w:r>
      <w:r w:rsidR="00EE4FC3">
        <w:t xml:space="preserve"> </w:t>
      </w:r>
      <w:r w:rsidR="00B2037B" w:rsidRPr="00382917">
        <w:t>them,</w:t>
      </w:r>
      <w:r w:rsidR="00EE4FC3">
        <w:t xml:space="preserve"> </w:t>
      </w:r>
      <w:r w:rsidRPr="00382917">
        <w:t>“</w:t>
      </w:r>
      <w:r w:rsidR="00B2037B" w:rsidRPr="00382917">
        <w:t>if</w:t>
      </w:r>
      <w:r w:rsidR="00EE4FC3">
        <w:t xml:space="preserve"> </w:t>
      </w:r>
      <w:r w:rsidR="00B2037B" w:rsidRPr="00382917">
        <w:t>you</w:t>
      </w:r>
      <w:r w:rsidR="00EE4FC3">
        <w:t xml:space="preserve"> </w:t>
      </w:r>
      <w:r w:rsidR="00B2037B" w:rsidRPr="00382917">
        <w:t>show</w:t>
      </w:r>
      <w:r w:rsidR="00EE4FC3">
        <w:t xml:space="preserve"> </w:t>
      </w:r>
      <w:r w:rsidR="00B2037B" w:rsidRPr="00382917">
        <w:t>allegiance</w:t>
      </w:r>
      <w:r w:rsidR="00EE4FC3">
        <w:t xml:space="preserve"> </w:t>
      </w:r>
      <w:r w:rsidR="00B2037B" w:rsidRPr="00382917">
        <w:t>to</w:t>
      </w:r>
      <w:r w:rsidR="00EE4FC3">
        <w:t xml:space="preserve"> </w:t>
      </w:r>
      <w:r w:rsidR="00B2037B" w:rsidRPr="00382917">
        <w:t>Vaḥíd</w:t>
      </w:r>
      <w:r w:rsidR="0040329F">
        <w:t>.</w:t>
      </w:r>
      <w:r w:rsidR="00EE4FC3">
        <w:t xml:space="preserve">  </w:t>
      </w:r>
      <w:r w:rsidR="00B2037B" w:rsidRPr="00382917">
        <w:t>I</w:t>
      </w:r>
      <w:r w:rsidR="00EE4FC3">
        <w:t xml:space="preserve"> </w:t>
      </w:r>
      <w:r w:rsidR="00B2037B" w:rsidRPr="00382917">
        <w:t>will</w:t>
      </w:r>
      <w:r w:rsidR="00EE4FC3">
        <w:t xml:space="preserve"> </w:t>
      </w:r>
      <w:r w:rsidR="00B2037B" w:rsidRPr="00382917">
        <w:t>not</w:t>
      </w:r>
      <w:r w:rsidR="00EE4FC3">
        <w:t xml:space="preserve"> </w:t>
      </w:r>
      <w:r w:rsidR="00B2037B" w:rsidRPr="00382917">
        <w:t>permit</w:t>
      </w:r>
      <w:r w:rsidR="00EE4FC3">
        <w:t xml:space="preserve"> </w:t>
      </w:r>
      <w:r w:rsidR="00B2037B" w:rsidRPr="00382917">
        <w:t>his</w:t>
      </w:r>
      <w:r w:rsidR="00EE4FC3">
        <w:t xml:space="preserve"> </w:t>
      </w:r>
      <w:r w:rsidR="00B2037B" w:rsidRPr="00382917">
        <w:t>victories</w:t>
      </w:r>
      <w:r w:rsidR="00EE4FC3">
        <w:t xml:space="preserve"> </w:t>
      </w:r>
      <w:r w:rsidR="00B2037B" w:rsidRPr="00382917">
        <w:t>of</w:t>
      </w:r>
      <w:r w:rsidR="00EE4FC3">
        <w:t xml:space="preserve"> </w:t>
      </w:r>
      <w:r w:rsidR="00B2037B" w:rsidRPr="00382917">
        <w:t>Yazd</w:t>
      </w:r>
      <w:r w:rsidR="00EE4FC3">
        <w:t xml:space="preserve"> </w:t>
      </w:r>
      <w:r w:rsidR="00B2037B" w:rsidRPr="00382917">
        <w:t>to</w:t>
      </w:r>
      <w:r w:rsidR="00EE4FC3">
        <w:t xml:space="preserve"> </w:t>
      </w:r>
      <w:r w:rsidR="00B2037B" w:rsidRPr="00382917">
        <w:t>be</w:t>
      </w:r>
      <w:r w:rsidR="00EE4FC3">
        <w:t xml:space="preserve"> </w:t>
      </w:r>
      <w:r w:rsidR="00B2037B" w:rsidRPr="00382917">
        <w:t>repeated</w:t>
      </w:r>
      <w:r w:rsidR="00EE4FC3">
        <w:t xml:space="preserve"> </w:t>
      </w:r>
      <w:r w:rsidR="00B2037B" w:rsidRPr="00382917">
        <w:t>in</w:t>
      </w:r>
      <w:r w:rsidR="00EE4FC3">
        <w:t xml:space="preserve"> </w:t>
      </w:r>
      <w:r w:rsidR="00B2037B" w:rsidRPr="00382917">
        <w:t>Nayríz!</w:t>
      </w:r>
      <w:r w:rsidRPr="00382917">
        <w:t>”</w:t>
      </w:r>
    </w:p>
    <w:p w:rsidR="00B2037B" w:rsidRPr="00382917" w:rsidRDefault="00B2037B" w:rsidP="00B2037B">
      <w:pPr>
        <w:pStyle w:val="Text"/>
      </w:pPr>
      <w:r w:rsidRPr="00382917">
        <w:t>Not</w:t>
      </w:r>
      <w:r w:rsidR="00EE4FC3">
        <w:t xml:space="preserve"> </w:t>
      </w:r>
      <w:r w:rsidRPr="00382917">
        <w:t>one</w:t>
      </w:r>
      <w:r w:rsidR="00EE4FC3">
        <w:t xml:space="preserve"> </w:t>
      </w:r>
      <w:r w:rsidRPr="00382917">
        <w:t>of</w:t>
      </w:r>
      <w:r w:rsidR="00EE4FC3">
        <w:t xml:space="preserve"> </w:t>
      </w:r>
      <w:r w:rsidRPr="00382917">
        <w:t>the</w:t>
      </w:r>
      <w:r w:rsidR="00EE4FC3">
        <w:t xml:space="preserve"> </w:t>
      </w:r>
      <w:r w:rsidRPr="00382917">
        <w:t>people</w:t>
      </w:r>
      <w:r w:rsidR="00EE4FC3">
        <w:t xml:space="preserve"> </w:t>
      </w:r>
      <w:r w:rsidRPr="00382917">
        <w:t>heeded</w:t>
      </w:r>
      <w:r w:rsidR="00EE4FC3">
        <w:t xml:space="preserve"> </w:t>
      </w:r>
      <w:r w:rsidRPr="00382917">
        <w:t>this</w:t>
      </w:r>
      <w:r w:rsidR="00EE4FC3">
        <w:t xml:space="preserve"> </w:t>
      </w:r>
      <w:r w:rsidRPr="00382917">
        <w:t>warning</w:t>
      </w:r>
      <w:r w:rsidR="0040329F">
        <w:t>.</w:t>
      </w:r>
      <w:r w:rsidR="00EE4FC3">
        <w:t xml:space="preserve">  </w:t>
      </w:r>
      <w:r w:rsidRPr="00382917">
        <w:t>They</w:t>
      </w:r>
      <w:r w:rsidR="00EE4FC3">
        <w:t xml:space="preserve"> </w:t>
      </w:r>
      <w:r w:rsidRPr="00382917">
        <w:t>continued</w:t>
      </w:r>
      <w:r w:rsidR="00EE4FC3">
        <w:t xml:space="preserve"> </w:t>
      </w:r>
      <w:r w:rsidRPr="00382917">
        <w:t>on</w:t>
      </w:r>
      <w:r w:rsidR="00EE4FC3">
        <w:t xml:space="preserve"> </w:t>
      </w:r>
      <w:r w:rsidRPr="00382917">
        <w:t>their</w:t>
      </w:r>
      <w:r w:rsidR="00EE4FC3">
        <w:t xml:space="preserve"> </w:t>
      </w:r>
      <w:r w:rsidRPr="00382917">
        <w:t>way</w:t>
      </w:r>
      <w:r w:rsidR="0040329F">
        <w:t>.</w:t>
      </w:r>
      <w:r w:rsidR="00EE4FC3">
        <w:t xml:space="preserve">  </w:t>
      </w:r>
      <w:r w:rsidRPr="00382917">
        <w:t>The</w:t>
      </w:r>
      <w:r w:rsidR="00EE4FC3">
        <w:t xml:space="preserve"> </w:t>
      </w:r>
      <w:r w:rsidRPr="00382917">
        <w:t>governor</w:t>
      </w:r>
      <w:r w:rsidR="00EE4FC3">
        <w:t xml:space="preserve"> </w:t>
      </w:r>
      <w:r w:rsidRPr="00382917">
        <w:t>was</w:t>
      </w:r>
      <w:r w:rsidR="00EE4FC3">
        <w:t xml:space="preserve"> </w:t>
      </w:r>
      <w:r w:rsidRPr="00382917">
        <w:t>dismayed</w:t>
      </w:r>
      <w:r w:rsidR="00EE4FC3">
        <w:t xml:space="preserve"> </w:t>
      </w:r>
      <w:r w:rsidRPr="00382917">
        <w:t>when</w:t>
      </w:r>
      <w:r w:rsidR="00EE4FC3">
        <w:t xml:space="preserve"> </w:t>
      </w:r>
      <w:r w:rsidRPr="00382917">
        <w:t>his</w:t>
      </w:r>
      <w:r w:rsidR="00EE4FC3">
        <w:t xml:space="preserve"> </w:t>
      </w:r>
      <w:r w:rsidRPr="00382917">
        <w:t>messenger</w:t>
      </w:r>
      <w:r w:rsidR="00EE4FC3">
        <w:t xml:space="preserve"> </w:t>
      </w:r>
      <w:r w:rsidRPr="00382917">
        <w:t>reported</w:t>
      </w:r>
      <w:r w:rsidR="00EE4FC3">
        <w:t xml:space="preserve"> </w:t>
      </w:r>
      <w:r w:rsidRPr="00382917">
        <w:t>their</w:t>
      </w:r>
      <w:r w:rsidR="00EE4FC3">
        <w:t xml:space="preserve"> </w:t>
      </w:r>
      <w:r w:rsidRPr="00382917">
        <w:t>disdainful</w:t>
      </w:r>
      <w:r w:rsidR="00EE4FC3">
        <w:t xml:space="preserve"> </w:t>
      </w:r>
      <w:r w:rsidRPr="00382917">
        <w:t>neglect</w:t>
      </w:r>
      <w:r w:rsidR="00EE4FC3">
        <w:t xml:space="preserve"> </w:t>
      </w:r>
      <w:r w:rsidRPr="00382917">
        <w:t>of</w:t>
      </w:r>
      <w:r w:rsidR="00EE4FC3">
        <w:t xml:space="preserve"> </w:t>
      </w:r>
      <w:r w:rsidRPr="00382917">
        <w:t>his</w:t>
      </w:r>
      <w:r w:rsidR="00EE4FC3">
        <w:t xml:space="preserve"> </w:t>
      </w:r>
      <w:r w:rsidRPr="00382917">
        <w:t>warning</w:t>
      </w:r>
      <w:r w:rsidR="0040329F">
        <w:t>.</w:t>
      </w:r>
      <w:r w:rsidR="00EE4FC3">
        <w:t xml:space="preserve">  </w:t>
      </w:r>
      <w:r w:rsidRPr="00382917">
        <w:t>He</w:t>
      </w:r>
      <w:r w:rsidR="00EE4FC3">
        <w:t xml:space="preserve"> </w:t>
      </w:r>
      <w:r w:rsidRPr="00382917">
        <w:t>decided</w:t>
      </w:r>
      <w:r w:rsidR="00EE4FC3">
        <w:t xml:space="preserve"> </w:t>
      </w:r>
      <w:r w:rsidRPr="00382917">
        <w:t>he</w:t>
      </w:r>
      <w:r w:rsidR="00EE4FC3">
        <w:t xml:space="preserve"> </w:t>
      </w:r>
      <w:r w:rsidRPr="00382917">
        <w:t>must</w:t>
      </w:r>
      <w:r w:rsidR="00EE4FC3">
        <w:t xml:space="preserve"> </w:t>
      </w:r>
      <w:r w:rsidRPr="00382917">
        <w:t>take</w:t>
      </w:r>
      <w:r w:rsidR="00EE4FC3">
        <w:t xml:space="preserve"> </w:t>
      </w:r>
      <w:r w:rsidRPr="00382917">
        <w:t>some</w:t>
      </w:r>
      <w:r w:rsidR="00EE4FC3">
        <w:t xml:space="preserve"> </w:t>
      </w:r>
      <w:r w:rsidRPr="00382917">
        <w:t>strong</w:t>
      </w:r>
      <w:r w:rsidR="00EE4FC3">
        <w:t xml:space="preserve"> </w:t>
      </w:r>
      <w:r w:rsidRPr="00382917">
        <w:t>action</w:t>
      </w:r>
      <w:r w:rsidR="00EE4FC3">
        <w:t xml:space="preserve"> </w:t>
      </w:r>
      <w:r w:rsidRPr="00382917">
        <w:t>to</w:t>
      </w:r>
      <w:r w:rsidR="00EE4FC3">
        <w:t xml:space="preserve"> </w:t>
      </w:r>
      <w:r w:rsidRPr="00382917">
        <w:t>maintain</w:t>
      </w:r>
      <w:r w:rsidR="00EE4FC3">
        <w:t xml:space="preserve"> </w:t>
      </w:r>
      <w:r w:rsidRPr="00382917">
        <w:t>his</w:t>
      </w:r>
      <w:r w:rsidR="00EE4FC3">
        <w:t xml:space="preserve"> </w:t>
      </w:r>
      <w:r w:rsidRPr="00382917">
        <w:t>prestige.</w:t>
      </w:r>
    </w:p>
    <w:p w:rsidR="00B2037B" w:rsidRPr="00382917" w:rsidRDefault="00B2037B" w:rsidP="00B2037B">
      <w:pPr>
        <w:pStyle w:val="Text"/>
      </w:pPr>
      <w:r w:rsidRPr="00382917">
        <w:t>The</w:t>
      </w:r>
      <w:r w:rsidR="00EE4FC3">
        <w:t xml:space="preserve"> </w:t>
      </w:r>
      <w:r w:rsidRPr="00382917">
        <w:t>very</w:t>
      </w:r>
      <w:r w:rsidR="00EE4FC3">
        <w:t xml:space="preserve"> </w:t>
      </w:r>
      <w:r w:rsidRPr="00382917">
        <w:t>first</w:t>
      </w:r>
      <w:r w:rsidR="00EE4FC3">
        <w:t xml:space="preserve"> </w:t>
      </w:r>
      <w:r w:rsidRPr="00382917">
        <w:t>thing</w:t>
      </w:r>
      <w:r w:rsidR="00EE4FC3">
        <w:t xml:space="preserve"> </w:t>
      </w:r>
      <w:r w:rsidRPr="00382917">
        <w:t>Vaḥíd</w:t>
      </w:r>
      <w:r w:rsidR="00EE4FC3">
        <w:t xml:space="preserve"> </w:t>
      </w:r>
      <w:r w:rsidRPr="00382917">
        <w:t>did</w:t>
      </w:r>
      <w:r w:rsidR="00EE4FC3">
        <w:t xml:space="preserve"> </w:t>
      </w:r>
      <w:r w:rsidRPr="00382917">
        <w:t>upon</w:t>
      </w:r>
      <w:r w:rsidR="00EE4FC3">
        <w:t xml:space="preserve"> </w:t>
      </w:r>
      <w:r w:rsidRPr="00382917">
        <w:t>reaching</w:t>
      </w:r>
      <w:r w:rsidR="00EE4FC3">
        <w:t xml:space="preserve"> </w:t>
      </w:r>
      <w:r w:rsidRPr="00382917">
        <w:t>Nayríz,</w:t>
      </w:r>
      <w:r w:rsidR="00EE4FC3">
        <w:t xml:space="preserve"> </w:t>
      </w:r>
      <w:r w:rsidRPr="00382917">
        <w:t>even</w:t>
      </w:r>
      <w:r w:rsidR="00EE4FC3">
        <w:t xml:space="preserve"> </w:t>
      </w:r>
      <w:r w:rsidRPr="00382917">
        <w:t>before</w:t>
      </w:r>
      <w:r w:rsidR="00EE4FC3">
        <w:t xml:space="preserve"> </w:t>
      </w:r>
      <w:r w:rsidRPr="00382917">
        <w:t>going</w:t>
      </w:r>
      <w:r w:rsidR="00EE4FC3">
        <w:t xml:space="preserve"> </w:t>
      </w:r>
      <w:r w:rsidRPr="00382917">
        <w:t>to</w:t>
      </w:r>
      <w:r w:rsidR="00EE4FC3">
        <w:t xml:space="preserve"> </w:t>
      </w:r>
      <w:r w:rsidRPr="00382917">
        <w:t>his</w:t>
      </w:r>
      <w:r w:rsidR="00EE4FC3">
        <w:t xml:space="preserve"> </w:t>
      </w:r>
      <w:r w:rsidRPr="00382917">
        <w:t>own</w:t>
      </w:r>
      <w:r w:rsidR="00EE4FC3">
        <w:t xml:space="preserve"> </w:t>
      </w:r>
      <w:r w:rsidRPr="00382917">
        <w:t>home,</w:t>
      </w:r>
      <w:r w:rsidR="00EE4FC3">
        <w:t xml:space="preserve"> </w:t>
      </w:r>
      <w:r w:rsidRPr="00382917">
        <w:t>was</w:t>
      </w:r>
      <w:r w:rsidR="00EE4FC3">
        <w:t xml:space="preserve"> </w:t>
      </w:r>
      <w:r w:rsidRPr="00382917">
        <w:t>to</w:t>
      </w:r>
      <w:r w:rsidR="00EE4FC3">
        <w:t xml:space="preserve"> </w:t>
      </w:r>
      <w:r w:rsidRPr="00382917">
        <w:t>enter</w:t>
      </w:r>
      <w:r w:rsidR="00EE4FC3">
        <w:t xml:space="preserve"> </w:t>
      </w:r>
      <w:r w:rsidRPr="00382917">
        <w:t>the</w:t>
      </w:r>
      <w:r w:rsidR="00EE4FC3">
        <w:t xml:space="preserve"> </w:t>
      </w:r>
      <w:r w:rsidRPr="00382917">
        <w:t>place</w:t>
      </w:r>
      <w:r w:rsidR="00EE4FC3">
        <w:t xml:space="preserve"> </w:t>
      </w:r>
      <w:r w:rsidRPr="00382917">
        <w:t>of</w:t>
      </w:r>
      <w:r w:rsidR="00EE4FC3">
        <w:t xml:space="preserve"> </w:t>
      </w:r>
      <w:r w:rsidRPr="00382917">
        <w:t>worship</w:t>
      </w:r>
      <w:r w:rsidR="00EE4FC3">
        <w:t xml:space="preserve"> </w:t>
      </w:r>
      <w:r w:rsidRPr="00382917">
        <w:t>and</w:t>
      </w:r>
      <w:r w:rsidR="00EE4FC3">
        <w:t xml:space="preserve"> </w:t>
      </w:r>
      <w:r w:rsidRPr="00382917">
        <w:t>address</w:t>
      </w:r>
      <w:r w:rsidR="00EE4FC3">
        <w:t xml:space="preserve"> </w:t>
      </w:r>
      <w:r w:rsidRPr="00382917">
        <w:t>the</w:t>
      </w:r>
      <w:r w:rsidR="00EE4FC3">
        <w:t xml:space="preserve"> </w:t>
      </w:r>
      <w:r w:rsidRPr="00382917">
        <w:t>congregation</w:t>
      </w:r>
      <w:r w:rsidR="00EE4FC3">
        <w:t xml:space="preserve"> </w:t>
      </w:r>
      <w:r w:rsidRPr="00382917">
        <w:t>of</w:t>
      </w:r>
      <w:r w:rsidR="00EE4FC3">
        <w:t xml:space="preserve"> </w:t>
      </w:r>
      <w:r w:rsidRPr="00382917">
        <w:t>his</w:t>
      </w:r>
      <w:r w:rsidR="00EE4FC3">
        <w:t xml:space="preserve"> </w:t>
      </w:r>
      <w:r w:rsidRPr="00382917">
        <w:t>friends</w:t>
      </w:r>
      <w:r w:rsidR="00EE4FC3">
        <w:t xml:space="preserve"> </w:t>
      </w:r>
      <w:r w:rsidRPr="00382917">
        <w:t>that</w:t>
      </w:r>
      <w:r w:rsidR="00EE4FC3">
        <w:t xml:space="preserve"> </w:t>
      </w:r>
      <w:r w:rsidRPr="00382917">
        <w:t>had</w:t>
      </w:r>
      <w:r w:rsidR="00EE4FC3">
        <w:t xml:space="preserve"> </w:t>
      </w:r>
      <w:r w:rsidRPr="00382917">
        <w:t>gathered</w:t>
      </w:r>
      <w:r w:rsidR="00EE4FC3">
        <w:t xml:space="preserve"> </w:t>
      </w:r>
      <w:r w:rsidRPr="00382917">
        <w:t>there</w:t>
      </w:r>
      <w:r w:rsidR="0040329F">
        <w:t>.</w:t>
      </w:r>
      <w:r w:rsidR="00EE4FC3">
        <w:t xml:space="preserve">  </w:t>
      </w:r>
      <w:r w:rsidRPr="00382917">
        <w:t>He</w:t>
      </w:r>
      <w:r w:rsidR="00EE4FC3">
        <w:t xml:space="preserve"> </w:t>
      </w:r>
      <w:r w:rsidRPr="00382917">
        <w:t>called</w:t>
      </w:r>
      <w:r w:rsidR="00EE4FC3">
        <w:t xml:space="preserve"> </w:t>
      </w:r>
      <w:r w:rsidRPr="00382917">
        <w:t>upon</w:t>
      </w:r>
      <w:r w:rsidR="00EE4FC3">
        <w:t xml:space="preserve"> </w:t>
      </w:r>
      <w:r w:rsidRPr="00382917">
        <w:t>them</w:t>
      </w:r>
      <w:r w:rsidR="00EE4FC3">
        <w:t xml:space="preserve"> </w:t>
      </w:r>
      <w:r w:rsidRPr="00382917">
        <w:t>to</w:t>
      </w:r>
      <w:r w:rsidR="00EE4FC3">
        <w:t xml:space="preserve"> </w:t>
      </w:r>
      <w:r w:rsidRPr="00382917">
        <w:t>embrace</w:t>
      </w:r>
      <w:r w:rsidR="00EE4FC3">
        <w:t xml:space="preserve"> </w:t>
      </w:r>
      <w:r w:rsidRPr="00382917">
        <w:t>the</w:t>
      </w:r>
      <w:r w:rsidR="00EE4FC3">
        <w:t xml:space="preserve"> </w:t>
      </w:r>
      <w:r w:rsidRPr="00382917">
        <w:t>Faith</w:t>
      </w:r>
      <w:r w:rsidR="00EE4FC3">
        <w:t xml:space="preserve"> </w:t>
      </w:r>
      <w:r w:rsidRPr="00382917">
        <w:t>of</w:t>
      </w:r>
      <w:r w:rsidR="00EE4FC3">
        <w:t xml:space="preserve"> </w:t>
      </w:r>
      <w:r w:rsidRPr="00382917">
        <w:t>the</w:t>
      </w:r>
      <w:r w:rsidR="00EE4FC3">
        <w:t xml:space="preserve"> </w:t>
      </w:r>
      <w:r w:rsidRPr="00382917">
        <w:t>Báb</w:t>
      </w:r>
      <w:r w:rsidR="0040329F">
        <w:t>.</w:t>
      </w:r>
      <w:r w:rsidR="00EE4FC3">
        <w:t xml:space="preserve">  </w:t>
      </w:r>
      <w:r w:rsidRPr="00382917">
        <w:t>The</w:t>
      </w:r>
      <w:r w:rsidR="00EE4FC3">
        <w:t xml:space="preserve"> </w:t>
      </w:r>
      <w:r w:rsidRPr="00382917">
        <w:t>Promised</w:t>
      </w:r>
      <w:r w:rsidR="00EE4FC3">
        <w:t xml:space="preserve"> </w:t>
      </w:r>
      <w:r w:rsidRPr="00382917">
        <w:t>One</w:t>
      </w:r>
      <w:r w:rsidR="00EE4FC3">
        <w:t xml:space="preserve"> </w:t>
      </w:r>
      <w:r w:rsidRPr="00382917">
        <w:t>of</w:t>
      </w:r>
      <w:r w:rsidR="00EE4FC3">
        <w:t xml:space="preserve"> </w:t>
      </w:r>
      <w:r w:rsidRPr="00382917">
        <w:t>God</w:t>
      </w:r>
      <w:r w:rsidR="00EE4FC3">
        <w:t xml:space="preserve"> </w:t>
      </w:r>
      <w:r w:rsidRPr="00382917">
        <w:t>has</w:t>
      </w:r>
      <w:r w:rsidR="00EE4FC3">
        <w:t xml:space="preserve"> </w:t>
      </w:r>
      <w:r w:rsidRPr="00382917">
        <w:t>appeared,</w:t>
      </w:r>
      <w:r w:rsidR="00EE4FC3">
        <w:t xml:space="preserve"> </w:t>
      </w:r>
      <w:r w:rsidRPr="00382917">
        <w:t>he</w:t>
      </w:r>
      <w:r w:rsidR="00EE4FC3">
        <w:t xml:space="preserve"> </w:t>
      </w:r>
      <w:r w:rsidRPr="00382917">
        <w:t>told</w:t>
      </w:r>
      <w:r w:rsidR="00EE4FC3">
        <w:t xml:space="preserve"> </w:t>
      </w:r>
      <w:r w:rsidRPr="00382917">
        <w:t>them</w:t>
      </w:r>
      <w:r w:rsidR="0040329F">
        <w:t>.</w:t>
      </w:r>
      <w:r w:rsidR="00EE4FC3">
        <w:t xml:space="preserve">  </w:t>
      </w:r>
      <w:r w:rsidRPr="00382917">
        <w:t>Still</w:t>
      </w:r>
      <w:r w:rsidR="00EE4FC3">
        <w:t xml:space="preserve"> </w:t>
      </w:r>
      <w:r w:rsidRPr="00382917">
        <w:t>wearing</w:t>
      </w:r>
      <w:r w:rsidR="00EE4FC3">
        <w:t xml:space="preserve"> </w:t>
      </w:r>
      <w:r w:rsidRPr="00382917">
        <w:t>his</w:t>
      </w:r>
      <w:r w:rsidR="00EE4FC3">
        <w:t xml:space="preserve"> </w:t>
      </w:r>
      <w:r w:rsidRPr="00382917">
        <w:t>dust-laden</w:t>
      </w:r>
      <w:r w:rsidR="00EE4FC3">
        <w:t xml:space="preserve"> </w:t>
      </w:r>
      <w:r w:rsidRPr="00382917">
        <w:t>garments,</w:t>
      </w:r>
      <w:r w:rsidR="00EE4FC3">
        <w:t xml:space="preserve"> </w:t>
      </w:r>
      <w:r w:rsidRPr="00382917">
        <w:t>Vaḥíd</w:t>
      </w:r>
      <w:r w:rsidR="00EE4FC3">
        <w:t xml:space="preserve"> </w:t>
      </w:r>
      <w:r w:rsidRPr="00382917">
        <w:t>ascended</w:t>
      </w:r>
      <w:r w:rsidR="00EE4FC3">
        <w:t xml:space="preserve"> </w:t>
      </w:r>
      <w:r w:rsidRPr="00382917">
        <w:t>the</w:t>
      </w:r>
      <w:r w:rsidR="00EE4FC3">
        <w:t xml:space="preserve"> </w:t>
      </w:r>
      <w:r w:rsidRPr="00382917">
        <w:t>pulpit</w:t>
      </w:r>
      <w:r w:rsidR="00EE4FC3">
        <w:t xml:space="preserve"> </w:t>
      </w:r>
      <w:r w:rsidRPr="00382917">
        <w:t>and</w:t>
      </w:r>
      <w:r w:rsidR="00EE4FC3">
        <w:t xml:space="preserve"> </w:t>
      </w:r>
      <w:r w:rsidRPr="00382917">
        <w:t>spoke</w:t>
      </w:r>
      <w:r w:rsidR="00EE4FC3">
        <w:t xml:space="preserve"> </w:t>
      </w:r>
      <w:r w:rsidRPr="00382917">
        <w:t>with</w:t>
      </w:r>
      <w:r w:rsidR="00EE4FC3">
        <w:t xml:space="preserve"> </w:t>
      </w:r>
      <w:r w:rsidRPr="00382917">
        <w:t>such</w:t>
      </w:r>
      <w:r w:rsidR="00EE4FC3">
        <w:t xml:space="preserve"> </w:t>
      </w:r>
      <w:r w:rsidRPr="00382917">
        <w:t>convincing</w:t>
      </w:r>
      <w:r w:rsidR="00EE4FC3">
        <w:t xml:space="preserve"> </w:t>
      </w:r>
      <w:r w:rsidRPr="00382917">
        <w:t>eloquence</w:t>
      </w:r>
      <w:r w:rsidR="00EE4FC3">
        <w:t xml:space="preserve"> </w:t>
      </w:r>
      <w:r w:rsidRPr="00382917">
        <w:t>that</w:t>
      </w:r>
      <w:r w:rsidR="00EE4FC3">
        <w:t xml:space="preserve"> </w:t>
      </w:r>
      <w:r w:rsidRPr="00382917">
        <w:t>the</w:t>
      </w:r>
      <w:r w:rsidR="00EE4FC3">
        <w:t xml:space="preserve"> </w:t>
      </w:r>
      <w:r w:rsidRPr="00382917">
        <w:t>whole</w:t>
      </w:r>
      <w:r w:rsidR="00EE4FC3">
        <w:t xml:space="preserve"> </w:t>
      </w:r>
      <w:r w:rsidRPr="00382917">
        <w:t>audience</w:t>
      </w:r>
      <w:r w:rsidR="00EE4FC3">
        <w:t xml:space="preserve"> </w:t>
      </w:r>
      <w:r w:rsidRPr="00382917">
        <w:t>was</w:t>
      </w:r>
      <w:r w:rsidR="00EE4FC3">
        <w:t xml:space="preserve"> </w:t>
      </w:r>
      <w:r w:rsidRPr="00382917">
        <w:t>electrified</w:t>
      </w:r>
      <w:r w:rsidR="00EE4FC3">
        <w:t xml:space="preserve"> </w:t>
      </w:r>
      <w:r w:rsidRPr="00382917">
        <w:t>by</w:t>
      </w:r>
      <w:r w:rsidR="00EE4FC3">
        <w:t xml:space="preserve"> </w:t>
      </w:r>
      <w:r w:rsidRPr="00382917">
        <w:t>his</w:t>
      </w:r>
      <w:r w:rsidR="00EE4FC3">
        <w:t xml:space="preserve"> </w:t>
      </w:r>
      <w:r w:rsidRPr="00382917">
        <w:t>appeal</w:t>
      </w:r>
      <w:r w:rsidR="0040329F">
        <w:t>.</w:t>
      </w:r>
      <w:r w:rsidR="00EE4FC3">
        <w:t xml:space="preserve">  </w:t>
      </w:r>
      <w:r w:rsidRPr="00382917">
        <w:t>When</w:t>
      </w:r>
      <w:r w:rsidR="00EE4FC3">
        <w:t xml:space="preserve"> </w:t>
      </w:r>
      <w:r w:rsidRPr="00382917">
        <w:t>the</w:t>
      </w:r>
      <w:r w:rsidR="00EE4FC3">
        <w:t xml:space="preserve"> </w:t>
      </w:r>
      <w:r w:rsidRPr="00382917">
        <w:t>first</w:t>
      </w:r>
      <w:r w:rsidR="00EE4FC3">
        <w:t xml:space="preserve"> </w:t>
      </w:r>
      <w:r w:rsidRPr="00382917">
        <w:t>flush</w:t>
      </w:r>
      <w:r w:rsidR="00EE4FC3">
        <w:t xml:space="preserve"> </w:t>
      </w:r>
      <w:r w:rsidRPr="00382917">
        <w:t>of</w:t>
      </w:r>
      <w:r w:rsidR="00EE4FC3">
        <w:t xml:space="preserve"> </w:t>
      </w:r>
      <w:r w:rsidRPr="00382917">
        <w:t>excitement</w:t>
      </w:r>
      <w:r w:rsidR="00EE4FC3">
        <w:t xml:space="preserve"> </w:t>
      </w:r>
      <w:r w:rsidRPr="00382917">
        <w:t>subsided,</w:t>
      </w:r>
      <w:r w:rsidR="00EE4FC3">
        <w:t xml:space="preserve"> </w:t>
      </w:r>
      <w:r w:rsidRPr="00382917">
        <w:t>Vaḥíd</w:t>
      </w:r>
      <w:r w:rsidR="00EE4FC3">
        <w:t xml:space="preserve"> </w:t>
      </w:r>
      <w:r w:rsidRPr="00382917">
        <w:t>continued</w:t>
      </w:r>
      <w:r w:rsidR="00EE4FC3">
        <w:t xml:space="preserve"> </w:t>
      </w:r>
      <w:r w:rsidRPr="00382917">
        <w:t>speaking.</w:t>
      </w:r>
    </w:p>
    <w:p w:rsidR="00B2037B" w:rsidRPr="00382917" w:rsidRDefault="009C713D" w:rsidP="00B2037B">
      <w:pPr>
        <w:pStyle w:val="Text"/>
      </w:pPr>
      <w:r w:rsidRPr="00382917">
        <w:t>“</w:t>
      </w:r>
      <w:r w:rsidR="00B2037B" w:rsidRPr="00382917">
        <w:t>My</w:t>
      </w:r>
      <w:r w:rsidR="00EE4FC3">
        <w:t xml:space="preserve"> </w:t>
      </w:r>
      <w:r w:rsidR="00B2037B" w:rsidRPr="00382917">
        <w:t>sole</w:t>
      </w:r>
      <w:r w:rsidR="00EE4FC3">
        <w:t xml:space="preserve"> </w:t>
      </w:r>
      <w:r w:rsidR="00B2037B" w:rsidRPr="00382917">
        <w:t>purpose</w:t>
      </w:r>
      <w:r w:rsidR="00EE4FC3">
        <w:t xml:space="preserve"> </w:t>
      </w:r>
      <w:r w:rsidR="00B2037B" w:rsidRPr="00382917">
        <w:t>in</w:t>
      </w:r>
      <w:r w:rsidR="00EE4FC3">
        <w:t xml:space="preserve"> </w:t>
      </w:r>
      <w:r w:rsidR="00B2037B" w:rsidRPr="00382917">
        <w:t>coming</w:t>
      </w:r>
      <w:r w:rsidR="00EE4FC3">
        <w:t xml:space="preserve"> </w:t>
      </w:r>
      <w:r w:rsidR="00B2037B" w:rsidRPr="00382917">
        <w:t>to</w:t>
      </w:r>
      <w:r w:rsidR="00EE4FC3">
        <w:t xml:space="preserve"> </w:t>
      </w:r>
      <w:r w:rsidR="00B2037B" w:rsidRPr="00382917">
        <w:t>Nayríz,</w:t>
      </w:r>
      <w:r w:rsidRPr="00382917">
        <w:t>”</w:t>
      </w:r>
      <w:r w:rsidR="00EE4FC3">
        <w:t xml:space="preserve"> </w:t>
      </w:r>
      <w:r w:rsidR="00B2037B" w:rsidRPr="00382917">
        <w:t>he</w:t>
      </w:r>
      <w:r w:rsidR="00EE4FC3">
        <w:t xml:space="preserve"> </w:t>
      </w:r>
      <w:r w:rsidR="00B2037B" w:rsidRPr="00382917">
        <w:t>explained,</w:t>
      </w:r>
      <w:r w:rsidR="00EE4FC3">
        <w:t xml:space="preserve"> </w:t>
      </w:r>
      <w:r w:rsidRPr="00382917">
        <w:t>“</w:t>
      </w:r>
      <w:r w:rsidR="00B2037B" w:rsidRPr="00382917">
        <w:t>is</w:t>
      </w:r>
      <w:r w:rsidR="00EE4FC3">
        <w:t xml:space="preserve"> </w:t>
      </w:r>
      <w:r w:rsidR="00B2037B" w:rsidRPr="00382917">
        <w:t>to</w:t>
      </w:r>
      <w:r w:rsidR="00EE4FC3">
        <w:t xml:space="preserve"> </w:t>
      </w:r>
      <w:r w:rsidR="00B2037B" w:rsidRPr="00382917">
        <w:t>proclaim</w:t>
      </w:r>
      <w:r w:rsidR="00EE4FC3">
        <w:t xml:space="preserve"> </w:t>
      </w:r>
      <w:r w:rsidR="00B2037B" w:rsidRPr="00382917">
        <w:t>the</w:t>
      </w:r>
      <w:r w:rsidR="00EE4FC3">
        <w:t xml:space="preserve"> </w:t>
      </w:r>
      <w:r w:rsidR="00B2037B" w:rsidRPr="00382917">
        <w:t>Cause</w:t>
      </w:r>
      <w:r w:rsidR="00EE4FC3">
        <w:t xml:space="preserve"> </w:t>
      </w:r>
      <w:r w:rsidR="00B2037B" w:rsidRPr="00382917">
        <w:t>of</w:t>
      </w:r>
      <w:r w:rsidR="00EE4FC3">
        <w:t xml:space="preserve"> </w:t>
      </w:r>
      <w:r w:rsidR="00B2037B" w:rsidRPr="00382917">
        <w:t>God</w:t>
      </w:r>
      <w:r w:rsidR="0040329F">
        <w:t>.</w:t>
      </w:r>
      <w:r w:rsidR="00EE4FC3">
        <w:t xml:space="preserve">  </w:t>
      </w:r>
      <w:r w:rsidR="00B2037B" w:rsidRPr="00382917">
        <w:t>I</w:t>
      </w:r>
      <w:r w:rsidR="00EE4FC3">
        <w:t xml:space="preserve"> </w:t>
      </w:r>
      <w:r w:rsidR="00B2037B" w:rsidRPr="00382917">
        <w:t>thank</w:t>
      </w:r>
      <w:r w:rsidR="00EE4FC3">
        <w:t xml:space="preserve"> </w:t>
      </w:r>
      <w:r w:rsidR="00B2037B" w:rsidRPr="00382917">
        <w:t>and</w:t>
      </w:r>
      <w:r w:rsidR="00EE4FC3">
        <w:t xml:space="preserve"> </w:t>
      </w:r>
      <w:r w:rsidR="00B2037B" w:rsidRPr="00382917">
        <w:t>glorify</w:t>
      </w:r>
      <w:r w:rsidR="00EE4FC3">
        <w:t xml:space="preserve"> </w:t>
      </w:r>
      <w:r w:rsidR="00B2037B" w:rsidRPr="00382917">
        <w:t>Him</w:t>
      </w:r>
      <w:r w:rsidR="00EE4FC3">
        <w:t xml:space="preserve"> </w:t>
      </w:r>
      <w:r w:rsidR="00B2037B" w:rsidRPr="00382917">
        <w:t>for</w:t>
      </w:r>
      <w:r w:rsidR="00EE4FC3">
        <w:t xml:space="preserve"> </w:t>
      </w:r>
      <w:r w:rsidR="00B2037B" w:rsidRPr="00382917">
        <w:t>having</w:t>
      </w:r>
      <w:r w:rsidR="00EE4FC3">
        <w:t xml:space="preserve"> </w:t>
      </w:r>
      <w:r w:rsidR="00B2037B" w:rsidRPr="00382917">
        <w:t>enabled</w:t>
      </w:r>
      <w:r w:rsidR="00EE4FC3">
        <w:t xml:space="preserve"> </w:t>
      </w:r>
      <w:r w:rsidR="00B2037B" w:rsidRPr="00382917">
        <w:t>me</w:t>
      </w:r>
      <w:r w:rsidR="00EE4FC3">
        <w:t xml:space="preserve"> </w:t>
      </w:r>
      <w:r w:rsidR="00B2037B" w:rsidRPr="00382917">
        <w:t>to</w:t>
      </w:r>
      <w:r w:rsidR="00EE4FC3">
        <w:t xml:space="preserve"> </w:t>
      </w:r>
      <w:r w:rsidR="00B2037B" w:rsidRPr="00382917">
        <w:t>touch</w:t>
      </w:r>
      <w:r w:rsidR="00EE4FC3">
        <w:t xml:space="preserve"> </w:t>
      </w:r>
      <w:r w:rsidR="00B2037B" w:rsidRPr="00382917">
        <w:t>your</w:t>
      </w:r>
      <w:r w:rsidR="00EE4FC3">
        <w:t xml:space="preserve"> </w:t>
      </w:r>
      <w:r w:rsidR="00B2037B" w:rsidRPr="00382917">
        <w:t>hearts</w:t>
      </w:r>
      <w:r w:rsidR="00EE4FC3">
        <w:t xml:space="preserve"> </w:t>
      </w:r>
      <w:r w:rsidR="00B2037B" w:rsidRPr="00382917">
        <w:t>with</w:t>
      </w:r>
      <w:r w:rsidR="00EE4FC3">
        <w:t xml:space="preserve"> </w:t>
      </w:r>
      <w:r w:rsidR="00B2037B" w:rsidRPr="00382917">
        <w:t>His</w:t>
      </w:r>
      <w:r w:rsidR="00EE4FC3">
        <w:t xml:space="preserve"> </w:t>
      </w:r>
      <w:r w:rsidR="00B2037B" w:rsidRPr="00382917">
        <w:t>Message.</w:t>
      </w:r>
      <w:r w:rsidRPr="00382917">
        <w:t>”</w:t>
      </w:r>
    </w:p>
    <w:p w:rsidR="00B2037B" w:rsidRPr="00382917" w:rsidRDefault="00B2037B" w:rsidP="00B2037B">
      <w:pPr>
        <w:pStyle w:val="Text"/>
      </w:pPr>
      <w:r w:rsidRPr="00382917">
        <w:t>No</w:t>
      </w:r>
      <w:r w:rsidR="00EE4FC3">
        <w:t xml:space="preserve"> </w:t>
      </w:r>
      <w:r w:rsidRPr="00382917">
        <w:t>less</w:t>
      </w:r>
      <w:r w:rsidR="00EE4FC3">
        <w:t xml:space="preserve"> </w:t>
      </w:r>
      <w:r w:rsidRPr="00382917">
        <w:t>than</w:t>
      </w:r>
      <w:r w:rsidR="00EE4FC3">
        <w:t xml:space="preserve"> </w:t>
      </w:r>
      <w:r w:rsidRPr="00382917">
        <w:t>a</w:t>
      </w:r>
      <w:r w:rsidR="00EE4FC3">
        <w:t xml:space="preserve"> </w:t>
      </w:r>
      <w:r w:rsidRPr="00382917">
        <w:t>thousand</w:t>
      </w:r>
      <w:r w:rsidR="00EE4FC3">
        <w:t xml:space="preserve"> </w:t>
      </w:r>
      <w:r w:rsidRPr="00382917">
        <w:t>persons</w:t>
      </w:r>
      <w:r w:rsidR="00EE4FC3">
        <w:t xml:space="preserve"> </w:t>
      </w:r>
      <w:r w:rsidRPr="00382917">
        <w:t>from</w:t>
      </w:r>
      <w:r w:rsidR="00EE4FC3">
        <w:t xml:space="preserve"> </w:t>
      </w:r>
      <w:r w:rsidRPr="00382917">
        <w:t>his</w:t>
      </w:r>
      <w:r w:rsidR="00EE4FC3">
        <w:t xml:space="preserve"> </w:t>
      </w:r>
      <w:r w:rsidRPr="00382917">
        <w:t>own</w:t>
      </w:r>
      <w:r w:rsidR="00EE4FC3">
        <w:t xml:space="preserve"> </w:t>
      </w:r>
      <w:r w:rsidRPr="00382917">
        <w:t>area,</w:t>
      </w:r>
      <w:r w:rsidR="00EE4FC3">
        <w:t xml:space="preserve"> </w:t>
      </w:r>
      <w:r w:rsidRPr="00382917">
        <w:t>and</w:t>
      </w:r>
      <w:r w:rsidR="00EE4FC3">
        <w:t xml:space="preserve"> </w:t>
      </w:r>
      <w:r w:rsidRPr="00382917">
        <w:t>five</w:t>
      </w:r>
      <w:r w:rsidR="00EE4FC3">
        <w:t xml:space="preserve"> </w:t>
      </w:r>
      <w:r w:rsidRPr="00382917">
        <w:t>hundred</w:t>
      </w:r>
      <w:r w:rsidR="00EE4FC3">
        <w:t xml:space="preserve"> </w:t>
      </w:r>
      <w:r w:rsidRPr="00382917">
        <w:t>from</w:t>
      </w:r>
      <w:r w:rsidR="00EE4FC3">
        <w:t xml:space="preserve"> </w:t>
      </w:r>
      <w:r w:rsidRPr="00382917">
        <w:t>other</w:t>
      </w:r>
      <w:r w:rsidR="00EE4FC3">
        <w:t xml:space="preserve"> </w:t>
      </w:r>
      <w:r w:rsidRPr="00382917">
        <w:t>sections</w:t>
      </w:r>
      <w:r w:rsidR="00EE4FC3">
        <w:t xml:space="preserve"> </w:t>
      </w:r>
      <w:r w:rsidRPr="00382917">
        <w:t>of</w:t>
      </w:r>
      <w:r w:rsidR="00EE4FC3">
        <w:t xml:space="preserve"> </w:t>
      </w:r>
      <w:r w:rsidRPr="00382917">
        <w:t>Nayríz,</w:t>
      </w:r>
      <w:r w:rsidR="00EE4FC3">
        <w:t xml:space="preserve"> </w:t>
      </w:r>
      <w:r w:rsidRPr="00382917">
        <w:t>spontaneously</w:t>
      </w:r>
      <w:r w:rsidR="00EE4FC3">
        <w:t xml:space="preserve"> </w:t>
      </w:r>
      <w:r w:rsidRPr="00382917">
        <w:t>responded</w:t>
      </w:r>
      <w:r w:rsidR="00EE4FC3">
        <w:t xml:space="preserve"> </w:t>
      </w:r>
      <w:r w:rsidRPr="00382917">
        <w:t>to</w:t>
      </w:r>
      <w:r w:rsidR="00EE4FC3">
        <w:t xml:space="preserve"> </w:t>
      </w:r>
      <w:r w:rsidRPr="00382917">
        <w:t>his</w:t>
      </w:r>
      <w:r w:rsidR="00EE4FC3">
        <w:t xml:space="preserve"> </w:t>
      </w:r>
      <w:r w:rsidRPr="00382917">
        <w:t>appeal</w:t>
      </w:r>
      <w:r w:rsidR="00EE4FC3">
        <w:t xml:space="preserve"> </w:t>
      </w:r>
      <w:r w:rsidRPr="00382917">
        <w:t>and</w:t>
      </w:r>
      <w:r w:rsidR="00EE4FC3">
        <w:t xml:space="preserve"> </w:t>
      </w:r>
      <w:r w:rsidRPr="00382917">
        <w:t>accepted</w:t>
      </w:r>
      <w:r w:rsidR="00EE4FC3">
        <w:t xml:space="preserve"> </w:t>
      </w:r>
      <w:r w:rsidRPr="00382917">
        <w:t>the</w:t>
      </w:r>
      <w:r w:rsidR="00EE4FC3">
        <w:t xml:space="preserve"> </w:t>
      </w:r>
      <w:r w:rsidRPr="00382917">
        <w:t>Faith.</w:t>
      </w:r>
    </w:p>
    <w:p w:rsidR="00B2037B" w:rsidRPr="00382917" w:rsidRDefault="00B2037B">
      <w:pPr>
        <w:widowControl/>
        <w:kinsoku/>
        <w:overflowPunct/>
        <w:textAlignment w:val="auto"/>
      </w:pPr>
      <w:r w:rsidRPr="00382917">
        <w:br w:type="page"/>
      </w:r>
    </w:p>
    <w:p w:rsidR="00B2037B" w:rsidRPr="00382917" w:rsidRDefault="009C713D" w:rsidP="00B2037B">
      <w:pPr>
        <w:pStyle w:val="Text"/>
      </w:pPr>
      <w:r w:rsidRPr="00382917">
        <w:t>“</w:t>
      </w:r>
      <w:r w:rsidR="00B2037B" w:rsidRPr="00382917">
        <w:t>There</w:t>
      </w:r>
      <w:r w:rsidR="00EE4FC3">
        <w:t xml:space="preserve"> </w:t>
      </w:r>
      <w:r w:rsidR="00B2037B" w:rsidRPr="00382917">
        <w:t>is</w:t>
      </w:r>
      <w:r w:rsidR="00EE4FC3">
        <w:t xml:space="preserve"> </w:t>
      </w:r>
      <w:r w:rsidR="00B2037B" w:rsidRPr="00382917">
        <w:t>no</w:t>
      </w:r>
      <w:r w:rsidR="00EE4FC3">
        <w:t xml:space="preserve"> </w:t>
      </w:r>
      <w:r w:rsidR="00B2037B" w:rsidRPr="00382917">
        <w:t>need</w:t>
      </w:r>
      <w:r w:rsidR="00EE4FC3">
        <w:t xml:space="preserve"> </w:t>
      </w:r>
      <w:r w:rsidR="00B2037B" w:rsidRPr="00382917">
        <w:t>for</w:t>
      </w:r>
      <w:r w:rsidR="00EE4FC3">
        <w:t xml:space="preserve"> </w:t>
      </w:r>
      <w:r w:rsidR="00B2037B" w:rsidRPr="00382917">
        <w:t>me</w:t>
      </w:r>
      <w:r w:rsidR="00EE4FC3">
        <w:t xml:space="preserve"> </w:t>
      </w:r>
      <w:r w:rsidR="00B2037B" w:rsidRPr="00382917">
        <w:t>to</w:t>
      </w:r>
      <w:r w:rsidR="00EE4FC3">
        <w:t xml:space="preserve"> </w:t>
      </w:r>
      <w:r w:rsidR="00B2037B" w:rsidRPr="00382917">
        <w:t>remain</w:t>
      </w:r>
      <w:r w:rsidR="00EE4FC3">
        <w:t xml:space="preserve"> </w:t>
      </w:r>
      <w:r w:rsidR="00B2037B" w:rsidRPr="00382917">
        <w:t>any</w:t>
      </w:r>
      <w:r w:rsidR="00EE4FC3">
        <w:t xml:space="preserve"> </w:t>
      </w:r>
      <w:r w:rsidR="00B2037B" w:rsidRPr="00382917">
        <w:t>longer</w:t>
      </w:r>
      <w:r w:rsidR="00EE4FC3">
        <w:t xml:space="preserve"> </w:t>
      </w:r>
      <w:r w:rsidR="00B2037B" w:rsidRPr="00382917">
        <w:t>in</w:t>
      </w:r>
      <w:r w:rsidR="00EE4FC3">
        <w:t xml:space="preserve"> </w:t>
      </w:r>
      <w:r w:rsidR="00B2037B" w:rsidRPr="00382917">
        <w:t>your</w:t>
      </w:r>
      <w:r w:rsidR="00EE4FC3">
        <w:t xml:space="preserve"> </w:t>
      </w:r>
      <w:r w:rsidR="00B2037B" w:rsidRPr="00382917">
        <w:t>midst,</w:t>
      </w:r>
      <w:r w:rsidRPr="00382917">
        <w:t>”</w:t>
      </w:r>
      <w:r w:rsidR="00EE4FC3">
        <w:t xml:space="preserve"> </w:t>
      </w:r>
      <w:r w:rsidR="00B2037B" w:rsidRPr="00382917">
        <w:t>Vaḥíd</w:t>
      </w:r>
      <w:r w:rsidR="00EE4FC3">
        <w:t xml:space="preserve"> </w:t>
      </w:r>
      <w:r w:rsidR="00B2037B" w:rsidRPr="00382917">
        <w:t>told</w:t>
      </w:r>
      <w:r w:rsidR="00EE4FC3">
        <w:t xml:space="preserve"> </w:t>
      </w:r>
      <w:r w:rsidR="00B2037B" w:rsidRPr="00382917">
        <w:t>the</w:t>
      </w:r>
      <w:r w:rsidR="00EE4FC3">
        <w:t xml:space="preserve"> </w:t>
      </w:r>
      <w:r w:rsidR="00B2037B" w:rsidRPr="00382917">
        <w:t>crowd</w:t>
      </w:r>
      <w:r w:rsidR="0040329F">
        <w:t>.</w:t>
      </w:r>
      <w:r w:rsidR="00EE4FC3">
        <w:t xml:space="preserve">  </w:t>
      </w:r>
      <w:r w:rsidRPr="00382917">
        <w:t>“</w:t>
      </w:r>
      <w:r w:rsidR="00B2037B" w:rsidRPr="00382917">
        <w:t>My</w:t>
      </w:r>
      <w:r w:rsidR="00EE4FC3">
        <w:t xml:space="preserve"> </w:t>
      </w:r>
      <w:r w:rsidR="00B2037B" w:rsidRPr="00382917">
        <w:t>work</w:t>
      </w:r>
      <w:r w:rsidR="00EE4FC3">
        <w:t xml:space="preserve"> </w:t>
      </w:r>
      <w:r w:rsidR="00B2037B" w:rsidRPr="00382917">
        <w:t>is</w:t>
      </w:r>
      <w:r w:rsidR="00EE4FC3">
        <w:t xml:space="preserve"> </w:t>
      </w:r>
      <w:r w:rsidR="00B2037B" w:rsidRPr="00382917">
        <w:t>done,</w:t>
      </w:r>
      <w:r w:rsidR="00EE4FC3">
        <w:t xml:space="preserve"> </w:t>
      </w:r>
      <w:r w:rsidR="00B2037B" w:rsidRPr="00382917">
        <w:t>and</w:t>
      </w:r>
      <w:r w:rsidR="00EE4FC3">
        <w:t xml:space="preserve"> </w:t>
      </w:r>
      <w:r w:rsidR="00B2037B" w:rsidRPr="00382917">
        <w:t>if</w:t>
      </w:r>
      <w:r w:rsidR="00EE4FC3">
        <w:t xml:space="preserve"> </w:t>
      </w:r>
      <w:r w:rsidR="00B2037B" w:rsidRPr="00382917">
        <w:t>I</w:t>
      </w:r>
      <w:r w:rsidR="00EE4FC3">
        <w:t xml:space="preserve"> </w:t>
      </w:r>
      <w:r w:rsidR="00B2037B" w:rsidRPr="00382917">
        <w:t>prolong</w:t>
      </w:r>
      <w:r w:rsidR="00EE4FC3">
        <w:t xml:space="preserve"> </w:t>
      </w:r>
      <w:r w:rsidR="00B2037B" w:rsidRPr="00382917">
        <w:t>my</w:t>
      </w:r>
      <w:r w:rsidR="00EE4FC3">
        <w:t xml:space="preserve"> </w:t>
      </w:r>
      <w:r w:rsidR="00B2037B" w:rsidRPr="00382917">
        <w:t>stay,</w:t>
      </w:r>
      <w:r w:rsidR="00EE4FC3">
        <w:t xml:space="preserve"> </w:t>
      </w:r>
      <w:r w:rsidR="00B2037B" w:rsidRPr="00382917">
        <w:t>I</w:t>
      </w:r>
      <w:r w:rsidR="00EE4FC3">
        <w:t xml:space="preserve"> </w:t>
      </w:r>
      <w:r w:rsidR="00B2037B" w:rsidRPr="00382917">
        <w:t>fear</w:t>
      </w:r>
      <w:r w:rsidR="00EE4FC3">
        <w:t xml:space="preserve"> </w:t>
      </w:r>
      <w:r w:rsidR="00B2037B" w:rsidRPr="00382917">
        <w:t>that</w:t>
      </w:r>
      <w:r w:rsidR="00EE4FC3">
        <w:t xml:space="preserve"> </w:t>
      </w:r>
      <w:r w:rsidR="00B2037B" w:rsidRPr="00382917">
        <w:t>the</w:t>
      </w:r>
      <w:r w:rsidR="00EE4FC3">
        <w:t xml:space="preserve"> </w:t>
      </w:r>
      <w:r w:rsidR="00B2037B" w:rsidRPr="00382917">
        <w:t>governor</w:t>
      </w:r>
      <w:r w:rsidR="00EE4FC3">
        <w:t xml:space="preserve"> </w:t>
      </w:r>
      <w:r w:rsidR="00B2037B" w:rsidRPr="00382917">
        <w:t>will</w:t>
      </w:r>
      <w:r w:rsidR="00EE4FC3">
        <w:t xml:space="preserve"> </w:t>
      </w:r>
      <w:r w:rsidR="00B2037B" w:rsidRPr="00382917">
        <w:t>ill-treat</w:t>
      </w:r>
      <w:r w:rsidR="00EE4FC3">
        <w:t xml:space="preserve"> </w:t>
      </w:r>
      <w:r w:rsidR="00B2037B" w:rsidRPr="00382917">
        <w:t>you</w:t>
      </w:r>
      <w:r w:rsidR="00EE4FC3">
        <w:t xml:space="preserve"> </w:t>
      </w:r>
      <w:r w:rsidR="00B2037B" w:rsidRPr="00382917">
        <w:t>because</w:t>
      </w:r>
      <w:r w:rsidR="00EE4FC3">
        <w:t xml:space="preserve"> </w:t>
      </w:r>
      <w:r w:rsidR="00B2037B" w:rsidRPr="00382917">
        <w:t>of</w:t>
      </w:r>
      <w:r w:rsidR="00EE4FC3">
        <w:t xml:space="preserve"> </w:t>
      </w:r>
      <w:r w:rsidR="00B2037B" w:rsidRPr="00382917">
        <w:t>me.</w:t>
      </w:r>
      <w:r w:rsidRPr="00382917">
        <w:t>”</w:t>
      </w:r>
    </w:p>
    <w:p w:rsidR="00B2037B" w:rsidRPr="00382917" w:rsidRDefault="00B2037B" w:rsidP="00B2037B">
      <w:pPr>
        <w:pStyle w:val="Text"/>
      </w:pPr>
      <w:r w:rsidRPr="00382917">
        <w:t>The</w:t>
      </w:r>
      <w:r w:rsidR="00EE4FC3">
        <w:t xml:space="preserve"> </w:t>
      </w:r>
      <w:r w:rsidRPr="00382917">
        <w:t>people</w:t>
      </w:r>
      <w:r w:rsidR="00EE4FC3">
        <w:t xml:space="preserve"> </w:t>
      </w:r>
      <w:r w:rsidRPr="00382917">
        <w:t>assured</w:t>
      </w:r>
      <w:r w:rsidR="00EE4FC3">
        <w:t xml:space="preserve"> </w:t>
      </w:r>
      <w:r w:rsidRPr="00382917">
        <w:t>Vaḥíd</w:t>
      </w:r>
      <w:r w:rsidR="00EE4FC3">
        <w:t xml:space="preserve"> </w:t>
      </w:r>
      <w:r w:rsidRPr="00382917">
        <w:t>of</w:t>
      </w:r>
      <w:r w:rsidR="00EE4FC3">
        <w:t xml:space="preserve"> </w:t>
      </w:r>
      <w:r w:rsidRPr="00382917">
        <w:t>their</w:t>
      </w:r>
      <w:r w:rsidR="00EE4FC3">
        <w:t xml:space="preserve"> </w:t>
      </w:r>
      <w:r w:rsidRPr="00382917">
        <w:t>faith,</w:t>
      </w:r>
      <w:r w:rsidR="00EE4FC3">
        <w:t xml:space="preserve"> </w:t>
      </w:r>
      <w:r w:rsidRPr="00382917">
        <w:t>saying</w:t>
      </w:r>
      <w:r w:rsidR="00C03C91">
        <w:t>:</w:t>
      </w:r>
      <w:r w:rsidR="00EE4FC3">
        <w:t xml:space="preserve">  </w:t>
      </w:r>
      <w:r w:rsidR="009C713D" w:rsidRPr="00382917">
        <w:t>“</w:t>
      </w:r>
      <w:r w:rsidRPr="00382917">
        <w:t>We</w:t>
      </w:r>
      <w:r w:rsidR="00EE4FC3">
        <w:t xml:space="preserve"> </w:t>
      </w:r>
      <w:r w:rsidRPr="00382917">
        <w:t>are</w:t>
      </w:r>
      <w:r w:rsidR="00EE4FC3">
        <w:t xml:space="preserve"> </w:t>
      </w:r>
      <w:r w:rsidRPr="00382917">
        <w:t>resigned</w:t>
      </w:r>
      <w:r w:rsidR="00EE4FC3">
        <w:t xml:space="preserve"> </w:t>
      </w:r>
      <w:r w:rsidRPr="00382917">
        <w:t>to</w:t>
      </w:r>
      <w:r w:rsidR="00EE4FC3">
        <w:t xml:space="preserve"> </w:t>
      </w:r>
      <w:r w:rsidRPr="00382917">
        <w:t>the</w:t>
      </w:r>
      <w:r w:rsidR="00EE4FC3">
        <w:t xml:space="preserve"> </w:t>
      </w:r>
      <w:r w:rsidRPr="00382917">
        <w:t>Will</w:t>
      </w:r>
      <w:r w:rsidR="00EE4FC3">
        <w:t xml:space="preserve"> </w:t>
      </w:r>
      <w:r w:rsidRPr="00382917">
        <w:t>of</w:t>
      </w:r>
      <w:r w:rsidR="00EE4FC3">
        <w:t xml:space="preserve"> </w:t>
      </w:r>
      <w:r w:rsidRPr="00382917">
        <w:t>God</w:t>
      </w:r>
      <w:r w:rsidR="0040329F">
        <w:t>.</w:t>
      </w:r>
      <w:r w:rsidR="00EE4FC3">
        <w:t xml:space="preserve">  </w:t>
      </w:r>
      <w:r w:rsidRPr="00382917">
        <w:t>May</w:t>
      </w:r>
      <w:r w:rsidR="00EE4FC3">
        <w:t xml:space="preserve"> </w:t>
      </w:r>
      <w:r w:rsidRPr="00382917">
        <w:t>He</w:t>
      </w:r>
      <w:r w:rsidR="00EE4FC3">
        <w:t xml:space="preserve"> </w:t>
      </w:r>
      <w:r w:rsidRPr="00382917">
        <w:t>grant</w:t>
      </w:r>
      <w:r w:rsidR="00EE4FC3">
        <w:t xml:space="preserve"> </w:t>
      </w:r>
      <w:r w:rsidRPr="00382917">
        <w:t>us</w:t>
      </w:r>
      <w:r w:rsidR="00EE4FC3">
        <w:t xml:space="preserve"> </w:t>
      </w:r>
      <w:r w:rsidRPr="00382917">
        <w:t>strength</w:t>
      </w:r>
      <w:r w:rsidR="00EE4FC3">
        <w:t xml:space="preserve"> </w:t>
      </w:r>
      <w:r w:rsidRPr="00382917">
        <w:t>to</w:t>
      </w:r>
      <w:r w:rsidR="00EE4FC3">
        <w:t xml:space="preserve"> </w:t>
      </w:r>
      <w:r w:rsidRPr="00382917">
        <w:t>withstand</w:t>
      </w:r>
      <w:r w:rsidR="00EE4FC3">
        <w:t xml:space="preserve"> </w:t>
      </w:r>
      <w:r w:rsidRPr="00382917">
        <w:t>the</w:t>
      </w:r>
      <w:r w:rsidR="00EE4FC3">
        <w:t xml:space="preserve"> </w:t>
      </w:r>
      <w:r w:rsidRPr="00382917">
        <w:t>calamities</w:t>
      </w:r>
      <w:r w:rsidR="00EE4FC3">
        <w:t xml:space="preserve"> </w:t>
      </w:r>
      <w:r w:rsidRPr="00382917">
        <w:t>that</w:t>
      </w:r>
      <w:r w:rsidR="00EE4FC3">
        <w:t xml:space="preserve"> </w:t>
      </w:r>
      <w:r w:rsidRPr="00382917">
        <w:t>may</w:t>
      </w:r>
      <w:r w:rsidR="00EE4FC3">
        <w:t xml:space="preserve"> </w:t>
      </w:r>
      <w:r w:rsidRPr="00382917">
        <w:t>befall</w:t>
      </w:r>
      <w:r w:rsidR="00EE4FC3">
        <w:t xml:space="preserve"> </w:t>
      </w:r>
      <w:proofErr w:type="gramStart"/>
      <w:r w:rsidRPr="00382917">
        <w:t>us</w:t>
      </w:r>
      <w:r w:rsidR="0040329F">
        <w:t>.</w:t>
      </w:r>
      <w:proofErr w:type="gramEnd"/>
      <w:r w:rsidR="00EE4FC3">
        <w:t xml:space="preserve">  </w:t>
      </w:r>
      <w:r w:rsidRPr="00382917">
        <w:t>But</w:t>
      </w:r>
      <w:r w:rsidR="00EE4FC3">
        <w:t xml:space="preserve"> </w:t>
      </w:r>
      <w:r w:rsidRPr="00382917">
        <w:t>we</w:t>
      </w:r>
      <w:r w:rsidR="00EE4FC3">
        <w:t xml:space="preserve"> </w:t>
      </w:r>
      <w:r w:rsidRPr="00382917">
        <w:t>cannot,</w:t>
      </w:r>
      <w:r w:rsidR="00EE4FC3">
        <w:t xml:space="preserve"> </w:t>
      </w:r>
      <w:r w:rsidRPr="00382917">
        <w:t>however,</w:t>
      </w:r>
      <w:r w:rsidR="00EE4FC3">
        <w:t xml:space="preserve"> </w:t>
      </w:r>
      <w:r w:rsidRPr="00382917">
        <w:t>reconcile</w:t>
      </w:r>
      <w:r w:rsidR="00EE4FC3">
        <w:t xml:space="preserve"> </w:t>
      </w:r>
      <w:r w:rsidRPr="00382917">
        <w:t>ourselves</w:t>
      </w:r>
      <w:r w:rsidR="00EE4FC3">
        <w:t xml:space="preserve"> </w:t>
      </w:r>
      <w:r w:rsidRPr="00382917">
        <w:t>to</w:t>
      </w:r>
      <w:r w:rsidR="00EE4FC3">
        <w:t xml:space="preserve"> </w:t>
      </w:r>
      <w:r w:rsidRPr="00382917">
        <w:t>so</w:t>
      </w:r>
      <w:r w:rsidR="00EE4FC3">
        <w:t xml:space="preserve"> </w:t>
      </w:r>
      <w:r w:rsidRPr="00382917">
        <w:t>abrupt</w:t>
      </w:r>
      <w:r w:rsidR="00EE4FC3">
        <w:t xml:space="preserve"> </w:t>
      </w:r>
      <w:r w:rsidRPr="00382917">
        <w:t>and</w:t>
      </w:r>
      <w:r w:rsidR="00EE4FC3">
        <w:t xml:space="preserve"> </w:t>
      </w:r>
      <w:r w:rsidRPr="00382917">
        <w:t>hasty</w:t>
      </w:r>
      <w:r w:rsidR="00EE4FC3">
        <w:t xml:space="preserve"> </w:t>
      </w:r>
      <w:r w:rsidRPr="00382917">
        <w:t>a</w:t>
      </w:r>
      <w:r w:rsidR="00EE4FC3">
        <w:t xml:space="preserve"> </w:t>
      </w:r>
      <w:r w:rsidRPr="00382917">
        <w:t>separation</w:t>
      </w:r>
      <w:r w:rsidR="00EE4FC3">
        <w:t xml:space="preserve"> </w:t>
      </w:r>
      <w:r w:rsidRPr="00382917">
        <w:t>from</w:t>
      </w:r>
      <w:r w:rsidR="00EE4FC3">
        <w:t xml:space="preserve"> </w:t>
      </w:r>
      <w:r w:rsidRPr="00382917">
        <w:t>you.</w:t>
      </w:r>
      <w:r w:rsidR="009C713D" w:rsidRPr="00382917">
        <w:t>”</w:t>
      </w:r>
    </w:p>
    <w:p w:rsidR="00B2037B" w:rsidRPr="00382917" w:rsidRDefault="00B2037B" w:rsidP="00B2037B">
      <w:pPr>
        <w:pStyle w:val="Text"/>
      </w:pPr>
      <w:r w:rsidRPr="00382917">
        <w:t>Vaḥíd</w:t>
      </w:r>
      <w:r w:rsidR="00EE4FC3">
        <w:t xml:space="preserve"> </w:t>
      </w:r>
      <w:r w:rsidRPr="00382917">
        <w:t>submitted</w:t>
      </w:r>
      <w:r w:rsidR="00EE4FC3">
        <w:t xml:space="preserve"> </w:t>
      </w:r>
      <w:r w:rsidRPr="00382917">
        <w:t>to</w:t>
      </w:r>
      <w:r w:rsidR="00EE4FC3">
        <w:t xml:space="preserve"> </w:t>
      </w:r>
      <w:r w:rsidRPr="00382917">
        <w:t>their</w:t>
      </w:r>
      <w:r w:rsidR="00EE4FC3">
        <w:t xml:space="preserve"> </w:t>
      </w:r>
      <w:r w:rsidRPr="00382917">
        <w:t>wishes,</w:t>
      </w:r>
      <w:r w:rsidR="00EE4FC3">
        <w:t xml:space="preserve"> </w:t>
      </w:r>
      <w:r w:rsidRPr="00382917">
        <w:t>and</w:t>
      </w:r>
      <w:r w:rsidR="00EE4FC3">
        <w:t xml:space="preserve"> </w:t>
      </w:r>
      <w:r w:rsidRPr="00382917">
        <w:t>agreed</w:t>
      </w:r>
      <w:r w:rsidR="00EE4FC3">
        <w:t xml:space="preserve"> </w:t>
      </w:r>
      <w:r w:rsidRPr="00382917">
        <w:t>to</w:t>
      </w:r>
      <w:r w:rsidR="00EE4FC3">
        <w:t xml:space="preserve"> </w:t>
      </w:r>
      <w:r w:rsidRPr="00382917">
        <w:t>remain</w:t>
      </w:r>
      <w:r w:rsidR="00EE4FC3">
        <w:t xml:space="preserve"> </w:t>
      </w:r>
      <w:r w:rsidRPr="00382917">
        <w:t>a</w:t>
      </w:r>
      <w:r w:rsidR="00EE4FC3">
        <w:t xml:space="preserve"> </w:t>
      </w:r>
      <w:r w:rsidRPr="00382917">
        <w:t>few</w:t>
      </w:r>
      <w:r w:rsidR="00EE4FC3">
        <w:t xml:space="preserve"> </w:t>
      </w:r>
      <w:r w:rsidRPr="00382917">
        <w:t>days</w:t>
      </w:r>
      <w:r w:rsidR="00EE4FC3">
        <w:t xml:space="preserve"> </w:t>
      </w:r>
      <w:r w:rsidRPr="00382917">
        <w:t>longer</w:t>
      </w:r>
      <w:r w:rsidR="00EE4FC3">
        <w:t xml:space="preserve"> </w:t>
      </w:r>
      <w:r w:rsidRPr="00382917">
        <w:t>in</w:t>
      </w:r>
      <w:r w:rsidR="00EE4FC3">
        <w:t xml:space="preserve"> </w:t>
      </w:r>
      <w:r w:rsidRPr="00382917">
        <w:t>Nayríz</w:t>
      </w:r>
      <w:r w:rsidR="0040329F">
        <w:t>.</w:t>
      </w:r>
      <w:r w:rsidR="00EE4FC3">
        <w:t xml:space="preserve">  </w:t>
      </w:r>
      <w:r w:rsidRPr="00382917">
        <w:t>At</w:t>
      </w:r>
      <w:r w:rsidR="00EE4FC3">
        <w:t xml:space="preserve"> </w:t>
      </w:r>
      <w:r w:rsidRPr="00382917">
        <w:t>this</w:t>
      </w:r>
      <w:r w:rsidR="00EE4FC3">
        <w:t xml:space="preserve"> </w:t>
      </w:r>
      <w:r w:rsidRPr="00382917">
        <w:t>news</w:t>
      </w:r>
      <w:r w:rsidR="00EE4FC3">
        <w:t xml:space="preserve"> </w:t>
      </w:r>
      <w:r w:rsidRPr="00382917">
        <w:t>a</w:t>
      </w:r>
      <w:r w:rsidR="00EE4FC3">
        <w:t xml:space="preserve"> </w:t>
      </w:r>
      <w:r w:rsidRPr="00382917">
        <w:t>crowd</w:t>
      </w:r>
      <w:r w:rsidR="00EE4FC3">
        <w:t xml:space="preserve"> </w:t>
      </w:r>
      <w:r w:rsidRPr="00382917">
        <w:t>of</w:t>
      </w:r>
      <w:r w:rsidR="00EE4FC3">
        <w:t xml:space="preserve"> </w:t>
      </w:r>
      <w:r w:rsidRPr="00382917">
        <w:t>men</w:t>
      </w:r>
      <w:r w:rsidR="00EE4FC3">
        <w:t xml:space="preserve"> </w:t>
      </w:r>
      <w:r w:rsidRPr="00382917">
        <w:t>and</w:t>
      </w:r>
      <w:r w:rsidR="00EE4FC3">
        <w:t xml:space="preserve"> </w:t>
      </w:r>
      <w:r w:rsidRPr="00382917">
        <w:t>women</w:t>
      </w:r>
      <w:r w:rsidR="00EE4FC3">
        <w:t xml:space="preserve"> </w:t>
      </w:r>
      <w:r w:rsidRPr="00382917">
        <w:t>gathered</w:t>
      </w:r>
      <w:r w:rsidR="00EE4FC3">
        <w:t xml:space="preserve"> </w:t>
      </w:r>
      <w:r w:rsidRPr="00382917">
        <w:t>around</w:t>
      </w:r>
      <w:r w:rsidR="00EE4FC3">
        <w:t xml:space="preserve"> </w:t>
      </w:r>
      <w:r w:rsidRPr="00382917">
        <w:t>him</w:t>
      </w:r>
      <w:r w:rsidR="00EE4FC3">
        <w:t xml:space="preserve"> </w:t>
      </w:r>
      <w:r w:rsidRPr="00382917">
        <w:t>and</w:t>
      </w:r>
      <w:r w:rsidR="00EE4FC3">
        <w:t xml:space="preserve"> </w:t>
      </w:r>
      <w:r w:rsidRPr="00382917">
        <w:t>with</w:t>
      </w:r>
      <w:r w:rsidR="00EE4FC3">
        <w:t xml:space="preserve"> </w:t>
      </w:r>
      <w:r w:rsidRPr="00382917">
        <w:t>cheers</w:t>
      </w:r>
      <w:r w:rsidR="00EE4FC3">
        <w:t xml:space="preserve"> </w:t>
      </w:r>
      <w:r w:rsidRPr="00382917">
        <w:t>and</w:t>
      </w:r>
      <w:r w:rsidR="00EE4FC3">
        <w:t xml:space="preserve"> </w:t>
      </w:r>
      <w:r w:rsidRPr="00382917">
        <w:t>praise</w:t>
      </w:r>
      <w:r w:rsidR="00EE4FC3">
        <w:t xml:space="preserve"> </w:t>
      </w:r>
      <w:r w:rsidRPr="00382917">
        <w:t>they</w:t>
      </w:r>
      <w:r w:rsidR="00EE4FC3">
        <w:t xml:space="preserve"> </w:t>
      </w:r>
      <w:r w:rsidRPr="00382917">
        <w:t>escorted</w:t>
      </w:r>
      <w:r w:rsidR="00EE4FC3">
        <w:t xml:space="preserve"> </w:t>
      </w:r>
      <w:r w:rsidRPr="00382917">
        <w:t>him</w:t>
      </w:r>
      <w:r w:rsidR="00EE4FC3">
        <w:t xml:space="preserve"> </w:t>
      </w:r>
      <w:r w:rsidRPr="00382917">
        <w:t>to</w:t>
      </w:r>
      <w:r w:rsidR="00EE4FC3">
        <w:t xml:space="preserve"> </w:t>
      </w:r>
      <w:r w:rsidRPr="00382917">
        <w:t>the</w:t>
      </w:r>
      <w:r w:rsidR="00EE4FC3">
        <w:t xml:space="preserve"> </w:t>
      </w:r>
      <w:r w:rsidRPr="00382917">
        <w:t>very</w:t>
      </w:r>
      <w:r w:rsidR="00EE4FC3">
        <w:t xml:space="preserve"> </w:t>
      </w:r>
      <w:r w:rsidRPr="00382917">
        <w:t>entrance</w:t>
      </w:r>
      <w:r w:rsidR="00EE4FC3">
        <w:t xml:space="preserve"> </w:t>
      </w:r>
      <w:r w:rsidRPr="00382917">
        <w:t>of</w:t>
      </w:r>
      <w:r w:rsidR="00EE4FC3">
        <w:t xml:space="preserve"> </w:t>
      </w:r>
      <w:r w:rsidRPr="00382917">
        <w:t>his</w:t>
      </w:r>
      <w:r w:rsidR="00EE4FC3">
        <w:t xml:space="preserve"> </w:t>
      </w:r>
      <w:r w:rsidRPr="00382917">
        <w:t>house.</w:t>
      </w:r>
    </w:p>
    <w:p w:rsidR="00B2037B" w:rsidRPr="00382917" w:rsidRDefault="00B2037B" w:rsidP="00AB1A30">
      <w:pPr>
        <w:pStyle w:val="Text"/>
      </w:pPr>
      <w:r w:rsidRPr="00382917">
        <w:t>The</w:t>
      </w:r>
      <w:r w:rsidR="00EE4FC3">
        <w:t xml:space="preserve"> </w:t>
      </w:r>
      <w:r w:rsidRPr="00382917">
        <w:t>governor</w:t>
      </w:r>
      <w:r w:rsidR="00EE4FC3">
        <w:t xml:space="preserve"> </w:t>
      </w:r>
      <w:r w:rsidRPr="00382917">
        <w:t>was</w:t>
      </w:r>
      <w:r w:rsidR="00EE4FC3">
        <w:t xml:space="preserve"> </w:t>
      </w:r>
      <w:r w:rsidRPr="00382917">
        <w:t>terrified</w:t>
      </w:r>
      <w:r w:rsidR="00EE4FC3">
        <w:t xml:space="preserve"> </w:t>
      </w:r>
      <w:r w:rsidRPr="00382917">
        <w:t>to</w:t>
      </w:r>
      <w:r w:rsidR="00EE4FC3">
        <w:t xml:space="preserve"> </w:t>
      </w:r>
      <w:r w:rsidRPr="00382917">
        <w:t>hear</w:t>
      </w:r>
      <w:r w:rsidR="00EE4FC3">
        <w:t xml:space="preserve"> </w:t>
      </w:r>
      <w:r w:rsidRPr="00382917">
        <w:t>that</w:t>
      </w:r>
      <w:r w:rsidR="00EE4FC3">
        <w:t xml:space="preserve"> </w:t>
      </w:r>
      <w:r w:rsidRPr="00382917">
        <w:t>such</w:t>
      </w:r>
      <w:r w:rsidR="00EE4FC3">
        <w:t xml:space="preserve"> </w:t>
      </w:r>
      <w:r w:rsidRPr="00382917">
        <w:t>an</w:t>
      </w:r>
      <w:r w:rsidR="00EE4FC3">
        <w:t xml:space="preserve"> </w:t>
      </w:r>
      <w:r w:rsidRPr="00382917">
        <w:t>avalanche</w:t>
      </w:r>
      <w:r w:rsidR="00EE4FC3">
        <w:t xml:space="preserve"> </w:t>
      </w:r>
      <w:r w:rsidRPr="00382917">
        <w:t>of</w:t>
      </w:r>
      <w:r w:rsidR="00EE4FC3">
        <w:t xml:space="preserve"> </w:t>
      </w:r>
      <w:r w:rsidRPr="00382917">
        <w:t>victories</w:t>
      </w:r>
      <w:r w:rsidR="00EE4FC3">
        <w:t xml:space="preserve"> </w:t>
      </w:r>
      <w:r w:rsidRPr="00382917">
        <w:t>could</w:t>
      </w:r>
      <w:r w:rsidR="00EE4FC3">
        <w:t xml:space="preserve"> </w:t>
      </w:r>
      <w:r w:rsidRPr="00382917">
        <w:t>be</w:t>
      </w:r>
      <w:r w:rsidR="00EE4FC3">
        <w:t xml:space="preserve"> </w:t>
      </w:r>
      <w:r w:rsidRPr="00382917">
        <w:t>won</w:t>
      </w:r>
      <w:r w:rsidR="00EE4FC3">
        <w:t xml:space="preserve"> </w:t>
      </w:r>
      <w:r w:rsidRPr="00382917">
        <w:t>by</w:t>
      </w:r>
      <w:r w:rsidR="00EE4FC3">
        <w:t xml:space="preserve"> </w:t>
      </w:r>
      <w:r w:rsidRPr="00382917">
        <w:t>Vaḥíd</w:t>
      </w:r>
      <w:r w:rsidR="00EE4FC3">
        <w:t xml:space="preserve"> </w:t>
      </w:r>
      <w:r w:rsidRPr="00382917">
        <w:t>in</w:t>
      </w:r>
      <w:r w:rsidR="00EE4FC3">
        <w:t xml:space="preserve"> </w:t>
      </w:r>
      <w:r w:rsidRPr="00382917">
        <w:t>such</w:t>
      </w:r>
      <w:r w:rsidR="00EE4FC3">
        <w:t xml:space="preserve"> </w:t>
      </w:r>
      <w:r w:rsidRPr="00382917">
        <w:t>an</w:t>
      </w:r>
      <w:r w:rsidR="00EE4FC3">
        <w:t xml:space="preserve"> </w:t>
      </w:r>
      <w:r w:rsidRPr="00382917">
        <w:t>astonishingly</w:t>
      </w:r>
      <w:r w:rsidR="00EE4FC3">
        <w:t xml:space="preserve"> </w:t>
      </w:r>
      <w:r w:rsidRPr="00382917">
        <w:t>short</w:t>
      </w:r>
      <w:r w:rsidR="00EE4FC3">
        <w:t xml:space="preserve"> </w:t>
      </w:r>
      <w:r w:rsidRPr="00382917">
        <w:t>time</w:t>
      </w:r>
      <w:r w:rsidR="0040329F">
        <w:t>.</w:t>
      </w:r>
      <w:r w:rsidR="00EE4FC3">
        <w:t xml:space="preserve">  </w:t>
      </w:r>
      <w:r w:rsidRPr="00382917">
        <w:t>The</w:t>
      </w:r>
      <w:r w:rsidR="00EE4FC3">
        <w:t xml:space="preserve"> </w:t>
      </w:r>
      <w:r w:rsidRPr="00382917">
        <w:t>finest</w:t>
      </w:r>
      <w:r w:rsidR="00EE4FC3">
        <w:t xml:space="preserve"> </w:t>
      </w:r>
      <w:r w:rsidRPr="00382917">
        <w:t>citizens</w:t>
      </w:r>
      <w:r w:rsidR="00EE4FC3">
        <w:t xml:space="preserve"> </w:t>
      </w:r>
      <w:r w:rsidRPr="00382917">
        <w:t>from</w:t>
      </w:r>
      <w:r w:rsidR="00EE4FC3">
        <w:t xml:space="preserve"> </w:t>
      </w:r>
      <w:r w:rsidRPr="00382917">
        <w:t>all</w:t>
      </w:r>
      <w:r w:rsidR="00EE4FC3">
        <w:t xml:space="preserve"> </w:t>
      </w:r>
      <w:r w:rsidRPr="00382917">
        <w:t>fields</w:t>
      </w:r>
      <w:r w:rsidR="00EE4FC3">
        <w:t xml:space="preserve"> </w:t>
      </w:r>
      <w:r w:rsidRPr="00382917">
        <w:t>were</w:t>
      </w:r>
      <w:r w:rsidR="00EE4FC3">
        <w:t xml:space="preserve"> </w:t>
      </w:r>
      <w:r w:rsidRPr="00382917">
        <w:t>accepting</w:t>
      </w:r>
      <w:r w:rsidR="00EE4FC3">
        <w:t xml:space="preserve"> </w:t>
      </w:r>
      <w:r w:rsidRPr="00382917">
        <w:t>the</w:t>
      </w:r>
      <w:r w:rsidR="00EE4FC3">
        <w:t xml:space="preserve"> </w:t>
      </w:r>
      <w:r w:rsidRPr="00382917">
        <w:t>Faith</w:t>
      </w:r>
      <w:r w:rsidR="00EE4FC3">
        <w:t xml:space="preserve"> </w:t>
      </w:r>
      <w:r w:rsidRPr="00382917">
        <w:t>of</w:t>
      </w:r>
      <w:r w:rsidR="00EE4FC3">
        <w:t xml:space="preserve"> </w:t>
      </w:r>
      <w:r w:rsidRPr="00382917">
        <w:t>the</w:t>
      </w:r>
      <w:r w:rsidR="00EE4FC3">
        <w:t xml:space="preserve"> </w:t>
      </w:r>
      <w:r w:rsidRPr="00382917">
        <w:t>Báb</w:t>
      </w:r>
      <w:r w:rsidR="0040329F">
        <w:t>.</w:t>
      </w:r>
      <w:r w:rsidR="00EE4FC3">
        <w:t xml:space="preserve">  </w:t>
      </w:r>
      <w:r w:rsidRPr="00382917">
        <w:t>This</w:t>
      </w:r>
      <w:r w:rsidR="00EE4FC3">
        <w:t xml:space="preserve"> </w:t>
      </w:r>
      <w:r w:rsidRPr="00382917">
        <w:t>number</w:t>
      </w:r>
      <w:r w:rsidR="00EE4FC3">
        <w:t xml:space="preserve"> </w:t>
      </w:r>
      <w:r w:rsidRPr="00382917">
        <w:t>included</w:t>
      </w:r>
      <w:r w:rsidR="00EE4FC3">
        <w:t xml:space="preserve"> </w:t>
      </w:r>
      <w:r w:rsidRPr="00382917">
        <w:t>the</w:t>
      </w:r>
      <w:r w:rsidR="00EE4FC3">
        <w:t xml:space="preserve"> </w:t>
      </w:r>
      <w:r w:rsidRPr="00382917">
        <w:t>governor</w:t>
      </w:r>
      <w:r w:rsidR="009C713D" w:rsidRPr="00382917">
        <w:t>’</w:t>
      </w:r>
      <w:r w:rsidRPr="00382917">
        <w:t>s</w:t>
      </w:r>
      <w:r w:rsidR="00EE4FC3">
        <w:t xml:space="preserve"> </w:t>
      </w:r>
      <w:r w:rsidRPr="00382917">
        <w:t>own</w:t>
      </w:r>
      <w:r w:rsidR="00EE4FC3">
        <w:t xml:space="preserve"> </w:t>
      </w:r>
      <w:r w:rsidRPr="00382917">
        <w:t>nephew.</w:t>
      </w:r>
      <w:r w:rsidR="00AB1A30">
        <w:rPr>
          <w:rStyle w:val="FootnoteReference"/>
        </w:rPr>
        <w:footnoteReference w:id="172"/>
      </w:r>
    </w:p>
    <w:p w:rsidR="00B2037B" w:rsidRPr="00382917" w:rsidRDefault="00B2037B" w:rsidP="00B2037B">
      <w:pPr>
        <w:pStyle w:val="Text"/>
      </w:pPr>
      <w:r w:rsidRPr="00382917">
        <w:t>The</w:t>
      </w:r>
      <w:r w:rsidR="00EE4FC3">
        <w:t xml:space="preserve"> </w:t>
      </w:r>
      <w:r w:rsidRPr="00382917">
        <w:t>governor</w:t>
      </w:r>
      <w:r w:rsidR="00EE4FC3">
        <w:t xml:space="preserve"> </w:t>
      </w:r>
      <w:r w:rsidRPr="00382917">
        <w:t>felt</w:t>
      </w:r>
      <w:r w:rsidR="00EE4FC3">
        <w:t xml:space="preserve"> </w:t>
      </w:r>
      <w:r w:rsidRPr="00382917">
        <w:t>that</w:t>
      </w:r>
      <w:r w:rsidR="00EE4FC3">
        <w:t xml:space="preserve"> </w:t>
      </w:r>
      <w:r w:rsidRPr="00382917">
        <w:t>he</w:t>
      </w:r>
      <w:r w:rsidR="00EE4FC3">
        <w:t xml:space="preserve"> </w:t>
      </w:r>
      <w:r w:rsidRPr="00382917">
        <w:t>must</w:t>
      </w:r>
      <w:r w:rsidR="00EE4FC3">
        <w:t xml:space="preserve"> </w:t>
      </w:r>
      <w:r w:rsidRPr="00382917">
        <w:t>destroy</w:t>
      </w:r>
      <w:r w:rsidR="00EE4FC3">
        <w:t xml:space="preserve"> </w:t>
      </w:r>
      <w:r w:rsidRPr="00382917">
        <w:t>this</w:t>
      </w:r>
      <w:r w:rsidR="00EE4FC3">
        <w:t xml:space="preserve"> </w:t>
      </w:r>
      <w:r w:rsidRPr="00382917">
        <w:t>influence</w:t>
      </w:r>
      <w:r w:rsidR="00EE4FC3">
        <w:t xml:space="preserve"> </w:t>
      </w:r>
      <w:r w:rsidRPr="00382917">
        <w:t>before</w:t>
      </w:r>
      <w:r w:rsidR="00EE4FC3">
        <w:t xml:space="preserve"> </w:t>
      </w:r>
      <w:r w:rsidRPr="00382917">
        <w:t>it</w:t>
      </w:r>
      <w:r w:rsidR="00EE4FC3">
        <w:t xml:space="preserve"> </w:t>
      </w:r>
      <w:r w:rsidRPr="00382917">
        <w:t>undermined</w:t>
      </w:r>
      <w:r w:rsidR="00EE4FC3">
        <w:t xml:space="preserve"> </w:t>
      </w:r>
      <w:r w:rsidRPr="00382917">
        <w:t>his</w:t>
      </w:r>
      <w:r w:rsidR="00EE4FC3">
        <w:t xml:space="preserve"> </w:t>
      </w:r>
      <w:r w:rsidRPr="00382917">
        <w:t>own</w:t>
      </w:r>
      <w:r w:rsidR="00EE4FC3">
        <w:t xml:space="preserve"> </w:t>
      </w:r>
      <w:r w:rsidRPr="00382917">
        <w:t>position</w:t>
      </w:r>
      <w:r w:rsidR="00EE4FC3">
        <w:t xml:space="preserve"> </w:t>
      </w:r>
      <w:r w:rsidRPr="00382917">
        <w:t>with</w:t>
      </w:r>
      <w:r w:rsidR="00EE4FC3">
        <w:t xml:space="preserve"> </w:t>
      </w:r>
      <w:r w:rsidRPr="00382917">
        <w:t>the</w:t>
      </w:r>
      <w:r w:rsidR="00EE4FC3">
        <w:t xml:space="preserve"> </w:t>
      </w:r>
      <w:r w:rsidRPr="00382917">
        <w:t>king</w:t>
      </w:r>
      <w:r w:rsidR="00EE4FC3">
        <w:t xml:space="preserve"> </w:t>
      </w:r>
      <w:r w:rsidRPr="00382917">
        <w:t>and</w:t>
      </w:r>
      <w:r w:rsidR="00EE4FC3">
        <w:t xml:space="preserve"> </w:t>
      </w:r>
      <w:r w:rsidRPr="00382917">
        <w:t>Prime</w:t>
      </w:r>
      <w:r w:rsidR="00EE4FC3">
        <w:t xml:space="preserve"> </w:t>
      </w:r>
      <w:r w:rsidRPr="00382917">
        <w:t>Minister</w:t>
      </w:r>
      <w:r w:rsidR="0040329F">
        <w:t>.</w:t>
      </w:r>
      <w:r w:rsidR="00EE4FC3">
        <w:t xml:space="preserve">  </w:t>
      </w:r>
      <w:r w:rsidRPr="00382917">
        <w:t>He</w:t>
      </w:r>
      <w:r w:rsidR="00EE4FC3">
        <w:t xml:space="preserve"> </w:t>
      </w:r>
      <w:r w:rsidRPr="00382917">
        <w:t>recruited</w:t>
      </w:r>
      <w:r w:rsidR="00EE4FC3">
        <w:t xml:space="preserve"> </w:t>
      </w:r>
      <w:r w:rsidRPr="00382917">
        <w:t>a</w:t>
      </w:r>
      <w:r w:rsidR="00EE4FC3">
        <w:t xml:space="preserve"> </w:t>
      </w:r>
      <w:r w:rsidRPr="00382917">
        <w:t>thousand</w:t>
      </w:r>
      <w:r w:rsidR="00EE4FC3">
        <w:t xml:space="preserve"> </w:t>
      </w:r>
      <w:r w:rsidRPr="00382917">
        <w:t>soldiers,</w:t>
      </w:r>
      <w:r w:rsidR="00EE4FC3">
        <w:t xml:space="preserve"> </w:t>
      </w:r>
      <w:r w:rsidRPr="00382917">
        <w:t>both</w:t>
      </w:r>
      <w:r w:rsidR="00EE4FC3">
        <w:t xml:space="preserve"> </w:t>
      </w:r>
      <w:r w:rsidRPr="00382917">
        <w:t>cavalry</w:t>
      </w:r>
      <w:r w:rsidR="00EE4FC3">
        <w:t xml:space="preserve"> </w:t>
      </w:r>
      <w:r w:rsidRPr="00382917">
        <w:t>and</w:t>
      </w:r>
      <w:r w:rsidR="00EE4FC3">
        <w:t xml:space="preserve"> </w:t>
      </w:r>
      <w:r w:rsidRPr="00382917">
        <w:t>infantry</w:t>
      </w:r>
      <w:r w:rsidR="0040329F">
        <w:t>.</w:t>
      </w:r>
      <w:r w:rsidR="00EE4FC3">
        <w:t xml:space="preserve">  </w:t>
      </w:r>
      <w:r w:rsidRPr="00382917">
        <w:t>He</w:t>
      </w:r>
      <w:r w:rsidR="00EE4FC3">
        <w:t xml:space="preserve"> </w:t>
      </w:r>
      <w:r w:rsidRPr="00382917">
        <w:t>supplied</w:t>
      </w:r>
      <w:r w:rsidR="00EE4FC3">
        <w:t xml:space="preserve"> </w:t>
      </w:r>
      <w:r w:rsidRPr="00382917">
        <w:t>them</w:t>
      </w:r>
      <w:r w:rsidR="00EE4FC3">
        <w:t xml:space="preserve"> </w:t>
      </w:r>
      <w:r w:rsidRPr="00382917">
        <w:t>with</w:t>
      </w:r>
      <w:r w:rsidR="00EE4FC3">
        <w:t xml:space="preserve"> </w:t>
      </w:r>
      <w:r w:rsidRPr="00382917">
        <w:t>ammunition</w:t>
      </w:r>
      <w:r w:rsidR="00EE4FC3">
        <w:t xml:space="preserve"> </w:t>
      </w:r>
      <w:r w:rsidRPr="00382917">
        <w:t>and</w:t>
      </w:r>
      <w:r w:rsidR="00EE4FC3">
        <w:t xml:space="preserve"> </w:t>
      </w:r>
      <w:r w:rsidRPr="00382917">
        <w:t>ordered</w:t>
      </w:r>
      <w:r w:rsidR="00EE4FC3">
        <w:t xml:space="preserve"> </w:t>
      </w:r>
      <w:r w:rsidRPr="00382917">
        <w:t>them</w:t>
      </w:r>
      <w:r w:rsidR="00EE4FC3">
        <w:t xml:space="preserve"> </w:t>
      </w:r>
      <w:r w:rsidRPr="00382917">
        <w:t>to</w:t>
      </w:r>
      <w:r w:rsidR="00EE4FC3">
        <w:t xml:space="preserve"> </w:t>
      </w:r>
      <w:r w:rsidRPr="00382917">
        <w:t>make</w:t>
      </w:r>
      <w:r w:rsidR="00EE4FC3">
        <w:t xml:space="preserve"> </w:t>
      </w:r>
      <w:r w:rsidRPr="00382917">
        <w:t>a</w:t>
      </w:r>
      <w:r w:rsidR="00EE4FC3">
        <w:t xml:space="preserve"> </w:t>
      </w:r>
      <w:r w:rsidRPr="00382917">
        <w:t>sudden</w:t>
      </w:r>
      <w:r w:rsidR="00EE4FC3">
        <w:t xml:space="preserve"> </w:t>
      </w:r>
      <w:r w:rsidRPr="00382917">
        <w:t>attack</w:t>
      </w:r>
      <w:r w:rsidR="00EE4FC3">
        <w:t xml:space="preserve"> </w:t>
      </w:r>
      <w:r w:rsidRPr="00382917">
        <w:t>upon</w:t>
      </w:r>
      <w:r w:rsidR="00EE4FC3">
        <w:t xml:space="preserve"> </w:t>
      </w:r>
      <w:r w:rsidRPr="00382917">
        <w:t>Vaḥíd.</w:t>
      </w:r>
    </w:p>
    <w:p w:rsidR="00B2037B" w:rsidRPr="00382917" w:rsidRDefault="009C713D" w:rsidP="00B2037B">
      <w:pPr>
        <w:pStyle w:val="Text"/>
      </w:pPr>
      <w:r w:rsidRPr="00382917">
        <w:t>“</w:t>
      </w:r>
      <w:r w:rsidR="00B2037B" w:rsidRPr="00382917">
        <w:t>Seize</w:t>
      </w:r>
      <w:r w:rsidR="00EE4FC3">
        <w:t xml:space="preserve"> </w:t>
      </w:r>
      <w:r w:rsidR="00B2037B" w:rsidRPr="00382917">
        <w:t>him</w:t>
      </w:r>
      <w:r w:rsidR="00EE4FC3">
        <w:t xml:space="preserve"> </w:t>
      </w:r>
      <w:r w:rsidR="00B2037B" w:rsidRPr="00382917">
        <w:t>and</w:t>
      </w:r>
      <w:r w:rsidR="00EE4FC3">
        <w:t xml:space="preserve"> </w:t>
      </w:r>
      <w:r w:rsidR="00B2037B" w:rsidRPr="00382917">
        <w:t>bring</w:t>
      </w:r>
      <w:r w:rsidR="00EE4FC3">
        <w:t xml:space="preserve"> </w:t>
      </w:r>
      <w:r w:rsidR="00B2037B" w:rsidRPr="00382917">
        <w:t>him</w:t>
      </w:r>
      <w:r w:rsidR="00EE4FC3">
        <w:t xml:space="preserve"> </w:t>
      </w:r>
      <w:r w:rsidR="00B2037B" w:rsidRPr="00382917">
        <w:t>here</w:t>
      </w:r>
      <w:r w:rsidR="00EE4FC3">
        <w:t xml:space="preserve"> </w:t>
      </w:r>
      <w:r w:rsidR="00B2037B" w:rsidRPr="00382917">
        <w:t>as</w:t>
      </w:r>
      <w:r w:rsidR="00EE4FC3">
        <w:t xml:space="preserve"> </w:t>
      </w:r>
      <w:r w:rsidR="00B2037B" w:rsidRPr="00382917">
        <w:t>a</w:t>
      </w:r>
      <w:r w:rsidR="00EE4FC3">
        <w:t xml:space="preserve"> </w:t>
      </w:r>
      <w:r w:rsidR="00B2037B" w:rsidRPr="00382917">
        <w:t>prisoner!</w:t>
      </w:r>
      <w:r w:rsidRPr="00382917">
        <w:t>”</w:t>
      </w:r>
    </w:p>
    <w:p w:rsidR="00B2037B" w:rsidRPr="00382917" w:rsidRDefault="00B2037B" w:rsidP="0040329F">
      <w:pPr>
        <w:pStyle w:val="Text"/>
      </w:pPr>
      <w:r w:rsidRPr="00382917">
        <w:t>Vaḥíd</w:t>
      </w:r>
      <w:r w:rsidR="00EE4FC3">
        <w:t xml:space="preserve"> </w:t>
      </w:r>
      <w:r w:rsidRPr="00382917">
        <w:t>was</w:t>
      </w:r>
      <w:r w:rsidR="00EE4FC3">
        <w:t xml:space="preserve"> </w:t>
      </w:r>
      <w:r w:rsidRPr="00382917">
        <w:t>informed</w:t>
      </w:r>
      <w:r w:rsidR="00EE4FC3">
        <w:t xml:space="preserve"> </w:t>
      </w:r>
      <w:r w:rsidRPr="00382917">
        <w:t>of</w:t>
      </w:r>
      <w:r w:rsidR="00EE4FC3">
        <w:t xml:space="preserve"> </w:t>
      </w:r>
      <w:r w:rsidRPr="00382917">
        <w:t>this</w:t>
      </w:r>
      <w:r w:rsidR="00EE4FC3">
        <w:t xml:space="preserve"> </w:t>
      </w:r>
      <w:r w:rsidRPr="00382917">
        <w:t>secret</w:t>
      </w:r>
      <w:r w:rsidR="00EE4FC3">
        <w:t xml:space="preserve"> </w:t>
      </w:r>
      <w:r w:rsidRPr="00382917">
        <w:t>attack</w:t>
      </w:r>
      <w:r w:rsidR="0040329F">
        <w:t>.</w:t>
      </w:r>
      <w:r w:rsidR="00EE4FC3">
        <w:t xml:space="preserve">  </w:t>
      </w:r>
      <w:r w:rsidRPr="00382917">
        <w:t>He</w:t>
      </w:r>
      <w:r w:rsidR="00EE4FC3">
        <w:t xml:space="preserve"> </w:t>
      </w:r>
      <w:r w:rsidRPr="00382917">
        <w:t>and</w:t>
      </w:r>
      <w:r w:rsidR="00EE4FC3">
        <w:t xml:space="preserve"> </w:t>
      </w:r>
      <w:r w:rsidRPr="00382917">
        <w:t>his</w:t>
      </w:r>
      <w:r w:rsidR="00EE4FC3">
        <w:t xml:space="preserve"> </w:t>
      </w:r>
      <w:r w:rsidRPr="00382917">
        <w:t>companions</w:t>
      </w:r>
      <w:r w:rsidR="00EE4FC3">
        <w:t xml:space="preserve"> </w:t>
      </w:r>
      <w:r w:rsidRPr="00382917">
        <w:t>followed</w:t>
      </w:r>
      <w:r w:rsidR="00EE4FC3">
        <w:t xml:space="preserve"> </w:t>
      </w:r>
      <w:r w:rsidRPr="00382917">
        <w:t>the</w:t>
      </w:r>
      <w:r w:rsidR="00EE4FC3">
        <w:t xml:space="preserve"> </w:t>
      </w:r>
      <w:r w:rsidRPr="00382917">
        <w:t>pattern</w:t>
      </w:r>
      <w:r w:rsidR="00EE4FC3">
        <w:t xml:space="preserve"> </w:t>
      </w:r>
      <w:r w:rsidRPr="00382917">
        <w:t>of</w:t>
      </w:r>
      <w:r w:rsidR="00EE4FC3">
        <w:t xml:space="preserve"> </w:t>
      </w:r>
      <w:r w:rsidRPr="00382917">
        <w:t>their</w:t>
      </w:r>
      <w:r w:rsidR="00EE4FC3">
        <w:t xml:space="preserve"> </w:t>
      </w:r>
      <w:r w:rsidRPr="00382917">
        <w:t>fellow-believers</w:t>
      </w:r>
      <w:r w:rsidR="00EE4FC3">
        <w:t xml:space="preserve"> </w:t>
      </w:r>
      <w:r w:rsidRPr="00382917">
        <w:t>at</w:t>
      </w:r>
      <w:r w:rsidR="00EE4FC3">
        <w:t xml:space="preserve"> </w:t>
      </w:r>
      <w:r w:rsidRPr="00382917">
        <w:rPr>
          <w:sz w:val="22"/>
        </w:rPr>
        <w:t>Ṭ</w:t>
      </w:r>
      <w:r w:rsidRPr="00382917">
        <w:t>abarsí</w:t>
      </w:r>
      <w:r w:rsidR="00EE4FC3">
        <w:t xml:space="preserve"> </w:t>
      </w:r>
      <w:r w:rsidRPr="00382917">
        <w:t>and</w:t>
      </w:r>
      <w:r w:rsidR="00EE4FC3">
        <w:t xml:space="preserve"> </w:t>
      </w:r>
      <w:r w:rsidRPr="00382917">
        <w:t>sought</w:t>
      </w:r>
      <w:r w:rsidR="00EE4FC3">
        <w:t xml:space="preserve"> </w:t>
      </w:r>
      <w:r w:rsidRPr="00382917">
        <w:t>refuge</w:t>
      </w:r>
      <w:r w:rsidR="0040329F">
        <w:t>.</w:t>
      </w:r>
      <w:r w:rsidR="00EE4FC3">
        <w:t xml:space="preserve">  </w:t>
      </w:r>
      <w:r w:rsidRPr="00382917">
        <w:t>The</w:t>
      </w:r>
      <w:r w:rsidR="00EE4FC3">
        <w:t xml:space="preserve"> </w:t>
      </w:r>
      <w:r w:rsidRPr="00382917">
        <w:t>prince,</w:t>
      </w:r>
      <w:r w:rsidR="00EE4FC3">
        <w:t xml:space="preserve"> </w:t>
      </w:r>
      <w:r w:rsidRPr="00382917">
        <w:t>who</w:t>
      </w:r>
      <w:r w:rsidR="00EE4FC3">
        <w:t xml:space="preserve"> </w:t>
      </w:r>
      <w:r w:rsidRPr="00382917">
        <w:t>was</w:t>
      </w:r>
      <w:r w:rsidR="00EE4FC3">
        <w:t xml:space="preserve"> </w:t>
      </w:r>
      <w:r w:rsidRPr="00382917">
        <w:t>governor</w:t>
      </w:r>
      <w:r w:rsidR="00EE4FC3">
        <w:t xml:space="preserve"> </w:t>
      </w:r>
      <w:r w:rsidRPr="00382917">
        <w:t>at</w:t>
      </w:r>
      <w:r w:rsidR="00EE4FC3">
        <w:t xml:space="preserve"> </w:t>
      </w:r>
      <w:r w:rsidR="008A073E" w:rsidRPr="00382917">
        <w:rPr>
          <w:u w:val="single"/>
        </w:rPr>
        <w:t>Sh</w:t>
      </w:r>
      <w:r w:rsidR="008A073E" w:rsidRPr="00382917">
        <w:t>íráz</w:t>
      </w:r>
      <w:r w:rsidRPr="00382917">
        <w:t>,</w:t>
      </w:r>
      <w:r w:rsidR="00EE4FC3">
        <w:t xml:space="preserve"> </w:t>
      </w:r>
      <w:r w:rsidRPr="00382917">
        <w:t>joined</w:t>
      </w:r>
      <w:r w:rsidR="00EE4FC3">
        <w:t xml:space="preserve"> </w:t>
      </w:r>
      <w:r w:rsidRPr="00382917">
        <w:t>forces</w:t>
      </w:r>
      <w:r w:rsidR="00EE4FC3">
        <w:t xml:space="preserve"> </w:t>
      </w:r>
      <w:r w:rsidRPr="00382917">
        <w:t>against</w:t>
      </w:r>
      <w:r w:rsidR="00EE4FC3">
        <w:t xml:space="preserve"> </w:t>
      </w:r>
      <w:r w:rsidRPr="00382917">
        <w:t>Vaḥíd</w:t>
      </w:r>
      <w:r w:rsidR="00EE4FC3">
        <w:t xml:space="preserve"> </w:t>
      </w:r>
      <w:r w:rsidRPr="00382917">
        <w:t>and</w:t>
      </w:r>
      <w:r w:rsidR="00EE4FC3">
        <w:t xml:space="preserve"> </w:t>
      </w:r>
      <w:r w:rsidRPr="00382917">
        <w:t>his</w:t>
      </w:r>
      <w:r w:rsidR="00EE4FC3">
        <w:t xml:space="preserve"> </w:t>
      </w:r>
      <w:r w:rsidRPr="00382917">
        <w:t>companions</w:t>
      </w:r>
      <w:r w:rsidR="0040329F">
        <w:t>.</w:t>
      </w:r>
      <w:r w:rsidR="00EE4FC3">
        <w:t xml:space="preserve">  </w:t>
      </w:r>
      <w:r w:rsidRPr="00382917">
        <w:t>He</w:t>
      </w:r>
      <w:r w:rsidR="00EE4FC3">
        <w:t xml:space="preserve"> </w:t>
      </w:r>
      <w:r w:rsidRPr="00382917">
        <w:t>gave</w:t>
      </w:r>
      <w:r w:rsidR="00EE4FC3">
        <w:t xml:space="preserve"> </w:t>
      </w:r>
      <w:r w:rsidRPr="00382917">
        <w:t>the</w:t>
      </w:r>
      <w:r w:rsidR="00EE4FC3">
        <w:t xml:space="preserve"> </w:t>
      </w:r>
      <w:r w:rsidRPr="00382917">
        <w:t>same</w:t>
      </w:r>
      <w:r w:rsidR="00EE4FC3">
        <w:t xml:space="preserve"> </w:t>
      </w:r>
      <w:r w:rsidRPr="00382917">
        <w:t>instructions</w:t>
      </w:r>
      <w:r w:rsidR="00EE4FC3">
        <w:t xml:space="preserve"> </w:t>
      </w:r>
      <w:r w:rsidRPr="00382917">
        <w:t>which</w:t>
      </w:r>
      <w:r w:rsidR="00EE4FC3">
        <w:t xml:space="preserve"> </w:t>
      </w:r>
      <w:r w:rsidRPr="00382917">
        <w:t>had</w:t>
      </w:r>
      <w:r w:rsidR="00EE4FC3">
        <w:t xml:space="preserve"> </w:t>
      </w:r>
      <w:r w:rsidRPr="00382917">
        <w:t>been</w:t>
      </w:r>
      <w:r w:rsidR="00EE4FC3">
        <w:t xml:space="preserve"> </w:t>
      </w:r>
      <w:r w:rsidRPr="00382917">
        <w:t>given</w:t>
      </w:r>
      <w:r w:rsidR="00EE4FC3">
        <w:t xml:space="preserve"> </w:t>
      </w:r>
      <w:r w:rsidRPr="00382917">
        <w:t>at</w:t>
      </w:r>
      <w:r w:rsidR="00EE4FC3">
        <w:t xml:space="preserve"> </w:t>
      </w:r>
      <w:r w:rsidRPr="00382917">
        <w:rPr>
          <w:sz w:val="22"/>
        </w:rPr>
        <w:t>Ṭ</w:t>
      </w:r>
      <w:r w:rsidRPr="00382917">
        <w:t>abarsí</w:t>
      </w:r>
      <w:r w:rsidR="00C03C91">
        <w:t>:</w:t>
      </w:r>
      <w:r w:rsidR="00EE4FC3">
        <w:t xml:space="preserve">  </w:t>
      </w:r>
      <w:r w:rsidR="009C713D" w:rsidRPr="00382917">
        <w:t>“</w:t>
      </w:r>
      <w:r w:rsidRPr="00382917">
        <w:t>Exterminate</w:t>
      </w:r>
      <w:r w:rsidR="00EE4FC3">
        <w:t xml:space="preserve"> </w:t>
      </w:r>
      <w:r w:rsidRPr="00382917">
        <w:t>all</w:t>
      </w:r>
      <w:r w:rsidR="00EE4FC3">
        <w:t xml:space="preserve"> </w:t>
      </w:r>
      <w:r w:rsidRPr="00382917">
        <w:t>of</w:t>
      </w:r>
      <w:r w:rsidR="00EE4FC3">
        <w:t xml:space="preserve"> </w:t>
      </w:r>
      <w:r w:rsidRPr="00382917">
        <w:t>them!</w:t>
      </w:r>
      <w:proofErr w:type="gramStart"/>
      <w:r w:rsidR="009C713D" w:rsidRPr="00382917">
        <w:t>”</w:t>
      </w:r>
      <w:r w:rsidR="00EE4FC3">
        <w:t xml:space="preserve"> </w:t>
      </w:r>
      <w:proofErr w:type="gramEnd"/>
      <w:r w:rsidRPr="00382917">
        <w:t>Vaḥíd</w:t>
      </w:r>
      <w:r w:rsidR="00EE4FC3">
        <w:t xml:space="preserve"> </w:t>
      </w:r>
      <w:r w:rsidRPr="00382917">
        <w:t>and</w:t>
      </w:r>
      <w:r w:rsidR="00EE4FC3">
        <w:t xml:space="preserve"> </w:t>
      </w:r>
      <w:r w:rsidRPr="00382917">
        <w:t>his</w:t>
      </w:r>
      <w:r w:rsidR="00EE4FC3">
        <w:t xml:space="preserve"> </w:t>
      </w:r>
      <w:r w:rsidRPr="00382917">
        <w:t>friends</w:t>
      </w:r>
      <w:r w:rsidR="00EE4FC3">
        <w:t xml:space="preserve"> </w:t>
      </w:r>
      <w:r w:rsidRPr="00382917">
        <w:t>had</w:t>
      </w:r>
      <w:r w:rsidR="00EE4FC3">
        <w:t xml:space="preserve"> </w:t>
      </w:r>
      <w:r w:rsidRPr="00382917">
        <w:t>taken</w:t>
      </w:r>
      <w:r w:rsidR="00EE4FC3">
        <w:t xml:space="preserve"> </w:t>
      </w:r>
      <w:r w:rsidRPr="00382917">
        <w:t>refuge</w:t>
      </w:r>
      <w:r w:rsidR="00EE4FC3">
        <w:t xml:space="preserve"> </w:t>
      </w:r>
      <w:r w:rsidRPr="00382917">
        <w:t>in</w:t>
      </w:r>
      <w:r w:rsidR="00EE4FC3">
        <w:t xml:space="preserve"> </w:t>
      </w:r>
      <w:r w:rsidRPr="00382917">
        <w:t>Fort</w:t>
      </w:r>
      <w:r w:rsidR="00EE4FC3">
        <w:t xml:space="preserve"> </w:t>
      </w:r>
      <w:r w:rsidRPr="00382917">
        <w:t>Khájih</w:t>
      </w:r>
      <w:r w:rsidR="00EE4FC3">
        <w:t xml:space="preserve"> </w:t>
      </w:r>
      <w:r w:rsidRPr="00382917">
        <w:t>where</w:t>
      </w:r>
      <w:r w:rsidR="00EE4FC3">
        <w:t xml:space="preserve"> </w:t>
      </w:r>
      <w:r w:rsidRPr="00382917">
        <w:t>they</w:t>
      </w:r>
      <w:r w:rsidR="00EE4FC3">
        <w:t xml:space="preserve"> </w:t>
      </w:r>
      <w:r w:rsidRPr="00382917">
        <w:t>were</w:t>
      </w:r>
      <w:r w:rsidR="00EE4FC3">
        <w:t xml:space="preserve"> </w:t>
      </w:r>
      <w:r w:rsidRPr="00382917">
        <w:t>besieged</w:t>
      </w:r>
      <w:r w:rsidR="00EE4FC3">
        <w:t xml:space="preserve"> </w:t>
      </w:r>
      <w:r w:rsidRPr="00382917">
        <w:t>in</w:t>
      </w:r>
      <w:r w:rsidR="00EE4FC3">
        <w:t xml:space="preserve"> </w:t>
      </w:r>
      <w:r w:rsidRPr="00382917">
        <w:t>the</w:t>
      </w:r>
      <w:r w:rsidR="00EE4FC3">
        <w:t xml:space="preserve"> </w:t>
      </w:r>
      <w:r w:rsidRPr="00382917">
        <w:t>same</w:t>
      </w:r>
      <w:r w:rsidR="00EE4FC3">
        <w:t xml:space="preserve"> </w:t>
      </w:r>
      <w:r w:rsidRPr="00382917">
        <w:t>manner</w:t>
      </w:r>
      <w:r w:rsidR="00EE4FC3">
        <w:t xml:space="preserve"> </w:t>
      </w:r>
      <w:r w:rsidRPr="00382917">
        <w:t>in</w:t>
      </w:r>
      <w:r w:rsidR="00EE4FC3">
        <w:t xml:space="preserve"> </w:t>
      </w:r>
      <w:r w:rsidRPr="00382917">
        <w:t>which</w:t>
      </w:r>
      <w:r w:rsidR="00EE4FC3">
        <w:t xml:space="preserve"> </w:t>
      </w:r>
      <w:r w:rsidRPr="00382917">
        <w:t>Quddús</w:t>
      </w:r>
      <w:r w:rsidR="00EE4FC3">
        <w:t xml:space="preserve"> </w:t>
      </w:r>
      <w:r w:rsidRPr="00382917">
        <w:t>and</w:t>
      </w:r>
      <w:r w:rsidR="00EE4FC3">
        <w:t xml:space="preserve"> </w:t>
      </w:r>
      <w:r w:rsidRPr="00382917">
        <w:t>Mullá</w:t>
      </w:r>
      <w:r w:rsidR="00EE4FC3">
        <w:t xml:space="preserve"> </w:t>
      </w:r>
      <w:r w:rsidR="00964C11" w:rsidRPr="00382917">
        <w:t>Ḥusayn</w:t>
      </w:r>
      <w:r w:rsidR="00EE4FC3">
        <w:t xml:space="preserve"> </w:t>
      </w:r>
      <w:r w:rsidRPr="00382917">
        <w:t>had</w:t>
      </w:r>
      <w:r w:rsidR="00EE4FC3">
        <w:t xml:space="preserve"> </w:t>
      </w:r>
      <w:r w:rsidRPr="00382917">
        <w:t>been</w:t>
      </w:r>
      <w:r w:rsidR="00EE4FC3">
        <w:t xml:space="preserve"> </w:t>
      </w:r>
      <w:r w:rsidRPr="00382917">
        <w:t>besieged</w:t>
      </w:r>
      <w:r w:rsidR="00EE4FC3">
        <w:t xml:space="preserve"> </w:t>
      </w:r>
      <w:r w:rsidRPr="00382917">
        <w:t>at</w:t>
      </w:r>
      <w:r w:rsidR="00EE4FC3">
        <w:t xml:space="preserve"> </w:t>
      </w:r>
      <w:r w:rsidRPr="00382917">
        <w:rPr>
          <w:sz w:val="22"/>
        </w:rPr>
        <w:t>Ṭ</w:t>
      </w:r>
      <w:r w:rsidRPr="00382917">
        <w:t>abarsí</w:t>
      </w:r>
      <w:r w:rsidR="0040329F">
        <w:t>.</w:t>
      </w:r>
      <w:r w:rsidR="00EE4FC3">
        <w:t xml:space="preserve">  </w:t>
      </w:r>
      <w:r w:rsidRPr="00382917">
        <w:t>They</w:t>
      </w:r>
      <w:r w:rsidR="00EE4FC3">
        <w:t xml:space="preserve"> </w:t>
      </w:r>
      <w:r w:rsidRPr="00382917">
        <w:t>were</w:t>
      </w:r>
      <w:r w:rsidR="00EE4FC3">
        <w:t xml:space="preserve"> </w:t>
      </w:r>
      <w:r w:rsidRPr="00382917">
        <w:t>deprived</w:t>
      </w:r>
      <w:r w:rsidR="00EE4FC3">
        <w:t xml:space="preserve"> </w:t>
      </w:r>
      <w:r w:rsidRPr="00382917">
        <w:t>of</w:t>
      </w:r>
      <w:r w:rsidR="00EE4FC3">
        <w:t xml:space="preserve"> </w:t>
      </w:r>
      <w:r w:rsidRPr="00382917">
        <w:t>water</w:t>
      </w:r>
      <w:r w:rsidR="00EE4FC3">
        <w:t xml:space="preserve"> </w:t>
      </w:r>
      <w:r w:rsidRPr="00382917">
        <w:t>and</w:t>
      </w:r>
      <w:r w:rsidR="00EE4FC3">
        <w:t xml:space="preserve"> </w:t>
      </w:r>
      <w:r w:rsidRPr="00382917">
        <w:t>food</w:t>
      </w:r>
      <w:r w:rsidR="0040329F">
        <w:t>.</w:t>
      </w:r>
      <w:r w:rsidR="00EE4FC3">
        <w:t xml:space="preserve">  </w:t>
      </w:r>
      <w:r w:rsidRPr="00382917">
        <w:t>Finally,</w:t>
      </w:r>
      <w:r w:rsidR="00EE4FC3">
        <w:t xml:space="preserve"> </w:t>
      </w:r>
      <w:r w:rsidRPr="00382917">
        <w:t>by</w:t>
      </w:r>
      <w:r w:rsidR="00EE4FC3">
        <w:t xml:space="preserve"> </w:t>
      </w:r>
      <w:r w:rsidRPr="00382917">
        <w:t>the</w:t>
      </w:r>
      <w:r w:rsidR="00EE4FC3">
        <w:t xml:space="preserve"> </w:t>
      </w:r>
      <w:r w:rsidRPr="00382917">
        <w:t>same</w:t>
      </w:r>
      <w:r w:rsidR="00EE4FC3">
        <w:t xml:space="preserve"> </w:t>
      </w:r>
      <w:r w:rsidRPr="00382917">
        <w:t>treachery</w:t>
      </w:r>
      <w:r w:rsidR="00EE4FC3">
        <w:t xml:space="preserve"> </w:t>
      </w:r>
      <w:r w:rsidRPr="00382917">
        <w:t>used</w:t>
      </w:r>
      <w:r w:rsidR="00EE4FC3">
        <w:t xml:space="preserve"> </w:t>
      </w:r>
      <w:r w:rsidRPr="00382917">
        <w:t>at</w:t>
      </w:r>
      <w:r w:rsidR="00EE4FC3">
        <w:t xml:space="preserve"> </w:t>
      </w:r>
      <w:r w:rsidRPr="00382917">
        <w:rPr>
          <w:sz w:val="22"/>
        </w:rPr>
        <w:t>Ṭ</w:t>
      </w:r>
      <w:r w:rsidRPr="00382917">
        <w:t>abarsí,</w:t>
      </w:r>
      <w:r w:rsidR="00EE4FC3">
        <w:t xml:space="preserve"> </w:t>
      </w:r>
      <w:r w:rsidRPr="00382917">
        <w:t>they</w:t>
      </w:r>
      <w:r w:rsidR="00EE4FC3">
        <w:t xml:space="preserve"> </w:t>
      </w:r>
      <w:r w:rsidRPr="00382917">
        <w:t>were</w:t>
      </w:r>
      <w:r w:rsidR="00EE4FC3">
        <w:t xml:space="preserve"> </w:t>
      </w:r>
      <w:r w:rsidRPr="00382917">
        <w:t>betrayed</w:t>
      </w:r>
      <w:r w:rsidR="00EE4FC3">
        <w:t xml:space="preserve"> </w:t>
      </w:r>
      <w:r w:rsidRPr="00382917">
        <w:t>into</w:t>
      </w:r>
      <w:r w:rsidR="00EE4FC3">
        <w:t xml:space="preserve"> </w:t>
      </w:r>
      <w:r w:rsidRPr="00382917">
        <w:t>coming</w:t>
      </w:r>
      <w:r w:rsidR="00EE4FC3">
        <w:t xml:space="preserve"> </w:t>
      </w:r>
      <w:r w:rsidRPr="00382917">
        <w:t>out</w:t>
      </w:r>
      <w:r w:rsidR="00EE4FC3">
        <w:t xml:space="preserve"> </w:t>
      </w:r>
      <w:r w:rsidRPr="00382917">
        <w:t>from</w:t>
      </w:r>
      <w:r w:rsidR="00EE4FC3">
        <w:t xml:space="preserve"> </w:t>
      </w:r>
      <w:r w:rsidRPr="00382917">
        <w:t>their</w:t>
      </w:r>
      <w:r w:rsidR="00EE4FC3">
        <w:t xml:space="preserve"> </w:t>
      </w:r>
      <w:r w:rsidRPr="00382917">
        <w:t>sheltered</w:t>
      </w:r>
      <w:r w:rsidR="00EE4FC3">
        <w:t xml:space="preserve"> </w:t>
      </w:r>
      <w:r w:rsidRPr="00382917">
        <w:t>protection.</w:t>
      </w:r>
    </w:p>
    <w:p w:rsidR="00B2037B" w:rsidRPr="00382917" w:rsidRDefault="00B2037B" w:rsidP="000824A0">
      <w:pPr>
        <w:pStyle w:val="Text"/>
      </w:pPr>
      <w:r w:rsidRPr="00382917">
        <w:t>The</w:t>
      </w:r>
      <w:r w:rsidR="00EE4FC3">
        <w:t xml:space="preserve"> </w:t>
      </w:r>
      <w:r w:rsidRPr="00382917">
        <w:t>governor</w:t>
      </w:r>
      <w:r w:rsidR="00EE4FC3">
        <w:t xml:space="preserve"> </w:t>
      </w:r>
      <w:r w:rsidRPr="00382917">
        <w:t>of</w:t>
      </w:r>
      <w:r w:rsidR="00EE4FC3">
        <w:t xml:space="preserve"> </w:t>
      </w:r>
      <w:r w:rsidRPr="00382917">
        <w:t>Nayríz,</w:t>
      </w:r>
      <w:r w:rsidR="00EE4FC3">
        <w:t xml:space="preserve"> </w:t>
      </w:r>
      <w:r w:rsidRPr="00382917">
        <w:t>failing</w:t>
      </w:r>
      <w:r w:rsidR="00EE4FC3">
        <w:t xml:space="preserve"> </w:t>
      </w:r>
      <w:r w:rsidRPr="00382917">
        <w:t>time</w:t>
      </w:r>
      <w:r w:rsidR="00EE4FC3">
        <w:t xml:space="preserve"> </w:t>
      </w:r>
      <w:r w:rsidRPr="00382917">
        <w:t>after</w:t>
      </w:r>
      <w:r w:rsidR="00EE4FC3">
        <w:t xml:space="preserve"> </w:t>
      </w:r>
      <w:r w:rsidRPr="00382917">
        <w:t>time</w:t>
      </w:r>
      <w:r w:rsidR="00EE4FC3">
        <w:t xml:space="preserve"> </w:t>
      </w:r>
      <w:r w:rsidRPr="00382917">
        <w:t>to</w:t>
      </w:r>
      <w:r w:rsidR="00EE4FC3">
        <w:t xml:space="preserve"> </w:t>
      </w:r>
      <w:r w:rsidRPr="00382917">
        <w:t>win</w:t>
      </w:r>
      <w:r w:rsidR="00EE4FC3">
        <w:t xml:space="preserve"> </w:t>
      </w:r>
      <w:r w:rsidRPr="00382917">
        <w:t>by</w:t>
      </w:r>
      <w:r w:rsidR="00EE4FC3">
        <w:t xml:space="preserve"> </w:t>
      </w:r>
      <w:r w:rsidRPr="00382917">
        <w:t>force,</w:t>
      </w:r>
      <w:r w:rsidR="00EE4FC3">
        <w:t xml:space="preserve"> </w:t>
      </w:r>
      <w:r w:rsidRPr="00382917">
        <w:t>resorted</w:t>
      </w:r>
      <w:r w:rsidR="00EE4FC3">
        <w:t xml:space="preserve"> </w:t>
      </w:r>
      <w:r w:rsidRPr="00382917">
        <w:t>to</w:t>
      </w:r>
      <w:r w:rsidR="00EE4FC3">
        <w:t xml:space="preserve"> </w:t>
      </w:r>
      <w:r w:rsidRPr="00382917">
        <w:t>deceit,</w:t>
      </w:r>
      <w:r w:rsidR="00EE4FC3">
        <w:t xml:space="preserve"> </w:t>
      </w:r>
      <w:r w:rsidRPr="00382917">
        <w:t>contrary</w:t>
      </w:r>
      <w:r w:rsidR="00EE4FC3">
        <w:t xml:space="preserve"> </w:t>
      </w:r>
      <w:r w:rsidRPr="00382917">
        <w:t>to</w:t>
      </w:r>
      <w:r w:rsidR="00EE4FC3">
        <w:t xml:space="preserve"> </w:t>
      </w:r>
      <w:r w:rsidRPr="00382917">
        <w:t>the</w:t>
      </w:r>
      <w:r w:rsidR="00EE4FC3">
        <w:t xml:space="preserve"> </w:t>
      </w:r>
      <w:r w:rsidRPr="00382917">
        <w:t>pure</w:t>
      </w:r>
      <w:r w:rsidR="00EE4FC3">
        <w:t xml:space="preserve"> </w:t>
      </w:r>
      <w:r w:rsidRPr="00382917">
        <w:t>spirit</w:t>
      </w:r>
      <w:r w:rsidR="00EE4FC3">
        <w:t xml:space="preserve"> </w:t>
      </w:r>
      <w:r w:rsidRPr="00382917">
        <w:t>of</w:t>
      </w:r>
      <w:r w:rsidR="00EE4FC3">
        <w:t xml:space="preserve"> </w:t>
      </w:r>
      <w:proofErr w:type="spellStart"/>
      <w:r w:rsidR="000824A0">
        <w:t>Muḥammad</w:t>
      </w:r>
      <w:r w:rsidR="009C713D" w:rsidRPr="00382917">
        <w:t>’</w:t>
      </w:r>
      <w:r w:rsidRPr="00382917">
        <w:t>s</w:t>
      </w:r>
      <w:proofErr w:type="spellEnd"/>
      <w:r w:rsidR="00EE4FC3">
        <w:t xml:space="preserve"> </w:t>
      </w:r>
      <w:r w:rsidRPr="00382917">
        <w:t>teaching</w:t>
      </w:r>
      <w:r w:rsidR="0040329F">
        <w:t>.</w:t>
      </w:r>
      <w:r w:rsidR="00EE4FC3">
        <w:t xml:space="preserve">  </w:t>
      </w:r>
      <w:r w:rsidRPr="00382917">
        <w:t>A</w:t>
      </w:r>
      <w:r w:rsidR="00EE4FC3">
        <w:t xml:space="preserve"> </w:t>
      </w:r>
      <w:proofErr w:type="gramStart"/>
      <w:r w:rsidR="00382917">
        <w:t>Qur’án</w:t>
      </w:r>
      <w:proofErr w:type="gramEnd"/>
      <w:r w:rsidR="00EE4FC3">
        <w:t xml:space="preserve"> </w:t>
      </w:r>
      <w:r w:rsidRPr="00382917">
        <w:t>was</w:t>
      </w:r>
      <w:r w:rsidR="00EE4FC3">
        <w:t xml:space="preserve"> </w:t>
      </w:r>
      <w:r w:rsidRPr="00382917">
        <w:t>sent</w:t>
      </w:r>
      <w:r w:rsidR="00EE4FC3">
        <w:t xml:space="preserve"> </w:t>
      </w:r>
      <w:r w:rsidRPr="00382917">
        <w:t>to</w:t>
      </w:r>
      <w:r w:rsidR="00EE4FC3">
        <w:t xml:space="preserve"> </w:t>
      </w:r>
      <w:r w:rsidRPr="00382917">
        <w:t>Vaḥíd</w:t>
      </w:r>
      <w:r w:rsidR="00EE4FC3">
        <w:t xml:space="preserve"> </w:t>
      </w:r>
      <w:r w:rsidRPr="00382917">
        <w:t>with</w:t>
      </w:r>
      <w:r w:rsidR="00EE4FC3">
        <w:t xml:space="preserve"> </w:t>
      </w:r>
      <w:r w:rsidRPr="00382917">
        <w:t>the</w:t>
      </w:r>
      <w:r w:rsidR="00EE4FC3">
        <w:t xml:space="preserve"> </w:t>
      </w:r>
      <w:r w:rsidRPr="00382917">
        <w:t>following</w:t>
      </w:r>
      <w:r w:rsidR="00EE4FC3">
        <w:t xml:space="preserve"> </w:t>
      </w:r>
      <w:r w:rsidRPr="00382917">
        <w:t>solemn</w:t>
      </w:r>
      <w:r w:rsidR="00EE4FC3">
        <w:t xml:space="preserve"> </w:t>
      </w:r>
      <w:r w:rsidRPr="00382917">
        <w:t>promise:</w:t>
      </w:r>
    </w:p>
    <w:p w:rsidR="00B2037B" w:rsidRPr="00382917" w:rsidRDefault="009C713D" w:rsidP="00B2037B">
      <w:pPr>
        <w:pStyle w:val="Text"/>
      </w:pPr>
      <w:r w:rsidRPr="00382917">
        <w:t>“</w:t>
      </w:r>
      <w:r w:rsidR="00B2037B" w:rsidRPr="00382917">
        <w:t>This</w:t>
      </w:r>
      <w:r w:rsidR="00EE4FC3">
        <w:t xml:space="preserve"> </w:t>
      </w:r>
      <w:proofErr w:type="gramStart"/>
      <w:r w:rsidR="00382917">
        <w:t>Qur’án</w:t>
      </w:r>
      <w:proofErr w:type="gramEnd"/>
      <w:r w:rsidR="00EE4FC3">
        <w:t xml:space="preserve"> </w:t>
      </w:r>
      <w:r w:rsidR="00B2037B" w:rsidRPr="00382917">
        <w:t>is</w:t>
      </w:r>
      <w:r w:rsidR="00EE4FC3">
        <w:t xml:space="preserve"> </w:t>
      </w:r>
      <w:r w:rsidR="00B2037B" w:rsidRPr="00382917">
        <w:t>the</w:t>
      </w:r>
      <w:r w:rsidR="00EE4FC3">
        <w:t xml:space="preserve"> </w:t>
      </w:r>
      <w:r w:rsidR="00B2037B" w:rsidRPr="00382917">
        <w:t>witness</w:t>
      </w:r>
      <w:r w:rsidR="00EE4FC3">
        <w:t xml:space="preserve"> </w:t>
      </w:r>
      <w:r w:rsidR="00B2037B" w:rsidRPr="00382917">
        <w:t>of</w:t>
      </w:r>
      <w:r w:rsidR="00EE4FC3">
        <w:t xml:space="preserve"> </w:t>
      </w:r>
      <w:r w:rsidR="00B2037B" w:rsidRPr="00382917">
        <w:t>the</w:t>
      </w:r>
      <w:r w:rsidR="00EE4FC3">
        <w:t xml:space="preserve"> </w:t>
      </w:r>
      <w:r w:rsidR="00B2037B" w:rsidRPr="00382917">
        <w:t>integrity</w:t>
      </w:r>
      <w:r w:rsidR="00EE4FC3">
        <w:t xml:space="preserve"> </w:t>
      </w:r>
      <w:r w:rsidR="00B2037B" w:rsidRPr="00382917">
        <w:t>of</w:t>
      </w:r>
      <w:r w:rsidR="00EE4FC3">
        <w:t xml:space="preserve"> </w:t>
      </w:r>
      <w:r w:rsidR="00B2037B" w:rsidRPr="00382917">
        <w:t>our</w:t>
      </w:r>
      <w:r w:rsidR="00EE4FC3">
        <w:t xml:space="preserve"> </w:t>
      </w:r>
      <w:r w:rsidR="00B2037B" w:rsidRPr="00382917">
        <w:t>purpose</w:t>
      </w:r>
      <w:r w:rsidR="0040329F">
        <w:t>.</w:t>
      </w:r>
      <w:r w:rsidR="00EE4FC3">
        <w:t xml:space="preserve">  </w:t>
      </w:r>
      <w:r w:rsidR="00B2037B" w:rsidRPr="00382917">
        <w:t>Let</w:t>
      </w:r>
      <w:r w:rsidR="00EE4FC3">
        <w:t xml:space="preserve"> </w:t>
      </w:r>
      <w:r w:rsidR="00B2037B" w:rsidRPr="00382917">
        <w:t>this</w:t>
      </w:r>
      <w:r w:rsidR="00EE4FC3">
        <w:t xml:space="preserve"> </w:t>
      </w:r>
      <w:r w:rsidR="00B2037B" w:rsidRPr="00382917">
        <w:t>holy</w:t>
      </w:r>
      <w:r w:rsidR="00EE4FC3">
        <w:t xml:space="preserve"> </w:t>
      </w:r>
      <w:r w:rsidR="00B2037B" w:rsidRPr="00382917">
        <w:t>Book</w:t>
      </w:r>
      <w:r w:rsidR="00EE4FC3">
        <w:t xml:space="preserve"> </w:t>
      </w:r>
      <w:r w:rsidR="00B2037B" w:rsidRPr="00382917">
        <w:t>decide</w:t>
      </w:r>
      <w:r w:rsidR="00EE4FC3">
        <w:t xml:space="preserve"> </w:t>
      </w:r>
      <w:r w:rsidR="00B2037B" w:rsidRPr="00382917">
        <w:t>whether</w:t>
      </w:r>
      <w:r w:rsidR="00EE4FC3">
        <w:t xml:space="preserve"> </w:t>
      </w:r>
      <w:r w:rsidR="00B2037B" w:rsidRPr="00382917">
        <w:t>the</w:t>
      </w:r>
      <w:r w:rsidR="00EE4FC3">
        <w:t xml:space="preserve"> </w:t>
      </w:r>
      <w:r w:rsidR="00B2037B" w:rsidRPr="00382917">
        <w:t>claim</w:t>
      </w:r>
      <w:r w:rsidR="00EE4FC3">
        <w:t xml:space="preserve"> </w:t>
      </w:r>
      <w:r w:rsidR="00B2037B" w:rsidRPr="00382917">
        <w:t>you</w:t>
      </w:r>
      <w:r w:rsidR="00EE4FC3">
        <w:t xml:space="preserve"> </w:t>
      </w:r>
      <w:r w:rsidR="00B2037B" w:rsidRPr="00382917">
        <w:t>make</w:t>
      </w:r>
      <w:r w:rsidR="00EE4FC3">
        <w:t xml:space="preserve"> </w:t>
      </w:r>
      <w:r w:rsidR="00B2037B" w:rsidRPr="00382917">
        <w:t>for</w:t>
      </w:r>
      <w:r w:rsidR="00EE4FC3">
        <w:t xml:space="preserve"> </w:t>
      </w:r>
      <w:r w:rsidR="00B2037B" w:rsidRPr="00382917">
        <w:t>your</w:t>
      </w:r>
      <w:r w:rsidR="00EE4FC3">
        <w:t xml:space="preserve"> </w:t>
      </w:r>
      <w:r w:rsidR="00B2037B" w:rsidRPr="00382917">
        <w:t>Faith</w:t>
      </w:r>
      <w:r w:rsidR="00EE4FC3">
        <w:t xml:space="preserve"> </w:t>
      </w:r>
      <w:r w:rsidR="00B2037B" w:rsidRPr="00382917">
        <w:t>is</w:t>
      </w:r>
      <w:r w:rsidR="00EE4FC3">
        <w:t xml:space="preserve"> </w:t>
      </w:r>
      <w:r w:rsidR="00B2037B" w:rsidRPr="00382917">
        <w:t>true</w:t>
      </w:r>
      <w:r w:rsidR="00EE4FC3">
        <w:t xml:space="preserve"> </w:t>
      </w:r>
      <w:r w:rsidR="00B2037B" w:rsidRPr="00382917">
        <w:t>or</w:t>
      </w:r>
      <w:r w:rsidR="00EE4FC3">
        <w:t xml:space="preserve"> </w:t>
      </w:r>
      <w:r w:rsidR="00B2037B" w:rsidRPr="00382917">
        <w:t>false</w:t>
      </w:r>
      <w:r w:rsidR="0040329F">
        <w:t>.</w:t>
      </w:r>
      <w:r w:rsidR="00EE4FC3">
        <w:t xml:space="preserve">  </w:t>
      </w:r>
      <w:r w:rsidR="00B2037B" w:rsidRPr="00382917">
        <w:t>Emerge</w:t>
      </w:r>
      <w:r w:rsidR="00EE4FC3">
        <w:t xml:space="preserve"> </w:t>
      </w:r>
      <w:r w:rsidR="00B2037B" w:rsidRPr="00382917">
        <w:t>from</w:t>
      </w:r>
      <w:r w:rsidR="00EE4FC3">
        <w:t xml:space="preserve"> </w:t>
      </w:r>
      <w:r w:rsidR="00B2037B" w:rsidRPr="00382917">
        <w:t>the</w:t>
      </w:r>
      <w:r w:rsidR="00EE4FC3">
        <w:t xml:space="preserve"> </w:t>
      </w:r>
      <w:r w:rsidR="00B2037B" w:rsidRPr="00382917">
        <w:t>fort</w:t>
      </w:r>
      <w:r w:rsidR="00EE4FC3">
        <w:t xml:space="preserve"> </w:t>
      </w:r>
      <w:r w:rsidR="00B2037B" w:rsidRPr="00382917">
        <w:t>and</w:t>
      </w:r>
      <w:r w:rsidR="00EE4FC3">
        <w:t xml:space="preserve"> </w:t>
      </w:r>
      <w:r w:rsidR="00B2037B" w:rsidRPr="00382917">
        <w:t>meet</w:t>
      </w:r>
      <w:r w:rsidR="00EE4FC3">
        <w:t xml:space="preserve"> </w:t>
      </w:r>
      <w:r w:rsidR="00B2037B" w:rsidRPr="00382917">
        <w:t>us</w:t>
      </w:r>
      <w:r w:rsidR="00EE4FC3">
        <w:t xml:space="preserve"> </w:t>
      </w:r>
      <w:r w:rsidR="00B2037B" w:rsidRPr="00382917">
        <w:t>in</w:t>
      </w:r>
      <w:r w:rsidR="00EE4FC3">
        <w:t xml:space="preserve"> </w:t>
      </w:r>
      <w:r w:rsidR="00B2037B" w:rsidRPr="00382917">
        <w:t>the</w:t>
      </w:r>
      <w:r w:rsidR="00EE4FC3">
        <w:t xml:space="preserve"> </w:t>
      </w:r>
      <w:r w:rsidR="00B2037B" w:rsidRPr="00382917">
        <w:t>camp</w:t>
      </w:r>
      <w:r w:rsidR="0040329F">
        <w:t>.</w:t>
      </w:r>
      <w:r w:rsidR="00EE4FC3">
        <w:t xml:space="preserve">  </w:t>
      </w:r>
      <w:r w:rsidR="00B2037B" w:rsidRPr="00382917">
        <w:t>If</w:t>
      </w:r>
      <w:r w:rsidR="00EE4FC3">
        <w:t xml:space="preserve"> </w:t>
      </w:r>
      <w:r w:rsidR="00B2037B" w:rsidRPr="00382917">
        <w:t>you</w:t>
      </w:r>
      <w:r w:rsidR="00EE4FC3">
        <w:t xml:space="preserve"> </w:t>
      </w:r>
      <w:r w:rsidR="00B2037B" w:rsidRPr="00382917">
        <w:t>prove</w:t>
      </w:r>
      <w:r w:rsidR="00EE4FC3">
        <w:t xml:space="preserve"> </w:t>
      </w:r>
      <w:r w:rsidR="00B2037B" w:rsidRPr="00382917">
        <w:t>able</w:t>
      </w:r>
      <w:r w:rsidR="00EE4FC3">
        <w:t xml:space="preserve"> </w:t>
      </w:r>
      <w:r w:rsidR="00B2037B" w:rsidRPr="00382917">
        <w:t>to</w:t>
      </w:r>
      <w:r w:rsidR="00EE4FC3">
        <w:t xml:space="preserve"> </w:t>
      </w:r>
      <w:r w:rsidR="00B2037B" w:rsidRPr="00382917">
        <w:t>demonstrate</w:t>
      </w:r>
      <w:r w:rsidR="00EE4FC3">
        <w:t xml:space="preserve"> </w:t>
      </w:r>
      <w:r w:rsidR="00B2037B" w:rsidRPr="00382917">
        <w:t>the</w:t>
      </w:r>
      <w:r w:rsidR="00EE4FC3">
        <w:t xml:space="preserve"> </w:t>
      </w:r>
      <w:r w:rsidR="00B2037B" w:rsidRPr="00382917">
        <w:t>truth</w:t>
      </w:r>
      <w:r w:rsidR="00EE4FC3">
        <w:t xml:space="preserve"> </w:t>
      </w:r>
      <w:r w:rsidR="00B2037B" w:rsidRPr="00382917">
        <w:t>of</w:t>
      </w:r>
      <w:r w:rsidR="00EE4FC3">
        <w:t xml:space="preserve"> </w:t>
      </w:r>
      <w:r w:rsidR="00B2037B" w:rsidRPr="00382917">
        <w:t>your</w:t>
      </w:r>
      <w:r w:rsidR="00EE4FC3">
        <w:t xml:space="preserve"> </w:t>
      </w:r>
      <w:r w:rsidR="00B2037B" w:rsidRPr="00382917">
        <w:t>Faith,</w:t>
      </w:r>
      <w:r w:rsidR="00EE4FC3">
        <w:t xml:space="preserve"> </w:t>
      </w:r>
      <w:r w:rsidR="00B2037B" w:rsidRPr="00382917">
        <w:t>we,</w:t>
      </w:r>
      <w:r w:rsidR="00EE4FC3">
        <w:t xml:space="preserve"> </w:t>
      </w:r>
      <w:r w:rsidR="00B2037B" w:rsidRPr="00382917">
        <w:t>too,</w:t>
      </w:r>
    </w:p>
    <w:p w:rsidR="00B2037B" w:rsidRPr="00382917" w:rsidRDefault="00B2037B">
      <w:pPr>
        <w:widowControl/>
        <w:kinsoku/>
        <w:overflowPunct/>
        <w:textAlignment w:val="auto"/>
      </w:pPr>
      <w:r w:rsidRPr="00382917">
        <w:br w:type="page"/>
      </w:r>
    </w:p>
    <w:p w:rsidR="00B2037B" w:rsidRPr="00382917" w:rsidRDefault="00B2037B" w:rsidP="00B2037B">
      <w:pPr>
        <w:pStyle w:val="Textcts"/>
      </w:pPr>
      <w:proofErr w:type="gramStart"/>
      <w:r w:rsidRPr="00382917">
        <w:t>will</w:t>
      </w:r>
      <w:proofErr w:type="gramEnd"/>
      <w:r w:rsidR="00EE4FC3">
        <w:t xml:space="preserve"> </w:t>
      </w:r>
      <w:r w:rsidRPr="00382917">
        <w:t>readily</w:t>
      </w:r>
      <w:r w:rsidR="00EE4FC3">
        <w:t xml:space="preserve"> </w:t>
      </w:r>
      <w:r w:rsidRPr="00382917">
        <w:t>embrace</w:t>
      </w:r>
      <w:r w:rsidR="00EE4FC3">
        <w:t xml:space="preserve"> </w:t>
      </w:r>
      <w:r w:rsidRPr="00382917">
        <w:t>it</w:t>
      </w:r>
      <w:r w:rsidR="0040329F">
        <w:t>.</w:t>
      </w:r>
      <w:r w:rsidR="00EE4FC3">
        <w:t xml:space="preserve">  </w:t>
      </w:r>
      <w:r w:rsidRPr="00382917">
        <w:t>The</w:t>
      </w:r>
      <w:r w:rsidR="00EE4FC3">
        <w:t xml:space="preserve"> </w:t>
      </w:r>
      <w:r w:rsidRPr="00382917">
        <w:t>malediction</w:t>
      </w:r>
      <w:r w:rsidR="00EE4FC3">
        <w:t xml:space="preserve"> </w:t>
      </w:r>
      <w:r w:rsidRPr="00382917">
        <w:t>of</w:t>
      </w:r>
      <w:r w:rsidR="00EE4FC3">
        <w:t xml:space="preserve"> </w:t>
      </w:r>
      <w:r w:rsidRPr="00382917">
        <w:t>God</w:t>
      </w:r>
      <w:r w:rsidR="00EE4FC3">
        <w:t xml:space="preserve"> </w:t>
      </w:r>
      <w:proofErr w:type="gramStart"/>
      <w:r w:rsidRPr="00382917">
        <w:t>be</w:t>
      </w:r>
      <w:proofErr w:type="gramEnd"/>
      <w:r w:rsidR="00EE4FC3">
        <w:t xml:space="preserve"> </w:t>
      </w:r>
      <w:r w:rsidRPr="00382917">
        <w:t>upon</w:t>
      </w:r>
      <w:r w:rsidR="00EE4FC3">
        <w:t xml:space="preserve"> </w:t>
      </w:r>
      <w:r w:rsidRPr="00382917">
        <w:t>us</w:t>
      </w:r>
      <w:r w:rsidR="00EE4FC3">
        <w:t xml:space="preserve"> </w:t>
      </w:r>
      <w:r w:rsidRPr="00382917">
        <w:t>if</w:t>
      </w:r>
      <w:r w:rsidR="00EE4FC3">
        <w:t xml:space="preserve"> </w:t>
      </w:r>
      <w:r w:rsidRPr="00382917">
        <w:t>we</w:t>
      </w:r>
      <w:r w:rsidR="00EE4FC3">
        <w:t xml:space="preserve"> </w:t>
      </w:r>
      <w:r w:rsidRPr="00382917">
        <w:t>should</w:t>
      </w:r>
      <w:r w:rsidR="00EE4FC3">
        <w:t xml:space="preserve"> </w:t>
      </w:r>
      <w:r w:rsidRPr="00382917">
        <w:t>attempt</w:t>
      </w:r>
      <w:r w:rsidR="00EE4FC3">
        <w:t xml:space="preserve"> </w:t>
      </w:r>
      <w:r w:rsidRPr="00382917">
        <w:t>to</w:t>
      </w:r>
      <w:r w:rsidR="00EE4FC3">
        <w:t xml:space="preserve"> </w:t>
      </w:r>
      <w:r w:rsidRPr="00382917">
        <w:t>deceive</w:t>
      </w:r>
      <w:r w:rsidR="00EE4FC3">
        <w:t xml:space="preserve"> </w:t>
      </w:r>
      <w:r w:rsidRPr="00382917">
        <w:t>you.</w:t>
      </w:r>
      <w:r w:rsidR="009C713D" w:rsidRPr="00382917">
        <w:t>”</w:t>
      </w:r>
    </w:p>
    <w:p w:rsidR="00B2037B" w:rsidRPr="00382917" w:rsidRDefault="00B2037B" w:rsidP="00B2037B">
      <w:pPr>
        <w:pStyle w:val="Text"/>
      </w:pPr>
      <w:r w:rsidRPr="00382917">
        <w:t>Vaḥíd</w:t>
      </w:r>
      <w:r w:rsidR="00EE4FC3">
        <w:t xml:space="preserve"> </w:t>
      </w:r>
      <w:r w:rsidRPr="00382917">
        <w:t>received</w:t>
      </w:r>
      <w:r w:rsidR="00EE4FC3">
        <w:t xml:space="preserve"> </w:t>
      </w:r>
      <w:r w:rsidRPr="00382917">
        <w:t>the</w:t>
      </w:r>
      <w:r w:rsidR="00EE4FC3">
        <w:t xml:space="preserve"> </w:t>
      </w:r>
      <w:r w:rsidRPr="00382917">
        <w:t>book</w:t>
      </w:r>
      <w:r w:rsidR="00EE4FC3">
        <w:t xml:space="preserve"> </w:t>
      </w:r>
      <w:r w:rsidRPr="00382917">
        <w:t>with</w:t>
      </w:r>
      <w:r w:rsidR="00EE4FC3">
        <w:t xml:space="preserve"> </w:t>
      </w:r>
      <w:r w:rsidRPr="00382917">
        <w:t>reverence.</w:t>
      </w:r>
    </w:p>
    <w:p w:rsidR="00B2037B" w:rsidRPr="00382917" w:rsidRDefault="009C713D" w:rsidP="00B2037B">
      <w:pPr>
        <w:pStyle w:val="Text"/>
      </w:pPr>
      <w:r w:rsidRPr="00382917">
        <w:t>“</w:t>
      </w:r>
      <w:r w:rsidR="00B2037B" w:rsidRPr="00382917">
        <w:t>Our</w:t>
      </w:r>
      <w:r w:rsidR="00EE4FC3">
        <w:t xml:space="preserve"> </w:t>
      </w:r>
      <w:r w:rsidR="00B2037B" w:rsidRPr="00382917">
        <w:t>appointed</w:t>
      </w:r>
      <w:r w:rsidR="00EE4FC3">
        <w:t xml:space="preserve"> </w:t>
      </w:r>
      <w:r w:rsidR="00B2037B" w:rsidRPr="00382917">
        <w:t>hour</w:t>
      </w:r>
      <w:r w:rsidR="00EE4FC3">
        <w:t xml:space="preserve"> </w:t>
      </w:r>
      <w:r w:rsidR="00B2037B" w:rsidRPr="00382917">
        <w:t>has</w:t>
      </w:r>
      <w:r w:rsidR="00EE4FC3">
        <w:t xml:space="preserve"> </w:t>
      </w:r>
      <w:r w:rsidR="00B2037B" w:rsidRPr="00382917">
        <w:t>struck,</w:t>
      </w:r>
      <w:r w:rsidRPr="00382917">
        <w:t>”</w:t>
      </w:r>
      <w:r w:rsidR="00EE4FC3">
        <w:t xml:space="preserve"> </w:t>
      </w:r>
      <w:r w:rsidR="00B2037B" w:rsidRPr="00382917">
        <w:t>he</w:t>
      </w:r>
      <w:r w:rsidR="00EE4FC3">
        <w:t xml:space="preserve"> </w:t>
      </w:r>
      <w:r w:rsidR="00B2037B" w:rsidRPr="00382917">
        <w:t>said</w:t>
      </w:r>
      <w:r w:rsidR="0040329F">
        <w:t>.</w:t>
      </w:r>
      <w:r w:rsidR="00EE4FC3">
        <w:t xml:space="preserve">  </w:t>
      </w:r>
      <w:r w:rsidRPr="00382917">
        <w:t>“</w:t>
      </w:r>
      <w:r w:rsidR="00B2037B" w:rsidRPr="00382917">
        <w:t>Though</w:t>
      </w:r>
      <w:r w:rsidR="00EE4FC3">
        <w:t xml:space="preserve"> </w:t>
      </w:r>
      <w:r w:rsidR="00B2037B" w:rsidRPr="00382917">
        <w:t>I</w:t>
      </w:r>
      <w:r w:rsidR="00EE4FC3">
        <w:t xml:space="preserve"> </w:t>
      </w:r>
      <w:r w:rsidR="00B2037B" w:rsidRPr="00382917">
        <w:t>am</w:t>
      </w:r>
      <w:r w:rsidR="00EE4FC3">
        <w:t xml:space="preserve"> </w:t>
      </w:r>
      <w:r w:rsidR="00B2037B" w:rsidRPr="00382917">
        <w:t>well</w:t>
      </w:r>
      <w:r w:rsidR="00EE4FC3">
        <w:t xml:space="preserve"> </w:t>
      </w:r>
      <w:r w:rsidR="00B2037B" w:rsidRPr="00382917">
        <w:t>aware</w:t>
      </w:r>
      <w:r w:rsidR="00EE4FC3">
        <w:t xml:space="preserve"> </w:t>
      </w:r>
      <w:r w:rsidR="00B2037B" w:rsidRPr="00382917">
        <w:t>of</w:t>
      </w:r>
      <w:r w:rsidR="00EE4FC3">
        <w:t xml:space="preserve"> </w:t>
      </w:r>
      <w:r w:rsidR="00B2037B" w:rsidRPr="00382917">
        <w:t>their</w:t>
      </w:r>
      <w:r w:rsidR="00EE4FC3">
        <w:t xml:space="preserve"> </w:t>
      </w:r>
      <w:r w:rsidR="00B2037B" w:rsidRPr="00382917">
        <w:t>intention,</w:t>
      </w:r>
      <w:r w:rsidR="00EE4FC3">
        <w:t xml:space="preserve"> </w:t>
      </w:r>
      <w:r w:rsidR="00B2037B" w:rsidRPr="00382917">
        <w:t>I</w:t>
      </w:r>
      <w:r w:rsidR="00EE4FC3">
        <w:t xml:space="preserve"> </w:t>
      </w:r>
      <w:r w:rsidR="00B2037B" w:rsidRPr="00382917">
        <w:t>feel</w:t>
      </w:r>
      <w:r w:rsidR="00EE4FC3">
        <w:t xml:space="preserve"> </w:t>
      </w:r>
      <w:r w:rsidR="00B2037B" w:rsidRPr="00382917">
        <w:t>it</w:t>
      </w:r>
      <w:r w:rsidR="00EE4FC3">
        <w:t xml:space="preserve"> </w:t>
      </w:r>
      <w:r w:rsidR="00B2037B" w:rsidRPr="00382917">
        <w:t>my</w:t>
      </w:r>
      <w:r w:rsidR="00EE4FC3">
        <w:t xml:space="preserve"> </w:t>
      </w:r>
      <w:r w:rsidR="00B2037B" w:rsidRPr="00382917">
        <w:t>duty</w:t>
      </w:r>
      <w:r w:rsidR="00EE4FC3">
        <w:t xml:space="preserve"> </w:t>
      </w:r>
      <w:r w:rsidR="00B2037B" w:rsidRPr="00382917">
        <w:t>to</w:t>
      </w:r>
      <w:r w:rsidR="00EE4FC3">
        <w:t xml:space="preserve"> </w:t>
      </w:r>
      <w:r w:rsidR="00B2037B" w:rsidRPr="00382917">
        <w:t>accept</w:t>
      </w:r>
      <w:r w:rsidR="00EE4FC3">
        <w:t xml:space="preserve"> </w:t>
      </w:r>
      <w:r w:rsidR="00B2037B" w:rsidRPr="00382917">
        <w:t>their</w:t>
      </w:r>
      <w:r w:rsidR="00EE4FC3">
        <w:t xml:space="preserve"> </w:t>
      </w:r>
      <w:r w:rsidR="00B2037B" w:rsidRPr="00382917">
        <w:t>call</w:t>
      </w:r>
      <w:r w:rsidR="00EE4FC3">
        <w:t xml:space="preserve"> </w:t>
      </w:r>
      <w:r w:rsidR="00B2037B" w:rsidRPr="00382917">
        <w:t>and</w:t>
      </w:r>
      <w:r w:rsidR="00EE4FC3">
        <w:t xml:space="preserve"> </w:t>
      </w:r>
      <w:r w:rsidR="00B2037B" w:rsidRPr="00382917">
        <w:t>once</w:t>
      </w:r>
      <w:r w:rsidR="00EE4FC3">
        <w:t xml:space="preserve"> </w:t>
      </w:r>
      <w:r w:rsidR="00B2037B" w:rsidRPr="00382917">
        <w:t>again</w:t>
      </w:r>
      <w:r w:rsidR="00EE4FC3">
        <w:t xml:space="preserve"> </w:t>
      </w:r>
      <w:r w:rsidR="00B2037B" w:rsidRPr="00382917">
        <w:t>take</w:t>
      </w:r>
      <w:r w:rsidR="00EE4FC3">
        <w:t xml:space="preserve"> </w:t>
      </w:r>
      <w:r w:rsidR="00B2037B" w:rsidRPr="00382917">
        <w:t>the</w:t>
      </w:r>
      <w:r w:rsidR="00EE4FC3">
        <w:t xml:space="preserve"> </w:t>
      </w:r>
      <w:r w:rsidR="00B2037B" w:rsidRPr="00382917">
        <w:t>opportunity</w:t>
      </w:r>
      <w:r w:rsidR="00EE4FC3">
        <w:t xml:space="preserve"> </w:t>
      </w:r>
      <w:r w:rsidR="00B2037B" w:rsidRPr="00382917">
        <w:t>of</w:t>
      </w:r>
      <w:r w:rsidR="00EE4FC3">
        <w:t xml:space="preserve"> </w:t>
      </w:r>
      <w:r w:rsidR="00B2037B" w:rsidRPr="00382917">
        <w:t>telling</w:t>
      </w:r>
      <w:r w:rsidR="00EE4FC3">
        <w:t xml:space="preserve"> </w:t>
      </w:r>
      <w:r w:rsidR="00B2037B" w:rsidRPr="00382917">
        <w:t>them</w:t>
      </w:r>
      <w:r w:rsidR="00EE4FC3">
        <w:t xml:space="preserve"> </w:t>
      </w:r>
      <w:r w:rsidR="00B2037B" w:rsidRPr="00382917">
        <w:t>about</w:t>
      </w:r>
      <w:r w:rsidR="00EE4FC3">
        <w:t xml:space="preserve"> </w:t>
      </w:r>
      <w:r w:rsidR="00B2037B" w:rsidRPr="00382917">
        <w:t>our</w:t>
      </w:r>
      <w:r w:rsidR="00EE4FC3">
        <w:t xml:space="preserve"> </w:t>
      </w:r>
      <w:r w:rsidR="00B2037B" w:rsidRPr="00382917">
        <w:t>beloved</w:t>
      </w:r>
      <w:r w:rsidR="00EE4FC3">
        <w:t xml:space="preserve"> </w:t>
      </w:r>
      <w:r w:rsidR="00B2037B" w:rsidRPr="00382917">
        <w:t>Faith.</w:t>
      </w:r>
      <w:r w:rsidRPr="00382917">
        <w:t>”</w:t>
      </w:r>
    </w:p>
    <w:p w:rsidR="00B2037B" w:rsidRPr="00382917" w:rsidRDefault="00B2037B" w:rsidP="00B2037B">
      <w:pPr>
        <w:pStyle w:val="Text"/>
      </w:pPr>
      <w:r w:rsidRPr="00382917">
        <w:t>With</w:t>
      </w:r>
      <w:r w:rsidR="00EE4FC3">
        <w:t xml:space="preserve"> </w:t>
      </w:r>
      <w:r w:rsidRPr="00382917">
        <w:t>five</w:t>
      </w:r>
      <w:r w:rsidR="00EE4FC3">
        <w:t xml:space="preserve"> </w:t>
      </w:r>
      <w:r w:rsidRPr="00382917">
        <w:t>companions,</w:t>
      </w:r>
      <w:r w:rsidR="00EE4FC3">
        <w:t xml:space="preserve"> </w:t>
      </w:r>
      <w:r w:rsidRPr="00382917">
        <w:t>Vaḥíd</w:t>
      </w:r>
      <w:r w:rsidR="00EE4FC3">
        <w:t xml:space="preserve"> </w:t>
      </w:r>
      <w:r w:rsidRPr="00382917">
        <w:t>left</w:t>
      </w:r>
      <w:r w:rsidR="00EE4FC3">
        <w:t xml:space="preserve"> </w:t>
      </w:r>
      <w:r w:rsidRPr="00382917">
        <w:t>the</w:t>
      </w:r>
      <w:r w:rsidR="00EE4FC3">
        <w:t xml:space="preserve"> </w:t>
      </w:r>
      <w:r w:rsidRPr="00382917">
        <w:t>fort</w:t>
      </w:r>
      <w:r w:rsidR="00EE4FC3">
        <w:t xml:space="preserve"> </w:t>
      </w:r>
      <w:r w:rsidRPr="00382917">
        <w:t>and</w:t>
      </w:r>
      <w:r w:rsidR="00EE4FC3">
        <w:t xml:space="preserve"> </w:t>
      </w:r>
      <w:r w:rsidRPr="00382917">
        <w:t>entered</w:t>
      </w:r>
      <w:r w:rsidR="00EE4FC3">
        <w:t xml:space="preserve"> </w:t>
      </w:r>
      <w:r w:rsidRPr="00382917">
        <w:t>the</w:t>
      </w:r>
      <w:r w:rsidR="00EE4FC3">
        <w:t xml:space="preserve"> </w:t>
      </w:r>
      <w:r w:rsidRPr="00382917">
        <w:t>camp</w:t>
      </w:r>
      <w:r w:rsidR="00EE4FC3">
        <w:t xml:space="preserve"> </w:t>
      </w:r>
      <w:r w:rsidRPr="00382917">
        <w:t>of</w:t>
      </w:r>
      <w:r w:rsidR="00EE4FC3">
        <w:t xml:space="preserve"> </w:t>
      </w:r>
      <w:r w:rsidRPr="00382917">
        <w:t>the</w:t>
      </w:r>
      <w:r w:rsidR="00EE4FC3">
        <w:t xml:space="preserve"> </w:t>
      </w:r>
      <w:r w:rsidRPr="00382917">
        <w:t>governor</w:t>
      </w:r>
      <w:r w:rsidR="0040329F">
        <w:t>.</w:t>
      </w:r>
      <w:r w:rsidR="00EE4FC3">
        <w:t xml:space="preserve">  </w:t>
      </w:r>
      <w:r w:rsidRPr="00382917">
        <w:t>For</w:t>
      </w:r>
      <w:r w:rsidR="00EE4FC3">
        <w:t xml:space="preserve"> </w:t>
      </w:r>
      <w:r w:rsidRPr="00382917">
        <w:t>three</w:t>
      </w:r>
      <w:r w:rsidR="00EE4FC3">
        <w:t xml:space="preserve"> </w:t>
      </w:r>
      <w:r w:rsidRPr="00382917">
        <w:t>days</w:t>
      </w:r>
      <w:r w:rsidR="00EE4FC3">
        <w:t xml:space="preserve"> </w:t>
      </w:r>
      <w:r w:rsidRPr="00382917">
        <w:t>he</w:t>
      </w:r>
      <w:r w:rsidR="00EE4FC3">
        <w:t xml:space="preserve"> </w:t>
      </w:r>
      <w:r w:rsidRPr="00382917">
        <w:t>spoke</w:t>
      </w:r>
      <w:r w:rsidR="00EE4FC3">
        <w:t xml:space="preserve"> </w:t>
      </w:r>
      <w:r w:rsidRPr="00382917">
        <w:t>to</w:t>
      </w:r>
      <w:r w:rsidR="00EE4FC3">
        <w:t xml:space="preserve"> </w:t>
      </w:r>
      <w:r w:rsidRPr="00382917">
        <w:t>them</w:t>
      </w:r>
      <w:r w:rsidR="00EE4FC3">
        <w:t xml:space="preserve"> </w:t>
      </w:r>
      <w:r w:rsidRPr="00382917">
        <w:t>of</w:t>
      </w:r>
      <w:r w:rsidR="00EE4FC3">
        <w:t xml:space="preserve"> </w:t>
      </w:r>
      <w:r w:rsidRPr="00382917">
        <w:t>the</w:t>
      </w:r>
      <w:r w:rsidR="00EE4FC3">
        <w:t xml:space="preserve"> </w:t>
      </w:r>
      <w:r w:rsidRPr="00382917">
        <w:t>Báb</w:t>
      </w:r>
      <w:r w:rsidR="0040329F">
        <w:t>.</w:t>
      </w:r>
      <w:r w:rsidR="00EE4FC3">
        <w:t xml:space="preserve">  </w:t>
      </w:r>
      <w:r w:rsidRPr="00382917">
        <w:t>Though</w:t>
      </w:r>
      <w:r w:rsidR="00EE4FC3">
        <w:t xml:space="preserve"> </w:t>
      </w:r>
      <w:r w:rsidRPr="00382917">
        <w:t>outwardly</w:t>
      </w:r>
      <w:r w:rsidR="00EE4FC3">
        <w:t xml:space="preserve"> </w:t>
      </w:r>
      <w:r w:rsidRPr="00382917">
        <w:t>they</w:t>
      </w:r>
      <w:r w:rsidR="00EE4FC3">
        <w:t xml:space="preserve"> </w:t>
      </w:r>
      <w:r w:rsidRPr="00382917">
        <w:t>appeared</w:t>
      </w:r>
      <w:r w:rsidR="00EE4FC3">
        <w:t xml:space="preserve"> </w:t>
      </w:r>
      <w:r w:rsidRPr="00382917">
        <w:t>to</w:t>
      </w:r>
      <w:r w:rsidR="00EE4FC3">
        <w:t xml:space="preserve"> </w:t>
      </w:r>
      <w:r w:rsidRPr="00382917">
        <w:t>listen,</w:t>
      </w:r>
      <w:r w:rsidR="00EE4FC3">
        <w:t xml:space="preserve"> </w:t>
      </w:r>
      <w:r w:rsidRPr="00382917">
        <w:t>inwardly</w:t>
      </w:r>
      <w:r w:rsidR="00EE4FC3">
        <w:t xml:space="preserve"> </w:t>
      </w:r>
      <w:r w:rsidRPr="00382917">
        <w:t>they</w:t>
      </w:r>
      <w:r w:rsidR="00EE4FC3">
        <w:t xml:space="preserve"> </w:t>
      </w:r>
      <w:r w:rsidRPr="00382917">
        <w:t>were</w:t>
      </w:r>
      <w:r w:rsidR="00EE4FC3">
        <w:t xml:space="preserve"> </w:t>
      </w:r>
      <w:r w:rsidRPr="00382917">
        <w:t>secretly</w:t>
      </w:r>
      <w:r w:rsidR="00EE4FC3">
        <w:t xml:space="preserve"> </w:t>
      </w:r>
      <w:r w:rsidRPr="00382917">
        <w:t>plotting</w:t>
      </w:r>
      <w:r w:rsidR="00EE4FC3">
        <w:t xml:space="preserve"> </w:t>
      </w:r>
      <w:r w:rsidRPr="00382917">
        <w:t>how</w:t>
      </w:r>
      <w:r w:rsidR="00EE4FC3">
        <w:t xml:space="preserve"> </w:t>
      </w:r>
      <w:r w:rsidRPr="00382917">
        <w:t>they</w:t>
      </w:r>
      <w:r w:rsidR="00EE4FC3">
        <w:t xml:space="preserve"> </w:t>
      </w:r>
      <w:r w:rsidRPr="00382917">
        <w:t>could</w:t>
      </w:r>
      <w:r w:rsidR="00EE4FC3">
        <w:t xml:space="preserve"> </w:t>
      </w:r>
      <w:r w:rsidRPr="00382917">
        <w:t>get</w:t>
      </w:r>
      <w:r w:rsidR="00EE4FC3">
        <w:t xml:space="preserve"> </w:t>
      </w:r>
      <w:r w:rsidRPr="00382917">
        <w:t>the</w:t>
      </w:r>
      <w:r w:rsidR="00EE4FC3">
        <w:t xml:space="preserve"> </w:t>
      </w:r>
      <w:r w:rsidRPr="00382917">
        <w:t>rest</w:t>
      </w:r>
      <w:r w:rsidR="00EE4FC3">
        <w:t xml:space="preserve"> </w:t>
      </w:r>
      <w:r w:rsidRPr="00382917">
        <w:t>of</w:t>
      </w:r>
      <w:r w:rsidR="00EE4FC3">
        <w:t xml:space="preserve"> </w:t>
      </w:r>
      <w:r w:rsidRPr="00382917">
        <w:t>his</w:t>
      </w:r>
      <w:r w:rsidR="00EE4FC3">
        <w:t xml:space="preserve"> </w:t>
      </w:r>
      <w:r w:rsidRPr="00382917">
        <w:t>friends</w:t>
      </w:r>
      <w:r w:rsidR="00EE4FC3">
        <w:t xml:space="preserve"> </w:t>
      </w:r>
      <w:r w:rsidRPr="00382917">
        <w:t>out</w:t>
      </w:r>
      <w:r w:rsidR="00EE4FC3">
        <w:t xml:space="preserve"> </w:t>
      </w:r>
      <w:r w:rsidRPr="00382917">
        <w:t>of</w:t>
      </w:r>
      <w:r w:rsidR="00EE4FC3">
        <w:t xml:space="preserve"> </w:t>
      </w:r>
      <w:r w:rsidRPr="00382917">
        <w:t>the</w:t>
      </w:r>
      <w:r w:rsidR="00EE4FC3">
        <w:t xml:space="preserve"> </w:t>
      </w:r>
      <w:r w:rsidRPr="00382917">
        <w:t>fort</w:t>
      </w:r>
      <w:r w:rsidR="00EE4FC3">
        <w:t xml:space="preserve"> </w:t>
      </w:r>
      <w:r w:rsidRPr="00382917">
        <w:t>so</w:t>
      </w:r>
      <w:r w:rsidR="00EE4FC3">
        <w:t xml:space="preserve"> </w:t>
      </w:r>
      <w:r w:rsidRPr="00382917">
        <w:t>that</w:t>
      </w:r>
      <w:r w:rsidR="00EE4FC3">
        <w:t xml:space="preserve"> </w:t>
      </w:r>
      <w:r w:rsidRPr="00382917">
        <w:t>they</w:t>
      </w:r>
      <w:r w:rsidR="00EE4FC3">
        <w:t xml:space="preserve"> </w:t>
      </w:r>
      <w:r w:rsidRPr="00382917">
        <w:t>could</w:t>
      </w:r>
      <w:r w:rsidR="00EE4FC3">
        <w:t xml:space="preserve"> </w:t>
      </w:r>
      <w:r w:rsidRPr="00382917">
        <w:t>all</w:t>
      </w:r>
      <w:r w:rsidR="00EE4FC3">
        <w:t xml:space="preserve"> </w:t>
      </w:r>
      <w:r w:rsidRPr="00382917">
        <w:t>be</w:t>
      </w:r>
      <w:r w:rsidR="00EE4FC3">
        <w:t xml:space="preserve"> </w:t>
      </w:r>
      <w:r w:rsidRPr="00382917">
        <w:t>destroyed.</w:t>
      </w:r>
    </w:p>
    <w:p w:rsidR="00B2037B" w:rsidRPr="00382917" w:rsidRDefault="00B2037B" w:rsidP="00B2037B">
      <w:pPr>
        <w:pStyle w:val="Text"/>
      </w:pPr>
      <w:r w:rsidRPr="00382917">
        <w:t>A</w:t>
      </w:r>
      <w:r w:rsidR="00EE4FC3">
        <w:t xml:space="preserve"> </w:t>
      </w:r>
      <w:r w:rsidRPr="00382917">
        <w:t>plot</w:t>
      </w:r>
      <w:r w:rsidR="00EE4FC3">
        <w:t xml:space="preserve"> </w:t>
      </w:r>
      <w:r w:rsidRPr="00382917">
        <w:t>to</w:t>
      </w:r>
      <w:r w:rsidR="00EE4FC3">
        <w:t xml:space="preserve"> </w:t>
      </w:r>
      <w:r w:rsidRPr="00382917">
        <w:t>persuade</w:t>
      </w:r>
      <w:r w:rsidR="00EE4FC3">
        <w:t xml:space="preserve"> </w:t>
      </w:r>
      <w:proofErr w:type="spellStart"/>
      <w:r w:rsidRPr="00382917">
        <w:t>Vaḥíd</w:t>
      </w:r>
      <w:r w:rsidR="009C713D" w:rsidRPr="00382917">
        <w:t>’</w:t>
      </w:r>
      <w:r w:rsidRPr="00382917">
        <w:t>s</w:t>
      </w:r>
      <w:proofErr w:type="spellEnd"/>
      <w:r w:rsidR="00EE4FC3">
        <w:t xml:space="preserve"> </w:t>
      </w:r>
      <w:r w:rsidRPr="00382917">
        <w:t>friends</w:t>
      </w:r>
      <w:r w:rsidR="00EE4FC3">
        <w:t xml:space="preserve"> </w:t>
      </w:r>
      <w:r w:rsidRPr="00382917">
        <w:t>to</w:t>
      </w:r>
      <w:r w:rsidR="00EE4FC3">
        <w:t xml:space="preserve"> </w:t>
      </w:r>
      <w:r w:rsidRPr="00382917">
        <w:t>leave</w:t>
      </w:r>
      <w:r w:rsidR="00EE4FC3">
        <w:t xml:space="preserve"> </w:t>
      </w:r>
      <w:r w:rsidRPr="00382917">
        <w:t>their</w:t>
      </w:r>
      <w:r w:rsidR="00EE4FC3">
        <w:t xml:space="preserve"> </w:t>
      </w:r>
      <w:r w:rsidRPr="00382917">
        <w:t>fort</w:t>
      </w:r>
      <w:r w:rsidR="00EE4FC3">
        <w:t xml:space="preserve"> </w:t>
      </w:r>
      <w:r w:rsidRPr="00382917">
        <w:t>to</w:t>
      </w:r>
      <w:r w:rsidR="00EE4FC3">
        <w:t xml:space="preserve"> </w:t>
      </w:r>
      <w:r w:rsidRPr="00382917">
        <w:t>join</w:t>
      </w:r>
      <w:r w:rsidR="00EE4FC3">
        <w:t xml:space="preserve"> </w:t>
      </w:r>
      <w:r w:rsidRPr="00382917">
        <w:t>Vaḥíd</w:t>
      </w:r>
      <w:r w:rsidR="00EE4FC3">
        <w:t xml:space="preserve"> </w:t>
      </w:r>
      <w:r w:rsidRPr="00382917">
        <w:t>at</w:t>
      </w:r>
      <w:r w:rsidR="00EE4FC3">
        <w:t xml:space="preserve"> </w:t>
      </w:r>
      <w:r w:rsidRPr="00382917">
        <w:t>the</w:t>
      </w:r>
      <w:r w:rsidR="00EE4FC3">
        <w:t xml:space="preserve"> </w:t>
      </w:r>
      <w:r w:rsidRPr="00382917">
        <w:t>camp</w:t>
      </w:r>
      <w:r w:rsidR="00EE4FC3">
        <w:t xml:space="preserve"> </w:t>
      </w:r>
      <w:r w:rsidRPr="00382917">
        <w:t>of</w:t>
      </w:r>
      <w:r w:rsidR="00EE4FC3">
        <w:t xml:space="preserve"> </w:t>
      </w:r>
      <w:r w:rsidRPr="00382917">
        <w:t>the</w:t>
      </w:r>
      <w:r w:rsidR="00EE4FC3">
        <w:t xml:space="preserve"> </w:t>
      </w:r>
      <w:r w:rsidRPr="00382917">
        <w:t>soldiers</w:t>
      </w:r>
      <w:r w:rsidR="00EE4FC3">
        <w:t xml:space="preserve"> </w:t>
      </w:r>
      <w:r w:rsidRPr="00382917">
        <w:t>was</w:t>
      </w:r>
      <w:r w:rsidR="00EE4FC3">
        <w:t xml:space="preserve"> </w:t>
      </w:r>
      <w:r w:rsidRPr="00382917">
        <w:t>conceived</w:t>
      </w:r>
      <w:r w:rsidR="00EE4FC3">
        <w:t xml:space="preserve"> </w:t>
      </w:r>
      <w:r w:rsidRPr="00382917">
        <w:t>and</w:t>
      </w:r>
      <w:r w:rsidR="00EE4FC3">
        <w:t xml:space="preserve"> </w:t>
      </w:r>
      <w:r w:rsidRPr="00382917">
        <w:t>proved</w:t>
      </w:r>
      <w:r w:rsidR="00EE4FC3">
        <w:t xml:space="preserve"> </w:t>
      </w:r>
      <w:r w:rsidRPr="00382917">
        <w:t>successful</w:t>
      </w:r>
      <w:r w:rsidR="0040329F">
        <w:t>.</w:t>
      </w:r>
      <w:r w:rsidR="00EE4FC3">
        <w:t xml:space="preserve">  </w:t>
      </w:r>
      <w:r w:rsidRPr="00382917">
        <w:t>This</w:t>
      </w:r>
      <w:r w:rsidR="00EE4FC3">
        <w:t xml:space="preserve"> </w:t>
      </w:r>
      <w:r w:rsidRPr="00382917">
        <w:t>was</w:t>
      </w:r>
      <w:r w:rsidR="00EE4FC3">
        <w:t xml:space="preserve"> </w:t>
      </w:r>
      <w:r w:rsidRPr="00382917">
        <w:t>the</w:t>
      </w:r>
      <w:r w:rsidR="00EE4FC3">
        <w:t xml:space="preserve"> </w:t>
      </w:r>
      <w:r w:rsidRPr="00382917">
        <w:t>beginning</w:t>
      </w:r>
      <w:r w:rsidR="00EE4FC3">
        <w:t xml:space="preserve"> </w:t>
      </w:r>
      <w:r w:rsidRPr="00382917">
        <w:t>of</w:t>
      </w:r>
      <w:r w:rsidR="00EE4FC3">
        <w:t xml:space="preserve"> </w:t>
      </w:r>
      <w:r w:rsidRPr="00382917">
        <w:t>the</w:t>
      </w:r>
      <w:r w:rsidR="00EE4FC3">
        <w:t xml:space="preserve"> </w:t>
      </w:r>
      <w:r w:rsidRPr="00382917">
        <w:t>slaughter</w:t>
      </w:r>
      <w:r w:rsidR="0040329F">
        <w:t>.</w:t>
      </w:r>
      <w:r w:rsidR="00EE4FC3">
        <w:t xml:space="preserve">  </w:t>
      </w:r>
      <w:proofErr w:type="spellStart"/>
      <w:r w:rsidRPr="00382917">
        <w:t>Vaḥíd</w:t>
      </w:r>
      <w:r w:rsidR="009C713D" w:rsidRPr="00382917">
        <w:t>’</w:t>
      </w:r>
      <w:r w:rsidRPr="00382917">
        <w:t>s</w:t>
      </w:r>
      <w:proofErr w:type="spellEnd"/>
      <w:r w:rsidR="00EE4FC3">
        <w:t xml:space="preserve"> </w:t>
      </w:r>
      <w:r w:rsidRPr="00382917">
        <w:t>companions</w:t>
      </w:r>
      <w:r w:rsidR="00EE4FC3">
        <w:t xml:space="preserve"> </w:t>
      </w:r>
      <w:r w:rsidRPr="00382917">
        <w:t>were</w:t>
      </w:r>
      <w:r w:rsidR="00EE4FC3">
        <w:t xml:space="preserve"> </w:t>
      </w:r>
      <w:r w:rsidRPr="00382917">
        <w:t>seized</w:t>
      </w:r>
      <w:r w:rsidR="00EE4FC3">
        <w:t xml:space="preserve"> </w:t>
      </w:r>
      <w:r w:rsidRPr="00382917">
        <w:t>and</w:t>
      </w:r>
      <w:r w:rsidR="00EE4FC3">
        <w:t xml:space="preserve"> </w:t>
      </w:r>
      <w:r w:rsidRPr="00382917">
        <w:t>arrested</w:t>
      </w:r>
      <w:r w:rsidR="00EE4FC3">
        <w:t xml:space="preserve"> </w:t>
      </w:r>
      <w:r w:rsidRPr="00382917">
        <w:t>the</w:t>
      </w:r>
      <w:r w:rsidR="00EE4FC3">
        <w:t xml:space="preserve"> </w:t>
      </w:r>
      <w:r w:rsidRPr="00382917">
        <w:t>moment</w:t>
      </w:r>
      <w:r w:rsidR="00EE4FC3">
        <w:t xml:space="preserve"> </w:t>
      </w:r>
      <w:r w:rsidRPr="00382917">
        <w:t>they</w:t>
      </w:r>
      <w:r w:rsidR="00EE4FC3">
        <w:t xml:space="preserve"> </w:t>
      </w:r>
      <w:r w:rsidRPr="00382917">
        <w:t>set</w:t>
      </w:r>
      <w:r w:rsidR="00EE4FC3">
        <w:t xml:space="preserve"> </w:t>
      </w:r>
      <w:r w:rsidRPr="00382917">
        <w:t>foot</w:t>
      </w:r>
      <w:r w:rsidR="00EE4FC3">
        <w:t xml:space="preserve"> </w:t>
      </w:r>
      <w:r w:rsidRPr="00382917">
        <w:t>outside</w:t>
      </w:r>
      <w:r w:rsidR="00EE4FC3">
        <w:t xml:space="preserve"> </w:t>
      </w:r>
      <w:r w:rsidRPr="00382917">
        <w:t>the</w:t>
      </w:r>
      <w:r w:rsidR="00EE4FC3">
        <w:t xml:space="preserve"> </w:t>
      </w:r>
      <w:r w:rsidRPr="00382917">
        <w:t>fort</w:t>
      </w:r>
      <w:r w:rsidR="0040329F">
        <w:t>.</w:t>
      </w:r>
      <w:r w:rsidR="00EE4FC3">
        <w:t xml:space="preserve">  </w:t>
      </w:r>
      <w:r w:rsidRPr="00382917">
        <w:t>When</w:t>
      </w:r>
      <w:r w:rsidR="00EE4FC3">
        <w:t xml:space="preserve"> </w:t>
      </w:r>
      <w:r w:rsidRPr="00382917">
        <w:t>the</w:t>
      </w:r>
      <w:r w:rsidR="00EE4FC3">
        <w:t xml:space="preserve"> </w:t>
      </w:r>
      <w:r w:rsidRPr="00382917">
        <w:t>news</w:t>
      </w:r>
      <w:r w:rsidR="00EE4FC3">
        <w:t xml:space="preserve"> </w:t>
      </w:r>
      <w:r w:rsidRPr="00382917">
        <w:t>of</w:t>
      </w:r>
      <w:r w:rsidR="00EE4FC3">
        <w:t xml:space="preserve"> </w:t>
      </w:r>
      <w:r w:rsidRPr="00382917">
        <w:t>their</w:t>
      </w:r>
      <w:r w:rsidR="00EE4FC3">
        <w:t xml:space="preserve"> </w:t>
      </w:r>
      <w:r w:rsidRPr="00382917">
        <w:t>capture</w:t>
      </w:r>
      <w:r w:rsidR="00EE4FC3">
        <w:t xml:space="preserve"> </w:t>
      </w:r>
      <w:r w:rsidRPr="00382917">
        <w:t>reached</w:t>
      </w:r>
      <w:r w:rsidR="00EE4FC3">
        <w:t xml:space="preserve"> </w:t>
      </w:r>
      <w:r w:rsidRPr="00382917">
        <w:t>the</w:t>
      </w:r>
      <w:r w:rsidR="00EE4FC3">
        <w:t xml:space="preserve"> </w:t>
      </w:r>
      <w:r w:rsidRPr="00382917">
        <w:t>governor</w:t>
      </w:r>
      <w:r w:rsidR="00EE4FC3">
        <w:t xml:space="preserve"> </w:t>
      </w:r>
      <w:r w:rsidRPr="00382917">
        <w:t>and</w:t>
      </w:r>
      <w:r w:rsidR="00EE4FC3">
        <w:t xml:space="preserve"> </w:t>
      </w:r>
      <w:r w:rsidRPr="00382917">
        <w:t>his</w:t>
      </w:r>
      <w:r w:rsidR="00EE4FC3">
        <w:t xml:space="preserve"> </w:t>
      </w:r>
      <w:r w:rsidRPr="00382917">
        <w:t>staff,</w:t>
      </w:r>
      <w:r w:rsidR="00EE4FC3">
        <w:t xml:space="preserve"> </w:t>
      </w:r>
      <w:r w:rsidRPr="00382917">
        <w:t>they</w:t>
      </w:r>
      <w:r w:rsidR="00EE4FC3">
        <w:t xml:space="preserve"> </w:t>
      </w:r>
      <w:r w:rsidRPr="00382917">
        <w:t>immediately</w:t>
      </w:r>
      <w:r w:rsidR="00EE4FC3">
        <w:t xml:space="preserve"> </w:t>
      </w:r>
      <w:r w:rsidRPr="00382917">
        <w:t>began</w:t>
      </w:r>
      <w:r w:rsidR="00EE4FC3">
        <w:t xml:space="preserve"> </w:t>
      </w:r>
      <w:r w:rsidRPr="00382917">
        <w:t>to</w:t>
      </w:r>
      <w:r w:rsidR="00EE4FC3">
        <w:t xml:space="preserve"> </w:t>
      </w:r>
      <w:r w:rsidRPr="00382917">
        <w:t>take</w:t>
      </w:r>
      <w:r w:rsidR="00EE4FC3">
        <w:t xml:space="preserve"> </w:t>
      </w:r>
      <w:r w:rsidRPr="00382917">
        <w:t>their</w:t>
      </w:r>
      <w:r w:rsidR="00EE4FC3">
        <w:t xml:space="preserve"> </w:t>
      </w:r>
      <w:r w:rsidRPr="00382917">
        <w:t>revenge</w:t>
      </w:r>
      <w:r w:rsidR="00EE4FC3">
        <w:t xml:space="preserve"> </w:t>
      </w:r>
      <w:r w:rsidRPr="00382917">
        <w:t>upon</w:t>
      </w:r>
      <w:r w:rsidR="00EE4FC3">
        <w:t xml:space="preserve"> </w:t>
      </w:r>
      <w:r w:rsidRPr="00382917">
        <w:t>Vaḥíd</w:t>
      </w:r>
      <w:r w:rsidR="0040329F">
        <w:t>.</w:t>
      </w:r>
      <w:r w:rsidR="00EE4FC3">
        <w:t xml:space="preserve">  </w:t>
      </w:r>
      <w:r w:rsidRPr="00382917">
        <w:t>They</w:t>
      </w:r>
      <w:r w:rsidR="00EE4FC3">
        <w:t xml:space="preserve"> </w:t>
      </w:r>
      <w:r w:rsidRPr="00382917">
        <w:t>consulted</w:t>
      </w:r>
      <w:r w:rsidR="00EE4FC3">
        <w:t xml:space="preserve"> </w:t>
      </w:r>
      <w:r w:rsidRPr="00382917">
        <w:t>upon</w:t>
      </w:r>
      <w:r w:rsidR="00EE4FC3">
        <w:t xml:space="preserve"> </w:t>
      </w:r>
      <w:r w:rsidRPr="00382917">
        <w:t>the</w:t>
      </w:r>
      <w:r w:rsidR="00EE4FC3">
        <w:t xml:space="preserve"> </w:t>
      </w:r>
      <w:r w:rsidRPr="00382917">
        <w:t>best</w:t>
      </w:r>
      <w:r w:rsidR="00EE4FC3">
        <w:t xml:space="preserve"> </w:t>
      </w:r>
      <w:r w:rsidRPr="00382917">
        <w:t>way</w:t>
      </w:r>
      <w:r w:rsidR="00EE4FC3">
        <w:t xml:space="preserve"> </w:t>
      </w:r>
      <w:r w:rsidRPr="00382917">
        <w:t>in</w:t>
      </w:r>
      <w:r w:rsidR="00EE4FC3">
        <w:t xml:space="preserve"> </w:t>
      </w:r>
      <w:r w:rsidRPr="00382917">
        <w:t>which</w:t>
      </w:r>
      <w:r w:rsidR="00EE4FC3">
        <w:t xml:space="preserve"> </w:t>
      </w:r>
      <w:r w:rsidRPr="00382917">
        <w:t>they</w:t>
      </w:r>
      <w:r w:rsidR="00EE4FC3">
        <w:t xml:space="preserve"> </w:t>
      </w:r>
      <w:r w:rsidRPr="00382917">
        <w:t>could</w:t>
      </w:r>
      <w:r w:rsidR="00EE4FC3">
        <w:t xml:space="preserve"> </w:t>
      </w:r>
      <w:r w:rsidRPr="00382917">
        <w:t>evade</w:t>
      </w:r>
      <w:r w:rsidR="00EE4FC3">
        <w:t xml:space="preserve"> </w:t>
      </w:r>
      <w:r w:rsidRPr="00382917">
        <w:t>fulfilling</w:t>
      </w:r>
      <w:r w:rsidR="00EE4FC3">
        <w:t xml:space="preserve"> </w:t>
      </w:r>
      <w:r w:rsidRPr="00382917">
        <w:t>the</w:t>
      </w:r>
      <w:r w:rsidR="00EE4FC3">
        <w:t xml:space="preserve"> </w:t>
      </w:r>
      <w:r w:rsidRPr="00382917">
        <w:t>oath</w:t>
      </w:r>
      <w:r w:rsidR="00EE4FC3">
        <w:t xml:space="preserve"> </w:t>
      </w:r>
      <w:r w:rsidRPr="00382917">
        <w:t>which</w:t>
      </w:r>
      <w:r w:rsidR="00EE4FC3">
        <w:t xml:space="preserve"> </w:t>
      </w:r>
      <w:r w:rsidRPr="00382917">
        <w:t>they</w:t>
      </w:r>
      <w:r w:rsidR="00EE4FC3">
        <w:t xml:space="preserve"> </w:t>
      </w:r>
      <w:r w:rsidRPr="00382917">
        <w:t>had</w:t>
      </w:r>
      <w:r w:rsidR="00EE4FC3">
        <w:t xml:space="preserve"> </w:t>
      </w:r>
      <w:r w:rsidRPr="00382917">
        <w:t>sent</w:t>
      </w:r>
      <w:r w:rsidR="00EE4FC3">
        <w:t xml:space="preserve"> </w:t>
      </w:r>
      <w:r w:rsidRPr="00382917">
        <w:t>with</w:t>
      </w:r>
      <w:r w:rsidR="00EE4FC3">
        <w:t xml:space="preserve"> </w:t>
      </w:r>
      <w:r w:rsidRPr="00382917">
        <w:t>the</w:t>
      </w:r>
      <w:r w:rsidR="00EE4FC3">
        <w:t xml:space="preserve"> </w:t>
      </w:r>
      <w:proofErr w:type="gramStart"/>
      <w:r w:rsidR="00382917">
        <w:t>Qur’án</w:t>
      </w:r>
      <w:proofErr w:type="gramEnd"/>
      <w:r w:rsidR="00EE4FC3">
        <w:t xml:space="preserve"> </w:t>
      </w:r>
      <w:r w:rsidRPr="00382917">
        <w:t>into</w:t>
      </w:r>
      <w:r w:rsidR="00EE4FC3">
        <w:t xml:space="preserve"> </w:t>
      </w:r>
      <w:r w:rsidRPr="00382917">
        <w:t>the</w:t>
      </w:r>
      <w:r w:rsidR="00EE4FC3">
        <w:t xml:space="preserve"> </w:t>
      </w:r>
      <w:r w:rsidRPr="00382917">
        <w:t>fort.</w:t>
      </w:r>
    </w:p>
    <w:p w:rsidR="00B2037B" w:rsidRPr="00382917" w:rsidRDefault="00B2037B" w:rsidP="00B2037B">
      <w:pPr>
        <w:pStyle w:val="Text"/>
      </w:pPr>
      <w:r w:rsidRPr="00382917">
        <w:t>Their</w:t>
      </w:r>
      <w:r w:rsidR="00EE4FC3">
        <w:t xml:space="preserve"> </w:t>
      </w:r>
      <w:r w:rsidRPr="00382917">
        <w:t>scheme</w:t>
      </w:r>
      <w:r w:rsidR="00EE4FC3">
        <w:t xml:space="preserve"> </w:t>
      </w:r>
      <w:r w:rsidRPr="00382917">
        <w:t>was</w:t>
      </w:r>
      <w:r w:rsidR="00EE4FC3">
        <w:t xml:space="preserve"> </w:t>
      </w:r>
      <w:r w:rsidRPr="00382917">
        <w:t>simple</w:t>
      </w:r>
      <w:r w:rsidR="0040329F">
        <w:t>.</w:t>
      </w:r>
      <w:r w:rsidR="00EE4FC3">
        <w:t xml:space="preserve">  </w:t>
      </w:r>
      <w:r w:rsidRPr="00382917">
        <w:t>A</w:t>
      </w:r>
      <w:r w:rsidR="00EE4FC3">
        <w:t xml:space="preserve"> </w:t>
      </w:r>
      <w:r w:rsidRPr="00382917">
        <w:t>man</w:t>
      </w:r>
      <w:r w:rsidR="00EE4FC3">
        <w:t xml:space="preserve"> </w:t>
      </w:r>
      <w:r w:rsidRPr="00382917">
        <w:t>notorious</w:t>
      </w:r>
      <w:r w:rsidR="00EE4FC3">
        <w:t xml:space="preserve"> </w:t>
      </w:r>
      <w:r w:rsidRPr="00382917">
        <w:t>for</w:t>
      </w:r>
      <w:r w:rsidR="00EE4FC3">
        <w:t xml:space="preserve"> </w:t>
      </w:r>
      <w:r w:rsidRPr="00382917">
        <w:t>his</w:t>
      </w:r>
      <w:r w:rsidR="00EE4FC3">
        <w:t xml:space="preserve"> </w:t>
      </w:r>
      <w:r w:rsidRPr="00382917">
        <w:t>ruthlessness</w:t>
      </w:r>
      <w:r w:rsidR="00EE4FC3">
        <w:t xml:space="preserve"> </w:t>
      </w:r>
      <w:r w:rsidRPr="00382917">
        <w:t>and</w:t>
      </w:r>
      <w:r w:rsidR="00EE4FC3">
        <w:t xml:space="preserve"> </w:t>
      </w:r>
      <w:r w:rsidRPr="00382917">
        <w:t>cruelty</w:t>
      </w:r>
      <w:r w:rsidR="00EE4FC3">
        <w:t xml:space="preserve"> </w:t>
      </w:r>
      <w:r w:rsidRPr="00382917">
        <w:t>volunteered</w:t>
      </w:r>
      <w:r w:rsidR="00EE4FC3">
        <w:t xml:space="preserve"> </w:t>
      </w:r>
      <w:r w:rsidRPr="00382917">
        <w:t>to</w:t>
      </w:r>
      <w:r w:rsidR="00EE4FC3">
        <w:t xml:space="preserve"> </w:t>
      </w:r>
      <w:r w:rsidRPr="00382917">
        <w:t>proceed</w:t>
      </w:r>
      <w:r w:rsidR="00EE4FC3">
        <w:t xml:space="preserve"> </w:t>
      </w:r>
      <w:r w:rsidRPr="00382917">
        <w:t>with</w:t>
      </w:r>
      <w:r w:rsidR="00EE4FC3">
        <w:t xml:space="preserve"> </w:t>
      </w:r>
      <w:r w:rsidRPr="00382917">
        <w:t>the</w:t>
      </w:r>
      <w:r w:rsidR="00EE4FC3">
        <w:t xml:space="preserve"> </w:t>
      </w:r>
      <w:r w:rsidRPr="00382917">
        <w:t>killing</w:t>
      </w:r>
      <w:r w:rsidR="00EE4FC3">
        <w:t xml:space="preserve"> </w:t>
      </w:r>
      <w:r w:rsidRPr="00382917">
        <w:t>of</w:t>
      </w:r>
      <w:r w:rsidR="00EE4FC3">
        <w:t xml:space="preserve"> </w:t>
      </w:r>
      <w:r w:rsidRPr="00382917">
        <w:t>Vaḥíd</w:t>
      </w:r>
      <w:r w:rsidR="00EE4FC3">
        <w:t xml:space="preserve"> </w:t>
      </w:r>
      <w:r w:rsidRPr="00382917">
        <w:t>without</w:t>
      </w:r>
      <w:r w:rsidR="00EE4FC3">
        <w:t xml:space="preserve"> </w:t>
      </w:r>
      <w:r w:rsidRPr="00382917">
        <w:t>conscience</w:t>
      </w:r>
      <w:r w:rsidR="00EE4FC3">
        <w:t xml:space="preserve"> </w:t>
      </w:r>
      <w:r w:rsidRPr="00382917">
        <w:t>pangs,</w:t>
      </w:r>
      <w:r w:rsidR="00EE4FC3">
        <w:t xml:space="preserve"> </w:t>
      </w:r>
      <w:r w:rsidRPr="00382917">
        <w:t>because</w:t>
      </w:r>
      <w:r w:rsidR="00EE4FC3">
        <w:t xml:space="preserve"> </w:t>
      </w:r>
      <w:r w:rsidRPr="00382917">
        <w:t>he</w:t>
      </w:r>
      <w:r w:rsidR="00EE4FC3">
        <w:t xml:space="preserve"> </w:t>
      </w:r>
      <w:r w:rsidRPr="00382917">
        <w:t>had</w:t>
      </w:r>
      <w:r w:rsidR="00EE4FC3">
        <w:t xml:space="preserve"> </w:t>
      </w:r>
      <w:r w:rsidRPr="00382917">
        <w:t>not</w:t>
      </w:r>
      <w:r w:rsidR="00EE4FC3">
        <w:t xml:space="preserve"> </w:t>
      </w:r>
      <w:r w:rsidRPr="00382917">
        <w:t>taken</w:t>
      </w:r>
      <w:r w:rsidR="00EE4FC3">
        <w:t xml:space="preserve"> </w:t>
      </w:r>
      <w:r w:rsidRPr="00382917">
        <w:t>the</w:t>
      </w:r>
      <w:r w:rsidR="00EE4FC3">
        <w:t xml:space="preserve"> </w:t>
      </w:r>
      <w:r w:rsidRPr="00382917">
        <w:t>oath.</w:t>
      </w:r>
    </w:p>
    <w:p w:rsidR="00B2037B" w:rsidRPr="00382917" w:rsidRDefault="009C713D" w:rsidP="00B2037B">
      <w:pPr>
        <w:pStyle w:val="Text"/>
      </w:pPr>
      <w:r w:rsidRPr="00382917">
        <w:t>“</w:t>
      </w:r>
      <w:r w:rsidR="00B2037B" w:rsidRPr="00382917">
        <w:t>If</w:t>
      </w:r>
      <w:r w:rsidR="00EE4FC3">
        <w:t xml:space="preserve"> </w:t>
      </w:r>
      <w:r w:rsidR="00B2037B" w:rsidRPr="00382917">
        <w:t>you</w:t>
      </w:r>
      <w:r w:rsidR="00EE4FC3">
        <w:t xml:space="preserve"> </w:t>
      </w:r>
      <w:r w:rsidR="00B2037B" w:rsidRPr="00382917">
        <w:t>are</w:t>
      </w:r>
      <w:r w:rsidR="00EE4FC3">
        <w:t xml:space="preserve"> </w:t>
      </w:r>
      <w:r w:rsidR="00B2037B" w:rsidRPr="00382917">
        <w:t>troubled</w:t>
      </w:r>
      <w:r w:rsidR="00EE4FC3">
        <w:t xml:space="preserve"> </w:t>
      </w:r>
      <w:r w:rsidR="00B2037B" w:rsidRPr="00382917">
        <w:t>by</w:t>
      </w:r>
      <w:r w:rsidR="00EE4FC3">
        <w:t xml:space="preserve"> </w:t>
      </w:r>
      <w:r w:rsidR="00B2037B" w:rsidRPr="00382917">
        <w:t>this</w:t>
      </w:r>
      <w:r w:rsidR="00EE4FC3">
        <w:t xml:space="preserve"> </w:t>
      </w:r>
      <w:r w:rsidR="00B2037B" w:rsidRPr="00382917">
        <w:t>oath,</w:t>
      </w:r>
      <w:r w:rsidRPr="00382917">
        <w:t>”</w:t>
      </w:r>
      <w:r w:rsidR="00EE4FC3">
        <w:t xml:space="preserve"> </w:t>
      </w:r>
      <w:r w:rsidR="00B2037B" w:rsidRPr="00382917">
        <w:t>he</w:t>
      </w:r>
      <w:r w:rsidR="00EE4FC3">
        <w:t xml:space="preserve"> </w:t>
      </w:r>
      <w:r w:rsidR="00B2037B" w:rsidRPr="00382917">
        <w:t>assured</w:t>
      </w:r>
      <w:r w:rsidR="00EE4FC3">
        <w:t xml:space="preserve"> </w:t>
      </w:r>
      <w:r w:rsidR="00B2037B" w:rsidRPr="00382917">
        <w:t>the</w:t>
      </w:r>
      <w:r w:rsidR="00EE4FC3">
        <w:t xml:space="preserve"> </w:t>
      </w:r>
      <w:r w:rsidR="00B2037B" w:rsidRPr="00382917">
        <w:t>governor</w:t>
      </w:r>
      <w:r w:rsidR="00EE4FC3">
        <w:t xml:space="preserve"> </w:t>
      </w:r>
      <w:r w:rsidR="00B2037B" w:rsidRPr="00382917">
        <w:t>and</w:t>
      </w:r>
      <w:r w:rsidR="00EE4FC3">
        <w:t xml:space="preserve"> </w:t>
      </w:r>
      <w:r w:rsidR="00B2037B" w:rsidRPr="00382917">
        <w:t>his</w:t>
      </w:r>
      <w:r w:rsidR="00EE4FC3">
        <w:t xml:space="preserve"> </w:t>
      </w:r>
      <w:r w:rsidR="00B2037B" w:rsidRPr="00382917">
        <w:t>staff,</w:t>
      </w:r>
      <w:r w:rsidR="00EE4FC3">
        <w:t xml:space="preserve"> </w:t>
      </w:r>
      <w:r w:rsidRPr="00382917">
        <w:t>“</w:t>
      </w:r>
      <w:r w:rsidR="00B2037B" w:rsidRPr="00382917">
        <w:t>forget</w:t>
      </w:r>
      <w:r w:rsidR="00EE4FC3">
        <w:t xml:space="preserve"> </w:t>
      </w:r>
      <w:r w:rsidR="00B2037B" w:rsidRPr="00382917">
        <w:t>your</w:t>
      </w:r>
      <w:r w:rsidR="00EE4FC3">
        <w:t xml:space="preserve"> </w:t>
      </w:r>
      <w:r w:rsidR="00B2037B" w:rsidRPr="00382917">
        <w:t>worries</w:t>
      </w:r>
      <w:r w:rsidR="0040329F">
        <w:t>.</w:t>
      </w:r>
      <w:r w:rsidR="00EE4FC3">
        <w:t xml:space="preserve">  </w:t>
      </w:r>
      <w:r w:rsidR="00B2037B" w:rsidRPr="00382917">
        <w:t>I</w:t>
      </w:r>
      <w:r w:rsidR="00EE4FC3">
        <w:t xml:space="preserve"> </w:t>
      </w:r>
      <w:r w:rsidR="00B2037B" w:rsidRPr="00382917">
        <w:t>am</w:t>
      </w:r>
      <w:r w:rsidR="00EE4FC3">
        <w:t xml:space="preserve"> </w:t>
      </w:r>
      <w:r w:rsidR="00B2037B" w:rsidRPr="00382917">
        <w:t>ready</w:t>
      </w:r>
      <w:r w:rsidR="00EE4FC3">
        <w:t xml:space="preserve"> </w:t>
      </w:r>
      <w:r w:rsidR="00B2037B" w:rsidRPr="00382917">
        <w:t>to</w:t>
      </w:r>
      <w:r w:rsidR="00EE4FC3">
        <w:t xml:space="preserve"> </w:t>
      </w:r>
      <w:r w:rsidR="00B2037B" w:rsidRPr="00382917">
        <w:t>do</w:t>
      </w:r>
      <w:r w:rsidR="00EE4FC3">
        <w:t xml:space="preserve"> </w:t>
      </w:r>
      <w:r w:rsidR="00B2037B" w:rsidRPr="00382917">
        <w:t>whatever</w:t>
      </w:r>
      <w:r w:rsidR="00EE4FC3">
        <w:t xml:space="preserve"> </w:t>
      </w:r>
      <w:r w:rsidR="00B2037B" w:rsidRPr="00382917">
        <w:t>you</w:t>
      </w:r>
      <w:r w:rsidR="00EE4FC3">
        <w:t xml:space="preserve"> </w:t>
      </w:r>
      <w:r w:rsidR="00B2037B" w:rsidRPr="00382917">
        <w:t>would</w:t>
      </w:r>
      <w:r w:rsidR="00EE4FC3">
        <w:t xml:space="preserve"> </w:t>
      </w:r>
      <w:r w:rsidR="00B2037B" w:rsidRPr="00382917">
        <w:t>like</w:t>
      </w:r>
      <w:r w:rsidR="00EE4FC3">
        <w:t xml:space="preserve"> </w:t>
      </w:r>
      <w:r w:rsidR="00B2037B" w:rsidRPr="00382917">
        <w:t>to</w:t>
      </w:r>
      <w:r w:rsidR="00EE4FC3">
        <w:t xml:space="preserve"> </w:t>
      </w:r>
      <w:r w:rsidR="00B2037B" w:rsidRPr="00382917">
        <w:t>have</w:t>
      </w:r>
      <w:r w:rsidR="00EE4FC3">
        <w:t xml:space="preserve"> </w:t>
      </w:r>
      <w:r w:rsidR="00B2037B" w:rsidRPr="00382917">
        <w:t>done</w:t>
      </w:r>
      <w:r w:rsidR="0040329F">
        <w:t>.</w:t>
      </w:r>
      <w:r w:rsidR="00EE4FC3">
        <w:t xml:space="preserve">  </w:t>
      </w:r>
      <w:r w:rsidR="00B2037B" w:rsidRPr="00382917">
        <w:t>I</w:t>
      </w:r>
      <w:r w:rsidR="00EE4FC3">
        <w:t xml:space="preserve"> </w:t>
      </w:r>
      <w:r w:rsidR="00B2037B" w:rsidRPr="00382917">
        <w:t>am</w:t>
      </w:r>
      <w:r w:rsidR="00EE4FC3">
        <w:t xml:space="preserve"> </w:t>
      </w:r>
      <w:r w:rsidR="00B2037B" w:rsidRPr="00382917">
        <w:t>ready</w:t>
      </w:r>
      <w:r w:rsidR="00EE4FC3">
        <w:t xml:space="preserve"> </w:t>
      </w:r>
      <w:r w:rsidR="00B2037B" w:rsidRPr="00382917">
        <w:t>to</w:t>
      </w:r>
      <w:r w:rsidR="00EE4FC3">
        <w:t xml:space="preserve"> </w:t>
      </w:r>
      <w:r w:rsidR="00B2037B" w:rsidRPr="00382917">
        <w:t>put</w:t>
      </w:r>
      <w:r w:rsidR="00EE4FC3">
        <w:t xml:space="preserve"> </w:t>
      </w:r>
      <w:r w:rsidR="00B2037B" w:rsidRPr="00382917">
        <w:t>to</w:t>
      </w:r>
      <w:r w:rsidR="00EE4FC3">
        <w:t xml:space="preserve"> </w:t>
      </w:r>
      <w:r w:rsidR="00B2037B" w:rsidRPr="00382917">
        <w:t>death</w:t>
      </w:r>
      <w:r w:rsidR="00EE4FC3">
        <w:t xml:space="preserve"> </w:t>
      </w:r>
      <w:r w:rsidR="00B2037B" w:rsidRPr="00382917">
        <w:t>those</w:t>
      </w:r>
      <w:r w:rsidR="00EE4FC3">
        <w:t xml:space="preserve"> </w:t>
      </w:r>
      <w:r w:rsidR="00B2037B" w:rsidRPr="00382917">
        <w:t>you</w:t>
      </w:r>
      <w:r w:rsidR="00EE4FC3">
        <w:t xml:space="preserve"> </w:t>
      </w:r>
      <w:r w:rsidR="00B2037B" w:rsidRPr="00382917">
        <w:t>deem</w:t>
      </w:r>
      <w:r w:rsidR="00EE4FC3">
        <w:t xml:space="preserve"> </w:t>
      </w:r>
      <w:r w:rsidR="00B2037B" w:rsidRPr="00382917">
        <w:t>guilty</w:t>
      </w:r>
      <w:r w:rsidR="00EE4FC3">
        <w:t xml:space="preserve"> </w:t>
      </w:r>
      <w:r w:rsidR="00B2037B" w:rsidRPr="00382917">
        <w:t>of</w:t>
      </w:r>
      <w:r w:rsidR="00EE4FC3">
        <w:t xml:space="preserve"> </w:t>
      </w:r>
      <w:r w:rsidR="00B2037B" w:rsidRPr="00382917">
        <w:t>having</w:t>
      </w:r>
      <w:r w:rsidR="00EE4FC3">
        <w:t xml:space="preserve"> </w:t>
      </w:r>
      <w:r w:rsidR="00B2037B" w:rsidRPr="00382917">
        <w:t>violated</w:t>
      </w:r>
      <w:r w:rsidR="00EE4FC3">
        <w:t xml:space="preserve"> </w:t>
      </w:r>
      <w:r w:rsidR="00B2037B" w:rsidRPr="00382917">
        <w:t>the</w:t>
      </w:r>
      <w:r w:rsidR="00EE4FC3">
        <w:t xml:space="preserve"> </w:t>
      </w:r>
      <w:r w:rsidR="00B2037B" w:rsidRPr="00382917">
        <w:t>laws</w:t>
      </w:r>
      <w:r w:rsidR="00EE4FC3">
        <w:t xml:space="preserve"> </w:t>
      </w:r>
      <w:r w:rsidR="00B2037B" w:rsidRPr="00382917">
        <w:t>of</w:t>
      </w:r>
      <w:r w:rsidR="00EE4FC3">
        <w:t xml:space="preserve"> </w:t>
      </w:r>
      <w:r w:rsidR="00B2037B" w:rsidRPr="00382917">
        <w:t>the</w:t>
      </w:r>
      <w:r w:rsidR="00EE4FC3">
        <w:t xml:space="preserve"> </w:t>
      </w:r>
      <w:r w:rsidR="00B2037B" w:rsidRPr="00382917">
        <w:t>land.</w:t>
      </w:r>
      <w:r w:rsidRPr="00382917">
        <w:t>”</w:t>
      </w:r>
    </w:p>
    <w:p w:rsidR="00B2037B" w:rsidRPr="00382917" w:rsidRDefault="00B2037B" w:rsidP="00B2037B">
      <w:pPr>
        <w:pStyle w:val="Text"/>
      </w:pPr>
      <w:r w:rsidRPr="00382917">
        <w:t>He</w:t>
      </w:r>
      <w:r w:rsidR="00EE4FC3">
        <w:t xml:space="preserve"> </w:t>
      </w:r>
      <w:r w:rsidRPr="00382917">
        <w:t>summoned</w:t>
      </w:r>
      <w:r w:rsidR="00EE4FC3">
        <w:t xml:space="preserve"> </w:t>
      </w:r>
      <w:r w:rsidRPr="00382917">
        <w:t>all</w:t>
      </w:r>
      <w:r w:rsidR="00EE4FC3">
        <w:t xml:space="preserve"> </w:t>
      </w:r>
      <w:r w:rsidRPr="00382917">
        <w:t>the</w:t>
      </w:r>
      <w:r w:rsidR="00EE4FC3">
        <w:t xml:space="preserve"> </w:t>
      </w:r>
      <w:r w:rsidRPr="00382917">
        <w:t>relatives</w:t>
      </w:r>
      <w:r w:rsidR="00EE4FC3">
        <w:t xml:space="preserve"> </w:t>
      </w:r>
      <w:r w:rsidRPr="00382917">
        <w:t>of</w:t>
      </w:r>
      <w:r w:rsidR="00EE4FC3">
        <w:t xml:space="preserve"> </w:t>
      </w:r>
      <w:r w:rsidRPr="00382917">
        <w:t>those</w:t>
      </w:r>
      <w:r w:rsidR="00EE4FC3">
        <w:t xml:space="preserve"> </w:t>
      </w:r>
      <w:r w:rsidRPr="00382917">
        <w:t>people</w:t>
      </w:r>
      <w:r w:rsidR="00EE4FC3">
        <w:t xml:space="preserve"> </w:t>
      </w:r>
      <w:r w:rsidRPr="00382917">
        <w:t>who</w:t>
      </w:r>
      <w:r w:rsidR="00EE4FC3">
        <w:t xml:space="preserve"> </w:t>
      </w:r>
      <w:r w:rsidRPr="00382917">
        <w:t>had</w:t>
      </w:r>
      <w:r w:rsidR="00EE4FC3">
        <w:t xml:space="preserve"> </w:t>
      </w:r>
      <w:r w:rsidRPr="00382917">
        <w:t>perished</w:t>
      </w:r>
      <w:r w:rsidR="00EE4FC3">
        <w:t xml:space="preserve"> </w:t>
      </w:r>
      <w:r w:rsidRPr="00382917">
        <w:t>in</w:t>
      </w:r>
      <w:r w:rsidR="00EE4FC3">
        <w:t xml:space="preserve"> </w:t>
      </w:r>
      <w:r w:rsidRPr="00382917">
        <w:t>the</w:t>
      </w:r>
      <w:r w:rsidR="00EE4FC3">
        <w:t xml:space="preserve"> </w:t>
      </w:r>
      <w:r w:rsidRPr="00382917">
        <w:t>long</w:t>
      </w:r>
      <w:r w:rsidR="00EE4FC3">
        <w:t xml:space="preserve"> </w:t>
      </w:r>
      <w:r w:rsidRPr="00382917">
        <w:t>struggle</w:t>
      </w:r>
      <w:r w:rsidR="00EE4FC3">
        <w:t xml:space="preserve"> </w:t>
      </w:r>
      <w:r w:rsidRPr="00382917">
        <w:t>to</w:t>
      </w:r>
      <w:r w:rsidR="00EE4FC3">
        <w:t xml:space="preserve"> </w:t>
      </w:r>
      <w:r w:rsidRPr="00382917">
        <w:t>conquer</w:t>
      </w:r>
      <w:r w:rsidR="00EE4FC3">
        <w:t xml:space="preserve"> </w:t>
      </w:r>
      <w:r w:rsidRPr="00382917">
        <w:t>the</w:t>
      </w:r>
      <w:r w:rsidR="00EE4FC3">
        <w:t xml:space="preserve"> </w:t>
      </w:r>
      <w:r w:rsidRPr="00382917">
        <w:t>fort</w:t>
      </w:r>
      <w:r w:rsidR="00EE4FC3">
        <w:t xml:space="preserve"> </w:t>
      </w:r>
      <w:r w:rsidRPr="00382917">
        <w:t>in</w:t>
      </w:r>
      <w:r w:rsidR="00EE4FC3">
        <w:t xml:space="preserve"> </w:t>
      </w:r>
      <w:r w:rsidRPr="00382917">
        <w:t>which</w:t>
      </w:r>
      <w:r w:rsidR="00EE4FC3">
        <w:t xml:space="preserve"> </w:t>
      </w:r>
      <w:r w:rsidRPr="00382917">
        <w:t>Vaḥíd</w:t>
      </w:r>
      <w:r w:rsidR="00EE4FC3">
        <w:t xml:space="preserve"> </w:t>
      </w:r>
      <w:r w:rsidRPr="00382917">
        <w:t>and</w:t>
      </w:r>
      <w:r w:rsidR="00EE4FC3">
        <w:t xml:space="preserve"> </w:t>
      </w:r>
      <w:r w:rsidRPr="00382917">
        <w:t>his</w:t>
      </w:r>
      <w:r w:rsidR="00EE4FC3">
        <w:t xml:space="preserve"> </w:t>
      </w:r>
      <w:r w:rsidRPr="00382917">
        <w:t>friends</w:t>
      </w:r>
      <w:r w:rsidR="00EE4FC3">
        <w:t xml:space="preserve"> </w:t>
      </w:r>
      <w:r w:rsidRPr="00382917">
        <w:t>had</w:t>
      </w:r>
      <w:r w:rsidR="00EE4FC3">
        <w:t xml:space="preserve"> </w:t>
      </w:r>
      <w:r w:rsidRPr="00382917">
        <w:t>been</w:t>
      </w:r>
      <w:r w:rsidR="00EE4FC3">
        <w:t xml:space="preserve"> </w:t>
      </w:r>
      <w:r w:rsidRPr="00382917">
        <w:t>sheltered</w:t>
      </w:r>
      <w:r w:rsidR="0040329F">
        <w:t>.</w:t>
      </w:r>
      <w:r w:rsidR="00EE4FC3">
        <w:t xml:space="preserve">  </w:t>
      </w:r>
      <w:r w:rsidRPr="00382917">
        <w:t>He</w:t>
      </w:r>
      <w:r w:rsidR="00EE4FC3">
        <w:t xml:space="preserve"> </w:t>
      </w:r>
      <w:r w:rsidRPr="00382917">
        <w:t>had</w:t>
      </w:r>
      <w:r w:rsidR="00EE4FC3">
        <w:t xml:space="preserve"> </w:t>
      </w:r>
      <w:r w:rsidRPr="00382917">
        <w:t>them</w:t>
      </w:r>
      <w:r w:rsidR="00EE4FC3">
        <w:t xml:space="preserve"> </w:t>
      </w:r>
      <w:r w:rsidRPr="00382917">
        <w:t>all</w:t>
      </w:r>
      <w:r w:rsidR="00EE4FC3">
        <w:t xml:space="preserve"> </w:t>
      </w:r>
      <w:r w:rsidRPr="00382917">
        <w:t>pronounce</w:t>
      </w:r>
      <w:r w:rsidR="00EE4FC3">
        <w:t xml:space="preserve"> </w:t>
      </w:r>
      <w:r w:rsidRPr="00382917">
        <w:t>the</w:t>
      </w:r>
      <w:r w:rsidR="00EE4FC3">
        <w:t xml:space="preserve"> </w:t>
      </w:r>
      <w:r w:rsidRPr="00382917">
        <w:t>sentence</w:t>
      </w:r>
      <w:r w:rsidR="00EE4FC3">
        <w:t xml:space="preserve"> </w:t>
      </w:r>
      <w:r w:rsidRPr="00382917">
        <w:t>of</w:t>
      </w:r>
      <w:r w:rsidR="00EE4FC3">
        <w:t xml:space="preserve"> </w:t>
      </w:r>
      <w:r w:rsidRPr="00382917">
        <w:t>death</w:t>
      </w:r>
      <w:r w:rsidR="00EE4FC3">
        <w:t xml:space="preserve"> </w:t>
      </w:r>
      <w:r w:rsidRPr="00382917">
        <w:t>against</w:t>
      </w:r>
      <w:r w:rsidR="00EE4FC3">
        <w:t xml:space="preserve"> </w:t>
      </w:r>
      <w:r w:rsidRPr="00382917">
        <w:t>Vaḥíd,</w:t>
      </w:r>
      <w:r w:rsidR="00EE4FC3">
        <w:t xml:space="preserve"> </w:t>
      </w:r>
      <w:r w:rsidRPr="00382917">
        <w:t>thus</w:t>
      </w:r>
      <w:r w:rsidR="00EE4FC3">
        <w:t xml:space="preserve"> </w:t>
      </w:r>
      <w:r w:rsidRPr="00382917">
        <w:t>relieving,</w:t>
      </w:r>
      <w:r w:rsidR="00EE4FC3">
        <w:t xml:space="preserve"> </w:t>
      </w:r>
      <w:r w:rsidRPr="00382917">
        <w:t>in</w:t>
      </w:r>
      <w:r w:rsidR="00EE4FC3">
        <w:t xml:space="preserve"> </w:t>
      </w:r>
      <w:r w:rsidRPr="00382917">
        <w:t>his</w:t>
      </w:r>
      <w:r w:rsidR="00EE4FC3">
        <w:t xml:space="preserve"> </w:t>
      </w:r>
      <w:r w:rsidRPr="00382917">
        <w:t>own</w:t>
      </w:r>
      <w:r w:rsidR="00EE4FC3">
        <w:t xml:space="preserve"> </w:t>
      </w:r>
      <w:r w:rsidRPr="00382917">
        <w:t>mind,</w:t>
      </w:r>
      <w:r w:rsidR="00EE4FC3">
        <w:t xml:space="preserve"> </w:t>
      </w:r>
      <w:r w:rsidRPr="00382917">
        <w:t>both</w:t>
      </w:r>
      <w:r w:rsidR="00EE4FC3">
        <w:t xml:space="preserve"> </w:t>
      </w:r>
      <w:r w:rsidRPr="00382917">
        <w:t>the</w:t>
      </w:r>
      <w:r w:rsidR="00EE4FC3">
        <w:t xml:space="preserve"> </w:t>
      </w:r>
      <w:r w:rsidRPr="00382917">
        <w:t>governor</w:t>
      </w:r>
      <w:r w:rsidR="00EE4FC3">
        <w:t xml:space="preserve"> </w:t>
      </w:r>
      <w:r w:rsidRPr="00382917">
        <w:t>and</w:t>
      </w:r>
      <w:r w:rsidR="00EE4FC3">
        <w:t xml:space="preserve"> </w:t>
      </w:r>
      <w:r w:rsidRPr="00382917">
        <w:t>himself</w:t>
      </w:r>
      <w:r w:rsidR="00EE4FC3">
        <w:t xml:space="preserve"> </w:t>
      </w:r>
      <w:r w:rsidRPr="00382917">
        <w:t>of</w:t>
      </w:r>
      <w:r w:rsidR="00EE4FC3">
        <w:t xml:space="preserve"> </w:t>
      </w:r>
      <w:r w:rsidRPr="00382917">
        <w:t>any</w:t>
      </w:r>
      <w:r w:rsidR="00EE4FC3">
        <w:t xml:space="preserve"> </w:t>
      </w:r>
      <w:r w:rsidRPr="00382917">
        <w:t>responsibility</w:t>
      </w:r>
      <w:r w:rsidR="00EE4FC3">
        <w:t xml:space="preserve"> </w:t>
      </w:r>
      <w:r w:rsidRPr="00382917">
        <w:t>for</w:t>
      </w:r>
      <w:r w:rsidR="00EE4FC3">
        <w:t xml:space="preserve"> </w:t>
      </w:r>
      <w:r w:rsidRPr="00382917">
        <w:t>their</w:t>
      </w:r>
      <w:r w:rsidR="00EE4FC3">
        <w:t xml:space="preserve"> </w:t>
      </w:r>
      <w:r w:rsidRPr="00382917">
        <w:t>deaths</w:t>
      </w:r>
      <w:r w:rsidR="0040329F">
        <w:t>.</w:t>
      </w:r>
      <w:r w:rsidR="00EE4FC3">
        <w:t xml:space="preserve">  </w:t>
      </w:r>
      <w:r w:rsidRPr="00382917">
        <w:t>He</w:t>
      </w:r>
      <w:r w:rsidR="00EE4FC3">
        <w:t xml:space="preserve"> </w:t>
      </w:r>
      <w:r w:rsidRPr="00382917">
        <w:t>offered</w:t>
      </w:r>
      <w:r w:rsidR="00EE4FC3">
        <w:t xml:space="preserve"> </w:t>
      </w:r>
      <w:r w:rsidRPr="00382917">
        <w:t>to</w:t>
      </w:r>
      <w:r w:rsidR="00EE4FC3">
        <w:t xml:space="preserve"> </w:t>
      </w:r>
      <w:r w:rsidRPr="00382917">
        <w:t>three</w:t>
      </w:r>
      <w:r w:rsidR="00EE4FC3">
        <w:t xml:space="preserve"> </w:t>
      </w:r>
      <w:r w:rsidRPr="00382917">
        <w:t>men</w:t>
      </w:r>
      <w:r w:rsidR="00EE4FC3">
        <w:t xml:space="preserve"> </w:t>
      </w:r>
      <w:r w:rsidRPr="00382917">
        <w:t>in</w:t>
      </w:r>
      <w:r w:rsidR="00EE4FC3">
        <w:t xml:space="preserve"> </w:t>
      </w:r>
      <w:r w:rsidRPr="00382917">
        <w:t>particular</w:t>
      </w:r>
      <w:r w:rsidR="00EE4FC3">
        <w:t xml:space="preserve"> </w:t>
      </w:r>
      <w:r w:rsidRPr="00382917">
        <w:t>the</w:t>
      </w:r>
      <w:r w:rsidR="00EE4FC3">
        <w:t xml:space="preserve"> </w:t>
      </w:r>
      <w:r w:rsidRPr="00382917">
        <w:t>privilege</w:t>
      </w:r>
      <w:r w:rsidR="00EE4FC3">
        <w:t xml:space="preserve"> </w:t>
      </w:r>
      <w:r w:rsidRPr="00382917">
        <w:t>and</w:t>
      </w:r>
      <w:r w:rsidR="00EE4FC3">
        <w:t xml:space="preserve"> </w:t>
      </w:r>
      <w:r w:rsidRPr="00382917">
        <w:t>pleasure</w:t>
      </w:r>
      <w:r w:rsidR="00EE4FC3">
        <w:t xml:space="preserve"> </w:t>
      </w:r>
      <w:r w:rsidRPr="00382917">
        <w:t>of</w:t>
      </w:r>
      <w:r w:rsidR="00EE4FC3">
        <w:t xml:space="preserve"> </w:t>
      </w:r>
      <w:r w:rsidRPr="00382917">
        <w:t>striking</w:t>
      </w:r>
      <w:r w:rsidR="00EE4FC3">
        <w:t xml:space="preserve"> </w:t>
      </w:r>
      <w:r w:rsidRPr="00382917">
        <w:t>the</w:t>
      </w:r>
      <w:r w:rsidR="00EE4FC3">
        <w:t xml:space="preserve"> </w:t>
      </w:r>
      <w:r w:rsidRPr="00382917">
        <w:t>first</w:t>
      </w:r>
      <w:r w:rsidR="00EE4FC3">
        <w:t xml:space="preserve"> </w:t>
      </w:r>
      <w:r w:rsidRPr="00382917">
        <w:t>blows</w:t>
      </w:r>
      <w:r w:rsidR="00EE4FC3">
        <w:t xml:space="preserve"> </w:t>
      </w:r>
      <w:r w:rsidRPr="00382917">
        <w:t>at</w:t>
      </w:r>
      <w:r w:rsidR="00EE4FC3">
        <w:t xml:space="preserve"> </w:t>
      </w:r>
      <w:r w:rsidRPr="00382917">
        <w:t>the</w:t>
      </w:r>
      <w:r w:rsidR="00EE4FC3">
        <w:t xml:space="preserve"> </w:t>
      </w:r>
      <w:r w:rsidRPr="00382917">
        <w:t>person</w:t>
      </w:r>
      <w:r w:rsidR="00EE4FC3">
        <w:t xml:space="preserve"> </w:t>
      </w:r>
      <w:r w:rsidRPr="00382917">
        <w:t>of</w:t>
      </w:r>
      <w:r w:rsidR="00EE4FC3">
        <w:t xml:space="preserve"> </w:t>
      </w:r>
      <w:r w:rsidRPr="00382917">
        <w:t>Vaḥíd</w:t>
      </w:r>
      <w:r w:rsidR="00EE4FC3">
        <w:t xml:space="preserve"> </w:t>
      </w:r>
      <w:r w:rsidRPr="00382917">
        <w:t>before</w:t>
      </w:r>
      <w:r w:rsidR="00EE4FC3">
        <w:t xml:space="preserve"> </w:t>
      </w:r>
      <w:r w:rsidRPr="00382917">
        <w:t>turning</w:t>
      </w:r>
      <w:r w:rsidR="00EE4FC3">
        <w:t xml:space="preserve"> </w:t>
      </w:r>
      <w:r w:rsidRPr="00382917">
        <w:t>him</w:t>
      </w:r>
      <w:r w:rsidR="00EE4FC3">
        <w:t xml:space="preserve"> </w:t>
      </w:r>
      <w:r w:rsidRPr="00382917">
        <w:t>over</w:t>
      </w:r>
      <w:r w:rsidR="00EE4FC3">
        <w:t xml:space="preserve"> </w:t>
      </w:r>
      <w:r w:rsidRPr="00382917">
        <w:t>to</w:t>
      </w:r>
      <w:r w:rsidR="00EE4FC3">
        <w:t xml:space="preserve"> </w:t>
      </w:r>
      <w:r w:rsidRPr="00382917">
        <w:t>the</w:t>
      </w:r>
      <w:r w:rsidR="00EE4FC3">
        <w:t xml:space="preserve"> </w:t>
      </w:r>
      <w:r w:rsidRPr="00382917">
        <w:t>mob</w:t>
      </w:r>
      <w:r w:rsidR="0040329F">
        <w:t>.</w:t>
      </w:r>
      <w:r w:rsidR="00EE4FC3">
        <w:t xml:space="preserve">  </w:t>
      </w:r>
      <w:r w:rsidRPr="00382917">
        <w:t>He</w:t>
      </w:r>
      <w:r w:rsidR="00EE4FC3">
        <w:t xml:space="preserve"> </w:t>
      </w:r>
      <w:r w:rsidRPr="00382917">
        <w:t>knew</w:t>
      </w:r>
      <w:r w:rsidR="00EE4FC3">
        <w:t xml:space="preserve"> </w:t>
      </w:r>
      <w:r w:rsidRPr="00382917">
        <w:t>these</w:t>
      </w:r>
      <w:r w:rsidR="00EE4FC3">
        <w:t xml:space="preserve"> </w:t>
      </w:r>
      <w:r w:rsidRPr="00382917">
        <w:t>three</w:t>
      </w:r>
      <w:r w:rsidR="00EE4FC3">
        <w:t xml:space="preserve"> </w:t>
      </w:r>
      <w:r w:rsidRPr="00382917">
        <w:t>men</w:t>
      </w:r>
      <w:r w:rsidR="00EE4FC3">
        <w:t xml:space="preserve"> </w:t>
      </w:r>
      <w:r w:rsidRPr="00382917">
        <w:t>would</w:t>
      </w:r>
      <w:r w:rsidR="00EE4FC3">
        <w:t xml:space="preserve"> </w:t>
      </w:r>
      <w:r w:rsidRPr="00382917">
        <w:t>be</w:t>
      </w:r>
      <w:r w:rsidR="00EE4FC3">
        <w:t xml:space="preserve"> </w:t>
      </w:r>
      <w:r w:rsidRPr="00382917">
        <w:t>without</w:t>
      </w:r>
      <w:r w:rsidR="00EE4FC3">
        <w:t xml:space="preserve"> </w:t>
      </w:r>
      <w:r w:rsidRPr="00382917">
        <w:t>mercy.</w:t>
      </w:r>
    </w:p>
    <w:p w:rsidR="00B2037B" w:rsidRPr="00382917" w:rsidRDefault="00B2037B" w:rsidP="00B2037B">
      <w:pPr>
        <w:pStyle w:val="Text"/>
      </w:pPr>
      <w:r w:rsidRPr="00382917">
        <w:t>Nayríz</w:t>
      </w:r>
      <w:r w:rsidR="00EE4FC3">
        <w:t xml:space="preserve"> </w:t>
      </w:r>
      <w:r w:rsidRPr="00382917">
        <w:t>echoed</w:t>
      </w:r>
      <w:r w:rsidR="00EE4FC3">
        <w:t xml:space="preserve"> </w:t>
      </w:r>
      <w:r w:rsidRPr="00382917">
        <w:t>to</w:t>
      </w:r>
      <w:r w:rsidR="00EE4FC3">
        <w:t xml:space="preserve"> </w:t>
      </w:r>
      <w:r w:rsidRPr="00382917">
        <w:t>the</w:t>
      </w:r>
      <w:r w:rsidR="00EE4FC3">
        <w:t xml:space="preserve"> </w:t>
      </w:r>
      <w:r w:rsidRPr="00382917">
        <w:t>sound</w:t>
      </w:r>
      <w:r w:rsidR="00EE4FC3">
        <w:t xml:space="preserve"> </w:t>
      </w:r>
      <w:r w:rsidRPr="00382917">
        <w:t>of</w:t>
      </w:r>
      <w:r w:rsidR="00EE4FC3">
        <w:t xml:space="preserve"> </w:t>
      </w:r>
      <w:r w:rsidRPr="00382917">
        <w:t>drums</w:t>
      </w:r>
      <w:r w:rsidR="00EE4FC3">
        <w:t xml:space="preserve"> </w:t>
      </w:r>
      <w:r w:rsidRPr="00382917">
        <w:t>and</w:t>
      </w:r>
      <w:r w:rsidR="00EE4FC3">
        <w:t xml:space="preserve"> </w:t>
      </w:r>
      <w:r w:rsidRPr="00382917">
        <w:t>cymbals</w:t>
      </w:r>
      <w:r w:rsidR="00EE4FC3">
        <w:t xml:space="preserve"> </w:t>
      </w:r>
      <w:r w:rsidRPr="00382917">
        <w:t>as</w:t>
      </w:r>
      <w:r w:rsidR="00EE4FC3">
        <w:t xml:space="preserve"> </w:t>
      </w:r>
      <w:r w:rsidRPr="00382917">
        <w:t>Vaḥíd</w:t>
      </w:r>
      <w:r w:rsidR="00EE4FC3">
        <w:t xml:space="preserve"> </w:t>
      </w:r>
      <w:r w:rsidRPr="00382917">
        <w:t>was</w:t>
      </w:r>
      <w:r w:rsidR="00EE4FC3">
        <w:t xml:space="preserve"> </w:t>
      </w:r>
      <w:r w:rsidRPr="00382917">
        <w:t>brought</w:t>
      </w:r>
      <w:r w:rsidR="00EE4FC3">
        <w:t xml:space="preserve"> </w:t>
      </w:r>
      <w:r w:rsidRPr="00382917">
        <w:t>before</w:t>
      </w:r>
      <w:r w:rsidR="00EE4FC3">
        <w:t xml:space="preserve"> </w:t>
      </w:r>
      <w:r w:rsidRPr="00382917">
        <w:t>the</w:t>
      </w:r>
      <w:r w:rsidR="00EE4FC3">
        <w:t xml:space="preserve"> </w:t>
      </w:r>
      <w:r w:rsidRPr="00382917">
        <w:t>people</w:t>
      </w:r>
      <w:r w:rsidR="0040329F">
        <w:t>.</w:t>
      </w:r>
      <w:r w:rsidR="00EE4FC3">
        <w:t xml:space="preserve">  </w:t>
      </w:r>
      <w:r w:rsidRPr="00382917">
        <w:t>The</w:t>
      </w:r>
      <w:r w:rsidR="00EE4FC3">
        <w:t xml:space="preserve"> </w:t>
      </w:r>
      <w:r w:rsidRPr="00382917">
        <w:t>eager</w:t>
      </w:r>
      <w:r w:rsidR="00EE4FC3">
        <w:t xml:space="preserve"> </w:t>
      </w:r>
      <w:r w:rsidRPr="00382917">
        <w:t>crowd</w:t>
      </w:r>
      <w:r w:rsidR="00EE4FC3">
        <w:t xml:space="preserve"> </w:t>
      </w:r>
      <w:r w:rsidRPr="00382917">
        <w:t>was</w:t>
      </w:r>
      <w:r w:rsidR="00EE4FC3">
        <w:t xml:space="preserve"> </w:t>
      </w:r>
      <w:r w:rsidRPr="00382917">
        <w:t>held</w:t>
      </w:r>
      <w:r w:rsidR="00EE4FC3">
        <w:t xml:space="preserve"> </w:t>
      </w:r>
      <w:r w:rsidRPr="00382917">
        <w:t>back</w:t>
      </w:r>
      <w:r w:rsidR="00EE4FC3">
        <w:t xml:space="preserve"> </w:t>
      </w:r>
      <w:r w:rsidRPr="00382917">
        <w:t>while</w:t>
      </w:r>
      <w:r w:rsidR="00EE4FC3">
        <w:t xml:space="preserve"> </w:t>
      </w:r>
      <w:r w:rsidRPr="00382917">
        <w:t>the</w:t>
      </w:r>
      <w:r w:rsidR="00EE4FC3">
        <w:t xml:space="preserve"> </w:t>
      </w:r>
      <w:r w:rsidRPr="00382917">
        <w:t>three</w:t>
      </w:r>
      <w:r w:rsidR="00EE4FC3">
        <w:t xml:space="preserve"> </w:t>
      </w:r>
      <w:r w:rsidRPr="00382917">
        <w:t>men</w:t>
      </w:r>
      <w:r w:rsidR="00EE4FC3">
        <w:t xml:space="preserve"> </w:t>
      </w:r>
      <w:r w:rsidRPr="00382917">
        <w:t>took</w:t>
      </w:r>
      <w:r w:rsidR="00EE4FC3">
        <w:t xml:space="preserve"> </w:t>
      </w:r>
      <w:r w:rsidRPr="00382917">
        <w:t>their</w:t>
      </w:r>
      <w:r w:rsidR="00EE4FC3">
        <w:t xml:space="preserve"> </w:t>
      </w:r>
      <w:r w:rsidRPr="00382917">
        <w:t>turns</w:t>
      </w:r>
      <w:r w:rsidR="0040329F">
        <w:t>.</w:t>
      </w:r>
      <w:r w:rsidR="00EE4FC3">
        <w:t xml:space="preserve">  </w:t>
      </w:r>
      <w:r w:rsidRPr="00382917">
        <w:t>The</w:t>
      </w:r>
      <w:r w:rsidR="00EE4FC3">
        <w:t xml:space="preserve"> </w:t>
      </w:r>
      <w:r w:rsidRPr="00382917">
        <w:t>first,</w:t>
      </w:r>
      <w:r w:rsidR="00EE4FC3">
        <w:t xml:space="preserve"> </w:t>
      </w:r>
      <w:r w:rsidRPr="00382917">
        <w:t>Mullá</w:t>
      </w:r>
      <w:r w:rsidR="00EE4FC3">
        <w:t xml:space="preserve"> </w:t>
      </w:r>
      <w:r w:rsidRPr="00382917">
        <w:t>Riḍá,</w:t>
      </w:r>
      <w:r w:rsidR="00EE4FC3">
        <w:t xml:space="preserve"> </w:t>
      </w:r>
      <w:r w:rsidRPr="00382917">
        <w:t>snatched</w:t>
      </w:r>
      <w:r w:rsidR="00EE4FC3">
        <w:t xml:space="preserve"> </w:t>
      </w:r>
      <w:proofErr w:type="spellStart"/>
      <w:r w:rsidRPr="00382917">
        <w:t>Vaḥíd</w:t>
      </w:r>
      <w:r w:rsidR="009C713D" w:rsidRPr="00382917">
        <w:t>’</w:t>
      </w:r>
      <w:r w:rsidRPr="00382917">
        <w:t>s</w:t>
      </w:r>
      <w:proofErr w:type="spellEnd"/>
      <w:r w:rsidR="00EE4FC3">
        <w:t xml:space="preserve"> </w:t>
      </w:r>
      <w:r w:rsidRPr="00382917">
        <w:t>turban</w:t>
      </w:r>
      <w:r w:rsidR="00EE4FC3">
        <w:t xml:space="preserve"> </w:t>
      </w:r>
      <w:r w:rsidRPr="00382917">
        <w:t>from</w:t>
      </w:r>
      <w:r w:rsidR="00EE4FC3">
        <w:t xml:space="preserve"> </w:t>
      </w:r>
      <w:r w:rsidRPr="00382917">
        <w:t>his</w:t>
      </w:r>
      <w:r w:rsidR="00EE4FC3">
        <w:t xml:space="preserve"> </w:t>
      </w:r>
      <w:r w:rsidRPr="00382917">
        <w:t>head,</w:t>
      </w:r>
      <w:r w:rsidR="00EE4FC3">
        <w:t xml:space="preserve"> </w:t>
      </w:r>
      <w:r w:rsidRPr="00382917">
        <w:t>uncoiled</w:t>
      </w:r>
      <w:r w:rsidR="00EE4FC3">
        <w:t xml:space="preserve"> </w:t>
      </w:r>
      <w:r w:rsidRPr="00382917">
        <w:t>it,</w:t>
      </w:r>
      <w:r w:rsidR="00EE4FC3">
        <w:t xml:space="preserve"> </w:t>
      </w:r>
      <w:r w:rsidRPr="00382917">
        <w:t>then</w:t>
      </w:r>
      <w:r w:rsidR="00EE4FC3">
        <w:t xml:space="preserve"> </w:t>
      </w:r>
      <w:r w:rsidRPr="00382917">
        <w:t>wound</w:t>
      </w:r>
      <w:r w:rsidR="00EE4FC3">
        <w:t xml:space="preserve"> </w:t>
      </w:r>
      <w:r w:rsidRPr="00382917">
        <w:t>it</w:t>
      </w:r>
      <w:r w:rsidR="00EE4FC3">
        <w:t xml:space="preserve"> </w:t>
      </w:r>
      <w:r w:rsidRPr="00382917">
        <w:t>about</w:t>
      </w:r>
    </w:p>
    <w:p w:rsidR="00B2037B" w:rsidRPr="00382917" w:rsidRDefault="00B2037B">
      <w:pPr>
        <w:widowControl/>
        <w:kinsoku/>
        <w:overflowPunct/>
        <w:textAlignment w:val="auto"/>
      </w:pPr>
      <w:r w:rsidRPr="00382917">
        <w:br w:type="page"/>
      </w:r>
    </w:p>
    <w:p w:rsidR="00B2037B" w:rsidRPr="00382917" w:rsidRDefault="00B2037B" w:rsidP="00B2037B">
      <w:pPr>
        <w:pStyle w:val="Textcts"/>
      </w:pPr>
      <w:proofErr w:type="spellStart"/>
      <w:r w:rsidRPr="00382917">
        <w:t>Vaḥíd</w:t>
      </w:r>
      <w:r w:rsidR="009C713D" w:rsidRPr="00382917">
        <w:t>’</w:t>
      </w:r>
      <w:r w:rsidRPr="00382917">
        <w:t>s</w:t>
      </w:r>
      <w:proofErr w:type="spellEnd"/>
      <w:r w:rsidR="00EE4FC3">
        <w:t xml:space="preserve"> </w:t>
      </w:r>
      <w:r w:rsidRPr="00382917">
        <w:t>neck</w:t>
      </w:r>
      <w:r w:rsidR="00EE4FC3">
        <w:t xml:space="preserve"> </w:t>
      </w:r>
      <w:r w:rsidRPr="00382917">
        <w:t>and</w:t>
      </w:r>
      <w:r w:rsidR="00EE4FC3">
        <w:t xml:space="preserve"> </w:t>
      </w:r>
      <w:r w:rsidRPr="00382917">
        <w:t>dragged</w:t>
      </w:r>
      <w:r w:rsidR="00EE4FC3">
        <w:t xml:space="preserve"> </w:t>
      </w:r>
      <w:r w:rsidRPr="00382917">
        <w:t>him</w:t>
      </w:r>
      <w:r w:rsidR="00EE4FC3">
        <w:t xml:space="preserve"> </w:t>
      </w:r>
      <w:r w:rsidRPr="00382917">
        <w:t>to</w:t>
      </w:r>
      <w:r w:rsidR="00EE4FC3">
        <w:t xml:space="preserve"> </w:t>
      </w:r>
      <w:r w:rsidRPr="00382917">
        <w:t>the</w:t>
      </w:r>
      <w:r w:rsidR="00EE4FC3">
        <w:t xml:space="preserve"> </w:t>
      </w:r>
      <w:r w:rsidRPr="00382917">
        <w:t>ground</w:t>
      </w:r>
      <w:r w:rsidR="0040329F">
        <w:t>.</w:t>
      </w:r>
      <w:r w:rsidR="00EE4FC3">
        <w:t xml:space="preserve">  </w:t>
      </w:r>
      <w:r w:rsidRPr="00382917">
        <w:t>Vaḥíd</w:t>
      </w:r>
      <w:r w:rsidR="00EE4FC3">
        <w:t xml:space="preserve"> </w:t>
      </w:r>
      <w:r w:rsidRPr="00382917">
        <w:t>was</w:t>
      </w:r>
      <w:r w:rsidR="00EE4FC3">
        <w:t xml:space="preserve"> </w:t>
      </w:r>
      <w:r w:rsidRPr="00382917">
        <w:t>then</w:t>
      </w:r>
      <w:r w:rsidR="00EE4FC3">
        <w:t xml:space="preserve"> </w:t>
      </w:r>
      <w:r w:rsidRPr="00382917">
        <w:t>tied</w:t>
      </w:r>
      <w:r w:rsidR="00EE4FC3">
        <w:t xml:space="preserve"> </w:t>
      </w:r>
      <w:r w:rsidRPr="00382917">
        <w:t>to</w:t>
      </w:r>
      <w:r w:rsidR="00EE4FC3">
        <w:t xml:space="preserve"> </w:t>
      </w:r>
      <w:r w:rsidRPr="00382917">
        <w:t>the</w:t>
      </w:r>
      <w:r w:rsidR="00EE4FC3">
        <w:t xml:space="preserve"> </w:t>
      </w:r>
      <w:r w:rsidRPr="00382917">
        <w:t>saddle</w:t>
      </w:r>
      <w:r w:rsidR="00EE4FC3">
        <w:t xml:space="preserve"> </w:t>
      </w:r>
      <w:r w:rsidRPr="00382917">
        <w:t>of</w:t>
      </w:r>
      <w:r w:rsidR="00EE4FC3">
        <w:t xml:space="preserve"> </w:t>
      </w:r>
      <w:r w:rsidRPr="00382917">
        <w:t>a</w:t>
      </w:r>
      <w:r w:rsidR="00EE4FC3">
        <w:t xml:space="preserve"> </w:t>
      </w:r>
      <w:r w:rsidRPr="00382917">
        <w:t>horse</w:t>
      </w:r>
      <w:r w:rsidR="0040329F">
        <w:t>.</w:t>
      </w:r>
      <w:r w:rsidR="00EE4FC3">
        <w:t xml:space="preserve">  </w:t>
      </w:r>
      <w:r w:rsidRPr="00382917">
        <w:t>Then</w:t>
      </w:r>
      <w:r w:rsidR="00EE4FC3">
        <w:t xml:space="preserve"> </w:t>
      </w:r>
      <w:r w:rsidRPr="00382917">
        <w:t>the</w:t>
      </w:r>
      <w:r w:rsidR="00EE4FC3">
        <w:t xml:space="preserve"> </w:t>
      </w:r>
      <w:r w:rsidRPr="00382917">
        <w:t>horse</w:t>
      </w:r>
      <w:r w:rsidR="00EE4FC3">
        <w:t xml:space="preserve"> </w:t>
      </w:r>
      <w:r w:rsidRPr="00382917">
        <w:t>was</w:t>
      </w:r>
      <w:r w:rsidR="00EE4FC3">
        <w:t xml:space="preserve"> </w:t>
      </w:r>
      <w:r w:rsidRPr="00382917">
        <w:t>whipped</w:t>
      </w:r>
      <w:r w:rsidR="00EE4FC3">
        <w:t xml:space="preserve"> </w:t>
      </w:r>
      <w:r w:rsidRPr="00382917">
        <w:t>so</w:t>
      </w:r>
      <w:r w:rsidR="00EE4FC3">
        <w:t xml:space="preserve"> </w:t>
      </w:r>
      <w:r w:rsidRPr="00382917">
        <w:t>that</w:t>
      </w:r>
      <w:r w:rsidR="00EE4FC3">
        <w:t xml:space="preserve"> </w:t>
      </w:r>
      <w:r w:rsidRPr="00382917">
        <w:t>it</w:t>
      </w:r>
      <w:r w:rsidR="00EE4FC3">
        <w:t xml:space="preserve"> </w:t>
      </w:r>
      <w:r w:rsidRPr="00382917">
        <w:t>would</w:t>
      </w:r>
      <w:r w:rsidR="00EE4FC3">
        <w:t xml:space="preserve"> </w:t>
      </w:r>
      <w:r w:rsidRPr="00382917">
        <w:t>drag</w:t>
      </w:r>
      <w:r w:rsidR="00EE4FC3">
        <w:t xml:space="preserve"> </w:t>
      </w:r>
      <w:r w:rsidRPr="00382917">
        <w:t>Vaḥíd</w:t>
      </w:r>
      <w:r w:rsidR="00EE4FC3">
        <w:t xml:space="preserve"> </w:t>
      </w:r>
      <w:r w:rsidRPr="00382917">
        <w:t>through</w:t>
      </w:r>
      <w:r w:rsidR="00EE4FC3">
        <w:t xml:space="preserve"> </w:t>
      </w:r>
      <w:r w:rsidRPr="00382917">
        <w:t>the</w:t>
      </w:r>
      <w:r w:rsidR="00EE4FC3">
        <w:t xml:space="preserve"> </w:t>
      </w:r>
      <w:r w:rsidRPr="00382917">
        <w:t>streets</w:t>
      </w:r>
      <w:r w:rsidR="00EE4FC3">
        <w:t xml:space="preserve"> </w:t>
      </w:r>
      <w:r w:rsidRPr="00382917">
        <w:t>of</w:t>
      </w:r>
      <w:r w:rsidR="00EE4FC3">
        <w:t xml:space="preserve"> </w:t>
      </w:r>
      <w:r w:rsidRPr="00382917">
        <w:t>the</w:t>
      </w:r>
      <w:r w:rsidR="00EE4FC3">
        <w:t xml:space="preserve"> </w:t>
      </w:r>
      <w:r w:rsidRPr="00382917">
        <w:t>city</w:t>
      </w:r>
      <w:r w:rsidR="0040329F">
        <w:t>.</w:t>
      </w:r>
      <w:r w:rsidR="00EE4FC3">
        <w:t xml:space="preserve">  </w:t>
      </w:r>
      <w:r w:rsidRPr="00382917">
        <w:t>The</w:t>
      </w:r>
      <w:r w:rsidR="00EE4FC3">
        <w:t xml:space="preserve"> </w:t>
      </w:r>
      <w:r w:rsidRPr="00382917">
        <w:t>second,</w:t>
      </w:r>
      <w:r w:rsidR="00EE4FC3">
        <w:t xml:space="preserve"> </w:t>
      </w:r>
      <w:r w:rsidRPr="00382917">
        <w:t>Safar,</w:t>
      </w:r>
      <w:r w:rsidR="00EE4FC3">
        <w:t xml:space="preserve"> </w:t>
      </w:r>
      <w:r w:rsidRPr="00382917">
        <w:t>as</w:t>
      </w:r>
      <w:r w:rsidR="00EE4FC3">
        <w:t xml:space="preserve"> </w:t>
      </w:r>
      <w:r w:rsidRPr="00382917">
        <w:t>well</w:t>
      </w:r>
      <w:r w:rsidR="00EE4FC3">
        <w:t xml:space="preserve"> </w:t>
      </w:r>
      <w:r w:rsidRPr="00382917">
        <w:t>as</w:t>
      </w:r>
      <w:r w:rsidR="00EE4FC3">
        <w:t xml:space="preserve"> </w:t>
      </w:r>
      <w:r w:rsidRPr="00382917">
        <w:t>the</w:t>
      </w:r>
      <w:r w:rsidR="00EE4FC3">
        <w:t xml:space="preserve"> </w:t>
      </w:r>
      <w:r w:rsidRPr="00382917">
        <w:t>third,</w:t>
      </w:r>
      <w:r w:rsidR="00EE4FC3">
        <w:t xml:space="preserve"> </w:t>
      </w:r>
      <w:r w:rsidR="009C713D" w:rsidRPr="00382917">
        <w:t>‘</w:t>
      </w:r>
      <w:r w:rsidRPr="00382917">
        <w:t>Áqá</w:t>
      </w:r>
      <w:r w:rsidR="00EE4FC3">
        <w:t xml:space="preserve"> </w:t>
      </w:r>
      <w:r w:rsidR="0040329F" w:rsidRPr="0040329F">
        <w:rPr>
          <w:u w:val="single"/>
        </w:rPr>
        <w:t>Kh</w:t>
      </w:r>
      <w:r w:rsidR="0040329F" w:rsidRPr="00382917">
        <w:t>án</w:t>
      </w:r>
      <w:r w:rsidRPr="00382917">
        <w:t>,</w:t>
      </w:r>
      <w:r w:rsidR="00EE4FC3">
        <w:t xml:space="preserve"> </w:t>
      </w:r>
      <w:r w:rsidRPr="00382917">
        <w:t>struck</w:t>
      </w:r>
      <w:r w:rsidR="00EE4FC3">
        <w:t xml:space="preserve"> </w:t>
      </w:r>
      <w:r w:rsidRPr="00382917">
        <w:t>and</w:t>
      </w:r>
      <w:r w:rsidR="00EE4FC3">
        <w:t xml:space="preserve"> </w:t>
      </w:r>
      <w:r w:rsidRPr="00382917">
        <w:t>beat</w:t>
      </w:r>
      <w:r w:rsidR="00EE4FC3">
        <w:t xml:space="preserve"> </w:t>
      </w:r>
      <w:r w:rsidRPr="00382917">
        <w:t>Vaḥíd</w:t>
      </w:r>
      <w:r w:rsidR="00EE4FC3">
        <w:t xml:space="preserve"> </w:t>
      </w:r>
      <w:r w:rsidRPr="00382917">
        <w:t>at</w:t>
      </w:r>
      <w:r w:rsidR="00EE4FC3">
        <w:t xml:space="preserve"> </w:t>
      </w:r>
      <w:r w:rsidRPr="00382917">
        <w:t>will</w:t>
      </w:r>
      <w:r w:rsidR="00EE4FC3">
        <w:t xml:space="preserve"> </w:t>
      </w:r>
      <w:r w:rsidRPr="00382917">
        <w:t>and</w:t>
      </w:r>
      <w:r w:rsidR="00EE4FC3">
        <w:t xml:space="preserve"> </w:t>
      </w:r>
      <w:r w:rsidRPr="00382917">
        <w:t>with</w:t>
      </w:r>
      <w:r w:rsidR="00EE4FC3">
        <w:t xml:space="preserve"> </w:t>
      </w:r>
      <w:r w:rsidRPr="00382917">
        <w:t>such</w:t>
      </w:r>
      <w:r w:rsidR="00EE4FC3">
        <w:t xml:space="preserve"> </w:t>
      </w:r>
      <w:r w:rsidRPr="00382917">
        <w:t>ferocity</w:t>
      </w:r>
      <w:r w:rsidR="00EE4FC3">
        <w:t xml:space="preserve"> </w:t>
      </w:r>
      <w:r w:rsidRPr="00382917">
        <w:t>that</w:t>
      </w:r>
      <w:r w:rsidR="00EE4FC3">
        <w:t xml:space="preserve"> </w:t>
      </w:r>
      <w:r w:rsidRPr="00382917">
        <w:t>the</w:t>
      </w:r>
      <w:r w:rsidR="00EE4FC3">
        <w:t xml:space="preserve"> </w:t>
      </w:r>
      <w:r w:rsidRPr="00382917">
        <w:t>onlookers</w:t>
      </w:r>
      <w:r w:rsidR="00EE4FC3">
        <w:t xml:space="preserve"> </w:t>
      </w:r>
      <w:r w:rsidRPr="00382917">
        <w:t>were</w:t>
      </w:r>
      <w:r w:rsidR="00EE4FC3">
        <w:t xml:space="preserve"> </w:t>
      </w:r>
      <w:r w:rsidRPr="00382917">
        <w:t>afraid</w:t>
      </w:r>
      <w:r w:rsidR="00EE4FC3">
        <w:t xml:space="preserve"> </w:t>
      </w:r>
      <w:r w:rsidRPr="00382917">
        <w:t>there</w:t>
      </w:r>
      <w:r w:rsidR="00EE4FC3">
        <w:t xml:space="preserve"> </w:t>
      </w:r>
      <w:r w:rsidRPr="00382917">
        <w:t>might</w:t>
      </w:r>
      <w:r w:rsidR="00EE4FC3">
        <w:t xml:space="preserve"> </w:t>
      </w:r>
      <w:r w:rsidRPr="00382917">
        <w:t>be</w:t>
      </w:r>
      <w:r w:rsidR="00EE4FC3">
        <w:t xml:space="preserve"> </w:t>
      </w:r>
      <w:r w:rsidRPr="00382917">
        <w:t>no</w:t>
      </w:r>
      <w:r w:rsidR="00EE4FC3">
        <w:t xml:space="preserve"> </w:t>
      </w:r>
      <w:r w:rsidRPr="00382917">
        <w:t>sport</w:t>
      </w:r>
      <w:r w:rsidR="00EE4FC3">
        <w:t xml:space="preserve"> </w:t>
      </w:r>
      <w:r w:rsidRPr="00382917">
        <w:t>left</w:t>
      </w:r>
      <w:r w:rsidR="00EE4FC3">
        <w:t xml:space="preserve"> </w:t>
      </w:r>
      <w:r w:rsidRPr="00382917">
        <w:t>for</w:t>
      </w:r>
      <w:r w:rsidR="00EE4FC3">
        <w:t xml:space="preserve"> </w:t>
      </w:r>
      <w:r w:rsidRPr="00382917">
        <w:t>them.</w:t>
      </w:r>
    </w:p>
    <w:p w:rsidR="00B2037B" w:rsidRPr="00382917" w:rsidRDefault="00B2037B" w:rsidP="00B2037B">
      <w:pPr>
        <w:pStyle w:val="Text"/>
      </w:pPr>
      <w:r w:rsidRPr="00382917">
        <w:t>In</w:t>
      </w:r>
      <w:r w:rsidR="00EE4FC3">
        <w:t xml:space="preserve"> </w:t>
      </w:r>
      <w:r w:rsidRPr="00382917">
        <w:t>the</w:t>
      </w:r>
      <w:r w:rsidR="00EE4FC3">
        <w:t xml:space="preserve"> </w:t>
      </w:r>
      <w:r w:rsidRPr="00382917">
        <w:t>midst</w:t>
      </w:r>
      <w:r w:rsidR="00EE4FC3">
        <w:t xml:space="preserve"> </w:t>
      </w:r>
      <w:r w:rsidRPr="00382917">
        <w:t>of</w:t>
      </w:r>
      <w:r w:rsidR="00EE4FC3">
        <w:t xml:space="preserve"> </w:t>
      </w:r>
      <w:r w:rsidRPr="00382917">
        <w:t>his</w:t>
      </w:r>
      <w:r w:rsidR="00EE4FC3">
        <w:t xml:space="preserve"> </w:t>
      </w:r>
      <w:r w:rsidRPr="00382917">
        <w:t>agony,</w:t>
      </w:r>
      <w:r w:rsidR="00EE4FC3">
        <w:t xml:space="preserve"> </w:t>
      </w:r>
      <w:r w:rsidRPr="00382917">
        <w:t>Vaḥíd</w:t>
      </w:r>
      <w:r w:rsidR="00EE4FC3">
        <w:t xml:space="preserve"> </w:t>
      </w:r>
      <w:r w:rsidRPr="00382917">
        <w:t>called</w:t>
      </w:r>
      <w:r w:rsidR="00EE4FC3">
        <w:t xml:space="preserve"> </w:t>
      </w:r>
      <w:r w:rsidRPr="00382917">
        <w:t>out</w:t>
      </w:r>
      <w:r w:rsidR="00C03C91">
        <w:t>:</w:t>
      </w:r>
      <w:r w:rsidR="00EE4FC3">
        <w:t xml:space="preserve">  </w:t>
      </w:r>
      <w:r w:rsidR="009C713D" w:rsidRPr="00382917">
        <w:t>“</w:t>
      </w:r>
      <w:r w:rsidRPr="00382917">
        <w:t>Thou</w:t>
      </w:r>
      <w:r w:rsidR="00EE4FC3">
        <w:t xml:space="preserve"> </w:t>
      </w:r>
      <w:proofErr w:type="spellStart"/>
      <w:r w:rsidRPr="00382917">
        <w:t>knowest</w:t>
      </w:r>
      <w:proofErr w:type="spellEnd"/>
      <w:r w:rsidRPr="00382917">
        <w:t>,</w:t>
      </w:r>
      <w:r w:rsidR="00EE4FC3">
        <w:t xml:space="preserve"> </w:t>
      </w:r>
      <w:r w:rsidRPr="00382917">
        <w:t>O</w:t>
      </w:r>
      <w:r w:rsidR="00EE4FC3">
        <w:t xml:space="preserve"> </w:t>
      </w:r>
      <w:r w:rsidRPr="00382917">
        <w:t>my</w:t>
      </w:r>
      <w:r w:rsidR="00EE4FC3">
        <w:t xml:space="preserve"> </w:t>
      </w:r>
      <w:proofErr w:type="gramStart"/>
      <w:r w:rsidRPr="00382917">
        <w:t>Beloved,</w:t>
      </w:r>
      <w:r w:rsidR="00EE4FC3">
        <w:t xml:space="preserve"> </w:t>
      </w:r>
      <w:r w:rsidRPr="00382917">
        <w:t>that</w:t>
      </w:r>
      <w:proofErr w:type="gramEnd"/>
      <w:r w:rsidR="00EE4FC3">
        <w:t xml:space="preserve"> </w:t>
      </w:r>
      <w:r w:rsidRPr="00382917">
        <w:t>I</w:t>
      </w:r>
      <w:r w:rsidR="00EE4FC3">
        <w:t xml:space="preserve"> </w:t>
      </w:r>
      <w:r w:rsidRPr="00382917">
        <w:t>have</w:t>
      </w:r>
      <w:r w:rsidR="00EE4FC3">
        <w:t xml:space="preserve"> </w:t>
      </w:r>
      <w:r w:rsidRPr="00382917">
        <w:t>abandoned</w:t>
      </w:r>
      <w:r w:rsidR="00EE4FC3">
        <w:t xml:space="preserve"> </w:t>
      </w:r>
      <w:r w:rsidRPr="00382917">
        <w:t>the</w:t>
      </w:r>
      <w:r w:rsidR="00EE4FC3">
        <w:t xml:space="preserve"> </w:t>
      </w:r>
      <w:r w:rsidRPr="00382917">
        <w:t>world</w:t>
      </w:r>
      <w:r w:rsidR="00EE4FC3">
        <w:t xml:space="preserve"> </w:t>
      </w:r>
      <w:r w:rsidRPr="00382917">
        <w:t>for</w:t>
      </w:r>
      <w:r w:rsidR="00EE4FC3">
        <w:t xml:space="preserve"> </w:t>
      </w:r>
      <w:r w:rsidRPr="00382917">
        <w:t>Thy</w:t>
      </w:r>
      <w:r w:rsidR="00EE4FC3">
        <w:t xml:space="preserve"> </w:t>
      </w:r>
      <w:r w:rsidRPr="00382917">
        <w:t>sake,</w:t>
      </w:r>
      <w:r w:rsidR="00EE4FC3">
        <w:t xml:space="preserve"> </w:t>
      </w:r>
      <w:r w:rsidRPr="00382917">
        <w:t>and</w:t>
      </w:r>
      <w:r w:rsidR="00EE4FC3">
        <w:t xml:space="preserve"> </w:t>
      </w:r>
      <w:r w:rsidRPr="00382917">
        <w:t>have</w:t>
      </w:r>
      <w:r w:rsidR="00EE4FC3">
        <w:t xml:space="preserve"> </w:t>
      </w:r>
      <w:r w:rsidRPr="00382917">
        <w:t>placed</w:t>
      </w:r>
      <w:r w:rsidR="00EE4FC3">
        <w:t xml:space="preserve"> </w:t>
      </w:r>
      <w:r w:rsidRPr="00382917">
        <w:t>my</w:t>
      </w:r>
      <w:r w:rsidR="00EE4FC3">
        <w:t xml:space="preserve"> </w:t>
      </w:r>
      <w:r w:rsidRPr="00382917">
        <w:t>trust</w:t>
      </w:r>
      <w:r w:rsidR="00EE4FC3">
        <w:t xml:space="preserve"> </w:t>
      </w:r>
      <w:r w:rsidRPr="00382917">
        <w:t>in</w:t>
      </w:r>
      <w:r w:rsidR="00EE4FC3">
        <w:t xml:space="preserve"> </w:t>
      </w:r>
      <w:r w:rsidRPr="00382917">
        <w:t>Thee</w:t>
      </w:r>
      <w:r w:rsidR="00EE4FC3">
        <w:t xml:space="preserve"> </w:t>
      </w:r>
      <w:r w:rsidRPr="00382917">
        <w:t>alone</w:t>
      </w:r>
      <w:r w:rsidR="0040329F">
        <w:t>.</w:t>
      </w:r>
      <w:r w:rsidR="00EE4FC3">
        <w:t xml:space="preserve">  </w:t>
      </w:r>
      <w:r w:rsidRPr="00382917">
        <w:t>I</w:t>
      </w:r>
      <w:r w:rsidR="00EE4FC3">
        <w:t xml:space="preserve"> </w:t>
      </w:r>
      <w:r w:rsidRPr="00382917">
        <w:t>am</w:t>
      </w:r>
      <w:r w:rsidR="00EE4FC3">
        <w:t xml:space="preserve"> </w:t>
      </w:r>
      <w:r w:rsidRPr="00382917">
        <w:t>impatient</w:t>
      </w:r>
      <w:r w:rsidR="00EE4FC3">
        <w:t xml:space="preserve"> </w:t>
      </w:r>
      <w:r w:rsidRPr="00382917">
        <w:t>to</w:t>
      </w:r>
      <w:r w:rsidR="00EE4FC3">
        <w:t xml:space="preserve"> </w:t>
      </w:r>
      <w:r w:rsidRPr="00382917">
        <w:t>hasten</w:t>
      </w:r>
      <w:r w:rsidR="00EE4FC3">
        <w:t xml:space="preserve"> </w:t>
      </w:r>
      <w:r w:rsidRPr="00382917">
        <w:t>to</w:t>
      </w:r>
      <w:r w:rsidR="00EE4FC3">
        <w:t xml:space="preserve"> </w:t>
      </w:r>
      <w:r w:rsidRPr="00382917">
        <w:t>Thee.</w:t>
      </w:r>
      <w:r w:rsidR="009C713D" w:rsidRPr="00382917">
        <w:t>”</w:t>
      </w:r>
    </w:p>
    <w:p w:rsidR="00B2037B" w:rsidRPr="00382917" w:rsidRDefault="00B2037B" w:rsidP="00B2037B">
      <w:pPr>
        <w:pStyle w:val="Text"/>
      </w:pPr>
      <w:r w:rsidRPr="00382917">
        <w:t>The</w:t>
      </w:r>
      <w:r w:rsidR="00EE4FC3">
        <w:t xml:space="preserve"> </w:t>
      </w:r>
      <w:r w:rsidRPr="00382917">
        <w:t>mob</w:t>
      </w:r>
      <w:r w:rsidR="00EE4FC3">
        <w:t xml:space="preserve"> </w:t>
      </w:r>
      <w:r w:rsidRPr="00382917">
        <w:t>screamed</w:t>
      </w:r>
      <w:r w:rsidR="00EE4FC3">
        <w:t xml:space="preserve"> </w:t>
      </w:r>
      <w:r w:rsidRPr="00382917">
        <w:t>with</w:t>
      </w:r>
      <w:r w:rsidR="00EE4FC3">
        <w:t xml:space="preserve"> </w:t>
      </w:r>
      <w:r w:rsidRPr="00382917">
        <w:t>anger</w:t>
      </w:r>
      <w:r w:rsidR="00EE4FC3">
        <w:t xml:space="preserve"> </w:t>
      </w:r>
      <w:r w:rsidRPr="00382917">
        <w:t>at</w:t>
      </w:r>
      <w:r w:rsidR="00EE4FC3">
        <w:t xml:space="preserve"> </w:t>
      </w:r>
      <w:proofErr w:type="spellStart"/>
      <w:r w:rsidRPr="00382917">
        <w:t>Vaḥíd</w:t>
      </w:r>
      <w:r w:rsidR="009C713D" w:rsidRPr="00382917">
        <w:t>’</w:t>
      </w:r>
      <w:r w:rsidRPr="00382917">
        <w:t>s</w:t>
      </w:r>
      <w:proofErr w:type="spellEnd"/>
      <w:r w:rsidR="00EE4FC3">
        <w:t xml:space="preserve"> </w:t>
      </w:r>
      <w:r w:rsidRPr="00382917">
        <w:t>radiant</w:t>
      </w:r>
      <w:r w:rsidR="00EE4FC3">
        <w:t xml:space="preserve"> </w:t>
      </w:r>
      <w:r w:rsidRPr="00382917">
        <w:t>acceptance</w:t>
      </w:r>
      <w:r w:rsidR="00EE4FC3">
        <w:t xml:space="preserve"> </w:t>
      </w:r>
      <w:r w:rsidRPr="00382917">
        <w:t>of</w:t>
      </w:r>
      <w:r w:rsidR="00EE4FC3">
        <w:t xml:space="preserve"> </w:t>
      </w:r>
      <w:r w:rsidRPr="00382917">
        <w:t>his</w:t>
      </w:r>
      <w:r w:rsidR="00EE4FC3">
        <w:t xml:space="preserve"> </w:t>
      </w:r>
      <w:r w:rsidRPr="00382917">
        <w:t>fate</w:t>
      </w:r>
      <w:r w:rsidR="0040329F">
        <w:t>.</w:t>
      </w:r>
      <w:r w:rsidR="00EE4FC3">
        <w:t xml:space="preserve">  </w:t>
      </w:r>
      <w:r w:rsidRPr="00382917">
        <w:t>They</w:t>
      </w:r>
      <w:r w:rsidR="00EE4FC3">
        <w:t xml:space="preserve"> </w:t>
      </w:r>
      <w:r w:rsidRPr="00382917">
        <w:t>were</w:t>
      </w:r>
      <w:r w:rsidR="00EE4FC3">
        <w:t xml:space="preserve"> </w:t>
      </w:r>
      <w:r w:rsidRPr="00382917">
        <w:t>determined</w:t>
      </w:r>
      <w:r w:rsidR="00EE4FC3">
        <w:t xml:space="preserve"> </w:t>
      </w:r>
      <w:r w:rsidRPr="00382917">
        <w:t>that</w:t>
      </w:r>
      <w:r w:rsidR="00EE4FC3">
        <w:t xml:space="preserve"> </w:t>
      </w:r>
      <w:r w:rsidRPr="00382917">
        <w:t>he</w:t>
      </w:r>
      <w:r w:rsidR="00EE4FC3">
        <w:t xml:space="preserve"> </w:t>
      </w:r>
      <w:r w:rsidRPr="00382917">
        <w:t>would</w:t>
      </w:r>
      <w:r w:rsidR="00EE4FC3">
        <w:t xml:space="preserve"> </w:t>
      </w:r>
      <w:r w:rsidRPr="00382917">
        <w:t>show</w:t>
      </w:r>
      <w:r w:rsidR="00EE4FC3">
        <w:t xml:space="preserve"> </w:t>
      </w:r>
      <w:r w:rsidRPr="00382917">
        <w:t>some</w:t>
      </w:r>
      <w:r w:rsidR="00EE4FC3">
        <w:t xml:space="preserve"> </w:t>
      </w:r>
      <w:r w:rsidRPr="00382917">
        <w:t>sign</w:t>
      </w:r>
      <w:r w:rsidR="00EE4FC3">
        <w:t xml:space="preserve"> </w:t>
      </w:r>
      <w:r w:rsidRPr="00382917">
        <w:t>of</w:t>
      </w:r>
      <w:r w:rsidR="00EE4FC3">
        <w:t xml:space="preserve"> </w:t>
      </w:r>
      <w:r w:rsidRPr="00382917">
        <w:t>fear</w:t>
      </w:r>
      <w:r w:rsidR="00EE4FC3">
        <w:t xml:space="preserve"> </w:t>
      </w:r>
      <w:r w:rsidRPr="00382917">
        <w:t>and</w:t>
      </w:r>
      <w:r w:rsidR="00EE4FC3">
        <w:t xml:space="preserve"> </w:t>
      </w:r>
      <w:r w:rsidRPr="00382917">
        <w:t>be</w:t>
      </w:r>
      <w:r w:rsidR="00EE4FC3">
        <w:t xml:space="preserve"> </w:t>
      </w:r>
      <w:r w:rsidRPr="00382917">
        <w:t>forced</w:t>
      </w:r>
      <w:r w:rsidR="00EE4FC3">
        <w:t xml:space="preserve"> </w:t>
      </w:r>
      <w:r w:rsidRPr="00382917">
        <w:t>to</w:t>
      </w:r>
      <w:r w:rsidR="00EE4FC3">
        <w:t xml:space="preserve"> </w:t>
      </w:r>
      <w:r w:rsidRPr="00382917">
        <w:t>plead</w:t>
      </w:r>
      <w:r w:rsidR="00EE4FC3">
        <w:t xml:space="preserve"> </w:t>
      </w:r>
      <w:r w:rsidRPr="00382917">
        <w:t>for</w:t>
      </w:r>
      <w:r w:rsidR="00EE4FC3">
        <w:t xml:space="preserve"> </w:t>
      </w:r>
      <w:r w:rsidRPr="00382917">
        <w:t>mercy</w:t>
      </w:r>
      <w:r w:rsidR="0040329F">
        <w:t>.</w:t>
      </w:r>
      <w:r w:rsidR="00EE4FC3">
        <w:t xml:space="preserve">  </w:t>
      </w:r>
      <w:r w:rsidRPr="00382917">
        <w:t>They</w:t>
      </w:r>
      <w:r w:rsidR="00EE4FC3">
        <w:t xml:space="preserve"> </w:t>
      </w:r>
      <w:r w:rsidRPr="00382917">
        <w:t>fell</w:t>
      </w:r>
      <w:r w:rsidR="00EE4FC3">
        <w:t xml:space="preserve"> </w:t>
      </w:r>
      <w:r w:rsidRPr="00382917">
        <w:t>upon</w:t>
      </w:r>
      <w:r w:rsidR="00EE4FC3">
        <w:t xml:space="preserve"> </w:t>
      </w:r>
      <w:r w:rsidRPr="00382917">
        <w:t>him</w:t>
      </w:r>
      <w:r w:rsidR="00EE4FC3">
        <w:t xml:space="preserve"> </w:t>
      </w:r>
      <w:r w:rsidRPr="00382917">
        <w:t>in</w:t>
      </w:r>
      <w:r w:rsidR="00EE4FC3">
        <w:t xml:space="preserve"> </w:t>
      </w:r>
      <w:r w:rsidRPr="00382917">
        <w:t>a</w:t>
      </w:r>
      <w:r w:rsidR="00EE4FC3">
        <w:t xml:space="preserve"> </w:t>
      </w:r>
      <w:r w:rsidRPr="00382917">
        <w:t>great</w:t>
      </w:r>
      <w:r w:rsidR="00EE4FC3">
        <w:t xml:space="preserve"> </w:t>
      </w:r>
      <w:r w:rsidRPr="00382917">
        <w:t>wave</w:t>
      </w:r>
      <w:r w:rsidR="0040329F">
        <w:t>.</w:t>
      </w:r>
      <w:r w:rsidR="00EE4FC3">
        <w:t xml:space="preserve">  </w:t>
      </w:r>
      <w:r w:rsidRPr="00382917">
        <w:t>Their</w:t>
      </w:r>
      <w:r w:rsidR="00EE4FC3">
        <w:t xml:space="preserve"> </w:t>
      </w:r>
      <w:r w:rsidRPr="00382917">
        <w:t>fists</w:t>
      </w:r>
      <w:r w:rsidR="00EE4FC3">
        <w:t xml:space="preserve"> </w:t>
      </w:r>
      <w:r w:rsidRPr="00382917">
        <w:t>and</w:t>
      </w:r>
      <w:r w:rsidR="00EE4FC3">
        <w:t xml:space="preserve"> </w:t>
      </w:r>
      <w:r w:rsidRPr="00382917">
        <w:t>weapons</w:t>
      </w:r>
      <w:r w:rsidR="00EE4FC3">
        <w:t xml:space="preserve"> </w:t>
      </w:r>
      <w:r w:rsidRPr="00382917">
        <w:t>pounded</w:t>
      </w:r>
      <w:r w:rsidR="00EE4FC3">
        <w:t xml:space="preserve"> </w:t>
      </w:r>
      <w:r w:rsidRPr="00382917">
        <w:t>him</w:t>
      </w:r>
      <w:r w:rsidR="00EE4FC3">
        <w:t xml:space="preserve"> </w:t>
      </w:r>
      <w:r w:rsidRPr="00382917">
        <w:t>into</w:t>
      </w:r>
      <w:r w:rsidR="00EE4FC3">
        <w:t xml:space="preserve"> </w:t>
      </w:r>
      <w:r w:rsidRPr="00382917">
        <w:t>insensibility</w:t>
      </w:r>
      <w:r w:rsidR="00EE4FC3">
        <w:t xml:space="preserve"> </w:t>
      </w:r>
      <w:r w:rsidRPr="00382917">
        <w:t>and</w:t>
      </w:r>
      <w:r w:rsidR="00EE4FC3">
        <w:t xml:space="preserve"> </w:t>
      </w:r>
      <w:r w:rsidRPr="00382917">
        <w:t>tore</w:t>
      </w:r>
      <w:r w:rsidR="00EE4FC3">
        <w:t xml:space="preserve"> </w:t>
      </w:r>
      <w:r w:rsidRPr="00382917">
        <w:t>his</w:t>
      </w:r>
      <w:r w:rsidR="00EE4FC3">
        <w:t xml:space="preserve"> </w:t>
      </w:r>
      <w:r w:rsidRPr="00382917">
        <w:t>flesh</w:t>
      </w:r>
      <w:r w:rsidR="0040329F">
        <w:t>.</w:t>
      </w:r>
      <w:r w:rsidR="00EE4FC3">
        <w:t xml:space="preserve">  </w:t>
      </w:r>
      <w:r w:rsidRPr="00382917">
        <w:t>Horsemen</w:t>
      </w:r>
      <w:r w:rsidR="00EE4FC3">
        <w:t xml:space="preserve"> </w:t>
      </w:r>
      <w:r w:rsidRPr="00382917">
        <w:t>scattered</w:t>
      </w:r>
      <w:r w:rsidR="00EE4FC3">
        <w:t xml:space="preserve"> </w:t>
      </w:r>
      <w:r w:rsidRPr="00382917">
        <w:t>the</w:t>
      </w:r>
      <w:r w:rsidR="00EE4FC3">
        <w:t xml:space="preserve"> </w:t>
      </w:r>
      <w:r w:rsidRPr="00382917">
        <w:t>crowd</w:t>
      </w:r>
      <w:r w:rsidR="00EE4FC3">
        <w:t xml:space="preserve"> </w:t>
      </w:r>
      <w:r w:rsidRPr="00382917">
        <w:t>so</w:t>
      </w:r>
      <w:r w:rsidR="00EE4FC3">
        <w:t xml:space="preserve"> </w:t>
      </w:r>
      <w:r w:rsidRPr="00382917">
        <w:t>that</w:t>
      </w:r>
      <w:r w:rsidR="00EE4FC3">
        <w:t xml:space="preserve"> </w:t>
      </w:r>
      <w:r w:rsidRPr="00382917">
        <w:t>they</w:t>
      </w:r>
      <w:r w:rsidR="00EE4FC3">
        <w:t xml:space="preserve"> </w:t>
      </w:r>
      <w:r w:rsidRPr="00382917">
        <w:t>could</w:t>
      </w:r>
      <w:r w:rsidR="00EE4FC3">
        <w:t xml:space="preserve"> </w:t>
      </w:r>
      <w:r w:rsidRPr="00382917">
        <w:t>have</w:t>
      </w:r>
      <w:r w:rsidR="00EE4FC3">
        <w:t xml:space="preserve"> </w:t>
      </w:r>
      <w:r w:rsidRPr="00382917">
        <w:t>their</w:t>
      </w:r>
      <w:r w:rsidR="00EE4FC3">
        <w:t xml:space="preserve"> </w:t>
      </w:r>
      <w:r w:rsidRPr="00382917">
        <w:t>turn</w:t>
      </w:r>
      <w:r w:rsidR="0040329F">
        <w:t>.</w:t>
      </w:r>
      <w:r w:rsidR="00EE4FC3">
        <w:t xml:space="preserve">  </w:t>
      </w:r>
      <w:r w:rsidRPr="00382917">
        <w:t>Women</w:t>
      </w:r>
      <w:r w:rsidR="00EE4FC3">
        <w:t xml:space="preserve"> </w:t>
      </w:r>
      <w:r w:rsidRPr="00382917">
        <w:t>danced</w:t>
      </w:r>
      <w:r w:rsidR="00EE4FC3">
        <w:t xml:space="preserve"> </w:t>
      </w:r>
      <w:r w:rsidRPr="00382917">
        <w:t>around</w:t>
      </w:r>
      <w:r w:rsidR="00EE4FC3">
        <w:t xml:space="preserve"> </w:t>
      </w:r>
      <w:r w:rsidRPr="00382917">
        <w:t>the</w:t>
      </w:r>
      <w:r w:rsidR="00EE4FC3">
        <w:t xml:space="preserve"> </w:t>
      </w:r>
      <w:r w:rsidRPr="00382917">
        <w:t>corpse</w:t>
      </w:r>
      <w:r w:rsidR="00EE4FC3">
        <w:t xml:space="preserve"> </w:t>
      </w:r>
      <w:r w:rsidRPr="00382917">
        <w:t>rejoicing,</w:t>
      </w:r>
      <w:r w:rsidR="00EE4FC3">
        <w:t xml:space="preserve"> </w:t>
      </w:r>
      <w:r w:rsidRPr="00382917">
        <w:t>to</w:t>
      </w:r>
      <w:r w:rsidR="00EE4FC3">
        <w:t xml:space="preserve"> </w:t>
      </w:r>
      <w:r w:rsidRPr="00382917">
        <w:t>the</w:t>
      </w:r>
      <w:r w:rsidR="00EE4FC3">
        <w:t xml:space="preserve"> </w:t>
      </w:r>
      <w:r w:rsidRPr="00382917">
        <w:t>increased</w:t>
      </w:r>
      <w:r w:rsidR="00EE4FC3">
        <w:t xml:space="preserve"> </w:t>
      </w:r>
      <w:r w:rsidRPr="00382917">
        <w:t>beat</w:t>
      </w:r>
      <w:r w:rsidR="00EE4FC3">
        <w:t xml:space="preserve"> </w:t>
      </w:r>
      <w:r w:rsidRPr="00382917">
        <w:t>of</w:t>
      </w:r>
      <w:r w:rsidR="00EE4FC3">
        <w:t xml:space="preserve"> </w:t>
      </w:r>
      <w:r w:rsidRPr="00382917">
        <w:t>the</w:t>
      </w:r>
      <w:r w:rsidR="00EE4FC3">
        <w:t xml:space="preserve"> </w:t>
      </w:r>
      <w:r w:rsidRPr="00382917">
        <w:t>drums</w:t>
      </w:r>
      <w:r w:rsidR="00EE4FC3">
        <w:t xml:space="preserve"> </w:t>
      </w:r>
      <w:r w:rsidRPr="00382917">
        <w:t>and</w:t>
      </w:r>
      <w:r w:rsidR="00EE4FC3">
        <w:t xml:space="preserve"> </w:t>
      </w:r>
      <w:r w:rsidRPr="00382917">
        <w:t>cymbals.</w:t>
      </w:r>
    </w:p>
    <w:p w:rsidR="00E13D49" w:rsidRPr="00382917" w:rsidRDefault="00B2037B" w:rsidP="000824A0">
      <w:pPr>
        <w:pStyle w:val="Text"/>
      </w:pPr>
      <w:r w:rsidRPr="00382917">
        <w:t>A</w:t>
      </w:r>
      <w:r w:rsidR="0040329F">
        <w:t>.</w:t>
      </w:r>
      <w:r w:rsidR="00EE4FC3">
        <w:t xml:space="preserve"> </w:t>
      </w:r>
      <w:r w:rsidRPr="00382917">
        <w:t>L.</w:t>
      </w:r>
      <w:r w:rsidR="00EE4FC3">
        <w:t xml:space="preserve"> </w:t>
      </w:r>
      <w:r w:rsidRPr="00382917">
        <w:t>M.</w:t>
      </w:r>
      <w:r w:rsidR="00EE4FC3">
        <w:t xml:space="preserve"> </w:t>
      </w:r>
      <w:r w:rsidRPr="00382917">
        <w:t>Nicolas</w:t>
      </w:r>
      <w:r w:rsidR="00EE4FC3">
        <w:t xml:space="preserve"> </w:t>
      </w:r>
      <w:r w:rsidRPr="00382917">
        <w:t>in</w:t>
      </w:r>
      <w:r w:rsidR="00EE4FC3">
        <w:t xml:space="preserve"> </w:t>
      </w:r>
      <w:r w:rsidRPr="00382917">
        <w:t>his</w:t>
      </w:r>
      <w:r w:rsidR="00EE4FC3">
        <w:t xml:space="preserve"> </w:t>
      </w:r>
      <w:r w:rsidRPr="00382917">
        <w:t>history</w:t>
      </w:r>
      <w:r w:rsidR="00EE4FC3">
        <w:t xml:space="preserve"> </w:t>
      </w:r>
      <w:r w:rsidRPr="00382917">
        <w:t>writes</w:t>
      </w:r>
      <w:r w:rsidR="00EE4FC3">
        <w:t xml:space="preserve"> </w:t>
      </w:r>
      <w:r w:rsidRPr="00382917">
        <w:t>that</w:t>
      </w:r>
      <w:r w:rsidR="00EE4FC3">
        <w:t xml:space="preserve"> </w:t>
      </w:r>
      <w:r w:rsidRPr="00382917">
        <w:t>the</w:t>
      </w:r>
      <w:r w:rsidR="00EE4FC3">
        <w:t xml:space="preserve"> </w:t>
      </w:r>
      <w:r w:rsidRPr="00382917">
        <w:t>multitude</w:t>
      </w:r>
      <w:r w:rsidR="00EE4FC3">
        <w:t xml:space="preserve"> </w:t>
      </w:r>
      <w:r w:rsidR="009C713D" w:rsidRPr="00382917">
        <w:t>“</w:t>
      </w:r>
      <w:r w:rsidRPr="00382917">
        <w:t>aroused</w:t>
      </w:r>
      <w:r w:rsidR="00EE4FC3">
        <w:t xml:space="preserve"> </w:t>
      </w:r>
      <w:r w:rsidRPr="00382917">
        <w:t>by</w:t>
      </w:r>
      <w:r w:rsidR="00EE4FC3">
        <w:t xml:space="preserve"> </w:t>
      </w:r>
      <w:r w:rsidRPr="00382917">
        <w:t>the</w:t>
      </w:r>
      <w:r w:rsidR="00EE4FC3">
        <w:t xml:space="preserve"> </w:t>
      </w:r>
      <w:r w:rsidRPr="00382917">
        <w:t>scene,</w:t>
      </w:r>
      <w:r w:rsidR="00EE4FC3">
        <w:t xml:space="preserve"> </w:t>
      </w:r>
      <w:r w:rsidRPr="00382917">
        <w:t>stoned</w:t>
      </w:r>
      <w:r w:rsidR="00EE4FC3">
        <w:t xml:space="preserve"> </w:t>
      </w:r>
      <w:r w:rsidRPr="00382917">
        <w:t>and</w:t>
      </w:r>
      <w:r w:rsidR="00EE4FC3">
        <w:t xml:space="preserve"> </w:t>
      </w:r>
      <w:r w:rsidRPr="00382917">
        <w:t>beat</w:t>
      </w:r>
      <w:r w:rsidR="00EE4FC3">
        <w:t xml:space="preserve"> </w:t>
      </w:r>
      <w:r w:rsidRPr="00382917">
        <w:t>to</w:t>
      </w:r>
      <w:r w:rsidR="00EE4FC3">
        <w:t xml:space="preserve"> </w:t>
      </w:r>
      <w:r w:rsidRPr="00382917">
        <w:t>death</w:t>
      </w:r>
      <w:r w:rsidR="00EE4FC3">
        <w:t xml:space="preserve"> </w:t>
      </w:r>
      <w:r w:rsidRPr="00382917">
        <w:t>the</w:t>
      </w:r>
      <w:r w:rsidR="00EE4FC3">
        <w:t xml:space="preserve"> </w:t>
      </w:r>
      <w:r w:rsidRPr="00382917">
        <w:t>unfortunate</w:t>
      </w:r>
      <w:r w:rsidR="00EE4FC3">
        <w:t xml:space="preserve"> </w:t>
      </w:r>
      <w:r w:rsidRPr="00382917">
        <w:t>man</w:t>
      </w:r>
      <w:r w:rsidR="0040329F">
        <w:t>.</w:t>
      </w:r>
      <w:r w:rsidR="00EE4FC3">
        <w:t xml:space="preserve">  </w:t>
      </w:r>
      <w:r w:rsidRPr="00382917">
        <w:t>They</w:t>
      </w:r>
      <w:r w:rsidR="00EE4FC3">
        <w:t xml:space="preserve"> </w:t>
      </w:r>
      <w:r w:rsidRPr="00382917">
        <w:t>then</w:t>
      </w:r>
      <w:r w:rsidR="00EE4FC3">
        <w:t xml:space="preserve"> </w:t>
      </w:r>
      <w:r w:rsidRPr="00382917">
        <w:t>severed</w:t>
      </w:r>
      <w:r w:rsidR="00EE4FC3">
        <w:t xml:space="preserve"> </w:t>
      </w:r>
      <w:r w:rsidRPr="00382917">
        <w:t>the</w:t>
      </w:r>
      <w:r w:rsidR="00EE4FC3">
        <w:t xml:space="preserve"> </w:t>
      </w:r>
      <w:r w:rsidRPr="00382917">
        <w:t>head,</w:t>
      </w:r>
      <w:r w:rsidR="00EE4FC3">
        <w:t xml:space="preserve"> </w:t>
      </w:r>
      <w:r w:rsidRPr="00382917">
        <w:t>tore</w:t>
      </w:r>
      <w:r w:rsidR="00EE4FC3">
        <w:t xml:space="preserve"> </w:t>
      </w:r>
      <w:r w:rsidRPr="00382917">
        <w:t>off</w:t>
      </w:r>
      <w:r w:rsidR="00EE4FC3">
        <w:t xml:space="preserve"> </w:t>
      </w:r>
      <w:r w:rsidRPr="00382917">
        <w:t>the</w:t>
      </w:r>
      <w:r w:rsidR="00EE4FC3">
        <w:t xml:space="preserve"> </w:t>
      </w:r>
      <w:r w:rsidRPr="00382917">
        <w:t>skin,</w:t>
      </w:r>
      <w:r w:rsidR="00EE4FC3">
        <w:t xml:space="preserve"> </w:t>
      </w:r>
      <w:r w:rsidRPr="00382917">
        <w:t>stuffed</w:t>
      </w:r>
      <w:r w:rsidR="00EE4FC3">
        <w:t xml:space="preserve"> </w:t>
      </w:r>
      <w:r w:rsidRPr="00382917">
        <w:t>it</w:t>
      </w:r>
      <w:r w:rsidR="00EE4FC3">
        <w:t xml:space="preserve"> </w:t>
      </w:r>
      <w:r w:rsidRPr="00382917">
        <w:t>with</w:t>
      </w:r>
      <w:r w:rsidR="00EE4FC3">
        <w:t xml:space="preserve"> </w:t>
      </w:r>
      <w:r w:rsidRPr="00382917">
        <w:t>straw</w:t>
      </w:r>
      <w:r w:rsidR="00EE4FC3">
        <w:t xml:space="preserve"> </w:t>
      </w:r>
      <w:r w:rsidRPr="00382917">
        <w:t>and</w:t>
      </w:r>
      <w:r w:rsidR="00EE4FC3">
        <w:t xml:space="preserve"> </w:t>
      </w:r>
      <w:r w:rsidRPr="00382917">
        <w:t>sent</w:t>
      </w:r>
      <w:r w:rsidR="00EE4FC3">
        <w:t xml:space="preserve"> </w:t>
      </w:r>
      <w:r w:rsidRPr="00382917">
        <w:t>that</w:t>
      </w:r>
      <w:r w:rsidR="00EE4FC3">
        <w:t xml:space="preserve"> </w:t>
      </w:r>
      <w:r w:rsidRPr="00382917">
        <w:t>trophy</w:t>
      </w:r>
      <w:r w:rsidR="00EE4FC3">
        <w:t xml:space="preserve"> </w:t>
      </w:r>
      <w:r w:rsidRPr="00382917">
        <w:t>to</w:t>
      </w:r>
      <w:r w:rsidR="00EE4FC3">
        <w:t xml:space="preserve"> </w:t>
      </w:r>
      <w:r w:rsidR="00BC0CAD" w:rsidRPr="00382917">
        <w:rPr>
          <w:u w:val="single"/>
        </w:rPr>
        <w:t>Sh</w:t>
      </w:r>
      <w:r w:rsidR="00BC0CAD" w:rsidRPr="00382917">
        <w:t>íráz</w:t>
      </w:r>
      <w:r w:rsidRPr="00382917">
        <w:t>!</w:t>
      </w:r>
      <w:r w:rsidR="009C713D" w:rsidRPr="00382917">
        <w:t>”</w:t>
      </w:r>
      <w:r w:rsidR="000824A0">
        <w:rPr>
          <w:rStyle w:val="FootnoteReference"/>
        </w:rPr>
        <w:footnoteReference w:id="173"/>
      </w:r>
    </w:p>
    <w:p w:rsidR="00B2037B" w:rsidRPr="00382917" w:rsidRDefault="00B2037B" w:rsidP="00B2037B">
      <w:pPr>
        <w:pStyle w:val="Text"/>
      </w:pPr>
      <w:r w:rsidRPr="00382917">
        <w:t>The</w:t>
      </w:r>
      <w:r w:rsidR="00EE4FC3">
        <w:t xml:space="preserve"> </w:t>
      </w:r>
      <w:r w:rsidRPr="00382917">
        <w:t>frenzied</w:t>
      </w:r>
      <w:r w:rsidR="00EE4FC3">
        <w:t xml:space="preserve"> </w:t>
      </w:r>
      <w:r w:rsidRPr="00382917">
        <w:t>crowd</w:t>
      </w:r>
      <w:r w:rsidR="00EE4FC3">
        <w:t xml:space="preserve"> </w:t>
      </w:r>
      <w:r w:rsidRPr="00382917">
        <w:t>did</w:t>
      </w:r>
      <w:r w:rsidR="00EE4FC3">
        <w:t xml:space="preserve"> </w:t>
      </w:r>
      <w:r w:rsidRPr="00382917">
        <w:t>the</w:t>
      </w:r>
      <w:r w:rsidR="00EE4FC3">
        <w:t xml:space="preserve"> </w:t>
      </w:r>
      <w:r w:rsidRPr="00382917">
        <w:t>same</w:t>
      </w:r>
      <w:r w:rsidR="00EE4FC3">
        <w:t xml:space="preserve"> </w:t>
      </w:r>
      <w:r w:rsidRPr="00382917">
        <w:t>to</w:t>
      </w:r>
      <w:r w:rsidR="00EE4FC3">
        <w:t xml:space="preserve"> </w:t>
      </w:r>
      <w:r w:rsidRPr="00382917">
        <w:t>the</w:t>
      </w:r>
      <w:r w:rsidR="00EE4FC3">
        <w:t xml:space="preserve"> </w:t>
      </w:r>
      <w:r w:rsidRPr="00382917">
        <w:t>heads</w:t>
      </w:r>
      <w:r w:rsidR="00EE4FC3">
        <w:t xml:space="preserve"> </w:t>
      </w:r>
      <w:r w:rsidRPr="00382917">
        <w:t>of</w:t>
      </w:r>
      <w:r w:rsidR="00EE4FC3">
        <w:t xml:space="preserve"> </w:t>
      </w:r>
      <w:proofErr w:type="spellStart"/>
      <w:r w:rsidRPr="00382917">
        <w:t>Vaḥíd</w:t>
      </w:r>
      <w:r w:rsidR="009C713D" w:rsidRPr="00382917">
        <w:t>’</w:t>
      </w:r>
      <w:r w:rsidRPr="00382917">
        <w:t>s</w:t>
      </w:r>
      <w:proofErr w:type="spellEnd"/>
      <w:r w:rsidR="00EE4FC3">
        <w:t xml:space="preserve"> </w:t>
      </w:r>
      <w:r w:rsidRPr="00382917">
        <w:t>companions</w:t>
      </w:r>
      <w:r w:rsidR="00EE4FC3">
        <w:t xml:space="preserve"> </w:t>
      </w:r>
      <w:r w:rsidRPr="00382917">
        <w:t>and</w:t>
      </w:r>
      <w:r w:rsidR="00EE4FC3">
        <w:t xml:space="preserve"> </w:t>
      </w:r>
      <w:r w:rsidRPr="00382917">
        <w:t>sent</w:t>
      </w:r>
      <w:r w:rsidR="00EE4FC3">
        <w:t xml:space="preserve"> </w:t>
      </w:r>
      <w:r w:rsidRPr="00382917">
        <w:t>them</w:t>
      </w:r>
      <w:r w:rsidR="00EE4FC3">
        <w:t xml:space="preserve"> </w:t>
      </w:r>
      <w:r w:rsidRPr="00382917">
        <w:t>as</w:t>
      </w:r>
      <w:r w:rsidR="00EE4FC3">
        <w:t xml:space="preserve"> </w:t>
      </w:r>
      <w:r w:rsidRPr="00382917">
        <w:t>a</w:t>
      </w:r>
      <w:r w:rsidR="00EE4FC3">
        <w:t xml:space="preserve"> </w:t>
      </w:r>
      <w:r w:rsidRPr="00382917">
        <w:t>gift</w:t>
      </w:r>
      <w:r w:rsidR="00EE4FC3">
        <w:t xml:space="preserve"> </w:t>
      </w:r>
      <w:r w:rsidRPr="00382917">
        <w:t>to</w:t>
      </w:r>
      <w:r w:rsidR="00EE4FC3">
        <w:t xml:space="preserve"> </w:t>
      </w:r>
      <w:r w:rsidRPr="00382917">
        <w:t>the</w:t>
      </w:r>
      <w:r w:rsidR="00EE4FC3">
        <w:t xml:space="preserve"> </w:t>
      </w:r>
      <w:r w:rsidRPr="00382917">
        <w:t>prince</w:t>
      </w:r>
      <w:r w:rsidR="00EE4FC3">
        <w:t xml:space="preserve"> </w:t>
      </w:r>
      <w:r w:rsidRPr="00382917">
        <w:t>in</w:t>
      </w:r>
      <w:r w:rsidR="00EE4FC3">
        <w:t xml:space="preserve"> </w:t>
      </w:r>
      <w:r w:rsidR="008A073E" w:rsidRPr="00382917">
        <w:rPr>
          <w:u w:val="single"/>
        </w:rPr>
        <w:t>Sh</w:t>
      </w:r>
      <w:r w:rsidR="008A073E" w:rsidRPr="00382917">
        <w:t>íráz</w:t>
      </w:r>
      <w:r w:rsidR="00EE4FC3">
        <w:t xml:space="preserve"> </w:t>
      </w:r>
      <w:r w:rsidRPr="00382917">
        <w:t>who</w:t>
      </w:r>
      <w:r w:rsidR="00EE4FC3">
        <w:t xml:space="preserve"> </w:t>
      </w:r>
      <w:r w:rsidRPr="00382917">
        <w:t>had</w:t>
      </w:r>
      <w:r w:rsidR="00EE4FC3">
        <w:t xml:space="preserve"> </w:t>
      </w:r>
      <w:r w:rsidRPr="00382917">
        <w:t>called</w:t>
      </w:r>
      <w:r w:rsidR="00EE4FC3">
        <w:t xml:space="preserve"> </w:t>
      </w:r>
      <w:r w:rsidRPr="00382917">
        <w:t>for</w:t>
      </w:r>
      <w:r w:rsidR="00EE4FC3">
        <w:t xml:space="preserve"> </w:t>
      </w:r>
      <w:r w:rsidRPr="00382917">
        <w:t>the</w:t>
      </w:r>
      <w:r w:rsidR="00EE4FC3">
        <w:t xml:space="preserve"> </w:t>
      </w:r>
      <w:r w:rsidRPr="00382917">
        <w:t>extermination</w:t>
      </w:r>
      <w:r w:rsidR="00EE4FC3">
        <w:t xml:space="preserve"> </w:t>
      </w:r>
      <w:r w:rsidRPr="00382917">
        <w:t>of</w:t>
      </w:r>
      <w:r w:rsidR="00EE4FC3">
        <w:t xml:space="preserve"> </w:t>
      </w:r>
      <w:r w:rsidRPr="00382917">
        <w:t>Vaḥíd</w:t>
      </w:r>
      <w:r w:rsidR="00EE4FC3">
        <w:t xml:space="preserve"> </w:t>
      </w:r>
      <w:r w:rsidRPr="00382917">
        <w:t>and</w:t>
      </w:r>
      <w:r w:rsidR="00EE4FC3">
        <w:t xml:space="preserve"> </w:t>
      </w:r>
      <w:r w:rsidRPr="00382917">
        <w:t>his</w:t>
      </w:r>
      <w:r w:rsidR="00EE4FC3">
        <w:t xml:space="preserve"> </w:t>
      </w:r>
      <w:r w:rsidRPr="00382917">
        <w:t>friends</w:t>
      </w:r>
      <w:r w:rsidR="0040329F">
        <w:t>.</w:t>
      </w:r>
      <w:r w:rsidR="00EE4FC3">
        <w:t xml:space="preserve">  </w:t>
      </w:r>
      <w:r w:rsidRPr="00382917">
        <w:t>They</w:t>
      </w:r>
      <w:r w:rsidR="00EE4FC3">
        <w:t xml:space="preserve"> </w:t>
      </w:r>
      <w:r w:rsidRPr="00382917">
        <w:t>were</w:t>
      </w:r>
      <w:r w:rsidR="00EE4FC3">
        <w:t xml:space="preserve"> </w:t>
      </w:r>
      <w:r w:rsidRPr="00382917">
        <w:t>to</w:t>
      </w:r>
      <w:r w:rsidR="00EE4FC3">
        <w:t xml:space="preserve"> </w:t>
      </w:r>
      <w:r w:rsidRPr="00382917">
        <w:t>be</w:t>
      </w:r>
      <w:r w:rsidR="00EE4FC3">
        <w:t xml:space="preserve"> </w:t>
      </w:r>
      <w:r w:rsidRPr="00382917">
        <w:t>proof</w:t>
      </w:r>
      <w:r w:rsidR="00EE4FC3">
        <w:t xml:space="preserve"> </w:t>
      </w:r>
      <w:r w:rsidRPr="00382917">
        <w:t>to</w:t>
      </w:r>
      <w:r w:rsidR="00EE4FC3">
        <w:t xml:space="preserve"> </w:t>
      </w:r>
      <w:r w:rsidRPr="00382917">
        <w:t>him</w:t>
      </w:r>
      <w:r w:rsidR="00EE4FC3">
        <w:t xml:space="preserve"> </w:t>
      </w:r>
      <w:r w:rsidRPr="00382917">
        <w:t>of</w:t>
      </w:r>
      <w:r w:rsidR="00EE4FC3">
        <w:t xml:space="preserve"> </w:t>
      </w:r>
      <w:r w:rsidRPr="00382917">
        <w:t>the</w:t>
      </w:r>
      <w:r w:rsidR="00EE4FC3">
        <w:t xml:space="preserve"> </w:t>
      </w:r>
      <w:r w:rsidRPr="00382917">
        <w:t>thorough</w:t>
      </w:r>
      <w:r w:rsidR="00EE4FC3">
        <w:t xml:space="preserve"> </w:t>
      </w:r>
      <w:r w:rsidRPr="00382917">
        <w:t>execution</w:t>
      </w:r>
      <w:r w:rsidR="00EE4FC3">
        <w:t xml:space="preserve"> </w:t>
      </w:r>
      <w:r w:rsidRPr="00382917">
        <w:t>of</w:t>
      </w:r>
      <w:r w:rsidR="00EE4FC3">
        <w:t xml:space="preserve"> </w:t>
      </w:r>
      <w:r w:rsidRPr="00382917">
        <w:t>his</w:t>
      </w:r>
      <w:r w:rsidR="00EE4FC3">
        <w:t xml:space="preserve"> </w:t>
      </w:r>
      <w:r w:rsidRPr="00382917">
        <w:t>commands.</w:t>
      </w:r>
    </w:p>
    <w:p w:rsidR="00B2037B" w:rsidRPr="00382917" w:rsidRDefault="00B2037B" w:rsidP="00B2037B">
      <w:pPr>
        <w:pStyle w:val="Text"/>
      </w:pPr>
      <w:r w:rsidRPr="00382917">
        <w:t>The</w:t>
      </w:r>
      <w:r w:rsidR="00EE4FC3">
        <w:t xml:space="preserve"> </w:t>
      </w:r>
      <w:r w:rsidRPr="00382917">
        <w:t>prince</w:t>
      </w:r>
      <w:r w:rsidR="00EE4FC3">
        <w:t xml:space="preserve"> </w:t>
      </w:r>
      <w:r w:rsidRPr="00382917">
        <w:t>was</w:t>
      </w:r>
      <w:r w:rsidR="00EE4FC3">
        <w:t xml:space="preserve"> </w:t>
      </w:r>
      <w:r w:rsidRPr="00382917">
        <w:t>feasting</w:t>
      </w:r>
      <w:r w:rsidR="00EE4FC3">
        <w:t xml:space="preserve"> </w:t>
      </w:r>
      <w:r w:rsidRPr="00382917">
        <w:t>when</w:t>
      </w:r>
      <w:r w:rsidR="00EE4FC3">
        <w:t xml:space="preserve"> </w:t>
      </w:r>
      <w:r w:rsidRPr="00382917">
        <w:t>the</w:t>
      </w:r>
      <w:r w:rsidR="00EE4FC3">
        <w:t xml:space="preserve"> </w:t>
      </w:r>
      <w:r w:rsidRPr="00382917">
        <w:t>caravan</w:t>
      </w:r>
      <w:r w:rsidR="00EE4FC3">
        <w:t xml:space="preserve"> </w:t>
      </w:r>
      <w:r w:rsidRPr="00382917">
        <w:t>bearing</w:t>
      </w:r>
      <w:r w:rsidR="00EE4FC3">
        <w:t xml:space="preserve"> </w:t>
      </w:r>
      <w:r w:rsidRPr="00382917">
        <w:t>these</w:t>
      </w:r>
      <w:r w:rsidR="00EE4FC3">
        <w:t xml:space="preserve"> </w:t>
      </w:r>
      <w:r w:rsidRPr="00382917">
        <w:t>awesome</w:t>
      </w:r>
      <w:r w:rsidR="00EE4FC3">
        <w:t xml:space="preserve"> </w:t>
      </w:r>
      <w:r w:rsidRPr="00382917">
        <w:t>trophies</w:t>
      </w:r>
      <w:r w:rsidR="00EE4FC3">
        <w:t xml:space="preserve"> </w:t>
      </w:r>
      <w:r w:rsidRPr="00382917">
        <w:t>arrived.</w:t>
      </w:r>
    </w:p>
    <w:p w:rsidR="00B2037B" w:rsidRPr="00382917" w:rsidRDefault="00B2037B" w:rsidP="00B2037B">
      <w:pPr>
        <w:pStyle w:val="Text"/>
      </w:pPr>
      <w:r w:rsidRPr="00382917">
        <w:t>It</w:t>
      </w:r>
      <w:r w:rsidR="00EE4FC3">
        <w:t xml:space="preserve"> </w:t>
      </w:r>
      <w:r w:rsidRPr="00382917">
        <w:t>was</w:t>
      </w:r>
      <w:r w:rsidR="00EE4FC3">
        <w:t xml:space="preserve"> </w:t>
      </w:r>
      <w:r w:rsidRPr="00382917">
        <w:t>a</w:t>
      </w:r>
      <w:r w:rsidR="00EE4FC3">
        <w:t xml:space="preserve"> </w:t>
      </w:r>
      <w:r w:rsidRPr="00382917">
        <w:t>festival</w:t>
      </w:r>
      <w:r w:rsidR="00EE4FC3">
        <w:t xml:space="preserve"> </w:t>
      </w:r>
      <w:r w:rsidRPr="00382917">
        <w:t>day</w:t>
      </w:r>
      <w:r w:rsidR="00EE4FC3">
        <w:t xml:space="preserve"> </w:t>
      </w:r>
      <w:r w:rsidRPr="00382917">
        <w:t>in</w:t>
      </w:r>
      <w:r w:rsidR="00EE4FC3">
        <w:t xml:space="preserve"> </w:t>
      </w:r>
      <w:r w:rsidR="008A073E" w:rsidRPr="00382917">
        <w:rPr>
          <w:u w:val="single"/>
        </w:rPr>
        <w:t>Sh</w:t>
      </w:r>
      <w:r w:rsidR="008A073E" w:rsidRPr="00382917">
        <w:t>íráz</w:t>
      </w:r>
      <w:r w:rsidR="0040329F">
        <w:t>.</w:t>
      </w:r>
      <w:r w:rsidR="00EE4FC3">
        <w:t xml:space="preserve">  </w:t>
      </w:r>
      <w:r w:rsidR="009C713D" w:rsidRPr="00382917">
        <w:t>“</w:t>
      </w:r>
      <w:r w:rsidRPr="00382917">
        <w:t>The</w:t>
      </w:r>
      <w:r w:rsidR="00EE4FC3">
        <w:t xml:space="preserve"> </w:t>
      </w:r>
      <w:r w:rsidRPr="00382917">
        <w:t>bazaars</w:t>
      </w:r>
      <w:r w:rsidR="00EE4FC3">
        <w:t xml:space="preserve"> </w:t>
      </w:r>
      <w:r w:rsidRPr="00382917">
        <w:t>were</w:t>
      </w:r>
      <w:r w:rsidR="00EE4FC3">
        <w:t xml:space="preserve"> </w:t>
      </w:r>
      <w:r w:rsidRPr="00382917">
        <w:t>adorned</w:t>
      </w:r>
      <w:r w:rsidR="00EE4FC3">
        <w:t xml:space="preserve"> </w:t>
      </w:r>
      <w:r w:rsidRPr="00382917">
        <w:t>with</w:t>
      </w:r>
      <w:r w:rsidR="00EE4FC3">
        <w:t xml:space="preserve"> </w:t>
      </w:r>
      <w:r w:rsidRPr="00382917">
        <w:t>flags—joy</w:t>
      </w:r>
      <w:r w:rsidR="00EE4FC3">
        <w:t xml:space="preserve"> </w:t>
      </w:r>
      <w:r w:rsidRPr="00382917">
        <w:t>was</w:t>
      </w:r>
      <w:r w:rsidR="00EE4FC3">
        <w:t xml:space="preserve"> </w:t>
      </w:r>
      <w:r w:rsidRPr="00382917">
        <w:t>general</w:t>
      </w:r>
      <w:r w:rsidR="0040329F">
        <w:t>.</w:t>
      </w:r>
      <w:r w:rsidR="00EE4FC3">
        <w:t xml:space="preserve">  </w:t>
      </w:r>
      <w:r w:rsidRPr="00382917">
        <w:t>Suddenly,</w:t>
      </w:r>
      <w:r w:rsidR="00EE4FC3">
        <w:t xml:space="preserve"> </w:t>
      </w:r>
      <w:r w:rsidRPr="00382917">
        <w:t>there</w:t>
      </w:r>
      <w:r w:rsidR="00EE4FC3">
        <w:t xml:space="preserve"> </w:t>
      </w:r>
      <w:r w:rsidRPr="00382917">
        <w:t>was</w:t>
      </w:r>
      <w:r w:rsidR="00EE4FC3">
        <w:t xml:space="preserve"> </w:t>
      </w:r>
      <w:r w:rsidRPr="00382917">
        <w:t>absolute</w:t>
      </w:r>
      <w:r w:rsidR="00EE4FC3">
        <w:t xml:space="preserve"> </w:t>
      </w:r>
      <w:r w:rsidRPr="00382917">
        <w:t>silence</w:t>
      </w:r>
      <w:r w:rsidR="0040329F">
        <w:t>.</w:t>
      </w:r>
      <w:r w:rsidR="00EE4FC3">
        <w:t xml:space="preserve">  </w:t>
      </w:r>
      <w:r w:rsidRPr="00382917">
        <w:t>They</w:t>
      </w:r>
      <w:r w:rsidR="00EE4FC3">
        <w:t xml:space="preserve"> </w:t>
      </w:r>
      <w:r w:rsidRPr="00382917">
        <w:t>saw</w:t>
      </w:r>
      <w:r w:rsidR="00EE4FC3">
        <w:t xml:space="preserve"> </w:t>
      </w:r>
      <w:r w:rsidRPr="00382917">
        <w:t>coming</w:t>
      </w:r>
      <w:r w:rsidR="00EE4FC3">
        <w:t xml:space="preserve"> </w:t>
      </w:r>
      <w:r w:rsidRPr="00382917">
        <w:t>thirty-two</w:t>
      </w:r>
      <w:r w:rsidR="00EE4FC3">
        <w:t xml:space="preserve"> </w:t>
      </w:r>
      <w:r w:rsidRPr="00382917">
        <w:t>camels,</w:t>
      </w:r>
      <w:r w:rsidR="00EE4FC3">
        <w:t xml:space="preserve"> </w:t>
      </w:r>
      <w:r w:rsidRPr="00382917">
        <w:t>each</w:t>
      </w:r>
      <w:r w:rsidR="00EE4FC3">
        <w:t xml:space="preserve"> </w:t>
      </w:r>
      <w:r w:rsidRPr="00382917">
        <w:t>carrying</w:t>
      </w:r>
      <w:r w:rsidR="00EE4FC3">
        <w:t xml:space="preserve"> </w:t>
      </w:r>
      <w:r w:rsidRPr="00382917">
        <w:t>an</w:t>
      </w:r>
      <w:r w:rsidR="00EE4FC3">
        <w:t xml:space="preserve"> </w:t>
      </w:r>
      <w:r w:rsidRPr="00382917">
        <w:t>unfortunate</w:t>
      </w:r>
      <w:r w:rsidR="00EE4FC3">
        <w:t xml:space="preserve"> </w:t>
      </w:r>
      <w:r w:rsidRPr="00382917">
        <w:t>prisoner,</w:t>
      </w:r>
      <w:r w:rsidR="00EE4FC3">
        <w:t xml:space="preserve"> </w:t>
      </w:r>
      <w:r w:rsidRPr="00382917">
        <w:t>a</w:t>
      </w:r>
      <w:r w:rsidR="00EE4FC3">
        <w:t xml:space="preserve"> </w:t>
      </w:r>
      <w:r w:rsidRPr="00382917">
        <w:t>woman</w:t>
      </w:r>
      <w:r w:rsidR="00EE4FC3">
        <w:t xml:space="preserve"> </w:t>
      </w:r>
      <w:r w:rsidRPr="00382917">
        <w:t>or</w:t>
      </w:r>
      <w:r w:rsidR="00EE4FC3">
        <w:t xml:space="preserve"> </w:t>
      </w:r>
      <w:r w:rsidRPr="00382917">
        <w:t>child,</w:t>
      </w:r>
      <w:r w:rsidR="00EE4FC3">
        <w:t xml:space="preserve"> </w:t>
      </w:r>
      <w:r w:rsidRPr="00382917">
        <w:t>bound</w:t>
      </w:r>
      <w:r w:rsidR="00EE4FC3">
        <w:t xml:space="preserve"> </w:t>
      </w:r>
      <w:r w:rsidRPr="00382917">
        <w:t>and</w:t>
      </w:r>
      <w:r w:rsidR="00EE4FC3">
        <w:t xml:space="preserve"> </w:t>
      </w:r>
      <w:r w:rsidRPr="00382917">
        <w:t>thrown</w:t>
      </w:r>
      <w:r w:rsidR="00EE4FC3">
        <w:t xml:space="preserve"> </w:t>
      </w:r>
      <w:r w:rsidRPr="00382917">
        <w:t>crosswise</w:t>
      </w:r>
      <w:r w:rsidR="00EE4FC3">
        <w:t xml:space="preserve"> </w:t>
      </w:r>
      <w:r w:rsidRPr="00382917">
        <w:t>over</w:t>
      </w:r>
      <w:r w:rsidR="00EE4FC3">
        <w:t xml:space="preserve"> </w:t>
      </w:r>
      <w:r w:rsidRPr="00382917">
        <w:t>the</w:t>
      </w:r>
      <w:r w:rsidR="00EE4FC3">
        <w:t xml:space="preserve"> </w:t>
      </w:r>
      <w:r w:rsidRPr="00382917">
        <w:t>saddle</w:t>
      </w:r>
      <w:r w:rsidR="00EE4FC3">
        <w:t xml:space="preserve"> </w:t>
      </w:r>
      <w:r w:rsidRPr="00382917">
        <w:t>like</w:t>
      </w:r>
      <w:r w:rsidR="00EE4FC3">
        <w:t xml:space="preserve"> </w:t>
      </w:r>
      <w:r w:rsidRPr="00382917">
        <w:t>a</w:t>
      </w:r>
      <w:r w:rsidR="00EE4FC3">
        <w:t xml:space="preserve"> </w:t>
      </w:r>
      <w:r w:rsidRPr="00382917">
        <w:t>bundle</w:t>
      </w:r>
      <w:r w:rsidR="0040329F">
        <w:t>.</w:t>
      </w:r>
      <w:r w:rsidR="00EE4FC3">
        <w:t xml:space="preserve">  </w:t>
      </w:r>
      <w:r w:rsidRPr="00382917">
        <w:t>All</w:t>
      </w:r>
      <w:r w:rsidR="00EE4FC3">
        <w:t xml:space="preserve"> </w:t>
      </w:r>
      <w:r w:rsidRPr="00382917">
        <w:t>around</w:t>
      </w:r>
      <w:r w:rsidR="00EE4FC3">
        <w:t xml:space="preserve"> </w:t>
      </w:r>
      <w:r w:rsidRPr="00382917">
        <w:t>them</w:t>
      </w:r>
      <w:r w:rsidR="00EE4FC3">
        <w:t xml:space="preserve"> </w:t>
      </w:r>
      <w:r w:rsidRPr="00382917">
        <w:t>were</w:t>
      </w:r>
      <w:r w:rsidR="00EE4FC3">
        <w:t xml:space="preserve"> </w:t>
      </w:r>
      <w:r w:rsidRPr="00382917">
        <w:t>soldiers</w:t>
      </w:r>
      <w:r w:rsidR="00EE4FC3">
        <w:t xml:space="preserve"> </w:t>
      </w:r>
      <w:r w:rsidRPr="00382917">
        <w:t>carrying</w:t>
      </w:r>
      <w:r w:rsidR="00EE4FC3">
        <w:t xml:space="preserve"> </w:t>
      </w:r>
      <w:r w:rsidRPr="00382917">
        <w:t>long</w:t>
      </w:r>
      <w:r w:rsidR="00EE4FC3">
        <w:t xml:space="preserve"> </w:t>
      </w:r>
      <w:r w:rsidRPr="00382917">
        <w:t>lances</w:t>
      </w:r>
      <w:r w:rsidR="00EE4FC3">
        <w:t xml:space="preserve"> </w:t>
      </w:r>
      <w:r w:rsidRPr="00382917">
        <w:t>and</w:t>
      </w:r>
      <w:r w:rsidR="00EE4FC3">
        <w:t xml:space="preserve"> </w:t>
      </w:r>
      <w:r w:rsidRPr="00382917">
        <w:t>upon</w:t>
      </w:r>
      <w:r w:rsidR="00EE4FC3">
        <w:t xml:space="preserve"> </w:t>
      </w:r>
      <w:r w:rsidRPr="00382917">
        <w:t>each</w:t>
      </w:r>
      <w:r w:rsidR="00EE4FC3">
        <w:t xml:space="preserve"> </w:t>
      </w:r>
      <w:r w:rsidRPr="00382917">
        <w:t>lance</w:t>
      </w:r>
      <w:r w:rsidR="00EE4FC3">
        <w:t xml:space="preserve"> </w:t>
      </w:r>
      <w:r w:rsidRPr="00382917">
        <w:t>was</w:t>
      </w:r>
      <w:r w:rsidR="00EE4FC3">
        <w:t xml:space="preserve"> </w:t>
      </w:r>
      <w:r w:rsidRPr="00382917">
        <w:t>impaled</w:t>
      </w:r>
      <w:r w:rsidR="00EE4FC3">
        <w:t xml:space="preserve"> </w:t>
      </w:r>
      <w:r w:rsidRPr="00382917">
        <w:t>the</w:t>
      </w:r>
      <w:r w:rsidR="00EE4FC3">
        <w:t xml:space="preserve"> </w:t>
      </w:r>
      <w:r w:rsidRPr="00382917">
        <w:t>head</w:t>
      </w:r>
      <w:r w:rsidR="00EE4FC3">
        <w:t xml:space="preserve"> </w:t>
      </w:r>
      <w:r w:rsidRPr="00382917">
        <w:t>of</w:t>
      </w:r>
      <w:r w:rsidR="00EE4FC3">
        <w:t xml:space="preserve"> </w:t>
      </w:r>
      <w:r w:rsidRPr="00382917">
        <w:t>a</w:t>
      </w:r>
      <w:r w:rsidR="00EE4FC3">
        <w:t xml:space="preserve"> </w:t>
      </w:r>
      <w:r w:rsidRPr="00382917">
        <w:t>follower</w:t>
      </w:r>
      <w:r w:rsidR="00EE4FC3">
        <w:t xml:space="preserve"> </w:t>
      </w:r>
      <w:r w:rsidRPr="00382917">
        <w:t>of</w:t>
      </w:r>
      <w:r w:rsidR="00EE4FC3">
        <w:t xml:space="preserve"> </w:t>
      </w:r>
      <w:r w:rsidRPr="00382917">
        <w:t>the</w:t>
      </w:r>
      <w:r w:rsidR="00EE4FC3">
        <w:t xml:space="preserve"> </w:t>
      </w:r>
      <w:r w:rsidRPr="00382917">
        <w:t>Báb</w:t>
      </w:r>
      <w:r w:rsidR="00EE4FC3">
        <w:t xml:space="preserve"> </w:t>
      </w:r>
      <w:r w:rsidRPr="00382917">
        <w:t>who</w:t>
      </w:r>
      <w:r w:rsidR="00EE4FC3">
        <w:t xml:space="preserve"> </w:t>
      </w:r>
      <w:r w:rsidRPr="00382917">
        <w:t>had</w:t>
      </w:r>
      <w:r w:rsidR="00EE4FC3">
        <w:t xml:space="preserve"> </w:t>
      </w:r>
      <w:r w:rsidRPr="00382917">
        <w:t>been</w:t>
      </w:r>
      <w:r w:rsidR="00EE4FC3">
        <w:t xml:space="preserve"> </w:t>
      </w:r>
      <w:r w:rsidRPr="00382917">
        <w:t>slain</w:t>
      </w:r>
      <w:r w:rsidR="00EE4FC3">
        <w:t xml:space="preserve"> </w:t>
      </w:r>
      <w:r w:rsidRPr="00382917">
        <w:t>at</w:t>
      </w:r>
      <w:r w:rsidR="00EE4FC3">
        <w:t xml:space="preserve"> </w:t>
      </w:r>
      <w:r w:rsidRPr="00382917">
        <w:t>Nayríz</w:t>
      </w:r>
      <w:r w:rsidR="00EE4FC3">
        <w:t xml:space="preserve"> </w:t>
      </w:r>
      <w:r w:rsidR="00F04416" w:rsidRPr="00382917">
        <w:t>…</w:t>
      </w:r>
      <w:r w:rsidR="00EE4FC3">
        <w:t xml:space="preserve"> </w:t>
      </w:r>
      <w:r w:rsidRPr="00382917">
        <w:t>the</w:t>
      </w:r>
      <w:r w:rsidR="00EE4FC3">
        <w:t xml:space="preserve"> </w:t>
      </w:r>
      <w:r w:rsidRPr="00382917">
        <w:t>sight</w:t>
      </w:r>
      <w:r w:rsidR="00EE4FC3">
        <w:t xml:space="preserve"> </w:t>
      </w:r>
      <w:r w:rsidRPr="00382917">
        <w:t>deeply</w:t>
      </w:r>
      <w:r w:rsidR="00EE4FC3">
        <w:t xml:space="preserve"> </w:t>
      </w:r>
      <w:r w:rsidRPr="00382917">
        <w:t>affected</w:t>
      </w:r>
      <w:r w:rsidR="00EE4FC3">
        <w:t xml:space="preserve"> </w:t>
      </w:r>
      <w:r w:rsidRPr="00382917">
        <w:t>the</w:t>
      </w:r>
      <w:r w:rsidR="00EE4FC3">
        <w:t xml:space="preserve"> </w:t>
      </w:r>
      <w:r w:rsidRPr="00382917">
        <w:t>holiday</w:t>
      </w:r>
      <w:r w:rsidR="00EE4FC3">
        <w:t xml:space="preserve"> </w:t>
      </w:r>
      <w:r w:rsidRPr="00382917">
        <w:t>population</w:t>
      </w:r>
      <w:r w:rsidR="00EE4FC3">
        <w:t xml:space="preserve"> </w:t>
      </w:r>
      <w:r w:rsidRPr="00382917">
        <w:t>of</w:t>
      </w:r>
      <w:r w:rsidR="00EE4FC3">
        <w:t xml:space="preserve"> </w:t>
      </w:r>
      <w:r w:rsidR="008A073E" w:rsidRPr="00382917">
        <w:rPr>
          <w:u w:val="single"/>
        </w:rPr>
        <w:t>Sh</w:t>
      </w:r>
      <w:r w:rsidR="008A073E" w:rsidRPr="00382917">
        <w:t>íráz</w:t>
      </w:r>
      <w:r w:rsidRPr="00382917">
        <w:t>,</w:t>
      </w:r>
      <w:r w:rsidR="00EE4FC3">
        <w:t xml:space="preserve"> </w:t>
      </w:r>
      <w:r w:rsidRPr="00382917">
        <w:t>and</w:t>
      </w:r>
      <w:r w:rsidR="00EE4FC3">
        <w:t xml:space="preserve"> </w:t>
      </w:r>
      <w:r w:rsidRPr="00382917">
        <w:t>they</w:t>
      </w:r>
      <w:r w:rsidR="00EE4FC3">
        <w:t xml:space="preserve"> </w:t>
      </w:r>
      <w:r w:rsidRPr="00382917">
        <w:t>returned</w:t>
      </w:r>
      <w:r w:rsidR="00EE4FC3">
        <w:t xml:space="preserve"> </w:t>
      </w:r>
      <w:r w:rsidRPr="00382917">
        <w:t>saddened</w:t>
      </w:r>
      <w:r w:rsidR="00EE4FC3">
        <w:t xml:space="preserve"> </w:t>
      </w:r>
      <w:r w:rsidRPr="00382917">
        <w:t>to</w:t>
      </w:r>
      <w:r w:rsidR="00EE4FC3">
        <w:t xml:space="preserve"> </w:t>
      </w:r>
      <w:r w:rsidRPr="00382917">
        <w:t>their</w:t>
      </w:r>
      <w:r w:rsidR="00EE4FC3">
        <w:t xml:space="preserve"> </w:t>
      </w:r>
      <w:r w:rsidRPr="00382917">
        <w:t>dwellings.</w:t>
      </w:r>
    </w:p>
    <w:p w:rsidR="00B2037B" w:rsidRPr="00382917" w:rsidRDefault="009C713D" w:rsidP="00FC0A98">
      <w:pPr>
        <w:pStyle w:val="Text"/>
      </w:pPr>
      <w:r w:rsidRPr="00382917">
        <w:t>“</w:t>
      </w:r>
      <w:r w:rsidR="00B2037B" w:rsidRPr="00382917">
        <w:t>The</w:t>
      </w:r>
      <w:r w:rsidR="00EE4FC3">
        <w:t xml:space="preserve"> </w:t>
      </w:r>
      <w:r w:rsidR="00B2037B" w:rsidRPr="00382917">
        <w:t>horrible</w:t>
      </w:r>
      <w:r w:rsidR="00EE4FC3">
        <w:t xml:space="preserve"> </w:t>
      </w:r>
      <w:r w:rsidR="00B2037B" w:rsidRPr="00382917">
        <w:t>caravan</w:t>
      </w:r>
      <w:r w:rsidR="00EE4FC3">
        <w:t xml:space="preserve"> </w:t>
      </w:r>
      <w:r w:rsidR="00B2037B" w:rsidRPr="00382917">
        <w:t>passed</w:t>
      </w:r>
      <w:r w:rsidR="00EE4FC3">
        <w:t xml:space="preserve"> </w:t>
      </w:r>
      <w:r w:rsidR="00B2037B" w:rsidRPr="00382917">
        <w:t>through</w:t>
      </w:r>
      <w:r w:rsidR="00EE4FC3">
        <w:t xml:space="preserve"> </w:t>
      </w:r>
      <w:r w:rsidR="00B2037B" w:rsidRPr="00382917">
        <w:t>the</w:t>
      </w:r>
      <w:r w:rsidR="00EE4FC3">
        <w:t xml:space="preserve"> </w:t>
      </w:r>
      <w:r w:rsidR="00B2037B" w:rsidRPr="00382917">
        <w:t>bazaars</w:t>
      </w:r>
      <w:r w:rsidR="00EE4FC3">
        <w:t xml:space="preserve"> </w:t>
      </w:r>
      <w:r w:rsidR="00B2037B" w:rsidRPr="00382917">
        <w:t>and</w:t>
      </w:r>
      <w:r w:rsidR="00EE4FC3">
        <w:t xml:space="preserve"> </w:t>
      </w:r>
      <w:r w:rsidR="00B2037B" w:rsidRPr="00382917">
        <w:t>continued</w:t>
      </w:r>
      <w:r w:rsidR="00EE4FC3">
        <w:t xml:space="preserve"> </w:t>
      </w:r>
      <w:r w:rsidR="00B2037B" w:rsidRPr="00382917">
        <w:t>to</w:t>
      </w:r>
      <w:r w:rsidR="00EE4FC3">
        <w:t xml:space="preserve"> </w:t>
      </w:r>
      <w:r w:rsidR="00B2037B" w:rsidRPr="00382917">
        <w:t>the</w:t>
      </w:r>
      <w:r w:rsidR="00EE4FC3">
        <w:t xml:space="preserve"> </w:t>
      </w:r>
      <w:r w:rsidR="00B2037B" w:rsidRPr="00382917">
        <w:t>palace</w:t>
      </w:r>
      <w:r w:rsidR="00EE4FC3">
        <w:t xml:space="preserve"> </w:t>
      </w:r>
      <w:r w:rsidR="00B2037B" w:rsidRPr="00382917">
        <w:t>of</w:t>
      </w:r>
      <w:r w:rsidR="00EE4FC3">
        <w:t xml:space="preserve"> </w:t>
      </w:r>
      <w:r w:rsidR="00B2037B" w:rsidRPr="00382917">
        <w:t>the</w:t>
      </w:r>
      <w:r w:rsidR="00EE4FC3">
        <w:t xml:space="preserve"> </w:t>
      </w:r>
      <w:r w:rsidR="00B2037B" w:rsidRPr="00382917">
        <w:t>governor</w:t>
      </w:r>
      <w:r w:rsidR="0040329F">
        <w:t>.</w:t>
      </w:r>
      <w:r w:rsidR="00EE4FC3">
        <w:t xml:space="preserve">  </w:t>
      </w:r>
      <w:r w:rsidR="00B2037B" w:rsidRPr="00382917">
        <w:t>This</w:t>
      </w:r>
      <w:r w:rsidR="00EE4FC3">
        <w:t xml:space="preserve"> </w:t>
      </w:r>
      <w:r w:rsidR="00B2037B" w:rsidRPr="00382917">
        <w:t>personage</w:t>
      </w:r>
      <w:r w:rsidR="00EE4FC3">
        <w:t xml:space="preserve"> </w:t>
      </w:r>
      <w:r w:rsidR="00B2037B" w:rsidRPr="00382917">
        <w:t>was</w:t>
      </w:r>
      <w:r w:rsidR="00EE4FC3">
        <w:t xml:space="preserve"> </w:t>
      </w:r>
      <w:r w:rsidR="00B2037B" w:rsidRPr="00382917">
        <w:t>in</w:t>
      </w:r>
      <w:r w:rsidR="00EE4FC3">
        <w:t xml:space="preserve"> </w:t>
      </w:r>
      <w:r w:rsidR="00B2037B" w:rsidRPr="00382917">
        <w:t>his</w:t>
      </w:r>
      <w:r w:rsidR="00EE4FC3">
        <w:t xml:space="preserve"> </w:t>
      </w:r>
      <w:r w:rsidR="00B2037B" w:rsidRPr="00382917">
        <w:t>garden</w:t>
      </w:r>
      <w:r w:rsidR="00EE4FC3">
        <w:t xml:space="preserve"> </w:t>
      </w:r>
      <w:r w:rsidR="00B2037B" w:rsidRPr="00382917">
        <w:t>where</w:t>
      </w:r>
      <w:r w:rsidR="00EE4FC3">
        <w:t xml:space="preserve"> </w:t>
      </w:r>
      <w:r w:rsidR="00B2037B" w:rsidRPr="00382917">
        <w:t>he</w:t>
      </w:r>
      <w:r w:rsidR="00EE4FC3">
        <w:t xml:space="preserve"> </w:t>
      </w:r>
      <w:r w:rsidR="00B2037B" w:rsidRPr="00382917">
        <w:t>had</w:t>
      </w:r>
      <w:r w:rsidR="00EE4FC3">
        <w:t xml:space="preserve"> </w:t>
      </w:r>
      <w:r w:rsidR="00B2037B" w:rsidRPr="00382917">
        <w:t>gathered</w:t>
      </w:r>
      <w:r w:rsidR="00EE4FC3">
        <w:t xml:space="preserve"> </w:t>
      </w:r>
      <w:r w:rsidR="00F04416" w:rsidRPr="00382917">
        <w:t>…</w:t>
      </w:r>
      <w:r w:rsidR="00EE4FC3">
        <w:t xml:space="preserve"> </w:t>
      </w:r>
      <w:r w:rsidR="00B2037B" w:rsidRPr="00382917">
        <w:t>the</w:t>
      </w:r>
      <w:r w:rsidR="00EE4FC3">
        <w:t xml:space="preserve"> </w:t>
      </w:r>
      <w:r w:rsidR="00B2037B" w:rsidRPr="00382917">
        <w:t>rich,</w:t>
      </w:r>
      <w:r w:rsidR="00EE4FC3">
        <w:t xml:space="preserve"> </w:t>
      </w:r>
      <w:r w:rsidR="00B2037B" w:rsidRPr="00382917">
        <w:t>the</w:t>
      </w:r>
      <w:r w:rsidR="00EE4FC3">
        <w:t xml:space="preserve"> </w:t>
      </w:r>
      <w:r w:rsidR="00B2037B" w:rsidRPr="00382917">
        <w:t>eminent</w:t>
      </w:r>
      <w:r w:rsidR="00EE4FC3">
        <w:t xml:space="preserve"> </w:t>
      </w:r>
      <w:r w:rsidR="00B2037B" w:rsidRPr="00382917">
        <w:t>citizens</w:t>
      </w:r>
      <w:r w:rsidR="00EE4FC3">
        <w:t xml:space="preserve"> </w:t>
      </w:r>
      <w:r w:rsidR="00B2037B" w:rsidRPr="00382917">
        <w:t>of</w:t>
      </w:r>
      <w:r w:rsidR="00EE4FC3">
        <w:t xml:space="preserve"> </w:t>
      </w:r>
      <w:r w:rsidR="008A073E" w:rsidRPr="00382917">
        <w:rPr>
          <w:u w:val="single"/>
        </w:rPr>
        <w:t>Sh</w:t>
      </w:r>
      <w:r w:rsidR="008A073E" w:rsidRPr="00382917">
        <w:t>íráz</w:t>
      </w:r>
      <w:r w:rsidR="0040329F">
        <w:t>.</w:t>
      </w:r>
      <w:r w:rsidR="00EE4FC3">
        <w:t xml:space="preserve">  </w:t>
      </w:r>
      <w:r w:rsidR="00B2037B" w:rsidRPr="00382917">
        <w:t>The</w:t>
      </w:r>
      <w:r w:rsidR="00EE4FC3">
        <w:t xml:space="preserve"> </w:t>
      </w:r>
      <w:r w:rsidR="00B2037B" w:rsidRPr="00382917">
        <w:t>music</w:t>
      </w:r>
      <w:r w:rsidR="00EE4FC3">
        <w:t xml:space="preserve"> </w:t>
      </w:r>
      <w:r w:rsidR="00B2037B" w:rsidRPr="00382917">
        <w:t>ceased,</w:t>
      </w:r>
      <w:r w:rsidR="00EE4FC3">
        <w:t xml:space="preserve"> </w:t>
      </w:r>
      <w:r w:rsidR="00B2037B" w:rsidRPr="00382917">
        <w:t>the</w:t>
      </w:r>
      <w:r w:rsidR="00EE4FC3">
        <w:t xml:space="preserve"> </w:t>
      </w:r>
      <w:r w:rsidR="00B2037B" w:rsidRPr="00382917">
        <w:t>dancing</w:t>
      </w:r>
      <w:r w:rsidR="00EE4FC3">
        <w:t xml:space="preserve"> </w:t>
      </w:r>
      <w:r w:rsidR="00B2037B" w:rsidRPr="00382917">
        <w:t>stopped.</w:t>
      </w:r>
      <w:r w:rsidRPr="00382917">
        <w:t>”</w:t>
      </w:r>
      <w:r w:rsidR="00FC0A98">
        <w:rPr>
          <w:rStyle w:val="FootnoteReference"/>
        </w:rPr>
        <w:footnoteReference w:id="174"/>
      </w:r>
    </w:p>
    <w:p w:rsidR="00B2037B" w:rsidRPr="00382917" w:rsidRDefault="00B2037B">
      <w:pPr>
        <w:widowControl/>
        <w:kinsoku/>
        <w:overflowPunct/>
        <w:textAlignment w:val="auto"/>
      </w:pPr>
      <w:r w:rsidRPr="00382917">
        <w:br w:type="page"/>
      </w:r>
    </w:p>
    <w:p w:rsidR="00B2037B" w:rsidRPr="00382917" w:rsidRDefault="00B2037B" w:rsidP="00B2037B">
      <w:pPr>
        <w:pStyle w:val="Text"/>
      </w:pPr>
      <w:proofErr w:type="spellStart"/>
      <w:r w:rsidRPr="00382917">
        <w:t>Mihr</w:t>
      </w:r>
      <w:proofErr w:type="spellEnd"/>
      <w:r w:rsidR="00EE4FC3">
        <w:t xml:space="preserve"> </w:t>
      </w:r>
      <w:r w:rsidR="009C713D" w:rsidRPr="00382917">
        <w:t>‘</w:t>
      </w:r>
      <w:r w:rsidRPr="00382917">
        <w:t>Alí</w:t>
      </w:r>
      <w:r w:rsidR="00EE4FC3">
        <w:t xml:space="preserve"> </w:t>
      </w:r>
      <w:r w:rsidR="0040329F" w:rsidRPr="0040329F">
        <w:rPr>
          <w:u w:val="single"/>
        </w:rPr>
        <w:t>Kh</w:t>
      </w:r>
      <w:r w:rsidR="0040329F" w:rsidRPr="00382917">
        <w:t>án</w:t>
      </w:r>
      <w:r w:rsidR="00EE4FC3">
        <w:t xml:space="preserve"> </w:t>
      </w:r>
      <w:r w:rsidRPr="00382917">
        <w:t>stepped</w:t>
      </w:r>
      <w:r w:rsidR="00EE4FC3">
        <w:t xml:space="preserve"> </w:t>
      </w:r>
      <w:r w:rsidRPr="00382917">
        <w:t>toward</w:t>
      </w:r>
      <w:r w:rsidR="00EE4FC3">
        <w:t xml:space="preserve"> </w:t>
      </w:r>
      <w:r w:rsidRPr="00382917">
        <w:t>the</w:t>
      </w:r>
      <w:r w:rsidR="00EE4FC3">
        <w:t xml:space="preserve"> </w:t>
      </w:r>
      <w:r w:rsidRPr="00382917">
        <w:t>prince</w:t>
      </w:r>
      <w:r w:rsidR="00EE4FC3">
        <w:t xml:space="preserve"> </w:t>
      </w:r>
      <w:r w:rsidRPr="00382917">
        <w:t>bearing</w:t>
      </w:r>
      <w:r w:rsidR="00EE4FC3">
        <w:t xml:space="preserve"> </w:t>
      </w:r>
      <w:r w:rsidRPr="00382917">
        <w:t>his</w:t>
      </w:r>
      <w:r w:rsidR="00EE4FC3">
        <w:t xml:space="preserve"> </w:t>
      </w:r>
      <w:r w:rsidRPr="00382917">
        <w:t>trophies</w:t>
      </w:r>
      <w:r w:rsidR="0040329F">
        <w:t>.</w:t>
      </w:r>
      <w:r w:rsidR="00EE4FC3">
        <w:t xml:space="preserve">  </w:t>
      </w:r>
      <w:r w:rsidRPr="00382917">
        <w:t>He</w:t>
      </w:r>
      <w:r w:rsidR="00EE4FC3">
        <w:t xml:space="preserve"> </w:t>
      </w:r>
      <w:r w:rsidRPr="00382917">
        <w:t>told</w:t>
      </w:r>
      <w:r w:rsidR="00EE4FC3">
        <w:t xml:space="preserve"> </w:t>
      </w:r>
      <w:r w:rsidRPr="00382917">
        <w:t>the</w:t>
      </w:r>
      <w:r w:rsidR="00EE4FC3">
        <w:t xml:space="preserve"> </w:t>
      </w:r>
      <w:r w:rsidRPr="00382917">
        <w:t>prince</w:t>
      </w:r>
      <w:r w:rsidR="00EE4FC3">
        <w:t xml:space="preserve"> </w:t>
      </w:r>
      <w:r w:rsidRPr="00382917">
        <w:t>of</w:t>
      </w:r>
      <w:r w:rsidR="00EE4FC3">
        <w:t xml:space="preserve"> </w:t>
      </w:r>
      <w:r w:rsidRPr="00382917">
        <w:t>his</w:t>
      </w:r>
      <w:r w:rsidR="00EE4FC3">
        <w:t xml:space="preserve"> </w:t>
      </w:r>
      <w:r w:rsidRPr="00382917">
        <w:t>own</w:t>
      </w:r>
      <w:r w:rsidR="00EE4FC3">
        <w:t xml:space="preserve"> </w:t>
      </w:r>
      <w:r w:rsidRPr="00382917">
        <w:t>brave</w:t>
      </w:r>
      <w:r w:rsidR="00EE4FC3">
        <w:t xml:space="preserve"> </w:t>
      </w:r>
      <w:r w:rsidRPr="00382917">
        <w:t>deeds</w:t>
      </w:r>
      <w:r w:rsidR="00EE4FC3">
        <w:t xml:space="preserve"> </w:t>
      </w:r>
      <w:r w:rsidRPr="00382917">
        <w:t>in</w:t>
      </w:r>
      <w:r w:rsidR="00EE4FC3">
        <w:t xml:space="preserve"> </w:t>
      </w:r>
      <w:r w:rsidRPr="00382917">
        <w:t>the</w:t>
      </w:r>
      <w:r w:rsidR="00EE4FC3">
        <w:t xml:space="preserve"> </w:t>
      </w:r>
      <w:r w:rsidRPr="00382917">
        <w:t>assault</w:t>
      </w:r>
      <w:r w:rsidR="00EE4FC3">
        <w:t xml:space="preserve"> </w:t>
      </w:r>
      <w:r w:rsidRPr="00382917">
        <w:t>upon</w:t>
      </w:r>
      <w:r w:rsidR="00EE4FC3">
        <w:t xml:space="preserve"> </w:t>
      </w:r>
      <w:r w:rsidRPr="00382917">
        <w:t>Vaḥíd</w:t>
      </w:r>
      <w:r w:rsidR="00EE4FC3">
        <w:t xml:space="preserve"> </w:t>
      </w:r>
      <w:r w:rsidRPr="00382917">
        <w:t>and</w:t>
      </w:r>
      <w:r w:rsidR="00EE4FC3">
        <w:t xml:space="preserve"> </w:t>
      </w:r>
      <w:r w:rsidRPr="00382917">
        <w:t>his</w:t>
      </w:r>
      <w:r w:rsidR="00EE4FC3">
        <w:t xml:space="preserve"> </w:t>
      </w:r>
      <w:r w:rsidRPr="00382917">
        <w:t>companions</w:t>
      </w:r>
      <w:r w:rsidR="0040329F">
        <w:t>.</w:t>
      </w:r>
      <w:r w:rsidR="00EE4FC3">
        <w:t xml:space="preserve">  </w:t>
      </w:r>
      <w:proofErr w:type="spellStart"/>
      <w:r w:rsidRPr="00382917">
        <w:t>Mihr</w:t>
      </w:r>
      <w:proofErr w:type="spellEnd"/>
      <w:r w:rsidR="00EE4FC3">
        <w:t xml:space="preserve"> </w:t>
      </w:r>
      <w:r w:rsidR="009C713D" w:rsidRPr="00382917">
        <w:t>‘</w:t>
      </w:r>
      <w:r w:rsidRPr="00382917">
        <w:t>Alí</w:t>
      </w:r>
      <w:r w:rsidR="00EE4FC3">
        <w:t xml:space="preserve"> </w:t>
      </w:r>
      <w:r w:rsidR="0040329F" w:rsidRPr="0040329F">
        <w:rPr>
          <w:u w:val="single"/>
        </w:rPr>
        <w:t>Kh</w:t>
      </w:r>
      <w:r w:rsidR="0040329F" w:rsidRPr="00382917">
        <w:t>án</w:t>
      </w:r>
      <w:r w:rsidR="00EE4FC3">
        <w:t xml:space="preserve"> </w:t>
      </w:r>
      <w:r w:rsidRPr="00382917">
        <w:t>then</w:t>
      </w:r>
      <w:r w:rsidR="00EE4FC3">
        <w:t xml:space="preserve"> </w:t>
      </w:r>
      <w:r w:rsidRPr="00382917">
        <w:t>named</w:t>
      </w:r>
      <w:r w:rsidR="00EE4FC3">
        <w:t xml:space="preserve"> </w:t>
      </w:r>
      <w:r w:rsidRPr="00382917">
        <w:t>all</w:t>
      </w:r>
      <w:r w:rsidR="00EE4FC3">
        <w:t xml:space="preserve"> </w:t>
      </w:r>
      <w:r w:rsidRPr="00382917">
        <w:t>the</w:t>
      </w:r>
      <w:r w:rsidR="00EE4FC3">
        <w:t xml:space="preserve"> </w:t>
      </w:r>
      <w:r w:rsidRPr="00382917">
        <w:t>prisoners</w:t>
      </w:r>
      <w:r w:rsidR="00EE4FC3">
        <w:t xml:space="preserve"> </w:t>
      </w:r>
      <w:r w:rsidRPr="00382917">
        <w:t>who</w:t>
      </w:r>
      <w:r w:rsidR="00EE4FC3">
        <w:t xml:space="preserve"> </w:t>
      </w:r>
      <w:r w:rsidRPr="00382917">
        <w:t>had</w:t>
      </w:r>
      <w:r w:rsidR="00EE4FC3">
        <w:t xml:space="preserve"> </w:t>
      </w:r>
      <w:r w:rsidRPr="00382917">
        <w:t>been</w:t>
      </w:r>
      <w:r w:rsidR="00EE4FC3">
        <w:t xml:space="preserve"> </w:t>
      </w:r>
      <w:r w:rsidRPr="00382917">
        <w:t>brought,</w:t>
      </w:r>
      <w:r w:rsidR="00EE4FC3">
        <w:t xml:space="preserve"> </w:t>
      </w:r>
      <w:r w:rsidRPr="00382917">
        <w:t>men,</w:t>
      </w:r>
      <w:r w:rsidR="00EE4FC3">
        <w:t xml:space="preserve"> </w:t>
      </w:r>
      <w:r w:rsidRPr="00382917">
        <w:t>women,</w:t>
      </w:r>
      <w:r w:rsidR="00EE4FC3">
        <w:t xml:space="preserve"> </w:t>
      </w:r>
      <w:r w:rsidRPr="00382917">
        <w:t>and</w:t>
      </w:r>
      <w:r w:rsidR="00EE4FC3">
        <w:t xml:space="preserve"> </w:t>
      </w:r>
      <w:r w:rsidRPr="00382917">
        <w:t>children</w:t>
      </w:r>
      <w:r w:rsidR="0040329F">
        <w:t>.</w:t>
      </w:r>
      <w:r w:rsidR="00EE4FC3">
        <w:t xml:space="preserve">  </w:t>
      </w:r>
      <w:r w:rsidRPr="00382917">
        <w:t>He</w:t>
      </w:r>
      <w:r w:rsidR="00EE4FC3">
        <w:t xml:space="preserve"> </w:t>
      </w:r>
      <w:r w:rsidRPr="00382917">
        <w:t>received</w:t>
      </w:r>
      <w:r w:rsidR="00EE4FC3">
        <w:t xml:space="preserve"> </w:t>
      </w:r>
      <w:r w:rsidRPr="00382917">
        <w:t>congratulations</w:t>
      </w:r>
      <w:r w:rsidR="00EE4FC3">
        <w:t xml:space="preserve"> </w:t>
      </w:r>
      <w:r w:rsidRPr="00382917">
        <w:t>from</w:t>
      </w:r>
      <w:r w:rsidR="00EE4FC3">
        <w:t xml:space="preserve"> </w:t>
      </w:r>
      <w:r w:rsidRPr="00382917">
        <w:t>the</w:t>
      </w:r>
      <w:r w:rsidR="00EE4FC3">
        <w:t xml:space="preserve"> </w:t>
      </w:r>
      <w:r w:rsidRPr="00382917">
        <w:t>prince</w:t>
      </w:r>
      <w:r w:rsidR="00EE4FC3">
        <w:t xml:space="preserve"> </w:t>
      </w:r>
      <w:r w:rsidRPr="00382917">
        <w:t>for</w:t>
      </w:r>
      <w:r w:rsidR="00EE4FC3">
        <w:t xml:space="preserve"> </w:t>
      </w:r>
      <w:r w:rsidRPr="00382917">
        <w:t>his</w:t>
      </w:r>
      <w:r w:rsidR="00EE4FC3">
        <w:t xml:space="preserve"> </w:t>
      </w:r>
      <w:r w:rsidRPr="00382917">
        <w:t>great</w:t>
      </w:r>
      <w:r w:rsidR="00EE4FC3">
        <w:t xml:space="preserve"> </w:t>
      </w:r>
      <w:r w:rsidRPr="00382917">
        <w:t>victory</w:t>
      </w:r>
      <w:r w:rsidR="0040329F">
        <w:t>.</w:t>
      </w:r>
      <w:r w:rsidR="00EE4FC3">
        <w:t xml:space="preserve">  </w:t>
      </w:r>
      <w:r w:rsidRPr="00382917">
        <w:t>Special</w:t>
      </w:r>
      <w:r w:rsidR="00EE4FC3">
        <w:t xml:space="preserve"> </w:t>
      </w:r>
      <w:proofErr w:type="spellStart"/>
      <w:r w:rsidRPr="00382917">
        <w:t>favors</w:t>
      </w:r>
      <w:proofErr w:type="spellEnd"/>
      <w:r w:rsidR="00EE4FC3">
        <w:t xml:space="preserve"> </w:t>
      </w:r>
      <w:r w:rsidRPr="00382917">
        <w:t>were</w:t>
      </w:r>
      <w:r w:rsidR="00EE4FC3">
        <w:t xml:space="preserve"> </w:t>
      </w:r>
      <w:r w:rsidRPr="00382917">
        <w:t>bestowed</w:t>
      </w:r>
      <w:r w:rsidR="00EE4FC3">
        <w:t xml:space="preserve"> </w:t>
      </w:r>
      <w:r w:rsidRPr="00382917">
        <w:t>upon</w:t>
      </w:r>
      <w:r w:rsidR="00EE4FC3">
        <w:t xml:space="preserve"> </w:t>
      </w:r>
      <w:proofErr w:type="spellStart"/>
      <w:r w:rsidRPr="00382917">
        <w:t>Mihr</w:t>
      </w:r>
      <w:proofErr w:type="spellEnd"/>
      <w:r w:rsidR="00EE4FC3">
        <w:t xml:space="preserve"> </w:t>
      </w:r>
      <w:r w:rsidR="009C713D" w:rsidRPr="00382917">
        <w:t>‘</w:t>
      </w:r>
      <w:r w:rsidRPr="00382917">
        <w:t>Alí</w:t>
      </w:r>
      <w:r w:rsidR="00EE4FC3">
        <w:t xml:space="preserve"> </w:t>
      </w:r>
      <w:r w:rsidR="0040329F" w:rsidRPr="0040329F">
        <w:rPr>
          <w:u w:val="single"/>
        </w:rPr>
        <w:t>Kh</w:t>
      </w:r>
      <w:r w:rsidR="0040329F" w:rsidRPr="00382917">
        <w:t>án</w:t>
      </w:r>
      <w:r w:rsidR="00EE4FC3">
        <w:t xml:space="preserve"> </w:t>
      </w:r>
      <w:r w:rsidRPr="00382917">
        <w:t>and</w:t>
      </w:r>
      <w:r w:rsidR="00EE4FC3">
        <w:t xml:space="preserve"> </w:t>
      </w:r>
      <w:r w:rsidRPr="00382917">
        <w:t>his</w:t>
      </w:r>
      <w:r w:rsidR="00EE4FC3">
        <w:t xml:space="preserve"> </w:t>
      </w:r>
      <w:r w:rsidRPr="00382917">
        <w:t>fellow</w:t>
      </w:r>
      <w:r w:rsidR="00EE4FC3">
        <w:t xml:space="preserve"> </w:t>
      </w:r>
      <w:r w:rsidRPr="00382917">
        <w:t>leaders</w:t>
      </w:r>
      <w:r w:rsidR="00EE4FC3">
        <w:t xml:space="preserve"> </w:t>
      </w:r>
      <w:r w:rsidRPr="00382917">
        <w:t>for</w:t>
      </w:r>
      <w:r w:rsidR="00EE4FC3">
        <w:t xml:space="preserve"> </w:t>
      </w:r>
      <w:r w:rsidRPr="00382917">
        <w:t>this</w:t>
      </w:r>
      <w:r w:rsidR="00EE4FC3">
        <w:t xml:space="preserve"> </w:t>
      </w:r>
      <w:r w:rsidRPr="00382917">
        <w:t>gift</w:t>
      </w:r>
      <w:r w:rsidR="00EE4FC3">
        <w:t xml:space="preserve"> </w:t>
      </w:r>
      <w:r w:rsidRPr="00382917">
        <w:t>of</w:t>
      </w:r>
      <w:r w:rsidR="00EE4FC3">
        <w:t xml:space="preserve"> </w:t>
      </w:r>
      <w:r w:rsidRPr="00382917">
        <w:t>severed</w:t>
      </w:r>
      <w:r w:rsidR="00EE4FC3">
        <w:t xml:space="preserve"> </w:t>
      </w:r>
      <w:r w:rsidRPr="00382917">
        <w:t>heads.</w:t>
      </w:r>
    </w:p>
    <w:p w:rsidR="00B2037B" w:rsidRPr="00382917" w:rsidRDefault="00B2037B" w:rsidP="0004479C">
      <w:pPr>
        <w:pStyle w:val="Text"/>
      </w:pPr>
      <w:r w:rsidRPr="00382917">
        <w:t>These</w:t>
      </w:r>
      <w:r w:rsidR="00EE4FC3">
        <w:t xml:space="preserve"> </w:t>
      </w:r>
      <w:r w:rsidRPr="00382917">
        <w:t>events</w:t>
      </w:r>
      <w:r w:rsidR="00EE4FC3">
        <w:t xml:space="preserve"> </w:t>
      </w:r>
      <w:r w:rsidRPr="00382917">
        <w:t>literally</w:t>
      </w:r>
      <w:r w:rsidR="00EE4FC3">
        <w:t xml:space="preserve"> </w:t>
      </w:r>
      <w:r w:rsidRPr="00382917">
        <w:t>fulfilled</w:t>
      </w:r>
      <w:r w:rsidR="00EE4FC3">
        <w:t xml:space="preserve"> </w:t>
      </w:r>
      <w:r w:rsidRPr="00382917">
        <w:t>the</w:t>
      </w:r>
      <w:r w:rsidR="00EE4FC3">
        <w:t xml:space="preserve"> </w:t>
      </w:r>
      <w:r w:rsidRPr="00382917">
        <w:t>well-known</w:t>
      </w:r>
      <w:r w:rsidR="00EE4FC3">
        <w:t xml:space="preserve"> </w:t>
      </w:r>
      <w:r w:rsidRPr="00382917">
        <w:t>prophecy</w:t>
      </w:r>
      <w:r w:rsidR="00EE4FC3">
        <w:t xml:space="preserve"> </w:t>
      </w:r>
      <w:r w:rsidRPr="00382917">
        <w:t>of</w:t>
      </w:r>
      <w:r w:rsidR="00EE4FC3">
        <w:t xml:space="preserve"> </w:t>
      </w:r>
      <w:r w:rsidRPr="00382917">
        <w:t>the</w:t>
      </w:r>
      <w:r w:rsidR="00EE4FC3">
        <w:t xml:space="preserve"> </w:t>
      </w:r>
      <w:r w:rsidRPr="00382917">
        <w:t>coming</w:t>
      </w:r>
      <w:r w:rsidR="00EE4FC3">
        <w:t xml:space="preserve"> </w:t>
      </w:r>
      <w:r w:rsidRPr="00382917">
        <w:t>of</w:t>
      </w:r>
      <w:r w:rsidR="00EE4FC3">
        <w:t xml:space="preserve"> </w:t>
      </w:r>
      <w:r w:rsidRPr="00382917">
        <w:t>the</w:t>
      </w:r>
      <w:r w:rsidR="00EE4FC3">
        <w:t xml:space="preserve"> </w:t>
      </w:r>
      <w:r w:rsidRPr="00382917">
        <w:t>Promised</w:t>
      </w:r>
      <w:r w:rsidR="00EE4FC3">
        <w:t xml:space="preserve"> </w:t>
      </w:r>
      <w:r w:rsidRPr="00382917">
        <w:t>One,</w:t>
      </w:r>
      <w:r w:rsidR="00EE4FC3">
        <w:t xml:space="preserve"> </w:t>
      </w:r>
      <w:r w:rsidRPr="00382917">
        <w:t>saying</w:t>
      </w:r>
      <w:r w:rsidR="00C03C91">
        <w:t>:</w:t>
      </w:r>
      <w:r w:rsidR="00EE4FC3">
        <w:t xml:space="preserve">  </w:t>
      </w:r>
      <w:r w:rsidR="009C713D" w:rsidRPr="00382917">
        <w:t>“</w:t>
      </w:r>
      <w:r w:rsidRPr="00382917">
        <w:t>In</w:t>
      </w:r>
      <w:r w:rsidR="00EE4FC3">
        <w:t xml:space="preserve"> </w:t>
      </w:r>
      <w:r w:rsidRPr="00382917">
        <w:t>Him</w:t>
      </w:r>
      <w:r w:rsidR="00EE4FC3">
        <w:t xml:space="preserve"> </w:t>
      </w:r>
      <w:r w:rsidRPr="00382917">
        <w:t>[shall</w:t>
      </w:r>
      <w:r w:rsidR="00EE4FC3">
        <w:t xml:space="preserve"> </w:t>
      </w:r>
      <w:r w:rsidRPr="00382917">
        <w:t>be]</w:t>
      </w:r>
      <w:r w:rsidR="00EE4FC3">
        <w:t xml:space="preserve"> </w:t>
      </w:r>
      <w:r w:rsidRPr="00382917">
        <w:t>the</w:t>
      </w:r>
      <w:r w:rsidR="00EE4FC3">
        <w:t xml:space="preserve"> </w:t>
      </w:r>
      <w:r w:rsidRPr="00382917">
        <w:t>perfection</w:t>
      </w:r>
      <w:r w:rsidR="00EE4FC3">
        <w:t xml:space="preserve"> </w:t>
      </w:r>
      <w:r w:rsidRPr="00382917">
        <w:t>of</w:t>
      </w:r>
      <w:r w:rsidR="00EE4FC3">
        <w:t xml:space="preserve"> </w:t>
      </w:r>
      <w:r w:rsidRPr="00382917">
        <w:t>Moses,</w:t>
      </w:r>
      <w:r w:rsidR="00EE4FC3">
        <w:t xml:space="preserve"> </w:t>
      </w:r>
      <w:r w:rsidRPr="00382917">
        <w:t>the</w:t>
      </w:r>
      <w:r w:rsidR="00EE4FC3">
        <w:t xml:space="preserve"> </w:t>
      </w:r>
      <w:r w:rsidRPr="00382917">
        <w:t>preciousness</w:t>
      </w:r>
      <w:r w:rsidR="00EE4FC3">
        <w:t xml:space="preserve"> </w:t>
      </w:r>
      <w:r w:rsidRPr="00382917">
        <w:t>of</w:t>
      </w:r>
      <w:r w:rsidR="00EE4FC3">
        <w:t xml:space="preserve"> </w:t>
      </w:r>
      <w:r w:rsidRPr="00382917">
        <w:t>Jesus,</w:t>
      </w:r>
      <w:r w:rsidR="00EE4FC3">
        <w:t xml:space="preserve"> </w:t>
      </w:r>
      <w:r w:rsidRPr="00382917">
        <w:t>and</w:t>
      </w:r>
      <w:r w:rsidR="00EE4FC3">
        <w:t xml:space="preserve"> </w:t>
      </w:r>
      <w:r w:rsidRPr="00382917">
        <w:t>the</w:t>
      </w:r>
      <w:r w:rsidR="00EE4FC3">
        <w:t xml:space="preserve"> </w:t>
      </w:r>
      <w:r w:rsidRPr="00382917">
        <w:t>patience</w:t>
      </w:r>
      <w:r w:rsidR="00EE4FC3">
        <w:t xml:space="preserve"> </w:t>
      </w:r>
      <w:r w:rsidRPr="00382917">
        <w:t>of</w:t>
      </w:r>
      <w:r w:rsidR="00EE4FC3">
        <w:t xml:space="preserve"> </w:t>
      </w:r>
      <w:r w:rsidRPr="00382917">
        <w:t>Job</w:t>
      </w:r>
      <w:r w:rsidR="0040329F">
        <w:t>.</w:t>
      </w:r>
      <w:r w:rsidR="00EE4FC3">
        <w:t xml:space="preserve">  </w:t>
      </w:r>
      <w:r w:rsidRPr="00382917">
        <w:t>His</w:t>
      </w:r>
      <w:r w:rsidR="00EE4FC3">
        <w:t xml:space="preserve"> </w:t>
      </w:r>
      <w:r w:rsidRPr="00382917">
        <w:t>saints</w:t>
      </w:r>
      <w:r w:rsidR="00EE4FC3">
        <w:t xml:space="preserve"> </w:t>
      </w:r>
      <w:r w:rsidRPr="00382917">
        <w:t>shall</w:t>
      </w:r>
      <w:r w:rsidR="00EE4FC3">
        <w:t xml:space="preserve"> </w:t>
      </w:r>
      <w:r w:rsidRPr="00382917">
        <w:t>be</w:t>
      </w:r>
      <w:r w:rsidR="00EE4FC3">
        <w:t xml:space="preserve"> </w:t>
      </w:r>
      <w:r w:rsidRPr="00382917">
        <w:t>abased</w:t>
      </w:r>
      <w:r w:rsidR="00EE4FC3">
        <w:t xml:space="preserve"> </w:t>
      </w:r>
      <w:r w:rsidRPr="00382917">
        <w:t>in</w:t>
      </w:r>
      <w:r w:rsidR="00EE4FC3">
        <w:t xml:space="preserve"> </w:t>
      </w:r>
      <w:r w:rsidRPr="00382917">
        <w:t>His</w:t>
      </w:r>
      <w:r w:rsidR="00EE4FC3">
        <w:t xml:space="preserve"> </w:t>
      </w:r>
      <w:r w:rsidRPr="00382917">
        <w:t>time,</w:t>
      </w:r>
      <w:r w:rsidR="00EE4FC3">
        <w:t xml:space="preserve"> </w:t>
      </w:r>
      <w:r w:rsidRPr="00382917">
        <w:t>and</w:t>
      </w:r>
      <w:r w:rsidR="00EE4FC3">
        <w:t xml:space="preserve"> </w:t>
      </w:r>
      <w:r w:rsidRPr="00382917">
        <w:t>their</w:t>
      </w:r>
      <w:r w:rsidR="00EE4FC3">
        <w:t xml:space="preserve"> </w:t>
      </w:r>
      <w:r w:rsidRPr="00382917">
        <w:t>heads</w:t>
      </w:r>
      <w:r w:rsidR="00EE4FC3">
        <w:t xml:space="preserve"> </w:t>
      </w:r>
      <w:r w:rsidRPr="00382917">
        <w:t>shall</w:t>
      </w:r>
      <w:r w:rsidR="00EE4FC3">
        <w:t xml:space="preserve"> </w:t>
      </w:r>
      <w:r w:rsidRPr="00382917">
        <w:t>be</w:t>
      </w:r>
      <w:r w:rsidR="00EE4FC3">
        <w:t xml:space="preserve"> </w:t>
      </w:r>
      <w:r w:rsidRPr="00382917">
        <w:t>exchanged</w:t>
      </w:r>
      <w:r w:rsidR="00EE4FC3">
        <w:t xml:space="preserve"> </w:t>
      </w:r>
      <w:r w:rsidRPr="00382917">
        <w:t>as</w:t>
      </w:r>
      <w:r w:rsidR="00EE4FC3">
        <w:t xml:space="preserve"> </w:t>
      </w:r>
      <w:r w:rsidRPr="00382917">
        <w:t>presents;</w:t>
      </w:r>
      <w:r w:rsidR="00EE4FC3">
        <w:t xml:space="preserve"> </w:t>
      </w:r>
      <w:r w:rsidRPr="00382917">
        <w:t>they</w:t>
      </w:r>
      <w:r w:rsidR="00EE4FC3">
        <w:t xml:space="preserve"> </w:t>
      </w:r>
      <w:r w:rsidRPr="00382917">
        <w:t>shall</w:t>
      </w:r>
      <w:r w:rsidR="00EE4FC3">
        <w:t xml:space="preserve"> </w:t>
      </w:r>
      <w:r w:rsidRPr="00382917">
        <w:t>be</w:t>
      </w:r>
      <w:r w:rsidR="00EE4FC3">
        <w:t xml:space="preserve"> </w:t>
      </w:r>
      <w:r w:rsidRPr="00382917">
        <w:t>slain</w:t>
      </w:r>
      <w:r w:rsidR="00EE4FC3">
        <w:t xml:space="preserve"> </w:t>
      </w:r>
      <w:r w:rsidRPr="00382917">
        <w:t>and</w:t>
      </w:r>
      <w:r w:rsidR="00EE4FC3">
        <w:t xml:space="preserve"> </w:t>
      </w:r>
      <w:r w:rsidRPr="00382917">
        <w:t>burned;</w:t>
      </w:r>
      <w:r w:rsidR="00EE4FC3">
        <w:t xml:space="preserve"> </w:t>
      </w:r>
      <w:r w:rsidRPr="00382917">
        <w:t>the</w:t>
      </w:r>
      <w:r w:rsidR="00EE4FC3">
        <w:t xml:space="preserve"> </w:t>
      </w:r>
      <w:r w:rsidRPr="00382917">
        <w:t>earth</w:t>
      </w:r>
      <w:r w:rsidR="00EE4FC3">
        <w:t xml:space="preserve"> </w:t>
      </w:r>
      <w:r w:rsidRPr="00382917">
        <w:t>shall</w:t>
      </w:r>
      <w:r w:rsidR="00EE4FC3">
        <w:t xml:space="preserve"> </w:t>
      </w:r>
      <w:r w:rsidRPr="00382917">
        <w:t>be</w:t>
      </w:r>
      <w:r w:rsidR="00EE4FC3">
        <w:t xml:space="preserve"> </w:t>
      </w:r>
      <w:r w:rsidRPr="00382917">
        <w:t>dyed</w:t>
      </w:r>
      <w:r w:rsidR="00EE4FC3">
        <w:t xml:space="preserve"> </w:t>
      </w:r>
      <w:r w:rsidRPr="00382917">
        <w:t>with</w:t>
      </w:r>
      <w:r w:rsidR="00EE4FC3">
        <w:t xml:space="preserve"> </w:t>
      </w:r>
      <w:r w:rsidRPr="00382917">
        <w:t>their</w:t>
      </w:r>
      <w:r w:rsidR="00EE4FC3">
        <w:t xml:space="preserve"> </w:t>
      </w:r>
      <w:proofErr w:type="gramStart"/>
      <w:r w:rsidRPr="00382917">
        <w:t>blood,</w:t>
      </w:r>
      <w:proofErr w:type="gramEnd"/>
      <w:r w:rsidR="00EE4FC3">
        <w:t xml:space="preserve"> </w:t>
      </w:r>
      <w:r w:rsidRPr="00382917">
        <w:t>and</w:t>
      </w:r>
      <w:r w:rsidR="00EE4FC3">
        <w:t xml:space="preserve"> </w:t>
      </w:r>
      <w:r w:rsidRPr="00382917">
        <w:t>lamentation</w:t>
      </w:r>
      <w:r w:rsidR="00EE4FC3">
        <w:t xml:space="preserve"> </w:t>
      </w:r>
      <w:r w:rsidRPr="00382917">
        <w:t>and</w:t>
      </w:r>
      <w:r w:rsidR="00EE4FC3">
        <w:t xml:space="preserve"> </w:t>
      </w:r>
      <w:r w:rsidRPr="00382917">
        <w:t>wailing</w:t>
      </w:r>
      <w:r w:rsidR="00EE4FC3">
        <w:t xml:space="preserve"> </w:t>
      </w:r>
      <w:r w:rsidRPr="00382917">
        <w:t>shall</w:t>
      </w:r>
      <w:r w:rsidR="00EE4FC3">
        <w:t xml:space="preserve"> </w:t>
      </w:r>
      <w:r w:rsidRPr="00382917">
        <w:t>prevail</w:t>
      </w:r>
      <w:r w:rsidR="00EE4FC3">
        <w:t xml:space="preserve"> </w:t>
      </w:r>
      <w:r w:rsidRPr="00382917">
        <w:t>amongst</w:t>
      </w:r>
      <w:r w:rsidR="00EE4FC3">
        <w:t xml:space="preserve"> </w:t>
      </w:r>
      <w:r w:rsidRPr="00382917">
        <w:t>their</w:t>
      </w:r>
      <w:r w:rsidR="00EE4FC3">
        <w:t xml:space="preserve"> </w:t>
      </w:r>
      <w:r w:rsidRPr="00382917">
        <w:t>women;</w:t>
      </w:r>
      <w:r w:rsidR="00EE4FC3">
        <w:t xml:space="preserve"> </w:t>
      </w:r>
      <w:r w:rsidRPr="00382917">
        <w:t>these</w:t>
      </w:r>
      <w:r w:rsidR="00EE4FC3">
        <w:t xml:space="preserve"> </w:t>
      </w:r>
      <w:r w:rsidRPr="00382917">
        <w:t>are</w:t>
      </w:r>
      <w:r w:rsidR="00EE4FC3">
        <w:t xml:space="preserve"> </w:t>
      </w:r>
      <w:r w:rsidRPr="00382917">
        <w:t>my</w:t>
      </w:r>
      <w:r w:rsidR="00EE4FC3">
        <w:t xml:space="preserve"> </w:t>
      </w:r>
      <w:r w:rsidRPr="00382917">
        <w:t>saints</w:t>
      </w:r>
      <w:r w:rsidR="00EE4FC3">
        <w:t xml:space="preserve"> </w:t>
      </w:r>
      <w:r w:rsidRPr="00382917">
        <w:t>indeed.</w:t>
      </w:r>
      <w:r w:rsidR="009C713D" w:rsidRPr="00382917">
        <w:t>”</w:t>
      </w:r>
      <w:r w:rsidR="0004479C">
        <w:rPr>
          <w:rStyle w:val="FootnoteReference"/>
        </w:rPr>
        <w:footnoteReference w:id="175"/>
      </w:r>
    </w:p>
    <w:p w:rsidR="00B2037B" w:rsidRPr="00382917" w:rsidRDefault="00B2037B" w:rsidP="00B2037B">
      <w:pPr>
        <w:pStyle w:val="Text"/>
      </w:pPr>
      <w:r w:rsidRPr="00382917">
        <w:t>The</w:t>
      </w:r>
      <w:r w:rsidR="00EE4FC3">
        <w:t xml:space="preserve"> </w:t>
      </w:r>
      <w:r w:rsidRPr="00382917">
        <w:t>governor</w:t>
      </w:r>
      <w:r w:rsidR="00EE4FC3">
        <w:t xml:space="preserve"> </w:t>
      </w:r>
      <w:r w:rsidRPr="00382917">
        <w:t>of</w:t>
      </w:r>
      <w:r w:rsidR="00EE4FC3">
        <w:t xml:space="preserve"> </w:t>
      </w:r>
      <w:r w:rsidRPr="00382917">
        <w:t>Nayríz</w:t>
      </w:r>
      <w:r w:rsidR="00EE4FC3">
        <w:t xml:space="preserve"> </w:t>
      </w:r>
      <w:r w:rsidRPr="00382917">
        <w:t>was</w:t>
      </w:r>
      <w:r w:rsidR="00EE4FC3">
        <w:t xml:space="preserve"> </w:t>
      </w:r>
      <w:r w:rsidRPr="00382917">
        <w:t>still</w:t>
      </w:r>
      <w:r w:rsidR="00EE4FC3">
        <w:t xml:space="preserve"> </w:t>
      </w:r>
      <w:r w:rsidRPr="00382917">
        <w:t>not</w:t>
      </w:r>
      <w:r w:rsidR="00EE4FC3">
        <w:t xml:space="preserve"> </w:t>
      </w:r>
      <w:r w:rsidRPr="00382917">
        <w:t>satisfied</w:t>
      </w:r>
      <w:r w:rsidR="0040329F">
        <w:t>.</w:t>
      </w:r>
      <w:r w:rsidR="00EE4FC3">
        <w:t xml:space="preserve">  </w:t>
      </w:r>
      <w:r w:rsidRPr="00382917">
        <w:t>He</w:t>
      </w:r>
      <w:r w:rsidR="00EE4FC3">
        <w:t xml:space="preserve"> </w:t>
      </w:r>
      <w:r w:rsidRPr="00382917">
        <w:t>hungered</w:t>
      </w:r>
      <w:r w:rsidR="00EE4FC3">
        <w:t xml:space="preserve"> </w:t>
      </w:r>
      <w:r w:rsidRPr="00382917">
        <w:t>for</w:t>
      </w:r>
      <w:r w:rsidR="00EE4FC3">
        <w:t xml:space="preserve"> </w:t>
      </w:r>
      <w:r w:rsidRPr="00382917">
        <w:t>even</w:t>
      </w:r>
      <w:r w:rsidR="00EE4FC3">
        <w:t xml:space="preserve"> </w:t>
      </w:r>
      <w:r w:rsidRPr="00382917">
        <w:t>greater</w:t>
      </w:r>
      <w:r w:rsidR="00EE4FC3">
        <w:t xml:space="preserve"> </w:t>
      </w:r>
      <w:r w:rsidRPr="00382917">
        <w:t>revenge</w:t>
      </w:r>
      <w:r w:rsidR="00EE4FC3">
        <w:t xml:space="preserve"> </w:t>
      </w:r>
      <w:r w:rsidRPr="00382917">
        <w:t>upon</w:t>
      </w:r>
      <w:r w:rsidR="00EE4FC3">
        <w:t xml:space="preserve"> </w:t>
      </w:r>
      <w:r w:rsidRPr="00382917">
        <w:t>those</w:t>
      </w:r>
      <w:r w:rsidR="00EE4FC3">
        <w:t xml:space="preserve"> </w:t>
      </w:r>
      <w:r w:rsidRPr="00382917">
        <w:t>who</w:t>
      </w:r>
      <w:r w:rsidR="00EE4FC3">
        <w:t xml:space="preserve"> </w:t>
      </w:r>
      <w:r w:rsidRPr="00382917">
        <w:t>had</w:t>
      </w:r>
      <w:r w:rsidR="00EE4FC3">
        <w:t xml:space="preserve"> </w:t>
      </w:r>
      <w:r w:rsidRPr="00382917">
        <w:t>survived</w:t>
      </w:r>
      <w:r w:rsidR="00EE4FC3">
        <w:t xml:space="preserve"> </w:t>
      </w:r>
      <w:r w:rsidRPr="00382917">
        <w:t>his</w:t>
      </w:r>
      <w:r w:rsidR="00EE4FC3">
        <w:t xml:space="preserve"> </w:t>
      </w:r>
      <w:r w:rsidRPr="00382917">
        <w:t>betrayal</w:t>
      </w:r>
      <w:r w:rsidR="0040329F">
        <w:t>.</w:t>
      </w:r>
      <w:r w:rsidR="00EE4FC3">
        <w:t xml:space="preserve">  </w:t>
      </w:r>
      <w:r w:rsidRPr="00382917">
        <w:t>He</w:t>
      </w:r>
      <w:r w:rsidR="00EE4FC3">
        <w:t xml:space="preserve"> </w:t>
      </w:r>
      <w:r w:rsidRPr="00382917">
        <w:t>planned</w:t>
      </w:r>
      <w:r w:rsidR="00EE4FC3">
        <w:t xml:space="preserve"> </w:t>
      </w:r>
      <w:r w:rsidRPr="00382917">
        <w:t>for</w:t>
      </w:r>
      <w:r w:rsidR="00EE4FC3">
        <w:t xml:space="preserve"> </w:t>
      </w:r>
      <w:r w:rsidRPr="00382917">
        <w:t>their</w:t>
      </w:r>
      <w:r w:rsidR="00EE4FC3">
        <w:t xml:space="preserve"> </w:t>
      </w:r>
      <w:r w:rsidRPr="00382917">
        <w:t>annihilation</w:t>
      </w:r>
      <w:r w:rsidR="00EE4FC3">
        <w:t xml:space="preserve"> </w:t>
      </w:r>
      <w:r w:rsidRPr="00382917">
        <w:t>so</w:t>
      </w:r>
      <w:r w:rsidR="00EE4FC3">
        <w:t xml:space="preserve"> </w:t>
      </w:r>
      <w:r w:rsidRPr="00382917">
        <w:t>that</w:t>
      </w:r>
      <w:r w:rsidR="00EE4FC3">
        <w:t xml:space="preserve"> </w:t>
      </w:r>
      <w:r w:rsidRPr="00382917">
        <w:t>none</w:t>
      </w:r>
      <w:r w:rsidR="00EE4FC3">
        <w:t xml:space="preserve"> </w:t>
      </w:r>
      <w:r w:rsidRPr="00382917">
        <w:t>might</w:t>
      </w:r>
      <w:r w:rsidR="00EE4FC3">
        <w:t xml:space="preserve"> </w:t>
      </w:r>
      <w:r w:rsidRPr="00382917">
        <w:t>live</w:t>
      </w:r>
      <w:r w:rsidR="00EE4FC3">
        <w:t xml:space="preserve"> </w:t>
      </w:r>
      <w:r w:rsidRPr="00382917">
        <w:t>to</w:t>
      </w:r>
      <w:r w:rsidR="00EE4FC3">
        <w:t xml:space="preserve"> </w:t>
      </w:r>
      <w:r w:rsidRPr="00382917">
        <w:t>tell</w:t>
      </w:r>
      <w:r w:rsidR="00EE4FC3">
        <w:t xml:space="preserve"> </w:t>
      </w:r>
      <w:r w:rsidRPr="00382917">
        <w:t>the</w:t>
      </w:r>
      <w:r w:rsidR="00EE4FC3">
        <w:t xml:space="preserve"> </w:t>
      </w:r>
      <w:r w:rsidRPr="00382917">
        <w:t>tale</w:t>
      </w:r>
      <w:r w:rsidR="00EE4FC3">
        <w:t xml:space="preserve"> </w:t>
      </w:r>
      <w:r w:rsidRPr="00382917">
        <w:t>of</w:t>
      </w:r>
      <w:r w:rsidR="00EE4FC3">
        <w:t xml:space="preserve"> </w:t>
      </w:r>
      <w:r w:rsidRPr="00382917">
        <w:t>his</w:t>
      </w:r>
      <w:r w:rsidR="00EE4FC3">
        <w:t xml:space="preserve"> </w:t>
      </w:r>
      <w:r w:rsidRPr="00382917">
        <w:t>treachery.</w:t>
      </w:r>
    </w:p>
    <w:p w:rsidR="00B2037B" w:rsidRPr="00382917" w:rsidRDefault="00B2037B" w:rsidP="008E112B">
      <w:pPr>
        <w:pStyle w:val="Text"/>
      </w:pPr>
      <w:r w:rsidRPr="00382917">
        <w:t>Nicholas</w:t>
      </w:r>
      <w:r w:rsidR="00EE4FC3">
        <w:t xml:space="preserve"> </w:t>
      </w:r>
      <w:r w:rsidRPr="00382917">
        <w:t>writes</w:t>
      </w:r>
      <w:r w:rsidR="00C03C91">
        <w:t>:</w:t>
      </w:r>
      <w:r w:rsidR="00EE4FC3">
        <w:t xml:space="preserve">  </w:t>
      </w:r>
      <w:r w:rsidR="009C713D" w:rsidRPr="00382917">
        <w:t>“</w:t>
      </w:r>
      <w:r w:rsidRPr="00382917">
        <w:t>His</w:t>
      </w:r>
      <w:r w:rsidR="00EE4FC3">
        <w:t xml:space="preserve"> </w:t>
      </w:r>
      <w:r w:rsidRPr="00382917">
        <w:t>hatred</w:t>
      </w:r>
      <w:r w:rsidR="00EE4FC3">
        <w:t xml:space="preserve"> </w:t>
      </w:r>
      <w:r w:rsidRPr="00382917">
        <w:t>knew</w:t>
      </w:r>
      <w:r w:rsidR="00EE4FC3">
        <w:t xml:space="preserve"> </w:t>
      </w:r>
      <w:r w:rsidRPr="00382917">
        <w:t>no</w:t>
      </w:r>
      <w:r w:rsidR="00EE4FC3">
        <w:t xml:space="preserve"> </w:t>
      </w:r>
      <w:r w:rsidRPr="00382917">
        <w:t>bounds</w:t>
      </w:r>
      <w:r w:rsidR="00EE4FC3">
        <w:t xml:space="preserve"> </w:t>
      </w:r>
      <w:r w:rsidRPr="00382917">
        <w:t>and</w:t>
      </w:r>
      <w:r w:rsidR="00EE4FC3">
        <w:t xml:space="preserve"> </w:t>
      </w:r>
      <w:r w:rsidRPr="00382917">
        <w:t>it</w:t>
      </w:r>
      <w:r w:rsidR="00EE4FC3">
        <w:t xml:space="preserve"> </w:t>
      </w:r>
      <w:r w:rsidRPr="00382917">
        <w:t>was</w:t>
      </w:r>
      <w:r w:rsidR="00EE4FC3">
        <w:t xml:space="preserve"> </w:t>
      </w:r>
      <w:r w:rsidRPr="00382917">
        <w:t>to</w:t>
      </w:r>
      <w:r w:rsidR="00EE4FC3">
        <w:t xml:space="preserve"> </w:t>
      </w:r>
      <w:r w:rsidRPr="00382917">
        <w:t>last</w:t>
      </w:r>
      <w:r w:rsidR="00EE4FC3">
        <w:t xml:space="preserve"> </w:t>
      </w:r>
      <w:r w:rsidRPr="00382917">
        <w:t>as</w:t>
      </w:r>
      <w:r w:rsidR="00EE4FC3">
        <w:t xml:space="preserve"> </w:t>
      </w:r>
      <w:r w:rsidRPr="00382917">
        <w:t>long</w:t>
      </w:r>
      <w:r w:rsidR="00EE4FC3">
        <w:t xml:space="preserve"> </w:t>
      </w:r>
      <w:r w:rsidRPr="00382917">
        <w:t>as</w:t>
      </w:r>
      <w:r w:rsidR="00EE4FC3">
        <w:t xml:space="preserve"> </w:t>
      </w:r>
      <w:r w:rsidRPr="00382917">
        <w:t>he</w:t>
      </w:r>
      <w:r w:rsidR="00EE4FC3">
        <w:t xml:space="preserve"> </w:t>
      </w:r>
      <w:r w:rsidRPr="00382917">
        <w:t>lived</w:t>
      </w:r>
      <w:r w:rsidR="0040329F">
        <w:t>.</w:t>
      </w:r>
      <w:r w:rsidR="00EE4FC3">
        <w:t xml:space="preserve">  </w:t>
      </w:r>
      <w:r w:rsidRPr="00382917">
        <w:t>It</w:t>
      </w:r>
      <w:r w:rsidR="00EE4FC3">
        <w:t xml:space="preserve"> </w:t>
      </w:r>
      <w:r w:rsidRPr="00382917">
        <w:t>was</w:t>
      </w:r>
      <w:r w:rsidR="00EE4FC3">
        <w:t xml:space="preserve"> </w:t>
      </w:r>
      <w:r w:rsidRPr="00382917">
        <w:t>actually</w:t>
      </w:r>
      <w:r w:rsidR="00EE4FC3">
        <w:t xml:space="preserve"> </w:t>
      </w:r>
      <w:r w:rsidRPr="00382917">
        <w:t>the</w:t>
      </w:r>
      <w:r w:rsidR="00EE4FC3">
        <w:t xml:space="preserve"> </w:t>
      </w:r>
      <w:r w:rsidRPr="00382917">
        <w:t>very</w:t>
      </w:r>
      <w:r w:rsidR="00EE4FC3">
        <w:t xml:space="preserve"> </w:t>
      </w:r>
      <w:r w:rsidRPr="00382917">
        <w:t>poor</w:t>
      </w:r>
      <w:r w:rsidR="00EE4FC3">
        <w:t xml:space="preserve"> </w:t>
      </w:r>
      <w:r w:rsidRPr="00382917">
        <w:t>that</w:t>
      </w:r>
      <w:r w:rsidR="00EE4FC3">
        <w:t xml:space="preserve"> </w:t>
      </w:r>
      <w:r w:rsidRPr="00382917">
        <w:t>had</w:t>
      </w:r>
      <w:r w:rsidR="00EE4FC3">
        <w:t xml:space="preserve"> </w:t>
      </w:r>
      <w:r w:rsidRPr="00382917">
        <w:t>been</w:t>
      </w:r>
      <w:r w:rsidR="00EE4FC3">
        <w:t xml:space="preserve"> </w:t>
      </w:r>
      <w:r w:rsidRPr="00382917">
        <w:t>sent</w:t>
      </w:r>
      <w:r w:rsidR="00EE4FC3">
        <w:t xml:space="preserve"> </w:t>
      </w:r>
      <w:r w:rsidRPr="00382917">
        <w:t>to</w:t>
      </w:r>
      <w:r w:rsidR="00EE4FC3">
        <w:t xml:space="preserve"> </w:t>
      </w:r>
      <w:r w:rsidR="008A073E" w:rsidRPr="00382917">
        <w:rPr>
          <w:u w:val="single"/>
        </w:rPr>
        <w:t>Sh</w:t>
      </w:r>
      <w:r w:rsidR="008A073E" w:rsidRPr="00382917">
        <w:t>íráz</w:t>
      </w:r>
      <w:r w:rsidRPr="00382917">
        <w:t>,</w:t>
      </w:r>
      <w:r w:rsidR="00EE4FC3">
        <w:t xml:space="preserve"> </w:t>
      </w:r>
      <w:r w:rsidRPr="00382917">
        <w:t>the</w:t>
      </w:r>
      <w:r w:rsidR="00EE4FC3">
        <w:t xml:space="preserve"> </w:t>
      </w:r>
      <w:r w:rsidRPr="00382917">
        <w:t>rich</w:t>
      </w:r>
      <w:r w:rsidR="00EE4FC3">
        <w:t xml:space="preserve"> </w:t>
      </w:r>
      <w:r w:rsidRPr="00382917">
        <w:t>had</w:t>
      </w:r>
      <w:r w:rsidR="00EE4FC3">
        <w:t xml:space="preserve"> </w:t>
      </w:r>
      <w:r w:rsidRPr="00382917">
        <w:t>been</w:t>
      </w:r>
      <w:r w:rsidR="00EE4FC3">
        <w:t xml:space="preserve"> </w:t>
      </w:r>
      <w:r w:rsidRPr="00382917">
        <w:t>kept</w:t>
      </w:r>
      <w:r w:rsidR="00EE4FC3">
        <w:t xml:space="preserve"> </w:t>
      </w:r>
      <w:r w:rsidRPr="00382917">
        <w:t>back</w:t>
      </w:r>
      <w:r w:rsidR="0040329F">
        <w:t>.</w:t>
      </w:r>
      <w:r w:rsidR="00EE4FC3">
        <w:t xml:space="preserve">  </w:t>
      </w:r>
      <w:r w:rsidRPr="00382917">
        <w:t>[The</w:t>
      </w:r>
      <w:r w:rsidR="00EE4FC3">
        <w:t xml:space="preserve"> </w:t>
      </w:r>
      <w:r w:rsidRPr="00382917">
        <w:t>governor]</w:t>
      </w:r>
      <w:r w:rsidR="00EE4FC3">
        <w:t xml:space="preserve"> </w:t>
      </w:r>
      <w:r w:rsidRPr="00382917">
        <w:t>had</w:t>
      </w:r>
      <w:r w:rsidR="00EE4FC3">
        <w:t xml:space="preserve"> </w:t>
      </w:r>
      <w:r w:rsidRPr="00382917">
        <w:t>entrusted</w:t>
      </w:r>
      <w:r w:rsidR="00EE4FC3">
        <w:t xml:space="preserve"> </w:t>
      </w:r>
      <w:r w:rsidRPr="00382917">
        <w:t>them</w:t>
      </w:r>
      <w:r w:rsidR="00EE4FC3">
        <w:t xml:space="preserve"> </w:t>
      </w:r>
      <w:r w:rsidRPr="00382917">
        <w:t>to</w:t>
      </w:r>
      <w:r w:rsidR="00EE4FC3">
        <w:t xml:space="preserve"> </w:t>
      </w:r>
      <w:r w:rsidRPr="00382917">
        <w:t>a</w:t>
      </w:r>
      <w:r w:rsidR="00EE4FC3">
        <w:t xml:space="preserve"> </w:t>
      </w:r>
      <w:r w:rsidRPr="00382917">
        <w:t>guard</w:t>
      </w:r>
      <w:r w:rsidR="00EE4FC3">
        <w:t xml:space="preserve"> </w:t>
      </w:r>
      <w:r w:rsidRPr="00382917">
        <w:t>who</w:t>
      </w:r>
      <w:r w:rsidR="00EE4FC3">
        <w:t xml:space="preserve"> </w:t>
      </w:r>
      <w:r w:rsidRPr="00382917">
        <w:t>was</w:t>
      </w:r>
      <w:r w:rsidR="00EE4FC3">
        <w:t xml:space="preserve"> </w:t>
      </w:r>
      <w:r w:rsidRPr="00382917">
        <w:t>ordered</w:t>
      </w:r>
      <w:r w:rsidR="00EE4FC3">
        <w:t xml:space="preserve"> </w:t>
      </w:r>
      <w:r w:rsidRPr="00382917">
        <w:t>to</w:t>
      </w:r>
      <w:r w:rsidR="00EE4FC3">
        <w:t xml:space="preserve"> </w:t>
      </w:r>
      <w:r w:rsidRPr="00382917">
        <w:t>walk</w:t>
      </w:r>
      <w:r w:rsidR="00EE4FC3">
        <w:t xml:space="preserve"> </w:t>
      </w:r>
      <w:r w:rsidRPr="00382917">
        <w:t>them</w:t>
      </w:r>
      <w:r w:rsidR="00EE4FC3">
        <w:t xml:space="preserve"> </w:t>
      </w:r>
      <w:r w:rsidRPr="00382917">
        <w:t>through</w:t>
      </w:r>
      <w:r w:rsidR="00EE4FC3">
        <w:t xml:space="preserve"> </w:t>
      </w:r>
      <w:r w:rsidRPr="00382917">
        <w:t>the</w:t>
      </w:r>
      <w:r w:rsidR="00EE4FC3">
        <w:t xml:space="preserve"> </w:t>
      </w:r>
      <w:r w:rsidRPr="00382917">
        <w:t>city</w:t>
      </w:r>
      <w:r w:rsidR="00EE4FC3">
        <w:t xml:space="preserve"> </w:t>
      </w:r>
      <w:r w:rsidRPr="00382917">
        <w:t>beating</w:t>
      </w:r>
      <w:r w:rsidR="00EE4FC3">
        <w:t xml:space="preserve"> </w:t>
      </w:r>
      <w:r w:rsidRPr="00382917">
        <w:t>them</w:t>
      </w:r>
      <w:r w:rsidR="00EE4FC3">
        <w:t xml:space="preserve"> </w:t>
      </w:r>
      <w:r w:rsidRPr="00382917">
        <w:t>as</w:t>
      </w:r>
      <w:r w:rsidR="00EE4FC3">
        <w:t xml:space="preserve"> </w:t>
      </w:r>
      <w:r w:rsidRPr="00382917">
        <w:t>they</w:t>
      </w:r>
      <w:r w:rsidR="00EE4FC3">
        <w:t xml:space="preserve"> </w:t>
      </w:r>
      <w:r w:rsidRPr="00382917">
        <w:t>went</w:t>
      </w:r>
      <w:r w:rsidR="0040329F">
        <w:t>.</w:t>
      </w:r>
      <w:r w:rsidR="00EE4FC3">
        <w:t xml:space="preserve">  </w:t>
      </w:r>
      <w:r w:rsidRPr="00382917">
        <w:t>The</w:t>
      </w:r>
      <w:r w:rsidR="00EE4FC3">
        <w:t xml:space="preserve"> </w:t>
      </w:r>
      <w:r w:rsidRPr="00382917">
        <w:t>people</w:t>
      </w:r>
      <w:r w:rsidR="00EE4FC3">
        <w:t xml:space="preserve"> </w:t>
      </w:r>
      <w:r w:rsidRPr="00382917">
        <w:t>of</w:t>
      </w:r>
      <w:r w:rsidR="00EE4FC3">
        <w:t xml:space="preserve"> </w:t>
      </w:r>
      <w:r w:rsidRPr="00382917">
        <w:t>Nayríz</w:t>
      </w:r>
      <w:r w:rsidR="00EE4FC3">
        <w:t xml:space="preserve"> </w:t>
      </w:r>
      <w:r w:rsidRPr="00382917">
        <w:t>were</w:t>
      </w:r>
      <w:r w:rsidR="00EE4FC3">
        <w:t xml:space="preserve"> </w:t>
      </w:r>
      <w:r w:rsidRPr="00382917">
        <w:t>greatly</w:t>
      </w:r>
      <w:r w:rsidR="00EE4FC3">
        <w:t xml:space="preserve"> </w:t>
      </w:r>
      <w:r w:rsidRPr="00382917">
        <w:t>entertained</w:t>
      </w:r>
      <w:r w:rsidR="00EE4FC3">
        <w:t xml:space="preserve"> </w:t>
      </w:r>
      <w:r w:rsidRPr="00382917">
        <w:t>that</w:t>
      </w:r>
      <w:r w:rsidR="00EE4FC3">
        <w:t xml:space="preserve"> </w:t>
      </w:r>
      <w:r w:rsidRPr="00382917">
        <w:t>time.</w:t>
      </w:r>
      <w:r w:rsidR="009C713D" w:rsidRPr="00382917">
        <w:t>”</w:t>
      </w:r>
      <w:r w:rsidR="008E112B">
        <w:rPr>
          <w:rStyle w:val="FootnoteReference"/>
        </w:rPr>
        <w:footnoteReference w:id="176"/>
      </w:r>
    </w:p>
    <w:p w:rsidR="00B2037B" w:rsidRPr="00382917" w:rsidRDefault="00B2037B" w:rsidP="00B2037B">
      <w:pPr>
        <w:pStyle w:val="Text"/>
      </w:pPr>
      <w:r w:rsidRPr="00382917">
        <w:t>The</w:t>
      </w:r>
      <w:r w:rsidR="00EE4FC3">
        <w:t xml:space="preserve"> </w:t>
      </w:r>
      <w:r w:rsidRPr="00382917">
        <w:t>end</w:t>
      </w:r>
      <w:r w:rsidR="00EE4FC3">
        <w:t xml:space="preserve"> </w:t>
      </w:r>
      <w:r w:rsidRPr="00382917">
        <w:t>of</w:t>
      </w:r>
      <w:r w:rsidR="00EE4FC3">
        <w:t xml:space="preserve"> </w:t>
      </w:r>
      <w:proofErr w:type="spellStart"/>
      <w:r w:rsidRPr="00382917">
        <w:t>Vaḥíd</w:t>
      </w:r>
      <w:r w:rsidR="009C713D" w:rsidRPr="00382917">
        <w:t>’</w:t>
      </w:r>
      <w:r w:rsidRPr="00382917">
        <w:t>s</w:t>
      </w:r>
      <w:proofErr w:type="spellEnd"/>
      <w:r w:rsidR="00EE4FC3">
        <w:t xml:space="preserve"> </w:t>
      </w:r>
      <w:r w:rsidRPr="00382917">
        <w:t>noble</w:t>
      </w:r>
      <w:r w:rsidR="00EE4FC3">
        <w:t xml:space="preserve"> </w:t>
      </w:r>
      <w:r w:rsidRPr="00382917">
        <w:t>life</w:t>
      </w:r>
      <w:r w:rsidR="00EE4FC3">
        <w:t xml:space="preserve"> </w:t>
      </w:r>
      <w:r w:rsidRPr="00382917">
        <w:t>was</w:t>
      </w:r>
      <w:r w:rsidR="00EE4FC3">
        <w:t xml:space="preserve"> </w:t>
      </w:r>
      <w:r w:rsidRPr="00382917">
        <w:t>the</w:t>
      </w:r>
      <w:r w:rsidR="00EE4FC3">
        <w:t xml:space="preserve"> </w:t>
      </w:r>
      <w:r w:rsidRPr="00382917">
        <w:t>signal</w:t>
      </w:r>
      <w:r w:rsidR="00EE4FC3">
        <w:t xml:space="preserve"> </w:t>
      </w:r>
      <w:r w:rsidRPr="00382917">
        <w:t>for</w:t>
      </w:r>
      <w:r w:rsidR="00EE4FC3">
        <w:t xml:space="preserve"> </w:t>
      </w:r>
      <w:proofErr w:type="gramStart"/>
      <w:r w:rsidRPr="00382917">
        <w:t>the</w:t>
      </w:r>
      <w:r w:rsidR="00EE4FC3">
        <w:t xml:space="preserve"> </w:t>
      </w:r>
      <w:r w:rsidRPr="00382917">
        <w:t>out-break</w:t>
      </w:r>
      <w:proofErr w:type="gramEnd"/>
      <w:r w:rsidR="00EE4FC3">
        <w:t xml:space="preserve"> </w:t>
      </w:r>
      <w:r w:rsidRPr="00382917">
        <w:t>of</w:t>
      </w:r>
      <w:r w:rsidR="00EE4FC3">
        <w:t xml:space="preserve"> </w:t>
      </w:r>
      <w:r w:rsidRPr="00382917">
        <w:t>a</w:t>
      </w:r>
      <w:r w:rsidR="00EE4FC3">
        <w:t xml:space="preserve"> </w:t>
      </w:r>
      <w:r w:rsidRPr="00382917">
        <w:t>fierce</w:t>
      </w:r>
      <w:r w:rsidR="00EE4FC3">
        <w:t xml:space="preserve"> </w:t>
      </w:r>
      <w:r w:rsidRPr="00382917">
        <w:t>wave</w:t>
      </w:r>
      <w:r w:rsidR="00EE4FC3">
        <w:t xml:space="preserve"> </w:t>
      </w:r>
      <w:r w:rsidRPr="00382917">
        <w:t>of</w:t>
      </w:r>
      <w:r w:rsidR="00EE4FC3">
        <w:t xml:space="preserve"> </w:t>
      </w:r>
      <w:r w:rsidRPr="00382917">
        <w:t>violence</w:t>
      </w:r>
      <w:r w:rsidR="00EE4FC3">
        <w:t xml:space="preserve"> </w:t>
      </w:r>
      <w:r w:rsidRPr="00382917">
        <w:t>in</w:t>
      </w:r>
      <w:r w:rsidR="00EE4FC3">
        <w:t xml:space="preserve"> </w:t>
      </w:r>
      <w:r w:rsidRPr="00382917">
        <w:t>Nayríz</w:t>
      </w:r>
      <w:r w:rsidR="00EE4FC3">
        <w:t xml:space="preserve"> </w:t>
      </w:r>
      <w:r w:rsidRPr="00382917">
        <w:t>that</w:t>
      </w:r>
      <w:r w:rsidR="00EE4FC3">
        <w:t xml:space="preserve"> </w:t>
      </w:r>
      <w:r w:rsidRPr="00382917">
        <w:t>lasted</w:t>
      </w:r>
      <w:r w:rsidR="00EE4FC3">
        <w:t xml:space="preserve"> </w:t>
      </w:r>
      <w:r w:rsidRPr="00382917">
        <w:t>long</w:t>
      </w:r>
      <w:r w:rsidR="00EE4FC3">
        <w:t xml:space="preserve"> </w:t>
      </w:r>
      <w:r w:rsidRPr="00382917">
        <w:t>beyond</w:t>
      </w:r>
      <w:r w:rsidR="00EE4FC3">
        <w:t xml:space="preserve"> </w:t>
      </w:r>
      <w:r w:rsidRPr="00382917">
        <w:t>that</w:t>
      </w:r>
      <w:r w:rsidR="00EE4FC3">
        <w:t xml:space="preserve"> </w:t>
      </w:r>
      <w:r w:rsidRPr="00382917">
        <w:t>day</w:t>
      </w:r>
      <w:r w:rsidR="00EE4FC3">
        <w:t xml:space="preserve"> </w:t>
      </w:r>
      <w:r w:rsidRPr="00382917">
        <w:t>of</w:t>
      </w:r>
      <w:r w:rsidR="00EE4FC3">
        <w:t xml:space="preserve"> </w:t>
      </w:r>
      <w:r w:rsidRPr="00382917">
        <w:t>betrayal</w:t>
      </w:r>
      <w:r w:rsidR="0040329F">
        <w:t>.</w:t>
      </w:r>
      <w:r w:rsidR="00EE4FC3">
        <w:t xml:space="preserve">  </w:t>
      </w:r>
      <w:r w:rsidRPr="00382917">
        <w:t>The</w:t>
      </w:r>
      <w:r w:rsidR="00EE4FC3">
        <w:t xml:space="preserve"> </w:t>
      </w:r>
      <w:r w:rsidRPr="00382917">
        <w:t>fort</w:t>
      </w:r>
      <w:r w:rsidR="00EE4FC3">
        <w:t xml:space="preserve"> </w:t>
      </w:r>
      <w:r w:rsidRPr="00382917">
        <w:t>in</w:t>
      </w:r>
      <w:r w:rsidR="00EE4FC3">
        <w:t xml:space="preserve"> </w:t>
      </w:r>
      <w:r w:rsidRPr="00382917">
        <w:t>which</w:t>
      </w:r>
      <w:r w:rsidR="00EE4FC3">
        <w:t xml:space="preserve"> </w:t>
      </w:r>
      <w:r w:rsidRPr="00382917">
        <w:t>Va</w:t>
      </w:r>
      <w:r w:rsidRPr="00382917">
        <w:rPr>
          <w:sz w:val="22"/>
        </w:rPr>
        <w:t>ḥ</w:t>
      </w:r>
      <w:r w:rsidRPr="00382917">
        <w:t>íd</w:t>
      </w:r>
      <w:r w:rsidR="00EE4FC3">
        <w:t xml:space="preserve"> </w:t>
      </w:r>
      <w:r w:rsidRPr="00382917">
        <w:t>and</w:t>
      </w:r>
      <w:r w:rsidR="00EE4FC3">
        <w:t xml:space="preserve"> </w:t>
      </w:r>
      <w:r w:rsidRPr="00382917">
        <w:t>his</w:t>
      </w:r>
      <w:r w:rsidR="00EE4FC3">
        <w:t xml:space="preserve"> </w:t>
      </w:r>
      <w:r w:rsidRPr="00382917">
        <w:t>friends</w:t>
      </w:r>
      <w:r w:rsidR="00EE4FC3">
        <w:t xml:space="preserve"> </w:t>
      </w:r>
      <w:r w:rsidRPr="00382917">
        <w:t>had</w:t>
      </w:r>
      <w:r w:rsidR="00EE4FC3">
        <w:t xml:space="preserve"> </w:t>
      </w:r>
      <w:r w:rsidRPr="00382917">
        <w:t>sought</w:t>
      </w:r>
      <w:r w:rsidR="00EE4FC3">
        <w:t xml:space="preserve"> </w:t>
      </w:r>
      <w:r w:rsidRPr="00382917">
        <w:t>refuge</w:t>
      </w:r>
      <w:r w:rsidR="00EE4FC3">
        <w:t xml:space="preserve"> </w:t>
      </w:r>
      <w:r w:rsidRPr="00382917">
        <w:t>was</w:t>
      </w:r>
      <w:r w:rsidR="00EE4FC3">
        <w:t xml:space="preserve"> </w:t>
      </w:r>
      <w:r w:rsidRPr="00382917">
        <w:t>burned</w:t>
      </w:r>
      <w:r w:rsidR="00EE4FC3">
        <w:t xml:space="preserve"> </w:t>
      </w:r>
      <w:r w:rsidRPr="00382917">
        <w:t>to</w:t>
      </w:r>
      <w:r w:rsidR="00EE4FC3">
        <w:t xml:space="preserve"> </w:t>
      </w:r>
      <w:r w:rsidRPr="00382917">
        <w:t>the</w:t>
      </w:r>
      <w:r w:rsidR="00EE4FC3">
        <w:t xml:space="preserve"> </w:t>
      </w:r>
      <w:r w:rsidRPr="00382917">
        <w:t>ground</w:t>
      </w:r>
      <w:r w:rsidR="0040329F">
        <w:t>.</w:t>
      </w:r>
      <w:r w:rsidR="00EE4FC3">
        <w:t xml:space="preserve">  </w:t>
      </w:r>
      <w:r w:rsidRPr="00382917">
        <w:t>Their</w:t>
      </w:r>
      <w:r w:rsidR="00EE4FC3">
        <w:t xml:space="preserve"> </w:t>
      </w:r>
      <w:r w:rsidRPr="00382917">
        <w:t>property</w:t>
      </w:r>
      <w:r w:rsidR="00EE4FC3">
        <w:t xml:space="preserve"> </w:t>
      </w:r>
      <w:r w:rsidRPr="00382917">
        <w:t>was</w:t>
      </w:r>
      <w:r w:rsidR="00EE4FC3">
        <w:t xml:space="preserve"> </w:t>
      </w:r>
      <w:r w:rsidRPr="00382917">
        <w:t>seized,</w:t>
      </w:r>
      <w:r w:rsidR="00EE4FC3">
        <w:t xml:space="preserve"> </w:t>
      </w:r>
      <w:r w:rsidRPr="00382917">
        <w:t>their</w:t>
      </w:r>
      <w:r w:rsidR="00EE4FC3">
        <w:t xml:space="preserve"> </w:t>
      </w:r>
      <w:r w:rsidRPr="00382917">
        <w:t>houses</w:t>
      </w:r>
      <w:r w:rsidR="00EE4FC3">
        <w:t xml:space="preserve"> </w:t>
      </w:r>
      <w:r w:rsidRPr="00382917">
        <w:t>destroyed,</w:t>
      </w:r>
      <w:r w:rsidR="00EE4FC3">
        <w:t xml:space="preserve"> </w:t>
      </w:r>
      <w:r w:rsidRPr="00382917">
        <w:t>many</w:t>
      </w:r>
      <w:r w:rsidR="00EE4FC3">
        <w:t xml:space="preserve"> </w:t>
      </w:r>
      <w:r w:rsidRPr="00382917">
        <w:t>were</w:t>
      </w:r>
      <w:r w:rsidR="00EE4FC3">
        <w:t xml:space="preserve"> </w:t>
      </w:r>
      <w:r w:rsidRPr="00382917">
        <w:t>thrown</w:t>
      </w:r>
      <w:r w:rsidR="00EE4FC3">
        <w:t xml:space="preserve"> </w:t>
      </w:r>
      <w:r w:rsidRPr="00382917">
        <w:t>into</w:t>
      </w:r>
      <w:r w:rsidR="00EE4FC3">
        <w:t xml:space="preserve"> </w:t>
      </w:r>
      <w:r w:rsidRPr="00382917">
        <w:t>dungeons</w:t>
      </w:r>
      <w:r w:rsidR="00EE4FC3">
        <w:t xml:space="preserve"> </w:t>
      </w:r>
      <w:r w:rsidRPr="00382917">
        <w:t>before</w:t>
      </w:r>
      <w:r w:rsidR="00EE4FC3">
        <w:t xml:space="preserve"> </w:t>
      </w:r>
      <w:r w:rsidRPr="00382917">
        <w:t>being</w:t>
      </w:r>
      <w:r w:rsidR="00EE4FC3">
        <w:t xml:space="preserve"> </w:t>
      </w:r>
      <w:r w:rsidRPr="00382917">
        <w:t>subjected</w:t>
      </w:r>
      <w:r w:rsidR="00EE4FC3">
        <w:t xml:space="preserve"> </w:t>
      </w:r>
      <w:r w:rsidRPr="00382917">
        <w:t>to</w:t>
      </w:r>
      <w:r w:rsidR="00EE4FC3">
        <w:t xml:space="preserve"> </w:t>
      </w:r>
      <w:r w:rsidRPr="00382917">
        <w:t>a</w:t>
      </w:r>
      <w:r w:rsidR="00EE4FC3">
        <w:t xml:space="preserve"> </w:t>
      </w:r>
      <w:r w:rsidRPr="00382917">
        <w:t>final</w:t>
      </w:r>
      <w:r w:rsidR="00EE4FC3">
        <w:t xml:space="preserve"> </w:t>
      </w:r>
      <w:r w:rsidRPr="00382917">
        <w:t>fiendish</w:t>
      </w:r>
      <w:r w:rsidR="00EE4FC3">
        <w:t xml:space="preserve"> </w:t>
      </w:r>
      <w:r w:rsidRPr="00382917">
        <w:t>torture</w:t>
      </w:r>
      <w:r w:rsidR="0040329F">
        <w:t>.</w:t>
      </w:r>
      <w:r w:rsidR="00EE4FC3">
        <w:t xml:space="preserve">  </w:t>
      </w:r>
      <w:r w:rsidRPr="00382917">
        <w:t>The</w:t>
      </w:r>
      <w:r w:rsidR="00EE4FC3">
        <w:t xml:space="preserve"> </w:t>
      </w:r>
      <w:r w:rsidRPr="00382917">
        <w:t>greedy</w:t>
      </w:r>
      <w:r w:rsidR="00EE4FC3">
        <w:t xml:space="preserve"> </w:t>
      </w:r>
      <w:r w:rsidRPr="00382917">
        <w:t>officials</w:t>
      </w:r>
      <w:r w:rsidR="00EE4FC3">
        <w:t xml:space="preserve"> </w:t>
      </w:r>
      <w:r w:rsidRPr="00382917">
        <w:t>made</w:t>
      </w:r>
      <w:r w:rsidR="00EE4FC3">
        <w:t xml:space="preserve"> </w:t>
      </w:r>
      <w:r w:rsidRPr="00382917">
        <w:t>certain</w:t>
      </w:r>
      <w:r w:rsidR="00EE4FC3">
        <w:t xml:space="preserve"> </w:t>
      </w:r>
      <w:r w:rsidRPr="00382917">
        <w:t>that</w:t>
      </w:r>
      <w:r w:rsidR="00EE4FC3">
        <w:t xml:space="preserve"> </w:t>
      </w:r>
      <w:r w:rsidRPr="00382917">
        <w:t>the</w:t>
      </w:r>
      <w:r w:rsidR="00EE4FC3">
        <w:t xml:space="preserve"> </w:t>
      </w:r>
      <w:r w:rsidRPr="00382917">
        <w:t>prisoners</w:t>
      </w:r>
      <w:r w:rsidR="00EE4FC3">
        <w:t xml:space="preserve"> </w:t>
      </w:r>
      <w:r w:rsidRPr="00382917">
        <w:t>had</w:t>
      </w:r>
      <w:r w:rsidR="00EE4FC3">
        <w:t xml:space="preserve"> </w:t>
      </w:r>
      <w:r w:rsidRPr="00382917">
        <w:t>nothing</w:t>
      </w:r>
      <w:r w:rsidR="00EE4FC3">
        <w:t xml:space="preserve"> </w:t>
      </w:r>
      <w:r w:rsidRPr="00382917">
        <w:t>of</w:t>
      </w:r>
      <w:r w:rsidR="00EE4FC3">
        <w:t xml:space="preserve"> </w:t>
      </w:r>
      <w:r w:rsidRPr="00382917">
        <w:t>value</w:t>
      </w:r>
      <w:r w:rsidR="00EE4FC3">
        <w:t xml:space="preserve"> </w:t>
      </w:r>
      <w:r w:rsidRPr="00382917">
        <w:t>left</w:t>
      </w:r>
      <w:r w:rsidR="00EE4FC3">
        <w:t xml:space="preserve"> </w:t>
      </w:r>
      <w:r w:rsidRPr="00382917">
        <w:t>before</w:t>
      </w:r>
      <w:r w:rsidR="00EE4FC3">
        <w:t xml:space="preserve"> </w:t>
      </w:r>
      <w:r w:rsidRPr="00382917">
        <w:t>they</w:t>
      </w:r>
      <w:r w:rsidR="00EE4FC3">
        <w:t xml:space="preserve"> </w:t>
      </w:r>
      <w:r w:rsidRPr="00382917">
        <w:t>were</w:t>
      </w:r>
      <w:r w:rsidR="00EE4FC3">
        <w:t xml:space="preserve"> </w:t>
      </w:r>
      <w:r w:rsidRPr="00382917">
        <w:t>slain</w:t>
      </w:r>
      <w:r w:rsidR="0040329F">
        <w:t>.</w:t>
      </w:r>
      <w:r w:rsidR="00EE4FC3">
        <w:t xml:space="preserve">  </w:t>
      </w:r>
      <w:r w:rsidRPr="00382917">
        <w:t>During</w:t>
      </w:r>
      <w:r w:rsidR="00EE4FC3">
        <w:t xml:space="preserve"> </w:t>
      </w:r>
      <w:r w:rsidRPr="00382917">
        <w:t>that</w:t>
      </w:r>
      <w:r w:rsidR="00EE4FC3">
        <w:t xml:space="preserve"> </w:t>
      </w:r>
      <w:r w:rsidRPr="00382917">
        <w:t>black</w:t>
      </w:r>
      <w:r w:rsidR="00EE4FC3">
        <w:t xml:space="preserve"> </w:t>
      </w:r>
      <w:r w:rsidRPr="00382917">
        <w:t>period,</w:t>
      </w:r>
      <w:r w:rsidR="00EE4FC3">
        <w:t xml:space="preserve"> </w:t>
      </w:r>
      <w:r w:rsidRPr="00382917">
        <w:t>many</w:t>
      </w:r>
      <w:r w:rsidR="00EE4FC3">
        <w:t xml:space="preserve"> </w:t>
      </w:r>
      <w:r w:rsidRPr="00382917">
        <w:t>were</w:t>
      </w:r>
      <w:r w:rsidR="00EE4FC3">
        <w:t xml:space="preserve"> </w:t>
      </w:r>
      <w:r w:rsidRPr="00382917">
        <w:t>crucified.</w:t>
      </w:r>
    </w:p>
    <w:p w:rsidR="00B2037B" w:rsidRPr="00382917" w:rsidRDefault="00B2037B" w:rsidP="00B2037B">
      <w:pPr>
        <w:pStyle w:val="Text"/>
      </w:pPr>
      <w:r w:rsidRPr="00382917">
        <w:t>The</w:t>
      </w:r>
      <w:r w:rsidR="00EE4FC3">
        <w:t xml:space="preserve"> </w:t>
      </w:r>
      <w:r w:rsidRPr="00382917">
        <w:t>fate</w:t>
      </w:r>
      <w:r w:rsidR="00EE4FC3">
        <w:t xml:space="preserve"> </w:t>
      </w:r>
      <w:r w:rsidRPr="00382917">
        <w:t>that</w:t>
      </w:r>
      <w:r w:rsidR="00EE4FC3">
        <w:t xml:space="preserve"> </w:t>
      </w:r>
      <w:r w:rsidRPr="00382917">
        <w:t>befell</w:t>
      </w:r>
      <w:r w:rsidR="00EE4FC3">
        <w:t xml:space="preserve"> </w:t>
      </w:r>
      <w:r w:rsidRPr="00382917">
        <w:t>the</w:t>
      </w:r>
      <w:r w:rsidR="00EE4FC3">
        <w:t xml:space="preserve"> </w:t>
      </w:r>
      <w:r w:rsidRPr="00382917">
        <w:t>betrayers</w:t>
      </w:r>
      <w:r w:rsidR="00EE4FC3">
        <w:t xml:space="preserve"> </w:t>
      </w:r>
      <w:r w:rsidRPr="00382917">
        <w:t>of</w:t>
      </w:r>
      <w:r w:rsidR="00EE4FC3">
        <w:t xml:space="preserve"> </w:t>
      </w:r>
      <w:r w:rsidRPr="00382917">
        <w:t>Ṭabarsí</w:t>
      </w:r>
      <w:r w:rsidR="00EE4FC3">
        <w:t xml:space="preserve"> </w:t>
      </w:r>
      <w:r w:rsidRPr="00382917">
        <w:t>struck</w:t>
      </w:r>
      <w:r w:rsidR="00EE4FC3">
        <w:t xml:space="preserve"> </w:t>
      </w:r>
      <w:r w:rsidRPr="00382917">
        <w:t>almost</w:t>
      </w:r>
      <w:r w:rsidR="00EE4FC3">
        <w:t xml:space="preserve"> </w:t>
      </w:r>
      <w:r w:rsidRPr="00382917">
        <w:t>at</w:t>
      </w:r>
      <w:r w:rsidR="00EE4FC3">
        <w:t xml:space="preserve"> </w:t>
      </w:r>
      <w:r w:rsidRPr="00382917">
        <w:t>once</w:t>
      </w:r>
      <w:r w:rsidR="00EE4FC3">
        <w:t xml:space="preserve"> </w:t>
      </w:r>
      <w:r w:rsidRPr="00382917">
        <w:t>against</w:t>
      </w:r>
      <w:r w:rsidR="00EE4FC3">
        <w:t xml:space="preserve"> </w:t>
      </w:r>
      <w:r w:rsidRPr="00382917">
        <w:t>one</w:t>
      </w:r>
      <w:r w:rsidR="00EE4FC3">
        <w:t xml:space="preserve"> </w:t>
      </w:r>
      <w:r w:rsidRPr="00382917">
        <w:t>of</w:t>
      </w:r>
      <w:r w:rsidR="00EE4FC3">
        <w:t xml:space="preserve"> </w:t>
      </w:r>
      <w:r w:rsidRPr="00382917">
        <w:t>the</w:t>
      </w:r>
      <w:r w:rsidR="00EE4FC3">
        <w:t xml:space="preserve"> </w:t>
      </w:r>
      <w:r w:rsidRPr="00382917">
        <w:t>most</w:t>
      </w:r>
      <w:r w:rsidR="00EE4FC3">
        <w:t xml:space="preserve"> </w:t>
      </w:r>
      <w:r w:rsidRPr="00382917">
        <w:t>treacherous</w:t>
      </w:r>
      <w:r w:rsidR="00EE4FC3">
        <w:t xml:space="preserve"> </w:t>
      </w:r>
      <w:r w:rsidRPr="00382917">
        <w:t>leaders</w:t>
      </w:r>
      <w:r w:rsidR="00EE4FC3">
        <w:t xml:space="preserve"> </w:t>
      </w:r>
      <w:r w:rsidRPr="00382917">
        <w:t>of</w:t>
      </w:r>
      <w:r w:rsidR="00EE4FC3">
        <w:t xml:space="preserve"> </w:t>
      </w:r>
      <w:r w:rsidRPr="00382917">
        <w:t>the</w:t>
      </w:r>
      <w:r w:rsidR="00EE4FC3">
        <w:t xml:space="preserve"> </w:t>
      </w:r>
      <w:r w:rsidRPr="00382917">
        <w:t>Nayríz</w:t>
      </w:r>
      <w:r w:rsidR="00EE4FC3">
        <w:t xml:space="preserve"> </w:t>
      </w:r>
      <w:r w:rsidRPr="00382917">
        <w:t>upheaval</w:t>
      </w:r>
      <w:r w:rsidR="0040329F">
        <w:t>.</w:t>
      </w:r>
      <w:r w:rsidR="00EE4FC3">
        <w:t xml:space="preserve">  </w:t>
      </w:r>
      <w:proofErr w:type="spellStart"/>
      <w:r w:rsidRPr="00382917">
        <w:t>Mihr</w:t>
      </w:r>
      <w:proofErr w:type="spellEnd"/>
      <w:r w:rsidR="00EE4FC3">
        <w:t xml:space="preserve"> </w:t>
      </w:r>
      <w:r w:rsidR="009C713D" w:rsidRPr="00382917">
        <w:t>‘</w:t>
      </w:r>
      <w:r w:rsidRPr="00382917">
        <w:t>Alí</w:t>
      </w:r>
      <w:r w:rsidR="00EE4FC3">
        <w:t xml:space="preserve"> </w:t>
      </w:r>
      <w:r w:rsidR="0040329F" w:rsidRPr="0040329F">
        <w:rPr>
          <w:u w:val="single"/>
        </w:rPr>
        <w:t>Kh</w:t>
      </w:r>
      <w:r w:rsidR="0040329F" w:rsidRPr="00382917">
        <w:t>án</w:t>
      </w:r>
      <w:r w:rsidRPr="00382917">
        <w:t>,</w:t>
      </w:r>
      <w:r w:rsidR="00EE4FC3">
        <w:t xml:space="preserve"> </w:t>
      </w:r>
      <w:r w:rsidRPr="00382917">
        <w:t>who</w:t>
      </w:r>
      <w:r w:rsidR="00EE4FC3">
        <w:t xml:space="preserve"> </w:t>
      </w:r>
      <w:r w:rsidRPr="00382917">
        <w:t>had</w:t>
      </w:r>
      <w:r w:rsidR="00EE4FC3">
        <w:t xml:space="preserve"> </w:t>
      </w:r>
      <w:r w:rsidRPr="00382917">
        <w:t>escorted</w:t>
      </w:r>
      <w:r w:rsidR="00EE4FC3">
        <w:t xml:space="preserve"> </w:t>
      </w:r>
      <w:r w:rsidRPr="00382917">
        <w:t>those</w:t>
      </w:r>
      <w:r w:rsidR="00EE4FC3">
        <w:t xml:space="preserve"> </w:t>
      </w:r>
      <w:r w:rsidRPr="00382917">
        <w:t>trophies</w:t>
      </w:r>
      <w:r w:rsidR="00EE4FC3">
        <w:t xml:space="preserve"> </w:t>
      </w:r>
      <w:r w:rsidRPr="00382917">
        <w:t>of</w:t>
      </w:r>
      <w:r w:rsidR="00EE4FC3">
        <w:t xml:space="preserve"> </w:t>
      </w:r>
      <w:r w:rsidRPr="00382917">
        <w:t>severed</w:t>
      </w:r>
      <w:r w:rsidR="00EE4FC3">
        <w:t xml:space="preserve"> </w:t>
      </w:r>
      <w:r w:rsidRPr="00382917">
        <w:t>heads</w:t>
      </w:r>
      <w:r w:rsidR="00EE4FC3">
        <w:t xml:space="preserve"> </w:t>
      </w:r>
      <w:r w:rsidRPr="00382917">
        <w:t>to</w:t>
      </w:r>
      <w:r w:rsidR="00EE4FC3">
        <w:t xml:space="preserve"> </w:t>
      </w:r>
      <w:r w:rsidRPr="00382917">
        <w:t>the</w:t>
      </w:r>
      <w:r w:rsidR="00EE4FC3">
        <w:t xml:space="preserve"> </w:t>
      </w:r>
      <w:r w:rsidRPr="00382917">
        <w:t>prince</w:t>
      </w:r>
      <w:r w:rsidR="00EE4FC3">
        <w:t xml:space="preserve"> </w:t>
      </w:r>
      <w:r w:rsidRPr="00382917">
        <w:t>at</w:t>
      </w:r>
      <w:r w:rsidR="00EE4FC3">
        <w:t xml:space="preserve"> </w:t>
      </w:r>
      <w:r w:rsidR="008A073E" w:rsidRPr="00382917">
        <w:rPr>
          <w:u w:val="single"/>
        </w:rPr>
        <w:t>Sh</w:t>
      </w:r>
      <w:r w:rsidR="008A073E" w:rsidRPr="00382917">
        <w:t>íráz</w:t>
      </w:r>
      <w:r w:rsidRPr="00382917">
        <w:t>,</w:t>
      </w:r>
      <w:r w:rsidR="00EE4FC3">
        <w:t xml:space="preserve"> </w:t>
      </w:r>
      <w:r w:rsidRPr="00382917">
        <w:t>whose</w:t>
      </w:r>
      <w:r w:rsidR="00EE4FC3">
        <w:t xml:space="preserve"> </w:t>
      </w:r>
      <w:r w:rsidRPr="00382917">
        <w:t>lips</w:t>
      </w:r>
      <w:r w:rsidR="00EE4FC3">
        <w:t xml:space="preserve"> </w:t>
      </w:r>
      <w:r w:rsidRPr="00382917">
        <w:t>had</w:t>
      </w:r>
      <w:r w:rsidR="00EE4FC3">
        <w:t xml:space="preserve"> </w:t>
      </w:r>
      <w:r w:rsidRPr="00382917">
        <w:t>sung</w:t>
      </w:r>
      <w:r w:rsidR="00EE4FC3">
        <w:t xml:space="preserve"> </w:t>
      </w:r>
      <w:r w:rsidRPr="00382917">
        <w:t>loud</w:t>
      </w:r>
      <w:r w:rsidR="00EE4FC3">
        <w:t xml:space="preserve"> </w:t>
      </w:r>
      <w:r w:rsidRPr="00382917">
        <w:t>praises</w:t>
      </w:r>
      <w:r w:rsidR="00EE4FC3">
        <w:t xml:space="preserve"> </w:t>
      </w:r>
      <w:r w:rsidRPr="00382917">
        <w:t>of</w:t>
      </w:r>
      <w:r w:rsidR="00EE4FC3">
        <w:t xml:space="preserve"> </w:t>
      </w:r>
      <w:r w:rsidRPr="00382917">
        <w:t>his</w:t>
      </w:r>
      <w:r w:rsidR="00EE4FC3">
        <w:t xml:space="preserve"> </w:t>
      </w:r>
      <w:r w:rsidRPr="00382917">
        <w:t>own</w:t>
      </w:r>
      <w:r w:rsidR="00EE4FC3">
        <w:t xml:space="preserve"> </w:t>
      </w:r>
      <w:proofErr w:type="spellStart"/>
      <w:r w:rsidRPr="00382917">
        <w:t>valor</w:t>
      </w:r>
      <w:proofErr w:type="spellEnd"/>
      <w:r w:rsidRPr="00382917">
        <w:t>,</w:t>
      </w:r>
      <w:r w:rsidR="00EE4FC3">
        <w:t xml:space="preserve"> </w:t>
      </w:r>
      <w:r w:rsidRPr="00382917">
        <w:t>was</w:t>
      </w:r>
      <w:r w:rsidR="00EE4FC3">
        <w:t xml:space="preserve"> </w:t>
      </w:r>
      <w:r w:rsidRPr="00382917">
        <w:t>suddenly</w:t>
      </w:r>
      <w:r w:rsidR="00EE4FC3">
        <w:t xml:space="preserve"> </w:t>
      </w:r>
      <w:r w:rsidRPr="00382917">
        <w:t>struck</w:t>
      </w:r>
      <w:r w:rsidR="00EE4FC3">
        <w:t xml:space="preserve"> </w:t>
      </w:r>
      <w:r w:rsidRPr="00382917">
        <w:t>dumb</w:t>
      </w:r>
      <w:r w:rsidR="0040329F">
        <w:t>.</w:t>
      </w:r>
      <w:r w:rsidR="00EE4FC3">
        <w:t xml:space="preserve">  </w:t>
      </w:r>
      <w:r w:rsidRPr="00382917">
        <w:t>He</w:t>
      </w:r>
      <w:r w:rsidR="00EE4FC3">
        <w:t xml:space="preserve"> </w:t>
      </w:r>
      <w:r w:rsidRPr="00382917">
        <w:t>was</w:t>
      </w:r>
      <w:r w:rsidR="00EE4FC3">
        <w:t xml:space="preserve"> </w:t>
      </w:r>
      <w:r w:rsidRPr="00382917">
        <w:t>no</w:t>
      </w:r>
      <w:r w:rsidR="00EE4FC3">
        <w:t xml:space="preserve"> </w:t>
      </w:r>
      <w:r w:rsidRPr="00382917">
        <w:t>longer</w:t>
      </w:r>
      <w:r w:rsidR="00EE4FC3">
        <w:t xml:space="preserve"> </w:t>
      </w:r>
      <w:r w:rsidRPr="00382917">
        <w:t>able</w:t>
      </w:r>
      <w:r w:rsidR="00EE4FC3">
        <w:t xml:space="preserve"> </w:t>
      </w:r>
      <w:r w:rsidRPr="00382917">
        <w:t>to</w:t>
      </w:r>
      <w:r w:rsidR="00EE4FC3">
        <w:t xml:space="preserve"> </w:t>
      </w:r>
      <w:r w:rsidRPr="00382917">
        <w:t>boast</w:t>
      </w:r>
      <w:r w:rsidR="00EE4FC3">
        <w:t xml:space="preserve"> </w:t>
      </w:r>
      <w:r w:rsidRPr="00382917">
        <w:t>of</w:t>
      </w:r>
      <w:r w:rsidR="00EE4FC3">
        <w:t xml:space="preserve"> </w:t>
      </w:r>
      <w:r w:rsidRPr="00382917">
        <w:t>his</w:t>
      </w:r>
      <w:r w:rsidR="00EE4FC3">
        <w:t xml:space="preserve"> </w:t>
      </w:r>
      <w:r w:rsidRPr="00382917">
        <w:t>victorious</w:t>
      </w:r>
      <w:r w:rsidR="00EE4FC3">
        <w:t xml:space="preserve"> </w:t>
      </w:r>
      <w:r w:rsidRPr="00382917">
        <w:t>march</w:t>
      </w:r>
      <w:r w:rsidR="00EE4FC3">
        <w:t xml:space="preserve"> </w:t>
      </w:r>
      <w:r w:rsidRPr="00382917">
        <w:t>with</w:t>
      </w:r>
      <w:r w:rsidR="00EE4FC3">
        <w:t xml:space="preserve"> </w:t>
      </w:r>
      <w:r w:rsidRPr="00382917">
        <w:t>his</w:t>
      </w:r>
      <w:r w:rsidR="00EE4FC3">
        <w:t xml:space="preserve"> </w:t>
      </w:r>
      <w:r w:rsidRPr="00382917">
        <w:t>gruesome</w:t>
      </w:r>
      <w:r w:rsidR="00EE4FC3">
        <w:t xml:space="preserve"> </w:t>
      </w:r>
      <w:r w:rsidRPr="00382917">
        <w:t>prize</w:t>
      </w:r>
      <w:r w:rsidR="00EE4FC3">
        <w:t xml:space="preserve"> </w:t>
      </w:r>
      <w:r w:rsidRPr="00382917">
        <w:t>to</w:t>
      </w:r>
      <w:r w:rsidR="00EE4FC3">
        <w:t xml:space="preserve"> </w:t>
      </w:r>
      <w:r w:rsidRPr="00382917">
        <w:t>the</w:t>
      </w:r>
      <w:r w:rsidR="00EE4FC3">
        <w:t xml:space="preserve"> </w:t>
      </w:r>
      <w:r w:rsidRPr="00382917">
        <w:t>palace</w:t>
      </w:r>
      <w:r w:rsidR="00EE4FC3">
        <w:t xml:space="preserve"> </w:t>
      </w:r>
      <w:r w:rsidRPr="00382917">
        <w:t>of</w:t>
      </w:r>
      <w:r w:rsidR="00EE4FC3">
        <w:t xml:space="preserve"> </w:t>
      </w:r>
      <w:r w:rsidRPr="00382917">
        <w:t>the</w:t>
      </w:r>
      <w:r w:rsidR="00EE4FC3">
        <w:t xml:space="preserve"> </w:t>
      </w:r>
      <w:r w:rsidRPr="00382917">
        <w:t>prince</w:t>
      </w:r>
      <w:r w:rsidR="0040329F">
        <w:t>.</w:t>
      </w:r>
      <w:r w:rsidR="00EE4FC3">
        <w:t xml:space="preserve">  </w:t>
      </w:r>
      <w:proofErr w:type="spellStart"/>
      <w:r w:rsidRPr="00382917">
        <w:t>Mihr</w:t>
      </w:r>
      <w:proofErr w:type="spellEnd"/>
      <w:r w:rsidR="00EE4FC3">
        <w:t xml:space="preserve"> </w:t>
      </w:r>
      <w:r w:rsidR="009C713D" w:rsidRPr="00382917">
        <w:t>‘</w:t>
      </w:r>
      <w:r w:rsidRPr="00382917">
        <w:t>Alí</w:t>
      </w:r>
      <w:r w:rsidR="00EE4FC3">
        <w:t xml:space="preserve"> </w:t>
      </w:r>
      <w:r w:rsidR="0040329F" w:rsidRPr="0040329F">
        <w:rPr>
          <w:u w:val="single"/>
        </w:rPr>
        <w:t>Kh</w:t>
      </w:r>
      <w:r w:rsidR="0040329F" w:rsidRPr="00382917">
        <w:t>án</w:t>
      </w:r>
      <w:r w:rsidR="00EE4FC3">
        <w:t xml:space="preserve"> </w:t>
      </w:r>
      <w:r w:rsidRPr="00382917">
        <w:t>fell</w:t>
      </w:r>
      <w:r w:rsidR="00EE4FC3">
        <w:t xml:space="preserve"> </w:t>
      </w:r>
      <w:r w:rsidRPr="00382917">
        <w:t>ill</w:t>
      </w:r>
      <w:r w:rsidR="00EE4FC3">
        <w:t xml:space="preserve"> </w:t>
      </w:r>
      <w:r w:rsidRPr="00382917">
        <w:t>shortly</w:t>
      </w:r>
      <w:r w:rsidR="00EE4FC3">
        <w:t xml:space="preserve"> </w:t>
      </w:r>
      <w:r w:rsidRPr="00382917">
        <w:t>after</w:t>
      </w:r>
      <w:r w:rsidR="00EE4FC3">
        <w:t xml:space="preserve"> </w:t>
      </w:r>
      <w:r w:rsidRPr="00382917">
        <w:t>that</w:t>
      </w:r>
      <w:r w:rsidR="00EE4FC3">
        <w:t xml:space="preserve"> </w:t>
      </w:r>
      <w:r w:rsidRPr="00382917">
        <w:t>march</w:t>
      </w:r>
      <w:r w:rsidR="0040329F">
        <w:t>.</w:t>
      </w:r>
      <w:r w:rsidR="00EE4FC3">
        <w:t xml:space="preserve">  </w:t>
      </w:r>
      <w:r w:rsidRPr="00382917">
        <w:t>His</w:t>
      </w:r>
      <w:r w:rsidR="00EE4FC3">
        <w:t xml:space="preserve"> </w:t>
      </w:r>
      <w:r w:rsidRPr="00382917">
        <w:t>lips</w:t>
      </w:r>
      <w:r w:rsidR="00EE4FC3">
        <w:t xml:space="preserve"> </w:t>
      </w:r>
      <w:r w:rsidRPr="00382917">
        <w:t>could</w:t>
      </w:r>
      <w:r w:rsidR="00EE4FC3">
        <w:t xml:space="preserve"> </w:t>
      </w:r>
      <w:r w:rsidRPr="00382917">
        <w:t>form</w:t>
      </w:r>
      <w:r w:rsidR="00EE4FC3">
        <w:t xml:space="preserve"> </w:t>
      </w:r>
      <w:r w:rsidRPr="00382917">
        <w:t>words,</w:t>
      </w:r>
      <w:r w:rsidR="00EE4FC3">
        <w:t xml:space="preserve"> </w:t>
      </w:r>
      <w:r w:rsidRPr="00382917">
        <w:t>but</w:t>
      </w:r>
      <w:r w:rsidR="00EE4FC3">
        <w:t xml:space="preserve"> </w:t>
      </w:r>
      <w:r w:rsidRPr="00382917">
        <w:t>no</w:t>
      </w:r>
      <w:r w:rsidR="00EE4FC3">
        <w:t xml:space="preserve"> </w:t>
      </w:r>
      <w:r w:rsidRPr="00382917">
        <w:t>sound</w:t>
      </w:r>
      <w:r w:rsidR="00EE4FC3">
        <w:t xml:space="preserve"> </w:t>
      </w:r>
      <w:r w:rsidRPr="00382917">
        <w:t>would</w:t>
      </w:r>
    </w:p>
    <w:p w:rsidR="00B2037B" w:rsidRPr="00382917" w:rsidRDefault="00B2037B">
      <w:pPr>
        <w:widowControl/>
        <w:kinsoku/>
        <w:overflowPunct/>
        <w:textAlignment w:val="auto"/>
      </w:pPr>
      <w:r w:rsidRPr="00382917">
        <w:br w:type="page"/>
      </w:r>
    </w:p>
    <w:p w:rsidR="00E13D49" w:rsidRPr="00382917" w:rsidRDefault="00B2037B" w:rsidP="008E112B">
      <w:pPr>
        <w:pStyle w:val="Textcts"/>
      </w:pPr>
      <w:proofErr w:type="gramStart"/>
      <w:r w:rsidRPr="00382917">
        <w:t>come</w:t>
      </w:r>
      <w:proofErr w:type="gramEnd"/>
      <w:r w:rsidR="00EE4FC3">
        <w:t xml:space="preserve"> </w:t>
      </w:r>
      <w:r w:rsidRPr="00382917">
        <w:t>out</w:t>
      </w:r>
      <w:r w:rsidR="0040329F">
        <w:t>.</w:t>
      </w:r>
      <w:r w:rsidR="00EE4FC3">
        <w:t xml:space="preserve">  </w:t>
      </w:r>
      <w:r w:rsidRPr="00382917">
        <w:t>He</w:t>
      </w:r>
      <w:r w:rsidR="00EE4FC3">
        <w:t xml:space="preserve"> </w:t>
      </w:r>
      <w:r w:rsidRPr="00382917">
        <w:t>remained</w:t>
      </w:r>
      <w:r w:rsidR="00EE4FC3">
        <w:t xml:space="preserve"> </w:t>
      </w:r>
      <w:r w:rsidRPr="00382917">
        <w:t>mute</w:t>
      </w:r>
      <w:r w:rsidR="00EE4FC3">
        <w:t xml:space="preserve"> </w:t>
      </w:r>
      <w:r w:rsidRPr="00382917">
        <w:t>and</w:t>
      </w:r>
      <w:r w:rsidR="00EE4FC3">
        <w:t xml:space="preserve"> </w:t>
      </w:r>
      <w:r w:rsidRPr="00382917">
        <w:t>speechless</w:t>
      </w:r>
      <w:r w:rsidR="00EE4FC3">
        <w:t xml:space="preserve"> </w:t>
      </w:r>
      <w:r w:rsidRPr="00382917">
        <w:t>until</w:t>
      </w:r>
      <w:r w:rsidR="00EE4FC3">
        <w:t xml:space="preserve"> </w:t>
      </w:r>
      <w:r w:rsidRPr="00382917">
        <w:t>the</w:t>
      </w:r>
      <w:r w:rsidR="00EE4FC3">
        <w:t xml:space="preserve"> </w:t>
      </w:r>
      <w:r w:rsidRPr="00382917">
        <w:t>very</w:t>
      </w:r>
      <w:r w:rsidR="00EE4FC3">
        <w:t xml:space="preserve"> </w:t>
      </w:r>
      <w:r w:rsidRPr="00382917">
        <w:t>day</w:t>
      </w:r>
      <w:r w:rsidR="00EE4FC3">
        <w:t xml:space="preserve"> </w:t>
      </w:r>
      <w:r w:rsidRPr="00382917">
        <w:t>of</w:t>
      </w:r>
      <w:r w:rsidR="00EE4FC3">
        <w:t xml:space="preserve"> </w:t>
      </w:r>
      <w:r w:rsidRPr="00382917">
        <w:t>his</w:t>
      </w:r>
      <w:r w:rsidR="00EE4FC3">
        <w:t xml:space="preserve"> </w:t>
      </w:r>
      <w:r w:rsidRPr="00382917">
        <w:t>death</w:t>
      </w:r>
      <w:r w:rsidR="0040329F">
        <w:t>.</w:t>
      </w:r>
      <w:r w:rsidR="00EE4FC3">
        <w:t xml:space="preserve">  </w:t>
      </w:r>
      <w:r w:rsidRPr="00382917">
        <w:t>On</w:t>
      </w:r>
      <w:r w:rsidR="00EE4FC3">
        <w:t xml:space="preserve"> </w:t>
      </w:r>
      <w:r w:rsidRPr="00382917">
        <w:t>that</w:t>
      </w:r>
      <w:r w:rsidR="00EE4FC3">
        <w:t xml:space="preserve"> </w:t>
      </w:r>
      <w:r w:rsidRPr="00382917">
        <w:t>last</w:t>
      </w:r>
      <w:r w:rsidR="00EE4FC3">
        <w:t xml:space="preserve"> </w:t>
      </w:r>
      <w:r w:rsidRPr="00382917">
        <w:t>day,</w:t>
      </w:r>
      <w:r w:rsidR="00EE4FC3">
        <w:t xml:space="preserve"> </w:t>
      </w:r>
      <w:r w:rsidRPr="00382917">
        <w:t>as</w:t>
      </w:r>
      <w:r w:rsidR="00EE4FC3">
        <w:t xml:space="preserve"> </w:t>
      </w:r>
      <w:r w:rsidRPr="00382917">
        <w:t>he</w:t>
      </w:r>
      <w:r w:rsidR="00EE4FC3">
        <w:t xml:space="preserve"> </w:t>
      </w:r>
      <w:r w:rsidRPr="00382917">
        <w:t>was</w:t>
      </w:r>
      <w:r w:rsidR="00EE4FC3">
        <w:t xml:space="preserve"> </w:t>
      </w:r>
      <w:r w:rsidRPr="00382917">
        <w:t>about</w:t>
      </w:r>
      <w:r w:rsidR="00EE4FC3">
        <w:t xml:space="preserve"> </w:t>
      </w:r>
      <w:r w:rsidRPr="00382917">
        <w:t>to</w:t>
      </w:r>
      <w:r w:rsidR="00EE4FC3">
        <w:t xml:space="preserve"> </w:t>
      </w:r>
      <w:r w:rsidRPr="00382917">
        <w:t>expire,</w:t>
      </w:r>
      <w:r w:rsidR="00EE4FC3">
        <w:t xml:space="preserve"> </w:t>
      </w:r>
      <w:r w:rsidRPr="00382917">
        <w:t>those</w:t>
      </w:r>
      <w:r w:rsidR="00EE4FC3">
        <w:t xml:space="preserve"> </w:t>
      </w:r>
      <w:r w:rsidRPr="00382917">
        <w:t>who</w:t>
      </w:r>
      <w:r w:rsidR="00EE4FC3">
        <w:t xml:space="preserve"> </w:t>
      </w:r>
      <w:r w:rsidRPr="00382917">
        <w:t>stood</w:t>
      </w:r>
      <w:r w:rsidR="00EE4FC3">
        <w:t xml:space="preserve"> </w:t>
      </w:r>
      <w:r w:rsidRPr="00382917">
        <w:t>around</w:t>
      </w:r>
      <w:r w:rsidR="00EE4FC3">
        <w:t xml:space="preserve"> </w:t>
      </w:r>
      <w:r w:rsidRPr="00382917">
        <w:t>him</w:t>
      </w:r>
      <w:r w:rsidR="00EE4FC3">
        <w:t xml:space="preserve"> </w:t>
      </w:r>
      <w:r w:rsidRPr="00382917">
        <w:t>saw</w:t>
      </w:r>
      <w:r w:rsidR="00EE4FC3">
        <w:t xml:space="preserve"> </w:t>
      </w:r>
      <w:r w:rsidRPr="00382917">
        <w:t>from</w:t>
      </w:r>
      <w:r w:rsidR="00EE4FC3">
        <w:t xml:space="preserve"> </w:t>
      </w:r>
      <w:r w:rsidRPr="00382917">
        <w:t>the</w:t>
      </w:r>
      <w:r w:rsidR="00EE4FC3">
        <w:t xml:space="preserve"> </w:t>
      </w:r>
      <w:r w:rsidRPr="00382917">
        <w:t>movement</w:t>
      </w:r>
      <w:r w:rsidR="00EE4FC3">
        <w:t xml:space="preserve"> </w:t>
      </w:r>
      <w:r w:rsidRPr="00382917">
        <w:t>of</w:t>
      </w:r>
      <w:r w:rsidR="00EE4FC3">
        <w:t xml:space="preserve"> </w:t>
      </w:r>
      <w:r w:rsidRPr="00382917">
        <w:t>lips</w:t>
      </w:r>
      <w:r w:rsidR="00EE4FC3">
        <w:t xml:space="preserve"> </w:t>
      </w:r>
      <w:r w:rsidRPr="00382917">
        <w:t>that</w:t>
      </w:r>
      <w:r w:rsidR="00EE4FC3">
        <w:t xml:space="preserve"> </w:t>
      </w:r>
      <w:r w:rsidRPr="00382917">
        <w:t>he</w:t>
      </w:r>
      <w:r w:rsidR="00EE4FC3">
        <w:t xml:space="preserve"> </w:t>
      </w:r>
      <w:r w:rsidRPr="00382917">
        <w:t>was</w:t>
      </w:r>
      <w:r w:rsidR="00EE4FC3">
        <w:t xml:space="preserve"> </w:t>
      </w:r>
      <w:r w:rsidRPr="00382917">
        <w:t>whispering</w:t>
      </w:r>
      <w:r w:rsidR="00EE4FC3">
        <w:t xml:space="preserve"> </w:t>
      </w:r>
      <w:r w:rsidRPr="00382917">
        <w:t>something</w:t>
      </w:r>
      <w:r w:rsidR="0040329F">
        <w:t>.</w:t>
      </w:r>
      <w:r w:rsidR="00EE4FC3">
        <w:t xml:space="preserve">  </w:t>
      </w:r>
      <w:r w:rsidRPr="00382917">
        <w:t>They</w:t>
      </w:r>
      <w:r w:rsidR="00EE4FC3">
        <w:t xml:space="preserve"> </w:t>
      </w:r>
      <w:r w:rsidRPr="00382917">
        <w:t>leaned</w:t>
      </w:r>
      <w:r w:rsidR="00EE4FC3">
        <w:t xml:space="preserve"> </w:t>
      </w:r>
      <w:r w:rsidRPr="00382917">
        <w:t>down</w:t>
      </w:r>
      <w:r w:rsidR="00EE4FC3">
        <w:t xml:space="preserve"> </w:t>
      </w:r>
      <w:r w:rsidRPr="00382917">
        <w:t>to</w:t>
      </w:r>
      <w:r w:rsidR="00EE4FC3">
        <w:t xml:space="preserve"> </w:t>
      </w:r>
      <w:r w:rsidRPr="00382917">
        <w:t>catch</w:t>
      </w:r>
      <w:r w:rsidR="00EE4FC3">
        <w:t xml:space="preserve"> </w:t>
      </w:r>
      <w:r w:rsidRPr="00382917">
        <w:t>his</w:t>
      </w:r>
      <w:r w:rsidR="00EE4FC3">
        <w:t xml:space="preserve"> </w:t>
      </w:r>
      <w:r w:rsidRPr="00382917">
        <w:t>last</w:t>
      </w:r>
      <w:r w:rsidR="00EE4FC3">
        <w:t xml:space="preserve"> </w:t>
      </w:r>
      <w:r w:rsidRPr="00382917">
        <w:t>words</w:t>
      </w:r>
      <w:r w:rsidR="00EE4FC3">
        <w:t xml:space="preserve"> </w:t>
      </w:r>
      <w:r w:rsidRPr="00382917">
        <w:t>and</w:t>
      </w:r>
      <w:r w:rsidR="00EE4FC3">
        <w:t xml:space="preserve"> </w:t>
      </w:r>
      <w:r w:rsidRPr="00382917">
        <w:t>heard</w:t>
      </w:r>
      <w:r w:rsidR="00EE4FC3">
        <w:t xml:space="preserve"> </w:t>
      </w:r>
      <w:r w:rsidRPr="00382917">
        <w:t>the</w:t>
      </w:r>
      <w:r w:rsidR="00EE4FC3">
        <w:t xml:space="preserve"> </w:t>
      </w:r>
      <w:r w:rsidRPr="00382917">
        <w:t>only</w:t>
      </w:r>
      <w:r w:rsidR="00EE4FC3">
        <w:t xml:space="preserve"> </w:t>
      </w:r>
      <w:r w:rsidRPr="00382917">
        <w:t>sound</w:t>
      </w:r>
      <w:r w:rsidR="00EE4FC3">
        <w:t xml:space="preserve"> </w:t>
      </w:r>
      <w:r w:rsidRPr="00382917">
        <w:t>that</w:t>
      </w:r>
      <w:r w:rsidR="00EE4FC3">
        <w:t xml:space="preserve"> </w:t>
      </w:r>
      <w:r w:rsidRPr="00382917">
        <w:t>had</w:t>
      </w:r>
      <w:r w:rsidR="00EE4FC3">
        <w:t xml:space="preserve"> </w:t>
      </w:r>
      <w:r w:rsidRPr="00382917">
        <w:t>issued</w:t>
      </w:r>
      <w:r w:rsidR="00EE4FC3">
        <w:t xml:space="preserve"> </w:t>
      </w:r>
      <w:r w:rsidRPr="00382917">
        <w:t>from</w:t>
      </w:r>
      <w:r w:rsidR="00EE4FC3">
        <w:t xml:space="preserve"> </w:t>
      </w:r>
      <w:r w:rsidRPr="00382917">
        <w:t>his</w:t>
      </w:r>
      <w:r w:rsidR="00EE4FC3">
        <w:t xml:space="preserve"> </w:t>
      </w:r>
      <w:r w:rsidRPr="00382917">
        <w:t>lips</w:t>
      </w:r>
      <w:r w:rsidR="00EE4FC3">
        <w:t xml:space="preserve"> </w:t>
      </w:r>
      <w:r w:rsidRPr="00382917">
        <w:t>since</w:t>
      </w:r>
      <w:r w:rsidR="00EE4FC3">
        <w:t xml:space="preserve"> </w:t>
      </w:r>
      <w:r w:rsidRPr="00382917">
        <w:t>he</w:t>
      </w:r>
      <w:r w:rsidR="00EE4FC3">
        <w:t xml:space="preserve"> </w:t>
      </w:r>
      <w:r w:rsidRPr="00382917">
        <w:t>had</w:t>
      </w:r>
      <w:r w:rsidR="00EE4FC3">
        <w:t xml:space="preserve"> </w:t>
      </w:r>
      <w:r w:rsidRPr="00382917">
        <w:t>been</w:t>
      </w:r>
      <w:r w:rsidR="00EE4FC3">
        <w:t xml:space="preserve"> </w:t>
      </w:r>
      <w:r w:rsidRPr="00382917">
        <w:t>stricken</w:t>
      </w:r>
      <w:r w:rsidR="0040329F">
        <w:t>.</w:t>
      </w:r>
      <w:r w:rsidR="00EE4FC3">
        <w:t xml:space="preserve">  </w:t>
      </w:r>
      <w:r w:rsidRPr="00382917">
        <w:t>Three</w:t>
      </w:r>
      <w:r w:rsidR="00EE4FC3">
        <w:t xml:space="preserve"> </w:t>
      </w:r>
      <w:r w:rsidRPr="00382917">
        <w:t>times</w:t>
      </w:r>
      <w:r w:rsidR="00EE4FC3">
        <w:t xml:space="preserve"> </w:t>
      </w:r>
      <w:r w:rsidRPr="00382917">
        <w:t>he</w:t>
      </w:r>
      <w:r w:rsidR="00EE4FC3">
        <w:t xml:space="preserve"> </w:t>
      </w:r>
      <w:r w:rsidRPr="00382917">
        <w:t>whispered</w:t>
      </w:r>
      <w:r w:rsidR="00EE4FC3">
        <w:t xml:space="preserve"> </w:t>
      </w:r>
      <w:r w:rsidRPr="00382917">
        <w:t>faintly</w:t>
      </w:r>
      <w:r w:rsidR="00EE4FC3">
        <w:t xml:space="preserve"> </w:t>
      </w:r>
      <w:r w:rsidRPr="00382917">
        <w:t>the</w:t>
      </w:r>
      <w:r w:rsidR="00EE4FC3">
        <w:t xml:space="preserve"> </w:t>
      </w:r>
      <w:r w:rsidRPr="00382917">
        <w:t>words,</w:t>
      </w:r>
      <w:r w:rsidR="00EE4FC3">
        <w:t xml:space="preserve"> </w:t>
      </w:r>
      <w:r w:rsidR="009C713D" w:rsidRPr="00382917">
        <w:t>“</w:t>
      </w:r>
      <w:r w:rsidRPr="00382917">
        <w:t>Followers</w:t>
      </w:r>
      <w:r w:rsidR="00EE4FC3">
        <w:t xml:space="preserve"> </w:t>
      </w:r>
      <w:r w:rsidRPr="00382917">
        <w:t>of</w:t>
      </w:r>
      <w:r w:rsidR="00EE4FC3">
        <w:t xml:space="preserve"> </w:t>
      </w:r>
      <w:r w:rsidRPr="00382917">
        <w:t>the</w:t>
      </w:r>
      <w:r w:rsidR="00EE4FC3">
        <w:t xml:space="preserve"> </w:t>
      </w:r>
      <w:r w:rsidRPr="00382917">
        <w:t>Báb!</w:t>
      </w:r>
      <w:r w:rsidR="009C713D" w:rsidRPr="00382917">
        <w:t>”</w:t>
      </w:r>
      <w:r w:rsidR="00EE4FC3">
        <w:t xml:space="preserve"> </w:t>
      </w:r>
      <w:r w:rsidR="003E0FC2">
        <w:t xml:space="preserve"> </w:t>
      </w:r>
      <w:r w:rsidRPr="00382917">
        <w:t>Then</w:t>
      </w:r>
      <w:r w:rsidR="00EE4FC3">
        <w:t xml:space="preserve"> </w:t>
      </w:r>
      <w:r w:rsidRPr="00382917">
        <w:t>he</w:t>
      </w:r>
      <w:r w:rsidR="00EE4FC3">
        <w:t xml:space="preserve"> </w:t>
      </w:r>
      <w:r w:rsidRPr="00382917">
        <w:t>fell</w:t>
      </w:r>
      <w:r w:rsidR="00EE4FC3">
        <w:t xml:space="preserve"> </w:t>
      </w:r>
      <w:r w:rsidRPr="00382917">
        <w:t>back</w:t>
      </w:r>
      <w:r w:rsidR="00EE4FC3">
        <w:t xml:space="preserve"> </w:t>
      </w:r>
      <w:r w:rsidRPr="00382917">
        <w:t>dead.</w:t>
      </w:r>
      <w:r w:rsidR="008E112B">
        <w:rPr>
          <w:rStyle w:val="FootnoteReference"/>
        </w:rPr>
        <w:footnoteReference w:id="177"/>
      </w:r>
    </w:p>
    <w:p w:rsidR="00B2037B" w:rsidRPr="00382917" w:rsidRDefault="00B2037B" w:rsidP="00B2037B">
      <w:pPr>
        <w:pStyle w:val="Text"/>
      </w:pPr>
      <w:r w:rsidRPr="00382917">
        <w:t>In</w:t>
      </w:r>
      <w:r w:rsidR="00EE4FC3">
        <w:t xml:space="preserve"> </w:t>
      </w:r>
      <w:r w:rsidR="001713B3" w:rsidRPr="001713B3">
        <w:rPr>
          <w:i/>
          <w:iCs/>
        </w:rPr>
        <w:t>A</w:t>
      </w:r>
      <w:r w:rsidR="00EE4FC3">
        <w:rPr>
          <w:i/>
          <w:iCs/>
        </w:rPr>
        <w:t xml:space="preserve"> </w:t>
      </w:r>
      <w:r w:rsidR="001713B3" w:rsidRPr="001713B3">
        <w:rPr>
          <w:i/>
          <w:iCs/>
        </w:rPr>
        <w:t>Traveller’s</w:t>
      </w:r>
      <w:r w:rsidR="00EE4FC3">
        <w:rPr>
          <w:i/>
          <w:iCs/>
        </w:rPr>
        <w:t xml:space="preserve"> </w:t>
      </w:r>
      <w:r w:rsidR="001713B3" w:rsidRPr="001713B3">
        <w:rPr>
          <w:i/>
          <w:iCs/>
        </w:rPr>
        <w:t>Narrative</w:t>
      </w:r>
      <w:r w:rsidRPr="00382917">
        <w:t>,</w:t>
      </w:r>
      <w:r w:rsidR="00EE4FC3">
        <w:t xml:space="preserve"> </w:t>
      </w:r>
      <w:r w:rsidRPr="00382917">
        <w:t>it</w:t>
      </w:r>
      <w:r w:rsidR="00EE4FC3">
        <w:t xml:space="preserve"> </w:t>
      </w:r>
      <w:r w:rsidRPr="00382917">
        <w:t>is</w:t>
      </w:r>
      <w:r w:rsidR="00EE4FC3">
        <w:t xml:space="preserve"> </w:t>
      </w:r>
      <w:r w:rsidRPr="00382917">
        <w:t>reported</w:t>
      </w:r>
      <w:r w:rsidR="00EE4FC3">
        <w:t xml:space="preserve"> </w:t>
      </w:r>
      <w:r w:rsidRPr="00382917">
        <w:t>that</w:t>
      </w:r>
      <w:r w:rsidR="00EE4FC3">
        <w:t xml:space="preserve"> </w:t>
      </w:r>
      <w:r w:rsidR="009C713D" w:rsidRPr="00382917">
        <w:t>“</w:t>
      </w:r>
      <w:r w:rsidRPr="00382917">
        <w:t>of</w:t>
      </w:r>
      <w:r w:rsidR="00EE4FC3">
        <w:t xml:space="preserve"> </w:t>
      </w:r>
      <w:r w:rsidRPr="00382917">
        <w:t>those</w:t>
      </w:r>
      <w:r w:rsidR="00EE4FC3">
        <w:t xml:space="preserve"> </w:t>
      </w:r>
      <w:r w:rsidRPr="00382917">
        <w:t>chiefly</w:t>
      </w:r>
      <w:r w:rsidR="00EE4FC3">
        <w:t xml:space="preserve"> </w:t>
      </w:r>
      <w:r w:rsidRPr="00382917">
        <w:t>responsible</w:t>
      </w:r>
      <w:r w:rsidR="00EE4FC3">
        <w:t xml:space="preserve"> </w:t>
      </w:r>
      <w:r w:rsidRPr="00382917">
        <w:t>for</w:t>
      </w:r>
      <w:r w:rsidR="00EE4FC3">
        <w:t xml:space="preserve"> </w:t>
      </w:r>
      <w:r w:rsidRPr="00382917">
        <w:t>these</w:t>
      </w:r>
      <w:r w:rsidR="00EE4FC3">
        <w:t xml:space="preserve"> </w:t>
      </w:r>
      <w:r w:rsidRPr="00382917">
        <w:t>cruelties</w:t>
      </w:r>
      <w:r w:rsidR="00EE4FC3">
        <w:t xml:space="preserve"> </w:t>
      </w:r>
      <w:r w:rsidRPr="00382917">
        <w:t>not</w:t>
      </w:r>
      <w:r w:rsidR="00EE4FC3">
        <w:t xml:space="preserve"> </w:t>
      </w:r>
      <w:r w:rsidRPr="00382917">
        <w:t>one</w:t>
      </w:r>
      <w:r w:rsidR="00EE4FC3">
        <w:t xml:space="preserve"> </w:t>
      </w:r>
      <w:r w:rsidRPr="00382917">
        <w:t>but</w:t>
      </w:r>
      <w:r w:rsidR="00EE4FC3">
        <w:t xml:space="preserve"> </w:t>
      </w:r>
      <w:r w:rsidRPr="00382917">
        <w:t>came</w:t>
      </w:r>
      <w:r w:rsidR="00EE4FC3">
        <w:t xml:space="preserve"> </w:t>
      </w:r>
      <w:r w:rsidRPr="00382917">
        <w:t>to</w:t>
      </w:r>
      <w:r w:rsidR="00EE4FC3">
        <w:t xml:space="preserve"> </w:t>
      </w:r>
      <w:r w:rsidRPr="00382917">
        <w:t>a</w:t>
      </w:r>
      <w:r w:rsidR="00EE4FC3">
        <w:t xml:space="preserve"> </w:t>
      </w:r>
      <w:r w:rsidRPr="00382917">
        <w:t>bad</w:t>
      </w:r>
      <w:r w:rsidR="00EE4FC3">
        <w:t xml:space="preserve"> </w:t>
      </w:r>
      <w:r w:rsidRPr="00382917">
        <w:t>end</w:t>
      </w:r>
      <w:r w:rsidR="00EE4FC3">
        <w:t xml:space="preserve"> </w:t>
      </w:r>
      <w:r w:rsidRPr="00382917">
        <w:t>and</w:t>
      </w:r>
      <w:r w:rsidR="00EE4FC3">
        <w:t xml:space="preserve"> </w:t>
      </w:r>
      <w:r w:rsidRPr="00382917">
        <w:t>died</w:t>
      </w:r>
      <w:r w:rsidR="00EE4FC3">
        <w:t xml:space="preserve"> </w:t>
      </w:r>
      <w:r w:rsidRPr="00382917">
        <w:t>overwhelmed</w:t>
      </w:r>
      <w:r w:rsidR="00EE4FC3">
        <w:t xml:space="preserve"> </w:t>
      </w:r>
      <w:r w:rsidRPr="00382917">
        <w:t>with</w:t>
      </w:r>
      <w:r w:rsidR="00EE4FC3">
        <w:t xml:space="preserve"> </w:t>
      </w:r>
      <w:r w:rsidRPr="00382917">
        <w:t>calamity.</w:t>
      </w:r>
      <w:r w:rsidR="009C713D" w:rsidRPr="00382917">
        <w:t>”</w:t>
      </w:r>
    </w:p>
    <w:p w:rsidR="00B2037B" w:rsidRPr="00382917" w:rsidRDefault="00B2037B" w:rsidP="003E0FC2">
      <w:pPr>
        <w:pStyle w:val="Text"/>
      </w:pPr>
      <w:r w:rsidRPr="00382917">
        <w:t>Another</w:t>
      </w:r>
      <w:r w:rsidR="00EE4FC3">
        <w:t xml:space="preserve"> </w:t>
      </w:r>
      <w:r w:rsidRPr="00382917">
        <w:t>great</w:t>
      </w:r>
      <w:r w:rsidR="00EE4FC3">
        <w:t xml:space="preserve"> </w:t>
      </w:r>
      <w:r w:rsidRPr="00382917">
        <w:t>figure</w:t>
      </w:r>
      <w:r w:rsidR="00EE4FC3">
        <w:t xml:space="preserve"> </w:t>
      </w:r>
      <w:r w:rsidRPr="00382917">
        <w:t>among</w:t>
      </w:r>
      <w:r w:rsidR="00EE4FC3">
        <w:t xml:space="preserve"> </w:t>
      </w:r>
      <w:r w:rsidRPr="00382917">
        <w:t>the</w:t>
      </w:r>
      <w:r w:rsidR="00EE4FC3">
        <w:t xml:space="preserve"> </w:t>
      </w:r>
      <w:r w:rsidRPr="00382917">
        <w:t>followers</w:t>
      </w:r>
      <w:r w:rsidR="00EE4FC3">
        <w:t xml:space="preserve"> </w:t>
      </w:r>
      <w:r w:rsidRPr="00382917">
        <w:t>of</w:t>
      </w:r>
      <w:r w:rsidR="00EE4FC3">
        <w:t xml:space="preserve"> </w:t>
      </w:r>
      <w:r w:rsidRPr="00382917">
        <w:t>the</w:t>
      </w:r>
      <w:r w:rsidR="00EE4FC3">
        <w:t xml:space="preserve"> </w:t>
      </w:r>
      <w:r w:rsidRPr="00382917">
        <w:t>Báb</w:t>
      </w:r>
      <w:r w:rsidR="00EE4FC3">
        <w:t xml:space="preserve"> </w:t>
      </w:r>
      <w:r w:rsidRPr="00382917">
        <w:t>had</w:t>
      </w:r>
      <w:r w:rsidR="00EE4FC3">
        <w:t xml:space="preserve"> </w:t>
      </w:r>
      <w:r w:rsidRPr="00382917">
        <w:t>fallen,</w:t>
      </w:r>
      <w:r w:rsidR="00EE4FC3">
        <w:t xml:space="preserve"> </w:t>
      </w:r>
      <w:r w:rsidRPr="00382917">
        <w:t>a</w:t>
      </w:r>
      <w:r w:rsidR="00EE4FC3">
        <w:t xml:space="preserve"> </w:t>
      </w:r>
      <w:r w:rsidRPr="00382917">
        <w:t>man</w:t>
      </w:r>
      <w:r w:rsidR="00EE4FC3">
        <w:t xml:space="preserve"> </w:t>
      </w:r>
      <w:r w:rsidRPr="00382917">
        <w:t>who</w:t>
      </w:r>
      <w:r w:rsidR="00EE4FC3">
        <w:t xml:space="preserve"> </w:t>
      </w:r>
      <w:r w:rsidRPr="00382917">
        <w:t>has</w:t>
      </w:r>
      <w:r w:rsidR="00EE4FC3">
        <w:t xml:space="preserve"> </w:t>
      </w:r>
      <w:r w:rsidRPr="00382917">
        <w:t>been</w:t>
      </w:r>
      <w:r w:rsidR="00EE4FC3">
        <w:t xml:space="preserve"> </w:t>
      </w:r>
      <w:r w:rsidRPr="00382917">
        <w:t>called</w:t>
      </w:r>
      <w:r w:rsidR="00EE4FC3">
        <w:t xml:space="preserve"> </w:t>
      </w:r>
      <w:r w:rsidR="009C713D" w:rsidRPr="00382917">
        <w:t>“</w:t>
      </w:r>
      <w:r w:rsidRPr="00382917">
        <w:t>that</w:t>
      </w:r>
      <w:r w:rsidR="00EE4FC3">
        <w:t xml:space="preserve"> </w:t>
      </w:r>
      <w:r w:rsidRPr="00382917">
        <w:t>unique</w:t>
      </w:r>
      <w:r w:rsidR="00EE4FC3">
        <w:t xml:space="preserve"> </w:t>
      </w:r>
      <w:r w:rsidRPr="00382917">
        <w:t>and</w:t>
      </w:r>
      <w:r w:rsidR="00EE4FC3">
        <w:t xml:space="preserve"> </w:t>
      </w:r>
      <w:r w:rsidRPr="00382917">
        <w:t>peerless</w:t>
      </w:r>
      <w:r w:rsidR="00EE4FC3">
        <w:t xml:space="preserve"> </w:t>
      </w:r>
      <w:r w:rsidRPr="00382917">
        <w:t>figure</w:t>
      </w:r>
      <w:r w:rsidR="00EE4FC3">
        <w:t xml:space="preserve"> </w:t>
      </w:r>
      <w:r w:rsidRPr="00382917">
        <w:t>of</w:t>
      </w:r>
      <w:r w:rsidR="00EE4FC3">
        <w:t xml:space="preserve"> </w:t>
      </w:r>
      <w:r w:rsidRPr="00382917">
        <w:t>his</w:t>
      </w:r>
      <w:r w:rsidR="00EE4FC3">
        <w:t xml:space="preserve"> </w:t>
      </w:r>
      <w:r w:rsidRPr="00382917">
        <w:t>age.</w:t>
      </w:r>
      <w:r w:rsidR="009C713D" w:rsidRPr="00382917">
        <w:t>”</w:t>
      </w:r>
      <w:r w:rsidR="003E0FC2">
        <w:rPr>
          <w:rStyle w:val="FootnoteReference"/>
        </w:rPr>
        <w:footnoteReference w:id="178"/>
      </w:r>
      <w:r w:rsidR="00EE4FC3">
        <w:t xml:space="preserve">  </w:t>
      </w:r>
      <w:r w:rsidRPr="00382917">
        <w:t>The</w:t>
      </w:r>
      <w:r w:rsidR="00EE4FC3">
        <w:t xml:space="preserve"> </w:t>
      </w:r>
      <w:r w:rsidRPr="00382917">
        <w:t>illustrious</w:t>
      </w:r>
      <w:r w:rsidR="00EE4FC3">
        <w:t xml:space="preserve"> </w:t>
      </w:r>
      <w:r w:rsidRPr="00382917">
        <w:t>Va</w:t>
      </w:r>
      <w:r w:rsidRPr="00382917">
        <w:rPr>
          <w:sz w:val="22"/>
        </w:rPr>
        <w:t>ḥ</w:t>
      </w:r>
      <w:r w:rsidRPr="00382917">
        <w:t>íd,</w:t>
      </w:r>
      <w:r w:rsidR="00EE4FC3">
        <w:t xml:space="preserve"> </w:t>
      </w:r>
      <w:r w:rsidRPr="00382917">
        <w:t>described</w:t>
      </w:r>
      <w:r w:rsidR="00EE4FC3">
        <w:t xml:space="preserve"> </w:t>
      </w:r>
      <w:r w:rsidRPr="00382917">
        <w:t>by</w:t>
      </w:r>
      <w:r w:rsidR="00EE4FC3">
        <w:t xml:space="preserve"> </w:t>
      </w:r>
      <w:r w:rsidRPr="00382917">
        <w:t>the</w:t>
      </w:r>
      <w:r w:rsidR="00EE4FC3">
        <w:t xml:space="preserve"> </w:t>
      </w:r>
      <w:r w:rsidRPr="00382917">
        <w:t>king</w:t>
      </w:r>
      <w:r w:rsidR="00EE4FC3">
        <w:t xml:space="preserve"> </w:t>
      </w:r>
      <w:r w:rsidRPr="00382917">
        <w:t>and</w:t>
      </w:r>
      <w:r w:rsidR="00EE4FC3">
        <w:t xml:space="preserve"> </w:t>
      </w:r>
      <w:r w:rsidRPr="00382917">
        <w:t>Prime</w:t>
      </w:r>
      <w:r w:rsidR="00EE4FC3">
        <w:t xml:space="preserve"> </w:t>
      </w:r>
      <w:r w:rsidRPr="00382917">
        <w:t>Minister</w:t>
      </w:r>
      <w:r w:rsidR="00EE4FC3">
        <w:t xml:space="preserve"> </w:t>
      </w:r>
      <w:r w:rsidR="009C713D" w:rsidRPr="00382917">
        <w:t>“</w:t>
      </w:r>
      <w:r w:rsidRPr="00382917">
        <w:t>the</w:t>
      </w:r>
      <w:r w:rsidR="00EE4FC3">
        <w:t xml:space="preserve"> </w:t>
      </w:r>
      <w:r w:rsidRPr="00382917">
        <w:t>wisest</w:t>
      </w:r>
      <w:r w:rsidR="00EE4FC3">
        <w:t xml:space="preserve"> </w:t>
      </w:r>
      <w:r w:rsidRPr="00382917">
        <w:t>of</w:t>
      </w:r>
      <w:r w:rsidR="00EE4FC3">
        <w:t xml:space="preserve"> </w:t>
      </w:r>
      <w:r w:rsidRPr="00382917">
        <w:t>the</w:t>
      </w:r>
      <w:r w:rsidR="00EE4FC3">
        <w:t xml:space="preserve"> </w:t>
      </w:r>
      <w:r w:rsidRPr="00382917">
        <w:t>Persians,</w:t>
      </w:r>
      <w:r w:rsidR="009C713D" w:rsidRPr="00382917">
        <w:t>”</w:t>
      </w:r>
      <w:r w:rsidR="00EE4FC3">
        <w:t xml:space="preserve"> </w:t>
      </w:r>
      <w:r w:rsidRPr="00382917">
        <w:t>had</w:t>
      </w:r>
      <w:r w:rsidR="00EE4FC3">
        <w:t xml:space="preserve"> </w:t>
      </w:r>
      <w:r w:rsidRPr="00382917">
        <w:t>surrendered</w:t>
      </w:r>
      <w:r w:rsidR="00EE4FC3">
        <w:t xml:space="preserve"> </w:t>
      </w:r>
      <w:r w:rsidRPr="00382917">
        <w:t>all</w:t>
      </w:r>
      <w:r w:rsidR="00EE4FC3">
        <w:t xml:space="preserve"> </w:t>
      </w:r>
      <w:r w:rsidRPr="00382917">
        <w:t>that</w:t>
      </w:r>
      <w:r w:rsidR="00EE4FC3">
        <w:t xml:space="preserve"> </w:t>
      </w:r>
      <w:r w:rsidRPr="00382917">
        <w:t>men</w:t>
      </w:r>
      <w:r w:rsidR="00EE4FC3">
        <w:t xml:space="preserve"> </w:t>
      </w:r>
      <w:r w:rsidRPr="00382917">
        <w:t>hold</w:t>
      </w:r>
      <w:r w:rsidR="00EE4FC3">
        <w:t xml:space="preserve"> </w:t>
      </w:r>
      <w:r w:rsidRPr="00382917">
        <w:t>dear</w:t>
      </w:r>
      <w:r w:rsidR="00EE4FC3">
        <w:t xml:space="preserve"> </w:t>
      </w:r>
      <w:r w:rsidRPr="00382917">
        <w:t>for</w:t>
      </w:r>
      <w:r w:rsidR="00EE4FC3">
        <w:t xml:space="preserve"> </w:t>
      </w:r>
      <w:r w:rsidRPr="00382917">
        <w:t>the</w:t>
      </w:r>
      <w:r w:rsidR="00EE4FC3">
        <w:t xml:space="preserve"> </w:t>
      </w:r>
      <w:r w:rsidRPr="00382917">
        <w:t>privilege</w:t>
      </w:r>
      <w:r w:rsidR="00EE4FC3">
        <w:t xml:space="preserve"> </w:t>
      </w:r>
      <w:r w:rsidRPr="00382917">
        <w:t>of</w:t>
      </w:r>
      <w:r w:rsidR="00EE4FC3">
        <w:t xml:space="preserve"> </w:t>
      </w:r>
      <w:r w:rsidRPr="00382917">
        <w:t>laying</w:t>
      </w:r>
      <w:r w:rsidR="00EE4FC3">
        <w:t xml:space="preserve"> </w:t>
      </w:r>
      <w:r w:rsidRPr="00382917">
        <w:t>down</w:t>
      </w:r>
      <w:r w:rsidR="00EE4FC3">
        <w:t xml:space="preserve"> </w:t>
      </w:r>
      <w:r w:rsidRPr="00382917">
        <w:t>his</w:t>
      </w:r>
      <w:r w:rsidR="00EE4FC3">
        <w:t xml:space="preserve"> </w:t>
      </w:r>
      <w:r w:rsidRPr="00382917">
        <w:t>life</w:t>
      </w:r>
      <w:r w:rsidR="00EE4FC3">
        <w:t xml:space="preserve"> </w:t>
      </w:r>
      <w:r w:rsidRPr="00382917">
        <w:t>in</w:t>
      </w:r>
      <w:r w:rsidR="00EE4FC3">
        <w:t xml:space="preserve"> </w:t>
      </w:r>
      <w:r w:rsidRPr="00382917">
        <w:t>the</w:t>
      </w:r>
      <w:r w:rsidR="00EE4FC3">
        <w:t xml:space="preserve"> </w:t>
      </w:r>
      <w:r w:rsidRPr="00382917">
        <w:t>path</w:t>
      </w:r>
      <w:r w:rsidR="00EE4FC3">
        <w:t xml:space="preserve"> </w:t>
      </w:r>
      <w:r w:rsidRPr="00382917">
        <w:t>of</w:t>
      </w:r>
      <w:r w:rsidR="00EE4FC3">
        <w:t xml:space="preserve"> </w:t>
      </w:r>
      <w:r w:rsidRPr="00382917">
        <w:t>God</w:t>
      </w:r>
      <w:r w:rsidR="0040329F">
        <w:t>.</w:t>
      </w:r>
      <w:r w:rsidR="00EE4FC3">
        <w:t xml:space="preserve">  </w:t>
      </w:r>
      <w:r w:rsidRPr="00382917">
        <w:t>The</w:t>
      </w:r>
      <w:r w:rsidR="00EE4FC3">
        <w:t xml:space="preserve"> </w:t>
      </w:r>
      <w:r w:rsidRPr="00382917">
        <w:t>day</w:t>
      </w:r>
      <w:r w:rsidR="00EE4FC3">
        <w:t xml:space="preserve"> </w:t>
      </w:r>
      <w:r w:rsidRPr="00382917">
        <w:t>of</w:t>
      </w:r>
      <w:r w:rsidR="00EE4FC3">
        <w:t xml:space="preserve"> </w:t>
      </w:r>
      <w:proofErr w:type="spellStart"/>
      <w:r w:rsidRPr="00382917">
        <w:t>Vaḥíd</w:t>
      </w:r>
      <w:r w:rsidR="009C713D" w:rsidRPr="00382917">
        <w:t>’</w:t>
      </w:r>
      <w:r w:rsidRPr="00382917">
        <w:t>s</w:t>
      </w:r>
      <w:proofErr w:type="spellEnd"/>
      <w:r w:rsidR="00EE4FC3">
        <w:t xml:space="preserve"> </w:t>
      </w:r>
      <w:r w:rsidRPr="00382917">
        <w:t>martyrdom</w:t>
      </w:r>
      <w:r w:rsidR="00EE4FC3">
        <w:t xml:space="preserve"> </w:t>
      </w:r>
      <w:r w:rsidRPr="00382917">
        <w:t>was</w:t>
      </w:r>
      <w:r w:rsidR="00EE4FC3">
        <w:t xml:space="preserve"> </w:t>
      </w:r>
      <w:r w:rsidRPr="00382917">
        <w:t>but</w:t>
      </w:r>
      <w:r w:rsidR="00EE4FC3">
        <w:t xml:space="preserve"> </w:t>
      </w:r>
      <w:r w:rsidRPr="00382917">
        <w:t>ten</w:t>
      </w:r>
      <w:r w:rsidR="00EE4FC3">
        <w:t xml:space="preserve"> </w:t>
      </w:r>
      <w:r w:rsidRPr="00382917">
        <w:t>days</w:t>
      </w:r>
      <w:r w:rsidR="00EE4FC3">
        <w:t xml:space="preserve"> </w:t>
      </w:r>
      <w:r w:rsidRPr="00382917">
        <w:t>before</w:t>
      </w:r>
      <w:r w:rsidR="00EE4FC3">
        <w:t xml:space="preserve"> </w:t>
      </w:r>
      <w:r w:rsidRPr="00382917">
        <w:t>that</w:t>
      </w:r>
      <w:r w:rsidR="00EE4FC3">
        <w:t xml:space="preserve"> </w:t>
      </w:r>
      <w:r w:rsidRPr="00382917">
        <w:t>of</w:t>
      </w:r>
      <w:r w:rsidR="00EE4FC3">
        <w:t xml:space="preserve"> </w:t>
      </w:r>
      <w:r w:rsidRPr="00382917">
        <w:t>his</w:t>
      </w:r>
      <w:r w:rsidR="00EE4FC3">
        <w:t xml:space="preserve"> </w:t>
      </w:r>
      <w:r w:rsidRPr="00382917">
        <w:t>Beloved</w:t>
      </w:r>
      <w:r w:rsidR="00EE4FC3">
        <w:t xml:space="preserve"> </w:t>
      </w:r>
      <w:r w:rsidRPr="00382917">
        <w:t>One,</w:t>
      </w:r>
      <w:r w:rsidR="00EE4FC3">
        <w:t xml:space="preserve"> </w:t>
      </w:r>
      <w:r w:rsidRPr="00382917">
        <w:t>the</w:t>
      </w:r>
      <w:r w:rsidR="00EE4FC3">
        <w:t xml:space="preserve"> </w:t>
      </w:r>
      <w:r w:rsidRPr="00382917">
        <w:t>Báb.</w:t>
      </w:r>
    </w:p>
    <w:p w:rsidR="00B2037B" w:rsidRPr="00382917" w:rsidRDefault="00B2037B" w:rsidP="00B2037B"/>
    <w:p w:rsidR="00B2037B" w:rsidRPr="00382917" w:rsidRDefault="00B2037B" w:rsidP="007E595F">
      <w:pPr>
        <w:sectPr w:rsidR="00B2037B" w:rsidRPr="00382917" w:rsidSect="009073C7">
          <w:footnotePr>
            <w:numRestart w:val="eachPage"/>
          </w:footnotePr>
          <w:type w:val="oddPage"/>
          <w:pgSz w:w="8618" w:h="12984" w:code="188"/>
          <w:pgMar w:top="720" w:right="720" w:bottom="720" w:left="720" w:header="720" w:footer="567" w:gutter="357"/>
          <w:cols w:space="708"/>
          <w:noEndnote/>
          <w:titlePg/>
          <w:docGrid w:linePitch="272"/>
        </w:sectPr>
      </w:pPr>
    </w:p>
    <w:p w:rsidR="00B2037B" w:rsidRPr="00382917" w:rsidRDefault="00417538" w:rsidP="00417538">
      <w:r w:rsidRPr="00382917">
        <w:rPr>
          <w:sz w:val="12"/>
          <w:szCs w:val="12"/>
        </w:rPr>
        <w:fldChar w:fldCharType="begin"/>
      </w:r>
      <w:r w:rsidR="00EE4FC3">
        <w:rPr>
          <w:sz w:val="12"/>
          <w:szCs w:val="12"/>
        </w:rPr>
        <w:instrText xml:space="preserve"> </w:instrText>
      </w:r>
      <w:proofErr w:type="gramStart"/>
      <w:r w:rsidRPr="00382917">
        <w:rPr>
          <w:sz w:val="12"/>
          <w:szCs w:val="12"/>
        </w:rPr>
        <w:instrText>TC</w:instrText>
      </w:r>
      <w:r w:rsidR="00EE4FC3">
        <w:rPr>
          <w:sz w:val="12"/>
          <w:szCs w:val="12"/>
        </w:rPr>
        <w:instrText xml:space="preserve">  </w:instrText>
      </w:r>
      <w:r w:rsidRPr="00382917">
        <w:rPr>
          <w:sz w:val="12"/>
          <w:szCs w:val="12"/>
        </w:rPr>
        <w:instrText>“</w:instrText>
      </w:r>
      <w:bookmarkStart w:id="19" w:name="_Toc206658615"/>
      <w:proofErr w:type="gramEnd"/>
      <w:r>
        <w:rPr>
          <w:sz w:val="12"/>
          <w:szCs w:val="12"/>
        </w:rPr>
        <w:tab/>
        <w:instrText>17.</w:instrText>
      </w:r>
      <w:r>
        <w:rPr>
          <w:sz w:val="12"/>
          <w:szCs w:val="12"/>
        </w:rPr>
        <w:tab/>
      </w:r>
      <w:r w:rsidRPr="00417538">
        <w:rPr>
          <w:sz w:val="12"/>
          <w:szCs w:val="12"/>
        </w:rPr>
        <w:instrText>The</w:instrText>
      </w:r>
      <w:r w:rsidR="00EE4FC3">
        <w:rPr>
          <w:sz w:val="12"/>
          <w:szCs w:val="12"/>
        </w:rPr>
        <w:instrText xml:space="preserve"> </w:instrText>
      </w:r>
      <w:r w:rsidRPr="00417538">
        <w:rPr>
          <w:sz w:val="12"/>
          <w:szCs w:val="12"/>
        </w:rPr>
        <w:instrText>seven</w:instrText>
      </w:r>
      <w:r w:rsidR="00EE4FC3">
        <w:rPr>
          <w:sz w:val="12"/>
          <w:szCs w:val="12"/>
        </w:rPr>
        <w:instrText xml:space="preserve"> </w:instrText>
      </w:r>
      <w:r w:rsidRPr="00417538">
        <w:rPr>
          <w:sz w:val="12"/>
          <w:szCs w:val="12"/>
        </w:rPr>
        <w:instrText>heroes</w:instrText>
      </w:r>
      <w:r w:rsidR="00EE4FC3">
        <w:rPr>
          <w:sz w:val="12"/>
          <w:szCs w:val="12"/>
        </w:rPr>
        <w:instrText xml:space="preserve"> </w:instrText>
      </w:r>
      <w:r w:rsidRPr="00417538">
        <w:rPr>
          <w:sz w:val="12"/>
          <w:szCs w:val="12"/>
        </w:rPr>
        <w:instrText>of</w:instrText>
      </w:r>
      <w:r w:rsidR="00EE4FC3">
        <w:rPr>
          <w:sz w:val="12"/>
          <w:szCs w:val="12"/>
        </w:rPr>
        <w:instrText xml:space="preserve"> </w:instrText>
      </w:r>
      <w:r w:rsidRPr="00417538">
        <w:rPr>
          <w:sz w:val="12"/>
          <w:szCs w:val="12"/>
        </w:rPr>
        <w:instrText>Ṭihrán</w:instrText>
      </w:r>
      <w:proofErr w:type="gramStart"/>
      <w:r w:rsidRPr="00382917">
        <w:rPr>
          <w:color w:val="FFFFFF" w:themeColor="background1"/>
          <w:sz w:val="12"/>
          <w:szCs w:val="12"/>
        </w:rPr>
        <w:instrText>..</w:instrText>
      </w:r>
      <w:proofErr w:type="gramEnd"/>
      <w:r w:rsidRPr="00382917">
        <w:rPr>
          <w:sz w:val="12"/>
          <w:szCs w:val="12"/>
        </w:rPr>
        <w:tab/>
      </w:r>
      <w:r w:rsidRPr="00382917">
        <w:rPr>
          <w:color w:val="FFFFFF" w:themeColor="background1"/>
          <w:sz w:val="12"/>
          <w:szCs w:val="12"/>
        </w:rPr>
        <w:instrText>.</w:instrText>
      </w:r>
      <w:bookmarkEnd w:id="19"/>
      <w:proofErr w:type="gramStart"/>
      <w:r w:rsidRPr="00382917">
        <w:rPr>
          <w:sz w:val="12"/>
          <w:szCs w:val="12"/>
        </w:rPr>
        <w:instrText>”</w:instrText>
      </w:r>
      <w:r w:rsidR="00EE4FC3">
        <w:rPr>
          <w:sz w:val="12"/>
          <w:szCs w:val="12"/>
        </w:rPr>
        <w:instrText xml:space="preserve"> </w:instrText>
      </w:r>
      <w:proofErr w:type="gramEnd"/>
      <w:r w:rsidRPr="00382917">
        <w:rPr>
          <w:sz w:val="12"/>
          <w:szCs w:val="12"/>
        </w:rPr>
        <w:instrText>\l</w:instrText>
      </w:r>
      <w:r w:rsidR="00EE4FC3">
        <w:rPr>
          <w:sz w:val="12"/>
          <w:szCs w:val="12"/>
        </w:rPr>
        <w:instrText xml:space="preserve"> </w:instrText>
      </w:r>
      <w:r w:rsidRPr="00382917">
        <w:rPr>
          <w:sz w:val="12"/>
          <w:szCs w:val="12"/>
        </w:rPr>
        <w:instrText>1</w:instrText>
      </w:r>
      <w:r w:rsidR="00EE4FC3">
        <w:rPr>
          <w:sz w:val="12"/>
          <w:szCs w:val="12"/>
        </w:rPr>
        <w:instrText xml:space="preserve"> </w:instrText>
      </w:r>
      <w:r w:rsidRPr="00382917">
        <w:rPr>
          <w:sz w:val="12"/>
          <w:szCs w:val="12"/>
        </w:rPr>
        <w:fldChar w:fldCharType="end"/>
      </w:r>
    </w:p>
    <w:p w:rsidR="007E595F" w:rsidRPr="00382917" w:rsidRDefault="007E595F" w:rsidP="00581CF7"/>
    <w:p w:rsidR="00582826" w:rsidRPr="00382917" w:rsidRDefault="00A32DD6" w:rsidP="00417538">
      <w:pPr>
        <w:pStyle w:val="Myheadc"/>
      </w:pPr>
      <w:r w:rsidRPr="00382917">
        <w:t>17</w:t>
      </w:r>
      <w:r w:rsidR="00417538">
        <w:br/>
      </w:r>
      <w:r w:rsidRPr="00382917">
        <w:rPr>
          <w:noProof/>
          <w:lang w:val="en-AU" w:eastAsia="en-AU"/>
          <w14:numForm w14:val="default"/>
          <w14:numSpacing w14:val="default"/>
        </w:rPr>
        <w:drawing>
          <wp:inline distT="0" distB="0" distL="0" distR="0" wp14:anchorId="4515FFF2" wp14:editId="7808C2FF">
            <wp:extent cx="396000" cy="392400"/>
            <wp:effectExtent l="0" t="0" r="4445" b="825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p.emf"/>
                    <pic:cNvPicPr/>
                  </pic:nvPicPr>
                  <pic:blipFill>
                    <a:blip r:embed="rId17">
                      <a:extLst>
                        <a:ext uri="{28A0092B-C50C-407E-A947-70E740481C1C}">
                          <a14:useLocalDpi xmlns:a14="http://schemas.microsoft.com/office/drawing/2010/main" val="0"/>
                        </a:ext>
                      </a:extLst>
                    </a:blip>
                    <a:stretch>
                      <a:fillRect/>
                    </a:stretch>
                  </pic:blipFill>
                  <pic:spPr>
                    <a:xfrm>
                      <a:off x="0" y="0"/>
                      <a:ext cx="396000" cy="392400"/>
                    </a:xfrm>
                    <a:prstGeom prst="rect">
                      <a:avLst/>
                    </a:prstGeom>
                  </pic:spPr>
                </pic:pic>
              </a:graphicData>
            </a:graphic>
          </wp:inline>
        </w:drawing>
      </w:r>
      <w:r w:rsidR="00417538">
        <w:br/>
      </w:r>
      <w:r w:rsidR="00582826" w:rsidRPr="00382917">
        <w:t>The</w:t>
      </w:r>
      <w:r w:rsidR="00EE4FC3">
        <w:t xml:space="preserve"> </w:t>
      </w:r>
      <w:r w:rsidR="00582826" w:rsidRPr="00382917">
        <w:t>seven</w:t>
      </w:r>
      <w:r w:rsidR="00EE4FC3">
        <w:t xml:space="preserve"> </w:t>
      </w:r>
      <w:r w:rsidR="00582826" w:rsidRPr="00382917">
        <w:t>heroes</w:t>
      </w:r>
      <w:r w:rsidR="00EE4FC3">
        <w:t xml:space="preserve"> </w:t>
      </w:r>
      <w:r w:rsidR="00582826" w:rsidRPr="00382917">
        <w:t>of</w:t>
      </w:r>
      <w:r w:rsidR="00EE4FC3">
        <w:t xml:space="preserve"> </w:t>
      </w:r>
      <w:r w:rsidR="00582826" w:rsidRPr="00382917">
        <w:t>Ṭihrán</w:t>
      </w:r>
    </w:p>
    <w:p w:rsidR="00582826" w:rsidRPr="00382917" w:rsidRDefault="00582826" w:rsidP="00582826">
      <w:pPr>
        <w:pStyle w:val="Text"/>
      </w:pPr>
      <w:r w:rsidRPr="00382917">
        <w:t>The</w:t>
      </w:r>
      <w:r w:rsidR="00EE4FC3">
        <w:t xml:space="preserve"> </w:t>
      </w:r>
      <w:r w:rsidRPr="00382917">
        <w:t>death</w:t>
      </w:r>
      <w:r w:rsidR="00EE4FC3">
        <w:t xml:space="preserve"> </w:t>
      </w:r>
      <w:r w:rsidRPr="00382917">
        <w:t>of</w:t>
      </w:r>
      <w:r w:rsidR="00EE4FC3">
        <w:t xml:space="preserve"> </w:t>
      </w:r>
      <w:r w:rsidRPr="00382917">
        <w:t>Vaḥíd</w:t>
      </w:r>
      <w:r w:rsidR="00EE4FC3">
        <w:t xml:space="preserve"> </w:t>
      </w:r>
      <w:r w:rsidRPr="00382917">
        <w:t>came</w:t>
      </w:r>
      <w:r w:rsidR="00EE4FC3">
        <w:t xml:space="preserve"> </w:t>
      </w:r>
      <w:r w:rsidRPr="00382917">
        <w:t>as</w:t>
      </w:r>
      <w:r w:rsidR="00EE4FC3">
        <w:t xml:space="preserve"> </w:t>
      </w:r>
      <w:r w:rsidRPr="00382917">
        <w:t>an</w:t>
      </w:r>
      <w:r w:rsidR="00EE4FC3">
        <w:t xml:space="preserve"> </w:t>
      </w:r>
      <w:r w:rsidRPr="00382917">
        <w:t>added</w:t>
      </w:r>
      <w:r w:rsidR="00EE4FC3">
        <w:t xml:space="preserve"> </w:t>
      </w:r>
      <w:r w:rsidRPr="00382917">
        <w:t>blow</w:t>
      </w:r>
      <w:r w:rsidR="00EE4FC3">
        <w:t xml:space="preserve"> </w:t>
      </w:r>
      <w:r w:rsidRPr="00382917">
        <w:t>to</w:t>
      </w:r>
      <w:r w:rsidR="00EE4FC3">
        <w:t xml:space="preserve"> </w:t>
      </w:r>
      <w:r w:rsidRPr="00382917">
        <w:t>the</w:t>
      </w:r>
      <w:r w:rsidR="00EE4FC3">
        <w:t xml:space="preserve"> </w:t>
      </w:r>
      <w:r w:rsidRPr="00382917">
        <w:t>heart</w:t>
      </w:r>
      <w:r w:rsidR="00EE4FC3">
        <w:t xml:space="preserve"> </w:t>
      </w:r>
      <w:r w:rsidRPr="00382917">
        <w:t>of</w:t>
      </w:r>
      <w:r w:rsidR="00EE4FC3">
        <w:t xml:space="preserve"> </w:t>
      </w:r>
      <w:r w:rsidRPr="00382917">
        <w:t>the</w:t>
      </w:r>
      <w:r w:rsidR="00EE4FC3">
        <w:t xml:space="preserve"> </w:t>
      </w:r>
      <w:r w:rsidRPr="00382917">
        <w:t>Báb</w:t>
      </w:r>
      <w:r w:rsidR="0040329F">
        <w:t>.</w:t>
      </w:r>
      <w:r w:rsidR="00EE4FC3">
        <w:t xml:space="preserve">  </w:t>
      </w:r>
      <w:r w:rsidRPr="00382917">
        <w:t>He</w:t>
      </w:r>
      <w:r w:rsidR="00EE4FC3">
        <w:t xml:space="preserve"> </w:t>
      </w:r>
      <w:r w:rsidRPr="00382917">
        <w:t>was</w:t>
      </w:r>
      <w:r w:rsidR="00EE4FC3">
        <w:t xml:space="preserve"> </w:t>
      </w:r>
      <w:r w:rsidRPr="00382917">
        <w:t>already</w:t>
      </w:r>
      <w:r w:rsidR="00EE4FC3">
        <w:t xml:space="preserve"> </w:t>
      </w:r>
      <w:r w:rsidRPr="00382917">
        <w:t>in</w:t>
      </w:r>
      <w:r w:rsidR="00EE4FC3">
        <w:t xml:space="preserve"> </w:t>
      </w:r>
      <w:r w:rsidRPr="00382917">
        <w:t>great</w:t>
      </w:r>
      <w:r w:rsidR="00EE4FC3">
        <w:t xml:space="preserve"> </w:t>
      </w:r>
      <w:r w:rsidRPr="00382917">
        <w:t>sorrow</w:t>
      </w:r>
      <w:r w:rsidR="00EE4FC3">
        <w:t xml:space="preserve"> </w:t>
      </w:r>
      <w:r w:rsidRPr="00382917">
        <w:t>because</w:t>
      </w:r>
      <w:r w:rsidR="00EE4FC3">
        <w:t xml:space="preserve"> </w:t>
      </w:r>
      <w:r w:rsidRPr="00382917">
        <w:t>of</w:t>
      </w:r>
      <w:r w:rsidR="00EE4FC3">
        <w:t xml:space="preserve"> </w:t>
      </w:r>
      <w:r w:rsidRPr="00382917">
        <w:t>the</w:t>
      </w:r>
      <w:r w:rsidR="00EE4FC3">
        <w:t xml:space="preserve"> </w:t>
      </w:r>
      <w:r w:rsidRPr="00382917">
        <w:t>suffering</w:t>
      </w:r>
      <w:r w:rsidR="00EE4FC3">
        <w:t xml:space="preserve"> </w:t>
      </w:r>
      <w:r w:rsidRPr="00382917">
        <w:t>at</w:t>
      </w:r>
      <w:r w:rsidR="00EE4FC3">
        <w:t xml:space="preserve"> </w:t>
      </w:r>
      <w:r w:rsidRPr="00382917">
        <w:t>Ṭabarsí,</w:t>
      </w:r>
      <w:r w:rsidR="00EE4FC3">
        <w:t xml:space="preserve"> </w:t>
      </w:r>
      <w:r w:rsidRPr="00382917">
        <w:t>when</w:t>
      </w:r>
      <w:r w:rsidR="00EE4FC3">
        <w:t xml:space="preserve"> </w:t>
      </w:r>
      <w:r w:rsidRPr="00382917">
        <w:t>He</w:t>
      </w:r>
      <w:r w:rsidR="00EE4FC3">
        <w:t xml:space="preserve"> </w:t>
      </w:r>
      <w:r w:rsidRPr="00382917">
        <w:t>was</w:t>
      </w:r>
      <w:r w:rsidR="00EE4FC3">
        <w:t xml:space="preserve"> </w:t>
      </w:r>
      <w:r w:rsidRPr="00382917">
        <w:t>told</w:t>
      </w:r>
      <w:r w:rsidR="00EE4FC3">
        <w:t xml:space="preserve"> </w:t>
      </w:r>
      <w:r w:rsidRPr="00382917">
        <w:t>of</w:t>
      </w:r>
      <w:r w:rsidR="00EE4FC3">
        <w:t xml:space="preserve"> </w:t>
      </w:r>
      <w:r w:rsidRPr="00382917">
        <w:t>the</w:t>
      </w:r>
      <w:r w:rsidR="00EE4FC3">
        <w:t xml:space="preserve"> </w:t>
      </w:r>
      <w:r w:rsidRPr="00382917">
        <w:t>betrayal</w:t>
      </w:r>
      <w:r w:rsidR="00EE4FC3">
        <w:t xml:space="preserve"> </w:t>
      </w:r>
      <w:r w:rsidRPr="00382917">
        <w:t>at</w:t>
      </w:r>
      <w:r w:rsidR="00EE4FC3">
        <w:t xml:space="preserve"> </w:t>
      </w:r>
      <w:r w:rsidRPr="00382917">
        <w:t>Nayríz</w:t>
      </w:r>
      <w:r w:rsidR="0040329F">
        <w:t>.</w:t>
      </w:r>
      <w:r w:rsidR="00EE4FC3">
        <w:t xml:space="preserve">  </w:t>
      </w:r>
      <w:r w:rsidRPr="00382917">
        <w:t>Yet</w:t>
      </w:r>
      <w:r w:rsidR="00EE4FC3">
        <w:t xml:space="preserve"> </w:t>
      </w:r>
      <w:r w:rsidRPr="00382917">
        <w:t>even</w:t>
      </w:r>
      <w:r w:rsidR="00EE4FC3">
        <w:t xml:space="preserve"> </w:t>
      </w:r>
      <w:r w:rsidRPr="00382917">
        <w:t>these</w:t>
      </w:r>
      <w:r w:rsidR="00EE4FC3">
        <w:t xml:space="preserve"> </w:t>
      </w:r>
      <w:r w:rsidRPr="00382917">
        <w:t>tragedies</w:t>
      </w:r>
      <w:r w:rsidR="00EE4FC3">
        <w:t xml:space="preserve"> </w:t>
      </w:r>
      <w:r w:rsidRPr="00382917">
        <w:t>were</w:t>
      </w:r>
      <w:r w:rsidR="00EE4FC3">
        <w:t xml:space="preserve"> </w:t>
      </w:r>
      <w:r w:rsidRPr="00382917">
        <w:t>not</w:t>
      </w:r>
      <w:r w:rsidR="00EE4FC3">
        <w:t xml:space="preserve"> </w:t>
      </w:r>
      <w:r w:rsidRPr="00382917">
        <w:t>the</w:t>
      </w:r>
      <w:r w:rsidR="00EE4FC3">
        <w:t xml:space="preserve"> </w:t>
      </w:r>
      <w:r w:rsidRPr="00382917">
        <w:t>final</w:t>
      </w:r>
      <w:r w:rsidR="00EE4FC3">
        <w:t xml:space="preserve"> </w:t>
      </w:r>
      <w:r w:rsidRPr="00382917">
        <w:t>troubles</w:t>
      </w:r>
      <w:r w:rsidR="00EE4FC3">
        <w:t xml:space="preserve"> </w:t>
      </w:r>
      <w:r w:rsidRPr="00382917">
        <w:t>to</w:t>
      </w:r>
      <w:r w:rsidR="00EE4FC3">
        <w:t xml:space="preserve"> </w:t>
      </w:r>
      <w:r w:rsidRPr="00382917">
        <w:t>becloud</w:t>
      </w:r>
      <w:r w:rsidR="00EE4FC3">
        <w:t xml:space="preserve"> </w:t>
      </w:r>
      <w:r w:rsidRPr="00382917">
        <w:t>the</w:t>
      </w:r>
      <w:r w:rsidR="00EE4FC3">
        <w:t xml:space="preserve"> </w:t>
      </w:r>
      <w:r w:rsidRPr="00382917">
        <w:t>remaining</w:t>
      </w:r>
      <w:r w:rsidR="00EE4FC3">
        <w:t xml:space="preserve"> </w:t>
      </w:r>
      <w:r w:rsidRPr="00382917">
        <w:t>days</w:t>
      </w:r>
      <w:r w:rsidR="00EE4FC3">
        <w:t xml:space="preserve"> </w:t>
      </w:r>
      <w:r w:rsidRPr="00382917">
        <w:t>of</w:t>
      </w:r>
      <w:r w:rsidR="00EE4FC3">
        <w:t xml:space="preserve"> </w:t>
      </w:r>
      <w:r w:rsidRPr="00382917">
        <w:t>His</w:t>
      </w:r>
      <w:r w:rsidR="00EE4FC3">
        <w:t xml:space="preserve"> </w:t>
      </w:r>
      <w:r w:rsidRPr="00382917">
        <w:t>fast-ebbing</w:t>
      </w:r>
      <w:r w:rsidR="00EE4FC3">
        <w:t xml:space="preserve"> </w:t>
      </w:r>
      <w:r w:rsidRPr="00382917">
        <w:t>life</w:t>
      </w:r>
      <w:r w:rsidR="0040329F">
        <w:t>.</w:t>
      </w:r>
      <w:r w:rsidR="00EE4FC3">
        <w:t xml:space="preserve">  </w:t>
      </w:r>
      <w:r w:rsidRPr="00382917">
        <w:t>The</w:t>
      </w:r>
      <w:r w:rsidR="00EE4FC3">
        <w:t xml:space="preserve"> </w:t>
      </w:r>
      <w:r w:rsidRPr="00382917">
        <w:t>Báb</w:t>
      </w:r>
      <w:r w:rsidR="009C713D" w:rsidRPr="00382917">
        <w:t>’</w:t>
      </w:r>
      <w:r w:rsidRPr="00382917">
        <w:t>s</w:t>
      </w:r>
      <w:r w:rsidR="00EE4FC3">
        <w:t xml:space="preserve"> </w:t>
      </w:r>
      <w:r w:rsidRPr="00382917">
        <w:t>beloved</w:t>
      </w:r>
      <w:r w:rsidR="00EE4FC3">
        <w:t xml:space="preserve"> </w:t>
      </w:r>
      <w:r w:rsidRPr="00382917">
        <w:t>uncle,</w:t>
      </w:r>
      <w:r w:rsidR="00EE4FC3">
        <w:t xml:space="preserve"> </w:t>
      </w:r>
      <w:r w:rsidRPr="00382917">
        <w:t>Ḥájí</w:t>
      </w:r>
      <w:r w:rsidR="00EE4FC3">
        <w:t xml:space="preserve"> </w:t>
      </w:r>
      <w:r w:rsidRPr="00382917">
        <w:t>Mírzá</w:t>
      </w:r>
      <w:r w:rsidR="00EE4FC3">
        <w:t xml:space="preserve"> </w:t>
      </w:r>
      <w:r w:rsidRPr="00382917">
        <w:t>Siyyid</w:t>
      </w:r>
      <w:r w:rsidR="00EE4FC3">
        <w:t xml:space="preserve"> </w:t>
      </w:r>
      <w:r w:rsidR="0040329F" w:rsidRPr="00382917">
        <w:t>‘Al</w:t>
      </w:r>
      <w:r w:rsidR="0040329F" w:rsidRPr="0040329F">
        <w:t>í</w:t>
      </w:r>
      <w:r w:rsidRPr="00382917">
        <w:t>,</w:t>
      </w:r>
      <w:r w:rsidR="00EE4FC3">
        <w:t xml:space="preserve"> </w:t>
      </w:r>
      <w:r w:rsidRPr="00382917">
        <w:t>who</w:t>
      </w:r>
      <w:r w:rsidR="00EE4FC3">
        <w:t xml:space="preserve"> </w:t>
      </w:r>
      <w:r w:rsidRPr="00382917">
        <w:t>had</w:t>
      </w:r>
      <w:r w:rsidR="00EE4FC3">
        <w:t xml:space="preserve"> </w:t>
      </w:r>
      <w:r w:rsidRPr="00382917">
        <w:t>reared</w:t>
      </w:r>
      <w:r w:rsidR="00EE4FC3">
        <w:t xml:space="preserve"> </w:t>
      </w:r>
      <w:r w:rsidRPr="00382917">
        <w:t>Him</w:t>
      </w:r>
      <w:r w:rsidR="00EE4FC3">
        <w:t xml:space="preserve"> </w:t>
      </w:r>
      <w:r w:rsidRPr="00382917">
        <w:t>from</w:t>
      </w:r>
      <w:r w:rsidR="00EE4FC3">
        <w:t xml:space="preserve"> </w:t>
      </w:r>
      <w:r w:rsidRPr="00382917">
        <w:t>childhood</w:t>
      </w:r>
      <w:r w:rsidR="00EE4FC3">
        <w:t xml:space="preserve"> </w:t>
      </w:r>
      <w:r w:rsidRPr="00382917">
        <w:t>and</w:t>
      </w:r>
      <w:r w:rsidR="00EE4FC3">
        <w:t xml:space="preserve"> </w:t>
      </w:r>
      <w:r w:rsidRPr="00382917">
        <w:t>who</w:t>
      </w:r>
      <w:r w:rsidR="00EE4FC3">
        <w:t xml:space="preserve"> </w:t>
      </w:r>
      <w:r w:rsidRPr="00382917">
        <w:t>had</w:t>
      </w:r>
      <w:r w:rsidR="00EE4FC3">
        <w:t xml:space="preserve"> </w:t>
      </w:r>
      <w:r w:rsidRPr="00382917">
        <w:t>so</w:t>
      </w:r>
      <w:r w:rsidR="00EE4FC3">
        <w:t xml:space="preserve"> </w:t>
      </w:r>
      <w:r w:rsidRPr="00382917">
        <w:t>faithfully</w:t>
      </w:r>
      <w:r w:rsidR="00EE4FC3">
        <w:t xml:space="preserve"> </w:t>
      </w:r>
      <w:r w:rsidRPr="00382917">
        <w:t>served</w:t>
      </w:r>
      <w:r w:rsidR="00EE4FC3">
        <w:t xml:space="preserve"> </w:t>
      </w:r>
      <w:r w:rsidRPr="00382917">
        <w:t>His</w:t>
      </w:r>
      <w:r w:rsidR="00EE4FC3">
        <w:t xml:space="preserve"> </w:t>
      </w:r>
      <w:r w:rsidRPr="00382917">
        <w:t>Cause,</w:t>
      </w:r>
      <w:r w:rsidR="00EE4FC3">
        <w:t xml:space="preserve"> </w:t>
      </w:r>
      <w:r w:rsidRPr="00382917">
        <w:t>was</w:t>
      </w:r>
      <w:r w:rsidR="00EE4FC3">
        <w:t xml:space="preserve"> </w:t>
      </w:r>
      <w:r w:rsidRPr="00382917">
        <w:t>soon</w:t>
      </w:r>
      <w:r w:rsidR="00EE4FC3">
        <w:t xml:space="preserve"> </w:t>
      </w:r>
      <w:r w:rsidRPr="00382917">
        <w:t>to</w:t>
      </w:r>
      <w:r w:rsidR="00EE4FC3">
        <w:t xml:space="preserve"> </w:t>
      </w:r>
      <w:r w:rsidRPr="00382917">
        <w:t>be</w:t>
      </w:r>
      <w:r w:rsidR="00EE4FC3">
        <w:t xml:space="preserve"> </w:t>
      </w:r>
      <w:r w:rsidRPr="00382917">
        <w:t>engulfed</w:t>
      </w:r>
      <w:r w:rsidR="00EE4FC3">
        <w:t xml:space="preserve"> </w:t>
      </w:r>
      <w:r w:rsidRPr="00382917">
        <w:t>in</w:t>
      </w:r>
      <w:r w:rsidR="00EE4FC3">
        <w:t xml:space="preserve"> </w:t>
      </w:r>
      <w:r w:rsidRPr="00382917">
        <w:t>this</w:t>
      </w:r>
      <w:r w:rsidR="00EE4FC3">
        <w:t xml:space="preserve"> </w:t>
      </w:r>
      <w:r w:rsidRPr="00382917">
        <w:t>same</w:t>
      </w:r>
      <w:r w:rsidR="00EE4FC3">
        <w:t xml:space="preserve"> </w:t>
      </w:r>
      <w:r w:rsidRPr="00382917">
        <w:t>wave</w:t>
      </w:r>
      <w:r w:rsidR="00EE4FC3">
        <w:t xml:space="preserve"> </w:t>
      </w:r>
      <w:r w:rsidRPr="00382917">
        <w:t>of</w:t>
      </w:r>
      <w:r w:rsidR="00EE4FC3">
        <w:t xml:space="preserve"> </w:t>
      </w:r>
      <w:r w:rsidRPr="00382917">
        <w:t>persecution.</w:t>
      </w:r>
    </w:p>
    <w:p w:rsidR="00582826" w:rsidRPr="00382917" w:rsidRDefault="00582826" w:rsidP="00582826">
      <w:pPr>
        <w:pStyle w:val="Text"/>
      </w:pPr>
      <w:r w:rsidRPr="00382917">
        <w:t>The</w:t>
      </w:r>
      <w:r w:rsidR="00EE4FC3">
        <w:t xml:space="preserve"> </w:t>
      </w:r>
      <w:r w:rsidRPr="00382917">
        <w:t>Báb</w:t>
      </w:r>
      <w:r w:rsidR="009C713D" w:rsidRPr="00382917">
        <w:t>’</w:t>
      </w:r>
      <w:r w:rsidRPr="00382917">
        <w:t>s</w:t>
      </w:r>
      <w:r w:rsidR="00EE4FC3">
        <w:t xml:space="preserve"> </w:t>
      </w:r>
      <w:r w:rsidRPr="00382917">
        <w:t>uncle</w:t>
      </w:r>
      <w:r w:rsidR="00EE4FC3">
        <w:t xml:space="preserve"> </w:t>
      </w:r>
      <w:r w:rsidRPr="00382917">
        <w:t>had</w:t>
      </w:r>
      <w:r w:rsidR="00EE4FC3">
        <w:t xml:space="preserve"> </w:t>
      </w:r>
      <w:r w:rsidRPr="00382917">
        <w:t>just</w:t>
      </w:r>
      <w:r w:rsidR="00EE4FC3">
        <w:t xml:space="preserve"> </w:t>
      </w:r>
      <w:r w:rsidRPr="00382917">
        <w:t>visited</w:t>
      </w:r>
      <w:r w:rsidR="00EE4FC3">
        <w:t xml:space="preserve"> </w:t>
      </w:r>
      <w:r w:rsidRPr="00382917">
        <w:t>Him</w:t>
      </w:r>
      <w:r w:rsidR="00EE4FC3">
        <w:t xml:space="preserve"> </w:t>
      </w:r>
      <w:r w:rsidRPr="00382917">
        <w:t>in</w:t>
      </w:r>
      <w:r w:rsidR="00EE4FC3">
        <w:t xml:space="preserve"> </w:t>
      </w:r>
      <w:r w:rsidRPr="00382917">
        <w:t>the</w:t>
      </w:r>
      <w:r w:rsidR="00EE4FC3">
        <w:t xml:space="preserve"> </w:t>
      </w:r>
      <w:r w:rsidRPr="00382917">
        <w:t>castle</w:t>
      </w:r>
      <w:r w:rsidR="00EE4FC3">
        <w:t xml:space="preserve"> </w:t>
      </w:r>
      <w:r w:rsidRPr="00382917">
        <w:t>of</w:t>
      </w:r>
      <w:r w:rsidR="00EE4FC3">
        <w:t xml:space="preserve"> </w:t>
      </w:r>
      <w:r w:rsidR="001713B3" w:rsidRPr="001713B3">
        <w:rPr>
          <w:u w:val="single"/>
        </w:rPr>
        <w:t>Ch</w:t>
      </w:r>
      <w:r w:rsidR="001713B3" w:rsidRPr="00382917">
        <w:t>ihríq</w:t>
      </w:r>
      <w:r w:rsidR="0040329F">
        <w:t>.</w:t>
      </w:r>
      <w:r w:rsidR="00EE4FC3">
        <w:t xml:space="preserve">  </w:t>
      </w:r>
      <w:r w:rsidRPr="00382917">
        <w:t>The</w:t>
      </w:r>
      <w:r w:rsidR="00EE4FC3">
        <w:t xml:space="preserve"> </w:t>
      </w:r>
      <w:r w:rsidRPr="00382917">
        <w:t>Báb</w:t>
      </w:r>
      <w:r w:rsidR="00EE4FC3">
        <w:t xml:space="preserve"> </w:t>
      </w:r>
      <w:r w:rsidRPr="00382917">
        <w:t>had</w:t>
      </w:r>
      <w:r w:rsidR="00EE4FC3">
        <w:t xml:space="preserve"> </w:t>
      </w:r>
      <w:r w:rsidRPr="00382917">
        <w:t>sent</w:t>
      </w:r>
      <w:r w:rsidR="00EE4FC3">
        <w:t xml:space="preserve"> </w:t>
      </w:r>
      <w:r w:rsidRPr="00382917">
        <w:t>him</w:t>
      </w:r>
      <w:r w:rsidR="00EE4FC3">
        <w:t xml:space="preserve"> </w:t>
      </w:r>
      <w:r w:rsidRPr="00382917">
        <w:t>forth</w:t>
      </w:r>
      <w:r w:rsidR="00EE4FC3">
        <w:t xml:space="preserve"> </w:t>
      </w:r>
      <w:r w:rsidRPr="00382917">
        <w:t>from</w:t>
      </w:r>
      <w:r w:rsidR="00EE4FC3">
        <w:t xml:space="preserve"> </w:t>
      </w:r>
      <w:r w:rsidRPr="00382917">
        <w:t>that</w:t>
      </w:r>
      <w:r w:rsidR="00EE4FC3">
        <w:t xml:space="preserve"> </w:t>
      </w:r>
      <w:r w:rsidRPr="00382917">
        <w:t>prison-city</w:t>
      </w:r>
      <w:r w:rsidR="00EE4FC3">
        <w:t xml:space="preserve"> </w:t>
      </w:r>
      <w:r w:rsidRPr="00382917">
        <w:t>to</w:t>
      </w:r>
      <w:r w:rsidR="00EE4FC3">
        <w:t xml:space="preserve"> </w:t>
      </w:r>
      <w:r w:rsidRPr="00382917">
        <w:t>obtain</w:t>
      </w:r>
      <w:r w:rsidR="00EE4FC3">
        <w:t xml:space="preserve"> </w:t>
      </w:r>
      <w:r w:rsidRPr="00382917">
        <w:t>the</w:t>
      </w:r>
      <w:r w:rsidR="00EE4FC3">
        <w:t xml:space="preserve"> </w:t>
      </w:r>
      <w:r w:rsidRPr="00382917">
        <w:t>crown</w:t>
      </w:r>
      <w:r w:rsidR="00EE4FC3">
        <w:t xml:space="preserve"> </w:t>
      </w:r>
      <w:r w:rsidRPr="00382917">
        <w:t>of</w:t>
      </w:r>
      <w:r w:rsidR="00EE4FC3">
        <w:t xml:space="preserve"> </w:t>
      </w:r>
      <w:r w:rsidRPr="00382917">
        <w:t>martyrdom,</w:t>
      </w:r>
      <w:r w:rsidR="00EE4FC3">
        <w:t xml:space="preserve"> </w:t>
      </w:r>
      <w:r w:rsidRPr="00382917">
        <w:t>saying</w:t>
      </w:r>
      <w:r w:rsidR="00C03C91">
        <w:t>:</w:t>
      </w:r>
      <w:r w:rsidR="00EE4FC3">
        <w:t xml:space="preserve">  </w:t>
      </w:r>
      <w:r w:rsidR="009C713D" w:rsidRPr="00382917">
        <w:t>“</w:t>
      </w:r>
      <w:r w:rsidRPr="00382917">
        <w:t>I</w:t>
      </w:r>
      <w:r w:rsidR="00EE4FC3">
        <w:t xml:space="preserve"> </w:t>
      </w:r>
      <w:proofErr w:type="gramStart"/>
      <w:r w:rsidRPr="00382917">
        <w:t>Myself</w:t>
      </w:r>
      <w:proofErr w:type="gramEnd"/>
      <w:r w:rsidR="00EE4FC3">
        <w:t xml:space="preserve"> </w:t>
      </w:r>
      <w:r w:rsidRPr="00382917">
        <w:t>will</w:t>
      </w:r>
      <w:r w:rsidR="00EE4FC3">
        <w:t xml:space="preserve"> </w:t>
      </w:r>
      <w:r w:rsidRPr="00382917">
        <w:t>follow</w:t>
      </w:r>
      <w:r w:rsidR="00EE4FC3">
        <w:t xml:space="preserve"> </w:t>
      </w:r>
      <w:r w:rsidRPr="00382917">
        <w:t>you,</w:t>
      </w:r>
      <w:r w:rsidR="00EE4FC3">
        <w:t xml:space="preserve"> </w:t>
      </w:r>
      <w:r w:rsidRPr="00382917">
        <w:t>together</w:t>
      </w:r>
      <w:r w:rsidR="00EE4FC3">
        <w:t xml:space="preserve"> </w:t>
      </w:r>
      <w:r w:rsidRPr="00382917">
        <w:t>with</w:t>
      </w:r>
      <w:r w:rsidR="00EE4FC3">
        <w:t xml:space="preserve"> </w:t>
      </w:r>
      <w:r w:rsidRPr="00382917">
        <w:t>one</w:t>
      </w:r>
      <w:r w:rsidR="00EE4FC3">
        <w:t xml:space="preserve"> </w:t>
      </w:r>
      <w:r w:rsidRPr="00382917">
        <w:t>of</w:t>
      </w:r>
      <w:r w:rsidR="00EE4FC3">
        <w:t xml:space="preserve"> </w:t>
      </w:r>
      <w:r w:rsidRPr="00382917">
        <w:t>My</w:t>
      </w:r>
      <w:r w:rsidR="00EE4FC3">
        <w:t xml:space="preserve"> </w:t>
      </w:r>
      <w:r w:rsidRPr="00382917">
        <w:t>loyal</w:t>
      </w:r>
      <w:r w:rsidR="00EE4FC3">
        <w:t xml:space="preserve"> </w:t>
      </w:r>
      <w:r w:rsidRPr="00382917">
        <w:t>disciples,</w:t>
      </w:r>
      <w:r w:rsidR="00EE4FC3">
        <w:t xml:space="preserve"> </w:t>
      </w:r>
      <w:r w:rsidRPr="00382917">
        <w:t>and</w:t>
      </w:r>
      <w:r w:rsidR="00EE4FC3">
        <w:t xml:space="preserve"> </w:t>
      </w:r>
      <w:r w:rsidRPr="00382917">
        <w:t>will</w:t>
      </w:r>
      <w:r w:rsidR="00EE4FC3">
        <w:t xml:space="preserve"> </w:t>
      </w:r>
      <w:r w:rsidRPr="00382917">
        <w:t>join</w:t>
      </w:r>
      <w:r w:rsidR="00EE4FC3">
        <w:t xml:space="preserve"> </w:t>
      </w:r>
      <w:r w:rsidRPr="00382917">
        <w:t>you</w:t>
      </w:r>
      <w:r w:rsidR="00EE4FC3">
        <w:t xml:space="preserve"> </w:t>
      </w:r>
      <w:r w:rsidRPr="00382917">
        <w:t>in</w:t>
      </w:r>
      <w:r w:rsidR="00EE4FC3">
        <w:t xml:space="preserve"> </w:t>
      </w:r>
      <w:r w:rsidRPr="00382917">
        <w:t>the</w:t>
      </w:r>
      <w:r w:rsidR="00EE4FC3">
        <w:t xml:space="preserve"> </w:t>
      </w:r>
      <w:r w:rsidRPr="00382917">
        <w:t>realm</w:t>
      </w:r>
      <w:r w:rsidR="00EE4FC3">
        <w:t xml:space="preserve"> </w:t>
      </w:r>
      <w:r w:rsidRPr="00382917">
        <w:t>of</w:t>
      </w:r>
      <w:r w:rsidR="00EE4FC3">
        <w:t xml:space="preserve"> </w:t>
      </w:r>
      <w:r w:rsidRPr="00382917">
        <w:t>eternity.</w:t>
      </w:r>
      <w:r w:rsidR="009C713D" w:rsidRPr="00382917">
        <w:t>”</w:t>
      </w:r>
    </w:p>
    <w:p w:rsidR="00582826" w:rsidRPr="00382917" w:rsidRDefault="00582826" w:rsidP="00582826">
      <w:pPr>
        <w:pStyle w:val="Text"/>
      </w:pPr>
      <w:r w:rsidRPr="00382917">
        <w:t>When</w:t>
      </w:r>
      <w:r w:rsidR="00EE4FC3">
        <w:t xml:space="preserve"> </w:t>
      </w:r>
      <w:r w:rsidRPr="00382917">
        <w:t>the</w:t>
      </w:r>
      <w:r w:rsidR="00EE4FC3">
        <w:t xml:space="preserve"> </w:t>
      </w:r>
      <w:r w:rsidRPr="00382917">
        <w:t>Báb</w:t>
      </w:r>
      <w:r w:rsidR="009C713D" w:rsidRPr="00382917">
        <w:t>’</w:t>
      </w:r>
      <w:r w:rsidRPr="00382917">
        <w:t>s</w:t>
      </w:r>
      <w:r w:rsidR="00EE4FC3">
        <w:t xml:space="preserve"> </w:t>
      </w:r>
      <w:r w:rsidRPr="00382917">
        <w:t>uncle</w:t>
      </w:r>
      <w:r w:rsidR="00EE4FC3">
        <w:t xml:space="preserve"> </w:t>
      </w:r>
      <w:r w:rsidRPr="00382917">
        <w:t>entered</w:t>
      </w:r>
      <w:r w:rsidR="00EE4FC3">
        <w:t xml:space="preserve"> </w:t>
      </w:r>
      <w:r w:rsidRPr="00382917">
        <w:t>Ṭihrán,</w:t>
      </w:r>
      <w:r w:rsidR="00EE4FC3">
        <w:t xml:space="preserve"> </w:t>
      </w:r>
      <w:r w:rsidRPr="00382917">
        <w:t>his</w:t>
      </w:r>
      <w:r w:rsidR="00EE4FC3">
        <w:t xml:space="preserve"> </w:t>
      </w:r>
      <w:r w:rsidRPr="00382917">
        <w:t>friends</w:t>
      </w:r>
      <w:r w:rsidR="00EE4FC3">
        <w:t xml:space="preserve"> </w:t>
      </w:r>
      <w:r w:rsidRPr="00382917">
        <w:t>warned</w:t>
      </w:r>
      <w:r w:rsidR="00EE4FC3">
        <w:t xml:space="preserve"> </w:t>
      </w:r>
      <w:r w:rsidRPr="00382917">
        <w:t>him</w:t>
      </w:r>
      <w:r w:rsidR="00EE4FC3">
        <w:t xml:space="preserve"> </w:t>
      </w:r>
      <w:r w:rsidRPr="00382917">
        <w:t>of</w:t>
      </w:r>
      <w:r w:rsidR="00EE4FC3">
        <w:t xml:space="preserve"> </w:t>
      </w:r>
      <w:r w:rsidRPr="00382917">
        <w:t>the</w:t>
      </w:r>
      <w:r w:rsidR="00EE4FC3">
        <w:t xml:space="preserve"> </w:t>
      </w:r>
      <w:r w:rsidRPr="00382917">
        <w:t>grave</w:t>
      </w:r>
      <w:r w:rsidR="00EE4FC3">
        <w:t xml:space="preserve"> </w:t>
      </w:r>
      <w:r w:rsidRPr="00382917">
        <w:t>danger</w:t>
      </w:r>
      <w:r w:rsidR="00EE4FC3">
        <w:t xml:space="preserve"> </w:t>
      </w:r>
      <w:r w:rsidRPr="00382917">
        <w:t>of</w:t>
      </w:r>
      <w:r w:rsidR="00EE4FC3">
        <w:t xml:space="preserve"> </w:t>
      </w:r>
      <w:r w:rsidRPr="00382917">
        <w:t>his</w:t>
      </w:r>
      <w:r w:rsidR="00EE4FC3">
        <w:t xml:space="preserve"> </w:t>
      </w:r>
      <w:r w:rsidRPr="00382917">
        <w:t>presence</w:t>
      </w:r>
      <w:r w:rsidR="00EE4FC3">
        <w:t xml:space="preserve"> </w:t>
      </w:r>
      <w:r w:rsidRPr="00382917">
        <w:t>there.</w:t>
      </w:r>
    </w:p>
    <w:p w:rsidR="00582826" w:rsidRPr="00382917" w:rsidRDefault="009C713D" w:rsidP="00582826">
      <w:pPr>
        <w:pStyle w:val="Text"/>
      </w:pPr>
      <w:r w:rsidRPr="00382917">
        <w:t>“</w:t>
      </w:r>
      <w:r w:rsidR="00582826" w:rsidRPr="00382917">
        <w:t>Why</w:t>
      </w:r>
      <w:r w:rsidR="00EE4FC3">
        <w:t xml:space="preserve"> </w:t>
      </w:r>
      <w:r w:rsidR="00582826" w:rsidRPr="00382917">
        <w:t>fear</w:t>
      </w:r>
      <w:r w:rsidR="00EE4FC3">
        <w:t xml:space="preserve"> </w:t>
      </w:r>
      <w:r w:rsidR="00582826" w:rsidRPr="00382917">
        <w:t>for</w:t>
      </w:r>
      <w:r w:rsidR="00EE4FC3">
        <w:t xml:space="preserve"> </w:t>
      </w:r>
      <w:r w:rsidR="00582826" w:rsidRPr="00382917">
        <w:t>my</w:t>
      </w:r>
      <w:r w:rsidR="00EE4FC3">
        <w:t xml:space="preserve"> </w:t>
      </w:r>
      <w:r w:rsidR="00582826" w:rsidRPr="00382917">
        <w:t>safety?</w:t>
      </w:r>
      <w:r w:rsidRPr="00382917">
        <w:t>”</w:t>
      </w:r>
      <w:r w:rsidR="00EE4FC3">
        <w:t xml:space="preserve"> </w:t>
      </w:r>
      <w:r w:rsidR="00582826" w:rsidRPr="00382917">
        <w:t>he</w:t>
      </w:r>
      <w:r w:rsidR="00EE4FC3">
        <w:t xml:space="preserve"> </w:t>
      </w:r>
      <w:r w:rsidR="00582826" w:rsidRPr="00382917">
        <w:t>confidently</w:t>
      </w:r>
      <w:r w:rsidR="00EE4FC3">
        <w:t xml:space="preserve"> </w:t>
      </w:r>
      <w:r w:rsidR="00582826" w:rsidRPr="00382917">
        <w:t>replied</w:t>
      </w:r>
      <w:r w:rsidR="0040329F">
        <w:t>.</w:t>
      </w:r>
      <w:r w:rsidR="00EE4FC3">
        <w:t xml:space="preserve">  </w:t>
      </w:r>
      <w:r w:rsidRPr="00382917">
        <w:t>“</w:t>
      </w:r>
      <w:r w:rsidR="00582826" w:rsidRPr="00382917">
        <w:t>I,</w:t>
      </w:r>
      <w:r w:rsidR="00EE4FC3">
        <w:t xml:space="preserve"> </w:t>
      </w:r>
      <w:r w:rsidR="00582826" w:rsidRPr="00382917">
        <w:t>too,</w:t>
      </w:r>
      <w:r w:rsidR="00EE4FC3">
        <w:t xml:space="preserve"> </w:t>
      </w:r>
      <w:r w:rsidR="00582826" w:rsidRPr="00382917">
        <w:t>am</w:t>
      </w:r>
      <w:r w:rsidR="00EE4FC3">
        <w:t xml:space="preserve"> </w:t>
      </w:r>
      <w:r w:rsidR="00582826" w:rsidRPr="00382917">
        <w:t>anxious</w:t>
      </w:r>
      <w:r w:rsidR="00EE4FC3">
        <w:t xml:space="preserve"> </w:t>
      </w:r>
      <w:r w:rsidR="00582826" w:rsidRPr="00382917">
        <w:t>to</w:t>
      </w:r>
      <w:r w:rsidR="00EE4FC3">
        <w:t xml:space="preserve"> </w:t>
      </w:r>
      <w:r w:rsidR="00582826" w:rsidRPr="00382917">
        <w:t>share</w:t>
      </w:r>
      <w:r w:rsidR="00EE4FC3">
        <w:t xml:space="preserve"> </w:t>
      </w:r>
      <w:r w:rsidR="00582826" w:rsidRPr="00382917">
        <w:t>in</w:t>
      </w:r>
      <w:r w:rsidR="00EE4FC3">
        <w:t xml:space="preserve"> </w:t>
      </w:r>
      <w:r w:rsidR="00582826" w:rsidRPr="00382917">
        <w:t>the</w:t>
      </w:r>
      <w:r w:rsidR="00EE4FC3">
        <w:t xml:space="preserve"> </w:t>
      </w:r>
      <w:r w:rsidR="00582826" w:rsidRPr="00382917">
        <w:t>banquet</w:t>
      </w:r>
      <w:r w:rsidR="00EE4FC3">
        <w:t xml:space="preserve"> </w:t>
      </w:r>
      <w:r w:rsidR="00582826" w:rsidRPr="00382917">
        <w:t>which</w:t>
      </w:r>
      <w:r w:rsidR="00EE4FC3">
        <w:t xml:space="preserve"> </w:t>
      </w:r>
      <w:r w:rsidR="00582826" w:rsidRPr="00382917">
        <w:t>the</w:t>
      </w:r>
      <w:r w:rsidR="00EE4FC3">
        <w:t xml:space="preserve"> </w:t>
      </w:r>
      <w:r w:rsidR="00582826" w:rsidRPr="00382917">
        <w:t>hand</w:t>
      </w:r>
      <w:r w:rsidR="00EE4FC3">
        <w:t xml:space="preserve"> </w:t>
      </w:r>
      <w:r w:rsidR="00582826" w:rsidRPr="00382917">
        <w:t>of</w:t>
      </w:r>
      <w:r w:rsidR="00EE4FC3">
        <w:t xml:space="preserve"> </w:t>
      </w:r>
      <w:r w:rsidR="00582826" w:rsidRPr="00382917">
        <w:t>God</w:t>
      </w:r>
      <w:r w:rsidR="00EE4FC3">
        <w:t xml:space="preserve"> </w:t>
      </w:r>
      <w:r w:rsidR="00582826" w:rsidRPr="00382917">
        <w:t>is</w:t>
      </w:r>
      <w:r w:rsidR="00EE4FC3">
        <w:t xml:space="preserve"> </w:t>
      </w:r>
      <w:r w:rsidR="00582826" w:rsidRPr="00382917">
        <w:t>spreading</w:t>
      </w:r>
      <w:r w:rsidR="00EE4FC3">
        <w:t xml:space="preserve"> </w:t>
      </w:r>
      <w:r w:rsidR="00582826" w:rsidRPr="00382917">
        <w:t>for</w:t>
      </w:r>
      <w:r w:rsidR="00EE4FC3">
        <w:t xml:space="preserve"> </w:t>
      </w:r>
      <w:r w:rsidR="00582826" w:rsidRPr="00382917">
        <w:t>His</w:t>
      </w:r>
      <w:r w:rsidR="00EE4FC3">
        <w:t xml:space="preserve"> </w:t>
      </w:r>
      <w:r w:rsidR="00582826" w:rsidRPr="00382917">
        <w:t>chosen</w:t>
      </w:r>
      <w:r w:rsidR="00EE4FC3">
        <w:t xml:space="preserve"> </w:t>
      </w:r>
      <w:r w:rsidR="00582826" w:rsidRPr="00382917">
        <w:t>ones</w:t>
      </w:r>
      <w:r w:rsidR="00EE4FC3">
        <w:t xml:space="preserve"> </w:t>
      </w:r>
      <w:r w:rsidR="00582826" w:rsidRPr="00382917">
        <w:t>throughout</w:t>
      </w:r>
      <w:r w:rsidR="00EE4FC3">
        <w:t xml:space="preserve"> </w:t>
      </w:r>
      <w:r w:rsidR="00582826" w:rsidRPr="00382917">
        <w:t>the</w:t>
      </w:r>
      <w:r w:rsidR="00EE4FC3">
        <w:t xml:space="preserve"> </w:t>
      </w:r>
      <w:r w:rsidR="00582826" w:rsidRPr="00382917">
        <w:t>land.</w:t>
      </w:r>
      <w:r w:rsidRPr="00382917">
        <w:t>”</w:t>
      </w:r>
    </w:p>
    <w:p w:rsidR="00E13D49" w:rsidRPr="00382917" w:rsidRDefault="00582826" w:rsidP="00582826">
      <w:pPr>
        <w:pStyle w:val="Text"/>
      </w:pPr>
      <w:r w:rsidRPr="00382917">
        <w:t>Shortly</w:t>
      </w:r>
      <w:r w:rsidR="00EE4FC3">
        <w:t xml:space="preserve"> </w:t>
      </w:r>
      <w:r w:rsidRPr="00382917">
        <w:t>after</w:t>
      </w:r>
      <w:r w:rsidR="00EE4FC3">
        <w:t xml:space="preserve"> </w:t>
      </w:r>
      <w:r w:rsidRPr="00382917">
        <w:t>this</w:t>
      </w:r>
      <w:r w:rsidR="00EE4FC3">
        <w:t xml:space="preserve"> </w:t>
      </w:r>
      <w:r w:rsidRPr="00382917">
        <w:t>a</w:t>
      </w:r>
      <w:r w:rsidR="00EE4FC3">
        <w:t xml:space="preserve"> </w:t>
      </w:r>
      <w:r w:rsidRPr="00382917">
        <w:t>traitor</w:t>
      </w:r>
      <w:r w:rsidR="00EE4FC3">
        <w:t xml:space="preserve"> </w:t>
      </w:r>
      <w:r w:rsidRPr="00382917">
        <w:t>who</w:t>
      </w:r>
      <w:r w:rsidR="00EE4FC3">
        <w:t xml:space="preserve"> </w:t>
      </w:r>
      <w:r w:rsidRPr="00382917">
        <w:t>pretended</w:t>
      </w:r>
      <w:r w:rsidR="00EE4FC3">
        <w:t xml:space="preserve"> </w:t>
      </w:r>
      <w:r w:rsidRPr="00382917">
        <w:t>to</w:t>
      </w:r>
      <w:r w:rsidR="00EE4FC3">
        <w:t xml:space="preserve"> </w:t>
      </w:r>
      <w:r w:rsidRPr="00382917">
        <w:t>be</w:t>
      </w:r>
      <w:r w:rsidR="00EE4FC3">
        <w:t xml:space="preserve"> </w:t>
      </w:r>
      <w:r w:rsidRPr="00382917">
        <w:t>interested</w:t>
      </w:r>
      <w:r w:rsidR="00EE4FC3">
        <w:t xml:space="preserve"> </w:t>
      </w:r>
      <w:r w:rsidRPr="00382917">
        <w:t>in</w:t>
      </w:r>
      <w:r w:rsidR="00EE4FC3">
        <w:t xml:space="preserve"> </w:t>
      </w:r>
      <w:r w:rsidRPr="00382917">
        <w:t>the</w:t>
      </w:r>
      <w:r w:rsidR="00EE4FC3">
        <w:t xml:space="preserve"> </w:t>
      </w:r>
      <w:r w:rsidRPr="00382917">
        <w:t>Faith</w:t>
      </w:r>
      <w:r w:rsidR="00EE4FC3">
        <w:t xml:space="preserve"> </w:t>
      </w:r>
      <w:r w:rsidRPr="00382917">
        <w:t>of</w:t>
      </w:r>
      <w:r w:rsidR="00EE4FC3">
        <w:t xml:space="preserve"> </w:t>
      </w:r>
      <w:r w:rsidRPr="00382917">
        <w:t>the</w:t>
      </w:r>
      <w:r w:rsidR="00EE4FC3">
        <w:t xml:space="preserve"> </w:t>
      </w:r>
      <w:r w:rsidRPr="00382917">
        <w:t>Báb</w:t>
      </w:r>
      <w:r w:rsidR="00EE4FC3">
        <w:t xml:space="preserve"> </w:t>
      </w:r>
      <w:r w:rsidRPr="00382917">
        <w:t>attended</w:t>
      </w:r>
      <w:r w:rsidR="00EE4FC3">
        <w:t xml:space="preserve"> </w:t>
      </w:r>
      <w:r w:rsidRPr="00382917">
        <w:t>classes,</w:t>
      </w:r>
      <w:r w:rsidR="00EE4FC3">
        <w:t xml:space="preserve"> </w:t>
      </w:r>
      <w:r w:rsidRPr="00382917">
        <w:t>and</w:t>
      </w:r>
      <w:r w:rsidR="00EE4FC3">
        <w:t xml:space="preserve"> </w:t>
      </w:r>
      <w:r w:rsidRPr="00382917">
        <w:t>thus</w:t>
      </w:r>
      <w:r w:rsidR="00EE4FC3">
        <w:t xml:space="preserve"> </w:t>
      </w:r>
      <w:r w:rsidRPr="00382917">
        <w:t>secured</w:t>
      </w:r>
      <w:r w:rsidR="00EE4FC3">
        <w:t xml:space="preserve"> </w:t>
      </w:r>
      <w:r w:rsidRPr="00382917">
        <w:t>a</w:t>
      </w:r>
      <w:r w:rsidR="00EE4FC3">
        <w:t xml:space="preserve"> </w:t>
      </w:r>
      <w:r w:rsidRPr="00382917">
        <w:t>list</w:t>
      </w:r>
      <w:r w:rsidR="00EE4FC3">
        <w:t xml:space="preserve"> </w:t>
      </w:r>
      <w:r w:rsidRPr="00382917">
        <w:t>of</w:t>
      </w:r>
      <w:r w:rsidR="00EE4FC3">
        <w:t xml:space="preserve"> </w:t>
      </w:r>
      <w:r w:rsidRPr="00382917">
        <w:t>fifty</w:t>
      </w:r>
      <w:r w:rsidR="00EE4FC3">
        <w:t xml:space="preserve"> </w:t>
      </w:r>
      <w:r w:rsidRPr="00382917">
        <w:t>names</w:t>
      </w:r>
      <w:r w:rsidR="00EE4FC3">
        <w:t xml:space="preserve"> </w:t>
      </w:r>
      <w:r w:rsidRPr="00382917">
        <w:t>which</w:t>
      </w:r>
      <w:r w:rsidR="00EE4FC3">
        <w:t xml:space="preserve"> </w:t>
      </w:r>
      <w:r w:rsidRPr="00382917">
        <w:t>he</w:t>
      </w:r>
      <w:r w:rsidR="00EE4FC3">
        <w:t xml:space="preserve"> </w:t>
      </w:r>
      <w:r w:rsidRPr="00382917">
        <w:t>turned</w:t>
      </w:r>
      <w:r w:rsidR="00EE4FC3">
        <w:t xml:space="preserve"> </w:t>
      </w:r>
      <w:r w:rsidRPr="00382917">
        <w:t>over</w:t>
      </w:r>
      <w:r w:rsidR="00EE4FC3">
        <w:t xml:space="preserve"> </w:t>
      </w:r>
      <w:r w:rsidRPr="00382917">
        <w:t>to</w:t>
      </w:r>
      <w:r w:rsidR="00EE4FC3">
        <w:t xml:space="preserve"> </w:t>
      </w:r>
      <w:r w:rsidRPr="00382917">
        <w:t>Mahmud</w:t>
      </w:r>
      <w:r w:rsidR="00EE4FC3">
        <w:t xml:space="preserve"> </w:t>
      </w:r>
      <w:r w:rsidR="0040329F" w:rsidRPr="0040329F">
        <w:rPr>
          <w:u w:val="single"/>
        </w:rPr>
        <w:t>Kh</w:t>
      </w:r>
      <w:r w:rsidR="0040329F" w:rsidRPr="00382917">
        <w:t>án</w:t>
      </w:r>
      <w:r w:rsidRPr="00382917">
        <w:t>,</w:t>
      </w:r>
      <w:r w:rsidR="00EE4FC3">
        <w:t xml:space="preserve"> </w:t>
      </w:r>
      <w:r w:rsidRPr="00382917">
        <w:t>the</w:t>
      </w:r>
      <w:r w:rsidR="00EE4FC3">
        <w:t xml:space="preserve"> </w:t>
      </w:r>
      <w:r w:rsidRPr="00382917">
        <w:t>mayor</w:t>
      </w:r>
      <w:r w:rsidR="00EE4FC3">
        <w:t xml:space="preserve"> </w:t>
      </w:r>
      <w:r w:rsidRPr="00382917">
        <w:t>of</w:t>
      </w:r>
      <w:r w:rsidR="00EE4FC3">
        <w:t xml:space="preserve"> </w:t>
      </w:r>
      <w:r w:rsidRPr="00382917">
        <w:t>the</w:t>
      </w:r>
      <w:r w:rsidR="00EE4FC3">
        <w:t xml:space="preserve"> </w:t>
      </w:r>
      <w:r w:rsidRPr="00382917">
        <w:t>city</w:t>
      </w:r>
      <w:r w:rsidR="0040329F">
        <w:t>.</w:t>
      </w:r>
      <w:r w:rsidR="00EE4FC3">
        <w:t xml:space="preserve">  </w:t>
      </w:r>
      <w:r w:rsidRPr="00382917">
        <w:t>The</w:t>
      </w:r>
      <w:r w:rsidR="00EE4FC3">
        <w:t xml:space="preserve"> </w:t>
      </w:r>
      <w:r w:rsidRPr="00382917">
        <w:t>mayor</w:t>
      </w:r>
      <w:r w:rsidR="00EE4FC3">
        <w:t xml:space="preserve"> </w:t>
      </w:r>
      <w:r w:rsidRPr="00382917">
        <w:t>immediately</w:t>
      </w:r>
      <w:r w:rsidR="00EE4FC3">
        <w:t xml:space="preserve"> </w:t>
      </w:r>
      <w:r w:rsidRPr="00382917">
        <w:t>ordered</w:t>
      </w:r>
      <w:r w:rsidR="00EE4FC3">
        <w:t xml:space="preserve"> </w:t>
      </w:r>
      <w:r w:rsidRPr="00382917">
        <w:t>the</w:t>
      </w:r>
      <w:r w:rsidR="00EE4FC3">
        <w:t xml:space="preserve"> </w:t>
      </w:r>
      <w:r w:rsidRPr="00382917">
        <w:t>arrest</w:t>
      </w:r>
      <w:r w:rsidR="00EE4FC3">
        <w:t xml:space="preserve"> </w:t>
      </w:r>
      <w:r w:rsidRPr="00382917">
        <w:t>of</w:t>
      </w:r>
      <w:r w:rsidR="00EE4FC3">
        <w:t xml:space="preserve"> </w:t>
      </w:r>
      <w:r w:rsidRPr="00382917">
        <w:t>the</w:t>
      </w:r>
      <w:r w:rsidR="00EE4FC3">
        <w:t xml:space="preserve"> </w:t>
      </w:r>
      <w:r w:rsidRPr="00382917">
        <w:t>fifty</w:t>
      </w:r>
      <w:r w:rsidR="0040329F">
        <w:t>.</w:t>
      </w:r>
      <w:r w:rsidR="00EE4FC3">
        <w:t xml:space="preserve">  </w:t>
      </w:r>
      <w:r w:rsidRPr="00382917">
        <w:t>Four-</w:t>
      </w:r>
    </w:p>
    <w:p w:rsidR="00582826" w:rsidRPr="00382917" w:rsidRDefault="00582826">
      <w:pPr>
        <w:widowControl/>
        <w:kinsoku/>
        <w:overflowPunct/>
        <w:textAlignment w:val="auto"/>
      </w:pPr>
      <w:r w:rsidRPr="00382917">
        <w:br w:type="page"/>
      </w:r>
    </w:p>
    <w:p w:rsidR="00582826" w:rsidRPr="00382917" w:rsidRDefault="00582826" w:rsidP="00582826">
      <w:pPr>
        <w:pStyle w:val="Textcts"/>
      </w:pPr>
      <w:proofErr w:type="gramStart"/>
      <w:r w:rsidRPr="00382917">
        <w:t>teen</w:t>
      </w:r>
      <w:proofErr w:type="gramEnd"/>
      <w:r w:rsidR="00EE4FC3">
        <w:t xml:space="preserve"> </w:t>
      </w:r>
      <w:r w:rsidRPr="00382917">
        <w:t>were</w:t>
      </w:r>
      <w:r w:rsidR="00EE4FC3">
        <w:t xml:space="preserve"> </w:t>
      </w:r>
      <w:r w:rsidRPr="00382917">
        <w:t>seized</w:t>
      </w:r>
      <w:r w:rsidR="00EE4FC3">
        <w:t xml:space="preserve"> </w:t>
      </w:r>
      <w:r w:rsidRPr="00382917">
        <w:t>and</w:t>
      </w:r>
      <w:r w:rsidR="00EE4FC3">
        <w:t xml:space="preserve"> </w:t>
      </w:r>
      <w:r w:rsidRPr="00382917">
        <w:t>brought</w:t>
      </w:r>
      <w:r w:rsidR="00EE4FC3">
        <w:t xml:space="preserve"> </w:t>
      </w:r>
      <w:r w:rsidRPr="00382917">
        <w:t>before</w:t>
      </w:r>
      <w:r w:rsidR="00EE4FC3">
        <w:t xml:space="preserve"> </w:t>
      </w:r>
      <w:r w:rsidRPr="00382917">
        <w:t>the</w:t>
      </w:r>
      <w:r w:rsidR="00EE4FC3">
        <w:t xml:space="preserve"> </w:t>
      </w:r>
      <w:r w:rsidRPr="00382917">
        <w:t>authorities</w:t>
      </w:r>
      <w:r w:rsidR="0040329F">
        <w:t>.</w:t>
      </w:r>
      <w:r w:rsidR="00EE4FC3">
        <w:t xml:space="preserve">  </w:t>
      </w:r>
      <w:r w:rsidRPr="00382917">
        <w:t>One</w:t>
      </w:r>
      <w:r w:rsidR="00EE4FC3">
        <w:t xml:space="preserve"> </w:t>
      </w:r>
      <w:r w:rsidRPr="00382917">
        <w:t>of</w:t>
      </w:r>
      <w:r w:rsidR="00EE4FC3">
        <w:t xml:space="preserve"> </w:t>
      </w:r>
      <w:r w:rsidRPr="00382917">
        <w:t>these</w:t>
      </w:r>
      <w:r w:rsidR="00EE4FC3">
        <w:t xml:space="preserve"> </w:t>
      </w:r>
      <w:r w:rsidRPr="00382917">
        <w:t>fourteen</w:t>
      </w:r>
      <w:r w:rsidR="00EE4FC3">
        <w:t xml:space="preserve"> </w:t>
      </w:r>
      <w:r w:rsidRPr="00382917">
        <w:t>was</w:t>
      </w:r>
      <w:r w:rsidR="00EE4FC3">
        <w:t xml:space="preserve"> </w:t>
      </w:r>
      <w:r w:rsidRPr="00382917">
        <w:t>the</w:t>
      </w:r>
      <w:r w:rsidR="00EE4FC3">
        <w:t xml:space="preserve"> </w:t>
      </w:r>
      <w:r w:rsidRPr="00382917">
        <w:t>Báb</w:t>
      </w:r>
      <w:r w:rsidR="009C713D" w:rsidRPr="00382917">
        <w:t>’</w:t>
      </w:r>
      <w:r w:rsidRPr="00382917">
        <w:t>s</w:t>
      </w:r>
      <w:r w:rsidR="00EE4FC3">
        <w:t xml:space="preserve"> </w:t>
      </w:r>
      <w:r w:rsidRPr="00382917">
        <w:t>uncle</w:t>
      </w:r>
      <w:r w:rsidR="0040329F">
        <w:t>.</w:t>
      </w:r>
      <w:r w:rsidR="00EE4FC3">
        <w:t xml:space="preserve">  </w:t>
      </w:r>
      <w:r w:rsidRPr="00382917">
        <w:t>They</w:t>
      </w:r>
      <w:r w:rsidR="00EE4FC3">
        <w:t xml:space="preserve"> </w:t>
      </w:r>
      <w:r w:rsidRPr="00382917">
        <w:t>were</w:t>
      </w:r>
      <w:r w:rsidR="00EE4FC3">
        <w:t xml:space="preserve"> </w:t>
      </w:r>
      <w:r w:rsidRPr="00382917">
        <w:t>all</w:t>
      </w:r>
      <w:r w:rsidR="00EE4FC3">
        <w:t xml:space="preserve"> </w:t>
      </w:r>
      <w:r w:rsidRPr="00382917">
        <w:t>placed</w:t>
      </w:r>
      <w:r w:rsidR="00EE4FC3">
        <w:t xml:space="preserve"> </w:t>
      </w:r>
      <w:r w:rsidRPr="00382917">
        <w:t>in</w:t>
      </w:r>
      <w:r w:rsidR="00EE4FC3">
        <w:t xml:space="preserve"> </w:t>
      </w:r>
      <w:r w:rsidRPr="00382917">
        <w:t>confinement</w:t>
      </w:r>
      <w:r w:rsidR="00EE4FC3">
        <w:t xml:space="preserve"> </w:t>
      </w:r>
      <w:r w:rsidRPr="00382917">
        <w:t>in</w:t>
      </w:r>
      <w:r w:rsidR="00EE4FC3">
        <w:t xml:space="preserve"> </w:t>
      </w:r>
      <w:r w:rsidRPr="00382917">
        <w:t>the</w:t>
      </w:r>
      <w:r w:rsidR="00EE4FC3">
        <w:t xml:space="preserve"> </w:t>
      </w:r>
      <w:r w:rsidRPr="00382917">
        <w:t>home</w:t>
      </w:r>
      <w:r w:rsidR="00EE4FC3">
        <w:t xml:space="preserve"> </w:t>
      </w:r>
      <w:r w:rsidRPr="00382917">
        <w:t>of</w:t>
      </w:r>
      <w:r w:rsidR="00EE4FC3">
        <w:t xml:space="preserve"> </w:t>
      </w:r>
      <w:r w:rsidRPr="00382917">
        <w:t>the</w:t>
      </w:r>
      <w:r w:rsidR="00EE4FC3">
        <w:t xml:space="preserve"> </w:t>
      </w:r>
      <w:r w:rsidRPr="00382917">
        <w:t>mayor</w:t>
      </w:r>
      <w:r w:rsidR="0040329F">
        <w:t>.</w:t>
      </w:r>
      <w:r w:rsidR="00EE4FC3">
        <w:t xml:space="preserve">  </w:t>
      </w:r>
      <w:r w:rsidRPr="00382917">
        <w:t>It</w:t>
      </w:r>
      <w:r w:rsidR="00EE4FC3">
        <w:t xml:space="preserve"> </w:t>
      </w:r>
      <w:r w:rsidRPr="00382917">
        <w:t>was</w:t>
      </w:r>
      <w:r w:rsidR="00EE4FC3">
        <w:t xml:space="preserve"> </w:t>
      </w:r>
      <w:r w:rsidRPr="00382917">
        <w:t>on</w:t>
      </w:r>
      <w:r w:rsidR="00EE4FC3">
        <w:t xml:space="preserve"> </w:t>
      </w:r>
      <w:r w:rsidRPr="00382917">
        <w:t>the</w:t>
      </w:r>
      <w:r w:rsidR="00EE4FC3">
        <w:t xml:space="preserve"> </w:t>
      </w:r>
      <w:r w:rsidRPr="00382917">
        <w:t>upper</w:t>
      </w:r>
      <w:r w:rsidR="00EE4FC3">
        <w:t xml:space="preserve"> </w:t>
      </w:r>
      <w:r w:rsidRPr="00382917">
        <w:t>floor</w:t>
      </w:r>
      <w:r w:rsidR="00EE4FC3">
        <w:t xml:space="preserve"> </w:t>
      </w:r>
      <w:r w:rsidRPr="00382917">
        <w:t>of</w:t>
      </w:r>
      <w:r w:rsidR="00EE4FC3">
        <w:t xml:space="preserve"> </w:t>
      </w:r>
      <w:r w:rsidRPr="00382917">
        <w:t>this</w:t>
      </w:r>
      <w:r w:rsidR="00EE4FC3">
        <w:t xml:space="preserve"> </w:t>
      </w:r>
      <w:r w:rsidRPr="00382917">
        <w:t>same</w:t>
      </w:r>
      <w:r w:rsidR="00EE4FC3">
        <w:t xml:space="preserve"> </w:t>
      </w:r>
      <w:r w:rsidRPr="00382917">
        <w:t>house</w:t>
      </w:r>
      <w:r w:rsidR="00EE4FC3">
        <w:t xml:space="preserve"> </w:t>
      </w:r>
      <w:r w:rsidRPr="00382917">
        <w:t>that</w:t>
      </w:r>
      <w:r w:rsidR="00EE4FC3">
        <w:t xml:space="preserve"> </w:t>
      </w:r>
      <w:r w:rsidRPr="00382917">
        <w:t>Ṭáhirih</w:t>
      </w:r>
      <w:r w:rsidR="00EE4FC3">
        <w:t xml:space="preserve"> </w:t>
      </w:r>
      <w:r w:rsidRPr="00382917">
        <w:t>was</w:t>
      </w:r>
      <w:r w:rsidR="00EE4FC3">
        <w:t xml:space="preserve"> </w:t>
      </w:r>
      <w:r w:rsidRPr="00382917">
        <w:t>also</w:t>
      </w:r>
      <w:r w:rsidR="00EE4FC3">
        <w:t xml:space="preserve"> </w:t>
      </w:r>
      <w:r w:rsidRPr="00382917">
        <w:t>held</w:t>
      </w:r>
      <w:r w:rsidR="00EE4FC3">
        <w:t xml:space="preserve"> </w:t>
      </w:r>
      <w:r w:rsidRPr="00382917">
        <w:t>prisoner.</w:t>
      </w:r>
    </w:p>
    <w:p w:rsidR="00582826" w:rsidRPr="00382917" w:rsidRDefault="00582826" w:rsidP="00582826">
      <w:pPr>
        <w:pStyle w:val="Text"/>
      </w:pPr>
      <w:r w:rsidRPr="00382917">
        <w:t>Every</w:t>
      </w:r>
      <w:r w:rsidR="00EE4FC3">
        <w:t xml:space="preserve"> </w:t>
      </w:r>
      <w:r w:rsidRPr="00382917">
        <w:t>kind</w:t>
      </w:r>
      <w:r w:rsidR="00EE4FC3">
        <w:t xml:space="preserve"> </w:t>
      </w:r>
      <w:r w:rsidRPr="00382917">
        <w:t>of</w:t>
      </w:r>
      <w:r w:rsidR="00EE4FC3">
        <w:t xml:space="preserve"> </w:t>
      </w:r>
      <w:r w:rsidRPr="00382917">
        <w:t>ill-treatment</w:t>
      </w:r>
      <w:r w:rsidR="00EE4FC3">
        <w:t xml:space="preserve"> </w:t>
      </w:r>
      <w:r w:rsidRPr="00382917">
        <w:t>was</w:t>
      </w:r>
      <w:r w:rsidR="00EE4FC3">
        <w:t xml:space="preserve"> </w:t>
      </w:r>
      <w:r w:rsidRPr="00382917">
        <w:t>inflicted</w:t>
      </w:r>
      <w:r w:rsidR="00EE4FC3">
        <w:t xml:space="preserve"> </w:t>
      </w:r>
      <w:r w:rsidRPr="00382917">
        <w:t>upon</w:t>
      </w:r>
      <w:r w:rsidR="00EE4FC3">
        <w:t xml:space="preserve"> </w:t>
      </w:r>
      <w:r w:rsidRPr="00382917">
        <w:t>these</w:t>
      </w:r>
      <w:r w:rsidR="00EE4FC3">
        <w:t xml:space="preserve"> </w:t>
      </w:r>
      <w:r w:rsidRPr="00382917">
        <w:t>fourteen</w:t>
      </w:r>
      <w:r w:rsidR="00EE4FC3">
        <w:t xml:space="preserve"> </w:t>
      </w:r>
      <w:r w:rsidRPr="00382917">
        <w:t>captives</w:t>
      </w:r>
      <w:r w:rsidR="00EE4FC3">
        <w:t xml:space="preserve"> </w:t>
      </w:r>
      <w:r w:rsidRPr="00382917">
        <w:t>to</w:t>
      </w:r>
      <w:r w:rsidR="00EE4FC3">
        <w:t xml:space="preserve"> </w:t>
      </w:r>
      <w:r w:rsidRPr="00382917">
        <w:t>induce</w:t>
      </w:r>
      <w:r w:rsidR="00EE4FC3">
        <w:t xml:space="preserve"> </w:t>
      </w:r>
      <w:r w:rsidRPr="00382917">
        <w:t>them</w:t>
      </w:r>
      <w:r w:rsidR="00EE4FC3">
        <w:t xml:space="preserve"> </w:t>
      </w:r>
      <w:r w:rsidRPr="00382917">
        <w:t>to</w:t>
      </w:r>
      <w:r w:rsidR="00EE4FC3">
        <w:t xml:space="preserve"> </w:t>
      </w:r>
      <w:r w:rsidRPr="00382917">
        <w:t>reveal</w:t>
      </w:r>
      <w:r w:rsidR="00EE4FC3">
        <w:t xml:space="preserve"> </w:t>
      </w:r>
      <w:r w:rsidRPr="00382917">
        <w:t>the</w:t>
      </w:r>
      <w:r w:rsidR="00EE4FC3">
        <w:t xml:space="preserve"> </w:t>
      </w:r>
      <w:r w:rsidRPr="00382917">
        <w:t>names</w:t>
      </w:r>
      <w:r w:rsidR="00EE4FC3">
        <w:t xml:space="preserve"> </w:t>
      </w:r>
      <w:r w:rsidRPr="00382917">
        <w:t>and</w:t>
      </w:r>
      <w:r w:rsidR="00EE4FC3">
        <w:t xml:space="preserve"> </w:t>
      </w:r>
      <w:r w:rsidRPr="00382917">
        <w:t>addresses</w:t>
      </w:r>
      <w:r w:rsidR="00EE4FC3">
        <w:t xml:space="preserve"> </w:t>
      </w:r>
      <w:r w:rsidRPr="00382917">
        <w:t>of</w:t>
      </w:r>
      <w:r w:rsidR="00EE4FC3">
        <w:t xml:space="preserve"> </w:t>
      </w:r>
      <w:r w:rsidRPr="00382917">
        <w:t>the</w:t>
      </w:r>
      <w:r w:rsidR="00EE4FC3">
        <w:t xml:space="preserve"> </w:t>
      </w:r>
      <w:r w:rsidRPr="00382917">
        <w:t>other</w:t>
      </w:r>
      <w:r w:rsidR="00EE4FC3">
        <w:t xml:space="preserve"> </w:t>
      </w:r>
      <w:r w:rsidRPr="00382917">
        <w:t>believers</w:t>
      </w:r>
      <w:r w:rsidR="00EE4FC3">
        <w:t xml:space="preserve"> </w:t>
      </w:r>
      <w:r w:rsidRPr="00382917">
        <w:t>in</w:t>
      </w:r>
      <w:r w:rsidR="00EE4FC3">
        <w:t xml:space="preserve"> </w:t>
      </w:r>
      <w:r w:rsidRPr="00382917">
        <w:t>the</w:t>
      </w:r>
      <w:r w:rsidR="00EE4FC3">
        <w:t xml:space="preserve"> </w:t>
      </w:r>
      <w:r w:rsidRPr="00382917">
        <w:t>city</w:t>
      </w:r>
      <w:r w:rsidR="0040329F">
        <w:t>.</w:t>
      </w:r>
      <w:r w:rsidR="00EE4FC3">
        <w:t xml:space="preserve">  </w:t>
      </w:r>
      <w:r w:rsidRPr="00382917">
        <w:t>The</w:t>
      </w:r>
      <w:r w:rsidR="00EE4FC3">
        <w:t xml:space="preserve"> </w:t>
      </w:r>
      <w:r w:rsidRPr="00382917">
        <w:t>Prime</w:t>
      </w:r>
      <w:r w:rsidR="00EE4FC3">
        <w:t xml:space="preserve"> </w:t>
      </w:r>
      <w:r w:rsidRPr="00382917">
        <w:t>Minister,</w:t>
      </w:r>
      <w:r w:rsidR="00EE4FC3">
        <w:t xml:space="preserve"> </w:t>
      </w:r>
      <w:r w:rsidRPr="00382917">
        <w:t>Mírzá</w:t>
      </w:r>
      <w:r w:rsidR="00EE4FC3">
        <w:t xml:space="preserve"> </w:t>
      </w:r>
      <w:r w:rsidRPr="00382917">
        <w:t>Taqí</w:t>
      </w:r>
      <w:r w:rsidR="00EE4FC3">
        <w:t xml:space="preserve"> </w:t>
      </w:r>
      <w:r w:rsidR="0040329F" w:rsidRPr="0040329F">
        <w:rPr>
          <w:u w:val="single"/>
        </w:rPr>
        <w:t>Kh</w:t>
      </w:r>
      <w:r w:rsidR="0040329F" w:rsidRPr="00382917">
        <w:t>án</w:t>
      </w:r>
      <w:r w:rsidRPr="00382917">
        <w:t>,</w:t>
      </w:r>
      <w:r w:rsidR="00EE4FC3">
        <w:t xml:space="preserve"> </w:t>
      </w:r>
      <w:r w:rsidRPr="00382917">
        <w:t>was</w:t>
      </w:r>
      <w:r w:rsidR="00EE4FC3">
        <w:t xml:space="preserve"> </w:t>
      </w:r>
      <w:r w:rsidRPr="00382917">
        <w:t>informed</w:t>
      </w:r>
      <w:r w:rsidR="00EE4FC3">
        <w:t xml:space="preserve"> </w:t>
      </w:r>
      <w:r w:rsidRPr="00382917">
        <w:t>of</w:t>
      </w:r>
      <w:r w:rsidR="00EE4FC3">
        <w:t xml:space="preserve"> </w:t>
      </w:r>
      <w:r w:rsidRPr="00382917">
        <w:t>their</w:t>
      </w:r>
      <w:r w:rsidR="00EE4FC3">
        <w:t xml:space="preserve"> </w:t>
      </w:r>
      <w:r w:rsidRPr="00382917">
        <w:t>capture</w:t>
      </w:r>
      <w:r w:rsidR="0040329F">
        <w:t>.</w:t>
      </w:r>
      <w:r w:rsidR="00EE4FC3">
        <w:t xml:space="preserve">  </w:t>
      </w:r>
      <w:r w:rsidRPr="00382917">
        <w:t>According</w:t>
      </w:r>
      <w:r w:rsidR="00EE4FC3">
        <w:t xml:space="preserve"> </w:t>
      </w:r>
      <w:r w:rsidRPr="00382917">
        <w:t>to</w:t>
      </w:r>
      <w:r w:rsidR="00EE4FC3">
        <w:t xml:space="preserve"> </w:t>
      </w:r>
      <w:r w:rsidRPr="00382917">
        <w:t>historical</w:t>
      </w:r>
      <w:r w:rsidR="00EE4FC3">
        <w:t xml:space="preserve"> </w:t>
      </w:r>
      <w:r w:rsidRPr="00382917">
        <w:t>record,</w:t>
      </w:r>
      <w:r w:rsidR="00EE4FC3">
        <w:t xml:space="preserve"> </w:t>
      </w:r>
      <w:r w:rsidRPr="00382917">
        <w:t>this</w:t>
      </w:r>
      <w:r w:rsidR="00EE4FC3">
        <w:t xml:space="preserve"> </w:t>
      </w:r>
      <w:r w:rsidRPr="00382917">
        <w:t>arch-enemy</w:t>
      </w:r>
      <w:r w:rsidR="00EE4FC3">
        <w:t xml:space="preserve"> </w:t>
      </w:r>
      <w:r w:rsidRPr="00382917">
        <w:t>of</w:t>
      </w:r>
      <w:r w:rsidR="00EE4FC3">
        <w:t xml:space="preserve"> </w:t>
      </w:r>
      <w:r w:rsidRPr="00382917">
        <w:t>the</w:t>
      </w:r>
      <w:r w:rsidR="00EE4FC3">
        <w:t xml:space="preserve"> </w:t>
      </w:r>
      <w:r w:rsidRPr="00382917">
        <w:t>Báb</w:t>
      </w:r>
      <w:r w:rsidR="00EE4FC3">
        <w:t xml:space="preserve"> </w:t>
      </w:r>
      <w:r w:rsidRPr="00382917">
        <w:t>was</w:t>
      </w:r>
      <w:r w:rsidR="00EE4FC3">
        <w:t xml:space="preserve"> </w:t>
      </w:r>
      <w:r w:rsidRPr="00382917">
        <w:t>the</w:t>
      </w:r>
      <w:r w:rsidR="00EE4FC3">
        <w:t xml:space="preserve"> </w:t>
      </w:r>
      <w:r w:rsidRPr="00382917">
        <w:t>son</w:t>
      </w:r>
      <w:r w:rsidR="00EE4FC3">
        <w:t xml:space="preserve"> </w:t>
      </w:r>
      <w:r w:rsidRPr="00382917">
        <w:t>of</w:t>
      </w:r>
      <w:r w:rsidR="00EE4FC3">
        <w:t xml:space="preserve"> </w:t>
      </w:r>
      <w:r w:rsidRPr="00382917">
        <w:t>the</w:t>
      </w:r>
      <w:r w:rsidR="00EE4FC3">
        <w:t xml:space="preserve"> </w:t>
      </w:r>
      <w:r w:rsidRPr="00382917">
        <w:t>head</w:t>
      </w:r>
      <w:r w:rsidR="00EE4FC3">
        <w:t xml:space="preserve"> </w:t>
      </w:r>
      <w:r w:rsidRPr="00382917">
        <w:t>cook</w:t>
      </w:r>
      <w:r w:rsidR="00EE4FC3">
        <w:t xml:space="preserve"> </w:t>
      </w:r>
      <w:r w:rsidRPr="00382917">
        <w:t>of</w:t>
      </w:r>
      <w:r w:rsidR="00EE4FC3">
        <w:t xml:space="preserve"> </w:t>
      </w:r>
      <w:r w:rsidRPr="00382917">
        <w:t>a</w:t>
      </w:r>
      <w:r w:rsidR="00EE4FC3">
        <w:t xml:space="preserve"> </w:t>
      </w:r>
      <w:r w:rsidRPr="00382917">
        <w:t>former</w:t>
      </w:r>
      <w:r w:rsidR="00EE4FC3">
        <w:t xml:space="preserve"> </w:t>
      </w:r>
      <w:r w:rsidRPr="00382917">
        <w:t>Prime</w:t>
      </w:r>
      <w:r w:rsidR="00EE4FC3">
        <w:t xml:space="preserve"> </w:t>
      </w:r>
      <w:r w:rsidRPr="00382917">
        <w:t>Minister</w:t>
      </w:r>
      <w:r w:rsidR="0040329F">
        <w:t>.</w:t>
      </w:r>
      <w:r w:rsidR="00EE4FC3">
        <w:t xml:space="preserve">  </w:t>
      </w:r>
      <w:r w:rsidRPr="00382917">
        <w:t>He</w:t>
      </w:r>
      <w:r w:rsidR="00EE4FC3">
        <w:t xml:space="preserve"> </w:t>
      </w:r>
      <w:r w:rsidRPr="00382917">
        <w:t>had</w:t>
      </w:r>
      <w:r w:rsidR="00EE4FC3">
        <w:t xml:space="preserve"> </w:t>
      </w:r>
      <w:r w:rsidRPr="00382917">
        <w:t>risen</w:t>
      </w:r>
      <w:r w:rsidR="00EE4FC3">
        <w:t xml:space="preserve"> </w:t>
      </w:r>
      <w:r w:rsidRPr="00382917">
        <w:t>in</w:t>
      </w:r>
      <w:r w:rsidR="00EE4FC3">
        <w:t xml:space="preserve"> </w:t>
      </w:r>
      <w:r w:rsidRPr="00382917">
        <w:t>a</w:t>
      </w:r>
      <w:r w:rsidR="00EE4FC3">
        <w:t xml:space="preserve"> </w:t>
      </w:r>
      <w:r w:rsidRPr="00382917">
        <w:t>few</w:t>
      </w:r>
      <w:r w:rsidR="00EE4FC3">
        <w:t xml:space="preserve"> </w:t>
      </w:r>
      <w:r w:rsidRPr="00382917">
        <w:t>short</w:t>
      </w:r>
      <w:r w:rsidR="00EE4FC3">
        <w:t xml:space="preserve"> </w:t>
      </w:r>
      <w:r w:rsidRPr="00382917">
        <w:t>years</w:t>
      </w:r>
      <w:r w:rsidR="00EE4FC3">
        <w:t xml:space="preserve"> </w:t>
      </w:r>
      <w:r w:rsidRPr="00382917">
        <w:t>from</w:t>
      </w:r>
      <w:r w:rsidR="00EE4FC3">
        <w:t xml:space="preserve"> </w:t>
      </w:r>
      <w:r w:rsidRPr="00382917">
        <w:t>the</w:t>
      </w:r>
      <w:r w:rsidR="00EE4FC3">
        <w:t xml:space="preserve"> </w:t>
      </w:r>
      <w:r w:rsidRPr="00382917">
        <w:t>kitchen</w:t>
      </w:r>
      <w:r w:rsidR="00EE4FC3">
        <w:t xml:space="preserve"> </w:t>
      </w:r>
      <w:r w:rsidRPr="00382917">
        <w:t>to</w:t>
      </w:r>
      <w:r w:rsidR="00EE4FC3">
        <w:t xml:space="preserve"> </w:t>
      </w:r>
      <w:r w:rsidRPr="00382917">
        <w:t>become</w:t>
      </w:r>
      <w:r w:rsidR="00EE4FC3">
        <w:t xml:space="preserve"> </w:t>
      </w:r>
      <w:r w:rsidRPr="00382917">
        <w:t>chief</w:t>
      </w:r>
      <w:r w:rsidR="00EE4FC3">
        <w:t xml:space="preserve"> </w:t>
      </w:r>
      <w:r w:rsidRPr="00382917">
        <w:t>advisor</w:t>
      </w:r>
      <w:r w:rsidR="00EE4FC3">
        <w:t xml:space="preserve"> </w:t>
      </w:r>
      <w:r w:rsidRPr="00382917">
        <w:t>to</w:t>
      </w:r>
      <w:r w:rsidR="00EE4FC3">
        <w:t xml:space="preserve"> </w:t>
      </w:r>
      <w:r w:rsidRPr="00382917">
        <w:t>the</w:t>
      </w:r>
      <w:r w:rsidR="00EE4FC3">
        <w:t xml:space="preserve"> </w:t>
      </w:r>
      <w:r w:rsidRPr="00382917">
        <w:t>king</w:t>
      </w:r>
      <w:r w:rsidR="00EE4FC3">
        <w:t xml:space="preserve"> </w:t>
      </w:r>
      <w:r w:rsidRPr="00382917">
        <w:t>through</w:t>
      </w:r>
      <w:r w:rsidR="00EE4FC3">
        <w:t xml:space="preserve"> </w:t>
      </w:r>
      <w:r w:rsidRPr="00382917">
        <w:t>a</w:t>
      </w:r>
      <w:r w:rsidR="00EE4FC3">
        <w:t xml:space="preserve"> </w:t>
      </w:r>
      <w:r w:rsidRPr="00382917">
        <w:t>policy</w:t>
      </w:r>
      <w:r w:rsidR="00EE4FC3">
        <w:t xml:space="preserve"> </w:t>
      </w:r>
      <w:r w:rsidRPr="00382917">
        <w:t>of</w:t>
      </w:r>
      <w:r w:rsidR="00EE4FC3">
        <w:t xml:space="preserve"> </w:t>
      </w:r>
      <w:r w:rsidRPr="00382917">
        <w:t>self-advancement</w:t>
      </w:r>
      <w:r w:rsidR="00EE4FC3">
        <w:t xml:space="preserve"> </w:t>
      </w:r>
      <w:r w:rsidRPr="00382917">
        <w:t>and</w:t>
      </w:r>
      <w:r w:rsidR="00EE4FC3">
        <w:t xml:space="preserve"> </w:t>
      </w:r>
      <w:r w:rsidRPr="00382917">
        <w:t>ruthlessness</w:t>
      </w:r>
      <w:r w:rsidR="0040329F">
        <w:t>.</w:t>
      </w:r>
      <w:r w:rsidR="00EE4FC3">
        <w:t xml:space="preserve">  </w:t>
      </w:r>
      <w:r w:rsidRPr="00382917">
        <w:t>He</w:t>
      </w:r>
      <w:r w:rsidR="00EE4FC3">
        <w:t xml:space="preserve"> </w:t>
      </w:r>
      <w:r w:rsidRPr="00382917">
        <w:t>immediately</w:t>
      </w:r>
      <w:r w:rsidR="00EE4FC3">
        <w:t xml:space="preserve"> </w:t>
      </w:r>
      <w:r w:rsidRPr="00382917">
        <w:t>issued</w:t>
      </w:r>
      <w:r w:rsidR="00EE4FC3">
        <w:t xml:space="preserve"> </w:t>
      </w:r>
      <w:r w:rsidRPr="00382917">
        <w:t>an</w:t>
      </w:r>
      <w:r w:rsidR="00EE4FC3">
        <w:t xml:space="preserve"> </w:t>
      </w:r>
      <w:r w:rsidRPr="00382917">
        <w:t>order</w:t>
      </w:r>
      <w:r w:rsidR="00EE4FC3">
        <w:t xml:space="preserve"> </w:t>
      </w:r>
      <w:r w:rsidRPr="00382917">
        <w:t>threatening</w:t>
      </w:r>
      <w:r w:rsidR="00EE4FC3">
        <w:t xml:space="preserve"> </w:t>
      </w:r>
      <w:r w:rsidRPr="00382917">
        <w:t>with</w:t>
      </w:r>
      <w:r w:rsidR="00EE4FC3">
        <w:t xml:space="preserve"> </w:t>
      </w:r>
      <w:r w:rsidRPr="00382917">
        <w:t>execution</w:t>
      </w:r>
      <w:r w:rsidR="00EE4FC3">
        <w:t xml:space="preserve"> </w:t>
      </w:r>
      <w:r w:rsidRPr="00382917">
        <w:t>whoever</w:t>
      </w:r>
      <w:r w:rsidR="00EE4FC3">
        <w:t xml:space="preserve"> </w:t>
      </w:r>
      <w:r w:rsidRPr="00382917">
        <w:t>among</w:t>
      </w:r>
      <w:r w:rsidR="00EE4FC3">
        <w:t xml:space="preserve"> </w:t>
      </w:r>
      <w:r w:rsidRPr="00382917">
        <w:t>the</w:t>
      </w:r>
      <w:r w:rsidR="00EE4FC3">
        <w:t xml:space="preserve"> </w:t>
      </w:r>
      <w:r w:rsidRPr="00382917">
        <w:t>fourteen</w:t>
      </w:r>
      <w:r w:rsidR="00EE4FC3">
        <w:t xml:space="preserve"> </w:t>
      </w:r>
      <w:r w:rsidRPr="00382917">
        <w:t>was</w:t>
      </w:r>
      <w:r w:rsidR="00EE4FC3">
        <w:t xml:space="preserve"> </w:t>
      </w:r>
      <w:r w:rsidRPr="00382917">
        <w:t>unwilling</w:t>
      </w:r>
      <w:r w:rsidR="00EE4FC3">
        <w:t xml:space="preserve"> </w:t>
      </w:r>
      <w:r w:rsidRPr="00382917">
        <w:t>to</w:t>
      </w:r>
      <w:r w:rsidR="00EE4FC3">
        <w:t xml:space="preserve"> </w:t>
      </w:r>
      <w:r w:rsidRPr="00382917">
        <w:t>deny</w:t>
      </w:r>
      <w:r w:rsidR="00EE4FC3">
        <w:t xml:space="preserve"> </w:t>
      </w:r>
      <w:r w:rsidRPr="00382917">
        <w:t>his</w:t>
      </w:r>
      <w:r w:rsidR="00EE4FC3">
        <w:t xml:space="preserve"> </w:t>
      </w:r>
      <w:r w:rsidRPr="00382917">
        <w:t>Faith.</w:t>
      </w:r>
    </w:p>
    <w:p w:rsidR="00582826" w:rsidRPr="00382917" w:rsidRDefault="00582826" w:rsidP="00E60059">
      <w:pPr>
        <w:pStyle w:val="Text"/>
      </w:pPr>
      <w:r w:rsidRPr="00382917">
        <w:t>Seven</w:t>
      </w:r>
      <w:r w:rsidR="00EE4FC3">
        <w:t xml:space="preserve"> </w:t>
      </w:r>
      <w:r w:rsidRPr="00382917">
        <w:t>were</w:t>
      </w:r>
      <w:r w:rsidR="00EE4FC3">
        <w:t xml:space="preserve"> </w:t>
      </w:r>
      <w:r w:rsidRPr="00382917">
        <w:t>compelled</w:t>
      </w:r>
      <w:r w:rsidR="00EE4FC3">
        <w:t xml:space="preserve"> </w:t>
      </w:r>
      <w:r w:rsidRPr="00382917">
        <w:t>to</w:t>
      </w:r>
      <w:r w:rsidR="00EE4FC3">
        <w:t xml:space="preserve"> </w:t>
      </w:r>
      <w:r w:rsidRPr="00382917">
        <w:t>yield</w:t>
      </w:r>
      <w:r w:rsidR="00EE4FC3">
        <w:t xml:space="preserve"> </w:t>
      </w:r>
      <w:r w:rsidRPr="00382917">
        <w:t>to</w:t>
      </w:r>
      <w:r w:rsidR="00EE4FC3">
        <w:t xml:space="preserve"> </w:t>
      </w:r>
      <w:r w:rsidRPr="00382917">
        <w:t>the</w:t>
      </w:r>
      <w:r w:rsidR="00EE4FC3">
        <w:t xml:space="preserve"> </w:t>
      </w:r>
      <w:r w:rsidRPr="00382917">
        <w:t>pressure</w:t>
      </w:r>
      <w:r w:rsidR="00EE4FC3">
        <w:t xml:space="preserve"> </w:t>
      </w:r>
      <w:r w:rsidRPr="00382917">
        <w:t>he</w:t>
      </w:r>
      <w:r w:rsidR="00EE4FC3">
        <w:t xml:space="preserve"> </w:t>
      </w:r>
      <w:r w:rsidRPr="00382917">
        <w:t>exerted,</w:t>
      </w:r>
      <w:r w:rsidR="00EE4FC3">
        <w:t xml:space="preserve"> </w:t>
      </w:r>
      <w:r w:rsidRPr="00382917">
        <w:t>and</w:t>
      </w:r>
      <w:r w:rsidR="00EE4FC3">
        <w:t xml:space="preserve"> </w:t>
      </w:r>
      <w:r w:rsidRPr="00382917">
        <w:t>were</w:t>
      </w:r>
      <w:r w:rsidR="00EE4FC3">
        <w:t xml:space="preserve"> </w:t>
      </w:r>
      <w:r w:rsidRPr="00382917">
        <w:t>released</w:t>
      </w:r>
      <w:r w:rsidR="00EE4FC3">
        <w:t xml:space="preserve"> </w:t>
      </w:r>
      <w:r w:rsidRPr="00382917">
        <w:t>at</w:t>
      </w:r>
      <w:r w:rsidR="00EE4FC3">
        <w:t xml:space="preserve"> </w:t>
      </w:r>
      <w:r w:rsidRPr="00382917">
        <w:t>once</w:t>
      </w:r>
      <w:r w:rsidR="0040329F">
        <w:t>.</w:t>
      </w:r>
      <w:r w:rsidR="00EE4FC3">
        <w:t xml:space="preserve">  </w:t>
      </w:r>
      <w:r w:rsidRPr="00382917">
        <w:t>The</w:t>
      </w:r>
      <w:r w:rsidR="00EE4FC3">
        <w:t xml:space="preserve"> </w:t>
      </w:r>
      <w:r w:rsidRPr="00382917">
        <w:t>remaining</w:t>
      </w:r>
      <w:r w:rsidR="00EE4FC3">
        <w:t xml:space="preserve"> </w:t>
      </w:r>
      <w:r w:rsidRPr="00382917">
        <w:t>seven</w:t>
      </w:r>
      <w:r w:rsidR="00EE4FC3">
        <w:t xml:space="preserve"> </w:t>
      </w:r>
      <w:r w:rsidRPr="00382917">
        <w:t>who</w:t>
      </w:r>
      <w:r w:rsidR="00EE4FC3">
        <w:t xml:space="preserve"> </w:t>
      </w:r>
      <w:r w:rsidRPr="00382917">
        <w:t>remained</w:t>
      </w:r>
      <w:r w:rsidR="00EE4FC3">
        <w:t xml:space="preserve"> </w:t>
      </w:r>
      <w:r w:rsidRPr="00382917">
        <w:t>steadfast</w:t>
      </w:r>
      <w:r w:rsidR="00EE4FC3">
        <w:t xml:space="preserve"> </w:t>
      </w:r>
      <w:r w:rsidRPr="00382917">
        <w:t>became</w:t>
      </w:r>
      <w:r w:rsidR="00EE4FC3">
        <w:t xml:space="preserve"> </w:t>
      </w:r>
      <w:r w:rsidRPr="00382917">
        <w:t>known</w:t>
      </w:r>
      <w:r w:rsidR="00EE4FC3">
        <w:t xml:space="preserve"> </w:t>
      </w:r>
      <w:r w:rsidRPr="00382917">
        <w:t>as</w:t>
      </w:r>
      <w:r w:rsidR="00EE4FC3">
        <w:t xml:space="preserve"> </w:t>
      </w:r>
      <w:r w:rsidRPr="00382917">
        <w:t>the</w:t>
      </w:r>
      <w:r w:rsidR="00EE4FC3">
        <w:t xml:space="preserve"> </w:t>
      </w:r>
      <w:r w:rsidR="009C713D" w:rsidRPr="00382917">
        <w:t>“</w:t>
      </w:r>
      <w:r w:rsidRPr="00382917">
        <w:t>Seven</w:t>
      </w:r>
      <w:r w:rsidR="00EE4FC3">
        <w:t xml:space="preserve"> </w:t>
      </w:r>
      <w:r w:rsidRPr="00382917">
        <w:t>Martyrs</w:t>
      </w:r>
      <w:r w:rsidR="00EE4FC3">
        <w:t xml:space="preserve"> </w:t>
      </w:r>
      <w:r w:rsidRPr="00382917">
        <w:t>of</w:t>
      </w:r>
      <w:r w:rsidR="00EE4FC3">
        <w:t xml:space="preserve"> </w:t>
      </w:r>
      <w:r w:rsidRPr="00382917">
        <w:t>Ṭihrán</w:t>
      </w:r>
      <w:r w:rsidR="009C713D" w:rsidRPr="00382917">
        <w:t>”</w:t>
      </w:r>
      <w:r w:rsidR="00E60059">
        <w:t xml:space="preserve">. </w:t>
      </w:r>
      <w:r w:rsidR="00EE4FC3">
        <w:t xml:space="preserve"> </w:t>
      </w:r>
      <w:r w:rsidRPr="00382917">
        <w:t>The</w:t>
      </w:r>
      <w:r w:rsidR="00EE4FC3">
        <w:t xml:space="preserve"> </w:t>
      </w:r>
      <w:r w:rsidRPr="00382917">
        <w:t>Báb</w:t>
      </w:r>
      <w:r w:rsidR="009C713D" w:rsidRPr="00382917">
        <w:t>’</w:t>
      </w:r>
      <w:r w:rsidRPr="00382917">
        <w:t>s</w:t>
      </w:r>
      <w:r w:rsidR="00EE4FC3">
        <w:t xml:space="preserve"> </w:t>
      </w:r>
      <w:r w:rsidRPr="00382917">
        <w:t>uncle</w:t>
      </w:r>
      <w:r w:rsidR="00EE4FC3">
        <w:t xml:space="preserve"> </w:t>
      </w:r>
      <w:r w:rsidRPr="00382917">
        <w:t>was</w:t>
      </w:r>
      <w:r w:rsidR="00EE4FC3">
        <w:t xml:space="preserve"> </w:t>
      </w:r>
      <w:r w:rsidRPr="00382917">
        <w:t>one</w:t>
      </w:r>
      <w:r w:rsidR="00EE4FC3">
        <w:t xml:space="preserve"> </w:t>
      </w:r>
      <w:r w:rsidRPr="00382917">
        <w:t>of</w:t>
      </w:r>
      <w:r w:rsidR="00EE4FC3">
        <w:t xml:space="preserve"> </w:t>
      </w:r>
      <w:r w:rsidRPr="00382917">
        <w:t>the</w:t>
      </w:r>
      <w:r w:rsidR="00EE4FC3">
        <w:t xml:space="preserve"> </w:t>
      </w:r>
      <w:r w:rsidRPr="00382917">
        <w:t>seven.</w:t>
      </w:r>
    </w:p>
    <w:p w:rsidR="00582826" w:rsidRPr="00382917" w:rsidRDefault="00582826" w:rsidP="00582826">
      <w:pPr>
        <w:pStyle w:val="Text"/>
      </w:pPr>
      <w:r w:rsidRPr="00382917">
        <w:t>His</w:t>
      </w:r>
      <w:r w:rsidR="00EE4FC3">
        <w:t xml:space="preserve"> </w:t>
      </w:r>
      <w:r w:rsidRPr="00382917">
        <w:t>business</w:t>
      </w:r>
      <w:r w:rsidR="00EE4FC3">
        <w:t xml:space="preserve"> </w:t>
      </w:r>
      <w:r w:rsidRPr="00382917">
        <w:t>friends</w:t>
      </w:r>
      <w:r w:rsidR="00EE4FC3">
        <w:t xml:space="preserve"> </w:t>
      </w:r>
      <w:r w:rsidRPr="00382917">
        <w:t>urged</w:t>
      </w:r>
      <w:r w:rsidR="00EE4FC3">
        <w:t xml:space="preserve"> </w:t>
      </w:r>
      <w:r w:rsidRPr="00382917">
        <w:t>him</w:t>
      </w:r>
      <w:r w:rsidR="00EE4FC3">
        <w:t xml:space="preserve"> </w:t>
      </w:r>
      <w:r w:rsidRPr="00382917">
        <w:t>to</w:t>
      </w:r>
      <w:r w:rsidR="00EE4FC3">
        <w:t xml:space="preserve"> </w:t>
      </w:r>
      <w:r w:rsidRPr="00382917">
        <w:t>deny</w:t>
      </w:r>
      <w:r w:rsidR="00EE4FC3">
        <w:t xml:space="preserve"> </w:t>
      </w:r>
      <w:r w:rsidRPr="00382917">
        <w:t>his</w:t>
      </w:r>
      <w:r w:rsidR="00EE4FC3">
        <w:t xml:space="preserve"> </w:t>
      </w:r>
      <w:r w:rsidRPr="00382917">
        <w:t>Faith</w:t>
      </w:r>
      <w:r w:rsidR="00EE4FC3">
        <w:t xml:space="preserve"> </w:t>
      </w:r>
      <w:r w:rsidRPr="00382917">
        <w:t>and</w:t>
      </w:r>
      <w:r w:rsidR="00EE4FC3">
        <w:t xml:space="preserve"> </w:t>
      </w:r>
      <w:r w:rsidRPr="00382917">
        <w:t>save</w:t>
      </w:r>
      <w:r w:rsidR="00EE4FC3">
        <w:t xml:space="preserve"> </w:t>
      </w:r>
      <w:r w:rsidRPr="00382917">
        <w:t>his</w:t>
      </w:r>
      <w:r w:rsidR="00EE4FC3">
        <w:t xml:space="preserve"> </w:t>
      </w:r>
      <w:r w:rsidRPr="00382917">
        <w:t>life</w:t>
      </w:r>
      <w:r w:rsidR="0040329F">
        <w:t>.</w:t>
      </w:r>
      <w:r w:rsidR="00EE4FC3">
        <w:t xml:space="preserve">  </w:t>
      </w:r>
      <w:r w:rsidRPr="00382917">
        <w:t>God</w:t>
      </w:r>
      <w:r w:rsidR="00EE4FC3">
        <w:t xml:space="preserve"> </w:t>
      </w:r>
      <w:r w:rsidRPr="00382917">
        <w:t>winks</w:t>
      </w:r>
      <w:r w:rsidR="00EE4FC3">
        <w:t xml:space="preserve"> </w:t>
      </w:r>
      <w:r w:rsidRPr="00382917">
        <w:t>His</w:t>
      </w:r>
      <w:r w:rsidR="00EE4FC3">
        <w:t xml:space="preserve"> </w:t>
      </w:r>
      <w:r w:rsidRPr="00382917">
        <w:t>eyes</w:t>
      </w:r>
      <w:r w:rsidR="00EE4FC3">
        <w:t xml:space="preserve"> </w:t>
      </w:r>
      <w:r w:rsidRPr="00382917">
        <w:t>at</w:t>
      </w:r>
      <w:r w:rsidR="00EE4FC3">
        <w:t xml:space="preserve"> </w:t>
      </w:r>
      <w:r w:rsidRPr="00382917">
        <w:t>such</w:t>
      </w:r>
      <w:r w:rsidR="00EE4FC3">
        <w:t xml:space="preserve"> </w:t>
      </w:r>
      <w:r w:rsidRPr="00382917">
        <w:t>things,</w:t>
      </w:r>
      <w:r w:rsidR="00EE4FC3">
        <w:t xml:space="preserve"> </w:t>
      </w:r>
      <w:r w:rsidRPr="00382917">
        <w:t>they</w:t>
      </w:r>
      <w:r w:rsidR="00EE4FC3">
        <w:t xml:space="preserve"> </w:t>
      </w:r>
      <w:r w:rsidRPr="00382917">
        <w:t>said</w:t>
      </w:r>
      <w:r w:rsidR="0040329F">
        <w:t>.</w:t>
      </w:r>
      <w:r w:rsidR="00EE4FC3">
        <w:t xml:space="preserve">  </w:t>
      </w:r>
      <w:r w:rsidRPr="00382917">
        <w:t>Several</w:t>
      </w:r>
      <w:r w:rsidR="00EE4FC3">
        <w:t xml:space="preserve"> </w:t>
      </w:r>
      <w:r w:rsidRPr="00382917">
        <w:t>rich</w:t>
      </w:r>
      <w:r w:rsidR="00EE4FC3">
        <w:t xml:space="preserve"> </w:t>
      </w:r>
      <w:r w:rsidRPr="00382917">
        <w:t>merchants</w:t>
      </w:r>
      <w:r w:rsidR="00EE4FC3">
        <w:t xml:space="preserve"> </w:t>
      </w:r>
      <w:r w:rsidRPr="00382917">
        <w:t>offered</w:t>
      </w:r>
      <w:r w:rsidR="00EE4FC3">
        <w:t xml:space="preserve"> </w:t>
      </w:r>
      <w:r w:rsidRPr="00382917">
        <w:t>to</w:t>
      </w:r>
      <w:r w:rsidR="00EE4FC3">
        <w:t xml:space="preserve"> </w:t>
      </w:r>
      <w:r w:rsidRPr="00382917">
        <w:t>pay</w:t>
      </w:r>
      <w:r w:rsidR="00EE4FC3">
        <w:t xml:space="preserve"> </w:t>
      </w:r>
      <w:r w:rsidRPr="00382917">
        <w:t>a</w:t>
      </w:r>
      <w:r w:rsidR="00EE4FC3">
        <w:t xml:space="preserve"> </w:t>
      </w:r>
      <w:r w:rsidRPr="00382917">
        <w:t>ransom</w:t>
      </w:r>
      <w:r w:rsidR="00EE4FC3">
        <w:t xml:space="preserve"> </w:t>
      </w:r>
      <w:r w:rsidRPr="00382917">
        <w:t>to</w:t>
      </w:r>
      <w:r w:rsidR="00EE4FC3">
        <w:t xml:space="preserve"> </w:t>
      </w:r>
      <w:r w:rsidRPr="00382917">
        <w:t>free</w:t>
      </w:r>
      <w:r w:rsidR="00EE4FC3">
        <w:t xml:space="preserve"> </w:t>
      </w:r>
      <w:r w:rsidRPr="00382917">
        <w:t>him,</w:t>
      </w:r>
      <w:r w:rsidR="00EE4FC3">
        <w:t xml:space="preserve"> </w:t>
      </w:r>
      <w:r w:rsidRPr="00382917">
        <w:t>but</w:t>
      </w:r>
      <w:r w:rsidR="00EE4FC3">
        <w:t xml:space="preserve"> </w:t>
      </w:r>
      <w:r w:rsidRPr="00382917">
        <w:t>the</w:t>
      </w:r>
      <w:r w:rsidR="00EE4FC3">
        <w:t xml:space="preserve"> </w:t>
      </w:r>
      <w:r w:rsidRPr="00382917">
        <w:t>Báb</w:t>
      </w:r>
      <w:r w:rsidR="009C713D" w:rsidRPr="00382917">
        <w:t>’</w:t>
      </w:r>
      <w:r w:rsidRPr="00382917">
        <w:t>s</w:t>
      </w:r>
      <w:r w:rsidR="00EE4FC3">
        <w:t xml:space="preserve"> </w:t>
      </w:r>
      <w:r w:rsidRPr="00382917">
        <w:t>uncle</w:t>
      </w:r>
      <w:r w:rsidR="00EE4FC3">
        <w:t xml:space="preserve"> </w:t>
      </w:r>
      <w:r w:rsidRPr="00382917">
        <w:t>rejected</w:t>
      </w:r>
      <w:r w:rsidR="00EE4FC3">
        <w:t xml:space="preserve"> </w:t>
      </w:r>
      <w:r w:rsidRPr="00382917">
        <w:t>their</w:t>
      </w:r>
      <w:r w:rsidR="00EE4FC3">
        <w:t xml:space="preserve"> </w:t>
      </w:r>
      <w:r w:rsidRPr="00382917">
        <w:t>offer</w:t>
      </w:r>
      <w:r w:rsidR="0040329F">
        <w:t>.</w:t>
      </w:r>
      <w:r w:rsidR="00EE4FC3">
        <w:t xml:space="preserve">  </w:t>
      </w:r>
      <w:r w:rsidRPr="00382917">
        <w:t>Finally,</w:t>
      </w:r>
      <w:r w:rsidR="00EE4FC3">
        <w:t xml:space="preserve"> </w:t>
      </w:r>
      <w:r w:rsidRPr="00382917">
        <w:t>he</w:t>
      </w:r>
      <w:r w:rsidR="00EE4FC3">
        <w:t xml:space="preserve"> </w:t>
      </w:r>
      <w:r w:rsidRPr="00382917">
        <w:t>was</w:t>
      </w:r>
      <w:r w:rsidR="00EE4FC3">
        <w:t xml:space="preserve"> </w:t>
      </w:r>
      <w:r w:rsidRPr="00382917">
        <w:t>brought</w:t>
      </w:r>
      <w:r w:rsidR="00EE4FC3">
        <w:t xml:space="preserve"> </w:t>
      </w:r>
      <w:r w:rsidRPr="00382917">
        <w:t>before</w:t>
      </w:r>
      <w:r w:rsidR="00EE4FC3">
        <w:t xml:space="preserve"> </w:t>
      </w:r>
      <w:r w:rsidRPr="00382917">
        <w:t>the</w:t>
      </w:r>
      <w:r w:rsidR="00EE4FC3">
        <w:t xml:space="preserve"> </w:t>
      </w:r>
      <w:r w:rsidRPr="00382917">
        <w:t>Prime</w:t>
      </w:r>
      <w:r w:rsidR="00EE4FC3">
        <w:t xml:space="preserve"> </w:t>
      </w:r>
      <w:r w:rsidRPr="00382917">
        <w:t>Minister.</w:t>
      </w:r>
    </w:p>
    <w:p w:rsidR="00582826" w:rsidRPr="00382917" w:rsidRDefault="009C713D" w:rsidP="00582826">
      <w:pPr>
        <w:pStyle w:val="Text"/>
      </w:pPr>
      <w:r w:rsidRPr="00382917">
        <w:t>“</w:t>
      </w:r>
      <w:r w:rsidR="00582826" w:rsidRPr="00382917">
        <w:t>A</w:t>
      </w:r>
      <w:r w:rsidR="00EE4FC3">
        <w:t xml:space="preserve"> </w:t>
      </w:r>
      <w:r w:rsidR="00582826" w:rsidRPr="00382917">
        <w:t>number</w:t>
      </w:r>
      <w:r w:rsidR="00EE4FC3">
        <w:t xml:space="preserve"> </w:t>
      </w:r>
      <w:r w:rsidR="00582826" w:rsidRPr="00382917">
        <w:t>of</w:t>
      </w:r>
      <w:r w:rsidR="00EE4FC3">
        <w:t xml:space="preserve"> </w:t>
      </w:r>
      <w:r w:rsidR="00582826" w:rsidRPr="00382917">
        <w:t>prominent</w:t>
      </w:r>
      <w:r w:rsidR="00EE4FC3">
        <w:t xml:space="preserve"> </w:t>
      </w:r>
      <w:r w:rsidR="00582826" w:rsidRPr="00382917">
        <w:t>people</w:t>
      </w:r>
      <w:r w:rsidR="00EE4FC3">
        <w:t xml:space="preserve"> </w:t>
      </w:r>
      <w:r w:rsidR="00582826" w:rsidRPr="00382917">
        <w:t>have</w:t>
      </w:r>
      <w:r w:rsidR="00EE4FC3">
        <w:t xml:space="preserve"> </w:t>
      </w:r>
      <w:r w:rsidR="00582826" w:rsidRPr="00382917">
        <w:t>interceded</w:t>
      </w:r>
      <w:r w:rsidR="00EE4FC3">
        <w:t xml:space="preserve"> </w:t>
      </w:r>
      <w:r w:rsidR="00582826" w:rsidRPr="00382917">
        <w:t>in</w:t>
      </w:r>
      <w:r w:rsidR="00EE4FC3">
        <w:t xml:space="preserve"> </w:t>
      </w:r>
      <w:r w:rsidR="00582826" w:rsidRPr="00382917">
        <w:t>your</w:t>
      </w:r>
      <w:r w:rsidR="00EE4FC3">
        <w:t xml:space="preserve"> </w:t>
      </w:r>
      <w:r w:rsidR="00582826" w:rsidRPr="00382917">
        <w:t>behalf,</w:t>
      </w:r>
      <w:r w:rsidRPr="00382917">
        <w:t>”</w:t>
      </w:r>
      <w:r w:rsidR="00EE4FC3">
        <w:t xml:space="preserve"> </w:t>
      </w:r>
      <w:r w:rsidR="00582826" w:rsidRPr="00382917">
        <w:t>the</w:t>
      </w:r>
      <w:r w:rsidR="00EE4FC3">
        <w:t xml:space="preserve"> </w:t>
      </w:r>
      <w:r w:rsidR="00582826" w:rsidRPr="00382917">
        <w:t>Prime</w:t>
      </w:r>
      <w:r w:rsidR="00EE4FC3">
        <w:t xml:space="preserve"> </w:t>
      </w:r>
      <w:r w:rsidR="00582826" w:rsidRPr="00382917">
        <w:t>Minister</w:t>
      </w:r>
      <w:r w:rsidR="00EE4FC3">
        <w:t xml:space="preserve"> </w:t>
      </w:r>
      <w:r w:rsidR="00582826" w:rsidRPr="00382917">
        <w:t>told</w:t>
      </w:r>
      <w:r w:rsidR="00EE4FC3">
        <w:t xml:space="preserve"> </w:t>
      </w:r>
      <w:r w:rsidR="00582826" w:rsidRPr="00382917">
        <w:t>him</w:t>
      </w:r>
      <w:r w:rsidR="0040329F">
        <w:t>.</w:t>
      </w:r>
      <w:r w:rsidR="00EE4FC3">
        <w:t xml:space="preserve">  </w:t>
      </w:r>
      <w:r w:rsidRPr="00382917">
        <w:t>“</w:t>
      </w:r>
      <w:r w:rsidR="00582826" w:rsidRPr="00382917">
        <w:t>Wealthy</w:t>
      </w:r>
      <w:r w:rsidR="00EE4FC3">
        <w:t xml:space="preserve"> </w:t>
      </w:r>
      <w:r w:rsidR="00582826" w:rsidRPr="00382917">
        <w:t>merchants</w:t>
      </w:r>
      <w:r w:rsidR="00EE4FC3">
        <w:t xml:space="preserve"> </w:t>
      </w:r>
      <w:r w:rsidR="00582826" w:rsidRPr="00382917">
        <w:t>from</w:t>
      </w:r>
      <w:r w:rsidR="00EE4FC3">
        <w:t xml:space="preserve"> </w:t>
      </w:r>
      <w:r w:rsidR="008A073E" w:rsidRPr="00382917">
        <w:rPr>
          <w:u w:val="single"/>
        </w:rPr>
        <w:t>Sh</w:t>
      </w:r>
      <w:r w:rsidR="008A073E" w:rsidRPr="00382917">
        <w:t>íráz</w:t>
      </w:r>
      <w:r w:rsidR="00EE4FC3">
        <w:t xml:space="preserve"> </w:t>
      </w:r>
      <w:r w:rsidR="00582826" w:rsidRPr="00382917">
        <w:t>and</w:t>
      </w:r>
      <w:r w:rsidR="00EE4FC3">
        <w:t xml:space="preserve"> </w:t>
      </w:r>
      <w:r w:rsidR="00582826" w:rsidRPr="00382917">
        <w:t>Ṭihrán</w:t>
      </w:r>
      <w:r w:rsidR="00EE4FC3">
        <w:t xml:space="preserve"> </w:t>
      </w:r>
      <w:r w:rsidR="00582826" w:rsidRPr="00382917">
        <w:t>are</w:t>
      </w:r>
      <w:r w:rsidR="00EE4FC3">
        <w:t xml:space="preserve"> </w:t>
      </w:r>
      <w:r w:rsidR="00582826" w:rsidRPr="00382917">
        <w:t>willing,</w:t>
      </w:r>
      <w:r w:rsidR="00EE4FC3">
        <w:t xml:space="preserve"> </w:t>
      </w:r>
      <w:r w:rsidR="00582826" w:rsidRPr="00382917">
        <w:t>nay</w:t>
      </w:r>
      <w:r w:rsidR="00EE4FC3">
        <w:t xml:space="preserve"> </w:t>
      </w:r>
      <w:r w:rsidR="00582826" w:rsidRPr="00382917">
        <w:t>eager,</w:t>
      </w:r>
      <w:r w:rsidR="00EE4FC3">
        <w:t xml:space="preserve"> </w:t>
      </w:r>
      <w:r w:rsidR="00582826" w:rsidRPr="00382917">
        <w:t>to</w:t>
      </w:r>
      <w:r w:rsidR="00EE4FC3">
        <w:t xml:space="preserve"> </w:t>
      </w:r>
      <w:r w:rsidR="00582826" w:rsidRPr="00382917">
        <w:t>pay</w:t>
      </w:r>
      <w:r w:rsidR="00EE4FC3">
        <w:t xml:space="preserve"> </w:t>
      </w:r>
      <w:r w:rsidR="00582826" w:rsidRPr="00382917">
        <w:t>your</w:t>
      </w:r>
      <w:r w:rsidR="00EE4FC3">
        <w:t xml:space="preserve"> </w:t>
      </w:r>
      <w:r w:rsidR="00582826" w:rsidRPr="00382917">
        <w:t>ransom</w:t>
      </w:r>
      <w:r w:rsidR="0040329F">
        <w:t>.</w:t>
      </w:r>
      <w:r w:rsidR="00EE4FC3">
        <w:t xml:space="preserve">  </w:t>
      </w:r>
      <w:r w:rsidR="00582826" w:rsidRPr="00382917">
        <w:t>A</w:t>
      </w:r>
      <w:r w:rsidR="00EE4FC3">
        <w:t xml:space="preserve"> </w:t>
      </w:r>
      <w:r w:rsidR="00582826" w:rsidRPr="00382917">
        <w:t>word</w:t>
      </w:r>
      <w:r w:rsidR="00EE4FC3">
        <w:t xml:space="preserve"> </w:t>
      </w:r>
      <w:r w:rsidR="00582826" w:rsidRPr="00382917">
        <w:t>of</w:t>
      </w:r>
      <w:r w:rsidR="00EE4FC3">
        <w:t xml:space="preserve"> </w:t>
      </w:r>
      <w:r w:rsidR="00582826" w:rsidRPr="00382917">
        <w:t>denial</w:t>
      </w:r>
      <w:r w:rsidR="00EE4FC3">
        <w:t xml:space="preserve"> </w:t>
      </w:r>
      <w:r w:rsidR="00582826" w:rsidRPr="00382917">
        <w:t>from</w:t>
      </w:r>
      <w:r w:rsidR="00EE4FC3">
        <w:t xml:space="preserve"> </w:t>
      </w:r>
      <w:r w:rsidR="00582826" w:rsidRPr="00382917">
        <w:t>you</w:t>
      </w:r>
      <w:r w:rsidR="00EE4FC3">
        <w:t xml:space="preserve"> </w:t>
      </w:r>
      <w:r w:rsidR="00582826" w:rsidRPr="00382917">
        <w:t>will</w:t>
      </w:r>
      <w:r w:rsidR="00EE4FC3">
        <w:t xml:space="preserve"> </w:t>
      </w:r>
      <w:r w:rsidR="00582826" w:rsidRPr="00382917">
        <w:t>set</w:t>
      </w:r>
      <w:r w:rsidR="00EE4FC3">
        <w:t xml:space="preserve"> </w:t>
      </w:r>
      <w:r w:rsidR="00582826" w:rsidRPr="00382917">
        <w:t>you</w:t>
      </w:r>
      <w:r w:rsidR="00EE4FC3">
        <w:t xml:space="preserve"> </w:t>
      </w:r>
      <w:r w:rsidR="00582826" w:rsidRPr="00382917">
        <w:t>free,</w:t>
      </w:r>
      <w:r w:rsidR="00EE4FC3">
        <w:t xml:space="preserve"> </w:t>
      </w:r>
      <w:r w:rsidR="00582826" w:rsidRPr="00382917">
        <w:t>and</w:t>
      </w:r>
      <w:r w:rsidR="00EE4FC3">
        <w:t xml:space="preserve"> </w:t>
      </w:r>
      <w:r w:rsidR="00582826" w:rsidRPr="00382917">
        <w:t>we</w:t>
      </w:r>
      <w:r w:rsidR="00EE4FC3">
        <w:t xml:space="preserve"> </w:t>
      </w:r>
      <w:r w:rsidR="00582826" w:rsidRPr="00382917">
        <w:t>shall</w:t>
      </w:r>
      <w:r w:rsidR="00EE4FC3">
        <w:t xml:space="preserve"> </w:t>
      </w:r>
      <w:r w:rsidR="00582826" w:rsidRPr="00382917">
        <w:t>return</w:t>
      </w:r>
      <w:r w:rsidR="00EE4FC3">
        <w:t xml:space="preserve"> </w:t>
      </w:r>
      <w:r w:rsidR="00582826" w:rsidRPr="00382917">
        <w:t>you</w:t>
      </w:r>
      <w:r w:rsidR="00EE4FC3">
        <w:t xml:space="preserve"> </w:t>
      </w:r>
      <w:r w:rsidR="00582826" w:rsidRPr="00382917">
        <w:t>to</w:t>
      </w:r>
      <w:r w:rsidR="00EE4FC3">
        <w:t xml:space="preserve"> </w:t>
      </w:r>
      <w:r w:rsidR="00582826" w:rsidRPr="00382917">
        <w:t>your</w:t>
      </w:r>
      <w:r w:rsidR="00EE4FC3">
        <w:t xml:space="preserve"> </w:t>
      </w:r>
      <w:r w:rsidR="00582826" w:rsidRPr="00382917">
        <w:t>native</w:t>
      </w:r>
      <w:r w:rsidR="00EE4FC3">
        <w:t xml:space="preserve"> </w:t>
      </w:r>
      <w:r w:rsidR="00582826" w:rsidRPr="00382917">
        <w:t>city</w:t>
      </w:r>
      <w:r w:rsidR="00EE4FC3">
        <w:t xml:space="preserve"> </w:t>
      </w:r>
      <w:r w:rsidR="00582826" w:rsidRPr="00382917">
        <w:t>with</w:t>
      </w:r>
      <w:r w:rsidR="00EE4FC3">
        <w:t xml:space="preserve"> </w:t>
      </w:r>
      <w:proofErr w:type="spellStart"/>
      <w:r w:rsidR="00582826" w:rsidRPr="00382917">
        <w:t>honors</w:t>
      </w:r>
      <w:proofErr w:type="spellEnd"/>
      <w:r w:rsidR="00582826" w:rsidRPr="00382917">
        <w:t>.</w:t>
      </w:r>
      <w:r w:rsidRPr="00382917">
        <w:t>”</w:t>
      </w:r>
    </w:p>
    <w:p w:rsidR="00582826" w:rsidRPr="00382917" w:rsidRDefault="00582826" w:rsidP="00582826">
      <w:pPr>
        <w:pStyle w:val="Text"/>
      </w:pPr>
      <w:r w:rsidRPr="00382917">
        <w:t>The</w:t>
      </w:r>
      <w:r w:rsidR="00EE4FC3">
        <w:t xml:space="preserve"> </w:t>
      </w:r>
      <w:r w:rsidR="0040329F" w:rsidRPr="00382917">
        <w:t>B</w:t>
      </w:r>
      <w:r w:rsidR="0040329F" w:rsidRPr="0040329F">
        <w:t>á</w:t>
      </w:r>
      <w:r w:rsidR="0040329F" w:rsidRPr="00382917">
        <w:t>b</w:t>
      </w:r>
      <w:r w:rsidR="009C713D" w:rsidRPr="00382917">
        <w:t>’</w:t>
      </w:r>
      <w:r w:rsidRPr="00382917">
        <w:t>s</w:t>
      </w:r>
      <w:r w:rsidR="00EE4FC3">
        <w:t xml:space="preserve"> </w:t>
      </w:r>
      <w:r w:rsidRPr="00382917">
        <w:t>uncle</w:t>
      </w:r>
      <w:r w:rsidR="00EE4FC3">
        <w:t xml:space="preserve"> </w:t>
      </w:r>
      <w:r w:rsidRPr="00382917">
        <w:t>boldly</w:t>
      </w:r>
      <w:r w:rsidR="00EE4FC3">
        <w:t xml:space="preserve"> </w:t>
      </w:r>
      <w:r w:rsidRPr="00382917">
        <w:t>replied</w:t>
      </w:r>
      <w:r w:rsidR="00EE4FC3">
        <w:t xml:space="preserve"> </w:t>
      </w:r>
      <w:r w:rsidRPr="00382917">
        <w:t>to</w:t>
      </w:r>
      <w:r w:rsidR="00EE4FC3">
        <w:t xml:space="preserve"> </w:t>
      </w:r>
      <w:r w:rsidRPr="00382917">
        <w:t>these</w:t>
      </w:r>
      <w:r w:rsidR="00EE4FC3">
        <w:t xml:space="preserve"> </w:t>
      </w:r>
      <w:r w:rsidRPr="00382917">
        <w:t>words</w:t>
      </w:r>
      <w:r w:rsidR="0040329F">
        <w:t>.</w:t>
      </w:r>
      <w:r w:rsidR="00EE4FC3">
        <w:t xml:space="preserve">  </w:t>
      </w:r>
      <w:r w:rsidR="009C713D" w:rsidRPr="00382917">
        <w:t>“</w:t>
      </w:r>
      <w:proofErr w:type="gramStart"/>
      <w:r w:rsidRPr="00382917">
        <w:t>Your</w:t>
      </w:r>
      <w:proofErr w:type="gramEnd"/>
      <w:r w:rsidR="00EE4FC3">
        <w:t xml:space="preserve"> </w:t>
      </w:r>
      <w:r w:rsidRPr="00382917">
        <w:t>Excellency,</w:t>
      </w:r>
      <w:r w:rsidR="009C713D" w:rsidRPr="00382917">
        <w:t>”</w:t>
      </w:r>
      <w:r w:rsidR="00EE4FC3">
        <w:t xml:space="preserve"> </w:t>
      </w:r>
      <w:r w:rsidRPr="00382917">
        <w:t>he</w:t>
      </w:r>
      <w:r w:rsidR="00EE4FC3">
        <w:t xml:space="preserve"> </w:t>
      </w:r>
      <w:r w:rsidRPr="00382917">
        <w:t>said,</w:t>
      </w:r>
      <w:r w:rsidR="00EE4FC3">
        <w:t xml:space="preserve"> </w:t>
      </w:r>
      <w:r w:rsidR="009C713D" w:rsidRPr="00382917">
        <w:t>“</w:t>
      </w:r>
      <w:r w:rsidRPr="00382917">
        <w:t>my</w:t>
      </w:r>
      <w:r w:rsidR="00EE4FC3">
        <w:t xml:space="preserve"> </w:t>
      </w:r>
      <w:r w:rsidRPr="00382917">
        <w:t>rejection</w:t>
      </w:r>
      <w:r w:rsidR="00EE4FC3">
        <w:t xml:space="preserve"> </w:t>
      </w:r>
      <w:r w:rsidRPr="00382917">
        <w:t>of</w:t>
      </w:r>
      <w:r w:rsidR="00EE4FC3">
        <w:t xml:space="preserve"> </w:t>
      </w:r>
      <w:r w:rsidRPr="00382917">
        <w:t>the</w:t>
      </w:r>
      <w:r w:rsidR="00EE4FC3">
        <w:t xml:space="preserve"> </w:t>
      </w:r>
      <w:r w:rsidRPr="00382917">
        <w:t>truths</w:t>
      </w:r>
      <w:r w:rsidR="00EE4FC3">
        <w:t xml:space="preserve"> </w:t>
      </w:r>
      <w:r w:rsidRPr="00382917">
        <w:t>which</w:t>
      </w:r>
      <w:r w:rsidR="00EE4FC3">
        <w:t xml:space="preserve"> </w:t>
      </w:r>
      <w:r w:rsidRPr="00382917">
        <w:t>are</w:t>
      </w:r>
      <w:r w:rsidR="00EE4FC3">
        <w:t xml:space="preserve"> </w:t>
      </w:r>
      <w:r w:rsidRPr="00382917">
        <w:t>given</w:t>
      </w:r>
      <w:r w:rsidR="00EE4FC3">
        <w:t xml:space="preserve"> </w:t>
      </w:r>
      <w:r w:rsidRPr="00382917">
        <w:t>in</w:t>
      </w:r>
      <w:r w:rsidR="00EE4FC3">
        <w:t xml:space="preserve"> </w:t>
      </w:r>
      <w:r w:rsidRPr="00382917">
        <w:t>this</w:t>
      </w:r>
      <w:r w:rsidR="00EE4FC3">
        <w:t xml:space="preserve"> </w:t>
      </w:r>
      <w:r w:rsidRPr="00382917">
        <w:t>Revelation</w:t>
      </w:r>
      <w:r w:rsidR="00EE4FC3">
        <w:t xml:space="preserve"> </w:t>
      </w:r>
      <w:r w:rsidRPr="00382917">
        <w:t>would</w:t>
      </w:r>
      <w:r w:rsidR="00EE4FC3">
        <w:t xml:space="preserve"> </w:t>
      </w:r>
      <w:r w:rsidRPr="00382917">
        <w:t>be</w:t>
      </w:r>
      <w:r w:rsidR="00EE4FC3">
        <w:t xml:space="preserve"> </w:t>
      </w:r>
      <w:r w:rsidRPr="00382917">
        <w:t>the</w:t>
      </w:r>
      <w:r w:rsidR="00EE4FC3">
        <w:t xml:space="preserve"> </w:t>
      </w:r>
      <w:r w:rsidRPr="00382917">
        <w:t>same</w:t>
      </w:r>
      <w:r w:rsidR="00EE4FC3">
        <w:t xml:space="preserve"> </w:t>
      </w:r>
      <w:r w:rsidRPr="00382917">
        <w:t>as</w:t>
      </w:r>
      <w:r w:rsidR="00EE4FC3">
        <w:t xml:space="preserve"> </w:t>
      </w:r>
      <w:r w:rsidRPr="00382917">
        <w:t>rejecting</w:t>
      </w:r>
      <w:r w:rsidR="00EE4FC3">
        <w:t xml:space="preserve"> </w:t>
      </w:r>
      <w:r w:rsidRPr="00382917">
        <w:t>all</w:t>
      </w:r>
      <w:r w:rsidR="00EE4FC3">
        <w:t xml:space="preserve"> </w:t>
      </w:r>
      <w:r w:rsidRPr="00382917">
        <w:t>the</w:t>
      </w:r>
      <w:r w:rsidR="00EE4FC3">
        <w:t xml:space="preserve"> </w:t>
      </w:r>
      <w:r w:rsidRPr="00382917">
        <w:t>Revelations</w:t>
      </w:r>
      <w:r w:rsidR="00EE4FC3">
        <w:t xml:space="preserve"> </w:t>
      </w:r>
      <w:r w:rsidRPr="00382917">
        <w:t>that</w:t>
      </w:r>
      <w:r w:rsidR="00EE4FC3">
        <w:t xml:space="preserve"> </w:t>
      </w:r>
      <w:r w:rsidRPr="00382917">
        <w:t>have</w:t>
      </w:r>
      <w:r w:rsidR="00EE4FC3">
        <w:t xml:space="preserve"> </w:t>
      </w:r>
      <w:r w:rsidRPr="00382917">
        <w:t>preceded</w:t>
      </w:r>
      <w:r w:rsidR="00EE4FC3">
        <w:t xml:space="preserve"> </w:t>
      </w:r>
      <w:r w:rsidRPr="00382917">
        <w:t>it</w:t>
      </w:r>
      <w:r w:rsidR="0040329F">
        <w:t>.</w:t>
      </w:r>
      <w:r w:rsidR="00EE4FC3">
        <w:t xml:space="preserve">  </w:t>
      </w:r>
      <w:r w:rsidRPr="00382917">
        <w:t>If</w:t>
      </w:r>
      <w:r w:rsidR="00EE4FC3">
        <w:t xml:space="preserve"> </w:t>
      </w:r>
      <w:r w:rsidRPr="00382917">
        <w:t>I</w:t>
      </w:r>
      <w:r w:rsidR="00EE4FC3">
        <w:t xml:space="preserve"> </w:t>
      </w:r>
      <w:r w:rsidRPr="00382917">
        <w:t>refuse</w:t>
      </w:r>
      <w:r w:rsidR="00EE4FC3">
        <w:t xml:space="preserve"> </w:t>
      </w:r>
      <w:r w:rsidRPr="00382917">
        <w:t>to</w:t>
      </w:r>
      <w:r w:rsidR="00EE4FC3">
        <w:t xml:space="preserve"> </w:t>
      </w:r>
      <w:r w:rsidRPr="00382917">
        <w:t>acknowledge</w:t>
      </w:r>
      <w:r w:rsidR="00EE4FC3">
        <w:t xml:space="preserve"> </w:t>
      </w:r>
      <w:r w:rsidRPr="00382917">
        <w:t>the</w:t>
      </w:r>
      <w:r w:rsidR="00EE4FC3">
        <w:t xml:space="preserve"> </w:t>
      </w:r>
      <w:r w:rsidRPr="00382917">
        <w:t>mission</w:t>
      </w:r>
      <w:r w:rsidR="00EE4FC3">
        <w:t xml:space="preserve"> </w:t>
      </w:r>
      <w:r w:rsidRPr="00382917">
        <w:t>of</w:t>
      </w:r>
      <w:r w:rsidR="00EE4FC3">
        <w:t xml:space="preserve"> </w:t>
      </w:r>
      <w:r w:rsidRPr="00382917">
        <w:t>the</w:t>
      </w:r>
      <w:r w:rsidR="00EE4FC3">
        <w:t xml:space="preserve"> </w:t>
      </w:r>
      <w:r w:rsidRPr="00382917">
        <w:t>Báb,</w:t>
      </w:r>
      <w:r w:rsidR="00EE4FC3">
        <w:t xml:space="preserve"> </w:t>
      </w:r>
      <w:r w:rsidRPr="00382917">
        <w:t>I</w:t>
      </w:r>
      <w:r w:rsidR="00EE4FC3">
        <w:t xml:space="preserve"> </w:t>
      </w:r>
      <w:r w:rsidRPr="00382917">
        <w:t>must</w:t>
      </w:r>
      <w:r w:rsidR="00EE4FC3">
        <w:t xml:space="preserve"> </w:t>
      </w:r>
      <w:r w:rsidRPr="00382917">
        <w:t>also</w:t>
      </w:r>
      <w:r w:rsidR="00EE4FC3">
        <w:t xml:space="preserve"> </w:t>
      </w:r>
      <w:r w:rsidRPr="00382917">
        <w:t>deny</w:t>
      </w:r>
      <w:r w:rsidR="00EE4FC3">
        <w:t xml:space="preserve"> </w:t>
      </w:r>
      <w:r w:rsidRPr="00382917">
        <w:t>the</w:t>
      </w:r>
      <w:r w:rsidR="00EE4FC3">
        <w:t xml:space="preserve"> </w:t>
      </w:r>
      <w:r w:rsidRPr="00382917">
        <w:t>divine</w:t>
      </w:r>
      <w:r w:rsidR="00EE4FC3">
        <w:t xml:space="preserve"> </w:t>
      </w:r>
      <w:r w:rsidRPr="00382917">
        <w:t>character</w:t>
      </w:r>
      <w:r w:rsidR="00EE4FC3">
        <w:t xml:space="preserve"> </w:t>
      </w:r>
      <w:r w:rsidRPr="00382917">
        <w:t>of</w:t>
      </w:r>
      <w:r w:rsidR="00EE4FC3">
        <w:t xml:space="preserve"> </w:t>
      </w:r>
      <w:r w:rsidRPr="00382917">
        <w:t>the</w:t>
      </w:r>
      <w:r w:rsidR="00EE4FC3">
        <w:t xml:space="preserve"> </w:t>
      </w:r>
      <w:r w:rsidRPr="00382917">
        <w:t>message</w:t>
      </w:r>
      <w:r w:rsidR="00EE4FC3">
        <w:t xml:space="preserve"> </w:t>
      </w:r>
      <w:r w:rsidRPr="00382917">
        <w:t>which</w:t>
      </w:r>
      <w:r w:rsidR="00EE4FC3">
        <w:t xml:space="preserve"> </w:t>
      </w:r>
      <w:r w:rsidRPr="00382917">
        <w:t>Mu</w:t>
      </w:r>
      <w:r w:rsidRPr="00382917">
        <w:rPr>
          <w:sz w:val="22"/>
        </w:rPr>
        <w:t>ḥ</w:t>
      </w:r>
      <w:r w:rsidRPr="00382917">
        <w:t>ammad,</w:t>
      </w:r>
      <w:r w:rsidR="00EE4FC3">
        <w:t xml:space="preserve"> </w:t>
      </w:r>
      <w:r w:rsidRPr="00382917">
        <w:t>Jesus,</w:t>
      </w:r>
      <w:r w:rsidR="00EE4FC3">
        <w:t xml:space="preserve"> </w:t>
      </w:r>
      <w:r w:rsidRPr="00382917">
        <w:t>Moses</w:t>
      </w:r>
      <w:r w:rsidR="00EE4FC3">
        <w:t xml:space="preserve"> </w:t>
      </w:r>
      <w:r w:rsidRPr="00382917">
        <w:t>and</w:t>
      </w:r>
      <w:r w:rsidR="00EE4FC3">
        <w:t xml:space="preserve"> </w:t>
      </w:r>
      <w:r w:rsidRPr="00382917">
        <w:t>all</w:t>
      </w:r>
      <w:r w:rsidR="00EE4FC3">
        <w:t xml:space="preserve"> </w:t>
      </w:r>
      <w:r w:rsidRPr="00382917">
        <w:t>the</w:t>
      </w:r>
      <w:r w:rsidR="00EE4FC3">
        <w:t xml:space="preserve"> </w:t>
      </w:r>
      <w:r w:rsidRPr="00382917">
        <w:t>Prophets</w:t>
      </w:r>
      <w:r w:rsidR="00EE4FC3">
        <w:t xml:space="preserve"> </w:t>
      </w:r>
      <w:r w:rsidRPr="00382917">
        <w:t>of</w:t>
      </w:r>
      <w:r w:rsidR="00EE4FC3">
        <w:t xml:space="preserve"> </w:t>
      </w:r>
      <w:r w:rsidRPr="00382917">
        <w:t>the</w:t>
      </w:r>
      <w:r w:rsidR="00EE4FC3">
        <w:t xml:space="preserve"> </w:t>
      </w:r>
      <w:r w:rsidRPr="00382917">
        <w:t>past</w:t>
      </w:r>
      <w:r w:rsidR="00EE4FC3">
        <w:t xml:space="preserve"> </w:t>
      </w:r>
      <w:r w:rsidRPr="00382917">
        <w:t>have</w:t>
      </w:r>
      <w:r w:rsidR="00EE4FC3">
        <w:t xml:space="preserve"> </w:t>
      </w:r>
      <w:r w:rsidRPr="00382917">
        <w:t>revealed.</w:t>
      </w:r>
      <w:r w:rsidR="009C713D" w:rsidRPr="00382917">
        <w:t>”</w:t>
      </w:r>
    </w:p>
    <w:p w:rsidR="00582826" w:rsidRPr="00382917" w:rsidRDefault="00582826" w:rsidP="00582826">
      <w:pPr>
        <w:pStyle w:val="Text"/>
      </w:pPr>
      <w:r w:rsidRPr="00382917">
        <w:t>The</w:t>
      </w:r>
      <w:r w:rsidR="00EE4FC3">
        <w:t xml:space="preserve"> </w:t>
      </w:r>
      <w:r w:rsidRPr="00382917">
        <w:t>Prime</w:t>
      </w:r>
      <w:r w:rsidR="00EE4FC3">
        <w:t xml:space="preserve"> </w:t>
      </w:r>
      <w:r w:rsidRPr="00382917">
        <w:t>Minister</w:t>
      </w:r>
      <w:r w:rsidR="00EE4FC3">
        <w:t xml:space="preserve"> </w:t>
      </w:r>
      <w:r w:rsidRPr="00382917">
        <w:t>did</w:t>
      </w:r>
      <w:r w:rsidR="00EE4FC3">
        <w:t xml:space="preserve"> </w:t>
      </w:r>
      <w:r w:rsidRPr="00382917">
        <w:t>not</w:t>
      </w:r>
      <w:r w:rsidR="00EE4FC3">
        <w:t xml:space="preserve"> </w:t>
      </w:r>
      <w:r w:rsidRPr="00382917">
        <w:t>try</w:t>
      </w:r>
      <w:r w:rsidR="00EE4FC3">
        <w:t xml:space="preserve"> </w:t>
      </w:r>
      <w:r w:rsidRPr="00382917">
        <w:t>to</w:t>
      </w:r>
      <w:r w:rsidR="00EE4FC3">
        <w:t xml:space="preserve"> </w:t>
      </w:r>
      <w:r w:rsidRPr="00382917">
        <w:t>hide</w:t>
      </w:r>
      <w:r w:rsidR="00EE4FC3">
        <w:t xml:space="preserve"> </w:t>
      </w:r>
      <w:r w:rsidRPr="00382917">
        <w:t>his</w:t>
      </w:r>
      <w:r w:rsidR="00EE4FC3">
        <w:t xml:space="preserve"> </w:t>
      </w:r>
      <w:r w:rsidRPr="00382917">
        <w:t>impatience</w:t>
      </w:r>
      <w:r w:rsidR="00EE4FC3">
        <w:t xml:space="preserve"> </w:t>
      </w:r>
      <w:r w:rsidRPr="00382917">
        <w:t>as</w:t>
      </w:r>
      <w:r w:rsidR="00EE4FC3">
        <w:t xml:space="preserve"> </w:t>
      </w:r>
      <w:r w:rsidRPr="00382917">
        <w:t>the</w:t>
      </w:r>
      <w:r w:rsidR="00EE4FC3">
        <w:t xml:space="preserve"> </w:t>
      </w:r>
      <w:r w:rsidRPr="00382917">
        <w:t>Báb</w:t>
      </w:r>
      <w:r w:rsidR="009C713D" w:rsidRPr="00382917">
        <w:t>’</w:t>
      </w:r>
      <w:r w:rsidRPr="00382917">
        <w:t>s</w:t>
      </w:r>
      <w:r w:rsidR="00EE4FC3">
        <w:t xml:space="preserve"> </w:t>
      </w:r>
      <w:r w:rsidRPr="00382917">
        <w:t>uncle</w:t>
      </w:r>
      <w:r w:rsidR="00EE4FC3">
        <w:t xml:space="preserve"> </w:t>
      </w:r>
      <w:r w:rsidRPr="00382917">
        <w:t>continued</w:t>
      </w:r>
      <w:r w:rsidR="0040329F">
        <w:t>.</w:t>
      </w:r>
      <w:r w:rsidR="00EE4FC3">
        <w:t xml:space="preserve">  </w:t>
      </w:r>
      <w:r w:rsidR="009C713D" w:rsidRPr="00382917">
        <w:t>“</w:t>
      </w:r>
      <w:r w:rsidRPr="00382917">
        <w:t>God</w:t>
      </w:r>
      <w:r w:rsidR="00EE4FC3">
        <w:t xml:space="preserve"> </w:t>
      </w:r>
      <w:r w:rsidRPr="00382917">
        <w:t>knows</w:t>
      </w:r>
      <w:r w:rsidR="00EE4FC3">
        <w:t xml:space="preserve"> </w:t>
      </w:r>
      <w:r w:rsidRPr="00382917">
        <w:t>that</w:t>
      </w:r>
      <w:r w:rsidR="00EE4FC3">
        <w:t xml:space="preserve"> </w:t>
      </w:r>
      <w:r w:rsidRPr="00382917">
        <w:t>whatever</w:t>
      </w:r>
      <w:r w:rsidR="00EE4FC3">
        <w:t xml:space="preserve"> </w:t>
      </w:r>
      <w:r w:rsidRPr="00382917">
        <w:t>I</w:t>
      </w:r>
      <w:r w:rsidR="00EE4FC3">
        <w:t xml:space="preserve"> </w:t>
      </w:r>
      <w:r w:rsidRPr="00382917">
        <w:t>have</w:t>
      </w:r>
      <w:r w:rsidR="00EE4FC3">
        <w:t xml:space="preserve"> </w:t>
      </w:r>
      <w:r w:rsidRPr="00382917">
        <w:t>heard</w:t>
      </w:r>
      <w:r w:rsidR="00EE4FC3">
        <w:t xml:space="preserve"> </w:t>
      </w:r>
      <w:r w:rsidRPr="00382917">
        <w:t>and</w:t>
      </w:r>
      <w:r w:rsidR="00EE4FC3">
        <w:t xml:space="preserve"> </w:t>
      </w:r>
      <w:r w:rsidRPr="00382917">
        <w:t>read</w:t>
      </w:r>
      <w:r w:rsidR="00EE4FC3">
        <w:t xml:space="preserve"> </w:t>
      </w:r>
      <w:r w:rsidRPr="00382917">
        <w:t>concerning</w:t>
      </w:r>
      <w:r w:rsidR="00EE4FC3">
        <w:t xml:space="preserve"> </w:t>
      </w:r>
      <w:r w:rsidRPr="00382917">
        <w:t>the</w:t>
      </w:r>
      <w:r w:rsidR="00EE4FC3">
        <w:t xml:space="preserve"> </w:t>
      </w:r>
      <w:r w:rsidRPr="00382917">
        <w:t>lives</w:t>
      </w:r>
      <w:r w:rsidR="00EE4FC3">
        <w:t xml:space="preserve"> </w:t>
      </w:r>
      <w:r w:rsidRPr="00382917">
        <w:t>of</w:t>
      </w:r>
      <w:r w:rsidR="00EE4FC3">
        <w:t xml:space="preserve"> </w:t>
      </w:r>
      <w:r w:rsidRPr="00382917">
        <w:t>these</w:t>
      </w:r>
      <w:r w:rsidR="00EE4FC3">
        <w:t xml:space="preserve"> </w:t>
      </w:r>
      <w:r w:rsidRPr="00382917">
        <w:t>past</w:t>
      </w:r>
      <w:r w:rsidR="00EE4FC3">
        <w:t xml:space="preserve"> </w:t>
      </w:r>
      <w:r w:rsidRPr="00382917">
        <w:t>Messengers</w:t>
      </w:r>
      <w:r w:rsidR="00EE4FC3">
        <w:t xml:space="preserve"> </w:t>
      </w:r>
      <w:r w:rsidRPr="00382917">
        <w:t>of</w:t>
      </w:r>
      <w:r w:rsidR="00EE4FC3">
        <w:t xml:space="preserve"> </w:t>
      </w:r>
      <w:r w:rsidRPr="00382917">
        <w:t>God,</w:t>
      </w:r>
      <w:r w:rsidR="00EE4FC3">
        <w:t xml:space="preserve"> </w:t>
      </w:r>
      <w:r w:rsidRPr="00382917">
        <w:t>the</w:t>
      </w:r>
      <w:r w:rsidR="00EE4FC3">
        <w:t xml:space="preserve"> </w:t>
      </w:r>
      <w:r w:rsidRPr="00382917">
        <w:t>same</w:t>
      </w:r>
      <w:r w:rsidR="00EE4FC3">
        <w:t xml:space="preserve"> </w:t>
      </w:r>
      <w:r w:rsidRPr="00382917">
        <w:t>have</w:t>
      </w:r>
      <w:r w:rsidR="00EE4FC3">
        <w:t xml:space="preserve"> </w:t>
      </w:r>
      <w:r w:rsidRPr="00382917">
        <w:t>I</w:t>
      </w:r>
      <w:r w:rsidR="00EE4FC3">
        <w:t xml:space="preserve"> </w:t>
      </w:r>
      <w:r w:rsidRPr="00382917">
        <w:t>been</w:t>
      </w:r>
      <w:r w:rsidR="00EE4FC3">
        <w:t xml:space="preserve"> </w:t>
      </w:r>
      <w:r w:rsidRPr="00382917">
        <w:t>privileged</w:t>
      </w:r>
      <w:r w:rsidR="00EE4FC3">
        <w:t xml:space="preserve"> </w:t>
      </w:r>
      <w:r w:rsidRPr="00382917">
        <w:t>to</w:t>
      </w:r>
      <w:r w:rsidR="00EE4FC3">
        <w:t xml:space="preserve"> </w:t>
      </w:r>
      <w:r w:rsidRPr="00382917">
        <w:t>witness</w:t>
      </w:r>
      <w:r w:rsidR="00EE4FC3">
        <w:t xml:space="preserve"> </w:t>
      </w:r>
      <w:r w:rsidRPr="00382917">
        <w:t>from</w:t>
      </w:r>
      <w:r w:rsidR="00EE4FC3">
        <w:t xml:space="preserve"> </w:t>
      </w:r>
      <w:r w:rsidRPr="00382917">
        <w:t>this</w:t>
      </w:r>
      <w:r w:rsidR="00EE4FC3">
        <w:t xml:space="preserve"> </w:t>
      </w:r>
      <w:r w:rsidRPr="00382917">
        <w:t>Youth,</w:t>
      </w:r>
      <w:r w:rsidR="00EE4FC3">
        <w:t xml:space="preserve"> </w:t>
      </w:r>
      <w:r w:rsidRPr="00382917">
        <w:t>this</w:t>
      </w:r>
      <w:r w:rsidR="00EE4FC3">
        <w:t xml:space="preserve"> </w:t>
      </w:r>
      <w:r w:rsidRPr="00382917">
        <w:t>beloved</w:t>
      </w:r>
      <w:r w:rsidR="00EE4FC3">
        <w:t xml:space="preserve"> </w:t>
      </w:r>
      <w:r w:rsidRPr="00382917">
        <w:t>Kinsman</w:t>
      </w:r>
      <w:r w:rsidR="00EE4FC3">
        <w:t xml:space="preserve"> </w:t>
      </w:r>
      <w:r w:rsidRPr="00382917">
        <w:t>of</w:t>
      </w:r>
      <w:r w:rsidR="00EE4FC3">
        <w:t xml:space="preserve"> </w:t>
      </w:r>
      <w:r w:rsidRPr="00382917">
        <w:t>mine,</w:t>
      </w:r>
      <w:r w:rsidR="00EE4FC3">
        <w:t xml:space="preserve"> </w:t>
      </w:r>
      <w:r w:rsidRPr="00382917">
        <w:t>from</w:t>
      </w:r>
      <w:r w:rsidR="00EE4FC3">
        <w:t xml:space="preserve"> </w:t>
      </w:r>
      <w:r w:rsidRPr="00382917">
        <w:t>His</w:t>
      </w:r>
      <w:r w:rsidR="00EE4FC3">
        <w:t xml:space="preserve"> </w:t>
      </w:r>
      <w:r w:rsidRPr="00382917">
        <w:t>earliest</w:t>
      </w:r>
      <w:r w:rsidR="00EE4FC3">
        <w:t xml:space="preserve"> </w:t>
      </w:r>
      <w:r w:rsidRPr="00382917">
        <w:t>boyhood</w:t>
      </w:r>
      <w:r w:rsidR="00EE4FC3">
        <w:t xml:space="preserve"> </w:t>
      </w:r>
      <w:r w:rsidRPr="00382917">
        <w:t>to</w:t>
      </w:r>
      <w:r w:rsidR="00EE4FC3">
        <w:t xml:space="preserve"> </w:t>
      </w:r>
      <w:r w:rsidRPr="00382917">
        <w:t>this,</w:t>
      </w:r>
      <w:r w:rsidR="00EE4FC3">
        <w:t xml:space="preserve"> </w:t>
      </w:r>
      <w:r w:rsidRPr="00382917">
        <w:t>the</w:t>
      </w:r>
    </w:p>
    <w:p w:rsidR="00582826" w:rsidRPr="00382917" w:rsidRDefault="00582826">
      <w:pPr>
        <w:widowControl/>
        <w:kinsoku/>
        <w:overflowPunct/>
        <w:textAlignment w:val="auto"/>
      </w:pPr>
      <w:r w:rsidRPr="00382917">
        <w:br w:type="page"/>
      </w:r>
    </w:p>
    <w:p w:rsidR="00582826" w:rsidRPr="00382917" w:rsidRDefault="00582826" w:rsidP="00582826">
      <w:pPr>
        <w:pStyle w:val="Textcts"/>
      </w:pPr>
      <w:proofErr w:type="gramStart"/>
      <w:r w:rsidRPr="00382917">
        <w:t>thirtieth</w:t>
      </w:r>
      <w:proofErr w:type="gramEnd"/>
      <w:r w:rsidR="00EE4FC3">
        <w:t xml:space="preserve"> </w:t>
      </w:r>
      <w:r w:rsidRPr="00382917">
        <w:t>year</w:t>
      </w:r>
      <w:r w:rsidR="00EE4FC3">
        <w:t xml:space="preserve"> </w:t>
      </w:r>
      <w:r w:rsidRPr="00382917">
        <w:t>of</w:t>
      </w:r>
      <w:r w:rsidR="00EE4FC3">
        <w:t xml:space="preserve"> </w:t>
      </w:r>
      <w:r w:rsidRPr="00382917">
        <w:t>His</w:t>
      </w:r>
      <w:r w:rsidR="00EE4FC3">
        <w:t xml:space="preserve"> </w:t>
      </w:r>
      <w:r w:rsidRPr="00382917">
        <w:t>life</w:t>
      </w:r>
      <w:r w:rsidR="0040329F">
        <w:t>.</w:t>
      </w:r>
      <w:r w:rsidR="00EE4FC3">
        <w:t xml:space="preserve">  </w:t>
      </w:r>
      <w:r w:rsidRPr="00382917">
        <w:t>I</w:t>
      </w:r>
      <w:r w:rsidR="00EE4FC3">
        <w:t xml:space="preserve"> </w:t>
      </w:r>
      <w:r w:rsidRPr="00382917">
        <w:t>only</w:t>
      </w:r>
      <w:r w:rsidR="00EE4FC3">
        <w:t xml:space="preserve"> </w:t>
      </w:r>
      <w:r w:rsidRPr="00382917">
        <w:t>request</w:t>
      </w:r>
      <w:r w:rsidR="00EE4FC3">
        <w:t xml:space="preserve"> </w:t>
      </w:r>
      <w:r w:rsidRPr="00382917">
        <w:t>that</w:t>
      </w:r>
      <w:r w:rsidR="00EE4FC3">
        <w:t xml:space="preserve"> </w:t>
      </w:r>
      <w:r w:rsidRPr="00382917">
        <w:t>you</w:t>
      </w:r>
      <w:r w:rsidR="00EE4FC3">
        <w:t xml:space="preserve"> </w:t>
      </w:r>
      <w:r w:rsidRPr="00382917">
        <w:t>allow</w:t>
      </w:r>
      <w:r w:rsidR="00EE4FC3">
        <w:t xml:space="preserve"> </w:t>
      </w:r>
      <w:r w:rsidRPr="00382917">
        <w:t>me</w:t>
      </w:r>
      <w:r w:rsidR="00EE4FC3">
        <w:t xml:space="preserve"> </w:t>
      </w:r>
      <w:r w:rsidRPr="00382917">
        <w:t>to</w:t>
      </w:r>
      <w:r w:rsidR="00EE4FC3">
        <w:t xml:space="preserve"> </w:t>
      </w:r>
      <w:r w:rsidRPr="00382917">
        <w:t>be</w:t>
      </w:r>
      <w:r w:rsidR="00EE4FC3">
        <w:t xml:space="preserve"> </w:t>
      </w:r>
      <w:r w:rsidRPr="00382917">
        <w:t>the</w:t>
      </w:r>
      <w:r w:rsidR="00EE4FC3">
        <w:t xml:space="preserve"> </w:t>
      </w:r>
      <w:r w:rsidRPr="00382917">
        <w:t>first</w:t>
      </w:r>
      <w:r w:rsidR="00EE4FC3">
        <w:t xml:space="preserve"> </w:t>
      </w:r>
      <w:r w:rsidRPr="00382917">
        <w:t>to</w:t>
      </w:r>
      <w:r w:rsidR="00EE4FC3">
        <w:t xml:space="preserve"> </w:t>
      </w:r>
      <w:r w:rsidRPr="00382917">
        <w:t>lay</w:t>
      </w:r>
      <w:r w:rsidR="00EE4FC3">
        <w:t xml:space="preserve"> </w:t>
      </w:r>
      <w:r w:rsidRPr="00382917">
        <w:t>down</w:t>
      </w:r>
      <w:r w:rsidR="00EE4FC3">
        <w:t xml:space="preserve"> </w:t>
      </w:r>
      <w:r w:rsidRPr="00382917">
        <w:t>my</w:t>
      </w:r>
      <w:r w:rsidR="00EE4FC3">
        <w:t xml:space="preserve"> </w:t>
      </w:r>
      <w:r w:rsidRPr="00382917">
        <w:t>life</w:t>
      </w:r>
      <w:r w:rsidR="00EE4FC3">
        <w:t xml:space="preserve"> </w:t>
      </w:r>
      <w:r w:rsidRPr="00382917">
        <w:t>in</w:t>
      </w:r>
      <w:r w:rsidR="00EE4FC3">
        <w:t xml:space="preserve"> </w:t>
      </w:r>
      <w:r w:rsidRPr="00382917">
        <w:t>His</w:t>
      </w:r>
      <w:r w:rsidR="00EE4FC3">
        <w:t xml:space="preserve"> </w:t>
      </w:r>
      <w:r w:rsidRPr="00382917">
        <w:t>path.</w:t>
      </w:r>
      <w:r w:rsidR="009C713D" w:rsidRPr="00382917">
        <w:t>”</w:t>
      </w:r>
    </w:p>
    <w:p w:rsidR="00582826" w:rsidRPr="00382917" w:rsidRDefault="00582826" w:rsidP="00582826">
      <w:pPr>
        <w:pStyle w:val="Text"/>
      </w:pPr>
      <w:r w:rsidRPr="00382917">
        <w:t>The</w:t>
      </w:r>
      <w:r w:rsidR="00EE4FC3">
        <w:t xml:space="preserve"> </w:t>
      </w:r>
      <w:r w:rsidRPr="00382917">
        <w:t>Prime</w:t>
      </w:r>
      <w:r w:rsidR="00EE4FC3">
        <w:t xml:space="preserve"> </w:t>
      </w:r>
      <w:r w:rsidRPr="00382917">
        <w:t>Minister</w:t>
      </w:r>
      <w:r w:rsidR="00EE4FC3">
        <w:t xml:space="preserve"> </w:t>
      </w:r>
      <w:r w:rsidRPr="00382917">
        <w:t>was</w:t>
      </w:r>
      <w:r w:rsidR="00EE4FC3">
        <w:t xml:space="preserve"> </w:t>
      </w:r>
      <w:r w:rsidRPr="00382917">
        <w:t>stupefied</w:t>
      </w:r>
      <w:r w:rsidR="00EE4FC3">
        <w:t xml:space="preserve"> </w:t>
      </w:r>
      <w:r w:rsidRPr="00382917">
        <w:t>by</w:t>
      </w:r>
      <w:r w:rsidR="00EE4FC3">
        <w:t xml:space="preserve"> </w:t>
      </w:r>
      <w:r w:rsidRPr="00382917">
        <w:t>such</w:t>
      </w:r>
      <w:r w:rsidR="00EE4FC3">
        <w:t xml:space="preserve"> </w:t>
      </w:r>
      <w:r w:rsidRPr="00382917">
        <w:t>an</w:t>
      </w:r>
      <w:r w:rsidR="00EE4FC3">
        <w:t xml:space="preserve"> </w:t>
      </w:r>
      <w:r w:rsidRPr="00382917">
        <w:t>answer</w:t>
      </w:r>
      <w:r w:rsidR="0040329F">
        <w:t>.</w:t>
      </w:r>
      <w:r w:rsidR="00EE4FC3">
        <w:t xml:space="preserve">  </w:t>
      </w:r>
      <w:r w:rsidRPr="00382917">
        <w:t>Without</w:t>
      </w:r>
      <w:r w:rsidR="00EE4FC3">
        <w:t xml:space="preserve"> </w:t>
      </w:r>
      <w:r w:rsidRPr="00382917">
        <w:t>uttering</w:t>
      </w:r>
      <w:r w:rsidR="00EE4FC3">
        <w:t xml:space="preserve"> </w:t>
      </w:r>
      <w:r w:rsidRPr="00382917">
        <w:t>a</w:t>
      </w:r>
      <w:r w:rsidR="00EE4FC3">
        <w:t xml:space="preserve"> </w:t>
      </w:r>
      <w:r w:rsidRPr="00382917">
        <w:t>word,</w:t>
      </w:r>
      <w:r w:rsidR="00EE4FC3">
        <w:t xml:space="preserve"> </w:t>
      </w:r>
      <w:r w:rsidRPr="00382917">
        <w:t>he</w:t>
      </w:r>
      <w:r w:rsidR="00EE4FC3">
        <w:t xml:space="preserve"> </w:t>
      </w:r>
      <w:r w:rsidRPr="00382917">
        <w:t>motioned</w:t>
      </w:r>
      <w:r w:rsidR="00EE4FC3">
        <w:t xml:space="preserve"> </w:t>
      </w:r>
      <w:r w:rsidRPr="00382917">
        <w:t>that</w:t>
      </w:r>
      <w:r w:rsidR="00EE4FC3">
        <w:t xml:space="preserve"> </w:t>
      </w:r>
      <w:r w:rsidRPr="00382917">
        <w:t>the</w:t>
      </w:r>
      <w:r w:rsidR="00EE4FC3">
        <w:t xml:space="preserve"> </w:t>
      </w:r>
      <w:r w:rsidRPr="00382917">
        <w:t>Báb</w:t>
      </w:r>
      <w:r w:rsidR="009C713D" w:rsidRPr="00382917">
        <w:t>’</w:t>
      </w:r>
      <w:r w:rsidRPr="00382917">
        <w:t>s</w:t>
      </w:r>
      <w:r w:rsidR="00EE4FC3">
        <w:t xml:space="preserve"> </w:t>
      </w:r>
      <w:r w:rsidRPr="00382917">
        <w:t>uncle</w:t>
      </w:r>
      <w:r w:rsidR="00EE4FC3">
        <w:t xml:space="preserve"> </w:t>
      </w:r>
      <w:r w:rsidRPr="00382917">
        <w:t>should</w:t>
      </w:r>
      <w:r w:rsidR="00EE4FC3">
        <w:t xml:space="preserve"> </w:t>
      </w:r>
      <w:r w:rsidRPr="00382917">
        <w:t>be</w:t>
      </w:r>
      <w:r w:rsidR="00EE4FC3">
        <w:t xml:space="preserve"> </w:t>
      </w:r>
      <w:r w:rsidRPr="00382917">
        <w:t>taken</w:t>
      </w:r>
      <w:r w:rsidR="00EE4FC3">
        <w:t xml:space="preserve"> </w:t>
      </w:r>
      <w:r w:rsidRPr="00382917">
        <w:t>out</w:t>
      </w:r>
      <w:r w:rsidR="00EE4FC3">
        <w:t xml:space="preserve"> </w:t>
      </w:r>
      <w:r w:rsidRPr="00382917">
        <w:t>and</w:t>
      </w:r>
      <w:r w:rsidR="00EE4FC3">
        <w:t xml:space="preserve"> </w:t>
      </w:r>
      <w:r w:rsidRPr="00382917">
        <w:t>beheaded.</w:t>
      </w:r>
    </w:p>
    <w:p w:rsidR="00582826" w:rsidRPr="00382917" w:rsidRDefault="00582826" w:rsidP="00582826">
      <w:pPr>
        <w:pStyle w:val="Text"/>
      </w:pPr>
      <w:r w:rsidRPr="00382917">
        <w:t>As</w:t>
      </w:r>
      <w:r w:rsidR="00EE4FC3">
        <w:t xml:space="preserve"> </w:t>
      </w:r>
      <w:r w:rsidRPr="00382917">
        <w:t>he</w:t>
      </w:r>
      <w:r w:rsidR="00EE4FC3">
        <w:t xml:space="preserve"> </w:t>
      </w:r>
      <w:r w:rsidRPr="00382917">
        <w:t>was</w:t>
      </w:r>
      <w:r w:rsidR="00EE4FC3">
        <w:t xml:space="preserve"> </w:t>
      </w:r>
      <w:r w:rsidRPr="00382917">
        <w:t>being</w:t>
      </w:r>
      <w:r w:rsidR="00EE4FC3">
        <w:t xml:space="preserve"> </w:t>
      </w:r>
      <w:r w:rsidRPr="00382917">
        <w:t>conducted</w:t>
      </w:r>
      <w:r w:rsidR="00EE4FC3">
        <w:t xml:space="preserve"> </w:t>
      </w:r>
      <w:r w:rsidRPr="00382917">
        <w:t>to</w:t>
      </w:r>
      <w:r w:rsidR="00EE4FC3">
        <w:t xml:space="preserve"> </w:t>
      </w:r>
      <w:r w:rsidRPr="00382917">
        <w:t>his</w:t>
      </w:r>
      <w:r w:rsidR="00EE4FC3">
        <w:t xml:space="preserve"> </w:t>
      </w:r>
      <w:r w:rsidRPr="00382917">
        <w:t>death,</w:t>
      </w:r>
      <w:r w:rsidR="00EE4FC3">
        <w:t xml:space="preserve"> </w:t>
      </w:r>
      <w:r w:rsidRPr="00382917">
        <w:t>the</w:t>
      </w:r>
      <w:r w:rsidR="00EE4FC3">
        <w:t xml:space="preserve"> </w:t>
      </w:r>
      <w:r w:rsidRPr="00382917">
        <w:t>Báb</w:t>
      </w:r>
      <w:r w:rsidR="009C713D" w:rsidRPr="00382917">
        <w:t>’</w:t>
      </w:r>
      <w:r w:rsidRPr="00382917">
        <w:t>s</w:t>
      </w:r>
      <w:r w:rsidR="00EE4FC3">
        <w:t xml:space="preserve"> </w:t>
      </w:r>
      <w:r w:rsidRPr="00382917">
        <w:t>uncle</w:t>
      </w:r>
      <w:r w:rsidR="00EE4FC3">
        <w:t xml:space="preserve"> </w:t>
      </w:r>
      <w:r w:rsidRPr="00382917">
        <w:t>called</w:t>
      </w:r>
      <w:r w:rsidR="00EE4FC3">
        <w:t xml:space="preserve"> </w:t>
      </w:r>
      <w:r w:rsidRPr="00382917">
        <w:t>out</w:t>
      </w:r>
      <w:r w:rsidR="00EE4FC3">
        <w:t xml:space="preserve"> </w:t>
      </w:r>
      <w:r w:rsidRPr="00382917">
        <w:t>to</w:t>
      </w:r>
      <w:r w:rsidR="00EE4FC3">
        <w:t xml:space="preserve"> </w:t>
      </w:r>
      <w:r w:rsidRPr="00382917">
        <w:t>the</w:t>
      </w:r>
      <w:r w:rsidR="00EE4FC3">
        <w:t xml:space="preserve"> </w:t>
      </w:r>
      <w:r w:rsidRPr="00382917">
        <w:t>crowd</w:t>
      </w:r>
      <w:r w:rsidR="00EE4FC3">
        <w:t xml:space="preserve"> </w:t>
      </w:r>
      <w:r w:rsidRPr="00382917">
        <w:t>that</w:t>
      </w:r>
      <w:r w:rsidR="00EE4FC3">
        <w:t xml:space="preserve"> </w:t>
      </w:r>
      <w:r w:rsidRPr="00382917">
        <w:t>swarmed</w:t>
      </w:r>
      <w:r w:rsidR="00EE4FC3">
        <w:t xml:space="preserve"> </w:t>
      </w:r>
      <w:r w:rsidRPr="00382917">
        <w:t>around</w:t>
      </w:r>
      <w:r w:rsidR="00EE4FC3">
        <w:t xml:space="preserve"> </w:t>
      </w:r>
      <w:r w:rsidRPr="00382917">
        <w:t>him.</w:t>
      </w:r>
    </w:p>
    <w:p w:rsidR="00582826" w:rsidRPr="00382917" w:rsidRDefault="009C713D" w:rsidP="00582826">
      <w:pPr>
        <w:pStyle w:val="Text"/>
      </w:pPr>
      <w:r w:rsidRPr="00382917">
        <w:t>“</w:t>
      </w:r>
      <w:r w:rsidR="00582826" w:rsidRPr="00382917">
        <w:t>For</w:t>
      </w:r>
      <w:r w:rsidR="00EE4FC3">
        <w:t xml:space="preserve"> </w:t>
      </w:r>
      <w:r w:rsidR="00582826" w:rsidRPr="00382917">
        <w:t>over</w:t>
      </w:r>
      <w:r w:rsidR="00EE4FC3">
        <w:t xml:space="preserve"> </w:t>
      </w:r>
      <w:r w:rsidR="00582826" w:rsidRPr="00382917">
        <w:t>a</w:t>
      </w:r>
      <w:r w:rsidR="00EE4FC3">
        <w:t xml:space="preserve"> </w:t>
      </w:r>
      <w:r w:rsidR="00582826" w:rsidRPr="00382917">
        <w:t>thousand</w:t>
      </w:r>
      <w:r w:rsidR="00EE4FC3">
        <w:t xml:space="preserve"> </w:t>
      </w:r>
      <w:r w:rsidR="00582826" w:rsidRPr="00382917">
        <w:t>years</w:t>
      </w:r>
      <w:r w:rsidR="00EE4FC3">
        <w:t xml:space="preserve"> </w:t>
      </w:r>
      <w:r w:rsidR="00582826" w:rsidRPr="00382917">
        <w:t>you</w:t>
      </w:r>
      <w:r w:rsidR="00EE4FC3">
        <w:t xml:space="preserve"> </w:t>
      </w:r>
      <w:r w:rsidR="00582826" w:rsidRPr="00382917">
        <w:t>have</w:t>
      </w:r>
      <w:r w:rsidR="00EE4FC3">
        <w:t xml:space="preserve"> </w:t>
      </w:r>
      <w:r w:rsidR="00582826" w:rsidRPr="00382917">
        <w:t>prayed</w:t>
      </w:r>
      <w:r w:rsidR="00EE4FC3">
        <w:t xml:space="preserve"> </w:t>
      </w:r>
      <w:r w:rsidR="00582826" w:rsidRPr="00382917">
        <w:t>that</w:t>
      </w:r>
      <w:r w:rsidR="00EE4FC3">
        <w:t xml:space="preserve"> </w:t>
      </w:r>
      <w:r w:rsidR="00582826" w:rsidRPr="00382917">
        <w:t>the</w:t>
      </w:r>
      <w:r w:rsidR="00EE4FC3">
        <w:t xml:space="preserve"> </w:t>
      </w:r>
      <w:r w:rsidR="00582826" w:rsidRPr="00382917">
        <w:t>Promised</w:t>
      </w:r>
      <w:r w:rsidR="00EE4FC3">
        <w:t xml:space="preserve"> </w:t>
      </w:r>
      <w:r w:rsidR="00582826" w:rsidRPr="00382917">
        <w:t>One</w:t>
      </w:r>
      <w:r w:rsidR="00EE4FC3">
        <w:t xml:space="preserve"> </w:t>
      </w:r>
      <w:r w:rsidR="00582826" w:rsidRPr="00382917">
        <w:t>appear</w:t>
      </w:r>
      <w:r w:rsidR="0040329F">
        <w:t>.</w:t>
      </w:r>
      <w:r w:rsidR="00EE4FC3">
        <w:t xml:space="preserve">  </w:t>
      </w:r>
      <w:r w:rsidR="00582826" w:rsidRPr="00382917">
        <w:t>Now</w:t>
      </w:r>
      <w:r w:rsidR="00EE4FC3">
        <w:t xml:space="preserve"> </w:t>
      </w:r>
      <w:r w:rsidR="00582826" w:rsidRPr="00382917">
        <w:t>that</w:t>
      </w:r>
      <w:r w:rsidR="00EE4FC3">
        <w:t xml:space="preserve"> </w:t>
      </w:r>
      <w:r w:rsidR="00582826" w:rsidRPr="00382917">
        <w:t>He</w:t>
      </w:r>
      <w:r w:rsidR="00EE4FC3">
        <w:t xml:space="preserve"> </w:t>
      </w:r>
      <w:r w:rsidR="00582826" w:rsidRPr="00E60059">
        <w:rPr>
          <w:i/>
          <w:iCs/>
        </w:rPr>
        <w:t>has</w:t>
      </w:r>
      <w:r w:rsidR="00EE4FC3">
        <w:t xml:space="preserve"> </w:t>
      </w:r>
      <w:r w:rsidR="00582826" w:rsidRPr="00382917">
        <w:t>come,</w:t>
      </w:r>
      <w:r w:rsidR="00EE4FC3">
        <w:t xml:space="preserve"> </w:t>
      </w:r>
      <w:r w:rsidR="00582826" w:rsidRPr="00382917">
        <w:t>you</w:t>
      </w:r>
      <w:r w:rsidR="00EE4FC3">
        <w:t xml:space="preserve"> </w:t>
      </w:r>
      <w:r w:rsidR="00582826" w:rsidRPr="00382917">
        <w:t>have</w:t>
      </w:r>
      <w:r w:rsidR="00EE4FC3">
        <w:t xml:space="preserve"> </w:t>
      </w:r>
      <w:r w:rsidR="00582826" w:rsidRPr="00382917">
        <w:t>driven</w:t>
      </w:r>
      <w:r w:rsidR="00EE4FC3">
        <w:t xml:space="preserve"> </w:t>
      </w:r>
      <w:r w:rsidR="00582826" w:rsidRPr="00382917">
        <w:t>Him</w:t>
      </w:r>
      <w:r w:rsidR="00EE4FC3">
        <w:t xml:space="preserve"> </w:t>
      </w:r>
      <w:r w:rsidR="00582826" w:rsidRPr="00382917">
        <w:t>to</w:t>
      </w:r>
      <w:r w:rsidR="00EE4FC3">
        <w:t xml:space="preserve"> </w:t>
      </w:r>
      <w:r w:rsidR="00582826" w:rsidRPr="00382917">
        <w:t>a</w:t>
      </w:r>
      <w:r w:rsidR="00EE4FC3">
        <w:t xml:space="preserve"> </w:t>
      </w:r>
      <w:r w:rsidR="00582826" w:rsidRPr="00382917">
        <w:t>hopeless</w:t>
      </w:r>
      <w:r w:rsidR="00EE4FC3">
        <w:t xml:space="preserve"> </w:t>
      </w:r>
      <w:r w:rsidR="00582826" w:rsidRPr="00382917">
        <w:t>exile</w:t>
      </w:r>
      <w:r w:rsidR="00EE4FC3">
        <w:t xml:space="preserve"> </w:t>
      </w:r>
      <w:r w:rsidR="00582826" w:rsidRPr="00382917">
        <w:t>in</w:t>
      </w:r>
      <w:r w:rsidR="00EE4FC3">
        <w:t xml:space="preserve"> </w:t>
      </w:r>
      <w:r w:rsidR="00582826" w:rsidRPr="00382917">
        <w:t>a</w:t>
      </w:r>
      <w:r w:rsidR="00EE4FC3">
        <w:t xml:space="preserve"> </w:t>
      </w:r>
      <w:r w:rsidR="00582826" w:rsidRPr="00382917">
        <w:t>remote</w:t>
      </w:r>
      <w:r w:rsidR="00EE4FC3">
        <w:t xml:space="preserve"> </w:t>
      </w:r>
      <w:r w:rsidR="00582826" w:rsidRPr="00382917">
        <w:t>corner</w:t>
      </w:r>
      <w:r w:rsidR="00EE4FC3">
        <w:t xml:space="preserve"> </w:t>
      </w:r>
      <w:r w:rsidR="00582826" w:rsidRPr="00382917">
        <w:t>of</w:t>
      </w:r>
      <w:r w:rsidR="00EE4FC3">
        <w:t xml:space="preserve"> </w:t>
      </w:r>
      <w:r w:rsidR="00582826" w:rsidRPr="00382917">
        <w:t>the</w:t>
      </w:r>
      <w:r w:rsidR="00EE4FC3">
        <w:t xml:space="preserve"> </w:t>
      </w:r>
      <w:r w:rsidR="00582826" w:rsidRPr="00382917">
        <w:t>land</w:t>
      </w:r>
      <w:r w:rsidR="0040329F">
        <w:t>.</w:t>
      </w:r>
      <w:r w:rsidR="00EE4FC3">
        <w:t xml:space="preserve">  </w:t>
      </w:r>
      <w:r w:rsidR="00582826" w:rsidRPr="00382917">
        <w:t>With</w:t>
      </w:r>
      <w:r w:rsidR="00EE4FC3">
        <w:t xml:space="preserve"> </w:t>
      </w:r>
      <w:r w:rsidR="00582826" w:rsidRPr="00382917">
        <w:t>my</w:t>
      </w:r>
      <w:r w:rsidR="00EE4FC3">
        <w:t xml:space="preserve"> </w:t>
      </w:r>
      <w:r w:rsidR="00582826" w:rsidRPr="00382917">
        <w:t>last</w:t>
      </w:r>
      <w:r w:rsidR="00EE4FC3">
        <w:t xml:space="preserve"> </w:t>
      </w:r>
      <w:r w:rsidR="00582826" w:rsidRPr="00382917">
        <w:t>breath</w:t>
      </w:r>
      <w:r w:rsidR="00EE4FC3">
        <w:t xml:space="preserve"> </w:t>
      </w:r>
      <w:r w:rsidR="00582826" w:rsidRPr="00382917">
        <w:t>I</w:t>
      </w:r>
      <w:r w:rsidR="00EE4FC3">
        <w:t xml:space="preserve"> </w:t>
      </w:r>
      <w:r w:rsidR="00582826" w:rsidRPr="00382917">
        <w:t>pray</w:t>
      </w:r>
      <w:r w:rsidR="00EE4FC3">
        <w:t xml:space="preserve"> </w:t>
      </w:r>
      <w:r w:rsidR="00582826" w:rsidRPr="00382917">
        <w:t>that</w:t>
      </w:r>
      <w:r w:rsidR="00EE4FC3">
        <w:t xml:space="preserve"> </w:t>
      </w:r>
      <w:r w:rsidR="00582826" w:rsidRPr="00382917">
        <w:t>the</w:t>
      </w:r>
      <w:r w:rsidR="00EE4FC3">
        <w:t xml:space="preserve"> </w:t>
      </w:r>
      <w:r w:rsidR="00582826" w:rsidRPr="00382917">
        <w:t>Almighty</w:t>
      </w:r>
      <w:r w:rsidR="00EE4FC3">
        <w:t xml:space="preserve"> </w:t>
      </w:r>
      <w:r w:rsidR="00582826" w:rsidRPr="00382917">
        <w:t>may</w:t>
      </w:r>
      <w:r w:rsidR="00EE4FC3">
        <w:t xml:space="preserve"> </w:t>
      </w:r>
      <w:r w:rsidR="00582826" w:rsidRPr="00382917">
        <w:t>enable</w:t>
      </w:r>
      <w:r w:rsidR="00EE4FC3">
        <w:t xml:space="preserve"> </w:t>
      </w:r>
      <w:r w:rsidR="00582826" w:rsidRPr="00382917">
        <w:t>you</w:t>
      </w:r>
      <w:r w:rsidR="00EE4FC3">
        <w:t xml:space="preserve"> </w:t>
      </w:r>
      <w:r w:rsidR="00582826" w:rsidRPr="00382917">
        <w:t>to</w:t>
      </w:r>
      <w:r w:rsidR="00EE4FC3">
        <w:t xml:space="preserve"> </w:t>
      </w:r>
      <w:r w:rsidR="00582826" w:rsidRPr="00382917">
        <w:t>awaken</w:t>
      </w:r>
      <w:r w:rsidR="00EE4FC3">
        <w:t xml:space="preserve"> </w:t>
      </w:r>
      <w:r w:rsidR="00582826" w:rsidRPr="00382917">
        <w:t>from</w:t>
      </w:r>
      <w:r w:rsidR="00EE4FC3">
        <w:t xml:space="preserve"> </w:t>
      </w:r>
      <w:r w:rsidR="00582826" w:rsidRPr="00382917">
        <w:t>your</w:t>
      </w:r>
      <w:r w:rsidR="00EE4FC3">
        <w:t xml:space="preserve"> </w:t>
      </w:r>
      <w:r w:rsidR="00582826" w:rsidRPr="00382917">
        <w:t>sleep</w:t>
      </w:r>
      <w:r w:rsidR="00EE4FC3">
        <w:t xml:space="preserve"> </w:t>
      </w:r>
      <w:r w:rsidR="00582826" w:rsidRPr="00382917">
        <w:t>of</w:t>
      </w:r>
      <w:r w:rsidR="00EE4FC3">
        <w:t xml:space="preserve"> </w:t>
      </w:r>
      <w:r w:rsidR="00582826" w:rsidRPr="00382917">
        <w:t>heedlessness.</w:t>
      </w:r>
      <w:r w:rsidRPr="00382917">
        <w:t>”</w:t>
      </w:r>
    </w:p>
    <w:p w:rsidR="00E13D49" w:rsidRPr="00382917" w:rsidRDefault="00582826" w:rsidP="00E60059">
      <w:pPr>
        <w:pStyle w:val="Text"/>
      </w:pPr>
      <w:r w:rsidRPr="00382917">
        <w:t>The</w:t>
      </w:r>
      <w:r w:rsidR="00EE4FC3">
        <w:t xml:space="preserve"> </w:t>
      </w:r>
      <w:r w:rsidRPr="00382917">
        <w:t>executioner</w:t>
      </w:r>
      <w:r w:rsidR="00EE4FC3">
        <w:t xml:space="preserve"> </w:t>
      </w:r>
      <w:r w:rsidRPr="00382917">
        <w:t>was</w:t>
      </w:r>
      <w:r w:rsidR="00EE4FC3">
        <w:t xml:space="preserve"> </w:t>
      </w:r>
      <w:r w:rsidRPr="00382917">
        <w:t>shaken</w:t>
      </w:r>
      <w:r w:rsidR="00EE4FC3">
        <w:t xml:space="preserve"> </w:t>
      </w:r>
      <w:r w:rsidRPr="00382917">
        <w:t>by</w:t>
      </w:r>
      <w:r w:rsidR="00EE4FC3">
        <w:t xml:space="preserve"> </w:t>
      </w:r>
      <w:r w:rsidRPr="00382917">
        <w:t>those</w:t>
      </w:r>
      <w:r w:rsidR="00EE4FC3">
        <w:t xml:space="preserve"> </w:t>
      </w:r>
      <w:r w:rsidRPr="00382917">
        <w:t>words</w:t>
      </w:r>
      <w:r w:rsidR="0040329F">
        <w:t>.</w:t>
      </w:r>
      <w:r w:rsidR="00EE4FC3">
        <w:t xml:space="preserve">  </w:t>
      </w:r>
      <w:r w:rsidRPr="00382917">
        <w:t>He</w:t>
      </w:r>
      <w:r w:rsidR="00EE4FC3">
        <w:t xml:space="preserve"> </w:t>
      </w:r>
      <w:r w:rsidRPr="00382917">
        <w:t>pretended</w:t>
      </w:r>
      <w:r w:rsidR="00EE4FC3">
        <w:t xml:space="preserve"> </w:t>
      </w:r>
      <w:r w:rsidRPr="00382917">
        <w:t>that</w:t>
      </w:r>
      <w:r w:rsidR="00EE4FC3">
        <w:t xml:space="preserve"> </w:t>
      </w:r>
      <w:r w:rsidRPr="00382917">
        <w:t>the</w:t>
      </w:r>
      <w:r w:rsidR="00EE4FC3">
        <w:t xml:space="preserve"> </w:t>
      </w:r>
      <w:r w:rsidRPr="00382917">
        <w:t>sword</w:t>
      </w:r>
      <w:r w:rsidR="00EE4FC3">
        <w:t xml:space="preserve"> </w:t>
      </w:r>
      <w:r w:rsidRPr="00382917">
        <w:t>he</w:t>
      </w:r>
      <w:r w:rsidR="00EE4FC3">
        <w:t xml:space="preserve"> </w:t>
      </w:r>
      <w:r w:rsidRPr="00382917">
        <w:t>had</w:t>
      </w:r>
      <w:r w:rsidR="00EE4FC3">
        <w:t xml:space="preserve"> </w:t>
      </w:r>
      <w:r w:rsidRPr="00382917">
        <w:t>been</w:t>
      </w:r>
      <w:r w:rsidR="00EE4FC3">
        <w:t xml:space="preserve"> </w:t>
      </w:r>
      <w:r w:rsidRPr="00382917">
        <w:t>holding</w:t>
      </w:r>
      <w:r w:rsidR="00EE4FC3">
        <w:t xml:space="preserve"> </w:t>
      </w:r>
      <w:r w:rsidRPr="00382917">
        <w:t>in</w:t>
      </w:r>
      <w:r w:rsidR="00EE4FC3">
        <w:t xml:space="preserve"> </w:t>
      </w:r>
      <w:r w:rsidRPr="00382917">
        <w:t>readiness</w:t>
      </w:r>
      <w:r w:rsidR="00EE4FC3">
        <w:t xml:space="preserve"> </w:t>
      </w:r>
      <w:r w:rsidRPr="00382917">
        <w:t>needed</w:t>
      </w:r>
      <w:r w:rsidR="00EE4FC3">
        <w:t xml:space="preserve"> </w:t>
      </w:r>
      <w:r w:rsidRPr="00382917">
        <w:t>to</w:t>
      </w:r>
      <w:r w:rsidR="00EE4FC3">
        <w:t xml:space="preserve"> </w:t>
      </w:r>
      <w:r w:rsidRPr="00382917">
        <w:t>be</w:t>
      </w:r>
      <w:r w:rsidR="00EE4FC3">
        <w:t xml:space="preserve"> </w:t>
      </w:r>
      <w:r w:rsidRPr="00382917">
        <w:t>sharpened</w:t>
      </w:r>
      <w:r w:rsidR="0040329F">
        <w:t>.</w:t>
      </w:r>
      <w:r w:rsidR="00EE4FC3">
        <w:t xml:space="preserve">  </w:t>
      </w:r>
      <w:r w:rsidRPr="00382917">
        <w:t>He</w:t>
      </w:r>
      <w:r w:rsidR="00EE4FC3">
        <w:t xml:space="preserve"> </w:t>
      </w:r>
      <w:r w:rsidRPr="00382917">
        <w:t>hurried</w:t>
      </w:r>
      <w:r w:rsidR="00EE4FC3">
        <w:t xml:space="preserve"> </w:t>
      </w:r>
      <w:r w:rsidRPr="00382917">
        <w:t>away</w:t>
      </w:r>
      <w:r w:rsidR="00EE4FC3">
        <w:t xml:space="preserve"> </w:t>
      </w:r>
      <w:r w:rsidRPr="00382917">
        <w:t>and</w:t>
      </w:r>
      <w:r w:rsidR="00EE4FC3">
        <w:t xml:space="preserve"> </w:t>
      </w:r>
      <w:r w:rsidRPr="00382917">
        <w:t>never</w:t>
      </w:r>
      <w:r w:rsidR="00EE4FC3">
        <w:t xml:space="preserve"> </w:t>
      </w:r>
      <w:r w:rsidRPr="00382917">
        <w:t>returned</w:t>
      </w:r>
      <w:r w:rsidR="0040329F">
        <w:t>.</w:t>
      </w:r>
      <w:r w:rsidR="00EE4FC3">
        <w:t xml:space="preserve">  </w:t>
      </w:r>
      <w:r w:rsidRPr="00382917">
        <w:t>He</w:t>
      </w:r>
      <w:r w:rsidR="00EE4FC3">
        <w:t xml:space="preserve"> </w:t>
      </w:r>
      <w:r w:rsidRPr="00382917">
        <w:t>told</w:t>
      </w:r>
      <w:r w:rsidR="00EE4FC3">
        <w:t xml:space="preserve"> </w:t>
      </w:r>
      <w:r w:rsidRPr="00382917">
        <w:t>the</w:t>
      </w:r>
      <w:r w:rsidR="00EE4FC3">
        <w:t xml:space="preserve"> </w:t>
      </w:r>
      <w:r w:rsidRPr="00382917">
        <w:t>story</w:t>
      </w:r>
      <w:r w:rsidR="00EE4FC3">
        <w:t xml:space="preserve"> </w:t>
      </w:r>
      <w:r w:rsidRPr="00382917">
        <w:t>of</w:t>
      </w:r>
      <w:r w:rsidR="00EE4FC3">
        <w:t xml:space="preserve"> </w:t>
      </w:r>
      <w:r w:rsidRPr="00382917">
        <w:t>that</w:t>
      </w:r>
      <w:r w:rsidR="00EE4FC3">
        <w:t xml:space="preserve"> </w:t>
      </w:r>
      <w:r w:rsidRPr="00382917">
        <w:t>moving</w:t>
      </w:r>
      <w:r w:rsidR="00EE4FC3">
        <w:t xml:space="preserve"> </w:t>
      </w:r>
      <w:r w:rsidRPr="00382917">
        <w:t>event</w:t>
      </w:r>
      <w:r w:rsidR="00EE4FC3">
        <w:t xml:space="preserve"> </w:t>
      </w:r>
      <w:r w:rsidRPr="00382917">
        <w:t>many</w:t>
      </w:r>
      <w:r w:rsidR="00EE4FC3">
        <w:t xml:space="preserve"> </w:t>
      </w:r>
      <w:r w:rsidRPr="00382917">
        <w:t>times</w:t>
      </w:r>
      <w:r w:rsidR="00EE4FC3">
        <w:t xml:space="preserve"> </w:t>
      </w:r>
      <w:r w:rsidRPr="00382917">
        <w:t>expressing</w:t>
      </w:r>
      <w:r w:rsidR="00EE4FC3">
        <w:t xml:space="preserve"> </w:t>
      </w:r>
      <w:r w:rsidRPr="00382917">
        <w:t>his</w:t>
      </w:r>
      <w:r w:rsidR="00EE4FC3">
        <w:t xml:space="preserve"> </w:t>
      </w:r>
      <w:r w:rsidRPr="00382917">
        <w:t>repentance</w:t>
      </w:r>
      <w:r w:rsidR="00EE4FC3">
        <w:t xml:space="preserve"> </w:t>
      </w:r>
      <w:r w:rsidRPr="00382917">
        <w:t>of</w:t>
      </w:r>
      <w:r w:rsidR="00EE4FC3">
        <w:t xml:space="preserve"> </w:t>
      </w:r>
      <w:r w:rsidRPr="00382917">
        <w:t>the</w:t>
      </w:r>
      <w:r w:rsidR="00EE4FC3">
        <w:t xml:space="preserve"> </w:t>
      </w:r>
      <w:r w:rsidRPr="00382917">
        <w:t>act</w:t>
      </w:r>
      <w:r w:rsidR="00EE4FC3">
        <w:t xml:space="preserve"> </w:t>
      </w:r>
      <w:r w:rsidRPr="00382917">
        <w:t>he</w:t>
      </w:r>
      <w:r w:rsidR="00EE4FC3">
        <w:t xml:space="preserve"> </w:t>
      </w:r>
      <w:r w:rsidRPr="00382917">
        <w:t>had</w:t>
      </w:r>
      <w:r w:rsidR="00EE4FC3">
        <w:t xml:space="preserve"> </w:t>
      </w:r>
      <w:r w:rsidRPr="00382917">
        <w:t>been</w:t>
      </w:r>
      <w:r w:rsidR="00EE4FC3">
        <w:t xml:space="preserve"> </w:t>
      </w:r>
      <w:r w:rsidRPr="00382917">
        <w:t>compelled</w:t>
      </w:r>
      <w:r w:rsidR="00EE4FC3">
        <w:t xml:space="preserve"> </w:t>
      </w:r>
      <w:r w:rsidRPr="00382917">
        <w:t>to</w:t>
      </w:r>
      <w:r w:rsidR="00EE4FC3">
        <w:t xml:space="preserve"> </w:t>
      </w:r>
      <w:r w:rsidRPr="00382917">
        <w:t>perpetrate</w:t>
      </w:r>
      <w:r w:rsidR="0040329F">
        <w:t>.</w:t>
      </w:r>
      <w:r w:rsidR="00EE4FC3">
        <w:t xml:space="preserve">  </w:t>
      </w:r>
      <w:r w:rsidRPr="00382917">
        <w:t>Whenever</w:t>
      </w:r>
      <w:r w:rsidR="00EE4FC3">
        <w:t xml:space="preserve"> </w:t>
      </w:r>
      <w:r w:rsidRPr="00382917">
        <w:t>he</w:t>
      </w:r>
      <w:r w:rsidR="00EE4FC3">
        <w:t xml:space="preserve"> </w:t>
      </w:r>
      <w:r w:rsidRPr="00382917">
        <w:t>spoke</w:t>
      </w:r>
      <w:r w:rsidR="00EE4FC3">
        <w:t xml:space="preserve"> </w:t>
      </w:r>
      <w:r w:rsidRPr="00382917">
        <w:t>of</w:t>
      </w:r>
      <w:r w:rsidR="00EE4FC3">
        <w:t xml:space="preserve"> </w:t>
      </w:r>
      <w:r w:rsidRPr="00382917">
        <w:t>the</w:t>
      </w:r>
      <w:r w:rsidR="00EE4FC3">
        <w:t xml:space="preserve"> </w:t>
      </w:r>
      <w:r w:rsidRPr="00382917">
        <w:t>Báb</w:t>
      </w:r>
      <w:r w:rsidR="009C713D" w:rsidRPr="00382917">
        <w:t>’</w:t>
      </w:r>
      <w:r w:rsidRPr="00382917">
        <w:t>s</w:t>
      </w:r>
      <w:r w:rsidR="00EE4FC3">
        <w:t xml:space="preserve"> </w:t>
      </w:r>
      <w:r w:rsidRPr="00382917">
        <w:t>uncle,</w:t>
      </w:r>
      <w:r w:rsidR="00EE4FC3">
        <w:t xml:space="preserve"> </w:t>
      </w:r>
      <w:r w:rsidRPr="00382917">
        <w:t>he</w:t>
      </w:r>
      <w:r w:rsidR="00EE4FC3">
        <w:t xml:space="preserve"> </w:t>
      </w:r>
      <w:r w:rsidRPr="00382917">
        <w:t>could</w:t>
      </w:r>
      <w:r w:rsidR="00EE4FC3">
        <w:t xml:space="preserve"> </w:t>
      </w:r>
      <w:r w:rsidRPr="00382917">
        <w:t>not</w:t>
      </w:r>
      <w:r w:rsidR="00EE4FC3">
        <w:t xml:space="preserve"> </w:t>
      </w:r>
      <w:r w:rsidRPr="00382917">
        <w:t>repress</w:t>
      </w:r>
      <w:r w:rsidR="00EE4FC3">
        <w:t xml:space="preserve"> </w:t>
      </w:r>
      <w:r w:rsidRPr="00382917">
        <w:t>the</w:t>
      </w:r>
      <w:r w:rsidR="00EE4FC3">
        <w:t xml:space="preserve"> </w:t>
      </w:r>
      <w:r w:rsidRPr="00382917">
        <w:t>tears</w:t>
      </w:r>
      <w:r w:rsidR="00EE4FC3">
        <w:t xml:space="preserve"> </w:t>
      </w:r>
      <w:r w:rsidRPr="00382917">
        <w:t>which</w:t>
      </w:r>
      <w:r w:rsidR="00EE4FC3">
        <w:t xml:space="preserve"> </w:t>
      </w:r>
      <w:r w:rsidRPr="00382917">
        <w:t>bore</w:t>
      </w:r>
      <w:r w:rsidR="00EE4FC3">
        <w:t xml:space="preserve"> </w:t>
      </w:r>
      <w:r w:rsidRPr="00382917">
        <w:t>witness</w:t>
      </w:r>
      <w:r w:rsidR="00EE4FC3">
        <w:t xml:space="preserve"> </w:t>
      </w:r>
      <w:r w:rsidRPr="00382917">
        <w:t>to</w:t>
      </w:r>
      <w:r w:rsidR="00EE4FC3">
        <w:t xml:space="preserve"> </w:t>
      </w:r>
      <w:r w:rsidRPr="00382917">
        <w:t>the</w:t>
      </w:r>
      <w:r w:rsidR="00EE4FC3">
        <w:t xml:space="preserve"> </w:t>
      </w:r>
      <w:r w:rsidRPr="00382917">
        <w:t>depth</w:t>
      </w:r>
      <w:r w:rsidR="00EE4FC3">
        <w:t xml:space="preserve"> </w:t>
      </w:r>
      <w:r w:rsidRPr="00382917">
        <w:t>to</w:t>
      </w:r>
      <w:r w:rsidR="00EE4FC3">
        <w:t xml:space="preserve"> </w:t>
      </w:r>
      <w:r w:rsidRPr="00382917">
        <w:t>which</w:t>
      </w:r>
      <w:r w:rsidR="00EE4FC3">
        <w:t xml:space="preserve"> </w:t>
      </w:r>
      <w:r w:rsidRPr="00382917">
        <w:t>he</w:t>
      </w:r>
      <w:r w:rsidR="00EE4FC3">
        <w:t xml:space="preserve"> </w:t>
      </w:r>
      <w:r w:rsidRPr="00382917">
        <w:t>had</w:t>
      </w:r>
      <w:r w:rsidR="00EE4FC3">
        <w:t xml:space="preserve"> </w:t>
      </w:r>
      <w:r w:rsidRPr="00382917">
        <w:t>been</w:t>
      </w:r>
      <w:r w:rsidR="00EE4FC3">
        <w:t xml:space="preserve"> </w:t>
      </w:r>
      <w:r w:rsidRPr="00382917">
        <w:t>stirred.</w:t>
      </w:r>
      <w:r w:rsidR="00E60059">
        <w:rPr>
          <w:rStyle w:val="FootnoteReference"/>
        </w:rPr>
        <w:footnoteReference w:id="179"/>
      </w:r>
    </w:p>
    <w:p w:rsidR="00582826" w:rsidRPr="00382917" w:rsidRDefault="00582826" w:rsidP="0040329F">
      <w:pPr>
        <w:pStyle w:val="Text"/>
      </w:pPr>
      <w:r w:rsidRPr="00382917">
        <w:t>The</w:t>
      </w:r>
      <w:r w:rsidR="00EE4FC3">
        <w:t xml:space="preserve"> </w:t>
      </w:r>
      <w:r w:rsidRPr="00382917">
        <w:t>second</w:t>
      </w:r>
      <w:r w:rsidR="00EE4FC3">
        <w:t xml:space="preserve"> </w:t>
      </w:r>
      <w:r w:rsidRPr="00382917">
        <w:t>to</w:t>
      </w:r>
      <w:r w:rsidR="00EE4FC3">
        <w:t xml:space="preserve"> </w:t>
      </w:r>
      <w:r w:rsidRPr="00382917">
        <w:t>fall</w:t>
      </w:r>
      <w:r w:rsidR="00EE4FC3">
        <w:t xml:space="preserve"> </w:t>
      </w:r>
      <w:r w:rsidRPr="00382917">
        <w:t>beneath</w:t>
      </w:r>
      <w:r w:rsidR="00EE4FC3">
        <w:t xml:space="preserve"> </w:t>
      </w:r>
      <w:r w:rsidRPr="00382917">
        <w:t>the</w:t>
      </w:r>
      <w:r w:rsidR="00EE4FC3">
        <w:t xml:space="preserve"> </w:t>
      </w:r>
      <w:r w:rsidRPr="00382917">
        <w:t>headman</w:t>
      </w:r>
      <w:r w:rsidR="009C713D" w:rsidRPr="00382917">
        <w:t>’</w:t>
      </w:r>
      <w:r w:rsidRPr="00382917">
        <w:t>s</w:t>
      </w:r>
      <w:r w:rsidR="00EE4FC3">
        <w:t xml:space="preserve"> </w:t>
      </w:r>
      <w:r w:rsidRPr="00382917">
        <w:t>axe</w:t>
      </w:r>
      <w:r w:rsidR="00EE4FC3">
        <w:t xml:space="preserve"> </w:t>
      </w:r>
      <w:r w:rsidRPr="00382917">
        <w:t>was</w:t>
      </w:r>
      <w:r w:rsidR="00EE4FC3">
        <w:t xml:space="preserve"> </w:t>
      </w:r>
      <w:r w:rsidRPr="00382917">
        <w:t>Mírzá</w:t>
      </w:r>
      <w:r w:rsidR="00EE4FC3">
        <w:t xml:space="preserve"> </w:t>
      </w:r>
      <w:r w:rsidRPr="00382917">
        <w:t>Qurbán</w:t>
      </w:r>
      <w:r w:rsidR="00EE4FC3">
        <w:t xml:space="preserve"> </w:t>
      </w:r>
      <w:r w:rsidR="0040329F" w:rsidRPr="00382917">
        <w:t>‘Al</w:t>
      </w:r>
      <w:r w:rsidR="0040329F" w:rsidRPr="0040329F">
        <w:t>í</w:t>
      </w:r>
      <w:r w:rsidR="0040329F">
        <w:t>.</w:t>
      </w:r>
      <w:r w:rsidR="00EE4FC3">
        <w:t xml:space="preserve">  </w:t>
      </w:r>
      <w:r w:rsidRPr="00382917">
        <w:t>He</w:t>
      </w:r>
      <w:r w:rsidR="00EE4FC3">
        <w:t xml:space="preserve"> </w:t>
      </w:r>
      <w:r w:rsidRPr="00382917">
        <w:t>was</w:t>
      </w:r>
      <w:r w:rsidR="00EE4FC3">
        <w:t xml:space="preserve"> </w:t>
      </w:r>
      <w:r w:rsidRPr="00382917">
        <w:t>a</w:t>
      </w:r>
      <w:r w:rsidR="00EE4FC3">
        <w:t xml:space="preserve"> </w:t>
      </w:r>
      <w:r w:rsidRPr="00382917">
        <w:t>close</w:t>
      </w:r>
      <w:r w:rsidR="00EE4FC3">
        <w:t xml:space="preserve"> </w:t>
      </w:r>
      <w:r w:rsidRPr="00382917">
        <w:t>friend</w:t>
      </w:r>
      <w:r w:rsidR="00EE4FC3">
        <w:t xml:space="preserve"> </w:t>
      </w:r>
      <w:r w:rsidRPr="00382917">
        <w:t>of</w:t>
      </w:r>
      <w:r w:rsidR="00EE4FC3">
        <w:t xml:space="preserve"> </w:t>
      </w:r>
      <w:r w:rsidRPr="00382917">
        <w:t>many</w:t>
      </w:r>
      <w:r w:rsidR="00EE4FC3">
        <w:t xml:space="preserve"> </w:t>
      </w:r>
      <w:r w:rsidRPr="00382917">
        <w:t>of</w:t>
      </w:r>
      <w:r w:rsidR="00EE4FC3">
        <w:t xml:space="preserve"> </w:t>
      </w:r>
      <w:r w:rsidRPr="00382917">
        <w:t>the</w:t>
      </w:r>
      <w:r w:rsidR="00EE4FC3">
        <w:t xml:space="preserve"> </w:t>
      </w:r>
      <w:r w:rsidRPr="00382917">
        <w:t>notables</w:t>
      </w:r>
      <w:r w:rsidR="00EE4FC3">
        <w:t xml:space="preserve"> </w:t>
      </w:r>
      <w:r w:rsidRPr="00382917">
        <w:t>of</w:t>
      </w:r>
      <w:r w:rsidR="00EE4FC3">
        <w:t xml:space="preserve"> </w:t>
      </w:r>
      <w:r w:rsidRPr="00382917">
        <w:t>the</w:t>
      </w:r>
      <w:r w:rsidR="00EE4FC3">
        <w:t xml:space="preserve"> </w:t>
      </w:r>
      <w:r w:rsidRPr="00382917">
        <w:t>city</w:t>
      </w:r>
      <w:r w:rsidR="0040329F">
        <w:t>.</w:t>
      </w:r>
      <w:r w:rsidR="00EE4FC3">
        <w:t xml:space="preserve">  </w:t>
      </w:r>
      <w:r w:rsidRPr="00382917">
        <w:t>So</w:t>
      </w:r>
      <w:r w:rsidR="00EE4FC3">
        <w:t xml:space="preserve"> </w:t>
      </w:r>
      <w:r w:rsidRPr="00382917">
        <w:t>greatly</w:t>
      </w:r>
      <w:r w:rsidR="00EE4FC3">
        <w:t xml:space="preserve"> </w:t>
      </w:r>
      <w:r w:rsidRPr="00382917">
        <w:t>was</w:t>
      </w:r>
      <w:r w:rsidR="00EE4FC3">
        <w:t xml:space="preserve"> </w:t>
      </w:r>
      <w:r w:rsidRPr="00382917">
        <w:t>he</w:t>
      </w:r>
      <w:r w:rsidR="00EE4FC3">
        <w:t xml:space="preserve"> </w:t>
      </w:r>
      <w:r w:rsidRPr="00382917">
        <w:t>esteemed</w:t>
      </w:r>
      <w:r w:rsidR="00EE4FC3">
        <w:t xml:space="preserve"> </w:t>
      </w:r>
      <w:r w:rsidRPr="00382917">
        <w:t>that</w:t>
      </w:r>
      <w:r w:rsidR="00EE4FC3">
        <w:t xml:space="preserve"> </w:t>
      </w:r>
      <w:r w:rsidRPr="00382917">
        <w:t>when</w:t>
      </w:r>
      <w:r w:rsidR="00EE4FC3">
        <w:t xml:space="preserve"> </w:t>
      </w:r>
      <w:r w:rsidRPr="00382917">
        <w:t>he</w:t>
      </w:r>
      <w:r w:rsidR="00EE4FC3">
        <w:t xml:space="preserve"> </w:t>
      </w:r>
      <w:r w:rsidRPr="00382917">
        <w:t>visited</w:t>
      </w:r>
      <w:r w:rsidR="00EE4FC3">
        <w:t xml:space="preserve"> </w:t>
      </w:r>
      <w:r w:rsidRPr="00382917">
        <w:t>Karbilá,</w:t>
      </w:r>
      <w:r w:rsidR="00EE4FC3">
        <w:t xml:space="preserve"> </w:t>
      </w:r>
      <w:r w:rsidRPr="00382917">
        <w:t>a</w:t>
      </w:r>
      <w:r w:rsidR="00EE4FC3">
        <w:t xml:space="preserve"> </w:t>
      </w:r>
      <w:r w:rsidRPr="00382917">
        <w:t>vast</w:t>
      </w:r>
      <w:r w:rsidR="00EE4FC3">
        <w:t xml:space="preserve"> </w:t>
      </w:r>
      <w:r w:rsidRPr="00382917">
        <w:t>concourse</w:t>
      </w:r>
      <w:r w:rsidR="00EE4FC3">
        <w:t xml:space="preserve"> </w:t>
      </w:r>
      <w:r w:rsidRPr="00382917">
        <w:t>of</w:t>
      </w:r>
      <w:r w:rsidR="00EE4FC3">
        <w:t xml:space="preserve"> </w:t>
      </w:r>
      <w:r w:rsidRPr="00382917">
        <w:t>people</w:t>
      </w:r>
      <w:r w:rsidR="00EE4FC3">
        <w:t xml:space="preserve"> </w:t>
      </w:r>
      <w:r w:rsidRPr="00382917">
        <w:t>lined</w:t>
      </w:r>
      <w:r w:rsidR="00EE4FC3">
        <w:t xml:space="preserve"> </w:t>
      </w:r>
      <w:r w:rsidRPr="00382917">
        <w:t>the</w:t>
      </w:r>
      <w:r w:rsidR="00EE4FC3">
        <w:t xml:space="preserve"> </w:t>
      </w:r>
      <w:r w:rsidRPr="00382917">
        <w:t>road</w:t>
      </w:r>
      <w:r w:rsidR="00EE4FC3">
        <w:t xml:space="preserve"> </w:t>
      </w:r>
      <w:r w:rsidRPr="00382917">
        <w:t>all</w:t>
      </w:r>
      <w:r w:rsidR="00EE4FC3">
        <w:t xml:space="preserve"> </w:t>
      </w:r>
      <w:r w:rsidRPr="00382917">
        <w:t>along</w:t>
      </w:r>
      <w:r w:rsidR="00EE4FC3">
        <w:t xml:space="preserve"> </w:t>
      </w:r>
      <w:r w:rsidRPr="00382917">
        <w:t>his</w:t>
      </w:r>
      <w:r w:rsidR="00EE4FC3">
        <w:t xml:space="preserve"> </w:t>
      </w:r>
      <w:r w:rsidRPr="00382917">
        <w:t>route</w:t>
      </w:r>
      <w:r w:rsidR="00EE4FC3">
        <w:t xml:space="preserve"> </w:t>
      </w:r>
      <w:r w:rsidRPr="00382917">
        <w:t>in</w:t>
      </w:r>
      <w:r w:rsidR="00EE4FC3">
        <w:t xml:space="preserve"> </w:t>
      </w:r>
      <w:r w:rsidRPr="00382917">
        <w:t>order</w:t>
      </w:r>
      <w:r w:rsidR="00EE4FC3">
        <w:t xml:space="preserve"> </w:t>
      </w:r>
      <w:r w:rsidRPr="00382917">
        <w:t>to</w:t>
      </w:r>
      <w:r w:rsidR="00EE4FC3">
        <w:t xml:space="preserve"> </w:t>
      </w:r>
      <w:r w:rsidRPr="00382917">
        <w:t>pay</w:t>
      </w:r>
      <w:r w:rsidR="00EE4FC3">
        <w:t xml:space="preserve"> </w:t>
      </w:r>
      <w:r w:rsidRPr="00382917">
        <w:t>tribute</w:t>
      </w:r>
      <w:r w:rsidR="00EE4FC3">
        <w:t xml:space="preserve"> </w:t>
      </w:r>
      <w:r w:rsidRPr="00382917">
        <w:t>to</w:t>
      </w:r>
      <w:r w:rsidR="00EE4FC3">
        <w:t xml:space="preserve"> </w:t>
      </w:r>
      <w:r w:rsidRPr="00382917">
        <w:t>him</w:t>
      </w:r>
      <w:r w:rsidR="0040329F">
        <w:t>.</w:t>
      </w:r>
      <w:r w:rsidR="00EE4FC3">
        <w:t xml:space="preserve">  </w:t>
      </w:r>
      <w:r w:rsidRPr="00382917">
        <w:t>The</w:t>
      </w:r>
      <w:r w:rsidR="00EE4FC3">
        <w:t xml:space="preserve"> </w:t>
      </w:r>
      <w:r w:rsidRPr="00382917">
        <w:t>mother</w:t>
      </w:r>
      <w:r w:rsidR="00EE4FC3">
        <w:t xml:space="preserve"> </w:t>
      </w:r>
      <w:r w:rsidRPr="00382917">
        <w:t>of</w:t>
      </w:r>
      <w:r w:rsidR="00EE4FC3">
        <w:t xml:space="preserve"> </w:t>
      </w:r>
      <w:r w:rsidRPr="00382917">
        <w:t>the</w:t>
      </w:r>
      <w:r w:rsidR="00EE4FC3">
        <w:t xml:space="preserve"> </w:t>
      </w:r>
      <w:r w:rsidRPr="00382917">
        <w:t>king</w:t>
      </w:r>
      <w:r w:rsidR="00EE4FC3">
        <w:t xml:space="preserve"> </w:t>
      </w:r>
      <w:r w:rsidRPr="00382917">
        <w:t>was</w:t>
      </w:r>
      <w:r w:rsidR="00EE4FC3">
        <w:t xml:space="preserve"> </w:t>
      </w:r>
      <w:r w:rsidRPr="00382917">
        <w:t>a</w:t>
      </w:r>
      <w:r w:rsidR="00EE4FC3">
        <w:t xml:space="preserve"> </w:t>
      </w:r>
      <w:r w:rsidRPr="00382917">
        <w:t>great</w:t>
      </w:r>
      <w:r w:rsidR="00EE4FC3">
        <w:t xml:space="preserve"> </w:t>
      </w:r>
      <w:r w:rsidRPr="00382917">
        <w:t>admirer</w:t>
      </w:r>
      <w:r w:rsidR="00EE4FC3">
        <w:t xml:space="preserve"> </w:t>
      </w:r>
      <w:r w:rsidRPr="00382917">
        <w:t>of</w:t>
      </w:r>
      <w:r w:rsidR="00EE4FC3">
        <w:t xml:space="preserve"> </w:t>
      </w:r>
      <w:r w:rsidRPr="00382917">
        <w:t>Qurbán</w:t>
      </w:r>
      <w:r w:rsidR="00EE4FC3">
        <w:t xml:space="preserve"> </w:t>
      </w:r>
      <w:r w:rsidR="009C713D" w:rsidRPr="00382917">
        <w:t>‘</w:t>
      </w:r>
      <w:r w:rsidRPr="00382917">
        <w:t>Al</w:t>
      </w:r>
      <w:r w:rsidR="0040329F" w:rsidRPr="0040329F">
        <w:t>í</w:t>
      </w:r>
      <w:r w:rsidR="0040329F">
        <w:t>.</w:t>
      </w:r>
      <w:r w:rsidR="00EE4FC3">
        <w:t xml:space="preserve">  </w:t>
      </w:r>
      <w:r w:rsidRPr="00382917">
        <w:t>Because</w:t>
      </w:r>
      <w:r w:rsidR="00EE4FC3">
        <w:t xml:space="preserve"> </w:t>
      </w:r>
      <w:r w:rsidRPr="00382917">
        <w:t>of</w:t>
      </w:r>
      <w:r w:rsidR="00EE4FC3">
        <w:t xml:space="preserve"> </w:t>
      </w:r>
      <w:r w:rsidRPr="00382917">
        <w:t>her</w:t>
      </w:r>
      <w:r w:rsidR="00EE4FC3">
        <w:t xml:space="preserve"> </w:t>
      </w:r>
      <w:r w:rsidRPr="00382917">
        <w:t>close</w:t>
      </w:r>
      <w:r w:rsidR="00EE4FC3">
        <w:t xml:space="preserve"> </w:t>
      </w:r>
      <w:r w:rsidRPr="00382917">
        <w:t>friendship</w:t>
      </w:r>
      <w:r w:rsidR="00EE4FC3">
        <w:t xml:space="preserve"> </w:t>
      </w:r>
      <w:r w:rsidRPr="00382917">
        <w:t>and</w:t>
      </w:r>
      <w:r w:rsidR="00EE4FC3">
        <w:t xml:space="preserve"> </w:t>
      </w:r>
      <w:r w:rsidRPr="00382917">
        <w:t>admiration</w:t>
      </w:r>
      <w:r w:rsidR="00EE4FC3">
        <w:t xml:space="preserve"> </w:t>
      </w:r>
      <w:r w:rsidRPr="00382917">
        <w:t>for</w:t>
      </w:r>
      <w:r w:rsidR="00EE4FC3">
        <w:t xml:space="preserve"> </w:t>
      </w:r>
      <w:r w:rsidRPr="00382917">
        <w:t>him,</w:t>
      </w:r>
      <w:r w:rsidR="00EE4FC3">
        <w:t xml:space="preserve"> </w:t>
      </w:r>
      <w:r w:rsidRPr="00382917">
        <w:t>she</w:t>
      </w:r>
      <w:r w:rsidR="00EE4FC3">
        <w:t xml:space="preserve"> </w:t>
      </w:r>
      <w:r w:rsidRPr="00382917">
        <w:t>told</w:t>
      </w:r>
      <w:r w:rsidR="00EE4FC3">
        <w:t xml:space="preserve"> </w:t>
      </w:r>
      <w:r w:rsidRPr="00382917">
        <w:t>her</w:t>
      </w:r>
      <w:r w:rsidR="00EE4FC3">
        <w:t xml:space="preserve"> </w:t>
      </w:r>
      <w:r w:rsidRPr="00382917">
        <w:t>son,</w:t>
      </w:r>
      <w:r w:rsidR="00EE4FC3">
        <w:t xml:space="preserve"> </w:t>
      </w:r>
      <w:r w:rsidRPr="00382917">
        <w:t>the</w:t>
      </w:r>
      <w:r w:rsidR="00EE4FC3">
        <w:t xml:space="preserve"> </w:t>
      </w:r>
      <w:r w:rsidRPr="00382917">
        <w:t>king,</w:t>
      </w:r>
      <w:r w:rsidR="00EE4FC3">
        <w:t xml:space="preserve"> </w:t>
      </w:r>
      <w:r w:rsidRPr="00382917">
        <w:t>that</w:t>
      </w:r>
      <w:r w:rsidR="00EE4FC3">
        <w:t xml:space="preserve"> </w:t>
      </w:r>
      <w:r w:rsidRPr="00382917">
        <w:t>Qurbán</w:t>
      </w:r>
      <w:r w:rsidR="00EE4FC3">
        <w:t xml:space="preserve"> </w:t>
      </w:r>
      <w:r w:rsidR="009C713D" w:rsidRPr="00382917">
        <w:t>‘</w:t>
      </w:r>
      <w:r w:rsidRPr="00382917">
        <w:t>Al</w:t>
      </w:r>
      <w:r w:rsidR="0040329F" w:rsidRPr="0040329F">
        <w:t>í</w:t>
      </w:r>
      <w:r w:rsidR="00EE4FC3">
        <w:t xml:space="preserve"> </w:t>
      </w:r>
      <w:r w:rsidRPr="00382917">
        <w:t>was</w:t>
      </w:r>
      <w:r w:rsidR="00EE4FC3">
        <w:t xml:space="preserve"> </w:t>
      </w:r>
      <w:r w:rsidRPr="00382917">
        <w:t>being</w:t>
      </w:r>
      <w:r w:rsidR="00EE4FC3">
        <w:t xml:space="preserve"> </w:t>
      </w:r>
      <w:r w:rsidRPr="00382917">
        <w:t>branded</w:t>
      </w:r>
      <w:r w:rsidR="00EE4FC3">
        <w:t xml:space="preserve"> </w:t>
      </w:r>
      <w:r w:rsidRPr="00382917">
        <w:t>with</w:t>
      </w:r>
      <w:r w:rsidR="00EE4FC3">
        <w:t xml:space="preserve"> </w:t>
      </w:r>
      <w:r w:rsidRPr="00382917">
        <w:t>lies.</w:t>
      </w:r>
    </w:p>
    <w:p w:rsidR="00582826" w:rsidRPr="00382917" w:rsidRDefault="009C713D" w:rsidP="00582826">
      <w:pPr>
        <w:pStyle w:val="Text"/>
      </w:pPr>
      <w:r w:rsidRPr="00382917">
        <w:t>“</w:t>
      </w:r>
      <w:r w:rsidR="00582826" w:rsidRPr="00382917">
        <w:t>He</w:t>
      </w:r>
      <w:r w:rsidR="00EE4FC3">
        <w:t xml:space="preserve"> </w:t>
      </w:r>
      <w:r w:rsidR="00582826" w:rsidRPr="00382917">
        <w:t>is</w:t>
      </w:r>
      <w:r w:rsidR="00EE4FC3">
        <w:t xml:space="preserve"> </w:t>
      </w:r>
      <w:r w:rsidR="00582826" w:rsidRPr="00382917">
        <w:t>no</w:t>
      </w:r>
      <w:r w:rsidR="00EE4FC3">
        <w:t xml:space="preserve"> </w:t>
      </w:r>
      <w:r w:rsidR="00582826" w:rsidRPr="00382917">
        <w:t>follower</w:t>
      </w:r>
      <w:r w:rsidR="00EE4FC3">
        <w:t xml:space="preserve"> </w:t>
      </w:r>
      <w:r w:rsidR="00582826" w:rsidRPr="00382917">
        <w:t>of</w:t>
      </w:r>
      <w:r w:rsidR="00EE4FC3">
        <w:t xml:space="preserve"> </w:t>
      </w:r>
      <w:r w:rsidR="00582826" w:rsidRPr="00382917">
        <w:t>the</w:t>
      </w:r>
      <w:r w:rsidR="00EE4FC3">
        <w:t xml:space="preserve"> </w:t>
      </w:r>
      <w:r w:rsidR="00582826" w:rsidRPr="00382917">
        <w:t>Báb,</w:t>
      </w:r>
      <w:r w:rsidRPr="00382917">
        <w:t>”</w:t>
      </w:r>
      <w:r w:rsidR="00EE4FC3">
        <w:t xml:space="preserve"> </w:t>
      </w:r>
      <w:r w:rsidR="00582826" w:rsidRPr="00382917">
        <w:t>she</w:t>
      </w:r>
      <w:r w:rsidR="00EE4FC3">
        <w:t xml:space="preserve"> </w:t>
      </w:r>
      <w:r w:rsidR="00582826" w:rsidRPr="00382917">
        <w:t>insisted</w:t>
      </w:r>
      <w:r w:rsidR="0040329F">
        <w:t>.</w:t>
      </w:r>
      <w:r w:rsidR="00EE4FC3">
        <w:t xml:space="preserve">  </w:t>
      </w:r>
      <w:r w:rsidRPr="00382917">
        <w:t>“</w:t>
      </w:r>
      <w:r w:rsidR="00582826" w:rsidRPr="00382917">
        <w:t>He</w:t>
      </w:r>
      <w:r w:rsidR="00EE4FC3">
        <w:t xml:space="preserve"> </w:t>
      </w:r>
      <w:r w:rsidR="00582826" w:rsidRPr="00382917">
        <w:t>has</w:t>
      </w:r>
      <w:r w:rsidR="00EE4FC3">
        <w:t xml:space="preserve"> </w:t>
      </w:r>
      <w:r w:rsidR="00582826" w:rsidRPr="00382917">
        <w:t>been</w:t>
      </w:r>
      <w:r w:rsidR="00EE4FC3">
        <w:t xml:space="preserve"> </w:t>
      </w:r>
      <w:r w:rsidR="00582826" w:rsidRPr="00382917">
        <w:t>falsely</w:t>
      </w:r>
      <w:r w:rsidR="00EE4FC3">
        <w:t xml:space="preserve"> </w:t>
      </w:r>
      <w:r w:rsidR="00582826" w:rsidRPr="00382917">
        <w:t>accused.</w:t>
      </w:r>
      <w:r w:rsidRPr="00382917">
        <w:t>”</w:t>
      </w:r>
    </w:p>
    <w:p w:rsidR="00582826" w:rsidRPr="00382917" w:rsidRDefault="00582826" w:rsidP="0040329F">
      <w:pPr>
        <w:pStyle w:val="Text"/>
      </w:pPr>
      <w:r w:rsidRPr="00382917">
        <w:t>So</w:t>
      </w:r>
      <w:r w:rsidR="00EE4FC3">
        <w:t xml:space="preserve"> </w:t>
      </w:r>
      <w:r w:rsidRPr="00382917">
        <w:t>they</w:t>
      </w:r>
      <w:r w:rsidR="00EE4FC3">
        <w:t xml:space="preserve"> </w:t>
      </w:r>
      <w:r w:rsidRPr="00382917">
        <w:t>sent</w:t>
      </w:r>
      <w:r w:rsidR="00EE4FC3">
        <w:t xml:space="preserve"> </w:t>
      </w:r>
      <w:r w:rsidRPr="00382917">
        <w:t>for</w:t>
      </w:r>
      <w:r w:rsidR="00EE4FC3">
        <w:t xml:space="preserve"> </w:t>
      </w:r>
      <w:r w:rsidRPr="00382917">
        <w:t>Qurbán</w:t>
      </w:r>
      <w:r w:rsidR="00EE4FC3">
        <w:t xml:space="preserve"> </w:t>
      </w:r>
      <w:r w:rsidR="009C713D" w:rsidRPr="00382917">
        <w:t>‘</w:t>
      </w:r>
      <w:r w:rsidRPr="00382917">
        <w:t>Al</w:t>
      </w:r>
      <w:r w:rsidR="0040329F" w:rsidRPr="0040329F">
        <w:t>í</w:t>
      </w:r>
      <w:r w:rsidR="0040329F">
        <w:t>.</w:t>
      </w:r>
      <w:r w:rsidR="00EE4FC3">
        <w:t xml:space="preserve">  </w:t>
      </w:r>
      <w:r w:rsidRPr="00382917">
        <w:t>The</w:t>
      </w:r>
      <w:r w:rsidR="00EE4FC3">
        <w:t xml:space="preserve"> </w:t>
      </w:r>
      <w:r w:rsidRPr="00382917">
        <w:t>Prime</w:t>
      </w:r>
      <w:r w:rsidR="00EE4FC3">
        <w:t xml:space="preserve"> </w:t>
      </w:r>
      <w:r w:rsidRPr="00382917">
        <w:t>Minister</w:t>
      </w:r>
      <w:r w:rsidR="00EE4FC3">
        <w:t xml:space="preserve"> </w:t>
      </w:r>
      <w:r w:rsidRPr="00382917">
        <w:t>brought</w:t>
      </w:r>
      <w:r w:rsidR="00EE4FC3">
        <w:t xml:space="preserve"> </w:t>
      </w:r>
      <w:r w:rsidRPr="00382917">
        <w:t>him</w:t>
      </w:r>
      <w:r w:rsidR="00EE4FC3">
        <w:t xml:space="preserve"> </w:t>
      </w:r>
      <w:r w:rsidRPr="00382917">
        <w:t>to</w:t>
      </w:r>
      <w:r w:rsidR="00EE4FC3">
        <w:t xml:space="preserve"> </w:t>
      </w:r>
      <w:r w:rsidRPr="00382917">
        <w:t>the</w:t>
      </w:r>
      <w:r w:rsidR="00EE4FC3">
        <w:t xml:space="preserve"> </w:t>
      </w:r>
      <w:r w:rsidRPr="00382917">
        <w:t>palace</w:t>
      </w:r>
      <w:r w:rsidR="00EE4FC3">
        <w:t xml:space="preserve"> </w:t>
      </w:r>
      <w:r w:rsidRPr="00382917">
        <w:t>under</w:t>
      </w:r>
      <w:r w:rsidR="00EE4FC3">
        <w:t xml:space="preserve"> </w:t>
      </w:r>
      <w:r w:rsidRPr="00382917">
        <w:t>guard</w:t>
      </w:r>
      <w:r w:rsidR="0040329F">
        <w:t>.</w:t>
      </w:r>
      <w:r w:rsidR="00EE4FC3">
        <w:t xml:space="preserve">  </w:t>
      </w:r>
      <w:r w:rsidRPr="00382917">
        <w:t>His</w:t>
      </w:r>
      <w:r w:rsidR="00EE4FC3">
        <w:t xml:space="preserve"> </w:t>
      </w:r>
      <w:r w:rsidRPr="00382917">
        <w:t>arrest</w:t>
      </w:r>
      <w:r w:rsidR="00EE4FC3">
        <w:t xml:space="preserve"> </w:t>
      </w:r>
      <w:r w:rsidRPr="00382917">
        <w:t>had</w:t>
      </w:r>
      <w:r w:rsidR="00EE4FC3">
        <w:t xml:space="preserve"> </w:t>
      </w:r>
      <w:r w:rsidRPr="00382917">
        <w:t>already</w:t>
      </w:r>
      <w:r w:rsidR="00EE4FC3">
        <w:t xml:space="preserve"> </w:t>
      </w:r>
      <w:r w:rsidRPr="00382917">
        <w:t>caused</w:t>
      </w:r>
      <w:r w:rsidR="00EE4FC3">
        <w:t xml:space="preserve"> </w:t>
      </w:r>
      <w:r w:rsidRPr="00382917">
        <w:t>a</w:t>
      </w:r>
      <w:r w:rsidR="00EE4FC3">
        <w:t xml:space="preserve"> </w:t>
      </w:r>
      <w:r w:rsidRPr="00382917">
        <w:t>commotion</w:t>
      </w:r>
      <w:r w:rsidR="00EE4FC3">
        <w:t xml:space="preserve"> </w:t>
      </w:r>
      <w:r w:rsidRPr="00382917">
        <w:t>such</w:t>
      </w:r>
      <w:r w:rsidR="00EE4FC3">
        <w:t xml:space="preserve"> </w:t>
      </w:r>
      <w:r w:rsidRPr="00382917">
        <w:t>as</w:t>
      </w:r>
      <w:r w:rsidR="00EE4FC3">
        <w:t xml:space="preserve"> </w:t>
      </w:r>
      <w:r w:rsidRPr="00382917">
        <w:t>Ṭihrán</w:t>
      </w:r>
      <w:r w:rsidR="00EE4FC3">
        <w:t xml:space="preserve"> </w:t>
      </w:r>
      <w:r w:rsidRPr="00382917">
        <w:t>rarely</w:t>
      </w:r>
      <w:r w:rsidR="00EE4FC3">
        <w:t xml:space="preserve"> </w:t>
      </w:r>
      <w:r w:rsidRPr="00382917">
        <w:t>experienced</w:t>
      </w:r>
      <w:r w:rsidR="0040329F">
        <w:t>.</w:t>
      </w:r>
      <w:r w:rsidR="00EE4FC3">
        <w:t xml:space="preserve">  </w:t>
      </w:r>
      <w:r w:rsidRPr="00382917">
        <w:t>Huge</w:t>
      </w:r>
      <w:r w:rsidR="00EE4FC3">
        <w:t xml:space="preserve"> </w:t>
      </w:r>
      <w:r w:rsidRPr="00382917">
        <w:t>crowds</w:t>
      </w:r>
      <w:r w:rsidR="00EE4FC3">
        <w:t xml:space="preserve"> </w:t>
      </w:r>
      <w:r w:rsidRPr="00382917">
        <w:t>followed</w:t>
      </w:r>
      <w:r w:rsidR="00EE4FC3">
        <w:t xml:space="preserve"> </w:t>
      </w:r>
      <w:r w:rsidRPr="00382917">
        <w:t>Qurbán</w:t>
      </w:r>
      <w:r w:rsidR="00EE4FC3">
        <w:t xml:space="preserve"> </w:t>
      </w:r>
      <w:r w:rsidR="009C713D" w:rsidRPr="00382917">
        <w:t>‘</w:t>
      </w:r>
      <w:r w:rsidRPr="00382917">
        <w:t>Al</w:t>
      </w:r>
      <w:r w:rsidR="0040329F">
        <w:t>í</w:t>
      </w:r>
      <w:r w:rsidR="00EE4FC3">
        <w:t xml:space="preserve"> </w:t>
      </w:r>
      <w:r w:rsidRPr="00382917">
        <w:t>as</w:t>
      </w:r>
      <w:r w:rsidR="00EE4FC3">
        <w:t xml:space="preserve"> </w:t>
      </w:r>
      <w:r w:rsidRPr="00382917">
        <w:t>he</w:t>
      </w:r>
      <w:r w:rsidR="00EE4FC3">
        <w:t xml:space="preserve"> </w:t>
      </w:r>
      <w:r w:rsidRPr="00382917">
        <w:t>was</w:t>
      </w:r>
      <w:r w:rsidR="00EE4FC3">
        <w:t xml:space="preserve"> </w:t>
      </w:r>
      <w:r w:rsidRPr="00382917">
        <w:t>led</w:t>
      </w:r>
      <w:r w:rsidR="00EE4FC3">
        <w:t xml:space="preserve"> </w:t>
      </w:r>
      <w:r w:rsidRPr="00382917">
        <w:t>through</w:t>
      </w:r>
      <w:r w:rsidR="00EE4FC3">
        <w:t xml:space="preserve"> </w:t>
      </w:r>
      <w:r w:rsidRPr="00382917">
        <w:t>the</w:t>
      </w:r>
      <w:r w:rsidR="00EE4FC3">
        <w:t xml:space="preserve"> </w:t>
      </w:r>
      <w:r w:rsidRPr="00382917">
        <w:t>streets</w:t>
      </w:r>
      <w:r w:rsidR="0040329F">
        <w:t>.</w:t>
      </w:r>
      <w:r w:rsidR="00EE4FC3">
        <w:t xml:space="preserve">  </w:t>
      </w:r>
      <w:r w:rsidRPr="00382917">
        <w:t>Some</w:t>
      </w:r>
      <w:r w:rsidR="00EE4FC3">
        <w:t xml:space="preserve"> </w:t>
      </w:r>
      <w:r w:rsidRPr="00382917">
        <w:t>cried</w:t>
      </w:r>
      <w:r w:rsidR="00EE4FC3">
        <w:t xml:space="preserve"> </w:t>
      </w:r>
      <w:r w:rsidRPr="00382917">
        <w:t>out</w:t>
      </w:r>
      <w:r w:rsidR="00EE4FC3">
        <w:t xml:space="preserve"> </w:t>
      </w:r>
      <w:r w:rsidRPr="00382917">
        <w:t>encouragement</w:t>
      </w:r>
      <w:r w:rsidR="00EE4FC3">
        <w:t xml:space="preserve"> </w:t>
      </w:r>
      <w:r w:rsidRPr="00382917">
        <w:t>to</w:t>
      </w:r>
      <w:r w:rsidR="00EE4FC3">
        <w:t xml:space="preserve"> </w:t>
      </w:r>
      <w:r w:rsidRPr="00382917">
        <w:t>him</w:t>
      </w:r>
      <w:r w:rsidR="0040329F">
        <w:t>.</w:t>
      </w:r>
      <w:r w:rsidR="00EE4FC3">
        <w:t xml:space="preserve">  </w:t>
      </w:r>
      <w:r w:rsidRPr="00382917">
        <w:t>Some,</w:t>
      </w:r>
      <w:r w:rsidR="00EE4FC3">
        <w:t xml:space="preserve"> </w:t>
      </w:r>
      <w:r w:rsidRPr="00382917">
        <w:t>bewildered,</w:t>
      </w:r>
      <w:r w:rsidR="00EE4FC3">
        <w:t xml:space="preserve"> </w:t>
      </w:r>
      <w:r w:rsidRPr="00382917">
        <w:t>asked,</w:t>
      </w:r>
      <w:r w:rsidR="00EE4FC3">
        <w:t xml:space="preserve"> </w:t>
      </w:r>
      <w:r w:rsidR="009C713D" w:rsidRPr="00382917">
        <w:t>“</w:t>
      </w:r>
      <w:r w:rsidRPr="00382917">
        <w:t>What</w:t>
      </w:r>
      <w:r w:rsidR="00EE4FC3">
        <w:t xml:space="preserve"> </w:t>
      </w:r>
      <w:r w:rsidRPr="00382917">
        <w:t>has</w:t>
      </w:r>
      <w:r w:rsidR="00EE4FC3">
        <w:t xml:space="preserve"> </w:t>
      </w:r>
      <w:r w:rsidRPr="00382917">
        <w:t>he</w:t>
      </w:r>
      <w:r w:rsidR="00EE4FC3">
        <w:t xml:space="preserve"> </w:t>
      </w:r>
      <w:r w:rsidRPr="00382917">
        <w:t>done?</w:t>
      </w:r>
      <w:r w:rsidR="00E440FF">
        <w:t xml:space="preserve"> </w:t>
      </w:r>
      <w:r w:rsidR="00EE4FC3">
        <w:t xml:space="preserve"> </w:t>
      </w:r>
      <w:r w:rsidRPr="00382917">
        <w:t>What</w:t>
      </w:r>
      <w:r w:rsidR="00EE4FC3">
        <w:t xml:space="preserve"> </w:t>
      </w:r>
      <w:r w:rsidRPr="00382917">
        <w:t>harm</w:t>
      </w:r>
      <w:r w:rsidR="00EE4FC3">
        <w:t xml:space="preserve"> </w:t>
      </w:r>
      <w:r w:rsidRPr="00382917">
        <w:t>can</w:t>
      </w:r>
      <w:r w:rsidR="00EE4FC3">
        <w:t xml:space="preserve"> </w:t>
      </w:r>
      <w:r w:rsidRPr="00382917">
        <w:t>be</w:t>
      </w:r>
      <w:r w:rsidR="00EE4FC3">
        <w:t xml:space="preserve"> </w:t>
      </w:r>
      <w:r w:rsidRPr="00382917">
        <w:t>found</w:t>
      </w:r>
      <w:r w:rsidR="00EE4FC3">
        <w:t xml:space="preserve"> </w:t>
      </w:r>
      <w:r w:rsidRPr="00382917">
        <w:t>in</w:t>
      </w:r>
      <w:r w:rsidR="00EE4FC3">
        <w:t xml:space="preserve"> </w:t>
      </w:r>
      <w:r w:rsidRPr="00382917">
        <w:t>this</w:t>
      </w:r>
      <w:r w:rsidR="00EE4FC3">
        <w:t xml:space="preserve"> </w:t>
      </w:r>
      <w:r w:rsidRPr="00382917">
        <w:t>great</w:t>
      </w:r>
      <w:r w:rsidR="00EE4FC3">
        <w:t xml:space="preserve"> </w:t>
      </w:r>
      <w:r w:rsidRPr="00382917">
        <w:t>man?</w:t>
      </w:r>
      <w:r w:rsidR="009C713D" w:rsidRPr="00382917">
        <w:t>”</w:t>
      </w:r>
      <w:r w:rsidR="00E440FF">
        <w:t xml:space="preserve"> </w:t>
      </w:r>
      <w:r w:rsidR="00EE4FC3">
        <w:t xml:space="preserve"> </w:t>
      </w:r>
      <w:r w:rsidRPr="00382917">
        <w:t>The</w:t>
      </w:r>
      <w:r w:rsidR="00EE4FC3">
        <w:t xml:space="preserve"> </w:t>
      </w:r>
      <w:r w:rsidRPr="00382917">
        <w:t>people</w:t>
      </w:r>
      <w:r w:rsidR="00EE4FC3">
        <w:t xml:space="preserve"> </w:t>
      </w:r>
      <w:r w:rsidRPr="00382917">
        <w:t>packed</w:t>
      </w:r>
      <w:r w:rsidR="00EE4FC3">
        <w:t xml:space="preserve"> </w:t>
      </w:r>
      <w:r w:rsidRPr="00382917">
        <w:t>the</w:t>
      </w:r>
      <w:r w:rsidR="00EE4FC3">
        <w:t xml:space="preserve"> </w:t>
      </w:r>
      <w:r w:rsidRPr="00382917">
        <w:t>approaches</w:t>
      </w:r>
      <w:r w:rsidR="00EE4FC3">
        <w:t xml:space="preserve"> </w:t>
      </w:r>
      <w:r w:rsidRPr="00382917">
        <w:t>to</w:t>
      </w:r>
      <w:r w:rsidR="00EE4FC3">
        <w:t xml:space="preserve"> </w:t>
      </w:r>
      <w:r w:rsidRPr="00382917">
        <w:t>the</w:t>
      </w:r>
      <w:r w:rsidR="00EE4FC3">
        <w:t xml:space="preserve"> </w:t>
      </w:r>
      <w:r w:rsidRPr="00382917">
        <w:t>government</w:t>
      </w:r>
      <w:r w:rsidR="00EE4FC3">
        <w:t xml:space="preserve"> </w:t>
      </w:r>
      <w:r w:rsidRPr="00382917">
        <w:t>headquarters</w:t>
      </w:r>
      <w:r w:rsidR="00EE4FC3">
        <w:t xml:space="preserve"> </w:t>
      </w:r>
      <w:r w:rsidRPr="00382917">
        <w:t>anxious</w:t>
      </w:r>
      <w:r w:rsidR="00EE4FC3">
        <w:t xml:space="preserve"> </w:t>
      </w:r>
      <w:r w:rsidRPr="00382917">
        <w:t>to</w:t>
      </w:r>
      <w:r w:rsidR="00EE4FC3">
        <w:t xml:space="preserve"> </w:t>
      </w:r>
      <w:r w:rsidRPr="00382917">
        <w:t>hear</w:t>
      </w:r>
      <w:r w:rsidR="00EE4FC3">
        <w:t xml:space="preserve"> </w:t>
      </w:r>
      <w:r w:rsidRPr="00382917">
        <w:t>some</w:t>
      </w:r>
      <w:r w:rsidR="00EE4FC3">
        <w:t xml:space="preserve"> </w:t>
      </w:r>
      <w:r w:rsidRPr="00382917">
        <w:t>word</w:t>
      </w:r>
      <w:r w:rsidR="00EE4FC3">
        <w:t xml:space="preserve"> </w:t>
      </w:r>
      <w:r w:rsidRPr="00382917">
        <w:t>about</w:t>
      </w:r>
      <w:r w:rsidR="00EE4FC3">
        <w:t xml:space="preserve"> </w:t>
      </w:r>
      <w:r w:rsidRPr="00382917">
        <w:t>his</w:t>
      </w:r>
      <w:r w:rsidR="00EE4FC3">
        <w:t xml:space="preserve"> </w:t>
      </w:r>
      <w:r w:rsidRPr="00382917">
        <w:t>fate.</w:t>
      </w:r>
    </w:p>
    <w:p w:rsidR="00582826" w:rsidRPr="00382917" w:rsidRDefault="00582826" w:rsidP="00582826">
      <w:pPr>
        <w:pStyle w:val="Text"/>
      </w:pPr>
      <w:r w:rsidRPr="00382917">
        <w:t>At</w:t>
      </w:r>
      <w:r w:rsidR="00EE4FC3">
        <w:t xml:space="preserve"> </w:t>
      </w:r>
      <w:r w:rsidRPr="00382917">
        <w:t>first</w:t>
      </w:r>
      <w:r w:rsidR="00EE4FC3">
        <w:t xml:space="preserve"> </w:t>
      </w:r>
      <w:r w:rsidRPr="00382917">
        <w:t>Qurbán</w:t>
      </w:r>
      <w:r w:rsidR="00EE4FC3">
        <w:t xml:space="preserve"> </w:t>
      </w:r>
      <w:r w:rsidR="0040329F" w:rsidRPr="00382917">
        <w:t>‘Al</w:t>
      </w:r>
      <w:r w:rsidR="0040329F" w:rsidRPr="0040329F">
        <w:t>í</w:t>
      </w:r>
      <w:r w:rsidR="00EE4FC3">
        <w:t xml:space="preserve"> </w:t>
      </w:r>
      <w:r w:rsidRPr="00382917">
        <w:t>was</w:t>
      </w:r>
      <w:r w:rsidR="00EE4FC3">
        <w:t xml:space="preserve"> </w:t>
      </w:r>
      <w:r w:rsidRPr="00382917">
        <w:t>treated</w:t>
      </w:r>
      <w:r w:rsidR="00EE4FC3">
        <w:t xml:space="preserve"> </w:t>
      </w:r>
      <w:r w:rsidRPr="00382917">
        <w:t>with</w:t>
      </w:r>
      <w:r w:rsidR="00EE4FC3">
        <w:t xml:space="preserve"> </w:t>
      </w:r>
      <w:r w:rsidRPr="00382917">
        <w:t>great</w:t>
      </w:r>
      <w:r w:rsidR="00EE4FC3">
        <w:t xml:space="preserve"> </w:t>
      </w:r>
      <w:r w:rsidRPr="00382917">
        <w:t>respect</w:t>
      </w:r>
      <w:r w:rsidR="0040329F">
        <w:t>.</w:t>
      </w:r>
      <w:r w:rsidR="00EE4FC3">
        <w:t xml:space="preserve">  </w:t>
      </w:r>
      <w:r w:rsidRPr="00382917">
        <w:t>The</w:t>
      </w:r>
      <w:r w:rsidR="00EE4FC3">
        <w:t xml:space="preserve"> </w:t>
      </w:r>
      <w:r w:rsidRPr="00382917">
        <w:t>authorities</w:t>
      </w:r>
      <w:r w:rsidR="00EE4FC3">
        <w:t xml:space="preserve"> </w:t>
      </w:r>
      <w:r w:rsidRPr="00382917">
        <w:t>assured</w:t>
      </w:r>
      <w:r w:rsidR="00EE4FC3">
        <w:t xml:space="preserve"> </w:t>
      </w:r>
      <w:r w:rsidRPr="00382917">
        <w:t>him</w:t>
      </w:r>
      <w:r w:rsidR="00EE4FC3">
        <w:t xml:space="preserve"> </w:t>
      </w:r>
      <w:r w:rsidRPr="00382917">
        <w:t>of</w:t>
      </w:r>
      <w:r w:rsidR="00EE4FC3">
        <w:t xml:space="preserve"> </w:t>
      </w:r>
      <w:r w:rsidRPr="00382917">
        <w:t>their</w:t>
      </w:r>
      <w:r w:rsidR="00EE4FC3">
        <w:t xml:space="preserve"> </w:t>
      </w:r>
      <w:r w:rsidRPr="00382917">
        <w:t>confidence</w:t>
      </w:r>
      <w:r w:rsidR="00EE4FC3">
        <w:t xml:space="preserve"> </w:t>
      </w:r>
      <w:r w:rsidRPr="00382917">
        <w:t>in</w:t>
      </w:r>
      <w:r w:rsidR="00EE4FC3">
        <w:t xml:space="preserve"> </w:t>
      </w:r>
      <w:r w:rsidRPr="00382917">
        <w:t>him,</w:t>
      </w:r>
      <w:r w:rsidR="00EE4FC3">
        <w:t xml:space="preserve"> </w:t>
      </w:r>
      <w:r w:rsidRPr="00382917">
        <w:t>and</w:t>
      </w:r>
      <w:r w:rsidR="00EE4FC3">
        <w:t xml:space="preserve"> </w:t>
      </w:r>
      <w:r w:rsidRPr="00382917">
        <w:t>expressed</w:t>
      </w:r>
      <w:r w:rsidR="00EE4FC3">
        <w:t xml:space="preserve"> </w:t>
      </w:r>
      <w:r w:rsidRPr="00382917">
        <w:t>concern</w:t>
      </w:r>
      <w:r w:rsidR="00EE4FC3">
        <w:t xml:space="preserve"> </w:t>
      </w:r>
      <w:r w:rsidRPr="00382917">
        <w:t>that</w:t>
      </w:r>
      <w:r w:rsidR="00EE4FC3">
        <w:t xml:space="preserve"> </w:t>
      </w:r>
      <w:r w:rsidRPr="00382917">
        <w:t>so</w:t>
      </w:r>
      <w:r w:rsidR="00EE4FC3">
        <w:t xml:space="preserve"> </w:t>
      </w:r>
      <w:r w:rsidRPr="00382917">
        <w:t>grave</w:t>
      </w:r>
      <w:r w:rsidR="00EE4FC3">
        <w:t xml:space="preserve"> </w:t>
      </w:r>
      <w:r w:rsidRPr="00382917">
        <w:t>an</w:t>
      </w:r>
      <w:r w:rsidR="00EE4FC3">
        <w:t xml:space="preserve"> </w:t>
      </w:r>
      <w:r w:rsidRPr="00382917">
        <w:t>injustice</w:t>
      </w:r>
      <w:r w:rsidR="00EE4FC3">
        <w:t xml:space="preserve"> </w:t>
      </w:r>
      <w:r w:rsidRPr="00382917">
        <w:t>should</w:t>
      </w:r>
      <w:r w:rsidR="00EE4FC3">
        <w:t xml:space="preserve"> </w:t>
      </w:r>
      <w:r w:rsidRPr="00382917">
        <w:t>have</w:t>
      </w:r>
      <w:r w:rsidR="00EE4FC3">
        <w:t xml:space="preserve"> </w:t>
      </w:r>
      <w:r w:rsidRPr="00382917">
        <w:t>been</w:t>
      </w:r>
      <w:r w:rsidR="00EE4FC3">
        <w:t xml:space="preserve"> </w:t>
      </w:r>
      <w:r w:rsidRPr="00382917">
        <w:t>done</w:t>
      </w:r>
      <w:r w:rsidR="00EE4FC3">
        <w:t xml:space="preserve"> </w:t>
      </w:r>
      <w:r w:rsidRPr="00382917">
        <w:t>to</w:t>
      </w:r>
      <w:r w:rsidR="00EE4FC3">
        <w:t xml:space="preserve"> </w:t>
      </w:r>
      <w:r w:rsidRPr="00382917">
        <w:t>him.</w:t>
      </w:r>
    </w:p>
    <w:p w:rsidR="00582826" w:rsidRPr="00382917" w:rsidRDefault="00582826">
      <w:pPr>
        <w:widowControl/>
        <w:kinsoku/>
        <w:overflowPunct/>
        <w:textAlignment w:val="auto"/>
      </w:pPr>
      <w:r w:rsidRPr="00382917">
        <w:br w:type="page"/>
      </w:r>
    </w:p>
    <w:p w:rsidR="00582826" w:rsidRPr="00382917" w:rsidRDefault="009C713D" w:rsidP="00582826">
      <w:pPr>
        <w:pStyle w:val="Text"/>
      </w:pPr>
      <w:r w:rsidRPr="00382917">
        <w:t>“</w:t>
      </w:r>
      <w:r w:rsidR="00582826" w:rsidRPr="00382917">
        <w:t>We</w:t>
      </w:r>
      <w:r w:rsidR="00EE4FC3">
        <w:t xml:space="preserve"> </w:t>
      </w:r>
      <w:r w:rsidR="00582826" w:rsidRPr="00382917">
        <w:t>know</w:t>
      </w:r>
      <w:r w:rsidR="00EE4FC3">
        <w:t xml:space="preserve"> </w:t>
      </w:r>
      <w:r w:rsidR="00582826" w:rsidRPr="00382917">
        <w:t>you</w:t>
      </w:r>
      <w:r w:rsidR="00EE4FC3">
        <w:t xml:space="preserve"> </w:t>
      </w:r>
      <w:r w:rsidR="00582826" w:rsidRPr="00382917">
        <w:t>do</w:t>
      </w:r>
      <w:r w:rsidR="00EE4FC3">
        <w:t xml:space="preserve"> </w:t>
      </w:r>
      <w:r w:rsidR="00582826" w:rsidRPr="00382917">
        <w:t>not</w:t>
      </w:r>
      <w:r w:rsidR="00EE4FC3">
        <w:t xml:space="preserve"> </w:t>
      </w:r>
      <w:r w:rsidR="00582826" w:rsidRPr="00382917">
        <w:t>belong</w:t>
      </w:r>
      <w:r w:rsidR="00EE4FC3">
        <w:t xml:space="preserve"> </w:t>
      </w:r>
      <w:r w:rsidR="00582826" w:rsidRPr="00382917">
        <w:t>to</w:t>
      </w:r>
      <w:r w:rsidR="00EE4FC3">
        <w:t xml:space="preserve"> </w:t>
      </w:r>
      <w:r w:rsidR="00582826" w:rsidRPr="00382917">
        <w:t>these</w:t>
      </w:r>
      <w:r w:rsidR="00EE4FC3">
        <w:t xml:space="preserve"> </w:t>
      </w:r>
      <w:r w:rsidR="00582826" w:rsidRPr="00382917">
        <w:t>misguided</w:t>
      </w:r>
      <w:r w:rsidR="00EE4FC3">
        <w:t xml:space="preserve"> </w:t>
      </w:r>
      <w:r w:rsidR="00582826" w:rsidRPr="00382917">
        <w:t>followers</w:t>
      </w:r>
      <w:r w:rsidR="00EE4FC3">
        <w:t xml:space="preserve"> </w:t>
      </w:r>
      <w:r w:rsidR="00582826" w:rsidRPr="00382917">
        <w:t>of</w:t>
      </w:r>
      <w:r w:rsidR="00EE4FC3">
        <w:t xml:space="preserve"> </w:t>
      </w:r>
      <w:r w:rsidR="00582826" w:rsidRPr="00382917">
        <w:t>the</w:t>
      </w:r>
      <w:r w:rsidR="00EE4FC3">
        <w:t xml:space="preserve"> </w:t>
      </w:r>
      <w:r w:rsidR="00582826" w:rsidRPr="00382917">
        <w:t>Báb,</w:t>
      </w:r>
      <w:r w:rsidRPr="00382917">
        <w:t>”</w:t>
      </w:r>
      <w:r w:rsidR="00EE4FC3">
        <w:t xml:space="preserve"> </w:t>
      </w:r>
      <w:r w:rsidR="00582826" w:rsidRPr="00382917">
        <w:t>they</w:t>
      </w:r>
      <w:r w:rsidR="00EE4FC3">
        <w:t xml:space="preserve"> </w:t>
      </w:r>
      <w:r w:rsidR="00582826" w:rsidRPr="00382917">
        <w:t>assured</w:t>
      </w:r>
      <w:r w:rsidR="00EE4FC3">
        <w:t xml:space="preserve"> </w:t>
      </w:r>
      <w:r w:rsidR="00582826" w:rsidRPr="00382917">
        <w:t>him</w:t>
      </w:r>
      <w:r w:rsidR="0040329F">
        <w:t>.</w:t>
      </w:r>
      <w:r w:rsidR="00EE4FC3">
        <w:t xml:space="preserve">  </w:t>
      </w:r>
      <w:r w:rsidRPr="00382917">
        <w:t>“</w:t>
      </w:r>
      <w:r w:rsidR="00582826" w:rsidRPr="00382917">
        <w:t>A</w:t>
      </w:r>
      <w:r w:rsidR="00EE4FC3">
        <w:t xml:space="preserve"> </w:t>
      </w:r>
      <w:r w:rsidR="00582826" w:rsidRPr="00382917">
        <w:t>false</w:t>
      </w:r>
      <w:r w:rsidR="00EE4FC3">
        <w:t xml:space="preserve"> </w:t>
      </w:r>
      <w:r w:rsidR="00582826" w:rsidRPr="00382917">
        <w:t>charge</w:t>
      </w:r>
      <w:r w:rsidR="00EE4FC3">
        <w:t xml:space="preserve"> </w:t>
      </w:r>
      <w:r w:rsidR="00582826" w:rsidRPr="00382917">
        <w:t>has</w:t>
      </w:r>
      <w:r w:rsidR="00EE4FC3">
        <w:t xml:space="preserve"> </w:t>
      </w:r>
      <w:r w:rsidR="00582826" w:rsidRPr="00382917">
        <w:t>been</w:t>
      </w:r>
      <w:r w:rsidR="00EE4FC3">
        <w:t xml:space="preserve"> </w:t>
      </w:r>
      <w:r w:rsidR="00582826" w:rsidRPr="00382917">
        <w:t>made</w:t>
      </w:r>
      <w:r w:rsidR="00EE4FC3">
        <w:t xml:space="preserve"> </w:t>
      </w:r>
      <w:r w:rsidR="00582826" w:rsidRPr="00382917">
        <w:t>against</w:t>
      </w:r>
      <w:r w:rsidR="00EE4FC3">
        <w:t xml:space="preserve"> </w:t>
      </w:r>
      <w:r w:rsidR="00582826" w:rsidRPr="00382917">
        <w:t>you</w:t>
      </w:r>
      <w:r w:rsidR="0040329F">
        <w:t>.</w:t>
      </w:r>
      <w:r w:rsidR="00EE4FC3">
        <w:t xml:space="preserve">  </w:t>
      </w:r>
      <w:r w:rsidR="00582826" w:rsidRPr="00382917">
        <w:t>We</w:t>
      </w:r>
      <w:r w:rsidR="00EE4FC3">
        <w:t xml:space="preserve"> </w:t>
      </w:r>
      <w:r w:rsidR="00582826" w:rsidRPr="00382917">
        <w:t>know</w:t>
      </w:r>
      <w:r w:rsidR="00EE4FC3">
        <w:t xml:space="preserve"> </w:t>
      </w:r>
      <w:r w:rsidR="00582826" w:rsidRPr="00382917">
        <w:t>that</w:t>
      </w:r>
      <w:r w:rsidR="00EE4FC3">
        <w:t xml:space="preserve"> </w:t>
      </w:r>
      <w:r w:rsidR="00582826" w:rsidRPr="00382917">
        <w:t>you</w:t>
      </w:r>
      <w:r w:rsidR="00EE4FC3">
        <w:t xml:space="preserve"> </w:t>
      </w:r>
      <w:r w:rsidR="00582826" w:rsidRPr="00382917">
        <w:t>have</w:t>
      </w:r>
      <w:r w:rsidR="00EE4FC3">
        <w:t xml:space="preserve"> </w:t>
      </w:r>
      <w:r w:rsidR="00582826" w:rsidRPr="00382917">
        <w:t>not</w:t>
      </w:r>
      <w:r w:rsidR="00EE4FC3">
        <w:t xml:space="preserve"> </w:t>
      </w:r>
      <w:r w:rsidR="00582826" w:rsidRPr="00382917">
        <w:t>accepted</w:t>
      </w:r>
      <w:r w:rsidR="00EE4FC3">
        <w:t xml:space="preserve"> </w:t>
      </w:r>
      <w:r w:rsidR="00582826" w:rsidRPr="00382917">
        <w:t>him</w:t>
      </w:r>
      <w:r w:rsidR="00EE4FC3">
        <w:t xml:space="preserve"> </w:t>
      </w:r>
      <w:r w:rsidR="00582826" w:rsidRPr="00382917">
        <w:t>as</w:t>
      </w:r>
      <w:r w:rsidR="00EE4FC3">
        <w:t xml:space="preserve"> </w:t>
      </w:r>
      <w:r w:rsidR="00582826" w:rsidRPr="00382917">
        <w:t>a</w:t>
      </w:r>
      <w:r w:rsidR="00EE4FC3">
        <w:t xml:space="preserve"> </w:t>
      </w:r>
      <w:r w:rsidR="00582826" w:rsidRPr="00382917">
        <w:t>Prophet.</w:t>
      </w:r>
      <w:r w:rsidRPr="00382917">
        <w:t>”</w:t>
      </w:r>
    </w:p>
    <w:p w:rsidR="00582826" w:rsidRPr="00382917" w:rsidRDefault="00582826" w:rsidP="00834835">
      <w:pPr>
        <w:pStyle w:val="Text"/>
      </w:pPr>
      <w:r w:rsidRPr="00382917">
        <w:t>Qurbán</w:t>
      </w:r>
      <w:r w:rsidR="00EE4FC3">
        <w:t xml:space="preserve"> </w:t>
      </w:r>
      <w:r w:rsidR="0040329F" w:rsidRPr="00382917">
        <w:t>‘Al</w:t>
      </w:r>
      <w:r w:rsidR="0040329F" w:rsidRPr="0040329F">
        <w:t>í</w:t>
      </w:r>
      <w:r w:rsidR="00EE4FC3">
        <w:t xml:space="preserve"> </w:t>
      </w:r>
      <w:r w:rsidRPr="00382917">
        <w:t>replied</w:t>
      </w:r>
      <w:r w:rsidR="00EE4FC3">
        <w:t xml:space="preserve"> </w:t>
      </w:r>
      <w:r w:rsidRPr="00382917">
        <w:t>simply</w:t>
      </w:r>
      <w:r w:rsidR="00C03C91">
        <w:t>:</w:t>
      </w:r>
      <w:r w:rsidR="00EE4FC3">
        <w:t xml:space="preserve">  </w:t>
      </w:r>
      <w:r w:rsidR="009C713D" w:rsidRPr="00382917">
        <w:t>“</w:t>
      </w:r>
      <w:r w:rsidRPr="00382917">
        <w:t>I</w:t>
      </w:r>
      <w:r w:rsidR="00EE4FC3">
        <w:t xml:space="preserve"> </w:t>
      </w:r>
      <w:r w:rsidRPr="00382917">
        <w:t>know</w:t>
      </w:r>
      <w:r w:rsidR="00EE4FC3">
        <w:t xml:space="preserve"> </w:t>
      </w:r>
      <w:r w:rsidRPr="00382917">
        <w:t>not</w:t>
      </w:r>
      <w:r w:rsidR="00EE4FC3">
        <w:t xml:space="preserve"> </w:t>
      </w:r>
      <w:r w:rsidRPr="00382917">
        <w:t>whether</w:t>
      </w:r>
      <w:r w:rsidR="00EE4FC3">
        <w:t xml:space="preserve"> </w:t>
      </w:r>
      <w:r w:rsidRPr="00382917">
        <w:t>He</w:t>
      </w:r>
      <w:r w:rsidR="00EE4FC3">
        <w:t xml:space="preserve"> </w:t>
      </w:r>
      <w:r w:rsidRPr="00382917">
        <w:t>has</w:t>
      </w:r>
      <w:r w:rsidR="00EE4FC3">
        <w:t xml:space="preserve"> </w:t>
      </w:r>
      <w:r w:rsidRPr="00382917">
        <w:t>accepted</w:t>
      </w:r>
      <w:r w:rsidR="00EE4FC3">
        <w:t xml:space="preserve"> </w:t>
      </w:r>
      <w:r w:rsidRPr="00382917">
        <w:t>me,</w:t>
      </w:r>
      <w:r w:rsidR="00EE4FC3">
        <w:t xml:space="preserve"> </w:t>
      </w:r>
      <w:r w:rsidRPr="00382917">
        <w:t>but</w:t>
      </w:r>
      <w:r w:rsidR="00EE4FC3">
        <w:t xml:space="preserve"> </w:t>
      </w:r>
      <w:r w:rsidRPr="00382917">
        <w:t>I</w:t>
      </w:r>
      <w:r w:rsidR="00EE4FC3">
        <w:t xml:space="preserve"> </w:t>
      </w:r>
      <w:r w:rsidRPr="00382917">
        <w:t>have</w:t>
      </w:r>
      <w:r w:rsidR="00EE4FC3">
        <w:t xml:space="preserve"> </w:t>
      </w:r>
      <w:r w:rsidRPr="00382917">
        <w:t>accepted</w:t>
      </w:r>
      <w:r w:rsidR="00EE4FC3">
        <w:t xml:space="preserve"> </w:t>
      </w:r>
      <w:r w:rsidRPr="00382917">
        <w:t>Him</w:t>
      </w:r>
      <w:r w:rsidR="0040329F">
        <w:t>.</w:t>
      </w:r>
      <w:r w:rsidR="00EE4FC3">
        <w:t xml:space="preserve">  </w:t>
      </w:r>
      <w:r w:rsidRPr="00382917">
        <w:t>I</w:t>
      </w:r>
      <w:r w:rsidR="00EE4FC3">
        <w:t xml:space="preserve"> </w:t>
      </w:r>
      <w:r w:rsidRPr="00382917">
        <w:t>reckon</w:t>
      </w:r>
      <w:r w:rsidR="00EE4FC3">
        <w:t xml:space="preserve"> </w:t>
      </w:r>
      <w:r w:rsidRPr="00382917">
        <w:t>myself</w:t>
      </w:r>
      <w:r w:rsidR="00EE4FC3">
        <w:t xml:space="preserve"> </w:t>
      </w:r>
      <w:r w:rsidRPr="00382917">
        <w:t>as</w:t>
      </w:r>
      <w:r w:rsidR="00EE4FC3">
        <w:t xml:space="preserve"> </w:t>
      </w:r>
      <w:r w:rsidRPr="00382917">
        <w:t>one</w:t>
      </w:r>
      <w:r w:rsidR="00EE4FC3">
        <w:t xml:space="preserve"> </w:t>
      </w:r>
      <w:r w:rsidRPr="00382917">
        <w:t>of</w:t>
      </w:r>
      <w:r w:rsidR="00EE4FC3">
        <w:t xml:space="preserve"> </w:t>
      </w:r>
      <w:r w:rsidRPr="00382917">
        <w:t>the</w:t>
      </w:r>
      <w:r w:rsidR="00EE4FC3">
        <w:t xml:space="preserve"> </w:t>
      </w:r>
      <w:r w:rsidRPr="00382917">
        <w:t>fo</w:t>
      </w:r>
      <w:r w:rsidR="00834835">
        <w:t>l</w:t>
      </w:r>
      <w:r w:rsidRPr="00382917">
        <w:t>lowers</w:t>
      </w:r>
      <w:r w:rsidR="00EE4FC3">
        <w:t xml:space="preserve"> </w:t>
      </w:r>
      <w:r w:rsidRPr="00382917">
        <w:t>and</w:t>
      </w:r>
      <w:r w:rsidR="00EE4FC3">
        <w:t xml:space="preserve"> </w:t>
      </w:r>
      <w:r w:rsidRPr="00382917">
        <w:t>servants</w:t>
      </w:r>
      <w:r w:rsidR="00EE4FC3">
        <w:t xml:space="preserve"> </w:t>
      </w:r>
      <w:r w:rsidRPr="00382917">
        <w:t>of</w:t>
      </w:r>
      <w:r w:rsidR="00EE4FC3">
        <w:t xml:space="preserve"> </w:t>
      </w:r>
      <w:r w:rsidRPr="00382917">
        <w:t>the</w:t>
      </w:r>
      <w:r w:rsidR="00EE4FC3">
        <w:t xml:space="preserve"> </w:t>
      </w:r>
      <w:r w:rsidRPr="00382917">
        <w:t>Báb.</w:t>
      </w:r>
      <w:r w:rsidR="009C713D" w:rsidRPr="00382917">
        <w:t>”</w:t>
      </w:r>
    </w:p>
    <w:p w:rsidR="00582826" w:rsidRPr="00382917" w:rsidRDefault="00582826" w:rsidP="002C0928">
      <w:pPr>
        <w:pStyle w:val="Text"/>
      </w:pPr>
      <w:r w:rsidRPr="00382917">
        <w:t>They</w:t>
      </w:r>
      <w:r w:rsidR="00EE4FC3">
        <w:t xml:space="preserve"> </w:t>
      </w:r>
      <w:r w:rsidRPr="00382917">
        <w:t>tried</w:t>
      </w:r>
      <w:r w:rsidR="00EE4FC3">
        <w:t xml:space="preserve"> </w:t>
      </w:r>
      <w:r w:rsidRPr="00382917">
        <w:t>to</w:t>
      </w:r>
      <w:r w:rsidR="00EE4FC3">
        <w:t xml:space="preserve"> </w:t>
      </w:r>
      <w:r w:rsidRPr="00382917">
        <w:t>persuade</w:t>
      </w:r>
      <w:r w:rsidR="00EE4FC3">
        <w:t xml:space="preserve"> </w:t>
      </w:r>
      <w:r w:rsidRPr="00382917">
        <w:t>him</w:t>
      </w:r>
      <w:r w:rsidR="00EE4FC3">
        <w:t xml:space="preserve"> </w:t>
      </w:r>
      <w:r w:rsidRPr="00382917">
        <w:t>to</w:t>
      </w:r>
      <w:r w:rsidR="00EE4FC3">
        <w:t xml:space="preserve"> </w:t>
      </w:r>
      <w:r w:rsidRPr="00382917">
        <w:t>give</w:t>
      </w:r>
      <w:r w:rsidR="00EE4FC3">
        <w:t xml:space="preserve"> </w:t>
      </w:r>
      <w:r w:rsidRPr="00382917">
        <w:t>up</w:t>
      </w:r>
      <w:r w:rsidR="00EE4FC3">
        <w:t xml:space="preserve"> </w:t>
      </w:r>
      <w:r w:rsidRPr="00382917">
        <w:t>this</w:t>
      </w:r>
      <w:r w:rsidR="00EE4FC3">
        <w:t xml:space="preserve"> </w:t>
      </w:r>
      <w:r w:rsidRPr="00382917">
        <w:t>foolishness.</w:t>
      </w:r>
      <w:r w:rsidR="002C0928">
        <w:rPr>
          <w:rStyle w:val="FootnoteReference"/>
        </w:rPr>
        <w:footnoteReference w:id="180"/>
      </w:r>
      <w:r w:rsidR="00EE4FC3">
        <w:t xml:space="preserve"> </w:t>
      </w:r>
      <w:r w:rsidR="00E440FF">
        <w:t xml:space="preserve"> </w:t>
      </w:r>
      <w:r w:rsidRPr="00382917">
        <w:t>He</w:t>
      </w:r>
      <w:r w:rsidR="00EE4FC3">
        <w:t xml:space="preserve"> </w:t>
      </w:r>
      <w:r w:rsidRPr="00382917">
        <w:t>was</w:t>
      </w:r>
      <w:r w:rsidR="00EE4FC3">
        <w:t xml:space="preserve"> </w:t>
      </w:r>
      <w:r w:rsidRPr="00382917">
        <w:t>far</w:t>
      </w:r>
      <w:r w:rsidR="00EE4FC3">
        <w:t xml:space="preserve"> </w:t>
      </w:r>
      <w:r w:rsidRPr="00382917">
        <w:t>too</w:t>
      </w:r>
      <w:r w:rsidR="00EE4FC3">
        <w:t xml:space="preserve"> </w:t>
      </w:r>
      <w:r w:rsidRPr="00382917">
        <w:t>intelligent</w:t>
      </w:r>
      <w:r w:rsidR="00EE4FC3">
        <w:t xml:space="preserve"> </w:t>
      </w:r>
      <w:r w:rsidRPr="00382917">
        <w:t>to</w:t>
      </w:r>
      <w:r w:rsidR="00EE4FC3">
        <w:t xml:space="preserve"> </w:t>
      </w:r>
      <w:r w:rsidRPr="00382917">
        <w:t>be</w:t>
      </w:r>
      <w:r w:rsidR="00EE4FC3">
        <w:t xml:space="preserve"> </w:t>
      </w:r>
      <w:r w:rsidRPr="00382917">
        <w:t>anyone</w:t>
      </w:r>
      <w:r w:rsidR="009C713D" w:rsidRPr="00382917">
        <w:t>’</w:t>
      </w:r>
      <w:r w:rsidRPr="00382917">
        <w:t>s</w:t>
      </w:r>
      <w:r w:rsidR="00EE4FC3">
        <w:t xml:space="preserve"> </w:t>
      </w:r>
      <w:r w:rsidRPr="00382917">
        <w:t>servant,</w:t>
      </w:r>
      <w:r w:rsidR="00EE4FC3">
        <w:t xml:space="preserve"> </w:t>
      </w:r>
      <w:r w:rsidRPr="00382917">
        <w:t>they</w:t>
      </w:r>
      <w:r w:rsidR="00EE4FC3">
        <w:t xml:space="preserve"> </w:t>
      </w:r>
      <w:r w:rsidRPr="00382917">
        <w:t>said,</w:t>
      </w:r>
      <w:r w:rsidR="00EE4FC3">
        <w:t xml:space="preserve"> </w:t>
      </w:r>
      <w:r w:rsidRPr="00382917">
        <w:t>far</w:t>
      </w:r>
      <w:r w:rsidR="00EE4FC3">
        <w:t xml:space="preserve"> </w:t>
      </w:r>
      <w:r w:rsidRPr="00382917">
        <w:t>too</w:t>
      </w:r>
      <w:r w:rsidR="00EE4FC3">
        <w:t xml:space="preserve"> </w:t>
      </w:r>
      <w:r w:rsidRPr="00382917">
        <w:t>important</w:t>
      </w:r>
      <w:r w:rsidR="00EE4FC3">
        <w:t xml:space="preserve"> </w:t>
      </w:r>
      <w:r w:rsidRPr="00382917">
        <w:t>to</w:t>
      </w:r>
      <w:r w:rsidR="00EE4FC3">
        <w:t xml:space="preserve"> </w:t>
      </w:r>
      <w:r w:rsidRPr="00382917">
        <w:t>lower</w:t>
      </w:r>
      <w:r w:rsidR="00EE4FC3">
        <w:t xml:space="preserve"> </w:t>
      </w:r>
      <w:r w:rsidRPr="00382917">
        <w:t>himself</w:t>
      </w:r>
      <w:r w:rsidR="00EE4FC3">
        <w:t xml:space="preserve"> </w:t>
      </w:r>
      <w:r w:rsidRPr="00382917">
        <w:t>in</w:t>
      </w:r>
      <w:r w:rsidR="00EE4FC3">
        <w:t xml:space="preserve"> </w:t>
      </w:r>
      <w:r w:rsidRPr="00382917">
        <w:t>the</w:t>
      </w:r>
      <w:r w:rsidR="00EE4FC3">
        <w:t xml:space="preserve"> </w:t>
      </w:r>
      <w:r w:rsidRPr="00382917">
        <w:t>eyes</w:t>
      </w:r>
      <w:r w:rsidR="00EE4FC3">
        <w:t xml:space="preserve"> </w:t>
      </w:r>
      <w:r w:rsidRPr="00382917">
        <w:t>of</w:t>
      </w:r>
      <w:r w:rsidR="00EE4FC3">
        <w:t xml:space="preserve"> </w:t>
      </w:r>
      <w:r w:rsidRPr="00382917">
        <w:t>his</w:t>
      </w:r>
      <w:r w:rsidR="00EE4FC3">
        <w:t xml:space="preserve"> </w:t>
      </w:r>
      <w:r w:rsidRPr="00382917">
        <w:t>fellowmen</w:t>
      </w:r>
      <w:r w:rsidR="0040329F">
        <w:t>.</w:t>
      </w:r>
      <w:r w:rsidR="00EE4FC3">
        <w:t xml:space="preserve">  </w:t>
      </w:r>
      <w:r w:rsidRPr="00382917">
        <w:t>They</w:t>
      </w:r>
      <w:r w:rsidR="00EE4FC3">
        <w:t xml:space="preserve"> </w:t>
      </w:r>
      <w:r w:rsidRPr="00382917">
        <w:t>promised</w:t>
      </w:r>
      <w:r w:rsidR="00EE4FC3">
        <w:t xml:space="preserve"> </w:t>
      </w:r>
      <w:r w:rsidRPr="00382917">
        <w:t>Qurbán</w:t>
      </w:r>
      <w:r w:rsidR="00EE4FC3">
        <w:t xml:space="preserve"> </w:t>
      </w:r>
      <w:r w:rsidR="009C713D" w:rsidRPr="00382917">
        <w:t>‘</w:t>
      </w:r>
      <w:r w:rsidRPr="00382917">
        <w:t>Al</w:t>
      </w:r>
      <w:r w:rsidR="0040329F" w:rsidRPr="0040329F">
        <w:t>í</w:t>
      </w:r>
      <w:r w:rsidR="00EE4FC3">
        <w:t xml:space="preserve"> </w:t>
      </w:r>
      <w:r w:rsidRPr="00382917">
        <w:t>a</w:t>
      </w:r>
      <w:r w:rsidR="00EE4FC3">
        <w:t xml:space="preserve"> </w:t>
      </w:r>
      <w:r w:rsidRPr="00382917">
        <w:t>permanent</w:t>
      </w:r>
      <w:r w:rsidR="00EE4FC3">
        <w:t xml:space="preserve"> </w:t>
      </w:r>
      <w:r w:rsidRPr="00382917">
        <w:t>salary</w:t>
      </w:r>
      <w:r w:rsidR="00EE4FC3">
        <w:t xml:space="preserve"> </w:t>
      </w:r>
      <w:r w:rsidRPr="00382917">
        <w:t>and</w:t>
      </w:r>
      <w:r w:rsidR="00EE4FC3">
        <w:t xml:space="preserve"> </w:t>
      </w:r>
      <w:r w:rsidRPr="00382917">
        <w:t>a</w:t>
      </w:r>
      <w:r w:rsidR="00EE4FC3">
        <w:t xml:space="preserve"> </w:t>
      </w:r>
      <w:r w:rsidRPr="00382917">
        <w:t>generous</w:t>
      </w:r>
      <w:r w:rsidR="00EE4FC3">
        <w:t xml:space="preserve"> </w:t>
      </w:r>
      <w:r w:rsidRPr="00382917">
        <w:t>pension</w:t>
      </w:r>
      <w:r w:rsidR="00EE4FC3">
        <w:t xml:space="preserve"> </w:t>
      </w:r>
      <w:r w:rsidRPr="00382917">
        <w:t>if</w:t>
      </w:r>
      <w:r w:rsidR="00EE4FC3">
        <w:t xml:space="preserve"> </w:t>
      </w:r>
      <w:r w:rsidRPr="00382917">
        <w:t>he</w:t>
      </w:r>
      <w:r w:rsidR="00EE4FC3">
        <w:t xml:space="preserve"> </w:t>
      </w:r>
      <w:r w:rsidRPr="00382917">
        <w:t>would</w:t>
      </w:r>
      <w:r w:rsidR="00EE4FC3">
        <w:t xml:space="preserve"> </w:t>
      </w:r>
      <w:r w:rsidRPr="00382917">
        <w:t>accompany</w:t>
      </w:r>
      <w:r w:rsidR="00EE4FC3">
        <w:t xml:space="preserve"> </w:t>
      </w:r>
      <w:r w:rsidRPr="00382917">
        <w:t>them</w:t>
      </w:r>
      <w:r w:rsidR="00EE4FC3">
        <w:t xml:space="preserve"> </w:t>
      </w:r>
      <w:r w:rsidRPr="00382917">
        <w:t>to</w:t>
      </w:r>
      <w:r w:rsidR="00EE4FC3">
        <w:t xml:space="preserve"> </w:t>
      </w:r>
      <w:r w:rsidRPr="00382917">
        <w:t>the</w:t>
      </w:r>
      <w:r w:rsidR="00EE4FC3">
        <w:t xml:space="preserve"> </w:t>
      </w:r>
      <w:r w:rsidRPr="00382917">
        <w:t>street</w:t>
      </w:r>
      <w:r w:rsidR="00EE4FC3">
        <w:t xml:space="preserve"> </w:t>
      </w:r>
      <w:r w:rsidRPr="00382917">
        <w:t>and</w:t>
      </w:r>
      <w:r w:rsidR="00EE4FC3">
        <w:t xml:space="preserve"> </w:t>
      </w:r>
      <w:r w:rsidRPr="00382917">
        <w:t>announce</w:t>
      </w:r>
      <w:r w:rsidR="00EE4FC3">
        <w:t xml:space="preserve"> </w:t>
      </w:r>
      <w:r w:rsidRPr="00382917">
        <w:t>now</w:t>
      </w:r>
      <w:r w:rsidR="00EE4FC3">
        <w:t xml:space="preserve"> </w:t>
      </w:r>
      <w:r w:rsidRPr="00382917">
        <w:t>to</w:t>
      </w:r>
      <w:r w:rsidR="00EE4FC3">
        <w:t xml:space="preserve"> </w:t>
      </w:r>
      <w:r w:rsidRPr="00382917">
        <w:t>the</w:t>
      </w:r>
      <w:r w:rsidR="00EE4FC3">
        <w:t xml:space="preserve"> </w:t>
      </w:r>
      <w:r w:rsidRPr="00382917">
        <w:t>public</w:t>
      </w:r>
      <w:r w:rsidR="00EE4FC3">
        <w:t xml:space="preserve"> </w:t>
      </w:r>
      <w:r w:rsidRPr="00382917">
        <w:t>that</w:t>
      </w:r>
      <w:r w:rsidR="00EE4FC3">
        <w:t xml:space="preserve"> </w:t>
      </w:r>
      <w:r w:rsidRPr="00382917">
        <w:t>he</w:t>
      </w:r>
      <w:r w:rsidR="00EE4FC3">
        <w:t xml:space="preserve"> </w:t>
      </w:r>
      <w:r w:rsidRPr="00382917">
        <w:t>had</w:t>
      </w:r>
      <w:r w:rsidR="00EE4FC3">
        <w:t xml:space="preserve"> </w:t>
      </w:r>
      <w:r w:rsidRPr="00382917">
        <w:t>denied</w:t>
      </w:r>
      <w:r w:rsidR="00EE4FC3">
        <w:t xml:space="preserve"> </w:t>
      </w:r>
      <w:r w:rsidRPr="00382917">
        <w:t>this</w:t>
      </w:r>
      <w:r w:rsidR="00EE4FC3">
        <w:t xml:space="preserve"> </w:t>
      </w:r>
      <w:r w:rsidRPr="00382917">
        <w:t>false</w:t>
      </w:r>
      <w:r w:rsidR="00EE4FC3">
        <w:t xml:space="preserve"> </w:t>
      </w:r>
      <w:r w:rsidRPr="00382917">
        <w:t>Faith.</w:t>
      </w:r>
    </w:p>
    <w:p w:rsidR="00582826" w:rsidRPr="00382917" w:rsidRDefault="00582826" w:rsidP="00582826">
      <w:pPr>
        <w:pStyle w:val="Text"/>
      </w:pPr>
      <w:r w:rsidRPr="00382917">
        <w:t>Qurbán</w:t>
      </w:r>
      <w:r w:rsidR="00EE4FC3">
        <w:t xml:space="preserve"> </w:t>
      </w:r>
      <w:r w:rsidR="0040329F" w:rsidRPr="00382917">
        <w:t>‘Al</w:t>
      </w:r>
      <w:r w:rsidR="0040329F" w:rsidRPr="0040329F">
        <w:t>í</w:t>
      </w:r>
      <w:r w:rsidR="00EE4FC3">
        <w:t xml:space="preserve"> </w:t>
      </w:r>
      <w:r w:rsidRPr="00382917">
        <w:t>waited</w:t>
      </w:r>
      <w:r w:rsidR="00EE4FC3">
        <w:t xml:space="preserve"> </w:t>
      </w:r>
      <w:r w:rsidRPr="00382917">
        <w:t>patiently</w:t>
      </w:r>
      <w:r w:rsidR="00EE4FC3">
        <w:t xml:space="preserve"> </w:t>
      </w:r>
      <w:r w:rsidRPr="00382917">
        <w:t>until</w:t>
      </w:r>
      <w:r w:rsidR="00EE4FC3">
        <w:t xml:space="preserve"> </w:t>
      </w:r>
      <w:r w:rsidRPr="00382917">
        <w:t>they</w:t>
      </w:r>
      <w:r w:rsidR="00EE4FC3">
        <w:t xml:space="preserve"> </w:t>
      </w:r>
      <w:r w:rsidRPr="00382917">
        <w:t>were</w:t>
      </w:r>
      <w:r w:rsidR="00EE4FC3">
        <w:t xml:space="preserve"> </w:t>
      </w:r>
      <w:r w:rsidRPr="00382917">
        <w:t>finished</w:t>
      </w:r>
      <w:r w:rsidR="0040329F">
        <w:t>.</w:t>
      </w:r>
      <w:r w:rsidR="00EE4FC3">
        <w:t xml:space="preserve">  </w:t>
      </w:r>
      <w:r w:rsidRPr="00382917">
        <w:t>Then</w:t>
      </w:r>
      <w:r w:rsidR="00EE4FC3">
        <w:t xml:space="preserve"> </w:t>
      </w:r>
      <w:r w:rsidRPr="00382917">
        <w:t>he</w:t>
      </w:r>
      <w:r w:rsidR="00EE4FC3">
        <w:t xml:space="preserve"> </w:t>
      </w:r>
      <w:r w:rsidRPr="00382917">
        <w:t>spoke</w:t>
      </w:r>
      <w:r w:rsidR="00EE4FC3">
        <w:t xml:space="preserve"> </w:t>
      </w:r>
      <w:r w:rsidRPr="00382917">
        <w:t>with</w:t>
      </w:r>
      <w:r w:rsidR="00EE4FC3">
        <w:t xml:space="preserve"> </w:t>
      </w:r>
      <w:r w:rsidRPr="00382917">
        <w:t>quiet</w:t>
      </w:r>
      <w:r w:rsidR="00EE4FC3">
        <w:t xml:space="preserve"> </w:t>
      </w:r>
      <w:r w:rsidRPr="00382917">
        <w:t>conviction</w:t>
      </w:r>
      <w:r w:rsidR="0040329F">
        <w:t>.</w:t>
      </w:r>
      <w:r w:rsidR="00EE4FC3">
        <w:t xml:space="preserve">  </w:t>
      </w:r>
      <w:r w:rsidR="009C713D" w:rsidRPr="00382917">
        <w:t>“</w:t>
      </w:r>
      <w:r w:rsidRPr="00382917">
        <w:t>This</w:t>
      </w:r>
      <w:r w:rsidR="00EE4FC3">
        <w:t xml:space="preserve"> </w:t>
      </w:r>
      <w:r w:rsidRPr="00382917">
        <w:t>life</w:t>
      </w:r>
      <w:r w:rsidR="00EE4FC3">
        <w:t xml:space="preserve"> </w:t>
      </w:r>
      <w:r w:rsidRPr="00382917">
        <w:t>and</w:t>
      </w:r>
      <w:r w:rsidR="00EE4FC3">
        <w:t xml:space="preserve"> </w:t>
      </w:r>
      <w:r w:rsidRPr="00382917">
        <w:t>these</w:t>
      </w:r>
      <w:r w:rsidR="00EE4FC3">
        <w:t xml:space="preserve"> </w:t>
      </w:r>
      <w:r w:rsidRPr="00382917">
        <w:t>drops</w:t>
      </w:r>
      <w:r w:rsidR="00EE4FC3">
        <w:t xml:space="preserve"> </w:t>
      </w:r>
      <w:r w:rsidRPr="00382917">
        <w:t>of</w:t>
      </w:r>
      <w:r w:rsidR="00EE4FC3">
        <w:t xml:space="preserve"> </w:t>
      </w:r>
      <w:r w:rsidRPr="00382917">
        <w:t>blood</w:t>
      </w:r>
      <w:r w:rsidR="00EE4FC3">
        <w:t xml:space="preserve"> </w:t>
      </w:r>
      <w:r w:rsidRPr="00382917">
        <w:t>of</w:t>
      </w:r>
      <w:r w:rsidR="00EE4FC3">
        <w:t xml:space="preserve"> </w:t>
      </w:r>
      <w:r w:rsidRPr="00382917">
        <w:t>mine</w:t>
      </w:r>
      <w:r w:rsidR="00EE4FC3">
        <w:t xml:space="preserve"> </w:t>
      </w:r>
      <w:r w:rsidRPr="00382917">
        <w:t>are</w:t>
      </w:r>
      <w:r w:rsidR="00EE4FC3">
        <w:t xml:space="preserve"> </w:t>
      </w:r>
      <w:r w:rsidRPr="00382917">
        <w:t>of</w:t>
      </w:r>
      <w:r w:rsidR="00EE4FC3">
        <w:t xml:space="preserve"> </w:t>
      </w:r>
      <w:r w:rsidRPr="00382917">
        <w:t>but</w:t>
      </w:r>
      <w:r w:rsidR="00EE4FC3">
        <w:t xml:space="preserve"> </w:t>
      </w:r>
      <w:r w:rsidRPr="00382917">
        <w:t>small</w:t>
      </w:r>
      <w:r w:rsidR="00EE4FC3">
        <w:t xml:space="preserve"> </w:t>
      </w:r>
      <w:r w:rsidRPr="00382917">
        <w:t>account</w:t>
      </w:r>
      <w:r w:rsidR="0040329F">
        <w:t>.</w:t>
      </w:r>
      <w:r w:rsidR="00EE4FC3">
        <w:t xml:space="preserve">  </w:t>
      </w:r>
      <w:r w:rsidRPr="00382917">
        <w:t>But</w:t>
      </w:r>
      <w:r w:rsidR="00EE4FC3">
        <w:t xml:space="preserve"> </w:t>
      </w:r>
      <w:r w:rsidRPr="00382917">
        <w:t>if</w:t>
      </w:r>
      <w:r w:rsidR="00EE4FC3">
        <w:t xml:space="preserve"> </w:t>
      </w:r>
      <w:r w:rsidRPr="00382917">
        <w:t>the</w:t>
      </w:r>
      <w:r w:rsidR="00EE4FC3">
        <w:t xml:space="preserve"> </w:t>
      </w:r>
      <w:r w:rsidRPr="00382917">
        <w:t>entire</w:t>
      </w:r>
      <w:r w:rsidR="00EE4FC3">
        <w:t xml:space="preserve"> </w:t>
      </w:r>
      <w:r w:rsidRPr="00382917">
        <w:t>earth</w:t>
      </w:r>
      <w:r w:rsidR="00EE4FC3">
        <w:t xml:space="preserve"> </w:t>
      </w:r>
      <w:r w:rsidRPr="00382917">
        <w:t>were</w:t>
      </w:r>
      <w:r w:rsidR="00EE4FC3">
        <w:t xml:space="preserve"> </w:t>
      </w:r>
      <w:r w:rsidRPr="00382917">
        <w:t>mine,</w:t>
      </w:r>
      <w:r w:rsidR="00EE4FC3">
        <w:t xml:space="preserve"> </w:t>
      </w:r>
      <w:r w:rsidRPr="00382917">
        <w:t>and</w:t>
      </w:r>
      <w:r w:rsidR="00EE4FC3">
        <w:t xml:space="preserve"> </w:t>
      </w:r>
      <w:r w:rsidRPr="00382917">
        <w:t>if</w:t>
      </w:r>
      <w:r w:rsidR="00EE4FC3">
        <w:t xml:space="preserve"> </w:t>
      </w:r>
      <w:r w:rsidRPr="00382917">
        <w:t>I</w:t>
      </w:r>
      <w:r w:rsidR="00EE4FC3">
        <w:t xml:space="preserve"> </w:t>
      </w:r>
      <w:r w:rsidRPr="00382917">
        <w:t>had</w:t>
      </w:r>
      <w:r w:rsidR="00EE4FC3">
        <w:t xml:space="preserve"> </w:t>
      </w:r>
      <w:r w:rsidRPr="00382917">
        <w:t>a</w:t>
      </w:r>
      <w:r w:rsidR="00EE4FC3">
        <w:t xml:space="preserve"> </w:t>
      </w:r>
      <w:r w:rsidRPr="00382917">
        <w:t>thousand</w:t>
      </w:r>
      <w:r w:rsidR="00EE4FC3">
        <w:t xml:space="preserve"> </w:t>
      </w:r>
      <w:r w:rsidRPr="00382917">
        <w:t>lives,</w:t>
      </w:r>
      <w:r w:rsidR="00EE4FC3">
        <w:t xml:space="preserve"> </w:t>
      </w:r>
      <w:r w:rsidRPr="00382917">
        <w:t>I</w:t>
      </w:r>
      <w:r w:rsidR="00EE4FC3">
        <w:t xml:space="preserve"> </w:t>
      </w:r>
      <w:r w:rsidRPr="00382917">
        <w:t>would</w:t>
      </w:r>
      <w:r w:rsidR="00EE4FC3">
        <w:t xml:space="preserve"> </w:t>
      </w:r>
      <w:r w:rsidRPr="00382917">
        <w:t>freely</w:t>
      </w:r>
      <w:r w:rsidR="00EE4FC3">
        <w:t xml:space="preserve"> </w:t>
      </w:r>
      <w:r w:rsidRPr="00382917">
        <w:t>cast</w:t>
      </w:r>
      <w:r w:rsidR="00EE4FC3">
        <w:t xml:space="preserve"> </w:t>
      </w:r>
      <w:r w:rsidRPr="00382917">
        <w:t>them</w:t>
      </w:r>
      <w:r w:rsidR="00EE4FC3">
        <w:t xml:space="preserve"> </w:t>
      </w:r>
      <w:r w:rsidRPr="00382917">
        <w:t>all</w:t>
      </w:r>
      <w:r w:rsidR="00EE4FC3">
        <w:t xml:space="preserve"> </w:t>
      </w:r>
      <w:r w:rsidRPr="00382917">
        <w:t>at</w:t>
      </w:r>
      <w:r w:rsidR="00EE4FC3">
        <w:t xml:space="preserve"> </w:t>
      </w:r>
      <w:r w:rsidRPr="00382917">
        <w:t>the</w:t>
      </w:r>
      <w:r w:rsidR="00EE4FC3">
        <w:t xml:space="preserve"> </w:t>
      </w:r>
      <w:r w:rsidRPr="00382917">
        <w:t>feet</w:t>
      </w:r>
      <w:r w:rsidR="00EE4FC3">
        <w:t xml:space="preserve"> </w:t>
      </w:r>
      <w:r w:rsidRPr="00382917">
        <w:t>of</w:t>
      </w:r>
      <w:r w:rsidR="00EE4FC3">
        <w:t xml:space="preserve"> </w:t>
      </w:r>
      <w:r w:rsidRPr="00382917">
        <w:t>the</w:t>
      </w:r>
      <w:r w:rsidR="00EE4FC3">
        <w:t xml:space="preserve"> </w:t>
      </w:r>
      <w:r w:rsidRPr="00382917">
        <w:t>humblest</w:t>
      </w:r>
      <w:r w:rsidR="00EE4FC3">
        <w:t xml:space="preserve"> </w:t>
      </w:r>
      <w:r w:rsidRPr="00382917">
        <w:t>of</w:t>
      </w:r>
      <w:r w:rsidR="00EE4FC3">
        <w:t xml:space="preserve"> </w:t>
      </w:r>
      <w:r w:rsidRPr="00382917">
        <w:t>the</w:t>
      </w:r>
      <w:r w:rsidR="00EE4FC3">
        <w:t xml:space="preserve"> </w:t>
      </w:r>
      <w:r w:rsidRPr="00382917">
        <w:t>Báb</w:t>
      </w:r>
      <w:r w:rsidR="009C713D" w:rsidRPr="00382917">
        <w:t>’</w:t>
      </w:r>
      <w:r w:rsidRPr="00382917">
        <w:t>s</w:t>
      </w:r>
      <w:r w:rsidR="00EE4FC3">
        <w:t xml:space="preserve"> </w:t>
      </w:r>
      <w:r w:rsidRPr="00382917">
        <w:t>friends.</w:t>
      </w:r>
      <w:r w:rsidR="009C713D" w:rsidRPr="00382917">
        <w:t>”</w:t>
      </w:r>
    </w:p>
    <w:p w:rsidR="00582826" w:rsidRPr="00382917" w:rsidRDefault="00582826" w:rsidP="00582826">
      <w:pPr>
        <w:pStyle w:val="Text"/>
      </w:pPr>
      <w:r w:rsidRPr="00382917">
        <w:t>The</w:t>
      </w:r>
      <w:r w:rsidR="00EE4FC3">
        <w:t xml:space="preserve"> </w:t>
      </w:r>
      <w:r w:rsidRPr="00382917">
        <w:t>Prime</w:t>
      </w:r>
      <w:r w:rsidR="00EE4FC3">
        <w:t xml:space="preserve"> </w:t>
      </w:r>
      <w:r w:rsidRPr="00382917">
        <w:t>Minister</w:t>
      </w:r>
      <w:r w:rsidR="00EE4FC3">
        <w:t xml:space="preserve"> </w:t>
      </w:r>
      <w:r w:rsidRPr="00382917">
        <w:t>himself</w:t>
      </w:r>
      <w:r w:rsidR="00EE4FC3">
        <w:t xml:space="preserve"> </w:t>
      </w:r>
      <w:r w:rsidRPr="00382917">
        <w:t>then</w:t>
      </w:r>
      <w:r w:rsidR="00EE4FC3">
        <w:t xml:space="preserve"> </w:t>
      </w:r>
      <w:r w:rsidRPr="00382917">
        <w:t>tried</w:t>
      </w:r>
      <w:r w:rsidR="00EE4FC3">
        <w:t xml:space="preserve"> </w:t>
      </w:r>
      <w:r w:rsidRPr="00382917">
        <w:t>to</w:t>
      </w:r>
      <w:r w:rsidR="00EE4FC3">
        <w:t xml:space="preserve"> </w:t>
      </w:r>
      <w:r w:rsidRPr="00382917">
        <w:t>show</w:t>
      </w:r>
      <w:r w:rsidR="00EE4FC3">
        <w:t xml:space="preserve"> </w:t>
      </w:r>
      <w:r w:rsidRPr="00382917">
        <w:t>Qurbán</w:t>
      </w:r>
      <w:r w:rsidR="00EE4FC3">
        <w:t xml:space="preserve"> </w:t>
      </w:r>
      <w:r w:rsidR="0040329F" w:rsidRPr="00382917">
        <w:t>‘Al</w:t>
      </w:r>
      <w:r w:rsidR="0040329F" w:rsidRPr="0040329F">
        <w:t>í</w:t>
      </w:r>
      <w:r w:rsidR="00EE4FC3">
        <w:t xml:space="preserve"> </w:t>
      </w:r>
      <w:r w:rsidRPr="00382917">
        <w:t>the</w:t>
      </w:r>
      <w:r w:rsidR="00EE4FC3">
        <w:t xml:space="preserve"> </w:t>
      </w:r>
      <w:r w:rsidRPr="00382917">
        <w:t>foolishness</w:t>
      </w:r>
      <w:r w:rsidR="00EE4FC3">
        <w:t xml:space="preserve"> </w:t>
      </w:r>
      <w:r w:rsidRPr="00382917">
        <w:t>of</w:t>
      </w:r>
      <w:r w:rsidR="00EE4FC3">
        <w:t xml:space="preserve"> </w:t>
      </w:r>
      <w:r w:rsidRPr="00382917">
        <w:t>such</w:t>
      </w:r>
      <w:r w:rsidR="00EE4FC3">
        <w:t xml:space="preserve"> </w:t>
      </w:r>
      <w:r w:rsidRPr="00382917">
        <w:t>a</w:t>
      </w:r>
      <w:r w:rsidR="00EE4FC3">
        <w:t xml:space="preserve"> </w:t>
      </w:r>
      <w:r w:rsidRPr="00382917">
        <w:t>stubborn</w:t>
      </w:r>
      <w:r w:rsidR="00EE4FC3">
        <w:t xml:space="preserve"> </w:t>
      </w:r>
      <w:r w:rsidRPr="00382917">
        <w:t>attitude.</w:t>
      </w:r>
    </w:p>
    <w:p w:rsidR="00582826" w:rsidRPr="00382917" w:rsidRDefault="009C713D" w:rsidP="007B319A">
      <w:pPr>
        <w:pStyle w:val="Text"/>
      </w:pPr>
      <w:r w:rsidRPr="00382917">
        <w:t>“</w:t>
      </w:r>
      <w:r w:rsidR="00582826" w:rsidRPr="00382917">
        <w:t>Since</w:t>
      </w:r>
      <w:r w:rsidR="00EE4FC3">
        <w:t xml:space="preserve"> </w:t>
      </w:r>
      <w:r w:rsidR="00582826" w:rsidRPr="00382917">
        <w:t>last</w:t>
      </w:r>
      <w:r w:rsidR="00EE4FC3">
        <w:t xml:space="preserve"> </w:t>
      </w:r>
      <w:r w:rsidR="00582826" w:rsidRPr="00382917">
        <w:t>night,</w:t>
      </w:r>
      <w:r w:rsidRPr="00382917">
        <w:t>”</w:t>
      </w:r>
      <w:r w:rsidR="00EE4FC3">
        <w:t xml:space="preserve"> </w:t>
      </w:r>
      <w:r w:rsidR="00582826" w:rsidRPr="00382917">
        <w:t>he</w:t>
      </w:r>
      <w:r w:rsidR="00EE4FC3">
        <w:t xml:space="preserve"> </w:t>
      </w:r>
      <w:r w:rsidR="00582826" w:rsidRPr="00382917">
        <w:t>said,</w:t>
      </w:r>
      <w:r w:rsidR="00EE4FC3">
        <w:t xml:space="preserve"> </w:t>
      </w:r>
      <w:r w:rsidRPr="00382917">
        <w:t>“</w:t>
      </w:r>
      <w:r w:rsidR="00582826" w:rsidRPr="00382917">
        <w:t>I</w:t>
      </w:r>
      <w:r w:rsidR="00EE4FC3">
        <w:t xml:space="preserve"> </w:t>
      </w:r>
      <w:r w:rsidR="00582826" w:rsidRPr="00382917">
        <w:t>have</w:t>
      </w:r>
      <w:r w:rsidR="00EE4FC3">
        <w:t xml:space="preserve"> </w:t>
      </w:r>
      <w:r w:rsidR="00582826" w:rsidRPr="00382917">
        <w:t>been</w:t>
      </w:r>
      <w:r w:rsidR="00EE4FC3">
        <w:t xml:space="preserve"> </w:t>
      </w:r>
      <w:r w:rsidR="00582826" w:rsidRPr="00382917">
        <w:t>swamped</w:t>
      </w:r>
      <w:r w:rsidR="00EE4FC3">
        <w:t xml:space="preserve"> </w:t>
      </w:r>
      <w:r w:rsidR="00582826" w:rsidRPr="00382917">
        <w:t>by</w:t>
      </w:r>
      <w:r w:rsidR="00EE4FC3">
        <w:t xml:space="preserve"> </w:t>
      </w:r>
      <w:r w:rsidR="00582826" w:rsidRPr="00382917">
        <w:t>all</w:t>
      </w:r>
      <w:r w:rsidR="00EE4FC3">
        <w:t xml:space="preserve"> </w:t>
      </w:r>
      <w:r w:rsidR="00582826" w:rsidRPr="00382917">
        <w:t>classes</w:t>
      </w:r>
      <w:r w:rsidR="00EE4FC3">
        <w:t xml:space="preserve"> </w:t>
      </w:r>
      <w:r w:rsidR="00582826" w:rsidRPr="00382917">
        <w:t>of</w:t>
      </w:r>
      <w:r w:rsidR="00EE4FC3">
        <w:t xml:space="preserve"> </w:t>
      </w:r>
      <w:r w:rsidR="00582826" w:rsidRPr="00382917">
        <w:t>state</w:t>
      </w:r>
      <w:r w:rsidR="00EE4FC3">
        <w:t xml:space="preserve"> </w:t>
      </w:r>
      <w:r w:rsidR="00582826" w:rsidRPr="00382917">
        <w:t>officials</w:t>
      </w:r>
      <w:r w:rsidR="0040329F">
        <w:t>.</w:t>
      </w:r>
      <w:r w:rsidR="00EE4FC3">
        <w:t xml:space="preserve">  </w:t>
      </w:r>
      <w:r w:rsidR="00582826" w:rsidRPr="00382917">
        <w:t>They</w:t>
      </w:r>
      <w:r w:rsidR="00EE4FC3">
        <w:t xml:space="preserve"> </w:t>
      </w:r>
      <w:r w:rsidR="00582826" w:rsidRPr="00382917">
        <w:t>are</w:t>
      </w:r>
      <w:r w:rsidR="00EE4FC3">
        <w:t xml:space="preserve"> </w:t>
      </w:r>
      <w:r w:rsidR="00582826" w:rsidRPr="00382917">
        <w:t>all</w:t>
      </w:r>
      <w:r w:rsidR="00EE4FC3">
        <w:t xml:space="preserve"> </w:t>
      </w:r>
      <w:r w:rsidR="00582826" w:rsidRPr="00382917">
        <w:t>vigorously</w:t>
      </w:r>
      <w:r w:rsidR="00EE4FC3">
        <w:t xml:space="preserve"> </w:t>
      </w:r>
      <w:r w:rsidR="00582826" w:rsidRPr="00382917">
        <w:t>speaking</w:t>
      </w:r>
      <w:r w:rsidR="00EE4FC3">
        <w:t xml:space="preserve"> </w:t>
      </w:r>
      <w:r w:rsidR="00582826" w:rsidRPr="00382917">
        <w:t>in</w:t>
      </w:r>
      <w:r w:rsidR="00EE4FC3">
        <w:t xml:space="preserve"> </w:t>
      </w:r>
      <w:r w:rsidR="00582826" w:rsidRPr="00382917">
        <w:t>your</w:t>
      </w:r>
      <w:r w:rsidR="00EE4FC3">
        <w:t xml:space="preserve"> </w:t>
      </w:r>
      <w:r w:rsidR="00582826" w:rsidRPr="00382917">
        <w:t>defen</w:t>
      </w:r>
      <w:r w:rsidR="007B319A" w:rsidRPr="00382917">
        <w:t>c</w:t>
      </w:r>
      <w:r w:rsidR="00582826" w:rsidRPr="00382917">
        <w:t>e</w:t>
      </w:r>
      <w:r w:rsidR="0040329F">
        <w:t>.</w:t>
      </w:r>
      <w:r w:rsidR="00EE4FC3">
        <w:t xml:space="preserve">  </w:t>
      </w:r>
      <w:r w:rsidR="00582826" w:rsidRPr="00382917">
        <w:t>From</w:t>
      </w:r>
      <w:r w:rsidR="00EE4FC3">
        <w:t xml:space="preserve"> </w:t>
      </w:r>
      <w:r w:rsidR="00582826" w:rsidRPr="00382917">
        <w:t>what</w:t>
      </w:r>
      <w:r w:rsidR="00EE4FC3">
        <w:t xml:space="preserve"> </w:t>
      </w:r>
      <w:r w:rsidR="00582826" w:rsidRPr="00382917">
        <w:t>I</w:t>
      </w:r>
      <w:r w:rsidR="00EE4FC3">
        <w:t xml:space="preserve"> </w:t>
      </w:r>
      <w:r w:rsidR="00582826" w:rsidRPr="00382917">
        <w:t>learn</w:t>
      </w:r>
      <w:r w:rsidR="00EE4FC3">
        <w:t xml:space="preserve"> </w:t>
      </w:r>
      <w:r w:rsidR="00582826" w:rsidRPr="00382917">
        <w:t>of</w:t>
      </w:r>
      <w:r w:rsidR="00EE4FC3">
        <w:t xml:space="preserve"> </w:t>
      </w:r>
      <w:r w:rsidR="00582826" w:rsidRPr="00382917">
        <w:t>the</w:t>
      </w:r>
      <w:r w:rsidR="00EE4FC3">
        <w:t xml:space="preserve"> </w:t>
      </w:r>
      <w:r w:rsidR="00582826" w:rsidRPr="00382917">
        <w:t>position</w:t>
      </w:r>
      <w:r w:rsidR="00EE4FC3">
        <w:t xml:space="preserve"> </w:t>
      </w:r>
      <w:r w:rsidR="00582826" w:rsidRPr="00382917">
        <w:t>you</w:t>
      </w:r>
      <w:r w:rsidR="00EE4FC3">
        <w:t xml:space="preserve"> </w:t>
      </w:r>
      <w:r w:rsidR="00582826" w:rsidRPr="00382917">
        <w:t>occupy</w:t>
      </w:r>
      <w:r w:rsidR="00EE4FC3">
        <w:t xml:space="preserve"> </w:t>
      </w:r>
      <w:r w:rsidR="00582826" w:rsidRPr="00382917">
        <w:t>and</w:t>
      </w:r>
      <w:r w:rsidR="00EE4FC3">
        <w:t xml:space="preserve"> </w:t>
      </w:r>
      <w:r w:rsidR="00582826" w:rsidRPr="00382917">
        <w:t>the</w:t>
      </w:r>
      <w:r w:rsidR="00EE4FC3">
        <w:t xml:space="preserve"> </w:t>
      </w:r>
      <w:r w:rsidR="00582826" w:rsidRPr="00382917">
        <w:t>influence</w:t>
      </w:r>
      <w:r w:rsidR="00EE4FC3">
        <w:t xml:space="preserve"> </w:t>
      </w:r>
      <w:r w:rsidR="00582826" w:rsidRPr="00382917">
        <w:t>your</w:t>
      </w:r>
      <w:r w:rsidR="00EE4FC3">
        <w:t xml:space="preserve"> </w:t>
      </w:r>
      <w:r w:rsidR="00582826" w:rsidRPr="00382917">
        <w:t>words</w:t>
      </w:r>
      <w:r w:rsidR="00EE4FC3">
        <w:t xml:space="preserve"> </w:t>
      </w:r>
      <w:r w:rsidR="00582826" w:rsidRPr="00382917">
        <w:t>exercise,</w:t>
      </w:r>
      <w:r w:rsidR="00EE4FC3">
        <w:t xml:space="preserve"> </w:t>
      </w:r>
      <w:r w:rsidR="00582826" w:rsidRPr="00382917">
        <w:t>I</w:t>
      </w:r>
      <w:r w:rsidR="00EE4FC3">
        <w:t xml:space="preserve"> </w:t>
      </w:r>
      <w:r w:rsidR="00582826" w:rsidRPr="00382917">
        <w:t>cannot</w:t>
      </w:r>
      <w:r w:rsidR="00EE4FC3">
        <w:t xml:space="preserve"> </w:t>
      </w:r>
      <w:r w:rsidR="00582826" w:rsidRPr="00382917">
        <w:t>understand</w:t>
      </w:r>
      <w:r w:rsidR="00EE4FC3">
        <w:t xml:space="preserve"> </w:t>
      </w:r>
      <w:r w:rsidR="00582826" w:rsidRPr="00382917">
        <w:t>your</w:t>
      </w:r>
      <w:r w:rsidR="00EE4FC3">
        <w:t xml:space="preserve"> </w:t>
      </w:r>
      <w:r w:rsidR="00582826" w:rsidRPr="00382917">
        <w:t>attitude</w:t>
      </w:r>
      <w:r w:rsidR="0040329F">
        <w:t>.</w:t>
      </w:r>
      <w:r w:rsidR="00EE4FC3">
        <w:t xml:space="preserve">  </w:t>
      </w:r>
      <w:r w:rsidR="00582826" w:rsidRPr="00382917">
        <w:t>If</w:t>
      </w:r>
      <w:r w:rsidR="00EE4FC3">
        <w:t xml:space="preserve"> </w:t>
      </w:r>
      <w:r w:rsidR="00582826" w:rsidRPr="00382917">
        <w:t>you</w:t>
      </w:r>
      <w:r w:rsidR="00EE4FC3">
        <w:t xml:space="preserve"> </w:t>
      </w:r>
      <w:r w:rsidR="00582826" w:rsidRPr="00382917">
        <w:t>had</w:t>
      </w:r>
      <w:r w:rsidR="00EE4FC3">
        <w:t xml:space="preserve"> </w:t>
      </w:r>
      <w:r w:rsidR="00582826" w:rsidRPr="00382917">
        <w:t>claimed</w:t>
      </w:r>
      <w:r w:rsidR="00EE4FC3">
        <w:t xml:space="preserve"> </w:t>
      </w:r>
      <w:r w:rsidR="00582826" w:rsidRPr="00382917">
        <w:t>such</w:t>
      </w:r>
      <w:r w:rsidR="00EE4FC3">
        <w:t xml:space="preserve"> </w:t>
      </w:r>
      <w:r w:rsidR="00582826" w:rsidRPr="00382917">
        <w:t>leadership</w:t>
      </w:r>
      <w:r w:rsidR="00EE4FC3">
        <w:t xml:space="preserve"> </w:t>
      </w:r>
      <w:r w:rsidR="00582826" w:rsidRPr="00382917">
        <w:t>for</w:t>
      </w:r>
      <w:r w:rsidR="00EE4FC3">
        <w:t xml:space="preserve"> </w:t>
      </w:r>
      <w:r w:rsidR="00582826" w:rsidRPr="00382917">
        <w:t>yourself,</w:t>
      </w:r>
      <w:r w:rsidR="00EE4FC3">
        <w:t xml:space="preserve"> </w:t>
      </w:r>
      <w:r w:rsidR="00582826" w:rsidRPr="00382917">
        <w:t>it</w:t>
      </w:r>
      <w:r w:rsidR="00EE4FC3">
        <w:t xml:space="preserve"> </w:t>
      </w:r>
      <w:r w:rsidR="00582826" w:rsidRPr="00382917">
        <w:t>would</w:t>
      </w:r>
      <w:r w:rsidR="00EE4FC3">
        <w:t xml:space="preserve"> </w:t>
      </w:r>
      <w:r w:rsidR="00582826" w:rsidRPr="00382917">
        <w:t>have</w:t>
      </w:r>
      <w:r w:rsidR="00EE4FC3">
        <w:t xml:space="preserve"> </w:t>
      </w:r>
      <w:r w:rsidR="00582826" w:rsidRPr="00382917">
        <w:t>been</w:t>
      </w:r>
      <w:r w:rsidR="00EE4FC3">
        <w:t xml:space="preserve"> </w:t>
      </w:r>
      <w:r w:rsidR="00582826" w:rsidRPr="00382917">
        <w:t>better</w:t>
      </w:r>
      <w:r w:rsidR="00EE4FC3">
        <w:t xml:space="preserve"> </w:t>
      </w:r>
      <w:r w:rsidR="00582826" w:rsidRPr="00382917">
        <w:t>for</w:t>
      </w:r>
      <w:r w:rsidR="00EE4FC3">
        <w:t xml:space="preserve"> </w:t>
      </w:r>
      <w:r w:rsidR="00582826" w:rsidRPr="00382917">
        <w:t>you</w:t>
      </w:r>
      <w:r w:rsidR="0040329F">
        <w:t>.</w:t>
      </w:r>
      <w:r w:rsidR="00EE4FC3">
        <w:t xml:space="preserve">  </w:t>
      </w:r>
      <w:r w:rsidR="00582826" w:rsidRPr="00382917">
        <w:t>Far</w:t>
      </w:r>
      <w:r w:rsidR="00EE4FC3">
        <w:t xml:space="preserve"> </w:t>
      </w:r>
      <w:r w:rsidR="00582826" w:rsidRPr="00382917">
        <w:t>better</w:t>
      </w:r>
      <w:r w:rsidR="00EE4FC3">
        <w:t xml:space="preserve"> </w:t>
      </w:r>
      <w:r w:rsidR="00582826" w:rsidRPr="00382917">
        <w:t>than</w:t>
      </w:r>
      <w:r w:rsidR="00EE4FC3">
        <w:t xml:space="preserve"> </w:t>
      </w:r>
      <w:r w:rsidR="00582826" w:rsidRPr="00382917">
        <w:t>declaring</w:t>
      </w:r>
      <w:r w:rsidR="00EE4FC3">
        <w:t xml:space="preserve"> </w:t>
      </w:r>
      <w:r w:rsidR="00582826" w:rsidRPr="00382917">
        <w:t>your</w:t>
      </w:r>
      <w:r w:rsidR="00EE4FC3">
        <w:t xml:space="preserve"> </w:t>
      </w:r>
      <w:r w:rsidR="00582826" w:rsidRPr="00382917">
        <w:t>allegiance</w:t>
      </w:r>
      <w:r w:rsidR="00EE4FC3">
        <w:t xml:space="preserve"> </w:t>
      </w:r>
      <w:r w:rsidR="00582826" w:rsidRPr="00382917">
        <w:t>to</w:t>
      </w:r>
      <w:r w:rsidR="00EE4FC3">
        <w:t xml:space="preserve"> </w:t>
      </w:r>
      <w:r w:rsidR="00582826" w:rsidRPr="00382917">
        <w:t>one</w:t>
      </w:r>
      <w:r w:rsidR="00EE4FC3">
        <w:t xml:space="preserve"> </w:t>
      </w:r>
      <w:r w:rsidR="00582826" w:rsidRPr="00382917">
        <w:t>who</w:t>
      </w:r>
      <w:r w:rsidR="00EE4FC3">
        <w:t xml:space="preserve"> </w:t>
      </w:r>
      <w:r w:rsidR="00582826" w:rsidRPr="00382917">
        <w:t>is</w:t>
      </w:r>
      <w:r w:rsidR="00EE4FC3">
        <w:t xml:space="preserve"> </w:t>
      </w:r>
      <w:r w:rsidR="00582826" w:rsidRPr="00382917">
        <w:t>obviously</w:t>
      </w:r>
      <w:r w:rsidR="00EE4FC3">
        <w:t xml:space="preserve"> </w:t>
      </w:r>
      <w:r w:rsidR="00582826" w:rsidRPr="00382917">
        <w:t>inferior</w:t>
      </w:r>
      <w:r w:rsidR="00EE4FC3">
        <w:t xml:space="preserve"> </w:t>
      </w:r>
      <w:r w:rsidR="00582826" w:rsidRPr="00382917">
        <w:t>to</w:t>
      </w:r>
      <w:r w:rsidR="00EE4FC3">
        <w:t xml:space="preserve"> </w:t>
      </w:r>
      <w:r w:rsidR="00582826" w:rsidRPr="00382917">
        <w:t>you</w:t>
      </w:r>
      <w:r w:rsidR="00EE4FC3">
        <w:t xml:space="preserve"> </w:t>
      </w:r>
      <w:r w:rsidR="00582826" w:rsidRPr="00382917">
        <w:t>in</w:t>
      </w:r>
      <w:r w:rsidR="00EE4FC3">
        <w:t xml:space="preserve"> </w:t>
      </w:r>
      <w:r w:rsidR="00582826" w:rsidRPr="00382917">
        <w:t>knowledge.</w:t>
      </w:r>
      <w:r w:rsidRPr="00382917">
        <w:t>”</w:t>
      </w:r>
    </w:p>
    <w:p w:rsidR="00582826" w:rsidRPr="00382917" w:rsidRDefault="00582826" w:rsidP="00834835">
      <w:pPr>
        <w:pStyle w:val="Text"/>
      </w:pPr>
      <w:r w:rsidRPr="00382917">
        <w:t>Qurbán</w:t>
      </w:r>
      <w:r w:rsidR="00EE4FC3">
        <w:t xml:space="preserve"> </w:t>
      </w:r>
      <w:r w:rsidR="0040329F" w:rsidRPr="00382917">
        <w:t>‘Al</w:t>
      </w:r>
      <w:r w:rsidR="0040329F" w:rsidRPr="0040329F">
        <w:t>í</w:t>
      </w:r>
      <w:r w:rsidR="00EE4FC3">
        <w:t xml:space="preserve"> </w:t>
      </w:r>
      <w:r w:rsidRPr="00382917">
        <w:t>shook</w:t>
      </w:r>
      <w:r w:rsidR="00EE4FC3">
        <w:t xml:space="preserve"> </w:t>
      </w:r>
      <w:r w:rsidRPr="00382917">
        <w:t>his</w:t>
      </w:r>
      <w:r w:rsidR="00EE4FC3">
        <w:t xml:space="preserve"> </w:t>
      </w:r>
      <w:r w:rsidRPr="00382917">
        <w:t>head</w:t>
      </w:r>
      <w:r w:rsidR="0040329F">
        <w:t>.</w:t>
      </w:r>
      <w:r w:rsidR="00EE4FC3">
        <w:t xml:space="preserve">  </w:t>
      </w:r>
      <w:r w:rsidR="009C713D" w:rsidRPr="00382917">
        <w:t>“</w:t>
      </w:r>
      <w:r w:rsidRPr="00382917">
        <w:t>That</w:t>
      </w:r>
      <w:r w:rsidR="00EE4FC3">
        <w:t xml:space="preserve"> </w:t>
      </w:r>
      <w:r w:rsidRPr="00382917">
        <w:t>is</w:t>
      </w:r>
      <w:r w:rsidR="00EE4FC3">
        <w:t xml:space="preserve"> </w:t>
      </w:r>
      <w:r w:rsidRPr="00382917">
        <w:t>not</w:t>
      </w:r>
      <w:r w:rsidR="00EE4FC3">
        <w:t xml:space="preserve"> </w:t>
      </w:r>
      <w:r w:rsidRPr="00382917">
        <w:t>so,</w:t>
      </w:r>
      <w:r w:rsidR="009C713D" w:rsidRPr="00382917">
        <w:t>”</w:t>
      </w:r>
      <w:r w:rsidR="00EE4FC3">
        <w:t xml:space="preserve"> </w:t>
      </w:r>
      <w:r w:rsidRPr="00382917">
        <w:t>he</w:t>
      </w:r>
      <w:r w:rsidR="00EE4FC3">
        <w:t xml:space="preserve"> </w:t>
      </w:r>
      <w:r w:rsidRPr="00382917">
        <w:t>told</w:t>
      </w:r>
      <w:r w:rsidR="00EE4FC3">
        <w:t xml:space="preserve"> </w:t>
      </w:r>
      <w:r w:rsidRPr="00382917">
        <w:t>him</w:t>
      </w:r>
      <w:r w:rsidR="0040329F">
        <w:t>.</w:t>
      </w:r>
      <w:r w:rsidR="00EE4FC3">
        <w:t xml:space="preserve">  </w:t>
      </w:r>
      <w:r w:rsidR="009C713D" w:rsidRPr="00382917">
        <w:t>“</w:t>
      </w:r>
      <w:r w:rsidRPr="00382917">
        <w:t>All</w:t>
      </w:r>
      <w:r w:rsidR="00EE4FC3">
        <w:t xml:space="preserve"> </w:t>
      </w:r>
      <w:r w:rsidRPr="00382917">
        <w:t>of</w:t>
      </w:r>
      <w:r w:rsidR="00EE4FC3">
        <w:t xml:space="preserve"> </w:t>
      </w:r>
      <w:r w:rsidRPr="00382917">
        <w:t>the</w:t>
      </w:r>
      <w:r w:rsidR="00EE4FC3">
        <w:t xml:space="preserve"> </w:t>
      </w:r>
      <w:r w:rsidRPr="00382917">
        <w:t>knowledge</w:t>
      </w:r>
      <w:r w:rsidR="00EE4FC3">
        <w:t xml:space="preserve"> </w:t>
      </w:r>
      <w:r w:rsidRPr="00382917">
        <w:t>which</w:t>
      </w:r>
      <w:r w:rsidR="00EE4FC3">
        <w:t xml:space="preserve"> </w:t>
      </w:r>
      <w:r w:rsidRPr="00382917">
        <w:t>I</w:t>
      </w:r>
      <w:r w:rsidR="00EE4FC3">
        <w:t xml:space="preserve"> </w:t>
      </w:r>
      <w:r w:rsidRPr="00382917">
        <w:t>have</w:t>
      </w:r>
      <w:r w:rsidR="00EE4FC3">
        <w:t xml:space="preserve"> </w:t>
      </w:r>
      <w:r w:rsidRPr="00382917">
        <w:t>acquired</w:t>
      </w:r>
      <w:r w:rsidR="00EE4FC3">
        <w:t xml:space="preserve"> </w:t>
      </w:r>
      <w:r w:rsidRPr="00382917">
        <w:t>has</w:t>
      </w:r>
      <w:r w:rsidR="00EE4FC3">
        <w:t xml:space="preserve"> </w:t>
      </w:r>
      <w:r w:rsidRPr="00382917">
        <w:t>led</w:t>
      </w:r>
      <w:r w:rsidR="00EE4FC3">
        <w:t xml:space="preserve"> </w:t>
      </w:r>
      <w:r w:rsidRPr="00382917">
        <w:t>me</w:t>
      </w:r>
      <w:r w:rsidR="00EE4FC3">
        <w:t xml:space="preserve"> </w:t>
      </w:r>
      <w:r w:rsidRPr="00382917">
        <w:t>to</w:t>
      </w:r>
      <w:r w:rsidR="00EE4FC3">
        <w:t xml:space="preserve"> </w:t>
      </w:r>
      <w:r w:rsidRPr="00382917">
        <w:t>recognize</w:t>
      </w:r>
      <w:r w:rsidR="00EE4FC3">
        <w:t xml:space="preserve"> </w:t>
      </w:r>
      <w:r w:rsidRPr="00382917">
        <w:t>Him</w:t>
      </w:r>
      <w:r w:rsidR="00EE4FC3">
        <w:t xml:space="preserve"> </w:t>
      </w:r>
      <w:r w:rsidRPr="00382917">
        <w:t>and</w:t>
      </w:r>
      <w:r w:rsidR="00EE4FC3">
        <w:t xml:space="preserve"> </w:t>
      </w:r>
      <w:r w:rsidRPr="00382917">
        <w:t>bow</w:t>
      </w:r>
      <w:r w:rsidR="00EE4FC3">
        <w:t xml:space="preserve"> </w:t>
      </w:r>
      <w:r w:rsidRPr="00382917">
        <w:t>down</w:t>
      </w:r>
      <w:r w:rsidR="00EE4FC3">
        <w:t xml:space="preserve"> </w:t>
      </w:r>
      <w:r w:rsidRPr="00382917">
        <w:t>before</w:t>
      </w:r>
      <w:r w:rsidR="00EE4FC3">
        <w:t xml:space="preserve"> </w:t>
      </w:r>
      <w:r w:rsidRPr="00382917">
        <w:t>Him</w:t>
      </w:r>
      <w:r w:rsidR="0040329F">
        <w:t>.</w:t>
      </w:r>
      <w:r w:rsidR="00EE4FC3">
        <w:t xml:space="preserve">  </w:t>
      </w:r>
      <w:r w:rsidRPr="00382917">
        <w:t>I</w:t>
      </w:r>
      <w:r w:rsidR="00EE4FC3">
        <w:t xml:space="preserve"> </w:t>
      </w:r>
      <w:r w:rsidRPr="00382917">
        <w:t>have</w:t>
      </w:r>
      <w:r w:rsidR="00EE4FC3">
        <w:t xml:space="preserve"> </w:t>
      </w:r>
      <w:r w:rsidRPr="00382917">
        <w:t>judged</w:t>
      </w:r>
      <w:r w:rsidR="00EE4FC3">
        <w:t xml:space="preserve"> </w:t>
      </w:r>
      <w:r w:rsidRPr="00382917">
        <w:t>Him</w:t>
      </w:r>
      <w:r w:rsidR="00EE4FC3">
        <w:t xml:space="preserve"> </w:t>
      </w:r>
      <w:r w:rsidRPr="00382917">
        <w:t>fairly</w:t>
      </w:r>
      <w:r w:rsidR="0040329F">
        <w:t>.</w:t>
      </w:r>
      <w:r w:rsidR="00EE4FC3">
        <w:t xml:space="preserve">  </w:t>
      </w:r>
      <w:r w:rsidRPr="00382917">
        <w:t>If</w:t>
      </w:r>
      <w:r w:rsidR="00EE4FC3">
        <w:t xml:space="preserve"> </w:t>
      </w:r>
      <w:r w:rsidRPr="00382917">
        <w:t>the</w:t>
      </w:r>
      <w:r w:rsidR="00EE4FC3">
        <w:t xml:space="preserve"> </w:t>
      </w:r>
      <w:r w:rsidRPr="00382917">
        <w:t>Báb</w:t>
      </w:r>
      <w:r w:rsidR="00EE4FC3">
        <w:t xml:space="preserve"> </w:t>
      </w:r>
      <w:r w:rsidRPr="00382917">
        <w:t>is</w:t>
      </w:r>
      <w:r w:rsidR="00EE4FC3">
        <w:t xml:space="preserve"> </w:t>
      </w:r>
      <w:r w:rsidRPr="00382917">
        <w:t>false,</w:t>
      </w:r>
      <w:r w:rsidR="00EE4FC3">
        <w:t xml:space="preserve"> </w:t>
      </w:r>
      <w:r w:rsidRPr="00382917">
        <w:t>then</w:t>
      </w:r>
      <w:r w:rsidR="00EE4FC3">
        <w:t xml:space="preserve"> </w:t>
      </w:r>
      <w:r w:rsidRPr="00382917">
        <w:t>every</w:t>
      </w:r>
      <w:r w:rsidR="00EE4FC3">
        <w:t xml:space="preserve"> </w:t>
      </w:r>
      <w:r w:rsidRPr="00382917">
        <w:t>Prophet</w:t>
      </w:r>
      <w:r w:rsidR="00EE4FC3">
        <w:t xml:space="preserve"> </w:t>
      </w:r>
      <w:r w:rsidRPr="00382917">
        <w:t>from</w:t>
      </w:r>
      <w:r w:rsidR="00EE4FC3">
        <w:t xml:space="preserve"> </w:t>
      </w:r>
      <w:r w:rsidRPr="00382917">
        <w:t>the</w:t>
      </w:r>
      <w:r w:rsidR="00EE4FC3">
        <w:t xml:space="preserve"> </w:t>
      </w:r>
      <w:r w:rsidRPr="00382917">
        <w:t>beginning</w:t>
      </w:r>
      <w:r w:rsidR="00EE4FC3">
        <w:t xml:space="preserve"> </w:t>
      </w:r>
      <w:r w:rsidRPr="00382917">
        <w:t>of</w:t>
      </w:r>
      <w:r w:rsidR="00EE4FC3">
        <w:t xml:space="preserve"> </w:t>
      </w:r>
      <w:r w:rsidRPr="00382917">
        <w:t>time</w:t>
      </w:r>
      <w:r w:rsidR="00EE4FC3">
        <w:t xml:space="preserve"> </w:t>
      </w:r>
      <w:r w:rsidRPr="00382917">
        <w:t>until</w:t>
      </w:r>
      <w:r w:rsidR="00EE4FC3">
        <w:t xml:space="preserve"> </w:t>
      </w:r>
      <w:r w:rsidRPr="00382917">
        <w:t>this</w:t>
      </w:r>
      <w:r w:rsidR="00EE4FC3">
        <w:t xml:space="preserve"> </w:t>
      </w:r>
      <w:r w:rsidRPr="00382917">
        <w:t>very</w:t>
      </w:r>
      <w:r w:rsidR="00EE4FC3">
        <w:t xml:space="preserve"> </w:t>
      </w:r>
      <w:r w:rsidRPr="00382917">
        <w:t>day</w:t>
      </w:r>
      <w:r w:rsidR="00EE4FC3">
        <w:t xml:space="preserve"> </w:t>
      </w:r>
      <w:r w:rsidRPr="00382917">
        <w:t>is</w:t>
      </w:r>
      <w:r w:rsidR="00EE4FC3">
        <w:t xml:space="preserve"> </w:t>
      </w:r>
      <w:r w:rsidRPr="00382917">
        <w:t>false.</w:t>
      </w:r>
      <w:r w:rsidR="009C713D" w:rsidRPr="00382917">
        <w:t>”</w:t>
      </w:r>
      <w:r w:rsidR="00834835">
        <w:rPr>
          <w:rStyle w:val="FootnoteReference"/>
        </w:rPr>
        <w:footnoteReference w:id="181"/>
      </w:r>
    </w:p>
    <w:p w:rsidR="00582826" w:rsidRPr="00382917" w:rsidRDefault="00582826" w:rsidP="00582826">
      <w:pPr>
        <w:pStyle w:val="Text"/>
      </w:pPr>
      <w:r w:rsidRPr="00382917">
        <w:t>The</w:t>
      </w:r>
      <w:r w:rsidR="00EE4FC3">
        <w:t xml:space="preserve"> </w:t>
      </w:r>
      <w:r w:rsidRPr="00382917">
        <w:t>king</w:t>
      </w:r>
      <w:r w:rsidR="00EE4FC3">
        <w:t xml:space="preserve"> </w:t>
      </w:r>
      <w:r w:rsidRPr="00382917">
        <w:t>and</w:t>
      </w:r>
      <w:r w:rsidR="00EE4FC3">
        <w:t xml:space="preserve"> </w:t>
      </w:r>
      <w:r w:rsidRPr="00382917">
        <w:t>his</w:t>
      </w:r>
      <w:r w:rsidR="00EE4FC3">
        <w:t xml:space="preserve"> </w:t>
      </w:r>
      <w:r w:rsidRPr="00382917">
        <w:t>mother</w:t>
      </w:r>
      <w:r w:rsidR="00EE4FC3">
        <w:t xml:space="preserve"> </w:t>
      </w:r>
      <w:r w:rsidRPr="00382917">
        <w:t>each</w:t>
      </w:r>
      <w:r w:rsidR="00EE4FC3">
        <w:t xml:space="preserve"> </w:t>
      </w:r>
      <w:r w:rsidRPr="00382917">
        <w:t>in</w:t>
      </w:r>
      <w:r w:rsidR="00EE4FC3">
        <w:t xml:space="preserve"> </w:t>
      </w:r>
      <w:r w:rsidRPr="00382917">
        <w:t>turn</w:t>
      </w:r>
      <w:r w:rsidR="00EE4FC3">
        <w:t xml:space="preserve"> </w:t>
      </w:r>
      <w:r w:rsidRPr="00382917">
        <w:t>tried</w:t>
      </w:r>
      <w:r w:rsidR="00EE4FC3">
        <w:t xml:space="preserve"> </w:t>
      </w:r>
      <w:r w:rsidRPr="00382917">
        <w:t>to</w:t>
      </w:r>
      <w:r w:rsidR="00EE4FC3">
        <w:t xml:space="preserve"> </w:t>
      </w:r>
      <w:r w:rsidRPr="00382917">
        <w:t>sway</w:t>
      </w:r>
      <w:r w:rsidR="00EE4FC3">
        <w:t xml:space="preserve"> </w:t>
      </w:r>
      <w:r w:rsidRPr="00382917">
        <w:t>Qurbán</w:t>
      </w:r>
      <w:r w:rsidR="00EE4FC3">
        <w:t xml:space="preserve"> </w:t>
      </w:r>
      <w:r w:rsidR="0040329F" w:rsidRPr="00382917">
        <w:t>‘Al</w:t>
      </w:r>
      <w:r w:rsidR="0040329F" w:rsidRPr="0040329F">
        <w:t>í</w:t>
      </w:r>
      <w:r w:rsidR="00EE4FC3">
        <w:t xml:space="preserve"> </w:t>
      </w:r>
      <w:r w:rsidRPr="00382917">
        <w:t>from</w:t>
      </w:r>
      <w:r w:rsidR="00EE4FC3">
        <w:t xml:space="preserve"> </w:t>
      </w:r>
      <w:r w:rsidRPr="00382917">
        <w:t>his</w:t>
      </w:r>
      <w:r w:rsidR="00EE4FC3">
        <w:t xml:space="preserve"> </w:t>
      </w:r>
      <w:r w:rsidRPr="00382917">
        <w:t>belief,</w:t>
      </w:r>
      <w:r w:rsidR="00EE4FC3">
        <w:t xml:space="preserve"> </w:t>
      </w:r>
      <w:r w:rsidRPr="00382917">
        <w:t>but</w:t>
      </w:r>
      <w:r w:rsidR="00EE4FC3">
        <w:t xml:space="preserve"> </w:t>
      </w:r>
      <w:r w:rsidRPr="00382917">
        <w:t>neither</w:t>
      </w:r>
      <w:r w:rsidR="00EE4FC3">
        <w:t xml:space="preserve"> </w:t>
      </w:r>
      <w:r w:rsidRPr="00382917">
        <w:t>the</w:t>
      </w:r>
      <w:r w:rsidR="00EE4FC3">
        <w:t xml:space="preserve"> </w:t>
      </w:r>
      <w:r w:rsidRPr="00382917">
        <w:t>sweetness</w:t>
      </w:r>
      <w:r w:rsidR="00EE4FC3">
        <w:t xml:space="preserve"> </w:t>
      </w:r>
      <w:r w:rsidRPr="00382917">
        <w:t>of</w:t>
      </w:r>
      <w:r w:rsidR="00EE4FC3">
        <w:t xml:space="preserve"> </w:t>
      </w:r>
      <w:r w:rsidRPr="00382917">
        <w:t>bribes</w:t>
      </w:r>
      <w:r w:rsidR="00EE4FC3">
        <w:t xml:space="preserve"> </w:t>
      </w:r>
      <w:r w:rsidRPr="00382917">
        <w:t>nor</w:t>
      </w:r>
      <w:r w:rsidR="00EE4FC3">
        <w:t xml:space="preserve"> </w:t>
      </w:r>
      <w:r w:rsidRPr="00382917">
        <w:t>the</w:t>
      </w:r>
      <w:r w:rsidR="00EE4FC3">
        <w:t xml:space="preserve"> </w:t>
      </w:r>
      <w:r w:rsidRPr="00382917">
        <w:t>threat</w:t>
      </w:r>
      <w:r w:rsidR="00EE4FC3">
        <w:t xml:space="preserve"> </w:t>
      </w:r>
      <w:r w:rsidRPr="00382917">
        <w:t>of</w:t>
      </w:r>
      <w:r w:rsidR="00EE4FC3">
        <w:t xml:space="preserve"> </w:t>
      </w:r>
      <w:r w:rsidRPr="00382917">
        <w:t>death</w:t>
      </w:r>
      <w:r w:rsidR="00EE4FC3">
        <w:t xml:space="preserve"> </w:t>
      </w:r>
      <w:r w:rsidRPr="00382917">
        <w:t>had</w:t>
      </w:r>
      <w:r w:rsidR="00EE4FC3">
        <w:t xml:space="preserve"> </w:t>
      </w:r>
      <w:r w:rsidRPr="00382917">
        <w:t>any</w:t>
      </w:r>
      <w:r w:rsidR="00EE4FC3">
        <w:t xml:space="preserve"> </w:t>
      </w:r>
      <w:r w:rsidRPr="00382917">
        <w:t>effect</w:t>
      </w:r>
      <w:r w:rsidR="0040329F">
        <w:t>.</w:t>
      </w:r>
      <w:r w:rsidR="00EE4FC3">
        <w:t xml:space="preserve">  </w:t>
      </w:r>
      <w:r w:rsidRPr="00382917">
        <w:t>The</w:t>
      </w:r>
      <w:r w:rsidR="00EE4FC3">
        <w:t xml:space="preserve"> </w:t>
      </w:r>
      <w:r w:rsidRPr="00382917">
        <w:t>treasure</w:t>
      </w:r>
      <w:r w:rsidR="00EE4FC3">
        <w:t xml:space="preserve"> </w:t>
      </w:r>
      <w:r w:rsidRPr="00382917">
        <w:t>which</w:t>
      </w:r>
      <w:r w:rsidR="00EE4FC3">
        <w:t xml:space="preserve"> </w:t>
      </w:r>
      <w:r w:rsidRPr="00382917">
        <w:t>the</w:t>
      </w:r>
      <w:r w:rsidR="00EE4FC3">
        <w:t xml:space="preserve"> </w:t>
      </w:r>
      <w:r w:rsidRPr="00382917">
        <w:t>Báb</w:t>
      </w:r>
      <w:r w:rsidR="00EE4FC3">
        <w:t xml:space="preserve"> </w:t>
      </w:r>
      <w:r w:rsidRPr="00382917">
        <w:t>offered</w:t>
      </w:r>
      <w:r w:rsidR="00EE4FC3">
        <w:t xml:space="preserve"> </w:t>
      </w:r>
      <w:r w:rsidRPr="00382917">
        <w:t>him,</w:t>
      </w:r>
      <w:r w:rsidR="00EE4FC3">
        <w:t xml:space="preserve"> </w:t>
      </w:r>
      <w:r w:rsidRPr="00382917">
        <w:t>he</w:t>
      </w:r>
      <w:r w:rsidR="00EE4FC3">
        <w:t xml:space="preserve"> </w:t>
      </w:r>
      <w:r w:rsidRPr="00382917">
        <w:t>told</w:t>
      </w:r>
      <w:r w:rsidR="00EE4FC3">
        <w:t xml:space="preserve"> </w:t>
      </w:r>
      <w:r w:rsidRPr="00382917">
        <w:t>them</w:t>
      </w:r>
      <w:r w:rsidR="00EE4FC3">
        <w:t xml:space="preserve"> </w:t>
      </w:r>
      <w:r w:rsidRPr="00382917">
        <w:t>was</w:t>
      </w:r>
      <w:r w:rsidR="00EE4FC3">
        <w:t xml:space="preserve"> </w:t>
      </w:r>
      <w:r w:rsidRPr="00382917">
        <w:t>of</w:t>
      </w:r>
      <w:r w:rsidR="00EE4FC3">
        <w:t xml:space="preserve"> </w:t>
      </w:r>
      <w:r w:rsidRPr="00382917">
        <w:t>a</w:t>
      </w:r>
      <w:r w:rsidR="00EE4FC3">
        <w:t xml:space="preserve"> </w:t>
      </w:r>
      <w:r w:rsidRPr="00382917">
        <w:t>matchless</w:t>
      </w:r>
      <w:r w:rsidR="00EE4FC3">
        <w:t xml:space="preserve"> </w:t>
      </w:r>
      <w:r w:rsidRPr="00382917">
        <w:t>kind</w:t>
      </w:r>
      <w:r w:rsidR="0040329F">
        <w:t>.</w:t>
      </w:r>
      <w:r w:rsidR="00EE4FC3">
        <w:t xml:space="preserve">  </w:t>
      </w:r>
      <w:r w:rsidRPr="00382917">
        <w:t>Seeing</w:t>
      </w:r>
      <w:r w:rsidR="00EE4FC3">
        <w:t xml:space="preserve"> </w:t>
      </w:r>
      <w:r w:rsidRPr="00382917">
        <w:t>their</w:t>
      </w:r>
      <w:r w:rsidR="00EE4FC3">
        <w:t xml:space="preserve"> </w:t>
      </w:r>
      <w:r w:rsidRPr="00382917">
        <w:t>astonishment</w:t>
      </w:r>
      <w:r w:rsidR="00EE4FC3">
        <w:t xml:space="preserve"> </w:t>
      </w:r>
      <w:r w:rsidRPr="00382917">
        <w:t>at</w:t>
      </w:r>
      <w:r w:rsidR="00EE4FC3">
        <w:t xml:space="preserve"> </w:t>
      </w:r>
      <w:r w:rsidRPr="00382917">
        <w:t>his</w:t>
      </w:r>
      <w:r w:rsidR="00EE4FC3">
        <w:t xml:space="preserve"> </w:t>
      </w:r>
      <w:r w:rsidRPr="00382917">
        <w:t>refusal</w:t>
      </w:r>
      <w:r w:rsidR="00EE4FC3">
        <w:t xml:space="preserve"> </w:t>
      </w:r>
      <w:r w:rsidRPr="00382917">
        <w:t>to</w:t>
      </w:r>
      <w:r w:rsidR="00EE4FC3">
        <w:t xml:space="preserve"> </w:t>
      </w:r>
      <w:r w:rsidRPr="00382917">
        <w:t>accept</w:t>
      </w:r>
      <w:r w:rsidR="00EE4FC3">
        <w:t xml:space="preserve"> </w:t>
      </w:r>
      <w:proofErr w:type="spellStart"/>
      <w:r w:rsidRPr="00382917">
        <w:t>honors</w:t>
      </w:r>
      <w:proofErr w:type="spellEnd"/>
      <w:r w:rsidR="00EE4FC3">
        <w:t xml:space="preserve"> </w:t>
      </w:r>
      <w:r w:rsidRPr="00382917">
        <w:t>and</w:t>
      </w:r>
      <w:r w:rsidR="00EE4FC3">
        <w:t xml:space="preserve"> </w:t>
      </w:r>
      <w:r w:rsidRPr="00382917">
        <w:t>riches</w:t>
      </w:r>
      <w:r w:rsidR="00EE4FC3">
        <w:t xml:space="preserve"> </w:t>
      </w:r>
      <w:r w:rsidRPr="00382917">
        <w:t>in</w:t>
      </w:r>
      <w:r w:rsidR="00EE4FC3">
        <w:t xml:space="preserve"> </w:t>
      </w:r>
      <w:r w:rsidRPr="00382917">
        <w:t>place</w:t>
      </w:r>
      <w:r w:rsidR="00EE4FC3">
        <w:t xml:space="preserve"> </w:t>
      </w:r>
      <w:r w:rsidRPr="00382917">
        <w:t>of</w:t>
      </w:r>
      <w:r w:rsidR="00EE4FC3">
        <w:t xml:space="preserve"> </w:t>
      </w:r>
      <w:r w:rsidRPr="00382917">
        <w:t>death,</w:t>
      </w:r>
      <w:r w:rsidR="00EE4FC3">
        <w:t xml:space="preserve"> </w:t>
      </w:r>
      <w:r w:rsidRPr="00382917">
        <w:t>he</w:t>
      </w:r>
      <w:r w:rsidR="00EE4FC3">
        <w:t xml:space="preserve"> </w:t>
      </w:r>
      <w:r w:rsidRPr="00382917">
        <w:t>tried</w:t>
      </w:r>
      <w:r w:rsidR="00EE4FC3">
        <w:t xml:space="preserve"> </w:t>
      </w:r>
      <w:r w:rsidRPr="00382917">
        <w:t>to</w:t>
      </w:r>
      <w:r w:rsidR="00EE4FC3">
        <w:t xml:space="preserve"> </w:t>
      </w:r>
      <w:r w:rsidRPr="00382917">
        <w:t>explain.</w:t>
      </w:r>
    </w:p>
    <w:p w:rsidR="00582826" w:rsidRPr="00382917" w:rsidRDefault="009C713D" w:rsidP="00582826">
      <w:pPr>
        <w:pStyle w:val="Text"/>
      </w:pPr>
      <w:r w:rsidRPr="00382917">
        <w:t>“</w:t>
      </w:r>
      <w:r w:rsidR="00582826" w:rsidRPr="00382917">
        <w:t>I</w:t>
      </w:r>
      <w:r w:rsidR="00EE4FC3">
        <w:t xml:space="preserve"> </w:t>
      </w:r>
      <w:r w:rsidR="00582826" w:rsidRPr="00382917">
        <w:t>have</w:t>
      </w:r>
      <w:r w:rsidR="00EE4FC3">
        <w:t xml:space="preserve"> </w:t>
      </w:r>
      <w:r w:rsidR="00582826" w:rsidRPr="00382917">
        <w:t>over</w:t>
      </w:r>
      <w:r w:rsidR="00EE4FC3">
        <w:t xml:space="preserve"> </w:t>
      </w:r>
      <w:r w:rsidR="00582826" w:rsidRPr="00382917">
        <w:t>a</w:t>
      </w:r>
      <w:r w:rsidR="00EE4FC3">
        <w:t xml:space="preserve"> </w:t>
      </w:r>
      <w:r w:rsidR="00582826" w:rsidRPr="00382917">
        <w:t>thousand</w:t>
      </w:r>
      <w:r w:rsidR="00EE4FC3">
        <w:t xml:space="preserve"> </w:t>
      </w:r>
      <w:r w:rsidR="00582826" w:rsidRPr="00382917">
        <w:t>admirers</w:t>
      </w:r>
      <w:r w:rsidR="00EE4FC3">
        <w:t xml:space="preserve"> </w:t>
      </w:r>
      <w:r w:rsidR="00582826" w:rsidRPr="00382917">
        <w:t>who</w:t>
      </w:r>
      <w:r w:rsidR="00EE4FC3">
        <w:t xml:space="preserve"> </w:t>
      </w:r>
      <w:r w:rsidR="00582826" w:rsidRPr="00382917">
        <w:t>are</w:t>
      </w:r>
      <w:r w:rsidR="00EE4FC3">
        <w:t xml:space="preserve"> </w:t>
      </w:r>
      <w:r w:rsidR="00582826" w:rsidRPr="00382917">
        <w:t>influenced</w:t>
      </w:r>
      <w:r w:rsidR="00EE4FC3">
        <w:t xml:space="preserve"> </w:t>
      </w:r>
      <w:r w:rsidR="00582826" w:rsidRPr="00382917">
        <w:t>by</w:t>
      </w:r>
      <w:r w:rsidR="00EE4FC3">
        <w:t xml:space="preserve"> </w:t>
      </w:r>
      <w:r w:rsidR="00582826" w:rsidRPr="00382917">
        <w:t>my</w:t>
      </w:r>
    </w:p>
    <w:p w:rsidR="00582826" w:rsidRPr="00382917" w:rsidRDefault="00582826">
      <w:pPr>
        <w:widowControl/>
        <w:kinsoku/>
        <w:overflowPunct/>
        <w:textAlignment w:val="auto"/>
      </w:pPr>
      <w:r w:rsidRPr="00382917">
        <w:br w:type="page"/>
      </w:r>
    </w:p>
    <w:p w:rsidR="00582826" w:rsidRPr="00382917" w:rsidRDefault="00582826" w:rsidP="00582826">
      <w:pPr>
        <w:pStyle w:val="Textcts"/>
      </w:pPr>
      <w:proofErr w:type="gramStart"/>
      <w:r w:rsidRPr="00382917">
        <w:t>words</w:t>
      </w:r>
      <w:proofErr w:type="gramEnd"/>
      <w:r w:rsidRPr="00382917">
        <w:t>,</w:t>
      </w:r>
      <w:r w:rsidR="00EE4FC3">
        <w:t xml:space="preserve"> </w:t>
      </w:r>
      <w:r w:rsidRPr="00382917">
        <w:t>yet</w:t>
      </w:r>
      <w:r w:rsidR="00EE4FC3">
        <w:t xml:space="preserve"> </w:t>
      </w:r>
      <w:r w:rsidRPr="00382917">
        <w:t>I</w:t>
      </w:r>
      <w:r w:rsidR="00EE4FC3">
        <w:t xml:space="preserve"> </w:t>
      </w:r>
      <w:r w:rsidRPr="00382917">
        <w:t>am</w:t>
      </w:r>
      <w:r w:rsidR="00EE4FC3">
        <w:t xml:space="preserve"> </w:t>
      </w:r>
      <w:r w:rsidRPr="00382917">
        <w:t>powerless</w:t>
      </w:r>
      <w:r w:rsidR="00EE4FC3">
        <w:t xml:space="preserve"> </w:t>
      </w:r>
      <w:r w:rsidRPr="00382917">
        <w:t>to</w:t>
      </w:r>
      <w:r w:rsidR="00EE4FC3">
        <w:t xml:space="preserve"> </w:t>
      </w:r>
      <w:r w:rsidRPr="00382917">
        <w:t>change</w:t>
      </w:r>
      <w:r w:rsidR="00EE4FC3">
        <w:t xml:space="preserve"> </w:t>
      </w:r>
      <w:r w:rsidRPr="00382917">
        <w:t>the</w:t>
      </w:r>
      <w:r w:rsidR="00EE4FC3">
        <w:t xml:space="preserve"> </w:t>
      </w:r>
      <w:r w:rsidRPr="00382917">
        <w:t>heart</w:t>
      </w:r>
      <w:r w:rsidR="00EE4FC3">
        <w:t xml:space="preserve"> </w:t>
      </w:r>
      <w:r w:rsidRPr="00382917">
        <w:t>of</w:t>
      </w:r>
      <w:r w:rsidR="00EE4FC3">
        <w:t xml:space="preserve"> </w:t>
      </w:r>
      <w:r w:rsidRPr="00382917">
        <w:t>the</w:t>
      </w:r>
      <w:r w:rsidR="00EE4FC3">
        <w:t xml:space="preserve"> </w:t>
      </w:r>
      <w:r w:rsidRPr="00382917">
        <w:t>least</w:t>
      </w:r>
      <w:r w:rsidR="00EE4FC3">
        <w:t xml:space="preserve"> </w:t>
      </w:r>
      <w:r w:rsidRPr="00382917">
        <w:t>among</w:t>
      </w:r>
      <w:r w:rsidR="00EE4FC3">
        <w:t xml:space="preserve"> </w:t>
      </w:r>
      <w:r w:rsidRPr="00382917">
        <w:t>them</w:t>
      </w:r>
      <w:r w:rsidR="0040329F">
        <w:t>.</w:t>
      </w:r>
      <w:r w:rsidR="00EE4FC3">
        <w:t xml:space="preserve">  </w:t>
      </w:r>
      <w:r w:rsidRPr="00382917">
        <w:t>The</w:t>
      </w:r>
      <w:r w:rsidR="00EE4FC3">
        <w:t xml:space="preserve"> </w:t>
      </w:r>
      <w:r w:rsidRPr="00382917">
        <w:t>Báb,</w:t>
      </w:r>
      <w:r w:rsidR="00EE4FC3">
        <w:t xml:space="preserve"> </w:t>
      </w:r>
      <w:r w:rsidRPr="00382917">
        <w:t>however,</w:t>
      </w:r>
      <w:r w:rsidR="00EE4FC3">
        <w:t xml:space="preserve"> </w:t>
      </w:r>
      <w:r w:rsidRPr="00382917">
        <w:t>has</w:t>
      </w:r>
      <w:r w:rsidR="00EE4FC3">
        <w:t xml:space="preserve"> </w:t>
      </w:r>
      <w:r w:rsidRPr="00382917">
        <w:t>proved</w:t>
      </w:r>
      <w:r w:rsidR="00EE4FC3">
        <w:t xml:space="preserve"> </w:t>
      </w:r>
      <w:proofErr w:type="gramStart"/>
      <w:r w:rsidRPr="00382917">
        <w:t>Himself</w:t>
      </w:r>
      <w:proofErr w:type="gramEnd"/>
      <w:r w:rsidR="00EE4FC3">
        <w:t xml:space="preserve"> </w:t>
      </w:r>
      <w:r w:rsidRPr="00382917">
        <w:t>capable</w:t>
      </w:r>
      <w:r w:rsidR="00EE4FC3">
        <w:t xml:space="preserve"> </w:t>
      </w:r>
      <w:r w:rsidRPr="00382917">
        <w:t>of</w:t>
      </w:r>
      <w:r w:rsidR="00EE4FC3">
        <w:t xml:space="preserve"> </w:t>
      </w:r>
      <w:r w:rsidRPr="00382917">
        <w:t>uplifting</w:t>
      </w:r>
      <w:r w:rsidR="00EE4FC3">
        <w:t xml:space="preserve"> </w:t>
      </w:r>
      <w:r w:rsidRPr="00382917">
        <w:t>and</w:t>
      </w:r>
      <w:r w:rsidR="00EE4FC3">
        <w:t xml:space="preserve"> </w:t>
      </w:r>
      <w:r w:rsidRPr="00382917">
        <w:t>changing</w:t>
      </w:r>
      <w:r w:rsidR="00EE4FC3">
        <w:t xml:space="preserve"> </w:t>
      </w:r>
      <w:r w:rsidRPr="00382917">
        <w:t>the</w:t>
      </w:r>
      <w:r w:rsidR="00EE4FC3">
        <w:t xml:space="preserve"> </w:t>
      </w:r>
      <w:r w:rsidRPr="00382917">
        <w:t>most</w:t>
      </w:r>
      <w:r w:rsidR="00EE4FC3">
        <w:t xml:space="preserve"> </w:t>
      </w:r>
      <w:r w:rsidRPr="00382917">
        <w:t>degraded</w:t>
      </w:r>
      <w:r w:rsidR="00EE4FC3">
        <w:t xml:space="preserve"> </w:t>
      </w:r>
      <w:r w:rsidRPr="00382917">
        <w:t>among</w:t>
      </w:r>
      <w:r w:rsidR="00EE4FC3">
        <w:t xml:space="preserve"> </w:t>
      </w:r>
      <w:r w:rsidRPr="00382917">
        <w:t>His</w:t>
      </w:r>
      <w:r w:rsidR="00EE4FC3">
        <w:t xml:space="preserve"> </w:t>
      </w:r>
      <w:r w:rsidRPr="00382917">
        <w:t>fellowmen</w:t>
      </w:r>
      <w:r w:rsidR="0040329F">
        <w:t>.</w:t>
      </w:r>
      <w:r w:rsidR="00EE4FC3">
        <w:t xml:space="preserve">  </w:t>
      </w:r>
      <w:r w:rsidRPr="00382917">
        <w:t>He</w:t>
      </w:r>
      <w:r w:rsidR="00EE4FC3">
        <w:t xml:space="preserve"> </w:t>
      </w:r>
      <w:r w:rsidRPr="00382917">
        <w:t>has</w:t>
      </w:r>
      <w:r w:rsidR="00EE4FC3">
        <w:t xml:space="preserve"> </w:t>
      </w:r>
      <w:r w:rsidRPr="00382917">
        <w:t>exerted</w:t>
      </w:r>
      <w:r w:rsidR="00EE4FC3">
        <w:t xml:space="preserve"> </w:t>
      </w:r>
      <w:r w:rsidRPr="00382917">
        <w:t>such</w:t>
      </w:r>
      <w:r w:rsidR="00EE4FC3">
        <w:t xml:space="preserve"> </w:t>
      </w:r>
      <w:r w:rsidRPr="00382917">
        <w:t>an</w:t>
      </w:r>
      <w:r w:rsidR="00EE4FC3">
        <w:t xml:space="preserve"> </w:t>
      </w:r>
      <w:r w:rsidRPr="00382917">
        <w:t>influence</w:t>
      </w:r>
      <w:r w:rsidR="00EE4FC3">
        <w:t xml:space="preserve"> </w:t>
      </w:r>
      <w:r w:rsidRPr="00382917">
        <w:t>over</w:t>
      </w:r>
      <w:r w:rsidR="00EE4FC3">
        <w:t xml:space="preserve"> </w:t>
      </w:r>
      <w:r w:rsidRPr="00382917">
        <w:t>our</w:t>
      </w:r>
      <w:r w:rsidR="00EE4FC3">
        <w:t xml:space="preserve"> </w:t>
      </w:r>
      <w:r w:rsidRPr="00382917">
        <w:t>hearts,</w:t>
      </w:r>
      <w:r w:rsidR="00EE4FC3">
        <w:t xml:space="preserve"> </w:t>
      </w:r>
      <w:r w:rsidRPr="00382917">
        <w:t>that</w:t>
      </w:r>
      <w:r w:rsidR="00EE4FC3">
        <w:t xml:space="preserve"> </w:t>
      </w:r>
      <w:r w:rsidRPr="00382917">
        <w:t>we</w:t>
      </w:r>
      <w:r w:rsidR="00EE4FC3">
        <w:t xml:space="preserve"> </w:t>
      </w:r>
      <w:r w:rsidRPr="00382917">
        <w:t>consider</w:t>
      </w:r>
      <w:r w:rsidR="00EE4FC3">
        <w:t xml:space="preserve"> </w:t>
      </w:r>
      <w:r w:rsidRPr="00382917">
        <w:t>it</w:t>
      </w:r>
      <w:r w:rsidR="00EE4FC3">
        <w:t xml:space="preserve"> </w:t>
      </w:r>
      <w:r w:rsidRPr="00382917">
        <w:t>a</w:t>
      </w:r>
      <w:r w:rsidR="00EE4FC3">
        <w:t xml:space="preserve"> </w:t>
      </w:r>
      <w:r w:rsidRPr="00382917">
        <w:t>most</w:t>
      </w:r>
      <w:r w:rsidR="00EE4FC3">
        <w:t xml:space="preserve"> </w:t>
      </w:r>
      <w:r w:rsidRPr="00382917">
        <w:t>inadequate</w:t>
      </w:r>
      <w:r w:rsidR="00EE4FC3">
        <w:t xml:space="preserve"> </w:t>
      </w:r>
      <w:r w:rsidRPr="00382917">
        <w:t>sacrifice</w:t>
      </w:r>
      <w:r w:rsidR="00EE4FC3">
        <w:t xml:space="preserve"> </w:t>
      </w:r>
      <w:r w:rsidRPr="00382917">
        <w:t>when</w:t>
      </w:r>
      <w:r w:rsidR="00EE4FC3">
        <w:t xml:space="preserve"> </w:t>
      </w:r>
      <w:r w:rsidRPr="00382917">
        <w:t>we</w:t>
      </w:r>
      <w:r w:rsidR="00EE4FC3">
        <w:t xml:space="preserve"> </w:t>
      </w:r>
      <w:r w:rsidRPr="00382917">
        <w:t>lay</w:t>
      </w:r>
      <w:r w:rsidR="00EE4FC3">
        <w:t xml:space="preserve"> </w:t>
      </w:r>
      <w:r w:rsidRPr="00382917">
        <w:t>down</w:t>
      </w:r>
      <w:r w:rsidR="00EE4FC3">
        <w:t xml:space="preserve"> </w:t>
      </w:r>
      <w:r w:rsidRPr="00382917">
        <w:t>our</w:t>
      </w:r>
      <w:r w:rsidR="00EE4FC3">
        <w:t xml:space="preserve"> </w:t>
      </w:r>
      <w:r w:rsidRPr="00382917">
        <w:t>lives</w:t>
      </w:r>
      <w:r w:rsidR="00EE4FC3">
        <w:t xml:space="preserve"> </w:t>
      </w:r>
      <w:r w:rsidRPr="00382917">
        <w:t>for</w:t>
      </w:r>
      <w:r w:rsidR="00EE4FC3">
        <w:t xml:space="preserve"> </w:t>
      </w:r>
      <w:r w:rsidRPr="00382917">
        <w:t>His</w:t>
      </w:r>
      <w:r w:rsidR="00EE4FC3">
        <w:t xml:space="preserve"> </w:t>
      </w:r>
      <w:r w:rsidRPr="00382917">
        <w:t>sake.</w:t>
      </w:r>
      <w:r w:rsidR="009C713D" w:rsidRPr="00382917">
        <w:t>”</w:t>
      </w:r>
    </w:p>
    <w:p w:rsidR="00582826" w:rsidRPr="00382917" w:rsidRDefault="00582826" w:rsidP="00582826">
      <w:pPr>
        <w:pStyle w:val="Text"/>
      </w:pPr>
      <w:r w:rsidRPr="00382917">
        <w:t>The</w:t>
      </w:r>
      <w:r w:rsidR="00EE4FC3">
        <w:t xml:space="preserve"> </w:t>
      </w:r>
      <w:r w:rsidRPr="00382917">
        <w:t>Prime</w:t>
      </w:r>
      <w:r w:rsidR="00EE4FC3">
        <w:t xml:space="preserve"> </w:t>
      </w:r>
      <w:r w:rsidRPr="00382917">
        <w:t>Minister</w:t>
      </w:r>
      <w:r w:rsidR="00EE4FC3">
        <w:t xml:space="preserve"> </w:t>
      </w:r>
      <w:r w:rsidRPr="00382917">
        <w:t>hesitated</w:t>
      </w:r>
      <w:r w:rsidR="0040329F">
        <w:t>.</w:t>
      </w:r>
      <w:r w:rsidR="00EE4FC3">
        <w:t xml:space="preserve">  </w:t>
      </w:r>
      <w:r w:rsidR="009C713D" w:rsidRPr="00382917">
        <w:t>“</w:t>
      </w:r>
      <w:r w:rsidRPr="00382917">
        <w:t>I</w:t>
      </w:r>
      <w:r w:rsidR="00EE4FC3">
        <w:t xml:space="preserve"> </w:t>
      </w:r>
      <w:r w:rsidRPr="00382917">
        <w:t>do</w:t>
      </w:r>
      <w:r w:rsidR="00EE4FC3">
        <w:t xml:space="preserve"> </w:t>
      </w:r>
      <w:r w:rsidRPr="00382917">
        <w:t>not</w:t>
      </w:r>
      <w:r w:rsidR="00EE4FC3">
        <w:t xml:space="preserve"> </w:t>
      </w:r>
      <w:r w:rsidRPr="00382917">
        <w:t>know</w:t>
      </w:r>
      <w:r w:rsidR="00EE4FC3">
        <w:t xml:space="preserve"> </w:t>
      </w:r>
      <w:r w:rsidRPr="00382917">
        <w:t>whether</w:t>
      </w:r>
      <w:r w:rsidR="00EE4FC3">
        <w:t xml:space="preserve"> </w:t>
      </w:r>
      <w:r w:rsidRPr="00382917">
        <w:t>your</w:t>
      </w:r>
      <w:r w:rsidR="00EE4FC3">
        <w:t xml:space="preserve"> </w:t>
      </w:r>
      <w:r w:rsidRPr="00382917">
        <w:t>words</w:t>
      </w:r>
      <w:r w:rsidR="00EE4FC3">
        <w:t xml:space="preserve"> </w:t>
      </w:r>
      <w:r w:rsidRPr="00382917">
        <w:t>are</w:t>
      </w:r>
      <w:r w:rsidR="00EE4FC3">
        <w:t xml:space="preserve"> </w:t>
      </w:r>
      <w:r w:rsidRPr="00382917">
        <w:t>of</w:t>
      </w:r>
      <w:r w:rsidR="00EE4FC3">
        <w:t xml:space="preserve"> </w:t>
      </w:r>
      <w:r w:rsidRPr="00382917">
        <w:t>God</w:t>
      </w:r>
      <w:r w:rsidR="00EE4FC3">
        <w:t xml:space="preserve"> </w:t>
      </w:r>
      <w:r w:rsidRPr="00382917">
        <w:t>or</w:t>
      </w:r>
      <w:r w:rsidR="00EE4FC3">
        <w:t xml:space="preserve"> </w:t>
      </w:r>
      <w:r w:rsidRPr="00382917">
        <w:t>not</w:t>
      </w:r>
      <w:r w:rsidR="0040329F">
        <w:t>.</w:t>
      </w:r>
      <w:r w:rsidR="00EE4FC3">
        <w:t xml:space="preserve">  </w:t>
      </w:r>
      <w:r w:rsidRPr="00382917">
        <w:t>But</w:t>
      </w:r>
      <w:r w:rsidR="00EE4FC3">
        <w:t xml:space="preserve"> </w:t>
      </w:r>
      <w:r w:rsidRPr="00382917">
        <w:t>I</w:t>
      </w:r>
      <w:r w:rsidR="00EE4FC3">
        <w:t xml:space="preserve"> </w:t>
      </w:r>
      <w:r w:rsidRPr="00382917">
        <w:t>am</w:t>
      </w:r>
      <w:r w:rsidR="00EE4FC3">
        <w:t xml:space="preserve"> </w:t>
      </w:r>
      <w:r w:rsidRPr="00382917">
        <w:t>reluctant</w:t>
      </w:r>
      <w:r w:rsidR="00EE4FC3">
        <w:t xml:space="preserve"> </w:t>
      </w:r>
      <w:r w:rsidRPr="00382917">
        <w:t>to</w:t>
      </w:r>
      <w:r w:rsidR="00EE4FC3">
        <w:t xml:space="preserve"> </w:t>
      </w:r>
      <w:r w:rsidRPr="00382917">
        <w:t>pronounce</w:t>
      </w:r>
      <w:r w:rsidR="00EE4FC3">
        <w:t xml:space="preserve"> </w:t>
      </w:r>
      <w:r w:rsidRPr="00382917">
        <w:t>the</w:t>
      </w:r>
      <w:r w:rsidR="00EE4FC3">
        <w:t xml:space="preserve"> </w:t>
      </w:r>
      <w:r w:rsidRPr="00382917">
        <w:t>sentence</w:t>
      </w:r>
      <w:r w:rsidR="00EE4FC3">
        <w:t xml:space="preserve"> </w:t>
      </w:r>
      <w:r w:rsidRPr="00382917">
        <w:t>of</w:t>
      </w:r>
      <w:r w:rsidR="00EE4FC3">
        <w:t xml:space="preserve"> </w:t>
      </w:r>
      <w:r w:rsidRPr="00382917">
        <w:t>death</w:t>
      </w:r>
      <w:r w:rsidR="00EE4FC3">
        <w:t xml:space="preserve"> </w:t>
      </w:r>
      <w:r w:rsidRPr="00382917">
        <w:t>against</w:t>
      </w:r>
      <w:r w:rsidR="00EE4FC3">
        <w:t xml:space="preserve"> </w:t>
      </w:r>
      <w:r w:rsidRPr="00382917">
        <w:t>one</w:t>
      </w:r>
      <w:r w:rsidR="00EE4FC3">
        <w:t xml:space="preserve"> </w:t>
      </w:r>
      <w:r w:rsidRPr="00382917">
        <w:t>of</w:t>
      </w:r>
      <w:r w:rsidR="00EE4FC3">
        <w:t xml:space="preserve"> </w:t>
      </w:r>
      <w:r w:rsidRPr="00382917">
        <w:t>your</w:t>
      </w:r>
      <w:r w:rsidR="00EE4FC3">
        <w:t xml:space="preserve"> </w:t>
      </w:r>
      <w:r w:rsidRPr="00382917">
        <w:t>exalted</w:t>
      </w:r>
      <w:r w:rsidR="00EE4FC3">
        <w:t xml:space="preserve"> </w:t>
      </w:r>
      <w:r w:rsidRPr="00382917">
        <w:t>rank</w:t>
      </w:r>
      <w:r w:rsidR="00EE4FC3">
        <w:t xml:space="preserve"> </w:t>
      </w:r>
      <w:r w:rsidRPr="00382917">
        <w:t>and</w:t>
      </w:r>
      <w:r w:rsidR="00EE4FC3">
        <w:t xml:space="preserve"> </w:t>
      </w:r>
      <w:r w:rsidRPr="00382917">
        <w:t>station.</w:t>
      </w:r>
      <w:r w:rsidR="009C713D" w:rsidRPr="00382917">
        <w:t>”</w:t>
      </w:r>
    </w:p>
    <w:p w:rsidR="00582826" w:rsidRPr="00382917" w:rsidRDefault="009C713D" w:rsidP="0040329F">
      <w:pPr>
        <w:pStyle w:val="Text"/>
      </w:pPr>
      <w:r w:rsidRPr="00382917">
        <w:t>“</w:t>
      </w:r>
      <w:r w:rsidR="00582826" w:rsidRPr="00382917">
        <w:t>Why</w:t>
      </w:r>
      <w:r w:rsidR="00EE4FC3">
        <w:t xml:space="preserve"> </w:t>
      </w:r>
      <w:r w:rsidR="00582826" w:rsidRPr="00382917">
        <w:t>hesitate?</w:t>
      </w:r>
      <w:r w:rsidRPr="00382917">
        <w:t>”</w:t>
      </w:r>
      <w:r w:rsidR="00EE4FC3">
        <w:t xml:space="preserve"> </w:t>
      </w:r>
      <w:r w:rsidR="00582826" w:rsidRPr="00382917">
        <w:t>burst</w:t>
      </w:r>
      <w:r w:rsidR="00EE4FC3">
        <w:t xml:space="preserve"> </w:t>
      </w:r>
      <w:r w:rsidR="00582826" w:rsidRPr="00382917">
        <w:t>forth</w:t>
      </w:r>
      <w:r w:rsidR="00EE4FC3">
        <w:t xml:space="preserve"> </w:t>
      </w:r>
      <w:r w:rsidR="00582826" w:rsidRPr="00382917">
        <w:t>Qurbán</w:t>
      </w:r>
      <w:r w:rsidR="00EE4FC3">
        <w:t xml:space="preserve"> </w:t>
      </w:r>
      <w:r w:rsidRPr="00382917">
        <w:t>‘</w:t>
      </w:r>
      <w:r w:rsidR="00582826" w:rsidRPr="00382917">
        <w:t>Al</w:t>
      </w:r>
      <w:r w:rsidR="0040329F" w:rsidRPr="0040329F">
        <w:t>í</w:t>
      </w:r>
      <w:r w:rsidR="00582826" w:rsidRPr="00382917">
        <w:t>.</w:t>
      </w:r>
      <w:r w:rsidR="00EE4FC3">
        <w:t xml:space="preserve">  </w:t>
      </w:r>
      <w:r w:rsidRPr="00382917">
        <w:t>“</w:t>
      </w:r>
      <w:r w:rsidR="00582826" w:rsidRPr="00382917">
        <w:t>For</w:t>
      </w:r>
      <w:r w:rsidR="00EE4FC3">
        <w:t xml:space="preserve"> </w:t>
      </w:r>
      <w:r w:rsidR="00582826" w:rsidRPr="00382917">
        <w:t>this</w:t>
      </w:r>
      <w:r w:rsidR="00EE4FC3">
        <w:t xml:space="preserve"> </w:t>
      </w:r>
      <w:r w:rsidR="00582826" w:rsidRPr="00382917">
        <w:t>I</w:t>
      </w:r>
      <w:r w:rsidR="00EE4FC3">
        <w:t xml:space="preserve"> </w:t>
      </w:r>
      <w:r w:rsidR="00582826" w:rsidRPr="00382917">
        <w:t>was</w:t>
      </w:r>
      <w:r w:rsidR="00EE4FC3">
        <w:t xml:space="preserve"> </w:t>
      </w:r>
      <w:r w:rsidR="00582826" w:rsidRPr="00382917">
        <w:t>born</w:t>
      </w:r>
      <w:r w:rsidR="00330AF7">
        <w:t>.</w:t>
      </w:r>
      <w:r w:rsidR="00EE4FC3">
        <w:t xml:space="preserve">  </w:t>
      </w:r>
      <w:r w:rsidR="00582826" w:rsidRPr="00382917">
        <w:t>By</w:t>
      </w:r>
      <w:r w:rsidR="00EE4FC3">
        <w:t xml:space="preserve"> </w:t>
      </w:r>
      <w:r w:rsidR="00582826" w:rsidRPr="00382917">
        <w:t>this</w:t>
      </w:r>
      <w:r w:rsidR="00EE4FC3">
        <w:t xml:space="preserve"> </w:t>
      </w:r>
      <w:r w:rsidR="00582826" w:rsidRPr="00382917">
        <w:t>I</w:t>
      </w:r>
      <w:r w:rsidR="00EE4FC3">
        <w:t xml:space="preserve"> </w:t>
      </w:r>
      <w:r w:rsidR="00582826" w:rsidRPr="00382917">
        <w:t>shall</w:t>
      </w:r>
      <w:r w:rsidR="00EE4FC3">
        <w:t xml:space="preserve"> </w:t>
      </w:r>
      <w:r w:rsidR="00582826" w:rsidRPr="00382917">
        <w:t>prove</w:t>
      </w:r>
      <w:r w:rsidR="00EE4FC3">
        <w:t xml:space="preserve"> </w:t>
      </w:r>
      <w:r w:rsidR="00582826" w:rsidRPr="00382917">
        <w:t>I</w:t>
      </w:r>
      <w:r w:rsidR="00EE4FC3">
        <w:t xml:space="preserve"> </w:t>
      </w:r>
      <w:r w:rsidR="00582826" w:rsidRPr="00382917">
        <w:t>am</w:t>
      </w:r>
      <w:r w:rsidR="00EE4FC3">
        <w:t xml:space="preserve"> </w:t>
      </w:r>
      <w:r w:rsidR="00582826" w:rsidRPr="00382917">
        <w:t>worthy</w:t>
      </w:r>
      <w:r w:rsidR="00EE4FC3">
        <w:t xml:space="preserve"> </w:t>
      </w:r>
      <w:r w:rsidR="00582826" w:rsidRPr="00382917">
        <w:t>of</w:t>
      </w:r>
      <w:r w:rsidR="00EE4FC3">
        <w:t xml:space="preserve"> </w:t>
      </w:r>
      <w:r w:rsidR="00582826" w:rsidRPr="00382917">
        <w:t>the</w:t>
      </w:r>
      <w:r w:rsidR="00EE4FC3">
        <w:t xml:space="preserve"> </w:t>
      </w:r>
      <w:r w:rsidR="00582826" w:rsidRPr="00382917">
        <w:t>knowledge</w:t>
      </w:r>
      <w:r w:rsidR="00EE4FC3">
        <w:t xml:space="preserve"> </w:t>
      </w:r>
      <w:r w:rsidR="00582826" w:rsidRPr="00382917">
        <w:t>God</w:t>
      </w:r>
      <w:r w:rsidR="00EE4FC3">
        <w:t xml:space="preserve"> </w:t>
      </w:r>
      <w:r w:rsidR="00582826" w:rsidRPr="00382917">
        <w:t>has</w:t>
      </w:r>
      <w:r w:rsidR="00EE4FC3">
        <w:t xml:space="preserve"> </w:t>
      </w:r>
      <w:r w:rsidR="00582826" w:rsidRPr="00382917">
        <w:t>given</w:t>
      </w:r>
      <w:r w:rsidR="00EE4FC3">
        <w:t xml:space="preserve"> </w:t>
      </w:r>
      <w:r w:rsidR="00582826" w:rsidRPr="00382917">
        <w:t>to</w:t>
      </w:r>
      <w:r w:rsidR="00EE4FC3">
        <w:t xml:space="preserve"> </w:t>
      </w:r>
      <w:r w:rsidR="00582826" w:rsidRPr="00382917">
        <w:t>me</w:t>
      </w:r>
      <w:r w:rsidR="00330AF7">
        <w:t>.</w:t>
      </w:r>
      <w:r w:rsidR="00EE4FC3">
        <w:t xml:space="preserve">  </w:t>
      </w:r>
      <w:r w:rsidR="00582826" w:rsidRPr="00382917">
        <w:t>This</w:t>
      </w:r>
      <w:r w:rsidR="00EE4FC3">
        <w:t xml:space="preserve"> </w:t>
      </w:r>
      <w:r w:rsidR="00582826" w:rsidRPr="00382917">
        <w:t>is</w:t>
      </w:r>
      <w:r w:rsidR="00EE4FC3">
        <w:t xml:space="preserve"> </w:t>
      </w:r>
      <w:r w:rsidR="00582826" w:rsidRPr="00382917">
        <w:t>the</w:t>
      </w:r>
      <w:r w:rsidR="00EE4FC3">
        <w:t xml:space="preserve"> </w:t>
      </w:r>
      <w:r w:rsidR="00582826" w:rsidRPr="00382917">
        <w:t>day</w:t>
      </w:r>
      <w:r w:rsidR="00EE4FC3">
        <w:t xml:space="preserve"> </w:t>
      </w:r>
      <w:r w:rsidR="00582826" w:rsidRPr="00382917">
        <w:t>on</w:t>
      </w:r>
      <w:r w:rsidR="00EE4FC3">
        <w:t xml:space="preserve"> </w:t>
      </w:r>
      <w:r w:rsidR="00582826" w:rsidRPr="00382917">
        <w:t>which</w:t>
      </w:r>
      <w:r w:rsidR="00EE4FC3">
        <w:t xml:space="preserve"> </w:t>
      </w:r>
      <w:r w:rsidR="00582826" w:rsidRPr="00382917">
        <w:t>I</w:t>
      </w:r>
      <w:r w:rsidR="00EE4FC3">
        <w:t xml:space="preserve"> </w:t>
      </w:r>
      <w:r w:rsidR="00582826" w:rsidRPr="00382917">
        <w:t>shall</w:t>
      </w:r>
      <w:r w:rsidR="00EE4FC3">
        <w:t xml:space="preserve"> </w:t>
      </w:r>
      <w:r w:rsidR="00582826" w:rsidRPr="00382917">
        <w:t>seal</w:t>
      </w:r>
      <w:r w:rsidR="00EE4FC3">
        <w:t xml:space="preserve"> </w:t>
      </w:r>
      <w:r w:rsidR="00582826" w:rsidRPr="00382917">
        <w:t>with</w:t>
      </w:r>
      <w:r w:rsidR="00EE4FC3">
        <w:t xml:space="preserve"> </w:t>
      </w:r>
      <w:r w:rsidR="00582826" w:rsidRPr="00382917">
        <w:t>my</w:t>
      </w:r>
      <w:r w:rsidR="00EE4FC3">
        <w:t xml:space="preserve"> </w:t>
      </w:r>
      <w:r w:rsidR="00582826" w:rsidRPr="00382917">
        <w:t>life-blood</w:t>
      </w:r>
      <w:r w:rsidR="00EE4FC3">
        <w:t xml:space="preserve"> </w:t>
      </w:r>
      <w:r w:rsidR="00582826" w:rsidRPr="00382917">
        <w:t>my</w:t>
      </w:r>
      <w:r w:rsidR="00EE4FC3">
        <w:t xml:space="preserve"> </w:t>
      </w:r>
      <w:r w:rsidR="00582826" w:rsidRPr="00382917">
        <w:t>faith</w:t>
      </w:r>
      <w:r w:rsidR="00EE4FC3">
        <w:t xml:space="preserve"> </w:t>
      </w:r>
      <w:r w:rsidR="00582826" w:rsidRPr="00382917">
        <w:t>in</w:t>
      </w:r>
      <w:r w:rsidR="00EE4FC3">
        <w:t xml:space="preserve"> </w:t>
      </w:r>
      <w:r w:rsidR="00582826" w:rsidRPr="00382917">
        <w:t>His</w:t>
      </w:r>
      <w:r w:rsidR="00EE4FC3">
        <w:t xml:space="preserve"> </w:t>
      </w:r>
      <w:r w:rsidR="00582826" w:rsidRPr="00382917">
        <w:t>Cause.</w:t>
      </w:r>
      <w:r w:rsidRPr="00382917">
        <w:t>”</w:t>
      </w:r>
    </w:p>
    <w:p w:rsidR="00582826" w:rsidRPr="00382917" w:rsidRDefault="00582826" w:rsidP="00582826">
      <w:pPr>
        <w:pStyle w:val="Text"/>
      </w:pPr>
      <w:r w:rsidRPr="00382917">
        <w:t>Seeing</w:t>
      </w:r>
      <w:r w:rsidR="00EE4FC3">
        <w:t xml:space="preserve"> </w:t>
      </w:r>
      <w:r w:rsidRPr="00382917">
        <w:t>the</w:t>
      </w:r>
      <w:r w:rsidR="00EE4FC3">
        <w:t xml:space="preserve"> </w:t>
      </w:r>
      <w:r w:rsidRPr="00382917">
        <w:t>Prime</w:t>
      </w:r>
      <w:r w:rsidR="00EE4FC3">
        <w:t xml:space="preserve"> </w:t>
      </w:r>
      <w:r w:rsidRPr="00382917">
        <w:t>Minister</w:t>
      </w:r>
      <w:r w:rsidR="009C713D" w:rsidRPr="00382917">
        <w:t>’</w:t>
      </w:r>
      <w:r w:rsidRPr="00382917">
        <w:t>s</w:t>
      </w:r>
      <w:r w:rsidR="00EE4FC3">
        <w:t xml:space="preserve"> </w:t>
      </w:r>
      <w:r w:rsidRPr="00382917">
        <w:t>uncertainty,</w:t>
      </w:r>
      <w:r w:rsidR="00EE4FC3">
        <w:t xml:space="preserve"> </w:t>
      </w:r>
      <w:r w:rsidRPr="00382917">
        <w:t>Qurbán</w:t>
      </w:r>
      <w:r w:rsidR="00EE4FC3">
        <w:t xml:space="preserve"> </w:t>
      </w:r>
      <w:r w:rsidR="0040329F" w:rsidRPr="00382917">
        <w:t>‘Al</w:t>
      </w:r>
      <w:r w:rsidR="0040329F" w:rsidRPr="0040329F">
        <w:t>í</w:t>
      </w:r>
      <w:r w:rsidR="00EE4FC3">
        <w:t xml:space="preserve"> </w:t>
      </w:r>
      <w:r w:rsidRPr="00382917">
        <w:t>added,</w:t>
      </w:r>
      <w:r w:rsidR="00EE4FC3">
        <w:t xml:space="preserve"> </w:t>
      </w:r>
      <w:r w:rsidR="009C713D" w:rsidRPr="00382917">
        <w:t>“</w:t>
      </w:r>
      <w:r w:rsidRPr="00382917">
        <w:t>Be</w:t>
      </w:r>
      <w:r w:rsidR="00EE4FC3">
        <w:t xml:space="preserve"> </w:t>
      </w:r>
      <w:r w:rsidRPr="00382917">
        <w:t>not</w:t>
      </w:r>
      <w:r w:rsidR="00EE4FC3">
        <w:t xml:space="preserve"> </w:t>
      </w:r>
      <w:r w:rsidRPr="00382917">
        <w:t>reluctant</w:t>
      </w:r>
      <w:r w:rsidR="00330AF7">
        <w:t>.</w:t>
      </w:r>
      <w:r w:rsidR="00EE4FC3">
        <w:t xml:space="preserve">  </w:t>
      </w:r>
      <w:r w:rsidRPr="00382917">
        <w:t>Rest</w:t>
      </w:r>
      <w:r w:rsidR="00EE4FC3">
        <w:t xml:space="preserve"> </w:t>
      </w:r>
      <w:r w:rsidRPr="00382917">
        <w:t>assured</w:t>
      </w:r>
      <w:r w:rsidR="00EE4FC3">
        <w:t xml:space="preserve"> </w:t>
      </w:r>
      <w:r w:rsidRPr="00382917">
        <w:t>that</w:t>
      </w:r>
      <w:r w:rsidR="00EE4FC3">
        <w:t xml:space="preserve"> </w:t>
      </w:r>
      <w:r w:rsidRPr="00382917">
        <w:t>I</w:t>
      </w:r>
      <w:r w:rsidR="00EE4FC3">
        <w:t xml:space="preserve"> </w:t>
      </w:r>
      <w:r w:rsidRPr="00382917">
        <w:t>shall</w:t>
      </w:r>
      <w:r w:rsidR="00EE4FC3">
        <w:t xml:space="preserve"> </w:t>
      </w:r>
      <w:r w:rsidRPr="00382917">
        <w:t>never</w:t>
      </w:r>
      <w:r w:rsidR="00EE4FC3">
        <w:t xml:space="preserve"> </w:t>
      </w:r>
      <w:r w:rsidRPr="00382917">
        <w:t>blame</w:t>
      </w:r>
      <w:r w:rsidR="00EE4FC3">
        <w:t xml:space="preserve"> </w:t>
      </w:r>
      <w:r w:rsidRPr="00382917">
        <w:t>you</w:t>
      </w:r>
      <w:r w:rsidR="00EE4FC3">
        <w:t xml:space="preserve"> </w:t>
      </w:r>
      <w:r w:rsidRPr="00382917">
        <w:t>for</w:t>
      </w:r>
      <w:r w:rsidR="00EE4FC3">
        <w:t xml:space="preserve"> </w:t>
      </w:r>
      <w:r w:rsidRPr="00382917">
        <w:t>your</w:t>
      </w:r>
      <w:r w:rsidR="00EE4FC3">
        <w:t xml:space="preserve"> </w:t>
      </w:r>
      <w:r w:rsidRPr="00382917">
        <w:t>act</w:t>
      </w:r>
      <w:r w:rsidR="00330AF7">
        <w:t>.</w:t>
      </w:r>
      <w:r w:rsidR="00EE4FC3">
        <w:t xml:space="preserve">  </w:t>
      </w:r>
      <w:r w:rsidRPr="00382917">
        <w:t>The</w:t>
      </w:r>
      <w:r w:rsidR="00EE4FC3">
        <w:t xml:space="preserve"> </w:t>
      </w:r>
      <w:r w:rsidRPr="00382917">
        <w:t>sooner</w:t>
      </w:r>
      <w:r w:rsidR="00EE4FC3">
        <w:t xml:space="preserve"> </w:t>
      </w:r>
      <w:r w:rsidRPr="00382917">
        <w:t>you</w:t>
      </w:r>
      <w:r w:rsidR="00EE4FC3">
        <w:t xml:space="preserve"> </w:t>
      </w:r>
      <w:r w:rsidRPr="00382917">
        <w:t>strike</w:t>
      </w:r>
      <w:r w:rsidR="00EE4FC3">
        <w:t xml:space="preserve"> </w:t>
      </w:r>
      <w:r w:rsidRPr="00382917">
        <w:t>off</w:t>
      </w:r>
      <w:r w:rsidR="00EE4FC3">
        <w:t xml:space="preserve"> </w:t>
      </w:r>
      <w:r w:rsidRPr="00382917">
        <w:t>my</w:t>
      </w:r>
      <w:r w:rsidR="00EE4FC3">
        <w:t xml:space="preserve"> </w:t>
      </w:r>
      <w:r w:rsidRPr="00382917">
        <w:t>head,</w:t>
      </w:r>
      <w:r w:rsidR="00EE4FC3">
        <w:t xml:space="preserve"> </w:t>
      </w:r>
      <w:r w:rsidRPr="00382917">
        <w:t>the</w:t>
      </w:r>
      <w:r w:rsidR="00EE4FC3">
        <w:t xml:space="preserve"> </w:t>
      </w:r>
      <w:r w:rsidRPr="00382917">
        <w:t>greater</w:t>
      </w:r>
      <w:r w:rsidR="00EE4FC3">
        <w:t xml:space="preserve"> </w:t>
      </w:r>
      <w:r w:rsidRPr="00382917">
        <w:t>will,</w:t>
      </w:r>
      <w:r w:rsidR="00EE4FC3">
        <w:t xml:space="preserve"> </w:t>
      </w:r>
      <w:r w:rsidRPr="00382917">
        <w:t>be</w:t>
      </w:r>
      <w:r w:rsidR="00EE4FC3">
        <w:t xml:space="preserve"> </w:t>
      </w:r>
      <w:r w:rsidRPr="00382917">
        <w:t>my</w:t>
      </w:r>
      <w:r w:rsidR="00EE4FC3">
        <w:t xml:space="preserve"> </w:t>
      </w:r>
      <w:r w:rsidRPr="00382917">
        <w:t>gratitude</w:t>
      </w:r>
      <w:r w:rsidR="00EE4FC3">
        <w:t xml:space="preserve"> </w:t>
      </w:r>
      <w:r w:rsidRPr="00382917">
        <w:t>to</w:t>
      </w:r>
      <w:r w:rsidR="00EE4FC3">
        <w:t xml:space="preserve"> </w:t>
      </w:r>
      <w:r w:rsidRPr="00382917">
        <w:t>you.</w:t>
      </w:r>
      <w:r w:rsidR="009C713D" w:rsidRPr="00382917">
        <w:t>”</w:t>
      </w:r>
    </w:p>
    <w:p w:rsidR="00582826" w:rsidRPr="00382917" w:rsidRDefault="00582826" w:rsidP="00582826">
      <w:pPr>
        <w:pStyle w:val="Text"/>
      </w:pPr>
      <w:r w:rsidRPr="00382917">
        <w:t>The</w:t>
      </w:r>
      <w:r w:rsidR="00EE4FC3">
        <w:t xml:space="preserve"> </w:t>
      </w:r>
      <w:r w:rsidRPr="00382917">
        <w:t>Prime</w:t>
      </w:r>
      <w:r w:rsidR="00EE4FC3">
        <w:t xml:space="preserve"> </w:t>
      </w:r>
      <w:r w:rsidRPr="00382917">
        <w:t>Minister</w:t>
      </w:r>
      <w:r w:rsidR="00EE4FC3">
        <w:t xml:space="preserve"> </w:t>
      </w:r>
      <w:r w:rsidRPr="00382917">
        <w:t>became</w:t>
      </w:r>
      <w:r w:rsidR="00EE4FC3">
        <w:t xml:space="preserve"> </w:t>
      </w:r>
      <w:r w:rsidRPr="00382917">
        <w:t>angry</w:t>
      </w:r>
      <w:r w:rsidR="00330AF7">
        <w:t>.</w:t>
      </w:r>
      <w:r w:rsidR="00EE4FC3">
        <w:t xml:space="preserve">  </w:t>
      </w:r>
      <w:r w:rsidR="009C713D" w:rsidRPr="00382917">
        <w:t>“</w:t>
      </w:r>
      <w:r w:rsidRPr="00382917">
        <w:t>Take</w:t>
      </w:r>
      <w:r w:rsidR="00EE4FC3">
        <w:t xml:space="preserve"> </w:t>
      </w:r>
      <w:r w:rsidRPr="00382917">
        <w:t>him</w:t>
      </w:r>
      <w:r w:rsidR="00EE4FC3">
        <w:t xml:space="preserve"> </w:t>
      </w:r>
      <w:r w:rsidRPr="00382917">
        <w:t>away</w:t>
      </w:r>
      <w:r w:rsidR="00EE4FC3">
        <w:t xml:space="preserve"> </w:t>
      </w:r>
      <w:r w:rsidRPr="00382917">
        <w:t>from</w:t>
      </w:r>
      <w:r w:rsidR="00EE4FC3">
        <w:t xml:space="preserve"> </w:t>
      </w:r>
      <w:r w:rsidRPr="00382917">
        <w:t>this</w:t>
      </w:r>
      <w:r w:rsidR="00EE4FC3">
        <w:t xml:space="preserve"> </w:t>
      </w:r>
      <w:r w:rsidRPr="00382917">
        <w:t>place!</w:t>
      </w:r>
      <w:r w:rsidR="009C713D" w:rsidRPr="00382917">
        <w:t>”</w:t>
      </w:r>
      <w:r w:rsidR="00EE4FC3">
        <w:t xml:space="preserve"> </w:t>
      </w:r>
      <w:r w:rsidRPr="00382917">
        <w:t>he</w:t>
      </w:r>
      <w:r w:rsidR="00EE4FC3">
        <w:t xml:space="preserve"> </w:t>
      </w:r>
      <w:r w:rsidRPr="00382917">
        <w:t>cried</w:t>
      </w:r>
      <w:r w:rsidR="00330AF7">
        <w:t>.</w:t>
      </w:r>
      <w:r w:rsidR="00EE4FC3">
        <w:t xml:space="preserve">  </w:t>
      </w:r>
      <w:r w:rsidR="009C713D" w:rsidRPr="00382917">
        <w:t>“</w:t>
      </w:r>
      <w:r w:rsidRPr="00382917">
        <w:t>Another</w:t>
      </w:r>
      <w:r w:rsidR="00EE4FC3">
        <w:t xml:space="preserve"> </w:t>
      </w:r>
      <w:r w:rsidRPr="00382917">
        <w:t>minute</w:t>
      </w:r>
      <w:r w:rsidR="00EE4FC3">
        <w:t xml:space="preserve"> </w:t>
      </w:r>
      <w:r w:rsidRPr="00382917">
        <w:t>and</w:t>
      </w:r>
      <w:r w:rsidR="00EE4FC3">
        <w:t xml:space="preserve"> </w:t>
      </w:r>
      <w:r w:rsidRPr="00382917">
        <w:t>he</w:t>
      </w:r>
      <w:r w:rsidR="00EE4FC3">
        <w:t xml:space="preserve"> </w:t>
      </w:r>
      <w:r w:rsidRPr="00382917">
        <w:t>will</w:t>
      </w:r>
      <w:r w:rsidR="00EE4FC3">
        <w:t xml:space="preserve"> </w:t>
      </w:r>
      <w:r w:rsidRPr="00382917">
        <w:t>have</w:t>
      </w:r>
      <w:r w:rsidR="00EE4FC3">
        <w:t xml:space="preserve"> </w:t>
      </w:r>
      <w:r w:rsidRPr="00382917">
        <w:t>cast</w:t>
      </w:r>
      <w:r w:rsidR="00EE4FC3">
        <w:t xml:space="preserve"> </w:t>
      </w:r>
      <w:r w:rsidRPr="00382917">
        <w:t>his</w:t>
      </w:r>
      <w:r w:rsidR="00EE4FC3">
        <w:t xml:space="preserve"> </w:t>
      </w:r>
      <w:r w:rsidRPr="00382917">
        <w:t>spell</w:t>
      </w:r>
      <w:r w:rsidR="00EE4FC3">
        <w:t xml:space="preserve"> </w:t>
      </w:r>
      <w:r w:rsidRPr="00382917">
        <w:t>over</w:t>
      </w:r>
      <w:r w:rsidR="00EE4FC3">
        <w:t xml:space="preserve"> </w:t>
      </w:r>
      <w:r w:rsidRPr="00382917">
        <w:t>me!</w:t>
      </w:r>
      <w:r w:rsidR="009C713D" w:rsidRPr="00382917">
        <w:t>”</w:t>
      </w:r>
    </w:p>
    <w:p w:rsidR="00582826" w:rsidRPr="00382917" w:rsidRDefault="00582826" w:rsidP="00582826">
      <w:pPr>
        <w:pStyle w:val="Text"/>
      </w:pPr>
      <w:r w:rsidRPr="00382917">
        <w:t>Qurbán</w:t>
      </w:r>
      <w:r w:rsidR="00EE4FC3">
        <w:t xml:space="preserve"> </w:t>
      </w:r>
      <w:r w:rsidR="0040329F" w:rsidRPr="00382917">
        <w:t>‘Al</w:t>
      </w:r>
      <w:r w:rsidR="0040329F" w:rsidRPr="0040329F">
        <w:t>í</w:t>
      </w:r>
      <w:r w:rsidR="00EE4FC3">
        <w:t xml:space="preserve"> </w:t>
      </w:r>
      <w:r w:rsidRPr="00382917">
        <w:t>smiled</w:t>
      </w:r>
      <w:r w:rsidR="00EE4FC3">
        <w:t xml:space="preserve"> </w:t>
      </w:r>
      <w:r w:rsidRPr="00382917">
        <w:t>gently</w:t>
      </w:r>
      <w:r w:rsidR="00330AF7">
        <w:t>.</w:t>
      </w:r>
      <w:r w:rsidR="00EE4FC3">
        <w:t xml:space="preserve">  </w:t>
      </w:r>
      <w:r w:rsidR="009C713D" w:rsidRPr="00382917">
        <w:t>“</w:t>
      </w:r>
      <w:r w:rsidRPr="00382917">
        <w:t>No,</w:t>
      </w:r>
      <w:r w:rsidR="009C713D" w:rsidRPr="00382917">
        <w:t>”</w:t>
      </w:r>
      <w:r w:rsidR="00EE4FC3">
        <w:t xml:space="preserve"> </w:t>
      </w:r>
      <w:r w:rsidRPr="00382917">
        <w:t>he</w:t>
      </w:r>
      <w:r w:rsidR="00EE4FC3">
        <w:t xml:space="preserve"> </w:t>
      </w:r>
      <w:r w:rsidRPr="00382917">
        <w:t>said,</w:t>
      </w:r>
      <w:r w:rsidR="00EE4FC3">
        <w:t xml:space="preserve"> </w:t>
      </w:r>
      <w:r w:rsidR="009C713D" w:rsidRPr="00382917">
        <w:t>“</w:t>
      </w:r>
      <w:r w:rsidRPr="00382917">
        <w:t>you</w:t>
      </w:r>
      <w:r w:rsidR="00EE4FC3">
        <w:t xml:space="preserve"> </w:t>
      </w:r>
      <w:r w:rsidRPr="00382917">
        <w:t>are</w:t>
      </w:r>
      <w:r w:rsidR="00EE4FC3">
        <w:t xml:space="preserve"> </w:t>
      </w:r>
      <w:r w:rsidRPr="00382917">
        <w:t>proof</w:t>
      </w:r>
      <w:r w:rsidR="00EE4FC3">
        <w:t xml:space="preserve"> </w:t>
      </w:r>
      <w:r w:rsidRPr="00382917">
        <w:t>against</w:t>
      </w:r>
      <w:r w:rsidR="00EE4FC3">
        <w:t xml:space="preserve"> </w:t>
      </w:r>
      <w:r w:rsidRPr="00382917">
        <w:t>that</w:t>
      </w:r>
      <w:r w:rsidR="00EE4FC3">
        <w:t xml:space="preserve"> </w:t>
      </w:r>
      <w:r w:rsidRPr="00382917">
        <w:t>magic</w:t>
      </w:r>
      <w:r w:rsidR="00330AF7">
        <w:t>.</w:t>
      </w:r>
      <w:r w:rsidR="00EE4FC3">
        <w:t xml:space="preserve">  </w:t>
      </w:r>
      <w:r w:rsidRPr="00382917">
        <w:t>It</w:t>
      </w:r>
      <w:r w:rsidR="00EE4FC3">
        <w:t xml:space="preserve"> </w:t>
      </w:r>
      <w:r w:rsidRPr="00382917">
        <w:t>is</w:t>
      </w:r>
      <w:r w:rsidR="00EE4FC3">
        <w:t xml:space="preserve"> </w:t>
      </w:r>
      <w:r w:rsidRPr="00382917">
        <w:t>a</w:t>
      </w:r>
      <w:r w:rsidR="00EE4FC3">
        <w:t xml:space="preserve"> </w:t>
      </w:r>
      <w:r w:rsidRPr="00382917">
        <w:t>magic</w:t>
      </w:r>
      <w:r w:rsidR="00EE4FC3">
        <w:t xml:space="preserve"> </w:t>
      </w:r>
      <w:r w:rsidRPr="00382917">
        <w:t>that</w:t>
      </w:r>
      <w:r w:rsidR="00EE4FC3">
        <w:t xml:space="preserve"> </w:t>
      </w:r>
      <w:r w:rsidRPr="00382917">
        <w:t>can</w:t>
      </w:r>
      <w:r w:rsidR="00EE4FC3">
        <w:t xml:space="preserve"> </w:t>
      </w:r>
      <w:r w:rsidRPr="00382917">
        <w:t>captivate</w:t>
      </w:r>
      <w:r w:rsidR="00EE4FC3">
        <w:t xml:space="preserve"> </w:t>
      </w:r>
      <w:r w:rsidRPr="00382917">
        <w:t>only</w:t>
      </w:r>
      <w:r w:rsidR="00EE4FC3">
        <w:t xml:space="preserve"> </w:t>
      </w:r>
      <w:r w:rsidRPr="00382917">
        <w:t>the</w:t>
      </w:r>
      <w:r w:rsidR="00EE4FC3">
        <w:t xml:space="preserve"> </w:t>
      </w:r>
      <w:r w:rsidRPr="00382917">
        <w:t>pure</w:t>
      </w:r>
      <w:r w:rsidR="00EE4FC3">
        <w:t xml:space="preserve"> </w:t>
      </w:r>
      <w:r w:rsidRPr="00382917">
        <w:t>in</w:t>
      </w:r>
      <w:r w:rsidR="00EE4FC3">
        <w:t xml:space="preserve"> </w:t>
      </w:r>
      <w:r w:rsidRPr="00382917">
        <w:t>heart.</w:t>
      </w:r>
      <w:r w:rsidR="009C713D" w:rsidRPr="00382917">
        <w:t>”</w:t>
      </w:r>
    </w:p>
    <w:p w:rsidR="00582826" w:rsidRPr="00382917" w:rsidRDefault="00582826" w:rsidP="00582826">
      <w:pPr>
        <w:pStyle w:val="Text"/>
      </w:pPr>
      <w:r w:rsidRPr="00382917">
        <w:t>Infuriated,</w:t>
      </w:r>
      <w:r w:rsidR="00EE4FC3">
        <w:t xml:space="preserve"> </w:t>
      </w:r>
      <w:r w:rsidRPr="00382917">
        <w:t>the</w:t>
      </w:r>
      <w:r w:rsidR="00EE4FC3">
        <w:t xml:space="preserve"> </w:t>
      </w:r>
      <w:r w:rsidRPr="00382917">
        <w:t>Prime</w:t>
      </w:r>
      <w:r w:rsidR="00EE4FC3">
        <w:t xml:space="preserve"> </w:t>
      </w:r>
      <w:r w:rsidRPr="00382917">
        <w:t>Minister</w:t>
      </w:r>
      <w:r w:rsidR="00EE4FC3">
        <w:t xml:space="preserve"> </w:t>
      </w:r>
      <w:r w:rsidRPr="00382917">
        <w:t>arose</w:t>
      </w:r>
      <w:r w:rsidR="00EE4FC3">
        <w:t xml:space="preserve"> </w:t>
      </w:r>
      <w:r w:rsidRPr="00382917">
        <w:t>from</w:t>
      </w:r>
      <w:r w:rsidR="00EE4FC3">
        <w:t xml:space="preserve"> </w:t>
      </w:r>
      <w:r w:rsidRPr="00382917">
        <w:t>his</w:t>
      </w:r>
      <w:r w:rsidR="00EE4FC3">
        <w:t xml:space="preserve"> </w:t>
      </w:r>
      <w:r w:rsidRPr="00382917">
        <w:t>seat</w:t>
      </w:r>
      <w:r w:rsidR="00330AF7">
        <w:t>.</w:t>
      </w:r>
      <w:r w:rsidR="00EE4FC3">
        <w:t xml:space="preserve">  </w:t>
      </w:r>
      <w:r w:rsidRPr="00382917">
        <w:t>His</w:t>
      </w:r>
      <w:r w:rsidR="00EE4FC3">
        <w:t xml:space="preserve"> </w:t>
      </w:r>
      <w:r w:rsidRPr="00382917">
        <w:t>face</w:t>
      </w:r>
      <w:r w:rsidR="00EE4FC3">
        <w:t xml:space="preserve"> </w:t>
      </w:r>
      <w:r w:rsidRPr="00382917">
        <w:t>was</w:t>
      </w:r>
      <w:r w:rsidR="00EE4FC3">
        <w:t xml:space="preserve"> </w:t>
      </w:r>
      <w:r w:rsidRPr="00382917">
        <w:t>mottled</w:t>
      </w:r>
      <w:r w:rsidR="00EE4FC3">
        <w:t xml:space="preserve"> </w:t>
      </w:r>
      <w:r w:rsidRPr="00382917">
        <w:t>and</w:t>
      </w:r>
      <w:r w:rsidR="00EE4FC3">
        <w:t xml:space="preserve"> </w:t>
      </w:r>
      <w:r w:rsidRPr="00382917">
        <w:t>his</w:t>
      </w:r>
      <w:r w:rsidR="00EE4FC3">
        <w:t xml:space="preserve"> </w:t>
      </w:r>
      <w:r w:rsidRPr="00382917">
        <w:t>whole</w:t>
      </w:r>
      <w:r w:rsidR="00EE4FC3">
        <w:t xml:space="preserve"> </w:t>
      </w:r>
      <w:r w:rsidRPr="00382917">
        <w:t>frame</w:t>
      </w:r>
      <w:r w:rsidR="00EE4FC3">
        <w:t xml:space="preserve"> </w:t>
      </w:r>
      <w:r w:rsidRPr="00382917">
        <w:t>shock</w:t>
      </w:r>
      <w:r w:rsidR="00EE4FC3">
        <w:t xml:space="preserve"> </w:t>
      </w:r>
      <w:r w:rsidRPr="00382917">
        <w:t>with</w:t>
      </w:r>
      <w:r w:rsidR="00EE4FC3">
        <w:t xml:space="preserve"> </w:t>
      </w:r>
      <w:r w:rsidRPr="00382917">
        <w:t>anger</w:t>
      </w:r>
      <w:r w:rsidR="00330AF7">
        <w:t>.</w:t>
      </w:r>
      <w:r w:rsidR="00EE4FC3">
        <w:t xml:space="preserve">  </w:t>
      </w:r>
      <w:r w:rsidRPr="00382917">
        <w:t>He</w:t>
      </w:r>
      <w:r w:rsidR="00EE4FC3">
        <w:t xml:space="preserve"> </w:t>
      </w:r>
      <w:r w:rsidRPr="00382917">
        <w:t>shouted</w:t>
      </w:r>
      <w:r w:rsidR="00EE4FC3">
        <w:t xml:space="preserve"> </w:t>
      </w:r>
      <w:r w:rsidRPr="00382917">
        <w:t>aloud</w:t>
      </w:r>
      <w:r w:rsidR="00C03C91">
        <w:t>:</w:t>
      </w:r>
      <w:r w:rsidR="00EE4FC3">
        <w:t xml:space="preserve">  </w:t>
      </w:r>
      <w:r w:rsidR="009C713D" w:rsidRPr="00382917">
        <w:t>“</w:t>
      </w:r>
      <w:r w:rsidRPr="00382917">
        <w:t>Nothing</w:t>
      </w:r>
      <w:r w:rsidR="00EE4FC3">
        <w:t xml:space="preserve"> </w:t>
      </w:r>
      <w:r w:rsidRPr="00382917">
        <w:t>but</w:t>
      </w:r>
      <w:r w:rsidR="00EE4FC3">
        <w:t xml:space="preserve"> </w:t>
      </w:r>
      <w:r w:rsidRPr="00382917">
        <w:t>the</w:t>
      </w:r>
      <w:r w:rsidR="00EE4FC3">
        <w:t xml:space="preserve"> </w:t>
      </w:r>
      <w:r w:rsidRPr="00382917">
        <w:t>edge</w:t>
      </w:r>
      <w:r w:rsidR="00EE4FC3">
        <w:t xml:space="preserve"> </w:t>
      </w:r>
      <w:r w:rsidRPr="00382917">
        <w:t>of</w:t>
      </w:r>
      <w:r w:rsidR="00EE4FC3">
        <w:t xml:space="preserve"> </w:t>
      </w:r>
      <w:r w:rsidRPr="00382917">
        <w:t>the</w:t>
      </w:r>
      <w:r w:rsidR="00EE4FC3">
        <w:t xml:space="preserve"> </w:t>
      </w:r>
      <w:r w:rsidRPr="00382917">
        <w:t>sword</w:t>
      </w:r>
      <w:r w:rsidR="00EE4FC3">
        <w:t xml:space="preserve"> </w:t>
      </w:r>
      <w:r w:rsidRPr="00382917">
        <w:t>can</w:t>
      </w:r>
      <w:r w:rsidR="00EE4FC3">
        <w:t xml:space="preserve"> </w:t>
      </w:r>
      <w:r w:rsidRPr="00382917">
        <w:t>silence</w:t>
      </w:r>
      <w:r w:rsidR="00EE4FC3">
        <w:t xml:space="preserve"> </w:t>
      </w:r>
      <w:r w:rsidRPr="00382917">
        <w:t>the</w:t>
      </w:r>
      <w:r w:rsidR="00EE4FC3">
        <w:t xml:space="preserve"> </w:t>
      </w:r>
      <w:r w:rsidRPr="00382917">
        <w:t>voice</w:t>
      </w:r>
      <w:r w:rsidR="00EE4FC3">
        <w:t xml:space="preserve"> </w:t>
      </w:r>
      <w:r w:rsidRPr="00382917">
        <w:t>of</w:t>
      </w:r>
      <w:r w:rsidR="00EE4FC3">
        <w:t xml:space="preserve"> </w:t>
      </w:r>
      <w:r w:rsidRPr="00382917">
        <w:t>this</w:t>
      </w:r>
      <w:r w:rsidR="00EE4FC3">
        <w:t xml:space="preserve"> </w:t>
      </w:r>
      <w:r w:rsidRPr="00382917">
        <w:t>deluded</w:t>
      </w:r>
      <w:r w:rsidR="00EE4FC3">
        <w:t xml:space="preserve"> </w:t>
      </w:r>
      <w:r w:rsidRPr="00382917">
        <w:t>people!</w:t>
      </w:r>
      <w:r w:rsidR="009C713D" w:rsidRPr="00382917">
        <w:t>”</w:t>
      </w:r>
      <w:r w:rsidR="00EE4FC3">
        <w:t xml:space="preserve">  </w:t>
      </w:r>
      <w:r w:rsidRPr="00382917">
        <w:t>He</w:t>
      </w:r>
      <w:r w:rsidR="00EE4FC3">
        <w:t xml:space="preserve"> </w:t>
      </w:r>
      <w:r w:rsidRPr="00382917">
        <w:t>turned</w:t>
      </w:r>
      <w:r w:rsidR="00EE4FC3">
        <w:t xml:space="preserve"> </w:t>
      </w:r>
      <w:r w:rsidRPr="00382917">
        <w:t>to</w:t>
      </w:r>
      <w:r w:rsidR="00EE4FC3">
        <w:t xml:space="preserve"> </w:t>
      </w:r>
      <w:r w:rsidRPr="00382917">
        <w:t>the</w:t>
      </w:r>
      <w:r w:rsidR="00EE4FC3">
        <w:t xml:space="preserve"> </w:t>
      </w:r>
      <w:r w:rsidRPr="00382917">
        <w:t>executioner</w:t>
      </w:r>
      <w:r w:rsidR="00330AF7">
        <w:t>.</w:t>
      </w:r>
      <w:r w:rsidR="00EE4FC3">
        <w:t xml:space="preserve">  </w:t>
      </w:r>
      <w:r w:rsidR="009C713D" w:rsidRPr="00382917">
        <w:t>“</w:t>
      </w:r>
      <w:r w:rsidRPr="00382917">
        <w:t>It</w:t>
      </w:r>
      <w:r w:rsidR="00EE4FC3">
        <w:t xml:space="preserve"> </w:t>
      </w:r>
      <w:r w:rsidRPr="00382917">
        <w:t>is</w:t>
      </w:r>
      <w:r w:rsidR="00EE4FC3">
        <w:t xml:space="preserve"> </w:t>
      </w:r>
      <w:r w:rsidRPr="00382917">
        <w:t>enough!</w:t>
      </w:r>
      <w:r w:rsidR="00EE4FC3">
        <w:t xml:space="preserve">  </w:t>
      </w:r>
      <w:r w:rsidRPr="00382917">
        <w:t>No</w:t>
      </w:r>
      <w:r w:rsidR="00EE4FC3">
        <w:t xml:space="preserve"> </w:t>
      </w:r>
      <w:r w:rsidRPr="00382917">
        <w:t>need</w:t>
      </w:r>
      <w:r w:rsidR="00EE4FC3">
        <w:t xml:space="preserve"> </w:t>
      </w:r>
      <w:r w:rsidRPr="00382917">
        <w:t>to</w:t>
      </w:r>
      <w:r w:rsidR="00EE4FC3">
        <w:t xml:space="preserve"> </w:t>
      </w:r>
      <w:r w:rsidRPr="00382917">
        <w:t>bring</w:t>
      </w:r>
      <w:r w:rsidR="00EE4FC3">
        <w:t xml:space="preserve"> </w:t>
      </w:r>
      <w:r w:rsidRPr="00382917">
        <w:t>any</w:t>
      </w:r>
      <w:r w:rsidR="00EE4FC3">
        <w:t xml:space="preserve"> </w:t>
      </w:r>
      <w:r w:rsidRPr="00382917">
        <w:t>more</w:t>
      </w:r>
      <w:r w:rsidR="00EE4FC3">
        <w:t xml:space="preserve"> </w:t>
      </w:r>
      <w:r w:rsidRPr="00382917">
        <w:t>members</w:t>
      </w:r>
      <w:r w:rsidR="00EE4FC3">
        <w:t xml:space="preserve"> </w:t>
      </w:r>
      <w:r w:rsidRPr="00382917">
        <w:t>of</w:t>
      </w:r>
      <w:r w:rsidR="00EE4FC3">
        <w:t xml:space="preserve"> </w:t>
      </w:r>
      <w:r w:rsidRPr="00382917">
        <w:t>this</w:t>
      </w:r>
      <w:r w:rsidR="00EE4FC3">
        <w:t xml:space="preserve"> </w:t>
      </w:r>
      <w:r w:rsidRPr="00382917">
        <w:t>hateful</w:t>
      </w:r>
      <w:r w:rsidR="00EE4FC3">
        <w:t xml:space="preserve"> </w:t>
      </w:r>
      <w:r w:rsidRPr="00382917">
        <w:t>people</w:t>
      </w:r>
      <w:r w:rsidR="00EE4FC3">
        <w:t xml:space="preserve"> </w:t>
      </w:r>
      <w:r w:rsidRPr="00382917">
        <w:t>before</w:t>
      </w:r>
      <w:r w:rsidR="00EE4FC3">
        <w:t xml:space="preserve"> </w:t>
      </w:r>
      <w:r w:rsidRPr="00382917">
        <w:t>me.</w:t>
      </w:r>
      <w:r w:rsidR="00EE4FC3">
        <w:t xml:space="preserve">  </w:t>
      </w:r>
      <w:r w:rsidRPr="00382917">
        <w:t>Words</w:t>
      </w:r>
      <w:r w:rsidR="00EE4FC3">
        <w:t xml:space="preserve"> </w:t>
      </w:r>
      <w:r w:rsidRPr="00382917">
        <w:t>are</w:t>
      </w:r>
      <w:r w:rsidR="00EE4FC3">
        <w:t xml:space="preserve"> </w:t>
      </w:r>
      <w:r w:rsidRPr="00382917">
        <w:t>powerless</w:t>
      </w:r>
      <w:r w:rsidR="00EE4FC3">
        <w:t xml:space="preserve"> </w:t>
      </w:r>
      <w:r w:rsidRPr="00382917">
        <w:t>to</w:t>
      </w:r>
      <w:r w:rsidR="00EE4FC3">
        <w:t xml:space="preserve"> </w:t>
      </w:r>
      <w:r w:rsidRPr="00382917">
        <w:t>overcome</w:t>
      </w:r>
      <w:r w:rsidR="00EE4FC3">
        <w:t xml:space="preserve"> </w:t>
      </w:r>
      <w:r w:rsidRPr="00382917">
        <w:t>their</w:t>
      </w:r>
      <w:r w:rsidR="00EE4FC3">
        <w:t xml:space="preserve"> </w:t>
      </w:r>
      <w:r w:rsidRPr="00382917">
        <w:t>unswerving</w:t>
      </w:r>
      <w:r w:rsidR="00EE4FC3">
        <w:t xml:space="preserve"> </w:t>
      </w:r>
      <w:r w:rsidRPr="00382917">
        <w:t>obstinacy.</w:t>
      </w:r>
      <w:r w:rsidR="00EE4FC3">
        <w:t xml:space="preserve">  </w:t>
      </w:r>
      <w:r w:rsidRPr="00382917">
        <w:t>Whomever</w:t>
      </w:r>
      <w:r w:rsidR="00EE4FC3">
        <w:t xml:space="preserve"> </w:t>
      </w:r>
      <w:r w:rsidRPr="00382917">
        <w:t>you</w:t>
      </w:r>
      <w:r w:rsidR="00EE4FC3">
        <w:t xml:space="preserve"> </w:t>
      </w:r>
      <w:r w:rsidRPr="00382917">
        <w:t>are</w:t>
      </w:r>
      <w:r w:rsidR="00EE4FC3">
        <w:t xml:space="preserve"> </w:t>
      </w:r>
      <w:r w:rsidRPr="00382917">
        <w:t>able</w:t>
      </w:r>
      <w:r w:rsidR="00EE4FC3">
        <w:t xml:space="preserve"> </w:t>
      </w:r>
      <w:r w:rsidRPr="00382917">
        <w:t>to</w:t>
      </w:r>
      <w:r w:rsidR="00EE4FC3">
        <w:t xml:space="preserve"> </w:t>
      </w:r>
      <w:r w:rsidRPr="00382917">
        <w:t>induce</w:t>
      </w:r>
      <w:r w:rsidR="00EE4FC3">
        <w:t xml:space="preserve"> </w:t>
      </w:r>
      <w:r w:rsidRPr="00382917">
        <w:t>to</w:t>
      </w:r>
      <w:r w:rsidR="00EE4FC3">
        <w:t xml:space="preserve"> </w:t>
      </w:r>
      <w:r w:rsidRPr="00382917">
        <w:t>deny</w:t>
      </w:r>
      <w:r w:rsidR="00EE4FC3">
        <w:t xml:space="preserve"> </w:t>
      </w:r>
      <w:r w:rsidRPr="00382917">
        <w:t>his</w:t>
      </w:r>
      <w:r w:rsidR="00EE4FC3">
        <w:t xml:space="preserve"> </w:t>
      </w:r>
      <w:r w:rsidRPr="00382917">
        <w:t>Faith,</w:t>
      </w:r>
      <w:r w:rsidR="00EE4FC3">
        <w:t xml:space="preserve"> </w:t>
      </w:r>
      <w:r w:rsidRPr="00382917">
        <w:t>release</w:t>
      </w:r>
      <w:r w:rsidR="00EE4FC3">
        <w:t xml:space="preserve"> </w:t>
      </w:r>
      <w:r w:rsidRPr="00382917">
        <w:t>him.</w:t>
      </w:r>
      <w:r w:rsidR="00EE4FC3">
        <w:t xml:space="preserve">  </w:t>
      </w:r>
      <w:r w:rsidRPr="00382917">
        <w:t>As</w:t>
      </w:r>
      <w:r w:rsidR="00EE4FC3">
        <w:t xml:space="preserve"> </w:t>
      </w:r>
      <w:r w:rsidRPr="00382917">
        <w:t>for</w:t>
      </w:r>
      <w:r w:rsidR="00EE4FC3">
        <w:t xml:space="preserve"> </w:t>
      </w:r>
      <w:r w:rsidRPr="00382917">
        <w:t>the</w:t>
      </w:r>
      <w:r w:rsidR="00EE4FC3">
        <w:t xml:space="preserve"> </w:t>
      </w:r>
      <w:r w:rsidRPr="00382917">
        <w:t>rest,</w:t>
      </w:r>
      <w:r w:rsidR="00EE4FC3">
        <w:t xml:space="preserve"> </w:t>
      </w:r>
      <w:r w:rsidRPr="00382917">
        <w:t>strike</w:t>
      </w:r>
      <w:r w:rsidR="00EE4FC3">
        <w:t xml:space="preserve"> </w:t>
      </w:r>
      <w:r w:rsidRPr="00382917">
        <w:t>off</w:t>
      </w:r>
      <w:r w:rsidR="00EE4FC3">
        <w:t xml:space="preserve"> </w:t>
      </w:r>
      <w:r w:rsidRPr="00382917">
        <w:t>their</w:t>
      </w:r>
      <w:r w:rsidR="00EE4FC3">
        <w:t xml:space="preserve"> </w:t>
      </w:r>
      <w:r w:rsidRPr="00382917">
        <w:t>heads</w:t>
      </w:r>
      <w:proofErr w:type="gramStart"/>
      <w:r w:rsidRPr="00382917">
        <w:t>!</w:t>
      </w:r>
      <w:r w:rsidR="00EE4FC3">
        <w:t xml:space="preserve"> </w:t>
      </w:r>
      <w:proofErr w:type="gramEnd"/>
      <w:r w:rsidRPr="00382917">
        <w:t>I</w:t>
      </w:r>
      <w:r w:rsidR="00EE4FC3">
        <w:t xml:space="preserve"> </w:t>
      </w:r>
      <w:r w:rsidRPr="00382917">
        <w:t>will</w:t>
      </w:r>
      <w:r w:rsidR="00EE4FC3">
        <w:t xml:space="preserve"> </w:t>
      </w:r>
      <w:r w:rsidRPr="00382917">
        <w:t>face</w:t>
      </w:r>
      <w:r w:rsidR="00EE4FC3">
        <w:t xml:space="preserve"> </w:t>
      </w:r>
      <w:r w:rsidRPr="00382917">
        <w:t>no</w:t>
      </w:r>
      <w:r w:rsidR="00EE4FC3">
        <w:t xml:space="preserve"> </w:t>
      </w:r>
      <w:r w:rsidRPr="00382917">
        <w:t>more</w:t>
      </w:r>
      <w:r w:rsidR="00EE4FC3">
        <w:t xml:space="preserve"> </w:t>
      </w:r>
      <w:r w:rsidRPr="00382917">
        <w:t>of</w:t>
      </w:r>
      <w:r w:rsidR="00EE4FC3">
        <w:t xml:space="preserve"> </w:t>
      </w:r>
      <w:r w:rsidRPr="00382917">
        <w:t>them!</w:t>
      </w:r>
      <w:r w:rsidR="009C713D" w:rsidRPr="00382917">
        <w:t>”</w:t>
      </w:r>
    </w:p>
    <w:p w:rsidR="00582826" w:rsidRPr="00382917" w:rsidRDefault="00582826" w:rsidP="00582826">
      <w:pPr>
        <w:pStyle w:val="Text"/>
      </w:pPr>
      <w:r w:rsidRPr="00382917">
        <w:t>As</w:t>
      </w:r>
      <w:r w:rsidR="00EE4FC3">
        <w:t xml:space="preserve"> </w:t>
      </w:r>
      <w:r w:rsidRPr="00382917">
        <w:t>Qurbán</w:t>
      </w:r>
      <w:r w:rsidR="00EE4FC3">
        <w:t xml:space="preserve"> </w:t>
      </w:r>
      <w:r w:rsidR="0040329F" w:rsidRPr="00382917">
        <w:t>‘Al</w:t>
      </w:r>
      <w:r w:rsidR="0040329F" w:rsidRPr="0040329F">
        <w:t>í</w:t>
      </w:r>
      <w:r w:rsidR="00EE4FC3">
        <w:t xml:space="preserve"> </w:t>
      </w:r>
      <w:r w:rsidRPr="00382917">
        <w:t>was</w:t>
      </w:r>
      <w:r w:rsidR="00EE4FC3">
        <w:t xml:space="preserve"> </w:t>
      </w:r>
      <w:r w:rsidRPr="00382917">
        <w:t>led</w:t>
      </w:r>
      <w:r w:rsidR="00EE4FC3">
        <w:t xml:space="preserve"> </w:t>
      </w:r>
      <w:r w:rsidRPr="00382917">
        <w:t>to</w:t>
      </w:r>
      <w:r w:rsidR="00EE4FC3">
        <w:t xml:space="preserve"> </w:t>
      </w:r>
      <w:r w:rsidRPr="00382917">
        <w:t>the</w:t>
      </w:r>
      <w:r w:rsidR="00EE4FC3">
        <w:t xml:space="preserve"> </w:t>
      </w:r>
      <w:r w:rsidRPr="00382917">
        <w:t>scene</w:t>
      </w:r>
      <w:r w:rsidR="00EE4FC3">
        <w:t xml:space="preserve"> </w:t>
      </w:r>
      <w:r w:rsidRPr="00382917">
        <w:t>of</w:t>
      </w:r>
      <w:r w:rsidR="00EE4FC3">
        <w:t xml:space="preserve"> </w:t>
      </w:r>
      <w:r w:rsidRPr="00382917">
        <w:t>his</w:t>
      </w:r>
      <w:r w:rsidR="00EE4FC3">
        <w:t xml:space="preserve"> </w:t>
      </w:r>
      <w:r w:rsidRPr="00382917">
        <w:t>death,</w:t>
      </w:r>
      <w:r w:rsidR="00EE4FC3">
        <w:t xml:space="preserve"> </w:t>
      </w:r>
      <w:r w:rsidRPr="00382917">
        <w:t>he</w:t>
      </w:r>
      <w:r w:rsidR="00EE4FC3">
        <w:t xml:space="preserve"> </w:t>
      </w:r>
      <w:r w:rsidRPr="00382917">
        <w:t>spoke</w:t>
      </w:r>
      <w:r w:rsidR="00EE4FC3">
        <w:t xml:space="preserve"> </w:t>
      </w:r>
      <w:r w:rsidRPr="00382917">
        <w:t>with</w:t>
      </w:r>
      <w:r w:rsidR="00EE4FC3">
        <w:t xml:space="preserve"> </w:t>
      </w:r>
      <w:r w:rsidRPr="00382917">
        <w:t>exultation</w:t>
      </w:r>
      <w:r w:rsidR="00330AF7">
        <w:t>.</w:t>
      </w:r>
      <w:r w:rsidR="00EE4FC3">
        <w:t xml:space="preserve">  </w:t>
      </w:r>
      <w:r w:rsidR="009C713D" w:rsidRPr="00382917">
        <w:t>“</w:t>
      </w:r>
      <w:r w:rsidRPr="00382917">
        <w:t>Hasten</w:t>
      </w:r>
      <w:r w:rsidR="00EE4FC3">
        <w:t xml:space="preserve"> </w:t>
      </w:r>
      <w:r w:rsidRPr="00382917">
        <w:t>to</w:t>
      </w:r>
      <w:r w:rsidR="00EE4FC3">
        <w:t xml:space="preserve"> </w:t>
      </w:r>
      <w:r w:rsidRPr="00382917">
        <w:t>slay</w:t>
      </w:r>
      <w:r w:rsidR="00EE4FC3">
        <w:t xml:space="preserve"> </w:t>
      </w:r>
      <w:r w:rsidRPr="00382917">
        <w:t>me,</w:t>
      </w:r>
      <w:r w:rsidR="009C713D" w:rsidRPr="00382917">
        <w:t>”</w:t>
      </w:r>
      <w:r w:rsidR="00EE4FC3">
        <w:t xml:space="preserve"> </w:t>
      </w:r>
      <w:r w:rsidRPr="00382917">
        <w:t>he</w:t>
      </w:r>
      <w:r w:rsidR="00EE4FC3">
        <w:t xml:space="preserve"> </w:t>
      </w:r>
      <w:r w:rsidRPr="00382917">
        <w:t>cried,</w:t>
      </w:r>
      <w:r w:rsidR="00EE4FC3">
        <w:t xml:space="preserve"> </w:t>
      </w:r>
      <w:r w:rsidR="009C713D" w:rsidRPr="00382917">
        <w:t>“</w:t>
      </w:r>
      <w:r w:rsidRPr="00382917">
        <w:t>for</w:t>
      </w:r>
      <w:r w:rsidR="00EE4FC3">
        <w:t xml:space="preserve"> </w:t>
      </w:r>
      <w:r w:rsidRPr="00382917">
        <w:t>by</w:t>
      </w:r>
      <w:r w:rsidR="00EE4FC3">
        <w:t xml:space="preserve"> </w:t>
      </w:r>
      <w:r w:rsidRPr="00382917">
        <w:t>this</w:t>
      </w:r>
      <w:r w:rsidR="00EE4FC3">
        <w:t xml:space="preserve"> </w:t>
      </w:r>
      <w:r w:rsidRPr="00382917">
        <w:t>death</w:t>
      </w:r>
      <w:r w:rsidR="00EE4FC3">
        <w:t xml:space="preserve"> </w:t>
      </w:r>
      <w:r w:rsidRPr="00382917">
        <w:t>you</w:t>
      </w:r>
      <w:r w:rsidR="00EE4FC3">
        <w:t xml:space="preserve"> </w:t>
      </w:r>
      <w:r w:rsidRPr="00382917">
        <w:t>will</w:t>
      </w:r>
      <w:r w:rsidR="00EE4FC3">
        <w:t xml:space="preserve"> </w:t>
      </w:r>
      <w:r w:rsidRPr="00382917">
        <w:t>have</w:t>
      </w:r>
      <w:r w:rsidR="00EE4FC3">
        <w:t xml:space="preserve"> </w:t>
      </w:r>
      <w:r w:rsidRPr="00382917">
        <w:t>offered</w:t>
      </w:r>
      <w:r w:rsidR="00EE4FC3">
        <w:t xml:space="preserve"> </w:t>
      </w:r>
      <w:r w:rsidRPr="00382917">
        <w:t>me</w:t>
      </w:r>
      <w:r w:rsidR="00EE4FC3">
        <w:t xml:space="preserve"> </w:t>
      </w:r>
      <w:r w:rsidRPr="00382917">
        <w:t>the</w:t>
      </w:r>
      <w:r w:rsidR="00EE4FC3">
        <w:t xml:space="preserve"> </w:t>
      </w:r>
      <w:r w:rsidRPr="00382917">
        <w:t>cup</w:t>
      </w:r>
      <w:r w:rsidR="00EE4FC3">
        <w:t xml:space="preserve"> </w:t>
      </w:r>
      <w:r w:rsidRPr="00382917">
        <w:t>of</w:t>
      </w:r>
      <w:r w:rsidR="00EE4FC3">
        <w:t xml:space="preserve"> </w:t>
      </w:r>
      <w:r w:rsidRPr="00382917">
        <w:t>everlasting</w:t>
      </w:r>
      <w:r w:rsidR="00EE4FC3">
        <w:t xml:space="preserve"> </w:t>
      </w:r>
      <w:r w:rsidRPr="00382917">
        <w:t>life</w:t>
      </w:r>
      <w:r w:rsidR="00330AF7">
        <w:t>.</w:t>
      </w:r>
      <w:r w:rsidR="00EE4FC3">
        <w:t xml:space="preserve">  </w:t>
      </w:r>
      <w:r w:rsidRPr="00382917">
        <w:t>In</w:t>
      </w:r>
      <w:r w:rsidR="00EE4FC3">
        <w:t xml:space="preserve"> </w:t>
      </w:r>
      <w:r w:rsidRPr="00382917">
        <w:t>exchange</w:t>
      </w:r>
      <w:r w:rsidR="00EE4FC3">
        <w:t xml:space="preserve"> </w:t>
      </w:r>
      <w:r w:rsidRPr="00382917">
        <w:t>for</w:t>
      </w:r>
      <w:r w:rsidR="00EE4FC3">
        <w:t xml:space="preserve"> </w:t>
      </w:r>
      <w:r w:rsidRPr="00382917">
        <w:t>this</w:t>
      </w:r>
      <w:r w:rsidR="00EE4FC3">
        <w:t xml:space="preserve"> </w:t>
      </w:r>
      <w:r w:rsidRPr="00382917">
        <w:t>withered</w:t>
      </w:r>
      <w:r w:rsidR="00EE4FC3">
        <w:t xml:space="preserve"> </w:t>
      </w:r>
      <w:r w:rsidRPr="00382917">
        <w:t>breath</w:t>
      </w:r>
      <w:r w:rsidR="00EE4FC3">
        <w:t xml:space="preserve"> </w:t>
      </w:r>
      <w:r w:rsidRPr="00382917">
        <w:t>which</w:t>
      </w:r>
      <w:r w:rsidR="00EE4FC3">
        <w:t xml:space="preserve"> </w:t>
      </w:r>
      <w:r w:rsidRPr="00382917">
        <w:t>you</w:t>
      </w:r>
      <w:r w:rsidR="00EE4FC3">
        <w:t xml:space="preserve"> </w:t>
      </w:r>
      <w:r w:rsidRPr="00382917">
        <w:t>now</w:t>
      </w:r>
      <w:r w:rsidR="00EE4FC3">
        <w:t xml:space="preserve"> </w:t>
      </w:r>
      <w:r w:rsidRPr="00382917">
        <w:t>extinguish,</w:t>
      </w:r>
      <w:r w:rsidR="00EE4FC3">
        <w:t xml:space="preserve"> </w:t>
      </w:r>
      <w:r w:rsidRPr="00382917">
        <w:t>my</w:t>
      </w:r>
      <w:r w:rsidR="00EE4FC3">
        <w:t xml:space="preserve"> </w:t>
      </w:r>
      <w:r w:rsidRPr="00382917">
        <w:t>Beloved</w:t>
      </w:r>
      <w:r w:rsidR="00EE4FC3">
        <w:t xml:space="preserve"> </w:t>
      </w:r>
      <w:r w:rsidRPr="00382917">
        <w:t>will</w:t>
      </w:r>
      <w:r w:rsidR="00EE4FC3">
        <w:t xml:space="preserve"> </w:t>
      </w:r>
      <w:r w:rsidRPr="00382917">
        <w:t>reward</w:t>
      </w:r>
      <w:r w:rsidR="00EE4FC3">
        <w:t xml:space="preserve"> </w:t>
      </w:r>
      <w:r w:rsidRPr="00382917">
        <w:t>me</w:t>
      </w:r>
      <w:r w:rsidR="00EE4FC3">
        <w:t xml:space="preserve"> </w:t>
      </w:r>
      <w:r w:rsidRPr="00382917">
        <w:t>with</w:t>
      </w:r>
      <w:r w:rsidR="00EE4FC3">
        <w:t xml:space="preserve"> </w:t>
      </w:r>
      <w:r w:rsidRPr="00382917">
        <w:t>a</w:t>
      </w:r>
      <w:r w:rsidR="00EE4FC3">
        <w:t xml:space="preserve"> </w:t>
      </w:r>
      <w:r w:rsidRPr="00382917">
        <w:t>life</w:t>
      </w:r>
      <w:r w:rsidR="00EE4FC3">
        <w:t xml:space="preserve"> </w:t>
      </w:r>
      <w:r w:rsidRPr="00382917">
        <w:t>such</w:t>
      </w:r>
      <w:r w:rsidR="00EE4FC3">
        <w:t xml:space="preserve"> </w:t>
      </w:r>
      <w:r w:rsidRPr="00382917">
        <w:t>as</w:t>
      </w:r>
      <w:r w:rsidR="00EE4FC3">
        <w:t xml:space="preserve"> </w:t>
      </w:r>
      <w:r w:rsidRPr="00382917">
        <w:t>no</w:t>
      </w:r>
      <w:r w:rsidR="00EE4FC3">
        <w:t xml:space="preserve"> </w:t>
      </w:r>
      <w:r w:rsidRPr="00382917">
        <w:t>mortal</w:t>
      </w:r>
      <w:r w:rsidR="00EE4FC3">
        <w:t xml:space="preserve"> </w:t>
      </w:r>
      <w:r w:rsidRPr="00382917">
        <w:t>heart</w:t>
      </w:r>
      <w:r w:rsidR="00EE4FC3">
        <w:t xml:space="preserve"> </w:t>
      </w:r>
      <w:r w:rsidRPr="00382917">
        <w:t>can</w:t>
      </w:r>
      <w:r w:rsidR="00EE4FC3">
        <w:t xml:space="preserve"> </w:t>
      </w:r>
      <w:r w:rsidRPr="00382917">
        <w:t>conceive.</w:t>
      </w:r>
      <w:r w:rsidR="009C713D" w:rsidRPr="00382917">
        <w:t>”</w:t>
      </w:r>
    </w:p>
    <w:p w:rsidR="00582826" w:rsidRPr="00382917" w:rsidRDefault="00582826" w:rsidP="00582826">
      <w:pPr>
        <w:pStyle w:val="Text"/>
      </w:pPr>
      <w:r w:rsidRPr="00382917">
        <w:t>A</w:t>
      </w:r>
      <w:r w:rsidR="00EE4FC3">
        <w:t xml:space="preserve"> </w:t>
      </w:r>
      <w:r w:rsidRPr="00382917">
        <w:t>great</w:t>
      </w:r>
      <w:r w:rsidR="00EE4FC3">
        <w:t xml:space="preserve"> </w:t>
      </w:r>
      <w:r w:rsidRPr="00382917">
        <w:t>crowd</w:t>
      </w:r>
      <w:r w:rsidR="00EE4FC3">
        <w:t xml:space="preserve"> </w:t>
      </w:r>
      <w:r w:rsidRPr="00382917">
        <w:t>pressed</w:t>
      </w:r>
      <w:r w:rsidR="00EE4FC3">
        <w:t xml:space="preserve"> </w:t>
      </w:r>
      <w:r w:rsidRPr="00382917">
        <w:t>in</w:t>
      </w:r>
      <w:r w:rsidR="00EE4FC3">
        <w:t xml:space="preserve"> </w:t>
      </w:r>
      <w:r w:rsidRPr="00382917">
        <w:t>about</w:t>
      </w:r>
      <w:r w:rsidR="00EE4FC3">
        <w:t xml:space="preserve"> </w:t>
      </w:r>
      <w:r w:rsidRPr="00382917">
        <w:t>him</w:t>
      </w:r>
      <w:r w:rsidR="00330AF7">
        <w:t>.</w:t>
      </w:r>
      <w:r w:rsidR="00EE4FC3">
        <w:t xml:space="preserve">  </w:t>
      </w:r>
      <w:r w:rsidRPr="00382917">
        <w:t>Qurbán</w:t>
      </w:r>
      <w:r w:rsidR="00EE4FC3">
        <w:t xml:space="preserve"> </w:t>
      </w:r>
      <w:r w:rsidR="0040329F" w:rsidRPr="00382917">
        <w:t>‘Al</w:t>
      </w:r>
      <w:r w:rsidR="0040329F" w:rsidRPr="0040329F">
        <w:t>í</w:t>
      </w:r>
      <w:r w:rsidR="00EE4FC3">
        <w:t xml:space="preserve"> </w:t>
      </w:r>
      <w:r w:rsidRPr="00382917">
        <w:t>addressed</w:t>
      </w:r>
      <w:r w:rsidR="00EE4FC3">
        <w:t xml:space="preserve"> </w:t>
      </w:r>
      <w:r w:rsidRPr="00382917">
        <w:t>them</w:t>
      </w:r>
      <w:r w:rsidR="00EE4FC3">
        <w:t xml:space="preserve"> </w:t>
      </w:r>
      <w:r w:rsidRPr="00382917">
        <w:t>in</w:t>
      </w:r>
      <w:r w:rsidR="00EE4FC3">
        <w:t xml:space="preserve"> </w:t>
      </w:r>
      <w:r w:rsidRPr="00382917">
        <w:t>these</w:t>
      </w:r>
      <w:r w:rsidR="00EE4FC3">
        <w:t xml:space="preserve"> </w:t>
      </w:r>
      <w:r w:rsidRPr="00382917">
        <w:t>words</w:t>
      </w:r>
      <w:r w:rsidR="00C03C91">
        <w:t>:</w:t>
      </w:r>
      <w:r w:rsidR="00EE4FC3">
        <w:t xml:space="preserve">  </w:t>
      </w:r>
      <w:r w:rsidR="009C713D" w:rsidRPr="00382917">
        <w:t>“</w:t>
      </w:r>
      <w:r w:rsidRPr="00382917">
        <w:t>The</w:t>
      </w:r>
      <w:r w:rsidR="00EE4FC3">
        <w:t xml:space="preserve"> </w:t>
      </w:r>
      <w:r w:rsidRPr="00382917">
        <w:t>Promised</w:t>
      </w:r>
      <w:r w:rsidR="00EE4FC3">
        <w:t xml:space="preserve"> </w:t>
      </w:r>
      <w:r w:rsidRPr="00382917">
        <w:t>One</w:t>
      </w:r>
      <w:r w:rsidR="00EE4FC3">
        <w:t xml:space="preserve"> </w:t>
      </w:r>
      <w:r w:rsidRPr="00382917">
        <w:t>has</w:t>
      </w:r>
      <w:r w:rsidR="00EE4FC3">
        <w:t xml:space="preserve"> </w:t>
      </w:r>
      <w:proofErr w:type="gramStart"/>
      <w:r w:rsidRPr="00382917">
        <w:t>risen</w:t>
      </w:r>
      <w:proofErr w:type="gramEnd"/>
      <w:r w:rsidR="00EE4FC3">
        <w:t xml:space="preserve"> </w:t>
      </w:r>
      <w:r w:rsidRPr="00382917">
        <w:t>from</w:t>
      </w:r>
      <w:r w:rsidR="00EE4FC3">
        <w:t xml:space="preserve"> </w:t>
      </w:r>
      <w:r w:rsidR="008A073E" w:rsidRPr="00382917">
        <w:rPr>
          <w:u w:val="single"/>
        </w:rPr>
        <w:t>Sh</w:t>
      </w:r>
      <w:r w:rsidR="008A073E" w:rsidRPr="00382917">
        <w:t>íráz</w:t>
      </w:r>
      <w:r w:rsidR="00EE4FC3">
        <w:t xml:space="preserve"> </w:t>
      </w:r>
      <w:r w:rsidRPr="00382917">
        <w:t>in</w:t>
      </w:r>
      <w:r w:rsidR="00EE4FC3">
        <w:t xml:space="preserve"> </w:t>
      </w:r>
      <w:r w:rsidRPr="00382917">
        <w:t>the</w:t>
      </w:r>
      <w:r w:rsidR="00EE4FC3">
        <w:t xml:space="preserve"> </w:t>
      </w:r>
      <w:r w:rsidRPr="00382917">
        <w:t>person</w:t>
      </w:r>
      <w:r w:rsidR="00EE4FC3">
        <w:t xml:space="preserve"> </w:t>
      </w:r>
      <w:r w:rsidRPr="00382917">
        <w:t>of</w:t>
      </w:r>
      <w:r w:rsidR="00EE4FC3">
        <w:t xml:space="preserve"> </w:t>
      </w:r>
      <w:r w:rsidRPr="00382917">
        <w:t>His</w:t>
      </w:r>
      <w:r w:rsidR="00EE4FC3">
        <w:t xml:space="preserve"> </w:t>
      </w:r>
      <w:r w:rsidRPr="00382917">
        <w:t>Holiness</w:t>
      </w:r>
      <w:r w:rsidR="00EE4FC3">
        <w:t xml:space="preserve"> </w:t>
      </w:r>
      <w:r w:rsidRPr="00382917">
        <w:t>the</w:t>
      </w:r>
      <w:r w:rsidR="00EE4FC3">
        <w:t xml:space="preserve"> </w:t>
      </w:r>
      <w:r w:rsidRPr="00382917">
        <w:t>Báb.</w:t>
      </w:r>
      <w:r w:rsidR="009C713D" w:rsidRPr="00382917">
        <w:t>”</w:t>
      </w:r>
      <w:r w:rsidR="00EE4FC3">
        <w:t xml:space="preserve">  </w:t>
      </w:r>
      <w:r w:rsidRPr="00382917">
        <w:t>The</w:t>
      </w:r>
      <w:r w:rsidR="00EE4FC3">
        <w:t xml:space="preserve"> </w:t>
      </w:r>
      <w:r w:rsidRPr="00382917">
        <w:t>people</w:t>
      </w:r>
      <w:r w:rsidR="00EE4FC3">
        <w:t xml:space="preserve"> </w:t>
      </w:r>
      <w:r w:rsidRPr="00382917">
        <w:t>shouted</w:t>
      </w:r>
      <w:r w:rsidR="00EE4FC3">
        <w:t xml:space="preserve"> </w:t>
      </w:r>
      <w:r w:rsidRPr="00382917">
        <w:t>at</w:t>
      </w:r>
      <w:r w:rsidR="00EE4FC3">
        <w:t xml:space="preserve"> </w:t>
      </w:r>
      <w:r w:rsidRPr="00382917">
        <w:t>him,</w:t>
      </w:r>
      <w:r w:rsidR="00EE4FC3">
        <w:t xml:space="preserve"> </w:t>
      </w:r>
      <w:r w:rsidRPr="00382917">
        <w:t>deaf</w:t>
      </w:r>
      <w:r w:rsidR="00EE4FC3">
        <w:t xml:space="preserve"> </w:t>
      </w:r>
      <w:r w:rsidRPr="00382917">
        <w:t>to</w:t>
      </w:r>
      <w:r w:rsidR="00EE4FC3">
        <w:t xml:space="preserve"> </w:t>
      </w:r>
      <w:r w:rsidRPr="00382917">
        <w:t>his</w:t>
      </w:r>
      <w:r w:rsidR="00EE4FC3">
        <w:t xml:space="preserve"> </w:t>
      </w:r>
      <w:r w:rsidRPr="00382917">
        <w:t>call</w:t>
      </w:r>
      <w:r w:rsidR="00330AF7">
        <w:t>.</w:t>
      </w:r>
      <w:r w:rsidR="00EE4FC3">
        <w:t xml:space="preserve">  </w:t>
      </w:r>
      <w:r w:rsidRPr="00382917">
        <w:t>Their</w:t>
      </w:r>
      <w:r w:rsidR="00EE4FC3">
        <w:t xml:space="preserve"> </w:t>
      </w:r>
      <w:r w:rsidRPr="00382917">
        <w:t>mocking</w:t>
      </w:r>
      <w:r w:rsidR="00EE4FC3">
        <w:t xml:space="preserve"> </w:t>
      </w:r>
      <w:r w:rsidRPr="00382917">
        <w:t>cries</w:t>
      </w:r>
      <w:r w:rsidR="00EE4FC3">
        <w:t xml:space="preserve"> </w:t>
      </w:r>
      <w:r w:rsidRPr="00382917">
        <w:t>drowned</w:t>
      </w:r>
      <w:r w:rsidR="00EE4FC3">
        <w:t xml:space="preserve"> </w:t>
      </w:r>
      <w:r w:rsidRPr="00382917">
        <w:t>out</w:t>
      </w:r>
      <w:r w:rsidR="00EE4FC3">
        <w:t xml:space="preserve"> </w:t>
      </w:r>
      <w:r w:rsidRPr="00382917">
        <w:t>his</w:t>
      </w:r>
      <w:r w:rsidR="00EE4FC3">
        <w:t xml:space="preserve"> </w:t>
      </w:r>
      <w:r w:rsidRPr="00382917">
        <w:t>words</w:t>
      </w:r>
      <w:r w:rsidR="00330AF7">
        <w:t>.</w:t>
      </w:r>
      <w:r w:rsidR="00EE4FC3">
        <w:t xml:space="preserve">  </w:t>
      </w:r>
      <w:r w:rsidRPr="00382917">
        <w:t>His</w:t>
      </w:r>
      <w:r w:rsidR="00EE4FC3">
        <w:t xml:space="preserve"> </w:t>
      </w:r>
      <w:r w:rsidRPr="00382917">
        <w:t>friends</w:t>
      </w:r>
      <w:r w:rsidR="00EE4FC3">
        <w:t xml:space="preserve"> </w:t>
      </w:r>
      <w:r w:rsidRPr="00382917">
        <w:t>had</w:t>
      </w:r>
      <w:r w:rsidR="00EE4FC3">
        <w:t xml:space="preserve"> </w:t>
      </w:r>
      <w:r w:rsidRPr="00382917">
        <w:t>now</w:t>
      </w:r>
      <w:r w:rsidR="00EE4FC3">
        <w:t xml:space="preserve"> </w:t>
      </w:r>
      <w:r w:rsidRPr="00382917">
        <w:t>withdrawn,</w:t>
      </w:r>
      <w:r w:rsidR="00EE4FC3">
        <w:t xml:space="preserve"> </w:t>
      </w:r>
      <w:r w:rsidRPr="00382917">
        <w:t>unable</w:t>
      </w:r>
      <w:r w:rsidR="00EE4FC3">
        <w:t xml:space="preserve"> </w:t>
      </w:r>
      <w:r w:rsidRPr="00382917">
        <w:t>to</w:t>
      </w:r>
      <w:r w:rsidR="00EE4FC3">
        <w:t xml:space="preserve"> </w:t>
      </w:r>
      <w:r w:rsidRPr="00382917">
        <w:t>look</w:t>
      </w:r>
      <w:r w:rsidR="00EE4FC3">
        <w:t xml:space="preserve"> </w:t>
      </w:r>
      <w:r w:rsidRPr="00382917">
        <w:t>upon</w:t>
      </w:r>
      <w:r w:rsidR="00EE4FC3">
        <w:t xml:space="preserve"> </w:t>
      </w:r>
      <w:r w:rsidRPr="00382917">
        <w:t>the</w:t>
      </w:r>
      <w:r w:rsidR="00EE4FC3">
        <w:t xml:space="preserve"> </w:t>
      </w:r>
      <w:r w:rsidRPr="00382917">
        <w:t>tragic</w:t>
      </w:r>
      <w:r w:rsidR="00EE4FC3">
        <w:t xml:space="preserve"> </w:t>
      </w:r>
      <w:r w:rsidRPr="00382917">
        <w:t>sight</w:t>
      </w:r>
      <w:r w:rsidR="00330AF7">
        <w:t>.</w:t>
      </w:r>
      <w:r w:rsidR="00EE4FC3">
        <w:t xml:space="preserve">  </w:t>
      </w:r>
      <w:r w:rsidRPr="00382917">
        <w:t>The</w:t>
      </w:r>
      <w:r w:rsidR="00EE4FC3">
        <w:t xml:space="preserve"> </w:t>
      </w:r>
      <w:r w:rsidRPr="00382917">
        <w:t>mob,</w:t>
      </w:r>
      <w:r w:rsidR="00EE4FC3">
        <w:t xml:space="preserve"> </w:t>
      </w:r>
      <w:r w:rsidRPr="00382917">
        <w:t>seeing</w:t>
      </w:r>
      <w:r w:rsidR="00EE4FC3">
        <w:t xml:space="preserve"> </w:t>
      </w:r>
      <w:r w:rsidRPr="00382917">
        <w:t>a</w:t>
      </w:r>
      <w:r w:rsidR="00EE4FC3">
        <w:t xml:space="preserve"> </w:t>
      </w:r>
      <w:r w:rsidRPr="00382917">
        <w:t>great</w:t>
      </w:r>
      <w:r w:rsidR="00EE4FC3">
        <w:t xml:space="preserve"> </w:t>
      </w:r>
      <w:r w:rsidRPr="00382917">
        <w:t>one</w:t>
      </w:r>
      <w:r w:rsidR="00EE4FC3">
        <w:t xml:space="preserve"> </w:t>
      </w:r>
      <w:r w:rsidRPr="00382917">
        <w:t>fallen,</w:t>
      </w:r>
      <w:r w:rsidR="00EE4FC3">
        <w:t xml:space="preserve"> </w:t>
      </w:r>
      <w:r w:rsidRPr="00382917">
        <w:t>was</w:t>
      </w:r>
      <w:r w:rsidR="00EE4FC3">
        <w:t xml:space="preserve"> </w:t>
      </w:r>
      <w:r w:rsidRPr="00382917">
        <w:t>now</w:t>
      </w:r>
      <w:r w:rsidR="00EE4FC3">
        <w:t xml:space="preserve"> </w:t>
      </w:r>
      <w:r w:rsidRPr="00382917">
        <w:t>eager</w:t>
      </w:r>
      <w:r w:rsidR="00EE4FC3">
        <w:t xml:space="preserve"> </w:t>
      </w:r>
      <w:r w:rsidRPr="00382917">
        <w:t>for</w:t>
      </w:r>
      <w:r w:rsidR="00EE4FC3">
        <w:t xml:space="preserve"> </w:t>
      </w:r>
      <w:r w:rsidRPr="00382917">
        <w:t>his</w:t>
      </w:r>
      <w:r w:rsidR="00EE4FC3">
        <w:t xml:space="preserve"> </w:t>
      </w:r>
      <w:r w:rsidRPr="00382917">
        <w:t>finish.</w:t>
      </w:r>
    </w:p>
    <w:p w:rsidR="00582826" w:rsidRPr="00382917" w:rsidRDefault="00582826">
      <w:pPr>
        <w:widowControl/>
        <w:kinsoku/>
        <w:overflowPunct/>
        <w:textAlignment w:val="auto"/>
      </w:pPr>
      <w:r w:rsidRPr="00382917">
        <w:br w:type="page"/>
      </w:r>
    </w:p>
    <w:p w:rsidR="00582826" w:rsidRPr="00382917" w:rsidRDefault="009C713D" w:rsidP="00582826">
      <w:pPr>
        <w:pStyle w:val="Text"/>
      </w:pPr>
      <w:r w:rsidRPr="00382917">
        <w:t>“</w:t>
      </w:r>
      <w:r w:rsidR="00582826" w:rsidRPr="00382917">
        <w:t>Strike</w:t>
      </w:r>
      <w:r w:rsidR="00EE4FC3">
        <w:t xml:space="preserve"> </w:t>
      </w:r>
      <w:r w:rsidR="00582826" w:rsidRPr="00382917">
        <w:t>him!</w:t>
      </w:r>
      <w:r w:rsidRPr="00382917">
        <w:t>”</w:t>
      </w:r>
      <w:r w:rsidR="00EE4FC3">
        <w:t xml:space="preserve"> </w:t>
      </w:r>
      <w:r w:rsidR="00582826" w:rsidRPr="00382917">
        <w:t>they</w:t>
      </w:r>
      <w:r w:rsidR="00EE4FC3">
        <w:t xml:space="preserve"> </w:t>
      </w:r>
      <w:r w:rsidR="00582826" w:rsidRPr="00382917">
        <w:t>cried</w:t>
      </w:r>
      <w:r w:rsidR="00EE4FC3">
        <w:t xml:space="preserve"> </w:t>
      </w:r>
      <w:r w:rsidR="00582826" w:rsidRPr="00382917">
        <w:t>out</w:t>
      </w:r>
      <w:r w:rsidR="00330AF7">
        <w:t>.</w:t>
      </w:r>
      <w:r w:rsidR="00EE4FC3">
        <w:t xml:space="preserve">  </w:t>
      </w:r>
      <w:r w:rsidRPr="00382917">
        <w:t>“</w:t>
      </w:r>
      <w:r w:rsidR="00582826" w:rsidRPr="00382917">
        <w:t>Slay</w:t>
      </w:r>
      <w:r w:rsidR="00EE4FC3">
        <w:t xml:space="preserve"> </w:t>
      </w:r>
      <w:r w:rsidR="00582826" w:rsidRPr="00382917">
        <w:t>the</w:t>
      </w:r>
      <w:r w:rsidR="00EE4FC3">
        <w:t xml:space="preserve"> </w:t>
      </w:r>
      <w:r w:rsidR="00582826" w:rsidRPr="00382917">
        <w:t>enemy</w:t>
      </w:r>
      <w:r w:rsidR="00EE4FC3">
        <w:t xml:space="preserve"> </w:t>
      </w:r>
      <w:r w:rsidR="00582826" w:rsidRPr="00382917">
        <w:t>of</w:t>
      </w:r>
      <w:r w:rsidR="00EE4FC3">
        <w:t xml:space="preserve"> </w:t>
      </w:r>
      <w:r w:rsidR="00582826" w:rsidRPr="00382917">
        <w:t>God!</w:t>
      </w:r>
      <w:r w:rsidRPr="00382917">
        <w:t>”</w:t>
      </w:r>
    </w:p>
    <w:p w:rsidR="00582826" w:rsidRPr="00382917" w:rsidRDefault="00582826" w:rsidP="00582826">
      <w:pPr>
        <w:pStyle w:val="Text"/>
      </w:pPr>
      <w:r w:rsidRPr="00382917">
        <w:t>Qurbán</w:t>
      </w:r>
      <w:r w:rsidR="00EE4FC3">
        <w:t xml:space="preserve"> </w:t>
      </w:r>
      <w:r w:rsidR="0040329F" w:rsidRPr="00382917">
        <w:t>‘Al</w:t>
      </w:r>
      <w:r w:rsidR="0040329F" w:rsidRPr="0040329F">
        <w:t>í</w:t>
      </w:r>
      <w:r w:rsidR="00EE4FC3">
        <w:t xml:space="preserve"> </w:t>
      </w:r>
      <w:r w:rsidRPr="00382917">
        <w:t>sighed</w:t>
      </w:r>
      <w:r w:rsidR="00EE4FC3">
        <w:t xml:space="preserve"> </w:t>
      </w:r>
      <w:r w:rsidRPr="00382917">
        <w:t>sadly</w:t>
      </w:r>
      <w:r w:rsidR="00330AF7">
        <w:t>.</w:t>
      </w:r>
      <w:r w:rsidR="00EE4FC3">
        <w:t xml:space="preserve">  </w:t>
      </w:r>
      <w:r w:rsidR="009C713D" w:rsidRPr="00382917">
        <w:t>“</w:t>
      </w:r>
      <w:r w:rsidRPr="00382917">
        <w:t>Oh</w:t>
      </w:r>
      <w:r w:rsidR="00EE4FC3">
        <w:t xml:space="preserve"> </w:t>
      </w:r>
      <w:r w:rsidRPr="00382917">
        <w:t>the</w:t>
      </w:r>
      <w:r w:rsidR="00EE4FC3">
        <w:t xml:space="preserve"> </w:t>
      </w:r>
      <w:r w:rsidRPr="00382917">
        <w:t>blindness</w:t>
      </w:r>
      <w:r w:rsidR="00EE4FC3">
        <w:t xml:space="preserve"> </w:t>
      </w:r>
      <w:r w:rsidRPr="00382917">
        <w:t>of</w:t>
      </w:r>
      <w:r w:rsidR="00EE4FC3">
        <w:t xml:space="preserve"> </w:t>
      </w:r>
      <w:r w:rsidRPr="00382917">
        <w:t>this</w:t>
      </w:r>
      <w:r w:rsidR="00EE4FC3">
        <w:t xml:space="preserve"> </w:t>
      </w:r>
      <w:r w:rsidRPr="00382917">
        <w:t>generation</w:t>
      </w:r>
      <w:proofErr w:type="gramStart"/>
      <w:r w:rsidRPr="00382917">
        <w:t>!</w:t>
      </w:r>
      <w:r w:rsidR="00EE4FC3">
        <w:t xml:space="preserve"> </w:t>
      </w:r>
      <w:proofErr w:type="gramEnd"/>
      <w:r w:rsidRPr="00382917">
        <w:t>My</w:t>
      </w:r>
      <w:r w:rsidR="00EE4FC3">
        <w:t xml:space="preserve"> </w:t>
      </w:r>
      <w:r w:rsidRPr="00382917">
        <w:t>soul</w:t>
      </w:r>
      <w:r w:rsidR="00EE4FC3">
        <w:t xml:space="preserve"> </w:t>
      </w:r>
      <w:r w:rsidRPr="00382917">
        <w:t>is</w:t>
      </w:r>
      <w:r w:rsidR="00EE4FC3">
        <w:t xml:space="preserve"> </w:t>
      </w:r>
      <w:r w:rsidRPr="00382917">
        <w:t>filled</w:t>
      </w:r>
      <w:r w:rsidR="00EE4FC3">
        <w:t xml:space="preserve"> </w:t>
      </w:r>
      <w:r w:rsidRPr="00382917">
        <w:t>with</w:t>
      </w:r>
      <w:r w:rsidR="00EE4FC3">
        <w:t xml:space="preserve"> </w:t>
      </w:r>
      <w:r w:rsidRPr="00382917">
        <w:t>ecstasy,</w:t>
      </w:r>
      <w:r w:rsidR="00EE4FC3">
        <w:t xml:space="preserve"> </w:t>
      </w:r>
      <w:r w:rsidRPr="00382917">
        <w:t>but</w:t>
      </w:r>
      <w:r w:rsidR="00EE4FC3">
        <w:t xml:space="preserve"> </w:t>
      </w:r>
      <w:r w:rsidRPr="00382917">
        <w:t>alas,</w:t>
      </w:r>
      <w:r w:rsidR="00EE4FC3">
        <w:t xml:space="preserve"> </w:t>
      </w:r>
      <w:r w:rsidRPr="00382917">
        <w:t>I</w:t>
      </w:r>
      <w:r w:rsidR="00EE4FC3">
        <w:t xml:space="preserve"> </w:t>
      </w:r>
      <w:r w:rsidRPr="00382917">
        <w:t>can</w:t>
      </w:r>
      <w:r w:rsidR="00EE4FC3">
        <w:t xml:space="preserve"> </w:t>
      </w:r>
      <w:r w:rsidRPr="00382917">
        <w:t>find</w:t>
      </w:r>
      <w:r w:rsidR="00EE4FC3">
        <w:t xml:space="preserve"> </w:t>
      </w:r>
      <w:r w:rsidRPr="00382917">
        <w:t>no</w:t>
      </w:r>
      <w:r w:rsidR="00EE4FC3">
        <w:t xml:space="preserve"> </w:t>
      </w:r>
      <w:r w:rsidRPr="00382917">
        <w:t>heart</w:t>
      </w:r>
      <w:r w:rsidR="00EE4FC3">
        <w:t xml:space="preserve"> </w:t>
      </w:r>
      <w:r w:rsidRPr="00382917">
        <w:t>to</w:t>
      </w:r>
      <w:r w:rsidR="00EE4FC3">
        <w:t xml:space="preserve"> </w:t>
      </w:r>
      <w:r w:rsidRPr="00382917">
        <w:t>share</w:t>
      </w:r>
      <w:r w:rsidR="00EE4FC3">
        <w:t xml:space="preserve"> </w:t>
      </w:r>
      <w:r w:rsidRPr="00382917">
        <w:t>with</w:t>
      </w:r>
      <w:r w:rsidR="00EE4FC3">
        <w:t xml:space="preserve"> </w:t>
      </w:r>
      <w:r w:rsidRPr="00382917">
        <w:t>me</w:t>
      </w:r>
      <w:r w:rsidR="00EE4FC3">
        <w:t xml:space="preserve"> </w:t>
      </w:r>
      <w:r w:rsidRPr="00382917">
        <w:t>its</w:t>
      </w:r>
      <w:r w:rsidR="00EE4FC3">
        <w:t xml:space="preserve"> </w:t>
      </w:r>
      <w:r w:rsidRPr="00382917">
        <w:t>charm,</w:t>
      </w:r>
      <w:r w:rsidR="00EE4FC3">
        <w:t xml:space="preserve"> </w:t>
      </w:r>
      <w:r w:rsidRPr="00382917">
        <w:t>and</w:t>
      </w:r>
      <w:r w:rsidR="00EE4FC3">
        <w:t xml:space="preserve"> </w:t>
      </w:r>
      <w:r w:rsidRPr="00382917">
        <w:t>no</w:t>
      </w:r>
      <w:r w:rsidR="00EE4FC3">
        <w:t xml:space="preserve"> </w:t>
      </w:r>
      <w:r w:rsidRPr="00382917">
        <w:t>mind</w:t>
      </w:r>
      <w:r w:rsidR="00EE4FC3">
        <w:t xml:space="preserve"> </w:t>
      </w:r>
      <w:r w:rsidRPr="00382917">
        <w:t>to</w:t>
      </w:r>
      <w:r w:rsidR="00EE4FC3">
        <w:t xml:space="preserve"> </w:t>
      </w:r>
      <w:r w:rsidRPr="00382917">
        <w:t>understand</w:t>
      </w:r>
      <w:r w:rsidR="00EE4FC3">
        <w:t xml:space="preserve"> </w:t>
      </w:r>
      <w:r w:rsidRPr="00382917">
        <w:t>its</w:t>
      </w:r>
      <w:r w:rsidR="00EE4FC3">
        <w:t xml:space="preserve"> </w:t>
      </w:r>
      <w:r w:rsidRPr="00382917">
        <w:t>glory.</w:t>
      </w:r>
      <w:r w:rsidR="009C713D" w:rsidRPr="00382917">
        <w:t>”</w:t>
      </w:r>
    </w:p>
    <w:p w:rsidR="00582826" w:rsidRPr="00382917" w:rsidRDefault="00582826" w:rsidP="00582826">
      <w:pPr>
        <w:pStyle w:val="Text"/>
      </w:pPr>
      <w:r w:rsidRPr="00382917">
        <w:t>He</w:t>
      </w:r>
      <w:r w:rsidR="00EE4FC3">
        <w:t xml:space="preserve"> </w:t>
      </w:r>
      <w:r w:rsidRPr="00382917">
        <w:t>approached</w:t>
      </w:r>
      <w:r w:rsidR="00EE4FC3">
        <w:t xml:space="preserve"> </w:t>
      </w:r>
      <w:r w:rsidRPr="00382917">
        <w:t>the</w:t>
      </w:r>
      <w:r w:rsidR="00EE4FC3">
        <w:t xml:space="preserve"> </w:t>
      </w:r>
      <w:r w:rsidRPr="00382917">
        <w:t>spot</w:t>
      </w:r>
      <w:r w:rsidR="00EE4FC3">
        <w:t xml:space="preserve"> </w:t>
      </w:r>
      <w:r w:rsidRPr="00382917">
        <w:t>where</w:t>
      </w:r>
      <w:r w:rsidR="00EE4FC3">
        <w:t xml:space="preserve"> </w:t>
      </w:r>
      <w:r w:rsidRPr="00382917">
        <w:t>the</w:t>
      </w:r>
      <w:r w:rsidR="00EE4FC3">
        <w:t xml:space="preserve"> </w:t>
      </w:r>
      <w:r w:rsidRPr="00382917">
        <w:t>Báb</w:t>
      </w:r>
      <w:r w:rsidR="009C713D" w:rsidRPr="00382917">
        <w:t>’</w:t>
      </w:r>
      <w:r w:rsidRPr="00382917">
        <w:t>s</w:t>
      </w:r>
      <w:r w:rsidR="00EE4FC3">
        <w:t xml:space="preserve"> </w:t>
      </w:r>
      <w:r w:rsidRPr="00382917">
        <w:t>uncle</w:t>
      </w:r>
      <w:r w:rsidR="00EE4FC3">
        <w:t xml:space="preserve"> </w:t>
      </w:r>
      <w:r w:rsidRPr="00382917">
        <w:t>had</w:t>
      </w:r>
      <w:r w:rsidR="00EE4FC3">
        <w:t xml:space="preserve"> </w:t>
      </w:r>
      <w:r w:rsidRPr="00382917">
        <w:t>been</w:t>
      </w:r>
      <w:r w:rsidR="00EE4FC3">
        <w:t xml:space="preserve"> </w:t>
      </w:r>
      <w:r w:rsidRPr="00382917">
        <w:t>slain</w:t>
      </w:r>
      <w:r w:rsidR="00330AF7">
        <w:t>.</w:t>
      </w:r>
      <w:r w:rsidR="00EE4FC3">
        <w:t xml:space="preserve">  </w:t>
      </w:r>
      <w:r w:rsidRPr="00382917">
        <w:t>When</w:t>
      </w:r>
      <w:r w:rsidR="00EE4FC3">
        <w:t xml:space="preserve"> </w:t>
      </w:r>
      <w:r w:rsidRPr="00382917">
        <w:t>Qurbán</w:t>
      </w:r>
      <w:r w:rsidR="00EE4FC3">
        <w:t xml:space="preserve"> </w:t>
      </w:r>
      <w:r w:rsidR="0040329F" w:rsidRPr="00382917">
        <w:t>‘Al</w:t>
      </w:r>
      <w:r w:rsidR="0040329F" w:rsidRPr="0040329F">
        <w:t>í</w:t>
      </w:r>
      <w:r w:rsidR="00EE4FC3">
        <w:t xml:space="preserve"> </w:t>
      </w:r>
      <w:r w:rsidRPr="00382917">
        <w:t>saw</w:t>
      </w:r>
      <w:r w:rsidR="00EE4FC3">
        <w:t xml:space="preserve"> </w:t>
      </w:r>
      <w:r w:rsidRPr="00382917">
        <w:t>that</w:t>
      </w:r>
      <w:r w:rsidR="00EE4FC3">
        <w:t xml:space="preserve"> </w:t>
      </w:r>
      <w:r w:rsidRPr="00382917">
        <w:t>broken</w:t>
      </w:r>
      <w:r w:rsidR="00EE4FC3">
        <w:t xml:space="preserve"> </w:t>
      </w:r>
      <w:r w:rsidRPr="00382917">
        <w:t>body,</w:t>
      </w:r>
      <w:r w:rsidR="00EE4FC3">
        <w:t xml:space="preserve"> </w:t>
      </w:r>
      <w:r w:rsidRPr="00382917">
        <w:t>he</w:t>
      </w:r>
      <w:r w:rsidR="00EE4FC3">
        <w:t xml:space="preserve"> </w:t>
      </w:r>
      <w:r w:rsidRPr="00382917">
        <w:t>gathered</w:t>
      </w:r>
      <w:r w:rsidR="00EE4FC3">
        <w:t xml:space="preserve"> </w:t>
      </w:r>
      <w:r w:rsidRPr="00382917">
        <w:t>it</w:t>
      </w:r>
      <w:r w:rsidR="00EE4FC3">
        <w:t xml:space="preserve"> </w:t>
      </w:r>
      <w:r w:rsidRPr="00382917">
        <w:t>up</w:t>
      </w:r>
      <w:r w:rsidR="00EE4FC3">
        <w:t xml:space="preserve"> </w:t>
      </w:r>
      <w:r w:rsidRPr="00382917">
        <w:t>tenderly</w:t>
      </w:r>
      <w:r w:rsidR="00EE4FC3">
        <w:t xml:space="preserve"> </w:t>
      </w:r>
      <w:r w:rsidRPr="00382917">
        <w:t>into</w:t>
      </w:r>
      <w:r w:rsidR="00EE4FC3">
        <w:t xml:space="preserve"> </w:t>
      </w:r>
      <w:r w:rsidRPr="00382917">
        <w:t>his</w:t>
      </w:r>
      <w:r w:rsidR="00EE4FC3">
        <w:t xml:space="preserve"> </w:t>
      </w:r>
      <w:r w:rsidRPr="00382917">
        <w:t>arms</w:t>
      </w:r>
      <w:r w:rsidR="00330AF7">
        <w:t>.</w:t>
      </w:r>
      <w:r w:rsidR="00EE4FC3">
        <w:t xml:space="preserve">  </w:t>
      </w:r>
      <w:r w:rsidRPr="00382917">
        <w:t>He</w:t>
      </w:r>
      <w:r w:rsidR="00EE4FC3">
        <w:t xml:space="preserve"> </w:t>
      </w:r>
      <w:r w:rsidRPr="00382917">
        <w:t>looked</w:t>
      </w:r>
      <w:r w:rsidR="00EE4FC3">
        <w:t xml:space="preserve"> </w:t>
      </w:r>
      <w:r w:rsidRPr="00382917">
        <w:t>out</w:t>
      </w:r>
      <w:r w:rsidR="00EE4FC3">
        <w:t xml:space="preserve"> </w:t>
      </w:r>
      <w:r w:rsidRPr="00382917">
        <w:t>over</w:t>
      </w:r>
      <w:r w:rsidR="00EE4FC3">
        <w:t xml:space="preserve"> </w:t>
      </w:r>
      <w:r w:rsidRPr="00382917">
        <w:t>that</w:t>
      </w:r>
      <w:r w:rsidR="00EE4FC3">
        <w:t xml:space="preserve"> </w:t>
      </w:r>
      <w:r w:rsidRPr="00382917">
        <w:t>sea</w:t>
      </w:r>
      <w:r w:rsidR="00EE4FC3">
        <w:t xml:space="preserve"> </w:t>
      </w:r>
      <w:r w:rsidRPr="00382917">
        <w:t>of</w:t>
      </w:r>
      <w:r w:rsidR="00EE4FC3">
        <w:t xml:space="preserve"> </w:t>
      </w:r>
      <w:r w:rsidRPr="00382917">
        <w:t>hatred,</w:t>
      </w:r>
      <w:r w:rsidR="00EE4FC3">
        <w:t xml:space="preserve"> </w:t>
      </w:r>
      <w:proofErr w:type="gramStart"/>
      <w:r w:rsidRPr="00382917">
        <w:t>then</w:t>
      </w:r>
      <w:proofErr w:type="gramEnd"/>
      <w:r w:rsidR="00EE4FC3">
        <w:t xml:space="preserve"> </w:t>
      </w:r>
      <w:r w:rsidRPr="00382917">
        <w:t>summoned</w:t>
      </w:r>
      <w:r w:rsidR="00EE4FC3">
        <w:t xml:space="preserve"> </w:t>
      </w:r>
      <w:r w:rsidRPr="00382917">
        <w:t>the</w:t>
      </w:r>
      <w:r w:rsidR="00EE4FC3">
        <w:t xml:space="preserve"> </w:t>
      </w:r>
      <w:r w:rsidRPr="00382917">
        <w:t>executioner.</w:t>
      </w:r>
    </w:p>
    <w:p w:rsidR="00582826" w:rsidRPr="00382917" w:rsidRDefault="009C713D" w:rsidP="00582826">
      <w:pPr>
        <w:pStyle w:val="Text"/>
      </w:pPr>
      <w:r w:rsidRPr="00382917">
        <w:t>“</w:t>
      </w:r>
      <w:r w:rsidR="00582826" w:rsidRPr="00382917">
        <w:t>Approach,</w:t>
      </w:r>
      <w:r w:rsidRPr="00382917">
        <w:t>”</w:t>
      </w:r>
      <w:r w:rsidR="00EE4FC3">
        <w:t xml:space="preserve"> </w:t>
      </w:r>
      <w:r w:rsidR="00582826" w:rsidRPr="00382917">
        <w:t>he</w:t>
      </w:r>
      <w:r w:rsidR="00EE4FC3">
        <w:t xml:space="preserve"> </w:t>
      </w:r>
      <w:r w:rsidR="00582826" w:rsidRPr="00382917">
        <w:t>told</w:t>
      </w:r>
      <w:r w:rsidR="00EE4FC3">
        <w:t xml:space="preserve"> </w:t>
      </w:r>
      <w:r w:rsidR="00582826" w:rsidRPr="00382917">
        <w:t>him,</w:t>
      </w:r>
      <w:r w:rsidR="00EE4FC3">
        <w:t xml:space="preserve"> </w:t>
      </w:r>
      <w:r w:rsidRPr="00382917">
        <w:t>“</w:t>
      </w:r>
      <w:r w:rsidR="00582826" w:rsidRPr="00382917">
        <w:t>and</w:t>
      </w:r>
      <w:r w:rsidR="00EE4FC3">
        <w:t xml:space="preserve"> </w:t>
      </w:r>
      <w:proofErr w:type="gramStart"/>
      <w:r w:rsidR="00582826" w:rsidRPr="00382917">
        <w:t>strike</w:t>
      </w:r>
      <w:proofErr w:type="gramEnd"/>
      <w:r w:rsidR="00EE4FC3">
        <w:t xml:space="preserve"> </w:t>
      </w:r>
      <w:r w:rsidR="00582826" w:rsidRPr="00382917">
        <w:t>your</w:t>
      </w:r>
      <w:r w:rsidR="00EE4FC3">
        <w:t xml:space="preserve"> </w:t>
      </w:r>
      <w:r w:rsidR="00582826" w:rsidRPr="00382917">
        <w:t>blow</w:t>
      </w:r>
      <w:r w:rsidR="00330AF7">
        <w:t>.</w:t>
      </w:r>
      <w:r w:rsidR="00EE4FC3">
        <w:t xml:space="preserve">  </w:t>
      </w:r>
      <w:r w:rsidR="00582826" w:rsidRPr="00382917">
        <w:t>My</w:t>
      </w:r>
      <w:r w:rsidR="00EE4FC3">
        <w:t xml:space="preserve"> </w:t>
      </w:r>
      <w:r w:rsidR="00582826" w:rsidRPr="00382917">
        <w:t>faithful</w:t>
      </w:r>
      <w:r w:rsidR="00EE4FC3">
        <w:t xml:space="preserve"> </w:t>
      </w:r>
      <w:r w:rsidR="00582826" w:rsidRPr="00382917">
        <w:t>comrade</w:t>
      </w:r>
      <w:r w:rsidR="00EE4FC3">
        <w:t xml:space="preserve"> </w:t>
      </w:r>
      <w:r w:rsidR="00582826" w:rsidRPr="00382917">
        <w:t>is</w:t>
      </w:r>
      <w:r w:rsidR="00EE4FC3">
        <w:t xml:space="preserve"> </w:t>
      </w:r>
      <w:r w:rsidR="00582826" w:rsidRPr="00382917">
        <w:t>unwilling</w:t>
      </w:r>
      <w:r w:rsidR="00EE4FC3">
        <w:t xml:space="preserve"> </w:t>
      </w:r>
      <w:r w:rsidR="00582826" w:rsidRPr="00382917">
        <w:t>to</w:t>
      </w:r>
      <w:r w:rsidR="00EE4FC3">
        <w:t xml:space="preserve"> </w:t>
      </w:r>
      <w:r w:rsidR="00582826" w:rsidRPr="00382917">
        <w:t>release</w:t>
      </w:r>
      <w:r w:rsidR="00EE4FC3">
        <w:t xml:space="preserve"> </w:t>
      </w:r>
      <w:r w:rsidR="00582826" w:rsidRPr="00382917">
        <w:t>himself</w:t>
      </w:r>
      <w:r w:rsidR="00EE4FC3">
        <w:t xml:space="preserve"> </w:t>
      </w:r>
      <w:r w:rsidR="00582826" w:rsidRPr="00382917">
        <w:t>from</w:t>
      </w:r>
      <w:r w:rsidR="00EE4FC3">
        <w:t xml:space="preserve"> </w:t>
      </w:r>
      <w:r w:rsidR="00582826" w:rsidRPr="00382917">
        <w:t>my</w:t>
      </w:r>
      <w:r w:rsidR="00EE4FC3">
        <w:t xml:space="preserve"> </w:t>
      </w:r>
      <w:r w:rsidR="00582826" w:rsidRPr="00382917">
        <w:t>embrace</w:t>
      </w:r>
      <w:r w:rsidR="00330AF7">
        <w:t>.</w:t>
      </w:r>
      <w:r w:rsidR="00EE4FC3">
        <w:t xml:space="preserve">  </w:t>
      </w:r>
      <w:r w:rsidR="00582826" w:rsidRPr="00382917">
        <w:t>He</w:t>
      </w:r>
      <w:r w:rsidR="00EE4FC3">
        <w:t xml:space="preserve"> </w:t>
      </w:r>
      <w:r w:rsidR="00582826" w:rsidRPr="00382917">
        <w:t>calls</w:t>
      </w:r>
      <w:r w:rsidR="00EE4FC3">
        <w:t xml:space="preserve"> </w:t>
      </w:r>
      <w:r w:rsidR="00582826" w:rsidRPr="00382917">
        <w:t>me</w:t>
      </w:r>
      <w:r w:rsidR="00EE4FC3">
        <w:t xml:space="preserve"> </w:t>
      </w:r>
      <w:r w:rsidR="00582826" w:rsidRPr="00382917">
        <w:t>to</w:t>
      </w:r>
      <w:r w:rsidR="00EE4FC3">
        <w:t xml:space="preserve"> </w:t>
      </w:r>
      <w:r w:rsidR="00582826" w:rsidRPr="00382917">
        <w:t>hasten</w:t>
      </w:r>
      <w:r w:rsidR="00EE4FC3">
        <w:t xml:space="preserve"> </w:t>
      </w:r>
      <w:r w:rsidR="00582826" w:rsidRPr="00382917">
        <w:t>with</w:t>
      </w:r>
      <w:r w:rsidR="00EE4FC3">
        <w:t xml:space="preserve"> </w:t>
      </w:r>
      <w:r w:rsidR="00582826" w:rsidRPr="00382917">
        <w:t>him</w:t>
      </w:r>
      <w:r w:rsidR="00EE4FC3">
        <w:t xml:space="preserve"> </w:t>
      </w:r>
      <w:r w:rsidR="00582826" w:rsidRPr="00382917">
        <w:t>to</w:t>
      </w:r>
      <w:r w:rsidR="00EE4FC3">
        <w:t xml:space="preserve"> </w:t>
      </w:r>
      <w:r w:rsidR="00582826" w:rsidRPr="00382917">
        <w:t>the</w:t>
      </w:r>
      <w:r w:rsidR="00EE4FC3">
        <w:t xml:space="preserve"> </w:t>
      </w:r>
      <w:r w:rsidR="00582826" w:rsidRPr="00382917">
        <w:t>Kingdom</w:t>
      </w:r>
      <w:r w:rsidR="00EE4FC3">
        <w:t xml:space="preserve"> </w:t>
      </w:r>
      <w:r w:rsidR="00582826" w:rsidRPr="00382917">
        <w:t>of</w:t>
      </w:r>
      <w:r w:rsidR="00EE4FC3">
        <w:t xml:space="preserve"> </w:t>
      </w:r>
      <w:r w:rsidR="00582826" w:rsidRPr="00382917">
        <w:t>God.</w:t>
      </w:r>
      <w:r w:rsidRPr="00382917">
        <w:t>”</w:t>
      </w:r>
    </w:p>
    <w:p w:rsidR="00E13D49" w:rsidRPr="00382917" w:rsidRDefault="00582826" w:rsidP="004D3E87">
      <w:pPr>
        <w:pStyle w:val="Text"/>
      </w:pPr>
      <w:r w:rsidRPr="00382917">
        <w:t>The</w:t>
      </w:r>
      <w:r w:rsidR="00EE4FC3">
        <w:t xml:space="preserve"> </w:t>
      </w:r>
      <w:r w:rsidRPr="00382917">
        <w:t>blow</w:t>
      </w:r>
      <w:r w:rsidR="00EE4FC3">
        <w:t xml:space="preserve"> </w:t>
      </w:r>
      <w:r w:rsidRPr="00382917">
        <w:t>was</w:t>
      </w:r>
      <w:r w:rsidR="00EE4FC3">
        <w:t xml:space="preserve"> </w:t>
      </w:r>
      <w:r w:rsidRPr="00382917">
        <w:t>struck</w:t>
      </w:r>
      <w:r w:rsidR="00330AF7">
        <w:t>.</w:t>
      </w:r>
      <w:r w:rsidR="00EE4FC3">
        <w:t xml:space="preserve">  </w:t>
      </w:r>
      <w:r w:rsidRPr="00382917">
        <w:t>Sounds</w:t>
      </w:r>
      <w:r w:rsidR="00EE4FC3">
        <w:t xml:space="preserve"> </w:t>
      </w:r>
      <w:r w:rsidRPr="00382917">
        <w:t>of</w:t>
      </w:r>
      <w:r w:rsidR="00EE4FC3">
        <w:t xml:space="preserve"> </w:t>
      </w:r>
      <w:r w:rsidRPr="00382917">
        <w:t>distress</w:t>
      </w:r>
      <w:r w:rsidR="00EE4FC3">
        <w:t xml:space="preserve"> </w:t>
      </w:r>
      <w:r w:rsidRPr="00382917">
        <w:t>and</w:t>
      </w:r>
      <w:r w:rsidR="00EE4FC3">
        <w:t xml:space="preserve"> </w:t>
      </w:r>
      <w:r w:rsidRPr="00382917">
        <w:t>sorrow</w:t>
      </w:r>
      <w:r w:rsidR="00EE4FC3">
        <w:t xml:space="preserve"> </w:t>
      </w:r>
      <w:r w:rsidRPr="00382917">
        <w:t>stirred</w:t>
      </w:r>
      <w:r w:rsidR="00EE4FC3">
        <w:t xml:space="preserve"> </w:t>
      </w:r>
      <w:r w:rsidRPr="00382917">
        <w:t>even</w:t>
      </w:r>
      <w:r w:rsidR="00EE4FC3">
        <w:t xml:space="preserve"> </w:t>
      </w:r>
      <w:r w:rsidRPr="00382917">
        <w:t>through</w:t>
      </w:r>
      <w:r w:rsidR="00EE4FC3">
        <w:t xml:space="preserve"> </w:t>
      </w:r>
      <w:r w:rsidRPr="00382917">
        <w:t>that</w:t>
      </w:r>
      <w:r w:rsidR="00EE4FC3">
        <w:t xml:space="preserve"> </w:t>
      </w:r>
      <w:r w:rsidRPr="00382917">
        <w:t>hostile</w:t>
      </w:r>
      <w:r w:rsidR="00EE4FC3">
        <w:t xml:space="preserve"> </w:t>
      </w:r>
      <w:r w:rsidRPr="00382917">
        <w:t>crowd</w:t>
      </w:r>
      <w:r w:rsidR="00EE4FC3">
        <w:t xml:space="preserve"> </w:t>
      </w:r>
      <w:r w:rsidRPr="00382917">
        <w:t>as</w:t>
      </w:r>
      <w:r w:rsidR="00EE4FC3">
        <w:t xml:space="preserve"> </w:t>
      </w:r>
      <w:r w:rsidRPr="00382917">
        <w:t>the</w:t>
      </w:r>
      <w:r w:rsidR="00EE4FC3">
        <w:t xml:space="preserve"> </w:t>
      </w:r>
      <w:r w:rsidRPr="00382917">
        <w:t>two</w:t>
      </w:r>
      <w:r w:rsidR="00EE4FC3">
        <w:t xml:space="preserve"> </w:t>
      </w:r>
      <w:r w:rsidRPr="00382917">
        <w:t>were</w:t>
      </w:r>
      <w:r w:rsidR="00EE4FC3">
        <w:t xml:space="preserve"> </w:t>
      </w:r>
      <w:r w:rsidRPr="00382917">
        <w:t>united</w:t>
      </w:r>
      <w:r w:rsidR="00EE4FC3">
        <w:t xml:space="preserve"> </w:t>
      </w:r>
      <w:r w:rsidRPr="00382917">
        <w:t>for</w:t>
      </w:r>
      <w:r w:rsidR="00EE4FC3">
        <w:t xml:space="preserve"> </w:t>
      </w:r>
      <w:r w:rsidRPr="00382917">
        <w:t>all</w:t>
      </w:r>
      <w:r w:rsidR="00EE4FC3">
        <w:t xml:space="preserve"> </w:t>
      </w:r>
      <w:r w:rsidRPr="00382917">
        <w:t>time.</w:t>
      </w:r>
      <w:r w:rsidR="004D3E87">
        <w:rPr>
          <w:rStyle w:val="FootnoteReference"/>
        </w:rPr>
        <w:footnoteReference w:id="182"/>
      </w:r>
    </w:p>
    <w:p w:rsidR="00582826" w:rsidRPr="00382917" w:rsidRDefault="00582826" w:rsidP="00582826">
      <w:pPr>
        <w:pStyle w:val="Text"/>
      </w:pPr>
      <w:r w:rsidRPr="00382917">
        <w:t>The</w:t>
      </w:r>
      <w:r w:rsidR="00EE4FC3">
        <w:t xml:space="preserve"> </w:t>
      </w:r>
      <w:r w:rsidRPr="00382917">
        <w:t>next</w:t>
      </w:r>
      <w:r w:rsidR="00EE4FC3">
        <w:t xml:space="preserve"> </w:t>
      </w:r>
      <w:r w:rsidRPr="00382917">
        <w:t>of</w:t>
      </w:r>
      <w:r w:rsidR="00EE4FC3">
        <w:t xml:space="preserve"> </w:t>
      </w:r>
      <w:r w:rsidRPr="00382917">
        <w:t>the</w:t>
      </w:r>
      <w:r w:rsidR="00EE4FC3">
        <w:t xml:space="preserve"> </w:t>
      </w:r>
      <w:r w:rsidRPr="00382917">
        <w:t>seven</w:t>
      </w:r>
      <w:r w:rsidR="00EE4FC3">
        <w:t xml:space="preserve"> </w:t>
      </w:r>
      <w:r w:rsidRPr="00382917">
        <w:t>martyrs</w:t>
      </w:r>
      <w:r w:rsidR="00EE4FC3">
        <w:t xml:space="preserve"> </w:t>
      </w:r>
      <w:r w:rsidRPr="00382917">
        <w:t>was</w:t>
      </w:r>
      <w:r w:rsidR="00EE4FC3">
        <w:t xml:space="preserve"> </w:t>
      </w:r>
      <w:r w:rsidRPr="00382917">
        <w:t>Ḥájí</w:t>
      </w:r>
      <w:r w:rsidR="00EE4FC3">
        <w:t xml:space="preserve"> </w:t>
      </w:r>
      <w:r w:rsidRPr="00382917">
        <w:t>Mullá</w:t>
      </w:r>
      <w:r w:rsidR="00EE4FC3">
        <w:t xml:space="preserve"> </w:t>
      </w:r>
      <w:r w:rsidRPr="00382917">
        <w:t>Ismá</w:t>
      </w:r>
      <w:r w:rsidR="009C713D" w:rsidRPr="00382917">
        <w:t>‘</w:t>
      </w:r>
      <w:r w:rsidRPr="00382917">
        <w:t>íl</w:t>
      </w:r>
      <w:r w:rsidR="00330AF7">
        <w:t>.</w:t>
      </w:r>
      <w:r w:rsidR="00EE4FC3">
        <w:t xml:space="preserve">  </w:t>
      </w:r>
      <w:r w:rsidRPr="00382917">
        <w:t>Like</w:t>
      </w:r>
      <w:r w:rsidR="00EE4FC3">
        <w:t xml:space="preserve"> </w:t>
      </w:r>
      <w:r w:rsidRPr="00382917">
        <w:t>Qurbán</w:t>
      </w:r>
      <w:r w:rsidR="00EE4FC3">
        <w:t xml:space="preserve"> </w:t>
      </w:r>
      <w:r w:rsidR="009C713D" w:rsidRPr="00382917">
        <w:t>‘</w:t>
      </w:r>
      <w:r w:rsidRPr="00382917">
        <w:t>Alí,</w:t>
      </w:r>
      <w:r w:rsidR="00EE4FC3">
        <w:t xml:space="preserve"> </w:t>
      </w:r>
      <w:r w:rsidRPr="00382917">
        <w:t>he</w:t>
      </w:r>
      <w:r w:rsidR="00EE4FC3">
        <w:t xml:space="preserve"> </w:t>
      </w:r>
      <w:r w:rsidRPr="00382917">
        <w:t>had</w:t>
      </w:r>
      <w:r w:rsidR="00EE4FC3">
        <w:t xml:space="preserve"> </w:t>
      </w:r>
      <w:r w:rsidRPr="00382917">
        <w:t>planned</w:t>
      </w:r>
      <w:r w:rsidR="00EE4FC3">
        <w:t xml:space="preserve"> </w:t>
      </w:r>
      <w:r w:rsidRPr="00382917">
        <w:t>to</w:t>
      </w:r>
      <w:r w:rsidR="00EE4FC3">
        <w:t xml:space="preserve"> </w:t>
      </w:r>
      <w:r w:rsidRPr="00382917">
        <w:t>go</w:t>
      </w:r>
      <w:r w:rsidR="00EE4FC3">
        <w:t xml:space="preserve"> </w:t>
      </w:r>
      <w:r w:rsidRPr="00382917">
        <w:t>to</w:t>
      </w:r>
      <w:r w:rsidR="00EE4FC3">
        <w:t xml:space="preserve"> </w:t>
      </w:r>
      <w:r w:rsidRPr="00382917">
        <w:t>the</w:t>
      </w:r>
      <w:r w:rsidR="00EE4FC3">
        <w:t xml:space="preserve"> </w:t>
      </w:r>
      <w:r w:rsidRPr="00382917">
        <w:t>fort</w:t>
      </w:r>
      <w:r w:rsidR="00EE4FC3">
        <w:t xml:space="preserve"> </w:t>
      </w:r>
      <w:r w:rsidRPr="00382917">
        <w:t>at</w:t>
      </w:r>
      <w:r w:rsidR="00EE4FC3">
        <w:t xml:space="preserve"> </w:t>
      </w:r>
      <w:r w:rsidRPr="00382917">
        <w:t>Ṭabarsí</w:t>
      </w:r>
      <w:r w:rsidR="00EE4FC3">
        <w:t xml:space="preserve"> </w:t>
      </w:r>
      <w:r w:rsidRPr="00382917">
        <w:t>to</w:t>
      </w:r>
      <w:r w:rsidR="00EE4FC3">
        <w:t xml:space="preserve"> </w:t>
      </w:r>
      <w:r w:rsidRPr="00382917">
        <w:t>join</w:t>
      </w:r>
      <w:r w:rsidR="00EE4FC3">
        <w:t xml:space="preserve"> </w:t>
      </w:r>
      <w:r w:rsidRPr="00382917">
        <w:t>Mullá</w:t>
      </w:r>
      <w:r w:rsidR="00EE4FC3">
        <w:t xml:space="preserve"> </w:t>
      </w:r>
      <w:r w:rsidR="00964C11" w:rsidRPr="00382917">
        <w:t>Ḥusayn</w:t>
      </w:r>
      <w:r w:rsidR="00EE4FC3">
        <w:t xml:space="preserve"> </w:t>
      </w:r>
      <w:r w:rsidRPr="00382917">
        <w:t>and</w:t>
      </w:r>
      <w:r w:rsidR="00EE4FC3">
        <w:t xml:space="preserve"> </w:t>
      </w:r>
      <w:r w:rsidRPr="00382917">
        <w:t>Quddús,</w:t>
      </w:r>
      <w:r w:rsidR="00EE4FC3">
        <w:t xml:space="preserve"> </w:t>
      </w:r>
      <w:r w:rsidRPr="00382917">
        <w:t>but</w:t>
      </w:r>
      <w:r w:rsidR="00EE4FC3">
        <w:t xml:space="preserve"> </w:t>
      </w:r>
      <w:r w:rsidRPr="00382917">
        <w:t>had</w:t>
      </w:r>
      <w:r w:rsidR="00EE4FC3">
        <w:t xml:space="preserve"> </w:t>
      </w:r>
      <w:r w:rsidRPr="00382917">
        <w:t>been</w:t>
      </w:r>
      <w:r w:rsidR="00EE4FC3">
        <w:t xml:space="preserve"> </w:t>
      </w:r>
      <w:r w:rsidRPr="00382917">
        <w:t>stricken</w:t>
      </w:r>
      <w:r w:rsidR="00EE4FC3">
        <w:t xml:space="preserve"> </w:t>
      </w:r>
      <w:r w:rsidRPr="00382917">
        <w:t>with</w:t>
      </w:r>
      <w:r w:rsidR="00EE4FC3">
        <w:t xml:space="preserve"> </w:t>
      </w:r>
      <w:r w:rsidRPr="00382917">
        <w:t>illness</w:t>
      </w:r>
      <w:r w:rsidR="00330AF7">
        <w:t>.</w:t>
      </w:r>
      <w:r w:rsidR="00EE4FC3">
        <w:t xml:space="preserve">  </w:t>
      </w:r>
      <w:r w:rsidRPr="00382917">
        <w:t>When</w:t>
      </w:r>
      <w:r w:rsidR="00EE4FC3">
        <w:t xml:space="preserve"> </w:t>
      </w:r>
      <w:r w:rsidRPr="00382917">
        <w:t>he</w:t>
      </w:r>
      <w:r w:rsidR="00EE4FC3">
        <w:t xml:space="preserve"> </w:t>
      </w:r>
      <w:r w:rsidRPr="00382917">
        <w:t>recovered</w:t>
      </w:r>
      <w:r w:rsidR="00EE4FC3">
        <w:t xml:space="preserve"> </w:t>
      </w:r>
      <w:r w:rsidRPr="00382917">
        <w:t>he</w:t>
      </w:r>
      <w:r w:rsidR="00EE4FC3">
        <w:t xml:space="preserve"> </w:t>
      </w:r>
      <w:r w:rsidRPr="00382917">
        <w:t>was</w:t>
      </w:r>
      <w:r w:rsidR="00EE4FC3">
        <w:t xml:space="preserve"> </w:t>
      </w:r>
      <w:r w:rsidRPr="00382917">
        <w:t>told</w:t>
      </w:r>
      <w:r w:rsidR="00EE4FC3">
        <w:t xml:space="preserve"> </w:t>
      </w:r>
      <w:r w:rsidRPr="00382917">
        <w:t>that</w:t>
      </w:r>
      <w:r w:rsidR="00EE4FC3">
        <w:t xml:space="preserve"> </w:t>
      </w:r>
      <w:r w:rsidRPr="00382917">
        <w:t>the</w:t>
      </w:r>
      <w:r w:rsidR="00EE4FC3">
        <w:t xml:space="preserve"> </w:t>
      </w:r>
      <w:r w:rsidRPr="00382917">
        <w:t>siege</w:t>
      </w:r>
      <w:r w:rsidR="00EE4FC3">
        <w:t xml:space="preserve"> </w:t>
      </w:r>
      <w:r w:rsidRPr="00382917">
        <w:t>was</w:t>
      </w:r>
      <w:r w:rsidR="00EE4FC3">
        <w:t xml:space="preserve"> </w:t>
      </w:r>
      <w:r w:rsidRPr="00382917">
        <w:t>over</w:t>
      </w:r>
      <w:r w:rsidR="00EE4FC3">
        <w:t xml:space="preserve"> </w:t>
      </w:r>
      <w:r w:rsidRPr="00382917">
        <w:t>and</w:t>
      </w:r>
      <w:r w:rsidR="00EE4FC3">
        <w:t xml:space="preserve"> </w:t>
      </w:r>
      <w:r w:rsidRPr="00382917">
        <w:t>his</w:t>
      </w:r>
      <w:r w:rsidR="00EE4FC3">
        <w:t xml:space="preserve"> </w:t>
      </w:r>
      <w:r w:rsidRPr="00382917">
        <w:t>friends</w:t>
      </w:r>
      <w:r w:rsidR="00EE4FC3">
        <w:t xml:space="preserve"> </w:t>
      </w:r>
      <w:r w:rsidRPr="00382917">
        <w:t>massacred</w:t>
      </w:r>
      <w:r w:rsidR="00330AF7">
        <w:t>.</w:t>
      </w:r>
      <w:r w:rsidR="00EE4FC3">
        <w:t xml:space="preserve">  </w:t>
      </w:r>
      <w:r w:rsidRPr="00382917">
        <w:t>He</w:t>
      </w:r>
      <w:r w:rsidR="00EE4FC3">
        <w:t xml:space="preserve"> </w:t>
      </w:r>
      <w:r w:rsidRPr="00382917">
        <w:t>began</w:t>
      </w:r>
      <w:r w:rsidR="00EE4FC3">
        <w:t xml:space="preserve"> </w:t>
      </w:r>
      <w:r w:rsidRPr="00382917">
        <w:t>to</w:t>
      </w:r>
      <w:r w:rsidR="00EE4FC3">
        <w:t xml:space="preserve"> </w:t>
      </w:r>
      <w:r w:rsidRPr="00382917">
        <w:t>teach</w:t>
      </w:r>
      <w:r w:rsidR="00EE4FC3">
        <w:t xml:space="preserve"> </w:t>
      </w:r>
      <w:r w:rsidRPr="00382917">
        <w:t>the</w:t>
      </w:r>
      <w:r w:rsidR="00EE4FC3">
        <w:t xml:space="preserve"> </w:t>
      </w:r>
      <w:r w:rsidRPr="00382917">
        <w:t>Faith</w:t>
      </w:r>
      <w:r w:rsidR="00EE4FC3">
        <w:t xml:space="preserve"> </w:t>
      </w:r>
      <w:r w:rsidRPr="00382917">
        <w:t>with</w:t>
      </w:r>
      <w:r w:rsidR="00EE4FC3">
        <w:t xml:space="preserve"> </w:t>
      </w:r>
      <w:r w:rsidRPr="00382917">
        <w:t>renewed</w:t>
      </w:r>
      <w:r w:rsidR="00EE4FC3">
        <w:t xml:space="preserve"> </w:t>
      </w:r>
      <w:r w:rsidRPr="00382917">
        <w:t>energy</w:t>
      </w:r>
      <w:r w:rsidR="00EE4FC3">
        <w:t xml:space="preserve"> </w:t>
      </w:r>
      <w:r w:rsidRPr="00382917">
        <w:t>in</w:t>
      </w:r>
      <w:r w:rsidR="00EE4FC3">
        <w:t xml:space="preserve"> </w:t>
      </w:r>
      <w:r w:rsidRPr="00382917">
        <w:t>order</w:t>
      </w:r>
      <w:r w:rsidR="00EE4FC3">
        <w:t xml:space="preserve"> </w:t>
      </w:r>
      <w:r w:rsidRPr="00382917">
        <w:t>to</w:t>
      </w:r>
      <w:r w:rsidR="00EE4FC3">
        <w:t xml:space="preserve"> </w:t>
      </w:r>
      <w:r w:rsidRPr="00382917">
        <w:t>try</w:t>
      </w:r>
      <w:r w:rsidR="00EE4FC3">
        <w:t xml:space="preserve"> </w:t>
      </w:r>
      <w:r w:rsidRPr="00382917">
        <w:t>to</w:t>
      </w:r>
      <w:r w:rsidR="00EE4FC3">
        <w:t xml:space="preserve"> </w:t>
      </w:r>
      <w:r w:rsidRPr="00382917">
        <w:t>make</w:t>
      </w:r>
      <w:r w:rsidR="00EE4FC3">
        <w:t xml:space="preserve"> </w:t>
      </w:r>
      <w:r w:rsidRPr="00382917">
        <w:t>up</w:t>
      </w:r>
      <w:r w:rsidR="00EE4FC3">
        <w:t xml:space="preserve"> </w:t>
      </w:r>
      <w:r w:rsidRPr="00382917">
        <w:t>for</w:t>
      </w:r>
      <w:r w:rsidR="00EE4FC3">
        <w:t xml:space="preserve"> </w:t>
      </w:r>
      <w:r w:rsidRPr="00382917">
        <w:t>the</w:t>
      </w:r>
      <w:r w:rsidR="00EE4FC3">
        <w:t xml:space="preserve"> </w:t>
      </w:r>
      <w:r w:rsidRPr="00382917">
        <w:t>tragic</w:t>
      </w:r>
      <w:r w:rsidR="00EE4FC3">
        <w:t xml:space="preserve"> </w:t>
      </w:r>
      <w:r w:rsidRPr="00382917">
        <w:t>loss</w:t>
      </w:r>
      <w:r w:rsidR="00EE4FC3">
        <w:t xml:space="preserve"> </w:t>
      </w:r>
      <w:r w:rsidRPr="00382917">
        <w:t>which</w:t>
      </w:r>
      <w:r w:rsidR="00EE4FC3">
        <w:t xml:space="preserve"> </w:t>
      </w:r>
      <w:r w:rsidRPr="00382917">
        <w:t>the</w:t>
      </w:r>
      <w:r w:rsidR="00EE4FC3">
        <w:t xml:space="preserve"> </w:t>
      </w:r>
      <w:r w:rsidRPr="00382917">
        <w:t>Cause</w:t>
      </w:r>
      <w:r w:rsidR="00EE4FC3">
        <w:t xml:space="preserve"> </w:t>
      </w:r>
      <w:r w:rsidRPr="00382917">
        <w:t>of</w:t>
      </w:r>
      <w:r w:rsidR="00EE4FC3">
        <w:t xml:space="preserve"> </w:t>
      </w:r>
      <w:r w:rsidRPr="00382917">
        <w:t>the</w:t>
      </w:r>
      <w:r w:rsidR="00EE4FC3">
        <w:t xml:space="preserve"> </w:t>
      </w:r>
      <w:r w:rsidRPr="00382917">
        <w:t>Báb</w:t>
      </w:r>
      <w:r w:rsidR="00EE4FC3">
        <w:t xml:space="preserve"> </w:t>
      </w:r>
      <w:r w:rsidRPr="00382917">
        <w:t>had</w:t>
      </w:r>
      <w:r w:rsidR="00EE4FC3">
        <w:t xml:space="preserve"> </w:t>
      </w:r>
      <w:r w:rsidRPr="00382917">
        <w:t>suffered</w:t>
      </w:r>
      <w:r w:rsidR="00EE4FC3">
        <w:t xml:space="preserve"> </w:t>
      </w:r>
      <w:r w:rsidRPr="00382917">
        <w:t>at</w:t>
      </w:r>
      <w:r w:rsidR="00EE4FC3">
        <w:t xml:space="preserve"> </w:t>
      </w:r>
      <w:r w:rsidRPr="00382917">
        <w:t>Ṭabarsí.</w:t>
      </w:r>
    </w:p>
    <w:p w:rsidR="00582826" w:rsidRPr="00382917" w:rsidRDefault="00582826" w:rsidP="00582826">
      <w:pPr>
        <w:pStyle w:val="Text"/>
      </w:pPr>
      <w:r w:rsidRPr="00382917">
        <w:t>Mullá</w:t>
      </w:r>
      <w:r w:rsidR="00EE4FC3">
        <w:t xml:space="preserve"> </w:t>
      </w:r>
      <w:r w:rsidRPr="00382917">
        <w:t>Ismá</w:t>
      </w:r>
      <w:r w:rsidR="009C713D" w:rsidRPr="00382917">
        <w:t>‘</w:t>
      </w:r>
      <w:r w:rsidRPr="00382917">
        <w:t>íl</w:t>
      </w:r>
      <w:r w:rsidR="00EE4FC3">
        <w:t xml:space="preserve"> </w:t>
      </w:r>
      <w:r w:rsidRPr="00382917">
        <w:t>was</w:t>
      </w:r>
      <w:r w:rsidR="00EE4FC3">
        <w:t xml:space="preserve"> </w:t>
      </w:r>
      <w:r w:rsidRPr="00382917">
        <w:t>arrested</w:t>
      </w:r>
      <w:r w:rsidR="00EE4FC3">
        <w:t xml:space="preserve"> </w:t>
      </w:r>
      <w:r w:rsidRPr="00382917">
        <w:t>in</w:t>
      </w:r>
      <w:r w:rsidR="00EE4FC3">
        <w:t xml:space="preserve"> </w:t>
      </w:r>
      <w:r w:rsidRPr="00382917">
        <w:t>Ṭihrán</w:t>
      </w:r>
      <w:r w:rsidR="00EE4FC3">
        <w:t xml:space="preserve"> </w:t>
      </w:r>
      <w:r w:rsidRPr="00382917">
        <w:t>with</w:t>
      </w:r>
      <w:r w:rsidR="00EE4FC3">
        <w:t xml:space="preserve"> </w:t>
      </w:r>
      <w:r w:rsidRPr="00382917">
        <w:t>the</w:t>
      </w:r>
      <w:r w:rsidR="00EE4FC3">
        <w:t xml:space="preserve"> </w:t>
      </w:r>
      <w:r w:rsidRPr="00382917">
        <w:t>others</w:t>
      </w:r>
      <w:r w:rsidR="00330AF7">
        <w:t>.</w:t>
      </w:r>
      <w:r w:rsidR="00EE4FC3">
        <w:t xml:space="preserve">  </w:t>
      </w:r>
      <w:r w:rsidRPr="00382917">
        <w:t>He</w:t>
      </w:r>
      <w:r w:rsidR="00EE4FC3">
        <w:t xml:space="preserve"> </w:t>
      </w:r>
      <w:r w:rsidRPr="00382917">
        <w:t>was</w:t>
      </w:r>
      <w:r w:rsidR="00EE4FC3">
        <w:t xml:space="preserve"> </w:t>
      </w:r>
      <w:r w:rsidRPr="00382917">
        <w:t>told</w:t>
      </w:r>
      <w:r w:rsidR="00EE4FC3">
        <w:t xml:space="preserve"> </w:t>
      </w:r>
      <w:r w:rsidRPr="00382917">
        <w:t>that</w:t>
      </w:r>
      <w:r w:rsidR="00EE4FC3">
        <w:t xml:space="preserve"> </w:t>
      </w:r>
      <w:r w:rsidRPr="00382917">
        <w:t>if</w:t>
      </w:r>
      <w:r w:rsidR="00EE4FC3">
        <w:t xml:space="preserve"> </w:t>
      </w:r>
      <w:r w:rsidRPr="00382917">
        <w:t>he</w:t>
      </w:r>
      <w:r w:rsidR="00EE4FC3">
        <w:t xml:space="preserve"> </w:t>
      </w:r>
      <w:r w:rsidRPr="00382917">
        <w:t>would</w:t>
      </w:r>
      <w:r w:rsidR="00EE4FC3">
        <w:t xml:space="preserve"> </w:t>
      </w:r>
      <w:r w:rsidRPr="00382917">
        <w:t>renounce</w:t>
      </w:r>
      <w:r w:rsidR="00EE4FC3">
        <w:t xml:space="preserve"> </w:t>
      </w:r>
      <w:r w:rsidRPr="00382917">
        <w:t>the</w:t>
      </w:r>
      <w:r w:rsidR="00EE4FC3">
        <w:t xml:space="preserve"> </w:t>
      </w:r>
      <w:r w:rsidRPr="00382917">
        <w:t>Báb</w:t>
      </w:r>
      <w:r w:rsidR="009C713D" w:rsidRPr="00382917">
        <w:t>’</w:t>
      </w:r>
      <w:r w:rsidRPr="00382917">
        <w:t>s</w:t>
      </w:r>
      <w:r w:rsidR="00EE4FC3">
        <w:t xml:space="preserve"> </w:t>
      </w:r>
      <w:r w:rsidRPr="00382917">
        <w:t>Faith</w:t>
      </w:r>
      <w:r w:rsidR="00EE4FC3">
        <w:t xml:space="preserve"> </w:t>
      </w:r>
      <w:r w:rsidRPr="00382917">
        <w:t>and</w:t>
      </w:r>
      <w:r w:rsidR="00EE4FC3">
        <w:t xml:space="preserve"> </w:t>
      </w:r>
      <w:r w:rsidRPr="00382917">
        <w:t>speak</w:t>
      </w:r>
      <w:r w:rsidR="00EE4FC3">
        <w:t xml:space="preserve"> </w:t>
      </w:r>
      <w:r w:rsidRPr="00382917">
        <w:t>evil</w:t>
      </w:r>
      <w:r w:rsidR="00EE4FC3">
        <w:t xml:space="preserve"> </w:t>
      </w:r>
      <w:r w:rsidRPr="00382917">
        <w:t>of</w:t>
      </w:r>
      <w:r w:rsidR="00EE4FC3">
        <w:t xml:space="preserve"> </w:t>
      </w:r>
      <w:r w:rsidRPr="00382917">
        <w:t>its</w:t>
      </w:r>
      <w:r w:rsidR="00EE4FC3">
        <w:t xml:space="preserve"> </w:t>
      </w:r>
      <w:r w:rsidRPr="00382917">
        <w:t>Author,</w:t>
      </w:r>
      <w:r w:rsidR="00EE4FC3">
        <w:t xml:space="preserve"> </w:t>
      </w:r>
      <w:r w:rsidRPr="00382917">
        <w:t>he</w:t>
      </w:r>
      <w:r w:rsidR="00EE4FC3">
        <w:t xml:space="preserve"> </w:t>
      </w:r>
      <w:r w:rsidRPr="00382917">
        <w:t>would</w:t>
      </w:r>
      <w:r w:rsidR="00EE4FC3">
        <w:t xml:space="preserve"> </w:t>
      </w:r>
      <w:r w:rsidRPr="00382917">
        <w:t>be</w:t>
      </w:r>
      <w:r w:rsidR="00EE4FC3">
        <w:t xml:space="preserve"> </w:t>
      </w:r>
      <w:r w:rsidRPr="00382917">
        <w:t>released,</w:t>
      </w:r>
      <w:r w:rsidR="00EE4FC3">
        <w:t xml:space="preserve"> </w:t>
      </w:r>
      <w:r w:rsidRPr="00382917">
        <w:t>otherwise</w:t>
      </w:r>
      <w:r w:rsidR="00EE4FC3">
        <w:t xml:space="preserve"> </w:t>
      </w:r>
      <w:r w:rsidRPr="00382917">
        <w:t>he</w:t>
      </w:r>
      <w:r w:rsidR="00EE4FC3">
        <w:t xml:space="preserve"> </w:t>
      </w:r>
      <w:r w:rsidRPr="00382917">
        <w:t>would</w:t>
      </w:r>
      <w:r w:rsidR="00EE4FC3">
        <w:t xml:space="preserve"> </w:t>
      </w:r>
      <w:r w:rsidRPr="00382917">
        <w:t>suffer</w:t>
      </w:r>
      <w:r w:rsidR="00EE4FC3">
        <w:t xml:space="preserve"> </w:t>
      </w:r>
      <w:r w:rsidRPr="00382917">
        <w:t>death.</w:t>
      </w:r>
    </w:p>
    <w:p w:rsidR="00582826" w:rsidRPr="00382917" w:rsidRDefault="009C713D" w:rsidP="00582826">
      <w:pPr>
        <w:pStyle w:val="Text"/>
      </w:pPr>
      <w:r w:rsidRPr="00382917">
        <w:t>“</w:t>
      </w:r>
      <w:r w:rsidR="00582826" w:rsidRPr="00382917">
        <w:t>Renounce</w:t>
      </w:r>
      <w:r w:rsidR="00EE4FC3">
        <w:t xml:space="preserve"> </w:t>
      </w:r>
      <w:r w:rsidR="00582826" w:rsidRPr="00382917">
        <w:t>my</w:t>
      </w:r>
      <w:r w:rsidR="00EE4FC3">
        <w:t xml:space="preserve"> </w:t>
      </w:r>
      <w:r w:rsidR="00582826" w:rsidRPr="00382917">
        <w:t>Faith?</w:t>
      </w:r>
      <w:r w:rsidRPr="00382917">
        <w:t>”</w:t>
      </w:r>
      <w:r w:rsidR="00EE4FC3">
        <w:t xml:space="preserve"> </w:t>
      </w:r>
      <w:r w:rsidR="00582826" w:rsidRPr="00382917">
        <w:t>he</w:t>
      </w:r>
      <w:r w:rsidR="00EE4FC3">
        <w:t xml:space="preserve"> </w:t>
      </w:r>
      <w:r w:rsidR="00582826" w:rsidRPr="00382917">
        <w:t>cried</w:t>
      </w:r>
      <w:r w:rsidR="00330AF7">
        <w:t>.</w:t>
      </w:r>
      <w:r w:rsidR="00EE4FC3">
        <w:t xml:space="preserve">  </w:t>
      </w:r>
      <w:r w:rsidRPr="00382917">
        <w:t>“</w:t>
      </w:r>
      <w:r w:rsidR="00582826" w:rsidRPr="00382917">
        <w:t>Never</w:t>
      </w:r>
      <w:proofErr w:type="gramStart"/>
      <w:r w:rsidR="00582826" w:rsidRPr="00382917">
        <w:t>!</w:t>
      </w:r>
      <w:r w:rsidR="00EE4FC3">
        <w:t xml:space="preserve"> </w:t>
      </w:r>
      <w:proofErr w:type="gramEnd"/>
      <w:r w:rsidR="00582826" w:rsidRPr="00382917">
        <w:t>I</w:t>
      </w:r>
      <w:r w:rsidR="00EE4FC3">
        <w:t xml:space="preserve"> </w:t>
      </w:r>
      <w:r w:rsidR="00582826" w:rsidRPr="00382917">
        <w:t>am</w:t>
      </w:r>
      <w:r w:rsidR="00EE4FC3">
        <w:t xml:space="preserve"> </w:t>
      </w:r>
      <w:r w:rsidR="00582826" w:rsidRPr="00382917">
        <w:t>determined</w:t>
      </w:r>
      <w:r w:rsidR="00EE4FC3">
        <w:t xml:space="preserve"> </w:t>
      </w:r>
      <w:r w:rsidR="00582826" w:rsidRPr="00382917">
        <w:t>to</w:t>
      </w:r>
      <w:r w:rsidR="00EE4FC3">
        <w:t xml:space="preserve"> </w:t>
      </w:r>
      <w:r w:rsidR="00582826" w:rsidRPr="00382917">
        <w:t>confess</w:t>
      </w:r>
      <w:r w:rsidR="00EE4FC3">
        <w:t xml:space="preserve"> </w:t>
      </w:r>
      <w:r w:rsidR="00582826" w:rsidRPr="00382917">
        <w:t>my</w:t>
      </w:r>
      <w:r w:rsidR="00EE4FC3">
        <w:t xml:space="preserve"> </w:t>
      </w:r>
      <w:r w:rsidR="00582826" w:rsidRPr="00382917">
        <w:t>faith</w:t>
      </w:r>
      <w:r w:rsidR="00EE4FC3">
        <w:t xml:space="preserve"> </w:t>
      </w:r>
      <w:r w:rsidR="00582826" w:rsidRPr="00382917">
        <w:t>openly</w:t>
      </w:r>
      <w:r w:rsidR="00EE4FC3">
        <w:t xml:space="preserve"> </w:t>
      </w:r>
      <w:r w:rsidR="00582826" w:rsidRPr="00382917">
        <w:t>and</w:t>
      </w:r>
      <w:r w:rsidR="00EE4FC3">
        <w:t xml:space="preserve"> </w:t>
      </w:r>
      <w:r w:rsidR="00582826" w:rsidRPr="00382917">
        <w:t>to</w:t>
      </w:r>
      <w:r w:rsidR="00EE4FC3">
        <w:t xml:space="preserve"> </w:t>
      </w:r>
      <w:r w:rsidR="00582826" w:rsidRPr="00382917">
        <w:t>lay</w:t>
      </w:r>
      <w:r w:rsidR="00EE4FC3">
        <w:t xml:space="preserve"> </w:t>
      </w:r>
      <w:r w:rsidR="00582826" w:rsidRPr="00382917">
        <w:t>down</w:t>
      </w:r>
      <w:r w:rsidR="00EE4FC3">
        <w:t xml:space="preserve"> </w:t>
      </w:r>
      <w:r w:rsidR="00582826" w:rsidRPr="00382917">
        <w:t>my</w:t>
      </w:r>
      <w:r w:rsidR="00EE4FC3">
        <w:t xml:space="preserve"> </w:t>
      </w:r>
      <w:r w:rsidR="00582826" w:rsidRPr="00382917">
        <w:t>life</w:t>
      </w:r>
      <w:r w:rsidR="00EE4FC3">
        <w:t xml:space="preserve"> </w:t>
      </w:r>
      <w:r w:rsidR="00582826" w:rsidRPr="00382917">
        <w:t>for</w:t>
      </w:r>
      <w:r w:rsidR="00EE4FC3">
        <w:t xml:space="preserve"> </w:t>
      </w:r>
      <w:r w:rsidR="00582826" w:rsidRPr="00382917">
        <w:t>the</w:t>
      </w:r>
      <w:r w:rsidR="00EE4FC3">
        <w:t xml:space="preserve"> </w:t>
      </w:r>
      <w:r w:rsidR="00582826" w:rsidRPr="00382917">
        <w:t>Báb.</w:t>
      </w:r>
      <w:proofErr w:type="gramStart"/>
      <w:r w:rsidRPr="00382917">
        <w:t>”</w:t>
      </w:r>
      <w:r w:rsidR="00EE4FC3">
        <w:t xml:space="preserve"> </w:t>
      </w:r>
      <w:proofErr w:type="gramEnd"/>
      <w:r w:rsidR="00582826" w:rsidRPr="00382917">
        <w:t>He</w:t>
      </w:r>
      <w:r w:rsidR="00EE4FC3">
        <w:t xml:space="preserve"> </w:t>
      </w:r>
      <w:r w:rsidR="00582826" w:rsidRPr="00382917">
        <w:t>explained</w:t>
      </w:r>
      <w:r w:rsidR="00EE4FC3">
        <w:t xml:space="preserve"> </w:t>
      </w:r>
      <w:r w:rsidR="00582826" w:rsidRPr="00382917">
        <w:t>the</w:t>
      </w:r>
      <w:r w:rsidR="00EE4FC3">
        <w:t xml:space="preserve"> </w:t>
      </w:r>
      <w:r w:rsidR="00582826" w:rsidRPr="00382917">
        <w:t>importance</w:t>
      </w:r>
      <w:r w:rsidR="00EE4FC3">
        <w:t xml:space="preserve"> </w:t>
      </w:r>
      <w:r w:rsidR="00582826" w:rsidRPr="00382917">
        <w:t>of</w:t>
      </w:r>
      <w:r w:rsidR="00EE4FC3">
        <w:t xml:space="preserve"> </w:t>
      </w:r>
      <w:r w:rsidR="00582826" w:rsidRPr="00382917">
        <w:t>his</w:t>
      </w:r>
      <w:r w:rsidR="00EE4FC3">
        <w:t xml:space="preserve"> </w:t>
      </w:r>
      <w:r w:rsidR="00582826" w:rsidRPr="00382917">
        <w:t>feelings</w:t>
      </w:r>
      <w:r w:rsidR="00EE4FC3">
        <w:t xml:space="preserve"> </w:t>
      </w:r>
      <w:r w:rsidR="00582826" w:rsidRPr="00382917">
        <w:t>to</w:t>
      </w:r>
      <w:r w:rsidR="00EE4FC3">
        <w:t xml:space="preserve"> </w:t>
      </w:r>
      <w:r w:rsidR="00582826" w:rsidRPr="00382917">
        <w:t>the</w:t>
      </w:r>
      <w:r w:rsidR="00EE4FC3">
        <w:t xml:space="preserve"> </w:t>
      </w:r>
      <w:r w:rsidR="00582826" w:rsidRPr="00382917">
        <w:t>other</w:t>
      </w:r>
      <w:r w:rsidR="00EE4FC3">
        <w:t xml:space="preserve"> </w:t>
      </w:r>
      <w:r w:rsidR="00582826" w:rsidRPr="00382917">
        <w:t>prisoners</w:t>
      </w:r>
      <w:r w:rsidR="00330AF7">
        <w:t>.</w:t>
      </w:r>
      <w:r w:rsidR="00EE4FC3">
        <w:t xml:space="preserve">  </w:t>
      </w:r>
      <w:proofErr w:type="gramStart"/>
      <w:r w:rsidRPr="00382917">
        <w:t>“</w:t>
      </w:r>
      <w:r w:rsidR="00582826" w:rsidRPr="00382917">
        <w:t>If</w:t>
      </w:r>
      <w:r w:rsidR="00EE4FC3">
        <w:t xml:space="preserve"> </w:t>
      </w:r>
      <w:r w:rsidR="00582826" w:rsidRPr="00382917">
        <w:t>we</w:t>
      </w:r>
      <w:r w:rsidR="00EE4FC3">
        <w:t xml:space="preserve"> </w:t>
      </w:r>
      <w:r w:rsidR="00582826" w:rsidRPr="00382917">
        <w:t>fail</w:t>
      </w:r>
      <w:r w:rsidR="00EE4FC3">
        <w:t xml:space="preserve"> </w:t>
      </w:r>
      <w:r w:rsidR="00582826" w:rsidRPr="00382917">
        <w:t>to</w:t>
      </w:r>
      <w:r w:rsidR="00EE4FC3">
        <w:t xml:space="preserve"> </w:t>
      </w:r>
      <w:r w:rsidR="00582826" w:rsidRPr="00382917">
        <w:t>proclaim</w:t>
      </w:r>
      <w:r w:rsidR="00EE4FC3">
        <w:t xml:space="preserve"> </w:t>
      </w:r>
      <w:r w:rsidR="00582826" w:rsidRPr="00382917">
        <w:t>the</w:t>
      </w:r>
      <w:r w:rsidR="00EE4FC3">
        <w:t xml:space="preserve"> </w:t>
      </w:r>
      <w:r w:rsidR="00582826" w:rsidRPr="00382917">
        <w:t>coming</w:t>
      </w:r>
      <w:r w:rsidR="00EE4FC3">
        <w:t xml:space="preserve"> </w:t>
      </w:r>
      <w:r w:rsidR="00582826" w:rsidRPr="00382917">
        <w:t>of</w:t>
      </w:r>
      <w:r w:rsidR="00EE4FC3">
        <w:t xml:space="preserve"> </w:t>
      </w:r>
      <w:r w:rsidR="00582826" w:rsidRPr="00382917">
        <w:t>the</w:t>
      </w:r>
      <w:r w:rsidR="00EE4FC3">
        <w:t xml:space="preserve"> </w:t>
      </w:r>
      <w:r w:rsidR="00582826" w:rsidRPr="00382917">
        <w:t>Promised</w:t>
      </w:r>
      <w:r w:rsidR="00EE4FC3">
        <w:t xml:space="preserve"> </w:t>
      </w:r>
      <w:r w:rsidR="00582826" w:rsidRPr="00382917">
        <w:t>One,</w:t>
      </w:r>
      <w:r w:rsidR="00EE4FC3">
        <w:t xml:space="preserve"> </w:t>
      </w:r>
      <w:r w:rsidR="00582826" w:rsidRPr="00382917">
        <w:t>who</w:t>
      </w:r>
      <w:r w:rsidR="00EE4FC3">
        <w:t xml:space="preserve"> </w:t>
      </w:r>
      <w:r w:rsidR="00582826" w:rsidRPr="00382917">
        <w:t>else</w:t>
      </w:r>
      <w:r w:rsidR="00EE4FC3">
        <w:t xml:space="preserve"> </w:t>
      </w:r>
      <w:r w:rsidR="00582826" w:rsidRPr="00382917">
        <w:t>will</w:t>
      </w:r>
      <w:r w:rsidR="00EE4FC3">
        <w:t xml:space="preserve"> </w:t>
      </w:r>
      <w:r w:rsidR="00582826" w:rsidRPr="00382917">
        <w:t>proclaim</w:t>
      </w:r>
      <w:r w:rsidR="00EE4FC3">
        <w:t xml:space="preserve"> </w:t>
      </w:r>
      <w:r w:rsidR="00582826" w:rsidRPr="00382917">
        <w:t>it</w:t>
      </w:r>
      <w:r w:rsidR="003C712C">
        <w:t>?</w:t>
      </w:r>
      <w:proofErr w:type="gramEnd"/>
      <w:r w:rsidR="003C712C">
        <w:t xml:space="preserve">  </w:t>
      </w:r>
      <w:proofErr w:type="gramStart"/>
      <w:r w:rsidR="00582826" w:rsidRPr="00382917">
        <w:t>If</w:t>
      </w:r>
      <w:r w:rsidR="00EE4FC3">
        <w:t xml:space="preserve"> </w:t>
      </w:r>
      <w:r w:rsidR="00582826" w:rsidRPr="00382917">
        <w:t>we</w:t>
      </w:r>
      <w:r w:rsidR="00EE4FC3">
        <w:t xml:space="preserve"> </w:t>
      </w:r>
      <w:r w:rsidR="00582826" w:rsidRPr="00382917">
        <w:t>fail</w:t>
      </w:r>
      <w:r w:rsidR="00EE4FC3">
        <w:t xml:space="preserve"> </w:t>
      </w:r>
      <w:r w:rsidR="00582826" w:rsidRPr="00382917">
        <w:t>to</w:t>
      </w:r>
      <w:r w:rsidR="00EE4FC3">
        <w:t xml:space="preserve"> </w:t>
      </w:r>
      <w:r w:rsidR="00582826" w:rsidRPr="00382917">
        <w:t>direct</w:t>
      </w:r>
      <w:r w:rsidR="00EE4FC3">
        <w:t xml:space="preserve"> </w:t>
      </w:r>
      <w:r w:rsidR="00582826" w:rsidRPr="00382917">
        <w:t>men</w:t>
      </w:r>
      <w:r w:rsidR="00EE4FC3">
        <w:t xml:space="preserve"> </w:t>
      </w:r>
      <w:r w:rsidR="00582826" w:rsidRPr="00382917">
        <w:t>into</w:t>
      </w:r>
      <w:r w:rsidR="00EE4FC3">
        <w:t xml:space="preserve"> </w:t>
      </w:r>
      <w:r w:rsidR="00582826" w:rsidRPr="00382917">
        <w:t>the</w:t>
      </w:r>
      <w:r w:rsidR="00EE4FC3">
        <w:t xml:space="preserve"> </w:t>
      </w:r>
      <w:r w:rsidR="00582826" w:rsidRPr="00382917">
        <w:t>right</w:t>
      </w:r>
      <w:r w:rsidR="00EE4FC3">
        <w:t xml:space="preserve"> </w:t>
      </w:r>
      <w:r w:rsidR="00582826" w:rsidRPr="00382917">
        <w:t>way,</w:t>
      </w:r>
      <w:r w:rsidR="00EE4FC3">
        <w:t xml:space="preserve"> </w:t>
      </w:r>
      <w:r w:rsidR="00582826" w:rsidRPr="00382917">
        <w:t>to</w:t>
      </w:r>
      <w:r w:rsidR="00EE4FC3">
        <w:t xml:space="preserve"> </w:t>
      </w:r>
      <w:r w:rsidR="00582826" w:rsidRPr="00382917">
        <w:t>arouse</w:t>
      </w:r>
      <w:r w:rsidR="00EE4FC3">
        <w:t xml:space="preserve"> </w:t>
      </w:r>
      <w:r w:rsidR="00582826" w:rsidRPr="00382917">
        <w:t>them</w:t>
      </w:r>
      <w:r w:rsidR="00EE4FC3">
        <w:t xml:space="preserve"> </w:t>
      </w:r>
      <w:r w:rsidR="00582826" w:rsidRPr="00382917">
        <w:t>from</w:t>
      </w:r>
      <w:r w:rsidR="00EE4FC3">
        <w:t xml:space="preserve"> </w:t>
      </w:r>
      <w:r w:rsidR="00582826" w:rsidRPr="00382917">
        <w:t>the</w:t>
      </w:r>
      <w:r w:rsidR="00EE4FC3">
        <w:t xml:space="preserve"> </w:t>
      </w:r>
      <w:r w:rsidR="00582826" w:rsidRPr="00382917">
        <w:t>slumber</w:t>
      </w:r>
      <w:r w:rsidR="00EE4FC3">
        <w:t xml:space="preserve"> </w:t>
      </w:r>
      <w:r w:rsidR="00582826" w:rsidRPr="00382917">
        <w:t>of</w:t>
      </w:r>
      <w:r w:rsidR="00EE4FC3">
        <w:t xml:space="preserve"> </w:t>
      </w:r>
      <w:r w:rsidR="00582826" w:rsidRPr="00382917">
        <w:t>death,</w:t>
      </w:r>
      <w:r w:rsidR="00EE4FC3">
        <w:t xml:space="preserve"> </w:t>
      </w:r>
      <w:r w:rsidR="00582826" w:rsidRPr="00382917">
        <w:t>who</w:t>
      </w:r>
      <w:r w:rsidR="00EE4FC3">
        <w:t xml:space="preserve"> </w:t>
      </w:r>
      <w:r w:rsidR="00582826" w:rsidRPr="00382917">
        <w:t>else</w:t>
      </w:r>
      <w:r w:rsidR="00EE4FC3">
        <w:t xml:space="preserve"> </w:t>
      </w:r>
      <w:r w:rsidR="00582826" w:rsidRPr="00382917">
        <w:t>will</w:t>
      </w:r>
      <w:r w:rsidR="00EE4FC3">
        <w:t xml:space="preserve"> </w:t>
      </w:r>
      <w:r w:rsidR="00582826" w:rsidRPr="00382917">
        <w:t>do</w:t>
      </w:r>
      <w:r w:rsidR="00EE4FC3">
        <w:t xml:space="preserve"> </w:t>
      </w:r>
      <w:r w:rsidR="00582826" w:rsidRPr="00382917">
        <w:t>it</w:t>
      </w:r>
      <w:r w:rsidR="003C712C">
        <w:t>?</w:t>
      </w:r>
      <w:proofErr w:type="gramEnd"/>
      <w:r w:rsidR="003C712C">
        <w:t xml:space="preserve">  </w:t>
      </w:r>
      <w:r w:rsidR="00582826" w:rsidRPr="00382917">
        <w:t>We</w:t>
      </w:r>
      <w:r w:rsidR="00EE4FC3">
        <w:t xml:space="preserve"> </w:t>
      </w:r>
      <w:r w:rsidR="00582826" w:rsidRPr="00382917">
        <w:t>are</w:t>
      </w:r>
      <w:r w:rsidR="00EE4FC3">
        <w:t xml:space="preserve"> </w:t>
      </w:r>
      <w:r w:rsidR="00582826" w:rsidRPr="00382917">
        <w:t>the</w:t>
      </w:r>
      <w:r w:rsidR="00EE4FC3">
        <w:t xml:space="preserve"> </w:t>
      </w:r>
      <w:r w:rsidR="00582826" w:rsidRPr="00382917">
        <w:t>instruments</w:t>
      </w:r>
      <w:r w:rsidR="00EE4FC3">
        <w:t xml:space="preserve"> </w:t>
      </w:r>
      <w:r w:rsidR="00582826" w:rsidRPr="00382917">
        <w:t>of</w:t>
      </w:r>
      <w:r w:rsidR="00EE4FC3">
        <w:t xml:space="preserve"> </w:t>
      </w:r>
      <w:r w:rsidR="00582826" w:rsidRPr="00382917">
        <w:t>God</w:t>
      </w:r>
      <w:r w:rsidR="00330AF7">
        <w:t>.</w:t>
      </w:r>
      <w:r w:rsidR="00EE4FC3">
        <w:t xml:space="preserve">  </w:t>
      </w:r>
      <w:r w:rsidR="00582826" w:rsidRPr="00382917">
        <w:t>Let</w:t>
      </w:r>
      <w:r w:rsidR="00EE4FC3">
        <w:t xml:space="preserve"> </w:t>
      </w:r>
      <w:r w:rsidR="00582826" w:rsidRPr="00382917">
        <w:t>everyone</w:t>
      </w:r>
      <w:r w:rsidR="00EE4FC3">
        <w:t xml:space="preserve"> </w:t>
      </w:r>
      <w:r w:rsidR="00582826" w:rsidRPr="00382917">
        <w:t>who</w:t>
      </w:r>
      <w:r w:rsidR="00EE4FC3">
        <w:t xml:space="preserve"> </w:t>
      </w:r>
      <w:r w:rsidR="00582826" w:rsidRPr="00382917">
        <w:t>is</w:t>
      </w:r>
      <w:r w:rsidR="00EE4FC3">
        <w:t xml:space="preserve"> </w:t>
      </w:r>
      <w:r w:rsidR="00582826" w:rsidRPr="00382917">
        <w:t>able,</w:t>
      </w:r>
      <w:r w:rsidR="00EE4FC3">
        <w:t xml:space="preserve"> </w:t>
      </w:r>
      <w:r w:rsidR="00582826" w:rsidRPr="00382917">
        <w:t>come</w:t>
      </w:r>
      <w:r w:rsidR="00EE4FC3">
        <w:t xml:space="preserve"> </w:t>
      </w:r>
      <w:r w:rsidR="00582826" w:rsidRPr="00382917">
        <w:t>forth</w:t>
      </w:r>
      <w:r w:rsidR="00EE4FC3">
        <w:t xml:space="preserve"> </w:t>
      </w:r>
      <w:r w:rsidR="00582826" w:rsidRPr="00382917">
        <w:t>in</w:t>
      </w:r>
      <w:r w:rsidR="00EE4FC3">
        <w:t xml:space="preserve"> </w:t>
      </w:r>
      <w:r w:rsidR="00582826" w:rsidRPr="00382917">
        <w:t>all</w:t>
      </w:r>
      <w:r w:rsidR="00EE4FC3">
        <w:t xml:space="preserve"> </w:t>
      </w:r>
      <w:r w:rsidR="00582826" w:rsidRPr="00382917">
        <w:t>steadfastness</w:t>
      </w:r>
      <w:r w:rsidR="00EE4FC3">
        <w:t xml:space="preserve"> </w:t>
      </w:r>
      <w:r w:rsidR="00582826" w:rsidRPr="00382917">
        <w:t>and</w:t>
      </w:r>
      <w:r w:rsidR="00EE4FC3">
        <w:t xml:space="preserve"> </w:t>
      </w:r>
      <w:r w:rsidR="00582826" w:rsidRPr="00382917">
        <w:t>bear</w:t>
      </w:r>
      <w:r w:rsidR="00EE4FC3">
        <w:t xml:space="preserve"> </w:t>
      </w:r>
      <w:r w:rsidR="00582826" w:rsidRPr="00382917">
        <w:t>me</w:t>
      </w:r>
      <w:r w:rsidR="00EE4FC3">
        <w:t xml:space="preserve"> </w:t>
      </w:r>
      <w:r w:rsidR="00582826" w:rsidRPr="00382917">
        <w:t>company.</w:t>
      </w:r>
      <w:r w:rsidRPr="00382917">
        <w:t>”</w:t>
      </w:r>
    </w:p>
    <w:p w:rsidR="00582826" w:rsidRPr="00382917" w:rsidRDefault="00582826" w:rsidP="00582826">
      <w:pPr>
        <w:pStyle w:val="Text"/>
      </w:pPr>
      <w:r w:rsidRPr="00382917">
        <w:t>As</w:t>
      </w:r>
      <w:r w:rsidR="00EE4FC3">
        <w:t xml:space="preserve"> </w:t>
      </w:r>
      <w:r w:rsidRPr="00382917">
        <w:t>Mullá</w:t>
      </w:r>
      <w:r w:rsidR="00EE4FC3">
        <w:t xml:space="preserve"> </w:t>
      </w:r>
      <w:r w:rsidRPr="00382917">
        <w:t>Ismá</w:t>
      </w:r>
      <w:r w:rsidR="009C713D" w:rsidRPr="00382917">
        <w:t>‘</w:t>
      </w:r>
      <w:r w:rsidRPr="00382917">
        <w:t>íl</w:t>
      </w:r>
      <w:r w:rsidR="00EE4FC3">
        <w:t xml:space="preserve"> </w:t>
      </w:r>
      <w:r w:rsidRPr="00382917">
        <w:t>was</w:t>
      </w:r>
      <w:r w:rsidR="00EE4FC3">
        <w:t xml:space="preserve"> </w:t>
      </w:r>
      <w:r w:rsidRPr="00382917">
        <w:t>being</w:t>
      </w:r>
      <w:r w:rsidR="00EE4FC3">
        <w:t xml:space="preserve"> </w:t>
      </w:r>
      <w:r w:rsidRPr="00382917">
        <w:t>led</w:t>
      </w:r>
      <w:r w:rsidR="00EE4FC3">
        <w:t xml:space="preserve"> </w:t>
      </w:r>
      <w:r w:rsidRPr="00382917">
        <w:t>to</w:t>
      </w:r>
      <w:r w:rsidR="00EE4FC3">
        <w:t xml:space="preserve"> </w:t>
      </w:r>
      <w:r w:rsidRPr="00382917">
        <w:t>the</w:t>
      </w:r>
      <w:r w:rsidR="00EE4FC3">
        <w:t xml:space="preserve"> </w:t>
      </w:r>
      <w:r w:rsidRPr="00382917">
        <w:t>place</w:t>
      </w:r>
      <w:r w:rsidR="00EE4FC3">
        <w:t xml:space="preserve"> </w:t>
      </w:r>
      <w:r w:rsidRPr="00382917">
        <w:t>appointed</w:t>
      </w:r>
      <w:r w:rsidR="00EE4FC3">
        <w:t xml:space="preserve"> </w:t>
      </w:r>
      <w:r w:rsidRPr="00382917">
        <w:t>for</w:t>
      </w:r>
      <w:r w:rsidR="00EE4FC3">
        <w:t xml:space="preserve"> </w:t>
      </w:r>
      <w:r w:rsidRPr="00382917">
        <w:t>his</w:t>
      </w:r>
      <w:r w:rsidR="00EE4FC3">
        <w:t xml:space="preserve"> </w:t>
      </w:r>
      <w:r w:rsidRPr="00382917">
        <w:t>death,</w:t>
      </w:r>
      <w:r w:rsidR="00EE4FC3">
        <w:t xml:space="preserve"> </w:t>
      </w:r>
      <w:r w:rsidRPr="00382917">
        <w:t>one</w:t>
      </w:r>
      <w:r w:rsidR="00EE4FC3">
        <w:t xml:space="preserve"> </w:t>
      </w:r>
      <w:r w:rsidRPr="00382917">
        <w:t>of</w:t>
      </w:r>
      <w:r w:rsidR="00EE4FC3">
        <w:t xml:space="preserve"> </w:t>
      </w:r>
      <w:r w:rsidRPr="00382917">
        <w:t>the</w:t>
      </w:r>
      <w:r w:rsidR="00EE4FC3">
        <w:t xml:space="preserve"> </w:t>
      </w:r>
      <w:r w:rsidRPr="00382917">
        <w:t>surrounding</w:t>
      </w:r>
      <w:r w:rsidR="00EE4FC3">
        <w:t xml:space="preserve"> </w:t>
      </w:r>
      <w:r w:rsidRPr="00382917">
        <w:t>crowd</w:t>
      </w:r>
      <w:r w:rsidR="00EE4FC3">
        <w:t xml:space="preserve"> </w:t>
      </w:r>
      <w:r w:rsidRPr="00382917">
        <w:t>called</w:t>
      </w:r>
      <w:r w:rsidR="00EE4FC3">
        <w:t xml:space="preserve"> </w:t>
      </w:r>
      <w:r w:rsidRPr="00382917">
        <w:t>out.</w:t>
      </w:r>
    </w:p>
    <w:p w:rsidR="00582826" w:rsidRPr="00382917" w:rsidRDefault="009C713D" w:rsidP="00582826">
      <w:pPr>
        <w:pStyle w:val="Text"/>
      </w:pPr>
      <w:r w:rsidRPr="00382917">
        <w:t>“</w:t>
      </w:r>
      <w:r w:rsidR="00582826" w:rsidRPr="00382917">
        <w:t>He</w:t>
      </w:r>
      <w:r w:rsidR="00EE4FC3">
        <w:t xml:space="preserve"> </w:t>
      </w:r>
      <w:r w:rsidR="00582826" w:rsidRPr="00382917">
        <w:t>is</w:t>
      </w:r>
      <w:r w:rsidR="00EE4FC3">
        <w:t xml:space="preserve"> </w:t>
      </w:r>
      <w:r w:rsidR="00582826" w:rsidRPr="00382917">
        <w:t>one</w:t>
      </w:r>
      <w:r w:rsidR="00EE4FC3">
        <w:t xml:space="preserve"> </w:t>
      </w:r>
      <w:r w:rsidR="00582826" w:rsidRPr="00382917">
        <w:t>of</w:t>
      </w:r>
      <w:r w:rsidR="00EE4FC3">
        <w:t xml:space="preserve"> </w:t>
      </w:r>
      <w:r w:rsidR="00582826" w:rsidRPr="00382917">
        <w:t>them</w:t>
      </w:r>
      <w:proofErr w:type="gramStart"/>
      <w:r w:rsidR="00582826" w:rsidRPr="00382917">
        <w:t>!</w:t>
      </w:r>
      <w:r w:rsidR="00EE4FC3">
        <w:t xml:space="preserve"> </w:t>
      </w:r>
      <w:proofErr w:type="gramEnd"/>
      <w:r w:rsidR="00582826" w:rsidRPr="00382917">
        <w:t>There</w:t>
      </w:r>
      <w:r w:rsidR="00EE4FC3">
        <w:t xml:space="preserve"> </w:t>
      </w:r>
      <w:r w:rsidR="00582826" w:rsidRPr="00382917">
        <w:t>goes</w:t>
      </w:r>
      <w:r w:rsidR="00EE4FC3">
        <w:t xml:space="preserve"> </w:t>
      </w:r>
      <w:r w:rsidR="00582826" w:rsidRPr="00382917">
        <w:t>a</w:t>
      </w:r>
      <w:r w:rsidR="00EE4FC3">
        <w:t xml:space="preserve"> </w:t>
      </w:r>
      <w:r w:rsidR="00582826" w:rsidRPr="00382917">
        <w:t>follower</w:t>
      </w:r>
      <w:r w:rsidR="00EE4FC3">
        <w:t xml:space="preserve"> </w:t>
      </w:r>
      <w:r w:rsidR="00582826" w:rsidRPr="00382917">
        <w:t>of</w:t>
      </w:r>
      <w:r w:rsidR="00EE4FC3">
        <w:t xml:space="preserve"> </w:t>
      </w:r>
      <w:r w:rsidR="00582826" w:rsidRPr="00382917">
        <w:t>the</w:t>
      </w:r>
      <w:r w:rsidR="00EE4FC3">
        <w:t xml:space="preserve"> </w:t>
      </w:r>
      <w:r w:rsidR="00582826" w:rsidRPr="00382917">
        <w:t>Báb!</w:t>
      </w:r>
      <w:r w:rsidRPr="00382917">
        <w:t>”</w:t>
      </w:r>
    </w:p>
    <w:p w:rsidR="00582826" w:rsidRPr="00382917" w:rsidRDefault="00582826" w:rsidP="00582826">
      <w:pPr>
        <w:pStyle w:val="Text"/>
      </w:pPr>
      <w:r w:rsidRPr="00382917">
        <w:t>Mullá</w:t>
      </w:r>
      <w:r w:rsidR="00EE4FC3">
        <w:t xml:space="preserve"> </w:t>
      </w:r>
      <w:r w:rsidR="009C713D" w:rsidRPr="00382917">
        <w:t>‘</w:t>
      </w:r>
      <w:r w:rsidRPr="00382917">
        <w:t>small</w:t>
      </w:r>
      <w:r w:rsidR="00EE4FC3">
        <w:t xml:space="preserve"> </w:t>
      </w:r>
      <w:r w:rsidRPr="00382917">
        <w:t>turned</w:t>
      </w:r>
      <w:r w:rsidR="00EE4FC3">
        <w:t xml:space="preserve"> </w:t>
      </w:r>
      <w:r w:rsidRPr="00382917">
        <w:t>and</w:t>
      </w:r>
      <w:r w:rsidR="00EE4FC3">
        <w:t xml:space="preserve"> </w:t>
      </w:r>
      <w:r w:rsidRPr="00382917">
        <w:t>laughed</w:t>
      </w:r>
      <w:r w:rsidR="00330AF7">
        <w:t>.</w:t>
      </w:r>
      <w:r w:rsidR="00EE4FC3">
        <w:t xml:space="preserve">  </w:t>
      </w:r>
      <w:r w:rsidRPr="00382917">
        <w:t>He</w:t>
      </w:r>
      <w:r w:rsidR="00EE4FC3">
        <w:t xml:space="preserve"> </w:t>
      </w:r>
      <w:r w:rsidRPr="00382917">
        <w:t>said,</w:t>
      </w:r>
      <w:r w:rsidR="00EE4FC3">
        <w:t xml:space="preserve"> </w:t>
      </w:r>
      <w:r w:rsidR="009C713D" w:rsidRPr="00382917">
        <w:t>“</w:t>
      </w:r>
      <w:r w:rsidRPr="00382917">
        <w:t>Yes,</w:t>
      </w:r>
      <w:r w:rsidR="00EE4FC3">
        <w:t xml:space="preserve"> </w:t>
      </w:r>
      <w:r w:rsidRPr="00382917">
        <w:t>I</w:t>
      </w:r>
      <w:r w:rsidR="00EE4FC3">
        <w:t xml:space="preserve"> </w:t>
      </w:r>
      <w:r w:rsidRPr="00382917">
        <w:t>am</w:t>
      </w:r>
      <w:r w:rsidR="00EE4FC3">
        <w:t xml:space="preserve"> </w:t>
      </w:r>
      <w:r w:rsidRPr="00382917">
        <w:t>a</w:t>
      </w:r>
      <w:r w:rsidR="00EE4FC3">
        <w:t xml:space="preserve"> </w:t>
      </w:r>
      <w:r w:rsidRPr="00382917">
        <w:t>follower</w:t>
      </w:r>
      <w:r w:rsidR="00EE4FC3">
        <w:t xml:space="preserve"> </w:t>
      </w:r>
      <w:r w:rsidRPr="00382917">
        <w:t>of</w:t>
      </w:r>
      <w:r w:rsidR="00EE4FC3">
        <w:t xml:space="preserve"> </w:t>
      </w:r>
      <w:r w:rsidRPr="00382917">
        <w:t>the</w:t>
      </w:r>
      <w:r w:rsidR="00EE4FC3">
        <w:t xml:space="preserve"> </w:t>
      </w:r>
      <w:r w:rsidRPr="00382917">
        <w:t>Báb,</w:t>
      </w:r>
      <w:r w:rsidR="00EE4FC3">
        <w:t xml:space="preserve"> </w:t>
      </w:r>
      <w:r w:rsidRPr="00382917">
        <w:t>and</w:t>
      </w:r>
      <w:r w:rsidR="00EE4FC3">
        <w:t xml:space="preserve"> </w:t>
      </w:r>
      <w:r w:rsidRPr="00382917">
        <w:t>I</w:t>
      </w:r>
      <w:r w:rsidR="00EE4FC3">
        <w:t xml:space="preserve"> </w:t>
      </w:r>
      <w:r w:rsidRPr="00382917">
        <w:t>am</w:t>
      </w:r>
      <w:r w:rsidR="00EE4FC3">
        <w:t xml:space="preserve"> </w:t>
      </w:r>
      <w:r w:rsidRPr="00382917">
        <w:t>going</w:t>
      </w:r>
      <w:r w:rsidR="00EE4FC3">
        <w:t xml:space="preserve"> </w:t>
      </w:r>
      <w:r w:rsidRPr="00382917">
        <w:t>to</w:t>
      </w:r>
      <w:r w:rsidR="00EE4FC3">
        <w:t xml:space="preserve"> </w:t>
      </w:r>
      <w:r w:rsidRPr="00382917">
        <w:t>die</w:t>
      </w:r>
      <w:r w:rsidR="00EE4FC3">
        <w:t xml:space="preserve"> </w:t>
      </w:r>
      <w:r w:rsidRPr="00382917">
        <w:t>for</w:t>
      </w:r>
      <w:r w:rsidR="00EE4FC3">
        <w:t xml:space="preserve"> </w:t>
      </w:r>
      <w:r w:rsidRPr="00382917">
        <w:t>you.</w:t>
      </w:r>
      <w:r w:rsidR="009C713D" w:rsidRPr="00382917">
        <w:t>”</w:t>
      </w:r>
    </w:p>
    <w:p w:rsidR="00582826" w:rsidRPr="00382917" w:rsidRDefault="00582826" w:rsidP="00582826">
      <w:pPr>
        <w:pStyle w:val="Text"/>
      </w:pPr>
      <w:r w:rsidRPr="00382917">
        <w:t>As</w:t>
      </w:r>
      <w:r w:rsidR="00EE4FC3">
        <w:t xml:space="preserve"> </w:t>
      </w:r>
      <w:r w:rsidRPr="00382917">
        <w:t>he</w:t>
      </w:r>
      <w:r w:rsidR="00EE4FC3">
        <w:t xml:space="preserve"> </w:t>
      </w:r>
      <w:r w:rsidRPr="00382917">
        <w:t>passed</w:t>
      </w:r>
      <w:r w:rsidR="00EE4FC3">
        <w:t xml:space="preserve"> </w:t>
      </w:r>
      <w:r w:rsidRPr="00382917">
        <w:t>through</w:t>
      </w:r>
      <w:r w:rsidR="00EE4FC3">
        <w:t xml:space="preserve"> </w:t>
      </w:r>
      <w:r w:rsidRPr="00382917">
        <w:t>the</w:t>
      </w:r>
      <w:r w:rsidR="00EE4FC3">
        <w:t xml:space="preserve"> </w:t>
      </w:r>
      <w:r w:rsidRPr="00382917">
        <w:t>crowd,</w:t>
      </w:r>
      <w:r w:rsidR="00EE4FC3">
        <w:t xml:space="preserve"> </w:t>
      </w:r>
      <w:r w:rsidRPr="00382917">
        <w:t>they</w:t>
      </w:r>
      <w:r w:rsidR="00EE4FC3">
        <w:t xml:space="preserve"> </w:t>
      </w:r>
      <w:r w:rsidRPr="00382917">
        <w:t>cursed</w:t>
      </w:r>
      <w:r w:rsidR="00EE4FC3">
        <w:t xml:space="preserve"> </w:t>
      </w:r>
      <w:r w:rsidRPr="00382917">
        <w:t>him</w:t>
      </w:r>
      <w:r w:rsidR="00EE4FC3">
        <w:t xml:space="preserve"> </w:t>
      </w:r>
      <w:r w:rsidRPr="00382917">
        <w:t>and</w:t>
      </w:r>
      <w:r w:rsidR="00EE4FC3">
        <w:t xml:space="preserve"> </w:t>
      </w:r>
      <w:r w:rsidRPr="00382917">
        <w:t>threw</w:t>
      </w:r>
      <w:r w:rsidR="00EE4FC3">
        <w:t xml:space="preserve"> </w:t>
      </w:r>
      <w:r w:rsidRPr="00382917">
        <w:t>stones</w:t>
      </w:r>
      <w:r w:rsidR="00EE4FC3">
        <w:t xml:space="preserve"> </w:t>
      </w:r>
      <w:r w:rsidRPr="00382917">
        <w:t>at</w:t>
      </w:r>
      <w:r w:rsidR="00EE4FC3">
        <w:t xml:space="preserve"> </w:t>
      </w:r>
      <w:r w:rsidRPr="00382917">
        <w:t>him.</w:t>
      </w:r>
    </w:p>
    <w:p w:rsidR="00582826" w:rsidRPr="00382917" w:rsidRDefault="009C713D" w:rsidP="00582826">
      <w:pPr>
        <w:pStyle w:val="Text"/>
      </w:pPr>
      <w:proofErr w:type="gramStart"/>
      <w:r w:rsidRPr="00382917">
        <w:t>“</w:t>
      </w:r>
      <w:r w:rsidR="00582826" w:rsidRPr="00382917">
        <w:t>Followers</w:t>
      </w:r>
      <w:r w:rsidR="00EE4FC3">
        <w:t xml:space="preserve"> </w:t>
      </w:r>
      <w:r w:rsidR="00582826" w:rsidRPr="00382917">
        <w:t>of</w:t>
      </w:r>
      <w:r w:rsidR="00EE4FC3">
        <w:t xml:space="preserve"> </w:t>
      </w:r>
      <w:r w:rsidR="00582826" w:rsidRPr="00382917">
        <w:t>the</w:t>
      </w:r>
      <w:r w:rsidR="00EE4FC3">
        <w:t xml:space="preserve"> </w:t>
      </w:r>
      <w:r w:rsidR="00582826" w:rsidRPr="00382917">
        <w:t>Báb,</w:t>
      </w:r>
      <w:r w:rsidRPr="00382917">
        <w:t>”</w:t>
      </w:r>
      <w:r w:rsidR="00EE4FC3">
        <w:t xml:space="preserve"> </w:t>
      </w:r>
      <w:r w:rsidR="00582826" w:rsidRPr="00382917">
        <w:t>they</w:t>
      </w:r>
      <w:r w:rsidR="00EE4FC3">
        <w:t xml:space="preserve"> </w:t>
      </w:r>
      <w:r w:rsidR="00582826" w:rsidRPr="00382917">
        <w:t>mocked,</w:t>
      </w:r>
      <w:r w:rsidR="00EE4FC3">
        <w:t xml:space="preserve"> </w:t>
      </w:r>
      <w:r w:rsidRPr="00382917">
        <w:t>“</w:t>
      </w:r>
      <w:r w:rsidR="00582826" w:rsidRPr="00382917">
        <w:t>and</w:t>
      </w:r>
      <w:r w:rsidR="00EE4FC3">
        <w:t xml:space="preserve"> </w:t>
      </w:r>
      <w:r w:rsidR="00582826" w:rsidRPr="00382917">
        <w:t>madmen!</w:t>
      </w:r>
      <w:r w:rsidRPr="00382917">
        <w:t>”</w:t>
      </w:r>
      <w:proofErr w:type="gramEnd"/>
    </w:p>
    <w:p w:rsidR="00582826" w:rsidRPr="00382917" w:rsidRDefault="00582826" w:rsidP="00B42F8B">
      <w:pPr>
        <w:pStyle w:val="Text"/>
      </w:pPr>
      <w:r w:rsidRPr="00382917">
        <w:t>Mullá</w:t>
      </w:r>
      <w:r w:rsidR="00EE4FC3">
        <w:t xml:space="preserve"> </w:t>
      </w:r>
      <w:r w:rsidRPr="00382917">
        <w:t>Ismá</w:t>
      </w:r>
      <w:r w:rsidR="009C713D" w:rsidRPr="00382917">
        <w:t>‘</w:t>
      </w:r>
      <w:r w:rsidRPr="00382917">
        <w:t>íl</w:t>
      </w:r>
      <w:r w:rsidR="00EE4FC3">
        <w:t xml:space="preserve"> </w:t>
      </w:r>
      <w:r w:rsidRPr="00382917">
        <w:t>answered</w:t>
      </w:r>
      <w:r w:rsidR="00330AF7">
        <w:t>.</w:t>
      </w:r>
      <w:r w:rsidR="00EE4FC3">
        <w:t xml:space="preserve">  </w:t>
      </w:r>
      <w:r w:rsidR="009C713D" w:rsidRPr="00382917">
        <w:t>“</w:t>
      </w:r>
      <w:r w:rsidRPr="00382917">
        <w:t>Followers</w:t>
      </w:r>
      <w:r w:rsidR="00EE4FC3">
        <w:t xml:space="preserve"> </w:t>
      </w:r>
      <w:r w:rsidRPr="00382917">
        <w:t>of</w:t>
      </w:r>
      <w:r w:rsidR="00EE4FC3">
        <w:t xml:space="preserve"> </w:t>
      </w:r>
      <w:r w:rsidRPr="00382917">
        <w:t>the</w:t>
      </w:r>
      <w:r w:rsidR="00EE4FC3">
        <w:t xml:space="preserve"> </w:t>
      </w:r>
      <w:r w:rsidRPr="00382917">
        <w:t>Báb</w:t>
      </w:r>
      <w:r w:rsidR="00EE4FC3">
        <w:t xml:space="preserve"> </w:t>
      </w:r>
      <w:r w:rsidRPr="00382917">
        <w:t>we</w:t>
      </w:r>
      <w:r w:rsidR="00EE4FC3">
        <w:t xml:space="preserve"> </w:t>
      </w:r>
      <w:r w:rsidRPr="00382917">
        <w:t>are,</w:t>
      </w:r>
      <w:r w:rsidR="00EE4FC3">
        <w:t xml:space="preserve"> </w:t>
      </w:r>
      <w:r w:rsidRPr="00382917">
        <w:t>but</w:t>
      </w:r>
      <w:r w:rsidR="00EE4FC3">
        <w:t xml:space="preserve"> </w:t>
      </w:r>
      <w:r w:rsidRPr="00382917">
        <w:t>mad</w:t>
      </w:r>
      <w:r w:rsidR="00B42F8B">
        <w:t>-</w:t>
      </w:r>
    </w:p>
    <w:p w:rsidR="00582826" w:rsidRPr="00382917" w:rsidRDefault="00582826">
      <w:pPr>
        <w:widowControl/>
        <w:kinsoku/>
        <w:overflowPunct/>
        <w:textAlignment w:val="auto"/>
      </w:pPr>
      <w:r w:rsidRPr="00382917">
        <w:br w:type="page"/>
      </w:r>
    </w:p>
    <w:p w:rsidR="00582826" w:rsidRPr="00382917" w:rsidRDefault="00582826" w:rsidP="00582826">
      <w:pPr>
        <w:pStyle w:val="Textcts"/>
      </w:pPr>
      <w:proofErr w:type="gramStart"/>
      <w:r w:rsidRPr="00382917">
        <w:t>men</w:t>
      </w:r>
      <w:proofErr w:type="gramEnd"/>
      <w:r w:rsidR="00EE4FC3">
        <w:t xml:space="preserve"> </w:t>
      </w:r>
      <w:r w:rsidRPr="00382917">
        <w:t>we</w:t>
      </w:r>
      <w:r w:rsidR="00EE4FC3">
        <w:t xml:space="preserve"> </w:t>
      </w:r>
      <w:r w:rsidRPr="00382917">
        <w:t>are</w:t>
      </w:r>
      <w:r w:rsidR="00EE4FC3">
        <w:t xml:space="preserve"> </w:t>
      </w:r>
      <w:r w:rsidRPr="00382917">
        <w:t>not</w:t>
      </w:r>
      <w:r w:rsidR="00330AF7">
        <w:t>.</w:t>
      </w:r>
      <w:r w:rsidR="00EE4FC3">
        <w:t xml:space="preserve">  </w:t>
      </w:r>
      <w:r w:rsidRPr="00382917">
        <w:t>By</w:t>
      </w:r>
      <w:r w:rsidR="00EE4FC3">
        <w:t xml:space="preserve"> </w:t>
      </w:r>
      <w:r w:rsidRPr="00382917">
        <w:t>God,</w:t>
      </w:r>
      <w:r w:rsidR="00EE4FC3">
        <w:t xml:space="preserve"> </w:t>
      </w:r>
      <w:r w:rsidRPr="00382917">
        <w:t>O</w:t>
      </w:r>
      <w:r w:rsidR="00EE4FC3">
        <w:t xml:space="preserve"> </w:t>
      </w:r>
      <w:r w:rsidRPr="00382917">
        <w:t>people,</w:t>
      </w:r>
      <w:r w:rsidR="00EE4FC3">
        <w:t xml:space="preserve"> </w:t>
      </w:r>
      <w:r w:rsidRPr="00382917">
        <w:t>it</w:t>
      </w:r>
      <w:r w:rsidR="00EE4FC3">
        <w:t xml:space="preserve"> </w:t>
      </w:r>
      <w:r w:rsidRPr="00382917">
        <w:t>is</w:t>
      </w:r>
      <w:r w:rsidR="00EE4FC3">
        <w:t xml:space="preserve"> </w:t>
      </w:r>
      <w:r w:rsidRPr="00382917">
        <w:t>to</w:t>
      </w:r>
      <w:r w:rsidR="00EE4FC3">
        <w:t xml:space="preserve"> </w:t>
      </w:r>
      <w:r w:rsidRPr="00382917">
        <w:t>awaken</w:t>
      </w:r>
      <w:r w:rsidR="00EE4FC3">
        <w:t xml:space="preserve"> </w:t>
      </w:r>
      <w:r w:rsidRPr="00382917">
        <w:t>such</w:t>
      </w:r>
      <w:r w:rsidR="00EE4FC3">
        <w:t xml:space="preserve"> </w:t>
      </w:r>
      <w:r w:rsidRPr="00382917">
        <w:t>as</w:t>
      </w:r>
      <w:r w:rsidR="00EE4FC3">
        <w:t xml:space="preserve"> </w:t>
      </w:r>
      <w:r w:rsidRPr="00382917">
        <w:t>you</w:t>
      </w:r>
      <w:r w:rsidR="00EE4FC3">
        <w:t xml:space="preserve"> </w:t>
      </w:r>
      <w:r w:rsidRPr="00382917">
        <w:t>that</w:t>
      </w:r>
      <w:r w:rsidR="00EE4FC3">
        <w:t xml:space="preserve"> </w:t>
      </w:r>
      <w:r w:rsidRPr="00382917">
        <w:t>we</w:t>
      </w:r>
      <w:r w:rsidR="00EE4FC3">
        <w:t xml:space="preserve"> </w:t>
      </w:r>
      <w:r w:rsidRPr="00382917">
        <w:t>have</w:t>
      </w:r>
      <w:r w:rsidR="00EE4FC3">
        <w:t xml:space="preserve"> </w:t>
      </w:r>
      <w:r w:rsidRPr="00382917">
        <w:t>forsaken</w:t>
      </w:r>
      <w:r w:rsidR="00EE4FC3">
        <w:t xml:space="preserve"> </w:t>
      </w:r>
      <w:r w:rsidRPr="00382917">
        <w:t>wealth,</w:t>
      </w:r>
      <w:r w:rsidR="00EE4FC3">
        <w:t xml:space="preserve"> </w:t>
      </w:r>
      <w:r w:rsidRPr="00382917">
        <w:t>wife,</w:t>
      </w:r>
      <w:r w:rsidR="00EE4FC3">
        <w:t xml:space="preserve"> </w:t>
      </w:r>
      <w:r w:rsidRPr="00382917">
        <w:t>child</w:t>
      </w:r>
      <w:r w:rsidR="00EE4FC3">
        <w:t xml:space="preserve"> </w:t>
      </w:r>
      <w:r w:rsidRPr="00382917">
        <w:t>and</w:t>
      </w:r>
      <w:r w:rsidR="00EE4FC3">
        <w:t xml:space="preserve"> </w:t>
      </w:r>
      <w:r w:rsidRPr="00382917">
        <w:t>life</w:t>
      </w:r>
      <w:r w:rsidR="00330AF7">
        <w:t>.</w:t>
      </w:r>
      <w:r w:rsidR="00EE4FC3">
        <w:t xml:space="preserve">  </w:t>
      </w:r>
      <w:r w:rsidRPr="00382917">
        <w:t>We</w:t>
      </w:r>
      <w:r w:rsidR="00EE4FC3">
        <w:t xml:space="preserve"> </w:t>
      </w:r>
      <w:r w:rsidRPr="00382917">
        <w:t>have</w:t>
      </w:r>
      <w:r w:rsidR="00EE4FC3">
        <w:t xml:space="preserve"> </w:t>
      </w:r>
      <w:r w:rsidRPr="00382917">
        <w:t>shut</w:t>
      </w:r>
      <w:r w:rsidR="00EE4FC3">
        <w:t xml:space="preserve"> </w:t>
      </w:r>
      <w:r w:rsidRPr="00382917">
        <w:t>our</w:t>
      </w:r>
      <w:r w:rsidR="00EE4FC3">
        <w:t xml:space="preserve"> </w:t>
      </w:r>
      <w:r w:rsidRPr="00382917">
        <w:t>eyes</w:t>
      </w:r>
      <w:r w:rsidR="00EE4FC3">
        <w:t xml:space="preserve"> </w:t>
      </w:r>
      <w:r w:rsidRPr="00382917">
        <w:t>to</w:t>
      </w:r>
      <w:r w:rsidR="00EE4FC3">
        <w:t xml:space="preserve"> </w:t>
      </w:r>
      <w:r w:rsidRPr="00382917">
        <w:t>the</w:t>
      </w:r>
      <w:r w:rsidR="00EE4FC3">
        <w:t xml:space="preserve"> </w:t>
      </w:r>
      <w:r w:rsidRPr="00382917">
        <w:t>world</w:t>
      </w:r>
      <w:r w:rsidR="00EE4FC3">
        <w:t xml:space="preserve"> </w:t>
      </w:r>
      <w:r w:rsidRPr="00382917">
        <w:t>and</w:t>
      </w:r>
      <w:r w:rsidR="00EE4FC3">
        <w:t xml:space="preserve"> </w:t>
      </w:r>
      <w:r w:rsidRPr="00382917">
        <w:t>all</w:t>
      </w:r>
      <w:r w:rsidR="00EE4FC3">
        <w:t xml:space="preserve"> </w:t>
      </w:r>
      <w:r w:rsidRPr="00382917">
        <w:t>that</w:t>
      </w:r>
      <w:r w:rsidR="00EE4FC3">
        <w:t xml:space="preserve"> </w:t>
      </w:r>
      <w:r w:rsidRPr="00382917">
        <w:t>dwell</w:t>
      </w:r>
      <w:r w:rsidR="00EE4FC3">
        <w:t xml:space="preserve"> </w:t>
      </w:r>
      <w:r w:rsidRPr="00382917">
        <w:t>therein</w:t>
      </w:r>
      <w:r w:rsidR="00EE4FC3">
        <w:t xml:space="preserve"> </w:t>
      </w:r>
      <w:r w:rsidRPr="00382917">
        <w:t>in</w:t>
      </w:r>
      <w:r w:rsidR="00EE4FC3">
        <w:t xml:space="preserve"> </w:t>
      </w:r>
      <w:r w:rsidRPr="00382917">
        <w:t>the</w:t>
      </w:r>
      <w:r w:rsidR="00EE4FC3">
        <w:t xml:space="preserve"> </w:t>
      </w:r>
      <w:r w:rsidRPr="00382917">
        <w:t>hope</w:t>
      </w:r>
      <w:r w:rsidR="00EE4FC3">
        <w:t xml:space="preserve"> </w:t>
      </w:r>
      <w:r w:rsidRPr="00382917">
        <w:t>that</w:t>
      </w:r>
      <w:r w:rsidR="00EE4FC3">
        <w:t xml:space="preserve"> </w:t>
      </w:r>
      <w:r w:rsidRPr="00382917">
        <w:t>you</w:t>
      </w:r>
      <w:r w:rsidR="00EE4FC3">
        <w:t xml:space="preserve"> </w:t>
      </w:r>
      <w:r w:rsidRPr="00382917">
        <w:t>may</w:t>
      </w:r>
      <w:r w:rsidR="00EE4FC3">
        <w:t xml:space="preserve"> </w:t>
      </w:r>
      <w:r w:rsidRPr="00382917">
        <w:t>at</w:t>
      </w:r>
      <w:r w:rsidR="00EE4FC3">
        <w:t xml:space="preserve"> </w:t>
      </w:r>
      <w:r w:rsidRPr="00382917">
        <w:t>last</w:t>
      </w:r>
      <w:r w:rsidR="00EE4FC3">
        <w:t xml:space="preserve"> </w:t>
      </w:r>
      <w:r w:rsidRPr="00382917">
        <w:t>be</w:t>
      </w:r>
      <w:r w:rsidR="00EE4FC3">
        <w:t xml:space="preserve"> </w:t>
      </w:r>
      <w:r w:rsidRPr="00382917">
        <w:t>led</w:t>
      </w:r>
      <w:r w:rsidR="00EE4FC3">
        <w:t xml:space="preserve"> </w:t>
      </w:r>
      <w:r w:rsidRPr="00382917">
        <w:t>to</w:t>
      </w:r>
      <w:r w:rsidR="00EE4FC3">
        <w:t xml:space="preserve"> </w:t>
      </w:r>
      <w:r w:rsidRPr="00382917">
        <w:t>make</w:t>
      </w:r>
      <w:r w:rsidR="00EE4FC3">
        <w:t xml:space="preserve"> </w:t>
      </w:r>
      <w:r w:rsidRPr="00382917">
        <w:t>an</w:t>
      </w:r>
      <w:r w:rsidR="00EE4FC3">
        <w:t xml:space="preserve"> </w:t>
      </w:r>
      <w:r w:rsidRPr="00382917">
        <w:t>inquiry</w:t>
      </w:r>
      <w:r w:rsidR="00EE4FC3">
        <w:t xml:space="preserve"> </w:t>
      </w:r>
      <w:r w:rsidRPr="00382917">
        <w:t>into</w:t>
      </w:r>
      <w:r w:rsidR="00EE4FC3">
        <w:t xml:space="preserve"> </w:t>
      </w:r>
      <w:r w:rsidRPr="00382917">
        <w:t>this</w:t>
      </w:r>
      <w:r w:rsidR="00EE4FC3">
        <w:t xml:space="preserve"> </w:t>
      </w:r>
      <w:r w:rsidRPr="00382917">
        <w:t>Faith</w:t>
      </w:r>
      <w:r w:rsidR="00330AF7">
        <w:t>.</w:t>
      </w:r>
      <w:r w:rsidR="00EE4FC3">
        <w:t xml:space="preserve">  </w:t>
      </w:r>
      <w:r w:rsidRPr="00382917">
        <w:t>We</w:t>
      </w:r>
      <w:r w:rsidR="00EE4FC3">
        <w:t xml:space="preserve"> </w:t>
      </w:r>
      <w:r w:rsidRPr="00382917">
        <w:t>are</w:t>
      </w:r>
      <w:r w:rsidR="00EE4FC3">
        <w:t xml:space="preserve"> </w:t>
      </w:r>
      <w:r w:rsidRPr="00382917">
        <w:t>willing</w:t>
      </w:r>
      <w:r w:rsidR="00EE4FC3">
        <w:t xml:space="preserve"> </w:t>
      </w:r>
      <w:r w:rsidRPr="00382917">
        <w:t>to</w:t>
      </w:r>
      <w:r w:rsidR="00EE4FC3">
        <w:t xml:space="preserve"> </w:t>
      </w:r>
      <w:r w:rsidRPr="00382917">
        <w:t>die</w:t>
      </w:r>
      <w:r w:rsidR="00EE4FC3">
        <w:t xml:space="preserve"> </w:t>
      </w:r>
      <w:r w:rsidRPr="00382917">
        <w:t>so</w:t>
      </w:r>
      <w:r w:rsidR="00EE4FC3">
        <w:t xml:space="preserve"> </w:t>
      </w:r>
      <w:r w:rsidRPr="00382917">
        <w:t>that</w:t>
      </w:r>
      <w:r w:rsidR="00EE4FC3">
        <w:t xml:space="preserve"> </w:t>
      </w:r>
      <w:r w:rsidRPr="00382917">
        <w:t>you</w:t>
      </w:r>
      <w:r w:rsidR="00EE4FC3">
        <w:t xml:space="preserve"> </w:t>
      </w:r>
      <w:r w:rsidRPr="00382917">
        <w:t>may</w:t>
      </w:r>
      <w:r w:rsidR="00EE4FC3">
        <w:t xml:space="preserve"> </w:t>
      </w:r>
      <w:r w:rsidRPr="00382917">
        <w:t>understand</w:t>
      </w:r>
      <w:r w:rsidR="00EE4FC3">
        <w:t xml:space="preserve"> </w:t>
      </w:r>
      <w:r w:rsidRPr="00382917">
        <w:t>that</w:t>
      </w:r>
      <w:r w:rsidR="00EE4FC3">
        <w:t xml:space="preserve"> </w:t>
      </w:r>
      <w:r w:rsidRPr="00382917">
        <w:t>the</w:t>
      </w:r>
      <w:r w:rsidR="00EE4FC3">
        <w:t xml:space="preserve"> </w:t>
      </w:r>
      <w:r w:rsidRPr="00382917">
        <w:t>Messenger</w:t>
      </w:r>
      <w:r w:rsidR="00EE4FC3">
        <w:t xml:space="preserve"> </w:t>
      </w:r>
      <w:r w:rsidRPr="00382917">
        <w:t>of</w:t>
      </w:r>
      <w:r w:rsidR="00EE4FC3">
        <w:t xml:space="preserve"> </w:t>
      </w:r>
      <w:r w:rsidRPr="00382917">
        <w:t>God</w:t>
      </w:r>
      <w:r w:rsidR="00EE4FC3">
        <w:t xml:space="preserve"> </w:t>
      </w:r>
      <w:r w:rsidRPr="00382917">
        <w:t>has</w:t>
      </w:r>
      <w:r w:rsidR="00EE4FC3">
        <w:t xml:space="preserve"> </w:t>
      </w:r>
      <w:r w:rsidRPr="00382917">
        <w:t>come,</w:t>
      </w:r>
      <w:r w:rsidR="00EE4FC3">
        <w:t xml:space="preserve"> </w:t>
      </w:r>
      <w:r w:rsidRPr="00382917">
        <w:t>and</w:t>
      </w:r>
      <w:r w:rsidR="00EE4FC3">
        <w:t xml:space="preserve"> </w:t>
      </w:r>
      <w:r w:rsidRPr="00382917">
        <w:t>be</w:t>
      </w:r>
      <w:r w:rsidR="00EE4FC3">
        <w:t xml:space="preserve"> </w:t>
      </w:r>
      <w:r w:rsidRPr="00382917">
        <w:t>no</w:t>
      </w:r>
      <w:r w:rsidR="00EE4FC3">
        <w:t xml:space="preserve"> </w:t>
      </w:r>
      <w:r w:rsidRPr="00382917">
        <w:t>longer</w:t>
      </w:r>
      <w:r w:rsidR="00EE4FC3">
        <w:t xml:space="preserve"> </w:t>
      </w:r>
      <w:r w:rsidRPr="00382917">
        <w:t>blind.</w:t>
      </w:r>
      <w:r w:rsidR="009C713D" w:rsidRPr="00382917">
        <w:t>”</w:t>
      </w:r>
    </w:p>
    <w:p w:rsidR="00582826" w:rsidRPr="00382917" w:rsidRDefault="00582826" w:rsidP="00B42F8B">
      <w:pPr>
        <w:pStyle w:val="Text"/>
      </w:pPr>
      <w:r w:rsidRPr="00382917">
        <w:t>Even</w:t>
      </w:r>
      <w:r w:rsidR="00EE4FC3">
        <w:t xml:space="preserve"> </w:t>
      </w:r>
      <w:r w:rsidRPr="00382917">
        <w:t>at</w:t>
      </w:r>
      <w:r w:rsidR="00EE4FC3">
        <w:t xml:space="preserve"> </w:t>
      </w:r>
      <w:r w:rsidRPr="00382917">
        <w:t>the</w:t>
      </w:r>
      <w:r w:rsidR="00EE4FC3">
        <w:t xml:space="preserve"> </w:t>
      </w:r>
      <w:r w:rsidRPr="00382917">
        <w:t>headsman</w:t>
      </w:r>
      <w:r w:rsidR="009C713D" w:rsidRPr="00382917">
        <w:t>’</w:t>
      </w:r>
      <w:r w:rsidRPr="00382917">
        <w:t>s</w:t>
      </w:r>
      <w:r w:rsidR="00EE4FC3">
        <w:t xml:space="preserve"> </w:t>
      </w:r>
      <w:r w:rsidRPr="00382917">
        <w:t>block</w:t>
      </w:r>
      <w:r w:rsidR="00EE4FC3">
        <w:t xml:space="preserve"> </w:t>
      </w:r>
      <w:r w:rsidRPr="00382917">
        <w:t>a</w:t>
      </w:r>
      <w:r w:rsidR="00EE4FC3">
        <w:t xml:space="preserve"> </w:t>
      </w:r>
      <w:r w:rsidRPr="00382917">
        <w:t>few</w:t>
      </w:r>
      <w:r w:rsidR="00EE4FC3">
        <w:t xml:space="preserve"> </w:t>
      </w:r>
      <w:r w:rsidRPr="00382917">
        <w:t>personal</w:t>
      </w:r>
      <w:r w:rsidR="00EE4FC3">
        <w:t xml:space="preserve"> </w:t>
      </w:r>
      <w:r w:rsidRPr="00382917">
        <w:t>friends</w:t>
      </w:r>
      <w:r w:rsidR="00EE4FC3">
        <w:t xml:space="preserve"> </w:t>
      </w:r>
      <w:r w:rsidRPr="00382917">
        <w:t>broke</w:t>
      </w:r>
      <w:r w:rsidR="00EE4FC3">
        <w:t xml:space="preserve"> </w:t>
      </w:r>
      <w:r w:rsidRPr="00382917">
        <w:t>through</w:t>
      </w:r>
      <w:r w:rsidR="00EE4FC3">
        <w:t xml:space="preserve"> </w:t>
      </w:r>
      <w:r w:rsidRPr="00382917">
        <w:t>the</w:t>
      </w:r>
      <w:r w:rsidR="00EE4FC3">
        <w:t xml:space="preserve"> </w:t>
      </w:r>
      <w:r w:rsidRPr="00382917">
        <w:t>crowd</w:t>
      </w:r>
      <w:r w:rsidR="00EE4FC3">
        <w:t xml:space="preserve"> </w:t>
      </w:r>
      <w:r w:rsidRPr="00382917">
        <w:t>and</w:t>
      </w:r>
      <w:r w:rsidR="00EE4FC3">
        <w:t xml:space="preserve"> </w:t>
      </w:r>
      <w:r w:rsidRPr="00382917">
        <w:t>tried</w:t>
      </w:r>
      <w:r w:rsidR="00EE4FC3">
        <w:t xml:space="preserve"> </w:t>
      </w:r>
      <w:r w:rsidRPr="00382917">
        <w:t>to</w:t>
      </w:r>
      <w:r w:rsidR="00EE4FC3">
        <w:t xml:space="preserve"> </w:t>
      </w:r>
      <w:r w:rsidRPr="00382917">
        <w:t>persuade</w:t>
      </w:r>
      <w:r w:rsidR="00EE4FC3">
        <w:t xml:space="preserve"> </w:t>
      </w:r>
      <w:r w:rsidRPr="00382917">
        <w:t>Mullá</w:t>
      </w:r>
      <w:r w:rsidR="00EE4FC3">
        <w:t xml:space="preserve"> </w:t>
      </w:r>
      <w:r w:rsidRPr="00382917">
        <w:t>Ismá</w:t>
      </w:r>
      <w:r w:rsidR="009C713D" w:rsidRPr="00382917">
        <w:t>‘</w:t>
      </w:r>
      <w:r w:rsidRPr="00382917">
        <w:t>íl</w:t>
      </w:r>
      <w:r w:rsidR="00EE4FC3">
        <w:t xml:space="preserve"> </w:t>
      </w:r>
      <w:r w:rsidRPr="00382917">
        <w:t>to</w:t>
      </w:r>
      <w:r w:rsidR="00EE4FC3">
        <w:t xml:space="preserve"> </w:t>
      </w:r>
      <w:r w:rsidRPr="00382917">
        <w:t>deny</w:t>
      </w:r>
      <w:r w:rsidR="00EE4FC3">
        <w:t xml:space="preserve"> </w:t>
      </w:r>
      <w:r w:rsidRPr="00382917">
        <w:t>the</w:t>
      </w:r>
      <w:r w:rsidR="00EE4FC3">
        <w:t xml:space="preserve"> </w:t>
      </w:r>
      <w:r w:rsidRPr="00382917">
        <w:t>Báb</w:t>
      </w:r>
      <w:r w:rsidR="00330AF7">
        <w:t>.</w:t>
      </w:r>
      <w:r w:rsidR="00EE4FC3">
        <w:t xml:space="preserve">  </w:t>
      </w:r>
      <w:r w:rsidRPr="00382917">
        <w:t>They</w:t>
      </w:r>
      <w:r w:rsidR="00EE4FC3">
        <w:t xml:space="preserve"> </w:t>
      </w:r>
      <w:r w:rsidRPr="00382917">
        <w:t>pleaded</w:t>
      </w:r>
      <w:r w:rsidR="00EE4FC3">
        <w:t xml:space="preserve"> </w:t>
      </w:r>
      <w:r w:rsidRPr="00382917">
        <w:t>with</w:t>
      </w:r>
      <w:r w:rsidR="00EE4FC3">
        <w:t xml:space="preserve"> </w:t>
      </w:r>
      <w:r w:rsidRPr="00382917">
        <w:t>him.</w:t>
      </w:r>
    </w:p>
    <w:p w:rsidR="00582826" w:rsidRPr="00382917" w:rsidRDefault="009C713D" w:rsidP="00582826">
      <w:pPr>
        <w:pStyle w:val="Text"/>
      </w:pPr>
      <w:r w:rsidRPr="00382917">
        <w:t>“</w:t>
      </w:r>
      <w:r w:rsidR="00582826" w:rsidRPr="00382917">
        <w:t>It</w:t>
      </w:r>
      <w:r w:rsidR="00EE4FC3">
        <w:t xml:space="preserve"> </w:t>
      </w:r>
      <w:r w:rsidR="00582826" w:rsidRPr="00382917">
        <w:t>is</w:t>
      </w:r>
      <w:r w:rsidR="00EE4FC3">
        <w:t xml:space="preserve"> </w:t>
      </w:r>
      <w:r w:rsidR="00582826" w:rsidRPr="00382917">
        <w:t>such</w:t>
      </w:r>
      <w:r w:rsidR="00EE4FC3">
        <w:t xml:space="preserve"> </w:t>
      </w:r>
      <w:r w:rsidR="00582826" w:rsidRPr="00382917">
        <w:t>a</w:t>
      </w:r>
      <w:r w:rsidR="00EE4FC3">
        <w:t xml:space="preserve"> </w:t>
      </w:r>
      <w:r w:rsidR="00582826" w:rsidRPr="00382917">
        <w:t>little</w:t>
      </w:r>
      <w:r w:rsidR="00EE4FC3">
        <w:t xml:space="preserve"> </w:t>
      </w:r>
      <w:r w:rsidR="00582826" w:rsidRPr="00382917">
        <w:t>thing,</w:t>
      </w:r>
      <w:r w:rsidRPr="00382917">
        <w:t>”</w:t>
      </w:r>
      <w:r w:rsidR="00EE4FC3">
        <w:t xml:space="preserve"> </w:t>
      </w:r>
      <w:r w:rsidR="00582826" w:rsidRPr="00382917">
        <w:t>they</w:t>
      </w:r>
      <w:r w:rsidR="00EE4FC3">
        <w:t xml:space="preserve"> </w:t>
      </w:r>
      <w:r w:rsidR="00582826" w:rsidRPr="00382917">
        <w:t>said</w:t>
      </w:r>
      <w:r w:rsidR="00330AF7">
        <w:t>.</w:t>
      </w:r>
      <w:r w:rsidR="00EE4FC3">
        <w:t xml:space="preserve">  </w:t>
      </w:r>
      <w:r w:rsidRPr="00382917">
        <w:t>“</w:t>
      </w:r>
      <w:r w:rsidR="00582826" w:rsidRPr="00382917">
        <w:t>Just</w:t>
      </w:r>
      <w:r w:rsidR="00EE4FC3">
        <w:t xml:space="preserve"> </w:t>
      </w:r>
      <w:r w:rsidR="00582826" w:rsidRPr="00382917">
        <w:t>to</w:t>
      </w:r>
      <w:r w:rsidR="00EE4FC3">
        <w:t xml:space="preserve"> </w:t>
      </w:r>
      <w:r w:rsidR="00582826" w:rsidRPr="00382917">
        <w:t>say,</w:t>
      </w:r>
      <w:r w:rsidR="00EE4FC3">
        <w:t xml:space="preserve"> </w:t>
      </w:r>
      <w:r w:rsidRPr="00382917">
        <w:t>‘</w:t>
      </w:r>
      <w:r w:rsidR="00582826" w:rsidRPr="00382917">
        <w:t>I</w:t>
      </w:r>
      <w:r w:rsidR="00EE4FC3">
        <w:t xml:space="preserve"> </w:t>
      </w:r>
      <w:r w:rsidR="00582826" w:rsidRPr="00382917">
        <w:t>don</w:t>
      </w:r>
      <w:r w:rsidRPr="00382917">
        <w:t>’</w:t>
      </w:r>
      <w:r w:rsidR="00582826" w:rsidRPr="00382917">
        <w:t>t</w:t>
      </w:r>
      <w:r w:rsidR="00EE4FC3">
        <w:t xml:space="preserve"> </w:t>
      </w:r>
      <w:r w:rsidR="00582826" w:rsidRPr="00382917">
        <w:t>believe.</w:t>
      </w:r>
      <w:r w:rsidR="00B42F8B">
        <w:t>’”</w:t>
      </w:r>
    </w:p>
    <w:p w:rsidR="00582826" w:rsidRPr="00382917" w:rsidRDefault="009C713D" w:rsidP="00B42F8B">
      <w:pPr>
        <w:pStyle w:val="Text"/>
      </w:pPr>
      <w:r w:rsidRPr="00382917">
        <w:t>“</w:t>
      </w:r>
      <w:r w:rsidR="00582826" w:rsidRPr="00382917">
        <w:t>For</w:t>
      </w:r>
      <w:r w:rsidR="00EE4FC3">
        <w:t xml:space="preserve"> </w:t>
      </w:r>
      <w:r w:rsidR="00582826" w:rsidRPr="00382917">
        <w:t>thirty</w:t>
      </w:r>
      <w:r w:rsidR="00EE4FC3">
        <w:t xml:space="preserve"> </w:t>
      </w:r>
      <w:r w:rsidR="00582826" w:rsidRPr="00382917">
        <w:t>years</w:t>
      </w:r>
      <w:r w:rsidR="00EE4FC3">
        <w:t xml:space="preserve"> </w:t>
      </w:r>
      <w:r w:rsidR="00582826" w:rsidRPr="00382917">
        <w:t>I</w:t>
      </w:r>
      <w:r w:rsidR="00EE4FC3">
        <w:t xml:space="preserve"> </w:t>
      </w:r>
      <w:r w:rsidR="00582826" w:rsidRPr="00382917">
        <w:t>have</w:t>
      </w:r>
      <w:r w:rsidR="00EE4FC3">
        <w:t xml:space="preserve"> </w:t>
      </w:r>
      <w:r w:rsidR="00582826" w:rsidRPr="00382917">
        <w:t>yearned</w:t>
      </w:r>
      <w:r w:rsidR="00EE4FC3">
        <w:t xml:space="preserve"> </w:t>
      </w:r>
      <w:r w:rsidR="00582826" w:rsidRPr="00382917">
        <w:t>to</w:t>
      </w:r>
      <w:r w:rsidR="00EE4FC3">
        <w:t xml:space="preserve"> </w:t>
      </w:r>
      <w:r w:rsidR="00582826" w:rsidRPr="00382917">
        <w:t>witness</w:t>
      </w:r>
      <w:r w:rsidR="00EE4FC3">
        <w:t xml:space="preserve"> </w:t>
      </w:r>
      <w:r w:rsidR="00582826" w:rsidRPr="00382917">
        <w:t>this</w:t>
      </w:r>
      <w:r w:rsidR="00EE4FC3">
        <w:t xml:space="preserve"> </w:t>
      </w:r>
      <w:r w:rsidR="00582826" w:rsidRPr="00382917">
        <w:t>blessed</w:t>
      </w:r>
      <w:r w:rsidR="00EE4FC3">
        <w:t xml:space="preserve"> </w:t>
      </w:r>
      <w:r w:rsidR="00582826" w:rsidRPr="00382917">
        <w:t>day,</w:t>
      </w:r>
      <w:r w:rsidR="00B42F8B">
        <w:t>”</w:t>
      </w:r>
      <w:r w:rsidR="00EE4FC3">
        <w:t xml:space="preserve"> </w:t>
      </w:r>
      <w:r w:rsidR="00582826" w:rsidRPr="00382917">
        <w:t>he</w:t>
      </w:r>
      <w:r w:rsidR="00EE4FC3">
        <w:t xml:space="preserve"> </w:t>
      </w:r>
      <w:r w:rsidR="00582826" w:rsidRPr="00382917">
        <w:t>replied</w:t>
      </w:r>
      <w:r w:rsidR="00330AF7">
        <w:t>.</w:t>
      </w:r>
      <w:r w:rsidR="00EE4FC3">
        <w:t xml:space="preserve">  </w:t>
      </w:r>
      <w:r w:rsidRPr="00382917">
        <w:t>“</w:t>
      </w:r>
      <w:r w:rsidR="00582826" w:rsidRPr="00382917">
        <w:t>I</w:t>
      </w:r>
      <w:r w:rsidR="00EE4FC3">
        <w:t xml:space="preserve"> </w:t>
      </w:r>
      <w:r w:rsidR="00582826" w:rsidRPr="00382917">
        <w:t>was</w:t>
      </w:r>
      <w:r w:rsidR="00EE4FC3">
        <w:t xml:space="preserve"> </w:t>
      </w:r>
      <w:r w:rsidR="00582826" w:rsidRPr="00382917">
        <w:t>fearful</w:t>
      </w:r>
      <w:r w:rsidR="00EE4FC3">
        <w:t xml:space="preserve"> </w:t>
      </w:r>
      <w:r w:rsidR="00582826" w:rsidRPr="00382917">
        <w:t>lest</w:t>
      </w:r>
      <w:r w:rsidR="00EE4FC3">
        <w:t xml:space="preserve"> </w:t>
      </w:r>
      <w:r w:rsidR="00582826" w:rsidRPr="00382917">
        <w:t>I</w:t>
      </w:r>
      <w:r w:rsidR="00EE4FC3">
        <w:t xml:space="preserve"> </w:t>
      </w:r>
      <w:r w:rsidR="00582826" w:rsidRPr="00382917">
        <w:t>should</w:t>
      </w:r>
      <w:r w:rsidR="00EE4FC3">
        <w:t xml:space="preserve"> </w:t>
      </w:r>
      <w:r w:rsidR="00582826" w:rsidRPr="00382917">
        <w:t>carry</w:t>
      </w:r>
      <w:r w:rsidR="00EE4FC3">
        <w:t xml:space="preserve"> </w:t>
      </w:r>
      <w:r w:rsidR="00582826" w:rsidRPr="00382917">
        <w:t>this</w:t>
      </w:r>
      <w:r w:rsidR="00EE4FC3">
        <w:t xml:space="preserve"> </w:t>
      </w:r>
      <w:r w:rsidR="00582826" w:rsidRPr="00382917">
        <w:t>wish</w:t>
      </w:r>
      <w:r w:rsidR="00EE4FC3">
        <w:t xml:space="preserve"> </w:t>
      </w:r>
      <w:r w:rsidR="00582826" w:rsidRPr="00382917">
        <w:t>with</w:t>
      </w:r>
      <w:r w:rsidR="00EE4FC3">
        <w:t xml:space="preserve"> </w:t>
      </w:r>
      <w:r w:rsidR="00582826" w:rsidRPr="00382917">
        <w:t>me</w:t>
      </w:r>
      <w:r w:rsidR="00EE4FC3">
        <w:t xml:space="preserve"> </w:t>
      </w:r>
      <w:r w:rsidR="00582826" w:rsidRPr="00382917">
        <w:t>unfilled</w:t>
      </w:r>
      <w:r w:rsidR="00EE4FC3">
        <w:t xml:space="preserve"> </w:t>
      </w:r>
      <w:r w:rsidR="00582826" w:rsidRPr="00382917">
        <w:t>to</w:t>
      </w:r>
      <w:r w:rsidR="00EE4FC3">
        <w:t xml:space="preserve"> </w:t>
      </w:r>
      <w:r w:rsidR="00582826" w:rsidRPr="00382917">
        <w:t>my</w:t>
      </w:r>
      <w:r w:rsidR="00EE4FC3">
        <w:t xml:space="preserve"> </w:t>
      </w:r>
      <w:r w:rsidR="00582826" w:rsidRPr="00382917">
        <w:t>grave.</w:t>
      </w:r>
      <w:r w:rsidRPr="00382917">
        <w:t>”</w:t>
      </w:r>
    </w:p>
    <w:p w:rsidR="00582826" w:rsidRPr="00382917" w:rsidRDefault="00582826" w:rsidP="00582826">
      <w:pPr>
        <w:pStyle w:val="Text"/>
      </w:pPr>
      <w:r w:rsidRPr="00382917">
        <w:t>Mullá</w:t>
      </w:r>
      <w:r w:rsidR="00EE4FC3">
        <w:t xml:space="preserve"> </w:t>
      </w:r>
      <w:r w:rsidRPr="00382917">
        <w:t>Ismá</w:t>
      </w:r>
      <w:r w:rsidR="009C713D" w:rsidRPr="00382917">
        <w:t>‘</w:t>
      </w:r>
      <w:r w:rsidRPr="00382917">
        <w:t>íl</w:t>
      </w:r>
      <w:r w:rsidR="00EE4FC3">
        <w:t xml:space="preserve"> </w:t>
      </w:r>
      <w:r w:rsidRPr="00382917">
        <w:t>turned</w:t>
      </w:r>
      <w:r w:rsidR="00EE4FC3">
        <w:t xml:space="preserve"> </w:t>
      </w:r>
      <w:r w:rsidRPr="00382917">
        <w:t>away</w:t>
      </w:r>
      <w:r w:rsidR="00EE4FC3">
        <w:t xml:space="preserve"> </w:t>
      </w:r>
      <w:r w:rsidRPr="00382917">
        <w:t>from</w:t>
      </w:r>
      <w:r w:rsidR="00EE4FC3">
        <w:t xml:space="preserve"> </w:t>
      </w:r>
      <w:r w:rsidRPr="00382917">
        <w:t>them</w:t>
      </w:r>
      <w:r w:rsidR="00EE4FC3">
        <w:t xml:space="preserve"> </w:t>
      </w:r>
      <w:r w:rsidRPr="00382917">
        <w:t>and</w:t>
      </w:r>
      <w:r w:rsidR="00EE4FC3">
        <w:t xml:space="preserve"> </w:t>
      </w:r>
      <w:r w:rsidRPr="00382917">
        <w:t>looked</w:t>
      </w:r>
      <w:r w:rsidR="00EE4FC3">
        <w:t xml:space="preserve"> </w:t>
      </w:r>
      <w:r w:rsidRPr="00382917">
        <w:t>toward</w:t>
      </w:r>
      <w:r w:rsidR="00EE4FC3">
        <w:t xml:space="preserve"> </w:t>
      </w:r>
      <w:r w:rsidRPr="00382917">
        <w:t>those</w:t>
      </w:r>
      <w:r w:rsidR="00EE4FC3">
        <w:t xml:space="preserve"> </w:t>
      </w:r>
      <w:r w:rsidRPr="00382917">
        <w:t>two</w:t>
      </w:r>
      <w:r w:rsidR="00EE4FC3">
        <w:t xml:space="preserve"> </w:t>
      </w:r>
      <w:r w:rsidRPr="00382917">
        <w:t>martyrs</w:t>
      </w:r>
      <w:r w:rsidR="00EE4FC3">
        <w:t xml:space="preserve"> </w:t>
      </w:r>
      <w:r w:rsidRPr="00382917">
        <w:t>who</w:t>
      </w:r>
      <w:r w:rsidR="00EE4FC3">
        <w:t xml:space="preserve"> </w:t>
      </w:r>
      <w:r w:rsidRPr="00382917">
        <w:t>had</w:t>
      </w:r>
      <w:r w:rsidR="00EE4FC3">
        <w:t xml:space="preserve"> </w:t>
      </w:r>
      <w:r w:rsidRPr="00382917">
        <w:t>preceded</w:t>
      </w:r>
      <w:r w:rsidR="00EE4FC3">
        <w:t xml:space="preserve"> </w:t>
      </w:r>
      <w:r w:rsidRPr="00382917">
        <w:t>him</w:t>
      </w:r>
      <w:r w:rsidR="00330AF7">
        <w:t>.</w:t>
      </w:r>
      <w:r w:rsidR="00EE4FC3">
        <w:t xml:space="preserve">  </w:t>
      </w:r>
      <w:r w:rsidRPr="00382917">
        <w:t>They</w:t>
      </w:r>
      <w:r w:rsidR="00EE4FC3">
        <w:t xml:space="preserve"> </w:t>
      </w:r>
      <w:r w:rsidRPr="00382917">
        <w:t>were</w:t>
      </w:r>
      <w:r w:rsidR="00EE4FC3">
        <w:t xml:space="preserve"> </w:t>
      </w:r>
      <w:r w:rsidRPr="00382917">
        <w:t>still</w:t>
      </w:r>
      <w:r w:rsidR="00EE4FC3">
        <w:t xml:space="preserve"> </w:t>
      </w:r>
      <w:r w:rsidRPr="00382917">
        <w:t>entwined</w:t>
      </w:r>
      <w:r w:rsidR="00EE4FC3">
        <w:t xml:space="preserve"> </w:t>
      </w:r>
      <w:r w:rsidRPr="00382917">
        <w:t>in</w:t>
      </w:r>
      <w:r w:rsidR="00EE4FC3">
        <w:t xml:space="preserve"> </w:t>
      </w:r>
      <w:r w:rsidRPr="00382917">
        <w:t>each</w:t>
      </w:r>
      <w:r w:rsidR="00EE4FC3">
        <w:t xml:space="preserve"> </w:t>
      </w:r>
      <w:r w:rsidRPr="00382917">
        <w:t>other</w:t>
      </w:r>
      <w:r w:rsidR="009C713D" w:rsidRPr="00382917">
        <w:t>’</w:t>
      </w:r>
      <w:r w:rsidRPr="00382917">
        <w:t>s</w:t>
      </w:r>
      <w:r w:rsidR="00EE4FC3">
        <w:t xml:space="preserve"> </w:t>
      </w:r>
      <w:r w:rsidRPr="00382917">
        <w:t>embrace.</w:t>
      </w:r>
    </w:p>
    <w:p w:rsidR="00582826" w:rsidRPr="00382917" w:rsidRDefault="009C713D" w:rsidP="00582826">
      <w:pPr>
        <w:pStyle w:val="Text"/>
      </w:pPr>
      <w:r w:rsidRPr="00382917">
        <w:t>“</w:t>
      </w:r>
      <w:r w:rsidR="00582826" w:rsidRPr="00382917">
        <w:t>Well</w:t>
      </w:r>
      <w:r w:rsidR="00EE4FC3">
        <w:t xml:space="preserve"> </w:t>
      </w:r>
      <w:r w:rsidR="00582826" w:rsidRPr="00382917">
        <w:t>done,</w:t>
      </w:r>
      <w:r w:rsidR="00EE4FC3">
        <w:t xml:space="preserve"> </w:t>
      </w:r>
      <w:r w:rsidR="00582826" w:rsidRPr="00382917">
        <w:t>my</w:t>
      </w:r>
      <w:r w:rsidR="00EE4FC3">
        <w:t xml:space="preserve"> </w:t>
      </w:r>
      <w:r w:rsidR="00582826" w:rsidRPr="00382917">
        <w:t>beloved</w:t>
      </w:r>
      <w:r w:rsidR="00EE4FC3">
        <w:t xml:space="preserve"> </w:t>
      </w:r>
      <w:r w:rsidR="00582826" w:rsidRPr="00382917">
        <w:t>companions,</w:t>
      </w:r>
      <w:r w:rsidRPr="00382917">
        <w:t>”</w:t>
      </w:r>
      <w:r w:rsidR="00EE4FC3">
        <w:t xml:space="preserve"> </w:t>
      </w:r>
      <w:r w:rsidR="00582826" w:rsidRPr="00382917">
        <w:t>he</w:t>
      </w:r>
      <w:r w:rsidR="00EE4FC3">
        <w:t xml:space="preserve"> </w:t>
      </w:r>
      <w:r w:rsidR="00582826" w:rsidRPr="00382917">
        <w:t>cried</w:t>
      </w:r>
      <w:r w:rsidR="00330AF7">
        <w:t>.</w:t>
      </w:r>
      <w:r w:rsidR="00EE4FC3">
        <w:t xml:space="preserve">  </w:t>
      </w:r>
      <w:r w:rsidRPr="00382917">
        <w:t>“</w:t>
      </w:r>
      <w:r w:rsidR="00582826" w:rsidRPr="00382917">
        <w:t>You</w:t>
      </w:r>
      <w:r w:rsidR="00EE4FC3">
        <w:t xml:space="preserve"> </w:t>
      </w:r>
      <w:r w:rsidR="00582826" w:rsidRPr="00382917">
        <w:t>have</w:t>
      </w:r>
      <w:r w:rsidR="00EE4FC3">
        <w:t xml:space="preserve"> </w:t>
      </w:r>
      <w:r w:rsidR="00582826" w:rsidRPr="00382917">
        <w:t>turned</w:t>
      </w:r>
      <w:r w:rsidR="00330AF7">
        <w:t>.</w:t>
      </w:r>
      <w:r w:rsidR="00EE4FC3">
        <w:t xml:space="preserve">  </w:t>
      </w:r>
      <w:proofErr w:type="gramStart"/>
      <w:r w:rsidR="00582826" w:rsidRPr="00382917">
        <w:t>Ṭihrán</w:t>
      </w:r>
      <w:r w:rsidR="00EE4FC3">
        <w:t xml:space="preserve"> </w:t>
      </w:r>
      <w:r w:rsidR="00582826" w:rsidRPr="00382917">
        <w:t>into</w:t>
      </w:r>
      <w:r w:rsidR="00EE4FC3">
        <w:t xml:space="preserve"> </w:t>
      </w:r>
      <w:r w:rsidR="00582826" w:rsidRPr="00382917">
        <w:t>a</w:t>
      </w:r>
      <w:r w:rsidR="00EE4FC3">
        <w:t xml:space="preserve"> </w:t>
      </w:r>
      <w:r w:rsidR="00582826" w:rsidRPr="00382917">
        <w:t>paradise</w:t>
      </w:r>
      <w:r w:rsidR="00330AF7">
        <w:t>.</w:t>
      </w:r>
      <w:proofErr w:type="gramEnd"/>
      <w:r w:rsidR="00EE4FC3">
        <w:t xml:space="preserve">  </w:t>
      </w:r>
      <w:proofErr w:type="gramStart"/>
      <w:r w:rsidR="00582826" w:rsidRPr="00382917">
        <w:t>Would</w:t>
      </w:r>
      <w:r w:rsidR="00EE4FC3">
        <w:t xml:space="preserve"> </w:t>
      </w:r>
      <w:r w:rsidR="00582826" w:rsidRPr="00382917">
        <w:t>that</w:t>
      </w:r>
      <w:r w:rsidR="00EE4FC3">
        <w:t xml:space="preserve"> </w:t>
      </w:r>
      <w:r w:rsidR="00582826" w:rsidRPr="00382917">
        <w:t>I</w:t>
      </w:r>
      <w:r w:rsidR="00EE4FC3">
        <w:t xml:space="preserve"> </w:t>
      </w:r>
      <w:r w:rsidR="00582826" w:rsidRPr="00382917">
        <w:t>had</w:t>
      </w:r>
      <w:r w:rsidR="00EE4FC3">
        <w:t xml:space="preserve"> </w:t>
      </w:r>
      <w:r w:rsidR="00582826" w:rsidRPr="00382917">
        <w:t>preceded</w:t>
      </w:r>
      <w:r w:rsidR="00EE4FC3">
        <w:t xml:space="preserve"> </w:t>
      </w:r>
      <w:r w:rsidR="00582826" w:rsidRPr="00382917">
        <w:t>you.</w:t>
      </w:r>
      <w:r w:rsidRPr="00382917">
        <w:t>”</w:t>
      </w:r>
      <w:proofErr w:type="gramEnd"/>
      <w:r w:rsidR="00EE4FC3">
        <w:t xml:space="preserve"> </w:t>
      </w:r>
      <w:r w:rsidR="00B42F8B">
        <w:t xml:space="preserve"> </w:t>
      </w:r>
      <w:r w:rsidR="00582826" w:rsidRPr="00382917">
        <w:t>He</w:t>
      </w:r>
      <w:r w:rsidR="00EE4FC3">
        <w:t xml:space="preserve"> </w:t>
      </w:r>
      <w:r w:rsidR="00582826" w:rsidRPr="00382917">
        <w:t>removed</w:t>
      </w:r>
      <w:r w:rsidR="00EE4FC3">
        <w:t xml:space="preserve"> </w:t>
      </w:r>
      <w:r w:rsidR="00582826" w:rsidRPr="00382917">
        <w:t>his</w:t>
      </w:r>
      <w:r w:rsidR="00EE4FC3">
        <w:t xml:space="preserve"> </w:t>
      </w:r>
      <w:r w:rsidR="00582826" w:rsidRPr="00382917">
        <w:t>turban</w:t>
      </w:r>
      <w:r w:rsidR="00EE4FC3">
        <w:t xml:space="preserve"> </w:t>
      </w:r>
      <w:r w:rsidR="00582826" w:rsidRPr="00382917">
        <w:t>from</w:t>
      </w:r>
      <w:r w:rsidR="00EE4FC3">
        <w:t xml:space="preserve"> </w:t>
      </w:r>
      <w:r w:rsidR="00582826" w:rsidRPr="00382917">
        <w:t>his</w:t>
      </w:r>
      <w:r w:rsidR="00EE4FC3">
        <w:t xml:space="preserve"> </w:t>
      </w:r>
      <w:r w:rsidR="00582826" w:rsidRPr="00382917">
        <w:t>head</w:t>
      </w:r>
      <w:r w:rsidR="00EE4FC3">
        <w:t xml:space="preserve"> </w:t>
      </w:r>
      <w:r w:rsidR="00582826" w:rsidRPr="00382917">
        <w:t>and</w:t>
      </w:r>
      <w:r w:rsidR="00EE4FC3">
        <w:t xml:space="preserve"> </w:t>
      </w:r>
      <w:r w:rsidR="00582826" w:rsidRPr="00382917">
        <w:t>turned</w:t>
      </w:r>
      <w:r w:rsidR="00EE4FC3">
        <w:t xml:space="preserve"> </w:t>
      </w:r>
      <w:r w:rsidR="00582826" w:rsidRPr="00382917">
        <w:t>to</w:t>
      </w:r>
      <w:r w:rsidR="00EE4FC3">
        <w:t xml:space="preserve"> </w:t>
      </w:r>
      <w:r w:rsidR="00582826" w:rsidRPr="00382917">
        <w:t>the</w:t>
      </w:r>
      <w:r w:rsidR="00EE4FC3">
        <w:t xml:space="preserve"> </w:t>
      </w:r>
      <w:r w:rsidR="00582826" w:rsidRPr="00382917">
        <w:t>executioner.</w:t>
      </w:r>
    </w:p>
    <w:p w:rsidR="00582826" w:rsidRPr="00382917" w:rsidRDefault="00582826" w:rsidP="00582826">
      <w:pPr>
        <w:pStyle w:val="Text"/>
      </w:pPr>
      <w:r w:rsidRPr="00382917">
        <w:t>Then</w:t>
      </w:r>
      <w:r w:rsidR="00EE4FC3">
        <w:t xml:space="preserve"> </w:t>
      </w:r>
      <w:r w:rsidRPr="00382917">
        <w:t>Mullá</w:t>
      </w:r>
      <w:r w:rsidR="00EE4FC3">
        <w:t xml:space="preserve"> </w:t>
      </w:r>
      <w:r w:rsidRPr="00382917">
        <w:t>Ismá</w:t>
      </w:r>
      <w:r w:rsidR="009C713D" w:rsidRPr="00382917">
        <w:t>‘</w:t>
      </w:r>
      <w:r w:rsidRPr="00382917">
        <w:t>íl</w:t>
      </w:r>
      <w:r w:rsidR="00EE4FC3">
        <w:t xml:space="preserve"> </w:t>
      </w:r>
      <w:r w:rsidRPr="00382917">
        <w:t>lifted</w:t>
      </w:r>
      <w:r w:rsidR="00EE4FC3">
        <w:t xml:space="preserve"> </w:t>
      </w:r>
      <w:r w:rsidRPr="00382917">
        <w:t>his</w:t>
      </w:r>
      <w:r w:rsidR="00EE4FC3">
        <w:t xml:space="preserve"> </w:t>
      </w:r>
      <w:r w:rsidRPr="00382917">
        <w:t>eyes</w:t>
      </w:r>
      <w:r w:rsidR="00EE4FC3">
        <w:t xml:space="preserve"> </w:t>
      </w:r>
      <w:r w:rsidRPr="00382917">
        <w:t>toward</w:t>
      </w:r>
      <w:r w:rsidR="00EE4FC3">
        <w:t xml:space="preserve"> </w:t>
      </w:r>
      <w:r w:rsidRPr="00382917">
        <w:t>heaven.</w:t>
      </w:r>
    </w:p>
    <w:p w:rsidR="00582826" w:rsidRPr="00382917" w:rsidRDefault="009C713D" w:rsidP="00582826">
      <w:pPr>
        <w:pStyle w:val="Text"/>
      </w:pPr>
      <w:r w:rsidRPr="00382917">
        <w:t>“</w:t>
      </w:r>
      <w:r w:rsidR="00582826" w:rsidRPr="00382917">
        <w:t>Accept</w:t>
      </w:r>
      <w:r w:rsidR="00EE4FC3">
        <w:t xml:space="preserve"> </w:t>
      </w:r>
      <w:r w:rsidR="00582826" w:rsidRPr="00382917">
        <w:t>me,</w:t>
      </w:r>
      <w:r w:rsidR="00EE4FC3">
        <w:t xml:space="preserve"> </w:t>
      </w:r>
      <w:r w:rsidR="00582826" w:rsidRPr="00382917">
        <w:t>O</w:t>
      </w:r>
      <w:r w:rsidR="00EE4FC3">
        <w:t xml:space="preserve"> </w:t>
      </w:r>
      <w:r w:rsidR="00582826" w:rsidRPr="00382917">
        <w:t>my</w:t>
      </w:r>
      <w:r w:rsidR="00EE4FC3">
        <w:t xml:space="preserve"> </w:t>
      </w:r>
      <w:r w:rsidR="00582826" w:rsidRPr="00382917">
        <w:t>God,</w:t>
      </w:r>
      <w:r w:rsidR="00EE4FC3">
        <w:t xml:space="preserve"> </w:t>
      </w:r>
      <w:r w:rsidR="00582826" w:rsidRPr="00382917">
        <w:t>unworthy</w:t>
      </w:r>
      <w:r w:rsidR="00EE4FC3">
        <w:t xml:space="preserve"> </w:t>
      </w:r>
      <w:r w:rsidR="00582826" w:rsidRPr="00382917">
        <w:t>though</w:t>
      </w:r>
      <w:r w:rsidR="00EE4FC3">
        <w:t xml:space="preserve"> </w:t>
      </w:r>
      <w:r w:rsidR="00582826" w:rsidRPr="00382917">
        <w:t>I</w:t>
      </w:r>
      <w:r w:rsidR="00EE4FC3">
        <w:t xml:space="preserve"> </w:t>
      </w:r>
      <w:proofErr w:type="gramStart"/>
      <w:r w:rsidR="00582826" w:rsidRPr="00382917">
        <w:t>be</w:t>
      </w:r>
      <w:proofErr w:type="gramEnd"/>
      <w:r w:rsidR="00582826" w:rsidRPr="00382917">
        <w:t>.</w:t>
      </w:r>
      <w:r w:rsidRPr="00382917">
        <w:t>”</w:t>
      </w:r>
    </w:p>
    <w:p w:rsidR="00E13D49" w:rsidRPr="00382917" w:rsidRDefault="00582826" w:rsidP="00B42F8B">
      <w:pPr>
        <w:pStyle w:val="Text"/>
      </w:pPr>
      <w:r w:rsidRPr="00382917">
        <w:t>The</w:t>
      </w:r>
      <w:r w:rsidR="00EE4FC3">
        <w:t xml:space="preserve"> </w:t>
      </w:r>
      <w:r w:rsidRPr="00382917">
        <w:t>executioner</w:t>
      </w:r>
      <w:r w:rsidR="00EE4FC3">
        <w:t xml:space="preserve"> </w:t>
      </w:r>
      <w:r w:rsidRPr="00382917">
        <w:t>cut</w:t>
      </w:r>
      <w:r w:rsidR="00EE4FC3">
        <w:t xml:space="preserve"> </w:t>
      </w:r>
      <w:r w:rsidRPr="00382917">
        <w:t>short</w:t>
      </w:r>
      <w:r w:rsidR="00EE4FC3">
        <w:t xml:space="preserve"> </w:t>
      </w:r>
      <w:r w:rsidRPr="00382917">
        <w:t>his</w:t>
      </w:r>
      <w:r w:rsidR="00EE4FC3">
        <w:t xml:space="preserve"> </w:t>
      </w:r>
      <w:r w:rsidRPr="00382917">
        <w:t>prayer.</w:t>
      </w:r>
      <w:r w:rsidR="00B42F8B">
        <w:rPr>
          <w:rStyle w:val="FootnoteReference"/>
        </w:rPr>
        <w:footnoteReference w:id="183"/>
      </w:r>
    </w:p>
    <w:p w:rsidR="00E13D49" w:rsidRPr="00382917" w:rsidRDefault="00582826" w:rsidP="00B42F8B">
      <w:pPr>
        <w:pStyle w:val="Text"/>
      </w:pPr>
      <w:r w:rsidRPr="00382917">
        <w:t>The</w:t>
      </w:r>
      <w:r w:rsidR="00EE4FC3">
        <w:t xml:space="preserve"> </w:t>
      </w:r>
      <w:r w:rsidRPr="00382917">
        <w:t>death</w:t>
      </w:r>
      <w:r w:rsidR="00EE4FC3">
        <w:t xml:space="preserve"> </w:t>
      </w:r>
      <w:r w:rsidRPr="00382917">
        <w:t>of</w:t>
      </w:r>
      <w:r w:rsidR="00EE4FC3">
        <w:t xml:space="preserve"> </w:t>
      </w:r>
      <w:r w:rsidRPr="00382917">
        <w:t>the</w:t>
      </w:r>
      <w:r w:rsidR="00EE4FC3">
        <w:t xml:space="preserve"> </w:t>
      </w:r>
      <w:r w:rsidRPr="00382917">
        <w:t>other</w:t>
      </w:r>
      <w:r w:rsidR="00EE4FC3">
        <w:t xml:space="preserve"> </w:t>
      </w:r>
      <w:r w:rsidRPr="00382917">
        <w:t>four</w:t>
      </w:r>
      <w:r w:rsidR="00EE4FC3">
        <w:t xml:space="preserve"> </w:t>
      </w:r>
      <w:r w:rsidRPr="00382917">
        <w:t>martyrs</w:t>
      </w:r>
      <w:r w:rsidR="00EE4FC3">
        <w:t xml:space="preserve"> </w:t>
      </w:r>
      <w:r w:rsidRPr="00382917">
        <w:t>of</w:t>
      </w:r>
      <w:r w:rsidR="00EE4FC3">
        <w:t xml:space="preserve"> </w:t>
      </w:r>
      <w:r w:rsidRPr="00382917">
        <w:t>Ṭihrán</w:t>
      </w:r>
      <w:r w:rsidR="00EE4FC3">
        <w:t xml:space="preserve"> </w:t>
      </w:r>
      <w:r w:rsidRPr="00382917">
        <w:t>followed</w:t>
      </w:r>
      <w:r w:rsidR="00EE4FC3">
        <w:t xml:space="preserve"> </w:t>
      </w:r>
      <w:r w:rsidRPr="00382917">
        <w:t>in</w:t>
      </w:r>
      <w:r w:rsidR="00EE4FC3">
        <w:t xml:space="preserve"> </w:t>
      </w:r>
      <w:r w:rsidRPr="00382917">
        <w:t>swift</w:t>
      </w:r>
      <w:r w:rsidR="00EE4FC3">
        <w:t xml:space="preserve"> </w:t>
      </w:r>
      <w:r w:rsidRPr="00382917">
        <w:t>succession</w:t>
      </w:r>
      <w:r w:rsidR="00330AF7">
        <w:t>.</w:t>
      </w:r>
      <w:r w:rsidR="00EE4FC3">
        <w:t xml:space="preserve">  </w:t>
      </w:r>
      <w:proofErr w:type="gramStart"/>
      <w:r w:rsidRPr="00382917">
        <w:t>For</w:t>
      </w:r>
      <w:r w:rsidR="00EE4FC3">
        <w:t xml:space="preserve"> </w:t>
      </w:r>
      <w:r w:rsidRPr="00382917">
        <w:t>three</w:t>
      </w:r>
      <w:r w:rsidR="00EE4FC3">
        <w:t xml:space="preserve"> </w:t>
      </w:r>
      <w:r w:rsidRPr="00382917">
        <w:t>days</w:t>
      </w:r>
      <w:r w:rsidR="00EE4FC3">
        <w:t xml:space="preserve"> </w:t>
      </w:r>
      <w:r w:rsidRPr="00382917">
        <w:t>and</w:t>
      </w:r>
      <w:r w:rsidR="00EE4FC3">
        <w:t xml:space="preserve"> </w:t>
      </w:r>
      <w:r w:rsidRPr="00382917">
        <w:t>three</w:t>
      </w:r>
      <w:r w:rsidR="00EE4FC3">
        <w:t xml:space="preserve"> </w:t>
      </w:r>
      <w:r w:rsidRPr="00382917">
        <w:t>nights</w:t>
      </w:r>
      <w:r w:rsidR="00EE4FC3">
        <w:t xml:space="preserve"> </w:t>
      </w:r>
      <w:r w:rsidRPr="00382917">
        <w:t>the</w:t>
      </w:r>
      <w:r w:rsidR="00EE4FC3">
        <w:t xml:space="preserve"> </w:t>
      </w:r>
      <w:r w:rsidRPr="00382917">
        <w:t>bodies</w:t>
      </w:r>
      <w:r w:rsidR="00EE4FC3">
        <w:t xml:space="preserve"> </w:t>
      </w:r>
      <w:r w:rsidRPr="00382917">
        <w:t>of</w:t>
      </w:r>
      <w:r w:rsidR="00EE4FC3">
        <w:t xml:space="preserve"> </w:t>
      </w:r>
      <w:r w:rsidRPr="00382917">
        <w:t>these</w:t>
      </w:r>
      <w:r w:rsidR="00330AF7">
        <w:t>.</w:t>
      </w:r>
      <w:proofErr w:type="gramEnd"/>
      <w:r w:rsidR="00EE4FC3">
        <w:t xml:space="preserve">  </w:t>
      </w:r>
      <w:proofErr w:type="gramStart"/>
      <w:r w:rsidRPr="00382917">
        <w:t>heroic</w:t>
      </w:r>
      <w:proofErr w:type="gramEnd"/>
      <w:r w:rsidR="00EE4FC3">
        <w:t xml:space="preserve"> </w:t>
      </w:r>
      <w:r w:rsidRPr="00382917">
        <w:t>men</w:t>
      </w:r>
      <w:r w:rsidR="00EE4FC3">
        <w:t xml:space="preserve"> </w:t>
      </w:r>
      <w:r w:rsidRPr="00382917">
        <w:t>remained</w:t>
      </w:r>
      <w:r w:rsidR="00EE4FC3">
        <w:t xml:space="preserve"> </w:t>
      </w:r>
      <w:r w:rsidRPr="00382917">
        <w:t>abandoned</w:t>
      </w:r>
      <w:r w:rsidR="00EE4FC3">
        <w:t xml:space="preserve"> </w:t>
      </w:r>
      <w:r w:rsidRPr="00382917">
        <w:t>in</w:t>
      </w:r>
      <w:r w:rsidR="00EE4FC3">
        <w:t xml:space="preserve"> </w:t>
      </w:r>
      <w:r w:rsidRPr="00382917">
        <w:t>the</w:t>
      </w:r>
      <w:r w:rsidR="00EE4FC3">
        <w:t xml:space="preserve"> </w:t>
      </w:r>
      <w:r w:rsidRPr="00382917">
        <w:t>public</w:t>
      </w:r>
      <w:r w:rsidR="00EE4FC3">
        <w:t xml:space="preserve"> </w:t>
      </w:r>
      <w:r w:rsidRPr="00382917">
        <w:t>square</w:t>
      </w:r>
      <w:r w:rsidR="00EE4FC3">
        <w:t xml:space="preserve"> </w:t>
      </w:r>
      <w:r w:rsidRPr="00382917">
        <w:t>adjoining</w:t>
      </w:r>
      <w:r w:rsidR="00EE4FC3">
        <w:t xml:space="preserve"> </w:t>
      </w:r>
      <w:r w:rsidRPr="00382917">
        <w:t>the-imperial</w:t>
      </w:r>
      <w:r w:rsidR="00EE4FC3">
        <w:t xml:space="preserve"> </w:t>
      </w:r>
      <w:r w:rsidRPr="00382917">
        <w:t>palace</w:t>
      </w:r>
      <w:r w:rsidR="00330AF7">
        <w:t>.</w:t>
      </w:r>
      <w:r w:rsidR="00EE4FC3">
        <w:t xml:space="preserve">  </w:t>
      </w:r>
      <w:r w:rsidRPr="00382917">
        <w:t>Thousands</w:t>
      </w:r>
      <w:r w:rsidR="00EE4FC3">
        <w:t xml:space="preserve"> </w:t>
      </w:r>
      <w:r w:rsidRPr="00382917">
        <w:t>gathered</w:t>
      </w:r>
      <w:r w:rsidR="00EE4FC3">
        <w:t xml:space="preserve"> </w:t>
      </w:r>
      <w:r w:rsidRPr="00382917">
        <w:t>round</w:t>
      </w:r>
      <w:r w:rsidR="00EE4FC3">
        <w:t xml:space="preserve"> </w:t>
      </w:r>
      <w:r w:rsidRPr="00382917">
        <w:t>their</w:t>
      </w:r>
      <w:r w:rsidR="00EE4FC3">
        <w:t xml:space="preserve"> </w:t>
      </w:r>
      <w:r w:rsidRPr="00382917">
        <w:t>corpses,</w:t>
      </w:r>
      <w:r w:rsidR="00EE4FC3">
        <w:t xml:space="preserve"> </w:t>
      </w:r>
      <w:r w:rsidRPr="00382917">
        <w:t>kicked</w:t>
      </w:r>
      <w:r w:rsidR="00EE4FC3">
        <w:t xml:space="preserve"> </w:t>
      </w:r>
      <w:r w:rsidRPr="00382917">
        <w:t>them</w:t>
      </w:r>
      <w:r w:rsidR="00EE4FC3">
        <w:t xml:space="preserve"> </w:t>
      </w:r>
      <w:r w:rsidRPr="00382917">
        <w:t>with</w:t>
      </w:r>
      <w:r w:rsidR="00EE4FC3">
        <w:t xml:space="preserve"> </w:t>
      </w:r>
      <w:r w:rsidRPr="00382917">
        <w:t>their</w:t>
      </w:r>
      <w:r w:rsidR="00EE4FC3">
        <w:t xml:space="preserve"> </w:t>
      </w:r>
      <w:r w:rsidRPr="00382917">
        <w:t>feet,</w:t>
      </w:r>
      <w:r w:rsidR="00EE4FC3">
        <w:t xml:space="preserve"> </w:t>
      </w:r>
      <w:r w:rsidRPr="00382917">
        <w:t>and</w:t>
      </w:r>
      <w:r w:rsidR="00EE4FC3">
        <w:t xml:space="preserve"> </w:t>
      </w:r>
      <w:r w:rsidRPr="00382917">
        <w:t>spat</w:t>
      </w:r>
      <w:r w:rsidR="00EE4FC3">
        <w:t xml:space="preserve"> </w:t>
      </w:r>
      <w:r w:rsidRPr="00382917">
        <w:t>in</w:t>
      </w:r>
      <w:r w:rsidR="00EE4FC3">
        <w:t xml:space="preserve"> </w:t>
      </w:r>
      <w:r w:rsidRPr="00382917">
        <w:t>their</w:t>
      </w:r>
      <w:r w:rsidR="00EE4FC3">
        <w:t xml:space="preserve"> </w:t>
      </w:r>
      <w:r w:rsidRPr="00382917">
        <w:t>faces</w:t>
      </w:r>
      <w:r w:rsidR="00330AF7">
        <w:t>.</w:t>
      </w:r>
      <w:r w:rsidR="00EE4FC3">
        <w:t xml:space="preserve">  </w:t>
      </w:r>
      <w:r w:rsidRPr="00382917">
        <w:t>They</w:t>
      </w:r>
      <w:r w:rsidR="00EE4FC3">
        <w:t xml:space="preserve"> </w:t>
      </w:r>
      <w:r w:rsidRPr="00382917">
        <w:t>were</w:t>
      </w:r>
      <w:r w:rsidR="00EE4FC3">
        <w:t xml:space="preserve"> </w:t>
      </w:r>
      <w:r w:rsidRPr="00382917">
        <w:t>pelted</w:t>
      </w:r>
      <w:r w:rsidR="00EE4FC3">
        <w:t xml:space="preserve"> </w:t>
      </w:r>
      <w:r w:rsidRPr="00382917">
        <w:t>with</w:t>
      </w:r>
      <w:r w:rsidR="00EE4FC3">
        <w:t xml:space="preserve"> </w:t>
      </w:r>
      <w:r w:rsidRPr="00382917">
        <w:t>stones,</w:t>
      </w:r>
      <w:r w:rsidR="00EE4FC3">
        <w:t xml:space="preserve"> </w:t>
      </w:r>
      <w:r w:rsidRPr="00382917">
        <w:t>cursed</w:t>
      </w:r>
      <w:r w:rsidR="00EE4FC3">
        <w:t xml:space="preserve"> </w:t>
      </w:r>
      <w:r w:rsidRPr="00382917">
        <w:t>and</w:t>
      </w:r>
      <w:r w:rsidR="00EE4FC3">
        <w:t xml:space="preserve"> </w:t>
      </w:r>
      <w:r w:rsidRPr="00382917">
        <w:t>mocked</w:t>
      </w:r>
      <w:r w:rsidR="00EE4FC3">
        <w:t xml:space="preserve"> </w:t>
      </w:r>
      <w:r w:rsidRPr="00382917">
        <w:t>by</w:t>
      </w:r>
      <w:r w:rsidR="00EE4FC3">
        <w:t xml:space="preserve"> </w:t>
      </w:r>
      <w:r w:rsidRPr="00382917">
        <w:t>the</w:t>
      </w:r>
      <w:r w:rsidR="00EE4FC3">
        <w:t xml:space="preserve"> </w:t>
      </w:r>
      <w:r w:rsidRPr="00382917">
        <w:t>angry</w:t>
      </w:r>
      <w:r w:rsidR="00EE4FC3">
        <w:t xml:space="preserve"> </w:t>
      </w:r>
      <w:r w:rsidRPr="00382917">
        <w:t>multitude</w:t>
      </w:r>
      <w:r w:rsidR="00330AF7">
        <w:t>.</w:t>
      </w:r>
      <w:r w:rsidR="00EE4FC3">
        <w:t xml:space="preserve">  </w:t>
      </w:r>
      <w:r w:rsidRPr="00382917">
        <w:t>Heaps</w:t>
      </w:r>
      <w:r w:rsidR="00EE4FC3">
        <w:t xml:space="preserve"> </w:t>
      </w:r>
      <w:r w:rsidRPr="00382917">
        <w:t>of</w:t>
      </w:r>
      <w:r w:rsidR="00EE4FC3">
        <w:t xml:space="preserve"> </w:t>
      </w:r>
      <w:r w:rsidRPr="00382917">
        <w:t>refuse</w:t>
      </w:r>
      <w:r w:rsidR="00EE4FC3">
        <w:t xml:space="preserve"> </w:t>
      </w:r>
      <w:r w:rsidRPr="00382917">
        <w:t>were</w:t>
      </w:r>
      <w:r w:rsidR="00EE4FC3">
        <w:t xml:space="preserve"> </w:t>
      </w:r>
      <w:r w:rsidRPr="00382917">
        <w:t>flung</w:t>
      </w:r>
      <w:r w:rsidR="00EE4FC3">
        <w:t xml:space="preserve"> </w:t>
      </w:r>
      <w:r w:rsidRPr="00382917">
        <w:t>upon</w:t>
      </w:r>
      <w:r w:rsidR="00EE4FC3">
        <w:t xml:space="preserve"> </w:t>
      </w:r>
      <w:r w:rsidRPr="00382917">
        <w:t>the</w:t>
      </w:r>
      <w:r w:rsidR="00EE4FC3">
        <w:t xml:space="preserve"> </w:t>
      </w:r>
      <w:r w:rsidRPr="00382917">
        <w:t>remains</w:t>
      </w:r>
      <w:r w:rsidR="00330AF7">
        <w:t>.</w:t>
      </w:r>
      <w:r w:rsidR="00EE4FC3">
        <w:t xml:space="preserve">  </w:t>
      </w:r>
      <w:r w:rsidRPr="00382917">
        <w:t>Not</w:t>
      </w:r>
      <w:r w:rsidR="00EE4FC3">
        <w:t xml:space="preserve"> </w:t>
      </w:r>
      <w:r w:rsidRPr="00382917">
        <w:t>one</w:t>
      </w:r>
      <w:r w:rsidR="00EE4FC3">
        <w:t xml:space="preserve"> </w:t>
      </w:r>
      <w:r w:rsidRPr="00382917">
        <w:t>hand</w:t>
      </w:r>
      <w:r w:rsidR="00EE4FC3">
        <w:t xml:space="preserve"> </w:t>
      </w:r>
      <w:r w:rsidRPr="00382917">
        <w:t>was</w:t>
      </w:r>
      <w:r w:rsidR="00EE4FC3">
        <w:t xml:space="preserve"> </w:t>
      </w:r>
      <w:r w:rsidRPr="00382917">
        <w:t>raised</w:t>
      </w:r>
      <w:r w:rsidR="00EE4FC3">
        <w:t xml:space="preserve"> </w:t>
      </w:r>
      <w:r w:rsidRPr="00382917">
        <w:t>to</w:t>
      </w:r>
      <w:r w:rsidR="00EE4FC3">
        <w:t xml:space="preserve"> </w:t>
      </w:r>
      <w:r w:rsidRPr="00382917">
        <w:t>halt</w:t>
      </w:r>
      <w:r w:rsidR="00EE4FC3">
        <w:t xml:space="preserve"> </w:t>
      </w:r>
      <w:r w:rsidRPr="00382917">
        <w:t>the</w:t>
      </w:r>
      <w:r w:rsidR="00EE4FC3">
        <w:t xml:space="preserve"> </w:t>
      </w:r>
      <w:r w:rsidRPr="00382917">
        <w:t>atrocities</w:t>
      </w:r>
      <w:r w:rsidR="00330AF7">
        <w:t>.</w:t>
      </w:r>
      <w:r w:rsidR="00EE4FC3">
        <w:t xml:space="preserve">  </w:t>
      </w:r>
      <w:r w:rsidRPr="00382917">
        <w:t>The</w:t>
      </w:r>
      <w:r w:rsidR="00EE4FC3">
        <w:t xml:space="preserve"> </w:t>
      </w:r>
      <w:r w:rsidRPr="00382917">
        <w:t>ferocious</w:t>
      </w:r>
      <w:r w:rsidR="00EE4FC3">
        <w:t xml:space="preserve"> </w:t>
      </w:r>
      <w:r w:rsidRPr="00382917">
        <w:t>fanaticism</w:t>
      </w:r>
      <w:r w:rsidR="00EE4FC3">
        <w:t xml:space="preserve"> </w:t>
      </w:r>
      <w:r w:rsidRPr="00382917">
        <w:t>even</w:t>
      </w:r>
      <w:r w:rsidR="00EE4FC3">
        <w:t xml:space="preserve"> </w:t>
      </w:r>
      <w:r w:rsidRPr="00382917">
        <w:t>broke</w:t>
      </w:r>
      <w:r w:rsidR="00EE4FC3">
        <w:t xml:space="preserve"> </w:t>
      </w:r>
      <w:r w:rsidRPr="00382917">
        <w:t>out</w:t>
      </w:r>
      <w:r w:rsidR="00EE4FC3">
        <w:t xml:space="preserve"> </w:t>
      </w:r>
      <w:r w:rsidRPr="00382917">
        <w:t>in</w:t>
      </w:r>
      <w:r w:rsidR="00EE4FC3">
        <w:t xml:space="preserve"> </w:t>
      </w:r>
      <w:r w:rsidR="009C713D" w:rsidRPr="00382917">
        <w:t>“</w:t>
      </w:r>
      <w:r w:rsidRPr="00382917">
        <w:t>insults</w:t>
      </w:r>
      <w:r w:rsidR="00EE4FC3">
        <w:t xml:space="preserve"> </w:t>
      </w:r>
      <w:r w:rsidRPr="00382917">
        <w:t>to</w:t>
      </w:r>
      <w:r w:rsidR="00EE4FC3">
        <w:t xml:space="preserve"> </w:t>
      </w:r>
      <w:r w:rsidRPr="00382917">
        <w:t>the</w:t>
      </w:r>
      <w:r w:rsidR="00EE4FC3">
        <w:t xml:space="preserve"> </w:t>
      </w:r>
      <w:r w:rsidRPr="00382917">
        <w:t>mortal</w:t>
      </w:r>
      <w:r w:rsidR="00EE4FC3">
        <w:t xml:space="preserve"> </w:t>
      </w:r>
      <w:r w:rsidRPr="00382917">
        <w:t>remains</w:t>
      </w:r>
      <w:r w:rsidR="00EE4FC3">
        <w:t xml:space="preserve"> </w:t>
      </w:r>
      <w:r w:rsidRPr="00382917">
        <w:t>of</w:t>
      </w:r>
      <w:r w:rsidR="00EE4FC3">
        <w:t xml:space="preserve"> </w:t>
      </w:r>
      <w:r w:rsidRPr="00382917">
        <w:t>those</w:t>
      </w:r>
      <w:r w:rsidR="00EE4FC3">
        <w:t xml:space="preserve"> </w:t>
      </w:r>
      <w:r w:rsidRPr="00382917">
        <w:t>whose</w:t>
      </w:r>
      <w:r w:rsidR="00EE4FC3">
        <w:t xml:space="preserve"> </w:t>
      </w:r>
      <w:r w:rsidRPr="00382917">
        <w:t>spirits</w:t>
      </w:r>
      <w:r w:rsidR="00EE4FC3">
        <w:t xml:space="preserve"> </w:t>
      </w:r>
      <w:r w:rsidRPr="00382917">
        <w:t>had</w:t>
      </w:r>
      <w:r w:rsidR="00EE4FC3">
        <w:t xml:space="preserve"> </w:t>
      </w:r>
      <w:r w:rsidRPr="00382917">
        <w:t>now</w:t>
      </w:r>
      <w:r w:rsidR="00EE4FC3">
        <w:t xml:space="preserve"> </w:t>
      </w:r>
      <w:r w:rsidRPr="00382917">
        <w:t>passed</w:t>
      </w:r>
      <w:r w:rsidR="00EE4FC3">
        <w:t xml:space="preserve"> </w:t>
      </w:r>
      <w:r w:rsidRPr="00382917">
        <w:t>beyond</w:t>
      </w:r>
      <w:r w:rsidR="00EE4FC3">
        <w:t xml:space="preserve"> </w:t>
      </w:r>
      <w:r w:rsidRPr="00382917">
        <w:t>the</w:t>
      </w:r>
      <w:r w:rsidR="00EE4FC3">
        <w:t xml:space="preserve"> </w:t>
      </w:r>
      <w:r w:rsidRPr="00382917">
        <w:t>power</w:t>
      </w:r>
      <w:r w:rsidR="00EE4FC3">
        <w:t xml:space="preserve"> </w:t>
      </w:r>
      <w:r w:rsidRPr="00382917">
        <w:t>of</w:t>
      </w:r>
      <w:r w:rsidR="00EE4FC3">
        <w:t xml:space="preserve"> </w:t>
      </w:r>
      <w:r w:rsidRPr="00382917">
        <w:t>their</w:t>
      </w:r>
      <w:r w:rsidR="00EE4FC3">
        <w:t xml:space="preserve"> </w:t>
      </w:r>
      <w:r w:rsidRPr="00382917">
        <w:t>malice.</w:t>
      </w:r>
      <w:r w:rsidR="009C713D" w:rsidRPr="00382917">
        <w:t>”</w:t>
      </w:r>
      <w:r w:rsidR="00B42F8B">
        <w:rPr>
          <w:rStyle w:val="FootnoteReference"/>
        </w:rPr>
        <w:footnoteReference w:id="184"/>
      </w:r>
    </w:p>
    <w:p w:rsidR="00582826" w:rsidRPr="00382917" w:rsidRDefault="00582826" w:rsidP="00BC68CB">
      <w:pPr>
        <w:pStyle w:val="Text"/>
      </w:pPr>
      <w:r w:rsidRPr="00382917">
        <w:t>The</w:t>
      </w:r>
      <w:r w:rsidR="00EE4FC3">
        <w:t xml:space="preserve"> </w:t>
      </w:r>
      <w:r w:rsidRPr="00382917">
        <w:t>religious</w:t>
      </w:r>
      <w:r w:rsidR="00EE4FC3">
        <w:t xml:space="preserve"> </w:t>
      </w:r>
      <w:r w:rsidRPr="00382917">
        <w:t>authorities</w:t>
      </w:r>
      <w:r w:rsidR="00EE4FC3">
        <w:t xml:space="preserve"> </w:t>
      </w:r>
      <w:r w:rsidRPr="00382917">
        <w:t>refused</w:t>
      </w:r>
      <w:r w:rsidR="00EE4FC3">
        <w:t xml:space="preserve"> </w:t>
      </w:r>
      <w:r w:rsidRPr="00382917">
        <w:t>to</w:t>
      </w:r>
      <w:r w:rsidR="00EE4FC3">
        <w:t xml:space="preserve"> </w:t>
      </w:r>
      <w:r w:rsidRPr="00382917">
        <w:t>permit</w:t>
      </w:r>
      <w:r w:rsidR="00EE4FC3">
        <w:t xml:space="preserve"> </w:t>
      </w:r>
      <w:r w:rsidRPr="00382917">
        <w:t>the</w:t>
      </w:r>
      <w:r w:rsidR="00EE4FC3">
        <w:t xml:space="preserve"> </w:t>
      </w:r>
      <w:r w:rsidRPr="00382917">
        <w:t>bodies</w:t>
      </w:r>
      <w:r w:rsidR="00EE4FC3">
        <w:t xml:space="preserve"> </w:t>
      </w:r>
      <w:r w:rsidRPr="00382917">
        <w:t>to</w:t>
      </w:r>
      <w:r w:rsidR="00EE4FC3">
        <w:t xml:space="preserve"> </w:t>
      </w:r>
      <w:r w:rsidRPr="00382917">
        <w:t>be</w:t>
      </w:r>
      <w:r w:rsidR="00BC68CB">
        <w:t xml:space="preserve"> </w:t>
      </w:r>
      <w:r w:rsidRPr="00382917">
        <w:t>buried</w:t>
      </w:r>
      <w:r w:rsidR="00330AF7">
        <w:t>.</w:t>
      </w:r>
      <w:r w:rsidR="00EE4FC3">
        <w:t xml:space="preserve">  </w:t>
      </w:r>
      <w:r w:rsidRPr="00382917">
        <w:t>They</w:t>
      </w:r>
      <w:r w:rsidR="00EE4FC3">
        <w:t xml:space="preserve"> </w:t>
      </w:r>
      <w:r w:rsidRPr="00382917">
        <w:t>were</w:t>
      </w:r>
      <w:r w:rsidR="00EE4FC3">
        <w:t xml:space="preserve"> </w:t>
      </w:r>
      <w:r w:rsidRPr="00382917">
        <w:t>cast</w:t>
      </w:r>
      <w:r w:rsidR="00EE4FC3">
        <w:t xml:space="preserve"> </w:t>
      </w:r>
      <w:r w:rsidRPr="00382917">
        <w:t>into</w:t>
      </w:r>
      <w:r w:rsidR="00EE4FC3">
        <w:t xml:space="preserve"> </w:t>
      </w:r>
      <w:r w:rsidRPr="00382917">
        <w:t>a</w:t>
      </w:r>
      <w:r w:rsidR="00EE4FC3">
        <w:t xml:space="preserve"> </w:t>
      </w:r>
      <w:r w:rsidRPr="00382917">
        <w:t>pit</w:t>
      </w:r>
      <w:r w:rsidR="00EE4FC3">
        <w:t xml:space="preserve"> </w:t>
      </w:r>
      <w:r w:rsidRPr="00382917">
        <w:t>outside</w:t>
      </w:r>
      <w:r w:rsidR="00EE4FC3">
        <w:t xml:space="preserve"> </w:t>
      </w:r>
      <w:r w:rsidRPr="00382917">
        <w:t>the</w:t>
      </w:r>
      <w:r w:rsidR="00EE4FC3">
        <w:t xml:space="preserve"> </w:t>
      </w:r>
      <w:r w:rsidRPr="00382917">
        <w:t>gate</w:t>
      </w:r>
      <w:r w:rsidR="00EE4FC3">
        <w:t xml:space="preserve"> </w:t>
      </w:r>
      <w:r w:rsidRPr="00382917">
        <w:t>of</w:t>
      </w:r>
      <w:r w:rsidR="00EE4FC3">
        <w:t xml:space="preserve"> </w:t>
      </w:r>
      <w:r w:rsidRPr="00382917">
        <w:t>the</w:t>
      </w:r>
      <w:r w:rsidR="00EE4FC3">
        <w:t xml:space="preserve"> </w:t>
      </w:r>
      <w:r w:rsidRPr="00382917">
        <w:t>city,</w:t>
      </w:r>
      <w:r w:rsidR="00EE4FC3">
        <w:t xml:space="preserve"> </w:t>
      </w:r>
      <w:r w:rsidRPr="00382917">
        <w:t>where,</w:t>
      </w:r>
      <w:r w:rsidR="00EE4FC3">
        <w:t xml:space="preserve"> </w:t>
      </w:r>
      <w:r w:rsidRPr="00382917">
        <w:t>in</w:t>
      </w:r>
      <w:r w:rsidR="00EE4FC3">
        <w:t xml:space="preserve"> </w:t>
      </w:r>
      <w:r w:rsidRPr="00382917">
        <w:t>a</w:t>
      </w:r>
      <w:r w:rsidR="00EE4FC3">
        <w:t xml:space="preserve"> </w:t>
      </w:r>
      <w:r w:rsidRPr="00382917">
        <w:t>common</w:t>
      </w:r>
      <w:r w:rsidR="00EE4FC3">
        <w:t xml:space="preserve"> </w:t>
      </w:r>
      <w:r w:rsidRPr="00382917">
        <w:t>grave,</w:t>
      </w:r>
      <w:r w:rsidR="00EE4FC3">
        <w:t xml:space="preserve"> </w:t>
      </w:r>
      <w:r w:rsidRPr="00382917">
        <w:t>they</w:t>
      </w:r>
      <w:r w:rsidR="00EE4FC3">
        <w:t xml:space="preserve"> </w:t>
      </w:r>
      <w:r w:rsidRPr="00382917">
        <w:t>remained</w:t>
      </w:r>
      <w:r w:rsidR="00EE4FC3">
        <w:t xml:space="preserve"> </w:t>
      </w:r>
      <w:r w:rsidRPr="00382917">
        <w:t>as</w:t>
      </w:r>
      <w:r w:rsidR="00EE4FC3">
        <w:t xml:space="preserve"> </w:t>
      </w:r>
      <w:r w:rsidRPr="00382917">
        <w:t>united</w:t>
      </w:r>
      <w:r w:rsidR="00EE4FC3">
        <w:t xml:space="preserve"> </w:t>
      </w:r>
      <w:r w:rsidRPr="00382917">
        <w:t>in</w:t>
      </w:r>
      <w:r w:rsidR="00EE4FC3">
        <w:t xml:space="preserve"> </w:t>
      </w:r>
      <w:r w:rsidRPr="00382917">
        <w:t>body</w:t>
      </w:r>
      <w:r w:rsidR="00EE4FC3">
        <w:t xml:space="preserve"> </w:t>
      </w:r>
      <w:r w:rsidRPr="00382917">
        <w:t>as</w:t>
      </w:r>
      <w:r w:rsidR="00EE4FC3">
        <w:t xml:space="preserve"> </w:t>
      </w:r>
      <w:r w:rsidRPr="00382917">
        <w:t>they</w:t>
      </w:r>
      <w:r w:rsidR="00EE4FC3">
        <w:t xml:space="preserve"> </w:t>
      </w:r>
      <w:r w:rsidRPr="00382917">
        <w:t>had</w:t>
      </w:r>
      <w:r w:rsidR="00EE4FC3">
        <w:t xml:space="preserve"> </w:t>
      </w:r>
      <w:r w:rsidRPr="00382917">
        <w:t>been</w:t>
      </w:r>
      <w:r w:rsidR="00EE4FC3">
        <w:t xml:space="preserve"> </w:t>
      </w:r>
      <w:r w:rsidRPr="00382917">
        <w:t>in</w:t>
      </w:r>
      <w:r w:rsidR="00EE4FC3">
        <w:t xml:space="preserve"> </w:t>
      </w:r>
      <w:r w:rsidRPr="00382917">
        <w:t>spirit</w:t>
      </w:r>
      <w:r w:rsidR="00EE4FC3">
        <w:t xml:space="preserve"> </w:t>
      </w:r>
      <w:r w:rsidRPr="00382917">
        <w:t>when</w:t>
      </w:r>
      <w:r w:rsidR="00EE4FC3">
        <w:t xml:space="preserve"> </w:t>
      </w:r>
      <w:r w:rsidRPr="00382917">
        <w:t>they</w:t>
      </w:r>
      <w:r w:rsidR="00EE4FC3">
        <w:t xml:space="preserve"> </w:t>
      </w:r>
      <w:r w:rsidRPr="00382917">
        <w:t>kneeled</w:t>
      </w:r>
      <w:r w:rsidR="00EE4FC3">
        <w:t xml:space="preserve"> </w:t>
      </w:r>
      <w:r w:rsidRPr="00382917">
        <w:t>at</w:t>
      </w:r>
      <w:r w:rsidR="00EE4FC3">
        <w:t xml:space="preserve"> </w:t>
      </w:r>
      <w:r w:rsidRPr="00382917">
        <w:t>the</w:t>
      </w:r>
      <w:r w:rsidR="00EE4FC3">
        <w:t xml:space="preserve"> </w:t>
      </w:r>
      <w:r w:rsidRPr="00382917">
        <w:t>headsman</w:t>
      </w:r>
      <w:r w:rsidR="009C713D" w:rsidRPr="00382917">
        <w:t>’</w:t>
      </w:r>
      <w:r w:rsidRPr="00382917">
        <w:t>s</w:t>
      </w:r>
      <w:r w:rsidR="00EE4FC3">
        <w:t xml:space="preserve"> </w:t>
      </w:r>
      <w:r w:rsidRPr="00382917">
        <w:t>feet.</w:t>
      </w:r>
    </w:p>
    <w:p w:rsidR="00582826" w:rsidRPr="00382917" w:rsidRDefault="00582826" w:rsidP="00582826">
      <w:pPr>
        <w:pStyle w:val="Text"/>
      </w:pPr>
      <w:r w:rsidRPr="00382917">
        <w:t>Professor</w:t>
      </w:r>
      <w:r w:rsidR="00EE4FC3">
        <w:t xml:space="preserve"> </w:t>
      </w:r>
      <w:r w:rsidRPr="00382917">
        <w:t>Browne</w:t>
      </w:r>
      <w:r w:rsidR="00EE4FC3">
        <w:t xml:space="preserve"> </w:t>
      </w:r>
      <w:r w:rsidRPr="00382917">
        <w:t>points</w:t>
      </w:r>
      <w:r w:rsidR="00EE4FC3">
        <w:t xml:space="preserve"> </w:t>
      </w:r>
      <w:r w:rsidRPr="00382917">
        <w:t>out</w:t>
      </w:r>
      <w:r w:rsidR="00EE4FC3">
        <w:t xml:space="preserve"> </w:t>
      </w:r>
      <w:r w:rsidRPr="00382917">
        <w:t>one</w:t>
      </w:r>
      <w:r w:rsidR="00EE4FC3">
        <w:t xml:space="preserve"> </w:t>
      </w:r>
      <w:r w:rsidRPr="00382917">
        <w:t>of</w:t>
      </w:r>
      <w:r w:rsidR="00EE4FC3">
        <w:t xml:space="preserve"> </w:t>
      </w:r>
      <w:r w:rsidRPr="00382917">
        <w:t>the</w:t>
      </w:r>
      <w:r w:rsidR="00EE4FC3">
        <w:t xml:space="preserve"> </w:t>
      </w:r>
      <w:r w:rsidRPr="00382917">
        <w:t>most</w:t>
      </w:r>
      <w:r w:rsidR="00EE4FC3">
        <w:t xml:space="preserve"> </w:t>
      </w:r>
      <w:r w:rsidRPr="00382917">
        <w:t>significant</w:t>
      </w:r>
      <w:r w:rsidR="00EE4FC3">
        <w:t xml:space="preserve"> </w:t>
      </w:r>
      <w:r w:rsidRPr="00382917">
        <w:t>things</w:t>
      </w:r>
      <w:r w:rsidR="00EE4FC3">
        <w:t xml:space="preserve"> </w:t>
      </w:r>
      <w:r w:rsidRPr="00382917">
        <w:t>about</w:t>
      </w:r>
      <w:r w:rsidR="00EE4FC3">
        <w:t xml:space="preserve"> </w:t>
      </w:r>
      <w:r w:rsidRPr="00382917">
        <w:t>these</w:t>
      </w:r>
      <w:r w:rsidR="00EE4FC3">
        <w:t xml:space="preserve"> </w:t>
      </w:r>
      <w:r w:rsidRPr="00382917">
        <w:t>seven</w:t>
      </w:r>
      <w:r w:rsidR="00EE4FC3">
        <w:t xml:space="preserve"> </w:t>
      </w:r>
      <w:r w:rsidRPr="00382917">
        <w:t>martyrs</w:t>
      </w:r>
      <w:r w:rsidR="00EE4FC3">
        <w:t xml:space="preserve"> </w:t>
      </w:r>
      <w:r w:rsidRPr="00382917">
        <w:t>of</w:t>
      </w:r>
      <w:r w:rsidR="00EE4FC3">
        <w:t xml:space="preserve"> </w:t>
      </w:r>
      <w:r w:rsidRPr="00382917">
        <w:t>Ṭihrán.</w:t>
      </w:r>
    </w:p>
    <w:p w:rsidR="00582826" w:rsidRPr="00382917" w:rsidRDefault="009C713D" w:rsidP="00582826">
      <w:pPr>
        <w:pStyle w:val="Text"/>
      </w:pPr>
      <w:r w:rsidRPr="00382917">
        <w:t>“</w:t>
      </w:r>
      <w:r w:rsidR="00582826" w:rsidRPr="00382917">
        <w:t>They</w:t>
      </w:r>
      <w:r w:rsidR="00EE4FC3">
        <w:t xml:space="preserve"> </w:t>
      </w:r>
      <w:r w:rsidR="00582826" w:rsidRPr="00382917">
        <w:t>were</w:t>
      </w:r>
      <w:r w:rsidR="00EE4FC3">
        <w:t xml:space="preserve"> </w:t>
      </w:r>
      <w:r w:rsidR="00582826" w:rsidRPr="00382917">
        <w:t>men</w:t>
      </w:r>
      <w:r w:rsidR="00EE4FC3">
        <w:t xml:space="preserve"> </w:t>
      </w:r>
      <w:r w:rsidR="00582826" w:rsidRPr="00382917">
        <w:t>representing</w:t>
      </w:r>
      <w:r w:rsidR="00EE4FC3">
        <w:t xml:space="preserve"> </w:t>
      </w:r>
      <w:r w:rsidR="00582826" w:rsidRPr="00382917">
        <w:t>all</w:t>
      </w:r>
      <w:r w:rsidR="00EE4FC3">
        <w:t xml:space="preserve"> </w:t>
      </w:r>
      <w:r w:rsidR="00582826" w:rsidRPr="00382917">
        <w:t>the</w:t>
      </w:r>
      <w:r w:rsidR="00EE4FC3">
        <w:t xml:space="preserve"> </w:t>
      </w:r>
      <w:r w:rsidR="00582826" w:rsidRPr="00382917">
        <w:t>more</w:t>
      </w:r>
      <w:r w:rsidR="00EE4FC3">
        <w:t xml:space="preserve"> </w:t>
      </w:r>
      <w:r w:rsidR="00582826" w:rsidRPr="00382917">
        <w:t>important</w:t>
      </w:r>
      <w:r w:rsidR="00EE4FC3">
        <w:t xml:space="preserve"> </w:t>
      </w:r>
      <w:r w:rsidR="00582826" w:rsidRPr="00382917">
        <w:t>classes</w:t>
      </w:r>
      <w:r w:rsidR="00EE4FC3">
        <w:t xml:space="preserve"> </w:t>
      </w:r>
      <w:r w:rsidR="00582826" w:rsidRPr="00382917">
        <w:t>in</w:t>
      </w:r>
      <w:r w:rsidR="00EE4FC3">
        <w:t xml:space="preserve"> </w:t>
      </w:r>
      <w:r w:rsidR="00582826" w:rsidRPr="00382917">
        <w:t>Persia—divines,</w:t>
      </w:r>
      <w:r w:rsidR="00EE4FC3">
        <w:t xml:space="preserve"> </w:t>
      </w:r>
      <w:r w:rsidR="00582826" w:rsidRPr="00382917">
        <w:t>dervishes,</w:t>
      </w:r>
      <w:r w:rsidR="00EE4FC3">
        <w:t xml:space="preserve"> </w:t>
      </w:r>
      <w:r w:rsidR="00582826" w:rsidRPr="00382917">
        <w:t>merchants,</w:t>
      </w:r>
      <w:r w:rsidR="00EE4FC3">
        <w:t xml:space="preserve"> </w:t>
      </w:r>
      <w:r w:rsidR="00582826" w:rsidRPr="00382917">
        <w:t>shopkeepers,</w:t>
      </w:r>
      <w:r w:rsidR="00EE4FC3">
        <w:t xml:space="preserve"> </w:t>
      </w:r>
      <w:r w:rsidR="00582826" w:rsidRPr="00382917">
        <w:t>and</w:t>
      </w:r>
      <w:r w:rsidR="00EE4FC3">
        <w:t xml:space="preserve"> </w:t>
      </w:r>
      <w:r w:rsidR="00582826" w:rsidRPr="00382917">
        <w:t>government</w:t>
      </w:r>
    </w:p>
    <w:p w:rsidR="00582826" w:rsidRPr="00382917" w:rsidRDefault="00582826">
      <w:pPr>
        <w:widowControl/>
        <w:kinsoku/>
        <w:overflowPunct/>
        <w:textAlignment w:val="auto"/>
      </w:pPr>
      <w:r w:rsidRPr="00382917">
        <w:br w:type="page"/>
      </w:r>
    </w:p>
    <w:p w:rsidR="00E13D49" w:rsidRPr="00382917" w:rsidRDefault="00582826" w:rsidP="00BC68CB">
      <w:pPr>
        <w:pStyle w:val="Textcts"/>
      </w:pPr>
      <w:proofErr w:type="gramStart"/>
      <w:r w:rsidRPr="00382917">
        <w:t>officials</w:t>
      </w:r>
      <w:proofErr w:type="gramEnd"/>
      <w:r w:rsidRPr="00382917">
        <w:t>;</w:t>
      </w:r>
      <w:r w:rsidR="00EE4FC3">
        <w:t xml:space="preserve"> </w:t>
      </w:r>
      <w:r w:rsidRPr="00382917">
        <w:t>they</w:t>
      </w:r>
      <w:r w:rsidR="00EE4FC3">
        <w:t xml:space="preserve"> </w:t>
      </w:r>
      <w:r w:rsidRPr="00382917">
        <w:t>were</w:t>
      </w:r>
      <w:r w:rsidR="00EE4FC3">
        <w:t xml:space="preserve"> </w:t>
      </w:r>
      <w:r w:rsidRPr="00382917">
        <w:t>men</w:t>
      </w:r>
      <w:r w:rsidR="00EE4FC3">
        <w:t xml:space="preserve"> </w:t>
      </w:r>
      <w:r w:rsidRPr="00382917">
        <w:t>who</w:t>
      </w:r>
      <w:r w:rsidR="00EE4FC3">
        <w:t xml:space="preserve"> </w:t>
      </w:r>
      <w:r w:rsidRPr="00382917">
        <w:t>had</w:t>
      </w:r>
      <w:r w:rsidR="00EE4FC3">
        <w:t xml:space="preserve"> </w:t>
      </w:r>
      <w:r w:rsidRPr="00382917">
        <w:t>enjoyed</w:t>
      </w:r>
      <w:r w:rsidR="00EE4FC3">
        <w:t xml:space="preserve"> </w:t>
      </w:r>
      <w:r w:rsidRPr="00382917">
        <w:t>the</w:t>
      </w:r>
      <w:r w:rsidR="00EE4FC3">
        <w:t xml:space="preserve"> </w:t>
      </w:r>
      <w:r w:rsidRPr="00382917">
        <w:t>respect</w:t>
      </w:r>
      <w:r w:rsidR="00EE4FC3">
        <w:t xml:space="preserve"> </w:t>
      </w:r>
      <w:r w:rsidRPr="00382917">
        <w:t>and</w:t>
      </w:r>
      <w:r w:rsidR="00EE4FC3">
        <w:t xml:space="preserve"> </w:t>
      </w:r>
      <w:r w:rsidRPr="00382917">
        <w:t>consideration</w:t>
      </w:r>
      <w:r w:rsidR="00EE4FC3">
        <w:t xml:space="preserve"> </w:t>
      </w:r>
      <w:r w:rsidRPr="00382917">
        <w:t>of</w:t>
      </w:r>
      <w:r w:rsidR="00EE4FC3">
        <w:t xml:space="preserve"> </w:t>
      </w:r>
      <w:r w:rsidRPr="00382917">
        <w:t>all;</w:t>
      </w:r>
      <w:r w:rsidR="00EE4FC3">
        <w:t xml:space="preserve"> </w:t>
      </w:r>
      <w:r w:rsidRPr="00382917">
        <w:t>they</w:t>
      </w:r>
      <w:r w:rsidR="00EE4FC3">
        <w:t xml:space="preserve"> </w:t>
      </w:r>
      <w:r w:rsidRPr="00382917">
        <w:t>died</w:t>
      </w:r>
      <w:r w:rsidR="00EE4FC3">
        <w:t xml:space="preserve"> </w:t>
      </w:r>
      <w:r w:rsidRPr="00382917">
        <w:t>fearlessly,</w:t>
      </w:r>
      <w:r w:rsidR="00EE4FC3">
        <w:t xml:space="preserve"> </w:t>
      </w:r>
      <w:r w:rsidRPr="00382917">
        <w:t>willingly,</w:t>
      </w:r>
      <w:r w:rsidR="00EE4FC3">
        <w:t xml:space="preserve"> </w:t>
      </w:r>
      <w:r w:rsidRPr="00382917">
        <w:t>almost</w:t>
      </w:r>
      <w:r w:rsidR="00EE4FC3">
        <w:t xml:space="preserve"> </w:t>
      </w:r>
      <w:r w:rsidRPr="00382917">
        <w:t>eagerly.</w:t>
      </w:r>
      <w:r w:rsidR="009C713D" w:rsidRPr="00382917">
        <w:t>”</w:t>
      </w:r>
      <w:r w:rsidR="00BC68CB">
        <w:rPr>
          <w:rStyle w:val="FootnoteReference"/>
        </w:rPr>
        <w:footnoteReference w:id="185"/>
      </w:r>
    </w:p>
    <w:p w:rsidR="00582826" w:rsidRPr="00382917" w:rsidRDefault="00582826" w:rsidP="00582826">
      <w:pPr>
        <w:pStyle w:val="Text"/>
      </w:pPr>
      <w:r w:rsidRPr="00382917">
        <w:t>Browne</w:t>
      </w:r>
      <w:r w:rsidR="00EE4FC3">
        <w:t xml:space="preserve"> </w:t>
      </w:r>
      <w:r w:rsidRPr="00382917">
        <w:t>further</w:t>
      </w:r>
      <w:r w:rsidR="00EE4FC3">
        <w:t xml:space="preserve"> </w:t>
      </w:r>
      <w:r w:rsidRPr="00382917">
        <w:t>states</w:t>
      </w:r>
      <w:r w:rsidR="00C03C91">
        <w:t>:</w:t>
      </w:r>
      <w:r w:rsidR="00EE4FC3">
        <w:t xml:space="preserve">  </w:t>
      </w:r>
      <w:r w:rsidR="009C713D" w:rsidRPr="00382917">
        <w:t>“</w:t>
      </w:r>
      <w:r w:rsidRPr="00382917">
        <w:t>This</w:t>
      </w:r>
      <w:r w:rsidR="00EE4FC3">
        <w:t xml:space="preserve"> </w:t>
      </w:r>
      <w:r w:rsidRPr="00382917">
        <w:t>eventful</w:t>
      </w:r>
      <w:r w:rsidR="00EE4FC3">
        <w:t xml:space="preserve"> </w:t>
      </w:r>
      <w:r w:rsidRPr="00382917">
        <w:t>day</w:t>
      </w:r>
      <w:r w:rsidR="00EE4FC3">
        <w:t xml:space="preserve"> </w:t>
      </w:r>
      <w:r w:rsidRPr="00382917">
        <w:t>brought</w:t>
      </w:r>
      <w:r w:rsidR="00EE4FC3">
        <w:t xml:space="preserve"> </w:t>
      </w:r>
      <w:r w:rsidRPr="00382917">
        <w:t>to</w:t>
      </w:r>
      <w:r w:rsidR="00EE4FC3">
        <w:t xml:space="preserve"> </w:t>
      </w:r>
      <w:r w:rsidRPr="00382917">
        <w:t>the</w:t>
      </w:r>
      <w:r w:rsidR="00EE4FC3">
        <w:t xml:space="preserve"> </w:t>
      </w:r>
      <w:r w:rsidRPr="00382917">
        <w:t>Báb</w:t>
      </w:r>
      <w:r w:rsidR="00EE4FC3">
        <w:t xml:space="preserve"> </w:t>
      </w:r>
      <w:r w:rsidRPr="00382917">
        <w:t>more</w:t>
      </w:r>
      <w:r w:rsidR="00EE4FC3">
        <w:t xml:space="preserve"> </w:t>
      </w:r>
      <w:r w:rsidRPr="00382917">
        <w:t>secret</w:t>
      </w:r>
      <w:r w:rsidR="00EE4FC3">
        <w:t xml:space="preserve"> </w:t>
      </w:r>
      <w:r w:rsidRPr="00382917">
        <w:t>followers</w:t>
      </w:r>
      <w:r w:rsidR="00EE4FC3">
        <w:t xml:space="preserve"> </w:t>
      </w:r>
      <w:r w:rsidRPr="00382917">
        <w:t>than</w:t>
      </w:r>
      <w:r w:rsidR="00EE4FC3">
        <w:t xml:space="preserve"> </w:t>
      </w:r>
      <w:r w:rsidRPr="00382917">
        <w:t>many</w:t>
      </w:r>
      <w:r w:rsidR="00EE4FC3">
        <w:t xml:space="preserve"> </w:t>
      </w:r>
      <w:r w:rsidRPr="00382917">
        <w:t>sermons</w:t>
      </w:r>
      <w:r w:rsidR="00EE4FC3">
        <w:t xml:space="preserve"> </w:t>
      </w:r>
      <w:r w:rsidRPr="00382917">
        <w:t>could</w:t>
      </w:r>
      <w:r w:rsidR="00EE4FC3">
        <w:t xml:space="preserve"> </w:t>
      </w:r>
      <w:r w:rsidRPr="00382917">
        <w:t>have</w:t>
      </w:r>
      <w:r w:rsidR="00EE4FC3">
        <w:t xml:space="preserve"> </w:t>
      </w:r>
      <w:r w:rsidRPr="00382917">
        <w:t>done</w:t>
      </w:r>
      <w:r w:rsidR="00330AF7">
        <w:t>.</w:t>
      </w:r>
      <w:r w:rsidR="00EE4FC3">
        <w:t xml:space="preserve">  </w:t>
      </w:r>
      <w:r w:rsidRPr="00382917">
        <w:t>I</w:t>
      </w:r>
      <w:r w:rsidR="00EE4FC3">
        <w:t xml:space="preserve"> </w:t>
      </w:r>
      <w:r w:rsidRPr="00382917">
        <w:t>have</w:t>
      </w:r>
      <w:r w:rsidR="00EE4FC3">
        <w:t xml:space="preserve"> </w:t>
      </w:r>
      <w:r w:rsidRPr="00382917">
        <w:t>just</w:t>
      </w:r>
      <w:r w:rsidR="00EE4FC3">
        <w:t xml:space="preserve"> </w:t>
      </w:r>
      <w:r w:rsidRPr="00382917">
        <w:t>said</w:t>
      </w:r>
      <w:r w:rsidR="00EE4FC3">
        <w:t xml:space="preserve"> </w:t>
      </w:r>
      <w:r w:rsidRPr="00382917">
        <w:t>that</w:t>
      </w:r>
      <w:r w:rsidR="00EE4FC3">
        <w:t xml:space="preserve"> </w:t>
      </w:r>
      <w:r w:rsidRPr="00382917">
        <w:t>the</w:t>
      </w:r>
      <w:r w:rsidR="00EE4FC3">
        <w:t xml:space="preserve"> </w:t>
      </w:r>
      <w:r w:rsidRPr="00382917">
        <w:t>impression</w:t>
      </w:r>
      <w:r w:rsidR="00EE4FC3">
        <w:t xml:space="preserve"> </w:t>
      </w:r>
      <w:r w:rsidRPr="00382917">
        <w:t>created</w:t>
      </w:r>
      <w:r w:rsidR="00EE4FC3">
        <w:t xml:space="preserve"> </w:t>
      </w:r>
      <w:r w:rsidRPr="00382917">
        <w:t>by</w:t>
      </w:r>
      <w:r w:rsidR="00EE4FC3">
        <w:t xml:space="preserve"> </w:t>
      </w:r>
      <w:r w:rsidRPr="00382917">
        <w:t>the</w:t>
      </w:r>
      <w:r w:rsidR="00EE4FC3">
        <w:t xml:space="preserve"> </w:t>
      </w:r>
      <w:r w:rsidRPr="00382917">
        <w:t>prodigious</w:t>
      </w:r>
      <w:r w:rsidR="00EE4FC3">
        <w:t xml:space="preserve"> </w:t>
      </w:r>
      <w:r w:rsidRPr="00382917">
        <w:t>endurance</w:t>
      </w:r>
      <w:r w:rsidR="00EE4FC3">
        <w:t xml:space="preserve"> </w:t>
      </w:r>
      <w:r w:rsidRPr="00382917">
        <w:t>of</w:t>
      </w:r>
      <w:r w:rsidR="00EE4FC3">
        <w:t xml:space="preserve"> </w:t>
      </w:r>
      <w:r w:rsidRPr="00382917">
        <w:t>the</w:t>
      </w:r>
      <w:r w:rsidR="00EE4FC3">
        <w:t xml:space="preserve"> </w:t>
      </w:r>
      <w:r w:rsidRPr="00382917">
        <w:t>martyrs</w:t>
      </w:r>
      <w:r w:rsidR="00EE4FC3">
        <w:t xml:space="preserve"> </w:t>
      </w:r>
      <w:r w:rsidRPr="00382917">
        <w:t>was</w:t>
      </w:r>
      <w:r w:rsidR="00EE4FC3">
        <w:t xml:space="preserve"> </w:t>
      </w:r>
      <w:r w:rsidRPr="00382917">
        <w:t>deep</w:t>
      </w:r>
      <w:r w:rsidR="00EE4FC3">
        <w:t xml:space="preserve"> </w:t>
      </w:r>
      <w:r w:rsidRPr="00382917">
        <w:t>and</w:t>
      </w:r>
      <w:r w:rsidR="00EE4FC3">
        <w:t xml:space="preserve"> </w:t>
      </w:r>
      <w:r w:rsidRPr="00382917">
        <w:t>lasting</w:t>
      </w:r>
      <w:r w:rsidR="00330AF7">
        <w:t>.</w:t>
      </w:r>
      <w:r w:rsidR="00EE4FC3">
        <w:t xml:space="preserve">  </w:t>
      </w:r>
      <w:r w:rsidRPr="00382917">
        <w:t>I</w:t>
      </w:r>
      <w:r w:rsidR="00EE4FC3">
        <w:t xml:space="preserve"> </w:t>
      </w:r>
      <w:r w:rsidRPr="00382917">
        <w:t>have</w:t>
      </w:r>
      <w:r w:rsidR="00EE4FC3">
        <w:t xml:space="preserve"> </w:t>
      </w:r>
      <w:r w:rsidRPr="00382917">
        <w:t>often</w:t>
      </w:r>
      <w:r w:rsidR="00EE4FC3">
        <w:t xml:space="preserve"> </w:t>
      </w:r>
      <w:r w:rsidRPr="00382917">
        <w:t>heard</w:t>
      </w:r>
      <w:r w:rsidR="00EE4FC3">
        <w:t xml:space="preserve"> </w:t>
      </w:r>
      <w:r w:rsidRPr="00382917">
        <w:t>repeated</w:t>
      </w:r>
      <w:r w:rsidR="00EE4FC3">
        <w:t xml:space="preserve"> </w:t>
      </w:r>
      <w:r w:rsidRPr="00382917">
        <w:t>the</w:t>
      </w:r>
      <w:r w:rsidR="00EE4FC3">
        <w:t xml:space="preserve"> </w:t>
      </w:r>
      <w:r w:rsidRPr="00382917">
        <w:t>story</w:t>
      </w:r>
      <w:r w:rsidR="00EE4FC3">
        <w:t xml:space="preserve"> </w:t>
      </w:r>
      <w:r w:rsidRPr="00382917">
        <w:t>of</w:t>
      </w:r>
      <w:r w:rsidR="00EE4FC3">
        <w:t xml:space="preserve"> </w:t>
      </w:r>
      <w:r w:rsidRPr="00382917">
        <w:t>that</w:t>
      </w:r>
      <w:r w:rsidR="00EE4FC3">
        <w:t xml:space="preserve"> </w:t>
      </w:r>
      <w:r w:rsidRPr="00382917">
        <w:t>day</w:t>
      </w:r>
      <w:r w:rsidR="00EE4FC3">
        <w:t xml:space="preserve"> </w:t>
      </w:r>
      <w:r w:rsidRPr="00382917">
        <w:t>by</w:t>
      </w:r>
      <w:r w:rsidR="00EE4FC3">
        <w:t xml:space="preserve"> </w:t>
      </w:r>
      <w:r w:rsidRPr="00382917">
        <w:t>eye-witnesses,</w:t>
      </w:r>
      <w:r w:rsidR="00EE4FC3">
        <w:t xml:space="preserve"> </w:t>
      </w:r>
      <w:r w:rsidRPr="00382917">
        <w:t>by</w:t>
      </w:r>
      <w:r w:rsidR="00EE4FC3">
        <w:t xml:space="preserve"> </w:t>
      </w:r>
      <w:r w:rsidRPr="00382917">
        <w:t>men</w:t>
      </w:r>
      <w:r w:rsidR="00EE4FC3">
        <w:t xml:space="preserve"> </w:t>
      </w:r>
      <w:r w:rsidRPr="00382917">
        <w:t>close</w:t>
      </w:r>
      <w:r w:rsidR="00EE4FC3">
        <w:t xml:space="preserve"> </w:t>
      </w:r>
      <w:r w:rsidRPr="00382917">
        <w:t>to</w:t>
      </w:r>
      <w:r w:rsidR="00EE4FC3">
        <w:t xml:space="preserve"> </w:t>
      </w:r>
      <w:r w:rsidRPr="00382917">
        <w:t>the</w:t>
      </w:r>
      <w:r w:rsidR="00EE4FC3">
        <w:t xml:space="preserve"> </w:t>
      </w:r>
      <w:r w:rsidRPr="00382917">
        <w:t>government,</w:t>
      </w:r>
      <w:r w:rsidR="00EE4FC3">
        <w:t xml:space="preserve"> </w:t>
      </w:r>
      <w:r w:rsidRPr="00382917">
        <w:t>some</w:t>
      </w:r>
      <w:r w:rsidR="00EE4FC3">
        <w:t xml:space="preserve"> </w:t>
      </w:r>
      <w:r w:rsidRPr="00382917">
        <w:t>even</w:t>
      </w:r>
      <w:r w:rsidR="00EE4FC3">
        <w:t xml:space="preserve"> </w:t>
      </w:r>
      <w:r w:rsidRPr="00382917">
        <w:t>important</w:t>
      </w:r>
      <w:r w:rsidR="00EE4FC3">
        <w:t xml:space="preserve"> </w:t>
      </w:r>
      <w:r w:rsidRPr="00382917">
        <w:t>officials</w:t>
      </w:r>
      <w:r w:rsidR="00330AF7">
        <w:t>.</w:t>
      </w:r>
      <w:r w:rsidR="00EE4FC3">
        <w:t xml:space="preserve">  </w:t>
      </w:r>
      <w:r w:rsidRPr="00382917">
        <w:t>From</w:t>
      </w:r>
      <w:r w:rsidR="00EE4FC3">
        <w:t xml:space="preserve"> </w:t>
      </w:r>
      <w:r w:rsidRPr="00382917">
        <w:t>their</w:t>
      </w:r>
      <w:r w:rsidR="00EE4FC3">
        <w:t xml:space="preserve"> </w:t>
      </w:r>
      <w:r w:rsidRPr="00382917">
        <w:t>accounts,</w:t>
      </w:r>
      <w:r w:rsidR="00EE4FC3">
        <w:t xml:space="preserve"> </w:t>
      </w:r>
      <w:r w:rsidRPr="00382917">
        <w:t>one</w:t>
      </w:r>
      <w:r w:rsidR="00EE4FC3">
        <w:t xml:space="preserve"> </w:t>
      </w:r>
      <w:r w:rsidRPr="00382917">
        <w:t>might</w:t>
      </w:r>
      <w:r w:rsidR="00EE4FC3">
        <w:t xml:space="preserve"> </w:t>
      </w:r>
      <w:r w:rsidRPr="00382917">
        <w:t>easily</w:t>
      </w:r>
      <w:r w:rsidR="00EE4FC3">
        <w:t xml:space="preserve"> </w:t>
      </w:r>
      <w:r w:rsidRPr="00382917">
        <w:t>have</w:t>
      </w:r>
      <w:r w:rsidR="00EE4FC3">
        <w:t xml:space="preserve"> </w:t>
      </w:r>
      <w:r w:rsidRPr="00382917">
        <w:t>believed</w:t>
      </w:r>
      <w:r w:rsidR="00EE4FC3">
        <w:t xml:space="preserve"> </w:t>
      </w:r>
      <w:r w:rsidRPr="00382917">
        <w:t>that</w:t>
      </w:r>
      <w:r w:rsidR="00EE4FC3">
        <w:t xml:space="preserve"> </w:t>
      </w:r>
      <w:r w:rsidRPr="00382917">
        <w:t>they</w:t>
      </w:r>
      <w:r w:rsidR="00EE4FC3">
        <w:t xml:space="preserve"> </w:t>
      </w:r>
      <w:r w:rsidRPr="00382917">
        <w:t>were</w:t>
      </w:r>
      <w:r w:rsidR="00EE4FC3">
        <w:t xml:space="preserve"> </w:t>
      </w:r>
      <w:r w:rsidRPr="00382917">
        <w:t>all</w:t>
      </w:r>
      <w:r w:rsidR="00EE4FC3">
        <w:t xml:space="preserve"> </w:t>
      </w:r>
      <w:r w:rsidRPr="00382917">
        <w:t>[followers</w:t>
      </w:r>
      <w:r w:rsidR="00EE4FC3">
        <w:t xml:space="preserve"> </w:t>
      </w:r>
      <w:r w:rsidRPr="00382917">
        <w:t>of</w:t>
      </w:r>
      <w:r w:rsidR="00EE4FC3">
        <w:t xml:space="preserve"> </w:t>
      </w:r>
      <w:r w:rsidRPr="00382917">
        <w:t>the</w:t>
      </w:r>
      <w:r w:rsidR="00EE4FC3">
        <w:t xml:space="preserve"> </w:t>
      </w:r>
      <w:r w:rsidRPr="00382917">
        <w:t>Báb],</w:t>
      </w:r>
      <w:r w:rsidR="00EE4FC3">
        <w:t xml:space="preserve"> </w:t>
      </w:r>
      <w:r w:rsidRPr="00382917">
        <w:t>so</w:t>
      </w:r>
      <w:r w:rsidR="00EE4FC3">
        <w:t xml:space="preserve"> </w:t>
      </w:r>
      <w:r w:rsidRPr="00382917">
        <w:t>great</w:t>
      </w:r>
      <w:r w:rsidR="00EE4FC3">
        <w:t xml:space="preserve"> </w:t>
      </w:r>
      <w:r w:rsidRPr="00382917">
        <w:t>was</w:t>
      </w:r>
      <w:r w:rsidR="00EE4FC3">
        <w:t xml:space="preserve"> </w:t>
      </w:r>
      <w:r w:rsidRPr="00382917">
        <w:t>the</w:t>
      </w:r>
      <w:r w:rsidR="00EE4FC3">
        <w:t xml:space="preserve"> </w:t>
      </w:r>
      <w:r w:rsidRPr="00382917">
        <w:t>admiration</w:t>
      </w:r>
      <w:r w:rsidR="00EE4FC3">
        <w:t xml:space="preserve"> </w:t>
      </w:r>
      <w:r w:rsidRPr="00382917">
        <w:t>they</w:t>
      </w:r>
      <w:r w:rsidR="00EE4FC3">
        <w:t xml:space="preserve"> </w:t>
      </w:r>
      <w:r w:rsidRPr="00382917">
        <w:t>felt</w:t>
      </w:r>
      <w:r w:rsidR="00EE4FC3">
        <w:t xml:space="preserve"> </w:t>
      </w:r>
      <w:r w:rsidR="00F04416" w:rsidRPr="00382917">
        <w:t>…</w:t>
      </w:r>
      <w:r w:rsidR="00EE4FC3">
        <w:t xml:space="preserve"> </w:t>
      </w:r>
      <w:r w:rsidRPr="00382917">
        <w:t>and</w:t>
      </w:r>
      <w:r w:rsidR="00EE4FC3">
        <w:t xml:space="preserve"> </w:t>
      </w:r>
      <w:r w:rsidRPr="00382917">
        <w:t>so</w:t>
      </w:r>
      <w:r w:rsidR="00EE4FC3">
        <w:t xml:space="preserve"> </w:t>
      </w:r>
      <w:r w:rsidRPr="00382917">
        <w:t>high</w:t>
      </w:r>
      <w:r w:rsidR="00EE4FC3">
        <w:t xml:space="preserve"> </w:t>
      </w:r>
      <w:r w:rsidRPr="00382917">
        <w:t>was</w:t>
      </w:r>
      <w:r w:rsidR="00EE4FC3">
        <w:t xml:space="preserve"> </w:t>
      </w:r>
      <w:r w:rsidRPr="00382917">
        <w:t>the</w:t>
      </w:r>
      <w:r w:rsidR="00EE4FC3">
        <w:t xml:space="preserve"> </w:t>
      </w:r>
      <w:r w:rsidRPr="00382917">
        <w:t>esteem</w:t>
      </w:r>
      <w:r w:rsidR="00EE4FC3">
        <w:t xml:space="preserve"> </w:t>
      </w:r>
      <w:r w:rsidRPr="00382917">
        <w:t>they</w:t>
      </w:r>
      <w:r w:rsidR="00EE4FC3">
        <w:t xml:space="preserve"> </w:t>
      </w:r>
      <w:r w:rsidRPr="00382917">
        <w:t>entertained</w:t>
      </w:r>
      <w:r w:rsidR="00EE4FC3">
        <w:t xml:space="preserve"> </w:t>
      </w:r>
      <w:r w:rsidRPr="00382917">
        <w:t>for</w:t>
      </w:r>
      <w:r w:rsidR="00EE4FC3">
        <w:t xml:space="preserve"> </w:t>
      </w:r>
      <w:r w:rsidRPr="00382917">
        <w:t>the</w:t>
      </w:r>
      <w:r w:rsidR="00EE4FC3">
        <w:t xml:space="preserve"> </w:t>
      </w:r>
      <w:r w:rsidRPr="00382917">
        <w:t>resourcefulness,</w:t>
      </w:r>
      <w:r w:rsidR="00EE4FC3">
        <w:t xml:space="preserve"> </w:t>
      </w:r>
      <w:r w:rsidRPr="00382917">
        <w:t>the</w:t>
      </w:r>
      <w:r w:rsidR="00EE4FC3">
        <w:t xml:space="preserve"> </w:t>
      </w:r>
      <w:r w:rsidRPr="00382917">
        <w:t>hopes</w:t>
      </w:r>
      <w:r w:rsidR="00EE4FC3">
        <w:t xml:space="preserve"> </w:t>
      </w:r>
      <w:r w:rsidRPr="00382917">
        <w:t>and</w:t>
      </w:r>
      <w:r w:rsidR="00EE4FC3">
        <w:t xml:space="preserve"> </w:t>
      </w:r>
      <w:r w:rsidRPr="00382917">
        <w:t>the</w:t>
      </w:r>
      <w:r w:rsidR="00EE4FC3">
        <w:t xml:space="preserve"> </w:t>
      </w:r>
      <w:r w:rsidRPr="00382917">
        <w:t>chances</w:t>
      </w:r>
      <w:r w:rsidR="00EE4FC3">
        <w:t xml:space="preserve"> </w:t>
      </w:r>
      <w:r w:rsidRPr="00382917">
        <w:t>of</w:t>
      </w:r>
      <w:r w:rsidR="00EE4FC3">
        <w:t xml:space="preserve"> </w:t>
      </w:r>
      <w:r w:rsidRPr="00382917">
        <w:t>success</w:t>
      </w:r>
      <w:r w:rsidR="00EE4FC3">
        <w:t xml:space="preserve"> </w:t>
      </w:r>
      <w:r w:rsidRPr="00382917">
        <w:t>of</w:t>
      </w:r>
      <w:r w:rsidR="00EE4FC3">
        <w:t xml:space="preserve"> </w:t>
      </w:r>
      <w:r w:rsidRPr="00382917">
        <w:t>the</w:t>
      </w:r>
      <w:r w:rsidR="00EE4FC3">
        <w:t xml:space="preserve"> </w:t>
      </w:r>
      <w:r w:rsidRPr="00382917">
        <w:t>new</w:t>
      </w:r>
      <w:r w:rsidR="00EE4FC3">
        <w:t xml:space="preserve"> </w:t>
      </w:r>
      <w:r w:rsidRPr="00382917">
        <w:t>doctrine.</w:t>
      </w:r>
      <w:r w:rsidR="009C713D" w:rsidRPr="00382917">
        <w:t>”</w:t>
      </w:r>
    </w:p>
    <w:p w:rsidR="00582826" w:rsidRPr="00382917" w:rsidRDefault="00582826" w:rsidP="00582826">
      <w:pPr>
        <w:pStyle w:val="Text"/>
      </w:pPr>
      <w:r w:rsidRPr="00382917">
        <w:t>Thus</w:t>
      </w:r>
      <w:r w:rsidR="00EE4FC3">
        <w:t xml:space="preserve"> </w:t>
      </w:r>
      <w:r w:rsidRPr="00382917">
        <w:t>closes</w:t>
      </w:r>
      <w:r w:rsidR="00EE4FC3">
        <w:t xml:space="preserve"> </w:t>
      </w:r>
      <w:r w:rsidRPr="00382917">
        <w:t>the</w:t>
      </w:r>
      <w:r w:rsidR="00EE4FC3">
        <w:t xml:space="preserve"> </w:t>
      </w:r>
      <w:r w:rsidRPr="00382917">
        <w:t>tragic</w:t>
      </w:r>
      <w:r w:rsidR="00EE4FC3">
        <w:t xml:space="preserve"> </w:t>
      </w:r>
      <w:r w:rsidRPr="00382917">
        <w:t>story</w:t>
      </w:r>
      <w:r w:rsidR="00EE4FC3">
        <w:t xml:space="preserve"> </w:t>
      </w:r>
      <w:r w:rsidRPr="00382917">
        <w:t>of</w:t>
      </w:r>
      <w:r w:rsidR="00EE4FC3">
        <w:t xml:space="preserve"> </w:t>
      </w:r>
      <w:r w:rsidRPr="00382917">
        <w:t>the</w:t>
      </w:r>
      <w:r w:rsidR="00EE4FC3">
        <w:t xml:space="preserve"> </w:t>
      </w:r>
      <w:r w:rsidRPr="00382917">
        <w:t>lives</w:t>
      </w:r>
      <w:r w:rsidR="00EE4FC3">
        <w:t xml:space="preserve"> </w:t>
      </w:r>
      <w:r w:rsidRPr="00382917">
        <w:t>of</w:t>
      </w:r>
      <w:r w:rsidR="00EE4FC3">
        <w:t xml:space="preserve"> </w:t>
      </w:r>
      <w:r w:rsidRPr="00382917">
        <w:t>all</w:t>
      </w:r>
      <w:r w:rsidR="00EE4FC3">
        <w:t xml:space="preserve"> </w:t>
      </w:r>
      <w:r w:rsidRPr="00382917">
        <w:t>but</w:t>
      </w:r>
      <w:r w:rsidR="00EE4FC3">
        <w:t xml:space="preserve"> </w:t>
      </w:r>
      <w:r w:rsidRPr="00382917">
        <w:t>one</w:t>
      </w:r>
      <w:r w:rsidR="00EE4FC3">
        <w:t xml:space="preserve"> </w:t>
      </w:r>
      <w:r w:rsidRPr="00382917">
        <w:t>or</w:t>
      </w:r>
      <w:r w:rsidR="00EE4FC3">
        <w:t xml:space="preserve"> </w:t>
      </w:r>
      <w:r w:rsidRPr="00382917">
        <w:t>two</w:t>
      </w:r>
      <w:r w:rsidR="00EE4FC3">
        <w:t xml:space="preserve"> </w:t>
      </w:r>
      <w:r w:rsidRPr="00382917">
        <w:t>of</w:t>
      </w:r>
      <w:r w:rsidR="00EE4FC3">
        <w:t xml:space="preserve"> </w:t>
      </w:r>
      <w:r w:rsidRPr="00382917">
        <w:t>the</w:t>
      </w:r>
      <w:r w:rsidR="00EE4FC3">
        <w:t xml:space="preserve"> </w:t>
      </w:r>
      <w:r w:rsidRPr="00382917">
        <w:t>chief</w:t>
      </w:r>
      <w:r w:rsidR="00EE4FC3">
        <w:t xml:space="preserve"> </w:t>
      </w:r>
      <w:r w:rsidRPr="00382917">
        <w:t>disciples</w:t>
      </w:r>
      <w:r w:rsidR="00EE4FC3">
        <w:t xml:space="preserve"> </w:t>
      </w:r>
      <w:r w:rsidRPr="00382917">
        <w:t>of</w:t>
      </w:r>
      <w:r w:rsidR="00EE4FC3">
        <w:t xml:space="preserve"> </w:t>
      </w:r>
      <w:r w:rsidRPr="00382917">
        <w:t>the</w:t>
      </w:r>
      <w:r w:rsidR="00EE4FC3">
        <w:t xml:space="preserve"> </w:t>
      </w:r>
      <w:r w:rsidRPr="00382917">
        <w:t>Báb</w:t>
      </w:r>
      <w:r w:rsidR="00330AF7">
        <w:t>.</w:t>
      </w:r>
      <w:r w:rsidR="00EE4FC3">
        <w:t xml:space="preserve">  </w:t>
      </w:r>
      <w:r w:rsidRPr="00382917">
        <w:t>A</w:t>
      </w:r>
      <w:r w:rsidR="00EE4FC3">
        <w:t xml:space="preserve"> </w:t>
      </w:r>
      <w:r w:rsidRPr="00382917">
        <w:t>relentless</w:t>
      </w:r>
      <w:r w:rsidR="00EE4FC3">
        <w:t xml:space="preserve"> </w:t>
      </w:r>
      <w:r w:rsidRPr="00382917">
        <w:t>foe</w:t>
      </w:r>
      <w:r w:rsidR="00EE4FC3">
        <w:t xml:space="preserve"> </w:t>
      </w:r>
      <w:r w:rsidRPr="00382917">
        <w:t>had</w:t>
      </w:r>
      <w:r w:rsidR="00EE4FC3">
        <w:t xml:space="preserve"> </w:t>
      </w:r>
      <w:r w:rsidRPr="00382917">
        <w:t>struck</w:t>
      </w:r>
      <w:r w:rsidR="00EE4FC3">
        <w:t xml:space="preserve"> </w:t>
      </w:r>
      <w:r w:rsidRPr="00382917">
        <w:t>down</w:t>
      </w:r>
      <w:r w:rsidR="00EE4FC3">
        <w:t xml:space="preserve"> </w:t>
      </w:r>
      <w:r w:rsidRPr="00382917">
        <w:t>in</w:t>
      </w:r>
      <w:r w:rsidR="00EE4FC3">
        <w:t xml:space="preserve"> </w:t>
      </w:r>
      <w:r w:rsidRPr="00382917">
        <w:t>swift</w:t>
      </w:r>
      <w:r w:rsidR="00EE4FC3">
        <w:t xml:space="preserve"> </w:t>
      </w:r>
      <w:r w:rsidRPr="00382917">
        <w:t>succession</w:t>
      </w:r>
      <w:r w:rsidR="00EE4FC3">
        <w:t xml:space="preserve"> </w:t>
      </w:r>
      <w:r w:rsidRPr="00382917">
        <w:t>Mullá</w:t>
      </w:r>
      <w:r w:rsidR="00EE4FC3">
        <w:t xml:space="preserve"> </w:t>
      </w:r>
      <w:r w:rsidR="00964C11" w:rsidRPr="00382917">
        <w:t>Ḥusayn</w:t>
      </w:r>
      <w:r w:rsidRPr="00382917">
        <w:t>,</w:t>
      </w:r>
      <w:r w:rsidR="00EE4FC3">
        <w:t xml:space="preserve"> </w:t>
      </w:r>
      <w:r w:rsidRPr="00382917">
        <w:t>Quddús,</w:t>
      </w:r>
      <w:r w:rsidR="00EE4FC3">
        <w:t xml:space="preserve"> </w:t>
      </w:r>
      <w:r w:rsidRPr="00382917">
        <w:t>Vaḥíd,</w:t>
      </w:r>
      <w:r w:rsidR="00EE4FC3">
        <w:t xml:space="preserve"> </w:t>
      </w:r>
      <w:r w:rsidRPr="00382917">
        <w:t>and</w:t>
      </w:r>
      <w:r w:rsidR="00EE4FC3">
        <w:t xml:space="preserve"> </w:t>
      </w:r>
      <w:r w:rsidRPr="00382917">
        <w:t>the</w:t>
      </w:r>
      <w:r w:rsidR="00EE4FC3">
        <w:t xml:space="preserve"> </w:t>
      </w:r>
      <w:r w:rsidRPr="00382917">
        <w:t>Báb</w:t>
      </w:r>
      <w:r w:rsidR="009C713D" w:rsidRPr="00382917">
        <w:t>’</w:t>
      </w:r>
      <w:r w:rsidRPr="00382917">
        <w:t>s</w:t>
      </w:r>
      <w:r w:rsidR="00EE4FC3">
        <w:t xml:space="preserve"> </w:t>
      </w:r>
      <w:r w:rsidRPr="00382917">
        <w:t>uncle</w:t>
      </w:r>
      <w:r w:rsidR="00330AF7">
        <w:t>.</w:t>
      </w:r>
      <w:r w:rsidR="00EE4FC3">
        <w:t xml:space="preserve">  </w:t>
      </w:r>
      <w:r w:rsidRPr="00382917">
        <w:t>This</w:t>
      </w:r>
      <w:r w:rsidR="00EE4FC3">
        <w:t xml:space="preserve"> </w:t>
      </w:r>
      <w:r w:rsidRPr="00382917">
        <w:t>same</w:t>
      </w:r>
      <w:r w:rsidR="00EE4FC3">
        <w:t xml:space="preserve"> </w:t>
      </w:r>
      <w:r w:rsidRPr="00382917">
        <w:t>wave</w:t>
      </w:r>
      <w:r w:rsidR="00EE4FC3">
        <w:t xml:space="preserve"> </w:t>
      </w:r>
      <w:r w:rsidRPr="00382917">
        <w:t>of</w:t>
      </w:r>
      <w:r w:rsidR="00EE4FC3">
        <w:t xml:space="preserve"> </w:t>
      </w:r>
      <w:r w:rsidRPr="00382917">
        <w:t>hatred</w:t>
      </w:r>
      <w:r w:rsidR="00EE4FC3">
        <w:t xml:space="preserve"> </w:t>
      </w:r>
      <w:r w:rsidRPr="00382917">
        <w:t>swept</w:t>
      </w:r>
      <w:r w:rsidR="00EE4FC3">
        <w:t xml:space="preserve"> </w:t>
      </w:r>
      <w:r w:rsidRPr="00382917">
        <w:t>to</w:t>
      </w:r>
      <w:r w:rsidR="00EE4FC3">
        <w:t xml:space="preserve"> </w:t>
      </w:r>
      <w:r w:rsidRPr="00382917">
        <w:t>destruction</w:t>
      </w:r>
      <w:r w:rsidR="00EE4FC3">
        <w:t xml:space="preserve"> </w:t>
      </w:r>
      <w:r w:rsidRPr="00382917">
        <w:t>Ṭáhirih,</w:t>
      </w:r>
      <w:r w:rsidR="00EE4FC3">
        <w:t xml:space="preserve"> </w:t>
      </w:r>
      <w:r w:rsidRPr="00382917">
        <w:t>Qurbán</w:t>
      </w:r>
      <w:r w:rsidR="00EE4FC3">
        <w:t xml:space="preserve"> </w:t>
      </w:r>
      <w:r w:rsidR="0040329F" w:rsidRPr="00382917">
        <w:t>‘Al</w:t>
      </w:r>
      <w:r w:rsidR="0040329F" w:rsidRPr="0040329F">
        <w:t>í</w:t>
      </w:r>
      <w:r w:rsidR="00EE4FC3">
        <w:t xml:space="preserve"> </w:t>
      </w:r>
      <w:r w:rsidRPr="00382917">
        <w:t>and</w:t>
      </w:r>
      <w:r w:rsidR="00EE4FC3">
        <w:t xml:space="preserve"> </w:t>
      </w:r>
      <w:r w:rsidRPr="00382917">
        <w:t>Mullá</w:t>
      </w:r>
      <w:r w:rsidR="00EE4FC3">
        <w:t xml:space="preserve"> </w:t>
      </w:r>
      <w:r w:rsidRPr="00382917">
        <w:t>Ismá</w:t>
      </w:r>
      <w:r w:rsidR="009C713D" w:rsidRPr="00382917">
        <w:t>‘</w:t>
      </w:r>
      <w:r w:rsidRPr="00382917">
        <w:t>íl</w:t>
      </w:r>
      <w:r w:rsidR="00330AF7">
        <w:t>.</w:t>
      </w:r>
      <w:r w:rsidR="00EE4FC3">
        <w:t xml:space="preserve">  </w:t>
      </w:r>
      <w:r w:rsidRPr="00382917">
        <w:t>The</w:t>
      </w:r>
      <w:r w:rsidR="00EE4FC3">
        <w:t xml:space="preserve"> </w:t>
      </w:r>
      <w:r w:rsidRPr="00382917">
        <w:t>wind</w:t>
      </w:r>
      <w:r w:rsidR="00EE4FC3">
        <w:t xml:space="preserve"> </w:t>
      </w:r>
      <w:r w:rsidRPr="00382917">
        <w:t>of</w:t>
      </w:r>
      <w:r w:rsidR="00EE4FC3">
        <w:t xml:space="preserve"> </w:t>
      </w:r>
      <w:r w:rsidRPr="00382917">
        <w:t>death</w:t>
      </w:r>
      <w:r w:rsidR="00EE4FC3">
        <w:t xml:space="preserve"> </w:t>
      </w:r>
      <w:r w:rsidRPr="00382917">
        <w:t>now</w:t>
      </w:r>
      <w:r w:rsidR="00EE4FC3">
        <w:t xml:space="preserve"> </w:t>
      </w:r>
      <w:r w:rsidRPr="00382917">
        <w:t>changed</w:t>
      </w:r>
      <w:r w:rsidR="00EE4FC3">
        <w:t xml:space="preserve"> </w:t>
      </w:r>
      <w:r w:rsidRPr="00382917">
        <w:t>direction</w:t>
      </w:r>
      <w:r w:rsidR="00EE4FC3">
        <w:t xml:space="preserve"> </w:t>
      </w:r>
      <w:r w:rsidRPr="00382917">
        <w:t>and</w:t>
      </w:r>
      <w:r w:rsidR="00EE4FC3">
        <w:t xml:space="preserve"> </w:t>
      </w:r>
      <w:r w:rsidRPr="00382917">
        <w:t>blew</w:t>
      </w:r>
      <w:r w:rsidR="00EE4FC3">
        <w:t xml:space="preserve"> </w:t>
      </w:r>
      <w:r w:rsidRPr="00382917">
        <w:t>its</w:t>
      </w:r>
      <w:r w:rsidR="00EE4FC3">
        <w:t xml:space="preserve"> </w:t>
      </w:r>
      <w:r w:rsidRPr="00382917">
        <w:t>breath</w:t>
      </w:r>
      <w:r w:rsidR="00EE4FC3">
        <w:t xml:space="preserve"> </w:t>
      </w:r>
      <w:r w:rsidRPr="00382917">
        <w:t>toward</w:t>
      </w:r>
      <w:r w:rsidR="00EE4FC3">
        <w:t xml:space="preserve"> </w:t>
      </w:r>
      <w:r w:rsidRPr="00382917">
        <w:t>the</w:t>
      </w:r>
      <w:r w:rsidR="00EE4FC3">
        <w:t xml:space="preserve"> </w:t>
      </w:r>
      <w:r w:rsidRPr="00382917">
        <w:t>Báb</w:t>
      </w:r>
      <w:r w:rsidR="009C713D" w:rsidRPr="00382917">
        <w:t>’</w:t>
      </w:r>
      <w:r w:rsidRPr="00382917">
        <w:t>s</w:t>
      </w:r>
      <w:r w:rsidR="00EE4FC3">
        <w:t xml:space="preserve"> </w:t>
      </w:r>
      <w:r w:rsidRPr="00382917">
        <w:t>prison-castle</w:t>
      </w:r>
      <w:r w:rsidR="00EE4FC3">
        <w:t xml:space="preserve"> </w:t>
      </w:r>
      <w:r w:rsidRPr="00382917">
        <w:t>in</w:t>
      </w:r>
      <w:r w:rsidR="00EE4FC3">
        <w:t xml:space="preserve"> </w:t>
      </w:r>
      <w:r w:rsidR="001713B3" w:rsidRPr="001713B3">
        <w:rPr>
          <w:u w:val="single"/>
        </w:rPr>
        <w:t>Ch</w:t>
      </w:r>
      <w:r w:rsidR="001713B3" w:rsidRPr="00382917">
        <w:t>ihríq</w:t>
      </w:r>
      <w:r w:rsidRPr="00382917">
        <w:t>.</w:t>
      </w:r>
    </w:p>
    <w:p w:rsidR="00582826" w:rsidRPr="00382917" w:rsidRDefault="00582826" w:rsidP="00582826"/>
    <w:p w:rsidR="00582826" w:rsidRPr="00382917" w:rsidRDefault="00582826" w:rsidP="00582826">
      <w:pPr>
        <w:sectPr w:rsidR="00582826" w:rsidRPr="00382917" w:rsidSect="009073C7">
          <w:footnotePr>
            <w:numRestart w:val="eachPage"/>
          </w:footnotePr>
          <w:type w:val="evenPage"/>
          <w:pgSz w:w="8618" w:h="12984" w:code="188"/>
          <w:pgMar w:top="720" w:right="720" w:bottom="720" w:left="720" w:header="720" w:footer="567" w:gutter="357"/>
          <w:cols w:space="708"/>
          <w:noEndnote/>
          <w:titlePg/>
          <w:docGrid w:linePitch="272"/>
        </w:sectPr>
      </w:pPr>
    </w:p>
    <w:p w:rsidR="00417538" w:rsidRDefault="00417538" w:rsidP="00417538">
      <w:r w:rsidRPr="00382917">
        <w:rPr>
          <w:sz w:val="12"/>
          <w:szCs w:val="12"/>
        </w:rPr>
        <w:fldChar w:fldCharType="begin"/>
      </w:r>
      <w:r w:rsidR="00EE4FC3">
        <w:rPr>
          <w:sz w:val="12"/>
          <w:szCs w:val="12"/>
        </w:rPr>
        <w:instrText xml:space="preserve"> </w:instrText>
      </w:r>
      <w:proofErr w:type="gramStart"/>
      <w:r w:rsidRPr="00382917">
        <w:rPr>
          <w:sz w:val="12"/>
          <w:szCs w:val="12"/>
        </w:rPr>
        <w:instrText>TC</w:instrText>
      </w:r>
      <w:r w:rsidR="00EE4FC3">
        <w:rPr>
          <w:sz w:val="12"/>
          <w:szCs w:val="12"/>
        </w:rPr>
        <w:instrText xml:space="preserve">  </w:instrText>
      </w:r>
      <w:r w:rsidRPr="00382917">
        <w:rPr>
          <w:sz w:val="12"/>
          <w:szCs w:val="12"/>
        </w:rPr>
        <w:instrText>“</w:instrText>
      </w:r>
      <w:bookmarkStart w:id="20" w:name="_Toc206658616"/>
      <w:proofErr w:type="gramEnd"/>
      <w:r>
        <w:rPr>
          <w:sz w:val="12"/>
          <w:szCs w:val="12"/>
        </w:rPr>
        <w:tab/>
        <w:instrText>18.</w:instrText>
      </w:r>
      <w:r>
        <w:rPr>
          <w:sz w:val="12"/>
          <w:szCs w:val="12"/>
        </w:rPr>
        <w:tab/>
      </w:r>
      <w:r w:rsidRPr="00417538">
        <w:rPr>
          <w:sz w:val="12"/>
          <w:szCs w:val="12"/>
        </w:rPr>
        <w:instrText>The</w:instrText>
      </w:r>
      <w:r w:rsidR="00EE4FC3">
        <w:rPr>
          <w:sz w:val="12"/>
          <w:szCs w:val="12"/>
        </w:rPr>
        <w:instrText xml:space="preserve"> </w:instrText>
      </w:r>
      <w:r w:rsidRPr="00417538">
        <w:rPr>
          <w:sz w:val="12"/>
          <w:szCs w:val="12"/>
        </w:rPr>
        <w:instrText>Dawn</w:instrText>
      </w:r>
      <w:r w:rsidR="00EE4FC3">
        <w:rPr>
          <w:sz w:val="12"/>
          <w:szCs w:val="12"/>
        </w:rPr>
        <w:instrText xml:space="preserve"> </w:instrText>
      </w:r>
      <w:r w:rsidRPr="00417538">
        <w:rPr>
          <w:sz w:val="12"/>
          <w:szCs w:val="12"/>
        </w:rPr>
        <w:instrText>and</w:instrText>
      </w:r>
      <w:r w:rsidR="00EE4FC3">
        <w:rPr>
          <w:sz w:val="12"/>
          <w:szCs w:val="12"/>
        </w:rPr>
        <w:instrText xml:space="preserve"> </w:instrText>
      </w:r>
      <w:r w:rsidRPr="00417538">
        <w:rPr>
          <w:sz w:val="12"/>
          <w:szCs w:val="12"/>
        </w:rPr>
        <w:instrText>the</w:instrText>
      </w:r>
      <w:r w:rsidR="00EE4FC3">
        <w:rPr>
          <w:sz w:val="12"/>
          <w:szCs w:val="12"/>
        </w:rPr>
        <w:instrText xml:space="preserve"> </w:instrText>
      </w:r>
      <w:r w:rsidRPr="00417538">
        <w:rPr>
          <w:sz w:val="12"/>
          <w:szCs w:val="12"/>
        </w:rPr>
        <w:instrText>Sun</w:instrText>
      </w:r>
      <w:proofErr w:type="gramStart"/>
      <w:r w:rsidRPr="00382917">
        <w:rPr>
          <w:color w:val="FFFFFF" w:themeColor="background1"/>
          <w:sz w:val="12"/>
          <w:szCs w:val="12"/>
        </w:rPr>
        <w:instrText>..</w:instrText>
      </w:r>
      <w:proofErr w:type="gramEnd"/>
      <w:r w:rsidRPr="00382917">
        <w:rPr>
          <w:sz w:val="12"/>
          <w:szCs w:val="12"/>
        </w:rPr>
        <w:tab/>
      </w:r>
      <w:r w:rsidRPr="00382917">
        <w:rPr>
          <w:color w:val="FFFFFF" w:themeColor="background1"/>
          <w:sz w:val="12"/>
          <w:szCs w:val="12"/>
        </w:rPr>
        <w:instrText>.</w:instrText>
      </w:r>
      <w:bookmarkEnd w:id="20"/>
      <w:proofErr w:type="gramStart"/>
      <w:r w:rsidRPr="00382917">
        <w:rPr>
          <w:sz w:val="12"/>
          <w:szCs w:val="12"/>
        </w:rPr>
        <w:instrText>”</w:instrText>
      </w:r>
      <w:r w:rsidR="00EE4FC3">
        <w:rPr>
          <w:sz w:val="12"/>
          <w:szCs w:val="12"/>
        </w:rPr>
        <w:instrText xml:space="preserve"> </w:instrText>
      </w:r>
      <w:proofErr w:type="gramEnd"/>
      <w:r w:rsidRPr="00382917">
        <w:rPr>
          <w:sz w:val="12"/>
          <w:szCs w:val="12"/>
        </w:rPr>
        <w:instrText>\l</w:instrText>
      </w:r>
      <w:r w:rsidR="00EE4FC3">
        <w:rPr>
          <w:sz w:val="12"/>
          <w:szCs w:val="12"/>
        </w:rPr>
        <w:instrText xml:space="preserve"> </w:instrText>
      </w:r>
      <w:r w:rsidRPr="00382917">
        <w:rPr>
          <w:sz w:val="12"/>
          <w:szCs w:val="12"/>
        </w:rPr>
        <w:instrText>1</w:instrText>
      </w:r>
      <w:r w:rsidR="00EE4FC3">
        <w:rPr>
          <w:sz w:val="12"/>
          <w:szCs w:val="12"/>
        </w:rPr>
        <w:instrText xml:space="preserve"> </w:instrText>
      </w:r>
      <w:r w:rsidRPr="00382917">
        <w:rPr>
          <w:sz w:val="12"/>
          <w:szCs w:val="12"/>
        </w:rPr>
        <w:fldChar w:fldCharType="end"/>
      </w:r>
    </w:p>
    <w:p w:rsidR="00417538" w:rsidRDefault="00417538" w:rsidP="00582826"/>
    <w:p w:rsidR="00582826" w:rsidRPr="00382917" w:rsidRDefault="00582826" w:rsidP="00417538">
      <w:pPr>
        <w:pStyle w:val="Myheadc"/>
      </w:pPr>
      <w:r w:rsidRPr="00382917">
        <w:t>18</w:t>
      </w:r>
      <w:r w:rsidR="00417538">
        <w:br/>
      </w:r>
      <w:r w:rsidRPr="00382917">
        <w:rPr>
          <w:noProof/>
          <w:lang w:val="en-AU" w:eastAsia="en-AU"/>
          <w14:numForm w14:val="default"/>
          <w14:numSpacing w14:val="default"/>
        </w:rPr>
        <w:drawing>
          <wp:inline distT="0" distB="0" distL="0" distR="0" wp14:anchorId="032DB9E9" wp14:editId="0C41CA22">
            <wp:extent cx="396000" cy="392400"/>
            <wp:effectExtent l="0" t="0" r="4445" b="825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p.emf"/>
                    <pic:cNvPicPr/>
                  </pic:nvPicPr>
                  <pic:blipFill>
                    <a:blip r:embed="rId17">
                      <a:extLst>
                        <a:ext uri="{28A0092B-C50C-407E-A947-70E740481C1C}">
                          <a14:useLocalDpi xmlns:a14="http://schemas.microsoft.com/office/drawing/2010/main" val="0"/>
                        </a:ext>
                      </a:extLst>
                    </a:blip>
                    <a:stretch>
                      <a:fillRect/>
                    </a:stretch>
                  </pic:blipFill>
                  <pic:spPr>
                    <a:xfrm>
                      <a:off x="0" y="0"/>
                      <a:ext cx="396000" cy="392400"/>
                    </a:xfrm>
                    <a:prstGeom prst="rect">
                      <a:avLst/>
                    </a:prstGeom>
                  </pic:spPr>
                </pic:pic>
              </a:graphicData>
            </a:graphic>
          </wp:inline>
        </w:drawing>
      </w:r>
      <w:r w:rsidR="00417538">
        <w:br/>
      </w:r>
      <w:r w:rsidRPr="00382917">
        <w:t>The</w:t>
      </w:r>
      <w:r w:rsidR="00EE4FC3">
        <w:t xml:space="preserve"> </w:t>
      </w:r>
      <w:r w:rsidRPr="00382917">
        <w:t>Dawn</w:t>
      </w:r>
      <w:r w:rsidR="00EE4FC3">
        <w:t xml:space="preserve"> </w:t>
      </w:r>
      <w:r w:rsidRPr="00382917">
        <w:t>and</w:t>
      </w:r>
      <w:r w:rsidR="00EE4FC3">
        <w:t xml:space="preserve"> </w:t>
      </w:r>
      <w:r w:rsidRPr="00382917">
        <w:t>the</w:t>
      </w:r>
      <w:r w:rsidR="00EE4FC3">
        <w:t xml:space="preserve"> </w:t>
      </w:r>
      <w:r w:rsidRPr="00382917">
        <w:t>Sun</w:t>
      </w:r>
    </w:p>
    <w:p w:rsidR="00582826" w:rsidRPr="00382917" w:rsidRDefault="00582826" w:rsidP="00582826">
      <w:pPr>
        <w:pStyle w:val="Text"/>
      </w:pPr>
      <w:r w:rsidRPr="00382917">
        <w:t>The</w:t>
      </w:r>
      <w:r w:rsidR="00EE4FC3">
        <w:t xml:space="preserve"> </w:t>
      </w:r>
      <w:r w:rsidRPr="00382917">
        <w:t>Prime</w:t>
      </w:r>
      <w:r w:rsidR="00EE4FC3">
        <w:t xml:space="preserve"> </w:t>
      </w:r>
      <w:r w:rsidRPr="00382917">
        <w:t>Minister,</w:t>
      </w:r>
      <w:r w:rsidR="00EE4FC3">
        <w:t xml:space="preserve"> </w:t>
      </w:r>
      <w:r w:rsidRPr="00382917">
        <w:t>M</w:t>
      </w:r>
      <w:r w:rsidRPr="00382917">
        <w:rPr>
          <w:sz w:val="22"/>
        </w:rPr>
        <w:t>í</w:t>
      </w:r>
      <w:r w:rsidRPr="00382917">
        <w:t>rzá</w:t>
      </w:r>
      <w:r w:rsidR="00EE4FC3">
        <w:t xml:space="preserve"> </w:t>
      </w:r>
      <w:r w:rsidRPr="00382917">
        <w:t>Taqí</w:t>
      </w:r>
      <w:r w:rsidR="00EE4FC3">
        <w:t xml:space="preserve"> </w:t>
      </w:r>
      <w:r w:rsidR="0040329F" w:rsidRPr="0040329F">
        <w:rPr>
          <w:u w:val="single"/>
        </w:rPr>
        <w:t>Kh</w:t>
      </w:r>
      <w:r w:rsidR="0040329F" w:rsidRPr="00382917">
        <w:t>án</w:t>
      </w:r>
      <w:r w:rsidRPr="00382917">
        <w:t>,</w:t>
      </w:r>
      <w:r w:rsidR="00EE4FC3">
        <w:t xml:space="preserve"> </w:t>
      </w:r>
      <w:r w:rsidRPr="00382917">
        <w:t>dispatched</w:t>
      </w:r>
      <w:r w:rsidR="00EE4FC3">
        <w:t xml:space="preserve"> </w:t>
      </w:r>
      <w:r w:rsidRPr="00382917">
        <w:t>orders</w:t>
      </w:r>
      <w:r w:rsidR="00EE4FC3">
        <w:t xml:space="preserve"> </w:t>
      </w:r>
      <w:r w:rsidRPr="00382917">
        <w:t>to</w:t>
      </w:r>
      <w:r w:rsidR="00EE4FC3">
        <w:t xml:space="preserve"> </w:t>
      </w:r>
      <w:r w:rsidR="001713B3" w:rsidRPr="001713B3">
        <w:rPr>
          <w:u w:val="single"/>
        </w:rPr>
        <w:t>Ch</w:t>
      </w:r>
      <w:r w:rsidR="001713B3" w:rsidRPr="00382917">
        <w:t>ihríq</w:t>
      </w:r>
      <w:r w:rsidR="00EE4FC3">
        <w:t xml:space="preserve"> </w:t>
      </w:r>
      <w:r w:rsidRPr="00382917">
        <w:t>for</w:t>
      </w:r>
      <w:r w:rsidR="00EE4FC3">
        <w:t xml:space="preserve"> </w:t>
      </w:r>
      <w:r w:rsidRPr="00382917">
        <w:t>the</w:t>
      </w:r>
      <w:r w:rsidR="00EE4FC3">
        <w:t xml:space="preserve"> </w:t>
      </w:r>
      <w:r w:rsidRPr="00382917">
        <w:t>Báb</w:t>
      </w:r>
      <w:r w:rsidR="00EE4FC3">
        <w:t xml:space="preserve"> </w:t>
      </w:r>
      <w:r w:rsidRPr="00382917">
        <w:t>to</w:t>
      </w:r>
      <w:r w:rsidR="00EE4FC3">
        <w:t xml:space="preserve"> </w:t>
      </w:r>
      <w:r w:rsidRPr="00382917">
        <w:t>be</w:t>
      </w:r>
      <w:r w:rsidR="00EE4FC3">
        <w:t xml:space="preserve"> </w:t>
      </w:r>
      <w:r w:rsidRPr="00382917">
        <w:t>brought</w:t>
      </w:r>
      <w:r w:rsidR="00EE4FC3">
        <w:t xml:space="preserve"> </w:t>
      </w:r>
      <w:r w:rsidRPr="00382917">
        <w:t>from</w:t>
      </w:r>
      <w:r w:rsidR="00EE4FC3">
        <w:t xml:space="preserve"> </w:t>
      </w:r>
      <w:r w:rsidRPr="00382917">
        <w:t>the</w:t>
      </w:r>
      <w:r w:rsidR="00EE4FC3">
        <w:t xml:space="preserve"> </w:t>
      </w:r>
      <w:r w:rsidRPr="00382917">
        <w:t>prison</w:t>
      </w:r>
      <w:r w:rsidR="00EE4FC3">
        <w:t xml:space="preserve"> </w:t>
      </w:r>
      <w:r w:rsidRPr="00382917">
        <w:t>to</w:t>
      </w:r>
      <w:r w:rsidR="00EE4FC3">
        <w:t xml:space="preserve"> </w:t>
      </w:r>
      <w:r w:rsidR="00B24C41">
        <w:t>Tabríz</w:t>
      </w:r>
      <w:r w:rsidR="00330AF7">
        <w:t>.</w:t>
      </w:r>
      <w:r w:rsidR="00EE4FC3">
        <w:t xml:space="preserve">  </w:t>
      </w:r>
      <w:r w:rsidRPr="00382917">
        <w:t>He</w:t>
      </w:r>
      <w:r w:rsidR="00EE4FC3">
        <w:t xml:space="preserve"> </w:t>
      </w:r>
      <w:r w:rsidRPr="00382917">
        <w:t>vowed</w:t>
      </w:r>
      <w:r w:rsidR="00EE4FC3">
        <w:t xml:space="preserve"> </w:t>
      </w:r>
      <w:r w:rsidRPr="00382917">
        <w:t>to</w:t>
      </w:r>
      <w:r w:rsidR="00EE4FC3">
        <w:t xml:space="preserve"> </w:t>
      </w:r>
      <w:r w:rsidRPr="00382917">
        <w:t>himself</w:t>
      </w:r>
      <w:r w:rsidR="00EE4FC3">
        <w:t xml:space="preserve"> </w:t>
      </w:r>
      <w:r w:rsidRPr="00382917">
        <w:t>that</w:t>
      </w:r>
      <w:r w:rsidR="00EE4FC3">
        <w:t xml:space="preserve"> </w:t>
      </w:r>
      <w:r w:rsidRPr="00382917">
        <w:t>this</w:t>
      </w:r>
      <w:r w:rsidR="00EE4FC3">
        <w:t xml:space="preserve"> </w:t>
      </w:r>
      <w:r w:rsidRPr="00382917">
        <w:t>would</w:t>
      </w:r>
      <w:r w:rsidR="00EE4FC3">
        <w:t xml:space="preserve"> </w:t>
      </w:r>
      <w:r w:rsidRPr="00382917">
        <w:t>be</w:t>
      </w:r>
      <w:r w:rsidR="00EE4FC3">
        <w:t xml:space="preserve"> </w:t>
      </w:r>
      <w:r w:rsidRPr="00382917">
        <w:t>the</w:t>
      </w:r>
      <w:r w:rsidR="00EE4FC3">
        <w:t xml:space="preserve"> </w:t>
      </w:r>
      <w:r w:rsidRPr="00382917">
        <w:t>last</w:t>
      </w:r>
      <w:r w:rsidR="00EE4FC3">
        <w:t xml:space="preserve"> </w:t>
      </w:r>
      <w:r w:rsidRPr="00382917">
        <w:t>journey</w:t>
      </w:r>
      <w:r w:rsidR="00EE4FC3">
        <w:t xml:space="preserve"> </w:t>
      </w:r>
      <w:r w:rsidRPr="00382917">
        <w:t>the</w:t>
      </w:r>
      <w:r w:rsidR="00EE4FC3">
        <w:t xml:space="preserve"> </w:t>
      </w:r>
      <w:r w:rsidRPr="00382917">
        <w:t>Báb</w:t>
      </w:r>
      <w:r w:rsidR="00EE4FC3">
        <w:t xml:space="preserve"> </w:t>
      </w:r>
      <w:r w:rsidRPr="00382917">
        <w:t>ever</w:t>
      </w:r>
      <w:r w:rsidR="00EE4FC3">
        <w:t xml:space="preserve"> </w:t>
      </w:r>
      <w:r w:rsidRPr="00382917">
        <w:t>made</w:t>
      </w:r>
      <w:r w:rsidR="00EE4FC3">
        <w:t xml:space="preserve"> </w:t>
      </w:r>
      <w:r w:rsidRPr="00382917">
        <w:t>on</w:t>
      </w:r>
      <w:r w:rsidR="00EE4FC3">
        <w:t xml:space="preserve"> </w:t>
      </w:r>
      <w:r w:rsidRPr="00382917">
        <w:t>this</w:t>
      </w:r>
      <w:r w:rsidR="00EE4FC3">
        <w:t xml:space="preserve"> </w:t>
      </w:r>
      <w:r w:rsidRPr="00382917">
        <w:t>earth.</w:t>
      </w:r>
    </w:p>
    <w:p w:rsidR="00582826" w:rsidRPr="00382917" w:rsidRDefault="00582826" w:rsidP="00582826">
      <w:pPr>
        <w:pStyle w:val="Text"/>
      </w:pPr>
      <w:r w:rsidRPr="00382917">
        <w:t>Forty</w:t>
      </w:r>
      <w:r w:rsidR="00EE4FC3">
        <w:t xml:space="preserve"> </w:t>
      </w:r>
      <w:r w:rsidRPr="00382917">
        <w:t>days</w:t>
      </w:r>
      <w:r w:rsidR="00EE4FC3">
        <w:t xml:space="preserve"> </w:t>
      </w:r>
      <w:r w:rsidRPr="00382917">
        <w:t>before</w:t>
      </w:r>
      <w:r w:rsidR="00EE4FC3">
        <w:t xml:space="preserve"> </w:t>
      </w:r>
      <w:r w:rsidRPr="00382917">
        <w:t>the</w:t>
      </w:r>
      <w:r w:rsidR="00EE4FC3">
        <w:t xml:space="preserve"> </w:t>
      </w:r>
      <w:r w:rsidRPr="00382917">
        <w:t>arrival</w:t>
      </w:r>
      <w:r w:rsidR="00EE4FC3">
        <w:t xml:space="preserve"> </w:t>
      </w:r>
      <w:r w:rsidRPr="00382917">
        <w:t>of</w:t>
      </w:r>
      <w:r w:rsidR="00EE4FC3">
        <w:t xml:space="preserve"> </w:t>
      </w:r>
      <w:r w:rsidRPr="00382917">
        <w:t>an</w:t>
      </w:r>
      <w:r w:rsidR="00EE4FC3">
        <w:t xml:space="preserve"> </w:t>
      </w:r>
      <w:r w:rsidRPr="00382917">
        <w:t>officer</w:t>
      </w:r>
      <w:r w:rsidR="00EE4FC3">
        <w:t xml:space="preserve"> </w:t>
      </w:r>
      <w:r w:rsidRPr="00382917">
        <w:t>and</w:t>
      </w:r>
      <w:r w:rsidR="00EE4FC3">
        <w:t xml:space="preserve"> </w:t>
      </w:r>
      <w:r w:rsidRPr="00382917">
        <w:t>his</w:t>
      </w:r>
      <w:r w:rsidR="00EE4FC3">
        <w:t xml:space="preserve"> </w:t>
      </w:r>
      <w:r w:rsidRPr="00382917">
        <w:t>soldiers</w:t>
      </w:r>
      <w:r w:rsidR="00EE4FC3">
        <w:t xml:space="preserve"> </w:t>
      </w:r>
      <w:r w:rsidRPr="00382917">
        <w:t>at</w:t>
      </w:r>
      <w:r w:rsidR="00EE4FC3">
        <w:t xml:space="preserve"> </w:t>
      </w:r>
      <w:r w:rsidR="001713B3" w:rsidRPr="001713B3">
        <w:rPr>
          <w:u w:val="single"/>
        </w:rPr>
        <w:t>Ch</w:t>
      </w:r>
      <w:r w:rsidR="001713B3" w:rsidRPr="00382917">
        <w:t>ihríq</w:t>
      </w:r>
      <w:r w:rsidRPr="00382917">
        <w:t>,</w:t>
      </w:r>
      <w:r w:rsidR="00EE4FC3">
        <w:t xml:space="preserve"> </w:t>
      </w:r>
      <w:r w:rsidRPr="00382917">
        <w:t>the</w:t>
      </w:r>
      <w:r w:rsidR="00EE4FC3">
        <w:t xml:space="preserve"> </w:t>
      </w:r>
      <w:r w:rsidRPr="00382917">
        <w:t>Báb</w:t>
      </w:r>
      <w:r w:rsidR="00EE4FC3">
        <w:t xml:space="preserve"> </w:t>
      </w:r>
      <w:r w:rsidRPr="00382917">
        <w:t>collected</w:t>
      </w:r>
      <w:r w:rsidR="00EE4FC3">
        <w:t xml:space="preserve"> </w:t>
      </w:r>
      <w:r w:rsidRPr="00382917">
        <w:t>all</w:t>
      </w:r>
      <w:r w:rsidR="00EE4FC3">
        <w:t xml:space="preserve"> </w:t>
      </w:r>
      <w:r w:rsidRPr="00382917">
        <w:t>the</w:t>
      </w:r>
      <w:r w:rsidR="00EE4FC3">
        <w:t xml:space="preserve"> </w:t>
      </w:r>
      <w:r w:rsidRPr="00382917">
        <w:t>documents</w:t>
      </w:r>
      <w:r w:rsidR="00EE4FC3">
        <w:t xml:space="preserve"> </w:t>
      </w:r>
      <w:r w:rsidRPr="00382917">
        <w:t>and</w:t>
      </w:r>
      <w:r w:rsidR="00EE4FC3">
        <w:t xml:space="preserve"> </w:t>
      </w:r>
      <w:r w:rsidRPr="00382917">
        <w:t>writings</w:t>
      </w:r>
      <w:r w:rsidR="00EE4FC3">
        <w:t xml:space="preserve"> </w:t>
      </w:r>
      <w:r w:rsidRPr="00382917">
        <w:t>in</w:t>
      </w:r>
      <w:r w:rsidR="00EE4FC3">
        <w:t xml:space="preserve"> </w:t>
      </w:r>
      <w:r w:rsidRPr="00382917">
        <w:t>His</w:t>
      </w:r>
      <w:r w:rsidR="00EE4FC3">
        <w:t xml:space="preserve"> </w:t>
      </w:r>
      <w:r w:rsidRPr="00382917">
        <w:t>possession</w:t>
      </w:r>
      <w:r w:rsidR="00330AF7">
        <w:t>.</w:t>
      </w:r>
      <w:r w:rsidR="00EE4FC3">
        <w:t xml:space="preserve">  </w:t>
      </w:r>
      <w:r w:rsidRPr="00382917">
        <w:t>He</w:t>
      </w:r>
      <w:r w:rsidR="00EE4FC3">
        <w:t xml:space="preserve"> </w:t>
      </w:r>
      <w:r w:rsidRPr="00382917">
        <w:t>placed</w:t>
      </w:r>
      <w:r w:rsidR="00EE4FC3">
        <w:t xml:space="preserve"> </w:t>
      </w:r>
      <w:r w:rsidRPr="00382917">
        <w:t>them</w:t>
      </w:r>
      <w:r w:rsidR="00EE4FC3">
        <w:t xml:space="preserve"> </w:t>
      </w:r>
      <w:r w:rsidRPr="00382917">
        <w:t>in</w:t>
      </w:r>
      <w:r w:rsidR="00EE4FC3">
        <w:t xml:space="preserve"> </w:t>
      </w:r>
      <w:r w:rsidRPr="00382917">
        <w:t>a</w:t>
      </w:r>
      <w:r w:rsidR="00EE4FC3">
        <w:t xml:space="preserve"> </w:t>
      </w:r>
      <w:r w:rsidRPr="00382917">
        <w:t>special</w:t>
      </w:r>
      <w:r w:rsidR="00EE4FC3">
        <w:t xml:space="preserve"> </w:t>
      </w:r>
      <w:r w:rsidRPr="00382917">
        <w:t>box</w:t>
      </w:r>
      <w:r w:rsidR="00EE4FC3">
        <w:t xml:space="preserve"> </w:t>
      </w:r>
      <w:r w:rsidRPr="00382917">
        <w:t>along</w:t>
      </w:r>
      <w:r w:rsidR="00EE4FC3">
        <w:t xml:space="preserve"> </w:t>
      </w:r>
      <w:r w:rsidRPr="00382917">
        <w:t>with</w:t>
      </w:r>
      <w:r w:rsidR="00EE4FC3">
        <w:t xml:space="preserve"> </w:t>
      </w:r>
      <w:r w:rsidRPr="00382917">
        <w:t>His</w:t>
      </w:r>
      <w:r w:rsidR="00EE4FC3">
        <w:t xml:space="preserve"> </w:t>
      </w:r>
      <w:r w:rsidRPr="00382917">
        <w:t>pen-case,</w:t>
      </w:r>
      <w:r w:rsidR="00EE4FC3">
        <w:t xml:space="preserve"> </w:t>
      </w:r>
      <w:r w:rsidRPr="00382917">
        <w:t>His</w:t>
      </w:r>
      <w:r w:rsidR="00EE4FC3">
        <w:t xml:space="preserve"> </w:t>
      </w:r>
      <w:r w:rsidRPr="00382917">
        <w:t>seals,</w:t>
      </w:r>
      <w:r w:rsidR="00EE4FC3">
        <w:t xml:space="preserve"> </w:t>
      </w:r>
      <w:r w:rsidRPr="00382917">
        <w:t>and</w:t>
      </w:r>
      <w:r w:rsidR="00EE4FC3">
        <w:t xml:space="preserve"> </w:t>
      </w:r>
      <w:r w:rsidRPr="00382917">
        <w:t>His</w:t>
      </w:r>
      <w:r w:rsidR="00EE4FC3">
        <w:t xml:space="preserve"> </w:t>
      </w:r>
      <w:r w:rsidRPr="00382917">
        <w:t>rings</w:t>
      </w:r>
      <w:r w:rsidR="00330AF7">
        <w:t>.</w:t>
      </w:r>
      <w:r w:rsidR="00EE4FC3">
        <w:t xml:space="preserve">  </w:t>
      </w:r>
      <w:r w:rsidRPr="00382917">
        <w:t>He</w:t>
      </w:r>
      <w:r w:rsidR="00EE4FC3">
        <w:t xml:space="preserve"> </w:t>
      </w:r>
      <w:r w:rsidRPr="00382917">
        <w:t>entrusted</w:t>
      </w:r>
      <w:r w:rsidR="00EE4FC3">
        <w:t xml:space="preserve"> </w:t>
      </w:r>
      <w:r w:rsidRPr="00382917">
        <w:t>the</w:t>
      </w:r>
      <w:r w:rsidR="00EE4FC3">
        <w:t xml:space="preserve"> </w:t>
      </w:r>
      <w:r w:rsidRPr="00382917">
        <w:t>box</w:t>
      </w:r>
      <w:r w:rsidR="00EE4FC3">
        <w:t xml:space="preserve"> </w:t>
      </w:r>
      <w:r w:rsidRPr="00382917">
        <w:t>to</w:t>
      </w:r>
      <w:r w:rsidR="00EE4FC3">
        <w:t xml:space="preserve"> </w:t>
      </w:r>
      <w:r w:rsidRPr="00382917">
        <w:t>Mullá</w:t>
      </w:r>
      <w:r w:rsidR="00EE4FC3">
        <w:t xml:space="preserve"> </w:t>
      </w:r>
      <w:r w:rsidRPr="00382917">
        <w:t>Báqir,</w:t>
      </w:r>
      <w:r w:rsidR="00EE4FC3">
        <w:t xml:space="preserve"> </w:t>
      </w:r>
      <w:r w:rsidRPr="00382917">
        <w:t>one</w:t>
      </w:r>
      <w:r w:rsidR="00EE4FC3">
        <w:t xml:space="preserve"> </w:t>
      </w:r>
      <w:r w:rsidRPr="00382917">
        <w:t>of</w:t>
      </w:r>
      <w:r w:rsidR="00EE4FC3">
        <w:t xml:space="preserve"> </w:t>
      </w:r>
      <w:r w:rsidRPr="00382917">
        <w:t>His</w:t>
      </w:r>
      <w:r w:rsidR="00EE4FC3">
        <w:t xml:space="preserve"> </w:t>
      </w:r>
      <w:r w:rsidRPr="00382917">
        <w:t>disciples</w:t>
      </w:r>
      <w:r w:rsidR="00330AF7">
        <w:t>.</w:t>
      </w:r>
      <w:r w:rsidR="00EE4FC3">
        <w:t xml:space="preserve">  </w:t>
      </w:r>
      <w:r w:rsidRPr="00382917">
        <w:t>The</w:t>
      </w:r>
      <w:r w:rsidR="00EE4FC3">
        <w:t xml:space="preserve"> </w:t>
      </w:r>
      <w:r w:rsidRPr="00382917">
        <w:t>Báb</w:t>
      </w:r>
      <w:r w:rsidR="00EE4FC3">
        <w:t xml:space="preserve"> </w:t>
      </w:r>
      <w:r w:rsidRPr="00382917">
        <w:t>also</w:t>
      </w:r>
      <w:r w:rsidR="00EE4FC3">
        <w:t xml:space="preserve"> </w:t>
      </w:r>
      <w:r w:rsidRPr="00382917">
        <w:t>wrote</w:t>
      </w:r>
      <w:r w:rsidR="00EE4FC3">
        <w:t xml:space="preserve"> </w:t>
      </w:r>
      <w:r w:rsidRPr="00382917">
        <w:t>a</w:t>
      </w:r>
      <w:r w:rsidR="00EE4FC3">
        <w:t xml:space="preserve"> </w:t>
      </w:r>
      <w:r w:rsidRPr="00382917">
        <w:t>letter</w:t>
      </w:r>
      <w:r w:rsidR="00EE4FC3">
        <w:t xml:space="preserve"> </w:t>
      </w:r>
      <w:r w:rsidRPr="00382917">
        <w:t>which</w:t>
      </w:r>
      <w:r w:rsidR="00EE4FC3">
        <w:t xml:space="preserve"> </w:t>
      </w:r>
      <w:r w:rsidRPr="00382917">
        <w:t>he</w:t>
      </w:r>
      <w:r w:rsidR="00EE4FC3">
        <w:t xml:space="preserve"> </w:t>
      </w:r>
      <w:r w:rsidRPr="00382917">
        <w:t>addressed</w:t>
      </w:r>
      <w:r w:rsidR="00EE4FC3">
        <w:t xml:space="preserve"> </w:t>
      </w:r>
      <w:r w:rsidRPr="00382917">
        <w:t>to</w:t>
      </w:r>
      <w:r w:rsidR="00EE4FC3">
        <w:t xml:space="preserve"> </w:t>
      </w:r>
      <w:r w:rsidRPr="00382917">
        <w:t>M</w:t>
      </w:r>
      <w:r w:rsidRPr="00382917">
        <w:rPr>
          <w:sz w:val="22"/>
        </w:rPr>
        <w:t>í</w:t>
      </w:r>
      <w:r w:rsidRPr="00382917">
        <w:t>rzá</w:t>
      </w:r>
      <w:r w:rsidR="00EE4FC3">
        <w:t xml:space="preserve"> </w:t>
      </w:r>
      <w:r w:rsidRPr="00382917">
        <w:t>A</w:t>
      </w:r>
      <w:r w:rsidRPr="00382917">
        <w:rPr>
          <w:sz w:val="22"/>
        </w:rPr>
        <w:t>ḥ</w:t>
      </w:r>
      <w:r w:rsidRPr="00382917">
        <w:t>mad,</w:t>
      </w:r>
      <w:r w:rsidR="00EE4FC3">
        <w:t xml:space="preserve"> </w:t>
      </w:r>
      <w:r w:rsidRPr="00382917">
        <w:t>who</w:t>
      </w:r>
      <w:r w:rsidR="00EE4FC3">
        <w:t xml:space="preserve"> </w:t>
      </w:r>
      <w:r w:rsidRPr="00382917">
        <w:t>for</w:t>
      </w:r>
      <w:r w:rsidR="00EE4FC3">
        <w:t xml:space="preserve"> </w:t>
      </w:r>
      <w:r w:rsidRPr="00382917">
        <w:t>a</w:t>
      </w:r>
      <w:r w:rsidR="00EE4FC3">
        <w:t xml:space="preserve"> </w:t>
      </w:r>
      <w:r w:rsidRPr="00382917">
        <w:t>long</w:t>
      </w:r>
      <w:r w:rsidR="00EE4FC3">
        <w:t xml:space="preserve"> </w:t>
      </w:r>
      <w:r w:rsidRPr="00382917">
        <w:t>time</w:t>
      </w:r>
      <w:r w:rsidR="00EE4FC3">
        <w:t xml:space="preserve"> </w:t>
      </w:r>
      <w:r w:rsidRPr="00382917">
        <w:t>had</w:t>
      </w:r>
      <w:r w:rsidR="00EE4FC3">
        <w:t xml:space="preserve"> </w:t>
      </w:r>
      <w:r w:rsidRPr="00382917">
        <w:t>served</w:t>
      </w:r>
      <w:r w:rsidR="00EE4FC3">
        <w:t xml:space="preserve"> </w:t>
      </w:r>
      <w:r w:rsidRPr="00382917">
        <w:t>faithfully</w:t>
      </w:r>
      <w:r w:rsidR="00EE4FC3">
        <w:t xml:space="preserve"> </w:t>
      </w:r>
      <w:r w:rsidRPr="00382917">
        <w:t>as</w:t>
      </w:r>
      <w:r w:rsidR="00EE4FC3">
        <w:t xml:space="preserve"> </w:t>
      </w:r>
      <w:r w:rsidRPr="00382917">
        <w:t>His</w:t>
      </w:r>
      <w:r w:rsidR="00EE4FC3">
        <w:t xml:space="preserve"> </w:t>
      </w:r>
      <w:r w:rsidRPr="00382917">
        <w:t>secretary</w:t>
      </w:r>
      <w:r w:rsidR="00330AF7">
        <w:t>.</w:t>
      </w:r>
      <w:r w:rsidR="00EE4FC3">
        <w:t xml:space="preserve">  </w:t>
      </w:r>
      <w:r w:rsidRPr="00382917">
        <w:t>He</w:t>
      </w:r>
      <w:r w:rsidR="00EE4FC3">
        <w:t xml:space="preserve"> </w:t>
      </w:r>
      <w:r w:rsidRPr="00382917">
        <w:t>put</w:t>
      </w:r>
      <w:r w:rsidR="00EE4FC3">
        <w:t xml:space="preserve"> </w:t>
      </w:r>
      <w:r w:rsidRPr="00382917">
        <w:t>the</w:t>
      </w:r>
      <w:r w:rsidR="00EE4FC3">
        <w:t xml:space="preserve"> </w:t>
      </w:r>
      <w:r w:rsidRPr="00382917">
        <w:t>key</w:t>
      </w:r>
      <w:r w:rsidR="00EE4FC3">
        <w:t xml:space="preserve"> </w:t>
      </w:r>
      <w:r w:rsidRPr="00382917">
        <w:t>to</w:t>
      </w:r>
      <w:r w:rsidR="00EE4FC3">
        <w:t xml:space="preserve"> </w:t>
      </w:r>
      <w:r w:rsidRPr="00382917">
        <w:t>the</w:t>
      </w:r>
      <w:r w:rsidR="00EE4FC3">
        <w:t xml:space="preserve"> </w:t>
      </w:r>
      <w:r w:rsidRPr="00382917">
        <w:t>box</w:t>
      </w:r>
      <w:r w:rsidR="00EE4FC3">
        <w:t xml:space="preserve"> </w:t>
      </w:r>
      <w:r w:rsidRPr="00382917">
        <w:t>in</w:t>
      </w:r>
      <w:r w:rsidR="00EE4FC3">
        <w:t xml:space="preserve"> </w:t>
      </w:r>
      <w:r w:rsidRPr="00382917">
        <w:t>M</w:t>
      </w:r>
      <w:r w:rsidRPr="00382917">
        <w:rPr>
          <w:sz w:val="22"/>
        </w:rPr>
        <w:t>í</w:t>
      </w:r>
      <w:r w:rsidRPr="00382917">
        <w:t>rzá</w:t>
      </w:r>
      <w:r w:rsidR="00EE4FC3">
        <w:t xml:space="preserve"> </w:t>
      </w:r>
      <w:proofErr w:type="spellStart"/>
      <w:r w:rsidRPr="00382917">
        <w:t>Aḥmad</w:t>
      </w:r>
      <w:r w:rsidR="009C713D" w:rsidRPr="00382917">
        <w:t>’</w:t>
      </w:r>
      <w:r w:rsidRPr="00382917">
        <w:t>s</w:t>
      </w:r>
      <w:proofErr w:type="spellEnd"/>
      <w:r w:rsidR="00EE4FC3">
        <w:t xml:space="preserve"> </w:t>
      </w:r>
      <w:r w:rsidRPr="00382917">
        <w:t>letter,</w:t>
      </w:r>
      <w:r w:rsidR="00EE4FC3">
        <w:t xml:space="preserve"> </w:t>
      </w:r>
      <w:r w:rsidRPr="00382917">
        <w:t>and</w:t>
      </w:r>
      <w:r w:rsidR="00EE4FC3">
        <w:t xml:space="preserve"> </w:t>
      </w:r>
      <w:r w:rsidRPr="00382917">
        <w:t>instructed</w:t>
      </w:r>
      <w:r w:rsidR="00EE4FC3">
        <w:t xml:space="preserve"> </w:t>
      </w:r>
      <w:r w:rsidRPr="00382917">
        <w:t>Mullá</w:t>
      </w:r>
      <w:r w:rsidR="00EE4FC3">
        <w:t xml:space="preserve"> </w:t>
      </w:r>
      <w:r w:rsidRPr="00382917">
        <w:t>Báqir</w:t>
      </w:r>
      <w:r w:rsidR="00EE4FC3">
        <w:t xml:space="preserve"> </w:t>
      </w:r>
      <w:r w:rsidRPr="00382917">
        <w:t>to</w:t>
      </w:r>
      <w:r w:rsidR="00EE4FC3">
        <w:t xml:space="preserve"> </w:t>
      </w:r>
      <w:r w:rsidRPr="00382917">
        <w:t>take</w:t>
      </w:r>
      <w:r w:rsidR="00EE4FC3">
        <w:t xml:space="preserve"> </w:t>
      </w:r>
      <w:r w:rsidRPr="00382917">
        <w:t>the</w:t>
      </w:r>
      <w:r w:rsidR="00EE4FC3">
        <w:t xml:space="preserve"> </w:t>
      </w:r>
      <w:r w:rsidRPr="00382917">
        <w:t>utmost</w:t>
      </w:r>
      <w:r w:rsidR="00EE4FC3">
        <w:t xml:space="preserve"> </w:t>
      </w:r>
      <w:r w:rsidRPr="00382917">
        <w:t>care</w:t>
      </w:r>
      <w:r w:rsidR="00EE4FC3">
        <w:t xml:space="preserve"> </w:t>
      </w:r>
      <w:r w:rsidRPr="00382917">
        <w:t>of</w:t>
      </w:r>
      <w:r w:rsidR="00EE4FC3">
        <w:t xml:space="preserve"> </w:t>
      </w:r>
      <w:r w:rsidRPr="00382917">
        <w:t>the</w:t>
      </w:r>
      <w:r w:rsidR="00EE4FC3">
        <w:t xml:space="preserve"> </w:t>
      </w:r>
      <w:r w:rsidRPr="00382917">
        <w:t>box</w:t>
      </w:r>
      <w:r w:rsidR="00EE4FC3">
        <w:t xml:space="preserve"> </w:t>
      </w:r>
      <w:r w:rsidRPr="00382917">
        <w:t>and</w:t>
      </w:r>
      <w:r w:rsidR="00EE4FC3">
        <w:t xml:space="preserve"> </w:t>
      </w:r>
      <w:r w:rsidRPr="00382917">
        <w:t>letter</w:t>
      </w:r>
      <w:r w:rsidR="00330AF7">
        <w:t>.</w:t>
      </w:r>
      <w:r w:rsidR="00EE4FC3">
        <w:t xml:space="preserve">  </w:t>
      </w:r>
      <w:r w:rsidRPr="00382917">
        <w:t>He</w:t>
      </w:r>
      <w:r w:rsidR="00EE4FC3">
        <w:t xml:space="preserve"> </w:t>
      </w:r>
      <w:r w:rsidRPr="00382917">
        <w:t>emphasized</w:t>
      </w:r>
      <w:r w:rsidR="00EE4FC3">
        <w:t xml:space="preserve"> </w:t>
      </w:r>
      <w:r w:rsidRPr="00382917">
        <w:t>the</w:t>
      </w:r>
      <w:r w:rsidR="00EE4FC3">
        <w:t xml:space="preserve"> </w:t>
      </w:r>
      <w:r w:rsidRPr="00382917">
        <w:t>sacred</w:t>
      </w:r>
      <w:r w:rsidR="00EE4FC3">
        <w:t xml:space="preserve"> </w:t>
      </w:r>
      <w:r w:rsidRPr="00382917">
        <w:t>character</w:t>
      </w:r>
      <w:r w:rsidR="00EE4FC3">
        <w:t xml:space="preserve"> </w:t>
      </w:r>
      <w:r w:rsidRPr="00382917">
        <w:t>of</w:t>
      </w:r>
      <w:r w:rsidR="00EE4FC3">
        <w:t xml:space="preserve"> </w:t>
      </w:r>
      <w:r w:rsidRPr="00382917">
        <w:t>the</w:t>
      </w:r>
      <w:r w:rsidR="00EE4FC3">
        <w:t xml:space="preserve"> </w:t>
      </w:r>
      <w:r w:rsidRPr="00382917">
        <w:t>box</w:t>
      </w:r>
      <w:r w:rsidR="00EE4FC3">
        <w:t xml:space="preserve"> </w:t>
      </w:r>
      <w:r w:rsidRPr="00382917">
        <w:t>and</w:t>
      </w:r>
      <w:r w:rsidR="00EE4FC3">
        <w:t xml:space="preserve"> </w:t>
      </w:r>
      <w:r w:rsidRPr="00382917">
        <w:t>told</w:t>
      </w:r>
      <w:r w:rsidR="00EE4FC3">
        <w:t xml:space="preserve"> </w:t>
      </w:r>
      <w:r w:rsidRPr="00382917">
        <w:t>Mullá</w:t>
      </w:r>
      <w:r w:rsidR="00EE4FC3">
        <w:t xml:space="preserve"> </w:t>
      </w:r>
      <w:r w:rsidRPr="00382917">
        <w:t>Báqir</w:t>
      </w:r>
      <w:r w:rsidR="00EE4FC3">
        <w:t xml:space="preserve"> </w:t>
      </w:r>
      <w:r w:rsidRPr="00382917">
        <w:t>to</w:t>
      </w:r>
      <w:r w:rsidR="00EE4FC3">
        <w:t xml:space="preserve"> </w:t>
      </w:r>
      <w:r w:rsidRPr="00382917">
        <w:t>conceal</w:t>
      </w:r>
      <w:r w:rsidR="00EE4FC3">
        <w:t xml:space="preserve"> </w:t>
      </w:r>
      <w:r w:rsidRPr="00382917">
        <w:t>its</w:t>
      </w:r>
      <w:r w:rsidR="00EE4FC3">
        <w:t xml:space="preserve"> </w:t>
      </w:r>
      <w:r w:rsidRPr="00382917">
        <w:t>contents</w:t>
      </w:r>
      <w:r w:rsidR="00EE4FC3">
        <w:t xml:space="preserve"> </w:t>
      </w:r>
      <w:r w:rsidRPr="00382917">
        <w:t>from</w:t>
      </w:r>
      <w:r w:rsidR="00EE4FC3">
        <w:t xml:space="preserve"> </w:t>
      </w:r>
      <w:r w:rsidRPr="00382917">
        <w:t>everyone</w:t>
      </w:r>
      <w:r w:rsidR="00EE4FC3">
        <w:t xml:space="preserve"> </w:t>
      </w:r>
      <w:r w:rsidRPr="00382917">
        <w:t>except</w:t>
      </w:r>
      <w:r w:rsidR="00EE4FC3">
        <w:t xml:space="preserve"> </w:t>
      </w:r>
      <w:r w:rsidRPr="00382917">
        <w:t>M</w:t>
      </w:r>
      <w:r w:rsidRPr="00382917">
        <w:rPr>
          <w:sz w:val="22"/>
        </w:rPr>
        <w:t>í</w:t>
      </w:r>
      <w:r w:rsidRPr="00382917">
        <w:t>rzá</w:t>
      </w:r>
      <w:r w:rsidR="00EE4FC3">
        <w:t xml:space="preserve"> </w:t>
      </w:r>
      <w:r w:rsidRPr="00382917">
        <w:t>A</w:t>
      </w:r>
      <w:r w:rsidRPr="00382917">
        <w:rPr>
          <w:sz w:val="22"/>
        </w:rPr>
        <w:t>ḥ</w:t>
      </w:r>
      <w:r w:rsidRPr="00382917">
        <w:t>mad.</w:t>
      </w:r>
    </w:p>
    <w:p w:rsidR="00582826" w:rsidRPr="00382917" w:rsidRDefault="00582826" w:rsidP="00582826">
      <w:pPr>
        <w:pStyle w:val="Text"/>
      </w:pPr>
      <w:r w:rsidRPr="00382917">
        <w:t>Mullá</w:t>
      </w:r>
      <w:r w:rsidR="00EE4FC3">
        <w:t xml:space="preserve"> </w:t>
      </w:r>
      <w:r w:rsidRPr="00382917">
        <w:t>Báqir</w:t>
      </w:r>
      <w:r w:rsidR="00EE4FC3">
        <w:t xml:space="preserve"> </w:t>
      </w:r>
      <w:r w:rsidRPr="00382917">
        <w:t>found</w:t>
      </w:r>
      <w:r w:rsidR="00EE4FC3">
        <w:t xml:space="preserve"> </w:t>
      </w:r>
      <w:r w:rsidRPr="00382917">
        <w:t>Mírzá</w:t>
      </w:r>
      <w:r w:rsidR="00EE4FC3">
        <w:t xml:space="preserve"> </w:t>
      </w:r>
      <w:r w:rsidRPr="00382917">
        <w:t>Aḥmad</w:t>
      </w:r>
      <w:r w:rsidR="00EE4FC3">
        <w:t xml:space="preserve"> </w:t>
      </w:r>
      <w:r w:rsidRPr="00382917">
        <w:t>in</w:t>
      </w:r>
      <w:r w:rsidR="00EE4FC3">
        <w:t xml:space="preserve"> </w:t>
      </w:r>
      <w:r w:rsidRPr="00382917">
        <w:t>Qum,</w:t>
      </w:r>
      <w:r w:rsidR="00EE4FC3">
        <w:t xml:space="preserve"> </w:t>
      </w:r>
      <w:r w:rsidRPr="00382917">
        <w:t>where</w:t>
      </w:r>
      <w:r w:rsidR="00EE4FC3">
        <w:t xml:space="preserve"> </w:t>
      </w:r>
      <w:r w:rsidRPr="00382917">
        <w:t>he</w:t>
      </w:r>
      <w:r w:rsidR="00EE4FC3">
        <w:t xml:space="preserve"> </w:t>
      </w:r>
      <w:r w:rsidRPr="00382917">
        <w:t>delivered</w:t>
      </w:r>
      <w:r w:rsidR="00EE4FC3">
        <w:t xml:space="preserve"> </w:t>
      </w:r>
      <w:r w:rsidRPr="00382917">
        <w:t>the</w:t>
      </w:r>
      <w:r w:rsidR="00EE4FC3">
        <w:t xml:space="preserve"> </w:t>
      </w:r>
      <w:r w:rsidRPr="00382917">
        <w:t>letter</w:t>
      </w:r>
      <w:r w:rsidR="00EE4FC3">
        <w:t xml:space="preserve"> </w:t>
      </w:r>
      <w:r w:rsidRPr="00382917">
        <w:t>and</w:t>
      </w:r>
      <w:r w:rsidR="00EE4FC3">
        <w:t xml:space="preserve"> </w:t>
      </w:r>
      <w:r w:rsidRPr="00382917">
        <w:t>the</w:t>
      </w:r>
      <w:r w:rsidR="00EE4FC3">
        <w:t xml:space="preserve"> </w:t>
      </w:r>
      <w:r w:rsidRPr="00382917">
        <w:t>box</w:t>
      </w:r>
      <w:r w:rsidR="00EE4FC3">
        <w:t xml:space="preserve"> </w:t>
      </w:r>
      <w:r w:rsidRPr="00382917">
        <w:t>to</w:t>
      </w:r>
      <w:r w:rsidR="00EE4FC3">
        <w:t xml:space="preserve"> </w:t>
      </w:r>
      <w:r w:rsidRPr="00382917">
        <w:t>M</w:t>
      </w:r>
      <w:r w:rsidRPr="00382917">
        <w:rPr>
          <w:sz w:val="22"/>
        </w:rPr>
        <w:t>í</w:t>
      </w:r>
      <w:r w:rsidRPr="00382917">
        <w:t>rzá</w:t>
      </w:r>
      <w:r w:rsidR="00EE4FC3">
        <w:t xml:space="preserve"> </w:t>
      </w:r>
      <w:r w:rsidRPr="00382917">
        <w:t>Aḥmad</w:t>
      </w:r>
      <w:r w:rsidR="00330AF7">
        <w:t>.</w:t>
      </w:r>
      <w:r w:rsidR="00EE4FC3">
        <w:t xml:space="preserve">  </w:t>
      </w:r>
      <w:r w:rsidRPr="00382917">
        <w:t>Mírzá</w:t>
      </w:r>
      <w:r w:rsidR="00EE4FC3">
        <w:t xml:space="preserve"> </w:t>
      </w:r>
      <w:r w:rsidRPr="00382917">
        <w:t>Aḥmad</w:t>
      </w:r>
      <w:r w:rsidR="00EE4FC3">
        <w:t xml:space="preserve"> </w:t>
      </w:r>
      <w:r w:rsidRPr="00382917">
        <w:t>read</w:t>
      </w:r>
      <w:r w:rsidR="00EE4FC3">
        <w:t xml:space="preserve"> </w:t>
      </w:r>
      <w:r w:rsidRPr="00382917">
        <w:t>the</w:t>
      </w:r>
      <w:r w:rsidR="00EE4FC3">
        <w:t xml:space="preserve"> </w:t>
      </w:r>
      <w:r w:rsidRPr="00382917">
        <w:t>letter</w:t>
      </w:r>
      <w:r w:rsidR="00EE4FC3">
        <w:t xml:space="preserve"> </w:t>
      </w:r>
      <w:r w:rsidRPr="00382917">
        <w:t>and</w:t>
      </w:r>
      <w:r w:rsidR="00EE4FC3">
        <w:t xml:space="preserve"> </w:t>
      </w:r>
      <w:r w:rsidRPr="00382917">
        <w:t>was</w:t>
      </w:r>
      <w:r w:rsidR="00EE4FC3">
        <w:t xml:space="preserve"> </w:t>
      </w:r>
      <w:r w:rsidRPr="00382917">
        <w:t>deeply</w:t>
      </w:r>
      <w:r w:rsidR="00EE4FC3">
        <w:t xml:space="preserve"> </w:t>
      </w:r>
      <w:r w:rsidRPr="00382917">
        <w:t>moved</w:t>
      </w:r>
      <w:r w:rsidR="00330AF7">
        <w:t>.</w:t>
      </w:r>
      <w:r w:rsidR="00EE4FC3">
        <w:t xml:space="preserve">  </w:t>
      </w:r>
      <w:r w:rsidRPr="00382917">
        <w:t>He</w:t>
      </w:r>
      <w:r w:rsidR="00EE4FC3">
        <w:t xml:space="preserve"> </w:t>
      </w:r>
      <w:r w:rsidRPr="00382917">
        <w:t>told</w:t>
      </w:r>
      <w:r w:rsidR="00EE4FC3">
        <w:t xml:space="preserve"> </w:t>
      </w:r>
      <w:r w:rsidRPr="00382917">
        <w:t>his</w:t>
      </w:r>
      <w:r w:rsidR="00EE4FC3">
        <w:t xml:space="preserve"> </w:t>
      </w:r>
      <w:r w:rsidRPr="00382917">
        <w:t>friends</w:t>
      </w:r>
      <w:r w:rsidR="00EE4FC3">
        <w:t xml:space="preserve"> </w:t>
      </w:r>
      <w:r w:rsidRPr="00382917">
        <w:t>that</w:t>
      </w:r>
      <w:r w:rsidR="00EE4FC3">
        <w:t xml:space="preserve"> </w:t>
      </w:r>
      <w:r w:rsidRPr="00382917">
        <w:t>he</w:t>
      </w:r>
      <w:r w:rsidR="00EE4FC3">
        <w:t xml:space="preserve"> </w:t>
      </w:r>
      <w:r w:rsidRPr="00382917">
        <w:t>must</w:t>
      </w:r>
      <w:r w:rsidR="00EE4FC3">
        <w:t xml:space="preserve"> </w:t>
      </w:r>
      <w:r w:rsidRPr="00382917">
        <w:t>leave</w:t>
      </w:r>
      <w:r w:rsidR="00EE4FC3">
        <w:t xml:space="preserve"> </w:t>
      </w:r>
      <w:r w:rsidRPr="00382917">
        <w:t>at</w:t>
      </w:r>
      <w:r w:rsidR="00EE4FC3">
        <w:t xml:space="preserve"> </w:t>
      </w:r>
      <w:r w:rsidRPr="00382917">
        <w:t>once</w:t>
      </w:r>
      <w:r w:rsidR="00EE4FC3">
        <w:t xml:space="preserve"> </w:t>
      </w:r>
      <w:r w:rsidRPr="00382917">
        <w:t>for</w:t>
      </w:r>
      <w:r w:rsidR="00EE4FC3">
        <w:t xml:space="preserve"> </w:t>
      </w:r>
      <w:r w:rsidRPr="00382917">
        <w:t>Ṭihrán</w:t>
      </w:r>
      <w:r w:rsidR="00EE4FC3">
        <w:t xml:space="preserve"> </w:t>
      </w:r>
      <w:r w:rsidRPr="00382917">
        <w:t>to</w:t>
      </w:r>
      <w:r w:rsidR="00EE4FC3">
        <w:t xml:space="preserve"> </w:t>
      </w:r>
      <w:r w:rsidRPr="00382917">
        <w:t>deliver</w:t>
      </w:r>
      <w:r w:rsidR="00EE4FC3">
        <w:t xml:space="preserve"> </w:t>
      </w:r>
      <w:r w:rsidRPr="00382917">
        <w:t>his</w:t>
      </w:r>
      <w:r w:rsidR="00EE4FC3">
        <w:t xml:space="preserve"> </w:t>
      </w:r>
      <w:r w:rsidRPr="00382917">
        <w:t>trust</w:t>
      </w:r>
      <w:r w:rsidR="00330AF7">
        <w:t>.</w:t>
      </w:r>
      <w:r w:rsidR="00EE4FC3">
        <w:t xml:space="preserve">  </w:t>
      </w:r>
      <w:r w:rsidRPr="00382917">
        <w:t>They</w:t>
      </w:r>
      <w:r w:rsidR="00EE4FC3">
        <w:t xml:space="preserve"> </w:t>
      </w:r>
      <w:r w:rsidRPr="00382917">
        <w:t>all</w:t>
      </w:r>
      <w:r w:rsidR="00EE4FC3">
        <w:t xml:space="preserve"> </w:t>
      </w:r>
      <w:r w:rsidRPr="00382917">
        <w:t>feared</w:t>
      </w:r>
      <w:r w:rsidR="00EE4FC3">
        <w:t xml:space="preserve"> </w:t>
      </w:r>
      <w:r w:rsidRPr="00382917">
        <w:t>that</w:t>
      </w:r>
      <w:r w:rsidR="00EE4FC3">
        <w:t xml:space="preserve"> </w:t>
      </w:r>
      <w:r w:rsidRPr="00382917">
        <w:t>the</w:t>
      </w:r>
      <w:r w:rsidR="00EE4FC3">
        <w:t xml:space="preserve"> </w:t>
      </w:r>
      <w:r w:rsidRPr="00382917">
        <w:t>end</w:t>
      </w:r>
      <w:r w:rsidR="00EE4FC3">
        <w:t xml:space="preserve"> </w:t>
      </w:r>
      <w:r w:rsidRPr="00382917">
        <w:t>of</w:t>
      </w:r>
      <w:r w:rsidR="00EE4FC3">
        <w:t xml:space="preserve"> </w:t>
      </w:r>
      <w:r w:rsidRPr="00382917">
        <w:t>the</w:t>
      </w:r>
      <w:r w:rsidR="00EE4FC3">
        <w:t xml:space="preserve"> </w:t>
      </w:r>
      <w:r w:rsidRPr="00382917">
        <w:t>Báb</w:t>
      </w:r>
      <w:r w:rsidR="009C713D" w:rsidRPr="00382917">
        <w:t>’</w:t>
      </w:r>
      <w:r w:rsidRPr="00382917">
        <w:t>s</w:t>
      </w:r>
      <w:r w:rsidR="00EE4FC3">
        <w:t xml:space="preserve"> </w:t>
      </w:r>
      <w:r w:rsidRPr="00382917">
        <w:t>earthly</w:t>
      </w:r>
      <w:r w:rsidR="00EE4FC3">
        <w:t xml:space="preserve"> </w:t>
      </w:r>
      <w:r w:rsidRPr="00382917">
        <w:t>life</w:t>
      </w:r>
      <w:r w:rsidR="00EE4FC3">
        <w:t xml:space="preserve"> </w:t>
      </w:r>
      <w:r w:rsidRPr="00382917">
        <w:t>was</w:t>
      </w:r>
      <w:r w:rsidR="00EE4FC3">
        <w:t xml:space="preserve"> </w:t>
      </w:r>
      <w:r w:rsidRPr="00382917">
        <w:t>nearing,</w:t>
      </w:r>
      <w:r w:rsidR="00EE4FC3">
        <w:t xml:space="preserve"> </w:t>
      </w:r>
      <w:r w:rsidRPr="00382917">
        <w:t>and</w:t>
      </w:r>
      <w:r w:rsidR="00EE4FC3">
        <w:t xml:space="preserve"> </w:t>
      </w:r>
      <w:r w:rsidRPr="00382917">
        <w:t>they</w:t>
      </w:r>
      <w:r w:rsidR="00EE4FC3">
        <w:t xml:space="preserve"> </w:t>
      </w:r>
      <w:r w:rsidRPr="00382917">
        <w:t>were</w:t>
      </w:r>
      <w:r w:rsidR="00EE4FC3">
        <w:t xml:space="preserve"> </w:t>
      </w:r>
      <w:r w:rsidRPr="00382917">
        <w:t>eager</w:t>
      </w:r>
      <w:r w:rsidR="00EE4FC3">
        <w:t xml:space="preserve"> </w:t>
      </w:r>
      <w:r w:rsidRPr="00382917">
        <w:t>to</w:t>
      </w:r>
      <w:r w:rsidR="00EE4FC3">
        <w:t xml:space="preserve"> </w:t>
      </w:r>
      <w:r w:rsidRPr="00382917">
        <w:t>know</w:t>
      </w:r>
      <w:r w:rsidR="00EE4FC3">
        <w:t xml:space="preserve"> </w:t>
      </w:r>
      <w:r w:rsidRPr="00382917">
        <w:t>what</w:t>
      </w:r>
      <w:r w:rsidR="00EE4FC3">
        <w:t xml:space="preserve"> </w:t>
      </w:r>
      <w:r w:rsidRPr="00382917">
        <w:t>was</w:t>
      </w:r>
      <w:r w:rsidR="00EE4FC3">
        <w:t xml:space="preserve"> </w:t>
      </w:r>
      <w:r w:rsidRPr="00382917">
        <w:t>in</w:t>
      </w:r>
      <w:r w:rsidR="00EE4FC3">
        <w:t xml:space="preserve"> </w:t>
      </w:r>
      <w:r w:rsidRPr="00382917">
        <w:t>that</w:t>
      </w:r>
      <w:r w:rsidR="00EE4FC3">
        <w:t xml:space="preserve"> </w:t>
      </w:r>
      <w:r w:rsidRPr="00382917">
        <w:t>treasured</w:t>
      </w:r>
      <w:r w:rsidR="00EE4FC3">
        <w:t xml:space="preserve"> </w:t>
      </w:r>
      <w:r w:rsidRPr="00382917">
        <w:t>box</w:t>
      </w:r>
      <w:r w:rsidR="00330AF7">
        <w:t>.</w:t>
      </w:r>
      <w:r w:rsidR="00EE4FC3">
        <w:t xml:space="preserve">  </w:t>
      </w:r>
      <w:r w:rsidRPr="00382917">
        <w:t>They</w:t>
      </w:r>
      <w:r w:rsidR="00EE4FC3">
        <w:t xml:space="preserve"> </w:t>
      </w:r>
      <w:r w:rsidRPr="00382917">
        <w:t>overwhelmed</w:t>
      </w:r>
      <w:r w:rsidR="00EE4FC3">
        <w:t xml:space="preserve"> </w:t>
      </w:r>
      <w:r w:rsidRPr="00382917">
        <w:t>Mírzá</w:t>
      </w:r>
      <w:r w:rsidR="00EE4FC3">
        <w:t xml:space="preserve"> </w:t>
      </w:r>
      <w:r w:rsidRPr="00382917">
        <w:t>Aḥmad</w:t>
      </w:r>
      <w:r w:rsidR="00EE4FC3">
        <w:t xml:space="preserve"> </w:t>
      </w:r>
      <w:r w:rsidRPr="00382917">
        <w:t>with</w:t>
      </w:r>
      <w:r w:rsidR="00EE4FC3">
        <w:t xml:space="preserve"> </w:t>
      </w:r>
      <w:r w:rsidRPr="00382917">
        <w:t>their</w:t>
      </w:r>
      <w:r w:rsidR="00EE4FC3">
        <w:t xml:space="preserve"> </w:t>
      </w:r>
      <w:r w:rsidRPr="00382917">
        <w:t>entreaties</w:t>
      </w:r>
      <w:r w:rsidR="00EE4FC3">
        <w:t xml:space="preserve"> </w:t>
      </w:r>
      <w:r w:rsidRPr="00382917">
        <w:t>until</w:t>
      </w:r>
      <w:r w:rsidR="00EE4FC3">
        <w:t xml:space="preserve"> </w:t>
      </w:r>
      <w:r w:rsidRPr="00382917">
        <w:t>he</w:t>
      </w:r>
      <w:r w:rsidR="00EE4FC3">
        <w:t xml:space="preserve"> </w:t>
      </w:r>
      <w:r w:rsidRPr="00382917">
        <w:t>agreed</w:t>
      </w:r>
      <w:r w:rsidR="00EE4FC3">
        <w:t xml:space="preserve"> </w:t>
      </w:r>
      <w:r w:rsidRPr="00382917">
        <w:t>to</w:t>
      </w:r>
      <w:r w:rsidR="00EE4FC3">
        <w:t xml:space="preserve"> </w:t>
      </w:r>
      <w:r w:rsidRPr="00382917">
        <w:t>disclose</w:t>
      </w:r>
      <w:r w:rsidR="00EE4FC3">
        <w:t xml:space="preserve"> </w:t>
      </w:r>
      <w:r w:rsidRPr="00382917">
        <w:t>a</w:t>
      </w:r>
      <w:r w:rsidR="00EE4FC3">
        <w:t xml:space="preserve"> </w:t>
      </w:r>
      <w:r w:rsidRPr="00382917">
        <w:t>little</w:t>
      </w:r>
      <w:r w:rsidR="00EE4FC3">
        <w:t xml:space="preserve"> </w:t>
      </w:r>
      <w:r w:rsidRPr="00382917">
        <w:t>something</w:t>
      </w:r>
    </w:p>
    <w:p w:rsidR="00582826" w:rsidRPr="00382917" w:rsidRDefault="00582826">
      <w:pPr>
        <w:widowControl/>
        <w:kinsoku/>
        <w:overflowPunct/>
        <w:textAlignment w:val="auto"/>
      </w:pPr>
      <w:r w:rsidRPr="00382917">
        <w:br w:type="page"/>
      </w:r>
    </w:p>
    <w:p w:rsidR="00582826" w:rsidRPr="00382917" w:rsidRDefault="00582826" w:rsidP="00582826">
      <w:pPr>
        <w:pStyle w:val="Textcts"/>
      </w:pPr>
      <w:proofErr w:type="gramStart"/>
      <w:r w:rsidRPr="00382917">
        <w:t>of</w:t>
      </w:r>
      <w:proofErr w:type="gramEnd"/>
      <w:r w:rsidR="00EE4FC3">
        <w:t xml:space="preserve"> </w:t>
      </w:r>
      <w:r w:rsidRPr="00382917">
        <w:t>what</w:t>
      </w:r>
      <w:r w:rsidR="00EE4FC3">
        <w:t xml:space="preserve"> </w:t>
      </w:r>
      <w:r w:rsidRPr="00382917">
        <w:t>it</w:t>
      </w:r>
      <w:r w:rsidR="00EE4FC3">
        <w:t xml:space="preserve"> </w:t>
      </w:r>
      <w:r w:rsidRPr="00382917">
        <w:t>contained</w:t>
      </w:r>
      <w:r w:rsidR="00330AF7">
        <w:t>.</w:t>
      </w:r>
      <w:r w:rsidR="00EE4FC3">
        <w:t xml:space="preserve">  </w:t>
      </w:r>
      <w:r w:rsidRPr="00382917">
        <w:t>Nabíl,</w:t>
      </w:r>
      <w:r w:rsidR="00EE4FC3">
        <w:t xml:space="preserve"> </w:t>
      </w:r>
      <w:r w:rsidRPr="00382917">
        <w:t>the</w:t>
      </w:r>
      <w:r w:rsidR="00EE4FC3">
        <w:t xml:space="preserve"> </w:t>
      </w:r>
      <w:r w:rsidRPr="00382917">
        <w:t>historian,</w:t>
      </w:r>
      <w:r w:rsidR="00EE4FC3">
        <w:t xml:space="preserve"> </w:t>
      </w:r>
      <w:r w:rsidRPr="00382917">
        <w:t>was</w:t>
      </w:r>
      <w:r w:rsidR="00EE4FC3">
        <w:t xml:space="preserve"> </w:t>
      </w:r>
      <w:r w:rsidRPr="00382917">
        <w:t>present</w:t>
      </w:r>
      <w:r w:rsidR="00EE4FC3">
        <w:t xml:space="preserve"> </w:t>
      </w:r>
      <w:r w:rsidRPr="00382917">
        <w:t>at</w:t>
      </w:r>
      <w:r w:rsidR="00EE4FC3">
        <w:t xml:space="preserve"> </w:t>
      </w:r>
      <w:r w:rsidRPr="00382917">
        <w:t>the</w:t>
      </w:r>
      <w:r w:rsidR="00EE4FC3">
        <w:t xml:space="preserve"> </w:t>
      </w:r>
      <w:r w:rsidRPr="00382917">
        <w:t>time</w:t>
      </w:r>
      <w:r w:rsidR="00EE4FC3">
        <w:t xml:space="preserve"> </w:t>
      </w:r>
      <w:r w:rsidRPr="00382917">
        <w:t>Mullá</w:t>
      </w:r>
      <w:r w:rsidR="00EE4FC3">
        <w:t xml:space="preserve"> </w:t>
      </w:r>
      <w:r w:rsidRPr="00382917">
        <w:t>Báqir</w:t>
      </w:r>
      <w:r w:rsidR="00EE4FC3">
        <w:t xml:space="preserve"> </w:t>
      </w:r>
      <w:r w:rsidRPr="00382917">
        <w:t>arrived</w:t>
      </w:r>
      <w:r w:rsidR="00EE4FC3">
        <w:t xml:space="preserve"> </w:t>
      </w:r>
      <w:r w:rsidRPr="00382917">
        <w:t>in</w:t>
      </w:r>
      <w:r w:rsidR="00EE4FC3">
        <w:t xml:space="preserve"> </w:t>
      </w:r>
      <w:r w:rsidRPr="00382917">
        <w:t>Qum</w:t>
      </w:r>
      <w:r w:rsidR="00330AF7">
        <w:t>.</w:t>
      </w:r>
      <w:r w:rsidR="00EE4FC3">
        <w:t xml:space="preserve">  </w:t>
      </w:r>
      <w:r w:rsidRPr="00382917">
        <w:t>He</w:t>
      </w:r>
      <w:r w:rsidR="00EE4FC3">
        <w:t xml:space="preserve"> </w:t>
      </w:r>
      <w:r w:rsidRPr="00382917">
        <w:t>was</w:t>
      </w:r>
      <w:r w:rsidR="00EE4FC3">
        <w:t xml:space="preserve"> </w:t>
      </w:r>
      <w:r w:rsidRPr="00382917">
        <w:t>an</w:t>
      </w:r>
      <w:r w:rsidR="00EE4FC3">
        <w:t xml:space="preserve"> </w:t>
      </w:r>
      <w:r w:rsidRPr="00382917">
        <w:t>eye-witness</w:t>
      </w:r>
      <w:r w:rsidR="00EE4FC3">
        <w:t xml:space="preserve"> </w:t>
      </w:r>
      <w:r w:rsidRPr="00382917">
        <w:t>to</w:t>
      </w:r>
      <w:r w:rsidR="00EE4FC3">
        <w:t xml:space="preserve"> </w:t>
      </w:r>
      <w:r w:rsidRPr="00382917">
        <w:t>the</w:t>
      </w:r>
      <w:r w:rsidR="00EE4FC3">
        <w:t xml:space="preserve"> </w:t>
      </w:r>
      <w:r w:rsidRPr="00382917">
        <w:t>opening</w:t>
      </w:r>
      <w:r w:rsidR="00EE4FC3">
        <w:t xml:space="preserve"> </w:t>
      </w:r>
      <w:r w:rsidRPr="00382917">
        <w:t>of</w:t>
      </w:r>
      <w:r w:rsidR="00EE4FC3">
        <w:t xml:space="preserve"> </w:t>
      </w:r>
      <w:r w:rsidRPr="00382917">
        <w:t>that</w:t>
      </w:r>
      <w:r w:rsidR="00EE4FC3">
        <w:t xml:space="preserve"> </w:t>
      </w:r>
      <w:r w:rsidRPr="00382917">
        <w:t>beautiful</w:t>
      </w:r>
      <w:r w:rsidR="00EE4FC3">
        <w:t xml:space="preserve"> </w:t>
      </w:r>
      <w:r w:rsidRPr="00382917">
        <w:t>box.</w:t>
      </w:r>
    </w:p>
    <w:p w:rsidR="00E13D49" w:rsidRPr="00382917" w:rsidRDefault="009C713D" w:rsidP="003B7C8A">
      <w:pPr>
        <w:pStyle w:val="Text"/>
      </w:pPr>
      <w:r w:rsidRPr="00382917">
        <w:t>“</w:t>
      </w:r>
      <w:r w:rsidR="00582826" w:rsidRPr="00382917">
        <w:t>We</w:t>
      </w:r>
      <w:r w:rsidR="00EE4FC3">
        <w:t xml:space="preserve"> </w:t>
      </w:r>
      <w:proofErr w:type="spellStart"/>
      <w:r w:rsidR="00582826" w:rsidRPr="00382917">
        <w:t>marveled</w:t>
      </w:r>
      <w:proofErr w:type="spellEnd"/>
      <w:r w:rsidR="00EE4FC3">
        <w:t xml:space="preserve"> </w:t>
      </w:r>
      <w:r w:rsidR="00582826" w:rsidRPr="00382917">
        <w:t>when</w:t>
      </w:r>
      <w:r w:rsidR="00EE4FC3">
        <w:t xml:space="preserve"> </w:t>
      </w:r>
      <w:r w:rsidR="00582826" w:rsidRPr="00382917">
        <w:t>we</w:t>
      </w:r>
      <w:r w:rsidR="00EE4FC3">
        <w:t xml:space="preserve"> </w:t>
      </w:r>
      <w:r w:rsidR="00582826" w:rsidRPr="00382917">
        <w:t>beheld,</w:t>
      </w:r>
      <w:r w:rsidR="00EE4FC3">
        <w:t xml:space="preserve"> </w:t>
      </w:r>
      <w:r w:rsidR="00582826" w:rsidRPr="00382917">
        <w:t>among</w:t>
      </w:r>
      <w:r w:rsidR="00EE4FC3">
        <w:t xml:space="preserve"> </w:t>
      </w:r>
      <w:r w:rsidR="00582826" w:rsidRPr="00382917">
        <w:t>the</w:t>
      </w:r>
      <w:r w:rsidR="00EE4FC3">
        <w:t xml:space="preserve"> </w:t>
      </w:r>
      <w:r w:rsidR="00582826" w:rsidRPr="00382917">
        <w:t>things</w:t>
      </w:r>
      <w:r w:rsidR="00EE4FC3">
        <w:t xml:space="preserve"> </w:t>
      </w:r>
      <w:r w:rsidR="00582826" w:rsidRPr="00382917">
        <w:t>which</w:t>
      </w:r>
      <w:r w:rsidR="00EE4FC3">
        <w:t xml:space="preserve"> </w:t>
      </w:r>
      <w:r w:rsidR="00582826" w:rsidRPr="00382917">
        <w:t>that</w:t>
      </w:r>
      <w:r w:rsidR="00EE4FC3">
        <w:t xml:space="preserve"> </w:t>
      </w:r>
      <w:r w:rsidR="00582826" w:rsidRPr="00382917">
        <w:t>box</w:t>
      </w:r>
      <w:r w:rsidR="00EE4FC3">
        <w:t xml:space="preserve"> </w:t>
      </w:r>
      <w:r w:rsidR="00582826" w:rsidRPr="00382917">
        <w:t>contained,</w:t>
      </w:r>
      <w:r w:rsidRPr="00382917">
        <w:t>”</w:t>
      </w:r>
      <w:r w:rsidR="00EE4FC3">
        <w:t xml:space="preserve"> </w:t>
      </w:r>
      <w:r w:rsidR="00582826" w:rsidRPr="00382917">
        <w:t>he</w:t>
      </w:r>
      <w:r w:rsidR="00EE4FC3">
        <w:t xml:space="preserve"> </w:t>
      </w:r>
      <w:r w:rsidR="00582826" w:rsidRPr="00382917">
        <w:t>said,</w:t>
      </w:r>
      <w:r w:rsidR="00EE4FC3">
        <w:t xml:space="preserve"> </w:t>
      </w:r>
      <w:r w:rsidRPr="00382917">
        <w:t>“</w:t>
      </w:r>
      <w:r w:rsidR="00582826" w:rsidRPr="00382917">
        <w:t>a</w:t>
      </w:r>
      <w:r w:rsidR="00EE4FC3">
        <w:t xml:space="preserve"> </w:t>
      </w:r>
      <w:r w:rsidR="00582826" w:rsidRPr="00382917">
        <w:t>scroll</w:t>
      </w:r>
      <w:r w:rsidR="00EE4FC3">
        <w:t xml:space="preserve"> </w:t>
      </w:r>
      <w:r w:rsidR="00582826" w:rsidRPr="00382917">
        <w:t>of</w:t>
      </w:r>
      <w:r w:rsidR="00EE4FC3">
        <w:t xml:space="preserve"> </w:t>
      </w:r>
      <w:r w:rsidR="00582826" w:rsidRPr="00382917">
        <w:t>blue</w:t>
      </w:r>
      <w:r w:rsidR="00EE4FC3">
        <w:t xml:space="preserve"> </w:t>
      </w:r>
      <w:r w:rsidR="00582826" w:rsidRPr="00382917">
        <w:t>paper,</w:t>
      </w:r>
      <w:r w:rsidR="00EE4FC3">
        <w:t xml:space="preserve"> </w:t>
      </w:r>
      <w:r w:rsidR="00582826" w:rsidRPr="00382917">
        <w:t>of</w:t>
      </w:r>
      <w:r w:rsidR="00EE4FC3">
        <w:t xml:space="preserve"> </w:t>
      </w:r>
      <w:r w:rsidR="00582826" w:rsidRPr="00382917">
        <w:t>most</w:t>
      </w:r>
      <w:r w:rsidR="00EE4FC3">
        <w:t xml:space="preserve"> </w:t>
      </w:r>
      <w:r w:rsidR="00582826" w:rsidRPr="00382917">
        <w:t>delicate</w:t>
      </w:r>
      <w:r w:rsidR="00EE4FC3">
        <w:t xml:space="preserve"> </w:t>
      </w:r>
      <w:r w:rsidR="00582826" w:rsidRPr="00382917">
        <w:t>texture,</w:t>
      </w:r>
      <w:r w:rsidR="00EE4FC3">
        <w:t xml:space="preserve"> </w:t>
      </w:r>
      <w:r w:rsidR="00582826" w:rsidRPr="00382917">
        <w:t>on</w:t>
      </w:r>
      <w:r w:rsidR="00EE4FC3">
        <w:t xml:space="preserve"> </w:t>
      </w:r>
      <w:r w:rsidR="00582826" w:rsidRPr="00382917">
        <w:t>which</w:t>
      </w:r>
      <w:r w:rsidR="00EE4FC3">
        <w:t xml:space="preserve"> </w:t>
      </w:r>
      <w:r w:rsidR="00582826" w:rsidRPr="00382917">
        <w:t>the</w:t>
      </w:r>
      <w:r w:rsidR="00EE4FC3">
        <w:t xml:space="preserve"> </w:t>
      </w:r>
      <w:r w:rsidR="00582826" w:rsidRPr="00382917">
        <w:t>Báb,</w:t>
      </w:r>
      <w:r w:rsidR="00EE4FC3">
        <w:t xml:space="preserve"> </w:t>
      </w:r>
      <w:r w:rsidR="00582826" w:rsidRPr="00382917">
        <w:t>in</w:t>
      </w:r>
      <w:r w:rsidR="00EE4FC3">
        <w:t xml:space="preserve"> </w:t>
      </w:r>
      <w:r w:rsidR="00582826" w:rsidRPr="00382917">
        <w:t>His</w:t>
      </w:r>
      <w:r w:rsidR="00EE4FC3">
        <w:t xml:space="preserve"> </w:t>
      </w:r>
      <w:r w:rsidR="00582826" w:rsidRPr="00382917">
        <w:t>own</w:t>
      </w:r>
      <w:r w:rsidR="00EE4FC3">
        <w:t xml:space="preserve"> </w:t>
      </w:r>
      <w:r w:rsidR="00582826" w:rsidRPr="00382917">
        <w:t>exquisite</w:t>
      </w:r>
      <w:r w:rsidR="00EE4FC3">
        <w:t xml:space="preserve"> </w:t>
      </w:r>
      <w:r w:rsidR="00582826" w:rsidRPr="00382917">
        <w:t>handwriting,</w:t>
      </w:r>
      <w:r w:rsidR="00EE4FC3">
        <w:t xml:space="preserve"> </w:t>
      </w:r>
      <w:r w:rsidR="00582826" w:rsidRPr="00382917">
        <w:t>had</w:t>
      </w:r>
      <w:r w:rsidR="00EE4FC3">
        <w:t xml:space="preserve"> </w:t>
      </w:r>
      <w:r w:rsidR="00582826" w:rsidRPr="00382917">
        <w:t>penned,</w:t>
      </w:r>
      <w:r w:rsidR="00EE4FC3">
        <w:t xml:space="preserve"> </w:t>
      </w:r>
      <w:r w:rsidR="00582826" w:rsidRPr="00382917">
        <w:t>in</w:t>
      </w:r>
      <w:r w:rsidR="00EE4FC3">
        <w:t xml:space="preserve"> </w:t>
      </w:r>
      <w:r w:rsidR="00582826" w:rsidRPr="00382917">
        <w:t>the</w:t>
      </w:r>
      <w:r w:rsidR="00EE4FC3">
        <w:t xml:space="preserve"> </w:t>
      </w:r>
      <w:r w:rsidR="00582826" w:rsidRPr="00382917">
        <w:t>form</w:t>
      </w:r>
      <w:r w:rsidR="00EE4FC3">
        <w:t xml:space="preserve"> </w:t>
      </w:r>
      <w:r w:rsidR="00582826" w:rsidRPr="00382917">
        <w:t>of</w:t>
      </w:r>
      <w:r w:rsidR="00EE4FC3">
        <w:t xml:space="preserve"> </w:t>
      </w:r>
      <w:r w:rsidR="00582826" w:rsidRPr="00382917">
        <w:t>a</w:t>
      </w:r>
      <w:r w:rsidR="00EE4FC3">
        <w:t xml:space="preserve"> </w:t>
      </w:r>
      <w:r w:rsidR="00582826" w:rsidRPr="00382917">
        <w:t>pentacle,</w:t>
      </w:r>
      <w:r w:rsidR="00EE4FC3">
        <w:t xml:space="preserve"> </w:t>
      </w:r>
      <w:r w:rsidR="00582826" w:rsidRPr="00382917">
        <w:t>about</w:t>
      </w:r>
      <w:r w:rsidR="00EE4FC3">
        <w:t xml:space="preserve"> </w:t>
      </w:r>
      <w:r w:rsidR="00582826" w:rsidRPr="00382917">
        <w:t>five</w:t>
      </w:r>
      <w:r w:rsidR="00EE4FC3">
        <w:t xml:space="preserve"> </w:t>
      </w:r>
      <w:r w:rsidR="00582826" w:rsidRPr="00382917">
        <w:t>hundred</w:t>
      </w:r>
      <w:r w:rsidR="00EE4FC3">
        <w:t xml:space="preserve"> </w:t>
      </w:r>
      <w:r w:rsidR="00582826" w:rsidRPr="00382917">
        <w:t>verses,</w:t>
      </w:r>
      <w:r w:rsidR="00EE4FC3">
        <w:t xml:space="preserve"> </w:t>
      </w:r>
      <w:r w:rsidR="00582826" w:rsidRPr="00382917">
        <w:t>all</w:t>
      </w:r>
      <w:r w:rsidR="00EE4FC3">
        <w:t xml:space="preserve"> </w:t>
      </w:r>
      <w:r w:rsidR="00582826" w:rsidRPr="00382917">
        <w:t>consisting</w:t>
      </w:r>
      <w:r w:rsidR="00EE4FC3">
        <w:t xml:space="preserve"> </w:t>
      </w:r>
      <w:r w:rsidR="00582826" w:rsidRPr="00382917">
        <w:t>of</w:t>
      </w:r>
      <w:r w:rsidR="00EE4FC3">
        <w:t xml:space="preserve"> </w:t>
      </w:r>
      <w:r w:rsidR="00582826" w:rsidRPr="00382917">
        <w:t>derivatives</w:t>
      </w:r>
      <w:r w:rsidR="00EE4FC3">
        <w:t xml:space="preserve"> </w:t>
      </w:r>
      <w:r w:rsidR="00582826" w:rsidRPr="00382917">
        <w:t>of</w:t>
      </w:r>
      <w:r w:rsidR="00EE4FC3">
        <w:t xml:space="preserve"> </w:t>
      </w:r>
      <w:r w:rsidR="00582826" w:rsidRPr="00382917">
        <w:t>the</w:t>
      </w:r>
      <w:r w:rsidR="00EE4FC3">
        <w:t xml:space="preserve"> </w:t>
      </w:r>
      <w:r w:rsidR="00582826" w:rsidRPr="00382917">
        <w:t>word</w:t>
      </w:r>
      <w:r w:rsidR="00EE4FC3">
        <w:t xml:space="preserve"> </w:t>
      </w:r>
      <w:r w:rsidRPr="00382917">
        <w:t>‘</w:t>
      </w:r>
      <w:r w:rsidR="00582826" w:rsidRPr="00382917">
        <w:t>Bahá.</w:t>
      </w:r>
      <w:r w:rsidRPr="00382917">
        <w:t>”</w:t>
      </w:r>
      <w:r w:rsidR="003B7C8A">
        <w:rPr>
          <w:rStyle w:val="FootnoteReference"/>
        </w:rPr>
        <w:footnoteReference w:id="186"/>
      </w:r>
    </w:p>
    <w:p w:rsidR="00582826" w:rsidRPr="00382917" w:rsidRDefault="00582826" w:rsidP="00582826">
      <w:pPr>
        <w:pStyle w:val="Text"/>
      </w:pPr>
      <w:r w:rsidRPr="00382917">
        <w:t>The</w:t>
      </w:r>
      <w:r w:rsidR="00EE4FC3">
        <w:t xml:space="preserve"> </w:t>
      </w:r>
      <w:r w:rsidRPr="00382917">
        <w:t>sight</w:t>
      </w:r>
      <w:r w:rsidR="00EE4FC3">
        <w:t xml:space="preserve"> </w:t>
      </w:r>
      <w:r w:rsidRPr="00382917">
        <w:t>of</w:t>
      </w:r>
      <w:r w:rsidR="00EE4FC3">
        <w:t xml:space="preserve"> </w:t>
      </w:r>
      <w:r w:rsidRPr="00382917">
        <w:t>this</w:t>
      </w:r>
      <w:r w:rsidR="00EE4FC3">
        <w:t xml:space="preserve"> </w:t>
      </w:r>
      <w:r w:rsidRPr="00382917">
        <w:t>beautiful</w:t>
      </w:r>
      <w:r w:rsidR="00EE4FC3">
        <w:t xml:space="preserve"> </w:t>
      </w:r>
      <w:r w:rsidRPr="00382917">
        <w:t>document</w:t>
      </w:r>
      <w:r w:rsidR="00EE4FC3">
        <w:t xml:space="preserve"> </w:t>
      </w:r>
      <w:r w:rsidRPr="00382917">
        <w:t>caused</w:t>
      </w:r>
      <w:r w:rsidR="00EE4FC3">
        <w:t xml:space="preserve"> </w:t>
      </w:r>
      <w:r w:rsidRPr="00382917">
        <w:t>great</w:t>
      </w:r>
      <w:r w:rsidR="00EE4FC3">
        <w:t xml:space="preserve"> </w:t>
      </w:r>
      <w:r w:rsidRPr="00382917">
        <w:t>excitement</w:t>
      </w:r>
      <w:r w:rsidR="00EE4FC3">
        <w:t xml:space="preserve"> </w:t>
      </w:r>
      <w:r w:rsidRPr="00382917">
        <w:t>among</w:t>
      </w:r>
      <w:r w:rsidR="00EE4FC3">
        <w:t xml:space="preserve"> </w:t>
      </w:r>
      <w:r w:rsidRPr="00382917">
        <w:t>the</w:t>
      </w:r>
      <w:r w:rsidR="00EE4FC3">
        <w:t xml:space="preserve"> </w:t>
      </w:r>
      <w:r w:rsidRPr="00382917">
        <w:t>followers</w:t>
      </w:r>
      <w:r w:rsidR="00EE4FC3">
        <w:t xml:space="preserve"> </w:t>
      </w:r>
      <w:r w:rsidRPr="00382917">
        <w:t>of</w:t>
      </w:r>
      <w:r w:rsidR="00EE4FC3">
        <w:t xml:space="preserve"> </w:t>
      </w:r>
      <w:r w:rsidRPr="00382917">
        <w:t>the</w:t>
      </w:r>
      <w:r w:rsidR="00EE4FC3">
        <w:t xml:space="preserve"> </w:t>
      </w:r>
      <w:r w:rsidRPr="00382917">
        <w:t>Báb</w:t>
      </w:r>
      <w:r w:rsidR="00330AF7">
        <w:t>.</w:t>
      </w:r>
      <w:r w:rsidR="00EE4FC3">
        <w:t xml:space="preserve">  </w:t>
      </w:r>
      <w:r w:rsidRPr="00382917">
        <w:t>They</w:t>
      </w:r>
      <w:r w:rsidR="00EE4FC3">
        <w:t xml:space="preserve"> </w:t>
      </w:r>
      <w:r w:rsidRPr="00382917">
        <w:t>knew</w:t>
      </w:r>
      <w:r w:rsidR="00EE4FC3">
        <w:t xml:space="preserve"> </w:t>
      </w:r>
      <w:r w:rsidRPr="00382917">
        <w:t>how</w:t>
      </w:r>
      <w:r w:rsidR="00EE4FC3">
        <w:t xml:space="preserve"> </w:t>
      </w:r>
      <w:r w:rsidRPr="00382917">
        <w:t>often</w:t>
      </w:r>
      <w:r w:rsidR="00EE4FC3">
        <w:t xml:space="preserve"> </w:t>
      </w:r>
      <w:r w:rsidRPr="00382917">
        <w:t>the</w:t>
      </w:r>
      <w:r w:rsidR="00EE4FC3">
        <w:t xml:space="preserve"> </w:t>
      </w:r>
      <w:r w:rsidRPr="00382917">
        <w:t>Báb</w:t>
      </w:r>
      <w:r w:rsidR="00EE4FC3">
        <w:t xml:space="preserve"> </w:t>
      </w:r>
      <w:r w:rsidRPr="00382917">
        <w:t>had</w:t>
      </w:r>
      <w:r w:rsidR="00EE4FC3">
        <w:t xml:space="preserve"> </w:t>
      </w:r>
      <w:r w:rsidRPr="00382917">
        <w:t>told</w:t>
      </w:r>
      <w:r w:rsidR="00EE4FC3">
        <w:t xml:space="preserve"> </w:t>
      </w:r>
      <w:r w:rsidRPr="00382917">
        <w:t>them</w:t>
      </w:r>
      <w:r w:rsidR="00EE4FC3">
        <w:t xml:space="preserve"> </w:t>
      </w:r>
      <w:r w:rsidRPr="00382917">
        <w:t>to</w:t>
      </w:r>
      <w:r w:rsidR="00EE4FC3">
        <w:t xml:space="preserve"> </w:t>
      </w:r>
      <w:r w:rsidRPr="00382917">
        <w:t>expect</w:t>
      </w:r>
      <w:r w:rsidR="00EE4FC3">
        <w:t xml:space="preserve"> </w:t>
      </w:r>
      <w:proofErr w:type="gramStart"/>
      <w:r w:rsidRPr="00382917">
        <w:t>Someone</w:t>
      </w:r>
      <w:proofErr w:type="gramEnd"/>
      <w:r w:rsidR="00EE4FC3">
        <w:t xml:space="preserve"> </w:t>
      </w:r>
      <w:r w:rsidRPr="00382917">
        <w:t>far</w:t>
      </w:r>
      <w:r w:rsidR="00EE4FC3">
        <w:t xml:space="preserve"> </w:t>
      </w:r>
      <w:r w:rsidRPr="00382917">
        <w:t>greater</w:t>
      </w:r>
      <w:r w:rsidR="00EE4FC3">
        <w:t xml:space="preserve"> </w:t>
      </w:r>
      <w:r w:rsidRPr="00382917">
        <w:t>than</w:t>
      </w:r>
      <w:r w:rsidR="00EE4FC3">
        <w:t xml:space="preserve"> </w:t>
      </w:r>
      <w:r w:rsidRPr="00382917">
        <w:t>Himself</w:t>
      </w:r>
      <w:r w:rsidR="00EE4FC3">
        <w:t xml:space="preserve"> </w:t>
      </w:r>
      <w:r w:rsidRPr="00382917">
        <w:t>soon</w:t>
      </w:r>
      <w:r w:rsidR="00EE4FC3">
        <w:t xml:space="preserve"> </w:t>
      </w:r>
      <w:r w:rsidRPr="00382917">
        <w:t>after</w:t>
      </w:r>
      <w:r w:rsidR="00EE4FC3">
        <w:t xml:space="preserve"> </w:t>
      </w:r>
      <w:r w:rsidRPr="00382917">
        <w:t>His</w:t>
      </w:r>
      <w:r w:rsidR="00EE4FC3">
        <w:t xml:space="preserve"> </w:t>
      </w:r>
      <w:r w:rsidRPr="00382917">
        <w:t>passing</w:t>
      </w:r>
      <w:r w:rsidR="00330AF7">
        <w:t>.</w:t>
      </w:r>
      <w:r w:rsidR="00EE4FC3">
        <w:t xml:space="preserve">  </w:t>
      </w:r>
      <w:r w:rsidRPr="00382917">
        <w:t>Was</w:t>
      </w:r>
      <w:r w:rsidR="00EE4FC3">
        <w:t xml:space="preserve"> </w:t>
      </w:r>
      <w:r w:rsidRPr="00382917">
        <w:t>the</w:t>
      </w:r>
      <w:r w:rsidR="00EE4FC3">
        <w:t xml:space="preserve"> </w:t>
      </w:r>
      <w:r w:rsidRPr="00382917">
        <w:t>praise</w:t>
      </w:r>
      <w:r w:rsidR="00EE4FC3">
        <w:t xml:space="preserve"> </w:t>
      </w:r>
      <w:r w:rsidRPr="00382917">
        <w:t>of</w:t>
      </w:r>
      <w:r w:rsidR="00EE4FC3">
        <w:t xml:space="preserve"> </w:t>
      </w:r>
      <w:r w:rsidRPr="00382917">
        <w:t>this</w:t>
      </w:r>
      <w:r w:rsidR="00EE4FC3">
        <w:t xml:space="preserve"> </w:t>
      </w:r>
      <w:r w:rsidRPr="00382917">
        <w:t>name</w:t>
      </w:r>
      <w:r w:rsidR="00EE4FC3">
        <w:t xml:space="preserve"> </w:t>
      </w:r>
      <w:r w:rsidR="009C713D" w:rsidRPr="00382917">
        <w:t>“</w:t>
      </w:r>
      <w:r w:rsidRPr="00382917">
        <w:t>Bahá</w:t>
      </w:r>
      <w:r w:rsidR="009C713D" w:rsidRPr="00382917">
        <w:t>”</w:t>
      </w:r>
      <w:r w:rsidR="00EE4FC3">
        <w:t xml:space="preserve"> </w:t>
      </w:r>
      <w:r w:rsidRPr="00382917">
        <w:t>yet</w:t>
      </w:r>
      <w:r w:rsidR="00EE4FC3">
        <w:t xml:space="preserve"> </w:t>
      </w:r>
      <w:r w:rsidRPr="00382917">
        <w:t>another</w:t>
      </w:r>
      <w:r w:rsidR="00EE4FC3">
        <w:t xml:space="preserve"> </w:t>
      </w:r>
      <w:r w:rsidRPr="00382917">
        <w:t>indication</w:t>
      </w:r>
      <w:r w:rsidR="00EE4FC3">
        <w:t xml:space="preserve"> </w:t>
      </w:r>
      <w:r w:rsidRPr="00382917">
        <w:t>in</w:t>
      </w:r>
      <w:r w:rsidR="00EE4FC3">
        <w:t xml:space="preserve"> </w:t>
      </w:r>
      <w:r w:rsidRPr="00382917">
        <w:t>which</w:t>
      </w:r>
      <w:r w:rsidR="00EE4FC3">
        <w:t xml:space="preserve"> </w:t>
      </w:r>
      <w:r w:rsidRPr="00382917">
        <w:t>direction</w:t>
      </w:r>
      <w:r w:rsidR="00EE4FC3">
        <w:t xml:space="preserve"> </w:t>
      </w:r>
      <w:r w:rsidRPr="00382917">
        <w:t>they</w:t>
      </w:r>
      <w:r w:rsidR="00EE4FC3">
        <w:t xml:space="preserve"> </w:t>
      </w:r>
      <w:r w:rsidRPr="00382917">
        <w:t>must</w:t>
      </w:r>
      <w:r w:rsidR="00EE4FC3">
        <w:t xml:space="preserve"> </w:t>
      </w:r>
      <w:r w:rsidRPr="00382917">
        <w:t>turn</w:t>
      </w:r>
      <w:r w:rsidR="00EE4FC3">
        <w:t xml:space="preserve"> </w:t>
      </w:r>
      <w:r w:rsidRPr="00382917">
        <w:t>their</w:t>
      </w:r>
      <w:r w:rsidR="00EE4FC3">
        <w:t xml:space="preserve"> </w:t>
      </w:r>
      <w:r w:rsidRPr="00382917">
        <w:t>eyes,</w:t>
      </w:r>
      <w:r w:rsidR="00EE4FC3">
        <w:t xml:space="preserve"> </w:t>
      </w:r>
      <w:r w:rsidRPr="00382917">
        <w:t>they</w:t>
      </w:r>
      <w:r w:rsidR="00EE4FC3">
        <w:t xml:space="preserve"> </w:t>
      </w:r>
      <w:r w:rsidRPr="00382917">
        <w:t>asked</w:t>
      </w:r>
      <w:r w:rsidR="00EE4FC3">
        <w:t xml:space="preserve"> </w:t>
      </w:r>
      <w:r w:rsidRPr="00382917">
        <w:t>each</w:t>
      </w:r>
      <w:r w:rsidR="00EE4FC3">
        <w:t xml:space="preserve"> </w:t>
      </w:r>
      <w:r w:rsidRPr="00382917">
        <w:t>other</w:t>
      </w:r>
      <w:r w:rsidR="00330AF7">
        <w:t>.</w:t>
      </w:r>
      <w:r w:rsidR="00EE4FC3">
        <w:t xml:space="preserve">  </w:t>
      </w:r>
      <w:r w:rsidRPr="00382917">
        <w:t>They</w:t>
      </w:r>
      <w:r w:rsidR="00EE4FC3">
        <w:t xml:space="preserve"> </w:t>
      </w:r>
      <w:r w:rsidRPr="00382917">
        <w:t>knew</w:t>
      </w:r>
      <w:r w:rsidR="00EE4FC3">
        <w:t xml:space="preserve"> </w:t>
      </w:r>
      <w:r w:rsidRPr="00382917">
        <w:t>the</w:t>
      </w:r>
      <w:r w:rsidR="00EE4FC3">
        <w:t xml:space="preserve"> </w:t>
      </w:r>
      <w:r w:rsidRPr="00382917">
        <w:t>word</w:t>
      </w:r>
      <w:r w:rsidR="00EE4FC3">
        <w:t xml:space="preserve"> </w:t>
      </w:r>
      <w:r w:rsidRPr="00382917">
        <w:t>Bahá</w:t>
      </w:r>
      <w:r w:rsidR="00EE4FC3">
        <w:t xml:space="preserve"> </w:t>
      </w:r>
      <w:r w:rsidRPr="00382917">
        <w:t>to</w:t>
      </w:r>
      <w:r w:rsidR="00EE4FC3">
        <w:t xml:space="preserve"> </w:t>
      </w:r>
      <w:r w:rsidRPr="00382917">
        <w:t>be</w:t>
      </w:r>
      <w:r w:rsidR="00EE4FC3">
        <w:t xml:space="preserve"> </w:t>
      </w:r>
      <w:r w:rsidRPr="00382917">
        <w:t>one</w:t>
      </w:r>
      <w:r w:rsidR="00EE4FC3">
        <w:t xml:space="preserve"> </w:t>
      </w:r>
      <w:r w:rsidRPr="00382917">
        <w:t>of</w:t>
      </w:r>
      <w:r w:rsidR="00EE4FC3">
        <w:t xml:space="preserve"> </w:t>
      </w:r>
      <w:r w:rsidRPr="00382917">
        <w:t>the</w:t>
      </w:r>
      <w:r w:rsidR="00EE4FC3">
        <w:t xml:space="preserve"> </w:t>
      </w:r>
      <w:r w:rsidRPr="00382917">
        <w:t>titles</w:t>
      </w:r>
      <w:r w:rsidR="00EE4FC3">
        <w:t xml:space="preserve"> </w:t>
      </w:r>
      <w:r w:rsidRPr="00382917">
        <w:t>of</w:t>
      </w:r>
      <w:r w:rsidR="00EE4FC3">
        <w:t xml:space="preserve"> </w:t>
      </w:r>
      <w:r w:rsidR="00964C11" w:rsidRPr="00382917">
        <w:t>Ḥusayn</w:t>
      </w:r>
      <w:r w:rsidR="00EE4FC3">
        <w:t xml:space="preserve"> </w:t>
      </w:r>
      <w:r w:rsidR="0040329F" w:rsidRPr="00382917">
        <w:t>‘Al</w:t>
      </w:r>
      <w:r w:rsidR="0040329F" w:rsidRPr="0040329F">
        <w:t>í</w:t>
      </w:r>
      <w:r w:rsidRPr="00382917">
        <w:t>,</w:t>
      </w:r>
      <w:r w:rsidR="00EE4FC3">
        <w:t xml:space="preserve"> </w:t>
      </w:r>
      <w:r w:rsidRPr="00382917">
        <w:t>a</w:t>
      </w:r>
      <w:r w:rsidR="00EE4FC3">
        <w:t xml:space="preserve"> </w:t>
      </w:r>
      <w:r w:rsidRPr="00382917">
        <w:t>distinguished</w:t>
      </w:r>
      <w:r w:rsidR="00EE4FC3">
        <w:t xml:space="preserve"> </w:t>
      </w:r>
      <w:r w:rsidRPr="00382917">
        <w:t>nobleman</w:t>
      </w:r>
      <w:r w:rsidR="00EE4FC3">
        <w:t xml:space="preserve"> </w:t>
      </w:r>
      <w:r w:rsidRPr="00382917">
        <w:t>of</w:t>
      </w:r>
      <w:r w:rsidR="00EE4FC3">
        <w:t xml:space="preserve"> </w:t>
      </w:r>
      <w:r w:rsidRPr="00382917">
        <w:t>Ṭihrán,</w:t>
      </w:r>
      <w:r w:rsidR="00EE4FC3">
        <w:t xml:space="preserve"> </w:t>
      </w:r>
      <w:r w:rsidRPr="00382917">
        <w:t>a</w:t>
      </w:r>
      <w:r w:rsidR="00EE4FC3">
        <w:t xml:space="preserve"> </w:t>
      </w:r>
      <w:r w:rsidRPr="00382917">
        <w:t>follower</w:t>
      </w:r>
      <w:r w:rsidR="00EE4FC3">
        <w:t xml:space="preserve"> </w:t>
      </w:r>
      <w:r w:rsidRPr="00382917">
        <w:t>of</w:t>
      </w:r>
      <w:r w:rsidR="00EE4FC3">
        <w:t xml:space="preserve"> </w:t>
      </w:r>
      <w:r w:rsidRPr="00382917">
        <w:t>the</w:t>
      </w:r>
      <w:r w:rsidR="00EE4FC3">
        <w:t xml:space="preserve"> </w:t>
      </w:r>
      <w:r w:rsidRPr="00382917">
        <w:t>Báb</w:t>
      </w:r>
      <w:r w:rsidR="00EE4FC3">
        <w:t xml:space="preserve"> </w:t>
      </w:r>
      <w:r w:rsidRPr="00382917">
        <w:t>at</w:t>
      </w:r>
      <w:r w:rsidR="00EE4FC3">
        <w:t xml:space="preserve"> </w:t>
      </w:r>
      <w:r w:rsidRPr="00382917">
        <w:t>this</w:t>
      </w:r>
      <w:r w:rsidR="00EE4FC3">
        <w:t xml:space="preserve"> </w:t>
      </w:r>
      <w:r w:rsidRPr="00382917">
        <w:t>time,</w:t>
      </w:r>
      <w:r w:rsidR="00EE4FC3">
        <w:t xml:space="preserve"> </w:t>
      </w:r>
      <w:r w:rsidRPr="00382917">
        <w:t>later</w:t>
      </w:r>
      <w:r w:rsidR="00EE4FC3">
        <w:t xml:space="preserve"> </w:t>
      </w:r>
      <w:r w:rsidRPr="00382917">
        <w:t>known</w:t>
      </w:r>
      <w:r w:rsidR="00EE4FC3">
        <w:t xml:space="preserve"> </w:t>
      </w:r>
      <w:r w:rsidRPr="00382917">
        <w:t>as</w:t>
      </w:r>
      <w:r w:rsidR="00EE4FC3">
        <w:t xml:space="preserve"> </w:t>
      </w:r>
      <w:r w:rsidRPr="00382917">
        <w:t>Bahá</w:t>
      </w:r>
      <w:r w:rsidR="009C713D" w:rsidRPr="00382917">
        <w:t>’</w:t>
      </w:r>
      <w:r w:rsidRPr="00382917">
        <w:t>u</w:t>
      </w:r>
      <w:r w:rsidR="009C713D" w:rsidRPr="00382917">
        <w:t>’</w:t>
      </w:r>
      <w:r w:rsidRPr="00382917">
        <w:t>lláh.</w:t>
      </w:r>
    </w:p>
    <w:p w:rsidR="00582826" w:rsidRPr="00382917" w:rsidRDefault="00582826" w:rsidP="007B319A">
      <w:pPr>
        <w:pStyle w:val="Text"/>
      </w:pPr>
      <w:r w:rsidRPr="00382917">
        <w:t>Nabíl</w:t>
      </w:r>
      <w:r w:rsidR="00EE4FC3">
        <w:t xml:space="preserve"> </w:t>
      </w:r>
      <w:r w:rsidRPr="00382917">
        <w:t>continued</w:t>
      </w:r>
      <w:r w:rsidR="00EE4FC3">
        <w:t xml:space="preserve"> </w:t>
      </w:r>
      <w:r w:rsidRPr="00382917">
        <w:t>his</w:t>
      </w:r>
      <w:r w:rsidR="00EE4FC3">
        <w:t xml:space="preserve"> </w:t>
      </w:r>
      <w:r w:rsidRPr="00382917">
        <w:t>account</w:t>
      </w:r>
      <w:r w:rsidR="00C03C91">
        <w:t>:</w:t>
      </w:r>
      <w:r w:rsidR="00EE4FC3">
        <w:t xml:space="preserve">  </w:t>
      </w:r>
      <w:r w:rsidR="009C713D" w:rsidRPr="00382917">
        <w:t>“</w:t>
      </w:r>
      <w:r w:rsidRPr="00382917">
        <w:t>We</w:t>
      </w:r>
      <w:r w:rsidR="00EE4FC3">
        <w:t xml:space="preserve"> </w:t>
      </w:r>
      <w:r w:rsidRPr="00382917">
        <w:t>were</w:t>
      </w:r>
      <w:r w:rsidR="00EE4FC3">
        <w:t xml:space="preserve"> </w:t>
      </w:r>
      <w:r w:rsidRPr="00382917">
        <w:t>overcome</w:t>
      </w:r>
      <w:r w:rsidR="00EE4FC3">
        <w:t xml:space="preserve"> </w:t>
      </w:r>
      <w:r w:rsidRPr="00382917">
        <w:t>with</w:t>
      </w:r>
      <w:r w:rsidR="00EE4FC3">
        <w:t xml:space="preserve"> </w:t>
      </w:r>
      <w:r w:rsidRPr="00382917">
        <w:t>admiration</w:t>
      </w:r>
      <w:r w:rsidR="00EE4FC3">
        <w:t xml:space="preserve"> </w:t>
      </w:r>
      <w:r w:rsidRPr="00382917">
        <w:t>as</w:t>
      </w:r>
      <w:r w:rsidR="00EE4FC3">
        <w:t xml:space="preserve"> </w:t>
      </w:r>
      <w:r w:rsidRPr="00382917">
        <w:t>we</w:t>
      </w:r>
      <w:r w:rsidR="00EE4FC3">
        <w:t xml:space="preserve"> </w:t>
      </w:r>
      <w:r w:rsidRPr="00382917">
        <w:t>gazed</w:t>
      </w:r>
      <w:r w:rsidR="00EE4FC3">
        <w:t xml:space="preserve"> </w:t>
      </w:r>
      <w:r w:rsidRPr="00382917">
        <w:t>upon</w:t>
      </w:r>
      <w:r w:rsidR="00EE4FC3">
        <w:t xml:space="preserve"> </w:t>
      </w:r>
      <w:r w:rsidRPr="00382917">
        <w:t>a</w:t>
      </w:r>
      <w:r w:rsidR="00EE4FC3">
        <w:t xml:space="preserve"> </w:t>
      </w:r>
      <w:r w:rsidRPr="00382917">
        <w:t>masterpiece</w:t>
      </w:r>
      <w:r w:rsidR="00EE4FC3">
        <w:t xml:space="preserve"> </w:t>
      </w:r>
      <w:r w:rsidRPr="00382917">
        <w:t>which</w:t>
      </w:r>
      <w:r w:rsidR="00EE4FC3">
        <w:t xml:space="preserve"> </w:t>
      </w:r>
      <w:r w:rsidRPr="00382917">
        <w:t>no</w:t>
      </w:r>
      <w:r w:rsidR="00EE4FC3">
        <w:t xml:space="preserve"> </w:t>
      </w:r>
      <w:r w:rsidRPr="00382917">
        <w:t>calligraphist,</w:t>
      </w:r>
      <w:r w:rsidR="00EE4FC3">
        <w:t xml:space="preserve"> </w:t>
      </w:r>
      <w:r w:rsidRPr="00382917">
        <w:t>we</w:t>
      </w:r>
      <w:r w:rsidR="00EE4FC3">
        <w:t xml:space="preserve"> </w:t>
      </w:r>
      <w:r w:rsidRPr="00382917">
        <w:t>believed,</w:t>
      </w:r>
      <w:r w:rsidR="00EE4FC3">
        <w:t xml:space="preserve"> </w:t>
      </w:r>
      <w:r w:rsidRPr="00382917">
        <w:t>could</w:t>
      </w:r>
      <w:r w:rsidR="00EE4FC3">
        <w:t xml:space="preserve"> </w:t>
      </w:r>
      <w:r w:rsidRPr="00382917">
        <w:t>rival</w:t>
      </w:r>
      <w:r w:rsidR="00330AF7">
        <w:t>.</w:t>
      </w:r>
      <w:r w:rsidR="00EE4FC3">
        <w:t xml:space="preserve">  </w:t>
      </w:r>
      <w:r w:rsidRPr="00382917">
        <w:t>That</w:t>
      </w:r>
      <w:r w:rsidR="00EE4FC3">
        <w:t xml:space="preserve"> </w:t>
      </w:r>
      <w:r w:rsidRPr="00382917">
        <w:t>scroll</w:t>
      </w:r>
      <w:r w:rsidR="00EE4FC3">
        <w:t xml:space="preserve"> </w:t>
      </w:r>
      <w:r w:rsidRPr="00382917">
        <w:t>was</w:t>
      </w:r>
      <w:r w:rsidR="00EE4FC3">
        <w:t xml:space="preserve"> </w:t>
      </w:r>
      <w:r w:rsidRPr="00382917">
        <w:t>replaced</w:t>
      </w:r>
      <w:r w:rsidR="00EE4FC3">
        <w:t xml:space="preserve"> </w:t>
      </w:r>
      <w:r w:rsidRPr="00382917">
        <w:t>in</w:t>
      </w:r>
      <w:r w:rsidR="00EE4FC3">
        <w:t xml:space="preserve"> </w:t>
      </w:r>
      <w:r w:rsidRPr="00382917">
        <w:t>the</w:t>
      </w:r>
      <w:r w:rsidR="00EE4FC3">
        <w:t xml:space="preserve"> </w:t>
      </w:r>
      <w:r w:rsidRPr="00382917">
        <w:t>box</w:t>
      </w:r>
      <w:r w:rsidR="00EE4FC3">
        <w:t xml:space="preserve"> </w:t>
      </w:r>
      <w:r w:rsidRPr="00382917">
        <w:t>and</w:t>
      </w:r>
      <w:r w:rsidR="00EE4FC3">
        <w:t xml:space="preserve"> </w:t>
      </w:r>
      <w:r w:rsidRPr="00382917">
        <w:t>handed</w:t>
      </w:r>
      <w:r w:rsidR="00EE4FC3">
        <w:t xml:space="preserve"> </w:t>
      </w:r>
      <w:r w:rsidRPr="00382917">
        <w:t>back</w:t>
      </w:r>
      <w:r w:rsidR="00EE4FC3">
        <w:t xml:space="preserve"> </w:t>
      </w:r>
      <w:r w:rsidRPr="00382917">
        <w:t>to</w:t>
      </w:r>
      <w:r w:rsidR="00EE4FC3">
        <w:t xml:space="preserve"> </w:t>
      </w:r>
      <w:r w:rsidR="007B319A" w:rsidRPr="00382917">
        <w:t>Mírzá</w:t>
      </w:r>
      <w:r w:rsidR="00EE4FC3">
        <w:t xml:space="preserve"> </w:t>
      </w:r>
      <w:r w:rsidRPr="00382917">
        <w:t>A</w:t>
      </w:r>
      <w:r w:rsidR="007B319A" w:rsidRPr="00382917">
        <w:t>ḥ</w:t>
      </w:r>
      <w:r w:rsidRPr="00382917">
        <w:t>mad,</w:t>
      </w:r>
      <w:r w:rsidR="00EE4FC3">
        <w:t xml:space="preserve"> </w:t>
      </w:r>
      <w:r w:rsidRPr="00382917">
        <w:t>who,</w:t>
      </w:r>
      <w:r w:rsidR="00EE4FC3">
        <w:t xml:space="preserve"> </w:t>
      </w:r>
      <w:r w:rsidRPr="00382917">
        <w:t>on</w:t>
      </w:r>
      <w:r w:rsidR="00EE4FC3">
        <w:t xml:space="preserve"> </w:t>
      </w:r>
      <w:r w:rsidRPr="00382917">
        <w:t>the</w:t>
      </w:r>
      <w:r w:rsidR="00EE4FC3">
        <w:t xml:space="preserve"> </w:t>
      </w:r>
      <w:r w:rsidRPr="00382917">
        <w:t>very</w:t>
      </w:r>
      <w:r w:rsidR="00EE4FC3">
        <w:t xml:space="preserve"> </w:t>
      </w:r>
      <w:r w:rsidRPr="00382917">
        <w:t>day</w:t>
      </w:r>
      <w:r w:rsidR="00EE4FC3">
        <w:t xml:space="preserve"> </w:t>
      </w:r>
      <w:r w:rsidRPr="00382917">
        <w:t>he</w:t>
      </w:r>
      <w:r w:rsidR="00EE4FC3">
        <w:t xml:space="preserve"> </w:t>
      </w:r>
      <w:r w:rsidRPr="00382917">
        <w:t>received</w:t>
      </w:r>
      <w:r w:rsidR="00EE4FC3">
        <w:t xml:space="preserve"> </w:t>
      </w:r>
      <w:r w:rsidRPr="00382917">
        <w:t>it,</w:t>
      </w:r>
      <w:r w:rsidR="00EE4FC3">
        <w:t xml:space="preserve"> </w:t>
      </w:r>
      <w:r w:rsidRPr="00382917">
        <w:t>proceeded</w:t>
      </w:r>
      <w:r w:rsidR="00EE4FC3">
        <w:t xml:space="preserve"> </w:t>
      </w:r>
      <w:r w:rsidRPr="00382917">
        <w:t>to</w:t>
      </w:r>
      <w:r w:rsidR="00EE4FC3">
        <w:t xml:space="preserve"> </w:t>
      </w:r>
      <w:r w:rsidRPr="00382917">
        <w:t>Ṭihrán</w:t>
      </w:r>
      <w:r w:rsidR="00330AF7">
        <w:t>.</w:t>
      </w:r>
      <w:r w:rsidR="00EE4FC3">
        <w:t xml:space="preserve">  </w:t>
      </w:r>
      <w:r w:rsidRPr="00382917">
        <w:t>Ere</w:t>
      </w:r>
      <w:r w:rsidR="00EE4FC3">
        <w:t xml:space="preserve"> </w:t>
      </w:r>
      <w:r w:rsidRPr="00382917">
        <w:t>he</w:t>
      </w:r>
      <w:r w:rsidR="00EE4FC3">
        <w:t xml:space="preserve"> </w:t>
      </w:r>
      <w:r w:rsidRPr="00382917">
        <w:t>departed,</w:t>
      </w:r>
      <w:r w:rsidR="00EE4FC3">
        <w:t xml:space="preserve"> </w:t>
      </w:r>
      <w:r w:rsidRPr="00382917">
        <w:t>he</w:t>
      </w:r>
      <w:r w:rsidR="00EE4FC3">
        <w:t xml:space="preserve"> </w:t>
      </w:r>
      <w:r w:rsidRPr="00382917">
        <w:t>informed</w:t>
      </w:r>
      <w:r w:rsidR="00EE4FC3">
        <w:t xml:space="preserve"> </w:t>
      </w:r>
      <w:r w:rsidRPr="00382917">
        <w:t>us</w:t>
      </w:r>
      <w:r w:rsidR="00EE4FC3">
        <w:t xml:space="preserve"> </w:t>
      </w:r>
      <w:r w:rsidRPr="00382917">
        <w:t>that</w:t>
      </w:r>
      <w:r w:rsidR="00EE4FC3">
        <w:t xml:space="preserve"> </w:t>
      </w:r>
      <w:r w:rsidRPr="00382917">
        <w:t>all</w:t>
      </w:r>
      <w:r w:rsidR="00EE4FC3">
        <w:t xml:space="preserve"> </w:t>
      </w:r>
      <w:r w:rsidRPr="00382917">
        <w:t>he</w:t>
      </w:r>
      <w:r w:rsidR="00EE4FC3">
        <w:t xml:space="preserve"> </w:t>
      </w:r>
      <w:r w:rsidRPr="00382917">
        <w:t>could</w:t>
      </w:r>
      <w:r w:rsidR="00EE4FC3">
        <w:t xml:space="preserve"> </w:t>
      </w:r>
      <w:r w:rsidRPr="00382917">
        <w:t>divulge</w:t>
      </w:r>
      <w:r w:rsidR="00EE4FC3">
        <w:t xml:space="preserve"> </w:t>
      </w:r>
      <w:r w:rsidRPr="00382917">
        <w:t>of</w:t>
      </w:r>
      <w:r w:rsidR="00EE4FC3">
        <w:t xml:space="preserve"> </w:t>
      </w:r>
      <w:r w:rsidRPr="00382917">
        <w:t>that</w:t>
      </w:r>
      <w:r w:rsidR="00EE4FC3">
        <w:t xml:space="preserve"> </w:t>
      </w:r>
      <w:r w:rsidRPr="00382917">
        <w:t>letter</w:t>
      </w:r>
      <w:r w:rsidR="00EE4FC3">
        <w:t xml:space="preserve"> </w:t>
      </w:r>
      <w:r w:rsidRPr="00382917">
        <w:t>(from</w:t>
      </w:r>
      <w:r w:rsidR="00EE4FC3">
        <w:t xml:space="preserve"> </w:t>
      </w:r>
      <w:r w:rsidRPr="00382917">
        <w:t>the</w:t>
      </w:r>
      <w:r w:rsidR="00EE4FC3">
        <w:t xml:space="preserve"> </w:t>
      </w:r>
      <w:r w:rsidRPr="00382917">
        <w:t>Báb)</w:t>
      </w:r>
      <w:r w:rsidR="00EE4FC3">
        <w:t xml:space="preserve"> </w:t>
      </w:r>
      <w:r w:rsidRPr="00382917">
        <w:t>was</w:t>
      </w:r>
      <w:r w:rsidR="00EE4FC3">
        <w:t xml:space="preserve"> </w:t>
      </w:r>
      <w:r w:rsidRPr="00382917">
        <w:t>the</w:t>
      </w:r>
      <w:r w:rsidR="00EE4FC3">
        <w:t xml:space="preserve"> </w:t>
      </w:r>
      <w:r w:rsidRPr="00382917">
        <w:t>injunction</w:t>
      </w:r>
      <w:r w:rsidR="00EE4FC3">
        <w:t xml:space="preserve"> </w:t>
      </w:r>
      <w:r w:rsidRPr="00382917">
        <w:t>that</w:t>
      </w:r>
      <w:r w:rsidR="00EE4FC3">
        <w:t xml:space="preserve"> </w:t>
      </w:r>
      <w:r w:rsidRPr="00382917">
        <w:t>the</w:t>
      </w:r>
      <w:r w:rsidR="00EE4FC3">
        <w:t xml:space="preserve"> </w:t>
      </w:r>
      <w:r w:rsidRPr="00382917">
        <w:t>trust</w:t>
      </w:r>
      <w:r w:rsidR="00EE4FC3">
        <w:t xml:space="preserve"> </w:t>
      </w:r>
      <w:r w:rsidRPr="00382917">
        <w:t>was</w:t>
      </w:r>
      <w:r w:rsidR="00EE4FC3">
        <w:t xml:space="preserve"> </w:t>
      </w:r>
      <w:r w:rsidRPr="00382917">
        <w:t>to</w:t>
      </w:r>
      <w:r w:rsidR="00EE4FC3">
        <w:t xml:space="preserve"> </w:t>
      </w:r>
      <w:r w:rsidRPr="00382917">
        <w:t>be</w:t>
      </w:r>
      <w:r w:rsidR="00EE4FC3">
        <w:t xml:space="preserve"> </w:t>
      </w:r>
      <w:r w:rsidRPr="00382917">
        <w:t>delivered</w:t>
      </w:r>
      <w:r w:rsidR="00EE4FC3">
        <w:t xml:space="preserve"> </w:t>
      </w:r>
      <w:r w:rsidRPr="00382917">
        <w:t>into</w:t>
      </w:r>
      <w:r w:rsidR="00EE4FC3">
        <w:t xml:space="preserve"> </w:t>
      </w:r>
      <w:r w:rsidRPr="00382917">
        <w:t>the</w:t>
      </w:r>
      <w:r w:rsidR="00EE4FC3">
        <w:t xml:space="preserve"> </w:t>
      </w:r>
      <w:r w:rsidRPr="00382917">
        <w:t>hands</w:t>
      </w:r>
      <w:r w:rsidR="00EE4FC3">
        <w:t xml:space="preserve"> </w:t>
      </w:r>
      <w:r w:rsidRPr="00382917">
        <w:t>of</w:t>
      </w:r>
      <w:r w:rsidR="00EE4FC3">
        <w:t xml:space="preserve"> </w:t>
      </w:r>
      <w:r w:rsidRPr="00382917">
        <w:t>[Bahá</w:t>
      </w:r>
      <w:r w:rsidR="009C713D" w:rsidRPr="00382917">
        <w:t>’</w:t>
      </w:r>
      <w:r w:rsidRPr="00382917">
        <w:t>u</w:t>
      </w:r>
      <w:r w:rsidR="009C713D" w:rsidRPr="00382917">
        <w:t>’</w:t>
      </w:r>
      <w:r w:rsidRPr="00382917">
        <w:t>lláh]</w:t>
      </w:r>
      <w:r w:rsidR="00EE4FC3">
        <w:t xml:space="preserve"> </w:t>
      </w:r>
      <w:r w:rsidRPr="00382917">
        <w:t>in</w:t>
      </w:r>
      <w:r w:rsidR="00EE4FC3">
        <w:t xml:space="preserve"> </w:t>
      </w:r>
      <w:r w:rsidRPr="00382917">
        <w:t>Ṭihrán.</w:t>
      </w:r>
      <w:r w:rsidR="009C713D" w:rsidRPr="00382917">
        <w:t>”</w:t>
      </w:r>
    </w:p>
    <w:p w:rsidR="00582826" w:rsidRPr="00382917" w:rsidRDefault="00582826" w:rsidP="00582826">
      <w:pPr>
        <w:pStyle w:val="Text"/>
      </w:pPr>
      <w:r w:rsidRPr="00382917">
        <w:t>Now</w:t>
      </w:r>
      <w:r w:rsidR="00EE4FC3">
        <w:t xml:space="preserve"> </w:t>
      </w:r>
      <w:r w:rsidRPr="00382917">
        <w:t>that</w:t>
      </w:r>
      <w:r w:rsidR="00EE4FC3">
        <w:t xml:space="preserve"> </w:t>
      </w:r>
      <w:r w:rsidRPr="00382917">
        <w:t>the</w:t>
      </w:r>
      <w:r w:rsidR="00EE4FC3">
        <w:t xml:space="preserve"> </w:t>
      </w:r>
      <w:r w:rsidRPr="00382917">
        <w:t>shadow</w:t>
      </w:r>
      <w:r w:rsidR="00EE4FC3">
        <w:t xml:space="preserve"> </w:t>
      </w:r>
      <w:r w:rsidRPr="00382917">
        <w:t>of</w:t>
      </w:r>
      <w:r w:rsidR="00EE4FC3">
        <w:t xml:space="preserve"> </w:t>
      </w:r>
      <w:r w:rsidRPr="00382917">
        <w:t>death</w:t>
      </w:r>
      <w:r w:rsidR="00EE4FC3">
        <w:t xml:space="preserve"> </w:t>
      </w:r>
      <w:r w:rsidRPr="00382917">
        <w:t>was</w:t>
      </w:r>
      <w:r w:rsidR="00EE4FC3">
        <w:t xml:space="preserve"> </w:t>
      </w:r>
      <w:r w:rsidRPr="00382917">
        <w:t>hovering</w:t>
      </w:r>
      <w:r w:rsidR="00EE4FC3">
        <w:t xml:space="preserve"> </w:t>
      </w:r>
      <w:r w:rsidRPr="00382917">
        <w:t>over</w:t>
      </w:r>
      <w:r w:rsidR="00EE4FC3">
        <w:t xml:space="preserve"> </w:t>
      </w:r>
      <w:r w:rsidRPr="00382917">
        <w:t>Him,</w:t>
      </w:r>
      <w:r w:rsidR="00EE4FC3">
        <w:t xml:space="preserve"> </w:t>
      </w:r>
      <w:r w:rsidRPr="00382917">
        <w:t>the</w:t>
      </w:r>
      <w:r w:rsidR="00EE4FC3">
        <w:t xml:space="preserve"> </w:t>
      </w:r>
      <w:r w:rsidRPr="00382917">
        <w:t>Báb</w:t>
      </w:r>
      <w:r w:rsidR="00EE4FC3">
        <w:t xml:space="preserve"> </w:t>
      </w:r>
      <w:r w:rsidRPr="00382917">
        <w:t>knew</w:t>
      </w:r>
      <w:r w:rsidR="00EE4FC3">
        <w:t xml:space="preserve"> </w:t>
      </w:r>
      <w:r w:rsidRPr="00382917">
        <w:t>He</w:t>
      </w:r>
      <w:r w:rsidR="00EE4FC3">
        <w:t xml:space="preserve"> </w:t>
      </w:r>
      <w:r w:rsidRPr="00382917">
        <w:t>must</w:t>
      </w:r>
      <w:r w:rsidR="00EE4FC3">
        <w:t xml:space="preserve"> </w:t>
      </w:r>
      <w:r w:rsidRPr="00382917">
        <w:t>make</w:t>
      </w:r>
      <w:r w:rsidR="00EE4FC3">
        <w:t xml:space="preserve"> </w:t>
      </w:r>
      <w:r w:rsidRPr="00382917">
        <w:t>clear</w:t>
      </w:r>
      <w:r w:rsidR="00EE4FC3">
        <w:t xml:space="preserve"> </w:t>
      </w:r>
      <w:r w:rsidRPr="00382917">
        <w:t>once</w:t>
      </w:r>
      <w:r w:rsidR="00EE4FC3">
        <w:t xml:space="preserve"> </w:t>
      </w:r>
      <w:r w:rsidRPr="00382917">
        <w:t>and</w:t>
      </w:r>
      <w:r w:rsidR="00EE4FC3">
        <w:t xml:space="preserve"> </w:t>
      </w:r>
      <w:r w:rsidRPr="00382917">
        <w:t>for</w:t>
      </w:r>
      <w:r w:rsidR="00EE4FC3">
        <w:t xml:space="preserve"> </w:t>
      </w:r>
      <w:r w:rsidRPr="00382917">
        <w:t>all</w:t>
      </w:r>
      <w:r w:rsidR="00EE4FC3">
        <w:t xml:space="preserve"> </w:t>
      </w:r>
      <w:r w:rsidRPr="00382917">
        <w:t>the</w:t>
      </w:r>
      <w:r w:rsidR="00EE4FC3">
        <w:t xml:space="preserve"> </w:t>
      </w:r>
      <w:r w:rsidRPr="00382917">
        <w:t>link</w:t>
      </w:r>
      <w:r w:rsidR="00EE4FC3">
        <w:t xml:space="preserve"> </w:t>
      </w:r>
      <w:r w:rsidRPr="00382917">
        <w:t>that</w:t>
      </w:r>
      <w:r w:rsidR="00EE4FC3">
        <w:t xml:space="preserve"> </w:t>
      </w:r>
      <w:r w:rsidRPr="00382917">
        <w:t>bound</w:t>
      </w:r>
      <w:r w:rsidR="00EE4FC3">
        <w:t xml:space="preserve"> </w:t>
      </w:r>
      <w:r w:rsidRPr="00382917">
        <w:t>him</w:t>
      </w:r>
      <w:r w:rsidR="00EE4FC3">
        <w:t xml:space="preserve"> </w:t>
      </w:r>
      <w:r w:rsidRPr="00382917">
        <w:t>to</w:t>
      </w:r>
      <w:r w:rsidR="00EE4FC3">
        <w:t xml:space="preserve"> </w:t>
      </w:r>
      <w:r w:rsidRPr="00382917">
        <w:t>His</w:t>
      </w:r>
      <w:r w:rsidR="00EE4FC3">
        <w:t xml:space="preserve"> </w:t>
      </w:r>
      <w:r w:rsidRPr="00382917">
        <w:t>Successor</w:t>
      </w:r>
      <w:r w:rsidR="00330AF7">
        <w:t>.</w:t>
      </w:r>
      <w:r w:rsidR="00EE4FC3">
        <w:t xml:space="preserve">  </w:t>
      </w:r>
      <w:r w:rsidRPr="00382917">
        <w:t>As</w:t>
      </w:r>
      <w:r w:rsidR="00EE4FC3">
        <w:t xml:space="preserve"> </w:t>
      </w:r>
      <w:r w:rsidRPr="00382917">
        <w:t>disaster</w:t>
      </w:r>
      <w:r w:rsidR="00EE4FC3">
        <w:t xml:space="preserve"> </w:t>
      </w:r>
      <w:r w:rsidRPr="00382917">
        <w:t>struck</w:t>
      </w:r>
      <w:r w:rsidR="00EE4FC3">
        <w:t xml:space="preserve"> </w:t>
      </w:r>
      <w:r w:rsidRPr="00382917">
        <w:t>on</w:t>
      </w:r>
      <w:r w:rsidR="00EE4FC3">
        <w:t xml:space="preserve"> </w:t>
      </w:r>
      <w:r w:rsidRPr="00382917">
        <w:t>all</w:t>
      </w:r>
      <w:r w:rsidR="00EE4FC3">
        <w:t xml:space="preserve"> </w:t>
      </w:r>
      <w:r w:rsidRPr="00382917">
        <w:t>sides,</w:t>
      </w:r>
      <w:r w:rsidR="00EE4FC3">
        <w:t xml:space="preserve"> </w:t>
      </w:r>
      <w:r w:rsidRPr="00382917">
        <w:t>He</w:t>
      </w:r>
      <w:r w:rsidR="00EE4FC3">
        <w:t xml:space="preserve"> </w:t>
      </w:r>
      <w:r w:rsidRPr="00382917">
        <w:t>sought</w:t>
      </w:r>
      <w:r w:rsidR="00EE4FC3">
        <w:t xml:space="preserve"> </w:t>
      </w:r>
      <w:r w:rsidRPr="00382917">
        <w:t>to</w:t>
      </w:r>
      <w:r w:rsidR="00EE4FC3">
        <w:t xml:space="preserve"> </w:t>
      </w:r>
      <w:r w:rsidRPr="00382917">
        <w:t>keep</w:t>
      </w:r>
      <w:r w:rsidR="00EE4FC3">
        <w:t xml:space="preserve"> </w:t>
      </w:r>
      <w:r w:rsidRPr="00382917">
        <w:t>alive</w:t>
      </w:r>
      <w:r w:rsidR="00EE4FC3">
        <w:t xml:space="preserve"> </w:t>
      </w:r>
      <w:r w:rsidRPr="00382917">
        <w:t>the</w:t>
      </w:r>
      <w:r w:rsidR="00EE4FC3">
        <w:t xml:space="preserve"> </w:t>
      </w:r>
      <w:r w:rsidRPr="00382917">
        <w:t>fading</w:t>
      </w:r>
      <w:r w:rsidR="00EE4FC3">
        <w:t xml:space="preserve"> </w:t>
      </w:r>
      <w:r w:rsidRPr="00382917">
        <w:t>hopes</w:t>
      </w:r>
      <w:r w:rsidR="00EE4FC3">
        <w:t xml:space="preserve"> </w:t>
      </w:r>
      <w:r w:rsidRPr="00382917">
        <w:t>of</w:t>
      </w:r>
      <w:r w:rsidR="00EE4FC3">
        <w:t xml:space="preserve"> </w:t>
      </w:r>
      <w:r w:rsidRPr="00382917">
        <w:t>those</w:t>
      </w:r>
      <w:r w:rsidR="00EE4FC3">
        <w:t xml:space="preserve"> </w:t>
      </w:r>
      <w:r w:rsidRPr="00382917">
        <w:t>whom</w:t>
      </w:r>
      <w:r w:rsidR="00EE4FC3">
        <w:t xml:space="preserve"> </w:t>
      </w:r>
      <w:r w:rsidRPr="00382917">
        <w:t>He</w:t>
      </w:r>
      <w:r w:rsidR="00EE4FC3">
        <w:t xml:space="preserve"> </w:t>
      </w:r>
      <w:r w:rsidRPr="00382917">
        <w:t>would</w:t>
      </w:r>
      <w:r w:rsidR="00EE4FC3">
        <w:t xml:space="preserve"> </w:t>
      </w:r>
      <w:r w:rsidRPr="00382917">
        <w:t>soon</w:t>
      </w:r>
      <w:r w:rsidR="00EE4FC3">
        <w:t xml:space="preserve"> </w:t>
      </w:r>
      <w:r w:rsidRPr="00382917">
        <w:t>leave</w:t>
      </w:r>
      <w:r w:rsidR="00EE4FC3">
        <w:t xml:space="preserve"> </w:t>
      </w:r>
      <w:r w:rsidRPr="00382917">
        <w:t>behind.</w:t>
      </w:r>
    </w:p>
    <w:p w:rsidR="00E13D49" w:rsidRPr="00382917" w:rsidRDefault="00582826" w:rsidP="00B036D1">
      <w:pPr>
        <w:pStyle w:val="Text"/>
      </w:pPr>
      <w:r w:rsidRPr="00382917">
        <w:t>From</w:t>
      </w:r>
      <w:r w:rsidR="00EE4FC3">
        <w:t xml:space="preserve"> </w:t>
      </w:r>
      <w:r w:rsidRPr="00382917">
        <w:t>that</w:t>
      </w:r>
      <w:r w:rsidR="00EE4FC3">
        <w:t xml:space="preserve"> </w:t>
      </w:r>
      <w:r w:rsidRPr="00382917">
        <w:t>very</w:t>
      </w:r>
      <w:r w:rsidR="00EE4FC3">
        <w:t xml:space="preserve"> </w:t>
      </w:r>
      <w:r w:rsidRPr="00382917">
        <w:t>first</w:t>
      </w:r>
      <w:r w:rsidR="00EE4FC3">
        <w:t xml:space="preserve"> </w:t>
      </w:r>
      <w:r w:rsidRPr="00382917">
        <w:t>night</w:t>
      </w:r>
      <w:r w:rsidR="00EE4FC3">
        <w:t xml:space="preserve"> </w:t>
      </w:r>
      <w:r w:rsidRPr="00382917">
        <w:t>when</w:t>
      </w:r>
      <w:r w:rsidR="00EE4FC3">
        <w:t xml:space="preserve"> </w:t>
      </w:r>
      <w:r w:rsidRPr="00382917">
        <w:t>he</w:t>
      </w:r>
      <w:r w:rsidR="00EE4FC3">
        <w:t xml:space="preserve"> </w:t>
      </w:r>
      <w:r w:rsidRPr="00382917">
        <w:t>had</w:t>
      </w:r>
      <w:r w:rsidR="00EE4FC3">
        <w:t xml:space="preserve"> </w:t>
      </w:r>
      <w:r w:rsidRPr="00382917">
        <w:t>disclosed</w:t>
      </w:r>
      <w:r w:rsidR="00EE4FC3">
        <w:t xml:space="preserve"> </w:t>
      </w:r>
      <w:r w:rsidRPr="00382917">
        <w:t>His</w:t>
      </w:r>
      <w:r w:rsidR="00EE4FC3">
        <w:t xml:space="preserve"> </w:t>
      </w:r>
      <w:r w:rsidRPr="00382917">
        <w:t>Mission</w:t>
      </w:r>
      <w:r w:rsidR="00EE4FC3">
        <w:t xml:space="preserve"> </w:t>
      </w:r>
      <w:r w:rsidRPr="00382917">
        <w:t>to</w:t>
      </w:r>
      <w:r w:rsidR="00EE4FC3">
        <w:t xml:space="preserve"> </w:t>
      </w:r>
      <w:r w:rsidRPr="00382917">
        <w:t>Mullá</w:t>
      </w:r>
      <w:r w:rsidR="00EE4FC3">
        <w:t xml:space="preserve"> </w:t>
      </w:r>
      <w:r w:rsidR="00964C11" w:rsidRPr="00382917">
        <w:t>Ḥusayn</w:t>
      </w:r>
      <w:r w:rsidRPr="00382917">
        <w:t>,</w:t>
      </w:r>
      <w:r w:rsidR="00EE4FC3">
        <w:t xml:space="preserve"> </w:t>
      </w:r>
      <w:r w:rsidRPr="00382917">
        <w:t>the</w:t>
      </w:r>
      <w:r w:rsidR="00EE4FC3">
        <w:t xml:space="preserve"> </w:t>
      </w:r>
      <w:r w:rsidRPr="00382917">
        <w:t>Báb</w:t>
      </w:r>
      <w:r w:rsidR="00EE4FC3">
        <w:t xml:space="preserve"> </w:t>
      </w:r>
      <w:r w:rsidRPr="00382917">
        <w:t>constantly</w:t>
      </w:r>
      <w:r w:rsidR="00EE4FC3">
        <w:t xml:space="preserve"> </w:t>
      </w:r>
      <w:r w:rsidRPr="00382917">
        <w:t>referred</w:t>
      </w:r>
      <w:r w:rsidR="00EE4FC3">
        <w:t xml:space="preserve"> </w:t>
      </w:r>
      <w:r w:rsidRPr="00382917">
        <w:t>to</w:t>
      </w:r>
      <w:r w:rsidR="00EE4FC3">
        <w:t xml:space="preserve"> </w:t>
      </w:r>
      <w:r w:rsidRPr="00382917">
        <w:t>the</w:t>
      </w:r>
      <w:r w:rsidR="00EE4FC3">
        <w:t xml:space="preserve"> </w:t>
      </w:r>
      <w:r w:rsidRPr="00382917">
        <w:t>One</w:t>
      </w:r>
      <w:r w:rsidR="00EE4FC3">
        <w:t xml:space="preserve"> </w:t>
      </w:r>
      <w:r w:rsidRPr="00382917">
        <w:t>Who</w:t>
      </w:r>
      <w:r w:rsidR="00EE4FC3">
        <w:t xml:space="preserve"> </w:t>
      </w:r>
      <w:r w:rsidRPr="00382917">
        <w:t>would</w:t>
      </w:r>
      <w:r w:rsidR="00EE4FC3">
        <w:t xml:space="preserve"> </w:t>
      </w:r>
      <w:r w:rsidRPr="00382917">
        <w:t>come</w:t>
      </w:r>
      <w:r w:rsidR="00EE4FC3">
        <w:t xml:space="preserve"> </w:t>
      </w:r>
      <w:r w:rsidRPr="00382917">
        <w:t>after</w:t>
      </w:r>
      <w:r w:rsidR="00EE4FC3">
        <w:t xml:space="preserve"> </w:t>
      </w:r>
      <w:r w:rsidRPr="00382917">
        <w:t>Him</w:t>
      </w:r>
      <w:r w:rsidR="00330AF7">
        <w:t>.</w:t>
      </w:r>
      <w:r w:rsidR="00EE4FC3">
        <w:t xml:space="preserve">  </w:t>
      </w:r>
      <w:r w:rsidRPr="00382917">
        <w:t>He</w:t>
      </w:r>
      <w:r w:rsidR="00EE4FC3">
        <w:t xml:space="preserve"> </w:t>
      </w:r>
      <w:r w:rsidRPr="00382917">
        <w:t>alluded</w:t>
      </w:r>
      <w:r w:rsidR="00EE4FC3">
        <w:t xml:space="preserve"> </w:t>
      </w:r>
      <w:r w:rsidRPr="00382917">
        <w:t>to</w:t>
      </w:r>
      <w:r w:rsidR="00EE4FC3">
        <w:t xml:space="preserve"> </w:t>
      </w:r>
      <w:r w:rsidRPr="00382917">
        <w:t>this</w:t>
      </w:r>
      <w:r w:rsidR="00EE4FC3">
        <w:t xml:space="preserve"> </w:t>
      </w:r>
      <w:r w:rsidRPr="00382917">
        <w:t>great</w:t>
      </w:r>
      <w:r w:rsidR="00EE4FC3">
        <w:t xml:space="preserve"> </w:t>
      </w:r>
      <w:r w:rsidRPr="00382917">
        <w:t>event</w:t>
      </w:r>
      <w:r w:rsidR="00EE4FC3">
        <w:t xml:space="preserve"> </w:t>
      </w:r>
      <w:r w:rsidRPr="00382917">
        <w:t>in</w:t>
      </w:r>
      <w:r w:rsidR="00EE4FC3">
        <w:t xml:space="preserve"> </w:t>
      </w:r>
      <w:r w:rsidRPr="00382917">
        <w:t>nearly</w:t>
      </w:r>
      <w:r w:rsidR="00EE4FC3">
        <w:t xml:space="preserve"> </w:t>
      </w:r>
      <w:r w:rsidRPr="00382917">
        <w:t>all</w:t>
      </w:r>
      <w:r w:rsidR="00EE4FC3">
        <w:t xml:space="preserve"> </w:t>
      </w:r>
      <w:r w:rsidRPr="00382917">
        <w:t>of</w:t>
      </w:r>
      <w:r w:rsidR="00EE4FC3">
        <w:t xml:space="preserve"> </w:t>
      </w:r>
      <w:r w:rsidRPr="00382917">
        <w:t>His</w:t>
      </w:r>
      <w:r w:rsidR="00EE4FC3">
        <w:t xml:space="preserve"> </w:t>
      </w:r>
      <w:r w:rsidRPr="00382917">
        <w:t>writings</w:t>
      </w:r>
      <w:r w:rsidR="00330AF7">
        <w:t>.</w:t>
      </w:r>
      <w:r w:rsidR="00EE4FC3">
        <w:t xml:space="preserve">  </w:t>
      </w:r>
      <w:r w:rsidRPr="00382917">
        <w:t>The</w:t>
      </w:r>
      <w:r w:rsidR="00EE4FC3">
        <w:t xml:space="preserve"> </w:t>
      </w:r>
      <w:r w:rsidRPr="00382917">
        <w:t>Báb</w:t>
      </w:r>
      <w:r w:rsidR="00EE4FC3">
        <w:t xml:space="preserve"> </w:t>
      </w:r>
      <w:r w:rsidRPr="00382917">
        <w:t>frequently</w:t>
      </w:r>
      <w:r w:rsidR="00EE4FC3">
        <w:t xml:space="preserve"> </w:t>
      </w:r>
      <w:r w:rsidRPr="00382917">
        <w:t>told</w:t>
      </w:r>
      <w:r w:rsidR="00EE4FC3">
        <w:t xml:space="preserve"> </w:t>
      </w:r>
      <w:r w:rsidRPr="00382917">
        <w:t>His</w:t>
      </w:r>
      <w:r w:rsidR="00EE4FC3">
        <w:t xml:space="preserve"> </w:t>
      </w:r>
      <w:r w:rsidRPr="00382917">
        <w:t>followers</w:t>
      </w:r>
      <w:r w:rsidR="00EE4FC3">
        <w:t xml:space="preserve"> </w:t>
      </w:r>
      <w:r w:rsidRPr="00382917">
        <w:t>that</w:t>
      </w:r>
      <w:r w:rsidR="00EE4FC3">
        <w:t xml:space="preserve"> </w:t>
      </w:r>
      <w:r w:rsidRPr="00382917">
        <w:t>He,</w:t>
      </w:r>
      <w:r w:rsidR="00EE4FC3">
        <w:t xml:space="preserve"> </w:t>
      </w:r>
      <w:r w:rsidRPr="00382917">
        <w:t>Himself,</w:t>
      </w:r>
      <w:r w:rsidR="00EE4FC3">
        <w:t xml:space="preserve"> </w:t>
      </w:r>
      <w:r w:rsidRPr="00382917">
        <w:t>was</w:t>
      </w:r>
      <w:r w:rsidR="00EE4FC3">
        <w:t xml:space="preserve"> </w:t>
      </w:r>
      <w:r w:rsidRPr="00382917">
        <w:t>merely</w:t>
      </w:r>
      <w:r w:rsidR="00EE4FC3">
        <w:t xml:space="preserve"> </w:t>
      </w:r>
      <w:r w:rsidR="009C713D" w:rsidRPr="00382917">
        <w:t>“</w:t>
      </w:r>
      <w:r w:rsidRPr="00382917">
        <w:t>the</w:t>
      </w:r>
      <w:r w:rsidR="00EE4FC3">
        <w:t xml:space="preserve"> </w:t>
      </w:r>
      <w:r w:rsidRPr="00382917">
        <w:t>channel</w:t>
      </w:r>
      <w:r w:rsidR="00EE4FC3">
        <w:t xml:space="preserve"> </w:t>
      </w:r>
      <w:r w:rsidRPr="00382917">
        <w:t>of</w:t>
      </w:r>
      <w:r w:rsidR="00EE4FC3">
        <w:t xml:space="preserve"> </w:t>
      </w:r>
      <w:r w:rsidRPr="00382917">
        <w:t>grace</w:t>
      </w:r>
      <w:r w:rsidR="00EE4FC3">
        <w:t xml:space="preserve"> </w:t>
      </w:r>
      <w:r w:rsidRPr="00382917">
        <w:t>from</w:t>
      </w:r>
      <w:r w:rsidR="00EE4FC3">
        <w:t xml:space="preserve"> </w:t>
      </w:r>
      <w:r w:rsidRPr="00382917">
        <w:t>some</w:t>
      </w:r>
      <w:r w:rsidR="00EE4FC3">
        <w:t xml:space="preserve"> </w:t>
      </w:r>
      <w:r w:rsidRPr="00382917">
        <w:t>great</w:t>
      </w:r>
      <w:r w:rsidR="00EE4FC3">
        <w:t xml:space="preserve"> </w:t>
      </w:r>
      <w:r w:rsidRPr="00382917">
        <w:t>Person</w:t>
      </w:r>
      <w:r w:rsidR="00EE4FC3">
        <w:t xml:space="preserve"> </w:t>
      </w:r>
      <w:r w:rsidRPr="00382917">
        <w:t>still</w:t>
      </w:r>
      <w:r w:rsidR="00EE4FC3">
        <w:t xml:space="preserve"> </w:t>
      </w:r>
      <w:r w:rsidRPr="00382917">
        <w:t>behind</w:t>
      </w:r>
      <w:r w:rsidR="00EE4FC3">
        <w:t xml:space="preserve"> </w:t>
      </w:r>
      <w:r w:rsidRPr="00382917">
        <w:t>the</w:t>
      </w:r>
      <w:r w:rsidR="00EE4FC3">
        <w:t xml:space="preserve"> </w:t>
      </w:r>
      <w:r w:rsidRPr="00382917">
        <w:t>veil</w:t>
      </w:r>
      <w:r w:rsidR="00EE4FC3">
        <w:t xml:space="preserve"> </w:t>
      </w:r>
      <w:r w:rsidRPr="00382917">
        <w:t>of</w:t>
      </w:r>
      <w:r w:rsidR="00EE4FC3">
        <w:t xml:space="preserve"> </w:t>
      </w:r>
      <w:r w:rsidRPr="00382917">
        <w:t>glory.</w:t>
      </w:r>
      <w:r w:rsidR="009C713D" w:rsidRPr="00382917">
        <w:t>”</w:t>
      </w:r>
      <w:r w:rsidR="00B036D1">
        <w:rPr>
          <w:rStyle w:val="FootnoteReference"/>
        </w:rPr>
        <w:footnoteReference w:id="187"/>
      </w:r>
    </w:p>
    <w:p w:rsidR="00582826" w:rsidRPr="00382917" w:rsidRDefault="00582826" w:rsidP="00F64BD2">
      <w:pPr>
        <w:pStyle w:val="Text"/>
      </w:pPr>
      <w:r w:rsidRPr="00382917">
        <w:t>The</w:t>
      </w:r>
      <w:r w:rsidR="00EE4FC3">
        <w:t xml:space="preserve"> </w:t>
      </w:r>
      <w:r w:rsidRPr="00382917">
        <w:t>Báb</w:t>
      </w:r>
      <w:r w:rsidR="00EE4FC3">
        <w:t xml:space="preserve"> </w:t>
      </w:r>
      <w:r w:rsidRPr="00382917">
        <w:t>warned</w:t>
      </w:r>
      <w:r w:rsidR="00EE4FC3">
        <w:t xml:space="preserve"> </w:t>
      </w:r>
      <w:r w:rsidRPr="00382917">
        <w:t>His</w:t>
      </w:r>
      <w:r w:rsidR="00EE4FC3">
        <w:t xml:space="preserve"> </w:t>
      </w:r>
      <w:r w:rsidRPr="00382917">
        <w:t>followers</w:t>
      </w:r>
      <w:r w:rsidR="00EE4FC3">
        <w:t xml:space="preserve"> </w:t>
      </w:r>
      <w:r w:rsidRPr="00382917">
        <w:t>against</w:t>
      </w:r>
      <w:r w:rsidR="00EE4FC3">
        <w:t xml:space="preserve"> </w:t>
      </w:r>
      <w:r w:rsidRPr="00382917">
        <w:t>the</w:t>
      </w:r>
      <w:r w:rsidR="00EE4FC3">
        <w:t xml:space="preserve"> </w:t>
      </w:r>
      <w:r w:rsidRPr="00382917">
        <w:t>mistake</w:t>
      </w:r>
      <w:r w:rsidR="00EE4FC3">
        <w:t xml:space="preserve"> </w:t>
      </w:r>
      <w:r w:rsidRPr="00382917">
        <w:t>made</w:t>
      </w:r>
      <w:r w:rsidR="00EE4FC3">
        <w:t xml:space="preserve"> </w:t>
      </w:r>
      <w:r w:rsidRPr="00382917">
        <w:t>by</w:t>
      </w:r>
      <w:r w:rsidR="00EE4FC3">
        <w:t xml:space="preserve"> </w:t>
      </w:r>
      <w:r w:rsidRPr="00382917">
        <w:t>the</w:t>
      </w:r>
      <w:r w:rsidR="00EE4FC3">
        <w:t xml:space="preserve"> </w:t>
      </w:r>
      <w:r w:rsidRPr="00382917">
        <w:t>Jews</w:t>
      </w:r>
      <w:r w:rsidR="00EE4FC3">
        <w:t xml:space="preserve"> </w:t>
      </w:r>
      <w:r w:rsidRPr="00382917">
        <w:t>in</w:t>
      </w:r>
      <w:r w:rsidR="00EE4FC3">
        <w:t xml:space="preserve"> </w:t>
      </w:r>
      <w:r w:rsidRPr="00382917">
        <w:t>refusing</w:t>
      </w:r>
      <w:r w:rsidR="00EE4FC3">
        <w:t xml:space="preserve"> </w:t>
      </w:r>
      <w:r w:rsidRPr="00382917">
        <w:t>to</w:t>
      </w:r>
      <w:r w:rsidR="00EE4FC3">
        <w:t xml:space="preserve"> </w:t>
      </w:r>
      <w:r w:rsidRPr="00382917">
        <w:t>accept</w:t>
      </w:r>
      <w:r w:rsidR="00EE4FC3">
        <w:t xml:space="preserve"> </w:t>
      </w:r>
      <w:r w:rsidRPr="00382917">
        <w:t>Christ</w:t>
      </w:r>
      <w:r w:rsidR="00EE4FC3">
        <w:t xml:space="preserve"> </w:t>
      </w:r>
      <w:r w:rsidRPr="00382917">
        <w:t>because</w:t>
      </w:r>
      <w:r w:rsidR="00EE4FC3">
        <w:t xml:space="preserve"> </w:t>
      </w:r>
      <w:r w:rsidRPr="00382917">
        <w:t>of</w:t>
      </w:r>
      <w:r w:rsidR="00EE4FC3">
        <w:t xml:space="preserve"> </w:t>
      </w:r>
      <w:r w:rsidRPr="00382917">
        <w:t>the</w:t>
      </w:r>
      <w:r w:rsidR="00EE4FC3">
        <w:t xml:space="preserve"> </w:t>
      </w:r>
      <w:r w:rsidRPr="00382917">
        <w:t>Old</w:t>
      </w:r>
      <w:r w:rsidR="00EE4FC3">
        <w:t xml:space="preserve"> </w:t>
      </w:r>
      <w:r w:rsidRPr="00382917">
        <w:t>Testament,</w:t>
      </w:r>
      <w:r w:rsidR="00F64BD2">
        <w:t xml:space="preserve"> </w:t>
      </w:r>
      <w:r w:rsidRPr="00382917">
        <w:t>the</w:t>
      </w:r>
      <w:r w:rsidR="00EE4FC3">
        <w:t xml:space="preserve"> </w:t>
      </w:r>
      <w:r w:rsidRPr="00382917">
        <w:t>Christians</w:t>
      </w:r>
      <w:r w:rsidR="00EE4FC3">
        <w:t xml:space="preserve"> </w:t>
      </w:r>
      <w:r w:rsidRPr="00382917">
        <w:t>refusing</w:t>
      </w:r>
      <w:r w:rsidR="00EE4FC3">
        <w:t xml:space="preserve"> </w:t>
      </w:r>
      <w:r w:rsidR="0040329F" w:rsidRPr="00382917">
        <w:t>Mu</w:t>
      </w:r>
      <w:r w:rsidR="0040329F" w:rsidRPr="0040329F">
        <w:t>ḥ</w:t>
      </w:r>
      <w:r w:rsidR="0040329F" w:rsidRPr="00382917">
        <w:t>ammad</w:t>
      </w:r>
      <w:r w:rsidR="00EE4FC3">
        <w:t xml:space="preserve"> </w:t>
      </w:r>
      <w:r w:rsidRPr="00382917">
        <w:t>because</w:t>
      </w:r>
      <w:r w:rsidR="00EE4FC3">
        <w:t xml:space="preserve"> </w:t>
      </w:r>
      <w:r w:rsidRPr="00382917">
        <w:t>of</w:t>
      </w:r>
      <w:r w:rsidR="00EE4FC3">
        <w:t xml:space="preserve"> </w:t>
      </w:r>
      <w:r w:rsidRPr="00382917">
        <w:t>the</w:t>
      </w:r>
      <w:r w:rsidR="00EE4FC3">
        <w:t xml:space="preserve"> </w:t>
      </w:r>
      <w:r w:rsidRPr="00382917">
        <w:t>New</w:t>
      </w:r>
      <w:r w:rsidR="00EE4FC3">
        <w:t xml:space="preserve"> </w:t>
      </w:r>
      <w:r w:rsidRPr="00382917">
        <w:t>Testament,</w:t>
      </w:r>
      <w:r w:rsidR="00EE4FC3">
        <w:t xml:space="preserve"> </w:t>
      </w:r>
      <w:r w:rsidRPr="00382917">
        <w:t>and</w:t>
      </w:r>
      <w:r w:rsidR="00EE4FC3">
        <w:t xml:space="preserve"> </w:t>
      </w:r>
      <w:r w:rsidRPr="00382917">
        <w:t>the</w:t>
      </w:r>
      <w:r w:rsidR="00EE4FC3">
        <w:t xml:space="preserve"> </w:t>
      </w:r>
      <w:r w:rsidRPr="00382917">
        <w:t>Moslems</w:t>
      </w:r>
      <w:r w:rsidR="00EE4FC3">
        <w:t xml:space="preserve"> </w:t>
      </w:r>
      <w:r w:rsidRPr="00382917">
        <w:t>denying</w:t>
      </w:r>
      <w:r w:rsidR="00EE4FC3">
        <w:t xml:space="preserve"> </w:t>
      </w:r>
      <w:r w:rsidRPr="00382917">
        <w:t>Himself</w:t>
      </w:r>
      <w:r w:rsidR="00EE4FC3">
        <w:t xml:space="preserve"> </w:t>
      </w:r>
      <w:r w:rsidRPr="00382917">
        <w:t>because</w:t>
      </w:r>
      <w:r w:rsidR="00EE4FC3">
        <w:t xml:space="preserve"> </w:t>
      </w:r>
      <w:r w:rsidRPr="00382917">
        <w:t>of</w:t>
      </w:r>
      <w:r w:rsidR="00EE4FC3">
        <w:t xml:space="preserve"> </w:t>
      </w:r>
      <w:r w:rsidRPr="00382917">
        <w:t>the</w:t>
      </w:r>
      <w:r w:rsidR="00EE4FC3">
        <w:t xml:space="preserve"> </w:t>
      </w:r>
      <w:r w:rsidR="00382917">
        <w:t>Qur’án</w:t>
      </w:r>
      <w:r w:rsidR="00330AF7">
        <w:t>.</w:t>
      </w:r>
      <w:r w:rsidR="00EE4FC3">
        <w:t xml:space="preserve">  </w:t>
      </w:r>
      <w:r w:rsidR="009C713D" w:rsidRPr="00382917">
        <w:t>“</w:t>
      </w:r>
      <w:r w:rsidRPr="00382917">
        <w:t>Beware,</w:t>
      </w:r>
      <w:r w:rsidR="00F64BD2">
        <w:t xml:space="preserve"> </w:t>
      </w:r>
      <w:r w:rsidRPr="00382917">
        <w:t>beware,</w:t>
      </w:r>
      <w:r w:rsidR="009C713D" w:rsidRPr="00382917">
        <w:t>”</w:t>
      </w:r>
      <w:r w:rsidR="00EE4FC3">
        <w:t xml:space="preserve"> </w:t>
      </w:r>
      <w:r w:rsidRPr="00382917">
        <w:t>He</w:t>
      </w:r>
      <w:r w:rsidR="00EE4FC3">
        <w:t xml:space="preserve"> </w:t>
      </w:r>
      <w:r w:rsidRPr="00382917">
        <w:t>cautioned</w:t>
      </w:r>
      <w:r w:rsidR="00EE4FC3">
        <w:t xml:space="preserve"> </w:t>
      </w:r>
      <w:r w:rsidRPr="00382917">
        <w:t>them,</w:t>
      </w:r>
      <w:r w:rsidR="00EE4FC3">
        <w:t xml:space="preserve"> </w:t>
      </w:r>
      <w:r w:rsidR="009C713D" w:rsidRPr="00382917">
        <w:t>“</w:t>
      </w:r>
      <w:r w:rsidRPr="00382917">
        <w:t>that</w:t>
      </w:r>
      <w:r w:rsidR="00EE4FC3">
        <w:t xml:space="preserve"> </w:t>
      </w:r>
      <w:r w:rsidRPr="00382917">
        <w:t>the</w:t>
      </w:r>
      <w:r w:rsidR="00EE4FC3">
        <w:t xml:space="preserve"> </w:t>
      </w:r>
      <w:r w:rsidRPr="00382917">
        <w:t>words</w:t>
      </w:r>
      <w:r w:rsidR="00EE4FC3">
        <w:t xml:space="preserve"> </w:t>
      </w:r>
      <w:r w:rsidRPr="00382917">
        <w:t>sent</w:t>
      </w:r>
      <w:r w:rsidR="00EE4FC3">
        <w:t xml:space="preserve"> </w:t>
      </w:r>
      <w:r w:rsidRPr="00382917">
        <w:t>down</w:t>
      </w:r>
      <w:r w:rsidR="00EE4FC3">
        <w:t xml:space="preserve"> </w:t>
      </w:r>
      <w:r w:rsidRPr="00382917">
        <w:t>in</w:t>
      </w:r>
      <w:r w:rsidR="00EE4FC3">
        <w:t xml:space="preserve"> </w:t>
      </w:r>
      <w:r w:rsidRPr="00382917">
        <w:t>the</w:t>
      </w:r>
      <w:r w:rsidR="00EE4FC3">
        <w:t xml:space="preserve"> </w:t>
      </w:r>
      <w:r w:rsidRPr="00382917">
        <w:t>Bayán</w:t>
      </w:r>
      <w:r w:rsidR="00EE4FC3">
        <w:t xml:space="preserve"> </w:t>
      </w:r>
      <w:r w:rsidRPr="00382917">
        <w:t>[the</w:t>
      </w:r>
      <w:r w:rsidR="00EE4FC3">
        <w:t xml:space="preserve"> </w:t>
      </w:r>
      <w:r w:rsidRPr="00382917">
        <w:t>Báb</w:t>
      </w:r>
      <w:r w:rsidR="009C713D" w:rsidRPr="00382917">
        <w:t>’</w:t>
      </w:r>
      <w:r w:rsidRPr="00382917">
        <w:t>s</w:t>
      </w:r>
      <w:r w:rsidR="00EE4FC3">
        <w:t xml:space="preserve"> </w:t>
      </w:r>
      <w:r w:rsidRPr="00382917">
        <w:t>Book]</w:t>
      </w:r>
      <w:r w:rsidR="00EE4FC3">
        <w:t xml:space="preserve"> </w:t>
      </w:r>
      <w:r w:rsidRPr="00382917">
        <w:t>shut</w:t>
      </w:r>
      <w:r w:rsidR="00EE4FC3">
        <w:t xml:space="preserve"> </w:t>
      </w:r>
      <w:r w:rsidRPr="00382917">
        <w:t>thee</w:t>
      </w:r>
      <w:r w:rsidR="00EE4FC3">
        <w:t xml:space="preserve"> </w:t>
      </w:r>
      <w:r w:rsidRPr="00382917">
        <w:t>not</w:t>
      </w:r>
      <w:r w:rsidR="00EE4FC3">
        <w:t xml:space="preserve"> </w:t>
      </w:r>
      <w:r w:rsidRPr="00382917">
        <w:t>out</w:t>
      </w:r>
      <w:r w:rsidR="00EE4FC3">
        <w:t xml:space="preserve"> </w:t>
      </w:r>
      <w:r w:rsidRPr="00382917">
        <w:t>as</w:t>
      </w:r>
      <w:r w:rsidR="00EE4FC3">
        <w:t xml:space="preserve"> </w:t>
      </w:r>
      <w:r w:rsidRPr="00382917">
        <w:t>by</w:t>
      </w:r>
      <w:r w:rsidR="00EE4FC3">
        <w:t xml:space="preserve"> </w:t>
      </w:r>
      <w:r w:rsidRPr="00382917">
        <w:t>a</w:t>
      </w:r>
      <w:r w:rsidR="00EE4FC3">
        <w:t xml:space="preserve"> </w:t>
      </w:r>
      <w:r w:rsidRPr="00382917">
        <w:t>veil</w:t>
      </w:r>
      <w:r w:rsidR="00EE4FC3">
        <w:t xml:space="preserve"> </w:t>
      </w:r>
      <w:r w:rsidRPr="00382917">
        <w:t>from</w:t>
      </w:r>
      <w:r w:rsidR="00EE4FC3">
        <w:t xml:space="preserve"> </w:t>
      </w:r>
      <w:r w:rsidRPr="00382917">
        <w:t>Him.</w:t>
      </w:r>
      <w:r w:rsidR="009C713D" w:rsidRPr="00382917">
        <w:t>”</w:t>
      </w:r>
    </w:p>
    <w:p w:rsidR="00582826" w:rsidRPr="00382917" w:rsidRDefault="00582826">
      <w:pPr>
        <w:widowControl/>
        <w:kinsoku/>
        <w:overflowPunct/>
        <w:textAlignment w:val="auto"/>
      </w:pPr>
      <w:r w:rsidRPr="00382917">
        <w:br w:type="page"/>
      </w:r>
    </w:p>
    <w:p w:rsidR="00E13D49" w:rsidRPr="00382917" w:rsidRDefault="009C713D" w:rsidP="00F64BD2">
      <w:pPr>
        <w:pStyle w:val="Text"/>
      </w:pPr>
      <w:r w:rsidRPr="00382917">
        <w:t>“</w:t>
      </w:r>
      <w:r w:rsidR="00582826" w:rsidRPr="00382917">
        <w:t>My</w:t>
      </w:r>
      <w:r w:rsidR="00EE4FC3">
        <w:t xml:space="preserve"> </w:t>
      </w:r>
      <w:r w:rsidR="00582826" w:rsidRPr="00382917">
        <w:t>sole</w:t>
      </w:r>
      <w:r w:rsidR="00EE4FC3">
        <w:t xml:space="preserve"> </w:t>
      </w:r>
      <w:r w:rsidR="00582826" w:rsidRPr="00382917">
        <w:t>purpose</w:t>
      </w:r>
      <w:r w:rsidR="00EE4FC3">
        <w:t xml:space="preserve"> </w:t>
      </w:r>
      <w:r w:rsidR="00582826" w:rsidRPr="00382917">
        <w:t>is</w:t>
      </w:r>
      <w:r w:rsidR="00EE4FC3">
        <w:t xml:space="preserve"> </w:t>
      </w:r>
      <w:r w:rsidR="00582826" w:rsidRPr="00382917">
        <w:t>to</w:t>
      </w:r>
      <w:r w:rsidR="00EE4FC3">
        <w:t xml:space="preserve"> </w:t>
      </w:r>
      <w:r w:rsidR="00582826" w:rsidRPr="00382917">
        <w:t>awaken</w:t>
      </w:r>
      <w:r w:rsidR="00EE4FC3">
        <w:t xml:space="preserve"> </w:t>
      </w:r>
      <w:r w:rsidR="00582826" w:rsidRPr="00382917">
        <w:t>you</w:t>
      </w:r>
      <w:r w:rsidR="00EE4FC3">
        <w:t xml:space="preserve"> </w:t>
      </w:r>
      <w:r w:rsidR="00582826" w:rsidRPr="00382917">
        <w:t>to</w:t>
      </w:r>
      <w:r w:rsidR="00EE4FC3">
        <w:t xml:space="preserve"> </w:t>
      </w:r>
      <w:r w:rsidR="00582826" w:rsidRPr="00382917">
        <w:t>the</w:t>
      </w:r>
      <w:r w:rsidR="00EE4FC3">
        <w:t xml:space="preserve"> </w:t>
      </w:r>
      <w:r w:rsidR="00582826" w:rsidRPr="00382917">
        <w:t>coming</w:t>
      </w:r>
      <w:r w:rsidR="00EE4FC3">
        <w:t xml:space="preserve"> </w:t>
      </w:r>
      <w:r w:rsidR="00582826" w:rsidRPr="00382917">
        <w:t>of</w:t>
      </w:r>
      <w:r w:rsidR="00EE4FC3">
        <w:t xml:space="preserve"> </w:t>
      </w:r>
      <w:r w:rsidR="00582826" w:rsidRPr="00382917">
        <w:t>His</w:t>
      </w:r>
      <w:r w:rsidR="00EE4FC3">
        <w:t xml:space="preserve"> </w:t>
      </w:r>
      <w:r w:rsidR="00582826" w:rsidRPr="00382917">
        <w:t>day,</w:t>
      </w:r>
      <w:r w:rsidRPr="00382917">
        <w:t>”</w:t>
      </w:r>
      <w:r w:rsidR="00EE4FC3">
        <w:t xml:space="preserve"> </w:t>
      </w:r>
      <w:r w:rsidR="00582826" w:rsidRPr="00382917">
        <w:t>He</w:t>
      </w:r>
      <w:r w:rsidR="00EE4FC3">
        <w:t xml:space="preserve"> </w:t>
      </w:r>
      <w:r w:rsidR="00582826" w:rsidRPr="00382917">
        <w:t>assured</w:t>
      </w:r>
      <w:r w:rsidR="00EE4FC3">
        <w:t xml:space="preserve"> </w:t>
      </w:r>
      <w:r w:rsidR="00582826" w:rsidRPr="00382917">
        <w:t>them</w:t>
      </w:r>
      <w:r w:rsidR="00EE4FC3">
        <w:t xml:space="preserve"> </w:t>
      </w:r>
      <w:r w:rsidR="00582826" w:rsidRPr="00382917">
        <w:t>on</w:t>
      </w:r>
      <w:r w:rsidR="00EE4FC3">
        <w:t xml:space="preserve"> </w:t>
      </w:r>
      <w:r w:rsidR="00582826" w:rsidRPr="00382917">
        <w:t>yet</w:t>
      </w:r>
      <w:r w:rsidR="00EE4FC3">
        <w:t xml:space="preserve"> </w:t>
      </w:r>
      <w:r w:rsidR="00582826" w:rsidRPr="00382917">
        <w:t>another</w:t>
      </w:r>
      <w:r w:rsidR="00EE4FC3">
        <w:t xml:space="preserve"> </w:t>
      </w:r>
      <w:r w:rsidR="00582826" w:rsidRPr="00382917">
        <w:t>occasion</w:t>
      </w:r>
      <w:r w:rsidR="00330AF7">
        <w:t>.</w:t>
      </w:r>
      <w:r w:rsidR="00EE4FC3">
        <w:t xml:space="preserve">  </w:t>
      </w:r>
      <w:r w:rsidRPr="00382917">
        <w:t>“</w:t>
      </w:r>
      <w:r w:rsidR="00582826" w:rsidRPr="00382917">
        <w:t>I,</w:t>
      </w:r>
      <w:r w:rsidR="00EE4FC3">
        <w:t xml:space="preserve"> </w:t>
      </w:r>
      <w:r w:rsidR="00582826" w:rsidRPr="00382917">
        <w:t>Myself,</w:t>
      </w:r>
      <w:r w:rsidR="00EE4FC3">
        <w:t xml:space="preserve"> </w:t>
      </w:r>
      <w:r w:rsidR="00582826" w:rsidRPr="00382917">
        <w:t>am,</w:t>
      </w:r>
      <w:r w:rsidR="00EE4FC3">
        <w:t xml:space="preserve"> </w:t>
      </w:r>
      <w:r w:rsidR="00582826" w:rsidRPr="00382917">
        <w:t>verily,</w:t>
      </w:r>
      <w:r w:rsidR="00EE4FC3">
        <w:t xml:space="preserve"> </w:t>
      </w:r>
      <w:r w:rsidR="00582826" w:rsidRPr="00382917">
        <w:t>but</w:t>
      </w:r>
      <w:r w:rsidR="00EE4FC3">
        <w:t xml:space="preserve"> </w:t>
      </w:r>
      <w:r w:rsidR="00582826" w:rsidRPr="00382917">
        <w:t>a</w:t>
      </w:r>
      <w:r w:rsidR="00EE4FC3">
        <w:t xml:space="preserve"> </w:t>
      </w:r>
      <w:r w:rsidR="00582826" w:rsidRPr="00382917">
        <w:t>ring</w:t>
      </w:r>
      <w:r w:rsidR="00EE4FC3">
        <w:t xml:space="preserve"> </w:t>
      </w:r>
      <w:r w:rsidR="00582826" w:rsidRPr="00382917">
        <w:t>upon</w:t>
      </w:r>
      <w:r w:rsidR="00EE4FC3">
        <w:t xml:space="preserve"> </w:t>
      </w:r>
      <w:r w:rsidR="00582826" w:rsidRPr="00382917">
        <w:t>the</w:t>
      </w:r>
      <w:r w:rsidR="00EE4FC3">
        <w:t xml:space="preserve"> </w:t>
      </w:r>
      <w:r w:rsidR="00582826" w:rsidRPr="00382917">
        <w:t>hand</w:t>
      </w:r>
      <w:r w:rsidR="00EE4FC3">
        <w:t xml:space="preserve"> </w:t>
      </w:r>
      <w:r w:rsidR="00582826" w:rsidRPr="00382917">
        <w:t>of</w:t>
      </w:r>
      <w:r w:rsidR="00EE4FC3">
        <w:t xml:space="preserve"> </w:t>
      </w:r>
      <w:r w:rsidR="00582826" w:rsidRPr="00382917">
        <w:t>Him</w:t>
      </w:r>
      <w:proofErr w:type="gramStart"/>
      <w:r w:rsidR="00F64BD2">
        <w:t>.</w:t>
      </w:r>
      <w:r w:rsidR="00EE4FC3">
        <w:t xml:space="preserve"> </w:t>
      </w:r>
      <w:proofErr w:type="gramEnd"/>
      <w:r w:rsidR="00F04416" w:rsidRPr="00382917">
        <w:t>…</w:t>
      </w:r>
      <w:r w:rsidR="00EE4FC3">
        <w:t xml:space="preserve"> </w:t>
      </w:r>
      <w:r w:rsidR="00F64BD2">
        <w:t xml:space="preserve"> </w:t>
      </w:r>
      <w:r w:rsidR="00582826" w:rsidRPr="00382917">
        <w:t>If</w:t>
      </w:r>
      <w:r w:rsidR="00EE4FC3">
        <w:t xml:space="preserve"> </w:t>
      </w:r>
      <w:r w:rsidR="00582826" w:rsidRPr="00382917">
        <w:t>He</w:t>
      </w:r>
      <w:r w:rsidR="00EE4FC3">
        <w:t xml:space="preserve"> </w:t>
      </w:r>
      <w:r w:rsidR="00582826" w:rsidRPr="00382917">
        <w:t>were</w:t>
      </w:r>
      <w:r w:rsidR="00EE4FC3">
        <w:t xml:space="preserve"> </w:t>
      </w:r>
      <w:r w:rsidR="00582826" w:rsidRPr="00382917">
        <w:t>to</w:t>
      </w:r>
      <w:r w:rsidR="00EE4FC3">
        <w:t xml:space="preserve"> </w:t>
      </w:r>
      <w:r w:rsidR="00582826" w:rsidRPr="00382917">
        <w:t>appear</w:t>
      </w:r>
      <w:r w:rsidR="00EE4FC3">
        <w:t xml:space="preserve"> </w:t>
      </w:r>
      <w:r w:rsidR="00582826" w:rsidRPr="00382917">
        <w:t>at</w:t>
      </w:r>
      <w:r w:rsidR="00EE4FC3">
        <w:t xml:space="preserve"> </w:t>
      </w:r>
      <w:r w:rsidR="00582826" w:rsidRPr="00382917">
        <w:t>this</w:t>
      </w:r>
      <w:r w:rsidR="00EE4FC3">
        <w:t xml:space="preserve"> </w:t>
      </w:r>
      <w:r w:rsidR="00582826" w:rsidRPr="00382917">
        <w:t>moment,</w:t>
      </w:r>
      <w:r w:rsidR="00EE4FC3">
        <w:t xml:space="preserve"> </w:t>
      </w:r>
      <w:r w:rsidR="00582826" w:rsidRPr="00382917">
        <w:t>I</w:t>
      </w:r>
      <w:r w:rsidR="00EE4FC3">
        <w:t xml:space="preserve"> </w:t>
      </w:r>
      <w:r w:rsidR="00582826" w:rsidRPr="00382917">
        <w:t>would</w:t>
      </w:r>
      <w:r w:rsidR="00EE4FC3">
        <w:t xml:space="preserve"> </w:t>
      </w:r>
      <w:r w:rsidR="00582826" w:rsidRPr="00382917">
        <w:t>be</w:t>
      </w:r>
      <w:r w:rsidR="00EE4FC3">
        <w:t xml:space="preserve"> </w:t>
      </w:r>
      <w:r w:rsidR="00582826" w:rsidRPr="00382917">
        <w:t>the</w:t>
      </w:r>
      <w:r w:rsidR="00EE4FC3">
        <w:t xml:space="preserve"> </w:t>
      </w:r>
      <w:r w:rsidR="00582826" w:rsidRPr="00382917">
        <w:t>first</w:t>
      </w:r>
      <w:r w:rsidR="00EE4FC3">
        <w:t xml:space="preserve"> </w:t>
      </w:r>
      <w:r w:rsidR="00582826" w:rsidRPr="00382917">
        <w:t>to</w:t>
      </w:r>
      <w:r w:rsidR="00EE4FC3">
        <w:t xml:space="preserve"> </w:t>
      </w:r>
      <w:r w:rsidR="00582826" w:rsidRPr="00382917">
        <w:t>bow</w:t>
      </w:r>
      <w:r w:rsidR="00EE4FC3">
        <w:t xml:space="preserve"> </w:t>
      </w:r>
      <w:r w:rsidR="00582826" w:rsidRPr="00382917">
        <w:t>down</w:t>
      </w:r>
      <w:r w:rsidR="00EE4FC3">
        <w:t xml:space="preserve"> </w:t>
      </w:r>
      <w:r w:rsidR="00582826" w:rsidRPr="00382917">
        <w:t>before</w:t>
      </w:r>
      <w:r w:rsidR="00EE4FC3">
        <w:t xml:space="preserve"> </w:t>
      </w:r>
      <w:r w:rsidR="00582826" w:rsidRPr="00382917">
        <w:t>Him.</w:t>
      </w:r>
      <w:r w:rsidRPr="00382917">
        <w:t>”</w:t>
      </w:r>
      <w:r w:rsidR="00F64BD2">
        <w:rPr>
          <w:rStyle w:val="FootnoteReference"/>
        </w:rPr>
        <w:footnoteReference w:id="188"/>
      </w:r>
    </w:p>
    <w:p w:rsidR="00582826" w:rsidRPr="00382917" w:rsidRDefault="009C713D" w:rsidP="00582826">
      <w:pPr>
        <w:pStyle w:val="Text"/>
      </w:pPr>
      <w:r w:rsidRPr="00382917">
        <w:t>“</w:t>
      </w:r>
      <w:r w:rsidR="00582826" w:rsidRPr="00382917">
        <w:t>The</w:t>
      </w:r>
      <w:r w:rsidR="00EE4FC3">
        <w:t xml:space="preserve"> </w:t>
      </w:r>
      <w:r w:rsidR="00582826" w:rsidRPr="00382917">
        <w:t>Bayán</w:t>
      </w:r>
      <w:r w:rsidR="00EE4FC3">
        <w:t xml:space="preserve"> </w:t>
      </w:r>
      <w:proofErr w:type="spellStart"/>
      <w:r w:rsidR="00582826" w:rsidRPr="00382917">
        <w:t>deriveth</w:t>
      </w:r>
      <w:proofErr w:type="spellEnd"/>
      <w:r w:rsidR="00EE4FC3">
        <w:t xml:space="preserve"> </w:t>
      </w:r>
      <w:r w:rsidR="00582826" w:rsidRPr="00382917">
        <w:t>all</w:t>
      </w:r>
      <w:r w:rsidR="00EE4FC3">
        <w:t xml:space="preserve"> </w:t>
      </w:r>
      <w:r w:rsidR="00582826" w:rsidRPr="00382917">
        <w:t>of</w:t>
      </w:r>
      <w:r w:rsidR="00EE4FC3">
        <w:t xml:space="preserve"> </w:t>
      </w:r>
      <w:r w:rsidR="00582826" w:rsidRPr="00382917">
        <w:t>its</w:t>
      </w:r>
      <w:r w:rsidR="00EE4FC3">
        <w:t xml:space="preserve"> </w:t>
      </w:r>
      <w:r w:rsidR="00582826" w:rsidRPr="00382917">
        <w:t>glory</w:t>
      </w:r>
      <w:r w:rsidR="00EE4FC3">
        <w:t xml:space="preserve"> </w:t>
      </w:r>
      <w:r w:rsidR="00582826" w:rsidRPr="00382917">
        <w:t>from</w:t>
      </w:r>
      <w:r w:rsidR="00EE4FC3">
        <w:t xml:space="preserve"> </w:t>
      </w:r>
      <w:r w:rsidRPr="00382917">
        <w:t>‘</w:t>
      </w:r>
      <w:r w:rsidR="00582826" w:rsidRPr="00382917">
        <w:t>Him</w:t>
      </w:r>
      <w:r w:rsidR="00EE4FC3">
        <w:t xml:space="preserve"> </w:t>
      </w:r>
      <w:r w:rsidR="00582826" w:rsidRPr="00382917">
        <w:t>Whom</w:t>
      </w:r>
      <w:r w:rsidR="00EE4FC3">
        <w:t xml:space="preserve"> </w:t>
      </w:r>
      <w:r w:rsidR="00582826" w:rsidRPr="00382917">
        <w:t>God</w:t>
      </w:r>
      <w:r w:rsidR="00EE4FC3">
        <w:t xml:space="preserve"> </w:t>
      </w:r>
      <w:r w:rsidR="00582826" w:rsidRPr="00382917">
        <w:t>shall</w:t>
      </w:r>
      <w:r w:rsidR="00EE4FC3">
        <w:t xml:space="preserve"> </w:t>
      </w:r>
      <w:r w:rsidR="00582826" w:rsidRPr="00382917">
        <w:t>make</w:t>
      </w:r>
      <w:r w:rsidR="00EE4FC3">
        <w:t xml:space="preserve"> </w:t>
      </w:r>
      <w:r w:rsidR="00582826" w:rsidRPr="00382917">
        <w:t>manifest,</w:t>
      </w:r>
      <w:r w:rsidRPr="00382917">
        <w:t>”</w:t>
      </w:r>
      <w:r w:rsidR="00EE4FC3">
        <w:t xml:space="preserve"> </w:t>
      </w:r>
      <w:r w:rsidR="00582826" w:rsidRPr="00382917">
        <w:t>the</w:t>
      </w:r>
      <w:r w:rsidR="00EE4FC3">
        <w:t xml:space="preserve"> </w:t>
      </w:r>
      <w:r w:rsidR="00582826" w:rsidRPr="00382917">
        <w:t>Báb</w:t>
      </w:r>
      <w:r w:rsidR="00EE4FC3">
        <w:t xml:space="preserve"> </w:t>
      </w:r>
      <w:r w:rsidR="00582826" w:rsidRPr="00382917">
        <w:t>declared</w:t>
      </w:r>
      <w:r w:rsidR="00330AF7">
        <w:t>.</w:t>
      </w:r>
      <w:r w:rsidR="00EE4FC3">
        <w:t xml:space="preserve">  </w:t>
      </w:r>
      <w:r w:rsidRPr="00382917">
        <w:t>“</w:t>
      </w:r>
      <w:r w:rsidR="00582826" w:rsidRPr="00382917">
        <w:t>The</w:t>
      </w:r>
      <w:r w:rsidR="00EE4FC3">
        <w:t xml:space="preserve"> </w:t>
      </w:r>
      <w:r w:rsidR="00582826" w:rsidRPr="00382917">
        <w:t>Bayán</w:t>
      </w:r>
      <w:r w:rsidR="00EE4FC3">
        <w:t xml:space="preserve"> </w:t>
      </w:r>
      <w:r w:rsidR="00582826" w:rsidRPr="00382917">
        <w:t>and</w:t>
      </w:r>
      <w:r w:rsidR="00EE4FC3">
        <w:t xml:space="preserve"> </w:t>
      </w:r>
      <w:r w:rsidR="00582826" w:rsidRPr="00382917">
        <w:t>such</w:t>
      </w:r>
      <w:r w:rsidR="00EE4FC3">
        <w:t xml:space="preserve"> </w:t>
      </w:r>
      <w:r w:rsidR="00582826" w:rsidRPr="00382917">
        <w:t>as</w:t>
      </w:r>
      <w:r w:rsidR="00EE4FC3">
        <w:t xml:space="preserve"> </w:t>
      </w:r>
      <w:r w:rsidR="00582826" w:rsidRPr="00382917">
        <w:t>are</w:t>
      </w:r>
      <w:r w:rsidR="00EE4FC3">
        <w:t xml:space="preserve"> </w:t>
      </w:r>
      <w:r w:rsidR="00582826" w:rsidRPr="00382917">
        <w:t>believers</w:t>
      </w:r>
      <w:r w:rsidR="00EE4FC3">
        <w:t xml:space="preserve"> </w:t>
      </w:r>
      <w:r w:rsidR="00582826" w:rsidRPr="00382917">
        <w:t>therein</w:t>
      </w:r>
      <w:r w:rsidR="00EE4FC3">
        <w:t xml:space="preserve"> </w:t>
      </w:r>
      <w:r w:rsidR="00582826" w:rsidRPr="00382917">
        <w:t>yearn</w:t>
      </w:r>
      <w:r w:rsidR="00EE4FC3">
        <w:t xml:space="preserve"> </w:t>
      </w:r>
      <w:r w:rsidR="00582826" w:rsidRPr="00382917">
        <w:t>more</w:t>
      </w:r>
      <w:r w:rsidR="00EE4FC3">
        <w:t xml:space="preserve"> </w:t>
      </w:r>
      <w:r w:rsidR="00582826" w:rsidRPr="00382917">
        <w:t>ardently</w:t>
      </w:r>
      <w:r w:rsidR="00EE4FC3">
        <w:t xml:space="preserve"> </w:t>
      </w:r>
      <w:r w:rsidR="00582826" w:rsidRPr="00382917">
        <w:t>after</w:t>
      </w:r>
      <w:r w:rsidR="00EE4FC3">
        <w:t xml:space="preserve"> </w:t>
      </w:r>
      <w:r w:rsidR="00582826" w:rsidRPr="00382917">
        <w:t>Him</w:t>
      </w:r>
      <w:r w:rsidR="00EE4FC3">
        <w:t xml:space="preserve"> </w:t>
      </w:r>
      <w:r w:rsidR="00582826" w:rsidRPr="00382917">
        <w:t>than</w:t>
      </w:r>
      <w:r w:rsidR="00EE4FC3">
        <w:t xml:space="preserve"> </w:t>
      </w:r>
      <w:r w:rsidR="00582826" w:rsidRPr="00382917">
        <w:t>the</w:t>
      </w:r>
      <w:r w:rsidR="00EE4FC3">
        <w:t xml:space="preserve"> </w:t>
      </w:r>
      <w:r w:rsidR="00582826" w:rsidRPr="00382917">
        <w:t>yearning</w:t>
      </w:r>
      <w:r w:rsidR="00EE4FC3">
        <w:t xml:space="preserve"> </w:t>
      </w:r>
      <w:r w:rsidR="00582826" w:rsidRPr="00382917">
        <w:t>of</w:t>
      </w:r>
      <w:r w:rsidR="00EE4FC3">
        <w:t xml:space="preserve"> </w:t>
      </w:r>
      <w:r w:rsidR="00582826" w:rsidRPr="00382917">
        <w:t>any</w:t>
      </w:r>
      <w:r w:rsidR="00EE4FC3">
        <w:t xml:space="preserve"> </w:t>
      </w:r>
      <w:r w:rsidR="00582826" w:rsidRPr="00382917">
        <w:t>lover</w:t>
      </w:r>
      <w:r w:rsidR="00EE4FC3">
        <w:t xml:space="preserve"> </w:t>
      </w:r>
      <w:r w:rsidR="00582826" w:rsidRPr="00382917">
        <w:t>after</w:t>
      </w:r>
      <w:r w:rsidR="00EE4FC3">
        <w:t xml:space="preserve"> </w:t>
      </w:r>
      <w:r w:rsidR="00582826" w:rsidRPr="00382917">
        <w:t>his</w:t>
      </w:r>
      <w:r w:rsidR="00EE4FC3">
        <w:t xml:space="preserve"> </w:t>
      </w:r>
      <w:r w:rsidR="00582826" w:rsidRPr="00382917">
        <w:t>beloved.</w:t>
      </w:r>
      <w:r w:rsidRPr="00382917">
        <w:t>”</w:t>
      </w:r>
    </w:p>
    <w:p w:rsidR="00E13D49" w:rsidRPr="00382917" w:rsidRDefault="00582826" w:rsidP="00A341A4">
      <w:pPr>
        <w:pStyle w:val="Text"/>
      </w:pPr>
      <w:r w:rsidRPr="00382917">
        <w:t>Although</w:t>
      </w:r>
      <w:r w:rsidR="00EE4FC3">
        <w:t xml:space="preserve"> </w:t>
      </w:r>
      <w:r w:rsidRPr="00382917">
        <w:t>this</w:t>
      </w:r>
      <w:r w:rsidR="00EE4FC3">
        <w:t xml:space="preserve"> </w:t>
      </w:r>
      <w:r w:rsidRPr="00382917">
        <w:t>great</w:t>
      </w:r>
      <w:r w:rsidR="00EE4FC3">
        <w:t xml:space="preserve"> </w:t>
      </w:r>
      <w:r w:rsidRPr="00382917">
        <w:t>Figure</w:t>
      </w:r>
      <w:r w:rsidR="00EE4FC3">
        <w:t xml:space="preserve"> </w:t>
      </w:r>
      <w:r w:rsidRPr="00382917">
        <w:t>was</w:t>
      </w:r>
      <w:r w:rsidR="00EE4FC3">
        <w:t xml:space="preserve"> </w:t>
      </w:r>
      <w:r w:rsidRPr="00382917">
        <w:t>still</w:t>
      </w:r>
      <w:r w:rsidR="00EE4FC3">
        <w:t xml:space="preserve"> </w:t>
      </w:r>
      <w:r w:rsidRPr="00382917">
        <w:t>hidden</w:t>
      </w:r>
      <w:r w:rsidR="00EE4FC3">
        <w:t xml:space="preserve"> </w:t>
      </w:r>
      <w:r w:rsidRPr="00382917">
        <w:t>from</w:t>
      </w:r>
      <w:r w:rsidR="00EE4FC3">
        <w:t xml:space="preserve"> </w:t>
      </w:r>
      <w:r w:rsidRPr="00382917">
        <w:t>their</w:t>
      </w:r>
      <w:r w:rsidR="00EE4FC3">
        <w:t xml:space="preserve"> </w:t>
      </w:r>
      <w:r w:rsidRPr="00382917">
        <w:t>eyes,</w:t>
      </w:r>
      <w:r w:rsidR="00EE4FC3">
        <w:t xml:space="preserve"> </w:t>
      </w:r>
      <w:r w:rsidRPr="00382917">
        <w:t>the</w:t>
      </w:r>
      <w:r w:rsidR="00EE4FC3">
        <w:t xml:space="preserve"> </w:t>
      </w:r>
      <w:r w:rsidRPr="00382917">
        <w:t>Báb</w:t>
      </w:r>
      <w:r w:rsidR="00EE4FC3">
        <w:t xml:space="preserve"> </w:t>
      </w:r>
      <w:r w:rsidRPr="00382917">
        <w:t>promised</w:t>
      </w:r>
      <w:r w:rsidR="00EE4FC3">
        <w:t xml:space="preserve"> </w:t>
      </w:r>
      <w:r w:rsidRPr="00382917">
        <w:t>His</w:t>
      </w:r>
      <w:r w:rsidR="00EE4FC3">
        <w:t xml:space="preserve"> </w:t>
      </w:r>
      <w:r w:rsidRPr="00382917">
        <w:t>followers</w:t>
      </w:r>
      <w:r w:rsidR="00EE4FC3">
        <w:t xml:space="preserve"> </w:t>
      </w:r>
      <w:r w:rsidRPr="00382917">
        <w:t>that</w:t>
      </w:r>
      <w:r w:rsidR="00EE4FC3">
        <w:t xml:space="preserve"> </w:t>
      </w:r>
      <w:r w:rsidRPr="00382917">
        <w:t>the</w:t>
      </w:r>
      <w:r w:rsidR="00EE4FC3">
        <w:t xml:space="preserve"> </w:t>
      </w:r>
      <w:r w:rsidRPr="00382917">
        <w:t>One</w:t>
      </w:r>
      <w:r w:rsidR="00EE4FC3">
        <w:t xml:space="preserve"> </w:t>
      </w:r>
      <w:r w:rsidRPr="00382917">
        <w:t>Who</w:t>
      </w:r>
      <w:r w:rsidR="00EE4FC3">
        <w:t xml:space="preserve"> </w:t>
      </w:r>
      <w:r w:rsidRPr="00382917">
        <w:t>was</w:t>
      </w:r>
      <w:r w:rsidR="00EE4FC3">
        <w:t xml:space="preserve"> </w:t>
      </w:r>
      <w:r w:rsidRPr="00382917">
        <w:t>to</w:t>
      </w:r>
      <w:r w:rsidR="00EE4FC3">
        <w:t xml:space="preserve"> </w:t>
      </w:r>
      <w:r w:rsidRPr="00382917">
        <w:t>come</w:t>
      </w:r>
      <w:r w:rsidR="00EE4FC3">
        <w:t xml:space="preserve"> </w:t>
      </w:r>
      <w:r w:rsidRPr="00382917">
        <w:t>would</w:t>
      </w:r>
      <w:r w:rsidR="00EE4FC3">
        <w:t xml:space="preserve"> </w:t>
      </w:r>
      <w:r w:rsidRPr="00382917">
        <w:t>grow</w:t>
      </w:r>
      <w:r w:rsidR="00EE4FC3">
        <w:t xml:space="preserve"> </w:t>
      </w:r>
      <w:r w:rsidRPr="00382917">
        <w:t>from</w:t>
      </w:r>
      <w:r w:rsidR="00EE4FC3">
        <w:t xml:space="preserve"> </w:t>
      </w:r>
      <w:r w:rsidRPr="00382917">
        <w:t>a</w:t>
      </w:r>
      <w:r w:rsidR="00EE4FC3">
        <w:t xml:space="preserve"> </w:t>
      </w:r>
      <w:r w:rsidRPr="00382917">
        <w:t>seed</w:t>
      </w:r>
      <w:r w:rsidR="00EE4FC3">
        <w:t xml:space="preserve"> </w:t>
      </w:r>
      <w:r w:rsidRPr="00382917">
        <w:t>into</w:t>
      </w:r>
      <w:r w:rsidR="00EE4FC3">
        <w:t xml:space="preserve"> </w:t>
      </w:r>
      <w:r w:rsidRPr="00382917">
        <w:t>a</w:t>
      </w:r>
      <w:r w:rsidR="00EE4FC3">
        <w:t xml:space="preserve"> </w:t>
      </w:r>
      <w:r w:rsidRPr="00382917">
        <w:t>mighty</w:t>
      </w:r>
      <w:r w:rsidR="00EE4FC3">
        <w:t xml:space="preserve"> </w:t>
      </w:r>
      <w:r w:rsidRPr="00382917">
        <w:t>tree</w:t>
      </w:r>
      <w:r w:rsidR="00330AF7">
        <w:t>.</w:t>
      </w:r>
      <w:r w:rsidR="00EE4FC3">
        <w:t xml:space="preserve">  </w:t>
      </w:r>
      <w:r w:rsidRPr="00382917">
        <w:t>This</w:t>
      </w:r>
      <w:r w:rsidR="00EE4FC3">
        <w:t xml:space="preserve"> </w:t>
      </w:r>
      <w:r w:rsidRPr="00382917">
        <w:t>Tree,</w:t>
      </w:r>
      <w:r w:rsidR="00EE4FC3">
        <w:t xml:space="preserve"> </w:t>
      </w:r>
      <w:r w:rsidRPr="00382917">
        <w:t>He</w:t>
      </w:r>
      <w:r w:rsidR="00EE4FC3">
        <w:t xml:space="preserve"> </w:t>
      </w:r>
      <w:r w:rsidRPr="00382917">
        <w:t>told</w:t>
      </w:r>
      <w:r w:rsidR="00EE4FC3">
        <w:t xml:space="preserve"> </w:t>
      </w:r>
      <w:r w:rsidRPr="00382917">
        <w:t>them,</w:t>
      </w:r>
      <w:r w:rsidR="00EE4FC3">
        <w:t xml:space="preserve"> </w:t>
      </w:r>
      <w:r w:rsidRPr="00382917">
        <w:t>would</w:t>
      </w:r>
      <w:r w:rsidR="00EE4FC3">
        <w:t xml:space="preserve"> </w:t>
      </w:r>
      <w:r w:rsidRPr="00382917">
        <w:t>shelter</w:t>
      </w:r>
      <w:r w:rsidR="00EE4FC3">
        <w:t xml:space="preserve"> </w:t>
      </w:r>
      <w:r w:rsidRPr="00382917">
        <w:t>all</w:t>
      </w:r>
      <w:r w:rsidR="00EE4FC3">
        <w:t xml:space="preserve"> </w:t>
      </w:r>
      <w:r w:rsidRPr="00382917">
        <w:t>humanity</w:t>
      </w:r>
      <w:r w:rsidR="00330AF7">
        <w:t>.</w:t>
      </w:r>
      <w:r w:rsidR="00EE4FC3">
        <w:t xml:space="preserve">  </w:t>
      </w:r>
      <w:r w:rsidRPr="00382917">
        <w:t>The</w:t>
      </w:r>
      <w:r w:rsidR="00EE4FC3">
        <w:t xml:space="preserve"> </w:t>
      </w:r>
      <w:r w:rsidRPr="00382917">
        <w:t>germ</w:t>
      </w:r>
      <w:r w:rsidR="00EE4FC3">
        <w:t xml:space="preserve"> </w:t>
      </w:r>
      <w:r w:rsidRPr="00382917">
        <w:t>that</w:t>
      </w:r>
      <w:r w:rsidR="00EE4FC3">
        <w:t xml:space="preserve"> </w:t>
      </w:r>
      <w:r w:rsidRPr="00382917">
        <w:t>holds</w:t>
      </w:r>
      <w:r w:rsidR="00EE4FC3">
        <w:t xml:space="preserve"> </w:t>
      </w:r>
      <w:r w:rsidRPr="00382917">
        <w:t>within</w:t>
      </w:r>
      <w:r w:rsidR="00EE4FC3">
        <w:t xml:space="preserve"> </w:t>
      </w:r>
      <w:r w:rsidRPr="00382917">
        <w:t>itself</w:t>
      </w:r>
      <w:r w:rsidR="00EE4FC3">
        <w:t xml:space="preserve"> </w:t>
      </w:r>
      <w:r w:rsidRPr="00382917">
        <w:t>the</w:t>
      </w:r>
      <w:r w:rsidR="00EE4FC3">
        <w:t xml:space="preserve"> </w:t>
      </w:r>
      <w:r w:rsidRPr="00382917">
        <w:t>potentialities</w:t>
      </w:r>
      <w:r w:rsidR="00EE4FC3">
        <w:t xml:space="preserve"> </w:t>
      </w:r>
      <w:r w:rsidRPr="00382917">
        <w:t>of</w:t>
      </w:r>
      <w:r w:rsidR="00EE4FC3">
        <w:t xml:space="preserve"> </w:t>
      </w:r>
      <w:r w:rsidRPr="00382917">
        <w:t>the</w:t>
      </w:r>
      <w:r w:rsidR="00EE4FC3">
        <w:t xml:space="preserve"> </w:t>
      </w:r>
      <w:r w:rsidRPr="00382917">
        <w:t>Revelation</w:t>
      </w:r>
      <w:r w:rsidR="00EE4FC3">
        <w:t xml:space="preserve"> </w:t>
      </w:r>
      <w:r w:rsidRPr="00382917">
        <w:t>that</w:t>
      </w:r>
      <w:r w:rsidR="00EE4FC3">
        <w:t xml:space="preserve"> </w:t>
      </w:r>
      <w:r w:rsidRPr="00382917">
        <w:t>is</w:t>
      </w:r>
      <w:r w:rsidR="00EE4FC3">
        <w:t xml:space="preserve"> </w:t>
      </w:r>
      <w:r w:rsidRPr="00382917">
        <w:t>to</w:t>
      </w:r>
      <w:r w:rsidR="00EE4FC3">
        <w:t xml:space="preserve"> </w:t>
      </w:r>
      <w:r w:rsidRPr="00382917">
        <w:t>come,</w:t>
      </w:r>
      <w:r w:rsidR="00EE4FC3">
        <w:t xml:space="preserve"> </w:t>
      </w:r>
      <w:r w:rsidRPr="00382917">
        <w:t>He</w:t>
      </w:r>
      <w:r w:rsidR="00EE4FC3">
        <w:t xml:space="preserve"> </w:t>
      </w:r>
      <w:r w:rsidRPr="00382917">
        <w:t>said,</w:t>
      </w:r>
      <w:r w:rsidR="00EE4FC3">
        <w:t xml:space="preserve"> </w:t>
      </w:r>
      <w:r w:rsidRPr="00382917">
        <w:t>is</w:t>
      </w:r>
      <w:r w:rsidR="00EE4FC3">
        <w:t xml:space="preserve"> </w:t>
      </w:r>
      <w:r w:rsidRPr="00382917">
        <w:t>endowed</w:t>
      </w:r>
      <w:r w:rsidR="00EE4FC3">
        <w:t xml:space="preserve"> </w:t>
      </w:r>
      <w:r w:rsidRPr="00382917">
        <w:t>with</w:t>
      </w:r>
      <w:r w:rsidR="00EE4FC3">
        <w:t xml:space="preserve"> </w:t>
      </w:r>
      <w:r w:rsidRPr="00382917">
        <w:t>a</w:t>
      </w:r>
      <w:r w:rsidR="00EE4FC3">
        <w:t xml:space="preserve"> </w:t>
      </w:r>
      <w:r w:rsidRPr="00382917">
        <w:t>potency</w:t>
      </w:r>
      <w:r w:rsidR="00EE4FC3">
        <w:t xml:space="preserve"> </w:t>
      </w:r>
      <w:r w:rsidRPr="00382917">
        <w:t>superior</w:t>
      </w:r>
      <w:r w:rsidR="00EE4FC3">
        <w:t xml:space="preserve"> </w:t>
      </w:r>
      <w:r w:rsidRPr="00382917">
        <w:t>to</w:t>
      </w:r>
      <w:r w:rsidR="00EE4FC3">
        <w:t xml:space="preserve"> </w:t>
      </w:r>
      <w:r w:rsidRPr="00382917">
        <w:t>the</w:t>
      </w:r>
      <w:r w:rsidR="00EE4FC3">
        <w:t xml:space="preserve"> </w:t>
      </w:r>
      <w:r w:rsidRPr="00382917">
        <w:t>combined</w:t>
      </w:r>
      <w:r w:rsidR="00EE4FC3">
        <w:t xml:space="preserve"> </w:t>
      </w:r>
      <w:r w:rsidRPr="00382917">
        <w:t>forces</w:t>
      </w:r>
      <w:r w:rsidR="00EE4FC3">
        <w:t xml:space="preserve"> </w:t>
      </w:r>
      <w:r w:rsidRPr="00382917">
        <w:t>of</w:t>
      </w:r>
      <w:r w:rsidR="00EE4FC3">
        <w:t xml:space="preserve"> </w:t>
      </w:r>
      <w:r w:rsidRPr="00382917">
        <w:t>all</w:t>
      </w:r>
      <w:r w:rsidR="00EE4FC3">
        <w:t xml:space="preserve"> </w:t>
      </w:r>
      <w:r w:rsidRPr="00382917">
        <w:t>those</w:t>
      </w:r>
      <w:r w:rsidR="00EE4FC3">
        <w:t xml:space="preserve"> </w:t>
      </w:r>
      <w:r w:rsidRPr="00382917">
        <w:t>who</w:t>
      </w:r>
      <w:r w:rsidR="00EE4FC3">
        <w:t xml:space="preserve"> </w:t>
      </w:r>
      <w:r w:rsidRPr="00382917">
        <w:t>follow</w:t>
      </w:r>
      <w:r w:rsidR="00EE4FC3">
        <w:t xml:space="preserve"> </w:t>
      </w:r>
      <w:r w:rsidRPr="00382917">
        <w:t>Me.</w:t>
      </w:r>
      <w:r w:rsidR="00A341A4">
        <w:rPr>
          <w:rStyle w:val="FootnoteReference"/>
        </w:rPr>
        <w:footnoteReference w:id="189"/>
      </w:r>
    </w:p>
    <w:p w:rsidR="00582826" w:rsidRPr="00382917" w:rsidRDefault="00582826" w:rsidP="00582826">
      <w:pPr>
        <w:pStyle w:val="Text"/>
      </w:pPr>
      <w:r w:rsidRPr="00382917">
        <w:t>Now,</w:t>
      </w:r>
      <w:r w:rsidR="00EE4FC3">
        <w:t xml:space="preserve"> </w:t>
      </w:r>
      <w:r w:rsidRPr="00382917">
        <w:t>on</w:t>
      </w:r>
      <w:r w:rsidR="00EE4FC3">
        <w:t xml:space="preserve"> </w:t>
      </w:r>
      <w:r w:rsidRPr="00382917">
        <w:t>a</w:t>
      </w:r>
      <w:r w:rsidR="00EE4FC3">
        <w:t xml:space="preserve"> </w:t>
      </w:r>
      <w:r w:rsidRPr="00382917">
        <w:t>special</w:t>
      </w:r>
      <w:r w:rsidR="00EE4FC3">
        <w:t xml:space="preserve"> </w:t>
      </w:r>
      <w:r w:rsidRPr="00382917">
        <w:t>scroll,</w:t>
      </w:r>
      <w:r w:rsidR="00EE4FC3">
        <w:t xml:space="preserve"> </w:t>
      </w:r>
      <w:r w:rsidRPr="00382917">
        <w:t>written</w:t>
      </w:r>
      <w:r w:rsidR="00EE4FC3">
        <w:t xml:space="preserve"> </w:t>
      </w:r>
      <w:r w:rsidRPr="00382917">
        <w:t>in</w:t>
      </w:r>
      <w:r w:rsidR="00EE4FC3">
        <w:t xml:space="preserve"> </w:t>
      </w:r>
      <w:r w:rsidRPr="00382917">
        <w:t>His</w:t>
      </w:r>
      <w:r w:rsidR="00EE4FC3">
        <w:t xml:space="preserve"> </w:t>
      </w:r>
      <w:r w:rsidRPr="00382917">
        <w:t>own</w:t>
      </w:r>
      <w:r w:rsidR="00EE4FC3">
        <w:t xml:space="preserve"> </w:t>
      </w:r>
      <w:r w:rsidRPr="00382917">
        <w:t>hand,</w:t>
      </w:r>
      <w:r w:rsidR="00EE4FC3">
        <w:t xml:space="preserve"> </w:t>
      </w:r>
      <w:r w:rsidRPr="00382917">
        <w:t>the</w:t>
      </w:r>
      <w:r w:rsidR="00EE4FC3">
        <w:t xml:space="preserve"> </w:t>
      </w:r>
      <w:r w:rsidRPr="00382917">
        <w:t>Báb</w:t>
      </w:r>
      <w:r w:rsidR="00EE4FC3">
        <w:t xml:space="preserve"> </w:t>
      </w:r>
      <w:r w:rsidRPr="00382917">
        <w:t>had</w:t>
      </w:r>
      <w:r w:rsidR="00EE4FC3">
        <w:t xml:space="preserve"> </w:t>
      </w:r>
      <w:r w:rsidRPr="00382917">
        <w:t>paid</w:t>
      </w:r>
      <w:r w:rsidR="00EE4FC3">
        <w:t xml:space="preserve"> </w:t>
      </w:r>
      <w:r w:rsidRPr="00382917">
        <w:t>a</w:t>
      </w:r>
      <w:r w:rsidR="00EE4FC3">
        <w:t xml:space="preserve"> </w:t>
      </w:r>
      <w:r w:rsidRPr="00382917">
        <w:t>final</w:t>
      </w:r>
      <w:r w:rsidR="00EE4FC3">
        <w:t xml:space="preserve"> </w:t>
      </w:r>
      <w:r w:rsidRPr="00382917">
        <w:t>tribute</w:t>
      </w:r>
      <w:r w:rsidR="00EE4FC3">
        <w:t xml:space="preserve"> </w:t>
      </w:r>
      <w:r w:rsidRPr="00382917">
        <w:t>of</w:t>
      </w:r>
      <w:r w:rsidR="00EE4FC3">
        <w:t xml:space="preserve"> </w:t>
      </w:r>
      <w:r w:rsidRPr="00382917">
        <w:t>great</w:t>
      </w:r>
      <w:r w:rsidR="00EE4FC3">
        <w:t xml:space="preserve"> </w:t>
      </w:r>
      <w:r w:rsidRPr="00382917">
        <w:t>love</w:t>
      </w:r>
      <w:r w:rsidR="00EE4FC3">
        <w:t xml:space="preserve"> </w:t>
      </w:r>
      <w:r w:rsidRPr="00382917">
        <w:t>and</w:t>
      </w:r>
      <w:r w:rsidR="00EE4FC3">
        <w:t xml:space="preserve"> </w:t>
      </w:r>
      <w:r w:rsidRPr="00382917">
        <w:t>respect</w:t>
      </w:r>
      <w:r w:rsidR="00EE4FC3">
        <w:t xml:space="preserve"> </w:t>
      </w:r>
      <w:r w:rsidRPr="00382917">
        <w:t>for</w:t>
      </w:r>
      <w:r w:rsidR="00EE4FC3">
        <w:t xml:space="preserve"> </w:t>
      </w:r>
      <w:r w:rsidRPr="00382917">
        <w:t>Bahá</w:t>
      </w:r>
      <w:r w:rsidR="009C713D" w:rsidRPr="00382917">
        <w:t>’</w:t>
      </w:r>
      <w:r w:rsidRPr="00382917">
        <w:t>u</w:t>
      </w:r>
      <w:r w:rsidR="009C713D" w:rsidRPr="00382917">
        <w:t>’</w:t>
      </w:r>
      <w:r w:rsidRPr="00382917">
        <w:t>lláh</w:t>
      </w:r>
      <w:r w:rsidR="00330AF7">
        <w:t>.</w:t>
      </w:r>
      <w:r w:rsidR="00EE4FC3">
        <w:t xml:space="preserve">  </w:t>
      </w:r>
      <w:r w:rsidRPr="00382917">
        <w:t>It</w:t>
      </w:r>
      <w:r w:rsidR="00EE4FC3">
        <w:t xml:space="preserve"> </w:t>
      </w:r>
      <w:r w:rsidRPr="00382917">
        <w:t>was</w:t>
      </w:r>
      <w:r w:rsidR="00EE4FC3">
        <w:t xml:space="preserve"> </w:t>
      </w:r>
      <w:r w:rsidRPr="00382917">
        <w:t>no</w:t>
      </w:r>
      <w:r w:rsidR="00EE4FC3">
        <w:t xml:space="preserve"> </w:t>
      </w:r>
      <w:r w:rsidRPr="00382917">
        <w:t>longer</w:t>
      </w:r>
      <w:r w:rsidR="00EE4FC3">
        <w:t xml:space="preserve"> </w:t>
      </w:r>
      <w:r w:rsidRPr="00382917">
        <w:t>a</w:t>
      </w:r>
      <w:r w:rsidR="00EE4FC3">
        <w:t xml:space="preserve"> </w:t>
      </w:r>
      <w:r w:rsidRPr="00382917">
        <w:t>vague</w:t>
      </w:r>
      <w:r w:rsidR="00EE4FC3">
        <w:t xml:space="preserve"> </w:t>
      </w:r>
      <w:r w:rsidRPr="00382917">
        <w:t>reference,</w:t>
      </w:r>
      <w:r w:rsidR="00EE4FC3">
        <w:t xml:space="preserve"> </w:t>
      </w:r>
      <w:r w:rsidRPr="00382917">
        <w:t>or</w:t>
      </w:r>
      <w:r w:rsidR="00EE4FC3">
        <w:t xml:space="preserve"> </w:t>
      </w:r>
      <w:r w:rsidRPr="00382917">
        <w:t>a</w:t>
      </w:r>
      <w:r w:rsidR="00EE4FC3">
        <w:t xml:space="preserve"> </w:t>
      </w:r>
      <w:r w:rsidRPr="00382917">
        <w:t>concealed</w:t>
      </w:r>
      <w:r w:rsidR="00EE4FC3">
        <w:t xml:space="preserve"> </w:t>
      </w:r>
      <w:r w:rsidRPr="00382917">
        <w:t>intimation</w:t>
      </w:r>
      <w:r w:rsidR="00330AF7">
        <w:t>.</w:t>
      </w:r>
      <w:r w:rsidR="00EE4FC3">
        <w:t xml:space="preserve">  </w:t>
      </w:r>
      <w:r w:rsidRPr="00382917">
        <w:t>The</w:t>
      </w:r>
      <w:r w:rsidR="00EE4FC3">
        <w:t xml:space="preserve"> </w:t>
      </w:r>
      <w:r w:rsidRPr="00382917">
        <w:t>Báb</w:t>
      </w:r>
      <w:r w:rsidR="00EE4FC3">
        <w:t xml:space="preserve"> </w:t>
      </w:r>
      <w:r w:rsidRPr="00382917">
        <w:t>knew</w:t>
      </w:r>
      <w:r w:rsidR="00EE4FC3">
        <w:t xml:space="preserve"> </w:t>
      </w:r>
      <w:r w:rsidRPr="00382917">
        <w:t>that</w:t>
      </w:r>
      <w:r w:rsidR="00EE4FC3">
        <w:t xml:space="preserve"> </w:t>
      </w:r>
      <w:r w:rsidRPr="00382917">
        <w:t>the</w:t>
      </w:r>
      <w:r w:rsidR="00EE4FC3">
        <w:t xml:space="preserve"> </w:t>
      </w:r>
      <w:r w:rsidRPr="00382917">
        <w:t>hour</w:t>
      </w:r>
      <w:r w:rsidR="00EE4FC3">
        <w:t xml:space="preserve"> </w:t>
      </w:r>
      <w:r w:rsidRPr="00382917">
        <w:t>of</w:t>
      </w:r>
      <w:r w:rsidR="00EE4FC3">
        <w:t xml:space="preserve"> </w:t>
      </w:r>
      <w:r w:rsidRPr="00382917">
        <w:t>death</w:t>
      </w:r>
      <w:r w:rsidR="00EE4FC3">
        <w:t xml:space="preserve"> </w:t>
      </w:r>
      <w:r w:rsidRPr="00382917">
        <w:t>was</w:t>
      </w:r>
      <w:r w:rsidR="00EE4FC3">
        <w:t xml:space="preserve"> </w:t>
      </w:r>
      <w:r w:rsidRPr="00382917">
        <w:t>upon</w:t>
      </w:r>
      <w:r w:rsidR="00EE4FC3">
        <w:t xml:space="preserve"> </w:t>
      </w:r>
      <w:r w:rsidRPr="00382917">
        <w:t>Him.</w:t>
      </w:r>
    </w:p>
    <w:p w:rsidR="00582826" w:rsidRPr="00382917" w:rsidRDefault="00582826" w:rsidP="007F7E81">
      <w:pPr>
        <w:pStyle w:val="Text"/>
      </w:pPr>
      <w:r w:rsidRPr="00382917">
        <w:t>Dr</w:t>
      </w:r>
      <w:r w:rsidR="00EE4FC3">
        <w:t xml:space="preserve"> </w:t>
      </w:r>
      <w:r w:rsidRPr="00382917">
        <w:t>T.</w:t>
      </w:r>
      <w:r w:rsidR="00EE4FC3">
        <w:t xml:space="preserve"> </w:t>
      </w:r>
      <w:r w:rsidRPr="00382917">
        <w:t>K.</w:t>
      </w:r>
      <w:r w:rsidR="00EE4FC3">
        <w:t xml:space="preserve"> </w:t>
      </w:r>
      <w:r w:rsidRPr="00382917">
        <w:t>Cheyne</w:t>
      </w:r>
      <w:r w:rsidR="00EE4FC3">
        <w:t xml:space="preserve"> </w:t>
      </w:r>
      <w:r w:rsidRPr="00382917">
        <w:t>in</w:t>
      </w:r>
      <w:r w:rsidR="00EE4FC3">
        <w:t xml:space="preserve"> </w:t>
      </w:r>
      <w:r w:rsidRPr="00382917">
        <w:t>his</w:t>
      </w:r>
      <w:r w:rsidR="00EE4FC3">
        <w:t xml:space="preserve"> </w:t>
      </w:r>
      <w:r w:rsidRPr="00382917">
        <w:t>book</w:t>
      </w:r>
      <w:r w:rsidR="00EE4FC3">
        <w:t xml:space="preserve"> </w:t>
      </w:r>
      <w:r w:rsidRPr="00382917">
        <w:t>points</w:t>
      </w:r>
      <w:r w:rsidR="00EE4FC3">
        <w:t xml:space="preserve"> </w:t>
      </w:r>
      <w:r w:rsidRPr="00382917">
        <w:t>out</w:t>
      </w:r>
      <w:r w:rsidR="00EE4FC3">
        <w:t xml:space="preserve"> </w:t>
      </w:r>
      <w:r w:rsidRPr="00382917">
        <w:t>how</w:t>
      </w:r>
      <w:r w:rsidR="00EE4FC3">
        <w:t xml:space="preserve"> </w:t>
      </w:r>
      <w:r w:rsidRPr="00382917">
        <w:t>plainly</w:t>
      </w:r>
      <w:r w:rsidR="00EE4FC3">
        <w:t xml:space="preserve"> </w:t>
      </w:r>
      <w:r w:rsidRPr="00382917">
        <w:t>the</w:t>
      </w:r>
      <w:r w:rsidR="00EE4FC3">
        <w:t xml:space="preserve"> </w:t>
      </w:r>
      <w:r w:rsidRPr="00382917">
        <w:t>lives</w:t>
      </w:r>
      <w:r w:rsidR="00EE4FC3">
        <w:t xml:space="preserve"> </w:t>
      </w:r>
      <w:r w:rsidRPr="00382917">
        <w:t>of</w:t>
      </w:r>
      <w:r w:rsidR="00EE4FC3">
        <w:t xml:space="preserve"> </w:t>
      </w:r>
      <w:r w:rsidRPr="00382917">
        <w:t>the</w:t>
      </w:r>
      <w:r w:rsidR="00EE4FC3">
        <w:t xml:space="preserve"> </w:t>
      </w:r>
      <w:r w:rsidRPr="00382917">
        <w:t>Báb</w:t>
      </w:r>
      <w:r w:rsidR="00EE4FC3">
        <w:t xml:space="preserve"> </w:t>
      </w:r>
      <w:r w:rsidRPr="00382917">
        <w:t>and</w:t>
      </w:r>
      <w:r w:rsidR="00EE4FC3">
        <w:t xml:space="preserve"> </w:t>
      </w:r>
      <w:r w:rsidRPr="00382917">
        <w:t>Bahá</w:t>
      </w:r>
      <w:r w:rsidR="009C713D" w:rsidRPr="00382917">
        <w:t>’</w:t>
      </w:r>
      <w:r w:rsidRPr="00382917">
        <w:t>u</w:t>
      </w:r>
      <w:r w:rsidR="009C713D" w:rsidRPr="00382917">
        <w:t>’</w:t>
      </w:r>
      <w:r w:rsidRPr="00382917">
        <w:t>lláh</w:t>
      </w:r>
      <w:r w:rsidR="00EE4FC3">
        <w:t xml:space="preserve"> </w:t>
      </w:r>
      <w:r w:rsidRPr="00382917">
        <w:t>were</w:t>
      </w:r>
      <w:r w:rsidR="00EE4FC3">
        <w:t xml:space="preserve"> </w:t>
      </w:r>
      <w:r w:rsidRPr="00382917">
        <w:t>woven</w:t>
      </w:r>
      <w:r w:rsidR="00EE4FC3">
        <w:t xml:space="preserve"> </w:t>
      </w:r>
      <w:r w:rsidRPr="00382917">
        <w:t>together</w:t>
      </w:r>
      <w:r w:rsidR="00EE4FC3">
        <w:t xml:space="preserve"> </w:t>
      </w:r>
      <w:r w:rsidRPr="00382917">
        <w:t>during</w:t>
      </w:r>
      <w:r w:rsidR="00EE4FC3">
        <w:t xml:space="preserve"> </w:t>
      </w:r>
      <w:r w:rsidRPr="00382917">
        <w:t>those</w:t>
      </w:r>
      <w:r w:rsidR="00EE4FC3">
        <w:t xml:space="preserve"> </w:t>
      </w:r>
      <w:r w:rsidRPr="00382917">
        <w:t>days</w:t>
      </w:r>
      <w:r w:rsidR="00EE4FC3">
        <w:t xml:space="preserve"> </w:t>
      </w:r>
      <w:r w:rsidRPr="00382917">
        <w:t>for</w:t>
      </w:r>
      <w:r w:rsidR="00EE4FC3">
        <w:t xml:space="preserve"> </w:t>
      </w:r>
      <w:r w:rsidRPr="00382917">
        <w:t>anyone</w:t>
      </w:r>
      <w:r w:rsidR="00EE4FC3">
        <w:t xml:space="preserve"> </w:t>
      </w:r>
      <w:r w:rsidRPr="00382917">
        <w:t>who</w:t>
      </w:r>
      <w:r w:rsidR="00EE4FC3">
        <w:t xml:space="preserve"> </w:t>
      </w:r>
      <w:r w:rsidRPr="00382917">
        <w:t>had</w:t>
      </w:r>
      <w:r w:rsidR="00EE4FC3">
        <w:t xml:space="preserve"> </w:t>
      </w:r>
      <w:r w:rsidR="009C713D" w:rsidRPr="00382917">
        <w:t>“</w:t>
      </w:r>
      <w:r w:rsidRPr="00382917">
        <w:t>eyes</w:t>
      </w:r>
      <w:r w:rsidR="00EE4FC3">
        <w:t xml:space="preserve"> </w:t>
      </w:r>
      <w:r w:rsidRPr="00382917">
        <w:t>to</w:t>
      </w:r>
      <w:r w:rsidR="00EE4FC3">
        <w:t xml:space="preserve"> </w:t>
      </w:r>
      <w:r w:rsidRPr="00382917">
        <w:t>see</w:t>
      </w:r>
      <w:r w:rsidR="009C713D" w:rsidRPr="00382917">
        <w:t>”</w:t>
      </w:r>
      <w:r w:rsidR="007F7E81">
        <w:t>.</w:t>
      </w:r>
    </w:p>
    <w:p w:rsidR="00E13D49" w:rsidRPr="00382917" w:rsidRDefault="009C713D" w:rsidP="007F7E81">
      <w:pPr>
        <w:pStyle w:val="Text"/>
      </w:pPr>
      <w:r w:rsidRPr="00382917">
        <w:t>“</w:t>
      </w:r>
      <w:r w:rsidR="00582826" w:rsidRPr="00382917">
        <w:t>The</w:t>
      </w:r>
      <w:r w:rsidR="00EE4FC3">
        <w:t xml:space="preserve"> </w:t>
      </w:r>
      <w:r w:rsidR="00582826" w:rsidRPr="00382917">
        <w:t>end</w:t>
      </w:r>
      <w:r w:rsidR="00EE4FC3">
        <w:t xml:space="preserve"> </w:t>
      </w:r>
      <w:r w:rsidR="00582826" w:rsidRPr="00382917">
        <w:t>of</w:t>
      </w:r>
      <w:r w:rsidR="00EE4FC3">
        <w:t xml:space="preserve"> </w:t>
      </w:r>
      <w:r w:rsidR="00582826" w:rsidRPr="00382917">
        <w:t>the</w:t>
      </w:r>
      <w:r w:rsidR="00EE4FC3">
        <w:t xml:space="preserve"> </w:t>
      </w:r>
      <w:r w:rsidR="00582826" w:rsidRPr="00382917">
        <w:t>Báb</w:t>
      </w:r>
      <w:r w:rsidRPr="00382917">
        <w:t>’</w:t>
      </w:r>
      <w:r w:rsidR="00582826" w:rsidRPr="00382917">
        <w:t>s</w:t>
      </w:r>
      <w:r w:rsidR="00EE4FC3">
        <w:t xml:space="preserve"> </w:t>
      </w:r>
      <w:r w:rsidR="00582826" w:rsidRPr="00382917">
        <w:t>earthly</w:t>
      </w:r>
      <w:r w:rsidR="00EE4FC3">
        <w:t xml:space="preserve"> </w:t>
      </w:r>
      <w:r w:rsidR="00582826" w:rsidRPr="00382917">
        <w:t>Manifestation</w:t>
      </w:r>
      <w:r w:rsidR="00EE4FC3">
        <w:t xml:space="preserve"> </w:t>
      </w:r>
      <w:r w:rsidR="00582826" w:rsidRPr="00382917">
        <w:t>is</w:t>
      </w:r>
      <w:r w:rsidR="00EE4FC3">
        <w:t xml:space="preserve"> </w:t>
      </w:r>
      <w:r w:rsidR="00582826" w:rsidRPr="00382917">
        <w:t>now</w:t>
      </w:r>
      <w:r w:rsidR="00EE4FC3">
        <w:t xml:space="preserve"> </w:t>
      </w:r>
      <w:r w:rsidR="00582826" w:rsidRPr="00382917">
        <w:t>close</w:t>
      </w:r>
      <w:r w:rsidR="00EE4FC3">
        <w:t xml:space="preserve"> </w:t>
      </w:r>
      <w:r w:rsidR="00582826" w:rsidRPr="00382917">
        <w:t>upon</w:t>
      </w:r>
      <w:r w:rsidR="00EE4FC3">
        <w:t xml:space="preserve"> </w:t>
      </w:r>
      <w:r w:rsidR="00582826" w:rsidRPr="00382917">
        <w:t>us,</w:t>
      </w:r>
      <w:r w:rsidRPr="00382917">
        <w:t>”</w:t>
      </w:r>
      <w:r w:rsidR="00EE4FC3">
        <w:t xml:space="preserve"> </w:t>
      </w:r>
      <w:r w:rsidR="00582826" w:rsidRPr="00382917">
        <w:t>Dr</w:t>
      </w:r>
      <w:r w:rsidR="00EE4FC3">
        <w:t xml:space="preserve"> </w:t>
      </w:r>
      <w:r w:rsidR="00582826" w:rsidRPr="00382917">
        <w:t>Cheyne</w:t>
      </w:r>
      <w:r w:rsidR="00EE4FC3">
        <w:t xml:space="preserve"> </w:t>
      </w:r>
      <w:r w:rsidR="00582826" w:rsidRPr="00382917">
        <w:t>wrote</w:t>
      </w:r>
      <w:r w:rsidR="00330AF7">
        <w:t>.</w:t>
      </w:r>
      <w:r w:rsidR="00EE4FC3">
        <w:t xml:space="preserve">  </w:t>
      </w:r>
      <w:r w:rsidRPr="00382917">
        <w:t>“</w:t>
      </w:r>
      <w:r w:rsidR="00582826" w:rsidRPr="00382917">
        <w:t>He</w:t>
      </w:r>
      <w:r w:rsidR="00EE4FC3">
        <w:t xml:space="preserve"> </w:t>
      </w:r>
      <w:r w:rsidR="00582826" w:rsidRPr="00382917">
        <w:t>knew</w:t>
      </w:r>
      <w:r w:rsidR="00EE4FC3">
        <w:t xml:space="preserve"> </w:t>
      </w:r>
      <w:r w:rsidR="00582826" w:rsidRPr="00382917">
        <w:t>it</w:t>
      </w:r>
      <w:r w:rsidR="00EE4FC3">
        <w:t xml:space="preserve"> </w:t>
      </w:r>
      <w:r w:rsidR="00582826" w:rsidRPr="00382917">
        <w:t>himself</w:t>
      </w:r>
      <w:r w:rsidR="00EE4FC3">
        <w:t xml:space="preserve"> </w:t>
      </w:r>
      <w:r w:rsidR="00582826" w:rsidRPr="00382917">
        <w:t>before</w:t>
      </w:r>
      <w:r w:rsidR="00EE4FC3">
        <w:t xml:space="preserve"> </w:t>
      </w:r>
      <w:r w:rsidR="00582826" w:rsidRPr="00382917">
        <w:t>the</w:t>
      </w:r>
      <w:r w:rsidR="00EE4FC3">
        <w:t xml:space="preserve"> </w:t>
      </w:r>
      <w:r w:rsidR="00582826" w:rsidRPr="00382917">
        <w:t>event,</w:t>
      </w:r>
      <w:r w:rsidR="00EE4FC3">
        <w:t xml:space="preserve"> </w:t>
      </w:r>
      <w:r w:rsidR="00582826" w:rsidRPr="00382917">
        <w:t>and</w:t>
      </w:r>
      <w:r w:rsidR="00EE4FC3">
        <w:t xml:space="preserve"> </w:t>
      </w:r>
      <w:r w:rsidR="00582826" w:rsidRPr="00382917">
        <w:t>was</w:t>
      </w:r>
      <w:r w:rsidR="00EE4FC3">
        <w:t xml:space="preserve"> </w:t>
      </w:r>
      <w:r w:rsidR="00582826" w:rsidRPr="00382917">
        <w:t>not</w:t>
      </w:r>
      <w:r w:rsidR="00EE4FC3">
        <w:t xml:space="preserve"> </w:t>
      </w:r>
      <w:r w:rsidR="00582826" w:rsidRPr="00382917">
        <w:t>displeased</w:t>
      </w:r>
      <w:r w:rsidR="00EE4FC3">
        <w:t xml:space="preserve"> </w:t>
      </w:r>
      <w:r w:rsidR="00582826" w:rsidRPr="00382917">
        <w:t>at</w:t>
      </w:r>
      <w:r w:rsidR="00EE4FC3">
        <w:t xml:space="preserve"> </w:t>
      </w:r>
      <w:r w:rsidR="00582826" w:rsidRPr="00382917">
        <w:t>the</w:t>
      </w:r>
      <w:r w:rsidR="00EE4FC3">
        <w:t xml:space="preserve"> </w:t>
      </w:r>
      <w:r w:rsidR="00582826" w:rsidRPr="00382917">
        <w:t>presentiment</w:t>
      </w:r>
      <w:r w:rsidR="00330AF7">
        <w:t>.</w:t>
      </w:r>
      <w:r w:rsidR="00EE4FC3">
        <w:t xml:space="preserve">  </w:t>
      </w:r>
      <w:r w:rsidR="00582826" w:rsidRPr="00382917">
        <w:t>He</w:t>
      </w:r>
      <w:r w:rsidR="00EE4FC3">
        <w:t xml:space="preserve"> </w:t>
      </w:r>
      <w:r w:rsidR="00582826" w:rsidRPr="00382917">
        <w:t>had</w:t>
      </w:r>
      <w:r w:rsidR="00EE4FC3">
        <w:t xml:space="preserve"> </w:t>
      </w:r>
      <w:r w:rsidR="00582826" w:rsidRPr="00382917">
        <w:t>already</w:t>
      </w:r>
      <w:r w:rsidR="00EE4FC3">
        <w:t xml:space="preserve"> </w:t>
      </w:r>
      <w:r w:rsidRPr="00382917">
        <w:t>‘</w:t>
      </w:r>
      <w:r w:rsidR="00582826" w:rsidRPr="00382917">
        <w:t>set</w:t>
      </w:r>
      <w:r w:rsidR="00EE4FC3">
        <w:t xml:space="preserve"> </w:t>
      </w:r>
      <w:r w:rsidR="00582826" w:rsidRPr="00382917">
        <w:t>his</w:t>
      </w:r>
      <w:r w:rsidR="00EE4FC3">
        <w:t xml:space="preserve"> </w:t>
      </w:r>
      <w:r w:rsidR="00582826" w:rsidRPr="00382917">
        <w:t>house</w:t>
      </w:r>
      <w:r w:rsidR="00EE4FC3">
        <w:t xml:space="preserve"> </w:t>
      </w:r>
      <w:r w:rsidR="00582826" w:rsidRPr="00382917">
        <w:t>in</w:t>
      </w:r>
      <w:r w:rsidR="00EE4FC3">
        <w:t xml:space="preserve"> </w:t>
      </w:r>
      <w:r w:rsidR="00582826" w:rsidRPr="00382917">
        <w:t>order</w:t>
      </w:r>
      <w:r w:rsidRPr="00382917">
        <w:t>’</w:t>
      </w:r>
      <w:r w:rsidR="00582826" w:rsidRPr="00382917">
        <w:t>,</w:t>
      </w:r>
      <w:r w:rsidR="00EE4FC3">
        <w:t xml:space="preserve"> </w:t>
      </w:r>
      <w:r w:rsidR="00582826" w:rsidRPr="00382917">
        <w:t>as</w:t>
      </w:r>
      <w:r w:rsidR="00EE4FC3">
        <w:t xml:space="preserve"> </w:t>
      </w:r>
      <w:r w:rsidR="00582826" w:rsidRPr="00382917">
        <w:t>regards</w:t>
      </w:r>
      <w:r w:rsidR="00EE4FC3">
        <w:t xml:space="preserve"> </w:t>
      </w:r>
      <w:r w:rsidR="00582826" w:rsidRPr="00382917">
        <w:t>the</w:t>
      </w:r>
      <w:r w:rsidR="00EE4FC3">
        <w:t xml:space="preserve"> </w:t>
      </w:r>
      <w:r w:rsidR="00582826" w:rsidRPr="00382917">
        <w:t>spiritual</w:t>
      </w:r>
      <w:r w:rsidR="00EE4FC3">
        <w:t xml:space="preserve"> </w:t>
      </w:r>
      <w:r w:rsidR="00582826" w:rsidRPr="00382917">
        <w:t>affairs</w:t>
      </w:r>
      <w:r w:rsidR="00EE4FC3">
        <w:t xml:space="preserve"> </w:t>
      </w:r>
      <w:r w:rsidR="00582826" w:rsidRPr="00382917">
        <w:t>of</w:t>
      </w:r>
      <w:r w:rsidR="00EE4FC3">
        <w:t xml:space="preserve"> </w:t>
      </w:r>
      <w:r w:rsidR="00582826" w:rsidRPr="00382917">
        <w:t>[His]</w:t>
      </w:r>
      <w:r w:rsidR="00EE4FC3">
        <w:t xml:space="preserve"> </w:t>
      </w:r>
      <w:r w:rsidR="00582826" w:rsidRPr="00382917">
        <w:t>community,</w:t>
      </w:r>
      <w:r w:rsidR="00EE4FC3">
        <w:t xml:space="preserve"> </w:t>
      </w:r>
      <w:r w:rsidR="00582826" w:rsidRPr="00382917">
        <w:t>which</w:t>
      </w:r>
      <w:r w:rsidR="00EE4FC3">
        <w:t xml:space="preserve"> </w:t>
      </w:r>
      <w:r w:rsidR="00582826" w:rsidRPr="00382917">
        <w:t>he</w:t>
      </w:r>
      <w:r w:rsidR="00EE4FC3">
        <w:t xml:space="preserve"> </w:t>
      </w:r>
      <w:r w:rsidR="00582826" w:rsidRPr="00382917">
        <w:t>had,</w:t>
      </w:r>
      <w:r w:rsidR="00EE4FC3">
        <w:t xml:space="preserve"> </w:t>
      </w:r>
      <w:r w:rsidR="00582826" w:rsidRPr="00382917">
        <w:t>if</w:t>
      </w:r>
      <w:r w:rsidR="00EE4FC3">
        <w:t xml:space="preserve"> </w:t>
      </w:r>
      <w:r w:rsidR="00582826" w:rsidRPr="00382917">
        <w:t>I</w:t>
      </w:r>
      <w:r w:rsidR="00EE4FC3">
        <w:t xml:space="preserve"> </w:t>
      </w:r>
      <w:r w:rsidR="00582826" w:rsidRPr="00382917">
        <w:t>mistake</w:t>
      </w:r>
      <w:r w:rsidR="00EE4FC3">
        <w:t xml:space="preserve"> </w:t>
      </w:r>
      <w:r w:rsidR="00582826" w:rsidRPr="00382917">
        <w:t>not,</w:t>
      </w:r>
      <w:r w:rsidR="00EE4FC3">
        <w:t xml:space="preserve"> </w:t>
      </w:r>
      <w:r w:rsidR="00582826" w:rsidRPr="00382917">
        <w:t>confided</w:t>
      </w:r>
      <w:r w:rsidR="00EE4FC3">
        <w:t xml:space="preserve"> </w:t>
      </w:r>
      <w:r w:rsidR="00582826" w:rsidRPr="00382917">
        <w:t>to</w:t>
      </w:r>
      <w:r w:rsidR="00EE4FC3">
        <w:t xml:space="preserve"> </w:t>
      </w:r>
      <w:r w:rsidR="00582826" w:rsidRPr="00382917">
        <w:t>the</w:t>
      </w:r>
      <w:r w:rsidR="00EE4FC3">
        <w:t xml:space="preserve"> </w:t>
      </w:r>
      <w:r w:rsidR="00582826" w:rsidRPr="00382917">
        <w:t>intuitive</w:t>
      </w:r>
      <w:r w:rsidR="00EE4FC3">
        <w:t xml:space="preserve"> </w:t>
      </w:r>
      <w:r w:rsidR="00582826" w:rsidRPr="00382917">
        <w:t>wisdom</w:t>
      </w:r>
      <w:r w:rsidR="00EE4FC3">
        <w:t xml:space="preserve"> </w:t>
      </w:r>
      <w:r w:rsidR="00582826" w:rsidRPr="00382917">
        <w:t>of</w:t>
      </w:r>
      <w:r w:rsidR="00EE4FC3">
        <w:t xml:space="preserve"> </w:t>
      </w:r>
      <w:r w:rsidR="00582826" w:rsidRPr="00382917">
        <w:t>Bahá</w:t>
      </w:r>
      <w:r w:rsidRPr="00382917">
        <w:t>’</w:t>
      </w:r>
      <w:r w:rsidR="00582826" w:rsidRPr="00382917">
        <w:t>u</w:t>
      </w:r>
      <w:r w:rsidRPr="00382917">
        <w:t>’</w:t>
      </w:r>
      <w:r w:rsidR="00582826" w:rsidRPr="00382917">
        <w:t>lláh.</w:t>
      </w:r>
      <w:r w:rsidRPr="00382917">
        <w:t>”</w:t>
      </w:r>
      <w:r w:rsidR="007F7E81">
        <w:rPr>
          <w:rStyle w:val="FootnoteReference"/>
        </w:rPr>
        <w:footnoteReference w:id="190"/>
      </w:r>
    </w:p>
    <w:p w:rsidR="00582826" w:rsidRPr="00382917" w:rsidRDefault="00582826" w:rsidP="004D5099">
      <w:pPr>
        <w:pStyle w:val="Text"/>
      </w:pPr>
      <w:r w:rsidRPr="00382917">
        <w:t>The</w:t>
      </w:r>
      <w:r w:rsidR="00EE4FC3">
        <w:t xml:space="preserve"> </w:t>
      </w:r>
      <w:r w:rsidRPr="00382917">
        <w:t>following</w:t>
      </w:r>
      <w:r w:rsidR="00EE4FC3">
        <w:t xml:space="preserve"> </w:t>
      </w:r>
      <w:r w:rsidRPr="00382917">
        <w:t>pages</w:t>
      </w:r>
      <w:r w:rsidR="00EE4FC3">
        <w:t xml:space="preserve"> </w:t>
      </w:r>
      <w:r w:rsidRPr="00382917">
        <w:t>were</w:t>
      </w:r>
      <w:r w:rsidR="00EE4FC3">
        <w:t xml:space="preserve"> </w:t>
      </w:r>
      <w:r w:rsidRPr="00382917">
        <w:t>written</w:t>
      </w:r>
      <w:r w:rsidR="00EE4FC3">
        <w:t xml:space="preserve"> </w:t>
      </w:r>
      <w:r w:rsidRPr="00382917">
        <w:t>to</w:t>
      </w:r>
      <w:r w:rsidR="00EE4FC3">
        <w:t xml:space="preserve"> </w:t>
      </w:r>
      <w:r w:rsidRPr="00382917">
        <w:t>show</w:t>
      </w:r>
      <w:r w:rsidR="00EE4FC3">
        <w:t xml:space="preserve"> </w:t>
      </w:r>
      <w:r w:rsidRPr="00382917">
        <w:t>the</w:t>
      </w:r>
      <w:r w:rsidR="00EE4FC3">
        <w:t xml:space="preserve"> </w:t>
      </w:r>
      <w:r w:rsidRPr="00382917">
        <w:t>Báb</w:t>
      </w:r>
      <w:r w:rsidR="009C713D" w:rsidRPr="00382917">
        <w:t>’</w:t>
      </w:r>
      <w:r w:rsidRPr="00382917">
        <w:t>s</w:t>
      </w:r>
      <w:r w:rsidR="00EE4FC3">
        <w:t xml:space="preserve"> </w:t>
      </w:r>
      <w:r w:rsidRPr="00382917">
        <w:t>deep</w:t>
      </w:r>
      <w:r w:rsidR="00EE4FC3">
        <w:t xml:space="preserve"> </w:t>
      </w:r>
      <w:r w:rsidRPr="00382917">
        <w:t>awareness</w:t>
      </w:r>
      <w:r w:rsidR="00EE4FC3">
        <w:t xml:space="preserve"> </w:t>
      </w:r>
      <w:r w:rsidRPr="00382917">
        <w:t>of</w:t>
      </w:r>
      <w:r w:rsidR="00EE4FC3">
        <w:t xml:space="preserve"> </w:t>
      </w:r>
      <w:r w:rsidRPr="00382917">
        <w:t>Bahá</w:t>
      </w:r>
      <w:r w:rsidR="009C713D" w:rsidRPr="00382917">
        <w:t>’</w:t>
      </w:r>
      <w:r w:rsidRPr="00382917">
        <w:t>u</w:t>
      </w:r>
      <w:r w:rsidR="009C713D" w:rsidRPr="00382917">
        <w:t>’</w:t>
      </w:r>
      <w:r w:rsidRPr="00382917">
        <w:t>lláh</w:t>
      </w:r>
      <w:r w:rsidR="009C713D" w:rsidRPr="00382917">
        <w:t>’</w:t>
      </w:r>
      <w:r w:rsidRPr="00382917">
        <w:t>s</w:t>
      </w:r>
      <w:r w:rsidR="00EE4FC3">
        <w:t xml:space="preserve"> </w:t>
      </w:r>
      <w:r w:rsidRPr="00382917">
        <w:t>coming</w:t>
      </w:r>
      <w:r w:rsidR="00330AF7">
        <w:t>.</w:t>
      </w:r>
      <w:r w:rsidR="00EE4FC3">
        <w:t xml:space="preserve">  </w:t>
      </w:r>
      <w:r w:rsidRPr="00382917">
        <w:t>They</w:t>
      </w:r>
      <w:r w:rsidR="00EE4FC3">
        <w:t xml:space="preserve"> </w:t>
      </w:r>
      <w:r w:rsidRPr="00382917">
        <w:t>show</w:t>
      </w:r>
      <w:r w:rsidR="00EE4FC3">
        <w:t xml:space="preserve"> </w:t>
      </w:r>
      <w:r w:rsidRPr="00382917">
        <w:t>how</w:t>
      </w:r>
      <w:r w:rsidR="00EE4FC3">
        <w:t xml:space="preserve"> </w:t>
      </w:r>
      <w:r w:rsidRPr="00382917">
        <w:t>the</w:t>
      </w:r>
      <w:r w:rsidR="00EE4FC3">
        <w:t xml:space="preserve"> </w:t>
      </w:r>
      <w:r w:rsidRPr="00382917">
        <w:t>Báb</w:t>
      </w:r>
      <w:r w:rsidR="00EE4FC3">
        <w:t xml:space="preserve"> </w:t>
      </w:r>
      <w:r w:rsidRPr="00382917">
        <w:t>carefully</w:t>
      </w:r>
      <w:r w:rsidR="00EE4FC3">
        <w:t xml:space="preserve"> </w:t>
      </w:r>
      <w:r w:rsidRPr="00382917">
        <w:t>prepared</w:t>
      </w:r>
      <w:r w:rsidR="00EE4FC3">
        <w:t xml:space="preserve"> </w:t>
      </w:r>
      <w:r w:rsidRPr="00382917">
        <w:t>certain</w:t>
      </w:r>
      <w:r w:rsidR="00EE4FC3">
        <w:t xml:space="preserve"> </w:t>
      </w:r>
      <w:r w:rsidRPr="00382917">
        <w:t>souls</w:t>
      </w:r>
      <w:r w:rsidR="00EE4FC3">
        <w:t xml:space="preserve"> </w:t>
      </w:r>
      <w:r w:rsidRPr="00382917">
        <w:t>to</w:t>
      </w:r>
      <w:r w:rsidR="00EE4FC3">
        <w:t xml:space="preserve"> </w:t>
      </w:r>
      <w:r w:rsidRPr="00382917">
        <w:t>know,</w:t>
      </w:r>
      <w:r w:rsidR="00EE4FC3">
        <w:t xml:space="preserve"> </w:t>
      </w:r>
      <w:r w:rsidRPr="00382917">
        <w:t>recognize,</w:t>
      </w:r>
      <w:r w:rsidR="00EE4FC3">
        <w:t xml:space="preserve"> </w:t>
      </w:r>
      <w:r w:rsidRPr="00382917">
        <w:t>love</w:t>
      </w:r>
      <w:r w:rsidR="00EE4FC3">
        <w:t xml:space="preserve"> </w:t>
      </w:r>
      <w:r w:rsidRPr="00382917">
        <w:t>and</w:t>
      </w:r>
      <w:r w:rsidR="00EE4FC3">
        <w:t xml:space="preserve"> </w:t>
      </w:r>
      <w:r w:rsidRPr="00382917">
        <w:t>accept</w:t>
      </w:r>
      <w:r w:rsidR="00EE4FC3">
        <w:t xml:space="preserve"> </w:t>
      </w:r>
      <w:r w:rsidRPr="00382917">
        <w:t>Bahá</w:t>
      </w:r>
      <w:r w:rsidR="009C713D" w:rsidRPr="00382917">
        <w:t>’</w:t>
      </w:r>
      <w:r w:rsidRPr="00382917">
        <w:t>u</w:t>
      </w:r>
      <w:r w:rsidR="009C713D" w:rsidRPr="00382917">
        <w:t>’</w:t>
      </w:r>
      <w:r w:rsidRPr="00382917">
        <w:t>lláh</w:t>
      </w:r>
      <w:r w:rsidR="00EE4FC3">
        <w:t xml:space="preserve"> </w:t>
      </w:r>
      <w:r w:rsidRPr="00382917">
        <w:t>after</w:t>
      </w:r>
      <w:r w:rsidR="00EE4FC3">
        <w:t xml:space="preserve"> </w:t>
      </w:r>
      <w:r w:rsidRPr="00382917">
        <w:t>His</w:t>
      </w:r>
      <w:r w:rsidR="00EE4FC3">
        <w:t xml:space="preserve"> </w:t>
      </w:r>
      <w:r w:rsidRPr="00382917">
        <w:t>own</w:t>
      </w:r>
      <w:r w:rsidR="00EE4FC3">
        <w:t xml:space="preserve"> </w:t>
      </w:r>
      <w:r w:rsidRPr="00382917">
        <w:t>martyrdom,</w:t>
      </w:r>
      <w:r w:rsidR="00EE4FC3">
        <w:t xml:space="preserve"> </w:t>
      </w:r>
      <w:r w:rsidRPr="00382917">
        <w:t>so</w:t>
      </w:r>
      <w:r w:rsidR="00EE4FC3">
        <w:t xml:space="preserve"> </w:t>
      </w:r>
      <w:r w:rsidRPr="00382917">
        <w:t>that</w:t>
      </w:r>
      <w:r w:rsidR="00EE4FC3">
        <w:t xml:space="preserve"> </w:t>
      </w:r>
      <w:r w:rsidRPr="00382917">
        <w:t>the</w:t>
      </w:r>
      <w:r w:rsidR="00EE4FC3">
        <w:t xml:space="preserve"> </w:t>
      </w:r>
      <w:r w:rsidRPr="00382917">
        <w:t>Faith</w:t>
      </w:r>
      <w:r w:rsidR="00EE4FC3">
        <w:t xml:space="preserve"> </w:t>
      </w:r>
      <w:r w:rsidRPr="00382917">
        <w:t>of</w:t>
      </w:r>
      <w:r w:rsidR="00EE4FC3">
        <w:t xml:space="preserve"> </w:t>
      </w:r>
      <w:r w:rsidRPr="00382917">
        <w:t>God</w:t>
      </w:r>
      <w:r w:rsidR="00EE4FC3">
        <w:t xml:space="preserve"> </w:t>
      </w:r>
      <w:r w:rsidRPr="00382917">
        <w:t>might</w:t>
      </w:r>
      <w:r w:rsidR="00EE4FC3">
        <w:t xml:space="preserve"> </w:t>
      </w:r>
      <w:r w:rsidRPr="00382917">
        <w:t>go</w:t>
      </w:r>
      <w:r w:rsidR="00EE4FC3">
        <w:t xml:space="preserve"> </w:t>
      </w:r>
      <w:r w:rsidRPr="00382917">
        <w:t>on</w:t>
      </w:r>
      <w:r w:rsidR="00EE4FC3">
        <w:t xml:space="preserve"> </w:t>
      </w:r>
      <w:r w:rsidRPr="00382917">
        <w:t>to</w:t>
      </w:r>
      <w:r w:rsidR="00EE4FC3">
        <w:t xml:space="preserve"> </w:t>
      </w:r>
      <w:proofErr w:type="spellStart"/>
      <w:r w:rsidRPr="00382917">
        <w:t>fulfill</w:t>
      </w:r>
      <w:proofErr w:type="spellEnd"/>
      <w:r w:rsidR="00EE4FC3">
        <w:t xml:space="preserve"> </w:t>
      </w:r>
      <w:proofErr w:type="spellStart"/>
      <w:proofErr w:type="gramStart"/>
      <w:r w:rsidRPr="00382917">
        <w:t>it</w:t>
      </w:r>
      <w:r w:rsidR="004D5099">
        <w:t>’</w:t>
      </w:r>
      <w:r w:rsidRPr="00382917">
        <w:t>s</w:t>
      </w:r>
      <w:proofErr w:type="spellEnd"/>
      <w:proofErr w:type="gramEnd"/>
      <w:r w:rsidR="00EE4FC3">
        <w:t xml:space="preserve"> </w:t>
      </w:r>
      <w:r w:rsidRPr="00382917">
        <w:t>destiny.</w:t>
      </w:r>
    </w:p>
    <w:p w:rsidR="00E13D49" w:rsidRPr="00382917" w:rsidRDefault="00582826" w:rsidP="00582826">
      <w:pPr>
        <w:pStyle w:val="Text"/>
      </w:pPr>
      <w:r w:rsidRPr="00382917">
        <w:t>During</w:t>
      </w:r>
      <w:r w:rsidR="00EE4FC3">
        <w:t xml:space="preserve"> </w:t>
      </w:r>
      <w:r w:rsidRPr="00382917">
        <w:t>those</w:t>
      </w:r>
      <w:r w:rsidR="00EE4FC3">
        <w:t xml:space="preserve"> </w:t>
      </w:r>
      <w:r w:rsidRPr="00382917">
        <w:t>earliest</w:t>
      </w:r>
      <w:r w:rsidR="00EE4FC3">
        <w:t xml:space="preserve"> </w:t>
      </w:r>
      <w:r w:rsidRPr="00382917">
        <w:t>days</w:t>
      </w:r>
      <w:r w:rsidR="00EE4FC3">
        <w:t xml:space="preserve"> </w:t>
      </w:r>
      <w:r w:rsidRPr="00382917">
        <w:t>when</w:t>
      </w:r>
      <w:r w:rsidR="00EE4FC3">
        <w:t xml:space="preserve"> </w:t>
      </w:r>
      <w:r w:rsidRPr="00382917">
        <w:t>students</w:t>
      </w:r>
      <w:r w:rsidR="00EE4FC3">
        <w:t xml:space="preserve"> </w:t>
      </w:r>
      <w:r w:rsidRPr="00382917">
        <w:t>of</w:t>
      </w:r>
      <w:r w:rsidR="00EE4FC3">
        <w:t xml:space="preserve"> </w:t>
      </w:r>
      <w:r w:rsidRPr="00382917">
        <w:t>scripture</w:t>
      </w:r>
      <w:r w:rsidR="00EE4FC3">
        <w:t xml:space="preserve"> </w:t>
      </w:r>
      <w:r w:rsidRPr="00382917">
        <w:t>in</w:t>
      </w:r>
      <w:r w:rsidR="00EE4FC3">
        <w:t xml:space="preserve"> </w:t>
      </w:r>
      <w:r w:rsidRPr="00382917">
        <w:t>America,</w:t>
      </w:r>
      <w:r w:rsidR="00EE4FC3">
        <w:t xml:space="preserve"> </w:t>
      </w:r>
      <w:r w:rsidRPr="00382917">
        <w:t>Europe,</w:t>
      </w:r>
      <w:r w:rsidR="00EE4FC3">
        <w:t xml:space="preserve"> </w:t>
      </w:r>
      <w:r w:rsidRPr="00382917">
        <w:t>Asia</w:t>
      </w:r>
      <w:r w:rsidR="00EE4FC3">
        <w:t xml:space="preserve"> </w:t>
      </w:r>
      <w:r w:rsidRPr="00382917">
        <w:t>and</w:t>
      </w:r>
      <w:r w:rsidR="00EE4FC3">
        <w:t xml:space="preserve"> </w:t>
      </w:r>
      <w:r w:rsidRPr="00382917">
        <w:t>Africa</w:t>
      </w:r>
      <w:r w:rsidR="00EE4FC3">
        <w:t xml:space="preserve"> </w:t>
      </w:r>
      <w:r w:rsidRPr="00382917">
        <w:t>were</w:t>
      </w:r>
      <w:r w:rsidR="00EE4FC3">
        <w:t xml:space="preserve"> </w:t>
      </w:r>
      <w:r w:rsidRPr="00382917">
        <w:t>expecting</w:t>
      </w:r>
      <w:r w:rsidR="00EE4FC3">
        <w:t xml:space="preserve"> </w:t>
      </w:r>
      <w:r w:rsidRPr="00382917">
        <w:t>the</w:t>
      </w:r>
      <w:r w:rsidR="00EE4FC3">
        <w:t xml:space="preserve"> </w:t>
      </w:r>
      <w:r w:rsidRPr="00382917">
        <w:t>Promised</w:t>
      </w:r>
      <w:r w:rsidR="00EE4FC3">
        <w:t xml:space="preserve"> </w:t>
      </w:r>
      <w:r w:rsidRPr="00382917">
        <w:t>One,</w:t>
      </w:r>
      <w:r w:rsidR="00EE4FC3">
        <w:t xml:space="preserve"> </w:t>
      </w:r>
      <w:r w:rsidR="008A073E" w:rsidRPr="00382917">
        <w:rPr>
          <w:u w:val="single"/>
        </w:rPr>
        <w:t>Sh</w:t>
      </w:r>
      <w:r w:rsidR="008A073E" w:rsidRPr="00382917">
        <w:t>ay</w:t>
      </w:r>
      <w:r w:rsidR="008A073E" w:rsidRPr="00382917">
        <w:rPr>
          <w:u w:val="single"/>
        </w:rPr>
        <w:t>kh</w:t>
      </w:r>
      <w:r w:rsidR="00EE4FC3">
        <w:t xml:space="preserve"> </w:t>
      </w:r>
      <w:r w:rsidRPr="00382917">
        <w:t>Aḥmad</w:t>
      </w:r>
      <w:r w:rsidR="00EE4FC3">
        <w:t xml:space="preserve"> </w:t>
      </w:r>
      <w:r w:rsidRPr="00382917">
        <w:t>and</w:t>
      </w:r>
      <w:r w:rsidR="00EE4FC3">
        <w:t xml:space="preserve"> </w:t>
      </w:r>
      <w:r w:rsidRPr="00382917">
        <w:t>Siyyid</w:t>
      </w:r>
      <w:r w:rsidR="00EE4FC3">
        <w:t xml:space="preserve"> </w:t>
      </w:r>
      <w:r w:rsidRPr="00382917">
        <w:t>Káẓim</w:t>
      </w:r>
      <w:r w:rsidR="00EE4FC3">
        <w:t xml:space="preserve"> </w:t>
      </w:r>
      <w:r w:rsidRPr="00382917">
        <w:t>both</w:t>
      </w:r>
      <w:r w:rsidR="00EE4FC3">
        <w:t xml:space="preserve"> </w:t>
      </w:r>
      <w:r w:rsidRPr="00382917">
        <w:t>repeatedly</w:t>
      </w:r>
      <w:r w:rsidR="00EE4FC3">
        <w:t xml:space="preserve"> </w:t>
      </w:r>
      <w:r w:rsidRPr="00382917">
        <w:t>told</w:t>
      </w:r>
      <w:r w:rsidR="00EE4FC3">
        <w:t xml:space="preserve"> </w:t>
      </w:r>
      <w:r w:rsidRPr="00382917">
        <w:t>their</w:t>
      </w:r>
      <w:r w:rsidR="00EE4FC3">
        <w:t xml:space="preserve"> </w:t>
      </w:r>
      <w:r w:rsidRPr="00382917">
        <w:t>followers</w:t>
      </w:r>
      <w:r w:rsidR="00EE4FC3">
        <w:t xml:space="preserve"> </w:t>
      </w:r>
      <w:r w:rsidRPr="00382917">
        <w:t>that</w:t>
      </w:r>
      <w:r w:rsidR="00EE4FC3">
        <w:t xml:space="preserve"> </w:t>
      </w:r>
      <w:r w:rsidRPr="00382917">
        <w:t>the</w:t>
      </w:r>
      <w:r w:rsidR="00EE4FC3">
        <w:t xml:space="preserve"> </w:t>
      </w:r>
      <w:r w:rsidRPr="00382917">
        <w:t>hour</w:t>
      </w:r>
      <w:r w:rsidR="00EE4FC3">
        <w:t xml:space="preserve"> </w:t>
      </w:r>
      <w:r w:rsidRPr="00382917">
        <w:t>for</w:t>
      </w:r>
      <w:r w:rsidR="00EE4FC3">
        <w:t xml:space="preserve"> </w:t>
      </w:r>
      <w:r w:rsidRPr="00382917">
        <w:t>His</w:t>
      </w:r>
      <w:r w:rsidR="00EE4FC3">
        <w:t xml:space="preserve"> </w:t>
      </w:r>
      <w:r w:rsidRPr="00382917">
        <w:t>coming</w:t>
      </w:r>
      <w:r w:rsidR="00EE4FC3">
        <w:t xml:space="preserve"> </w:t>
      </w:r>
      <w:r w:rsidRPr="00382917">
        <w:t>was</w:t>
      </w:r>
      <w:r w:rsidR="00EE4FC3">
        <w:t xml:space="preserve"> </w:t>
      </w:r>
      <w:r w:rsidRPr="00382917">
        <w:t>now</w:t>
      </w:r>
      <w:r w:rsidR="00EE4FC3">
        <w:t xml:space="preserve"> </w:t>
      </w:r>
      <w:r w:rsidRPr="00382917">
        <w:t>at</w:t>
      </w:r>
      <w:r w:rsidR="00EE4FC3">
        <w:t xml:space="preserve"> </w:t>
      </w:r>
      <w:r w:rsidRPr="00382917">
        <w:t>hand</w:t>
      </w:r>
      <w:r w:rsidR="00330AF7">
        <w:t>.</w:t>
      </w:r>
      <w:r w:rsidR="00EE4FC3">
        <w:t xml:space="preserve">  </w:t>
      </w:r>
      <w:r w:rsidRPr="00382917">
        <w:t>There</w:t>
      </w:r>
      <w:r w:rsidR="00EE4FC3">
        <w:t xml:space="preserve"> </w:t>
      </w:r>
      <w:r w:rsidRPr="00382917">
        <w:t>would</w:t>
      </w:r>
      <w:r w:rsidR="00EE4FC3">
        <w:t xml:space="preserve"> </w:t>
      </w:r>
      <w:r w:rsidRPr="00382917">
        <w:t>be</w:t>
      </w:r>
      <w:r w:rsidR="00EE4FC3">
        <w:t xml:space="preserve"> </w:t>
      </w:r>
      <w:r w:rsidRPr="00382917">
        <w:t>twin</w:t>
      </w:r>
      <w:r w:rsidR="00EE4FC3">
        <w:t xml:space="preserve"> </w:t>
      </w:r>
      <w:r w:rsidRPr="00382917">
        <w:t>Messengers</w:t>
      </w:r>
      <w:r w:rsidR="00EE4FC3">
        <w:t xml:space="preserve"> </w:t>
      </w:r>
      <w:r w:rsidRPr="00382917">
        <w:t>in</w:t>
      </w:r>
      <w:r w:rsidR="00EE4FC3">
        <w:t xml:space="preserve"> </w:t>
      </w:r>
      <w:r w:rsidRPr="00382917">
        <w:t>this</w:t>
      </w:r>
      <w:r w:rsidR="00EE4FC3">
        <w:t xml:space="preserve"> </w:t>
      </w:r>
      <w:r w:rsidRPr="00382917">
        <w:t>day,</w:t>
      </w:r>
      <w:r w:rsidR="00EE4FC3">
        <w:t xml:space="preserve"> </w:t>
      </w:r>
      <w:r w:rsidRPr="00382917">
        <w:t>they</w:t>
      </w:r>
      <w:r w:rsidR="00EE4FC3">
        <w:t xml:space="preserve"> </w:t>
      </w:r>
      <w:r w:rsidRPr="00382917">
        <w:t>said</w:t>
      </w:r>
      <w:r w:rsidR="00330AF7">
        <w:t>.</w:t>
      </w:r>
      <w:r w:rsidR="00EE4FC3">
        <w:t xml:space="preserve">  </w:t>
      </w:r>
      <w:r w:rsidRPr="00382917">
        <w:t>They</w:t>
      </w:r>
      <w:r w:rsidR="00EE4FC3">
        <w:t xml:space="preserve"> </w:t>
      </w:r>
      <w:r w:rsidRPr="00382917">
        <w:t>would</w:t>
      </w:r>
      <w:r w:rsidR="00EE4FC3">
        <w:t xml:space="preserve"> </w:t>
      </w:r>
      <w:r w:rsidRPr="00382917">
        <w:t>both</w:t>
      </w:r>
      <w:r w:rsidR="00EE4FC3">
        <w:t xml:space="preserve"> </w:t>
      </w:r>
      <w:r w:rsidRPr="00382917">
        <w:t>appear</w:t>
      </w:r>
      <w:r w:rsidR="00EE4FC3">
        <w:t xml:space="preserve"> </w:t>
      </w:r>
      <w:r w:rsidRPr="00382917">
        <w:t>in</w:t>
      </w:r>
      <w:r w:rsidR="00EE4FC3">
        <w:t xml:space="preserve"> </w:t>
      </w:r>
      <w:r w:rsidRPr="00382917">
        <w:t>Persia</w:t>
      </w:r>
      <w:r w:rsidR="00330AF7">
        <w:t>.</w:t>
      </w:r>
      <w:r w:rsidR="00EE4FC3">
        <w:t xml:space="preserve">  </w:t>
      </w:r>
      <w:r w:rsidRPr="00382917">
        <w:t>They</w:t>
      </w:r>
      <w:r w:rsidR="00EE4FC3">
        <w:t xml:space="preserve"> </w:t>
      </w:r>
      <w:r w:rsidRPr="00382917">
        <w:t>would</w:t>
      </w:r>
      <w:r w:rsidR="00EE4FC3">
        <w:t xml:space="preserve"> </w:t>
      </w:r>
      <w:r w:rsidRPr="00382917">
        <w:t>follow</w:t>
      </w:r>
      <w:r w:rsidR="00EE4FC3">
        <w:t xml:space="preserve"> </w:t>
      </w:r>
      <w:r w:rsidRPr="00382917">
        <w:t>each</w:t>
      </w:r>
      <w:r w:rsidR="00EE4FC3">
        <w:t xml:space="preserve"> </w:t>
      </w:r>
      <w:r w:rsidRPr="00382917">
        <w:t>other</w:t>
      </w:r>
      <w:r w:rsidR="00EE4FC3">
        <w:t xml:space="preserve"> </w:t>
      </w:r>
      <w:r w:rsidRPr="00382917">
        <w:t>in</w:t>
      </w:r>
      <w:r w:rsidR="00EE4FC3">
        <w:t xml:space="preserve"> </w:t>
      </w:r>
      <w:r w:rsidRPr="00382917">
        <w:t>rapid</w:t>
      </w:r>
      <w:r w:rsidR="00EE4FC3">
        <w:t xml:space="preserve"> </w:t>
      </w:r>
      <w:r w:rsidRPr="00382917">
        <w:t>succession</w:t>
      </w:r>
      <w:r w:rsidR="00EE4FC3">
        <w:t xml:space="preserve"> </w:t>
      </w:r>
      <w:r w:rsidRPr="00382917">
        <w:t>exactly</w:t>
      </w:r>
      <w:r w:rsidR="00EE4FC3">
        <w:t xml:space="preserve"> </w:t>
      </w:r>
      <w:r w:rsidRPr="00382917">
        <w:t>as</w:t>
      </w:r>
      <w:r w:rsidR="00EE4FC3">
        <w:t xml:space="preserve"> </w:t>
      </w:r>
      <w:r w:rsidRPr="00382917">
        <w:t>foretold</w:t>
      </w:r>
      <w:r w:rsidR="00EE4FC3">
        <w:t xml:space="preserve"> </w:t>
      </w:r>
      <w:r w:rsidRPr="00382917">
        <w:t>in</w:t>
      </w:r>
      <w:r w:rsidR="00EE4FC3">
        <w:t xml:space="preserve"> </w:t>
      </w:r>
      <w:r w:rsidRPr="00382917">
        <w:t>the</w:t>
      </w:r>
      <w:r w:rsidR="00EE4FC3">
        <w:t xml:space="preserve"> </w:t>
      </w:r>
      <w:proofErr w:type="gramStart"/>
      <w:r w:rsidRPr="00382917">
        <w:t>holy</w:t>
      </w:r>
      <w:proofErr w:type="gramEnd"/>
      <w:r w:rsidR="00EE4FC3">
        <w:t xml:space="preserve"> </w:t>
      </w:r>
      <w:r w:rsidRPr="00382917">
        <w:t>Scriptures</w:t>
      </w:r>
      <w:r w:rsidR="00330AF7">
        <w:t>.</w:t>
      </w:r>
      <w:r w:rsidR="00EE4FC3">
        <w:t xml:space="preserve">  </w:t>
      </w:r>
      <w:r w:rsidRPr="00382917">
        <w:t>They</w:t>
      </w:r>
      <w:r w:rsidR="00EE4FC3">
        <w:t xml:space="preserve"> </w:t>
      </w:r>
      <w:r w:rsidRPr="00382917">
        <w:t>would</w:t>
      </w:r>
      <w:r w:rsidR="00EE4FC3">
        <w:t xml:space="preserve"> </w:t>
      </w:r>
      <w:r w:rsidRPr="00382917">
        <w:t>be</w:t>
      </w:r>
      <w:r w:rsidR="00EE4FC3">
        <w:t xml:space="preserve"> </w:t>
      </w:r>
      <w:r w:rsidRPr="00382917">
        <w:t>the</w:t>
      </w:r>
      <w:r w:rsidR="00EE4FC3">
        <w:t xml:space="preserve"> </w:t>
      </w:r>
      <w:r w:rsidRPr="00382917">
        <w:t>two</w:t>
      </w:r>
      <w:r w:rsidR="00EE4FC3">
        <w:t xml:space="preserve"> </w:t>
      </w:r>
      <w:proofErr w:type="spellStart"/>
      <w:r w:rsidRPr="00382917">
        <w:t>succes</w:t>
      </w:r>
      <w:proofErr w:type="spellEnd"/>
      <w:r w:rsidRPr="00382917">
        <w:t>-</w:t>
      </w:r>
    </w:p>
    <w:p w:rsidR="00582826" w:rsidRPr="00382917" w:rsidRDefault="00582826">
      <w:pPr>
        <w:widowControl/>
        <w:kinsoku/>
        <w:overflowPunct/>
        <w:textAlignment w:val="auto"/>
      </w:pPr>
      <w:r w:rsidRPr="00382917">
        <w:br w:type="page"/>
      </w:r>
    </w:p>
    <w:p w:rsidR="00610ADA" w:rsidRPr="00382917" w:rsidRDefault="00610ADA" w:rsidP="004D5099">
      <w:pPr>
        <w:pStyle w:val="Textcts"/>
      </w:pPr>
      <w:proofErr w:type="spellStart"/>
      <w:r w:rsidRPr="00382917">
        <w:t>sive</w:t>
      </w:r>
      <w:proofErr w:type="spellEnd"/>
      <w:r w:rsidR="00EE4FC3">
        <w:t xml:space="preserve"> </w:t>
      </w:r>
      <w:r w:rsidR="009C713D" w:rsidRPr="00382917">
        <w:t>“</w:t>
      </w:r>
      <w:r w:rsidRPr="00382917">
        <w:t>trumpet</w:t>
      </w:r>
      <w:r w:rsidR="00EE4FC3">
        <w:t xml:space="preserve"> </w:t>
      </w:r>
      <w:r w:rsidRPr="00382917">
        <w:t>blasts</w:t>
      </w:r>
      <w:r w:rsidR="009C713D" w:rsidRPr="00382917">
        <w:t>”</w:t>
      </w:r>
      <w:r w:rsidR="00EE4FC3">
        <w:t xml:space="preserve"> </w:t>
      </w:r>
      <w:r w:rsidRPr="00382917">
        <w:t>mentioned</w:t>
      </w:r>
      <w:r w:rsidR="00EE4FC3">
        <w:t xml:space="preserve"> </w:t>
      </w:r>
      <w:r w:rsidRPr="00382917">
        <w:t>in</w:t>
      </w:r>
      <w:r w:rsidR="00EE4FC3">
        <w:t xml:space="preserve"> </w:t>
      </w:r>
      <w:r w:rsidRPr="00382917">
        <w:t>the</w:t>
      </w:r>
      <w:r w:rsidR="00EE4FC3">
        <w:t xml:space="preserve"> </w:t>
      </w:r>
      <w:r w:rsidR="00382917">
        <w:t>Qur’án</w:t>
      </w:r>
      <w:r w:rsidR="00EE4FC3">
        <w:t xml:space="preserve"> </w:t>
      </w:r>
      <w:r w:rsidRPr="00382917">
        <w:t>for</w:t>
      </w:r>
      <w:r w:rsidR="00EE4FC3">
        <w:t xml:space="preserve"> </w:t>
      </w:r>
      <w:r w:rsidRPr="00382917">
        <w:t>the</w:t>
      </w:r>
      <w:r w:rsidR="00EE4FC3">
        <w:t xml:space="preserve"> </w:t>
      </w:r>
      <w:r w:rsidR="009C713D" w:rsidRPr="00382917">
        <w:t>“</w:t>
      </w:r>
      <w:r w:rsidRPr="00382917">
        <w:t>last</w:t>
      </w:r>
      <w:r w:rsidR="00EE4FC3">
        <w:t xml:space="preserve"> </w:t>
      </w:r>
      <w:r w:rsidRPr="00382917">
        <w:t>days</w:t>
      </w:r>
      <w:r w:rsidR="009C713D" w:rsidRPr="00382917">
        <w:t>”</w:t>
      </w:r>
      <w:r w:rsidRPr="00382917">
        <w:t>;</w:t>
      </w:r>
      <w:r w:rsidR="00EE4FC3">
        <w:t xml:space="preserve"> </w:t>
      </w:r>
      <w:r w:rsidRPr="00382917">
        <w:t>the</w:t>
      </w:r>
      <w:r w:rsidR="00EE4FC3">
        <w:t xml:space="preserve"> </w:t>
      </w:r>
      <w:r w:rsidRPr="00382917">
        <w:t>return</w:t>
      </w:r>
      <w:r w:rsidR="00EE4FC3">
        <w:t xml:space="preserve"> </w:t>
      </w:r>
      <w:r w:rsidRPr="00382917">
        <w:t>of</w:t>
      </w:r>
      <w:r w:rsidR="00EE4FC3">
        <w:t xml:space="preserve"> </w:t>
      </w:r>
      <w:r w:rsidRPr="00382917">
        <w:t>Elijah</w:t>
      </w:r>
      <w:r w:rsidR="00EE4FC3">
        <w:t xml:space="preserve"> </w:t>
      </w:r>
      <w:r w:rsidRPr="00382917">
        <w:t>followed</w:t>
      </w:r>
      <w:r w:rsidR="00EE4FC3">
        <w:t xml:space="preserve"> </w:t>
      </w:r>
      <w:r w:rsidRPr="00382917">
        <w:t>by</w:t>
      </w:r>
      <w:r w:rsidR="00EE4FC3">
        <w:t xml:space="preserve"> </w:t>
      </w:r>
      <w:r w:rsidRPr="00382917">
        <w:t>the</w:t>
      </w:r>
      <w:r w:rsidR="00EE4FC3">
        <w:t xml:space="preserve"> </w:t>
      </w:r>
      <w:r w:rsidRPr="00382917">
        <w:t>Lord</w:t>
      </w:r>
      <w:r w:rsidR="00EE4FC3">
        <w:t xml:space="preserve"> </w:t>
      </w:r>
      <w:r w:rsidRPr="00382917">
        <w:t>of</w:t>
      </w:r>
      <w:r w:rsidR="00EE4FC3">
        <w:t xml:space="preserve"> </w:t>
      </w:r>
      <w:r w:rsidRPr="00382917">
        <w:t>Hosts</w:t>
      </w:r>
      <w:r w:rsidR="00EE4FC3">
        <w:t xml:space="preserve"> </w:t>
      </w:r>
      <w:r w:rsidRPr="00382917">
        <w:t>foretold</w:t>
      </w:r>
      <w:r w:rsidR="00EE4FC3">
        <w:t xml:space="preserve"> </w:t>
      </w:r>
      <w:r w:rsidRPr="00382917">
        <w:t>in</w:t>
      </w:r>
      <w:r w:rsidR="00EE4FC3">
        <w:t xml:space="preserve"> </w:t>
      </w:r>
      <w:r w:rsidRPr="00382917">
        <w:t>the</w:t>
      </w:r>
      <w:r w:rsidR="00EE4FC3">
        <w:t xml:space="preserve"> </w:t>
      </w:r>
      <w:r w:rsidRPr="00382917">
        <w:t>Old</w:t>
      </w:r>
      <w:r w:rsidR="00EE4FC3">
        <w:t xml:space="preserve"> </w:t>
      </w:r>
      <w:r w:rsidRPr="00382917">
        <w:t>Testament;</w:t>
      </w:r>
      <w:r w:rsidR="00EE4FC3">
        <w:t xml:space="preserve"> </w:t>
      </w:r>
      <w:r w:rsidRPr="00382917">
        <w:t>the</w:t>
      </w:r>
      <w:r w:rsidR="00EE4FC3">
        <w:t xml:space="preserve"> </w:t>
      </w:r>
      <w:r w:rsidR="009C713D" w:rsidRPr="00382917">
        <w:t>“</w:t>
      </w:r>
      <w:r w:rsidRPr="00382917">
        <w:t>second</w:t>
      </w:r>
      <w:r w:rsidR="00EE4FC3">
        <w:t xml:space="preserve"> </w:t>
      </w:r>
      <w:r w:rsidRPr="00382917">
        <w:t>woe</w:t>
      </w:r>
      <w:r w:rsidR="009C713D" w:rsidRPr="00382917">
        <w:t>”</w:t>
      </w:r>
      <w:r w:rsidR="00EE4FC3">
        <w:t xml:space="preserve"> </w:t>
      </w:r>
      <w:r w:rsidRPr="00382917">
        <w:t>and</w:t>
      </w:r>
      <w:r w:rsidR="00EE4FC3">
        <w:t xml:space="preserve"> </w:t>
      </w:r>
      <w:r w:rsidRPr="00382917">
        <w:t>the</w:t>
      </w:r>
      <w:r w:rsidR="00EE4FC3">
        <w:t xml:space="preserve"> </w:t>
      </w:r>
      <w:r w:rsidR="009C713D" w:rsidRPr="00382917">
        <w:t>“</w:t>
      </w:r>
      <w:r w:rsidRPr="00382917">
        <w:t>third</w:t>
      </w:r>
      <w:r w:rsidR="00EE4FC3">
        <w:t xml:space="preserve"> </w:t>
      </w:r>
      <w:r w:rsidRPr="00382917">
        <w:t>woe</w:t>
      </w:r>
      <w:r w:rsidR="009C713D" w:rsidRPr="00382917">
        <w:t>”</w:t>
      </w:r>
      <w:r w:rsidR="00EE4FC3">
        <w:t xml:space="preserve"> </w:t>
      </w:r>
      <w:r w:rsidRPr="00382917">
        <w:t>that</w:t>
      </w:r>
      <w:r w:rsidR="00EE4FC3">
        <w:t xml:space="preserve"> </w:t>
      </w:r>
      <w:r w:rsidRPr="00382917">
        <w:t>would</w:t>
      </w:r>
      <w:r w:rsidR="00EE4FC3">
        <w:t xml:space="preserve"> </w:t>
      </w:r>
      <w:r w:rsidRPr="00382917">
        <w:t>follow</w:t>
      </w:r>
      <w:r w:rsidR="00EE4FC3">
        <w:t xml:space="preserve"> </w:t>
      </w:r>
      <w:r w:rsidRPr="00382917">
        <w:t>quickly,</w:t>
      </w:r>
      <w:r w:rsidR="00EE4FC3">
        <w:t xml:space="preserve"> </w:t>
      </w:r>
      <w:r w:rsidRPr="00382917">
        <w:t>as</w:t>
      </w:r>
      <w:r w:rsidR="00EE4FC3">
        <w:t xml:space="preserve"> </w:t>
      </w:r>
      <w:r w:rsidRPr="00382917">
        <w:t>promised</w:t>
      </w:r>
      <w:r w:rsidR="00EE4FC3">
        <w:t xml:space="preserve"> </w:t>
      </w:r>
      <w:r w:rsidRPr="00382917">
        <w:t>in</w:t>
      </w:r>
      <w:r w:rsidR="00EE4FC3">
        <w:t xml:space="preserve"> </w:t>
      </w:r>
      <w:r w:rsidRPr="00382917">
        <w:t>the</w:t>
      </w:r>
      <w:r w:rsidR="00EE4FC3">
        <w:t xml:space="preserve"> </w:t>
      </w:r>
      <w:r w:rsidRPr="00382917">
        <w:t>Book</w:t>
      </w:r>
      <w:r w:rsidR="00EE4FC3">
        <w:t xml:space="preserve"> </w:t>
      </w:r>
      <w:r w:rsidRPr="00382917">
        <w:t>of</w:t>
      </w:r>
      <w:r w:rsidR="00EE4FC3">
        <w:t xml:space="preserve"> </w:t>
      </w:r>
      <w:r w:rsidRPr="00382917">
        <w:t>Revelation</w:t>
      </w:r>
      <w:r w:rsidR="00EE4FC3">
        <w:t xml:space="preserve"> </w:t>
      </w:r>
      <w:r w:rsidRPr="00382917">
        <w:t>for</w:t>
      </w:r>
      <w:r w:rsidR="00EE4FC3">
        <w:t xml:space="preserve"> </w:t>
      </w:r>
      <w:r w:rsidRPr="00382917">
        <w:t>the</w:t>
      </w:r>
      <w:r w:rsidR="00EE4FC3">
        <w:t xml:space="preserve"> </w:t>
      </w:r>
      <w:r w:rsidRPr="00382917">
        <w:t>day</w:t>
      </w:r>
      <w:r w:rsidR="00EE4FC3">
        <w:t xml:space="preserve"> </w:t>
      </w:r>
      <w:r w:rsidRPr="00382917">
        <w:t>when</w:t>
      </w:r>
      <w:r w:rsidR="00EE4FC3">
        <w:t xml:space="preserve"> </w:t>
      </w:r>
      <w:r w:rsidRPr="00382917">
        <w:t>the</w:t>
      </w:r>
      <w:r w:rsidR="00EE4FC3">
        <w:t xml:space="preserve"> </w:t>
      </w:r>
      <w:r w:rsidRPr="00382917">
        <w:t>Lord</w:t>
      </w:r>
      <w:r w:rsidR="00EE4FC3">
        <w:t xml:space="preserve"> </w:t>
      </w:r>
      <w:r w:rsidRPr="00382917">
        <w:t>would</w:t>
      </w:r>
      <w:r w:rsidR="00EE4FC3">
        <w:t xml:space="preserve"> </w:t>
      </w:r>
      <w:r w:rsidRPr="00382917">
        <w:t>come</w:t>
      </w:r>
      <w:r w:rsidR="00EE4FC3">
        <w:t xml:space="preserve"> </w:t>
      </w:r>
      <w:r w:rsidR="009C713D" w:rsidRPr="00382917">
        <w:t>“</w:t>
      </w:r>
      <w:r w:rsidRPr="00382917">
        <w:t>quickly</w:t>
      </w:r>
      <w:r w:rsidR="00EE4FC3">
        <w:t xml:space="preserve"> </w:t>
      </w:r>
      <w:r w:rsidRPr="00382917">
        <w:t>into</w:t>
      </w:r>
      <w:r w:rsidR="00EE4FC3">
        <w:t xml:space="preserve"> </w:t>
      </w:r>
      <w:r w:rsidRPr="00382917">
        <w:t>His</w:t>
      </w:r>
      <w:r w:rsidR="00EE4FC3">
        <w:t xml:space="preserve"> </w:t>
      </w:r>
      <w:r w:rsidRPr="00382917">
        <w:t>temple</w:t>
      </w:r>
      <w:r w:rsidR="009C713D" w:rsidRPr="00382917">
        <w:t>”</w:t>
      </w:r>
      <w:r w:rsidR="004D5099">
        <w:t xml:space="preserve">. </w:t>
      </w:r>
      <w:r w:rsidR="00EE4FC3">
        <w:t xml:space="preserve"> </w:t>
      </w:r>
      <w:r w:rsidRPr="00382917">
        <w:t>The</w:t>
      </w:r>
      <w:r w:rsidR="00EE4FC3">
        <w:t xml:space="preserve"> </w:t>
      </w:r>
      <w:r w:rsidRPr="00382917">
        <w:t>Báb</w:t>
      </w:r>
      <w:r w:rsidR="00EE4FC3">
        <w:t xml:space="preserve"> </w:t>
      </w:r>
      <w:r w:rsidRPr="00382917">
        <w:t>Himself</w:t>
      </w:r>
      <w:r w:rsidR="00EE4FC3">
        <w:t xml:space="preserve"> </w:t>
      </w:r>
      <w:r w:rsidRPr="00382917">
        <w:t>emphasized</w:t>
      </w:r>
      <w:r w:rsidR="00EE4FC3">
        <w:t xml:space="preserve"> </w:t>
      </w:r>
      <w:r w:rsidRPr="00382917">
        <w:t>the</w:t>
      </w:r>
      <w:r w:rsidR="00EE4FC3">
        <w:t xml:space="preserve"> </w:t>
      </w:r>
      <w:r w:rsidRPr="00382917">
        <w:t>brief</w:t>
      </w:r>
      <w:r w:rsidR="00EE4FC3">
        <w:t xml:space="preserve"> </w:t>
      </w:r>
      <w:r w:rsidRPr="00382917">
        <w:t>time</w:t>
      </w:r>
      <w:r w:rsidR="00EE4FC3">
        <w:t xml:space="preserve"> </w:t>
      </w:r>
      <w:r w:rsidRPr="00382917">
        <w:t>that</w:t>
      </w:r>
      <w:r w:rsidR="00EE4FC3">
        <w:t xml:space="preserve"> </w:t>
      </w:r>
      <w:r w:rsidRPr="00382917">
        <w:t>would</w:t>
      </w:r>
      <w:r w:rsidR="00EE4FC3">
        <w:t xml:space="preserve"> </w:t>
      </w:r>
      <w:r w:rsidRPr="00382917">
        <w:t>separate</w:t>
      </w:r>
      <w:r w:rsidR="00EE4FC3">
        <w:t xml:space="preserve"> </w:t>
      </w:r>
      <w:r w:rsidRPr="00382917">
        <w:t>His</w:t>
      </w:r>
      <w:r w:rsidR="00EE4FC3">
        <w:t xml:space="preserve"> </w:t>
      </w:r>
      <w:r w:rsidRPr="00382917">
        <w:t>own</w:t>
      </w:r>
      <w:r w:rsidR="00EE4FC3">
        <w:t xml:space="preserve"> </w:t>
      </w:r>
      <w:r w:rsidRPr="00382917">
        <w:t>Mission</w:t>
      </w:r>
      <w:r w:rsidR="00EE4FC3">
        <w:t xml:space="preserve"> </w:t>
      </w:r>
      <w:r w:rsidRPr="00382917">
        <w:t>from</w:t>
      </w:r>
      <w:r w:rsidR="00EE4FC3">
        <w:t xml:space="preserve"> </w:t>
      </w:r>
      <w:r w:rsidRPr="00382917">
        <w:t>the</w:t>
      </w:r>
      <w:r w:rsidR="00EE4FC3">
        <w:t xml:space="preserve"> </w:t>
      </w:r>
      <w:r w:rsidRPr="00382917">
        <w:t>One</w:t>
      </w:r>
      <w:r w:rsidR="00EE4FC3">
        <w:t xml:space="preserve"> </w:t>
      </w:r>
      <w:r w:rsidRPr="00382917">
        <w:t>to</w:t>
      </w:r>
      <w:r w:rsidR="00EE4FC3">
        <w:t xml:space="preserve"> </w:t>
      </w:r>
      <w:r w:rsidRPr="00382917">
        <w:t>come</w:t>
      </w:r>
      <w:r w:rsidR="00EE4FC3">
        <w:t xml:space="preserve"> </w:t>
      </w:r>
      <w:r w:rsidRPr="00382917">
        <w:t>after</w:t>
      </w:r>
      <w:r w:rsidR="00EE4FC3">
        <w:t xml:space="preserve"> </w:t>
      </w:r>
      <w:r w:rsidRPr="00382917">
        <w:t>Him</w:t>
      </w:r>
      <w:r w:rsidR="00C03C91">
        <w:t>:</w:t>
      </w:r>
      <w:r w:rsidR="00EE4FC3">
        <w:t xml:space="preserve">  </w:t>
      </w:r>
      <w:r w:rsidR="009C713D" w:rsidRPr="00382917">
        <w:t>“</w:t>
      </w:r>
      <w:r w:rsidRPr="00382917">
        <w:t>O</w:t>
      </w:r>
      <w:r w:rsidR="00EE4FC3">
        <w:t xml:space="preserve"> </w:t>
      </w:r>
      <w:r w:rsidRPr="00382917">
        <w:t>My</w:t>
      </w:r>
      <w:r w:rsidR="00EE4FC3">
        <w:t xml:space="preserve"> </w:t>
      </w:r>
      <w:r w:rsidRPr="00382917">
        <w:t>God!</w:t>
      </w:r>
      <w:r w:rsidR="00EE4FC3">
        <w:t xml:space="preserve"> </w:t>
      </w:r>
      <w:r w:rsidR="004D5099">
        <w:t xml:space="preserve"> </w:t>
      </w:r>
      <w:r w:rsidRPr="00382917">
        <w:t>Bear</w:t>
      </w:r>
      <w:r w:rsidR="00EE4FC3">
        <w:t xml:space="preserve"> </w:t>
      </w:r>
      <w:r w:rsidRPr="00382917">
        <w:t>Thou</w:t>
      </w:r>
      <w:r w:rsidR="00EE4FC3">
        <w:t xml:space="preserve"> </w:t>
      </w:r>
      <w:r w:rsidRPr="00382917">
        <w:t>witness,</w:t>
      </w:r>
      <w:r w:rsidR="009C713D" w:rsidRPr="00382917">
        <w:t>”</w:t>
      </w:r>
      <w:r w:rsidR="00EE4FC3">
        <w:t xml:space="preserve"> </w:t>
      </w:r>
      <w:r w:rsidRPr="00382917">
        <w:t>He</w:t>
      </w:r>
      <w:r w:rsidR="00EE4FC3">
        <w:t xml:space="preserve"> </w:t>
      </w:r>
      <w:r w:rsidRPr="00382917">
        <w:t>wrote,</w:t>
      </w:r>
      <w:r w:rsidR="00EE4FC3">
        <w:t xml:space="preserve"> </w:t>
      </w:r>
      <w:r w:rsidR="009C713D" w:rsidRPr="00382917">
        <w:t>“</w:t>
      </w:r>
      <w:r w:rsidRPr="00382917">
        <w:t>that</w:t>
      </w:r>
      <w:r w:rsidR="00EE4FC3">
        <w:t xml:space="preserve"> </w:t>
      </w:r>
      <w:r w:rsidRPr="00382917">
        <w:t>through</w:t>
      </w:r>
      <w:r w:rsidR="00EE4FC3">
        <w:t xml:space="preserve"> </w:t>
      </w:r>
      <w:r w:rsidRPr="00382917">
        <w:t>this</w:t>
      </w:r>
      <w:r w:rsidR="00EE4FC3">
        <w:t xml:space="preserve"> </w:t>
      </w:r>
      <w:r w:rsidRPr="00382917">
        <w:t>Book,</w:t>
      </w:r>
      <w:r w:rsidR="00EE4FC3">
        <w:t xml:space="preserve"> </w:t>
      </w:r>
      <w:r w:rsidRPr="00382917">
        <w:t>I</w:t>
      </w:r>
      <w:r w:rsidR="00EE4FC3">
        <w:t xml:space="preserve"> </w:t>
      </w:r>
      <w:r w:rsidRPr="00382917">
        <w:t>have</w:t>
      </w:r>
      <w:r w:rsidR="00EE4FC3">
        <w:t xml:space="preserve"> </w:t>
      </w:r>
      <w:r w:rsidRPr="00382917">
        <w:t>covenanted</w:t>
      </w:r>
      <w:r w:rsidR="00EE4FC3">
        <w:t xml:space="preserve"> </w:t>
      </w:r>
      <w:r w:rsidRPr="00382917">
        <w:t>with</w:t>
      </w:r>
      <w:r w:rsidR="00EE4FC3">
        <w:t xml:space="preserve"> </w:t>
      </w:r>
      <w:r w:rsidRPr="00382917">
        <w:t>all</w:t>
      </w:r>
      <w:r w:rsidR="00EE4FC3">
        <w:t xml:space="preserve"> </w:t>
      </w:r>
      <w:r w:rsidRPr="00382917">
        <w:t>created</w:t>
      </w:r>
      <w:r w:rsidR="00EE4FC3">
        <w:t xml:space="preserve"> </w:t>
      </w:r>
      <w:r w:rsidRPr="00382917">
        <w:t>things</w:t>
      </w:r>
      <w:r w:rsidR="00EE4FC3">
        <w:t xml:space="preserve"> </w:t>
      </w:r>
      <w:r w:rsidRPr="00382917">
        <w:t>concerning</w:t>
      </w:r>
      <w:r w:rsidR="00EE4FC3">
        <w:t xml:space="preserve"> </w:t>
      </w:r>
      <w:r w:rsidRPr="00382917">
        <w:t>the</w:t>
      </w:r>
      <w:r w:rsidR="00EE4FC3">
        <w:t xml:space="preserve"> </w:t>
      </w:r>
      <w:r w:rsidRPr="00382917">
        <w:t>Mission</w:t>
      </w:r>
      <w:r w:rsidR="00EE4FC3">
        <w:t xml:space="preserve"> </w:t>
      </w:r>
      <w:r w:rsidRPr="00382917">
        <w:t>of</w:t>
      </w:r>
      <w:r w:rsidR="00EE4FC3">
        <w:t xml:space="preserve"> </w:t>
      </w:r>
      <w:r w:rsidRPr="00382917">
        <w:t>Him</w:t>
      </w:r>
      <w:r w:rsidR="00EE4FC3">
        <w:t xml:space="preserve"> </w:t>
      </w:r>
      <w:r w:rsidRPr="00382917">
        <w:t>Whom</w:t>
      </w:r>
      <w:r w:rsidR="00EE4FC3">
        <w:t xml:space="preserve"> </w:t>
      </w:r>
      <w:r w:rsidRPr="00382917">
        <w:t>Thou</w:t>
      </w:r>
      <w:r w:rsidR="00EE4FC3">
        <w:t xml:space="preserve"> </w:t>
      </w:r>
      <w:r w:rsidRPr="00382917">
        <w:t>shalt</w:t>
      </w:r>
      <w:r w:rsidR="00EE4FC3">
        <w:t xml:space="preserve"> </w:t>
      </w:r>
      <w:r w:rsidRPr="00382917">
        <w:t>make</w:t>
      </w:r>
      <w:r w:rsidR="00EE4FC3">
        <w:t xml:space="preserve"> </w:t>
      </w:r>
      <w:r w:rsidRPr="00382917">
        <w:t>manifest,</w:t>
      </w:r>
      <w:r w:rsidR="00EE4FC3">
        <w:t xml:space="preserve"> </w:t>
      </w:r>
      <w:r w:rsidRPr="00382917">
        <w:t>ere</w:t>
      </w:r>
      <w:r w:rsidR="00EE4FC3">
        <w:t xml:space="preserve"> </w:t>
      </w:r>
      <w:r w:rsidRPr="00382917">
        <w:t>the</w:t>
      </w:r>
      <w:r w:rsidR="00EE4FC3">
        <w:t xml:space="preserve"> </w:t>
      </w:r>
      <w:r w:rsidRPr="00382917">
        <w:t>covenant</w:t>
      </w:r>
      <w:r w:rsidR="00EE4FC3">
        <w:t xml:space="preserve"> </w:t>
      </w:r>
      <w:r w:rsidRPr="00382917">
        <w:t>concerning</w:t>
      </w:r>
      <w:r w:rsidR="00EE4FC3">
        <w:t xml:space="preserve"> </w:t>
      </w:r>
      <w:proofErr w:type="gramStart"/>
      <w:r w:rsidRPr="00382917">
        <w:t>My</w:t>
      </w:r>
      <w:proofErr w:type="gramEnd"/>
      <w:r w:rsidR="00EE4FC3">
        <w:t xml:space="preserve"> </w:t>
      </w:r>
      <w:r w:rsidRPr="00382917">
        <w:t>own</w:t>
      </w:r>
      <w:r w:rsidR="00EE4FC3">
        <w:t xml:space="preserve"> </w:t>
      </w:r>
      <w:r w:rsidRPr="00382917">
        <w:t>Mission</w:t>
      </w:r>
      <w:r w:rsidR="00EE4FC3">
        <w:t xml:space="preserve"> </w:t>
      </w:r>
      <w:r w:rsidRPr="00382917">
        <w:t>had</w:t>
      </w:r>
      <w:r w:rsidR="00EE4FC3">
        <w:t xml:space="preserve"> </w:t>
      </w:r>
      <w:r w:rsidRPr="00382917">
        <w:t>been</w:t>
      </w:r>
      <w:r w:rsidR="00EE4FC3">
        <w:t xml:space="preserve"> </w:t>
      </w:r>
      <w:r w:rsidRPr="00382917">
        <w:t>established.</w:t>
      </w:r>
      <w:r w:rsidR="009C713D" w:rsidRPr="00382917">
        <w:t>”</w:t>
      </w:r>
      <w:r w:rsidR="004D5099">
        <w:rPr>
          <w:rStyle w:val="FootnoteReference"/>
        </w:rPr>
        <w:footnoteReference w:id="191"/>
      </w:r>
    </w:p>
    <w:p w:rsidR="00610ADA" w:rsidRPr="00382917" w:rsidRDefault="008A073E" w:rsidP="00AF21F6">
      <w:pPr>
        <w:pStyle w:val="Text"/>
      </w:pPr>
      <w:r w:rsidRPr="00382917">
        <w:rPr>
          <w:u w:val="single"/>
        </w:rPr>
        <w:t>Sh</w:t>
      </w:r>
      <w:r w:rsidRPr="00382917">
        <w:t>ay</w:t>
      </w:r>
      <w:r w:rsidRPr="00382917">
        <w:rPr>
          <w:u w:val="single"/>
        </w:rPr>
        <w:t>kh</w:t>
      </w:r>
      <w:r w:rsidR="00EE4FC3">
        <w:t xml:space="preserve"> </w:t>
      </w:r>
      <w:r w:rsidR="00610ADA" w:rsidRPr="00382917">
        <w:t>Aḥmad</w:t>
      </w:r>
      <w:r w:rsidR="00EE4FC3">
        <w:t xml:space="preserve"> </w:t>
      </w:r>
      <w:r w:rsidR="00610ADA" w:rsidRPr="00382917">
        <w:t>and</w:t>
      </w:r>
      <w:r w:rsidR="00EE4FC3">
        <w:t xml:space="preserve"> </w:t>
      </w:r>
      <w:r w:rsidR="00610ADA" w:rsidRPr="00382917">
        <w:t>Siyyid</w:t>
      </w:r>
      <w:r w:rsidR="00EE4FC3">
        <w:t xml:space="preserve"> </w:t>
      </w:r>
      <w:r w:rsidR="00610ADA" w:rsidRPr="00382917">
        <w:t>Káẓim</w:t>
      </w:r>
      <w:r w:rsidR="00EE4FC3">
        <w:t xml:space="preserve"> </w:t>
      </w:r>
      <w:r w:rsidR="00610ADA" w:rsidRPr="00382917">
        <w:t>promised</w:t>
      </w:r>
      <w:r w:rsidR="00EE4FC3">
        <w:t xml:space="preserve"> </w:t>
      </w:r>
      <w:r w:rsidR="00610ADA" w:rsidRPr="00382917">
        <w:t>their</w:t>
      </w:r>
      <w:r w:rsidR="00EE4FC3">
        <w:t xml:space="preserve"> </w:t>
      </w:r>
      <w:r w:rsidR="00610ADA" w:rsidRPr="00382917">
        <w:t>followers</w:t>
      </w:r>
      <w:r w:rsidR="00EE4FC3">
        <w:t xml:space="preserve"> </w:t>
      </w:r>
      <w:r w:rsidR="00610ADA" w:rsidRPr="00382917">
        <w:t>that</w:t>
      </w:r>
      <w:r w:rsidR="00EE4FC3">
        <w:t xml:space="preserve"> </w:t>
      </w:r>
      <w:r w:rsidR="00610ADA" w:rsidRPr="00382917">
        <w:t>some</w:t>
      </w:r>
      <w:r w:rsidR="00EE4FC3">
        <w:t xml:space="preserve"> </w:t>
      </w:r>
      <w:r w:rsidR="00610ADA" w:rsidRPr="00382917">
        <w:t>of</w:t>
      </w:r>
      <w:r w:rsidR="00EE4FC3">
        <w:t xml:space="preserve"> </w:t>
      </w:r>
      <w:r w:rsidR="00610ADA" w:rsidRPr="00382917">
        <w:t>them</w:t>
      </w:r>
      <w:r w:rsidR="00EE4FC3">
        <w:t xml:space="preserve"> </w:t>
      </w:r>
      <w:r w:rsidR="00610ADA" w:rsidRPr="00382917">
        <w:t>would</w:t>
      </w:r>
      <w:r w:rsidR="00EE4FC3">
        <w:t xml:space="preserve"> </w:t>
      </w:r>
      <w:r w:rsidR="00610ADA" w:rsidRPr="00382917">
        <w:t>live</w:t>
      </w:r>
      <w:r w:rsidR="00EE4FC3">
        <w:t xml:space="preserve"> </w:t>
      </w:r>
      <w:r w:rsidR="00610ADA" w:rsidRPr="00382917">
        <w:t>to</w:t>
      </w:r>
      <w:r w:rsidR="00EE4FC3">
        <w:t xml:space="preserve"> </w:t>
      </w:r>
      <w:r w:rsidR="00610ADA" w:rsidRPr="00382917">
        <w:t>see</w:t>
      </w:r>
      <w:r w:rsidR="00EE4FC3">
        <w:t xml:space="preserve"> </w:t>
      </w:r>
      <w:r w:rsidR="00610ADA" w:rsidRPr="00382917">
        <w:t>both</w:t>
      </w:r>
      <w:r w:rsidR="00EE4FC3">
        <w:t xml:space="preserve"> </w:t>
      </w:r>
      <w:r w:rsidR="00610ADA" w:rsidRPr="00382917">
        <w:t>of</w:t>
      </w:r>
      <w:r w:rsidR="00EE4FC3">
        <w:t xml:space="preserve"> </w:t>
      </w:r>
      <w:r w:rsidR="00610ADA" w:rsidRPr="00382917">
        <w:t>these</w:t>
      </w:r>
      <w:r w:rsidR="00EE4FC3">
        <w:t xml:space="preserve"> </w:t>
      </w:r>
      <w:r w:rsidR="00610ADA" w:rsidRPr="00382917">
        <w:t>Messengers</w:t>
      </w:r>
      <w:r w:rsidR="00EE4FC3">
        <w:t xml:space="preserve"> </w:t>
      </w:r>
      <w:r w:rsidR="00610ADA" w:rsidRPr="00382917">
        <w:t>of</w:t>
      </w:r>
      <w:r w:rsidR="00EE4FC3">
        <w:t xml:space="preserve"> </w:t>
      </w:r>
      <w:r w:rsidR="00610ADA" w:rsidRPr="00382917">
        <w:t>God</w:t>
      </w:r>
      <w:r w:rsidR="00330AF7">
        <w:t>.</w:t>
      </w:r>
      <w:r w:rsidR="00EE4FC3">
        <w:t xml:space="preserve">  </w:t>
      </w:r>
      <w:r w:rsidR="00610ADA" w:rsidRPr="00382917">
        <w:t>After</w:t>
      </w:r>
      <w:r w:rsidR="00EE4FC3">
        <w:t xml:space="preserve"> </w:t>
      </w:r>
      <w:r w:rsidR="00610ADA" w:rsidRPr="00382917">
        <w:t>the</w:t>
      </w:r>
      <w:r w:rsidR="00EE4FC3">
        <w:t xml:space="preserve"> </w:t>
      </w:r>
      <w:r w:rsidR="00610ADA" w:rsidRPr="00382917">
        <w:t>Dawn</w:t>
      </w:r>
      <w:r w:rsidR="00EE4FC3">
        <w:t xml:space="preserve"> </w:t>
      </w:r>
      <w:r w:rsidR="00610ADA" w:rsidRPr="00382917">
        <w:t>[the</w:t>
      </w:r>
      <w:r w:rsidR="00EE4FC3">
        <w:t xml:space="preserve"> </w:t>
      </w:r>
      <w:r w:rsidR="00610ADA" w:rsidRPr="00382917">
        <w:t>Báb],</w:t>
      </w:r>
      <w:r w:rsidR="00EE4FC3">
        <w:t xml:space="preserve"> </w:t>
      </w:r>
      <w:r w:rsidR="00610ADA" w:rsidRPr="00382917">
        <w:t>they</w:t>
      </w:r>
      <w:r w:rsidR="00EE4FC3">
        <w:t xml:space="preserve"> </w:t>
      </w:r>
      <w:r w:rsidR="00610ADA" w:rsidRPr="00382917">
        <w:t>were</w:t>
      </w:r>
      <w:r w:rsidR="00EE4FC3">
        <w:t xml:space="preserve"> </w:t>
      </w:r>
      <w:r w:rsidR="00610ADA" w:rsidRPr="00382917">
        <w:t>told,</w:t>
      </w:r>
      <w:r w:rsidR="00EE4FC3">
        <w:t xml:space="preserve"> </w:t>
      </w:r>
      <w:r w:rsidR="00610ADA" w:rsidRPr="00382917">
        <w:t>they</w:t>
      </w:r>
      <w:r w:rsidR="00EE4FC3">
        <w:t xml:space="preserve"> </w:t>
      </w:r>
      <w:r w:rsidR="00610ADA" w:rsidRPr="00382917">
        <w:t>would</w:t>
      </w:r>
      <w:r w:rsidR="00EE4FC3">
        <w:t xml:space="preserve"> </w:t>
      </w:r>
      <w:r w:rsidR="00610ADA" w:rsidRPr="00382917">
        <w:t>see</w:t>
      </w:r>
      <w:r w:rsidR="00EE4FC3">
        <w:t xml:space="preserve"> </w:t>
      </w:r>
      <w:r w:rsidR="00610ADA" w:rsidRPr="00382917">
        <w:t>the</w:t>
      </w:r>
      <w:r w:rsidR="00EE4FC3">
        <w:t xml:space="preserve"> </w:t>
      </w:r>
      <w:r w:rsidR="00610ADA" w:rsidRPr="00382917">
        <w:t>promised</w:t>
      </w:r>
      <w:r w:rsidR="00EE4FC3">
        <w:t xml:space="preserve"> </w:t>
      </w:r>
      <w:r w:rsidR="00610ADA" w:rsidRPr="00382917">
        <w:t>Sun</w:t>
      </w:r>
      <w:r w:rsidR="00EE4FC3">
        <w:t xml:space="preserve"> </w:t>
      </w:r>
      <w:r w:rsidR="00610ADA" w:rsidRPr="00382917">
        <w:t>[Bahá</w:t>
      </w:r>
      <w:r w:rsidR="009C713D" w:rsidRPr="00382917">
        <w:t>’</w:t>
      </w:r>
      <w:r w:rsidR="00610ADA" w:rsidRPr="00382917">
        <w:t>u</w:t>
      </w:r>
      <w:r w:rsidR="009C713D" w:rsidRPr="00382917">
        <w:t>’</w:t>
      </w:r>
      <w:r w:rsidR="00610ADA" w:rsidRPr="00382917">
        <w:t>lláh].</w:t>
      </w:r>
    </w:p>
    <w:p w:rsidR="00610ADA" w:rsidRPr="00382917" w:rsidRDefault="008A073E" w:rsidP="00900F24">
      <w:pPr>
        <w:pStyle w:val="Text"/>
      </w:pPr>
      <w:r w:rsidRPr="00382917">
        <w:rPr>
          <w:u w:val="single"/>
        </w:rPr>
        <w:t>Sh</w:t>
      </w:r>
      <w:r w:rsidRPr="00382917">
        <w:t>ay</w:t>
      </w:r>
      <w:r w:rsidRPr="00382917">
        <w:rPr>
          <w:u w:val="single"/>
        </w:rPr>
        <w:t>kh</w:t>
      </w:r>
      <w:r w:rsidR="00EE4FC3">
        <w:t xml:space="preserve"> </w:t>
      </w:r>
      <w:r w:rsidR="00610ADA" w:rsidRPr="00382917">
        <w:t>Aḥmad</w:t>
      </w:r>
      <w:r w:rsidR="00EE4FC3">
        <w:t xml:space="preserve"> </w:t>
      </w:r>
      <w:r w:rsidR="00610ADA" w:rsidRPr="00382917">
        <w:t>was</w:t>
      </w:r>
      <w:r w:rsidR="00EE4FC3">
        <w:t xml:space="preserve"> </w:t>
      </w:r>
      <w:r w:rsidR="00610ADA" w:rsidRPr="00382917">
        <w:t>in</w:t>
      </w:r>
      <w:r w:rsidR="00EE4FC3">
        <w:t xml:space="preserve"> </w:t>
      </w:r>
      <w:r w:rsidR="00610ADA" w:rsidRPr="00382917">
        <w:t>Ṭihrán</w:t>
      </w:r>
      <w:r w:rsidR="00EE4FC3">
        <w:t xml:space="preserve"> </w:t>
      </w:r>
      <w:r w:rsidR="00610ADA" w:rsidRPr="00382917">
        <w:t>when</w:t>
      </w:r>
      <w:r w:rsidR="00EE4FC3">
        <w:t xml:space="preserve"> </w:t>
      </w:r>
      <w:r w:rsidR="00610ADA" w:rsidRPr="00382917">
        <w:t>Bahá</w:t>
      </w:r>
      <w:r w:rsidR="009C713D" w:rsidRPr="00382917">
        <w:t>’</w:t>
      </w:r>
      <w:r w:rsidR="00610ADA" w:rsidRPr="00382917">
        <w:t>u</w:t>
      </w:r>
      <w:r w:rsidR="009C713D" w:rsidRPr="00382917">
        <w:t>’</w:t>
      </w:r>
      <w:r w:rsidR="00610ADA" w:rsidRPr="00382917">
        <w:t>lláh</w:t>
      </w:r>
      <w:r w:rsidR="00EE4FC3">
        <w:t xml:space="preserve"> </w:t>
      </w:r>
      <w:r w:rsidR="00610ADA" w:rsidRPr="00382917">
        <w:t>was</w:t>
      </w:r>
      <w:r w:rsidR="00EE4FC3">
        <w:t xml:space="preserve"> </w:t>
      </w:r>
      <w:r w:rsidR="00610ADA" w:rsidRPr="00382917">
        <w:t>born</w:t>
      </w:r>
      <w:r w:rsidR="00330AF7">
        <w:t>.</w:t>
      </w:r>
      <w:r w:rsidR="00EE4FC3">
        <w:t xml:space="preserve">  </w:t>
      </w:r>
      <w:r w:rsidR="00610ADA" w:rsidRPr="00382917">
        <w:t>The</w:t>
      </w:r>
      <w:r w:rsidR="00EE4FC3">
        <w:t xml:space="preserve"> </w:t>
      </w:r>
      <w:r w:rsidR="00610ADA" w:rsidRPr="00382917">
        <w:t>following</w:t>
      </w:r>
      <w:r w:rsidR="00EE4FC3">
        <w:t xml:space="preserve"> </w:t>
      </w:r>
      <w:r w:rsidR="00610ADA" w:rsidRPr="00382917">
        <w:t>historical</w:t>
      </w:r>
      <w:r w:rsidR="00EE4FC3">
        <w:t xml:space="preserve"> </w:t>
      </w:r>
      <w:r w:rsidR="00610ADA" w:rsidRPr="00382917">
        <w:t>account</w:t>
      </w:r>
      <w:r w:rsidR="00EE4FC3">
        <w:t xml:space="preserve"> </w:t>
      </w:r>
      <w:r w:rsidR="00610ADA" w:rsidRPr="00382917">
        <w:t>of</w:t>
      </w:r>
      <w:r w:rsidR="00EE4FC3">
        <w:t xml:space="preserve"> </w:t>
      </w:r>
      <w:r w:rsidR="00610ADA" w:rsidRPr="00382917">
        <w:t>his</w:t>
      </w:r>
      <w:r w:rsidR="00EE4FC3">
        <w:t xml:space="preserve"> </w:t>
      </w:r>
      <w:r w:rsidR="00610ADA" w:rsidRPr="00382917">
        <w:t>visit</w:t>
      </w:r>
      <w:r w:rsidR="00EE4FC3">
        <w:t xml:space="preserve"> </w:t>
      </w:r>
      <w:r w:rsidR="00610ADA" w:rsidRPr="00382917">
        <w:t>has</w:t>
      </w:r>
      <w:r w:rsidR="00EE4FC3">
        <w:t xml:space="preserve"> </w:t>
      </w:r>
      <w:r w:rsidR="00610ADA" w:rsidRPr="00382917">
        <w:t>been</w:t>
      </w:r>
      <w:r w:rsidR="00EE4FC3">
        <w:t xml:space="preserve"> </w:t>
      </w:r>
      <w:r w:rsidR="00610ADA" w:rsidRPr="00382917">
        <w:t>preserved:</w:t>
      </w:r>
    </w:p>
    <w:p w:rsidR="00610ADA" w:rsidRPr="00382917" w:rsidRDefault="009C713D" w:rsidP="00900F24">
      <w:pPr>
        <w:pStyle w:val="Text"/>
      </w:pPr>
      <w:proofErr w:type="gramStart"/>
      <w:r w:rsidRPr="00382917">
        <w:t>“</w:t>
      </w:r>
      <w:r w:rsidR="008A073E" w:rsidRPr="00382917">
        <w:rPr>
          <w:u w:val="single"/>
        </w:rPr>
        <w:t>Sh</w:t>
      </w:r>
      <w:r w:rsidR="008A073E" w:rsidRPr="00382917">
        <w:t>ay</w:t>
      </w:r>
      <w:r w:rsidR="008A073E" w:rsidRPr="00382917">
        <w:rPr>
          <w:u w:val="single"/>
        </w:rPr>
        <w:t>kh</w:t>
      </w:r>
      <w:r w:rsidR="00EE4FC3">
        <w:t xml:space="preserve"> </w:t>
      </w:r>
      <w:r w:rsidR="00610ADA" w:rsidRPr="00382917">
        <w:t>Aḥmad,</w:t>
      </w:r>
      <w:r w:rsidR="00EE4FC3">
        <w:t xml:space="preserve"> </w:t>
      </w:r>
      <w:r w:rsidR="00610ADA" w:rsidRPr="00382917">
        <w:t>who</w:t>
      </w:r>
      <w:r w:rsidR="00EE4FC3">
        <w:t xml:space="preserve"> </w:t>
      </w:r>
      <w:r w:rsidR="00610ADA" w:rsidRPr="00382917">
        <w:t>recognized</w:t>
      </w:r>
      <w:r w:rsidR="00EE4FC3">
        <w:t xml:space="preserve"> </w:t>
      </w:r>
      <w:r w:rsidR="00610ADA" w:rsidRPr="00382917">
        <w:t>in</w:t>
      </w:r>
      <w:r w:rsidR="00EE4FC3">
        <w:t xml:space="preserve"> </w:t>
      </w:r>
      <w:r w:rsidR="00610ADA" w:rsidRPr="00382917">
        <w:t>its</w:t>
      </w:r>
      <w:r w:rsidR="00EE4FC3">
        <w:t xml:space="preserve"> </w:t>
      </w:r>
      <w:r w:rsidR="00610ADA" w:rsidRPr="00382917">
        <w:t>full</w:t>
      </w:r>
      <w:r w:rsidR="00EE4FC3">
        <w:t xml:space="preserve"> </w:t>
      </w:r>
      <w:r w:rsidR="00610ADA" w:rsidRPr="00382917">
        <w:t>measure</w:t>
      </w:r>
      <w:r w:rsidR="00EE4FC3">
        <w:t xml:space="preserve"> </w:t>
      </w:r>
      <w:r w:rsidR="00610ADA" w:rsidRPr="00382917">
        <w:t>the</w:t>
      </w:r>
      <w:r w:rsidR="00EE4FC3">
        <w:t xml:space="preserve"> </w:t>
      </w:r>
      <w:r w:rsidR="00610ADA" w:rsidRPr="00382917">
        <w:t>meaning</w:t>
      </w:r>
      <w:r w:rsidR="00EE4FC3">
        <w:t xml:space="preserve"> </w:t>
      </w:r>
      <w:r w:rsidR="00610ADA" w:rsidRPr="00382917">
        <w:t>of</w:t>
      </w:r>
      <w:r w:rsidR="00EE4FC3">
        <w:t xml:space="preserve"> </w:t>
      </w:r>
      <w:r w:rsidR="00610ADA" w:rsidRPr="00382917">
        <w:t>this</w:t>
      </w:r>
      <w:r w:rsidR="00EE4FC3">
        <w:t xml:space="preserve"> </w:t>
      </w:r>
      <w:r w:rsidR="00610ADA" w:rsidRPr="00382917">
        <w:t>auspicious</w:t>
      </w:r>
      <w:r w:rsidR="00EE4FC3">
        <w:t xml:space="preserve"> </w:t>
      </w:r>
      <w:r w:rsidR="00610ADA" w:rsidRPr="00382917">
        <w:t>event</w:t>
      </w:r>
      <w:r w:rsidR="00EE4FC3">
        <w:t xml:space="preserve"> </w:t>
      </w:r>
      <w:r w:rsidR="00610ADA" w:rsidRPr="00382917">
        <w:t>[birth</w:t>
      </w:r>
      <w:r w:rsidR="00EE4FC3">
        <w:t xml:space="preserve"> </w:t>
      </w:r>
      <w:r w:rsidR="00610ADA" w:rsidRPr="00382917">
        <w:t>of</w:t>
      </w:r>
      <w:r w:rsidR="00EE4FC3">
        <w:t xml:space="preserve"> </w:t>
      </w:r>
      <w:r w:rsidR="00610ADA" w:rsidRPr="00382917">
        <w:t>Bahá</w:t>
      </w:r>
      <w:r w:rsidRPr="00382917">
        <w:t>’</w:t>
      </w:r>
      <w:r w:rsidR="00610ADA" w:rsidRPr="00382917">
        <w:t>u</w:t>
      </w:r>
      <w:r w:rsidRPr="00382917">
        <w:t>’</w:t>
      </w:r>
      <w:r w:rsidR="00610ADA" w:rsidRPr="00382917">
        <w:t>lláh],</w:t>
      </w:r>
      <w:r w:rsidR="00EE4FC3">
        <w:t xml:space="preserve"> </w:t>
      </w:r>
      <w:r w:rsidR="00610ADA" w:rsidRPr="00382917">
        <w:t>yearned</w:t>
      </w:r>
      <w:r w:rsidR="00EE4FC3">
        <w:t xml:space="preserve"> </w:t>
      </w:r>
      <w:r w:rsidR="00610ADA" w:rsidRPr="00382917">
        <w:t>to</w:t>
      </w:r>
      <w:r w:rsidR="00EE4FC3">
        <w:t xml:space="preserve"> </w:t>
      </w:r>
      <w:r w:rsidR="00610ADA" w:rsidRPr="00382917">
        <w:t>spend</w:t>
      </w:r>
      <w:r w:rsidR="00EE4FC3">
        <w:t xml:space="preserve"> </w:t>
      </w:r>
      <w:r w:rsidR="00610ADA" w:rsidRPr="00382917">
        <w:t>the</w:t>
      </w:r>
      <w:r w:rsidR="00EE4FC3">
        <w:t xml:space="preserve"> </w:t>
      </w:r>
      <w:r w:rsidR="00610ADA" w:rsidRPr="00382917">
        <w:t>remaining</w:t>
      </w:r>
      <w:r w:rsidR="00EE4FC3">
        <w:t xml:space="preserve"> </w:t>
      </w:r>
      <w:r w:rsidR="00610ADA" w:rsidRPr="00382917">
        <w:t>days</w:t>
      </w:r>
      <w:r w:rsidR="00EE4FC3">
        <w:t xml:space="preserve"> </w:t>
      </w:r>
      <w:r w:rsidR="00610ADA" w:rsidRPr="00382917">
        <w:t>of</w:t>
      </w:r>
      <w:r w:rsidR="00EE4FC3">
        <w:t xml:space="preserve"> </w:t>
      </w:r>
      <w:r w:rsidR="00610ADA" w:rsidRPr="00382917">
        <w:t>his</w:t>
      </w:r>
      <w:r w:rsidR="00EE4FC3">
        <w:t xml:space="preserve"> </w:t>
      </w:r>
      <w:r w:rsidR="00610ADA" w:rsidRPr="00382917">
        <w:t>life</w:t>
      </w:r>
      <w:r w:rsidR="00EE4FC3">
        <w:t xml:space="preserve"> </w:t>
      </w:r>
      <w:r w:rsidR="00610ADA" w:rsidRPr="00382917">
        <w:t>within</w:t>
      </w:r>
      <w:r w:rsidR="00EE4FC3">
        <w:t xml:space="preserve"> </w:t>
      </w:r>
      <w:r w:rsidR="00610ADA" w:rsidRPr="00382917">
        <w:t>the</w:t>
      </w:r>
      <w:r w:rsidR="00EE4FC3">
        <w:t xml:space="preserve"> </w:t>
      </w:r>
      <w:r w:rsidR="00610ADA" w:rsidRPr="00382917">
        <w:t>precincts</w:t>
      </w:r>
      <w:r w:rsidR="00EE4FC3">
        <w:t xml:space="preserve"> </w:t>
      </w:r>
      <w:r w:rsidR="00610ADA" w:rsidRPr="00382917">
        <w:t>of</w:t>
      </w:r>
      <w:r w:rsidR="00EE4FC3">
        <w:t xml:space="preserve"> </w:t>
      </w:r>
      <w:r w:rsidR="00610ADA" w:rsidRPr="00382917">
        <w:t>the</w:t>
      </w:r>
      <w:r w:rsidR="00EE4FC3">
        <w:t xml:space="preserve"> </w:t>
      </w:r>
      <w:r w:rsidR="00610ADA" w:rsidRPr="00382917">
        <w:t>court</w:t>
      </w:r>
      <w:r w:rsidR="00EE4FC3">
        <w:t xml:space="preserve"> </w:t>
      </w:r>
      <w:r w:rsidR="00610ADA" w:rsidRPr="00382917">
        <w:t>of</w:t>
      </w:r>
      <w:r w:rsidR="00EE4FC3">
        <w:t xml:space="preserve"> </w:t>
      </w:r>
      <w:r w:rsidR="00610ADA" w:rsidRPr="00382917">
        <w:t>this</w:t>
      </w:r>
      <w:r w:rsidR="00EE4FC3">
        <w:t xml:space="preserve"> </w:t>
      </w:r>
      <w:r w:rsidR="00610ADA" w:rsidRPr="00382917">
        <w:t>divine,</w:t>
      </w:r>
      <w:r w:rsidR="00EE4FC3">
        <w:t xml:space="preserve"> </w:t>
      </w:r>
      <w:r w:rsidR="00610ADA" w:rsidRPr="00382917">
        <w:t>this</w:t>
      </w:r>
      <w:r w:rsidR="00EE4FC3">
        <w:t xml:space="preserve"> </w:t>
      </w:r>
      <w:r w:rsidR="00610ADA" w:rsidRPr="00382917">
        <w:t>new-born</w:t>
      </w:r>
      <w:r w:rsidR="00EE4FC3">
        <w:t xml:space="preserve"> </w:t>
      </w:r>
      <w:r w:rsidR="00610ADA" w:rsidRPr="00382917">
        <w:t>King</w:t>
      </w:r>
      <w:r w:rsidR="00330AF7">
        <w:t>.</w:t>
      </w:r>
      <w:proofErr w:type="gramEnd"/>
      <w:r w:rsidR="00EE4FC3">
        <w:t xml:space="preserve">  </w:t>
      </w:r>
      <w:r w:rsidR="00610ADA" w:rsidRPr="00382917">
        <w:t>But</w:t>
      </w:r>
      <w:r w:rsidR="00EE4FC3">
        <w:t xml:space="preserve"> </w:t>
      </w:r>
      <w:r w:rsidR="00610ADA" w:rsidRPr="00382917">
        <w:t>this</w:t>
      </w:r>
      <w:r w:rsidR="00EE4FC3">
        <w:t xml:space="preserve"> </w:t>
      </w:r>
      <w:r w:rsidR="00610ADA" w:rsidRPr="00382917">
        <w:t>was</w:t>
      </w:r>
      <w:r w:rsidR="00EE4FC3">
        <w:t xml:space="preserve"> </w:t>
      </w:r>
      <w:r w:rsidR="00610ADA" w:rsidRPr="00382917">
        <w:t>not</w:t>
      </w:r>
      <w:r w:rsidR="00EE4FC3">
        <w:t xml:space="preserve"> </w:t>
      </w:r>
      <w:r w:rsidR="00610ADA" w:rsidRPr="00382917">
        <w:t>to</w:t>
      </w:r>
      <w:r w:rsidR="00EE4FC3">
        <w:t xml:space="preserve"> </w:t>
      </w:r>
      <w:r w:rsidR="00610ADA" w:rsidRPr="00382917">
        <w:t>be</w:t>
      </w:r>
      <w:r w:rsidR="00330AF7">
        <w:t>.</w:t>
      </w:r>
      <w:r w:rsidR="00EE4FC3">
        <w:t xml:space="preserve">  </w:t>
      </w:r>
      <w:r w:rsidR="00610ADA" w:rsidRPr="00382917">
        <w:t>His</w:t>
      </w:r>
      <w:r w:rsidR="00EE4FC3">
        <w:t xml:space="preserve"> </w:t>
      </w:r>
      <w:r w:rsidR="00F04416" w:rsidRPr="00382917">
        <w:t>…</w:t>
      </w:r>
      <w:r w:rsidR="00EE4FC3">
        <w:t xml:space="preserve"> </w:t>
      </w:r>
      <w:r w:rsidR="00610ADA" w:rsidRPr="00382917">
        <w:t>yearning</w:t>
      </w:r>
      <w:r w:rsidR="00EE4FC3">
        <w:t xml:space="preserve"> </w:t>
      </w:r>
      <w:r w:rsidR="00610ADA" w:rsidRPr="00382917">
        <w:t>unsatisfied,</w:t>
      </w:r>
      <w:r w:rsidR="00EE4FC3">
        <w:t xml:space="preserve"> </w:t>
      </w:r>
      <w:r w:rsidR="00610ADA" w:rsidRPr="00382917">
        <w:t>he</w:t>
      </w:r>
      <w:r w:rsidR="00EE4FC3">
        <w:t xml:space="preserve"> </w:t>
      </w:r>
      <w:r w:rsidR="00610ADA" w:rsidRPr="00382917">
        <w:t>felt</w:t>
      </w:r>
      <w:r w:rsidR="00EE4FC3">
        <w:t xml:space="preserve"> </w:t>
      </w:r>
      <w:r w:rsidR="00610ADA" w:rsidRPr="00382917">
        <w:t>compelled</w:t>
      </w:r>
      <w:r w:rsidR="00EE4FC3">
        <w:t xml:space="preserve"> </w:t>
      </w:r>
      <w:r w:rsidR="00610ADA" w:rsidRPr="00382917">
        <w:t>to</w:t>
      </w:r>
      <w:r w:rsidR="00EE4FC3">
        <w:t xml:space="preserve"> </w:t>
      </w:r>
      <w:r w:rsidR="00610ADA" w:rsidRPr="00382917">
        <w:t>submit</w:t>
      </w:r>
      <w:r w:rsidR="00EE4FC3">
        <w:t xml:space="preserve"> </w:t>
      </w:r>
      <w:r w:rsidR="00610ADA" w:rsidRPr="00382917">
        <w:t>to</w:t>
      </w:r>
      <w:r w:rsidR="00EE4FC3">
        <w:t xml:space="preserve"> </w:t>
      </w:r>
      <w:r w:rsidR="00610ADA" w:rsidRPr="00382917">
        <w:t>God</w:t>
      </w:r>
      <w:r w:rsidRPr="00382917">
        <w:t>’</w:t>
      </w:r>
      <w:r w:rsidR="00610ADA" w:rsidRPr="00382917">
        <w:t>s</w:t>
      </w:r>
      <w:r w:rsidR="00EE4FC3">
        <w:t xml:space="preserve"> </w:t>
      </w:r>
      <w:r w:rsidR="00610ADA" w:rsidRPr="00382917">
        <w:t>irrevocable</w:t>
      </w:r>
      <w:r w:rsidR="00EE4FC3">
        <w:t xml:space="preserve"> </w:t>
      </w:r>
      <w:r w:rsidR="00610ADA" w:rsidRPr="00382917">
        <w:t>decree,</w:t>
      </w:r>
      <w:r w:rsidRPr="00382917">
        <w:t>”</w:t>
      </w:r>
      <w:r w:rsidR="00EE4FC3">
        <w:t xml:space="preserve"> </w:t>
      </w:r>
      <w:r w:rsidR="00610ADA" w:rsidRPr="00382917">
        <w:t>and</w:t>
      </w:r>
      <w:r w:rsidR="00EE4FC3">
        <w:t xml:space="preserve"> </w:t>
      </w:r>
      <w:r w:rsidR="00610ADA" w:rsidRPr="00382917">
        <w:t>turned</w:t>
      </w:r>
      <w:r w:rsidR="00EE4FC3">
        <w:t xml:space="preserve"> </w:t>
      </w:r>
      <w:r w:rsidR="00610ADA" w:rsidRPr="00382917">
        <w:t>his</w:t>
      </w:r>
      <w:r w:rsidR="00EE4FC3">
        <w:t xml:space="preserve"> </w:t>
      </w:r>
      <w:r w:rsidR="00610ADA" w:rsidRPr="00382917">
        <w:t>face</w:t>
      </w:r>
      <w:r w:rsidR="00EE4FC3">
        <w:t xml:space="preserve"> </w:t>
      </w:r>
      <w:r w:rsidR="00610ADA" w:rsidRPr="00382917">
        <w:t>away</w:t>
      </w:r>
      <w:r w:rsidR="00EE4FC3">
        <w:t xml:space="preserve"> </w:t>
      </w:r>
      <w:r w:rsidR="00610ADA" w:rsidRPr="00382917">
        <w:t>from</w:t>
      </w:r>
      <w:r w:rsidR="00EE4FC3">
        <w:t xml:space="preserve"> </w:t>
      </w:r>
      <w:r w:rsidR="00610ADA" w:rsidRPr="00382917">
        <w:t>the</w:t>
      </w:r>
      <w:r w:rsidR="00EE4FC3">
        <w:t xml:space="preserve"> </w:t>
      </w:r>
      <w:r w:rsidR="00610ADA" w:rsidRPr="00382917">
        <w:t>city.</w:t>
      </w:r>
    </w:p>
    <w:p w:rsidR="00E13D49" w:rsidRPr="00382917" w:rsidRDefault="009C713D" w:rsidP="00AF21F6">
      <w:pPr>
        <w:pStyle w:val="Text"/>
      </w:pPr>
      <w:r w:rsidRPr="00382917">
        <w:t>“</w:t>
      </w:r>
      <w:r w:rsidR="00610ADA" w:rsidRPr="00382917">
        <w:t>Ere</w:t>
      </w:r>
      <w:r w:rsidR="00EE4FC3">
        <w:t xml:space="preserve"> </w:t>
      </w:r>
      <w:r w:rsidR="00610ADA" w:rsidRPr="00382917">
        <w:t>his</w:t>
      </w:r>
      <w:r w:rsidR="00EE4FC3">
        <w:t xml:space="preserve"> </w:t>
      </w:r>
      <w:r w:rsidR="00610ADA" w:rsidRPr="00382917">
        <w:t>departure</w:t>
      </w:r>
      <w:r w:rsidR="00EE4FC3">
        <w:t xml:space="preserve"> </w:t>
      </w:r>
      <w:r w:rsidR="00610ADA" w:rsidRPr="00382917">
        <w:t>from</w:t>
      </w:r>
      <w:r w:rsidR="00EE4FC3">
        <w:t xml:space="preserve"> </w:t>
      </w:r>
      <w:r w:rsidR="00610ADA" w:rsidRPr="00382917">
        <w:t>that</w:t>
      </w:r>
      <w:r w:rsidR="00EE4FC3">
        <w:t xml:space="preserve"> </w:t>
      </w:r>
      <w:r w:rsidR="00610ADA" w:rsidRPr="00382917">
        <w:t>city</w:t>
      </w:r>
      <w:r w:rsidR="00EE4FC3">
        <w:t xml:space="preserve"> </w:t>
      </w:r>
      <w:r w:rsidR="00610ADA" w:rsidRPr="00382917">
        <w:t>he</w:t>
      </w:r>
      <w:r w:rsidR="00EE4FC3">
        <w:t xml:space="preserve"> </w:t>
      </w:r>
      <w:r w:rsidR="00610ADA" w:rsidRPr="00382917">
        <w:t>breathed</w:t>
      </w:r>
      <w:r w:rsidR="00EE4FC3">
        <w:t xml:space="preserve"> </w:t>
      </w:r>
      <w:r w:rsidR="00610ADA" w:rsidRPr="00382917">
        <w:t>a</w:t>
      </w:r>
      <w:r w:rsidR="00EE4FC3">
        <w:t xml:space="preserve"> </w:t>
      </w:r>
      <w:r w:rsidR="00610ADA" w:rsidRPr="00382917">
        <w:t>prayer</w:t>
      </w:r>
      <w:r w:rsidR="00EE4FC3">
        <w:t xml:space="preserve"> </w:t>
      </w:r>
      <w:r w:rsidR="00610ADA" w:rsidRPr="00382917">
        <w:t>that</w:t>
      </w:r>
      <w:r w:rsidR="00EE4FC3">
        <w:t xml:space="preserve"> </w:t>
      </w:r>
      <w:r w:rsidR="00610ADA" w:rsidRPr="00382917">
        <w:t>this</w:t>
      </w:r>
      <w:r w:rsidR="00EE4FC3">
        <w:t xml:space="preserve"> </w:t>
      </w:r>
      <w:r w:rsidR="00610ADA" w:rsidRPr="00382917">
        <w:t>hidden</w:t>
      </w:r>
      <w:r w:rsidR="00EE4FC3">
        <w:t xml:space="preserve"> </w:t>
      </w:r>
      <w:r w:rsidR="00610ADA" w:rsidRPr="00382917">
        <w:t>Treasure</w:t>
      </w:r>
      <w:r w:rsidR="00EE4FC3">
        <w:t xml:space="preserve"> </w:t>
      </w:r>
      <w:r w:rsidR="00610ADA" w:rsidRPr="00382917">
        <w:t>of</w:t>
      </w:r>
      <w:r w:rsidR="00EE4FC3">
        <w:t xml:space="preserve"> </w:t>
      </w:r>
      <w:r w:rsidR="00610ADA" w:rsidRPr="00382917">
        <w:t>God,</w:t>
      </w:r>
      <w:r w:rsidR="00EE4FC3">
        <w:t xml:space="preserve"> </w:t>
      </w:r>
      <w:r w:rsidR="00610ADA" w:rsidRPr="00382917">
        <w:t>now</w:t>
      </w:r>
      <w:r w:rsidR="00EE4FC3">
        <w:t xml:space="preserve"> </w:t>
      </w:r>
      <w:r w:rsidR="00610ADA" w:rsidRPr="00382917">
        <w:t>born</w:t>
      </w:r>
      <w:r w:rsidR="00EE4FC3">
        <w:t xml:space="preserve"> </w:t>
      </w:r>
      <w:r w:rsidR="00610ADA" w:rsidRPr="00382917">
        <w:t>amongst</w:t>
      </w:r>
      <w:r w:rsidR="00EE4FC3">
        <w:t xml:space="preserve"> </w:t>
      </w:r>
      <w:r w:rsidR="00610ADA" w:rsidRPr="00382917">
        <w:t>his</w:t>
      </w:r>
      <w:r w:rsidR="00EE4FC3">
        <w:t xml:space="preserve"> </w:t>
      </w:r>
      <w:r w:rsidR="00610ADA" w:rsidRPr="00382917">
        <w:t>countrymen,</w:t>
      </w:r>
      <w:r w:rsidR="00EE4FC3">
        <w:t xml:space="preserve"> </w:t>
      </w:r>
      <w:r w:rsidR="00610ADA" w:rsidRPr="00382917">
        <w:t>might</w:t>
      </w:r>
      <w:r w:rsidR="00EE4FC3">
        <w:t xml:space="preserve"> </w:t>
      </w:r>
      <w:r w:rsidR="00610ADA" w:rsidRPr="00382917">
        <w:t>be</w:t>
      </w:r>
      <w:r w:rsidR="00EE4FC3">
        <w:t xml:space="preserve"> </w:t>
      </w:r>
      <w:r w:rsidR="00610ADA" w:rsidRPr="00382917">
        <w:t>preserved</w:t>
      </w:r>
      <w:r w:rsidR="00EE4FC3">
        <w:t xml:space="preserve"> </w:t>
      </w:r>
      <w:r w:rsidR="00610ADA" w:rsidRPr="00382917">
        <w:t>and</w:t>
      </w:r>
      <w:r w:rsidR="00EE4FC3">
        <w:t xml:space="preserve"> </w:t>
      </w:r>
      <w:r w:rsidR="00610ADA" w:rsidRPr="00382917">
        <w:t>cherished</w:t>
      </w:r>
      <w:r w:rsidR="00EE4FC3">
        <w:t xml:space="preserve"> </w:t>
      </w:r>
      <w:r w:rsidR="00610ADA" w:rsidRPr="00382917">
        <w:t>by</w:t>
      </w:r>
      <w:r w:rsidR="00EE4FC3">
        <w:t xml:space="preserve"> </w:t>
      </w:r>
      <w:r w:rsidR="00610ADA" w:rsidRPr="00382917">
        <w:t>them,</w:t>
      </w:r>
      <w:r w:rsidR="00EE4FC3">
        <w:t xml:space="preserve"> </w:t>
      </w:r>
      <w:r w:rsidR="00610ADA" w:rsidRPr="00382917">
        <w:t>that</w:t>
      </w:r>
      <w:r w:rsidR="00EE4FC3">
        <w:t xml:space="preserve"> </w:t>
      </w:r>
      <w:r w:rsidR="00610ADA" w:rsidRPr="00382917">
        <w:t>they</w:t>
      </w:r>
      <w:r w:rsidR="00EE4FC3">
        <w:t xml:space="preserve"> </w:t>
      </w:r>
      <w:r w:rsidR="00610ADA" w:rsidRPr="00382917">
        <w:t>might</w:t>
      </w:r>
      <w:r w:rsidR="00EE4FC3">
        <w:t xml:space="preserve"> </w:t>
      </w:r>
      <w:r w:rsidR="00610ADA" w:rsidRPr="00382917">
        <w:t>recognize</w:t>
      </w:r>
      <w:r w:rsidR="00EE4FC3">
        <w:t xml:space="preserve"> </w:t>
      </w:r>
      <w:r w:rsidR="00610ADA" w:rsidRPr="00382917">
        <w:t>the</w:t>
      </w:r>
      <w:r w:rsidR="00EE4FC3">
        <w:t xml:space="preserve"> </w:t>
      </w:r>
      <w:r w:rsidR="00610ADA" w:rsidRPr="00382917">
        <w:t>full</w:t>
      </w:r>
      <w:r w:rsidR="00EE4FC3">
        <w:t xml:space="preserve"> </w:t>
      </w:r>
      <w:r w:rsidR="00610ADA" w:rsidRPr="00382917">
        <w:t>measure</w:t>
      </w:r>
      <w:r w:rsidR="00EE4FC3">
        <w:t xml:space="preserve"> </w:t>
      </w:r>
      <w:r w:rsidR="00610ADA" w:rsidRPr="00382917">
        <w:t>of</w:t>
      </w:r>
      <w:r w:rsidR="00EE4FC3">
        <w:t xml:space="preserve"> </w:t>
      </w:r>
      <w:r w:rsidR="00610ADA" w:rsidRPr="00382917">
        <w:t>His</w:t>
      </w:r>
      <w:r w:rsidR="00EE4FC3">
        <w:t xml:space="preserve"> </w:t>
      </w:r>
      <w:r w:rsidR="00610ADA" w:rsidRPr="00382917">
        <w:t>blessedness</w:t>
      </w:r>
      <w:r w:rsidR="00EE4FC3">
        <w:t xml:space="preserve"> </w:t>
      </w:r>
      <w:r w:rsidR="00610ADA" w:rsidRPr="00382917">
        <w:t>and</w:t>
      </w:r>
      <w:r w:rsidR="00EE4FC3">
        <w:t xml:space="preserve"> </w:t>
      </w:r>
      <w:r w:rsidR="00610ADA" w:rsidRPr="00382917">
        <w:t>glory,</w:t>
      </w:r>
      <w:r w:rsidR="00EE4FC3">
        <w:t xml:space="preserve"> </w:t>
      </w:r>
      <w:r w:rsidR="00610ADA" w:rsidRPr="00382917">
        <w:t>and</w:t>
      </w:r>
      <w:r w:rsidR="00EE4FC3">
        <w:t xml:space="preserve"> </w:t>
      </w:r>
      <w:r w:rsidR="00610ADA" w:rsidRPr="00382917">
        <w:t>might</w:t>
      </w:r>
      <w:r w:rsidR="00EE4FC3">
        <w:t xml:space="preserve"> </w:t>
      </w:r>
      <w:r w:rsidR="00610ADA" w:rsidRPr="00382917">
        <w:t>be</w:t>
      </w:r>
      <w:r w:rsidR="00EE4FC3">
        <w:t xml:space="preserve"> </w:t>
      </w:r>
      <w:r w:rsidR="00610ADA" w:rsidRPr="00382917">
        <w:t>enabled</w:t>
      </w:r>
      <w:r w:rsidR="00EE4FC3">
        <w:t xml:space="preserve"> </w:t>
      </w:r>
      <w:r w:rsidR="00610ADA" w:rsidRPr="00382917">
        <w:t>to</w:t>
      </w:r>
      <w:r w:rsidR="00EE4FC3">
        <w:t xml:space="preserve"> </w:t>
      </w:r>
      <w:r w:rsidR="00610ADA" w:rsidRPr="00382917">
        <w:t>proclaim</w:t>
      </w:r>
      <w:r w:rsidR="00EE4FC3">
        <w:t xml:space="preserve"> </w:t>
      </w:r>
      <w:r w:rsidR="00610ADA" w:rsidRPr="00382917">
        <w:t>His</w:t>
      </w:r>
      <w:r w:rsidR="00EE4FC3">
        <w:t xml:space="preserve"> </w:t>
      </w:r>
      <w:r w:rsidR="00610ADA" w:rsidRPr="00382917">
        <w:t>excellence</w:t>
      </w:r>
      <w:r w:rsidR="00EE4FC3">
        <w:t xml:space="preserve"> </w:t>
      </w:r>
      <w:r w:rsidR="00610ADA" w:rsidRPr="00382917">
        <w:t>to</w:t>
      </w:r>
      <w:r w:rsidR="00EE4FC3">
        <w:t xml:space="preserve"> </w:t>
      </w:r>
      <w:r w:rsidR="00610ADA" w:rsidRPr="00382917">
        <w:t>all</w:t>
      </w:r>
      <w:r w:rsidR="00EE4FC3">
        <w:t xml:space="preserve"> </w:t>
      </w:r>
      <w:r w:rsidR="00610ADA" w:rsidRPr="00382917">
        <w:t>nations</w:t>
      </w:r>
      <w:r w:rsidR="00EE4FC3">
        <w:t xml:space="preserve"> </w:t>
      </w:r>
      <w:r w:rsidR="00610ADA" w:rsidRPr="00382917">
        <w:t>and</w:t>
      </w:r>
      <w:r w:rsidR="00EE4FC3">
        <w:t xml:space="preserve"> </w:t>
      </w:r>
      <w:r w:rsidR="00610ADA" w:rsidRPr="00382917">
        <w:t>peoples.</w:t>
      </w:r>
      <w:r w:rsidRPr="00382917">
        <w:t>”</w:t>
      </w:r>
      <w:r w:rsidR="00AF21F6">
        <w:rPr>
          <w:rStyle w:val="FootnoteReference"/>
        </w:rPr>
        <w:footnoteReference w:id="192"/>
      </w:r>
    </w:p>
    <w:p w:rsidR="00610ADA" w:rsidRPr="00382917" w:rsidRDefault="008A073E" w:rsidP="00900F24">
      <w:pPr>
        <w:pStyle w:val="Text"/>
      </w:pPr>
      <w:r w:rsidRPr="00382917">
        <w:rPr>
          <w:u w:val="single"/>
        </w:rPr>
        <w:t>Sh</w:t>
      </w:r>
      <w:r w:rsidRPr="00382917">
        <w:t>ay</w:t>
      </w:r>
      <w:r w:rsidRPr="00382917">
        <w:rPr>
          <w:u w:val="single"/>
        </w:rPr>
        <w:t>kh</w:t>
      </w:r>
      <w:r w:rsidR="00EE4FC3">
        <w:t xml:space="preserve"> </w:t>
      </w:r>
      <w:r w:rsidR="00610ADA" w:rsidRPr="00382917">
        <w:t>Aḥmad</w:t>
      </w:r>
      <w:r w:rsidR="00EE4FC3">
        <w:t xml:space="preserve"> </w:t>
      </w:r>
      <w:r w:rsidR="00610ADA" w:rsidRPr="00382917">
        <w:t>considered</w:t>
      </w:r>
      <w:r w:rsidR="00EE4FC3">
        <w:t xml:space="preserve"> </w:t>
      </w:r>
      <w:r w:rsidR="00610ADA" w:rsidRPr="00382917">
        <w:t>this</w:t>
      </w:r>
      <w:r w:rsidR="00EE4FC3">
        <w:t xml:space="preserve"> </w:t>
      </w:r>
      <w:r w:rsidR="00610ADA" w:rsidRPr="00382917">
        <w:t>moment</w:t>
      </w:r>
      <w:r w:rsidR="00EE4FC3">
        <w:t xml:space="preserve"> </w:t>
      </w:r>
      <w:r w:rsidR="00610ADA" w:rsidRPr="00382917">
        <w:t>of</w:t>
      </w:r>
      <w:r w:rsidR="00EE4FC3">
        <w:t xml:space="preserve"> </w:t>
      </w:r>
      <w:r w:rsidR="00610ADA" w:rsidRPr="00382917">
        <w:t>Bahá</w:t>
      </w:r>
      <w:r w:rsidR="009C713D" w:rsidRPr="00382917">
        <w:t>’</w:t>
      </w:r>
      <w:r w:rsidR="00610ADA" w:rsidRPr="00382917">
        <w:t>u</w:t>
      </w:r>
      <w:r w:rsidR="009C713D" w:rsidRPr="00382917">
        <w:t>’</w:t>
      </w:r>
      <w:r w:rsidR="00610ADA" w:rsidRPr="00382917">
        <w:t>lláh</w:t>
      </w:r>
      <w:r w:rsidR="009C713D" w:rsidRPr="00382917">
        <w:t>’</w:t>
      </w:r>
      <w:r w:rsidR="00610ADA" w:rsidRPr="00382917">
        <w:t>s</w:t>
      </w:r>
      <w:r w:rsidR="00EE4FC3">
        <w:t xml:space="preserve"> </w:t>
      </w:r>
      <w:r w:rsidR="00610ADA" w:rsidRPr="00382917">
        <w:t>birth</w:t>
      </w:r>
      <w:r w:rsidR="00EE4FC3">
        <w:t xml:space="preserve"> </w:t>
      </w:r>
      <w:r w:rsidR="00610ADA" w:rsidRPr="00382917">
        <w:t>to</w:t>
      </w:r>
      <w:r w:rsidR="00EE4FC3">
        <w:t xml:space="preserve"> </w:t>
      </w:r>
      <w:r w:rsidR="00610ADA" w:rsidRPr="00382917">
        <w:t>be</w:t>
      </w:r>
      <w:r w:rsidR="00EE4FC3">
        <w:t xml:space="preserve"> </w:t>
      </w:r>
      <w:r w:rsidR="00610ADA" w:rsidRPr="00382917">
        <w:t>the</w:t>
      </w:r>
      <w:r w:rsidR="00EE4FC3">
        <w:t xml:space="preserve"> </w:t>
      </w:r>
      <w:r w:rsidR="00610ADA" w:rsidRPr="00382917">
        <w:t>hour</w:t>
      </w:r>
      <w:r w:rsidR="00EE4FC3">
        <w:t xml:space="preserve"> </w:t>
      </w:r>
      <w:r w:rsidR="00610ADA" w:rsidRPr="00382917">
        <w:t>foretold</w:t>
      </w:r>
      <w:r w:rsidR="00EE4FC3">
        <w:t xml:space="preserve"> </w:t>
      </w:r>
      <w:r w:rsidR="00610ADA" w:rsidRPr="00382917">
        <w:t>in</w:t>
      </w:r>
      <w:r w:rsidR="00EE4FC3">
        <w:t xml:space="preserve"> </w:t>
      </w:r>
      <w:r w:rsidR="00610ADA" w:rsidRPr="00382917">
        <w:t>the</w:t>
      </w:r>
      <w:r w:rsidR="00EE4FC3">
        <w:t xml:space="preserve"> </w:t>
      </w:r>
      <w:r w:rsidR="00610ADA" w:rsidRPr="00382917">
        <w:t>prophecy</w:t>
      </w:r>
      <w:r w:rsidR="00C03C91">
        <w:t>:</w:t>
      </w:r>
      <w:r w:rsidR="00EE4FC3">
        <w:t xml:space="preserve">  </w:t>
      </w:r>
      <w:r w:rsidR="009C713D" w:rsidRPr="00382917">
        <w:t>“</w:t>
      </w:r>
      <w:r w:rsidR="00610ADA" w:rsidRPr="00382917">
        <w:t>Ere</w:t>
      </w:r>
      <w:r w:rsidR="00EE4FC3">
        <w:t xml:space="preserve"> </w:t>
      </w:r>
      <w:r w:rsidR="00610ADA" w:rsidRPr="00382917">
        <w:t>long</w:t>
      </w:r>
      <w:r w:rsidR="00EE4FC3">
        <w:t xml:space="preserve"> </w:t>
      </w:r>
      <w:r w:rsidR="00610ADA" w:rsidRPr="00382917">
        <w:t>shall</w:t>
      </w:r>
      <w:r w:rsidR="00EE4FC3">
        <w:t xml:space="preserve"> </w:t>
      </w:r>
      <w:r w:rsidR="00610ADA" w:rsidRPr="00382917">
        <w:t>ye</w:t>
      </w:r>
      <w:r w:rsidR="00EE4FC3">
        <w:t xml:space="preserve"> </w:t>
      </w:r>
      <w:r w:rsidR="00610ADA" w:rsidRPr="00382917">
        <w:t>behold</w:t>
      </w:r>
      <w:r w:rsidR="00EE4FC3">
        <w:t xml:space="preserve"> </w:t>
      </w:r>
      <w:r w:rsidR="00610ADA" w:rsidRPr="00382917">
        <w:t>the</w:t>
      </w:r>
      <w:r w:rsidR="00EE4FC3">
        <w:t xml:space="preserve"> </w:t>
      </w:r>
      <w:r w:rsidR="00610ADA" w:rsidRPr="00382917">
        <w:t>countenance</w:t>
      </w:r>
      <w:r w:rsidR="00EE4FC3">
        <w:t xml:space="preserve"> </w:t>
      </w:r>
      <w:r w:rsidR="00610ADA" w:rsidRPr="00382917">
        <w:t>of</w:t>
      </w:r>
      <w:r w:rsidR="00EE4FC3">
        <w:t xml:space="preserve"> </w:t>
      </w:r>
      <w:r w:rsidR="00610ADA" w:rsidRPr="00382917">
        <w:t>your</w:t>
      </w:r>
      <w:r w:rsidR="00EE4FC3">
        <w:t xml:space="preserve"> </w:t>
      </w:r>
      <w:r w:rsidR="00610ADA" w:rsidRPr="00382917">
        <w:t>Lord</w:t>
      </w:r>
      <w:r w:rsidR="00EE4FC3">
        <w:t xml:space="preserve"> </w:t>
      </w:r>
      <w:r w:rsidR="00610ADA" w:rsidRPr="00382917">
        <w:t>resplendent</w:t>
      </w:r>
      <w:r w:rsidR="00EE4FC3">
        <w:t xml:space="preserve"> </w:t>
      </w:r>
      <w:r w:rsidR="00610ADA" w:rsidRPr="00382917">
        <w:t>as</w:t>
      </w:r>
      <w:r w:rsidR="00EE4FC3">
        <w:t xml:space="preserve"> </w:t>
      </w:r>
      <w:r w:rsidR="00610ADA" w:rsidRPr="00382917">
        <w:t>the</w:t>
      </w:r>
      <w:r w:rsidR="00EE4FC3">
        <w:t xml:space="preserve"> </w:t>
      </w:r>
      <w:r w:rsidR="00610ADA" w:rsidRPr="00382917">
        <w:t>moon</w:t>
      </w:r>
      <w:r w:rsidR="00EE4FC3">
        <w:t xml:space="preserve"> </w:t>
      </w:r>
      <w:r w:rsidR="00610ADA" w:rsidRPr="00382917">
        <w:t>in</w:t>
      </w:r>
      <w:r w:rsidR="00EE4FC3">
        <w:t xml:space="preserve"> </w:t>
      </w:r>
      <w:r w:rsidR="00610ADA" w:rsidRPr="00382917">
        <w:t>its</w:t>
      </w:r>
      <w:r w:rsidR="00EE4FC3">
        <w:t xml:space="preserve"> </w:t>
      </w:r>
      <w:r w:rsidR="00610ADA" w:rsidRPr="00382917">
        <w:t>full</w:t>
      </w:r>
      <w:r w:rsidR="00EE4FC3">
        <w:t xml:space="preserve"> </w:t>
      </w:r>
      <w:r w:rsidR="00610ADA" w:rsidRPr="00382917">
        <w:t>glory</w:t>
      </w:r>
      <w:r w:rsidR="00330AF7">
        <w:t>.</w:t>
      </w:r>
      <w:r w:rsidR="00EE4FC3">
        <w:t xml:space="preserve">  </w:t>
      </w:r>
      <w:r w:rsidR="00610ADA" w:rsidRPr="00382917">
        <w:t>Yet</w:t>
      </w:r>
      <w:r w:rsidR="00EE4FC3">
        <w:t xml:space="preserve"> </w:t>
      </w:r>
      <w:r w:rsidR="00610ADA" w:rsidRPr="00382917">
        <w:t>shall</w:t>
      </w:r>
      <w:r w:rsidR="00EE4FC3">
        <w:t xml:space="preserve"> </w:t>
      </w:r>
      <w:r w:rsidR="00610ADA" w:rsidRPr="00382917">
        <w:t>ye</w:t>
      </w:r>
      <w:r w:rsidR="00EE4FC3">
        <w:t xml:space="preserve"> </w:t>
      </w:r>
      <w:r w:rsidR="00610ADA" w:rsidRPr="00382917">
        <w:t>fail</w:t>
      </w:r>
      <w:r w:rsidR="00EE4FC3">
        <w:t xml:space="preserve"> </w:t>
      </w:r>
      <w:r w:rsidR="00610ADA" w:rsidRPr="00382917">
        <w:t>to</w:t>
      </w:r>
      <w:r w:rsidR="00EE4FC3">
        <w:t xml:space="preserve"> </w:t>
      </w:r>
      <w:r w:rsidR="00610ADA" w:rsidRPr="00382917">
        <w:t>unite</w:t>
      </w:r>
      <w:r w:rsidR="00EE4FC3">
        <w:t xml:space="preserve"> </w:t>
      </w:r>
      <w:r w:rsidR="00610ADA" w:rsidRPr="00382917">
        <w:t>in</w:t>
      </w:r>
      <w:r w:rsidR="00EE4FC3">
        <w:t xml:space="preserve"> </w:t>
      </w:r>
      <w:r w:rsidR="00610ADA" w:rsidRPr="00382917">
        <w:t>acknowledging</w:t>
      </w:r>
      <w:r w:rsidR="00EE4FC3">
        <w:t xml:space="preserve"> </w:t>
      </w:r>
      <w:r w:rsidR="00610ADA" w:rsidRPr="00382917">
        <w:t>His</w:t>
      </w:r>
      <w:r w:rsidR="00EE4FC3">
        <w:t xml:space="preserve"> </w:t>
      </w:r>
      <w:r w:rsidR="00610ADA" w:rsidRPr="00382917">
        <w:t>truth</w:t>
      </w:r>
      <w:r w:rsidR="00EE4FC3">
        <w:t xml:space="preserve"> </w:t>
      </w:r>
      <w:r w:rsidR="00610ADA" w:rsidRPr="00382917">
        <w:t>and</w:t>
      </w:r>
      <w:r w:rsidR="00EE4FC3">
        <w:t xml:space="preserve"> </w:t>
      </w:r>
      <w:r w:rsidR="00610ADA" w:rsidRPr="00382917">
        <w:t>embracing</w:t>
      </w:r>
      <w:r w:rsidR="00EE4FC3">
        <w:t xml:space="preserve"> </w:t>
      </w:r>
      <w:r w:rsidR="00610ADA" w:rsidRPr="00382917">
        <w:t>His</w:t>
      </w:r>
      <w:r w:rsidR="00EE4FC3">
        <w:t xml:space="preserve"> </w:t>
      </w:r>
      <w:r w:rsidR="00610ADA" w:rsidRPr="00382917">
        <w:t>Faith.</w:t>
      </w:r>
      <w:r w:rsidR="009C713D" w:rsidRPr="00382917">
        <w:t>”</w:t>
      </w:r>
    </w:p>
    <w:p w:rsidR="00610ADA" w:rsidRPr="00382917" w:rsidRDefault="008A073E" w:rsidP="00900F24">
      <w:pPr>
        <w:pStyle w:val="Text"/>
      </w:pPr>
      <w:r w:rsidRPr="00382917">
        <w:rPr>
          <w:u w:val="single"/>
        </w:rPr>
        <w:t>Sh</w:t>
      </w:r>
      <w:r w:rsidRPr="00382917">
        <w:t>ay</w:t>
      </w:r>
      <w:r w:rsidRPr="00382917">
        <w:rPr>
          <w:u w:val="single"/>
        </w:rPr>
        <w:t>kh</w:t>
      </w:r>
      <w:r w:rsidR="00EE4FC3">
        <w:t xml:space="preserve"> </w:t>
      </w:r>
      <w:r w:rsidR="00610ADA" w:rsidRPr="00382917">
        <w:t>Aḥmad</w:t>
      </w:r>
      <w:r w:rsidR="00EE4FC3">
        <w:t xml:space="preserve"> </w:t>
      </w:r>
      <w:r w:rsidR="00610ADA" w:rsidRPr="00382917">
        <w:t>also</w:t>
      </w:r>
      <w:r w:rsidR="00EE4FC3">
        <w:t xml:space="preserve"> </w:t>
      </w:r>
      <w:r w:rsidR="00610ADA" w:rsidRPr="00382917">
        <w:t>believed</w:t>
      </w:r>
      <w:r w:rsidR="00EE4FC3">
        <w:t xml:space="preserve"> </w:t>
      </w:r>
      <w:r w:rsidR="00610ADA" w:rsidRPr="00382917">
        <w:t>this</w:t>
      </w:r>
      <w:r w:rsidR="00EE4FC3">
        <w:t xml:space="preserve"> </w:t>
      </w:r>
      <w:r w:rsidR="00610ADA" w:rsidRPr="00382917">
        <w:t>to</w:t>
      </w:r>
      <w:r w:rsidR="00EE4FC3">
        <w:t xml:space="preserve"> </w:t>
      </w:r>
      <w:r w:rsidR="00610ADA" w:rsidRPr="00382917">
        <w:t>be</w:t>
      </w:r>
      <w:r w:rsidR="00EE4FC3">
        <w:t xml:space="preserve"> </w:t>
      </w:r>
      <w:r w:rsidR="00610ADA" w:rsidRPr="00382917">
        <w:t>the</w:t>
      </w:r>
      <w:r w:rsidR="00EE4FC3">
        <w:t xml:space="preserve"> </w:t>
      </w:r>
      <w:r w:rsidR="00610ADA" w:rsidRPr="00382917">
        <w:t>hour</w:t>
      </w:r>
      <w:r w:rsidR="00EE4FC3">
        <w:t xml:space="preserve"> </w:t>
      </w:r>
      <w:r w:rsidR="00610ADA" w:rsidRPr="00382917">
        <w:t>of</w:t>
      </w:r>
      <w:r w:rsidR="00EE4FC3">
        <w:t xml:space="preserve"> </w:t>
      </w:r>
      <w:proofErr w:type="spellStart"/>
      <w:r w:rsidR="00610ADA" w:rsidRPr="00382917">
        <w:t>fulfillment</w:t>
      </w:r>
      <w:proofErr w:type="spellEnd"/>
      <w:r w:rsidR="00EE4FC3">
        <w:t xml:space="preserve"> </w:t>
      </w:r>
      <w:r w:rsidR="00610ADA" w:rsidRPr="00382917">
        <w:t>for</w:t>
      </w:r>
      <w:r w:rsidR="00EE4FC3">
        <w:t xml:space="preserve"> </w:t>
      </w:r>
      <w:r w:rsidR="00610ADA" w:rsidRPr="00382917">
        <w:t>those</w:t>
      </w:r>
      <w:r w:rsidR="00EE4FC3">
        <w:t xml:space="preserve"> </w:t>
      </w:r>
      <w:r w:rsidR="00610ADA" w:rsidRPr="00382917">
        <w:t>prophetic</w:t>
      </w:r>
      <w:r w:rsidR="00EE4FC3">
        <w:t xml:space="preserve"> </w:t>
      </w:r>
      <w:r w:rsidR="00610ADA" w:rsidRPr="00382917">
        <w:t>words</w:t>
      </w:r>
      <w:r w:rsidR="00C03C91">
        <w:t>:</w:t>
      </w:r>
      <w:r w:rsidR="00EE4FC3">
        <w:t xml:space="preserve">  </w:t>
      </w:r>
      <w:r w:rsidR="009C713D" w:rsidRPr="00382917">
        <w:t>“</w:t>
      </w:r>
      <w:r w:rsidR="00610ADA" w:rsidRPr="00382917">
        <w:t>One</w:t>
      </w:r>
      <w:r w:rsidR="00EE4FC3">
        <w:t xml:space="preserve"> </w:t>
      </w:r>
      <w:r w:rsidR="00610ADA" w:rsidRPr="00382917">
        <w:t>of</w:t>
      </w:r>
      <w:r w:rsidR="00EE4FC3">
        <w:t xml:space="preserve"> </w:t>
      </w:r>
      <w:r w:rsidR="00610ADA" w:rsidRPr="00382917">
        <w:t>the</w:t>
      </w:r>
      <w:r w:rsidR="00EE4FC3">
        <w:t xml:space="preserve"> </w:t>
      </w:r>
      <w:proofErr w:type="gramStart"/>
      <w:r w:rsidR="00610ADA" w:rsidRPr="00382917">
        <w:t>most</w:t>
      </w:r>
      <w:r w:rsidR="00EE4FC3">
        <w:t xml:space="preserve"> </w:t>
      </w:r>
      <w:r w:rsidR="00610ADA" w:rsidRPr="00382917">
        <w:t>mighty</w:t>
      </w:r>
      <w:proofErr w:type="gramEnd"/>
      <w:r w:rsidR="00EE4FC3">
        <w:t xml:space="preserve"> </w:t>
      </w:r>
      <w:r w:rsidR="00610ADA" w:rsidRPr="00382917">
        <w:t>signs</w:t>
      </w:r>
      <w:r w:rsidR="00EE4FC3">
        <w:t xml:space="preserve"> </w:t>
      </w:r>
      <w:r w:rsidR="00610ADA" w:rsidRPr="00382917">
        <w:t>that</w:t>
      </w:r>
      <w:r w:rsidR="00EE4FC3">
        <w:t xml:space="preserve"> </w:t>
      </w:r>
      <w:r w:rsidR="00610ADA" w:rsidRPr="00382917">
        <w:t>shall</w:t>
      </w:r>
      <w:r w:rsidR="00EE4FC3">
        <w:t xml:space="preserve"> </w:t>
      </w:r>
      <w:r w:rsidR="00610ADA" w:rsidRPr="00382917">
        <w:t>signalize</w:t>
      </w:r>
      <w:r w:rsidR="00EE4FC3">
        <w:t xml:space="preserve"> </w:t>
      </w:r>
      <w:r w:rsidR="00610ADA" w:rsidRPr="00382917">
        <w:t>the</w:t>
      </w:r>
      <w:r w:rsidR="00EE4FC3">
        <w:t xml:space="preserve"> </w:t>
      </w:r>
      <w:r w:rsidR="00610ADA" w:rsidRPr="00382917">
        <w:t>advent</w:t>
      </w:r>
      <w:r w:rsidR="00EE4FC3">
        <w:t xml:space="preserve"> </w:t>
      </w:r>
      <w:r w:rsidR="00610ADA" w:rsidRPr="00382917">
        <w:t>of</w:t>
      </w:r>
      <w:r w:rsidR="00EE4FC3">
        <w:t xml:space="preserve"> </w:t>
      </w:r>
      <w:r w:rsidR="00610ADA" w:rsidRPr="00382917">
        <w:t>the</w:t>
      </w:r>
      <w:r w:rsidR="00EE4FC3">
        <w:t xml:space="preserve"> </w:t>
      </w:r>
      <w:r w:rsidR="00610ADA" w:rsidRPr="00382917">
        <w:t>promised</w:t>
      </w:r>
      <w:r w:rsidR="00EE4FC3">
        <w:t xml:space="preserve"> </w:t>
      </w:r>
      <w:r w:rsidR="00610ADA" w:rsidRPr="00382917">
        <w:t>Hour</w:t>
      </w:r>
      <w:r w:rsidR="00EE4FC3">
        <w:t xml:space="preserve"> </w:t>
      </w:r>
      <w:r w:rsidR="00610ADA" w:rsidRPr="00382917">
        <w:t>is</w:t>
      </w:r>
      <w:r w:rsidR="00EE4FC3">
        <w:t xml:space="preserve"> </w:t>
      </w:r>
      <w:r w:rsidR="00610ADA" w:rsidRPr="00382917">
        <w:t>this</w:t>
      </w:r>
      <w:r w:rsidR="00C03C91">
        <w:t>:</w:t>
      </w:r>
      <w:r w:rsidR="00EE4FC3">
        <w:t xml:space="preserve">  </w:t>
      </w:r>
      <w:r w:rsidR="009C713D" w:rsidRPr="00382917">
        <w:t>‘</w:t>
      </w:r>
      <w:r w:rsidR="00610ADA" w:rsidRPr="00382917">
        <w:t>A</w:t>
      </w:r>
      <w:r w:rsidR="00EE4FC3">
        <w:t xml:space="preserve"> </w:t>
      </w:r>
      <w:r w:rsidR="00610ADA" w:rsidRPr="00382917">
        <w:t>woman</w:t>
      </w:r>
      <w:r w:rsidR="00EE4FC3">
        <w:t xml:space="preserve"> </w:t>
      </w:r>
      <w:r w:rsidR="00610ADA" w:rsidRPr="00382917">
        <w:t>shall</w:t>
      </w:r>
      <w:r w:rsidR="00EE4FC3">
        <w:t xml:space="preserve"> </w:t>
      </w:r>
      <w:r w:rsidR="00610ADA" w:rsidRPr="00382917">
        <w:t>give</w:t>
      </w:r>
      <w:r w:rsidR="00EE4FC3">
        <w:t xml:space="preserve"> </w:t>
      </w:r>
      <w:r w:rsidR="00610ADA" w:rsidRPr="00382917">
        <w:t>birth</w:t>
      </w:r>
      <w:r w:rsidR="00EE4FC3">
        <w:t xml:space="preserve"> </w:t>
      </w:r>
      <w:r w:rsidR="00610ADA" w:rsidRPr="00382917">
        <w:t>to</w:t>
      </w:r>
      <w:r w:rsidR="00EE4FC3">
        <w:t xml:space="preserve"> </w:t>
      </w:r>
      <w:r w:rsidR="00610ADA" w:rsidRPr="00382917">
        <w:t>One</w:t>
      </w:r>
      <w:r w:rsidR="00EE4FC3">
        <w:t xml:space="preserve"> </w:t>
      </w:r>
      <w:r w:rsidR="00610ADA" w:rsidRPr="00382917">
        <w:t>Who</w:t>
      </w:r>
      <w:r w:rsidR="00EE4FC3">
        <w:t xml:space="preserve"> </w:t>
      </w:r>
      <w:r w:rsidR="00610ADA" w:rsidRPr="00382917">
        <w:t>shall</w:t>
      </w:r>
      <w:r w:rsidR="00EE4FC3">
        <w:t xml:space="preserve"> </w:t>
      </w:r>
      <w:r w:rsidR="00610ADA" w:rsidRPr="00382917">
        <w:t>be</w:t>
      </w:r>
      <w:r w:rsidR="00EE4FC3">
        <w:t xml:space="preserve"> </w:t>
      </w:r>
      <w:r w:rsidR="00610ADA" w:rsidRPr="00382917">
        <w:t>her</w:t>
      </w:r>
      <w:r w:rsidR="00EE4FC3">
        <w:t xml:space="preserve"> </w:t>
      </w:r>
      <w:r w:rsidR="00610ADA" w:rsidRPr="00382917">
        <w:t>Lord.</w:t>
      </w:r>
      <w:r w:rsidR="009C713D" w:rsidRPr="00382917">
        <w:t>’”</w:t>
      </w:r>
    </w:p>
    <w:p w:rsidR="00610ADA" w:rsidRPr="00382917" w:rsidRDefault="00610ADA" w:rsidP="00900F24">
      <w:pPr>
        <w:pStyle w:val="Text"/>
      </w:pPr>
      <w:r w:rsidRPr="00382917">
        <w:t>The</w:t>
      </w:r>
      <w:r w:rsidR="00EE4FC3">
        <w:t xml:space="preserve"> </w:t>
      </w:r>
      <w:r w:rsidRPr="00382917">
        <w:t>following</w:t>
      </w:r>
      <w:r w:rsidR="00EE4FC3">
        <w:t xml:space="preserve"> </w:t>
      </w:r>
      <w:r w:rsidRPr="00382917">
        <w:t>similar</w:t>
      </w:r>
      <w:r w:rsidR="00EE4FC3">
        <w:t xml:space="preserve"> </w:t>
      </w:r>
      <w:r w:rsidRPr="00382917">
        <w:t>words</w:t>
      </w:r>
      <w:r w:rsidR="00EE4FC3">
        <w:t xml:space="preserve"> </w:t>
      </w:r>
      <w:r w:rsidRPr="00382917">
        <w:t>had</w:t>
      </w:r>
      <w:r w:rsidR="00EE4FC3">
        <w:t xml:space="preserve"> </w:t>
      </w:r>
      <w:r w:rsidRPr="00382917">
        <w:t>been</w:t>
      </w:r>
      <w:r w:rsidR="00EE4FC3">
        <w:t xml:space="preserve"> </w:t>
      </w:r>
      <w:r w:rsidRPr="00382917">
        <w:t>written</w:t>
      </w:r>
      <w:r w:rsidR="00EE4FC3">
        <w:t xml:space="preserve"> </w:t>
      </w:r>
      <w:r w:rsidRPr="00382917">
        <w:t>in</w:t>
      </w:r>
      <w:r w:rsidR="00EE4FC3">
        <w:t xml:space="preserve"> </w:t>
      </w:r>
      <w:r w:rsidRPr="00382917">
        <w:t>the</w:t>
      </w:r>
      <w:r w:rsidR="00EE4FC3">
        <w:t xml:space="preserve"> </w:t>
      </w:r>
      <w:r w:rsidRPr="00382917">
        <w:t>Book</w:t>
      </w:r>
      <w:r w:rsidR="00EE4FC3">
        <w:t xml:space="preserve"> </w:t>
      </w:r>
      <w:r w:rsidRPr="00382917">
        <w:t>of</w:t>
      </w:r>
      <w:r w:rsidR="00EE4FC3">
        <w:t xml:space="preserve"> </w:t>
      </w:r>
      <w:r w:rsidRPr="00382917">
        <w:t>Isaiah</w:t>
      </w:r>
      <w:r w:rsidR="00EE4FC3">
        <w:t xml:space="preserve"> </w:t>
      </w:r>
      <w:r w:rsidRPr="00382917">
        <w:t>for</w:t>
      </w:r>
      <w:r w:rsidR="00EE4FC3">
        <w:t xml:space="preserve"> </w:t>
      </w:r>
      <w:r w:rsidRPr="00382917">
        <w:t>the</w:t>
      </w:r>
      <w:r w:rsidR="00EE4FC3">
        <w:t xml:space="preserve"> </w:t>
      </w:r>
      <w:r w:rsidRPr="00382917">
        <w:t>time</w:t>
      </w:r>
      <w:r w:rsidR="00EE4FC3">
        <w:t xml:space="preserve"> </w:t>
      </w:r>
      <w:r w:rsidRPr="00382917">
        <w:t>of</w:t>
      </w:r>
      <w:r w:rsidR="00EE4FC3">
        <w:t xml:space="preserve"> </w:t>
      </w:r>
      <w:r w:rsidRPr="00382917">
        <w:t>the</w:t>
      </w:r>
      <w:r w:rsidR="00EE4FC3">
        <w:t xml:space="preserve"> </w:t>
      </w:r>
      <w:r w:rsidRPr="00382917">
        <w:t>end</w:t>
      </w:r>
      <w:r w:rsidR="00EE4FC3">
        <w:t xml:space="preserve"> </w:t>
      </w:r>
      <w:r w:rsidRPr="00382917">
        <w:t>when</w:t>
      </w:r>
      <w:r w:rsidR="00EE4FC3">
        <w:t xml:space="preserve"> </w:t>
      </w:r>
      <w:r w:rsidRPr="00382917">
        <w:t>the</w:t>
      </w:r>
      <w:r w:rsidR="00EE4FC3">
        <w:t xml:space="preserve"> </w:t>
      </w:r>
      <w:r w:rsidRPr="00382917">
        <w:t>promised</w:t>
      </w:r>
      <w:r w:rsidR="00EE4FC3">
        <w:t xml:space="preserve"> </w:t>
      </w:r>
      <w:r w:rsidRPr="00382917">
        <w:t>Saviour</w:t>
      </w:r>
      <w:r w:rsidR="00EE4FC3">
        <w:t xml:space="preserve"> </w:t>
      </w:r>
      <w:r w:rsidRPr="00382917">
        <w:t>would</w:t>
      </w:r>
    </w:p>
    <w:p w:rsidR="00900F24" w:rsidRPr="00382917" w:rsidRDefault="00900F24">
      <w:pPr>
        <w:widowControl/>
        <w:kinsoku/>
        <w:overflowPunct/>
        <w:textAlignment w:val="auto"/>
      </w:pPr>
      <w:r w:rsidRPr="00382917">
        <w:br w:type="page"/>
      </w:r>
    </w:p>
    <w:p w:rsidR="00E13D49" w:rsidRPr="00382917" w:rsidRDefault="00610ADA" w:rsidP="00F05D87">
      <w:pPr>
        <w:pStyle w:val="Textcts"/>
      </w:pPr>
      <w:proofErr w:type="gramStart"/>
      <w:r w:rsidRPr="00382917">
        <w:t>appear</w:t>
      </w:r>
      <w:proofErr w:type="gramEnd"/>
      <w:r w:rsidR="00C03C91">
        <w:t>:</w:t>
      </w:r>
      <w:r w:rsidR="00EE4FC3">
        <w:t xml:space="preserve">  </w:t>
      </w:r>
      <w:r w:rsidR="009C713D" w:rsidRPr="00382917">
        <w:t>“</w:t>
      </w:r>
      <w:r w:rsidRPr="00382917">
        <w:t>For</w:t>
      </w:r>
      <w:r w:rsidR="00EE4FC3">
        <w:t xml:space="preserve"> </w:t>
      </w:r>
      <w:r w:rsidRPr="00382917">
        <w:t>Thy</w:t>
      </w:r>
      <w:r w:rsidR="00EE4FC3">
        <w:t xml:space="preserve"> </w:t>
      </w:r>
      <w:r w:rsidRPr="00382917">
        <w:t>Maker</w:t>
      </w:r>
      <w:r w:rsidR="00EE4FC3">
        <w:t xml:space="preserve"> </w:t>
      </w:r>
      <w:r w:rsidRPr="00382917">
        <w:t>is</w:t>
      </w:r>
      <w:r w:rsidR="00EE4FC3">
        <w:t xml:space="preserve"> </w:t>
      </w:r>
      <w:r w:rsidRPr="00382917">
        <w:t>thine</w:t>
      </w:r>
      <w:r w:rsidR="00EE4FC3">
        <w:t xml:space="preserve"> </w:t>
      </w:r>
      <w:r w:rsidRPr="00382917">
        <w:t>husband;</w:t>
      </w:r>
      <w:r w:rsidR="00EE4FC3">
        <w:t xml:space="preserve"> </w:t>
      </w:r>
      <w:r w:rsidRPr="00382917">
        <w:t>the</w:t>
      </w:r>
      <w:r w:rsidR="00EE4FC3">
        <w:t xml:space="preserve"> </w:t>
      </w:r>
      <w:r w:rsidRPr="00382917">
        <w:t>Lord</w:t>
      </w:r>
      <w:r w:rsidR="00EE4FC3">
        <w:t xml:space="preserve"> </w:t>
      </w:r>
      <w:r w:rsidRPr="00382917">
        <w:t>of</w:t>
      </w:r>
      <w:r w:rsidR="00EE4FC3">
        <w:t xml:space="preserve"> </w:t>
      </w:r>
      <w:r w:rsidRPr="00382917">
        <w:t>Hosts</w:t>
      </w:r>
      <w:r w:rsidR="00EE4FC3">
        <w:t xml:space="preserve"> </w:t>
      </w:r>
      <w:r w:rsidRPr="00382917">
        <w:t>is</w:t>
      </w:r>
      <w:r w:rsidR="00EE4FC3">
        <w:t xml:space="preserve"> </w:t>
      </w:r>
      <w:r w:rsidRPr="00382917">
        <w:t>His</w:t>
      </w:r>
      <w:r w:rsidR="00EE4FC3">
        <w:t xml:space="preserve"> </w:t>
      </w:r>
      <w:r w:rsidRPr="00382917">
        <w:t>name;</w:t>
      </w:r>
      <w:r w:rsidR="00EE4FC3">
        <w:t xml:space="preserve"> </w:t>
      </w:r>
      <w:r w:rsidRPr="00382917">
        <w:t>the</w:t>
      </w:r>
      <w:r w:rsidR="00EE4FC3">
        <w:t xml:space="preserve"> </w:t>
      </w:r>
      <w:r w:rsidRPr="00382917">
        <w:t>God</w:t>
      </w:r>
      <w:r w:rsidR="00EE4FC3">
        <w:t xml:space="preserve"> </w:t>
      </w:r>
      <w:r w:rsidRPr="00382917">
        <w:t>of</w:t>
      </w:r>
      <w:r w:rsidR="00EE4FC3">
        <w:t xml:space="preserve"> </w:t>
      </w:r>
      <w:r w:rsidRPr="00382917">
        <w:t>the</w:t>
      </w:r>
      <w:r w:rsidR="00EE4FC3">
        <w:t xml:space="preserve"> </w:t>
      </w:r>
      <w:r w:rsidRPr="00382917">
        <w:t>whole</w:t>
      </w:r>
      <w:r w:rsidR="00EE4FC3">
        <w:t xml:space="preserve"> </w:t>
      </w:r>
      <w:r w:rsidRPr="00382917">
        <w:t>earth</w:t>
      </w:r>
      <w:r w:rsidR="00EE4FC3">
        <w:t xml:space="preserve"> </w:t>
      </w:r>
      <w:r w:rsidRPr="00382917">
        <w:t>shall</w:t>
      </w:r>
      <w:r w:rsidR="00EE4FC3">
        <w:t xml:space="preserve"> </w:t>
      </w:r>
      <w:r w:rsidRPr="00382917">
        <w:t>He</w:t>
      </w:r>
      <w:r w:rsidR="00EE4FC3">
        <w:t xml:space="preserve"> </w:t>
      </w:r>
      <w:r w:rsidRPr="00382917">
        <w:t>be</w:t>
      </w:r>
      <w:r w:rsidR="00EE4FC3">
        <w:t xml:space="preserve"> </w:t>
      </w:r>
      <w:r w:rsidRPr="00382917">
        <w:t>called.</w:t>
      </w:r>
      <w:r w:rsidR="009C713D" w:rsidRPr="00382917">
        <w:t>”</w:t>
      </w:r>
      <w:r w:rsidR="00F05D87">
        <w:rPr>
          <w:rStyle w:val="FootnoteReference"/>
        </w:rPr>
        <w:footnoteReference w:id="193"/>
      </w:r>
    </w:p>
    <w:p w:rsidR="00610ADA" w:rsidRPr="00382917" w:rsidRDefault="008A073E" w:rsidP="007B319A">
      <w:pPr>
        <w:pStyle w:val="Text"/>
      </w:pPr>
      <w:r w:rsidRPr="00382917">
        <w:rPr>
          <w:u w:val="single"/>
        </w:rPr>
        <w:t>Sh</w:t>
      </w:r>
      <w:r w:rsidRPr="00382917">
        <w:t>ay</w:t>
      </w:r>
      <w:r w:rsidRPr="00382917">
        <w:rPr>
          <w:u w:val="single"/>
        </w:rPr>
        <w:t>kh</w:t>
      </w:r>
      <w:r w:rsidR="00EE4FC3">
        <w:t xml:space="preserve"> </w:t>
      </w:r>
      <w:r w:rsidR="00610ADA" w:rsidRPr="00382917">
        <w:t>Aḥmad</w:t>
      </w:r>
      <w:r w:rsidR="00EE4FC3">
        <w:t xml:space="preserve"> </w:t>
      </w:r>
      <w:r w:rsidR="00610ADA" w:rsidRPr="00382917">
        <w:t>repeatedly</w:t>
      </w:r>
      <w:r w:rsidR="00EE4FC3">
        <w:t xml:space="preserve"> </w:t>
      </w:r>
      <w:r w:rsidR="00610ADA" w:rsidRPr="00382917">
        <w:t>impressed</w:t>
      </w:r>
      <w:r w:rsidR="00EE4FC3">
        <w:t xml:space="preserve"> </w:t>
      </w:r>
      <w:r w:rsidR="00610ADA" w:rsidRPr="00382917">
        <w:t>upon</w:t>
      </w:r>
      <w:r w:rsidR="00EE4FC3">
        <w:t xml:space="preserve"> </w:t>
      </w:r>
      <w:r w:rsidR="00610ADA" w:rsidRPr="00382917">
        <w:t>the</w:t>
      </w:r>
      <w:r w:rsidR="00EE4FC3">
        <w:t xml:space="preserve"> </w:t>
      </w:r>
      <w:r w:rsidR="00610ADA" w:rsidRPr="00382917">
        <w:t>minds</w:t>
      </w:r>
      <w:r w:rsidR="00EE4FC3">
        <w:t xml:space="preserve"> </w:t>
      </w:r>
      <w:r w:rsidR="00610ADA" w:rsidRPr="00382917">
        <w:t>of</w:t>
      </w:r>
      <w:r w:rsidR="00EE4FC3">
        <w:t xml:space="preserve"> </w:t>
      </w:r>
      <w:r w:rsidR="00610ADA" w:rsidRPr="00382917">
        <w:t>his</w:t>
      </w:r>
      <w:r w:rsidR="00EE4FC3">
        <w:t xml:space="preserve"> </w:t>
      </w:r>
      <w:r w:rsidR="00610ADA" w:rsidRPr="00382917">
        <w:t>followers</w:t>
      </w:r>
      <w:r w:rsidR="00EE4FC3">
        <w:t xml:space="preserve"> </w:t>
      </w:r>
      <w:r w:rsidR="00610ADA" w:rsidRPr="00382917">
        <w:t>the</w:t>
      </w:r>
      <w:r w:rsidR="00EE4FC3">
        <w:t xml:space="preserve"> </w:t>
      </w:r>
      <w:r w:rsidR="00610ADA" w:rsidRPr="00382917">
        <w:t>certainty</w:t>
      </w:r>
      <w:r w:rsidR="00EE4FC3">
        <w:t xml:space="preserve"> </w:t>
      </w:r>
      <w:r w:rsidR="00610ADA" w:rsidRPr="00382917">
        <w:t>of</w:t>
      </w:r>
      <w:r w:rsidR="00EE4FC3">
        <w:t xml:space="preserve"> </w:t>
      </w:r>
      <w:r w:rsidR="00610ADA" w:rsidRPr="00382917">
        <w:t>the</w:t>
      </w:r>
      <w:r w:rsidR="00EE4FC3">
        <w:t xml:space="preserve"> </w:t>
      </w:r>
      <w:r w:rsidR="00610ADA" w:rsidRPr="00382917">
        <w:t>appearance</w:t>
      </w:r>
      <w:r w:rsidR="00EE4FC3">
        <w:t xml:space="preserve"> </w:t>
      </w:r>
      <w:r w:rsidR="00610ADA" w:rsidRPr="00382917">
        <w:t>of</w:t>
      </w:r>
      <w:r w:rsidR="00EE4FC3">
        <w:t xml:space="preserve"> </w:t>
      </w:r>
      <w:r w:rsidR="00610ADA" w:rsidRPr="00382917">
        <w:t>twin</w:t>
      </w:r>
      <w:r w:rsidR="00EE4FC3">
        <w:t xml:space="preserve"> </w:t>
      </w:r>
      <w:r w:rsidR="00610ADA" w:rsidRPr="00382917">
        <w:t>Messengers</w:t>
      </w:r>
      <w:r w:rsidR="00330AF7">
        <w:t>.</w:t>
      </w:r>
      <w:r w:rsidR="00EE4FC3">
        <w:t xml:space="preserve">  </w:t>
      </w:r>
      <w:r w:rsidR="00610ADA" w:rsidRPr="00382917">
        <w:t>M</w:t>
      </w:r>
      <w:r w:rsidR="007B319A" w:rsidRPr="00382917">
        <w:t>í</w:t>
      </w:r>
      <w:r w:rsidR="00610ADA" w:rsidRPr="00382917">
        <w:t>r</w:t>
      </w:r>
      <w:r w:rsidR="007B319A" w:rsidRPr="00382917">
        <w:t>zá</w:t>
      </w:r>
      <w:r w:rsidR="00EE4FC3">
        <w:t xml:space="preserve"> </w:t>
      </w:r>
      <w:r w:rsidR="00610ADA" w:rsidRPr="00382917">
        <w:t>Maḥmúd,</w:t>
      </w:r>
      <w:r w:rsidR="00EE4FC3">
        <w:t xml:space="preserve"> </w:t>
      </w:r>
      <w:r w:rsidR="00610ADA" w:rsidRPr="00382917">
        <w:t>a</w:t>
      </w:r>
      <w:r w:rsidR="00EE4FC3">
        <w:t xml:space="preserve"> </w:t>
      </w:r>
      <w:r w:rsidR="00610ADA" w:rsidRPr="00382917">
        <w:t>follower</w:t>
      </w:r>
      <w:r w:rsidR="00EE4FC3">
        <w:t xml:space="preserve"> </w:t>
      </w:r>
      <w:r w:rsidR="00610ADA" w:rsidRPr="00382917">
        <w:t>of</w:t>
      </w:r>
      <w:r w:rsidR="00EE4FC3">
        <w:t xml:space="preserve"> </w:t>
      </w:r>
      <w:r w:rsidRPr="00382917">
        <w:rPr>
          <w:u w:val="single"/>
        </w:rPr>
        <w:t>Sh</w:t>
      </w:r>
      <w:r w:rsidRPr="00382917">
        <w:t>ay</w:t>
      </w:r>
      <w:r w:rsidRPr="00382917">
        <w:rPr>
          <w:u w:val="single"/>
        </w:rPr>
        <w:t>kh</w:t>
      </w:r>
      <w:r w:rsidR="00EE4FC3">
        <w:t xml:space="preserve"> </w:t>
      </w:r>
      <w:r w:rsidR="00610ADA" w:rsidRPr="00382917">
        <w:t>Aḥmad,</w:t>
      </w:r>
      <w:r w:rsidR="00EE4FC3">
        <w:t xml:space="preserve"> </w:t>
      </w:r>
      <w:r w:rsidR="00610ADA" w:rsidRPr="00382917">
        <w:t>recalls</w:t>
      </w:r>
      <w:r w:rsidR="00EE4FC3">
        <w:t xml:space="preserve"> </w:t>
      </w:r>
      <w:r w:rsidR="00610ADA" w:rsidRPr="00382917">
        <w:t>in</w:t>
      </w:r>
      <w:r w:rsidR="00EE4FC3">
        <w:t xml:space="preserve"> </w:t>
      </w:r>
      <w:r w:rsidR="00610ADA" w:rsidRPr="00382917">
        <w:t>this</w:t>
      </w:r>
      <w:r w:rsidR="00EE4FC3">
        <w:t xml:space="preserve"> </w:t>
      </w:r>
      <w:r w:rsidR="00610ADA" w:rsidRPr="00382917">
        <w:t>eye-witness</w:t>
      </w:r>
      <w:r w:rsidR="00EE4FC3">
        <w:t xml:space="preserve"> </w:t>
      </w:r>
      <w:r w:rsidR="00610ADA" w:rsidRPr="00382917">
        <w:t>account</w:t>
      </w:r>
      <w:r w:rsidR="00EE4FC3">
        <w:t xml:space="preserve"> </w:t>
      </w:r>
      <w:r w:rsidR="00610ADA" w:rsidRPr="00382917">
        <w:t>some</w:t>
      </w:r>
      <w:r w:rsidR="00EE4FC3">
        <w:t xml:space="preserve"> </w:t>
      </w:r>
      <w:r w:rsidR="00610ADA" w:rsidRPr="00382917">
        <w:t>of</w:t>
      </w:r>
      <w:r w:rsidR="00EE4FC3">
        <w:t xml:space="preserve"> </w:t>
      </w:r>
      <w:r w:rsidR="00610ADA" w:rsidRPr="00382917">
        <w:t>the</w:t>
      </w:r>
      <w:r w:rsidR="00EE4FC3">
        <w:t xml:space="preserve"> </w:t>
      </w:r>
      <w:r w:rsidR="00610ADA" w:rsidRPr="00382917">
        <w:t>excitement</w:t>
      </w:r>
      <w:r w:rsidR="00EE4FC3">
        <w:t xml:space="preserve"> </w:t>
      </w:r>
      <w:r w:rsidR="00610ADA" w:rsidRPr="00382917">
        <w:t>of</w:t>
      </w:r>
      <w:r w:rsidR="00EE4FC3">
        <w:t xml:space="preserve"> </w:t>
      </w:r>
      <w:r w:rsidR="00610ADA" w:rsidRPr="00382917">
        <w:t>those</w:t>
      </w:r>
      <w:r w:rsidR="00EE4FC3">
        <w:t xml:space="preserve"> </w:t>
      </w:r>
      <w:r w:rsidR="00610ADA" w:rsidRPr="00382917">
        <w:t>days</w:t>
      </w:r>
      <w:r w:rsidR="00EE4FC3">
        <w:t xml:space="preserve"> </w:t>
      </w:r>
      <w:r w:rsidR="00610ADA" w:rsidRPr="00382917">
        <w:t>of</w:t>
      </w:r>
      <w:r w:rsidR="00EE4FC3">
        <w:t xml:space="preserve"> </w:t>
      </w:r>
      <w:r w:rsidR="00610ADA" w:rsidRPr="00382917">
        <w:t>expectancy:</w:t>
      </w:r>
    </w:p>
    <w:p w:rsidR="00610ADA" w:rsidRPr="00382917" w:rsidRDefault="009C713D" w:rsidP="00900F24">
      <w:pPr>
        <w:pStyle w:val="Text"/>
      </w:pPr>
      <w:r w:rsidRPr="00382917">
        <w:t>“</w:t>
      </w:r>
      <w:r w:rsidR="00610ADA" w:rsidRPr="00382917">
        <w:t>At</w:t>
      </w:r>
      <w:r w:rsidR="00EE4FC3">
        <w:t xml:space="preserve"> </w:t>
      </w:r>
      <w:r w:rsidR="00610ADA" w:rsidRPr="00382917">
        <w:t>the</w:t>
      </w:r>
      <w:r w:rsidR="00EE4FC3">
        <w:t xml:space="preserve"> </w:t>
      </w:r>
      <w:r w:rsidR="00610ADA" w:rsidRPr="00382917">
        <w:t>hour</w:t>
      </w:r>
      <w:r w:rsidR="00EE4FC3">
        <w:t xml:space="preserve"> </w:t>
      </w:r>
      <w:r w:rsidR="00610ADA" w:rsidRPr="00382917">
        <w:t>of</w:t>
      </w:r>
      <w:r w:rsidR="00EE4FC3">
        <w:t xml:space="preserve"> </w:t>
      </w:r>
      <w:r w:rsidR="00610ADA" w:rsidRPr="00382917">
        <w:t>dawn,</w:t>
      </w:r>
      <w:r w:rsidRPr="00382917">
        <w:t>”</w:t>
      </w:r>
      <w:r w:rsidR="00EE4FC3">
        <w:t xml:space="preserve"> </w:t>
      </w:r>
      <w:r w:rsidR="00610ADA" w:rsidRPr="00382917">
        <w:t>he</w:t>
      </w:r>
      <w:r w:rsidR="00EE4FC3">
        <w:t xml:space="preserve"> </w:t>
      </w:r>
      <w:r w:rsidR="00610ADA" w:rsidRPr="00382917">
        <w:t>said,</w:t>
      </w:r>
      <w:r w:rsidR="00EE4FC3">
        <w:t xml:space="preserve"> </w:t>
      </w:r>
      <w:r w:rsidRPr="00382917">
        <w:t>“</w:t>
      </w:r>
      <w:r w:rsidR="00610ADA" w:rsidRPr="00382917">
        <w:t>I</w:t>
      </w:r>
      <w:r w:rsidR="00EE4FC3">
        <w:t xml:space="preserve"> </w:t>
      </w:r>
      <w:r w:rsidR="00610ADA" w:rsidRPr="00382917">
        <w:t>found</w:t>
      </w:r>
      <w:r w:rsidR="00EE4FC3">
        <w:t xml:space="preserve"> </w:t>
      </w:r>
      <w:r w:rsidR="00610ADA" w:rsidRPr="00382917">
        <w:t>him</w:t>
      </w:r>
      <w:r w:rsidR="00EE4FC3">
        <w:t xml:space="preserve"> </w:t>
      </w:r>
      <w:r w:rsidR="00610ADA" w:rsidRPr="00382917">
        <w:t>fallen</w:t>
      </w:r>
      <w:r w:rsidR="00EE4FC3">
        <w:t xml:space="preserve"> </w:t>
      </w:r>
      <w:r w:rsidR="00610ADA" w:rsidRPr="00382917">
        <w:t>upon</w:t>
      </w:r>
      <w:r w:rsidR="00EE4FC3">
        <w:t xml:space="preserve"> </w:t>
      </w:r>
      <w:r w:rsidR="00610ADA" w:rsidRPr="00382917">
        <w:t>his</w:t>
      </w:r>
      <w:r w:rsidR="00EE4FC3">
        <w:t xml:space="preserve"> </w:t>
      </w:r>
      <w:r w:rsidR="00610ADA" w:rsidRPr="00382917">
        <w:t>face,</w:t>
      </w:r>
      <w:r w:rsidR="00EE4FC3">
        <w:t xml:space="preserve"> </w:t>
      </w:r>
      <w:r w:rsidR="00F04416" w:rsidRPr="00382917">
        <w:t>…</w:t>
      </w:r>
      <w:r w:rsidR="00EE4FC3">
        <w:t xml:space="preserve"> </w:t>
      </w:r>
      <w:r w:rsidR="00610ADA" w:rsidRPr="00382917">
        <w:t>in</w:t>
      </w:r>
      <w:r w:rsidR="00EE4FC3">
        <w:t xml:space="preserve"> </w:t>
      </w:r>
      <w:r w:rsidR="00610ADA" w:rsidRPr="00382917">
        <w:t>wrapt</w:t>
      </w:r>
      <w:r w:rsidR="00EE4FC3">
        <w:t xml:space="preserve"> </w:t>
      </w:r>
      <w:r w:rsidR="00610ADA" w:rsidRPr="00382917">
        <w:t>devotion</w:t>
      </w:r>
      <w:proofErr w:type="gramStart"/>
      <w:r w:rsidR="00F2568D">
        <w:t>.</w:t>
      </w:r>
      <w:r w:rsidR="00EE4FC3">
        <w:t xml:space="preserve"> </w:t>
      </w:r>
      <w:proofErr w:type="gramEnd"/>
      <w:r w:rsidR="00F04416" w:rsidRPr="00382917">
        <w:t>…</w:t>
      </w:r>
      <w:r w:rsidR="00EE4FC3">
        <w:t xml:space="preserve"> </w:t>
      </w:r>
      <w:r w:rsidR="00F2568D">
        <w:t xml:space="preserve"> </w:t>
      </w:r>
      <w:r w:rsidR="00610ADA" w:rsidRPr="00382917">
        <w:t>To</w:t>
      </w:r>
      <w:r w:rsidR="00EE4FC3">
        <w:t xml:space="preserve"> </w:t>
      </w:r>
      <w:r w:rsidR="00610ADA" w:rsidRPr="00382917">
        <w:t>my</w:t>
      </w:r>
      <w:r w:rsidR="00EE4FC3">
        <w:t xml:space="preserve"> </w:t>
      </w:r>
      <w:r w:rsidR="00610ADA" w:rsidRPr="00382917">
        <w:t>great</w:t>
      </w:r>
      <w:r w:rsidR="00EE4FC3">
        <w:t xml:space="preserve"> </w:t>
      </w:r>
      <w:r w:rsidR="00610ADA" w:rsidRPr="00382917">
        <w:t>surprise,</w:t>
      </w:r>
      <w:r w:rsidR="00EE4FC3">
        <w:t xml:space="preserve"> </w:t>
      </w:r>
      <w:r w:rsidR="00610ADA" w:rsidRPr="00382917">
        <w:t>he</w:t>
      </w:r>
      <w:r w:rsidR="00EE4FC3">
        <w:t xml:space="preserve"> </w:t>
      </w:r>
      <w:r w:rsidR="00610ADA" w:rsidRPr="00382917">
        <w:t>turned</w:t>
      </w:r>
      <w:r w:rsidR="00EE4FC3">
        <w:t xml:space="preserve"> </w:t>
      </w:r>
      <w:r w:rsidR="00610ADA" w:rsidRPr="00382917">
        <w:t>to</w:t>
      </w:r>
      <w:r w:rsidR="00EE4FC3">
        <w:t xml:space="preserve"> </w:t>
      </w:r>
      <w:r w:rsidR="00610ADA" w:rsidRPr="00382917">
        <w:t>me</w:t>
      </w:r>
      <w:r w:rsidR="00EE4FC3">
        <w:t xml:space="preserve"> </w:t>
      </w:r>
      <w:r w:rsidR="00610ADA" w:rsidRPr="00382917">
        <w:t>and</w:t>
      </w:r>
      <w:r w:rsidR="00EE4FC3">
        <w:t xml:space="preserve"> </w:t>
      </w:r>
      <w:r w:rsidR="00610ADA" w:rsidRPr="00382917">
        <w:t>said</w:t>
      </w:r>
      <w:r w:rsidR="00EE4FC3">
        <w:t xml:space="preserve"> </w:t>
      </w:r>
      <w:r w:rsidR="00610ADA" w:rsidRPr="00382917">
        <w:t>mysteriously</w:t>
      </w:r>
      <w:r w:rsidR="00C03C91">
        <w:t>:</w:t>
      </w:r>
      <w:r w:rsidR="00EE4FC3">
        <w:t xml:space="preserve">  </w:t>
      </w:r>
      <w:r w:rsidRPr="00382917">
        <w:t>‘</w:t>
      </w:r>
      <w:r w:rsidR="00610ADA" w:rsidRPr="00382917">
        <w:t>That</w:t>
      </w:r>
      <w:r w:rsidR="00EE4FC3">
        <w:t xml:space="preserve"> </w:t>
      </w:r>
      <w:r w:rsidR="00610ADA" w:rsidRPr="00382917">
        <w:t>which</w:t>
      </w:r>
      <w:r w:rsidR="00EE4FC3">
        <w:t xml:space="preserve"> </w:t>
      </w:r>
      <w:r w:rsidR="00610ADA" w:rsidRPr="00382917">
        <w:t>I</w:t>
      </w:r>
      <w:r w:rsidR="00EE4FC3">
        <w:t xml:space="preserve"> </w:t>
      </w:r>
      <w:r w:rsidR="00610ADA" w:rsidRPr="00382917">
        <w:t>have</w:t>
      </w:r>
      <w:r w:rsidR="00EE4FC3">
        <w:t xml:space="preserve"> </w:t>
      </w:r>
      <w:r w:rsidR="00610ADA" w:rsidRPr="00382917">
        <w:t>been</w:t>
      </w:r>
      <w:r w:rsidR="00EE4FC3">
        <w:t xml:space="preserve"> </w:t>
      </w:r>
      <w:r w:rsidR="00610ADA" w:rsidRPr="00382917">
        <w:t>announcing</w:t>
      </w:r>
      <w:r w:rsidR="00EE4FC3">
        <w:t xml:space="preserve"> </w:t>
      </w:r>
      <w:r w:rsidR="00610ADA" w:rsidRPr="00382917">
        <w:t>unto</w:t>
      </w:r>
      <w:r w:rsidR="00EE4FC3">
        <w:t xml:space="preserve"> </w:t>
      </w:r>
      <w:r w:rsidR="00610ADA" w:rsidRPr="00382917">
        <w:t>you</w:t>
      </w:r>
      <w:r w:rsidR="00EE4FC3">
        <w:t xml:space="preserve"> </w:t>
      </w:r>
      <w:r w:rsidR="00610ADA" w:rsidRPr="00382917">
        <w:t>is</w:t>
      </w:r>
      <w:r w:rsidR="00EE4FC3">
        <w:t xml:space="preserve"> </w:t>
      </w:r>
      <w:r w:rsidR="00610ADA" w:rsidRPr="00382917">
        <w:t>now</w:t>
      </w:r>
      <w:r w:rsidR="00EE4FC3">
        <w:t xml:space="preserve"> </w:t>
      </w:r>
      <w:r w:rsidR="00610ADA" w:rsidRPr="00382917">
        <w:t>revealed</w:t>
      </w:r>
      <w:r w:rsidR="00330AF7">
        <w:t>.</w:t>
      </w:r>
      <w:r w:rsidR="00EE4FC3">
        <w:t xml:space="preserve">  </w:t>
      </w:r>
      <w:r w:rsidR="00610ADA" w:rsidRPr="00382917">
        <w:t>O</w:t>
      </w:r>
      <w:r w:rsidR="00EE4FC3">
        <w:t xml:space="preserve"> </w:t>
      </w:r>
      <w:r w:rsidR="00610ADA" w:rsidRPr="00382917">
        <w:t>Maḥmúd,</w:t>
      </w:r>
      <w:r w:rsidR="00EE4FC3">
        <w:t xml:space="preserve"> </w:t>
      </w:r>
      <w:r w:rsidR="00610ADA" w:rsidRPr="00382917">
        <w:t>verily</w:t>
      </w:r>
      <w:r w:rsidR="00EE4FC3">
        <w:t xml:space="preserve"> </w:t>
      </w:r>
      <w:r w:rsidR="00610ADA" w:rsidRPr="00382917">
        <w:t>I</w:t>
      </w:r>
      <w:r w:rsidR="00EE4FC3">
        <w:t xml:space="preserve"> </w:t>
      </w:r>
      <w:r w:rsidR="00610ADA" w:rsidRPr="00382917">
        <w:t>say,</w:t>
      </w:r>
      <w:r w:rsidR="00EE4FC3">
        <w:t xml:space="preserve"> </w:t>
      </w:r>
      <w:r w:rsidR="00610ADA" w:rsidRPr="00382917">
        <w:t>you</w:t>
      </w:r>
      <w:r w:rsidR="00EE4FC3">
        <w:t xml:space="preserve"> </w:t>
      </w:r>
      <w:r w:rsidR="00610ADA" w:rsidRPr="00382917">
        <w:t>shall</w:t>
      </w:r>
      <w:r w:rsidR="00EE4FC3">
        <w:t xml:space="preserve"> </w:t>
      </w:r>
      <w:r w:rsidR="00610ADA" w:rsidRPr="00382917">
        <w:t>live</w:t>
      </w:r>
      <w:r w:rsidR="00EE4FC3">
        <w:t xml:space="preserve"> </w:t>
      </w:r>
      <w:r w:rsidR="00610ADA" w:rsidRPr="00382917">
        <w:t>to</w:t>
      </w:r>
      <w:r w:rsidR="00EE4FC3">
        <w:t xml:space="preserve"> </w:t>
      </w:r>
      <w:r w:rsidR="00610ADA" w:rsidRPr="00382917">
        <w:t>behold</w:t>
      </w:r>
      <w:r w:rsidR="00EE4FC3">
        <w:t xml:space="preserve"> </w:t>
      </w:r>
      <w:r w:rsidR="00610ADA" w:rsidRPr="00382917">
        <w:t>that</w:t>
      </w:r>
      <w:r w:rsidR="00EE4FC3">
        <w:t xml:space="preserve"> </w:t>
      </w:r>
      <w:r w:rsidR="00610ADA" w:rsidRPr="00382917">
        <w:t>Day</w:t>
      </w:r>
      <w:r w:rsidR="00EE4FC3">
        <w:t xml:space="preserve"> </w:t>
      </w:r>
      <w:r w:rsidR="00610ADA" w:rsidRPr="00382917">
        <w:t>of</w:t>
      </w:r>
      <w:r w:rsidR="00EE4FC3">
        <w:t xml:space="preserve"> </w:t>
      </w:r>
      <w:r w:rsidR="00610ADA" w:rsidRPr="00382917">
        <w:t>days.</w:t>
      </w:r>
      <w:r w:rsidRPr="00382917">
        <w:t>’</w:t>
      </w:r>
    </w:p>
    <w:p w:rsidR="00610ADA" w:rsidRPr="00382917" w:rsidRDefault="009C713D" w:rsidP="00900F24">
      <w:pPr>
        <w:pStyle w:val="Text"/>
      </w:pPr>
      <w:r w:rsidRPr="00382917">
        <w:t>“</w:t>
      </w:r>
      <w:r w:rsidR="00610ADA" w:rsidRPr="00382917">
        <w:t>Sometime</w:t>
      </w:r>
      <w:r w:rsidR="00EE4FC3">
        <w:t xml:space="preserve"> </w:t>
      </w:r>
      <w:r w:rsidR="00610ADA" w:rsidRPr="00382917">
        <w:t>afterwards,</w:t>
      </w:r>
      <w:r w:rsidR="00EE4FC3">
        <w:t xml:space="preserve"> </w:t>
      </w:r>
      <w:r w:rsidR="00610ADA" w:rsidRPr="00382917">
        <w:t>whilst</w:t>
      </w:r>
      <w:r w:rsidR="00EE4FC3">
        <w:t xml:space="preserve"> </w:t>
      </w:r>
      <w:r w:rsidR="00610ADA" w:rsidRPr="00382917">
        <w:t>conversing</w:t>
      </w:r>
      <w:r w:rsidR="00EE4FC3">
        <w:t xml:space="preserve"> </w:t>
      </w:r>
      <w:r w:rsidR="00610ADA" w:rsidRPr="00382917">
        <w:t>with</w:t>
      </w:r>
      <w:r w:rsidR="00EE4FC3">
        <w:t xml:space="preserve"> </w:t>
      </w:r>
      <w:r w:rsidR="00610ADA" w:rsidRPr="00382917">
        <w:t>the</w:t>
      </w:r>
      <w:r w:rsidR="00EE4FC3">
        <w:t xml:space="preserve"> </w:t>
      </w:r>
      <w:r w:rsidR="00610ADA" w:rsidRPr="00382917">
        <w:t>followers</w:t>
      </w:r>
      <w:r w:rsidR="00EE4FC3">
        <w:t xml:space="preserve"> </w:t>
      </w:r>
      <w:r w:rsidR="00610ADA" w:rsidRPr="00382917">
        <w:t>of</w:t>
      </w:r>
      <w:r w:rsidR="00EE4FC3">
        <w:t xml:space="preserve"> </w:t>
      </w:r>
      <w:r w:rsidR="00610ADA" w:rsidRPr="00382917">
        <w:t>the</w:t>
      </w:r>
      <w:r w:rsidR="00EE4FC3">
        <w:t xml:space="preserve"> </w:t>
      </w:r>
      <w:r w:rsidR="00610ADA" w:rsidRPr="00382917">
        <w:t>Báb,</w:t>
      </w:r>
      <w:r w:rsidR="00EE4FC3">
        <w:t xml:space="preserve"> </w:t>
      </w:r>
      <w:r w:rsidR="00610ADA" w:rsidRPr="00382917">
        <w:t>I</w:t>
      </w:r>
      <w:r w:rsidR="00EE4FC3">
        <w:t xml:space="preserve"> </w:t>
      </w:r>
      <w:r w:rsidR="00610ADA" w:rsidRPr="00382917">
        <w:t>was</w:t>
      </w:r>
      <w:r w:rsidR="00EE4FC3">
        <w:t xml:space="preserve"> </w:t>
      </w:r>
      <w:r w:rsidR="00610ADA" w:rsidRPr="00382917">
        <w:t>informed</w:t>
      </w:r>
      <w:r w:rsidR="00EE4FC3">
        <w:t xml:space="preserve"> </w:t>
      </w:r>
      <w:r w:rsidR="00610ADA" w:rsidRPr="00382917">
        <w:t>that</w:t>
      </w:r>
      <w:r w:rsidR="00EE4FC3">
        <w:t xml:space="preserve"> </w:t>
      </w:r>
      <w:r w:rsidR="00610ADA" w:rsidRPr="00382917">
        <w:t>the</w:t>
      </w:r>
      <w:r w:rsidR="00EE4FC3">
        <w:t xml:space="preserve"> </w:t>
      </w:r>
      <w:r w:rsidR="00610ADA" w:rsidRPr="00382917">
        <w:t>birthday</w:t>
      </w:r>
      <w:r w:rsidR="00EE4FC3">
        <w:t xml:space="preserve"> </w:t>
      </w:r>
      <w:r w:rsidR="00610ADA" w:rsidRPr="00382917">
        <w:t>of</w:t>
      </w:r>
      <w:r w:rsidR="00EE4FC3">
        <w:t xml:space="preserve"> </w:t>
      </w:r>
      <w:r w:rsidR="00610ADA" w:rsidRPr="00382917">
        <w:t>the</w:t>
      </w:r>
      <w:r w:rsidR="00EE4FC3">
        <w:t xml:space="preserve"> </w:t>
      </w:r>
      <w:r w:rsidR="00610ADA" w:rsidRPr="00382917">
        <w:t>Báb</w:t>
      </w:r>
      <w:r w:rsidR="00EE4FC3">
        <w:t xml:space="preserve"> </w:t>
      </w:r>
      <w:r w:rsidR="00610ADA" w:rsidRPr="00382917">
        <w:t>fell</w:t>
      </w:r>
      <w:r w:rsidR="00EE4FC3">
        <w:t xml:space="preserve"> </w:t>
      </w:r>
      <w:r w:rsidR="00610ADA" w:rsidRPr="00382917">
        <w:t>on</w:t>
      </w:r>
      <w:r w:rsidR="00EE4FC3">
        <w:t xml:space="preserve"> </w:t>
      </w:r>
      <w:r w:rsidR="00610ADA" w:rsidRPr="00382917">
        <w:t>[20</w:t>
      </w:r>
      <w:r w:rsidR="00EE4FC3">
        <w:t xml:space="preserve"> </w:t>
      </w:r>
      <w:r w:rsidR="00610ADA" w:rsidRPr="00382917">
        <w:t>October</w:t>
      </w:r>
      <w:r w:rsidR="00EE4FC3">
        <w:t xml:space="preserve"> </w:t>
      </w:r>
      <w:r w:rsidR="00610ADA" w:rsidRPr="00382917">
        <w:t>1819]</w:t>
      </w:r>
      <w:r w:rsidR="00330AF7">
        <w:t>.</w:t>
      </w:r>
      <w:r w:rsidR="00EE4FC3">
        <w:t xml:space="preserve">  </w:t>
      </w:r>
      <w:r w:rsidR="00610ADA" w:rsidRPr="00382917">
        <w:t>I</w:t>
      </w:r>
      <w:r w:rsidR="00EE4FC3">
        <w:t xml:space="preserve"> </w:t>
      </w:r>
      <w:r w:rsidR="00610ADA" w:rsidRPr="00382917">
        <w:t>realized</w:t>
      </w:r>
      <w:r w:rsidR="00EE4FC3">
        <w:t xml:space="preserve"> </w:t>
      </w:r>
      <w:r w:rsidR="00610ADA" w:rsidRPr="00382917">
        <w:t>that</w:t>
      </w:r>
      <w:r w:rsidR="00EE4FC3">
        <w:t xml:space="preserve"> </w:t>
      </w:r>
      <w:r w:rsidR="00610ADA" w:rsidRPr="00382917">
        <w:t>the</w:t>
      </w:r>
      <w:r w:rsidR="00EE4FC3">
        <w:t xml:space="preserve"> </w:t>
      </w:r>
      <w:r w:rsidR="00610ADA" w:rsidRPr="00382917">
        <w:t>day</w:t>
      </w:r>
      <w:r w:rsidR="00EE4FC3">
        <w:t xml:space="preserve"> </w:t>
      </w:r>
      <w:r w:rsidR="00610ADA" w:rsidRPr="00382917">
        <w:t>to</w:t>
      </w:r>
      <w:r w:rsidR="00EE4FC3">
        <w:t xml:space="preserve"> </w:t>
      </w:r>
      <w:r w:rsidR="00610ADA" w:rsidRPr="00382917">
        <w:t>which</w:t>
      </w:r>
      <w:r w:rsidR="00EE4FC3">
        <w:t xml:space="preserve"> </w:t>
      </w:r>
      <w:r w:rsidR="00610ADA" w:rsidRPr="00382917">
        <w:t>[my</w:t>
      </w:r>
      <w:r w:rsidR="00EE4FC3">
        <w:t xml:space="preserve"> </w:t>
      </w:r>
      <w:r w:rsidR="00610ADA" w:rsidRPr="00382917">
        <w:t>friend]</w:t>
      </w:r>
      <w:r w:rsidR="00EE4FC3">
        <w:t xml:space="preserve"> </w:t>
      </w:r>
      <w:r w:rsidR="00610ADA" w:rsidRPr="00382917">
        <w:t>had</w:t>
      </w:r>
      <w:r w:rsidR="00EE4FC3">
        <w:t xml:space="preserve"> </w:t>
      </w:r>
      <w:r w:rsidR="00610ADA" w:rsidRPr="00382917">
        <w:t>referred</w:t>
      </w:r>
      <w:r w:rsidR="00EE4FC3">
        <w:t xml:space="preserve"> </w:t>
      </w:r>
      <w:r w:rsidR="00610ADA" w:rsidRPr="00382917">
        <w:t>did</w:t>
      </w:r>
      <w:r w:rsidR="00EE4FC3">
        <w:t xml:space="preserve"> </w:t>
      </w:r>
      <w:r w:rsidR="00610ADA" w:rsidRPr="00382917">
        <w:t>not</w:t>
      </w:r>
      <w:r w:rsidR="00EE4FC3">
        <w:t xml:space="preserve"> </w:t>
      </w:r>
      <w:r w:rsidR="00610ADA" w:rsidRPr="00382917">
        <w:t>correspond</w:t>
      </w:r>
      <w:r w:rsidR="00EE4FC3">
        <w:t xml:space="preserve"> </w:t>
      </w:r>
      <w:r w:rsidR="00610ADA" w:rsidRPr="00382917">
        <w:t>with</w:t>
      </w:r>
      <w:r w:rsidR="00EE4FC3">
        <w:t xml:space="preserve"> </w:t>
      </w:r>
      <w:r w:rsidR="00610ADA" w:rsidRPr="00382917">
        <w:t>this</w:t>
      </w:r>
      <w:r w:rsidR="00EE4FC3">
        <w:t xml:space="preserve"> </w:t>
      </w:r>
      <w:r w:rsidR="00610ADA" w:rsidRPr="00382917">
        <w:t>date,</w:t>
      </w:r>
      <w:r w:rsidR="00EE4FC3">
        <w:t xml:space="preserve"> </w:t>
      </w:r>
      <w:r w:rsidR="00610ADA" w:rsidRPr="00382917">
        <w:t>that</w:t>
      </w:r>
      <w:r w:rsidR="00EE4FC3">
        <w:t xml:space="preserve"> </w:t>
      </w:r>
      <w:r w:rsidR="00610ADA" w:rsidRPr="00382917">
        <w:t>there</w:t>
      </w:r>
      <w:r w:rsidR="00EE4FC3">
        <w:t xml:space="preserve"> </w:t>
      </w:r>
      <w:r w:rsidR="00610ADA" w:rsidRPr="00382917">
        <w:t>was</w:t>
      </w:r>
      <w:r w:rsidR="00EE4FC3">
        <w:t xml:space="preserve"> </w:t>
      </w:r>
      <w:r w:rsidR="00610ADA" w:rsidRPr="00382917">
        <w:t>actually</w:t>
      </w:r>
      <w:r w:rsidR="00EE4FC3">
        <w:t xml:space="preserve"> </w:t>
      </w:r>
      <w:r w:rsidR="00610ADA" w:rsidRPr="00382917">
        <w:t>a</w:t>
      </w:r>
      <w:r w:rsidR="00EE4FC3">
        <w:t xml:space="preserve"> </w:t>
      </w:r>
      <w:r w:rsidR="00610ADA" w:rsidRPr="00382917">
        <w:t>difference</w:t>
      </w:r>
      <w:r w:rsidR="00EE4FC3">
        <w:t xml:space="preserve"> </w:t>
      </w:r>
      <w:r w:rsidR="00610ADA" w:rsidRPr="00382917">
        <w:t>of</w:t>
      </w:r>
      <w:r w:rsidR="00EE4FC3">
        <w:t xml:space="preserve"> </w:t>
      </w:r>
      <w:r w:rsidR="00610ADA" w:rsidRPr="00382917">
        <w:t>two</w:t>
      </w:r>
      <w:r w:rsidR="00EE4FC3">
        <w:t xml:space="preserve"> </w:t>
      </w:r>
      <w:r w:rsidR="00610ADA" w:rsidRPr="00382917">
        <w:t>years</w:t>
      </w:r>
      <w:proofErr w:type="gramStart"/>
      <w:r w:rsidR="00F2568D">
        <w:t>.</w:t>
      </w:r>
      <w:r w:rsidR="00EE4FC3">
        <w:t xml:space="preserve"> </w:t>
      </w:r>
      <w:proofErr w:type="gramEnd"/>
      <w:r w:rsidR="00F04416" w:rsidRPr="00382917">
        <w:t>…</w:t>
      </w:r>
      <w:r w:rsidR="00F2568D">
        <w:t xml:space="preserve"> </w:t>
      </w:r>
      <w:r w:rsidR="00EE4FC3">
        <w:t xml:space="preserve"> </w:t>
      </w:r>
      <w:r w:rsidR="00610ADA" w:rsidRPr="00382917">
        <w:t>This</w:t>
      </w:r>
      <w:r w:rsidR="00EE4FC3">
        <w:t xml:space="preserve"> </w:t>
      </w:r>
      <w:r w:rsidR="00610ADA" w:rsidRPr="00382917">
        <w:t>sorely</w:t>
      </w:r>
      <w:r w:rsidR="00EE4FC3">
        <w:t xml:space="preserve"> </w:t>
      </w:r>
      <w:r w:rsidR="00610ADA" w:rsidRPr="00382917">
        <w:t>perplexed</w:t>
      </w:r>
      <w:r w:rsidR="00EE4FC3">
        <w:t xml:space="preserve"> </w:t>
      </w:r>
      <w:r w:rsidR="00610ADA" w:rsidRPr="00382917">
        <w:t>me.</w:t>
      </w:r>
      <w:r w:rsidRPr="00382917">
        <w:t>”</w:t>
      </w:r>
    </w:p>
    <w:p w:rsidR="00610ADA" w:rsidRPr="00382917" w:rsidRDefault="00610ADA" w:rsidP="00900F24">
      <w:pPr>
        <w:pStyle w:val="Text"/>
      </w:pPr>
      <w:r w:rsidRPr="00382917">
        <w:t>Long</w:t>
      </w:r>
      <w:r w:rsidR="00EE4FC3">
        <w:t xml:space="preserve"> </w:t>
      </w:r>
      <w:r w:rsidRPr="00382917">
        <w:t>afterwards,</w:t>
      </w:r>
      <w:r w:rsidR="00EE4FC3">
        <w:t xml:space="preserve"> </w:t>
      </w:r>
      <w:r w:rsidRPr="00382917">
        <w:t>he</w:t>
      </w:r>
      <w:r w:rsidR="00EE4FC3">
        <w:t xml:space="preserve"> </w:t>
      </w:r>
      <w:r w:rsidRPr="00382917">
        <w:t>met</w:t>
      </w:r>
      <w:r w:rsidR="00EE4FC3">
        <w:t xml:space="preserve"> </w:t>
      </w:r>
      <w:r w:rsidRPr="00382917">
        <w:t>a</w:t>
      </w:r>
      <w:r w:rsidR="00EE4FC3">
        <w:t xml:space="preserve"> </w:t>
      </w:r>
      <w:r w:rsidRPr="00382917">
        <w:t>friend</w:t>
      </w:r>
      <w:r w:rsidR="00EE4FC3">
        <w:t xml:space="preserve"> </w:t>
      </w:r>
      <w:r w:rsidRPr="00382917">
        <w:t>who</w:t>
      </w:r>
      <w:r w:rsidR="00EE4FC3">
        <w:t xml:space="preserve"> </w:t>
      </w:r>
      <w:r w:rsidRPr="00382917">
        <w:t>told</w:t>
      </w:r>
      <w:r w:rsidR="00EE4FC3">
        <w:t xml:space="preserve"> </w:t>
      </w:r>
      <w:r w:rsidRPr="00382917">
        <w:t>him</w:t>
      </w:r>
      <w:r w:rsidR="00EE4FC3">
        <w:t xml:space="preserve"> </w:t>
      </w:r>
      <w:r w:rsidRPr="00382917">
        <w:t>of</w:t>
      </w:r>
      <w:r w:rsidR="00EE4FC3">
        <w:t xml:space="preserve"> </w:t>
      </w:r>
      <w:r w:rsidRPr="00382917">
        <w:t>the</w:t>
      </w:r>
      <w:r w:rsidR="00EE4FC3">
        <w:t xml:space="preserve"> </w:t>
      </w:r>
      <w:r w:rsidRPr="00382917">
        <w:t>Mission</w:t>
      </w:r>
      <w:r w:rsidR="00EE4FC3">
        <w:t xml:space="preserve"> </w:t>
      </w:r>
      <w:r w:rsidRPr="00382917">
        <w:t>of</w:t>
      </w:r>
      <w:r w:rsidR="00EE4FC3">
        <w:t xml:space="preserve"> </w:t>
      </w:r>
      <w:r w:rsidRPr="00382917">
        <w:t>Bahá</w:t>
      </w:r>
      <w:r w:rsidR="009C713D" w:rsidRPr="00382917">
        <w:t>’</w:t>
      </w:r>
      <w:r w:rsidRPr="00382917">
        <w:t>u</w:t>
      </w:r>
      <w:r w:rsidR="009C713D" w:rsidRPr="00382917">
        <w:t>’</w:t>
      </w:r>
      <w:r w:rsidRPr="00382917">
        <w:t>lláh</w:t>
      </w:r>
      <w:r w:rsidR="00EE4FC3">
        <w:t xml:space="preserve"> </w:t>
      </w:r>
      <w:r w:rsidRPr="00382917">
        <w:t>and</w:t>
      </w:r>
      <w:r w:rsidR="00EE4FC3">
        <w:t xml:space="preserve"> </w:t>
      </w:r>
      <w:r w:rsidRPr="00382917">
        <w:t>shared</w:t>
      </w:r>
      <w:r w:rsidR="00EE4FC3">
        <w:t xml:space="preserve"> </w:t>
      </w:r>
      <w:r w:rsidRPr="00382917">
        <w:t>with</w:t>
      </w:r>
      <w:r w:rsidR="00EE4FC3">
        <w:t xml:space="preserve"> </w:t>
      </w:r>
      <w:r w:rsidRPr="00382917">
        <w:t>him</w:t>
      </w:r>
      <w:r w:rsidR="00EE4FC3">
        <w:t xml:space="preserve"> </w:t>
      </w:r>
      <w:r w:rsidRPr="00382917">
        <w:t>some</w:t>
      </w:r>
      <w:r w:rsidR="00EE4FC3">
        <w:t xml:space="preserve"> </w:t>
      </w:r>
      <w:r w:rsidRPr="00382917">
        <w:t>of</w:t>
      </w:r>
      <w:r w:rsidR="00EE4FC3">
        <w:t xml:space="preserve"> </w:t>
      </w:r>
      <w:r w:rsidRPr="00382917">
        <w:t>His</w:t>
      </w:r>
      <w:r w:rsidR="00EE4FC3">
        <w:t xml:space="preserve"> </w:t>
      </w:r>
      <w:r w:rsidRPr="00382917">
        <w:t>writings</w:t>
      </w:r>
      <w:r w:rsidR="00330AF7">
        <w:t>.</w:t>
      </w:r>
      <w:r w:rsidR="00EE4FC3">
        <w:t xml:space="preserve">  </w:t>
      </w:r>
      <w:r w:rsidRPr="00382917">
        <w:t>He</w:t>
      </w:r>
      <w:r w:rsidR="00EE4FC3">
        <w:t xml:space="preserve"> </w:t>
      </w:r>
      <w:r w:rsidRPr="00382917">
        <w:t>was</w:t>
      </w:r>
      <w:r w:rsidR="00EE4FC3">
        <w:t xml:space="preserve"> </w:t>
      </w:r>
      <w:r w:rsidRPr="00382917">
        <w:t>moved</w:t>
      </w:r>
      <w:r w:rsidR="00EE4FC3">
        <w:t xml:space="preserve"> </w:t>
      </w:r>
      <w:r w:rsidRPr="00382917">
        <w:t>to</w:t>
      </w:r>
      <w:r w:rsidR="00EE4FC3">
        <w:t xml:space="preserve"> </w:t>
      </w:r>
      <w:r w:rsidRPr="00382917">
        <w:t>the</w:t>
      </w:r>
      <w:r w:rsidR="00EE4FC3">
        <w:t xml:space="preserve"> </w:t>
      </w:r>
      <w:r w:rsidRPr="00382917">
        <w:t>depths</w:t>
      </w:r>
      <w:r w:rsidR="00EE4FC3">
        <w:t xml:space="preserve"> </w:t>
      </w:r>
      <w:r w:rsidRPr="00382917">
        <w:t>of</w:t>
      </w:r>
      <w:r w:rsidR="00EE4FC3">
        <w:t xml:space="preserve"> </w:t>
      </w:r>
      <w:r w:rsidRPr="00382917">
        <w:t>his</w:t>
      </w:r>
      <w:r w:rsidR="00EE4FC3">
        <w:t xml:space="preserve"> </w:t>
      </w:r>
      <w:r w:rsidRPr="00382917">
        <w:t>soul.</w:t>
      </w:r>
    </w:p>
    <w:p w:rsidR="00610ADA" w:rsidRPr="00382917" w:rsidRDefault="009C713D" w:rsidP="00F2568D">
      <w:pPr>
        <w:pStyle w:val="Text"/>
      </w:pPr>
      <w:r w:rsidRPr="00382917">
        <w:t>“</w:t>
      </w:r>
      <w:r w:rsidR="00610ADA" w:rsidRPr="00382917">
        <w:t>I</w:t>
      </w:r>
      <w:r w:rsidR="00EE4FC3">
        <w:t xml:space="preserve"> </w:t>
      </w:r>
      <w:r w:rsidR="00610ADA" w:rsidRPr="00382917">
        <w:t>asked</w:t>
      </w:r>
      <w:r w:rsidR="00EE4FC3">
        <w:t xml:space="preserve"> </w:t>
      </w:r>
      <w:r w:rsidR="00610ADA" w:rsidRPr="00382917">
        <w:t>him</w:t>
      </w:r>
      <w:r w:rsidR="00EE4FC3">
        <w:t xml:space="preserve"> </w:t>
      </w:r>
      <w:r w:rsidR="00610ADA" w:rsidRPr="00382917">
        <w:t>the</w:t>
      </w:r>
      <w:r w:rsidR="00EE4FC3">
        <w:t xml:space="preserve"> </w:t>
      </w:r>
      <w:r w:rsidR="00610ADA" w:rsidRPr="00382917">
        <w:t>date</w:t>
      </w:r>
      <w:r w:rsidR="00EE4FC3">
        <w:t xml:space="preserve"> </w:t>
      </w:r>
      <w:r w:rsidR="00610ADA" w:rsidRPr="00382917">
        <w:t>of</w:t>
      </w:r>
      <w:r w:rsidR="00EE4FC3">
        <w:t xml:space="preserve"> </w:t>
      </w:r>
      <w:r w:rsidR="00610ADA" w:rsidRPr="00382917">
        <w:t>Bahá</w:t>
      </w:r>
      <w:r w:rsidRPr="00382917">
        <w:t>’</w:t>
      </w:r>
      <w:r w:rsidR="00610ADA" w:rsidRPr="00382917">
        <w:t>u</w:t>
      </w:r>
      <w:r w:rsidRPr="00382917">
        <w:t>’</w:t>
      </w:r>
      <w:r w:rsidR="00610ADA" w:rsidRPr="00382917">
        <w:t>lláh</w:t>
      </w:r>
      <w:r w:rsidRPr="00382917">
        <w:t>’</w:t>
      </w:r>
      <w:r w:rsidR="00610ADA" w:rsidRPr="00382917">
        <w:t>s</w:t>
      </w:r>
      <w:r w:rsidR="00EE4FC3">
        <w:t xml:space="preserve"> </w:t>
      </w:r>
      <w:r w:rsidR="00610ADA" w:rsidRPr="00382917">
        <w:t>birth,</w:t>
      </w:r>
      <w:r w:rsidRPr="00382917">
        <w:t>”</w:t>
      </w:r>
      <w:r w:rsidR="00EE4FC3">
        <w:t xml:space="preserve"> </w:t>
      </w:r>
      <w:r w:rsidR="00610ADA" w:rsidRPr="00382917">
        <w:t>Mírzá</w:t>
      </w:r>
      <w:r w:rsidR="00EE4FC3">
        <w:t xml:space="preserve"> </w:t>
      </w:r>
      <w:r w:rsidR="00610ADA" w:rsidRPr="00382917">
        <w:t>Maḥmúd</w:t>
      </w:r>
      <w:r w:rsidR="00EE4FC3">
        <w:t xml:space="preserve"> </w:t>
      </w:r>
      <w:r w:rsidR="00610ADA" w:rsidRPr="00382917">
        <w:t>said</w:t>
      </w:r>
      <w:r w:rsidR="00330AF7">
        <w:t>.</w:t>
      </w:r>
      <w:r w:rsidR="00EE4FC3">
        <w:t xml:space="preserve">  </w:t>
      </w:r>
      <w:r w:rsidRPr="00382917">
        <w:t>“</w:t>
      </w:r>
      <w:r w:rsidR="00610ADA" w:rsidRPr="00382917">
        <w:t>He</w:t>
      </w:r>
      <w:r w:rsidR="00EE4FC3">
        <w:t xml:space="preserve"> </w:t>
      </w:r>
      <w:r w:rsidR="00610ADA" w:rsidRPr="00382917">
        <w:t>replied,</w:t>
      </w:r>
      <w:r w:rsidR="00EE4FC3">
        <w:t xml:space="preserve"> </w:t>
      </w:r>
      <w:r w:rsidRPr="00382917">
        <w:t>‘</w:t>
      </w:r>
      <w:r w:rsidR="00610ADA" w:rsidRPr="00382917">
        <w:t>He</w:t>
      </w:r>
      <w:r w:rsidR="00EE4FC3">
        <w:t xml:space="preserve"> </w:t>
      </w:r>
      <w:r w:rsidR="00610ADA" w:rsidRPr="00382917">
        <w:t>was</w:t>
      </w:r>
      <w:r w:rsidR="00EE4FC3">
        <w:t xml:space="preserve"> </w:t>
      </w:r>
      <w:r w:rsidR="00610ADA" w:rsidRPr="00382917">
        <w:t>born</w:t>
      </w:r>
      <w:r w:rsidR="00EE4FC3">
        <w:t xml:space="preserve"> </w:t>
      </w:r>
      <w:r w:rsidR="00610ADA" w:rsidRPr="00382917">
        <w:t>at</w:t>
      </w:r>
      <w:r w:rsidR="00EE4FC3">
        <w:t xml:space="preserve"> </w:t>
      </w:r>
      <w:r w:rsidR="00610ADA" w:rsidRPr="00382917">
        <w:t>dawn</w:t>
      </w:r>
      <w:r w:rsidR="00EE4FC3">
        <w:t xml:space="preserve"> </w:t>
      </w:r>
      <w:r w:rsidR="00610ADA" w:rsidRPr="00382917">
        <w:t>on</w:t>
      </w:r>
      <w:r w:rsidR="00EE4FC3">
        <w:t xml:space="preserve"> </w:t>
      </w:r>
      <w:r w:rsidR="00610ADA" w:rsidRPr="00382917">
        <w:t>the</w:t>
      </w:r>
      <w:r w:rsidR="00EE4FC3">
        <w:t xml:space="preserve"> </w:t>
      </w:r>
      <w:r w:rsidR="00610ADA" w:rsidRPr="00382917">
        <w:t>12</w:t>
      </w:r>
      <w:r w:rsidR="00EE4FC3">
        <w:t xml:space="preserve"> </w:t>
      </w:r>
      <w:r w:rsidR="00610ADA" w:rsidRPr="00382917">
        <w:t>November,</w:t>
      </w:r>
      <w:r w:rsidR="00EE4FC3">
        <w:t xml:space="preserve"> </w:t>
      </w:r>
      <w:r w:rsidR="00610ADA" w:rsidRPr="00382917">
        <w:t>1817.</w:t>
      </w:r>
      <w:r w:rsidRPr="00382917">
        <w:t>’</w:t>
      </w:r>
      <w:r w:rsidR="00F2568D">
        <w:rPr>
          <w:rStyle w:val="FootnoteReference"/>
        </w:rPr>
        <w:footnoteReference w:id="194"/>
      </w:r>
    </w:p>
    <w:p w:rsidR="00E13D49" w:rsidRPr="00382917" w:rsidRDefault="009C713D" w:rsidP="008E79E0">
      <w:pPr>
        <w:pStyle w:val="Text"/>
      </w:pPr>
      <w:r w:rsidRPr="00382917">
        <w:t>“</w:t>
      </w:r>
      <w:r w:rsidR="00610ADA" w:rsidRPr="00382917">
        <w:t>It</w:t>
      </w:r>
      <w:r w:rsidR="00EE4FC3">
        <w:t xml:space="preserve"> </w:t>
      </w:r>
      <w:r w:rsidR="00610ADA" w:rsidRPr="00382917">
        <w:t>was</w:t>
      </w:r>
      <w:r w:rsidR="00EE4FC3">
        <w:t xml:space="preserve"> </w:t>
      </w:r>
      <w:r w:rsidR="00610ADA" w:rsidRPr="00382917">
        <w:t>the</w:t>
      </w:r>
      <w:r w:rsidR="00EE4FC3">
        <w:t xml:space="preserve"> </w:t>
      </w:r>
      <w:r w:rsidR="00610ADA" w:rsidRPr="00382917">
        <w:t>very</w:t>
      </w:r>
      <w:r w:rsidR="00EE4FC3">
        <w:t xml:space="preserve"> </w:t>
      </w:r>
      <w:r w:rsidR="00610ADA" w:rsidRPr="00382917">
        <w:t>day</w:t>
      </w:r>
      <w:r w:rsidR="00EE4FC3">
        <w:t xml:space="preserve"> </w:t>
      </w:r>
      <w:r w:rsidR="00610ADA" w:rsidRPr="00382917">
        <w:t>and</w:t>
      </w:r>
      <w:r w:rsidR="00EE4FC3">
        <w:t xml:space="preserve"> </w:t>
      </w:r>
      <w:r w:rsidR="00610ADA" w:rsidRPr="00382917">
        <w:t>hour</w:t>
      </w:r>
      <w:proofErr w:type="gramStart"/>
      <w:r w:rsidR="00610ADA" w:rsidRPr="00382917">
        <w:t>!</w:t>
      </w:r>
      <w:r w:rsidR="00EE4FC3">
        <w:t xml:space="preserve"> </w:t>
      </w:r>
      <w:proofErr w:type="gramEnd"/>
      <w:r w:rsidR="00610ADA" w:rsidRPr="00382917">
        <w:t>Instinctively</w:t>
      </w:r>
      <w:r w:rsidR="00EE4FC3">
        <w:t xml:space="preserve"> </w:t>
      </w:r>
      <w:r w:rsidR="00610ADA" w:rsidRPr="00382917">
        <w:t>I</w:t>
      </w:r>
      <w:r w:rsidR="00EE4FC3">
        <w:t xml:space="preserve"> </w:t>
      </w:r>
      <w:r w:rsidR="00610ADA" w:rsidRPr="00382917">
        <w:t>fell</w:t>
      </w:r>
      <w:r w:rsidR="00EE4FC3">
        <w:t xml:space="preserve"> </w:t>
      </w:r>
      <w:r w:rsidR="00610ADA" w:rsidRPr="00382917">
        <w:t>prostrate</w:t>
      </w:r>
      <w:r w:rsidR="00EE4FC3">
        <w:t xml:space="preserve"> </w:t>
      </w:r>
      <w:r w:rsidR="00610ADA" w:rsidRPr="00382917">
        <w:t>upon</w:t>
      </w:r>
      <w:r w:rsidR="00EE4FC3">
        <w:t xml:space="preserve"> </w:t>
      </w:r>
      <w:r w:rsidR="00610ADA" w:rsidRPr="00382917">
        <w:t>the</w:t>
      </w:r>
      <w:r w:rsidR="00EE4FC3">
        <w:t xml:space="preserve"> </w:t>
      </w:r>
      <w:r w:rsidR="00610ADA" w:rsidRPr="00382917">
        <w:t>ground</w:t>
      </w:r>
      <w:r w:rsidR="00EE4FC3">
        <w:t xml:space="preserve"> </w:t>
      </w:r>
      <w:r w:rsidR="00610ADA" w:rsidRPr="00382917">
        <w:t>and</w:t>
      </w:r>
      <w:r w:rsidR="00EE4FC3">
        <w:t xml:space="preserve"> </w:t>
      </w:r>
      <w:r w:rsidR="00610ADA" w:rsidRPr="00382917">
        <w:t>exclaimed</w:t>
      </w:r>
      <w:r w:rsidR="00C03C91">
        <w:t>:</w:t>
      </w:r>
      <w:r w:rsidR="00EE4FC3">
        <w:t xml:space="preserve">  </w:t>
      </w:r>
      <w:r w:rsidRPr="00382917">
        <w:t>‘</w:t>
      </w:r>
      <w:r w:rsidR="00610ADA" w:rsidRPr="00382917">
        <w:t>Glorified</w:t>
      </w:r>
      <w:r w:rsidR="00EE4FC3">
        <w:t xml:space="preserve"> </w:t>
      </w:r>
      <w:r w:rsidR="00610ADA" w:rsidRPr="00382917">
        <w:t>art</w:t>
      </w:r>
      <w:r w:rsidR="00EE4FC3">
        <w:t xml:space="preserve"> </w:t>
      </w:r>
      <w:r w:rsidR="00610ADA" w:rsidRPr="00382917">
        <w:t>Thou,</w:t>
      </w:r>
      <w:r w:rsidR="00EE4FC3">
        <w:t xml:space="preserve"> </w:t>
      </w:r>
      <w:r w:rsidR="00610ADA" w:rsidRPr="00382917">
        <w:t>O</w:t>
      </w:r>
      <w:r w:rsidR="00EE4FC3">
        <w:t xml:space="preserve"> </w:t>
      </w:r>
      <w:r w:rsidR="00610ADA" w:rsidRPr="00382917">
        <w:t>my</w:t>
      </w:r>
      <w:r w:rsidR="00EE4FC3">
        <w:t xml:space="preserve"> </w:t>
      </w:r>
      <w:r w:rsidR="00610ADA" w:rsidRPr="00382917">
        <w:t>God,</w:t>
      </w:r>
      <w:r w:rsidR="00EE4FC3">
        <w:t xml:space="preserve"> </w:t>
      </w:r>
      <w:r w:rsidR="00610ADA" w:rsidRPr="00382917">
        <w:t>for</w:t>
      </w:r>
      <w:r w:rsidR="00EE4FC3">
        <w:t xml:space="preserve"> </w:t>
      </w:r>
      <w:r w:rsidR="00610ADA" w:rsidRPr="00382917">
        <w:t>having</w:t>
      </w:r>
      <w:r w:rsidR="00EE4FC3">
        <w:t xml:space="preserve"> </w:t>
      </w:r>
      <w:r w:rsidR="00610ADA" w:rsidRPr="00382917">
        <w:t>enabled</w:t>
      </w:r>
      <w:r w:rsidR="00EE4FC3">
        <w:t xml:space="preserve"> </w:t>
      </w:r>
      <w:r w:rsidR="00610ADA" w:rsidRPr="00382917">
        <w:t>me</w:t>
      </w:r>
      <w:r w:rsidR="00EE4FC3">
        <w:t xml:space="preserve"> </w:t>
      </w:r>
      <w:r w:rsidR="00610ADA" w:rsidRPr="00382917">
        <w:t>to</w:t>
      </w:r>
      <w:r w:rsidR="00EE4FC3">
        <w:t xml:space="preserve"> </w:t>
      </w:r>
      <w:r w:rsidR="00610ADA" w:rsidRPr="00382917">
        <w:t>attain</w:t>
      </w:r>
      <w:r w:rsidR="00EE4FC3">
        <w:t xml:space="preserve"> </w:t>
      </w:r>
      <w:r w:rsidR="00610ADA" w:rsidRPr="00382917">
        <w:t>unto</w:t>
      </w:r>
      <w:r w:rsidR="00EE4FC3">
        <w:t xml:space="preserve"> </w:t>
      </w:r>
      <w:r w:rsidR="00610ADA" w:rsidRPr="00382917">
        <w:t>this</w:t>
      </w:r>
      <w:r w:rsidR="00EE4FC3">
        <w:t xml:space="preserve"> </w:t>
      </w:r>
      <w:r w:rsidR="00610ADA" w:rsidRPr="00382917">
        <w:t>promised</w:t>
      </w:r>
      <w:r w:rsidR="00EE4FC3">
        <w:t xml:space="preserve"> </w:t>
      </w:r>
      <w:r w:rsidR="00610ADA" w:rsidRPr="00382917">
        <w:t>day.</w:t>
      </w:r>
      <w:r w:rsidRPr="00382917">
        <w:t>’</w:t>
      </w:r>
      <w:r w:rsidR="008E79E0">
        <w:t>”</w:t>
      </w:r>
      <w:r w:rsidR="008E79E0">
        <w:rPr>
          <w:rStyle w:val="FootnoteReference"/>
        </w:rPr>
        <w:footnoteReference w:id="195"/>
      </w:r>
    </w:p>
    <w:p w:rsidR="00610ADA" w:rsidRPr="00382917" w:rsidRDefault="00610ADA" w:rsidP="00C7045E">
      <w:pPr>
        <w:pStyle w:val="Text"/>
      </w:pPr>
      <w:r w:rsidRPr="00382917">
        <w:t>The</w:t>
      </w:r>
      <w:r w:rsidR="00EE4FC3">
        <w:t xml:space="preserve"> </w:t>
      </w:r>
      <w:r w:rsidRPr="00382917">
        <w:t>hour</w:t>
      </w:r>
      <w:r w:rsidR="00EE4FC3">
        <w:t xml:space="preserve"> </w:t>
      </w:r>
      <w:r w:rsidRPr="00382917">
        <w:t>of</w:t>
      </w:r>
      <w:r w:rsidR="00EE4FC3">
        <w:t xml:space="preserve"> </w:t>
      </w:r>
      <w:r w:rsidRPr="00382917">
        <w:t>Bahá</w:t>
      </w:r>
      <w:r w:rsidR="009C713D" w:rsidRPr="00382917">
        <w:t>’</w:t>
      </w:r>
      <w:r w:rsidRPr="00382917">
        <w:t>u</w:t>
      </w:r>
      <w:r w:rsidR="009C713D" w:rsidRPr="00382917">
        <w:t>’</w:t>
      </w:r>
      <w:r w:rsidRPr="00382917">
        <w:t>lláh</w:t>
      </w:r>
      <w:r w:rsidR="009C713D" w:rsidRPr="00382917">
        <w:t>’</w:t>
      </w:r>
      <w:r w:rsidRPr="00382917">
        <w:t>s</w:t>
      </w:r>
      <w:r w:rsidR="00EE4FC3">
        <w:t xml:space="preserve"> </w:t>
      </w:r>
      <w:r w:rsidRPr="00382917">
        <w:t>birth</w:t>
      </w:r>
      <w:r w:rsidR="00EE4FC3">
        <w:t xml:space="preserve"> </w:t>
      </w:r>
      <w:r w:rsidRPr="00382917">
        <w:t>marked</w:t>
      </w:r>
      <w:r w:rsidR="00EE4FC3">
        <w:t xml:space="preserve"> </w:t>
      </w:r>
      <w:r w:rsidRPr="00382917">
        <w:t>the</w:t>
      </w:r>
      <w:r w:rsidR="00EE4FC3">
        <w:t xml:space="preserve"> </w:t>
      </w:r>
      <w:proofErr w:type="spellStart"/>
      <w:r w:rsidRPr="00382917">
        <w:t>fulfillment</w:t>
      </w:r>
      <w:proofErr w:type="spellEnd"/>
      <w:r w:rsidR="00EE4FC3">
        <w:t xml:space="preserve"> </w:t>
      </w:r>
      <w:r w:rsidRPr="00382917">
        <w:t>of</w:t>
      </w:r>
      <w:r w:rsidR="00EE4FC3">
        <w:t xml:space="preserve"> </w:t>
      </w:r>
      <w:r w:rsidRPr="00382917">
        <w:t>still</w:t>
      </w:r>
      <w:r w:rsidR="00EE4FC3">
        <w:t xml:space="preserve"> </w:t>
      </w:r>
      <w:r w:rsidRPr="00382917">
        <w:t>another</w:t>
      </w:r>
      <w:r w:rsidR="00EE4FC3">
        <w:t xml:space="preserve"> </w:t>
      </w:r>
      <w:r w:rsidRPr="00382917">
        <w:t>prophecy</w:t>
      </w:r>
      <w:r w:rsidR="00EE4FC3">
        <w:t xml:space="preserve"> </w:t>
      </w:r>
      <w:r w:rsidRPr="00382917">
        <w:t>which</w:t>
      </w:r>
      <w:r w:rsidR="00EE4FC3">
        <w:t xml:space="preserve"> </w:t>
      </w:r>
      <w:r w:rsidRPr="00382917">
        <w:t>spoke</w:t>
      </w:r>
      <w:r w:rsidR="00EE4FC3">
        <w:t xml:space="preserve"> </w:t>
      </w:r>
      <w:r w:rsidRPr="00382917">
        <w:t>of</w:t>
      </w:r>
      <w:r w:rsidR="00EE4FC3">
        <w:t xml:space="preserve"> </w:t>
      </w:r>
      <w:r w:rsidRPr="00382917">
        <w:t>the</w:t>
      </w:r>
      <w:r w:rsidR="00EE4FC3">
        <w:t xml:space="preserve"> </w:t>
      </w:r>
      <w:r w:rsidRPr="00382917">
        <w:t>twin</w:t>
      </w:r>
      <w:r w:rsidR="00EE4FC3">
        <w:t xml:space="preserve"> </w:t>
      </w:r>
      <w:r w:rsidRPr="00382917">
        <w:t>Messengers</w:t>
      </w:r>
      <w:r w:rsidR="00EE4FC3">
        <w:t xml:space="preserve"> </w:t>
      </w:r>
      <w:r w:rsidRPr="00382917">
        <w:t>Who</w:t>
      </w:r>
      <w:r w:rsidR="00EE4FC3">
        <w:t xml:space="preserve"> </w:t>
      </w:r>
      <w:r w:rsidRPr="00382917">
        <w:t>would</w:t>
      </w:r>
      <w:r w:rsidR="00EE4FC3">
        <w:t xml:space="preserve"> </w:t>
      </w:r>
      <w:r w:rsidRPr="00382917">
        <w:t>appear</w:t>
      </w:r>
      <w:r w:rsidR="00EE4FC3">
        <w:t xml:space="preserve"> </w:t>
      </w:r>
      <w:r w:rsidRPr="00382917">
        <w:t>at</w:t>
      </w:r>
      <w:r w:rsidR="00EE4FC3">
        <w:t xml:space="preserve"> </w:t>
      </w:r>
      <w:r w:rsidRPr="00382917">
        <w:t>the</w:t>
      </w:r>
      <w:r w:rsidR="00EE4FC3">
        <w:t xml:space="preserve"> </w:t>
      </w:r>
      <w:r w:rsidRPr="00382917">
        <w:t>time</w:t>
      </w:r>
      <w:r w:rsidR="00EE4FC3">
        <w:t xml:space="preserve"> </w:t>
      </w:r>
      <w:r w:rsidRPr="00382917">
        <w:t>of</w:t>
      </w:r>
      <w:r w:rsidR="00EE4FC3">
        <w:t xml:space="preserve"> </w:t>
      </w:r>
      <w:r w:rsidRPr="00382917">
        <w:t>the</w:t>
      </w:r>
      <w:r w:rsidR="00EE4FC3">
        <w:t xml:space="preserve"> </w:t>
      </w:r>
      <w:r w:rsidRPr="00382917">
        <w:t>end</w:t>
      </w:r>
      <w:r w:rsidR="00330AF7">
        <w:t>.</w:t>
      </w:r>
      <w:r w:rsidR="00EE4FC3">
        <w:t xml:space="preserve">  </w:t>
      </w:r>
      <w:r w:rsidRPr="00382917">
        <w:t>It</w:t>
      </w:r>
      <w:r w:rsidR="00EE4FC3">
        <w:t xml:space="preserve"> </w:t>
      </w:r>
      <w:r w:rsidRPr="00382917">
        <w:t>was</w:t>
      </w:r>
      <w:r w:rsidR="00EE4FC3">
        <w:t xml:space="preserve"> </w:t>
      </w:r>
      <w:r w:rsidRPr="00382917">
        <w:t>foretold</w:t>
      </w:r>
      <w:r w:rsidR="00EE4FC3">
        <w:t xml:space="preserve"> </w:t>
      </w:r>
      <w:r w:rsidRPr="00382917">
        <w:t>that</w:t>
      </w:r>
      <w:r w:rsidR="00EE4FC3">
        <w:t xml:space="preserve"> </w:t>
      </w:r>
      <w:r w:rsidRPr="00382917">
        <w:t>the</w:t>
      </w:r>
      <w:r w:rsidR="00EE4FC3">
        <w:t xml:space="preserve"> </w:t>
      </w:r>
      <w:r w:rsidRPr="00382917">
        <w:t>Herald</w:t>
      </w:r>
      <w:r w:rsidR="00EE4FC3">
        <w:t xml:space="preserve"> </w:t>
      </w:r>
      <w:r w:rsidRPr="00382917">
        <w:t>in</w:t>
      </w:r>
      <w:r w:rsidR="00EE4FC3">
        <w:t xml:space="preserve"> </w:t>
      </w:r>
      <w:r w:rsidRPr="00382917">
        <w:t>that</w:t>
      </w:r>
      <w:r w:rsidR="00EE4FC3">
        <w:t xml:space="preserve"> </w:t>
      </w:r>
      <w:r w:rsidRPr="00382917">
        <w:t>day</w:t>
      </w:r>
      <w:r w:rsidR="00EE4FC3">
        <w:t xml:space="preserve"> </w:t>
      </w:r>
      <w:r w:rsidRPr="00382917">
        <w:t>would</w:t>
      </w:r>
      <w:r w:rsidR="00EE4FC3">
        <w:t xml:space="preserve"> </w:t>
      </w:r>
      <w:r w:rsidRPr="00382917">
        <w:t>say</w:t>
      </w:r>
      <w:r w:rsidR="00EE4FC3">
        <w:t xml:space="preserve"> </w:t>
      </w:r>
      <w:r w:rsidRPr="00382917">
        <w:t>of</w:t>
      </w:r>
      <w:r w:rsidR="00EE4FC3">
        <w:t xml:space="preserve"> </w:t>
      </w:r>
      <w:r w:rsidRPr="00382917">
        <w:t>Him</w:t>
      </w:r>
      <w:r w:rsidR="00EE4FC3">
        <w:t xml:space="preserve"> </w:t>
      </w:r>
      <w:proofErr w:type="gramStart"/>
      <w:r w:rsidRPr="00382917">
        <w:t>Who</w:t>
      </w:r>
      <w:proofErr w:type="gramEnd"/>
      <w:r w:rsidR="00EE4FC3">
        <w:t xml:space="preserve"> </w:t>
      </w:r>
      <w:r w:rsidRPr="00382917">
        <w:t>was</w:t>
      </w:r>
      <w:r w:rsidR="00EE4FC3">
        <w:t xml:space="preserve"> </w:t>
      </w:r>
      <w:r w:rsidRPr="00382917">
        <w:t>yet</w:t>
      </w:r>
      <w:r w:rsidR="00EE4FC3">
        <w:t xml:space="preserve"> </w:t>
      </w:r>
      <w:r w:rsidRPr="00382917">
        <w:t>to</w:t>
      </w:r>
      <w:r w:rsidR="00EE4FC3">
        <w:t xml:space="preserve"> </w:t>
      </w:r>
      <w:r w:rsidRPr="00382917">
        <w:t>come</w:t>
      </w:r>
      <w:r w:rsidR="00C03C91">
        <w:t>:</w:t>
      </w:r>
      <w:r w:rsidR="00EE4FC3">
        <w:t xml:space="preserve">  </w:t>
      </w:r>
      <w:r w:rsidR="009C713D" w:rsidRPr="00382917">
        <w:t>“</w:t>
      </w:r>
      <w:r w:rsidRPr="00382917">
        <w:t>I</w:t>
      </w:r>
      <w:r w:rsidR="00EE4FC3">
        <w:t xml:space="preserve"> </w:t>
      </w:r>
      <w:r w:rsidRPr="00382917">
        <w:t>am</w:t>
      </w:r>
      <w:r w:rsidR="00EE4FC3">
        <w:t xml:space="preserve"> </w:t>
      </w:r>
      <w:r w:rsidRPr="00382917">
        <w:t>two</w:t>
      </w:r>
      <w:r w:rsidR="00EE4FC3">
        <w:t xml:space="preserve"> </w:t>
      </w:r>
      <w:r w:rsidRPr="00382917">
        <w:t>years</w:t>
      </w:r>
      <w:r w:rsidR="00EE4FC3">
        <w:t xml:space="preserve"> </w:t>
      </w:r>
      <w:r w:rsidRPr="00382917">
        <w:t>younger</w:t>
      </w:r>
      <w:r w:rsidR="00EE4FC3">
        <w:t xml:space="preserve"> </w:t>
      </w:r>
      <w:r w:rsidRPr="00382917">
        <w:t>than</w:t>
      </w:r>
      <w:r w:rsidR="00EE4FC3">
        <w:t xml:space="preserve"> </w:t>
      </w:r>
      <w:r w:rsidRPr="00382917">
        <w:t>My</w:t>
      </w:r>
      <w:r w:rsidR="00EE4FC3">
        <w:t xml:space="preserve"> </w:t>
      </w:r>
      <w:r w:rsidRPr="00382917">
        <w:t>Lord.</w:t>
      </w:r>
      <w:r w:rsidR="009C713D" w:rsidRPr="00382917">
        <w:t>”</w:t>
      </w:r>
      <w:r w:rsidR="00C7045E">
        <w:rPr>
          <w:rStyle w:val="FootnoteReference"/>
        </w:rPr>
        <w:footnoteReference w:id="196"/>
      </w:r>
    </w:p>
    <w:p w:rsidR="00610ADA" w:rsidRPr="00382917" w:rsidRDefault="00610ADA" w:rsidP="00900F24">
      <w:pPr>
        <w:pStyle w:val="Text"/>
      </w:pPr>
      <w:r w:rsidRPr="00382917">
        <w:t>Siyyid</w:t>
      </w:r>
      <w:r w:rsidR="00EE4FC3">
        <w:t xml:space="preserve"> </w:t>
      </w:r>
      <w:r w:rsidRPr="00382917">
        <w:t>Káẓim,</w:t>
      </w:r>
      <w:r w:rsidR="00EE4FC3">
        <w:t xml:space="preserve"> </w:t>
      </w:r>
      <w:r w:rsidRPr="00382917">
        <w:t>who</w:t>
      </w:r>
      <w:r w:rsidR="00EE4FC3">
        <w:t xml:space="preserve"> </w:t>
      </w:r>
      <w:r w:rsidRPr="00382917">
        <w:t>succeeded</w:t>
      </w:r>
      <w:r w:rsidR="00EE4FC3">
        <w:t xml:space="preserve"> </w:t>
      </w:r>
      <w:r w:rsidR="008A073E" w:rsidRPr="00382917">
        <w:rPr>
          <w:u w:val="single"/>
        </w:rPr>
        <w:t>Sh</w:t>
      </w:r>
      <w:r w:rsidR="008A073E" w:rsidRPr="00382917">
        <w:t>ay</w:t>
      </w:r>
      <w:r w:rsidR="008A073E" w:rsidRPr="00382917">
        <w:rPr>
          <w:u w:val="single"/>
        </w:rPr>
        <w:t>kh</w:t>
      </w:r>
      <w:r w:rsidR="00EE4FC3">
        <w:t xml:space="preserve"> </w:t>
      </w:r>
      <w:r w:rsidRPr="00382917">
        <w:t>Aḥmad,</w:t>
      </w:r>
      <w:r w:rsidR="00EE4FC3">
        <w:t xml:space="preserve"> </w:t>
      </w:r>
      <w:r w:rsidRPr="00382917">
        <w:t>continued</w:t>
      </w:r>
      <w:r w:rsidR="00EE4FC3">
        <w:t xml:space="preserve"> </w:t>
      </w:r>
      <w:r w:rsidRPr="00382917">
        <w:t>to</w:t>
      </w:r>
      <w:r w:rsidR="00EE4FC3">
        <w:t xml:space="preserve"> </w:t>
      </w:r>
      <w:r w:rsidRPr="00382917">
        <w:t>prepare</w:t>
      </w:r>
      <w:r w:rsidR="00EE4FC3">
        <w:t xml:space="preserve"> </w:t>
      </w:r>
      <w:r w:rsidRPr="00382917">
        <w:t>his</w:t>
      </w:r>
      <w:r w:rsidR="00EE4FC3">
        <w:t xml:space="preserve"> </w:t>
      </w:r>
      <w:r w:rsidRPr="00382917">
        <w:t>followers</w:t>
      </w:r>
      <w:r w:rsidR="00EE4FC3">
        <w:t xml:space="preserve"> </w:t>
      </w:r>
      <w:r w:rsidRPr="00382917">
        <w:t>for</w:t>
      </w:r>
      <w:r w:rsidR="00EE4FC3">
        <w:t xml:space="preserve"> </w:t>
      </w:r>
      <w:r w:rsidRPr="00382917">
        <w:t>that</w:t>
      </w:r>
      <w:r w:rsidR="00EE4FC3">
        <w:t xml:space="preserve"> </w:t>
      </w:r>
      <w:r w:rsidRPr="00382917">
        <w:t>same</w:t>
      </w:r>
      <w:r w:rsidR="00EE4FC3">
        <w:t xml:space="preserve"> </w:t>
      </w:r>
      <w:r w:rsidRPr="00382917">
        <w:t>approaching</w:t>
      </w:r>
      <w:r w:rsidR="00EE4FC3">
        <w:t xml:space="preserve"> </w:t>
      </w:r>
      <w:r w:rsidRPr="00382917">
        <w:t>day.</w:t>
      </w:r>
    </w:p>
    <w:p w:rsidR="00610ADA" w:rsidRPr="00382917" w:rsidRDefault="009C713D" w:rsidP="00900F24">
      <w:pPr>
        <w:pStyle w:val="Text"/>
      </w:pPr>
      <w:r w:rsidRPr="00382917">
        <w:t>“</w:t>
      </w:r>
      <w:r w:rsidR="00610ADA" w:rsidRPr="00382917">
        <w:t>Verily</w:t>
      </w:r>
      <w:r w:rsidR="00EE4FC3">
        <w:t xml:space="preserve"> </w:t>
      </w:r>
      <w:r w:rsidR="00610ADA" w:rsidRPr="00382917">
        <w:t>I</w:t>
      </w:r>
      <w:r w:rsidR="00EE4FC3">
        <w:t xml:space="preserve"> </w:t>
      </w:r>
      <w:r w:rsidR="00610ADA" w:rsidRPr="00382917">
        <w:t>say,</w:t>
      </w:r>
      <w:r w:rsidRPr="00382917">
        <w:t>”</w:t>
      </w:r>
      <w:r w:rsidR="00EE4FC3">
        <w:t xml:space="preserve"> </w:t>
      </w:r>
      <w:proofErr w:type="gramStart"/>
      <w:r w:rsidR="00610ADA" w:rsidRPr="00382917">
        <w:t>he</w:t>
      </w:r>
      <w:proofErr w:type="gramEnd"/>
      <w:r w:rsidR="00EE4FC3">
        <w:t xml:space="preserve"> </w:t>
      </w:r>
      <w:r w:rsidR="00610ADA" w:rsidRPr="00382917">
        <w:t>told</w:t>
      </w:r>
      <w:r w:rsidR="00EE4FC3">
        <w:t xml:space="preserve"> </w:t>
      </w:r>
      <w:r w:rsidR="00610ADA" w:rsidRPr="00382917">
        <w:t>them,</w:t>
      </w:r>
      <w:r w:rsidR="00EE4FC3">
        <w:t xml:space="preserve"> </w:t>
      </w:r>
      <w:r w:rsidRPr="00382917">
        <w:t>“</w:t>
      </w:r>
      <w:r w:rsidR="00610ADA" w:rsidRPr="00382917">
        <w:t>that</w:t>
      </w:r>
      <w:r w:rsidR="00EE4FC3">
        <w:t xml:space="preserve"> </w:t>
      </w:r>
      <w:r w:rsidR="00610ADA" w:rsidRPr="00382917">
        <w:t>after</w:t>
      </w:r>
      <w:r w:rsidR="00EE4FC3">
        <w:t xml:space="preserve"> </w:t>
      </w:r>
      <w:r w:rsidR="00610ADA" w:rsidRPr="00382917">
        <w:t>the</w:t>
      </w:r>
      <w:r w:rsidR="00EE4FC3">
        <w:t xml:space="preserve"> </w:t>
      </w:r>
      <w:r w:rsidR="00610ADA" w:rsidRPr="00382917">
        <w:t>Qá</w:t>
      </w:r>
      <w:r w:rsidRPr="00382917">
        <w:t>’</w:t>
      </w:r>
      <w:r w:rsidR="00610ADA" w:rsidRPr="00382917">
        <w:t>im</w:t>
      </w:r>
      <w:r w:rsidR="00EE4FC3">
        <w:t xml:space="preserve"> </w:t>
      </w:r>
      <w:r w:rsidR="00610ADA" w:rsidRPr="00382917">
        <w:t>[the</w:t>
      </w:r>
      <w:r w:rsidR="00EE4FC3">
        <w:t xml:space="preserve"> </w:t>
      </w:r>
      <w:r w:rsidR="00610ADA" w:rsidRPr="00382917">
        <w:t>Báb],</w:t>
      </w:r>
      <w:r w:rsidR="00EE4FC3">
        <w:t xml:space="preserve"> </w:t>
      </w:r>
      <w:r w:rsidR="00610ADA" w:rsidRPr="00382917">
        <w:t>the</w:t>
      </w:r>
      <w:r w:rsidR="00EE4FC3">
        <w:t xml:space="preserve"> </w:t>
      </w:r>
      <w:r w:rsidR="00610ADA" w:rsidRPr="00382917">
        <w:t>Qayyúm</w:t>
      </w:r>
      <w:r w:rsidR="00EE4FC3">
        <w:t xml:space="preserve"> </w:t>
      </w:r>
      <w:r w:rsidR="00610ADA" w:rsidRPr="00382917">
        <w:t>[Bahá</w:t>
      </w:r>
      <w:r w:rsidRPr="00382917">
        <w:t>’</w:t>
      </w:r>
      <w:r w:rsidR="00610ADA" w:rsidRPr="00382917">
        <w:t>u</w:t>
      </w:r>
      <w:r w:rsidRPr="00382917">
        <w:t>’</w:t>
      </w:r>
      <w:r w:rsidR="00610ADA" w:rsidRPr="00382917">
        <w:t>lláh]</w:t>
      </w:r>
      <w:r w:rsidR="00EE4FC3">
        <w:t xml:space="preserve"> </w:t>
      </w:r>
      <w:r w:rsidR="00610ADA" w:rsidRPr="00382917">
        <w:t>will</w:t>
      </w:r>
      <w:r w:rsidR="00EE4FC3">
        <w:t xml:space="preserve"> </w:t>
      </w:r>
      <w:r w:rsidR="00610ADA" w:rsidRPr="00382917">
        <w:t>be</w:t>
      </w:r>
      <w:r w:rsidR="00EE4FC3">
        <w:t xml:space="preserve"> </w:t>
      </w:r>
      <w:r w:rsidR="00610ADA" w:rsidRPr="00382917">
        <w:t>made</w:t>
      </w:r>
      <w:r w:rsidR="00EE4FC3">
        <w:t xml:space="preserve"> </w:t>
      </w:r>
      <w:r w:rsidR="00610ADA" w:rsidRPr="00382917">
        <w:t>manifest</w:t>
      </w:r>
      <w:r w:rsidR="00330AF7">
        <w:t>.</w:t>
      </w:r>
      <w:r w:rsidR="00EE4FC3">
        <w:t xml:space="preserve">  </w:t>
      </w:r>
      <w:r w:rsidR="00610ADA" w:rsidRPr="00382917">
        <w:t>For</w:t>
      </w:r>
      <w:r w:rsidR="00EE4FC3">
        <w:t xml:space="preserve"> </w:t>
      </w:r>
      <w:r w:rsidR="00610ADA" w:rsidRPr="00382917">
        <w:t>when</w:t>
      </w:r>
      <w:r w:rsidR="00EE4FC3">
        <w:t xml:space="preserve"> </w:t>
      </w:r>
      <w:r w:rsidR="00610ADA" w:rsidRPr="00382917">
        <w:t>the</w:t>
      </w:r>
      <w:r w:rsidR="00EE4FC3">
        <w:t xml:space="preserve"> </w:t>
      </w:r>
      <w:r w:rsidR="00610ADA" w:rsidRPr="00382917">
        <w:t>star</w:t>
      </w:r>
      <w:r w:rsidR="00EE4FC3">
        <w:t xml:space="preserve"> </w:t>
      </w:r>
      <w:r w:rsidR="00610ADA" w:rsidRPr="00382917">
        <w:t>of</w:t>
      </w:r>
      <w:r w:rsidR="00EE4FC3">
        <w:t xml:space="preserve"> </w:t>
      </w:r>
      <w:r w:rsidR="00610ADA" w:rsidRPr="00382917">
        <w:t>the</w:t>
      </w:r>
      <w:r w:rsidR="00EE4FC3">
        <w:t xml:space="preserve"> </w:t>
      </w:r>
      <w:r w:rsidR="00610ADA" w:rsidRPr="00382917">
        <w:t>Former</w:t>
      </w:r>
      <w:r w:rsidR="00EE4FC3">
        <w:t xml:space="preserve"> </w:t>
      </w:r>
      <w:r w:rsidR="00610ADA" w:rsidRPr="00382917">
        <w:t>[the</w:t>
      </w:r>
      <w:r w:rsidR="00EE4FC3">
        <w:t xml:space="preserve"> </w:t>
      </w:r>
      <w:r w:rsidR="00610ADA" w:rsidRPr="00382917">
        <w:t>Báb]</w:t>
      </w:r>
      <w:r w:rsidR="00EE4FC3">
        <w:t xml:space="preserve"> </w:t>
      </w:r>
      <w:r w:rsidR="00610ADA" w:rsidRPr="00382917">
        <w:t>has</w:t>
      </w:r>
      <w:r w:rsidR="00EE4FC3">
        <w:t xml:space="preserve"> </w:t>
      </w:r>
      <w:r w:rsidR="00610ADA" w:rsidRPr="00382917">
        <w:t>set,</w:t>
      </w:r>
      <w:r w:rsidR="00EE4FC3">
        <w:t xml:space="preserve"> </w:t>
      </w:r>
      <w:r w:rsidR="00610ADA" w:rsidRPr="00382917">
        <w:t>the</w:t>
      </w:r>
      <w:r w:rsidR="00EE4FC3">
        <w:t xml:space="preserve"> </w:t>
      </w:r>
      <w:r w:rsidR="00610ADA" w:rsidRPr="00382917">
        <w:t>Sun</w:t>
      </w:r>
      <w:r w:rsidR="00EE4FC3">
        <w:t xml:space="preserve"> </w:t>
      </w:r>
      <w:r w:rsidR="00610ADA" w:rsidRPr="00382917">
        <w:t>of</w:t>
      </w:r>
      <w:r w:rsidR="00EE4FC3">
        <w:t xml:space="preserve"> </w:t>
      </w:r>
      <w:r w:rsidR="00610ADA" w:rsidRPr="00382917">
        <w:t>the</w:t>
      </w:r>
      <w:r w:rsidR="00EE4FC3">
        <w:t xml:space="preserve"> </w:t>
      </w:r>
      <w:r w:rsidR="00610ADA" w:rsidRPr="00382917">
        <w:t>beauty</w:t>
      </w:r>
      <w:r w:rsidR="00EE4FC3">
        <w:t xml:space="preserve"> </w:t>
      </w:r>
      <w:r w:rsidR="00610ADA" w:rsidRPr="00382917">
        <w:t>of</w:t>
      </w:r>
      <w:r w:rsidR="00EE4FC3">
        <w:t xml:space="preserve"> </w:t>
      </w:r>
      <w:r w:rsidR="00964C11" w:rsidRPr="00382917">
        <w:t>Ḥusayn</w:t>
      </w:r>
      <w:r w:rsidR="00EE4FC3">
        <w:t xml:space="preserve"> </w:t>
      </w:r>
      <w:r w:rsidR="00610ADA" w:rsidRPr="00382917">
        <w:t>[Bahá</w:t>
      </w:r>
      <w:r w:rsidRPr="00382917">
        <w:t>’</w:t>
      </w:r>
      <w:r w:rsidR="00610ADA" w:rsidRPr="00382917">
        <w:t>u</w:t>
      </w:r>
      <w:r w:rsidRPr="00382917">
        <w:t>’</w:t>
      </w:r>
      <w:r w:rsidR="00610ADA" w:rsidRPr="00382917">
        <w:t>lláh]</w:t>
      </w:r>
      <w:r w:rsidR="00EE4FC3">
        <w:t xml:space="preserve"> </w:t>
      </w:r>
      <w:r w:rsidR="00610ADA" w:rsidRPr="00382917">
        <w:t>will</w:t>
      </w:r>
      <w:r w:rsidR="00EE4FC3">
        <w:t xml:space="preserve"> </w:t>
      </w:r>
      <w:r w:rsidR="00610ADA" w:rsidRPr="00382917">
        <w:t>rise</w:t>
      </w:r>
      <w:r w:rsidR="00EE4FC3">
        <w:t xml:space="preserve"> </w:t>
      </w:r>
      <w:r w:rsidR="00610ADA" w:rsidRPr="00382917">
        <w:t>and</w:t>
      </w:r>
      <w:r w:rsidR="00EE4FC3">
        <w:t xml:space="preserve"> </w:t>
      </w:r>
      <w:r w:rsidR="00610ADA" w:rsidRPr="00382917">
        <w:t>illuminate</w:t>
      </w:r>
      <w:r w:rsidR="00EE4FC3">
        <w:t xml:space="preserve"> </w:t>
      </w:r>
      <w:r w:rsidR="00610ADA" w:rsidRPr="00382917">
        <w:t>the</w:t>
      </w:r>
      <w:r w:rsidR="00EE4FC3">
        <w:t xml:space="preserve"> </w:t>
      </w:r>
      <w:r w:rsidR="00610ADA" w:rsidRPr="00382917">
        <w:t>whole</w:t>
      </w:r>
      <w:r w:rsidR="00EE4FC3">
        <w:t xml:space="preserve"> </w:t>
      </w:r>
      <w:r w:rsidR="00610ADA" w:rsidRPr="00382917">
        <w:t>world.</w:t>
      </w:r>
      <w:r w:rsidRPr="00382917">
        <w:t>”</w:t>
      </w:r>
    </w:p>
    <w:p w:rsidR="00610ADA" w:rsidRPr="00382917" w:rsidRDefault="00610ADA" w:rsidP="00900F24">
      <w:pPr>
        <w:pStyle w:val="Text"/>
      </w:pPr>
      <w:r w:rsidRPr="00382917">
        <w:t>There</w:t>
      </w:r>
      <w:r w:rsidR="00EE4FC3">
        <w:t xml:space="preserve"> </w:t>
      </w:r>
      <w:r w:rsidRPr="00382917">
        <w:t>is</w:t>
      </w:r>
      <w:r w:rsidR="00EE4FC3">
        <w:t xml:space="preserve"> </w:t>
      </w:r>
      <w:r w:rsidRPr="00382917">
        <w:t>yet</w:t>
      </w:r>
      <w:r w:rsidR="00EE4FC3">
        <w:t xml:space="preserve"> </w:t>
      </w:r>
      <w:r w:rsidRPr="00382917">
        <w:t>another</w:t>
      </w:r>
      <w:r w:rsidR="00EE4FC3">
        <w:t xml:space="preserve"> </w:t>
      </w:r>
      <w:r w:rsidRPr="00382917">
        <w:t>proof</w:t>
      </w:r>
      <w:r w:rsidR="00EE4FC3">
        <w:t xml:space="preserve"> </w:t>
      </w:r>
      <w:r w:rsidRPr="00382917">
        <w:t>of</w:t>
      </w:r>
      <w:r w:rsidR="00EE4FC3">
        <w:t xml:space="preserve"> </w:t>
      </w:r>
      <w:r w:rsidRPr="00382917">
        <w:t>the</w:t>
      </w:r>
      <w:r w:rsidR="00EE4FC3">
        <w:t xml:space="preserve"> </w:t>
      </w:r>
      <w:r w:rsidRPr="00382917">
        <w:t>unique</w:t>
      </w:r>
      <w:r w:rsidR="00EE4FC3">
        <w:t xml:space="preserve"> </w:t>
      </w:r>
      <w:r w:rsidRPr="00382917">
        <w:t>oneness</w:t>
      </w:r>
      <w:r w:rsidR="00EE4FC3">
        <w:t xml:space="preserve"> </w:t>
      </w:r>
      <w:r w:rsidRPr="00382917">
        <w:t>which</w:t>
      </w:r>
      <w:r w:rsidR="00EE4FC3">
        <w:t xml:space="preserve"> </w:t>
      </w:r>
      <w:r w:rsidRPr="00382917">
        <w:t>linked</w:t>
      </w:r>
      <w:r w:rsidR="00EE4FC3">
        <w:t xml:space="preserve"> </w:t>
      </w:r>
      <w:r w:rsidRPr="00382917">
        <w:t>the</w:t>
      </w:r>
      <w:r w:rsidR="00EE4FC3">
        <w:t xml:space="preserve"> </w:t>
      </w:r>
      <w:r w:rsidRPr="00382917">
        <w:t>Mission</w:t>
      </w:r>
      <w:r w:rsidR="00EE4FC3">
        <w:t xml:space="preserve"> </w:t>
      </w:r>
      <w:r w:rsidRPr="00382917">
        <w:t>of</w:t>
      </w:r>
      <w:r w:rsidR="00EE4FC3">
        <w:t xml:space="preserve"> </w:t>
      </w:r>
      <w:r w:rsidRPr="00382917">
        <w:t>the</w:t>
      </w:r>
      <w:r w:rsidR="00EE4FC3">
        <w:t xml:space="preserve"> </w:t>
      </w:r>
      <w:r w:rsidRPr="00382917">
        <w:t>Báb</w:t>
      </w:r>
      <w:r w:rsidR="00EE4FC3">
        <w:t xml:space="preserve"> </w:t>
      </w:r>
      <w:r w:rsidRPr="00382917">
        <w:t>with</w:t>
      </w:r>
      <w:r w:rsidR="00EE4FC3">
        <w:t xml:space="preserve"> </w:t>
      </w:r>
      <w:r w:rsidRPr="00382917">
        <w:t>that</w:t>
      </w:r>
      <w:r w:rsidR="00EE4FC3">
        <w:t xml:space="preserve"> </w:t>
      </w:r>
      <w:r w:rsidRPr="00382917">
        <w:t>of</w:t>
      </w:r>
      <w:r w:rsidR="00EE4FC3">
        <w:t xml:space="preserve"> </w:t>
      </w:r>
      <w:r w:rsidRPr="00382917">
        <w:t>Bahá</w:t>
      </w:r>
      <w:r w:rsidR="009C713D" w:rsidRPr="00382917">
        <w:t>’</w:t>
      </w:r>
      <w:r w:rsidRPr="00382917">
        <w:t>u</w:t>
      </w:r>
      <w:r w:rsidR="009C713D" w:rsidRPr="00382917">
        <w:t>’</w:t>
      </w:r>
      <w:r w:rsidRPr="00382917">
        <w:t>lláh</w:t>
      </w:r>
      <w:r w:rsidR="00330AF7">
        <w:t>.</w:t>
      </w:r>
      <w:r w:rsidR="00EE4FC3">
        <w:t xml:space="preserve">  </w:t>
      </w:r>
      <w:r w:rsidRPr="00382917">
        <w:t>According</w:t>
      </w:r>
      <w:r w:rsidR="00EE4FC3">
        <w:t xml:space="preserve"> </w:t>
      </w:r>
      <w:r w:rsidRPr="00382917">
        <w:t>to</w:t>
      </w:r>
      <w:r w:rsidR="00EE4FC3">
        <w:t xml:space="preserve"> </w:t>
      </w:r>
      <w:r w:rsidRPr="00382917">
        <w:t>the</w:t>
      </w:r>
    </w:p>
    <w:p w:rsidR="00900F24" w:rsidRPr="00382917" w:rsidRDefault="00900F24">
      <w:pPr>
        <w:widowControl/>
        <w:kinsoku/>
        <w:overflowPunct/>
        <w:textAlignment w:val="auto"/>
      </w:pPr>
      <w:r w:rsidRPr="00382917">
        <w:br w:type="page"/>
      </w:r>
    </w:p>
    <w:p w:rsidR="00610ADA" w:rsidRPr="00382917" w:rsidRDefault="00610ADA" w:rsidP="00900F24">
      <w:pPr>
        <w:pStyle w:val="Textcts"/>
      </w:pPr>
      <w:proofErr w:type="gramStart"/>
      <w:r w:rsidRPr="00382917">
        <w:t>solar</w:t>
      </w:r>
      <w:proofErr w:type="gramEnd"/>
      <w:r w:rsidR="00EE4FC3">
        <w:t xml:space="preserve"> </w:t>
      </w:r>
      <w:r w:rsidRPr="00382917">
        <w:t>calendar</w:t>
      </w:r>
      <w:r w:rsidR="00EE4FC3">
        <w:t xml:space="preserve"> </w:t>
      </w:r>
      <w:r w:rsidRPr="00382917">
        <w:t>of</w:t>
      </w:r>
      <w:r w:rsidR="00EE4FC3">
        <w:t xml:space="preserve"> </w:t>
      </w:r>
      <w:r w:rsidRPr="00382917">
        <w:t>the</w:t>
      </w:r>
      <w:r w:rsidR="00EE4FC3">
        <w:t xml:space="preserve"> </w:t>
      </w:r>
      <w:r w:rsidRPr="00382917">
        <w:t>West,</w:t>
      </w:r>
      <w:r w:rsidR="00EE4FC3">
        <w:t xml:space="preserve"> </w:t>
      </w:r>
      <w:r w:rsidRPr="00382917">
        <w:t>the</w:t>
      </w:r>
      <w:r w:rsidR="00EE4FC3">
        <w:t xml:space="preserve"> </w:t>
      </w:r>
      <w:r w:rsidRPr="00382917">
        <w:t>Báb</w:t>
      </w:r>
      <w:r w:rsidR="00EE4FC3">
        <w:t xml:space="preserve"> </w:t>
      </w:r>
      <w:r w:rsidRPr="00382917">
        <w:t>was</w:t>
      </w:r>
      <w:r w:rsidR="00EE4FC3">
        <w:t xml:space="preserve"> </w:t>
      </w:r>
      <w:r w:rsidRPr="00382917">
        <w:t>born</w:t>
      </w:r>
      <w:r w:rsidR="00EE4FC3">
        <w:t xml:space="preserve"> </w:t>
      </w:r>
      <w:r w:rsidRPr="00382917">
        <w:t>20</w:t>
      </w:r>
      <w:r w:rsidR="00EE4FC3">
        <w:t xml:space="preserve"> </w:t>
      </w:r>
      <w:r w:rsidRPr="00382917">
        <w:t>October</w:t>
      </w:r>
      <w:r w:rsidR="00EE4FC3">
        <w:t xml:space="preserve"> </w:t>
      </w:r>
      <w:r w:rsidRPr="00382917">
        <w:t>1819</w:t>
      </w:r>
      <w:r w:rsidR="00EE4FC3">
        <w:t xml:space="preserve"> </w:t>
      </w:r>
      <w:r w:rsidRPr="00382917">
        <w:t>and</w:t>
      </w:r>
      <w:r w:rsidR="00EE4FC3">
        <w:t xml:space="preserve"> </w:t>
      </w:r>
      <w:r w:rsidRPr="00382917">
        <w:t>Bahá</w:t>
      </w:r>
      <w:r w:rsidR="009C713D" w:rsidRPr="00382917">
        <w:t>’</w:t>
      </w:r>
      <w:r w:rsidRPr="00382917">
        <w:t>u</w:t>
      </w:r>
      <w:r w:rsidR="009C713D" w:rsidRPr="00382917">
        <w:t>’</w:t>
      </w:r>
      <w:r w:rsidRPr="00382917">
        <w:t>lláh</w:t>
      </w:r>
      <w:r w:rsidR="00EE4FC3">
        <w:t xml:space="preserve"> </w:t>
      </w:r>
      <w:r w:rsidRPr="00382917">
        <w:t>was</w:t>
      </w:r>
      <w:r w:rsidR="00EE4FC3">
        <w:t xml:space="preserve"> </w:t>
      </w:r>
      <w:r w:rsidRPr="00382917">
        <w:t>born</w:t>
      </w:r>
      <w:r w:rsidR="00EE4FC3">
        <w:t xml:space="preserve"> </w:t>
      </w:r>
      <w:r w:rsidRPr="00382917">
        <w:t>12</w:t>
      </w:r>
      <w:r w:rsidR="00EE4FC3">
        <w:t xml:space="preserve"> </w:t>
      </w:r>
      <w:r w:rsidRPr="00382917">
        <w:t>November</w:t>
      </w:r>
      <w:r w:rsidR="00EE4FC3">
        <w:t xml:space="preserve"> </w:t>
      </w:r>
      <w:r w:rsidRPr="00382917">
        <w:t>1817</w:t>
      </w:r>
      <w:r w:rsidR="00330AF7">
        <w:t>.</w:t>
      </w:r>
      <w:r w:rsidR="00EE4FC3">
        <w:t xml:space="preserve">  </w:t>
      </w:r>
      <w:r w:rsidRPr="00382917">
        <w:t>However,</w:t>
      </w:r>
      <w:r w:rsidR="00EE4FC3">
        <w:t xml:space="preserve"> </w:t>
      </w:r>
      <w:r w:rsidRPr="00382917">
        <w:t>according</w:t>
      </w:r>
      <w:r w:rsidR="00EE4FC3">
        <w:t xml:space="preserve"> </w:t>
      </w:r>
      <w:r w:rsidRPr="00382917">
        <w:t>to</w:t>
      </w:r>
      <w:r w:rsidR="00EE4FC3">
        <w:t xml:space="preserve"> </w:t>
      </w:r>
      <w:r w:rsidRPr="00382917">
        <w:t>the</w:t>
      </w:r>
      <w:r w:rsidR="00EE4FC3">
        <w:t xml:space="preserve"> </w:t>
      </w:r>
      <w:r w:rsidRPr="00382917">
        <w:t>lunar</w:t>
      </w:r>
      <w:r w:rsidR="00EE4FC3">
        <w:t xml:space="preserve"> </w:t>
      </w:r>
      <w:r w:rsidRPr="00382917">
        <w:t>calendar</w:t>
      </w:r>
      <w:r w:rsidR="00EE4FC3">
        <w:t xml:space="preserve"> </w:t>
      </w:r>
      <w:r w:rsidRPr="00382917">
        <w:t>of</w:t>
      </w:r>
      <w:r w:rsidR="00EE4FC3">
        <w:t xml:space="preserve"> </w:t>
      </w:r>
      <w:r w:rsidRPr="00382917">
        <w:t>the</w:t>
      </w:r>
      <w:r w:rsidR="00EE4FC3">
        <w:t xml:space="preserve"> </w:t>
      </w:r>
      <w:r w:rsidRPr="00382917">
        <w:t>East</w:t>
      </w:r>
      <w:r w:rsidR="00EE4FC3">
        <w:t xml:space="preserve"> </w:t>
      </w:r>
      <w:r w:rsidRPr="00382917">
        <w:t>(in</w:t>
      </w:r>
      <w:r w:rsidR="00EE4FC3">
        <w:t xml:space="preserve"> </w:t>
      </w:r>
      <w:r w:rsidRPr="00382917">
        <w:t>Iran,</w:t>
      </w:r>
      <w:r w:rsidR="00EE4FC3">
        <w:t xml:space="preserve"> </w:t>
      </w:r>
      <w:r w:rsidRPr="00382917">
        <w:t>the</w:t>
      </w:r>
      <w:r w:rsidR="00EE4FC3">
        <w:t xml:space="preserve"> </w:t>
      </w:r>
      <w:r w:rsidRPr="00382917">
        <w:t>land</w:t>
      </w:r>
      <w:r w:rsidR="00EE4FC3">
        <w:t xml:space="preserve"> </w:t>
      </w:r>
      <w:r w:rsidRPr="00382917">
        <w:t>of</w:t>
      </w:r>
      <w:r w:rsidR="00EE4FC3">
        <w:t xml:space="preserve"> </w:t>
      </w:r>
      <w:proofErr w:type="gramStart"/>
      <w:r w:rsidRPr="00382917">
        <w:t>Their</w:t>
      </w:r>
      <w:proofErr w:type="gramEnd"/>
      <w:r w:rsidR="00EE4FC3">
        <w:t xml:space="preserve"> </w:t>
      </w:r>
      <w:r w:rsidRPr="00382917">
        <w:t>birth),</w:t>
      </w:r>
      <w:r w:rsidR="00EE4FC3">
        <w:t xml:space="preserve"> </w:t>
      </w:r>
      <w:r w:rsidRPr="00382917">
        <w:t>the</w:t>
      </w:r>
      <w:r w:rsidR="00EE4FC3">
        <w:t xml:space="preserve"> </w:t>
      </w:r>
      <w:r w:rsidRPr="00382917">
        <w:t>Báb</w:t>
      </w:r>
      <w:r w:rsidR="00EE4FC3">
        <w:t xml:space="preserve"> </w:t>
      </w:r>
      <w:r w:rsidRPr="00382917">
        <w:t>was</w:t>
      </w:r>
      <w:r w:rsidR="00EE4FC3">
        <w:t xml:space="preserve"> </w:t>
      </w:r>
      <w:r w:rsidRPr="00382917">
        <w:t>born</w:t>
      </w:r>
      <w:r w:rsidR="00EE4FC3">
        <w:t xml:space="preserve"> </w:t>
      </w:r>
      <w:r w:rsidRPr="00382917">
        <w:t>on</w:t>
      </w:r>
      <w:r w:rsidR="00EE4FC3">
        <w:t xml:space="preserve"> </w:t>
      </w:r>
      <w:r w:rsidRPr="00382917">
        <w:t>the</w:t>
      </w:r>
      <w:r w:rsidR="00EE4FC3">
        <w:t xml:space="preserve"> </w:t>
      </w:r>
      <w:r w:rsidRPr="00382917">
        <w:t>first</w:t>
      </w:r>
      <w:r w:rsidR="00EE4FC3">
        <w:t xml:space="preserve"> </w:t>
      </w:r>
      <w:r w:rsidRPr="00382917">
        <w:t>day</w:t>
      </w:r>
      <w:r w:rsidR="00EE4FC3">
        <w:t xml:space="preserve"> </w:t>
      </w:r>
      <w:r w:rsidRPr="00382917">
        <w:t>of</w:t>
      </w:r>
      <w:r w:rsidR="00EE4FC3">
        <w:t xml:space="preserve"> </w:t>
      </w:r>
      <w:r w:rsidRPr="00382917">
        <w:t>the</w:t>
      </w:r>
      <w:r w:rsidR="00EE4FC3">
        <w:t xml:space="preserve"> </w:t>
      </w:r>
      <w:r w:rsidRPr="00382917">
        <w:t>month</w:t>
      </w:r>
      <w:r w:rsidR="00EE4FC3">
        <w:t xml:space="preserve"> </w:t>
      </w:r>
      <w:r w:rsidRPr="00382917">
        <w:t>of</w:t>
      </w:r>
      <w:r w:rsidR="00EE4FC3">
        <w:t xml:space="preserve"> </w:t>
      </w:r>
      <w:r w:rsidRPr="00382917">
        <w:t>Muḥarram</w:t>
      </w:r>
      <w:r w:rsidR="00EE4FC3">
        <w:t xml:space="preserve"> </w:t>
      </w:r>
      <w:r w:rsidRPr="00382917">
        <w:t>and</w:t>
      </w:r>
      <w:r w:rsidR="00EE4FC3">
        <w:t xml:space="preserve"> </w:t>
      </w:r>
      <w:r w:rsidRPr="00382917">
        <w:t>Bahá</w:t>
      </w:r>
      <w:r w:rsidR="009C713D" w:rsidRPr="00382917">
        <w:t>’</w:t>
      </w:r>
      <w:r w:rsidRPr="00382917">
        <w:t>u</w:t>
      </w:r>
      <w:r w:rsidR="009C713D" w:rsidRPr="00382917">
        <w:t>’</w:t>
      </w:r>
      <w:r w:rsidRPr="00382917">
        <w:t>lláh</w:t>
      </w:r>
      <w:r w:rsidR="00EE4FC3">
        <w:t xml:space="preserve"> </w:t>
      </w:r>
      <w:r w:rsidRPr="00382917">
        <w:t>was</w:t>
      </w:r>
      <w:r w:rsidR="00EE4FC3">
        <w:t xml:space="preserve"> </w:t>
      </w:r>
      <w:r w:rsidRPr="00382917">
        <w:t>born</w:t>
      </w:r>
      <w:r w:rsidR="00EE4FC3">
        <w:t xml:space="preserve"> </w:t>
      </w:r>
      <w:r w:rsidRPr="00382917">
        <w:t>on</w:t>
      </w:r>
      <w:r w:rsidR="00EE4FC3">
        <w:t xml:space="preserve"> </w:t>
      </w:r>
      <w:r w:rsidRPr="00382917">
        <w:t>the</w:t>
      </w:r>
      <w:r w:rsidR="00EE4FC3">
        <w:t xml:space="preserve"> </w:t>
      </w:r>
      <w:r w:rsidRPr="00382917">
        <w:t>second</w:t>
      </w:r>
      <w:r w:rsidR="00EE4FC3">
        <w:t xml:space="preserve"> </w:t>
      </w:r>
      <w:r w:rsidRPr="00382917">
        <w:t>day</w:t>
      </w:r>
      <w:r w:rsidR="00EE4FC3">
        <w:t xml:space="preserve"> </w:t>
      </w:r>
      <w:r w:rsidRPr="00382917">
        <w:t>of</w:t>
      </w:r>
      <w:r w:rsidR="00EE4FC3">
        <w:t xml:space="preserve"> </w:t>
      </w:r>
      <w:r w:rsidRPr="00382917">
        <w:t>Muḥarram</w:t>
      </w:r>
      <w:r w:rsidR="00330AF7">
        <w:t>.</w:t>
      </w:r>
      <w:r w:rsidR="00EE4FC3">
        <w:t xml:space="preserve">  </w:t>
      </w:r>
      <w:r w:rsidRPr="00382917">
        <w:t>These</w:t>
      </w:r>
      <w:r w:rsidR="00EE4FC3">
        <w:t xml:space="preserve"> </w:t>
      </w:r>
      <w:r w:rsidRPr="00382917">
        <w:t>twin</w:t>
      </w:r>
      <w:r w:rsidR="00EE4FC3">
        <w:t xml:space="preserve"> </w:t>
      </w:r>
      <w:r w:rsidRPr="00382917">
        <w:t>successive</w:t>
      </w:r>
      <w:r w:rsidR="00EE4FC3">
        <w:t xml:space="preserve"> </w:t>
      </w:r>
      <w:r w:rsidRPr="00382917">
        <w:t>holy</w:t>
      </w:r>
      <w:r w:rsidR="00EE4FC3">
        <w:t xml:space="preserve"> </w:t>
      </w:r>
      <w:r w:rsidRPr="00382917">
        <w:t>days</w:t>
      </w:r>
      <w:r w:rsidR="00EE4FC3">
        <w:t xml:space="preserve"> </w:t>
      </w:r>
      <w:r w:rsidRPr="00382917">
        <w:t>are</w:t>
      </w:r>
      <w:r w:rsidR="00EE4FC3">
        <w:t xml:space="preserve"> </w:t>
      </w:r>
      <w:r w:rsidRPr="00382917">
        <w:t>celebrated</w:t>
      </w:r>
      <w:r w:rsidR="00EE4FC3">
        <w:t xml:space="preserve"> </w:t>
      </w:r>
      <w:r w:rsidRPr="00382917">
        <w:t>as</w:t>
      </w:r>
      <w:r w:rsidR="00EE4FC3">
        <w:t xml:space="preserve"> </w:t>
      </w:r>
      <w:r w:rsidRPr="00382917">
        <w:t>one</w:t>
      </w:r>
      <w:r w:rsidR="00EE4FC3">
        <w:t xml:space="preserve"> </w:t>
      </w:r>
      <w:r w:rsidRPr="00382917">
        <w:t>great</w:t>
      </w:r>
      <w:r w:rsidR="00EE4FC3">
        <w:t xml:space="preserve"> </w:t>
      </w:r>
      <w:r w:rsidRPr="00382917">
        <w:t>joyous</w:t>
      </w:r>
      <w:r w:rsidR="00EE4FC3">
        <w:t xml:space="preserve"> </w:t>
      </w:r>
      <w:r w:rsidRPr="00382917">
        <w:t>Festival.</w:t>
      </w:r>
    </w:p>
    <w:p w:rsidR="00610ADA" w:rsidRPr="00382917" w:rsidRDefault="00610ADA" w:rsidP="00900F24">
      <w:pPr>
        <w:pStyle w:val="Text"/>
      </w:pPr>
      <w:r w:rsidRPr="00382917">
        <w:t>Siyyid</w:t>
      </w:r>
      <w:r w:rsidR="00EE4FC3">
        <w:t xml:space="preserve"> </w:t>
      </w:r>
      <w:r w:rsidRPr="00382917">
        <w:t>Káẓim</w:t>
      </w:r>
      <w:r w:rsidR="00EE4FC3">
        <w:t xml:space="preserve"> </w:t>
      </w:r>
      <w:r w:rsidRPr="00382917">
        <w:t>told</w:t>
      </w:r>
      <w:r w:rsidR="00EE4FC3">
        <w:t xml:space="preserve"> </w:t>
      </w:r>
      <w:r w:rsidRPr="00382917">
        <w:t>his</w:t>
      </w:r>
      <w:r w:rsidR="00EE4FC3">
        <w:t xml:space="preserve"> </w:t>
      </w:r>
      <w:r w:rsidRPr="00382917">
        <w:t>followers</w:t>
      </w:r>
      <w:r w:rsidR="00C03C91">
        <w:t>:</w:t>
      </w:r>
      <w:r w:rsidR="00EE4FC3">
        <w:t xml:space="preserve">  </w:t>
      </w:r>
      <w:r w:rsidR="009C713D" w:rsidRPr="00382917">
        <w:t>“</w:t>
      </w:r>
      <w:r w:rsidRPr="00382917">
        <w:t>What</w:t>
      </w:r>
      <w:r w:rsidR="00EE4FC3">
        <w:t xml:space="preserve"> </w:t>
      </w:r>
      <w:r w:rsidRPr="00382917">
        <w:t>stress</w:t>
      </w:r>
      <w:r w:rsidR="00EE4FC3">
        <w:t xml:space="preserve"> </w:t>
      </w:r>
      <w:r w:rsidR="008A073E" w:rsidRPr="00382917">
        <w:rPr>
          <w:u w:val="single"/>
        </w:rPr>
        <w:t>Sh</w:t>
      </w:r>
      <w:r w:rsidR="008A073E" w:rsidRPr="00382917">
        <w:t>ay</w:t>
      </w:r>
      <w:r w:rsidR="008A073E" w:rsidRPr="00382917">
        <w:rPr>
          <w:u w:val="single"/>
        </w:rPr>
        <w:t>kh</w:t>
      </w:r>
      <w:r w:rsidR="00EE4FC3">
        <w:t xml:space="preserve"> </w:t>
      </w:r>
      <w:r w:rsidRPr="00382917">
        <w:t>Aḥmad</w:t>
      </w:r>
      <w:r w:rsidR="00EE4FC3">
        <w:t xml:space="preserve"> </w:t>
      </w:r>
      <w:r w:rsidRPr="00382917">
        <w:t>laid</w:t>
      </w:r>
      <w:r w:rsidR="00EE4FC3">
        <w:t xml:space="preserve"> </w:t>
      </w:r>
      <w:r w:rsidRPr="00382917">
        <w:t>upon</w:t>
      </w:r>
      <w:r w:rsidR="00EE4FC3">
        <w:t xml:space="preserve"> </w:t>
      </w:r>
      <w:r w:rsidRPr="00382917">
        <w:t>all</w:t>
      </w:r>
      <w:r w:rsidR="00EE4FC3">
        <w:t xml:space="preserve"> </w:t>
      </w:r>
      <w:r w:rsidRPr="00382917">
        <w:t>those</w:t>
      </w:r>
      <w:r w:rsidR="00EE4FC3">
        <w:t xml:space="preserve"> </w:t>
      </w:r>
      <w:r w:rsidRPr="00382917">
        <w:t>verses</w:t>
      </w:r>
      <w:r w:rsidR="00EE4FC3">
        <w:t xml:space="preserve"> </w:t>
      </w:r>
      <w:r w:rsidRPr="00382917">
        <w:t>as</w:t>
      </w:r>
      <w:r w:rsidR="00EE4FC3">
        <w:t xml:space="preserve"> </w:t>
      </w:r>
      <w:r w:rsidRPr="00382917">
        <w:t>foreshadowing</w:t>
      </w:r>
      <w:r w:rsidR="00EE4FC3">
        <w:t xml:space="preserve"> </w:t>
      </w:r>
      <w:r w:rsidRPr="00382917">
        <w:t>the</w:t>
      </w:r>
      <w:r w:rsidR="00EE4FC3">
        <w:t xml:space="preserve"> </w:t>
      </w:r>
      <w:r w:rsidRPr="00382917">
        <w:t>advent</w:t>
      </w:r>
      <w:r w:rsidR="00EE4FC3">
        <w:t xml:space="preserve"> </w:t>
      </w:r>
      <w:r w:rsidRPr="00382917">
        <w:t>of</w:t>
      </w:r>
      <w:r w:rsidR="00EE4FC3">
        <w:t xml:space="preserve"> </w:t>
      </w:r>
      <w:r w:rsidRPr="00382917">
        <w:t>twin</w:t>
      </w:r>
      <w:r w:rsidR="00EE4FC3">
        <w:t xml:space="preserve"> </w:t>
      </w:r>
      <w:r w:rsidRPr="00382917">
        <w:t>Messengers</w:t>
      </w:r>
      <w:r w:rsidR="00EE4FC3">
        <w:t xml:space="preserve"> </w:t>
      </w:r>
      <w:r w:rsidRPr="00382917">
        <w:t>Who</w:t>
      </w:r>
      <w:r w:rsidR="00EE4FC3">
        <w:t xml:space="preserve"> </w:t>
      </w:r>
      <w:r w:rsidRPr="00382917">
        <w:t>are</w:t>
      </w:r>
      <w:r w:rsidR="00EE4FC3">
        <w:t xml:space="preserve"> </w:t>
      </w:r>
      <w:r w:rsidRPr="00382917">
        <w:t>to</w:t>
      </w:r>
      <w:r w:rsidR="00EE4FC3">
        <w:t xml:space="preserve"> </w:t>
      </w:r>
      <w:r w:rsidRPr="00382917">
        <w:t>follow</w:t>
      </w:r>
      <w:r w:rsidR="00EE4FC3">
        <w:t xml:space="preserve"> </w:t>
      </w:r>
      <w:r w:rsidRPr="00382917">
        <w:t>Each</w:t>
      </w:r>
      <w:r w:rsidR="00EE4FC3">
        <w:t xml:space="preserve"> </w:t>
      </w:r>
      <w:r w:rsidRPr="00382917">
        <w:t>Other</w:t>
      </w:r>
      <w:r w:rsidR="00EE4FC3">
        <w:t xml:space="preserve"> </w:t>
      </w:r>
      <w:r w:rsidRPr="00382917">
        <w:t>in</w:t>
      </w:r>
      <w:r w:rsidR="00EE4FC3">
        <w:t xml:space="preserve"> </w:t>
      </w:r>
      <w:r w:rsidRPr="00382917">
        <w:t>rapid</w:t>
      </w:r>
      <w:r w:rsidR="00EE4FC3">
        <w:t xml:space="preserve"> </w:t>
      </w:r>
      <w:r w:rsidRPr="00382917">
        <w:t>succession,</w:t>
      </w:r>
      <w:r w:rsidR="00EE4FC3">
        <w:t xml:space="preserve"> </w:t>
      </w:r>
      <w:r w:rsidRPr="00382917">
        <w:t>and</w:t>
      </w:r>
      <w:r w:rsidR="00EE4FC3">
        <w:t xml:space="preserve"> </w:t>
      </w:r>
      <w:r w:rsidRPr="00382917">
        <w:t>Each</w:t>
      </w:r>
      <w:r w:rsidR="00EE4FC3">
        <w:t xml:space="preserve"> </w:t>
      </w:r>
      <w:r w:rsidRPr="00382917">
        <w:t>of</w:t>
      </w:r>
      <w:r w:rsidR="00EE4FC3">
        <w:t xml:space="preserve"> </w:t>
      </w:r>
      <w:r w:rsidRPr="00382917">
        <w:t>Whom</w:t>
      </w:r>
      <w:r w:rsidR="00EE4FC3">
        <w:t xml:space="preserve"> </w:t>
      </w:r>
      <w:r w:rsidRPr="00382917">
        <w:t>is</w:t>
      </w:r>
      <w:r w:rsidR="00EE4FC3">
        <w:t xml:space="preserve"> </w:t>
      </w:r>
      <w:r w:rsidRPr="00382917">
        <w:t>destined</w:t>
      </w:r>
      <w:r w:rsidR="00EE4FC3">
        <w:t xml:space="preserve"> </w:t>
      </w:r>
      <w:r w:rsidRPr="00382917">
        <w:t>to</w:t>
      </w:r>
      <w:r w:rsidR="00EE4FC3">
        <w:t xml:space="preserve"> </w:t>
      </w:r>
      <w:r w:rsidRPr="00382917">
        <w:t>suffuse</w:t>
      </w:r>
      <w:r w:rsidR="00EE4FC3">
        <w:t xml:space="preserve"> </w:t>
      </w:r>
      <w:r w:rsidRPr="00382917">
        <w:t>the</w:t>
      </w:r>
      <w:r w:rsidR="00EE4FC3">
        <w:t xml:space="preserve"> </w:t>
      </w:r>
      <w:r w:rsidRPr="00382917">
        <w:t>world</w:t>
      </w:r>
      <w:r w:rsidR="00EE4FC3">
        <w:t xml:space="preserve"> </w:t>
      </w:r>
      <w:r w:rsidRPr="00382917">
        <w:t>with</w:t>
      </w:r>
      <w:r w:rsidR="00EE4FC3">
        <w:t xml:space="preserve"> </w:t>
      </w:r>
      <w:r w:rsidRPr="00382917">
        <w:t>glory</w:t>
      </w:r>
      <w:proofErr w:type="gramStart"/>
      <w:r w:rsidRPr="00382917">
        <w:t>!</w:t>
      </w:r>
      <w:r w:rsidR="00EE4FC3">
        <w:t xml:space="preserve"> </w:t>
      </w:r>
      <w:proofErr w:type="gramEnd"/>
      <w:r w:rsidRPr="00382917">
        <w:t>How</w:t>
      </w:r>
      <w:r w:rsidR="00EE4FC3">
        <w:t xml:space="preserve"> </w:t>
      </w:r>
      <w:r w:rsidRPr="00382917">
        <w:t>many</w:t>
      </w:r>
      <w:r w:rsidR="00EE4FC3">
        <w:t xml:space="preserve"> </w:t>
      </w:r>
      <w:r w:rsidRPr="00382917">
        <w:t>times</w:t>
      </w:r>
      <w:r w:rsidR="00EE4FC3">
        <w:t xml:space="preserve"> </w:t>
      </w:r>
      <w:r w:rsidRPr="00382917">
        <w:t>did</w:t>
      </w:r>
      <w:r w:rsidR="00EE4FC3">
        <w:t xml:space="preserve"> </w:t>
      </w:r>
      <w:r w:rsidRPr="00382917">
        <w:t>he</w:t>
      </w:r>
      <w:r w:rsidR="00EE4FC3">
        <w:t xml:space="preserve"> </w:t>
      </w:r>
      <w:r w:rsidRPr="00382917">
        <w:t>exclaim</w:t>
      </w:r>
      <w:r w:rsidR="00C03C91">
        <w:t>:</w:t>
      </w:r>
      <w:r w:rsidR="00EE4FC3">
        <w:t xml:space="preserve">  </w:t>
      </w:r>
      <w:r w:rsidR="009C713D" w:rsidRPr="00382917">
        <w:t>‘</w:t>
      </w:r>
      <w:r w:rsidRPr="00382917">
        <w:t>Well</w:t>
      </w:r>
      <w:r w:rsidR="00EE4FC3">
        <w:t xml:space="preserve"> </w:t>
      </w:r>
      <w:r w:rsidRPr="00382917">
        <w:t>is</w:t>
      </w:r>
      <w:r w:rsidR="00EE4FC3">
        <w:t xml:space="preserve"> </w:t>
      </w:r>
      <w:r w:rsidRPr="00382917">
        <w:t>it</w:t>
      </w:r>
      <w:r w:rsidR="00EE4FC3">
        <w:t xml:space="preserve"> </w:t>
      </w:r>
      <w:r w:rsidRPr="00382917">
        <w:t>with</w:t>
      </w:r>
      <w:r w:rsidR="00EE4FC3">
        <w:t xml:space="preserve"> </w:t>
      </w:r>
      <w:r w:rsidRPr="00382917">
        <w:t>him</w:t>
      </w:r>
      <w:r w:rsidR="00EE4FC3">
        <w:t xml:space="preserve"> </w:t>
      </w:r>
      <w:r w:rsidRPr="00382917">
        <w:t>who</w:t>
      </w:r>
      <w:r w:rsidR="00EE4FC3">
        <w:t xml:space="preserve"> </w:t>
      </w:r>
      <w:r w:rsidRPr="00382917">
        <w:t>will</w:t>
      </w:r>
      <w:r w:rsidR="00EE4FC3">
        <w:t xml:space="preserve"> </w:t>
      </w:r>
      <w:r w:rsidRPr="00382917">
        <w:t>recognize</w:t>
      </w:r>
      <w:r w:rsidR="00EE4FC3">
        <w:t xml:space="preserve"> </w:t>
      </w:r>
      <w:proofErr w:type="gramStart"/>
      <w:r w:rsidRPr="00382917">
        <w:t>Their</w:t>
      </w:r>
      <w:proofErr w:type="gramEnd"/>
      <w:r w:rsidR="00EE4FC3">
        <w:t xml:space="preserve"> </w:t>
      </w:r>
      <w:r w:rsidRPr="00382917">
        <w:t>significance</w:t>
      </w:r>
      <w:r w:rsidR="00EE4FC3">
        <w:t xml:space="preserve"> </w:t>
      </w:r>
      <w:r w:rsidRPr="00382917">
        <w:t>and</w:t>
      </w:r>
      <w:r w:rsidR="00EE4FC3">
        <w:t xml:space="preserve"> </w:t>
      </w:r>
      <w:r w:rsidRPr="00382917">
        <w:t>behold</w:t>
      </w:r>
      <w:r w:rsidR="00EE4FC3">
        <w:t xml:space="preserve"> </w:t>
      </w:r>
      <w:r w:rsidRPr="00382917">
        <w:t>Their</w:t>
      </w:r>
      <w:r w:rsidR="00EE4FC3">
        <w:t xml:space="preserve"> </w:t>
      </w:r>
      <w:proofErr w:type="spellStart"/>
      <w:r w:rsidRPr="00382917">
        <w:t>splendor</w:t>
      </w:r>
      <w:proofErr w:type="spellEnd"/>
      <w:r w:rsidRPr="00382917">
        <w:t>!</w:t>
      </w:r>
      <w:r w:rsidR="009C713D" w:rsidRPr="00382917">
        <w:t>’</w:t>
      </w:r>
    </w:p>
    <w:p w:rsidR="00610ADA" w:rsidRPr="00382917" w:rsidRDefault="009C713D" w:rsidP="00BB693B">
      <w:pPr>
        <w:pStyle w:val="Text"/>
      </w:pPr>
      <w:r w:rsidRPr="00382917">
        <w:t>“</w:t>
      </w:r>
      <w:r w:rsidR="00610ADA" w:rsidRPr="00382917">
        <w:t>How</w:t>
      </w:r>
      <w:r w:rsidR="00EE4FC3">
        <w:t xml:space="preserve"> </w:t>
      </w:r>
      <w:r w:rsidR="00610ADA" w:rsidRPr="00382917">
        <w:t>often,</w:t>
      </w:r>
      <w:r w:rsidR="00EE4FC3">
        <w:t xml:space="preserve"> </w:t>
      </w:r>
      <w:r w:rsidR="00610ADA" w:rsidRPr="00382917">
        <w:t>addressing</w:t>
      </w:r>
      <w:r w:rsidR="00EE4FC3">
        <w:t xml:space="preserve"> </w:t>
      </w:r>
      <w:r w:rsidR="00610ADA" w:rsidRPr="00382917">
        <w:t>me,</w:t>
      </w:r>
      <w:r w:rsidRPr="00382917">
        <w:t>”</w:t>
      </w:r>
      <w:r w:rsidR="00EE4FC3">
        <w:t xml:space="preserve"> </w:t>
      </w:r>
      <w:r w:rsidR="00610ADA" w:rsidRPr="00382917">
        <w:t>Siyyid</w:t>
      </w:r>
      <w:r w:rsidR="00EE4FC3">
        <w:t xml:space="preserve"> </w:t>
      </w:r>
      <w:r w:rsidR="00610ADA" w:rsidRPr="00382917">
        <w:t>Káẓim</w:t>
      </w:r>
      <w:r w:rsidR="00EE4FC3">
        <w:t xml:space="preserve"> </w:t>
      </w:r>
      <w:r w:rsidR="00610ADA" w:rsidRPr="00382917">
        <w:t>concluded,</w:t>
      </w:r>
      <w:r w:rsidR="00EE4FC3">
        <w:t xml:space="preserve"> </w:t>
      </w:r>
      <w:r w:rsidRPr="00382917">
        <w:t>“</w:t>
      </w:r>
      <w:r w:rsidR="00610ADA" w:rsidRPr="00382917">
        <w:t>did</w:t>
      </w:r>
      <w:r w:rsidR="00EE4FC3">
        <w:t xml:space="preserve"> </w:t>
      </w:r>
      <w:r w:rsidR="00610ADA" w:rsidRPr="00382917">
        <w:t>he</w:t>
      </w:r>
      <w:r w:rsidR="00EE4FC3">
        <w:t xml:space="preserve"> </w:t>
      </w:r>
      <w:r w:rsidR="00610ADA" w:rsidRPr="00382917">
        <w:t>remark</w:t>
      </w:r>
      <w:r w:rsidR="00C03C91">
        <w:t>:</w:t>
      </w:r>
      <w:r w:rsidR="00EE4FC3">
        <w:t xml:space="preserve">  </w:t>
      </w:r>
      <w:r w:rsidRPr="00382917">
        <w:t>‘</w:t>
      </w:r>
      <w:r w:rsidR="00610ADA" w:rsidRPr="00382917">
        <w:t>Neither</w:t>
      </w:r>
      <w:r w:rsidR="00EE4FC3">
        <w:t xml:space="preserve"> </w:t>
      </w:r>
      <w:r w:rsidR="00610ADA" w:rsidRPr="00382917">
        <w:t>of</w:t>
      </w:r>
      <w:r w:rsidR="00EE4FC3">
        <w:t xml:space="preserve"> </w:t>
      </w:r>
      <w:r w:rsidR="00610ADA" w:rsidRPr="00382917">
        <w:t>us</w:t>
      </w:r>
      <w:r w:rsidR="00EE4FC3">
        <w:t xml:space="preserve"> </w:t>
      </w:r>
      <w:r w:rsidR="00610ADA" w:rsidRPr="00382917">
        <w:t>shall</w:t>
      </w:r>
      <w:r w:rsidR="00EE4FC3">
        <w:t xml:space="preserve"> </w:t>
      </w:r>
      <w:r w:rsidR="00610ADA" w:rsidRPr="00382917">
        <w:t>live</w:t>
      </w:r>
      <w:r w:rsidR="00EE4FC3">
        <w:t xml:space="preserve"> </w:t>
      </w:r>
      <w:r w:rsidR="00610ADA" w:rsidRPr="00382917">
        <w:t>to</w:t>
      </w:r>
      <w:r w:rsidR="00EE4FC3">
        <w:t xml:space="preserve"> </w:t>
      </w:r>
      <w:r w:rsidR="00610ADA" w:rsidRPr="00382917">
        <w:t>gaze</w:t>
      </w:r>
      <w:r w:rsidR="00EE4FC3">
        <w:t xml:space="preserve"> </w:t>
      </w:r>
      <w:r w:rsidR="00610ADA" w:rsidRPr="00382917">
        <w:t>upon</w:t>
      </w:r>
      <w:r w:rsidR="00EE4FC3">
        <w:t xml:space="preserve"> </w:t>
      </w:r>
      <w:proofErr w:type="gramStart"/>
      <w:r w:rsidR="00610ADA" w:rsidRPr="00382917">
        <w:t>Their</w:t>
      </w:r>
      <w:proofErr w:type="gramEnd"/>
      <w:r w:rsidR="00EE4FC3">
        <w:t xml:space="preserve"> </w:t>
      </w:r>
      <w:r w:rsidR="00610ADA" w:rsidRPr="00382917">
        <w:t>glory</w:t>
      </w:r>
      <w:r w:rsidR="00330AF7">
        <w:t>.</w:t>
      </w:r>
      <w:r w:rsidR="00EE4FC3">
        <w:t xml:space="preserve">  </w:t>
      </w:r>
      <w:r w:rsidR="00610ADA" w:rsidRPr="00382917">
        <w:t>But</w:t>
      </w:r>
      <w:r w:rsidR="00EE4FC3">
        <w:t xml:space="preserve"> </w:t>
      </w:r>
      <w:r w:rsidR="00610ADA" w:rsidRPr="00382917">
        <w:t>many</w:t>
      </w:r>
      <w:r w:rsidR="00EE4FC3">
        <w:t xml:space="preserve"> </w:t>
      </w:r>
      <w:r w:rsidR="00610ADA" w:rsidRPr="00382917">
        <w:t>of</w:t>
      </w:r>
      <w:r w:rsidR="00EE4FC3">
        <w:t xml:space="preserve"> </w:t>
      </w:r>
      <w:r w:rsidR="00610ADA" w:rsidRPr="00382917">
        <w:t>the</w:t>
      </w:r>
      <w:r w:rsidR="00EE4FC3">
        <w:t xml:space="preserve"> </w:t>
      </w:r>
      <w:r w:rsidR="00610ADA" w:rsidRPr="00382917">
        <w:t>faithful</w:t>
      </w:r>
      <w:r w:rsidR="00EE4FC3">
        <w:t xml:space="preserve"> </w:t>
      </w:r>
      <w:r w:rsidR="00610ADA" w:rsidRPr="00382917">
        <w:t>among</w:t>
      </w:r>
      <w:r w:rsidR="00EE4FC3">
        <w:t xml:space="preserve"> </w:t>
      </w:r>
      <w:r w:rsidR="00610ADA" w:rsidRPr="00382917">
        <w:t>your</w:t>
      </w:r>
      <w:r w:rsidR="00EE4FC3">
        <w:t xml:space="preserve"> </w:t>
      </w:r>
      <w:r w:rsidR="00610ADA" w:rsidRPr="00382917">
        <w:t>disciples</w:t>
      </w:r>
      <w:r w:rsidR="00EE4FC3">
        <w:t xml:space="preserve"> </w:t>
      </w:r>
      <w:r w:rsidR="00610ADA" w:rsidRPr="00382917">
        <w:t>shall</w:t>
      </w:r>
      <w:r w:rsidR="00EE4FC3">
        <w:t xml:space="preserve"> </w:t>
      </w:r>
      <w:r w:rsidR="00610ADA" w:rsidRPr="00382917">
        <w:t>witness</w:t>
      </w:r>
      <w:r w:rsidR="00EE4FC3">
        <w:t xml:space="preserve"> </w:t>
      </w:r>
      <w:r w:rsidR="00610ADA" w:rsidRPr="00382917">
        <w:t>the</w:t>
      </w:r>
      <w:r w:rsidR="00EE4FC3">
        <w:t xml:space="preserve"> </w:t>
      </w:r>
      <w:r w:rsidR="00610ADA" w:rsidRPr="00382917">
        <w:t>Day</w:t>
      </w:r>
      <w:r w:rsidR="00EE4FC3">
        <w:t xml:space="preserve"> </w:t>
      </w:r>
      <w:r w:rsidR="00610ADA" w:rsidRPr="00382917">
        <w:t>which</w:t>
      </w:r>
      <w:r w:rsidR="00EE4FC3">
        <w:t xml:space="preserve"> </w:t>
      </w:r>
      <w:r w:rsidR="00610ADA" w:rsidRPr="00382917">
        <w:t>we,</w:t>
      </w:r>
      <w:r w:rsidR="00EE4FC3">
        <w:t xml:space="preserve"> </w:t>
      </w:r>
      <w:r w:rsidR="00610ADA" w:rsidRPr="00382917">
        <w:t>alas,</w:t>
      </w:r>
      <w:r w:rsidR="00EE4FC3">
        <w:t xml:space="preserve"> </w:t>
      </w:r>
      <w:r w:rsidR="00610ADA" w:rsidRPr="00382917">
        <w:t>can</w:t>
      </w:r>
      <w:r w:rsidR="00EE4FC3">
        <w:t xml:space="preserve"> </w:t>
      </w:r>
      <w:r w:rsidR="00610ADA" w:rsidRPr="00382917">
        <w:t>never</w:t>
      </w:r>
      <w:r w:rsidR="00EE4FC3">
        <w:t xml:space="preserve"> </w:t>
      </w:r>
      <w:r w:rsidR="00610ADA" w:rsidRPr="00382917">
        <w:t>hope</w:t>
      </w:r>
      <w:r w:rsidR="00EE4FC3">
        <w:t xml:space="preserve"> </w:t>
      </w:r>
      <w:r w:rsidR="00610ADA" w:rsidRPr="00382917">
        <w:t>to</w:t>
      </w:r>
      <w:r w:rsidR="00EE4FC3">
        <w:t xml:space="preserve"> </w:t>
      </w:r>
      <w:r w:rsidR="00610ADA" w:rsidRPr="00382917">
        <w:t>behold.</w:t>
      </w:r>
      <w:r w:rsidRPr="00382917">
        <w:t>”</w:t>
      </w:r>
      <w:r w:rsidR="00BB693B">
        <w:rPr>
          <w:rStyle w:val="FootnoteReference"/>
        </w:rPr>
        <w:footnoteReference w:id="197"/>
      </w:r>
    </w:p>
    <w:p w:rsidR="00610ADA" w:rsidRPr="00382917" w:rsidRDefault="00610ADA" w:rsidP="00900F24">
      <w:pPr>
        <w:pStyle w:val="Text"/>
      </w:pPr>
      <w:r w:rsidRPr="00382917">
        <w:t>When</w:t>
      </w:r>
      <w:r w:rsidR="00EE4FC3">
        <w:t xml:space="preserve"> </w:t>
      </w:r>
      <w:r w:rsidRPr="00382917">
        <w:t>the</w:t>
      </w:r>
      <w:r w:rsidR="00EE4FC3">
        <w:t xml:space="preserve"> </w:t>
      </w:r>
      <w:r w:rsidRPr="00382917">
        <w:t>Báb</w:t>
      </w:r>
      <w:r w:rsidR="00EE4FC3">
        <w:t xml:space="preserve"> </w:t>
      </w:r>
      <w:r w:rsidRPr="00382917">
        <w:t>was</w:t>
      </w:r>
      <w:r w:rsidR="00EE4FC3">
        <w:t xml:space="preserve"> </w:t>
      </w:r>
      <w:r w:rsidRPr="00382917">
        <w:t>on</w:t>
      </w:r>
      <w:r w:rsidR="00EE4FC3">
        <w:t xml:space="preserve"> </w:t>
      </w:r>
      <w:r w:rsidRPr="00382917">
        <w:t>His</w:t>
      </w:r>
      <w:r w:rsidR="00EE4FC3">
        <w:t xml:space="preserve"> </w:t>
      </w:r>
      <w:r w:rsidRPr="00382917">
        <w:t>way</w:t>
      </w:r>
      <w:r w:rsidR="00EE4FC3">
        <w:t xml:space="preserve"> </w:t>
      </w:r>
      <w:r w:rsidRPr="00382917">
        <w:t>to</w:t>
      </w:r>
      <w:r w:rsidR="00EE4FC3">
        <w:t xml:space="preserve"> </w:t>
      </w:r>
      <w:r w:rsidRPr="00382917">
        <w:t>Ṭihrán</w:t>
      </w:r>
      <w:r w:rsidR="00EE4FC3">
        <w:t xml:space="preserve"> </w:t>
      </w:r>
      <w:r w:rsidRPr="00382917">
        <w:t>to</w:t>
      </w:r>
      <w:r w:rsidR="00EE4FC3">
        <w:t xml:space="preserve"> </w:t>
      </w:r>
      <w:r w:rsidRPr="00382917">
        <w:t>meet</w:t>
      </w:r>
      <w:r w:rsidR="00EE4FC3">
        <w:t xml:space="preserve"> </w:t>
      </w:r>
      <w:r w:rsidRPr="00382917">
        <w:t>the</w:t>
      </w:r>
      <w:r w:rsidR="00EE4FC3">
        <w:t xml:space="preserve"> </w:t>
      </w:r>
      <w:r w:rsidR="004F6339" w:rsidRPr="004F6339">
        <w:rPr>
          <w:u w:val="single"/>
        </w:rPr>
        <w:t>Sh</w:t>
      </w:r>
      <w:r w:rsidR="004F6339" w:rsidRPr="00382917">
        <w:t>áh</w:t>
      </w:r>
      <w:r w:rsidRPr="00382917">
        <w:t>,</w:t>
      </w:r>
      <w:r w:rsidR="00EE4FC3">
        <w:t xml:space="preserve"> </w:t>
      </w:r>
      <w:r w:rsidRPr="00382917">
        <w:t>the</w:t>
      </w:r>
      <w:r w:rsidR="00EE4FC3">
        <w:t xml:space="preserve"> </w:t>
      </w:r>
      <w:r w:rsidRPr="00382917">
        <w:t>Prime</w:t>
      </w:r>
      <w:r w:rsidR="00EE4FC3">
        <w:t xml:space="preserve"> </w:t>
      </w:r>
      <w:r w:rsidRPr="00382917">
        <w:t>Minister</w:t>
      </w:r>
      <w:r w:rsidR="00EE4FC3">
        <w:t xml:space="preserve"> </w:t>
      </w:r>
      <w:r w:rsidRPr="00382917">
        <w:t>gave</w:t>
      </w:r>
      <w:r w:rsidR="00EE4FC3">
        <w:t xml:space="preserve"> </w:t>
      </w:r>
      <w:r w:rsidRPr="00382917">
        <w:t>word</w:t>
      </w:r>
      <w:r w:rsidR="00EE4FC3">
        <w:t xml:space="preserve"> </w:t>
      </w:r>
      <w:r w:rsidRPr="00382917">
        <w:t>that</w:t>
      </w:r>
      <w:r w:rsidR="00EE4FC3">
        <w:t xml:space="preserve"> </w:t>
      </w:r>
      <w:r w:rsidRPr="00382917">
        <w:t>He</w:t>
      </w:r>
      <w:r w:rsidR="00EE4FC3">
        <w:t xml:space="preserve"> </w:t>
      </w:r>
      <w:r w:rsidRPr="00382917">
        <w:t>was</w:t>
      </w:r>
      <w:r w:rsidR="00EE4FC3">
        <w:t xml:space="preserve"> </w:t>
      </w:r>
      <w:r w:rsidRPr="00382917">
        <w:t>to</w:t>
      </w:r>
      <w:r w:rsidR="00EE4FC3">
        <w:t xml:space="preserve"> </w:t>
      </w:r>
      <w:r w:rsidRPr="00382917">
        <w:t>be</w:t>
      </w:r>
      <w:r w:rsidR="00EE4FC3">
        <w:t xml:space="preserve"> </w:t>
      </w:r>
      <w:r w:rsidRPr="00382917">
        <w:t>turned</w:t>
      </w:r>
      <w:r w:rsidR="00EE4FC3">
        <w:t xml:space="preserve"> </w:t>
      </w:r>
      <w:r w:rsidRPr="00382917">
        <w:t>back</w:t>
      </w:r>
      <w:r w:rsidR="00EE4FC3">
        <w:t xml:space="preserve"> </w:t>
      </w:r>
      <w:r w:rsidRPr="00382917">
        <w:t>and</w:t>
      </w:r>
      <w:r w:rsidR="00EE4FC3">
        <w:t xml:space="preserve"> </w:t>
      </w:r>
      <w:r w:rsidRPr="00382917">
        <w:t>sent</w:t>
      </w:r>
      <w:r w:rsidR="00EE4FC3">
        <w:t xml:space="preserve"> </w:t>
      </w:r>
      <w:r w:rsidRPr="00382917">
        <w:t>to</w:t>
      </w:r>
      <w:r w:rsidR="00EE4FC3">
        <w:t xml:space="preserve"> </w:t>
      </w:r>
      <w:r w:rsidRPr="00382917">
        <w:t>imprisonment</w:t>
      </w:r>
      <w:r w:rsidR="00EE4FC3">
        <w:t xml:space="preserve"> </w:t>
      </w:r>
      <w:r w:rsidRPr="00382917">
        <w:t>in</w:t>
      </w:r>
      <w:r w:rsidR="00EE4FC3">
        <w:t xml:space="preserve"> </w:t>
      </w:r>
      <w:r w:rsidRPr="00382917">
        <w:t>Máh-Kú</w:t>
      </w:r>
      <w:r w:rsidR="00330AF7">
        <w:t>.</w:t>
      </w:r>
      <w:r w:rsidR="00EE4FC3">
        <w:t xml:space="preserve">  </w:t>
      </w:r>
      <w:r w:rsidRPr="00382917">
        <w:t>Thus,</w:t>
      </w:r>
      <w:r w:rsidR="00EE4FC3">
        <w:t xml:space="preserve"> </w:t>
      </w:r>
      <w:r w:rsidRPr="00382917">
        <w:t>within</w:t>
      </w:r>
      <w:r w:rsidR="00EE4FC3">
        <w:t xml:space="preserve"> </w:t>
      </w:r>
      <w:r w:rsidRPr="00382917">
        <w:t>sight</w:t>
      </w:r>
      <w:r w:rsidR="00EE4FC3">
        <w:t xml:space="preserve"> </w:t>
      </w:r>
      <w:r w:rsidRPr="00382917">
        <w:t>of</w:t>
      </w:r>
      <w:r w:rsidR="00EE4FC3">
        <w:t xml:space="preserve"> </w:t>
      </w:r>
      <w:r w:rsidRPr="00382917">
        <w:t>a</w:t>
      </w:r>
      <w:r w:rsidR="00EE4FC3">
        <w:t xml:space="preserve"> </w:t>
      </w:r>
      <w:r w:rsidRPr="00382917">
        <w:t>great</w:t>
      </w:r>
      <w:r w:rsidR="00EE4FC3">
        <w:t xml:space="preserve"> </w:t>
      </w:r>
      <w:r w:rsidRPr="00382917">
        <w:t>victory,</w:t>
      </w:r>
      <w:r w:rsidR="00EE4FC3">
        <w:t xml:space="preserve"> </w:t>
      </w:r>
      <w:r w:rsidRPr="00382917">
        <w:t>within</w:t>
      </w:r>
      <w:r w:rsidR="00EE4FC3">
        <w:t xml:space="preserve"> </w:t>
      </w:r>
      <w:r w:rsidRPr="00382917">
        <w:t>thirty</w:t>
      </w:r>
      <w:r w:rsidR="00EE4FC3">
        <w:t xml:space="preserve"> </w:t>
      </w:r>
      <w:r w:rsidRPr="00382917">
        <w:t>miles</w:t>
      </w:r>
      <w:r w:rsidR="00EE4FC3">
        <w:t xml:space="preserve"> </w:t>
      </w:r>
      <w:r w:rsidRPr="00382917">
        <w:t>of</w:t>
      </w:r>
      <w:r w:rsidR="00EE4FC3">
        <w:t xml:space="preserve"> </w:t>
      </w:r>
      <w:r w:rsidRPr="00382917">
        <w:t>the</w:t>
      </w:r>
      <w:r w:rsidR="00EE4FC3">
        <w:t xml:space="preserve"> </w:t>
      </w:r>
      <w:r w:rsidRPr="00382917">
        <w:t>capital,</w:t>
      </w:r>
      <w:r w:rsidR="00EE4FC3">
        <w:t xml:space="preserve"> </w:t>
      </w:r>
      <w:r w:rsidRPr="00382917">
        <w:t>the</w:t>
      </w:r>
      <w:r w:rsidR="00EE4FC3">
        <w:t xml:space="preserve"> </w:t>
      </w:r>
      <w:r w:rsidRPr="00382917">
        <w:t>Báb</w:t>
      </w:r>
      <w:r w:rsidR="00EE4FC3">
        <w:t xml:space="preserve"> </w:t>
      </w:r>
      <w:r w:rsidRPr="00382917">
        <w:t>was</w:t>
      </w:r>
      <w:r w:rsidR="00EE4FC3">
        <w:t xml:space="preserve"> </w:t>
      </w:r>
      <w:r w:rsidRPr="00382917">
        <w:t>denied</w:t>
      </w:r>
      <w:r w:rsidR="00EE4FC3">
        <w:t xml:space="preserve"> </w:t>
      </w:r>
      <w:r w:rsidRPr="00382917">
        <w:t>the</w:t>
      </w:r>
      <w:r w:rsidR="00EE4FC3">
        <w:t xml:space="preserve"> </w:t>
      </w:r>
      <w:r w:rsidRPr="00382917">
        <w:t>opportunity</w:t>
      </w:r>
      <w:r w:rsidR="00EE4FC3">
        <w:t xml:space="preserve"> </w:t>
      </w:r>
      <w:r w:rsidRPr="00382917">
        <w:t>of</w:t>
      </w:r>
      <w:r w:rsidR="00EE4FC3">
        <w:t xml:space="preserve"> </w:t>
      </w:r>
      <w:r w:rsidRPr="00382917">
        <w:t>meeting</w:t>
      </w:r>
      <w:r w:rsidR="00EE4FC3">
        <w:t xml:space="preserve"> </w:t>
      </w:r>
      <w:r w:rsidRPr="00382917">
        <w:t>the</w:t>
      </w:r>
      <w:r w:rsidR="00EE4FC3">
        <w:t xml:space="preserve"> </w:t>
      </w:r>
      <w:r w:rsidRPr="00382917">
        <w:t>king</w:t>
      </w:r>
      <w:r w:rsidR="00330AF7">
        <w:t>.</w:t>
      </w:r>
      <w:r w:rsidR="00EE4FC3">
        <w:t xml:space="preserve">  </w:t>
      </w:r>
      <w:r w:rsidRPr="00382917">
        <w:t>In</w:t>
      </w:r>
      <w:r w:rsidR="00EE4FC3">
        <w:t xml:space="preserve"> </w:t>
      </w:r>
      <w:r w:rsidRPr="00382917">
        <w:t>that</w:t>
      </w:r>
      <w:r w:rsidR="00EE4FC3">
        <w:t xml:space="preserve"> </w:t>
      </w:r>
      <w:r w:rsidRPr="00382917">
        <w:t>hour</w:t>
      </w:r>
      <w:r w:rsidR="00EE4FC3">
        <w:t xml:space="preserve"> </w:t>
      </w:r>
      <w:r w:rsidRPr="00382917">
        <w:t>of</w:t>
      </w:r>
      <w:r w:rsidR="00EE4FC3">
        <w:t xml:space="preserve"> </w:t>
      </w:r>
      <w:r w:rsidRPr="00382917">
        <w:t>keen</w:t>
      </w:r>
      <w:r w:rsidR="00EE4FC3">
        <w:t xml:space="preserve"> </w:t>
      </w:r>
      <w:r w:rsidRPr="00382917">
        <w:t>disappointment,</w:t>
      </w:r>
      <w:r w:rsidR="00EE4FC3">
        <w:t xml:space="preserve"> </w:t>
      </w:r>
      <w:r w:rsidRPr="00382917">
        <w:t>a</w:t>
      </w:r>
      <w:r w:rsidR="00EE4FC3">
        <w:t xml:space="preserve"> </w:t>
      </w:r>
      <w:r w:rsidRPr="00382917">
        <w:t>letter</w:t>
      </w:r>
      <w:r w:rsidR="00EE4FC3">
        <w:t xml:space="preserve"> </w:t>
      </w:r>
      <w:r w:rsidRPr="00382917">
        <w:t>was</w:t>
      </w:r>
      <w:r w:rsidR="00EE4FC3">
        <w:t xml:space="preserve"> </w:t>
      </w:r>
      <w:r w:rsidRPr="00382917">
        <w:t>delivered</w:t>
      </w:r>
      <w:r w:rsidR="00EE4FC3">
        <w:t xml:space="preserve"> </w:t>
      </w:r>
      <w:r w:rsidRPr="00382917">
        <w:t>to</w:t>
      </w:r>
      <w:r w:rsidR="00EE4FC3">
        <w:t xml:space="preserve"> </w:t>
      </w:r>
      <w:r w:rsidRPr="00382917">
        <w:t>the</w:t>
      </w:r>
      <w:r w:rsidR="00EE4FC3">
        <w:t xml:space="preserve"> </w:t>
      </w:r>
      <w:r w:rsidRPr="00382917">
        <w:t>Báb</w:t>
      </w:r>
      <w:r w:rsidR="00EE4FC3">
        <w:t xml:space="preserve"> </w:t>
      </w:r>
      <w:r w:rsidRPr="00382917">
        <w:t>at</w:t>
      </w:r>
      <w:r w:rsidR="00EE4FC3">
        <w:t xml:space="preserve"> </w:t>
      </w:r>
      <w:r w:rsidRPr="00382917">
        <w:t>the</w:t>
      </w:r>
      <w:r w:rsidR="00EE4FC3">
        <w:t xml:space="preserve"> </w:t>
      </w:r>
      <w:r w:rsidRPr="00382917">
        <w:t>village</w:t>
      </w:r>
      <w:r w:rsidR="00EE4FC3">
        <w:t xml:space="preserve"> </w:t>
      </w:r>
      <w:r w:rsidRPr="00382917">
        <w:t>of</w:t>
      </w:r>
      <w:r w:rsidR="00EE4FC3">
        <w:t xml:space="preserve"> </w:t>
      </w:r>
      <w:proofErr w:type="spellStart"/>
      <w:r w:rsidRPr="00382917">
        <w:t>Kulayn</w:t>
      </w:r>
      <w:proofErr w:type="spellEnd"/>
      <w:r w:rsidR="00330AF7">
        <w:t>.</w:t>
      </w:r>
      <w:r w:rsidR="00EE4FC3">
        <w:t xml:space="preserve">  </w:t>
      </w:r>
      <w:r w:rsidRPr="00382917">
        <w:t>The</w:t>
      </w:r>
      <w:r w:rsidR="00EE4FC3">
        <w:t xml:space="preserve"> </w:t>
      </w:r>
      <w:r w:rsidRPr="00382917">
        <w:t>letter</w:t>
      </w:r>
      <w:r w:rsidR="00EE4FC3">
        <w:t xml:space="preserve"> </w:t>
      </w:r>
      <w:r w:rsidRPr="00382917">
        <w:t>came</w:t>
      </w:r>
      <w:r w:rsidR="00EE4FC3">
        <w:t xml:space="preserve"> </w:t>
      </w:r>
      <w:r w:rsidRPr="00382917">
        <w:t>from</w:t>
      </w:r>
      <w:r w:rsidR="00EE4FC3">
        <w:t xml:space="preserve"> </w:t>
      </w:r>
      <w:r w:rsidRPr="00382917">
        <w:t>Bahá</w:t>
      </w:r>
      <w:r w:rsidR="009C713D" w:rsidRPr="00382917">
        <w:t>’</w:t>
      </w:r>
      <w:r w:rsidRPr="00382917">
        <w:t>u</w:t>
      </w:r>
      <w:r w:rsidR="009C713D" w:rsidRPr="00382917">
        <w:t>’</w:t>
      </w:r>
      <w:r w:rsidRPr="00382917">
        <w:t>lláh.</w:t>
      </w:r>
    </w:p>
    <w:p w:rsidR="00610ADA" w:rsidRPr="00382917" w:rsidRDefault="00610ADA" w:rsidP="00900F24">
      <w:pPr>
        <w:pStyle w:val="Text"/>
      </w:pPr>
      <w:r w:rsidRPr="00382917">
        <w:t>Nabíl,</w:t>
      </w:r>
      <w:r w:rsidR="00EE4FC3">
        <w:t xml:space="preserve"> </w:t>
      </w:r>
      <w:r w:rsidRPr="00382917">
        <w:t>the</w:t>
      </w:r>
      <w:r w:rsidR="00EE4FC3">
        <w:t xml:space="preserve"> </w:t>
      </w:r>
      <w:r w:rsidRPr="00382917">
        <w:t>historian,</w:t>
      </w:r>
      <w:r w:rsidR="00EE4FC3">
        <w:t xml:space="preserve"> </w:t>
      </w:r>
      <w:r w:rsidRPr="00382917">
        <w:t>records</w:t>
      </w:r>
      <w:r w:rsidR="00EE4FC3">
        <w:t xml:space="preserve"> </w:t>
      </w:r>
      <w:r w:rsidRPr="00382917">
        <w:t>that</w:t>
      </w:r>
      <w:r w:rsidR="00EE4FC3">
        <w:t xml:space="preserve"> </w:t>
      </w:r>
      <w:r w:rsidRPr="00382917">
        <w:t>episode</w:t>
      </w:r>
      <w:r w:rsidR="00EE4FC3">
        <w:t xml:space="preserve"> </w:t>
      </w:r>
      <w:r w:rsidRPr="00382917">
        <w:t>as</w:t>
      </w:r>
      <w:r w:rsidR="00EE4FC3">
        <w:t xml:space="preserve"> </w:t>
      </w:r>
      <w:r w:rsidRPr="00382917">
        <w:t>follows</w:t>
      </w:r>
      <w:r w:rsidR="00C03C91">
        <w:t>:</w:t>
      </w:r>
      <w:r w:rsidR="00EE4FC3">
        <w:t xml:space="preserve">  </w:t>
      </w:r>
      <w:r w:rsidRPr="00382917">
        <w:t>Mullá</w:t>
      </w:r>
      <w:r w:rsidR="00EE4FC3">
        <w:t xml:space="preserve"> </w:t>
      </w:r>
      <w:r w:rsidRPr="00382917">
        <w:t>Muḥammad</w:t>
      </w:r>
      <w:r w:rsidR="00EE4FC3">
        <w:t xml:space="preserve"> </w:t>
      </w:r>
      <w:r w:rsidRPr="00382917">
        <w:t>had</w:t>
      </w:r>
      <w:r w:rsidR="00EE4FC3">
        <w:t xml:space="preserve"> </w:t>
      </w:r>
      <w:r w:rsidRPr="00382917">
        <w:t>been</w:t>
      </w:r>
      <w:r w:rsidR="00EE4FC3">
        <w:t xml:space="preserve"> </w:t>
      </w:r>
      <w:r w:rsidRPr="00382917">
        <w:t>commissioned</w:t>
      </w:r>
      <w:r w:rsidR="00EE4FC3">
        <w:t xml:space="preserve"> </w:t>
      </w:r>
      <w:r w:rsidRPr="00382917">
        <w:t>by</w:t>
      </w:r>
      <w:r w:rsidR="00EE4FC3">
        <w:t xml:space="preserve"> </w:t>
      </w:r>
      <w:r w:rsidRPr="00382917">
        <w:t>Bahá</w:t>
      </w:r>
      <w:r w:rsidR="009C713D" w:rsidRPr="00382917">
        <w:t>’</w:t>
      </w:r>
      <w:r w:rsidRPr="00382917">
        <w:t>u</w:t>
      </w:r>
      <w:r w:rsidR="009C713D" w:rsidRPr="00382917">
        <w:t>’</w:t>
      </w:r>
      <w:r w:rsidRPr="00382917">
        <w:t>lláh</w:t>
      </w:r>
      <w:r w:rsidR="00EE4FC3">
        <w:t xml:space="preserve"> </w:t>
      </w:r>
      <w:r w:rsidRPr="00382917">
        <w:t>to</w:t>
      </w:r>
      <w:r w:rsidR="00EE4FC3">
        <w:t xml:space="preserve"> </w:t>
      </w:r>
      <w:r w:rsidRPr="00382917">
        <w:t>present</w:t>
      </w:r>
      <w:r w:rsidR="00EE4FC3">
        <w:t xml:space="preserve"> </w:t>
      </w:r>
      <w:r w:rsidRPr="00382917">
        <w:t>to</w:t>
      </w:r>
      <w:r w:rsidR="00EE4FC3">
        <w:t xml:space="preserve"> </w:t>
      </w:r>
      <w:r w:rsidRPr="00382917">
        <w:t>the</w:t>
      </w:r>
      <w:r w:rsidR="00EE4FC3">
        <w:t xml:space="preserve"> </w:t>
      </w:r>
      <w:r w:rsidRPr="00382917">
        <w:t>Báb</w:t>
      </w:r>
      <w:r w:rsidR="00EE4FC3">
        <w:t xml:space="preserve"> </w:t>
      </w:r>
      <w:r w:rsidRPr="00382917">
        <w:t>a</w:t>
      </w:r>
      <w:r w:rsidR="00EE4FC3">
        <w:t xml:space="preserve"> </w:t>
      </w:r>
      <w:r w:rsidRPr="00382917">
        <w:t>sealed</w:t>
      </w:r>
      <w:r w:rsidR="00EE4FC3">
        <w:t xml:space="preserve"> </w:t>
      </w:r>
      <w:r w:rsidRPr="00382917">
        <w:t>letter</w:t>
      </w:r>
      <w:r w:rsidR="00EE4FC3">
        <w:t xml:space="preserve"> </w:t>
      </w:r>
      <w:r w:rsidRPr="00382917">
        <w:t>together</w:t>
      </w:r>
      <w:r w:rsidR="00EE4FC3">
        <w:t xml:space="preserve"> </w:t>
      </w:r>
      <w:r w:rsidRPr="00382917">
        <w:t>with</w:t>
      </w:r>
      <w:r w:rsidR="00EE4FC3">
        <w:t xml:space="preserve"> </w:t>
      </w:r>
      <w:r w:rsidRPr="00382917">
        <w:t>certain</w:t>
      </w:r>
      <w:r w:rsidR="00EE4FC3">
        <w:t xml:space="preserve"> </w:t>
      </w:r>
      <w:r w:rsidRPr="00382917">
        <w:t>gifts,</w:t>
      </w:r>
      <w:r w:rsidR="00EE4FC3">
        <w:t xml:space="preserve"> </w:t>
      </w:r>
      <w:r w:rsidRPr="00382917">
        <w:t>which</w:t>
      </w:r>
      <w:r w:rsidR="00EE4FC3">
        <w:t xml:space="preserve"> </w:t>
      </w:r>
      <w:r w:rsidRPr="00382917">
        <w:t>as</w:t>
      </w:r>
      <w:r w:rsidR="00EE4FC3">
        <w:t xml:space="preserve"> </w:t>
      </w:r>
      <w:r w:rsidRPr="00382917">
        <w:t>soon</w:t>
      </w:r>
      <w:r w:rsidR="00EE4FC3">
        <w:t xml:space="preserve"> </w:t>
      </w:r>
      <w:r w:rsidRPr="00382917">
        <w:t>as</w:t>
      </w:r>
      <w:r w:rsidR="00EE4FC3">
        <w:t xml:space="preserve"> </w:t>
      </w:r>
      <w:r w:rsidRPr="00382917">
        <w:t>they</w:t>
      </w:r>
      <w:r w:rsidR="00EE4FC3">
        <w:t xml:space="preserve"> </w:t>
      </w:r>
      <w:r w:rsidRPr="00382917">
        <w:t>were</w:t>
      </w:r>
      <w:r w:rsidR="00EE4FC3">
        <w:t xml:space="preserve"> </w:t>
      </w:r>
      <w:r w:rsidRPr="00382917">
        <w:t>delivered</w:t>
      </w:r>
      <w:r w:rsidR="00EE4FC3">
        <w:t xml:space="preserve"> </w:t>
      </w:r>
      <w:r w:rsidRPr="00382917">
        <w:t>into</w:t>
      </w:r>
      <w:r w:rsidR="00EE4FC3">
        <w:t xml:space="preserve"> </w:t>
      </w:r>
      <w:r w:rsidRPr="00382917">
        <w:t>His</w:t>
      </w:r>
      <w:r w:rsidR="00EE4FC3">
        <w:t xml:space="preserve"> </w:t>
      </w:r>
      <w:r w:rsidRPr="00382917">
        <w:t>hands,</w:t>
      </w:r>
      <w:r w:rsidR="00EE4FC3">
        <w:t xml:space="preserve"> </w:t>
      </w:r>
      <w:r w:rsidRPr="00382917">
        <w:t>provoked</w:t>
      </w:r>
      <w:r w:rsidR="00EE4FC3">
        <w:t xml:space="preserve"> </w:t>
      </w:r>
      <w:r w:rsidRPr="00382917">
        <w:t>in</w:t>
      </w:r>
      <w:r w:rsidR="00EE4FC3">
        <w:t xml:space="preserve"> </w:t>
      </w:r>
      <w:r w:rsidRPr="00382917">
        <w:t>His</w:t>
      </w:r>
      <w:r w:rsidR="00EE4FC3">
        <w:t xml:space="preserve"> </w:t>
      </w:r>
      <w:r w:rsidRPr="00382917">
        <w:t>soul</w:t>
      </w:r>
      <w:r w:rsidR="00EE4FC3">
        <w:t xml:space="preserve"> </w:t>
      </w:r>
      <w:r w:rsidRPr="00382917">
        <w:t>sentiments</w:t>
      </w:r>
      <w:r w:rsidR="00EE4FC3">
        <w:t xml:space="preserve"> </w:t>
      </w:r>
      <w:r w:rsidRPr="00382917">
        <w:t>of</w:t>
      </w:r>
      <w:r w:rsidR="00EE4FC3">
        <w:t xml:space="preserve"> </w:t>
      </w:r>
      <w:r w:rsidRPr="00382917">
        <w:t>unusual</w:t>
      </w:r>
      <w:r w:rsidR="00EE4FC3">
        <w:t xml:space="preserve"> </w:t>
      </w:r>
      <w:r w:rsidRPr="00382917">
        <w:t>delight</w:t>
      </w:r>
      <w:r w:rsidR="00330AF7">
        <w:t>.</w:t>
      </w:r>
      <w:r w:rsidR="00EE4FC3">
        <w:t xml:space="preserve">  </w:t>
      </w:r>
      <w:r w:rsidRPr="00382917">
        <w:t>His</w:t>
      </w:r>
      <w:r w:rsidR="00EE4FC3">
        <w:t xml:space="preserve"> </w:t>
      </w:r>
      <w:r w:rsidRPr="00382917">
        <w:t>face</w:t>
      </w:r>
      <w:r w:rsidR="00EE4FC3">
        <w:t xml:space="preserve"> </w:t>
      </w:r>
      <w:r w:rsidRPr="00382917">
        <w:t>glowed</w:t>
      </w:r>
      <w:r w:rsidR="00EE4FC3">
        <w:t xml:space="preserve"> </w:t>
      </w:r>
      <w:r w:rsidRPr="00382917">
        <w:t>with</w:t>
      </w:r>
      <w:r w:rsidR="00EE4FC3">
        <w:t xml:space="preserve"> </w:t>
      </w:r>
      <w:r w:rsidRPr="00382917">
        <w:t>joy</w:t>
      </w:r>
      <w:r w:rsidR="00EE4FC3">
        <w:t xml:space="preserve"> </w:t>
      </w:r>
      <w:r w:rsidRPr="00382917">
        <w:t>as</w:t>
      </w:r>
      <w:r w:rsidR="00EE4FC3">
        <w:t xml:space="preserve"> </w:t>
      </w:r>
      <w:r w:rsidRPr="00382917">
        <w:t>He</w:t>
      </w:r>
      <w:r w:rsidR="00EE4FC3">
        <w:t xml:space="preserve"> </w:t>
      </w:r>
      <w:r w:rsidRPr="00382917">
        <w:t>overwhelmed</w:t>
      </w:r>
      <w:r w:rsidR="00EE4FC3">
        <w:t xml:space="preserve"> </w:t>
      </w:r>
      <w:r w:rsidRPr="00382917">
        <w:t>the</w:t>
      </w:r>
      <w:r w:rsidR="00EE4FC3">
        <w:t xml:space="preserve"> </w:t>
      </w:r>
      <w:r w:rsidRPr="00382917">
        <w:t>bearer</w:t>
      </w:r>
      <w:r w:rsidR="00EE4FC3">
        <w:t xml:space="preserve"> </w:t>
      </w:r>
      <w:r w:rsidRPr="00382917">
        <w:t>with</w:t>
      </w:r>
      <w:r w:rsidR="00EE4FC3">
        <w:t xml:space="preserve"> </w:t>
      </w:r>
      <w:r w:rsidRPr="00382917">
        <w:t>marks</w:t>
      </w:r>
      <w:r w:rsidR="00EE4FC3">
        <w:t xml:space="preserve"> </w:t>
      </w:r>
      <w:r w:rsidRPr="00382917">
        <w:t>of</w:t>
      </w:r>
      <w:r w:rsidR="00EE4FC3">
        <w:t xml:space="preserve"> </w:t>
      </w:r>
      <w:r w:rsidRPr="00382917">
        <w:t>His</w:t>
      </w:r>
      <w:r w:rsidR="00EE4FC3">
        <w:t xml:space="preserve"> </w:t>
      </w:r>
      <w:r w:rsidRPr="00382917">
        <w:t>gratitude</w:t>
      </w:r>
      <w:r w:rsidR="00EE4FC3">
        <w:t xml:space="preserve"> </w:t>
      </w:r>
      <w:r w:rsidRPr="00382917">
        <w:t>and</w:t>
      </w:r>
      <w:r w:rsidR="00EE4FC3">
        <w:t xml:space="preserve"> </w:t>
      </w:r>
      <w:proofErr w:type="spellStart"/>
      <w:r w:rsidRPr="00382917">
        <w:t>favor</w:t>
      </w:r>
      <w:proofErr w:type="spellEnd"/>
      <w:r w:rsidRPr="00382917">
        <w:t>.</w:t>
      </w:r>
    </w:p>
    <w:p w:rsidR="00E13D49" w:rsidRPr="00382917" w:rsidRDefault="009C713D" w:rsidP="00F72628">
      <w:pPr>
        <w:pStyle w:val="Text"/>
      </w:pPr>
      <w:r w:rsidRPr="00382917">
        <w:t>“</w:t>
      </w:r>
      <w:r w:rsidR="00610ADA" w:rsidRPr="00382917">
        <w:t>That</w:t>
      </w:r>
      <w:r w:rsidR="00EE4FC3">
        <w:t xml:space="preserve"> </w:t>
      </w:r>
      <w:r w:rsidR="00610ADA" w:rsidRPr="00382917">
        <w:t>message,</w:t>
      </w:r>
      <w:r w:rsidRPr="00382917">
        <w:t>”</w:t>
      </w:r>
      <w:r w:rsidR="00EE4FC3">
        <w:t xml:space="preserve"> </w:t>
      </w:r>
      <w:r w:rsidR="00610ADA" w:rsidRPr="00382917">
        <w:t>Nabíl</w:t>
      </w:r>
      <w:r w:rsidR="00EE4FC3">
        <w:t xml:space="preserve"> </w:t>
      </w:r>
      <w:r w:rsidR="00610ADA" w:rsidRPr="00382917">
        <w:t>continues,</w:t>
      </w:r>
      <w:r w:rsidR="00EE4FC3">
        <w:t xml:space="preserve"> </w:t>
      </w:r>
      <w:r w:rsidRPr="00382917">
        <w:t>“</w:t>
      </w:r>
      <w:r w:rsidR="00610ADA" w:rsidRPr="00382917">
        <w:t>received</w:t>
      </w:r>
      <w:r w:rsidR="00EE4FC3">
        <w:t xml:space="preserve"> </w:t>
      </w:r>
      <w:r w:rsidR="00610ADA" w:rsidRPr="00382917">
        <w:t>at</w:t>
      </w:r>
      <w:r w:rsidR="00EE4FC3">
        <w:t xml:space="preserve"> </w:t>
      </w:r>
      <w:r w:rsidR="00610ADA" w:rsidRPr="00382917">
        <w:t>an</w:t>
      </w:r>
      <w:r w:rsidR="00EE4FC3">
        <w:t xml:space="preserve"> </w:t>
      </w:r>
      <w:r w:rsidR="00610ADA" w:rsidRPr="00382917">
        <w:t>hour</w:t>
      </w:r>
      <w:r w:rsidR="00EE4FC3">
        <w:t xml:space="preserve"> </w:t>
      </w:r>
      <w:r w:rsidR="00610ADA" w:rsidRPr="00382917">
        <w:t>of</w:t>
      </w:r>
      <w:r w:rsidR="00EE4FC3">
        <w:t xml:space="preserve"> </w:t>
      </w:r>
      <w:r w:rsidR="00610ADA" w:rsidRPr="00382917">
        <w:t>uncertainty</w:t>
      </w:r>
      <w:r w:rsidR="00EE4FC3">
        <w:t xml:space="preserve"> </w:t>
      </w:r>
      <w:r w:rsidR="00610ADA" w:rsidRPr="00382917">
        <w:t>and</w:t>
      </w:r>
      <w:r w:rsidR="00EE4FC3">
        <w:t xml:space="preserve"> </w:t>
      </w:r>
      <w:r w:rsidR="00610ADA" w:rsidRPr="00382917">
        <w:t>suspense,</w:t>
      </w:r>
      <w:r w:rsidR="00EE4FC3">
        <w:t xml:space="preserve"> </w:t>
      </w:r>
      <w:r w:rsidR="00610ADA" w:rsidRPr="00382917">
        <w:t>imparted</w:t>
      </w:r>
      <w:r w:rsidR="00EE4FC3">
        <w:t xml:space="preserve"> </w:t>
      </w:r>
      <w:r w:rsidR="00610ADA" w:rsidRPr="00382917">
        <w:t>solace</w:t>
      </w:r>
      <w:r w:rsidR="00EE4FC3">
        <w:t xml:space="preserve"> </w:t>
      </w:r>
      <w:r w:rsidR="00610ADA" w:rsidRPr="00382917">
        <w:t>and</w:t>
      </w:r>
      <w:r w:rsidR="00EE4FC3">
        <w:t xml:space="preserve"> </w:t>
      </w:r>
      <w:r w:rsidR="00610ADA" w:rsidRPr="00382917">
        <w:t>strength</w:t>
      </w:r>
      <w:r w:rsidR="00EE4FC3">
        <w:t xml:space="preserve"> </w:t>
      </w:r>
      <w:r w:rsidR="00610ADA" w:rsidRPr="00382917">
        <w:t>to</w:t>
      </w:r>
      <w:r w:rsidR="00EE4FC3">
        <w:t xml:space="preserve"> </w:t>
      </w:r>
      <w:r w:rsidR="00610ADA" w:rsidRPr="00382917">
        <w:t>the</w:t>
      </w:r>
      <w:r w:rsidR="00EE4FC3">
        <w:t xml:space="preserve"> </w:t>
      </w:r>
      <w:r w:rsidR="00610ADA" w:rsidRPr="00382917">
        <w:t>Báb</w:t>
      </w:r>
      <w:r w:rsidR="00330AF7">
        <w:t>.</w:t>
      </w:r>
      <w:r w:rsidR="00EE4FC3">
        <w:t xml:space="preserve">  </w:t>
      </w:r>
      <w:r w:rsidR="00610ADA" w:rsidRPr="00382917">
        <w:t>It</w:t>
      </w:r>
      <w:r w:rsidR="00EE4FC3">
        <w:t xml:space="preserve"> </w:t>
      </w:r>
      <w:r w:rsidR="00610ADA" w:rsidRPr="00382917">
        <w:t>imbued</w:t>
      </w:r>
      <w:r w:rsidR="00EE4FC3">
        <w:t xml:space="preserve"> </w:t>
      </w:r>
      <w:r w:rsidR="00610ADA" w:rsidRPr="00382917">
        <w:t>His</w:t>
      </w:r>
      <w:r w:rsidR="00EE4FC3">
        <w:t xml:space="preserve"> </w:t>
      </w:r>
      <w:r w:rsidR="00610ADA" w:rsidRPr="00382917">
        <w:t>soul</w:t>
      </w:r>
      <w:r w:rsidR="00EE4FC3">
        <w:t xml:space="preserve"> </w:t>
      </w:r>
      <w:r w:rsidR="00610ADA" w:rsidRPr="00382917">
        <w:t>with</w:t>
      </w:r>
      <w:r w:rsidR="00EE4FC3">
        <w:t xml:space="preserve"> </w:t>
      </w:r>
      <w:r w:rsidR="00610ADA" w:rsidRPr="00382917">
        <w:t>the</w:t>
      </w:r>
      <w:r w:rsidR="00EE4FC3">
        <w:t xml:space="preserve"> </w:t>
      </w:r>
      <w:r w:rsidR="00610ADA" w:rsidRPr="00382917">
        <w:t>certainty</w:t>
      </w:r>
      <w:r w:rsidR="00EE4FC3">
        <w:t xml:space="preserve"> </w:t>
      </w:r>
      <w:r w:rsidR="00610ADA" w:rsidRPr="00382917">
        <w:t>of</w:t>
      </w:r>
      <w:r w:rsidR="00EE4FC3">
        <w:t xml:space="preserve"> </w:t>
      </w:r>
      <w:r w:rsidR="00610ADA" w:rsidRPr="00382917">
        <w:t>victory</w:t>
      </w:r>
      <w:r w:rsidR="00330AF7">
        <w:t>.</w:t>
      </w:r>
      <w:r w:rsidR="00EE4FC3">
        <w:t xml:space="preserve">  </w:t>
      </w:r>
      <w:r w:rsidR="00610ADA" w:rsidRPr="00382917">
        <w:t>The</w:t>
      </w:r>
      <w:r w:rsidR="00EE4FC3">
        <w:t xml:space="preserve"> </w:t>
      </w:r>
      <w:r w:rsidR="00610ADA" w:rsidRPr="00382917">
        <w:t>cry,</w:t>
      </w:r>
      <w:r w:rsidR="00EE4FC3">
        <w:t xml:space="preserve"> </w:t>
      </w:r>
      <w:r w:rsidRPr="00382917">
        <w:t>‘</w:t>
      </w:r>
      <w:r w:rsidR="00610ADA" w:rsidRPr="00382917">
        <w:t>Beloved,</w:t>
      </w:r>
      <w:r w:rsidR="00EE4FC3">
        <w:t xml:space="preserve"> </w:t>
      </w:r>
      <w:r w:rsidR="00610ADA" w:rsidRPr="00382917">
        <w:t>My</w:t>
      </w:r>
      <w:r w:rsidR="00EE4FC3">
        <w:t xml:space="preserve"> </w:t>
      </w:r>
      <w:r w:rsidR="00610ADA" w:rsidRPr="00382917">
        <w:t>Well</w:t>
      </w:r>
      <w:r w:rsidR="00EE4FC3">
        <w:t xml:space="preserve"> </w:t>
      </w:r>
      <w:r w:rsidR="00610ADA" w:rsidRPr="00382917">
        <w:t>Beloved!</w:t>
      </w:r>
      <w:r w:rsidRPr="00382917">
        <w:t>’</w:t>
      </w:r>
      <w:r w:rsidR="00EE4FC3">
        <w:t xml:space="preserve"> </w:t>
      </w:r>
      <w:r w:rsidR="00610ADA" w:rsidRPr="00382917">
        <w:t>which</w:t>
      </w:r>
      <w:r w:rsidR="00EE4FC3">
        <w:t xml:space="preserve"> </w:t>
      </w:r>
      <w:r w:rsidR="00610ADA" w:rsidRPr="00382917">
        <w:t>in</w:t>
      </w:r>
      <w:r w:rsidR="00EE4FC3">
        <w:t xml:space="preserve"> </w:t>
      </w:r>
      <w:r w:rsidR="00610ADA" w:rsidRPr="00382917">
        <w:t>His</w:t>
      </w:r>
      <w:r w:rsidR="00EE4FC3">
        <w:t xml:space="preserve"> </w:t>
      </w:r>
      <w:r w:rsidR="00610ADA" w:rsidRPr="00382917">
        <w:t>bitter</w:t>
      </w:r>
      <w:r w:rsidR="00EE4FC3">
        <w:t xml:space="preserve"> </w:t>
      </w:r>
      <w:r w:rsidR="00610ADA" w:rsidRPr="00382917">
        <w:t>grief</w:t>
      </w:r>
      <w:r w:rsidR="00EE4FC3">
        <w:t xml:space="preserve"> </w:t>
      </w:r>
      <w:r w:rsidR="00610ADA" w:rsidRPr="00382917">
        <w:t>and</w:t>
      </w:r>
      <w:r w:rsidR="00EE4FC3">
        <w:t xml:space="preserve"> </w:t>
      </w:r>
      <w:r w:rsidR="00610ADA" w:rsidRPr="00382917">
        <w:t>loneliness</w:t>
      </w:r>
      <w:r w:rsidR="00EE4FC3">
        <w:t xml:space="preserve"> </w:t>
      </w:r>
      <w:r w:rsidR="00610ADA" w:rsidRPr="00382917">
        <w:t>the</w:t>
      </w:r>
      <w:r w:rsidR="00EE4FC3">
        <w:t xml:space="preserve"> </w:t>
      </w:r>
      <w:r w:rsidR="00610ADA" w:rsidRPr="00382917">
        <w:t>Báb</w:t>
      </w:r>
      <w:r w:rsidR="00EE4FC3">
        <w:t xml:space="preserve"> </w:t>
      </w:r>
      <w:r w:rsidR="00610ADA" w:rsidRPr="00382917">
        <w:t>would</w:t>
      </w:r>
      <w:r w:rsidR="00EE4FC3">
        <w:t xml:space="preserve"> </w:t>
      </w:r>
      <w:r w:rsidR="00610ADA" w:rsidRPr="00382917">
        <w:t>often</w:t>
      </w:r>
      <w:r w:rsidR="00EE4FC3">
        <w:t xml:space="preserve"> </w:t>
      </w:r>
      <w:r w:rsidR="00610ADA" w:rsidRPr="00382917">
        <w:t>utter,</w:t>
      </w:r>
      <w:r w:rsidR="00EE4FC3">
        <w:t xml:space="preserve"> </w:t>
      </w:r>
      <w:r w:rsidR="00610ADA" w:rsidRPr="00382917">
        <w:t>gave</w:t>
      </w:r>
      <w:r w:rsidR="00EE4FC3">
        <w:t xml:space="preserve"> </w:t>
      </w:r>
      <w:r w:rsidR="00610ADA" w:rsidRPr="00382917">
        <w:t>way</w:t>
      </w:r>
      <w:r w:rsidR="00EE4FC3">
        <w:t xml:space="preserve"> </w:t>
      </w:r>
      <w:r w:rsidR="00610ADA" w:rsidRPr="00382917">
        <w:t>to</w:t>
      </w:r>
      <w:r w:rsidR="00EE4FC3">
        <w:t xml:space="preserve"> </w:t>
      </w:r>
      <w:r w:rsidR="00610ADA" w:rsidRPr="00382917">
        <w:t>expressions</w:t>
      </w:r>
      <w:r w:rsidR="00EE4FC3">
        <w:t xml:space="preserve"> </w:t>
      </w:r>
      <w:r w:rsidR="00610ADA" w:rsidRPr="00382917">
        <w:t>of</w:t>
      </w:r>
      <w:r w:rsidR="00EE4FC3">
        <w:t xml:space="preserve"> </w:t>
      </w:r>
      <w:r w:rsidR="00610ADA" w:rsidRPr="00382917">
        <w:t>thanksgiving</w:t>
      </w:r>
      <w:r w:rsidR="00EE4FC3">
        <w:t xml:space="preserve"> </w:t>
      </w:r>
      <w:r w:rsidR="00610ADA" w:rsidRPr="00382917">
        <w:t>and</w:t>
      </w:r>
      <w:r w:rsidR="00EE4FC3">
        <w:t xml:space="preserve"> </w:t>
      </w:r>
      <w:r w:rsidR="00610ADA" w:rsidRPr="00382917">
        <w:t>praise,</w:t>
      </w:r>
      <w:r w:rsidR="00EE4FC3">
        <w:t xml:space="preserve"> </w:t>
      </w:r>
      <w:r w:rsidR="00610ADA" w:rsidRPr="00382917">
        <w:t>of</w:t>
      </w:r>
      <w:r w:rsidR="00EE4FC3">
        <w:t xml:space="preserve"> </w:t>
      </w:r>
      <w:r w:rsidR="00610ADA" w:rsidRPr="00382917">
        <w:t>hope</w:t>
      </w:r>
      <w:r w:rsidR="00EE4FC3">
        <w:t xml:space="preserve"> </w:t>
      </w:r>
      <w:r w:rsidR="00610ADA" w:rsidRPr="00382917">
        <w:t>and</w:t>
      </w:r>
      <w:r w:rsidR="00EE4FC3">
        <w:t xml:space="preserve"> </w:t>
      </w:r>
      <w:r w:rsidR="00610ADA" w:rsidRPr="00382917">
        <w:t>triumph</w:t>
      </w:r>
      <w:r w:rsidR="00330AF7">
        <w:t>.</w:t>
      </w:r>
      <w:r w:rsidR="00EE4FC3">
        <w:t xml:space="preserve">  </w:t>
      </w:r>
      <w:r w:rsidR="00610ADA" w:rsidRPr="00382917">
        <w:t>The</w:t>
      </w:r>
      <w:r w:rsidR="00EE4FC3">
        <w:t xml:space="preserve"> </w:t>
      </w:r>
      <w:r w:rsidR="00610ADA" w:rsidRPr="00382917">
        <w:t>exultation</w:t>
      </w:r>
      <w:r w:rsidR="00EE4FC3">
        <w:t xml:space="preserve"> </w:t>
      </w:r>
      <w:r w:rsidR="00610ADA" w:rsidRPr="00382917">
        <w:t>which</w:t>
      </w:r>
      <w:r w:rsidR="00EE4FC3">
        <w:t xml:space="preserve"> </w:t>
      </w:r>
      <w:r w:rsidR="00610ADA" w:rsidRPr="00382917">
        <w:t>glowed</w:t>
      </w:r>
      <w:r w:rsidR="00EE4FC3">
        <w:t xml:space="preserve"> </w:t>
      </w:r>
      <w:r w:rsidR="00610ADA" w:rsidRPr="00382917">
        <w:t>upon</w:t>
      </w:r>
      <w:r w:rsidR="00EE4FC3">
        <w:t xml:space="preserve"> </w:t>
      </w:r>
      <w:r w:rsidR="00610ADA" w:rsidRPr="00382917">
        <w:t>His</w:t>
      </w:r>
      <w:r w:rsidR="00EE4FC3">
        <w:t xml:space="preserve"> </w:t>
      </w:r>
      <w:r w:rsidR="00610ADA" w:rsidRPr="00382917">
        <w:t>face</w:t>
      </w:r>
      <w:r w:rsidR="00EE4FC3">
        <w:t xml:space="preserve"> </w:t>
      </w:r>
      <w:r w:rsidR="00610ADA" w:rsidRPr="00382917">
        <w:t>never</w:t>
      </w:r>
      <w:r w:rsidR="00EE4FC3">
        <w:t xml:space="preserve"> </w:t>
      </w:r>
      <w:r w:rsidR="00610ADA" w:rsidRPr="00382917">
        <w:t>forsook</w:t>
      </w:r>
      <w:r w:rsidR="00EE4FC3">
        <w:t xml:space="preserve"> </w:t>
      </w:r>
      <w:r w:rsidR="00610ADA" w:rsidRPr="00382917">
        <w:t>Him</w:t>
      </w:r>
      <w:r w:rsidR="00EE4FC3">
        <w:t xml:space="preserve"> </w:t>
      </w:r>
      <w:r w:rsidR="00610ADA" w:rsidRPr="00382917">
        <w:t>until</w:t>
      </w:r>
      <w:r w:rsidR="00EE4FC3">
        <w:t xml:space="preserve"> </w:t>
      </w:r>
      <w:r w:rsidR="00610ADA" w:rsidRPr="00382917">
        <w:t>the</w:t>
      </w:r>
      <w:r w:rsidR="00EE4FC3">
        <w:t xml:space="preserve"> </w:t>
      </w:r>
      <w:r w:rsidR="00610ADA" w:rsidRPr="00382917">
        <w:t>day</w:t>
      </w:r>
      <w:r w:rsidR="00EE4FC3">
        <w:t xml:space="preserve"> </w:t>
      </w:r>
      <w:r w:rsidR="00610ADA" w:rsidRPr="00382917">
        <w:t>of</w:t>
      </w:r>
      <w:r w:rsidR="00EE4FC3">
        <w:t xml:space="preserve"> </w:t>
      </w:r>
      <w:r w:rsidR="00610ADA" w:rsidRPr="00382917">
        <w:t>the</w:t>
      </w:r>
      <w:r w:rsidR="00EE4FC3">
        <w:t xml:space="preserve"> </w:t>
      </w:r>
      <w:r w:rsidR="00610ADA" w:rsidRPr="00382917">
        <w:t>news</w:t>
      </w:r>
      <w:r w:rsidR="00EE4FC3">
        <w:t xml:space="preserve"> </w:t>
      </w:r>
      <w:r w:rsidR="00610ADA" w:rsidRPr="00382917">
        <w:t>of</w:t>
      </w:r>
      <w:r w:rsidR="00EE4FC3">
        <w:t xml:space="preserve"> </w:t>
      </w:r>
      <w:r w:rsidR="00610ADA" w:rsidRPr="00382917">
        <w:t>the</w:t>
      </w:r>
      <w:r w:rsidR="00EE4FC3">
        <w:t xml:space="preserve"> </w:t>
      </w:r>
      <w:r w:rsidR="00610ADA" w:rsidRPr="00382917">
        <w:t>great</w:t>
      </w:r>
      <w:r w:rsidR="00EE4FC3">
        <w:t xml:space="preserve"> </w:t>
      </w:r>
      <w:r w:rsidR="00610ADA" w:rsidRPr="00382917">
        <w:t>disaster</w:t>
      </w:r>
      <w:r w:rsidR="00EE4FC3">
        <w:t xml:space="preserve"> </w:t>
      </w:r>
      <w:r w:rsidR="00610ADA" w:rsidRPr="00382917">
        <w:t>which</w:t>
      </w:r>
      <w:r w:rsidR="00EE4FC3">
        <w:t xml:space="preserve"> </w:t>
      </w:r>
      <w:r w:rsidR="00610ADA" w:rsidRPr="00382917">
        <w:t>befell</w:t>
      </w:r>
      <w:r w:rsidR="00EE4FC3">
        <w:t xml:space="preserve"> </w:t>
      </w:r>
      <w:r w:rsidR="00610ADA" w:rsidRPr="00382917">
        <w:t>the</w:t>
      </w:r>
      <w:r w:rsidR="00EE4FC3">
        <w:t xml:space="preserve"> </w:t>
      </w:r>
      <w:r w:rsidR="00610ADA" w:rsidRPr="00382917">
        <w:t>heroes</w:t>
      </w:r>
      <w:r w:rsidR="00EE4FC3">
        <w:t xml:space="preserve"> </w:t>
      </w:r>
      <w:r w:rsidR="00610ADA" w:rsidRPr="00382917">
        <w:t>of</w:t>
      </w:r>
      <w:r w:rsidR="00EE4FC3">
        <w:t xml:space="preserve"> </w:t>
      </w:r>
      <w:r w:rsidR="008A073E" w:rsidRPr="00382917">
        <w:rPr>
          <w:u w:val="single"/>
        </w:rPr>
        <w:t>Sh</w:t>
      </w:r>
      <w:r w:rsidR="008A073E" w:rsidRPr="00382917">
        <w:t>ay</w:t>
      </w:r>
      <w:r w:rsidR="008A073E" w:rsidRPr="00382917">
        <w:rPr>
          <w:u w:val="single"/>
        </w:rPr>
        <w:t>kh</w:t>
      </w:r>
      <w:r w:rsidR="00EE4FC3">
        <w:t xml:space="preserve"> </w:t>
      </w:r>
      <w:r w:rsidR="00610ADA" w:rsidRPr="00382917">
        <w:t>Ṭabarsí.</w:t>
      </w:r>
      <w:r w:rsidRPr="00382917">
        <w:t>”</w:t>
      </w:r>
      <w:r w:rsidR="00F72628">
        <w:rPr>
          <w:rStyle w:val="FootnoteReference"/>
        </w:rPr>
        <w:footnoteReference w:id="198"/>
      </w:r>
    </w:p>
    <w:p w:rsidR="00610ADA" w:rsidRPr="00382917" w:rsidRDefault="009C713D" w:rsidP="00900F24">
      <w:pPr>
        <w:pStyle w:val="Text"/>
      </w:pPr>
      <w:r w:rsidRPr="00382917">
        <w:t>‘</w:t>
      </w:r>
      <w:r w:rsidR="00610ADA" w:rsidRPr="00382917">
        <w:t>Abdu</w:t>
      </w:r>
      <w:r w:rsidRPr="00382917">
        <w:t>’</w:t>
      </w:r>
      <w:r w:rsidR="00610ADA" w:rsidRPr="00382917">
        <w:t>l-Karím,</w:t>
      </w:r>
      <w:r w:rsidR="00EE4FC3">
        <w:t xml:space="preserve"> </w:t>
      </w:r>
      <w:r w:rsidR="00610ADA" w:rsidRPr="00382917">
        <w:t>one</w:t>
      </w:r>
      <w:r w:rsidR="00EE4FC3">
        <w:t xml:space="preserve"> </w:t>
      </w:r>
      <w:r w:rsidR="00610ADA" w:rsidRPr="00382917">
        <w:t>of</w:t>
      </w:r>
      <w:r w:rsidR="00EE4FC3">
        <w:t xml:space="preserve"> </w:t>
      </w:r>
      <w:r w:rsidR="00610ADA" w:rsidRPr="00382917">
        <w:t>the</w:t>
      </w:r>
      <w:r w:rsidR="00EE4FC3">
        <w:t xml:space="preserve"> </w:t>
      </w:r>
      <w:r w:rsidR="00610ADA" w:rsidRPr="00382917">
        <w:t>devoted</w:t>
      </w:r>
      <w:r w:rsidR="00EE4FC3">
        <w:t xml:space="preserve"> </w:t>
      </w:r>
      <w:r w:rsidR="00610ADA" w:rsidRPr="00382917">
        <w:t>followers</w:t>
      </w:r>
      <w:r w:rsidR="00EE4FC3">
        <w:t xml:space="preserve"> </w:t>
      </w:r>
      <w:r w:rsidR="00610ADA" w:rsidRPr="00382917">
        <w:t>of</w:t>
      </w:r>
      <w:r w:rsidR="00EE4FC3">
        <w:t xml:space="preserve"> </w:t>
      </w:r>
      <w:r w:rsidR="00610ADA" w:rsidRPr="00382917">
        <w:t>the</w:t>
      </w:r>
      <w:r w:rsidR="00EE4FC3">
        <w:t xml:space="preserve"> </w:t>
      </w:r>
      <w:r w:rsidR="00610ADA" w:rsidRPr="00382917">
        <w:t>Báb,</w:t>
      </w:r>
      <w:r w:rsidR="00EE4FC3">
        <w:t xml:space="preserve"> </w:t>
      </w:r>
      <w:r w:rsidR="00610ADA" w:rsidRPr="00382917">
        <w:t>gives</w:t>
      </w:r>
      <w:r w:rsidR="00EE4FC3">
        <w:t xml:space="preserve"> </w:t>
      </w:r>
      <w:r w:rsidR="00610ADA" w:rsidRPr="00382917">
        <w:t>the</w:t>
      </w:r>
      <w:r w:rsidR="00EE4FC3">
        <w:t xml:space="preserve"> </w:t>
      </w:r>
      <w:r w:rsidR="00610ADA" w:rsidRPr="00382917">
        <w:t>following</w:t>
      </w:r>
      <w:r w:rsidR="00EE4FC3">
        <w:t xml:space="preserve"> </w:t>
      </w:r>
      <w:r w:rsidR="00610ADA" w:rsidRPr="00382917">
        <w:t>eye-witness</w:t>
      </w:r>
      <w:r w:rsidR="00EE4FC3">
        <w:t xml:space="preserve"> </w:t>
      </w:r>
      <w:r w:rsidR="00610ADA" w:rsidRPr="00382917">
        <w:t>account</w:t>
      </w:r>
      <w:r w:rsidR="00EE4FC3">
        <w:t xml:space="preserve"> </w:t>
      </w:r>
      <w:r w:rsidR="00610ADA" w:rsidRPr="00382917">
        <w:t>of</w:t>
      </w:r>
      <w:r w:rsidR="00EE4FC3">
        <w:t xml:space="preserve"> </w:t>
      </w:r>
      <w:r w:rsidR="00610ADA" w:rsidRPr="00382917">
        <w:t>an</w:t>
      </w:r>
      <w:r w:rsidR="00EE4FC3">
        <w:t xml:space="preserve"> </w:t>
      </w:r>
      <w:r w:rsidR="00610ADA" w:rsidRPr="00382917">
        <w:t>episode</w:t>
      </w:r>
      <w:r w:rsidR="00EE4FC3">
        <w:t xml:space="preserve"> </w:t>
      </w:r>
      <w:r w:rsidR="00610ADA" w:rsidRPr="00382917">
        <w:t>which</w:t>
      </w:r>
      <w:r w:rsidR="00EE4FC3">
        <w:t xml:space="preserve"> </w:t>
      </w:r>
      <w:r w:rsidR="00610ADA" w:rsidRPr="00382917">
        <w:t>took</w:t>
      </w:r>
      <w:r w:rsidR="00EE4FC3">
        <w:t xml:space="preserve"> </w:t>
      </w:r>
      <w:r w:rsidR="00610ADA" w:rsidRPr="00382917">
        <w:t>place</w:t>
      </w:r>
      <w:r w:rsidR="00EE4FC3">
        <w:t xml:space="preserve"> </w:t>
      </w:r>
      <w:r w:rsidR="00610ADA" w:rsidRPr="00382917">
        <w:t>one</w:t>
      </w:r>
      <w:r w:rsidR="00EE4FC3">
        <w:t xml:space="preserve"> </w:t>
      </w:r>
      <w:r w:rsidR="00610ADA" w:rsidRPr="00382917">
        <w:t>night</w:t>
      </w:r>
      <w:r w:rsidR="00EE4FC3">
        <w:t xml:space="preserve"> </w:t>
      </w:r>
      <w:r w:rsidR="00610ADA" w:rsidRPr="00382917">
        <w:t>during</w:t>
      </w:r>
      <w:r w:rsidR="00EE4FC3">
        <w:t xml:space="preserve"> </w:t>
      </w:r>
      <w:r w:rsidR="00610ADA" w:rsidRPr="00382917">
        <w:t>the</w:t>
      </w:r>
      <w:r w:rsidR="00EE4FC3">
        <w:t xml:space="preserve"> </w:t>
      </w:r>
      <w:r w:rsidR="00610ADA" w:rsidRPr="00382917">
        <w:t>Báb</w:t>
      </w:r>
      <w:r w:rsidRPr="00382917">
        <w:t>’</w:t>
      </w:r>
      <w:r w:rsidR="00610ADA" w:rsidRPr="00382917">
        <w:t>s</w:t>
      </w:r>
      <w:r w:rsidR="00EE4FC3">
        <w:t xml:space="preserve"> </w:t>
      </w:r>
      <w:r w:rsidR="00610ADA" w:rsidRPr="00382917">
        <w:t>stay</w:t>
      </w:r>
      <w:r w:rsidR="00EE4FC3">
        <w:t xml:space="preserve"> </w:t>
      </w:r>
      <w:r w:rsidR="00610ADA" w:rsidRPr="00382917">
        <w:t>at</w:t>
      </w:r>
      <w:r w:rsidR="00EE4FC3">
        <w:t xml:space="preserve"> </w:t>
      </w:r>
      <w:proofErr w:type="spellStart"/>
      <w:r w:rsidR="00610ADA" w:rsidRPr="00382917">
        <w:t>Kulayn</w:t>
      </w:r>
      <w:proofErr w:type="spellEnd"/>
      <w:r w:rsidR="00610ADA" w:rsidRPr="00382917">
        <w:t>:</w:t>
      </w:r>
    </w:p>
    <w:p w:rsidR="00900F24" w:rsidRPr="00382917" w:rsidRDefault="00900F24">
      <w:pPr>
        <w:widowControl/>
        <w:kinsoku/>
        <w:overflowPunct/>
        <w:textAlignment w:val="auto"/>
      </w:pPr>
      <w:r w:rsidRPr="00382917">
        <w:br w:type="page"/>
      </w:r>
    </w:p>
    <w:p w:rsidR="00610ADA" w:rsidRPr="00382917" w:rsidRDefault="009C713D" w:rsidP="00900F24">
      <w:pPr>
        <w:pStyle w:val="Text"/>
      </w:pPr>
      <w:r w:rsidRPr="00382917">
        <w:t>“</w:t>
      </w:r>
      <w:r w:rsidR="00610ADA" w:rsidRPr="00382917">
        <w:t>My</w:t>
      </w:r>
      <w:r w:rsidR="00EE4FC3">
        <w:t xml:space="preserve"> </w:t>
      </w:r>
      <w:r w:rsidR="00610ADA" w:rsidRPr="00382917">
        <w:t>companions</w:t>
      </w:r>
      <w:r w:rsidR="00EE4FC3">
        <w:t xml:space="preserve"> </w:t>
      </w:r>
      <w:r w:rsidR="00610ADA" w:rsidRPr="00382917">
        <w:t>and</w:t>
      </w:r>
      <w:r w:rsidR="00EE4FC3">
        <w:t xml:space="preserve"> </w:t>
      </w:r>
      <w:r w:rsidR="00610ADA" w:rsidRPr="00382917">
        <w:t>I</w:t>
      </w:r>
      <w:r w:rsidR="00EE4FC3">
        <w:t xml:space="preserve"> </w:t>
      </w:r>
      <w:r w:rsidR="00610ADA" w:rsidRPr="00382917">
        <w:t>were</w:t>
      </w:r>
      <w:r w:rsidR="00EE4FC3">
        <w:t xml:space="preserve"> </w:t>
      </w:r>
      <w:r w:rsidR="00610ADA" w:rsidRPr="00382917">
        <w:t>fast</w:t>
      </w:r>
      <w:r w:rsidR="00EE4FC3">
        <w:t xml:space="preserve"> </w:t>
      </w:r>
      <w:r w:rsidR="00610ADA" w:rsidRPr="00382917">
        <w:t>asleep</w:t>
      </w:r>
      <w:r w:rsidR="00EE4FC3">
        <w:t xml:space="preserve"> </w:t>
      </w:r>
      <w:r w:rsidR="00610ADA" w:rsidRPr="00382917">
        <w:t>in</w:t>
      </w:r>
      <w:r w:rsidR="00EE4FC3">
        <w:t xml:space="preserve"> </w:t>
      </w:r>
      <w:r w:rsidR="00610ADA" w:rsidRPr="00382917">
        <w:t>the</w:t>
      </w:r>
      <w:r w:rsidR="00EE4FC3">
        <w:t xml:space="preserve"> </w:t>
      </w:r>
      <w:r w:rsidR="00610ADA" w:rsidRPr="00382917">
        <w:t>vicinity</w:t>
      </w:r>
      <w:r w:rsidR="00EE4FC3">
        <w:t xml:space="preserve"> </w:t>
      </w:r>
      <w:r w:rsidR="00610ADA" w:rsidRPr="00382917">
        <w:t>of</w:t>
      </w:r>
      <w:r w:rsidR="00EE4FC3">
        <w:t xml:space="preserve"> </w:t>
      </w:r>
      <w:r w:rsidR="00610ADA" w:rsidRPr="00382917">
        <w:t>the</w:t>
      </w:r>
      <w:r w:rsidR="00EE4FC3">
        <w:t xml:space="preserve"> </w:t>
      </w:r>
      <w:r w:rsidR="00610ADA" w:rsidRPr="00382917">
        <w:t>tent</w:t>
      </w:r>
      <w:r w:rsidR="00EE4FC3">
        <w:t xml:space="preserve"> </w:t>
      </w:r>
      <w:r w:rsidR="00610ADA" w:rsidRPr="00382917">
        <w:t>of</w:t>
      </w:r>
      <w:r w:rsidR="00EE4FC3">
        <w:t xml:space="preserve"> </w:t>
      </w:r>
      <w:r w:rsidR="00610ADA" w:rsidRPr="00382917">
        <w:t>the</w:t>
      </w:r>
      <w:r w:rsidR="00EE4FC3">
        <w:t xml:space="preserve"> </w:t>
      </w:r>
      <w:r w:rsidR="00610ADA" w:rsidRPr="00382917">
        <w:t>Báb,</w:t>
      </w:r>
      <w:r w:rsidR="00EE4FC3">
        <w:t xml:space="preserve"> </w:t>
      </w:r>
      <w:r w:rsidR="00610ADA" w:rsidRPr="00382917">
        <w:t>when</w:t>
      </w:r>
      <w:r w:rsidR="00EE4FC3">
        <w:t xml:space="preserve"> </w:t>
      </w:r>
      <w:r w:rsidR="00610ADA" w:rsidRPr="00382917">
        <w:t>the</w:t>
      </w:r>
      <w:r w:rsidR="00EE4FC3">
        <w:t xml:space="preserve"> </w:t>
      </w:r>
      <w:r w:rsidR="00610ADA" w:rsidRPr="00382917">
        <w:t>tramping</w:t>
      </w:r>
      <w:r w:rsidR="00EE4FC3">
        <w:t xml:space="preserve"> </w:t>
      </w:r>
      <w:r w:rsidR="00610ADA" w:rsidRPr="00382917">
        <w:t>of</w:t>
      </w:r>
      <w:r w:rsidR="00EE4FC3">
        <w:t xml:space="preserve"> </w:t>
      </w:r>
      <w:r w:rsidR="00610ADA" w:rsidRPr="00382917">
        <w:t>horsemen</w:t>
      </w:r>
      <w:r w:rsidR="00EE4FC3">
        <w:t xml:space="preserve"> </w:t>
      </w:r>
      <w:r w:rsidR="00610ADA" w:rsidRPr="00382917">
        <w:t>suddenly</w:t>
      </w:r>
      <w:r w:rsidR="00EE4FC3">
        <w:t xml:space="preserve"> </w:t>
      </w:r>
      <w:r w:rsidR="00610ADA" w:rsidRPr="00382917">
        <w:t>awakened</w:t>
      </w:r>
      <w:r w:rsidR="00EE4FC3">
        <w:t xml:space="preserve"> </w:t>
      </w:r>
      <w:r w:rsidR="00610ADA" w:rsidRPr="00382917">
        <w:t>us</w:t>
      </w:r>
      <w:r w:rsidR="00330AF7">
        <w:t>.</w:t>
      </w:r>
      <w:r w:rsidR="00EE4FC3">
        <w:t xml:space="preserve">  </w:t>
      </w:r>
      <w:r w:rsidR="00610ADA" w:rsidRPr="00382917">
        <w:t>We</w:t>
      </w:r>
      <w:r w:rsidR="00EE4FC3">
        <w:t xml:space="preserve"> </w:t>
      </w:r>
      <w:r w:rsidR="00610ADA" w:rsidRPr="00382917">
        <w:t>were</w:t>
      </w:r>
      <w:r w:rsidR="00EE4FC3">
        <w:t xml:space="preserve"> </w:t>
      </w:r>
      <w:r w:rsidR="00610ADA" w:rsidRPr="00382917">
        <w:t>informed</w:t>
      </w:r>
      <w:r w:rsidR="00EE4FC3">
        <w:t xml:space="preserve"> </w:t>
      </w:r>
      <w:r w:rsidR="00610ADA" w:rsidRPr="00382917">
        <w:t>that</w:t>
      </w:r>
      <w:r w:rsidR="00EE4FC3">
        <w:t xml:space="preserve"> </w:t>
      </w:r>
      <w:r w:rsidR="00610ADA" w:rsidRPr="00382917">
        <w:t>the</w:t>
      </w:r>
      <w:r w:rsidR="00EE4FC3">
        <w:t xml:space="preserve"> </w:t>
      </w:r>
      <w:r w:rsidR="00610ADA" w:rsidRPr="00382917">
        <w:t>tent</w:t>
      </w:r>
      <w:r w:rsidR="00EE4FC3">
        <w:t xml:space="preserve"> </w:t>
      </w:r>
      <w:r w:rsidR="00610ADA" w:rsidRPr="00382917">
        <w:t>of</w:t>
      </w:r>
      <w:r w:rsidR="00EE4FC3">
        <w:t xml:space="preserve"> </w:t>
      </w:r>
      <w:r w:rsidR="00610ADA" w:rsidRPr="00382917">
        <w:t>the</w:t>
      </w:r>
      <w:r w:rsidR="00EE4FC3">
        <w:t xml:space="preserve"> </w:t>
      </w:r>
      <w:r w:rsidR="00610ADA" w:rsidRPr="00382917">
        <w:t>Báb</w:t>
      </w:r>
      <w:r w:rsidR="00EE4FC3">
        <w:t xml:space="preserve"> </w:t>
      </w:r>
      <w:r w:rsidR="00610ADA" w:rsidRPr="00382917">
        <w:t>was</w:t>
      </w:r>
      <w:r w:rsidR="00EE4FC3">
        <w:t xml:space="preserve"> </w:t>
      </w:r>
      <w:r w:rsidR="00610ADA" w:rsidRPr="00382917">
        <w:t>vacant,</w:t>
      </w:r>
      <w:r w:rsidR="00EE4FC3">
        <w:t xml:space="preserve"> </w:t>
      </w:r>
      <w:r w:rsidR="00610ADA" w:rsidRPr="00382917">
        <w:t>and</w:t>
      </w:r>
      <w:r w:rsidR="00EE4FC3">
        <w:t xml:space="preserve"> </w:t>
      </w:r>
      <w:r w:rsidR="00610ADA" w:rsidRPr="00382917">
        <w:t>that</w:t>
      </w:r>
      <w:r w:rsidR="00EE4FC3">
        <w:t xml:space="preserve"> </w:t>
      </w:r>
      <w:r w:rsidR="00610ADA" w:rsidRPr="00382917">
        <w:t>those</w:t>
      </w:r>
      <w:r w:rsidR="00EE4FC3">
        <w:t xml:space="preserve"> </w:t>
      </w:r>
      <w:r w:rsidR="00610ADA" w:rsidRPr="00382917">
        <w:t>who</w:t>
      </w:r>
      <w:r w:rsidR="00EE4FC3">
        <w:t xml:space="preserve"> </w:t>
      </w:r>
      <w:r w:rsidR="00610ADA" w:rsidRPr="00382917">
        <w:t>had</w:t>
      </w:r>
      <w:r w:rsidR="00EE4FC3">
        <w:t xml:space="preserve"> </w:t>
      </w:r>
      <w:r w:rsidR="00610ADA" w:rsidRPr="00382917">
        <w:t>gone</w:t>
      </w:r>
      <w:r w:rsidR="00EE4FC3">
        <w:t xml:space="preserve"> </w:t>
      </w:r>
      <w:r w:rsidR="00610ADA" w:rsidRPr="00382917">
        <w:t>in</w:t>
      </w:r>
      <w:r w:rsidR="00EE4FC3">
        <w:t xml:space="preserve"> </w:t>
      </w:r>
      <w:r w:rsidR="00610ADA" w:rsidRPr="00382917">
        <w:t>search</w:t>
      </w:r>
      <w:r w:rsidR="00EE4FC3">
        <w:t xml:space="preserve"> </w:t>
      </w:r>
      <w:r w:rsidR="00610ADA" w:rsidRPr="00382917">
        <w:t>of</w:t>
      </w:r>
      <w:r w:rsidR="00EE4FC3">
        <w:t xml:space="preserve"> </w:t>
      </w:r>
      <w:r w:rsidR="00610ADA" w:rsidRPr="00382917">
        <w:t>Him</w:t>
      </w:r>
      <w:r w:rsidR="00EE4FC3">
        <w:t xml:space="preserve"> </w:t>
      </w:r>
      <w:r w:rsidR="00610ADA" w:rsidRPr="00382917">
        <w:t>had</w:t>
      </w:r>
      <w:r w:rsidR="00EE4FC3">
        <w:t xml:space="preserve"> </w:t>
      </w:r>
      <w:r w:rsidR="00610ADA" w:rsidRPr="00382917">
        <w:t>failed</w:t>
      </w:r>
      <w:r w:rsidR="00EE4FC3">
        <w:t xml:space="preserve"> </w:t>
      </w:r>
      <w:r w:rsidR="00610ADA" w:rsidRPr="00382917">
        <w:t>to</w:t>
      </w:r>
      <w:r w:rsidR="00EE4FC3">
        <w:t xml:space="preserve"> </w:t>
      </w:r>
      <w:r w:rsidR="00610ADA" w:rsidRPr="00382917">
        <w:t>find</w:t>
      </w:r>
      <w:r w:rsidR="00EE4FC3">
        <w:t xml:space="preserve"> </w:t>
      </w:r>
      <w:r w:rsidR="00610ADA" w:rsidRPr="00382917">
        <w:t>Him.</w:t>
      </w:r>
    </w:p>
    <w:p w:rsidR="00610ADA" w:rsidRPr="00382917" w:rsidRDefault="009C713D" w:rsidP="00900F24">
      <w:pPr>
        <w:pStyle w:val="Text"/>
      </w:pPr>
      <w:r w:rsidRPr="00382917">
        <w:t>“</w:t>
      </w:r>
      <w:r w:rsidR="00610ADA" w:rsidRPr="00382917">
        <w:t>We</w:t>
      </w:r>
      <w:r w:rsidR="00EE4FC3">
        <w:t xml:space="preserve"> </w:t>
      </w:r>
      <w:r w:rsidR="00610ADA" w:rsidRPr="00382917">
        <w:t>heard</w:t>
      </w:r>
      <w:r w:rsidR="00EE4FC3">
        <w:t xml:space="preserve"> </w:t>
      </w:r>
      <w:r w:rsidR="0040329F" w:rsidRPr="00382917">
        <w:t>Mu</w:t>
      </w:r>
      <w:r w:rsidR="0040329F" w:rsidRPr="0040329F">
        <w:t>ḥ</w:t>
      </w:r>
      <w:r w:rsidR="0040329F" w:rsidRPr="00382917">
        <w:t>ammad</w:t>
      </w:r>
      <w:r w:rsidR="00EE4FC3">
        <w:t xml:space="preserve"> </w:t>
      </w:r>
      <w:r w:rsidR="00610ADA" w:rsidRPr="00382917">
        <w:t>Big</w:t>
      </w:r>
      <w:r w:rsidR="00EE4FC3">
        <w:t xml:space="preserve"> </w:t>
      </w:r>
      <w:r w:rsidR="00610ADA" w:rsidRPr="00382917">
        <w:t>[the</w:t>
      </w:r>
      <w:r w:rsidR="00EE4FC3">
        <w:t xml:space="preserve"> </w:t>
      </w:r>
      <w:r w:rsidR="00610ADA" w:rsidRPr="00382917">
        <w:t>Captain</w:t>
      </w:r>
      <w:r w:rsidR="00EE4FC3">
        <w:t xml:space="preserve"> </w:t>
      </w:r>
      <w:r w:rsidR="00610ADA" w:rsidRPr="00382917">
        <w:t>of</w:t>
      </w:r>
      <w:r w:rsidR="00EE4FC3">
        <w:t xml:space="preserve"> </w:t>
      </w:r>
      <w:r w:rsidR="00610ADA" w:rsidRPr="00382917">
        <w:t>the</w:t>
      </w:r>
      <w:r w:rsidR="00EE4FC3">
        <w:t xml:space="preserve"> </w:t>
      </w:r>
      <w:r w:rsidR="00610ADA" w:rsidRPr="00382917">
        <w:t>Báb</w:t>
      </w:r>
      <w:r w:rsidRPr="00382917">
        <w:t>’</w:t>
      </w:r>
      <w:r w:rsidR="00610ADA" w:rsidRPr="00382917">
        <w:t>s</w:t>
      </w:r>
      <w:r w:rsidR="00EE4FC3">
        <w:t xml:space="preserve"> </w:t>
      </w:r>
      <w:r w:rsidR="00610ADA" w:rsidRPr="00382917">
        <w:t>escort]</w:t>
      </w:r>
      <w:r w:rsidR="00EE4FC3">
        <w:t xml:space="preserve"> </w:t>
      </w:r>
      <w:r w:rsidR="00610ADA" w:rsidRPr="00382917">
        <w:t>calming</w:t>
      </w:r>
      <w:r w:rsidR="00EE4FC3">
        <w:t xml:space="preserve"> </w:t>
      </w:r>
      <w:r w:rsidR="00610ADA" w:rsidRPr="00382917">
        <w:t>the</w:t>
      </w:r>
      <w:r w:rsidR="00EE4FC3">
        <w:t xml:space="preserve"> </w:t>
      </w:r>
      <w:r w:rsidR="00610ADA" w:rsidRPr="00382917">
        <w:t>soldiers</w:t>
      </w:r>
      <w:r w:rsidR="00330AF7">
        <w:t>.</w:t>
      </w:r>
      <w:r w:rsidR="00EE4FC3">
        <w:t xml:space="preserve">  </w:t>
      </w:r>
      <w:r w:rsidRPr="00382917">
        <w:t>‘</w:t>
      </w:r>
      <w:r w:rsidR="00610ADA" w:rsidRPr="00382917">
        <w:t>Why</w:t>
      </w:r>
      <w:r w:rsidR="00EE4FC3">
        <w:t xml:space="preserve"> </w:t>
      </w:r>
      <w:r w:rsidR="00610ADA" w:rsidRPr="00382917">
        <w:t>worry?</w:t>
      </w:r>
      <w:r w:rsidRPr="00382917">
        <w:t>’</w:t>
      </w:r>
      <w:r w:rsidR="00EE4FC3">
        <w:t xml:space="preserve"> </w:t>
      </w:r>
      <w:r w:rsidR="00610ADA" w:rsidRPr="00382917">
        <w:t>he</w:t>
      </w:r>
      <w:r w:rsidR="00EE4FC3">
        <w:t xml:space="preserve"> </w:t>
      </w:r>
      <w:r w:rsidR="00610ADA" w:rsidRPr="00382917">
        <w:t>told</w:t>
      </w:r>
      <w:r w:rsidR="00EE4FC3">
        <w:t xml:space="preserve"> </w:t>
      </w:r>
      <w:r w:rsidR="00610ADA" w:rsidRPr="00382917">
        <w:t>them</w:t>
      </w:r>
      <w:r w:rsidR="00330AF7">
        <w:t>.</w:t>
      </w:r>
      <w:r w:rsidR="00EE4FC3">
        <w:t xml:space="preserve">  </w:t>
      </w:r>
      <w:r w:rsidRPr="00382917">
        <w:t>‘</w:t>
      </w:r>
      <w:r w:rsidR="00610ADA" w:rsidRPr="00382917">
        <w:t>Are</w:t>
      </w:r>
      <w:r w:rsidR="00EE4FC3">
        <w:t xml:space="preserve"> </w:t>
      </w:r>
      <w:r w:rsidR="00610ADA" w:rsidRPr="00382917">
        <w:t>not</w:t>
      </w:r>
      <w:r w:rsidR="00EE4FC3">
        <w:t xml:space="preserve"> </w:t>
      </w:r>
      <w:r w:rsidR="00610ADA" w:rsidRPr="00382917">
        <w:t>the</w:t>
      </w:r>
      <w:r w:rsidR="00EE4FC3">
        <w:t xml:space="preserve"> </w:t>
      </w:r>
      <w:r w:rsidR="00610ADA" w:rsidRPr="00382917">
        <w:t>Báb</w:t>
      </w:r>
      <w:r w:rsidRPr="00382917">
        <w:t>’</w:t>
      </w:r>
      <w:r w:rsidR="00610ADA" w:rsidRPr="00382917">
        <w:t>s</w:t>
      </w:r>
      <w:r w:rsidR="00EE4FC3">
        <w:t xml:space="preserve"> </w:t>
      </w:r>
      <w:r w:rsidR="00610ADA" w:rsidRPr="00382917">
        <w:t>trustworthiness</w:t>
      </w:r>
      <w:r w:rsidR="00EE4FC3">
        <w:t xml:space="preserve"> </w:t>
      </w:r>
      <w:r w:rsidR="00610ADA" w:rsidRPr="00382917">
        <w:t>and</w:t>
      </w:r>
      <w:r w:rsidR="00EE4FC3">
        <w:t xml:space="preserve"> </w:t>
      </w:r>
      <w:r w:rsidR="00610ADA" w:rsidRPr="00382917">
        <w:t>nobility</w:t>
      </w:r>
      <w:r w:rsidR="00EE4FC3">
        <w:t xml:space="preserve"> </w:t>
      </w:r>
      <w:r w:rsidR="00610ADA" w:rsidRPr="00382917">
        <w:t>sufficiently</w:t>
      </w:r>
      <w:r w:rsidR="00EE4FC3">
        <w:t xml:space="preserve"> </w:t>
      </w:r>
      <w:r w:rsidR="00610ADA" w:rsidRPr="00382917">
        <w:t>established</w:t>
      </w:r>
      <w:r w:rsidR="00EE4FC3">
        <w:t xml:space="preserve"> </w:t>
      </w:r>
      <w:r w:rsidR="00610ADA" w:rsidRPr="00382917">
        <w:t>in</w:t>
      </w:r>
      <w:r w:rsidR="00EE4FC3">
        <w:t xml:space="preserve"> </w:t>
      </w:r>
      <w:r w:rsidR="00610ADA" w:rsidRPr="00382917">
        <w:t>your</w:t>
      </w:r>
      <w:r w:rsidR="00EE4FC3">
        <w:t xml:space="preserve"> </w:t>
      </w:r>
      <w:r w:rsidR="00610ADA" w:rsidRPr="00382917">
        <w:t>eyes</w:t>
      </w:r>
      <w:r w:rsidR="00EE4FC3">
        <w:t xml:space="preserve"> </w:t>
      </w:r>
      <w:r w:rsidR="00610ADA" w:rsidRPr="00382917">
        <w:t>to</w:t>
      </w:r>
      <w:r w:rsidR="00EE4FC3">
        <w:t xml:space="preserve"> </w:t>
      </w:r>
      <w:r w:rsidR="00610ADA" w:rsidRPr="00382917">
        <w:t>convince</w:t>
      </w:r>
      <w:r w:rsidR="00EE4FC3">
        <w:t xml:space="preserve"> </w:t>
      </w:r>
      <w:r w:rsidR="00610ADA" w:rsidRPr="00382917">
        <w:t>you</w:t>
      </w:r>
      <w:r w:rsidR="00EE4FC3">
        <w:t xml:space="preserve"> </w:t>
      </w:r>
      <w:r w:rsidR="00610ADA" w:rsidRPr="00382917">
        <w:t>that</w:t>
      </w:r>
      <w:r w:rsidR="00EE4FC3">
        <w:t xml:space="preserve"> </w:t>
      </w:r>
      <w:r w:rsidR="00610ADA" w:rsidRPr="00382917">
        <w:t>He</w:t>
      </w:r>
      <w:r w:rsidR="00EE4FC3">
        <w:t xml:space="preserve"> </w:t>
      </w:r>
      <w:r w:rsidR="00610ADA" w:rsidRPr="00382917">
        <w:t>will</w:t>
      </w:r>
      <w:r w:rsidR="00EE4FC3">
        <w:t xml:space="preserve"> </w:t>
      </w:r>
      <w:r w:rsidR="00610ADA" w:rsidRPr="00382917">
        <w:t>never</w:t>
      </w:r>
      <w:r w:rsidR="00EE4FC3">
        <w:t xml:space="preserve"> </w:t>
      </w:r>
      <w:proofErr w:type="gramStart"/>
      <w:r w:rsidR="00610ADA" w:rsidRPr="00382917">
        <w:t>embarrass</w:t>
      </w:r>
      <w:proofErr w:type="gramEnd"/>
      <w:r w:rsidR="00EE4FC3">
        <w:t xml:space="preserve"> </w:t>
      </w:r>
      <w:r w:rsidR="00610ADA" w:rsidRPr="00382917">
        <w:t>you</w:t>
      </w:r>
      <w:r w:rsidR="00EE4FC3">
        <w:t xml:space="preserve"> </w:t>
      </w:r>
      <w:r w:rsidR="00610ADA" w:rsidRPr="00382917">
        <w:t>for</w:t>
      </w:r>
      <w:r w:rsidR="00EE4FC3">
        <w:t xml:space="preserve"> </w:t>
      </w:r>
      <w:r w:rsidR="00610ADA" w:rsidRPr="00382917">
        <w:t>the</w:t>
      </w:r>
      <w:r w:rsidR="00EE4FC3">
        <w:t xml:space="preserve"> </w:t>
      </w:r>
      <w:r w:rsidR="00610ADA" w:rsidRPr="00382917">
        <w:t>sake</w:t>
      </w:r>
      <w:r w:rsidR="00EE4FC3">
        <w:t xml:space="preserve"> </w:t>
      </w:r>
      <w:r w:rsidR="00610ADA" w:rsidRPr="00382917">
        <w:t>of</w:t>
      </w:r>
      <w:r w:rsidR="00EE4FC3">
        <w:t xml:space="preserve"> </w:t>
      </w:r>
      <w:r w:rsidR="00610ADA" w:rsidRPr="00382917">
        <w:t>His</w:t>
      </w:r>
      <w:r w:rsidR="00EE4FC3">
        <w:t xml:space="preserve"> </w:t>
      </w:r>
      <w:r w:rsidR="00610ADA" w:rsidRPr="00382917">
        <w:t>own</w:t>
      </w:r>
      <w:r w:rsidR="00EE4FC3">
        <w:t xml:space="preserve"> </w:t>
      </w:r>
      <w:r w:rsidR="00610ADA" w:rsidRPr="00382917">
        <w:t>safety?</w:t>
      </w:r>
      <w:r w:rsidR="00E515C5">
        <w:t xml:space="preserve"> </w:t>
      </w:r>
      <w:r w:rsidR="00EE4FC3">
        <w:t xml:space="preserve"> </w:t>
      </w:r>
      <w:r w:rsidR="00610ADA" w:rsidRPr="00382917">
        <w:t>No</w:t>
      </w:r>
      <w:r w:rsidR="00EE4FC3">
        <w:t xml:space="preserve"> </w:t>
      </w:r>
      <w:r w:rsidR="00610ADA" w:rsidRPr="00382917">
        <w:t>doubt</w:t>
      </w:r>
      <w:r w:rsidR="00EE4FC3">
        <w:t xml:space="preserve"> </w:t>
      </w:r>
      <w:r w:rsidR="00610ADA" w:rsidRPr="00382917">
        <w:t>He</w:t>
      </w:r>
      <w:r w:rsidR="00EE4FC3">
        <w:t xml:space="preserve"> </w:t>
      </w:r>
      <w:r w:rsidR="00610ADA" w:rsidRPr="00382917">
        <w:t>has</w:t>
      </w:r>
      <w:r w:rsidR="00EE4FC3">
        <w:t xml:space="preserve"> </w:t>
      </w:r>
      <w:r w:rsidR="00610ADA" w:rsidRPr="00382917">
        <w:t>retired</w:t>
      </w:r>
      <w:r w:rsidR="00EE4FC3">
        <w:t xml:space="preserve"> </w:t>
      </w:r>
      <w:r w:rsidR="00610ADA" w:rsidRPr="00382917">
        <w:t>in</w:t>
      </w:r>
      <w:r w:rsidR="00EE4FC3">
        <w:t xml:space="preserve"> </w:t>
      </w:r>
      <w:r w:rsidR="00610ADA" w:rsidRPr="00382917">
        <w:t>the</w:t>
      </w:r>
      <w:r w:rsidR="00EE4FC3">
        <w:t xml:space="preserve"> </w:t>
      </w:r>
      <w:r w:rsidR="00610ADA" w:rsidRPr="00382917">
        <w:t>silence</w:t>
      </w:r>
      <w:r w:rsidR="00EE4FC3">
        <w:t xml:space="preserve"> </w:t>
      </w:r>
      <w:r w:rsidR="00610ADA" w:rsidRPr="00382917">
        <w:t>of</w:t>
      </w:r>
      <w:r w:rsidR="00EE4FC3">
        <w:t xml:space="preserve"> </w:t>
      </w:r>
      <w:r w:rsidR="00610ADA" w:rsidRPr="00382917">
        <w:t>this</w:t>
      </w:r>
      <w:r w:rsidR="00EE4FC3">
        <w:t xml:space="preserve"> </w:t>
      </w:r>
      <w:r w:rsidR="00610ADA" w:rsidRPr="00382917">
        <w:t>moonlit</w:t>
      </w:r>
      <w:r w:rsidR="00EE4FC3">
        <w:t xml:space="preserve"> </w:t>
      </w:r>
      <w:r w:rsidR="00610ADA" w:rsidRPr="00382917">
        <w:t>night</w:t>
      </w:r>
      <w:r w:rsidR="00EE4FC3">
        <w:t xml:space="preserve"> </w:t>
      </w:r>
      <w:r w:rsidR="00610ADA" w:rsidRPr="00382917">
        <w:t>to</w:t>
      </w:r>
      <w:r w:rsidR="00EE4FC3">
        <w:t xml:space="preserve"> </w:t>
      </w:r>
      <w:r w:rsidR="00610ADA" w:rsidRPr="00382917">
        <w:t>a</w:t>
      </w:r>
      <w:r w:rsidR="00EE4FC3">
        <w:t xml:space="preserve"> </w:t>
      </w:r>
      <w:r w:rsidR="00610ADA" w:rsidRPr="00382917">
        <w:t>place</w:t>
      </w:r>
      <w:r w:rsidR="00EE4FC3">
        <w:t xml:space="preserve"> </w:t>
      </w:r>
      <w:r w:rsidR="00610ADA" w:rsidRPr="00382917">
        <w:t>where</w:t>
      </w:r>
      <w:r w:rsidR="00EE4FC3">
        <w:t xml:space="preserve"> </w:t>
      </w:r>
      <w:r w:rsidR="00610ADA" w:rsidRPr="00382917">
        <w:t>He</w:t>
      </w:r>
      <w:r w:rsidR="00EE4FC3">
        <w:t xml:space="preserve"> </w:t>
      </w:r>
      <w:r w:rsidR="00610ADA" w:rsidRPr="00382917">
        <w:t>can</w:t>
      </w:r>
      <w:r w:rsidR="00EE4FC3">
        <w:t xml:space="preserve"> </w:t>
      </w:r>
      <w:r w:rsidR="00610ADA" w:rsidRPr="00382917">
        <w:t>seek</w:t>
      </w:r>
      <w:r w:rsidR="00EE4FC3">
        <w:t xml:space="preserve"> </w:t>
      </w:r>
      <w:r w:rsidR="00610ADA" w:rsidRPr="00382917">
        <w:t>undisturbed</w:t>
      </w:r>
      <w:r w:rsidR="00EE4FC3">
        <w:t xml:space="preserve"> </w:t>
      </w:r>
      <w:r w:rsidR="00610ADA" w:rsidRPr="00382917">
        <w:t>communion</w:t>
      </w:r>
      <w:r w:rsidR="00EE4FC3">
        <w:t xml:space="preserve"> </w:t>
      </w:r>
      <w:r w:rsidR="00610ADA" w:rsidRPr="00382917">
        <w:t>with</w:t>
      </w:r>
      <w:r w:rsidR="00EE4FC3">
        <w:t xml:space="preserve"> </w:t>
      </w:r>
      <w:r w:rsidR="00610ADA" w:rsidRPr="00382917">
        <w:t>God</w:t>
      </w:r>
      <w:r w:rsidR="00330AF7">
        <w:t>.</w:t>
      </w:r>
      <w:r w:rsidR="00EE4FC3">
        <w:t xml:space="preserve">  </w:t>
      </w:r>
      <w:r w:rsidR="00610ADA" w:rsidRPr="00382917">
        <w:t>Be</w:t>
      </w:r>
      <w:r w:rsidR="00EE4FC3">
        <w:t xml:space="preserve"> </w:t>
      </w:r>
      <w:r w:rsidR="00610ADA" w:rsidRPr="00382917">
        <w:t>confident</w:t>
      </w:r>
      <w:r w:rsidR="00EE4FC3">
        <w:t xml:space="preserve"> </w:t>
      </w:r>
      <w:r w:rsidR="00610ADA" w:rsidRPr="00382917">
        <w:t>that</w:t>
      </w:r>
      <w:r w:rsidR="00EE4FC3">
        <w:t xml:space="preserve"> </w:t>
      </w:r>
      <w:r w:rsidR="00610ADA" w:rsidRPr="00382917">
        <w:t>He</w:t>
      </w:r>
      <w:r w:rsidR="00EE4FC3">
        <w:t xml:space="preserve"> </w:t>
      </w:r>
      <w:r w:rsidR="00610ADA" w:rsidRPr="00382917">
        <w:t>will</w:t>
      </w:r>
      <w:r w:rsidR="00EE4FC3">
        <w:t xml:space="preserve"> </w:t>
      </w:r>
      <w:r w:rsidR="00610ADA" w:rsidRPr="00382917">
        <w:t>unquestionably</w:t>
      </w:r>
      <w:r w:rsidR="00EE4FC3">
        <w:t xml:space="preserve"> </w:t>
      </w:r>
      <w:r w:rsidR="00610ADA" w:rsidRPr="00382917">
        <w:t>return</w:t>
      </w:r>
      <w:r w:rsidR="00EE4FC3">
        <w:t xml:space="preserve"> </w:t>
      </w:r>
      <w:r w:rsidR="00610ADA" w:rsidRPr="00382917">
        <w:t>to</w:t>
      </w:r>
      <w:r w:rsidR="00EE4FC3">
        <w:t xml:space="preserve"> </w:t>
      </w:r>
      <w:r w:rsidR="00610ADA" w:rsidRPr="00382917">
        <w:t>His</w:t>
      </w:r>
      <w:r w:rsidR="00EE4FC3">
        <w:t xml:space="preserve"> </w:t>
      </w:r>
      <w:r w:rsidR="00610ADA" w:rsidRPr="00382917">
        <w:t>tent</w:t>
      </w:r>
      <w:r w:rsidR="00330AF7">
        <w:t>.</w:t>
      </w:r>
      <w:r w:rsidR="00EE4FC3">
        <w:t xml:space="preserve">  </w:t>
      </w:r>
      <w:r w:rsidR="00610ADA" w:rsidRPr="00382917">
        <w:t>He</w:t>
      </w:r>
      <w:r w:rsidR="00EE4FC3">
        <w:t xml:space="preserve"> </w:t>
      </w:r>
      <w:r w:rsidR="00610ADA" w:rsidRPr="00382917">
        <w:t>will</w:t>
      </w:r>
      <w:r w:rsidR="00EE4FC3">
        <w:t xml:space="preserve"> </w:t>
      </w:r>
      <w:r w:rsidR="00610ADA" w:rsidRPr="00382917">
        <w:t>never</w:t>
      </w:r>
      <w:r w:rsidR="00EE4FC3">
        <w:t xml:space="preserve"> </w:t>
      </w:r>
      <w:r w:rsidR="00610ADA" w:rsidRPr="00382917">
        <w:t>desert</w:t>
      </w:r>
      <w:r w:rsidR="00EE4FC3">
        <w:t xml:space="preserve"> </w:t>
      </w:r>
      <w:r w:rsidR="00610ADA" w:rsidRPr="00382917">
        <w:t>us.</w:t>
      </w:r>
      <w:r w:rsidRPr="00382917">
        <w:t>’</w:t>
      </w:r>
    </w:p>
    <w:p w:rsidR="00610ADA" w:rsidRPr="00382917" w:rsidRDefault="009C713D" w:rsidP="00900F24">
      <w:pPr>
        <w:pStyle w:val="Text"/>
      </w:pPr>
      <w:r w:rsidRPr="00382917">
        <w:t>“</w:t>
      </w:r>
      <w:r w:rsidR="00610ADA" w:rsidRPr="00382917">
        <w:t>In</w:t>
      </w:r>
      <w:r w:rsidR="00EE4FC3">
        <w:t xml:space="preserve"> </w:t>
      </w:r>
      <w:r w:rsidR="00610ADA" w:rsidRPr="00382917">
        <w:t>his</w:t>
      </w:r>
      <w:r w:rsidR="00EE4FC3">
        <w:t xml:space="preserve"> </w:t>
      </w:r>
      <w:r w:rsidR="00610ADA" w:rsidRPr="00382917">
        <w:t>eagerness</w:t>
      </w:r>
      <w:r w:rsidR="00EE4FC3">
        <w:t xml:space="preserve"> </w:t>
      </w:r>
      <w:r w:rsidR="00610ADA" w:rsidRPr="00382917">
        <w:t>to</w:t>
      </w:r>
      <w:r w:rsidR="00EE4FC3">
        <w:t xml:space="preserve"> </w:t>
      </w:r>
      <w:r w:rsidR="00610ADA" w:rsidRPr="00382917">
        <w:t>assure</w:t>
      </w:r>
      <w:r w:rsidR="00EE4FC3">
        <w:t xml:space="preserve"> </w:t>
      </w:r>
      <w:r w:rsidR="00610ADA" w:rsidRPr="00382917">
        <w:t>his</w:t>
      </w:r>
      <w:r w:rsidR="00EE4FC3">
        <w:t xml:space="preserve"> </w:t>
      </w:r>
      <w:r w:rsidR="00610ADA" w:rsidRPr="00382917">
        <w:t>colleagues,</w:t>
      </w:r>
      <w:r w:rsidR="00EE4FC3">
        <w:t xml:space="preserve"> </w:t>
      </w:r>
      <w:r w:rsidR="0040329F" w:rsidRPr="00382917">
        <w:t>Mu</w:t>
      </w:r>
      <w:r w:rsidR="0040329F" w:rsidRPr="0040329F">
        <w:t>ḥ</w:t>
      </w:r>
      <w:r w:rsidR="0040329F" w:rsidRPr="00382917">
        <w:t>ammad</w:t>
      </w:r>
      <w:r w:rsidR="00EE4FC3">
        <w:t xml:space="preserve"> </w:t>
      </w:r>
      <w:r w:rsidR="00610ADA" w:rsidRPr="00382917">
        <w:t>Big</w:t>
      </w:r>
      <w:r w:rsidR="00EE4FC3">
        <w:t xml:space="preserve"> </w:t>
      </w:r>
      <w:r w:rsidR="00610ADA" w:rsidRPr="00382917">
        <w:t>set</w:t>
      </w:r>
      <w:r w:rsidR="00EE4FC3">
        <w:t xml:space="preserve"> </w:t>
      </w:r>
      <w:r w:rsidR="00610ADA" w:rsidRPr="00382917">
        <w:t>out</w:t>
      </w:r>
      <w:r w:rsidR="00EE4FC3">
        <w:t xml:space="preserve"> </w:t>
      </w:r>
      <w:r w:rsidR="00610ADA" w:rsidRPr="00382917">
        <w:t>on</w:t>
      </w:r>
      <w:r w:rsidR="00EE4FC3">
        <w:t xml:space="preserve"> </w:t>
      </w:r>
      <w:r w:rsidR="00610ADA" w:rsidRPr="00382917">
        <w:t>foot</w:t>
      </w:r>
      <w:r w:rsidR="00EE4FC3">
        <w:t xml:space="preserve"> </w:t>
      </w:r>
      <w:r w:rsidR="00610ADA" w:rsidRPr="00382917">
        <w:t>along</w:t>
      </w:r>
      <w:r w:rsidR="00EE4FC3">
        <w:t xml:space="preserve"> </w:t>
      </w:r>
      <w:r w:rsidR="00610ADA" w:rsidRPr="00382917">
        <w:t>the</w:t>
      </w:r>
      <w:r w:rsidR="00EE4FC3">
        <w:t xml:space="preserve"> </w:t>
      </w:r>
      <w:r w:rsidR="00610ADA" w:rsidRPr="00382917">
        <w:t>road</w:t>
      </w:r>
      <w:r w:rsidR="00EE4FC3">
        <w:t xml:space="preserve"> </w:t>
      </w:r>
      <w:r w:rsidR="00610ADA" w:rsidRPr="00382917">
        <w:t>leading</w:t>
      </w:r>
      <w:r w:rsidR="00EE4FC3">
        <w:t xml:space="preserve"> </w:t>
      </w:r>
      <w:r w:rsidR="00610ADA" w:rsidRPr="00382917">
        <w:t>to</w:t>
      </w:r>
      <w:r w:rsidR="00EE4FC3">
        <w:t xml:space="preserve"> </w:t>
      </w:r>
      <w:r w:rsidR="00610ADA" w:rsidRPr="00382917">
        <w:t>Ṭihrán</w:t>
      </w:r>
      <w:r w:rsidR="00330AF7">
        <w:t>.</w:t>
      </w:r>
      <w:r w:rsidR="00EE4FC3">
        <w:t xml:space="preserve">  </w:t>
      </w:r>
      <w:r w:rsidR="00610ADA" w:rsidRPr="00382917">
        <w:t>I,</w:t>
      </w:r>
      <w:r w:rsidR="00EE4FC3">
        <w:t xml:space="preserve"> </w:t>
      </w:r>
      <w:r w:rsidR="00610ADA" w:rsidRPr="00382917">
        <w:t>too,</w:t>
      </w:r>
      <w:r w:rsidR="00EE4FC3">
        <w:t xml:space="preserve"> </w:t>
      </w:r>
      <w:r w:rsidR="00610ADA" w:rsidRPr="00382917">
        <w:t>with</w:t>
      </w:r>
      <w:r w:rsidR="00EE4FC3">
        <w:t xml:space="preserve"> </w:t>
      </w:r>
      <w:r w:rsidR="00610ADA" w:rsidRPr="00382917">
        <w:t>my</w:t>
      </w:r>
      <w:r w:rsidR="00EE4FC3">
        <w:t xml:space="preserve"> </w:t>
      </w:r>
      <w:r w:rsidR="00610ADA" w:rsidRPr="00382917">
        <w:t>companions,</w:t>
      </w:r>
      <w:r w:rsidR="00EE4FC3">
        <w:t xml:space="preserve"> </w:t>
      </w:r>
      <w:r w:rsidR="00610ADA" w:rsidRPr="00382917">
        <w:t>followed</w:t>
      </w:r>
      <w:r w:rsidR="00EE4FC3">
        <w:t xml:space="preserve"> </w:t>
      </w:r>
      <w:r w:rsidR="00610ADA" w:rsidRPr="00382917">
        <w:t>him</w:t>
      </w:r>
      <w:r w:rsidR="00330AF7">
        <w:t>.</w:t>
      </w:r>
      <w:r w:rsidR="00EE4FC3">
        <w:t xml:space="preserve">  </w:t>
      </w:r>
      <w:r w:rsidR="00610ADA" w:rsidRPr="00382917">
        <w:t>Shortly</w:t>
      </w:r>
      <w:r w:rsidR="00EE4FC3">
        <w:t xml:space="preserve"> </w:t>
      </w:r>
      <w:r w:rsidR="00610ADA" w:rsidRPr="00382917">
        <w:t>after,</w:t>
      </w:r>
      <w:r w:rsidR="00EE4FC3">
        <w:t xml:space="preserve"> </w:t>
      </w:r>
      <w:r w:rsidR="00610ADA" w:rsidRPr="00382917">
        <w:t>the</w:t>
      </w:r>
      <w:r w:rsidR="00EE4FC3">
        <w:t xml:space="preserve"> </w:t>
      </w:r>
      <w:r w:rsidR="00610ADA" w:rsidRPr="00382917">
        <w:t>rest</w:t>
      </w:r>
      <w:r w:rsidR="00EE4FC3">
        <w:t xml:space="preserve"> </w:t>
      </w:r>
      <w:r w:rsidR="00610ADA" w:rsidRPr="00382917">
        <w:t>of</w:t>
      </w:r>
      <w:r w:rsidR="00EE4FC3">
        <w:t xml:space="preserve"> </w:t>
      </w:r>
      <w:r w:rsidR="00610ADA" w:rsidRPr="00382917">
        <w:t>the</w:t>
      </w:r>
      <w:r w:rsidR="00EE4FC3">
        <w:t xml:space="preserve"> </w:t>
      </w:r>
      <w:r w:rsidR="00610ADA" w:rsidRPr="00382917">
        <w:t>guards</w:t>
      </w:r>
      <w:r w:rsidR="00EE4FC3">
        <w:t xml:space="preserve"> </w:t>
      </w:r>
      <w:r w:rsidR="00610ADA" w:rsidRPr="00382917">
        <w:t>on</w:t>
      </w:r>
      <w:r w:rsidR="00EE4FC3">
        <w:t xml:space="preserve"> </w:t>
      </w:r>
      <w:r w:rsidR="00610ADA" w:rsidRPr="00382917">
        <w:t>horseback</w:t>
      </w:r>
      <w:r w:rsidR="00EE4FC3">
        <w:t xml:space="preserve"> </w:t>
      </w:r>
      <w:r w:rsidR="00610ADA" w:rsidRPr="00382917">
        <w:t>were</w:t>
      </w:r>
      <w:r w:rsidR="00EE4FC3">
        <w:t xml:space="preserve"> </w:t>
      </w:r>
      <w:r w:rsidR="00610ADA" w:rsidRPr="00382917">
        <w:t>marching</w:t>
      </w:r>
      <w:r w:rsidR="00EE4FC3">
        <w:t xml:space="preserve"> </w:t>
      </w:r>
      <w:r w:rsidR="00610ADA" w:rsidRPr="00382917">
        <w:t>behind</w:t>
      </w:r>
      <w:r w:rsidR="00EE4FC3">
        <w:t xml:space="preserve"> </w:t>
      </w:r>
      <w:r w:rsidR="00610ADA" w:rsidRPr="00382917">
        <w:t>us.</w:t>
      </w:r>
    </w:p>
    <w:p w:rsidR="00610ADA" w:rsidRPr="00382917" w:rsidRDefault="009C713D" w:rsidP="00900F24">
      <w:pPr>
        <w:pStyle w:val="Text"/>
      </w:pPr>
      <w:r w:rsidRPr="00382917">
        <w:t>“</w:t>
      </w:r>
      <w:r w:rsidR="00610ADA" w:rsidRPr="00382917">
        <w:t>We</w:t>
      </w:r>
      <w:r w:rsidR="00EE4FC3">
        <w:t xml:space="preserve"> </w:t>
      </w:r>
      <w:r w:rsidR="00610ADA" w:rsidRPr="00382917">
        <w:t>had</w:t>
      </w:r>
      <w:r w:rsidR="00EE4FC3">
        <w:t xml:space="preserve"> </w:t>
      </w:r>
      <w:r w:rsidR="00610ADA" w:rsidRPr="00382917">
        <w:t>covered</w:t>
      </w:r>
      <w:r w:rsidR="00EE4FC3">
        <w:t xml:space="preserve"> </w:t>
      </w:r>
      <w:r w:rsidR="00610ADA" w:rsidRPr="00382917">
        <w:t>about</w:t>
      </w:r>
      <w:r w:rsidR="00EE4FC3">
        <w:t xml:space="preserve"> </w:t>
      </w:r>
      <w:r w:rsidR="00610ADA" w:rsidRPr="00382917">
        <w:t>a</w:t>
      </w:r>
      <w:r w:rsidR="00EE4FC3">
        <w:t xml:space="preserve"> </w:t>
      </w:r>
      <w:r w:rsidR="00610ADA" w:rsidRPr="00382917">
        <w:t>mile</w:t>
      </w:r>
      <w:r w:rsidR="00EE4FC3">
        <w:t xml:space="preserve"> </w:t>
      </w:r>
      <w:r w:rsidR="00610ADA" w:rsidRPr="00382917">
        <w:t>when,</w:t>
      </w:r>
      <w:r w:rsidR="00EE4FC3">
        <w:t xml:space="preserve"> </w:t>
      </w:r>
      <w:r w:rsidR="00610ADA" w:rsidRPr="00382917">
        <w:t>by</w:t>
      </w:r>
      <w:r w:rsidR="00EE4FC3">
        <w:t xml:space="preserve"> </w:t>
      </w:r>
      <w:r w:rsidR="00610ADA" w:rsidRPr="00382917">
        <w:t>the</w:t>
      </w:r>
      <w:r w:rsidR="00EE4FC3">
        <w:t xml:space="preserve"> </w:t>
      </w:r>
      <w:r w:rsidR="00610ADA" w:rsidRPr="00382917">
        <w:t>dim</w:t>
      </w:r>
      <w:r w:rsidR="00EE4FC3">
        <w:t xml:space="preserve"> </w:t>
      </w:r>
      <w:r w:rsidR="00610ADA" w:rsidRPr="00382917">
        <w:t>light</w:t>
      </w:r>
      <w:r w:rsidR="00EE4FC3">
        <w:t xml:space="preserve"> </w:t>
      </w:r>
      <w:r w:rsidR="00610ADA" w:rsidRPr="00382917">
        <w:t>of</w:t>
      </w:r>
      <w:r w:rsidR="00EE4FC3">
        <w:t xml:space="preserve"> </w:t>
      </w:r>
      <w:r w:rsidR="00610ADA" w:rsidRPr="00382917">
        <w:t>the</w:t>
      </w:r>
      <w:r w:rsidR="00EE4FC3">
        <w:t xml:space="preserve"> </w:t>
      </w:r>
      <w:r w:rsidR="00610ADA" w:rsidRPr="00382917">
        <w:t>early</w:t>
      </w:r>
      <w:r w:rsidR="00EE4FC3">
        <w:t xml:space="preserve"> </w:t>
      </w:r>
      <w:r w:rsidR="00610ADA" w:rsidRPr="00382917">
        <w:t>dawn,</w:t>
      </w:r>
      <w:r w:rsidR="00EE4FC3">
        <w:t xml:space="preserve"> </w:t>
      </w:r>
      <w:r w:rsidR="00610ADA" w:rsidRPr="00382917">
        <w:t>we</w:t>
      </w:r>
      <w:r w:rsidR="00EE4FC3">
        <w:t xml:space="preserve"> </w:t>
      </w:r>
      <w:r w:rsidR="00610ADA" w:rsidRPr="00382917">
        <w:t>saw</w:t>
      </w:r>
      <w:r w:rsidR="00EE4FC3">
        <w:t xml:space="preserve"> </w:t>
      </w:r>
      <w:r w:rsidR="00610ADA" w:rsidRPr="00382917">
        <w:t>in</w:t>
      </w:r>
      <w:r w:rsidR="00EE4FC3">
        <w:t xml:space="preserve"> </w:t>
      </w:r>
      <w:r w:rsidR="00610ADA" w:rsidRPr="00382917">
        <w:t>the</w:t>
      </w:r>
      <w:r w:rsidR="00EE4FC3">
        <w:t xml:space="preserve"> </w:t>
      </w:r>
      <w:r w:rsidR="00610ADA" w:rsidRPr="00382917">
        <w:t>distance</w:t>
      </w:r>
      <w:r w:rsidR="00EE4FC3">
        <w:t xml:space="preserve"> </w:t>
      </w:r>
      <w:r w:rsidR="00610ADA" w:rsidRPr="00382917">
        <w:t>the</w:t>
      </w:r>
      <w:r w:rsidR="00EE4FC3">
        <w:t xml:space="preserve"> </w:t>
      </w:r>
      <w:r w:rsidR="00610ADA" w:rsidRPr="00382917">
        <w:t>lonely</w:t>
      </w:r>
      <w:r w:rsidR="00EE4FC3">
        <w:t xml:space="preserve"> </w:t>
      </w:r>
      <w:r w:rsidR="00610ADA" w:rsidRPr="00382917">
        <w:t>figure</w:t>
      </w:r>
      <w:r w:rsidR="00EE4FC3">
        <w:t xml:space="preserve"> </w:t>
      </w:r>
      <w:r w:rsidR="00610ADA" w:rsidRPr="00382917">
        <w:t>of</w:t>
      </w:r>
      <w:r w:rsidR="00EE4FC3">
        <w:t xml:space="preserve"> </w:t>
      </w:r>
      <w:r w:rsidR="00610ADA" w:rsidRPr="00382917">
        <w:t>the</w:t>
      </w:r>
      <w:r w:rsidR="00EE4FC3">
        <w:t xml:space="preserve"> </w:t>
      </w:r>
      <w:r w:rsidR="00610ADA" w:rsidRPr="00382917">
        <w:t>Báb</w:t>
      </w:r>
      <w:r w:rsidR="00330AF7">
        <w:t>.</w:t>
      </w:r>
      <w:r w:rsidR="00EE4FC3">
        <w:t xml:space="preserve">  </w:t>
      </w:r>
      <w:r w:rsidR="00610ADA" w:rsidRPr="00382917">
        <w:t>He</w:t>
      </w:r>
      <w:r w:rsidR="00EE4FC3">
        <w:t xml:space="preserve"> </w:t>
      </w:r>
      <w:r w:rsidR="00610ADA" w:rsidRPr="00382917">
        <w:t>was</w:t>
      </w:r>
      <w:r w:rsidR="00EE4FC3">
        <w:t xml:space="preserve"> </w:t>
      </w:r>
      <w:r w:rsidR="00610ADA" w:rsidRPr="00382917">
        <w:t>coming</w:t>
      </w:r>
      <w:r w:rsidR="00EE4FC3">
        <w:t xml:space="preserve"> </w:t>
      </w:r>
      <w:r w:rsidR="00610ADA" w:rsidRPr="00382917">
        <w:t>toward</w:t>
      </w:r>
      <w:r w:rsidR="00EE4FC3">
        <w:t xml:space="preserve"> </w:t>
      </w:r>
      <w:r w:rsidR="00610ADA" w:rsidRPr="00382917">
        <w:t>us</w:t>
      </w:r>
      <w:r w:rsidR="00EE4FC3">
        <w:t xml:space="preserve"> </w:t>
      </w:r>
      <w:r w:rsidR="00610ADA" w:rsidRPr="00382917">
        <w:t>from</w:t>
      </w:r>
      <w:r w:rsidR="00EE4FC3">
        <w:t xml:space="preserve"> </w:t>
      </w:r>
      <w:r w:rsidR="00610ADA" w:rsidRPr="00382917">
        <w:t>the</w:t>
      </w:r>
      <w:r w:rsidR="00EE4FC3">
        <w:t xml:space="preserve"> </w:t>
      </w:r>
      <w:r w:rsidR="00610ADA" w:rsidRPr="00382917">
        <w:t>direction</w:t>
      </w:r>
      <w:r w:rsidR="00EE4FC3">
        <w:t xml:space="preserve"> </w:t>
      </w:r>
      <w:r w:rsidR="00610ADA" w:rsidRPr="00382917">
        <w:t>of</w:t>
      </w:r>
      <w:r w:rsidR="00EE4FC3">
        <w:t xml:space="preserve"> </w:t>
      </w:r>
      <w:r w:rsidR="00610ADA" w:rsidRPr="00382917">
        <w:t>Ṭihrán.</w:t>
      </w:r>
    </w:p>
    <w:p w:rsidR="00610ADA" w:rsidRPr="00382917" w:rsidRDefault="009C713D" w:rsidP="00900F24">
      <w:pPr>
        <w:pStyle w:val="Text"/>
      </w:pPr>
      <w:r w:rsidRPr="00382917">
        <w:t>“‘</w:t>
      </w:r>
      <w:r w:rsidR="00610ADA" w:rsidRPr="00382917">
        <w:t>Did</w:t>
      </w:r>
      <w:r w:rsidR="00EE4FC3">
        <w:t xml:space="preserve"> </w:t>
      </w:r>
      <w:r w:rsidR="00610ADA" w:rsidRPr="00382917">
        <w:t>you</w:t>
      </w:r>
      <w:r w:rsidR="00EE4FC3">
        <w:t xml:space="preserve"> </w:t>
      </w:r>
      <w:r w:rsidR="00610ADA" w:rsidRPr="00382917">
        <w:t>believe</w:t>
      </w:r>
      <w:r w:rsidR="00EE4FC3">
        <w:t xml:space="preserve"> </w:t>
      </w:r>
      <w:proofErr w:type="gramStart"/>
      <w:r w:rsidR="00610ADA" w:rsidRPr="00382917">
        <w:t>Me</w:t>
      </w:r>
      <w:proofErr w:type="gramEnd"/>
      <w:r w:rsidR="00EE4FC3">
        <w:t xml:space="preserve"> </w:t>
      </w:r>
      <w:r w:rsidR="00610ADA" w:rsidRPr="00382917">
        <w:t>to</w:t>
      </w:r>
      <w:r w:rsidR="00EE4FC3">
        <w:t xml:space="preserve"> </w:t>
      </w:r>
      <w:r w:rsidR="00610ADA" w:rsidRPr="00382917">
        <w:t>have</w:t>
      </w:r>
      <w:r w:rsidR="00EE4FC3">
        <w:t xml:space="preserve"> </w:t>
      </w:r>
      <w:r w:rsidR="00610ADA" w:rsidRPr="00382917">
        <w:t>escaped?</w:t>
      </w:r>
      <w:r w:rsidRPr="00382917">
        <w:t>’</w:t>
      </w:r>
      <w:r w:rsidR="00E515C5">
        <w:t xml:space="preserve"> </w:t>
      </w:r>
      <w:r w:rsidR="00EE4FC3">
        <w:t xml:space="preserve"> </w:t>
      </w:r>
      <w:r w:rsidR="00610ADA" w:rsidRPr="00382917">
        <w:t>He</w:t>
      </w:r>
      <w:r w:rsidR="00EE4FC3">
        <w:t xml:space="preserve"> </w:t>
      </w:r>
      <w:r w:rsidR="00610ADA" w:rsidRPr="00382917">
        <w:t>said</w:t>
      </w:r>
      <w:r w:rsidR="00EE4FC3">
        <w:t xml:space="preserve"> </w:t>
      </w:r>
      <w:r w:rsidR="00610ADA" w:rsidRPr="00382917">
        <w:t>to</w:t>
      </w:r>
      <w:r w:rsidR="00EE4FC3">
        <w:t xml:space="preserve"> </w:t>
      </w:r>
      <w:r w:rsidR="00610ADA" w:rsidRPr="00382917">
        <w:t>Muḥammad</w:t>
      </w:r>
      <w:r w:rsidR="00EE4FC3">
        <w:t xml:space="preserve"> </w:t>
      </w:r>
      <w:r w:rsidR="00610ADA" w:rsidRPr="00382917">
        <w:t>Big</w:t>
      </w:r>
      <w:r w:rsidR="00EE4FC3">
        <w:t xml:space="preserve"> </w:t>
      </w:r>
      <w:r w:rsidR="00610ADA" w:rsidRPr="00382917">
        <w:t>as</w:t>
      </w:r>
      <w:r w:rsidR="00EE4FC3">
        <w:t xml:space="preserve"> </w:t>
      </w:r>
      <w:r w:rsidR="00610ADA" w:rsidRPr="00382917">
        <w:t>He</w:t>
      </w:r>
      <w:r w:rsidR="00EE4FC3">
        <w:t xml:space="preserve"> </w:t>
      </w:r>
      <w:r w:rsidR="00610ADA" w:rsidRPr="00382917">
        <w:t>approached</w:t>
      </w:r>
      <w:r w:rsidR="00EE4FC3">
        <w:t xml:space="preserve"> </w:t>
      </w:r>
      <w:r w:rsidR="00610ADA" w:rsidRPr="00382917">
        <w:t>him.</w:t>
      </w:r>
    </w:p>
    <w:p w:rsidR="00610ADA" w:rsidRPr="00382917" w:rsidRDefault="009C713D" w:rsidP="00900F24">
      <w:pPr>
        <w:pStyle w:val="Text"/>
      </w:pPr>
      <w:r w:rsidRPr="00382917">
        <w:t>“‘</w:t>
      </w:r>
      <w:r w:rsidR="00610ADA" w:rsidRPr="00382917">
        <w:t>Far</w:t>
      </w:r>
      <w:r w:rsidR="00EE4FC3">
        <w:t xml:space="preserve"> </w:t>
      </w:r>
      <w:r w:rsidR="00610ADA" w:rsidRPr="00382917">
        <w:t>be</w:t>
      </w:r>
      <w:r w:rsidR="00EE4FC3">
        <w:t xml:space="preserve"> </w:t>
      </w:r>
      <w:r w:rsidR="00610ADA" w:rsidRPr="00382917">
        <w:t>it</w:t>
      </w:r>
      <w:r w:rsidR="00EE4FC3">
        <w:t xml:space="preserve"> </w:t>
      </w:r>
      <w:r w:rsidR="00610ADA" w:rsidRPr="00382917">
        <w:t>from</w:t>
      </w:r>
      <w:r w:rsidR="00EE4FC3">
        <w:t xml:space="preserve"> </w:t>
      </w:r>
      <w:r w:rsidR="00610ADA" w:rsidRPr="00382917">
        <w:t>me</w:t>
      </w:r>
      <w:r w:rsidR="00EE4FC3">
        <w:t xml:space="preserve"> </w:t>
      </w:r>
      <w:r w:rsidR="00610ADA" w:rsidRPr="00382917">
        <w:t>to</w:t>
      </w:r>
      <w:r w:rsidR="00EE4FC3">
        <w:t xml:space="preserve"> </w:t>
      </w:r>
      <w:r w:rsidR="00610ADA" w:rsidRPr="00382917">
        <w:t>entertain</w:t>
      </w:r>
      <w:r w:rsidR="00EE4FC3">
        <w:t xml:space="preserve"> </w:t>
      </w:r>
      <w:r w:rsidR="00610ADA" w:rsidRPr="00382917">
        <w:t>such</w:t>
      </w:r>
      <w:r w:rsidR="00EE4FC3">
        <w:t xml:space="preserve"> </w:t>
      </w:r>
      <w:r w:rsidR="00610ADA" w:rsidRPr="00382917">
        <w:t>thoughts,</w:t>
      </w:r>
      <w:r w:rsidRPr="00382917">
        <w:t>’</w:t>
      </w:r>
      <w:r w:rsidR="00EE4FC3">
        <w:t xml:space="preserve"> </w:t>
      </w:r>
      <w:r w:rsidR="00610ADA" w:rsidRPr="00382917">
        <w:t>Muḥammad</w:t>
      </w:r>
      <w:r w:rsidR="00EE4FC3">
        <w:t xml:space="preserve"> </w:t>
      </w:r>
      <w:r w:rsidR="00610ADA" w:rsidRPr="00382917">
        <w:t>Big</w:t>
      </w:r>
      <w:r w:rsidR="00EE4FC3">
        <w:t xml:space="preserve"> </w:t>
      </w:r>
      <w:r w:rsidR="00610ADA" w:rsidRPr="00382917">
        <w:t>assured</w:t>
      </w:r>
      <w:r w:rsidR="00EE4FC3">
        <w:t xml:space="preserve"> </w:t>
      </w:r>
      <w:r w:rsidR="00610ADA" w:rsidRPr="00382917">
        <w:t>Him.</w:t>
      </w:r>
    </w:p>
    <w:p w:rsidR="00610ADA" w:rsidRPr="00382917" w:rsidRDefault="009C713D" w:rsidP="00900F24">
      <w:pPr>
        <w:pStyle w:val="Text"/>
      </w:pPr>
      <w:r w:rsidRPr="00382917">
        <w:t>“</w:t>
      </w:r>
      <w:r w:rsidR="00610ADA" w:rsidRPr="00382917">
        <w:t>Muḥammad</w:t>
      </w:r>
      <w:r w:rsidR="00EE4FC3">
        <w:t xml:space="preserve"> </w:t>
      </w:r>
      <w:r w:rsidR="00610ADA" w:rsidRPr="00382917">
        <w:t>Big</w:t>
      </w:r>
      <w:r w:rsidR="00EE4FC3">
        <w:t xml:space="preserve"> </w:t>
      </w:r>
      <w:r w:rsidR="00610ADA" w:rsidRPr="00382917">
        <w:t>bowed</w:t>
      </w:r>
      <w:r w:rsidR="00EE4FC3">
        <w:t xml:space="preserve"> </w:t>
      </w:r>
      <w:r w:rsidR="00610ADA" w:rsidRPr="00382917">
        <w:t>down</w:t>
      </w:r>
      <w:r w:rsidR="00EE4FC3">
        <w:t xml:space="preserve"> </w:t>
      </w:r>
      <w:r w:rsidR="00610ADA" w:rsidRPr="00382917">
        <w:t>at</w:t>
      </w:r>
      <w:r w:rsidR="00EE4FC3">
        <w:t xml:space="preserve"> </w:t>
      </w:r>
      <w:r w:rsidR="00610ADA" w:rsidRPr="00382917">
        <w:t>the</w:t>
      </w:r>
      <w:r w:rsidR="00EE4FC3">
        <w:t xml:space="preserve"> </w:t>
      </w:r>
      <w:r w:rsidR="00610ADA" w:rsidRPr="00382917">
        <w:t>feet</w:t>
      </w:r>
      <w:r w:rsidR="00EE4FC3">
        <w:t xml:space="preserve"> </w:t>
      </w:r>
      <w:r w:rsidR="00610ADA" w:rsidRPr="00382917">
        <w:t>of</w:t>
      </w:r>
      <w:r w:rsidR="00EE4FC3">
        <w:t xml:space="preserve"> </w:t>
      </w:r>
      <w:r w:rsidR="00610ADA" w:rsidRPr="00382917">
        <w:t>the</w:t>
      </w:r>
      <w:r w:rsidR="00EE4FC3">
        <w:t xml:space="preserve"> </w:t>
      </w:r>
      <w:r w:rsidR="00610ADA" w:rsidRPr="00382917">
        <w:t>Báb</w:t>
      </w:r>
      <w:r w:rsidR="00330AF7">
        <w:t>.</w:t>
      </w:r>
      <w:r w:rsidR="00EE4FC3">
        <w:t xml:space="preserve">  </w:t>
      </w:r>
      <w:r w:rsidR="00610ADA" w:rsidRPr="00382917">
        <w:t>He</w:t>
      </w:r>
      <w:r w:rsidR="00EE4FC3">
        <w:t xml:space="preserve"> </w:t>
      </w:r>
      <w:r w:rsidR="00610ADA" w:rsidRPr="00382917">
        <w:t>was</w:t>
      </w:r>
      <w:r w:rsidR="00EE4FC3">
        <w:t xml:space="preserve"> </w:t>
      </w:r>
      <w:r w:rsidR="00610ADA" w:rsidRPr="00382917">
        <w:t>so</w:t>
      </w:r>
      <w:r w:rsidR="00EE4FC3">
        <w:t xml:space="preserve"> </w:t>
      </w:r>
      <w:r w:rsidR="00610ADA" w:rsidRPr="00382917">
        <w:t>awed</w:t>
      </w:r>
      <w:r w:rsidR="00EE4FC3">
        <w:t xml:space="preserve"> </w:t>
      </w:r>
      <w:r w:rsidR="00610ADA" w:rsidRPr="00382917">
        <w:t>by</w:t>
      </w:r>
      <w:r w:rsidR="00EE4FC3">
        <w:t xml:space="preserve"> </w:t>
      </w:r>
      <w:r w:rsidR="00610ADA" w:rsidRPr="00382917">
        <w:t>the</w:t>
      </w:r>
      <w:r w:rsidR="00EE4FC3">
        <w:t xml:space="preserve"> </w:t>
      </w:r>
      <w:r w:rsidR="00610ADA" w:rsidRPr="00382917">
        <w:t>serene</w:t>
      </w:r>
      <w:r w:rsidR="00EE4FC3">
        <w:t xml:space="preserve"> </w:t>
      </w:r>
      <w:r w:rsidR="00610ADA" w:rsidRPr="00382917">
        <w:t>majesty</w:t>
      </w:r>
      <w:r w:rsidR="00EE4FC3">
        <w:t xml:space="preserve"> </w:t>
      </w:r>
      <w:r w:rsidR="00610ADA" w:rsidRPr="00382917">
        <w:t>which</w:t>
      </w:r>
      <w:r w:rsidR="00EE4FC3">
        <w:t xml:space="preserve"> </w:t>
      </w:r>
      <w:r w:rsidR="00610ADA" w:rsidRPr="00382917">
        <w:t>that</w:t>
      </w:r>
      <w:r w:rsidR="00EE4FC3">
        <w:t xml:space="preserve"> </w:t>
      </w:r>
      <w:r w:rsidR="00610ADA" w:rsidRPr="00382917">
        <w:t>radiant</w:t>
      </w:r>
      <w:r w:rsidR="00EE4FC3">
        <w:t xml:space="preserve"> </w:t>
      </w:r>
      <w:r w:rsidR="00610ADA" w:rsidRPr="00382917">
        <w:t>face</w:t>
      </w:r>
      <w:r w:rsidR="00EE4FC3">
        <w:t xml:space="preserve"> </w:t>
      </w:r>
      <w:r w:rsidR="00610ADA" w:rsidRPr="00382917">
        <w:t>revealed</w:t>
      </w:r>
      <w:r w:rsidR="00EE4FC3">
        <w:t xml:space="preserve"> </w:t>
      </w:r>
      <w:r w:rsidR="00610ADA" w:rsidRPr="00382917">
        <w:t>that</w:t>
      </w:r>
      <w:r w:rsidR="00EE4FC3">
        <w:t xml:space="preserve"> </w:t>
      </w:r>
      <w:r w:rsidR="00610ADA" w:rsidRPr="00382917">
        <w:t>morning,</w:t>
      </w:r>
      <w:r w:rsidR="00EE4FC3">
        <w:t xml:space="preserve"> </w:t>
      </w:r>
      <w:r w:rsidR="00610ADA" w:rsidRPr="00382917">
        <w:t>he</w:t>
      </w:r>
      <w:r w:rsidR="00EE4FC3">
        <w:t xml:space="preserve"> </w:t>
      </w:r>
      <w:r w:rsidR="00610ADA" w:rsidRPr="00382917">
        <w:t>could</w:t>
      </w:r>
      <w:r w:rsidR="00EE4FC3">
        <w:t xml:space="preserve"> </w:t>
      </w:r>
      <w:r w:rsidR="00610ADA" w:rsidRPr="00382917">
        <w:t>not</w:t>
      </w:r>
      <w:r w:rsidR="00EE4FC3">
        <w:t xml:space="preserve"> </w:t>
      </w:r>
      <w:r w:rsidR="00610ADA" w:rsidRPr="00382917">
        <w:t>utter</w:t>
      </w:r>
      <w:r w:rsidR="00EE4FC3">
        <w:t xml:space="preserve"> </w:t>
      </w:r>
      <w:r w:rsidR="00610ADA" w:rsidRPr="00382917">
        <w:t>another</w:t>
      </w:r>
      <w:r w:rsidR="00EE4FC3">
        <w:t xml:space="preserve"> </w:t>
      </w:r>
      <w:r w:rsidR="00610ADA" w:rsidRPr="00382917">
        <w:t>word.</w:t>
      </w:r>
    </w:p>
    <w:p w:rsidR="00610ADA" w:rsidRPr="00382917" w:rsidRDefault="009C713D" w:rsidP="00E515C5">
      <w:pPr>
        <w:pStyle w:val="Text"/>
      </w:pPr>
      <w:r w:rsidRPr="00382917">
        <w:t>“</w:t>
      </w:r>
      <w:r w:rsidR="00610ADA" w:rsidRPr="00382917">
        <w:t>A</w:t>
      </w:r>
      <w:r w:rsidR="00EE4FC3">
        <w:t xml:space="preserve"> </w:t>
      </w:r>
      <w:r w:rsidR="00610ADA" w:rsidRPr="00382917">
        <w:t>look</w:t>
      </w:r>
      <w:r w:rsidR="00EE4FC3">
        <w:t xml:space="preserve"> </w:t>
      </w:r>
      <w:r w:rsidR="00610ADA" w:rsidRPr="00382917">
        <w:t>of</w:t>
      </w:r>
      <w:r w:rsidR="00EE4FC3">
        <w:t xml:space="preserve"> </w:t>
      </w:r>
      <w:r w:rsidR="00610ADA" w:rsidRPr="00382917">
        <w:t>confidence</w:t>
      </w:r>
      <w:r w:rsidR="00EE4FC3">
        <w:t xml:space="preserve"> </w:t>
      </w:r>
      <w:r w:rsidR="00610ADA" w:rsidRPr="00382917">
        <w:t>had</w:t>
      </w:r>
      <w:r w:rsidR="00EE4FC3">
        <w:t xml:space="preserve"> </w:t>
      </w:r>
      <w:r w:rsidR="00610ADA" w:rsidRPr="00382917">
        <w:t>settled</w:t>
      </w:r>
      <w:r w:rsidR="00EE4FC3">
        <w:t xml:space="preserve"> </w:t>
      </w:r>
      <w:r w:rsidR="00610ADA" w:rsidRPr="00382917">
        <w:t>upon</w:t>
      </w:r>
      <w:r w:rsidR="00EE4FC3">
        <w:t xml:space="preserve"> </w:t>
      </w:r>
      <w:r w:rsidR="00610ADA" w:rsidRPr="00382917">
        <w:t>the</w:t>
      </w:r>
      <w:r w:rsidR="00EE4FC3">
        <w:t xml:space="preserve"> </w:t>
      </w:r>
      <w:r w:rsidR="00610ADA" w:rsidRPr="00382917">
        <w:t>Báb</w:t>
      </w:r>
      <w:r w:rsidRPr="00382917">
        <w:t>’</w:t>
      </w:r>
      <w:r w:rsidR="00610ADA" w:rsidRPr="00382917">
        <w:t>s</w:t>
      </w:r>
      <w:r w:rsidR="00EE4FC3">
        <w:t xml:space="preserve"> </w:t>
      </w:r>
      <w:r w:rsidR="00610ADA" w:rsidRPr="00382917">
        <w:t>countenance</w:t>
      </w:r>
      <w:r w:rsidR="00330AF7">
        <w:t>.</w:t>
      </w:r>
      <w:r w:rsidR="00EE4FC3">
        <w:t xml:space="preserve">  </w:t>
      </w:r>
      <w:r w:rsidR="00610ADA" w:rsidRPr="00382917">
        <w:t>His</w:t>
      </w:r>
      <w:r w:rsidR="00EE4FC3">
        <w:t xml:space="preserve"> </w:t>
      </w:r>
      <w:r w:rsidR="00610ADA" w:rsidRPr="00382917">
        <w:t>words</w:t>
      </w:r>
      <w:r w:rsidR="00EE4FC3">
        <w:t xml:space="preserve"> </w:t>
      </w:r>
      <w:r w:rsidR="00610ADA" w:rsidRPr="00382917">
        <w:t>were</w:t>
      </w:r>
      <w:r w:rsidR="00EE4FC3">
        <w:t xml:space="preserve"> </w:t>
      </w:r>
      <w:r w:rsidR="00610ADA" w:rsidRPr="00382917">
        <w:t>invested</w:t>
      </w:r>
      <w:r w:rsidR="00EE4FC3">
        <w:t xml:space="preserve"> </w:t>
      </w:r>
      <w:r w:rsidR="00610ADA" w:rsidRPr="00382917">
        <w:t>with</w:t>
      </w:r>
      <w:r w:rsidR="00EE4FC3">
        <w:t xml:space="preserve"> </w:t>
      </w:r>
      <w:r w:rsidR="00610ADA" w:rsidRPr="00382917">
        <w:t>such</w:t>
      </w:r>
      <w:r w:rsidR="00EE4FC3">
        <w:t xml:space="preserve"> </w:t>
      </w:r>
      <w:r w:rsidR="00610ADA" w:rsidRPr="00382917">
        <w:t>a</w:t>
      </w:r>
      <w:r w:rsidR="00EE4FC3">
        <w:t xml:space="preserve"> </w:t>
      </w:r>
      <w:r w:rsidR="00610ADA" w:rsidRPr="00382917">
        <w:t>transcendent</w:t>
      </w:r>
      <w:r w:rsidR="00EE4FC3">
        <w:t xml:space="preserve"> </w:t>
      </w:r>
      <w:r w:rsidR="00610ADA" w:rsidRPr="00382917">
        <w:t>power</w:t>
      </w:r>
      <w:r w:rsidR="00EE4FC3">
        <w:t xml:space="preserve"> </w:t>
      </w:r>
      <w:r w:rsidR="00610ADA" w:rsidRPr="00382917">
        <w:t>that</w:t>
      </w:r>
      <w:r w:rsidR="00EE4FC3">
        <w:t xml:space="preserve"> </w:t>
      </w:r>
      <w:r w:rsidR="00610ADA" w:rsidRPr="00382917">
        <w:t>a</w:t>
      </w:r>
      <w:r w:rsidR="00EE4FC3">
        <w:t xml:space="preserve"> </w:t>
      </w:r>
      <w:r w:rsidR="00610ADA" w:rsidRPr="00382917">
        <w:t>feeling</w:t>
      </w:r>
      <w:r w:rsidR="00EE4FC3">
        <w:t xml:space="preserve"> </w:t>
      </w:r>
      <w:r w:rsidR="00610ADA" w:rsidRPr="00382917">
        <w:t>of</w:t>
      </w:r>
      <w:r w:rsidR="00EE4FC3">
        <w:t xml:space="preserve"> </w:t>
      </w:r>
      <w:r w:rsidR="00610ADA" w:rsidRPr="00382917">
        <w:t>profound</w:t>
      </w:r>
      <w:r w:rsidR="00EE4FC3">
        <w:t xml:space="preserve"> </w:t>
      </w:r>
      <w:r w:rsidR="00610ADA" w:rsidRPr="00382917">
        <w:t>reverence</w:t>
      </w:r>
      <w:r w:rsidR="00EE4FC3">
        <w:t xml:space="preserve"> </w:t>
      </w:r>
      <w:r w:rsidR="00610ADA" w:rsidRPr="00382917">
        <w:t>seized</w:t>
      </w:r>
      <w:r w:rsidR="00EE4FC3">
        <w:t xml:space="preserve"> </w:t>
      </w:r>
      <w:r w:rsidR="00610ADA" w:rsidRPr="00382917">
        <w:t>our</w:t>
      </w:r>
      <w:r w:rsidR="00EE4FC3">
        <w:t xml:space="preserve"> </w:t>
      </w:r>
      <w:r w:rsidR="00610ADA" w:rsidRPr="00382917">
        <w:t>souls</w:t>
      </w:r>
      <w:r w:rsidR="00330AF7">
        <w:t>.</w:t>
      </w:r>
      <w:r w:rsidR="00EE4FC3">
        <w:t xml:space="preserve">  </w:t>
      </w:r>
      <w:r w:rsidR="00610ADA" w:rsidRPr="00382917">
        <w:t>None</w:t>
      </w:r>
      <w:r w:rsidR="00EE4FC3">
        <w:t xml:space="preserve"> </w:t>
      </w:r>
      <w:r w:rsidR="00610ADA" w:rsidRPr="00382917">
        <w:t>dared</w:t>
      </w:r>
      <w:r w:rsidR="00EE4FC3">
        <w:t xml:space="preserve"> </w:t>
      </w:r>
      <w:r w:rsidR="00610ADA" w:rsidRPr="00382917">
        <w:t>to</w:t>
      </w:r>
      <w:r w:rsidR="00EE4FC3">
        <w:t xml:space="preserve"> </w:t>
      </w:r>
      <w:r w:rsidR="00610ADA" w:rsidRPr="00382917">
        <w:t>question</w:t>
      </w:r>
      <w:r w:rsidR="00EE4FC3">
        <w:t xml:space="preserve"> </w:t>
      </w:r>
      <w:r w:rsidR="00610ADA" w:rsidRPr="00382917">
        <w:t>Him</w:t>
      </w:r>
      <w:r w:rsidR="00EE4FC3">
        <w:t xml:space="preserve"> </w:t>
      </w:r>
      <w:r w:rsidR="00610ADA" w:rsidRPr="00382917">
        <w:t>as</w:t>
      </w:r>
      <w:r w:rsidR="00EE4FC3">
        <w:t xml:space="preserve"> </w:t>
      </w:r>
      <w:r w:rsidR="00610ADA" w:rsidRPr="00382917">
        <w:t>to</w:t>
      </w:r>
      <w:r w:rsidR="00EE4FC3">
        <w:t xml:space="preserve"> </w:t>
      </w:r>
      <w:r w:rsidR="00610ADA" w:rsidRPr="00382917">
        <w:t>the</w:t>
      </w:r>
      <w:r w:rsidR="00EE4FC3">
        <w:t xml:space="preserve"> </w:t>
      </w:r>
      <w:r w:rsidR="00610ADA" w:rsidRPr="00382917">
        <w:t>cause</w:t>
      </w:r>
      <w:r w:rsidR="00EE4FC3">
        <w:t xml:space="preserve"> </w:t>
      </w:r>
      <w:r w:rsidR="00610ADA" w:rsidRPr="00382917">
        <w:t>of</w:t>
      </w:r>
      <w:r w:rsidR="00EE4FC3">
        <w:t xml:space="preserve"> </w:t>
      </w:r>
      <w:r w:rsidR="00610ADA" w:rsidRPr="00382917">
        <w:t>so</w:t>
      </w:r>
      <w:r w:rsidR="00EE4FC3">
        <w:t xml:space="preserve"> </w:t>
      </w:r>
      <w:r w:rsidR="00610ADA" w:rsidRPr="00382917">
        <w:t>remarkable</w:t>
      </w:r>
      <w:r w:rsidR="00EE4FC3">
        <w:t xml:space="preserve"> </w:t>
      </w:r>
      <w:r w:rsidR="00610ADA" w:rsidRPr="00382917">
        <w:t>a</w:t>
      </w:r>
      <w:r w:rsidR="00EE4FC3">
        <w:t xml:space="preserve"> </w:t>
      </w:r>
      <w:r w:rsidR="00610ADA" w:rsidRPr="00382917">
        <w:t>change</w:t>
      </w:r>
      <w:r w:rsidR="00EE4FC3">
        <w:t xml:space="preserve"> </w:t>
      </w:r>
      <w:r w:rsidR="00610ADA" w:rsidRPr="00382917">
        <w:t>in</w:t>
      </w:r>
      <w:r w:rsidR="00EE4FC3">
        <w:t xml:space="preserve"> </w:t>
      </w:r>
      <w:r w:rsidR="00610ADA" w:rsidRPr="00382917">
        <w:t>His</w:t>
      </w:r>
      <w:r w:rsidR="00EE4FC3">
        <w:t xml:space="preserve"> </w:t>
      </w:r>
      <w:r w:rsidR="00610ADA" w:rsidRPr="00382917">
        <w:t>speech</w:t>
      </w:r>
      <w:r w:rsidR="00EE4FC3">
        <w:t xml:space="preserve"> </w:t>
      </w:r>
      <w:r w:rsidR="00610ADA" w:rsidRPr="00382917">
        <w:t>and</w:t>
      </w:r>
      <w:r w:rsidR="00EE4FC3">
        <w:t xml:space="preserve"> </w:t>
      </w:r>
      <w:proofErr w:type="spellStart"/>
      <w:r w:rsidR="00610ADA" w:rsidRPr="00382917">
        <w:t>demeanor</w:t>
      </w:r>
      <w:proofErr w:type="spellEnd"/>
      <w:r w:rsidR="00330AF7">
        <w:t>.</w:t>
      </w:r>
      <w:r w:rsidR="00EE4FC3">
        <w:t xml:space="preserve">  </w:t>
      </w:r>
      <w:r w:rsidR="00610ADA" w:rsidRPr="00382917">
        <w:t>Nor</w:t>
      </w:r>
      <w:r w:rsidR="00EE4FC3">
        <w:t xml:space="preserve"> </w:t>
      </w:r>
      <w:r w:rsidR="00610ADA" w:rsidRPr="00382917">
        <w:t>did</w:t>
      </w:r>
      <w:r w:rsidR="00EE4FC3">
        <w:t xml:space="preserve"> </w:t>
      </w:r>
      <w:r w:rsidR="00610ADA" w:rsidRPr="00382917">
        <w:t>He</w:t>
      </w:r>
      <w:r w:rsidR="00EE4FC3">
        <w:t xml:space="preserve"> </w:t>
      </w:r>
      <w:r w:rsidR="00610ADA" w:rsidRPr="00382917">
        <w:t>Himself</w:t>
      </w:r>
      <w:r w:rsidR="00EE4FC3">
        <w:t xml:space="preserve"> </w:t>
      </w:r>
      <w:r w:rsidR="00610ADA" w:rsidRPr="00382917">
        <w:t>choose</w:t>
      </w:r>
      <w:r w:rsidR="00EE4FC3">
        <w:t xml:space="preserve"> </w:t>
      </w:r>
      <w:r w:rsidR="00610ADA" w:rsidRPr="00382917">
        <w:t>to</w:t>
      </w:r>
      <w:r w:rsidR="00EE4FC3">
        <w:t xml:space="preserve"> </w:t>
      </w:r>
      <w:r w:rsidR="00610ADA" w:rsidRPr="00382917">
        <w:t>allay</w:t>
      </w:r>
      <w:r w:rsidR="00EE4FC3">
        <w:t xml:space="preserve"> </w:t>
      </w:r>
      <w:r w:rsidR="00610ADA" w:rsidRPr="00382917">
        <w:t>our</w:t>
      </w:r>
      <w:r w:rsidR="00EE4FC3">
        <w:t xml:space="preserve"> </w:t>
      </w:r>
      <w:r w:rsidR="00610ADA" w:rsidRPr="00382917">
        <w:t>curiosity</w:t>
      </w:r>
      <w:r w:rsidR="00EE4FC3">
        <w:t xml:space="preserve"> </w:t>
      </w:r>
      <w:r w:rsidR="00610ADA" w:rsidRPr="00382917">
        <w:t>and</w:t>
      </w:r>
      <w:r w:rsidR="00EE4FC3">
        <w:t xml:space="preserve"> </w:t>
      </w:r>
      <w:r w:rsidR="00610ADA" w:rsidRPr="00382917">
        <w:t>wonder.</w:t>
      </w:r>
      <w:r w:rsidRPr="00382917">
        <w:t>”</w:t>
      </w:r>
      <w:r w:rsidR="00E515C5">
        <w:rPr>
          <w:rStyle w:val="FootnoteReference"/>
        </w:rPr>
        <w:footnoteReference w:id="199"/>
      </w:r>
    </w:p>
    <w:p w:rsidR="00610ADA" w:rsidRPr="00382917" w:rsidRDefault="00610ADA" w:rsidP="007A4E29">
      <w:pPr>
        <w:pStyle w:val="Text"/>
      </w:pPr>
      <w:r w:rsidRPr="00382917">
        <w:t>Nabíl</w:t>
      </w:r>
      <w:r w:rsidR="00EE4FC3">
        <w:t xml:space="preserve"> </w:t>
      </w:r>
      <w:r w:rsidRPr="00382917">
        <w:t>in</w:t>
      </w:r>
      <w:r w:rsidR="00EE4FC3">
        <w:t xml:space="preserve"> </w:t>
      </w:r>
      <w:r w:rsidRPr="00382917">
        <w:t>his</w:t>
      </w:r>
      <w:r w:rsidR="00EE4FC3">
        <w:t xml:space="preserve"> </w:t>
      </w:r>
      <w:r w:rsidRPr="00382917">
        <w:t>history</w:t>
      </w:r>
      <w:r w:rsidR="00EE4FC3">
        <w:t xml:space="preserve"> </w:t>
      </w:r>
      <w:r w:rsidRPr="00382917">
        <w:t>records</w:t>
      </w:r>
      <w:r w:rsidR="00EE4FC3">
        <w:t xml:space="preserve"> </w:t>
      </w:r>
      <w:r w:rsidRPr="00382917">
        <w:t>yet</w:t>
      </w:r>
      <w:r w:rsidR="00EE4FC3">
        <w:t xml:space="preserve"> </w:t>
      </w:r>
      <w:r w:rsidRPr="00382917">
        <w:t>another</w:t>
      </w:r>
      <w:r w:rsidR="00EE4FC3">
        <w:t xml:space="preserve"> </w:t>
      </w:r>
      <w:r w:rsidRPr="00382917">
        <w:t>time</w:t>
      </w:r>
      <w:r w:rsidR="00EE4FC3">
        <w:t xml:space="preserve"> </w:t>
      </w:r>
      <w:r w:rsidRPr="00382917">
        <w:t>when</w:t>
      </w:r>
      <w:r w:rsidR="00EE4FC3">
        <w:t xml:space="preserve"> </w:t>
      </w:r>
      <w:r w:rsidRPr="00382917">
        <w:t>Bahá</w:t>
      </w:r>
      <w:r w:rsidR="009C713D" w:rsidRPr="00382917">
        <w:t>’</w:t>
      </w:r>
      <w:r w:rsidRPr="00382917">
        <w:t>u</w:t>
      </w:r>
      <w:r w:rsidR="009C713D" w:rsidRPr="00382917">
        <w:t>’</w:t>
      </w:r>
      <w:r w:rsidRPr="00382917">
        <w:t>lláh</w:t>
      </w:r>
      <w:r w:rsidR="00EE4FC3">
        <w:t xml:space="preserve"> </w:t>
      </w:r>
      <w:r w:rsidRPr="00382917">
        <w:t>wrote</w:t>
      </w:r>
      <w:r w:rsidR="00EE4FC3">
        <w:t xml:space="preserve"> </w:t>
      </w:r>
      <w:r w:rsidRPr="00382917">
        <w:t>to</w:t>
      </w:r>
      <w:r w:rsidR="00EE4FC3">
        <w:t xml:space="preserve"> </w:t>
      </w:r>
      <w:r w:rsidRPr="00382917">
        <w:t>the</w:t>
      </w:r>
      <w:r w:rsidR="00EE4FC3">
        <w:t xml:space="preserve"> </w:t>
      </w:r>
      <w:r w:rsidRPr="00382917">
        <w:t>Báb</w:t>
      </w:r>
      <w:r w:rsidR="00330AF7">
        <w:t>.</w:t>
      </w:r>
      <w:r w:rsidR="00EE4FC3">
        <w:t xml:space="preserve">  </w:t>
      </w:r>
      <w:r w:rsidRPr="00382917">
        <w:t>The</w:t>
      </w:r>
      <w:r w:rsidR="00EE4FC3">
        <w:t xml:space="preserve"> </w:t>
      </w:r>
      <w:r w:rsidRPr="00382917">
        <w:t>letter</w:t>
      </w:r>
      <w:r w:rsidR="00EE4FC3">
        <w:t xml:space="preserve"> </w:t>
      </w:r>
      <w:r w:rsidRPr="00382917">
        <w:t>was</w:t>
      </w:r>
      <w:r w:rsidR="00EE4FC3">
        <w:t xml:space="preserve"> </w:t>
      </w:r>
      <w:r w:rsidRPr="00382917">
        <w:t>sent</w:t>
      </w:r>
      <w:r w:rsidR="00EE4FC3">
        <w:t xml:space="preserve"> </w:t>
      </w:r>
      <w:r w:rsidRPr="00382917">
        <w:t>from</w:t>
      </w:r>
      <w:r w:rsidR="00EE4FC3">
        <w:t xml:space="preserve"> </w:t>
      </w:r>
      <w:r w:rsidRPr="00382917">
        <w:t>Ṭihrán</w:t>
      </w:r>
      <w:r w:rsidR="00EE4FC3">
        <w:t xml:space="preserve"> </w:t>
      </w:r>
      <w:r w:rsidRPr="00382917">
        <w:t>to</w:t>
      </w:r>
      <w:r w:rsidR="00EE4FC3">
        <w:t xml:space="preserve"> </w:t>
      </w:r>
      <w:r w:rsidRPr="00382917">
        <w:t>the</w:t>
      </w:r>
      <w:r w:rsidR="00EE4FC3">
        <w:t xml:space="preserve"> </w:t>
      </w:r>
      <w:r w:rsidRPr="00382917">
        <w:t>Báb</w:t>
      </w:r>
      <w:r w:rsidR="00EE4FC3">
        <w:t xml:space="preserve"> </w:t>
      </w:r>
      <w:r w:rsidRPr="00382917">
        <w:t>in</w:t>
      </w:r>
      <w:r w:rsidR="00EE4FC3">
        <w:t xml:space="preserve"> </w:t>
      </w:r>
      <w:r w:rsidRPr="00382917">
        <w:t>His</w:t>
      </w:r>
      <w:r w:rsidR="00EE4FC3">
        <w:t xml:space="preserve"> </w:t>
      </w:r>
      <w:r w:rsidRPr="00382917">
        <w:t>prison</w:t>
      </w:r>
      <w:r w:rsidR="00EE4FC3">
        <w:t xml:space="preserve"> </w:t>
      </w:r>
      <w:r w:rsidRPr="00382917">
        <w:t>at</w:t>
      </w:r>
      <w:r w:rsidR="00EE4FC3">
        <w:t xml:space="preserve"> </w:t>
      </w:r>
      <w:r w:rsidR="001713B3" w:rsidRPr="001713B3">
        <w:rPr>
          <w:u w:val="single"/>
        </w:rPr>
        <w:t>Ch</w:t>
      </w:r>
      <w:r w:rsidR="001713B3" w:rsidRPr="00382917">
        <w:t>ihríq</w:t>
      </w:r>
      <w:r w:rsidR="00330AF7">
        <w:t>.</w:t>
      </w:r>
      <w:r w:rsidR="00EE4FC3">
        <w:t xml:space="preserve">  </w:t>
      </w:r>
      <w:r w:rsidR="009C713D" w:rsidRPr="00382917">
        <w:t>“</w:t>
      </w:r>
      <w:r w:rsidRPr="00382917">
        <w:t>Shortly</w:t>
      </w:r>
      <w:r w:rsidR="00EE4FC3">
        <w:t xml:space="preserve"> </w:t>
      </w:r>
      <w:r w:rsidRPr="00382917">
        <w:t>after,</w:t>
      </w:r>
      <w:r w:rsidR="009C713D" w:rsidRPr="00382917">
        <w:t>”</w:t>
      </w:r>
      <w:r w:rsidR="00EE4FC3">
        <w:t xml:space="preserve"> </w:t>
      </w:r>
      <w:r w:rsidRPr="00382917">
        <w:t>Nabíl</w:t>
      </w:r>
      <w:r w:rsidR="00EE4FC3">
        <w:t xml:space="preserve"> </w:t>
      </w:r>
      <w:r w:rsidRPr="00382917">
        <w:t>states,</w:t>
      </w:r>
      <w:r w:rsidR="00EE4FC3">
        <w:t xml:space="preserve"> </w:t>
      </w:r>
      <w:r w:rsidR="009C713D" w:rsidRPr="00382917">
        <w:t>“</w:t>
      </w:r>
      <w:r w:rsidRPr="00382917">
        <w:t>a</w:t>
      </w:r>
      <w:r w:rsidR="00EE4FC3">
        <w:t xml:space="preserve"> </w:t>
      </w:r>
      <w:r w:rsidRPr="00382917">
        <w:t>reply</w:t>
      </w:r>
      <w:r w:rsidR="00EE4FC3">
        <w:t xml:space="preserve"> </w:t>
      </w:r>
      <w:r w:rsidRPr="00382917">
        <w:t>penned</w:t>
      </w:r>
      <w:r w:rsidR="00EE4FC3">
        <w:t xml:space="preserve"> </w:t>
      </w:r>
      <w:r w:rsidRPr="00382917">
        <w:t>in</w:t>
      </w:r>
      <w:r w:rsidR="00EE4FC3">
        <w:t xml:space="preserve"> </w:t>
      </w:r>
      <w:r w:rsidRPr="00382917">
        <w:t>the</w:t>
      </w:r>
      <w:r w:rsidR="00EE4FC3">
        <w:t xml:space="preserve"> </w:t>
      </w:r>
      <w:r w:rsidRPr="00382917">
        <w:t>Báb</w:t>
      </w:r>
      <w:r w:rsidR="009C713D" w:rsidRPr="00382917">
        <w:t>’</w:t>
      </w:r>
      <w:r w:rsidRPr="00382917">
        <w:t>s</w:t>
      </w:r>
      <w:r w:rsidR="00EE4FC3">
        <w:t xml:space="preserve"> </w:t>
      </w:r>
      <w:r w:rsidRPr="00382917">
        <w:t>own</w:t>
      </w:r>
      <w:r w:rsidR="00EE4FC3">
        <w:t xml:space="preserve"> </w:t>
      </w:r>
      <w:r w:rsidRPr="00382917">
        <w:t>handwriting</w:t>
      </w:r>
      <w:r w:rsidR="00EE4FC3">
        <w:t xml:space="preserve"> </w:t>
      </w:r>
      <w:r w:rsidRPr="00382917">
        <w:t>was</w:t>
      </w:r>
      <w:r w:rsidR="00EE4FC3">
        <w:t xml:space="preserve"> </w:t>
      </w:r>
      <w:r w:rsidRPr="00382917">
        <w:t>received.</w:t>
      </w:r>
      <w:r w:rsidR="009C713D" w:rsidRPr="00382917">
        <w:t>”</w:t>
      </w:r>
      <w:r w:rsidR="007A4E29">
        <w:rPr>
          <w:rStyle w:val="FootnoteReference"/>
        </w:rPr>
        <w:footnoteReference w:id="200"/>
      </w:r>
    </w:p>
    <w:p w:rsidR="00610ADA" w:rsidRPr="00382917" w:rsidRDefault="00610ADA" w:rsidP="00625836">
      <w:pPr>
        <w:pStyle w:val="Text"/>
      </w:pPr>
      <w:r w:rsidRPr="00382917">
        <w:t>The</w:t>
      </w:r>
      <w:r w:rsidR="00EE4FC3">
        <w:t xml:space="preserve"> </w:t>
      </w:r>
      <w:r w:rsidRPr="00382917">
        <w:t>Báb</w:t>
      </w:r>
      <w:r w:rsidR="00EE4FC3">
        <w:t xml:space="preserve"> </w:t>
      </w:r>
      <w:r w:rsidRPr="00382917">
        <w:t>made</w:t>
      </w:r>
      <w:r w:rsidR="00EE4FC3">
        <w:t xml:space="preserve"> </w:t>
      </w:r>
      <w:r w:rsidRPr="00382917">
        <w:t>specific</w:t>
      </w:r>
      <w:r w:rsidR="00EE4FC3">
        <w:t xml:space="preserve"> </w:t>
      </w:r>
      <w:r w:rsidRPr="00382917">
        <w:t>promises</w:t>
      </w:r>
      <w:r w:rsidR="00EE4FC3">
        <w:t xml:space="preserve"> </w:t>
      </w:r>
      <w:r w:rsidRPr="00382917">
        <w:t>to</w:t>
      </w:r>
      <w:r w:rsidR="00EE4FC3">
        <w:t xml:space="preserve"> </w:t>
      </w:r>
      <w:r w:rsidRPr="00382917">
        <w:t>certain</w:t>
      </w:r>
      <w:r w:rsidR="00EE4FC3">
        <w:t xml:space="preserve"> </w:t>
      </w:r>
      <w:r w:rsidRPr="00382917">
        <w:t>of</w:t>
      </w:r>
      <w:r w:rsidR="00EE4FC3">
        <w:t xml:space="preserve"> </w:t>
      </w:r>
      <w:r w:rsidRPr="00382917">
        <w:t>His</w:t>
      </w:r>
      <w:r w:rsidR="00EE4FC3">
        <w:t xml:space="preserve"> </w:t>
      </w:r>
      <w:r w:rsidRPr="00382917">
        <w:t>followers</w:t>
      </w:r>
      <w:r w:rsidR="00EE4FC3">
        <w:t xml:space="preserve"> </w:t>
      </w:r>
      <w:r w:rsidRPr="00382917">
        <w:t>that</w:t>
      </w:r>
      <w:r w:rsidR="00EE4FC3">
        <w:t xml:space="preserve"> </w:t>
      </w:r>
      <w:r w:rsidRPr="00382917">
        <w:t>they</w:t>
      </w:r>
      <w:r w:rsidR="00EE4FC3">
        <w:t xml:space="preserve"> </w:t>
      </w:r>
      <w:r w:rsidRPr="00382917">
        <w:t>would</w:t>
      </w:r>
      <w:r w:rsidR="00EE4FC3">
        <w:t xml:space="preserve"> </w:t>
      </w:r>
      <w:r w:rsidRPr="00382917">
        <w:t>meet</w:t>
      </w:r>
      <w:r w:rsidR="00EE4FC3">
        <w:t xml:space="preserve"> </w:t>
      </w:r>
      <w:r w:rsidRPr="00382917">
        <w:t>the</w:t>
      </w:r>
      <w:r w:rsidR="00EE4FC3">
        <w:t xml:space="preserve"> </w:t>
      </w:r>
      <w:r w:rsidRPr="00382917">
        <w:t>One</w:t>
      </w:r>
      <w:r w:rsidR="00EE4FC3">
        <w:t xml:space="preserve"> </w:t>
      </w:r>
      <w:proofErr w:type="gramStart"/>
      <w:r w:rsidRPr="00382917">
        <w:t>Whose</w:t>
      </w:r>
      <w:proofErr w:type="gramEnd"/>
      <w:r w:rsidR="00EE4FC3">
        <w:t xml:space="preserve"> </w:t>
      </w:r>
      <w:r w:rsidRPr="00382917">
        <w:t>coming</w:t>
      </w:r>
      <w:r w:rsidR="00EE4FC3">
        <w:t xml:space="preserve"> </w:t>
      </w:r>
      <w:r w:rsidRPr="00382917">
        <w:t>He</w:t>
      </w:r>
      <w:r w:rsidR="00EE4FC3">
        <w:t xml:space="preserve"> </w:t>
      </w:r>
      <w:r w:rsidRPr="00382917">
        <w:t>had</w:t>
      </w:r>
      <w:r w:rsidR="00EE4FC3">
        <w:t xml:space="preserve"> </w:t>
      </w:r>
      <w:r w:rsidRPr="00382917">
        <w:t>foretold</w:t>
      </w:r>
      <w:r w:rsidR="00330AF7">
        <w:t>.</w:t>
      </w:r>
      <w:r w:rsidR="00EE4FC3">
        <w:t xml:space="preserve">  </w:t>
      </w:r>
      <w:r w:rsidRPr="00382917">
        <w:t>Some</w:t>
      </w:r>
      <w:r w:rsidR="00EE4FC3">
        <w:t xml:space="preserve"> </w:t>
      </w:r>
      <w:r w:rsidRPr="00382917">
        <w:t>of</w:t>
      </w:r>
      <w:r w:rsidR="00EE4FC3">
        <w:t xml:space="preserve"> </w:t>
      </w:r>
      <w:r w:rsidRPr="00382917">
        <w:t>them</w:t>
      </w:r>
      <w:r w:rsidR="00EE4FC3">
        <w:t xml:space="preserve"> </w:t>
      </w:r>
      <w:r w:rsidRPr="00382917">
        <w:t>He</w:t>
      </w:r>
      <w:r w:rsidR="00EE4FC3">
        <w:t xml:space="preserve"> </w:t>
      </w:r>
      <w:r w:rsidRPr="00382917">
        <w:t>carefully</w:t>
      </w:r>
      <w:r w:rsidR="00EE4FC3">
        <w:t xml:space="preserve"> </w:t>
      </w:r>
      <w:r w:rsidRPr="00382917">
        <w:t>prepared</w:t>
      </w:r>
      <w:r w:rsidR="00EE4FC3">
        <w:t xml:space="preserve"> </w:t>
      </w:r>
      <w:r w:rsidRPr="00382917">
        <w:t>for</w:t>
      </w:r>
      <w:r w:rsidR="00EE4FC3">
        <w:t xml:space="preserve"> </w:t>
      </w:r>
      <w:r w:rsidRPr="00382917">
        <w:t>that</w:t>
      </w:r>
      <w:r w:rsidR="00EE4FC3">
        <w:t xml:space="preserve"> </w:t>
      </w:r>
      <w:r w:rsidRPr="00382917">
        <w:t>meeting.</w:t>
      </w:r>
      <w:r w:rsidR="00625836">
        <w:rPr>
          <w:rStyle w:val="FootnoteReference"/>
        </w:rPr>
        <w:footnoteReference w:id="201"/>
      </w:r>
      <w:r w:rsidR="00625836">
        <w:t xml:space="preserve"> </w:t>
      </w:r>
      <w:r w:rsidR="00EE4FC3">
        <w:t xml:space="preserve"> </w:t>
      </w:r>
      <w:r w:rsidRPr="00382917">
        <w:t>Mullá</w:t>
      </w:r>
      <w:r w:rsidR="00EE4FC3">
        <w:t xml:space="preserve"> </w:t>
      </w:r>
      <w:r w:rsidRPr="00382917">
        <w:t>Báqir,</w:t>
      </w:r>
      <w:r w:rsidR="00EE4FC3">
        <w:t xml:space="preserve"> </w:t>
      </w:r>
      <w:r w:rsidRPr="00382917">
        <w:t>one</w:t>
      </w:r>
      <w:r w:rsidR="00EE4FC3">
        <w:t xml:space="preserve"> </w:t>
      </w:r>
      <w:r w:rsidRPr="00382917">
        <w:t>of</w:t>
      </w:r>
      <w:r w:rsidR="00EE4FC3">
        <w:t xml:space="preserve"> </w:t>
      </w:r>
      <w:r w:rsidRPr="00382917">
        <w:t>the</w:t>
      </w:r>
      <w:r w:rsidR="00EE4FC3">
        <w:t xml:space="preserve"> </w:t>
      </w:r>
      <w:r w:rsidRPr="00382917">
        <w:t>Letters</w:t>
      </w:r>
      <w:r w:rsidR="00EE4FC3">
        <w:t xml:space="preserve"> </w:t>
      </w:r>
      <w:r w:rsidRPr="00382917">
        <w:t>of</w:t>
      </w:r>
      <w:r w:rsidR="00EE4FC3">
        <w:t xml:space="preserve"> </w:t>
      </w:r>
      <w:r w:rsidRPr="00382917">
        <w:t>the</w:t>
      </w:r>
      <w:r w:rsidR="00EE4FC3">
        <w:t xml:space="preserve"> </w:t>
      </w:r>
      <w:r w:rsidRPr="00382917">
        <w:t>Living,</w:t>
      </w:r>
      <w:r w:rsidR="00EE4FC3">
        <w:t xml:space="preserve"> </w:t>
      </w:r>
      <w:r w:rsidRPr="00382917">
        <w:t>received</w:t>
      </w:r>
      <w:r w:rsidR="00EE4FC3">
        <w:t xml:space="preserve"> </w:t>
      </w:r>
      <w:r w:rsidRPr="00382917">
        <w:t>a</w:t>
      </w:r>
      <w:r w:rsidR="00EE4FC3">
        <w:t xml:space="preserve"> </w:t>
      </w:r>
      <w:r w:rsidRPr="00382917">
        <w:t>letter</w:t>
      </w:r>
      <w:r w:rsidR="00EE4FC3">
        <w:t xml:space="preserve"> </w:t>
      </w:r>
      <w:r w:rsidRPr="00382917">
        <w:t>from</w:t>
      </w:r>
      <w:r w:rsidR="00EE4FC3">
        <w:t xml:space="preserve"> </w:t>
      </w:r>
      <w:r w:rsidRPr="00382917">
        <w:t>the</w:t>
      </w:r>
      <w:r w:rsidR="00EE4FC3">
        <w:t xml:space="preserve"> </w:t>
      </w:r>
      <w:r w:rsidRPr="00382917">
        <w:t>Báb</w:t>
      </w:r>
      <w:r w:rsidR="00EE4FC3">
        <w:t xml:space="preserve"> </w:t>
      </w:r>
      <w:r w:rsidRPr="00382917">
        <w:t>in</w:t>
      </w:r>
      <w:r w:rsidR="00EE4FC3">
        <w:t xml:space="preserve"> </w:t>
      </w:r>
      <w:r w:rsidRPr="00382917">
        <w:t>which</w:t>
      </w:r>
    </w:p>
    <w:p w:rsidR="00900F24" w:rsidRPr="00382917" w:rsidRDefault="00900F24">
      <w:pPr>
        <w:widowControl/>
        <w:kinsoku/>
        <w:overflowPunct/>
        <w:textAlignment w:val="auto"/>
      </w:pPr>
      <w:r w:rsidRPr="00382917">
        <w:br w:type="page"/>
      </w:r>
    </w:p>
    <w:p w:rsidR="00610ADA" w:rsidRPr="00382917" w:rsidRDefault="00610ADA" w:rsidP="00900F24">
      <w:pPr>
        <w:pStyle w:val="Textcts"/>
      </w:pPr>
      <w:r w:rsidRPr="00382917">
        <w:t>He</w:t>
      </w:r>
      <w:r w:rsidR="00EE4FC3">
        <w:t xml:space="preserve"> </w:t>
      </w:r>
      <w:r w:rsidRPr="00382917">
        <w:t>prophesied</w:t>
      </w:r>
      <w:r w:rsidR="00EE4FC3">
        <w:t xml:space="preserve"> </w:t>
      </w:r>
      <w:r w:rsidRPr="00382917">
        <w:t>that</w:t>
      </w:r>
      <w:r w:rsidR="00EE4FC3">
        <w:t xml:space="preserve"> </w:t>
      </w:r>
      <w:r w:rsidRPr="00382917">
        <w:t>Mullá</w:t>
      </w:r>
      <w:r w:rsidR="00EE4FC3">
        <w:t xml:space="preserve"> </w:t>
      </w:r>
      <w:r w:rsidRPr="00382917">
        <w:t>Báqir</w:t>
      </w:r>
      <w:r w:rsidR="00EE4FC3">
        <w:t xml:space="preserve"> </w:t>
      </w:r>
      <w:r w:rsidRPr="00382917">
        <w:t>would</w:t>
      </w:r>
      <w:r w:rsidR="00EE4FC3">
        <w:t xml:space="preserve"> </w:t>
      </w:r>
      <w:r w:rsidRPr="00382917">
        <w:t>meet</w:t>
      </w:r>
      <w:r w:rsidR="00EE4FC3">
        <w:t xml:space="preserve"> </w:t>
      </w:r>
      <w:r w:rsidRPr="00382917">
        <w:t>the</w:t>
      </w:r>
      <w:r w:rsidR="00EE4FC3">
        <w:t xml:space="preserve"> </w:t>
      </w:r>
      <w:r w:rsidRPr="00382917">
        <w:t>Promised</w:t>
      </w:r>
      <w:r w:rsidR="00EE4FC3">
        <w:t xml:space="preserve"> </w:t>
      </w:r>
      <w:r w:rsidRPr="00382917">
        <w:t>One</w:t>
      </w:r>
      <w:r w:rsidR="00EE4FC3">
        <w:t xml:space="preserve"> </w:t>
      </w:r>
      <w:r w:rsidRPr="00382917">
        <w:t>face</w:t>
      </w:r>
      <w:r w:rsidR="00EE4FC3">
        <w:t xml:space="preserve"> </w:t>
      </w:r>
      <w:r w:rsidRPr="00382917">
        <w:t>to</w:t>
      </w:r>
      <w:r w:rsidR="00EE4FC3">
        <w:t xml:space="preserve"> </w:t>
      </w:r>
      <w:r w:rsidRPr="00382917">
        <w:t>face</w:t>
      </w:r>
      <w:r w:rsidR="00330AF7">
        <w:t>.</w:t>
      </w:r>
      <w:r w:rsidR="00EE4FC3">
        <w:t xml:space="preserve">  </w:t>
      </w:r>
      <w:r w:rsidRPr="00382917">
        <w:t>To</w:t>
      </w:r>
      <w:r w:rsidR="00EE4FC3">
        <w:t xml:space="preserve"> </w:t>
      </w:r>
      <w:r w:rsidRPr="00382917">
        <w:t>Sayyáḥ,</w:t>
      </w:r>
      <w:r w:rsidR="00EE4FC3">
        <w:t xml:space="preserve"> </w:t>
      </w:r>
      <w:r w:rsidRPr="00382917">
        <w:t>another</w:t>
      </w:r>
      <w:r w:rsidR="00EE4FC3">
        <w:t xml:space="preserve"> </w:t>
      </w:r>
      <w:r w:rsidRPr="00382917">
        <w:t>disciple,</w:t>
      </w:r>
      <w:r w:rsidR="00EE4FC3">
        <w:t xml:space="preserve"> </w:t>
      </w:r>
      <w:r w:rsidRPr="00382917">
        <w:t>He</w:t>
      </w:r>
      <w:r w:rsidR="00EE4FC3">
        <w:t xml:space="preserve"> </w:t>
      </w:r>
      <w:r w:rsidRPr="00382917">
        <w:t>made</w:t>
      </w:r>
      <w:r w:rsidR="00EE4FC3">
        <w:t xml:space="preserve"> </w:t>
      </w:r>
      <w:r w:rsidRPr="00382917">
        <w:t>the</w:t>
      </w:r>
      <w:r w:rsidR="00EE4FC3">
        <w:t xml:space="preserve"> </w:t>
      </w:r>
      <w:r w:rsidRPr="00382917">
        <w:t>same</w:t>
      </w:r>
      <w:r w:rsidR="00EE4FC3">
        <w:t xml:space="preserve"> </w:t>
      </w:r>
      <w:r w:rsidRPr="00382917">
        <w:t>verbal</w:t>
      </w:r>
      <w:r w:rsidR="00EE4FC3">
        <w:t xml:space="preserve"> </w:t>
      </w:r>
      <w:r w:rsidRPr="00382917">
        <w:t>promise</w:t>
      </w:r>
      <w:r w:rsidR="00330AF7">
        <w:t>.</w:t>
      </w:r>
      <w:r w:rsidR="00EE4FC3">
        <w:t xml:space="preserve">  </w:t>
      </w:r>
      <w:r w:rsidRPr="00382917">
        <w:t>To</w:t>
      </w:r>
      <w:r w:rsidR="00EE4FC3">
        <w:t xml:space="preserve"> </w:t>
      </w:r>
      <w:r w:rsidR="009C713D" w:rsidRPr="00382917">
        <w:t>‘</w:t>
      </w:r>
      <w:r w:rsidRPr="00382917">
        <w:t>Aẓím</w:t>
      </w:r>
      <w:r w:rsidR="00EE4FC3">
        <w:t xml:space="preserve"> </w:t>
      </w:r>
      <w:r w:rsidRPr="00382917">
        <w:t>the</w:t>
      </w:r>
      <w:r w:rsidR="00EE4FC3">
        <w:t xml:space="preserve"> </w:t>
      </w:r>
      <w:r w:rsidRPr="00382917">
        <w:t>Báb</w:t>
      </w:r>
      <w:r w:rsidR="00EE4FC3">
        <w:t xml:space="preserve"> </w:t>
      </w:r>
      <w:r w:rsidRPr="00382917">
        <w:t>wrote</w:t>
      </w:r>
      <w:r w:rsidR="00EE4FC3">
        <w:t xml:space="preserve"> </w:t>
      </w:r>
      <w:r w:rsidRPr="00382917">
        <w:t>a</w:t>
      </w:r>
      <w:r w:rsidR="00EE4FC3">
        <w:t xml:space="preserve"> </w:t>
      </w:r>
      <w:r w:rsidRPr="00382917">
        <w:t>special</w:t>
      </w:r>
      <w:r w:rsidR="00EE4FC3">
        <w:t xml:space="preserve"> </w:t>
      </w:r>
      <w:r w:rsidRPr="00382917">
        <w:t>tablet</w:t>
      </w:r>
      <w:r w:rsidR="00EE4FC3">
        <w:t xml:space="preserve"> </w:t>
      </w:r>
      <w:r w:rsidRPr="00382917">
        <w:t>in</w:t>
      </w:r>
      <w:r w:rsidR="00EE4FC3">
        <w:t xml:space="preserve"> </w:t>
      </w:r>
      <w:r w:rsidRPr="00382917">
        <w:t>which</w:t>
      </w:r>
      <w:r w:rsidR="00EE4FC3">
        <w:t xml:space="preserve"> </w:t>
      </w:r>
      <w:r w:rsidRPr="00382917">
        <w:t>He</w:t>
      </w:r>
      <w:r w:rsidR="00EE4FC3">
        <w:t xml:space="preserve"> </w:t>
      </w:r>
      <w:r w:rsidRPr="00382917">
        <w:t>gave</w:t>
      </w:r>
      <w:r w:rsidR="00EE4FC3">
        <w:t xml:space="preserve"> </w:t>
      </w:r>
      <w:r w:rsidRPr="00382917">
        <w:t>the</w:t>
      </w:r>
      <w:r w:rsidR="00EE4FC3">
        <w:t xml:space="preserve"> </w:t>
      </w:r>
      <w:r w:rsidRPr="00382917">
        <w:t>name</w:t>
      </w:r>
      <w:r w:rsidR="00EE4FC3">
        <w:t xml:space="preserve"> </w:t>
      </w:r>
      <w:r w:rsidRPr="00382917">
        <w:t>as</w:t>
      </w:r>
      <w:r w:rsidR="00EE4FC3">
        <w:t xml:space="preserve"> </w:t>
      </w:r>
      <w:r w:rsidRPr="00382917">
        <w:t>well</w:t>
      </w:r>
      <w:r w:rsidR="00EE4FC3">
        <w:t xml:space="preserve"> </w:t>
      </w:r>
      <w:r w:rsidRPr="00382917">
        <w:t>as</w:t>
      </w:r>
      <w:r w:rsidR="00EE4FC3">
        <w:t xml:space="preserve"> </w:t>
      </w:r>
      <w:r w:rsidRPr="00382917">
        <w:t>foretold</w:t>
      </w:r>
      <w:r w:rsidR="00EE4FC3">
        <w:t xml:space="preserve"> </w:t>
      </w:r>
      <w:r w:rsidRPr="00382917">
        <w:t>the</w:t>
      </w:r>
      <w:r w:rsidR="00EE4FC3">
        <w:t xml:space="preserve"> </w:t>
      </w:r>
      <w:r w:rsidRPr="00382917">
        <w:t>approaching</w:t>
      </w:r>
      <w:r w:rsidR="00EE4FC3">
        <w:t xml:space="preserve"> </w:t>
      </w:r>
      <w:r w:rsidRPr="00382917">
        <w:t>advent</w:t>
      </w:r>
      <w:r w:rsidR="00EE4FC3">
        <w:t xml:space="preserve"> </w:t>
      </w:r>
      <w:r w:rsidRPr="00382917">
        <w:t>of</w:t>
      </w:r>
      <w:r w:rsidR="00EE4FC3">
        <w:t xml:space="preserve"> </w:t>
      </w:r>
      <w:r w:rsidRPr="00382917">
        <w:t>this</w:t>
      </w:r>
      <w:r w:rsidR="00EE4FC3">
        <w:t xml:space="preserve"> </w:t>
      </w:r>
      <w:r w:rsidRPr="00382917">
        <w:t>One</w:t>
      </w:r>
      <w:r w:rsidR="00EE4FC3">
        <w:t xml:space="preserve"> </w:t>
      </w:r>
      <w:r w:rsidRPr="00382917">
        <w:t>Whom</w:t>
      </w:r>
      <w:r w:rsidR="00EE4FC3">
        <w:t xml:space="preserve"> </w:t>
      </w:r>
      <w:r w:rsidRPr="00382917">
        <w:t>they</w:t>
      </w:r>
      <w:r w:rsidR="00EE4FC3">
        <w:t xml:space="preserve"> </w:t>
      </w:r>
      <w:r w:rsidRPr="00382917">
        <w:t>were</w:t>
      </w:r>
      <w:r w:rsidR="00EE4FC3">
        <w:t xml:space="preserve"> </w:t>
      </w:r>
      <w:r w:rsidRPr="00382917">
        <w:t>all</w:t>
      </w:r>
      <w:r w:rsidR="00EE4FC3">
        <w:t xml:space="preserve"> </w:t>
      </w:r>
      <w:r w:rsidRPr="00382917">
        <w:t>awaiting</w:t>
      </w:r>
      <w:r w:rsidR="00330AF7">
        <w:t>.</w:t>
      </w:r>
      <w:r w:rsidR="00EE4FC3">
        <w:t xml:space="preserve">  </w:t>
      </w:r>
      <w:r w:rsidRPr="00382917">
        <w:t>All</w:t>
      </w:r>
      <w:r w:rsidR="00EE4FC3">
        <w:t xml:space="preserve"> </w:t>
      </w:r>
      <w:r w:rsidRPr="00382917">
        <w:t>of</w:t>
      </w:r>
      <w:r w:rsidR="00EE4FC3">
        <w:t xml:space="preserve"> </w:t>
      </w:r>
      <w:r w:rsidRPr="00382917">
        <w:t>His</w:t>
      </w:r>
      <w:r w:rsidR="00EE4FC3">
        <w:t xml:space="preserve"> </w:t>
      </w:r>
      <w:r w:rsidRPr="00382917">
        <w:t>promises</w:t>
      </w:r>
      <w:r w:rsidR="00EE4FC3">
        <w:t xml:space="preserve"> </w:t>
      </w:r>
      <w:r w:rsidRPr="00382917">
        <w:t>were</w:t>
      </w:r>
      <w:r w:rsidR="00EE4FC3">
        <w:t xml:space="preserve"> </w:t>
      </w:r>
      <w:r w:rsidRPr="00382917">
        <w:t>fulfilled.</w:t>
      </w:r>
    </w:p>
    <w:p w:rsidR="00610ADA" w:rsidRPr="00382917" w:rsidRDefault="008A073E" w:rsidP="00900F24">
      <w:pPr>
        <w:pStyle w:val="Text"/>
      </w:pPr>
      <w:r w:rsidRPr="00382917">
        <w:rPr>
          <w:u w:val="single"/>
        </w:rPr>
        <w:t>Sh</w:t>
      </w:r>
      <w:r w:rsidRPr="00382917">
        <w:t>ay</w:t>
      </w:r>
      <w:r w:rsidRPr="00382917">
        <w:rPr>
          <w:u w:val="single"/>
        </w:rPr>
        <w:t>kh</w:t>
      </w:r>
      <w:r w:rsidR="00EE4FC3">
        <w:t xml:space="preserve"> </w:t>
      </w:r>
      <w:r w:rsidR="00610ADA" w:rsidRPr="00382917">
        <w:t>Sulṭán</w:t>
      </w:r>
      <w:r w:rsidR="00EE4FC3">
        <w:t xml:space="preserve"> </w:t>
      </w:r>
      <w:r w:rsidR="00610ADA" w:rsidRPr="00382917">
        <w:t>was</w:t>
      </w:r>
      <w:r w:rsidR="00EE4FC3">
        <w:t xml:space="preserve"> </w:t>
      </w:r>
      <w:r w:rsidR="00610ADA" w:rsidRPr="00382917">
        <w:t>also</w:t>
      </w:r>
      <w:r w:rsidR="00EE4FC3">
        <w:t xml:space="preserve"> </w:t>
      </w:r>
      <w:r w:rsidR="00610ADA" w:rsidRPr="00382917">
        <w:t>one</w:t>
      </w:r>
      <w:r w:rsidR="00EE4FC3">
        <w:t xml:space="preserve"> </w:t>
      </w:r>
      <w:r w:rsidR="00610ADA" w:rsidRPr="00382917">
        <w:t>of</w:t>
      </w:r>
      <w:r w:rsidR="00EE4FC3">
        <w:t xml:space="preserve"> </w:t>
      </w:r>
      <w:r w:rsidR="00610ADA" w:rsidRPr="00382917">
        <w:t>the</w:t>
      </w:r>
      <w:r w:rsidR="00EE4FC3">
        <w:t xml:space="preserve"> </w:t>
      </w:r>
      <w:r w:rsidR="00610ADA" w:rsidRPr="00382917">
        <w:t>followers</w:t>
      </w:r>
      <w:r w:rsidR="00EE4FC3">
        <w:t xml:space="preserve"> </w:t>
      </w:r>
      <w:r w:rsidR="00610ADA" w:rsidRPr="00382917">
        <w:t>who</w:t>
      </w:r>
      <w:r w:rsidR="00EE4FC3">
        <w:t xml:space="preserve"> </w:t>
      </w:r>
      <w:r w:rsidR="00610ADA" w:rsidRPr="00382917">
        <w:t>received</w:t>
      </w:r>
      <w:r w:rsidR="00EE4FC3">
        <w:t xml:space="preserve"> </w:t>
      </w:r>
      <w:r w:rsidR="00610ADA" w:rsidRPr="00382917">
        <w:t>such</w:t>
      </w:r>
      <w:r w:rsidR="00EE4FC3">
        <w:t xml:space="preserve"> </w:t>
      </w:r>
      <w:r w:rsidR="00610ADA" w:rsidRPr="00382917">
        <w:t>a</w:t>
      </w:r>
      <w:r w:rsidR="00EE4FC3">
        <w:t xml:space="preserve"> </w:t>
      </w:r>
      <w:r w:rsidR="00610ADA" w:rsidRPr="00382917">
        <w:t>promise</w:t>
      </w:r>
      <w:r w:rsidR="00330AF7">
        <w:t>.</w:t>
      </w:r>
      <w:r w:rsidR="00EE4FC3">
        <w:t xml:space="preserve">  </w:t>
      </w:r>
      <w:r w:rsidR="00610ADA" w:rsidRPr="00382917">
        <w:t>He</w:t>
      </w:r>
      <w:r w:rsidR="00EE4FC3">
        <w:t xml:space="preserve"> </w:t>
      </w:r>
      <w:r w:rsidR="00610ADA" w:rsidRPr="00382917">
        <w:t>journeyed</w:t>
      </w:r>
      <w:r w:rsidR="00EE4FC3">
        <w:t xml:space="preserve"> </w:t>
      </w:r>
      <w:r w:rsidR="00610ADA" w:rsidRPr="00382917">
        <w:t>to</w:t>
      </w:r>
      <w:r w:rsidR="00EE4FC3">
        <w:t xml:space="preserve"> </w:t>
      </w:r>
      <w:r w:rsidRPr="00382917">
        <w:rPr>
          <w:u w:val="single"/>
        </w:rPr>
        <w:t>Sh</w:t>
      </w:r>
      <w:r w:rsidRPr="00382917">
        <w:t>íráz</w:t>
      </w:r>
      <w:r w:rsidR="00EE4FC3">
        <w:t xml:space="preserve"> </w:t>
      </w:r>
      <w:r w:rsidR="00610ADA" w:rsidRPr="00382917">
        <w:t>with</w:t>
      </w:r>
      <w:r w:rsidR="00EE4FC3">
        <w:t xml:space="preserve"> </w:t>
      </w:r>
      <w:r w:rsidR="00610ADA" w:rsidRPr="00382917">
        <w:t>a</w:t>
      </w:r>
      <w:r w:rsidR="00EE4FC3">
        <w:t xml:space="preserve"> </w:t>
      </w:r>
      <w:r w:rsidR="00610ADA" w:rsidRPr="00382917">
        <w:t>friend,</w:t>
      </w:r>
      <w:r w:rsidR="00EE4FC3">
        <w:t xml:space="preserve"> </w:t>
      </w:r>
      <w:r w:rsidRPr="00382917">
        <w:rPr>
          <w:u w:val="single"/>
        </w:rPr>
        <w:t>Sh</w:t>
      </w:r>
      <w:r w:rsidRPr="00382917">
        <w:t>ay</w:t>
      </w:r>
      <w:r w:rsidRPr="00382917">
        <w:rPr>
          <w:u w:val="single"/>
        </w:rPr>
        <w:t>kh</w:t>
      </w:r>
      <w:r w:rsidR="00EE4FC3">
        <w:t xml:space="preserve"> </w:t>
      </w:r>
      <w:r w:rsidR="00610ADA" w:rsidRPr="00382917">
        <w:t>Ḥasan</w:t>
      </w:r>
      <w:r w:rsidR="00330AF7">
        <w:t>.</w:t>
      </w:r>
      <w:r w:rsidR="00EE4FC3">
        <w:t xml:space="preserve">  </w:t>
      </w:r>
      <w:r w:rsidR="00610ADA" w:rsidRPr="00382917">
        <w:t>They</w:t>
      </w:r>
      <w:r w:rsidR="00EE4FC3">
        <w:t xml:space="preserve"> </w:t>
      </w:r>
      <w:r w:rsidR="00610ADA" w:rsidRPr="00382917">
        <w:t>were</w:t>
      </w:r>
      <w:r w:rsidR="00EE4FC3">
        <w:t xml:space="preserve"> </w:t>
      </w:r>
      <w:r w:rsidR="00610ADA" w:rsidRPr="00382917">
        <w:t>both</w:t>
      </w:r>
      <w:r w:rsidR="00EE4FC3">
        <w:t xml:space="preserve"> </w:t>
      </w:r>
      <w:r w:rsidR="00610ADA" w:rsidRPr="00382917">
        <w:t>eager</w:t>
      </w:r>
      <w:r w:rsidR="00EE4FC3">
        <w:t xml:space="preserve"> </w:t>
      </w:r>
      <w:r w:rsidR="00610ADA" w:rsidRPr="00382917">
        <w:t>to</w:t>
      </w:r>
      <w:r w:rsidR="00EE4FC3">
        <w:t xml:space="preserve"> </w:t>
      </w:r>
      <w:r w:rsidR="00610ADA" w:rsidRPr="00382917">
        <w:t>meet</w:t>
      </w:r>
      <w:r w:rsidR="00EE4FC3">
        <w:t xml:space="preserve"> </w:t>
      </w:r>
      <w:r w:rsidR="00610ADA" w:rsidRPr="00382917">
        <w:t>the</w:t>
      </w:r>
      <w:r w:rsidR="00EE4FC3">
        <w:t xml:space="preserve"> </w:t>
      </w:r>
      <w:r w:rsidR="00610ADA" w:rsidRPr="00382917">
        <w:t>Báb,</w:t>
      </w:r>
      <w:r w:rsidR="00EE4FC3">
        <w:t xml:space="preserve"> </w:t>
      </w:r>
      <w:r w:rsidR="00610ADA" w:rsidRPr="00382917">
        <w:t>but</w:t>
      </w:r>
      <w:r w:rsidR="00EE4FC3">
        <w:t xml:space="preserve"> </w:t>
      </w:r>
      <w:r w:rsidRPr="00382917">
        <w:rPr>
          <w:u w:val="single"/>
        </w:rPr>
        <w:t>Sh</w:t>
      </w:r>
      <w:r w:rsidRPr="00382917">
        <w:t>ay</w:t>
      </w:r>
      <w:r w:rsidRPr="00382917">
        <w:rPr>
          <w:u w:val="single"/>
        </w:rPr>
        <w:t>kh</w:t>
      </w:r>
      <w:r w:rsidR="00EE4FC3">
        <w:t xml:space="preserve"> </w:t>
      </w:r>
      <w:r w:rsidR="00610ADA" w:rsidRPr="00382917">
        <w:t>Sulṭán</w:t>
      </w:r>
      <w:r w:rsidR="00EE4FC3">
        <w:t xml:space="preserve"> </w:t>
      </w:r>
      <w:r w:rsidR="00610ADA" w:rsidRPr="00382917">
        <w:t>fell</w:t>
      </w:r>
      <w:r w:rsidR="00EE4FC3">
        <w:t xml:space="preserve"> </w:t>
      </w:r>
      <w:r w:rsidR="00610ADA" w:rsidRPr="00382917">
        <w:t>ill</w:t>
      </w:r>
      <w:r w:rsidR="00EE4FC3">
        <w:t xml:space="preserve"> </w:t>
      </w:r>
      <w:r w:rsidR="00610ADA" w:rsidRPr="00382917">
        <w:t>before</w:t>
      </w:r>
      <w:r w:rsidR="00EE4FC3">
        <w:t xml:space="preserve"> </w:t>
      </w:r>
      <w:r w:rsidR="00610ADA" w:rsidRPr="00382917">
        <w:t>his</w:t>
      </w:r>
      <w:r w:rsidR="00EE4FC3">
        <w:t xml:space="preserve"> </w:t>
      </w:r>
      <w:r w:rsidR="00610ADA" w:rsidRPr="00382917">
        <w:t>wish</w:t>
      </w:r>
      <w:r w:rsidR="00EE4FC3">
        <w:t xml:space="preserve"> </w:t>
      </w:r>
      <w:r w:rsidR="00610ADA" w:rsidRPr="00382917">
        <w:t>was</w:t>
      </w:r>
      <w:r w:rsidR="00EE4FC3">
        <w:t xml:space="preserve"> </w:t>
      </w:r>
      <w:r w:rsidR="00610ADA" w:rsidRPr="00382917">
        <w:t>fulfilled</w:t>
      </w:r>
      <w:r w:rsidR="00330AF7">
        <w:t>.</w:t>
      </w:r>
      <w:r w:rsidR="00EE4FC3">
        <w:t xml:space="preserve">  </w:t>
      </w:r>
      <w:r w:rsidR="00610ADA" w:rsidRPr="00382917">
        <w:t>One</w:t>
      </w:r>
      <w:r w:rsidR="00EE4FC3">
        <w:t xml:space="preserve"> </w:t>
      </w:r>
      <w:r w:rsidR="00610ADA" w:rsidRPr="00382917">
        <w:t>night</w:t>
      </w:r>
      <w:r w:rsidR="00EE4FC3">
        <w:t xml:space="preserve"> </w:t>
      </w:r>
      <w:r w:rsidR="00610ADA" w:rsidRPr="00382917">
        <w:t>he</w:t>
      </w:r>
      <w:r w:rsidR="00EE4FC3">
        <w:t xml:space="preserve"> </w:t>
      </w:r>
      <w:r w:rsidR="00610ADA" w:rsidRPr="00382917">
        <w:t>received</w:t>
      </w:r>
      <w:r w:rsidR="00EE4FC3">
        <w:t xml:space="preserve"> </w:t>
      </w:r>
      <w:r w:rsidR="00610ADA" w:rsidRPr="00382917">
        <w:t>a</w:t>
      </w:r>
      <w:r w:rsidR="00EE4FC3">
        <w:t xml:space="preserve"> </w:t>
      </w:r>
      <w:r w:rsidR="00610ADA" w:rsidRPr="00382917">
        <w:t>message</w:t>
      </w:r>
      <w:r w:rsidR="00EE4FC3">
        <w:t xml:space="preserve"> </w:t>
      </w:r>
      <w:r w:rsidR="00610ADA" w:rsidRPr="00382917">
        <w:t>saying</w:t>
      </w:r>
      <w:r w:rsidR="00EE4FC3">
        <w:t xml:space="preserve"> </w:t>
      </w:r>
      <w:r w:rsidR="00610ADA" w:rsidRPr="00382917">
        <w:t>that</w:t>
      </w:r>
      <w:r w:rsidR="00EE4FC3">
        <w:t xml:space="preserve"> </w:t>
      </w:r>
      <w:r w:rsidR="00610ADA" w:rsidRPr="00382917">
        <w:t>the</w:t>
      </w:r>
      <w:r w:rsidR="00EE4FC3">
        <w:t xml:space="preserve"> </w:t>
      </w:r>
      <w:r w:rsidR="00610ADA" w:rsidRPr="00382917">
        <w:t>Báb</w:t>
      </w:r>
      <w:r w:rsidR="00EE4FC3">
        <w:t xml:space="preserve"> </w:t>
      </w:r>
      <w:r w:rsidR="00610ADA" w:rsidRPr="00382917">
        <w:t>had</w:t>
      </w:r>
      <w:r w:rsidR="00EE4FC3">
        <w:t xml:space="preserve"> </w:t>
      </w:r>
      <w:r w:rsidR="00610ADA" w:rsidRPr="00382917">
        <w:t>heard</w:t>
      </w:r>
      <w:r w:rsidR="00EE4FC3">
        <w:t xml:space="preserve"> </w:t>
      </w:r>
      <w:r w:rsidR="00610ADA" w:rsidRPr="00382917">
        <w:t>of</w:t>
      </w:r>
      <w:r w:rsidR="00EE4FC3">
        <w:t xml:space="preserve"> </w:t>
      </w:r>
      <w:r w:rsidR="00610ADA" w:rsidRPr="00382917">
        <w:t>his</w:t>
      </w:r>
      <w:r w:rsidR="00EE4FC3">
        <w:t xml:space="preserve"> </w:t>
      </w:r>
      <w:r w:rsidR="00610ADA" w:rsidRPr="00382917">
        <w:t>illness</w:t>
      </w:r>
      <w:r w:rsidR="00EE4FC3">
        <w:t xml:space="preserve"> </w:t>
      </w:r>
      <w:r w:rsidR="00610ADA" w:rsidRPr="00382917">
        <w:t>and</w:t>
      </w:r>
      <w:r w:rsidR="00EE4FC3">
        <w:t xml:space="preserve"> </w:t>
      </w:r>
      <w:r w:rsidR="00610ADA" w:rsidRPr="00382917">
        <w:t>would</w:t>
      </w:r>
      <w:r w:rsidR="00EE4FC3">
        <w:t xml:space="preserve"> </w:t>
      </w:r>
      <w:r w:rsidR="00610ADA" w:rsidRPr="00382917">
        <w:t>visit</w:t>
      </w:r>
      <w:r w:rsidR="00EE4FC3">
        <w:t xml:space="preserve"> </w:t>
      </w:r>
      <w:r w:rsidR="00610ADA" w:rsidRPr="00382917">
        <w:t>him</w:t>
      </w:r>
      <w:r w:rsidR="00EE4FC3">
        <w:t xml:space="preserve"> </w:t>
      </w:r>
      <w:r w:rsidR="00610ADA" w:rsidRPr="00382917">
        <w:t>after</w:t>
      </w:r>
      <w:r w:rsidR="00EE4FC3">
        <w:t xml:space="preserve"> </w:t>
      </w:r>
      <w:r w:rsidR="00610ADA" w:rsidRPr="00382917">
        <w:t>dark</w:t>
      </w:r>
      <w:r w:rsidR="00330AF7">
        <w:t>.</w:t>
      </w:r>
      <w:r w:rsidR="00EE4FC3">
        <w:t xml:space="preserve">  </w:t>
      </w:r>
      <w:r w:rsidRPr="00382917">
        <w:rPr>
          <w:u w:val="single"/>
        </w:rPr>
        <w:t>Sh</w:t>
      </w:r>
      <w:r w:rsidRPr="00382917">
        <w:t>ay</w:t>
      </w:r>
      <w:r w:rsidRPr="00382917">
        <w:rPr>
          <w:u w:val="single"/>
        </w:rPr>
        <w:t>kh</w:t>
      </w:r>
      <w:r w:rsidR="00EE4FC3">
        <w:t xml:space="preserve"> </w:t>
      </w:r>
      <w:r w:rsidR="00610ADA" w:rsidRPr="00382917">
        <w:t>Sulṭán</w:t>
      </w:r>
      <w:r w:rsidR="00EE4FC3">
        <w:t xml:space="preserve"> </w:t>
      </w:r>
      <w:r w:rsidR="00610ADA" w:rsidRPr="00382917">
        <w:t>describes</w:t>
      </w:r>
      <w:r w:rsidR="00EE4FC3">
        <w:t xml:space="preserve"> </w:t>
      </w:r>
      <w:r w:rsidR="00610ADA" w:rsidRPr="00382917">
        <w:t>that</w:t>
      </w:r>
      <w:r w:rsidR="00EE4FC3">
        <w:t xml:space="preserve"> </w:t>
      </w:r>
      <w:r w:rsidR="00610ADA" w:rsidRPr="00382917">
        <w:t>visit</w:t>
      </w:r>
      <w:r w:rsidR="00EE4FC3">
        <w:t xml:space="preserve"> </w:t>
      </w:r>
      <w:r w:rsidR="00610ADA" w:rsidRPr="00382917">
        <w:t>in</w:t>
      </w:r>
      <w:r w:rsidR="00EE4FC3">
        <w:t xml:space="preserve"> </w:t>
      </w:r>
      <w:r w:rsidR="00610ADA" w:rsidRPr="00382917">
        <w:t>his</w:t>
      </w:r>
      <w:r w:rsidR="00EE4FC3">
        <w:t xml:space="preserve"> </w:t>
      </w:r>
      <w:r w:rsidR="00610ADA" w:rsidRPr="00382917">
        <w:t>own</w:t>
      </w:r>
      <w:r w:rsidR="00EE4FC3">
        <w:t xml:space="preserve"> </w:t>
      </w:r>
      <w:r w:rsidR="00610ADA" w:rsidRPr="00382917">
        <w:t>words:</w:t>
      </w:r>
    </w:p>
    <w:p w:rsidR="00610ADA" w:rsidRPr="00382917" w:rsidRDefault="009C713D" w:rsidP="00900F24">
      <w:pPr>
        <w:pStyle w:val="Text"/>
      </w:pPr>
      <w:r w:rsidRPr="00382917">
        <w:t>“</w:t>
      </w:r>
      <w:r w:rsidR="00610ADA" w:rsidRPr="00382917">
        <w:t>The</w:t>
      </w:r>
      <w:r w:rsidR="00EE4FC3">
        <w:t xml:space="preserve"> </w:t>
      </w:r>
      <w:r w:rsidR="00610ADA" w:rsidRPr="00382917">
        <w:t>Báb,</w:t>
      </w:r>
      <w:r w:rsidR="00EE4FC3">
        <w:t xml:space="preserve"> </w:t>
      </w:r>
      <w:r w:rsidR="00610ADA" w:rsidRPr="00382917">
        <w:t>Who</w:t>
      </w:r>
      <w:r w:rsidR="00EE4FC3">
        <w:t xml:space="preserve"> </w:t>
      </w:r>
      <w:r w:rsidR="00610ADA" w:rsidRPr="00382917">
        <w:t>had</w:t>
      </w:r>
      <w:r w:rsidR="00EE4FC3">
        <w:t xml:space="preserve"> </w:t>
      </w:r>
      <w:r w:rsidR="00610ADA" w:rsidRPr="00382917">
        <w:t>bidden</w:t>
      </w:r>
      <w:r w:rsidR="00EE4FC3">
        <w:t xml:space="preserve"> </w:t>
      </w:r>
      <w:r w:rsidR="00610ADA" w:rsidRPr="00382917">
        <w:t>me</w:t>
      </w:r>
      <w:r w:rsidR="00EE4FC3">
        <w:t xml:space="preserve"> </w:t>
      </w:r>
      <w:r w:rsidR="00610ADA" w:rsidRPr="00382917">
        <w:t>extinguish</w:t>
      </w:r>
      <w:r w:rsidR="00EE4FC3">
        <w:t xml:space="preserve"> </w:t>
      </w:r>
      <w:r w:rsidR="00610ADA" w:rsidRPr="00382917">
        <w:t>the</w:t>
      </w:r>
      <w:r w:rsidR="00EE4FC3">
        <w:t xml:space="preserve"> </w:t>
      </w:r>
      <w:r w:rsidR="00610ADA" w:rsidRPr="00382917">
        <w:t>lamp</w:t>
      </w:r>
      <w:r w:rsidR="00EE4FC3">
        <w:t xml:space="preserve"> </w:t>
      </w:r>
      <w:r w:rsidR="00610ADA" w:rsidRPr="00382917">
        <w:t>in</w:t>
      </w:r>
      <w:r w:rsidR="00EE4FC3">
        <w:t xml:space="preserve"> </w:t>
      </w:r>
      <w:r w:rsidR="00610ADA" w:rsidRPr="00382917">
        <w:t>my</w:t>
      </w:r>
      <w:r w:rsidR="00EE4FC3">
        <w:t xml:space="preserve"> </w:t>
      </w:r>
      <w:r w:rsidR="00610ADA" w:rsidRPr="00382917">
        <w:t>room</w:t>
      </w:r>
      <w:r w:rsidR="00EE4FC3">
        <w:t xml:space="preserve"> </w:t>
      </w:r>
      <w:r w:rsidR="00610ADA" w:rsidRPr="00382917">
        <w:t>ere</w:t>
      </w:r>
      <w:r w:rsidR="00EE4FC3">
        <w:t xml:space="preserve"> </w:t>
      </w:r>
      <w:r w:rsidR="00610ADA" w:rsidRPr="00382917">
        <w:t>He</w:t>
      </w:r>
      <w:r w:rsidR="00EE4FC3">
        <w:t xml:space="preserve"> </w:t>
      </w:r>
      <w:r w:rsidR="00610ADA" w:rsidRPr="00382917">
        <w:t>arrived,</w:t>
      </w:r>
      <w:r w:rsidR="00EE4FC3">
        <w:t xml:space="preserve"> </w:t>
      </w:r>
      <w:r w:rsidR="00610ADA" w:rsidRPr="00382917">
        <w:t>came</w:t>
      </w:r>
      <w:r w:rsidR="00EE4FC3">
        <w:t xml:space="preserve"> </w:t>
      </w:r>
      <w:r w:rsidR="00610ADA" w:rsidRPr="00382917">
        <w:t>straight</w:t>
      </w:r>
      <w:r w:rsidR="00EE4FC3">
        <w:t xml:space="preserve"> </w:t>
      </w:r>
      <w:r w:rsidR="00610ADA" w:rsidRPr="00382917">
        <w:t>to</w:t>
      </w:r>
      <w:r w:rsidR="00EE4FC3">
        <w:t xml:space="preserve"> </w:t>
      </w:r>
      <w:r w:rsidR="00610ADA" w:rsidRPr="00382917">
        <w:t>my</w:t>
      </w:r>
      <w:r w:rsidR="00EE4FC3">
        <w:t xml:space="preserve"> </w:t>
      </w:r>
      <w:r w:rsidR="00610ADA" w:rsidRPr="00382917">
        <w:t>bedside</w:t>
      </w:r>
      <w:r w:rsidR="00330AF7">
        <w:t>.</w:t>
      </w:r>
      <w:r w:rsidR="00EE4FC3">
        <w:t xml:space="preserve">  </w:t>
      </w:r>
      <w:r w:rsidR="00610ADA" w:rsidRPr="00382917">
        <w:t>In</w:t>
      </w:r>
      <w:r w:rsidR="00EE4FC3">
        <w:t xml:space="preserve"> </w:t>
      </w:r>
      <w:r w:rsidR="00610ADA" w:rsidRPr="00382917">
        <w:t>the</w:t>
      </w:r>
      <w:r w:rsidR="00EE4FC3">
        <w:t xml:space="preserve"> </w:t>
      </w:r>
      <w:r w:rsidR="00610ADA" w:rsidRPr="00382917">
        <w:t>midst</w:t>
      </w:r>
      <w:r w:rsidR="00EE4FC3">
        <w:t xml:space="preserve"> </w:t>
      </w:r>
      <w:r w:rsidR="00610ADA" w:rsidRPr="00382917">
        <w:t>of</w:t>
      </w:r>
      <w:r w:rsidR="00EE4FC3">
        <w:t xml:space="preserve"> </w:t>
      </w:r>
      <w:r w:rsidR="00610ADA" w:rsidRPr="00382917">
        <w:t>the</w:t>
      </w:r>
      <w:r w:rsidR="00EE4FC3">
        <w:t xml:space="preserve"> </w:t>
      </w:r>
      <w:r w:rsidR="00610ADA" w:rsidRPr="00382917">
        <w:t>darkness,</w:t>
      </w:r>
      <w:r w:rsidR="00EE4FC3">
        <w:t xml:space="preserve"> </w:t>
      </w:r>
      <w:r w:rsidR="00610ADA" w:rsidRPr="00382917">
        <w:t>I</w:t>
      </w:r>
      <w:r w:rsidR="00EE4FC3">
        <w:t xml:space="preserve"> </w:t>
      </w:r>
      <w:r w:rsidR="00610ADA" w:rsidRPr="00382917">
        <w:t>held</w:t>
      </w:r>
      <w:r w:rsidR="00EE4FC3">
        <w:t xml:space="preserve"> </w:t>
      </w:r>
      <w:r w:rsidR="00610ADA" w:rsidRPr="00382917">
        <w:t>fast</w:t>
      </w:r>
      <w:r w:rsidR="00EE4FC3">
        <w:t xml:space="preserve"> </w:t>
      </w:r>
      <w:r w:rsidR="00610ADA" w:rsidRPr="00382917">
        <w:t>to</w:t>
      </w:r>
      <w:r w:rsidR="00EE4FC3">
        <w:t xml:space="preserve"> </w:t>
      </w:r>
      <w:r w:rsidR="00610ADA" w:rsidRPr="00382917">
        <w:t>His</w:t>
      </w:r>
      <w:r w:rsidR="00EE4FC3">
        <w:t xml:space="preserve"> </w:t>
      </w:r>
      <w:r w:rsidR="00610ADA" w:rsidRPr="00382917">
        <w:t>garment</w:t>
      </w:r>
      <w:r w:rsidR="00EE4FC3">
        <w:t xml:space="preserve"> </w:t>
      </w:r>
      <w:r w:rsidR="00610ADA" w:rsidRPr="00382917">
        <w:t>and</w:t>
      </w:r>
      <w:r w:rsidR="00EE4FC3">
        <w:t xml:space="preserve"> </w:t>
      </w:r>
      <w:r w:rsidR="00610ADA" w:rsidRPr="00382917">
        <w:t>entreated</w:t>
      </w:r>
      <w:r w:rsidR="00EE4FC3">
        <w:t xml:space="preserve"> </w:t>
      </w:r>
      <w:r w:rsidR="00610ADA" w:rsidRPr="00382917">
        <w:t>Him</w:t>
      </w:r>
      <w:r w:rsidR="00EE4FC3">
        <w:t xml:space="preserve"> </w:t>
      </w:r>
      <w:r w:rsidR="00610ADA" w:rsidRPr="00382917">
        <w:t>to</w:t>
      </w:r>
      <w:r w:rsidR="00EE4FC3">
        <w:t xml:space="preserve"> </w:t>
      </w:r>
      <w:r w:rsidR="00610ADA" w:rsidRPr="00382917">
        <w:t>let</w:t>
      </w:r>
      <w:r w:rsidR="00EE4FC3">
        <w:t xml:space="preserve"> </w:t>
      </w:r>
      <w:r w:rsidR="00610ADA" w:rsidRPr="00382917">
        <w:t>me</w:t>
      </w:r>
      <w:r w:rsidR="00EE4FC3">
        <w:t xml:space="preserve"> </w:t>
      </w:r>
      <w:r w:rsidR="00610ADA" w:rsidRPr="00382917">
        <w:t>sacrifice</w:t>
      </w:r>
      <w:r w:rsidR="00EE4FC3">
        <w:t xml:space="preserve"> </w:t>
      </w:r>
      <w:r w:rsidR="00610ADA" w:rsidRPr="00382917">
        <w:t>myself</w:t>
      </w:r>
      <w:r w:rsidR="00EE4FC3">
        <w:t xml:space="preserve"> </w:t>
      </w:r>
      <w:r w:rsidR="00610ADA" w:rsidRPr="00382917">
        <w:t>for</w:t>
      </w:r>
      <w:r w:rsidR="00EE4FC3">
        <w:t xml:space="preserve"> </w:t>
      </w:r>
      <w:r w:rsidR="00610ADA" w:rsidRPr="00382917">
        <w:t>His</w:t>
      </w:r>
      <w:r w:rsidR="00EE4FC3">
        <w:t xml:space="preserve"> </w:t>
      </w:r>
      <w:r w:rsidR="00610ADA" w:rsidRPr="00382917">
        <w:t>Cause.</w:t>
      </w:r>
    </w:p>
    <w:p w:rsidR="00610ADA" w:rsidRPr="00382917" w:rsidRDefault="009C713D" w:rsidP="00900F24">
      <w:pPr>
        <w:pStyle w:val="Text"/>
      </w:pPr>
      <w:r w:rsidRPr="00382917">
        <w:t>“</w:t>
      </w:r>
      <w:r w:rsidR="00610ADA" w:rsidRPr="00382917">
        <w:t>He</w:t>
      </w:r>
      <w:r w:rsidR="00EE4FC3">
        <w:t xml:space="preserve"> </w:t>
      </w:r>
      <w:r w:rsidR="00610ADA" w:rsidRPr="00382917">
        <w:t>replied</w:t>
      </w:r>
      <w:r w:rsidR="00C03C91">
        <w:t>:</w:t>
      </w:r>
      <w:r w:rsidR="00EE4FC3">
        <w:t xml:space="preserve">  </w:t>
      </w:r>
      <w:r w:rsidRPr="00382917">
        <w:t>‘</w:t>
      </w:r>
      <w:r w:rsidR="00610ADA" w:rsidRPr="00382917">
        <w:t>O</w:t>
      </w:r>
      <w:r w:rsidR="00EE4FC3">
        <w:t xml:space="preserve"> </w:t>
      </w:r>
      <w:r w:rsidR="008A073E" w:rsidRPr="00382917">
        <w:rPr>
          <w:u w:val="single"/>
        </w:rPr>
        <w:t>Sh</w:t>
      </w:r>
      <w:r w:rsidR="008A073E" w:rsidRPr="00382917">
        <w:t>ay</w:t>
      </w:r>
      <w:r w:rsidR="008A073E" w:rsidRPr="00382917">
        <w:rPr>
          <w:u w:val="single"/>
        </w:rPr>
        <w:t>kh</w:t>
      </w:r>
      <w:proofErr w:type="gramStart"/>
      <w:r w:rsidR="00610ADA" w:rsidRPr="00382917">
        <w:t>!</w:t>
      </w:r>
      <w:r w:rsidR="00EE4FC3">
        <w:t xml:space="preserve"> </w:t>
      </w:r>
      <w:r w:rsidR="00610ADA" w:rsidRPr="00382917">
        <w:t>it</w:t>
      </w:r>
      <w:proofErr w:type="gramEnd"/>
      <w:r w:rsidR="00EE4FC3">
        <w:t xml:space="preserve"> </w:t>
      </w:r>
      <w:proofErr w:type="spellStart"/>
      <w:r w:rsidR="00610ADA" w:rsidRPr="00382917">
        <w:t>behooves</w:t>
      </w:r>
      <w:proofErr w:type="spellEnd"/>
      <w:r w:rsidR="00EE4FC3">
        <w:t xml:space="preserve"> </w:t>
      </w:r>
      <w:r w:rsidR="00610ADA" w:rsidRPr="00382917">
        <w:t>us</w:t>
      </w:r>
      <w:r w:rsidR="00EE4FC3">
        <w:t xml:space="preserve"> </w:t>
      </w:r>
      <w:r w:rsidR="00610ADA" w:rsidRPr="00382917">
        <w:t>both</w:t>
      </w:r>
      <w:r w:rsidR="00EE4FC3">
        <w:t xml:space="preserve"> </w:t>
      </w:r>
      <w:r w:rsidR="00610ADA" w:rsidRPr="00382917">
        <w:t>to</w:t>
      </w:r>
      <w:r w:rsidR="00EE4FC3">
        <w:t xml:space="preserve"> </w:t>
      </w:r>
      <w:r w:rsidR="00610ADA" w:rsidRPr="00382917">
        <w:t>cling</w:t>
      </w:r>
      <w:r w:rsidR="00EE4FC3">
        <w:t xml:space="preserve"> </w:t>
      </w:r>
      <w:r w:rsidR="00610ADA" w:rsidRPr="00382917">
        <w:t>to</w:t>
      </w:r>
      <w:r w:rsidR="00EE4FC3">
        <w:t xml:space="preserve"> </w:t>
      </w:r>
      <w:r w:rsidR="00610ADA" w:rsidRPr="00382917">
        <w:t>the</w:t>
      </w:r>
      <w:r w:rsidR="00EE4FC3">
        <w:t xml:space="preserve"> </w:t>
      </w:r>
      <w:r w:rsidR="00610ADA" w:rsidRPr="00382917">
        <w:t>garment</w:t>
      </w:r>
      <w:r w:rsidR="00EE4FC3">
        <w:t xml:space="preserve"> </w:t>
      </w:r>
      <w:r w:rsidR="00610ADA" w:rsidRPr="00382917">
        <w:t>of</w:t>
      </w:r>
      <w:r w:rsidR="00EE4FC3">
        <w:t xml:space="preserve"> </w:t>
      </w:r>
      <w:r w:rsidR="00610ADA" w:rsidRPr="00382917">
        <w:t>the</w:t>
      </w:r>
      <w:r w:rsidR="00EE4FC3">
        <w:t xml:space="preserve"> </w:t>
      </w:r>
      <w:r w:rsidR="00610ADA" w:rsidRPr="00382917">
        <w:t>Best-Beloved</w:t>
      </w:r>
      <w:r w:rsidR="00EE4FC3">
        <w:t xml:space="preserve"> </w:t>
      </w:r>
      <w:r w:rsidR="00610ADA" w:rsidRPr="00382917">
        <w:t>and</w:t>
      </w:r>
      <w:r w:rsidR="00EE4FC3">
        <w:t xml:space="preserve"> </w:t>
      </w:r>
      <w:r w:rsidR="00610ADA" w:rsidRPr="00382917">
        <w:t>to</w:t>
      </w:r>
      <w:r w:rsidR="00EE4FC3">
        <w:t xml:space="preserve"> </w:t>
      </w:r>
      <w:r w:rsidR="00610ADA" w:rsidRPr="00382917">
        <w:t>seek</w:t>
      </w:r>
      <w:r w:rsidR="00EE4FC3">
        <w:t xml:space="preserve"> </w:t>
      </w:r>
      <w:r w:rsidR="00610ADA" w:rsidRPr="00382917">
        <w:t>from</w:t>
      </w:r>
      <w:r w:rsidR="00EE4FC3">
        <w:t xml:space="preserve"> </w:t>
      </w:r>
      <w:r w:rsidR="00610ADA" w:rsidRPr="00382917">
        <w:t>Him</w:t>
      </w:r>
      <w:r w:rsidR="00EE4FC3">
        <w:t xml:space="preserve"> </w:t>
      </w:r>
      <w:r w:rsidR="00610ADA" w:rsidRPr="00382917">
        <w:t>the</w:t>
      </w:r>
      <w:r w:rsidR="00EE4FC3">
        <w:t xml:space="preserve"> </w:t>
      </w:r>
      <w:r w:rsidR="00610ADA" w:rsidRPr="00382917">
        <w:t>joy</w:t>
      </w:r>
      <w:r w:rsidR="00EE4FC3">
        <w:t xml:space="preserve"> </w:t>
      </w:r>
      <w:r w:rsidR="00610ADA" w:rsidRPr="00382917">
        <w:t>and</w:t>
      </w:r>
      <w:r w:rsidR="00EE4FC3">
        <w:t xml:space="preserve"> </w:t>
      </w:r>
      <w:r w:rsidR="00610ADA" w:rsidRPr="00382917">
        <w:t>glory</w:t>
      </w:r>
      <w:r w:rsidR="00EE4FC3">
        <w:t xml:space="preserve"> </w:t>
      </w:r>
      <w:r w:rsidR="00610ADA" w:rsidRPr="00382917">
        <w:t>of</w:t>
      </w:r>
      <w:r w:rsidR="00EE4FC3">
        <w:t xml:space="preserve"> </w:t>
      </w:r>
      <w:r w:rsidR="00610ADA" w:rsidRPr="00382917">
        <w:t>martyrdom</w:t>
      </w:r>
      <w:r w:rsidR="00EE4FC3">
        <w:t xml:space="preserve"> </w:t>
      </w:r>
      <w:r w:rsidR="00610ADA" w:rsidRPr="00382917">
        <w:t>in</w:t>
      </w:r>
      <w:r w:rsidR="00EE4FC3">
        <w:t xml:space="preserve"> </w:t>
      </w:r>
      <w:r w:rsidR="00610ADA" w:rsidRPr="00382917">
        <w:t>His</w:t>
      </w:r>
      <w:r w:rsidR="00EE4FC3">
        <w:t xml:space="preserve"> </w:t>
      </w:r>
      <w:r w:rsidR="00610ADA" w:rsidRPr="00382917">
        <w:t>path</w:t>
      </w:r>
      <w:r w:rsidR="00330AF7">
        <w:t>.</w:t>
      </w:r>
      <w:r w:rsidR="00EE4FC3">
        <w:t xml:space="preserve">  </w:t>
      </w:r>
      <w:r w:rsidR="00610ADA" w:rsidRPr="00382917">
        <w:t>Rest</w:t>
      </w:r>
      <w:r w:rsidR="00EE4FC3">
        <w:t xml:space="preserve"> </w:t>
      </w:r>
      <w:r w:rsidR="00610ADA" w:rsidRPr="00382917">
        <w:t>assured</w:t>
      </w:r>
      <w:r w:rsidR="00EE4FC3">
        <w:t xml:space="preserve"> </w:t>
      </w:r>
      <w:r w:rsidR="00610ADA" w:rsidRPr="00382917">
        <w:t>I</w:t>
      </w:r>
      <w:r w:rsidR="00EE4FC3">
        <w:t xml:space="preserve"> </w:t>
      </w:r>
      <w:r w:rsidR="00610ADA" w:rsidRPr="00382917">
        <w:t>will,</w:t>
      </w:r>
      <w:r w:rsidR="00EE4FC3">
        <w:t xml:space="preserve"> </w:t>
      </w:r>
      <w:r w:rsidR="00610ADA" w:rsidRPr="00382917">
        <w:t>in</w:t>
      </w:r>
      <w:r w:rsidR="00EE4FC3">
        <w:t xml:space="preserve"> </w:t>
      </w:r>
      <w:r w:rsidR="00610ADA" w:rsidRPr="00382917">
        <w:t>your</w:t>
      </w:r>
      <w:r w:rsidR="00EE4FC3">
        <w:t xml:space="preserve"> </w:t>
      </w:r>
      <w:r w:rsidR="00610ADA" w:rsidRPr="00382917">
        <w:t>behalf,</w:t>
      </w:r>
      <w:r w:rsidR="00EE4FC3">
        <w:t xml:space="preserve"> </w:t>
      </w:r>
      <w:r w:rsidR="00610ADA" w:rsidRPr="00382917">
        <w:t>supplicate</w:t>
      </w:r>
      <w:r w:rsidR="00EE4FC3">
        <w:t xml:space="preserve"> </w:t>
      </w:r>
      <w:r w:rsidR="00610ADA" w:rsidRPr="00382917">
        <w:t>the</w:t>
      </w:r>
      <w:r w:rsidR="00EE4FC3">
        <w:t xml:space="preserve"> </w:t>
      </w:r>
      <w:r w:rsidR="00610ADA" w:rsidRPr="00382917">
        <w:t>Almighty</w:t>
      </w:r>
      <w:r w:rsidR="00EE4FC3">
        <w:t xml:space="preserve"> </w:t>
      </w:r>
      <w:r w:rsidR="00610ADA" w:rsidRPr="00382917">
        <w:t>to</w:t>
      </w:r>
      <w:r w:rsidR="00EE4FC3">
        <w:t xml:space="preserve"> </w:t>
      </w:r>
      <w:r w:rsidR="00610ADA" w:rsidRPr="00382917">
        <w:t>enable</w:t>
      </w:r>
      <w:r w:rsidR="00EE4FC3">
        <w:t xml:space="preserve"> </w:t>
      </w:r>
      <w:r w:rsidR="00610ADA" w:rsidRPr="00382917">
        <w:t>you</w:t>
      </w:r>
      <w:r w:rsidR="00EE4FC3">
        <w:t xml:space="preserve"> </w:t>
      </w:r>
      <w:r w:rsidR="00610ADA" w:rsidRPr="00382917">
        <w:t>to</w:t>
      </w:r>
      <w:r w:rsidR="00EE4FC3">
        <w:t xml:space="preserve"> </w:t>
      </w:r>
      <w:r w:rsidR="00610ADA" w:rsidRPr="00382917">
        <w:t>attain</w:t>
      </w:r>
      <w:r w:rsidR="00EE4FC3">
        <w:t xml:space="preserve"> </w:t>
      </w:r>
      <w:r w:rsidR="00610ADA" w:rsidRPr="00382917">
        <w:t>His</w:t>
      </w:r>
      <w:r w:rsidR="00EE4FC3">
        <w:t xml:space="preserve"> </w:t>
      </w:r>
      <w:r w:rsidR="00610ADA" w:rsidRPr="00382917">
        <w:t>presence</w:t>
      </w:r>
      <w:r w:rsidR="00330AF7">
        <w:t>.</w:t>
      </w:r>
      <w:r w:rsidR="00EE4FC3">
        <w:t xml:space="preserve">  </w:t>
      </w:r>
      <w:r w:rsidR="00610ADA" w:rsidRPr="00382917">
        <w:t>Remember</w:t>
      </w:r>
      <w:r w:rsidR="00EE4FC3">
        <w:t xml:space="preserve"> </w:t>
      </w:r>
      <w:r w:rsidR="00610ADA" w:rsidRPr="00382917">
        <w:t>Me</w:t>
      </w:r>
      <w:r w:rsidR="00EE4FC3">
        <w:t xml:space="preserve"> </w:t>
      </w:r>
      <w:r w:rsidR="00610ADA" w:rsidRPr="00382917">
        <w:t>on</w:t>
      </w:r>
      <w:r w:rsidR="00EE4FC3">
        <w:t xml:space="preserve"> </w:t>
      </w:r>
      <w:r w:rsidR="00610ADA" w:rsidRPr="00382917">
        <w:t>that</w:t>
      </w:r>
      <w:r w:rsidR="00EE4FC3">
        <w:t xml:space="preserve"> </w:t>
      </w:r>
      <w:r w:rsidR="00610ADA" w:rsidRPr="00382917">
        <w:t>Day,</w:t>
      </w:r>
      <w:r w:rsidR="00EE4FC3">
        <w:t xml:space="preserve"> </w:t>
      </w:r>
      <w:r w:rsidR="00610ADA" w:rsidRPr="00382917">
        <w:t>a</w:t>
      </w:r>
      <w:r w:rsidR="00EE4FC3">
        <w:t xml:space="preserve"> </w:t>
      </w:r>
      <w:r w:rsidR="00610ADA" w:rsidRPr="00382917">
        <w:t>Day</w:t>
      </w:r>
      <w:r w:rsidR="00EE4FC3">
        <w:t xml:space="preserve"> </w:t>
      </w:r>
      <w:r w:rsidR="00610ADA" w:rsidRPr="00382917">
        <w:t>such</w:t>
      </w:r>
      <w:r w:rsidR="00EE4FC3">
        <w:t xml:space="preserve"> </w:t>
      </w:r>
      <w:r w:rsidR="00610ADA" w:rsidRPr="00382917">
        <w:t>as</w:t>
      </w:r>
      <w:r w:rsidR="00EE4FC3">
        <w:t xml:space="preserve"> </w:t>
      </w:r>
      <w:r w:rsidR="00610ADA" w:rsidRPr="00382917">
        <w:t>the</w:t>
      </w:r>
      <w:r w:rsidR="00EE4FC3">
        <w:t xml:space="preserve"> </w:t>
      </w:r>
      <w:r w:rsidR="00610ADA" w:rsidRPr="00382917">
        <w:t>world</w:t>
      </w:r>
      <w:r w:rsidR="00EE4FC3">
        <w:t xml:space="preserve"> </w:t>
      </w:r>
      <w:r w:rsidR="00610ADA" w:rsidRPr="00382917">
        <w:t>has</w:t>
      </w:r>
      <w:r w:rsidR="00EE4FC3">
        <w:t xml:space="preserve"> </w:t>
      </w:r>
      <w:r w:rsidR="00610ADA" w:rsidRPr="00382917">
        <w:t>never</w:t>
      </w:r>
      <w:r w:rsidR="00EE4FC3">
        <w:t xml:space="preserve"> </w:t>
      </w:r>
      <w:r w:rsidR="00610ADA" w:rsidRPr="00382917">
        <w:t>seen</w:t>
      </w:r>
      <w:r w:rsidR="00EE4FC3">
        <w:t xml:space="preserve"> </w:t>
      </w:r>
      <w:r w:rsidR="00610ADA" w:rsidRPr="00382917">
        <w:t>before.</w:t>
      </w:r>
      <w:r w:rsidRPr="00382917">
        <w:t>’</w:t>
      </w:r>
    </w:p>
    <w:p w:rsidR="00E13D49" w:rsidRPr="00382917" w:rsidRDefault="009C713D" w:rsidP="00F95F71">
      <w:pPr>
        <w:pStyle w:val="Text"/>
      </w:pPr>
      <w:r w:rsidRPr="00382917">
        <w:t>“</w:t>
      </w:r>
      <w:r w:rsidR="00610ADA" w:rsidRPr="00382917">
        <w:t>The</w:t>
      </w:r>
      <w:r w:rsidR="00EE4FC3">
        <w:t xml:space="preserve"> </w:t>
      </w:r>
      <w:r w:rsidR="00610ADA" w:rsidRPr="00382917">
        <w:t>allusion</w:t>
      </w:r>
      <w:r w:rsidR="00EE4FC3">
        <w:t xml:space="preserve"> </w:t>
      </w:r>
      <w:r w:rsidR="00610ADA" w:rsidRPr="00382917">
        <w:t>of</w:t>
      </w:r>
      <w:r w:rsidR="00EE4FC3">
        <w:t xml:space="preserve"> </w:t>
      </w:r>
      <w:r w:rsidR="00610ADA" w:rsidRPr="00382917">
        <w:t>the</w:t>
      </w:r>
      <w:r w:rsidR="00EE4FC3">
        <w:t xml:space="preserve"> </w:t>
      </w:r>
      <w:r w:rsidR="00610ADA" w:rsidRPr="00382917">
        <w:t>Báb</w:t>
      </w:r>
      <w:r w:rsidR="00EE4FC3">
        <w:t xml:space="preserve"> </w:t>
      </w:r>
      <w:r w:rsidR="00610ADA" w:rsidRPr="00382917">
        <w:t>to</w:t>
      </w:r>
      <w:r w:rsidR="00EE4FC3">
        <w:t xml:space="preserve"> </w:t>
      </w:r>
      <w:r w:rsidR="00610ADA" w:rsidRPr="00382917">
        <w:t>His</w:t>
      </w:r>
      <w:r w:rsidR="00EE4FC3">
        <w:t xml:space="preserve"> </w:t>
      </w:r>
      <w:r w:rsidRPr="00382917">
        <w:t>‘</w:t>
      </w:r>
      <w:r w:rsidR="00610ADA" w:rsidRPr="00382917">
        <w:t>Best-Beloved</w:t>
      </w:r>
      <w:r w:rsidRPr="00382917">
        <w:t>’</w:t>
      </w:r>
      <w:r w:rsidR="00EE4FC3">
        <w:t xml:space="preserve"> </w:t>
      </w:r>
      <w:r w:rsidR="00610ADA" w:rsidRPr="00382917">
        <w:t>excited</w:t>
      </w:r>
      <w:r w:rsidR="00EE4FC3">
        <w:t xml:space="preserve"> </w:t>
      </w:r>
      <w:r w:rsidR="00610ADA" w:rsidRPr="00382917">
        <w:t>my</w:t>
      </w:r>
      <w:r w:rsidR="00EE4FC3">
        <w:t xml:space="preserve"> </w:t>
      </w:r>
      <w:r w:rsidR="00610ADA" w:rsidRPr="00382917">
        <w:t>wonder</w:t>
      </w:r>
      <w:r w:rsidR="00EE4FC3">
        <w:t xml:space="preserve"> </w:t>
      </w:r>
      <w:r w:rsidR="00610ADA" w:rsidRPr="00382917">
        <w:t>and</w:t>
      </w:r>
      <w:r w:rsidR="00EE4FC3">
        <w:t xml:space="preserve"> </w:t>
      </w:r>
      <w:r w:rsidR="00610ADA" w:rsidRPr="00382917">
        <w:t>curiosity</w:t>
      </w:r>
      <w:r w:rsidR="00330AF7">
        <w:t>.</w:t>
      </w:r>
      <w:r w:rsidR="00EE4FC3">
        <w:t xml:space="preserve">  </w:t>
      </w:r>
      <w:r w:rsidR="00610ADA" w:rsidRPr="00382917">
        <w:t>I</w:t>
      </w:r>
      <w:r w:rsidR="00EE4FC3">
        <w:t xml:space="preserve"> </w:t>
      </w:r>
      <w:r w:rsidR="00610ADA" w:rsidRPr="00382917">
        <w:t>was</w:t>
      </w:r>
      <w:r w:rsidR="00EE4FC3">
        <w:t xml:space="preserve"> </w:t>
      </w:r>
      <w:r w:rsidR="00610ADA" w:rsidRPr="00382917">
        <w:t>perplexed</w:t>
      </w:r>
      <w:r w:rsidR="00EE4FC3">
        <w:t xml:space="preserve"> </w:t>
      </w:r>
      <w:r w:rsidR="00610ADA" w:rsidRPr="00382917">
        <w:t>and</w:t>
      </w:r>
      <w:r w:rsidR="00EE4FC3">
        <w:t xml:space="preserve"> </w:t>
      </w:r>
      <w:r w:rsidR="00610ADA" w:rsidRPr="00382917">
        <w:t>unable</w:t>
      </w:r>
      <w:r w:rsidR="00EE4FC3">
        <w:t xml:space="preserve"> </w:t>
      </w:r>
      <w:r w:rsidR="00610ADA" w:rsidRPr="00382917">
        <w:t>to</w:t>
      </w:r>
      <w:r w:rsidR="00EE4FC3">
        <w:t xml:space="preserve"> </w:t>
      </w:r>
      <w:r w:rsidR="00610ADA" w:rsidRPr="00382917">
        <w:t>unravel</w:t>
      </w:r>
      <w:r w:rsidR="00EE4FC3">
        <w:t xml:space="preserve"> </w:t>
      </w:r>
      <w:r w:rsidR="00610ADA" w:rsidRPr="00382917">
        <w:t>this</w:t>
      </w:r>
      <w:r w:rsidR="00EE4FC3">
        <w:t xml:space="preserve"> </w:t>
      </w:r>
      <w:r w:rsidR="00610ADA" w:rsidRPr="00382917">
        <w:t>mystery</w:t>
      </w:r>
      <w:r w:rsidR="00330AF7">
        <w:t>.</w:t>
      </w:r>
      <w:r w:rsidR="00EE4FC3">
        <w:t xml:space="preserve">  </w:t>
      </w:r>
      <w:r w:rsidR="00610ADA" w:rsidRPr="00382917">
        <w:t>When</w:t>
      </w:r>
      <w:r w:rsidR="00EE4FC3">
        <w:t xml:space="preserve"> </w:t>
      </w:r>
      <w:r w:rsidR="00610ADA" w:rsidRPr="00382917">
        <w:t>I</w:t>
      </w:r>
      <w:r w:rsidR="00EE4FC3">
        <w:t xml:space="preserve"> </w:t>
      </w:r>
      <w:r w:rsidR="00610ADA" w:rsidRPr="00382917">
        <w:t>reached</w:t>
      </w:r>
      <w:r w:rsidR="00EE4FC3">
        <w:t xml:space="preserve"> </w:t>
      </w:r>
      <w:r w:rsidR="00610ADA" w:rsidRPr="00382917">
        <w:t>Karbilá</w:t>
      </w:r>
      <w:r w:rsidR="00EE4FC3">
        <w:t xml:space="preserve"> </w:t>
      </w:r>
      <w:r w:rsidR="00610ADA" w:rsidRPr="00382917">
        <w:t>and</w:t>
      </w:r>
      <w:r w:rsidR="00EE4FC3">
        <w:t xml:space="preserve"> </w:t>
      </w:r>
      <w:r w:rsidR="00610ADA" w:rsidRPr="00382917">
        <w:t>attained</w:t>
      </w:r>
      <w:r w:rsidR="00EE4FC3">
        <w:t xml:space="preserve"> </w:t>
      </w:r>
      <w:r w:rsidR="00610ADA" w:rsidRPr="00382917">
        <w:t>the</w:t>
      </w:r>
      <w:r w:rsidR="00EE4FC3">
        <w:t xml:space="preserve"> </w:t>
      </w:r>
      <w:r w:rsidR="00610ADA" w:rsidRPr="00382917">
        <w:t>presence</w:t>
      </w:r>
      <w:r w:rsidR="00EE4FC3">
        <w:t xml:space="preserve"> </w:t>
      </w:r>
      <w:r w:rsidR="00610ADA" w:rsidRPr="00382917">
        <w:t>of</w:t>
      </w:r>
      <w:r w:rsidR="00EE4FC3">
        <w:t xml:space="preserve"> </w:t>
      </w:r>
      <w:r w:rsidR="00610ADA" w:rsidRPr="00382917">
        <w:t>Bahá</w:t>
      </w:r>
      <w:r w:rsidRPr="00382917">
        <w:t>’</w:t>
      </w:r>
      <w:r w:rsidR="00610ADA" w:rsidRPr="00382917">
        <w:t>u</w:t>
      </w:r>
      <w:r w:rsidRPr="00382917">
        <w:t>’</w:t>
      </w:r>
      <w:r w:rsidR="00610ADA" w:rsidRPr="00382917">
        <w:t>lláh,</w:t>
      </w:r>
      <w:r w:rsidR="00EE4FC3">
        <w:t xml:space="preserve"> </w:t>
      </w:r>
      <w:r w:rsidR="00610ADA" w:rsidRPr="00382917">
        <w:t>I</w:t>
      </w:r>
      <w:r w:rsidR="00EE4FC3">
        <w:t xml:space="preserve"> </w:t>
      </w:r>
      <w:r w:rsidR="00610ADA" w:rsidRPr="00382917">
        <w:t>became</w:t>
      </w:r>
      <w:r w:rsidR="00EE4FC3">
        <w:t xml:space="preserve"> </w:t>
      </w:r>
      <w:r w:rsidR="00610ADA" w:rsidRPr="00382917">
        <w:t>firmly</w:t>
      </w:r>
      <w:r w:rsidR="00EE4FC3">
        <w:t xml:space="preserve"> </w:t>
      </w:r>
      <w:r w:rsidR="00610ADA" w:rsidRPr="00382917">
        <w:t>convinced</w:t>
      </w:r>
      <w:r w:rsidR="00EE4FC3">
        <w:t xml:space="preserve"> </w:t>
      </w:r>
      <w:r w:rsidR="00610ADA" w:rsidRPr="00382917">
        <w:t>that</w:t>
      </w:r>
      <w:r w:rsidR="00EE4FC3">
        <w:t xml:space="preserve"> </w:t>
      </w:r>
      <w:r w:rsidR="00610ADA" w:rsidRPr="00382917">
        <w:t>He</w:t>
      </w:r>
      <w:r w:rsidR="00EE4FC3">
        <w:t xml:space="preserve"> </w:t>
      </w:r>
      <w:r w:rsidR="00610ADA" w:rsidRPr="00382917">
        <w:t>alone</w:t>
      </w:r>
      <w:r w:rsidR="00EE4FC3">
        <w:t xml:space="preserve"> </w:t>
      </w:r>
      <w:r w:rsidR="00610ADA" w:rsidRPr="00382917">
        <w:t>could</w:t>
      </w:r>
      <w:r w:rsidR="00EE4FC3">
        <w:t xml:space="preserve"> </w:t>
      </w:r>
      <w:r w:rsidR="00610ADA" w:rsidRPr="00382917">
        <w:t>claim</w:t>
      </w:r>
      <w:r w:rsidR="00EE4FC3">
        <w:t xml:space="preserve"> </w:t>
      </w:r>
      <w:r w:rsidR="00610ADA" w:rsidRPr="00382917">
        <w:t>such</w:t>
      </w:r>
      <w:r w:rsidR="00EE4FC3">
        <w:t xml:space="preserve"> </w:t>
      </w:r>
      <w:r w:rsidR="00610ADA" w:rsidRPr="00382917">
        <w:t>affection</w:t>
      </w:r>
      <w:r w:rsidR="00EE4FC3">
        <w:t xml:space="preserve"> </w:t>
      </w:r>
      <w:r w:rsidR="00610ADA" w:rsidRPr="00382917">
        <w:t>from</w:t>
      </w:r>
      <w:r w:rsidR="00EE4FC3">
        <w:t xml:space="preserve"> </w:t>
      </w:r>
      <w:r w:rsidR="00610ADA" w:rsidRPr="00382917">
        <w:t>the</w:t>
      </w:r>
      <w:r w:rsidR="00EE4FC3">
        <w:t xml:space="preserve"> </w:t>
      </w:r>
      <w:r w:rsidR="00610ADA" w:rsidRPr="00382917">
        <w:t>Báb;</w:t>
      </w:r>
      <w:r w:rsidR="00EE4FC3">
        <w:t xml:space="preserve"> </w:t>
      </w:r>
      <w:r w:rsidR="00610ADA" w:rsidRPr="00382917">
        <w:t>that</w:t>
      </w:r>
      <w:r w:rsidR="00EE4FC3">
        <w:t xml:space="preserve"> </w:t>
      </w:r>
      <w:r w:rsidR="00610ADA" w:rsidRPr="00382917">
        <w:t>He,</w:t>
      </w:r>
      <w:r w:rsidR="00EE4FC3">
        <w:t xml:space="preserve"> </w:t>
      </w:r>
      <w:r w:rsidR="00610ADA" w:rsidRPr="00382917">
        <w:t>and</w:t>
      </w:r>
      <w:r w:rsidR="00EE4FC3">
        <w:t xml:space="preserve"> </w:t>
      </w:r>
      <w:r w:rsidR="00610ADA" w:rsidRPr="00382917">
        <w:t>only</w:t>
      </w:r>
      <w:r w:rsidR="00EE4FC3">
        <w:t xml:space="preserve"> </w:t>
      </w:r>
      <w:r w:rsidR="00610ADA" w:rsidRPr="00382917">
        <w:t>He,</w:t>
      </w:r>
      <w:r w:rsidR="00EE4FC3">
        <w:t xml:space="preserve"> </w:t>
      </w:r>
      <w:r w:rsidR="00610ADA" w:rsidRPr="00382917">
        <w:t>could</w:t>
      </w:r>
      <w:r w:rsidR="00EE4FC3">
        <w:t xml:space="preserve"> </w:t>
      </w:r>
      <w:r w:rsidR="00610ADA" w:rsidRPr="00382917">
        <w:t>be</w:t>
      </w:r>
      <w:r w:rsidR="00EE4FC3">
        <w:t xml:space="preserve"> </w:t>
      </w:r>
      <w:r w:rsidR="00610ADA" w:rsidRPr="00382917">
        <w:t>worthy</w:t>
      </w:r>
      <w:r w:rsidR="00EE4FC3">
        <w:t xml:space="preserve"> </w:t>
      </w:r>
      <w:r w:rsidR="00610ADA" w:rsidRPr="00382917">
        <w:t>of</w:t>
      </w:r>
      <w:r w:rsidR="00EE4FC3">
        <w:t xml:space="preserve"> </w:t>
      </w:r>
      <w:r w:rsidR="00610ADA" w:rsidRPr="00382917">
        <w:t>such</w:t>
      </w:r>
      <w:r w:rsidR="00EE4FC3">
        <w:t xml:space="preserve"> </w:t>
      </w:r>
      <w:r w:rsidR="00610ADA" w:rsidRPr="00382917">
        <w:t>adoration.</w:t>
      </w:r>
      <w:r w:rsidRPr="00382917">
        <w:t>”</w:t>
      </w:r>
      <w:r w:rsidR="00F95F71">
        <w:rPr>
          <w:rStyle w:val="FootnoteReference"/>
        </w:rPr>
        <w:footnoteReference w:id="202"/>
      </w:r>
    </w:p>
    <w:p w:rsidR="00610ADA" w:rsidRPr="00382917" w:rsidRDefault="008A073E" w:rsidP="00900F24">
      <w:pPr>
        <w:pStyle w:val="Text"/>
      </w:pPr>
      <w:r w:rsidRPr="00382917">
        <w:rPr>
          <w:u w:val="single"/>
        </w:rPr>
        <w:t>Sh</w:t>
      </w:r>
      <w:r w:rsidRPr="00382917">
        <w:t>ay</w:t>
      </w:r>
      <w:r w:rsidRPr="00382917">
        <w:rPr>
          <w:u w:val="single"/>
        </w:rPr>
        <w:t>kh</w:t>
      </w:r>
      <w:r w:rsidR="00EE4FC3">
        <w:t xml:space="preserve"> </w:t>
      </w:r>
      <w:proofErr w:type="spellStart"/>
      <w:r w:rsidR="00610ADA" w:rsidRPr="00382917">
        <w:t>Sulṭán</w:t>
      </w:r>
      <w:r w:rsidR="009C713D" w:rsidRPr="00382917">
        <w:t>’</w:t>
      </w:r>
      <w:r w:rsidR="00610ADA" w:rsidRPr="00382917">
        <w:t>s</w:t>
      </w:r>
      <w:proofErr w:type="spellEnd"/>
      <w:r w:rsidR="00EE4FC3">
        <w:t xml:space="preserve"> </w:t>
      </w:r>
      <w:r w:rsidR="00610ADA" w:rsidRPr="00382917">
        <w:t>companion</w:t>
      </w:r>
      <w:r w:rsidR="00EE4FC3">
        <w:t xml:space="preserve"> </w:t>
      </w:r>
      <w:r w:rsidR="00610ADA" w:rsidRPr="00382917">
        <w:t>on</w:t>
      </w:r>
      <w:r w:rsidR="00EE4FC3">
        <w:t xml:space="preserve"> </w:t>
      </w:r>
      <w:r w:rsidR="00610ADA" w:rsidRPr="00382917">
        <w:t>that</w:t>
      </w:r>
      <w:r w:rsidR="00EE4FC3">
        <w:t xml:space="preserve"> </w:t>
      </w:r>
      <w:r w:rsidR="00610ADA" w:rsidRPr="00382917">
        <w:t>trip</w:t>
      </w:r>
      <w:r w:rsidR="00EE4FC3">
        <w:t xml:space="preserve"> </w:t>
      </w:r>
      <w:r w:rsidR="00610ADA" w:rsidRPr="00382917">
        <w:t>to</w:t>
      </w:r>
      <w:r w:rsidR="00EE4FC3">
        <w:t xml:space="preserve"> </w:t>
      </w:r>
      <w:r w:rsidR="00BC0CAD" w:rsidRPr="00382917">
        <w:rPr>
          <w:u w:val="single"/>
        </w:rPr>
        <w:t>Sh</w:t>
      </w:r>
      <w:r w:rsidR="00BC0CAD" w:rsidRPr="00382917">
        <w:t>íráz</w:t>
      </w:r>
      <w:r w:rsidR="00610ADA" w:rsidRPr="00382917">
        <w:t>,</w:t>
      </w:r>
      <w:r w:rsidR="00EE4FC3">
        <w:t xml:space="preserve"> </w:t>
      </w:r>
      <w:r w:rsidRPr="00382917">
        <w:rPr>
          <w:u w:val="single"/>
        </w:rPr>
        <w:t>Sh</w:t>
      </w:r>
      <w:r w:rsidRPr="00382917">
        <w:t>ay</w:t>
      </w:r>
      <w:r w:rsidRPr="00382917">
        <w:rPr>
          <w:u w:val="single"/>
        </w:rPr>
        <w:t>kh</w:t>
      </w:r>
      <w:r w:rsidR="00EE4FC3">
        <w:t xml:space="preserve"> </w:t>
      </w:r>
      <w:r w:rsidR="00610ADA" w:rsidRPr="00382917">
        <w:t>Ḥasan,</w:t>
      </w:r>
      <w:r w:rsidR="00EE4FC3">
        <w:t xml:space="preserve"> </w:t>
      </w:r>
      <w:r w:rsidR="00610ADA" w:rsidRPr="00382917">
        <w:t>was</w:t>
      </w:r>
      <w:r w:rsidR="00EE4FC3">
        <w:t xml:space="preserve"> </w:t>
      </w:r>
      <w:r w:rsidR="00610ADA" w:rsidRPr="00382917">
        <w:t>given</w:t>
      </w:r>
      <w:r w:rsidR="00EE4FC3">
        <w:t xml:space="preserve"> </w:t>
      </w:r>
      <w:r w:rsidR="00610ADA" w:rsidRPr="00382917">
        <w:t>the</w:t>
      </w:r>
      <w:r w:rsidR="00EE4FC3">
        <w:t xml:space="preserve"> </w:t>
      </w:r>
      <w:r w:rsidR="00610ADA" w:rsidRPr="00382917">
        <w:t>same</w:t>
      </w:r>
      <w:r w:rsidR="00EE4FC3">
        <w:t xml:space="preserve"> </w:t>
      </w:r>
      <w:r w:rsidR="00610ADA" w:rsidRPr="00382917">
        <w:t>promise</w:t>
      </w:r>
      <w:r w:rsidR="00EE4FC3">
        <w:t xml:space="preserve"> </w:t>
      </w:r>
      <w:r w:rsidR="00610ADA" w:rsidRPr="00382917">
        <w:t>by</w:t>
      </w:r>
      <w:r w:rsidR="00EE4FC3">
        <w:t xml:space="preserve"> </w:t>
      </w:r>
      <w:r w:rsidR="00610ADA" w:rsidRPr="00382917">
        <w:t>the</w:t>
      </w:r>
      <w:r w:rsidR="00EE4FC3">
        <w:t xml:space="preserve"> </w:t>
      </w:r>
      <w:r w:rsidR="00610ADA" w:rsidRPr="00382917">
        <w:t>Báb</w:t>
      </w:r>
      <w:r w:rsidR="00330AF7">
        <w:t>.</w:t>
      </w:r>
      <w:r w:rsidR="00EE4FC3">
        <w:t xml:space="preserve">  </w:t>
      </w:r>
      <w:r w:rsidR="00610ADA" w:rsidRPr="00382917">
        <w:t>He</w:t>
      </w:r>
      <w:r w:rsidR="00EE4FC3">
        <w:t xml:space="preserve"> </w:t>
      </w:r>
      <w:r w:rsidR="00610ADA" w:rsidRPr="00382917">
        <w:t>has</w:t>
      </w:r>
      <w:r w:rsidR="00EE4FC3">
        <w:t xml:space="preserve"> </w:t>
      </w:r>
      <w:r w:rsidR="00610ADA" w:rsidRPr="00382917">
        <w:t>testified</w:t>
      </w:r>
      <w:r w:rsidR="00EE4FC3">
        <w:t xml:space="preserve"> </w:t>
      </w:r>
      <w:r w:rsidR="00610ADA" w:rsidRPr="00382917">
        <w:t>to</w:t>
      </w:r>
      <w:r w:rsidR="00EE4FC3">
        <w:t xml:space="preserve"> </w:t>
      </w:r>
      <w:r w:rsidR="00610ADA" w:rsidRPr="00382917">
        <w:t>that</w:t>
      </w:r>
      <w:r w:rsidR="00EE4FC3">
        <w:t xml:space="preserve"> </w:t>
      </w:r>
      <w:r w:rsidR="00610ADA" w:rsidRPr="00382917">
        <w:t>promise</w:t>
      </w:r>
      <w:r w:rsidR="00EE4FC3">
        <w:t xml:space="preserve"> </w:t>
      </w:r>
      <w:r w:rsidR="00610ADA" w:rsidRPr="00382917">
        <w:t>in</w:t>
      </w:r>
      <w:r w:rsidR="00EE4FC3">
        <w:t xml:space="preserve"> </w:t>
      </w:r>
      <w:r w:rsidR="00610ADA" w:rsidRPr="00382917">
        <w:t>the</w:t>
      </w:r>
      <w:r w:rsidR="00EE4FC3">
        <w:t xml:space="preserve"> </w:t>
      </w:r>
      <w:r w:rsidR="00610ADA" w:rsidRPr="00382917">
        <w:t>following</w:t>
      </w:r>
      <w:r w:rsidR="00EE4FC3">
        <w:t xml:space="preserve"> </w:t>
      </w:r>
      <w:r w:rsidR="00610ADA" w:rsidRPr="00382917">
        <w:t>account:</w:t>
      </w:r>
    </w:p>
    <w:p w:rsidR="00610ADA" w:rsidRPr="00382917" w:rsidRDefault="009C713D" w:rsidP="00900F24">
      <w:pPr>
        <w:pStyle w:val="Text"/>
      </w:pPr>
      <w:r w:rsidRPr="00382917">
        <w:t>“</w:t>
      </w:r>
      <w:r w:rsidR="00610ADA" w:rsidRPr="00382917">
        <w:t>Addressing</w:t>
      </w:r>
      <w:r w:rsidR="00EE4FC3">
        <w:t xml:space="preserve"> </w:t>
      </w:r>
      <w:r w:rsidR="00610ADA" w:rsidRPr="00382917">
        <w:t>me</w:t>
      </w:r>
      <w:r w:rsidR="00EE4FC3">
        <w:t xml:space="preserve"> </w:t>
      </w:r>
      <w:r w:rsidR="00610ADA" w:rsidRPr="00382917">
        <w:t>one</w:t>
      </w:r>
      <w:r w:rsidR="00EE4FC3">
        <w:t xml:space="preserve"> </w:t>
      </w:r>
      <w:r w:rsidR="00610ADA" w:rsidRPr="00382917">
        <w:t>day,</w:t>
      </w:r>
      <w:r w:rsidR="00EE4FC3">
        <w:t xml:space="preserve"> </w:t>
      </w:r>
      <w:r w:rsidR="00610ADA" w:rsidRPr="00382917">
        <w:t>the</w:t>
      </w:r>
      <w:r w:rsidR="00EE4FC3">
        <w:t xml:space="preserve"> </w:t>
      </w:r>
      <w:r w:rsidR="00610ADA" w:rsidRPr="00382917">
        <w:t>Báb</w:t>
      </w:r>
      <w:r w:rsidR="00EE4FC3">
        <w:t xml:space="preserve"> </w:t>
      </w:r>
      <w:r w:rsidR="00610ADA" w:rsidRPr="00382917">
        <w:t>said,</w:t>
      </w:r>
      <w:r w:rsidR="00EE4FC3">
        <w:t xml:space="preserve"> </w:t>
      </w:r>
      <w:r w:rsidRPr="00382917">
        <w:t>‘</w:t>
      </w:r>
      <w:r w:rsidR="00610ADA" w:rsidRPr="00382917">
        <w:t>You</w:t>
      </w:r>
      <w:r w:rsidR="00EE4FC3">
        <w:t xml:space="preserve"> </w:t>
      </w:r>
      <w:r w:rsidR="00610ADA" w:rsidRPr="00382917">
        <w:t>should</w:t>
      </w:r>
      <w:r w:rsidR="00EE4FC3">
        <w:t xml:space="preserve"> </w:t>
      </w:r>
      <w:r w:rsidR="00610ADA" w:rsidRPr="00382917">
        <w:t>proceed</w:t>
      </w:r>
      <w:r w:rsidR="00EE4FC3">
        <w:t xml:space="preserve"> </w:t>
      </w:r>
      <w:r w:rsidR="00610ADA" w:rsidRPr="00382917">
        <w:t>to</w:t>
      </w:r>
      <w:r w:rsidR="00EE4FC3">
        <w:t xml:space="preserve"> </w:t>
      </w:r>
      <w:r w:rsidR="00610ADA" w:rsidRPr="00382917">
        <w:t>Karbilá</w:t>
      </w:r>
      <w:r w:rsidR="00EE4FC3">
        <w:t xml:space="preserve"> </w:t>
      </w:r>
      <w:r w:rsidR="00610ADA" w:rsidRPr="00382917">
        <w:t>and</w:t>
      </w:r>
      <w:r w:rsidR="00EE4FC3">
        <w:t xml:space="preserve"> </w:t>
      </w:r>
      <w:r w:rsidR="00610ADA" w:rsidRPr="00382917">
        <w:t>should</w:t>
      </w:r>
      <w:r w:rsidR="00EE4FC3">
        <w:t xml:space="preserve"> </w:t>
      </w:r>
      <w:r w:rsidR="00610ADA" w:rsidRPr="00382917">
        <w:t>abide</w:t>
      </w:r>
      <w:r w:rsidR="00EE4FC3">
        <w:t xml:space="preserve"> </w:t>
      </w:r>
      <w:r w:rsidR="00610ADA" w:rsidRPr="00382917">
        <w:t>in</w:t>
      </w:r>
      <w:r w:rsidR="00EE4FC3">
        <w:t xml:space="preserve"> </w:t>
      </w:r>
      <w:r w:rsidR="00610ADA" w:rsidRPr="00382917">
        <w:t>that</w:t>
      </w:r>
      <w:r w:rsidR="00EE4FC3">
        <w:t xml:space="preserve"> </w:t>
      </w:r>
      <w:r w:rsidR="00610ADA" w:rsidRPr="00382917">
        <w:t>holy</w:t>
      </w:r>
      <w:r w:rsidR="00EE4FC3">
        <w:t xml:space="preserve"> </w:t>
      </w:r>
      <w:r w:rsidR="00610ADA" w:rsidRPr="00382917">
        <w:t>city</w:t>
      </w:r>
      <w:r w:rsidR="00EE4FC3">
        <w:t xml:space="preserve"> </w:t>
      </w:r>
      <w:r w:rsidR="00610ADA" w:rsidRPr="00382917">
        <w:t>inasmuch</w:t>
      </w:r>
      <w:r w:rsidR="00EE4FC3">
        <w:t xml:space="preserve"> </w:t>
      </w:r>
      <w:r w:rsidR="00610ADA" w:rsidRPr="00382917">
        <w:t>as</w:t>
      </w:r>
      <w:r w:rsidR="00EE4FC3">
        <w:t xml:space="preserve"> </w:t>
      </w:r>
      <w:r w:rsidR="00610ADA" w:rsidRPr="00382917">
        <w:t>you</w:t>
      </w:r>
      <w:r w:rsidR="00EE4FC3">
        <w:t xml:space="preserve"> </w:t>
      </w:r>
      <w:r w:rsidR="00610ADA" w:rsidRPr="00382917">
        <w:t>are</w:t>
      </w:r>
      <w:r w:rsidR="00EE4FC3">
        <w:t xml:space="preserve"> </w:t>
      </w:r>
      <w:r w:rsidR="00610ADA" w:rsidRPr="00382917">
        <w:t>destined</w:t>
      </w:r>
      <w:r w:rsidR="00EE4FC3">
        <w:t xml:space="preserve"> </w:t>
      </w:r>
      <w:r w:rsidR="00610ADA" w:rsidRPr="00382917">
        <w:t>to</w:t>
      </w:r>
      <w:r w:rsidR="00EE4FC3">
        <w:t xml:space="preserve"> </w:t>
      </w:r>
      <w:r w:rsidR="00610ADA" w:rsidRPr="00382917">
        <w:t>behold,</w:t>
      </w:r>
      <w:r w:rsidR="00EE4FC3">
        <w:t xml:space="preserve"> </w:t>
      </w:r>
      <w:r w:rsidR="00610ADA" w:rsidRPr="00382917">
        <w:t>with</w:t>
      </w:r>
      <w:r w:rsidR="00EE4FC3">
        <w:t xml:space="preserve"> </w:t>
      </w:r>
      <w:r w:rsidR="00610ADA" w:rsidRPr="00382917">
        <w:t>your</w:t>
      </w:r>
      <w:r w:rsidR="00EE4FC3">
        <w:t xml:space="preserve"> </w:t>
      </w:r>
      <w:r w:rsidR="00610ADA" w:rsidRPr="00382917">
        <w:t>own</w:t>
      </w:r>
      <w:r w:rsidR="00EE4FC3">
        <w:t xml:space="preserve"> </w:t>
      </w:r>
      <w:r w:rsidR="00610ADA" w:rsidRPr="00382917">
        <w:t>eyes,</w:t>
      </w:r>
      <w:r w:rsidR="00EE4FC3">
        <w:t xml:space="preserve"> </w:t>
      </w:r>
      <w:r w:rsidR="00610ADA" w:rsidRPr="00382917">
        <w:t>the</w:t>
      </w:r>
      <w:r w:rsidR="00EE4FC3">
        <w:t xml:space="preserve"> </w:t>
      </w:r>
      <w:r w:rsidR="00610ADA" w:rsidRPr="00382917">
        <w:t>beauteous</w:t>
      </w:r>
      <w:r w:rsidR="00EE4FC3">
        <w:t xml:space="preserve"> </w:t>
      </w:r>
      <w:r w:rsidR="00610ADA" w:rsidRPr="00382917">
        <w:t>countenance</w:t>
      </w:r>
      <w:r w:rsidR="00EE4FC3">
        <w:t xml:space="preserve"> </w:t>
      </w:r>
      <w:r w:rsidR="00610ADA" w:rsidRPr="00382917">
        <w:t>of</w:t>
      </w:r>
      <w:r w:rsidR="00EE4FC3">
        <w:t xml:space="preserve"> </w:t>
      </w:r>
      <w:r w:rsidR="00610ADA" w:rsidRPr="00382917">
        <w:t>the</w:t>
      </w:r>
      <w:r w:rsidR="00EE4FC3">
        <w:t xml:space="preserve"> </w:t>
      </w:r>
      <w:r w:rsidR="00610ADA" w:rsidRPr="00382917">
        <w:t>Promised</w:t>
      </w:r>
      <w:r w:rsidR="00EE4FC3">
        <w:t xml:space="preserve"> </w:t>
      </w:r>
      <w:r w:rsidR="00610ADA" w:rsidRPr="00382917">
        <w:t>[One]</w:t>
      </w:r>
      <w:r w:rsidR="00330AF7">
        <w:t>.</w:t>
      </w:r>
      <w:r w:rsidR="00EE4FC3">
        <w:t xml:space="preserve">  </w:t>
      </w:r>
      <w:r w:rsidR="00610ADA" w:rsidRPr="00382917">
        <w:t>As</w:t>
      </w:r>
      <w:r w:rsidR="00EE4FC3">
        <w:t xml:space="preserve"> </w:t>
      </w:r>
      <w:r w:rsidR="00610ADA" w:rsidRPr="00382917">
        <w:t>you</w:t>
      </w:r>
      <w:r w:rsidR="00EE4FC3">
        <w:t xml:space="preserve"> </w:t>
      </w:r>
      <w:r w:rsidR="00610ADA" w:rsidRPr="00382917">
        <w:t>gaze</w:t>
      </w:r>
      <w:r w:rsidR="00EE4FC3">
        <w:t xml:space="preserve"> </w:t>
      </w:r>
      <w:r w:rsidR="00610ADA" w:rsidRPr="00382917">
        <w:t>upon</w:t>
      </w:r>
      <w:r w:rsidR="00EE4FC3">
        <w:t xml:space="preserve"> </w:t>
      </w:r>
      <w:r w:rsidR="00610ADA" w:rsidRPr="00382917">
        <w:t>that</w:t>
      </w:r>
      <w:r w:rsidR="00EE4FC3">
        <w:t xml:space="preserve"> </w:t>
      </w:r>
      <w:r w:rsidR="00610ADA" w:rsidRPr="00382917">
        <w:t>radiant</w:t>
      </w:r>
      <w:r w:rsidR="00EE4FC3">
        <w:t xml:space="preserve"> </w:t>
      </w:r>
      <w:r w:rsidR="00610ADA" w:rsidRPr="00382917">
        <w:t>face,</w:t>
      </w:r>
      <w:r w:rsidR="00EE4FC3">
        <w:t xml:space="preserve"> </w:t>
      </w:r>
      <w:r w:rsidR="00610ADA" w:rsidRPr="00382917">
        <w:t>do</w:t>
      </w:r>
      <w:r w:rsidR="00EE4FC3">
        <w:t xml:space="preserve"> </w:t>
      </w:r>
      <w:r w:rsidR="00610ADA" w:rsidRPr="00382917">
        <w:t>also</w:t>
      </w:r>
      <w:r w:rsidR="00EE4FC3">
        <w:t xml:space="preserve"> </w:t>
      </w:r>
      <w:r w:rsidR="00610ADA" w:rsidRPr="00382917">
        <w:t>remember</w:t>
      </w:r>
      <w:r w:rsidR="00EE4FC3">
        <w:t xml:space="preserve"> </w:t>
      </w:r>
      <w:proofErr w:type="gramStart"/>
      <w:r w:rsidR="00610ADA" w:rsidRPr="00382917">
        <w:t>Me</w:t>
      </w:r>
      <w:proofErr w:type="gramEnd"/>
      <w:r w:rsidR="00330AF7">
        <w:t>.</w:t>
      </w:r>
      <w:r w:rsidR="00EE4FC3">
        <w:t xml:space="preserve">  </w:t>
      </w:r>
      <w:r w:rsidR="00610ADA" w:rsidRPr="00382917">
        <w:t>Convey</w:t>
      </w:r>
      <w:r w:rsidR="00EE4FC3">
        <w:t xml:space="preserve"> </w:t>
      </w:r>
      <w:r w:rsidR="00610ADA" w:rsidRPr="00382917">
        <w:t>to</w:t>
      </w:r>
      <w:r w:rsidR="00EE4FC3">
        <w:t xml:space="preserve"> </w:t>
      </w:r>
      <w:r w:rsidR="00610ADA" w:rsidRPr="00382917">
        <w:t>Him</w:t>
      </w:r>
      <w:r w:rsidR="00EE4FC3">
        <w:t xml:space="preserve"> </w:t>
      </w:r>
      <w:r w:rsidR="00610ADA" w:rsidRPr="00382917">
        <w:t>the</w:t>
      </w:r>
      <w:r w:rsidR="00EE4FC3">
        <w:t xml:space="preserve"> </w:t>
      </w:r>
      <w:r w:rsidR="00610ADA" w:rsidRPr="00382917">
        <w:t>expressions</w:t>
      </w:r>
      <w:r w:rsidR="00EE4FC3">
        <w:t xml:space="preserve"> </w:t>
      </w:r>
      <w:r w:rsidR="00610ADA" w:rsidRPr="00382917">
        <w:t>of</w:t>
      </w:r>
      <w:r w:rsidR="00EE4FC3">
        <w:t xml:space="preserve"> </w:t>
      </w:r>
      <w:r w:rsidR="00610ADA" w:rsidRPr="00382917">
        <w:t>My</w:t>
      </w:r>
      <w:r w:rsidR="00EE4FC3">
        <w:t xml:space="preserve"> </w:t>
      </w:r>
      <w:r w:rsidR="00610ADA" w:rsidRPr="00382917">
        <w:t>loving</w:t>
      </w:r>
      <w:r w:rsidR="00EE4FC3">
        <w:t xml:space="preserve"> </w:t>
      </w:r>
      <w:proofErr w:type="gramStart"/>
      <w:r w:rsidR="00610ADA" w:rsidRPr="00382917">
        <w:t>devotion.</w:t>
      </w:r>
      <w:r w:rsidRPr="00382917">
        <w:t>’</w:t>
      </w:r>
      <w:r w:rsidR="00EE4FC3">
        <w:t xml:space="preserve"> </w:t>
      </w:r>
      <w:proofErr w:type="gramEnd"/>
      <w:r w:rsidR="00610ADA" w:rsidRPr="00382917">
        <w:t>He</w:t>
      </w:r>
      <w:r w:rsidR="00EE4FC3">
        <w:t xml:space="preserve"> </w:t>
      </w:r>
      <w:r w:rsidR="00610ADA" w:rsidRPr="00382917">
        <w:t>again</w:t>
      </w:r>
      <w:r w:rsidR="00EE4FC3">
        <w:t xml:space="preserve"> </w:t>
      </w:r>
      <w:r w:rsidR="00610ADA" w:rsidRPr="00382917">
        <w:t>emphatically</w:t>
      </w:r>
      <w:r w:rsidR="00EE4FC3">
        <w:t xml:space="preserve"> </w:t>
      </w:r>
      <w:r w:rsidR="00610ADA" w:rsidRPr="00382917">
        <w:t>added</w:t>
      </w:r>
      <w:r w:rsidR="00EE4FC3">
        <w:t xml:space="preserve"> </w:t>
      </w:r>
      <w:r w:rsidR="00610ADA" w:rsidRPr="00382917">
        <w:t>the</w:t>
      </w:r>
      <w:r w:rsidR="00EE4FC3">
        <w:t xml:space="preserve"> </w:t>
      </w:r>
      <w:r w:rsidR="00610ADA" w:rsidRPr="00382917">
        <w:t>words</w:t>
      </w:r>
      <w:r w:rsidR="00C03C91">
        <w:t>:</w:t>
      </w:r>
      <w:r w:rsidR="00EE4FC3">
        <w:t xml:space="preserve">  </w:t>
      </w:r>
      <w:r w:rsidRPr="00382917">
        <w:t>‘</w:t>
      </w:r>
      <w:r w:rsidR="00610ADA" w:rsidRPr="00382917">
        <w:t>Verily,</w:t>
      </w:r>
      <w:r w:rsidR="00EE4FC3">
        <w:t xml:space="preserve"> </w:t>
      </w:r>
      <w:r w:rsidR="00610ADA" w:rsidRPr="00382917">
        <w:t>I</w:t>
      </w:r>
      <w:r w:rsidR="00EE4FC3">
        <w:t xml:space="preserve"> </w:t>
      </w:r>
      <w:r w:rsidR="00610ADA" w:rsidRPr="00382917">
        <w:t>say,</w:t>
      </w:r>
      <w:r w:rsidR="00EE4FC3">
        <w:t xml:space="preserve"> </w:t>
      </w:r>
      <w:r w:rsidR="00610ADA" w:rsidRPr="00382917">
        <w:t>I</w:t>
      </w:r>
      <w:r w:rsidR="00EE4FC3">
        <w:t xml:space="preserve"> </w:t>
      </w:r>
      <w:r w:rsidR="00610ADA" w:rsidRPr="00382917">
        <w:t>have</w:t>
      </w:r>
      <w:r w:rsidR="00EE4FC3">
        <w:t xml:space="preserve"> </w:t>
      </w:r>
      <w:r w:rsidR="00610ADA" w:rsidRPr="00382917">
        <w:t>entrusted</w:t>
      </w:r>
      <w:r w:rsidR="00EE4FC3">
        <w:t xml:space="preserve"> </w:t>
      </w:r>
      <w:r w:rsidR="00610ADA" w:rsidRPr="00382917">
        <w:t>you</w:t>
      </w:r>
      <w:r w:rsidR="00EE4FC3">
        <w:t xml:space="preserve"> </w:t>
      </w:r>
      <w:r w:rsidR="00610ADA" w:rsidRPr="00382917">
        <w:t>with</w:t>
      </w:r>
      <w:r w:rsidR="00EE4FC3">
        <w:t xml:space="preserve"> </w:t>
      </w:r>
      <w:r w:rsidR="00610ADA" w:rsidRPr="00382917">
        <w:t>a</w:t>
      </w:r>
      <w:r w:rsidR="00EE4FC3">
        <w:t xml:space="preserve"> </w:t>
      </w:r>
      <w:r w:rsidR="00610ADA" w:rsidRPr="00382917">
        <w:t>great</w:t>
      </w:r>
      <w:r w:rsidR="00EE4FC3">
        <w:t xml:space="preserve"> </w:t>
      </w:r>
      <w:r w:rsidR="00610ADA" w:rsidRPr="00382917">
        <w:t>mission</w:t>
      </w:r>
      <w:r w:rsidR="00330AF7">
        <w:t>.</w:t>
      </w:r>
      <w:r w:rsidR="00EE4FC3">
        <w:t xml:space="preserve">  </w:t>
      </w:r>
      <w:r w:rsidR="00610ADA" w:rsidRPr="00382917">
        <w:t>Beware</w:t>
      </w:r>
      <w:r w:rsidR="00EE4FC3">
        <w:t xml:space="preserve"> </w:t>
      </w:r>
      <w:r w:rsidR="00610ADA" w:rsidRPr="00382917">
        <w:t>lest</w:t>
      </w:r>
      <w:r w:rsidR="00EE4FC3">
        <w:t xml:space="preserve"> </w:t>
      </w:r>
      <w:r w:rsidR="00610ADA" w:rsidRPr="00382917">
        <w:t>your</w:t>
      </w:r>
      <w:r w:rsidR="00EE4FC3">
        <w:t xml:space="preserve"> </w:t>
      </w:r>
      <w:r w:rsidR="00610ADA" w:rsidRPr="00382917">
        <w:t>heart</w:t>
      </w:r>
      <w:r w:rsidR="00EE4FC3">
        <w:t xml:space="preserve"> </w:t>
      </w:r>
      <w:r w:rsidR="00610ADA" w:rsidRPr="00382917">
        <w:t>grow</w:t>
      </w:r>
      <w:r w:rsidR="00EE4FC3">
        <w:t xml:space="preserve"> </w:t>
      </w:r>
      <w:r w:rsidR="00610ADA" w:rsidRPr="00382917">
        <w:t>faint,</w:t>
      </w:r>
      <w:r w:rsidR="00EE4FC3">
        <w:t xml:space="preserve"> </w:t>
      </w:r>
      <w:r w:rsidR="00610ADA" w:rsidRPr="00382917">
        <w:t>lest</w:t>
      </w:r>
      <w:r w:rsidR="00EE4FC3">
        <w:t xml:space="preserve"> </w:t>
      </w:r>
      <w:r w:rsidR="00610ADA" w:rsidRPr="00382917">
        <w:t>you</w:t>
      </w:r>
      <w:r w:rsidR="00EE4FC3">
        <w:t xml:space="preserve"> </w:t>
      </w:r>
      <w:r w:rsidR="00610ADA" w:rsidRPr="00382917">
        <w:t>forget</w:t>
      </w:r>
      <w:r w:rsidR="00EE4FC3">
        <w:t xml:space="preserve"> </w:t>
      </w:r>
      <w:r w:rsidR="00610ADA" w:rsidRPr="00382917">
        <w:t>the</w:t>
      </w:r>
      <w:r w:rsidR="00EE4FC3">
        <w:t xml:space="preserve"> </w:t>
      </w:r>
      <w:r w:rsidR="00610ADA" w:rsidRPr="00382917">
        <w:t>glory</w:t>
      </w:r>
      <w:r w:rsidR="00EE4FC3">
        <w:t xml:space="preserve"> </w:t>
      </w:r>
      <w:r w:rsidR="00610ADA" w:rsidRPr="00382917">
        <w:t>with</w:t>
      </w:r>
      <w:r w:rsidR="00EE4FC3">
        <w:t xml:space="preserve"> </w:t>
      </w:r>
      <w:r w:rsidR="00610ADA" w:rsidRPr="00382917">
        <w:t>which</w:t>
      </w:r>
      <w:r w:rsidR="00EE4FC3">
        <w:t xml:space="preserve"> </w:t>
      </w:r>
      <w:r w:rsidR="00610ADA" w:rsidRPr="00382917">
        <w:t>I</w:t>
      </w:r>
      <w:r w:rsidR="00EE4FC3">
        <w:t xml:space="preserve"> </w:t>
      </w:r>
      <w:r w:rsidR="00610ADA" w:rsidRPr="00382917">
        <w:t>have</w:t>
      </w:r>
      <w:r w:rsidR="00EE4FC3">
        <w:t xml:space="preserve"> </w:t>
      </w:r>
      <w:r w:rsidR="00610ADA" w:rsidRPr="00382917">
        <w:t>invested</w:t>
      </w:r>
      <w:r w:rsidR="00EE4FC3">
        <w:t xml:space="preserve"> </w:t>
      </w:r>
      <w:r w:rsidR="00610ADA" w:rsidRPr="00382917">
        <w:t>you.</w:t>
      </w:r>
      <w:r w:rsidRPr="00382917">
        <w:t>’</w:t>
      </w:r>
    </w:p>
    <w:p w:rsidR="00610ADA" w:rsidRPr="00382917" w:rsidRDefault="009C713D" w:rsidP="00900F24">
      <w:pPr>
        <w:pStyle w:val="Text"/>
      </w:pPr>
      <w:proofErr w:type="gramStart"/>
      <w:r w:rsidRPr="00382917">
        <w:t>“</w:t>
      </w:r>
      <w:r w:rsidR="00610ADA" w:rsidRPr="00382917">
        <w:t>Soon</w:t>
      </w:r>
      <w:r w:rsidR="00EE4FC3">
        <w:t xml:space="preserve"> </w:t>
      </w:r>
      <w:r w:rsidR="00610ADA" w:rsidRPr="00382917">
        <w:t>after</w:t>
      </w:r>
      <w:r w:rsidR="00EE4FC3">
        <w:t xml:space="preserve"> </w:t>
      </w:r>
      <w:r w:rsidR="00610ADA" w:rsidRPr="00382917">
        <w:t>I</w:t>
      </w:r>
      <w:r w:rsidR="00EE4FC3">
        <w:t xml:space="preserve"> </w:t>
      </w:r>
      <w:r w:rsidR="00610ADA" w:rsidRPr="00382917">
        <w:t>journeyed</w:t>
      </w:r>
      <w:r w:rsidR="00EE4FC3">
        <w:t xml:space="preserve"> </w:t>
      </w:r>
      <w:r w:rsidR="00610ADA" w:rsidRPr="00382917">
        <w:t>to</w:t>
      </w:r>
      <w:r w:rsidR="00EE4FC3">
        <w:t xml:space="preserve"> </w:t>
      </w:r>
      <w:r w:rsidR="00610ADA" w:rsidRPr="00382917">
        <w:t>Karbilá</w:t>
      </w:r>
      <w:r w:rsidR="00330AF7">
        <w:t>.</w:t>
      </w:r>
      <w:proofErr w:type="gramEnd"/>
      <w:r w:rsidR="00EE4FC3">
        <w:t xml:space="preserve">  </w:t>
      </w:r>
      <w:r w:rsidR="00610ADA" w:rsidRPr="00382917">
        <w:t>I</w:t>
      </w:r>
      <w:r w:rsidR="00EE4FC3">
        <w:t xml:space="preserve"> </w:t>
      </w:r>
      <w:r w:rsidR="00610ADA" w:rsidRPr="00382917">
        <w:t>lived</w:t>
      </w:r>
      <w:r w:rsidR="00EE4FC3">
        <w:t xml:space="preserve"> </w:t>
      </w:r>
      <w:r w:rsidR="00610ADA" w:rsidRPr="00382917">
        <w:t>as</w:t>
      </w:r>
      <w:r w:rsidR="00EE4FC3">
        <w:t xml:space="preserve"> </w:t>
      </w:r>
      <w:r w:rsidR="00610ADA" w:rsidRPr="00382917">
        <w:t>bidden</w:t>
      </w:r>
      <w:r w:rsidR="00EE4FC3">
        <w:t xml:space="preserve"> </w:t>
      </w:r>
      <w:r w:rsidR="00610ADA" w:rsidRPr="00382917">
        <w:t>in</w:t>
      </w:r>
      <w:r w:rsidR="00EE4FC3">
        <w:t xml:space="preserve"> </w:t>
      </w:r>
      <w:r w:rsidR="00610ADA" w:rsidRPr="00382917">
        <w:t>that</w:t>
      </w:r>
      <w:r w:rsidR="00EE4FC3">
        <w:t xml:space="preserve"> </w:t>
      </w:r>
      <w:r w:rsidR="00610ADA" w:rsidRPr="00382917">
        <w:t>holy</w:t>
      </w:r>
      <w:r w:rsidR="00EE4FC3">
        <w:t xml:space="preserve"> </w:t>
      </w:r>
      <w:r w:rsidR="00610ADA" w:rsidRPr="00382917">
        <w:t>city</w:t>
      </w:r>
      <w:r w:rsidR="00330AF7">
        <w:t>.</w:t>
      </w:r>
      <w:r w:rsidR="00EE4FC3">
        <w:t xml:space="preserve">  </w:t>
      </w:r>
      <w:r w:rsidR="00610ADA" w:rsidRPr="00382917">
        <w:t>What</w:t>
      </w:r>
      <w:r w:rsidR="00EE4FC3">
        <w:t xml:space="preserve"> </w:t>
      </w:r>
      <w:r w:rsidR="00610ADA" w:rsidRPr="00382917">
        <w:t>afflictions</w:t>
      </w:r>
      <w:r w:rsidR="00EE4FC3">
        <w:t xml:space="preserve"> </w:t>
      </w:r>
      <w:r w:rsidR="00610ADA" w:rsidRPr="00382917">
        <w:t>befell</w:t>
      </w:r>
      <w:r w:rsidR="00EE4FC3">
        <w:t xml:space="preserve"> </w:t>
      </w:r>
      <w:r w:rsidR="00610ADA" w:rsidRPr="00382917">
        <w:t>me</w:t>
      </w:r>
      <w:r w:rsidR="00EE4FC3">
        <w:t xml:space="preserve"> </w:t>
      </w:r>
      <w:r w:rsidR="00610ADA" w:rsidRPr="00382917">
        <w:t>at</w:t>
      </w:r>
      <w:r w:rsidR="00EE4FC3">
        <w:t xml:space="preserve"> </w:t>
      </w:r>
      <w:r w:rsidR="00610ADA" w:rsidRPr="00382917">
        <w:t>the</w:t>
      </w:r>
      <w:r w:rsidR="00EE4FC3">
        <w:t xml:space="preserve"> </w:t>
      </w:r>
      <w:r w:rsidR="00610ADA" w:rsidRPr="00382917">
        <w:t>hands</w:t>
      </w:r>
      <w:r w:rsidR="00EE4FC3">
        <w:t xml:space="preserve"> </w:t>
      </w:r>
      <w:r w:rsidR="00610ADA" w:rsidRPr="00382917">
        <w:t>of</w:t>
      </w:r>
      <w:r w:rsidR="00EE4FC3">
        <w:t xml:space="preserve"> </w:t>
      </w:r>
      <w:r w:rsidR="00610ADA" w:rsidRPr="00382917">
        <w:t>those</w:t>
      </w:r>
      <w:r w:rsidR="00EE4FC3">
        <w:t xml:space="preserve"> </w:t>
      </w:r>
      <w:r w:rsidR="00610ADA" w:rsidRPr="00382917">
        <w:t>followers</w:t>
      </w:r>
      <w:r w:rsidR="00EE4FC3">
        <w:t xml:space="preserve"> </w:t>
      </w:r>
      <w:proofErr w:type="gramStart"/>
      <w:r w:rsidR="00610ADA" w:rsidRPr="00382917">
        <w:t>of</w:t>
      </w:r>
      <w:proofErr w:type="gramEnd"/>
    </w:p>
    <w:p w:rsidR="00900F24" w:rsidRPr="00382917" w:rsidRDefault="00900F24">
      <w:pPr>
        <w:widowControl/>
        <w:kinsoku/>
        <w:overflowPunct/>
        <w:textAlignment w:val="auto"/>
      </w:pPr>
      <w:r w:rsidRPr="00382917">
        <w:br w:type="page"/>
      </w:r>
    </w:p>
    <w:p w:rsidR="00610ADA" w:rsidRPr="00382917" w:rsidRDefault="008A073E" w:rsidP="00900F24">
      <w:pPr>
        <w:pStyle w:val="Textcts"/>
      </w:pPr>
      <w:r w:rsidRPr="00382917">
        <w:rPr>
          <w:u w:val="single"/>
        </w:rPr>
        <w:t>Sh</w:t>
      </w:r>
      <w:r w:rsidRPr="00382917">
        <w:t>ay</w:t>
      </w:r>
      <w:r w:rsidRPr="00382917">
        <w:rPr>
          <w:u w:val="single"/>
        </w:rPr>
        <w:t>kh</w:t>
      </w:r>
      <w:r w:rsidR="00EE4FC3">
        <w:t xml:space="preserve"> </w:t>
      </w:r>
      <w:r w:rsidR="00610ADA" w:rsidRPr="00382917">
        <w:t>A</w:t>
      </w:r>
      <w:r w:rsidR="00900F24" w:rsidRPr="00382917">
        <w:t>ḥ</w:t>
      </w:r>
      <w:r w:rsidR="00610ADA" w:rsidRPr="00382917">
        <w:t>mad</w:t>
      </w:r>
      <w:r w:rsidR="00EE4FC3">
        <w:t xml:space="preserve"> </w:t>
      </w:r>
      <w:r w:rsidR="00610ADA" w:rsidRPr="00382917">
        <w:t>who</w:t>
      </w:r>
      <w:r w:rsidR="00EE4FC3">
        <w:t xml:space="preserve"> </w:t>
      </w:r>
      <w:r w:rsidR="00610ADA" w:rsidRPr="00382917">
        <w:t>had</w:t>
      </w:r>
      <w:r w:rsidR="00EE4FC3">
        <w:t xml:space="preserve"> </w:t>
      </w:r>
      <w:r w:rsidR="00610ADA" w:rsidRPr="00382917">
        <w:t>still</w:t>
      </w:r>
      <w:r w:rsidR="00EE4FC3">
        <w:t xml:space="preserve"> </w:t>
      </w:r>
      <w:r w:rsidR="00610ADA" w:rsidRPr="00382917">
        <w:t>not</w:t>
      </w:r>
      <w:r w:rsidR="00EE4FC3">
        <w:t xml:space="preserve"> </w:t>
      </w:r>
      <w:r w:rsidR="00610ADA" w:rsidRPr="00382917">
        <w:t>recognized</w:t>
      </w:r>
      <w:r w:rsidR="00EE4FC3">
        <w:t xml:space="preserve"> </w:t>
      </w:r>
      <w:r w:rsidR="00610ADA" w:rsidRPr="00382917">
        <w:t>the</w:t>
      </w:r>
      <w:r w:rsidR="00EE4FC3">
        <w:t xml:space="preserve"> </w:t>
      </w:r>
      <w:r w:rsidR="00610ADA" w:rsidRPr="00382917">
        <w:t>Báb!</w:t>
      </w:r>
      <w:r w:rsidR="00BF1990">
        <w:t xml:space="preserve"> </w:t>
      </w:r>
      <w:r w:rsidR="00EE4FC3">
        <w:t xml:space="preserve"> </w:t>
      </w:r>
      <w:r w:rsidR="00610ADA" w:rsidRPr="00382917">
        <w:t>Patiently</w:t>
      </w:r>
      <w:r w:rsidR="00EE4FC3">
        <w:t xml:space="preserve"> </w:t>
      </w:r>
      <w:r w:rsidR="00610ADA" w:rsidRPr="00382917">
        <w:t>I</w:t>
      </w:r>
      <w:r w:rsidR="00EE4FC3">
        <w:t xml:space="preserve"> </w:t>
      </w:r>
      <w:r w:rsidR="00610ADA" w:rsidRPr="00382917">
        <w:t>submitted</w:t>
      </w:r>
      <w:r w:rsidR="00EE4FC3">
        <w:t xml:space="preserve"> </w:t>
      </w:r>
      <w:r w:rsidR="00610ADA" w:rsidRPr="00382917">
        <w:t>to</w:t>
      </w:r>
      <w:r w:rsidR="00EE4FC3">
        <w:t xml:space="preserve"> </w:t>
      </w:r>
      <w:r w:rsidR="00610ADA" w:rsidRPr="00382917">
        <w:t>their</w:t>
      </w:r>
      <w:r w:rsidR="00EE4FC3">
        <w:t xml:space="preserve"> </w:t>
      </w:r>
      <w:r w:rsidR="00610ADA" w:rsidRPr="00382917">
        <w:t>indignities</w:t>
      </w:r>
      <w:r w:rsidR="00330AF7">
        <w:t>.</w:t>
      </w:r>
      <w:r w:rsidR="00EE4FC3">
        <w:t xml:space="preserve">  </w:t>
      </w:r>
      <w:r w:rsidR="00610ADA" w:rsidRPr="00382917">
        <w:t>For</w:t>
      </w:r>
      <w:r w:rsidR="00EE4FC3">
        <w:t xml:space="preserve"> </w:t>
      </w:r>
      <w:r w:rsidR="00610ADA" w:rsidRPr="00382917">
        <w:t>two</w:t>
      </w:r>
      <w:r w:rsidR="00EE4FC3">
        <w:t xml:space="preserve"> </w:t>
      </w:r>
      <w:r w:rsidR="00610ADA" w:rsidRPr="00382917">
        <w:t>years</w:t>
      </w:r>
      <w:r w:rsidR="00EE4FC3">
        <w:t xml:space="preserve"> </w:t>
      </w:r>
      <w:r w:rsidR="00610ADA" w:rsidRPr="00382917">
        <w:t>I</w:t>
      </w:r>
      <w:r w:rsidR="00EE4FC3">
        <w:t xml:space="preserve"> </w:t>
      </w:r>
      <w:r w:rsidR="00610ADA" w:rsidRPr="00382917">
        <w:t>lived</w:t>
      </w:r>
      <w:r w:rsidR="00EE4FC3">
        <w:t xml:space="preserve"> </w:t>
      </w:r>
      <w:r w:rsidR="00610ADA" w:rsidRPr="00382917">
        <w:t>in</w:t>
      </w:r>
      <w:r w:rsidR="00EE4FC3">
        <w:t xml:space="preserve"> </w:t>
      </w:r>
      <w:r w:rsidR="00610ADA" w:rsidRPr="00382917">
        <w:t>that</w:t>
      </w:r>
      <w:r w:rsidR="00EE4FC3">
        <w:t xml:space="preserve"> </w:t>
      </w:r>
      <w:r w:rsidR="00610ADA" w:rsidRPr="00382917">
        <w:t>city</w:t>
      </w:r>
      <w:r w:rsidR="00330AF7">
        <w:t>.</w:t>
      </w:r>
      <w:r w:rsidR="00EE4FC3">
        <w:t xml:space="preserve">  </w:t>
      </w:r>
      <w:r w:rsidR="009C713D" w:rsidRPr="00382917">
        <w:t>“</w:t>
      </w:r>
      <w:r w:rsidR="00610ADA" w:rsidRPr="00382917">
        <w:t>One</w:t>
      </w:r>
      <w:r w:rsidR="00EE4FC3">
        <w:t xml:space="preserve"> </w:t>
      </w:r>
      <w:r w:rsidR="00610ADA" w:rsidRPr="00382917">
        <w:t>day</w:t>
      </w:r>
      <w:r w:rsidR="00EE4FC3">
        <w:t xml:space="preserve"> </w:t>
      </w:r>
      <w:r w:rsidR="00610ADA" w:rsidRPr="00382917">
        <w:t>while</w:t>
      </w:r>
      <w:r w:rsidR="00EE4FC3">
        <w:t xml:space="preserve"> </w:t>
      </w:r>
      <w:r w:rsidR="00610ADA" w:rsidRPr="00382917">
        <w:t>passing</w:t>
      </w:r>
      <w:r w:rsidR="00EE4FC3">
        <w:t xml:space="preserve"> </w:t>
      </w:r>
      <w:r w:rsidR="00610ADA" w:rsidRPr="00382917">
        <w:t>the</w:t>
      </w:r>
      <w:r w:rsidR="00EE4FC3">
        <w:t xml:space="preserve"> </w:t>
      </w:r>
      <w:r w:rsidR="00610ADA" w:rsidRPr="00382917">
        <w:t>gate</w:t>
      </w:r>
      <w:r w:rsidR="00EE4FC3">
        <w:t xml:space="preserve"> </w:t>
      </w:r>
      <w:r w:rsidR="00610ADA" w:rsidRPr="00382917">
        <w:t>of</w:t>
      </w:r>
      <w:r w:rsidR="00EE4FC3">
        <w:t xml:space="preserve"> </w:t>
      </w:r>
      <w:r w:rsidR="00610ADA" w:rsidRPr="00382917">
        <w:t>a</w:t>
      </w:r>
      <w:r w:rsidR="00EE4FC3">
        <w:t xml:space="preserve"> </w:t>
      </w:r>
      <w:r w:rsidR="00610ADA" w:rsidRPr="00382917">
        <w:t>Shrine,</w:t>
      </w:r>
      <w:r w:rsidR="00EE4FC3">
        <w:t xml:space="preserve"> </w:t>
      </w:r>
      <w:r w:rsidR="00610ADA" w:rsidRPr="00382917">
        <w:t>my</w:t>
      </w:r>
      <w:r w:rsidR="00EE4FC3">
        <w:t xml:space="preserve"> </w:t>
      </w:r>
      <w:r w:rsidR="00610ADA" w:rsidRPr="00382917">
        <w:t>eyes</w:t>
      </w:r>
      <w:r w:rsidR="00EE4FC3">
        <w:t xml:space="preserve"> </w:t>
      </w:r>
      <w:r w:rsidR="00610ADA" w:rsidRPr="00382917">
        <w:t>fell</w:t>
      </w:r>
      <w:r w:rsidR="00EE4FC3">
        <w:t xml:space="preserve"> </w:t>
      </w:r>
      <w:r w:rsidR="00610ADA" w:rsidRPr="00382917">
        <w:t>for</w:t>
      </w:r>
      <w:r w:rsidR="00EE4FC3">
        <w:t xml:space="preserve"> </w:t>
      </w:r>
      <w:r w:rsidR="00610ADA" w:rsidRPr="00382917">
        <w:t>the</w:t>
      </w:r>
      <w:r w:rsidR="00EE4FC3">
        <w:t xml:space="preserve"> </w:t>
      </w:r>
      <w:r w:rsidR="00610ADA" w:rsidRPr="00382917">
        <w:t>first</w:t>
      </w:r>
      <w:r w:rsidR="00EE4FC3">
        <w:t xml:space="preserve"> </w:t>
      </w:r>
      <w:r w:rsidR="00610ADA" w:rsidRPr="00382917">
        <w:t>time</w:t>
      </w:r>
      <w:r w:rsidR="00EE4FC3">
        <w:t xml:space="preserve"> </w:t>
      </w:r>
      <w:r w:rsidR="00610ADA" w:rsidRPr="00382917">
        <w:t>upon</w:t>
      </w:r>
      <w:r w:rsidR="00EE4FC3">
        <w:t xml:space="preserve"> </w:t>
      </w:r>
      <w:r w:rsidR="00610ADA" w:rsidRPr="00382917">
        <w:t>Bahá</w:t>
      </w:r>
      <w:r w:rsidR="009C713D" w:rsidRPr="00382917">
        <w:t>’</w:t>
      </w:r>
      <w:r w:rsidR="00610ADA" w:rsidRPr="00382917">
        <w:t>u</w:t>
      </w:r>
      <w:r w:rsidR="009C713D" w:rsidRPr="00382917">
        <w:t>’</w:t>
      </w:r>
      <w:r w:rsidR="00610ADA" w:rsidRPr="00382917">
        <w:t>lláh</w:t>
      </w:r>
      <w:r w:rsidR="00330AF7">
        <w:t>.</w:t>
      </w:r>
      <w:r w:rsidR="00EE4FC3">
        <w:t xml:space="preserve">  </w:t>
      </w:r>
      <w:r w:rsidR="00610ADA" w:rsidRPr="00382917">
        <w:t>What</w:t>
      </w:r>
      <w:r w:rsidR="00EE4FC3">
        <w:t xml:space="preserve"> </w:t>
      </w:r>
      <w:r w:rsidR="00610ADA" w:rsidRPr="00382917">
        <w:t>shall</w:t>
      </w:r>
      <w:r w:rsidR="00EE4FC3">
        <w:t xml:space="preserve"> </w:t>
      </w:r>
      <w:r w:rsidR="00610ADA" w:rsidRPr="00382917">
        <w:t>I</w:t>
      </w:r>
      <w:r w:rsidR="00EE4FC3">
        <w:t xml:space="preserve"> </w:t>
      </w:r>
      <w:r w:rsidR="00610ADA" w:rsidRPr="00382917">
        <w:t>recount</w:t>
      </w:r>
      <w:r w:rsidR="00EE4FC3">
        <w:t xml:space="preserve"> </w:t>
      </w:r>
      <w:r w:rsidR="00610ADA" w:rsidRPr="00382917">
        <w:t>regarding</w:t>
      </w:r>
      <w:r w:rsidR="00EE4FC3">
        <w:t xml:space="preserve"> </w:t>
      </w:r>
      <w:r w:rsidR="00610ADA" w:rsidRPr="00382917">
        <w:t>the</w:t>
      </w:r>
      <w:r w:rsidR="00EE4FC3">
        <w:t xml:space="preserve"> </w:t>
      </w:r>
      <w:r w:rsidR="00610ADA" w:rsidRPr="00382917">
        <w:t>countenance</w:t>
      </w:r>
      <w:r w:rsidR="00EE4FC3">
        <w:t xml:space="preserve"> </w:t>
      </w:r>
      <w:r w:rsidR="00610ADA" w:rsidRPr="00382917">
        <w:t>which</w:t>
      </w:r>
      <w:r w:rsidR="00EE4FC3">
        <w:t xml:space="preserve"> </w:t>
      </w:r>
      <w:r w:rsidR="00610ADA" w:rsidRPr="00382917">
        <w:t>I</w:t>
      </w:r>
      <w:r w:rsidR="00EE4FC3">
        <w:t xml:space="preserve"> </w:t>
      </w:r>
      <w:r w:rsidR="00610ADA" w:rsidRPr="00382917">
        <w:t>beheld?</w:t>
      </w:r>
      <w:r w:rsidR="00EE4FC3">
        <w:t xml:space="preserve"> </w:t>
      </w:r>
      <w:r w:rsidR="00BF1990">
        <w:t xml:space="preserve"> </w:t>
      </w:r>
      <w:r w:rsidR="00610ADA" w:rsidRPr="00382917">
        <w:t>The</w:t>
      </w:r>
      <w:r w:rsidR="00EE4FC3">
        <w:t xml:space="preserve"> </w:t>
      </w:r>
      <w:r w:rsidR="00610ADA" w:rsidRPr="00382917">
        <w:t>beauty</w:t>
      </w:r>
      <w:r w:rsidR="00EE4FC3">
        <w:t xml:space="preserve"> </w:t>
      </w:r>
      <w:r w:rsidR="00610ADA" w:rsidRPr="00382917">
        <w:t>of</w:t>
      </w:r>
      <w:r w:rsidR="00EE4FC3">
        <w:t xml:space="preserve"> </w:t>
      </w:r>
      <w:r w:rsidR="00610ADA" w:rsidRPr="00382917">
        <w:t>that</w:t>
      </w:r>
      <w:r w:rsidR="00EE4FC3">
        <w:t xml:space="preserve"> </w:t>
      </w:r>
      <w:r w:rsidR="00610ADA" w:rsidRPr="00382917">
        <w:t>face,</w:t>
      </w:r>
      <w:r w:rsidR="00EE4FC3">
        <w:t xml:space="preserve"> </w:t>
      </w:r>
      <w:r w:rsidR="00610ADA" w:rsidRPr="00382917">
        <w:t>those</w:t>
      </w:r>
      <w:r w:rsidR="00EE4FC3">
        <w:t xml:space="preserve"> </w:t>
      </w:r>
      <w:r w:rsidR="00610ADA" w:rsidRPr="00382917">
        <w:t>exquisite</w:t>
      </w:r>
      <w:r w:rsidR="00EE4FC3">
        <w:t xml:space="preserve"> </w:t>
      </w:r>
      <w:r w:rsidR="00610ADA" w:rsidRPr="00382917">
        <w:t>features</w:t>
      </w:r>
      <w:r w:rsidR="00EE4FC3">
        <w:t xml:space="preserve"> </w:t>
      </w:r>
      <w:r w:rsidR="00610ADA" w:rsidRPr="00382917">
        <w:t>which</w:t>
      </w:r>
      <w:r w:rsidR="00EE4FC3">
        <w:t xml:space="preserve"> </w:t>
      </w:r>
      <w:r w:rsidR="00610ADA" w:rsidRPr="00382917">
        <w:t>no</w:t>
      </w:r>
      <w:r w:rsidR="00EE4FC3">
        <w:t xml:space="preserve"> </w:t>
      </w:r>
      <w:r w:rsidR="00610ADA" w:rsidRPr="00382917">
        <w:t>pen</w:t>
      </w:r>
      <w:r w:rsidR="00EE4FC3">
        <w:t xml:space="preserve"> </w:t>
      </w:r>
      <w:r w:rsidR="00610ADA" w:rsidRPr="00382917">
        <w:t>or</w:t>
      </w:r>
      <w:r w:rsidR="00EE4FC3">
        <w:t xml:space="preserve"> </w:t>
      </w:r>
      <w:r w:rsidR="00610ADA" w:rsidRPr="00382917">
        <w:t>brush</w:t>
      </w:r>
      <w:r w:rsidR="00EE4FC3">
        <w:t xml:space="preserve"> </w:t>
      </w:r>
      <w:r w:rsidR="00610ADA" w:rsidRPr="00382917">
        <w:t>can</w:t>
      </w:r>
      <w:r w:rsidR="00EE4FC3">
        <w:t xml:space="preserve"> </w:t>
      </w:r>
      <w:r w:rsidR="00610ADA" w:rsidRPr="00382917">
        <w:t>describe,</w:t>
      </w:r>
      <w:r w:rsidR="00EE4FC3">
        <w:t xml:space="preserve"> </w:t>
      </w:r>
      <w:r w:rsidR="00610ADA" w:rsidRPr="00382917">
        <w:t>His</w:t>
      </w:r>
      <w:r w:rsidR="00EE4FC3">
        <w:t xml:space="preserve"> </w:t>
      </w:r>
      <w:r w:rsidR="00610ADA" w:rsidRPr="00382917">
        <w:t>penetrating</w:t>
      </w:r>
      <w:r w:rsidR="00EE4FC3">
        <w:t xml:space="preserve"> </w:t>
      </w:r>
      <w:r w:rsidR="00610ADA" w:rsidRPr="00382917">
        <w:t>glance,</w:t>
      </w:r>
      <w:r w:rsidR="00EE4FC3">
        <w:t xml:space="preserve"> </w:t>
      </w:r>
      <w:r w:rsidR="00610ADA" w:rsidRPr="00382917">
        <w:t>His</w:t>
      </w:r>
      <w:r w:rsidR="00EE4FC3">
        <w:t xml:space="preserve"> </w:t>
      </w:r>
      <w:r w:rsidR="00610ADA" w:rsidRPr="00382917">
        <w:t>kindly</w:t>
      </w:r>
      <w:r w:rsidR="00EE4FC3">
        <w:t xml:space="preserve"> </w:t>
      </w:r>
      <w:r w:rsidR="00610ADA" w:rsidRPr="00382917">
        <w:t>face,</w:t>
      </w:r>
      <w:r w:rsidR="00EE4FC3">
        <w:t xml:space="preserve"> </w:t>
      </w:r>
      <w:r w:rsidR="00610ADA" w:rsidRPr="00382917">
        <w:t>the</w:t>
      </w:r>
      <w:r w:rsidR="00EE4FC3">
        <w:t xml:space="preserve"> </w:t>
      </w:r>
      <w:r w:rsidR="00610ADA" w:rsidRPr="00382917">
        <w:t>majesty</w:t>
      </w:r>
      <w:r w:rsidR="00EE4FC3">
        <w:t xml:space="preserve"> </w:t>
      </w:r>
      <w:r w:rsidR="00610ADA" w:rsidRPr="00382917">
        <w:t>of</w:t>
      </w:r>
      <w:r w:rsidR="00EE4FC3">
        <w:t xml:space="preserve"> </w:t>
      </w:r>
      <w:r w:rsidR="00610ADA" w:rsidRPr="00382917">
        <w:t>His</w:t>
      </w:r>
      <w:r w:rsidR="00EE4FC3">
        <w:t xml:space="preserve"> </w:t>
      </w:r>
      <w:r w:rsidR="00610ADA" w:rsidRPr="00382917">
        <w:t>bearing,</w:t>
      </w:r>
      <w:r w:rsidR="00EE4FC3">
        <w:t xml:space="preserve"> </w:t>
      </w:r>
      <w:r w:rsidR="00610ADA" w:rsidRPr="00382917">
        <w:t>the</w:t>
      </w:r>
      <w:r w:rsidR="00EE4FC3">
        <w:t xml:space="preserve"> </w:t>
      </w:r>
      <w:r w:rsidR="00610ADA" w:rsidRPr="00382917">
        <w:t>sweetness</w:t>
      </w:r>
      <w:r w:rsidR="00EE4FC3">
        <w:t xml:space="preserve"> </w:t>
      </w:r>
      <w:r w:rsidR="00610ADA" w:rsidRPr="00382917">
        <w:t>of</w:t>
      </w:r>
      <w:r w:rsidR="00EE4FC3">
        <w:t xml:space="preserve"> </w:t>
      </w:r>
      <w:r w:rsidR="00610ADA" w:rsidRPr="00382917">
        <w:t>His</w:t>
      </w:r>
      <w:r w:rsidR="00EE4FC3">
        <w:t xml:space="preserve"> </w:t>
      </w:r>
      <w:r w:rsidR="00610ADA" w:rsidRPr="00382917">
        <w:t>smile—all</w:t>
      </w:r>
      <w:r w:rsidR="00EE4FC3">
        <w:t xml:space="preserve"> </w:t>
      </w:r>
      <w:r w:rsidR="00610ADA" w:rsidRPr="00382917">
        <w:t>left</w:t>
      </w:r>
      <w:r w:rsidR="00EE4FC3">
        <w:t xml:space="preserve"> </w:t>
      </w:r>
      <w:r w:rsidR="00610ADA" w:rsidRPr="00382917">
        <w:t>an</w:t>
      </w:r>
      <w:r w:rsidR="00EE4FC3">
        <w:t xml:space="preserve"> </w:t>
      </w:r>
      <w:r w:rsidR="00610ADA" w:rsidRPr="00382917">
        <w:t>indelible</w:t>
      </w:r>
      <w:r w:rsidR="00EE4FC3">
        <w:t xml:space="preserve"> </w:t>
      </w:r>
      <w:r w:rsidR="00610ADA" w:rsidRPr="00382917">
        <w:t>impression</w:t>
      </w:r>
      <w:r w:rsidR="00EE4FC3">
        <w:t xml:space="preserve"> </w:t>
      </w:r>
      <w:r w:rsidR="00610ADA" w:rsidRPr="00382917">
        <w:t>upon</w:t>
      </w:r>
      <w:r w:rsidR="00EE4FC3">
        <w:t xml:space="preserve"> </w:t>
      </w:r>
      <w:r w:rsidR="00610ADA" w:rsidRPr="00382917">
        <w:t>my</w:t>
      </w:r>
      <w:r w:rsidR="00EE4FC3">
        <w:t xml:space="preserve"> </w:t>
      </w:r>
      <w:r w:rsidR="00610ADA" w:rsidRPr="00382917">
        <w:t>soul.</w:t>
      </w:r>
    </w:p>
    <w:p w:rsidR="00610ADA" w:rsidRPr="00382917" w:rsidRDefault="009C713D" w:rsidP="00900F24">
      <w:pPr>
        <w:pStyle w:val="Text"/>
      </w:pPr>
      <w:r w:rsidRPr="00382917">
        <w:t>“</w:t>
      </w:r>
      <w:r w:rsidR="00610ADA" w:rsidRPr="00382917">
        <w:t>How</w:t>
      </w:r>
      <w:r w:rsidR="00EE4FC3">
        <w:t xml:space="preserve"> </w:t>
      </w:r>
      <w:r w:rsidR="00610ADA" w:rsidRPr="00382917">
        <w:t>lovingly</w:t>
      </w:r>
      <w:r w:rsidR="00EE4FC3">
        <w:t xml:space="preserve"> </w:t>
      </w:r>
      <w:r w:rsidR="00610ADA" w:rsidRPr="00382917">
        <w:t>He</w:t>
      </w:r>
      <w:r w:rsidR="00EE4FC3">
        <w:t xml:space="preserve"> </w:t>
      </w:r>
      <w:r w:rsidR="00610ADA" w:rsidRPr="00382917">
        <w:t>advanced</w:t>
      </w:r>
      <w:r w:rsidR="00EE4FC3">
        <w:t xml:space="preserve"> </w:t>
      </w:r>
      <w:r w:rsidR="00610ADA" w:rsidRPr="00382917">
        <w:t>towards</w:t>
      </w:r>
      <w:r w:rsidR="00EE4FC3">
        <w:t xml:space="preserve"> </w:t>
      </w:r>
      <w:r w:rsidR="00610ADA" w:rsidRPr="00382917">
        <w:t>me!</w:t>
      </w:r>
      <w:r w:rsidR="00EE4FC3">
        <w:t xml:space="preserve"> </w:t>
      </w:r>
      <w:r w:rsidR="00BF1990">
        <w:t xml:space="preserve"> </w:t>
      </w:r>
      <w:r w:rsidR="00610ADA" w:rsidRPr="00382917">
        <w:t>He</w:t>
      </w:r>
      <w:r w:rsidR="00EE4FC3">
        <w:t xml:space="preserve"> </w:t>
      </w:r>
      <w:r w:rsidR="00610ADA" w:rsidRPr="00382917">
        <w:t>took</w:t>
      </w:r>
      <w:r w:rsidR="00EE4FC3">
        <w:t xml:space="preserve"> </w:t>
      </w:r>
      <w:r w:rsidR="00610ADA" w:rsidRPr="00382917">
        <w:t>me</w:t>
      </w:r>
      <w:r w:rsidR="00EE4FC3">
        <w:t xml:space="preserve"> </w:t>
      </w:r>
      <w:r w:rsidR="00610ADA" w:rsidRPr="00382917">
        <w:t>by</w:t>
      </w:r>
      <w:r w:rsidR="00EE4FC3">
        <w:t xml:space="preserve"> </w:t>
      </w:r>
      <w:r w:rsidR="00610ADA" w:rsidRPr="00382917">
        <w:t>the</w:t>
      </w:r>
      <w:r w:rsidR="00EE4FC3">
        <w:t xml:space="preserve"> </w:t>
      </w:r>
      <w:r w:rsidR="00610ADA" w:rsidRPr="00382917">
        <w:t>hand</w:t>
      </w:r>
      <w:r w:rsidR="00EE4FC3">
        <w:t xml:space="preserve"> </w:t>
      </w:r>
      <w:r w:rsidR="00610ADA" w:rsidRPr="00382917">
        <w:t>and</w:t>
      </w:r>
      <w:r w:rsidR="00EE4FC3">
        <w:t xml:space="preserve"> </w:t>
      </w:r>
      <w:r w:rsidR="00610ADA" w:rsidRPr="00382917">
        <w:t>addressed</w:t>
      </w:r>
      <w:r w:rsidR="00EE4FC3">
        <w:t xml:space="preserve"> </w:t>
      </w:r>
      <w:r w:rsidR="00610ADA" w:rsidRPr="00382917">
        <w:t>me</w:t>
      </w:r>
      <w:r w:rsidR="00EE4FC3">
        <w:t xml:space="preserve"> </w:t>
      </w:r>
      <w:r w:rsidR="00610ADA" w:rsidRPr="00382917">
        <w:t>in</w:t>
      </w:r>
      <w:r w:rsidR="00EE4FC3">
        <w:t xml:space="preserve"> </w:t>
      </w:r>
      <w:r w:rsidR="00610ADA" w:rsidRPr="00382917">
        <w:t>a</w:t>
      </w:r>
      <w:r w:rsidR="00EE4FC3">
        <w:t xml:space="preserve"> </w:t>
      </w:r>
      <w:r w:rsidR="00610ADA" w:rsidRPr="00382917">
        <w:t>tone</w:t>
      </w:r>
      <w:r w:rsidR="00EE4FC3">
        <w:t xml:space="preserve"> </w:t>
      </w:r>
      <w:r w:rsidR="00610ADA" w:rsidRPr="00382917">
        <w:t>of</w:t>
      </w:r>
      <w:r w:rsidR="00EE4FC3">
        <w:t xml:space="preserve"> </w:t>
      </w:r>
      <w:r w:rsidR="00610ADA" w:rsidRPr="00382917">
        <w:t>great</w:t>
      </w:r>
      <w:r w:rsidR="00EE4FC3">
        <w:t xml:space="preserve"> </w:t>
      </w:r>
      <w:r w:rsidR="00610ADA" w:rsidRPr="00382917">
        <w:t>power</w:t>
      </w:r>
      <w:r w:rsidR="00EE4FC3">
        <w:t xml:space="preserve"> </w:t>
      </w:r>
      <w:r w:rsidR="00610ADA" w:rsidRPr="00382917">
        <w:t>and</w:t>
      </w:r>
      <w:r w:rsidR="00EE4FC3">
        <w:t xml:space="preserve"> </w:t>
      </w:r>
      <w:r w:rsidR="00610ADA" w:rsidRPr="00382917">
        <w:t>beauty</w:t>
      </w:r>
      <w:r w:rsidR="00330AF7">
        <w:t>.</w:t>
      </w:r>
      <w:r w:rsidR="00EE4FC3">
        <w:t xml:space="preserve">  </w:t>
      </w:r>
      <w:r w:rsidR="00610ADA" w:rsidRPr="00382917">
        <w:t>He</w:t>
      </w:r>
      <w:r w:rsidR="00EE4FC3">
        <w:t xml:space="preserve"> </w:t>
      </w:r>
      <w:r w:rsidR="00610ADA" w:rsidRPr="00382917">
        <w:t>walked</w:t>
      </w:r>
      <w:r w:rsidR="00EE4FC3">
        <w:t xml:space="preserve"> </w:t>
      </w:r>
      <w:r w:rsidR="00610ADA" w:rsidRPr="00382917">
        <w:t>with</w:t>
      </w:r>
      <w:r w:rsidR="00EE4FC3">
        <w:t xml:space="preserve"> </w:t>
      </w:r>
      <w:r w:rsidR="00610ADA" w:rsidRPr="00382917">
        <w:t>me</w:t>
      </w:r>
      <w:r w:rsidR="00EE4FC3">
        <w:t xml:space="preserve"> </w:t>
      </w:r>
      <w:r w:rsidR="00610ADA" w:rsidRPr="00382917">
        <w:t>all</w:t>
      </w:r>
      <w:r w:rsidR="00EE4FC3">
        <w:t xml:space="preserve"> </w:t>
      </w:r>
      <w:r w:rsidR="00610ADA" w:rsidRPr="00382917">
        <w:t>along</w:t>
      </w:r>
      <w:r w:rsidR="00EE4FC3">
        <w:t xml:space="preserve"> </w:t>
      </w:r>
      <w:r w:rsidR="00610ADA" w:rsidRPr="00382917">
        <w:t>the</w:t>
      </w:r>
      <w:r w:rsidR="00EE4FC3">
        <w:t xml:space="preserve"> </w:t>
      </w:r>
      <w:r w:rsidR="00610ADA" w:rsidRPr="00382917">
        <w:t>market-street,</w:t>
      </w:r>
      <w:r w:rsidR="00EE4FC3">
        <w:t xml:space="preserve"> </w:t>
      </w:r>
      <w:r w:rsidR="00610ADA" w:rsidRPr="00382917">
        <w:t>and</w:t>
      </w:r>
      <w:r w:rsidR="00EE4FC3">
        <w:t xml:space="preserve"> </w:t>
      </w:r>
      <w:r w:rsidR="00610ADA" w:rsidRPr="00382917">
        <w:t>in</w:t>
      </w:r>
      <w:r w:rsidR="00EE4FC3">
        <w:t xml:space="preserve"> </w:t>
      </w:r>
      <w:r w:rsidR="00610ADA" w:rsidRPr="00382917">
        <w:t>the</w:t>
      </w:r>
      <w:r w:rsidR="00EE4FC3">
        <w:t xml:space="preserve"> </w:t>
      </w:r>
      <w:r w:rsidR="00610ADA" w:rsidRPr="00382917">
        <w:t>end</w:t>
      </w:r>
      <w:r w:rsidR="00EE4FC3">
        <w:t xml:space="preserve"> </w:t>
      </w:r>
      <w:r w:rsidR="00610ADA" w:rsidRPr="00382917">
        <w:t>He</w:t>
      </w:r>
      <w:r w:rsidR="00EE4FC3">
        <w:t xml:space="preserve"> </w:t>
      </w:r>
      <w:r w:rsidR="00610ADA" w:rsidRPr="00382917">
        <w:t>said</w:t>
      </w:r>
      <w:r w:rsidR="00C03C91">
        <w:t>:</w:t>
      </w:r>
      <w:r w:rsidR="00EE4FC3">
        <w:t xml:space="preserve">  </w:t>
      </w:r>
      <w:r w:rsidRPr="00382917">
        <w:t>‘</w:t>
      </w:r>
      <w:r w:rsidR="00610ADA" w:rsidRPr="00382917">
        <w:t>Praise</w:t>
      </w:r>
      <w:r w:rsidR="00EE4FC3">
        <w:t xml:space="preserve"> </w:t>
      </w:r>
      <w:proofErr w:type="gramStart"/>
      <w:r w:rsidR="00610ADA" w:rsidRPr="00382917">
        <w:t>be</w:t>
      </w:r>
      <w:proofErr w:type="gramEnd"/>
      <w:r w:rsidR="00EE4FC3">
        <w:t xml:space="preserve"> </w:t>
      </w:r>
      <w:r w:rsidR="00610ADA" w:rsidRPr="00382917">
        <w:t>to</w:t>
      </w:r>
      <w:r w:rsidR="00EE4FC3">
        <w:t xml:space="preserve"> </w:t>
      </w:r>
      <w:r w:rsidR="00610ADA" w:rsidRPr="00382917">
        <w:t>God</w:t>
      </w:r>
      <w:r w:rsidR="00EE4FC3">
        <w:t xml:space="preserve"> </w:t>
      </w:r>
      <w:r w:rsidR="00610ADA" w:rsidRPr="00382917">
        <w:t>that</w:t>
      </w:r>
      <w:r w:rsidR="00EE4FC3">
        <w:t xml:space="preserve"> </w:t>
      </w:r>
      <w:r w:rsidR="00610ADA" w:rsidRPr="00382917">
        <w:t>you</w:t>
      </w:r>
      <w:r w:rsidR="00EE4FC3">
        <w:t xml:space="preserve"> </w:t>
      </w:r>
      <w:r w:rsidR="00610ADA" w:rsidRPr="00382917">
        <w:t>have</w:t>
      </w:r>
      <w:r w:rsidR="00EE4FC3">
        <w:t xml:space="preserve"> </w:t>
      </w:r>
      <w:r w:rsidR="00610ADA" w:rsidRPr="00382917">
        <w:t>remained</w:t>
      </w:r>
      <w:r w:rsidR="00EE4FC3">
        <w:t xml:space="preserve"> </w:t>
      </w:r>
      <w:r w:rsidR="00610ADA" w:rsidRPr="00382917">
        <w:t>in</w:t>
      </w:r>
      <w:r w:rsidR="00EE4FC3">
        <w:t xml:space="preserve"> </w:t>
      </w:r>
      <w:r w:rsidR="00610ADA" w:rsidRPr="00382917">
        <w:t>Karbilá,</w:t>
      </w:r>
      <w:r w:rsidR="00EE4FC3">
        <w:t xml:space="preserve"> </w:t>
      </w:r>
      <w:r w:rsidR="00610ADA" w:rsidRPr="00382917">
        <w:t>and</w:t>
      </w:r>
      <w:r w:rsidR="00EE4FC3">
        <w:t xml:space="preserve"> </w:t>
      </w:r>
      <w:r w:rsidR="00610ADA" w:rsidRPr="00382917">
        <w:t>have</w:t>
      </w:r>
      <w:r w:rsidR="00EE4FC3">
        <w:t xml:space="preserve"> </w:t>
      </w:r>
      <w:r w:rsidR="00610ADA" w:rsidRPr="00382917">
        <w:t>beheld</w:t>
      </w:r>
      <w:r w:rsidR="00EE4FC3">
        <w:t xml:space="preserve"> </w:t>
      </w:r>
      <w:r w:rsidR="00610ADA" w:rsidRPr="00382917">
        <w:t>with</w:t>
      </w:r>
      <w:r w:rsidR="00EE4FC3">
        <w:t xml:space="preserve"> </w:t>
      </w:r>
      <w:r w:rsidR="00610ADA" w:rsidRPr="00382917">
        <w:t>your</w:t>
      </w:r>
      <w:r w:rsidR="00EE4FC3">
        <w:t xml:space="preserve"> </w:t>
      </w:r>
      <w:r w:rsidR="00610ADA" w:rsidRPr="00382917">
        <w:t>own</w:t>
      </w:r>
      <w:r w:rsidR="00EE4FC3">
        <w:t xml:space="preserve"> </w:t>
      </w:r>
      <w:r w:rsidR="00610ADA" w:rsidRPr="00382917">
        <w:t>eyes</w:t>
      </w:r>
      <w:r w:rsidR="00EE4FC3">
        <w:t xml:space="preserve"> </w:t>
      </w:r>
      <w:r w:rsidR="00610ADA" w:rsidRPr="00382917">
        <w:t>the</w:t>
      </w:r>
      <w:r w:rsidR="00EE4FC3">
        <w:t xml:space="preserve"> </w:t>
      </w:r>
      <w:r w:rsidR="00610ADA" w:rsidRPr="00382917">
        <w:t>countenance</w:t>
      </w:r>
      <w:r w:rsidR="00EE4FC3">
        <w:t xml:space="preserve"> </w:t>
      </w:r>
      <w:r w:rsidR="00610ADA" w:rsidRPr="00382917">
        <w:t>of</w:t>
      </w:r>
      <w:r w:rsidR="00EE4FC3">
        <w:t xml:space="preserve"> </w:t>
      </w:r>
      <w:r w:rsidR="00610ADA" w:rsidRPr="00382917">
        <w:t>the</w:t>
      </w:r>
      <w:r w:rsidR="00EE4FC3">
        <w:t xml:space="preserve"> </w:t>
      </w:r>
      <w:r w:rsidR="00610ADA" w:rsidRPr="00382917">
        <w:t>Promised</w:t>
      </w:r>
      <w:r w:rsidR="00EE4FC3">
        <w:t xml:space="preserve"> </w:t>
      </w:r>
      <w:r w:rsidR="00610ADA" w:rsidRPr="00382917">
        <w:t>[One].</w:t>
      </w:r>
      <w:r w:rsidRPr="00382917">
        <w:t>’</w:t>
      </w:r>
    </w:p>
    <w:p w:rsidR="00610ADA" w:rsidRPr="00382917" w:rsidRDefault="009C713D" w:rsidP="00900F24">
      <w:pPr>
        <w:pStyle w:val="Text"/>
      </w:pPr>
      <w:r w:rsidRPr="00382917">
        <w:t>“</w:t>
      </w:r>
      <w:r w:rsidR="00610ADA" w:rsidRPr="00382917">
        <w:t>I</w:t>
      </w:r>
      <w:r w:rsidR="00EE4FC3">
        <w:t xml:space="preserve"> </w:t>
      </w:r>
      <w:r w:rsidR="00610ADA" w:rsidRPr="00382917">
        <w:t>recalled</w:t>
      </w:r>
      <w:r w:rsidR="00EE4FC3">
        <w:t xml:space="preserve"> </w:t>
      </w:r>
      <w:r w:rsidR="00610ADA" w:rsidRPr="00382917">
        <w:t>instantly</w:t>
      </w:r>
      <w:r w:rsidR="00EE4FC3">
        <w:t xml:space="preserve"> </w:t>
      </w:r>
      <w:r w:rsidR="00610ADA" w:rsidRPr="00382917">
        <w:t>the</w:t>
      </w:r>
      <w:r w:rsidR="00EE4FC3">
        <w:t xml:space="preserve"> </w:t>
      </w:r>
      <w:r w:rsidR="00610ADA" w:rsidRPr="00382917">
        <w:t>promise</w:t>
      </w:r>
      <w:r w:rsidR="00EE4FC3">
        <w:t xml:space="preserve"> </w:t>
      </w:r>
      <w:r w:rsidR="00610ADA" w:rsidRPr="00382917">
        <w:t>I</w:t>
      </w:r>
      <w:r w:rsidR="00EE4FC3">
        <w:t xml:space="preserve"> </w:t>
      </w:r>
      <w:r w:rsidR="00610ADA" w:rsidRPr="00382917">
        <w:t>had</w:t>
      </w:r>
      <w:r w:rsidR="00EE4FC3">
        <w:t xml:space="preserve"> </w:t>
      </w:r>
      <w:r w:rsidR="00610ADA" w:rsidRPr="00382917">
        <w:t>been</w:t>
      </w:r>
      <w:r w:rsidR="00EE4FC3">
        <w:t xml:space="preserve"> </w:t>
      </w:r>
      <w:r w:rsidR="00610ADA" w:rsidRPr="00382917">
        <w:t>given</w:t>
      </w:r>
      <w:r w:rsidR="00EE4FC3">
        <w:t xml:space="preserve"> </w:t>
      </w:r>
      <w:r w:rsidR="00610ADA" w:rsidRPr="00382917">
        <w:t>by</w:t>
      </w:r>
      <w:r w:rsidR="00EE4FC3">
        <w:t xml:space="preserve"> </w:t>
      </w:r>
      <w:r w:rsidR="00610ADA" w:rsidRPr="00382917">
        <w:t>the</w:t>
      </w:r>
      <w:r w:rsidR="00EE4FC3">
        <w:t xml:space="preserve"> </w:t>
      </w:r>
      <w:r w:rsidR="00610ADA" w:rsidRPr="00382917">
        <w:t>Báb,</w:t>
      </w:r>
      <w:r w:rsidR="00EE4FC3">
        <w:t xml:space="preserve"> </w:t>
      </w:r>
      <w:r w:rsidR="00610ADA" w:rsidRPr="00382917">
        <w:t>a</w:t>
      </w:r>
      <w:r w:rsidR="00EE4FC3">
        <w:t xml:space="preserve"> </w:t>
      </w:r>
      <w:r w:rsidR="00610ADA" w:rsidRPr="00382917">
        <w:t>secret</w:t>
      </w:r>
      <w:r w:rsidR="00EE4FC3">
        <w:t xml:space="preserve"> </w:t>
      </w:r>
      <w:r w:rsidR="00610ADA" w:rsidRPr="00382917">
        <w:t>which</w:t>
      </w:r>
      <w:r w:rsidR="00EE4FC3">
        <w:t xml:space="preserve"> </w:t>
      </w:r>
      <w:r w:rsidR="00610ADA" w:rsidRPr="00382917">
        <w:t>I</w:t>
      </w:r>
      <w:r w:rsidR="00EE4FC3">
        <w:t xml:space="preserve"> </w:t>
      </w:r>
      <w:r w:rsidR="00610ADA" w:rsidRPr="00382917">
        <w:t>had</w:t>
      </w:r>
      <w:r w:rsidR="00EE4FC3">
        <w:t xml:space="preserve"> </w:t>
      </w:r>
      <w:r w:rsidR="00610ADA" w:rsidRPr="00382917">
        <w:t>not</w:t>
      </w:r>
      <w:r w:rsidR="00EE4FC3">
        <w:t xml:space="preserve"> </w:t>
      </w:r>
      <w:r w:rsidR="00610ADA" w:rsidRPr="00382917">
        <w:t>shared</w:t>
      </w:r>
      <w:r w:rsidR="00EE4FC3">
        <w:t xml:space="preserve"> </w:t>
      </w:r>
      <w:r w:rsidR="00610ADA" w:rsidRPr="00382917">
        <w:t>with</w:t>
      </w:r>
      <w:r w:rsidR="00EE4FC3">
        <w:t xml:space="preserve"> </w:t>
      </w:r>
      <w:r w:rsidR="00610ADA" w:rsidRPr="00382917">
        <w:t>anyone</w:t>
      </w:r>
      <w:r w:rsidR="00330AF7">
        <w:t>.</w:t>
      </w:r>
      <w:r w:rsidR="00EE4FC3">
        <w:t xml:space="preserve">  </w:t>
      </w:r>
      <w:r w:rsidR="00610ADA" w:rsidRPr="00382917">
        <w:t>These</w:t>
      </w:r>
      <w:r w:rsidR="00EE4FC3">
        <w:t xml:space="preserve"> </w:t>
      </w:r>
      <w:r w:rsidR="00610ADA" w:rsidRPr="00382917">
        <w:t>words</w:t>
      </w:r>
      <w:r w:rsidR="00EE4FC3">
        <w:t xml:space="preserve"> </w:t>
      </w:r>
      <w:r w:rsidR="00610ADA" w:rsidRPr="00382917">
        <w:t>of</w:t>
      </w:r>
      <w:r w:rsidR="00EE4FC3">
        <w:t xml:space="preserve"> </w:t>
      </w:r>
      <w:r w:rsidR="00610ADA" w:rsidRPr="00382917">
        <w:t>Bahá</w:t>
      </w:r>
      <w:r w:rsidRPr="00382917">
        <w:t>’</w:t>
      </w:r>
      <w:r w:rsidR="00610ADA" w:rsidRPr="00382917">
        <w:t>u</w:t>
      </w:r>
      <w:r w:rsidRPr="00382917">
        <w:t>’</w:t>
      </w:r>
      <w:r w:rsidR="00610ADA" w:rsidRPr="00382917">
        <w:t>lláh</w:t>
      </w:r>
      <w:r w:rsidRPr="00382917">
        <w:t>’</w:t>
      </w:r>
      <w:r w:rsidR="00610ADA" w:rsidRPr="00382917">
        <w:t>s</w:t>
      </w:r>
      <w:r w:rsidR="00EE4FC3">
        <w:t xml:space="preserve"> </w:t>
      </w:r>
      <w:r w:rsidR="00610ADA" w:rsidRPr="00382917">
        <w:t>moved</w:t>
      </w:r>
      <w:r w:rsidR="00EE4FC3">
        <w:t xml:space="preserve"> </w:t>
      </w:r>
      <w:r w:rsidR="00610ADA" w:rsidRPr="00382917">
        <w:t>me</w:t>
      </w:r>
      <w:r w:rsidR="00EE4FC3">
        <w:t xml:space="preserve"> </w:t>
      </w:r>
      <w:r w:rsidR="00610ADA" w:rsidRPr="00382917">
        <w:t>to</w:t>
      </w:r>
      <w:r w:rsidR="00EE4FC3">
        <w:t xml:space="preserve"> </w:t>
      </w:r>
      <w:r w:rsidR="00610ADA" w:rsidRPr="00382917">
        <w:t>the</w:t>
      </w:r>
      <w:r w:rsidR="00EE4FC3">
        <w:t xml:space="preserve"> </w:t>
      </w:r>
      <w:r w:rsidR="00610ADA" w:rsidRPr="00382917">
        <w:t>depths</w:t>
      </w:r>
      <w:r w:rsidR="00EE4FC3">
        <w:t xml:space="preserve"> </w:t>
      </w:r>
      <w:r w:rsidR="00610ADA" w:rsidRPr="00382917">
        <w:t>of</w:t>
      </w:r>
      <w:r w:rsidR="00EE4FC3">
        <w:t xml:space="preserve"> </w:t>
      </w:r>
      <w:r w:rsidR="00610ADA" w:rsidRPr="00382917">
        <w:t>my</w:t>
      </w:r>
      <w:r w:rsidR="00EE4FC3">
        <w:t xml:space="preserve"> </w:t>
      </w:r>
      <w:r w:rsidR="00610ADA" w:rsidRPr="00382917">
        <w:t>being</w:t>
      </w:r>
      <w:r w:rsidR="00330AF7">
        <w:t>.</w:t>
      </w:r>
      <w:r w:rsidR="00EE4FC3">
        <w:t xml:space="preserve">  </w:t>
      </w:r>
      <w:r w:rsidR="00610ADA" w:rsidRPr="00382917">
        <w:t>I</w:t>
      </w:r>
      <w:r w:rsidR="00EE4FC3">
        <w:t xml:space="preserve"> </w:t>
      </w:r>
      <w:r w:rsidR="00610ADA" w:rsidRPr="00382917">
        <w:t>felt</w:t>
      </w:r>
      <w:r w:rsidR="00EE4FC3">
        <w:t xml:space="preserve"> </w:t>
      </w:r>
      <w:r w:rsidR="00610ADA" w:rsidRPr="00382917">
        <w:t>impelled</w:t>
      </w:r>
      <w:r w:rsidR="00EE4FC3">
        <w:t xml:space="preserve"> </w:t>
      </w:r>
      <w:r w:rsidR="00610ADA" w:rsidRPr="00382917">
        <w:t>to</w:t>
      </w:r>
      <w:r w:rsidR="00EE4FC3">
        <w:t xml:space="preserve"> </w:t>
      </w:r>
      <w:r w:rsidR="00610ADA" w:rsidRPr="00382917">
        <w:t>proclaim</w:t>
      </w:r>
      <w:r w:rsidR="00EE4FC3">
        <w:t xml:space="preserve"> </w:t>
      </w:r>
      <w:r w:rsidR="00610ADA" w:rsidRPr="00382917">
        <w:t>to</w:t>
      </w:r>
      <w:r w:rsidR="00EE4FC3">
        <w:t xml:space="preserve"> </w:t>
      </w:r>
      <w:r w:rsidR="00610ADA" w:rsidRPr="00382917">
        <w:t>a</w:t>
      </w:r>
      <w:r w:rsidR="00EE4FC3">
        <w:t xml:space="preserve"> </w:t>
      </w:r>
      <w:r w:rsidR="00610ADA" w:rsidRPr="00382917">
        <w:t>heedless</w:t>
      </w:r>
      <w:r w:rsidR="00EE4FC3">
        <w:t xml:space="preserve"> </w:t>
      </w:r>
      <w:r w:rsidR="00610ADA" w:rsidRPr="00382917">
        <w:t>people,</w:t>
      </w:r>
      <w:r w:rsidR="00EE4FC3">
        <w:t xml:space="preserve"> </w:t>
      </w:r>
      <w:r w:rsidR="00610ADA" w:rsidRPr="00382917">
        <w:t>at</w:t>
      </w:r>
      <w:r w:rsidR="00EE4FC3">
        <w:t xml:space="preserve"> </w:t>
      </w:r>
      <w:r w:rsidR="00610ADA" w:rsidRPr="00382917">
        <w:t>that</w:t>
      </w:r>
      <w:r w:rsidR="00EE4FC3">
        <w:t xml:space="preserve"> </w:t>
      </w:r>
      <w:r w:rsidR="00610ADA" w:rsidRPr="00382917">
        <w:t>very</w:t>
      </w:r>
      <w:r w:rsidR="00EE4FC3">
        <w:t xml:space="preserve"> </w:t>
      </w:r>
      <w:r w:rsidR="00610ADA" w:rsidRPr="00382917">
        <w:t>moment</w:t>
      </w:r>
      <w:r w:rsidR="00EE4FC3">
        <w:t xml:space="preserve"> </w:t>
      </w:r>
      <w:r w:rsidR="00610ADA" w:rsidRPr="00382917">
        <w:t>and</w:t>
      </w:r>
      <w:r w:rsidR="00EE4FC3">
        <w:t xml:space="preserve"> </w:t>
      </w:r>
      <w:r w:rsidR="00610ADA" w:rsidRPr="00382917">
        <w:t>with</w:t>
      </w:r>
      <w:r w:rsidR="00EE4FC3">
        <w:t xml:space="preserve"> </w:t>
      </w:r>
      <w:r w:rsidR="00610ADA" w:rsidRPr="00382917">
        <w:t>all</w:t>
      </w:r>
      <w:r w:rsidR="00EE4FC3">
        <w:t xml:space="preserve"> </w:t>
      </w:r>
      <w:r w:rsidR="00610ADA" w:rsidRPr="00382917">
        <w:t>my</w:t>
      </w:r>
      <w:r w:rsidR="00EE4FC3">
        <w:t xml:space="preserve"> </w:t>
      </w:r>
      <w:r w:rsidR="00610ADA" w:rsidRPr="00382917">
        <w:t>soul</w:t>
      </w:r>
      <w:r w:rsidR="00EE4FC3">
        <w:t xml:space="preserve"> </w:t>
      </w:r>
      <w:r w:rsidR="00610ADA" w:rsidRPr="00382917">
        <w:t>and</w:t>
      </w:r>
      <w:r w:rsidR="00EE4FC3">
        <w:t xml:space="preserve"> </w:t>
      </w:r>
      <w:r w:rsidR="00610ADA" w:rsidRPr="00382917">
        <w:t>power,</w:t>
      </w:r>
      <w:r w:rsidR="00EE4FC3">
        <w:t xml:space="preserve"> </w:t>
      </w:r>
      <w:r w:rsidR="00610ADA" w:rsidRPr="00382917">
        <w:t>the</w:t>
      </w:r>
      <w:r w:rsidR="00EE4FC3">
        <w:t xml:space="preserve"> </w:t>
      </w:r>
      <w:r w:rsidR="00610ADA" w:rsidRPr="00382917">
        <w:t>appearance</w:t>
      </w:r>
      <w:r w:rsidR="00EE4FC3">
        <w:t xml:space="preserve"> </w:t>
      </w:r>
      <w:r w:rsidR="00610ADA" w:rsidRPr="00382917">
        <w:t>of</w:t>
      </w:r>
      <w:r w:rsidR="00EE4FC3">
        <w:t xml:space="preserve"> </w:t>
      </w:r>
      <w:r w:rsidR="00610ADA" w:rsidRPr="00382917">
        <w:t>the</w:t>
      </w:r>
      <w:r w:rsidR="00EE4FC3">
        <w:t xml:space="preserve"> </w:t>
      </w:r>
      <w:r w:rsidR="00610ADA" w:rsidRPr="00382917">
        <w:t>One</w:t>
      </w:r>
      <w:r w:rsidR="00EE4FC3">
        <w:t xml:space="preserve"> </w:t>
      </w:r>
      <w:r w:rsidR="00610ADA" w:rsidRPr="00382917">
        <w:t>promised</w:t>
      </w:r>
      <w:r w:rsidR="00EE4FC3">
        <w:t xml:space="preserve"> </w:t>
      </w:r>
      <w:r w:rsidR="00610ADA" w:rsidRPr="00382917">
        <w:t>by</w:t>
      </w:r>
      <w:r w:rsidR="00EE4FC3">
        <w:t xml:space="preserve"> </w:t>
      </w:r>
      <w:r w:rsidR="00610ADA" w:rsidRPr="00382917">
        <w:t>the</w:t>
      </w:r>
      <w:r w:rsidR="00EE4FC3">
        <w:t xml:space="preserve"> </w:t>
      </w:r>
      <w:r w:rsidR="00610ADA" w:rsidRPr="00382917">
        <w:t>Báb.</w:t>
      </w:r>
    </w:p>
    <w:p w:rsidR="00610ADA" w:rsidRPr="00382917" w:rsidRDefault="009C713D" w:rsidP="00900F24">
      <w:pPr>
        <w:pStyle w:val="Text"/>
      </w:pPr>
      <w:r w:rsidRPr="00382917">
        <w:t>“</w:t>
      </w:r>
      <w:r w:rsidR="00610ADA" w:rsidRPr="00382917">
        <w:t>He</w:t>
      </w:r>
      <w:r w:rsidR="00EE4FC3">
        <w:t xml:space="preserve"> </w:t>
      </w:r>
      <w:r w:rsidR="00610ADA" w:rsidRPr="00382917">
        <w:t>[Bahá</w:t>
      </w:r>
      <w:r w:rsidRPr="00382917">
        <w:t>’</w:t>
      </w:r>
      <w:r w:rsidR="00610ADA" w:rsidRPr="00382917">
        <w:t>u</w:t>
      </w:r>
      <w:r w:rsidRPr="00382917">
        <w:t>’</w:t>
      </w:r>
      <w:r w:rsidR="00610ADA" w:rsidRPr="00382917">
        <w:t>lláh]</w:t>
      </w:r>
      <w:r w:rsidR="00EE4FC3">
        <w:t xml:space="preserve"> </w:t>
      </w:r>
      <w:r w:rsidR="00610ADA" w:rsidRPr="00382917">
        <w:t>bade</w:t>
      </w:r>
      <w:r w:rsidR="00EE4FC3">
        <w:t xml:space="preserve"> </w:t>
      </w:r>
      <w:r w:rsidR="00610ADA" w:rsidRPr="00382917">
        <w:t>me,</w:t>
      </w:r>
      <w:r w:rsidR="00EE4FC3">
        <w:t xml:space="preserve"> </w:t>
      </w:r>
      <w:r w:rsidR="00610ADA" w:rsidRPr="00382917">
        <w:t>however,</w:t>
      </w:r>
      <w:r w:rsidR="00EE4FC3">
        <w:t xml:space="preserve"> </w:t>
      </w:r>
      <w:r w:rsidR="00610ADA" w:rsidRPr="00382917">
        <w:t>repress</w:t>
      </w:r>
      <w:r w:rsidR="00EE4FC3">
        <w:t xml:space="preserve"> </w:t>
      </w:r>
      <w:r w:rsidR="00610ADA" w:rsidRPr="00382917">
        <w:t>my</w:t>
      </w:r>
      <w:r w:rsidR="00EE4FC3">
        <w:t xml:space="preserve"> </w:t>
      </w:r>
      <w:r w:rsidR="00610ADA" w:rsidRPr="00382917">
        <w:t>feelings</w:t>
      </w:r>
      <w:r w:rsidR="00EE4FC3">
        <w:t xml:space="preserve"> </w:t>
      </w:r>
      <w:r w:rsidR="00610ADA" w:rsidRPr="00382917">
        <w:t>and</w:t>
      </w:r>
      <w:r w:rsidR="00EE4FC3">
        <w:t xml:space="preserve"> </w:t>
      </w:r>
      <w:r w:rsidR="00610ADA" w:rsidRPr="00382917">
        <w:t>conceal</w:t>
      </w:r>
      <w:r w:rsidR="00EE4FC3">
        <w:t xml:space="preserve"> </w:t>
      </w:r>
      <w:r w:rsidR="00610ADA" w:rsidRPr="00382917">
        <w:t>my</w:t>
      </w:r>
      <w:r w:rsidR="00EE4FC3">
        <w:t xml:space="preserve"> </w:t>
      </w:r>
      <w:r w:rsidR="00610ADA" w:rsidRPr="00382917">
        <w:t>emotions</w:t>
      </w:r>
      <w:r w:rsidR="00330AF7">
        <w:t>.</w:t>
      </w:r>
      <w:r w:rsidR="00EE4FC3">
        <w:t xml:space="preserve">  </w:t>
      </w:r>
      <w:r w:rsidRPr="00382917">
        <w:t>‘</w:t>
      </w:r>
      <w:r w:rsidR="00610ADA" w:rsidRPr="00382917">
        <w:t>Not</w:t>
      </w:r>
      <w:r w:rsidR="00EE4FC3">
        <w:t xml:space="preserve"> </w:t>
      </w:r>
      <w:r w:rsidR="00610ADA" w:rsidRPr="00382917">
        <w:t>yet,</w:t>
      </w:r>
      <w:r w:rsidRPr="00382917">
        <w:t>’</w:t>
      </w:r>
      <w:r w:rsidR="00EE4FC3">
        <w:t xml:space="preserve"> </w:t>
      </w:r>
      <w:r w:rsidR="00610ADA" w:rsidRPr="00382917">
        <w:t>He</w:t>
      </w:r>
      <w:r w:rsidR="00EE4FC3">
        <w:t xml:space="preserve"> </w:t>
      </w:r>
      <w:r w:rsidR="00610ADA" w:rsidRPr="00382917">
        <w:t>cautioned</w:t>
      </w:r>
      <w:r w:rsidR="00330AF7">
        <w:t>.</w:t>
      </w:r>
      <w:r w:rsidR="00EE4FC3">
        <w:t xml:space="preserve">  </w:t>
      </w:r>
      <w:r w:rsidRPr="00382917">
        <w:t>‘</w:t>
      </w:r>
      <w:r w:rsidR="00610ADA" w:rsidRPr="00382917">
        <w:t>The</w:t>
      </w:r>
      <w:r w:rsidR="00EE4FC3">
        <w:t xml:space="preserve"> </w:t>
      </w:r>
      <w:r w:rsidR="00610ADA" w:rsidRPr="00382917">
        <w:t>appointed</w:t>
      </w:r>
      <w:r w:rsidR="00EE4FC3">
        <w:t xml:space="preserve"> </w:t>
      </w:r>
      <w:r w:rsidR="00610ADA" w:rsidRPr="00382917">
        <w:t>Hour</w:t>
      </w:r>
      <w:r w:rsidR="00EE4FC3">
        <w:t xml:space="preserve"> </w:t>
      </w:r>
      <w:r w:rsidR="00610ADA" w:rsidRPr="00382917">
        <w:t>is</w:t>
      </w:r>
      <w:r w:rsidR="00EE4FC3">
        <w:t xml:space="preserve"> </w:t>
      </w:r>
      <w:r w:rsidR="00610ADA" w:rsidRPr="00382917">
        <w:t>approaching</w:t>
      </w:r>
      <w:r w:rsidR="00330AF7">
        <w:t>.</w:t>
      </w:r>
      <w:r w:rsidR="00EE4FC3">
        <w:t xml:space="preserve">  </w:t>
      </w:r>
      <w:r w:rsidR="00610ADA" w:rsidRPr="00382917">
        <w:t>It</w:t>
      </w:r>
      <w:r w:rsidR="00EE4FC3">
        <w:t xml:space="preserve"> </w:t>
      </w:r>
      <w:r w:rsidR="00610ADA" w:rsidRPr="00382917">
        <w:t>has</w:t>
      </w:r>
      <w:r w:rsidR="00EE4FC3">
        <w:t xml:space="preserve"> </w:t>
      </w:r>
      <w:r w:rsidR="00610ADA" w:rsidRPr="00382917">
        <w:t>not</w:t>
      </w:r>
      <w:r w:rsidR="00EE4FC3">
        <w:t xml:space="preserve"> </w:t>
      </w:r>
      <w:r w:rsidR="00610ADA" w:rsidRPr="00382917">
        <w:t>yet</w:t>
      </w:r>
      <w:r w:rsidR="00EE4FC3">
        <w:t xml:space="preserve"> </w:t>
      </w:r>
      <w:r w:rsidR="00610ADA" w:rsidRPr="00382917">
        <w:t>struck</w:t>
      </w:r>
      <w:r w:rsidR="00330AF7">
        <w:t>.</w:t>
      </w:r>
      <w:r w:rsidR="00EE4FC3">
        <w:t xml:space="preserve">  </w:t>
      </w:r>
      <w:r w:rsidR="00610ADA" w:rsidRPr="00382917">
        <w:t>Rest</w:t>
      </w:r>
      <w:r w:rsidR="00EE4FC3">
        <w:t xml:space="preserve"> </w:t>
      </w:r>
      <w:r w:rsidR="00610ADA" w:rsidRPr="00382917">
        <w:t>assured</w:t>
      </w:r>
      <w:r w:rsidR="00EE4FC3">
        <w:t xml:space="preserve"> </w:t>
      </w:r>
      <w:r w:rsidR="00610ADA" w:rsidRPr="00382917">
        <w:t>and</w:t>
      </w:r>
      <w:r w:rsidR="00EE4FC3">
        <w:t xml:space="preserve"> </w:t>
      </w:r>
      <w:r w:rsidR="00610ADA" w:rsidRPr="00382917">
        <w:t>be</w:t>
      </w:r>
      <w:r w:rsidR="00EE4FC3">
        <w:t xml:space="preserve"> </w:t>
      </w:r>
      <w:r w:rsidR="00610ADA" w:rsidRPr="00382917">
        <w:t>patient.</w:t>
      </w:r>
      <w:r w:rsidRPr="00382917">
        <w:t>’</w:t>
      </w:r>
    </w:p>
    <w:p w:rsidR="00E13D49" w:rsidRPr="00382917" w:rsidRDefault="009C713D" w:rsidP="00BF1990">
      <w:pPr>
        <w:pStyle w:val="Text"/>
      </w:pPr>
      <w:r w:rsidRPr="00382917">
        <w:t>“</w:t>
      </w:r>
      <w:r w:rsidR="00610ADA" w:rsidRPr="00382917">
        <w:t>From</w:t>
      </w:r>
      <w:r w:rsidR="00EE4FC3">
        <w:t xml:space="preserve"> </w:t>
      </w:r>
      <w:r w:rsidR="00610ADA" w:rsidRPr="00382917">
        <w:t>that</w:t>
      </w:r>
      <w:r w:rsidR="00EE4FC3">
        <w:t xml:space="preserve"> </w:t>
      </w:r>
      <w:r w:rsidR="00610ADA" w:rsidRPr="00382917">
        <w:t>moment</w:t>
      </w:r>
      <w:r w:rsidR="00EE4FC3">
        <w:t xml:space="preserve"> </w:t>
      </w:r>
      <w:r w:rsidR="00610ADA" w:rsidRPr="00382917">
        <w:t>on</w:t>
      </w:r>
      <w:r w:rsidR="00EE4FC3">
        <w:t xml:space="preserve"> </w:t>
      </w:r>
      <w:r w:rsidR="00610ADA" w:rsidRPr="00382917">
        <w:t>my</w:t>
      </w:r>
      <w:r w:rsidR="00EE4FC3">
        <w:t xml:space="preserve"> </w:t>
      </w:r>
      <w:r w:rsidR="00610ADA" w:rsidRPr="00382917">
        <w:t>sorrows</w:t>
      </w:r>
      <w:r w:rsidR="00EE4FC3">
        <w:t xml:space="preserve"> </w:t>
      </w:r>
      <w:r w:rsidR="00610ADA" w:rsidRPr="00382917">
        <w:t>vanished</w:t>
      </w:r>
      <w:r w:rsidR="00330AF7">
        <w:t>.</w:t>
      </w:r>
      <w:r w:rsidR="00EE4FC3">
        <w:t xml:space="preserve">  </w:t>
      </w:r>
      <w:r w:rsidR="00610ADA" w:rsidRPr="00382917">
        <w:t>My</w:t>
      </w:r>
      <w:r w:rsidR="00EE4FC3">
        <w:t xml:space="preserve"> </w:t>
      </w:r>
      <w:r w:rsidR="00610ADA" w:rsidRPr="00382917">
        <w:t>soul</w:t>
      </w:r>
      <w:r w:rsidR="00EE4FC3">
        <w:t xml:space="preserve"> </w:t>
      </w:r>
      <w:r w:rsidR="00610ADA" w:rsidRPr="00382917">
        <w:t>was</w:t>
      </w:r>
      <w:r w:rsidR="00EE4FC3">
        <w:t xml:space="preserve"> </w:t>
      </w:r>
      <w:r w:rsidR="00610ADA" w:rsidRPr="00382917">
        <w:t>flooded</w:t>
      </w:r>
      <w:r w:rsidR="00EE4FC3">
        <w:t xml:space="preserve"> </w:t>
      </w:r>
      <w:r w:rsidR="00610ADA" w:rsidRPr="00382917">
        <w:t>with</w:t>
      </w:r>
      <w:r w:rsidR="00EE4FC3">
        <w:t xml:space="preserve"> </w:t>
      </w:r>
      <w:r w:rsidR="00610ADA" w:rsidRPr="00382917">
        <w:t>joy</w:t>
      </w:r>
      <w:r w:rsidR="00330AF7">
        <w:t>.</w:t>
      </w:r>
      <w:r w:rsidR="00EE4FC3">
        <w:t xml:space="preserve">  </w:t>
      </w:r>
      <w:r w:rsidR="00610ADA" w:rsidRPr="00382917">
        <w:t>In</w:t>
      </w:r>
      <w:r w:rsidR="00EE4FC3">
        <w:t xml:space="preserve"> </w:t>
      </w:r>
      <w:r w:rsidR="00610ADA" w:rsidRPr="00382917">
        <w:t>those</w:t>
      </w:r>
      <w:r w:rsidR="00EE4FC3">
        <w:t xml:space="preserve"> </w:t>
      </w:r>
      <w:r w:rsidR="00610ADA" w:rsidRPr="00382917">
        <w:t>days</w:t>
      </w:r>
      <w:r w:rsidR="00EE4FC3">
        <w:t xml:space="preserve"> </w:t>
      </w:r>
      <w:r w:rsidR="00610ADA" w:rsidRPr="00382917">
        <w:t>I</w:t>
      </w:r>
      <w:r w:rsidR="00EE4FC3">
        <w:t xml:space="preserve"> </w:t>
      </w:r>
      <w:r w:rsidR="00610ADA" w:rsidRPr="00382917">
        <w:t>was</w:t>
      </w:r>
      <w:r w:rsidR="00EE4FC3">
        <w:t xml:space="preserve"> </w:t>
      </w:r>
      <w:r w:rsidR="00610ADA" w:rsidRPr="00382917">
        <w:t>so</w:t>
      </w:r>
      <w:r w:rsidR="00EE4FC3">
        <w:t xml:space="preserve"> </w:t>
      </w:r>
      <w:r w:rsidR="00610ADA" w:rsidRPr="00382917">
        <w:t>poor</w:t>
      </w:r>
      <w:r w:rsidR="00EE4FC3">
        <w:t xml:space="preserve"> </w:t>
      </w:r>
      <w:r w:rsidR="00610ADA" w:rsidRPr="00382917">
        <w:t>that</w:t>
      </w:r>
      <w:r w:rsidR="00EE4FC3">
        <w:t xml:space="preserve"> </w:t>
      </w:r>
      <w:r w:rsidR="00610ADA" w:rsidRPr="00382917">
        <w:t>most</w:t>
      </w:r>
      <w:r w:rsidR="00EE4FC3">
        <w:t xml:space="preserve"> </w:t>
      </w:r>
      <w:r w:rsidR="00610ADA" w:rsidRPr="00382917">
        <w:t>of</w:t>
      </w:r>
      <w:r w:rsidR="00EE4FC3">
        <w:t xml:space="preserve"> </w:t>
      </w:r>
      <w:r w:rsidR="00610ADA" w:rsidRPr="00382917">
        <w:t>the</w:t>
      </w:r>
      <w:r w:rsidR="00EE4FC3">
        <w:t xml:space="preserve"> </w:t>
      </w:r>
      <w:r w:rsidR="00610ADA" w:rsidRPr="00382917">
        <w:t>time</w:t>
      </w:r>
      <w:r w:rsidR="00EE4FC3">
        <w:t xml:space="preserve"> </w:t>
      </w:r>
      <w:r w:rsidR="00610ADA" w:rsidRPr="00382917">
        <w:t>I</w:t>
      </w:r>
      <w:r w:rsidR="00EE4FC3">
        <w:t xml:space="preserve"> </w:t>
      </w:r>
      <w:r w:rsidR="00610ADA" w:rsidRPr="00382917">
        <w:t>hungered</w:t>
      </w:r>
      <w:r w:rsidR="00EE4FC3">
        <w:t xml:space="preserve"> </w:t>
      </w:r>
      <w:r w:rsidR="00610ADA" w:rsidRPr="00382917">
        <w:t>for</w:t>
      </w:r>
      <w:r w:rsidR="00EE4FC3">
        <w:t xml:space="preserve"> </w:t>
      </w:r>
      <w:r w:rsidR="00610ADA" w:rsidRPr="00382917">
        <w:t>food</w:t>
      </w:r>
      <w:r w:rsidR="00330AF7">
        <w:t>.</w:t>
      </w:r>
      <w:r w:rsidR="00EE4FC3">
        <w:t xml:space="preserve">  </w:t>
      </w:r>
      <w:r w:rsidR="00610ADA" w:rsidRPr="00382917">
        <w:t>Now</w:t>
      </w:r>
      <w:r w:rsidR="00EE4FC3">
        <w:t xml:space="preserve"> </w:t>
      </w:r>
      <w:r w:rsidR="00610ADA" w:rsidRPr="00382917">
        <w:t>I</w:t>
      </w:r>
      <w:r w:rsidR="00EE4FC3">
        <w:t xml:space="preserve"> </w:t>
      </w:r>
      <w:r w:rsidR="00610ADA" w:rsidRPr="00382917">
        <w:t>felt</w:t>
      </w:r>
      <w:r w:rsidR="00EE4FC3">
        <w:t xml:space="preserve"> </w:t>
      </w:r>
      <w:r w:rsidR="00610ADA" w:rsidRPr="00382917">
        <w:t>so</w:t>
      </w:r>
      <w:r w:rsidR="00EE4FC3">
        <w:t xml:space="preserve"> </w:t>
      </w:r>
      <w:r w:rsidR="00610ADA" w:rsidRPr="00382917">
        <w:t>rich</w:t>
      </w:r>
      <w:r w:rsidR="00EE4FC3">
        <w:t xml:space="preserve"> </w:t>
      </w:r>
      <w:r w:rsidR="00610ADA" w:rsidRPr="00382917">
        <w:t>that</w:t>
      </w:r>
      <w:r w:rsidR="00EE4FC3">
        <w:t xml:space="preserve"> </w:t>
      </w:r>
      <w:r w:rsidR="00610ADA" w:rsidRPr="00382917">
        <w:t>all</w:t>
      </w:r>
      <w:r w:rsidR="00EE4FC3">
        <w:t xml:space="preserve"> </w:t>
      </w:r>
      <w:r w:rsidR="00610ADA" w:rsidRPr="00382917">
        <w:t>the</w:t>
      </w:r>
      <w:r w:rsidR="00EE4FC3">
        <w:t xml:space="preserve"> </w:t>
      </w:r>
      <w:r w:rsidR="00610ADA" w:rsidRPr="00382917">
        <w:t>treasures</w:t>
      </w:r>
      <w:r w:rsidR="00EE4FC3">
        <w:t xml:space="preserve"> </w:t>
      </w:r>
      <w:r w:rsidR="00610ADA" w:rsidRPr="00382917">
        <w:t>of</w:t>
      </w:r>
      <w:r w:rsidR="00EE4FC3">
        <w:t xml:space="preserve"> </w:t>
      </w:r>
      <w:r w:rsidR="00610ADA" w:rsidRPr="00382917">
        <w:t>the</w:t>
      </w:r>
      <w:r w:rsidR="00EE4FC3">
        <w:t xml:space="preserve"> </w:t>
      </w:r>
      <w:r w:rsidR="00610ADA" w:rsidRPr="00382917">
        <w:t>earth</w:t>
      </w:r>
      <w:r w:rsidR="00EE4FC3">
        <w:t xml:space="preserve"> </w:t>
      </w:r>
      <w:r w:rsidR="00610ADA" w:rsidRPr="00382917">
        <w:t>melted</w:t>
      </w:r>
      <w:r w:rsidR="00EE4FC3">
        <w:t xml:space="preserve"> </w:t>
      </w:r>
      <w:r w:rsidR="00610ADA" w:rsidRPr="00382917">
        <w:t>away</w:t>
      </w:r>
      <w:r w:rsidR="00EE4FC3">
        <w:t xml:space="preserve"> </w:t>
      </w:r>
      <w:r w:rsidR="00610ADA" w:rsidRPr="00382917">
        <w:t>into</w:t>
      </w:r>
      <w:r w:rsidR="00EE4FC3">
        <w:t xml:space="preserve"> </w:t>
      </w:r>
      <w:r w:rsidR="00610ADA" w:rsidRPr="00382917">
        <w:t>nothingness</w:t>
      </w:r>
      <w:r w:rsidR="00EE4FC3">
        <w:t xml:space="preserve"> </w:t>
      </w:r>
      <w:r w:rsidR="00610ADA" w:rsidRPr="00382917">
        <w:t>when</w:t>
      </w:r>
      <w:r w:rsidR="00EE4FC3">
        <w:t xml:space="preserve"> </w:t>
      </w:r>
      <w:r w:rsidR="00610ADA" w:rsidRPr="00382917">
        <w:t>compared</w:t>
      </w:r>
      <w:r w:rsidR="00EE4FC3">
        <w:t xml:space="preserve"> </w:t>
      </w:r>
      <w:r w:rsidR="00610ADA" w:rsidRPr="00382917">
        <w:t>with</w:t>
      </w:r>
      <w:r w:rsidR="00EE4FC3">
        <w:t xml:space="preserve"> </w:t>
      </w:r>
      <w:r w:rsidR="00610ADA" w:rsidRPr="00382917">
        <w:t>that</w:t>
      </w:r>
      <w:r w:rsidR="00EE4FC3">
        <w:t xml:space="preserve"> </w:t>
      </w:r>
      <w:r w:rsidR="00610ADA" w:rsidRPr="00382917">
        <w:t>which</w:t>
      </w:r>
      <w:r w:rsidR="00EE4FC3">
        <w:t xml:space="preserve"> </w:t>
      </w:r>
      <w:r w:rsidR="00610ADA" w:rsidRPr="00382917">
        <w:t>I</w:t>
      </w:r>
      <w:r w:rsidR="00EE4FC3">
        <w:t xml:space="preserve"> </w:t>
      </w:r>
      <w:r w:rsidR="00610ADA" w:rsidRPr="00382917">
        <w:t>already</w:t>
      </w:r>
      <w:r w:rsidR="00EE4FC3">
        <w:t xml:space="preserve"> </w:t>
      </w:r>
      <w:r w:rsidR="00610ADA" w:rsidRPr="00382917">
        <w:t>possessed.</w:t>
      </w:r>
      <w:r w:rsidRPr="00382917">
        <w:t>”</w:t>
      </w:r>
      <w:r w:rsidR="00BF1990">
        <w:rPr>
          <w:rStyle w:val="FootnoteReference"/>
        </w:rPr>
        <w:footnoteReference w:id="203"/>
      </w:r>
    </w:p>
    <w:p w:rsidR="00610ADA" w:rsidRPr="00382917" w:rsidRDefault="00610ADA" w:rsidP="0040329F">
      <w:pPr>
        <w:pStyle w:val="Text"/>
      </w:pPr>
      <w:r w:rsidRPr="00382917">
        <w:t>From</w:t>
      </w:r>
      <w:r w:rsidR="00EE4FC3">
        <w:t xml:space="preserve"> </w:t>
      </w:r>
      <w:r w:rsidRPr="00382917">
        <w:t>that</w:t>
      </w:r>
      <w:r w:rsidR="00EE4FC3">
        <w:t xml:space="preserve"> </w:t>
      </w:r>
      <w:r w:rsidRPr="00382917">
        <w:t>day</w:t>
      </w:r>
      <w:r w:rsidR="00EE4FC3">
        <w:t xml:space="preserve"> </w:t>
      </w:r>
      <w:r w:rsidRPr="00382917">
        <w:t>[in</w:t>
      </w:r>
      <w:r w:rsidR="00EE4FC3">
        <w:t xml:space="preserve"> </w:t>
      </w:r>
      <w:r w:rsidRPr="00382917">
        <w:t>August,</w:t>
      </w:r>
      <w:r w:rsidR="00EE4FC3">
        <w:t xml:space="preserve"> </w:t>
      </w:r>
      <w:r w:rsidRPr="00382917">
        <w:t>1851]</w:t>
      </w:r>
      <w:r w:rsidR="00EE4FC3">
        <w:t xml:space="preserve"> </w:t>
      </w:r>
      <w:r w:rsidR="008A073E" w:rsidRPr="00382917">
        <w:rPr>
          <w:u w:val="single"/>
        </w:rPr>
        <w:t>Sh</w:t>
      </w:r>
      <w:r w:rsidR="008A073E" w:rsidRPr="00382917">
        <w:t>ay</w:t>
      </w:r>
      <w:r w:rsidR="008A073E" w:rsidRPr="00382917">
        <w:rPr>
          <w:u w:val="single"/>
        </w:rPr>
        <w:t>kh</w:t>
      </w:r>
      <w:r w:rsidR="00EE4FC3">
        <w:t xml:space="preserve"> </w:t>
      </w:r>
      <w:r w:rsidR="0040329F" w:rsidRPr="0040329F">
        <w:t>Ḥ</w:t>
      </w:r>
      <w:r w:rsidRPr="00382917">
        <w:t>asan</w:t>
      </w:r>
      <w:r w:rsidR="00EE4FC3">
        <w:t xml:space="preserve"> </w:t>
      </w:r>
      <w:r w:rsidRPr="00382917">
        <w:t>became</w:t>
      </w:r>
      <w:r w:rsidR="00EE4FC3">
        <w:t xml:space="preserve"> </w:t>
      </w:r>
      <w:r w:rsidRPr="00382917">
        <w:t>magnetized</w:t>
      </w:r>
      <w:r w:rsidR="00EE4FC3">
        <w:t xml:space="preserve"> </w:t>
      </w:r>
      <w:r w:rsidRPr="00382917">
        <w:t>by</w:t>
      </w:r>
      <w:r w:rsidR="00EE4FC3">
        <w:t xml:space="preserve"> </w:t>
      </w:r>
      <w:r w:rsidRPr="00382917">
        <w:t>the</w:t>
      </w:r>
      <w:r w:rsidR="00EE4FC3">
        <w:t xml:space="preserve"> </w:t>
      </w:r>
      <w:r w:rsidRPr="00382917">
        <w:t>charm</w:t>
      </w:r>
      <w:r w:rsidR="00EE4FC3">
        <w:t xml:space="preserve"> </w:t>
      </w:r>
      <w:r w:rsidRPr="00382917">
        <w:t>of</w:t>
      </w:r>
      <w:r w:rsidR="00EE4FC3">
        <w:t xml:space="preserve"> </w:t>
      </w:r>
      <w:r w:rsidRPr="00382917">
        <w:t>his</w:t>
      </w:r>
      <w:r w:rsidR="00EE4FC3">
        <w:t xml:space="preserve"> </w:t>
      </w:r>
      <w:r w:rsidRPr="00382917">
        <w:t>newly</w:t>
      </w:r>
      <w:r w:rsidR="00EE4FC3">
        <w:t xml:space="preserve"> </w:t>
      </w:r>
      <w:r w:rsidRPr="00382917">
        <w:t>found</w:t>
      </w:r>
      <w:r w:rsidR="00EE4FC3">
        <w:t xml:space="preserve"> </w:t>
      </w:r>
      <w:r w:rsidRPr="00382917">
        <w:t>Master,</w:t>
      </w:r>
      <w:r w:rsidR="00EE4FC3">
        <w:t xml:space="preserve"> </w:t>
      </w:r>
      <w:r w:rsidRPr="00382917">
        <w:t>and,</w:t>
      </w:r>
      <w:r w:rsidR="00EE4FC3">
        <w:t xml:space="preserve"> </w:t>
      </w:r>
      <w:r w:rsidRPr="00382917">
        <w:t>but</w:t>
      </w:r>
      <w:r w:rsidR="00EE4FC3">
        <w:t xml:space="preserve"> </w:t>
      </w:r>
      <w:r w:rsidRPr="00382917">
        <w:t>for</w:t>
      </w:r>
      <w:r w:rsidR="00EE4FC3">
        <w:t xml:space="preserve"> </w:t>
      </w:r>
      <w:r w:rsidRPr="00382917">
        <w:t>the</w:t>
      </w:r>
      <w:r w:rsidR="00EE4FC3">
        <w:t xml:space="preserve"> </w:t>
      </w:r>
      <w:r w:rsidRPr="00382917">
        <w:t>restraint</w:t>
      </w:r>
      <w:r w:rsidR="00EE4FC3">
        <w:t xml:space="preserve"> </w:t>
      </w:r>
      <w:r w:rsidRPr="00382917">
        <w:t>of</w:t>
      </w:r>
      <w:r w:rsidR="00EE4FC3">
        <w:t xml:space="preserve"> </w:t>
      </w:r>
      <w:r w:rsidRPr="00382917">
        <w:t>Bahá</w:t>
      </w:r>
      <w:r w:rsidR="009C713D" w:rsidRPr="00382917">
        <w:t>’</w:t>
      </w:r>
      <w:r w:rsidRPr="00382917">
        <w:t>u</w:t>
      </w:r>
      <w:r w:rsidR="009C713D" w:rsidRPr="00382917">
        <w:t>’</w:t>
      </w:r>
      <w:r w:rsidRPr="00382917">
        <w:t>lláh,</w:t>
      </w:r>
      <w:r w:rsidR="00EE4FC3">
        <w:t xml:space="preserve"> </w:t>
      </w:r>
      <w:r w:rsidRPr="00382917">
        <w:t>would</w:t>
      </w:r>
      <w:r w:rsidR="00EE4FC3">
        <w:t xml:space="preserve"> </w:t>
      </w:r>
      <w:r w:rsidRPr="00382917">
        <w:t>have</w:t>
      </w:r>
      <w:r w:rsidR="00EE4FC3">
        <w:t xml:space="preserve"> </w:t>
      </w:r>
      <w:r w:rsidRPr="00382917">
        <w:t>proclaimed</w:t>
      </w:r>
      <w:r w:rsidR="00EE4FC3">
        <w:t xml:space="preserve"> </w:t>
      </w:r>
      <w:r w:rsidRPr="00382917">
        <w:t>to</w:t>
      </w:r>
      <w:r w:rsidR="00EE4FC3">
        <w:t xml:space="preserve"> </w:t>
      </w:r>
      <w:r w:rsidRPr="00382917">
        <w:t>all</w:t>
      </w:r>
      <w:r w:rsidR="00EE4FC3">
        <w:t xml:space="preserve"> </w:t>
      </w:r>
      <w:r w:rsidRPr="00382917">
        <w:t>that</w:t>
      </w:r>
      <w:r w:rsidR="00EE4FC3">
        <w:t xml:space="preserve"> </w:t>
      </w:r>
      <w:r w:rsidRPr="00382917">
        <w:t>the</w:t>
      </w:r>
      <w:r w:rsidR="00EE4FC3">
        <w:t xml:space="preserve"> </w:t>
      </w:r>
      <w:r w:rsidRPr="00382917">
        <w:t>One</w:t>
      </w:r>
      <w:r w:rsidR="00EE4FC3">
        <w:t xml:space="preserve"> </w:t>
      </w:r>
      <w:r w:rsidRPr="00382917">
        <w:t>promised</w:t>
      </w:r>
      <w:r w:rsidR="00EE4FC3">
        <w:t xml:space="preserve"> </w:t>
      </w:r>
      <w:r w:rsidRPr="00382917">
        <w:t>by</w:t>
      </w:r>
      <w:r w:rsidR="00EE4FC3">
        <w:t xml:space="preserve"> </w:t>
      </w:r>
      <w:r w:rsidRPr="00382917">
        <w:t>the</w:t>
      </w:r>
      <w:r w:rsidR="00EE4FC3">
        <w:t xml:space="preserve"> </w:t>
      </w:r>
      <w:r w:rsidRPr="00382917">
        <w:t>Báb</w:t>
      </w:r>
      <w:r w:rsidR="00EE4FC3">
        <w:t xml:space="preserve"> </w:t>
      </w:r>
      <w:r w:rsidRPr="00382917">
        <w:t>had</w:t>
      </w:r>
      <w:r w:rsidR="00EE4FC3">
        <w:t xml:space="preserve"> </w:t>
      </w:r>
      <w:r w:rsidRPr="00382917">
        <w:t>already</w:t>
      </w:r>
      <w:r w:rsidR="00EE4FC3">
        <w:t xml:space="preserve"> </w:t>
      </w:r>
      <w:r w:rsidRPr="00382917">
        <w:t>appeared,</w:t>
      </w:r>
      <w:r w:rsidR="00EE4FC3">
        <w:t xml:space="preserve"> </w:t>
      </w:r>
      <w:r w:rsidRPr="00382917">
        <w:t>and</w:t>
      </w:r>
      <w:r w:rsidR="00EE4FC3">
        <w:t xml:space="preserve"> </w:t>
      </w:r>
      <w:r w:rsidRPr="00382917">
        <w:t>that</w:t>
      </w:r>
      <w:r w:rsidR="00EE4FC3">
        <w:t xml:space="preserve"> </w:t>
      </w:r>
      <w:r w:rsidRPr="00382917">
        <w:t>they</w:t>
      </w:r>
      <w:r w:rsidR="00EE4FC3">
        <w:t xml:space="preserve"> </w:t>
      </w:r>
      <w:r w:rsidRPr="00382917">
        <w:t>should</w:t>
      </w:r>
      <w:r w:rsidR="00EE4FC3">
        <w:t xml:space="preserve"> </w:t>
      </w:r>
      <w:r w:rsidRPr="00382917">
        <w:t>now</w:t>
      </w:r>
      <w:r w:rsidR="00EE4FC3">
        <w:t xml:space="preserve"> </w:t>
      </w:r>
      <w:r w:rsidRPr="00382917">
        <w:t>shed</w:t>
      </w:r>
      <w:r w:rsidR="00EE4FC3">
        <w:t xml:space="preserve"> </w:t>
      </w:r>
      <w:r w:rsidRPr="00382917">
        <w:t>the</w:t>
      </w:r>
      <w:r w:rsidR="00EE4FC3">
        <w:t xml:space="preserve"> </w:t>
      </w:r>
      <w:r w:rsidRPr="00382917">
        <w:t>agonizing</w:t>
      </w:r>
      <w:r w:rsidR="00EE4FC3">
        <w:t xml:space="preserve"> </w:t>
      </w:r>
      <w:r w:rsidRPr="00382917">
        <w:t>sorrow</w:t>
      </w:r>
      <w:r w:rsidR="00EE4FC3">
        <w:t xml:space="preserve"> </w:t>
      </w:r>
      <w:r w:rsidRPr="00382917">
        <w:t>they</w:t>
      </w:r>
      <w:r w:rsidR="00EE4FC3">
        <w:t xml:space="preserve"> </w:t>
      </w:r>
      <w:r w:rsidRPr="00382917">
        <w:t>felt</w:t>
      </w:r>
      <w:r w:rsidR="00EE4FC3">
        <w:t xml:space="preserve"> </w:t>
      </w:r>
      <w:r w:rsidRPr="00382917">
        <w:t>because</w:t>
      </w:r>
      <w:r w:rsidR="00EE4FC3">
        <w:t xml:space="preserve"> </w:t>
      </w:r>
      <w:r w:rsidRPr="00382917">
        <w:t>of</w:t>
      </w:r>
      <w:r w:rsidR="00EE4FC3">
        <w:t xml:space="preserve"> </w:t>
      </w:r>
      <w:r w:rsidRPr="00382917">
        <w:t>the</w:t>
      </w:r>
      <w:r w:rsidR="00EE4FC3">
        <w:t xml:space="preserve"> </w:t>
      </w:r>
      <w:r w:rsidRPr="00382917">
        <w:t>Báb</w:t>
      </w:r>
      <w:r w:rsidR="009C713D" w:rsidRPr="00382917">
        <w:t>’</w:t>
      </w:r>
      <w:r w:rsidRPr="00382917">
        <w:t>s</w:t>
      </w:r>
      <w:r w:rsidR="00EE4FC3">
        <w:t xml:space="preserve"> </w:t>
      </w:r>
      <w:r w:rsidRPr="00382917">
        <w:t>departure.</w:t>
      </w:r>
    </w:p>
    <w:p w:rsidR="00610ADA" w:rsidRPr="00382917" w:rsidRDefault="00610ADA" w:rsidP="00900F24">
      <w:pPr>
        <w:pStyle w:val="Text"/>
      </w:pPr>
      <w:r w:rsidRPr="00382917">
        <w:t>In</w:t>
      </w:r>
      <w:r w:rsidR="00EE4FC3">
        <w:t xml:space="preserve"> </w:t>
      </w:r>
      <w:r w:rsidRPr="00382917">
        <w:t>the</w:t>
      </w:r>
      <w:r w:rsidR="00EE4FC3">
        <w:t xml:space="preserve"> </w:t>
      </w:r>
      <w:r w:rsidRPr="00382917">
        <w:t>city</w:t>
      </w:r>
      <w:r w:rsidR="00EE4FC3">
        <w:t xml:space="preserve"> </w:t>
      </w:r>
      <w:r w:rsidRPr="00382917">
        <w:t>of</w:t>
      </w:r>
      <w:r w:rsidR="00EE4FC3">
        <w:t xml:space="preserve"> </w:t>
      </w:r>
      <w:r w:rsidR="00664069" w:rsidRPr="00382917">
        <w:t>Ba</w:t>
      </w:r>
      <w:r w:rsidR="00664069" w:rsidRPr="00664069">
        <w:rPr>
          <w:u w:val="single"/>
        </w:rPr>
        <w:t>gh</w:t>
      </w:r>
      <w:r w:rsidR="00664069" w:rsidRPr="00382917">
        <w:t>d</w:t>
      </w:r>
      <w:r w:rsidR="00664069" w:rsidRPr="00664069">
        <w:t>á</w:t>
      </w:r>
      <w:r w:rsidR="00664069" w:rsidRPr="00382917">
        <w:t>d</w:t>
      </w:r>
      <w:r w:rsidRPr="00382917">
        <w:t>,</w:t>
      </w:r>
      <w:r w:rsidR="00EE4FC3">
        <w:t xml:space="preserve"> </w:t>
      </w:r>
      <w:r w:rsidRPr="00382917">
        <w:t>but</w:t>
      </w:r>
      <w:r w:rsidR="00EE4FC3">
        <w:t xml:space="preserve"> </w:t>
      </w:r>
      <w:r w:rsidRPr="00382917">
        <w:t>a</w:t>
      </w:r>
      <w:r w:rsidR="00EE4FC3">
        <w:t xml:space="preserve"> </w:t>
      </w:r>
      <w:r w:rsidRPr="00382917">
        <w:t>short</w:t>
      </w:r>
      <w:r w:rsidR="00EE4FC3">
        <w:t xml:space="preserve"> </w:t>
      </w:r>
      <w:r w:rsidRPr="00382917">
        <w:t>distance</w:t>
      </w:r>
      <w:r w:rsidR="00EE4FC3">
        <w:t xml:space="preserve"> </w:t>
      </w:r>
      <w:r w:rsidRPr="00382917">
        <w:t>away</w:t>
      </w:r>
      <w:r w:rsidR="00EE4FC3">
        <w:t xml:space="preserve"> </w:t>
      </w:r>
      <w:r w:rsidRPr="00382917">
        <w:t>from</w:t>
      </w:r>
      <w:r w:rsidR="00EE4FC3">
        <w:t xml:space="preserve"> </w:t>
      </w:r>
      <w:r w:rsidRPr="00382917">
        <w:t>Karbilá,</w:t>
      </w:r>
      <w:r w:rsidR="00EE4FC3">
        <w:t xml:space="preserve"> </w:t>
      </w:r>
      <w:r w:rsidRPr="00382917">
        <w:t>Bahá</w:t>
      </w:r>
      <w:r w:rsidR="009C713D" w:rsidRPr="00382917">
        <w:t>’</w:t>
      </w:r>
      <w:r w:rsidRPr="00382917">
        <w:t>u</w:t>
      </w:r>
      <w:r w:rsidR="009C713D" w:rsidRPr="00382917">
        <w:t>’</w:t>
      </w:r>
      <w:r w:rsidRPr="00382917">
        <w:t>lláh</w:t>
      </w:r>
      <w:r w:rsidR="00EE4FC3">
        <w:t xml:space="preserve"> </w:t>
      </w:r>
      <w:r w:rsidRPr="00382917">
        <w:t>was</w:t>
      </w:r>
      <w:r w:rsidR="00EE4FC3">
        <w:t xml:space="preserve"> </w:t>
      </w:r>
      <w:r w:rsidRPr="00382917">
        <w:t>soon</w:t>
      </w:r>
      <w:r w:rsidR="00EE4FC3">
        <w:t xml:space="preserve"> </w:t>
      </w:r>
      <w:r w:rsidRPr="00382917">
        <w:t>to</w:t>
      </w:r>
      <w:r w:rsidR="00EE4FC3">
        <w:t xml:space="preserve"> </w:t>
      </w:r>
      <w:r w:rsidRPr="00382917">
        <w:t>make</w:t>
      </w:r>
      <w:r w:rsidR="00EE4FC3">
        <w:t xml:space="preserve"> </w:t>
      </w:r>
      <w:r w:rsidRPr="00382917">
        <w:t>the</w:t>
      </w:r>
      <w:r w:rsidR="00EE4FC3">
        <w:t xml:space="preserve"> </w:t>
      </w:r>
      <w:r w:rsidRPr="00382917">
        <w:t>same</w:t>
      </w:r>
      <w:r w:rsidR="00EE4FC3">
        <w:t xml:space="preserve"> </w:t>
      </w:r>
      <w:r w:rsidRPr="00382917">
        <w:t>public</w:t>
      </w:r>
      <w:r w:rsidR="00EE4FC3">
        <w:t xml:space="preserve"> </w:t>
      </w:r>
      <w:r w:rsidRPr="00382917">
        <w:t>declaration</w:t>
      </w:r>
      <w:r w:rsidR="00EE4FC3">
        <w:t xml:space="preserve"> </w:t>
      </w:r>
      <w:r w:rsidRPr="00382917">
        <w:t>to</w:t>
      </w:r>
      <w:r w:rsidR="00EE4FC3">
        <w:t xml:space="preserve"> </w:t>
      </w:r>
      <w:r w:rsidRPr="00382917">
        <w:t>His</w:t>
      </w:r>
      <w:r w:rsidR="00EE4FC3">
        <w:t xml:space="preserve"> </w:t>
      </w:r>
      <w:r w:rsidRPr="00382917">
        <w:t>followers</w:t>
      </w:r>
      <w:r w:rsidR="00EE4FC3">
        <w:t xml:space="preserve"> </w:t>
      </w:r>
      <w:r w:rsidRPr="00382917">
        <w:t>that</w:t>
      </w:r>
      <w:r w:rsidR="00EE4FC3">
        <w:t xml:space="preserve"> </w:t>
      </w:r>
      <w:r w:rsidRPr="00382917">
        <w:t>the</w:t>
      </w:r>
      <w:r w:rsidR="00EE4FC3">
        <w:t xml:space="preserve"> </w:t>
      </w:r>
      <w:r w:rsidRPr="00382917">
        <w:t>Báb</w:t>
      </w:r>
      <w:r w:rsidR="00EE4FC3">
        <w:t xml:space="preserve"> </w:t>
      </w:r>
      <w:r w:rsidRPr="00382917">
        <w:t>had</w:t>
      </w:r>
      <w:r w:rsidR="00EE4FC3">
        <w:t xml:space="preserve"> </w:t>
      </w:r>
      <w:r w:rsidRPr="00382917">
        <w:t>made</w:t>
      </w:r>
      <w:r w:rsidR="00EE4FC3">
        <w:t xml:space="preserve"> </w:t>
      </w:r>
      <w:r w:rsidRPr="00382917">
        <w:t>to</w:t>
      </w:r>
      <w:r w:rsidR="00EE4FC3">
        <w:t xml:space="preserve"> </w:t>
      </w:r>
      <w:r w:rsidRPr="00382917">
        <w:t>His</w:t>
      </w:r>
      <w:r w:rsidR="00EE4FC3">
        <w:t xml:space="preserve"> </w:t>
      </w:r>
      <w:r w:rsidRPr="00382917">
        <w:t>disciples</w:t>
      </w:r>
      <w:r w:rsidR="00EE4FC3">
        <w:t xml:space="preserve"> </w:t>
      </w:r>
      <w:r w:rsidRPr="00382917">
        <w:t>in</w:t>
      </w:r>
      <w:r w:rsidR="00EE4FC3">
        <w:t xml:space="preserve"> </w:t>
      </w:r>
      <w:r w:rsidR="008A073E" w:rsidRPr="00382917">
        <w:rPr>
          <w:u w:val="single"/>
        </w:rPr>
        <w:t>Sh</w:t>
      </w:r>
      <w:r w:rsidR="008A073E" w:rsidRPr="00382917">
        <w:t>íráz</w:t>
      </w:r>
      <w:r w:rsidR="00330AF7">
        <w:t>.</w:t>
      </w:r>
      <w:r w:rsidR="00EE4FC3">
        <w:t xml:space="preserve">  </w:t>
      </w:r>
      <w:r w:rsidRPr="00382917">
        <w:t>This</w:t>
      </w:r>
      <w:r w:rsidR="00EE4FC3">
        <w:t xml:space="preserve"> </w:t>
      </w:r>
      <w:r w:rsidRPr="00382917">
        <w:t>was</w:t>
      </w:r>
      <w:r w:rsidR="00EE4FC3">
        <w:t xml:space="preserve"> </w:t>
      </w:r>
      <w:r w:rsidRPr="00382917">
        <w:t>the</w:t>
      </w:r>
      <w:r w:rsidR="00EE4FC3">
        <w:t xml:space="preserve"> </w:t>
      </w:r>
      <w:r w:rsidRPr="00382917">
        <w:t>meaning</w:t>
      </w:r>
      <w:r w:rsidR="00EE4FC3">
        <w:t xml:space="preserve"> </w:t>
      </w:r>
      <w:r w:rsidRPr="00382917">
        <w:t>hidden</w:t>
      </w:r>
      <w:r w:rsidR="00EE4FC3">
        <w:t xml:space="preserve"> </w:t>
      </w:r>
      <w:r w:rsidRPr="00382917">
        <w:t>in</w:t>
      </w:r>
      <w:r w:rsidR="00EE4FC3">
        <w:t xml:space="preserve"> </w:t>
      </w:r>
      <w:r w:rsidRPr="00382917">
        <w:t>that</w:t>
      </w:r>
      <w:r w:rsidR="00EE4FC3">
        <w:t xml:space="preserve"> </w:t>
      </w:r>
      <w:r w:rsidRPr="00382917">
        <w:t>prophecy</w:t>
      </w:r>
      <w:r w:rsidR="00EE4FC3">
        <w:t xml:space="preserve"> </w:t>
      </w:r>
      <w:r w:rsidRPr="00382917">
        <w:t>quoted</w:t>
      </w:r>
      <w:r w:rsidR="00EE4FC3">
        <w:t xml:space="preserve"> </w:t>
      </w:r>
      <w:r w:rsidRPr="00382917">
        <w:t>to</w:t>
      </w:r>
      <w:r w:rsidR="00EE4FC3">
        <w:t xml:space="preserve"> </w:t>
      </w:r>
      <w:r w:rsidRPr="00382917">
        <w:t>Mullá</w:t>
      </w:r>
      <w:r w:rsidR="00EE4FC3">
        <w:t xml:space="preserve"> </w:t>
      </w:r>
      <w:r w:rsidR="00964C11" w:rsidRPr="00382917">
        <w:t>Ḥusayn</w:t>
      </w:r>
      <w:r w:rsidR="00EE4FC3">
        <w:t xml:space="preserve"> </w:t>
      </w:r>
      <w:r w:rsidRPr="00382917">
        <w:t>by</w:t>
      </w:r>
      <w:r w:rsidR="00EE4FC3">
        <w:t xml:space="preserve"> </w:t>
      </w:r>
      <w:r w:rsidRPr="00382917">
        <w:t>the</w:t>
      </w:r>
      <w:r w:rsidR="00EE4FC3">
        <w:t xml:space="preserve"> </w:t>
      </w:r>
      <w:r w:rsidRPr="00382917">
        <w:t>Báb</w:t>
      </w:r>
      <w:r w:rsidR="00EE4FC3">
        <w:t xml:space="preserve"> </w:t>
      </w:r>
      <w:r w:rsidRPr="00382917">
        <w:t>Himself</w:t>
      </w:r>
      <w:r w:rsidR="00EE4FC3">
        <w:t xml:space="preserve"> </w:t>
      </w:r>
      <w:r w:rsidRPr="00382917">
        <w:t>on</w:t>
      </w:r>
      <w:r w:rsidR="00EE4FC3">
        <w:t xml:space="preserve"> </w:t>
      </w:r>
      <w:r w:rsidRPr="00382917">
        <w:t>the</w:t>
      </w:r>
      <w:r w:rsidR="00EE4FC3">
        <w:t xml:space="preserve"> </w:t>
      </w:r>
      <w:r w:rsidRPr="00382917">
        <w:t>roof</w:t>
      </w:r>
      <w:r w:rsidR="00EE4FC3">
        <w:t xml:space="preserve"> </w:t>
      </w:r>
      <w:r w:rsidRPr="00382917">
        <w:t>of</w:t>
      </w:r>
      <w:r w:rsidR="00EE4FC3">
        <w:t xml:space="preserve"> </w:t>
      </w:r>
      <w:r w:rsidRPr="00382917">
        <w:t>the</w:t>
      </w:r>
      <w:r w:rsidR="00EE4FC3">
        <w:t xml:space="preserve"> </w:t>
      </w:r>
      <w:r w:rsidRPr="00382917">
        <w:t>prison-castle</w:t>
      </w:r>
      <w:r w:rsidR="00EE4FC3">
        <w:t xml:space="preserve"> </w:t>
      </w:r>
      <w:r w:rsidRPr="00382917">
        <w:t>of</w:t>
      </w:r>
      <w:r w:rsidR="00EE4FC3">
        <w:t xml:space="preserve"> </w:t>
      </w:r>
      <w:r w:rsidRPr="00382917">
        <w:t>Máh-Kú</w:t>
      </w:r>
      <w:r w:rsidR="00C03C91">
        <w:t>:</w:t>
      </w:r>
      <w:r w:rsidR="00EE4FC3">
        <w:t xml:space="preserve">  </w:t>
      </w:r>
      <w:r w:rsidR="009C713D" w:rsidRPr="00382917">
        <w:t>“</w:t>
      </w:r>
      <w:r w:rsidR="008A073E" w:rsidRPr="00382917">
        <w:rPr>
          <w:u w:val="single"/>
        </w:rPr>
        <w:t>Sh</w:t>
      </w:r>
      <w:r w:rsidR="008A073E" w:rsidRPr="00382917">
        <w:t>íráz</w:t>
      </w:r>
    </w:p>
    <w:p w:rsidR="00900F24" w:rsidRPr="00382917" w:rsidRDefault="00900F24">
      <w:pPr>
        <w:widowControl/>
        <w:kinsoku/>
        <w:overflowPunct/>
        <w:textAlignment w:val="auto"/>
      </w:pPr>
      <w:r w:rsidRPr="00382917">
        <w:br w:type="page"/>
      </w:r>
    </w:p>
    <w:p w:rsidR="00E13D49" w:rsidRPr="00382917" w:rsidRDefault="00610ADA" w:rsidP="00BB4DEC">
      <w:pPr>
        <w:pStyle w:val="Textcts"/>
      </w:pPr>
      <w:proofErr w:type="gramStart"/>
      <w:r w:rsidRPr="00382917">
        <w:t>will</w:t>
      </w:r>
      <w:proofErr w:type="gramEnd"/>
      <w:r w:rsidR="00EE4FC3">
        <w:t xml:space="preserve"> </w:t>
      </w:r>
      <w:r w:rsidRPr="00382917">
        <w:t>be</w:t>
      </w:r>
      <w:r w:rsidR="00EE4FC3">
        <w:t xml:space="preserve"> </w:t>
      </w:r>
      <w:r w:rsidRPr="00382917">
        <w:t>thrown</w:t>
      </w:r>
      <w:r w:rsidR="00EE4FC3">
        <w:t xml:space="preserve"> </w:t>
      </w:r>
      <w:r w:rsidRPr="00382917">
        <w:t>into</w:t>
      </w:r>
      <w:r w:rsidR="00EE4FC3">
        <w:t xml:space="preserve"> </w:t>
      </w:r>
      <w:r w:rsidRPr="00382917">
        <w:t>a</w:t>
      </w:r>
      <w:r w:rsidR="00EE4FC3">
        <w:t xml:space="preserve"> </w:t>
      </w:r>
      <w:r w:rsidRPr="00382917">
        <w:t>tumult;</w:t>
      </w:r>
      <w:r w:rsidR="00EE4FC3">
        <w:t xml:space="preserve"> </w:t>
      </w:r>
      <w:r w:rsidRPr="00382917">
        <w:t>a</w:t>
      </w:r>
      <w:r w:rsidR="00EE4FC3">
        <w:t xml:space="preserve"> </w:t>
      </w:r>
      <w:r w:rsidRPr="00382917">
        <w:t>Youth</w:t>
      </w:r>
      <w:r w:rsidR="00EE4FC3">
        <w:t xml:space="preserve"> </w:t>
      </w:r>
      <w:r w:rsidRPr="00382917">
        <w:t>of</w:t>
      </w:r>
      <w:r w:rsidR="00EE4FC3">
        <w:t xml:space="preserve"> </w:t>
      </w:r>
      <w:r w:rsidRPr="00382917">
        <w:t>sugar-tongue</w:t>
      </w:r>
      <w:r w:rsidR="00EE4FC3">
        <w:t xml:space="preserve"> </w:t>
      </w:r>
      <w:r w:rsidRPr="00382917">
        <w:t>will</w:t>
      </w:r>
      <w:r w:rsidR="00EE4FC3">
        <w:t xml:space="preserve"> </w:t>
      </w:r>
      <w:r w:rsidRPr="00382917">
        <w:t>appear</w:t>
      </w:r>
      <w:r w:rsidR="00330AF7">
        <w:t>.</w:t>
      </w:r>
      <w:r w:rsidR="00EE4FC3">
        <w:t xml:space="preserve">  </w:t>
      </w:r>
      <w:r w:rsidRPr="00382917">
        <w:t>I</w:t>
      </w:r>
      <w:r w:rsidR="00EE4FC3">
        <w:t xml:space="preserve"> </w:t>
      </w:r>
      <w:r w:rsidRPr="00382917">
        <w:t>fear</w:t>
      </w:r>
      <w:r w:rsidR="00EE4FC3">
        <w:t xml:space="preserve"> </w:t>
      </w:r>
      <w:r w:rsidRPr="00382917">
        <w:t>lest</w:t>
      </w:r>
      <w:r w:rsidR="00EE4FC3">
        <w:t xml:space="preserve"> </w:t>
      </w:r>
      <w:r w:rsidRPr="00382917">
        <w:t>the</w:t>
      </w:r>
      <w:r w:rsidR="00EE4FC3">
        <w:t xml:space="preserve"> </w:t>
      </w:r>
      <w:r w:rsidRPr="00382917">
        <w:t>breath</w:t>
      </w:r>
      <w:r w:rsidR="00EE4FC3">
        <w:t xml:space="preserve"> </w:t>
      </w:r>
      <w:r w:rsidRPr="00382917">
        <w:t>of</w:t>
      </w:r>
      <w:r w:rsidR="00EE4FC3">
        <w:t xml:space="preserve"> </w:t>
      </w:r>
      <w:r w:rsidRPr="00382917">
        <w:t>His</w:t>
      </w:r>
      <w:r w:rsidR="00EE4FC3">
        <w:t xml:space="preserve"> </w:t>
      </w:r>
      <w:r w:rsidRPr="00382917">
        <w:t>mouth</w:t>
      </w:r>
      <w:r w:rsidR="00EE4FC3">
        <w:t xml:space="preserve"> </w:t>
      </w:r>
      <w:r w:rsidRPr="00382917">
        <w:t>should</w:t>
      </w:r>
      <w:r w:rsidR="00EE4FC3">
        <w:t xml:space="preserve"> </w:t>
      </w:r>
      <w:r w:rsidRPr="00382917">
        <w:t>agitate</w:t>
      </w:r>
      <w:r w:rsidR="00EE4FC3">
        <w:t xml:space="preserve"> </w:t>
      </w:r>
      <w:r w:rsidRPr="00382917">
        <w:t>and</w:t>
      </w:r>
      <w:r w:rsidR="00EE4FC3">
        <w:t xml:space="preserve"> </w:t>
      </w:r>
      <w:r w:rsidRPr="00382917">
        <w:t>upset</w:t>
      </w:r>
      <w:r w:rsidR="00EE4FC3">
        <w:t xml:space="preserve"> </w:t>
      </w:r>
      <w:r w:rsidR="00664069" w:rsidRPr="00382917">
        <w:t>Ba</w:t>
      </w:r>
      <w:r w:rsidR="00664069" w:rsidRPr="00664069">
        <w:rPr>
          <w:u w:val="single"/>
        </w:rPr>
        <w:t>gh</w:t>
      </w:r>
      <w:r w:rsidR="00664069" w:rsidRPr="00382917">
        <w:t>d</w:t>
      </w:r>
      <w:r w:rsidR="00664069" w:rsidRPr="00664069">
        <w:t>á</w:t>
      </w:r>
      <w:r w:rsidR="00664069" w:rsidRPr="00382917">
        <w:t>d</w:t>
      </w:r>
      <w:r w:rsidRPr="00382917">
        <w:t>.</w:t>
      </w:r>
      <w:r w:rsidR="009C713D" w:rsidRPr="00382917">
        <w:t>”</w:t>
      </w:r>
      <w:r w:rsidR="00BB4DEC">
        <w:rPr>
          <w:rStyle w:val="FootnoteReference"/>
        </w:rPr>
        <w:footnoteReference w:id="204"/>
      </w:r>
    </w:p>
    <w:p w:rsidR="00610ADA" w:rsidRPr="00382917" w:rsidRDefault="00610ADA" w:rsidP="00900F24">
      <w:pPr>
        <w:pStyle w:val="Text"/>
      </w:pPr>
      <w:r w:rsidRPr="00382917">
        <w:t>There</w:t>
      </w:r>
      <w:r w:rsidR="00EE4FC3">
        <w:t xml:space="preserve"> </w:t>
      </w:r>
      <w:r w:rsidRPr="00382917">
        <w:t>was</w:t>
      </w:r>
      <w:r w:rsidR="00EE4FC3">
        <w:t xml:space="preserve"> </w:t>
      </w:r>
      <w:r w:rsidRPr="00382917">
        <w:t>a</w:t>
      </w:r>
      <w:r w:rsidR="00EE4FC3">
        <w:t xml:space="preserve"> </w:t>
      </w:r>
      <w:r w:rsidRPr="00382917">
        <w:t>constant</w:t>
      </w:r>
      <w:r w:rsidR="00EE4FC3">
        <w:t xml:space="preserve"> </w:t>
      </w:r>
      <w:r w:rsidRPr="00382917">
        <w:t>link</w:t>
      </w:r>
      <w:r w:rsidR="00EE4FC3">
        <w:t xml:space="preserve"> </w:t>
      </w:r>
      <w:r w:rsidRPr="00382917">
        <w:t>between</w:t>
      </w:r>
      <w:r w:rsidR="00EE4FC3">
        <w:t xml:space="preserve"> </w:t>
      </w:r>
      <w:r w:rsidRPr="00382917">
        <w:t>the</w:t>
      </w:r>
      <w:r w:rsidR="00EE4FC3">
        <w:t xml:space="preserve"> </w:t>
      </w:r>
      <w:r w:rsidRPr="00382917">
        <w:t>Báb</w:t>
      </w:r>
      <w:r w:rsidR="00EE4FC3">
        <w:t xml:space="preserve"> </w:t>
      </w:r>
      <w:r w:rsidRPr="00382917">
        <w:t>and</w:t>
      </w:r>
      <w:r w:rsidR="00EE4FC3">
        <w:t xml:space="preserve"> </w:t>
      </w:r>
      <w:r w:rsidRPr="00382917">
        <w:t>Bahá</w:t>
      </w:r>
      <w:r w:rsidR="009C713D" w:rsidRPr="00382917">
        <w:t>’</w:t>
      </w:r>
      <w:r w:rsidRPr="00382917">
        <w:t>u</w:t>
      </w:r>
      <w:r w:rsidR="009C713D" w:rsidRPr="00382917">
        <w:t>’</w:t>
      </w:r>
      <w:r w:rsidRPr="00382917">
        <w:t>lláh</w:t>
      </w:r>
      <w:r w:rsidR="00EE4FC3">
        <w:t xml:space="preserve"> </w:t>
      </w:r>
      <w:r w:rsidRPr="00382917">
        <w:t>through</w:t>
      </w:r>
      <w:r w:rsidR="00EE4FC3">
        <w:t xml:space="preserve"> </w:t>
      </w:r>
      <w:r w:rsidRPr="00382917">
        <w:t>the</w:t>
      </w:r>
      <w:r w:rsidR="00EE4FC3">
        <w:t xml:space="preserve"> </w:t>
      </w:r>
      <w:r w:rsidRPr="00382917">
        <w:t>Báb</w:t>
      </w:r>
      <w:r w:rsidR="009C713D" w:rsidRPr="00382917">
        <w:t>’</w:t>
      </w:r>
      <w:r w:rsidRPr="00382917">
        <w:t>s</w:t>
      </w:r>
      <w:r w:rsidR="00EE4FC3">
        <w:t xml:space="preserve"> </w:t>
      </w:r>
      <w:r w:rsidRPr="00382917">
        <w:t>disciples,</w:t>
      </w:r>
      <w:r w:rsidR="00EE4FC3">
        <w:t xml:space="preserve"> </w:t>
      </w:r>
      <w:r w:rsidRPr="00382917">
        <w:t>especially</w:t>
      </w:r>
      <w:r w:rsidR="00EE4FC3">
        <w:t xml:space="preserve"> </w:t>
      </w:r>
      <w:r w:rsidRPr="00382917">
        <w:t>those</w:t>
      </w:r>
      <w:r w:rsidR="00EE4FC3">
        <w:t xml:space="preserve"> </w:t>
      </w:r>
      <w:r w:rsidRPr="00382917">
        <w:t>whose</w:t>
      </w:r>
      <w:r w:rsidR="00EE4FC3">
        <w:t xml:space="preserve"> </w:t>
      </w:r>
      <w:r w:rsidRPr="00382917">
        <w:t>tragic</w:t>
      </w:r>
      <w:r w:rsidR="00EE4FC3">
        <w:t xml:space="preserve"> </w:t>
      </w:r>
      <w:r w:rsidRPr="00382917">
        <w:t>story</w:t>
      </w:r>
      <w:r w:rsidR="00EE4FC3">
        <w:t xml:space="preserve"> </w:t>
      </w:r>
      <w:r w:rsidRPr="00382917">
        <w:t>has</w:t>
      </w:r>
      <w:r w:rsidR="00EE4FC3">
        <w:t xml:space="preserve"> </w:t>
      </w:r>
      <w:r w:rsidRPr="00382917">
        <w:t>been</w:t>
      </w:r>
      <w:r w:rsidR="00EE4FC3">
        <w:t xml:space="preserve"> </w:t>
      </w:r>
      <w:r w:rsidRPr="00382917">
        <w:t>told</w:t>
      </w:r>
      <w:r w:rsidR="00EE4FC3">
        <w:t xml:space="preserve"> </w:t>
      </w:r>
      <w:r w:rsidRPr="00382917">
        <w:t>in</w:t>
      </w:r>
      <w:r w:rsidR="00EE4FC3">
        <w:t xml:space="preserve"> </w:t>
      </w:r>
      <w:r w:rsidRPr="00382917">
        <w:t>the</w:t>
      </w:r>
      <w:r w:rsidR="00EE4FC3">
        <w:t xml:space="preserve"> </w:t>
      </w:r>
      <w:r w:rsidRPr="00382917">
        <w:t>preceding</w:t>
      </w:r>
      <w:r w:rsidR="00EE4FC3">
        <w:t xml:space="preserve"> </w:t>
      </w:r>
      <w:r w:rsidRPr="00382917">
        <w:t>chapters</w:t>
      </w:r>
      <w:r w:rsidR="00330AF7">
        <w:t>.</w:t>
      </w:r>
      <w:r w:rsidR="00EE4FC3">
        <w:t xml:space="preserve">  </w:t>
      </w:r>
      <w:r w:rsidRPr="00382917">
        <w:t>Bahá</w:t>
      </w:r>
      <w:r w:rsidR="009C713D" w:rsidRPr="00382917">
        <w:t>’</w:t>
      </w:r>
      <w:r w:rsidRPr="00382917">
        <w:t>u</w:t>
      </w:r>
      <w:r w:rsidR="009C713D" w:rsidRPr="00382917">
        <w:t>’</w:t>
      </w:r>
      <w:r w:rsidRPr="00382917">
        <w:t>lláh</w:t>
      </w:r>
      <w:r w:rsidR="00EE4FC3">
        <w:t xml:space="preserve"> </w:t>
      </w:r>
      <w:r w:rsidRPr="00382917">
        <w:t>played</w:t>
      </w:r>
      <w:r w:rsidR="00EE4FC3">
        <w:t xml:space="preserve"> </w:t>
      </w:r>
      <w:r w:rsidRPr="00382917">
        <w:t>a</w:t>
      </w:r>
      <w:r w:rsidR="00EE4FC3">
        <w:t xml:space="preserve"> </w:t>
      </w:r>
      <w:r w:rsidRPr="00382917">
        <w:t>vital</w:t>
      </w:r>
      <w:r w:rsidR="00EE4FC3">
        <w:t xml:space="preserve"> </w:t>
      </w:r>
      <w:r w:rsidRPr="00382917">
        <w:t>and</w:t>
      </w:r>
      <w:r w:rsidR="00EE4FC3">
        <w:t xml:space="preserve"> </w:t>
      </w:r>
      <w:r w:rsidRPr="00382917">
        <w:t>moving</w:t>
      </w:r>
      <w:r w:rsidR="00EE4FC3">
        <w:t xml:space="preserve"> </w:t>
      </w:r>
      <w:r w:rsidRPr="00382917">
        <w:t>part</w:t>
      </w:r>
      <w:r w:rsidR="00EE4FC3">
        <w:t xml:space="preserve"> </w:t>
      </w:r>
      <w:r w:rsidRPr="00382917">
        <w:t>in</w:t>
      </w:r>
      <w:r w:rsidR="00EE4FC3">
        <w:t xml:space="preserve"> </w:t>
      </w:r>
      <w:r w:rsidRPr="00382917">
        <w:t>the</w:t>
      </w:r>
      <w:r w:rsidR="00EE4FC3">
        <w:t xml:space="preserve"> </w:t>
      </w:r>
      <w:r w:rsidRPr="00382917">
        <w:t>tale</w:t>
      </w:r>
      <w:r w:rsidR="00EE4FC3">
        <w:t xml:space="preserve"> </w:t>
      </w:r>
      <w:r w:rsidRPr="00382917">
        <w:t>of</w:t>
      </w:r>
      <w:r w:rsidR="00EE4FC3">
        <w:t xml:space="preserve"> </w:t>
      </w:r>
      <w:r w:rsidRPr="00382917">
        <w:t>Ṭabarsí,</w:t>
      </w:r>
      <w:r w:rsidR="00EE4FC3">
        <w:t xml:space="preserve"> </w:t>
      </w:r>
      <w:r w:rsidRPr="00382917">
        <w:t>Nayríz,</w:t>
      </w:r>
      <w:r w:rsidR="00EE4FC3">
        <w:t xml:space="preserve"> </w:t>
      </w:r>
      <w:r w:rsidRPr="00382917">
        <w:t>Ṭihrán</w:t>
      </w:r>
      <w:r w:rsidR="00EE4FC3">
        <w:t xml:space="preserve"> </w:t>
      </w:r>
      <w:r w:rsidRPr="00382917">
        <w:t>and</w:t>
      </w:r>
      <w:r w:rsidR="00EE4FC3">
        <w:t xml:space="preserve"> </w:t>
      </w:r>
      <w:r w:rsidR="00330AF7" w:rsidRPr="00382917">
        <w:t>Bada</w:t>
      </w:r>
      <w:r w:rsidR="00330AF7" w:rsidRPr="00330AF7">
        <w:rPr>
          <w:u w:val="single"/>
        </w:rPr>
        <w:t>sh</w:t>
      </w:r>
      <w:r w:rsidR="00330AF7" w:rsidRPr="00382917">
        <w:t>t</w:t>
      </w:r>
      <w:r w:rsidRPr="00382917">
        <w:t>,</w:t>
      </w:r>
      <w:r w:rsidR="00EE4FC3">
        <w:t xml:space="preserve"> </w:t>
      </w:r>
      <w:r w:rsidRPr="00382917">
        <w:t>as</w:t>
      </w:r>
      <w:r w:rsidR="00EE4FC3">
        <w:t xml:space="preserve"> </w:t>
      </w:r>
      <w:r w:rsidRPr="00382917">
        <w:t>well</w:t>
      </w:r>
      <w:r w:rsidR="00EE4FC3">
        <w:t xml:space="preserve"> </w:t>
      </w:r>
      <w:r w:rsidRPr="00382917">
        <w:t>as</w:t>
      </w:r>
      <w:r w:rsidR="00EE4FC3">
        <w:t xml:space="preserve"> </w:t>
      </w:r>
      <w:r w:rsidRPr="00382917">
        <w:t>in</w:t>
      </w:r>
      <w:r w:rsidR="00EE4FC3">
        <w:t xml:space="preserve"> </w:t>
      </w:r>
      <w:r w:rsidRPr="00382917">
        <w:t>the</w:t>
      </w:r>
      <w:r w:rsidR="00EE4FC3">
        <w:t xml:space="preserve"> </w:t>
      </w:r>
      <w:r w:rsidRPr="00382917">
        <w:t>lives</w:t>
      </w:r>
      <w:r w:rsidR="00EE4FC3">
        <w:t xml:space="preserve"> </w:t>
      </w:r>
      <w:r w:rsidRPr="00382917">
        <w:t>of</w:t>
      </w:r>
      <w:r w:rsidR="00EE4FC3">
        <w:t xml:space="preserve"> </w:t>
      </w:r>
      <w:r w:rsidRPr="00382917">
        <w:t>Mullá</w:t>
      </w:r>
      <w:r w:rsidR="00EE4FC3">
        <w:t xml:space="preserve"> </w:t>
      </w:r>
      <w:r w:rsidR="00964C11" w:rsidRPr="00382917">
        <w:t>Ḥusayn</w:t>
      </w:r>
      <w:r w:rsidRPr="00382917">
        <w:t>,</w:t>
      </w:r>
      <w:r w:rsidR="00EE4FC3">
        <w:t xml:space="preserve"> </w:t>
      </w:r>
      <w:r w:rsidRPr="00382917">
        <w:t>Quddús,</w:t>
      </w:r>
      <w:r w:rsidR="00EE4FC3">
        <w:t xml:space="preserve"> </w:t>
      </w:r>
      <w:r w:rsidRPr="00382917">
        <w:t>Vaḥíd</w:t>
      </w:r>
      <w:r w:rsidR="00EE4FC3">
        <w:t xml:space="preserve"> </w:t>
      </w:r>
      <w:r w:rsidRPr="00382917">
        <w:t>and</w:t>
      </w:r>
      <w:r w:rsidR="00EE4FC3">
        <w:t xml:space="preserve"> </w:t>
      </w:r>
      <w:r w:rsidRPr="00382917">
        <w:t>Ṭáhirih.</w:t>
      </w:r>
    </w:p>
    <w:p w:rsidR="00610ADA" w:rsidRPr="00382917" w:rsidRDefault="00610ADA" w:rsidP="00900F24">
      <w:pPr>
        <w:pStyle w:val="Text"/>
      </w:pPr>
      <w:r w:rsidRPr="00382917">
        <w:t>When</w:t>
      </w:r>
      <w:r w:rsidR="00EE4FC3">
        <w:t xml:space="preserve"> </w:t>
      </w:r>
      <w:r w:rsidRPr="00382917">
        <w:t>the</w:t>
      </w:r>
      <w:r w:rsidR="00EE4FC3">
        <w:t xml:space="preserve"> </w:t>
      </w:r>
      <w:r w:rsidRPr="00382917">
        <w:t>Báb</w:t>
      </w:r>
      <w:r w:rsidR="00EE4FC3">
        <w:t xml:space="preserve"> </w:t>
      </w:r>
      <w:r w:rsidRPr="00382917">
        <w:t>bade</w:t>
      </w:r>
      <w:r w:rsidR="00EE4FC3">
        <w:t xml:space="preserve"> </w:t>
      </w:r>
      <w:r w:rsidRPr="00382917">
        <w:t>Mullá</w:t>
      </w:r>
      <w:r w:rsidR="00EE4FC3">
        <w:t xml:space="preserve"> </w:t>
      </w:r>
      <w:r w:rsidR="00964C11" w:rsidRPr="00382917">
        <w:t>Ḥusayn</w:t>
      </w:r>
      <w:r w:rsidR="00EE4FC3">
        <w:t xml:space="preserve"> </w:t>
      </w:r>
      <w:r w:rsidRPr="00382917">
        <w:t>farewell</w:t>
      </w:r>
      <w:r w:rsidR="00EE4FC3">
        <w:t xml:space="preserve"> </w:t>
      </w:r>
      <w:r w:rsidRPr="00382917">
        <w:t>in</w:t>
      </w:r>
      <w:r w:rsidR="00EE4FC3">
        <w:t xml:space="preserve"> </w:t>
      </w:r>
      <w:r w:rsidR="008A073E" w:rsidRPr="00382917">
        <w:rPr>
          <w:u w:val="single"/>
        </w:rPr>
        <w:t>Sh</w:t>
      </w:r>
      <w:r w:rsidR="008A073E" w:rsidRPr="00382917">
        <w:t>íráz</w:t>
      </w:r>
      <w:r w:rsidR="00EE4FC3">
        <w:t xml:space="preserve"> </w:t>
      </w:r>
      <w:r w:rsidRPr="00382917">
        <w:t>before</w:t>
      </w:r>
      <w:r w:rsidR="00EE4FC3">
        <w:t xml:space="preserve"> </w:t>
      </w:r>
      <w:r w:rsidRPr="00382917">
        <w:t>leaving</w:t>
      </w:r>
      <w:r w:rsidR="00EE4FC3">
        <w:t xml:space="preserve"> </w:t>
      </w:r>
      <w:r w:rsidRPr="00382917">
        <w:t>for</w:t>
      </w:r>
      <w:r w:rsidR="00EE4FC3">
        <w:t xml:space="preserve"> </w:t>
      </w:r>
      <w:r w:rsidRPr="00382917">
        <w:t>Mecca</w:t>
      </w:r>
      <w:r w:rsidR="00EE4FC3">
        <w:t xml:space="preserve"> </w:t>
      </w:r>
      <w:r w:rsidRPr="00382917">
        <w:t>to</w:t>
      </w:r>
      <w:r w:rsidR="00EE4FC3">
        <w:t xml:space="preserve"> </w:t>
      </w:r>
      <w:r w:rsidRPr="00382917">
        <w:t>announce</w:t>
      </w:r>
      <w:r w:rsidR="00EE4FC3">
        <w:t xml:space="preserve"> </w:t>
      </w:r>
      <w:r w:rsidRPr="00382917">
        <w:t>His</w:t>
      </w:r>
      <w:r w:rsidR="00EE4FC3">
        <w:t xml:space="preserve"> </w:t>
      </w:r>
      <w:r w:rsidRPr="00382917">
        <w:t>Mission,</w:t>
      </w:r>
      <w:r w:rsidR="00EE4FC3">
        <w:t xml:space="preserve"> </w:t>
      </w:r>
      <w:r w:rsidRPr="00382917">
        <w:t>He</w:t>
      </w:r>
      <w:r w:rsidR="00EE4FC3">
        <w:t xml:space="preserve"> </w:t>
      </w:r>
      <w:r w:rsidRPr="00382917">
        <w:t>spoke</w:t>
      </w:r>
      <w:r w:rsidR="00EE4FC3">
        <w:t xml:space="preserve"> </w:t>
      </w:r>
      <w:r w:rsidRPr="00382917">
        <w:t>these</w:t>
      </w:r>
      <w:r w:rsidR="00EE4FC3">
        <w:t xml:space="preserve"> </w:t>
      </w:r>
      <w:r w:rsidRPr="00382917">
        <w:t>words</w:t>
      </w:r>
      <w:r w:rsidR="00EE4FC3">
        <w:t xml:space="preserve"> </w:t>
      </w:r>
      <w:r w:rsidRPr="00382917">
        <w:t>to</w:t>
      </w:r>
      <w:r w:rsidR="00EE4FC3">
        <w:t xml:space="preserve"> </w:t>
      </w:r>
      <w:r w:rsidRPr="00382917">
        <w:t>him:</w:t>
      </w:r>
    </w:p>
    <w:p w:rsidR="00610ADA" w:rsidRPr="00382917" w:rsidRDefault="009C713D" w:rsidP="00900F24">
      <w:pPr>
        <w:pStyle w:val="Text"/>
      </w:pPr>
      <w:r w:rsidRPr="00382917">
        <w:t>“</w:t>
      </w:r>
      <w:r w:rsidR="00610ADA" w:rsidRPr="00382917">
        <w:t>Follow</w:t>
      </w:r>
      <w:r w:rsidR="00EE4FC3">
        <w:t xml:space="preserve"> </w:t>
      </w:r>
      <w:r w:rsidR="00610ADA" w:rsidRPr="00382917">
        <w:t>the</w:t>
      </w:r>
      <w:r w:rsidR="00EE4FC3">
        <w:t xml:space="preserve"> </w:t>
      </w:r>
      <w:r w:rsidR="00610ADA" w:rsidRPr="00382917">
        <w:t>course</w:t>
      </w:r>
      <w:r w:rsidR="00EE4FC3">
        <w:t xml:space="preserve"> </w:t>
      </w:r>
      <w:r w:rsidR="00610ADA" w:rsidRPr="00382917">
        <w:t>of</w:t>
      </w:r>
      <w:r w:rsidR="00EE4FC3">
        <w:t xml:space="preserve"> </w:t>
      </w:r>
      <w:r w:rsidR="00610ADA" w:rsidRPr="00382917">
        <w:t>your</w:t>
      </w:r>
      <w:r w:rsidR="00EE4FC3">
        <w:t xml:space="preserve"> </w:t>
      </w:r>
      <w:r w:rsidR="00610ADA" w:rsidRPr="00382917">
        <w:t>journey</w:t>
      </w:r>
      <w:r w:rsidR="00EE4FC3">
        <w:t xml:space="preserve"> </w:t>
      </w:r>
      <w:r w:rsidR="00610ADA" w:rsidRPr="00382917">
        <w:t>towards</w:t>
      </w:r>
      <w:r w:rsidR="00EE4FC3">
        <w:t xml:space="preserve"> </w:t>
      </w:r>
      <w:r w:rsidR="00610ADA" w:rsidRPr="00382917">
        <w:t>the</w:t>
      </w:r>
      <w:r w:rsidR="00EE4FC3">
        <w:t xml:space="preserve"> </w:t>
      </w:r>
      <w:r w:rsidR="00610ADA" w:rsidRPr="00382917">
        <w:t>north,</w:t>
      </w:r>
      <w:r w:rsidR="00EE4FC3">
        <w:t xml:space="preserve"> </w:t>
      </w:r>
      <w:r w:rsidR="00610ADA" w:rsidRPr="00382917">
        <w:t>and</w:t>
      </w:r>
      <w:r w:rsidR="00EE4FC3">
        <w:t xml:space="preserve"> </w:t>
      </w:r>
      <w:r w:rsidR="00610ADA" w:rsidRPr="00382917">
        <w:t>visit</w:t>
      </w:r>
      <w:r w:rsidR="00EE4FC3">
        <w:t xml:space="preserve"> </w:t>
      </w:r>
      <w:r w:rsidR="00F04416" w:rsidRPr="00382917">
        <w:t>…</w:t>
      </w:r>
      <w:r w:rsidR="00EE4FC3">
        <w:t xml:space="preserve"> </w:t>
      </w:r>
      <w:r w:rsidR="00610ADA" w:rsidRPr="00382917">
        <w:t>Ṭihrán</w:t>
      </w:r>
      <w:r w:rsidR="00330AF7">
        <w:t>.</w:t>
      </w:r>
      <w:r w:rsidR="00EE4FC3">
        <w:t xml:space="preserve">  </w:t>
      </w:r>
      <w:r w:rsidR="00610ADA" w:rsidRPr="00382917">
        <w:t>Beseech</w:t>
      </w:r>
      <w:r w:rsidR="00EE4FC3">
        <w:t xml:space="preserve"> </w:t>
      </w:r>
      <w:r w:rsidR="00610ADA" w:rsidRPr="00382917">
        <w:t>almighty</w:t>
      </w:r>
      <w:r w:rsidR="00EE4FC3">
        <w:t xml:space="preserve"> </w:t>
      </w:r>
      <w:r w:rsidR="00610ADA" w:rsidRPr="00382917">
        <w:t>Providence</w:t>
      </w:r>
      <w:r w:rsidR="00EE4FC3">
        <w:t xml:space="preserve"> </w:t>
      </w:r>
      <w:r w:rsidR="00610ADA" w:rsidRPr="00382917">
        <w:t>that</w:t>
      </w:r>
      <w:r w:rsidR="00EE4FC3">
        <w:t xml:space="preserve"> </w:t>
      </w:r>
      <w:r w:rsidR="00610ADA" w:rsidRPr="00382917">
        <w:t>He</w:t>
      </w:r>
      <w:r w:rsidR="00EE4FC3">
        <w:t xml:space="preserve"> </w:t>
      </w:r>
      <w:r w:rsidR="00610ADA" w:rsidRPr="00382917">
        <w:t>may</w:t>
      </w:r>
      <w:r w:rsidR="00EE4FC3">
        <w:t xml:space="preserve"> </w:t>
      </w:r>
      <w:r w:rsidR="00610ADA" w:rsidRPr="00382917">
        <w:t>graciously</w:t>
      </w:r>
      <w:r w:rsidR="00EE4FC3">
        <w:t xml:space="preserve"> </w:t>
      </w:r>
      <w:r w:rsidR="00610ADA" w:rsidRPr="00382917">
        <w:t>enable</w:t>
      </w:r>
      <w:r w:rsidR="00EE4FC3">
        <w:t xml:space="preserve"> </w:t>
      </w:r>
      <w:r w:rsidR="00610ADA" w:rsidRPr="00382917">
        <w:t>you</w:t>
      </w:r>
      <w:r w:rsidR="00EE4FC3">
        <w:t xml:space="preserve"> </w:t>
      </w:r>
      <w:r w:rsidR="00610ADA" w:rsidRPr="00382917">
        <w:t>to</w:t>
      </w:r>
      <w:r w:rsidR="00EE4FC3">
        <w:t xml:space="preserve"> </w:t>
      </w:r>
      <w:r w:rsidR="00610ADA" w:rsidRPr="00382917">
        <w:t>attain,</w:t>
      </w:r>
      <w:r w:rsidR="00EE4FC3">
        <w:t xml:space="preserve"> </w:t>
      </w:r>
      <w:r w:rsidR="00610ADA" w:rsidRPr="00382917">
        <w:t>in</w:t>
      </w:r>
      <w:r w:rsidR="00EE4FC3">
        <w:t xml:space="preserve"> </w:t>
      </w:r>
      <w:r w:rsidR="00610ADA" w:rsidRPr="00382917">
        <w:t>that</w:t>
      </w:r>
      <w:r w:rsidR="00EE4FC3">
        <w:t xml:space="preserve"> </w:t>
      </w:r>
      <w:r w:rsidR="00610ADA" w:rsidRPr="00382917">
        <w:t>capital,</w:t>
      </w:r>
      <w:r w:rsidR="00EE4FC3">
        <w:t xml:space="preserve"> </w:t>
      </w:r>
      <w:r w:rsidR="00610ADA" w:rsidRPr="00382917">
        <w:t>the</w:t>
      </w:r>
      <w:r w:rsidR="00EE4FC3">
        <w:t xml:space="preserve"> </w:t>
      </w:r>
      <w:r w:rsidR="00610ADA" w:rsidRPr="00382917">
        <w:t>seat</w:t>
      </w:r>
      <w:r w:rsidR="00EE4FC3">
        <w:t xml:space="preserve"> </w:t>
      </w:r>
      <w:r w:rsidR="00610ADA" w:rsidRPr="00382917">
        <w:t>of</w:t>
      </w:r>
      <w:r w:rsidR="00EE4FC3">
        <w:t xml:space="preserve"> </w:t>
      </w:r>
      <w:r w:rsidR="00610ADA" w:rsidRPr="00382917">
        <w:t>true</w:t>
      </w:r>
      <w:r w:rsidR="00EE4FC3">
        <w:t xml:space="preserve"> </w:t>
      </w:r>
      <w:r w:rsidR="00610ADA" w:rsidRPr="00382917">
        <w:t>sovereignty,</w:t>
      </w:r>
      <w:r w:rsidR="00EE4FC3">
        <w:t xml:space="preserve"> </w:t>
      </w:r>
      <w:r w:rsidR="00610ADA" w:rsidRPr="00382917">
        <w:t>and</w:t>
      </w:r>
      <w:r w:rsidR="00EE4FC3">
        <w:t xml:space="preserve"> </w:t>
      </w:r>
      <w:r w:rsidR="00610ADA" w:rsidRPr="00382917">
        <w:t>to</w:t>
      </w:r>
      <w:r w:rsidR="00EE4FC3">
        <w:t xml:space="preserve"> </w:t>
      </w:r>
      <w:r w:rsidR="00610ADA" w:rsidRPr="00382917">
        <w:t>enter</w:t>
      </w:r>
      <w:r w:rsidR="00EE4FC3">
        <w:t xml:space="preserve"> </w:t>
      </w:r>
      <w:r w:rsidR="00610ADA" w:rsidRPr="00382917">
        <w:t>the</w:t>
      </w:r>
      <w:r w:rsidR="00EE4FC3">
        <w:t xml:space="preserve"> </w:t>
      </w:r>
      <w:r w:rsidR="00610ADA" w:rsidRPr="00382917">
        <w:t>mansion</w:t>
      </w:r>
      <w:r w:rsidR="00EE4FC3">
        <w:t xml:space="preserve"> </w:t>
      </w:r>
      <w:r w:rsidR="00610ADA" w:rsidRPr="00382917">
        <w:t>of</w:t>
      </w:r>
      <w:r w:rsidR="00EE4FC3">
        <w:t xml:space="preserve"> </w:t>
      </w:r>
      <w:r w:rsidR="00610ADA" w:rsidRPr="00382917">
        <w:t>the</w:t>
      </w:r>
      <w:r w:rsidR="00EE4FC3">
        <w:t xml:space="preserve"> </w:t>
      </w:r>
      <w:r w:rsidR="00610ADA" w:rsidRPr="00382917">
        <w:t>Beloved</w:t>
      </w:r>
      <w:r w:rsidR="00330AF7">
        <w:t>.</w:t>
      </w:r>
      <w:r w:rsidR="00EE4FC3">
        <w:t xml:space="preserve">  </w:t>
      </w:r>
      <w:r w:rsidR="00610ADA" w:rsidRPr="00382917">
        <w:t>A</w:t>
      </w:r>
      <w:r w:rsidR="00EE4FC3">
        <w:t xml:space="preserve"> </w:t>
      </w:r>
      <w:r w:rsidR="00610ADA" w:rsidRPr="00382917">
        <w:t>secret</w:t>
      </w:r>
      <w:r w:rsidR="00EE4FC3">
        <w:t xml:space="preserve"> </w:t>
      </w:r>
      <w:r w:rsidR="00610ADA" w:rsidRPr="00382917">
        <w:t>lies</w:t>
      </w:r>
      <w:r w:rsidR="00EE4FC3">
        <w:t xml:space="preserve"> </w:t>
      </w:r>
      <w:r w:rsidR="00610ADA" w:rsidRPr="00382917">
        <w:t>hidden</w:t>
      </w:r>
      <w:r w:rsidR="00EE4FC3">
        <w:t xml:space="preserve"> </w:t>
      </w:r>
      <w:r w:rsidR="00610ADA" w:rsidRPr="00382917">
        <w:t>in</w:t>
      </w:r>
      <w:r w:rsidR="00EE4FC3">
        <w:t xml:space="preserve"> </w:t>
      </w:r>
      <w:r w:rsidR="00610ADA" w:rsidRPr="00382917">
        <w:t>that</w:t>
      </w:r>
      <w:r w:rsidR="00EE4FC3">
        <w:t xml:space="preserve"> </w:t>
      </w:r>
      <w:r w:rsidR="00610ADA" w:rsidRPr="00382917">
        <w:t>city</w:t>
      </w:r>
      <w:r w:rsidR="00330AF7">
        <w:t>.</w:t>
      </w:r>
      <w:r w:rsidR="00EE4FC3">
        <w:t xml:space="preserve">  </w:t>
      </w:r>
      <w:r w:rsidR="00610ADA" w:rsidRPr="00382917">
        <w:t>When</w:t>
      </w:r>
      <w:r w:rsidR="00EE4FC3">
        <w:t xml:space="preserve"> </w:t>
      </w:r>
      <w:r w:rsidR="00610ADA" w:rsidRPr="00382917">
        <w:t>made</w:t>
      </w:r>
      <w:r w:rsidR="00EE4FC3">
        <w:t xml:space="preserve"> </w:t>
      </w:r>
      <w:r w:rsidR="00610ADA" w:rsidRPr="00382917">
        <w:t>manifest,</w:t>
      </w:r>
      <w:r w:rsidR="00EE4FC3">
        <w:t xml:space="preserve"> </w:t>
      </w:r>
      <w:r w:rsidR="00610ADA" w:rsidRPr="00382917">
        <w:t>it</w:t>
      </w:r>
      <w:r w:rsidR="00EE4FC3">
        <w:t xml:space="preserve"> </w:t>
      </w:r>
      <w:r w:rsidR="00610ADA" w:rsidRPr="00382917">
        <w:t>shall</w:t>
      </w:r>
      <w:r w:rsidR="00EE4FC3">
        <w:t xml:space="preserve"> </w:t>
      </w:r>
      <w:r w:rsidR="00610ADA" w:rsidRPr="00382917">
        <w:t>turn</w:t>
      </w:r>
      <w:r w:rsidR="00EE4FC3">
        <w:t xml:space="preserve"> </w:t>
      </w:r>
      <w:r w:rsidR="00610ADA" w:rsidRPr="00382917">
        <w:t>the</w:t>
      </w:r>
      <w:r w:rsidR="00EE4FC3">
        <w:t xml:space="preserve"> </w:t>
      </w:r>
      <w:r w:rsidR="00610ADA" w:rsidRPr="00382917">
        <w:t>earth</w:t>
      </w:r>
      <w:r w:rsidR="00EE4FC3">
        <w:t xml:space="preserve"> </w:t>
      </w:r>
      <w:r w:rsidR="00610ADA" w:rsidRPr="00382917">
        <w:t>into</w:t>
      </w:r>
      <w:r w:rsidR="00EE4FC3">
        <w:t xml:space="preserve"> </w:t>
      </w:r>
      <w:r w:rsidR="00610ADA" w:rsidRPr="00382917">
        <w:t>a</w:t>
      </w:r>
      <w:r w:rsidR="00EE4FC3">
        <w:t xml:space="preserve"> </w:t>
      </w:r>
      <w:r w:rsidR="00610ADA" w:rsidRPr="00382917">
        <w:t>paradise</w:t>
      </w:r>
      <w:r w:rsidR="00330AF7">
        <w:t>.</w:t>
      </w:r>
      <w:r w:rsidR="00EE4FC3">
        <w:t xml:space="preserve">  </w:t>
      </w:r>
      <w:r w:rsidR="00610ADA" w:rsidRPr="00382917">
        <w:t>My</w:t>
      </w:r>
      <w:r w:rsidR="00EE4FC3">
        <w:t xml:space="preserve"> </w:t>
      </w:r>
      <w:r w:rsidR="00610ADA" w:rsidRPr="00382917">
        <w:t>hope</w:t>
      </w:r>
      <w:r w:rsidR="00EE4FC3">
        <w:t xml:space="preserve"> </w:t>
      </w:r>
      <w:r w:rsidR="00610ADA" w:rsidRPr="00382917">
        <w:t>is</w:t>
      </w:r>
      <w:r w:rsidR="00EE4FC3">
        <w:t xml:space="preserve"> </w:t>
      </w:r>
      <w:r w:rsidR="00610ADA" w:rsidRPr="00382917">
        <w:t>that</w:t>
      </w:r>
      <w:r w:rsidR="00EE4FC3">
        <w:t xml:space="preserve"> </w:t>
      </w:r>
      <w:r w:rsidR="00610ADA" w:rsidRPr="00382917">
        <w:t>you</w:t>
      </w:r>
      <w:r w:rsidR="00EE4FC3">
        <w:t xml:space="preserve"> </w:t>
      </w:r>
      <w:r w:rsidR="00610ADA" w:rsidRPr="00382917">
        <w:t>may</w:t>
      </w:r>
      <w:r w:rsidR="00EE4FC3">
        <w:t xml:space="preserve"> </w:t>
      </w:r>
      <w:r w:rsidR="00610ADA" w:rsidRPr="00382917">
        <w:t>partake</w:t>
      </w:r>
      <w:r w:rsidR="00EE4FC3">
        <w:t xml:space="preserve"> </w:t>
      </w:r>
      <w:r w:rsidR="00610ADA" w:rsidRPr="00382917">
        <w:t>of</w:t>
      </w:r>
      <w:r w:rsidR="00EE4FC3">
        <w:t xml:space="preserve"> </w:t>
      </w:r>
      <w:r w:rsidR="00610ADA" w:rsidRPr="00382917">
        <w:t>its</w:t>
      </w:r>
      <w:r w:rsidR="00EE4FC3">
        <w:t xml:space="preserve"> </w:t>
      </w:r>
      <w:r w:rsidR="00610ADA" w:rsidRPr="00382917">
        <w:t>grace</w:t>
      </w:r>
      <w:r w:rsidR="00EE4FC3">
        <w:t xml:space="preserve"> </w:t>
      </w:r>
      <w:r w:rsidR="00610ADA" w:rsidRPr="00382917">
        <w:t>and</w:t>
      </w:r>
      <w:r w:rsidR="00EE4FC3">
        <w:t xml:space="preserve"> </w:t>
      </w:r>
      <w:r w:rsidR="00610ADA" w:rsidRPr="00382917">
        <w:t>recognize</w:t>
      </w:r>
      <w:r w:rsidR="00EE4FC3">
        <w:t xml:space="preserve"> </w:t>
      </w:r>
      <w:r w:rsidR="00610ADA" w:rsidRPr="00382917">
        <w:t>its</w:t>
      </w:r>
      <w:r w:rsidR="00EE4FC3">
        <w:t xml:space="preserve"> </w:t>
      </w:r>
      <w:proofErr w:type="spellStart"/>
      <w:r w:rsidR="00610ADA" w:rsidRPr="00382917">
        <w:t>splendor</w:t>
      </w:r>
      <w:proofErr w:type="spellEnd"/>
      <w:r w:rsidR="00610ADA" w:rsidRPr="00382917">
        <w:t>.</w:t>
      </w:r>
      <w:r w:rsidRPr="00382917">
        <w:t>”</w:t>
      </w:r>
    </w:p>
    <w:p w:rsidR="00610ADA" w:rsidRPr="00382917" w:rsidRDefault="00610ADA" w:rsidP="00900F24">
      <w:pPr>
        <w:pStyle w:val="Text"/>
      </w:pPr>
      <w:r w:rsidRPr="00382917">
        <w:t>To</w:t>
      </w:r>
      <w:r w:rsidR="00EE4FC3">
        <w:t xml:space="preserve"> </w:t>
      </w:r>
      <w:r w:rsidRPr="00382917">
        <w:t>soften</w:t>
      </w:r>
      <w:r w:rsidR="00EE4FC3">
        <w:t xml:space="preserve"> </w:t>
      </w:r>
      <w:r w:rsidRPr="00382917">
        <w:t>the</w:t>
      </w:r>
      <w:r w:rsidR="00EE4FC3">
        <w:t xml:space="preserve"> </w:t>
      </w:r>
      <w:r w:rsidRPr="00382917">
        <w:t>blow</w:t>
      </w:r>
      <w:r w:rsidR="00EE4FC3">
        <w:t xml:space="preserve"> </w:t>
      </w:r>
      <w:r w:rsidRPr="00382917">
        <w:t>of</w:t>
      </w:r>
      <w:r w:rsidR="00EE4FC3">
        <w:t xml:space="preserve"> </w:t>
      </w:r>
      <w:r w:rsidRPr="00382917">
        <w:t>disappointment</w:t>
      </w:r>
      <w:r w:rsidR="00EE4FC3">
        <w:t xml:space="preserve"> </w:t>
      </w:r>
      <w:r w:rsidRPr="00382917">
        <w:t>for</w:t>
      </w:r>
      <w:r w:rsidR="00EE4FC3">
        <w:t xml:space="preserve"> </w:t>
      </w:r>
      <w:r w:rsidRPr="00382917">
        <w:t>Mullá</w:t>
      </w:r>
      <w:r w:rsidR="00EE4FC3">
        <w:t xml:space="preserve"> </w:t>
      </w:r>
      <w:r w:rsidR="00964C11" w:rsidRPr="00382917">
        <w:t>Ḥusayn</w:t>
      </w:r>
      <w:r w:rsidR="00EE4FC3">
        <w:t xml:space="preserve"> </w:t>
      </w:r>
      <w:r w:rsidRPr="00382917">
        <w:t>at</w:t>
      </w:r>
      <w:r w:rsidR="00EE4FC3">
        <w:t xml:space="preserve"> </w:t>
      </w:r>
      <w:r w:rsidRPr="00382917">
        <w:t>being</w:t>
      </w:r>
      <w:r w:rsidR="00EE4FC3">
        <w:t xml:space="preserve"> </w:t>
      </w:r>
      <w:r w:rsidRPr="00382917">
        <w:t>left</w:t>
      </w:r>
      <w:r w:rsidR="00EE4FC3">
        <w:t xml:space="preserve"> </w:t>
      </w:r>
      <w:r w:rsidRPr="00382917">
        <w:t>behind,</w:t>
      </w:r>
      <w:r w:rsidR="00EE4FC3">
        <w:t xml:space="preserve"> </w:t>
      </w:r>
      <w:r w:rsidRPr="00382917">
        <w:t>the</w:t>
      </w:r>
      <w:r w:rsidR="00EE4FC3">
        <w:t xml:space="preserve"> </w:t>
      </w:r>
      <w:r w:rsidRPr="00382917">
        <w:t>Báb</w:t>
      </w:r>
      <w:r w:rsidR="00EE4FC3">
        <w:t xml:space="preserve"> </w:t>
      </w:r>
      <w:r w:rsidRPr="00382917">
        <w:t>once</w:t>
      </w:r>
      <w:r w:rsidR="00EE4FC3">
        <w:t xml:space="preserve"> </w:t>
      </w:r>
      <w:r w:rsidRPr="00382917">
        <w:t>again</w:t>
      </w:r>
      <w:r w:rsidR="00EE4FC3">
        <w:t xml:space="preserve"> </w:t>
      </w:r>
      <w:r w:rsidRPr="00382917">
        <w:t>emphasized</w:t>
      </w:r>
      <w:r w:rsidR="00EE4FC3">
        <w:t xml:space="preserve"> </w:t>
      </w:r>
      <w:r w:rsidRPr="00382917">
        <w:t>the</w:t>
      </w:r>
      <w:r w:rsidR="00EE4FC3">
        <w:t xml:space="preserve"> </w:t>
      </w:r>
      <w:r w:rsidRPr="00382917">
        <w:t>importance</w:t>
      </w:r>
      <w:r w:rsidR="00EE4FC3">
        <w:t xml:space="preserve"> </w:t>
      </w:r>
      <w:r w:rsidRPr="00382917">
        <w:t>of</w:t>
      </w:r>
      <w:r w:rsidR="00EE4FC3">
        <w:t xml:space="preserve"> </w:t>
      </w:r>
      <w:r w:rsidRPr="00382917">
        <w:t>Ṭihrán</w:t>
      </w:r>
      <w:r w:rsidR="00EE4FC3">
        <w:t xml:space="preserve"> </w:t>
      </w:r>
      <w:r w:rsidRPr="00382917">
        <w:t>and</w:t>
      </w:r>
      <w:r w:rsidR="00EE4FC3">
        <w:t xml:space="preserve"> </w:t>
      </w:r>
      <w:r w:rsidRPr="00382917">
        <w:t>Mullá</w:t>
      </w:r>
      <w:r w:rsidR="00EE4FC3">
        <w:t xml:space="preserve"> </w:t>
      </w:r>
      <w:proofErr w:type="spellStart"/>
      <w:r w:rsidR="00964C11" w:rsidRPr="00382917">
        <w:t>Ḥusayn</w:t>
      </w:r>
      <w:r w:rsidR="009C713D" w:rsidRPr="00382917">
        <w:t>’</w:t>
      </w:r>
      <w:r w:rsidRPr="00382917">
        <w:t>s</w:t>
      </w:r>
      <w:proofErr w:type="spellEnd"/>
      <w:r w:rsidR="00EE4FC3">
        <w:t xml:space="preserve"> </w:t>
      </w:r>
      <w:r w:rsidRPr="00382917">
        <w:t>visit</w:t>
      </w:r>
      <w:r w:rsidR="00EE4FC3">
        <w:t xml:space="preserve"> </w:t>
      </w:r>
      <w:r w:rsidRPr="00382917">
        <w:t>there,</w:t>
      </w:r>
      <w:r w:rsidR="00EE4FC3">
        <w:t xml:space="preserve"> </w:t>
      </w:r>
      <w:r w:rsidRPr="00382917">
        <w:t>thus</w:t>
      </w:r>
      <w:r w:rsidR="00EE4FC3">
        <w:t xml:space="preserve"> </w:t>
      </w:r>
      <w:r w:rsidRPr="00382917">
        <w:t>alluding</w:t>
      </w:r>
      <w:r w:rsidR="00EE4FC3">
        <w:t xml:space="preserve"> </w:t>
      </w:r>
      <w:r w:rsidRPr="00382917">
        <w:t>to</w:t>
      </w:r>
      <w:r w:rsidR="00EE4FC3">
        <w:t xml:space="preserve"> </w:t>
      </w:r>
      <w:r w:rsidRPr="00382917">
        <w:t>the</w:t>
      </w:r>
      <w:r w:rsidR="00EE4FC3">
        <w:t xml:space="preserve"> </w:t>
      </w:r>
      <w:r w:rsidRPr="00382917">
        <w:t>birthplace</w:t>
      </w:r>
      <w:r w:rsidR="00EE4FC3">
        <w:t xml:space="preserve"> </w:t>
      </w:r>
      <w:r w:rsidRPr="00382917">
        <w:t>of</w:t>
      </w:r>
      <w:r w:rsidR="00EE4FC3">
        <w:t xml:space="preserve"> </w:t>
      </w:r>
      <w:r w:rsidRPr="00382917">
        <w:t>both</w:t>
      </w:r>
      <w:r w:rsidR="00EE4FC3">
        <w:t xml:space="preserve"> </w:t>
      </w:r>
      <w:r w:rsidRPr="00382917">
        <w:t>Bahá</w:t>
      </w:r>
      <w:r w:rsidR="009C713D" w:rsidRPr="00382917">
        <w:t>’</w:t>
      </w:r>
      <w:r w:rsidRPr="00382917">
        <w:t>u</w:t>
      </w:r>
      <w:r w:rsidR="009C713D" w:rsidRPr="00382917">
        <w:t>’</w:t>
      </w:r>
      <w:r w:rsidRPr="00382917">
        <w:t>lláh</w:t>
      </w:r>
      <w:r w:rsidR="00EE4FC3">
        <w:t xml:space="preserve"> </w:t>
      </w:r>
      <w:r w:rsidRPr="00382917">
        <w:t>and</w:t>
      </w:r>
      <w:r w:rsidR="00EE4FC3">
        <w:t xml:space="preserve"> </w:t>
      </w:r>
      <w:r w:rsidRPr="00382917">
        <w:t>Himself.</w:t>
      </w:r>
    </w:p>
    <w:p w:rsidR="00E13D49" w:rsidRPr="00382917" w:rsidRDefault="009C713D" w:rsidP="00E93A55">
      <w:pPr>
        <w:pStyle w:val="Text"/>
      </w:pPr>
      <w:r w:rsidRPr="00382917">
        <w:t>“</w:t>
      </w:r>
      <w:r w:rsidR="00610ADA" w:rsidRPr="00382917">
        <w:t>Grieve</w:t>
      </w:r>
      <w:r w:rsidR="00EE4FC3">
        <w:t xml:space="preserve"> </w:t>
      </w:r>
      <w:r w:rsidR="00610ADA" w:rsidRPr="00382917">
        <w:t>not</w:t>
      </w:r>
      <w:r w:rsidR="00EE4FC3">
        <w:t xml:space="preserve"> </w:t>
      </w:r>
      <w:r w:rsidR="00610ADA" w:rsidRPr="00382917">
        <w:t>that</w:t>
      </w:r>
      <w:r w:rsidR="00EE4FC3">
        <w:t xml:space="preserve"> </w:t>
      </w:r>
      <w:r w:rsidR="00610ADA" w:rsidRPr="00382917">
        <w:t>you</w:t>
      </w:r>
      <w:r w:rsidR="00EE4FC3">
        <w:t xml:space="preserve"> </w:t>
      </w:r>
      <w:r w:rsidR="00610ADA" w:rsidRPr="00382917">
        <w:t>have</w:t>
      </w:r>
      <w:r w:rsidR="00EE4FC3">
        <w:t xml:space="preserve"> </w:t>
      </w:r>
      <w:r w:rsidR="00610ADA" w:rsidRPr="00382917">
        <w:t>not</w:t>
      </w:r>
      <w:r w:rsidR="00EE4FC3">
        <w:t xml:space="preserve"> </w:t>
      </w:r>
      <w:r w:rsidR="00610ADA" w:rsidRPr="00382917">
        <w:t>been</w:t>
      </w:r>
      <w:r w:rsidR="00EE4FC3">
        <w:t xml:space="preserve"> </w:t>
      </w:r>
      <w:r w:rsidR="00610ADA" w:rsidRPr="00382917">
        <w:t>chosen</w:t>
      </w:r>
      <w:r w:rsidR="00EE4FC3">
        <w:t xml:space="preserve"> </w:t>
      </w:r>
      <w:r w:rsidR="00610ADA" w:rsidRPr="00382917">
        <w:t>to</w:t>
      </w:r>
      <w:r w:rsidR="00EE4FC3">
        <w:t xml:space="preserve"> </w:t>
      </w:r>
      <w:r w:rsidR="00610ADA" w:rsidRPr="00382917">
        <w:t>accompany</w:t>
      </w:r>
      <w:r w:rsidR="00EE4FC3">
        <w:t xml:space="preserve"> </w:t>
      </w:r>
      <w:proofErr w:type="gramStart"/>
      <w:r w:rsidR="00610ADA" w:rsidRPr="00382917">
        <w:t>Me</w:t>
      </w:r>
      <w:proofErr w:type="gramEnd"/>
      <w:r w:rsidR="004C6510">
        <w:t>.</w:t>
      </w:r>
      <w:r w:rsidR="00EE4FC3">
        <w:t xml:space="preserve"> </w:t>
      </w:r>
      <w:r w:rsidR="00F04416" w:rsidRPr="00382917">
        <w:t>…</w:t>
      </w:r>
      <w:r w:rsidR="00EE4FC3">
        <w:t xml:space="preserve"> </w:t>
      </w:r>
      <w:r w:rsidR="004C6510">
        <w:t xml:space="preserve"> </w:t>
      </w:r>
      <w:r w:rsidR="00610ADA" w:rsidRPr="00382917">
        <w:t>I</w:t>
      </w:r>
      <w:r w:rsidR="00EE4FC3">
        <w:t xml:space="preserve"> </w:t>
      </w:r>
      <w:r w:rsidR="00610ADA" w:rsidRPr="00382917">
        <w:t>shall,</w:t>
      </w:r>
      <w:r w:rsidR="00EE4FC3">
        <w:t xml:space="preserve"> </w:t>
      </w:r>
      <w:r w:rsidR="00610ADA" w:rsidRPr="00382917">
        <w:t>instead,</w:t>
      </w:r>
      <w:r w:rsidR="00EE4FC3">
        <w:t xml:space="preserve"> </w:t>
      </w:r>
      <w:r w:rsidR="00610ADA" w:rsidRPr="00382917">
        <w:t>direct</w:t>
      </w:r>
      <w:r w:rsidR="00EE4FC3">
        <w:t xml:space="preserve"> </w:t>
      </w:r>
      <w:r w:rsidR="00610ADA" w:rsidRPr="00382917">
        <w:t>your</w:t>
      </w:r>
      <w:r w:rsidR="00EE4FC3">
        <w:t xml:space="preserve"> </w:t>
      </w:r>
      <w:r w:rsidR="00610ADA" w:rsidRPr="00382917">
        <w:t>steps</w:t>
      </w:r>
      <w:r w:rsidR="00EE4FC3">
        <w:t xml:space="preserve"> </w:t>
      </w:r>
      <w:r w:rsidR="00610ADA" w:rsidRPr="00382917">
        <w:t>to</w:t>
      </w:r>
      <w:r w:rsidR="00EE4FC3">
        <w:t xml:space="preserve"> </w:t>
      </w:r>
      <w:r w:rsidR="00610ADA" w:rsidRPr="00382917">
        <w:t>that</w:t>
      </w:r>
      <w:r w:rsidR="00EE4FC3">
        <w:t xml:space="preserve"> </w:t>
      </w:r>
      <w:r w:rsidR="00610ADA" w:rsidRPr="00382917">
        <w:t>city</w:t>
      </w:r>
      <w:r w:rsidR="00EE4FC3">
        <w:t xml:space="preserve"> </w:t>
      </w:r>
      <w:r w:rsidR="00610ADA" w:rsidRPr="00382917">
        <w:t>which</w:t>
      </w:r>
      <w:r w:rsidR="00EE4FC3">
        <w:t xml:space="preserve"> </w:t>
      </w:r>
      <w:r w:rsidR="00610ADA" w:rsidRPr="00382917">
        <w:t>enshrines</w:t>
      </w:r>
      <w:r w:rsidR="00EE4FC3">
        <w:t xml:space="preserve"> </w:t>
      </w:r>
      <w:r w:rsidR="00610ADA" w:rsidRPr="00382917">
        <w:t>a</w:t>
      </w:r>
      <w:r w:rsidR="00EE4FC3">
        <w:t xml:space="preserve"> </w:t>
      </w:r>
      <w:r w:rsidR="00610ADA" w:rsidRPr="00382917">
        <w:t>Mystery</w:t>
      </w:r>
      <w:r w:rsidR="00EE4FC3">
        <w:t xml:space="preserve"> </w:t>
      </w:r>
      <w:r w:rsidR="00610ADA" w:rsidRPr="00382917">
        <w:t>of</w:t>
      </w:r>
      <w:r w:rsidR="00EE4FC3">
        <w:t xml:space="preserve"> </w:t>
      </w:r>
      <w:r w:rsidR="00610ADA" w:rsidRPr="00382917">
        <w:t>such</w:t>
      </w:r>
      <w:r w:rsidR="00EE4FC3">
        <w:t xml:space="preserve"> </w:t>
      </w:r>
      <w:r w:rsidR="00610ADA" w:rsidRPr="00382917">
        <w:t>transcendent</w:t>
      </w:r>
      <w:r w:rsidR="00EE4FC3">
        <w:t xml:space="preserve"> </w:t>
      </w:r>
      <w:r w:rsidR="00610ADA" w:rsidRPr="00382917">
        <w:t>holiness</w:t>
      </w:r>
      <w:r w:rsidR="00EE4FC3">
        <w:t xml:space="preserve"> </w:t>
      </w:r>
      <w:r w:rsidR="00F04416" w:rsidRPr="00382917">
        <w:t>…</w:t>
      </w:r>
      <w:r w:rsidR="00EE4FC3">
        <w:t xml:space="preserve"> </w:t>
      </w:r>
      <w:r w:rsidR="00610ADA" w:rsidRPr="00382917">
        <w:t>as</w:t>
      </w:r>
      <w:r w:rsidR="00EE4FC3">
        <w:t xml:space="preserve"> </w:t>
      </w:r>
      <w:r w:rsidR="008A073E" w:rsidRPr="00382917">
        <w:rPr>
          <w:u w:val="single"/>
        </w:rPr>
        <w:t>Sh</w:t>
      </w:r>
      <w:r w:rsidR="008A073E" w:rsidRPr="00382917">
        <w:t>íráz</w:t>
      </w:r>
      <w:r w:rsidR="00EE4FC3">
        <w:t xml:space="preserve"> </w:t>
      </w:r>
      <w:r w:rsidR="00610ADA" w:rsidRPr="00382917">
        <w:t>cannot</w:t>
      </w:r>
      <w:r w:rsidR="00EE4FC3">
        <w:t xml:space="preserve"> </w:t>
      </w:r>
      <w:r w:rsidR="00610ADA" w:rsidRPr="00382917">
        <w:t>hope</w:t>
      </w:r>
      <w:r w:rsidR="00EE4FC3">
        <w:t xml:space="preserve"> </w:t>
      </w:r>
      <w:r w:rsidR="00610ADA" w:rsidRPr="00382917">
        <w:t>to</w:t>
      </w:r>
      <w:r w:rsidR="00EE4FC3">
        <w:t xml:space="preserve"> </w:t>
      </w:r>
      <w:r w:rsidR="00610ADA" w:rsidRPr="00382917">
        <w:t>rival.</w:t>
      </w:r>
      <w:r w:rsidRPr="00382917">
        <w:t>”</w:t>
      </w:r>
      <w:r w:rsidR="00E93A55">
        <w:rPr>
          <w:rStyle w:val="FootnoteReference"/>
        </w:rPr>
        <w:footnoteReference w:id="205"/>
      </w:r>
    </w:p>
    <w:p w:rsidR="00610ADA" w:rsidRPr="00382917" w:rsidRDefault="00610ADA" w:rsidP="00900F24">
      <w:pPr>
        <w:pStyle w:val="Text"/>
      </w:pPr>
      <w:r w:rsidRPr="00382917">
        <w:t>Mullá</w:t>
      </w:r>
      <w:r w:rsidR="00EE4FC3">
        <w:t xml:space="preserve"> </w:t>
      </w:r>
      <w:r w:rsidR="00964C11" w:rsidRPr="00382917">
        <w:t>Ḥusayn</w:t>
      </w:r>
      <w:r w:rsidR="00EE4FC3">
        <w:t xml:space="preserve"> </w:t>
      </w:r>
      <w:r w:rsidRPr="00382917">
        <w:t>reached</w:t>
      </w:r>
      <w:r w:rsidR="00EE4FC3">
        <w:t xml:space="preserve"> </w:t>
      </w:r>
      <w:r w:rsidRPr="00382917">
        <w:t>Ṭihrán</w:t>
      </w:r>
      <w:r w:rsidR="00330AF7">
        <w:t>.</w:t>
      </w:r>
      <w:r w:rsidR="00EE4FC3">
        <w:t xml:space="preserve">  </w:t>
      </w:r>
      <w:r w:rsidRPr="00382917">
        <w:t>He</w:t>
      </w:r>
      <w:r w:rsidR="00EE4FC3">
        <w:t xml:space="preserve"> </w:t>
      </w:r>
      <w:r w:rsidRPr="00382917">
        <w:t>spent</w:t>
      </w:r>
      <w:r w:rsidR="00EE4FC3">
        <w:t xml:space="preserve"> </w:t>
      </w:r>
      <w:r w:rsidRPr="00382917">
        <w:t>the</w:t>
      </w:r>
      <w:r w:rsidR="00EE4FC3">
        <w:t xml:space="preserve"> </w:t>
      </w:r>
      <w:r w:rsidRPr="00382917">
        <w:t>daylight</w:t>
      </w:r>
      <w:r w:rsidR="00EE4FC3">
        <w:t xml:space="preserve"> </w:t>
      </w:r>
      <w:r w:rsidRPr="00382917">
        <w:t>hours</w:t>
      </w:r>
      <w:r w:rsidR="00EE4FC3">
        <w:t xml:space="preserve"> </w:t>
      </w:r>
      <w:r w:rsidRPr="00382917">
        <w:t>teaching</w:t>
      </w:r>
      <w:r w:rsidR="00EE4FC3">
        <w:t xml:space="preserve"> </w:t>
      </w:r>
      <w:r w:rsidRPr="00382917">
        <w:t>the</w:t>
      </w:r>
      <w:r w:rsidR="00EE4FC3">
        <w:t xml:space="preserve"> </w:t>
      </w:r>
      <w:r w:rsidRPr="00382917">
        <w:t>Faith</w:t>
      </w:r>
      <w:r w:rsidR="00EE4FC3">
        <w:t xml:space="preserve"> </w:t>
      </w:r>
      <w:r w:rsidRPr="00382917">
        <w:t>of</w:t>
      </w:r>
      <w:r w:rsidR="00EE4FC3">
        <w:t xml:space="preserve"> </w:t>
      </w:r>
      <w:r w:rsidRPr="00382917">
        <w:t>the</w:t>
      </w:r>
      <w:r w:rsidR="00EE4FC3">
        <w:t xml:space="preserve"> </w:t>
      </w:r>
      <w:r w:rsidRPr="00382917">
        <w:t>Báb,</w:t>
      </w:r>
      <w:r w:rsidR="00EE4FC3">
        <w:t xml:space="preserve"> </w:t>
      </w:r>
      <w:r w:rsidRPr="00382917">
        <w:t>but</w:t>
      </w:r>
      <w:r w:rsidR="00EE4FC3">
        <w:t xml:space="preserve"> </w:t>
      </w:r>
      <w:r w:rsidRPr="00382917">
        <w:t>from</w:t>
      </w:r>
      <w:r w:rsidR="00EE4FC3">
        <w:t xml:space="preserve"> </w:t>
      </w:r>
      <w:r w:rsidRPr="00382917">
        <w:t>sunset</w:t>
      </w:r>
      <w:r w:rsidR="00EE4FC3">
        <w:t xml:space="preserve"> </w:t>
      </w:r>
      <w:r w:rsidRPr="00382917">
        <w:t>to</w:t>
      </w:r>
      <w:r w:rsidR="00EE4FC3">
        <w:t xml:space="preserve"> </w:t>
      </w:r>
      <w:r w:rsidRPr="00382917">
        <w:t>dawn</w:t>
      </w:r>
      <w:r w:rsidR="00EE4FC3">
        <w:t xml:space="preserve"> </w:t>
      </w:r>
      <w:r w:rsidRPr="00382917">
        <w:t>he</w:t>
      </w:r>
      <w:r w:rsidR="00EE4FC3">
        <w:t xml:space="preserve"> </w:t>
      </w:r>
      <w:r w:rsidRPr="00382917">
        <w:t>remained</w:t>
      </w:r>
      <w:r w:rsidR="00EE4FC3">
        <w:t xml:space="preserve"> </w:t>
      </w:r>
      <w:r w:rsidRPr="00382917">
        <w:t>alone</w:t>
      </w:r>
      <w:r w:rsidR="00EE4FC3">
        <w:t xml:space="preserve"> </w:t>
      </w:r>
      <w:r w:rsidRPr="00382917">
        <w:t>in</w:t>
      </w:r>
      <w:r w:rsidR="00EE4FC3">
        <w:t xml:space="preserve"> </w:t>
      </w:r>
      <w:r w:rsidRPr="00382917">
        <w:t>his</w:t>
      </w:r>
      <w:r w:rsidR="00EE4FC3">
        <w:t xml:space="preserve"> </w:t>
      </w:r>
      <w:r w:rsidRPr="00382917">
        <w:t>room</w:t>
      </w:r>
      <w:r w:rsidR="00EE4FC3">
        <w:t xml:space="preserve"> </w:t>
      </w:r>
      <w:r w:rsidRPr="00382917">
        <w:t>in</w:t>
      </w:r>
      <w:r w:rsidR="00EE4FC3">
        <w:t xml:space="preserve"> </w:t>
      </w:r>
      <w:r w:rsidRPr="00382917">
        <w:t>prayer</w:t>
      </w:r>
      <w:r w:rsidR="00EE4FC3">
        <w:t xml:space="preserve"> </w:t>
      </w:r>
      <w:r w:rsidRPr="00382917">
        <w:t>and</w:t>
      </w:r>
      <w:r w:rsidR="00EE4FC3">
        <w:t xml:space="preserve"> </w:t>
      </w:r>
      <w:r w:rsidRPr="00382917">
        <w:t>meditation,</w:t>
      </w:r>
      <w:r w:rsidR="00EE4FC3">
        <w:t xml:space="preserve"> </w:t>
      </w:r>
      <w:r w:rsidRPr="00382917">
        <w:t>beseeching</w:t>
      </w:r>
      <w:r w:rsidR="00EE4FC3">
        <w:t xml:space="preserve"> </w:t>
      </w:r>
      <w:r w:rsidRPr="00382917">
        <w:t>God</w:t>
      </w:r>
      <w:r w:rsidR="00EE4FC3">
        <w:t xml:space="preserve"> </w:t>
      </w:r>
      <w:r w:rsidRPr="00382917">
        <w:t>to</w:t>
      </w:r>
      <w:r w:rsidR="00EE4FC3">
        <w:t xml:space="preserve"> </w:t>
      </w:r>
      <w:r w:rsidRPr="00382917">
        <w:t>disclose</w:t>
      </w:r>
      <w:r w:rsidR="00EE4FC3">
        <w:t xml:space="preserve"> </w:t>
      </w:r>
      <w:r w:rsidRPr="00382917">
        <w:t>to</w:t>
      </w:r>
      <w:r w:rsidR="00EE4FC3">
        <w:t xml:space="preserve"> </w:t>
      </w:r>
      <w:r w:rsidRPr="00382917">
        <w:t>him</w:t>
      </w:r>
      <w:r w:rsidR="00EE4FC3">
        <w:t xml:space="preserve"> </w:t>
      </w:r>
      <w:r w:rsidRPr="00382917">
        <w:t>this</w:t>
      </w:r>
      <w:r w:rsidR="00EE4FC3">
        <w:t xml:space="preserve"> </w:t>
      </w:r>
      <w:r w:rsidRPr="00382917">
        <w:t>holy</w:t>
      </w:r>
      <w:r w:rsidR="00EE4FC3">
        <w:t xml:space="preserve"> </w:t>
      </w:r>
      <w:r w:rsidR="009C713D" w:rsidRPr="00382917">
        <w:t>“</w:t>
      </w:r>
      <w:r w:rsidRPr="00382917">
        <w:t>Mystery</w:t>
      </w:r>
      <w:r w:rsidR="009C713D" w:rsidRPr="00382917">
        <w:t>”</w:t>
      </w:r>
      <w:r w:rsidR="00EE4FC3">
        <w:t xml:space="preserve"> </w:t>
      </w:r>
      <w:r w:rsidRPr="00382917">
        <w:t>of</w:t>
      </w:r>
      <w:r w:rsidR="00EE4FC3">
        <w:t xml:space="preserve"> </w:t>
      </w:r>
      <w:r w:rsidRPr="00382917">
        <w:t>which</w:t>
      </w:r>
      <w:r w:rsidR="00EE4FC3">
        <w:t xml:space="preserve"> </w:t>
      </w:r>
      <w:r w:rsidRPr="00382917">
        <w:t>the</w:t>
      </w:r>
      <w:r w:rsidR="00EE4FC3">
        <w:t xml:space="preserve"> </w:t>
      </w:r>
      <w:r w:rsidRPr="00382917">
        <w:t>Báb</w:t>
      </w:r>
      <w:r w:rsidR="00EE4FC3">
        <w:t xml:space="preserve"> </w:t>
      </w:r>
      <w:r w:rsidRPr="00382917">
        <w:t>had</w:t>
      </w:r>
      <w:r w:rsidR="00EE4FC3">
        <w:t xml:space="preserve"> </w:t>
      </w:r>
      <w:r w:rsidRPr="00382917">
        <w:t>spoken,</w:t>
      </w:r>
      <w:r w:rsidR="00EE4FC3">
        <w:t xml:space="preserve"> </w:t>
      </w:r>
      <w:r w:rsidRPr="00382917">
        <w:t>and</w:t>
      </w:r>
      <w:r w:rsidR="00EE4FC3">
        <w:t xml:space="preserve"> </w:t>
      </w:r>
      <w:r w:rsidRPr="00382917">
        <w:t>to</w:t>
      </w:r>
      <w:r w:rsidR="00EE4FC3">
        <w:t xml:space="preserve"> </w:t>
      </w:r>
      <w:r w:rsidRPr="00382917">
        <w:t>lead</w:t>
      </w:r>
      <w:r w:rsidR="00EE4FC3">
        <w:t xml:space="preserve"> </w:t>
      </w:r>
      <w:r w:rsidRPr="00382917">
        <w:t>him</w:t>
      </w:r>
      <w:r w:rsidR="00EE4FC3">
        <w:t xml:space="preserve"> </w:t>
      </w:r>
      <w:r w:rsidRPr="00382917">
        <w:t>to</w:t>
      </w:r>
      <w:r w:rsidR="00EE4FC3">
        <w:t xml:space="preserve"> </w:t>
      </w:r>
      <w:r w:rsidRPr="00382917">
        <w:t>the</w:t>
      </w:r>
      <w:r w:rsidR="00EE4FC3">
        <w:t xml:space="preserve"> </w:t>
      </w:r>
      <w:r w:rsidR="009C713D" w:rsidRPr="00382917">
        <w:t>“</w:t>
      </w:r>
      <w:r w:rsidRPr="00382917">
        <w:t>mansion</w:t>
      </w:r>
      <w:r w:rsidR="009C713D" w:rsidRPr="00382917">
        <w:t>”</w:t>
      </w:r>
      <w:r w:rsidR="00EE4FC3">
        <w:t xml:space="preserve"> </w:t>
      </w:r>
      <w:r w:rsidRPr="00382917">
        <w:t>of</w:t>
      </w:r>
      <w:r w:rsidR="00EE4FC3">
        <w:t xml:space="preserve"> </w:t>
      </w:r>
      <w:r w:rsidRPr="00382917">
        <w:t>the</w:t>
      </w:r>
      <w:r w:rsidR="00EE4FC3">
        <w:t xml:space="preserve"> </w:t>
      </w:r>
      <w:r w:rsidRPr="00382917">
        <w:t>Báb</w:t>
      </w:r>
      <w:r w:rsidR="009C713D" w:rsidRPr="00382917">
        <w:t>’</w:t>
      </w:r>
      <w:r w:rsidRPr="00382917">
        <w:t>s</w:t>
      </w:r>
      <w:r w:rsidR="00EE4FC3">
        <w:t xml:space="preserve"> </w:t>
      </w:r>
      <w:r w:rsidRPr="00382917">
        <w:t>Beloved.</w:t>
      </w:r>
    </w:p>
    <w:p w:rsidR="00610ADA" w:rsidRPr="00382917" w:rsidRDefault="00610ADA" w:rsidP="00900F24">
      <w:pPr>
        <w:pStyle w:val="Text"/>
      </w:pPr>
      <w:r w:rsidRPr="00382917">
        <w:t>Mullá</w:t>
      </w:r>
      <w:r w:rsidR="00EE4FC3">
        <w:t xml:space="preserve"> </w:t>
      </w:r>
      <w:r w:rsidR="00964C11" w:rsidRPr="00382917">
        <w:t>Ḥusayn</w:t>
      </w:r>
      <w:r w:rsidR="00EE4FC3">
        <w:t xml:space="preserve"> </w:t>
      </w:r>
      <w:r w:rsidRPr="00382917">
        <w:t>met</w:t>
      </w:r>
      <w:r w:rsidR="00EE4FC3">
        <w:t xml:space="preserve"> </w:t>
      </w:r>
      <w:r w:rsidRPr="00382917">
        <w:t>Mullá</w:t>
      </w:r>
      <w:r w:rsidR="00EE4FC3">
        <w:t xml:space="preserve"> </w:t>
      </w:r>
      <w:r w:rsidRPr="00382917">
        <w:t>Muḥammad</w:t>
      </w:r>
      <w:r w:rsidR="00EE4FC3">
        <w:t xml:space="preserve"> </w:t>
      </w:r>
      <w:r w:rsidRPr="00382917">
        <w:t>of</w:t>
      </w:r>
      <w:r w:rsidR="00EE4FC3">
        <w:t xml:space="preserve"> </w:t>
      </w:r>
      <w:r w:rsidRPr="00382917">
        <w:t>Núr</w:t>
      </w:r>
      <w:r w:rsidR="00EE4FC3">
        <w:t xml:space="preserve"> </w:t>
      </w:r>
      <w:r w:rsidRPr="00382917">
        <w:t>at</w:t>
      </w:r>
      <w:r w:rsidR="00EE4FC3">
        <w:t xml:space="preserve"> </w:t>
      </w:r>
      <w:r w:rsidRPr="00382917">
        <w:t>this</w:t>
      </w:r>
      <w:r w:rsidR="00EE4FC3">
        <w:t xml:space="preserve"> </w:t>
      </w:r>
      <w:r w:rsidRPr="00382917">
        <w:t>time</w:t>
      </w:r>
      <w:r w:rsidR="00330AF7">
        <w:t>.</w:t>
      </w:r>
      <w:r w:rsidR="00EE4FC3">
        <w:t xml:space="preserve">  </w:t>
      </w:r>
      <w:r w:rsidRPr="00382917">
        <w:t>Mullá</w:t>
      </w:r>
      <w:r w:rsidR="00EE4FC3">
        <w:t xml:space="preserve"> </w:t>
      </w:r>
      <w:r w:rsidR="00964C11" w:rsidRPr="00382917">
        <w:t>Ḥusayn</w:t>
      </w:r>
      <w:r w:rsidR="00EE4FC3">
        <w:t xml:space="preserve"> </w:t>
      </w:r>
      <w:r w:rsidRPr="00382917">
        <w:t>asked</w:t>
      </w:r>
      <w:r w:rsidR="00EE4FC3">
        <w:t xml:space="preserve"> </w:t>
      </w:r>
      <w:r w:rsidRPr="00382917">
        <w:t>him</w:t>
      </w:r>
      <w:r w:rsidR="00EE4FC3">
        <w:t xml:space="preserve"> </w:t>
      </w:r>
      <w:r w:rsidRPr="00382917">
        <w:t>if</w:t>
      </w:r>
      <w:r w:rsidR="00EE4FC3">
        <w:t xml:space="preserve"> </w:t>
      </w:r>
      <w:r w:rsidRPr="00382917">
        <w:t>he</w:t>
      </w:r>
      <w:r w:rsidR="00EE4FC3">
        <w:t xml:space="preserve"> </w:t>
      </w:r>
      <w:r w:rsidRPr="00382917">
        <w:t>knew</w:t>
      </w:r>
      <w:r w:rsidR="00EE4FC3">
        <w:t xml:space="preserve"> </w:t>
      </w:r>
      <w:r w:rsidRPr="00382917">
        <w:t>any</w:t>
      </w:r>
      <w:r w:rsidR="00EE4FC3">
        <w:t xml:space="preserve"> </w:t>
      </w:r>
      <w:r w:rsidRPr="00382917">
        <w:t>person</w:t>
      </w:r>
      <w:r w:rsidR="00EE4FC3">
        <w:t xml:space="preserve"> </w:t>
      </w:r>
      <w:r w:rsidRPr="00382917">
        <w:t>who</w:t>
      </w:r>
      <w:r w:rsidR="00EE4FC3">
        <w:t xml:space="preserve"> </w:t>
      </w:r>
      <w:r w:rsidRPr="00382917">
        <w:t>was</w:t>
      </w:r>
      <w:r w:rsidR="00EE4FC3">
        <w:t xml:space="preserve"> </w:t>
      </w:r>
      <w:r w:rsidRPr="00382917">
        <w:t>distinguished</w:t>
      </w:r>
      <w:r w:rsidR="00EE4FC3">
        <w:t xml:space="preserve"> </w:t>
      </w:r>
      <w:r w:rsidRPr="00382917">
        <w:t>above</w:t>
      </w:r>
      <w:r w:rsidR="00EE4FC3">
        <w:t xml:space="preserve"> </w:t>
      </w:r>
      <w:r w:rsidRPr="00382917">
        <w:t>others,</w:t>
      </w:r>
      <w:r w:rsidR="00EE4FC3">
        <w:t xml:space="preserve"> </w:t>
      </w:r>
      <w:r w:rsidRPr="00382917">
        <w:t>someone</w:t>
      </w:r>
      <w:r w:rsidR="00EE4FC3">
        <w:t xml:space="preserve"> </w:t>
      </w:r>
      <w:r w:rsidRPr="00382917">
        <w:t>renowned</w:t>
      </w:r>
      <w:r w:rsidR="00EE4FC3">
        <w:t xml:space="preserve"> </w:t>
      </w:r>
      <w:r w:rsidRPr="00382917">
        <w:t>for</w:t>
      </w:r>
      <w:r w:rsidR="00EE4FC3">
        <w:t xml:space="preserve"> </w:t>
      </w:r>
      <w:r w:rsidRPr="00382917">
        <w:t>his</w:t>
      </w:r>
      <w:r w:rsidR="00EE4FC3">
        <w:t xml:space="preserve"> </w:t>
      </w:r>
      <w:r w:rsidRPr="00382917">
        <w:t>character.</w:t>
      </w:r>
    </w:p>
    <w:p w:rsidR="00610ADA" w:rsidRPr="00382917" w:rsidRDefault="009C713D" w:rsidP="00900F24">
      <w:pPr>
        <w:pStyle w:val="Text"/>
      </w:pPr>
      <w:r w:rsidRPr="00382917">
        <w:t>“</w:t>
      </w:r>
      <w:r w:rsidR="00610ADA" w:rsidRPr="00382917">
        <w:t>Yes,</w:t>
      </w:r>
      <w:r w:rsidR="00EE4FC3">
        <w:t xml:space="preserve"> </w:t>
      </w:r>
      <w:r w:rsidR="00610ADA" w:rsidRPr="00382917">
        <w:t>there</w:t>
      </w:r>
      <w:r w:rsidR="00EE4FC3">
        <w:t xml:space="preserve"> </w:t>
      </w:r>
      <w:r w:rsidR="00610ADA" w:rsidRPr="00382917">
        <w:t>is</w:t>
      </w:r>
      <w:r w:rsidR="00EE4FC3">
        <w:t xml:space="preserve"> </w:t>
      </w:r>
      <w:r w:rsidR="00610ADA" w:rsidRPr="00382917">
        <w:t>one,</w:t>
      </w:r>
      <w:r w:rsidRPr="00382917">
        <w:t>”</w:t>
      </w:r>
      <w:r w:rsidR="00EE4FC3">
        <w:t xml:space="preserve"> </w:t>
      </w:r>
      <w:r w:rsidR="00610ADA" w:rsidRPr="00382917">
        <w:t>Mullá</w:t>
      </w:r>
      <w:r w:rsidR="00EE4FC3">
        <w:t xml:space="preserve"> </w:t>
      </w:r>
      <w:r w:rsidR="00610ADA" w:rsidRPr="00382917">
        <w:t>Muḥammad</w:t>
      </w:r>
      <w:r w:rsidR="00EE4FC3">
        <w:t xml:space="preserve"> </w:t>
      </w:r>
      <w:r w:rsidR="00610ADA" w:rsidRPr="00382917">
        <w:t>told</w:t>
      </w:r>
      <w:r w:rsidR="00EE4FC3">
        <w:t xml:space="preserve"> </w:t>
      </w:r>
      <w:r w:rsidR="00610ADA" w:rsidRPr="00382917">
        <w:t>him.</w:t>
      </w:r>
    </w:p>
    <w:p w:rsidR="00610ADA" w:rsidRPr="00382917" w:rsidRDefault="009C713D" w:rsidP="00900F24">
      <w:pPr>
        <w:pStyle w:val="Text"/>
      </w:pPr>
      <w:r w:rsidRPr="00382917">
        <w:t>“</w:t>
      </w:r>
      <w:r w:rsidR="00610ADA" w:rsidRPr="00382917">
        <w:t>What</w:t>
      </w:r>
      <w:r w:rsidR="00EE4FC3">
        <w:t xml:space="preserve"> </w:t>
      </w:r>
      <w:r w:rsidR="00610ADA" w:rsidRPr="00382917">
        <w:t>is</w:t>
      </w:r>
      <w:r w:rsidR="00EE4FC3">
        <w:t xml:space="preserve"> </w:t>
      </w:r>
      <w:r w:rsidR="00610ADA" w:rsidRPr="00382917">
        <w:t>his</w:t>
      </w:r>
      <w:r w:rsidR="00EE4FC3">
        <w:t xml:space="preserve"> </w:t>
      </w:r>
      <w:r w:rsidR="00610ADA" w:rsidRPr="00382917">
        <w:t>occupation?</w:t>
      </w:r>
      <w:proofErr w:type="gramStart"/>
      <w:r w:rsidRPr="00382917">
        <w:t>”</w:t>
      </w:r>
      <w:r w:rsidR="00EE4FC3">
        <w:t xml:space="preserve"> </w:t>
      </w:r>
      <w:proofErr w:type="gramEnd"/>
      <w:r w:rsidR="00610ADA" w:rsidRPr="00382917">
        <w:t>Mullá</w:t>
      </w:r>
      <w:r w:rsidR="00EE4FC3">
        <w:t xml:space="preserve"> </w:t>
      </w:r>
      <w:r w:rsidR="00964C11" w:rsidRPr="00382917">
        <w:t>Ḥusayn</w:t>
      </w:r>
      <w:r w:rsidR="00EE4FC3">
        <w:t xml:space="preserve"> </w:t>
      </w:r>
      <w:r w:rsidR="00610ADA" w:rsidRPr="00382917">
        <w:t>asked.</w:t>
      </w:r>
    </w:p>
    <w:p w:rsidR="00610ADA" w:rsidRPr="00382917" w:rsidRDefault="009C713D" w:rsidP="00900F24">
      <w:pPr>
        <w:pStyle w:val="Text"/>
      </w:pPr>
      <w:r w:rsidRPr="00382917">
        <w:t>“</w:t>
      </w:r>
      <w:r w:rsidR="00610ADA" w:rsidRPr="00382917">
        <w:t>He</w:t>
      </w:r>
      <w:r w:rsidR="00EE4FC3">
        <w:t xml:space="preserve"> </w:t>
      </w:r>
      <w:r w:rsidR="00610ADA" w:rsidRPr="00382917">
        <w:t>cheers</w:t>
      </w:r>
      <w:r w:rsidR="00EE4FC3">
        <w:t xml:space="preserve"> </w:t>
      </w:r>
      <w:r w:rsidR="00610ADA" w:rsidRPr="00382917">
        <w:t>the</w:t>
      </w:r>
      <w:r w:rsidR="00EE4FC3">
        <w:t xml:space="preserve"> </w:t>
      </w:r>
      <w:r w:rsidR="00610ADA" w:rsidRPr="00382917">
        <w:t>disconsolate</w:t>
      </w:r>
      <w:r w:rsidR="00EE4FC3">
        <w:t xml:space="preserve"> </w:t>
      </w:r>
      <w:r w:rsidR="00610ADA" w:rsidRPr="00382917">
        <w:t>and</w:t>
      </w:r>
      <w:r w:rsidR="00EE4FC3">
        <w:t xml:space="preserve"> </w:t>
      </w:r>
      <w:r w:rsidR="00610ADA" w:rsidRPr="00382917">
        <w:t>feeds</w:t>
      </w:r>
      <w:r w:rsidR="00EE4FC3">
        <w:t xml:space="preserve"> </w:t>
      </w:r>
      <w:r w:rsidR="00610ADA" w:rsidRPr="00382917">
        <w:t>the</w:t>
      </w:r>
      <w:r w:rsidR="00EE4FC3">
        <w:t xml:space="preserve"> </w:t>
      </w:r>
      <w:r w:rsidR="00610ADA" w:rsidRPr="00382917">
        <w:t>hungry.</w:t>
      </w:r>
      <w:r w:rsidRPr="00382917">
        <w:t>”</w:t>
      </w:r>
    </w:p>
    <w:p w:rsidR="00610ADA" w:rsidRPr="00382917" w:rsidRDefault="009C713D" w:rsidP="00900F24">
      <w:pPr>
        <w:pStyle w:val="Text"/>
      </w:pPr>
      <w:r w:rsidRPr="00382917">
        <w:t>“</w:t>
      </w:r>
      <w:r w:rsidR="00610ADA" w:rsidRPr="00382917">
        <w:t>What</w:t>
      </w:r>
      <w:r w:rsidR="00EE4FC3">
        <w:t xml:space="preserve"> </w:t>
      </w:r>
      <w:r w:rsidR="00610ADA" w:rsidRPr="00382917">
        <w:t>of</w:t>
      </w:r>
      <w:r w:rsidR="00EE4FC3">
        <w:t xml:space="preserve"> </w:t>
      </w:r>
      <w:r w:rsidR="00610ADA" w:rsidRPr="00382917">
        <w:t>his</w:t>
      </w:r>
      <w:r w:rsidR="00EE4FC3">
        <w:t xml:space="preserve"> </w:t>
      </w:r>
      <w:r w:rsidR="00610ADA" w:rsidRPr="00382917">
        <w:t>rank</w:t>
      </w:r>
      <w:r w:rsidR="00EE4FC3">
        <w:t xml:space="preserve"> </w:t>
      </w:r>
      <w:r w:rsidR="00610ADA" w:rsidRPr="00382917">
        <w:t>and</w:t>
      </w:r>
      <w:r w:rsidR="00EE4FC3">
        <w:t xml:space="preserve"> </w:t>
      </w:r>
      <w:r w:rsidR="00610ADA" w:rsidRPr="00382917">
        <w:t>position?</w:t>
      </w:r>
      <w:r w:rsidRPr="00382917">
        <w:t>”</w:t>
      </w:r>
    </w:p>
    <w:p w:rsidR="00610ADA" w:rsidRPr="00382917" w:rsidRDefault="009C713D" w:rsidP="00900F24">
      <w:pPr>
        <w:pStyle w:val="Text"/>
      </w:pPr>
      <w:r w:rsidRPr="00382917">
        <w:t>“</w:t>
      </w:r>
      <w:r w:rsidR="00610ADA" w:rsidRPr="00382917">
        <w:t>He</w:t>
      </w:r>
      <w:r w:rsidR="00EE4FC3">
        <w:t xml:space="preserve"> </w:t>
      </w:r>
      <w:r w:rsidR="00610ADA" w:rsidRPr="00382917">
        <w:t>has</w:t>
      </w:r>
      <w:r w:rsidR="00EE4FC3">
        <w:t xml:space="preserve"> </w:t>
      </w:r>
      <w:r w:rsidR="00610ADA" w:rsidRPr="00382917">
        <w:t>none</w:t>
      </w:r>
      <w:r w:rsidR="00EE4FC3">
        <w:t xml:space="preserve"> </w:t>
      </w:r>
      <w:r w:rsidR="00610ADA" w:rsidRPr="00382917">
        <w:t>apart</w:t>
      </w:r>
      <w:r w:rsidR="00EE4FC3">
        <w:t xml:space="preserve"> </w:t>
      </w:r>
      <w:r w:rsidR="00610ADA" w:rsidRPr="00382917">
        <w:t>from</w:t>
      </w:r>
      <w:r w:rsidR="00EE4FC3">
        <w:t xml:space="preserve"> </w:t>
      </w:r>
      <w:r w:rsidR="00610ADA" w:rsidRPr="00382917">
        <w:t>befriending</w:t>
      </w:r>
      <w:r w:rsidR="00EE4FC3">
        <w:t xml:space="preserve"> </w:t>
      </w:r>
      <w:r w:rsidR="00610ADA" w:rsidRPr="00382917">
        <w:t>the</w:t>
      </w:r>
      <w:r w:rsidR="00EE4FC3">
        <w:t xml:space="preserve"> </w:t>
      </w:r>
      <w:r w:rsidR="00610ADA" w:rsidRPr="00382917">
        <w:t>poor</w:t>
      </w:r>
      <w:r w:rsidR="00EE4FC3">
        <w:t xml:space="preserve"> </w:t>
      </w:r>
      <w:r w:rsidR="00610ADA" w:rsidRPr="00382917">
        <w:t>and</w:t>
      </w:r>
      <w:r w:rsidR="00EE4FC3">
        <w:t xml:space="preserve"> </w:t>
      </w:r>
      <w:r w:rsidR="00610ADA" w:rsidRPr="00382917">
        <w:t>the</w:t>
      </w:r>
      <w:r w:rsidR="00EE4FC3">
        <w:t xml:space="preserve"> </w:t>
      </w:r>
      <w:r w:rsidR="00610ADA" w:rsidRPr="00382917">
        <w:t>stranger.</w:t>
      </w:r>
      <w:r w:rsidRPr="00382917">
        <w:t>”</w:t>
      </w:r>
      <w:r w:rsidR="004C6510">
        <w:t xml:space="preserve"> </w:t>
      </w:r>
      <w:r w:rsidR="00EE4FC3">
        <w:t xml:space="preserve"> </w:t>
      </w:r>
      <w:r w:rsidRPr="00382917">
        <w:t>“</w:t>
      </w:r>
      <w:r w:rsidR="00610ADA" w:rsidRPr="00382917">
        <w:t>What</w:t>
      </w:r>
      <w:r w:rsidR="00EE4FC3">
        <w:t xml:space="preserve"> </w:t>
      </w:r>
      <w:r w:rsidR="00610ADA" w:rsidRPr="00382917">
        <w:t>is</w:t>
      </w:r>
      <w:r w:rsidR="00EE4FC3">
        <w:t xml:space="preserve"> </w:t>
      </w:r>
      <w:r w:rsidR="00610ADA" w:rsidRPr="00382917">
        <w:t>his</w:t>
      </w:r>
      <w:r w:rsidR="00EE4FC3">
        <w:t xml:space="preserve"> </w:t>
      </w:r>
      <w:r w:rsidR="00610ADA" w:rsidRPr="00382917">
        <w:t>name?</w:t>
      </w:r>
      <w:proofErr w:type="gramStart"/>
      <w:r w:rsidRPr="00382917">
        <w:t>”</w:t>
      </w:r>
      <w:r w:rsidR="00EE4FC3">
        <w:t xml:space="preserve"> </w:t>
      </w:r>
      <w:proofErr w:type="gramEnd"/>
      <w:r w:rsidR="00610ADA" w:rsidRPr="00382917">
        <w:t>Mullá</w:t>
      </w:r>
      <w:r w:rsidR="00EE4FC3">
        <w:t xml:space="preserve"> </w:t>
      </w:r>
      <w:r w:rsidR="00964C11" w:rsidRPr="00382917">
        <w:t>Ḥusayn</w:t>
      </w:r>
      <w:r w:rsidR="00EE4FC3">
        <w:t xml:space="preserve"> </w:t>
      </w:r>
      <w:r w:rsidR="00610ADA" w:rsidRPr="00382917">
        <w:t>asked.</w:t>
      </w:r>
    </w:p>
    <w:p w:rsidR="00900F24" w:rsidRPr="00382917" w:rsidRDefault="00900F24">
      <w:pPr>
        <w:widowControl/>
        <w:kinsoku/>
        <w:overflowPunct/>
        <w:textAlignment w:val="auto"/>
      </w:pPr>
      <w:r w:rsidRPr="00382917">
        <w:br w:type="page"/>
      </w:r>
    </w:p>
    <w:p w:rsidR="00610ADA" w:rsidRPr="00382917" w:rsidRDefault="009C713D" w:rsidP="00900F24">
      <w:pPr>
        <w:pStyle w:val="Text"/>
      </w:pPr>
      <w:r w:rsidRPr="00382917">
        <w:t>“</w:t>
      </w:r>
      <w:r w:rsidR="00610ADA" w:rsidRPr="00382917">
        <w:t>It</w:t>
      </w:r>
      <w:r w:rsidR="00EE4FC3">
        <w:t xml:space="preserve"> </w:t>
      </w:r>
      <w:r w:rsidR="00610ADA" w:rsidRPr="00382917">
        <w:t>is</w:t>
      </w:r>
      <w:r w:rsidR="00EE4FC3">
        <w:t xml:space="preserve"> </w:t>
      </w:r>
      <w:r w:rsidR="00964C11" w:rsidRPr="00382917">
        <w:t>Ḥusayn</w:t>
      </w:r>
      <w:r w:rsidR="00EE4FC3">
        <w:t xml:space="preserve"> </w:t>
      </w:r>
      <w:r w:rsidRPr="00382917">
        <w:t>‘</w:t>
      </w:r>
      <w:r w:rsidR="00610ADA" w:rsidRPr="00382917">
        <w:t>Alí.</w:t>
      </w:r>
      <w:r w:rsidRPr="00382917">
        <w:t>”</w:t>
      </w:r>
    </w:p>
    <w:p w:rsidR="00610ADA" w:rsidRPr="00382917" w:rsidRDefault="009C713D" w:rsidP="00900F24">
      <w:pPr>
        <w:pStyle w:val="Text"/>
      </w:pPr>
      <w:proofErr w:type="gramStart"/>
      <w:r w:rsidRPr="00382917">
        <w:t>“</w:t>
      </w:r>
      <w:r w:rsidR="00610ADA" w:rsidRPr="00382917">
        <w:t>His</w:t>
      </w:r>
      <w:r w:rsidR="00EE4FC3">
        <w:t xml:space="preserve"> </w:t>
      </w:r>
      <w:r w:rsidR="00610ADA" w:rsidRPr="00382917">
        <w:t>age?</w:t>
      </w:r>
      <w:r w:rsidRPr="00382917">
        <w:t>”</w:t>
      </w:r>
      <w:proofErr w:type="gramEnd"/>
    </w:p>
    <w:p w:rsidR="00610ADA" w:rsidRPr="00382917" w:rsidRDefault="009C713D" w:rsidP="00900F24">
      <w:pPr>
        <w:pStyle w:val="Text"/>
      </w:pPr>
      <w:proofErr w:type="gramStart"/>
      <w:r w:rsidRPr="00382917">
        <w:t>“</w:t>
      </w:r>
      <w:r w:rsidR="00610ADA" w:rsidRPr="00382917">
        <w:t>Eight</w:t>
      </w:r>
      <w:r w:rsidR="00EE4FC3">
        <w:t xml:space="preserve"> </w:t>
      </w:r>
      <w:r w:rsidR="00610ADA" w:rsidRPr="00382917">
        <w:t>and</w:t>
      </w:r>
      <w:r w:rsidR="00EE4FC3">
        <w:t xml:space="preserve"> </w:t>
      </w:r>
      <w:r w:rsidR="00610ADA" w:rsidRPr="00382917">
        <w:t>twenty.</w:t>
      </w:r>
      <w:r w:rsidRPr="00382917">
        <w:t>”</w:t>
      </w:r>
      <w:proofErr w:type="gramEnd"/>
    </w:p>
    <w:p w:rsidR="00610ADA" w:rsidRPr="00382917" w:rsidRDefault="009C713D" w:rsidP="00900F24">
      <w:pPr>
        <w:pStyle w:val="Text"/>
      </w:pPr>
      <w:r w:rsidRPr="00382917">
        <w:t>“</w:t>
      </w:r>
      <w:r w:rsidR="00610ADA" w:rsidRPr="00382917">
        <w:t>The</w:t>
      </w:r>
      <w:r w:rsidR="00EE4FC3">
        <w:t xml:space="preserve"> </w:t>
      </w:r>
      <w:r w:rsidR="00610ADA" w:rsidRPr="00382917">
        <w:t>eagerness</w:t>
      </w:r>
      <w:r w:rsidR="00EE4FC3">
        <w:t xml:space="preserve"> </w:t>
      </w:r>
      <w:r w:rsidR="00610ADA" w:rsidRPr="00382917">
        <w:t>with</w:t>
      </w:r>
      <w:r w:rsidR="00EE4FC3">
        <w:t xml:space="preserve"> </w:t>
      </w:r>
      <w:r w:rsidR="00610ADA" w:rsidRPr="00382917">
        <w:t>which</w:t>
      </w:r>
      <w:r w:rsidR="00EE4FC3">
        <w:t xml:space="preserve"> </w:t>
      </w:r>
      <w:r w:rsidR="00610ADA" w:rsidRPr="00382917">
        <w:t>Mullá</w:t>
      </w:r>
      <w:r w:rsidR="00EE4FC3">
        <w:t xml:space="preserve"> </w:t>
      </w:r>
      <w:r w:rsidR="00964C11" w:rsidRPr="00382917">
        <w:t>Ḥusayn</w:t>
      </w:r>
      <w:r w:rsidR="00EE4FC3">
        <w:t xml:space="preserve"> </w:t>
      </w:r>
      <w:r w:rsidR="00610ADA" w:rsidRPr="00382917">
        <w:t>questioned</w:t>
      </w:r>
      <w:r w:rsidR="00EE4FC3">
        <w:t xml:space="preserve"> </w:t>
      </w:r>
      <w:r w:rsidR="00610ADA" w:rsidRPr="00382917">
        <w:t>me,</w:t>
      </w:r>
      <w:r w:rsidR="00EE4FC3">
        <w:t xml:space="preserve"> </w:t>
      </w:r>
      <w:r w:rsidR="00610ADA" w:rsidRPr="00382917">
        <w:t>and</w:t>
      </w:r>
      <w:r w:rsidR="00EE4FC3">
        <w:t xml:space="preserve"> </w:t>
      </w:r>
      <w:r w:rsidR="00610ADA" w:rsidRPr="00382917">
        <w:t>the</w:t>
      </w:r>
      <w:r w:rsidR="00EE4FC3">
        <w:t xml:space="preserve"> </w:t>
      </w:r>
      <w:r w:rsidR="00610ADA" w:rsidRPr="00382917">
        <w:t>sense</w:t>
      </w:r>
      <w:r w:rsidR="00EE4FC3">
        <w:t xml:space="preserve"> </w:t>
      </w:r>
      <w:r w:rsidR="00610ADA" w:rsidRPr="00382917">
        <w:t>of</w:t>
      </w:r>
      <w:r w:rsidR="00EE4FC3">
        <w:t xml:space="preserve"> </w:t>
      </w:r>
      <w:r w:rsidR="00610ADA" w:rsidRPr="00382917">
        <w:t>delight</w:t>
      </w:r>
      <w:r w:rsidR="00EE4FC3">
        <w:t xml:space="preserve"> </w:t>
      </w:r>
      <w:r w:rsidR="00610ADA" w:rsidRPr="00382917">
        <w:t>with</w:t>
      </w:r>
      <w:r w:rsidR="00EE4FC3">
        <w:t xml:space="preserve"> </w:t>
      </w:r>
      <w:r w:rsidR="00610ADA" w:rsidRPr="00382917">
        <w:t>which</w:t>
      </w:r>
      <w:r w:rsidR="00EE4FC3">
        <w:t xml:space="preserve"> </w:t>
      </w:r>
      <w:r w:rsidR="00610ADA" w:rsidRPr="00382917">
        <w:t>he</w:t>
      </w:r>
      <w:r w:rsidR="00EE4FC3">
        <w:t xml:space="preserve"> </w:t>
      </w:r>
      <w:r w:rsidR="00610ADA" w:rsidRPr="00382917">
        <w:t>welcomed</w:t>
      </w:r>
      <w:r w:rsidR="00EE4FC3">
        <w:t xml:space="preserve"> </w:t>
      </w:r>
      <w:r w:rsidR="00610ADA" w:rsidRPr="00382917">
        <w:t>every</w:t>
      </w:r>
      <w:r w:rsidR="00EE4FC3">
        <w:t xml:space="preserve"> </w:t>
      </w:r>
      <w:r w:rsidR="00610ADA" w:rsidRPr="00382917">
        <w:t>particular</w:t>
      </w:r>
      <w:r w:rsidR="00EE4FC3">
        <w:t xml:space="preserve"> </w:t>
      </w:r>
      <w:r w:rsidR="00610ADA" w:rsidRPr="00382917">
        <w:t>I</w:t>
      </w:r>
      <w:r w:rsidR="00EE4FC3">
        <w:t xml:space="preserve"> </w:t>
      </w:r>
      <w:r w:rsidR="00610ADA" w:rsidRPr="00382917">
        <w:t>gave</w:t>
      </w:r>
      <w:r w:rsidR="00EE4FC3">
        <w:t xml:space="preserve"> </w:t>
      </w:r>
      <w:r w:rsidR="00610ADA" w:rsidRPr="00382917">
        <w:t>him,</w:t>
      </w:r>
      <w:r w:rsidR="00EE4FC3">
        <w:t xml:space="preserve"> </w:t>
      </w:r>
      <w:r w:rsidR="00610ADA" w:rsidRPr="00382917">
        <w:t>greatly</w:t>
      </w:r>
      <w:r w:rsidR="00EE4FC3">
        <w:t xml:space="preserve"> </w:t>
      </w:r>
      <w:r w:rsidR="00610ADA" w:rsidRPr="00382917">
        <w:t>surprised</w:t>
      </w:r>
      <w:r w:rsidR="00EE4FC3">
        <w:t xml:space="preserve"> </w:t>
      </w:r>
      <w:r w:rsidR="00610ADA" w:rsidRPr="00382917">
        <w:t>me</w:t>
      </w:r>
      <w:r w:rsidR="00330AF7">
        <w:t>.</w:t>
      </w:r>
      <w:r w:rsidR="00EE4FC3">
        <w:t xml:space="preserve">  </w:t>
      </w:r>
      <w:r w:rsidR="00610ADA" w:rsidRPr="00382917">
        <w:t>Turning</w:t>
      </w:r>
      <w:r w:rsidR="00EE4FC3">
        <w:t xml:space="preserve"> </w:t>
      </w:r>
      <w:r w:rsidR="00610ADA" w:rsidRPr="00382917">
        <w:t>to</w:t>
      </w:r>
      <w:r w:rsidR="00EE4FC3">
        <w:t xml:space="preserve"> </w:t>
      </w:r>
      <w:r w:rsidR="00610ADA" w:rsidRPr="00382917">
        <w:t>me</w:t>
      </w:r>
      <w:r w:rsidR="00EE4FC3">
        <w:t xml:space="preserve"> </w:t>
      </w:r>
      <w:r w:rsidR="00610ADA" w:rsidRPr="00382917">
        <w:t>with</w:t>
      </w:r>
      <w:r w:rsidR="00EE4FC3">
        <w:t xml:space="preserve"> </w:t>
      </w:r>
      <w:r w:rsidR="00610ADA" w:rsidRPr="00382917">
        <w:t>a</w:t>
      </w:r>
      <w:r w:rsidR="00EE4FC3">
        <w:t xml:space="preserve"> </w:t>
      </w:r>
      <w:r w:rsidR="00610ADA" w:rsidRPr="00382917">
        <w:t>face</w:t>
      </w:r>
      <w:r w:rsidR="00EE4FC3">
        <w:t xml:space="preserve"> </w:t>
      </w:r>
      <w:r w:rsidR="00610ADA" w:rsidRPr="00382917">
        <w:t>beaming</w:t>
      </w:r>
      <w:r w:rsidR="00EE4FC3">
        <w:t xml:space="preserve"> </w:t>
      </w:r>
      <w:r w:rsidR="00610ADA" w:rsidRPr="00382917">
        <w:t>with</w:t>
      </w:r>
      <w:r w:rsidR="00EE4FC3">
        <w:t xml:space="preserve"> </w:t>
      </w:r>
      <w:r w:rsidR="00610ADA" w:rsidRPr="00382917">
        <w:t>satisfaction</w:t>
      </w:r>
      <w:r w:rsidR="00EE4FC3">
        <w:t xml:space="preserve"> </w:t>
      </w:r>
      <w:r w:rsidR="00610ADA" w:rsidRPr="00382917">
        <w:t>and</w:t>
      </w:r>
      <w:r w:rsidR="00EE4FC3">
        <w:t xml:space="preserve"> </w:t>
      </w:r>
      <w:r w:rsidR="00610ADA" w:rsidRPr="00382917">
        <w:t>joy,</w:t>
      </w:r>
      <w:r w:rsidR="00EE4FC3">
        <w:t xml:space="preserve"> </w:t>
      </w:r>
      <w:r w:rsidR="00610ADA" w:rsidRPr="00382917">
        <w:t>he</w:t>
      </w:r>
      <w:r w:rsidR="00EE4FC3">
        <w:t xml:space="preserve"> </w:t>
      </w:r>
      <w:r w:rsidR="00610ADA" w:rsidRPr="00382917">
        <w:t>once</w:t>
      </w:r>
      <w:r w:rsidR="00EE4FC3">
        <w:t xml:space="preserve"> </w:t>
      </w:r>
      <w:r w:rsidR="00610ADA" w:rsidRPr="00382917">
        <w:t>more</w:t>
      </w:r>
      <w:r w:rsidR="00EE4FC3">
        <w:t xml:space="preserve"> </w:t>
      </w:r>
      <w:r w:rsidR="00610ADA" w:rsidRPr="00382917">
        <w:t>inquired</w:t>
      </w:r>
      <w:r w:rsidR="00C03C91">
        <w:t>:</w:t>
      </w:r>
      <w:r w:rsidR="00EE4FC3">
        <w:t xml:space="preserve">  </w:t>
      </w:r>
      <w:r w:rsidRPr="00382917">
        <w:t>‘</w:t>
      </w:r>
      <w:r w:rsidR="00610ADA" w:rsidRPr="00382917">
        <w:t>I</w:t>
      </w:r>
      <w:r w:rsidR="00EE4FC3">
        <w:t xml:space="preserve"> </w:t>
      </w:r>
      <w:r w:rsidR="00610ADA" w:rsidRPr="00382917">
        <w:t>presume</w:t>
      </w:r>
      <w:r w:rsidR="00EE4FC3">
        <w:t xml:space="preserve"> </w:t>
      </w:r>
      <w:r w:rsidR="00610ADA" w:rsidRPr="00382917">
        <w:t>you</w:t>
      </w:r>
      <w:r w:rsidR="00EE4FC3">
        <w:t xml:space="preserve"> </w:t>
      </w:r>
      <w:r w:rsidR="00610ADA" w:rsidRPr="00382917">
        <w:t>meet</w:t>
      </w:r>
      <w:r w:rsidR="00EE4FC3">
        <w:t xml:space="preserve"> </w:t>
      </w:r>
      <w:r w:rsidR="00610ADA" w:rsidRPr="00382917">
        <w:t>him</w:t>
      </w:r>
      <w:r w:rsidR="00EE4FC3">
        <w:t xml:space="preserve"> </w:t>
      </w:r>
      <w:r w:rsidR="00610ADA" w:rsidRPr="00382917">
        <w:t>often?</w:t>
      </w:r>
      <w:r w:rsidRPr="00382917">
        <w:t>’</w:t>
      </w:r>
    </w:p>
    <w:p w:rsidR="00610ADA" w:rsidRPr="00382917" w:rsidRDefault="009C713D" w:rsidP="00900F24">
      <w:pPr>
        <w:pStyle w:val="Text"/>
      </w:pPr>
      <w:r w:rsidRPr="00382917">
        <w:t>“‘</w:t>
      </w:r>
      <w:r w:rsidR="00610ADA" w:rsidRPr="00382917">
        <w:t>Frequently</w:t>
      </w:r>
      <w:r w:rsidR="00EE4FC3">
        <w:t xml:space="preserve"> </w:t>
      </w:r>
      <w:r w:rsidR="00610ADA" w:rsidRPr="00382917">
        <w:t>I</w:t>
      </w:r>
      <w:r w:rsidR="00EE4FC3">
        <w:t xml:space="preserve"> </w:t>
      </w:r>
      <w:r w:rsidR="00610ADA" w:rsidRPr="00382917">
        <w:t>visit</w:t>
      </w:r>
      <w:r w:rsidR="00EE4FC3">
        <w:t xml:space="preserve"> </w:t>
      </w:r>
      <w:r w:rsidR="00610ADA" w:rsidRPr="00382917">
        <w:t>his</w:t>
      </w:r>
      <w:r w:rsidR="00EE4FC3">
        <w:t xml:space="preserve"> </w:t>
      </w:r>
      <w:r w:rsidR="00610ADA" w:rsidRPr="00382917">
        <w:t>home.</w:t>
      </w:r>
      <w:r w:rsidRPr="00382917">
        <w:t>’</w:t>
      </w:r>
    </w:p>
    <w:p w:rsidR="00610ADA" w:rsidRPr="00382917" w:rsidRDefault="009C713D" w:rsidP="00900F24">
      <w:pPr>
        <w:pStyle w:val="Text"/>
      </w:pPr>
      <w:r w:rsidRPr="00382917">
        <w:t>“‘</w:t>
      </w:r>
      <w:r w:rsidR="00610ADA" w:rsidRPr="00382917">
        <w:t>Will</w:t>
      </w:r>
      <w:r w:rsidR="00EE4FC3">
        <w:t xml:space="preserve"> </w:t>
      </w:r>
      <w:r w:rsidR="00610ADA" w:rsidRPr="00382917">
        <w:t>you</w:t>
      </w:r>
      <w:r w:rsidR="00EE4FC3">
        <w:t xml:space="preserve"> </w:t>
      </w:r>
      <w:r w:rsidR="00610ADA" w:rsidRPr="00382917">
        <w:t>deliver</w:t>
      </w:r>
      <w:r w:rsidR="00EE4FC3">
        <w:t xml:space="preserve"> </w:t>
      </w:r>
      <w:r w:rsidR="00610ADA" w:rsidRPr="00382917">
        <w:t>into</w:t>
      </w:r>
      <w:r w:rsidR="00EE4FC3">
        <w:t xml:space="preserve"> </w:t>
      </w:r>
      <w:r w:rsidR="00610ADA" w:rsidRPr="00382917">
        <w:t>his</w:t>
      </w:r>
      <w:r w:rsidR="00EE4FC3">
        <w:t xml:space="preserve"> </w:t>
      </w:r>
      <w:r w:rsidR="00610ADA" w:rsidRPr="00382917">
        <w:t>hands</w:t>
      </w:r>
      <w:r w:rsidR="00EE4FC3">
        <w:t xml:space="preserve"> </w:t>
      </w:r>
      <w:r w:rsidR="00610ADA" w:rsidRPr="00382917">
        <w:t>a</w:t>
      </w:r>
      <w:r w:rsidR="00EE4FC3">
        <w:t xml:space="preserve"> </w:t>
      </w:r>
      <w:r w:rsidR="00610ADA" w:rsidRPr="00382917">
        <w:t>trust</w:t>
      </w:r>
      <w:r w:rsidR="00EE4FC3">
        <w:t xml:space="preserve"> </w:t>
      </w:r>
      <w:r w:rsidR="00610ADA" w:rsidRPr="00382917">
        <w:t>from</w:t>
      </w:r>
      <w:r w:rsidR="00EE4FC3">
        <w:t xml:space="preserve"> </w:t>
      </w:r>
      <w:r w:rsidR="00610ADA" w:rsidRPr="00382917">
        <w:t>me?</w:t>
      </w:r>
      <w:r w:rsidRPr="00382917">
        <w:t>’”</w:t>
      </w:r>
    </w:p>
    <w:p w:rsidR="00610ADA" w:rsidRPr="00382917" w:rsidRDefault="00610ADA" w:rsidP="00900F24">
      <w:pPr>
        <w:pStyle w:val="Text"/>
      </w:pPr>
      <w:r w:rsidRPr="00382917">
        <w:t>Mullá</w:t>
      </w:r>
      <w:r w:rsidR="00EE4FC3">
        <w:t xml:space="preserve"> </w:t>
      </w:r>
      <w:r w:rsidR="00964C11" w:rsidRPr="00382917">
        <w:t>Ḥusayn</w:t>
      </w:r>
      <w:r w:rsidR="00EE4FC3">
        <w:t xml:space="preserve"> </w:t>
      </w:r>
      <w:r w:rsidRPr="00382917">
        <w:t>then</w:t>
      </w:r>
      <w:r w:rsidR="00EE4FC3">
        <w:t xml:space="preserve"> </w:t>
      </w:r>
      <w:r w:rsidRPr="00382917">
        <w:t>gave</w:t>
      </w:r>
      <w:r w:rsidR="00EE4FC3">
        <w:t xml:space="preserve"> </w:t>
      </w:r>
      <w:r w:rsidRPr="00382917">
        <w:t>Mullá</w:t>
      </w:r>
      <w:r w:rsidR="00EE4FC3">
        <w:t xml:space="preserve"> </w:t>
      </w:r>
      <w:r w:rsidR="0040329F" w:rsidRPr="00382917">
        <w:t>Mu</w:t>
      </w:r>
      <w:r w:rsidR="0040329F" w:rsidRPr="0040329F">
        <w:t>ḥ</w:t>
      </w:r>
      <w:r w:rsidR="0040329F" w:rsidRPr="00382917">
        <w:t>ammad</w:t>
      </w:r>
      <w:r w:rsidR="00EE4FC3">
        <w:t xml:space="preserve"> </w:t>
      </w:r>
      <w:r w:rsidRPr="00382917">
        <w:t>a</w:t>
      </w:r>
      <w:r w:rsidR="00EE4FC3">
        <w:t xml:space="preserve"> </w:t>
      </w:r>
      <w:r w:rsidRPr="00382917">
        <w:t>scroll</w:t>
      </w:r>
      <w:r w:rsidR="00EE4FC3">
        <w:t xml:space="preserve"> </w:t>
      </w:r>
      <w:r w:rsidRPr="00382917">
        <w:t>of</w:t>
      </w:r>
      <w:r w:rsidR="00EE4FC3">
        <w:t xml:space="preserve"> </w:t>
      </w:r>
      <w:r w:rsidRPr="00382917">
        <w:t>the</w:t>
      </w:r>
      <w:r w:rsidR="00EE4FC3">
        <w:t xml:space="preserve"> </w:t>
      </w:r>
      <w:r w:rsidRPr="00382917">
        <w:t>Báb</w:t>
      </w:r>
      <w:r w:rsidR="009C713D" w:rsidRPr="00382917">
        <w:t>’</w:t>
      </w:r>
      <w:r w:rsidRPr="00382917">
        <w:t>s</w:t>
      </w:r>
      <w:r w:rsidR="00EE4FC3">
        <w:t xml:space="preserve"> </w:t>
      </w:r>
      <w:r w:rsidRPr="00382917">
        <w:t>writings.</w:t>
      </w:r>
    </w:p>
    <w:p w:rsidR="00610ADA" w:rsidRPr="00382917" w:rsidRDefault="009C713D" w:rsidP="00900F24">
      <w:pPr>
        <w:pStyle w:val="Text"/>
      </w:pPr>
      <w:r w:rsidRPr="00382917">
        <w:t>“</w:t>
      </w:r>
      <w:r w:rsidR="00610ADA" w:rsidRPr="00382917">
        <w:t>Should</w:t>
      </w:r>
      <w:r w:rsidR="00EE4FC3">
        <w:t xml:space="preserve"> </w:t>
      </w:r>
      <w:r w:rsidR="00610ADA" w:rsidRPr="00382917">
        <w:t>He</w:t>
      </w:r>
      <w:r w:rsidR="00EE4FC3">
        <w:t xml:space="preserve"> </w:t>
      </w:r>
      <w:r w:rsidR="00610ADA" w:rsidRPr="00382917">
        <w:t>deign</w:t>
      </w:r>
      <w:r w:rsidR="00EE4FC3">
        <w:t xml:space="preserve"> </w:t>
      </w:r>
      <w:r w:rsidR="00610ADA" w:rsidRPr="00382917">
        <w:t>to</w:t>
      </w:r>
      <w:r w:rsidR="00EE4FC3">
        <w:t xml:space="preserve"> </w:t>
      </w:r>
      <w:r w:rsidR="00610ADA" w:rsidRPr="00382917">
        <w:t>answer</w:t>
      </w:r>
      <w:r w:rsidR="00EE4FC3">
        <w:t xml:space="preserve"> </w:t>
      </w:r>
      <w:r w:rsidR="00610ADA" w:rsidRPr="00382917">
        <w:t>me,</w:t>
      </w:r>
      <w:r w:rsidRPr="00382917">
        <w:t>”</w:t>
      </w:r>
      <w:r w:rsidR="00EE4FC3">
        <w:t xml:space="preserve"> </w:t>
      </w:r>
      <w:r w:rsidR="00610ADA" w:rsidRPr="00382917">
        <w:t>Mullá</w:t>
      </w:r>
      <w:r w:rsidR="00EE4FC3">
        <w:t xml:space="preserve"> </w:t>
      </w:r>
      <w:r w:rsidR="00964C11" w:rsidRPr="00382917">
        <w:t>Ḥusayn</w:t>
      </w:r>
      <w:r w:rsidR="00EE4FC3">
        <w:t xml:space="preserve"> </w:t>
      </w:r>
      <w:r w:rsidR="00610ADA" w:rsidRPr="00382917">
        <w:t>added,</w:t>
      </w:r>
      <w:r w:rsidR="00EE4FC3">
        <w:t xml:space="preserve"> </w:t>
      </w:r>
      <w:r w:rsidRPr="00382917">
        <w:t>“</w:t>
      </w:r>
      <w:r w:rsidR="00610ADA" w:rsidRPr="00382917">
        <w:t>will</w:t>
      </w:r>
      <w:r w:rsidR="00EE4FC3">
        <w:t xml:space="preserve"> </w:t>
      </w:r>
      <w:r w:rsidR="00610ADA" w:rsidRPr="00382917">
        <w:t>you</w:t>
      </w:r>
      <w:r w:rsidR="00EE4FC3">
        <w:t xml:space="preserve"> </w:t>
      </w:r>
      <w:r w:rsidR="00610ADA" w:rsidRPr="00382917">
        <w:t>be</w:t>
      </w:r>
      <w:r w:rsidR="00EE4FC3">
        <w:t xml:space="preserve"> </w:t>
      </w:r>
      <w:r w:rsidR="00610ADA" w:rsidRPr="00382917">
        <w:t>kind</w:t>
      </w:r>
      <w:r w:rsidR="00EE4FC3">
        <w:t xml:space="preserve"> </w:t>
      </w:r>
      <w:r w:rsidR="00610ADA" w:rsidRPr="00382917">
        <w:t>enough</w:t>
      </w:r>
      <w:r w:rsidR="00EE4FC3">
        <w:t xml:space="preserve"> </w:t>
      </w:r>
      <w:r w:rsidR="00610ADA" w:rsidRPr="00382917">
        <w:t>to</w:t>
      </w:r>
      <w:r w:rsidR="00EE4FC3">
        <w:t xml:space="preserve"> </w:t>
      </w:r>
      <w:r w:rsidR="00610ADA" w:rsidRPr="00382917">
        <w:t>acquaint</w:t>
      </w:r>
      <w:r w:rsidR="00EE4FC3">
        <w:t xml:space="preserve"> </w:t>
      </w:r>
      <w:r w:rsidR="00610ADA" w:rsidRPr="00382917">
        <w:t>me</w:t>
      </w:r>
      <w:r w:rsidR="00EE4FC3">
        <w:t xml:space="preserve"> </w:t>
      </w:r>
      <w:r w:rsidR="00610ADA" w:rsidRPr="00382917">
        <w:t>with</w:t>
      </w:r>
      <w:r w:rsidR="00EE4FC3">
        <w:t xml:space="preserve"> </w:t>
      </w:r>
      <w:r w:rsidR="00610ADA" w:rsidRPr="00382917">
        <w:t>His</w:t>
      </w:r>
      <w:r w:rsidR="00EE4FC3">
        <w:t xml:space="preserve"> </w:t>
      </w:r>
      <w:r w:rsidR="00610ADA" w:rsidRPr="00382917">
        <w:t>reply?</w:t>
      </w:r>
      <w:r w:rsidRPr="00382917">
        <w:t>”</w:t>
      </w:r>
    </w:p>
    <w:p w:rsidR="00610ADA" w:rsidRPr="00382917" w:rsidRDefault="00610ADA" w:rsidP="00900F24">
      <w:pPr>
        <w:pStyle w:val="Text"/>
      </w:pPr>
      <w:r w:rsidRPr="00382917">
        <w:t>Mullá</w:t>
      </w:r>
      <w:r w:rsidR="00EE4FC3">
        <w:t xml:space="preserve"> </w:t>
      </w:r>
      <w:r w:rsidRPr="00382917">
        <w:t>Muḥammad</w:t>
      </w:r>
      <w:r w:rsidR="00EE4FC3">
        <w:t xml:space="preserve"> </w:t>
      </w:r>
      <w:r w:rsidRPr="00382917">
        <w:t>took</w:t>
      </w:r>
      <w:r w:rsidR="00EE4FC3">
        <w:t xml:space="preserve"> </w:t>
      </w:r>
      <w:r w:rsidRPr="00382917">
        <w:t>the</w:t>
      </w:r>
      <w:r w:rsidR="00EE4FC3">
        <w:t xml:space="preserve"> </w:t>
      </w:r>
      <w:r w:rsidRPr="00382917">
        <w:t>scroll</w:t>
      </w:r>
      <w:r w:rsidR="00EE4FC3">
        <w:t xml:space="preserve"> </w:t>
      </w:r>
      <w:r w:rsidRPr="00382917">
        <w:t>at</w:t>
      </w:r>
      <w:r w:rsidR="00EE4FC3">
        <w:t xml:space="preserve"> </w:t>
      </w:r>
      <w:r w:rsidRPr="00382917">
        <w:t>once</w:t>
      </w:r>
      <w:r w:rsidR="00EE4FC3">
        <w:t xml:space="preserve"> </w:t>
      </w:r>
      <w:r w:rsidRPr="00382917">
        <w:t>to</w:t>
      </w:r>
      <w:r w:rsidR="00EE4FC3">
        <w:t xml:space="preserve"> </w:t>
      </w:r>
      <w:r w:rsidRPr="00382917">
        <w:t>Bahá</w:t>
      </w:r>
      <w:r w:rsidR="009C713D" w:rsidRPr="00382917">
        <w:t>’</w:t>
      </w:r>
      <w:r w:rsidRPr="00382917">
        <w:t>u</w:t>
      </w:r>
      <w:r w:rsidR="009C713D" w:rsidRPr="00382917">
        <w:t>’</w:t>
      </w:r>
      <w:r w:rsidRPr="00382917">
        <w:t>lláh</w:t>
      </w:r>
      <w:r w:rsidR="00330AF7">
        <w:t>.</w:t>
      </w:r>
      <w:r w:rsidR="00EE4FC3">
        <w:t xml:space="preserve">  </w:t>
      </w:r>
      <w:r w:rsidRPr="00382917">
        <w:t>Bahá</w:t>
      </w:r>
      <w:r w:rsidR="009C713D" w:rsidRPr="00382917">
        <w:t>’</w:t>
      </w:r>
      <w:r w:rsidRPr="00382917">
        <w:t>u</w:t>
      </w:r>
      <w:r w:rsidR="009C713D" w:rsidRPr="00382917">
        <w:t>’</w:t>
      </w:r>
      <w:r w:rsidRPr="00382917">
        <w:t>lláh</w:t>
      </w:r>
      <w:r w:rsidR="00EE4FC3">
        <w:t xml:space="preserve"> </w:t>
      </w:r>
      <w:r w:rsidRPr="00382917">
        <w:t>accepted</w:t>
      </w:r>
      <w:r w:rsidR="00EE4FC3">
        <w:t xml:space="preserve"> </w:t>
      </w:r>
      <w:r w:rsidRPr="00382917">
        <w:t>it</w:t>
      </w:r>
      <w:r w:rsidR="00EE4FC3">
        <w:t xml:space="preserve"> </w:t>
      </w:r>
      <w:r w:rsidRPr="00382917">
        <w:t>and</w:t>
      </w:r>
      <w:r w:rsidR="00EE4FC3">
        <w:t xml:space="preserve"> </w:t>
      </w:r>
      <w:r w:rsidRPr="00382917">
        <w:t>bade</w:t>
      </w:r>
      <w:r w:rsidR="00EE4FC3">
        <w:t xml:space="preserve"> </w:t>
      </w:r>
      <w:r w:rsidRPr="00382917">
        <w:t>Mullá</w:t>
      </w:r>
      <w:r w:rsidR="00EE4FC3">
        <w:t xml:space="preserve"> </w:t>
      </w:r>
      <w:r w:rsidR="0040329F" w:rsidRPr="00382917">
        <w:t>Mu</w:t>
      </w:r>
      <w:r w:rsidR="0040329F" w:rsidRPr="0040329F">
        <w:t>ḥ</w:t>
      </w:r>
      <w:r w:rsidR="0040329F" w:rsidRPr="00382917">
        <w:t>ammad</w:t>
      </w:r>
      <w:r w:rsidR="00EE4FC3">
        <w:t xml:space="preserve"> </w:t>
      </w:r>
      <w:r w:rsidRPr="00382917">
        <w:t>be</w:t>
      </w:r>
      <w:r w:rsidR="00EE4FC3">
        <w:t xml:space="preserve"> </w:t>
      </w:r>
      <w:r w:rsidRPr="00382917">
        <w:t>seated</w:t>
      </w:r>
      <w:r w:rsidR="00330AF7">
        <w:t>.</w:t>
      </w:r>
      <w:r w:rsidR="00EE4FC3">
        <w:t xml:space="preserve">  </w:t>
      </w:r>
      <w:r w:rsidRPr="00382917">
        <w:t>He</w:t>
      </w:r>
      <w:r w:rsidR="00EE4FC3">
        <w:t xml:space="preserve"> </w:t>
      </w:r>
      <w:r w:rsidRPr="00382917">
        <w:t>unfolded</w:t>
      </w:r>
      <w:r w:rsidR="00EE4FC3">
        <w:t xml:space="preserve"> </w:t>
      </w:r>
      <w:r w:rsidRPr="00382917">
        <w:t>the</w:t>
      </w:r>
      <w:r w:rsidR="00EE4FC3">
        <w:t xml:space="preserve"> </w:t>
      </w:r>
      <w:r w:rsidRPr="00382917">
        <w:t>scroll,</w:t>
      </w:r>
      <w:r w:rsidR="00EE4FC3">
        <w:t xml:space="preserve"> </w:t>
      </w:r>
      <w:r w:rsidRPr="00382917">
        <w:t>glanced</w:t>
      </w:r>
      <w:r w:rsidR="00EE4FC3">
        <w:t xml:space="preserve"> </w:t>
      </w:r>
      <w:r w:rsidRPr="00382917">
        <w:t>at</w:t>
      </w:r>
      <w:r w:rsidR="00EE4FC3">
        <w:t xml:space="preserve"> </w:t>
      </w:r>
      <w:r w:rsidRPr="00382917">
        <w:t>its</w:t>
      </w:r>
      <w:r w:rsidR="00EE4FC3">
        <w:t xml:space="preserve"> </w:t>
      </w:r>
      <w:r w:rsidRPr="00382917">
        <w:t>contents,</w:t>
      </w:r>
      <w:r w:rsidR="00EE4FC3">
        <w:t xml:space="preserve"> </w:t>
      </w:r>
      <w:r w:rsidRPr="00382917">
        <w:t>and</w:t>
      </w:r>
      <w:r w:rsidR="00EE4FC3">
        <w:t xml:space="preserve"> </w:t>
      </w:r>
      <w:r w:rsidRPr="00382917">
        <w:t>began</w:t>
      </w:r>
      <w:r w:rsidR="00EE4FC3">
        <w:t xml:space="preserve"> </w:t>
      </w:r>
      <w:r w:rsidRPr="00382917">
        <w:t>reading</w:t>
      </w:r>
      <w:r w:rsidR="00EE4FC3">
        <w:t xml:space="preserve"> </w:t>
      </w:r>
      <w:r w:rsidRPr="00382917">
        <w:t>it</w:t>
      </w:r>
      <w:r w:rsidR="00EE4FC3">
        <w:t xml:space="preserve"> </w:t>
      </w:r>
      <w:r w:rsidRPr="00382917">
        <w:t>aloud</w:t>
      </w:r>
      <w:r w:rsidR="00EE4FC3">
        <w:t xml:space="preserve"> </w:t>
      </w:r>
      <w:r w:rsidRPr="00382917">
        <w:t>to</w:t>
      </w:r>
      <w:r w:rsidR="00EE4FC3">
        <w:t xml:space="preserve"> </w:t>
      </w:r>
      <w:r w:rsidRPr="00382917">
        <w:t>those</w:t>
      </w:r>
      <w:r w:rsidR="00EE4FC3">
        <w:t xml:space="preserve"> </w:t>
      </w:r>
      <w:r w:rsidRPr="00382917">
        <w:t>who</w:t>
      </w:r>
      <w:r w:rsidR="00EE4FC3">
        <w:t xml:space="preserve"> </w:t>
      </w:r>
      <w:r w:rsidRPr="00382917">
        <w:t>were</w:t>
      </w:r>
      <w:r w:rsidR="00EE4FC3">
        <w:t xml:space="preserve"> </w:t>
      </w:r>
      <w:r w:rsidRPr="00382917">
        <w:t>present</w:t>
      </w:r>
      <w:r w:rsidR="00330AF7">
        <w:t>.</w:t>
      </w:r>
      <w:r w:rsidR="00EE4FC3">
        <w:t xml:space="preserve">  </w:t>
      </w:r>
      <w:r w:rsidRPr="00382917">
        <w:t>He</w:t>
      </w:r>
      <w:r w:rsidR="00EE4FC3">
        <w:t xml:space="preserve"> </w:t>
      </w:r>
      <w:r w:rsidRPr="00382917">
        <w:t>stopped</w:t>
      </w:r>
      <w:r w:rsidR="00EE4FC3">
        <w:t xml:space="preserve"> </w:t>
      </w:r>
      <w:r w:rsidRPr="00382917">
        <w:t>reading</w:t>
      </w:r>
      <w:r w:rsidR="00EE4FC3">
        <w:t xml:space="preserve"> </w:t>
      </w:r>
      <w:r w:rsidRPr="00382917">
        <w:t>and</w:t>
      </w:r>
      <w:r w:rsidR="00EE4FC3">
        <w:t xml:space="preserve"> </w:t>
      </w:r>
      <w:r w:rsidRPr="00382917">
        <w:t>turned</w:t>
      </w:r>
      <w:r w:rsidR="00EE4FC3">
        <w:t xml:space="preserve"> </w:t>
      </w:r>
      <w:r w:rsidRPr="00382917">
        <w:t>to</w:t>
      </w:r>
      <w:r w:rsidR="00EE4FC3">
        <w:t xml:space="preserve"> </w:t>
      </w:r>
      <w:r w:rsidRPr="00382917">
        <w:t>His</w:t>
      </w:r>
      <w:r w:rsidR="00EE4FC3">
        <w:t xml:space="preserve"> </w:t>
      </w:r>
      <w:r w:rsidRPr="00382917">
        <w:t>friends.</w:t>
      </w:r>
    </w:p>
    <w:p w:rsidR="00610ADA" w:rsidRPr="00382917" w:rsidRDefault="009C713D" w:rsidP="00900F24">
      <w:pPr>
        <w:pStyle w:val="Text"/>
      </w:pPr>
      <w:r w:rsidRPr="00382917">
        <w:t>“</w:t>
      </w:r>
      <w:r w:rsidR="00610ADA" w:rsidRPr="00382917">
        <w:t>Verily,</w:t>
      </w:r>
      <w:r w:rsidRPr="00382917">
        <w:t>”</w:t>
      </w:r>
      <w:r w:rsidR="00EE4FC3">
        <w:t xml:space="preserve"> </w:t>
      </w:r>
      <w:r w:rsidR="00610ADA" w:rsidRPr="00382917">
        <w:t>He</w:t>
      </w:r>
      <w:r w:rsidR="00EE4FC3">
        <w:t xml:space="preserve"> </w:t>
      </w:r>
      <w:r w:rsidR="00610ADA" w:rsidRPr="00382917">
        <w:t>said,</w:t>
      </w:r>
      <w:r w:rsidR="00EE4FC3">
        <w:t xml:space="preserve"> </w:t>
      </w:r>
      <w:r w:rsidRPr="00382917">
        <w:t>“</w:t>
      </w:r>
      <w:r w:rsidR="00610ADA" w:rsidRPr="00382917">
        <w:t>I</w:t>
      </w:r>
      <w:r w:rsidR="00EE4FC3">
        <w:t xml:space="preserve"> </w:t>
      </w:r>
      <w:r w:rsidR="00610ADA" w:rsidRPr="00382917">
        <w:t>say,</w:t>
      </w:r>
      <w:r w:rsidR="00EE4FC3">
        <w:t xml:space="preserve"> </w:t>
      </w:r>
      <w:r w:rsidR="00610ADA" w:rsidRPr="00382917">
        <w:t>whoso</w:t>
      </w:r>
      <w:r w:rsidR="00EE4FC3">
        <w:t xml:space="preserve"> </w:t>
      </w:r>
      <w:r w:rsidR="00610ADA" w:rsidRPr="00382917">
        <w:t>believes</w:t>
      </w:r>
      <w:r w:rsidR="00EE4FC3">
        <w:t xml:space="preserve"> </w:t>
      </w:r>
      <w:r w:rsidR="00610ADA" w:rsidRPr="00382917">
        <w:t>in</w:t>
      </w:r>
      <w:r w:rsidR="00EE4FC3">
        <w:t xml:space="preserve"> </w:t>
      </w:r>
      <w:r w:rsidR="00610ADA" w:rsidRPr="00382917">
        <w:t>the</w:t>
      </w:r>
      <w:r w:rsidR="00EE4FC3">
        <w:t xml:space="preserve"> </w:t>
      </w:r>
      <w:r w:rsidR="00382917">
        <w:t>Qur’án</w:t>
      </w:r>
      <w:r w:rsidR="00EE4FC3">
        <w:t xml:space="preserve"> </w:t>
      </w:r>
      <w:r w:rsidR="00F04416" w:rsidRPr="00382917">
        <w:t>…</w:t>
      </w:r>
      <w:r w:rsidR="00EE4FC3">
        <w:t xml:space="preserve"> </w:t>
      </w:r>
      <w:r w:rsidR="00610ADA" w:rsidRPr="00382917">
        <w:t>and</w:t>
      </w:r>
      <w:r w:rsidR="00EE4FC3">
        <w:t xml:space="preserve"> </w:t>
      </w:r>
      <w:r w:rsidR="00610ADA" w:rsidRPr="00382917">
        <w:t>yet</w:t>
      </w:r>
      <w:r w:rsidR="00EE4FC3">
        <w:t xml:space="preserve"> </w:t>
      </w:r>
      <w:r w:rsidR="00610ADA" w:rsidRPr="00382917">
        <w:t>hesitates,</w:t>
      </w:r>
      <w:r w:rsidR="00EE4FC3">
        <w:t xml:space="preserve"> </w:t>
      </w:r>
      <w:r w:rsidR="00610ADA" w:rsidRPr="00382917">
        <w:t>though</w:t>
      </w:r>
      <w:r w:rsidR="00EE4FC3">
        <w:t xml:space="preserve"> </w:t>
      </w:r>
      <w:r w:rsidR="00610ADA" w:rsidRPr="00382917">
        <w:t>it</w:t>
      </w:r>
      <w:r w:rsidR="00EE4FC3">
        <w:t xml:space="preserve"> </w:t>
      </w:r>
      <w:r w:rsidR="00610ADA" w:rsidRPr="00382917">
        <w:t>be</w:t>
      </w:r>
      <w:r w:rsidR="00EE4FC3">
        <w:t xml:space="preserve"> </w:t>
      </w:r>
      <w:r w:rsidR="00610ADA" w:rsidRPr="00382917">
        <w:t>for</w:t>
      </w:r>
      <w:r w:rsidR="00EE4FC3">
        <w:t xml:space="preserve"> </w:t>
      </w:r>
      <w:r w:rsidR="00610ADA" w:rsidRPr="00382917">
        <w:t>a</w:t>
      </w:r>
      <w:r w:rsidR="00EE4FC3">
        <w:t xml:space="preserve"> </w:t>
      </w:r>
      <w:r w:rsidR="00610ADA" w:rsidRPr="00382917">
        <w:t>moment,</w:t>
      </w:r>
      <w:r w:rsidR="00EE4FC3">
        <w:t xml:space="preserve"> </w:t>
      </w:r>
      <w:r w:rsidR="00610ADA" w:rsidRPr="00382917">
        <w:t>to</w:t>
      </w:r>
      <w:r w:rsidR="00EE4FC3">
        <w:t xml:space="preserve"> </w:t>
      </w:r>
      <w:r w:rsidR="00610ADA" w:rsidRPr="00382917">
        <w:t>admit</w:t>
      </w:r>
      <w:r w:rsidR="00EE4FC3">
        <w:t xml:space="preserve"> </w:t>
      </w:r>
      <w:r w:rsidR="00610ADA" w:rsidRPr="00382917">
        <w:t>that</w:t>
      </w:r>
      <w:r w:rsidR="00EE4FC3">
        <w:t xml:space="preserve"> </w:t>
      </w:r>
      <w:r w:rsidR="00610ADA" w:rsidRPr="00382917">
        <w:t>these</w:t>
      </w:r>
      <w:r w:rsidR="00EE4FC3">
        <w:t xml:space="preserve"> </w:t>
      </w:r>
      <w:r w:rsidR="00610ADA" w:rsidRPr="00382917">
        <w:t>soul-stirring</w:t>
      </w:r>
      <w:r w:rsidR="00EE4FC3">
        <w:t xml:space="preserve"> </w:t>
      </w:r>
      <w:r w:rsidR="00610ADA" w:rsidRPr="00382917">
        <w:t>words</w:t>
      </w:r>
      <w:r w:rsidR="00EE4FC3">
        <w:t xml:space="preserve"> </w:t>
      </w:r>
      <w:r w:rsidR="00610ADA" w:rsidRPr="00382917">
        <w:t>are</w:t>
      </w:r>
      <w:r w:rsidR="00EE4FC3">
        <w:t xml:space="preserve"> </w:t>
      </w:r>
      <w:r w:rsidR="00610ADA" w:rsidRPr="00382917">
        <w:t>endowed</w:t>
      </w:r>
      <w:r w:rsidR="00EE4FC3">
        <w:t xml:space="preserve"> </w:t>
      </w:r>
      <w:r w:rsidR="00610ADA" w:rsidRPr="00382917">
        <w:t>with</w:t>
      </w:r>
      <w:r w:rsidR="00EE4FC3">
        <w:t xml:space="preserve"> </w:t>
      </w:r>
      <w:r w:rsidR="00610ADA" w:rsidRPr="00382917">
        <w:t>the</w:t>
      </w:r>
      <w:r w:rsidR="00EE4FC3">
        <w:t xml:space="preserve"> </w:t>
      </w:r>
      <w:r w:rsidR="00610ADA" w:rsidRPr="00382917">
        <w:t>same</w:t>
      </w:r>
      <w:r w:rsidR="00EE4FC3">
        <w:t xml:space="preserve"> </w:t>
      </w:r>
      <w:r w:rsidR="00610ADA" w:rsidRPr="00382917">
        <w:t>regenerating</w:t>
      </w:r>
      <w:r w:rsidR="00EE4FC3">
        <w:t xml:space="preserve"> </w:t>
      </w:r>
      <w:r w:rsidR="00610ADA" w:rsidRPr="00382917">
        <w:t>power,</w:t>
      </w:r>
      <w:r w:rsidR="00EE4FC3">
        <w:t xml:space="preserve"> </w:t>
      </w:r>
      <w:r w:rsidR="00610ADA" w:rsidRPr="00382917">
        <w:t>has</w:t>
      </w:r>
      <w:r w:rsidR="00EE4FC3">
        <w:t xml:space="preserve"> </w:t>
      </w:r>
      <w:r w:rsidR="00610ADA" w:rsidRPr="00382917">
        <w:t>assuredly</w:t>
      </w:r>
      <w:r w:rsidR="00EE4FC3">
        <w:t xml:space="preserve"> </w:t>
      </w:r>
      <w:r w:rsidR="00610ADA" w:rsidRPr="00382917">
        <w:t>erred</w:t>
      </w:r>
      <w:r w:rsidR="00EE4FC3">
        <w:t xml:space="preserve"> </w:t>
      </w:r>
      <w:r w:rsidR="00610ADA" w:rsidRPr="00382917">
        <w:t>in</w:t>
      </w:r>
      <w:r w:rsidR="00EE4FC3">
        <w:t xml:space="preserve"> </w:t>
      </w:r>
      <w:r w:rsidR="00610ADA" w:rsidRPr="00382917">
        <w:t>his</w:t>
      </w:r>
      <w:r w:rsidR="00EE4FC3">
        <w:t xml:space="preserve"> </w:t>
      </w:r>
      <w:r w:rsidR="00610ADA" w:rsidRPr="00382917">
        <w:t>judgment</w:t>
      </w:r>
      <w:r w:rsidR="00EE4FC3">
        <w:t xml:space="preserve"> </w:t>
      </w:r>
      <w:r w:rsidR="00610ADA" w:rsidRPr="00382917">
        <w:t>and</w:t>
      </w:r>
      <w:r w:rsidR="00EE4FC3">
        <w:t xml:space="preserve"> </w:t>
      </w:r>
      <w:r w:rsidR="00610ADA" w:rsidRPr="00382917">
        <w:t>strayed</w:t>
      </w:r>
      <w:r w:rsidR="00EE4FC3">
        <w:t xml:space="preserve"> </w:t>
      </w:r>
      <w:r w:rsidR="00610ADA" w:rsidRPr="00382917">
        <w:t>far</w:t>
      </w:r>
      <w:r w:rsidR="00EE4FC3">
        <w:t xml:space="preserve"> </w:t>
      </w:r>
      <w:r w:rsidR="00610ADA" w:rsidRPr="00382917">
        <w:t>from</w:t>
      </w:r>
      <w:r w:rsidR="00EE4FC3">
        <w:t xml:space="preserve"> </w:t>
      </w:r>
      <w:r w:rsidR="00610ADA" w:rsidRPr="00382917">
        <w:t>the</w:t>
      </w:r>
      <w:r w:rsidR="00EE4FC3">
        <w:t xml:space="preserve"> </w:t>
      </w:r>
      <w:r w:rsidR="00610ADA" w:rsidRPr="00382917">
        <w:t>paths</w:t>
      </w:r>
      <w:r w:rsidR="00EE4FC3">
        <w:t xml:space="preserve"> </w:t>
      </w:r>
      <w:r w:rsidR="00610ADA" w:rsidRPr="00382917">
        <w:t>of</w:t>
      </w:r>
      <w:r w:rsidR="00EE4FC3">
        <w:t xml:space="preserve"> </w:t>
      </w:r>
      <w:r w:rsidR="00610ADA" w:rsidRPr="00382917">
        <w:t>Justice.</w:t>
      </w:r>
      <w:r w:rsidRPr="00382917">
        <w:t>”</w:t>
      </w:r>
    </w:p>
    <w:p w:rsidR="00610ADA" w:rsidRPr="00382917" w:rsidRDefault="00610ADA" w:rsidP="00900F24">
      <w:pPr>
        <w:pStyle w:val="Text"/>
      </w:pPr>
      <w:r w:rsidRPr="00382917">
        <w:t>Bahá</w:t>
      </w:r>
      <w:r w:rsidR="009C713D" w:rsidRPr="00382917">
        <w:t>’</w:t>
      </w:r>
      <w:r w:rsidRPr="00382917">
        <w:t>u</w:t>
      </w:r>
      <w:r w:rsidR="009C713D" w:rsidRPr="00382917">
        <w:t>’</w:t>
      </w:r>
      <w:r w:rsidRPr="00382917">
        <w:t>lláh</w:t>
      </w:r>
      <w:r w:rsidR="00EE4FC3">
        <w:t xml:space="preserve"> </w:t>
      </w:r>
      <w:r w:rsidRPr="00382917">
        <w:t>gave</w:t>
      </w:r>
      <w:r w:rsidR="00EE4FC3">
        <w:t xml:space="preserve"> </w:t>
      </w:r>
      <w:r w:rsidRPr="00382917">
        <w:t>a</w:t>
      </w:r>
      <w:r w:rsidR="00EE4FC3">
        <w:t xml:space="preserve"> </w:t>
      </w:r>
      <w:r w:rsidRPr="00382917">
        <w:t>gift</w:t>
      </w:r>
      <w:r w:rsidR="00EE4FC3">
        <w:t xml:space="preserve"> </w:t>
      </w:r>
      <w:r w:rsidRPr="00382917">
        <w:t>to</w:t>
      </w:r>
      <w:r w:rsidR="00EE4FC3">
        <w:t xml:space="preserve"> </w:t>
      </w:r>
      <w:r w:rsidRPr="00382917">
        <w:t>Mullá</w:t>
      </w:r>
      <w:r w:rsidR="00EE4FC3">
        <w:t xml:space="preserve"> </w:t>
      </w:r>
      <w:r w:rsidRPr="00382917">
        <w:t>Muḥammad</w:t>
      </w:r>
      <w:r w:rsidR="00EE4FC3">
        <w:t xml:space="preserve"> </w:t>
      </w:r>
      <w:r w:rsidRPr="00382917">
        <w:t>to</w:t>
      </w:r>
      <w:r w:rsidR="00EE4FC3">
        <w:t xml:space="preserve"> </w:t>
      </w:r>
      <w:r w:rsidRPr="00382917">
        <w:t>bring</w:t>
      </w:r>
      <w:r w:rsidR="00EE4FC3">
        <w:t xml:space="preserve"> </w:t>
      </w:r>
      <w:r w:rsidRPr="00382917">
        <w:t>to</w:t>
      </w:r>
      <w:r w:rsidR="00EE4FC3">
        <w:t xml:space="preserve"> </w:t>
      </w:r>
      <w:r w:rsidRPr="00382917">
        <w:t>Mullá</w:t>
      </w:r>
      <w:r w:rsidR="00EE4FC3">
        <w:t xml:space="preserve"> </w:t>
      </w:r>
      <w:r w:rsidR="00964C11" w:rsidRPr="00382917">
        <w:t>Ḥusayn</w:t>
      </w:r>
      <w:r w:rsidR="00330AF7">
        <w:t>.</w:t>
      </w:r>
      <w:r w:rsidR="00EE4FC3">
        <w:t xml:space="preserve">  </w:t>
      </w:r>
      <w:r w:rsidRPr="00382917">
        <w:t>It</w:t>
      </w:r>
      <w:r w:rsidR="00EE4FC3">
        <w:t xml:space="preserve"> </w:t>
      </w:r>
      <w:r w:rsidRPr="00382917">
        <w:t>was</w:t>
      </w:r>
      <w:r w:rsidR="00EE4FC3">
        <w:t xml:space="preserve"> </w:t>
      </w:r>
      <w:r w:rsidRPr="00382917">
        <w:t>a</w:t>
      </w:r>
      <w:r w:rsidR="00EE4FC3">
        <w:t xml:space="preserve"> </w:t>
      </w:r>
      <w:r w:rsidRPr="00382917">
        <w:t>small</w:t>
      </w:r>
      <w:r w:rsidR="00EE4FC3">
        <w:t xml:space="preserve"> </w:t>
      </w:r>
      <w:r w:rsidRPr="00382917">
        <w:t>gift</w:t>
      </w:r>
      <w:r w:rsidR="00EE4FC3">
        <w:t xml:space="preserve"> </w:t>
      </w:r>
      <w:r w:rsidRPr="00382917">
        <w:t>of</w:t>
      </w:r>
      <w:r w:rsidR="00EE4FC3">
        <w:t xml:space="preserve"> </w:t>
      </w:r>
      <w:r w:rsidRPr="00382917">
        <w:t>sugar</w:t>
      </w:r>
      <w:r w:rsidR="00EE4FC3">
        <w:t xml:space="preserve"> </w:t>
      </w:r>
      <w:r w:rsidRPr="00382917">
        <w:t>and</w:t>
      </w:r>
      <w:r w:rsidR="00EE4FC3">
        <w:t xml:space="preserve"> </w:t>
      </w:r>
      <w:r w:rsidRPr="00382917">
        <w:t>tea</w:t>
      </w:r>
      <w:r w:rsidR="00330AF7">
        <w:t>.</w:t>
      </w:r>
      <w:r w:rsidR="00EE4FC3">
        <w:t xml:space="preserve">  </w:t>
      </w:r>
      <w:r w:rsidRPr="00382917">
        <w:t>He</w:t>
      </w:r>
      <w:r w:rsidR="00EE4FC3">
        <w:t xml:space="preserve"> </w:t>
      </w:r>
      <w:r w:rsidRPr="00382917">
        <w:t>asked</w:t>
      </w:r>
      <w:r w:rsidR="00EE4FC3">
        <w:t xml:space="preserve"> </w:t>
      </w:r>
      <w:r w:rsidRPr="00382917">
        <w:t>that</w:t>
      </w:r>
      <w:r w:rsidR="00EE4FC3">
        <w:t xml:space="preserve"> </w:t>
      </w:r>
      <w:r w:rsidRPr="00382917">
        <w:t>His</w:t>
      </w:r>
      <w:r w:rsidR="00EE4FC3">
        <w:t xml:space="preserve"> </w:t>
      </w:r>
      <w:r w:rsidRPr="00382917">
        <w:t>appreciation</w:t>
      </w:r>
      <w:r w:rsidR="00EE4FC3">
        <w:t xml:space="preserve"> </w:t>
      </w:r>
      <w:r w:rsidRPr="00382917">
        <w:t>and</w:t>
      </w:r>
      <w:r w:rsidR="00EE4FC3">
        <w:t xml:space="preserve"> </w:t>
      </w:r>
      <w:r w:rsidRPr="00382917">
        <w:t>love</w:t>
      </w:r>
      <w:r w:rsidR="00EE4FC3">
        <w:t xml:space="preserve"> </w:t>
      </w:r>
      <w:r w:rsidRPr="00382917">
        <w:t>be</w:t>
      </w:r>
      <w:r w:rsidR="00EE4FC3">
        <w:t xml:space="preserve"> </w:t>
      </w:r>
      <w:r w:rsidRPr="00382917">
        <w:t>conveyed</w:t>
      </w:r>
      <w:r w:rsidR="00EE4FC3">
        <w:t xml:space="preserve"> </w:t>
      </w:r>
      <w:r w:rsidRPr="00382917">
        <w:t>to</w:t>
      </w:r>
      <w:r w:rsidR="00EE4FC3">
        <w:t xml:space="preserve"> </w:t>
      </w:r>
      <w:r w:rsidRPr="00382917">
        <w:t>Mullá</w:t>
      </w:r>
      <w:r w:rsidR="00EE4FC3">
        <w:t xml:space="preserve"> </w:t>
      </w:r>
      <w:r w:rsidR="00964C11" w:rsidRPr="00382917">
        <w:t>Ḥusayn</w:t>
      </w:r>
      <w:r w:rsidR="00EE4FC3">
        <w:t xml:space="preserve"> </w:t>
      </w:r>
      <w:r w:rsidRPr="00382917">
        <w:t>along</w:t>
      </w:r>
      <w:r w:rsidR="00EE4FC3">
        <w:t xml:space="preserve"> </w:t>
      </w:r>
      <w:r w:rsidRPr="00382917">
        <w:t>with</w:t>
      </w:r>
      <w:r w:rsidR="00EE4FC3">
        <w:t xml:space="preserve"> </w:t>
      </w:r>
      <w:r w:rsidRPr="00382917">
        <w:t>the</w:t>
      </w:r>
      <w:r w:rsidR="00EE4FC3">
        <w:t xml:space="preserve"> </w:t>
      </w:r>
      <w:r w:rsidRPr="00382917">
        <w:t>gift.</w:t>
      </w:r>
    </w:p>
    <w:p w:rsidR="00610ADA" w:rsidRPr="00382917" w:rsidRDefault="009C713D" w:rsidP="00900F24">
      <w:pPr>
        <w:pStyle w:val="Text"/>
      </w:pPr>
      <w:r w:rsidRPr="00382917">
        <w:t>“</w:t>
      </w:r>
      <w:r w:rsidR="00610ADA" w:rsidRPr="00382917">
        <w:t>With</w:t>
      </w:r>
      <w:r w:rsidR="00EE4FC3">
        <w:t xml:space="preserve"> </w:t>
      </w:r>
      <w:r w:rsidR="00610ADA" w:rsidRPr="00382917">
        <w:t>what</w:t>
      </w:r>
      <w:r w:rsidR="00EE4FC3">
        <w:t xml:space="preserve"> </w:t>
      </w:r>
      <w:r w:rsidR="00610ADA" w:rsidRPr="00382917">
        <w:t>joy</w:t>
      </w:r>
      <w:r w:rsidR="00EE4FC3">
        <w:t xml:space="preserve"> </w:t>
      </w:r>
      <w:r w:rsidR="00610ADA" w:rsidRPr="00382917">
        <w:t>and</w:t>
      </w:r>
      <w:r w:rsidR="00EE4FC3">
        <w:t xml:space="preserve"> </w:t>
      </w:r>
      <w:r w:rsidR="00610ADA" w:rsidRPr="00382917">
        <w:t>exultation</w:t>
      </w:r>
      <w:r w:rsidR="00EE4FC3">
        <w:t xml:space="preserve"> </w:t>
      </w:r>
      <w:r w:rsidR="00610ADA" w:rsidRPr="00382917">
        <w:t>Mullá</w:t>
      </w:r>
      <w:r w:rsidR="00EE4FC3">
        <w:t xml:space="preserve"> </w:t>
      </w:r>
      <w:r w:rsidR="00964C11" w:rsidRPr="00382917">
        <w:t>Ḥusayn</w:t>
      </w:r>
      <w:r w:rsidR="00EE4FC3">
        <w:t xml:space="preserve"> </w:t>
      </w:r>
      <w:r w:rsidR="00610ADA" w:rsidRPr="00382917">
        <w:t>received</w:t>
      </w:r>
      <w:r w:rsidR="00EE4FC3">
        <w:t xml:space="preserve"> </w:t>
      </w:r>
      <w:r w:rsidR="00610ADA" w:rsidRPr="00382917">
        <w:t>them,</w:t>
      </w:r>
      <w:r w:rsidRPr="00382917">
        <w:t>”</w:t>
      </w:r>
      <w:r w:rsidR="00EE4FC3">
        <w:t xml:space="preserve"> </w:t>
      </w:r>
      <w:r w:rsidR="00610ADA" w:rsidRPr="00382917">
        <w:t>Mullá</w:t>
      </w:r>
      <w:r w:rsidR="00EE4FC3">
        <w:t xml:space="preserve"> </w:t>
      </w:r>
      <w:r w:rsidR="00610ADA" w:rsidRPr="00382917">
        <w:t>Muḥammad</w:t>
      </w:r>
      <w:r w:rsidR="00EE4FC3">
        <w:t xml:space="preserve"> </w:t>
      </w:r>
      <w:r w:rsidR="00610ADA" w:rsidRPr="00382917">
        <w:t>reported</w:t>
      </w:r>
      <w:r w:rsidR="00330AF7">
        <w:t>.</w:t>
      </w:r>
      <w:r w:rsidR="00EE4FC3">
        <w:t xml:space="preserve">  </w:t>
      </w:r>
      <w:r w:rsidRPr="00382917">
        <w:t>“</w:t>
      </w:r>
      <w:r w:rsidR="00610ADA" w:rsidRPr="00382917">
        <w:t>Words</w:t>
      </w:r>
      <w:r w:rsidR="00EE4FC3">
        <w:t xml:space="preserve"> </w:t>
      </w:r>
      <w:r w:rsidR="00610ADA" w:rsidRPr="00382917">
        <w:t>fail</w:t>
      </w:r>
      <w:r w:rsidR="00EE4FC3">
        <w:t xml:space="preserve"> </w:t>
      </w:r>
      <w:r w:rsidR="00610ADA" w:rsidRPr="00382917">
        <w:t>me</w:t>
      </w:r>
      <w:r w:rsidR="00EE4FC3">
        <w:t xml:space="preserve"> </w:t>
      </w:r>
      <w:r w:rsidR="00610ADA" w:rsidRPr="00382917">
        <w:t>to</w:t>
      </w:r>
      <w:r w:rsidR="00EE4FC3">
        <w:t xml:space="preserve"> </w:t>
      </w:r>
      <w:r w:rsidR="00610ADA" w:rsidRPr="00382917">
        <w:t>describe</w:t>
      </w:r>
      <w:r w:rsidR="00EE4FC3">
        <w:t xml:space="preserve"> </w:t>
      </w:r>
      <w:r w:rsidR="00610ADA" w:rsidRPr="00382917">
        <w:t>the</w:t>
      </w:r>
      <w:r w:rsidR="00EE4FC3">
        <w:t xml:space="preserve"> </w:t>
      </w:r>
      <w:r w:rsidR="00610ADA" w:rsidRPr="00382917">
        <w:t>intensity</w:t>
      </w:r>
      <w:r w:rsidR="00EE4FC3">
        <w:t xml:space="preserve"> </w:t>
      </w:r>
      <w:r w:rsidR="00610ADA" w:rsidRPr="00382917">
        <w:t>of</w:t>
      </w:r>
      <w:r w:rsidR="00EE4FC3">
        <w:t xml:space="preserve"> </w:t>
      </w:r>
      <w:r w:rsidR="00610ADA" w:rsidRPr="00382917">
        <w:t>his</w:t>
      </w:r>
      <w:r w:rsidR="00EE4FC3">
        <w:t xml:space="preserve"> </w:t>
      </w:r>
      <w:r w:rsidR="00610ADA" w:rsidRPr="00382917">
        <w:t>emotion</w:t>
      </w:r>
      <w:r w:rsidR="00330AF7">
        <w:t>.</w:t>
      </w:r>
      <w:r w:rsidR="00EE4FC3">
        <w:t xml:space="preserve">  </w:t>
      </w:r>
      <w:r w:rsidR="00610ADA" w:rsidRPr="00382917">
        <w:t>He</w:t>
      </w:r>
      <w:r w:rsidR="00EE4FC3">
        <w:t xml:space="preserve"> </w:t>
      </w:r>
      <w:r w:rsidR="00610ADA" w:rsidRPr="00382917">
        <w:t>started</w:t>
      </w:r>
      <w:r w:rsidR="00EE4FC3">
        <w:t xml:space="preserve"> </w:t>
      </w:r>
      <w:r w:rsidR="00610ADA" w:rsidRPr="00382917">
        <w:t>to</w:t>
      </w:r>
      <w:r w:rsidR="00EE4FC3">
        <w:t xml:space="preserve"> </w:t>
      </w:r>
      <w:r w:rsidR="00610ADA" w:rsidRPr="00382917">
        <w:t>his</w:t>
      </w:r>
      <w:r w:rsidR="00EE4FC3">
        <w:t xml:space="preserve"> </w:t>
      </w:r>
      <w:r w:rsidR="00610ADA" w:rsidRPr="00382917">
        <w:t>feet,</w:t>
      </w:r>
      <w:r w:rsidR="00EE4FC3">
        <w:t xml:space="preserve"> </w:t>
      </w:r>
      <w:r w:rsidR="00610ADA" w:rsidRPr="00382917">
        <w:t>received</w:t>
      </w:r>
      <w:r w:rsidR="00EE4FC3">
        <w:t xml:space="preserve"> </w:t>
      </w:r>
      <w:r w:rsidR="00610ADA" w:rsidRPr="00382917">
        <w:t>with</w:t>
      </w:r>
      <w:r w:rsidR="00EE4FC3">
        <w:t xml:space="preserve"> </w:t>
      </w:r>
      <w:r w:rsidR="00610ADA" w:rsidRPr="00382917">
        <w:t>bowed</w:t>
      </w:r>
      <w:r w:rsidR="00EE4FC3">
        <w:t xml:space="preserve"> </w:t>
      </w:r>
      <w:r w:rsidR="00610ADA" w:rsidRPr="00382917">
        <w:t>head</w:t>
      </w:r>
      <w:r w:rsidR="00EE4FC3">
        <w:t xml:space="preserve"> </w:t>
      </w:r>
      <w:r w:rsidR="00610ADA" w:rsidRPr="00382917">
        <w:t>the</w:t>
      </w:r>
      <w:r w:rsidR="00EE4FC3">
        <w:t xml:space="preserve"> </w:t>
      </w:r>
      <w:r w:rsidR="00610ADA" w:rsidRPr="00382917">
        <w:t>gift</w:t>
      </w:r>
      <w:r w:rsidR="00EE4FC3">
        <w:t xml:space="preserve"> </w:t>
      </w:r>
      <w:r w:rsidR="00610ADA" w:rsidRPr="00382917">
        <w:t>from</w:t>
      </w:r>
      <w:r w:rsidR="00EE4FC3">
        <w:t xml:space="preserve"> </w:t>
      </w:r>
      <w:r w:rsidR="00610ADA" w:rsidRPr="00382917">
        <w:t>my</w:t>
      </w:r>
      <w:r w:rsidR="00EE4FC3">
        <w:t xml:space="preserve"> </w:t>
      </w:r>
      <w:r w:rsidR="00610ADA" w:rsidRPr="00382917">
        <w:t>hand,</w:t>
      </w:r>
      <w:r w:rsidR="00EE4FC3">
        <w:t xml:space="preserve"> </w:t>
      </w:r>
      <w:r w:rsidR="00610ADA" w:rsidRPr="00382917">
        <w:t>and</w:t>
      </w:r>
      <w:r w:rsidR="00EE4FC3">
        <w:t xml:space="preserve"> </w:t>
      </w:r>
      <w:r w:rsidR="00610ADA" w:rsidRPr="00382917">
        <w:t>fervently</w:t>
      </w:r>
      <w:r w:rsidR="00EE4FC3">
        <w:t xml:space="preserve"> </w:t>
      </w:r>
      <w:r w:rsidR="00610ADA" w:rsidRPr="00382917">
        <w:t>kissed</w:t>
      </w:r>
      <w:r w:rsidR="00EE4FC3">
        <w:t xml:space="preserve"> </w:t>
      </w:r>
      <w:r w:rsidR="00610ADA" w:rsidRPr="00382917">
        <w:t>it.</w:t>
      </w:r>
      <w:r w:rsidRPr="00382917">
        <w:t>”</w:t>
      </w:r>
    </w:p>
    <w:p w:rsidR="00610ADA" w:rsidRPr="00382917" w:rsidRDefault="00610ADA" w:rsidP="00900F24">
      <w:pPr>
        <w:pStyle w:val="Text"/>
      </w:pPr>
      <w:r w:rsidRPr="00382917">
        <w:t>Mullá</w:t>
      </w:r>
      <w:r w:rsidR="00EE4FC3">
        <w:t xml:space="preserve"> </w:t>
      </w:r>
      <w:r w:rsidR="00964C11" w:rsidRPr="00382917">
        <w:t>Ḥusayn</w:t>
      </w:r>
      <w:r w:rsidR="00EE4FC3">
        <w:t xml:space="preserve"> </w:t>
      </w:r>
      <w:r w:rsidRPr="00382917">
        <w:t>embraced</w:t>
      </w:r>
      <w:r w:rsidR="00EE4FC3">
        <w:t xml:space="preserve"> </w:t>
      </w:r>
      <w:r w:rsidRPr="00382917">
        <w:t>Mullá</w:t>
      </w:r>
      <w:r w:rsidR="00EE4FC3">
        <w:t xml:space="preserve"> </w:t>
      </w:r>
      <w:r w:rsidRPr="00382917">
        <w:t>Muḥammad</w:t>
      </w:r>
      <w:r w:rsidR="00EE4FC3">
        <w:t xml:space="preserve"> </w:t>
      </w:r>
      <w:r w:rsidRPr="00382917">
        <w:t>and</w:t>
      </w:r>
      <w:r w:rsidR="00EE4FC3">
        <w:t xml:space="preserve"> </w:t>
      </w:r>
      <w:r w:rsidRPr="00382917">
        <w:t>kissed</w:t>
      </w:r>
      <w:r w:rsidR="00EE4FC3">
        <w:t xml:space="preserve"> </w:t>
      </w:r>
      <w:r w:rsidRPr="00382917">
        <w:t>his</w:t>
      </w:r>
      <w:r w:rsidR="00EE4FC3">
        <w:t xml:space="preserve"> </w:t>
      </w:r>
      <w:r w:rsidRPr="00382917">
        <w:t>eyes</w:t>
      </w:r>
      <w:r w:rsidR="00EE4FC3">
        <w:t xml:space="preserve"> </w:t>
      </w:r>
      <w:r w:rsidRPr="00382917">
        <w:t>which</w:t>
      </w:r>
      <w:r w:rsidR="00EE4FC3">
        <w:t xml:space="preserve"> </w:t>
      </w:r>
      <w:r w:rsidRPr="00382917">
        <w:t>had</w:t>
      </w:r>
      <w:r w:rsidR="00EE4FC3">
        <w:t xml:space="preserve"> </w:t>
      </w:r>
      <w:r w:rsidRPr="00382917">
        <w:t>so</w:t>
      </w:r>
      <w:r w:rsidR="00EE4FC3">
        <w:t xml:space="preserve"> </w:t>
      </w:r>
      <w:r w:rsidRPr="00382917">
        <w:t>recently</w:t>
      </w:r>
      <w:r w:rsidR="00EE4FC3">
        <w:t xml:space="preserve"> </w:t>
      </w:r>
      <w:r w:rsidRPr="00382917">
        <w:t>gazed</w:t>
      </w:r>
      <w:r w:rsidR="00EE4FC3">
        <w:t xml:space="preserve"> </w:t>
      </w:r>
      <w:r w:rsidRPr="00382917">
        <w:t>upon</w:t>
      </w:r>
      <w:r w:rsidR="00EE4FC3">
        <w:t xml:space="preserve"> </w:t>
      </w:r>
      <w:r w:rsidRPr="00382917">
        <w:t>Bahá</w:t>
      </w:r>
      <w:r w:rsidR="009C713D" w:rsidRPr="00382917">
        <w:t>’</w:t>
      </w:r>
      <w:r w:rsidRPr="00382917">
        <w:t>u</w:t>
      </w:r>
      <w:r w:rsidR="009C713D" w:rsidRPr="00382917">
        <w:t>’</w:t>
      </w:r>
      <w:r w:rsidRPr="00382917">
        <w:t>lláh.</w:t>
      </w:r>
    </w:p>
    <w:p w:rsidR="00610ADA" w:rsidRPr="00382917" w:rsidRDefault="009C713D" w:rsidP="00900F24">
      <w:pPr>
        <w:pStyle w:val="Text"/>
      </w:pPr>
      <w:r w:rsidRPr="00382917">
        <w:t>“</w:t>
      </w:r>
      <w:r w:rsidR="00610ADA" w:rsidRPr="00382917">
        <w:t>May</w:t>
      </w:r>
      <w:r w:rsidR="00EE4FC3">
        <w:t xml:space="preserve"> </w:t>
      </w:r>
      <w:r w:rsidR="00610ADA" w:rsidRPr="00382917">
        <w:t>God</w:t>
      </w:r>
      <w:r w:rsidR="00EE4FC3">
        <w:t xml:space="preserve"> </w:t>
      </w:r>
      <w:r w:rsidR="00610ADA" w:rsidRPr="00382917">
        <w:t>fill</w:t>
      </w:r>
      <w:r w:rsidR="00EE4FC3">
        <w:t xml:space="preserve"> </w:t>
      </w:r>
      <w:r w:rsidR="00610ADA" w:rsidRPr="00382917">
        <w:t>your</w:t>
      </w:r>
      <w:r w:rsidR="00EE4FC3">
        <w:t xml:space="preserve"> </w:t>
      </w:r>
      <w:r w:rsidR="00610ADA" w:rsidRPr="00382917">
        <w:t>heart</w:t>
      </w:r>
      <w:r w:rsidR="00EE4FC3">
        <w:t xml:space="preserve"> </w:t>
      </w:r>
      <w:r w:rsidR="00610ADA" w:rsidRPr="00382917">
        <w:t>with</w:t>
      </w:r>
      <w:r w:rsidR="00EE4FC3">
        <w:t xml:space="preserve"> </w:t>
      </w:r>
      <w:r w:rsidR="00610ADA" w:rsidRPr="00382917">
        <w:t>gladness,</w:t>
      </w:r>
      <w:r w:rsidRPr="00382917">
        <w:t>”</w:t>
      </w:r>
      <w:r w:rsidR="00EE4FC3">
        <w:t xml:space="preserve"> </w:t>
      </w:r>
      <w:r w:rsidR="00610ADA" w:rsidRPr="00382917">
        <w:t>he</w:t>
      </w:r>
      <w:r w:rsidR="00EE4FC3">
        <w:t xml:space="preserve"> </w:t>
      </w:r>
      <w:r w:rsidR="00610ADA" w:rsidRPr="00382917">
        <w:t>told</w:t>
      </w:r>
      <w:r w:rsidR="00EE4FC3">
        <w:t xml:space="preserve"> </w:t>
      </w:r>
      <w:r w:rsidR="00610ADA" w:rsidRPr="00382917">
        <w:t>him,</w:t>
      </w:r>
      <w:r w:rsidR="00EE4FC3">
        <w:t xml:space="preserve"> </w:t>
      </w:r>
      <w:r w:rsidRPr="00382917">
        <w:t>“</w:t>
      </w:r>
      <w:r w:rsidR="00610ADA" w:rsidRPr="00382917">
        <w:t>even</w:t>
      </w:r>
      <w:r w:rsidR="00EE4FC3">
        <w:t xml:space="preserve"> </w:t>
      </w:r>
      <w:r w:rsidR="00610ADA" w:rsidRPr="00382917">
        <w:t>as</w:t>
      </w:r>
      <w:r w:rsidR="00EE4FC3">
        <w:t xml:space="preserve"> </w:t>
      </w:r>
      <w:r w:rsidR="00610ADA" w:rsidRPr="00382917">
        <w:t>you</w:t>
      </w:r>
      <w:r w:rsidR="00EE4FC3">
        <w:t xml:space="preserve"> </w:t>
      </w:r>
      <w:r w:rsidR="00610ADA" w:rsidRPr="00382917">
        <w:t>have</w:t>
      </w:r>
      <w:r w:rsidR="00EE4FC3">
        <w:t xml:space="preserve"> </w:t>
      </w:r>
      <w:r w:rsidR="00610ADA" w:rsidRPr="00382917">
        <w:t>rejoiced</w:t>
      </w:r>
      <w:r w:rsidR="00EE4FC3">
        <w:t xml:space="preserve"> </w:t>
      </w:r>
      <w:proofErr w:type="gramStart"/>
      <w:r w:rsidR="00610ADA" w:rsidRPr="00382917">
        <w:t>mine.</w:t>
      </w:r>
      <w:proofErr w:type="gramEnd"/>
      <w:r w:rsidRPr="00382917">
        <w:t>”</w:t>
      </w:r>
    </w:p>
    <w:p w:rsidR="00610ADA" w:rsidRPr="00382917" w:rsidRDefault="00610ADA" w:rsidP="00900F24">
      <w:pPr>
        <w:pStyle w:val="Text"/>
      </w:pPr>
      <w:r w:rsidRPr="00382917">
        <w:t>Mullá</w:t>
      </w:r>
      <w:r w:rsidR="00EE4FC3">
        <w:t xml:space="preserve"> </w:t>
      </w:r>
      <w:r w:rsidRPr="00382917">
        <w:t>Muḥammad</w:t>
      </w:r>
      <w:r w:rsidR="00EE4FC3">
        <w:t xml:space="preserve"> </w:t>
      </w:r>
      <w:r w:rsidRPr="00382917">
        <w:t>was</w:t>
      </w:r>
      <w:r w:rsidR="00EE4FC3">
        <w:t xml:space="preserve"> </w:t>
      </w:r>
      <w:r w:rsidRPr="00382917">
        <w:t>puzzled</w:t>
      </w:r>
      <w:r w:rsidR="00330AF7">
        <w:t>.</w:t>
      </w:r>
      <w:r w:rsidR="00EE4FC3">
        <w:t xml:space="preserve">  </w:t>
      </w:r>
      <w:r w:rsidRPr="00382917">
        <w:t>He</w:t>
      </w:r>
      <w:r w:rsidR="00EE4FC3">
        <w:t xml:space="preserve"> </w:t>
      </w:r>
      <w:r w:rsidRPr="00382917">
        <w:t>said</w:t>
      </w:r>
      <w:r w:rsidR="00EE4FC3">
        <w:t xml:space="preserve"> </w:t>
      </w:r>
      <w:r w:rsidRPr="00382917">
        <w:t>to</w:t>
      </w:r>
      <w:r w:rsidR="00EE4FC3">
        <w:t xml:space="preserve"> </w:t>
      </w:r>
      <w:r w:rsidRPr="00382917">
        <w:t>himself</w:t>
      </w:r>
      <w:r w:rsidR="00C03C91">
        <w:t>:</w:t>
      </w:r>
      <w:r w:rsidR="00EE4FC3">
        <w:t xml:space="preserve">  </w:t>
      </w:r>
      <w:r w:rsidR="009C713D" w:rsidRPr="00382917">
        <w:t>“</w:t>
      </w:r>
      <w:r w:rsidRPr="00382917">
        <w:t>What</w:t>
      </w:r>
      <w:r w:rsidR="00EE4FC3">
        <w:t xml:space="preserve"> </w:t>
      </w:r>
      <w:r w:rsidRPr="00382917">
        <w:t>can</w:t>
      </w:r>
      <w:r w:rsidR="00EE4FC3">
        <w:t xml:space="preserve"> </w:t>
      </w:r>
      <w:r w:rsidRPr="00382917">
        <w:t>be</w:t>
      </w:r>
      <w:r w:rsidR="00EE4FC3">
        <w:t xml:space="preserve"> </w:t>
      </w:r>
      <w:r w:rsidRPr="00382917">
        <w:t>the</w:t>
      </w:r>
      <w:r w:rsidR="00EE4FC3">
        <w:t xml:space="preserve"> </w:t>
      </w:r>
      <w:r w:rsidRPr="00382917">
        <w:t>nature</w:t>
      </w:r>
      <w:r w:rsidR="00EE4FC3">
        <w:t xml:space="preserve"> </w:t>
      </w:r>
      <w:r w:rsidRPr="00382917">
        <w:t>of</w:t>
      </w:r>
      <w:r w:rsidR="00EE4FC3">
        <w:t xml:space="preserve"> </w:t>
      </w:r>
      <w:r w:rsidRPr="00382917">
        <w:t>the</w:t>
      </w:r>
      <w:r w:rsidR="00EE4FC3">
        <w:t xml:space="preserve"> </w:t>
      </w:r>
      <w:r w:rsidRPr="00382917">
        <w:t>bond</w:t>
      </w:r>
      <w:r w:rsidR="00EE4FC3">
        <w:t xml:space="preserve"> </w:t>
      </w:r>
      <w:r w:rsidRPr="00382917">
        <w:t>that</w:t>
      </w:r>
      <w:r w:rsidR="00EE4FC3">
        <w:t xml:space="preserve"> </w:t>
      </w:r>
      <w:r w:rsidRPr="00382917">
        <w:t>unites</w:t>
      </w:r>
      <w:r w:rsidR="00EE4FC3">
        <w:t xml:space="preserve"> </w:t>
      </w:r>
      <w:r w:rsidRPr="00382917">
        <w:t>these</w:t>
      </w:r>
      <w:r w:rsidR="00EE4FC3">
        <w:t xml:space="preserve"> </w:t>
      </w:r>
      <w:r w:rsidRPr="00382917">
        <w:t>two</w:t>
      </w:r>
      <w:r w:rsidR="00EE4FC3">
        <w:t xml:space="preserve"> </w:t>
      </w:r>
      <w:r w:rsidRPr="00382917">
        <w:t>souls?</w:t>
      </w:r>
      <w:r w:rsidR="00EE4FC3">
        <w:t xml:space="preserve"> </w:t>
      </w:r>
      <w:r w:rsidR="004C6510">
        <w:t xml:space="preserve"> </w:t>
      </w:r>
      <w:r w:rsidRPr="00382917">
        <w:t>What</w:t>
      </w:r>
      <w:r w:rsidR="00EE4FC3">
        <w:t xml:space="preserve"> </w:t>
      </w:r>
      <w:r w:rsidRPr="00382917">
        <w:t>could</w:t>
      </w:r>
      <w:r w:rsidR="00EE4FC3">
        <w:t xml:space="preserve"> </w:t>
      </w:r>
      <w:r w:rsidRPr="00382917">
        <w:t>have</w:t>
      </w:r>
      <w:r w:rsidR="00EE4FC3">
        <w:t xml:space="preserve"> </w:t>
      </w:r>
      <w:r w:rsidRPr="00382917">
        <w:t>kindled</w:t>
      </w:r>
      <w:r w:rsidR="00EE4FC3">
        <w:t xml:space="preserve"> </w:t>
      </w:r>
      <w:r w:rsidRPr="00382917">
        <w:t>such</w:t>
      </w:r>
      <w:r w:rsidR="00EE4FC3">
        <w:t xml:space="preserve"> </w:t>
      </w:r>
      <w:r w:rsidRPr="00382917">
        <w:t>a</w:t>
      </w:r>
      <w:r w:rsidR="00EE4FC3">
        <w:t xml:space="preserve"> </w:t>
      </w:r>
      <w:r w:rsidRPr="00382917">
        <w:t>fellowship</w:t>
      </w:r>
      <w:r w:rsidR="00EE4FC3">
        <w:t xml:space="preserve"> </w:t>
      </w:r>
      <w:r w:rsidRPr="00382917">
        <w:t>between</w:t>
      </w:r>
      <w:r w:rsidR="00EE4FC3">
        <w:t xml:space="preserve"> </w:t>
      </w:r>
      <w:r w:rsidRPr="00382917">
        <w:t>strangers</w:t>
      </w:r>
      <w:r w:rsidR="003C712C">
        <w:t xml:space="preserve">?  </w:t>
      </w:r>
      <w:r w:rsidRPr="00382917">
        <w:t>Why</w:t>
      </w:r>
      <w:r w:rsidR="00EE4FC3">
        <w:t xml:space="preserve"> </w:t>
      </w:r>
      <w:r w:rsidRPr="00382917">
        <w:t>should</w:t>
      </w:r>
      <w:r w:rsidR="00EE4FC3">
        <w:t xml:space="preserve"> </w:t>
      </w:r>
      <w:r w:rsidRPr="00382917">
        <w:t>Mullá</w:t>
      </w:r>
      <w:r w:rsidR="00EE4FC3">
        <w:t xml:space="preserve"> </w:t>
      </w:r>
      <w:r w:rsidR="00964C11" w:rsidRPr="00382917">
        <w:t>Ḥusayn</w:t>
      </w:r>
      <w:r w:rsidRPr="00382917">
        <w:t>,</w:t>
      </w:r>
      <w:r w:rsidR="00EE4FC3">
        <w:t xml:space="preserve"> </w:t>
      </w:r>
      <w:r w:rsidRPr="00382917">
        <w:t>who</w:t>
      </w:r>
      <w:r w:rsidR="00EE4FC3">
        <w:t xml:space="preserve"> </w:t>
      </w:r>
      <w:r w:rsidRPr="00382917">
        <w:t>considers</w:t>
      </w:r>
      <w:r w:rsidR="00EE4FC3">
        <w:t xml:space="preserve"> </w:t>
      </w:r>
      <w:r w:rsidRPr="00382917">
        <w:t>riches</w:t>
      </w:r>
      <w:r w:rsidR="00EE4FC3">
        <w:t xml:space="preserve"> </w:t>
      </w:r>
      <w:r w:rsidRPr="00382917">
        <w:t>and</w:t>
      </w:r>
      <w:r w:rsidR="00EE4FC3">
        <w:t xml:space="preserve"> </w:t>
      </w:r>
      <w:r w:rsidRPr="00382917">
        <w:t>fame</w:t>
      </w:r>
      <w:r w:rsidR="00EE4FC3">
        <w:t xml:space="preserve"> </w:t>
      </w:r>
      <w:r w:rsidRPr="00382917">
        <w:t>as</w:t>
      </w:r>
      <w:r w:rsidR="00EE4FC3">
        <w:t xml:space="preserve"> </w:t>
      </w:r>
      <w:r w:rsidRPr="00382917">
        <w:t>the</w:t>
      </w:r>
      <w:r w:rsidR="00EE4FC3">
        <w:t xml:space="preserve"> </w:t>
      </w:r>
      <w:r w:rsidRPr="00382917">
        <w:t>merest</w:t>
      </w:r>
      <w:r w:rsidR="00EE4FC3">
        <w:t xml:space="preserve"> </w:t>
      </w:r>
      <w:r w:rsidRPr="00382917">
        <w:t>trifles,</w:t>
      </w:r>
    </w:p>
    <w:p w:rsidR="00900F24" w:rsidRPr="00382917" w:rsidRDefault="00900F24">
      <w:pPr>
        <w:widowControl/>
        <w:kinsoku/>
        <w:overflowPunct/>
        <w:textAlignment w:val="auto"/>
      </w:pPr>
      <w:r w:rsidRPr="00382917">
        <w:br w:type="page"/>
      </w:r>
    </w:p>
    <w:p w:rsidR="00610ADA" w:rsidRPr="00382917" w:rsidRDefault="00610ADA" w:rsidP="00900F24">
      <w:pPr>
        <w:pStyle w:val="Textcts"/>
      </w:pPr>
      <w:proofErr w:type="gramStart"/>
      <w:r w:rsidRPr="00382917">
        <w:t>have</w:t>
      </w:r>
      <w:proofErr w:type="gramEnd"/>
      <w:r w:rsidR="00EE4FC3">
        <w:t xml:space="preserve"> </w:t>
      </w:r>
      <w:r w:rsidRPr="00382917">
        <w:t>shown</w:t>
      </w:r>
      <w:r w:rsidR="00EE4FC3">
        <w:t xml:space="preserve"> </w:t>
      </w:r>
      <w:r w:rsidRPr="00382917">
        <w:t>such</w:t>
      </w:r>
      <w:r w:rsidR="00EE4FC3">
        <w:t xml:space="preserve"> </w:t>
      </w:r>
      <w:r w:rsidRPr="00382917">
        <w:t>gladness</w:t>
      </w:r>
      <w:r w:rsidR="00EE4FC3">
        <w:t xml:space="preserve"> </w:t>
      </w:r>
      <w:r w:rsidRPr="00382917">
        <w:t>at</w:t>
      </w:r>
      <w:r w:rsidR="00EE4FC3">
        <w:t xml:space="preserve"> </w:t>
      </w:r>
      <w:r w:rsidRPr="00382917">
        <w:t>the</w:t>
      </w:r>
      <w:r w:rsidR="00EE4FC3">
        <w:t xml:space="preserve"> </w:t>
      </w:r>
      <w:r w:rsidRPr="00382917">
        <w:t>sight</w:t>
      </w:r>
      <w:r w:rsidR="00EE4FC3">
        <w:t xml:space="preserve"> </w:t>
      </w:r>
      <w:r w:rsidRPr="00382917">
        <w:t>of</w:t>
      </w:r>
      <w:r w:rsidR="00EE4FC3">
        <w:t xml:space="preserve"> </w:t>
      </w:r>
      <w:r w:rsidRPr="00382917">
        <w:t>this</w:t>
      </w:r>
      <w:r w:rsidR="00EE4FC3">
        <w:t xml:space="preserve"> </w:t>
      </w:r>
      <w:r w:rsidRPr="00382917">
        <w:t>tiny</w:t>
      </w:r>
      <w:r w:rsidR="00EE4FC3">
        <w:t xml:space="preserve"> </w:t>
      </w:r>
      <w:r w:rsidRPr="00382917">
        <w:t>gift</w:t>
      </w:r>
      <w:r w:rsidR="00EE4FC3">
        <w:t xml:space="preserve"> </w:t>
      </w:r>
      <w:r w:rsidRPr="00382917">
        <w:t>from</w:t>
      </w:r>
      <w:r w:rsidR="00EE4FC3">
        <w:t xml:space="preserve"> </w:t>
      </w:r>
      <w:r w:rsidRPr="00382917">
        <w:t>the</w:t>
      </w:r>
      <w:r w:rsidR="00EE4FC3">
        <w:t xml:space="preserve"> </w:t>
      </w:r>
      <w:r w:rsidRPr="00382917">
        <w:t>hands</w:t>
      </w:r>
      <w:r w:rsidR="00EE4FC3">
        <w:t xml:space="preserve"> </w:t>
      </w:r>
      <w:r w:rsidRPr="00382917">
        <w:t>of</w:t>
      </w:r>
      <w:r w:rsidR="00EE4FC3">
        <w:t xml:space="preserve"> </w:t>
      </w:r>
      <w:r w:rsidRPr="00382917">
        <w:t>Bahá</w:t>
      </w:r>
      <w:r w:rsidR="009C713D" w:rsidRPr="00382917">
        <w:t>’</w:t>
      </w:r>
      <w:r w:rsidRPr="00382917">
        <w:t>u</w:t>
      </w:r>
      <w:r w:rsidR="009C713D" w:rsidRPr="00382917">
        <w:t>’</w:t>
      </w:r>
      <w:r w:rsidRPr="00382917">
        <w:t>lláh?</w:t>
      </w:r>
      <w:r w:rsidR="009C713D" w:rsidRPr="00382917">
        <w:t>”</w:t>
      </w:r>
    </w:p>
    <w:p w:rsidR="00610ADA" w:rsidRPr="00382917" w:rsidRDefault="00610ADA" w:rsidP="00900F24">
      <w:pPr>
        <w:pStyle w:val="Text"/>
      </w:pPr>
      <w:r w:rsidRPr="00382917">
        <w:t>A</w:t>
      </w:r>
      <w:r w:rsidR="00EE4FC3">
        <w:t xml:space="preserve"> </w:t>
      </w:r>
      <w:r w:rsidRPr="00382917">
        <w:t>few</w:t>
      </w:r>
      <w:r w:rsidR="00EE4FC3">
        <w:t xml:space="preserve"> </w:t>
      </w:r>
      <w:r w:rsidRPr="00382917">
        <w:t>days</w:t>
      </w:r>
      <w:r w:rsidR="00EE4FC3">
        <w:t xml:space="preserve"> </w:t>
      </w:r>
      <w:r w:rsidRPr="00382917">
        <w:t>later</w:t>
      </w:r>
      <w:r w:rsidR="00EE4FC3">
        <w:t xml:space="preserve"> </w:t>
      </w:r>
      <w:r w:rsidRPr="00382917">
        <w:t>Mullá</w:t>
      </w:r>
      <w:r w:rsidR="00EE4FC3">
        <w:t xml:space="preserve"> </w:t>
      </w:r>
      <w:r w:rsidR="00964C11" w:rsidRPr="00382917">
        <w:t>Ḥusayn</w:t>
      </w:r>
      <w:r w:rsidR="00EE4FC3">
        <w:t xml:space="preserve"> </w:t>
      </w:r>
      <w:r w:rsidRPr="00382917">
        <w:t>left</w:t>
      </w:r>
      <w:r w:rsidR="00EE4FC3">
        <w:t xml:space="preserve"> </w:t>
      </w:r>
      <w:r w:rsidRPr="00382917">
        <w:t>for</w:t>
      </w:r>
      <w:r w:rsidR="00EE4FC3">
        <w:t xml:space="preserve"> </w:t>
      </w:r>
      <w:r w:rsidR="006225E8" w:rsidRPr="006225E8">
        <w:rPr>
          <w:u w:val="single"/>
        </w:rPr>
        <w:t>Kh</w:t>
      </w:r>
      <w:r w:rsidR="006225E8" w:rsidRPr="00382917">
        <w:t>urásán</w:t>
      </w:r>
      <w:r w:rsidR="00330AF7">
        <w:t>.</w:t>
      </w:r>
      <w:r w:rsidR="00EE4FC3">
        <w:t xml:space="preserve">  </w:t>
      </w:r>
      <w:r w:rsidRPr="00382917">
        <w:t>As</w:t>
      </w:r>
      <w:r w:rsidR="00EE4FC3">
        <w:t xml:space="preserve"> </w:t>
      </w:r>
      <w:r w:rsidRPr="00382917">
        <w:t>he</w:t>
      </w:r>
      <w:r w:rsidR="00EE4FC3">
        <w:t xml:space="preserve"> </w:t>
      </w:r>
      <w:r w:rsidRPr="00382917">
        <w:t>said</w:t>
      </w:r>
      <w:r w:rsidR="00EE4FC3">
        <w:t xml:space="preserve"> </w:t>
      </w:r>
      <w:r w:rsidRPr="00382917">
        <w:t>farewell</w:t>
      </w:r>
      <w:r w:rsidR="00EE4FC3">
        <w:t xml:space="preserve"> </w:t>
      </w:r>
      <w:r w:rsidRPr="00382917">
        <w:t>to</w:t>
      </w:r>
      <w:r w:rsidR="00EE4FC3">
        <w:t xml:space="preserve"> </w:t>
      </w:r>
      <w:r w:rsidRPr="00382917">
        <w:t>Mullá</w:t>
      </w:r>
      <w:r w:rsidR="00EE4FC3">
        <w:t xml:space="preserve"> </w:t>
      </w:r>
      <w:r w:rsidRPr="00382917">
        <w:t>Muḥammad,</w:t>
      </w:r>
      <w:r w:rsidR="00EE4FC3">
        <w:t xml:space="preserve"> </w:t>
      </w:r>
      <w:r w:rsidRPr="00382917">
        <w:t>he</w:t>
      </w:r>
      <w:r w:rsidR="00EE4FC3">
        <w:t xml:space="preserve"> </w:t>
      </w:r>
      <w:r w:rsidRPr="00382917">
        <w:t>warned</w:t>
      </w:r>
      <w:r w:rsidR="00EE4FC3">
        <w:t xml:space="preserve"> </w:t>
      </w:r>
      <w:r w:rsidRPr="00382917">
        <w:t>him</w:t>
      </w:r>
      <w:r w:rsidR="00C03C91">
        <w:t>:</w:t>
      </w:r>
      <w:r w:rsidR="00EE4FC3">
        <w:t xml:space="preserve">  </w:t>
      </w:r>
      <w:r w:rsidR="009C713D" w:rsidRPr="00382917">
        <w:t>“</w:t>
      </w:r>
      <w:r w:rsidRPr="00382917">
        <w:t>Do</w:t>
      </w:r>
      <w:r w:rsidR="00EE4FC3">
        <w:t xml:space="preserve"> </w:t>
      </w:r>
      <w:r w:rsidRPr="00382917">
        <w:t>not</w:t>
      </w:r>
      <w:r w:rsidR="00EE4FC3">
        <w:t xml:space="preserve"> </w:t>
      </w:r>
      <w:r w:rsidRPr="00382917">
        <w:t>breathe</w:t>
      </w:r>
      <w:r w:rsidR="00EE4FC3">
        <w:t xml:space="preserve"> </w:t>
      </w:r>
      <w:r w:rsidRPr="00382917">
        <w:t>to</w:t>
      </w:r>
      <w:r w:rsidR="00EE4FC3">
        <w:t xml:space="preserve"> </w:t>
      </w:r>
      <w:r w:rsidRPr="00382917">
        <w:t>anyone</w:t>
      </w:r>
      <w:r w:rsidR="00EE4FC3">
        <w:t xml:space="preserve"> </w:t>
      </w:r>
      <w:r w:rsidRPr="00382917">
        <w:t>what</w:t>
      </w:r>
      <w:r w:rsidR="00EE4FC3">
        <w:t xml:space="preserve"> </w:t>
      </w:r>
      <w:r w:rsidRPr="00382917">
        <w:t>you</w:t>
      </w:r>
      <w:r w:rsidR="00EE4FC3">
        <w:t xml:space="preserve"> </w:t>
      </w:r>
      <w:r w:rsidRPr="00382917">
        <w:t>have</w:t>
      </w:r>
      <w:r w:rsidR="00EE4FC3">
        <w:t xml:space="preserve"> </w:t>
      </w:r>
      <w:r w:rsidRPr="00382917">
        <w:t>heard</w:t>
      </w:r>
      <w:r w:rsidR="00EE4FC3">
        <w:t xml:space="preserve"> </w:t>
      </w:r>
      <w:r w:rsidRPr="00382917">
        <w:t>and</w:t>
      </w:r>
      <w:r w:rsidR="00EE4FC3">
        <w:t xml:space="preserve"> </w:t>
      </w:r>
      <w:r w:rsidRPr="00382917">
        <w:t>witnessed</w:t>
      </w:r>
      <w:r w:rsidR="00330AF7">
        <w:t>.</w:t>
      </w:r>
      <w:r w:rsidR="00EE4FC3">
        <w:t xml:space="preserve">  </w:t>
      </w:r>
      <w:r w:rsidRPr="00382917">
        <w:t>Let</w:t>
      </w:r>
      <w:r w:rsidR="00EE4FC3">
        <w:t xml:space="preserve"> </w:t>
      </w:r>
      <w:r w:rsidRPr="00382917">
        <w:t>this</w:t>
      </w:r>
      <w:r w:rsidR="00EE4FC3">
        <w:t xml:space="preserve"> </w:t>
      </w:r>
      <w:r w:rsidRPr="00382917">
        <w:t>be</w:t>
      </w:r>
      <w:r w:rsidR="00EE4FC3">
        <w:t xml:space="preserve"> </w:t>
      </w:r>
      <w:r w:rsidRPr="00382917">
        <w:t>a</w:t>
      </w:r>
      <w:r w:rsidR="00EE4FC3">
        <w:t xml:space="preserve"> </w:t>
      </w:r>
      <w:r w:rsidRPr="00382917">
        <w:t>secret</w:t>
      </w:r>
      <w:r w:rsidR="00EE4FC3">
        <w:t xml:space="preserve"> </w:t>
      </w:r>
      <w:r w:rsidRPr="00382917">
        <w:t>within</w:t>
      </w:r>
      <w:r w:rsidR="00EE4FC3">
        <w:t xml:space="preserve"> </w:t>
      </w:r>
      <w:r w:rsidRPr="00382917">
        <w:t>your</w:t>
      </w:r>
      <w:r w:rsidR="00EE4FC3">
        <w:t xml:space="preserve"> </w:t>
      </w:r>
      <w:r w:rsidRPr="00382917">
        <w:t>breast</w:t>
      </w:r>
      <w:r w:rsidR="00330AF7">
        <w:t>.</w:t>
      </w:r>
      <w:r w:rsidR="00EE4FC3">
        <w:t xml:space="preserve">  </w:t>
      </w:r>
      <w:r w:rsidRPr="00382917">
        <w:t>Divulge</w:t>
      </w:r>
      <w:r w:rsidR="00EE4FC3">
        <w:t xml:space="preserve"> </w:t>
      </w:r>
      <w:r w:rsidRPr="00382917">
        <w:t>not</w:t>
      </w:r>
      <w:r w:rsidR="00EE4FC3">
        <w:t xml:space="preserve"> </w:t>
      </w:r>
      <w:r w:rsidRPr="00382917">
        <w:t>His</w:t>
      </w:r>
      <w:r w:rsidR="00EE4FC3">
        <w:t xml:space="preserve"> </w:t>
      </w:r>
      <w:r w:rsidRPr="00382917">
        <w:t>name,</w:t>
      </w:r>
      <w:r w:rsidR="00EE4FC3">
        <w:t xml:space="preserve"> </w:t>
      </w:r>
      <w:r w:rsidRPr="00382917">
        <w:t>for</w:t>
      </w:r>
      <w:r w:rsidR="00EE4FC3">
        <w:t xml:space="preserve"> </w:t>
      </w:r>
      <w:r w:rsidRPr="00382917">
        <w:t>they</w:t>
      </w:r>
      <w:r w:rsidR="00EE4FC3">
        <w:t xml:space="preserve"> </w:t>
      </w:r>
      <w:r w:rsidRPr="00382917">
        <w:t>who</w:t>
      </w:r>
      <w:r w:rsidR="00EE4FC3">
        <w:t xml:space="preserve"> </w:t>
      </w:r>
      <w:r w:rsidRPr="00382917">
        <w:t>envy</w:t>
      </w:r>
      <w:r w:rsidR="00EE4FC3">
        <w:t xml:space="preserve"> </w:t>
      </w:r>
      <w:r w:rsidRPr="00382917">
        <w:t>His</w:t>
      </w:r>
      <w:r w:rsidR="00EE4FC3">
        <w:t xml:space="preserve"> </w:t>
      </w:r>
      <w:r w:rsidRPr="00382917">
        <w:t>position</w:t>
      </w:r>
      <w:r w:rsidR="00EE4FC3">
        <w:t xml:space="preserve"> </w:t>
      </w:r>
      <w:r w:rsidRPr="00382917">
        <w:t>will</w:t>
      </w:r>
      <w:r w:rsidR="00EE4FC3">
        <w:t xml:space="preserve"> </w:t>
      </w:r>
      <w:r w:rsidRPr="00382917">
        <w:t>arise</w:t>
      </w:r>
      <w:r w:rsidR="00EE4FC3">
        <w:t xml:space="preserve"> </w:t>
      </w:r>
      <w:r w:rsidRPr="00382917">
        <w:t>to</w:t>
      </w:r>
      <w:r w:rsidR="00EE4FC3">
        <w:t xml:space="preserve"> </w:t>
      </w:r>
      <w:r w:rsidRPr="00382917">
        <w:t>harm</w:t>
      </w:r>
      <w:r w:rsidR="00EE4FC3">
        <w:t xml:space="preserve"> </w:t>
      </w:r>
      <w:r w:rsidRPr="00382917">
        <w:t>Him</w:t>
      </w:r>
      <w:r w:rsidR="00330AF7">
        <w:t>.</w:t>
      </w:r>
      <w:r w:rsidR="00EE4FC3">
        <w:t xml:space="preserve">  </w:t>
      </w:r>
      <w:r w:rsidRPr="00382917">
        <w:t>Pray</w:t>
      </w:r>
      <w:r w:rsidR="00EE4FC3">
        <w:t xml:space="preserve"> </w:t>
      </w:r>
      <w:r w:rsidRPr="00382917">
        <w:t>that</w:t>
      </w:r>
      <w:r w:rsidR="00EE4FC3">
        <w:t xml:space="preserve"> </w:t>
      </w:r>
      <w:r w:rsidRPr="00382917">
        <w:t>God</w:t>
      </w:r>
      <w:r w:rsidR="00EE4FC3">
        <w:t xml:space="preserve"> </w:t>
      </w:r>
      <w:r w:rsidRPr="00382917">
        <w:t>may</w:t>
      </w:r>
      <w:r w:rsidR="00EE4FC3">
        <w:t xml:space="preserve"> </w:t>
      </w:r>
      <w:r w:rsidRPr="00382917">
        <w:t>protect</w:t>
      </w:r>
      <w:r w:rsidR="00EE4FC3">
        <w:t xml:space="preserve"> </w:t>
      </w:r>
      <w:r w:rsidRPr="00382917">
        <w:t>Him</w:t>
      </w:r>
      <w:r w:rsidR="00EE4FC3">
        <w:t xml:space="preserve"> </w:t>
      </w:r>
      <w:r w:rsidRPr="00382917">
        <w:t>until</w:t>
      </w:r>
      <w:r w:rsidR="00EE4FC3">
        <w:t xml:space="preserve"> </w:t>
      </w:r>
      <w:r w:rsidRPr="00382917">
        <w:t>such</w:t>
      </w:r>
      <w:r w:rsidR="00EE4FC3">
        <w:t xml:space="preserve"> </w:t>
      </w:r>
      <w:r w:rsidRPr="00382917">
        <w:t>a</w:t>
      </w:r>
      <w:r w:rsidR="00EE4FC3">
        <w:t xml:space="preserve"> </w:t>
      </w:r>
      <w:r w:rsidRPr="00382917">
        <w:t>day</w:t>
      </w:r>
      <w:r w:rsidR="00EE4FC3">
        <w:t xml:space="preserve"> </w:t>
      </w:r>
      <w:r w:rsidRPr="00382917">
        <w:t>as</w:t>
      </w:r>
      <w:r w:rsidR="00EE4FC3">
        <w:t xml:space="preserve"> </w:t>
      </w:r>
      <w:r w:rsidRPr="00382917">
        <w:t>He</w:t>
      </w:r>
      <w:r w:rsidR="00EE4FC3">
        <w:t xml:space="preserve"> </w:t>
      </w:r>
      <w:r w:rsidRPr="00382917">
        <w:t>may</w:t>
      </w:r>
      <w:r w:rsidR="00EE4FC3">
        <w:t xml:space="preserve"> </w:t>
      </w:r>
      <w:r w:rsidRPr="00382917">
        <w:t>exalt</w:t>
      </w:r>
      <w:r w:rsidR="00EE4FC3">
        <w:t xml:space="preserve"> </w:t>
      </w:r>
      <w:r w:rsidRPr="00382917">
        <w:t>the</w:t>
      </w:r>
      <w:r w:rsidR="00EE4FC3">
        <w:t xml:space="preserve"> </w:t>
      </w:r>
      <w:r w:rsidRPr="00382917">
        <w:t>downtrodden,</w:t>
      </w:r>
      <w:r w:rsidR="00EE4FC3">
        <w:t xml:space="preserve"> </w:t>
      </w:r>
      <w:r w:rsidRPr="00382917">
        <w:t>enrich</w:t>
      </w:r>
      <w:r w:rsidR="00EE4FC3">
        <w:t xml:space="preserve"> </w:t>
      </w:r>
      <w:r w:rsidRPr="00382917">
        <w:t>the</w:t>
      </w:r>
      <w:r w:rsidR="00EE4FC3">
        <w:t xml:space="preserve"> </w:t>
      </w:r>
      <w:r w:rsidRPr="00382917">
        <w:t>poor,</w:t>
      </w:r>
      <w:r w:rsidR="00EE4FC3">
        <w:t xml:space="preserve"> </w:t>
      </w:r>
      <w:r w:rsidRPr="00382917">
        <w:t>and</w:t>
      </w:r>
      <w:r w:rsidR="00EE4FC3">
        <w:t xml:space="preserve"> </w:t>
      </w:r>
      <w:r w:rsidRPr="00382917">
        <w:t>redeem</w:t>
      </w:r>
      <w:r w:rsidR="00EE4FC3">
        <w:t xml:space="preserve"> </w:t>
      </w:r>
      <w:r w:rsidRPr="00382917">
        <w:t>the</w:t>
      </w:r>
      <w:r w:rsidR="00EE4FC3">
        <w:t xml:space="preserve"> </w:t>
      </w:r>
      <w:r w:rsidRPr="00382917">
        <w:t>fallen</w:t>
      </w:r>
      <w:r w:rsidR="00330AF7">
        <w:t>.</w:t>
      </w:r>
      <w:r w:rsidR="00EE4FC3">
        <w:t xml:space="preserve">  </w:t>
      </w:r>
      <w:r w:rsidRPr="00382917">
        <w:t>The</w:t>
      </w:r>
      <w:r w:rsidR="00EE4FC3">
        <w:t xml:space="preserve"> </w:t>
      </w:r>
      <w:r w:rsidRPr="00382917">
        <w:t>secret</w:t>
      </w:r>
      <w:r w:rsidR="00EE4FC3">
        <w:t xml:space="preserve"> </w:t>
      </w:r>
      <w:r w:rsidRPr="00382917">
        <w:t>of</w:t>
      </w:r>
      <w:r w:rsidR="00EE4FC3">
        <w:t xml:space="preserve"> </w:t>
      </w:r>
      <w:r w:rsidRPr="00382917">
        <w:t>this</w:t>
      </w:r>
      <w:r w:rsidR="00EE4FC3">
        <w:t xml:space="preserve"> </w:t>
      </w:r>
      <w:r w:rsidRPr="00382917">
        <w:t>thing</w:t>
      </w:r>
      <w:r w:rsidR="00EE4FC3">
        <w:t xml:space="preserve"> </w:t>
      </w:r>
      <w:r w:rsidRPr="00382917">
        <w:t>is</w:t>
      </w:r>
      <w:r w:rsidR="00EE4FC3">
        <w:t xml:space="preserve"> </w:t>
      </w:r>
      <w:r w:rsidRPr="00382917">
        <w:t>still</w:t>
      </w:r>
      <w:r w:rsidR="00EE4FC3">
        <w:t xml:space="preserve"> </w:t>
      </w:r>
      <w:r w:rsidRPr="00382917">
        <w:t>concealed</w:t>
      </w:r>
      <w:r w:rsidR="00EE4FC3">
        <w:t xml:space="preserve"> </w:t>
      </w:r>
      <w:r w:rsidRPr="00382917">
        <w:t>from</w:t>
      </w:r>
      <w:r w:rsidR="00EE4FC3">
        <w:t xml:space="preserve"> </w:t>
      </w:r>
      <w:r w:rsidRPr="00382917">
        <w:t>our</w:t>
      </w:r>
      <w:r w:rsidR="00EE4FC3">
        <w:t xml:space="preserve"> </w:t>
      </w:r>
      <w:r w:rsidRPr="00382917">
        <w:t>eyes</w:t>
      </w:r>
      <w:r w:rsidR="00330AF7">
        <w:t>.</w:t>
      </w:r>
      <w:r w:rsidR="00EE4FC3">
        <w:t xml:space="preserve">  </w:t>
      </w:r>
      <w:r w:rsidRPr="00382917">
        <w:t>Ours</w:t>
      </w:r>
      <w:r w:rsidR="00EE4FC3">
        <w:t xml:space="preserve"> </w:t>
      </w:r>
      <w:r w:rsidRPr="00382917">
        <w:t>is</w:t>
      </w:r>
      <w:r w:rsidR="00EE4FC3">
        <w:t xml:space="preserve"> </w:t>
      </w:r>
      <w:r w:rsidRPr="00382917">
        <w:t>now</w:t>
      </w:r>
      <w:r w:rsidR="00EE4FC3">
        <w:t xml:space="preserve"> </w:t>
      </w:r>
      <w:r w:rsidRPr="00382917">
        <w:t>the</w:t>
      </w:r>
      <w:r w:rsidR="00EE4FC3">
        <w:t xml:space="preserve"> </w:t>
      </w:r>
      <w:r w:rsidRPr="00382917">
        <w:t>duty</w:t>
      </w:r>
      <w:r w:rsidR="00EE4FC3">
        <w:t xml:space="preserve"> </w:t>
      </w:r>
      <w:r w:rsidRPr="00382917">
        <w:t>to</w:t>
      </w:r>
      <w:r w:rsidR="00EE4FC3">
        <w:t xml:space="preserve"> </w:t>
      </w:r>
      <w:r w:rsidRPr="00382917">
        <w:t>raise</w:t>
      </w:r>
      <w:r w:rsidR="00EE4FC3">
        <w:t xml:space="preserve"> </w:t>
      </w:r>
      <w:r w:rsidRPr="00382917">
        <w:t>the</w:t>
      </w:r>
      <w:r w:rsidR="00EE4FC3">
        <w:t xml:space="preserve"> </w:t>
      </w:r>
      <w:r w:rsidRPr="00382917">
        <w:t>call</w:t>
      </w:r>
      <w:r w:rsidR="00EE4FC3">
        <w:t xml:space="preserve"> </w:t>
      </w:r>
      <w:r w:rsidRPr="00382917">
        <w:t>of</w:t>
      </w:r>
      <w:r w:rsidR="00EE4FC3">
        <w:t xml:space="preserve"> </w:t>
      </w:r>
      <w:r w:rsidRPr="00382917">
        <w:t>the</w:t>
      </w:r>
      <w:r w:rsidR="00EE4FC3">
        <w:t xml:space="preserve"> </w:t>
      </w:r>
      <w:r w:rsidRPr="00382917">
        <w:t>New</w:t>
      </w:r>
      <w:r w:rsidR="00EE4FC3">
        <w:t xml:space="preserve"> </w:t>
      </w:r>
      <w:r w:rsidRPr="00382917">
        <w:t>Day</w:t>
      </w:r>
      <w:r w:rsidR="00EE4FC3">
        <w:t xml:space="preserve"> </w:t>
      </w:r>
      <w:r w:rsidRPr="00382917">
        <w:t>and</w:t>
      </w:r>
      <w:r w:rsidR="00EE4FC3">
        <w:t xml:space="preserve"> </w:t>
      </w:r>
      <w:r w:rsidRPr="00382917">
        <w:t>prepare</w:t>
      </w:r>
      <w:r w:rsidR="00EE4FC3">
        <w:t xml:space="preserve"> </w:t>
      </w:r>
      <w:r w:rsidRPr="00382917">
        <w:t>men</w:t>
      </w:r>
      <w:r w:rsidR="009C713D" w:rsidRPr="00382917">
        <w:t>’</w:t>
      </w:r>
      <w:r w:rsidRPr="00382917">
        <w:t>s</w:t>
      </w:r>
      <w:r w:rsidR="00EE4FC3">
        <w:t xml:space="preserve"> </w:t>
      </w:r>
      <w:r w:rsidRPr="00382917">
        <w:t>hearts,</w:t>
      </w:r>
      <w:r w:rsidR="00EE4FC3">
        <w:t xml:space="preserve"> </w:t>
      </w:r>
      <w:r w:rsidRPr="00382917">
        <w:t>and</w:t>
      </w:r>
      <w:r w:rsidR="00EE4FC3">
        <w:t xml:space="preserve"> </w:t>
      </w:r>
      <w:r w:rsidRPr="00382917">
        <w:t>proclaim</w:t>
      </w:r>
      <w:r w:rsidR="00EE4FC3">
        <w:t xml:space="preserve"> </w:t>
      </w:r>
      <w:r w:rsidRPr="00382917">
        <w:t>this</w:t>
      </w:r>
      <w:r w:rsidR="00EE4FC3">
        <w:t xml:space="preserve"> </w:t>
      </w:r>
      <w:r w:rsidRPr="00382917">
        <w:t>Divine</w:t>
      </w:r>
      <w:r w:rsidR="00EE4FC3">
        <w:t xml:space="preserve"> </w:t>
      </w:r>
      <w:r w:rsidRPr="00382917">
        <w:t>Message</w:t>
      </w:r>
      <w:r w:rsidR="00EE4FC3">
        <w:t xml:space="preserve"> </w:t>
      </w:r>
      <w:r w:rsidRPr="00382917">
        <w:t>unto</w:t>
      </w:r>
      <w:r w:rsidR="00EE4FC3">
        <w:t xml:space="preserve"> </w:t>
      </w:r>
      <w:r w:rsidRPr="00382917">
        <w:t>all</w:t>
      </w:r>
      <w:r w:rsidR="00EE4FC3">
        <w:t xml:space="preserve"> </w:t>
      </w:r>
      <w:r w:rsidRPr="00382917">
        <w:t>people.</w:t>
      </w:r>
    </w:p>
    <w:p w:rsidR="00E13D49" w:rsidRPr="00382917" w:rsidRDefault="009C713D" w:rsidP="004C6510">
      <w:pPr>
        <w:pStyle w:val="Text"/>
      </w:pPr>
      <w:r w:rsidRPr="00382917">
        <w:t>“</w:t>
      </w:r>
      <w:r w:rsidR="00610ADA" w:rsidRPr="00382917">
        <w:t>Many</w:t>
      </w:r>
      <w:r w:rsidR="00EE4FC3">
        <w:t xml:space="preserve"> </w:t>
      </w:r>
      <w:r w:rsidR="00610ADA" w:rsidRPr="00382917">
        <w:t>a</w:t>
      </w:r>
      <w:r w:rsidR="00EE4FC3">
        <w:t xml:space="preserve"> </w:t>
      </w:r>
      <w:r w:rsidR="00610ADA" w:rsidRPr="00382917">
        <w:t>pure</w:t>
      </w:r>
      <w:r w:rsidR="00EE4FC3">
        <w:t xml:space="preserve"> </w:t>
      </w:r>
      <w:r w:rsidR="00610ADA" w:rsidRPr="00382917">
        <w:t>soul,</w:t>
      </w:r>
      <w:r w:rsidRPr="00382917">
        <w:t>”</w:t>
      </w:r>
      <w:r w:rsidR="00EE4FC3">
        <w:t xml:space="preserve"> </w:t>
      </w:r>
      <w:r w:rsidR="00610ADA" w:rsidRPr="00382917">
        <w:t>Mullá</w:t>
      </w:r>
      <w:r w:rsidR="00EE4FC3">
        <w:t xml:space="preserve"> </w:t>
      </w:r>
      <w:r w:rsidR="00964C11" w:rsidRPr="00382917">
        <w:t>Ḥusayn</w:t>
      </w:r>
      <w:r w:rsidR="00EE4FC3">
        <w:t xml:space="preserve"> </w:t>
      </w:r>
      <w:r w:rsidR="00610ADA" w:rsidRPr="00382917">
        <w:t>concluded,</w:t>
      </w:r>
      <w:r w:rsidR="00EE4FC3">
        <w:t xml:space="preserve"> </w:t>
      </w:r>
      <w:r w:rsidRPr="00382917">
        <w:t>“</w:t>
      </w:r>
      <w:r w:rsidR="00610ADA" w:rsidRPr="00382917">
        <w:t>will</w:t>
      </w:r>
      <w:r w:rsidR="00EE4FC3">
        <w:t xml:space="preserve"> </w:t>
      </w:r>
      <w:r w:rsidR="00610ADA" w:rsidRPr="00382917">
        <w:t>shed</w:t>
      </w:r>
      <w:r w:rsidR="00EE4FC3">
        <w:t xml:space="preserve"> </w:t>
      </w:r>
      <w:r w:rsidR="00610ADA" w:rsidRPr="00382917">
        <w:t>his</w:t>
      </w:r>
      <w:r w:rsidR="00EE4FC3">
        <w:t xml:space="preserve"> </w:t>
      </w:r>
      <w:r w:rsidR="00610ADA" w:rsidRPr="00382917">
        <w:t>blood</w:t>
      </w:r>
      <w:r w:rsidR="00EE4FC3">
        <w:t xml:space="preserve"> </w:t>
      </w:r>
      <w:r w:rsidR="00610ADA" w:rsidRPr="00382917">
        <w:t>in</w:t>
      </w:r>
      <w:r w:rsidR="00EE4FC3">
        <w:t xml:space="preserve"> </w:t>
      </w:r>
      <w:r w:rsidR="00610ADA" w:rsidRPr="00382917">
        <w:t>this</w:t>
      </w:r>
      <w:r w:rsidR="00EE4FC3">
        <w:t xml:space="preserve"> </w:t>
      </w:r>
      <w:r w:rsidR="00610ADA" w:rsidRPr="00382917">
        <w:t>city</w:t>
      </w:r>
      <w:r w:rsidR="00330AF7">
        <w:t>.</w:t>
      </w:r>
      <w:r w:rsidR="00EE4FC3">
        <w:t xml:space="preserve">  </w:t>
      </w:r>
      <w:r w:rsidR="00610ADA" w:rsidRPr="00382917">
        <w:t>That</w:t>
      </w:r>
      <w:r w:rsidR="00EE4FC3">
        <w:t xml:space="preserve"> </w:t>
      </w:r>
      <w:r w:rsidR="00610ADA" w:rsidRPr="00382917">
        <w:t>blood</w:t>
      </w:r>
      <w:r w:rsidR="00EE4FC3">
        <w:t xml:space="preserve"> </w:t>
      </w:r>
      <w:r w:rsidR="00610ADA" w:rsidRPr="00382917">
        <w:t>will</w:t>
      </w:r>
      <w:r w:rsidR="00EE4FC3">
        <w:t xml:space="preserve"> </w:t>
      </w:r>
      <w:r w:rsidR="00610ADA" w:rsidRPr="00382917">
        <w:t>water</w:t>
      </w:r>
      <w:r w:rsidR="00EE4FC3">
        <w:t xml:space="preserve"> </w:t>
      </w:r>
      <w:r w:rsidR="00610ADA" w:rsidRPr="00382917">
        <w:t>the</w:t>
      </w:r>
      <w:r w:rsidR="00EE4FC3">
        <w:t xml:space="preserve"> </w:t>
      </w:r>
      <w:r w:rsidR="00610ADA" w:rsidRPr="00382917">
        <w:t>Tree</w:t>
      </w:r>
      <w:r w:rsidR="00EE4FC3">
        <w:t xml:space="preserve"> </w:t>
      </w:r>
      <w:r w:rsidR="00610ADA" w:rsidRPr="00382917">
        <w:t>of</w:t>
      </w:r>
      <w:r w:rsidR="00EE4FC3">
        <w:t xml:space="preserve"> </w:t>
      </w:r>
      <w:r w:rsidR="00610ADA" w:rsidRPr="00382917">
        <w:t>God,</w:t>
      </w:r>
      <w:r w:rsidR="00EE4FC3">
        <w:t xml:space="preserve"> </w:t>
      </w:r>
      <w:r w:rsidR="00610ADA" w:rsidRPr="00382917">
        <w:t>and</w:t>
      </w:r>
      <w:r w:rsidR="00EE4FC3">
        <w:t xml:space="preserve"> </w:t>
      </w:r>
      <w:r w:rsidR="00610ADA" w:rsidRPr="00382917">
        <w:t>will</w:t>
      </w:r>
      <w:r w:rsidR="00EE4FC3">
        <w:t xml:space="preserve"> </w:t>
      </w:r>
      <w:r w:rsidR="00610ADA" w:rsidRPr="00382917">
        <w:t>cause</w:t>
      </w:r>
      <w:r w:rsidR="00EE4FC3">
        <w:t xml:space="preserve"> </w:t>
      </w:r>
      <w:r w:rsidR="00610ADA" w:rsidRPr="00382917">
        <w:t>it</w:t>
      </w:r>
      <w:r w:rsidR="00EE4FC3">
        <w:t xml:space="preserve"> </w:t>
      </w:r>
      <w:r w:rsidR="00610ADA" w:rsidRPr="00382917">
        <w:t>to</w:t>
      </w:r>
      <w:r w:rsidR="00EE4FC3">
        <w:t xml:space="preserve"> </w:t>
      </w:r>
      <w:r w:rsidR="00610ADA" w:rsidRPr="00382917">
        <w:t>flourish</w:t>
      </w:r>
      <w:r w:rsidR="00EE4FC3">
        <w:t xml:space="preserve"> </w:t>
      </w:r>
      <w:r w:rsidR="00610ADA" w:rsidRPr="00382917">
        <w:t>until</w:t>
      </w:r>
      <w:r w:rsidR="00EE4FC3">
        <w:t xml:space="preserve"> </w:t>
      </w:r>
      <w:r w:rsidR="00610ADA" w:rsidRPr="00382917">
        <w:t>it</w:t>
      </w:r>
      <w:r w:rsidR="00EE4FC3">
        <w:t xml:space="preserve"> </w:t>
      </w:r>
      <w:r w:rsidR="00610ADA" w:rsidRPr="00382917">
        <w:t>overshadows</w:t>
      </w:r>
      <w:r w:rsidR="00EE4FC3">
        <w:t xml:space="preserve"> </w:t>
      </w:r>
      <w:r w:rsidR="00610ADA" w:rsidRPr="00382917">
        <w:t>all</w:t>
      </w:r>
      <w:r w:rsidR="00EE4FC3">
        <w:t xml:space="preserve"> </w:t>
      </w:r>
      <w:r w:rsidR="00610ADA" w:rsidRPr="00382917">
        <w:t>mankind.</w:t>
      </w:r>
      <w:r w:rsidRPr="00382917">
        <w:t>”</w:t>
      </w:r>
      <w:r w:rsidR="004C6510">
        <w:rPr>
          <w:rStyle w:val="FootnoteReference"/>
        </w:rPr>
        <w:footnoteReference w:id="206"/>
      </w:r>
    </w:p>
    <w:p w:rsidR="00610ADA" w:rsidRPr="00382917" w:rsidRDefault="00610ADA" w:rsidP="00900F24">
      <w:pPr>
        <w:pStyle w:val="Text"/>
      </w:pPr>
      <w:r w:rsidRPr="00382917">
        <w:t>With</w:t>
      </w:r>
      <w:r w:rsidR="00EE4FC3">
        <w:t xml:space="preserve"> </w:t>
      </w:r>
      <w:r w:rsidRPr="00382917">
        <w:t>these</w:t>
      </w:r>
      <w:r w:rsidR="00EE4FC3">
        <w:t xml:space="preserve"> </w:t>
      </w:r>
      <w:r w:rsidRPr="00382917">
        <w:t>parting</w:t>
      </w:r>
      <w:r w:rsidR="00EE4FC3">
        <w:t xml:space="preserve"> </w:t>
      </w:r>
      <w:r w:rsidRPr="00382917">
        <w:t>words,</w:t>
      </w:r>
      <w:r w:rsidR="00EE4FC3">
        <w:t xml:space="preserve"> </w:t>
      </w:r>
      <w:r w:rsidRPr="00382917">
        <w:t>Mullá</w:t>
      </w:r>
      <w:r w:rsidR="00EE4FC3">
        <w:t xml:space="preserve"> </w:t>
      </w:r>
      <w:r w:rsidR="00964C11" w:rsidRPr="00382917">
        <w:t>Ḥusayn</w:t>
      </w:r>
      <w:r w:rsidR="00EE4FC3">
        <w:t xml:space="preserve"> </w:t>
      </w:r>
      <w:r w:rsidRPr="00382917">
        <w:t>left</w:t>
      </w:r>
      <w:r w:rsidR="00EE4FC3">
        <w:t xml:space="preserve"> </w:t>
      </w:r>
      <w:r w:rsidRPr="00382917">
        <w:t>Ṭihrán</w:t>
      </w:r>
      <w:r w:rsidR="00330AF7">
        <w:t>.</w:t>
      </w:r>
      <w:r w:rsidR="00EE4FC3">
        <w:t xml:space="preserve">  </w:t>
      </w:r>
      <w:r w:rsidRPr="00382917">
        <w:t>He</w:t>
      </w:r>
      <w:r w:rsidR="00EE4FC3">
        <w:t xml:space="preserve"> </w:t>
      </w:r>
      <w:r w:rsidRPr="00382917">
        <w:t>wrote</w:t>
      </w:r>
      <w:r w:rsidR="00EE4FC3">
        <w:t xml:space="preserve"> </w:t>
      </w:r>
      <w:r w:rsidRPr="00382917">
        <w:t>a</w:t>
      </w:r>
      <w:r w:rsidR="00EE4FC3">
        <w:t xml:space="preserve"> </w:t>
      </w:r>
      <w:r w:rsidRPr="00382917">
        <w:t>report</w:t>
      </w:r>
      <w:r w:rsidR="00EE4FC3">
        <w:t xml:space="preserve"> </w:t>
      </w:r>
      <w:r w:rsidRPr="00382917">
        <w:t>to</w:t>
      </w:r>
      <w:r w:rsidR="00EE4FC3">
        <w:t xml:space="preserve"> </w:t>
      </w:r>
      <w:r w:rsidRPr="00382917">
        <w:t>the</w:t>
      </w:r>
      <w:r w:rsidR="00EE4FC3">
        <w:t xml:space="preserve"> </w:t>
      </w:r>
      <w:r w:rsidRPr="00382917">
        <w:t>Báb,</w:t>
      </w:r>
      <w:r w:rsidR="00EE4FC3">
        <w:t xml:space="preserve"> </w:t>
      </w:r>
      <w:r w:rsidRPr="00382917">
        <w:t>telling</w:t>
      </w:r>
      <w:r w:rsidR="00EE4FC3">
        <w:t xml:space="preserve"> </w:t>
      </w:r>
      <w:r w:rsidRPr="00382917">
        <w:t>Him</w:t>
      </w:r>
      <w:r w:rsidR="00EE4FC3">
        <w:t xml:space="preserve"> </w:t>
      </w:r>
      <w:r w:rsidRPr="00382917">
        <w:t>of</w:t>
      </w:r>
      <w:r w:rsidR="00EE4FC3">
        <w:t xml:space="preserve"> </w:t>
      </w:r>
      <w:r w:rsidRPr="00382917">
        <w:t>his</w:t>
      </w:r>
      <w:r w:rsidR="00EE4FC3">
        <w:t xml:space="preserve"> </w:t>
      </w:r>
      <w:r w:rsidRPr="00382917">
        <w:t>teaching</w:t>
      </w:r>
      <w:r w:rsidR="00EE4FC3">
        <w:t xml:space="preserve"> </w:t>
      </w:r>
      <w:r w:rsidRPr="00382917">
        <w:t>work,</w:t>
      </w:r>
      <w:r w:rsidR="00EE4FC3">
        <w:t xml:space="preserve"> </w:t>
      </w:r>
      <w:r w:rsidRPr="00382917">
        <w:t>and</w:t>
      </w:r>
      <w:r w:rsidR="00EE4FC3">
        <w:t xml:space="preserve"> </w:t>
      </w:r>
      <w:r w:rsidRPr="00382917">
        <w:t>describing</w:t>
      </w:r>
      <w:r w:rsidR="00EE4FC3">
        <w:t xml:space="preserve"> </w:t>
      </w:r>
      <w:r w:rsidRPr="00382917">
        <w:t>to</w:t>
      </w:r>
      <w:r w:rsidR="00EE4FC3">
        <w:t xml:space="preserve"> </w:t>
      </w:r>
      <w:r w:rsidRPr="00382917">
        <w:t>Him</w:t>
      </w:r>
      <w:r w:rsidR="00EE4FC3">
        <w:t xml:space="preserve"> </w:t>
      </w:r>
      <w:r w:rsidRPr="00382917">
        <w:t>his</w:t>
      </w:r>
      <w:r w:rsidR="00EE4FC3">
        <w:t xml:space="preserve"> </w:t>
      </w:r>
      <w:r w:rsidRPr="00382917">
        <w:t>experience</w:t>
      </w:r>
      <w:r w:rsidR="00EE4FC3">
        <w:t xml:space="preserve"> </w:t>
      </w:r>
      <w:r w:rsidRPr="00382917">
        <w:t>with</w:t>
      </w:r>
      <w:r w:rsidR="00EE4FC3">
        <w:t xml:space="preserve"> </w:t>
      </w:r>
      <w:r w:rsidRPr="00382917">
        <w:t>Bahá</w:t>
      </w:r>
      <w:r w:rsidR="009C713D" w:rsidRPr="00382917">
        <w:t>’</w:t>
      </w:r>
      <w:r w:rsidRPr="00382917">
        <w:t>u</w:t>
      </w:r>
      <w:r w:rsidR="009C713D" w:rsidRPr="00382917">
        <w:t>’</w:t>
      </w:r>
      <w:r w:rsidRPr="00382917">
        <w:t>lláh</w:t>
      </w:r>
      <w:r w:rsidR="00EE4FC3">
        <w:t xml:space="preserve"> </w:t>
      </w:r>
      <w:r w:rsidRPr="00382917">
        <w:t>in</w:t>
      </w:r>
      <w:r w:rsidR="00EE4FC3">
        <w:t xml:space="preserve"> </w:t>
      </w:r>
      <w:r w:rsidRPr="00382917">
        <w:t>Ṭihrán</w:t>
      </w:r>
      <w:r w:rsidR="00330AF7">
        <w:t>.</w:t>
      </w:r>
      <w:r w:rsidR="00EE4FC3">
        <w:t xml:space="preserve">  </w:t>
      </w:r>
      <w:r w:rsidRPr="00382917">
        <w:t>Quddús</w:t>
      </w:r>
      <w:r w:rsidR="00EE4FC3">
        <w:t xml:space="preserve"> </w:t>
      </w:r>
      <w:r w:rsidRPr="00382917">
        <w:t>and</w:t>
      </w:r>
      <w:r w:rsidR="00EE4FC3">
        <w:t xml:space="preserve"> </w:t>
      </w:r>
      <w:r w:rsidRPr="00382917">
        <w:t>the</w:t>
      </w:r>
      <w:r w:rsidR="00EE4FC3">
        <w:t xml:space="preserve"> </w:t>
      </w:r>
      <w:r w:rsidRPr="00382917">
        <w:t>Báb</w:t>
      </w:r>
      <w:r w:rsidR="009C713D" w:rsidRPr="00382917">
        <w:t>’</w:t>
      </w:r>
      <w:r w:rsidRPr="00382917">
        <w:t>s</w:t>
      </w:r>
      <w:r w:rsidR="00EE4FC3">
        <w:t xml:space="preserve"> </w:t>
      </w:r>
      <w:r w:rsidRPr="00382917">
        <w:t>uncle</w:t>
      </w:r>
      <w:r w:rsidR="00EE4FC3">
        <w:t xml:space="preserve"> </w:t>
      </w:r>
      <w:r w:rsidRPr="00382917">
        <w:t>were</w:t>
      </w:r>
      <w:r w:rsidR="00EE4FC3">
        <w:t xml:space="preserve"> </w:t>
      </w:r>
      <w:r w:rsidRPr="00382917">
        <w:t>both</w:t>
      </w:r>
      <w:r w:rsidR="00EE4FC3">
        <w:t xml:space="preserve"> </w:t>
      </w:r>
      <w:r w:rsidRPr="00382917">
        <w:t>with</w:t>
      </w:r>
      <w:r w:rsidR="00EE4FC3">
        <w:t xml:space="preserve"> </w:t>
      </w:r>
      <w:r w:rsidRPr="00382917">
        <w:t>the</w:t>
      </w:r>
      <w:r w:rsidR="00EE4FC3">
        <w:t xml:space="preserve"> </w:t>
      </w:r>
      <w:r w:rsidRPr="00382917">
        <w:t>Báb</w:t>
      </w:r>
      <w:r w:rsidR="00EE4FC3">
        <w:t xml:space="preserve"> </w:t>
      </w:r>
      <w:r w:rsidRPr="00382917">
        <w:t>when</w:t>
      </w:r>
      <w:r w:rsidR="00EE4FC3">
        <w:t xml:space="preserve"> </w:t>
      </w:r>
      <w:r w:rsidRPr="00382917">
        <w:t>that</w:t>
      </w:r>
      <w:r w:rsidR="00EE4FC3">
        <w:t xml:space="preserve"> </w:t>
      </w:r>
      <w:r w:rsidRPr="00382917">
        <w:t>letter</w:t>
      </w:r>
      <w:r w:rsidR="00EE4FC3">
        <w:t xml:space="preserve"> </w:t>
      </w:r>
      <w:r w:rsidRPr="00382917">
        <w:t>from</w:t>
      </w:r>
      <w:r w:rsidR="00EE4FC3">
        <w:t xml:space="preserve"> </w:t>
      </w:r>
      <w:r w:rsidRPr="00382917">
        <w:t>Mullá</w:t>
      </w:r>
      <w:r w:rsidR="00EE4FC3">
        <w:t xml:space="preserve"> </w:t>
      </w:r>
      <w:r w:rsidR="00964C11" w:rsidRPr="00382917">
        <w:t>Ḥusayn</w:t>
      </w:r>
      <w:r w:rsidR="00EE4FC3">
        <w:t xml:space="preserve"> </w:t>
      </w:r>
      <w:r w:rsidRPr="00382917">
        <w:t>arrived</w:t>
      </w:r>
      <w:r w:rsidR="00330AF7">
        <w:t>.</w:t>
      </w:r>
      <w:r w:rsidR="00EE4FC3">
        <w:t xml:space="preserve">  </w:t>
      </w:r>
      <w:r w:rsidRPr="00382917">
        <w:t>The</w:t>
      </w:r>
      <w:r w:rsidR="00EE4FC3">
        <w:t xml:space="preserve"> </w:t>
      </w:r>
      <w:r w:rsidRPr="00382917">
        <w:t>Báb</w:t>
      </w:r>
      <w:r w:rsidR="009C713D" w:rsidRPr="00382917">
        <w:t>’</w:t>
      </w:r>
      <w:r w:rsidRPr="00382917">
        <w:t>s</w:t>
      </w:r>
      <w:r w:rsidR="00EE4FC3">
        <w:t xml:space="preserve"> </w:t>
      </w:r>
      <w:r w:rsidRPr="00382917">
        <w:t>uncle</w:t>
      </w:r>
      <w:r w:rsidR="00EE4FC3">
        <w:t xml:space="preserve"> </w:t>
      </w:r>
      <w:r w:rsidRPr="00382917">
        <w:t>has</w:t>
      </w:r>
      <w:r w:rsidR="00EE4FC3">
        <w:t xml:space="preserve"> </w:t>
      </w:r>
      <w:r w:rsidRPr="00382917">
        <w:t>left</w:t>
      </w:r>
      <w:r w:rsidR="00EE4FC3">
        <w:t xml:space="preserve"> </w:t>
      </w:r>
      <w:r w:rsidRPr="00382917">
        <w:t>an</w:t>
      </w:r>
      <w:r w:rsidR="00EE4FC3">
        <w:t xml:space="preserve"> </w:t>
      </w:r>
      <w:r w:rsidRPr="00382917">
        <w:t>account</w:t>
      </w:r>
      <w:r w:rsidR="00EE4FC3">
        <w:t xml:space="preserve"> </w:t>
      </w:r>
      <w:r w:rsidRPr="00382917">
        <w:t>of</w:t>
      </w:r>
      <w:r w:rsidR="00EE4FC3">
        <w:t xml:space="preserve"> </w:t>
      </w:r>
      <w:r w:rsidRPr="00382917">
        <w:t>that</w:t>
      </w:r>
      <w:r w:rsidR="00EE4FC3">
        <w:t xml:space="preserve"> </w:t>
      </w:r>
      <w:r w:rsidRPr="00382917">
        <w:t>moment:</w:t>
      </w:r>
    </w:p>
    <w:p w:rsidR="00610ADA" w:rsidRPr="00382917" w:rsidRDefault="009C713D" w:rsidP="00900F24">
      <w:pPr>
        <w:pStyle w:val="Text"/>
      </w:pPr>
      <w:r w:rsidRPr="00382917">
        <w:t>“</w:t>
      </w:r>
      <w:r w:rsidR="00610ADA" w:rsidRPr="00382917">
        <w:t>That</w:t>
      </w:r>
      <w:r w:rsidR="00EE4FC3">
        <w:t xml:space="preserve"> </w:t>
      </w:r>
      <w:r w:rsidR="00610ADA" w:rsidRPr="00382917">
        <w:t>night,</w:t>
      </w:r>
      <w:r w:rsidRPr="00382917">
        <w:t>”</w:t>
      </w:r>
      <w:r w:rsidR="00EE4FC3">
        <w:t xml:space="preserve"> </w:t>
      </w:r>
      <w:r w:rsidR="00610ADA" w:rsidRPr="00382917">
        <w:t>he</w:t>
      </w:r>
      <w:r w:rsidR="00EE4FC3">
        <w:t xml:space="preserve"> </w:t>
      </w:r>
      <w:r w:rsidR="00610ADA" w:rsidRPr="00382917">
        <w:t>said,</w:t>
      </w:r>
      <w:r w:rsidR="00EE4FC3">
        <w:t xml:space="preserve"> </w:t>
      </w:r>
      <w:r w:rsidRPr="00382917">
        <w:t>“</w:t>
      </w:r>
      <w:r w:rsidR="00610ADA" w:rsidRPr="00382917">
        <w:t>I</w:t>
      </w:r>
      <w:r w:rsidR="00EE4FC3">
        <w:t xml:space="preserve"> </w:t>
      </w:r>
      <w:r w:rsidR="00610ADA" w:rsidRPr="00382917">
        <w:t>saw</w:t>
      </w:r>
      <w:r w:rsidR="00EE4FC3">
        <w:t xml:space="preserve"> </w:t>
      </w:r>
      <w:r w:rsidR="00610ADA" w:rsidRPr="00382917">
        <w:t>such</w:t>
      </w:r>
      <w:r w:rsidR="00EE4FC3">
        <w:t xml:space="preserve"> </w:t>
      </w:r>
      <w:r w:rsidR="00610ADA" w:rsidRPr="00382917">
        <w:t>evidences</w:t>
      </w:r>
      <w:r w:rsidR="00EE4FC3">
        <w:t xml:space="preserve"> </w:t>
      </w:r>
      <w:r w:rsidR="00610ADA" w:rsidRPr="00382917">
        <w:t>of</w:t>
      </w:r>
      <w:r w:rsidR="00EE4FC3">
        <w:t xml:space="preserve"> </w:t>
      </w:r>
      <w:r w:rsidR="00610ADA" w:rsidRPr="00382917">
        <w:t>joy</w:t>
      </w:r>
      <w:r w:rsidR="00EE4FC3">
        <w:t xml:space="preserve"> </w:t>
      </w:r>
      <w:r w:rsidR="00610ADA" w:rsidRPr="00382917">
        <w:t>and</w:t>
      </w:r>
      <w:r w:rsidR="00EE4FC3">
        <w:t xml:space="preserve"> </w:t>
      </w:r>
      <w:r w:rsidR="00610ADA" w:rsidRPr="00382917">
        <w:t>gladness</w:t>
      </w:r>
      <w:r w:rsidR="00EE4FC3">
        <w:t xml:space="preserve"> </w:t>
      </w:r>
      <w:r w:rsidR="00610ADA" w:rsidRPr="00382917">
        <w:t>on</w:t>
      </w:r>
      <w:r w:rsidR="00EE4FC3">
        <w:t xml:space="preserve"> </w:t>
      </w:r>
      <w:r w:rsidR="00610ADA" w:rsidRPr="00382917">
        <w:t>the</w:t>
      </w:r>
      <w:r w:rsidR="00EE4FC3">
        <w:t xml:space="preserve"> </w:t>
      </w:r>
      <w:r w:rsidR="00610ADA" w:rsidRPr="00382917">
        <w:t>faces</w:t>
      </w:r>
      <w:r w:rsidR="00EE4FC3">
        <w:t xml:space="preserve"> </w:t>
      </w:r>
      <w:r w:rsidR="00610ADA" w:rsidRPr="00382917">
        <w:t>of</w:t>
      </w:r>
      <w:r w:rsidR="00EE4FC3">
        <w:t xml:space="preserve"> </w:t>
      </w:r>
      <w:r w:rsidR="00610ADA" w:rsidRPr="00382917">
        <w:t>the</w:t>
      </w:r>
      <w:r w:rsidR="00EE4FC3">
        <w:t xml:space="preserve"> </w:t>
      </w:r>
      <w:r w:rsidR="00610ADA" w:rsidRPr="00382917">
        <w:t>Báb</w:t>
      </w:r>
      <w:r w:rsidR="00EE4FC3">
        <w:t xml:space="preserve"> </w:t>
      </w:r>
      <w:r w:rsidR="00610ADA" w:rsidRPr="00382917">
        <w:t>and</w:t>
      </w:r>
      <w:r w:rsidR="00EE4FC3">
        <w:t xml:space="preserve"> </w:t>
      </w:r>
      <w:r w:rsidR="00610ADA" w:rsidRPr="00382917">
        <w:t>Quddús</w:t>
      </w:r>
      <w:r w:rsidR="00EE4FC3">
        <w:t xml:space="preserve"> </w:t>
      </w:r>
      <w:r w:rsidR="00610ADA" w:rsidRPr="00382917">
        <w:t>as</w:t>
      </w:r>
      <w:r w:rsidR="00EE4FC3">
        <w:t xml:space="preserve"> </w:t>
      </w:r>
      <w:r w:rsidR="00610ADA" w:rsidRPr="00382917">
        <w:t>I</w:t>
      </w:r>
      <w:r w:rsidR="00EE4FC3">
        <w:t xml:space="preserve"> </w:t>
      </w:r>
      <w:r w:rsidR="00610ADA" w:rsidRPr="00382917">
        <w:t>am</w:t>
      </w:r>
      <w:r w:rsidR="00EE4FC3">
        <w:t xml:space="preserve"> </w:t>
      </w:r>
      <w:r w:rsidR="00610ADA" w:rsidRPr="00382917">
        <w:t>unable</w:t>
      </w:r>
      <w:r w:rsidR="00EE4FC3">
        <w:t xml:space="preserve"> </w:t>
      </w:r>
      <w:r w:rsidR="00610ADA" w:rsidRPr="00382917">
        <w:t>to</w:t>
      </w:r>
      <w:r w:rsidR="00EE4FC3">
        <w:t xml:space="preserve"> </w:t>
      </w:r>
      <w:r w:rsidR="00610ADA" w:rsidRPr="00382917">
        <w:t>recount</w:t>
      </w:r>
      <w:r w:rsidR="00330AF7">
        <w:t>.</w:t>
      </w:r>
      <w:r w:rsidR="00EE4FC3">
        <w:t xml:space="preserve">  </w:t>
      </w:r>
      <w:r w:rsidR="00610ADA" w:rsidRPr="00382917">
        <w:t>I</w:t>
      </w:r>
      <w:r w:rsidR="00EE4FC3">
        <w:t xml:space="preserve"> </w:t>
      </w:r>
      <w:r w:rsidR="00610ADA" w:rsidRPr="00382917">
        <w:t>often</w:t>
      </w:r>
      <w:r w:rsidR="00EE4FC3">
        <w:t xml:space="preserve"> </w:t>
      </w:r>
      <w:r w:rsidR="00610ADA" w:rsidRPr="00382917">
        <w:t>heard</w:t>
      </w:r>
      <w:r w:rsidR="00EE4FC3">
        <w:t xml:space="preserve"> </w:t>
      </w:r>
      <w:r w:rsidR="00610ADA" w:rsidRPr="00382917">
        <w:t>the</w:t>
      </w:r>
      <w:r w:rsidR="00EE4FC3">
        <w:t xml:space="preserve"> </w:t>
      </w:r>
      <w:r w:rsidR="00610ADA" w:rsidRPr="00382917">
        <w:t>Báb</w:t>
      </w:r>
      <w:r w:rsidR="00EE4FC3">
        <w:t xml:space="preserve"> </w:t>
      </w:r>
      <w:r w:rsidR="00610ADA" w:rsidRPr="00382917">
        <w:t>in</w:t>
      </w:r>
      <w:r w:rsidR="00EE4FC3">
        <w:t xml:space="preserve"> </w:t>
      </w:r>
      <w:r w:rsidR="00610ADA" w:rsidRPr="00382917">
        <w:t>those</w:t>
      </w:r>
      <w:r w:rsidR="00EE4FC3">
        <w:t xml:space="preserve"> </w:t>
      </w:r>
      <w:r w:rsidR="00610ADA" w:rsidRPr="00382917">
        <w:t>days</w:t>
      </w:r>
      <w:r w:rsidR="00EE4FC3">
        <w:t xml:space="preserve"> </w:t>
      </w:r>
      <w:r w:rsidR="00610ADA" w:rsidRPr="00382917">
        <w:t>exultantly</w:t>
      </w:r>
      <w:r w:rsidR="00EE4FC3">
        <w:t xml:space="preserve"> </w:t>
      </w:r>
      <w:r w:rsidR="00610ADA" w:rsidRPr="00382917">
        <w:t>repeat</w:t>
      </w:r>
      <w:r w:rsidR="00EE4FC3">
        <w:t xml:space="preserve"> </w:t>
      </w:r>
      <w:r w:rsidR="00610ADA" w:rsidRPr="00382917">
        <w:t>the</w:t>
      </w:r>
      <w:r w:rsidR="00EE4FC3">
        <w:t xml:space="preserve"> </w:t>
      </w:r>
      <w:r w:rsidR="00610ADA" w:rsidRPr="00382917">
        <w:t>words</w:t>
      </w:r>
      <w:r w:rsidR="00C03C91">
        <w:t>:</w:t>
      </w:r>
      <w:r w:rsidR="00EE4FC3">
        <w:t xml:space="preserve">  </w:t>
      </w:r>
      <w:r w:rsidRPr="00382917">
        <w:t>‘</w:t>
      </w:r>
      <w:r w:rsidR="00610ADA" w:rsidRPr="00382917">
        <w:t>How</w:t>
      </w:r>
      <w:r w:rsidR="00EE4FC3">
        <w:t xml:space="preserve"> </w:t>
      </w:r>
      <w:proofErr w:type="spellStart"/>
      <w:r w:rsidR="00610ADA" w:rsidRPr="00382917">
        <w:t>marvelous</w:t>
      </w:r>
      <w:proofErr w:type="spellEnd"/>
      <w:r w:rsidR="00610ADA" w:rsidRPr="00382917">
        <w:t>,</w:t>
      </w:r>
      <w:r w:rsidR="00EE4FC3">
        <w:t xml:space="preserve"> </w:t>
      </w:r>
      <w:r w:rsidR="00610ADA" w:rsidRPr="00382917">
        <w:t>how</w:t>
      </w:r>
      <w:r w:rsidR="00EE4FC3">
        <w:t xml:space="preserve"> </w:t>
      </w:r>
      <w:r w:rsidR="00610ADA" w:rsidRPr="00382917">
        <w:t>exceedingly</w:t>
      </w:r>
      <w:r w:rsidR="00EE4FC3">
        <w:t xml:space="preserve"> </w:t>
      </w:r>
      <w:proofErr w:type="spellStart"/>
      <w:r w:rsidR="00610ADA" w:rsidRPr="00382917">
        <w:t>marvelous</w:t>
      </w:r>
      <w:proofErr w:type="spellEnd"/>
      <w:r w:rsidR="00610ADA" w:rsidRPr="00382917">
        <w:t>,</w:t>
      </w:r>
      <w:r w:rsidR="00EE4FC3">
        <w:t xml:space="preserve"> </w:t>
      </w:r>
      <w:r w:rsidR="00610ADA" w:rsidRPr="00382917">
        <w:t>is</w:t>
      </w:r>
      <w:r w:rsidR="00EE4FC3">
        <w:t xml:space="preserve"> </w:t>
      </w:r>
      <w:r w:rsidR="00610ADA" w:rsidRPr="00382917">
        <w:t>that</w:t>
      </w:r>
      <w:r w:rsidR="00EE4FC3">
        <w:t xml:space="preserve"> </w:t>
      </w:r>
      <w:r w:rsidR="00610ADA" w:rsidRPr="00382917">
        <w:t>which</w:t>
      </w:r>
      <w:r w:rsidR="00EE4FC3">
        <w:t xml:space="preserve"> </w:t>
      </w:r>
      <w:r w:rsidR="00610ADA" w:rsidRPr="00382917">
        <w:t>occurred</w:t>
      </w:r>
      <w:r w:rsidR="00EE4FC3">
        <w:t xml:space="preserve"> </w:t>
      </w:r>
      <w:r w:rsidR="00610ADA" w:rsidRPr="00382917">
        <w:t>between</w:t>
      </w:r>
      <w:r w:rsidR="00EE4FC3">
        <w:t xml:space="preserve"> </w:t>
      </w:r>
      <w:r w:rsidR="00610ADA" w:rsidRPr="00382917">
        <w:t>the</w:t>
      </w:r>
      <w:r w:rsidR="00EE4FC3">
        <w:t xml:space="preserve"> </w:t>
      </w:r>
      <w:r w:rsidR="00610ADA" w:rsidRPr="00382917">
        <w:t>months</w:t>
      </w:r>
      <w:r w:rsidR="00EE4FC3">
        <w:t xml:space="preserve"> </w:t>
      </w:r>
      <w:r w:rsidR="00610ADA" w:rsidRPr="00382917">
        <w:t>of</w:t>
      </w:r>
      <w:r w:rsidR="00EE4FC3">
        <w:t xml:space="preserve"> </w:t>
      </w:r>
      <w:proofErr w:type="spellStart"/>
      <w:r w:rsidR="00610ADA" w:rsidRPr="00382917">
        <w:t>Jamádí</w:t>
      </w:r>
      <w:proofErr w:type="spellEnd"/>
      <w:r w:rsidR="00EE4FC3">
        <w:t xml:space="preserve"> </w:t>
      </w:r>
      <w:r w:rsidR="00610ADA" w:rsidRPr="00382917">
        <w:t>and</w:t>
      </w:r>
      <w:r w:rsidR="00EE4FC3">
        <w:t xml:space="preserve"> </w:t>
      </w:r>
      <w:r w:rsidR="00610ADA" w:rsidRPr="00382917">
        <w:t>Rajab!</w:t>
      </w:r>
      <w:r w:rsidRPr="00382917">
        <w:t>’</w:t>
      </w:r>
    </w:p>
    <w:p w:rsidR="00610ADA" w:rsidRPr="00382917" w:rsidRDefault="009C713D" w:rsidP="00900F24">
      <w:pPr>
        <w:pStyle w:val="Text"/>
      </w:pPr>
      <w:r w:rsidRPr="00382917">
        <w:t>“</w:t>
      </w:r>
      <w:r w:rsidR="00610ADA" w:rsidRPr="00382917">
        <w:t>As</w:t>
      </w:r>
      <w:r w:rsidR="00EE4FC3">
        <w:t xml:space="preserve"> </w:t>
      </w:r>
      <w:r w:rsidR="00610ADA" w:rsidRPr="00382917">
        <w:t>He</w:t>
      </w:r>
      <w:r w:rsidR="00EE4FC3">
        <w:t xml:space="preserve"> </w:t>
      </w:r>
      <w:r w:rsidR="00610ADA" w:rsidRPr="00382917">
        <w:t>was</w:t>
      </w:r>
      <w:r w:rsidR="00EE4FC3">
        <w:t xml:space="preserve"> </w:t>
      </w:r>
      <w:r w:rsidR="00610ADA" w:rsidRPr="00382917">
        <w:t>reading</w:t>
      </w:r>
      <w:r w:rsidR="00EE4FC3">
        <w:t xml:space="preserve"> </w:t>
      </w:r>
      <w:r w:rsidR="00610ADA" w:rsidRPr="00382917">
        <w:t>the</w:t>
      </w:r>
      <w:r w:rsidR="00EE4FC3">
        <w:t xml:space="preserve"> </w:t>
      </w:r>
      <w:r w:rsidR="00610ADA" w:rsidRPr="00382917">
        <w:t>letter</w:t>
      </w:r>
      <w:r w:rsidR="00EE4FC3">
        <w:t xml:space="preserve"> </w:t>
      </w:r>
      <w:r w:rsidR="00610ADA" w:rsidRPr="00382917">
        <w:t>from</w:t>
      </w:r>
      <w:r w:rsidR="00EE4FC3">
        <w:t xml:space="preserve"> </w:t>
      </w:r>
      <w:r w:rsidR="00610ADA" w:rsidRPr="00382917">
        <w:t>Mullá</w:t>
      </w:r>
      <w:r w:rsidR="00EE4FC3">
        <w:t xml:space="preserve"> </w:t>
      </w:r>
      <w:r w:rsidR="00964C11" w:rsidRPr="00382917">
        <w:t>Ḥusayn</w:t>
      </w:r>
      <w:r w:rsidR="00610ADA" w:rsidRPr="00382917">
        <w:t>,</w:t>
      </w:r>
      <w:r w:rsidR="00EE4FC3">
        <w:t xml:space="preserve"> </w:t>
      </w:r>
      <w:r w:rsidR="00610ADA" w:rsidRPr="00382917">
        <w:t>He</w:t>
      </w:r>
      <w:r w:rsidR="00EE4FC3">
        <w:t xml:space="preserve"> </w:t>
      </w:r>
      <w:r w:rsidR="00610ADA" w:rsidRPr="00382917">
        <w:t>turned</w:t>
      </w:r>
      <w:r w:rsidR="00EE4FC3">
        <w:t xml:space="preserve"> </w:t>
      </w:r>
      <w:r w:rsidR="00610ADA" w:rsidRPr="00382917">
        <w:t>to</w:t>
      </w:r>
      <w:r w:rsidR="00EE4FC3">
        <w:t xml:space="preserve"> </w:t>
      </w:r>
      <w:r w:rsidR="00610ADA" w:rsidRPr="00382917">
        <w:t>Quddús</w:t>
      </w:r>
      <w:r w:rsidR="00EE4FC3">
        <w:t xml:space="preserve"> </w:t>
      </w:r>
      <w:r w:rsidR="00610ADA" w:rsidRPr="00382917">
        <w:t>and,</w:t>
      </w:r>
      <w:r w:rsidR="00EE4FC3">
        <w:t xml:space="preserve"> </w:t>
      </w:r>
      <w:r w:rsidR="00610ADA" w:rsidRPr="00382917">
        <w:t>showing</w:t>
      </w:r>
      <w:r w:rsidR="00EE4FC3">
        <w:t xml:space="preserve"> </w:t>
      </w:r>
      <w:r w:rsidR="00610ADA" w:rsidRPr="00382917">
        <w:t>him</w:t>
      </w:r>
      <w:r w:rsidR="00EE4FC3">
        <w:t xml:space="preserve"> </w:t>
      </w:r>
      <w:r w:rsidR="00610ADA" w:rsidRPr="00382917">
        <w:t>certain</w:t>
      </w:r>
      <w:r w:rsidR="00EE4FC3">
        <w:t xml:space="preserve"> </w:t>
      </w:r>
      <w:r w:rsidR="00610ADA" w:rsidRPr="00382917">
        <w:t>passages,</w:t>
      </w:r>
      <w:r w:rsidR="00EE4FC3">
        <w:t xml:space="preserve"> </w:t>
      </w:r>
      <w:r w:rsidR="00610ADA" w:rsidRPr="00382917">
        <w:t>explained</w:t>
      </w:r>
      <w:r w:rsidR="00EE4FC3">
        <w:t xml:space="preserve"> </w:t>
      </w:r>
      <w:r w:rsidR="00610ADA" w:rsidRPr="00382917">
        <w:t>the</w:t>
      </w:r>
      <w:r w:rsidR="00EE4FC3">
        <w:t xml:space="preserve"> </w:t>
      </w:r>
      <w:r w:rsidR="00610ADA" w:rsidRPr="00382917">
        <w:t>reason</w:t>
      </w:r>
      <w:r w:rsidR="00EE4FC3">
        <w:t xml:space="preserve"> </w:t>
      </w:r>
      <w:r w:rsidR="00610ADA" w:rsidRPr="00382917">
        <w:t>for</w:t>
      </w:r>
      <w:r w:rsidR="00EE4FC3">
        <w:t xml:space="preserve"> </w:t>
      </w:r>
      <w:r w:rsidR="00610ADA" w:rsidRPr="00382917">
        <w:t>His</w:t>
      </w:r>
      <w:r w:rsidR="00EE4FC3">
        <w:t xml:space="preserve"> </w:t>
      </w:r>
      <w:r w:rsidR="00610ADA" w:rsidRPr="00382917">
        <w:t>joyous</w:t>
      </w:r>
      <w:r w:rsidR="00EE4FC3">
        <w:t xml:space="preserve"> </w:t>
      </w:r>
      <w:r w:rsidR="00610ADA" w:rsidRPr="00382917">
        <w:t>expressions.</w:t>
      </w:r>
      <w:r w:rsidRPr="00382917">
        <w:t>”</w:t>
      </w:r>
    </w:p>
    <w:p w:rsidR="00610ADA" w:rsidRPr="00382917" w:rsidRDefault="00610ADA" w:rsidP="00900F24">
      <w:pPr>
        <w:pStyle w:val="Text"/>
      </w:pPr>
      <w:r w:rsidRPr="00382917">
        <w:t>The</w:t>
      </w:r>
      <w:r w:rsidR="00EE4FC3">
        <w:t xml:space="preserve"> </w:t>
      </w:r>
      <w:r w:rsidRPr="00382917">
        <w:t>Báb</w:t>
      </w:r>
      <w:r w:rsidR="009C713D" w:rsidRPr="00382917">
        <w:t>’</w:t>
      </w:r>
      <w:r w:rsidRPr="00382917">
        <w:t>s</w:t>
      </w:r>
      <w:r w:rsidR="00EE4FC3">
        <w:t xml:space="preserve"> </w:t>
      </w:r>
      <w:r w:rsidRPr="00382917">
        <w:t>uncle</w:t>
      </w:r>
      <w:r w:rsidR="00EE4FC3">
        <w:t xml:space="preserve"> </w:t>
      </w:r>
      <w:r w:rsidRPr="00382917">
        <w:t>told</w:t>
      </w:r>
      <w:r w:rsidR="00EE4FC3">
        <w:t xml:space="preserve"> </w:t>
      </w:r>
      <w:r w:rsidRPr="00382917">
        <w:t>his</w:t>
      </w:r>
      <w:r w:rsidR="00EE4FC3">
        <w:t xml:space="preserve"> </w:t>
      </w:r>
      <w:r w:rsidRPr="00382917">
        <w:t>fellow-companions</w:t>
      </w:r>
      <w:r w:rsidR="00EE4FC3">
        <w:t xml:space="preserve"> </w:t>
      </w:r>
      <w:r w:rsidRPr="00382917">
        <w:t>what</w:t>
      </w:r>
      <w:r w:rsidR="00EE4FC3">
        <w:t xml:space="preserve"> </w:t>
      </w:r>
      <w:r w:rsidRPr="00382917">
        <w:t>he</w:t>
      </w:r>
      <w:r w:rsidR="00EE4FC3">
        <w:t xml:space="preserve"> </w:t>
      </w:r>
      <w:r w:rsidRPr="00382917">
        <w:t>had</w:t>
      </w:r>
      <w:r w:rsidR="00EE4FC3">
        <w:t xml:space="preserve"> </w:t>
      </w:r>
      <w:r w:rsidRPr="00382917">
        <w:t>witnessed</w:t>
      </w:r>
      <w:r w:rsidR="00EE4FC3">
        <w:t xml:space="preserve"> </w:t>
      </w:r>
      <w:r w:rsidRPr="00382917">
        <w:t>that</w:t>
      </w:r>
      <w:r w:rsidR="00EE4FC3">
        <w:t xml:space="preserve"> </w:t>
      </w:r>
      <w:r w:rsidRPr="00382917">
        <w:t>night</w:t>
      </w:r>
      <w:r w:rsidR="00330AF7">
        <w:t>.</w:t>
      </w:r>
      <w:r w:rsidR="00EE4FC3">
        <w:t xml:space="preserve">  </w:t>
      </w:r>
      <w:r w:rsidRPr="00382917">
        <w:t>He</w:t>
      </w:r>
      <w:r w:rsidR="00EE4FC3">
        <w:t xml:space="preserve"> </w:t>
      </w:r>
      <w:r w:rsidRPr="00382917">
        <w:t>also</w:t>
      </w:r>
      <w:r w:rsidR="00EE4FC3">
        <w:t xml:space="preserve"> </w:t>
      </w:r>
      <w:r w:rsidRPr="00382917">
        <w:t>mentioned</w:t>
      </w:r>
      <w:r w:rsidR="00EE4FC3">
        <w:t xml:space="preserve"> </w:t>
      </w:r>
      <w:r w:rsidRPr="00382917">
        <w:t>the</w:t>
      </w:r>
      <w:r w:rsidR="00EE4FC3">
        <w:t xml:space="preserve"> </w:t>
      </w:r>
      <w:r w:rsidRPr="00382917">
        <w:t>Báb</w:t>
      </w:r>
      <w:r w:rsidR="009C713D" w:rsidRPr="00382917">
        <w:t>’</w:t>
      </w:r>
      <w:r w:rsidRPr="00382917">
        <w:t>s</w:t>
      </w:r>
      <w:r w:rsidR="00EE4FC3">
        <w:t xml:space="preserve"> </w:t>
      </w:r>
      <w:r w:rsidRPr="00382917">
        <w:t>reference</w:t>
      </w:r>
      <w:r w:rsidR="00EE4FC3">
        <w:t xml:space="preserve"> </w:t>
      </w:r>
      <w:r w:rsidRPr="00382917">
        <w:t>to</w:t>
      </w:r>
      <w:r w:rsidR="00EE4FC3">
        <w:t xml:space="preserve"> </w:t>
      </w:r>
      <w:r w:rsidRPr="00382917">
        <w:t>the</w:t>
      </w:r>
      <w:r w:rsidR="00EE4FC3">
        <w:t xml:space="preserve"> </w:t>
      </w:r>
      <w:r w:rsidRPr="00382917">
        <w:t>wonder</w:t>
      </w:r>
      <w:r w:rsidR="00EE4FC3">
        <w:t xml:space="preserve"> </w:t>
      </w:r>
      <w:r w:rsidRPr="00382917">
        <w:t>of</w:t>
      </w:r>
      <w:r w:rsidR="00EE4FC3">
        <w:t xml:space="preserve"> </w:t>
      </w:r>
      <w:r w:rsidRPr="00382917">
        <w:t>the</w:t>
      </w:r>
      <w:r w:rsidR="00EE4FC3">
        <w:t xml:space="preserve"> </w:t>
      </w:r>
      <w:r w:rsidRPr="00382917">
        <w:t>days</w:t>
      </w:r>
      <w:r w:rsidR="00EE4FC3">
        <w:t xml:space="preserve"> </w:t>
      </w:r>
      <w:r w:rsidRPr="00382917">
        <w:t>between</w:t>
      </w:r>
      <w:r w:rsidR="00EE4FC3">
        <w:t xml:space="preserve"> </w:t>
      </w:r>
      <w:proofErr w:type="spellStart"/>
      <w:r w:rsidRPr="00382917">
        <w:t>Jamádí</w:t>
      </w:r>
      <w:proofErr w:type="spellEnd"/>
      <w:r w:rsidR="00EE4FC3">
        <w:t xml:space="preserve"> </w:t>
      </w:r>
      <w:r w:rsidRPr="00382917">
        <w:t>and</w:t>
      </w:r>
      <w:r w:rsidR="00EE4FC3">
        <w:t xml:space="preserve"> </w:t>
      </w:r>
      <w:r w:rsidRPr="00382917">
        <w:t>Rajab</w:t>
      </w:r>
      <w:r w:rsidR="00330AF7">
        <w:t>.</w:t>
      </w:r>
      <w:r w:rsidR="00EE4FC3">
        <w:t xml:space="preserve">  </w:t>
      </w:r>
      <w:r w:rsidRPr="00382917">
        <w:t>This</w:t>
      </w:r>
      <w:r w:rsidR="00EE4FC3">
        <w:t xml:space="preserve"> </w:t>
      </w:r>
      <w:r w:rsidRPr="00382917">
        <w:t>impressed</w:t>
      </w:r>
      <w:r w:rsidR="00EE4FC3">
        <w:t xml:space="preserve"> </w:t>
      </w:r>
      <w:r w:rsidRPr="00382917">
        <w:t>Mírzá</w:t>
      </w:r>
      <w:r w:rsidR="00EE4FC3">
        <w:t xml:space="preserve"> </w:t>
      </w:r>
      <w:proofErr w:type="gramStart"/>
      <w:r w:rsidRPr="00382917">
        <w:t>Aḥmad</w:t>
      </w:r>
      <w:proofErr w:type="gramEnd"/>
      <w:r w:rsidR="00EE4FC3">
        <w:t xml:space="preserve"> </w:t>
      </w:r>
      <w:r w:rsidRPr="00382917">
        <w:t>who</w:t>
      </w:r>
      <w:r w:rsidR="00EE4FC3">
        <w:t xml:space="preserve"> </w:t>
      </w:r>
      <w:r w:rsidRPr="00382917">
        <w:t>waited</w:t>
      </w:r>
      <w:r w:rsidR="00EE4FC3">
        <w:t xml:space="preserve"> </w:t>
      </w:r>
      <w:r w:rsidRPr="00382917">
        <w:t>until</w:t>
      </w:r>
      <w:r w:rsidR="00EE4FC3">
        <w:t xml:space="preserve"> </w:t>
      </w:r>
      <w:r w:rsidRPr="00382917">
        <w:t>Mullá</w:t>
      </w:r>
      <w:r w:rsidR="00EE4FC3">
        <w:t xml:space="preserve"> </w:t>
      </w:r>
      <w:r w:rsidR="00964C11" w:rsidRPr="00382917">
        <w:t>Ḥusayn</w:t>
      </w:r>
      <w:r w:rsidR="00EE4FC3">
        <w:t xml:space="preserve"> </w:t>
      </w:r>
      <w:r w:rsidRPr="00382917">
        <w:t>returned</w:t>
      </w:r>
      <w:r w:rsidR="00EE4FC3">
        <w:t xml:space="preserve"> </w:t>
      </w:r>
      <w:r w:rsidRPr="00382917">
        <w:t>to</w:t>
      </w:r>
      <w:r w:rsidR="00EE4FC3">
        <w:t xml:space="preserve"> </w:t>
      </w:r>
      <w:r w:rsidR="008A073E" w:rsidRPr="00382917">
        <w:rPr>
          <w:u w:val="single"/>
        </w:rPr>
        <w:t>Sh</w:t>
      </w:r>
      <w:r w:rsidR="008A073E" w:rsidRPr="00382917">
        <w:t>íráz</w:t>
      </w:r>
      <w:r w:rsidRPr="00382917">
        <w:t>,</w:t>
      </w:r>
      <w:r w:rsidR="00EE4FC3">
        <w:t xml:space="preserve"> </w:t>
      </w:r>
      <w:r w:rsidRPr="00382917">
        <w:t>then</w:t>
      </w:r>
      <w:r w:rsidR="00EE4FC3">
        <w:t xml:space="preserve"> </w:t>
      </w:r>
      <w:r w:rsidRPr="00382917">
        <w:t>asked</w:t>
      </w:r>
      <w:r w:rsidR="00EE4FC3">
        <w:t xml:space="preserve"> </w:t>
      </w:r>
      <w:r w:rsidRPr="00382917">
        <w:t>him</w:t>
      </w:r>
      <w:r w:rsidR="00EE4FC3">
        <w:t xml:space="preserve"> </w:t>
      </w:r>
      <w:r w:rsidRPr="00382917">
        <w:t>what</w:t>
      </w:r>
      <w:r w:rsidR="00EE4FC3">
        <w:t xml:space="preserve"> </w:t>
      </w:r>
      <w:r w:rsidRPr="00382917">
        <w:t>had</w:t>
      </w:r>
      <w:r w:rsidR="00EE4FC3">
        <w:t xml:space="preserve"> </w:t>
      </w:r>
      <w:r w:rsidRPr="00382917">
        <w:t>happened</w:t>
      </w:r>
      <w:r w:rsidR="00EE4FC3">
        <w:t xml:space="preserve"> </w:t>
      </w:r>
      <w:r w:rsidRPr="00382917">
        <w:t>at</w:t>
      </w:r>
      <w:r w:rsidR="00EE4FC3">
        <w:t xml:space="preserve"> </w:t>
      </w:r>
      <w:r w:rsidRPr="00382917">
        <w:t>that</w:t>
      </w:r>
      <w:r w:rsidR="00EE4FC3">
        <w:t xml:space="preserve"> </w:t>
      </w:r>
      <w:r w:rsidRPr="00382917">
        <w:t>particular</w:t>
      </w:r>
      <w:r w:rsidR="00EE4FC3">
        <w:t xml:space="preserve"> </w:t>
      </w:r>
      <w:r w:rsidRPr="00382917">
        <w:t>time.</w:t>
      </w:r>
    </w:p>
    <w:p w:rsidR="00610ADA" w:rsidRPr="00382917" w:rsidRDefault="00610ADA" w:rsidP="00900F24">
      <w:pPr>
        <w:pStyle w:val="Text"/>
      </w:pPr>
      <w:r w:rsidRPr="00382917">
        <w:t>Mullá</w:t>
      </w:r>
      <w:r w:rsidR="00EE4FC3">
        <w:t xml:space="preserve"> </w:t>
      </w:r>
      <w:r w:rsidR="00964C11" w:rsidRPr="00382917">
        <w:t>Ḥusayn</w:t>
      </w:r>
      <w:r w:rsidR="00EE4FC3">
        <w:t xml:space="preserve"> </w:t>
      </w:r>
      <w:r w:rsidRPr="00382917">
        <w:t>smiled</w:t>
      </w:r>
      <w:r w:rsidR="00EE4FC3">
        <w:t xml:space="preserve"> </w:t>
      </w:r>
      <w:r w:rsidRPr="00382917">
        <w:t>and</w:t>
      </w:r>
      <w:r w:rsidR="00EE4FC3">
        <w:t xml:space="preserve"> </w:t>
      </w:r>
      <w:r w:rsidRPr="00382917">
        <w:t>said,</w:t>
      </w:r>
      <w:r w:rsidR="00EE4FC3">
        <w:t xml:space="preserve"> </w:t>
      </w:r>
      <w:r w:rsidR="009C713D" w:rsidRPr="00382917">
        <w:t>“</w:t>
      </w:r>
      <w:r w:rsidRPr="00382917">
        <w:t>Between</w:t>
      </w:r>
      <w:r w:rsidR="00EE4FC3">
        <w:t xml:space="preserve"> </w:t>
      </w:r>
      <w:r w:rsidRPr="00382917">
        <w:t>the</w:t>
      </w:r>
      <w:r w:rsidR="00EE4FC3">
        <w:t xml:space="preserve"> </w:t>
      </w:r>
      <w:r w:rsidRPr="00382917">
        <w:t>months</w:t>
      </w:r>
      <w:r w:rsidR="00EE4FC3">
        <w:t xml:space="preserve"> </w:t>
      </w:r>
      <w:r w:rsidRPr="00382917">
        <w:t>of</w:t>
      </w:r>
      <w:r w:rsidR="00EE4FC3">
        <w:t xml:space="preserve"> </w:t>
      </w:r>
      <w:proofErr w:type="spellStart"/>
      <w:r w:rsidRPr="00382917">
        <w:t>Jamádí</w:t>
      </w:r>
      <w:proofErr w:type="spellEnd"/>
      <w:r w:rsidR="00EE4FC3">
        <w:t xml:space="preserve"> </w:t>
      </w:r>
      <w:r w:rsidRPr="00382917">
        <w:t>and</w:t>
      </w:r>
      <w:r w:rsidR="00EE4FC3">
        <w:t xml:space="preserve"> </w:t>
      </w:r>
      <w:r w:rsidRPr="00382917">
        <w:t>Rajab,</w:t>
      </w:r>
      <w:r w:rsidR="00EE4FC3">
        <w:t xml:space="preserve"> </w:t>
      </w:r>
      <w:r w:rsidRPr="00382917">
        <w:t>I</w:t>
      </w:r>
      <w:r w:rsidR="00EE4FC3">
        <w:t xml:space="preserve"> </w:t>
      </w:r>
      <w:r w:rsidRPr="00382917">
        <w:t>chanced</w:t>
      </w:r>
      <w:r w:rsidR="00EE4FC3">
        <w:t xml:space="preserve"> </w:t>
      </w:r>
      <w:r w:rsidRPr="00382917">
        <w:t>to</w:t>
      </w:r>
      <w:r w:rsidR="00EE4FC3">
        <w:t xml:space="preserve"> </w:t>
      </w:r>
      <w:r w:rsidRPr="00382917">
        <w:t>be</w:t>
      </w:r>
      <w:r w:rsidR="00EE4FC3">
        <w:t xml:space="preserve"> </w:t>
      </w:r>
      <w:r w:rsidRPr="00382917">
        <w:t>in</w:t>
      </w:r>
      <w:r w:rsidR="00EE4FC3">
        <w:t xml:space="preserve"> </w:t>
      </w:r>
      <w:r w:rsidRPr="00382917">
        <w:t>Ṭihrán.</w:t>
      </w:r>
      <w:r w:rsidR="009C713D" w:rsidRPr="00382917">
        <w:t>”</w:t>
      </w:r>
    </w:p>
    <w:p w:rsidR="00610ADA" w:rsidRPr="00382917" w:rsidRDefault="00610ADA" w:rsidP="00E30C03">
      <w:pPr>
        <w:pStyle w:val="Text"/>
      </w:pPr>
      <w:r w:rsidRPr="00382917">
        <w:t>He</w:t>
      </w:r>
      <w:r w:rsidR="00EE4FC3">
        <w:t xml:space="preserve"> </w:t>
      </w:r>
      <w:r w:rsidRPr="00382917">
        <w:t>would</w:t>
      </w:r>
      <w:r w:rsidR="00EE4FC3">
        <w:t xml:space="preserve"> </w:t>
      </w:r>
      <w:r w:rsidRPr="00382917">
        <w:t>give</w:t>
      </w:r>
      <w:r w:rsidR="00EE4FC3">
        <w:t xml:space="preserve"> </w:t>
      </w:r>
      <w:r w:rsidRPr="00382917">
        <w:t>no</w:t>
      </w:r>
      <w:r w:rsidR="00EE4FC3">
        <w:t xml:space="preserve"> </w:t>
      </w:r>
      <w:r w:rsidRPr="00382917">
        <w:t>further</w:t>
      </w:r>
      <w:r w:rsidR="00EE4FC3">
        <w:t xml:space="preserve"> </w:t>
      </w:r>
      <w:r w:rsidRPr="00382917">
        <w:t>explanation</w:t>
      </w:r>
      <w:r w:rsidR="00330AF7">
        <w:t>.</w:t>
      </w:r>
      <w:r w:rsidR="00EE4FC3">
        <w:t xml:space="preserve">  </w:t>
      </w:r>
      <w:r w:rsidR="009C713D" w:rsidRPr="00382917">
        <w:t>“</w:t>
      </w:r>
      <w:r w:rsidRPr="00382917">
        <w:t>This</w:t>
      </w:r>
      <w:r w:rsidR="00EE4FC3">
        <w:t xml:space="preserve"> </w:t>
      </w:r>
      <w:r w:rsidRPr="00382917">
        <w:t>was</w:t>
      </w:r>
      <w:r w:rsidR="00EE4FC3">
        <w:t xml:space="preserve"> </w:t>
      </w:r>
      <w:r w:rsidRPr="00382917">
        <w:t>sufficient</w:t>
      </w:r>
      <w:r w:rsidR="00EE4FC3">
        <w:t xml:space="preserve"> </w:t>
      </w:r>
      <w:r w:rsidRPr="00382917">
        <w:t>to</w:t>
      </w:r>
      <w:r w:rsidR="00EE4FC3">
        <w:t xml:space="preserve"> </w:t>
      </w:r>
      <w:r w:rsidRPr="00382917">
        <w:t>convince</w:t>
      </w:r>
      <w:r w:rsidR="00EE4FC3">
        <w:t xml:space="preserve"> </w:t>
      </w:r>
      <w:r w:rsidRPr="00382917">
        <w:t>me</w:t>
      </w:r>
      <w:r w:rsidR="00EE4FC3">
        <w:t xml:space="preserve"> </w:t>
      </w:r>
      <w:r w:rsidRPr="00382917">
        <w:t>that</w:t>
      </w:r>
      <w:r w:rsidR="00EE4FC3">
        <w:t xml:space="preserve"> </w:t>
      </w:r>
      <w:r w:rsidRPr="00382917">
        <w:t>in</w:t>
      </w:r>
      <w:r w:rsidR="00EE4FC3">
        <w:t xml:space="preserve"> </w:t>
      </w:r>
      <w:r w:rsidRPr="00382917">
        <w:t>the</w:t>
      </w:r>
      <w:r w:rsidR="00EE4FC3">
        <w:t xml:space="preserve"> </w:t>
      </w:r>
      <w:r w:rsidRPr="00382917">
        <w:t>city</w:t>
      </w:r>
      <w:r w:rsidR="00EE4FC3">
        <w:t xml:space="preserve"> </w:t>
      </w:r>
      <w:r w:rsidRPr="00382917">
        <w:t>of</w:t>
      </w:r>
      <w:r w:rsidR="00EE4FC3">
        <w:t xml:space="preserve"> </w:t>
      </w:r>
      <w:r w:rsidRPr="00382917">
        <w:t>Ṭihrán</w:t>
      </w:r>
      <w:r w:rsidR="00EE4FC3">
        <w:t xml:space="preserve"> </w:t>
      </w:r>
      <w:r w:rsidRPr="00382917">
        <w:t>there</w:t>
      </w:r>
      <w:r w:rsidR="00EE4FC3">
        <w:t xml:space="preserve"> </w:t>
      </w:r>
      <w:r w:rsidRPr="00382917">
        <w:t>lay</w:t>
      </w:r>
      <w:r w:rsidR="00EE4FC3">
        <w:t xml:space="preserve"> </w:t>
      </w:r>
      <w:r w:rsidRPr="00382917">
        <w:t>hidden</w:t>
      </w:r>
      <w:r w:rsidR="00EE4FC3">
        <w:t xml:space="preserve"> </w:t>
      </w:r>
      <w:r w:rsidRPr="00382917">
        <w:t>a</w:t>
      </w:r>
      <w:r w:rsidR="00EE4FC3">
        <w:t xml:space="preserve"> </w:t>
      </w:r>
      <w:r w:rsidRPr="00382917">
        <w:t>Mystery</w:t>
      </w:r>
      <w:r w:rsidR="00EE4FC3">
        <w:t xml:space="preserve"> </w:t>
      </w:r>
      <w:r w:rsidRPr="00382917">
        <w:t>which,</w:t>
      </w:r>
      <w:r w:rsidR="00EE4FC3">
        <w:t xml:space="preserve"> </w:t>
      </w:r>
      <w:r w:rsidRPr="00382917">
        <w:t>when</w:t>
      </w:r>
      <w:r w:rsidR="00EE4FC3">
        <w:t xml:space="preserve"> </w:t>
      </w:r>
      <w:r w:rsidRPr="00382917">
        <w:t>revealed</w:t>
      </w:r>
      <w:r w:rsidR="00EE4FC3">
        <w:t xml:space="preserve"> </w:t>
      </w:r>
      <w:r w:rsidRPr="00382917">
        <w:t>to</w:t>
      </w:r>
      <w:r w:rsidR="00EE4FC3">
        <w:t xml:space="preserve"> </w:t>
      </w:r>
      <w:r w:rsidRPr="00382917">
        <w:t>the</w:t>
      </w:r>
      <w:r w:rsidR="00EE4FC3">
        <w:t xml:space="preserve"> </w:t>
      </w:r>
      <w:r w:rsidRPr="00382917">
        <w:t>world,</w:t>
      </w:r>
      <w:r w:rsidR="00EE4FC3">
        <w:t xml:space="preserve"> </w:t>
      </w:r>
      <w:r w:rsidRPr="00382917">
        <w:t>would</w:t>
      </w:r>
      <w:r w:rsidR="00EE4FC3">
        <w:t xml:space="preserve"> </w:t>
      </w:r>
      <w:r w:rsidRPr="00382917">
        <w:t>bring</w:t>
      </w:r>
      <w:r w:rsidR="00EE4FC3">
        <w:t xml:space="preserve"> </w:t>
      </w:r>
      <w:r w:rsidRPr="00382917">
        <w:t>unspeakable</w:t>
      </w:r>
      <w:r w:rsidR="00EE4FC3">
        <w:t xml:space="preserve"> </w:t>
      </w:r>
      <w:r w:rsidRPr="00382917">
        <w:t>joy</w:t>
      </w:r>
      <w:r w:rsidR="00EE4FC3">
        <w:t xml:space="preserve"> </w:t>
      </w:r>
      <w:r w:rsidRPr="00382917">
        <w:t>to</w:t>
      </w:r>
      <w:r w:rsidR="00EE4FC3">
        <w:t xml:space="preserve"> </w:t>
      </w:r>
      <w:r w:rsidRPr="00382917">
        <w:t>the</w:t>
      </w:r>
      <w:r w:rsidR="00EE4FC3">
        <w:t xml:space="preserve"> </w:t>
      </w:r>
      <w:r w:rsidRPr="00382917">
        <w:t>heart</w:t>
      </w:r>
      <w:r w:rsidR="00EE4FC3">
        <w:t xml:space="preserve"> </w:t>
      </w:r>
      <w:r w:rsidRPr="00382917">
        <w:t>of</w:t>
      </w:r>
      <w:r w:rsidR="00EE4FC3">
        <w:t xml:space="preserve"> </w:t>
      </w:r>
      <w:r w:rsidRPr="00382917">
        <w:t>the</w:t>
      </w:r>
      <w:r w:rsidR="00EE4FC3">
        <w:t xml:space="preserve"> </w:t>
      </w:r>
      <w:r w:rsidRPr="00382917">
        <w:t>Báb.</w:t>
      </w:r>
      <w:r w:rsidR="009C713D" w:rsidRPr="00382917">
        <w:t>”</w:t>
      </w:r>
      <w:r w:rsidR="00E30C03">
        <w:rPr>
          <w:rStyle w:val="FootnoteReference"/>
        </w:rPr>
        <w:footnoteReference w:id="207"/>
      </w:r>
    </w:p>
    <w:p w:rsidR="00900F24" w:rsidRPr="00382917" w:rsidRDefault="00900F24">
      <w:pPr>
        <w:widowControl/>
        <w:kinsoku/>
        <w:overflowPunct/>
        <w:textAlignment w:val="auto"/>
      </w:pPr>
      <w:r w:rsidRPr="00382917">
        <w:br w:type="page"/>
      </w:r>
    </w:p>
    <w:p w:rsidR="00610ADA" w:rsidRPr="00382917" w:rsidRDefault="00610ADA" w:rsidP="00900F24">
      <w:pPr>
        <w:pStyle w:val="Text"/>
      </w:pPr>
      <w:r w:rsidRPr="00382917">
        <w:t>Mullá</w:t>
      </w:r>
      <w:r w:rsidR="00EE4FC3">
        <w:t xml:space="preserve"> </w:t>
      </w:r>
      <w:r w:rsidR="00964C11" w:rsidRPr="00382917">
        <w:t>Ḥusayn</w:t>
      </w:r>
      <w:r w:rsidR="00EE4FC3">
        <w:t xml:space="preserve"> </w:t>
      </w:r>
      <w:r w:rsidRPr="00382917">
        <w:t>met</w:t>
      </w:r>
      <w:r w:rsidR="00EE4FC3">
        <w:t xml:space="preserve"> </w:t>
      </w:r>
      <w:r w:rsidRPr="00382917">
        <w:t>Bahá</w:t>
      </w:r>
      <w:r w:rsidR="009C713D" w:rsidRPr="00382917">
        <w:t>’</w:t>
      </w:r>
      <w:r w:rsidRPr="00382917">
        <w:t>u</w:t>
      </w:r>
      <w:r w:rsidR="009C713D" w:rsidRPr="00382917">
        <w:t>’</w:t>
      </w:r>
      <w:r w:rsidRPr="00382917">
        <w:t>lláh</w:t>
      </w:r>
      <w:r w:rsidR="00EE4FC3">
        <w:t xml:space="preserve"> </w:t>
      </w:r>
      <w:r w:rsidRPr="00382917">
        <w:t>a</w:t>
      </w:r>
      <w:r w:rsidR="00EE4FC3">
        <w:t xml:space="preserve"> </w:t>
      </w:r>
      <w:r w:rsidRPr="00382917">
        <w:t>second</w:t>
      </w:r>
      <w:r w:rsidR="00EE4FC3">
        <w:t xml:space="preserve"> </w:t>
      </w:r>
      <w:r w:rsidRPr="00382917">
        <w:t>time</w:t>
      </w:r>
      <w:r w:rsidR="00EE4FC3">
        <w:t xml:space="preserve"> </w:t>
      </w:r>
      <w:r w:rsidRPr="00382917">
        <w:t>just</w:t>
      </w:r>
      <w:r w:rsidR="00EE4FC3">
        <w:t xml:space="preserve"> </w:t>
      </w:r>
      <w:r w:rsidRPr="00382917">
        <w:t>before</w:t>
      </w:r>
      <w:r w:rsidR="00EE4FC3">
        <w:t xml:space="preserve"> </w:t>
      </w:r>
      <w:r w:rsidRPr="00382917">
        <w:t>he</w:t>
      </w:r>
      <w:r w:rsidR="00EE4FC3">
        <w:t xml:space="preserve"> </w:t>
      </w:r>
      <w:r w:rsidRPr="00382917">
        <w:t>began</w:t>
      </w:r>
      <w:r w:rsidR="00EE4FC3">
        <w:t xml:space="preserve"> </w:t>
      </w:r>
      <w:r w:rsidRPr="00382917">
        <w:t>his</w:t>
      </w:r>
      <w:r w:rsidR="00EE4FC3">
        <w:t xml:space="preserve"> </w:t>
      </w:r>
      <w:r w:rsidRPr="00382917">
        <w:t>journey</w:t>
      </w:r>
      <w:r w:rsidR="00EE4FC3">
        <w:t xml:space="preserve"> </w:t>
      </w:r>
      <w:r w:rsidRPr="00382917">
        <w:t>on</w:t>
      </w:r>
      <w:r w:rsidR="00EE4FC3">
        <w:t xml:space="preserve"> </w:t>
      </w:r>
      <w:r w:rsidRPr="00382917">
        <w:t>foot</w:t>
      </w:r>
      <w:r w:rsidR="00EE4FC3">
        <w:t xml:space="preserve"> </w:t>
      </w:r>
      <w:r w:rsidRPr="00382917">
        <w:t>to</w:t>
      </w:r>
      <w:r w:rsidR="00EE4FC3">
        <w:t xml:space="preserve"> </w:t>
      </w:r>
      <w:r w:rsidRPr="00382917">
        <w:t>the</w:t>
      </w:r>
      <w:r w:rsidR="00EE4FC3">
        <w:t xml:space="preserve"> </w:t>
      </w:r>
      <w:r w:rsidRPr="00382917">
        <w:t>Báb</w:t>
      </w:r>
      <w:r w:rsidR="009C713D" w:rsidRPr="00382917">
        <w:t>’</w:t>
      </w:r>
      <w:r w:rsidRPr="00382917">
        <w:t>s</w:t>
      </w:r>
      <w:r w:rsidR="00EE4FC3">
        <w:t xml:space="preserve"> </w:t>
      </w:r>
      <w:r w:rsidRPr="00382917">
        <w:t>prison</w:t>
      </w:r>
      <w:r w:rsidR="00EE4FC3">
        <w:t xml:space="preserve"> </w:t>
      </w:r>
      <w:r w:rsidRPr="00382917">
        <w:t>in</w:t>
      </w:r>
      <w:r w:rsidR="00EE4FC3">
        <w:t xml:space="preserve"> </w:t>
      </w:r>
      <w:r w:rsidRPr="00382917">
        <w:t>Máh-Kú</w:t>
      </w:r>
      <w:r w:rsidR="00330AF7">
        <w:t>.</w:t>
      </w:r>
      <w:r w:rsidR="00EE4FC3">
        <w:t xml:space="preserve">  </w:t>
      </w:r>
      <w:r w:rsidRPr="00382917">
        <w:t>He</w:t>
      </w:r>
      <w:r w:rsidR="00EE4FC3">
        <w:t xml:space="preserve"> </w:t>
      </w:r>
      <w:r w:rsidRPr="00382917">
        <w:t>was</w:t>
      </w:r>
      <w:r w:rsidR="00EE4FC3">
        <w:t xml:space="preserve"> </w:t>
      </w:r>
      <w:r w:rsidRPr="00382917">
        <w:t>ushered</w:t>
      </w:r>
      <w:r w:rsidR="00EE4FC3">
        <w:t xml:space="preserve"> </w:t>
      </w:r>
      <w:r w:rsidRPr="00382917">
        <w:t>with</w:t>
      </w:r>
      <w:r w:rsidR="00EE4FC3">
        <w:t xml:space="preserve"> </w:t>
      </w:r>
      <w:r w:rsidRPr="00382917">
        <w:t>secrecy</w:t>
      </w:r>
      <w:r w:rsidR="00EE4FC3">
        <w:t xml:space="preserve"> </w:t>
      </w:r>
      <w:r w:rsidRPr="00382917">
        <w:t>into</w:t>
      </w:r>
      <w:r w:rsidR="00EE4FC3">
        <w:t xml:space="preserve"> </w:t>
      </w:r>
      <w:r w:rsidRPr="00382917">
        <w:t>the</w:t>
      </w:r>
      <w:r w:rsidR="00EE4FC3">
        <w:t xml:space="preserve"> </w:t>
      </w:r>
      <w:r w:rsidRPr="00382917">
        <w:t>presence</w:t>
      </w:r>
      <w:r w:rsidR="00EE4FC3">
        <w:t xml:space="preserve"> </w:t>
      </w:r>
      <w:r w:rsidRPr="00382917">
        <w:t>of</w:t>
      </w:r>
      <w:r w:rsidR="00EE4FC3">
        <w:t xml:space="preserve"> </w:t>
      </w:r>
      <w:r w:rsidRPr="00382917">
        <w:t>Bahá</w:t>
      </w:r>
      <w:r w:rsidR="009C713D" w:rsidRPr="00382917">
        <w:t>’</w:t>
      </w:r>
      <w:r w:rsidRPr="00382917">
        <w:t>u</w:t>
      </w:r>
      <w:r w:rsidR="009C713D" w:rsidRPr="00382917">
        <w:t>’</w:t>
      </w:r>
      <w:r w:rsidRPr="00382917">
        <w:t>lláh,</w:t>
      </w:r>
      <w:r w:rsidR="00EE4FC3">
        <w:t xml:space="preserve"> </w:t>
      </w:r>
      <w:r w:rsidRPr="00382917">
        <w:t>and</w:t>
      </w:r>
      <w:r w:rsidR="00EE4FC3">
        <w:t xml:space="preserve"> </w:t>
      </w:r>
      <w:r w:rsidRPr="00382917">
        <w:t>shortly</w:t>
      </w:r>
      <w:r w:rsidR="00EE4FC3">
        <w:t xml:space="preserve"> </w:t>
      </w:r>
      <w:r w:rsidRPr="00382917">
        <w:t>after</w:t>
      </w:r>
      <w:r w:rsidR="00EE4FC3">
        <w:t xml:space="preserve"> </w:t>
      </w:r>
      <w:r w:rsidRPr="00382917">
        <w:t>this</w:t>
      </w:r>
      <w:r w:rsidR="00EE4FC3">
        <w:t xml:space="preserve"> </w:t>
      </w:r>
      <w:r w:rsidRPr="00382917">
        <w:t>interview,</w:t>
      </w:r>
      <w:r w:rsidR="00EE4FC3">
        <w:t xml:space="preserve"> </w:t>
      </w:r>
      <w:r w:rsidRPr="00382917">
        <w:t>Mullá</w:t>
      </w:r>
      <w:r w:rsidR="00EE4FC3">
        <w:t xml:space="preserve"> </w:t>
      </w:r>
      <w:r w:rsidR="00964C11" w:rsidRPr="00382917">
        <w:t>Ḥusayn</w:t>
      </w:r>
      <w:r w:rsidR="00EE4FC3">
        <w:t xml:space="preserve"> </w:t>
      </w:r>
      <w:r w:rsidRPr="00382917">
        <w:t>set</w:t>
      </w:r>
      <w:r w:rsidR="00EE4FC3">
        <w:t xml:space="preserve"> </w:t>
      </w:r>
      <w:r w:rsidRPr="00382917">
        <w:t>out</w:t>
      </w:r>
      <w:r w:rsidR="00EE4FC3">
        <w:t xml:space="preserve"> </w:t>
      </w:r>
      <w:r w:rsidRPr="00382917">
        <w:t>for</w:t>
      </w:r>
      <w:r w:rsidR="00EE4FC3">
        <w:t xml:space="preserve"> </w:t>
      </w:r>
      <w:r w:rsidRPr="00382917">
        <w:t>his</w:t>
      </w:r>
      <w:r w:rsidR="00EE4FC3">
        <w:t xml:space="preserve"> </w:t>
      </w:r>
      <w:r w:rsidRPr="00382917">
        <w:t>last</w:t>
      </w:r>
      <w:r w:rsidR="00EE4FC3">
        <w:t xml:space="preserve"> </w:t>
      </w:r>
      <w:r w:rsidRPr="00382917">
        <w:t>visit</w:t>
      </w:r>
      <w:r w:rsidR="00EE4FC3">
        <w:t xml:space="preserve"> </w:t>
      </w:r>
      <w:r w:rsidRPr="00382917">
        <w:t>with</w:t>
      </w:r>
      <w:r w:rsidR="00EE4FC3">
        <w:t xml:space="preserve"> </w:t>
      </w:r>
      <w:r w:rsidRPr="00382917">
        <w:t>the</w:t>
      </w:r>
      <w:r w:rsidR="00EE4FC3">
        <w:t xml:space="preserve"> </w:t>
      </w:r>
      <w:r w:rsidRPr="00382917">
        <w:t>Báb</w:t>
      </w:r>
      <w:r w:rsidR="00330AF7">
        <w:t>.</w:t>
      </w:r>
      <w:r w:rsidR="00EE4FC3">
        <w:t xml:space="preserve">  </w:t>
      </w:r>
      <w:r w:rsidRPr="00382917">
        <w:t>From</w:t>
      </w:r>
      <w:r w:rsidR="00EE4FC3">
        <w:t xml:space="preserve"> </w:t>
      </w:r>
      <w:r w:rsidRPr="00382917">
        <w:t>Máh-Kú,</w:t>
      </w:r>
      <w:r w:rsidR="00EE4FC3">
        <w:t xml:space="preserve"> </w:t>
      </w:r>
      <w:r w:rsidRPr="00382917">
        <w:t>he</w:t>
      </w:r>
      <w:r w:rsidR="00EE4FC3">
        <w:t xml:space="preserve"> </w:t>
      </w:r>
      <w:r w:rsidRPr="00382917">
        <w:t>returned</w:t>
      </w:r>
      <w:r w:rsidR="00EE4FC3">
        <w:t xml:space="preserve"> </w:t>
      </w:r>
      <w:r w:rsidRPr="00382917">
        <w:t>yet</w:t>
      </w:r>
      <w:r w:rsidR="00EE4FC3">
        <w:t xml:space="preserve"> </w:t>
      </w:r>
      <w:r w:rsidRPr="00382917">
        <w:t>another</w:t>
      </w:r>
      <w:r w:rsidR="00EE4FC3">
        <w:t xml:space="preserve"> </w:t>
      </w:r>
      <w:r w:rsidRPr="00382917">
        <w:t>time</w:t>
      </w:r>
      <w:r w:rsidR="00EE4FC3">
        <w:t xml:space="preserve"> </w:t>
      </w:r>
      <w:r w:rsidRPr="00382917">
        <w:t>to</w:t>
      </w:r>
      <w:r w:rsidR="00EE4FC3">
        <w:t xml:space="preserve"> </w:t>
      </w:r>
      <w:r w:rsidRPr="00382917">
        <w:t>the</w:t>
      </w:r>
      <w:r w:rsidR="00EE4FC3">
        <w:t xml:space="preserve"> </w:t>
      </w:r>
      <w:r w:rsidRPr="00382917">
        <w:t>presence</w:t>
      </w:r>
      <w:r w:rsidR="00EE4FC3">
        <w:t xml:space="preserve"> </w:t>
      </w:r>
      <w:r w:rsidRPr="00382917">
        <w:t>of</w:t>
      </w:r>
      <w:r w:rsidR="00EE4FC3">
        <w:t xml:space="preserve"> </w:t>
      </w:r>
      <w:r w:rsidRPr="00382917">
        <w:t>Bahá</w:t>
      </w:r>
      <w:r w:rsidR="009C713D" w:rsidRPr="00382917">
        <w:t>’</w:t>
      </w:r>
      <w:r w:rsidRPr="00382917">
        <w:t>u</w:t>
      </w:r>
      <w:r w:rsidR="009C713D" w:rsidRPr="00382917">
        <w:t>’</w:t>
      </w:r>
      <w:r w:rsidRPr="00382917">
        <w:t>lláh</w:t>
      </w:r>
      <w:r w:rsidR="00330AF7">
        <w:t>.</w:t>
      </w:r>
      <w:r w:rsidR="00EE4FC3">
        <w:t xml:space="preserve">  </w:t>
      </w:r>
      <w:r w:rsidRPr="00382917">
        <w:t>Their</w:t>
      </w:r>
      <w:r w:rsidR="00EE4FC3">
        <w:t xml:space="preserve"> </w:t>
      </w:r>
      <w:r w:rsidRPr="00382917">
        <w:t>last</w:t>
      </w:r>
      <w:r w:rsidR="00EE4FC3">
        <w:t xml:space="preserve"> </w:t>
      </w:r>
      <w:r w:rsidRPr="00382917">
        <w:t>meeting</w:t>
      </w:r>
      <w:r w:rsidR="00EE4FC3">
        <w:t xml:space="preserve"> </w:t>
      </w:r>
      <w:r w:rsidRPr="00382917">
        <w:t>was</w:t>
      </w:r>
      <w:r w:rsidR="00EE4FC3">
        <w:t xml:space="preserve"> </w:t>
      </w:r>
      <w:r w:rsidRPr="00382917">
        <w:t>inside</w:t>
      </w:r>
      <w:r w:rsidR="00EE4FC3">
        <w:t xml:space="preserve"> </w:t>
      </w:r>
      <w:r w:rsidRPr="00382917">
        <w:t>the</w:t>
      </w:r>
      <w:r w:rsidR="00EE4FC3">
        <w:t xml:space="preserve"> </w:t>
      </w:r>
      <w:r w:rsidRPr="00382917">
        <w:t>fort</w:t>
      </w:r>
      <w:r w:rsidR="00EE4FC3">
        <w:t xml:space="preserve"> </w:t>
      </w:r>
      <w:r w:rsidRPr="00382917">
        <w:t>of</w:t>
      </w:r>
      <w:r w:rsidR="00EE4FC3">
        <w:t xml:space="preserve"> </w:t>
      </w:r>
      <w:r w:rsidRPr="00382917">
        <w:t>Ṭabarsí.</w:t>
      </w:r>
    </w:p>
    <w:p w:rsidR="00610ADA" w:rsidRPr="00382917" w:rsidRDefault="00610ADA" w:rsidP="00900F24">
      <w:pPr>
        <w:pStyle w:val="Text"/>
      </w:pPr>
      <w:r w:rsidRPr="00382917">
        <w:t>Quddús</w:t>
      </w:r>
      <w:r w:rsidR="00EE4FC3">
        <w:t xml:space="preserve"> </w:t>
      </w:r>
      <w:r w:rsidRPr="00382917">
        <w:t>also</w:t>
      </w:r>
      <w:r w:rsidR="00EE4FC3">
        <w:t xml:space="preserve"> </w:t>
      </w:r>
      <w:r w:rsidRPr="00382917">
        <w:t>knew</w:t>
      </w:r>
      <w:r w:rsidR="00EE4FC3">
        <w:t xml:space="preserve"> </w:t>
      </w:r>
      <w:r w:rsidRPr="00382917">
        <w:t>the</w:t>
      </w:r>
      <w:r w:rsidR="00EE4FC3">
        <w:t xml:space="preserve"> </w:t>
      </w:r>
      <w:r w:rsidRPr="00382917">
        <w:t>joy</w:t>
      </w:r>
      <w:r w:rsidR="00EE4FC3">
        <w:t xml:space="preserve"> </w:t>
      </w:r>
      <w:r w:rsidRPr="00382917">
        <w:t>of</w:t>
      </w:r>
      <w:r w:rsidR="00EE4FC3">
        <w:t xml:space="preserve"> </w:t>
      </w:r>
      <w:r w:rsidRPr="00382917">
        <w:t>meeting</w:t>
      </w:r>
      <w:r w:rsidR="00EE4FC3">
        <w:t xml:space="preserve"> </w:t>
      </w:r>
      <w:r w:rsidRPr="00382917">
        <w:t>Bahá</w:t>
      </w:r>
      <w:r w:rsidR="009C713D" w:rsidRPr="00382917">
        <w:t>’</w:t>
      </w:r>
      <w:r w:rsidRPr="00382917">
        <w:t>u</w:t>
      </w:r>
      <w:r w:rsidR="009C713D" w:rsidRPr="00382917">
        <w:t>’</w:t>
      </w:r>
      <w:r w:rsidRPr="00382917">
        <w:t>lláh</w:t>
      </w:r>
      <w:r w:rsidR="00330AF7">
        <w:t>.</w:t>
      </w:r>
      <w:r w:rsidR="00EE4FC3">
        <w:t xml:space="preserve">  </w:t>
      </w:r>
      <w:r w:rsidRPr="00382917">
        <w:t>When</w:t>
      </w:r>
      <w:r w:rsidR="00EE4FC3">
        <w:t xml:space="preserve"> </w:t>
      </w:r>
      <w:r w:rsidRPr="00382917">
        <w:t>the</w:t>
      </w:r>
      <w:r w:rsidR="00EE4FC3">
        <w:t xml:space="preserve"> </w:t>
      </w:r>
      <w:r w:rsidRPr="00382917">
        <w:t>Báb</w:t>
      </w:r>
      <w:r w:rsidR="00EE4FC3">
        <w:t xml:space="preserve"> </w:t>
      </w:r>
      <w:r w:rsidRPr="00382917">
        <w:t>and</w:t>
      </w:r>
      <w:r w:rsidR="00EE4FC3">
        <w:t xml:space="preserve"> </w:t>
      </w:r>
      <w:r w:rsidRPr="00382917">
        <w:t>Quddús</w:t>
      </w:r>
      <w:r w:rsidR="00EE4FC3">
        <w:t xml:space="preserve"> </w:t>
      </w:r>
      <w:r w:rsidRPr="00382917">
        <w:t>returned</w:t>
      </w:r>
      <w:r w:rsidR="00EE4FC3">
        <w:t xml:space="preserve"> </w:t>
      </w:r>
      <w:r w:rsidRPr="00382917">
        <w:t>from</w:t>
      </w:r>
      <w:r w:rsidR="00EE4FC3">
        <w:t xml:space="preserve"> </w:t>
      </w:r>
      <w:r w:rsidRPr="00382917">
        <w:t>Medina</w:t>
      </w:r>
      <w:r w:rsidR="00EE4FC3">
        <w:t xml:space="preserve"> </w:t>
      </w:r>
      <w:r w:rsidRPr="00382917">
        <w:t>to</w:t>
      </w:r>
      <w:r w:rsidR="00EE4FC3">
        <w:t xml:space="preserve"> </w:t>
      </w:r>
      <w:r w:rsidR="00CE7A86" w:rsidRPr="00382917">
        <w:t>Bú</w:t>
      </w:r>
      <w:r w:rsidR="00CE7A86" w:rsidRPr="00CE7A86">
        <w:rPr>
          <w:u w:val="single"/>
        </w:rPr>
        <w:t>sh</w:t>
      </w:r>
      <w:r w:rsidR="00CE7A86" w:rsidRPr="00382917">
        <w:t>ihr</w:t>
      </w:r>
      <w:r w:rsidRPr="00382917">
        <w:t>,</w:t>
      </w:r>
      <w:r w:rsidR="00EE4FC3">
        <w:t xml:space="preserve"> </w:t>
      </w:r>
      <w:r w:rsidRPr="00382917">
        <w:t>the</w:t>
      </w:r>
      <w:r w:rsidR="00EE4FC3">
        <w:t xml:space="preserve"> </w:t>
      </w:r>
      <w:r w:rsidRPr="00382917">
        <w:t>Báb</w:t>
      </w:r>
      <w:r w:rsidR="00EE4FC3">
        <w:t xml:space="preserve"> </w:t>
      </w:r>
      <w:r w:rsidRPr="00382917">
        <w:t>sent</w:t>
      </w:r>
      <w:r w:rsidR="00EE4FC3">
        <w:t xml:space="preserve"> </w:t>
      </w:r>
      <w:r w:rsidRPr="00382917">
        <w:t>Quddús</w:t>
      </w:r>
      <w:r w:rsidR="00EE4FC3">
        <w:t xml:space="preserve"> </w:t>
      </w:r>
      <w:r w:rsidRPr="00382917">
        <w:t>to</w:t>
      </w:r>
      <w:r w:rsidR="00EE4FC3">
        <w:t xml:space="preserve"> </w:t>
      </w:r>
      <w:r w:rsidR="008A073E" w:rsidRPr="00382917">
        <w:rPr>
          <w:u w:val="single"/>
        </w:rPr>
        <w:t>Sh</w:t>
      </w:r>
      <w:r w:rsidR="008A073E" w:rsidRPr="00382917">
        <w:t>íráz</w:t>
      </w:r>
      <w:r w:rsidR="00330AF7">
        <w:t>.</w:t>
      </w:r>
      <w:r w:rsidR="00EE4FC3">
        <w:t xml:space="preserve">  </w:t>
      </w:r>
      <w:r w:rsidRPr="00382917">
        <w:t>He</w:t>
      </w:r>
      <w:r w:rsidR="00EE4FC3">
        <w:t xml:space="preserve"> </w:t>
      </w:r>
      <w:r w:rsidRPr="00382917">
        <w:t>said</w:t>
      </w:r>
      <w:r w:rsidR="00EE4FC3">
        <w:t xml:space="preserve"> </w:t>
      </w:r>
      <w:r w:rsidRPr="00382917">
        <w:t>to</w:t>
      </w:r>
      <w:r w:rsidR="00EE4FC3">
        <w:t xml:space="preserve"> </w:t>
      </w:r>
      <w:r w:rsidRPr="00382917">
        <w:t>him</w:t>
      </w:r>
      <w:r w:rsidR="00EE4FC3">
        <w:t xml:space="preserve"> </w:t>
      </w:r>
      <w:r w:rsidRPr="00382917">
        <w:t>in</w:t>
      </w:r>
      <w:r w:rsidR="00EE4FC3">
        <w:t xml:space="preserve"> </w:t>
      </w:r>
      <w:r w:rsidRPr="00382917">
        <w:t>parting</w:t>
      </w:r>
      <w:r w:rsidR="00C03C91">
        <w:t>:</w:t>
      </w:r>
      <w:r w:rsidR="00EE4FC3">
        <w:t xml:space="preserve">  </w:t>
      </w:r>
      <w:r w:rsidR="009C713D" w:rsidRPr="00382917">
        <w:t>“</w:t>
      </w:r>
      <w:r w:rsidRPr="00382917">
        <w:t>In</w:t>
      </w:r>
      <w:r w:rsidR="00EE4FC3">
        <w:t xml:space="preserve"> </w:t>
      </w:r>
      <w:r w:rsidRPr="00382917">
        <w:t>the</w:t>
      </w:r>
      <w:r w:rsidR="00EE4FC3">
        <w:t xml:space="preserve"> </w:t>
      </w:r>
      <w:r w:rsidRPr="00382917">
        <w:t>streets</w:t>
      </w:r>
      <w:r w:rsidR="00EE4FC3">
        <w:t xml:space="preserve"> </w:t>
      </w:r>
      <w:r w:rsidRPr="00382917">
        <w:t>of</w:t>
      </w:r>
      <w:r w:rsidR="00EE4FC3">
        <w:t xml:space="preserve"> </w:t>
      </w:r>
      <w:r w:rsidR="008A073E" w:rsidRPr="00382917">
        <w:rPr>
          <w:u w:val="single"/>
        </w:rPr>
        <w:t>Sh</w:t>
      </w:r>
      <w:r w:rsidR="008A073E" w:rsidRPr="00382917">
        <w:t>íráz</w:t>
      </w:r>
      <w:r w:rsidR="00EE4FC3">
        <w:t xml:space="preserve"> </w:t>
      </w:r>
      <w:r w:rsidRPr="00382917">
        <w:t>indignities</w:t>
      </w:r>
      <w:r w:rsidR="00EE4FC3">
        <w:t xml:space="preserve"> </w:t>
      </w:r>
      <w:r w:rsidRPr="00382917">
        <w:t>will</w:t>
      </w:r>
      <w:r w:rsidR="00EE4FC3">
        <w:t xml:space="preserve"> </w:t>
      </w:r>
      <w:r w:rsidRPr="00382917">
        <w:t>be</w:t>
      </w:r>
      <w:r w:rsidR="00EE4FC3">
        <w:t xml:space="preserve"> </w:t>
      </w:r>
      <w:r w:rsidRPr="00382917">
        <w:t>heaped</w:t>
      </w:r>
      <w:r w:rsidR="00EE4FC3">
        <w:t xml:space="preserve"> </w:t>
      </w:r>
      <w:r w:rsidRPr="00382917">
        <w:t>upon</w:t>
      </w:r>
      <w:r w:rsidR="00EE4FC3">
        <w:t xml:space="preserve"> </w:t>
      </w:r>
      <w:r w:rsidRPr="00382917">
        <w:t>you</w:t>
      </w:r>
      <w:r w:rsidR="00EE4FC3">
        <w:t xml:space="preserve"> </w:t>
      </w:r>
      <w:r w:rsidR="00F04416" w:rsidRPr="00382917">
        <w:t>…</w:t>
      </w:r>
      <w:r w:rsidR="00EE4FC3">
        <w:t xml:space="preserve"> </w:t>
      </w:r>
      <w:r w:rsidRPr="00382917">
        <w:t>you</w:t>
      </w:r>
      <w:r w:rsidR="00EE4FC3">
        <w:t xml:space="preserve"> </w:t>
      </w:r>
      <w:r w:rsidRPr="00382917">
        <w:t>will</w:t>
      </w:r>
      <w:r w:rsidR="00EE4FC3">
        <w:t xml:space="preserve"> </w:t>
      </w:r>
      <w:proofErr w:type="gramStart"/>
      <w:r w:rsidRPr="00382917">
        <w:t>survive,</w:t>
      </w:r>
      <w:r w:rsidR="00EE4FC3">
        <w:t xml:space="preserve"> </w:t>
      </w:r>
      <w:r w:rsidR="00F04416" w:rsidRPr="00382917">
        <w:t>…</w:t>
      </w:r>
      <w:proofErr w:type="gramEnd"/>
      <w:r w:rsidR="00EE4FC3">
        <w:t xml:space="preserve"> </w:t>
      </w:r>
      <w:r w:rsidRPr="00382917">
        <w:t>and</w:t>
      </w:r>
      <w:r w:rsidR="00EE4FC3">
        <w:t xml:space="preserve"> </w:t>
      </w:r>
      <w:r w:rsidRPr="00382917">
        <w:t>will</w:t>
      </w:r>
      <w:r w:rsidR="00EE4FC3">
        <w:t xml:space="preserve"> </w:t>
      </w:r>
      <w:r w:rsidRPr="00382917">
        <w:t>attain</w:t>
      </w:r>
      <w:r w:rsidR="00EE4FC3">
        <w:t xml:space="preserve"> </w:t>
      </w:r>
      <w:r w:rsidRPr="00382917">
        <w:t>the</w:t>
      </w:r>
      <w:r w:rsidR="00EE4FC3">
        <w:t xml:space="preserve"> </w:t>
      </w:r>
      <w:r w:rsidRPr="00382917">
        <w:t>presence</w:t>
      </w:r>
      <w:r w:rsidR="00EE4FC3">
        <w:t xml:space="preserve"> </w:t>
      </w:r>
      <w:r w:rsidRPr="00382917">
        <w:t>of</w:t>
      </w:r>
      <w:r w:rsidR="00EE4FC3">
        <w:t xml:space="preserve"> </w:t>
      </w:r>
      <w:r w:rsidRPr="00382917">
        <w:t>Him</w:t>
      </w:r>
      <w:r w:rsidR="00EE4FC3">
        <w:t xml:space="preserve"> </w:t>
      </w:r>
      <w:r w:rsidRPr="00382917">
        <w:t>Who</w:t>
      </w:r>
      <w:r w:rsidR="00EE4FC3">
        <w:t xml:space="preserve"> </w:t>
      </w:r>
      <w:r w:rsidRPr="00382917">
        <w:t>is</w:t>
      </w:r>
      <w:r w:rsidR="00EE4FC3">
        <w:t xml:space="preserve"> </w:t>
      </w:r>
      <w:r w:rsidRPr="00382917">
        <w:t>the</w:t>
      </w:r>
      <w:r w:rsidR="00EE4FC3">
        <w:t xml:space="preserve"> </w:t>
      </w:r>
      <w:r w:rsidRPr="00382917">
        <w:t>object</w:t>
      </w:r>
      <w:r w:rsidR="00EE4FC3">
        <w:t xml:space="preserve"> </w:t>
      </w:r>
      <w:r w:rsidRPr="00382917">
        <w:t>of</w:t>
      </w:r>
      <w:r w:rsidR="00EE4FC3">
        <w:t xml:space="preserve"> </w:t>
      </w:r>
      <w:r w:rsidRPr="00382917">
        <w:t>our</w:t>
      </w:r>
      <w:r w:rsidR="00EE4FC3">
        <w:t xml:space="preserve"> </w:t>
      </w:r>
      <w:r w:rsidRPr="00382917">
        <w:t>adoration</w:t>
      </w:r>
      <w:r w:rsidR="00EE4FC3">
        <w:t xml:space="preserve"> </w:t>
      </w:r>
      <w:r w:rsidRPr="00382917">
        <w:t>and</w:t>
      </w:r>
      <w:r w:rsidR="00EE4FC3">
        <w:t xml:space="preserve"> </w:t>
      </w:r>
      <w:r w:rsidRPr="00382917">
        <w:t>love</w:t>
      </w:r>
      <w:r w:rsidR="00330AF7">
        <w:t>.</w:t>
      </w:r>
      <w:r w:rsidR="00EE4FC3">
        <w:t xml:space="preserve">  </w:t>
      </w:r>
      <w:r w:rsidRPr="00382917">
        <w:t>In</w:t>
      </w:r>
      <w:r w:rsidR="00EE4FC3">
        <w:t xml:space="preserve"> </w:t>
      </w:r>
      <w:r w:rsidRPr="00382917">
        <w:t>His</w:t>
      </w:r>
      <w:r w:rsidR="00EE4FC3">
        <w:t xml:space="preserve"> </w:t>
      </w:r>
      <w:r w:rsidRPr="00382917">
        <w:t>presence</w:t>
      </w:r>
      <w:r w:rsidR="00EE4FC3">
        <w:t xml:space="preserve"> </w:t>
      </w:r>
      <w:r w:rsidRPr="00382917">
        <w:t>you</w:t>
      </w:r>
      <w:r w:rsidR="00EE4FC3">
        <w:t xml:space="preserve"> </w:t>
      </w:r>
      <w:r w:rsidRPr="00382917">
        <w:t>will</w:t>
      </w:r>
      <w:r w:rsidR="00EE4FC3">
        <w:t xml:space="preserve"> </w:t>
      </w:r>
      <w:r w:rsidRPr="00382917">
        <w:t>forget</w:t>
      </w:r>
      <w:r w:rsidR="00EE4FC3">
        <w:t xml:space="preserve"> </w:t>
      </w:r>
      <w:r w:rsidRPr="00382917">
        <w:t>all</w:t>
      </w:r>
      <w:r w:rsidR="00EE4FC3">
        <w:t xml:space="preserve"> </w:t>
      </w:r>
      <w:r w:rsidRPr="00382917">
        <w:t>the</w:t>
      </w:r>
      <w:r w:rsidR="00EE4FC3">
        <w:t xml:space="preserve"> </w:t>
      </w:r>
      <w:r w:rsidRPr="00382917">
        <w:t>harm</w:t>
      </w:r>
      <w:r w:rsidR="00EE4FC3">
        <w:t xml:space="preserve"> </w:t>
      </w:r>
      <w:r w:rsidRPr="00382917">
        <w:t>and</w:t>
      </w:r>
      <w:r w:rsidR="00EE4FC3">
        <w:t xml:space="preserve"> </w:t>
      </w:r>
      <w:r w:rsidRPr="00382917">
        <w:t>disgrace</w:t>
      </w:r>
      <w:r w:rsidR="00EE4FC3">
        <w:t xml:space="preserve"> </w:t>
      </w:r>
      <w:r w:rsidRPr="00382917">
        <w:t>that</w:t>
      </w:r>
      <w:r w:rsidR="00EE4FC3">
        <w:t xml:space="preserve"> </w:t>
      </w:r>
      <w:r w:rsidRPr="00382917">
        <w:t>shall</w:t>
      </w:r>
      <w:r w:rsidR="00EE4FC3">
        <w:t xml:space="preserve"> </w:t>
      </w:r>
      <w:r w:rsidRPr="00382917">
        <w:t>have</w:t>
      </w:r>
      <w:r w:rsidR="00EE4FC3">
        <w:t xml:space="preserve"> </w:t>
      </w:r>
      <w:r w:rsidRPr="00382917">
        <w:t>befallen</w:t>
      </w:r>
      <w:r w:rsidR="00EE4FC3">
        <w:t xml:space="preserve"> </w:t>
      </w:r>
      <w:r w:rsidRPr="00382917">
        <w:t>you.</w:t>
      </w:r>
      <w:r w:rsidR="009C713D" w:rsidRPr="00382917">
        <w:t>”</w:t>
      </w:r>
    </w:p>
    <w:p w:rsidR="00610ADA" w:rsidRPr="00382917" w:rsidRDefault="00610ADA" w:rsidP="00900F24">
      <w:pPr>
        <w:pStyle w:val="Text"/>
      </w:pPr>
      <w:r w:rsidRPr="00382917">
        <w:t>Quddús</w:t>
      </w:r>
      <w:r w:rsidR="00EE4FC3">
        <w:t xml:space="preserve"> </w:t>
      </w:r>
      <w:r w:rsidRPr="00382917">
        <w:t>suffered</w:t>
      </w:r>
      <w:r w:rsidR="00EE4FC3">
        <w:t xml:space="preserve"> </w:t>
      </w:r>
      <w:r w:rsidRPr="00382917">
        <w:t>greatly</w:t>
      </w:r>
      <w:r w:rsidR="00EE4FC3">
        <w:t xml:space="preserve"> </w:t>
      </w:r>
      <w:r w:rsidRPr="00382917">
        <w:t>in</w:t>
      </w:r>
      <w:r w:rsidR="00EE4FC3">
        <w:t xml:space="preserve"> </w:t>
      </w:r>
      <w:r w:rsidR="008A073E" w:rsidRPr="00382917">
        <w:rPr>
          <w:u w:val="single"/>
        </w:rPr>
        <w:t>Sh</w:t>
      </w:r>
      <w:r w:rsidR="008A073E" w:rsidRPr="00382917">
        <w:t>íráz</w:t>
      </w:r>
      <w:r w:rsidRPr="00382917">
        <w:t>,</w:t>
      </w:r>
      <w:r w:rsidR="00EE4FC3">
        <w:t xml:space="preserve"> </w:t>
      </w:r>
      <w:r w:rsidRPr="00382917">
        <w:t>from</w:t>
      </w:r>
      <w:r w:rsidR="00EE4FC3">
        <w:t xml:space="preserve"> </w:t>
      </w:r>
      <w:r w:rsidRPr="00382917">
        <w:t>there</w:t>
      </w:r>
      <w:r w:rsidR="00EE4FC3">
        <w:t xml:space="preserve"> </w:t>
      </w:r>
      <w:r w:rsidRPr="00382917">
        <w:t>he</w:t>
      </w:r>
      <w:r w:rsidR="00EE4FC3">
        <w:t xml:space="preserve"> </w:t>
      </w:r>
      <w:r w:rsidRPr="00382917">
        <w:t>went</w:t>
      </w:r>
      <w:r w:rsidR="00EE4FC3">
        <w:t xml:space="preserve"> </w:t>
      </w:r>
      <w:r w:rsidRPr="00382917">
        <w:t>to</w:t>
      </w:r>
      <w:r w:rsidR="00EE4FC3">
        <w:t xml:space="preserve"> </w:t>
      </w:r>
      <w:r w:rsidRPr="00382917">
        <w:t>Ṭihrán</w:t>
      </w:r>
      <w:r w:rsidR="00EE4FC3">
        <w:t xml:space="preserve"> </w:t>
      </w:r>
      <w:r w:rsidRPr="00382917">
        <w:t>where</w:t>
      </w:r>
      <w:r w:rsidR="00EE4FC3">
        <w:t xml:space="preserve"> </w:t>
      </w:r>
      <w:r w:rsidRPr="00382917">
        <w:t>he</w:t>
      </w:r>
      <w:r w:rsidR="00EE4FC3">
        <w:t xml:space="preserve"> </w:t>
      </w:r>
      <w:r w:rsidRPr="00382917">
        <w:t>was</w:t>
      </w:r>
      <w:r w:rsidR="00EE4FC3">
        <w:t xml:space="preserve"> </w:t>
      </w:r>
      <w:r w:rsidRPr="00382917">
        <w:t>admitted</w:t>
      </w:r>
      <w:r w:rsidR="00EE4FC3">
        <w:t xml:space="preserve"> </w:t>
      </w:r>
      <w:r w:rsidRPr="00382917">
        <w:t>into</w:t>
      </w:r>
      <w:r w:rsidR="00EE4FC3">
        <w:t xml:space="preserve"> </w:t>
      </w:r>
      <w:r w:rsidRPr="00382917">
        <w:t>the</w:t>
      </w:r>
      <w:r w:rsidR="00EE4FC3">
        <w:t xml:space="preserve"> </w:t>
      </w:r>
      <w:r w:rsidRPr="00382917">
        <w:t>presence</w:t>
      </w:r>
      <w:r w:rsidR="00EE4FC3">
        <w:t xml:space="preserve"> </w:t>
      </w:r>
      <w:r w:rsidRPr="00382917">
        <w:t>of</w:t>
      </w:r>
      <w:r w:rsidR="00EE4FC3">
        <w:t xml:space="preserve"> </w:t>
      </w:r>
      <w:r w:rsidRPr="00382917">
        <w:t>Bahá</w:t>
      </w:r>
      <w:r w:rsidR="009C713D" w:rsidRPr="00382917">
        <w:t>’</w:t>
      </w:r>
      <w:r w:rsidRPr="00382917">
        <w:t>u</w:t>
      </w:r>
      <w:r w:rsidR="009C713D" w:rsidRPr="00382917">
        <w:t>’</w:t>
      </w:r>
      <w:r w:rsidRPr="00382917">
        <w:t>lláh,</w:t>
      </w:r>
      <w:r w:rsidR="00EE4FC3">
        <w:t xml:space="preserve"> </w:t>
      </w:r>
      <w:r w:rsidRPr="00382917">
        <w:t>and</w:t>
      </w:r>
      <w:r w:rsidR="00EE4FC3">
        <w:t xml:space="preserve"> </w:t>
      </w:r>
      <w:r w:rsidRPr="00382917">
        <w:t>all</w:t>
      </w:r>
      <w:r w:rsidR="00EE4FC3">
        <w:t xml:space="preserve"> </w:t>
      </w:r>
      <w:r w:rsidRPr="00382917">
        <w:t>of</w:t>
      </w:r>
      <w:r w:rsidR="00EE4FC3">
        <w:t xml:space="preserve"> </w:t>
      </w:r>
      <w:r w:rsidRPr="00382917">
        <w:t>the</w:t>
      </w:r>
      <w:r w:rsidR="00EE4FC3">
        <w:t xml:space="preserve"> </w:t>
      </w:r>
      <w:r w:rsidRPr="00382917">
        <w:t>Báb</w:t>
      </w:r>
      <w:r w:rsidR="009C713D" w:rsidRPr="00382917">
        <w:t>’</w:t>
      </w:r>
      <w:r w:rsidRPr="00382917">
        <w:t>s</w:t>
      </w:r>
      <w:r w:rsidR="00EE4FC3">
        <w:t xml:space="preserve"> </w:t>
      </w:r>
      <w:r w:rsidRPr="00382917">
        <w:t>promises</w:t>
      </w:r>
      <w:r w:rsidR="00EE4FC3">
        <w:t xml:space="preserve"> </w:t>
      </w:r>
      <w:r w:rsidRPr="00382917">
        <w:t>came</w:t>
      </w:r>
      <w:r w:rsidR="00EE4FC3">
        <w:t xml:space="preserve"> </w:t>
      </w:r>
      <w:r w:rsidRPr="00382917">
        <w:t>true.</w:t>
      </w:r>
    </w:p>
    <w:p w:rsidR="00E13D49" w:rsidRPr="00382917" w:rsidRDefault="00610ADA" w:rsidP="0053201C">
      <w:pPr>
        <w:pStyle w:val="Text"/>
      </w:pPr>
      <w:r w:rsidRPr="00382917">
        <w:t>Quddús</w:t>
      </w:r>
      <w:r w:rsidR="00EE4FC3">
        <w:t xml:space="preserve"> </w:t>
      </w:r>
      <w:r w:rsidRPr="00382917">
        <w:t>and</w:t>
      </w:r>
      <w:r w:rsidR="00EE4FC3">
        <w:t xml:space="preserve"> </w:t>
      </w:r>
      <w:r w:rsidRPr="00382917">
        <w:t>Bahá</w:t>
      </w:r>
      <w:r w:rsidR="009C713D" w:rsidRPr="00382917">
        <w:t>’</w:t>
      </w:r>
      <w:r w:rsidRPr="00382917">
        <w:t>u</w:t>
      </w:r>
      <w:r w:rsidR="009C713D" w:rsidRPr="00382917">
        <w:t>’</w:t>
      </w:r>
      <w:r w:rsidRPr="00382917">
        <w:t>lláh</w:t>
      </w:r>
      <w:r w:rsidR="00EE4FC3">
        <w:t xml:space="preserve"> </w:t>
      </w:r>
      <w:r w:rsidRPr="00382917">
        <w:t>met</w:t>
      </w:r>
      <w:r w:rsidR="00EE4FC3">
        <w:t xml:space="preserve"> </w:t>
      </w:r>
      <w:r w:rsidRPr="00382917">
        <w:t>again</w:t>
      </w:r>
      <w:r w:rsidR="00EE4FC3">
        <w:t xml:space="preserve"> </w:t>
      </w:r>
      <w:r w:rsidRPr="00382917">
        <w:t>at</w:t>
      </w:r>
      <w:r w:rsidR="00EE4FC3">
        <w:t xml:space="preserve"> </w:t>
      </w:r>
      <w:r w:rsidRPr="00382917">
        <w:t>the</w:t>
      </w:r>
      <w:r w:rsidR="00EE4FC3">
        <w:t xml:space="preserve"> </w:t>
      </w:r>
      <w:r w:rsidRPr="00382917">
        <w:t>conference</w:t>
      </w:r>
      <w:r w:rsidR="00EE4FC3">
        <w:t xml:space="preserve"> </w:t>
      </w:r>
      <w:r w:rsidRPr="00382917">
        <w:t>of</w:t>
      </w:r>
      <w:r w:rsidR="00EE4FC3">
        <w:t xml:space="preserve"> </w:t>
      </w:r>
      <w:r w:rsidR="00330AF7" w:rsidRPr="00382917">
        <w:t>Bada</w:t>
      </w:r>
      <w:r w:rsidR="00330AF7" w:rsidRPr="00330AF7">
        <w:rPr>
          <w:u w:val="single"/>
        </w:rPr>
        <w:t>sh</w:t>
      </w:r>
      <w:r w:rsidR="00330AF7" w:rsidRPr="00382917">
        <w:t>t</w:t>
      </w:r>
      <w:r w:rsidR="00330AF7">
        <w:t>.</w:t>
      </w:r>
      <w:r w:rsidR="00EE4FC3">
        <w:t xml:space="preserve">  </w:t>
      </w:r>
      <w:r w:rsidRPr="00382917">
        <w:t>When</w:t>
      </w:r>
      <w:r w:rsidR="00EE4FC3">
        <w:t xml:space="preserve"> </w:t>
      </w:r>
      <w:r w:rsidRPr="00382917">
        <w:t>Bahá</w:t>
      </w:r>
      <w:r w:rsidR="009C713D" w:rsidRPr="00382917">
        <w:t>’</w:t>
      </w:r>
      <w:r w:rsidRPr="00382917">
        <w:t>u</w:t>
      </w:r>
      <w:r w:rsidR="009C713D" w:rsidRPr="00382917">
        <w:t>’</w:t>
      </w:r>
      <w:r w:rsidRPr="00382917">
        <w:t>lláh</w:t>
      </w:r>
      <w:r w:rsidR="00EE4FC3">
        <w:t xml:space="preserve"> </w:t>
      </w:r>
      <w:r w:rsidRPr="00382917">
        <w:t>was</w:t>
      </w:r>
      <w:r w:rsidR="00EE4FC3">
        <w:t xml:space="preserve"> </w:t>
      </w:r>
      <w:r w:rsidRPr="00382917">
        <w:t>informed</w:t>
      </w:r>
      <w:r w:rsidR="00EE4FC3">
        <w:t xml:space="preserve"> </w:t>
      </w:r>
      <w:r w:rsidRPr="00382917">
        <w:t>of</w:t>
      </w:r>
      <w:r w:rsidR="00EE4FC3">
        <w:t xml:space="preserve"> </w:t>
      </w:r>
      <w:r w:rsidRPr="00382917">
        <w:t>the</w:t>
      </w:r>
      <w:r w:rsidR="00EE4FC3">
        <w:t xml:space="preserve"> </w:t>
      </w:r>
      <w:r w:rsidRPr="00382917">
        <w:t>arrival</w:t>
      </w:r>
      <w:r w:rsidR="00EE4FC3">
        <w:t xml:space="preserve"> </w:t>
      </w:r>
      <w:r w:rsidRPr="00382917">
        <w:t>of</w:t>
      </w:r>
      <w:r w:rsidR="00EE4FC3">
        <w:t xml:space="preserve"> </w:t>
      </w:r>
      <w:r w:rsidRPr="00382917">
        <w:t>Quddús</w:t>
      </w:r>
      <w:r w:rsidR="00EE4FC3">
        <w:t xml:space="preserve"> </w:t>
      </w:r>
      <w:r w:rsidRPr="00382917">
        <w:t>at</w:t>
      </w:r>
      <w:r w:rsidR="00EE4FC3">
        <w:t xml:space="preserve"> </w:t>
      </w:r>
      <w:r w:rsidRPr="00382917">
        <w:t>a</w:t>
      </w:r>
      <w:r w:rsidR="00EE4FC3">
        <w:t xml:space="preserve"> </w:t>
      </w:r>
      <w:r w:rsidRPr="00382917">
        <w:t>town</w:t>
      </w:r>
      <w:r w:rsidR="00EE4FC3">
        <w:t xml:space="preserve"> </w:t>
      </w:r>
      <w:r w:rsidRPr="00382917">
        <w:t>near</w:t>
      </w:r>
      <w:r w:rsidR="00EE4FC3">
        <w:t xml:space="preserve"> </w:t>
      </w:r>
      <w:r w:rsidR="00330AF7" w:rsidRPr="00382917">
        <w:t>Bada</w:t>
      </w:r>
      <w:r w:rsidR="00330AF7" w:rsidRPr="00330AF7">
        <w:rPr>
          <w:u w:val="single"/>
        </w:rPr>
        <w:t>sh</w:t>
      </w:r>
      <w:r w:rsidR="00330AF7" w:rsidRPr="00382917">
        <w:t>t</w:t>
      </w:r>
      <w:r w:rsidRPr="00382917">
        <w:t>,</w:t>
      </w:r>
      <w:r w:rsidR="00EE4FC3">
        <w:t xml:space="preserve"> </w:t>
      </w:r>
      <w:r w:rsidRPr="00382917">
        <w:t>He</w:t>
      </w:r>
      <w:r w:rsidR="00EE4FC3">
        <w:t xml:space="preserve"> </w:t>
      </w:r>
      <w:r w:rsidRPr="00382917">
        <w:t>set</w:t>
      </w:r>
      <w:r w:rsidR="00EE4FC3">
        <w:t xml:space="preserve"> </w:t>
      </w:r>
      <w:r w:rsidRPr="00382917">
        <w:t>out</w:t>
      </w:r>
      <w:r w:rsidR="00EE4FC3">
        <w:t xml:space="preserve"> </w:t>
      </w:r>
      <w:r w:rsidRPr="00382917">
        <w:t>on</w:t>
      </w:r>
      <w:r w:rsidR="00EE4FC3">
        <w:t xml:space="preserve"> </w:t>
      </w:r>
      <w:r w:rsidRPr="00382917">
        <w:t>horseback</w:t>
      </w:r>
      <w:r w:rsidR="00EE4FC3">
        <w:t xml:space="preserve"> </w:t>
      </w:r>
      <w:r w:rsidRPr="00382917">
        <w:t>to</w:t>
      </w:r>
      <w:r w:rsidR="00EE4FC3">
        <w:t xml:space="preserve"> </w:t>
      </w:r>
      <w:r w:rsidRPr="00382917">
        <w:t>meet</w:t>
      </w:r>
      <w:r w:rsidR="00EE4FC3">
        <w:t xml:space="preserve"> </w:t>
      </w:r>
      <w:r w:rsidRPr="00382917">
        <w:t>him</w:t>
      </w:r>
      <w:r w:rsidR="00330AF7">
        <w:t>.</w:t>
      </w:r>
      <w:r w:rsidR="00EE4FC3">
        <w:t xml:space="preserve">  </w:t>
      </w:r>
      <w:r w:rsidRPr="00382917">
        <w:t>They</w:t>
      </w:r>
      <w:r w:rsidR="00EE4FC3">
        <w:t xml:space="preserve"> </w:t>
      </w:r>
      <w:r w:rsidRPr="00382917">
        <w:t>returned</w:t>
      </w:r>
      <w:r w:rsidR="00EE4FC3">
        <w:t xml:space="preserve"> </w:t>
      </w:r>
      <w:r w:rsidRPr="00382917">
        <w:t>to</w:t>
      </w:r>
      <w:r w:rsidR="00EE4FC3">
        <w:t xml:space="preserve"> </w:t>
      </w:r>
      <w:r w:rsidR="00330AF7" w:rsidRPr="00382917">
        <w:t>Bada</w:t>
      </w:r>
      <w:r w:rsidR="00330AF7" w:rsidRPr="00330AF7">
        <w:rPr>
          <w:u w:val="single"/>
        </w:rPr>
        <w:t>sh</w:t>
      </w:r>
      <w:r w:rsidR="00330AF7" w:rsidRPr="00382917">
        <w:t>t</w:t>
      </w:r>
      <w:r w:rsidR="00EE4FC3">
        <w:t xml:space="preserve"> </w:t>
      </w:r>
      <w:r w:rsidRPr="00382917">
        <w:t>together</w:t>
      </w:r>
      <w:r w:rsidR="00EE4FC3">
        <w:t xml:space="preserve"> </w:t>
      </w:r>
      <w:r w:rsidRPr="00382917">
        <w:t>the</w:t>
      </w:r>
      <w:r w:rsidR="00EE4FC3">
        <w:t xml:space="preserve"> </w:t>
      </w:r>
      <w:r w:rsidRPr="00382917">
        <w:t>next</w:t>
      </w:r>
      <w:r w:rsidR="00EE4FC3">
        <w:t xml:space="preserve"> </w:t>
      </w:r>
      <w:r w:rsidRPr="00382917">
        <w:t>morning</w:t>
      </w:r>
      <w:r w:rsidR="00EE4FC3">
        <w:t xml:space="preserve"> </w:t>
      </w:r>
      <w:r w:rsidRPr="00382917">
        <w:t>at</w:t>
      </w:r>
      <w:r w:rsidR="00EE4FC3">
        <w:t xml:space="preserve"> </w:t>
      </w:r>
      <w:r w:rsidRPr="00382917">
        <w:t>sunrise.</w:t>
      </w:r>
      <w:r w:rsidR="0053201C">
        <w:rPr>
          <w:rStyle w:val="FootnoteReference"/>
        </w:rPr>
        <w:footnoteReference w:id="208"/>
      </w:r>
    </w:p>
    <w:p w:rsidR="00610ADA" w:rsidRPr="00382917" w:rsidRDefault="00610ADA" w:rsidP="00900F24">
      <w:pPr>
        <w:pStyle w:val="Text"/>
      </w:pPr>
      <w:r w:rsidRPr="00382917">
        <w:t>Shortly</w:t>
      </w:r>
      <w:r w:rsidR="00EE4FC3">
        <w:t xml:space="preserve"> </w:t>
      </w:r>
      <w:r w:rsidRPr="00382917">
        <w:t>after</w:t>
      </w:r>
      <w:r w:rsidR="00EE4FC3">
        <w:t xml:space="preserve"> </w:t>
      </w:r>
      <w:r w:rsidRPr="00382917">
        <w:t>this</w:t>
      </w:r>
      <w:r w:rsidR="00EE4FC3">
        <w:t xml:space="preserve"> </w:t>
      </w:r>
      <w:r w:rsidRPr="00382917">
        <w:t>conference</w:t>
      </w:r>
      <w:r w:rsidR="00EE4FC3">
        <w:t xml:space="preserve"> </w:t>
      </w:r>
      <w:r w:rsidRPr="00382917">
        <w:t>when</w:t>
      </w:r>
      <w:r w:rsidR="00EE4FC3">
        <w:t xml:space="preserve"> </w:t>
      </w:r>
      <w:r w:rsidRPr="00382917">
        <w:t>Quddús</w:t>
      </w:r>
      <w:r w:rsidR="00EE4FC3">
        <w:t xml:space="preserve"> </w:t>
      </w:r>
      <w:r w:rsidRPr="00382917">
        <w:t>and</w:t>
      </w:r>
      <w:r w:rsidR="00EE4FC3">
        <w:t xml:space="preserve"> </w:t>
      </w:r>
      <w:r w:rsidRPr="00382917">
        <w:t>a</w:t>
      </w:r>
      <w:r w:rsidR="00EE4FC3">
        <w:t xml:space="preserve"> </w:t>
      </w:r>
      <w:r w:rsidRPr="00382917">
        <w:t>party</w:t>
      </w:r>
      <w:r w:rsidR="00EE4FC3">
        <w:t xml:space="preserve"> </w:t>
      </w:r>
      <w:r w:rsidRPr="00382917">
        <w:t>of</w:t>
      </w:r>
      <w:r w:rsidR="00EE4FC3">
        <w:t xml:space="preserve"> </w:t>
      </w:r>
      <w:r w:rsidRPr="00382917">
        <w:t>the</w:t>
      </w:r>
      <w:r w:rsidR="00EE4FC3">
        <w:t xml:space="preserve"> </w:t>
      </w:r>
      <w:r w:rsidRPr="00382917">
        <w:t>followers</w:t>
      </w:r>
      <w:r w:rsidR="00EE4FC3">
        <w:t xml:space="preserve"> </w:t>
      </w:r>
      <w:r w:rsidRPr="00382917">
        <w:t>of</w:t>
      </w:r>
      <w:r w:rsidR="00EE4FC3">
        <w:t xml:space="preserve"> </w:t>
      </w:r>
      <w:r w:rsidRPr="00382917">
        <w:t>the</w:t>
      </w:r>
      <w:r w:rsidR="00EE4FC3">
        <w:t xml:space="preserve"> </w:t>
      </w:r>
      <w:r w:rsidRPr="00382917">
        <w:t>Báb</w:t>
      </w:r>
      <w:r w:rsidR="00EE4FC3">
        <w:t xml:space="preserve"> </w:t>
      </w:r>
      <w:r w:rsidRPr="00382917">
        <w:t>were</w:t>
      </w:r>
      <w:r w:rsidR="00EE4FC3">
        <w:t xml:space="preserve"> </w:t>
      </w:r>
      <w:r w:rsidRPr="00382917">
        <w:t>being</w:t>
      </w:r>
      <w:r w:rsidR="00EE4FC3">
        <w:t xml:space="preserve"> </w:t>
      </w:r>
      <w:r w:rsidRPr="00382917">
        <w:t>ruthlessly</w:t>
      </w:r>
      <w:r w:rsidR="00EE4FC3">
        <w:t xml:space="preserve"> </w:t>
      </w:r>
      <w:r w:rsidRPr="00382917">
        <w:t>attacked,</w:t>
      </w:r>
      <w:r w:rsidR="00EE4FC3">
        <w:t xml:space="preserve"> </w:t>
      </w:r>
      <w:r w:rsidRPr="00382917">
        <w:t>Bahá</w:t>
      </w:r>
      <w:r w:rsidR="009C713D" w:rsidRPr="00382917">
        <w:t>’</w:t>
      </w:r>
      <w:r w:rsidRPr="00382917">
        <w:t>u</w:t>
      </w:r>
      <w:r w:rsidR="009C713D" w:rsidRPr="00382917">
        <w:t>’</w:t>
      </w:r>
      <w:r w:rsidRPr="00382917">
        <w:t>lláh</w:t>
      </w:r>
      <w:r w:rsidR="00EE4FC3">
        <w:t xml:space="preserve"> </w:t>
      </w:r>
      <w:r w:rsidRPr="00382917">
        <w:t>came</w:t>
      </w:r>
      <w:r w:rsidR="00EE4FC3">
        <w:t xml:space="preserve"> </w:t>
      </w:r>
      <w:r w:rsidRPr="00382917">
        <w:t>to</w:t>
      </w:r>
      <w:r w:rsidR="00EE4FC3">
        <w:t xml:space="preserve"> </w:t>
      </w:r>
      <w:r w:rsidRPr="00382917">
        <w:t>their</w:t>
      </w:r>
      <w:r w:rsidR="00EE4FC3">
        <w:t xml:space="preserve"> </w:t>
      </w:r>
      <w:r w:rsidRPr="00382917">
        <w:t>rescue</w:t>
      </w:r>
      <w:r w:rsidR="00330AF7">
        <w:t>.</w:t>
      </w:r>
      <w:r w:rsidR="00EE4FC3">
        <w:t xml:space="preserve">  </w:t>
      </w:r>
      <w:r w:rsidRPr="00382917">
        <w:t>He</w:t>
      </w:r>
      <w:r w:rsidR="00EE4FC3">
        <w:t xml:space="preserve"> </w:t>
      </w:r>
      <w:r w:rsidRPr="00382917">
        <w:t>immediately</w:t>
      </w:r>
      <w:r w:rsidR="00EE4FC3">
        <w:t xml:space="preserve"> </w:t>
      </w:r>
      <w:r w:rsidRPr="00382917">
        <w:t>gave</w:t>
      </w:r>
      <w:r w:rsidR="00EE4FC3">
        <w:t xml:space="preserve"> </w:t>
      </w:r>
      <w:r w:rsidRPr="00382917">
        <w:t>His</w:t>
      </w:r>
      <w:r w:rsidR="00EE4FC3">
        <w:t xml:space="preserve"> </w:t>
      </w:r>
      <w:r w:rsidRPr="00382917">
        <w:t>protection</w:t>
      </w:r>
      <w:r w:rsidR="00EE4FC3">
        <w:t xml:space="preserve"> </w:t>
      </w:r>
      <w:r w:rsidRPr="00382917">
        <w:t>to</w:t>
      </w:r>
      <w:r w:rsidR="00EE4FC3">
        <w:t xml:space="preserve"> </w:t>
      </w:r>
      <w:r w:rsidRPr="00382917">
        <w:t>Quddús</w:t>
      </w:r>
      <w:r w:rsidR="00330AF7">
        <w:t>.</w:t>
      </w:r>
      <w:r w:rsidR="00EE4FC3">
        <w:t xml:space="preserve">  </w:t>
      </w:r>
      <w:r w:rsidRPr="00382917">
        <w:t>He</w:t>
      </w:r>
      <w:r w:rsidR="00EE4FC3">
        <w:t xml:space="preserve"> </w:t>
      </w:r>
      <w:r w:rsidRPr="00382917">
        <w:t>clothed</w:t>
      </w:r>
      <w:r w:rsidR="00EE4FC3">
        <w:t xml:space="preserve"> </w:t>
      </w:r>
      <w:r w:rsidRPr="00382917">
        <w:t>Quddús</w:t>
      </w:r>
      <w:r w:rsidR="00EE4FC3">
        <w:t xml:space="preserve"> </w:t>
      </w:r>
      <w:r w:rsidRPr="00382917">
        <w:t>in</w:t>
      </w:r>
      <w:r w:rsidR="00EE4FC3">
        <w:t xml:space="preserve"> </w:t>
      </w:r>
      <w:r w:rsidRPr="00382917">
        <w:t>His</w:t>
      </w:r>
      <w:r w:rsidR="00EE4FC3">
        <w:t xml:space="preserve"> </w:t>
      </w:r>
      <w:r w:rsidRPr="00382917">
        <w:t>own</w:t>
      </w:r>
      <w:r w:rsidR="00EE4FC3">
        <w:t xml:space="preserve"> </w:t>
      </w:r>
      <w:r w:rsidRPr="00382917">
        <w:t>garments</w:t>
      </w:r>
      <w:r w:rsidR="00EE4FC3">
        <w:t xml:space="preserve"> </w:t>
      </w:r>
      <w:r w:rsidRPr="00382917">
        <w:t>to</w:t>
      </w:r>
      <w:r w:rsidR="00EE4FC3">
        <w:t xml:space="preserve"> </w:t>
      </w:r>
      <w:r w:rsidRPr="00382917">
        <w:t>disguise</w:t>
      </w:r>
      <w:r w:rsidR="00EE4FC3">
        <w:t xml:space="preserve"> </w:t>
      </w:r>
      <w:r w:rsidRPr="00382917">
        <w:t>him</w:t>
      </w:r>
      <w:r w:rsidR="00EE4FC3">
        <w:t xml:space="preserve"> </w:t>
      </w:r>
      <w:r w:rsidRPr="00382917">
        <w:t>so</w:t>
      </w:r>
      <w:r w:rsidR="00EE4FC3">
        <w:t xml:space="preserve"> </w:t>
      </w:r>
      <w:r w:rsidRPr="00382917">
        <w:t>that</w:t>
      </w:r>
      <w:r w:rsidR="00EE4FC3">
        <w:t xml:space="preserve"> </w:t>
      </w:r>
      <w:r w:rsidRPr="00382917">
        <w:t>he</w:t>
      </w:r>
      <w:r w:rsidR="00EE4FC3">
        <w:t xml:space="preserve"> </w:t>
      </w:r>
      <w:r w:rsidRPr="00382917">
        <w:t>would</w:t>
      </w:r>
      <w:r w:rsidR="00EE4FC3">
        <w:t xml:space="preserve"> </w:t>
      </w:r>
      <w:r w:rsidRPr="00382917">
        <w:t>not</w:t>
      </w:r>
      <w:r w:rsidR="00EE4FC3">
        <w:t xml:space="preserve"> </w:t>
      </w:r>
      <w:r w:rsidRPr="00382917">
        <w:t>be</w:t>
      </w:r>
      <w:r w:rsidR="00EE4FC3">
        <w:t xml:space="preserve"> </w:t>
      </w:r>
      <w:r w:rsidRPr="00382917">
        <w:t>recognized,</w:t>
      </w:r>
      <w:r w:rsidR="00EE4FC3">
        <w:t xml:space="preserve"> </w:t>
      </w:r>
      <w:r w:rsidRPr="00382917">
        <w:t>then</w:t>
      </w:r>
      <w:r w:rsidR="00EE4FC3">
        <w:t xml:space="preserve"> </w:t>
      </w:r>
      <w:r w:rsidRPr="00382917">
        <w:t>He</w:t>
      </w:r>
      <w:r w:rsidR="00EE4FC3">
        <w:t xml:space="preserve"> </w:t>
      </w:r>
      <w:r w:rsidRPr="00382917">
        <w:t>escorted</w:t>
      </w:r>
      <w:r w:rsidR="00EE4FC3">
        <w:t xml:space="preserve"> </w:t>
      </w:r>
      <w:r w:rsidRPr="00382917">
        <w:t>him</w:t>
      </w:r>
      <w:r w:rsidR="00EE4FC3">
        <w:t xml:space="preserve"> </w:t>
      </w:r>
      <w:r w:rsidRPr="00382917">
        <w:t>to</w:t>
      </w:r>
      <w:r w:rsidR="00EE4FC3">
        <w:t xml:space="preserve"> </w:t>
      </w:r>
      <w:r w:rsidRPr="00382917">
        <w:t>a</w:t>
      </w:r>
      <w:r w:rsidR="00EE4FC3">
        <w:t xml:space="preserve"> </w:t>
      </w:r>
      <w:r w:rsidRPr="00382917">
        <w:t>place</w:t>
      </w:r>
      <w:r w:rsidR="00EE4FC3">
        <w:t xml:space="preserve"> </w:t>
      </w:r>
      <w:r w:rsidRPr="00382917">
        <w:t>of</w:t>
      </w:r>
      <w:r w:rsidR="00EE4FC3">
        <w:t xml:space="preserve"> </w:t>
      </w:r>
      <w:r w:rsidRPr="00382917">
        <w:t>safety.</w:t>
      </w:r>
    </w:p>
    <w:p w:rsidR="00E13D49" w:rsidRPr="00382917" w:rsidRDefault="00610ADA" w:rsidP="00D9172E">
      <w:pPr>
        <w:pStyle w:val="Text"/>
      </w:pPr>
      <w:r w:rsidRPr="00382917">
        <w:t>When</w:t>
      </w:r>
      <w:r w:rsidR="00EE4FC3">
        <w:t xml:space="preserve"> </w:t>
      </w:r>
      <w:r w:rsidRPr="00382917">
        <w:t>Quddús</w:t>
      </w:r>
      <w:r w:rsidR="00EE4FC3">
        <w:t xml:space="preserve"> </w:t>
      </w:r>
      <w:r w:rsidRPr="00382917">
        <w:t>was</w:t>
      </w:r>
      <w:r w:rsidR="00EE4FC3">
        <w:t xml:space="preserve"> </w:t>
      </w:r>
      <w:r w:rsidRPr="00382917">
        <w:t>imprisoned</w:t>
      </w:r>
      <w:r w:rsidR="00EE4FC3">
        <w:t xml:space="preserve"> </w:t>
      </w:r>
      <w:r w:rsidRPr="00382917">
        <w:t>in</w:t>
      </w:r>
      <w:r w:rsidR="00EE4FC3">
        <w:t xml:space="preserve"> </w:t>
      </w:r>
      <w:r w:rsidRPr="00382917">
        <w:t>Sárí</w:t>
      </w:r>
      <w:r w:rsidR="00EE4FC3">
        <w:t xml:space="preserve"> </w:t>
      </w:r>
      <w:r w:rsidRPr="00382917">
        <w:t>by</w:t>
      </w:r>
      <w:r w:rsidR="00EE4FC3">
        <w:t xml:space="preserve"> </w:t>
      </w:r>
      <w:r w:rsidRPr="00382917">
        <w:t>Muḥammad</w:t>
      </w:r>
      <w:r w:rsidR="00EE4FC3">
        <w:t xml:space="preserve"> </w:t>
      </w:r>
      <w:r w:rsidRPr="00382917">
        <w:t>Taqí,</w:t>
      </w:r>
      <w:r w:rsidR="00EE4FC3">
        <w:t xml:space="preserve"> </w:t>
      </w:r>
      <w:r w:rsidRPr="00382917">
        <w:t>it</w:t>
      </w:r>
      <w:r w:rsidR="00EE4FC3">
        <w:t xml:space="preserve"> </w:t>
      </w:r>
      <w:r w:rsidRPr="00382917">
        <w:t>was</w:t>
      </w:r>
      <w:r w:rsidR="00EE4FC3">
        <w:t xml:space="preserve"> </w:t>
      </w:r>
      <w:r w:rsidRPr="00382917">
        <w:t>Bahá</w:t>
      </w:r>
      <w:r w:rsidR="009C713D" w:rsidRPr="00382917">
        <w:t>’</w:t>
      </w:r>
      <w:r w:rsidRPr="00382917">
        <w:t>u</w:t>
      </w:r>
      <w:r w:rsidR="009C713D" w:rsidRPr="00382917">
        <w:t>’</w:t>
      </w:r>
      <w:r w:rsidRPr="00382917">
        <w:t>lláh</w:t>
      </w:r>
      <w:r w:rsidR="00EE4FC3">
        <w:t xml:space="preserve"> </w:t>
      </w:r>
      <w:proofErr w:type="gramStart"/>
      <w:r w:rsidRPr="00382917">
        <w:t>Who</w:t>
      </w:r>
      <w:proofErr w:type="gramEnd"/>
      <w:r w:rsidR="00EE4FC3">
        <w:t xml:space="preserve"> </w:t>
      </w:r>
      <w:r w:rsidRPr="00382917">
        <w:t>secured</w:t>
      </w:r>
      <w:r w:rsidR="00EE4FC3">
        <w:t xml:space="preserve"> </w:t>
      </w:r>
      <w:r w:rsidRPr="00382917">
        <w:t>his</w:t>
      </w:r>
      <w:r w:rsidR="00EE4FC3">
        <w:t xml:space="preserve"> </w:t>
      </w:r>
      <w:r w:rsidRPr="00382917">
        <w:t>release</w:t>
      </w:r>
      <w:r w:rsidR="00EE4FC3">
        <w:t xml:space="preserve"> </w:t>
      </w:r>
      <w:r w:rsidRPr="00382917">
        <w:t>so</w:t>
      </w:r>
      <w:r w:rsidR="00EE4FC3">
        <w:t xml:space="preserve"> </w:t>
      </w:r>
      <w:r w:rsidRPr="00382917">
        <w:t>that</w:t>
      </w:r>
      <w:r w:rsidR="00EE4FC3">
        <w:t xml:space="preserve"> </w:t>
      </w:r>
      <w:r w:rsidRPr="00382917">
        <w:t>Quddús</w:t>
      </w:r>
      <w:r w:rsidR="00EE4FC3">
        <w:t xml:space="preserve"> </w:t>
      </w:r>
      <w:r w:rsidRPr="00382917">
        <w:t>might</w:t>
      </w:r>
      <w:r w:rsidR="00EE4FC3">
        <w:t xml:space="preserve"> </w:t>
      </w:r>
      <w:r w:rsidRPr="00382917">
        <w:t>join</w:t>
      </w:r>
      <w:r w:rsidR="00EE4FC3">
        <w:t xml:space="preserve"> </w:t>
      </w:r>
      <w:r w:rsidRPr="00382917">
        <w:t>Mullá</w:t>
      </w:r>
      <w:r w:rsidR="00EE4FC3">
        <w:t xml:space="preserve"> </w:t>
      </w:r>
      <w:r w:rsidR="00964C11" w:rsidRPr="00382917">
        <w:t>Ḥusayn</w:t>
      </w:r>
      <w:r w:rsidR="00EE4FC3">
        <w:t xml:space="preserve"> </w:t>
      </w:r>
      <w:r w:rsidRPr="00382917">
        <w:t>at</w:t>
      </w:r>
      <w:r w:rsidR="00EE4FC3">
        <w:t xml:space="preserve"> </w:t>
      </w:r>
      <w:r w:rsidRPr="00382917">
        <w:t>the</w:t>
      </w:r>
      <w:r w:rsidR="00EE4FC3">
        <w:t xml:space="preserve"> </w:t>
      </w:r>
      <w:r w:rsidRPr="00382917">
        <w:t>fort</w:t>
      </w:r>
      <w:r w:rsidR="00EE4FC3">
        <w:t xml:space="preserve"> </w:t>
      </w:r>
      <w:r w:rsidRPr="00382917">
        <w:t>of</w:t>
      </w:r>
      <w:r w:rsidR="00EE4FC3">
        <w:t xml:space="preserve"> </w:t>
      </w:r>
      <w:r w:rsidRPr="00382917">
        <w:t>Ṭabarsí</w:t>
      </w:r>
      <w:r w:rsidR="00330AF7">
        <w:t>.</w:t>
      </w:r>
      <w:r w:rsidR="00EE4FC3">
        <w:t xml:space="preserve">  </w:t>
      </w:r>
      <w:r w:rsidRPr="00382917">
        <w:t>Bahá</w:t>
      </w:r>
      <w:r w:rsidR="009C713D" w:rsidRPr="00382917">
        <w:t>’</w:t>
      </w:r>
      <w:r w:rsidRPr="00382917">
        <w:t>u</w:t>
      </w:r>
      <w:r w:rsidR="009C713D" w:rsidRPr="00382917">
        <w:t>’</w:t>
      </w:r>
      <w:r w:rsidRPr="00382917">
        <w:t>lláh,</w:t>
      </w:r>
      <w:r w:rsidR="00EE4FC3">
        <w:t xml:space="preserve"> </w:t>
      </w:r>
      <w:r w:rsidRPr="00382917">
        <w:t>Himself,</w:t>
      </w:r>
      <w:r w:rsidR="00EE4FC3">
        <w:t xml:space="preserve"> </w:t>
      </w:r>
      <w:r w:rsidRPr="00382917">
        <w:t>then</w:t>
      </w:r>
      <w:r w:rsidR="00EE4FC3">
        <w:t xml:space="preserve"> </w:t>
      </w:r>
      <w:r w:rsidRPr="00382917">
        <w:t>visited</w:t>
      </w:r>
      <w:r w:rsidR="00EE4FC3">
        <w:t xml:space="preserve"> </w:t>
      </w:r>
      <w:r w:rsidRPr="00382917">
        <w:t>them</w:t>
      </w:r>
      <w:r w:rsidR="00EE4FC3">
        <w:t xml:space="preserve"> </w:t>
      </w:r>
      <w:r w:rsidRPr="00382917">
        <w:t>there.</w:t>
      </w:r>
      <w:r w:rsidR="00D9172E">
        <w:rPr>
          <w:rStyle w:val="FootnoteReference"/>
        </w:rPr>
        <w:footnoteReference w:id="209"/>
      </w:r>
    </w:p>
    <w:p w:rsidR="00610ADA" w:rsidRPr="00382917" w:rsidRDefault="00610ADA" w:rsidP="00900F24">
      <w:pPr>
        <w:pStyle w:val="Text"/>
      </w:pPr>
      <w:r w:rsidRPr="00382917">
        <w:t>The</w:t>
      </w:r>
      <w:r w:rsidR="00EE4FC3">
        <w:t xml:space="preserve"> </w:t>
      </w:r>
      <w:r w:rsidRPr="00382917">
        <w:t>night</w:t>
      </w:r>
      <w:r w:rsidR="00EE4FC3">
        <w:t xml:space="preserve"> </w:t>
      </w:r>
      <w:r w:rsidRPr="00382917">
        <w:t>preceding</w:t>
      </w:r>
      <w:r w:rsidR="00EE4FC3">
        <w:t xml:space="preserve"> </w:t>
      </w:r>
      <w:r w:rsidRPr="00382917">
        <w:t>the</w:t>
      </w:r>
      <w:r w:rsidR="00EE4FC3">
        <w:t xml:space="preserve"> </w:t>
      </w:r>
      <w:r w:rsidRPr="00382917">
        <w:t>arrival</w:t>
      </w:r>
      <w:r w:rsidR="00EE4FC3">
        <w:t xml:space="preserve"> </w:t>
      </w:r>
      <w:r w:rsidRPr="00382917">
        <w:t>of</w:t>
      </w:r>
      <w:r w:rsidR="00EE4FC3">
        <w:t xml:space="preserve"> </w:t>
      </w:r>
      <w:r w:rsidRPr="00382917">
        <w:t>Mullá</w:t>
      </w:r>
      <w:r w:rsidR="00EE4FC3">
        <w:t xml:space="preserve"> </w:t>
      </w:r>
      <w:r w:rsidR="00964C11" w:rsidRPr="00382917">
        <w:t>Ḥusayn</w:t>
      </w:r>
      <w:r w:rsidR="00EE4FC3">
        <w:t xml:space="preserve"> </w:t>
      </w:r>
      <w:r w:rsidRPr="00382917">
        <w:t>and</w:t>
      </w:r>
      <w:r w:rsidR="00EE4FC3">
        <w:t xml:space="preserve"> </w:t>
      </w:r>
      <w:r w:rsidRPr="00382917">
        <w:t>his</w:t>
      </w:r>
      <w:r w:rsidR="00EE4FC3">
        <w:t xml:space="preserve"> </w:t>
      </w:r>
      <w:r w:rsidRPr="00382917">
        <w:t>party</w:t>
      </w:r>
      <w:r w:rsidR="00EE4FC3">
        <w:t xml:space="preserve"> </w:t>
      </w:r>
      <w:r w:rsidRPr="00382917">
        <w:t>at</w:t>
      </w:r>
      <w:r w:rsidR="00EE4FC3">
        <w:t xml:space="preserve"> </w:t>
      </w:r>
      <w:r w:rsidRPr="00382917">
        <w:t>Ṭabarsí,</w:t>
      </w:r>
      <w:r w:rsidR="00EE4FC3">
        <w:t xml:space="preserve"> </w:t>
      </w:r>
      <w:r w:rsidRPr="00382917">
        <w:t>the</w:t>
      </w:r>
      <w:r w:rsidR="00EE4FC3">
        <w:t xml:space="preserve"> </w:t>
      </w:r>
      <w:r w:rsidRPr="00382917">
        <w:t>guardian</w:t>
      </w:r>
      <w:r w:rsidR="00EE4FC3">
        <w:t xml:space="preserve"> </w:t>
      </w:r>
      <w:r w:rsidRPr="00382917">
        <w:t>of</w:t>
      </w:r>
      <w:r w:rsidR="00EE4FC3">
        <w:t xml:space="preserve"> </w:t>
      </w:r>
      <w:r w:rsidRPr="00382917">
        <w:t>the</w:t>
      </w:r>
      <w:r w:rsidR="00EE4FC3">
        <w:t xml:space="preserve"> </w:t>
      </w:r>
      <w:r w:rsidRPr="00382917">
        <w:t>shrine</w:t>
      </w:r>
      <w:r w:rsidR="00EE4FC3">
        <w:t xml:space="preserve"> </w:t>
      </w:r>
      <w:r w:rsidRPr="00382917">
        <w:t>dreamed</w:t>
      </w:r>
      <w:r w:rsidR="00EE4FC3">
        <w:t xml:space="preserve"> </w:t>
      </w:r>
      <w:r w:rsidRPr="00382917">
        <w:t>that</w:t>
      </w:r>
      <w:r w:rsidR="00EE4FC3">
        <w:t xml:space="preserve"> </w:t>
      </w:r>
      <w:r w:rsidRPr="00382917">
        <w:t>a</w:t>
      </w:r>
      <w:r w:rsidR="00EE4FC3">
        <w:t xml:space="preserve"> </w:t>
      </w:r>
      <w:r w:rsidRPr="00382917">
        <w:t>holy</w:t>
      </w:r>
      <w:r w:rsidR="00EE4FC3">
        <w:t xml:space="preserve"> </w:t>
      </w:r>
      <w:r w:rsidRPr="00382917">
        <w:t>man</w:t>
      </w:r>
      <w:r w:rsidR="00EE4FC3">
        <w:t xml:space="preserve"> </w:t>
      </w:r>
      <w:r w:rsidRPr="00382917">
        <w:t>and</w:t>
      </w:r>
      <w:r w:rsidR="00EE4FC3">
        <w:t xml:space="preserve"> </w:t>
      </w:r>
      <w:r w:rsidRPr="00382917">
        <w:t>a</w:t>
      </w:r>
      <w:r w:rsidR="00EE4FC3">
        <w:t xml:space="preserve"> </w:t>
      </w:r>
      <w:r w:rsidRPr="00382917">
        <w:t>large</w:t>
      </w:r>
      <w:r w:rsidR="00EE4FC3">
        <w:t xml:space="preserve"> </w:t>
      </w:r>
      <w:r w:rsidRPr="00382917">
        <w:t>company</w:t>
      </w:r>
      <w:r w:rsidR="00EE4FC3">
        <w:t xml:space="preserve"> </w:t>
      </w:r>
      <w:r w:rsidRPr="00382917">
        <w:t>of</w:t>
      </w:r>
      <w:r w:rsidR="00EE4FC3">
        <w:t xml:space="preserve"> </w:t>
      </w:r>
      <w:r w:rsidRPr="00382917">
        <w:t>his</w:t>
      </w:r>
      <w:r w:rsidR="00EE4FC3">
        <w:t xml:space="preserve"> </w:t>
      </w:r>
      <w:r w:rsidRPr="00382917">
        <w:t>friends</w:t>
      </w:r>
      <w:r w:rsidR="00EE4FC3">
        <w:t xml:space="preserve"> </w:t>
      </w:r>
      <w:r w:rsidRPr="00382917">
        <w:t>came</w:t>
      </w:r>
      <w:r w:rsidR="00EE4FC3">
        <w:t xml:space="preserve"> </w:t>
      </w:r>
      <w:r w:rsidRPr="00382917">
        <w:t>and</w:t>
      </w:r>
      <w:r w:rsidR="00EE4FC3">
        <w:t xml:space="preserve"> </w:t>
      </w:r>
      <w:r w:rsidRPr="00382917">
        <w:t>fought</w:t>
      </w:r>
      <w:r w:rsidR="00EE4FC3">
        <w:t xml:space="preserve"> </w:t>
      </w:r>
      <w:r w:rsidRPr="00382917">
        <w:t>valiantly</w:t>
      </w:r>
      <w:r w:rsidR="00EE4FC3">
        <w:t xml:space="preserve"> </w:t>
      </w:r>
      <w:r w:rsidRPr="00382917">
        <w:t>and</w:t>
      </w:r>
      <w:r w:rsidR="00EE4FC3">
        <w:t xml:space="preserve"> </w:t>
      </w:r>
      <w:r w:rsidRPr="00382917">
        <w:t>triumphantly</w:t>
      </w:r>
      <w:r w:rsidR="00330AF7">
        <w:t>.</w:t>
      </w:r>
      <w:r w:rsidR="00EE4FC3">
        <w:t xml:space="preserve">  </w:t>
      </w:r>
      <w:r w:rsidRPr="00382917">
        <w:t>He</w:t>
      </w:r>
      <w:r w:rsidR="00EE4FC3">
        <w:t xml:space="preserve"> </w:t>
      </w:r>
      <w:r w:rsidRPr="00382917">
        <w:t>dreamed</w:t>
      </w:r>
      <w:r w:rsidR="00EE4FC3">
        <w:t xml:space="preserve"> </w:t>
      </w:r>
      <w:r w:rsidRPr="00382917">
        <w:t>that</w:t>
      </w:r>
      <w:r w:rsidR="00EE4FC3">
        <w:t xml:space="preserve"> </w:t>
      </w:r>
      <w:r w:rsidRPr="00382917">
        <w:t>the</w:t>
      </w:r>
      <w:r w:rsidR="00EE4FC3">
        <w:t xml:space="preserve"> </w:t>
      </w:r>
      <w:r w:rsidRPr="00382917">
        <w:t>Prophet</w:t>
      </w:r>
      <w:r w:rsidR="00EE4FC3">
        <w:t xml:space="preserve"> </w:t>
      </w:r>
      <w:r w:rsidRPr="00382917">
        <w:t>of</w:t>
      </w:r>
      <w:r w:rsidR="00EE4FC3">
        <w:t xml:space="preserve"> </w:t>
      </w:r>
      <w:r w:rsidRPr="00382917">
        <w:t>God,</w:t>
      </w:r>
      <w:r w:rsidR="00EE4FC3">
        <w:t xml:space="preserve"> </w:t>
      </w:r>
      <w:r w:rsidRPr="00382917">
        <w:t>Himself,</w:t>
      </w:r>
      <w:r w:rsidR="00EE4FC3">
        <w:t xml:space="preserve"> </w:t>
      </w:r>
      <w:r w:rsidRPr="00382917">
        <w:t>came</w:t>
      </w:r>
      <w:r w:rsidR="00EE4FC3">
        <w:t xml:space="preserve"> </w:t>
      </w:r>
      <w:r w:rsidRPr="00382917">
        <w:t>one</w:t>
      </w:r>
      <w:r w:rsidR="00EE4FC3">
        <w:t xml:space="preserve"> </w:t>
      </w:r>
      <w:r w:rsidRPr="00382917">
        <w:t>night</w:t>
      </w:r>
      <w:r w:rsidR="00EE4FC3">
        <w:t xml:space="preserve"> </w:t>
      </w:r>
      <w:r w:rsidRPr="00382917">
        <w:t>and</w:t>
      </w:r>
      <w:r w:rsidR="00EE4FC3">
        <w:t xml:space="preserve"> </w:t>
      </w:r>
      <w:r w:rsidRPr="00382917">
        <w:t>visited</w:t>
      </w:r>
      <w:r w:rsidR="00EE4FC3">
        <w:t xml:space="preserve"> </w:t>
      </w:r>
      <w:r w:rsidRPr="00382917">
        <w:t>that</w:t>
      </w:r>
      <w:r w:rsidR="00EE4FC3">
        <w:t xml:space="preserve"> </w:t>
      </w:r>
      <w:r w:rsidRPr="00382917">
        <w:t>blessed</w:t>
      </w:r>
      <w:r w:rsidR="00EE4FC3">
        <w:t xml:space="preserve"> </w:t>
      </w:r>
      <w:r w:rsidRPr="00382917">
        <w:t>company.</w:t>
      </w:r>
    </w:p>
    <w:p w:rsidR="00610ADA" w:rsidRPr="00382917" w:rsidRDefault="00610ADA" w:rsidP="00900F24">
      <w:pPr>
        <w:pStyle w:val="Text"/>
      </w:pPr>
      <w:r w:rsidRPr="00382917">
        <w:t>Soon</w:t>
      </w:r>
      <w:r w:rsidR="00EE4FC3">
        <w:t xml:space="preserve"> </w:t>
      </w:r>
      <w:r w:rsidRPr="00382917">
        <w:t>after</w:t>
      </w:r>
      <w:r w:rsidR="00EE4FC3">
        <w:t xml:space="preserve"> </w:t>
      </w:r>
      <w:r w:rsidRPr="00382917">
        <w:t>this</w:t>
      </w:r>
      <w:r w:rsidR="00EE4FC3">
        <w:t xml:space="preserve"> </w:t>
      </w:r>
      <w:r w:rsidRPr="00382917">
        <w:t>Bahá</w:t>
      </w:r>
      <w:r w:rsidR="009C713D" w:rsidRPr="00382917">
        <w:t>’</w:t>
      </w:r>
      <w:r w:rsidRPr="00382917">
        <w:t>u</w:t>
      </w:r>
      <w:r w:rsidR="009C713D" w:rsidRPr="00382917">
        <w:t>’</w:t>
      </w:r>
      <w:r w:rsidRPr="00382917">
        <w:t>lláh</w:t>
      </w:r>
      <w:r w:rsidR="00EE4FC3">
        <w:t xml:space="preserve"> </w:t>
      </w:r>
      <w:r w:rsidRPr="00382917">
        <w:t>arrived</w:t>
      </w:r>
      <w:r w:rsidR="00EE4FC3">
        <w:t xml:space="preserve"> </w:t>
      </w:r>
      <w:r w:rsidRPr="00382917">
        <w:t>at</w:t>
      </w:r>
      <w:r w:rsidR="00EE4FC3">
        <w:t xml:space="preserve"> </w:t>
      </w:r>
      <w:r w:rsidRPr="00382917">
        <w:t>a</w:t>
      </w:r>
      <w:r w:rsidR="00EE4FC3">
        <w:t xml:space="preserve"> </w:t>
      </w:r>
      <w:r w:rsidRPr="00382917">
        <w:t>nearby</w:t>
      </w:r>
      <w:r w:rsidR="00EE4FC3">
        <w:t xml:space="preserve"> </w:t>
      </w:r>
      <w:r w:rsidRPr="00382917">
        <w:t>village</w:t>
      </w:r>
      <w:r w:rsidR="00330AF7">
        <w:t>.</w:t>
      </w:r>
      <w:r w:rsidR="00EE4FC3">
        <w:t xml:space="preserve">  </w:t>
      </w:r>
      <w:r w:rsidRPr="00382917">
        <w:t>He</w:t>
      </w:r>
      <w:r w:rsidR="00EE4FC3">
        <w:t xml:space="preserve"> </w:t>
      </w:r>
      <w:r w:rsidRPr="00382917">
        <w:t>sent</w:t>
      </w:r>
      <w:r w:rsidR="00EE4FC3">
        <w:t xml:space="preserve"> </w:t>
      </w:r>
      <w:r w:rsidRPr="00382917">
        <w:t>word</w:t>
      </w:r>
      <w:r w:rsidR="00EE4FC3">
        <w:t xml:space="preserve"> </w:t>
      </w:r>
      <w:r w:rsidRPr="00382917">
        <w:t>to</w:t>
      </w:r>
      <w:r w:rsidR="00EE4FC3">
        <w:t xml:space="preserve"> </w:t>
      </w:r>
      <w:r w:rsidRPr="00382917">
        <w:t>Mullá</w:t>
      </w:r>
      <w:r w:rsidR="00EE4FC3">
        <w:t xml:space="preserve"> </w:t>
      </w:r>
      <w:r w:rsidR="00964C11" w:rsidRPr="00382917">
        <w:t>Ḥusayn</w:t>
      </w:r>
      <w:r w:rsidR="00EE4FC3">
        <w:t xml:space="preserve"> </w:t>
      </w:r>
      <w:r w:rsidRPr="00382917">
        <w:t>that</w:t>
      </w:r>
      <w:r w:rsidR="00EE4FC3">
        <w:t xml:space="preserve"> </w:t>
      </w:r>
      <w:r w:rsidRPr="00382917">
        <w:t>he</w:t>
      </w:r>
      <w:r w:rsidR="00EE4FC3">
        <w:t xml:space="preserve"> </w:t>
      </w:r>
      <w:r w:rsidRPr="00382917">
        <w:t>and</w:t>
      </w:r>
      <w:r w:rsidR="00EE4FC3">
        <w:t xml:space="preserve"> </w:t>
      </w:r>
      <w:r w:rsidRPr="00382917">
        <w:t>all</w:t>
      </w:r>
      <w:r w:rsidR="00EE4FC3">
        <w:t xml:space="preserve"> </w:t>
      </w:r>
      <w:r w:rsidRPr="00382917">
        <w:t>his</w:t>
      </w:r>
      <w:r w:rsidR="00EE4FC3">
        <w:t xml:space="preserve"> </w:t>
      </w:r>
      <w:r w:rsidRPr="00382917">
        <w:t>companions</w:t>
      </w:r>
      <w:r w:rsidR="00EE4FC3">
        <w:t xml:space="preserve"> </w:t>
      </w:r>
      <w:r w:rsidRPr="00382917">
        <w:t>were</w:t>
      </w:r>
      <w:r w:rsidR="00EE4FC3">
        <w:t xml:space="preserve"> </w:t>
      </w:r>
      <w:r w:rsidRPr="00382917">
        <w:t>to</w:t>
      </w:r>
      <w:r w:rsidR="00EE4FC3">
        <w:t xml:space="preserve"> </w:t>
      </w:r>
      <w:r w:rsidRPr="00382917">
        <w:t>be</w:t>
      </w:r>
      <w:r w:rsidR="00EE4FC3">
        <w:t xml:space="preserve"> </w:t>
      </w:r>
      <w:r w:rsidRPr="00382917">
        <w:t>His</w:t>
      </w:r>
      <w:r w:rsidR="00EE4FC3">
        <w:t xml:space="preserve"> </w:t>
      </w:r>
      <w:r w:rsidRPr="00382917">
        <w:t>guests</w:t>
      </w:r>
      <w:r w:rsidR="00EE4FC3">
        <w:t xml:space="preserve"> </w:t>
      </w:r>
      <w:r w:rsidRPr="00382917">
        <w:t>that</w:t>
      </w:r>
      <w:r w:rsidR="00EE4FC3">
        <w:t xml:space="preserve"> </w:t>
      </w:r>
      <w:r w:rsidRPr="00382917">
        <w:t>night,</w:t>
      </w:r>
      <w:r w:rsidR="00EE4FC3">
        <w:t xml:space="preserve"> </w:t>
      </w:r>
      <w:r w:rsidRPr="00382917">
        <w:t>and</w:t>
      </w:r>
      <w:r w:rsidR="00EE4FC3">
        <w:t xml:space="preserve"> </w:t>
      </w:r>
      <w:r w:rsidRPr="00382917">
        <w:t>that</w:t>
      </w:r>
      <w:r w:rsidR="00EE4FC3">
        <w:t xml:space="preserve"> </w:t>
      </w:r>
      <w:r w:rsidRPr="00382917">
        <w:t>He</w:t>
      </w:r>
      <w:r w:rsidR="00EE4FC3">
        <w:t xml:space="preserve"> </w:t>
      </w:r>
      <w:r w:rsidRPr="00382917">
        <w:t>would</w:t>
      </w:r>
      <w:r w:rsidR="00EE4FC3">
        <w:t xml:space="preserve"> </w:t>
      </w:r>
      <w:r w:rsidRPr="00382917">
        <w:t>join</w:t>
      </w:r>
      <w:r w:rsidR="00EE4FC3">
        <w:t xml:space="preserve"> </w:t>
      </w:r>
      <w:r w:rsidRPr="00382917">
        <w:t>them</w:t>
      </w:r>
      <w:r w:rsidR="00EE4FC3">
        <w:t xml:space="preserve"> </w:t>
      </w:r>
      <w:r w:rsidRPr="00382917">
        <w:t>at</w:t>
      </w:r>
      <w:r w:rsidR="00EE4FC3">
        <w:t xml:space="preserve"> </w:t>
      </w:r>
      <w:r w:rsidRPr="00382917">
        <w:t>Ṭabarsí</w:t>
      </w:r>
      <w:r w:rsidR="00EE4FC3">
        <w:t xml:space="preserve"> </w:t>
      </w:r>
      <w:r w:rsidRPr="00382917">
        <w:t>that</w:t>
      </w:r>
      <w:r w:rsidR="00EE4FC3">
        <w:t xml:space="preserve"> </w:t>
      </w:r>
      <w:r w:rsidRPr="00382917">
        <w:t>very</w:t>
      </w:r>
      <w:r w:rsidR="00EE4FC3">
        <w:t xml:space="preserve"> </w:t>
      </w:r>
      <w:r w:rsidRPr="00382917">
        <w:t>afternoon</w:t>
      </w:r>
      <w:r w:rsidR="00330AF7">
        <w:t>.</w:t>
      </w:r>
      <w:r w:rsidR="00EE4FC3">
        <w:t xml:space="preserve">  </w:t>
      </w:r>
      <w:r w:rsidRPr="00382917">
        <w:t>The</w:t>
      </w:r>
      <w:r w:rsidR="00EE4FC3">
        <w:t xml:space="preserve"> </w:t>
      </w:r>
      <w:r w:rsidRPr="00382917">
        <w:t>following</w:t>
      </w:r>
      <w:r w:rsidR="00EE4FC3">
        <w:t xml:space="preserve"> </w:t>
      </w:r>
      <w:r w:rsidRPr="00382917">
        <w:t>is</w:t>
      </w:r>
      <w:r w:rsidR="00EE4FC3">
        <w:t xml:space="preserve"> </w:t>
      </w:r>
      <w:r w:rsidRPr="00382917">
        <w:t>an</w:t>
      </w:r>
      <w:r w:rsidR="00EE4FC3">
        <w:t xml:space="preserve"> </w:t>
      </w:r>
      <w:r w:rsidRPr="00382917">
        <w:t>eye-witness</w:t>
      </w:r>
      <w:r w:rsidR="00EE4FC3">
        <w:t xml:space="preserve"> </w:t>
      </w:r>
      <w:r w:rsidRPr="00382917">
        <w:t>account</w:t>
      </w:r>
      <w:r w:rsidR="00EE4FC3">
        <w:t xml:space="preserve"> </w:t>
      </w:r>
      <w:r w:rsidRPr="00382917">
        <w:t>of</w:t>
      </w:r>
      <w:r w:rsidR="00EE4FC3">
        <w:t xml:space="preserve"> </w:t>
      </w:r>
      <w:r w:rsidRPr="00382917">
        <w:t>that</w:t>
      </w:r>
      <w:r w:rsidR="00EE4FC3">
        <w:t xml:space="preserve"> </w:t>
      </w:r>
      <w:r w:rsidRPr="00382917">
        <w:t>meeting:</w:t>
      </w:r>
    </w:p>
    <w:p w:rsidR="00900F24" w:rsidRPr="00382917" w:rsidRDefault="00900F24">
      <w:pPr>
        <w:widowControl/>
        <w:kinsoku/>
        <w:overflowPunct/>
        <w:textAlignment w:val="auto"/>
      </w:pPr>
      <w:r w:rsidRPr="00382917">
        <w:br w:type="page"/>
      </w:r>
    </w:p>
    <w:p w:rsidR="001D2FA7" w:rsidRPr="00382917" w:rsidRDefault="009C713D" w:rsidP="007B319A">
      <w:pPr>
        <w:pStyle w:val="Text"/>
      </w:pPr>
      <w:r w:rsidRPr="00382917">
        <w:t>“</w:t>
      </w:r>
      <w:r w:rsidR="001D2FA7" w:rsidRPr="00382917">
        <w:t>The</w:t>
      </w:r>
      <w:r w:rsidR="00EE4FC3">
        <w:t xml:space="preserve"> </w:t>
      </w:r>
      <w:r w:rsidR="001D2FA7" w:rsidRPr="00382917">
        <w:t>tidings</w:t>
      </w:r>
      <w:r w:rsidR="00EE4FC3">
        <w:t xml:space="preserve"> </w:t>
      </w:r>
      <w:r w:rsidR="001D2FA7" w:rsidRPr="00382917">
        <w:t>imparted</w:t>
      </w:r>
      <w:r w:rsidR="00EE4FC3">
        <w:t xml:space="preserve"> </w:t>
      </w:r>
      <w:r w:rsidR="001D2FA7" w:rsidRPr="00382917">
        <w:t>an</w:t>
      </w:r>
      <w:r w:rsidR="00EE4FC3">
        <w:t xml:space="preserve"> </w:t>
      </w:r>
      <w:r w:rsidR="001D2FA7" w:rsidRPr="00382917">
        <w:t>indefinable</w:t>
      </w:r>
      <w:r w:rsidR="00EE4FC3">
        <w:t xml:space="preserve"> </w:t>
      </w:r>
      <w:r w:rsidR="001D2FA7" w:rsidRPr="00382917">
        <w:t>joy</w:t>
      </w:r>
      <w:r w:rsidR="00EE4FC3">
        <w:t xml:space="preserve"> </w:t>
      </w:r>
      <w:r w:rsidR="001D2FA7" w:rsidRPr="00382917">
        <w:t>to</w:t>
      </w:r>
      <w:r w:rsidR="00EE4FC3">
        <w:t xml:space="preserve"> </w:t>
      </w:r>
      <w:r w:rsidR="001D2FA7" w:rsidRPr="00382917">
        <w:t>the</w:t>
      </w:r>
      <w:r w:rsidR="00EE4FC3">
        <w:t xml:space="preserve"> </w:t>
      </w:r>
      <w:r w:rsidR="001D2FA7" w:rsidRPr="00382917">
        <w:t>heart</w:t>
      </w:r>
      <w:r w:rsidR="00EE4FC3">
        <w:t xml:space="preserve"> </w:t>
      </w:r>
      <w:r w:rsidR="001D2FA7" w:rsidRPr="00382917">
        <w:t>of</w:t>
      </w:r>
      <w:r w:rsidR="00EE4FC3">
        <w:t xml:space="preserve"> </w:t>
      </w:r>
      <w:r w:rsidR="001D2FA7" w:rsidRPr="00382917">
        <w:t>Mullá</w:t>
      </w:r>
      <w:r w:rsidR="00EE4FC3">
        <w:t xml:space="preserve"> </w:t>
      </w:r>
      <w:r w:rsidR="00964C11" w:rsidRPr="00382917">
        <w:t>Ḥusayn</w:t>
      </w:r>
      <w:r w:rsidR="00330AF7">
        <w:t>.</w:t>
      </w:r>
      <w:r w:rsidR="00EE4FC3">
        <w:t xml:space="preserve">  </w:t>
      </w:r>
      <w:r w:rsidR="001D2FA7" w:rsidRPr="00382917">
        <w:t>He</w:t>
      </w:r>
      <w:r w:rsidR="00EE4FC3">
        <w:t xml:space="preserve"> </w:t>
      </w:r>
      <w:r w:rsidR="001D2FA7" w:rsidRPr="00382917">
        <w:t>bade</w:t>
      </w:r>
      <w:r w:rsidR="00EE4FC3">
        <w:t xml:space="preserve"> </w:t>
      </w:r>
      <w:r w:rsidR="001D2FA7" w:rsidRPr="00382917">
        <w:t>his</w:t>
      </w:r>
      <w:r w:rsidR="00EE4FC3">
        <w:t xml:space="preserve"> </w:t>
      </w:r>
      <w:r w:rsidR="001D2FA7" w:rsidRPr="00382917">
        <w:t>companions</w:t>
      </w:r>
      <w:r w:rsidR="00EE4FC3">
        <w:t xml:space="preserve"> </w:t>
      </w:r>
      <w:r w:rsidR="001D2FA7" w:rsidRPr="00382917">
        <w:t>bestir</w:t>
      </w:r>
      <w:r w:rsidR="00EE4FC3">
        <w:t xml:space="preserve"> </w:t>
      </w:r>
      <w:r w:rsidR="001D2FA7" w:rsidRPr="00382917">
        <w:t>themselves</w:t>
      </w:r>
      <w:r w:rsidR="00EE4FC3">
        <w:t xml:space="preserve"> </w:t>
      </w:r>
      <w:r w:rsidR="001D2FA7" w:rsidRPr="00382917">
        <w:t>for</w:t>
      </w:r>
      <w:r w:rsidR="00EE4FC3">
        <w:t xml:space="preserve"> </w:t>
      </w:r>
      <w:r w:rsidR="001D2FA7" w:rsidRPr="00382917">
        <w:t>the</w:t>
      </w:r>
      <w:r w:rsidR="00EE4FC3">
        <w:t xml:space="preserve"> </w:t>
      </w:r>
      <w:r w:rsidR="001D2FA7" w:rsidRPr="00382917">
        <w:t>reception</w:t>
      </w:r>
      <w:r w:rsidR="00EE4FC3">
        <w:t xml:space="preserve"> </w:t>
      </w:r>
      <w:r w:rsidR="001D2FA7" w:rsidRPr="00382917">
        <w:t>of</w:t>
      </w:r>
      <w:r w:rsidR="00EE4FC3">
        <w:t xml:space="preserve"> </w:t>
      </w:r>
      <w:r w:rsidR="001D2FA7" w:rsidRPr="00382917">
        <w:t>Bahá</w:t>
      </w:r>
      <w:r w:rsidRPr="00382917">
        <w:t>’</w:t>
      </w:r>
      <w:r w:rsidR="001D2FA7" w:rsidRPr="00382917">
        <w:t>u</w:t>
      </w:r>
      <w:r w:rsidRPr="00382917">
        <w:t>’</w:t>
      </w:r>
      <w:r w:rsidR="001D2FA7" w:rsidRPr="00382917">
        <w:t>lláh</w:t>
      </w:r>
      <w:r w:rsidR="00330AF7">
        <w:t>.</w:t>
      </w:r>
      <w:r w:rsidR="00EE4FC3">
        <w:t xml:space="preserve">  </w:t>
      </w:r>
      <w:r w:rsidR="001D2FA7" w:rsidRPr="00382917">
        <w:t>He</w:t>
      </w:r>
      <w:r w:rsidR="00EE4FC3">
        <w:t xml:space="preserve"> </w:t>
      </w:r>
      <w:r w:rsidR="001D2FA7" w:rsidRPr="00382917">
        <w:t>himself</w:t>
      </w:r>
      <w:r w:rsidR="00EE4FC3">
        <w:t xml:space="preserve"> </w:t>
      </w:r>
      <w:r w:rsidR="001D2FA7" w:rsidRPr="00382917">
        <w:t>joined</w:t>
      </w:r>
      <w:r w:rsidR="00EE4FC3">
        <w:t xml:space="preserve"> </w:t>
      </w:r>
      <w:r w:rsidR="001D2FA7" w:rsidRPr="00382917">
        <w:t>them</w:t>
      </w:r>
      <w:r w:rsidR="00EE4FC3">
        <w:t xml:space="preserve"> </w:t>
      </w:r>
      <w:r w:rsidR="001D2FA7" w:rsidRPr="00382917">
        <w:t>in</w:t>
      </w:r>
      <w:r w:rsidR="00EE4FC3">
        <w:t xml:space="preserve"> </w:t>
      </w:r>
      <w:r w:rsidR="001D2FA7" w:rsidRPr="00382917">
        <w:t>sweeping,</w:t>
      </w:r>
      <w:r w:rsidR="00EE4FC3">
        <w:t xml:space="preserve"> </w:t>
      </w:r>
      <w:r w:rsidR="001D2FA7" w:rsidRPr="00382917">
        <w:t>cleaning,</w:t>
      </w:r>
      <w:r w:rsidR="00EE4FC3">
        <w:t xml:space="preserve"> </w:t>
      </w:r>
      <w:r w:rsidR="001D2FA7" w:rsidRPr="00382917">
        <w:t>and</w:t>
      </w:r>
      <w:r w:rsidR="00EE4FC3">
        <w:t xml:space="preserve"> </w:t>
      </w:r>
      <w:r w:rsidR="001D2FA7" w:rsidRPr="00382917">
        <w:t>sprinkling</w:t>
      </w:r>
      <w:r w:rsidR="00EE4FC3">
        <w:t xml:space="preserve"> </w:t>
      </w:r>
      <w:r w:rsidR="001D2FA7" w:rsidRPr="00382917">
        <w:t>with</w:t>
      </w:r>
      <w:r w:rsidR="00EE4FC3">
        <w:t xml:space="preserve"> </w:t>
      </w:r>
      <w:r w:rsidR="001D2FA7" w:rsidRPr="00382917">
        <w:t>water</w:t>
      </w:r>
      <w:r w:rsidR="00EE4FC3">
        <w:t xml:space="preserve"> </w:t>
      </w:r>
      <w:r w:rsidR="001D2FA7" w:rsidRPr="00382917">
        <w:t>the</w:t>
      </w:r>
      <w:r w:rsidR="00EE4FC3">
        <w:t xml:space="preserve"> </w:t>
      </w:r>
      <w:r w:rsidR="001D2FA7" w:rsidRPr="00382917">
        <w:t>dusty</w:t>
      </w:r>
      <w:r w:rsidR="00EE4FC3">
        <w:t xml:space="preserve"> </w:t>
      </w:r>
      <w:r w:rsidR="001D2FA7" w:rsidRPr="00382917">
        <w:t>entrances</w:t>
      </w:r>
      <w:r w:rsidR="00EE4FC3">
        <w:t xml:space="preserve"> </w:t>
      </w:r>
      <w:r w:rsidR="001D2FA7" w:rsidRPr="00382917">
        <w:t>for</w:t>
      </w:r>
      <w:r w:rsidR="00EE4FC3">
        <w:t xml:space="preserve"> </w:t>
      </w:r>
      <w:r w:rsidR="001D2FA7" w:rsidRPr="00382917">
        <w:t>the</w:t>
      </w:r>
      <w:r w:rsidR="00EE4FC3">
        <w:t xml:space="preserve"> </w:t>
      </w:r>
      <w:r w:rsidR="001D2FA7" w:rsidRPr="00382917">
        <w:t>arrival</w:t>
      </w:r>
      <w:r w:rsidR="00EE4FC3">
        <w:t xml:space="preserve"> </w:t>
      </w:r>
      <w:r w:rsidR="001D2FA7" w:rsidRPr="00382917">
        <w:t>of</w:t>
      </w:r>
      <w:r w:rsidR="00EE4FC3">
        <w:t xml:space="preserve"> </w:t>
      </w:r>
      <w:r w:rsidR="001D2FA7" w:rsidRPr="00382917">
        <w:t>the</w:t>
      </w:r>
      <w:r w:rsidR="00EE4FC3">
        <w:t xml:space="preserve"> </w:t>
      </w:r>
      <w:r w:rsidR="001D2FA7" w:rsidRPr="00382917">
        <w:t>beloved</w:t>
      </w:r>
      <w:r w:rsidR="00EE4FC3">
        <w:t xml:space="preserve"> </w:t>
      </w:r>
      <w:r w:rsidR="001D2FA7" w:rsidRPr="00382917">
        <w:t>Visitor</w:t>
      </w:r>
      <w:r w:rsidR="00330AF7">
        <w:t>.</w:t>
      </w:r>
      <w:r w:rsidR="00EE4FC3">
        <w:t xml:space="preserve">  </w:t>
      </w:r>
      <w:r w:rsidR="001D2FA7" w:rsidRPr="00382917">
        <w:t>As</w:t>
      </w:r>
      <w:r w:rsidR="00EE4FC3">
        <w:t xml:space="preserve"> </w:t>
      </w:r>
      <w:r w:rsidR="001D2FA7" w:rsidRPr="00382917">
        <w:t>soon</w:t>
      </w:r>
      <w:r w:rsidR="00EE4FC3">
        <w:t xml:space="preserve"> </w:t>
      </w:r>
      <w:r w:rsidR="001D2FA7" w:rsidRPr="00382917">
        <w:t>as</w:t>
      </w:r>
      <w:r w:rsidR="00EE4FC3">
        <w:t xml:space="preserve"> </w:t>
      </w:r>
      <w:r w:rsidR="001D2FA7" w:rsidRPr="00382917">
        <w:t>he</w:t>
      </w:r>
      <w:r w:rsidR="00EE4FC3">
        <w:t xml:space="preserve"> </w:t>
      </w:r>
      <w:r w:rsidR="001D2FA7" w:rsidRPr="00382917">
        <w:t>saw</w:t>
      </w:r>
      <w:r w:rsidR="00EE4FC3">
        <w:t xml:space="preserve"> </w:t>
      </w:r>
      <w:r w:rsidR="001D2FA7" w:rsidRPr="00382917">
        <w:t>Him</w:t>
      </w:r>
      <w:r w:rsidR="00EE4FC3">
        <w:t xml:space="preserve"> </w:t>
      </w:r>
      <w:r w:rsidR="001D2FA7" w:rsidRPr="00382917">
        <w:t>approaching,</w:t>
      </w:r>
      <w:r w:rsidR="00EE4FC3">
        <w:t xml:space="preserve"> </w:t>
      </w:r>
      <w:r w:rsidR="001D2FA7" w:rsidRPr="00382917">
        <w:t>he</w:t>
      </w:r>
      <w:r w:rsidR="00EE4FC3">
        <w:t xml:space="preserve"> </w:t>
      </w:r>
      <w:r w:rsidR="001D2FA7" w:rsidRPr="00382917">
        <w:t>rushed</w:t>
      </w:r>
      <w:r w:rsidR="00EE4FC3">
        <w:t xml:space="preserve"> </w:t>
      </w:r>
      <w:r w:rsidR="001D2FA7" w:rsidRPr="00382917">
        <w:t>forward</w:t>
      </w:r>
      <w:r w:rsidR="00EE4FC3">
        <w:t xml:space="preserve"> </w:t>
      </w:r>
      <w:r w:rsidR="001D2FA7" w:rsidRPr="00382917">
        <w:t>and</w:t>
      </w:r>
      <w:r w:rsidR="00EE4FC3">
        <w:t xml:space="preserve"> </w:t>
      </w:r>
      <w:r w:rsidR="001D2FA7" w:rsidRPr="00382917">
        <w:t>embraced</w:t>
      </w:r>
      <w:r w:rsidR="00EE4FC3">
        <w:t xml:space="preserve"> </w:t>
      </w:r>
      <w:r w:rsidR="001D2FA7" w:rsidRPr="00382917">
        <w:t>Him</w:t>
      </w:r>
      <w:r w:rsidR="00EE4FC3">
        <w:t xml:space="preserve"> </w:t>
      </w:r>
      <w:r w:rsidR="001D2FA7" w:rsidRPr="00382917">
        <w:t>tenderly,</w:t>
      </w:r>
      <w:r w:rsidR="00EE4FC3">
        <w:t xml:space="preserve"> </w:t>
      </w:r>
      <w:r w:rsidR="001D2FA7" w:rsidRPr="00382917">
        <w:t>and</w:t>
      </w:r>
      <w:r w:rsidR="00EE4FC3">
        <w:t xml:space="preserve"> </w:t>
      </w:r>
      <w:r w:rsidR="001D2FA7" w:rsidRPr="00382917">
        <w:t>conducted</w:t>
      </w:r>
      <w:r w:rsidR="00EE4FC3">
        <w:t xml:space="preserve"> </w:t>
      </w:r>
      <w:r w:rsidR="001D2FA7" w:rsidRPr="00382917">
        <w:t>Him</w:t>
      </w:r>
      <w:r w:rsidR="00EE4FC3">
        <w:t xml:space="preserve"> </w:t>
      </w:r>
      <w:r w:rsidR="001D2FA7" w:rsidRPr="00382917">
        <w:t>to</w:t>
      </w:r>
      <w:r w:rsidR="00EE4FC3">
        <w:t xml:space="preserve"> </w:t>
      </w:r>
      <w:r w:rsidR="001D2FA7" w:rsidRPr="00382917">
        <w:t>the</w:t>
      </w:r>
      <w:r w:rsidR="00EE4FC3">
        <w:t xml:space="preserve"> </w:t>
      </w:r>
      <w:r w:rsidR="001D2FA7" w:rsidRPr="00382917">
        <w:t>place</w:t>
      </w:r>
      <w:r w:rsidR="00EE4FC3">
        <w:t xml:space="preserve"> </w:t>
      </w:r>
      <w:r w:rsidR="001D2FA7" w:rsidRPr="00382917">
        <w:t>of</w:t>
      </w:r>
      <w:r w:rsidR="00EE4FC3">
        <w:t xml:space="preserve"> </w:t>
      </w:r>
      <w:proofErr w:type="spellStart"/>
      <w:r w:rsidR="001D2FA7" w:rsidRPr="00382917">
        <w:t>honor</w:t>
      </w:r>
      <w:proofErr w:type="spellEnd"/>
      <w:r w:rsidR="00330AF7">
        <w:t>.</w:t>
      </w:r>
      <w:r w:rsidR="00EE4FC3">
        <w:t xml:space="preserve">  </w:t>
      </w:r>
      <w:r w:rsidR="001D2FA7" w:rsidRPr="00382917">
        <w:t>We</w:t>
      </w:r>
      <w:r w:rsidR="00EE4FC3">
        <w:t xml:space="preserve"> </w:t>
      </w:r>
      <w:r w:rsidR="001D2FA7" w:rsidRPr="00382917">
        <w:t>were</w:t>
      </w:r>
      <w:r w:rsidR="00EE4FC3">
        <w:t xml:space="preserve"> </w:t>
      </w:r>
      <w:r w:rsidR="001D2FA7" w:rsidRPr="00382917">
        <w:t>too</w:t>
      </w:r>
      <w:r w:rsidR="00EE4FC3">
        <w:t xml:space="preserve"> </w:t>
      </w:r>
      <w:r w:rsidR="001D2FA7" w:rsidRPr="00382917">
        <w:t>blind</w:t>
      </w:r>
      <w:r w:rsidR="00EE4FC3">
        <w:t xml:space="preserve"> </w:t>
      </w:r>
      <w:r w:rsidR="001D2FA7" w:rsidRPr="00382917">
        <w:t>in</w:t>
      </w:r>
      <w:r w:rsidR="00EE4FC3">
        <w:t xml:space="preserve"> </w:t>
      </w:r>
      <w:r w:rsidR="001D2FA7" w:rsidRPr="00382917">
        <w:t>those</w:t>
      </w:r>
      <w:r w:rsidR="00EE4FC3">
        <w:t xml:space="preserve"> </w:t>
      </w:r>
      <w:r w:rsidR="001D2FA7" w:rsidRPr="00382917">
        <w:t>days</w:t>
      </w:r>
      <w:r w:rsidR="00EE4FC3">
        <w:t xml:space="preserve"> </w:t>
      </w:r>
      <w:r w:rsidR="001D2FA7" w:rsidRPr="00382917">
        <w:t>to</w:t>
      </w:r>
      <w:r w:rsidR="00EE4FC3">
        <w:t xml:space="preserve"> </w:t>
      </w:r>
      <w:r w:rsidR="001D2FA7" w:rsidRPr="00382917">
        <w:t>recognize</w:t>
      </w:r>
      <w:r w:rsidR="00EE4FC3">
        <w:t xml:space="preserve"> </w:t>
      </w:r>
      <w:r w:rsidR="001D2FA7" w:rsidRPr="00382917">
        <w:t>the</w:t>
      </w:r>
      <w:r w:rsidR="00EE4FC3">
        <w:t xml:space="preserve"> </w:t>
      </w:r>
      <w:r w:rsidR="001D2FA7" w:rsidRPr="00382917">
        <w:t>glory</w:t>
      </w:r>
      <w:r w:rsidR="00EE4FC3">
        <w:t xml:space="preserve"> </w:t>
      </w:r>
      <w:r w:rsidR="001D2FA7" w:rsidRPr="00382917">
        <w:t>of</w:t>
      </w:r>
      <w:r w:rsidR="00EE4FC3">
        <w:t xml:space="preserve"> </w:t>
      </w:r>
      <w:r w:rsidR="001D2FA7" w:rsidRPr="00382917">
        <w:t>Him</w:t>
      </w:r>
      <w:r w:rsidR="00EE4FC3">
        <w:t xml:space="preserve"> </w:t>
      </w:r>
      <w:r w:rsidR="001D2FA7" w:rsidRPr="00382917">
        <w:t>Whom</w:t>
      </w:r>
      <w:r w:rsidR="00EE4FC3">
        <w:t xml:space="preserve"> </w:t>
      </w:r>
      <w:r w:rsidR="001D2FA7" w:rsidRPr="00382917">
        <w:t>our</w:t>
      </w:r>
      <w:r w:rsidR="00EE4FC3">
        <w:t xml:space="preserve"> </w:t>
      </w:r>
      <w:r w:rsidR="001D2FA7" w:rsidRPr="00382917">
        <w:t>leader</w:t>
      </w:r>
      <w:r w:rsidR="00EE4FC3">
        <w:t xml:space="preserve"> </w:t>
      </w:r>
      <w:r w:rsidR="001D2FA7" w:rsidRPr="00382917">
        <w:t>had</w:t>
      </w:r>
      <w:r w:rsidR="00EE4FC3">
        <w:t xml:space="preserve"> </w:t>
      </w:r>
      <w:r w:rsidR="001D2FA7" w:rsidRPr="00382917">
        <w:t>introduced</w:t>
      </w:r>
      <w:r w:rsidR="00EE4FC3">
        <w:t xml:space="preserve"> </w:t>
      </w:r>
      <w:r w:rsidR="001D2FA7" w:rsidRPr="00382917">
        <w:t>with</w:t>
      </w:r>
      <w:r w:rsidR="00EE4FC3">
        <w:t xml:space="preserve"> </w:t>
      </w:r>
      <w:r w:rsidR="001D2FA7" w:rsidRPr="00382917">
        <w:t>such</w:t>
      </w:r>
      <w:r w:rsidR="00EE4FC3">
        <w:t xml:space="preserve"> </w:t>
      </w:r>
      <w:r w:rsidR="001D2FA7" w:rsidRPr="00382917">
        <w:t>reverence</w:t>
      </w:r>
      <w:r w:rsidR="00EE4FC3">
        <w:t xml:space="preserve"> </w:t>
      </w:r>
      <w:r w:rsidR="001D2FA7" w:rsidRPr="00382917">
        <w:t>and</w:t>
      </w:r>
      <w:r w:rsidR="00EE4FC3">
        <w:t xml:space="preserve"> </w:t>
      </w:r>
      <w:r w:rsidR="001D2FA7" w:rsidRPr="00382917">
        <w:t>love</w:t>
      </w:r>
      <w:r w:rsidR="00EE4FC3">
        <w:t xml:space="preserve"> </w:t>
      </w:r>
      <w:r w:rsidR="001D2FA7" w:rsidRPr="00382917">
        <w:t>into</w:t>
      </w:r>
      <w:r w:rsidR="00EE4FC3">
        <w:t xml:space="preserve"> </w:t>
      </w:r>
      <w:r w:rsidR="001D2FA7" w:rsidRPr="00382917">
        <w:t>our</w:t>
      </w:r>
      <w:r w:rsidR="00EE4FC3">
        <w:t xml:space="preserve"> </w:t>
      </w:r>
      <w:r w:rsidR="001D2FA7" w:rsidRPr="00382917">
        <w:t>midst</w:t>
      </w:r>
      <w:r w:rsidR="00330AF7">
        <w:t>.</w:t>
      </w:r>
      <w:r w:rsidR="00EE4FC3">
        <w:t xml:space="preserve">  </w:t>
      </w:r>
      <w:r w:rsidR="001D2FA7" w:rsidRPr="00382917">
        <w:t>What</w:t>
      </w:r>
      <w:r w:rsidR="00EE4FC3">
        <w:t xml:space="preserve"> </w:t>
      </w:r>
      <w:r w:rsidR="001D2FA7" w:rsidRPr="00382917">
        <w:t>Mullá</w:t>
      </w:r>
      <w:r w:rsidR="00EE4FC3">
        <w:t xml:space="preserve"> </w:t>
      </w:r>
      <w:r w:rsidR="00964C11" w:rsidRPr="00382917">
        <w:t>Ḥusayn</w:t>
      </w:r>
      <w:r w:rsidR="00EE4FC3">
        <w:t xml:space="preserve"> </w:t>
      </w:r>
      <w:r w:rsidR="001D2FA7" w:rsidRPr="00382917">
        <w:t>had</w:t>
      </w:r>
      <w:r w:rsidR="00EE4FC3">
        <w:t xml:space="preserve"> </w:t>
      </w:r>
      <w:r w:rsidR="001D2FA7" w:rsidRPr="00382917">
        <w:t>perceived,</w:t>
      </w:r>
      <w:r w:rsidR="00EE4FC3">
        <w:t xml:space="preserve"> </w:t>
      </w:r>
      <w:r w:rsidR="001D2FA7" w:rsidRPr="00382917">
        <w:t>our</w:t>
      </w:r>
      <w:r w:rsidR="00EE4FC3">
        <w:t xml:space="preserve"> </w:t>
      </w:r>
      <w:r w:rsidR="001D2FA7" w:rsidRPr="00382917">
        <w:t>dull</w:t>
      </w:r>
      <w:r w:rsidR="00EE4FC3">
        <w:t xml:space="preserve"> </w:t>
      </w:r>
      <w:r w:rsidR="001D2FA7" w:rsidRPr="00382917">
        <w:t>vision</w:t>
      </w:r>
      <w:r w:rsidR="00EE4FC3">
        <w:t xml:space="preserve"> </w:t>
      </w:r>
      <w:r w:rsidR="001D2FA7" w:rsidRPr="00382917">
        <w:t>was</w:t>
      </w:r>
      <w:r w:rsidR="00EE4FC3">
        <w:t xml:space="preserve"> </w:t>
      </w:r>
      <w:r w:rsidR="001D2FA7" w:rsidRPr="00382917">
        <w:t>yet</w:t>
      </w:r>
      <w:r w:rsidR="00EE4FC3">
        <w:t xml:space="preserve"> </w:t>
      </w:r>
      <w:r w:rsidR="001D2FA7" w:rsidRPr="00382917">
        <w:t>unable</w:t>
      </w:r>
      <w:r w:rsidR="00EE4FC3">
        <w:t xml:space="preserve"> </w:t>
      </w:r>
      <w:r w:rsidR="001D2FA7" w:rsidRPr="00382917">
        <w:t>to</w:t>
      </w:r>
      <w:r w:rsidR="00EE4FC3">
        <w:t xml:space="preserve"> </w:t>
      </w:r>
      <w:r w:rsidR="001D2FA7" w:rsidRPr="00382917">
        <w:t>recognize</w:t>
      </w:r>
      <w:r w:rsidR="00330AF7">
        <w:t>.</w:t>
      </w:r>
      <w:r w:rsidR="00EE4FC3">
        <w:t xml:space="preserve">  </w:t>
      </w:r>
      <w:r w:rsidR="001D2FA7" w:rsidRPr="00382917">
        <w:t>We,</w:t>
      </w:r>
      <w:r w:rsidR="00EE4FC3">
        <w:t xml:space="preserve"> </w:t>
      </w:r>
      <w:r w:rsidR="001D2FA7" w:rsidRPr="00382917">
        <w:t>too,</w:t>
      </w:r>
      <w:r w:rsidR="00EE4FC3">
        <w:t xml:space="preserve"> </w:t>
      </w:r>
      <w:r w:rsidR="001D2FA7" w:rsidRPr="00382917">
        <w:t>were</w:t>
      </w:r>
      <w:r w:rsidR="00EE4FC3">
        <w:t xml:space="preserve"> </w:t>
      </w:r>
      <w:r w:rsidR="001D2FA7" w:rsidRPr="00382917">
        <w:t>soon</w:t>
      </w:r>
      <w:r w:rsidR="00EE4FC3">
        <w:t xml:space="preserve"> </w:t>
      </w:r>
      <w:r w:rsidR="001D2FA7" w:rsidRPr="00382917">
        <w:t>made</w:t>
      </w:r>
      <w:r w:rsidR="00EE4FC3">
        <w:t xml:space="preserve"> </w:t>
      </w:r>
      <w:r w:rsidR="001D2FA7" w:rsidRPr="00382917">
        <w:t>to</w:t>
      </w:r>
      <w:r w:rsidR="00EE4FC3">
        <w:t xml:space="preserve"> </w:t>
      </w:r>
      <w:r w:rsidR="001D2FA7" w:rsidRPr="00382917">
        <w:t>feel</w:t>
      </w:r>
      <w:r w:rsidR="00EE4FC3">
        <w:t xml:space="preserve"> </w:t>
      </w:r>
      <w:r w:rsidR="001D2FA7" w:rsidRPr="00382917">
        <w:t>the</w:t>
      </w:r>
      <w:r w:rsidR="00EE4FC3">
        <w:t xml:space="preserve"> </w:t>
      </w:r>
      <w:r w:rsidR="001D2FA7" w:rsidRPr="00382917">
        <w:t>charm</w:t>
      </w:r>
      <w:r w:rsidR="00EE4FC3">
        <w:t xml:space="preserve"> </w:t>
      </w:r>
      <w:r w:rsidR="001D2FA7" w:rsidRPr="00382917">
        <w:t>of</w:t>
      </w:r>
      <w:r w:rsidR="00EE4FC3">
        <w:t xml:space="preserve"> </w:t>
      </w:r>
      <w:r w:rsidR="001D2FA7" w:rsidRPr="00382917">
        <w:t>His</w:t>
      </w:r>
      <w:r w:rsidR="00EE4FC3">
        <w:t xml:space="preserve"> </w:t>
      </w:r>
      <w:r w:rsidR="001D2FA7" w:rsidRPr="00382917">
        <w:t>utterance</w:t>
      </w:r>
      <w:r w:rsidR="00330AF7">
        <w:t>.</w:t>
      </w:r>
      <w:r w:rsidR="00EE4FC3">
        <w:t xml:space="preserve">  </w:t>
      </w:r>
      <w:r w:rsidR="001D2FA7" w:rsidRPr="00382917">
        <w:t>Mullá</w:t>
      </w:r>
      <w:r w:rsidR="00EE4FC3">
        <w:t xml:space="preserve"> </w:t>
      </w:r>
      <w:r w:rsidR="00964C11" w:rsidRPr="00382917">
        <w:t>Ḥusayn</w:t>
      </w:r>
      <w:r w:rsidR="00EE4FC3">
        <w:t xml:space="preserve"> </w:t>
      </w:r>
      <w:r w:rsidR="001D2FA7" w:rsidRPr="00382917">
        <w:t>was</w:t>
      </w:r>
      <w:r w:rsidR="00EE4FC3">
        <w:t xml:space="preserve"> </w:t>
      </w:r>
      <w:r w:rsidR="001D2FA7" w:rsidRPr="00382917">
        <w:t>so</w:t>
      </w:r>
      <w:r w:rsidR="00EE4FC3">
        <w:t xml:space="preserve"> </w:t>
      </w:r>
      <w:r w:rsidR="001D2FA7" w:rsidRPr="00382917">
        <w:t>filled</w:t>
      </w:r>
      <w:r w:rsidR="00EE4FC3">
        <w:t xml:space="preserve"> </w:t>
      </w:r>
      <w:r w:rsidR="001D2FA7" w:rsidRPr="00382917">
        <w:t>with</w:t>
      </w:r>
      <w:r w:rsidR="00EE4FC3">
        <w:t xml:space="preserve"> </w:t>
      </w:r>
      <w:r w:rsidR="001D2FA7" w:rsidRPr="00382917">
        <w:t>delight,</w:t>
      </w:r>
      <w:r w:rsidR="00EE4FC3">
        <w:t xml:space="preserve"> </w:t>
      </w:r>
      <w:r w:rsidR="001D2FA7" w:rsidRPr="00382917">
        <w:t>so</w:t>
      </w:r>
      <w:r w:rsidR="00EE4FC3">
        <w:t xml:space="preserve"> </w:t>
      </w:r>
      <w:r w:rsidR="001D2FA7" w:rsidRPr="00382917">
        <w:t>lost</w:t>
      </w:r>
      <w:r w:rsidR="00EE4FC3">
        <w:t xml:space="preserve"> </w:t>
      </w:r>
      <w:r w:rsidR="001D2FA7" w:rsidRPr="00382917">
        <w:t>in</w:t>
      </w:r>
      <w:r w:rsidR="00EE4FC3">
        <w:t xml:space="preserve"> </w:t>
      </w:r>
      <w:r w:rsidR="001D2FA7" w:rsidRPr="00382917">
        <w:t>admiration</w:t>
      </w:r>
      <w:r w:rsidR="00EE4FC3">
        <w:t xml:space="preserve"> </w:t>
      </w:r>
      <w:r w:rsidR="001D2FA7" w:rsidRPr="00382917">
        <w:t>that</w:t>
      </w:r>
      <w:r w:rsidR="00EE4FC3">
        <w:t xml:space="preserve"> </w:t>
      </w:r>
      <w:r w:rsidR="001D2FA7" w:rsidRPr="00382917">
        <w:t>he</w:t>
      </w:r>
      <w:r w:rsidR="00EE4FC3">
        <w:t xml:space="preserve"> </w:t>
      </w:r>
      <w:r w:rsidR="001D2FA7" w:rsidRPr="00382917">
        <w:t>was</w:t>
      </w:r>
      <w:r w:rsidR="00EE4FC3">
        <w:t xml:space="preserve"> </w:t>
      </w:r>
      <w:r w:rsidR="001D2FA7" w:rsidRPr="00382917">
        <w:t>utterly</w:t>
      </w:r>
      <w:r w:rsidR="00EE4FC3">
        <w:t xml:space="preserve"> </w:t>
      </w:r>
      <w:r w:rsidR="001D2FA7" w:rsidRPr="00382917">
        <w:t>oblivious</w:t>
      </w:r>
      <w:r w:rsidR="00EE4FC3">
        <w:t xml:space="preserve"> </w:t>
      </w:r>
      <w:r w:rsidR="001D2FA7" w:rsidRPr="00382917">
        <w:t>of</w:t>
      </w:r>
      <w:r w:rsidR="00EE4FC3">
        <w:t xml:space="preserve"> </w:t>
      </w:r>
      <w:r w:rsidR="001D2FA7" w:rsidRPr="00382917">
        <w:t>us</w:t>
      </w:r>
      <w:r w:rsidR="00EE4FC3">
        <w:t xml:space="preserve"> </w:t>
      </w:r>
      <w:r w:rsidR="001D2FA7" w:rsidRPr="00382917">
        <w:t>all</w:t>
      </w:r>
      <w:r w:rsidR="00330AF7">
        <w:t>.</w:t>
      </w:r>
      <w:r w:rsidR="00EE4FC3">
        <w:t xml:space="preserve">  </w:t>
      </w:r>
      <w:r w:rsidR="001D2FA7" w:rsidRPr="00382917">
        <w:t>It</w:t>
      </w:r>
      <w:r w:rsidR="00EE4FC3">
        <w:t xml:space="preserve"> </w:t>
      </w:r>
      <w:r w:rsidR="001D2FA7" w:rsidRPr="00382917">
        <w:t>was</w:t>
      </w:r>
      <w:r w:rsidR="00EE4FC3">
        <w:t xml:space="preserve"> </w:t>
      </w:r>
      <w:r w:rsidR="001D2FA7" w:rsidRPr="00382917">
        <w:t>Bahá</w:t>
      </w:r>
      <w:r w:rsidRPr="00382917">
        <w:t>’</w:t>
      </w:r>
      <w:r w:rsidR="001D2FA7" w:rsidRPr="00382917">
        <w:t>u</w:t>
      </w:r>
      <w:r w:rsidRPr="00382917">
        <w:t>’</w:t>
      </w:r>
      <w:r w:rsidR="001D2FA7" w:rsidRPr="00382917">
        <w:t>lláh,</w:t>
      </w:r>
      <w:r w:rsidR="00EE4FC3">
        <w:t xml:space="preserve"> </w:t>
      </w:r>
      <w:r w:rsidR="001D2FA7" w:rsidRPr="00382917">
        <w:t>Himself,</w:t>
      </w:r>
      <w:r w:rsidR="00EE4FC3">
        <w:t xml:space="preserve"> </w:t>
      </w:r>
      <w:r w:rsidR="001D2FA7" w:rsidRPr="00382917">
        <w:t>Who</w:t>
      </w:r>
      <w:r w:rsidR="00EE4FC3">
        <w:t xml:space="preserve"> </w:t>
      </w:r>
      <w:r w:rsidR="001D2FA7" w:rsidRPr="00382917">
        <w:t>finally</w:t>
      </w:r>
      <w:r w:rsidR="00EE4FC3">
        <w:t xml:space="preserve"> </w:t>
      </w:r>
      <w:r w:rsidR="001D2FA7" w:rsidRPr="00382917">
        <w:t>bade</w:t>
      </w:r>
      <w:r w:rsidR="00EE4FC3">
        <w:t xml:space="preserve"> </w:t>
      </w:r>
      <w:r w:rsidR="001D2FA7" w:rsidRPr="00382917">
        <w:t>us</w:t>
      </w:r>
      <w:r w:rsidR="00EE4FC3">
        <w:t xml:space="preserve"> </w:t>
      </w:r>
      <w:r w:rsidR="001D2FA7" w:rsidRPr="00382917">
        <w:t>be</w:t>
      </w:r>
      <w:r w:rsidR="00EE4FC3">
        <w:t xml:space="preserve"> </w:t>
      </w:r>
      <w:r w:rsidR="001D2FA7" w:rsidRPr="00382917">
        <w:t>seated.</w:t>
      </w:r>
      <w:r w:rsidRPr="00382917">
        <w:t>”</w:t>
      </w:r>
    </w:p>
    <w:p w:rsidR="001D2FA7" w:rsidRPr="00382917" w:rsidRDefault="001D2FA7" w:rsidP="007B319A">
      <w:pPr>
        <w:pStyle w:val="Text"/>
      </w:pPr>
      <w:r w:rsidRPr="00382917">
        <w:t>Bahá</w:t>
      </w:r>
      <w:r w:rsidR="009C713D" w:rsidRPr="00382917">
        <w:t>’</w:t>
      </w:r>
      <w:r w:rsidRPr="00382917">
        <w:t>u</w:t>
      </w:r>
      <w:r w:rsidR="009C713D" w:rsidRPr="00382917">
        <w:t>’</w:t>
      </w:r>
      <w:r w:rsidRPr="00382917">
        <w:t>lláh</w:t>
      </w:r>
      <w:r w:rsidR="00EE4FC3">
        <w:t xml:space="preserve"> </w:t>
      </w:r>
      <w:r w:rsidRPr="00382917">
        <w:t>examined</w:t>
      </w:r>
      <w:r w:rsidR="00EE4FC3">
        <w:t xml:space="preserve"> </w:t>
      </w:r>
      <w:r w:rsidRPr="00382917">
        <w:t>the</w:t>
      </w:r>
      <w:r w:rsidR="00EE4FC3">
        <w:t xml:space="preserve"> </w:t>
      </w:r>
      <w:r w:rsidRPr="00382917">
        <w:t>fort,</w:t>
      </w:r>
      <w:r w:rsidR="00EE4FC3">
        <w:t xml:space="preserve"> </w:t>
      </w:r>
      <w:proofErr w:type="gramStart"/>
      <w:r w:rsidRPr="00382917">
        <w:t>then</w:t>
      </w:r>
      <w:proofErr w:type="gramEnd"/>
      <w:r w:rsidR="00EE4FC3">
        <w:t xml:space="preserve"> </w:t>
      </w:r>
      <w:r w:rsidRPr="00382917">
        <w:t>assisted</w:t>
      </w:r>
      <w:r w:rsidR="00EE4FC3">
        <w:t xml:space="preserve"> </w:t>
      </w:r>
      <w:r w:rsidRPr="00382917">
        <w:t>the</w:t>
      </w:r>
      <w:r w:rsidR="00EE4FC3">
        <w:t xml:space="preserve"> </w:t>
      </w:r>
      <w:r w:rsidRPr="00382917">
        <w:t>companions</w:t>
      </w:r>
      <w:r w:rsidR="00EE4FC3">
        <w:t xml:space="preserve"> </w:t>
      </w:r>
      <w:r w:rsidRPr="00382917">
        <w:t>with</w:t>
      </w:r>
      <w:r w:rsidR="00EE4FC3">
        <w:t xml:space="preserve"> </w:t>
      </w:r>
      <w:r w:rsidRPr="00382917">
        <w:t>suggestions</w:t>
      </w:r>
      <w:r w:rsidR="00EE4FC3">
        <w:t xml:space="preserve"> </w:t>
      </w:r>
      <w:r w:rsidRPr="00382917">
        <w:t>on</w:t>
      </w:r>
      <w:r w:rsidR="00EE4FC3">
        <w:t xml:space="preserve"> </w:t>
      </w:r>
      <w:r w:rsidRPr="00382917">
        <w:t>how</w:t>
      </w:r>
      <w:r w:rsidR="00EE4FC3">
        <w:t xml:space="preserve"> </w:t>
      </w:r>
      <w:r w:rsidRPr="00382917">
        <w:t>to</w:t>
      </w:r>
      <w:r w:rsidR="00EE4FC3">
        <w:t xml:space="preserve"> </w:t>
      </w:r>
      <w:r w:rsidRPr="00382917">
        <w:t>strengthen</w:t>
      </w:r>
      <w:r w:rsidR="00EE4FC3">
        <w:t xml:space="preserve"> </w:t>
      </w:r>
      <w:r w:rsidRPr="00382917">
        <w:t>their</w:t>
      </w:r>
      <w:r w:rsidR="00EE4FC3">
        <w:t xml:space="preserve"> </w:t>
      </w:r>
      <w:proofErr w:type="spellStart"/>
      <w:r w:rsidRPr="00382917">
        <w:t>defenses</w:t>
      </w:r>
      <w:proofErr w:type="spellEnd"/>
      <w:r w:rsidR="00EE4FC3">
        <w:t xml:space="preserve"> </w:t>
      </w:r>
      <w:r w:rsidRPr="00382917">
        <w:t>to</w:t>
      </w:r>
      <w:r w:rsidR="00EE4FC3">
        <w:t xml:space="preserve"> </w:t>
      </w:r>
      <w:r w:rsidRPr="00382917">
        <w:t>help</w:t>
      </w:r>
      <w:r w:rsidR="00EE4FC3">
        <w:t xml:space="preserve"> </w:t>
      </w:r>
      <w:r w:rsidRPr="00382917">
        <w:t>protect</w:t>
      </w:r>
      <w:r w:rsidR="00EE4FC3">
        <w:t xml:space="preserve"> </w:t>
      </w:r>
      <w:r w:rsidRPr="00382917">
        <w:t>their</w:t>
      </w:r>
      <w:r w:rsidR="00EE4FC3">
        <w:t xml:space="preserve"> </w:t>
      </w:r>
      <w:r w:rsidRPr="00382917">
        <w:t>lives</w:t>
      </w:r>
      <w:r w:rsidR="00330AF7">
        <w:t>.</w:t>
      </w:r>
      <w:r w:rsidR="00EE4FC3">
        <w:t xml:space="preserve">  </w:t>
      </w:r>
      <w:r w:rsidRPr="00382917">
        <w:t>He</w:t>
      </w:r>
      <w:r w:rsidR="00EE4FC3">
        <w:t xml:space="preserve"> </w:t>
      </w:r>
      <w:r w:rsidRPr="00382917">
        <w:t>dispelled</w:t>
      </w:r>
      <w:r w:rsidR="00EE4FC3">
        <w:t xml:space="preserve"> </w:t>
      </w:r>
      <w:r w:rsidRPr="00382917">
        <w:t>their</w:t>
      </w:r>
      <w:r w:rsidR="00EE4FC3">
        <w:t xml:space="preserve"> </w:t>
      </w:r>
      <w:r w:rsidRPr="00382917">
        <w:t>fears</w:t>
      </w:r>
      <w:r w:rsidR="00EE4FC3">
        <w:t xml:space="preserve"> </w:t>
      </w:r>
      <w:r w:rsidRPr="00382917">
        <w:t>and</w:t>
      </w:r>
      <w:r w:rsidR="00EE4FC3">
        <w:t xml:space="preserve"> </w:t>
      </w:r>
      <w:r w:rsidRPr="00382917">
        <w:t>raised</w:t>
      </w:r>
      <w:r w:rsidR="00EE4FC3">
        <w:t xml:space="preserve"> </w:t>
      </w:r>
      <w:r w:rsidRPr="00382917">
        <w:t>their</w:t>
      </w:r>
      <w:r w:rsidR="00EE4FC3">
        <w:t xml:space="preserve"> </w:t>
      </w:r>
      <w:r w:rsidRPr="00382917">
        <w:t>determination</w:t>
      </w:r>
      <w:r w:rsidR="00EE4FC3">
        <w:t xml:space="preserve"> </w:t>
      </w:r>
      <w:r w:rsidRPr="00382917">
        <w:t>to</w:t>
      </w:r>
      <w:r w:rsidR="00EE4FC3">
        <w:t xml:space="preserve"> </w:t>
      </w:r>
      <w:r w:rsidRPr="00382917">
        <w:t>sacrifice</w:t>
      </w:r>
      <w:r w:rsidR="00EE4FC3">
        <w:t xml:space="preserve"> </w:t>
      </w:r>
      <w:r w:rsidRPr="00382917">
        <w:t>all</w:t>
      </w:r>
      <w:r w:rsidR="00EE4FC3">
        <w:t xml:space="preserve"> </w:t>
      </w:r>
      <w:r w:rsidRPr="00382917">
        <w:t>for</w:t>
      </w:r>
      <w:r w:rsidR="00EE4FC3">
        <w:t xml:space="preserve"> </w:t>
      </w:r>
      <w:r w:rsidRPr="00382917">
        <w:t>God.</w:t>
      </w:r>
    </w:p>
    <w:p w:rsidR="001D2FA7" w:rsidRPr="00382917" w:rsidRDefault="001D2FA7" w:rsidP="007B319A">
      <w:pPr>
        <w:pStyle w:val="Text"/>
      </w:pPr>
      <w:r w:rsidRPr="00382917">
        <w:t>Bahá</w:t>
      </w:r>
      <w:r w:rsidR="009C713D" w:rsidRPr="00382917">
        <w:t>’</w:t>
      </w:r>
      <w:r w:rsidRPr="00382917">
        <w:t>u</w:t>
      </w:r>
      <w:r w:rsidR="009C713D" w:rsidRPr="00382917">
        <w:t>’</w:t>
      </w:r>
      <w:r w:rsidRPr="00382917">
        <w:t>lláh</w:t>
      </w:r>
      <w:r w:rsidR="00EE4FC3">
        <w:t xml:space="preserve"> </w:t>
      </w:r>
      <w:r w:rsidRPr="00382917">
        <w:t>said,</w:t>
      </w:r>
      <w:r w:rsidR="00EE4FC3">
        <w:t xml:space="preserve"> </w:t>
      </w:r>
      <w:r w:rsidR="009C713D" w:rsidRPr="00382917">
        <w:t>“</w:t>
      </w:r>
      <w:r w:rsidRPr="00382917">
        <w:t>The</w:t>
      </w:r>
      <w:r w:rsidR="00EE4FC3">
        <w:t xml:space="preserve"> </w:t>
      </w:r>
      <w:r w:rsidRPr="00382917">
        <w:t>one</w:t>
      </w:r>
      <w:r w:rsidR="00EE4FC3">
        <w:t xml:space="preserve"> </w:t>
      </w:r>
      <w:r w:rsidRPr="00382917">
        <w:t>thing</w:t>
      </w:r>
      <w:r w:rsidR="00EE4FC3">
        <w:t xml:space="preserve"> </w:t>
      </w:r>
      <w:r w:rsidRPr="00382917">
        <w:t>this</w:t>
      </w:r>
      <w:r w:rsidR="00EE4FC3">
        <w:t xml:space="preserve"> </w:t>
      </w:r>
      <w:r w:rsidRPr="00382917">
        <w:t>fort</w:t>
      </w:r>
      <w:r w:rsidR="00EE4FC3">
        <w:t xml:space="preserve"> </w:t>
      </w:r>
      <w:r w:rsidRPr="00382917">
        <w:t>and</w:t>
      </w:r>
      <w:r w:rsidR="00EE4FC3">
        <w:t xml:space="preserve"> </w:t>
      </w:r>
      <w:r w:rsidRPr="00382917">
        <w:t>company</w:t>
      </w:r>
      <w:r w:rsidR="00EE4FC3">
        <w:t xml:space="preserve"> </w:t>
      </w:r>
      <w:r w:rsidRPr="00382917">
        <w:t>require</w:t>
      </w:r>
      <w:r w:rsidR="00EE4FC3">
        <w:t xml:space="preserve"> </w:t>
      </w:r>
      <w:r w:rsidRPr="00382917">
        <w:t>to</w:t>
      </w:r>
      <w:r w:rsidR="00EE4FC3">
        <w:t xml:space="preserve"> </w:t>
      </w:r>
      <w:r w:rsidRPr="00382917">
        <w:t>render</w:t>
      </w:r>
      <w:r w:rsidR="00EE4FC3">
        <w:t xml:space="preserve"> </w:t>
      </w:r>
      <w:r w:rsidRPr="00382917">
        <w:t>it</w:t>
      </w:r>
      <w:r w:rsidR="00EE4FC3">
        <w:t xml:space="preserve"> </w:t>
      </w:r>
      <w:r w:rsidRPr="00382917">
        <w:t>complete</w:t>
      </w:r>
      <w:r w:rsidR="00EE4FC3">
        <w:t xml:space="preserve"> </w:t>
      </w:r>
      <w:r w:rsidRPr="00382917">
        <w:t>is</w:t>
      </w:r>
      <w:r w:rsidR="00EE4FC3">
        <w:t xml:space="preserve"> </w:t>
      </w:r>
      <w:r w:rsidRPr="00382917">
        <w:t>the</w:t>
      </w:r>
      <w:r w:rsidR="00EE4FC3">
        <w:t xml:space="preserve"> </w:t>
      </w:r>
      <w:r w:rsidRPr="00382917">
        <w:t>presence</w:t>
      </w:r>
      <w:r w:rsidR="00EE4FC3">
        <w:t xml:space="preserve"> </w:t>
      </w:r>
      <w:r w:rsidRPr="00382917">
        <w:t>of</w:t>
      </w:r>
      <w:r w:rsidR="00EE4FC3">
        <w:t xml:space="preserve"> </w:t>
      </w:r>
      <w:r w:rsidRPr="00382917">
        <w:t>Quddús.</w:t>
      </w:r>
      <w:r w:rsidR="009C713D" w:rsidRPr="00382917">
        <w:t>”</w:t>
      </w:r>
      <w:r w:rsidR="00EE4FC3">
        <w:t xml:space="preserve"> </w:t>
      </w:r>
      <w:r w:rsidR="00D9172E">
        <w:t xml:space="preserve"> </w:t>
      </w:r>
      <w:r w:rsidRPr="00382917">
        <w:t>He</w:t>
      </w:r>
      <w:r w:rsidR="00EE4FC3">
        <w:t xml:space="preserve"> </w:t>
      </w:r>
      <w:r w:rsidRPr="00382917">
        <w:t>instructed</w:t>
      </w:r>
      <w:r w:rsidR="00EE4FC3">
        <w:t xml:space="preserve"> </w:t>
      </w:r>
      <w:r w:rsidRPr="00382917">
        <w:t>Mullá</w:t>
      </w:r>
      <w:r w:rsidR="00EE4FC3">
        <w:t xml:space="preserve"> </w:t>
      </w:r>
      <w:r w:rsidR="00964C11" w:rsidRPr="00382917">
        <w:t>Ḥusayn</w:t>
      </w:r>
      <w:r w:rsidR="00EE4FC3">
        <w:t xml:space="preserve"> </w:t>
      </w:r>
      <w:r w:rsidRPr="00382917">
        <w:t>to</w:t>
      </w:r>
      <w:r w:rsidR="00EE4FC3">
        <w:t xml:space="preserve"> </w:t>
      </w:r>
      <w:r w:rsidRPr="00382917">
        <w:t>send</w:t>
      </w:r>
      <w:r w:rsidR="00EE4FC3">
        <w:t xml:space="preserve"> </w:t>
      </w:r>
      <w:r w:rsidRPr="00382917">
        <w:t>six</w:t>
      </w:r>
      <w:r w:rsidR="00EE4FC3">
        <w:t xml:space="preserve"> </w:t>
      </w:r>
      <w:r w:rsidRPr="00382917">
        <w:t>friends</w:t>
      </w:r>
      <w:r w:rsidR="00EE4FC3">
        <w:t xml:space="preserve"> </w:t>
      </w:r>
      <w:r w:rsidRPr="00382917">
        <w:t>to</w:t>
      </w:r>
      <w:r w:rsidR="00EE4FC3">
        <w:t xml:space="preserve"> </w:t>
      </w:r>
      <w:r w:rsidRPr="00382917">
        <w:t>Sari</w:t>
      </w:r>
      <w:r w:rsidR="00EE4FC3">
        <w:t xml:space="preserve"> </w:t>
      </w:r>
      <w:r w:rsidRPr="00382917">
        <w:t>to</w:t>
      </w:r>
      <w:r w:rsidR="00EE4FC3">
        <w:t xml:space="preserve"> </w:t>
      </w:r>
      <w:r w:rsidRPr="00382917">
        <w:t>demand</w:t>
      </w:r>
      <w:r w:rsidR="00EE4FC3">
        <w:t xml:space="preserve"> </w:t>
      </w:r>
      <w:r w:rsidRPr="00382917">
        <w:t>that</w:t>
      </w:r>
      <w:r w:rsidR="00EE4FC3">
        <w:t xml:space="preserve"> </w:t>
      </w:r>
      <w:r w:rsidRPr="00382917">
        <w:t>Muḥammad</w:t>
      </w:r>
      <w:r w:rsidR="00EE4FC3">
        <w:t xml:space="preserve"> </w:t>
      </w:r>
      <w:r w:rsidRPr="00382917">
        <w:t>Taqí</w:t>
      </w:r>
      <w:r w:rsidR="00EE4FC3">
        <w:t xml:space="preserve"> </w:t>
      </w:r>
      <w:r w:rsidRPr="00382917">
        <w:t>deliver</w:t>
      </w:r>
      <w:r w:rsidR="00EE4FC3">
        <w:t xml:space="preserve"> </w:t>
      </w:r>
      <w:r w:rsidRPr="00382917">
        <w:t>Quddús</w:t>
      </w:r>
      <w:r w:rsidR="00EE4FC3">
        <w:t xml:space="preserve"> </w:t>
      </w:r>
      <w:r w:rsidRPr="00382917">
        <w:t>into</w:t>
      </w:r>
      <w:r w:rsidR="00EE4FC3">
        <w:t xml:space="preserve"> </w:t>
      </w:r>
      <w:r w:rsidRPr="00382917">
        <w:t>their</w:t>
      </w:r>
      <w:r w:rsidR="00EE4FC3">
        <w:t xml:space="preserve"> </w:t>
      </w:r>
      <w:r w:rsidRPr="00382917">
        <w:t>hands</w:t>
      </w:r>
      <w:r w:rsidR="00330AF7">
        <w:t>.</w:t>
      </w:r>
      <w:r w:rsidR="00EE4FC3">
        <w:t xml:space="preserve">  </w:t>
      </w:r>
      <w:r w:rsidRPr="00382917">
        <w:t>Mullá</w:t>
      </w:r>
      <w:r w:rsidR="00EE4FC3">
        <w:t xml:space="preserve"> </w:t>
      </w:r>
      <w:r w:rsidR="00964C11" w:rsidRPr="00382917">
        <w:t>Ḥusayn</w:t>
      </w:r>
      <w:r w:rsidR="00EE4FC3">
        <w:t xml:space="preserve"> </w:t>
      </w:r>
      <w:r w:rsidRPr="00382917">
        <w:t>and</w:t>
      </w:r>
      <w:r w:rsidR="00EE4FC3">
        <w:t xml:space="preserve"> </w:t>
      </w:r>
      <w:r w:rsidRPr="00382917">
        <w:t>his</w:t>
      </w:r>
      <w:r w:rsidR="00EE4FC3">
        <w:t xml:space="preserve"> </w:t>
      </w:r>
      <w:r w:rsidRPr="00382917">
        <w:t>companions</w:t>
      </w:r>
      <w:r w:rsidR="00EE4FC3">
        <w:t xml:space="preserve"> </w:t>
      </w:r>
      <w:r w:rsidRPr="00382917">
        <w:t>were</w:t>
      </w:r>
      <w:r w:rsidR="00EE4FC3">
        <w:t xml:space="preserve"> </w:t>
      </w:r>
      <w:r w:rsidRPr="00382917">
        <w:t>surprised,</w:t>
      </w:r>
      <w:r w:rsidR="00EE4FC3">
        <w:t xml:space="preserve"> </w:t>
      </w:r>
      <w:r w:rsidRPr="00382917">
        <w:t>knowing</w:t>
      </w:r>
      <w:r w:rsidR="00EE4FC3">
        <w:t xml:space="preserve"> </w:t>
      </w:r>
      <w:r w:rsidRPr="00382917">
        <w:t>that</w:t>
      </w:r>
      <w:r w:rsidR="00EE4FC3">
        <w:t xml:space="preserve"> </w:t>
      </w:r>
      <w:r w:rsidRPr="00382917">
        <w:t>Quddús</w:t>
      </w:r>
      <w:r w:rsidR="00EE4FC3">
        <w:t xml:space="preserve"> </w:t>
      </w:r>
      <w:r w:rsidRPr="00382917">
        <w:t>was</w:t>
      </w:r>
      <w:r w:rsidR="00EE4FC3">
        <w:t xml:space="preserve"> </w:t>
      </w:r>
      <w:r w:rsidRPr="00382917">
        <w:t>being</w:t>
      </w:r>
      <w:r w:rsidR="00EE4FC3">
        <w:t xml:space="preserve"> </w:t>
      </w:r>
      <w:r w:rsidRPr="00382917">
        <w:t>held</w:t>
      </w:r>
      <w:r w:rsidR="00EE4FC3">
        <w:t xml:space="preserve"> </w:t>
      </w:r>
      <w:r w:rsidRPr="00382917">
        <w:t>prisoner</w:t>
      </w:r>
      <w:r w:rsidR="00330AF7">
        <w:t>.</w:t>
      </w:r>
      <w:r w:rsidR="00EE4FC3">
        <w:t xml:space="preserve">  </w:t>
      </w:r>
      <w:r w:rsidRPr="00382917">
        <w:t>Bahá</w:t>
      </w:r>
      <w:r w:rsidR="009C713D" w:rsidRPr="00382917">
        <w:t>’</w:t>
      </w:r>
      <w:r w:rsidRPr="00382917">
        <w:t>u</w:t>
      </w:r>
      <w:r w:rsidR="009C713D" w:rsidRPr="00382917">
        <w:t>’</w:t>
      </w:r>
      <w:r w:rsidRPr="00382917">
        <w:t>lláh</w:t>
      </w:r>
      <w:r w:rsidR="00EE4FC3">
        <w:t xml:space="preserve"> </w:t>
      </w:r>
      <w:r w:rsidRPr="00382917">
        <w:t>assured</w:t>
      </w:r>
      <w:r w:rsidR="00EE4FC3">
        <w:t xml:space="preserve"> </w:t>
      </w:r>
      <w:r w:rsidRPr="00382917">
        <w:t>them,</w:t>
      </w:r>
      <w:r w:rsidR="00EE4FC3">
        <w:t xml:space="preserve"> </w:t>
      </w:r>
      <w:r w:rsidR="009C713D" w:rsidRPr="00382917">
        <w:t>“</w:t>
      </w:r>
      <w:r w:rsidRPr="00382917">
        <w:t>The</w:t>
      </w:r>
      <w:r w:rsidR="00EE4FC3">
        <w:t xml:space="preserve"> </w:t>
      </w:r>
      <w:r w:rsidRPr="00382917">
        <w:t>fear</w:t>
      </w:r>
      <w:r w:rsidR="00EE4FC3">
        <w:t xml:space="preserve"> </w:t>
      </w:r>
      <w:r w:rsidRPr="00382917">
        <w:t>of</w:t>
      </w:r>
      <w:r w:rsidR="00EE4FC3">
        <w:t xml:space="preserve"> </w:t>
      </w:r>
      <w:r w:rsidRPr="00382917">
        <w:t>God</w:t>
      </w:r>
      <w:r w:rsidR="00EE4FC3">
        <w:t xml:space="preserve"> </w:t>
      </w:r>
      <w:r w:rsidRPr="00382917">
        <w:t>and</w:t>
      </w:r>
      <w:r w:rsidR="00EE4FC3">
        <w:t xml:space="preserve"> </w:t>
      </w:r>
      <w:r w:rsidRPr="00382917">
        <w:t>the</w:t>
      </w:r>
      <w:r w:rsidR="00EE4FC3">
        <w:t xml:space="preserve"> </w:t>
      </w:r>
      <w:r w:rsidRPr="00382917">
        <w:t>dread</w:t>
      </w:r>
      <w:r w:rsidR="00EE4FC3">
        <w:t xml:space="preserve"> </w:t>
      </w:r>
      <w:r w:rsidRPr="00382917">
        <w:t>of</w:t>
      </w:r>
      <w:r w:rsidR="00EE4FC3">
        <w:t xml:space="preserve"> </w:t>
      </w:r>
      <w:r w:rsidRPr="00382917">
        <w:t>His</w:t>
      </w:r>
      <w:r w:rsidR="00EE4FC3">
        <w:t xml:space="preserve"> </w:t>
      </w:r>
      <w:r w:rsidRPr="00382917">
        <w:t>punishment</w:t>
      </w:r>
      <w:r w:rsidR="00EE4FC3">
        <w:t xml:space="preserve"> </w:t>
      </w:r>
      <w:r w:rsidRPr="00382917">
        <w:t>will</w:t>
      </w:r>
      <w:r w:rsidR="00EE4FC3">
        <w:t xml:space="preserve"> </w:t>
      </w:r>
      <w:r w:rsidRPr="00382917">
        <w:t>prompt</w:t>
      </w:r>
      <w:r w:rsidR="00EE4FC3">
        <w:t xml:space="preserve"> </w:t>
      </w:r>
      <w:r w:rsidRPr="00382917">
        <w:t>him</w:t>
      </w:r>
      <w:r w:rsidR="00EE4FC3">
        <w:t xml:space="preserve"> </w:t>
      </w:r>
      <w:r w:rsidRPr="00382917">
        <w:t>to</w:t>
      </w:r>
      <w:r w:rsidR="00EE4FC3">
        <w:t xml:space="preserve"> </w:t>
      </w:r>
      <w:r w:rsidRPr="00382917">
        <w:t>surrender</w:t>
      </w:r>
      <w:r w:rsidR="00EE4FC3">
        <w:t xml:space="preserve"> </w:t>
      </w:r>
      <w:r w:rsidRPr="00382917">
        <w:t>unhesitatingly</w:t>
      </w:r>
      <w:r w:rsidR="00EE4FC3">
        <w:t xml:space="preserve"> </w:t>
      </w:r>
      <w:r w:rsidRPr="00382917">
        <w:t>his</w:t>
      </w:r>
      <w:r w:rsidR="00EE4FC3">
        <w:t xml:space="preserve"> </w:t>
      </w:r>
      <w:r w:rsidRPr="00382917">
        <w:t>captive.</w:t>
      </w:r>
      <w:r w:rsidR="009C713D" w:rsidRPr="00382917">
        <w:t>”</w:t>
      </w:r>
    </w:p>
    <w:p w:rsidR="001D2FA7" w:rsidRPr="00382917" w:rsidRDefault="001D2FA7" w:rsidP="007B319A">
      <w:pPr>
        <w:pStyle w:val="Text"/>
      </w:pPr>
      <w:r w:rsidRPr="00382917">
        <w:t>Before</w:t>
      </w:r>
      <w:r w:rsidR="00EE4FC3">
        <w:t xml:space="preserve"> </w:t>
      </w:r>
      <w:r w:rsidRPr="00382917">
        <w:t>Bahá</w:t>
      </w:r>
      <w:r w:rsidR="009C713D" w:rsidRPr="00382917">
        <w:t>’</w:t>
      </w:r>
      <w:r w:rsidRPr="00382917">
        <w:t>u</w:t>
      </w:r>
      <w:r w:rsidR="009C713D" w:rsidRPr="00382917">
        <w:t>’</w:t>
      </w:r>
      <w:r w:rsidRPr="00382917">
        <w:t>lláh</w:t>
      </w:r>
      <w:r w:rsidR="00EE4FC3">
        <w:t xml:space="preserve"> </w:t>
      </w:r>
      <w:r w:rsidRPr="00382917">
        <w:t>left</w:t>
      </w:r>
      <w:r w:rsidR="00EE4FC3">
        <w:t xml:space="preserve"> </w:t>
      </w:r>
      <w:r w:rsidRPr="00382917">
        <w:t>Ṭabarsí,</w:t>
      </w:r>
      <w:r w:rsidR="00EE4FC3">
        <w:t xml:space="preserve"> </w:t>
      </w:r>
      <w:r w:rsidRPr="00382917">
        <w:t>He</w:t>
      </w:r>
      <w:r w:rsidR="00EE4FC3">
        <w:t xml:space="preserve"> </w:t>
      </w:r>
      <w:r w:rsidRPr="00382917">
        <w:t>told</w:t>
      </w:r>
      <w:r w:rsidR="00EE4FC3">
        <w:t xml:space="preserve"> </w:t>
      </w:r>
      <w:r w:rsidRPr="00382917">
        <w:t>the</w:t>
      </w:r>
      <w:r w:rsidR="00EE4FC3">
        <w:t xml:space="preserve"> </w:t>
      </w:r>
      <w:r w:rsidRPr="00382917">
        <w:t>friends</w:t>
      </w:r>
      <w:r w:rsidR="00EE4FC3">
        <w:t xml:space="preserve"> </w:t>
      </w:r>
      <w:r w:rsidRPr="00382917">
        <w:t>to</w:t>
      </w:r>
      <w:r w:rsidR="00EE4FC3">
        <w:t xml:space="preserve"> </w:t>
      </w:r>
      <w:r w:rsidRPr="00382917">
        <w:t>be</w:t>
      </w:r>
      <w:r w:rsidR="00EE4FC3">
        <w:t xml:space="preserve"> </w:t>
      </w:r>
      <w:r w:rsidRPr="00382917">
        <w:t>patient</w:t>
      </w:r>
      <w:r w:rsidR="00EE4FC3">
        <w:t xml:space="preserve"> </w:t>
      </w:r>
      <w:r w:rsidRPr="00382917">
        <w:t>and</w:t>
      </w:r>
      <w:r w:rsidR="00EE4FC3">
        <w:t xml:space="preserve"> </w:t>
      </w:r>
      <w:r w:rsidRPr="00382917">
        <w:t>resigned</w:t>
      </w:r>
      <w:r w:rsidR="00EE4FC3">
        <w:t xml:space="preserve"> </w:t>
      </w:r>
      <w:r w:rsidRPr="00382917">
        <w:t>to</w:t>
      </w:r>
      <w:r w:rsidR="00EE4FC3">
        <w:t xml:space="preserve"> </w:t>
      </w:r>
      <w:r w:rsidRPr="00382917">
        <w:t>the</w:t>
      </w:r>
      <w:r w:rsidR="00EE4FC3">
        <w:t xml:space="preserve"> </w:t>
      </w:r>
      <w:r w:rsidRPr="00382917">
        <w:t>Will</w:t>
      </w:r>
      <w:r w:rsidR="00EE4FC3">
        <w:t xml:space="preserve"> </w:t>
      </w:r>
      <w:r w:rsidRPr="00382917">
        <w:t>of</w:t>
      </w:r>
      <w:r w:rsidR="00EE4FC3">
        <w:t xml:space="preserve"> </w:t>
      </w:r>
      <w:r w:rsidRPr="00382917">
        <w:t>God</w:t>
      </w:r>
      <w:r w:rsidR="00330AF7">
        <w:t>.</w:t>
      </w:r>
      <w:r w:rsidR="00EE4FC3">
        <w:t xml:space="preserve">  </w:t>
      </w:r>
      <w:r w:rsidR="009C713D" w:rsidRPr="00382917">
        <w:t>“</w:t>
      </w:r>
      <w:r w:rsidRPr="00382917">
        <w:t>If</w:t>
      </w:r>
      <w:r w:rsidR="00EE4FC3">
        <w:t xml:space="preserve"> </w:t>
      </w:r>
      <w:r w:rsidRPr="00382917">
        <w:t>it</w:t>
      </w:r>
      <w:r w:rsidR="00EE4FC3">
        <w:t xml:space="preserve"> </w:t>
      </w:r>
      <w:r w:rsidRPr="00382917">
        <w:t>be</w:t>
      </w:r>
      <w:r w:rsidR="00EE4FC3">
        <w:t xml:space="preserve"> </w:t>
      </w:r>
      <w:r w:rsidRPr="00382917">
        <w:t>His</w:t>
      </w:r>
      <w:r w:rsidR="00EE4FC3">
        <w:t xml:space="preserve"> </w:t>
      </w:r>
      <w:r w:rsidRPr="00382917">
        <w:t>will,</w:t>
      </w:r>
      <w:r w:rsidR="00EE4FC3">
        <w:t xml:space="preserve"> </w:t>
      </w:r>
      <w:proofErr w:type="gramStart"/>
      <w:r w:rsidRPr="00382917">
        <w:t>We</w:t>
      </w:r>
      <w:proofErr w:type="gramEnd"/>
      <w:r w:rsidR="00EE4FC3">
        <w:t xml:space="preserve"> </w:t>
      </w:r>
      <w:r w:rsidRPr="00382917">
        <w:t>shall</w:t>
      </w:r>
      <w:r w:rsidR="00EE4FC3">
        <w:t xml:space="preserve"> </w:t>
      </w:r>
      <w:r w:rsidRPr="00382917">
        <w:t>once</w:t>
      </w:r>
      <w:r w:rsidR="00EE4FC3">
        <w:t xml:space="preserve"> </w:t>
      </w:r>
      <w:r w:rsidRPr="00382917">
        <w:t>again</w:t>
      </w:r>
      <w:r w:rsidR="00EE4FC3">
        <w:t xml:space="preserve"> </w:t>
      </w:r>
      <w:r w:rsidRPr="00382917">
        <w:t>visit</w:t>
      </w:r>
      <w:r w:rsidR="00EE4FC3">
        <w:t xml:space="preserve"> </w:t>
      </w:r>
      <w:r w:rsidRPr="00382917">
        <w:t>you</w:t>
      </w:r>
      <w:r w:rsidR="00EE4FC3">
        <w:t xml:space="preserve"> </w:t>
      </w:r>
      <w:r w:rsidRPr="00382917">
        <w:t>at</w:t>
      </w:r>
      <w:r w:rsidR="00EE4FC3">
        <w:t xml:space="preserve"> </w:t>
      </w:r>
      <w:r w:rsidRPr="00382917">
        <w:t>this</w:t>
      </w:r>
      <w:r w:rsidR="00EE4FC3">
        <w:t xml:space="preserve"> </w:t>
      </w:r>
      <w:r w:rsidRPr="00382917">
        <w:t>same</w:t>
      </w:r>
      <w:r w:rsidR="00EE4FC3">
        <w:t xml:space="preserve"> </w:t>
      </w:r>
      <w:r w:rsidRPr="00382917">
        <w:t>spot</w:t>
      </w:r>
      <w:r w:rsidR="00EE4FC3">
        <w:t xml:space="preserve"> </w:t>
      </w:r>
      <w:r w:rsidRPr="00382917">
        <w:t>and</w:t>
      </w:r>
      <w:r w:rsidR="00EE4FC3">
        <w:t xml:space="preserve"> </w:t>
      </w:r>
      <w:r w:rsidRPr="00382917">
        <w:t>shall</w:t>
      </w:r>
      <w:r w:rsidR="00EE4FC3">
        <w:t xml:space="preserve"> </w:t>
      </w:r>
      <w:r w:rsidRPr="00382917">
        <w:t>lend</w:t>
      </w:r>
      <w:r w:rsidR="00EE4FC3">
        <w:t xml:space="preserve"> </w:t>
      </w:r>
      <w:r w:rsidRPr="00382917">
        <w:t>you</w:t>
      </w:r>
      <w:r w:rsidR="00EE4FC3">
        <w:t xml:space="preserve"> </w:t>
      </w:r>
      <w:r w:rsidRPr="00382917">
        <w:t>Our</w:t>
      </w:r>
      <w:r w:rsidR="00EE4FC3">
        <w:t xml:space="preserve"> </w:t>
      </w:r>
      <w:r w:rsidRPr="00382917">
        <w:t>assistance.</w:t>
      </w:r>
      <w:r w:rsidR="009C713D" w:rsidRPr="00382917">
        <w:t>”</w:t>
      </w:r>
    </w:p>
    <w:p w:rsidR="001D2FA7" w:rsidRPr="00382917" w:rsidRDefault="001D2FA7" w:rsidP="007B319A">
      <w:pPr>
        <w:pStyle w:val="Text"/>
      </w:pPr>
      <w:r w:rsidRPr="00382917">
        <w:t>Mullá</w:t>
      </w:r>
      <w:r w:rsidR="00EE4FC3">
        <w:t xml:space="preserve"> </w:t>
      </w:r>
      <w:r w:rsidR="00964C11" w:rsidRPr="00382917">
        <w:t>Ḥusayn</w:t>
      </w:r>
      <w:r w:rsidR="00EE4FC3">
        <w:t xml:space="preserve"> </w:t>
      </w:r>
      <w:r w:rsidRPr="00382917">
        <w:t>sent</w:t>
      </w:r>
      <w:r w:rsidR="00EE4FC3">
        <w:t xml:space="preserve"> </w:t>
      </w:r>
      <w:r w:rsidRPr="00382917">
        <w:t>six</w:t>
      </w:r>
      <w:r w:rsidR="00EE4FC3">
        <w:t xml:space="preserve"> </w:t>
      </w:r>
      <w:r w:rsidRPr="00382917">
        <w:t>of</w:t>
      </w:r>
      <w:r w:rsidR="00EE4FC3">
        <w:t xml:space="preserve"> </w:t>
      </w:r>
      <w:r w:rsidRPr="00382917">
        <w:t>his</w:t>
      </w:r>
      <w:r w:rsidR="00EE4FC3">
        <w:t xml:space="preserve"> </w:t>
      </w:r>
      <w:r w:rsidRPr="00382917">
        <w:t>companions</w:t>
      </w:r>
      <w:r w:rsidR="00EE4FC3">
        <w:t xml:space="preserve"> </w:t>
      </w:r>
      <w:r w:rsidRPr="00382917">
        <w:t>to</w:t>
      </w:r>
      <w:r w:rsidR="00EE4FC3">
        <w:t xml:space="preserve"> </w:t>
      </w:r>
      <w:r w:rsidRPr="00382917">
        <w:t>Sárí</w:t>
      </w:r>
      <w:r w:rsidR="00EE4FC3">
        <w:t xml:space="preserve"> </w:t>
      </w:r>
      <w:r w:rsidRPr="00382917">
        <w:t>with</w:t>
      </w:r>
      <w:r w:rsidR="00EE4FC3">
        <w:t xml:space="preserve"> </w:t>
      </w:r>
      <w:r w:rsidRPr="00382917">
        <w:t>Bahá</w:t>
      </w:r>
      <w:r w:rsidR="009C713D" w:rsidRPr="00382917">
        <w:t>’</w:t>
      </w:r>
      <w:r w:rsidRPr="00382917">
        <w:t>u</w:t>
      </w:r>
      <w:r w:rsidR="009C713D" w:rsidRPr="00382917">
        <w:t>’</w:t>
      </w:r>
      <w:r w:rsidRPr="00382917">
        <w:t>lláh</w:t>
      </w:r>
      <w:r w:rsidR="009C713D" w:rsidRPr="00382917">
        <w:t>’</w:t>
      </w:r>
      <w:r w:rsidRPr="00382917">
        <w:t>s</w:t>
      </w:r>
      <w:r w:rsidR="00EE4FC3">
        <w:t xml:space="preserve"> </w:t>
      </w:r>
      <w:r w:rsidRPr="00382917">
        <w:t>message</w:t>
      </w:r>
      <w:r w:rsidR="00330AF7">
        <w:t>.</w:t>
      </w:r>
      <w:r w:rsidR="00EE4FC3">
        <w:t xml:space="preserve">  </w:t>
      </w:r>
      <w:r w:rsidRPr="00382917">
        <w:t>Muḥammad</w:t>
      </w:r>
      <w:r w:rsidR="00EE4FC3">
        <w:t xml:space="preserve"> </w:t>
      </w:r>
      <w:r w:rsidRPr="00382917">
        <w:t>Taqí</w:t>
      </w:r>
      <w:r w:rsidR="00EE4FC3">
        <w:t xml:space="preserve"> </w:t>
      </w:r>
      <w:r w:rsidRPr="00382917">
        <w:t>released</w:t>
      </w:r>
      <w:r w:rsidR="00EE4FC3">
        <w:t xml:space="preserve"> </w:t>
      </w:r>
      <w:r w:rsidRPr="00382917">
        <w:t>Quddús</w:t>
      </w:r>
      <w:r w:rsidR="00EE4FC3">
        <w:t xml:space="preserve"> </w:t>
      </w:r>
      <w:r w:rsidRPr="00382917">
        <w:t>at</w:t>
      </w:r>
      <w:r w:rsidR="00EE4FC3">
        <w:t xml:space="preserve"> </w:t>
      </w:r>
      <w:r w:rsidRPr="00382917">
        <w:t>once,</w:t>
      </w:r>
      <w:r w:rsidR="00EE4FC3">
        <w:t xml:space="preserve"> </w:t>
      </w:r>
      <w:r w:rsidRPr="00382917">
        <w:t>to</w:t>
      </w:r>
      <w:r w:rsidR="00EE4FC3">
        <w:t xml:space="preserve"> </w:t>
      </w:r>
      <w:r w:rsidRPr="00382917">
        <w:t>the</w:t>
      </w:r>
      <w:r w:rsidR="00EE4FC3">
        <w:t xml:space="preserve"> </w:t>
      </w:r>
      <w:r w:rsidRPr="00382917">
        <w:t>astonishment</w:t>
      </w:r>
      <w:r w:rsidR="00EE4FC3">
        <w:t xml:space="preserve"> </w:t>
      </w:r>
      <w:r w:rsidRPr="00382917">
        <w:t>of</w:t>
      </w:r>
      <w:r w:rsidR="00EE4FC3">
        <w:t xml:space="preserve"> </w:t>
      </w:r>
      <w:r w:rsidRPr="00382917">
        <w:t>all.</w:t>
      </w:r>
    </w:p>
    <w:p w:rsidR="001D2FA7" w:rsidRPr="00382917" w:rsidRDefault="001D2FA7" w:rsidP="007B319A">
      <w:pPr>
        <w:pStyle w:val="Text"/>
      </w:pPr>
      <w:r w:rsidRPr="00382917">
        <w:t>Mullá</w:t>
      </w:r>
      <w:r w:rsidR="00EE4FC3">
        <w:t xml:space="preserve"> </w:t>
      </w:r>
      <w:proofErr w:type="spellStart"/>
      <w:r w:rsidR="00964C11" w:rsidRPr="00382917">
        <w:t>Ḥusayn</w:t>
      </w:r>
      <w:r w:rsidR="009C713D" w:rsidRPr="00382917">
        <w:t>’</w:t>
      </w:r>
      <w:r w:rsidRPr="00382917">
        <w:t>s</w:t>
      </w:r>
      <w:proofErr w:type="spellEnd"/>
      <w:r w:rsidR="00EE4FC3">
        <w:t xml:space="preserve"> </w:t>
      </w:r>
      <w:r w:rsidRPr="00382917">
        <w:t>companions</w:t>
      </w:r>
      <w:r w:rsidR="00EE4FC3">
        <w:t xml:space="preserve"> </w:t>
      </w:r>
      <w:r w:rsidRPr="00382917">
        <w:t>were</w:t>
      </w:r>
      <w:r w:rsidR="00EE4FC3">
        <w:t xml:space="preserve"> </w:t>
      </w:r>
      <w:r w:rsidRPr="00382917">
        <w:t>deeply</w:t>
      </w:r>
      <w:r w:rsidR="00EE4FC3">
        <w:t xml:space="preserve"> </w:t>
      </w:r>
      <w:r w:rsidRPr="00382917">
        <w:t>moved</w:t>
      </w:r>
      <w:r w:rsidR="00EE4FC3">
        <w:t xml:space="preserve"> </w:t>
      </w:r>
      <w:r w:rsidRPr="00382917">
        <w:t>by</w:t>
      </w:r>
      <w:r w:rsidR="00EE4FC3">
        <w:t xml:space="preserve"> </w:t>
      </w:r>
      <w:r w:rsidRPr="00382917">
        <w:t>the</w:t>
      </w:r>
      <w:r w:rsidR="00EE4FC3">
        <w:t xml:space="preserve"> </w:t>
      </w:r>
      <w:r w:rsidRPr="00382917">
        <w:t>effect</w:t>
      </w:r>
      <w:r w:rsidR="00EE4FC3">
        <w:t xml:space="preserve"> </w:t>
      </w:r>
      <w:r w:rsidRPr="00382917">
        <w:t>of</w:t>
      </w:r>
      <w:r w:rsidR="00EE4FC3">
        <w:t xml:space="preserve"> </w:t>
      </w:r>
      <w:r w:rsidRPr="00382917">
        <w:t>Bahá</w:t>
      </w:r>
      <w:r w:rsidR="009C713D" w:rsidRPr="00382917">
        <w:t>’</w:t>
      </w:r>
      <w:r w:rsidRPr="00382917">
        <w:t>u</w:t>
      </w:r>
      <w:r w:rsidR="009C713D" w:rsidRPr="00382917">
        <w:t>’</w:t>
      </w:r>
      <w:r w:rsidRPr="00382917">
        <w:t>lláh</w:t>
      </w:r>
      <w:r w:rsidR="009C713D" w:rsidRPr="00382917">
        <w:t>’</w:t>
      </w:r>
      <w:r w:rsidRPr="00382917">
        <w:t>s</w:t>
      </w:r>
      <w:r w:rsidR="00EE4FC3">
        <w:t xml:space="preserve"> </w:t>
      </w:r>
      <w:r w:rsidRPr="00382917">
        <w:t>presence</w:t>
      </w:r>
      <w:r w:rsidR="00EE4FC3">
        <w:t xml:space="preserve"> </w:t>
      </w:r>
      <w:r w:rsidRPr="00382917">
        <w:t>upon</w:t>
      </w:r>
      <w:r w:rsidR="00EE4FC3">
        <w:t xml:space="preserve"> </w:t>
      </w:r>
      <w:r w:rsidRPr="00382917">
        <w:t>them</w:t>
      </w:r>
      <w:r w:rsidR="00EE4FC3">
        <w:t xml:space="preserve"> </w:t>
      </w:r>
      <w:r w:rsidRPr="00382917">
        <w:t>all</w:t>
      </w:r>
      <w:r w:rsidR="00330AF7">
        <w:t>.</w:t>
      </w:r>
      <w:r w:rsidR="00EE4FC3">
        <w:t xml:space="preserve">  </w:t>
      </w:r>
      <w:r w:rsidRPr="00382917">
        <w:t>One</w:t>
      </w:r>
      <w:r w:rsidR="00EE4FC3">
        <w:t xml:space="preserve"> </w:t>
      </w:r>
      <w:r w:rsidRPr="00382917">
        <w:t>of</w:t>
      </w:r>
      <w:r w:rsidR="00EE4FC3">
        <w:t xml:space="preserve"> </w:t>
      </w:r>
      <w:r w:rsidRPr="00382917">
        <w:t>them</w:t>
      </w:r>
      <w:r w:rsidR="00EE4FC3">
        <w:t xml:space="preserve"> </w:t>
      </w:r>
      <w:r w:rsidRPr="00382917">
        <w:t>has</w:t>
      </w:r>
      <w:r w:rsidR="00EE4FC3">
        <w:t xml:space="preserve"> </w:t>
      </w:r>
      <w:r w:rsidRPr="00382917">
        <w:t>left</w:t>
      </w:r>
      <w:r w:rsidR="00EE4FC3">
        <w:t xml:space="preserve"> </w:t>
      </w:r>
      <w:r w:rsidRPr="00382917">
        <w:t>this</w:t>
      </w:r>
      <w:r w:rsidR="00EE4FC3">
        <w:t xml:space="preserve"> </w:t>
      </w:r>
      <w:r w:rsidRPr="00382917">
        <w:t>memory</w:t>
      </w:r>
      <w:r w:rsidR="00EE4FC3">
        <w:t xml:space="preserve"> </w:t>
      </w:r>
      <w:r w:rsidRPr="00382917">
        <w:t>of</w:t>
      </w:r>
      <w:r w:rsidR="00EE4FC3">
        <w:t xml:space="preserve"> </w:t>
      </w:r>
      <w:r w:rsidRPr="00382917">
        <w:t>Mullá</w:t>
      </w:r>
      <w:r w:rsidR="00EE4FC3">
        <w:t xml:space="preserve"> </w:t>
      </w:r>
      <w:proofErr w:type="spellStart"/>
      <w:r w:rsidR="00964C11" w:rsidRPr="00382917">
        <w:t>Ḥusayn</w:t>
      </w:r>
      <w:r w:rsidR="009C713D" w:rsidRPr="00382917">
        <w:t>’</w:t>
      </w:r>
      <w:r w:rsidRPr="00382917">
        <w:t>s</w:t>
      </w:r>
      <w:proofErr w:type="spellEnd"/>
      <w:r w:rsidR="00EE4FC3">
        <w:t xml:space="preserve"> </w:t>
      </w:r>
      <w:r w:rsidRPr="00382917">
        <w:t>reaction</w:t>
      </w:r>
      <w:r w:rsidR="00EE4FC3">
        <w:t xml:space="preserve"> </w:t>
      </w:r>
      <w:r w:rsidRPr="00382917">
        <w:t>to</w:t>
      </w:r>
      <w:r w:rsidR="00EE4FC3">
        <w:t xml:space="preserve"> </w:t>
      </w:r>
      <w:r w:rsidRPr="00382917">
        <w:t>that</w:t>
      </w:r>
      <w:r w:rsidR="00EE4FC3">
        <w:t xml:space="preserve"> </w:t>
      </w:r>
      <w:r w:rsidRPr="00382917">
        <w:t>visit:</w:t>
      </w:r>
    </w:p>
    <w:p w:rsidR="001D2FA7" w:rsidRPr="00382917" w:rsidRDefault="009C713D" w:rsidP="007B319A">
      <w:pPr>
        <w:pStyle w:val="Text"/>
      </w:pPr>
      <w:r w:rsidRPr="00382917">
        <w:t>“</w:t>
      </w:r>
      <w:r w:rsidR="001D2FA7" w:rsidRPr="00382917">
        <w:t>I</w:t>
      </w:r>
      <w:r w:rsidR="00EE4FC3">
        <w:t xml:space="preserve"> </w:t>
      </w:r>
      <w:r w:rsidR="001D2FA7" w:rsidRPr="00382917">
        <w:t>can</w:t>
      </w:r>
      <w:r w:rsidR="00EE4FC3">
        <w:t xml:space="preserve"> </w:t>
      </w:r>
      <w:r w:rsidR="001D2FA7" w:rsidRPr="00382917">
        <w:t>still</w:t>
      </w:r>
      <w:r w:rsidR="00EE4FC3">
        <w:t xml:space="preserve"> </w:t>
      </w:r>
      <w:r w:rsidR="001D2FA7" w:rsidRPr="00382917">
        <w:t>remember</w:t>
      </w:r>
      <w:r w:rsidR="00EE4FC3">
        <w:t xml:space="preserve"> </w:t>
      </w:r>
      <w:r w:rsidR="001D2FA7" w:rsidRPr="00382917">
        <w:t>him</w:t>
      </w:r>
      <w:r w:rsidR="00EE4FC3">
        <w:t xml:space="preserve"> </w:t>
      </w:r>
      <w:r w:rsidR="001D2FA7" w:rsidRPr="00382917">
        <w:t>[Mullá</w:t>
      </w:r>
      <w:r w:rsidR="00EE4FC3">
        <w:t xml:space="preserve"> </w:t>
      </w:r>
      <w:r w:rsidR="00964C11" w:rsidRPr="00382917">
        <w:t>Ḥusayn</w:t>
      </w:r>
      <w:r w:rsidR="001D2FA7" w:rsidRPr="00382917">
        <w:t>]</w:t>
      </w:r>
      <w:r w:rsidR="00EE4FC3">
        <w:t xml:space="preserve"> </w:t>
      </w:r>
      <w:r w:rsidR="001D2FA7" w:rsidRPr="00382917">
        <w:t>as</w:t>
      </w:r>
      <w:r w:rsidR="00EE4FC3">
        <w:t xml:space="preserve"> </w:t>
      </w:r>
      <w:r w:rsidR="001D2FA7" w:rsidRPr="00382917">
        <w:t>he</w:t>
      </w:r>
      <w:r w:rsidR="00EE4FC3">
        <w:t xml:space="preserve"> </w:t>
      </w:r>
      <w:r w:rsidR="001D2FA7" w:rsidRPr="00382917">
        <w:t>advanced</w:t>
      </w:r>
      <w:r w:rsidR="00EE4FC3">
        <w:t xml:space="preserve"> </w:t>
      </w:r>
      <w:r w:rsidR="001D2FA7" w:rsidRPr="00382917">
        <w:t>towards</w:t>
      </w:r>
      <w:r w:rsidR="00EE4FC3">
        <w:t xml:space="preserve"> </w:t>
      </w:r>
      <w:r w:rsidR="001D2FA7" w:rsidRPr="00382917">
        <w:t>me</w:t>
      </w:r>
      <w:r w:rsidR="00EE4FC3">
        <w:t xml:space="preserve"> </w:t>
      </w:r>
      <w:r w:rsidR="001D2FA7" w:rsidRPr="00382917">
        <w:t>in</w:t>
      </w:r>
      <w:r w:rsidR="00EE4FC3">
        <w:t xml:space="preserve"> </w:t>
      </w:r>
      <w:r w:rsidR="001D2FA7" w:rsidRPr="00382917">
        <w:t>the</w:t>
      </w:r>
      <w:r w:rsidR="00EE4FC3">
        <w:t xml:space="preserve"> </w:t>
      </w:r>
      <w:r w:rsidR="001D2FA7" w:rsidRPr="00382917">
        <w:t>stillness</w:t>
      </w:r>
      <w:r w:rsidR="00EE4FC3">
        <w:t xml:space="preserve"> </w:t>
      </w:r>
      <w:r w:rsidR="001D2FA7" w:rsidRPr="00382917">
        <w:t>of</w:t>
      </w:r>
      <w:r w:rsidR="00EE4FC3">
        <w:t xml:space="preserve"> </w:t>
      </w:r>
      <w:r w:rsidR="001D2FA7" w:rsidRPr="00382917">
        <w:t>those</w:t>
      </w:r>
      <w:r w:rsidR="00EE4FC3">
        <w:t xml:space="preserve"> </w:t>
      </w:r>
      <w:r w:rsidR="001D2FA7" w:rsidRPr="00382917">
        <w:t>dark</w:t>
      </w:r>
      <w:r w:rsidR="00EE4FC3">
        <w:t xml:space="preserve"> </w:t>
      </w:r>
      <w:r w:rsidR="001D2FA7" w:rsidRPr="00382917">
        <w:t>and</w:t>
      </w:r>
      <w:r w:rsidR="00EE4FC3">
        <w:t xml:space="preserve"> </w:t>
      </w:r>
      <w:r w:rsidR="001D2FA7" w:rsidRPr="00382917">
        <w:t>lonely</w:t>
      </w:r>
      <w:r w:rsidR="00EE4FC3">
        <w:t xml:space="preserve"> </w:t>
      </w:r>
      <w:r w:rsidR="001D2FA7" w:rsidRPr="00382917">
        <w:t>hours</w:t>
      </w:r>
      <w:r w:rsidR="00EE4FC3">
        <w:t xml:space="preserve"> </w:t>
      </w:r>
      <w:r w:rsidR="001D2FA7" w:rsidRPr="00382917">
        <w:t>which</w:t>
      </w:r>
      <w:r w:rsidR="00EE4FC3">
        <w:t xml:space="preserve"> </w:t>
      </w:r>
      <w:r w:rsidR="001D2FA7" w:rsidRPr="00382917">
        <w:t>I</w:t>
      </w:r>
      <w:r w:rsidR="00EE4FC3">
        <w:t xml:space="preserve"> </w:t>
      </w:r>
      <w:r w:rsidR="001D2FA7" w:rsidRPr="00382917">
        <w:t>devoted</w:t>
      </w:r>
      <w:r w:rsidR="00EE4FC3">
        <w:t xml:space="preserve"> </w:t>
      </w:r>
      <w:r w:rsidR="001D2FA7" w:rsidRPr="00382917">
        <w:t>to</w:t>
      </w:r>
      <w:r w:rsidR="00EE4FC3">
        <w:t xml:space="preserve"> </w:t>
      </w:r>
      <w:r w:rsidR="001D2FA7" w:rsidRPr="00382917">
        <w:t>prayer</w:t>
      </w:r>
      <w:r w:rsidR="00EE4FC3">
        <w:t xml:space="preserve"> </w:t>
      </w:r>
      <w:r w:rsidR="001D2FA7" w:rsidRPr="00382917">
        <w:t>and</w:t>
      </w:r>
      <w:r w:rsidR="00EE4FC3">
        <w:t xml:space="preserve"> </w:t>
      </w:r>
      <w:r w:rsidR="001D2FA7" w:rsidRPr="00382917">
        <w:t>meditation</w:t>
      </w:r>
      <w:r w:rsidR="00330AF7">
        <w:t>.</w:t>
      </w:r>
      <w:r w:rsidR="00EE4FC3">
        <w:t xml:space="preserve">  </w:t>
      </w:r>
      <w:r w:rsidRPr="00382917">
        <w:t>‘</w:t>
      </w:r>
      <w:r w:rsidR="001D2FA7" w:rsidRPr="00382917">
        <w:t>Banish</w:t>
      </w:r>
      <w:r w:rsidR="00EE4FC3">
        <w:t xml:space="preserve"> </w:t>
      </w:r>
      <w:r w:rsidR="001D2FA7" w:rsidRPr="00382917">
        <w:t>from</w:t>
      </w:r>
      <w:r w:rsidR="00EE4FC3">
        <w:t xml:space="preserve"> </w:t>
      </w:r>
      <w:r w:rsidR="001D2FA7" w:rsidRPr="00382917">
        <w:t>your</w:t>
      </w:r>
      <w:r w:rsidR="00EE4FC3">
        <w:t xml:space="preserve"> </w:t>
      </w:r>
      <w:r w:rsidR="001D2FA7" w:rsidRPr="00382917">
        <w:t>mind,</w:t>
      </w:r>
      <w:r w:rsidRPr="00382917">
        <w:t>’</w:t>
      </w:r>
      <w:r w:rsidR="00EE4FC3">
        <w:t xml:space="preserve"> </w:t>
      </w:r>
      <w:r w:rsidR="001D2FA7" w:rsidRPr="00382917">
        <w:t>he</w:t>
      </w:r>
      <w:r w:rsidR="00EE4FC3">
        <w:t xml:space="preserve"> </w:t>
      </w:r>
      <w:r w:rsidR="001D2FA7" w:rsidRPr="00382917">
        <w:t>told</w:t>
      </w:r>
      <w:r w:rsidR="00EE4FC3">
        <w:t xml:space="preserve"> </w:t>
      </w:r>
      <w:r w:rsidR="001D2FA7" w:rsidRPr="00382917">
        <w:t>me,</w:t>
      </w:r>
      <w:r w:rsidR="00EE4FC3">
        <w:t xml:space="preserve"> </w:t>
      </w:r>
      <w:r w:rsidRPr="00382917">
        <w:t>‘</w:t>
      </w:r>
      <w:r w:rsidR="001D2FA7" w:rsidRPr="00382917">
        <w:t>these</w:t>
      </w:r>
      <w:r w:rsidR="00EE4FC3">
        <w:t xml:space="preserve"> </w:t>
      </w:r>
      <w:r w:rsidR="001D2FA7" w:rsidRPr="00382917">
        <w:t>perplexities</w:t>
      </w:r>
      <w:r w:rsidR="00330AF7">
        <w:t>.</w:t>
      </w:r>
      <w:r w:rsidR="00EE4FC3">
        <w:t xml:space="preserve">  </w:t>
      </w:r>
      <w:r w:rsidR="001D2FA7" w:rsidRPr="00382917">
        <w:t>Arise,</w:t>
      </w:r>
      <w:r w:rsidR="00EE4FC3">
        <w:t xml:space="preserve"> </w:t>
      </w:r>
      <w:r w:rsidR="001D2FA7" w:rsidRPr="00382917">
        <w:t>and</w:t>
      </w:r>
      <w:r w:rsidR="00EE4FC3">
        <w:t xml:space="preserve"> </w:t>
      </w:r>
      <w:r w:rsidR="001D2FA7" w:rsidRPr="00382917">
        <w:t>seek</w:t>
      </w:r>
      <w:r w:rsidR="00EE4FC3">
        <w:t xml:space="preserve"> </w:t>
      </w:r>
      <w:r w:rsidR="001D2FA7" w:rsidRPr="00382917">
        <w:t>with</w:t>
      </w:r>
      <w:r w:rsidR="00EE4FC3">
        <w:t xml:space="preserve"> </w:t>
      </w:r>
      <w:r w:rsidR="001D2FA7" w:rsidRPr="00382917">
        <w:t>me</w:t>
      </w:r>
      <w:r w:rsidR="00EE4FC3">
        <w:t xml:space="preserve"> </w:t>
      </w:r>
      <w:r w:rsidR="001D2FA7" w:rsidRPr="00382917">
        <w:t>to</w:t>
      </w:r>
      <w:r w:rsidR="00EE4FC3">
        <w:t xml:space="preserve"> </w:t>
      </w:r>
      <w:r w:rsidR="001D2FA7" w:rsidRPr="00382917">
        <w:t>drink</w:t>
      </w:r>
      <w:r w:rsidR="00EE4FC3">
        <w:t xml:space="preserve"> </w:t>
      </w:r>
      <w:r w:rsidR="001D2FA7" w:rsidRPr="00382917">
        <w:t>of</w:t>
      </w:r>
      <w:r w:rsidR="00EE4FC3">
        <w:t xml:space="preserve"> </w:t>
      </w:r>
      <w:r w:rsidR="001D2FA7" w:rsidRPr="00382917">
        <w:t>the</w:t>
      </w:r>
      <w:r w:rsidR="00EE4FC3">
        <w:t xml:space="preserve"> </w:t>
      </w:r>
      <w:r w:rsidR="001D2FA7" w:rsidRPr="00382917">
        <w:t>cup</w:t>
      </w:r>
      <w:r w:rsidR="00EE4FC3">
        <w:t xml:space="preserve"> </w:t>
      </w:r>
      <w:r w:rsidR="001D2FA7" w:rsidRPr="00382917">
        <w:t>of</w:t>
      </w:r>
      <w:r w:rsidR="00EE4FC3">
        <w:t xml:space="preserve"> </w:t>
      </w:r>
      <w:r w:rsidR="001D2FA7" w:rsidRPr="00382917">
        <w:t>martyrdom</w:t>
      </w:r>
      <w:r w:rsidR="00330AF7">
        <w:t>.</w:t>
      </w:r>
      <w:r w:rsidR="00EE4FC3">
        <w:t xml:space="preserve">  </w:t>
      </w:r>
      <w:r w:rsidR="001D2FA7" w:rsidRPr="00382917">
        <w:t>Then</w:t>
      </w:r>
      <w:r w:rsidR="00EE4FC3">
        <w:t xml:space="preserve"> </w:t>
      </w:r>
      <w:r w:rsidR="001D2FA7" w:rsidRPr="00382917">
        <w:t>you</w:t>
      </w:r>
      <w:r w:rsidR="00EE4FC3">
        <w:t xml:space="preserve"> </w:t>
      </w:r>
      <w:r w:rsidR="001D2FA7" w:rsidRPr="00382917">
        <w:t>will</w:t>
      </w:r>
      <w:r w:rsidR="00EE4FC3">
        <w:t xml:space="preserve"> </w:t>
      </w:r>
      <w:r w:rsidR="001D2FA7" w:rsidRPr="00382917">
        <w:t>be</w:t>
      </w:r>
      <w:r w:rsidR="00EE4FC3">
        <w:t xml:space="preserve"> </w:t>
      </w:r>
      <w:r w:rsidR="001D2FA7" w:rsidRPr="00382917">
        <w:t>able</w:t>
      </w:r>
      <w:r w:rsidR="00EE4FC3">
        <w:t xml:space="preserve"> </w:t>
      </w:r>
      <w:r w:rsidR="001D2FA7" w:rsidRPr="00382917">
        <w:t>to</w:t>
      </w:r>
      <w:r w:rsidR="00EE4FC3">
        <w:t xml:space="preserve"> </w:t>
      </w:r>
      <w:r w:rsidR="001D2FA7" w:rsidRPr="00382917">
        <w:t>comprehend,</w:t>
      </w:r>
      <w:r w:rsidR="00EE4FC3">
        <w:t xml:space="preserve"> </w:t>
      </w:r>
      <w:r w:rsidR="001D2FA7" w:rsidRPr="00382917">
        <w:t>as</w:t>
      </w:r>
      <w:r w:rsidR="00EE4FC3">
        <w:t xml:space="preserve"> </w:t>
      </w:r>
      <w:r w:rsidR="001D2FA7" w:rsidRPr="00382917">
        <w:t>the</w:t>
      </w:r>
    </w:p>
    <w:p w:rsidR="007B319A" w:rsidRPr="00382917" w:rsidRDefault="007B319A">
      <w:pPr>
        <w:widowControl/>
        <w:kinsoku/>
        <w:overflowPunct/>
        <w:textAlignment w:val="auto"/>
      </w:pPr>
      <w:r w:rsidRPr="00382917">
        <w:br w:type="page"/>
      </w:r>
    </w:p>
    <w:p w:rsidR="001D2FA7" w:rsidRPr="00382917" w:rsidRDefault="001D2FA7" w:rsidP="007B319A">
      <w:pPr>
        <w:pStyle w:val="Textcts"/>
      </w:pPr>
      <w:proofErr w:type="gramStart"/>
      <w:r w:rsidRPr="00382917">
        <w:t>year</w:t>
      </w:r>
      <w:proofErr w:type="gramEnd"/>
      <w:r w:rsidR="00EE4FC3">
        <w:t xml:space="preserve"> </w:t>
      </w:r>
      <w:r w:rsidRPr="00382917">
        <w:t>[1863]</w:t>
      </w:r>
      <w:r w:rsidR="00EE4FC3">
        <w:t xml:space="preserve"> </w:t>
      </w:r>
      <w:r w:rsidRPr="00382917">
        <w:t>[the</w:t>
      </w:r>
      <w:r w:rsidR="00EE4FC3">
        <w:t xml:space="preserve"> </w:t>
      </w:r>
      <w:r w:rsidRPr="00382917">
        <w:t>year</w:t>
      </w:r>
      <w:r w:rsidR="00EE4FC3">
        <w:t xml:space="preserve"> </w:t>
      </w:r>
      <w:r w:rsidRPr="00382917">
        <w:t>of</w:t>
      </w:r>
      <w:r w:rsidR="00EE4FC3">
        <w:t xml:space="preserve"> </w:t>
      </w:r>
      <w:r w:rsidRPr="00382917">
        <w:t>Bahá</w:t>
      </w:r>
      <w:r w:rsidR="009C713D" w:rsidRPr="00382917">
        <w:t>’</w:t>
      </w:r>
      <w:r w:rsidRPr="00382917">
        <w:t>u</w:t>
      </w:r>
      <w:r w:rsidR="009C713D" w:rsidRPr="00382917">
        <w:t>’</w:t>
      </w:r>
      <w:r w:rsidRPr="00382917">
        <w:t>lláh</w:t>
      </w:r>
      <w:r w:rsidR="009C713D" w:rsidRPr="00382917">
        <w:t>’</w:t>
      </w:r>
      <w:r w:rsidRPr="00382917">
        <w:t>s</w:t>
      </w:r>
      <w:r w:rsidR="00EE4FC3">
        <w:t xml:space="preserve"> </w:t>
      </w:r>
      <w:r w:rsidRPr="00382917">
        <w:t>Declaration]</w:t>
      </w:r>
      <w:r w:rsidR="00EE4FC3">
        <w:t xml:space="preserve"> </w:t>
      </w:r>
      <w:r w:rsidRPr="00382917">
        <w:t>dawns</w:t>
      </w:r>
      <w:r w:rsidR="00EE4FC3">
        <w:t xml:space="preserve"> </w:t>
      </w:r>
      <w:r w:rsidRPr="00382917">
        <w:t>upon</w:t>
      </w:r>
      <w:r w:rsidR="00EE4FC3">
        <w:t xml:space="preserve"> </w:t>
      </w:r>
      <w:r w:rsidRPr="00382917">
        <w:t>the</w:t>
      </w:r>
      <w:r w:rsidR="00EE4FC3">
        <w:t xml:space="preserve"> </w:t>
      </w:r>
      <w:r w:rsidRPr="00382917">
        <w:t>world</w:t>
      </w:r>
      <w:r w:rsidR="00EE4FC3">
        <w:t xml:space="preserve"> </w:t>
      </w:r>
      <w:r w:rsidRPr="00382917">
        <w:t>the</w:t>
      </w:r>
      <w:r w:rsidR="00EE4FC3">
        <w:t xml:space="preserve"> </w:t>
      </w:r>
      <w:r w:rsidRPr="00382917">
        <w:t>secret</w:t>
      </w:r>
      <w:r w:rsidR="00EE4FC3">
        <w:t xml:space="preserve"> </w:t>
      </w:r>
      <w:r w:rsidRPr="00382917">
        <w:t>of</w:t>
      </w:r>
      <w:r w:rsidR="00EE4FC3">
        <w:t xml:space="preserve"> </w:t>
      </w:r>
      <w:r w:rsidRPr="00382917">
        <w:t>the</w:t>
      </w:r>
      <w:r w:rsidR="00EE4FC3">
        <w:t xml:space="preserve"> </w:t>
      </w:r>
      <w:r w:rsidRPr="00382917">
        <w:t>things</w:t>
      </w:r>
      <w:r w:rsidR="00EE4FC3">
        <w:t xml:space="preserve"> </w:t>
      </w:r>
      <w:r w:rsidRPr="00382917">
        <w:t>which</w:t>
      </w:r>
      <w:r w:rsidR="00EE4FC3">
        <w:t xml:space="preserve"> </w:t>
      </w:r>
      <w:r w:rsidRPr="00382917">
        <w:t>now</w:t>
      </w:r>
      <w:r w:rsidR="00EE4FC3">
        <w:t xml:space="preserve"> </w:t>
      </w:r>
      <w:r w:rsidRPr="00382917">
        <w:t>lie</w:t>
      </w:r>
      <w:r w:rsidR="00EE4FC3">
        <w:t xml:space="preserve"> </w:t>
      </w:r>
      <w:r w:rsidRPr="00382917">
        <w:t>hidden</w:t>
      </w:r>
      <w:r w:rsidR="00EE4FC3">
        <w:t xml:space="preserve"> </w:t>
      </w:r>
      <w:r w:rsidRPr="00382917">
        <w:t>from</w:t>
      </w:r>
      <w:r w:rsidR="00EE4FC3">
        <w:t xml:space="preserve"> </w:t>
      </w:r>
      <w:r w:rsidRPr="00382917">
        <w:t>you.</w:t>
      </w:r>
      <w:r w:rsidR="00D9172E">
        <w:t>’</w:t>
      </w:r>
      <w:r w:rsidR="009C713D" w:rsidRPr="00382917">
        <w:t>”</w:t>
      </w:r>
    </w:p>
    <w:p w:rsidR="00E13D49" w:rsidRPr="00382917" w:rsidRDefault="001D2FA7" w:rsidP="00D9172E">
      <w:pPr>
        <w:pStyle w:val="Text"/>
      </w:pPr>
      <w:r w:rsidRPr="00382917">
        <w:t>Bahá</w:t>
      </w:r>
      <w:r w:rsidR="009C713D" w:rsidRPr="00382917">
        <w:t>’</w:t>
      </w:r>
      <w:r w:rsidRPr="00382917">
        <w:t>u</w:t>
      </w:r>
      <w:r w:rsidR="009C713D" w:rsidRPr="00382917">
        <w:t>’</w:t>
      </w:r>
      <w:r w:rsidRPr="00382917">
        <w:t>lláh</w:t>
      </w:r>
      <w:r w:rsidR="00EE4FC3">
        <w:t xml:space="preserve"> </w:t>
      </w:r>
      <w:r w:rsidRPr="00382917">
        <w:t>was</w:t>
      </w:r>
      <w:r w:rsidR="00EE4FC3">
        <w:t xml:space="preserve"> </w:t>
      </w:r>
      <w:r w:rsidRPr="00382917">
        <w:t>also</w:t>
      </w:r>
      <w:r w:rsidR="00EE4FC3">
        <w:t xml:space="preserve"> </w:t>
      </w:r>
      <w:r w:rsidRPr="00382917">
        <w:t>the</w:t>
      </w:r>
      <w:r w:rsidR="00EE4FC3">
        <w:t xml:space="preserve"> </w:t>
      </w:r>
      <w:r w:rsidRPr="00382917">
        <w:t>moving</w:t>
      </w:r>
      <w:r w:rsidR="00EE4FC3">
        <w:t xml:space="preserve"> </w:t>
      </w:r>
      <w:r w:rsidRPr="00382917">
        <w:t>Figure</w:t>
      </w:r>
      <w:r w:rsidR="00EE4FC3">
        <w:t xml:space="preserve"> </w:t>
      </w:r>
      <w:r w:rsidRPr="00382917">
        <w:t>behind</w:t>
      </w:r>
      <w:r w:rsidR="00EE4FC3">
        <w:t xml:space="preserve"> </w:t>
      </w:r>
      <w:r w:rsidRPr="00382917">
        <w:t>the</w:t>
      </w:r>
      <w:r w:rsidR="00EE4FC3">
        <w:t xml:space="preserve"> </w:t>
      </w:r>
      <w:r w:rsidRPr="00382917">
        <w:t>conference</w:t>
      </w:r>
      <w:r w:rsidR="00EE4FC3">
        <w:t xml:space="preserve"> </w:t>
      </w:r>
      <w:r w:rsidRPr="00382917">
        <w:t>of</w:t>
      </w:r>
      <w:r w:rsidR="00EE4FC3">
        <w:t xml:space="preserve"> </w:t>
      </w:r>
      <w:r w:rsidR="00330AF7" w:rsidRPr="00382917">
        <w:t>Bada</w:t>
      </w:r>
      <w:r w:rsidR="00330AF7" w:rsidRPr="00330AF7">
        <w:rPr>
          <w:u w:val="single"/>
        </w:rPr>
        <w:t>sh</w:t>
      </w:r>
      <w:r w:rsidR="00330AF7" w:rsidRPr="00382917">
        <w:t>t</w:t>
      </w:r>
      <w:r w:rsidR="00EE4FC3">
        <w:t xml:space="preserve"> </w:t>
      </w:r>
      <w:r w:rsidRPr="00382917">
        <w:t>at</w:t>
      </w:r>
      <w:r w:rsidR="00EE4FC3">
        <w:t xml:space="preserve"> </w:t>
      </w:r>
      <w:r w:rsidRPr="00382917">
        <w:t>which</w:t>
      </w:r>
      <w:r w:rsidR="00EE4FC3">
        <w:t xml:space="preserve"> </w:t>
      </w:r>
      <w:r w:rsidRPr="00382917">
        <w:t>so</w:t>
      </w:r>
      <w:r w:rsidR="00EE4FC3">
        <w:t xml:space="preserve"> </w:t>
      </w:r>
      <w:r w:rsidRPr="00382917">
        <w:t>many</w:t>
      </w:r>
      <w:r w:rsidR="00EE4FC3">
        <w:t xml:space="preserve"> </w:t>
      </w:r>
      <w:r w:rsidRPr="00382917">
        <w:t>of</w:t>
      </w:r>
      <w:r w:rsidR="00EE4FC3">
        <w:t xml:space="preserve"> </w:t>
      </w:r>
      <w:r w:rsidRPr="00382917">
        <w:t>the</w:t>
      </w:r>
      <w:r w:rsidR="00EE4FC3">
        <w:t xml:space="preserve"> </w:t>
      </w:r>
      <w:r w:rsidRPr="00382917">
        <w:t>outstanding</w:t>
      </w:r>
      <w:r w:rsidR="00EE4FC3">
        <w:t xml:space="preserve"> </w:t>
      </w:r>
      <w:r w:rsidRPr="00382917">
        <w:t>followers</w:t>
      </w:r>
      <w:r w:rsidR="00EE4FC3">
        <w:t xml:space="preserve"> </w:t>
      </w:r>
      <w:r w:rsidRPr="00382917">
        <w:t>of</w:t>
      </w:r>
      <w:r w:rsidR="00EE4FC3">
        <w:t xml:space="preserve"> </w:t>
      </w:r>
      <w:r w:rsidRPr="00382917">
        <w:t>the</w:t>
      </w:r>
      <w:r w:rsidR="00EE4FC3">
        <w:t xml:space="preserve"> </w:t>
      </w:r>
      <w:r w:rsidRPr="00382917">
        <w:t>Báb</w:t>
      </w:r>
      <w:r w:rsidR="00EE4FC3">
        <w:t xml:space="preserve"> </w:t>
      </w:r>
      <w:r w:rsidRPr="00382917">
        <w:t>were</w:t>
      </w:r>
      <w:r w:rsidR="00EE4FC3">
        <w:t xml:space="preserve"> </w:t>
      </w:r>
      <w:r w:rsidRPr="00382917">
        <w:t>present.</w:t>
      </w:r>
      <w:r w:rsidR="00D9172E">
        <w:rPr>
          <w:rStyle w:val="FootnoteReference"/>
        </w:rPr>
        <w:footnoteReference w:id="210"/>
      </w:r>
    </w:p>
    <w:p w:rsidR="001D2FA7" w:rsidRPr="00382917" w:rsidRDefault="001D2FA7" w:rsidP="007B319A">
      <w:pPr>
        <w:pStyle w:val="Text"/>
      </w:pPr>
      <w:r w:rsidRPr="00382917">
        <w:t>Nabíl,</w:t>
      </w:r>
      <w:r w:rsidR="00EE4FC3">
        <w:t xml:space="preserve"> </w:t>
      </w:r>
      <w:r w:rsidRPr="00382917">
        <w:t>the</w:t>
      </w:r>
      <w:r w:rsidR="00EE4FC3">
        <w:t xml:space="preserve"> </w:t>
      </w:r>
      <w:r w:rsidRPr="00382917">
        <w:t>historian,</w:t>
      </w:r>
      <w:r w:rsidR="00EE4FC3">
        <w:t xml:space="preserve"> </w:t>
      </w:r>
      <w:r w:rsidRPr="00382917">
        <w:t>relates,</w:t>
      </w:r>
      <w:r w:rsidR="00EE4FC3">
        <w:t xml:space="preserve"> </w:t>
      </w:r>
      <w:r w:rsidR="009C713D" w:rsidRPr="00382917">
        <w:t>“</w:t>
      </w:r>
      <w:r w:rsidRPr="00382917">
        <w:t>It</w:t>
      </w:r>
      <w:r w:rsidR="00EE4FC3">
        <w:t xml:space="preserve"> </w:t>
      </w:r>
      <w:r w:rsidRPr="00382917">
        <w:t>was</w:t>
      </w:r>
      <w:r w:rsidR="00EE4FC3">
        <w:t xml:space="preserve"> </w:t>
      </w:r>
      <w:r w:rsidRPr="00382917">
        <w:t>the</w:t>
      </w:r>
      <w:r w:rsidR="00EE4FC3">
        <w:t xml:space="preserve"> </w:t>
      </w:r>
      <w:r w:rsidRPr="00382917">
        <w:t>beginning</w:t>
      </w:r>
      <w:r w:rsidR="00EE4FC3">
        <w:t xml:space="preserve"> </w:t>
      </w:r>
      <w:r w:rsidRPr="00382917">
        <w:t>of</w:t>
      </w:r>
      <w:r w:rsidR="00EE4FC3">
        <w:t xml:space="preserve"> </w:t>
      </w:r>
      <w:r w:rsidRPr="00382917">
        <w:t>summer</w:t>
      </w:r>
      <w:r w:rsidR="00330AF7">
        <w:t>.</w:t>
      </w:r>
      <w:r w:rsidR="00EE4FC3">
        <w:t xml:space="preserve">  </w:t>
      </w:r>
      <w:r w:rsidRPr="00382917">
        <w:t>Upon</w:t>
      </w:r>
      <w:r w:rsidR="00EE4FC3">
        <w:t xml:space="preserve"> </w:t>
      </w:r>
      <w:r w:rsidRPr="00382917">
        <w:t>His</w:t>
      </w:r>
      <w:r w:rsidR="00EE4FC3">
        <w:t xml:space="preserve"> </w:t>
      </w:r>
      <w:r w:rsidRPr="00382917">
        <w:t>arrival</w:t>
      </w:r>
      <w:r w:rsidR="00EE4FC3">
        <w:t xml:space="preserve"> </w:t>
      </w:r>
      <w:r w:rsidRPr="00382917">
        <w:t>at</w:t>
      </w:r>
      <w:r w:rsidR="00EE4FC3">
        <w:t xml:space="preserve"> </w:t>
      </w:r>
      <w:r w:rsidR="00330AF7" w:rsidRPr="00382917">
        <w:t>Bada</w:t>
      </w:r>
      <w:r w:rsidR="00330AF7" w:rsidRPr="00330AF7">
        <w:rPr>
          <w:u w:val="single"/>
        </w:rPr>
        <w:t>sh</w:t>
      </w:r>
      <w:r w:rsidR="00330AF7" w:rsidRPr="00382917">
        <w:t>t</w:t>
      </w:r>
      <w:r w:rsidRPr="00382917">
        <w:t>,</w:t>
      </w:r>
      <w:r w:rsidR="00EE4FC3">
        <w:t xml:space="preserve"> </w:t>
      </w:r>
      <w:r w:rsidRPr="00382917">
        <w:t>Bahá</w:t>
      </w:r>
      <w:r w:rsidR="009C713D" w:rsidRPr="00382917">
        <w:t>’</w:t>
      </w:r>
      <w:r w:rsidRPr="00382917">
        <w:t>u</w:t>
      </w:r>
      <w:r w:rsidR="009C713D" w:rsidRPr="00382917">
        <w:t>’</w:t>
      </w:r>
      <w:r w:rsidRPr="00382917">
        <w:t>lláh</w:t>
      </w:r>
      <w:r w:rsidR="00EE4FC3">
        <w:t xml:space="preserve"> </w:t>
      </w:r>
      <w:r w:rsidRPr="00382917">
        <w:t>rented</w:t>
      </w:r>
      <w:r w:rsidR="00EE4FC3">
        <w:t xml:space="preserve"> </w:t>
      </w:r>
      <w:r w:rsidRPr="00382917">
        <w:t>three</w:t>
      </w:r>
      <w:r w:rsidR="00EE4FC3">
        <w:t xml:space="preserve"> </w:t>
      </w:r>
      <w:r w:rsidRPr="00382917">
        <w:t>gardens,</w:t>
      </w:r>
      <w:r w:rsidR="00EE4FC3">
        <w:t xml:space="preserve"> </w:t>
      </w:r>
      <w:r w:rsidRPr="00382917">
        <w:t>one</w:t>
      </w:r>
      <w:r w:rsidR="00EE4FC3">
        <w:t xml:space="preserve"> </w:t>
      </w:r>
      <w:r w:rsidRPr="00382917">
        <w:t>of</w:t>
      </w:r>
      <w:r w:rsidR="00EE4FC3">
        <w:t xml:space="preserve"> </w:t>
      </w:r>
      <w:r w:rsidRPr="00382917">
        <w:t>which</w:t>
      </w:r>
      <w:r w:rsidR="00EE4FC3">
        <w:t xml:space="preserve"> </w:t>
      </w:r>
      <w:r w:rsidRPr="00382917">
        <w:t>he</w:t>
      </w:r>
      <w:r w:rsidR="00EE4FC3">
        <w:t xml:space="preserve"> </w:t>
      </w:r>
      <w:r w:rsidRPr="00382917">
        <w:t>assigned</w:t>
      </w:r>
      <w:r w:rsidR="00EE4FC3">
        <w:t xml:space="preserve"> </w:t>
      </w:r>
      <w:r w:rsidRPr="00382917">
        <w:t>to</w:t>
      </w:r>
      <w:r w:rsidR="00EE4FC3">
        <w:t xml:space="preserve"> </w:t>
      </w:r>
      <w:r w:rsidRPr="00382917">
        <w:t>Quddús,</w:t>
      </w:r>
      <w:r w:rsidR="00EE4FC3">
        <w:t xml:space="preserve"> </w:t>
      </w:r>
      <w:r w:rsidRPr="00382917">
        <w:t>another</w:t>
      </w:r>
      <w:r w:rsidR="00EE4FC3">
        <w:t xml:space="preserve"> </w:t>
      </w:r>
      <w:r w:rsidRPr="00382917">
        <w:t>to</w:t>
      </w:r>
      <w:r w:rsidR="00EE4FC3">
        <w:t xml:space="preserve"> </w:t>
      </w:r>
      <w:r w:rsidRPr="00382917">
        <w:t>Ṭáhirih,</w:t>
      </w:r>
      <w:r w:rsidR="00EE4FC3">
        <w:t xml:space="preserve"> </w:t>
      </w:r>
      <w:r w:rsidRPr="00382917">
        <w:t>and</w:t>
      </w:r>
      <w:r w:rsidR="00EE4FC3">
        <w:t xml:space="preserve"> </w:t>
      </w:r>
      <w:r w:rsidRPr="00382917">
        <w:t>a</w:t>
      </w:r>
      <w:r w:rsidR="00EE4FC3">
        <w:t xml:space="preserve"> </w:t>
      </w:r>
      <w:r w:rsidRPr="00382917">
        <w:t>third</w:t>
      </w:r>
      <w:r w:rsidR="00EE4FC3">
        <w:t xml:space="preserve"> </w:t>
      </w:r>
      <w:r w:rsidRPr="00382917">
        <w:t>for</w:t>
      </w:r>
      <w:r w:rsidR="00EE4FC3">
        <w:t xml:space="preserve"> </w:t>
      </w:r>
      <w:r w:rsidRPr="00382917">
        <w:t>Himself</w:t>
      </w:r>
      <w:r w:rsidR="00330AF7">
        <w:t>.</w:t>
      </w:r>
      <w:r w:rsidR="00EE4FC3">
        <w:t xml:space="preserve">  </w:t>
      </w:r>
      <w:r w:rsidRPr="00382917">
        <w:t>All</w:t>
      </w:r>
      <w:r w:rsidR="00EE4FC3">
        <w:t xml:space="preserve"> </w:t>
      </w:r>
      <w:r w:rsidRPr="00382917">
        <w:t>of</w:t>
      </w:r>
      <w:r w:rsidR="00EE4FC3">
        <w:t xml:space="preserve"> </w:t>
      </w:r>
      <w:r w:rsidRPr="00382917">
        <w:t>those</w:t>
      </w:r>
      <w:r w:rsidR="00EE4FC3">
        <w:t xml:space="preserve"> </w:t>
      </w:r>
      <w:r w:rsidRPr="00382917">
        <w:t>who</w:t>
      </w:r>
      <w:r w:rsidR="00EE4FC3">
        <w:t xml:space="preserve"> </w:t>
      </w:r>
      <w:r w:rsidRPr="00382917">
        <w:t>gathered</w:t>
      </w:r>
      <w:r w:rsidR="00EE4FC3">
        <w:t xml:space="preserve"> </w:t>
      </w:r>
      <w:r w:rsidRPr="00382917">
        <w:t>at</w:t>
      </w:r>
      <w:r w:rsidR="00EE4FC3">
        <w:t xml:space="preserve"> </w:t>
      </w:r>
      <w:r w:rsidR="00330AF7" w:rsidRPr="00382917">
        <w:t>Bada</w:t>
      </w:r>
      <w:r w:rsidR="00330AF7" w:rsidRPr="00330AF7">
        <w:rPr>
          <w:u w:val="single"/>
        </w:rPr>
        <w:t>sh</w:t>
      </w:r>
      <w:r w:rsidR="00330AF7" w:rsidRPr="00382917">
        <w:t>t</w:t>
      </w:r>
      <w:r w:rsidR="00EE4FC3">
        <w:t xml:space="preserve"> </w:t>
      </w:r>
      <w:r w:rsidRPr="00382917">
        <w:t>were</w:t>
      </w:r>
      <w:r w:rsidR="00EE4FC3">
        <w:t xml:space="preserve"> </w:t>
      </w:r>
      <w:r w:rsidRPr="00382917">
        <w:t>the</w:t>
      </w:r>
      <w:r w:rsidR="00EE4FC3">
        <w:t xml:space="preserve"> </w:t>
      </w:r>
      <w:r w:rsidRPr="00382917">
        <w:t>guests</w:t>
      </w:r>
      <w:r w:rsidR="00EE4FC3">
        <w:t xml:space="preserve"> </w:t>
      </w:r>
      <w:r w:rsidRPr="00382917">
        <w:t>of</w:t>
      </w:r>
      <w:r w:rsidR="00EE4FC3">
        <w:t xml:space="preserve"> </w:t>
      </w:r>
      <w:r w:rsidRPr="00382917">
        <w:t>Bahá</w:t>
      </w:r>
      <w:r w:rsidR="009C713D" w:rsidRPr="00382917">
        <w:t>’</w:t>
      </w:r>
      <w:r w:rsidRPr="00382917">
        <w:t>u</w:t>
      </w:r>
      <w:r w:rsidR="009C713D" w:rsidRPr="00382917">
        <w:t>’</w:t>
      </w:r>
      <w:r w:rsidRPr="00382917">
        <w:t>lláh</w:t>
      </w:r>
      <w:r w:rsidR="00EE4FC3">
        <w:t xml:space="preserve"> </w:t>
      </w:r>
      <w:r w:rsidRPr="00382917">
        <w:t>from</w:t>
      </w:r>
      <w:r w:rsidR="00EE4FC3">
        <w:t xml:space="preserve"> </w:t>
      </w:r>
      <w:r w:rsidRPr="00382917">
        <w:t>the</w:t>
      </w:r>
      <w:r w:rsidR="00EE4FC3">
        <w:t xml:space="preserve"> </w:t>
      </w:r>
      <w:r w:rsidRPr="00382917">
        <w:t>time</w:t>
      </w:r>
      <w:r w:rsidR="00EE4FC3">
        <w:t xml:space="preserve"> </w:t>
      </w:r>
      <w:r w:rsidRPr="00382917">
        <w:t>of</w:t>
      </w:r>
      <w:r w:rsidR="00EE4FC3">
        <w:t xml:space="preserve"> </w:t>
      </w:r>
      <w:r w:rsidRPr="00382917">
        <w:t>their</w:t>
      </w:r>
      <w:r w:rsidR="00EE4FC3">
        <w:t xml:space="preserve"> </w:t>
      </w:r>
      <w:r w:rsidRPr="00382917">
        <w:t>arrival</w:t>
      </w:r>
      <w:r w:rsidR="00EE4FC3">
        <w:t xml:space="preserve"> </w:t>
      </w:r>
      <w:r w:rsidRPr="00382917">
        <w:t>until</w:t>
      </w:r>
      <w:r w:rsidR="00EE4FC3">
        <w:t xml:space="preserve"> </w:t>
      </w:r>
      <w:r w:rsidRPr="00382917">
        <w:t>the</w:t>
      </w:r>
      <w:r w:rsidR="00EE4FC3">
        <w:t xml:space="preserve"> </w:t>
      </w:r>
      <w:r w:rsidRPr="00382917">
        <w:t>day</w:t>
      </w:r>
      <w:r w:rsidR="00EE4FC3">
        <w:t xml:space="preserve"> </w:t>
      </w:r>
      <w:r w:rsidRPr="00382917">
        <w:t>of</w:t>
      </w:r>
      <w:r w:rsidR="00EE4FC3">
        <w:t xml:space="preserve"> </w:t>
      </w:r>
      <w:r w:rsidRPr="00382917">
        <w:t>their</w:t>
      </w:r>
      <w:r w:rsidR="00EE4FC3">
        <w:t xml:space="preserve"> </w:t>
      </w:r>
      <w:r w:rsidRPr="00382917">
        <w:t>departure</w:t>
      </w:r>
      <w:r w:rsidR="00330AF7">
        <w:t>.</w:t>
      </w:r>
      <w:r w:rsidR="00EE4FC3">
        <w:t xml:space="preserve">  </w:t>
      </w:r>
      <w:r w:rsidRPr="00382917">
        <w:t>Upon</w:t>
      </w:r>
      <w:r w:rsidR="00EE4FC3">
        <w:t xml:space="preserve"> </w:t>
      </w:r>
      <w:r w:rsidRPr="00382917">
        <w:t>each</w:t>
      </w:r>
      <w:r w:rsidR="00EE4FC3">
        <w:t xml:space="preserve"> </w:t>
      </w:r>
      <w:r w:rsidRPr="00382917">
        <w:t>of</w:t>
      </w:r>
      <w:r w:rsidR="00EE4FC3">
        <w:t xml:space="preserve"> </w:t>
      </w:r>
      <w:r w:rsidRPr="00382917">
        <w:t>the</w:t>
      </w:r>
      <w:r w:rsidR="00EE4FC3">
        <w:t xml:space="preserve"> </w:t>
      </w:r>
      <w:r w:rsidRPr="00382917">
        <w:t>followers</w:t>
      </w:r>
      <w:r w:rsidR="00EE4FC3">
        <w:t xml:space="preserve"> </w:t>
      </w:r>
      <w:r w:rsidRPr="00382917">
        <w:t>of</w:t>
      </w:r>
      <w:r w:rsidR="00EE4FC3">
        <w:t xml:space="preserve"> </w:t>
      </w:r>
      <w:r w:rsidRPr="00382917">
        <w:t>the</w:t>
      </w:r>
      <w:r w:rsidR="00EE4FC3">
        <w:t xml:space="preserve"> </w:t>
      </w:r>
      <w:r w:rsidRPr="00382917">
        <w:t>Báb,</w:t>
      </w:r>
      <w:r w:rsidR="00EE4FC3">
        <w:t xml:space="preserve"> </w:t>
      </w:r>
      <w:r w:rsidRPr="00382917">
        <w:t>Bahá</w:t>
      </w:r>
      <w:r w:rsidR="009C713D" w:rsidRPr="00382917">
        <w:t>’</w:t>
      </w:r>
      <w:r w:rsidRPr="00382917">
        <w:t>u</w:t>
      </w:r>
      <w:r w:rsidR="009C713D" w:rsidRPr="00382917">
        <w:t>’</w:t>
      </w:r>
      <w:r w:rsidRPr="00382917">
        <w:t>lláh</w:t>
      </w:r>
      <w:r w:rsidR="00EE4FC3">
        <w:t xml:space="preserve"> </w:t>
      </w:r>
      <w:r w:rsidRPr="00382917">
        <w:t>bestowed</w:t>
      </w:r>
      <w:r w:rsidR="00EE4FC3">
        <w:t xml:space="preserve"> </w:t>
      </w:r>
      <w:r w:rsidRPr="00382917">
        <w:t>a</w:t>
      </w:r>
      <w:r w:rsidR="00EE4FC3">
        <w:t xml:space="preserve"> </w:t>
      </w:r>
      <w:r w:rsidRPr="00382917">
        <w:t>new</w:t>
      </w:r>
      <w:r w:rsidR="00EE4FC3">
        <w:t xml:space="preserve"> </w:t>
      </w:r>
      <w:r w:rsidRPr="00382917">
        <w:t>name</w:t>
      </w:r>
      <w:r w:rsidR="00330AF7">
        <w:t>.</w:t>
      </w:r>
      <w:r w:rsidR="00EE4FC3">
        <w:t xml:space="preserve">  </w:t>
      </w:r>
      <w:r w:rsidRPr="00382917">
        <w:t>It</w:t>
      </w:r>
      <w:r w:rsidR="00EE4FC3">
        <w:t xml:space="preserve"> </w:t>
      </w:r>
      <w:r w:rsidRPr="00382917">
        <w:t>was</w:t>
      </w:r>
      <w:r w:rsidR="00EE4FC3">
        <w:t xml:space="preserve"> </w:t>
      </w:r>
      <w:r w:rsidRPr="00382917">
        <w:t>He</w:t>
      </w:r>
      <w:r w:rsidR="00EE4FC3">
        <w:t xml:space="preserve"> </w:t>
      </w:r>
      <w:r w:rsidRPr="00382917">
        <w:t>Who</w:t>
      </w:r>
      <w:r w:rsidR="00EE4FC3">
        <w:t xml:space="preserve"> </w:t>
      </w:r>
      <w:r w:rsidRPr="00382917">
        <w:t>gave</w:t>
      </w:r>
      <w:r w:rsidR="00EE4FC3">
        <w:t xml:space="preserve"> </w:t>
      </w:r>
      <w:r w:rsidRPr="00382917">
        <w:t>the</w:t>
      </w:r>
      <w:r w:rsidR="00EE4FC3">
        <w:t xml:space="preserve"> </w:t>
      </w:r>
      <w:r w:rsidRPr="00382917">
        <w:t>name</w:t>
      </w:r>
      <w:r w:rsidR="00EE4FC3">
        <w:t xml:space="preserve"> </w:t>
      </w:r>
      <w:r w:rsidR="009C713D" w:rsidRPr="00382917">
        <w:t>‘</w:t>
      </w:r>
      <w:r w:rsidRPr="00382917">
        <w:t>Quddús</w:t>
      </w:r>
      <w:r w:rsidR="009C713D" w:rsidRPr="00382917">
        <w:t>’</w:t>
      </w:r>
      <w:r w:rsidR="00EE4FC3">
        <w:t xml:space="preserve"> </w:t>
      </w:r>
      <w:r w:rsidRPr="00382917">
        <w:t>to</w:t>
      </w:r>
      <w:r w:rsidR="00EE4FC3">
        <w:t xml:space="preserve"> </w:t>
      </w:r>
      <w:r w:rsidRPr="00382917">
        <w:t>the</w:t>
      </w:r>
      <w:r w:rsidR="00EE4FC3">
        <w:t xml:space="preserve"> </w:t>
      </w:r>
      <w:r w:rsidRPr="00382917">
        <w:t>last</w:t>
      </w:r>
      <w:r w:rsidR="00EE4FC3">
        <w:t xml:space="preserve"> </w:t>
      </w:r>
      <w:r w:rsidRPr="00382917">
        <w:t>of</w:t>
      </w:r>
      <w:r w:rsidR="00EE4FC3">
        <w:t xml:space="preserve"> </w:t>
      </w:r>
      <w:r w:rsidRPr="00382917">
        <w:t>the</w:t>
      </w:r>
      <w:r w:rsidR="00EE4FC3">
        <w:t xml:space="preserve"> </w:t>
      </w:r>
      <w:r w:rsidRPr="00382917">
        <w:t>Báb</w:t>
      </w:r>
      <w:r w:rsidR="009C713D" w:rsidRPr="00382917">
        <w:t>’</w:t>
      </w:r>
      <w:r w:rsidRPr="00382917">
        <w:t>s</w:t>
      </w:r>
      <w:r w:rsidR="00EE4FC3">
        <w:t xml:space="preserve"> </w:t>
      </w:r>
      <w:r w:rsidRPr="00382917">
        <w:t>chosen</w:t>
      </w:r>
      <w:r w:rsidR="00EE4FC3">
        <w:t xml:space="preserve"> </w:t>
      </w:r>
      <w:r w:rsidRPr="00382917">
        <w:t>disciples</w:t>
      </w:r>
      <w:r w:rsidR="00330AF7">
        <w:t>.</w:t>
      </w:r>
      <w:r w:rsidR="00EE4FC3">
        <w:t xml:space="preserve">  </w:t>
      </w:r>
      <w:r w:rsidRPr="00382917">
        <w:t>He</w:t>
      </w:r>
      <w:r w:rsidR="00EE4FC3">
        <w:t xml:space="preserve"> </w:t>
      </w:r>
      <w:r w:rsidRPr="00382917">
        <w:t>also</w:t>
      </w:r>
      <w:r w:rsidR="00EE4FC3">
        <w:t xml:space="preserve"> </w:t>
      </w:r>
      <w:r w:rsidRPr="00382917">
        <w:t>gave</w:t>
      </w:r>
      <w:r w:rsidR="00EE4FC3">
        <w:t xml:space="preserve"> </w:t>
      </w:r>
      <w:r w:rsidRPr="00382917">
        <w:t>the</w:t>
      </w:r>
      <w:r w:rsidR="00EE4FC3">
        <w:t xml:space="preserve"> </w:t>
      </w:r>
      <w:r w:rsidRPr="00382917">
        <w:t>name</w:t>
      </w:r>
      <w:r w:rsidR="00EE4FC3">
        <w:t xml:space="preserve"> </w:t>
      </w:r>
      <w:r w:rsidR="009C713D" w:rsidRPr="00382917">
        <w:t>‘</w:t>
      </w:r>
      <w:r w:rsidRPr="00382917">
        <w:t>Ṭáhirih</w:t>
      </w:r>
      <w:r w:rsidR="009C713D" w:rsidRPr="00382917">
        <w:t>’</w:t>
      </w:r>
      <w:r w:rsidR="00EE4FC3">
        <w:t xml:space="preserve"> </w:t>
      </w:r>
      <w:r w:rsidRPr="00382917">
        <w:t>to</w:t>
      </w:r>
      <w:r w:rsidR="00EE4FC3">
        <w:t xml:space="preserve"> </w:t>
      </w:r>
      <w:r w:rsidRPr="00382917">
        <w:t>that</w:t>
      </w:r>
      <w:r w:rsidR="00EE4FC3">
        <w:t xml:space="preserve"> </w:t>
      </w:r>
      <w:r w:rsidRPr="00382917">
        <w:t>great</w:t>
      </w:r>
      <w:r w:rsidR="00EE4FC3">
        <w:t xml:space="preserve"> </w:t>
      </w:r>
      <w:r w:rsidRPr="00382917">
        <w:t>woman.</w:t>
      </w:r>
      <w:r w:rsidR="009C713D" w:rsidRPr="00382917">
        <w:t>”</w:t>
      </w:r>
      <w:r w:rsidR="00EE4FC3">
        <w:t xml:space="preserve"> </w:t>
      </w:r>
      <w:r w:rsidR="006E0F7C">
        <w:t xml:space="preserve"> </w:t>
      </w:r>
      <w:r w:rsidRPr="00382917">
        <w:t>He</w:t>
      </w:r>
      <w:r w:rsidR="00EE4FC3">
        <w:t xml:space="preserve"> </w:t>
      </w:r>
      <w:r w:rsidRPr="00382917">
        <w:t>Himself</w:t>
      </w:r>
      <w:r w:rsidR="00EE4FC3">
        <w:t xml:space="preserve"> </w:t>
      </w:r>
      <w:r w:rsidRPr="00382917">
        <w:t>was</w:t>
      </w:r>
      <w:r w:rsidR="00EE4FC3">
        <w:t xml:space="preserve"> </w:t>
      </w:r>
      <w:r w:rsidRPr="00382917">
        <w:t>henceforth</w:t>
      </w:r>
      <w:r w:rsidR="00EE4FC3">
        <w:t xml:space="preserve"> </w:t>
      </w:r>
      <w:r w:rsidRPr="00382917">
        <w:t>designated</w:t>
      </w:r>
      <w:r w:rsidR="00EE4FC3">
        <w:t xml:space="preserve"> </w:t>
      </w:r>
      <w:r w:rsidRPr="00382917">
        <w:t>by</w:t>
      </w:r>
      <w:r w:rsidR="00EE4FC3">
        <w:t xml:space="preserve"> </w:t>
      </w:r>
      <w:r w:rsidRPr="00382917">
        <w:t>the</w:t>
      </w:r>
      <w:r w:rsidR="00EE4FC3">
        <w:t xml:space="preserve"> </w:t>
      </w:r>
      <w:r w:rsidRPr="00382917">
        <w:t>name</w:t>
      </w:r>
      <w:r w:rsidR="00EE4FC3">
        <w:t xml:space="preserve"> </w:t>
      </w:r>
      <w:r w:rsidR="009C713D" w:rsidRPr="00382917">
        <w:t>“</w:t>
      </w:r>
      <w:r w:rsidRPr="00382917">
        <w:t>Bahá.</w:t>
      </w:r>
      <w:r w:rsidR="009C713D" w:rsidRPr="00382917">
        <w:t>”</w:t>
      </w:r>
    </w:p>
    <w:p w:rsidR="001D2FA7" w:rsidRPr="00382917" w:rsidRDefault="001D2FA7" w:rsidP="007B319A">
      <w:pPr>
        <w:pStyle w:val="Text"/>
      </w:pPr>
      <w:r w:rsidRPr="00382917">
        <w:t>The</w:t>
      </w:r>
      <w:r w:rsidR="00EE4FC3">
        <w:t xml:space="preserve"> </w:t>
      </w:r>
      <w:r w:rsidRPr="00382917">
        <w:t>close</w:t>
      </w:r>
      <w:r w:rsidR="00EE4FC3">
        <w:t xml:space="preserve"> </w:t>
      </w:r>
      <w:r w:rsidRPr="00382917">
        <w:t>relationship</w:t>
      </w:r>
      <w:r w:rsidR="00EE4FC3">
        <w:t xml:space="preserve"> </w:t>
      </w:r>
      <w:r w:rsidRPr="00382917">
        <w:t>of</w:t>
      </w:r>
      <w:r w:rsidR="00EE4FC3">
        <w:t xml:space="preserve"> </w:t>
      </w:r>
      <w:r w:rsidRPr="00382917">
        <w:t>spirit</w:t>
      </w:r>
      <w:r w:rsidR="00EE4FC3">
        <w:t xml:space="preserve"> </w:t>
      </w:r>
      <w:r w:rsidRPr="00382917">
        <w:t>between</w:t>
      </w:r>
      <w:r w:rsidR="00EE4FC3">
        <w:t xml:space="preserve"> </w:t>
      </w:r>
      <w:r w:rsidRPr="00382917">
        <w:t>the</w:t>
      </w:r>
      <w:r w:rsidR="00EE4FC3">
        <w:t xml:space="preserve"> </w:t>
      </w:r>
      <w:r w:rsidRPr="00382917">
        <w:t>Báb</w:t>
      </w:r>
      <w:r w:rsidR="00EE4FC3">
        <w:t xml:space="preserve"> </w:t>
      </w:r>
      <w:r w:rsidRPr="00382917">
        <w:t>and</w:t>
      </w:r>
      <w:r w:rsidR="00EE4FC3">
        <w:t xml:space="preserve"> </w:t>
      </w:r>
      <w:r w:rsidRPr="00382917">
        <w:t>Bahá</w:t>
      </w:r>
      <w:r w:rsidR="009C713D" w:rsidRPr="00382917">
        <w:t>’</w:t>
      </w:r>
      <w:r w:rsidRPr="00382917">
        <w:t>u</w:t>
      </w:r>
      <w:r w:rsidR="009C713D" w:rsidRPr="00382917">
        <w:t>’</w:t>
      </w:r>
      <w:r w:rsidRPr="00382917">
        <w:t>lláh</w:t>
      </w:r>
      <w:r w:rsidR="00EE4FC3">
        <w:t xml:space="preserve"> </w:t>
      </w:r>
      <w:r w:rsidRPr="00382917">
        <w:t>is</w:t>
      </w:r>
      <w:r w:rsidR="00EE4FC3">
        <w:t xml:space="preserve"> </w:t>
      </w:r>
      <w:r w:rsidRPr="00382917">
        <w:t>nowhere</w:t>
      </w:r>
      <w:r w:rsidR="00EE4FC3">
        <w:t xml:space="preserve"> </w:t>
      </w:r>
      <w:r w:rsidRPr="00382917">
        <w:t>better</w:t>
      </w:r>
      <w:r w:rsidR="00EE4FC3">
        <w:t xml:space="preserve"> </w:t>
      </w:r>
      <w:r w:rsidRPr="00382917">
        <w:t>demonstrated</w:t>
      </w:r>
      <w:r w:rsidR="00EE4FC3">
        <w:t xml:space="preserve"> </w:t>
      </w:r>
      <w:r w:rsidRPr="00382917">
        <w:t>than</w:t>
      </w:r>
      <w:r w:rsidR="00EE4FC3">
        <w:t xml:space="preserve"> </w:t>
      </w:r>
      <w:r w:rsidRPr="00382917">
        <w:t>at</w:t>
      </w:r>
      <w:r w:rsidR="00EE4FC3">
        <w:t xml:space="preserve"> </w:t>
      </w:r>
      <w:r w:rsidR="00330AF7" w:rsidRPr="00382917">
        <w:t>Bada</w:t>
      </w:r>
      <w:r w:rsidR="00330AF7" w:rsidRPr="00330AF7">
        <w:rPr>
          <w:u w:val="single"/>
        </w:rPr>
        <w:t>sh</w:t>
      </w:r>
      <w:r w:rsidR="00330AF7" w:rsidRPr="00382917">
        <w:t>t</w:t>
      </w:r>
      <w:r w:rsidR="00330AF7">
        <w:t>.</w:t>
      </w:r>
      <w:r w:rsidR="00EE4FC3">
        <w:t xml:space="preserve">  </w:t>
      </w:r>
      <w:r w:rsidRPr="00382917">
        <w:t>None</w:t>
      </w:r>
      <w:r w:rsidR="00EE4FC3">
        <w:t xml:space="preserve"> </w:t>
      </w:r>
      <w:r w:rsidRPr="00382917">
        <w:t>of</w:t>
      </w:r>
      <w:r w:rsidR="00EE4FC3">
        <w:t xml:space="preserve"> </w:t>
      </w:r>
      <w:r w:rsidRPr="00382917">
        <w:t>those</w:t>
      </w:r>
      <w:r w:rsidR="00EE4FC3">
        <w:t xml:space="preserve"> </w:t>
      </w:r>
      <w:r w:rsidRPr="00382917">
        <w:t>companions</w:t>
      </w:r>
      <w:r w:rsidR="00EE4FC3">
        <w:t xml:space="preserve"> </w:t>
      </w:r>
      <w:r w:rsidRPr="00382917">
        <w:t>knew</w:t>
      </w:r>
      <w:r w:rsidR="00EE4FC3">
        <w:t xml:space="preserve"> </w:t>
      </w:r>
      <w:r w:rsidRPr="00382917">
        <w:t>the</w:t>
      </w:r>
      <w:r w:rsidR="00EE4FC3">
        <w:t xml:space="preserve"> </w:t>
      </w:r>
      <w:r w:rsidRPr="00382917">
        <w:t>Source</w:t>
      </w:r>
      <w:r w:rsidR="00EE4FC3">
        <w:t xml:space="preserve"> </w:t>
      </w:r>
      <w:r w:rsidRPr="00382917">
        <w:t>of</w:t>
      </w:r>
      <w:r w:rsidR="00EE4FC3">
        <w:t xml:space="preserve"> </w:t>
      </w:r>
      <w:r w:rsidRPr="00382917">
        <w:t>the</w:t>
      </w:r>
      <w:r w:rsidR="00EE4FC3">
        <w:t xml:space="preserve"> </w:t>
      </w:r>
      <w:r w:rsidRPr="00382917">
        <w:t>bold,</w:t>
      </w:r>
      <w:r w:rsidR="00EE4FC3">
        <w:t xml:space="preserve"> </w:t>
      </w:r>
      <w:r w:rsidRPr="00382917">
        <w:t>defiant</w:t>
      </w:r>
      <w:r w:rsidR="00EE4FC3">
        <w:t xml:space="preserve"> </w:t>
      </w:r>
      <w:r w:rsidRPr="00382917">
        <w:t>and</w:t>
      </w:r>
      <w:r w:rsidR="00EE4FC3">
        <w:t xml:space="preserve"> </w:t>
      </w:r>
      <w:r w:rsidRPr="00382917">
        <w:t>far-reaching</w:t>
      </w:r>
      <w:r w:rsidR="00EE4FC3">
        <w:t xml:space="preserve"> </w:t>
      </w:r>
      <w:r w:rsidRPr="00382917">
        <w:t>changes</w:t>
      </w:r>
      <w:r w:rsidR="00EE4FC3">
        <w:t xml:space="preserve"> </w:t>
      </w:r>
      <w:r w:rsidRPr="00382917">
        <w:t>in</w:t>
      </w:r>
      <w:r w:rsidR="00EE4FC3">
        <w:t xml:space="preserve"> </w:t>
      </w:r>
      <w:r w:rsidRPr="00382917">
        <w:t>the</w:t>
      </w:r>
      <w:r w:rsidR="00EE4FC3">
        <w:t xml:space="preserve"> </w:t>
      </w:r>
      <w:r w:rsidRPr="00382917">
        <w:t>old</w:t>
      </w:r>
      <w:r w:rsidR="00EE4FC3">
        <w:t xml:space="preserve"> </w:t>
      </w:r>
      <w:r w:rsidRPr="00382917">
        <w:t>laws</w:t>
      </w:r>
      <w:r w:rsidR="00EE4FC3">
        <w:t xml:space="preserve"> </w:t>
      </w:r>
      <w:r w:rsidRPr="00382917">
        <w:t>and</w:t>
      </w:r>
      <w:r w:rsidR="00EE4FC3">
        <w:t xml:space="preserve"> </w:t>
      </w:r>
      <w:r w:rsidRPr="00382917">
        <w:t>traditions</w:t>
      </w:r>
      <w:r w:rsidR="00EE4FC3">
        <w:t xml:space="preserve"> </w:t>
      </w:r>
      <w:r w:rsidRPr="00382917">
        <w:t>which</w:t>
      </w:r>
      <w:r w:rsidR="00EE4FC3">
        <w:t xml:space="preserve"> </w:t>
      </w:r>
      <w:r w:rsidRPr="00382917">
        <w:t>took</w:t>
      </w:r>
      <w:r w:rsidR="00EE4FC3">
        <w:t xml:space="preserve"> </w:t>
      </w:r>
      <w:r w:rsidRPr="00382917">
        <w:t>place</w:t>
      </w:r>
      <w:r w:rsidR="00EE4FC3">
        <w:t xml:space="preserve"> </w:t>
      </w:r>
      <w:proofErr w:type="gramStart"/>
      <w:r w:rsidRPr="00382917">
        <w:t>there,</w:t>
      </w:r>
      <w:proofErr w:type="gramEnd"/>
      <w:r w:rsidR="00EE4FC3">
        <w:t xml:space="preserve"> </w:t>
      </w:r>
      <w:r w:rsidRPr="00382917">
        <w:t>and</w:t>
      </w:r>
      <w:r w:rsidR="00EE4FC3">
        <w:t xml:space="preserve"> </w:t>
      </w:r>
      <w:r w:rsidRPr="00382917">
        <w:t>no</w:t>
      </w:r>
      <w:r w:rsidR="00EE4FC3">
        <w:t xml:space="preserve"> </w:t>
      </w:r>
      <w:r w:rsidRPr="00382917">
        <w:t>one</w:t>
      </w:r>
      <w:r w:rsidR="00EE4FC3">
        <w:t xml:space="preserve"> </w:t>
      </w:r>
      <w:r w:rsidRPr="00382917">
        <w:t>suspected</w:t>
      </w:r>
      <w:r w:rsidR="00EE4FC3">
        <w:t xml:space="preserve"> </w:t>
      </w:r>
      <w:r w:rsidRPr="00382917">
        <w:t>that</w:t>
      </w:r>
      <w:r w:rsidR="00EE4FC3">
        <w:t xml:space="preserve"> </w:t>
      </w:r>
      <w:r w:rsidRPr="00382917">
        <w:t>it</w:t>
      </w:r>
      <w:r w:rsidR="00EE4FC3">
        <w:t xml:space="preserve"> </w:t>
      </w:r>
      <w:r w:rsidRPr="00382917">
        <w:t>was</w:t>
      </w:r>
      <w:r w:rsidR="00EE4FC3">
        <w:t xml:space="preserve"> </w:t>
      </w:r>
      <w:r w:rsidRPr="00382917">
        <w:t>Bahá</w:t>
      </w:r>
      <w:r w:rsidR="009C713D" w:rsidRPr="00382917">
        <w:t>’</w:t>
      </w:r>
      <w:r w:rsidRPr="00382917">
        <w:t>u</w:t>
      </w:r>
      <w:r w:rsidR="009C713D" w:rsidRPr="00382917">
        <w:t>’</w:t>
      </w:r>
      <w:r w:rsidRPr="00382917">
        <w:t>lláh</w:t>
      </w:r>
      <w:r w:rsidR="009C713D" w:rsidRPr="00382917">
        <w:t>’</w:t>
      </w:r>
      <w:r w:rsidRPr="00382917">
        <w:t>s</w:t>
      </w:r>
      <w:r w:rsidR="00EE4FC3">
        <w:t xml:space="preserve"> </w:t>
      </w:r>
      <w:r w:rsidRPr="00382917">
        <w:t>hand</w:t>
      </w:r>
      <w:r w:rsidR="00EE4FC3">
        <w:t xml:space="preserve"> </w:t>
      </w:r>
      <w:r w:rsidRPr="00382917">
        <w:t>which</w:t>
      </w:r>
      <w:r w:rsidR="00EE4FC3">
        <w:t xml:space="preserve"> </w:t>
      </w:r>
      <w:r w:rsidRPr="00382917">
        <w:t>steadily</w:t>
      </w:r>
      <w:r w:rsidR="00EE4FC3">
        <w:t xml:space="preserve"> </w:t>
      </w:r>
      <w:r w:rsidRPr="00382917">
        <w:t>and</w:t>
      </w:r>
      <w:r w:rsidR="00EE4FC3">
        <w:t xml:space="preserve"> </w:t>
      </w:r>
      <w:r w:rsidRPr="00382917">
        <w:t>unerringly</w:t>
      </w:r>
      <w:r w:rsidR="00EE4FC3">
        <w:t xml:space="preserve"> </w:t>
      </w:r>
      <w:r w:rsidRPr="00382917">
        <w:t>steered</w:t>
      </w:r>
      <w:r w:rsidR="00EE4FC3">
        <w:t xml:space="preserve"> </w:t>
      </w:r>
      <w:r w:rsidRPr="00382917">
        <w:t>the</w:t>
      </w:r>
      <w:r w:rsidR="00EE4FC3">
        <w:t xml:space="preserve"> </w:t>
      </w:r>
      <w:r w:rsidRPr="00382917">
        <w:t>course</w:t>
      </w:r>
      <w:r w:rsidR="00EE4FC3">
        <w:t xml:space="preserve"> </w:t>
      </w:r>
      <w:r w:rsidRPr="00382917">
        <w:t>of</w:t>
      </w:r>
      <w:r w:rsidR="00EE4FC3">
        <w:t xml:space="preserve"> </w:t>
      </w:r>
      <w:r w:rsidRPr="00382917">
        <w:t>that</w:t>
      </w:r>
      <w:r w:rsidR="00EE4FC3">
        <w:t xml:space="preserve"> </w:t>
      </w:r>
      <w:r w:rsidRPr="00382917">
        <w:t>conference.</w:t>
      </w:r>
    </w:p>
    <w:p w:rsidR="001D2FA7" w:rsidRPr="00382917" w:rsidRDefault="009C713D" w:rsidP="007B319A">
      <w:pPr>
        <w:pStyle w:val="Text"/>
      </w:pPr>
      <w:r w:rsidRPr="00382917">
        <w:t>“</w:t>
      </w:r>
      <w:r w:rsidR="001D2FA7" w:rsidRPr="00382917">
        <w:t>To</w:t>
      </w:r>
      <w:r w:rsidR="00EE4FC3">
        <w:t xml:space="preserve"> </w:t>
      </w:r>
      <w:r w:rsidR="001D2FA7" w:rsidRPr="00382917">
        <w:t>each</w:t>
      </w:r>
      <w:r w:rsidR="00EE4FC3">
        <w:t xml:space="preserve"> </w:t>
      </w:r>
      <w:r w:rsidR="001D2FA7" w:rsidRPr="00382917">
        <w:t>of</w:t>
      </w:r>
      <w:r w:rsidR="00EE4FC3">
        <w:t xml:space="preserve"> </w:t>
      </w:r>
      <w:r w:rsidR="001D2FA7" w:rsidRPr="00382917">
        <w:t>those</w:t>
      </w:r>
      <w:r w:rsidR="00EE4FC3">
        <w:t xml:space="preserve"> </w:t>
      </w:r>
      <w:r w:rsidR="001D2FA7" w:rsidRPr="00382917">
        <w:t>who</w:t>
      </w:r>
      <w:r w:rsidR="00EE4FC3">
        <w:t xml:space="preserve"> </w:t>
      </w:r>
      <w:r w:rsidR="001D2FA7" w:rsidRPr="00382917">
        <w:t>had</w:t>
      </w:r>
      <w:r w:rsidR="00EE4FC3">
        <w:t xml:space="preserve"> </w:t>
      </w:r>
      <w:r w:rsidR="001D2FA7" w:rsidRPr="00382917">
        <w:t>convened</w:t>
      </w:r>
      <w:r w:rsidR="00EE4FC3">
        <w:t xml:space="preserve"> </w:t>
      </w:r>
      <w:r w:rsidR="001D2FA7" w:rsidRPr="00382917">
        <w:t>at</w:t>
      </w:r>
      <w:r w:rsidR="00EE4FC3">
        <w:t xml:space="preserve"> </w:t>
      </w:r>
      <w:r w:rsidR="00330AF7" w:rsidRPr="00382917">
        <w:t>Bada</w:t>
      </w:r>
      <w:r w:rsidR="00330AF7" w:rsidRPr="00330AF7">
        <w:rPr>
          <w:u w:val="single"/>
        </w:rPr>
        <w:t>sh</w:t>
      </w:r>
      <w:r w:rsidR="00330AF7" w:rsidRPr="00382917">
        <w:t>t</w:t>
      </w:r>
      <w:r w:rsidR="001D2FA7" w:rsidRPr="00382917">
        <w:t>,</w:t>
      </w:r>
      <w:r w:rsidRPr="00382917">
        <w:t>”</w:t>
      </w:r>
      <w:r w:rsidR="00EE4FC3">
        <w:t xml:space="preserve"> </w:t>
      </w:r>
      <w:r w:rsidR="001D2FA7" w:rsidRPr="00382917">
        <w:t>Nabíl</w:t>
      </w:r>
      <w:r w:rsidR="00EE4FC3">
        <w:t xml:space="preserve"> </w:t>
      </w:r>
      <w:r w:rsidR="001D2FA7" w:rsidRPr="00382917">
        <w:t>continues,</w:t>
      </w:r>
      <w:r w:rsidR="00EE4FC3">
        <w:t xml:space="preserve"> </w:t>
      </w:r>
      <w:r w:rsidRPr="00382917">
        <w:t>“</w:t>
      </w:r>
      <w:r w:rsidR="001D2FA7" w:rsidRPr="00382917">
        <w:t>a</w:t>
      </w:r>
      <w:r w:rsidR="00EE4FC3">
        <w:t xml:space="preserve"> </w:t>
      </w:r>
      <w:r w:rsidR="001D2FA7" w:rsidRPr="00382917">
        <w:t>special</w:t>
      </w:r>
      <w:r w:rsidR="00EE4FC3">
        <w:t xml:space="preserve"> </w:t>
      </w:r>
      <w:r w:rsidR="001D2FA7" w:rsidRPr="00382917">
        <w:t>letter</w:t>
      </w:r>
      <w:r w:rsidR="00EE4FC3">
        <w:t xml:space="preserve"> </w:t>
      </w:r>
      <w:r w:rsidR="001D2FA7" w:rsidRPr="00382917">
        <w:t>was</w:t>
      </w:r>
      <w:r w:rsidR="00EE4FC3">
        <w:t xml:space="preserve"> </w:t>
      </w:r>
      <w:r w:rsidR="001D2FA7" w:rsidRPr="00382917">
        <w:t>written</w:t>
      </w:r>
      <w:r w:rsidR="00EE4FC3">
        <w:t xml:space="preserve"> </w:t>
      </w:r>
      <w:r w:rsidR="001D2FA7" w:rsidRPr="00382917">
        <w:t>by</w:t>
      </w:r>
      <w:r w:rsidR="00EE4FC3">
        <w:t xml:space="preserve"> </w:t>
      </w:r>
      <w:r w:rsidR="001D2FA7" w:rsidRPr="00382917">
        <w:t>the</w:t>
      </w:r>
      <w:r w:rsidR="00EE4FC3">
        <w:t xml:space="preserve"> </w:t>
      </w:r>
      <w:r w:rsidR="001D2FA7" w:rsidRPr="00382917">
        <w:t>Báb</w:t>
      </w:r>
      <w:r w:rsidR="00330AF7">
        <w:t>.</w:t>
      </w:r>
      <w:r w:rsidR="00EE4FC3">
        <w:t xml:space="preserve">  </w:t>
      </w:r>
      <w:r w:rsidR="001D2FA7" w:rsidRPr="00382917">
        <w:t>He</w:t>
      </w:r>
      <w:r w:rsidR="00EE4FC3">
        <w:t xml:space="preserve"> </w:t>
      </w:r>
      <w:r w:rsidR="001D2FA7" w:rsidRPr="00382917">
        <w:t>addressed</w:t>
      </w:r>
      <w:r w:rsidR="00EE4FC3">
        <w:t xml:space="preserve"> </w:t>
      </w:r>
      <w:r w:rsidR="001D2FA7" w:rsidRPr="00382917">
        <w:t>each</w:t>
      </w:r>
      <w:r w:rsidR="00EE4FC3">
        <w:t xml:space="preserve"> </w:t>
      </w:r>
      <w:r w:rsidR="001D2FA7" w:rsidRPr="00382917">
        <w:t>one</w:t>
      </w:r>
      <w:r w:rsidR="00EE4FC3">
        <w:t xml:space="preserve"> </w:t>
      </w:r>
      <w:r w:rsidR="001D2FA7" w:rsidRPr="00382917">
        <w:t>by</w:t>
      </w:r>
      <w:r w:rsidR="00EE4FC3">
        <w:t xml:space="preserve"> </w:t>
      </w:r>
      <w:r w:rsidR="001D2FA7" w:rsidRPr="00382917">
        <w:t>the</w:t>
      </w:r>
      <w:r w:rsidR="00EE4FC3">
        <w:t xml:space="preserve"> </w:t>
      </w:r>
      <w:r w:rsidR="001D2FA7" w:rsidRPr="00382917">
        <w:t>name</w:t>
      </w:r>
      <w:r w:rsidR="00EE4FC3">
        <w:t xml:space="preserve"> </w:t>
      </w:r>
      <w:r w:rsidR="001D2FA7" w:rsidRPr="00382917">
        <w:t>which</w:t>
      </w:r>
      <w:r w:rsidR="00EE4FC3">
        <w:t xml:space="preserve"> </w:t>
      </w:r>
      <w:r w:rsidR="001D2FA7" w:rsidRPr="00382917">
        <w:t>Bahá</w:t>
      </w:r>
      <w:r w:rsidRPr="00382917">
        <w:t>’</w:t>
      </w:r>
      <w:r w:rsidR="001D2FA7" w:rsidRPr="00382917">
        <w:t>u</w:t>
      </w:r>
      <w:r w:rsidRPr="00382917">
        <w:t>’</w:t>
      </w:r>
      <w:r w:rsidR="001D2FA7" w:rsidRPr="00382917">
        <w:t>lláh</w:t>
      </w:r>
      <w:r w:rsidR="00EE4FC3">
        <w:t xml:space="preserve"> </w:t>
      </w:r>
      <w:r w:rsidR="001D2FA7" w:rsidRPr="00382917">
        <w:t>had</w:t>
      </w:r>
      <w:r w:rsidR="00EE4FC3">
        <w:t xml:space="preserve"> </w:t>
      </w:r>
      <w:r w:rsidR="001D2FA7" w:rsidRPr="00382917">
        <w:t>conferred</w:t>
      </w:r>
      <w:r w:rsidR="00EE4FC3">
        <w:t xml:space="preserve"> </w:t>
      </w:r>
      <w:r w:rsidR="001D2FA7" w:rsidRPr="00382917">
        <w:t>upon</w:t>
      </w:r>
      <w:r w:rsidR="00EE4FC3">
        <w:t xml:space="preserve"> </w:t>
      </w:r>
      <w:r w:rsidR="001D2FA7" w:rsidRPr="00382917">
        <w:t>him.</w:t>
      </w:r>
      <w:r w:rsidRPr="00382917">
        <w:t>”</w:t>
      </w:r>
      <w:r w:rsidR="00EE4FC3">
        <w:t xml:space="preserve"> </w:t>
      </w:r>
      <w:r w:rsidR="006E0F7C">
        <w:t xml:space="preserve"> </w:t>
      </w:r>
      <w:r w:rsidR="001D2FA7" w:rsidRPr="00382917">
        <w:t>From</w:t>
      </w:r>
      <w:r w:rsidR="00EE4FC3">
        <w:t xml:space="preserve"> </w:t>
      </w:r>
      <w:r w:rsidR="001D2FA7" w:rsidRPr="00382917">
        <w:t>that</w:t>
      </w:r>
      <w:r w:rsidR="00EE4FC3">
        <w:t xml:space="preserve"> </w:t>
      </w:r>
      <w:r w:rsidR="001D2FA7" w:rsidRPr="00382917">
        <w:t>time</w:t>
      </w:r>
      <w:r w:rsidR="00EE4FC3">
        <w:t xml:space="preserve"> </w:t>
      </w:r>
      <w:r w:rsidR="001D2FA7" w:rsidRPr="00382917">
        <w:t>on,</w:t>
      </w:r>
      <w:r w:rsidR="00EE4FC3">
        <w:t xml:space="preserve"> </w:t>
      </w:r>
      <w:r w:rsidR="001D2FA7" w:rsidRPr="00382917">
        <w:t>they</w:t>
      </w:r>
      <w:r w:rsidR="00EE4FC3">
        <w:t xml:space="preserve"> </w:t>
      </w:r>
      <w:r w:rsidR="001D2FA7" w:rsidRPr="00382917">
        <w:t>were</w:t>
      </w:r>
      <w:r w:rsidR="00EE4FC3">
        <w:t xml:space="preserve"> </w:t>
      </w:r>
      <w:r w:rsidR="001D2FA7" w:rsidRPr="00382917">
        <w:t>known</w:t>
      </w:r>
      <w:r w:rsidR="00EE4FC3">
        <w:t xml:space="preserve"> </w:t>
      </w:r>
      <w:r w:rsidR="001D2FA7" w:rsidRPr="00382917">
        <w:t>only</w:t>
      </w:r>
      <w:r w:rsidR="00EE4FC3">
        <w:t xml:space="preserve"> </w:t>
      </w:r>
      <w:r w:rsidR="001D2FA7" w:rsidRPr="00382917">
        <w:t>by</w:t>
      </w:r>
      <w:r w:rsidR="00EE4FC3">
        <w:t xml:space="preserve"> </w:t>
      </w:r>
      <w:r w:rsidR="001D2FA7" w:rsidRPr="00382917">
        <w:t>those</w:t>
      </w:r>
      <w:r w:rsidR="00EE4FC3">
        <w:t xml:space="preserve"> </w:t>
      </w:r>
      <w:r w:rsidR="001D2FA7" w:rsidRPr="00382917">
        <w:t>names.</w:t>
      </w:r>
    </w:p>
    <w:p w:rsidR="001D2FA7" w:rsidRPr="00382917" w:rsidRDefault="001D2FA7" w:rsidP="007B319A">
      <w:pPr>
        <w:pStyle w:val="Text"/>
      </w:pPr>
      <w:r w:rsidRPr="00382917">
        <w:t>When</w:t>
      </w:r>
      <w:r w:rsidR="00EE4FC3">
        <w:t xml:space="preserve"> </w:t>
      </w:r>
      <w:r w:rsidRPr="00382917">
        <w:t>some</w:t>
      </w:r>
      <w:r w:rsidR="00EE4FC3">
        <w:t xml:space="preserve"> </w:t>
      </w:r>
      <w:r w:rsidRPr="00382917">
        <w:t>of</w:t>
      </w:r>
      <w:r w:rsidR="00EE4FC3">
        <w:t xml:space="preserve"> </w:t>
      </w:r>
      <w:r w:rsidRPr="00382917">
        <w:t>the</w:t>
      </w:r>
      <w:r w:rsidR="00EE4FC3">
        <w:t xml:space="preserve"> </w:t>
      </w:r>
      <w:r w:rsidRPr="00382917">
        <w:t>followers</w:t>
      </w:r>
      <w:r w:rsidR="00EE4FC3">
        <w:t xml:space="preserve"> </w:t>
      </w:r>
      <w:r w:rsidRPr="00382917">
        <w:t>complained</w:t>
      </w:r>
      <w:r w:rsidR="00EE4FC3">
        <w:t xml:space="preserve"> </w:t>
      </w:r>
      <w:r w:rsidRPr="00382917">
        <w:t>about</w:t>
      </w:r>
      <w:r w:rsidR="00EE4FC3">
        <w:t xml:space="preserve"> </w:t>
      </w:r>
      <w:r w:rsidRPr="00382917">
        <w:t>the</w:t>
      </w:r>
      <w:r w:rsidR="00EE4FC3">
        <w:t xml:space="preserve"> </w:t>
      </w:r>
      <w:r w:rsidRPr="00382917">
        <w:t>boldness</w:t>
      </w:r>
      <w:r w:rsidR="00EE4FC3">
        <w:t xml:space="preserve"> </w:t>
      </w:r>
      <w:r w:rsidRPr="00382917">
        <w:t>of</w:t>
      </w:r>
      <w:r w:rsidR="00EE4FC3">
        <w:t xml:space="preserve"> </w:t>
      </w:r>
      <w:r w:rsidRPr="00382917">
        <w:t>Ṭáhirih,</w:t>
      </w:r>
      <w:r w:rsidR="00EE4FC3">
        <w:t xml:space="preserve"> </w:t>
      </w:r>
      <w:r w:rsidRPr="00382917">
        <w:t>saying</w:t>
      </w:r>
      <w:r w:rsidR="00EE4FC3">
        <w:t xml:space="preserve"> </w:t>
      </w:r>
      <w:r w:rsidRPr="00382917">
        <w:t>that</w:t>
      </w:r>
      <w:r w:rsidR="00EE4FC3">
        <w:t xml:space="preserve"> </w:t>
      </w:r>
      <w:r w:rsidRPr="00382917">
        <w:t>she</w:t>
      </w:r>
      <w:r w:rsidR="00EE4FC3">
        <w:t xml:space="preserve"> </w:t>
      </w:r>
      <w:r w:rsidRPr="00382917">
        <w:t>had</w:t>
      </w:r>
      <w:r w:rsidR="00EE4FC3">
        <w:t xml:space="preserve"> </w:t>
      </w:r>
      <w:r w:rsidRPr="00382917">
        <w:t>been</w:t>
      </w:r>
      <w:r w:rsidR="00EE4FC3">
        <w:t xml:space="preserve"> </w:t>
      </w:r>
      <w:r w:rsidRPr="00382917">
        <w:t>indiscreet</w:t>
      </w:r>
      <w:r w:rsidR="00EE4FC3">
        <w:t xml:space="preserve"> </w:t>
      </w:r>
      <w:r w:rsidRPr="00382917">
        <w:t>to</w:t>
      </w:r>
      <w:r w:rsidR="00EE4FC3">
        <w:t xml:space="preserve"> </w:t>
      </w:r>
      <w:r w:rsidRPr="00382917">
        <w:t>cast</w:t>
      </w:r>
      <w:r w:rsidR="00EE4FC3">
        <w:t xml:space="preserve"> </w:t>
      </w:r>
      <w:r w:rsidRPr="00382917">
        <w:t>aside</w:t>
      </w:r>
      <w:r w:rsidR="00EE4FC3">
        <w:t xml:space="preserve"> </w:t>
      </w:r>
      <w:r w:rsidRPr="00382917">
        <w:t>the</w:t>
      </w:r>
      <w:r w:rsidR="00EE4FC3">
        <w:t xml:space="preserve"> </w:t>
      </w:r>
      <w:r w:rsidRPr="00382917">
        <w:t>veil,</w:t>
      </w:r>
      <w:r w:rsidR="00EE4FC3">
        <w:t xml:space="preserve"> </w:t>
      </w:r>
      <w:r w:rsidRPr="00382917">
        <w:t>the</w:t>
      </w:r>
      <w:r w:rsidR="00EE4FC3">
        <w:t xml:space="preserve"> </w:t>
      </w:r>
      <w:r w:rsidRPr="00382917">
        <w:t>Báb</w:t>
      </w:r>
      <w:r w:rsidR="00EE4FC3">
        <w:t xml:space="preserve"> </w:t>
      </w:r>
      <w:r w:rsidRPr="00382917">
        <w:t>replied</w:t>
      </w:r>
      <w:r w:rsidR="00EE4FC3">
        <w:t xml:space="preserve"> </w:t>
      </w:r>
      <w:r w:rsidRPr="00382917">
        <w:t>in</w:t>
      </w:r>
      <w:r w:rsidR="00EE4FC3">
        <w:t xml:space="preserve"> </w:t>
      </w:r>
      <w:r w:rsidRPr="00382917">
        <w:t>these</w:t>
      </w:r>
      <w:r w:rsidR="00EE4FC3">
        <w:t xml:space="preserve"> </w:t>
      </w:r>
      <w:r w:rsidRPr="00382917">
        <w:t>stirring</w:t>
      </w:r>
      <w:r w:rsidR="00EE4FC3">
        <w:t xml:space="preserve"> </w:t>
      </w:r>
      <w:r w:rsidRPr="00382917">
        <w:t>words</w:t>
      </w:r>
      <w:r w:rsidR="00C03C91">
        <w:t>:</w:t>
      </w:r>
      <w:r w:rsidR="00EE4FC3">
        <w:t xml:space="preserve">  </w:t>
      </w:r>
      <w:r w:rsidR="009C713D" w:rsidRPr="00382917">
        <w:t>“</w:t>
      </w:r>
      <w:r w:rsidRPr="00382917">
        <w:t>What</w:t>
      </w:r>
      <w:r w:rsidR="00EE4FC3">
        <w:t xml:space="preserve"> </w:t>
      </w:r>
      <w:r w:rsidRPr="00382917">
        <w:t>am</w:t>
      </w:r>
      <w:r w:rsidR="00EE4FC3">
        <w:t xml:space="preserve"> </w:t>
      </w:r>
      <w:r w:rsidRPr="00382917">
        <w:t>I</w:t>
      </w:r>
      <w:r w:rsidR="00EE4FC3">
        <w:t xml:space="preserve"> </w:t>
      </w:r>
      <w:r w:rsidRPr="00382917">
        <w:t>to</w:t>
      </w:r>
      <w:r w:rsidR="00EE4FC3">
        <w:t xml:space="preserve"> </w:t>
      </w:r>
      <w:r w:rsidRPr="00382917">
        <w:t>say</w:t>
      </w:r>
      <w:r w:rsidR="00EE4FC3">
        <w:t xml:space="preserve"> </w:t>
      </w:r>
      <w:r w:rsidRPr="00382917">
        <w:t>regarding</w:t>
      </w:r>
      <w:r w:rsidR="00EE4FC3">
        <w:t xml:space="preserve"> </w:t>
      </w:r>
      <w:r w:rsidRPr="00382917">
        <w:t>her</w:t>
      </w:r>
      <w:r w:rsidR="00EE4FC3">
        <w:t xml:space="preserve"> </w:t>
      </w:r>
      <w:r w:rsidRPr="00382917">
        <w:t>whom</w:t>
      </w:r>
      <w:r w:rsidR="00EE4FC3">
        <w:t xml:space="preserve"> </w:t>
      </w:r>
      <w:r w:rsidRPr="00382917">
        <w:t>the</w:t>
      </w:r>
      <w:r w:rsidR="00EE4FC3">
        <w:t xml:space="preserve"> </w:t>
      </w:r>
      <w:r w:rsidRPr="00382917">
        <w:t>Tongue</w:t>
      </w:r>
      <w:r w:rsidR="00EE4FC3">
        <w:t xml:space="preserve"> </w:t>
      </w:r>
      <w:r w:rsidRPr="00382917">
        <w:t>of</w:t>
      </w:r>
      <w:r w:rsidR="00EE4FC3">
        <w:t xml:space="preserve"> </w:t>
      </w:r>
      <w:r w:rsidRPr="00382917">
        <w:t>Power</w:t>
      </w:r>
      <w:r w:rsidR="00EE4FC3">
        <w:t xml:space="preserve"> </w:t>
      </w:r>
      <w:r w:rsidRPr="00382917">
        <w:t>and</w:t>
      </w:r>
      <w:r w:rsidR="00EE4FC3">
        <w:t xml:space="preserve"> </w:t>
      </w:r>
      <w:r w:rsidRPr="00382917">
        <w:t>Glory</w:t>
      </w:r>
      <w:r w:rsidR="00EE4FC3">
        <w:t xml:space="preserve"> </w:t>
      </w:r>
      <w:r w:rsidRPr="00382917">
        <w:t>[Bahá</w:t>
      </w:r>
      <w:r w:rsidR="009C713D" w:rsidRPr="00382917">
        <w:t>’</w:t>
      </w:r>
      <w:r w:rsidRPr="00382917">
        <w:t>u</w:t>
      </w:r>
      <w:r w:rsidR="009C713D" w:rsidRPr="00382917">
        <w:t>’</w:t>
      </w:r>
      <w:r w:rsidRPr="00382917">
        <w:t>lláh],</w:t>
      </w:r>
      <w:r w:rsidR="00EE4FC3">
        <w:t xml:space="preserve"> </w:t>
      </w:r>
      <w:r w:rsidRPr="00382917">
        <w:t>has</w:t>
      </w:r>
      <w:r w:rsidR="00EE4FC3">
        <w:t xml:space="preserve"> </w:t>
      </w:r>
      <w:r w:rsidRPr="00382917">
        <w:t>named</w:t>
      </w:r>
      <w:r w:rsidR="00EE4FC3">
        <w:t xml:space="preserve"> </w:t>
      </w:r>
      <w:r w:rsidRPr="00382917">
        <w:t>Ṭáhirih,</w:t>
      </w:r>
      <w:r w:rsidR="00EE4FC3">
        <w:t xml:space="preserve"> </w:t>
      </w:r>
      <w:r w:rsidRPr="00382917">
        <w:t>[</w:t>
      </w:r>
      <w:r w:rsidR="009C713D" w:rsidRPr="00382917">
        <w:t>‘</w:t>
      </w:r>
      <w:r w:rsidRPr="00382917">
        <w:t>the</w:t>
      </w:r>
      <w:r w:rsidR="00EE4FC3">
        <w:t xml:space="preserve"> </w:t>
      </w:r>
      <w:r w:rsidRPr="00382917">
        <w:t>Pure</w:t>
      </w:r>
      <w:r w:rsidR="00EE4FC3">
        <w:t xml:space="preserve"> </w:t>
      </w:r>
      <w:r w:rsidRPr="00382917">
        <w:t>One</w:t>
      </w:r>
      <w:r w:rsidR="009C713D" w:rsidRPr="00382917">
        <w:t>’</w:t>
      </w:r>
      <w:r w:rsidRPr="00382917">
        <w:t>]?</w:t>
      </w:r>
      <w:r w:rsidR="009C713D" w:rsidRPr="00382917">
        <w:t>”</w:t>
      </w:r>
    </w:p>
    <w:p w:rsidR="001D2FA7" w:rsidRPr="00382917" w:rsidRDefault="001D2FA7" w:rsidP="007B319A">
      <w:pPr>
        <w:pStyle w:val="Text"/>
      </w:pPr>
      <w:r w:rsidRPr="00382917">
        <w:t>At</w:t>
      </w:r>
      <w:r w:rsidR="00EE4FC3">
        <w:t xml:space="preserve"> </w:t>
      </w:r>
      <w:r w:rsidRPr="00382917">
        <w:t>that</w:t>
      </w:r>
      <w:r w:rsidR="00EE4FC3">
        <w:t xml:space="preserve"> </w:t>
      </w:r>
      <w:r w:rsidRPr="00382917">
        <w:t>same</w:t>
      </w:r>
      <w:r w:rsidR="00EE4FC3">
        <w:t xml:space="preserve"> </w:t>
      </w:r>
      <w:r w:rsidRPr="00382917">
        <w:t>conference,</w:t>
      </w:r>
      <w:r w:rsidR="00EE4FC3">
        <w:t xml:space="preserve"> </w:t>
      </w:r>
      <w:r w:rsidRPr="00382917">
        <w:t>Ṭáhirih</w:t>
      </w:r>
      <w:r w:rsidR="00EE4FC3">
        <w:t xml:space="preserve"> </w:t>
      </w:r>
      <w:r w:rsidRPr="00382917">
        <w:t>concluded</w:t>
      </w:r>
      <w:r w:rsidR="00EE4FC3">
        <w:t xml:space="preserve"> </w:t>
      </w:r>
      <w:r w:rsidRPr="00382917">
        <w:t>one</w:t>
      </w:r>
      <w:r w:rsidR="00EE4FC3">
        <w:t xml:space="preserve"> </w:t>
      </w:r>
      <w:r w:rsidRPr="00382917">
        <w:t>of</w:t>
      </w:r>
      <w:r w:rsidR="00EE4FC3">
        <w:t xml:space="preserve"> </w:t>
      </w:r>
      <w:r w:rsidRPr="00382917">
        <w:t>her</w:t>
      </w:r>
      <w:r w:rsidR="00EE4FC3">
        <w:t xml:space="preserve"> </w:t>
      </w:r>
      <w:r w:rsidRPr="00382917">
        <w:t>eloquent</w:t>
      </w:r>
      <w:r w:rsidR="00EE4FC3">
        <w:t xml:space="preserve"> </w:t>
      </w:r>
      <w:r w:rsidRPr="00382917">
        <w:t>addresses</w:t>
      </w:r>
      <w:r w:rsidR="00EE4FC3">
        <w:t xml:space="preserve"> </w:t>
      </w:r>
      <w:r w:rsidRPr="00382917">
        <w:t>by</w:t>
      </w:r>
      <w:r w:rsidR="00EE4FC3">
        <w:t xml:space="preserve"> </w:t>
      </w:r>
      <w:r w:rsidRPr="00382917">
        <w:t>glancing</w:t>
      </w:r>
      <w:r w:rsidR="00EE4FC3">
        <w:t xml:space="preserve"> </w:t>
      </w:r>
      <w:r w:rsidRPr="00382917">
        <w:t>toward</w:t>
      </w:r>
      <w:r w:rsidR="00EE4FC3">
        <w:t xml:space="preserve"> </w:t>
      </w:r>
      <w:r w:rsidRPr="00382917">
        <w:t>Bahá</w:t>
      </w:r>
      <w:r w:rsidR="009C713D" w:rsidRPr="00382917">
        <w:t>’</w:t>
      </w:r>
      <w:r w:rsidRPr="00382917">
        <w:t>u</w:t>
      </w:r>
      <w:r w:rsidR="009C713D" w:rsidRPr="00382917">
        <w:t>’</w:t>
      </w:r>
      <w:r w:rsidRPr="00382917">
        <w:t>lláh</w:t>
      </w:r>
      <w:r w:rsidR="00EE4FC3">
        <w:t xml:space="preserve"> </w:t>
      </w:r>
      <w:r w:rsidRPr="00382917">
        <w:t>and</w:t>
      </w:r>
      <w:r w:rsidR="00EE4FC3">
        <w:t xml:space="preserve"> </w:t>
      </w:r>
      <w:r w:rsidRPr="00382917">
        <w:t>quoting</w:t>
      </w:r>
      <w:r w:rsidR="00EE4FC3">
        <w:t xml:space="preserve"> </w:t>
      </w:r>
      <w:r w:rsidRPr="00382917">
        <w:t>a</w:t>
      </w:r>
      <w:r w:rsidR="00EE4FC3">
        <w:t xml:space="preserve"> </w:t>
      </w:r>
      <w:r w:rsidRPr="00382917">
        <w:t>prophetic</w:t>
      </w:r>
      <w:r w:rsidR="00EE4FC3">
        <w:t xml:space="preserve"> </w:t>
      </w:r>
      <w:r w:rsidRPr="00382917">
        <w:t>verse</w:t>
      </w:r>
      <w:r w:rsidR="00C03C91">
        <w:t>:</w:t>
      </w:r>
      <w:r w:rsidR="00EE4FC3">
        <w:t xml:space="preserve">  </w:t>
      </w:r>
      <w:r w:rsidR="009C713D" w:rsidRPr="00382917">
        <w:t>“</w:t>
      </w:r>
      <w:r w:rsidRPr="00382917">
        <w:t>Verily,</w:t>
      </w:r>
      <w:r w:rsidR="00EE4FC3">
        <w:t xml:space="preserve"> </w:t>
      </w:r>
      <w:r w:rsidRPr="00382917">
        <w:t>amid</w:t>
      </w:r>
      <w:r w:rsidR="00EE4FC3">
        <w:t xml:space="preserve"> </w:t>
      </w:r>
      <w:r w:rsidRPr="00382917">
        <w:t>gardens</w:t>
      </w:r>
      <w:r w:rsidR="00EE4FC3">
        <w:t xml:space="preserve"> </w:t>
      </w:r>
      <w:r w:rsidRPr="00382917">
        <w:t>and</w:t>
      </w:r>
      <w:r w:rsidR="00EE4FC3">
        <w:t xml:space="preserve"> </w:t>
      </w:r>
      <w:r w:rsidRPr="00382917">
        <w:t>rivers</w:t>
      </w:r>
      <w:r w:rsidR="00EE4FC3">
        <w:t xml:space="preserve"> </w:t>
      </w:r>
      <w:r w:rsidRPr="00382917">
        <w:t>shall</w:t>
      </w:r>
      <w:r w:rsidR="00EE4FC3">
        <w:t xml:space="preserve"> </w:t>
      </w:r>
      <w:r w:rsidRPr="00382917">
        <w:t>the</w:t>
      </w:r>
      <w:r w:rsidR="00EE4FC3">
        <w:t xml:space="preserve"> </w:t>
      </w:r>
      <w:r w:rsidRPr="00382917">
        <w:t>pious</w:t>
      </w:r>
      <w:r w:rsidR="00EE4FC3">
        <w:t xml:space="preserve"> </w:t>
      </w:r>
      <w:r w:rsidRPr="00382917">
        <w:t>dwell</w:t>
      </w:r>
      <w:r w:rsidR="00EE4FC3">
        <w:t xml:space="preserve"> </w:t>
      </w:r>
      <w:r w:rsidRPr="00382917">
        <w:t>in</w:t>
      </w:r>
      <w:r w:rsidR="00EE4FC3">
        <w:t xml:space="preserve"> </w:t>
      </w:r>
      <w:r w:rsidRPr="00382917">
        <w:t>the</w:t>
      </w:r>
      <w:r w:rsidR="00EE4FC3">
        <w:t xml:space="preserve"> </w:t>
      </w:r>
      <w:r w:rsidRPr="00382917">
        <w:t>seat</w:t>
      </w:r>
      <w:r w:rsidR="00EE4FC3">
        <w:t xml:space="preserve"> </w:t>
      </w:r>
      <w:r w:rsidRPr="00382917">
        <w:t>of</w:t>
      </w:r>
      <w:r w:rsidR="00EE4FC3">
        <w:t xml:space="preserve"> </w:t>
      </w:r>
      <w:r w:rsidRPr="00382917">
        <w:t>Truth,</w:t>
      </w:r>
      <w:r w:rsidR="00EE4FC3">
        <w:t xml:space="preserve"> </w:t>
      </w:r>
      <w:r w:rsidRPr="00382917">
        <w:t>in</w:t>
      </w:r>
      <w:r w:rsidR="00EE4FC3">
        <w:t xml:space="preserve"> </w:t>
      </w:r>
      <w:r w:rsidRPr="00382917">
        <w:t>the</w:t>
      </w:r>
      <w:r w:rsidR="00EE4FC3">
        <w:t xml:space="preserve"> </w:t>
      </w:r>
      <w:r w:rsidRPr="00382917">
        <w:t>presence</w:t>
      </w:r>
      <w:r w:rsidR="00EE4FC3">
        <w:t xml:space="preserve"> </w:t>
      </w:r>
      <w:r w:rsidRPr="00382917">
        <w:t>of</w:t>
      </w:r>
      <w:r w:rsidR="00EE4FC3">
        <w:t xml:space="preserve"> </w:t>
      </w:r>
      <w:r w:rsidRPr="00382917">
        <w:t>the</w:t>
      </w:r>
      <w:r w:rsidR="00EE4FC3">
        <w:t xml:space="preserve"> </w:t>
      </w:r>
      <w:r w:rsidRPr="00382917">
        <w:t>Potent</w:t>
      </w:r>
      <w:r w:rsidR="00EE4FC3">
        <w:t xml:space="preserve"> </w:t>
      </w:r>
      <w:r w:rsidRPr="00382917">
        <w:t>King.</w:t>
      </w:r>
      <w:r w:rsidR="009C713D" w:rsidRPr="00382917">
        <w:t>”</w:t>
      </w:r>
    </w:p>
    <w:p w:rsidR="001D2FA7" w:rsidRPr="00382917" w:rsidRDefault="001D2FA7" w:rsidP="00330AF7">
      <w:pPr>
        <w:pStyle w:val="Text"/>
      </w:pPr>
      <w:r w:rsidRPr="00382917">
        <w:t>Then</w:t>
      </w:r>
      <w:r w:rsidR="00EE4FC3">
        <w:t xml:space="preserve"> </w:t>
      </w:r>
      <w:r w:rsidRPr="00382917">
        <w:t>Ṭáhirih</w:t>
      </w:r>
      <w:r w:rsidR="00EE4FC3">
        <w:t xml:space="preserve"> </w:t>
      </w:r>
      <w:r w:rsidRPr="00382917">
        <w:t>declared</w:t>
      </w:r>
      <w:r w:rsidR="00EE4FC3">
        <w:t xml:space="preserve"> </w:t>
      </w:r>
      <w:r w:rsidRPr="00382917">
        <w:t>that</w:t>
      </w:r>
      <w:r w:rsidR="00EE4FC3">
        <w:t xml:space="preserve"> </w:t>
      </w:r>
      <w:r w:rsidRPr="00382917">
        <w:t>she</w:t>
      </w:r>
      <w:r w:rsidR="00EE4FC3">
        <w:t xml:space="preserve"> </w:t>
      </w:r>
      <w:r w:rsidRPr="00382917">
        <w:t>was</w:t>
      </w:r>
      <w:r w:rsidR="00EE4FC3">
        <w:t xml:space="preserve"> </w:t>
      </w:r>
      <w:r w:rsidRPr="00382917">
        <w:t>the</w:t>
      </w:r>
      <w:r w:rsidR="00EE4FC3">
        <w:t xml:space="preserve"> </w:t>
      </w:r>
      <w:r w:rsidRPr="00382917">
        <w:t>blast</w:t>
      </w:r>
      <w:r w:rsidR="00EE4FC3">
        <w:t xml:space="preserve"> </w:t>
      </w:r>
      <w:r w:rsidRPr="00382917">
        <w:t>of</w:t>
      </w:r>
      <w:r w:rsidR="00EE4FC3">
        <w:t xml:space="preserve"> </w:t>
      </w:r>
      <w:r w:rsidRPr="00382917">
        <w:t>the</w:t>
      </w:r>
      <w:r w:rsidR="00EE4FC3">
        <w:t xml:space="preserve"> </w:t>
      </w:r>
      <w:r w:rsidRPr="00382917">
        <w:t>bugle</w:t>
      </w:r>
      <w:r w:rsidR="00EE4FC3">
        <w:t xml:space="preserve"> </w:t>
      </w:r>
      <w:r w:rsidRPr="00382917">
        <w:t>that</w:t>
      </w:r>
      <w:r w:rsidR="00EE4FC3">
        <w:t xml:space="preserve"> </w:t>
      </w:r>
      <w:r w:rsidRPr="00382917">
        <w:t>annulled</w:t>
      </w:r>
      <w:r w:rsidR="00EE4FC3">
        <w:t xml:space="preserve"> </w:t>
      </w:r>
      <w:r w:rsidRPr="00382917">
        <w:t>the</w:t>
      </w:r>
      <w:r w:rsidR="00EE4FC3">
        <w:t xml:space="preserve"> </w:t>
      </w:r>
      <w:r w:rsidRPr="00382917">
        <w:t>past</w:t>
      </w:r>
      <w:r w:rsidR="00EE4FC3">
        <w:t xml:space="preserve"> </w:t>
      </w:r>
      <w:r w:rsidRPr="00382917">
        <w:t>ages</w:t>
      </w:r>
      <w:r w:rsidR="00330AF7">
        <w:t>.</w:t>
      </w:r>
      <w:r w:rsidR="00EE4FC3">
        <w:t xml:space="preserve">  </w:t>
      </w:r>
      <w:r w:rsidRPr="00382917">
        <w:t>Dr</w:t>
      </w:r>
      <w:r w:rsidR="00EE4FC3">
        <w:t xml:space="preserve"> </w:t>
      </w:r>
      <w:r w:rsidRPr="00382917">
        <w:t>T.</w:t>
      </w:r>
      <w:r w:rsidR="00EE4FC3">
        <w:t xml:space="preserve"> </w:t>
      </w:r>
      <w:r w:rsidRPr="00382917">
        <w:t>K.</w:t>
      </w:r>
      <w:r w:rsidR="00EE4FC3">
        <w:t xml:space="preserve"> </w:t>
      </w:r>
      <w:r w:rsidRPr="00382917">
        <w:t>Cheyne</w:t>
      </w:r>
      <w:r w:rsidR="00EE4FC3">
        <w:t xml:space="preserve"> </w:t>
      </w:r>
      <w:r w:rsidRPr="00382917">
        <w:t>writes</w:t>
      </w:r>
      <w:r w:rsidR="00EE4FC3">
        <w:t xml:space="preserve"> </w:t>
      </w:r>
      <w:r w:rsidRPr="00382917">
        <w:t>of</w:t>
      </w:r>
      <w:r w:rsidR="00EE4FC3">
        <w:t xml:space="preserve"> </w:t>
      </w:r>
      <w:r w:rsidRPr="00382917">
        <w:t>this,</w:t>
      </w:r>
      <w:r w:rsidR="00EE4FC3">
        <w:t xml:space="preserve"> </w:t>
      </w:r>
      <w:r w:rsidRPr="00382917">
        <w:t>stating,</w:t>
      </w:r>
      <w:r w:rsidR="00EE4FC3">
        <w:t xml:space="preserve"> </w:t>
      </w:r>
      <w:r w:rsidR="009C713D" w:rsidRPr="00382917">
        <w:t>“</w:t>
      </w:r>
      <w:r w:rsidRPr="00382917">
        <w:t>It</w:t>
      </w:r>
      <w:r w:rsidR="00EE4FC3">
        <w:t xml:space="preserve"> </w:t>
      </w:r>
      <w:r w:rsidRPr="00382917">
        <w:t>is</w:t>
      </w:r>
      <w:r w:rsidR="00EE4FC3">
        <w:t xml:space="preserve"> </w:t>
      </w:r>
      <w:r w:rsidRPr="00382917">
        <w:t>said,</w:t>
      </w:r>
      <w:r w:rsidR="00EE4FC3">
        <w:t xml:space="preserve"> </w:t>
      </w:r>
      <w:r w:rsidRPr="00382917">
        <w:t>too,</w:t>
      </w:r>
      <w:r w:rsidR="00EE4FC3">
        <w:t xml:space="preserve"> </w:t>
      </w:r>
      <w:r w:rsidRPr="00382917">
        <w:t>that</w:t>
      </w:r>
      <w:r w:rsidR="00EE4FC3">
        <w:t xml:space="preserve"> </w:t>
      </w:r>
      <w:r w:rsidRPr="00382917">
        <w:t>this</w:t>
      </w:r>
      <w:r w:rsidR="00EE4FC3">
        <w:t xml:space="preserve"> </w:t>
      </w:r>
      <w:r w:rsidRPr="00382917">
        <w:t>short</w:t>
      </w:r>
      <w:r w:rsidR="00EE4FC3">
        <w:t xml:space="preserve"> </w:t>
      </w:r>
      <w:r w:rsidRPr="00382917">
        <w:t>speech</w:t>
      </w:r>
      <w:r w:rsidR="00EE4FC3">
        <w:t xml:space="preserve"> </w:t>
      </w:r>
      <w:r w:rsidRPr="00382917">
        <w:t>of</w:t>
      </w:r>
      <w:r w:rsidR="00EE4FC3">
        <w:t xml:space="preserve"> </w:t>
      </w:r>
      <w:r w:rsidRPr="00382917">
        <w:t>the</w:t>
      </w:r>
      <w:r w:rsidR="00EE4FC3">
        <w:t xml:space="preserve"> </w:t>
      </w:r>
      <w:r w:rsidRPr="00382917">
        <w:t>brave</w:t>
      </w:r>
      <w:r w:rsidR="00EE4FC3">
        <w:t xml:space="preserve"> </w:t>
      </w:r>
      <w:r w:rsidRPr="00382917">
        <w:t>woman</w:t>
      </w:r>
      <w:r w:rsidR="00EE4FC3">
        <w:t xml:space="preserve"> </w:t>
      </w:r>
      <w:r w:rsidRPr="00382917">
        <w:t>was</w:t>
      </w:r>
      <w:r w:rsidR="00EE4FC3">
        <w:t xml:space="preserve"> </w:t>
      </w:r>
      <w:r w:rsidRPr="00382917">
        <w:t>followed</w:t>
      </w:r>
      <w:r w:rsidR="00EE4FC3">
        <w:t xml:space="preserve"> </w:t>
      </w:r>
      <w:r w:rsidRPr="00382917">
        <w:t>by</w:t>
      </w:r>
      <w:r w:rsidR="00EE4FC3">
        <w:t xml:space="preserve"> </w:t>
      </w:r>
      <w:r w:rsidRPr="00382917">
        <w:t>a</w:t>
      </w:r>
      <w:r w:rsidR="00EE4FC3">
        <w:t xml:space="preserve"> </w:t>
      </w:r>
      <w:r w:rsidRPr="00382917">
        <w:t>recitation</w:t>
      </w:r>
      <w:r w:rsidR="00EE4FC3">
        <w:t xml:space="preserve"> </w:t>
      </w:r>
      <w:r w:rsidRPr="00382917">
        <w:t>by</w:t>
      </w:r>
      <w:r w:rsidR="00EE4FC3">
        <w:t xml:space="preserve"> </w:t>
      </w:r>
      <w:r w:rsidRPr="00382917">
        <w:t>Bahá</w:t>
      </w:r>
      <w:r w:rsidR="009C713D" w:rsidRPr="00382917">
        <w:t>’</w:t>
      </w:r>
      <w:r w:rsidRPr="00382917">
        <w:t>u</w:t>
      </w:r>
      <w:r w:rsidR="009C713D" w:rsidRPr="00382917">
        <w:t>’</w:t>
      </w:r>
      <w:r w:rsidRPr="00382917">
        <w:t>lláh</w:t>
      </w:r>
      <w:r w:rsidR="00EE4FC3">
        <w:t xml:space="preserve"> </w:t>
      </w:r>
      <w:r w:rsidRPr="00382917">
        <w:t>of</w:t>
      </w:r>
      <w:r w:rsidR="00EE4FC3">
        <w:t xml:space="preserve"> </w:t>
      </w:r>
      <w:r w:rsidRPr="00382917">
        <w:t>the</w:t>
      </w:r>
      <w:r w:rsidR="00EE4FC3">
        <w:t xml:space="preserve"> </w:t>
      </w:r>
      <w:r w:rsidRPr="00382917">
        <w:t>Súrih</w:t>
      </w:r>
      <w:r w:rsidR="00EE4FC3">
        <w:t xml:space="preserve"> </w:t>
      </w:r>
      <w:r w:rsidRPr="00382917">
        <w:t>[Chapter]</w:t>
      </w:r>
      <w:r w:rsidR="00EE4FC3">
        <w:t xml:space="preserve"> </w:t>
      </w:r>
      <w:r w:rsidRPr="00382917">
        <w:t>of</w:t>
      </w:r>
      <w:r w:rsidR="00EE4FC3">
        <w:t xml:space="preserve"> </w:t>
      </w:r>
      <w:r w:rsidRPr="00382917">
        <w:t>Resurrection</w:t>
      </w:r>
      <w:r w:rsidR="00EE4FC3">
        <w:t xml:space="preserve"> </w:t>
      </w:r>
      <w:r w:rsidR="00F04416" w:rsidRPr="00382917">
        <w:t>…</w:t>
      </w:r>
      <w:r w:rsidR="00EE4FC3">
        <w:t xml:space="preserve"> </w:t>
      </w:r>
      <w:r w:rsidRPr="00382917">
        <w:t>the</w:t>
      </w:r>
      <w:r w:rsidR="00EE4FC3">
        <w:t xml:space="preserve"> </w:t>
      </w:r>
      <w:r w:rsidRPr="00382917">
        <w:t>inner</w:t>
      </w:r>
      <w:r w:rsidR="00EE4FC3">
        <w:t xml:space="preserve"> </w:t>
      </w:r>
      <w:r w:rsidRPr="00382917">
        <w:t>meaning</w:t>
      </w:r>
      <w:r w:rsidR="00EE4FC3">
        <w:t xml:space="preserve"> </w:t>
      </w:r>
      <w:r w:rsidRPr="00382917">
        <w:t>of</w:t>
      </w:r>
      <w:r w:rsidR="00EE4FC3">
        <w:t xml:space="preserve"> </w:t>
      </w:r>
      <w:r w:rsidRPr="00382917">
        <w:t>this</w:t>
      </w:r>
      <w:r w:rsidR="00EE4FC3">
        <w:t xml:space="preserve"> </w:t>
      </w:r>
      <w:r w:rsidRPr="00382917">
        <w:t>was</w:t>
      </w:r>
      <w:r w:rsidR="00EE4FC3">
        <w:t xml:space="preserve"> </w:t>
      </w:r>
      <w:r w:rsidRPr="00382917">
        <w:t>that</w:t>
      </w:r>
      <w:r w:rsidR="00EE4FC3">
        <w:t xml:space="preserve"> </w:t>
      </w:r>
      <w:r w:rsidRPr="00382917">
        <w:t>mankind</w:t>
      </w:r>
      <w:r w:rsidR="00EE4FC3">
        <w:t xml:space="preserve"> </w:t>
      </w:r>
      <w:r w:rsidRPr="00382917">
        <w:t>was</w:t>
      </w:r>
      <w:r w:rsidR="00EE4FC3">
        <w:t xml:space="preserve"> </w:t>
      </w:r>
      <w:r w:rsidRPr="00382917">
        <w:t>about</w:t>
      </w:r>
    </w:p>
    <w:p w:rsidR="007B319A" w:rsidRPr="00382917" w:rsidRDefault="007B319A">
      <w:pPr>
        <w:widowControl/>
        <w:kinsoku/>
        <w:overflowPunct/>
        <w:textAlignment w:val="auto"/>
      </w:pPr>
      <w:r w:rsidRPr="00382917">
        <w:br w:type="page"/>
      </w:r>
    </w:p>
    <w:p w:rsidR="001D2FA7" w:rsidRPr="00382917" w:rsidRDefault="001D2FA7" w:rsidP="006E0F7C">
      <w:pPr>
        <w:pStyle w:val="Textcts"/>
      </w:pPr>
      <w:proofErr w:type="gramStart"/>
      <w:r w:rsidRPr="00382917">
        <w:t>to</w:t>
      </w:r>
      <w:proofErr w:type="gramEnd"/>
      <w:r w:rsidR="00EE4FC3">
        <w:t xml:space="preserve"> </w:t>
      </w:r>
      <w:r w:rsidRPr="00382917">
        <w:t>pass</w:t>
      </w:r>
      <w:r w:rsidR="00EE4FC3">
        <w:t xml:space="preserve"> </w:t>
      </w:r>
      <w:r w:rsidRPr="00382917">
        <w:t>into</w:t>
      </w:r>
      <w:r w:rsidR="00EE4FC3">
        <w:t xml:space="preserve"> </w:t>
      </w:r>
      <w:r w:rsidRPr="00382917">
        <w:t>a</w:t>
      </w:r>
      <w:r w:rsidR="00EE4FC3">
        <w:t xml:space="preserve"> </w:t>
      </w:r>
      <w:r w:rsidRPr="00382917">
        <w:t>new</w:t>
      </w:r>
      <w:r w:rsidR="00EE4FC3">
        <w:t xml:space="preserve"> </w:t>
      </w:r>
      <w:r w:rsidRPr="00382917">
        <w:t>cosmic</w:t>
      </w:r>
      <w:r w:rsidR="00EE4FC3">
        <w:t xml:space="preserve"> </w:t>
      </w:r>
      <w:r w:rsidRPr="00382917">
        <w:t>cycle,</w:t>
      </w:r>
      <w:r w:rsidR="00EE4FC3">
        <w:t xml:space="preserve"> </w:t>
      </w:r>
      <w:r w:rsidRPr="00382917">
        <w:t>for</w:t>
      </w:r>
      <w:r w:rsidR="00EE4FC3">
        <w:t xml:space="preserve"> </w:t>
      </w:r>
      <w:r w:rsidRPr="00382917">
        <w:t>which</w:t>
      </w:r>
      <w:r w:rsidR="00EE4FC3">
        <w:t xml:space="preserve"> </w:t>
      </w:r>
      <w:r w:rsidRPr="00382917">
        <w:t>a</w:t>
      </w:r>
      <w:r w:rsidR="00EE4FC3">
        <w:t xml:space="preserve"> </w:t>
      </w:r>
      <w:r w:rsidRPr="00382917">
        <w:t>new</w:t>
      </w:r>
      <w:r w:rsidR="00EE4FC3">
        <w:t xml:space="preserve"> </w:t>
      </w:r>
      <w:r w:rsidRPr="00382917">
        <w:t>set</w:t>
      </w:r>
      <w:r w:rsidR="00EE4FC3">
        <w:t xml:space="preserve"> </w:t>
      </w:r>
      <w:r w:rsidRPr="00382917">
        <w:t>of</w:t>
      </w:r>
      <w:r w:rsidR="00EE4FC3">
        <w:t xml:space="preserve"> </w:t>
      </w:r>
      <w:r w:rsidRPr="00382917">
        <w:t>laws</w:t>
      </w:r>
      <w:r w:rsidR="00EE4FC3">
        <w:t xml:space="preserve"> </w:t>
      </w:r>
      <w:r w:rsidRPr="00382917">
        <w:t>and</w:t>
      </w:r>
      <w:r w:rsidR="00EE4FC3">
        <w:t xml:space="preserve"> </w:t>
      </w:r>
      <w:r w:rsidRPr="00382917">
        <w:t>customs</w:t>
      </w:r>
      <w:r w:rsidR="00EE4FC3">
        <w:t xml:space="preserve"> </w:t>
      </w:r>
      <w:r w:rsidRPr="00382917">
        <w:t>would</w:t>
      </w:r>
      <w:r w:rsidR="00EE4FC3">
        <w:t xml:space="preserve"> </w:t>
      </w:r>
      <w:r w:rsidRPr="00382917">
        <w:t>be</w:t>
      </w:r>
      <w:r w:rsidR="00EE4FC3">
        <w:t xml:space="preserve"> </w:t>
      </w:r>
      <w:r w:rsidRPr="00382917">
        <w:t>indispensable.</w:t>
      </w:r>
      <w:r w:rsidR="009C713D" w:rsidRPr="00382917">
        <w:t>”</w:t>
      </w:r>
      <w:r w:rsidR="006E0F7C">
        <w:rPr>
          <w:rStyle w:val="FootnoteReference"/>
        </w:rPr>
        <w:footnoteReference w:id="211"/>
      </w:r>
    </w:p>
    <w:p w:rsidR="00E13D49" w:rsidRPr="00382917" w:rsidRDefault="001D2FA7" w:rsidP="000667DD">
      <w:pPr>
        <w:pStyle w:val="Text"/>
      </w:pPr>
      <w:proofErr w:type="gramStart"/>
      <w:r w:rsidRPr="00382917">
        <w:t>Bahá</w:t>
      </w:r>
      <w:r w:rsidR="009C713D" w:rsidRPr="00382917">
        <w:t>’</w:t>
      </w:r>
      <w:r w:rsidRPr="00382917">
        <w:t>u</w:t>
      </w:r>
      <w:r w:rsidR="009C713D" w:rsidRPr="00382917">
        <w:t>’</w:t>
      </w:r>
      <w:r w:rsidRPr="00382917">
        <w:t>lláh</w:t>
      </w:r>
      <w:r w:rsidR="00EE4FC3">
        <w:t xml:space="preserve"> </w:t>
      </w:r>
      <w:r w:rsidRPr="00382917">
        <w:t>arranged</w:t>
      </w:r>
      <w:r w:rsidR="00EE4FC3">
        <w:t xml:space="preserve"> </w:t>
      </w:r>
      <w:r w:rsidRPr="00382917">
        <w:t>for</w:t>
      </w:r>
      <w:r w:rsidR="00EE4FC3">
        <w:t xml:space="preserve"> </w:t>
      </w:r>
      <w:r w:rsidRPr="00382917">
        <w:t>the</w:t>
      </w:r>
      <w:r w:rsidR="00EE4FC3">
        <w:t xml:space="preserve"> </w:t>
      </w:r>
      <w:r w:rsidRPr="00382917">
        <w:t>departure</w:t>
      </w:r>
      <w:r w:rsidR="00EE4FC3">
        <w:t xml:space="preserve"> </w:t>
      </w:r>
      <w:r w:rsidRPr="00382917">
        <w:t>of</w:t>
      </w:r>
      <w:r w:rsidR="00EE4FC3">
        <w:t xml:space="preserve"> </w:t>
      </w:r>
      <w:r w:rsidRPr="00382917">
        <w:t>the</w:t>
      </w:r>
      <w:r w:rsidR="00EE4FC3">
        <w:t xml:space="preserve"> </w:t>
      </w:r>
      <w:r w:rsidRPr="00382917">
        <w:t>friends</w:t>
      </w:r>
      <w:r w:rsidR="00EE4FC3">
        <w:t xml:space="preserve"> </w:t>
      </w:r>
      <w:r w:rsidRPr="00382917">
        <w:t>from</w:t>
      </w:r>
      <w:r w:rsidR="00EE4FC3">
        <w:t xml:space="preserve"> </w:t>
      </w:r>
      <w:r w:rsidR="00330AF7" w:rsidRPr="00382917">
        <w:t>Bada</w:t>
      </w:r>
      <w:r w:rsidR="00330AF7" w:rsidRPr="00330AF7">
        <w:rPr>
          <w:u w:val="single"/>
        </w:rPr>
        <w:t>sh</w:t>
      </w:r>
      <w:r w:rsidR="00330AF7" w:rsidRPr="00382917">
        <w:t>t</w:t>
      </w:r>
      <w:r w:rsidRPr="00382917">
        <w:t>,</w:t>
      </w:r>
      <w:r w:rsidR="00EE4FC3">
        <w:t xml:space="preserve"> </w:t>
      </w:r>
      <w:r w:rsidRPr="00382917">
        <w:t>just</w:t>
      </w:r>
      <w:r w:rsidR="00EE4FC3">
        <w:t xml:space="preserve"> </w:t>
      </w:r>
      <w:r w:rsidRPr="00382917">
        <w:t>as</w:t>
      </w:r>
      <w:r w:rsidR="00EE4FC3">
        <w:t xml:space="preserve"> </w:t>
      </w:r>
      <w:r w:rsidRPr="00382917">
        <w:t>He</w:t>
      </w:r>
      <w:r w:rsidR="00EE4FC3">
        <w:t xml:space="preserve"> </w:t>
      </w:r>
      <w:r w:rsidRPr="00382917">
        <w:t>had</w:t>
      </w:r>
      <w:r w:rsidR="00EE4FC3">
        <w:t xml:space="preserve"> </w:t>
      </w:r>
      <w:r w:rsidRPr="00382917">
        <w:t>arranged</w:t>
      </w:r>
      <w:r w:rsidR="00EE4FC3">
        <w:t xml:space="preserve"> </w:t>
      </w:r>
      <w:r w:rsidRPr="00382917">
        <w:t>for</w:t>
      </w:r>
      <w:r w:rsidR="00EE4FC3">
        <w:t xml:space="preserve"> </w:t>
      </w:r>
      <w:r w:rsidRPr="00382917">
        <w:t>their</w:t>
      </w:r>
      <w:r w:rsidR="00EE4FC3">
        <w:t xml:space="preserve"> </w:t>
      </w:r>
      <w:r w:rsidRPr="00382917">
        <w:t>arrival</w:t>
      </w:r>
      <w:r w:rsidR="00330AF7">
        <w:t>.</w:t>
      </w:r>
      <w:proofErr w:type="gramEnd"/>
      <w:r w:rsidR="00EE4FC3">
        <w:t xml:space="preserve">  </w:t>
      </w:r>
      <w:r w:rsidRPr="00382917">
        <w:t>On</w:t>
      </w:r>
      <w:r w:rsidR="00EE4FC3">
        <w:t xml:space="preserve"> </w:t>
      </w:r>
      <w:r w:rsidRPr="00382917">
        <w:t>their</w:t>
      </w:r>
      <w:r w:rsidR="00EE4FC3">
        <w:t xml:space="preserve"> </w:t>
      </w:r>
      <w:r w:rsidRPr="00382917">
        <w:t>way</w:t>
      </w:r>
      <w:r w:rsidR="00EE4FC3">
        <w:t xml:space="preserve"> </w:t>
      </w:r>
      <w:r w:rsidRPr="00382917">
        <w:t>home,</w:t>
      </w:r>
      <w:r w:rsidR="00EE4FC3">
        <w:t xml:space="preserve"> </w:t>
      </w:r>
      <w:r w:rsidRPr="00382917">
        <w:t>Ṭáhirih</w:t>
      </w:r>
      <w:r w:rsidR="00EE4FC3">
        <w:t xml:space="preserve"> </w:t>
      </w:r>
      <w:r w:rsidRPr="00382917">
        <w:t>composed</w:t>
      </w:r>
      <w:r w:rsidR="00EE4FC3">
        <w:t xml:space="preserve"> </w:t>
      </w:r>
      <w:r w:rsidRPr="00382917">
        <w:t>an</w:t>
      </w:r>
      <w:r w:rsidR="00EE4FC3">
        <w:t xml:space="preserve"> </w:t>
      </w:r>
      <w:r w:rsidRPr="00382917">
        <w:t>ode</w:t>
      </w:r>
      <w:r w:rsidR="00EE4FC3">
        <w:t xml:space="preserve"> </w:t>
      </w:r>
      <w:r w:rsidRPr="00382917">
        <w:t>each</w:t>
      </w:r>
      <w:r w:rsidR="00EE4FC3">
        <w:t xml:space="preserve"> </w:t>
      </w:r>
      <w:r w:rsidRPr="00382917">
        <w:t>day</w:t>
      </w:r>
      <w:r w:rsidR="00EE4FC3">
        <w:t xml:space="preserve"> </w:t>
      </w:r>
      <w:r w:rsidRPr="00382917">
        <w:t>which</w:t>
      </w:r>
      <w:r w:rsidR="00EE4FC3">
        <w:t xml:space="preserve"> </w:t>
      </w:r>
      <w:r w:rsidRPr="00382917">
        <w:t>she</w:t>
      </w:r>
      <w:r w:rsidR="00EE4FC3">
        <w:t xml:space="preserve"> </w:t>
      </w:r>
      <w:r w:rsidRPr="00382917">
        <w:t>shared</w:t>
      </w:r>
      <w:r w:rsidR="00EE4FC3">
        <w:t xml:space="preserve"> </w:t>
      </w:r>
      <w:r w:rsidRPr="00382917">
        <w:t>with</w:t>
      </w:r>
      <w:r w:rsidR="00EE4FC3">
        <w:t xml:space="preserve"> </w:t>
      </w:r>
      <w:r w:rsidRPr="00382917">
        <w:t>her</w:t>
      </w:r>
      <w:r w:rsidR="00EE4FC3">
        <w:t xml:space="preserve"> </w:t>
      </w:r>
      <w:r w:rsidRPr="00382917">
        <w:t>companions</w:t>
      </w:r>
      <w:r w:rsidR="00330AF7">
        <w:t>.</w:t>
      </w:r>
      <w:r w:rsidR="00EE4FC3">
        <w:t xml:space="preserve">  </w:t>
      </w:r>
      <w:r w:rsidRPr="00382917">
        <w:t>These</w:t>
      </w:r>
      <w:r w:rsidR="00EE4FC3">
        <w:t xml:space="preserve"> </w:t>
      </w:r>
      <w:r w:rsidRPr="00382917">
        <w:t>verses</w:t>
      </w:r>
      <w:r w:rsidR="00EE4FC3">
        <w:t xml:space="preserve"> </w:t>
      </w:r>
      <w:r w:rsidRPr="00382917">
        <w:t>told</w:t>
      </w:r>
      <w:r w:rsidR="00EE4FC3">
        <w:t xml:space="preserve"> </w:t>
      </w:r>
      <w:r w:rsidRPr="00382917">
        <w:t>of</w:t>
      </w:r>
      <w:r w:rsidR="00EE4FC3">
        <w:t xml:space="preserve"> </w:t>
      </w:r>
      <w:r w:rsidRPr="00382917">
        <w:t>the</w:t>
      </w:r>
      <w:r w:rsidR="00EE4FC3">
        <w:t xml:space="preserve"> </w:t>
      </w:r>
      <w:r w:rsidRPr="00382917">
        <w:t>obsolete</w:t>
      </w:r>
      <w:r w:rsidR="00EE4FC3">
        <w:t xml:space="preserve"> </w:t>
      </w:r>
      <w:r w:rsidRPr="00382917">
        <w:t>conventions,</w:t>
      </w:r>
      <w:r w:rsidR="00EE4FC3">
        <w:t xml:space="preserve"> </w:t>
      </w:r>
      <w:r w:rsidRPr="00382917">
        <w:t>rituals</w:t>
      </w:r>
      <w:r w:rsidR="00EE4FC3">
        <w:t xml:space="preserve"> </w:t>
      </w:r>
      <w:r w:rsidRPr="00382917">
        <w:t>and</w:t>
      </w:r>
      <w:r w:rsidR="00EE4FC3">
        <w:t xml:space="preserve"> </w:t>
      </w:r>
      <w:r w:rsidRPr="00382917">
        <w:t>traditions</w:t>
      </w:r>
      <w:r w:rsidR="00EE4FC3">
        <w:t xml:space="preserve"> </w:t>
      </w:r>
      <w:r w:rsidRPr="00382917">
        <w:t>which</w:t>
      </w:r>
      <w:r w:rsidR="00EE4FC3">
        <w:t xml:space="preserve"> </w:t>
      </w:r>
      <w:r w:rsidRPr="00382917">
        <w:t>had</w:t>
      </w:r>
      <w:r w:rsidR="00EE4FC3">
        <w:t xml:space="preserve"> </w:t>
      </w:r>
      <w:r w:rsidRPr="00382917">
        <w:t>chained</w:t>
      </w:r>
      <w:r w:rsidR="00EE4FC3">
        <w:t xml:space="preserve"> </w:t>
      </w:r>
      <w:r w:rsidRPr="00382917">
        <w:t>the</w:t>
      </w:r>
      <w:r w:rsidR="00EE4FC3">
        <w:t xml:space="preserve"> </w:t>
      </w:r>
      <w:r w:rsidRPr="00382917">
        <w:t>consciences</w:t>
      </w:r>
      <w:r w:rsidR="00EE4FC3">
        <w:t xml:space="preserve"> </w:t>
      </w:r>
      <w:r w:rsidRPr="00382917">
        <w:t>of</w:t>
      </w:r>
      <w:r w:rsidR="00EE4FC3">
        <w:t xml:space="preserve"> </w:t>
      </w:r>
      <w:r w:rsidRPr="00382917">
        <w:t>men</w:t>
      </w:r>
      <w:r w:rsidR="00EE4FC3">
        <w:t xml:space="preserve"> </w:t>
      </w:r>
      <w:r w:rsidRPr="00382917">
        <w:t>and</w:t>
      </w:r>
      <w:r w:rsidR="00EE4FC3">
        <w:t xml:space="preserve"> </w:t>
      </w:r>
      <w:r w:rsidRPr="00382917">
        <w:t>women</w:t>
      </w:r>
      <w:r w:rsidR="00EE4FC3">
        <w:t xml:space="preserve"> </w:t>
      </w:r>
      <w:r w:rsidRPr="00382917">
        <w:t>in</w:t>
      </w:r>
      <w:r w:rsidR="00EE4FC3">
        <w:t xml:space="preserve"> </w:t>
      </w:r>
      <w:r w:rsidRPr="00382917">
        <w:t>the</w:t>
      </w:r>
      <w:r w:rsidR="00EE4FC3">
        <w:t xml:space="preserve"> </w:t>
      </w:r>
      <w:r w:rsidRPr="00382917">
        <w:t>past,</w:t>
      </w:r>
      <w:r w:rsidR="00EE4FC3">
        <w:t xml:space="preserve"> </w:t>
      </w:r>
      <w:r w:rsidRPr="00382917">
        <w:t>and</w:t>
      </w:r>
      <w:r w:rsidR="00EE4FC3">
        <w:t xml:space="preserve"> </w:t>
      </w:r>
      <w:r w:rsidRPr="00382917">
        <w:t>how</w:t>
      </w:r>
      <w:r w:rsidR="00EE4FC3">
        <w:t xml:space="preserve"> </w:t>
      </w:r>
      <w:r w:rsidRPr="00382917">
        <w:t>these</w:t>
      </w:r>
      <w:r w:rsidR="00EE4FC3">
        <w:t xml:space="preserve"> </w:t>
      </w:r>
      <w:r w:rsidRPr="00382917">
        <w:t>fetters</w:t>
      </w:r>
      <w:r w:rsidR="00EE4FC3">
        <w:t xml:space="preserve"> </w:t>
      </w:r>
      <w:r w:rsidRPr="00382917">
        <w:t>had</w:t>
      </w:r>
      <w:r w:rsidR="00EE4FC3">
        <w:t xml:space="preserve"> </w:t>
      </w:r>
      <w:r w:rsidRPr="00382917">
        <w:t>at</w:t>
      </w:r>
      <w:r w:rsidR="00EE4FC3">
        <w:t xml:space="preserve"> </w:t>
      </w:r>
      <w:r w:rsidRPr="00382917">
        <w:t>last</w:t>
      </w:r>
      <w:r w:rsidR="00EE4FC3">
        <w:t xml:space="preserve"> </w:t>
      </w:r>
      <w:r w:rsidRPr="00382917">
        <w:t>been</w:t>
      </w:r>
      <w:r w:rsidR="00EE4FC3">
        <w:t xml:space="preserve"> </w:t>
      </w:r>
      <w:r w:rsidRPr="00382917">
        <w:t>boldly</w:t>
      </w:r>
      <w:r w:rsidR="00EE4FC3">
        <w:t xml:space="preserve"> </w:t>
      </w:r>
      <w:r w:rsidRPr="00382917">
        <w:t>challenged</w:t>
      </w:r>
      <w:r w:rsidR="00EE4FC3">
        <w:t xml:space="preserve"> </w:t>
      </w:r>
      <w:r w:rsidRPr="00382917">
        <w:t>and</w:t>
      </w:r>
      <w:r w:rsidR="00EE4FC3">
        <w:t xml:space="preserve"> </w:t>
      </w:r>
      <w:r w:rsidRPr="00382917">
        <w:t>fearlessly</w:t>
      </w:r>
      <w:r w:rsidR="00EE4FC3">
        <w:t xml:space="preserve"> </w:t>
      </w:r>
      <w:r w:rsidRPr="00382917">
        <w:t>swept</w:t>
      </w:r>
      <w:r w:rsidR="00EE4FC3">
        <w:t xml:space="preserve"> </w:t>
      </w:r>
      <w:r w:rsidRPr="00382917">
        <w:t>away</w:t>
      </w:r>
      <w:r w:rsidR="00EE4FC3">
        <w:t xml:space="preserve"> </w:t>
      </w:r>
      <w:r w:rsidRPr="00382917">
        <w:t>by</w:t>
      </w:r>
      <w:r w:rsidR="00EE4FC3">
        <w:t xml:space="preserve"> </w:t>
      </w:r>
      <w:r w:rsidRPr="00382917">
        <w:t>the</w:t>
      </w:r>
      <w:r w:rsidR="00EE4FC3">
        <w:t xml:space="preserve"> </w:t>
      </w:r>
      <w:r w:rsidRPr="00382917">
        <w:t>meeting</w:t>
      </w:r>
      <w:r w:rsidR="00EE4FC3">
        <w:t xml:space="preserve"> </w:t>
      </w:r>
      <w:r w:rsidRPr="00382917">
        <w:t>held</w:t>
      </w:r>
      <w:r w:rsidR="00EE4FC3">
        <w:t xml:space="preserve"> </w:t>
      </w:r>
      <w:r w:rsidRPr="00382917">
        <w:t>at</w:t>
      </w:r>
      <w:r w:rsidR="00EE4FC3">
        <w:t xml:space="preserve"> </w:t>
      </w:r>
      <w:r w:rsidR="00330AF7" w:rsidRPr="00382917">
        <w:t>Bada</w:t>
      </w:r>
      <w:r w:rsidR="00330AF7" w:rsidRPr="00330AF7">
        <w:rPr>
          <w:u w:val="single"/>
        </w:rPr>
        <w:t>sh</w:t>
      </w:r>
      <w:r w:rsidR="00330AF7" w:rsidRPr="00382917">
        <w:t>t</w:t>
      </w:r>
      <w:r w:rsidR="00330AF7">
        <w:t>.</w:t>
      </w:r>
      <w:r w:rsidR="00EE4FC3">
        <w:t xml:space="preserve">  </w:t>
      </w:r>
      <w:r w:rsidRPr="00382917">
        <w:t>The</w:t>
      </w:r>
      <w:r w:rsidR="00EE4FC3">
        <w:t xml:space="preserve"> </w:t>
      </w:r>
      <w:r w:rsidRPr="00382917">
        <w:t>companions</w:t>
      </w:r>
      <w:r w:rsidR="00EE4FC3">
        <w:t xml:space="preserve"> </w:t>
      </w:r>
      <w:r w:rsidRPr="00382917">
        <w:t>memorized</w:t>
      </w:r>
      <w:r w:rsidR="00EE4FC3">
        <w:t xml:space="preserve"> </w:t>
      </w:r>
      <w:r w:rsidRPr="00382917">
        <w:t>the</w:t>
      </w:r>
      <w:r w:rsidR="00EE4FC3">
        <w:t xml:space="preserve"> </w:t>
      </w:r>
      <w:r w:rsidRPr="00382917">
        <w:t>odes</w:t>
      </w:r>
      <w:r w:rsidR="00EE4FC3">
        <w:t xml:space="preserve"> </w:t>
      </w:r>
      <w:r w:rsidRPr="00382917">
        <w:t>and</w:t>
      </w:r>
      <w:r w:rsidR="00EE4FC3">
        <w:t xml:space="preserve"> </w:t>
      </w:r>
      <w:r w:rsidRPr="00382917">
        <w:t>chanted</w:t>
      </w:r>
      <w:r w:rsidR="00EE4FC3">
        <w:t xml:space="preserve"> </w:t>
      </w:r>
      <w:r w:rsidRPr="00382917">
        <w:t>them</w:t>
      </w:r>
      <w:r w:rsidR="00EE4FC3">
        <w:t xml:space="preserve"> </w:t>
      </w:r>
      <w:r w:rsidRPr="00382917">
        <w:t>in</w:t>
      </w:r>
      <w:r w:rsidR="00EE4FC3">
        <w:t xml:space="preserve"> </w:t>
      </w:r>
      <w:r w:rsidRPr="00382917">
        <w:t>unison</w:t>
      </w:r>
      <w:r w:rsidR="00EE4FC3">
        <w:t xml:space="preserve"> </w:t>
      </w:r>
      <w:r w:rsidRPr="00382917">
        <w:t>as</w:t>
      </w:r>
      <w:r w:rsidR="00EE4FC3">
        <w:t xml:space="preserve"> </w:t>
      </w:r>
      <w:r w:rsidRPr="00382917">
        <w:t>they</w:t>
      </w:r>
      <w:r w:rsidR="00EE4FC3">
        <w:t xml:space="preserve"> </w:t>
      </w:r>
      <w:r w:rsidRPr="00382917">
        <w:t>walked</w:t>
      </w:r>
      <w:r w:rsidR="00EE4FC3">
        <w:t xml:space="preserve"> </w:t>
      </w:r>
      <w:r w:rsidRPr="00382917">
        <w:t>along</w:t>
      </w:r>
      <w:r w:rsidR="00EE4FC3">
        <w:t xml:space="preserve"> </w:t>
      </w:r>
      <w:r w:rsidRPr="00382917">
        <w:t>together</w:t>
      </w:r>
      <w:r w:rsidR="00330AF7">
        <w:t>.</w:t>
      </w:r>
      <w:r w:rsidR="00EE4FC3">
        <w:t xml:space="preserve">  </w:t>
      </w:r>
      <w:r w:rsidRPr="00382917">
        <w:t>Mountain</w:t>
      </w:r>
      <w:r w:rsidR="00EE4FC3">
        <w:t xml:space="preserve"> </w:t>
      </w:r>
      <w:r w:rsidRPr="00382917">
        <w:t>and</w:t>
      </w:r>
      <w:r w:rsidR="00EE4FC3">
        <w:t xml:space="preserve"> </w:t>
      </w:r>
      <w:r w:rsidRPr="00382917">
        <w:t>valley</w:t>
      </w:r>
      <w:r w:rsidR="00EE4FC3">
        <w:t xml:space="preserve"> </w:t>
      </w:r>
      <w:r w:rsidRPr="00382917">
        <w:t>echoed</w:t>
      </w:r>
      <w:r w:rsidR="00EE4FC3">
        <w:t xml:space="preserve"> </w:t>
      </w:r>
      <w:r w:rsidRPr="00382917">
        <w:t>with</w:t>
      </w:r>
      <w:r w:rsidR="00EE4FC3">
        <w:t xml:space="preserve"> </w:t>
      </w:r>
      <w:r w:rsidRPr="00382917">
        <w:t>the</w:t>
      </w:r>
      <w:r w:rsidR="00EE4FC3">
        <w:t xml:space="preserve"> </w:t>
      </w:r>
      <w:r w:rsidRPr="00382917">
        <w:t>shouts</w:t>
      </w:r>
      <w:r w:rsidR="00EE4FC3">
        <w:t xml:space="preserve"> </w:t>
      </w:r>
      <w:r w:rsidRPr="00382917">
        <w:t>of</w:t>
      </w:r>
      <w:r w:rsidR="00EE4FC3">
        <w:t xml:space="preserve"> </w:t>
      </w:r>
      <w:r w:rsidRPr="00382917">
        <w:t>that</w:t>
      </w:r>
      <w:r w:rsidR="00EE4FC3">
        <w:t xml:space="preserve"> </w:t>
      </w:r>
      <w:r w:rsidRPr="00382917">
        <w:t>enthusiastic</w:t>
      </w:r>
      <w:r w:rsidR="00EE4FC3">
        <w:t xml:space="preserve"> </w:t>
      </w:r>
      <w:r w:rsidRPr="00382917">
        <w:t>band</w:t>
      </w:r>
      <w:r w:rsidR="00EE4FC3">
        <w:t xml:space="preserve"> </w:t>
      </w:r>
      <w:r w:rsidRPr="00382917">
        <w:t>as</w:t>
      </w:r>
      <w:r w:rsidR="00EE4FC3">
        <w:t xml:space="preserve"> </w:t>
      </w:r>
      <w:r w:rsidRPr="00382917">
        <w:t>they</w:t>
      </w:r>
      <w:r w:rsidR="00EE4FC3">
        <w:t xml:space="preserve"> </w:t>
      </w:r>
      <w:r w:rsidRPr="00382917">
        <w:t>hailed</w:t>
      </w:r>
      <w:r w:rsidR="00EE4FC3">
        <w:t xml:space="preserve"> </w:t>
      </w:r>
      <w:r w:rsidRPr="00382917">
        <w:t>the</w:t>
      </w:r>
      <w:r w:rsidR="00EE4FC3">
        <w:t xml:space="preserve"> </w:t>
      </w:r>
      <w:r w:rsidRPr="00382917">
        <w:t>extinction</w:t>
      </w:r>
      <w:r w:rsidR="00EE4FC3">
        <w:t xml:space="preserve"> </w:t>
      </w:r>
      <w:r w:rsidRPr="00382917">
        <w:t>of</w:t>
      </w:r>
      <w:r w:rsidR="00EE4FC3">
        <w:t xml:space="preserve"> </w:t>
      </w:r>
      <w:r w:rsidRPr="00382917">
        <w:t>the</w:t>
      </w:r>
      <w:r w:rsidR="00EE4FC3">
        <w:t xml:space="preserve"> </w:t>
      </w:r>
      <w:r w:rsidRPr="00382917">
        <w:t>old</w:t>
      </w:r>
      <w:r w:rsidR="00EE4FC3">
        <w:t xml:space="preserve"> </w:t>
      </w:r>
      <w:r w:rsidRPr="00382917">
        <w:t>and</w:t>
      </w:r>
      <w:r w:rsidR="00EE4FC3">
        <w:t xml:space="preserve"> </w:t>
      </w:r>
      <w:r w:rsidRPr="00382917">
        <w:t>the</w:t>
      </w:r>
      <w:r w:rsidR="00EE4FC3">
        <w:t xml:space="preserve"> </w:t>
      </w:r>
      <w:r w:rsidRPr="00382917">
        <w:t>birth</w:t>
      </w:r>
      <w:r w:rsidR="00EE4FC3">
        <w:t xml:space="preserve"> </w:t>
      </w:r>
      <w:r w:rsidRPr="00382917">
        <w:t>of</w:t>
      </w:r>
      <w:r w:rsidR="00EE4FC3">
        <w:t xml:space="preserve"> </w:t>
      </w:r>
      <w:r w:rsidRPr="00382917">
        <w:t>the</w:t>
      </w:r>
      <w:r w:rsidR="00EE4FC3">
        <w:t xml:space="preserve"> </w:t>
      </w:r>
      <w:r w:rsidRPr="00382917">
        <w:t>new</w:t>
      </w:r>
      <w:r w:rsidR="00EE4FC3">
        <w:t xml:space="preserve"> </w:t>
      </w:r>
      <w:r w:rsidRPr="00382917">
        <w:t>Day.</w:t>
      </w:r>
      <w:r w:rsidR="000667DD">
        <w:rPr>
          <w:rStyle w:val="FootnoteReference"/>
        </w:rPr>
        <w:footnoteReference w:id="212"/>
      </w:r>
    </w:p>
    <w:p w:rsidR="00E13D49" w:rsidRPr="00382917" w:rsidRDefault="001D2FA7" w:rsidP="00D82F04">
      <w:pPr>
        <w:pStyle w:val="Text"/>
      </w:pPr>
      <w:r w:rsidRPr="00382917">
        <w:t>Bahá</w:t>
      </w:r>
      <w:r w:rsidR="009C713D" w:rsidRPr="00382917">
        <w:t>’</w:t>
      </w:r>
      <w:r w:rsidRPr="00382917">
        <w:t>u</w:t>
      </w:r>
      <w:r w:rsidR="009C713D" w:rsidRPr="00382917">
        <w:t>’</w:t>
      </w:r>
      <w:r w:rsidRPr="00382917">
        <w:t>lláh</w:t>
      </w:r>
      <w:r w:rsidR="009C713D" w:rsidRPr="00382917">
        <w:t>’</w:t>
      </w:r>
      <w:r w:rsidRPr="00382917">
        <w:t>s</w:t>
      </w:r>
      <w:r w:rsidR="00EE4FC3">
        <w:t xml:space="preserve"> </w:t>
      </w:r>
      <w:r w:rsidRPr="00382917">
        <w:t>guiding</w:t>
      </w:r>
      <w:r w:rsidR="00EE4FC3">
        <w:t xml:space="preserve"> </w:t>
      </w:r>
      <w:r w:rsidRPr="00382917">
        <w:t>hand</w:t>
      </w:r>
      <w:r w:rsidR="00EE4FC3">
        <w:t xml:space="preserve"> </w:t>
      </w:r>
      <w:r w:rsidRPr="00382917">
        <w:t>constantly</w:t>
      </w:r>
      <w:r w:rsidR="00EE4FC3">
        <w:t xml:space="preserve"> </w:t>
      </w:r>
      <w:r w:rsidRPr="00382917">
        <w:t>reached</w:t>
      </w:r>
      <w:r w:rsidR="00EE4FC3">
        <w:t xml:space="preserve"> </w:t>
      </w:r>
      <w:r w:rsidRPr="00382917">
        <w:t>out</w:t>
      </w:r>
      <w:r w:rsidR="00EE4FC3">
        <w:t xml:space="preserve"> </w:t>
      </w:r>
      <w:r w:rsidRPr="00382917">
        <w:t>to</w:t>
      </w:r>
      <w:r w:rsidR="00EE4FC3">
        <w:t xml:space="preserve"> </w:t>
      </w:r>
      <w:r w:rsidRPr="00382917">
        <w:t>assist</w:t>
      </w:r>
      <w:r w:rsidR="00EE4FC3">
        <w:t xml:space="preserve"> </w:t>
      </w:r>
      <w:r w:rsidRPr="00382917">
        <w:t>the</w:t>
      </w:r>
      <w:r w:rsidR="00EE4FC3">
        <w:t xml:space="preserve"> </w:t>
      </w:r>
      <w:r w:rsidRPr="00382917">
        <w:t>companions</w:t>
      </w:r>
      <w:r w:rsidR="00EE4FC3">
        <w:t xml:space="preserve"> </w:t>
      </w:r>
      <w:r w:rsidRPr="00382917">
        <w:t>of</w:t>
      </w:r>
      <w:r w:rsidR="00EE4FC3">
        <w:t xml:space="preserve"> </w:t>
      </w:r>
      <w:r w:rsidRPr="00382917">
        <w:t>the</w:t>
      </w:r>
      <w:r w:rsidR="00EE4FC3">
        <w:t xml:space="preserve"> </w:t>
      </w:r>
      <w:r w:rsidRPr="00382917">
        <w:t>Báb</w:t>
      </w:r>
      <w:r w:rsidR="00330AF7">
        <w:t>.</w:t>
      </w:r>
      <w:r w:rsidR="00EE4FC3">
        <w:t xml:space="preserve">  </w:t>
      </w:r>
      <w:r w:rsidRPr="00382917">
        <w:t>Ṭáhirih,</w:t>
      </w:r>
      <w:r w:rsidR="00EE4FC3">
        <w:t xml:space="preserve"> </w:t>
      </w:r>
      <w:r w:rsidRPr="00382917">
        <w:t>more</w:t>
      </w:r>
      <w:r w:rsidR="00EE4FC3">
        <w:t xml:space="preserve"> </w:t>
      </w:r>
      <w:r w:rsidRPr="00382917">
        <w:t>than</w:t>
      </w:r>
      <w:r w:rsidR="00EE4FC3">
        <w:t xml:space="preserve"> </w:t>
      </w:r>
      <w:r w:rsidRPr="00382917">
        <w:t>any</w:t>
      </w:r>
      <w:r w:rsidR="00EE4FC3">
        <w:t xml:space="preserve"> </w:t>
      </w:r>
      <w:r w:rsidRPr="00382917">
        <w:t>other</w:t>
      </w:r>
      <w:r w:rsidR="00EE4FC3">
        <w:t xml:space="preserve"> </w:t>
      </w:r>
      <w:r w:rsidRPr="00382917">
        <w:t>disciple,</w:t>
      </w:r>
      <w:r w:rsidR="00EE4FC3">
        <w:t xml:space="preserve"> </w:t>
      </w:r>
      <w:r w:rsidRPr="00382917">
        <w:t>was</w:t>
      </w:r>
      <w:r w:rsidR="00EE4FC3">
        <w:t xml:space="preserve"> </w:t>
      </w:r>
      <w:r w:rsidRPr="00382917">
        <w:t>indebted</w:t>
      </w:r>
      <w:r w:rsidR="00EE4FC3">
        <w:t xml:space="preserve"> </w:t>
      </w:r>
      <w:r w:rsidRPr="00382917">
        <w:t>to</w:t>
      </w:r>
      <w:r w:rsidR="00EE4FC3">
        <w:t xml:space="preserve"> </w:t>
      </w:r>
      <w:r w:rsidRPr="00382917">
        <w:t>Him</w:t>
      </w:r>
      <w:r w:rsidR="00EE4FC3">
        <w:t xml:space="preserve"> </w:t>
      </w:r>
      <w:r w:rsidRPr="00382917">
        <w:t>for</w:t>
      </w:r>
      <w:r w:rsidR="00EE4FC3">
        <w:t xml:space="preserve"> </w:t>
      </w:r>
      <w:r w:rsidRPr="00382917">
        <w:t>His</w:t>
      </w:r>
      <w:r w:rsidR="00EE4FC3">
        <w:t xml:space="preserve"> </w:t>
      </w:r>
      <w:r w:rsidRPr="00382917">
        <w:t>protection</w:t>
      </w:r>
      <w:r w:rsidR="00EE4FC3">
        <w:t xml:space="preserve"> </w:t>
      </w:r>
      <w:r w:rsidRPr="00382917">
        <w:t>and</w:t>
      </w:r>
      <w:r w:rsidR="00EE4FC3">
        <w:t xml:space="preserve"> </w:t>
      </w:r>
      <w:r w:rsidRPr="00382917">
        <w:t>kindness.</w:t>
      </w:r>
      <w:r w:rsidR="00D82F04">
        <w:rPr>
          <w:rStyle w:val="FootnoteReference"/>
        </w:rPr>
        <w:footnoteReference w:id="213"/>
      </w:r>
    </w:p>
    <w:p w:rsidR="001D2FA7" w:rsidRPr="00382917" w:rsidRDefault="001D2FA7" w:rsidP="007B319A">
      <w:pPr>
        <w:pStyle w:val="Text"/>
      </w:pPr>
      <w:r w:rsidRPr="00382917">
        <w:t>When</w:t>
      </w:r>
      <w:r w:rsidR="00EE4FC3">
        <w:t xml:space="preserve"> </w:t>
      </w:r>
      <w:r w:rsidRPr="00382917">
        <w:t>she</w:t>
      </w:r>
      <w:r w:rsidR="00EE4FC3">
        <w:t xml:space="preserve"> </w:t>
      </w:r>
      <w:r w:rsidRPr="00382917">
        <w:t>was</w:t>
      </w:r>
      <w:r w:rsidR="00EE4FC3">
        <w:t xml:space="preserve"> </w:t>
      </w:r>
      <w:r w:rsidRPr="00382917">
        <w:t>imprisoned</w:t>
      </w:r>
      <w:r w:rsidR="00EE4FC3">
        <w:t xml:space="preserve"> </w:t>
      </w:r>
      <w:r w:rsidRPr="00382917">
        <w:t>in</w:t>
      </w:r>
      <w:r w:rsidR="00EE4FC3">
        <w:t xml:space="preserve"> </w:t>
      </w:r>
      <w:r w:rsidRPr="00382917">
        <w:t>Qazvín</w:t>
      </w:r>
      <w:r w:rsidR="00EE4FC3">
        <w:t xml:space="preserve"> </w:t>
      </w:r>
      <w:r w:rsidRPr="00382917">
        <w:t>and</w:t>
      </w:r>
      <w:r w:rsidR="00EE4FC3">
        <w:t xml:space="preserve"> </w:t>
      </w:r>
      <w:r w:rsidRPr="00382917">
        <w:t>threatened</w:t>
      </w:r>
      <w:r w:rsidR="00EE4FC3">
        <w:t xml:space="preserve"> </w:t>
      </w:r>
      <w:r w:rsidRPr="00382917">
        <w:t>with</w:t>
      </w:r>
      <w:r w:rsidR="00EE4FC3">
        <w:t xml:space="preserve"> </w:t>
      </w:r>
      <w:r w:rsidRPr="00382917">
        <w:t>hot</w:t>
      </w:r>
      <w:r w:rsidR="00EE4FC3">
        <w:t xml:space="preserve"> </w:t>
      </w:r>
      <w:r w:rsidRPr="00382917">
        <w:t>irons,</w:t>
      </w:r>
      <w:r w:rsidR="00EE4FC3">
        <w:t xml:space="preserve"> </w:t>
      </w:r>
      <w:r w:rsidRPr="00382917">
        <w:t>she</w:t>
      </w:r>
      <w:r w:rsidR="00EE4FC3">
        <w:t xml:space="preserve"> </w:t>
      </w:r>
      <w:r w:rsidRPr="00382917">
        <w:t>boldly</w:t>
      </w:r>
      <w:r w:rsidR="00EE4FC3">
        <w:t xml:space="preserve"> </w:t>
      </w:r>
      <w:r w:rsidRPr="00382917">
        <w:t>declared</w:t>
      </w:r>
      <w:r w:rsidR="00EE4FC3">
        <w:t xml:space="preserve"> </w:t>
      </w:r>
      <w:r w:rsidRPr="00382917">
        <w:t>to</w:t>
      </w:r>
      <w:r w:rsidR="00EE4FC3">
        <w:t xml:space="preserve"> </w:t>
      </w:r>
      <w:r w:rsidRPr="00382917">
        <w:t>her</w:t>
      </w:r>
      <w:r w:rsidR="00EE4FC3">
        <w:t xml:space="preserve"> </w:t>
      </w:r>
      <w:r w:rsidRPr="00382917">
        <w:t>captor</w:t>
      </w:r>
      <w:r w:rsidR="00C03C91">
        <w:t>:</w:t>
      </w:r>
      <w:r w:rsidR="00EE4FC3">
        <w:t xml:space="preserve">  </w:t>
      </w:r>
      <w:r w:rsidR="009C713D" w:rsidRPr="00382917">
        <w:t>“</w:t>
      </w:r>
      <w:r w:rsidRPr="00382917">
        <w:t>If</w:t>
      </w:r>
      <w:r w:rsidR="00EE4FC3">
        <w:t xml:space="preserve"> </w:t>
      </w:r>
      <w:r w:rsidRPr="00382917">
        <w:t>my</w:t>
      </w:r>
      <w:r w:rsidR="00EE4FC3">
        <w:t xml:space="preserve"> </w:t>
      </w:r>
      <w:r w:rsidRPr="00382917">
        <w:t>Cause</w:t>
      </w:r>
      <w:r w:rsidR="00EE4FC3">
        <w:t xml:space="preserve"> </w:t>
      </w:r>
      <w:r w:rsidRPr="00382917">
        <w:t>be</w:t>
      </w:r>
      <w:r w:rsidR="00EE4FC3">
        <w:t xml:space="preserve"> </w:t>
      </w:r>
      <w:r w:rsidRPr="00382917">
        <w:t>the</w:t>
      </w:r>
      <w:r w:rsidR="00EE4FC3">
        <w:t xml:space="preserve"> </w:t>
      </w:r>
      <w:r w:rsidRPr="00382917">
        <w:t>Cause</w:t>
      </w:r>
      <w:r w:rsidR="00EE4FC3">
        <w:t xml:space="preserve"> </w:t>
      </w:r>
      <w:r w:rsidRPr="00382917">
        <w:t>of</w:t>
      </w:r>
      <w:r w:rsidR="00EE4FC3">
        <w:t xml:space="preserve"> </w:t>
      </w:r>
      <w:r w:rsidRPr="00382917">
        <w:t>Truth,</w:t>
      </w:r>
      <w:r w:rsidR="00EE4FC3">
        <w:t xml:space="preserve"> </w:t>
      </w:r>
      <w:r w:rsidRPr="00382917">
        <w:t>if</w:t>
      </w:r>
      <w:r w:rsidR="00EE4FC3">
        <w:t xml:space="preserve"> </w:t>
      </w:r>
      <w:r w:rsidRPr="00382917">
        <w:t>the</w:t>
      </w:r>
      <w:r w:rsidR="00EE4FC3">
        <w:t xml:space="preserve"> </w:t>
      </w:r>
      <w:r w:rsidRPr="00382917">
        <w:t>Lord</w:t>
      </w:r>
      <w:r w:rsidR="00EE4FC3">
        <w:t xml:space="preserve"> </w:t>
      </w:r>
      <w:r w:rsidRPr="00382917">
        <w:t>Whom</w:t>
      </w:r>
      <w:r w:rsidR="00EE4FC3">
        <w:t xml:space="preserve"> </w:t>
      </w:r>
      <w:r w:rsidRPr="00382917">
        <w:t>I</w:t>
      </w:r>
      <w:r w:rsidR="00EE4FC3">
        <w:t xml:space="preserve"> </w:t>
      </w:r>
      <w:r w:rsidRPr="00382917">
        <w:t>worship</w:t>
      </w:r>
      <w:r w:rsidR="00EE4FC3">
        <w:t xml:space="preserve"> </w:t>
      </w:r>
      <w:r w:rsidRPr="00382917">
        <w:t>be</w:t>
      </w:r>
      <w:r w:rsidR="00EE4FC3">
        <w:t xml:space="preserve"> </w:t>
      </w:r>
      <w:r w:rsidRPr="00382917">
        <w:t>none</w:t>
      </w:r>
      <w:r w:rsidR="00EE4FC3">
        <w:t xml:space="preserve"> </w:t>
      </w:r>
      <w:r w:rsidRPr="00382917">
        <w:t>other</w:t>
      </w:r>
      <w:r w:rsidR="00EE4FC3">
        <w:t xml:space="preserve"> </w:t>
      </w:r>
      <w:r w:rsidRPr="00382917">
        <w:t>than</w:t>
      </w:r>
      <w:r w:rsidR="00EE4FC3">
        <w:t xml:space="preserve"> </w:t>
      </w:r>
      <w:r w:rsidRPr="00382917">
        <w:t>the</w:t>
      </w:r>
      <w:r w:rsidR="00EE4FC3">
        <w:t xml:space="preserve"> </w:t>
      </w:r>
      <w:r w:rsidRPr="00382917">
        <w:t>One</w:t>
      </w:r>
      <w:r w:rsidR="00EE4FC3">
        <w:t xml:space="preserve"> </w:t>
      </w:r>
      <w:r w:rsidRPr="00382917">
        <w:t>True</w:t>
      </w:r>
      <w:r w:rsidR="00EE4FC3">
        <w:t xml:space="preserve"> </w:t>
      </w:r>
      <w:r w:rsidRPr="00382917">
        <w:t>God,</w:t>
      </w:r>
      <w:r w:rsidR="00EE4FC3">
        <w:t xml:space="preserve"> </w:t>
      </w:r>
      <w:r w:rsidRPr="00382917">
        <w:t>He</w:t>
      </w:r>
      <w:r w:rsidR="00EE4FC3">
        <w:t xml:space="preserve"> </w:t>
      </w:r>
      <w:r w:rsidRPr="00382917">
        <w:t>will,</w:t>
      </w:r>
      <w:r w:rsidR="00EE4FC3">
        <w:t xml:space="preserve"> </w:t>
      </w:r>
      <w:r w:rsidRPr="00382917">
        <w:t>ere</w:t>
      </w:r>
      <w:r w:rsidR="00EE4FC3">
        <w:t xml:space="preserve"> </w:t>
      </w:r>
      <w:r w:rsidRPr="00382917">
        <w:t>nine</w:t>
      </w:r>
      <w:r w:rsidR="00EE4FC3">
        <w:t xml:space="preserve"> </w:t>
      </w:r>
      <w:r w:rsidRPr="00382917">
        <w:t>days</w:t>
      </w:r>
      <w:r w:rsidR="00EE4FC3">
        <w:t xml:space="preserve"> </w:t>
      </w:r>
      <w:r w:rsidRPr="00382917">
        <w:t>have</w:t>
      </w:r>
      <w:r w:rsidR="00EE4FC3">
        <w:t xml:space="preserve"> </w:t>
      </w:r>
      <w:r w:rsidRPr="00382917">
        <w:t>elapsed,</w:t>
      </w:r>
      <w:r w:rsidR="00EE4FC3">
        <w:t xml:space="preserve"> </w:t>
      </w:r>
      <w:r w:rsidRPr="00382917">
        <w:t>deliver</w:t>
      </w:r>
      <w:r w:rsidR="00EE4FC3">
        <w:t xml:space="preserve"> </w:t>
      </w:r>
      <w:r w:rsidRPr="00382917">
        <w:t>me</w:t>
      </w:r>
      <w:r w:rsidR="00EE4FC3">
        <w:t xml:space="preserve"> </w:t>
      </w:r>
      <w:r w:rsidRPr="00382917">
        <w:t>from</w:t>
      </w:r>
      <w:r w:rsidR="00EE4FC3">
        <w:t xml:space="preserve"> </w:t>
      </w:r>
      <w:r w:rsidRPr="00382917">
        <w:t>the</w:t>
      </w:r>
      <w:r w:rsidR="00EE4FC3">
        <w:t xml:space="preserve"> </w:t>
      </w:r>
      <w:r w:rsidRPr="00382917">
        <w:t>yoke</w:t>
      </w:r>
      <w:r w:rsidR="00EE4FC3">
        <w:t xml:space="preserve"> </w:t>
      </w:r>
      <w:r w:rsidRPr="00382917">
        <w:t>of</w:t>
      </w:r>
      <w:r w:rsidR="00EE4FC3">
        <w:t xml:space="preserve"> </w:t>
      </w:r>
      <w:r w:rsidRPr="00382917">
        <w:t>your</w:t>
      </w:r>
      <w:r w:rsidR="00EE4FC3">
        <w:t xml:space="preserve"> </w:t>
      </w:r>
      <w:r w:rsidRPr="00382917">
        <w:t>tyranny.</w:t>
      </w:r>
      <w:r w:rsidR="009C713D" w:rsidRPr="00382917">
        <w:t>”</w:t>
      </w:r>
    </w:p>
    <w:p w:rsidR="001D2FA7" w:rsidRPr="00382917" w:rsidRDefault="001D2FA7" w:rsidP="007B319A">
      <w:pPr>
        <w:pStyle w:val="Text"/>
      </w:pPr>
      <w:r w:rsidRPr="00382917">
        <w:t>It</w:t>
      </w:r>
      <w:r w:rsidR="00EE4FC3">
        <w:t xml:space="preserve"> </w:t>
      </w:r>
      <w:r w:rsidRPr="00382917">
        <w:t>was</w:t>
      </w:r>
      <w:r w:rsidR="00EE4FC3">
        <w:t xml:space="preserve"> </w:t>
      </w:r>
      <w:r w:rsidRPr="00382917">
        <w:t>Bahá</w:t>
      </w:r>
      <w:r w:rsidR="009C713D" w:rsidRPr="00382917">
        <w:t>’</w:t>
      </w:r>
      <w:r w:rsidRPr="00382917">
        <w:t>u</w:t>
      </w:r>
      <w:r w:rsidR="009C713D" w:rsidRPr="00382917">
        <w:t>’</w:t>
      </w:r>
      <w:r w:rsidRPr="00382917">
        <w:t>lláh</w:t>
      </w:r>
      <w:r w:rsidR="00EE4FC3">
        <w:t xml:space="preserve"> </w:t>
      </w:r>
      <w:proofErr w:type="gramStart"/>
      <w:r w:rsidRPr="00382917">
        <w:t>Who</w:t>
      </w:r>
      <w:proofErr w:type="gramEnd"/>
      <w:r w:rsidR="00EE4FC3">
        <w:t xml:space="preserve"> </w:t>
      </w:r>
      <w:r w:rsidRPr="00382917">
        <w:t>rescued</w:t>
      </w:r>
      <w:r w:rsidR="00EE4FC3">
        <w:t xml:space="preserve"> </w:t>
      </w:r>
      <w:r w:rsidRPr="00382917">
        <w:t>Ṭáhirih</w:t>
      </w:r>
      <w:r w:rsidR="00EE4FC3">
        <w:t xml:space="preserve"> </w:t>
      </w:r>
      <w:r w:rsidRPr="00382917">
        <w:t>from</w:t>
      </w:r>
      <w:r w:rsidR="00EE4FC3">
        <w:t xml:space="preserve"> </w:t>
      </w:r>
      <w:r w:rsidRPr="00382917">
        <w:t>her</w:t>
      </w:r>
      <w:r w:rsidR="00EE4FC3">
        <w:t xml:space="preserve"> </w:t>
      </w:r>
      <w:r w:rsidRPr="00382917">
        <w:t>prison</w:t>
      </w:r>
      <w:r w:rsidR="00EE4FC3">
        <w:t xml:space="preserve"> </w:t>
      </w:r>
      <w:r w:rsidRPr="00382917">
        <w:t>in</w:t>
      </w:r>
      <w:r w:rsidR="00EE4FC3">
        <w:t xml:space="preserve"> </w:t>
      </w:r>
      <w:r w:rsidRPr="00382917">
        <w:t>Qazvín</w:t>
      </w:r>
      <w:r w:rsidR="00330AF7">
        <w:t>.</w:t>
      </w:r>
      <w:r w:rsidR="00EE4FC3">
        <w:t xml:space="preserve">  </w:t>
      </w:r>
      <w:r w:rsidRPr="00382917">
        <w:t>When</w:t>
      </w:r>
      <w:r w:rsidR="00EE4FC3">
        <w:t xml:space="preserve"> </w:t>
      </w:r>
      <w:r w:rsidRPr="00382917">
        <w:t>He</w:t>
      </w:r>
      <w:r w:rsidR="00EE4FC3">
        <w:t xml:space="preserve"> </w:t>
      </w:r>
      <w:r w:rsidRPr="00382917">
        <w:t>heard</w:t>
      </w:r>
      <w:r w:rsidR="00EE4FC3">
        <w:t xml:space="preserve"> </w:t>
      </w:r>
      <w:r w:rsidRPr="00382917">
        <w:t>of</w:t>
      </w:r>
      <w:r w:rsidR="00EE4FC3">
        <w:t xml:space="preserve"> </w:t>
      </w:r>
      <w:r w:rsidRPr="00382917">
        <w:t>her</w:t>
      </w:r>
      <w:r w:rsidR="00EE4FC3">
        <w:t xml:space="preserve"> </w:t>
      </w:r>
      <w:r w:rsidRPr="00382917">
        <w:t>captivity,</w:t>
      </w:r>
      <w:r w:rsidR="00EE4FC3">
        <w:t xml:space="preserve"> </w:t>
      </w:r>
      <w:r w:rsidRPr="00382917">
        <w:t>He</w:t>
      </w:r>
      <w:r w:rsidR="00EE4FC3">
        <w:t xml:space="preserve"> </w:t>
      </w:r>
      <w:r w:rsidRPr="00382917">
        <w:t>dispatched</w:t>
      </w:r>
      <w:r w:rsidR="00EE4FC3">
        <w:t xml:space="preserve"> </w:t>
      </w:r>
      <w:r w:rsidRPr="00382917">
        <w:t>a</w:t>
      </w:r>
      <w:r w:rsidR="00EE4FC3">
        <w:t xml:space="preserve"> </w:t>
      </w:r>
      <w:r w:rsidRPr="00382917">
        <w:t>woman,</w:t>
      </w:r>
      <w:r w:rsidR="00EE4FC3">
        <w:t xml:space="preserve"> </w:t>
      </w:r>
      <w:r w:rsidRPr="00382917">
        <w:t>disguised</w:t>
      </w:r>
      <w:r w:rsidR="00EE4FC3">
        <w:t xml:space="preserve"> </w:t>
      </w:r>
      <w:r w:rsidRPr="00382917">
        <w:t>as</w:t>
      </w:r>
      <w:r w:rsidR="00EE4FC3">
        <w:t xml:space="preserve"> </w:t>
      </w:r>
      <w:r w:rsidRPr="00382917">
        <w:t>a</w:t>
      </w:r>
      <w:r w:rsidR="00EE4FC3">
        <w:t xml:space="preserve"> </w:t>
      </w:r>
      <w:r w:rsidRPr="00382917">
        <w:t>beggar,</w:t>
      </w:r>
      <w:r w:rsidR="00EE4FC3">
        <w:t xml:space="preserve"> </w:t>
      </w:r>
      <w:r w:rsidRPr="00382917">
        <w:t>to</w:t>
      </w:r>
      <w:r w:rsidR="00EE4FC3">
        <w:t xml:space="preserve"> </w:t>
      </w:r>
      <w:r w:rsidRPr="00382917">
        <w:t>the</w:t>
      </w:r>
      <w:r w:rsidR="00EE4FC3">
        <w:t xml:space="preserve"> </w:t>
      </w:r>
      <w:r w:rsidRPr="00382917">
        <w:t>home</w:t>
      </w:r>
      <w:r w:rsidR="00EE4FC3">
        <w:t xml:space="preserve"> </w:t>
      </w:r>
      <w:r w:rsidRPr="00382917">
        <w:t>where</w:t>
      </w:r>
      <w:r w:rsidR="00EE4FC3">
        <w:t xml:space="preserve"> </w:t>
      </w:r>
      <w:r w:rsidRPr="00382917">
        <w:t>Ṭáhirih</w:t>
      </w:r>
      <w:r w:rsidR="00EE4FC3">
        <w:t xml:space="preserve"> </w:t>
      </w:r>
      <w:r w:rsidRPr="00382917">
        <w:t>was</w:t>
      </w:r>
      <w:r w:rsidR="00EE4FC3">
        <w:t xml:space="preserve"> </w:t>
      </w:r>
      <w:r w:rsidRPr="00382917">
        <w:t>confined</w:t>
      </w:r>
      <w:r w:rsidR="00330AF7">
        <w:t>.</w:t>
      </w:r>
      <w:r w:rsidR="00EE4FC3">
        <w:t xml:space="preserve">  </w:t>
      </w:r>
      <w:r w:rsidRPr="00382917">
        <w:t>He</w:t>
      </w:r>
      <w:r w:rsidR="00EE4FC3">
        <w:t xml:space="preserve"> </w:t>
      </w:r>
      <w:r w:rsidRPr="00382917">
        <w:t>instructed</w:t>
      </w:r>
      <w:r w:rsidR="00EE4FC3">
        <w:t xml:space="preserve"> </w:t>
      </w:r>
      <w:r w:rsidRPr="00382917">
        <w:t>that</w:t>
      </w:r>
      <w:r w:rsidR="00EE4FC3">
        <w:t xml:space="preserve"> </w:t>
      </w:r>
      <w:r w:rsidRPr="00382917">
        <w:t>she</w:t>
      </w:r>
      <w:r w:rsidR="00EE4FC3">
        <w:t xml:space="preserve"> </w:t>
      </w:r>
      <w:r w:rsidRPr="00382917">
        <w:t>deliver</w:t>
      </w:r>
      <w:r w:rsidR="00EE4FC3">
        <w:t xml:space="preserve"> </w:t>
      </w:r>
      <w:r w:rsidRPr="00382917">
        <w:t>a</w:t>
      </w:r>
      <w:r w:rsidR="00EE4FC3">
        <w:t xml:space="preserve"> </w:t>
      </w:r>
      <w:r w:rsidRPr="00382917">
        <w:t>letter</w:t>
      </w:r>
      <w:r w:rsidR="00EE4FC3">
        <w:t xml:space="preserve"> </w:t>
      </w:r>
      <w:r w:rsidRPr="00382917">
        <w:t>to</w:t>
      </w:r>
      <w:r w:rsidR="00EE4FC3">
        <w:t xml:space="preserve"> </w:t>
      </w:r>
      <w:r w:rsidRPr="00382917">
        <w:t>Ṭáhirih</w:t>
      </w:r>
      <w:r w:rsidR="00EE4FC3">
        <w:t xml:space="preserve"> </w:t>
      </w:r>
      <w:r w:rsidRPr="00382917">
        <w:t>who</w:t>
      </w:r>
      <w:r w:rsidR="00EE4FC3">
        <w:t xml:space="preserve"> </w:t>
      </w:r>
      <w:r w:rsidRPr="00382917">
        <w:t>would</w:t>
      </w:r>
      <w:r w:rsidR="00EE4FC3">
        <w:t xml:space="preserve"> </w:t>
      </w:r>
      <w:r w:rsidRPr="00382917">
        <w:t>then</w:t>
      </w:r>
      <w:r w:rsidR="00EE4FC3">
        <w:t xml:space="preserve"> </w:t>
      </w:r>
      <w:r w:rsidRPr="00382917">
        <w:t>of</w:t>
      </w:r>
      <w:r w:rsidR="00EE4FC3">
        <w:t xml:space="preserve"> </w:t>
      </w:r>
      <w:r w:rsidRPr="00382917">
        <w:t>her</w:t>
      </w:r>
      <w:r w:rsidR="00EE4FC3">
        <w:t xml:space="preserve"> </w:t>
      </w:r>
      <w:r w:rsidRPr="00382917">
        <w:t>own</w:t>
      </w:r>
      <w:r w:rsidR="00EE4FC3">
        <w:t xml:space="preserve"> </w:t>
      </w:r>
      <w:r w:rsidRPr="00382917">
        <w:t>will,</w:t>
      </w:r>
      <w:r w:rsidR="00EE4FC3">
        <w:t xml:space="preserve"> </w:t>
      </w:r>
      <w:r w:rsidRPr="00382917">
        <w:t>unmolested</w:t>
      </w:r>
      <w:r w:rsidR="00EE4FC3">
        <w:t xml:space="preserve"> </w:t>
      </w:r>
      <w:r w:rsidRPr="00382917">
        <w:t>by</w:t>
      </w:r>
      <w:r w:rsidR="00EE4FC3">
        <w:t xml:space="preserve"> </w:t>
      </w:r>
      <w:r w:rsidRPr="00382917">
        <w:t>her</w:t>
      </w:r>
      <w:r w:rsidR="00EE4FC3">
        <w:t xml:space="preserve"> </w:t>
      </w:r>
      <w:r w:rsidRPr="00382917">
        <w:t>captors,</w:t>
      </w:r>
      <w:r w:rsidR="00EE4FC3">
        <w:t xml:space="preserve"> </w:t>
      </w:r>
      <w:r w:rsidRPr="00382917">
        <w:t>walk</w:t>
      </w:r>
      <w:r w:rsidR="00EE4FC3">
        <w:t xml:space="preserve"> </w:t>
      </w:r>
      <w:r w:rsidRPr="00382917">
        <w:t>out</w:t>
      </w:r>
      <w:r w:rsidR="00EE4FC3">
        <w:t xml:space="preserve"> </w:t>
      </w:r>
      <w:r w:rsidRPr="00382917">
        <w:t>free</w:t>
      </w:r>
      <w:r w:rsidR="00EE4FC3">
        <w:t xml:space="preserve"> </w:t>
      </w:r>
      <w:r w:rsidRPr="00382917">
        <w:t>from</w:t>
      </w:r>
      <w:r w:rsidR="00EE4FC3">
        <w:t xml:space="preserve"> </w:t>
      </w:r>
      <w:r w:rsidRPr="00382917">
        <w:t>that</w:t>
      </w:r>
      <w:r w:rsidR="00EE4FC3">
        <w:t xml:space="preserve"> </w:t>
      </w:r>
      <w:r w:rsidRPr="00382917">
        <w:t>prison-house</w:t>
      </w:r>
      <w:r w:rsidR="00330AF7">
        <w:t>.</w:t>
      </w:r>
      <w:r w:rsidR="00EE4FC3">
        <w:t xml:space="preserve">  </w:t>
      </w:r>
      <w:r w:rsidRPr="00382917">
        <w:t>The</w:t>
      </w:r>
      <w:r w:rsidR="00EE4FC3">
        <w:t xml:space="preserve"> </w:t>
      </w:r>
      <w:r w:rsidRPr="00382917">
        <w:t>beggar-woman</w:t>
      </w:r>
      <w:r w:rsidR="00EE4FC3">
        <w:t xml:space="preserve"> </w:t>
      </w:r>
      <w:r w:rsidRPr="00382917">
        <w:t>was</w:t>
      </w:r>
      <w:r w:rsidR="00EE4FC3">
        <w:t xml:space="preserve"> </w:t>
      </w:r>
      <w:r w:rsidRPr="00382917">
        <w:t>instructed</w:t>
      </w:r>
      <w:r w:rsidR="00EE4FC3">
        <w:t xml:space="preserve"> </w:t>
      </w:r>
      <w:r w:rsidRPr="00382917">
        <w:t>to</w:t>
      </w:r>
      <w:r w:rsidR="00EE4FC3">
        <w:t xml:space="preserve"> </w:t>
      </w:r>
      <w:r w:rsidRPr="00382917">
        <w:t>await</w:t>
      </w:r>
      <w:r w:rsidR="00EE4FC3">
        <w:t xml:space="preserve"> </w:t>
      </w:r>
      <w:r w:rsidRPr="00382917">
        <w:t>Ṭáhirih</w:t>
      </w:r>
      <w:r w:rsidR="009C713D" w:rsidRPr="00382917">
        <w:t>’</w:t>
      </w:r>
      <w:r w:rsidRPr="00382917">
        <w:t>s</w:t>
      </w:r>
      <w:r w:rsidR="00EE4FC3">
        <w:t xml:space="preserve"> </w:t>
      </w:r>
      <w:r w:rsidRPr="00382917">
        <w:t>appearance</w:t>
      </w:r>
      <w:r w:rsidR="00EE4FC3">
        <w:t xml:space="preserve"> </w:t>
      </w:r>
      <w:r w:rsidRPr="00382917">
        <w:t>at</w:t>
      </w:r>
      <w:r w:rsidR="00EE4FC3">
        <w:t xml:space="preserve"> </w:t>
      </w:r>
      <w:r w:rsidRPr="00382917">
        <w:t>the</w:t>
      </w:r>
      <w:r w:rsidR="00EE4FC3">
        <w:t xml:space="preserve"> </w:t>
      </w:r>
      <w:r w:rsidRPr="00382917">
        <w:t>entrance.</w:t>
      </w:r>
    </w:p>
    <w:p w:rsidR="001D2FA7" w:rsidRPr="00382917" w:rsidRDefault="009C713D" w:rsidP="00621FE1">
      <w:pPr>
        <w:pStyle w:val="Text"/>
      </w:pPr>
      <w:r w:rsidRPr="00382917">
        <w:t>“</w:t>
      </w:r>
      <w:r w:rsidR="001D2FA7" w:rsidRPr="00382917">
        <w:t>As</w:t>
      </w:r>
      <w:r w:rsidR="00EE4FC3">
        <w:t xml:space="preserve"> </w:t>
      </w:r>
      <w:r w:rsidR="001D2FA7" w:rsidRPr="00382917">
        <w:t>soon</w:t>
      </w:r>
      <w:r w:rsidR="00EE4FC3">
        <w:t xml:space="preserve"> </w:t>
      </w:r>
      <w:r w:rsidR="001D2FA7" w:rsidRPr="00382917">
        <w:t>as</w:t>
      </w:r>
      <w:r w:rsidR="00EE4FC3">
        <w:t xml:space="preserve"> </w:t>
      </w:r>
      <w:r w:rsidR="001D2FA7" w:rsidRPr="00382917">
        <w:t>Ṭáhirih</w:t>
      </w:r>
      <w:r w:rsidR="00EE4FC3">
        <w:t xml:space="preserve"> </w:t>
      </w:r>
      <w:r w:rsidR="001D2FA7" w:rsidRPr="00382917">
        <w:t>has</w:t>
      </w:r>
      <w:r w:rsidR="00EE4FC3">
        <w:t xml:space="preserve"> </w:t>
      </w:r>
      <w:r w:rsidR="001D2FA7" w:rsidRPr="00382917">
        <w:t>joined</w:t>
      </w:r>
      <w:r w:rsidR="00EE4FC3">
        <w:t xml:space="preserve"> </w:t>
      </w:r>
      <w:r w:rsidR="001D2FA7" w:rsidRPr="00382917">
        <w:t>you,</w:t>
      </w:r>
      <w:r w:rsidRPr="00382917">
        <w:t>”</w:t>
      </w:r>
      <w:r w:rsidR="00EE4FC3">
        <w:t xml:space="preserve"> </w:t>
      </w:r>
      <w:r w:rsidR="001D2FA7" w:rsidRPr="00382917">
        <w:t>Bahá</w:t>
      </w:r>
      <w:r w:rsidRPr="00382917">
        <w:t>’</w:t>
      </w:r>
      <w:r w:rsidR="001D2FA7" w:rsidRPr="00382917">
        <w:t>u</w:t>
      </w:r>
      <w:r w:rsidRPr="00382917">
        <w:t>’</w:t>
      </w:r>
      <w:r w:rsidR="001D2FA7" w:rsidRPr="00382917">
        <w:t>lláh</w:t>
      </w:r>
      <w:r w:rsidR="00EE4FC3">
        <w:t xml:space="preserve"> </w:t>
      </w:r>
      <w:r w:rsidR="001D2FA7" w:rsidRPr="00382917">
        <w:t>informed</w:t>
      </w:r>
      <w:r w:rsidR="00EE4FC3">
        <w:t xml:space="preserve"> </w:t>
      </w:r>
      <w:r w:rsidR="001D2FA7" w:rsidRPr="00382917">
        <w:t>this</w:t>
      </w:r>
      <w:r w:rsidR="00EE4FC3">
        <w:t xml:space="preserve"> </w:t>
      </w:r>
      <w:r w:rsidR="001D2FA7" w:rsidRPr="00382917">
        <w:t>messenger,</w:t>
      </w:r>
      <w:r w:rsidR="00EE4FC3">
        <w:t xml:space="preserve"> </w:t>
      </w:r>
      <w:r w:rsidRPr="00382917">
        <w:t>“</w:t>
      </w:r>
      <w:proofErr w:type="gramStart"/>
      <w:r w:rsidR="001D2FA7" w:rsidRPr="00382917">
        <w:t>start</w:t>
      </w:r>
      <w:proofErr w:type="gramEnd"/>
      <w:r w:rsidR="00EE4FC3">
        <w:t xml:space="preserve"> </w:t>
      </w:r>
      <w:r w:rsidR="001D2FA7" w:rsidRPr="00382917">
        <w:t>immediately</w:t>
      </w:r>
      <w:r w:rsidR="00EE4FC3">
        <w:t xml:space="preserve"> </w:t>
      </w:r>
      <w:r w:rsidR="001D2FA7" w:rsidRPr="00382917">
        <w:t>for</w:t>
      </w:r>
      <w:r w:rsidR="00EE4FC3">
        <w:t xml:space="preserve"> </w:t>
      </w:r>
      <w:r w:rsidR="001D2FA7" w:rsidRPr="00382917">
        <w:t>Ṭihrán</w:t>
      </w:r>
      <w:r w:rsidR="00330AF7">
        <w:t>.</w:t>
      </w:r>
      <w:r w:rsidR="00EE4FC3">
        <w:t xml:space="preserve">  </w:t>
      </w:r>
      <w:r w:rsidR="001D2FA7" w:rsidRPr="00382917">
        <w:t>This</w:t>
      </w:r>
      <w:r w:rsidR="00EE4FC3">
        <w:t xml:space="preserve"> </w:t>
      </w:r>
      <w:r w:rsidR="001D2FA7" w:rsidRPr="00382917">
        <w:t>very</w:t>
      </w:r>
      <w:r w:rsidR="00EE4FC3">
        <w:t xml:space="preserve"> </w:t>
      </w:r>
      <w:r w:rsidR="001D2FA7" w:rsidRPr="00382917">
        <w:t>night,</w:t>
      </w:r>
      <w:r w:rsidR="00EE4FC3">
        <w:t xml:space="preserve"> </w:t>
      </w:r>
      <w:r w:rsidR="001D2FA7" w:rsidRPr="00382917">
        <w:t>I</w:t>
      </w:r>
      <w:r w:rsidR="00EE4FC3">
        <w:t xml:space="preserve"> </w:t>
      </w:r>
      <w:r w:rsidR="001D2FA7" w:rsidRPr="00382917">
        <w:t>shall</w:t>
      </w:r>
      <w:r w:rsidR="00EE4FC3">
        <w:t xml:space="preserve"> </w:t>
      </w:r>
      <w:r w:rsidR="001D2FA7" w:rsidRPr="00382917">
        <w:t>dispatch</w:t>
      </w:r>
      <w:r w:rsidR="00EE4FC3">
        <w:t xml:space="preserve"> </w:t>
      </w:r>
      <w:r w:rsidR="001D2FA7" w:rsidRPr="00382917">
        <w:t>to</w:t>
      </w:r>
      <w:r w:rsidR="00EE4FC3">
        <w:t xml:space="preserve"> </w:t>
      </w:r>
      <w:r w:rsidR="001D2FA7" w:rsidRPr="00382917">
        <w:t>the</w:t>
      </w:r>
      <w:r w:rsidR="00EE4FC3">
        <w:t xml:space="preserve"> </w:t>
      </w:r>
      <w:proofErr w:type="spellStart"/>
      <w:r w:rsidR="001D2FA7" w:rsidRPr="00382917">
        <w:t>neighborhood</w:t>
      </w:r>
      <w:proofErr w:type="spellEnd"/>
      <w:r w:rsidR="00EE4FC3">
        <w:t xml:space="preserve"> </w:t>
      </w:r>
      <w:r w:rsidR="001D2FA7" w:rsidRPr="00382917">
        <w:t>of</w:t>
      </w:r>
      <w:r w:rsidR="00EE4FC3">
        <w:t xml:space="preserve"> </w:t>
      </w:r>
      <w:r w:rsidR="001D2FA7" w:rsidRPr="00382917">
        <w:t>the</w:t>
      </w:r>
      <w:r w:rsidR="00EE4FC3">
        <w:t xml:space="preserve"> </w:t>
      </w:r>
      <w:r w:rsidR="001D2FA7" w:rsidRPr="00382917">
        <w:t>gate</w:t>
      </w:r>
      <w:r w:rsidR="00EE4FC3">
        <w:t xml:space="preserve"> </w:t>
      </w:r>
      <w:r w:rsidR="001D2FA7" w:rsidRPr="00382917">
        <w:t>of</w:t>
      </w:r>
      <w:r w:rsidR="00EE4FC3">
        <w:t xml:space="preserve"> </w:t>
      </w:r>
      <w:r w:rsidR="001D2FA7" w:rsidRPr="00382917">
        <w:t>Qazvín</w:t>
      </w:r>
      <w:r w:rsidR="00EE4FC3">
        <w:t xml:space="preserve"> </w:t>
      </w:r>
      <w:r w:rsidR="001D2FA7" w:rsidRPr="00382917">
        <w:t>an</w:t>
      </w:r>
      <w:r w:rsidR="00EE4FC3">
        <w:t xml:space="preserve"> </w:t>
      </w:r>
      <w:r w:rsidR="001D2FA7" w:rsidRPr="00382917">
        <w:t>attendant</w:t>
      </w:r>
      <w:r w:rsidR="00EE4FC3">
        <w:t xml:space="preserve"> </w:t>
      </w:r>
      <w:r w:rsidR="001D2FA7" w:rsidRPr="00382917">
        <w:t>with</w:t>
      </w:r>
      <w:r w:rsidR="00EE4FC3">
        <w:t xml:space="preserve"> </w:t>
      </w:r>
      <w:r w:rsidR="001D2FA7" w:rsidRPr="00382917">
        <w:t>three</w:t>
      </w:r>
      <w:r w:rsidR="00EE4FC3">
        <w:t xml:space="preserve"> </w:t>
      </w:r>
      <w:r w:rsidR="001D2FA7" w:rsidRPr="00382917">
        <w:t>horses</w:t>
      </w:r>
      <w:r w:rsidR="00EE4FC3">
        <w:t xml:space="preserve"> </w:t>
      </w:r>
      <w:r w:rsidR="001D2FA7" w:rsidRPr="00382917">
        <w:t>that</w:t>
      </w:r>
      <w:r w:rsidR="00EE4FC3">
        <w:t xml:space="preserve"> </w:t>
      </w:r>
      <w:r w:rsidR="001D2FA7" w:rsidRPr="00382917">
        <w:t>you</w:t>
      </w:r>
      <w:r w:rsidR="00EE4FC3">
        <w:t xml:space="preserve"> </w:t>
      </w:r>
      <w:r w:rsidR="001D2FA7" w:rsidRPr="00382917">
        <w:t>will</w:t>
      </w:r>
      <w:r w:rsidR="00EE4FC3">
        <w:t xml:space="preserve"> </w:t>
      </w:r>
      <w:r w:rsidR="001D2FA7" w:rsidRPr="00382917">
        <w:t>take</w:t>
      </w:r>
      <w:r w:rsidR="00EE4FC3">
        <w:t xml:space="preserve"> </w:t>
      </w:r>
      <w:r w:rsidR="001D2FA7" w:rsidRPr="00382917">
        <w:t>with</w:t>
      </w:r>
      <w:r w:rsidR="00EE4FC3">
        <w:t xml:space="preserve"> </w:t>
      </w:r>
      <w:r w:rsidR="001D2FA7" w:rsidRPr="00382917">
        <w:t>you</w:t>
      </w:r>
      <w:r w:rsidR="00EE4FC3">
        <w:t xml:space="preserve"> </w:t>
      </w:r>
      <w:r w:rsidR="001D2FA7" w:rsidRPr="00382917">
        <w:t>and</w:t>
      </w:r>
      <w:r w:rsidR="00EE4FC3">
        <w:t xml:space="preserve"> </w:t>
      </w:r>
      <w:r w:rsidR="001D2FA7" w:rsidRPr="00382917">
        <w:t>station</w:t>
      </w:r>
      <w:r w:rsidR="00EE4FC3">
        <w:t xml:space="preserve"> </w:t>
      </w:r>
      <w:r w:rsidR="001D2FA7" w:rsidRPr="00382917">
        <w:t>at</w:t>
      </w:r>
      <w:r w:rsidR="00EE4FC3">
        <w:t xml:space="preserve"> </w:t>
      </w:r>
      <w:r w:rsidR="001D2FA7" w:rsidRPr="00382917">
        <w:t>a</w:t>
      </w:r>
      <w:r w:rsidR="00EE4FC3">
        <w:t xml:space="preserve"> </w:t>
      </w:r>
      <w:r w:rsidR="001D2FA7" w:rsidRPr="00382917">
        <w:t>place</w:t>
      </w:r>
      <w:r w:rsidR="00EE4FC3">
        <w:t xml:space="preserve"> </w:t>
      </w:r>
      <w:r w:rsidR="001D2FA7" w:rsidRPr="00382917">
        <w:t>outside</w:t>
      </w:r>
      <w:r w:rsidR="00EE4FC3">
        <w:t xml:space="preserve"> </w:t>
      </w:r>
      <w:r w:rsidR="001D2FA7" w:rsidRPr="00382917">
        <w:t>the</w:t>
      </w:r>
      <w:r w:rsidR="00EE4FC3">
        <w:t xml:space="preserve"> </w:t>
      </w:r>
      <w:r w:rsidR="001D2FA7" w:rsidRPr="00382917">
        <w:t>walls</w:t>
      </w:r>
      <w:proofErr w:type="gramStart"/>
      <w:r w:rsidR="00621FE1">
        <w:t xml:space="preserve">. </w:t>
      </w:r>
      <w:proofErr w:type="gramEnd"/>
      <w:r w:rsidR="00F04416" w:rsidRPr="00382917">
        <w:t>…</w:t>
      </w:r>
      <w:r w:rsidR="00EE4FC3">
        <w:t xml:space="preserve">  </w:t>
      </w:r>
      <w:r w:rsidR="001D2FA7" w:rsidRPr="00382917">
        <w:t>You</w:t>
      </w:r>
      <w:r w:rsidR="00EE4FC3">
        <w:t xml:space="preserve"> </w:t>
      </w:r>
      <w:r w:rsidR="001D2FA7" w:rsidRPr="00382917">
        <w:t>will</w:t>
      </w:r>
      <w:r w:rsidR="00EE4FC3">
        <w:t xml:space="preserve"> </w:t>
      </w:r>
      <w:r w:rsidR="001D2FA7" w:rsidRPr="00382917">
        <w:t>conduct</w:t>
      </w:r>
      <w:r w:rsidR="00EE4FC3">
        <w:t xml:space="preserve"> </w:t>
      </w:r>
      <w:r w:rsidR="001D2FA7" w:rsidRPr="00382917">
        <w:t>Ṭáhirih</w:t>
      </w:r>
      <w:r w:rsidR="00EE4FC3">
        <w:t xml:space="preserve"> </w:t>
      </w:r>
      <w:r w:rsidR="001D2FA7" w:rsidRPr="00382917">
        <w:t>to</w:t>
      </w:r>
      <w:r w:rsidR="00EE4FC3">
        <w:t xml:space="preserve"> </w:t>
      </w:r>
      <w:r w:rsidR="001D2FA7" w:rsidRPr="00382917">
        <w:t>that</w:t>
      </w:r>
      <w:r w:rsidR="00EE4FC3">
        <w:t xml:space="preserve"> </w:t>
      </w:r>
      <w:r w:rsidR="001D2FA7" w:rsidRPr="00382917">
        <w:t>spot,</w:t>
      </w:r>
      <w:r w:rsidR="00EE4FC3">
        <w:t xml:space="preserve"> </w:t>
      </w:r>
      <w:r w:rsidR="001D2FA7" w:rsidRPr="00382917">
        <w:t>will</w:t>
      </w:r>
      <w:r w:rsidR="00EE4FC3">
        <w:t xml:space="preserve"> </w:t>
      </w:r>
      <w:r w:rsidR="001D2FA7" w:rsidRPr="00382917">
        <w:t>mount</w:t>
      </w:r>
      <w:r w:rsidR="00EE4FC3">
        <w:t xml:space="preserve"> </w:t>
      </w:r>
      <w:r w:rsidR="001D2FA7" w:rsidRPr="00382917">
        <w:t>the</w:t>
      </w:r>
      <w:r w:rsidR="00EE4FC3">
        <w:t xml:space="preserve"> </w:t>
      </w:r>
      <w:r w:rsidR="001D2FA7" w:rsidRPr="00382917">
        <w:t>horses,</w:t>
      </w:r>
      <w:r w:rsidR="00EE4FC3">
        <w:t xml:space="preserve"> </w:t>
      </w:r>
      <w:r w:rsidR="001D2FA7" w:rsidRPr="00382917">
        <w:t>and</w:t>
      </w:r>
      <w:r w:rsidR="00EE4FC3">
        <w:t xml:space="preserve"> </w:t>
      </w:r>
      <w:r w:rsidR="001D2FA7" w:rsidRPr="00382917">
        <w:t>will,</w:t>
      </w:r>
      <w:r w:rsidR="00EE4FC3">
        <w:t xml:space="preserve"> </w:t>
      </w:r>
      <w:r w:rsidR="001D2FA7" w:rsidRPr="00382917">
        <w:t>by</w:t>
      </w:r>
      <w:r w:rsidR="00EE4FC3">
        <w:t xml:space="preserve"> </w:t>
      </w:r>
      <w:r w:rsidR="001D2FA7" w:rsidRPr="00382917">
        <w:t>an</w:t>
      </w:r>
      <w:r w:rsidR="00EE4FC3">
        <w:t xml:space="preserve"> </w:t>
      </w:r>
      <w:r w:rsidR="001D2FA7" w:rsidRPr="00382917">
        <w:t>unfrequented</w:t>
      </w:r>
      <w:r w:rsidR="00EE4FC3">
        <w:t xml:space="preserve"> </w:t>
      </w:r>
      <w:r w:rsidR="001D2FA7" w:rsidRPr="00382917">
        <w:t>route,</w:t>
      </w:r>
      <w:r w:rsidR="00EE4FC3">
        <w:t xml:space="preserve"> </w:t>
      </w:r>
      <w:proofErr w:type="spellStart"/>
      <w:r w:rsidR="001D2FA7" w:rsidRPr="00382917">
        <w:t>endeavor</w:t>
      </w:r>
      <w:proofErr w:type="spellEnd"/>
      <w:r w:rsidR="00EE4FC3">
        <w:t xml:space="preserve"> </w:t>
      </w:r>
      <w:r w:rsidR="001D2FA7" w:rsidRPr="00382917">
        <w:t>to</w:t>
      </w:r>
      <w:r w:rsidR="00EE4FC3">
        <w:t xml:space="preserve"> </w:t>
      </w:r>
      <w:r w:rsidR="001D2FA7" w:rsidRPr="00382917">
        <w:t>reach</w:t>
      </w:r>
      <w:r w:rsidR="00EE4FC3">
        <w:t xml:space="preserve"> </w:t>
      </w:r>
      <w:r w:rsidR="001D2FA7" w:rsidRPr="00382917">
        <w:t>at</w:t>
      </w:r>
      <w:r w:rsidR="00EE4FC3">
        <w:t xml:space="preserve"> </w:t>
      </w:r>
      <w:r w:rsidR="001D2FA7" w:rsidRPr="00382917">
        <w:t>daybreak</w:t>
      </w:r>
      <w:r w:rsidR="00EE4FC3">
        <w:t xml:space="preserve"> </w:t>
      </w:r>
      <w:r w:rsidR="001D2FA7" w:rsidRPr="00382917">
        <w:t>the</w:t>
      </w:r>
      <w:r w:rsidR="00EE4FC3">
        <w:t xml:space="preserve"> </w:t>
      </w:r>
      <w:r w:rsidR="001D2FA7" w:rsidRPr="00382917">
        <w:t>outskirts</w:t>
      </w:r>
      <w:r w:rsidR="00EE4FC3">
        <w:t xml:space="preserve"> </w:t>
      </w:r>
      <w:r w:rsidR="001D2FA7" w:rsidRPr="00382917">
        <w:t>of</w:t>
      </w:r>
      <w:r w:rsidR="00EE4FC3">
        <w:t xml:space="preserve"> </w:t>
      </w:r>
      <w:r w:rsidR="001D2FA7" w:rsidRPr="00382917">
        <w:t>the</w:t>
      </w:r>
      <w:r w:rsidR="00EE4FC3">
        <w:t xml:space="preserve"> </w:t>
      </w:r>
      <w:r w:rsidR="001D2FA7" w:rsidRPr="00382917">
        <w:t>capital</w:t>
      </w:r>
      <w:r w:rsidR="00330AF7">
        <w:t>.</w:t>
      </w:r>
      <w:r w:rsidR="00EE4FC3">
        <w:t xml:space="preserve">  </w:t>
      </w:r>
      <w:r w:rsidR="001D2FA7" w:rsidRPr="00382917">
        <w:t>As</w:t>
      </w:r>
      <w:r w:rsidR="00EE4FC3">
        <w:t xml:space="preserve"> </w:t>
      </w:r>
      <w:r w:rsidR="001D2FA7" w:rsidRPr="00382917">
        <w:t>soon</w:t>
      </w:r>
      <w:r w:rsidR="00EE4FC3">
        <w:t xml:space="preserve"> </w:t>
      </w:r>
      <w:r w:rsidR="001D2FA7" w:rsidRPr="00382917">
        <w:t>as</w:t>
      </w:r>
      <w:r w:rsidR="00EE4FC3">
        <w:t xml:space="preserve"> </w:t>
      </w:r>
      <w:r w:rsidR="001D2FA7" w:rsidRPr="00382917">
        <w:t>the</w:t>
      </w:r>
      <w:r w:rsidR="00EE4FC3">
        <w:t xml:space="preserve"> </w:t>
      </w:r>
      <w:r w:rsidR="001D2FA7" w:rsidRPr="00382917">
        <w:t>gates</w:t>
      </w:r>
      <w:r w:rsidR="00EE4FC3">
        <w:t xml:space="preserve"> </w:t>
      </w:r>
      <w:r w:rsidR="001D2FA7" w:rsidRPr="00382917">
        <w:t>of</w:t>
      </w:r>
      <w:r w:rsidR="00EE4FC3">
        <w:t xml:space="preserve"> </w:t>
      </w:r>
      <w:r w:rsidR="001D2FA7" w:rsidRPr="00382917">
        <w:t>the</w:t>
      </w:r>
      <w:r w:rsidR="00EE4FC3">
        <w:t xml:space="preserve"> </w:t>
      </w:r>
      <w:r w:rsidR="001D2FA7" w:rsidRPr="00382917">
        <w:t>city</w:t>
      </w:r>
      <w:r w:rsidR="00EE4FC3">
        <w:t xml:space="preserve"> </w:t>
      </w:r>
      <w:r w:rsidR="001D2FA7" w:rsidRPr="00382917">
        <w:t>are</w:t>
      </w:r>
      <w:r w:rsidR="00EE4FC3">
        <w:t xml:space="preserve"> </w:t>
      </w:r>
      <w:r w:rsidR="001D2FA7" w:rsidRPr="00382917">
        <w:t>opened,</w:t>
      </w:r>
      <w:r w:rsidR="00EE4FC3">
        <w:t xml:space="preserve"> </w:t>
      </w:r>
      <w:r w:rsidR="001D2FA7" w:rsidRPr="00382917">
        <w:t>you</w:t>
      </w:r>
      <w:r w:rsidR="00EE4FC3">
        <w:t xml:space="preserve"> </w:t>
      </w:r>
      <w:r w:rsidR="001D2FA7" w:rsidRPr="00382917">
        <w:t>must</w:t>
      </w:r>
      <w:r w:rsidR="00EE4FC3">
        <w:t xml:space="preserve"> </w:t>
      </w:r>
      <w:r w:rsidR="001D2FA7" w:rsidRPr="00382917">
        <w:t>enter</w:t>
      </w:r>
      <w:r w:rsidR="00EE4FC3">
        <w:t xml:space="preserve"> </w:t>
      </w:r>
      <w:r w:rsidR="001D2FA7" w:rsidRPr="00382917">
        <w:t>the</w:t>
      </w:r>
      <w:r w:rsidR="00EE4FC3">
        <w:t xml:space="preserve"> </w:t>
      </w:r>
      <w:r w:rsidR="001D2FA7" w:rsidRPr="00382917">
        <w:t>city</w:t>
      </w:r>
      <w:r w:rsidR="00EE4FC3">
        <w:t xml:space="preserve"> </w:t>
      </w:r>
      <w:r w:rsidR="001D2FA7" w:rsidRPr="00382917">
        <w:t>and</w:t>
      </w:r>
      <w:r w:rsidR="00EE4FC3">
        <w:t xml:space="preserve"> </w:t>
      </w:r>
      <w:r w:rsidR="001D2FA7" w:rsidRPr="00382917">
        <w:t>proceed</w:t>
      </w:r>
      <w:r w:rsidR="00EE4FC3">
        <w:t xml:space="preserve"> </w:t>
      </w:r>
      <w:r w:rsidR="001D2FA7" w:rsidRPr="00382917">
        <w:t>immediately</w:t>
      </w:r>
      <w:r w:rsidR="00EE4FC3">
        <w:t xml:space="preserve"> </w:t>
      </w:r>
      <w:r w:rsidR="001D2FA7" w:rsidRPr="00382917">
        <w:t>to</w:t>
      </w:r>
      <w:r w:rsidR="00EE4FC3">
        <w:t xml:space="preserve"> </w:t>
      </w:r>
      <w:proofErr w:type="gramStart"/>
      <w:r w:rsidR="001D2FA7" w:rsidRPr="00382917">
        <w:t>My</w:t>
      </w:r>
      <w:proofErr w:type="gramEnd"/>
      <w:r w:rsidR="00EE4FC3">
        <w:t xml:space="preserve"> </w:t>
      </w:r>
      <w:r w:rsidR="001D2FA7" w:rsidRPr="00382917">
        <w:t>house</w:t>
      </w:r>
      <w:r w:rsidR="00330AF7">
        <w:t>.</w:t>
      </w:r>
      <w:r w:rsidR="00EE4FC3">
        <w:t xml:space="preserve">  </w:t>
      </w:r>
      <w:r w:rsidR="001D2FA7" w:rsidRPr="00382917">
        <w:t>You</w:t>
      </w:r>
      <w:r w:rsidR="00EE4FC3">
        <w:t xml:space="preserve"> </w:t>
      </w:r>
      <w:r w:rsidR="001D2FA7" w:rsidRPr="00382917">
        <w:t>should</w:t>
      </w:r>
      <w:r w:rsidR="00EE4FC3">
        <w:t xml:space="preserve"> </w:t>
      </w:r>
      <w:r w:rsidR="001D2FA7" w:rsidRPr="00382917">
        <w:t>exercise</w:t>
      </w:r>
      <w:r w:rsidR="00EE4FC3">
        <w:t xml:space="preserve"> </w:t>
      </w:r>
      <w:r w:rsidR="001D2FA7" w:rsidRPr="00382917">
        <w:t>the</w:t>
      </w:r>
      <w:r w:rsidR="00EE4FC3">
        <w:t xml:space="preserve"> </w:t>
      </w:r>
      <w:r w:rsidR="001D2FA7" w:rsidRPr="00382917">
        <w:t>utmost</w:t>
      </w:r>
      <w:r w:rsidR="00EE4FC3">
        <w:t xml:space="preserve"> </w:t>
      </w:r>
      <w:r w:rsidR="001D2FA7" w:rsidRPr="00382917">
        <w:t>caution</w:t>
      </w:r>
      <w:r w:rsidR="00EE4FC3">
        <w:t xml:space="preserve"> </w:t>
      </w:r>
      <w:r w:rsidR="001D2FA7" w:rsidRPr="00382917">
        <w:t>lest</w:t>
      </w:r>
      <w:r w:rsidR="00EE4FC3">
        <w:t xml:space="preserve"> </w:t>
      </w:r>
      <w:r w:rsidR="001D2FA7" w:rsidRPr="00382917">
        <w:t>her</w:t>
      </w:r>
      <w:r w:rsidR="00EE4FC3">
        <w:t xml:space="preserve"> </w:t>
      </w:r>
      <w:r w:rsidR="001D2FA7" w:rsidRPr="00382917">
        <w:t>identity</w:t>
      </w:r>
      <w:r w:rsidR="00EE4FC3">
        <w:t xml:space="preserve"> </w:t>
      </w:r>
      <w:r w:rsidR="001D2FA7" w:rsidRPr="00382917">
        <w:t>by</w:t>
      </w:r>
      <w:r w:rsidR="00EE4FC3">
        <w:t xml:space="preserve"> </w:t>
      </w:r>
      <w:r w:rsidR="001D2FA7" w:rsidRPr="00382917">
        <w:t>disclosed.</w:t>
      </w:r>
      <w:r w:rsidRPr="00382917">
        <w:t>”</w:t>
      </w:r>
    </w:p>
    <w:p w:rsidR="001D2FA7" w:rsidRPr="00382917" w:rsidRDefault="001D2FA7" w:rsidP="007B319A">
      <w:pPr>
        <w:pStyle w:val="Text"/>
      </w:pPr>
      <w:r w:rsidRPr="00382917">
        <w:t>Bahá</w:t>
      </w:r>
      <w:r w:rsidR="009C713D" w:rsidRPr="00382917">
        <w:t>’</w:t>
      </w:r>
      <w:r w:rsidRPr="00382917">
        <w:t>u</w:t>
      </w:r>
      <w:r w:rsidR="009C713D" w:rsidRPr="00382917">
        <w:t>’</w:t>
      </w:r>
      <w:r w:rsidRPr="00382917">
        <w:t>lláh</w:t>
      </w:r>
      <w:r w:rsidR="00EE4FC3">
        <w:t xml:space="preserve"> </w:t>
      </w:r>
      <w:r w:rsidRPr="00382917">
        <w:t>reassured</w:t>
      </w:r>
      <w:r w:rsidR="00EE4FC3">
        <w:t xml:space="preserve"> </w:t>
      </w:r>
      <w:r w:rsidRPr="00382917">
        <w:t>the</w:t>
      </w:r>
      <w:r w:rsidR="00EE4FC3">
        <w:t xml:space="preserve"> </w:t>
      </w:r>
      <w:r w:rsidRPr="00382917">
        <w:t>worried</w:t>
      </w:r>
      <w:r w:rsidR="00EE4FC3">
        <w:t xml:space="preserve"> </w:t>
      </w:r>
      <w:r w:rsidRPr="00382917">
        <w:t>messenger,</w:t>
      </w:r>
      <w:r w:rsidR="00EE4FC3">
        <w:t xml:space="preserve"> </w:t>
      </w:r>
      <w:r w:rsidRPr="00382917">
        <w:t>who</w:t>
      </w:r>
      <w:r w:rsidR="00EE4FC3">
        <w:t xml:space="preserve"> </w:t>
      </w:r>
      <w:r w:rsidRPr="00382917">
        <w:t>felt</w:t>
      </w:r>
      <w:r w:rsidR="00EE4FC3">
        <w:t xml:space="preserve"> </w:t>
      </w:r>
      <w:r w:rsidRPr="00382917">
        <w:t>that</w:t>
      </w:r>
      <w:r w:rsidR="00EE4FC3">
        <w:t xml:space="preserve"> </w:t>
      </w:r>
      <w:r w:rsidRPr="00382917">
        <w:t>such</w:t>
      </w:r>
      <w:r w:rsidR="00EE4FC3">
        <w:t xml:space="preserve"> </w:t>
      </w:r>
      <w:r w:rsidRPr="00382917">
        <w:t>a</w:t>
      </w:r>
      <w:r w:rsidR="00EE4FC3">
        <w:t xml:space="preserve"> </w:t>
      </w:r>
      <w:r w:rsidRPr="00382917">
        <w:t>delivery</w:t>
      </w:r>
      <w:r w:rsidR="00EE4FC3">
        <w:t xml:space="preserve"> </w:t>
      </w:r>
      <w:r w:rsidRPr="00382917">
        <w:t>would</w:t>
      </w:r>
      <w:r w:rsidR="00EE4FC3">
        <w:t xml:space="preserve"> </w:t>
      </w:r>
      <w:r w:rsidRPr="00382917">
        <w:t>require</w:t>
      </w:r>
      <w:r w:rsidR="00EE4FC3">
        <w:t xml:space="preserve"> </w:t>
      </w:r>
      <w:r w:rsidRPr="00382917">
        <w:t>a</w:t>
      </w:r>
      <w:r w:rsidR="00EE4FC3">
        <w:t xml:space="preserve"> </w:t>
      </w:r>
      <w:r w:rsidRPr="00382917">
        <w:t>miracle</w:t>
      </w:r>
      <w:r w:rsidR="00330AF7">
        <w:t>.</w:t>
      </w:r>
      <w:r w:rsidR="00EE4FC3">
        <w:t xml:space="preserve">  </w:t>
      </w:r>
      <w:r w:rsidR="009C713D" w:rsidRPr="00382917">
        <w:t>“</w:t>
      </w:r>
      <w:r w:rsidRPr="00382917">
        <w:t>The</w:t>
      </w:r>
      <w:r w:rsidR="00EE4FC3">
        <w:t xml:space="preserve"> </w:t>
      </w:r>
      <w:r w:rsidRPr="00382917">
        <w:t>Almighty</w:t>
      </w:r>
      <w:r w:rsidR="00EE4FC3">
        <w:t xml:space="preserve"> </w:t>
      </w:r>
      <w:r w:rsidRPr="00382917">
        <w:t>will</w:t>
      </w:r>
      <w:r w:rsidR="00EE4FC3">
        <w:t xml:space="preserve"> </w:t>
      </w:r>
      <w:r w:rsidRPr="00382917">
        <w:t>assuredly</w:t>
      </w:r>
    </w:p>
    <w:p w:rsidR="007B319A" w:rsidRPr="00382917" w:rsidRDefault="007B319A">
      <w:pPr>
        <w:widowControl/>
        <w:kinsoku/>
        <w:overflowPunct/>
        <w:textAlignment w:val="auto"/>
      </w:pPr>
      <w:r w:rsidRPr="00382917">
        <w:br w:type="page"/>
      </w:r>
    </w:p>
    <w:p w:rsidR="001D2FA7" w:rsidRPr="00382917" w:rsidRDefault="001D2FA7" w:rsidP="007B319A">
      <w:pPr>
        <w:pStyle w:val="Textcts"/>
      </w:pPr>
      <w:proofErr w:type="gramStart"/>
      <w:r w:rsidRPr="00382917">
        <w:t>guide</w:t>
      </w:r>
      <w:proofErr w:type="gramEnd"/>
      <w:r w:rsidR="00EE4FC3">
        <w:t xml:space="preserve"> </w:t>
      </w:r>
      <w:r w:rsidRPr="00382917">
        <w:t>your</w:t>
      </w:r>
      <w:r w:rsidR="00EE4FC3">
        <w:t xml:space="preserve"> </w:t>
      </w:r>
      <w:r w:rsidRPr="00382917">
        <w:t>steps,</w:t>
      </w:r>
      <w:r w:rsidR="009C713D" w:rsidRPr="00382917">
        <w:t>”</w:t>
      </w:r>
      <w:r w:rsidR="00EE4FC3">
        <w:t xml:space="preserve"> </w:t>
      </w:r>
      <w:r w:rsidRPr="00382917">
        <w:t>He</w:t>
      </w:r>
      <w:r w:rsidR="00EE4FC3">
        <w:t xml:space="preserve"> </w:t>
      </w:r>
      <w:r w:rsidRPr="00382917">
        <w:t>said,</w:t>
      </w:r>
      <w:r w:rsidR="00EE4FC3">
        <w:t xml:space="preserve"> </w:t>
      </w:r>
      <w:r w:rsidR="009C713D" w:rsidRPr="00382917">
        <w:t>“</w:t>
      </w:r>
      <w:r w:rsidRPr="00382917">
        <w:t>and</w:t>
      </w:r>
      <w:r w:rsidR="00EE4FC3">
        <w:t xml:space="preserve"> </w:t>
      </w:r>
      <w:r w:rsidRPr="00382917">
        <w:t>will</w:t>
      </w:r>
      <w:r w:rsidR="00EE4FC3">
        <w:t xml:space="preserve"> </w:t>
      </w:r>
      <w:r w:rsidRPr="00382917">
        <w:t>surround</w:t>
      </w:r>
      <w:r w:rsidR="00EE4FC3">
        <w:t xml:space="preserve"> </w:t>
      </w:r>
      <w:r w:rsidRPr="00382917">
        <w:t>you</w:t>
      </w:r>
      <w:r w:rsidR="00EE4FC3">
        <w:t xml:space="preserve"> </w:t>
      </w:r>
      <w:r w:rsidRPr="00382917">
        <w:t>with</w:t>
      </w:r>
      <w:r w:rsidR="00EE4FC3">
        <w:t xml:space="preserve"> </w:t>
      </w:r>
      <w:r w:rsidRPr="00382917">
        <w:t>His</w:t>
      </w:r>
      <w:r w:rsidR="00EE4FC3">
        <w:t xml:space="preserve"> </w:t>
      </w:r>
      <w:r w:rsidRPr="00382917">
        <w:t>unfailing</w:t>
      </w:r>
      <w:r w:rsidR="00EE4FC3">
        <w:t xml:space="preserve"> </w:t>
      </w:r>
      <w:r w:rsidRPr="00382917">
        <w:t>protection.</w:t>
      </w:r>
      <w:r w:rsidR="009C713D" w:rsidRPr="00382917">
        <w:t>”</w:t>
      </w:r>
    </w:p>
    <w:p w:rsidR="001D2FA7" w:rsidRPr="00382917" w:rsidRDefault="001D2FA7" w:rsidP="007B319A">
      <w:pPr>
        <w:pStyle w:val="Text"/>
      </w:pPr>
      <w:r w:rsidRPr="00382917">
        <w:t>Nabil</w:t>
      </w:r>
      <w:r w:rsidR="00EE4FC3">
        <w:t xml:space="preserve"> </w:t>
      </w:r>
      <w:r w:rsidRPr="00382917">
        <w:t>writes,</w:t>
      </w:r>
      <w:r w:rsidR="00EE4FC3">
        <w:t xml:space="preserve"> </w:t>
      </w:r>
      <w:r w:rsidR="009C713D" w:rsidRPr="00382917">
        <w:t>“</w:t>
      </w:r>
      <w:r w:rsidRPr="00382917">
        <w:t>The</w:t>
      </w:r>
      <w:r w:rsidR="00EE4FC3">
        <w:t xml:space="preserve"> </w:t>
      </w:r>
      <w:r w:rsidRPr="00382917">
        <w:t>hour</w:t>
      </w:r>
      <w:r w:rsidR="00EE4FC3">
        <w:t xml:space="preserve"> </w:t>
      </w:r>
      <w:r w:rsidRPr="00382917">
        <w:t>which</w:t>
      </w:r>
      <w:r w:rsidR="00EE4FC3">
        <w:t xml:space="preserve"> </w:t>
      </w:r>
      <w:r w:rsidRPr="00382917">
        <w:t>Ṭáhirih</w:t>
      </w:r>
      <w:r w:rsidR="00EE4FC3">
        <w:t xml:space="preserve"> </w:t>
      </w:r>
      <w:r w:rsidRPr="00382917">
        <w:t>had</w:t>
      </w:r>
      <w:r w:rsidR="00EE4FC3">
        <w:t xml:space="preserve"> </w:t>
      </w:r>
      <w:r w:rsidRPr="00382917">
        <w:t>fixed</w:t>
      </w:r>
      <w:r w:rsidR="00EE4FC3">
        <w:t xml:space="preserve"> </w:t>
      </w:r>
      <w:r w:rsidRPr="00382917">
        <w:t>for</w:t>
      </w:r>
      <w:r w:rsidR="00EE4FC3">
        <w:t xml:space="preserve"> </w:t>
      </w:r>
      <w:r w:rsidRPr="00382917">
        <w:t>her</w:t>
      </w:r>
      <w:r w:rsidR="00EE4FC3">
        <w:t xml:space="preserve"> </w:t>
      </w:r>
      <w:r w:rsidRPr="00382917">
        <w:t>deliverance</w:t>
      </w:r>
      <w:r w:rsidR="00EE4FC3">
        <w:t xml:space="preserve"> </w:t>
      </w:r>
      <w:r w:rsidRPr="00382917">
        <w:t>found</w:t>
      </w:r>
      <w:r w:rsidR="00EE4FC3">
        <w:t xml:space="preserve"> </w:t>
      </w:r>
      <w:r w:rsidRPr="00382917">
        <w:t>her</w:t>
      </w:r>
      <w:r w:rsidR="00EE4FC3">
        <w:t xml:space="preserve"> </w:t>
      </w:r>
      <w:r w:rsidRPr="00382917">
        <w:t>already</w:t>
      </w:r>
      <w:r w:rsidR="00EE4FC3">
        <w:t xml:space="preserve"> </w:t>
      </w:r>
      <w:r w:rsidRPr="00382917">
        <w:t>securely</w:t>
      </w:r>
      <w:r w:rsidR="00EE4FC3">
        <w:t xml:space="preserve"> </w:t>
      </w:r>
      <w:r w:rsidRPr="00382917">
        <w:t>established</w:t>
      </w:r>
      <w:r w:rsidR="00EE4FC3">
        <w:t xml:space="preserve"> </w:t>
      </w:r>
      <w:r w:rsidRPr="00382917">
        <w:t>under</w:t>
      </w:r>
      <w:r w:rsidR="00EE4FC3">
        <w:t xml:space="preserve"> </w:t>
      </w:r>
      <w:r w:rsidRPr="00382917">
        <w:t>the</w:t>
      </w:r>
      <w:r w:rsidR="00EE4FC3">
        <w:t xml:space="preserve"> </w:t>
      </w:r>
      <w:r w:rsidRPr="00382917">
        <w:t>sheltering</w:t>
      </w:r>
      <w:r w:rsidR="00EE4FC3">
        <w:t xml:space="preserve"> </w:t>
      </w:r>
      <w:r w:rsidRPr="00382917">
        <w:t>shadow</w:t>
      </w:r>
      <w:r w:rsidR="00EE4FC3">
        <w:t xml:space="preserve"> </w:t>
      </w:r>
      <w:r w:rsidRPr="00382917">
        <w:t>of</w:t>
      </w:r>
      <w:r w:rsidR="00EE4FC3">
        <w:t xml:space="preserve"> </w:t>
      </w:r>
      <w:r w:rsidRPr="00382917">
        <w:t>Bahá</w:t>
      </w:r>
      <w:r w:rsidR="009C713D" w:rsidRPr="00382917">
        <w:t>’</w:t>
      </w:r>
      <w:r w:rsidRPr="00382917">
        <w:t>u</w:t>
      </w:r>
      <w:r w:rsidR="009C713D" w:rsidRPr="00382917">
        <w:t>’</w:t>
      </w:r>
      <w:r w:rsidRPr="00382917">
        <w:t>lláh</w:t>
      </w:r>
      <w:r w:rsidR="00330AF7">
        <w:t>.</w:t>
      </w:r>
      <w:r w:rsidR="00EE4FC3">
        <w:t xml:space="preserve">  </w:t>
      </w:r>
      <w:r w:rsidRPr="00382917">
        <w:t>She</w:t>
      </w:r>
      <w:r w:rsidR="00EE4FC3">
        <w:t xml:space="preserve"> </w:t>
      </w:r>
      <w:r w:rsidRPr="00382917">
        <w:t>knew</w:t>
      </w:r>
      <w:r w:rsidR="00EE4FC3">
        <w:t xml:space="preserve"> </w:t>
      </w:r>
      <w:r w:rsidRPr="00382917">
        <w:t>full</w:t>
      </w:r>
      <w:r w:rsidR="00EE4FC3">
        <w:t xml:space="preserve"> </w:t>
      </w:r>
      <w:r w:rsidRPr="00382917">
        <w:t>well</w:t>
      </w:r>
      <w:r w:rsidR="00EE4FC3">
        <w:t xml:space="preserve"> </w:t>
      </w:r>
      <w:r w:rsidRPr="00382917">
        <w:t>into</w:t>
      </w:r>
      <w:r w:rsidR="00EE4FC3">
        <w:t xml:space="preserve"> </w:t>
      </w:r>
      <w:proofErr w:type="gramStart"/>
      <w:r w:rsidRPr="00382917">
        <w:t>Whose</w:t>
      </w:r>
      <w:proofErr w:type="gramEnd"/>
      <w:r w:rsidR="00EE4FC3">
        <w:t xml:space="preserve"> </w:t>
      </w:r>
      <w:r w:rsidRPr="00382917">
        <w:t>presence</w:t>
      </w:r>
      <w:r w:rsidR="00EE4FC3">
        <w:t xml:space="preserve"> </w:t>
      </w:r>
      <w:r w:rsidRPr="00382917">
        <w:t>she</w:t>
      </w:r>
      <w:r w:rsidR="00EE4FC3">
        <w:t xml:space="preserve"> </w:t>
      </w:r>
      <w:r w:rsidRPr="00382917">
        <w:t>had</w:t>
      </w:r>
      <w:r w:rsidR="00EE4FC3">
        <w:t xml:space="preserve"> </w:t>
      </w:r>
      <w:r w:rsidRPr="00382917">
        <w:t>been</w:t>
      </w:r>
      <w:r w:rsidR="00EE4FC3">
        <w:t xml:space="preserve"> </w:t>
      </w:r>
      <w:r w:rsidRPr="00382917">
        <w:t>admitted;</w:t>
      </w:r>
      <w:r w:rsidR="00EE4FC3">
        <w:t xml:space="preserve"> </w:t>
      </w:r>
      <w:r w:rsidRPr="00382917">
        <w:t>she</w:t>
      </w:r>
      <w:r w:rsidR="00EE4FC3">
        <w:t xml:space="preserve"> </w:t>
      </w:r>
      <w:r w:rsidRPr="00382917">
        <w:t>was</w:t>
      </w:r>
      <w:r w:rsidR="00EE4FC3">
        <w:t xml:space="preserve"> </w:t>
      </w:r>
      <w:r w:rsidRPr="00382917">
        <w:t>profoundly</w:t>
      </w:r>
      <w:r w:rsidR="00EE4FC3">
        <w:t xml:space="preserve"> </w:t>
      </w:r>
      <w:r w:rsidRPr="00382917">
        <w:t>aware</w:t>
      </w:r>
      <w:r w:rsidR="00EE4FC3">
        <w:t xml:space="preserve"> </w:t>
      </w:r>
      <w:r w:rsidRPr="00382917">
        <w:t>of</w:t>
      </w:r>
      <w:r w:rsidR="00EE4FC3">
        <w:t xml:space="preserve"> </w:t>
      </w:r>
      <w:r w:rsidRPr="00382917">
        <w:t>the</w:t>
      </w:r>
      <w:r w:rsidR="00EE4FC3">
        <w:t xml:space="preserve"> </w:t>
      </w:r>
      <w:r w:rsidRPr="00382917">
        <w:t>sacredness</w:t>
      </w:r>
      <w:r w:rsidR="00EE4FC3">
        <w:t xml:space="preserve"> </w:t>
      </w:r>
      <w:r w:rsidRPr="00382917">
        <w:t>of</w:t>
      </w:r>
      <w:r w:rsidR="00EE4FC3">
        <w:t xml:space="preserve"> </w:t>
      </w:r>
      <w:r w:rsidRPr="00382917">
        <w:t>the</w:t>
      </w:r>
      <w:r w:rsidR="00EE4FC3">
        <w:t xml:space="preserve"> </w:t>
      </w:r>
      <w:r w:rsidRPr="00382917">
        <w:t>hospitality</w:t>
      </w:r>
      <w:r w:rsidR="00EE4FC3">
        <w:t xml:space="preserve"> </w:t>
      </w:r>
      <w:r w:rsidRPr="00382917">
        <w:t>she</w:t>
      </w:r>
      <w:r w:rsidR="00EE4FC3">
        <w:t xml:space="preserve"> </w:t>
      </w:r>
      <w:r w:rsidRPr="00382917">
        <w:t>had</w:t>
      </w:r>
      <w:r w:rsidR="00EE4FC3">
        <w:t xml:space="preserve"> </w:t>
      </w:r>
      <w:r w:rsidRPr="00382917">
        <w:t>been</w:t>
      </w:r>
      <w:r w:rsidR="00EE4FC3">
        <w:t xml:space="preserve"> </w:t>
      </w:r>
      <w:r w:rsidRPr="00382917">
        <w:t>so</w:t>
      </w:r>
      <w:r w:rsidR="00EE4FC3">
        <w:t xml:space="preserve"> </w:t>
      </w:r>
      <w:r w:rsidRPr="00382917">
        <w:t>graciously</w:t>
      </w:r>
      <w:r w:rsidR="00EE4FC3">
        <w:t xml:space="preserve"> </w:t>
      </w:r>
      <w:r w:rsidRPr="00382917">
        <w:t>accorded</w:t>
      </w:r>
      <w:r w:rsidR="00330AF7">
        <w:t>.</w:t>
      </w:r>
      <w:r w:rsidR="00EE4FC3">
        <w:t xml:space="preserve">  </w:t>
      </w:r>
      <w:proofErr w:type="gramStart"/>
      <w:r w:rsidRPr="00382917">
        <w:t>She</w:t>
      </w:r>
      <w:r w:rsidR="00EE4FC3">
        <w:t xml:space="preserve"> </w:t>
      </w:r>
      <w:r w:rsidRPr="00382917">
        <w:t>[perceived]</w:t>
      </w:r>
      <w:r w:rsidR="00EE4FC3">
        <w:t xml:space="preserve"> </w:t>
      </w:r>
      <w:r w:rsidRPr="00382917">
        <w:t>through</w:t>
      </w:r>
      <w:r w:rsidR="00EE4FC3">
        <w:t xml:space="preserve"> </w:t>
      </w:r>
      <w:r w:rsidRPr="00382917">
        <w:t>her</w:t>
      </w:r>
      <w:r w:rsidR="00EE4FC3">
        <w:t xml:space="preserve"> </w:t>
      </w:r>
      <w:r w:rsidRPr="00382917">
        <w:t>own</w:t>
      </w:r>
      <w:r w:rsidR="00EE4FC3">
        <w:t xml:space="preserve"> </w:t>
      </w:r>
      <w:r w:rsidRPr="00382917">
        <w:t>intuitive</w:t>
      </w:r>
      <w:r w:rsidR="00EE4FC3">
        <w:t xml:space="preserve"> </w:t>
      </w:r>
      <w:r w:rsidRPr="00382917">
        <w:t>knowledge</w:t>
      </w:r>
      <w:r w:rsidR="00EE4FC3">
        <w:t xml:space="preserve"> </w:t>
      </w:r>
      <w:r w:rsidRPr="00382917">
        <w:t>the</w:t>
      </w:r>
      <w:r w:rsidR="00EE4FC3">
        <w:t xml:space="preserve"> </w:t>
      </w:r>
      <w:r w:rsidRPr="00382917">
        <w:t>future</w:t>
      </w:r>
      <w:r w:rsidR="00EE4FC3">
        <w:t xml:space="preserve"> </w:t>
      </w:r>
      <w:r w:rsidRPr="00382917">
        <w:t>glory</w:t>
      </w:r>
      <w:r w:rsidR="00EE4FC3">
        <w:t xml:space="preserve"> </w:t>
      </w:r>
      <w:r w:rsidRPr="00382917">
        <w:t>of</w:t>
      </w:r>
      <w:r w:rsidR="00EE4FC3">
        <w:t xml:space="preserve"> </w:t>
      </w:r>
      <w:r w:rsidRPr="00382917">
        <w:t>Bahá</w:t>
      </w:r>
      <w:r w:rsidR="009C713D" w:rsidRPr="00382917">
        <w:t>’</w:t>
      </w:r>
      <w:r w:rsidRPr="00382917">
        <w:t>u</w:t>
      </w:r>
      <w:r w:rsidR="009C713D" w:rsidRPr="00382917">
        <w:t>’</w:t>
      </w:r>
      <w:r w:rsidRPr="00382917">
        <w:t>lláh.</w:t>
      </w:r>
      <w:r w:rsidR="009C713D" w:rsidRPr="00382917">
        <w:t>”</w:t>
      </w:r>
      <w:proofErr w:type="gramEnd"/>
    </w:p>
    <w:p w:rsidR="001D2FA7" w:rsidRPr="00382917" w:rsidRDefault="009C713D" w:rsidP="007B319A">
      <w:pPr>
        <w:pStyle w:val="Text"/>
      </w:pPr>
      <w:r w:rsidRPr="00382917">
        <w:t>“</w:t>
      </w:r>
      <w:r w:rsidR="001D2FA7" w:rsidRPr="00382917">
        <w:t>I</w:t>
      </w:r>
      <w:r w:rsidR="00EE4FC3">
        <w:t xml:space="preserve"> </w:t>
      </w:r>
      <w:r w:rsidR="001D2FA7" w:rsidRPr="00382917">
        <w:t>have</w:t>
      </w:r>
      <w:r w:rsidR="00EE4FC3">
        <w:t xml:space="preserve"> </w:t>
      </w:r>
      <w:r w:rsidR="001D2FA7" w:rsidRPr="00382917">
        <w:t>myself</w:t>
      </w:r>
      <w:r w:rsidR="00EE4FC3">
        <w:t xml:space="preserve"> </w:t>
      </w:r>
      <w:r w:rsidR="001D2FA7" w:rsidRPr="00382917">
        <w:t>been</w:t>
      </w:r>
      <w:r w:rsidR="00EE4FC3">
        <w:t xml:space="preserve"> </w:t>
      </w:r>
      <w:r w:rsidR="001D2FA7" w:rsidRPr="00382917">
        <w:t>shown,</w:t>
      </w:r>
      <w:r w:rsidRPr="00382917">
        <w:t>”</w:t>
      </w:r>
      <w:r w:rsidR="00EE4FC3">
        <w:t xml:space="preserve"> </w:t>
      </w:r>
      <w:r w:rsidR="001D2FA7" w:rsidRPr="00382917">
        <w:t>Nabíl</w:t>
      </w:r>
      <w:r w:rsidR="00EE4FC3">
        <w:t xml:space="preserve"> </w:t>
      </w:r>
      <w:r w:rsidR="001D2FA7" w:rsidRPr="00382917">
        <w:t>affirms,</w:t>
      </w:r>
      <w:r w:rsidR="00EE4FC3">
        <w:t xml:space="preserve"> </w:t>
      </w:r>
      <w:r w:rsidRPr="00382917">
        <w:t>“</w:t>
      </w:r>
      <w:r w:rsidR="001D2FA7" w:rsidRPr="00382917">
        <w:t>the</w:t>
      </w:r>
      <w:r w:rsidR="00EE4FC3">
        <w:t xml:space="preserve"> </w:t>
      </w:r>
      <w:r w:rsidR="001D2FA7" w:rsidRPr="00382917">
        <w:t>verses</w:t>
      </w:r>
      <w:r w:rsidR="00EE4FC3">
        <w:t xml:space="preserve"> </w:t>
      </w:r>
      <w:r w:rsidR="001D2FA7" w:rsidRPr="00382917">
        <w:t>which</w:t>
      </w:r>
      <w:r w:rsidR="00EE4FC3">
        <w:t xml:space="preserve"> </w:t>
      </w:r>
      <w:r w:rsidR="001D2FA7" w:rsidRPr="00382917">
        <w:t>she,</w:t>
      </w:r>
      <w:r w:rsidR="00EE4FC3">
        <w:t xml:space="preserve"> </w:t>
      </w:r>
      <w:r w:rsidR="001D2FA7" w:rsidRPr="00382917">
        <w:t>in</w:t>
      </w:r>
      <w:r w:rsidR="00EE4FC3">
        <w:t xml:space="preserve"> </w:t>
      </w:r>
      <w:r w:rsidR="001D2FA7" w:rsidRPr="00382917">
        <w:t>her</w:t>
      </w:r>
      <w:r w:rsidR="00EE4FC3">
        <w:t xml:space="preserve"> </w:t>
      </w:r>
      <w:r w:rsidR="001D2FA7" w:rsidRPr="00382917">
        <w:t>own</w:t>
      </w:r>
      <w:r w:rsidR="00EE4FC3">
        <w:t xml:space="preserve"> </w:t>
      </w:r>
      <w:r w:rsidR="001D2FA7" w:rsidRPr="00382917">
        <w:t>handwriting,</w:t>
      </w:r>
      <w:r w:rsidR="00EE4FC3">
        <w:t xml:space="preserve"> </w:t>
      </w:r>
      <w:r w:rsidR="001D2FA7" w:rsidRPr="00382917">
        <w:t>had</w:t>
      </w:r>
      <w:r w:rsidR="00EE4FC3">
        <w:t xml:space="preserve"> </w:t>
      </w:r>
      <w:r w:rsidR="001D2FA7" w:rsidRPr="00382917">
        <w:t>penned,</w:t>
      </w:r>
      <w:r w:rsidR="00EE4FC3">
        <w:t xml:space="preserve"> </w:t>
      </w:r>
      <w:r w:rsidR="001D2FA7" w:rsidRPr="00382917">
        <w:t>every</w:t>
      </w:r>
      <w:r w:rsidR="00EE4FC3">
        <w:t xml:space="preserve"> </w:t>
      </w:r>
      <w:r w:rsidR="001D2FA7" w:rsidRPr="00382917">
        <w:t>letter</w:t>
      </w:r>
      <w:r w:rsidR="00EE4FC3">
        <w:t xml:space="preserve"> </w:t>
      </w:r>
      <w:r w:rsidR="001D2FA7" w:rsidRPr="00382917">
        <w:t>of</w:t>
      </w:r>
      <w:r w:rsidR="00EE4FC3">
        <w:t xml:space="preserve"> </w:t>
      </w:r>
      <w:r w:rsidR="001D2FA7" w:rsidRPr="00382917">
        <w:t>which</w:t>
      </w:r>
      <w:r w:rsidR="00EE4FC3">
        <w:t xml:space="preserve"> </w:t>
      </w:r>
      <w:r w:rsidR="001D2FA7" w:rsidRPr="00382917">
        <w:t>bore</w:t>
      </w:r>
      <w:r w:rsidR="00EE4FC3">
        <w:t xml:space="preserve"> </w:t>
      </w:r>
      <w:r w:rsidR="001D2FA7" w:rsidRPr="00382917">
        <w:t>eloquent</w:t>
      </w:r>
      <w:r w:rsidR="00EE4FC3">
        <w:t xml:space="preserve"> </w:t>
      </w:r>
      <w:r w:rsidR="001D2FA7" w:rsidRPr="00382917">
        <w:t>testimony</w:t>
      </w:r>
      <w:r w:rsidR="00EE4FC3">
        <w:t xml:space="preserve"> </w:t>
      </w:r>
      <w:r w:rsidR="001D2FA7" w:rsidRPr="00382917">
        <w:t>to</w:t>
      </w:r>
      <w:r w:rsidR="00EE4FC3">
        <w:t xml:space="preserve"> </w:t>
      </w:r>
      <w:r w:rsidR="001D2FA7" w:rsidRPr="00382917">
        <w:t>her</w:t>
      </w:r>
      <w:r w:rsidR="00EE4FC3">
        <w:t xml:space="preserve"> </w:t>
      </w:r>
      <w:r w:rsidR="001D2FA7" w:rsidRPr="00382917">
        <w:t>faith</w:t>
      </w:r>
      <w:r w:rsidR="00EE4FC3">
        <w:t xml:space="preserve"> </w:t>
      </w:r>
      <w:r w:rsidR="001D2FA7" w:rsidRPr="00382917">
        <w:t>in</w:t>
      </w:r>
      <w:r w:rsidR="00EE4FC3">
        <w:t xml:space="preserve"> </w:t>
      </w:r>
      <w:r w:rsidR="001D2FA7" w:rsidRPr="00382917">
        <w:t>the</w:t>
      </w:r>
      <w:r w:rsidR="00EE4FC3">
        <w:t xml:space="preserve"> </w:t>
      </w:r>
      <w:r w:rsidR="001D2FA7" w:rsidRPr="00382917">
        <w:t>exalted</w:t>
      </w:r>
      <w:r w:rsidR="00EE4FC3">
        <w:t xml:space="preserve"> </w:t>
      </w:r>
      <w:r w:rsidR="001D2FA7" w:rsidRPr="00382917">
        <w:t>Missions</w:t>
      </w:r>
      <w:r w:rsidR="00EE4FC3">
        <w:t xml:space="preserve"> </w:t>
      </w:r>
      <w:r w:rsidR="001D2FA7" w:rsidRPr="00382917">
        <w:t>of</w:t>
      </w:r>
      <w:r w:rsidR="00EE4FC3">
        <w:t xml:space="preserve"> </w:t>
      </w:r>
      <w:r w:rsidR="001D2FA7" w:rsidRPr="00382917">
        <w:t>both</w:t>
      </w:r>
      <w:r w:rsidR="00EE4FC3">
        <w:t xml:space="preserve"> </w:t>
      </w:r>
      <w:r w:rsidR="001D2FA7" w:rsidRPr="00382917">
        <w:t>the</w:t>
      </w:r>
      <w:r w:rsidR="00EE4FC3">
        <w:t xml:space="preserve"> </w:t>
      </w:r>
      <w:r w:rsidR="001D2FA7" w:rsidRPr="00382917">
        <w:t>Báb</w:t>
      </w:r>
      <w:r w:rsidR="00EE4FC3">
        <w:t xml:space="preserve"> </w:t>
      </w:r>
      <w:r w:rsidR="001D2FA7" w:rsidRPr="00382917">
        <w:t>and</w:t>
      </w:r>
      <w:r w:rsidR="00EE4FC3">
        <w:t xml:space="preserve"> </w:t>
      </w:r>
      <w:r w:rsidR="001D2FA7" w:rsidRPr="00382917">
        <w:t>Bahá</w:t>
      </w:r>
      <w:r w:rsidRPr="00382917">
        <w:t>’</w:t>
      </w:r>
      <w:r w:rsidR="001D2FA7" w:rsidRPr="00382917">
        <w:t>u</w:t>
      </w:r>
      <w:r w:rsidRPr="00382917">
        <w:t>’</w:t>
      </w:r>
      <w:r w:rsidR="001D2FA7" w:rsidRPr="00382917">
        <w:t>lláh.</w:t>
      </w:r>
      <w:r w:rsidRPr="00382917">
        <w:t>”</w:t>
      </w:r>
    </w:p>
    <w:p w:rsidR="001D2FA7" w:rsidRPr="00382917" w:rsidRDefault="001D2FA7" w:rsidP="007B319A">
      <w:pPr>
        <w:pStyle w:val="Text"/>
      </w:pPr>
      <w:r w:rsidRPr="00382917">
        <w:t>Bahá</w:t>
      </w:r>
      <w:r w:rsidR="009C713D" w:rsidRPr="00382917">
        <w:t>’</w:t>
      </w:r>
      <w:r w:rsidRPr="00382917">
        <w:t>u</w:t>
      </w:r>
      <w:r w:rsidR="009C713D" w:rsidRPr="00382917">
        <w:t>’</w:t>
      </w:r>
      <w:r w:rsidRPr="00382917">
        <w:t>lláh</w:t>
      </w:r>
      <w:r w:rsidR="00EE4FC3">
        <w:t xml:space="preserve"> </w:t>
      </w:r>
      <w:r w:rsidRPr="00382917">
        <w:t>rescued</w:t>
      </w:r>
      <w:r w:rsidR="00EE4FC3">
        <w:t xml:space="preserve"> </w:t>
      </w:r>
      <w:r w:rsidRPr="00382917">
        <w:t>Ṭáhirih</w:t>
      </w:r>
      <w:r w:rsidR="00EE4FC3">
        <w:t xml:space="preserve"> </w:t>
      </w:r>
      <w:r w:rsidRPr="00382917">
        <w:t>another</w:t>
      </w:r>
      <w:r w:rsidR="00EE4FC3">
        <w:t xml:space="preserve"> </w:t>
      </w:r>
      <w:r w:rsidRPr="00382917">
        <w:t>time</w:t>
      </w:r>
      <w:r w:rsidR="00EE4FC3">
        <w:t xml:space="preserve"> </w:t>
      </w:r>
      <w:r w:rsidRPr="00382917">
        <w:t>immediately</w:t>
      </w:r>
      <w:r w:rsidR="00EE4FC3">
        <w:t xml:space="preserve"> </w:t>
      </w:r>
      <w:r w:rsidRPr="00382917">
        <w:t>following</w:t>
      </w:r>
      <w:r w:rsidR="00EE4FC3">
        <w:t xml:space="preserve"> </w:t>
      </w:r>
      <w:r w:rsidRPr="00382917">
        <w:t>the</w:t>
      </w:r>
      <w:r w:rsidR="00EE4FC3">
        <w:t xml:space="preserve"> </w:t>
      </w:r>
      <w:r w:rsidRPr="00382917">
        <w:t>conference</w:t>
      </w:r>
      <w:r w:rsidR="00EE4FC3">
        <w:t xml:space="preserve"> </w:t>
      </w:r>
      <w:r w:rsidRPr="00382917">
        <w:t>of</w:t>
      </w:r>
      <w:r w:rsidR="00EE4FC3">
        <w:t xml:space="preserve"> </w:t>
      </w:r>
      <w:r w:rsidR="00330AF7" w:rsidRPr="00382917">
        <w:t>Bada</w:t>
      </w:r>
      <w:r w:rsidR="00330AF7" w:rsidRPr="00330AF7">
        <w:rPr>
          <w:u w:val="single"/>
        </w:rPr>
        <w:t>sh</w:t>
      </w:r>
      <w:r w:rsidR="00330AF7" w:rsidRPr="00382917">
        <w:t>t</w:t>
      </w:r>
      <w:r w:rsidR="00330AF7">
        <w:t>.</w:t>
      </w:r>
      <w:r w:rsidR="00EE4FC3">
        <w:t xml:space="preserve">  </w:t>
      </w:r>
      <w:r w:rsidRPr="00382917">
        <w:t>On</w:t>
      </w:r>
      <w:r w:rsidR="00EE4FC3">
        <w:t xml:space="preserve"> </w:t>
      </w:r>
      <w:r w:rsidRPr="00382917">
        <w:t>the</w:t>
      </w:r>
      <w:r w:rsidR="00EE4FC3">
        <w:t xml:space="preserve"> </w:t>
      </w:r>
      <w:r w:rsidRPr="00382917">
        <w:t>way</w:t>
      </w:r>
      <w:r w:rsidR="00EE4FC3">
        <w:t xml:space="preserve"> </w:t>
      </w:r>
      <w:r w:rsidRPr="00382917">
        <w:t>to</w:t>
      </w:r>
      <w:r w:rsidR="00EE4FC3">
        <w:t xml:space="preserve"> </w:t>
      </w:r>
      <w:r w:rsidRPr="00382917">
        <w:t>their</w:t>
      </w:r>
      <w:r w:rsidR="00EE4FC3">
        <w:t xml:space="preserve"> </w:t>
      </w:r>
      <w:r w:rsidRPr="00382917">
        <w:t>homes,</w:t>
      </w:r>
      <w:r w:rsidR="00EE4FC3">
        <w:t xml:space="preserve"> </w:t>
      </w:r>
      <w:r w:rsidRPr="00382917">
        <w:t>the</w:t>
      </w:r>
      <w:r w:rsidR="00EE4FC3">
        <w:t xml:space="preserve"> </w:t>
      </w:r>
      <w:r w:rsidRPr="00382917">
        <w:t>party</w:t>
      </w:r>
      <w:r w:rsidR="00EE4FC3">
        <w:t xml:space="preserve"> </w:t>
      </w:r>
      <w:r w:rsidRPr="00382917">
        <w:t>had</w:t>
      </w:r>
      <w:r w:rsidR="00EE4FC3">
        <w:t xml:space="preserve"> </w:t>
      </w:r>
      <w:r w:rsidRPr="00382917">
        <w:t>assembled</w:t>
      </w:r>
      <w:r w:rsidR="00EE4FC3">
        <w:t xml:space="preserve"> </w:t>
      </w:r>
      <w:r w:rsidRPr="00382917">
        <w:t>in</w:t>
      </w:r>
      <w:r w:rsidR="00EE4FC3">
        <w:t xml:space="preserve"> </w:t>
      </w:r>
      <w:r w:rsidRPr="00382917">
        <w:t>the</w:t>
      </w:r>
      <w:r w:rsidR="00EE4FC3">
        <w:t xml:space="preserve"> </w:t>
      </w:r>
      <w:r w:rsidRPr="00382917">
        <w:t>village</w:t>
      </w:r>
      <w:r w:rsidR="00EE4FC3">
        <w:t xml:space="preserve"> </w:t>
      </w:r>
      <w:r w:rsidRPr="00382917">
        <w:t>of</w:t>
      </w:r>
      <w:r w:rsidR="00EE4FC3">
        <w:t xml:space="preserve"> </w:t>
      </w:r>
      <w:r w:rsidRPr="00382917">
        <w:t>Níyálá</w:t>
      </w:r>
      <w:r w:rsidR="00330AF7">
        <w:t>.</w:t>
      </w:r>
      <w:r w:rsidR="00EE4FC3">
        <w:t xml:space="preserve">  </w:t>
      </w:r>
      <w:r w:rsidRPr="00382917">
        <w:t>They</w:t>
      </w:r>
      <w:r w:rsidR="00EE4FC3">
        <w:t xml:space="preserve"> </w:t>
      </w:r>
      <w:r w:rsidRPr="00382917">
        <w:t>were</w:t>
      </w:r>
      <w:r w:rsidR="00EE4FC3">
        <w:t xml:space="preserve"> </w:t>
      </w:r>
      <w:r w:rsidRPr="00382917">
        <w:t>all</w:t>
      </w:r>
      <w:r w:rsidR="00EE4FC3">
        <w:t xml:space="preserve"> </w:t>
      </w:r>
      <w:r w:rsidRPr="00382917">
        <w:t>resting</w:t>
      </w:r>
      <w:r w:rsidR="00EE4FC3">
        <w:t xml:space="preserve"> </w:t>
      </w:r>
      <w:r w:rsidRPr="00382917">
        <w:t>at</w:t>
      </w:r>
      <w:r w:rsidR="00EE4FC3">
        <w:t xml:space="preserve"> </w:t>
      </w:r>
      <w:r w:rsidRPr="00382917">
        <w:t>the</w:t>
      </w:r>
      <w:r w:rsidR="00EE4FC3">
        <w:t xml:space="preserve"> </w:t>
      </w:r>
      <w:r w:rsidRPr="00382917">
        <w:t>foot</w:t>
      </w:r>
      <w:r w:rsidR="00EE4FC3">
        <w:t xml:space="preserve"> </w:t>
      </w:r>
      <w:r w:rsidRPr="00382917">
        <w:t>of</w:t>
      </w:r>
      <w:r w:rsidR="00EE4FC3">
        <w:t xml:space="preserve"> </w:t>
      </w:r>
      <w:r w:rsidRPr="00382917">
        <w:t>a</w:t>
      </w:r>
      <w:r w:rsidR="00EE4FC3">
        <w:t xml:space="preserve"> </w:t>
      </w:r>
      <w:r w:rsidRPr="00382917">
        <w:t>mountain,</w:t>
      </w:r>
      <w:r w:rsidR="00EE4FC3">
        <w:t xml:space="preserve"> </w:t>
      </w:r>
      <w:r w:rsidRPr="00382917">
        <w:t>when</w:t>
      </w:r>
      <w:r w:rsidR="00EE4FC3">
        <w:t xml:space="preserve"> </w:t>
      </w:r>
      <w:r w:rsidRPr="00382917">
        <w:t>suddenly</w:t>
      </w:r>
      <w:r w:rsidR="00EE4FC3">
        <w:t xml:space="preserve"> </w:t>
      </w:r>
      <w:r w:rsidRPr="00382917">
        <w:t>at</w:t>
      </w:r>
      <w:r w:rsidR="00EE4FC3">
        <w:t xml:space="preserve"> </w:t>
      </w:r>
      <w:r w:rsidRPr="00382917">
        <w:t>the</w:t>
      </w:r>
      <w:r w:rsidR="00EE4FC3">
        <w:t xml:space="preserve"> </w:t>
      </w:r>
      <w:r w:rsidRPr="00382917">
        <w:t>hour</w:t>
      </w:r>
      <w:r w:rsidR="00EE4FC3">
        <w:t xml:space="preserve"> </w:t>
      </w:r>
      <w:r w:rsidRPr="00382917">
        <w:t>of</w:t>
      </w:r>
      <w:r w:rsidR="00EE4FC3">
        <w:t xml:space="preserve"> </w:t>
      </w:r>
      <w:proofErr w:type="gramStart"/>
      <w:r w:rsidRPr="00382917">
        <w:t>dawn,</w:t>
      </w:r>
      <w:proofErr w:type="gramEnd"/>
      <w:r w:rsidR="00EE4FC3">
        <w:t xml:space="preserve"> </w:t>
      </w:r>
      <w:r w:rsidRPr="00382917">
        <w:t>they</w:t>
      </w:r>
      <w:r w:rsidR="00EE4FC3">
        <w:t xml:space="preserve"> </w:t>
      </w:r>
      <w:r w:rsidRPr="00382917">
        <w:t>were</w:t>
      </w:r>
      <w:r w:rsidR="00EE4FC3">
        <w:t xml:space="preserve"> </w:t>
      </w:r>
      <w:r w:rsidRPr="00382917">
        <w:t>awakened</w:t>
      </w:r>
      <w:r w:rsidR="00EE4FC3">
        <w:t xml:space="preserve"> </w:t>
      </w:r>
      <w:r w:rsidRPr="00382917">
        <w:t>by</w:t>
      </w:r>
      <w:r w:rsidR="00EE4FC3">
        <w:t xml:space="preserve"> </w:t>
      </w:r>
      <w:r w:rsidRPr="00382917">
        <w:t>a</w:t>
      </w:r>
      <w:r w:rsidR="00EE4FC3">
        <w:t xml:space="preserve"> </w:t>
      </w:r>
      <w:r w:rsidRPr="00382917">
        <w:t>shower</w:t>
      </w:r>
      <w:r w:rsidR="00EE4FC3">
        <w:t xml:space="preserve"> </w:t>
      </w:r>
      <w:r w:rsidRPr="00382917">
        <w:t>of</w:t>
      </w:r>
      <w:r w:rsidR="00EE4FC3">
        <w:t xml:space="preserve"> </w:t>
      </w:r>
      <w:r w:rsidRPr="00382917">
        <w:t>stones</w:t>
      </w:r>
      <w:r w:rsidR="00330AF7">
        <w:t>.</w:t>
      </w:r>
      <w:r w:rsidR="00EE4FC3">
        <w:t xml:space="preserve">  </w:t>
      </w:r>
      <w:r w:rsidRPr="00382917">
        <w:t>The</w:t>
      </w:r>
      <w:r w:rsidR="00EE4FC3">
        <w:t xml:space="preserve"> </w:t>
      </w:r>
      <w:r w:rsidRPr="00382917">
        <w:t>people</w:t>
      </w:r>
      <w:r w:rsidR="00EE4FC3">
        <w:t xml:space="preserve"> </w:t>
      </w:r>
      <w:r w:rsidRPr="00382917">
        <w:t>of</w:t>
      </w:r>
      <w:r w:rsidR="00EE4FC3">
        <w:t xml:space="preserve"> </w:t>
      </w:r>
      <w:r w:rsidRPr="00382917">
        <w:t>the</w:t>
      </w:r>
      <w:r w:rsidR="00EE4FC3">
        <w:t xml:space="preserve"> </w:t>
      </w:r>
      <w:r w:rsidRPr="00382917">
        <w:t>village</w:t>
      </w:r>
      <w:r w:rsidR="00EE4FC3">
        <w:t xml:space="preserve"> </w:t>
      </w:r>
      <w:r w:rsidRPr="00382917">
        <w:t>were</w:t>
      </w:r>
      <w:r w:rsidR="00EE4FC3">
        <w:t xml:space="preserve"> </w:t>
      </w:r>
      <w:r w:rsidRPr="00382917">
        <w:t>hurling</w:t>
      </w:r>
      <w:r w:rsidR="00EE4FC3">
        <w:t xml:space="preserve"> </w:t>
      </w:r>
      <w:r w:rsidRPr="00382917">
        <w:t>rocks</w:t>
      </w:r>
      <w:r w:rsidR="00EE4FC3">
        <w:t xml:space="preserve"> </w:t>
      </w:r>
      <w:r w:rsidRPr="00382917">
        <w:t>at</w:t>
      </w:r>
      <w:r w:rsidR="00EE4FC3">
        <w:t xml:space="preserve"> </w:t>
      </w:r>
      <w:r w:rsidRPr="00382917">
        <w:t>them</w:t>
      </w:r>
      <w:r w:rsidR="00EE4FC3">
        <w:t xml:space="preserve"> </w:t>
      </w:r>
      <w:r w:rsidRPr="00382917">
        <w:t>from</w:t>
      </w:r>
      <w:r w:rsidR="00EE4FC3">
        <w:t xml:space="preserve"> </w:t>
      </w:r>
      <w:r w:rsidRPr="00382917">
        <w:t>the</w:t>
      </w:r>
      <w:r w:rsidR="00EE4FC3">
        <w:t xml:space="preserve"> </w:t>
      </w:r>
      <w:r w:rsidRPr="00382917">
        <w:t>top</w:t>
      </w:r>
      <w:r w:rsidR="00EE4FC3">
        <w:t xml:space="preserve"> </w:t>
      </w:r>
      <w:r w:rsidRPr="00382917">
        <w:t>of</w:t>
      </w:r>
      <w:r w:rsidR="00EE4FC3">
        <w:t xml:space="preserve"> </w:t>
      </w:r>
      <w:r w:rsidRPr="00382917">
        <w:t>the</w:t>
      </w:r>
      <w:r w:rsidR="00EE4FC3">
        <w:t xml:space="preserve"> </w:t>
      </w:r>
      <w:r w:rsidRPr="00382917">
        <w:t>mountain</w:t>
      </w:r>
      <w:r w:rsidR="00330AF7">
        <w:t>.</w:t>
      </w:r>
      <w:r w:rsidR="00EE4FC3">
        <w:t xml:space="preserve">  </w:t>
      </w:r>
      <w:r w:rsidRPr="00382917">
        <w:t>The</w:t>
      </w:r>
      <w:r w:rsidR="00EE4FC3">
        <w:t xml:space="preserve"> </w:t>
      </w:r>
      <w:r w:rsidRPr="00382917">
        <w:t>attack</w:t>
      </w:r>
      <w:r w:rsidR="00EE4FC3">
        <w:t xml:space="preserve"> </w:t>
      </w:r>
      <w:r w:rsidRPr="00382917">
        <w:t>was</w:t>
      </w:r>
      <w:r w:rsidR="00EE4FC3">
        <w:t xml:space="preserve"> </w:t>
      </w:r>
      <w:r w:rsidRPr="00382917">
        <w:t>unexpected</w:t>
      </w:r>
      <w:r w:rsidR="00EE4FC3">
        <w:t xml:space="preserve"> </w:t>
      </w:r>
      <w:r w:rsidRPr="00382917">
        <w:t>and</w:t>
      </w:r>
      <w:r w:rsidR="00EE4FC3">
        <w:t xml:space="preserve"> </w:t>
      </w:r>
      <w:r w:rsidRPr="00382917">
        <w:t>fierce</w:t>
      </w:r>
      <w:r w:rsidR="00330AF7">
        <w:t>.</w:t>
      </w:r>
      <w:r w:rsidR="00EE4FC3">
        <w:t xml:space="preserve">  </w:t>
      </w:r>
      <w:r w:rsidRPr="00382917">
        <w:t>The</w:t>
      </w:r>
      <w:r w:rsidR="00EE4FC3">
        <w:t xml:space="preserve"> </w:t>
      </w:r>
      <w:r w:rsidRPr="00382917">
        <w:t>cries</w:t>
      </w:r>
      <w:r w:rsidR="00EE4FC3">
        <w:t xml:space="preserve"> </w:t>
      </w:r>
      <w:r w:rsidRPr="00382917">
        <w:t>of</w:t>
      </w:r>
      <w:r w:rsidR="00EE4FC3">
        <w:t xml:space="preserve"> </w:t>
      </w:r>
      <w:r w:rsidRPr="00382917">
        <w:t>the</w:t>
      </w:r>
      <w:r w:rsidR="00EE4FC3">
        <w:t xml:space="preserve"> </w:t>
      </w:r>
      <w:r w:rsidRPr="00382917">
        <w:t>mob,</w:t>
      </w:r>
      <w:r w:rsidR="00EE4FC3">
        <w:t xml:space="preserve"> </w:t>
      </w:r>
      <w:r w:rsidRPr="00382917">
        <w:t>the</w:t>
      </w:r>
      <w:r w:rsidR="00EE4FC3">
        <w:t xml:space="preserve"> </w:t>
      </w:r>
      <w:r w:rsidRPr="00382917">
        <w:t>sound</w:t>
      </w:r>
      <w:r w:rsidR="00EE4FC3">
        <w:t xml:space="preserve"> </w:t>
      </w:r>
      <w:r w:rsidRPr="00382917">
        <w:t>of</w:t>
      </w:r>
      <w:r w:rsidR="00EE4FC3">
        <w:t xml:space="preserve"> </w:t>
      </w:r>
      <w:r w:rsidRPr="00382917">
        <w:t>the</w:t>
      </w:r>
      <w:r w:rsidR="00EE4FC3">
        <w:t xml:space="preserve"> </w:t>
      </w:r>
      <w:r w:rsidRPr="00382917">
        <w:t>rolling</w:t>
      </w:r>
      <w:r w:rsidR="00EE4FC3">
        <w:t xml:space="preserve"> </w:t>
      </w:r>
      <w:r w:rsidRPr="00382917">
        <w:t>rocks</w:t>
      </w:r>
      <w:r w:rsidR="00EE4FC3">
        <w:t xml:space="preserve"> </w:t>
      </w:r>
      <w:r w:rsidRPr="00382917">
        <w:t>and</w:t>
      </w:r>
      <w:r w:rsidR="00EE4FC3">
        <w:t xml:space="preserve"> </w:t>
      </w:r>
      <w:r w:rsidRPr="00382917">
        <w:t>showering</w:t>
      </w:r>
      <w:r w:rsidR="00EE4FC3">
        <w:t xml:space="preserve"> </w:t>
      </w:r>
      <w:r w:rsidRPr="00382917">
        <w:t>stones,</w:t>
      </w:r>
      <w:r w:rsidR="00EE4FC3">
        <w:t xml:space="preserve"> </w:t>
      </w:r>
      <w:r w:rsidRPr="00382917">
        <w:t>alarmed</w:t>
      </w:r>
      <w:r w:rsidR="00EE4FC3">
        <w:t xml:space="preserve"> </w:t>
      </w:r>
      <w:r w:rsidRPr="00382917">
        <w:t>the</w:t>
      </w:r>
      <w:r w:rsidR="00EE4FC3">
        <w:t xml:space="preserve"> </w:t>
      </w:r>
      <w:r w:rsidRPr="00382917">
        <w:t>friends</w:t>
      </w:r>
      <w:r w:rsidR="00EE4FC3">
        <w:t xml:space="preserve"> </w:t>
      </w:r>
      <w:r w:rsidRPr="00382917">
        <w:t>and</w:t>
      </w:r>
      <w:r w:rsidR="00EE4FC3">
        <w:t xml:space="preserve"> </w:t>
      </w:r>
      <w:r w:rsidRPr="00382917">
        <w:t>they</w:t>
      </w:r>
      <w:r w:rsidR="00EE4FC3">
        <w:t xml:space="preserve"> </w:t>
      </w:r>
      <w:r w:rsidRPr="00382917">
        <w:t>fled</w:t>
      </w:r>
      <w:r w:rsidR="00EE4FC3">
        <w:t xml:space="preserve"> </w:t>
      </w:r>
      <w:r w:rsidRPr="00382917">
        <w:t>for</w:t>
      </w:r>
      <w:r w:rsidR="00EE4FC3">
        <w:t xml:space="preserve"> </w:t>
      </w:r>
      <w:r w:rsidRPr="00382917">
        <w:t>safety.</w:t>
      </w:r>
    </w:p>
    <w:p w:rsidR="001D2FA7" w:rsidRPr="00382917" w:rsidRDefault="001D2FA7" w:rsidP="007B319A">
      <w:pPr>
        <w:pStyle w:val="Text"/>
      </w:pPr>
      <w:r w:rsidRPr="00382917">
        <w:t>Bahá</w:t>
      </w:r>
      <w:r w:rsidR="009C713D" w:rsidRPr="00382917">
        <w:t>’</w:t>
      </w:r>
      <w:r w:rsidRPr="00382917">
        <w:t>u</w:t>
      </w:r>
      <w:r w:rsidR="009C713D" w:rsidRPr="00382917">
        <w:t>’</w:t>
      </w:r>
      <w:r w:rsidRPr="00382917">
        <w:t>lláh</w:t>
      </w:r>
      <w:r w:rsidR="00EE4FC3">
        <w:t xml:space="preserve"> </w:t>
      </w:r>
      <w:r w:rsidRPr="00382917">
        <w:t>found</w:t>
      </w:r>
      <w:r w:rsidR="00EE4FC3">
        <w:t xml:space="preserve"> </w:t>
      </w:r>
      <w:r w:rsidRPr="00382917">
        <w:t>Ṭáhirih</w:t>
      </w:r>
      <w:r w:rsidR="00EE4FC3">
        <w:t xml:space="preserve"> </w:t>
      </w:r>
      <w:r w:rsidRPr="00382917">
        <w:t>in</w:t>
      </w:r>
      <w:r w:rsidR="00EE4FC3">
        <w:t xml:space="preserve"> </w:t>
      </w:r>
      <w:r w:rsidRPr="00382917">
        <w:t>grave</w:t>
      </w:r>
      <w:r w:rsidR="00EE4FC3">
        <w:t xml:space="preserve"> </w:t>
      </w:r>
      <w:r w:rsidRPr="00382917">
        <w:t>danger</w:t>
      </w:r>
      <w:r w:rsidR="00330AF7">
        <w:t>.</w:t>
      </w:r>
      <w:r w:rsidR="00EE4FC3">
        <w:t xml:space="preserve">  </w:t>
      </w:r>
      <w:r w:rsidRPr="00382917">
        <w:t>She</w:t>
      </w:r>
      <w:r w:rsidR="00EE4FC3">
        <w:t xml:space="preserve"> </w:t>
      </w:r>
      <w:r w:rsidRPr="00382917">
        <w:t>and</w:t>
      </w:r>
      <w:r w:rsidR="00EE4FC3">
        <w:t xml:space="preserve"> </w:t>
      </w:r>
      <w:r w:rsidRPr="00382917">
        <w:t>one</w:t>
      </w:r>
      <w:r w:rsidR="00EE4FC3">
        <w:t xml:space="preserve"> </w:t>
      </w:r>
      <w:r w:rsidRPr="00382917">
        <w:t>believer</w:t>
      </w:r>
      <w:r w:rsidR="00EE4FC3">
        <w:t xml:space="preserve"> </w:t>
      </w:r>
      <w:r w:rsidRPr="00382917">
        <w:t>from</w:t>
      </w:r>
      <w:r w:rsidR="00EE4FC3">
        <w:t xml:space="preserve"> </w:t>
      </w:r>
      <w:r w:rsidR="008A073E" w:rsidRPr="00382917">
        <w:rPr>
          <w:u w:val="single"/>
        </w:rPr>
        <w:t>Sh</w:t>
      </w:r>
      <w:r w:rsidR="008A073E" w:rsidRPr="00382917">
        <w:t>íráz</w:t>
      </w:r>
      <w:r w:rsidR="00EE4FC3">
        <w:t xml:space="preserve"> </w:t>
      </w:r>
      <w:r w:rsidRPr="00382917">
        <w:t>had</w:t>
      </w:r>
      <w:r w:rsidR="00EE4FC3">
        <w:t xml:space="preserve"> </w:t>
      </w:r>
      <w:r w:rsidRPr="00382917">
        <w:t>been</w:t>
      </w:r>
      <w:r w:rsidR="00EE4FC3">
        <w:t xml:space="preserve"> </w:t>
      </w:r>
      <w:r w:rsidRPr="00382917">
        <w:t>unable</w:t>
      </w:r>
      <w:r w:rsidR="00EE4FC3">
        <w:t xml:space="preserve"> </w:t>
      </w:r>
      <w:r w:rsidRPr="00382917">
        <w:t>to</w:t>
      </w:r>
      <w:r w:rsidR="00EE4FC3">
        <w:t xml:space="preserve"> </w:t>
      </w:r>
      <w:r w:rsidRPr="00382917">
        <w:t>escape</w:t>
      </w:r>
      <w:r w:rsidR="00330AF7">
        <w:t>.</w:t>
      </w:r>
      <w:r w:rsidR="00EE4FC3">
        <w:t xml:space="preserve">  </w:t>
      </w:r>
      <w:r w:rsidRPr="00382917">
        <w:t>The</w:t>
      </w:r>
      <w:r w:rsidR="00EE4FC3">
        <w:t xml:space="preserve"> </w:t>
      </w:r>
      <w:r w:rsidRPr="00382917">
        <w:t>enemy</w:t>
      </w:r>
      <w:r w:rsidR="00EE4FC3">
        <w:t xml:space="preserve"> </w:t>
      </w:r>
      <w:r w:rsidRPr="00382917">
        <w:t>had</w:t>
      </w:r>
      <w:r w:rsidR="00EE4FC3">
        <w:t xml:space="preserve"> </w:t>
      </w:r>
      <w:r w:rsidRPr="00382917">
        <w:t>demolished</w:t>
      </w:r>
      <w:r w:rsidR="00EE4FC3">
        <w:t xml:space="preserve"> </w:t>
      </w:r>
      <w:r w:rsidRPr="00382917">
        <w:t>the</w:t>
      </w:r>
      <w:r w:rsidR="00EE4FC3">
        <w:t xml:space="preserve"> </w:t>
      </w:r>
      <w:r w:rsidRPr="00382917">
        <w:t>camp</w:t>
      </w:r>
      <w:r w:rsidR="00EE4FC3">
        <w:t xml:space="preserve"> </w:t>
      </w:r>
      <w:r w:rsidRPr="00382917">
        <w:t>and</w:t>
      </w:r>
      <w:r w:rsidR="00EE4FC3">
        <w:t xml:space="preserve"> </w:t>
      </w:r>
      <w:r w:rsidRPr="00382917">
        <w:t>was</w:t>
      </w:r>
      <w:r w:rsidR="00EE4FC3">
        <w:t xml:space="preserve"> </w:t>
      </w:r>
      <w:r w:rsidRPr="00382917">
        <w:t>plundering</w:t>
      </w:r>
      <w:r w:rsidR="00EE4FC3">
        <w:t xml:space="preserve"> </w:t>
      </w:r>
      <w:r w:rsidRPr="00382917">
        <w:t>the</w:t>
      </w:r>
      <w:r w:rsidR="00EE4FC3">
        <w:t xml:space="preserve"> </w:t>
      </w:r>
      <w:r w:rsidRPr="00382917">
        <w:t>property</w:t>
      </w:r>
      <w:r w:rsidR="00330AF7">
        <w:t>.</w:t>
      </w:r>
      <w:r w:rsidR="00EE4FC3">
        <w:t xml:space="preserve">  </w:t>
      </w:r>
      <w:r w:rsidRPr="00382917">
        <w:t>The</w:t>
      </w:r>
      <w:r w:rsidR="00EE4FC3">
        <w:t xml:space="preserve"> </w:t>
      </w:r>
      <w:r w:rsidRPr="00382917">
        <w:t>follower</w:t>
      </w:r>
      <w:r w:rsidR="00EE4FC3">
        <w:t xml:space="preserve"> </w:t>
      </w:r>
      <w:r w:rsidRPr="00382917">
        <w:t>from</w:t>
      </w:r>
      <w:r w:rsidR="00EE4FC3">
        <w:t xml:space="preserve"> </w:t>
      </w:r>
      <w:r w:rsidR="008A073E" w:rsidRPr="00382917">
        <w:rPr>
          <w:u w:val="single"/>
        </w:rPr>
        <w:t>Sh</w:t>
      </w:r>
      <w:r w:rsidR="008A073E" w:rsidRPr="00382917">
        <w:t>íráz</w:t>
      </w:r>
      <w:r w:rsidR="00EE4FC3">
        <w:t xml:space="preserve"> </w:t>
      </w:r>
      <w:r w:rsidRPr="00382917">
        <w:t>was</w:t>
      </w:r>
      <w:r w:rsidR="00EE4FC3">
        <w:t xml:space="preserve"> </w:t>
      </w:r>
      <w:r w:rsidRPr="00382917">
        <w:t>defending</w:t>
      </w:r>
      <w:r w:rsidR="00EE4FC3">
        <w:t xml:space="preserve"> </w:t>
      </w:r>
      <w:r w:rsidRPr="00382917">
        <w:t>what</w:t>
      </w:r>
      <w:r w:rsidR="00EE4FC3">
        <w:t xml:space="preserve"> </w:t>
      </w:r>
      <w:r w:rsidRPr="00382917">
        <w:t>remained</w:t>
      </w:r>
      <w:r w:rsidR="00EE4FC3">
        <w:t xml:space="preserve"> </w:t>
      </w:r>
      <w:r w:rsidRPr="00382917">
        <w:t>of</w:t>
      </w:r>
      <w:r w:rsidR="00EE4FC3">
        <w:t xml:space="preserve"> </w:t>
      </w:r>
      <w:r w:rsidRPr="00382917">
        <w:t>the</w:t>
      </w:r>
      <w:r w:rsidR="00EE4FC3">
        <w:t xml:space="preserve"> </w:t>
      </w:r>
      <w:r w:rsidRPr="00382917">
        <w:t>companion</w:t>
      </w:r>
      <w:r w:rsidR="009C713D" w:rsidRPr="00382917">
        <w:t>’</w:t>
      </w:r>
      <w:r w:rsidRPr="00382917">
        <w:t>s</w:t>
      </w:r>
      <w:r w:rsidR="00EE4FC3">
        <w:t xml:space="preserve"> </w:t>
      </w:r>
      <w:r w:rsidRPr="00382917">
        <w:t>possessions</w:t>
      </w:r>
      <w:r w:rsidR="00330AF7">
        <w:t>.</w:t>
      </w:r>
      <w:r w:rsidR="00EE4FC3">
        <w:t xml:space="preserve">  </w:t>
      </w:r>
      <w:r w:rsidRPr="00382917">
        <w:t>He</w:t>
      </w:r>
      <w:r w:rsidR="00EE4FC3">
        <w:t xml:space="preserve"> </w:t>
      </w:r>
      <w:r w:rsidRPr="00382917">
        <w:t>was</w:t>
      </w:r>
      <w:r w:rsidR="00EE4FC3">
        <w:t xml:space="preserve"> </w:t>
      </w:r>
      <w:r w:rsidRPr="00382917">
        <w:t>already</w:t>
      </w:r>
      <w:r w:rsidR="00EE4FC3">
        <w:t xml:space="preserve"> </w:t>
      </w:r>
      <w:r w:rsidRPr="00382917">
        <w:t>badly</w:t>
      </w:r>
      <w:r w:rsidR="00EE4FC3">
        <w:t xml:space="preserve"> </w:t>
      </w:r>
      <w:r w:rsidRPr="00382917">
        <w:t>wounded.</w:t>
      </w:r>
    </w:p>
    <w:p w:rsidR="001D2FA7" w:rsidRPr="00382917" w:rsidRDefault="001D2FA7" w:rsidP="007B319A">
      <w:pPr>
        <w:pStyle w:val="Text"/>
      </w:pPr>
      <w:r w:rsidRPr="00382917">
        <w:t>Bahá</w:t>
      </w:r>
      <w:r w:rsidR="009C713D" w:rsidRPr="00382917">
        <w:t>’</w:t>
      </w:r>
      <w:r w:rsidRPr="00382917">
        <w:t>u</w:t>
      </w:r>
      <w:r w:rsidR="009C713D" w:rsidRPr="00382917">
        <w:t>’</w:t>
      </w:r>
      <w:r w:rsidRPr="00382917">
        <w:t>lláh</w:t>
      </w:r>
      <w:r w:rsidR="00EE4FC3">
        <w:t xml:space="preserve"> </w:t>
      </w:r>
      <w:r w:rsidRPr="00382917">
        <w:t>walked</w:t>
      </w:r>
      <w:r w:rsidR="00EE4FC3">
        <w:t xml:space="preserve"> </w:t>
      </w:r>
      <w:r w:rsidRPr="00382917">
        <w:t>into</w:t>
      </w:r>
      <w:r w:rsidR="00EE4FC3">
        <w:t xml:space="preserve"> </w:t>
      </w:r>
      <w:r w:rsidRPr="00382917">
        <w:t>the</w:t>
      </w:r>
      <w:r w:rsidR="00EE4FC3">
        <w:t xml:space="preserve"> </w:t>
      </w:r>
      <w:r w:rsidRPr="00382917">
        <w:t>crowd</w:t>
      </w:r>
      <w:r w:rsidR="00EE4FC3">
        <w:t xml:space="preserve"> </w:t>
      </w:r>
      <w:r w:rsidRPr="00382917">
        <w:t>of</w:t>
      </w:r>
      <w:r w:rsidR="00EE4FC3">
        <w:t xml:space="preserve"> </w:t>
      </w:r>
      <w:r w:rsidRPr="00382917">
        <w:t>attackers</w:t>
      </w:r>
      <w:r w:rsidR="00EE4FC3">
        <w:t xml:space="preserve"> </w:t>
      </w:r>
      <w:r w:rsidRPr="00382917">
        <w:t>armed</w:t>
      </w:r>
      <w:r w:rsidR="00EE4FC3">
        <w:t xml:space="preserve"> </w:t>
      </w:r>
      <w:r w:rsidRPr="00382917">
        <w:t>only</w:t>
      </w:r>
      <w:r w:rsidR="00EE4FC3">
        <w:t xml:space="preserve"> </w:t>
      </w:r>
      <w:r w:rsidRPr="00382917">
        <w:t>with</w:t>
      </w:r>
      <w:r w:rsidR="00EE4FC3">
        <w:t xml:space="preserve"> </w:t>
      </w:r>
      <w:r w:rsidRPr="00382917">
        <w:t>the</w:t>
      </w:r>
      <w:r w:rsidR="00EE4FC3">
        <w:t xml:space="preserve"> </w:t>
      </w:r>
      <w:r w:rsidRPr="00382917">
        <w:t>sword</w:t>
      </w:r>
      <w:r w:rsidR="00EE4FC3">
        <w:t xml:space="preserve"> </w:t>
      </w:r>
      <w:r w:rsidRPr="00382917">
        <w:t>of</w:t>
      </w:r>
      <w:r w:rsidR="00EE4FC3">
        <w:t xml:space="preserve"> </w:t>
      </w:r>
      <w:r w:rsidRPr="00382917">
        <w:t>His</w:t>
      </w:r>
      <w:r w:rsidR="00EE4FC3">
        <w:t xml:space="preserve"> </w:t>
      </w:r>
      <w:r w:rsidRPr="00382917">
        <w:t>tongue</w:t>
      </w:r>
      <w:r w:rsidR="00330AF7">
        <w:t>.</w:t>
      </w:r>
      <w:r w:rsidR="00EE4FC3">
        <w:t xml:space="preserve">  </w:t>
      </w:r>
      <w:r w:rsidRPr="00382917">
        <w:t>He</w:t>
      </w:r>
      <w:r w:rsidR="00EE4FC3">
        <w:t xml:space="preserve"> </w:t>
      </w:r>
      <w:r w:rsidRPr="00382917">
        <w:t>convinced</w:t>
      </w:r>
      <w:r w:rsidR="00EE4FC3">
        <w:t xml:space="preserve"> </w:t>
      </w:r>
      <w:r w:rsidRPr="00382917">
        <w:t>them</w:t>
      </w:r>
      <w:r w:rsidR="00EE4FC3">
        <w:t xml:space="preserve"> </w:t>
      </w:r>
      <w:r w:rsidRPr="00382917">
        <w:t>of</w:t>
      </w:r>
      <w:r w:rsidR="00EE4FC3">
        <w:t xml:space="preserve"> </w:t>
      </w:r>
      <w:r w:rsidRPr="00382917">
        <w:t>the</w:t>
      </w:r>
      <w:r w:rsidR="00EE4FC3">
        <w:t xml:space="preserve"> </w:t>
      </w:r>
      <w:r w:rsidRPr="00382917">
        <w:t>cruelty</w:t>
      </w:r>
      <w:r w:rsidR="00EE4FC3">
        <w:t xml:space="preserve"> </w:t>
      </w:r>
      <w:r w:rsidRPr="00382917">
        <w:t>and</w:t>
      </w:r>
      <w:r w:rsidR="00EE4FC3">
        <w:t xml:space="preserve"> </w:t>
      </w:r>
      <w:r w:rsidRPr="00382917">
        <w:t>shamefulness</w:t>
      </w:r>
      <w:r w:rsidR="00EE4FC3">
        <w:t xml:space="preserve"> </w:t>
      </w:r>
      <w:r w:rsidRPr="00382917">
        <w:t>of</w:t>
      </w:r>
      <w:r w:rsidR="00EE4FC3">
        <w:t xml:space="preserve"> </w:t>
      </w:r>
      <w:r w:rsidRPr="00382917">
        <w:t>their</w:t>
      </w:r>
      <w:r w:rsidR="00EE4FC3">
        <w:t xml:space="preserve"> </w:t>
      </w:r>
      <w:proofErr w:type="spellStart"/>
      <w:r w:rsidRPr="00382917">
        <w:t>behavior</w:t>
      </w:r>
      <w:proofErr w:type="spellEnd"/>
      <w:r w:rsidR="00330AF7">
        <w:t>.</w:t>
      </w:r>
      <w:r w:rsidR="00EE4FC3">
        <w:t xml:space="preserve">  </w:t>
      </w:r>
      <w:r w:rsidRPr="00382917">
        <w:t>He</w:t>
      </w:r>
      <w:r w:rsidR="00EE4FC3">
        <w:t xml:space="preserve"> </w:t>
      </w:r>
      <w:r w:rsidRPr="00382917">
        <w:t>induced</w:t>
      </w:r>
      <w:r w:rsidR="00EE4FC3">
        <w:t xml:space="preserve"> </w:t>
      </w:r>
      <w:r w:rsidRPr="00382917">
        <w:t>them</w:t>
      </w:r>
      <w:r w:rsidR="00EE4FC3">
        <w:t xml:space="preserve"> </w:t>
      </w:r>
      <w:r w:rsidRPr="00382917">
        <w:t>to</w:t>
      </w:r>
      <w:r w:rsidR="00EE4FC3">
        <w:t xml:space="preserve"> </w:t>
      </w:r>
      <w:r w:rsidRPr="00382917">
        <w:t>restore</w:t>
      </w:r>
      <w:r w:rsidR="00EE4FC3">
        <w:t xml:space="preserve"> </w:t>
      </w:r>
      <w:r w:rsidRPr="00382917">
        <w:t>the</w:t>
      </w:r>
      <w:r w:rsidR="00EE4FC3">
        <w:t xml:space="preserve"> </w:t>
      </w:r>
      <w:r w:rsidRPr="00382917">
        <w:t>property</w:t>
      </w:r>
      <w:r w:rsidR="00EE4FC3">
        <w:t xml:space="preserve"> </w:t>
      </w:r>
      <w:r w:rsidRPr="00382917">
        <w:t>which</w:t>
      </w:r>
      <w:r w:rsidR="00EE4FC3">
        <w:t xml:space="preserve"> </w:t>
      </w:r>
      <w:r w:rsidRPr="00382917">
        <w:t>they</w:t>
      </w:r>
      <w:r w:rsidR="00EE4FC3">
        <w:t xml:space="preserve"> </w:t>
      </w:r>
      <w:r w:rsidRPr="00382917">
        <w:t>had</w:t>
      </w:r>
      <w:r w:rsidR="00EE4FC3">
        <w:t xml:space="preserve"> </w:t>
      </w:r>
      <w:r w:rsidRPr="00382917">
        <w:t>not</w:t>
      </w:r>
      <w:r w:rsidR="00EE4FC3">
        <w:t xml:space="preserve"> </w:t>
      </w:r>
      <w:r w:rsidRPr="00382917">
        <w:t>yet</w:t>
      </w:r>
      <w:r w:rsidR="00EE4FC3">
        <w:t xml:space="preserve"> </w:t>
      </w:r>
      <w:r w:rsidRPr="00382917">
        <w:t>carried</w:t>
      </w:r>
      <w:r w:rsidR="00EE4FC3">
        <w:t xml:space="preserve"> </w:t>
      </w:r>
      <w:r w:rsidRPr="00382917">
        <w:t>off</w:t>
      </w:r>
      <w:r w:rsidR="00330AF7">
        <w:t>.</w:t>
      </w:r>
      <w:r w:rsidR="00EE4FC3">
        <w:t xml:space="preserve">  </w:t>
      </w:r>
      <w:r w:rsidRPr="00382917">
        <w:t>He</w:t>
      </w:r>
      <w:r w:rsidR="00EE4FC3">
        <w:t xml:space="preserve"> </w:t>
      </w:r>
      <w:r w:rsidRPr="00382917">
        <w:t>rescued</w:t>
      </w:r>
      <w:r w:rsidR="00EE4FC3">
        <w:t xml:space="preserve"> </w:t>
      </w:r>
      <w:r w:rsidRPr="00382917">
        <w:t>Ṭáhirih</w:t>
      </w:r>
      <w:r w:rsidR="00EE4FC3">
        <w:t xml:space="preserve"> </w:t>
      </w:r>
      <w:r w:rsidRPr="00382917">
        <w:t>from</w:t>
      </w:r>
      <w:r w:rsidR="00EE4FC3">
        <w:t xml:space="preserve"> </w:t>
      </w:r>
      <w:r w:rsidRPr="00382917">
        <w:t>their</w:t>
      </w:r>
      <w:r w:rsidR="00EE4FC3">
        <w:t xml:space="preserve"> </w:t>
      </w:r>
      <w:r w:rsidRPr="00382917">
        <w:t>hands</w:t>
      </w:r>
      <w:r w:rsidR="00EE4FC3">
        <w:t xml:space="preserve"> </w:t>
      </w:r>
      <w:r w:rsidRPr="00382917">
        <w:t>and</w:t>
      </w:r>
      <w:r w:rsidR="00EE4FC3">
        <w:t xml:space="preserve"> </w:t>
      </w:r>
      <w:r w:rsidRPr="00382917">
        <w:t>escorted</w:t>
      </w:r>
      <w:r w:rsidR="00EE4FC3">
        <w:t xml:space="preserve"> </w:t>
      </w:r>
      <w:r w:rsidRPr="00382917">
        <w:t>her</w:t>
      </w:r>
      <w:r w:rsidR="00EE4FC3">
        <w:t xml:space="preserve"> </w:t>
      </w:r>
      <w:r w:rsidRPr="00382917">
        <w:t>to</w:t>
      </w:r>
      <w:r w:rsidR="00EE4FC3">
        <w:t xml:space="preserve"> </w:t>
      </w:r>
      <w:r w:rsidRPr="00382917">
        <w:t>a</w:t>
      </w:r>
      <w:r w:rsidR="00EE4FC3">
        <w:t xml:space="preserve"> </w:t>
      </w:r>
      <w:r w:rsidRPr="00382917">
        <w:t>place</w:t>
      </w:r>
      <w:r w:rsidR="00EE4FC3">
        <w:t xml:space="preserve"> </w:t>
      </w:r>
      <w:r w:rsidRPr="00382917">
        <w:t>of</w:t>
      </w:r>
      <w:r w:rsidR="00EE4FC3">
        <w:t xml:space="preserve"> </w:t>
      </w:r>
      <w:r w:rsidRPr="00382917">
        <w:t>safety.</w:t>
      </w:r>
    </w:p>
    <w:p w:rsidR="00E13D49" w:rsidRPr="00382917" w:rsidRDefault="001D2FA7" w:rsidP="00621FE1">
      <w:pPr>
        <w:pStyle w:val="Text"/>
      </w:pPr>
      <w:r w:rsidRPr="00382917">
        <w:t>Nabíl</w:t>
      </w:r>
      <w:r w:rsidR="00EE4FC3">
        <w:t xml:space="preserve"> </w:t>
      </w:r>
      <w:r w:rsidRPr="00382917">
        <w:t>writes</w:t>
      </w:r>
      <w:r w:rsidR="00EE4FC3">
        <w:t xml:space="preserve"> </w:t>
      </w:r>
      <w:r w:rsidRPr="00382917">
        <w:t>of</w:t>
      </w:r>
      <w:r w:rsidR="00EE4FC3">
        <w:t xml:space="preserve"> </w:t>
      </w:r>
      <w:r w:rsidRPr="00382917">
        <w:t>these</w:t>
      </w:r>
      <w:r w:rsidR="00EE4FC3">
        <w:t xml:space="preserve"> </w:t>
      </w:r>
      <w:r w:rsidRPr="00382917">
        <w:t>frequent</w:t>
      </w:r>
      <w:r w:rsidR="00EE4FC3">
        <w:t xml:space="preserve"> </w:t>
      </w:r>
      <w:r w:rsidRPr="00382917">
        <w:t>victories</w:t>
      </w:r>
      <w:r w:rsidR="00EE4FC3">
        <w:t xml:space="preserve"> </w:t>
      </w:r>
      <w:r w:rsidRPr="00382917">
        <w:t>which</w:t>
      </w:r>
      <w:r w:rsidR="00EE4FC3">
        <w:t xml:space="preserve"> </w:t>
      </w:r>
      <w:r w:rsidRPr="00382917">
        <w:t>Bahá</w:t>
      </w:r>
      <w:r w:rsidR="009C713D" w:rsidRPr="00382917">
        <w:t>’</w:t>
      </w:r>
      <w:r w:rsidRPr="00382917">
        <w:t>u</w:t>
      </w:r>
      <w:r w:rsidR="009C713D" w:rsidRPr="00382917">
        <w:t>’</w:t>
      </w:r>
      <w:r w:rsidRPr="00382917">
        <w:t>lláh</w:t>
      </w:r>
      <w:r w:rsidR="00EE4FC3">
        <w:t xml:space="preserve"> </w:t>
      </w:r>
      <w:r w:rsidRPr="00382917">
        <w:t>won</w:t>
      </w:r>
      <w:r w:rsidR="00EE4FC3">
        <w:t xml:space="preserve"> </w:t>
      </w:r>
      <w:r w:rsidRPr="00382917">
        <w:t>by</w:t>
      </w:r>
      <w:r w:rsidR="00EE4FC3">
        <w:t xml:space="preserve"> </w:t>
      </w:r>
      <w:r w:rsidRPr="00382917">
        <w:t>His</w:t>
      </w:r>
      <w:r w:rsidR="00EE4FC3">
        <w:t xml:space="preserve"> </w:t>
      </w:r>
      <w:r w:rsidRPr="00382917">
        <w:t>word</w:t>
      </w:r>
      <w:r w:rsidR="00EE4FC3">
        <w:t xml:space="preserve"> </w:t>
      </w:r>
      <w:r w:rsidRPr="00382917">
        <w:t>alone</w:t>
      </w:r>
      <w:r w:rsidR="00330AF7">
        <w:t>.</w:t>
      </w:r>
      <w:r w:rsidR="00EE4FC3">
        <w:t xml:space="preserve">  </w:t>
      </w:r>
      <w:r w:rsidR="009C713D" w:rsidRPr="00382917">
        <w:t>“</w:t>
      </w:r>
      <w:r w:rsidRPr="00382917">
        <w:t>All</w:t>
      </w:r>
      <w:r w:rsidR="00EE4FC3">
        <w:t xml:space="preserve"> </w:t>
      </w:r>
      <w:r w:rsidRPr="00382917">
        <w:t>classes</w:t>
      </w:r>
      <w:r w:rsidR="00EE4FC3">
        <w:t xml:space="preserve"> </w:t>
      </w:r>
      <w:r w:rsidRPr="00382917">
        <w:t>of</w:t>
      </w:r>
      <w:r w:rsidR="00EE4FC3">
        <w:t xml:space="preserve"> </w:t>
      </w:r>
      <w:r w:rsidRPr="00382917">
        <w:t>men</w:t>
      </w:r>
      <w:r w:rsidR="00EE4FC3">
        <w:t xml:space="preserve"> </w:t>
      </w:r>
      <w:proofErr w:type="spellStart"/>
      <w:r w:rsidRPr="00382917">
        <w:t>marveled</w:t>
      </w:r>
      <w:proofErr w:type="spellEnd"/>
      <w:r w:rsidR="00EE4FC3">
        <w:t xml:space="preserve"> </w:t>
      </w:r>
      <w:r w:rsidRPr="00382917">
        <w:t>at</w:t>
      </w:r>
      <w:r w:rsidR="00EE4FC3">
        <w:t xml:space="preserve"> </w:t>
      </w:r>
      <w:r w:rsidRPr="00382917">
        <w:t>His</w:t>
      </w:r>
      <w:r w:rsidR="00EE4FC3">
        <w:t xml:space="preserve"> </w:t>
      </w:r>
      <w:r w:rsidRPr="00382917">
        <w:t>miraculous</w:t>
      </w:r>
      <w:r w:rsidR="00EE4FC3">
        <w:t xml:space="preserve"> </w:t>
      </w:r>
      <w:r w:rsidRPr="00382917">
        <w:t>success</w:t>
      </w:r>
      <w:r w:rsidR="00EE4FC3">
        <w:t xml:space="preserve"> </w:t>
      </w:r>
      <w:r w:rsidRPr="00382917">
        <w:t>in</w:t>
      </w:r>
      <w:r w:rsidR="00EE4FC3">
        <w:t xml:space="preserve"> </w:t>
      </w:r>
      <w:r w:rsidRPr="00382917">
        <w:t>emerging</w:t>
      </w:r>
      <w:r w:rsidR="00EE4FC3">
        <w:t xml:space="preserve"> </w:t>
      </w:r>
      <w:r w:rsidRPr="00382917">
        <w:t>unscathed</w:t>
      </w:r>
      <w:r w:rsidR="00EE4FC3">
        <w:t xml:space="preserve"> </w:t>
      </w:r>
      <w:r w:rsidRPr="00382917">
        <w:t>from</w:t>
      </w:r>
      <w:r w:rsidR="00EE4FC3">
        <w:t xml:space="preserve"> </w:t>
      </w:r>
      <w:r w:rsidRPr="00382917">
        <w:t>the</w:t>
      </w:r>
      <w:r w:rsidR="00EE4FC3">
        <w:t xml:space="preserve"> </w:t>
      </w:r>
      <w:r w:rsidRPr="00382917">
        <w:t>most</w:t>
      </w:r>
      <w:r w:rsidR="00EE4FC3">
        <w:t xml:space="preserve"> </w:t>
      </w:r>
      <w:r w:rsidRPr="00382917">
        <w:t>perilous</w:t>
      </w:r>
      <w:r w:rsidR="00EE4FC3">
        <w:t xml:space="preserve"> </w:t>
      </w:r>
      <w:r w:rsidRPr="00382917">
        <w:t>encounters</w:t>
      </w:r>
      <w:r w:rsidR="00330AF7">
        <w:t>.</w:t>
      </w:r>
      <w:r w:rsidR="00EE4FC3">
        <w:t xml:space="preserve">  </w:t>
      </w:r>
      <w:r w:rsidRPr="00382917">
        <w:t>Nothing</w:t>
      </w:r>
      <w:r w:rsidR="00EE4FC3">
        <w:t xml:space="preserve"> </w:t>
      </w:r>
      <w:r w:rsidRPr="00382917">
        <w:t>short</w:t>
      </w:r>
      <w:r w:rsidR="00EE4FC3">
        <w:t xml:space="preserve"> </w:t>
      </w:r>
      <w:r w:rsidRPr="00382917">
        <w:t>of</w:t>
      </w:r>
      <w:r w:rsidR="00EE4FC3">
        <w:t xml:space="preserve"> </w:t>
      </w:r>
      <w:r w:rsidRPr="00382917">
        <w:t>Divine</w:t>
      </w:r>
      <w:r w:rsidR="00EE4FC3">
        <w:t xml:space="preserve"> </w:t>
      </w:r>
      <w:r w:rsidRPr="00382917">
        <w:t>protection,</w:t>
      </w:r>
      <w:r w:rsidR="00EE4FC3">
        <w:t xml:space="preserve"> </w:t>
      </w:r>
      <w:r w:rsidRPr="00382917">
        <w:t>they</w:t>
      </w:r>
      <w:r w:rsidR="00EE4FC3">
        <w:t xml:space="preserve"> </w:t>
      </w:r>
      <w:r w:rsidRPr="00382917">
        <w:t>thought,</w:t>
      </w:r>
      <w:r w:rsidR="00EE4FC3">
        <w:t xml:space="preserve"> </w:t>
      </w:r>
      <w:r w:rsidRPr="00382917">
        <w:t>could</w:t>
      </w:r>
      <w:r w:rsidR="00EE4FC3">
        <w:t xml:space="preserve"> </w:t>
      </w:r>
      <w:r w:rsidRPr="00382917">
        <w:t>have</w:t>
      </w:r>
      <w:r w:rsidR="00EE4FC3">
        <w:t xml:space="preserve"> </w:t>
      </w:r>
      <w:r w:rsidRPr="00382917">
        <w:t>assured</w:t>
      </w:r>
      <w:r w:rsidR="00EE4FC3">
        <w:t xml:space="preserve"> </w:t>
      </w:r>
      <w:r w:rsidRPr="00382917">
        <w:t>His</w:t>
      </w:r>
      <w:r w:rsidR="00EE4FC3">
        <w:t xml:space="preserve"> </w:t>
      </w:r>
      <w:r w:rsidRPr="00382917">
        <w:t>safety</w:t>
      </w:r>
      <w:r w:rsidR="00EE4FC3">
        <w:t xml:space="preserve"> </w:t>
      </w:r>
      <w:r w:rsidRPr="00382917">
        <w:t>on</w:t>
      </w:r>
      <w:r w:rsidR="00EE4FC3">
        <w:t xml:space="preserve"> </w:t>
      </w:r>
      <w:r w:rsidRPr="00382917">
        <w:t>such</w:t>
      </w:r>
      <w:r w:rsidR="00EE4FC3">
        <w:t xml:space="preserve"> </w:t>
      </w:r>
      <w:r w:rsidRPr="00382917">
        <w:t>occasions.</w:t>
      </w:r>
      <w:r w:rsidR="009C713D" w:rsidRPr="00382917">
        <w:t>”</w:t>
      </w:r>
      <w:r w:rsidR="00621FE1">
        <w:rPr>
          <w:rStyle w:val="FootnoteReference"/>
        </w:rPr>
        <w:footnoteReference w:id="214"/>
      </w:r>
    </w:p>
    <w:p w:rsidR="001D2FA7" w:rsidRPr="00382917" w:rsidRDefault="001D2FA7" w:rsidP="007B319A">
      <w:pPr>
        <w:pStyle w:val="Text"/>
      </w:pPr>
      <w:r w:rsidRPr="00382917">
        <w:t>Bahá</w:t>
      </w:r>
      <w:r w:rsidR="009C713D" w:rsidRPr="00382917">
        <w:t>’</w:t>
      </w:r>
      <w:r w:rsidRPr="00382917">
        <w:t>u</w:t>
      </w:r>
      <w:r w:rsidR="009C713D" w:rsidRPr="00382917">
        <w:t>’</w:t>
      </w:r>
      <w:r w:rsidRPr="00382917">
        <w:t>lláh</w:t>
      </w:r>
      <w:r w:rsidR="00EE4FC3">
        <w:t xml:space="preserve"> </w:t>
      </w:r>
      <w:r w:rsidRPr="00382917">
        <w:t>also</w:t>
      </w:r>
      <w:r w:rsidR="00EE4FC3">
        <w:t xml:space="preserve"> </w:t>
      </w:r>
      <w:r w:rsidRPr="00382917">
        <w:t>lent</w:t>
      </w:r>
      <w:r w:rsidR="00EE4FC3">
        <w:t xml:space="preserve"> </w:t>
      </w:r>
      <w:r w:rsidRPr="00382917">
        <w:t>His</w:t>
      </w:r>
      <w:r w:rsidR="00EE4FC3">
        <w:t xml:space="preserve"> </w:t>
      </w:r>
      <w:r w:rsidRPr="00382917">
        <w:t>strength</w:t>
      </w:r>
      <w:r w:rsidR="00EE4FC3">
        <w:t xml:space="preserve"> </w:t>
      </w:r>
      <w:r w:rsidRPr="00382917">
        <w:t>and</w:t>
      </w:r>
      <w:r w:rsidR="00EE4FC3">
        <w:t xml:space="preserve"> </w:t>
      </w:r>
      <w:r w:rsidRPr="00382917">
        <w:t>assistance</w:t>
      </w:r>
      <w:r w:rsidR="00EE4FC3">
        <w:t xml:space="preserve"> </w:t>
      </w:r>
      <w:r w:rsidRPr="00382917">
        <w:t>to</w:t>
      </w:r>
      <w:r w:rsidR="00EE4FC3">
        <w:t xml:space="preserve"> </w:t>
      </w:r>
      <w:r w:rsidRPr="00382917">
        <w:t>Vaḥíd</w:t>
      </w:r>
      <w:r w:rsidR="00330AF7">
        <w:t>.</w:t>
      </w:r>
      <w:r w:rsidR="00EE4FC3">
        <w:t xml:space="preserve">  </w:t>
      </w:r>
      <w:r w:rsidRPr="00382917">
        <w:t>The</w:t>
      </w:r>
      <w:r w:rsidR="00EE4FC3">
        <w:t xml:space="preserve"> </w:t>
      </w:r>
      <w:r w:rsidRPr="00382917">
        <w:t>following</w:t>
      </w:r>
      <w:r w:rsidR="00EE4FC3">
        <w:t xml:space="preserve"> </w:t>
      </w:r>
      <w:r w:rsidRPr="00382917">
        <w:t>is</w:t>
      </w:r>
      <w:r w:rsidR="00EE4FC3">
        <w:t xml:space="preserve"> </w:t>
      </w:r>
      <w:r w:rsidRPr="00382917">
        <w:t>an</w:t>
      </w:r>
      <w:r w:rsidR="00EE4FC3">
        <w:t xml:space="preserve"> </w:t>
      </w:r>
      <w:r w:rsidRPr="00382917">
        <w:t>historical</w:t>
      </w:r>
      <w:r w:rsidR="00EE4FC3">
        <w:t xml:space="preserve"> </w:t>
      </w:r>
      <w:r w:rsidRPr="00382917">
        <w:t>account</w:t>
      </w:r>
      <w:r w:rsidR="00EE4FC3">
        <w:t xml:space="preserve"> </w:t>
      </w:r>
      <w:r w:rsidRPr="00382917">
        <w:t>of</w:t>
      </w:r>
      <w:r w:rsidR="00EE4FC3">
        <w:t xml:space="preserve"> </w:t>
      </w:r>
      <w:r w:rsidRPr="00382917">
        <w:t>their</w:t>
      </w:r>
      <w:r w:rsidR="00EE4FC3">
        <w:t xml:space="preserve"> </w:t>
      </w:r>
      <w:r w:rsidRPr="00382917">
        <w:t>friendship:</w:t>
      </w:r>
    </w:p>
    <w:p w:rsidR="00E13D49" w:rsidRPr="00382917" w:rsidRDefault="009C713D" w:rsidP="007B319A">
      <w:pPr>
        <w:pStyle w:val="Text"/>
      </w:pPr>
      <w:r w:rsidRPr="00382917">
        <w:t>“</w:t>
      </w:r>
      <w:r w:rsidR="001D2FA7" w:rsidRPr="00382917">
        <w:t>[Vaḥíd]</w:t>
      </w:r>
      <w:r w:rsidR="00EE4FC3">
        <w:t xml:space="preserve"> </w:t>
      </w:r>
      <w:r w:rsidR="001D2FA7" w:rsidRPr="00382917">
        <w:t>hastened</w:t>
      </w:r>
      <w:r w:rsidR="00EE4FC3">
        <w:t xml:space="preserve"> </w:t>
      </w:r>
      <w:r w:rsidR="001D2FA7" w:rsidRPr="00382917">
        <w:t>to</w:t>
      </w:r>
      <w:r w:rsidR="00EE4FC3">
        <w:t xml:space="preserve"> </w:t>
      </w:r>
      <w:r w:rsidR="001D2FA7" w:rsidRPr="00382917">
        <w:t>the</w:t>
      </w:r>
      <w:r w:rsidR="00EE4FC3">
        <w:t xml:space="preserve"> </w:t>
      </w:r>
      <w:r w:rsidR="001D2FA7" w:rsidRPr="00382917">
        <w:t>capital</w:t>
      </w:r>
      <w:r w:rsidR="00EE4FC3">
        <w:t xml:space="preserve"> </w:t>
      </w:r>
      <w:r w:rsidR="001D2FA7" w:rsidRPr="00382917">
        <w:t>where</w:t>
      </w:r>
      <w:r w:rsidR="00EE4FC3">
        <w:t xml:space="preserve"> </w:t>
      </w:r>
      <w:r w:rsidR="001D2FA7" w:rsidRPr="00382917">
        <w:t>he</w:t>
      </w:r>
      <w:r w:rsidR="00EE4FC3">
        <w:t xml:space="preserve"> </w:t>
      </w:r>
      <w:r w:rsidR="001D2FA7" w:rsidRPr="00382917">
        <w:t>undertook</w:t>
      </w:r>
      <w:r w:rsidR="00EE4FC3">
        <w:t xml:space="preserve"> </w:t>
      </w:r>
      <w:r w:rsidR="001D2FA7" w:rsidRPr="00382917">
        <w:t>the</w:t>
      </w:r>
      <w:r w:rsidR="00EE4FC3">
        <w:t xml:space="preserve"> </w:t>
      </w:r>
      <w:proofErr w:type="spellStart"/>
      <w:r w:rsidR="001D2FA7" w:rsidRPr="00382917">
        <w:t>neces</w:t>
      </w:r>
      <w:proofErr w:type="spellEnd"/>
      <w:r w:rsidR="001D2FA7" w:rsidRPr="00382917">
        <w:t>-</w:t>
      </w:r>
    </w:p>
    <w:p w:rsidR="007B319A" w:rsidRPr="00382917" w:rsidRDefault="007B319A">
      <w:pPr>
        <w:widowControl/>
        <w:kinsoku/>
        <w:overflowPunct/>
        <w:textAlignment w:val="auto"/>
      </w:pPr>
      <w:r w:rsidRPr="00382917">
        <w:br w:type="page"/>
      </w:r>
    </w:p>
    <w:p w:rsidR="001D2FA7" w:rsidRPr="00382917" w:rsidRDefault="001D2FA7" w:rsidP="002F631E">
      <w:pPr>
        <w:pStyle w:val="Textcts"/>
      </w:pPr>
      <w:proofErr w:type="spellStart"/>
      <w:proofErr w:type="gramStart"/>
      <w:r w:rsidRPr="00382917">
        <w:t>sary</w:t>
      </w:r>
      <w:proofErr w:type="spellEnd"/>
      <w:proofErr w:type="gramEnd"/>
      <w:r w:rsidR="00EE4FC3">
        <w:t xml:space="preserve"> </w:t>
      </w:r>
      <w:r w:rsidRPr="00382917">
        <w:t>preparations</w:t>
      </w:r>
      <w:r w:rsidR="00EE4FC3">
        <w:t xml:space="preserve"> </w:t>
      </w:r>
      <w:r w:rsidRPr="00382917">
        <w:t>for</w:t>
      </w:r>
      <w:r w:rsidR="00EE4FC3">
        <w:t xml:space="preserve"> </w:t>
      </w:r>
      <w:r w:rsidRPr="00382917">
        <w:t>his</w:t>
      </w:r>
      <w:r w:rsidR="00EE4FC3">
        <w:t xml:space="preserve"> </w:t>
      </w:r>
      <w:r w:rsidRPr="00382917">
        <w:t>journey</w:t>
      </w:r>
      <w:r w:rsidR="00EE4FC3">
        <w:t xml:space="preserve"> </w:t>
      </w:r>
      <w:r w:rsidRPr="00382917">
        <w:t>to</w:t>
      </w:r>
      <w:r w:rsidR="00EE4FC3">
        <w:t xml:space="preserve"> </w:t>
      </w:r>
      <w:r w:rsidRPr="00382917">
        <w:t>the</w:t>
      </w:r>
      <w:r w:rsidR="00EE4FC3">
        <w:t xml:space="preserve"> </w:t>
      </w:r>
      <w:r w:rsidRPr="00382917">
        <w:t>fort</w:t>
      </w:r>
      <w:r w:rsidR="00EE4FC3">
        <w:t xml:space="preserve"> </w:t>
      </w:r>
      <w:r w:rsidRPr="00382917">
        <w:t>of</w:t>
      </w:r>
      <w:r w:rsidR="00EE4FC3">
        <w:t xml:space="preserve"> </w:t>
      </w:r>
      <w:r w:rsidRPr="00382917">
        <w:t>Ṭabarsí</w:t>
      </w:r>
      <w:r w:rsidR="00330AF7">
        <w:t>.</w:t>
      </w:r>
      <w:r w:rsidR="00EE4FC3">
        <w:t xml:space="preserve">  </w:t>
      </w:r>
      <w:r w:rsidRPr="00382917">
        <w:t>He</w:t>
      </w:r>
      <w:r w:rsidR="00EE4FC3">
        <w:t xml:space="preserve"> </w:t>
      </w:r>
      <w:r w:rsidRPr="00382917">
        <w:t>was</w:t>
      </w:r>
      <w:r w:rsidR="00EE4FC3">
        <w:t xml:space="preserve"> </w:t>
      </w:r>
      <w:r w:rsidRPr="00382917">
        <w:t>preparing</w:t>
      </w:r>
      <w:r w:rsidR="00EE4FC3">
        <w:t xml:space="preserve"> </w:t>
      </w:r>
      <w:r w:rsidRPr="00382917">
        <w:t>to</w:t>
      </w:r>
      <w:r w:rsidR="00EE4FC3">
        <w:t xml:space="preserve"> </w:t>
      </w:r>
      <w:r w:rsidRPr="00382917">
        <w:t>leave,</w:t>
      </w:r>
      <w:r w:rsidR="00EE4FC3">
        <w:t xml:space="preserve"> </w:t>
      </w:r>
      <w:r w:rsidRPr="00382917">
        <w:t>when</w:t>
      </w:r>
      <w:r w:rsidR="00EE4FC3">
        <w:t xml:space="preserve"> </w:t>
      </w:r>
      <w:r w:rsidRPr="00382917">
        <w:t>Bahá</w:t>
      </w:r>
      <w:r w:rsidR="009C713D" w:rsidRPr="00382917">
        <w:t>’</w:t>
      </w:r>
      <w:r w:rsidRPr="00382917">
        <w:t>u</w:t>
      </w:r>
      <w:r w:rsidR="009C713D" w:rsidRPr="00382917">
        <w:t>’</w:t>
      </w:r>
      <w:r w:rsidRPr="00382917">
        <w:t>lláh</w:t>
      </w:r>
      <w:r w:rsidR="00EE4FC3">
        <w:t xml:space="preserve"> </w:t>
      </w:r>
      <w:r w:rsidRPr="00382917">
        <w:t>arrived</w:t>
      </w:r>
      <w:r w:rsidR="00EE4FC3">
        <w:t xml:space="preserve"> </w:t>
      </w:r>
      <w:r w:rsidRPr="00382917">
        <w:t>from</w:t>
      </w:r>
      <w:r w:rsidR="00EE4FC3">
        <w:t xml:space="preserve"> </w:t>
      </w:r>
      <w:r w:rsidRPr="00382917">
        <w:t>Mázindarán</w:t>
      </w:r>
      <w:r w:rsidR="00EE4FC3">
        <w:t xml:space="preserve"> </w:t>
      </w:r>
      <w:r w:rsidRPr="00382917">
        <w:t>and</w:t>
      </w:r>
      <w:r w:rsidR="00EE4FC3">
        <w:t xml:space="preserve"> </w:t>
      </w:r>
      <w:r w:rsidRPr="00382917">
        <w:t>informed</w:t>
      </w:r>
      <w:r w:rsidR="00EE4FC3">
        <w:t xml:space="preserve"> </w:t>
      </w:r>
      <w:r w:rsidRPr="00382917">
        <w:t>him</w:t>
      </w:r>
      <w:r w:rsidR="00EE4FC3">
        <w:t xml:space="preserve"> </w:t>
      </w:r>
      <w:r w:rsidRPr="00382917">
        <w:t>of</w:t>
      </w:r>
      <w:r w:rsidR="00EE4FC3">
        <w:t xml:space="preserve"> </w:t>
      </w:r>
      <w:r w:rsidRPr="00382917">
        <w:t>the</w:t>
      </w:r>
      <w:r w:rsidR="00EE4FC3">
        <w:t xml:space="preserve"> </w:t>
      </w:r>
      <w:r w:rsidRPr="00382917">
        <w:t>impossibility</w:t>
      </w:r>
      <w:r w:rsidR="00EE4FC3">
        <w:t xml:space="preserve"> </w:t>
      </w:r>
      <w:r w:rsidRPr="00382917">
        <w:t>of</w:t>
      </w:r>
      <w:r w:rsidR="00EE4FC3">
        <w:t xml:space="preserve"> </w:t>
      </w:r>
      <w:r w:rsidRPr="00382917">
        <w:t>joining</w:t>
      </w:r>
      <w:r w:rsidR="00EE4FC3">
        <w:t xml:space="preserve"> </w:t>
      </w:r>
      <w:r w:rsidRPr="00382917">
        <w:t>his</w:t>
      </w:r>
      <w:r w:rsidR="00EE4FC3">
        <w:t xml:space="preserve"> </w:t>
      </w:r>
      <w:r w:rsidRPr="00382917">
        <w:t>brethren</w:t>
      </w:r>
      <w:r w:rsidR="00330AF7">
        <w:t>.</w:t>
      </w:r>
      <w:r w:rsidR="00EE4FC3">
        <w:t xml:space="preserve">  </w:t>
      </w:r>
      <w:r w:rsidRPr="00382917">
        <w:t>He</w:t>
      </w:r>
      <w:r w:rsidR="00EE4FC3">
        <w:t xml:space="preserve"> </w:t>
      </w:r>
      <w:r w:rsidRPr="00382917">
        <w:t>was</w:t>
      </w:r>
      <w:r w:rsidR="00EE4FC3">
        <w:t xml:space="preserve"> </w:t>
      </w:r>
      <w:r w:rsidRPr="00382917">
        <w:t>greatly</w:t>
      </w:r>
      <w:r w:rsidR="00EE4FC3">
        <w:t xml:space="preserve"> </w:t>
      </w:r>
      <w:r w:rsidRPr="00382917">
        <w:t>saddened</w:t>
      </w:r>
      <w:r w:rsidR="00EE4FC3">
        <w:t xml:space="preserve"> </w:t>
      </w:r>
      <w:r w:rsidRPr="00382917">
        <w:t>at</w:t>
      </w:r>
      <w:r w:rsidR="00EE4FC3">
        <w:t xml:space="preserve"> </w:t>
      </w:r>
      <w:r w:rsidRPr="00382917">
        <w:t>the</w:t>
      </w:r>
      <w:r w:rsidR="00EE4FC3">
        <w:t xml:space="preserve"> </w:t>
      </w:r>
      <w:r w:rsidRPr="00382917">
        <w:t>news,</w:t>
      </w:r>
      <w:r w:rsidR="00EE4FC3">
        <w:t xml:space="preserve"> </w:t>
      </w:r>
      <w:r w:rsidRPr="00382917">
        <w:t>and</w:t>
      </w:r>
      <w:r w:rsidR="00EE4FC3">
        <w:t xml:space="preserve"> </w:t>
      </w:r>
      <w:r w:rsidRPr="00382917">
        <w:t>his</w:t>
      </w:r>
      <w:r w:rsidR="00EE4FC3">
        <w:t xml:space="preserve"> </w:t>
      </w:r>
      <w:r w:rsidRPr="00382917">
        <w:t>only</w:t>
      </w:r>
      <w:r w:rsidR="00EE4FC3">
        <w:t xml:space="preserve"> </w:t>
      </w:r>
      <w:r w:rsidRPr="00382917">
        <w:t>consolation</w:t>
      </w:r>
      <w:r w:rsidR="00EE4FC3">
        <w:t xml:space="preserve"> </w:t>
      </w:r>
      <w:r w:rsidRPr="00382917">
        <w:t>in</w:t>
      </w:r>
      <w:r w:rsidR="00EE4FC3">
        <w:t xml:space="preserve"> </w:t>
      </w:r>
      <w:r w:rsidRPr="00382917">
        <w:t>those</w:t>
      </w:r>
      <w:r w:rsidR="00EE4FC3">
        <w:t xml:space="preserve"> </w:t>
      </w:r>
      <w:r w:rsidRPr="00382917">
        <w:t>days</w:t>
      </w:r>
      <w:r w:rsidR="00EE4FC3">
        <w:t xml:space="preserve"> </w:t>
      </w:r>
      <w:r w:rsidRPr="00382917">
        <w:t>was</w:t>
      </w:r>
      <w:r w:rsidR="00EE4FC3">
        <w:t xml:space="preserve"> </w:t>
      </w:r>
      <w:r w:rsidRPr="00382917">
        <w:t>to</w:t>
      </w:r>
      <w:r w:rsidR="00EE4FC3">
        <w:t xml:space="preserve"> </w:t>
      </w:r>
      <w:r w:rsidRPr="00382917">
        <w:t>visit</w:t>
      </w:r>
      <w:r w:rsidR="00EE4FC3">
        <w:t xml:space="preserve"> </w:t>
      </w:r>
      <w:r w:rsidRPr="00382917">
        <w:t>Bahá</w:t>
      </w:r>
      <w:r w:rsidR="009C713D" w:rsidRPr="00382917">
        <w:t>’</w:t>
      </w:r>
      <w:r w:rsidRPr="00382917">
        <w:t>u</w:t>
      </w:r>
      <w:r w:rsidR="009C713D" w:rsidRPr="00382917">
        <w:t>’</w:t>
      </w:r>
      <w:r w:rsidRPr="00382917">
        <w:t>lláh</w:t>
      </w:r>
      <w:r w:rsidR="00EE4FC3">
        <w:t xml:space="preserve"> </w:t>
      </w:r>
      <w:r w:rsidRPr="00382917">
        <w:t>frequently,</w:t>
      </w:r>
      <w:r w:rsidR="00EE4FC3">
        <w:t xml:space="preserve"> </w:t>
      </w:r>
      <w:r w:rsidRPr="00382917">
        <w:t>and</w:t>
      </w:r>
      <w:r w:rsidR="00EE4FC3">
        <w:t xml:space="preserve"> </w:t>
      </w:r>
      <w:r w:rsidRPr="00382917">
        <w:t>to</w:t>
      </w:r>
      <w:r w:rsidR="00EE4FC3">
        <w:t xml:space="preserve"> </w:t>
      </w:r>
      <w:r w:rsidRPr="00382917">
        <w:t>obtain</w:t>
      </w:r>
      <w:r w:rsidR="00EE4FC3">
        <w:t xml:space="preserve"> </w:t>
      </w:r>
      <w:r w:rsidRPr="00382917">
        <w:t>the</w:t>
      </w:r>
      <w:r w:rsidR="00EE4FC3">
        <w:t xml:space="preserve"> </w:t>
      </w:r>
      <w:r w:rsidRPr="00382917">
        <w:t>benefit</w:t>
      </w:r>
      <w:r w:rsidR="00EE4FC3">
        <w:t xml:space="preserve"> </w:t>
      </w:r>
      <w:r w:rsidRPr="00382917">
        <w:t>of</w:t>
      </w:r>
      <w:r w:rsidR="00EE4FC3">
        <w:t xml:space="preserve"> </w:t>
      </w:r>
      <w:r w:rsidRPr="00382917">
        <w:t>His</w:t>
      </w:r>
      <w:r w:rsidR="00EE4FC3">
        <w:t xml:space="preserve"> </w:t>
      </w:r>
      <w:r w:rsidRPr="00382917">
        <w:t>wise</w:t>
      </w:r>
      <w:r w:rsidR="00EE4FC3">
        <w:t xml:space="preserve"> </w:t>
      </w:r>
      <w:r w:rsidRPr="00382917">
        <w:t>and</w:t>
      </w:r>
      <w:r w:rsidR="00EE4FC3">
        <w:t xml:space="preserve"> </w:t>
      </w:r>
      <w:r w:rsidRPr="00382917">
        <w:t>priceless</w:t>
      </w:r>
      <w:r w:rsidR="00EE4FC3">
        <w:t xml:space="preserve"> </w:t>
      </w:r>
      <w:r w:rsidRPr="00382917">
        <w:t>counsel.</w:t>
      </w:r>
      <w:r w:rsidR="009C713D" w:rsidRPr="00382917">
        <w:t>”</w:t>
      </w:r>
      <w:r w:rsidR="002F631E">
        <w:rPr>
          <w:rStyle w:val="FootnoteReference"/>
        </w:rPr>
        <w:footnoteReference w:id="215"/>
      </w:r>
    </w:p>
    <w:p w:rsidR="001D2FA7" w:rsidRPr="00382917" w:rsidRDefault="001D2FA7" w:rsidP="00932C23">
      <w:pPr>
        <w:pStyle w:val="Text"/>
      </w:pPr>
      <w:r w:rsidRPr="00382917">
        <w:t>It</w:t>
      </w:r>
      <w:r w:rsidR="00EE4FC3">
        <w:t xml:space="preserve"> </w:t>
      </w:r>
      <w:r w:rsidRPr="00382917">
        <w:t>was</w:t>
      </w:r>
      <w:r w:rsidR="00EE4FC3">
        <w:t xml:space="preserve"> </w:t>
      </w:r>
      <w:r w:rsidRPr="00382917">
        <w:t>following</w:t>
      </w:r>
      <w:r w:rsidR="00EE4FC3">
        <w:t xml:space="preserve"> </w:t>
      </w:r>
      <w:r w:rsidRPr="00382917">
        <w:t>these</w:t>
      </w:r>
      <w:r w:rsidR="00EE4FC3">
        <w:t xml:space="preserve"> </w:t>
      </w:r>
      <w:r w:rsidRPr="00382917">
        <w:t>visits</w:t>
      </w:r>
      <w:r w:rsidR="00EE4FC3">
        <w:t xml:space="preserve"> </w:t>
      </w:r>
      <w:r w:rsidRPr="00382917">
        <w:t>with</w:t>
      </w:r>
      <w:r w:rsidR="00EE4FC3">
        <w:t xml:space="preserve"> </w:t>
      </w:r>
      <w:r w:rsidRPr="00382917">
        <w:t>Bahá</w:t>
      </w:r>
      <w:r w:rsidR="009C713D" w:rsidRPr="00382917">
        <w:t>’</w:t>
      </w:r>
      <w:r w:rsidRPr="00382917">
        <w:t>u</w:t>
      </w:r>
      <w:r w:rsidR="009C713D" w:rsidRPr="00382917">
        <w:t>’</w:t>
      </w:r>
      <w:r w:rsidRPr="00382917">
        <w:t>lláh</w:t>
      </w:r>
      <w:r w:rsidR="00EE4FC3">
        <w:t xml:space="preserve"> </w:t>
      </w:r>
      <w:r w:rsidRPr="00382917">
        <w:t>that</w:t>
      </w:r>
      <w:r w:rsidR="00EE4FC3">
        <w:t xml:space="preserve"> </w:t>
      </w:r>
      <w:r w:rsidRPr="00382917">
        <w:t>Mírzá</w:t>
      </w:r>
      <w:r w:rsidR="00EE4FC3">
        <w:t xml:space="preserve"> </w:t>
      </w:r>
      <w:r w:rsidRPr="00382917">
        <w:t>Jání,</w:t>
      </w:r>
      <w:r w:rsidR="00EE4FC3">
        <w:t xml:space="preserve"> </w:t>
      </w:r>
      <w:proofErr w:type="spellStart"/>
      <w:r w:rsidRPr="00382917">
        <w:t>Vaḥíd</w:t>
      </w:r>
      <w:r w:rsidR="009C713D" w:rsidRPr="00382917">
        <w:t>’</w:t>
      </w:r>
      <w:r w:rsidRPr="00382917">
        <w:t>s</w:t>
      </w:r>
      <w:proofErr w:type="spellEnd"/>
      <w:r w:rsidR="00EE4FC3">
        <w:t xml:space="preserve"> </w:t>
      </w:r>
      <w:r w:rsidRPr="00382917">
        <w:t>friend,</w:t>
      </w:r>
      <w:r w:rsidR="00EE4FC3">
        <w:t xml:space="preserve"> </w:t>
      </w:r>
      <w:r w:rsidRPr="00382917">
        <w:t>wrote</w:t>
      </w:r>
      <w:r w:rsidR="00C03C91">
        <w:t>:</w:t>
      </w:r>
      <w:r w:rsidR="00EE4FC3">
        <w:t xml:space="preserve">  </w:t>
      </w:r>
      <w:r w:rsidR="009C713D" w:rsidRPr="00382917">
        <w:t>“</w:t>
      </w:r>
      <w:r w:rsidRPr="00382917">
        <w:t>I</w:t>
      </w:r>
      <w:r w:rsidR="00EE4FC3">
        <w:t xml:space="preserve"> </w:t>
      </w:r>
      <w:r w:rsidRPr="00382917">
        <w:t>observed</w:t>
      </w:r>
      <w:r w:rsidR="00EE4FC3">
        <w:t xml:space="preserve"> </w:t>
      </w:r>
      <w:r w:rsidRPr="00382917">
        <w:t>in</w:t>
      </w:r>
      <w:r w:rsidR="00EE4FC3">
        <w:t xml:space="preserve"> </w:t>
      </w:r>
      <w:r w:rsidRPr="00382917">
        <w:t>his</w:t>
      </w:r>
      <w:r w:rsidR="00EE4FC3">
        <w:t xml:space="preserve"> </w:t>
      </w:r>
      <w:r w:rsidRPr="00382917">
        <w:t>[</w:t>
      </w:r>
      <w:proofErr w:type="spellStart"/>
      <w:r w:rsidRPr="00382917">
        <w:t>Vaḥíd</w:t>
      </w:r>
      <w:r w:rsidR="009C713D" w:rsidRPr="00382917">
        <w:t>’</w:t>
      </w:r>
      <w:r w:rsidRPr="00382917">
        <w:t>s</w:t>
      </w:r>
      <w:proofErr w:type="spellEnd"/>
      <w:r w:rsidRPr="00382917">
        <w:t>]</w:t>
      </w:r>
      <w:r w:rsidR="00EE4FC3">
        <w:t xml:space="preserve"> </w:t>
      </w:r>
      <w:r w:rsidRPr="00382917">
        <w:t>august</w:t>
      </w:r>
      <w:r w:rsidR="00EE4FC3">
        <w:t xml:space="preserve"> </w:t>
      </w:r>
      <w:r w:rsidRPr="00382917">
        <w:t>countenance</w:t>
      </w:r>
      <w:r w:rsidR="00EE4FC3">
        <w:t xml:space="preserve"> </w:t>
      </w:r>
      <w:r w:rsidRPr="00382917">
        <w:t>the</w:t>
      </w:r>
      <w:r w:rsidR="00EE4FC3">
        <w:t xml:space="preserve"> </w:t>
      </w:r>
      <w:r w:rsidRPr="00382917">
        <w:t>signs</w:t>
      </w:r>
      <w:r w:rsidR="00EE4FC3">
        <w:t xml:space="preserve"> </w:t>
      </w:r>
      <w:r w:rsidRPr="00382917">
        <w:t>of</w:t>
      </w:r>
      <w:r w:rsidR="00EE4FC3">
        <w:t xml:space="preserve"> </w:t>
      </w:r>
      <w:r w:rsidRPr="00382917">
        <w:t>a</w:t>
      </w:r>
      <w:r w:rsidR="00EE4FC3">
        <w:t xml:space="preserve"> </w:t>
      </w:r>
      <w:r w:rsidRPr="00382917">
        <w:t>glory</w:t>
      </w:r>
      <w:r w:rsidR="00EE4FC3">
        <w:t xml:space="preserve"> </w:t>
      </w:r>
      <w:r w:rsidRPr="00382917">
        <w:t>and</w:t>
      </w:r>
      <w:r w:rsidR="00EE4FC3">
        <w:t xml:space="preserve"> </w:t>
      </w:r>
      <w:r w:rsidRPr="00382917">
        <w:t>power</w:t>
      </w:r>
      <w:r w:rsidR="00EE4FC3">
        <w:t xml:space="preserve"> </w:t>
      </w:r>
      <w:r w:rsidRPr="00382917">
        <w:t>which</w:t>
      </w:r>
      <w:r w:rsidR="00EE4FC3">
        <w:t xml:space="preserve"> </w:t>
      </w:r>
      <w:r w:rsidRPr="00382917">
        <w:t>I</w:t>
      </w:r>
      <w:r w:rsidR="00EE4FC3">
        <w:t xml:space="preserve"> </w:t>
      </w:r>
      <w:r w:rsidRPr="00382917">
        <w:t>had</w:t>
      </w:r>
      <w:r w:rsidR="00EE4FC3">
        <w:t xml:space="preserve"> </w:t>
      </w:r>
      <w:r w:rsidRPr="00382917">
        <w:t>not</w:t>
      </w:r>
      <w:r w:rsidR="00EE4FC3">
        <w:t xml:space="preserve"> </w:t>
      </w:r>
      <w:r w:rsidRPr="00382917">
        <w:t>noticed</w:t>
      </w:r>
      <w:r w:rsidR="00EE4FC3">
        <w:t xml:space="preserve"> </w:t>
      </w:r>
      <w:r w:rsidRPr="00382917">
        <w:t>during</w:t>
      </w:r>
      <w:r w:rsidR="00EE4FC3">
        <w:t xml:space="preserve"> </w:t>
      </w:r>
      <w:r w:rsidRPr="00382917">
        <w:t>my</w:t>
      </w:r>
      <w:r w:rsidR="00EE4FC3">
        <w:t xml:space="preserve"> </w:t>
      </w:r>
      <w:r w:rsidRPr="00382917">
        <w:t>first</w:t>
      </w:r>
      <w:r w:rsidR="00EE4FC3">
        <w:t xml:space="preserve"> </w:t>
      </w:r>
      <w:r w:rsidRPr="00382917">
        <w:t>journey</w:t>
      </w:r>
      <w:r w:rsidR="00EE4FC3">
        <w:t xml:space="preserve"> </w:t>
      </w:r>
      <w:r w:rsidRPr="00382917">
        <w:t>with</w:t>
      </w:r>
      <w:r w:rsidR="00EE4FC3">
        <w:t xml:space="preserve"> </w:t>
      </w:r>
      <w:r w:rsidRPr="00382917">
        <w:t>him</w:t>
      </w:r>
      <w:r w:rsidR="00EE4FC3">
        <w:t xml:space="preserve"> </w:t>
      </w:r>
      <w:r w:rsidRPr="00382917">
        <w:t>to</w:t>
      </w:r>
      <w:r w:rsidR="00EE4FC3">
        <w:t xml:space="preserve"> </w:t>
      </w:r>
      <w:r w:rsidRPr="00382917">
        <w:t>the</w:t>
      </w:r>
      <w:r w:rsidR="00EE4FC3">
        <w:t xml:space="preserve"> </w:t>
      </w:r>
      <w:r w:rsidRPr="00382917">
        <w:t>capital,</w:t>
      </w:r>
      <w:r w:rsidR="00EE4FC3">
        <w:t xml:space="preserve"> </w:t>
      </w:r>
      <w:r w:rsidRPr="00382917">
        <w:t>nor</w:t>
      </w:r>
      <w:r w:rsidR="00EE4FC3">
        <w:t xml:space="preserve"> </w:t>
      </w:r>
      <w:r w:rsidRPr="00382917">
        <w:t>on</w:t>
      </w:r>
      <w:r w:rsidR="00EE4FC3">
        <w:t xml:space="preserve"> </w:t>
      </w:r>
      <w:r w:rsidRPr="00382917">
        <w:t>other</w:t>
      </w:r>
      <w:r w:rsidR="00EE4FC3">
        <w:t xml:space="preserve"> </w:t>
      </w:r>
      <w:r w:rsidRPr="00382917">
        <w:t>occasions</w:t>
      </w:r>
      <w:r w:rsidR="00EE4FC3">
        <w:t xml:space="preserve"> </w:t>
      </w:r>
      <w:r w:rsidRPr="00382917">
        <w:t>of</w:t>
      </w:r>
      <w:r w:rsidR="00EE4FC3">
        <w:t xml:space="preserve"> </w:t>
      </w:r>
      <w:r w:rsidRPr="00382917">
        <w:t>meeting.</w:t>
      </w:r>
      <w:r w:rsidR="009C713D" w:rsidRPr="00382917">
        <w:t>”</w:t>
      </w:r>
      <w:r w:rsidR="00932C23">
        <w:rPr>
          <w:rStyle w:val="FootnoteReference"/>
        </w:rPr>
        <w:footnoteReference w:id="216"/>
      </w:r>
    </w:p>
    <w:p w:rsidR="001D2FA7" w:rsidRPr="00382917" w:rsidRDefault="001D2FA7" w:rsidP="007B319A">
      <w:pPr>
        <w:pStyle w:val="Text"/>
      </w:pPr>
      <w:r w:rsidRPr="00382917">
        <w:t>The</w:t>
      </w:r>
      <w:r w:rsidR="00EE4FC3">
        <w:t xml:space="preserve"> </w:t>
      </w:r>
      <w:r w:rsidRPr="00382917">
        <w:t>messenger,</w:t>
      </w:r>
      <w:r w:rsidR="00EE4FC3">
        <w:t xml:space="preserve"> </w:t>
      </w:r>
      <w:r w:rsidRPr="00382917">
        <w:t>Sayyáḥ,</w:t>
      </w:r>
      <w:r w:rsidR="00EE4FC3">
        <w:t xml:space="preserve"> </w:t>
      </w:r>
      <w:r w:rsidRPr="00382917">
        <w:t>whom</w:t>
      </w:r>
      <w:r w:rsidR="00EE4FC3">
        <w:t xml:space="preserve"> </w:t>
      </w:r>
      <w:r w:rsidRPr="00382917">
        <w:t>the</w:t>
      </w:r>
      <w:r w:rsidR="00EE4FC3">
        <w:t xml:space="preserve"> </w:t>
      </w:r>
      <w:r w:rsidRPr="00382917">
        <w:t>Báb</w:t>
      </w:r>
      <w:r w:rsidR="00EE4FC3">
        <w:t xml:space="preserve"> </w:t>
      </w:r>
      <w:r w:rsidRPr="00382917">
        <w:t>commissioned</w:t>
      </w:r>
      <w:r w:rsidR="00EE4FC3">
        <w:t xml:space="preserve"> </w:t>
      </w:r>
      <w:r w:rsidRPr="00382917">
        <w:t>to</w:t>
      </w:r>
      <w:r w:rsidR="00EE4FC3">
        <w:t xml:space="preserve"> </w:t>
      </w:r>
      <w:r w:rsidRPr="00382917">
        <w:t>go</w:t>
      </w:r>
      <w:r w:rsidR="00EE4FC3">
        <w:t xml:space="preserve"> </w:t>
      </w:r>
      <w:r w:rsidRPr="00382917">
        <w:t>to</w:t>
      </w:r>
      <w:r w:rsidR="00EE4FC3">
        <w:t xml:space="preserve"> </w:t>
      </w:r>
      <w:r w:rsidRPr="00382917">
        <w:t>Ṭabarsí</w:t>
      </w:r>
      <w:r w:rsidR="00EE4FC3">
        <w:t xml:space="preserve"> </w:t>
      </w:r>
      <w:r w:rsidRPr="00382917">
        <w:t>and</w:t>
      </w:r>
      <w:r w:rsidR="00EE4FC3">
        <w:t xml:space="preserve"> </w:t>
      </w:r>
      <w:r w:rsidR="00814CFC" w:rsidRPr="00382917">
        <w:t>Bárfurú</w:t>
      </w:r>
      <w:r w:rsidR="00814CFC" w:rsidRPr="00814CFC">
        <w:rPr>
          <w:u w:val="single"/>
        </w:rPr>
        <w:t>sh</w:t>
      </w:r>
      <w:r w:rsidR="00EE4FC3">
        <w:t xml:space="preserve"> </w:t>
      </w:r>
      <w:r w:rsidRPr="00382917">
        <w:t>on</w:t>
      </w:r>
      <w:r w:rsidR="00EE4FC3">
        <w:t xml:space="preserve"> </w:t>
      </w:r>
      <w:r w:rsidRPr="00382917">
        <w:t>His</w:t>
      </w:r>
      <w:r w:rsidR="00EE4FC3">
        <w:t xml:space="preserve"> </w:t>
      </w:r>
      <w:r w:rsidRPr="00382917">
        <w:t>behalf,</w:t>
      </w:r>
      <w:r w:rsidR="00EE4FC3">
        <w:t xml:space="preserve"> </w:t>
      </w:r>
      <w:r w:rsidRPr="00382917">
        <w:t>and</w:t>
      </w:r>
      <w:r w:rsidR="00EE4FC3">
        <w:t xml:space="preserve"> </w:t>
      </w:r>
      <w:r w:rsidRPr="00382917">
        <w:t>to</w:t>
      </w:r>
      <w:r w:rsidR="00EE4FC3">
        <w:t xml:space="preserve"> </w:t>
      </w:r>
      <w:r w:rsidRPr="00382917">
        <w:t>bring</w:t>
      </w:r>
      <w:r w:rsidR="00EE4FC3">
        <w:t xml:space="preserve"> </w:t>
      </w:r>
      <w:r w:rsidRPr="00382917">
        <w:t>back</w:t>
      </w:r>
      <w:r w:rsidR="00EE4FC3">
        <w:t xml:space="preserve"> </w:t>
      </w:r>
      <w:r w:rsidRPr="00382917">
        <w:t>some</w:t>
      </w:r>
      <w:r w:rsidR="00EE4FC3">
        <w:t xml:space="preserve"> </w:t>
      </w:r>
      <w:r w:rsidRPr="00382917">
        <w:t>of</w:t>
      </w:r>
      <w:r w:rsidR="00EE4FC3">
        <w:t xml:space="preserve"> </w:t>
      </w:r>
      <w:r w:rsidRPr="00382917">
        <w:t>the</w:t>
      </w:r>
      <w:r w:rsidR="00EE4FC3">
        <w:t xml:space="preserve"> </w:t>
      </w:r>
      <w:r w:rsidRPr="00382917">
        <w:t>holy</w:t>
      </w:r>
      <w:r w:rsidR="00EE4FC3">
        <w:t xml:space="preserve"> </w:t>
      </w:r>
      <w:r w:rsidRPr="00382917">
        <w:t>earth</w:t>
      </w:r>
      <w:r w:rsidR="00EE4FC3">
        <w:t xml:space="preserve"> </w:t>
      </w:r>
      <w:r w:rsidRPr="00382917">
        <w:t>that</w:t>
      </w:r>
      <w:r w:rsidR="00EE4FC3">
        <w:t xml:space="preserve"> </w:t>
      </w:r>
      <w:r w:rsidRPr="00382917">
        <w:t>covered</w:t>
      </w:r>
      <w:r w:rsidR="00EE4FC3">
        <w:t xml:space="preserve"> </w:t>
      </w:r>
      <w:r w:rsidRPr="00382917">
        <w:t>the</w:t>
      </w:r>
      <w:r w:rsidR="00EE4FC3">
        <w:t xml:space="preserve"> </w:t>
      </w:r>
      <w:r w:rsidRPr="00382917">
        <w:t>remains</w:t>
      </w:r>
      <w:r w:rsidR="00EE4FC3">
        <w:t xml:space="preserve"> </w:t>
      </w:r>
      <w:r w:rsidRPr="00382917">
        <w:t>of</w:t>
      </w:r>
      <w:r w:rsidR="00EE4FC3">
        <w:t xml:space="preserve"> </w:t>
      </w:r>
      <w:r w:rsidRPr="00382917">
        <w:t>Mullá</w:t>
      </w:r>
      <w:r w:rsidR="00EE4FC3">
        <w:t xml:space="preserve"> </w:t>
      </w:r>
      <w:r w:rsidR="00964C11" w:rsidRPr="00382917">
        <w:t>Ḥusayn</w:t>
      </w:r>
      <w:r w:rsidR="00EE4FC3">
        <w:t xml:space="preserve"> </w:t>
      </w:r>
      <w:r w:rsidRPr="00382917">
        <w:t>and</w:t>
      </w:r>
      <w:r w:rsidR="00EE4FC3">
        <w:t xml:space="preserve"> </w:t>
      </w:r>
      <w:r w:rsidRPr="00382917">
        <w:t>Quddús,</w:t>
      </w:r>
      <w:r w:rsidR="00EE4FC3">
        <w:t xml:space="preserve"> </w:t>
      </w:r>
      <w:r w:rsidRPr="00382917">
        <w:t>visited</w:t>
      </w:r>
      <w:r w:rsidR="00EE4FC3">
        <w:t xml:space="preserve"> </w:t>
      </w:r>
      <w:r w:rsidRPr="00382917">
        <w:t>Bahá</w:t>
      </w:r>
      <w:r w:rsidR="009C713D" w:rsidRPr="00382917">
        <w:t>’</w:t>
      </w:r>
      <w:r w:rsidRPr="00382917">
        <w:t>u</w:t>
      </w:r>
      <w:r w:rsidR="009C713D" w:rsidRPr="00382917">
        <w:t>’</w:t>
      </w:r>
      <w:r w:rsidRPr="00382917">
        <w:t>lláh</w:t>
      </w:r>
      <w:r w:rsidR="00EE4FC3">
        <w:t xml:space="preserve"> </w:t>
      </w:r>
      <w:r w:rsidRPr="00382917">
        <w:t>before</w:t>
      </w:r>
      <w:r w:rsidR="00EE4FC3">
        <w:t xml:space="preserve"> </w:t>
      </w:r>
      <w:r w:rsidRPr="00382917">
        <w:t>returning</w:t>
      </w:r>
      <w:r w:rsidR="00EE4FC3">
        <w:t xml:space="preserve"> </w:t>
      </w:r>
      <w:r w:rsidRPr="00382917">
        <w:t>to</w:t>
      </w:r>
      <w:r w:rsidR="00EE4FC3">
        <w:t xml:space="preserve"> </w:t>
      </w:r>
      <w:r w:rsidRPr="00382917">
        <w:t>the</w:t>
      </w:r>
      <w:r w:rsidR="00EE4FC3">
        <w:t xml:space="preserve"> </w:t>
      </w:r>
      <w:r w:rsidRPr="00382917">
        <w:t>Báb</w:t>
      </w:r>
      <w:r w:rsidR="009C713D" w:rsidRPr="00382917">
        <w:t>’</w:t>
      </w:r>
      <w:r w:rsidRPr="00382917">
        <w:t>s</w:t>
      </w:r>
      <w:r w:rsidR="00EE4FC3">
        <w:t xml:space="preserve"> </w:t>
      </w:r>
      <w:r w:rsidRPr="00382917">
        <w:t>prison</w:t>
      </w:r>
      <w:r w:rsidR="00EE4FC3">
        <w:t xml:space="preserve"> </w:t>
      </w:r>
      <w:r w:rsidRPr="00382917">
        <w:t>of</w:t>
      </w:r>
      <w:r w:rsidR="00EE4FC3">
        <w:t xml:space="preserve"> </w:t>
      </w:r>
      <w:r w:rsidR="001713B3" w:rsidRPr="001713B3">
        <w:rPr>
          <w:u w:val="single"/>
        </w:rPr>
        <w:t>Ch</w:t>
      </w:r>
      <w:r w:rsidR="001713B3" w:rsidRPr="00382917">
        <w:t>ihríq</w:t>
      </w:r>
      <w:r w:rsidR="00330AF7">
        <w:t>.</w:t>
      </w:r>
      <w:r w:rsidR="00EE4FC3">
        <w:t xml:space="preserve">  </w:t>
      </w:r>
      <w:r w:rsidRPr="00382917">
        <w:t>Vaḥíd</w:t>
      </w:r>
      <w:r w:rsidR="00EE4FC3">
        <w:t xml:space="preserve"> </w:t>
      </w:r>
      <w:r w:rsidRPr="00382917">
        <w:t>was</w:t>
      </w:r>
      <w:r w:rsidR="00EE4FC3">
        <w:t xml:space="preserve"> </w:t>
      </w:r>
      <w:r w:rsidRPr="00382917">
        <w:t>an</w:t>
      </w:r>
      <w:r w:rsidR="00EE4FC3">
        <w:t xml:space="preserve"> </w:t>
      </w:r>
      <w:proofErr w:type="spellStart"/>
      <w:r w:rsidRPr="00382917">
        <w:t>honored</w:t>
      </w:r>
      <w:proofErr w:type="spellEnd"/>
      <w:r w:rsidR="00EE4FC3">
        <w:t xml:space="preserve"> </w:t>
      </w:r>
      <w:r w:rsidRPr="00382917">
        <w:t>guest</w:t>
      </w:r>
      <w:r w:rsidR="00EE4FC3">
        <w:t xml:space="preserve"> </w:t>
      </w:r>
      <w:r w:rsidRPr="00382917">
        <w:t>of</w:t>
      </w:r>
      <w:r w:rsidR="00EE4FC3">
        <w:t xml:space="preserve"> </w:t>
      </w:r>
      <w:r w:rsidRPr="00382917">
        <w:t>Bahá</w:t>
      </w:r>
      <w:r w:rsidR="009C713D" w:rsidRPr="00382917">
        <w:t>’</w:t>
      </w:r>
      <w:r w:rsidRPr="00382917">
        <w:t>u</w:t>
      </w:r>
      <w:r w:rsidR="009C713D" w:rsidRPr="00382917">
        <w:t>’</w:t>
      </w:r>
      <w:r w:rsidRPr="00382917">
        <w:t>lláh</w:t>
      </w:r>
      <w:r w:rsidR="00EE4FC3">
        <w:t xml:space="preserve"> </w:t>
      </w:r>
      <w:r w:rsidRPr="00382917">
        <w:t>at</w:t>
      </w:r>
      <w:r w:rsidR="00EE4FC3">
        <w:t xml:space="preserve"> </w:t>
      </w:r>
      <w:r w:rsidRPr="00382917">
        <w:t>the</w:t>
      </w:r>
      <w:r w:rsidR="00EE4FC3">
        <w:t xml:space="preserve"> </w:t>
      </w:r>
      <w:r w:rsidRPr="00382917">
        <w:t>time</w:t>
      </w:r>
      <w:r w:rsidR="00EE4FC3">
        <w:t xml:space="preserve"> </w:t>
      </w:r>
      <w:r w:rsidRPr="00382917">
        <w:t>of</w:t>
      </w:r>
      <w:r w:rsidR="00EE4FC3">
        <w:t xml:space="preserve"> </w:t>
      </w:r>
      <w:proofErr w:type="spellStart"/>
      <w:r w:rsidRPr="00382917">
        <w:t>Sayyáḥ</w:t>
      </w:r>
      <w:r w:rsidR="009C713D" w:rsidRPr="00382917">
        <w:t>’</w:t>
      </w:r>
      <w:r w:rsidRPr="00382917">
        <w:t>s</w:t>
      </w:r>
      <w:proofErr w:type="spellEnd"/>
      <w:r w:rsidR="00EE4FC3">
        <w:t xml:space="preserve"> </w:t>
      </w:r>
      <w:r w:rsidRPr="00382917">
        <w:t>coming.</w:t>
      </w:r>
    </w:p>
    <w:p w:rsidR="001D2FA7" w:rsidRPr="00382917" w:rsidRDefault="001D2FA7" w:rsidP="007B319A">
      <w:pPr>
        <w:pStyle w:val="Text"/>
      </w:pPr>
      <w:r w:rsidRPr="00382917">
        <w:t>Sayyáḥ</w:t>
      </w:r>
      <w:r w:rsidR="00EE4FC3">
        <w:t xml:space="preserve"> </w:t>
      </w:r>
      <w:r w:rsidRPr="00382917">
        <w:t>appeared</w:t>
      </w:r>
      <w:r w:rsidR="00EE4FC3">
        <w:t xml:space="preserve"> </w:t>
      </w:r>
      <w:r w:rsidRPr="00382917">
        <w:t>at</w:t>
      </w:r>
      <w:r w:rsidR="00EE4FC3">
        <w:t xml:space="preserve"> </w:t>
      </w:r>
      <w:r w:rsidRPr="00382917">
        <w:t>Bahá</w:t>
      </w:r>
      <w:r w:rsidR="009C713D" w:rsidRPr="00382917">
        <w:t>’</w:t>
      </w:r>
      <w:r w:rsidRPr="00382917">
        <w:t>u</w:t>
      </w:r>
      <w:r w:rsidR="009C713D" w:rsidRPr="00382917">
        <w:t>’</w:t>
      </w:r>
      <w:r w:rsidRPr="00382917">
        <w:t>lláh</w:t>
      </w:r>
      <w:r w:rsidR="009C713D" w:rsidRPr="00382917">
        <w:t>’</w:t>
      </w:r>
      <w:r w:rsidRPr="00382917">
        <w:t>s</w:t>
      </w:r>
      <w:r w:rsidR="00EE4FC3">
        <w:t xml:space="preserve"> </w:t>
      </w:r>
      <w:r w:rsidRPr="00382917">
        <w:t>door</w:t>
      </w:r>
      <w:r w:rsidR="00EE4FC3">
        <w:t xml:space="preserve"> </w:t>
      </w:r>
      <w:r w:rsidRPr="00382917">
        <w:t>in</w:t>
      </w:r>
      <w:r w:rsidR="00EE4FC3">
        <w:t xml:space="preserve"> </w:t>
      </w:r>
      <w:r w:rsidRPr="00382917">
        <w:t>the</w:t>
      </w:r>
      <w:r w:rsidR="00EE4FC3">
        <w:t xml:space="preserve"> </w:t>
      </w:r>
      <w:r w:rsidRPr="00382917">
        <w:t>bitter</w:t>
      </w:r>
      <w:r w:rsidR="00EE4FC3">
        <w:t xml:space="preserve"> </w:t>
      </w:r>
      <w:r w:rsidRPr="00382917">
        <w:t>cold</w:t>
      </w:r>
      <w:r w:rsidR="00EE4FC3">
        <w:t xml:space="preserve"> </w:t>
      </w:r>
      <w:r w:rsidRPr="00382917">
        <w:t>of</w:t>
      </w:r>
      <w:r w:rsidR="00EE4FC3">
        <w:t xml:space="preserve"> </w:t>
      </w:r>
      <w:r w:rsidRPr="00382917">
        <w:t>winter</w:t>
      </w:r>
      <w:r w:rsidR="00330AF7">
        <w:t>.</w:t>
      </w:r>
      <w:r w:rsidR="00EE4FC3">
        <w:t xml:space="preserve">  </w:t>
      </w:r>
      <w:r w:rsidRPr="00382917">
        <w:t>He</w:t>
      </w:r>
      <w:r w:rsidR="00EE4FC3">
        <w:t xml:space="preserve"> </w:t>
      </w:r>
      <w:r w:rsidRPr="00382917">
        <w:t>was</w:t>
      </w:r>
      <w:r w:rsidR="00EE4FC3">
        <w:t xml:space="preserve"> </w:t>
      </w:r>
      <w:r w:rsidRPr="00382917">
        <w:t>barefooted,</w:t>
      </w:r>
      <w:r w:rsidR="00EE4FC3">
        <w:t xml:space="preserve"> </w:t>
      </w:r>
      <w:r w:rsidRPr="00382917">
        <w:t>poorly</w:t>
      </w:r>
      <w:r w:rsidR="00EE4FC3">
        <w:t xml:space="preserve"> </w:t>
      </w:r>
      <w:r w:rsidRPr="00382917">
        <w:t>clad,</w:t>
      </w:r>
      <w:r w:rsidR="00EE4FC3">
        <w:t xml:space="preserve"> </w:t>
      </w:r>
      <w:r w:rsidRPr="00382917">
        <w:t>and</w:t>
      </w:r>
      <w:r w:rsidR="00EE4FC3">
        <w:t xml:space="preserve"> </w:t>
      </w:r>
      <w:r w:rsidRPr="00382917">
        <w:t>dishevelled</w:t>
      </w:r>
      <w:r w:rsidR="00330AF7">
        <w:t>.</w:t>
      </w:r>
      <w:r w:rsidR="00EE4FC3">
        <w:t xml:space="preserve">  </w:t>
      </w:r>
      <w:r w:rsidRPr="00382917">
        <w:t>Vaḥíd</w:t>
      </w:r>
      <w:r w:rsidR="00EE4FC3">
        <w:t xml:space="preserve"> </w:t>
      </w:r>
      <w:r w:rsidRPr="00382917">
        <w:t>was</w:t>
      </w:r>
      <w:r w:rsidR="00EE4FC3">
        <w:t xml:space="preserve"> </w:t>
      </w:r>
      <w:r w:rsidRPr="00382917">
        <w:t>told</w:t>
      </w:r>
      <w:r w:rsidR="00EE4FC3">
        <w:t xml:space="preserve"> </w:t>
      </w:r>
      <w:r w:rsidRPr="00382917">
        <w:t>of</w:t>
      </w:r>
      <w:r w:rsidR="00EE4FC3">
        <w:t xml:space="preserve"> </w:t>
      </w:r>
      <w:proofErr w:type="spellStart"/>
      <w:r w:rsidRPr="00382917">
        <w:t>Sayyáḥ</w:t>
      </w:r>
      <w:r w:rsidR="009C713D" w:rsidRPr="00382917">
        <w:t>’</w:t>
      </w:r>
      <w:r w:rsidRPr="00382917">
        <w:t>s</w:t>
      </w:r>
      <w:proofErr w:type="spellEnd"/>
      <w:r w:rsidR="00EE4FC3">
        <w:t xml:space="preserve"> </w:t>
      </w:r>
      <w:r w:rsidRPr="00382917">
        <w:t>arrival</w:t>
      </w:r>
      <w:r w:rsidR="00EE4FC3">
        <w:t xml:space="preserve"> </w:t>
      </w:r>
      <w:r w:rsidRPr="00382917">
        <w:t>from</w:t>
      </w:r>
      <w:r w:rsidR="00EE4FC3">
        <w:t xml:space="preserve"> </w:t>
      </w:r>
      <w:r w:rsidRPr="00382917">
        <w:t>Ṭabarsí</w:t>
      </w:r>
      <w:r w:rsidR="00330AF7">
        <w:t>.</w:t>
      </w:r>
      <w:r w:rsidR="00EE4FC3">
        <w:t xml:space="preserve">  </w:t>
      </w:r>
      <w:r w:rsidRPr="00382917">
        <w:t>Completely</w:t>
      </w:r>
      <w:r w:rsidR="00EE4FC3">
        <w:t xml:space="preserve"> </w:t>
      </w:r>
      <w:r w:rsidRPr="00382917">
        <w:t>oblivious</w:t>
      </w:r>
      <w:r w:rsidR="00EE4FC3">
        <w:t xml:space="preserve"> </w:t>
      </w:r>
      <w:r w:rsidRPr="00382917">
        <w:t>of</w:t>
      </w:r>
      <w:r w:rsidR="00EE4FC3">
        <w:t xml:space="preserve"> </w:t>
      </w:r>
      <w:r w:rsidRPr="00382917">
        <w:t>the</w:t>
      </w:r>
      <w:r w:rsidR="00EE4FC3">
        <w:t xml:space="preserve"> </w:t>
      </w:r>
      <w:r w:rsidRPr="00382917">
        <w:t>dignity</w:t>
      </w:r>
      <w:r w:rsidR="00EE4FC3">
        <w:t xml:space="preserve"> </w:t>
      </w:r>
      <w:r w:rsidRPr="00382917">
        <w:t>and</w:t>
      </w:r>
      <w:r w:rsidR="00EE4FC3">
        <w:t xml:space="preserve"> </w:t>
      </w:r>
      <w:proofErr w:type="spellStart"/>
      <w:r w:rsidRPr="00382917">
        <w:t>honor</w:t>
      </w:r>
      <w:proofErr w:type="spellEnd"/>
      <w:r w:rsidR="00EE4FC3">
        <w:t xml:space="preserve"> </w:t>
      </w:r>
      <w:r w:rsidRPr="00382917">
        <w:t>to</w:t>
      </w:r>
      <w:r w:rsidR="00EE4FC3">
        <w:t xml:space="preserve"> </w:t>
      </w:r>
      <w:r w:rsidRPr="00382917">
        <w:t>which</w:t>
      </w:r>
      <w:r w:rsidR="00EE4FC3">
        <w:t xml:space="preserve"> </w:t>
      </w:r>
      <w:r w:rsidRPr="00382917">
        <w:t>a</w:t>
      </w:r>
      <w:r w:rsidR="00EE4FC3">
        <w:t xml:space="preserve"> </w:t>
      </w:r>
      <w:r w:rsidRPr="00382917">
        <w:t>man</w:t>
      </w:r>
      <w:r w:rsidR="00EE4FC3">
        <w:t xml:space="preserve"> </w:t>
      </w:r>
      <w:r w:rsidRPr="00382917">
        <w:t>of</w:t>
      </w:r>
      <w:r w:rsidR="00EE4FC3">
        <w:t xml:space="preserve"> </w:t>
      </w:r>
      <w:r w:rsidRPr="00382917">
        <w:t>his</w:t>
      </w:r>
      <w:r w:rsidR="00EE4FC3">
        <w:t xml:space="preserve"> </w:t>
      </w:r>
      <w:r w:rsidRPr="00382917">
        <w:t>position</w:t>
      </w:r>
      <w:r w:rsidR="00EE4FC3">
        <w:t xml:space="preserve"> </w:t>
      </w:r>
      <w:r w:rsidRPr="00382917">
        <w:t>and</w:t>
      </w:r>
      <w:r w:rsidR="00EE4FC3">
        <w:t xml:space="preserve"> </w:t>
      </w:r>
      <w:r w:rsidRPr="00382917">
        <w:t>fame</w:t>
      </w:r>
      <w:r w:rsidR="00EE4FC3">
        <w:t xml:space="preserve"> </w:t>
      </w:r>
      <w:r w:rsidRPr="00382917">
        <w:t>was</w:t>
      </w:r>
      <w:r w:rsidR="00EE4FC3">
        <w:t xml:space="preserve"> </w:t>
      </w:r>
      <w:r w:rsidRPr="00382917">
        <w:t>accustomed,</w:t>
      </w:r>
      <w:r w:rsidR="00EE4FC3">
        <w:t xml:space="preserve"> </w:t>
      </w:r>
      <w:r w:rsidRPr="00382917">
        <w:t>Vaḥíd</w:t>
      </w:r>
      <w:r w:rsidR="00EE4FC3">
        <w:t xml:space="preserve"> </w:t>
      </w:r>
      <w:r w:rsidRPr="00382917">
        <w:t>rushed</w:t>
      </w:r>
      <w:r w:rsidR="00EE4FC3">
        <w:t xml:space="preserve"> </w:t>
      </w:r>
      <w:r w:rsidRPr="00382917">
        <w:t>forward</w:t>
      </w:r>
      <w:r w:rsidR="00EE4FC3">
        <w:t xml:space="preserve"> </w:t>
      </w:r>
      <w:r w:rsidRPr="00382917">
        <w:t>to</w:t>
      </w:r>
      <w:r w:rsidR="00EE4FC3">
        <w:t xml:space="preserve"> </w:t>
      </w:r>
      <w:r w:rsidRPr="00382917">
        <w:t>meet</w:t>
      </w:r>
      <w:r w:rsidR="00EE4FC3">
        <w:t xml:space="preserve"> </w:t>
      </w:r>
      <w:r w:rsidRPr="00382917">
        <w:t>him</w:t>
      </w:r>
      <w:r w:rsidR="00EE4FC3">
        <w:t xml:space="preserve"> </w:t>
      </w:r>
      <w:r w:rsidRPr="00382917">
        <w:t>and</w:t>
      </w:r>
      <w:r w:rsidR="00EE4FC3">
        <w:t xml:space="preserve"> </w:t>
      </w:r>
      <w:r w:rsidRPr="00382917">
        <w:t>threw</w:t>
      </w:r>
      <w:r w:rsidR="00EE4FC3">
        <w:t xml:space="preserve"> </w:t>
      </w:r>
      <w:r w:rsidRPr="00382917">
        <w:t>himself</w:t>
      </w:r>
      <w:r w:rsidR="00EE4FC3">
        <w:t xml:space="preserve"> </w:t>
      </w:r>
      <w:r w:rsidRPr="00382917">
        <w:t>at</w:t>
      </w:r>
      <w:r w:rsidR="00EE4FC3">
        <w:t xml:space="preserve"> </w:t>
      </w:r>
      <w:proofErr w:type="spellStart"/>
      <w:r w:rsidRPr="00382917">
        <w:t>Sayyáḥ</w:t>
      </w:r>
      <w:r w:rsidR="009C713D" w:rsidRPr="00382917">
        <w:t>’</w:t>
      </w:r>
      <w:r w:rsidRPr="00382917">
        <w:t>s</w:t>
      </w:r>
      <w:proofErr w:type="spellEnd"/>
      <w:r w:rsidR="00EE4FC3">
        <w:t xml:space="preserve"> </w:t>
      </w:r>
      <w:r w:rsidRPr="00382917">
        <w:t>feet</w:t>
      </w:r>
      <w:r w:rsidR="00330AF7">
        <w:t>.</w:t>
      </w:r>
      <w:r w:rsidR="00EE4FC3">
        <w:t xml:space="preserve">  </w:t>
      </w:r>
      <w:r w:rsidRPr="00382917">
        <w:t>He</w:t>
      </w:r>
      <w:r w:rsidR="00EE4FC3">
        <w:t xml:space="preserve"> </w:t>
      </w:r>
      <w:r w:rsidRPr="00382917">
        <w:t>embraced</w:t>
      </w:r>
      <w:r w:rsidR="00EE4FC3">
        <w:t xml:space="preserve"> </w:t>
      </w:r>
      <w:r w:rsidRPr="00382917">
        <w:t>those</w:t>
      </w:r>
      <w:r w:rsidR="00EE4FC3">
        <w:t xml:space="preserve"> </w:t>
      </w:r>
      <w:r w:rsidRPr="00382917">
        <w:t>legs</w:t>
      </w:r>
      <w:r w:rsidR="00EE4FC3">
        <w:t xml:space="preserve"> </w:t>
      </w:r>
      <w:r w:rsidRPr="00382917">
        <w:t>which</w:t>
      </w:r>
      <w:r w:rsidR="00EE4FC3">
        <w:t xml:space="preserve"> </w:t>
      </w:r>
      <w:r w:rsidRPr="00382917">
        <w:t>were</w:t>
      </w:r>
      <w:r w:rsidR="00EE4FC3">
        <w:t xml:space="preserve"> </w:t>
      </w:r>
      <w:r w:rsidRPr="00382917">
        <w:t>covered</w:t>
      </w:r>
      <w:r w:rsidR="00EE4FC3">
        <w:t xml:space="preserve"> </w:t>
      </w:r>
      <w:r w:rsidRPr="00382917">
        <w:t>to</w:t>
      </w:r>
      <w:r w:rsidR="00EE4FC3">
        <w:t xml:space="preserve"> </w:t>
      </w:r>
      <w:r w:rsidRPr="00382917">
        <w:t>the</w:t>
      </w:r>
      <w:r w:rsidR="00EE4FC3">
        <w:t xml:space="preserve"> </w:t>
      </w:r>
      <w:r w:rsidRPr="00382917">
        <w:t>knees</w:t>
      </w:r>
      <w:r w:rsidR="00EE4FC3">
        <w:t xml:space="preserve"> </w:t>
      </w:r>
      <w:r w:rsidRPr="00382917">
        <w:t>with</w:t>
      </w:r>
      <w:r w:rsidR="00EE4FC3">
        <w:t xml:space="preserve"> </w:t>
      </w:r>
      <w:r w:rsidRPr="00382917">
        <w:t>mud</w:t>
      </w:r>
      <w:r w:rsidR="00EE4FC3">
        <w:t xml:space="preserve"> </w:t>
      </w:r>
      <w:r w:rsidRPr="00382917">
        <w:t>from</w:t>
      </w:r>
      <w:r w:rsidR="00EE4FC3">
        <w:t xml:space="preserve"> </w:t>
      </w:r>
      <w:r w:rsidRPr="00382917">
        <w:t>the</w:t>
      </w:r>
      <w:r w:rsidR="00EE4FC3">
        <w:t xml:space="preserve"> </w:t>
      </w:r>
      <w:r w:rsidRPr="00382917">
        <w:t>earth</w:t>
      </w:r>
      <w:r w:rsidR="00EE4FC3">
        <w:t xml:space="preserve"> </w:t>
      </w:r>
      <w:r w:rsidRPr="00382917">
        <w:t>of</w:t>
      </w:r>
      <w:r w:rsidR="00EE4FC3">
        <w:t xml:space="preserve"> </w:t>
      </w:r>
      <w:r w:rsidRPr="00382917">
        <w:t>Ṭabarsí.</w:t>
      </w:r>
    </w:p>
    <w:p w:rsidR="001D2FA7" w:rsidRPr="00382917" w:rsidRDefault="001D2FA7" w:rsidP="007B319A">
      <w:pPr>
        <w:pStyle w:val="Text"/>
      </w:pPr>
      <w:r w:rsidRPr="00382917">
        <w:t>It</w:t>
      </w:r>
      <w:r w:rsidR="00EE4FC3">
        <w:t xml:space="preserve"> </w:t>
      </w:r>
      <w:r w:rsidRPr="00382917">
        <w:t>was</w:t>
      </w:r>
      <w:r w:rsidR="00EE4FC3">
        <w:t xml:space="preserve"> </w:t>
      </w:r>
      <w:r w:rsidRPr="00382917">
        <w:t>to</w:t>
      </w:r>
      <w:r w:rsidR="00EE4FC3">
        <w:t xml:space="preserve"> </w:t>
      </w:r>
      <w:r w:rsidRPr="00382917">
        <w:t>this</w:t>
      </w:r>
      <w:r w:rsidR="00EE4FC3">
        <w:t xml:space="preserve"> </w:t>
      </w:r>
      <w:r w:rsidRPr="00382917">
        <w:t>same</w:t>
      </w:r>
      <w:r w:rsidR="00EE4FC3">
        <w:t xml:space="preserve"> </w:t>
      </w:r>
      <w:r w:rsidRPr="00382917">
        <w:t>Sayyáḥ</w:t>
      </w:r>
      <w:r w:rsidR="00EE4FC3">
        <w:t xml:space="preserve"> </w:t>
      </w:r>
      <w:r w:rsidRPr="00382917">
        <w:t>that</w:t>
      </w:r>
      <w:r w:rsidR="00EE4FC3">
        <w:t xml:space="preserve"> </w:t>
      </w:r>
      <w:r w:rsidRPr="00382917">
        <w:t>Bahá</w:t>
      </w:r>
      <w:r w:rsidR="009C713D" w:rsidRPr="00382917">
        <w:t>’</w:t>
      </w:r>
      <w:r w:rsidRPr="00382917">
        <w:t>u</w:t>
      </w:r>
      <w:r w:rsidR="009C713D" w:rsidRPr="00382917">
        <w:t>’</w:t>
      </w:r>
      <w:r w:rsidRPr="00382917">
        <w:t>lláh</w:t>
      </w:r>
      <w:r w:rsidR="00EE4FC3">
        <w:t xml:space="preserve"> </w:t>
      </w:r>
      <w:r w:rsidRPr="00382917">
        <w:t>gave</w:t>
      </w:r>
      <w:r w:rsidR="00EE4FC3">
        <w:t xml:space="preserve"> </w:t>
      </w:r>
      <w:r w:rsidRPr="00382917">
        <w:t>a</w:t>
      </w:r>
      <w:r w:rsidR="00EE4FC3">
        <w:t xml:space="preserve"> </w:t>
      </w:r>
      <w:r w:rsidRPr="00382917">
        <w:t>letter</w:t>
      </w:r>
      <w:r w:rsidR="00EE4FC3">
        <w:t xml:space="preserve"> </w:t>
      </w:r>
      <w:r w:rsidRPr="00382917">
        <w:t>to</w:t>
      </w:r>
      <w:r w:rsidR="00EE4FC3">
        <w:t xml:space="preserve"> </w:t>
      </w:r>
      <w:r w:rsidRPr="00382917">
        <w:t>take</w:t>
      </w:r>
      <w:r w:rsidR="00EE4FC3">
        <w:t xml:space="preserve"> </w:t>
      </w:r>
      <w:r w:rsidRPr="00382917">
        <w:t>to</w:t>
      </w:r>
      <w:r w:rsidR="00EE4FC3">
        <w:t xml:space="preserve"> </w:t>
      </w:r>
      <w:r w:rsidRPr="00382917">
        <w:t>the</w:t>
      </w:r>
      <w:r w:rsidR="00EE4FC3">
        <w:t xml:space="preserve"> </w:t>
      </w:r>
      <w:r w:rsidRPr="00382917">
        <w:t>Báb</w:t>
      </w:r>
      <w:r w:rsidR="00EE4FC3">
        <w:t xml:space="preserve"> </w:t>
      </w:r>
      <w:r w:rsidRPr="00382917">
        <w:t>at</w:t>
      </w:r>
      <w:r w:rsidR="00EE4FC3">
        <w:t xml:space="preserve"> </w:t>
      </w:r>
      <w:r w:rsidR="001713B3" w:rsidRPr="001713B3">
        <w:rPr>
          <w:u w:val="single"/>
        </w:rPr>
        <w:t>Ch</w:t>
      </w:r>
      <w:r w:rsidR="001713B3" w:rsidRPr="00382917">
        <w:t>ihríq</w:t>
      </w:r>
      <w:r w:rsidR="00330AF7">
        <w:t>.</w:t>
      </w:r>
      <w:r w:rsidR="00EE4FC3">
        <w:t xml:space="preserve">  </w:t>
      </w:r>
      <w:r w:rsidRPr="00382917">
        <w:t>Shortly</w:t>
      </w:r>
      <w:r w:rsidR="00EE4FC3">
        <w:t xml:space="preserve"> </w:t>
      </w:r>
      <w:r w:rsidRPr="00382917">
        <w:t>afterward</w:t>
      </w:r>
      <w:r w:rsidR="00EE4FC3">
        <w:t xml:space="preserve"> </w:t>
      </w:r>
      <w:r w:rsidRPr="00382917">
        <w:t>a</w:t>
      </w:r>
      <w:r w:rsidR="00EE4FC3">
        <w:t xml:space="preserve"> </w:t>
      </w:r>
      <w:r w:rsidRPr="00382917">
        <w:t>reply</w:t>
      </w:r>
      <w:r w:rsidR="00EE4FC3">
        <w:t xml:space="preserve"> </w:t>
      </w:r>
      <w:r w:rsidRPr="00382917">
        <w:t>came</w:t>
      </w:r>
      <w:r w:rsidR="00EE4FC3">
        <w:t xml:space="preserve"> </w:t>
      </w:r>
      <w:r w:rsidRPr="00382917">
        <w:t>from</w:t>
      </w:r>
      <w:r w:rsidR="00EE4FC3">
        <w:t xml:space="preserve"> </w:t>
      </w:r>
      <w:r w:rsidRPr="00382917">
        <w:t>the</w:t>
      </w:r>
      <w:r w:rsidR="00EE4FC3">
        <w:t xml:space="preserve"> </w:t>
      </w:r>
      <w:r w:rsidRPr="00382917">
        <w:t>prison</w:t>
      </w:r>
      <w:r w:rsidR="00EE4FC3">
        <w:t xml:space="preserve"> </w:t>
      </w:r>
      <w:r w:rsidRPr="00382917">
        <w:t>in</w:t>
      </w:r>
      <w:r w:rsidR="00EE4FC3">
        <w:t xml:space="preserve"> </w:t>
      </w:r>
      <w:r w:rsidRPr="00382917">
        <w:t>the</w:t>
      </w:r>
      <w:r w:rsidR="00EE4FC3">
        <w:t xml:space="preserve"> </w:t>
      </w:r>
      <w:r w:rsidRPr="00382917">
        <w:t>Báb</w:t>
      </w:r>
      <w:r w:rsidR="009C713D" w:rsidRPr="00382917">
        <w:t>’</w:t>
      </w:r>
      <w:r w:rsidRPr="00382917">
        <w:t>s</w:t>
      </w:r>
      <w:r w:rsidR="00EE4FC3">
        <w:t xml:space="preserve"> </w:t>
      </w:r>
      <w:r w:rsidRPr="00382917">
        <w:t>own</w:t>
      </w:r>
      <w:r w:rsidR="00EE4FC3">
        <w:t xml:space="preserve"> </w:t>
      </w:r>
      <w:r w:rsidRPr="00382917">
        <w:t>handwriting.</w:t>
      </w:r>
    </w:p>
    <w:p w:rsidR="001D2FA7" w:rsidRPr="00382917" w:rsidRDefault="001D2FA7" w:rsidP="00F026C3">
      <w:pPr>
        <w:pStyle w:val="Text"/>
      </w:pPr>
      <w:r w:rsidRPr="00382917">
        <w:t>Bahá</w:t>
      </w:r>
      <w:r w:rsidR="009C713D" w:rsidRPr="00382917">
        <w:t>’</w:t>
      </w:r>
      <w:r w:rsidRPr="00382917">
        <w:t>u</w:t>
      </w:r>
      <w:r w:rsidR="009C713D" w:rsidRPr="00382917">
        <w:t>’</w:t>
      </w:r>
      <w:r w:rsidRPr="00382917">
        <w:t>lláh</w:t>
      </w:r>
      <w:r w:rsidR="00EE4FC3">
        <w:t xml:space="preserve"> </w:t>
      </w:r>
      <w:r w:rsidRPr="00382917">
        <w:t>overwhelmed</w:t>
      </w:r>
      <w:r w:rsidR="00EE4FC3">
        <w:t xml:space="preserve"> </w:t>
      </w:r>
      <w:r w:rsidRPr="00382917">
        <w:t>Sayyáḥ</w:t>
      </w:r>
      <w:r w:rsidR="00EE4FC3">
        <w:t xml:space="preserve"> </w:t>
      </w:r>
      <w:r w:rsidRPr="00382917">
        <w:t>with</w:t>
      </w:r>
      <w:r w:rsidR="00EE4FC3">
        <w:t xml:space="preserve"> </w:t>
      </w:r>
      <w:r w:rsidRPr="00382917">
        <w:t>His</w:t>
      </w:r>
      <w:r w:rsidR="00EE4FC3">
        <w:t xml:space="preserve"> </w:t>
      </w:r>
      <w:r w:rsidRPr="00382917">
        <w:t>kindness</w:t>
      </w:r>
      <w:r w:rsidR="00EE4FC3">
        <w:t xml:space="preserve"> </w:t>
      </w:r>
      <w:r w:rsidRPr="00382917">
        <w:t>during</w:t>
      </w:r>
      <w:r w:rsidR="00EE4FC3">
        <w:t xml:space="preserve"> </w:t>
      </w:r>
      <w:r w:rsidRPr="00382917">
        <w:t>this</w:t>
      </w:r>
      <w:r w:rsidR="00EE4FC3">
        <w:t xml:space="preserve"> </w:t>
      </w:r>
      <w:r w:rsidRPr="00382917">
        <w:t>visit,</w:t>
      </w:r>
      <w:r w:rsidR="00EE4FC3">
        <w:t xml:space="preserve"> </w:t>
      </w:r>
      <w:r w:rsidRPr="00382917">
        <w:t>and</w:t>
      </w:r>
      <w:r w:rsidR="00EE4FC3">
        <w:t xml:space="preserve"> </w:t>
      </w:r>
      <w:r w:rsidRPr="00382917">
        <w:t>showered</w:t>
      </w:r>
      <w:r w:rsidR="00EE4FC3">
        <w:t xml:space="preserve"> </w:t>
      </w:r>
      <w:r w:rsidRPr="00382917">
        <w:t>the</w:t>
      </w:r>
      <w:r w:rsidR="00EE4FC3">
        <w:t xml:space="preserve"> </w:t>
      </w:r>
      <w:r w:rsidRPr="00382917">
        <w:t>same</w:t>
      </w:r>
      <w:r w:rsidR="00EE4FC3">
        <w:t xml:space="preserve"> </w:t>
      </w:r>
      <w:r w:rsidRPr="00382917">
        <w:t>love</w:t>
      </w:r>
      <w:r w:rsidR="00EE4FC3">
        <w:t xml:space="preserve"> </w:t>
      </w:r>
      <w:r w:rsidRPr="00382917">
        <w:t>upon</w:t>
      </w:r>
      <w:r w:rsidR="00EE4FC3">
        <w:t xml:space="preserve"> </w:t>
      </w:r>
      <w:r w:rsidRPr="00382917">
        <w:t>Vaḥíd</w:t>
      </w:r>
      <w:r w:rsidR="00330AF7">
        <w:t>.</w:t>
      </w:r>
      <w:r w:rsidR="00EE4FC3">
        <w:t xml:space="preserve">  </w:t>
      </w:r>
      <w:r w:rsidRPr="00382917">
        <w:t>The</w:t>
      </w:r>
      <w:r w:rsidR="00EE4FC3">
        <w:t xml:space="preserve"> </w:t>
      </w:r>
      <w:r w:rsidRPr="00382917">
        <w:t>brother</w:t>
      </w:r>
      <w:r w:rsidR="00EE4FC3">
        <w:t xml:space="preserve"> </w:t>
      </w:r>
      <w:r w:rsidRPr="00382917">
        <w:t>of</w:t>
      </w:r>
      <w:r w:rsidR="00EE4FC3">
        <w:t xml:space="preserve"> </w:t>
      </w:r>
      <w:r w:rsidRPr="00382917">
        <w:t>Bahá</w:t>
      </w:r>
      <w:r w:rsidR="009C713D" w:rsidRPr="00382917">
        <w:t>’</w:t>
      </w:r>
      <w:r w:rsidRPr="00382917">
        <w:t>u</w:t>
      </w:r>
      <w:r w:rsidR="009C713D" w:rsidRPr="00382917">
        <w:t>’</w:t>
      </w:r>
      <w:r w:rsidRPr="00382917">
        <w:t>lláh</w:t>
      </w:r>
      <w:r w:rsidR="00EE4FC3">
        <w:t xml:space="preserve"> </w:t>
      </w:r>
      <w:r w:rsidRPr="00382917">
        <w:t>has</w:t>
      </w:r>
      <w:r w:rsidR="00EE4FC3">
        <w:t xml:space="preserve"> </w:t>
      </w:r>
      <w:r w:rsidRPr="00382917">
        <w:t>said</w:t>
      </w:r>
      <w:r w:rsidR="00C03C91">
        <w:t>:</w:t>
      </w:r>
      <w:r w:rsidR="00EE4FC3">
        <w:t xml:space="preserve">  </w:t>
      </w:r>
      <w:r w:rsidR="009C713D" w:rsidRPr="00382917">
        <w:t>“</w:t>
      </w:r>
      <w:r w:rsidRPr="00382917">
        <w:t>I</w:t>
      </w:r>
      <w:r w:rsidR="00EE4FC3">
        <w:t xml:space="preserve"> </w:t>
      </w:r>
      <w:r w:rsidRPr="00382917">
        <w:t>was</w:t>
      </w:r>
      <w:r w:rsidR="00EE4FC3">
        <w:t xml:space="preserve"> </w:t>
      </w:r>
      <w:r w:rsidRPr="00382917">
        <w:t>amazed</w:t>
      </w:r>
      <w:r w:rsidR="00EE4FC3">
        <w:t xml:space="preserve"> </w:t>
      </w:r>
      <w:r w:rsidRPr="00382917">
        <w:t>at</w:t>
      </w:r>
      <w:r w:rsidR="00EE4FC3">
        <w:t xml:space="preserve"> </w:t>
      </w:r>
      <w:r w:rsidRPr="00382917">
        <w:t>the</w:t>
      </w:r>
      <w:r w:rsidR="00EE4FC3">
        <w:t xml:space="preserve"> </w:t>
      </w:r>
      <w:r w:rsidRPr="00382917">
        <w:t>many</w:t>
      </w:r>
      <w:r w:rsidR="00EE4FC3">
        <w:t xml:space="preserve"> </w:t>
      </w:r>
      <w:r w:rsidRPr="00382917">
        <w:t>evidences</w:t>
      </w:r>
      <w:r w:rsidR="00EE4FC3">
        <w:t xml:space="preserve"> </w:t>
      </w:r>
      <w:r w:rsidRPr="00382917">
        <w:t>of</w:t>
      </w:r>
      <w:r w:rsidR="00EE4FC3">
        <w:t xml:space="preserve"> </w:t>
      </w:r>
      <w:r w:rsidRPr="00382917">
        <w:t>loving</w:t>
      </w:r>
      <w:r w:rsidR="00EE4FC3">
        <w:t xml:space="preserve"> </w:t>
      </w:r>
      <w:r w:rsidRPr="00382917">
        <w:t>solicitude</w:t>
      </w:r>
      <w:r w:rsidR="00EE4FC3">
        <w:t xml:space="preserve"> </w:t>
      </w:r>
      <w:r w:rsidRPr="00382917">
        <w:t>which</w:t>
      </w:r>
      <w:r w:rsidR="00EE4FC3">
        <w:t xml:space="preserve"> </w:t>
      </w:r>
      <w:r w:rsidRPr="00382917">
        <w:t>Bahá</w:t>
      </w:r>
      <w:r w:rsidR="009C713D" w:rsidRPr="00382917">
        <w:t>’</w:t>
      </w:r>
      <w:r w:rsidRPr="00382917">
        <w:t>u</w:t>
      </w:r>
      <w:r w:rsidR="009C713D" w:rsidRPr="00382917">
        <w:t>’</w:t>
      </w:r>
      <w:r w:rsidRPr="00382917">
        <w:t>lláh</w:t>
      </w:r>
      <w:r w:rsidR="00EE4FC3">
        <w:t xml:space="preserve"> </w:t>
      </w:r>
      <w:r w:rsidRPr="00382917">
        <w:t>evinced</w:t>
      </w:r>
      <w:r w:rsidR="00EE4FC3">
        <w:t xml:space="preserve"> </w:t>
      </w:r>
      <w:r w:rsidRPr="00382917">
        <w:t>toward</w:t>
      </w:r>
      <w:r w:rsidR="00EE4FC3">
        <w:t xml:space="preserve"> </w:t>
      </w:r>
      <w:r w:rsidRPr="00382917">
        <w:t>Vaḥíd</w:t>
      </w:r>
      <w:r w:rsidR="00330AF7">
        <w:t>.</w:t>
      </w:r>
      <w:r w:rsidR="00EE4FC3">
        <w:t xml:space="preserve">  </w:t>
      </w:r>
      <w:r w:rsidRPr="00382917">
        <w:t>He</w:t>
      </w:r>
      <w:r w:rsidR="00EE4FC3">
        <w:t xml:space="preserve"> </w:t>
      </w:r>
      <w:r w:rsidRPr="00382917">
        <w:t>showered</w:t>
      </w:r>
      <w:r w:rsidR="00EE4FC3">
        <w:t xml:space="preserve"> </w:t>
      </w:r>
      <w:r w:rsidRPr="00382917">
        <w:t>him</w:t>
      </w:r>
      <w:r w:rsidR="00EE4FC3">
        <w:t xml:space="preserve"> </w:t>
      </w:r>
      <w:r w:rsidRPr="00382917">
        <w:t>with</w:t>
      </w:r>
      <w:r w:rsidR="00EE4FC3">
        <w:t xml:space="preserve"> </w:t>
      </w:r>
      <w:r w:rsidRPr="00382917">
        <w:t>such</w:t>
      </w:r>
      <w:r w:rsidR="00EE4FC3">
        <w:t xml:space="preserve"> </w:t>
      </w:r>
      <w:proofErr w:type="spellStart"/>
      <w:r w:rsidRPr="00382917">
        <w:t>favors</w:t>
      </w:r>
      <w:proofErr w:type="spellEnd"/>
      <w:r w:rsidR="00EE4FC3">
        <w:t xml:space="preserve"> </w:t>
      </w:r>
      <w:r w:rsidRPr="00382917">
        <w:t>as</w:t>
      </w:r>
      <w:r w:rsidR="00EE4FC3">
        <w:t xml:space="preserve"> </w:t>
      </w:r>
      <w:r w:rsidRPr="00382917">
        <w:t>I</w:t>
      </w:r>
      <w:r w:rsidR="00EE4FC3">
        <w:t xml:space="preserve"> </w:t>
      </w:r>
      <w:r w:rsidRPr="00382917">
        <w:t>had</w:t>
      </w:r>
      <w:r w:rsidR="00EE4FC3">
        <w:t xml:space="preserve"> </w:t>
      </w:r>
      <w:r w:rsidRPr="00382917">
        <w:t>never</w:t>
      </w:r>
      <w:r w:rsidR="00EE4FC3">
        <w:t xml:space="preserve"> </w:t>
      </w:r>
      <w:r w:rsidRPr="00382917">
        <w:t>seen</w:t>
      </w:r>
      <w:r w:rsidR="00EE4FC3">
        <w:t xml:space="preserve"> </w:t>
      </w:r>
      <w:r w:rsidRPr="00382917">
        <w:t>Him</w:t>
      </w:r>
      <w:r w:rsidR="00EE4FC3">
        <w:t xml:space="preserve"> </w:t>
      </w:r>
      <w:r w:rsidRPr="00382917">
        <w:t>extend</w:t>
      </w:r>
      <w:r w:rsidR="00EE4FC3">
        <w:t xml:space="preserve"> </w:t>
      </w:r>
      <w:r w:rsidRPr="00382917">
        <w:t>to</w:t>
      </w:r>
      <w:r w:rsidR="00EE4FC3">
        <w:t xml:space="preserve"> </w:t>
      </w:r>
      <w:r w:rsidRPr="00382917">
        <w:t>anyone</w:t>
      </w:r>
      <w:r w:rsidR="00330AF7">
        <w:t>.</w:t>
      </w:r>
      <w:r w:rsidR="00EE4FC3">
        <w:t xml:space="preserve">  </w:t>
      </w:r>
      <w:r w:rsidRPr="00382917">
        <w:t>The</w:t>
      </w:r>
      <w:r w:rsidR="00EE4FC3">
        <w:t xml:space="preserve"> </w:t>
      </w:r>
      <w:r w:rsidRPr="00382917">
        <w:t>manner</w:t>
      </w:r>
      <w:r w:rsidR="00EE4FC3">
        <w:t xml:space="preserve"> </w:t>
      </w:r>
      <w:r w:rsidRPr="00382917">
        <w:t>of</w:t>
      </w:r>
      <w:r w:rsidR="00EE4FC3">
        <w:t xml:space="preserve"> </w:t>
      </w:r>
      <w:r w:rsidRPr="00382917">
        <w:t>His</w:t>
      </w:r>
      <w:r w:rsidR="00EE4FC3">
        <w:t xml:space="preserve"> </w:t>
      </w:r>
      <w:r w:rsidRPr="00382917">
        <w:t>conversation</w:t>
      </w:r>
      <w:r w:rsidR="00EE4FC3">
        <w:t xml:space="preserve"> </w:t>
      </w:r>
      <w:r w:rsidRPr="00382917">
        <w:t>left</w:t>
      </w:r>
      <w:r w:rsidR="00EE4FC3">
        <w:t xml:space="preserve"> </w:t>
      </w:r>
      <w:r w:rsidRPr="00382917">
        <w:t>no</w:t>
      </w:r>
      <w:r w:rsidR="00EE4FC3">
        <w:t xml:space="preserve"> </w:t>
      </w:r>
      <w:r w:rsidRPr="00382917">
        <w:t>doubt</w:t>
      </w:r>
      <w:r w:rsidR="00EE4FC3">
        <w:t xml:space="preserve"> </w:t>
      </w:r>
      <w:r w:rsidRPr="00382917">
        <w:t>in</w:t>
      </w:r>
      <w:r w:rsidR="00EE4FC3">
        <w:t xml:space="preserve"> </w:t>
      </w:r>
      <w:r w:rsidRPr="00382917">
        <w:t>me</w:t>
      </w:r>
      <w:r w:rsidR="00EE4FC3">
        <w:t xml:space="preserve"> </w:t>
      </w:r>
      <w:r w:rsidRPr="00382917">
        <w:t>that</w:t>
      </w:r>
      <w:r w:rsidR="00EE4FC3">
        <w:t xml:space="preserve"> </w:t>
      </w:r>
      <w:r w:rsidRPr="00382917">
        <w:t>this</w:t>
      </w:r>
      <w:r w:rsidR="00EE4FC3">
        <w:t xml:space="preserve"> </w:t>
      </w:r>
      <w:r w:rsidRPr="00382917">
        <w:t>same</w:t>
      </w:r>
      <w:r w:rsidR="00EE4FC3">
        <w:t xml:space="preserve"> </w:t>
      </w:r>
      <w:r w:rsidRPr="00382917">
        <w:t>Vaḥíd</w:t>
      </w:r>
      <w:r w:rsidR="00EE4FC3">
        <w:t xml:space="preserve"> </w:t>
      </w:r>
      <w:r w:rsidRPr="00382917">
        <w:t>would,</w:t>
      </w:r>
      <w:r w:rsidR="00EE4FC3">
        <w:t xml:space="preserve"> </w:t>
      </w:r>
      <w:r w:rsidRPr="00382917">
        <w:t>ere</w:t>
      </w:r>
      <w:r w:rsidR="00EE4FC3">
        <w:t xml:space="preserve"> </w:t>
      </w:r>
      <w:r w:rsidRPr="00382917">
        <w:t>long,</w:t>
      </w:r>
      <w:r w:rsidR="00EE4FC3">
        <w:t xml:space="preserve"> </w:t>
      </w:r>
      <w:r w:rsidRPr="00382917">
        <w:t>distinguish</w:t>
      </w:r>
      <w:r w:rsidR="00EE4FC3">
        <w:t xml:space="preserve"> </w:t>
      </w:r>
      <w:r w:rsidRPr="00382917">
        <w:t>himself</w:t>
      </w:r>
      <w:r w:rsidR="00EE4FC3">
        <w:t xml:space="preserve"> </w:t>
      </w:r>
      <w:r w:rsidRPr="00382917">
        <w:t>by</w:t>
      </w:r>
      <w:r w:rsidR="00EE4FC3">
        <w:t xml:space="preserve"> </w:t>
      </w:r>
      <w:r w:rsidRPr="00382917">
        <w:t>deeds</w:t>
      </w:r>
      <w:r w:rsidR="00EE4FC3">
        <w:t xml:space="preserve"> </w:t>
      </w:r>
      <w:r w:rsidRPr="00382917">
        <w:t>no</w:t>
      </w:r>
      <w:r w:rsidR="00EE4FC3">
        <w:t xml:space="preserve"> </w:t>
      </w:r>
      <w:r w:rsidRPr="00382917">
        <w:t>less</w:t>
      </w:r>
      <w:r w:rsidR="00EE4FC3">
        <w:t xml:space="preserve"> </w:t>
      </w:r>
      <w:r w:rsidRPr="00382917">
        <w:t>remarkable</w:t>
      </w:r>
      <w:r w:rsidR="00EE4FC3">
        <w:t xml:space="preserve"> </w:t>
      </w:r>
      <w:r w:rsidRPr="00382917">
        <w:t>than</w:t>
      </w:r>
      <w:r w:rsidR="00EE4FC3">
        <w:t xml:space="preserve"> </w:t>
      </w:r>
      <w:r w:rsidRPr="00382917">
        <w:t>those</w:t>
      </w:r>
      <w:r w:rsidR="00EE4FC3">
        <w:t xml:space="preserve"> </w:t>
      </w:r>
      <w:r w:rsidRPr="00382917">
        <w:t>which</w:t>
      </w:r>
      <w:r w:rsidR="00EE4FC3">
        <w:t xml:space="preserve"> </w:t>
      </w:r>
      <w:r w:rsidRPr="00382917">
        <w:t>had</w:t>
      </w:r>
      <w:r w:rsidR="00EE4FC3">
        <w:t xml:space="preserve"> </w:t>
      </w:r>
      <w:r w:rsidRPr="00382917">
        <w:t>immortalized</w:t>
      </w:r>
      <w:r w:rsidR="00EE4FC3">
        <w:t xml:space="preserve"> </w:t>
      </w:r>
      <w:r w:rsidRPr="00382917">
        <w:t>the</w:t>
      </w:r>
      <w:r w:rsidR="00EE4FC3">
        <w:t xml:space="preserve"> </w:t>
      </w:r>
      <w:r w:rsidRPr="00382917">
        <w:t>defenders</w:t>
      </w:r>
      <w:r w:rsidR="00EE4FC3">
        <w:t xml:space="preserve"> </w:t>
      </w:r>
      <w:r w:rsidRPr="00382917">
        <w:t>of</w:t>
      </w:r>
      <w:r w:rsidR="00EE4FC3">
        <w:t xml:space="preserve"> </w:t>
      </w:r>
      <w:r w:rsidRPr="00382917">
        <w:t>Ṭabarsí.</w:t>
      </w:r>
      <w:r w:rsidR="009C713D" w:rsidRPr="00382917">
        <w:t>”</w:t>
      </w:r>
      <w:r w:rsidR="00F026C3">
        <w:rPr>
          <w:rStyle w:val="FootnoteReference"/>
        </w:rPr>
        <w:footnoteReference w:id="217"/>
      </w:r>
    </w:p>
    <w:p w:rsidR="001D2FA7" w:rsidRPr="00382917" w:rsidRDefault="001D2FA7" w:rsidP="007B319A">
      <w:pPr>
        <w:pStyle w:val="Text"/>
      </w:pPr>
      <w:r w:rsidRPr="00382917">
        <w:t>Following</w:t>
      </w:r>
      <w:r w:rsidR="00EE4FC3">
        <w:t xml:space="preserve"> </w:t>
      </w:r>
      <w:r w:rsidRPr="00382917">
        <w:t>this</w:t>
      </w:r>
      <w:r w:rsidR="00EE4FC3">
        <w:t xml:space="preserve"> </w:t>
      </w:r>
      <w:r w:rsidRPr="00382917">
        <w:t>final</w:t>
      </w:r>
      <w:r w:rsidR="00EE4FC3">
        <w:t xml:space="preserve"> </w:t>
      </w:r>
      <w:r w:rsidRPr="00382917">
        <w:t>visit</w:t>
      </w:r>
      <w:r w:rsidR="00EE4FC3">
        <w:t xml:space="preserve"> </w:t>
      </w:r>
      <w:r w:rsidRPr="00382917">
        <w:t>to</w:t>
      </w:r>
      <w:r w:rsidR="00EE4FC3">
        <w:t xml:space="preserve"> </w:t>
      </w:r>
      <w:r w:rsidRPr="00382917">
        <w:t>Bahá</w:t>
      </w:r>
      <w:r w:rsidR="009C713D" w:rsidRPr="00382917">
        <w:t>’</w:t>
      </w:r>
      <w:r w:rsidRPr="00382917">
        <w:t>u</w:t>
      </w:r>
      <w:r w:rsidR="009C713D" w:rsidRPr="00382917">
        <w:t>’</w:t>
      </w:r>
      <w:r w:rsidRPr="00382917">
        <w:t>lláh</w:t>
      </w:r>
      <w:r w:rsidR="009C713D" w:rsidRPr="00382917">
        <w:t>’</w:t>
      </w:r>
      <w:r w:rsidRPr="00382917">
        <w:t>s</w:t>
      </w:r>
      <w:r w:rsidR="00EE4FC3">
        <w:t xml:space="preserve"> </w:t>
      </w:r>
      <w:r w:rsidRPr="00382917">
        <w:t>home,</w:t>
      </w:r>
      <w:r w:rsidR="00EE4FC3">
        <w:t xml:space="preserve"> </w:t>
      </w:r>
      <w:r w:rsidRPr="00382917">
        <w:t>Vaḥíd</w:t>
      </w:r>
      <w:r w:rsidR="00EE4FC3">
        <w:t xml:space="preserve"> </w:t>
      </w:r>
      <w:r w:rsidRPr="00382917">
        <w:t>set</w:t>
      </w:r>
      <w:r w:rsidR="00EE4FC3">
        <w:t xml:space="preserve"> </w:t>
      </w:r>
      <w:r w:rsidRPr="00382917">
        <w:t>out</w:t>
      </w:r>
      <w:r w:rsidR="00EE4FC3">
        <w:t xml:space="preserve"> </w:t>
      </w:r>
      <w:r w:rsidRPr="00382917">
        <w:t>on</w:t>
      </w:r>
      <w:r w:rsidR="00EE4FC3">
        <w:t xml:space="preserve"> </w:t>
      </w:r>
      <w:r w:rsidRPr="00382917">
        <w:t>his</w:t>
      </w:r>
      <w:r w:rsidR="00EE4FC3">
        <w:t xml:space="preserve"> </w:t>
      </w:r>
      <w:r w:rsidRPr="00382917">
        <w:t>last</w:t>
      </w:r>
      <w:r w:rsidR="00EE4FC3">
        <w:t xml:space="preserve"> </w:t>
      </w:r>
      <w:r w:rsidRPr="00382917">
        <w:t>journey</w:t>
      </w:r>
      <w:r w:rsidR="00EE4FC3">
        <w:t xml:space="preserve"> </w:t>
      </w:r>
      <w:r w:rsidRPr="00382917">
        <w:t>to</w:t>
      </w:r>
      <w:r w:rsidR="00EE4FC3">
        <w:t xml:space="preserve"> </w:t>
      </w:r>
      <w:r w:rsidRPr="00382917">
        <w:t>Yazd</w:t>
      </w:r>
      <w:r w:rsidR="00EE4FC3">
        <w:t xml:space="preserve"> </w:t>
      </w:r>
      <w:r w:rsidRPr="00382917">
        <w:t>and</w:t>
      </w:r>
      <w:r w:rsidR="00EE4FC3">
        <w:t xml:space="preserve"> </w:t>
      </w:r>
      <w:r w:rsidRPr="00382917">
        <w:t>Nayríz</w:t>
      </w:r>
      <w:r w:rsidR="00EE4FC3">
        <w:t xml:space="preserve"> </w:t>
      </w:r>
      <w:r w:rsidRPr="00382917">
        <w:t>where</w:t>
      </w:r>
      <w:r w:rsidR="00EE4FC3">
        <w:t xml:space="preserve"> </w:t>
      </w:r>
      <w:r w:rsidRPr="00382917">
        <w:t>he</w:t>
      </w:r>
      <w:r w:rsidR="00EE4FC3">
        <w:t xml:space="preserve"> </w:t>
      </w:r>
      <w:r w:rsidRPr="00382917">
        <w:t>laid</w:t>
      </w:r>
      <w:r w:rsidR="00EE4FC3">
        <w:t xml:space="preserve"> </w:t>
      </w:r>
      <w:r w:rsidRPr="00382917">
        <w:t>down</w:t>
      </w:r>
      <w:r w:rsidR="00EE4FC3">
        <w:t xml:space="preserve"> </w:t>
      </w:r>
      <w:r w:rsidRPr="00382917">
        <w:t>his</w:t>
      </w:r>
      <w:r w:rsidR="00EE4FC3">
        <w:t xml:space="preserve"> </w:t>
      </w:r>
      <w:r w:rsidRPr="00382917">
        <w:t>life</w:t>
      </w:r>
      <w:r w:rsidR="00EE4FC3">
        <w:t xml:space="preserve"> </w:t>
      </w:r>
      <w:r w:rsidRPr="00382917">
        <w:t>for</w:t>
      </w:r>
      <w:r w:rsidR="00EE4FC3">
        <w:t xml:space="preserve"> </w:t>
      </w:r>
      <w:r w:rsidRPr="00382917">
        <w:t>his</w:t>
      </w:r>
      <w:r w:rsidR="00EE4FC3">
        <w:t xml:space="preserve"> </w:t>
      </w:r>
      <w:r w:rsidRPr="00382917">
        <w:t>Faith.</w:t>
      </w:r>
    </w:p>
    <w:p w:rsidR="001D2FA7" w:rsidRPr="00382917" w:rsidRDefault="001D2FA7" w:rsidP="007B319A">
      <w:pPr>
        <w:pStyle w:val="Text"/>
      </w:pPr>
      <w:r w:rsidRPr="00382917">
        <w:t>The</w:t>
      </w:r>
      <w:r w:rsidR="00EE4FC3">
        <w:t xml:space="preserve"> </w:t>
      </w:r>
      <w:r w:rsidRPr="00382917">
        <w:t>same</w:t>
      </w:r>
      <w:r w:rsidR="00EE4FC3">
        <w:t xml:space="preserve"> </w:t>
      </w:r>
      <w:r w:rsidRPr="00382917">
        <w:t>love</w:t>
      </w:r>
      <w:r w:rsidR="00EE4FC3">
        <w:t xml:space="preserve"> </w:t>
      </w:r>
      <w:r w:rsidRPr="00382917">
        <w:t>and</w:t>
      </w:r>
      <w:r w:rsidR="00EE4FC3">
        <w:t xml:space="preserve"> </w:t>
      </w:r>
      <w:r w:rsidRPr="00382917">
        <w:t>encouragement</w:t>
      </w:r>
      <w:r w:rsidR="00EE4FC3">
        <w:t xml:space="preserve"> </w:t>
      </w:r>
      <w:r w:rsidRPr="00382917">
        <w:t>which</w:t>
      </w:r>
      <w:r w:rsidR="00EE4FC3">
        <w:t xml:space="preserve"> </w:t>
      </w:r>
      <w:r w:rsidRPr="00382917">
        <w:t>Bahá</w:t>
      </w:r>
      <w:r w:rsidR="009C713D" w:rsidRPr="00382917">
        <w:t>’</w:t>
      </w:r>
      <w:r w:rsidRPr="00382917">
        <w:t>u</w:t>
      </w:r>
      <w:r w:rsidR="009C713D" w:rsidRPr="00382917">
        <w:t>’</w:t>
      </w:r>
      <w:r w:rsidRPr="00382917">
        <w:t>lláh</w:t>
      </w:r>
      <w:r w:rsidR="00EE4FC3">
        <w:t xml:space="preserve"> </w:t>
      </w:r>
      <w:r w:rsidRPr="00382917">
        <w:t>gave</w:t>
      </w:r>
      <w:r w:rsidR="00EE4FC3">
        <w:t xml:space="preserve"> </w:t>
      </w:r>
      <w:r w:rsidRPr="00382917">
        <w:t>to</w:t>
      </w:r>
    </w:p>
    <w:p w:rsidR="007B319A" w:rsidRPr="00382917" w:rsidRDefault="007B319A">
      <w:pPr>
        <w:widowControl/>
        <w:kinsoku/>
        <w:overflowPunct/>
        <w:textAlignment w:val="auto"/>
      </w:pPr>
      <w:r w:rsidRPr="00382917">
        <w:br w:type="page"/>
      </w:r>
    </w:p>
    <w:p w:rsidR="001D2FA7" w:rsidRPr="00382917" w:rsidRDefault="001D2FA7" w:rsidP="00DB5EDC">
      <w:pPr>
        <w:pStyle w:val="Textcts"/>
      </w:pPr>
      <w:r w:rsidRPr="00382917">
        <w:t>Vaḥíd</w:t>
      </w:r>
      <w:r w:rsidR="00EE4FC3">
        <w:t xml:space="preserve"> </w:t>
      </w:r>
      <w:r w:rsidRPr="00382917">
        <w:t>was</w:t>
      </w:r>
      <w:r w:rsidR="00EE4FC3">
        <w:t xml:space="preserve"> </w:t>
      </w:r>
      <w:r w:rsidRPr="00382917">
        <w:t>bestowed</w:t>
      </w:r>
      <w:r w:rsidR="00EE4FC3">
        <w:t xml:space="preserve"> </w:t>
      </w:r>
      <w:r w:rsidRPr="00382917">
        <w:t>upon</w:t>
      </w:r>
      <w:r w:rsidR="00EE4FC3">
        <w:t xml:space="preserve"> </w:t>
      </w:r>
      <w:r w:rsidRPr="00382917">
        <w:t>Ḥujjat</w:t>
      </w:r>
      <w:r w:rsidR="00EE4FC3">
        <w:t xml:space="preserve"> </w:t>
      </w:r>
      <w:r w:rsidRPr="00382917">
        <w:t>of</w:t>
      </w:r>
      <w:r w:rsidR="00EE4FC3">
        <w:t xml:space="preserve"> </w:t>
      </w:r>
      <w:r w:rsidRPr="00382917">
        <w:t>Zanján</w:t>
      </w:r>
      <w:r w:rsidR="00EE4FC3">
        <w:t xml:space="preserve"> </w:t>
      </w:r>
      <w:r w:rsidRPr="00382917">
        <w:t>as</w:t>
      </w:r>
      <w:r w:rsidR="00EE4FC3">
        <w:t xml:space="preserve"> </w:t>
      </w:r>
      <w:r w:rsidRPr="00382917">
        <w:t>well</w:t>
      </w:r>
      <w:r w:rsidR="00330AF7">
        <w:t>.</w:t>
      </w:r>
      <w:r w:rsidR="00EE4FC3">
        <w:t xml:space="preserve">  </w:t>
      </w:r>
      <w:r w:rsidRPr="00382917">
        <w:t>Ḥujjat</w:t>
      </w:r>
      <w:r w:rsidR="00EE4FC3">
        <w:t xml:space="preserve"> </w:t>
      </w:r>
      <w:r w:rsidRPr="00382917">
        <w:t>was</w:t>
      </w:r>
      <w:r w:rsidR="00EE4FC3">
        <w:t xml:space="preserve"> </w:t>
      </w:r>
      <w:r w:rsidRPr="00382917">
        <w:t>the</w:t>
      </w:r>
      <w:r w:rsidR="00EE4FC3">
        <w:t xml:space="preserve"> </w:t>
      </w:r>
      <w:r w:rsidRPr="00382917">
        <w:t>hero</w:t>
      </w:r>
      <w:r w:rsidR="00EE4FC3">
        <w:t xml:space="preserve"> </w:t>
      </w:r>
      <w:r w:rsidRPr="00382917">
        <w:t>of</w:t>
      </w:r>
      <w:r w:rsidR="00EE4FC3">
        <w:t xml:space="preserve"> </w:t>
      </w:r>
      <w:r w:rsidRPr="00382917">
        <w:t>the</w:t>
      </w:r>
      <w:r w:rsidR="00EE4FC3">
        <w:t xml:space="preserve"> </w:t>
      </w:r>
      <w:r w:rsidRPr="00382917">
        <w:t>most</w:t>
      </w:r>
      <w:r w:rsidR="00EE4FC3">
        <w:t xml:space="preserve"> </w:t>
      </w:r>
      <w:r w:rsidRPr="00382917">
        <w:t>violent</w:t>
      </w:r>
      <w:r w:rsidR="00EE4FC3">
        <w:t xml:space="preserve"> </w:t>
      </w:r>
      <w:r w:rsidRPr="00382917">
        <w:t>upheaval</w:t>
      </w:r>
      <w:r w:rsidR="00EE4FC3">
        <w:t xml:space="preserve"> </w:t>
      </w:r>
      <w:r w:rsidRPr="00382917">
        <w:t>of</w:t>
      </w:r>
      <w:r w:rsidR="00EE4FC3">
        <w:t xml:space="preserve"> </w:t>
      </w:r>
      <w:r w:rsidRPr="00382917">
        <w:t>all</w:t>
      </w:r>
      <w:r w:rsidR="00330AF7">
        <w:t>.</w:t>
      </w:r>
      <w:r w:rsidR="00EE4FC3">
        <w:t xml:space="preserve">  </w:t>
      </w:r>
      <w:r w:rsidRPr="00382917">
        <w:t>In</w:t>
      </w:r>
      <w:r w:rsidR="00EE4FC3">
        <w:t xml:space="preserve"> </w:t>
      </w:r>
      <w:r w:rsidRPr="00382917">
        <w:t>the</w:t>
      </w:r>
      <w:r w:rsidR="00EE4FC3">
        <w:t xml:space="preserve"> </w:t>
      </w:r>
      <w:r w:rsidRPr="00382917">
        <w:t>village</w:t>
      </w:r>
      <w:r w:rsidR="00EE4FC3">
        <w:t xml:space="preserve"> </w:t>
      </w:r>
      <w:r w:rsidRPr="00382917">
        <w:t>of</w:t>
      </w:r>
      <w:r w:rsidR="00EE4FC3">
        <w:t xml:space="preserve"> </w:t>
      </w:r>
      <w:r w:rsidRPr="00382917">
        <w:t>Zanján,</w:t>
      </w:r>
      <w:r w:rsidR="00EE4FC3">
        <w:t xml:space="preserve"> </w:t>
      </w:r>
      <w:r w:rsidRPr="00382917">
        <w:t>nearly</w:t>
      </w:r>
      <w:r w:rsidR="00EE4FC3">
        <w:t xml:space="preserve"> </w:t>
      </w:r>
      <w:r w:rsidRPr="00382917">
        <w:t>two</w:t>
      </w:r>
      <w:r w:rsidR="00EE4FC3">
        <w:t xml:space="preserve"> </w:t>
      </w:r>
      <w:r w:rsidRPr="00382917">
        <w:t>thousand</w:t>
      </w:r>
      <w:r w:rsidR="00EE4FC3">
        <w:t xml:space="preserve"> </w:t>
      </w:r>
      <w:r w:rsidRPr="00382917">
        <w:t>followers</w:t>
      </w:r>
      <w:r w:rsidR="00EE4FC3">
        <w:t xml:space="preserve"> </w:t>
      </w:r>
      <w:r w:rsidRPr="00382917">
        <w:t>of</w:t>
      </w:r>
      <w:r w:rsidR="00EE4FC3">
        <w:t xml:space="preserve"> </w:t>
      </w:r>
      <w:r w:rsidRPr="00382917">
        <w:t>the</w:t>
      </w:r>
      <w:r w:rsidR="00EE4FC3">
        <w:t xml:space="preserve"> </w:t>
      </w:r>
      <w:r w:rsidRPr="00382917">
        <w:t>Báb,</w:t>
      </w:r>
      <w:r w:rsidR="00EE4FC3">
        <w:t xml:space="preserve"> </w:t>
      </w:r>
      <w:r w:rsidRPr="00382917">
        <w:t>including</w:t>
      </w:r>
      <w:r w:rsidR="00EE4FC3">
        <w:t xml:space="preserve"> </w:t>
      </w:r>
      <w:r w:rsidRPr="00382917">
        <w:t>Ḥujjat,</w:t>
      </w:r>
      <w:r w:rsidR="00EE4FC3">
        <w:t xml:space="preserve"> </w:t>
      </w:r>
      <w:r w:rsidRPr="00382917">
        <w:t>gave</w:t>
      </w:r>
      <w:r w:rsidR="00EE4FC3">
        <w:t xml:space="preserve"> </w:t>
      </w:r>
      <w:r w:rsidRPr="00382917">
        <w:t>up</w:t>
      </w:r>
      <w:r w:rsidR="00EE4FC3">
        <w:t xml:space="preserve"> </w:t>
      </w:r>
      <w:r w:rsidRPr="00382917">
        <w:t>their</w:t>
      </w:r>
      <w:r w:rsidR="00EE4FC3">
        <w:t xml:space="preserve"> </w:t>
      </w:r>
      <w:r w:rsidRPr="00382917">
        <w:t>lives</w:t>
      </w:r>
      <w:r w:rsidR="00330AF7">
        <w:t>.</w:t>
      </w:r>
      <w:r w:rsidR="00EE4FC3">
        <w:t xml:space="preserve">  </w:t>
      </w:r>
      <w:r w:rsidRPr="00382917">
        <w:t>When</w:t>
      </w:r>
      <w:r w:rsidR="00EE4FC3">
        <w:t xml:space="preserve"> </w:t>
      </w:r>
      <w:r w:rsidRPr="00382917">
        <w:t>the</w:t>
      </w:r>
      <w:r w:rsidR="00EE4FC3">
        <w:t xml:space="preserve"> </w:t>
      </w:r>
      <w:r w:rsidRPr="00382917">
        <w:t>Báb</w:t>
      </w:r>
      <w:r w:rsidR="00EE4FC3">
        <w:t xml:space="preserve"> </w:t>
      </w:r>
      <w:r w:rsidRPr="00382917">
        <w:t>had</w:t>
      </w:r>
      <w:r w:rsidR="00EE4FC3">
        <w:t xml:space="preserve"> </w:t>
      </w:r>
      <w:r w:rsidRPr="00382917">
        <w:t>passed</w:t>
      </w:r>
      <w:r w:rsidR="00EE4FC3">
        <w:t xml:space="preserve"> </w:t>
      </w:r>
      <w:r w:rsidRPr="00382917">
        <w:t>through</w:t>
      </w:r>
      <w:r w:rsidR="00EE4FC3">
        <w:t xml:space="preserve"> </w:t>
      </w:r>
      <w:r w:rsidRPr="00382917">
        <w:t>Zanján</w:t>
      </w:r>
      <w:r w:rsidR="00EE4FC3">
        <w:t xml:space="preserve"> </w:t>
      </w:r>
      <w:r w:rsidRPr="00382917">
        <w:t>on</w:t>
      </w:r>
      <w:r w:rsidR="00EE4FC3">
        <w:t xml:space="preserve"> </w:t>
      </w:r>
      <w:r w:rsidRPr="00382917">
        <w:t>His</w:t>
      </w:r>
      <w:r w:rsidR="00EE4FC3">
        <w:t xml:space="preserve"> </w:t>
      </w:r>
      <w:r w:rsidRPr="00382917">
        <w:t>way</w:t>
      </w:r>
      <w:r w:rsidR="00EE4FC3">
        <w:t xml:space="preserve"> </w:t>
      </w:r>
      <w:r w:rsidRPr="00382917">
        <w:t>to</w:t>
      </w:r>
      <w:r w:rsidR="00EE4FC3">
        <w:t xml:space="preserve"> </w:t>
      </w:r>
      <w:r w:rsidRPr="00382917">
        <w:t>prison,</w:t>
      </w:r>
      <w:r w:rsidR="00EE4FC3">
        <w:t xml:space="preserve"> </w:t>
      </w:r>
      <w:r w:rsidRPr="00382917">
        <w:t>He</w:t>
      </w:r>
      <w:r w:rsidR="00EE4FC3">
        <w:t xml:space="preserve"> </w:t>
      </w:r>
      <w:r w:rsidRPr="00382917">
        <w:t>foretold</w:t>
      </w:r>
      <w:r w:rsidR="00EE4FC3">
        <w:t xml:space="preserve"> </w:t>
      </w:r>
      <w:r w:rsidRPr="00382917">
        <w:t>this</w:t>
      </w:r>
      <w:r w:rsidR="00EE4FC3">
        <w:t xml:space="preserve"> </w:t>
      </w:r>
      <w:r w:rsidRPr="00382917">
        <w:t>disaster</w:t>
      </w:r>
      <w:r w:rsidR="00C03C91">
        <w:t>:</w:t>
      </w:r>
      <w:r w:rsidR="00EE4FC3">
        <w:t xml:space="preserve">  </w:t>
      </w:r>
      <w:r w:rsidR="009C713D" w:rsidRPr="00382917">
        <w:t>“</w:t>
      </w:r>
      <w:r w:rsidRPr="00382917">
        <w:t>This</w:t>
      </w:r>
      <w:r w:rsidR="00EE4FC3">
        <w:t xml:space="preserve"> </w:t>
      </w:r>
      <w:r w:rsidRPr="00382917">
        <w:t>town</w:t>
      </w:r>
      <w:r w:rsidR="00EE4FC3">
        <w:t xml:space="preserve"> </w:t>
      </w:r>
      <w:r w:rsidRPr="00382917">
        <w:t>will</w:t>
      </w:r>
      <w:r w:rsidR="00EE4FC3">
        <w:t xml:space="preserve"> </w:t>
      </w:r>
      <w:r w:rsidRPr="00382917">
        <w:t>be</w:t>
      </w:r>
      <w:r w:rsidR="00EE4FC3">
        <w:t xml:space="preserve"> </w:t>
      </w:r>
      <w:r w:rsidRPr="00382917">
        <w:t>thrown</w:t>
      </w:r>
      <w:r w:rsidR="00EE4FC3">
        <w:t xml:space="preserve"> </w:t>
      </w:r>
      <w:r w:rsidRPr="00382917">
        <w:t>into</w:t>
      </w:r>
      <w:r w:rsidR="00EE4FC3">
        <w:t xml:space="preserve"> </w:t>
      </w:r>
      <w:r w:rsidRPr="00382917">
        <w:t>a</w:t>
      </w:r>
      <w:r w:rsidR="00EE4FC3">
        <w:t xml:space="preserve"> </w:t>
      </w:r>
      <w:r w:rsidRPr="00382917">
        <w:t>great</w:t>
      </w:r>
      <w:r w:rsidR="00EE4FC3">
        <w:t xml:space="preserve"> </w:t>
      </w:r>
      <w:r w:rsidRPr="00382917">
        <w:t>tumult,</w:t>
      </w:r>
      <w:r w:rsidR="00EE4FC3">
        <w:t xml:space="preserve"> </w:t>
      </w:r>
      <w:r w:rsidRPr="00382917">
        <w:t>and</w:t>
      </w:r>
      <w:r w:rsidR="00EE4FC3">
        <w:t xml:space="preserve"> </w:t>
      </w:r>
      <w:r w:rsidRPr="00382917">
        <w:t>its</w:t>
      </w:r>
      <w:r w:rsidR="00EE4FC3">
        <w:t xml:space="preserve"> </w:t>
      </w:r>
      <w:r w:rsidRPr="00382917">
        <w:t>streets</w:t>
      </w:r>
      <w:r w:rsidR="00EE4FC3">
        <w:t xml:space="preserve"> </w:t>
      </w:r>
      <w:r w:rsidRPr="00382917">
        <w:t>will</w:t>
      </w:r>
      <w:r w:rsidR="00EE4FC3">
        <w:t xml:space="preserve"> </w:t>
      </w:r>
      <w:r w:rsidRPr="00382917">
        <w:t>run</w:t>
      </w:r>
      <w:r w:rsidR="00EE4FC3">
        <w:t xml:space="preserve"> </w:t>
      </w:r>
      <w:r w:rsidRPr="00382917">
        <w:t>with</w:t>
      </w:r>
      <w:r w:rsidR="00EE4FC3">
        <w:t xml:space="preserve"> </w:t>
      </w:r>
      <w:r w:rsidRPr="00382917">
        <w:t>blood.</w:t>
      </w:r>
      <w:r w:rsidR="009C713D" w:rsidRPr="00382917">
        <w:t>”</w:t>
      </w:r>
      <w:r w:rsidR="00DB5EDC">
        <w:rPr>
          <w:rStyle w:val="FootnoteReference"/>
        </w:rPr>
        <w:footnoteReference w:id="218"/>
      </w:r>
      <w:r w:rsidR="00EE4FC3">
        <w:t xml:space="preserve">  </w:t>
      </w:r>
      <w:r w:rsidRPr="00382917">
        <w:t>His</w:t>
      </w:r>
      <w:r w:rsidR="00EE4FC3">
        <w:t xml:space="preserve"> </w:t>
      </w:r>
      <w:r w:rsidRPr="00382917">
        <w:t>prediction</w:t>
      </w:r>
      <w:r w:rsidR="00EE4FC3">
        <w:t xml:space="preserve"> </w:t>
      </w:r>
      <w:r w:rsidRPr="00382917">
        <w:t>came</w:t>
      </w:r>
      <w:r w:rsidR="00EE4FC3">
        <w:t xml:space="preserve"> </w:t>
      </w:r>
      <w:r w:rsidRPr="00382917">
        <w:t>true,</w:t>
      </w:r>
      <w:r w:rsidR="00EE4FC3">
        <w:t xml:space="preserve"> </w:t>
      </w:r>
      <w:r w:rsidRPr="00382917">
        <w:t>and</w:t>
      </w:r>
      <w:r w:rsidR="00EE4FC3">
        <w:t xml:space="preserve"> </w:t>
      </w:r>
      <w:r w:rsidRPr="00382917">
        <w:t>His</w:t>
      </w:r>
      <w:r w:rsidR="00EE4FC3">
        <w:t xml:space="preserve"> </w:t>
      </w:r>
      <w:r w:rsidRPr="00382917">
        <w:t>much</w:t>
      </w:r>
      <w:r w:rsidR="00EE4FC3">
        <w:t xml:space="preserve"> </w:t>
      </w:r>
      <w:r w:rsidRPr="00382917">
        <w:t>loved</w:t>
      </w:r>
      <w:r w:rsidR="00EE4FC3">
        <w:t xml:space="preserve"> </w:t>
      </w:r>
      <w:r w:rsidRPr="00382917">
        <w:t>Ḥujjat,</w:t>
      </w:r>
      <w:r w:rsidR="00EE4FC3">
        <w:t xml:space="preserve"> </w:t>
      </w:r>
      <w:r w:rsidRPr="00382917">
        <w:t>along</w:t>
      </w:r>
      <w:r w:rsidR="00EE4FC3">
        <w:t xml:space="preserve"> </w:t>
      </w:r>
      <w:r w:rsidRPr="00382917">
        <w:t>with</w:t>
      </w:r>
      <w:r w:rsidR="00EE4FC3">
        <w:t xml:space="preserve"> </w:t>
      </w:r>
      <w:r w:rsidRPr="00382917">
        <w:t>many</w:t>
      </w:r>
      <w:r w:rsidR="00EE4FC3">
        <w:t xml:space="preserve"> </w:t>
      </w:r>
      <w:r w:rsidRPr="00382917">
        <w:t>of</w:t>
      </w:r>
      <w:r w:rsidR="00EE4FC3">
        <w:t xml:space="preserve"> </w:t>
      </w:r>
      <w:r w:rsidRPr="00382917">
        <w:t>his</w:t>
      </w:r>
      <w:r w:rsidR="00EE4FC3">
        <w:t xml:space="preserve"> </w:t>
      </w:r>
      <w:r w:rsidRPr="00382917">
        <w:t>companions,</w:t>
      </w:r>
      <w:r w:rsidR="00EE4FC3">
        <w:t xml:space="preserve"> </w:t>
      </w:r>
      <w:r w:rsidRPr="00382917">
        <w:t>was</w:t>
      </w:r>
      <w:r w:rsidR="00EE4FC3">
        <w:t xml:space="preserve"> </w:t>
      </w:r>
      <w:r w:rsidRPr="00382917">
        <w:t>besieged</w:t>
      </w:r>
      <w:r w:rsidR="00EE4FC3">
        <w:t xml:space="preserve"> </w:t>
      </w:r>
      <w:r w:rsidRPr="00382917">
        <w:t>by</w:t>
      </w:r>
      <w:r w:rsidR="00EE4FC3">
        <w:t xml:space="preserve"> </w:t>
      </w:r>
      <w:r w:rsidRPr="00382917">
        <w:t>a</w:t>
      </w:r>
      <w:r w:rsidR="00EE4FC3">
        <w:t xml:space="preserve"> </w:t>
      </w:r>
      <w:r w:rsidRPr="00382917">
        <w:t>host</w:t>
      </w:r>
      <w:r w:rsidR="00EE4FC3">
        <w:t xml:space="preserve"> </w:t>
      </w:r>
      <w:r w:rsidRPr="00382917">
        <w:t>of</w:t>
      </w:r>
      <w:r w:rsidR="00EE4FC3">
        <w:t xml:space="preserve"> </w:t>
      </w:r>
      <w:r w:rsidRPr="00382917">
        <w:t>soldiers</w:t>
      </w:r>
      <w:r w:rsidR="00EE4FC3">
        <w:t xml:space="preserve"> </w:t>
      </w:r>
      <w:r w:rsidRPr="00382917">
        <w:t>in</w:t>
      </w:r>
      <w:r w:rsidR="00EE4FC3">
        <w:t xml:space="preserve"> </w:t>
      </w:r>
      <w:r w:rsidRPr="00382917">
        <w:t>Zanján</w:t>
      </w:r>
      <w:r w:rsidR="00330AF7">
        <w:t>.</w:t>
      </w:r>
      <w:r w:rsidR="00EE4FC3">
        <w:t xml:space="preserve">  </w:t>
      </w:r>
      <w:r w:rsidRPr="00382917">
        <w:t>The</w:t>
      </w:r>
      <w:r w:rsidR="00EE4FC3">
        <w:t xml:space="preserve"> </w:t>
      </w:r>
      <w:r w:rsidRPr="00382917">
        <w:t>governor</w:t>
      </w:r>
      <w:r w:rsidR="00EE4FC3">
        <w:t xml:space="preserve"> </w:t>
      </w:r>
      <w:r w:rsidRPr="00382917">
        <w:t>of</w:t>
      </w:r>
      <w:r w:rsidR="00EE4FC3">
        <w:t xml:space="preserve"> </w:t>
      </w:r>
      <w:r w:rsidRPr="00382917">
        <w:t>Zanján</w:t>
      </w:r>
      <w:r w:rsidR="00EE4FC3">
        <w:t xml:space="preserve"> </w:t>
      </w:r>
      <w:r w:rsidRPr="00382917">
        <w:t>sent</w:t>
      </w:r>
      <w:r w:rsidR="00EE4FC3">
        <w:t xml:space="preserve"> </w:t>
      </w:r>
      <w:r w:rsidRPr="00382917">
        <w:t>a</w:t>
      </w:r>
      <w:r w:rsidR="00EE4FC3">
        <w:t xml:space="preserve"> </w:t>
      </w:r>
      <w:r w:rsidRPr="00382917">
        <w:t>crier</w:t>
      </w:r>
      <w:r w:rsidR="00EE4FC3">
        <w:t xml:space="preserve"> </w:t>
      </w:r>
      <w:r w:rsidRPr="00382917">
        <w:t>through</w:t>
      </w:r>
      <w:r w:rsidR="00EE4FC3">
        <w:t xml:space="preserve"> </w:t>
      </w:r>
      <w:r w:rsidRPr="00382917">
        <w:t>the</w:t>
      </w:r>
      <w:r w:rsidR="00EE4FC3">
        <w:t xml:space="preserve"> </w:t>
      </w:r>
      <w:r w:rsidRPr="00382917">
        <w:t>streets</w:t>
      </w:r>
      <w:r w:rsidR="00EE4FC3">
        <w:t xml:space="preserve"> </w:t>
      </w:r>
      <w:r w:rsidRPr="00382917">
        <w:t>saying,</w:t>
      </w:r>
      <w:r w:rsidR="00EE4FC3">
        <w:t xml:space="preserve"> </w:t>
      </w:r>
      <w:r w:rsidR="009C713D" w:rsidRPr="00382917">
        <w:t>“</w:t>
      </w:r>
      <w:r w:rsidRPr="00382917">
        <w:t>All</w:t>
      </w:r>
      <w:r w:rsidR="00EE4FC3">
        <w:t xml:space="preserve"> </w:t>
      </w:r>
      <w:r w:rsidRPr="00382917">
        <w:t>who</w:t>
      </w:r>
      <w:r w:rsidR="00EE4FC3">
        <w:t xml:space="preserve"> </w:t>
      </w:r>
      <w:r w:rsidRPr="00382917">
        <w:t>throw</w:t>
      </w:r>
      <w:r w:rsidR="00EE4FC3">
        <w:t xml:space="preserve"> </w:t>
      </w:r>
      <w:r w:rsidRPr="00382917">
        <w:t>in</w:t>
      </w:r>
      <w:r w:rsidR="00EE4FC3">
        <w:t xml:space="preserve"> </w:t>
      </w:r>
      <w:r w:rsidRPr="00382917">
        <w:t>their</w:t>
      </w:r>
      <w:r w:rsidR="00EE4FC3">
        <w:t xml:space="preserve"> </w:t>
      </w:r>
      <w:r w:rsidRPr="00382917">
        <w:t>lot</w:t>
      </w:r>
      <w:r w:rsidR="00EE4FC3">
        <w:t xml:space="preserve"> </w:t>
      </w:r>
      <w:r w:rsidRPr="00382917">
        <w:t>with</w:t>
      </w:r>
      <w:r w:rsidR="00EE4FC3">
        <w:t xml:space="preserve"> </w:t>
      </w:r>
      <w:r w:rsidRPr="00382917">
        <w:t>Ḥujjat</w:t>
      </w:r>
      <w:r w:rsidR="00EE4FC3">
        <w:t xml:space="preserve"> </w:t>
      </w:r>
      <w:r w:rsidRPr="00382917">
        <w:t>will</w:t>
      </w:r>
      <w:r w:rsidR="00EE4FC3">
        <w:t xml:space="preserve"> </w:t>
      </w:r>
      <w:r w:rsidRPr="00382917">
        <w:t>be</w:t>
      </w:r>
      <w:r w:rsidR="00EE4FC3">
        <w:t xml:space="preserve"> </w:t>
      </w:r>
      <w:r w:rsidRPr="00382917">
        <w:t>destroyed,</w:t>
      </w:r>
      <w:r w:rsidR="00EE4FC3">
        <w:t xml:space="preserve"> </w:t>
      </w:r>
      <w:r w:rsidRPr="00382917">
        <w:t>and</w:t>
      </w:r>
      <w:r w:rsidR="00EE4FC3">
        <w:t xml:space="preserve"> </w:t>
      </w:r>
      <w:r w:rsidRPr="00382917">
        <w:t>their</w:t>
      </w:r>
      <w:r w:rsidR="00EE4FC3">
        <w:t xml:space="preserve"> </w:t>
      </w:r>
      <w:r w:rsidRPr="00382917">
        <w:t>wives</w:t>
      </w:r>
      <w:r w:rsidR="00EE4FC3">
        <w:t xml:space="preserve"> </w:t>
      </w:r>
      <w:r w:rsidRPr="00382917">
        <w:t>and</w:t>
      </w:r>
      <w:r w:rsidR="00EE4FC3">
        <w:t xml:space="preserve"> </w:t>
      </w:r>
      <w:r w:rsidRPr="00382917">
        <w:t>children</w:t>
      </w:r>
      <w:r w:rsidR="00EE4FC3">
        <w:t xml:space="preserve"> </w:t>
      </w:r>
      <w:r w:rsidRPr="00382917">
        <w:t>exposed</w:t>
      </w:r>
      <w:r w:rsidR="00EE4FC3">
        <w:t xml:space="preserve"> </w:t>
      </w:r>
      <w:r w:rsidRPr="00382917">
        <w:t>to</w:t>
      </w:r>
      <w:r w:rsidR="00EE4FC3">
        <w:t xml:space="preserve"> </w:t>
      </w:r>
      <w:r w:rsidRPr="00382917">
        <w:t>misery</w:t>
      </w:r>
      <w:r w:rsidR="00EE4FC3">
        <w:t xml:space="preserve"> </w:t>
      </w:r>
      <w:r w:rsidRPr="00382917">
        <w:t>and</w:t>
      </w:r>
      <w:r w:rsidR="00EE4FC3">
        <w:t xml:space="preserve"> </w:t>
      </w:r>
      <w:r w:rsidRPr="00382917">
        <w:t>shame!</w:t>
      </w:r>
      <w:r w:rsidR="009C713D" w:rsidRPr="00382917">
        <w:t>”</w:t>
      </w:r>
    </w:p>
    <w:p w:rsidR="001D2FA7" w:rsidRPr="00382917" w:rsidRDefault="001D2FA7" w:rsidP="007B319A">
      <w:pPr>
        <w:pStyle w:val="Text"/>
      </w:pPr>
      <w:r w:rsidRPr="00382917">
        <w:t>This</w:t>
      </w:r>
      <w:r w:rsidR="00EE4FC3">
        <w:t xml:space="preserve"> </w:t>
      </w:r>
      <w:r w:rsidRPr="00382917">
        <w:t>warning</w:t>
      </w:r>
      <w:r w:rsidR="00EE4FC3">
        <w:t xml:space="preserve"> </w:t>
      </w:r>
      <w:r w:rsidRPr="00382917">
        <w:t>divided</w:t>
      </w:r>
      <w:r w:rsidR="00EE4FC3">
        <w:t xml:space="preserve"> </w:t>
      </w:r>
      <w:r w:rsidRPr="00382917">
        <w:t>the</w:t>
      </w:r>
      <w:r w:rsidR="00EE4FC3">
        <w:t xml:space="preserve"> </w:t>
      </w:r>
      <w:r w:rsidRPr="00382917">
        <w:t>city</w:t>
      </w:r>
      <w:r w:rsidR="00EE4FC3">
        <w:t xml:space="preserve"> </w:t>
      </w:r>
      <w:r w:rsidRPr="00382917">
        <w:t>into</w:t>
      </w:r>
      <w:r w:rsidR="00EE4FC3">
        <w:t xml:space="preserve"> </w:t>
      </w:r>
      <w:r w:rsidRPr="00382917">
        <w:t>two</w:t>
      </w:r>
      <w:r w:rsidR="00EE4FC3">
        <w:t xml:space="preserve"> </w:t>
      </w:r>
      <w:r w:rsidRPr="00382917">
        <w:t>camps</w:t>
      </w:r>
      <w:r w:rsidR="00330AF7">
        <w:t>.</w:t>
      </w:r>
      <w:r w:rsidR="00EE4FC3">
        <w:t xml:space="preserve">  </w:t>
      </w:r>
      <w:r w:rsidRPr="00382917">
        <w:t>There</w:t>
      </w:r>
      <w:r w:rsidR="00EE4FC3">
        <w:t xml:space="preserve"> </w:t>
      </w:r>
      <w:r w:rsidRPr="00382917">
        <w:t>were</w:t>
      </w:r>
      <w:r w:rsidR="00EE4FC3">
        <w:t xml:space="preserve"> </w:t>
      </w:r>
      <w:r w:rsidRPr="00382917">
        <w:t>pathetic</w:t>
      </w:r>
      <w:r w:rsidR="00EE4FC3">
        <w:t xml:space="preserve"> </w:t>
      </w:r>
      <w:r w:rsidRPr="00382917">
        <w:t>sights</w:t>
      </w:r>
      <w:r w:rsidR="00EE4FC3">
        <w:t xml:space="preserve"> </w:t>
      </w:r>
      <w:r w:rsidRPr="00382917">
        <w:t>of</w:t>
      </w:r>
      <w:r w:rsidR="00EE4FC3">
        <w:t xml:space="preserve"> </w:t>
      </w:r>
      <w:r w:rsidRPr="00382917">
        <w:t>families</w:t>
      </w:r>
      <w:r w:rsidR="00EE4FC3">
        <w:t xml:space="preserve"> </w:t>
      </w:r>
      <w:r w:rsidRPr="00382917">
        <w:t>being</w:t>
      </w:r>
      <w:r w:rsidR="00EE4FC3">
        <w:t xml:space="preserve"> </w:t>
      </w:r>
      <w:r w:rsidRPr="00382917">
        <w:t>separated</w:t>
      </w:r>
      <w:r w:rsidR="00EE4FC3">
        <w:t xml:space="preserve"> </w:t>
      </w:r>
      <w:r w:rsidRPr="00382917">
        <w:t>by</w:t>
      </w:r>
      <w:r w:rsidR="00EE4FC3">
        <w:t xml:space="preserve"> </w:t>
      </w:r>
      <w:r w:rsidRPr="00382917">
        <w:t>their</w:t>
      </w:r>
      <w:r w:rsidR="00EE4FC3">
        <w:t xml:space="preserve"> </w:t>
      </w:r>
      <w:r w:rsidRPr="00382917">
        <w:t>belief</w:t>
      </w:r>
      <w:r w:rsidR="00EE4FC3">
        <w:t xml:space="preserve"> </w:t>
      </w:r>
      <w:r w:rsidRPr="00382917">
        <w:t>or</w:t>
      </w:r>
      <w:r w:rsidR="00EE4FC3">
        <w:t xml:space="preserve"> </w:t>
      </w:r>
      <w:r w:rsidRPr="00382917">
        <w:t>disbelief</w:t>
      </w:r>
      <w:r w:rsidR="00EE4FC3">
        <w:t xml:space="preserve"> </w:t>
      </w:r>
      <w:r w:rsidRPr="00382917">
        <w:t>in</w:t>
      </w:r>
      <w:r w:rsidR="00EE4FC3">
        <w:t xml:space="preserve"> </w:t>
      </w:r>
      <w:r w:rsidRPr="00382917">
        <w:t>the</w:t>
      </w:r>
      <w:r w:rsidR="00EE4FC3">
        <w:t xml:space="preserve"> </w:t>
      </w:r>
      <w:r w:rsidRPr="00382917">
        <w:t>Báb</w:t>
      </w:r>
      <w:r w:rsidR="00330AF7">
        <w:t>.</w:t>
      </w:r>
      <w:r w:rsidR="00EE4FC3">
        <w:t xml:space="preserve">  </w:t>
      </w:r>
      <w:r w:rsidRPr="00382917">
        <w:t>Fathers</w:t>
      </w:r>
      <w:r w:rsidR="00EE4FC3">
        <w:t xml:space="preserve"> </w:t>
      </w:r>
      <w:r w:rsidRPr="00382917">
        <w:t>turned</w:t>
      </w:r>
      <w:r w:rsidR="00EE4FC3">
        <w:t xml:space="preserve"> </w:t>
      </w:r>
      <w:r w:rsidRPr="00382917">
        <w:t>away</w:t>
      </w:r>
      <w:r w:rsidR="00EE4FC3">
        <w:t xml:space="preserve"> </w:t>
      </w:r>
      <w:r w:rsidRPr="00382917">
        <w:t>from</w:t>
      </w:r>
      <w:r w:rsidR="00EE4FC3">
        <w:t xml:space="preserve"> </w:t>
      </w:r>
      <w:r w:rsidRPr="00382917">
        <w:t>their</w:t>
      </w:r>
      <w:r w:rsidR="00EE4FC3">
        <w:t xml:space="preserve"> </w:t>
      </w:r>
      <w:r w:rsidRPr="00382917">
        <w:t>sons,</w:t>
      </w:r>
      <w:r w:rsidR="00EE4FC3">
        <w:t xml:space="preserve"> </w:t>
      </w:r>
      <w:r w:rsidRPr="00382917">
        <w:t>women</w:t>
      </w:r>
      <w:r w:rsidR="00EE4FC3">
        <w:t xml:space="preserve"> </w:t>
      </w:r>
      <w:r w:rsidRPr="00382917">
        <w:t>from</w:t>
      </w:r>
      <w:r w:rsidR="00EE4FC3">
        <w:t xml:space="preserve"> </w:t>
      </w:r>
      <w:r w:rsidRPr="00382917">
        <w:t>their</w:t>
      </w:r>
      <w:r w:rsidR="00EE4FC3">
        <w:t xml:space="preserve"> </w:t>
      </w:r>
      <w:r w:rsidRPr="00382917">
        <w:t>husbands,</w:t>
      </w:r>
      <w:r w:rsidR="00EE4FC3">
        <w:t xml:space="preserve"> </w:t>
      </w:r>
      <w:r w:rsidRPr="00382917">
        <w:t>children</w:t>
      </w:r>
      <w:r w:rsidR="00EE4FC3">
        <w:t xml:space="preserve"> </w:t>
      </w:r>
      <w:r w:rsidRPr="00382917">
        <w:t>from</w:t>
      </w:r>
      <w:r w:rsidR="00EE4FC3">
        <w:t xml:space="preserve"> </w:t>
      </w:r>
      <w:r w:rsidRPr="00382917">
        <w:t>their</w:t>
      </w:r>
      <w:r w:rsidR="00EE4FC3">
        <w:t xml:space="preserve"> </w:t>
      </w:r>
      <w:r w:rsidRPr="00382917">
        <w:t>mothers</w:t>
      </w:r>
      <w:r w:rsidR="00330AF7">
        <w:t>.</w:t>
      </w:r>
      <w:r w:rsidR="00EE4FC3">
        <w:t xml:space="preserve">  </w:t>
      </w:r>
      <w:r w:rsidRPr="00382917">
        <w:t>Every</w:t>
      </w:r>
      <w:r w:rsidR="00EE4FC3">
        <w:t xml:space="preserve"> </w:t>
      </w:r>
      <w:r w:rsidRPr="00382917">
        <w:t>tie</w:t>
      </w:r>
      <w:r w:rsidR="00EE4FC3">
        <w:t xml:space="preserve"> </w:t>
      </w:r>
      <w:r w:rsidRPr="00382917">
        <w:t>of</w:t>
      </w:r>
      <w:r w:rsidR="00EE4FC3">
        <w:t xml:space="preserve"> </w:t>
      </w:r>
      <w:r w:rsidRPr="00382917">
        <w:t>worldly</w:t>
      </w:r>
      <w:r w:rsidR="00EE4FC3">
        <w:t xml:space="preserve"> </w:t>
      </w:r>
      <w:r w:rsidRPr="00382917">
        <w:t>affection</w:t>
      </w:r>
      <w:r w:rsidR="00EE4FC3">
        <w:t xml:space="preserve"> </w:t>
      </w:r>
      <w:r w:rsidRPr="00382917">
        <w:t>seemed</w:t>
      </w:r>
      <w:r w:rsidR="00EE4FC3">
        <w:t xml:space="preserve"> </w:t>
      </w:r>
      <w:r w:rsidRPr="00382917">
        <w:t>to</w:t>
      </w:r>
      <w:r w:rsidR="00EE4FC3">
        <w:t xml:space="preserve"> </w:t>
      </w:r>
      <w:r w:rsidRPr="00382917">
        <w:t>be</w:t>
      </w:r>
      <w:r w:rsidR="00EE4FC3">
        <w:t xml:space="preserve"> </w:t>
      </w:r>
      <w:r w:rsidRPr="00382917">
        <w:t>dissolved</w:t>
      </w:r>
      <w:r w:rsidR="00EE4FC3">
        <w:t xml:space="preserve"> </w:t>
      </w:r>
      <w:r w:rsidRPr="00382917">
        <w:t>on</w:t>
      </w:r>
      <w:r w:rsidR="00EE4FC3">
        <w:t xml:space="preserve"> </w:t>
      </w:r>
      <w:r w:rsidRPr="00382917">
        <w:t>that</w:t>
      </w:r>
      <w:r w:rsidR="00EE4FC3">
        <w:t xml:space="preserve"> </w:t>
      </w:r>
      <w:r w:rsidRPr="00382917">
        <w:t>day</w:t>
      </w:r>
      <w:r w:rsidR="00330AF7">
        <w:t>.</w:t>
      </w:r>
      <w:r w:rsidR="00EE4FC3">
        <w:t xml:space="preserve">  </w:t>
      </w:r>
      <w:r w:rsidRPr="00382917">
        <w:t>Zanján</w:t>
      </w:r>
      <w:r w:rsidR="00EE4FC3">
        <w:t xml:space="preserve"> </w:t>
      </w:r>
      <w:r w:rsidRPr="00382917">
        <w:t>became</w:t>
      </w:r>
      <w:r w:rsidR="00EE4FC3">
        <w:t xml:space="preserve"> </w:t>
      </w:r>
      <w:r w:rsidRPr="00382917">
        <w:t>a</w:t>
      </w:r>
      <w:r w:rsidR="00EE4FC3">
        <w:t xml:space="preserve"> </w:t>
      </w:r>
      <w:r w:rsidRPr="00382917">
        <w:t>city</w:t>
      </w:r>
      <w:r w:rsidR="00EE4FC3">
        <w:t xml:space="preserve"> </w:t>
      </w:r>
      <w:r w:rsidRPr="00382917">
        <w:t>of</w:t>
      </w:r>
      <w:r w:rsidR="00EE4FC3">
        <w:t xml:space="preserve"> </w:t>
      </w:r>
      <w:r w:rsidRPr="00382917">
        <w:t>panic</w:t>
      </w:r>
      <w:r w:rsidR="00330AF7">
        <w:t>.</w:t>
      </w:r>
      <w:r w:rsidR="00EE4FC3">
        <w:t xml:space="preserve">  </w:t>
      </w:r>
      <w:r w:rsidRPr="00382917">
        <w:t>Men</w:t>
      </w:r>
      <w:r w:rsidR="00EE4FC3">
        <w:t xml:space="preserve"> </w:t>
      </w:r>
      <w:r w:rsidRPr="00382917">
        <w:t>ran</w:t>
      </w:r>
      <w:r w:rsidR="00EE4FC3">
        <w:t xml:space="preserve"> </w:t>
      </w:r>
      <w:r w:rsidRPr="00382917">
        <w:t>frantically</w:t>
      </w:r>
      <w:r w:rsidR="00EE4FC3">
        <w:t xml:space="preserve"> </w:t>
      </w:r>
      <w:r w:rsidRPr="00382917">
        <w:t>to</w:t>
      </w:r>
      <w:r w:rsidR="00EE4FC3">
        <w:t xml:space="preserve"> </w:t>
      </w:r>
      <w:r w:rsidRPr="00382917">
        <w:t>and</w:t>
      </w:r>
      <w:r w:rsidR="00EE4FC3">
        <w:t xml:space="preserve"> </w:t>
      </w:r>
      <w:r w:rsidRPr="00382917">
        <w:t>fro</w:t>
      </w:r>
      <w:r w:rsidR="00EE4FC3">
        <w:t xml:space="preserve"> </w:t>
      </w:r>
      <w:r w:rsidRPr="00382917">
        <w:t>trying</w:t>
      </w:r>
      <w:r w:rsidR="00EE4FC3">
        <w:t xml:space="preserve"> </w:t>
      </w:r>
      <w:r w:rsidRPr="00382917">
        <w:t>to</w:t>
      </w:r>
      <w:r w:rsidR="00EE4FC3">
        <w:t xml:space="preserve"> </w:t>
      </w:r>
      <w:r w:rsidRPr="00382917">
        <w:t>collect</w:t>
      </w:r>
      <w:r w:rsidR="00EE4FC3">
        <w:t xml:space="preserve"> </w:t>
      </w:r>
      <w:r w:rsidRPr="00382917">
        <w:t>their</w:t>
      </w:r>
      <w:r w:rsidR="00EE4FC3">
        <w:t xml:space="preserve"> </w:t>
      </w:r>
      <w:r w:rsidRPr="00382917">
        <w:t>wives</w:t>
      </w:r>
      <w:r w:rsidR="00EE4FC3">
        <w:t xml:space="preserve"> </w:t>
      </w:r>
      <w:r w:rsidRPr="00382917">
        <w:t>and</w:t>
      </w:r>
      <w:r w:rsidR="00EE4FC3">
        <w:t xml:space="preserve"> </w:t>
      </w:r>
      <w:r w:rsidRPr="00382917">
        <w:t>children</w:t>
      </w:r>
      <w:r w:rsidR="00EE4FC3">
        <w:t xml:space="preserve"> </w:t>
      </w:r>
      <w:r w:rsidRPr="00382917">
        <w:t>and</w:t>
      </w:r>
      <w:r w:rsidR="00EE4FC3">
        <w:t xml:space="preserve"> </w:t>
      </w:r>
      <w:r w:rsidRPr="00382917">
        <w:t>to</w:t>
      </w:r>
      <w:r w:rsidR="00EE4FC3">
        <w:t xml:space="preserve"> </w:t>
      </w:r>
      <w:r w:rsidRPr="00382917">
        <w:t>persuade</w:t>
      </w:r>
      <w:r w:rsidR="00EE4FC3">
        <w:t xml:space="preserve"> </w:t>
      </w:r>
      <w:r w:rsidRPr="00382917">
        <w:t>them</w:t>
      </w:r>
      <w:r w:rsidR="00EE4FC3">
        <w:t xml:space="preserve"> </w:t>
      </w:r>
      <w:r w:rsidRPr="00382917">
        <w:t>to</w:t>
      </w:r>
      <w:r w:rsidR="00EE4FC3">
        <w:t xml:space="preserve"> </w:t>
      </w:r>
      <w:r w:rsidRPr="00382917">
        <w:t>stand</w:t>
      </w:r>
      <w:r w:rsidR="00EE4FC3">
        <w:t xml:space="preserve"> </w:t>
      </w:r>
      <w:r w:rsidRPr="00382917">
        <w:t>with</w:t>
      </w:r>
      <w:r w:rsidR="00EE4FC3">
        <w:t xml:space="preserve"> </w:t>
      </w:r>
      <w:r w:rsidRPr="00382917">
        <w:t>them</w:t>
      </w:r>
      <w:r w:rsidR="00330AF7">
        <w:t>.</w:t>
      </w:r>
      <w:r w:rsidR="00EE4FC3">
        <w:t xml:space="preserve">  </w:t>
      </w:r>
      <w:r w:rsidRPr="00382917">
        <w:t>Families</w:t>
      </w:r>
      <w:r w:rsidR="00EE4FC3">
        <w:t xml:space="preserve"> </w:t>
      </w:r>
      <w:r w:rsidRPr="00382917">
        <w:t>divided</w:t>
      </w:r>
      <w:r w:rsidR="00EE4FC3">
        <w:t xml:space="preserve"> </w:t>
      </w:r>
      <w:r w:rsidRPr="00382917">
        <w:t>their</w:t>
      </w:r>
      <w:r w:rsidR="00EE4FC3">
        <w:t xml:space="preserve"> </w:t>
      </w:r>
      <w:r w:rsidRPr="00382917">
        <w:t>belongings</w:t>
      </w:r>
      <w:r w:rsidR="00EE4FC3">
        <w:t xml:space="preserve"> </w:t>
      </w:r>
      <w:r w:rsidRPr="00382917">
        <w:t>and</w:t>
      </w:r>
      <w:r w:rsidR="00EE4FC3">
        <w:t xml:space="preserve"> </w:t>
      </w:r>
      <w:r w:rsidRPr="00382917">
        <w:t>their</w:t>
      </w:r>
      <w:r w:rsidR="00EE4FC3">
        <w:t xml:space="preserve"> </w:t>
      </w:r>
      <w:r w:rsidRPr="00382917">
        <w:t>children</w:t>
      </w:r>
      <w:r w:rsidR="00330AF7">
        <w:t>.</w:t>
      </w:r>
      <w:r w:rsidR="00EE4FC3">
        <w:t xml:space="preserve">  </w:t>
      </w:r>
      <w:r w:rsidRPr="00382917">
        <w:t>Many</w:t>
      </w:r>
      <w:r w:rsidR="00EE4FC3">
        <w:t xml:space="preserve"> </w:t>
      </w:r>
      <w:r w:rsidRPr="00382917">
        <w:t>wept</w:t>
      </w:r>
      <w:r w:rsidR="00EE4FC3">
        <w:t xml:space="preserve"> </w:t>
      </w:r>
      <w:r w:rsidRPr="00382917">
        <w:t>over</w:t>
      </w:r>
      <w:r w:rsidR="00EE4FC3">
        <w:t xml:space="preserve"> </w:t>
      </w:r>
      <w:r w:rsidRPr="00382917">
        <w:t>what</w:t>
      </w:r>
      <w:r w:rsidR="00EE4FC3">
        <w:t xml:space="preserve"> </w:t>
      </w:r>
      <w:r w:rsidRPr="00382917">
        <w:t>they</w:t>
      </w:r>
      <w:r w:rsidR="00EE4FC3">
        <w:t xml:space="preserve"> </w:t>
      </w:r>
      <w:r w:rsidRPr="00382917">
        <w:t>had</w:t>
      </w:r>
      <w:r w:rsidR="00EE4FC3">
        <w:t xml:space="preserve"> </w:t>
      </w:r>
      <w:r w:rsidRPr="00382917">
        <w:t>to</w:t>
      </w:r>
      <w:r w:rsidR="00EE4FC3">
        <w:t xml:space="preserve"> </w:t>
      </w:r>
      <w:r w:rsidRPr="00382917">
        <w:t>abandon</w:t>
      </w:r>
      <w:r w:rsidR="00330AF7">
        <w:t>.</w:t>
      </w:r>
      <w:r w:rsidR="00EE4FC3">
        <w:t xml:space="preserve">  </w:t>
      </w:r>
      <w:r w:rsidRPr="00382917">
        <w:t>Whole</w:t>
      </w:r>
      <w:r w:rsidR="00EE4FC3">
        <w:t xml:space="preserve"> </w:t>
      </w:r>
      <w:r w:rsidRPr="00382917">
        <w:t>houses</w:t>
      </w:r>
      <w:r w:rsidR="00EE4FC3">
        <w:t xml:space="preserve"> </w:t>
      </w:r>
      <w:r w:rsidRPr="00382917">
        <w:t>were</w:t>
      </w:r>
      <w:r w:rsidR="00EE4FC3">
        <w:t xml:space="preserve"> </w:t>
      </w:r>
      <w:r w:rsidRPr="00382917">
        <w:t>deserted</w:t>
      </w:r>
      <w:r w:rsidR="00330AF7">
        <w:t>.</w:t>
      </w:r>
      <w:r w:rsidR="00EE4FC3">
        <w:t xml:space="preserve">  </w:t>
      </w:r>
      <w:r w:rsidRPr="00382917">
        <w:t>When</w:t>
      </w:r>
      <w:r w:rsidR="00EE4FC3">
        <w:t xml:space="preserve"> </w:t>
      </w:r>
      <w:r w:rsidRPr="00382917">
        <w:t>a</w:t>
      </w:r>
      <w:r w:rsidR="00EE4FC3">
        <w:t xml:space="preserve"> </w:t>
      </w:r>
      <w:r w:rsidRPr="00382917">
        <w:t>man,</w:t>
      </w:r>
      <w:r w:rsidR="00EE4FC3">
        <w:t xml:space="preserve"> </w:t>
      </w:r>
      <w:r w:rsidRPr="00382917">
        <w:t>a</w:t>
      </w:r>
      <w:r w:rsidR="00EE4FC3">
        <w:t xml:space="preserve"> </w:t>
      </w:r>
      <w:r w:rsidRPr="00382917">
        <w:t>woman,</w:t>
      </w:r>
      <w:r w:rsidR="00EE4FC3">
        <w:t xml:space="preserve"> </w:t>
      </w:r>
      <w:r w:rsidRPr="00382917">
        <w:t>or</w:t>
      </w:r>
      <w:r w:rsidR="00EE4FC3">
        <w:t xml:space="preserve"> </w:t>
      </w:r>
      <w:r w:rsidRPr="00382917">
        <w:t>a</w:t>
      </w:r>
      <w:r w:rsidR="00EE4FC3">
        <w:t xml:space="preserve"> </w:t>
      </w:r>
      <w:r w:rsidRPr="00382917">
        <w:t>child</w:t>
      </w:r>
      <w:r w:rsidR="00EE4FC3">
        <w:t xml:space="preserve"> </w:t>
      </w:r>
      <w:r w:rsidRPr="00382917">
        <w:t>would</w:t>
      </w:r>
      <w:r w:rsidR="00EE4FC3">
        <w:t xml:space="preserve"> </w:t>
      </w:r>
      <w:r w:rsidRPr="00382917">
        <w:t>tear</w:t>
      </w:r>
      <w:r w:rsidR="00EE4FC3">
        <w:t xml:space="preserve"> </w:t>
      </w:r>
      <w:r w:rsidRPr="00382917">
        <w:t>itself</w:t>
      </w:r>
      <w:r w:rsidR="00EE4FC3">
        <w:t xml:space="preserve"> </w:t>
      </w:r>
      <w:r w:rsidRPr="00382917">
        <w:t>from</w:t>
      </w:r>
      <w:r w:rsidR="00EE4FC3">
        <w:t xml:space="preserve"> </w:t>
      </w:r>
      <w:r w:rsidRPr="00382917">
        <w:t>its</w:t>
      </w:r>
      <w:r w:rsidR="00EE4FC3">
        <w:t xml:space="preserve"> </w:t>
      </w:r>
      <w:r w:rsidRPr="00382917">
        <w:t>family</w:t>
      </w:r>
      <w:r w:rsidR="00EE4FC3">
        <w:t xml:space="preserve"> </w:t>
      </w:r>
      <w:r w:rsidRPr="00382917">
        <w:t>or</w:t>
      </w:r>
      <w:r w:rsidR="00EE4FC3">
        <w:t xml:space="preserve"> </w:t>
      </w:r>
      <w:r w:rsidRPr="00382917">
        <w:t>friends</w:t>
      </w:r>
      <w:r w:rsidR="00EE4FC3">
        <w:t xml:space="preserve"> </w:t>
      </w:r>
      <w:r w:rsidRPr="00382917">
        <w:t>and</w:t>
      </w:r>
      <w:r w:rsidR="00EE4FC3">
        <w:t xml:space="preserve"> </w:t>
      </w:r>
      <w:r w:rsidRPr="00382917">
        <w:t>rush</w:t>
      </w:r>
      <w:r w:rsidR="00EE4FC3">
        <w:t xml:space="preserve"> </w:t>
      </w:r>
      <w:r w:rsidRPr="00382917">
        <w:t>to</w:t>
      </w:r>
      <w:r w:rsidR="00EE4FC3">
        <w:t xml:space="preserve"> </w:t>
      </w:r>
      <w:r w:rsidRPr="00382917">
        <w:t>the</w:t>
      </w:r>
      <w:r w:rsidR="00EE4FC3">
        <w:t xml:space="preserve"> </w:t>
      </w:r>
      <w:r w:rsidRPr="00382917">
        <w:t>support</w:t>
      </w:r>
      <w:r w:rsidR="00EE4FC3">
        <w:t xml:space="preserve"> </w:t>
      </w:r>
      <w:r w:rsidRPr="00382917">
        <w:t>of</w:t>
      </w:r>
      <w:r w:rsidR="00EE4FC3">
        <w:t xml:space="preserve"> </w:t>
      </w:r>
      <w:r w:rsidRPr="00382917">
        <w:t>Ḥujjat,</w:t>
      </w:r>
      <w:r w:rsidR="00EE4FC3">
        <w:t xml:space="preserve"> </w:t>
      </w:r>
      <w:r w:rsidRPr="00382917">
        <w:t>a</w:t>
      </w:r>
      <w:r w:rsidR="00EE4FC3">
        <w:t xml:space="preserve"> </w:t>
      </w:r>
      <w:r w:rsidRPr="00382917">
        <w:t>cry</w:t>
      </w:r>
      <w:r w:rsidR="00EE4FC3">
        <w:t xml:space="preserve"> </w:t>
      </w:r>
      <w:r w:rsidRPr="00382917">
        <w:t>of</w:t>
      </w:r>
      <w:r w:rsidR="00EE4FC3">
        <w:t xml:space="preserve"> </w:t>
      </w:r>
      <w:r w:rsidRPr="00382917">
        <w:t>joy</w:t>
      </w:r>
      <w:r w:rsidR="00EE4FC3">
        <w:t xml:space="preserve"> </w:t>
      </w:r>
      <w:r w:rsidRPr="00382917">
        <w:t>would</w:t>
      </w:r>
      <w:r w:rsidR="00EE4FC3">
        <w:t xml:space="preserve"> </w:t>
      </w:r>
      <w:r w:rsidRPr="00382917">
        <w:t>go</w:t>
      </w:r>
      <w:r w:rsidR="00EE4FC3">
        <w:t xml:space="preserve"> </w:t>
      </w:r>
      <w:r w:rsidRPr="00382917">
        <w:t>up</w:t>
      </w:r>
      <w:r w:rsidR="00EE4FC3">
        <w:t xml:space="preserve"> </w:t>
      </w:r>
      <w:r w:rsidRPr="00382917">
        <w:t>from</w:t>
      </w:r>
      <w:r w:rsidR="00EE4FC3">
        <w:t xml:space="preserve"> </w:t>
      </w:r>
      <w:r w:rsidRPr="00382917">
        <w:t>one</w:t>
      </w:r>
      <w:r w:rsidR="00EE4FC3">
        <w:t xml:space="preserve"> </w:t>
      </w:r>
      <w:r w:rsidRPr="00382917">
        <w:t>camp,</w:t>
      </w:r>
      <w:r w:rsidR="00EE4FC3">
        <w:t xml:space="preserve"> </w:t>
      </w:r>
      <w:r w:rsidRPr="00382917">
        <w:t>and</w:t>
      </w:r>
      <w:r w:rsidR="00EE4FC3">
        <w:t xml:space="preserve"> </w:t>
      </w:r>
      <w:r w:rsidRPr="00382917">
        <w:t>a</w:t>
      </w:r>
      <w:r w:rsidR="00EE4FC3">
        <w:t xml:space="preserve"> </w:t>
      </w:r>
      <w:r w:rsidRPr="00382917">
        <w:t>moan</w:t>
      </w:r>
      <w:r w:rsidR="00EE4FC3">
        <w:t xml:space="preserve"> </w:t>
      </w:r>
      <w:r w:rsidRPr="00382917">
        <w:t>of</w:t>
      </w:r>
      <w:r w:rsidR="00EE4FC3">
        <w:t xml:space="preserve"> </w:t>
      </w:r>
      <w:r w:rsidRPr="00382917">
        <w:t>despair</w:t>
      </w:r>
      <w:r w:rsidR="00EE4FC3">
        <w:t xml:space="preserve"> </w:t>
      </w:r>
      <w:r w:rsidRPr="00382917">
        <w:t>from</w:t>
      </w:r>
      <w:r w:rsidR="00EE4FC3">
        <w:t xml:space="preserve"> </w:t>
      </w:r>
      <w:r w:rsidRPr="00382917">
        <w:t>the</w:t>
      </w:r>
      <w:r w:rsidR="00EE4FC3">
        <w:t xml:space="preserve"> </w:t>
      </w:r>
      <w:r w:rsidRPr="00382917">
        <w:t>other.</w:t>
      </w:r>
    </w:p>
    <w:p w:rsidR="001D2FA7" w:rsidRPr="00382917" w:rsidRDefault="001D2FA7" w:rsidP="00A920DC">
      <w:pPr>
        <w:pStyle w:val="Text"/>
      </w:pPr>
      <w:r w:rsidRPr="00382917">
        <w:t>It</w:t>
      </w:r>
      <w:r w:rsidR="00EE4FC3">
        <w:t xml:space="preserve"> </w:t>
      </w:r>
      <w:r w:rsidRPr="00382917">
        <w:t>was</w:t>
      </w:r>
      <w:r w:rsidR="00EE4FC3">
        <w:t xml:space="preserve"> </w:t>
      </w:r>
      <w:r w:rsidRPr="00382917">
        <w:t>such</w:t>
      </w:r>
      <w:r w:rsidR="00EE4FC3">
        <w:t xml:space="preserve"> </w:t>
      </w:r>
      <w:r w:rsidRPr="00382917">
        <w:t>a</w:t>
      </w:r>
      <w:r w:rsidR="00EE4FC3">
        <w:t xml:space="preserve"> </w:t>
      </w:r>
      <w:r w:rsidRPr="00382917">
        <w:t>day</w:t>
      </w:r>
      <w:r w:rsidR="00EE4FC3">
        <w:t xml:space="preserve"> </w:t>
      </w:r>
      <w:r w:rsidRPr="00382917">
        <w:t>as</w:t>
      </w:r>
      <w:r w:rsidR="00EE4FC3">
        <w:t xml:space="preserve"> </w:t>
      </w:r>
      <w:r w:rsidRPr="00382917">
        <w:t>foretold</w:t>
      </w:r>
      <w:r w:rsidR="00EE4FC3">
        <w:t xml:space="preserve"> </w:t>
      </w:r>
      <w:r w:rsidRPr="00382917">
        <w:t>by</w:t>
      </w:r>
      <w:r w:rsidR="00EE4FC3">
        <w:t xml:space="preserve"> </w:t>
      </w:r>
      <w:r w:rsidRPr="00382917">
        <w:t>Christ</w:t>
      </w:r>
      <w:r w:rsidR="00EE4FC3">
        <w:t xml:space="preserve"> </w:t>
      </w:r>
      <w:r w:rsidRPr="00382917">
        <w:t>for</w:t>
      </w:r>
      <w:r w:rsidR="00EE4FC3">
        <w:t xml:space="preserve"> </w:t>
      </w:r>
      <w:r w:rsidRPr="00382917">
        <w:t>the</w:t>
      </w:r>
      <w:r w:rsidR="00EE4FC3">
        <w:t xml:space="preserve"> </w:t>
      </w:r>
      <w:r w:rsidRPr="00382917">
        <w:t>days</w:t>
      </w:r>
      <w:r w:rsidR="00EE4FC3">
        <w:t xml:space="preserve"> </w:t>
      </w:r>
      <w:r w:rsidRPr="00382917">
        <w:t>of</w:t>
      </w:r>
      <w:r w:rsidR="00EE4FC3">
        <w:t xml:space="preserve"> </w:t>
      </w:r>
      <w:r w:rsidRPr="00382917">
        <w:t>the</w:t>
      </w:r>
      <w:r w:rsidR="00EE4FC3">
        <w:t xml:space="preserve"> </w:t>
      </w:r>
      <w:r w:rsidRPr="00382917">
        <w:t>end</w:t>
      </w:r>
      <w:r w:rsidR="00EE4FC3">
        <w:t xml:space="preserve"> </w:t>
      </w:r>
      <w:r w:rsidRPr="00382917">
        <w:t>when</w:t>
      </w:r>
      <w:r w:rsidR="00EE4FC3">
        <w:t xml:space="preserve"> </w:t>
      </w:r>
      <w:r w:rsidR="009C713D" w:rsidRPr="00382917">
        <w:t>“</w:t>
      </w:r>
      <w:r w:rsidRPr="00382917">
        <w:t>brother</w:t>
      </w:r>
      <w:r w:rsidR="00EE4FC3">
        <w:t xml:space="preserve"> </w:t>
      </w:r>
      <w:r w:rsidRPr="00382917">
        <w:t>shall</w:t>
      </w:r>
      <w:r w:rsidR="00EE4FC3">
        <w:t xml:space="preserve"> </w:t>
      </w:r>
      <w:r w:rsidRPr="00382917">
        <w:t>deliver</w:t>
      </w:r>
      <w:r w:rsidR="00EE4FC3">
        <w:t xml:space="preserve"> </w:t>
      </w:r>
      <w:r w:rsidRPr="00382917">
        <w:t>up</w:t>
      </w:r>
      <w:r w:rsidR="00EE4FC3">
        <w:t xml:space="preserve"> </w:t>
      </w:r>
      <w:r w:rsidRPr="00382917">
        <w:t>brother</w:t>
      </w:r>
      <w:r w:rsidR="00EE4FC3">
        <w:t xml:space="preserve"> </w:t>
      </w:r>
      <w:r w:rsidRPr="00382917">
        <w:t>to</w:t>
      </w:r>
      <w:r w:rsidR="00EE4FC3">
        <w:t xml:space="preserve"> </w:t>
      </w:r>
      <w:proofErr w:type="gramStart"/>
      <w:r w:rsidRPr="00382917">
        <w:t>death,</w:t>
      </w:r>
      <w:proofErr w:type="gramEnd"/>
      <w:r w:rsidR="00EE4FC3">
        <w:t xml:space="preserve"> </w:t>
      </w:r>
      <w:r w:rsidRPr="00382917">
        <w:t>and</w:t>
      </w:r>
      <w:r w:rsidR="00EE4FC3">
        <w:t xml:space="preserve"> </w:t>
      </w:r>
      <w:r w:rsidRPr="00382917">
        <w:t>the</w:t>
      </w:r>
      <w:r w:rsidR="00EE4FC3">
        <w:t xml:space="preserve"> </w:t>
      </w:r>
      <w:r w:rsidRPr="00382917">
        <w:t>father</w:t>
      </w:r>
      <w:r w:rsidR="00EE4FC3">
        <w:t xml:space="preserve"> </w:t>
      </w:r>
      <w:r w:rsidRPr="00382917">
        <w:t>the</w:t>
      </w:r>
      <w:r w:rsidR="00EE4FC3">
        <w:t xml:space="preserve"> </w:t>
      </w:r>
      <w:r w:rsidRPr="00382917">
        <w:t>child</w:t>
      </w:r>
      <w:r w:rsidR="00C03C91">
        <w:t>:</w:t>
      </w:r>
      <w:r w:rsidR="00EE4FC3">
        <w:t xml:space="preserve">  </w:t>
      </w:r>
      <w:r w:rsidRPr="00382917">
        <w:t>and</w:t>
      </w:r>
      <w:r w:rsidR="00EE4FC3">
        <w:t xml:space="preserve"> </w:t>
      </w:r>
      <w:r w:rsidRPr="00382917">
        <w:t>the</w:t>
      </w:r>
      <w:r w:rsidR="00EE4FC3">
        <w:t xml:space="preserve"> </w:t>
      </w:r>
      <w:r w:rsidRPr="00382917">
        <w:t>children</w:t>
      </w:r>
      <w:r w:rsidR="00EE4FC3">
        <w:t xml:space="preserve"> </w:t>
      </w:r>
      <w:r w:rsidRPr="00382917">
        <w:t>shall</w:t>
      </w:r>
      <w:r w:rsidR="00EE4FC3">
        <w:t xml:space="preserve"> </w:t>
      </w:r>
      <w:r w:rsidRPr="00382917">
        <w:t>rise</w:t>
      </w:r>
      <w:r w:rsidR="00EE4FC3">
        <w:t xml:space="preserve"> </w:t>
      </w:r>
      <w:r w:rsidRPr="00382917">
        <w:t>up</w:t>
      </w:r>
      <w:r w:rsidR="00EE4FC3">
        <w:t xml:space="preserve"> </w:t>
      </w:r>
      <w:r w:rsidRPr="00382917">
        <w:t>against</w:t>
      </w:r>
      <w:r w:rsidR="00EE4FC3">
        <w:t xml:space="preserve"> </w:t>
      </w:r>
      <w:r w:rsidRPr="00382917">
        <w:t>their</w:t>
      </w:r>
      <w:r w:rsidR="00EE4FC3">
        <w:t xml:space="preserve"> </w:t>
      </w:r>
      <w:r w:rsidRPr="00382917">
        <w:t>parents</w:t>
      </w:r>
      <w:r w:rsidR="00EE4FC3">
        <w:t xml:space="preserve"> </w:t>
      </w:r>
      <w:r w:rsidRPr="00382917">
        <w:t>and</w:t>
      </w:r>
      <w:r w:rsidR="00EE4FC3">
        <w:t xml:space="preserve"> </w:t>
      </w:r>
      <w:r w:rsidRPr="00382917">
        <w:t>cause</w:t>
      </w:r>
      <w:r w:rsidR="00EE4FC3">
        <w:t xml:space="preserve"> </w:t>
      </w:r>
      <w:r w:rsidRPr="00382917">
        <w:t>them</w:t>
      </w:r>
      <w:r w:rsidR="00EE4FC3">
        <w:t xml:space="preserve"> </w:t>
      </w:r>
      <w:r w:rsidRPr="00382917">
        <w:t>to</w:t>
      </w:r>
      <w:r w:rsidR="00EE4FC3">
        <w:t xml:space="preserve"> </w:t>
      </w:r>
      <w:r w:rsidRPr="00382917">
        <w:t>be</w:t>
      </w:r>
      <w:r w:rsidR="00EE4FC3">
        <w:t xml:space="preserve"> </w:t>
      </w:r>
      <w:r w:rsidRPr="00382917">
        <w:t>put</w:t>
      </w:r>
      <w:r w:rsidR="00EE4FC3">
        <w:t xml:space="preserve"> </w:t>
      </w:r>
      <w:r w:rsidRPr="00382917">
        <w:t>to</w:t>
      </w:r>
      <w:r w:rsidR="00EE4FC3">
        <w:t xml:space="preserve"> </w:t>
      </w:r>
      <w:r w:rsidRPr="00382917">
        <w:t>death.</w:t>
      </w:r>
      <w:r w:rsidR="009C713D" w:rsidRPr="00382917">
        <w:t>”</w:t>
      </w:r>
      <w:r w:rsidR="00A920DC">
        <w:rPr>
          <w:rStyle w:val="FootnoteReference"/>
        </w:rPr>
        <w:footnoteReference w:id="219"/>
      </w:r>
    </w:p>
    <w:p w:rsidR="001D2FA7" w:rsidRPr="00382917" w:rsidRDefault="001D2FA7" w:rsidP="005873D3">
      <w:pPr>
        <w:pStyle w:val="Text"/>
      </w:pPr>
      <w:r w:rsidRPr="00382917">
        <w:t>This</w:t>
      </w:r>
      <w:r w:rsidR="00EE4FC3">
        <w:t xml:space="preserve"> </w:t>
      </w:r>
      <w:r w:rsidRPr="00382917">
        <w:t>was</w:t>
      </w:r>
      <w:r w:rsidR="00EE4FC3">
        <w:t xml:space="preserve"> </w:t>
      </w:r>
      <w:r w:rsidRPr="00382917">
        <w:t>the</w:t>
      </w:r>
      <w:r w:rsidR="00EE4FC3">
        <w:t xml:space="preserve"> </w:t>
      </w:r>
      <w:r w:rsidRPr="00382917">
        <w:t>day</w:t>
      </w:r>
      <w:r w:rsidR="00EE4FC3">
        <w:t xml:space="preserve"> </w:t>
      </w:r>
      <w:r w:rsidRPr="00382917">
        <w:t>prophesied</w:t>
      </w:r>
      <w:r w:rsidR="00EE4FC3">
        <w:t xml:space="preserve"> </w:t>
      </w:r>
      <w:r w:rsidRPr="00382917">
        <w:t>also</w:t>
      </w:r>
      <w:r w:rsidR="00EE4FC3">
        <w:t xml:space="preserve"> </w:t>
      </w:r>
      <w:r w:rsidRPr="00382917">
        <w:t>by</w:t>
      </w:r>
      <w:r w:rsidR="00EE4FC3">
        <w:t xml:space="preserve"> </w:t>
      </w:r>
      <w:r w:rsidRPr="00382917">
        <w:t>Muḥammad,</w:t>
      </w:r>
      <w:r w:rsidR="00EE4FC3">
        <w:t xml:space="preserve"> </w:t>
      </w:r>
      <w:r w:rsidRPr="00382917">
        <w:t>the</w:t>
      </w:r>
      <w:r w:rsidR="00EE4FC3">
        <w:t xml:space="preserve"> </w:t>
      </w:r>
      <w:r w:rsidRPr="00382917">
        <w:t>day</w:t>
      </w:r>
      <w:r w:rsidR="00EE4FC3">
        <w:t xml:space="preserve"> </w:t>
      </w:r>
      <w:r w:rsidRPr="00382917">
        <w:t>on</w:t>
      </w:r>
      <w:r w:rsidR="00EE4FC3">
        <w:t xml:space="preserve"> </w:t>
      </w:r>
      <w:r w:rsidRPr="00382917">
        <w:t>which</w:t>
      </w:r>
      <w:r w:rsidR="00EE4FC3">
        <w:t xml:space="preserve"> </w:t>
      </w:r>
      <w:r w:rsidRPr="00382917">
        <w:t>man</w:t>
      </w:r>
      <w:r w:rsidR="00EE4FC3">
        <w:t xml:space="preserve"> </w:t>
      </w:r>
      <w:r w:rsidRPr="00382917">
        <w:t>shall</w:t>
      </w:r>
      <w:r w:rsidR="00EE4FC3">
        <w:t xml:space="preserve"> </w:t>
      </w:r>
      <w:r w:rsidRPr="00382917">
        <w:t>fly</w:t>
      </w:r>
      <w:r w:rsidR="00EE4FC3">
        <w:t xml:space="preserve"> </w:t>
      </w:r>
      <w:r w:rsidRPr="00382917">
        <w:t>from</w:t>
      </w:r>
      <w:r w:rsidR="00EE4FC3">
        <w:t xml:space="preserve"> </w:t>
      </w:r>
      <w:r w:rsidRPr="00382917">
        <w:t>his</w:t>
      </w:r>
      <w:r w:rsidR="00EE4FC3">
        <w:t xml:space="preserve"> </w:t>
      </w:r>
      <w:r w:rsidRPr="00382917">
        <w:t>brother,</w:t>
      </w:r>
      <w:r w:rsidR="00EE4FC3">
        <w:t xml:space="preserve"> </w:t>
      </w:r>
      <w:r w:rsidRPr="00382917">
        <w:t>and</w:t>
      </w:r>
      <w:r w:rsidR="00EE4FC3">
        <w:t xml:space="preserve"> </w:t>
      </w:r>
      <w:r w:rsidRPr="00382917">
        <w:t>his</w:t>
      </w:r>
      <w:r w:rsidR="00EE4FC3">
        <w:t xml:space="preserve"> </w:t>
      </w:r>
      <w:r w:rsidRPr="00382917">
        <w:t>mother</w:t>
      </w:r>
      <w:r w:rsidR="00EE4FC3">
        <w:t xml:space="preserve"> </w:t>
      </w:r>
      <w:r w:rsidRPr="00382917">
        <w:t>and</w:t>
      </w:r>
      <w:r w:rsidR="00EE4FC3">
        <w:t xml:space="preserve"> </w:t>
      </w:r>
      <w:r w:rsidRPr="00382917">
        <w:t>his</w:t>
      </w:r>
      <w:r w:rsidR="00EE4FC3">
        <w:t xml:space="preserve"> </w:t>
      </w:r>
      <w:r w:rsidRPr="00382917">
        <w:t>father,</w:t>
      </w:r>
      <w:r w:rsidR="00EE4FC3">
        <w:t xml:space="preserve"> </w:t>
      </w:r>
      <w:r w:rsidRPr="00382917">
        <w:t>and</w:t>
      </w:r>
      <w:r w:rsidR="00EE4FC3">
        <w:t xml:space="preserve"> </w:t>
      </w:r>
      <w:r w:rsidRPr="00382917">
        <w:t>his</w:t>
      </w:r>
      <w:r w:rsidR="00EE4FC3">
        <w:t xml:space="preserve"> </w:t>
      </w:r>
      <w:r w:rsidRPr="00382917">
        <w:t>wife</w:t>
      </w:r>
      <w:r w:rsidR="00EE4FC3">
        <w:t xml:space="preserve"> </w:t>
      </w:r>
      <w:r w:rsidRPr="00382917">
        <w:t>and</w:t>
      </w:r>
      <w:r w:rsidR="00EE4FC3">
        <w:t xml:space="preserve"> </w:t>
      </w:r>
      <w:r w:rsidRPr="00382917">
        <w:t>his</w:t>
      </w:r>
      <w:r w:rsidR="00EE4FC3">
        <w:t xml:space="preserve"> </w:t>
      </w:r>
      <w:r w:rsidRPr="00382917">
        <w:t>children.</w:t>
      </w:r>
      <w:r w:rsidR="009C713D" w:rsidRPr="00382917">
        <w:t>”</w:t>
      </w:r>
      <w:r w:rsidR="005873D3">
        <w:rPr>
          <w:rStyle w:val="FootnoteReference"/>
        </w:rPr>
        <w:footnoteReference w:id="220"/>
      </w:r>
    </w:p>
    <w:p w:rsidR="001D2FA7" w:rsidRPr="00382917" w:rsidRDefault="001D2FA7" w:rsidP="007B319A">
      <w:pPr>
        <w:pStyle w:val="Text"/>
      </w:pPr>
      <w:r w:rsidRPr="00382917">
        <w:t>One</w:t>
      </w:r>
      <w:r w:rsidR="00EE4FC3">
        <w:t xml:space="preserve"> </w:t>
      </w:r>
      <w:r w:rsidRPr="00382917">
        <w:t>night</w:t>
      </w:r>
      <w:r w:rsidR="00EE4FC3">
        <w:t xml:space="preserve"> </w:t>
      </w:r>
      <w:r w:rsidRPr="00382917">
        <w:t>during</w:t>
      </w:r>
      <w:r w:rsidR="00EE4FC3">
        <w:t xml:space="preserve"> </w:t>
      </w:r>
      <w:r w:rsidRPr="00382917">
        <w:t>the</w:t>
      </w:r>
      <w:r w:rsidR="00EE4FC3">
        <w:t xml:space="preserve"> </w:t>
      </w:r>
      <w:r w:rsidRPr="00382917">
        <w:t>struggle,</w:t>
      </w:r>
      <w:r w:rsidR="00EE4FC3">
        <w:t xml:space="preserve"> </w:t>
      </w:r>
      <w:r w:rsidRPr="00382917">
        <w:t>the</w:t>
      </w:r>
      <w:r w:rsidR="00EE4FC3">
        <w:t xml:space="preserve"> </w:t>
      </w:r>
      <w:r w:rsidRPr="00382917">
        <w:t>followers</w:t>
      </w:r>
      <w:r w:rsidR="00EE4FC3">
        <w:t xml:space="preserve"> </w:t>
      </w:r>
      <w:r w:rsidRPr="00382917">
        <w:t>of</w:t>
      </w:r>
      <w:r w:rsidR="00EE4FC3">
        <w:t xml:space="preserve"> </w:t>
      </w:r>
      <w:r w:rsidRPr="00382917">
        <w:t>the</w:t>
      </w:r>
      <w:r w:rsidR="00EE4FC3">
        <w:t xml:space="preserve"> </w:t>
      </w:r>
      <w:r w:rsidRPr="00382917">
        <w:t>Báb</w:t>
      </w:r>
      <w:r w:rsidR="00EE4FC3">
        <w:t xml:space="preserve"> </w:t>
      </w:r>
      <w:r w:rsidRPr="00382917">
        <w:t>carried</w:t>
      </w:r>
      <w:r w:rsidR="00EE4FC3">
        <w:t xml:space="preserve"> </w:t>
      </w:r>
      <w:r w:rsidRPr="00382917">
        <w:t>out</w:t>
      </w:r>
      <w:r w:rsidR="00EE4FC3">
        <w:t xml:space="preserve"> </w:t>
      </w:r>
      <w:r w:rsidRPr="00382917">
        <w:t>His</w:t>
      </w:r>
      <w:r w:rsidR="00EE4FC3">
        <w:t xml:space="preserve"> </w:t>
      </w:r>
      <w:r w:rsidRPr="00382917">
        <w:t>instructions</w:t>
      </w:r>
      <w:r w:rsidR="00EE4FC3">
        <w:t xml:space="preserve"> </w:t>
      </w:r>
      <w:r w:rsidRPr="00382917">
        <w:t>to</w:t>
      </w:r>
      <w:r w:rsidR="00EE4FC3">
        <w:t xml:space="preserve"> </w:t>
      </w:r>
      <w:r w:rsidRPr="00382917">
        <w:t>repeat</w:t>
      </w:r>
      <w:r w:rsidR="00EE4FC3">
        <w:t xml:space="preserve"> </w:t>
      </w:r>
      <w:r w:rsidRPr="00382917">
        <w:t>the</w:t>
      </w:r>
      <w:r w:rsidR="00EE4FC3">
        <w:t xml:space="preserve"> </w:t>
      </w:r>
      <w:r w:rsidRPr="00382917">
        <w:t>following</w:t>
      </w:r>
      <w:r w:rsidR="00EE4FC3">
        <w:t xml:space="preserve"> </w:t>
      </w:r>
      <w:r w:rsidRPr="00382917">
        <w:t>praises</w:t>
      </w:r>
      <w:r w:rsidR="00EE4FC3">
        <w:t xml:space="preserve"> </w:t>
      </w:r>
      <w:r w:rsidRPr="00382917">
        <w:t>of</w:t>
      </w:r>
      <w:r w:rsidR="00EE4FC3">
        <w:t xml:space="preserve"> </w:t>
      </w:r>
      <w:r w:rsidRPr="00382917">
        <w:t>the</w:t>
      </w:r>
      <w:r w:rsidR="00EE4FC3">
        <w:t xml:space="preserve"> </w:t>
      </w:r>
      <w:r w:rsidRPr="00382917">
        <w:t>Almighty</w:t>
      </w:r>
      <w:r w:rsidR="00C03C91">
        <w:t>:</w:t>
      </w:r>
      <w:r w:rsidR="00EE4FC3">
        <w:t xml:space="preserve">  </w:t>
      </w:r>
      <w:r w:rsidR="009C713D" w:rsidRPr="00382917">
        <w:t>“</w:t>
      </w:r>
      <w:r w:rsidRPr="00382917">
        <w:t>God</w:t>
      </w:r>
      <w:r w:rsidR="00EE4FC3">
        <w:t xml:space="preserve"> </w:t>
      </w:r>
      <w:r w:rsidRPr="00382917">
        <w:t>the</w:t>
      </w:r>
      <w:r w:rsidR="00EE4FC3">
        <w:t xml:space="preserve"> </w:t>
      </w:r>
      <w:r w:rsidRPr="00382917">
        <w:t>Great!</w:t>
      </w:r>
      <w:r w:rsidR="009C713D" w:rsidRPr="00382917">
        <w:t>”</w:t>
      </w:r>
    </w:p>
    <w:p w:rsidR="001D2FA7" w:rsidRPr="00382917" w:rsidRDefault="009C713D" w:rsidP="003C29D6">
      <w:pPr>
        <w:pStyle w:val="Quote"/>
      </w:pPr>
      <w:proofErr w:type="gramStart"/>
      <w:r w:rsidRPr="00382917">
        <w:t>“</w:t>
      </w:r>
      <w:r w:rsidR="001D2FA7" w:rsidRPr="00382917">
        <w:t>God</w:t>
      </w:r>
      <w:r w:rsidR="00EE4FC3">
        <w:t xml:space="preserve"> </w:t>
      </w:r>
      <w:r w:rsidR="001D2FA7" w:rsidRPr="00382917">
        <w:t>the</w:t>
      </w:r>
      <w:r w:rsidR="00EE4FC3">
        <w:t xml:space="preserve"> </w:t>
      </w:r>
      <w:r w:rsidR="001D2FA7" w:rsidRPr="00382917">
        <w:t>Most</w:t>
      </w:r>
      <w:r w:rsidR="00EE4FC3">
        <w:t xml:space="preserve"> </w:t>
      </w:r>
      <w:r w:rsidR="001D2FA7" w:rsidRPr="00382917">
        <w:t>Great!</w:t>
      </w:r>
      <w:r w:rsidRPr="00382917">
        <w:t>”</w:t>
      </w:r>
      <w:proofErr w:type="gramEnd"/>
    </w:p>
    <w:p w:rsidR="001D2FA7" w:rsidRPr="00382917" w:rsidRDefault="009C713D" w:rsidP="003C29D6">
      <w:pPr>
        <w:pStyle w:val="Quotects"/>
      </w:pPr>
      <w:proofErr w:type="gramStart"/>
      <w:r w:rsidRPr="00382917">
        <w:t>“</w:t>
      </w:r>
      <w:r w:rsidR="001D2FA7" w:rsidRPr="00382917">
        <w:t>God</w:t>
      </w:r>
      <w:r w:rsidR="00EE4FC3">
        <w:t xml:space="preserve"> </w:t>
      </w:r>
      <w:r w:rsidR="001D2FA7" w:rsidRPr="00382917">
        <w:t>the</w:t>
      </w:r>
      <w:r w:rsidR="00EE4FC3">
        <w:t xml:space="preserve"> </w:t>
      </w:r>
      <w:r w:rsidR="001D2FA7" w:rsidRPr="00382917">
        <w:t>Most</w:t>
      </w:r>
      <w:r w:rsidR="00EE4FC3">
        <w:t xml:space="preserve"> </w:t>
      </w:r>
      <w:r w:rsidR="001D2FA7" w:rsidRPr="00382917">
        <w:t>Beauteous!</w:t>
      </w:r>
      <w:r w:rsidRPr="00382917">
        <w:t>”</w:t>
      </w:r>
      <w:proofErr w:type="gramEnd"/>
    </w:p>
    <w:p w:rsidR="001D2FA7" w:rsidRPr="00382917" w:rsidRDefault="009C713D" w:rsidP="003C29D6">
      <w:pPr>
        <w:pStyle w:val="Quotects"/>
      </w:pPr>
      <w:proofErr w:type="gramStart"/>
      <w:r w:rsidRPr="00382917">
        <w:t>“</w:t>
      </w:r>
      <w:r w:rsidR="001D2FA7" w:rsidRPr="00382917">
        <w:t>God</w:t>
      </w:r>
      <w:r w:rsidR="00EE4FC3">
        <w:t xml:space="preserve"> </w:t>
      </w:r>
      <w:r w:rsidR="001D2FA7" w:rsidRPr="00382917">
        <w:t>the</w:t>
      </w:r>
      <w:r w:rsidR="00EE4FC3">
        <w:t xml:space="preserve"> </w:t>
      </w:r>
      <w:r w:rsidR="001D2FA7" w:rsidRPr="00382917">
        <w:t>Most</w:t>
      </w:r>
      <w:r w:rsidR="00EE4FC3">
        <w:t xml:space="preserve"> </w:t>
      </w:r>
      <w:r w:rsidR="001D2FA7" w:rsidRPr="00382917">
        <w:t>Glorious!</w:t>
      </w:r>
      <w:r w:rsidRPr="00382917">
        <w:t>”</w:t>
      </w:r>
      <w:proofErr w:type="gramEnd"/>
    </w:p>
    <w:p w:rsidR="001D2FA7" w:rsidRPr="00382917" w:rsidRDefault="009C713D" w:rsidP="003C29D6">
      <w:pPr>
        <w:pStyle w:val="Quotects"/>
      </w:pPr>
      <w:proofErr w:type="gramStart"/>
      <w:r w:rsidRPr="00382917">
        <w:t>“</w:t>
      </w:r>
      <w:r w:rsidR="001D2FA7" w:rsidRPr="00382917">
        <w:t>God</w:t>
      </w:r>
      <w:r w:rsidR="00EE4FC3">
        <w:t xml:space="preserve"> </w:t>
      </w:r>
      <w:r w:rsidR="001D2FA7" w:rsidRPr="00382917">
        <w:t>the</w:t>
      </w:r>
      <w:r w:rsidR="00EE4FC3">
        <w:t xml:space="preserve"> </w:t>
      </w:r>
      <w:r w:rsidR="001D2FA7" w:rsidRPr="00382917">
        <w:t>Most</w:t>
      </w:r>
      <w:r w:rsidR="00EE4FC3">
        <w:t xml:space="preserve"> </w:t>
      </w:r>
      <w:r w:rsidR="001D2FA7" w:rsidRPr="00382917">
        <w:t>Pure!</w:t>
      </w:r>
      <w:r w:rsidRPr="00382917">
        <w:t>”</w:t>
      </w:r>
      <w:proofErr w:type="gramEnd"/>
    </w:p>
    <w:p w:rsidR="001D2FA7" w:rsidRPr="00382917" w:rsidRDefault="001D2FA7" w:rsidP="007B319A">
      <w:pPr>
        <w:pStyle w:val="Text"/>
      </w:pPr>
      <w:r w:rsidRPr="00382917">
        <w:t>In</w:t>
      </w:r>
      <w:r w:rsidR="00EE4FC3">
        <w:t xml:space="preserve"> </w:t>
      </w:r>
      <w:r w:rsidRPr="00382917">
        <w:t>unison</w:t>
      </w:r>
      <w:r w:rsidR="00EE4FC3">
        <w:t xml:space="preserve"> </w:t>
      </w:r>
      <w:r w:rsidRPr="00382917">
        <w:t>they</w:t>
      </w:r>
      <w:r w:rsidR="00EE4FC3">
        <w:t xml:space="preserve"> </w:t>
      </w:r>
      <w:r w:rsidRPr="00382917">
        <w:t>repeated</w:t>
      </w:r>
      <w:r w:rsidR="00EE4FC3">
        <w:t xml:space="preserve"> </w:t>
      </w:r>
      <w:r w:rsidRPr="00382917">
        <w:t>the</w:t>
      </w:r>
      <w:r w:rsidR="00EE4FC3">
        <w:t xml:space="preserve"> </w:t>
      </w:r>
      <w:r w:rsidRPr="00382917">
        <w:t>phrases</w:t>
      </w:r>
      <w:r w:rsidR="00EE4FC3">
        <w:t xml:space="preserve"> </w:t>
      </w:r>
      <w:r w:rsidRPr="00382917">
        <w:t>over</w:t>
      </w:r>
      <w:r w:rsidR="00EE4FC3">
        <w:t xml:space="preserve"> </w:t>
      </w:r>
      <w:r w:rsidRPr="00382917">
        <w:t>and</w:t>
      </w:r>
      <w:r w:rsidR="00EE4FC3">
        <w:t xml:space="preserve"> </w:t>
      </w:r>
      <w:r w:rsidRPr="00382917">
        <w:t>over</w:t>
      </w:r>
      <w:r w:rsidR="00330AF7">
        <w:t>.</w:t>
      </w:r>
      <w:r w:rsidR="00EE4FC3">
        <w:t xml:space="preserve">  </w:t>
      </w:r>
      <w:r w:rsidR="009C713D" w:rsidRPr="00382917">
        <w:t>“</w:t>
      </w:r>
      <w:r w:rsidRPr="00382917">
        <w:t>So</w:t>
      </w:r>
      <w:r w:rsidR="00EE4FC3">
        <w:t xml:space="preserve"> </w:t>
      </w:r>
      <w:r w:rsidRPr="00382917">
        <w:t>loud</w:t>
      </w:r>
      <w:r w:rsidR="00EE4FC3">
        <w:t xml:space="preserve"> </w:t>
      </w:r>
      <w:r w:rsidRPr="00382917">
        <w:t>and</w:t>
      </w:r>
      <w:r w:rsidR="00EE4FC3">
        <w:t xml:space="preserve"> </w:t>
      </w:r>
      <w:r w:rsidRPr="00382917">
        <w:t>compelling</w:t>
      </w:r>
      <w:r w:rsidR="00EE4FC3">
        <w:t xml:space="preserve"> </w:t>
      </w:r>
      <w:r w:rsidRPr="00382917">
        <w:t>was</w:t>
      </w:r>
      <w:r w:rsidR="00EE4FC3">
        <w:t xml:space="preserve"> </w:t>
      </w:r>
      <w:r w:rsidRPr="00382917">
        <w:t>the</w:t>
      </w:r>
      <w:r w:rsidR="00EE4FC3">
        <w:t xml:space="preserve"> </w:t>
      </w:r>
      <w:r w:rsidRPr="00382917">
        <w:t>reply,</w:t>
      </w:r>
      <w:r w:rsidR="009C713D" w:rsidRPr="00382917">
        <w:t>”</w:t>
      </w:r>
      <w:r w:rsidR="00EE4FC3">
        <w:t xml:space="preserve"> </w:t>
      </w:r>
      <w:r w:rsidRPr="00382917">
        <w:t>historical</w:t>
      </w:r>
      <w:r w:rsidR="00EE4FC3">
        <w:t xml:space="preserve"> </w:t>
      </w:r>
      <w:r w:rsidRPr="00382917">
        <w:t>account</w:t>
      </w:r>
      <w:r w:rsidR="00EE4FC3">
        <w:t xml:space="preserve"> </w:t>
      </w:r>
      <w:r w:rsidRPr="00382917">
        <w:t>states,</w:t>
      </w:r>
      <w:r w:rsidR="00EE4FC3">
        <w:t xml:space="preserve"> </w:t>
      </w:r>
      <w:r w:rsidR="009C713D" w:rsidRPr="00382917">
        <w:t>“</w:t>
      </w:r>
      <w:r w:rsidRPr="00382917">
        <w:t>that</w:t>
      </w:r>
      <w:r w:rsidR="00EE4FC3">
        <w:t xml:space="preserve"> </w:t>
      </w:r>
      <w:r w:rsidRPr="00382917">
        <w:t>the</w:t>
      </w:r>
      <w:r w:rsidR="00EE4FC3">
        <w:t xml:space="preserve"> </w:t>
      </w:r>
      <w:r w:rsidRPr="00382917">
        <w:t>enemy</w:t>
      </w:r>
      <w:r w:rsidR="00EE4FC3">
        <w:t xml:space="preserve"> </w:t>
      </w:r>
      <w:r w:rsidRPr="00382917">
        <w:t>was</w:t>
      </w:r>
      <w:r w:rsidR="00EE4FC3">
        <w:t xml:space="preserve"> </w:t>
      </w:r>
      <w:r w:rsidRPr="00382917">
        <w:t>rudely</w:t>
      </w:r>
      <w:r w:rsidR="00EE4FC3">
        <w:t xml:space="preserve"> </w:t>
      </w:r>
      <w:r w:rsidRPr="00382917">
        <w:t>awakened</w:t>
      </w:r>
      <w:r w:rsidR="00EE4FC3">
        <w:t xml:space="preserve"> </w:t>
      </w:r>
      <w:r w:rsidRPr="00382917">
        <w:t>from</w:t>
      </w:r>
      <w:r w:rsidR="00EE4FC3">
        <w:t xml:space="preserve"> </w:t>
      </w:r>
      <w:r w:rsidRPr="00382917">
        <w:t>sleep,</w:t>
      </w:r>
      <w:r w:rsidR="00EE4FC3">
        <w:t xml:space="preserve"> </w:t>
      </w:r>
      <w:r w:rsidRPr="00382917">
        <w:t>abandoned</w:t>
      </w:r>
      <w:r w:rsidR="00EE4FC3">
        <w:t xml:space="preserve"> </w:t>
      </w:r>
      <w:r w:rsidRPr="00382917">
        <w:t>the</w:t>
      </w:r>
      <w:r w:rsidR="00EE4FC3">
        <w:t xml:space="preserve"> </w:t>
      </w:r>
      <w:r w:rsidRPr="00382917">
        <w:t>camp</w:t>
      </w:r>
      <w:r w:rsidR="00EE4FC3">
        <w:t xml:space="preserve"> </w:t>
      </w:r>
      <w:r w:rsidRPr="00382917">
        <w:t>in</w:t>
      </w:r>
      <w:r w:rsidR="00EE4FC3">
        <w:t xml:space="preserve"> </w:t>
      </w:r>
      <w:r w:rsidRPr="00382917">
        <w:t>horror,</w:t>
      </w:r>
    </w:p>
    <w:p w:rsidR="007B319A" w:rsidRPr="00382917" w:rsidRDefault="007B319A">
      <w:pPr>
        <w:widowControl/>
        <w:kinsoku/>
        <w:overflowPunct/>
        <w:textAlignment w:val="auto"/>
      </w:pPr>
      <w:r w:rsidRPr="00382917">
        <w:br w:type="page"/>
      </w:r>
    </w:p>
    <w:p w:rsidR="001D2FA7" w:rsidRPr="00382917" w:rsidRDefault="001D2FA7" w:rsidP="007B319A">
      <w:pPr>
        <w:pStyle w:val="Textcts"/>
      </w:pPr>
      <w:proofErr w:type="gramStart"/>
      <w:r w:rsidRPr="00382917">
        <w:t>and</w:t>
      </w:r>
      <w:proofErr w:type="gramEnd"/>
      <w:r w:rsidRPr="00382917">
        <w:t>,</w:t>
      </w:r>
      <w:r w:rsidR="00EE4FC3">
        <w:t xml:space="preserve"> </w:t>
      </w:r>
      <w:r w:rsidRPr="00382917">
        <w:t>hurrying</w:t>
      </w:r>
      <w:r w:rsidR="00EE4FC3">
        <w:t xml:space="preserve"> </w:t>
      </w:r>
      <w:r w:rsidRPr="00382917">
        <w:t>to</w:t>
      </w:r>
      <w:r w:rsidR="00EE4FC3">
        <w:t xml:space="preserve"> </w:t>
      </w:r>
      <w:r w:rsidRPr="00382917">
        <w:t>the</w:t>
      </w:r>
      <w:r w:rsidR="00EE4FC3">
        <w:t xml:space="preserve"> </w:t>
      </w:r>
      <w:r w:rsidRPr="00382917">
        <w:t>environs</w:t>
      </w:r>
      <w:r w:rsidR="00EE4FC3">
        <w:t xml:space="preserve"> </w:t>
      </w:r>
      <w:r w:rsidRPr="00382917">
        <w:t>of</w:t>
      </w:r>
      <w:r w:rsidR="00EE4FC3">
        <w:t xml:space="preserve"> </w:t>
      </w:r>
      <w:r w:rsidRPr="00382917">
        <w:t>the</w:t>
      </w:r>
      <w:r w:rsidR="00EE4FC3">
        <w:t xml:space="preserve"> </w:t>
      </w:r>
      <w:r w:rsidRPr="00382917">
        <w:t>governor</w:t>
      </w:r>
      <w:r w:rsidR="009C713D" w:rsidRPr="00382917">
        <w:t>’</w:t>
      </w:r>
      <w:r w:rsidRPr="00382917">
        <w:t>s</w:t>
      </w:r>
      <w:r w:rsidR="00EE4FC3">
        <w:t xml:space="preserve"> </w:t>
      </w:r>
      <w:r w:rsidRPr="00382917">
        <w:t>residence,</w:t>
      </w:r>
      <w:r w:rsidR="00EE4FC3">
        <w:t xml:space="preserve"> </w:t>
      </w:r>
      <w:r w:rsidRPr="00382917">
        <w:t>sought</w:t>
      </w:r>
      <w:r w:rsidR="00EE4FC3">
        <w:t xml:space="preserve"> </w:t>
      </w:r>
      <w:r w:rsidRPr="00382917">
        <w:t>shelter</w:t>
      </w:r>
      <w:r w:rsidR="00330AF7">
        <w:t>.</w:t>
      </w:r>
      <w:r w:rsidR="00EE4FC3">
        <w:t xml:space="preserve">  </w:t>
      </w:r>
      <w:r w:rsidRPr="00382917">
        <w:t>A</w:t>
      </w:r>
      <w:r w:rsidR="00EE4FC3">
        <w:t xml:space="preserve"> </w:t>
      </w:r>
      <w:r w:rsidRPr="00382917">
        <w:t>few</w:t>
      </w:r>
      <w:r w:rsidR="00EE4FC3">
        <w:t xml:space="preserve"> </w:t>
      </w:r>
      <w:r w:rsidRPr="00382917">
        <w:t>were</w:t>
      </w:r>
      <w:r w:rsidR="00EE4FC3">
        <w:t xml:space="preserve"> </w:t>
      </w:r>
      <w:r w:rsidRPr="00382917">
        <w:t>so</w:t>
      </w:r>
      <w:r w:rsidR="00EE4FC3">
        <w:t xml:space="preserve"> </w:t>
      </w:r>
      <w:r w:rsidRPr="00382917">
        <w:t>shocked</w:t>
      </w:r>
      <w:r w:rsidR="00EE4FC3">
        <w:t xml:space="preserve"> </w:t>
      </w:r>
      <w:r w:rsidRPr="00382917">
        <w:t>they</w:t>
      </w:r>
      <w:r w:rsidR="00EE4FC3">
        <w:t xml:space="preserve"> </w:t>
      </w:r>
      <w:r w:rsidRPr="00382917">
        <w:t>dropped</w:t>
      </w:r>
      <w:r w:rsidR="00EE4FC3">
        <w:t xml:space="preserve"> </w:t>
      </w:r>
      <w:r w:rsidRPr="00382917">
        <w:t>dead.</w:t>
      </w:r>
      <w:r w:rsidR="009C713D" w:rsidRPr="00382917">
        <w:t>”</w:t>
      </w:r>
    </w:p>
    <w:p w:rsidR="001D2FA7" w:rsidRPr="00382917" w:rsidRDefault="001D2FA7" w:rsidP="007B319A">
      <w:pPr>
        <w:pStyle w:val="Text"/>
      </w:pPr>
      <w:r w:rsidRPr="00382917">
        <w:t>Part</w:t>
      </w:r>
      <w:r w:rsidR="00EE4FC3">
        <w:t xml:space="preserve"> </w:t>
      </w:r>
      <w:r w:rsidRPr="00382917">
        <w:t>of</w:t>
      </w:r>
      <w:r w:rsidR="00EE4FC3">
        <w:t xml:space="preserve"> </w:t>
      </w:r>
      <w:r w:rsidRPr="00382917">
        <w:t>the</w:t>
      </w:r>
      <w:r w:rsidR="00EE4FC3">
        <w:t xml:space="preserve"> </w:t>
      </w:r>
      <w:r w:rsidRPr="00382917">
        <w:t>soldier</w:t>
      </w:r>
      <w:r w:rsidR="009C713D" w:rsidRPr="00382917">
        <w:t>’</w:t>
      </w:r>
      <w:r w:rsidRPr="00382917">
        <w:t>s</w:t>
      </w:r>
      <w:r w:rsidR="00EE4FC3">
        <w:t xml:space="preserve"> </w:t>
      </w:r>
      <w:r w:rsidRPr="00382917">
        <w:t>camp</w:t>
      </w:r>
      <w:r w:rsidR="00EE4FC3">
        <w:t xml:space="preserve"> </w:t>
      </w:r>
      <w:r w:rsidRPr="00382917">
        <w:t>was</w:t>
      </w:r>
      <w:r w:rsidR="00EE4FC3">
        <w:t xml:space="preserve"> </w:t>
      </w:r>
      <w:r w:rsidRPr="00382917">
        <w:t>in</w:t>
      </w:r>
      <w:r w:rsidR="00EE4FC3">
        <w:t xml:space="preserve"> </w:t>
      </w:r>
      <w:r w:rsidRPr="00382917">
        <w:t>the</w:t>
      </w:r>
      <w:r w:rsidR="00EE4FC3">
        <w:t xml:space="preserve"> </w:t>
      </w:r>
      <w:r w:rsidRPr="00382917">
        <w:t>midst</w:t>
      </w:r>
      <w:r w:rsidR="00EE4FC3">
        <w:t xml:space="preserve"> </w:t>
      </w:r>
      <w:r w:rsidRPr="00382917">
        <w:t>of</w:t>
      </w:r>
      <w:r w:rsidR="00EE4FC3">
        <w:t xml:space="preserve"> </w:t>
      </w:r>
      <w:r w:rsidRPr="00382917">
        <w:t>noisy</w:t>
      </w:r>
      <w:r w:rsidR="00EE4FC3">
        <w:t xml:space="preserve"> </w:t>
      </w:r>
      <w:r w:rsidRPr="00382917">
        <w:t>revelry</w:t>
      </w:r>
      <w:r w:rsidR="00330AF7">
        <w:t>.</w:t>
      </w:r>
      <w:r w:rsidR="00EE4FC3">
        <w:t xml:space="preserve">  </w:t>
      </w:r>
      <w:r w:rsidRPr="00382917">
        <w:t>Their</w:t>
      </w:r>
      <w:r w:rsidR="00EE4FC3">
        <w:t xml:space="preserve"> </w:t>
      </w:r>
      <w:r w:rsidRPr="00382917">
        <w:t>boisterous</w:t>
      </w:r>
      <w:r w:rsidR="00EE4FC3">
        <w:t xml:space="preserve"> </w:t>
      </w:r>
      <w:r w:rsidRPr="00382917">
        <w:t>party</w:t>
      </w:r>
      <w:r w:rsidR="00EE4FC3">
        <w:t xml:space="preserve"> </w:t>
      </w:r>
      <w:r w:rsidRPr="00382917">
        <w:t>was</w:t>
      </w:r>
      <w:r w:rsidR="00EE4FC3">
        <w:t xml:space="preserve"> </w:t>
      </w:r>
      <w:r w:rsidRPr="00382917">
        <w:t>suddenly</w:t>
      </w:r>
      <w:r w:rsidR="00EE4FC3">
        <w:t xml:space="preserve"> </w:t>
      </w:r>
      <w:r w:rsidRPr="00382917">
        <w:t>interrupted</w:t>
      </w:r>
      <w:r w:rsidR="00EE4FC3">
        <w:t xml:space="preserve"> </w:t>
      </w:r>
      <w:r w:rsidRPr="00382917">
        <w:t>by</w:t>
      </w:r>
      <w:r w:rsidR="00EE4FC3">
        <w:t xml:space="preserve"> </w:t>
      </w:r>
      <w:r w:rsidRPr="00382917">
        <w:t>the</w:t>
      </w:r>
      <w:r w:rsidR="00EE4FC3">
        <w:t xml:space="preserve"> </w:t>
      </w:r>
      <w:r w:rsidRPr="00382917">
        <w:t>shouts</w:t>
      </w:r>
      <w:r w:rsidR="00EE4FC3">
        <w:t xml:space="preserve"> </w:t>
      </w:r>
      <w:r w:rsidRPr="00382917">
        <w:t>of</w:t>
      </w:r>
      <w:r w:rsidR="00EE4FC3">
        <w:t xml:space="preserve"> </w:t>
      </w:r>
      <w:r w:rsidRPr="00382917">
        <w:t>those</w:t>
      </w:r>
      <w:r w:rsidR="00EE4FC3">
        <w:t xml:space="preserve"> </w:t>
      </w:r>
      <w:r w:rsidRPr="00382917">
        <w:t>voices</w:t>
      </w:r>
      <w:r w:rsidR="00EE4FC3">
        <w:t xml:space="preserve"> </w:t>
      </w:r>
      <w:r w:rsidRPr="00382917">
        <w:t>raised</w:t>
      </w:r>
      <w:r w:rsidR="00EE4FC3">
        <w:t xml:space="preserve"> </w:t>
      </w:r>
      <w:r w:rsidRPr="00382917">
        <w:t>in</w:t>
      </w:r>
      <w:r w:rsidR="00EE4FC3">
        <w:t xml:space="preserve"> </w:t>
      </w:r>
      <w:r w:rsidRPr="00382917">
        <w:t>praise</w:t>
      </w:r>
      <w:r w:rsidR="00EE4FC3">
        <w:t xml:space="preserve"> </w:t>
      </w:r>
      <w:r w:rsidRPr="00382917">
        <w:t>of</w:t>
      </w:r>
      <w:r w:rsidR="00EE4FC3">
        <w:t xml:space="preserve"> </w:t>
      </w:r>
      <w:r w:rsidRPr="00382917">
        <w:t>God</w:t>
      </w:r>
      <w:r w:rsidR="00330AF7">
        <w:t>.</w:t>
      </w:r>
      <w:r w:rsidR="00EE4FC3">
        <w:t xml:space="preserve">  </w:t>
      </w:r>
      <w:proofErr w:type="gramStart"/>
      <w:r w:rsidRPr="00382917">
        <w:t>Officers</w:t>
      </w:r>
      <w:proofErr w:type="gramEnd"/>
      <w:r w:rsidR="00EE4FC3">
        <w:t xml:space="preserve"> </w:t>
      </w:r>
      <w:r w:rsidRPr="00382917">
        <w:t>who</w:t>
      </w:r>
      <w:r w:rsidR="00EE4FC3">
        <w:t xml:space="preserve"> </w:t>
      </w:r>
      <w:r w:rsidRPr="00382917">
        <w:t>were</w:t>
      </w:r>
      <w:r w:rsidR="00EE4FC3">
        <w:t xml:space="preserve"> </w:t>
      </w:r>
      <w:r w:rsidRPr="00382917">
        <w:t>holding</w:t>
      </w:r>
      <w:r w:rsidR="00EE4FC3">
        <w:t xml:space="preserve"> </w:t>
      </w:r>
      <w:r w:rsidRPr="00382917">
        <w:t>their</w:t>
      </w:r>
      <w:r w:rsidR="00EE4FC3">
        <w:t xml:space="preserve"> </w:t>
      </w:r>
      <w:r w:rsidRPr="00382917">
        <w:t>wine</w:t>
      </w:r>
      <w:r w:rsidR="00EE4FC3">
        <w:t xml:space="preserve"> </w:t>
      </w:r>
      <w:r w:rsidRPr="00382917">
        <w:t>glasses</w:t>
      </w:r>
      <w:r w:rsidR="00EE4FC3">
        <w:t xml:space="preserve"> </w:t>
      </w:r>
      <w:r w:rsidRPr="00382917">
        <w:t>in</w:t>
      </w:r>
      <w:r w:rsidR="00EE4FC3">
        <w:t xml:space="preserve"> </w:t>
      </w:r>
      <w:r w:rsidRPr="00382917">
        <w:t>their</w:t>
      </w:r>
      <w:r w:rsidR="00EE4FC3">
        <w:t xml:space="preserve"> </w:t>
      </w:r>
      <w:r w:rsidRPr="00382917">
        <w:t>hands,</w:t>
      </w:r>
      <w:r w:rsidR="00EE4FC3">
        <w:t xml:space="preserve"> </w:t>
      </w:r>
      <w:r w:rsidRPr="00382917">
        <w:t>dropped</w:t>
      </w:r>
      <w:r w:rsidR="00EE4FC3">
        <w:t xml:space="preserve"> </w:t>
      </w:r>
      <w:r w:rsidRPr="00382917">
        <w:t>them</w:t>
      </w:r>
      <w:r w:rsidR="00EE4FC3">
        <w:t xml:space="preserve"> </w:t>
      </w:r>
      <w:r w:rsidRPr="00382917">
        <w:t>instantly</w:t>
      </w:r>
      <w:r w:rsidR="00330AF7">
        <w:t>.</w:t>
      </w:r>
      <w:r w:rsidR="00EE4FC3">
        <w:t xml:space="preserve">  </w:t>
      </w:r>
      <w:r w:rsidRPr="00382917">
        <w:t>Men</w:t>
      </w:r>
      <w:r w:rsidR="00EE4FC3">
        <w:t xml:space="preserve"> </w:t>
      </w:r>
      <w:r w:rsidRPr="00382917">
        <w:t>and</w:t>
      </w:r>
      <w:r w:rsidR="00EE4FC3">
        <w:t xml:space="preserve"> </w:t>
      </w:r>
      <w:r w:rsidRPr="00382917">
        <w:t>women</w:t>
      </w:r>
      <w:r w:rsidR="00EE4FC3">
        <w:t xml:space="preserve"> </w:t>
      </w:r>
      <w:r w:rsidRPr="00382917">
        <w:t>rushed</w:t>
      </w:r>
      <w:r w:rsidR="00EE4FC3">
        <w:t xml:space="preserve"> </w:t>
      </w:r>
      <w:r w:rsidRPr="00382917">
        <w:t>headlong</w:t>
      </w:r>
      <w:r w:rsidR="00EE4FC3">
        <w:t xml:space="preserve"> </w:t>
      </w:r>
      <w:r w:rsidRPr="00382917">
        <w:t>from</w:t>
      </w:r>
      <w:r w:rsidR="00EE4FC3">
        <w:t xml:space="preserve"> </w:t>
      </w:r>
      <w:r w:rsidRPr="00382917">
        <w:t>the</w:t>
      </w:r>
      <w:r w:rsidR="00EE4FC3">
        <w:t xml:space="preserve"> </w:t>
      </w:r>
      <w:r w:rsidRPr="00382917">
        <w:t>building</w:t>
      </w:r>
      <w:r w:rsidR="00EE4FC3">
        <w:t xml:space="preserve"> </w:t>
      </w:r>
      <w:r w:rsidRPr="00382917">
        <w:t>as</w:t>
      </w:r>
      <w:r w:rsidR="00EE4FC3">
        <w:t xml:space="preserve"> </w:t>
      </w:r>
      <w:r w:rsidRPr="00382917">
        <w:t>if</w:t>
      </w:r>
      <w:r w:rsidR="00EE4FC3">
        <w:t xml:space="preserve"> </w:t>
      </w:r>
      <w:r w:rsidRPr="00382917">
        <w:t>stunned</w:t>
      </w:r>
      <w:r w:rsidR="00EE4FC3">
        <w:t xml:space="preserve"> </w:t>
      </w:r>
      <w:r w:rsidRPr="00382917">
        <w:t>by</w:t>
      </w:r>
      <w:r w:rsidR="00EE4FC3">
        <w:t xml:space="preserve"> </w:t>
      </w:r>
      <w:r w:rsidRPr="00382917">
        <w:t>the</w:t>
      </w:r>
      <w:r w:rsidR="00EE4FC3">
        <w:t xml:space="preserve"> </w:t>
      </w:r>
      <w:r w:rsidRPr="00382917">
        <w:t>outcry</w:t>
      </w:r>
      <w:r w:rsidR="00330AF7">
        <w:t>.</w:t>
      </w:r>
      <w:r w:rsidR="00EE4FC3">
        <w:t xml:space="preserve">  </w:t>
      </w:r>
      <w:r w:rsidRPr="00382917">
        <w:t>Gambling</w:t>
      </w:r>
      <w:r w:rsidR="00EE4FC3">
        <w:t xml:space="preserve"> </w:t>
      </w:r>
      <w:r w:rsidRPr="00382917">
        <w:t>tables</w:t>
      </w:r>
      <w:r w:rsidR="00EE4FC3">
        <w:t xml:space="preserve"> </w:t>
      </w:r>
      <w:r w:rsidRPr="00382917">
        <w:t>were</w:t>
      </w:r>
      <w:r w:rsidR="00EE4FC3">
        <w:t xml:space="preserve"> </w:t>
      </w:r>
      <w:r w:rsidRPr="00382917">
        <w:t>overturned</w:t>
      </w:r>
      <w:r w:rsidR="00EE4FC3">
        <w:t xml:space="preserve"> </w:t>
      </w:r>
      <w:r w:rsidRPr="00382917">
        <w:t>in</w:t>
      </w:r>
      <w:r w:rsidR="00EE4FC3">
        <w:t xml:space="preserve"> </w:t>
      </w:r>
      <w:r w:rsidRPr="00382917">
        <w:t>the</w:t>
      </w:r>
      <w:r w:rsidR="00EE4FC3">
        <w:t xml:space="preserve"> </w:t>
      </w:r>
      <w:r w:rsidRPr="00382917">
        <w:t>disorder</w:t>
      </w:r>
      <w:r w:rsidR="00EE4FC3">
        <w:t xml:space="preserve"> </w:t>
      </w:r>
      <w:r w:rsidRPr="00382917">
        <w:t>that</w:t>
      </w:r>
      <w:r w:rsidR="00EE4FC3">
        <w:t xml:space="preserve"> </w:t>
      </w:r>
      <w:r w:rsidRPr="00382917">
        <w:t>followed</w:t>
      </w:r>
      <w:r w:rsidR="00330AF7">
        <w:t>.</w:t>
      </w:r>
      <w:r w:rsidR="00EE4FC3">
        <w:t xml:space="preserve">  </w:t>
      </w:r>
      <w:r w:rsidRPr="00382917">
        <w:t>Half</w:t>
      </w:r>
      <w:r w:rsidR="00EE4FC3">
        <w:t xml:space="preserve"> </w:t>
      </w:r>
      <w:proofErr w:type="gramStart"/>
      <w:r w:rsidRPr="00382917">
        <w:t>dressed,</w:t>
      </w:r>
      <w:proofErr w:type="gramEnd"/>
      <w:r w:rsidR="00EE4FC3">
        <w:t xml:space="preserve"> </w:t>
      </w:r>
      <w:r w:rsidRPr="00382917">
        <w:t>a</w:t>
      </w:r>
      <w:r w:rsidR="00EE4FC3">
        <w:t xml:space="preserve"> </w:t>
      </w:r>
      <w:r w:rsidRPr="00382917">
        <w:t>number</w:t>
      </w:r>
      <w:r w:rsidR="00EE4FC3">
        <w:t xml:space="preserve"> </w:t>
      </w:r>
      <w:r w:rsidRPr="00382917">
        <w:t>ran</w:t>
      </w:r>
      <w:r w:rsidR="00EE4FC3">
        <w:t xml:space="preserve"> </w:t>
      </w:r>
      <w:r w:rsidRPr="00382917">
        <w:t>out</w:t>
      </w:r>
      <w:r w:rsidR="00EE4FC3">
        <w:t xml:space="preserve"> </w:t>
      </w:r>
      <w:r w:rsidRPr="00382917">
        <w:t>into</w:t>
      </w:r>
      <w:r w:rsidR="00EE4FC3">
        <w:t xml:space="preserve"> </w:t>
      </w:r>
      <w:r w:rsidRPr="00382917">
        <w:t>the</w:t>
      </w:r>
      <w:r w:rsidR="00EE4FC3">
        <w:t xml:space="preserve"> </w:t>
      </w:r>
      <w:r w:rsidRPr="00382917">
        <w:t>wilderness</w:t>
      </w:r>
      <w:r w:rsidR="00330AF7">
        <w:t>.</w:t>
      </w:r>
      <w:r w:rsidR="00EE4FC3">
        <w:t xml:space="preserve">  </w:t>
      </w:r>
      <w:r w:rsidRPr="00382917">
        <w:t>Others</w:t>
      </w:r>
      <w:r w:rsidR="00EE4FC3">
        <w:t xml:space="preserve"> </w:t>
      </w:r>
      <w:r w:rsidRPr="00382917">
        <w:t>fled</w:t>
      </w:r>
      <w:r w:rsidR="00EE4FC3">
        <w:t xml:space="preserve"> </w:t>
      </w:r>
      <w:r w:rsidRPr="00382917">
        <w:t>to</w:t>
      </w:r>
      <w:r w:rsidR="00EE4FC3">
        <w:t xml:space="preserve"> </w:t>
      </w:r>
      <w:r w:rsidRPr="00382917">
        <w:t>the</w:t>
      </w:r>
      <w:r w:rsidR="00EE4FC3">
        <w:t xml:space="preserve"> </w:t>
      </w:r>
      <w:r w:rsidRPr="00382917">
        <w:t>homes</w:t>
      </w:r>
      <w:r w:rsidR="00EE4FC3">
        <w:t xml:space="preserve"> </w:t>
      </w:r>
      <w:r w:rsidRPr="00382917">
        <w:t>of</w:t>
      </w:r>
      <w:r w:rsidR="00EE4FC3">
        <w:t xml:space="preserve"> </w:t>
      </w:r>
      <w:r w:rsidRPr="00382917">
        <w:t>the</w:t>
      </w:r>
      <w:r w:rsidR="00EE4FC3">
        <w:t xml:space="preserve"> </w:t>
      </w:r>
      <w:r w:rsidRPr="00382917">
        <w:t>religious</w:t>
      </w:r>
      <w:r w:rsidR="00EE4FC3">
        <w:t xml:space="preserve"> </w:t>
      </w:r>
      <w:r w:rsidRPr="00382917">
        <w:t>leaders.</w:t>
      </w:r>
    </w:p>
    <w:p w:rsidR="00E13D49" w:rsidRPr="00382917" w:rsidRDefault="001D2FA7" w:rsidP="003C29D6">
      <w:pPr>
        <w:pStyle w:val="Text"/>
      </w:pPr>
      <w:r w:rsidRPr="00382917">
        <w:t>As</w:t>
      </w:r>
      <w:r w:rsidR="00EE4FC3">
        <w:t xml:space="preserve"> </w:t>
      </w:r>
      <w:r w:rsidRPr="00382917">
        <w:t>soon</w:t>
      </w:r>
      <w:r w:rsidR="00EE4FC3">
        <w:t xml:space="preserve"> </w:t>
      </w:r>
      <w:r w:rsidRPr="00382917">
        <w:t>as</w:t>
      </w:r>
      <w:r w:rsidR="00EE4FC3">
        <w:t xml:space="preserve"> </w:t>
      </w:r>
      <w:r w:rsidRPr="00382917">
        <w:t>the</w:t>
      </w:r>
      <w:r w:rsidR="00EE4FC3">
        <w:t xml:space="preserve"> </w:t>
      </w:r>
      <w:r w:rsidRPr="00382917">
        <w:t>camp</w:t>
      </w:r>
      <w:r w:rsidR="00EE4FC3">
        <w:t xml:space="preserve"> </w:t>
      </w:r>
      <w:r w:rsidRPr="00382917">
        <w:t>discovered</w:t>
      </w:r>
      <w:r w:rsidR="00EE4FC3">
        <w:t xml:space="preserve"> </w:t>
      </w:r>
      <w:r w:rsidRPr="00382917">
        <w:t>that</w:t>
      </w:r>
      <w:r w:rsidR="00EE4FC3">
        <w:t xml:space="preserve"> </w:t>
      </w:r>
      <w:r w:rsidRPr="00382917">
        <w:t>it</w:t>
      </w:r>
      <w:r w:rsidR="00EE4FC3">
        <w:t xml:space="preserve"> </w:t>
      </w:r>
      <w:r w:rsidRPr="00382917">
        <w:t>was</w:t>
      </w:r>
      <w:r w:rsidR="00EE4FC3">
        <w:t xml:space="preserve"> </w:t>
      </w:r>
      <w:r w:rsidRPr="00382917">
        <w:t>not</w:t>
      </w:r>
      <w:r w:rsidR="00EE4FC3">
        <w:t xml:space="preserve"> </w:t>
      </w:r>
      <w:r w:rsidRPr="00382917">
        <w:t>a</w:t>
      </w:r>
      <w:r w:rsidR="00EE4FC3">
        <w:t xml:space="preserve"> </w:t>
      </w:r>
      <w:r w:rsidRPr="00382917">
        <w:t>dreadful</w:t>
      </w:r>
      <w:r w:rsidR="00EE4FC3">
        <w:t xml:space="preserve"> </w:t>
      </w:r>
      <w:r w:rsidRPr="00382917">
        <w:t>attack</w:t>
      </w:r>
      <w:r w:rsidR="00EE4FC3">
        <w:t xml:space="preserve"> </w:t>
      </w:r>
      <w:r w:rsidRPr="00382917">
        <w:t>being</w:t>
      </w:r>
      <w:r w:rsidR="00EE4FC3">
        <w:t xml:space="preserve"> </w:t>
      </w:r>
      <w:r w:rsidRPr="00382917">
        <w:t>launched</w:t>
      </w:r>
      <w:r w:rsidR="00EE4FC3">
        <w:t xml:space="preserve"> </w:t>
      </w:r>
      <w:r w:rsidRPr="00382917">
        <w:t>against</w:t>
      </w:r>
      <w:r w:rsidR="00EE4FC3">
        <w:t xml:space="preserve"> </w:t>
      </w:r>
      <w:r w:rsidRPr="00382917">
        <w:t>them,</w:t>
      </w:r>
      <w:r w:rsidR="00EE4FC3">
        <w:t xml:space="preserve"> </w:t>
      </w:r>
      <w:r w:rsidRPr="00382917">
        <w:t>but</w:t>
      </w:r>
      <w:r w:rsidR="00EE4FC3">
        <w:t xml:space="preserve"> </w:t>
      </w:r>
      <w:r w:rsidRPr="00382917">
        <w:t>words</w:t>
      </w:r>
      <w:r w:rsidR="00EE4FC3">
        <w:t xml:space="preserve"> </w:t>
      </w:r>
      <w:r w:rsidRPr="00382917">
        <w:t>of</w:t>
      </w:r>
      <w:r w:rsidR="00EE4FC3">
        <w:t xml:space="preserve"> </w:t>
      </w:r>
      <w:r w:rsidRPr="00382917">
        <w:t>praise</w:t>
      </w:r>
      <w:r w:rsidR="00EE4FC3">
        <w:t xml:space="preserve"> </w:t>
      </w:r>
      <w:r w:rsidRPr="00382917">
        <w:t>raised</w:t>
      </w:r>
      <w:r w:rsidR="00EE4FC3">
        <w:t xml:space="preserve"> </w:t>
      </w:r>
      <w:r w:rsidRPr="00382917">
        <w:t>to</w:t>
      </w:r>
      <w:r w:rsidR="00EE4FC3">
        <w:t xml:space="preserve"> </w:t>
      </w:r>
      <w:r w:rsidRPr="00382917">
        <w:t>the</w:t>
      </w:r>
      <w:r w:rsidR="00EE4FC3">
        <w:t xml:space="preserve"> </w:t>
      </w:r>
      <w:r w:rsidRPr="00382917">
        <w:t>glory</w:t>
      </w:r>
      <w:r w:rsidR="00EE4FC3">
        <w:t xml:space="preserve"> </w:t>
      </w:r>
      <w:r w:rsidRPr="00382917">
        <w:t>of</w:t>
      </w:r>
      <w:r w:rsidR="00EE4FC3">
        <w:t xml:space="preserve"> </w:t>
      </w:r>
      <w:r w:rsidRPr="00382917">
        <w:t>God,</w:t>
      </w:r>
      <w:r w:rsidR="00EE4FC3">
        <w:t xml:space="preserve"> </w:t>
      </w:r>
      <w:r w:rsidRPr="00382917">
        <w:t>they</w:t>
      </w:r>
      <w:r w:rsidR="00EE4FC3">
        <w:t xml:space="preserve"> </w:t>
      </w:r>
      <w:r w:rsidRPr="00382917">
        <w:t>returned</w:t>
      </w:r>
      <w:r w:rsidR="00EE4FC3">
        <w:t xml:space="preserve"> </w:t>
      </w:r>
      <w:r w:rsidRPr="00382917">
        <w:t>to</w:t>
      </w:r>
      <w:r w:rsidR="00EE4FC3">
        <w:t xml:space="preserve"> </w:t>
      </w:r>
      <w:r w:rsidRPr="00382917">
        <w:t>their</w:t>
      </w:r>
      <w:r w:rsidR="00EE4FC3">
        <w:t xml:space="preserve"> </w:t>
      </w:r>
      <w:r w:rsidRPr="00382917">
        <w:t>posts</w:t>
      </w:r>
      <w:r w:rsidR="00EE4FC3">
        <w:t xml:space="preserve"> </w:t>
      </w:r>
      <w:r w:rsidRPr="00382917">
        <w:t>and</w:t>
      </w:r>
      <w:r w:rsidR="00EE4FC3">
        <w:t xml:space="preserve"> </w:t>
      </w:r>
      <w:r w:rsidRPr="00382917">
        <w:t>pleasures,</w:t>
      </w:r>
      <w:r w:rsidR="00EE4FC3">
        <w:t xml:space="preserve"> </w:t>
      </w:r>
      <w:r w:rsidRPr="00382917">
        <w:t>reassured,</w:t>
      </w:r>
      <w:r w:rsidR="00EE4FC3">
        <w:t xml:space="preserve"> </w:t>
      </w:r>
      <w:r w:rsidRPr="00382917">
        <w:t>though</w:t>
      </w:r>
      <w:r w:rsidR="00EE4FC3">
        <w:t xml:space="preserve"> </w:t>
      </w:r>
      <w:r w:rsidRPr="00382917">
        <w:t>greatly</w:t>
      </w:r>
      <w:r w:rsidR="00EE4FC3">
        <w:t xml:space="preserve"> </w:t>
      </w:r>
      <w:r w:rsidRPr="00382917">
        <w:t>humiliated</w:t>
      </w:r>
      <w:r w:rsidR="00EE4FC3">
        <w:t xml:space="preserve"> </w:t>
      </w:r>
      <w:r w:rsidRPr="00382917">
        <w:t>by</w:t>
      </w:r>
      <w:r w:rsidR="00EE4FC3">
        <w:t xml:space="preserve"> </w:t>
      </w:r>
      <w:r w:rsidRPr="00382917">
        <w:t>this</w:t>
      </w:r>
      <w:r w:rsidR="00EE4FC3">
        <w:t xml:space="preserve"> </w:t>
      </w:r>
      <w:r w:rsidRPr="00382917">
        <w:t>experience.</w:t>
      </w:r>
      <w:r w:rsidR="003C29D6">
        <w:rPr>
          <w:rStyle w:val="FootnoteReference"/>
        </w:rPr>
        <w:footnoteReference w:id="221"/>
      </w:r>
    </w:p>
    <w:p w:rsidR="001D2FA7" w:rsidRPr="00382917" w:rsidRDefault="001D2FA7" w:rsidP="007B319A">
      <w:pPr>
        <w:pStyle w:val="Text"/>
      </w:pPr>
      <w:r w:rsidRPr="00382917">
        <w:t>Ḥujjat</w:t>
      </w:r>
      <w:r w:rsidR="00EE4FC3">
        <w:t xml:space="preserve"> </w:t>
      </w:r>
      <w:r w:rsidRPr="00382917">
        <w:t>had</w:t>
      </w:r>
      <w:r w:rsidR="00EE4FC3">
        <w:t xml:space="preserve"> </w:t>
      </w:r>
      <w:r w:rsidRPr="00382917">
        <w:t>boldly</w:t>
      </w:r>
      <w:r w:rsidR="00EE4FC3">
        <w:t xml:space="preserve"> </w:t>
      </w:r>
      <w:r w:rsidRPr="00382917">
        <w:t>testified</w:t>
      </w:r>
      <w:r w:rsidR="00EE4FC3">
        <w:t xml:space="preserve"> </w:t>
      </w:r>
      <w:r w:rsidRPr="00382917">
        <w:t>in</w:t>
      </w:r>
      <w:r w:rsidR="00EE4FC3">
        <w:t xml:space="preserve"> </w:t>
      </w:r>
      <w:r w:rsidRPr="00382917">
        <w:t>the</w:t>
      </w:r>
      <w:r w:rsidR="00EE4FC3">
        <w:t xml:space="preserve"> </w:t>
      </w:r>
      <w:r w:rsidRPr="00382917">
        <w:t>presence</w:t>
      </w:r>
      <w:r w:rsidR="00EE4FC3">
        <w:t xml:space="preserve"> </w:t>
      </w:r>
      <w:r w:rsidRPr="00382917">
        <w:t>of</w:t>
      </w:r>
      <w:r w:rsidR="00EE4FC3">
        <w:t xml:space="preserve"> </w:t>
      </w:r>
      <w:r w:rsidRPr="00382917">
        <w:t>the</w:t>
      </w:r>
      <w:r w:rsidR="00EE4FC3">
        <w:t xml:space="preserve"> </w:t>
      </w:r>
      <w:r w:rsidRPr="00382917">
        <w:t>king</w:t>
      </w:r>
      <w:r w:rsidR="00EE4FC3">
        <w:t xml:space="preserve"> </w:t>
      </w:r>
      <w:r w:rsidRPr="00382917">
        <w:t>and</w:t>
      </w:r>
      <w:r w:rsidR="00EE4FC3">
        <w:t xml:space="preserve"> </w:t>
      </w:r>
      <w:r w:rsidRPr="00382917">
        <w:t>the</w:t>
      </w:r>
      <w:r w:rsidR="00EE4FC3">
        <w:t xml:space="preserve"> </w:t>
      </w:r>
      <w:r w:rsidRPr="00382917">
        <w:t>Prime</w:t>
      </w:r>
      <w:r w:rsidR="00EE4FC3">
        <w:t xml:space="preserve"> </w:t>
      </w:r>
      <w:r w:rsidRPr="00382917">
        <w:t>Minister</w:t>
      </w:r>
      <w:r w:rsidR="00EE4FC3">
        <w:t xml:space="preserve"> </w:t>
      </w:r>
      <w:r w:rsidRPr="00382917">
        <w:t>and</w:t>
      </w:r>
      <w:r w:rsidR="00EE4FC3">
        <w:t xml:space="preserve"> </w:t>
      </w:r>
      <w:r w:rsidRPr="00382917">
        <w:t>the</w:t>
      </w:r>
      <w:r w:rsidR="00EE4FC3">
        <w:t xml:space="preserve"> </w:t>
      </w:r>
      <w:r w:rsidRPr="00382917">
        <w:t>assembled</w:t>
      </w:r>
      <w:r w:rsidR="00EE4FC3">
        <w:t xml:space="preserve"> </w:t>
      </w:r>
      <w:r w:rsidRPr="00382917">
        <w:t>priests</w:t>
      </w:r>
      <w:r w:rsidR="00EE4FC3">
        <w:t xml:space="preserve"> </w:t>
      </w:r>
      <w:r w:rsidRPr="00382917">
        <w:t>and</w:t>
      </w:r>
      <w:r w:rsidR="00EE4FC3">
        <w:t xml:space="preserve"> </w:t>
      </w:r>
      <w:r w:rsidRPr="00382917">
        <w:t>other</w:t>
      </w:r>
      <w:r w:rsidR="00EE4FC3">
        <w:t xml:space="preserve"> </w:t>
      </w:r>
      <w:r w:rsidRPr="00382917">
        <w:t>religious</w:t>
      </w:r>
      <w:r w:rsidR="00EE4FC3">
        <w:t xml:space="preserve"> </w:t>
      </w:r>
      <w:r w:rsidRPr="00382917">
        <w:t>leaders</w:t>
      </w:r>
      <w:r w:rsidR="00EE4FC3">
        <w:t xml:space="preserve"> </w:t>
      </w:r>
      <w:r w:rsidRPr="00382917">
        <w:t>that</w:t>
      </w:r>
      <w:r w:rsidR="00EE4FC3">
        <w:t xml:space="preserve"> </w:t>
      </w:r>
      <w:r w:rsidRPr="00382917">
        <w:t>the</w:t>
      </w:r>
      <w:r w:rsidR="00EE4FC3">
        <w:t xml:space="preserve"> </w:t>
      </w:r>
      <w:r w:rsidRPr="00382917">
        <w:t>Báb</w:t>
      </w:r>
      <w:r w:rsidR="00EE4FC3">
        <w:t xml:space="preserve"> </w:t>
      </w:r>
      <w:r w:rsidRPr="00382917">
        <w:t>was</w:t>
      </w:r>
      <w:r w:rsidR="00EE4FC3">
        <w:t xml:space="preserve"> </w:t>
      </w:r>
      <w:r w:rsidRPr="00382917">
        <w:t>the</w:t>
      </w:r>
      <w:r w:rsidR="00EE4FC3">
        <w:t xml:space="preserve"> </w:t>
      </w:r>
      <w:r w:rsidRPr="00382917">
        <w:t>Promised</w:t>
      </w:r>
      <w:r w:rsidR="00EE4FC3">
        <w:t xml:space="preserve"> </w:t>
      </w:r>
      <w:r w:rsidRPr="00382917">
        <w:t>One.</w:t>
      </w:r>
    </w:p>
    <w:p w:rsidR="00E13D49" w:rsidRPr="00382917" w:rsidRDefault="009C713D" w:rsidP="00664197">
      <w:pPr>
        <w:pStyle w:val="Text"/>
      </w:pPr>
      <w:r w:rsidRPr="00382917">
        <w:t>“</w:t>
      </w:r>
      <w:r w:rsidR="001D2FA7" w:rsidRPr="00382917">
        <w:t>It</w:t>
      </w:r>
      <w:r w:rsidR="00EE4FC3">
        <w:t xml:space="preserve"> </w:t>
      </w:r>
      <w:r w:rsidR="001D2FA7" w:rsidRPr="00382917">
        <w:t>is</w:t>
      </w:r>
      <w:r w:rsidR="00EE4FC3">
        <w:t xml:space="preserve"> </w:t>
      </w:r>
      <w:r w:rsidR="001D2FA7" w:rsidRPr="00382917">
        <w:t>my</w:t>
      </w:r>
      <w:r w:rsidR="00EE4FC3">
        <w:t xml:space="preserve"> </w:t>
      </w:r>
      <w:r w:rsidR="001D2FA7" w:rsidRPr="00382917">
        <w:t>firm</w:t>
      </w:r>
      <w:r w:rsidR="00EE4FC3">
        <w:t xml:space="preserve"> </w:t>
      </w:r>
      <w:r w:rsidR="001D2FA7" w:rsidRPr="00382917">
        <w:t>and</w:t>
      </w:r>
      <w:r w:rsidR="00EE4FC3">
        <w:t xml:space="preserve"> </w:t>
      </w:r>
      <w:r w:rsidR="001D2FA7" w:rsidRPr="00382917">
        <w:t>unalterable</w:t>
      </w:r>
      <w:r w:rsidR="00EE4FC3">
        <w:t xml:space="preserve"> </w:t>
      </w:r>
      <w:r w:rsidR="001D2FA7" w:rsidRPr="00382917">
        <w:t>conviction,</w:t>
      </w:r>
      <w:r w:rsidRPr="00382917">
        <w:t>”</w:t>
      </w:r>
      <w:r w:rsidR="00EE4FC3">
        <w:t xml:space="preserve"> </w:t>
      </w:r>
      <w:r w:rsidR="001D2FA7" w:rsidRPr="00382917">
        <w:t>he</w:t>
      </w:r>
      <w:r w:rsidR="00EE4FC3">
        <w:t xml:space="preserve"> </w:t>
      </w:r>
      <w:r w:rsidR="001D2FA7" w:rsidRPr="00382917">
        <w:t>told</w:t>
      </w:r>
      <w:r w:rsidR="00EE4FC3">
        <w:t xml:space="preserve"> </w:t>
      </w:r>
      <w:r w:rsidR="001D2FA7" w:rsidRPr="00382917">
        <w:t>them,</w:t>
      </w:r>
      <w:r w:rsidR="00EE4FC3">
        <w:t xml:space="preserve"> </w:t>
      </w:r>
      <w:r w:rsidRPr="00382917">
        <w:t>“</w:t>
      </w:r>
      <w:r w:rsidR="001D2FA7" w:rsidRPr="00382917">
        <w:t>That</w:t>
      </w:r>
      <w:r w:rsidR="00EE4FC3">
        <w:t xml:space="preserve"> </w:t>
      </w:r>
      <w:r w:rsidR="001D2FA7" w:rsidRPr="00382917">
        <w:t>the</w:t>
      </w:r>
      <w:r w:rsidR="00EE4FC3">
        <w:t xml:space="preserve"> </w:t>
      </w:r>
      <w:r w:rsidR="001D2FA7" w:rsidRPr="00382917">
        <w:t>Báb</w:t>
      </w:r>
      <w:r w:rsidR="00EE4FC3">
        <w:t xml:space="preserve"> </w:t>
      </w:r>
      <w:r w:rsidR="001D2FA7" w:rsidRPr="00382917">
        <w:t>is</w:t>
      </w:r>
      <w:r w:rsidR="00EE4FC3">
        <w:t xml:space="preserve"> </w:t>
      </w:r>
      <w:r w:rsidR="001D2FA7" w:rsidRPr="00382917">
        <w:t>the</w:t>
      </w:r>
      <w:r w:rsidR="00EE4FC3">
        <w:t xml:space="preserve"> </w:t>
      </w:r>
      <w:r w:rsidR="001D2FA7" w:rsidRPr="00382917">
        <w:t>very</w:t>
      </w:r>
      <w:r w:rsidR="00EE4FC3">
        <w:t xml:space="preserve"> </w:t>
      </w:r>
      <w:proofErr w:type="gramStart"/>
      <w:r w:rsidR="001D2FA7" w:rsidRPr="00382917">
        <w:t>One</w:t>
      </w:r>
      <w:proofErr w:type="gramEnd"/>
      <w:r w:rsidR="00EE4FC3">
        <w:t xml:space="preserve"> </w:t>
      </w:r>
      <w:r w:rsidR="001D2FA7" w:rsidRPr="00382917">
        <w:t>Whose</w:t>
      </w:r>
      <w:r w:rsidR="00EE4FC3">
        <w:t xml:space="preserve"> </w:t>
      </w:r>
      <w:r w:rsidR="001D2FA7" w:rsidRPr="00382917">
        <w:t>coming</w:t>
      </w:r>
      <w:r w:rsidR="00EE4FC3">
        <w:t xml:space="preserve"> </w:t>
      </w:r>
      <w:r w:rsidR="001D2FA7" w:rsidRPr="00382917">
        <w:t>you</w:t>
      </w:r>
      <w:r w:rsidR="00EE4FC3">
        <w:t xml:space="preserve"> </w:t>
      </w:r>
      <w:r w:rsidR="001D2FA7" w:rsidRPr="00382917">
        <w:t>yourself,</w:t>
      </w:r>
      <w:r w:rsidR="00EE4FC3">
        <w:t xml:space="preserve"> </w:t>
      </w:r>
      <w:r w:rsidR="001D2FA7" w:rsidRPr="00382917">
        <w:t>with</w:t>
      </w:r>
      <w:r w:rsidR="00EE4FC3">
        <w:t xml:space="preserve"> </w:t>
      </w:r>
      <w:r w:rsidR="001D2FA7" w:rsidRPr="00382917">
        <w:t>all</w:t>
      </w:r>
      <w:r w:rsidR="00EE4FC3">
        <w:t xml:space="preserve"> </w:t>
      </w:r>
      <w:r w:rsidR="001D2FA7" w:rsidRPr="00382917">
        <w:t>the</w:t>
      </w:r>
      <w:r w:rsidR="00EE4FC3">
        <w:t xml:space="preserve"> </w:t>
      </w:r>
      <w:r w:rsidR="001D2FA7" w:rsidRPr="00382917">
        <w:t>peoples</w:t>
      </w:r>
      <w:r w:rsidR="00EE4FC3">
        <w:t xml:space="preserve"> </w:t>
      </w:r>
      <w:r w:rsidR="001D2FA7" w:rsidRPr="00382917">
        <w:t>of</w:t>
      </w:r>
      <w:r w:rsidR="00EE4FC3">
        <w:t xml:space="preserve"> </w:t>
      </w:r>
      <w:r w:rsidR="001D2FA7" w:rsidRPr="00382917">
        <w:t>the</w:t>
      </w:r>
      <w:r w:rsidR="00EE4FC3">
        <w:t xml:space="preserve"> </w:t>
      </w:r>
      <w:r w:rsidR="001D2FA7" w:rsidRPr="00382917">
        <w:t>world,</w:t>
      </w:r>
      <w:r w:rsidR="00EE4FC3">
        <w:t xml:space="preserve"> </w:t>
      </w:r>
      <w:r w:rsidR="001D2FA7" w:rsidRPr="00382917">
        <w:t>are</w:t>
      </w:r>
      <w:r w:rsidR="00EE4FC3">
        <w:t xml:space="preserve"> </w:t>
      </w:r>
      <w:r w:rsidR="001D2FA7" w:rsidRPr="00382917">
        <w:t>eagerly</w:t>
      </w:r>
      <w:r w:rsidR="00EE4FC3">
        <w:t xml:space="preserve"> </w:t>
      </w:r>
      <w:r w:rsidR="001D2FA7" w:rsidRPr="00382917">
        <w:t>awaiting</w:t>
      </w:r>
      <w:r w:rsidR="00330AF7">
        <w:t>.</w:t>
      </w:r>
      <w:r w:rsidR="00EE4FC3">
        <w:t xml:space="preserve">  </w:t>
      </w:r>
      <w:r w:rsidR="001D2FA7" w:rsidRPr="00382917">
        <w:t>He</w:t>
      </w:r>
      <w:r w:rsidR="00EE4FC3">
        <w:t xml:space="preserve"> </w:t>
      </w:r>
      <w:r w:rsidR="001D2FA7" w:rsidRPr="00382917">
        <w:t>is</w:t>
      </w:r>
      <w:r w:rsidR="00EE4FC3">
        <w:t xml:space="preserve"> </w:t>
      </w:r>
      <w:r w:rsidR="001D2FA7" w:rsidRPr="00382917">
        <w:t>our</w:t>
      </w:r>
      <w:r w:rsidR="00EE4FC3">
        <w:t xml:space="preserve"> </w:t>
      </w:r>
      <w:r w:rsidR="001D2FA7" w:rsidRPr="00382917">
        <w:t>Lord,</w:t>
      </w:r>
      <w:r w:rsidR="00EE4FC3">
        <w:t xml:space="preserve"> </w:t>
      </w:r>
      <w:r w:rsidR="001D2FA7" w:rsidRPr="00382917">
        <w:t>our</w:t>
      </w:r>
      <w:r w:rsidR="00EE4FC3">
        <w:t xml:space="preserve"> </w:t>
      </w:r>
      <w:r w:rsidR="001D2FA7" w:rsidRPr="00382917">
        <w:t>promised</w:t>
      </w:r>
      <w:r w:rsidR="00EE4FC3">
        <w:t xml:space="preserve"> </w:t>
      </w:r>
      <w:r w:rsidR="001D2FA7" w:rsidRPr="00382917">
        <w:t>Deliverer</w:t>
      </w:r>
      <w:r w:rsidR="00330AF7">
        <w:t>.</w:t>
      </w:r>
      <w:r w:rsidR="00EE4FC3">
        <w:t xml:space="preserve">  </w:t>
      </w:r>
      <w:r w:rsidR="001D2FA7" w:rsidRPr="00382917">
        <w:t>If</w:t>
      </w:r>
      <w:r w:rsidR="00EE4FC3">
        <w:t xml:space="preserve"> </w:t>
      </w:r>
      <w:r w:rsidR="001D2FA7" w:rsidRPr="00382917">
        <w:t>He</w:t>
      </w:r>
      <w:r w:rsidR="00EE4FC3">
        <w:t xml:space="preserve"> </w:t>
      </w:r>
      <w:r w:rsidR="001D2FA7" w:rsidRPr="00382917">
        <w:t>were</w:t>
      </w:r>
      <w:r w:rsidR="00EE4FC3">
        <w:t xml:space="preserve"> </w:t>
      </w:r>
      <w:r w:rsidR="001D2FA7" w:rsidRPr="00382917">
        <w:t>to</w:t>
      </w:r>
      <w:r w:rsidR="00EE4FC3">
        <w:t xml:space="preserve"> </w:t>
      </w:r>
      <w:r w:rsidR="001D2FA7" w:rsidRPr="00382917">
        <w:t>entrust</w:t>
      </w:r>
      <w:r w:rsidR="00EE4FC3">
        <w:t xml:space="preserve"> </w:t>
      </w:r>
      <w:r w:rsidR="001D2FA7" w:rsidRPr="00382917">
        <w:t>me</w:t>
      </w:r>
      <w:r w:rsidR="00EE4FC3">
        <w:t xml:space="preserve"> </w:t>
      </w:r>
      <w:r w:rsidR="001D2FA7" w:rsidRPr="00382917">
        <w:t>with</w:t>
      </w:r>
      <w:r w:rsidR="00EE4FC3">
        <w:t xml:space="preserve"> </w:t>
      </w:r>
      <w:r w:rsidR="001D2FA7" w:rsidRPr="00382917">
        <w:t>the</w:t>
      </w:r>
      <w:r w:rsidR="00EE4FC3">
        <w:t xml:space="preserve"> </w:t>
      </w:r>
      <w:r w:rsidR="001D2FA7" w:rsidRPr="00382917">
        <w:t>meanest</w:t>
      </w:r>
      <w:r w:rsidR="00EE4FC3">
        <w:t xml:space="preserve"> </w:t>
      </w:r>
      <w:r w:rsidR="001D2FA7" w:rsidRPr="00382917">
        <w:t>service</w:t>
      </w:r>
      <w:r w:rsidR="00EE4FC3">
        <w:t xml:space="preserve"> </w:t>
      </w:r>
      <w:r w:rsidR="001D2FA7" w:rsidRPr="00382917">
        <w:t>in</w:t>
      </w:r>
      <w:r w:rsidR="00EE4FC3">
        <w:t xml:space="preserve"> </w:t>
      </w:r>
      <w:r w:rsidR="001D2FA7" w:rsidRPr="00382917">
        <w:t>His</w:t>
      </w:r>
      <w:r w:rsidR="00EE4FC3">
        <w:t xml:space="preserve"> </w:t>
      </w:r>
      <w:r w:rsidR="001D2FA7" w:rsidRPr="00382917">
        <w:t>household,</w:t>
      </w:r>
      <w:r w:rsidR="00EE4FC3">
        <w:t xml:space="preserve"> </w:t>
      </w:r>
      <w:r w:rsidR="001D2FA7" w:rsidRPr="00382917">
        <w:t>I</w:t>
      </w:r>
      <w:r w:rsidR="00EE4FC3">
        <w:t xml:space="preserve"> </w:t>
      </w:r>
      <w:r w:rsidR="001D2FA7" w:rsidRPr="00382917">
        <w:t>would</w:t>
      </w:r>
      <w:r w:rsidR="00EE4FC3">
        <w:t xml:space="preserve"> </w:t>
      </w:r>
      <w:r w:rsidR="001D2FA7" w:rsidRPr="00382917">
        <w:t>deem</w:t>
      </w:r>
      <w:r w:rsidR="00EE4FC3">
        <w:t xml:space="preserve"> </w:t>
      </w:r>
      <w:r w:rsidR="001D2FA7" w:rsidRPr="00382917">
        <w:t>it</w:t>
      </w:r>
      <w:r w:rsidR="00EE4FC3">
        <w:t xml:space="preserve"> </w:t>
      </w:r>
      <w:r w:rsidR="001D2FA7" w:rsidRPr="00382917">
        <w:t>an</w:t>
      </w:r>
      <w:r w:rsidR="00EE4FC3">
        <w:t xml:space="preserve"> </w:t>
      </w:r>
      <w:proofErr w:type="spellStart"/>
      <w:r w:rsidR="001D2FA7" w:rsidRPr="00382917">
        <w:t>honor</w:t>
      </w:r>
      <w:proofErr w:type="spellEnd"/>
      <w:r w:rsidR="00EE4FC3">
        <w:t xml:space="preserve"> </w:t>
      </w:r>
      <w:r w:rsidR="001D2FA7" w:rsidRPr="00382917">
        <w:t>such</w:t>
      </w:r>
      <w:r w:rsidR="00EE4FC3">
        <w:t xml:space="preserve"> </w:t>
      </w:r>
      <w:r w:rsidR="001D2FA7" w:rsidRPr="00382917">
        <w:t>as</w:t>
      </w:r>
      <w:r w:rsidR="00EE4FC3">
        <w:t xml:space="preserve"> </w:t>
      </w:r>
      <w:r w:rsidR="001D2FA7" w:rsidRPr="00382917">
        <w:t>the</w:t>
      </w:r>
      <w:r w:rsidR="00EE4FC3">
        <w:t xml:space="preserve"> </w:t>
      </w:r>
      <w:r w:rsidR="001D2FA7" w:rsidRPr="00382917">
        <w:t>highest</w:t>
      </w:r>
      <w:r w:rsidR="00EE4FC3">
        <w:t xml:space="preserve"> </w:t>
      </w:r>
      <w:proofErr w:type="spellStart"/>
      <w:r w:rsidR="001D2FA7" w:rsidRPr="00382917">
        <w:t>favors</w:t>
      </w:r>
      <w:proofErr w:type="spellEnd"/>
      <w:r w:rsidR="00EE4FC3">
        <w:t xml:space="preserve"> </w:t>
      </w:r>
      <w:r w:rsidR="001D2FA7" w:rsidRPr="00382917">
        <w:t>of</w:t>
      </w:r>
      <w:r w:rsidR="00EE4FC3">
        <w:t xml:space="preserve"> </w:t>
      </w:r>
      <w:r w:rsidR="001D2FA7" w:rsidRPr="00382917">
        <w:t>my</w:t>
      </w:r>
      <w:r w:rsidR="00EE4FC3">
        <w:t xml:space="preserve"> </w:t>
      </w:r>
      <w:r w:rsidR="001D2FA7" w:rsidRPr="00382917">
        <w:t>King</w:t>
      </w:r>
      <w:r w:rsidR="00EE4FC3">
        <w:t xml:space="preserve"> </w:t>
      </w:r>
      <w:r w:rsidR="001D2FA7" w:rsidRPr="00382917">
        <w:t>could</w:t>
      </w:r>
      <w:r w:rsidR="00EE4FC3">
        <w:t xml:space="preserve"> </w:t>
      </w:r>
      <w:r w:rsidR="001D2FA7" w:rsidRPr="00382917">
        <w:t>never</w:t>
      </w:r>
      <w:r w:rsidR="00EE4FC3">
        <w:t xml:space="preserve"> </w:t>
      </w:r>
      <w:r w:rsidR="001D2FA7" w:rsidRPr="00382917">
        <w:t>hope</w:t>
      </w:r>
      <w:r w:rsidR="00EE4FC3">
        <w:t xml:space="preserve"> </w:t>
      </w:r>
      <w:r w:rsidR="001D2FA7" w:rsidRPr="00382917">
        <w:t>to</w:t>
      </w:r>
      <w:r w:rsidR="00EE4FC3">
        <w:t xml:space="preserve"> </w:t>
      </w:r>
      <w:r w:rsidR="001D2FA7" w:rsidRPr="00382917">
        <w:t>surpass.</w:t>
      </w:r>
      <w:r w:rsidRPr="00382917">
        <w:t>”</w:t>
      </w:r>
      <w:r w:rsidR="00664197">
        <w:rPr>
          <w:rStyle w:val="FootnoteReference"/>
        </w:rPr>
        <w:footnoteReference w:id="222"/>
      </w:r>
    </w:p>
    <w:p w:rsidR="00E13D49" w:rsidRPr="00382917" w:rsidRDefault="001D2FA7" w:rsidP="00664197">
      <w:pPr>
        <w:pStyle w:val="Text"/>
      </w:pPr>
      <w:r w:rsidRPr="00382917">
        <w:t>Ḥujjat</w:t>
      </w:r>
      <w:r w:rsidR="00EE4FC3">
        <w:t xml:space="preserve"> </w:t>
      </w:r>
      <w:r w:rsidRPr="00382917">
        <w:t>returned</w:t>
      </w:r>
      <w:r w:rsidR="00EE4FC3">
        <w:t xml:space="preserve"> </w:t>
      </w:r>
      <w:r w:rsidRPr="00382917">
        <w:t>to</w:t>
      </w:r>
      <w:r w:rsidR="00EE4FC3">
        <w:t xml:space="preserve"> </w:t>
      </w:r>
      <w:r w:rsidRPr="00382917">
        <w:t>his</w:t>
      </w:r>
      <w:r w:rsidR="00EE4FC3">
        <w:t xml:space="preserve"> </w:t>
      </w:r>
      <w:r w:rsidRPr="00382917">
        <w:t>home</w:t>
      </w:r>
      <w:r w:rsidR="00EE4FC3">
        <w:t xml:space="preserve"> </w:t>
      </w:r>
      <w:r w:rsidRPr="00382917">
        <w:t>urging</w:t>
      </w:r>
      <w:r w:rsidR="00EE4FC3">
        <w:t xml:space="preserve"> </w:t>
      </w:r>
      <w:r w:rsidRPr="00382917">
        <w:t>everyone</w:t>
      </w:r>
      <w:r w:rsidR="00EE4FC3">
        <w:t xml:space="preserve"> </w:t>
      </w:r>
      <w:r w:rsidRPr="00382917">
        <w:t>to</w:t>
      </w:r>
      <w:r w:rsidR="00EE4FC3">
        <w:t xml:space="preserve"> </w:t>
      </w:r>
      <w:r w:rsidRPr="00382917">
        <w:t>accept</w:t>
      </w:r>
      <w:r w:rsidR="00EE4FC3">
        <w:t xml:space="preserve"> </w:t>
      </w:r>
      <w:r w:rsidRPr="00382917">
        <w:t>the</w:t>
      </w:r>
      <w:r w:rsidR="00EE4FC3">
        <w:t xml:space="preserve"> </w:t>
      </w:r>
      <w:r w:rsidRPr="00382917">
        <w:t>Báb</w:t>
      </w:r>
      <w:r w:rsidR="00330AF7">
        <w:t>.</w:t>
      </w:r>
      <w:r w:rsidR="00EE4FC3">
        <w:t xml:space="preserve">  </w:t>
      </w:r>
      <w:r w:rsidR="009C713D" w:rsidRPr="00382917">
        <w:t>“</w:t>
      </w:r>
      <w:r w:rsidRPr="00382917">
        <w:t>The</w:t>
      </w:r>
      <w:r w:rsidR="00EE4FC3">
        <w:t xml:space="preserve"> </w:t>
      </w:r>
      <w:r w:rsidRPr="00382917">
        <w:t>goal</w:t>
      </w:r>
      <w:r w:rsidR="00EE4FC3">
        <w:t xml:space="preserve"> </w:t>
      </w:r>
      <w:r w:rsidRPr="00382917">
        <w:t>for</w:t>
      </w:r>
      <w:r w:rsidR="00EE4FC3">
        <w:t xml:space="preserve"> </w:t>
      </w:r>
      <w:r w:rsidRPr="00382917">
        <w:t>which</w:t>
      </w:r>
      <w:r w:rsidR="00EE4FC3">
        <w:t xml:space="preserve"> </w:t>
      </w:r>
      <w:r w:rsidRPr="00382917">
        <w:t>the</w:t>
      </w:r>
      <w:r w:rsidR="00EE4FC3">
        <w:t xml:space="preserve"> </w:t>
      </w:r>
      <w:r w:rsidRPr="00382917">
        <w:t>world</w:t>
      </w:r>
      <w:r w:rsidR="00EE4FC3">
        <w:t xml:space="preserve"> </w:t>
      </w:r>
      <w:r w:rsidRPr="00382917">
        <w:t>has</w:t>
      </w:r>
      <w:r w:rsidR="00EE4FC3">
        <w:t xml:space="preserve"> </w:t>
      </w:r>
      <w:r w:rsidRPr="00382917">
        <w:t>been</w:t>
      </w:r>
      <w:r w:rsidR="00EE4FC3">
        <w:t xml:space="preserve"> </w:t>
      </w:r>
      <w:r w:rsidRPr="00382917">
        <w:t>striving</w:t>
      </w:r>
      <w:r w:rsidR="00EE4FC3">
        <w:t xml:space="preserve"> </w:t>
      </w:r>
      <w:r w:rsidRPr="00382917">
        <w:t>is</w:t>
      </w:r>
      <w:r w:rsidR="00EE4FC3">
        <w:t xml:space="preserve"> </w:t>
      </w:r>
      <w:r w:rsidRPr="00382917">
        <w:t>now</w:t>
      </w:r>
      <w:r w:rsidR="00EE4FC3">
        <w:t xml:space="preserve"> </w:t>
      </w:r>
      <w:r w:rsidRPr="00382917">
        <w:t>here,</w:t>
      </w:r>
      <w:r w:rsidR="009C713D" w:rsidRPr="00382917">
        <w:t>”</w:t>
      </w:r>
      <w:r w:rsidR="00EE4FC3">
        <w:t xml:space="preserve"> </w:t>
      </w:r>
      <w:r w:rsidRPr="00382917">
        <w:t>he</w:t>
      </w:r>
      <w:r w:rsidR="00EE4FC3">
        <w:t xml:space="preserve"> </w:t>
      </w:r>
      <w:r w:rsidRPr="00382917">
        <w:t>told</w:t>
      </w:r>
      <w:r w:rsidR="00EE4FC3">
        <w:t xml:space="preserve"> </w:t>
      </w:r>
      <w:r w:rsidRPr="00382917">
        <w:t>them</w:t>
      </w:r>
      <w:r w:rsidR="00330AF7">
        <w:t>.</w:t>
      </w:r>
      <w:r w:rsidR="00EE4FC3">
        <w:t xml:space="preserve">  </w:t>
      </w:r>
      <w:r w:rsidR="009C713D" w:rsidRPr="00382917">
        <w:t>“</w:t>
      </w:r>
      <w:r w:rsidRPr="00382917">
        <w:t>The</w:t>
      </w:r>
      <w:r w:rsidR="00EE4FC3">
        <w:t xml:space="preserve"> </w:t>
      </w:r>
      <w:r w:rsidRPr="00382917">
        <w:t>Sun</w:t>
      </w:r>
      <w:r w:rsidR="00EE4FC3">
        <w:t xml:space="preserve"> </w:t>
      </w:r>
      <w:r w:rsidRPr="00382917">
        <w:t>of</w:t>
      </w:r>
      <w:r w:rsidR="00EE4FC3">
        <w:t xml:space="preserve"> </w:t>
      </w:r>
      <w:r w:rsidRPr="00382917">
        <w:t>Truth</w:t>
      </w:r>
      <w:r w:rsidR="00EE4FC3">
        <w:t xml:space="preserve"> </w:t>
      </w:r>
      <w:r w:rsidRPr="00382917">
        <w:t>has</w:t>
      </w:r>
      <w:r w:rsidR="00EE4FC3">
        <w:t xml:space="preserve"> </w:t>
      </w:r>
      <w:r w:rsidRPr="00382917">
        <w:t>risen</w:t>
      </w:r>
      <w:r w:rsidR="00330AF7">
        <w:t>.</w:t>
      </w:r>
      <w:r w:rsidR="00EE4FC3">
        <w:t xml:space="preserve">  </w:t>
      </w:r>
      <w:r w:rsidRPr="00382917">
        <w:t>Fix</w:t>
      </w:r>
      <w:r w:rsidR="00EE4FC3">
        <w:t xml:space="preserve"> </w:t>
      </w:r>
      <w:r w:rsidRPr="00382917">
        <w:t>your</w:t>
      </w:r>
      <w:r w:rsidR="00EE4FC3">
        <w:t xml:space="preserve"> </w:t>
      </w:r>
      <w:r w:rsidRPr="00382917">
        <w:t>eyes</w:t>
      </w:r>
      <w:r w:rsidR="00EE4FC3">
        <w:t xml:space="preserve"> </w:t>
      </w:r>
      <w:r w:rsidRPr="00382917">
        <w:t>upon</w:t>
      </w:r>
      <w:r w:rsidR="00EE4FC3">
        <w:t xml:space="preserve"> </w:t>
      </w:r>
      <w:r w:rsidRPr="00382917">
        <w:t>the</w:t>
      </w:r>
      <w:r w:rsidR="00EE4FC3">
        <w:t xml:space="preserve"> </w:t>
      </w:r>
      <w:r w:rsidRPr="00382917">
        <w:t>Báb,</w:t>
      </w:r>
      <w:r w:rsidR="00EE4FC3">
        <w:t xml:space="preserve"> </w:t>
      </w:r>
      <w:r w:rsidRPr="00382917">
        <w:t>not</w:t>
      </w:r>
      <w:r w:rsidR="00EE4FC3">
        <w:t xml:space="preserve"> </w:t>
      </w:r>
      <w:r w:rsidRPr="00382917">
        <w:t>upon</w:t>
      </w:r>
      <w:r w:rsidR="00EE4FC3">
        <w:t xml:space="preserve"> </w:t>
      </w:r>
      <w:r w:rsidRPr="00382917">
        <w:t>me,</w:t>
      </w:r>
      <w:r w:rsidR="00EE4FC3">
        <w:t xml:space="preserve"> </w:t>
      </w:r>
      <w:r w:rsidRPr="00382917">
        <w:t>the</w:t>
      </w:r>
      <w:r w:rsidR="00EE4FC3">
        <w:t xml:space="preserve"> </w:t>
      </w:r>
      <w:r w:rsidRPr="00382917">
        <w:t>least</w:t>
      </w:r>
      <w:r w:rsidR="00EE4FC3">
        <w:t xml:space="preserve"> </w:t>
      </w:r>
      <w:r w:rsidRPr="00382917">
        <w:t>of</w:t>
      </w:r>
      <w:r w:rsidR="00EE4FC3">
        <w:t xml:space="preserve"> </w:t>
      </w:r>
      <w:r w:rsidRPr="00382917">
        <w:t>His</w:t>
      </w:r>
      <w:r w:rsidR="00EE4FC3">
        <w:t xml:space="preserve"> </w:t>
      </w:r>
      <w:r w:rsidRPr="00382917">
        <w:t>slaves</w:t>
      </w:r>
      <w:r w:rsidR="00330AF7">
        <w:t>.</w:t>
      </w:r>
      <w:r w:rsidR="00EE4FC3">
        <w:t xml:space="preserve">  </w:t>
      </w:r>
      <w:r w:rsidRPr="00382917">
        <w:t>My</w:t>
      </w:r>
      <w:r w:rsidR="00EE4FC3">
        <w:t xml:space="preserve"> </w:t>
      </w:r>
      <w:r w:rsidRPr="00382917">
        <w:t>wisdom</w:t>
      </w:r>
      <w:r w:rsidR="00EE4FC3">
        <w:t xml:space="preserve"> </w:t>
      </w:r>
      <w:r w:rsidRPr="00382917">
        <w:t>compared</w:t>
      </w:r>
      <w:r w:rsidR="00EE4FC3">
        <w:t xml:space="preserve"> </w:t>
      </w:r>
      <w:r w:rsidRPr="00382917">
        <w:t>to</w:t>
      </w:r>
      <w:r w:rsidR="00EE4FC3">
        <w:t xml:space="preserve"> </w:t>
      </w:r>
      <w:r w:rsidRPr="00382917">
        <w:t>His</w:t>
      </w:r>
      <w:r w:rsidR="00EE4FC3">
        <w:t xml:space="preserve"> </w:t>
      </w:r>
      <w:r w:rsidRPr="00382917">
        <w:t>is</w:t>
      </w:r>
      <w:r w:rsidR="00EE4FC3">
        <w:t xml:space="preserve"> </w:t>
      </w:r>
      <w:r w:rsidRPr="00382917">
        <w:t>as</w:t>
      </w:r>
      <w:r w:rsidR="00EE4FC3">
        <w:t xml:space="preserve"> </w:t>
      </w:r>
      <w:r w:rsidRPr="00382917">
        <w:t>an</w:t>
      </w:r>
      <w:r w:rsidR="00EE4FC3">
        <w:t xml:space="preserve"> </w:t>
      </w:r>
      <w:r w:rsidRPr="00382917">
        <w:t>unlighted</w:t>
      </w:r>
      <w:r w:rsidR="00EE4FC3">
        <w:t xml:space="preserve"> </w:t>
      </w:r>
      <w:r w:rsidRPr="00382917">
        <w:t>candle</w:t>
      </w:r>
      <w:r w:rsidR="00EE4FC3">
        <w:t xml:space="preserve"> </w:t>
      </w:r>
      <w:r w:rsidRPr="00382917">
        <w:t>to</w:t>
      </w:r>
      <w:r w:rsidR="00EE4FC3">
        <w:t xml:space="preserve"> </w:t>
      </w:r>
      <w:r w:rsidRPr="00382917">
        <w:t>the</w:t>
      </w:r>
      <w:r w:rsidR="00EE4FC3">
        <w:t xml:space="preserve"> </w:t>
      </w:r>
      <w:r w:rsidRPr="00382917">
        <w:t>sun</w:t>
      </w:r>
      <w:r w:rsidR="00EE4FC3">
        <w:t xml:space="preserve"> </w:t>
      </w:r>
      <w:r w:rsidRPr="00382917">
        <w:t>at</w:t>
      </w:r>
      <w:r w:rsidR="00EE4FC3">
        <w:t xml:space="preserve"> </w:t>
      </w:r>
      <w:r w:rsidRPr="00382917">
        <w:t>midday.</w:t>
      </w:r>
      <w:r w:rsidR="009C713D" w:rsidRPr="00382917">
        <w:t>”</w:t>
      </w:r>
      <w:r w:rsidR="00664197">
        <w:rPr>
          <w:rStyle w:val="FootnoteReference"/>
        </w:rPr>
        <w:footnoteReference w:id="223"/>
      </w:r>
    </w:p>
    <w:p w:rsidR="001D2FA7" w:rsidRPr="00382917" w:rsidRDefault="001D2FA7" w:rsidP="007B319A">
      <w:pPr>
        <w:pStyle w:val="Text"/>
      </w:pPr>
      <w:r w:rsidRPr="00382917">
        <w:t>Shortly</w:t>
      </w:r>
      <w:r w:rsidR="00EE4FC3">
        <w:t xml:space="preserve"> </w:t>
      </w:r>
      <w:r w:rsidRPr="00382917">
        <w:t>before</w:t>
      </w:r>
      <w:r w:rsidR="00EE4FC3">
        <w:t xml:space="preserve"> </w:t>
      </w:r>
      <w:r w:rsidRPr="00382917">
        <w:t>his</w:t>
      </w:r>
      <w:r w:rsidR="00EE4FC3">
        <w:t xml:space="preserve"> </w:t>
      </w:r>
      <w:r w:rsidRPr="00382917">
        <w:t>death,</w:t>
      </w:r>
      <w:r w:rsidR="00EE4FC3">
        <w:t xml:space="preserve"> </w:t>
      </w:r>
      <w:r w:rsidRPr="00382917">
        <w:t>Ḥujjat</w:t>
      </w:r>
      <w:r w:rsidR="00EE4FC3">
        <w:t xml:space="preserve"> </w:t>
      </w:r>
      <w:r w:rsidRPr="00382917">
        <w:t>was</w:t>
      </w:r>
      <w:r w:rsidR="00EE4FC3">
        <w:t xml:space="preserve"> </w:t>
      </w:r>
      <w:r w:rsidRPr="00382917">
        <w:t>grievously</w:t>
      </w:r>
      <w:r w:rsidR="00EE4FC3">
        <w:t xml:space="preserve"> </w:t>
      </w:r>
      <w:r w:rsidRPr="00382917">
        <w:t>wounded</w:t>
      </w:r>
      <w:r w:rsidR="00330AF7">
        <w:t>.</w:t>
      </w:r>
      <w:r w:rsidR="00EE4FC3">
        <w:t xml:space="preserve">  </w:t>
      </w:r>
      <w:r w:rsidRPr="00382917">
        <w:t>His</w:t>
      </w:r>
      <w:r w:rsidR="00EE4FC3">
        <w:t xml:space="preserve"> </w:t>
      </w:r>
      <w:r w:rsidRPr="00382917">
        <w:t>wife</w:t>
      </w:r>
      <w:r w:rsidR="00EE4FC3">
        <w:t xml:space="preserve"> </w:t>
      </w:r>
      <w:r w:rsidRPr="00382917">
        <w:t>and</w:t>
      </w:r>
      <w:r w:rsidR="00EE4FC3">
        <w:t xml:space="preserve"> </w:t>
      </w:r>
      <w:r w:rsidRPr="00382917">
        <w:t>child</w:t>
      </w:r>
      <w:r w:rsidR="00EE4FC3">
        <w:t xml:space="preserve"> </w:t>
      </w:r>
      <w:r w:rsidRPr="00382917">
        <w:t>were</w:t>
      </w:r>
      <w:r w:rsidR="00EE4FC3">
        <w:t xml:space="preserve"> </w:t>
      </w:r>
      <w:r w:rsidRPr="00382917">
        <w:t>slain</w:t>
      </w:r>
      <w:r w:rsidR="00EE4FC3">
        <w:t xml:space="preserve"> </w:t>
      </w:r>
      <w:r w:rsidRPr="00382917">
        <w:t>before</w:t>
      </w:r>
      <w:r w:rsidR="00EE4FC3">
        <w:t xml:space="preserve"> </w:t>
      </w:r>
      <w:r w:rsidRPr="00382917">
        <w:t>his</w:t>
      </w:r>
      <w:r w:rsidR="00EE4FC3">
        <w:t xml:space="preserve"> </w:t>
      </w:r>
      <w:r w:rsidRPr="00382917">
        <w:t>eyes</w:t>
      </w:r>
      <w:r w:rsidR="00330AF7">
        <w:t>.</w:t>
      </w:r>
      <w:r w:rsidR="00EE4FC3">
        <w:t xml:space="preserve">  </w:t>
      </w:r>
      <w:r w:rsidRPr="00382917">
        <w:t>Though</w:t>
      </w:r>
      <w:r w:rsidR="00EE4FC3">
        <w:t xml:space="preserve"> </w:t>
      </w:r>
      <w:r w:rsidRPr="00382917">
        <w:t>filled</w:t>
      </w:r>
      <w:r w:rsidR="00EE4FC3">
        <w:t xml:space="preserve"> </w:t>
      </w:r>
      <w:r w:rsidRPr="00382917">
        <w:t>with</w:t>
      </w:r>
      <w:r w:rsidR="00EE4FC3">
        <w:t xml:space="preserve"> </w:t>
      </w:r>
      <w:r w:rsidRPr="00382917">
        <w:t>the</w:t>
      </w:r>
      <w:r w:rsidR="00EE4FC3">
        <w:t xml:space="preserve"> </w:t>
      </w:r>
      <w:r w:rsidRPr="00382917">
        <w:t>greatest</w:t>
      </w:r>
      <w:r w:rsidR="00EE4FC3">
        <w:t xml:space="preserve"> </w:t>
      </w:r>
      <w:r w:rsidRPr="00382917">
        <w:t>grief,</w:t>
      </w:r>
      <w:r w:rsidR="00EE4FC3">
        <w:t xml:space="preserve"> </w:t>
      </w:r>
      <w:r w:rsidRPr="00382917">
        <w:t>he</w:t>
      </w:r>
      <w:r w:rsidR="00EE4FC3">
        <w:t xml:space="preserve"> </w:t>
      </w:r>
      <w:r w:rsidRPr="00382917">
        <w:t>refused</w:t>
      </w:r>
      <w:r w:rsidR="00EE4FC3">
        <w:t xml:space="preserve"> </w:t>
      </w:r>
      <w:r w:rsidRPr="00382917">
        <w:t>to</w:t>
      </w:r>
      <w:r w:rsidR="00EE4FC3">
        <w:t xml:space="preserve"> </w:t>
      </w:r>
      <w:r w:rsidRPr="00382917">
        <w:t>yield</w:t>
      </w:r>
      <w:r w:rsidR="00EE4FC3">
        <w:t xml:space="preserve"> </w:t>
      </w:r>
      <w:r w:rsidRPr="00382917">
        <w:t>to</w:t>
      </w:r>
      <w:r w:rsidR="00EE4FC3">
        <w:t xml:space="preserve"> </w:t>
      </w:r>
      <w:r w:rsidRPr="00382917">
        <w:t>complete</w:t>
      </w:r>
      <w:r w:rsidR="00EE4FC3">
        <w:t xml:space="preserve"> </w:t>
      </w:r>
      <w:r w:rsidRPr="00382917">
        <w:t>sorrow</w:t>
      </w:r>
      <w:r w:rsidR="00330AF7">
        <w:t>.</w:t>
      </w:r>
      <w:r w:rsidR="00EE4FC3">
        <w:t xml:space="preserve">  </w:t>
      </w:r>
      <w:r w:rsidRPr="00382917">
        <w:t>He</w:t>
      </w:r>
      <w:r w:rsidR="00EE4FC3">
        <w:t xml:space="preserve"> </w:t>
      </w:r>
      <w:r w:rsidRPr="00382917">
        <w:t>would</w:t>
      </w:r>
      <w:r w:rsidR="00EE4FC3">
        <w:t xml:space="preserve"> </w:t>
      </w:r>
      <w:r w:rsidRPr="00382917">
        <w:t>not</w:t>
      </w:r>
      <w:r w:rsidR="00EE4FC3">
        <w:t xml:space="preserve"> </w:t>
      </w:r>
      <w:r w:rsidRPr="00382917">
        <w:t>permit</w:t>
      </w:r>
      <w:r w:rsidR="00EE4FC3">
        <w:t xml:space="preserve"> </w:t>
      </w:r>
      <w:r w:rsidRPr="00382917">
        <w:t>himself</w:t>
      </w:r>
      <w:r w:rsidR="00EE4FC3">
        <w:t xml:space="preserve"> </w:t>
      </w:r>
      <w:r w:rsidRPr="00382917">
        <w:t>to</w:t>
      </w:r>
      <w:r w:rsidR="00EE4FC3">
        <w:t xml:space="preserve"> </w:t>
      </w:r>
      <w:r w:rsidRPr="00382917">
        <w:t>become</w:t>
      </w:r>
      <w:r w:rsidR="00EE4FC3">
        <w:t xml:space="preserve"> </w:t>
      </w:r>
      <w:r w:rsidRPr="00382917">
        <w:t>one</w:t>
      </w:r>
      <w:r w:rsidR="00EE4FC3">
        <w:t xml:space="preserve"> </w:t>
      </w:r>
      <w:r w:rsidRPr="00382917">
        <w:t>who</w:t>
      </w:r>
      <w:r w:rsidR="00EE4FC3">
        <w:t xml:space="preserve"> </w:t>
      </w:r>
      <w:r w:rsidRPr="00382917">
        <w:t>begs</w:t>
      </w:r>
      <w:r w:rsidR="00EE4FC3">
        <w:t xml:space="preserve"> </w:t>
      </w:r>
      <w:r w:rsidRPr="00382917">
        <w:t>for</w:t>
      </w:r>
      <w:r w:rsidR="00EE4FC3">
        <w:t xml:space="preserve"> </w:t>
      </w:r>
      <w:r w:rsidRPr="00382917">
        <w:t>this</w:t>
      </w:r>
      <w:r w:rsidR="00EE4FC3">
        <w:t xml:space="preserve"> </w:t>
      </w:r>
      <w:r w:rsidRPr="00382917">
        <w:t>world</w:t>
      </w:r>
      <w:r w:rsidR="009C713D" w:rsidRPr="00382917">
        <w:t>’</w:t>
      </w:r>
      <w:r w:rsidRPr="00382917">
        <w:t>s</w:t>
      </w:r>
      <w:r w:rsidR="00EE4FC3">
        <w:t xml:space="preserve"> </w:t>
      </w:r>
      <w:proofErr w:type="spellStart"/>
      <w:r w:rsidRPr="00382917">
        <w:t>favors</w:t>
      </w:r>
      <w:proofErr w:type="spellEnd"/>
      <w:r w:rsidR="00330AF7">
        <w:t>.</w:t>
      </w:r>
      <w:r w:rsidR="00EE4FC3">
        <w:t xml:space="preserve">  </w:t>
      </w:r>
      <w:r w:rsidRPr="00382917">
        <w:t>He</w:t>
      </w:r>
      <w:r w:rsidR="00EE4FC3">
        <w:t xml:space="preserve"> </w:t>
      </w:r>
      <w:r w:rsidRPr="00382917">
        <w:t>cried</w:t>
      </w:r>
      <w:r w:rsidR="00EE4FC3">
        <w:t xml:space="preserve"> </w:t>
      </w:r>
      <w:r w:rsidRPr="00382917">
        <w:t>out</w:t>
      </w:r>
      <w:r w:rsidR="00EE4FC3">
        <w:t xml:space="preserve"> </w:t>
      </w:r>
      <w:r w:rsidRPr="00382917">
        <w:t>in</w:t>
      </w:r>
      <w:r w:rsidR="00EE4FC3">
        <w:t xml:space="preserve"> </w:t>
      </w:r>
      <w:r w:rsidRPr="00382917">
        <w:t>his</w:t>
      </w:r>
      <w:r w:rsidR="00EE4FC3">
        <w:t xml:space="preserve"> </w:t>
      </w:r>
      <w:r w:rsidRPr="00382917">
        <w:t>pain:</w:t>
      </w:r>
    </w:p>
    <w:p w:rsidR="001D2FA7" w:rsidRPr="00382917" w:rsidRDefault="009C713D" w:rsidP="007B319A">
      <w:pPr>
        <w:pStyle w:val="Text"/>
      </w:pPr>
      <w:r w:rsidRPr="00382917">
        <w:t>“</w:t>
      </w:r>
      <w:r w:rsidR="001D2FA7" w:rsidRPr="00382917">
        <w:t>O</w:t>
      </w:r>
      <w:r w:rsidR="00EE4FC3">
        <w:t xml:space="preserve"> </w:t>
      </w:r>
      <w:r w:rsidR="001D2FA7" w:rsidRPr="00382917">
        <w:t>my</w:t>
      </w:r>
      <w:r w:rsidR="00EE4FC3">
        <w:t xml:space="preserve"> </w:t>
      </w:r>
      <w:r w:rsidR="001D2FA7" w:rsidRPr="00382917">
        <w:t>God,</w:t>
      </w:r>
      <w:r w:rsidR="00EE4FC3">
        <w:t xml:space="preserve"> </w:t>
      </w:r>
      <w:r w:rsidR="001D2FA7" w:rsidRPr="00382917">
        <w:t>on</w:t>
      </w:r>
      <w:r w:rsidR="00EE4FC3">
        <w:t xml:space="preserve"> </w:t>
      </w:r>
      <w:r w:rsidR="001D2FA7" w:rsidRPr="00382917">
        <w:t>the</w:t>
      </w:r>
      <w:r w:rsidR="00EE4FC3">
        <w:t xml:space="preserve"> </w:t>
      </w:r>
      <w:r w:rsidR="001D2FA7" w:rsidRPr="00382917">
        <w:t>day</w:t>
      </w:r>
      <w:r w:rsidR="00EE4FC3">
        <w:t xml:space="preserve"> </w:t>
      </w:r>
      <w:r w:rsidR="001D2FA7" w:rsidRPr="00382917">
        <w:t>when</w:t>
      </w:r>
      <w:r w:rsidR="00EE4FC3">
        <w:t xml:space="preserve"> </w:t>
      </w:r>
      <w:r w:rsidR="001D2FA7" w:rsidRPr="00382917">
        <w:t>I</w:t>
      </w:r>
      <w:r w:rsidR="00EE4FC3">
        <w:t xml:space="preserve"> </w:t>
      </w:r>
      <w:r w:rsidR="001D2FA7" w:rsidRPr="00382917">
        <w:t>found</w:t>
      </w:r>
      <w:r w:rsidR="00EE4FC3">
        <w:t xml:space="preserve"> </w:t>
      </w:r>
      <w:r w:rsidR="001D2FA7" w:rsidRPr="00382917">
        <w:t>Thy</w:t>
      </w:r>
      <w:r w:rsidR="00EE4FC3">
        <w:t xml:space="preserve"> </w:t>
      </w:r>
      <w:r w:rsidR="001D2FA7" w:rsidRPr="00382917">
        <w:t>Beloved</w:t>
      </w:r>
      <w:r w:rsidR="00EE4FC3">
        <w:t xml:space="preserve"> </w:t>
      </w:r>
      <w:r w:rsidR="001D2FA7" w:rsidRPr="00382917">
        <w:t>One,</w:t>
      </w:r>
      <w:r w:rsidR="00EE4FC3">
        <w:t xml:space="preserve"> </w:t>
      </w:r>
      <w:r w:rsidR="001D2FA7" w:rsidRPr="00382917">
        <w:t>I</w:t>
      </w:r>
      <w:r w:rsidR="00EE4FC3">
        <w:t xml:space="preserve"> </w:t>
      </w:r>
      <w:r w:rsidR="001D2FA7" w:rsidRPr="00382917">
        <w:t>foresaw</w:t>
      </w:r>
      <w:r w:rsidR="00EE4FC3">
        <w:t xml:space="preserve"> </w:t>
      </w:r>
      <w:r w:rsidR="001D2FA7" w:rsidRPr="00382917">
        <w:t>the</w:t>
      </w:r>
      <w:r w:rsidR="00EE4FC3">
        <w:t xml:space="preserve"> </w:t>
      </w:r>
      <w:r w:rsidR="001D2FA7" w:rsidRPr="00382917">
        <w:t>woes</w:t>
      </w:r>
      <w:r w:rsidR="00EE4FC3">
        <w:t xml:space="preserve"> </w:t>
      </w:r>
      <w:r w:rsidR="001D2FA7" w:rsidRPr="00382917">
        <w:t>I</w:t>
      </w:r>
      <w:r w:rsidR="00EE4FC3">
        <w:t xml:space="preserve"> </w:t>
      </w:r>
      <w:r w:rsidR="001D2FA7" w:rsidRPr="00382917">
        <w:t>should</w:t>
      </w:r>
      <w:r w:rsidR="00EE4FC3">
        <w:t xml:space="preserve"> </w:t>
      </w:r>
      <w:r w:rsidR="001D2FA7" w:rsidRPr="00382917">
        <w:t>suffer</w:t>
      </w:r>
      <w:r w:rsidR="00EE4FC3">
        <w:t xml:space="preserve"> </w:t>
      </w:r>
      <w:r w:rsidR="001D2FA7" w:rsidRPr="00382917">
        <w:t>for</w:t>
      </w:r>
      <w:r w:rsidR="00EE4FC3">
        <w:t xml:space="preserve"> </w:t>
      </w:r>
      <w:r w:rsidR="001D2FA7" w:rsidRPr="00382917">
        <w:t>Thee</w:t>
      </w:r>
      <w:r w:rsidR="00330AF7">
        <w:t>.</w:t>
      </w:r>
      <w:r w:rsidR="00EE4FC3">
        <w:t xml:space="preserve">  </w:t>
      </w:r>
      <w:r w:rsidR="001D2FA7" w:rsidRPr="00382917">
        <w:t>Great</w:t>
      </w:r>
      <w:r w:rsidR="00EE4FC3">
        <w:t xml:space="preserve"> </w:t>
      </w:r>
      <w:r w:rsidR="001D2FA7" w:rsidRPr="00382917">
        <w:t>as</w:t>
      </w:r>
      <w:r w:rsidR="00EE4FC3">
        <w:t xml:space="preserve"> </w:t>
      </w:r>
      <w:r w:rsidR="001D2FA7" w:rsidRPr="00382917">
        <w:t>have</w:t>
      </w:r>
      <w:r w:rsidR="00EE4FC3">
        <w:t xml:space="preserve"> </w:t>
      </w:r>
      <w:r w:rsidR="001D2FA7" w:rsidRPr="00382917">
        <w:t>been</w:t>
      </w:r>
      <w:r w:rsidR="00EE4FC3">
        <w:t xml:space="preserve"> </w:t>
      </w:r>
      <w:r w:rsidR="001D2FA7" w:rsidRPr="00382917">
        <w:t>my</w:t>
      </w:r>
      <w:r w:rsidR="00EE4FC3">
        <w:t xml:space="preserve"> </w:t>
      </w:r>
      <w:r w:rsidR="001D2FA7" w:rsidRPr="00382917">
        <w:t>sufferings,</w:t>
      </w:r>
      <w:r w:rsidR="00EE4FC3">
        <w:t xml:space="preserve"> </w:t>
      </w:r>
      <w:r w:rsidR="001D2FA7" w:rsidRPr="00382917">
        <w:t>they</w:t>
      </w:r>
      <w:r w:rsidR="00EE4FC3">
        <w:t xml:space="preserve"> </w:t>
      </w:r>
      <w:r w:rsidR="001D2FA7" w:rsidRPr="00382917">
        <w:t>cannot</w:t>
      </w:r>
      <w:r w:rsidR="00EE4FC3">
        <w:t xml:space="preserve"> </w:t>
      </w:r>
      <w:r w:rsidR="001D2FA7" w:rsidRPr="00382917">
        <w:t>compare</w:t>
      </w:r>
      <w:r w:rsidR="00EE4FC3">
        <w:t xml:space="preserve"> </w:t>
      </w:r>
      <w:r w:rsidR="001D2FA7" w:rsidRPr="00382917">
        <w:t>to</w:t>
      </w:r>
      <w:r w:rsidR="00EE4FC3">
        <w:t xml:space="preserve"> </w:t>
      </w:r>
      <w:r w:rsidR="001D2FA7" w:rsidRPr="00382917">
        <w:t>the</w:t>
      </w:r>
      <w:r w:rsidR="00EE4FC3">
        <w:t xml:space="preserve"> </w:t>
      </w:r>
      <w:r w:rsidR="001D2FA7" w:rsidRPr="00382917">
        <w:t>agonies</w:t>
      </w:r>
      <w:r w:rsidR="00EE4FC3">
        <w:t xml:space="preserve"> </w:t>
      </w:r>
      <w:r w:rsidR="001D2FA7" w:rsidRPr="00382917">
        <w:t>I</w:t>
      </w:r>
      <w:r w:rsidR="00EE4FC3">
        <w:t xml:space="preserve"> </w:t>
      </w:r>
      <w:r w:rsidR="001D2FA7" w:rsidRPr="00382917">
        <w:t>would</w:t>
      </w:r>
      <w:r w:rsidR="00EE4FC3">
        <w:t xml:space="preserve"> </w:t>
      </w:r>
      <w:r w:rsidR="001D2FA7" w:rsidRPr="00382917">
        <w:t>willingly</w:t>
      </w:r>
      <w:r w:rsidR="00EE4FC3">
        <w:t xml:space="preserve"> </w:t>
      </w:r>
      <w:r w:rsidR="001D2FA7" w:rsidRPr="00382917">
        <w:t>suffer</w:t>
      </w:r>
      <w:r w:rsidR="00EE4FC3">
        <w:t xml:space="preserve"> </w:t>
      </w:r>
      <w:r w:rsidR="001D2FA7" w:rsidRPr="00382917">
        <w:t>in</w:t>
      </w:r>
      <w:r w:rsidR="00EE4FC3">
        <w:t xml:space="preserve"> </w:t>
      </w:r>
      <w:r w:rsidR="001D2FA7" w:rsidRPr="00382917">
        <w:t>Thy</w:t>
      </w:r>
      <w:r w:rsidR="00EE4FC3">
        <w:t xml:space="preserve"> </w:t>
      </w:r>
      <w:r w:rsidR="001D2FA7" w:rsidRPr="00382917">
        <w:t>name.</w:t>
      </w:r>
    </w:p>
    <w:p w:rsidR="001D2FA7" w:rsidRPr="00382917" w:rsidRDefault="009C713D" w:rsidP="007B319A">
      <w:pPr>
        <w:pStyle w:val="Text"/>
      </w:pPr>
      <w:r w:rsidRPr="00382917">
        <w:t>“</w:t>
      </w:r>
      <w:r w:rsidR="001D2FA7" w:rsidRPr="00382917">
        <w:t>How</w:t>
      </w:r>
      <w:r w:rsidR="00EE4FC3">
        <w:t xml:space="preserve"> </w:t>
      </w:r>
      <w:r w:rsidR="001D2FA7" w:rsidRPr="00382917">
        <w:t>can</w:t>
      </w:r>
      <w:r w:rsidR="00EE4FC3">
        <w:t xml:space="preserve"> </w:t>
      </w:r>
      <w:r w:rsidR="001D2FA7" w:rsidRPr="00382917">
        <w:t>this</w:t>
      </w:r>
      <w:r w:rsidR="00EE4FC3">
        <w:t xml:space="preserve"> </w:t>
      </w:r>
      <w:r w:rsidR="001D2FA7" w:rsidRPr="00382917">
        <w:t>miserable</w:t>
      </w:r>
      <w:r w:rsidR="00EE4FC3">
        <w:t xml:space="preserve"> </w:t>
      </w:r>
      <w:r w:rsidR="001D2FA7" w:rsidRPr="00382917">
        <w:t>life</w:t>
      </w:r>
      <w:r w:rsidR="00EE4FC3">
        <w:t xml:space="preserve"> </w:t>
      </w:r>
      <w:r w:rsidR="001D2FA7" w:rsidRPr="00382917">
        <w:t>of</w:t>
      </w:r>
      <w:r w:rsidR="00EE4FC3">
        <w:t xml:space="preserve"> </w:t>
      </w:r>
      <w:r w:rsidR="001D2FA7" w:rsidRPr="00382917">
        <w:t>mine,</w:t>
      </w:r>
      <w:r w:rsidR="00EE4FC3">
        <w:t xml:space="preserve"> </w:t>
      </w:r>
      <w:r w:rsidR="001D2FA7" w:rsidRPr="00382917">
        <w:t>and</w:t>
      </w:r>
      <w:r w:rsidR="00EE4FC3">
        <w:t xml:space="preserve"> </w:t>
      </w:r>
      <w:r w:rsidR="001D2FA7" w:rsidRPr="00382917">
        <w:t>even</w:t>
      </w:r>
      <w:r w:rsidR="00EE4FC3">
        <w:t xml:space="preserve"> </w:t>
      </w:r>
      <w:r w:rsidR="001D2FA7" w:rsidRPr="00382917">
        <w:t>the</w:t>
      </w:r>
      <w:r w:rsidR="00EE4FC3">
        <w:t xml:space="preserve"> </w:t>
      </w:r>
      <w:r w:rsidR="001D2FA7" w:rsidRPr="00382917">
        <w:t>loss</w:t>
      </w:r>
      <w:r w:rsidR="00EE4FC3">
        <w:t xml:space="preserve"> </w:t>
      </w:r>
      <w:r w:rsidR="001D2FA7" w:rsidRPr="00382917">
        <w:t>of</w:t>
      </w:r>
      <w:r w:rsidR="00EE4FC3">
        <w:t xml:space="preserve"> </w:t>
      </w:r>
      <w:r w:rsidR="001D2FA7" w:rsidRPr="00382917">
        <w:t>my</w:t>
      </w:r>
      <w:r w:rsidR="00EE4FC3">
        <w:t xml:space="preserve"> </w:t>
      </w:r>
      <w:r w:rsidR="001D2FA7" w:rsidRPr="00382917">
        <w:t>dear</w:t>
      </w:r>
      <w:r w:rsidR="00EE4FC3">
        <w:t xml:space="preserve"> </w:t>
      </w:r>
      <w:r w:rsidR="001D2FA7" w:rsidRPr="00382917">
        <w:t>wife</w:t>
      </w:r>
      <w:r w:rsidR="00EE4FC3">
        <w:t xml:space="preserve"> </w:t>
      </w:r>
      <w:r w:rsidR="001D2FA7" w:rsidRPr="00382917">
        <w:t>and</w:t>
      </w:r>
      <w:r w:rsidR="00EE4FC3">
        <w:t xml:space="preserve"> </w:t>
      </w:r>
      <w:r w:rsidR="001D2FA7" w:rsidRPr="00382917">
        <w:t>child,</w:t>
      </w:r>
      <w:r w:rsidR="00EE4FC3">
        <w:t xml:space="preserve"> </w:t>
      </w:r>
      <w:r w:rsidR="001D2FA7" w:rsidRPr="00382917">
        <w:t>and</w:t>
      </w:r>
      <w:r w:rsidR="00EE4FC3">
        <w:t xml:space="preserve"> </w:t>
      </w:r>
      <w:r w:rsidR="001D2FA7" w:rsidRPr="00382917">
        <w:t>the</w:t>
      </w:r>
      <w:r w:rsidR="00EE4FC3">
        <w:t xml:space="preserve"> </w:t>
      </w:r>
      <w:r w:rsidR="001D2FA7" w:rsidRPr="00382917">
        <w:t>sacrifices</w:t>
      </w:r>
      <w:r w:rsidR="00EE4FC3">
        <w:t xml:space="preserve"> </w:t>
      </w:r>
      <w:r w:rsidR="001D2FA7" w:rsidRPr="00382917">
        <w:t>of</w:t>
      </w:r>
      <w:r w:rsidR="00EE4FC3">
        <w:t xml:space="preserve"> </w:t>
      </w:r>
      <w:r w:rsidR="001D2FA7" w:rsidRPr="00382917">
        <w:t>my</w:t>
      </w:r>
      <w:r w:rsidR="00EE4FC3">
        <w:t xml:space="preserve"> </w:t>
      </w:r>
      <w:r w:rsidR="001D2FA7" w:rsidRPr="00382917">
        <w:t>kindred</w:t>
      </w:r>
      <w:r w:rsidR="00EE4FC3">
        <w:t xml:space="preserve"> </w:t>
      </w:r>
      <w:r w:rsidR="001D2FA7" w:rsidRPr="00382917">
        <w:t>and</w:t>
      </w:r>
      <w:r w:rsidR="00EE4FC3">
        <w:t xml:space="preserve"> </w:t>
      </w:r>
      <w:r w:rsidR="001D2FA7" w:rsidRPr="00382917">
        <w:t>companions,</w:t>
      </w:r>
      <w:r w:rsidR="00EE4FC3">
        <w:t xml:space="preserve"> </w:t>
      </w:r>
      <w:r w:rsidR="001D2FA7" w:rsidRPr="00382917">
        <w:t>compare</w:t>
      </w:r>
      <w:r w:rsidR="00EE4FC3">
        <w:t xml:space="preserve"> </w:t>
      </w:r>
      <w:r w:rsidR="001D2FA7" w:rsidRPr="00382917">
        <w:t>to</w:t>
      </w:r>
      <w:r w:rsidR="00EE4FC3">
        <w:t xml:space="preserve"> </w:t>
      </w:r>
      <w:r w:rsidR="001D2FA7" w:rsidRPr="00382917">
        <w:t>the</w:t>
      </w:r>
      <w:r w:rsidR="00EE4FC3">
        <w:t xml:space="preserve"> </w:t>
      </w:r>
      <w:r w:rsidR="001D2FA7" w:rsidRPr="00382917">
        <w:t>blessings</w:t>
      </w:r>
      <w:r w:rsidR="00EE4FC3">
        <w:t xml:space="preserve"> </w:t>
      </w:r>
      <w:r w:rsidR="001D2FA7" w:rsidRPr="00382917">
        <w:t>which</w:t>
      </w:r>
      <w:r w:rsidR="00EE4FC3">
        <w:t xml:space="preserve"> </w:t>
      </w:r>
      <w:r w:rsidR="001D2FA7" w:rsidRPr="00382917">
        <w:t>the</w:t>
      </w:r>
      <w:r w:rsidR="00EE4FC3">
        <w:t xml:space="preserve"> </w:t>
      </w:r>
      <w:r w:rsidR="001D2FA7" w:rsidRPr="00382917">
        <w:t>recognition</w:t>
      </w:r>
      <w:r w:rsidR="00EE4FC3">
        <w:t xml:space="preserve"> </w:t>
      </w:r>
      <w:r w:rsidR="001D2FA7" w:rsidRPr="00382917">
        <w:t>of</w:t>
      </w:r>
      <w:r w:rsidR="00EE4FC3">
        <w:t xml:space="preserve"> </w:t>
      </w:r>
      <w:r w:rsidR="001D2FA7" w:rsidRPr="00382917">
        <w:t>Thy</w:t>
      </w:r>
    </w:p>
    <w:p w:rsidR="007B319A" w:rsidRPr="00382917" w:rsidRDefault="007B319A">
      <w:pPr>
        <w:widowControl/>
        <w:kinsoku/>
        <w:overflowPunct/>
        <w:textAlignment w:val="auto"/>
      </w:pPr>
      <w:r w:rsidRPr="00382917">
        <w:br w:type="page"/>
      </w:r>
    </w:p>
    <w:p w:rsidR="00E13D49" w:rsidRPr="00382917" w:rsidRDefault="001D2FA7" w:rsidP="00664197">
      <w:pPr>
        <w:pStyle w:val="Textcts"/>
      </w:pPr>
      <w:r w:rsidRPr="00382917">
        <w:t>Messenger</w:t>
      </w:r>
      <w:r w:rsidR="00EE4FC3">
        <w:t xml:space="preserve"> </w:t>
      </w:r>
      <w:r w:rsidRPr="00382917">
        <w:t>can</w:t>
      </w:r>
      <w:r w:rsidR="00EE4FC3">
        <w:t xml:space="preserve"> </w:t>
      </w:r>
      <w:r w:rsidRPr="00382917">
        <w:t>bestow</w:t>
      </w:r>
      <w:r w:rsidR="00EE4FC3">
        <w:t xml:space="preserve"> </w:t>
      </w:r>
      <w:r w:rsidRPr="00382917">
        <w:t>both</w:t>
      </w:r>
      <w:r w:rsidR="00EE4FC3">
        <w:t xml:space="preserve"> </w:t>
      </w:r>
      <w:r w:rsidRPr="00382917">
        <w:t>in</w:t>
      </w:r>
      <w:r w:rsidR="00EE4FC3">
        <w:t xml:space="preserve"> </w:t>
      </w:r>
      <w:r w:rsidRPr="00382917">
        <w:t>this</w:t>
      </w:r>
      <w:r w:rsidR="00EE4FC3">
        <w:t xml:space="preserve"> </w:t>
      </w:r>
      <w:r w:rsidRPr="00382917">
        <w:t>world</w:t>
      </w:r>
      <w:r w:rsidR="00EE4FC3">
        <w:t xml:space="preserve"> </w:t>
      </w:r>
      <w:r w:rsidRPr="00382917">
        <w:t>and</w:t>
      </w:r>
      <w:r w:rsidR="00EE4FC3">
        <w:t xml:space="preserve"> </w:t>
      </w:r>
      <w:r w:rsidRPr="00382917">
        <w:t>in</w:t>
      </w:r>
      <w:r w:rsidR="00EE4FC3">
        <w:t xml:space="preserve"> </w:t>
      </w:r>
      <w:r w:rsidRPr="00382917">
        <w:t>the</w:t>
      </w:r>
      <w:r w:rsidR="00EE4FC3">
        <w:t xml:space="preserve"> </w:t>
      </w:r>
      <w:r w:rsidRPr="00382917">
        <w:t>next</w:t>
      </w:r>
      <w:r w:rsidR="00330AF7">
        <w:t>.</w:t>
      </w:r>
      <w:r w:rsidR="00EE4FC3">
        <w:t xml:space="preserve">  </w:t>
      </w:r>
      <w:r w:rsidRPr="00382917">
        <w:t>I</w:t>
      </w:r>
      <w:r w:rsidR="00EE4FC3">
        <w:t xml:space="preserve"> </w:t>
      </w:r>
      <w:r w:rsidRPr="00382917">
        <w:t>only</w:t>
      </w:r>
      <w:r w:rsidR="00EE4FC3">
        <w:t xml:space="preserve"> </w:t>
      </w:r>
      <w:r w:rsidRPr="00382917">
        <w:t>wish</w:t>
      </w:r>
      <w:r w:rsidR="00EE4FC3">
        <w:t xml:space="preserve"> </w:t>
      </w:r>
      <w:r w:rsidRPr="00382917">
        <w:t>that</w:t>
      </w:r>
      <w:r w:rsidR="00EE4FC3">
        <w:t xml:space="preserve"> </w:t>
      </w:r>
      <w:r w:rsidRPr="00382917">
        <w:t>a</w:t>
      </w:r>
      <w:r w:rsidR="00EE4FC3">
        <w:t xml:space="preserve"> </w:t>
      </w:r>
      <w:r w:rsidRPr="00382917">
        <w:t>multitude</w:t>
      </w:r>
      <w:r w:rsidR="00EE4FC3">
        <w:t xml:space="preserve"> </w:t>
      </w:r>
      <w:r w:rsidRPr="00382917">
        <w:t>of</w:t>
      </w:r>
      <w:r w:rsidR="00EE4FC3">
        <w:t xml:space="preserve"> </w:t>
      </w:r>
      <w:r w:rsidRPr="00382917">
        <w:t>lives</w:t>
      </w:r>
      <w:r w:rsidR="00EE4FC3">
        <w:t xml:space="preserve"> </w:t>
      </w:r>
      <w:r w:rsidRPr="00382917">
        <w:t>were</w:t>
      </w:r>
      <w:r w:rsidR="00EE4FC3">
        <w:t xml:space="preserve"> </w:t>
      </w:r>
      <w:r w:rsidRPr="00382917">
        <w:t>mine,</w:t>
      </w:r>
      <w:r w:rsidR="00EE4FC3">
        <w:t xml:space="preserve"> </w:t>
      </w:r>
      <w:r w:rsidRPr="00382917">
        <w:t>and</w:t>
      </w:r>
      <w:r w:rsidR="00EE4FC3">
        <w:t xml:space="preserve"> </w:t>
      </w:r>
      <w:r w:rsidRPr="00382917">
        <w:t>that</w:t>
      </w:r>
      <w:r w:rsidR="00EE4FC3">
        <w:t xml:space="preserve"> </w:t>
      </w:r>
      <w:r w:rsidRPr="00382917">
        <w:t>I</w:t>
      </w:r>
      <w:r w:rsidR="00EE4FC3">
        <w:t xml:space="preserve"> </w:t>
      </w:r>
      <w:r w:rsidRPr="00382917">
        <w:t>possessed</w:t>
      </w:r>
      <w:r w:rsidR="00EE4FC3">
        <w:t xml:space="preserve"> </w:t>
      </w:r>
      <w:r w:rsidRPr="00382917">
        <w:t>the</w:t>
      </w:r>
      <w:r w:rsidR="00EE4FC3">
        <w:t xml:space="preserve"> </w:t>
      </w:r>
      <w:r w:rsidRPr="00382917">
        <w:t>riches</w:t>
      </w:r>
      <w:r w:rsidR="00EE4FC3">
        <w:t xml:space="preserve"> </w:t>
      </w:r>
      <w:r w:rsidRPr="00382917">
        <w:t>of</w:t>
      </w:r>
      <w:r w:rsidR="00EE4FC3">
        <w:t xml:space="preserve"> </w:t>
      </w:r>
      <w:r w:rsidRPr="00382917">
        <w:t>the</w:t>
      </w:r>
      <w:r w:rsidR="00EE4FC3">
        <w:t xml:space="preserve"> </w:t>
      </w:r>
      <w:r w:rsidRPr="00382917">
        <w:t>whole</w:t>
      </w:r>
      <w:r w:rsidR="00EE4FC3">
        <w:t xml:space="preserve"> </w:t>
      </w:r>
      <w:r w:rsidRPr="00382917">
        <w:t>earth,</w:t>
      </w:r>
      <w:r w:rsidR="00EE4FC3">
        <w:t xml:space="preserve"> </w:t>
      </w:r>
      <w:r w:rsidRPr="00382917">
        <w:t>so</w:t>
      </w:r>
      <w:r w:rsidR="00EE4FC3">
        <w:t xml:space="preserve"> </w:t>
      </w:r>
      <w:r w:rsidRPr="00382917">
        <w:t>that</w:t>
      </w:r>
      <w:r w:rsidR="00EE4FC3">
        <w:t xml:space="preserve"> </w:t>
      </w:r>
      <w:r w:rsidRPr="00382917">
        <w:t>I</w:t>
      </w:r>
      <w:r w:rsidR="00EE4FC3">
        <w:t xml:space="preserve"> </w:t>
      </w:r>
      <w:r w:rsidRPr="00382917">
        <w:t>might</w:t>
      </w:r>
      <w:r w:rsidR="00EE4FC3">
        <w:t xml:space="preserve"> </w:t>
      </w:r>
      <w:r w:rsidRPr="00382917">
        <w:t>freely</w:t>
      </w:r>
      <w:r w:rsidR="00EE4FC3">
        <w:t xml:space="preserve"> </w:t>
      </w:r>
      <w:r w:rsidRPr="00382917">
        <w:t>and</w:t>
      </w:r>
      <w:r w:rsidR="00EE4FC3">
        <w:t xml:space="preserve"> </w:t>
      </w:r>
      <w:r w:rsidRPr="00382917">
        <w:t>joyously</w:t>
      </w:r>
      <w:r w:rsidR="00EE4FC3">
        <w:t xml:space="preserve"> </w:t>
      </w:r>
      <w:r w:rsidRPr="00382917">
        <w:t>resign</w:t>
      </w:r>
      <w:r w:rsidR="00EE4FC3">
        <w:t xml:space="preserve"> </w:t>
      </w:r>
      <w:r w:rsidRPr="00382917">
        <w:t>them</w:t>
      </w:r>
      <w:r w:rsidR="00EE4FC3">
        <w:t xml:space="preserve"> </w:t>
      </w:r>
      <w:r w:rsidRPr="00382917">
        <w:t>all</w:t>
      </w:r>
      <w:r w:rsidR="00EE4FC3">
        <w:t xml:space="preserve"> </w:t>
      </w:r>
      <w:r w:rsidRPr="00382917">
        <w:t>in</w:t>
      </w:r>
      <w:r w:rsidR="00EE4FC3">
        <w:t xml:space="preserve"> </w:t>
      </w:r>
      <w:r w:rsidRPr="00382917">
        <w:t>Thy</w:t>
      </w:r>
      <w:r w:rsidR="00EE4FC3">
        <w:t xml:space="preserve"> </w:t>
      </w:r>
      <w:r w:rsidRPr="00382917">
        <w:t>path!</w:t>
      </w:r>
      <w:r w:rsidR="009C713D" w:rsidRPr="00382917">
        <w:t>”</w:t>
      </w:r>
      <w:r w:rsidR="00664197">
        <w:rPr>
          <w:rStyle w:val="FootnoteReference"/>
        </w:rPr>
        <w:footnoteReference w:id="224"/>
      </w:r>
    </w:p>
    <w:p w:rsidR="001D2FA7" w:rsidRPr="00382917" w:rsidRDefault="001D2FA7" w:rsidP="00E6389D">
      <w:pPr>
        <w:pStyle w:val="Text"/>
      </w:pPr>
      <w:proofErr w:type="spellStart"/>
      <w:r w:rsidRPr="00382917">
        <w:t>Gobineau</w:t>
      </w:r>
      <w:proofErr w:type="spellEnd"/>
      <w:r w:rsidR="00EE4FC3">
        <w:t xml:space="preserve"> </w:t>
      </w:r>
      <w:r w:rsidRPr="00382917">
        <w:t>in</w:t>
      </w:r>
      <w:r w:rsidR="00EE4FC3">
        <w:t xml:space="preserve"> </w:t>
      </w:r>
      <w:r w:rsidRPr="00382917">
        <w:t>his</w:t>
      </w:r>
      <w:r w:rsidR="00EE4FC3">
        <w:t xml:space="preserve"> </w:t>
      </w:r>
      <w:r w:rsidRPr="00382917">
        <w:t>account</w:t>
      </w:r>
      <w:r w:rsidR="00EE4FC3">
        <w:t xml:space="preserve"> </w:t>
      </w:r>
      <w:r w:rsidRPr="00382917">
        <w:t>says,</w:t>
      </w:r>
      <w:r w:rsidR="00EE4FC3">
        <w:t xml:space="preserve"> </w:t>
      </w:r>
      <w:r w:rsidR="009C713D" w:rsidRPr="00382917">
        <w:t>“</w:t>
      </w:r>
      <w:r w:rsidRPr="00382917">
        <w:t>I</w:t>
      </w:r>
      <w:r w:rsidR="00EE4FC3">
        <w:t xml:space="preserve"> </w:t>
      </w:r>
      <w:r w:rsidRPr="00382917">
        <w:t>have</w:t>
      </w:r>
      <w:r w:rsidR="00EE4FC3">
        <w:t xml:space="preserve"> </w:t>
      </w:r>
      <w:r w:rsidRPr="00382917">
        <w:t>seen</w:t>
      </w:r>
      <w:r w:rsidR="00EE4FC3">
        <w:t xml:space="preserve"> </w:t>
      </w:r>
      <w:r w:rsidRPr="00382917">
        <w:t>at</w:t>
      </w:r>
      <w:r w:rsidR="00EE4FC3">
        <w:t xml:space="preserve"> </w:t>
      </w:r>
      <w:r w:rsidRPr="00382917">
        <w:t>Zanján</w:t>
      </w:r>
      <w:r w:rsidR="00EE4FC3">
        <w:t xml:space="preserve"> </w:t>
      </w:r>
      <w:r w:rsidRPr="00382917">
        <w:t>the</w:t>
      </w:r>
      <w:r w:rsidR="00EE4FC3">
        <w:t xml:space="preserve"> </w:t>
      </w:r>
      <w:r w:rsidRPr="00382917">
        <w:t>ruins</w:t>
      </w:r>
      <w:r w:rsidR="00EE4FC3">
        <w:t xml:space="preserve"> </w:t>
      </w:r>
      <w:r w:rsidRPr="00382917">
        <w:t>of</w:t>
      </w:r>
      <w:r w:rsidR="00EE4FC3">
        <w:t xml:space="preserve"> </w:t>
      </w:r>
      <w:r w:rsidRPr="00382917">
        <w:t>that</w:t>
      </w:r>
      <w:r w:rsidR="00EE4FC3">
        <w:t xml:space="preserve"> </w:t>
      </w:r>
      <w:r w:rsidRPr="00382917">
        <w:t>fierce</w:t>
      </w:r>
      <w:r w:rsidR="00EE4FC3">
        <w:t xml:space="preserve"> </w:t>
      </w:r>
      <w:r w:rsidRPr="00382917">
        <w:t>encounter;</w:t>
      </w:r>
      <w:r w:rsidR="00EE4FC3">
        <w:t xml:space="preserve"> </w:t>
      </w:r>
      <w:r w:rsidRPr="00382917">
        <w:t>whole</w:t>
      </w:r>
      <w:r w:rsidR="00EE4FC3">
        <w:t xml:space="preserve"> </w:t>
      </w:r>
      <w:r w:rsidRPr="00382917">
        <w:t>sections</w:t>
      </w:r>
      <w:r w:rsidR="00EE4FC3">
        <w:t xml:space="preserve"> </w:t>
      </w:r>
      <w:r w:rsidRPr="00382917">
        <w:t>of</w:t>
      </w:r>
      <w:r w:rsidR="00EE4FC3">
        <w:t xml:space="preserve"> </w:t>
      </w:r>
      <w:r w:rsidRPr="00382917">
        <w:t>the</w:t>
      </w:r>
      <w:r w:rsidR="00EE4FC3">
        <w:t xml:space="preserve"> </w:t>
      </w:r>
      <w:r w:rsidRPr="00382917">
        <w:t>city</w:t>
      </w:r>
      <w:r w:rsidR="00EE4FC3">
        <w:t xml:space="preserve"> </w:t>
      </w:r>
      <w:r w:rsidRPr="00382917">
        <w:t>have</w:t>
      </w:r>
      <w:r w:rsidR="00EE4FC3">
        <w:t xml:space="preserve"> </w:t>
      </w:r>
      <w:r w:rsidRPr="00382917">
        <w:t>not</w:t>
      </w:r>
      <w:r w:rsidR="00EE4FC3">
        <w:t xml:space="preserve"> </w:t>
      </w:r>
      <w:r w:rsidRPr="00382917">
        <w:t>yet</w:t>
      </w:r>
      <w:r w:rsidR="00EE4FC3">
        <w:t xml:space="preserve"> </w:t>
      </w:r>
      <w:r w:rsidRPr="00382917">
        <w:t>been</w:t>
      </w:r>
      <w:r w:rsidR="00EE4FC3">
        <w:t xml:space="preserve"> </w:t>
      </w:r>
      <w:r w:rsidRPr="00382917">
        <w:t>rebuilt</w:t>
      </w:r>
      <w:r w:rsidR="00EE4FC3">
        <w:t xml:space="preserve"> </w:t>
      </w:r>
      <w:r w:rsidRPr="00382917">
        <w:t>and</w:t>
      </w:r>
      <w:r w:rsidR="00EE4FC3">
        <w:t xml:space="preserve"> </w:t>
      </w:r>
      <w:r w:rsidRPr="00382917">
        <w:t>probably</w:t>
      </w:r>
      <w:r w:rsidR="00EE4FC3">
        <w:t xml:space="preserve"> </w:t>
      </w:r>
      <w:r w:rsidRPr="00382917">
        <w:t>never</w:t>
      </w:r>
      <w:r w:rsidR="00EE4FC3">
        <w:t xml:space="preserve"> </w:t>
      </w:r>
      <w:r w:rsidRPr="00382917">
        <w:t>will</w:t>
      </w:r>
      <w:r w:rsidR="00EE4FC3">
        <w:t xml:space="preserve"> </w:t>
      </w:r>
      <w:r w:rsidRPr="00382917">
        <w:t>be.</w:t>
      </w:r>
      <w:r w:rsidR="009C713D" w:rsidRPr="00382917">
        <w:t>”</w:t>
      </w:r>
      <w:r w:rsidR="00E6389D">
        <w:rPr>
          <w:rStyle w:val="FootnoteReference"/>
        </w:rPr>
        <w:footnoteReference w:id="225"/>
      </w:r>
    </w:p>
    <w:p w:rsidR="001D2FA7" w:rsidRPr="00382917" w:rsidRDefault="001D2FA7" w:rsidP="00E6389D">
      <w:pPr>
        <w:pStyle w:val="Text"/>
      </w:pPr>
      <w:r w:rsidRPr="00382917">
        <w:t>Nicolas</w:t>
      </w:r>
      <w:r w:rsidR="00EE4FC3">
        <w:t xml:space="preserve"> </w:t>
      </w:r>
      <w:r w:rsidRPr="00382917">
        <w:t>testifies</w:t>
      </w:r>
      <w:r w:rsidR="00EE4FC3">
        <w:t xml:space="preserve"> </w:t>
      </w:r>
      <w:r w:rsidRPr="00382917">
        <w:t>that</w:t>
      </w:r>
      <w:r w:rsidR="00EE4FC3">
        <w:t xml:space="preserve"> </w:t>
      </w:r>
      <w:r w:rsidRPr="00382917">
        <w:t>the</w:t>
      </w:r>
      <w:r w:rsidR="00EE4FC3">
        <w:t xml:space="preserve"> </w:t>
      </w:r>
      <w:r w:rsidRPr="00382917">
        <w:t>entire</w:t>
      </w:r>
      <w:r w:rsidR="00EE4FC3">
        <w:t xml:space="preserve"> </w:t>
      </w:r>
      <w:r w:rsidRPr="00382917">
        <w:t>affair</w:t>
      </w:r>
      <w:r w:rsidR="00EE4FC3">
        <w:t xml:space="preserve"> </w:t>
      </w:r>
      <w:r w:rsidRPr="00382917">
        <w:t>was</w:t>
      </w:r>
      <w:r w:rsidR="00EE4FC3">
        <w:t xml:space="preserve"> </w:t>
      </w:r>
      <w:r w:rsidRPr="00382917">
        <w:t>settled</w:t>
      </w:r>
      <w:r w:rsidR="00EE4FC3">
        <w:t xml:space="preserve"> </w:t>
      </w:r>
      <w:r w:rsidRPr="00382917">
        <w:t>by</w:t>
      </w:r>
      <w:r w:rsidR="00EE4FC3">
        <w:t xml:space="preserve"> </w:t>
      </w:r>
      <w:r w:rsidRPr="00382917">
        <w:t>the</w:t>
      </w:r>
      <w:r w:rsidR="00EE4FC3">
        <w:t xml:space="preserve"> </w:t>
      </w:r>
      <w:r w:rsidRPr="00382917">
        <w:t>same</w:t>
      </w:r>
      <w:r w:rsidR="00EE4FC3">
        <w:t xml:space="preserve"> </w:t>
      </w:r>
      <w:r w:rsidRPr="00382917">
        <w:t>treachery</w:t>
      </w:r>
      <w:r w:rsidR="00EE4FC3">
        <w:t xml:space="preserve"> </w:t>
      </w:r>
      <w:r w:rsidRPr="00382917">
        <w:t>resorted</w:t>
      </w:r>
      <w:r w:rsidR="00EE4FC3">
        <w:t xml:space="preserve"> </w:t>
      </w:r>
      <w:r w:rsidRPr="00382917">
        <w:t>to</w:t>
      </w:r>
      <w:r w:rsidR="00EE4FC3">
        <w:t xml:space="preserve"> </w:t>
      </w:r>
      <w:r w:rsidRPr="00382917">
        <w:t>at</w:t>
      </w:r>
      <w:r w:rsidR="00EE4FC3">
        <w:t xml:space="preserve"> </w:t>
      </w:r>
      <w:r w:rsidRPr="00382917">
        <w:t>Ṭabarsí</w:t>
      </w:r>
      <w:r w:rsidR="00EE4FC3">
        <w:t xml:space="preserve"> </w:t>
      </w:r>
      <w:r w:rsidRPr="00382917">
        <w:t>and</w:t>
      </w:r>
      <w:r w:rsidR="00EE4FC3">
        <w:t xml:space="preserve"> </w:t>
      </w:r>
      <w:r w:rsidRPr="00382917">
        <w:t>Nayríz</w:t>
      </w:r>
      <w:r w:rsidR="00330AF7">
        <w:t>.</w:t>
      </w:r>
      <w:r w:rsidR="00EE4FC3">
        <w:t xml:space="preserve">  </w:t>
      </w:r>
      <w:r w:rsidRPr="00382917">
        <w:t>He</w:t>
      </w:r>
      <w:r w:rsidR="00EE4FC3">
        <w:t xml:space="preserve"> </w:t>
      </w:r>
      <w:r w:rsidRPr="00382917">
        <w:t>portrays</w:t>
      </w:r>
      <w:r w:rsidR="00EE4FC3">
        <w:t xml:space="preserve"> </w:t>
      </w:r>
      <w:r w:rsidRPr="00382917">
        <w:t>the</w:t>
      </w:r>
      <w:r w:rsidR="00EE4FC3">
        <w:t xml:space="preserve"> </w:t>
      </w:r>
      <w:r w:rsidRPr="00382917">
        <w:t>attitude</w:t>
      </w:r>
      <w:r w:rsidR="00EE4FC3">
        <w:t xml:space="preserve"> </w:t>
      </w:r>
      <w:r w:rsidRPr="00382917">
        <w:t>of</w:t>
      </w:r>
      <w:r w:rsidR="00EE4FC3">
        <w:t xml:space="preserve"> </w:t>
      </w:r>
      <w:r w:rsidRPr="00382917">
        <w:t>the</w:t>
      </w:r>
      <w:r w:rsidR="00EE4FC3">
        <w:t xml:space="preserve"> </w:t>
      </w:r>
      <w:r w:rsidRPr="00382917">
        <w:t>enemies</w:t>
      </w:r>
      <w:r w:rsidR="00EE4FC3">
        <w:t xml:space="preserve"> </w:t>
      </w:r>
      <w:r w:rsidRPr="00382917">
        <w:t>of</w:t>
      </w:r>
      <w:r w:rsidR="00EE4FC3">
        <w:t xml:space="preserve"> </w:t>
      </w:r>
      <w:r w:rsidRPr="00382917">
        <w:t>Ḥujjat</w:t>
      </w:r>
      <w:r w:rsidR="00EE4FC3">
        <w:t xml:space="preserve"> </w:t>
      </w:r>
      <w:r w:rsidRPr="00382917">
        <w:t>as</w:t>
      </w:r>
      <w:r w:rsidR="00EE4FC3">
        <w:t xml:space="preserve"> </w:t>
      </w:r>
      <w:r w:rsidRPr="00382917">
        <w:t>follows</w:t>
      </w:r>
      <w:r w:rsidR="00C03C91">
        <w:t>:</w:t>
      </w:r>
      <w:r w:rsidR="00EE4FC3">
        <w:t xml:space="preserve">  </w:t>
      </w:r>
      <w:r w:rsidR="009C713D" w:rsidRPr="00382917">
        <w:t>“</w:t>
      </w:r>
      <w:r w:rsidRPr="00382917">
        <w:t>Why</w:t>
      </w:r>
      <w:r w:rsidR="00EE4FC3">
        <w:t xml:space="preserve"> </w:t>
      </w:r>
      <w:r w:rsidRPr="00382917">
        <w:t>not</w:t>
      </w:r>
      <w:r w:rsidR="00EE4FC3">
        <w:t xml:space="preserve"> </w:t>
      </w:r>
      <w:r w:rsidRPr="00382917">
        <w:t>resort</w:t>
      </w:r>
      <w:r w:rsidR="00EE4FC3">
        <w:t xml:space="preserve"> </w:t>
      </w:r>
      <w:r w:rsidRPr="00382917">
        <w:t>to</w:t>
      </w:r>
      <w:r w:rsidR="00EE4FC3">
        <w:t xml:space="preserve"> </w:t>
      </w:r>
      <w:r w:rsidRPr="00382917">
        <w:t>deceit?</w:t>
      </w:r>
      <w:r w:rsidR="00E6389D">
        <w:t xml:space="preserve"> </w:t>
      </w:r>
      <w:r w:rsidR="00EE4FC3">
        <w:t xml:space="preserve"> </w:t>
      </w:r>
      <w:r w:rsidRPr="00382917">
        <w:t>Why</w:t>
      </w:r>
      <w:r w:rsidR="00EE4FC3">
        <w:t xml:space="preserve"> </w:t>
      </w:r>
      <w:r w:rsidRPr="00382917">
        <w:t>not</w:t>
      </w:r>
      <w:r w:rsidR="00EE4FC3">
        <w:t xml:space="preserve"> </w:t>
      </w:r>
      <w:r w:rsidRPr="00382917">
        <w:t>make</w:t>
      </w:r>
      <w:r w:rsidR="00EE4FC3">
        <w:t xml:space="preserve"> </w:t>
      </w:r>
      <w:r w:rsidRPr="00382917">
        <w:t>the</w:t>
      </w:r>
      <w:r w:rsidR="00EE4FC3">
        <w:t xml:space="preserve"> </w:t>
      </w:r>
      <w:r w:rsidRPr="00382917">
        <w:t>most</w:t>
      </w:r>
      <w:r w:rsidR="00EE4FC3">
        <w:t xml:space="preserve"> </w:t>
      </w:r>
      <w:r w:rsidRPr="00382917">
        <w:t>sacred</w:t>
      </w:r>
      <w:r w:rsidR="00EE4FC3">
        <w:t xml:space="preserve"> </w:t>
      </w:r>
      <w:r w:rsidRPr="00382917">
        <w:t>promises,</w:t>
      </w:r>
      <w:r w:rsidR="00EE4FC3">
        <w:t xml:space="preserve"> </w:t>
      </w:r>
      <w:r w:rsidRPr="00382917">
        <w:t>even</w:t>
      </w:r>
      <w:r w:rsidR="00EE4FC3">
        <w:t xml:space="preserve"> </w:t>
      </w:r>
      <w:r w:rsidRPr="00382917">
        <w:t>though</w:t>
      </w:r>
      <w:r w:rsidR="00EE4FC3">
        <w:t xml:space="preserve"> </w:t>
      </w:r>
      <w:r w:rsidRPr="00382917">
        <w:t>it</w:t>
      </w:r>
      <w:r w:rsidR="00EE4FC3">
        <w:t xml:space="preserve"> </w:t>
      </w:r>
      <w:r w:rsidRPr="00382917">
        <w:t>might</w:t>
      </w:r>
      <w:r w:rsidR="00EE4FC3">
        <w:t xml:space="preserve"> </w:t>
      </w:r>
      <w:r w:rsidRPr="00382917">
        <w:t>later</w:t>
      </w:r>
      <w:r w:rsidR="00EE4FC3">
        <w:t xml:space="preserve"> </w:t>
      </w:r>
      <w:r w:rsidRPr="00382917">
        <w:t>become</w:t>
      </w:r>
      <w:r w:rsidR="00EE4FC3">
        <w:t xml:space="preserve"> </w:t>
      </w:r>
      <w:r w:rsidRPr="00382917">
        <w:t>necessary</w:t>
      </w:r>
      <w:r w:rsidR="00EE4FC3">
        <w:t xml:space="preserve"> </w:t>
      </w:r>
      <w:r w:rsidRPr="00382917">
        <w:t>to</w:t>
      </w:r>
      <w:r w:rsidR="00EE4FC3">
        <w:t xml:space="preserve"> </w:t>
      </w:r>
      <w:r w:rsidRPr="00382917">
        <w:t>massacre</w:t>
      </w:r>
      <w:r w:rsidR="00EE4FC3">
        <w:t xml:space="preserve"> </w:t>
      </w:r>
      <w:r w:rsidRPr="00382917">
        <w:t>those</w:t>
      </w:r>
      <w:r w:rsidR="00EE4FC3">
        <w:t xml:space="preserve"> </w:t>
      </w:r>
      <w:proofErr w:type="spellStart"/>
      <w:r w:rsidRPr="00382917">
        <w:t>gullibles</w:t>
      </w:r>
      <w:proofErr w:type="spellEnd"/>
      <w:r w:rsidR="00EE4FC3">
        <w:t xml:space="preserve"> </w:t>
      </w:r>
      <w:r w:rsidRPr="00382917">
        <w:t>who</w:t>
      </w:r>
      <w:r w:rsidR="00EE4FC3">
        <w:t xml:space="preserve"> </w:t>
      </w:r>
      <w:r w:rsidRPr="00382917">
        <w:t>had</w:t>
      </w:r>
      <w:r w:rsidR="00EE4FC3">
        <w:t xml:space="preserve"> </w:t>
      </w:r>
      <w:r w:rsidRPr="00382917">
        <w:t>put</w:t>
      </w:r>
      <w:r w:rsidR="00EE4FC3">
        <w:t xml:space="preserve"> </w:t>
      </w:r>
      <w:r w:rsidRPr="00382917">
        <w:t>their</w:t>
      </w:r>
      <w:r w:rsidR="00EE4FC3">
        <w:t xml:space="preserve"> </w:t>
      </w:r>
      <w:r w:rsidRPr="00382917">
        <w:t>trust</w:t>
      </w:r>
      <w:r w:rsidR="00EE4FC3">
        <w:t xml:space="preserve"> </w:t>
      </w:r>
      <w:r w:rsidRPr="00382917">
        <w:t>in</w:t>
      </w:r>
      <w:r w:rsidR="00EE4FC3">
        <w:t xml:space="preserve"> </w:t>
      </w:r>
      <w:r w:rsidRPr="00382917">
        <w:t>them?</w:t>
      </w:r>
      <w:r w:rsidR="009C713D" w:rsidRPr="00382917">
        <w:t>”</w:t>
      </w:r>
      <w:r w:rsidR="00E6389D">
        <w:rPr>
          <w:rStyle w:val="FootnoteReference"/>
        </w:rPr>
        <w:footnoteReference w:id="226"/>
      </w:r>
    </w:p>
    <w:p w:rsidR="00E13D49" w:rsidRPr="00382917" w:rsidRDefault="001D2FA7" w:rsidP="00611AA4">
      <w:pPr>
        <w:pStyle w:val="Text"/>
      </w:pPr>
      <w:r w:rsidRPr="00382917">
        <w:t>No</w:t>
      </w:r>
      <w:r w:rsidR="00EE4FC3">
        <w:t xml:space="preserve"> </w:t>
      </w:r>
      <w:r w:rsidRPr="00382917">
        <w:t>wonder</w:t>
      </w:r>
      <w:r w:rsidR="00EE4FC3">
        <w:t xml:space="preserve"> </w:t>
      </w:r>
      <w:r w:rsidRPr="00382917">
        <w:t>that</w:t>
      </w:r>
      <w:r w:rsidR="00EE4FC3">
        <w:t xml:space="preserve"> </w:t>
      </w:r>
      <w:r w:rsidRPr="00382917">
        <w:t>the</w:t>
      </w:r>
      <w:r w:rsidR="00EE4FC3">
        <w:t xml:space="preserve"> </w:t>
      </w:r>
      <w:r w:rsidRPr="00382917">
        <w:t>Báb</w:t>
      </w:r>
      <w:r w:rsidR="00EE4FC3">
        <w:t xml:space="preserve"> </w:t>
      </w:r>
      <w:r w:rsidRPr="00382917">
        <w:t>was</w:t>
      </w:r>
      <w:r w:rsidR="00EE4FC3">
        <w:t xml:space="preserve"> </w:t>
      </w:r>
      <w:r w:rsidRPr="00382917">
        <w:t>to</w:t>
      </w:r>
      <w:r w:rsidR="00EE4FC3">
        <w:t xml:space="preserve"> </w:t>
      </w:r>
      <w:r w:rsidRPr="00382917">
        <w:t>give</w:t>
      </w:r>
      <w:r w:rsidR="00EE4FC3">
        <w:t xml:space="preserve"> </w:t>
      </w:r>
      <w:r w:rsidRPr="00382917">
        <w:t>Zanján</w:t>
      </w:r>
      <w:r w:rsidR="00EE4FC3">
        <w:t xml:space="preserve"> </w:t>
      </w:r>
      <w:r w:rsidRPr="00382917">
        <w:t>the</w:t>
      </w:r>
      <w:r w:rsidR="00EE4FC3">
        <w:t xml:space="preserve"> </w:t>
      </w:r>
      <w:r w:rsidRPr="00382917">
        <w:t>title</w:t>
      </w:r>
      <w:r w:rsidR="00C03C91">
        <w:t>:</w:t>
      </w:r>
      <w:r w:rsidR="00EE4FC3">
        <w:t xml:space="preserve">  </w:t>
      </w:r>
      <w:r w:rsidR="009C713D" w:rsidRPr="00382917">
        <w:t>“</w:t>
      </w:r>
      <w:r w:rsidRPr="00382917">
        <w:t>That</w:t>
      </w:r>
      <w:r w:rsidR="00EE4FC3">
        <w:t xml:space="preserve"> </w:t>
      </w:r>
      <w:r w:rsidRPr="00382917">
        <w:t>exalted</w:t>
      </w:r>
      <w:r w:rsidR="00EE4FC3">
        <w:t xml:space="preserve"> </w:t>
      </w:r>
      <w:r w:rsidRPr="00382917">
        <w:t>spot.</w:t>
      </w:r>
      <w:r w:rsidR="009C713D" w:rsidRPr="00382917">
        <w:t>”</w:t>
      </w:r>
      <w:r w:rsidR="00611AA4">
        <w:rPr>
          <w:rStyle w:val="FootnoteReference"/>
        </w:rPr>
        <w:footnoteReference w:id="227"/>
      </w:r>
    </w:p>
    <w:p w:rsidR="001D2FA7" w:rsidRPr="00382917" w:rsidRDefault="001D2FA7" w:rsidP="007B319A">
      <w:pPr>
        <w:pStyle w:val="Text"/>
      </w:pPr>
      <w:r w:rsidRPr="00382917">
        <w:t>When,</w:t>
      </w:r>
      <w:r w:rsidR="00EE4FC3">
        <w:t xml:space="preserve"> </w:t>
      </w:r>
      <w:r w:rsidRPr="00382917">
        <w:t>at</w:t>
      </w:r>
      <w:r w:rsidR="00EE4FC3">
        <w:t xml:space="preserve"> </w:t>
      </w:r>
      <w:r w:rsidR="001713B3" w:rsidRPr="001713B3">
        <w:rPr>
          <w:u w:val="single"/>
        </w:rPr>
        <w:t>Ch</w:t>
      </w:r>
      <w:r w:rsidR="001713B3" w:rsidRPr="00382917">
        <w:t>ihríq</w:t>
      </w:r>
      <w:r w:rsidR="00EE4FC3">
        <w:t xml:space="preserve"> </w:t>
      </w:r>
      <w:r w:rsidRPr="00382917">
        <w:t>in</w:t>
      </w:r>
      <w:r w:rsidR="00EE4FC3">
        <w:t xml:space="preserve"> </w:t>
      </w:r>
      <w:r w:rsidRPr="00382917">
        <w:t>the</w:t>
      </w:r>
      <w:r w:rsidR="00EE4FC3">
        <w:t xml:space="preserve"> </w:t>
      </w:r>
      <w:r w:rsidRPr="00382917">
        <w:t>summer</w:t>
      </w:r>
      <w:r w:rsidR="00EE4FC3">
        <w:t xml:space="preserve"> </w:t>
      </w:r>
      <w:r w:rsidRPr="00382917">
        <w:t>of</w:t>
      </w:r>
      <w:r w:rsidR="00EE4FC3">
        <w:t xml:space="preserve"> </w:t>
      </w:r>
      <w:r w:rsidRPr="00382917">
        <w:t>1848,</w:t>
      </w:r>
      <w:r w:rsidR="00EE4FC3">
        <w:t xml:space="preserve"> </w:t>
      </w:r>
      <w:r w:rsidRPr="00382917">
        <w:t>the</w:t>
      </w:r>
      <w:r w:rsidR="00EE4FC3">
        <w:t xml:space="preserve"> </w:t>
      </w:r>
      <w:r w:rsidRPr="00382917">
        <w:t>Báb</w:t>
      </w:r>
      <w:r w:rsidR="00EE4FC3">
        <w:t xml:space="preserve"> </w:t>
      </w:r>
      <w:r w:rsidRPr="00382917">
        <w:t>finished</w:t>
      </w:r>
      <w:r w:rsidR="00EE4FC3">
        <w:t xml:space="preserve"> </w:t>
      </w:r>
      <w:r w:rsidRPr="00382917">
        <w:t>His</w:t>
      </w:r>
      <w:r w:rsidR="00EE4FC3">
        <w:t xml:space="preserve"> </w:t>
      </w:r>
      <w:r w:rsidRPr="00382917">
        <w:t>letter</w:t>
      </w:r>
      <w:r w:rsidR="00EE4FC3">
        <w:t xml:space="preserve"> </w:t>
      </w:r>
      <w:r w:rsidR="009C713D" w:rsidRPr="00382917">
        <w:t>“</w:t>
      </w:r>
      <w:r w:rsidRPr="00382917">
        <w:t>The</w:t>
      </w:r>
      <w:r w:rsidR="00EE4FC3">
        <w:t xml:space="preserve"> </w:t>
      </w:r>
      <w:r w:rsidRPr="00382917">
        <w:t>Sermon</w:t>
      </w:r>
      <w:r w:rsidR="00EE4FC3">
        <w:t xml:space="preserve"> </w:t>
      </w:r>
      <w:r w:rsidRPr="00382917">
        <w:t>of</w:t>
      </w:r>
      <w:r w:rsidR="00EE4FC3">
        <w:t xml:space="preserve"> </w:t>
      </w:r>
      <w:r w:rsidRPr="00382917">
        <w:t>Wrath,</w:t>
      </w:r>
      <w:r w:rsidR="009C713D" w:rsidRPr="00382917">
        <w:t>”</w:t>
      </w:r>
      <w:r w:rsidR="00EE4FC3">
        <w:t xml:space="preserve"> </w:t>
      </w:r>
      <w:r w:rsidRPr="00382917">
        <w:t>in</w:t>
      </w:r>
      <w:r w:rsidR="00EE4FC3">
        <w:t xml:space="preserve"> </w:t>
      </w:r>
      <w:r w:rsidRPr="00382917">
        <w:t>which</w:t>
      </w:r>
      <w:r w:rsidR="00EE4FC3">
        <w:t xml:space="preserve"> </w:t>
      </w:r>
      <w:r w:rsidRPr="00382917">
        <w:t>He</w:t>
      </w:r>
      <w:r w:rsidR="00EE4FC3">
        <w:t xml:space="preserve"> </w:t>
      </w:r>
      <w:r w:rsidRPr="00382917">
        <w:t>foretold</w:t>
      </w:r>
      <w:r w:rsidR="00EE4FC3">
        <w:t xml:space="preserve"> </w:t>
      </w:r>
      <w:r w:rsidRPr="00382917">
        <w:t>the</w:t>
      </w:r>
      <w:r w:rsidR="00EE4FC3">
        <w:t xml:space="preserve"> </w:t>
      </w:r>
      <w:r w:rsidRPr="00382917">
        <w:t>downfall</w:t>
      </w:r>
      <w:r w:rsidR="00EE4FC3">
        <w:t xml:space="preserve"> </w:t>
      </w:r>
      <w:r w:rsidRPr="00382917">
        <w:t>of</w:t>
      </w:r>
      <w:r w:rsidR="00EE4FC3">
        <w:t xml:space="preserve"> </w:t>
      </w:r>
      <w:r w:rsidRPr="00382917">
        <w:t>the</w:t>
      </w:r>
      <w:r w:rsidR="00EE4FC3">
        <w:t xml:space="preserve"> </w:t>
      </w:r>
      <w:r w:rsidRPr="00382917">
        <w:t>Prime</w:t>
      </w:r>
      <w:r w:rsidR="00EE4FC3">
        <w:t xml:space="preserve"> </w:t>
      </w:r>
      <w:r w:rsidRPr="00382917">
        <w:t>Minister,</w:t>
      </w:r>
      <w:r w:rsidR="00EE4FC3">
        <w:t xml:space="preserve"> </w:t>
      </w:r>
      <w:r w:rsidRPr="00382917">
        <w:t>Ḥájí</w:t>
      </w:r>
      <w:r w:rsidR="00EE4FC3">
        <w:t xml:space="preserve"> </w:t>
      </w:r>
      <w:r w:rsidRPr="00382917">
        <w:t>Mírzá</w:t>
      </w:r>
      <w:r w:rsidR="00EE4FC3">
        <w:t xml:space="preserve"> </w:t>
      </w:r>
      <w:r w:rsidRPr="00382917">
        <w:t>Áqásí,</w:t>
      </w:r>
      <w:r w:rsidR="00EE4FC3">
        <w:t xml:space="preserve"> </w:t>
      </w:r>
      <w:r w:rsidRPr="00382917">
        <w:t>it</w:t>
      </w:r>
      <w:r w:rsidR="00EE4FC3">
        <w:t xml:space="preserve"> </w:t>
      </w:r>
      <w:r w:rsidRPr="00382917">
        <w:t>was</w:t>
      </w:r>
      <w:r w:rsidR="00EE4FC3">
        <w:t xml:space="preserve"> </w:t>
      </w:r>
      <w:r w:rsidRPr="00382917">
        <w:t>given</w:t>
      </w:r>
      <w:r w:rsidR="00EE4FC3">
        <w:t xml:space="preserve"> </w:t>
      </w:r>
      <w:r w:rsidRPr="00382917">
        <w:t>to</w:t>
      </w:r>
      <w:r w:rsidR="00EE4FC3">
        <w:t xml:space="preserve"> </w:t>
      </w:r>
      <w:r w:rsidRPr="00382917">
        <w:t>Ḥujjat</w:t>
      </w:r>
      <w:r w:rsidR="00EE4FC3">
        <w:t xml:space="preserve"> </w:t>
      </w:r>
      <w:r w:rsidRPr="00382917">
        <w:t>to</w:t>
      </w:r>
      <w:r w:rsidR="00EE4FC3">
        <w:t xml:space="preserve"> </w:t>
      </w:r>
      <w:r w:rsidRPr="00382917">
        <w:t>deliver</w:t>
      </w:r>
      <w:r w:rsidR="00330AF7">
        <w:t>.</w:t>
      </w:r>
      <w:r w:rsidR="00EE4FC3">
        <w:t xml:space="preserve">  </w:t>
      </w:r>
      <w:r w:rsidRPr="00382917">
        <w:t>He</w:t>
      </w:r>
      <w:r w:rsidR="00EE4FC3">
        <w:t xml:space="preserve"> </w:t>
      </w:r>
      <w:r w:rsidRPr="00382917">
        <w:t>instructed</w:t>
      </w:r>
      <w:r w:rsidR="00EE4FC3">
        <w:t xml:space="preserve"> </w:t>
      </w:r>
      <w:r w:rsidRPr="00382917">
        <w:t>Ḥujjat</w:t>
      </w:r>
      <w:r w:rsidR="00EE4FC3">
        <w:t xml:space="preserve"> </w:t>
      </w:r>
      <w:r w:rsidRPr="00382917">
        <w:t>to</w:t>
      </w:r>
      <w:r w:rsidR="00EE4FC3">
        <w:t xml:space="preserve"> </w:t>
      </w:r>
      <w:r w:rsidRPr="00382917">
        <w:t>place</w:t>
      </w:r>
      <w:r w:rsidR="00EE4FC3">
        <w:t xml:space="preserve"> </w:t>
      </w:r>
      <w:r w:rsidRPr="00382917">
        <w:t>it</w:t>
      </w:r>
      <w:r w:rsidR="00EE4FC3">
        <w:t xml:space="preserve"> </w:t>
      </w:r>
      <w:r w:rsidRPr="00382917">
        <w:t>personally</w:t>
      </w:r>
      <w:r w:rsidR="00EE4FC3">
        <w:t xml:space="preserve"> </w:t>
      </w:r>
      <w:r w:rsidRPr="00382917">
        <w:t>in</w:t>
      </w:r>
      <w:r w:rsidR="00EE4FC3">
        <w:t xml:space="preserve"> </w:t>
      </w:r>
      <w:r w:rsidRPr="00382917">
        <w:t>the</w:t>
      </w:r>
      <w:r w:rsidR="00EE4FC3">
        <w:t xml:space="preserve"> </w:t>
      </w:r>
      <w:r w:rsidRPr="00382917">
        <w:t>hands</w:t>
      </w:r>
      <w:r w:rsidR="00EE4FC3">
        <w:t xml:space="preserve"> </w:t>
      </w:r>
      <w:r w:rsidRPr="00382917">
        <w:t>of</w:t>
      </w:r>
      <w:r w:rsidR="00EE4FC3">
        <w:t xml:space="preserve"> </w:t>
      </w:r>
      <w:r w:rsidRPr="00382917">
        <w:t>that</w:t>
      </w:r>
      <w:r w:rsidR="00EE4FC3">
        <w:t xml:space="preserve"> </w:t>
      </w:r>
      <w:r w:rsidRPr="00382917">
        <w:t>official.</w:t>
      </w:r>
    </w:p>
    <w:p w:rsidR="00E13D49" w:rsidRPr="00382917" w:rsidRDefault="001D2FA7" w:rsidP="00611AA4">
      <w:pPr>
        <w:pStyle w:val="Text"/>
      </w:pPr>
      <w:proofErr w:type="gramStart"/>
      <w:r w:rsidRPr="00382917">
        <w:t>Immediately</w:t>
      </w:r>
      <w:r w:rsidR="00EE4FC3">
        <w:t xml:space="preserve"> </w:t>
      </w:r>
      <w:r w:rsidRPr="00382917">
        <w:t>after</w:t>
      </w:r>
      <w:r w:rsidR="00EE4FC3">
        <w:t xml:space="preserve"> </w:t>
      </w:r>
      <w:r w:rsidRPr="00382917">
        <w:t>delivering</w:t>
      </w:r>
      <w:r w:rsidR="00EE4FC3">
        <w:t xml:space="preserve"> </w:t>
      </w:r>
      <w:r w:rsidRPr="00382917">
        <w:t>that</w:t>
      </w:r>
      <w:r w:rsidR="00EE4FC3">
        <w:t xml:space="preserve"> </w:t>
      </w:r>
      <w:r w:rsidRPr="00382917">
        <w:t>letter</w:t>
      </w:r>
      <w:r w:rsidR="00EE4FC3">
        <w:t xml:space="preserve"> </w:t>
      </w:r>
      <w:r w:rsidRPr="00382917">
        <w:t>to</w:t>
      </w:r>
      <w:r w:rsidR="00EE4FC3">
        <w:t xml:space="preserve"> </w:t>
      </w:r>
      <w:r w:rsidRPr="00382917">
        <w:t>Ḥájí</w:t>
      </w:r>
      <w:r w:rsidR="00330AF7">
        <w:t>.</w:t>
      </w:r>
      <w:proofErr w:type="gramEnd"/>
      <w:r w:rsidR="00EE4FC3">
        <w:t xml:space="preserve">  </w:t>
      </w:r>
      <w:r w:rsidR="007B319A" w:rsidRPr="00382917">
        <w:t>Mírzá</w:t>
      </w:r>
      <w:r w:rsidR="00EE4FC3">
        <w:t xml:space="preserve"> </w:t>
      </w:r>
      <w:r w:rsidRPr="00382917">
        <w:t>Áqásí,</w:t>
      </w:r>
      <w:r w:rsidR="00EE4FC3">
        <w:t xml:space="preserve"> </w:t>
      </w:r>
      <w:r w:rsidRPr="00382917">
        <w:t>Ḥujjat</w:t>
      </w:r>
      <w:r w:rsidR="00EE4FC3">
        <w:t xml:space="preserve"> </w:t>
      </w:r>
      <w:r w:rsidRPr="00382917">
        <w:t>went</w:t>
      </w:r>
      <w:r w:rsidR="00EE4FC3">
        <w:t xml:space="preserve"> </w:t>
      </w:r>
      <w:r w:rsidRPr="00382917">
        <w:t>to</w:t>
      </w:r>
      <w:r w:rsidR="00EE4FC3">
        <w:t xml:space="preserve"> </w:t>
      </w:r>
      <w:r w:rsidRPr="00382917">
        <w:t>the</w:t>
      </w:r>
      <w:r w:rsidR="00EE4FC3">
        <w:t xml:space="preserve"> </w:t>
      </w:r>
      <w:r w:rsidRPr="00382917">
        <w:t>home</w:t>
      </w:r>
      <w:r w:rsidR="00EE4FC3">
        <w:t xml:space="preserve"> </w:t>
      </w:r>
      <w:r w:rsidRPr="00382917">
        <w:t>of</w:t>
      </w:r>
      <w:r w:rsidR="00EE4FC3">
        <w:t xml:space="preserve"> </w:t>
      </w:r>
      <w:r w:rsidRPr="00382917">
        <w:t>Bahá</w:t>
      </w:r>
      <w:r w:rsidR="009C713D" w:rsidRPr="00382917">
        <w:t>’</w:t>
      </w:r>
      <w:r w:rsidRPr="00382917">
        <w:t>u</w:t>
      </w:r>
      <w:r w:rsidR="009C713D" w:rsidRPr="00382917">
        <w:t>’</w:t>
      </w:r>
      <w:r w:rsidRPr="00382917">
        <w:t>lláh</w:t>
      </w:r>
      <w:r w:rsidR="00330AF7">
        <w:t>.</w:t>
      </w:r>
      <w:r w:rsidR="00EE4FC3">
        <w:t xml:space="preserve">  </w:t>
      </w:r>
      <w:r w:rsidRPr="00382917">
        <w:t>He</w:t>
      </w:r>
      <w:r w:rsidR="00EE4FC3">
        <w:t xml:space="preserve"> </w:t>
      </w:r>
      <w:r w:rsidRPr="00382917">
        <w:t>revealed</w:t>
      </w:r>
      <w:r w:rsidR="00EE4FC3">
        <w:t xml:space="preserve"> </w:t>
      </w:r>
      <w:r w:rsidRPr="00382917">
        <w:t>the</w:t>
      </w:r>
      <w:r w:rsidR="00EE4FC3">
        <w:t xml:space="preserve"> </w:t>
      </w:r>
      <w:r w:rsidRPr="00382917">
        <w:t>contents</w:t>
      </w:r>
      <w:r w:rsidR="00EE4FC3">
        <w:t xml:space="preserve"> </w:t>
      </w:r>
      <w:r w:rsidRPr="00382917">
        <w:t>of</w:t>
      </w:r>
      <w:r w:rsidR="00EE4FC3">
        <w:t xml:space="preserve"> </w:t>
      </w:r>
      <w:r w:rsidRPr="00382917">
        <w:t>that</w:t>
      </w:r>
      <w:r w:rsidR="00EE4FC3">
        <w:t xml:space="preserve"> </w:t>
      </w:r>
      <w:r w:rsidR="009C713D" w:rsidRPr="00382917">
        <w:t>“</w:t>
      </w:r>
      <w:r w:rsidRPr="00382917">
        <w:t>Sermon</w:t>
      </w:r>
      <w:r w:rsidR="00EE4FC3">
        <w:t xml:space="preserve"> </w:t>
      </w:r>
      <w:r w:rsidRPr="00382917">
        <w:t>of</w:t>
      </w:r>
      <w:r w:rsidR="00EE4FC3">
        <w:t xml:space="preserve"> </w:t>
      </w:r>
      <w:r w:rsidRPr="00382917">
        <w:t>Wrath</w:t>
      </w:r>
      <w:r w:rsidR="009C713D" w:rsidRPr="00382917">
        <w:t>”</w:t>
      </w:r>
      <w:r w:rsidR="00EE4FC3">
        <w:t xml:space="preserve"> </w:t>
      </w:r>
      <w:r w:rsidRPr="00382917">
        <w:t>and</w:t>
      </w:r>
      <w:r w:rsidR="00EE4FC3">
        <w:t xml:space="preserve"> </w:t>
      </w:r>
      <w:r w:rsidRPr="00382917">
        <w:t>recited</w:t>
      </w:r>
      <w:r w:rsidR="00EE4FC3">
        <w:t xml:space="preserve"> </w:t>
      </w:r>
      <w:r w:rsidRPr="00382917">
        <w:t>for</w:t>
      </w:r>
      <w:r w:rsidR="00EE4FC3">
        <w:t xml:space="preserve"> </w:t>
      </w:r>
      <w:r w:rsidRPr="00382917">
        <w:t>Him</w:t>
      </w:r>
      <w:r w:rsidR="00EE4FC3">
        <w:t xml:space="preserve"> </w:t>
      </w:r>
      <w:r w:rsidRPr="00382917">
        <w:t>and</w:t>
      </w:r>
      <w:r w:rsidR="00EE4FC3">
        <w:t xml:space="preserve"> </w:t>
      </w:r>
      <w:r w:rsidRPr="00382917">
        <w:t>a</w:t>
      </w:r>
      <w:r w:rsidR="00EE4FC3">
        <w:t xml:space="preserve"> </w:t>
      </w:r>
      <w:r w:rsidRPr="00382917">
        <w:t>few</w:t>
      </w:r>
      <w:r w:rsidR="00EE4FC3">
        <w:t xml:space="preserve"> </w:t>
      </w:r>
      <w:r w:rsidRPr="00382917">
        <w:t>other</w:t>
      </w:r>
      <w:r w:rsidR="00EE4FC3">
        <w:t xml:space="preserve"> </w:t>
      </w:r>
      <w:r w:rsidRPr="00382917">
        <w:t>believers</w:t>
      </w:r>
      <w:r w:rsidR="00EE4FC3">
        <w:t xml:space="preserve"> </w:t>
      </w:r>
      <w:r w:rsidRPr="00382917">
        <w:t>the</w:t>
      </w:r>
      <w:r w:rsidR="00EE4FC3">
        <w:t xml:space="preserve"> </w:t>
      </w:r>
      <w:r w:rsidRPr="00382917">
        <w:t>entire</w:t>
      </w:r>
      <w:r w:rsidR="00EE4FC3">
        <w:t xml:space="preserve"> </w:t>
      </w:r>
      <w:r w:rsidRPr="00382917">
        <w:t>letter</w:t>
      </w:r>
      <w:r w:rsidR="00EE4FC3">
        <w:t xml:space="preserve"> </w:t>
      </w:r>
      <w:r w:rsidRPr="00382917">
        <w:t>which</w:t>
      </w:r>
      <w:r w:rsidR="00EE4FC3">
        <w:t xml:space="preserve"> </w:t>
      </w:r>
      <w:r w:rsidRPr="00382917">
        <w:t>he</w:t>
      </w:r>
      <w:r w:rsidR="00EE4FC3">
        <w:t xml:space="preserve"> </w:t>
      </w:r>
      <w:r w:rsidRPr="00382917">
        <w:t>had</w:t>
      </w:r>
      <w:r w:rsidR="00EE4FC3">
        <w:t xml:space="preserve"> </w:t>
      </w:r>
      <w:r w:rsidRPr="00382917">
        <w:t>memorized</w:t>
      </w:r>
      <w:r w:rsidR="00330AF7">
        <w:t>.</w:t>
      </w:r>
      <w:r w:rsidR="00EE4FC3">
        <w:t xml:space="preserve">  </w:t>
      </w:r>
      <w:proofErr w:type="spellStart"/>
      <w:r w:rsidRPr="00382917">
        <w:t>Ḥujjat</w:t>
      </w:r>
      <w:r w:rsidR="009C713D" w:rsidRPr="00382917">
        <w:t>’</w:t>
      </w:r>
      <w:r w:rsidRPr="00382917">
        <w:t>s</w:t>
      </w:r>
      <w:proofErr w:type="spellEnd"/>
      <w:r w:rsidR="00EE4FC3">
        <w:t xml:space="preserve"> </w:t>
      </w:r>
      <w:r w:rsidRPr="00382917">
        <w:t>sole</w:t>
      </w:r>
      <w:r w:rsidR="00EE4FC3">
        <w:t xml:space="preserve"> </w:t>
      </w:r>
      <w:r w:rsidRPr="00382917">
        <w:t>comfort</w:t>
      </w:r>
      <w:r w:rsidR="00EE4FC3">
        <w:t xml:space="preserve"> </w:t>
      </w:r>
      <w:r w:rsidRPr="00382917">
        <w:t>in</w:t>
      </w:r>
      <w:r w:rsidR="00EE4FC3">
        <w:t xml:space="preserve"> </w:t>
      </w:r>
      <w:r w:rsidRPr="00382917">
        <w:t>those</w:t>
      </w:r>
      <w:r w:rsidR="00EE4FC3">
        <w:t xml:space="preserve"> </w:t>
      </w:r>
      <w:r w:rsidRPr="00382917">
        <w:t>days</w:t>
      </w:r>
      <w:r w:rsidR="00EE4FC3">
        <w:t xml:space="preserve"> </w:t>
      </w:r>
      <w:r w:rsidRPr="00382917">
        <w:t>was</w:t>
      </w:r>
      <w:r w:rsidR="00EE4FC3">
        <w:t xml:space="preserve"> </w:t>
      </w:r>
      <w:r w:rsidRPr="00382917">
        <w:t>his</w:t>
      </w:r>
      <w:r w:rsidR="00EE4FC3">
        <w:t xml:space="preserve"> </w:t>
      </w:r>
      <w:r w:rsidRPr="00382917">
        <w:t>close</w:t>
      </w:r>
      <w:r w:rsidR="00EE4FC3">
        <w:t xml:space="preserve"> </w:t>
      </w:r>
      <w:r w:rsidRPr="00382917">
        <w:t>association</w:t>
      </w:r>
      <w:r w:rsidR="00EE4FC3">
        <w:t xml:space="preserve"> </w:t>
      </w:r>
      <w:r w:rsidRPr="00382917">
        <w:t>with</w:t>
      </w:r>
      <w:r w:rsidR="00EE4FC3">
        <w:t xml:space="preserve"> </w:t>
      </w:r>
      <w:r w:rsidRPr="00382917">
        <w:t>Bahá</w:t>
      </w:r>
      <w:r w:rsidR="009C713D" w:rsidRPr="00382917">
        <w:t>’</w:t>
      </w:r>
      <w:r w:rsidRPr="00382917">
        <w:t>u</w:t>
      </w:r>
      <w:r w:rsidR="009C713D" w:rsidRPr="00382917">
        <w:t>’</w:t>
      </w:r>
      <w:r w:rsidRPr="00382917">
        <w:t>lláh,</w:t>
      </w:r>
      <w:r w:rsidR="00EE4FC3">
        <w:t xml:space="preserve"> </w:t>
      </w:r>
      <w:r w:rsidRPr="00382917">
        <w:t>from</w:t>
      </w:r>
      <w:r w:rsidR="00EE4FC3">
        <w:t xml:space="preserve"> </w:t>
      </w:r>
      <w:proofErr w:type="gramStart"/>
      <w:r w:rsidRPr="00382917">
        <w:t>Whom</w:t>
      </w:r>
      <w:proofErr w:type="gramEnd"/>
      <w:r w:rsidR="00EE4FC3">
        <w:t xml:space="preserve"> </w:t>
      </w:r>
      <w:r w:rsidRPr="00382917">
        <w:t>he</w:t>
      </w:r>
      <w:r w:rsidR="00EE4FC3">
        <w:t xml:space="preserve"> </w:t>
      </w:r>
      <w:r w:rsidRPr="00382917">
        <w:t>received</w:t>
      </w:r>
      <w:r w:rsidR="00EE4FC3">
        <w:t xml:space="preserve"> </w:t>
      </w:r>
      <w:r w:rsidRPr="00382917">
        <w:t>the</w:t>
      </w:r>
      <w:r w:rsidR="00EE4FC3">
        <w:t xml:space="preserve"> </w:t>
      </w:r>
      <w:r w:rsidRPr="00382917">
        <w:t>sustaining</w:t>
      </w:r>
      <w:r w:rsidR="00EE4FC3">
        <w:t xml:space="preserve"> </w:t>
      </w:r>
      <w:r w:rsidRPr="00382917">
        <w:t>power</w:t>
      </w:r>
      <w:r w:rsidR="00EE4FC3">
        <w:t xml:space="preserve"> </w:t>
      </w:r>
      <w:r w:rsidRPr="00382917">
        <w:t>that</w:t>
      </w:r>
      <w:r w:rsidR="00EE4FC3">
        <w:t xml:space="preserve"> </w:t>
      </w:r>
      <w:r w:rsidRPr="00382917">
        <w:t>enabled</w:t>
      </w:r>
      <w:r w:rsidR="00EE4FC3">
        <w:t xml:space="preserve"> </w:t>
      </w:r>
      <w:r w:rsidRPr="00382917">
        <w:t>him</w:t>
      </w:r>
      <w:r w:rsidR="00EE4FC3">
        <w:t xml:space="preserve"> </w:t>
      </w:r>
      <w:r w:rsidRPr="00382917">
        <w:t>to</w:t>
      </w:r>
      <w:r w:rsidR="00EE4FC3">
        <w:t xml:space="preserve"> </w:t>
      </w:r>
      <w:r w:rsidRPr="00382917">
        <w:t>distinguish</w:t>
      </w:r>
      <w:r w:rsidR="00EE4FC3">
        <w:t xml:space="preserve"> </w:t>
      </w:r>
      <w:r w:rsidRPr="00382917">
        <w:t>himself</w:t>
      </w:r>
      <w:r w:rsidR="00EE4FC3">
        <w:t xml:space="preserve"> </w:t>
      </w:r>
      <w:r w:rsidRPr="00382917">
        <w:t>by</w:t>
      </w:r>
      <w:r w:rsidR="00EE4FC3">
        <w:t xml:space="preserve"> </w:t>
      </w:r>
      <w:r w:rsidRPr="00382917">
        <w:t>remarkable</w:t>
      </w:r>
      <w:r w:rsidR="00EE4FC3">
        <w:t xml:space="preserve"> </w:t>
      </w:r>
      <w:r w:rsidRPr="00382917">
        <w:t>deeds</w:t>
      </w:r>
      <w:r w:rsidR="00EE4FC3">
        <w:t xml:space="preserve"> </w:t>
      </w:r>
      <w:r w:rsidRPr="00382917">
        <w:t>in</w:t>
      </w:r>
      <w:r w:rsidR="00EE4FC3">
        <w:t xml:space="preserve"> </w:t>
      </w:r>
      <w:r w:rsidRPr="00382917">
        <w:t>the</w:t>
      </w:r>
      <w:r w:rsidR="00EE4FC3">
        <w:t xml:space="preserve"> </w:t>
      </w:r>
      <w:r w:rsidRPr="00382917">
        <w:t>days</w:t>
      </w:r>
      <w:r w:rsidR="00EE4FC3">
        <w:t xml:space="preserve"> </w:t>
      </w:r>
      <w:r w:rsidRPr="00382917">
        <w:t>to</w:t>
      </w:r>
      <w:r w:rsidR="00EE4FC3">
        <w:t xml:space="preserve"> </w:t>
      </w:r>
      <w:r w:rsidRPr="00382917">
        <w:t>come.</w:t>
      </w:r>
      <w:r w:rsidR="00611AA4">
        <w:rPr>
          <w:rStyle w:val="FootnoteReference"/>
        </w:rPr>
        <w:footnoteReference w:id="228"/>
      </w:r>
    </w:p>
    <w:p w:rsidR="001D2FA7" w:rsidRPr="00382917" w:rsidRDefault="001D2FA7" w:rsidP="007B319A">
      <w:pPr>
        <w:pStyle w:val="Text"/>
      </w:pPr>
      <w:r w:rsidRPr="00382917">
        <w:t>From</w:t>
      </w:r>
      <w:r w:rsidR="00EE4FC3">
        <w:t xml:space="preserve"> </w:t>
      </w:r>
      <w:r w:rsidRPr="00382917">
        <w:t>Bahá</w:t>
      </w:r>
      <w:r w:rsidR="009C713D" w:rsidRPr="00382917">
        <w:t>’</w:t>
      </w:r>
      <w:r w:rsidRPr="00382917">
        <w:t>u</w:t>
      </w:r>
      <w:r w:rsidR="009C713D" w:rsidRPr="00382917">
        <w:t>’</w:t>
      </w:r>
      <w:r w:rsidRPr="00382917">
        <w:t>lláh</w:t>
      </w:r>
      <w:r w:rsidR="009C713D" w:rsidRPr="00382917">
        <w:t>’</w:t>
      </w:r>
      <w:r w:rsidRPr="00382917">
        <w:t>s</w:t>
      </w:r>
      <w:r w:rsidR="00EE4FC3">
        <w:t xml:space="preserve"> </w:t>
      </w:r>
      <w:r w:rsidRPr="00382917">
        <w:t>home,</w:t>
      </w:r>
      <w:r w:rsidR="00EE4FC3">
        <w:t xml:space="preserve"> </w:t>
      </w:r>
      <w:r w:rsidRPr="00382917">
        <w:t>Ḥujjat</w:t>
      </w:r>
      <w:r w:rsidR="00EE4FC3">
        <w:t xml:space="preserve"> </w:t>
      </w:r>
      <w:r w:rsidRPr="00382917">
        <w:t>went</w:t>
      </w:r>
      <w:r w:rsidR="00EE4FC3">
        <w:t xml:space="preserve"> </w:t>
      </w:r>
      <w:r w:rsidRPr="00382917">
        <w:t>to</w:t>
      </w:r>
      <w:r w:rsidR="00EE4FC3">
        <w:t xml:space="preserve"> </w:t>
      </w:r>
      <w:r w:rsidRPr="00382917">
        <w:t>Zanján</w:t>
      </w:r>
      <w:r w:rsidR="00EE4FC3">
        <w:t xml:space="preserve"> </w:t>
      </w:r>
      <w:r w:rsidRPr="00382917">
        <w:t>where</w:t>
      </w:r>
      <w:r w:rsidR="00EE4FC3">
        <w:t xml:space="preserve"> </w:t>
      </w:r>
      <w:r w:rsidRPr="00382917">
        <w:t>he,</w:t>
      </w:r>
      <w:r w:rsidR="00EE4FC3">
        <w:t xml:space="preserve"> </w:t>
      </w:r>
      <w:r w:rsidRPr="00382917">
        <w:t>like</w:t>
      </w:r>
      <w:r w:rsidR="00EE4FC3">
        <w:t xml:space="preserve"> </w:t>
      </w:r>
      <w:r w:rsidRPr="00382917">
        <w:t>his</w:t>
      </w:r>
      <w:r w:rsidR="00EE4FC3">
        <w:t xml:space="preserve"> </w:t>
      </w:r>
      <w:r w:rsidRPr="00382917">
        <w:t>illustrious</w:t>
      </w:r>
      <w:r w:rsidR="00EE4FC3">
        <w:t xml:space="preserve"> </w:t>
      </w:r>
      <w:r w:rsidRPr="00382917">
        <w:t>companions</w:t>
      </w:r>
      <w:r w:rsidR="00EE4FC3">
        <w:t xml:space="preserve"> </w:t>
      </w:r>
      <w:r w:rsidRPr="00382917">
        <w:t>Vaḥíd,</w:t>
      </w:r>
      <w:r w:rsidR="00EE4FC3">
        <w:t xml:space="preserve"> </w:t>
      </w:r>
      <w:r w:rsidRPr="00382917">
        <w:t>Ṭáhirih,</w:t>
      </w:r>
      <w:r w:rsidR="00EE4FC3">
        <w:t xml:space="preserve"> </w:t>
      </w:r>
      <w:r w:rsidRPr="00382917">
        <w:t>Mullá</w:t>
      </w:r>
      <w:r w:rsidR="00EE4FC3">
        <w:t xml:space="preserve"> </w:t>
      </w:r>
      <w:r w:rsidR="00964C11" w:rsidRPr="00382917">
        <w:t>Ḥusayn</w:t>
      </w:r>
      <w:r w:rsidRPr="00382917">
        <w:t>,</w:t>
      </w:r>
      <w:r w:rsidR="00EE4FC3">
        <w:t xml:space="preserve"> </w:t>
      </w:r>
      <w:r w:rsidRPr="00382917">
        <w:t>and</w:t>
      </w:r>
      <w:r w:rsidR="00EE4FC3">
        <w:t xml:space="preserve"> </w:t>
      </w:r>
      <w:r w:rsidRPr="00382917">
        <w:t>Quddús,</w:t>
      </w:r>
      <w:r w:rsidR="00EE4FC3">
        <w:t xml:space="preserve"> </w:t>
      </w:r>
      <w:r w:rsidRPr="00382917">
        <w:t>laid</w:t>
      </w:r>
      <w:r w:rsidR="00EE4FC3">
        <w:t xml:space="preserve"> </w:t>
      </w:r>
      <w:r w:rsidRPr="00382917">
        <w:t>down</w:t>
      </w:r>
      <w:r w:rsidR="00EE4FC3">
        <w:t xml:space="preserve"> </w:t>
      </w:r>
      <w:r w:rsidRPr="00382917">
        <w:t>his</w:t>
      </w:r>
      <w:r w:rsidR="00EE4FC3">
        <w:t xml:space="preserve"> </w:t>
      </w:r>
      <w:r w:rsidRPr="00382917">
        <w:t>life</w:t>
      </w:r>
      <w:r w:rsidR="00EE4FC3">
        <w:t xml:space="preserve"> </w:t>
      </w:r>
      <w:r w:rsidRPr="00382917">
        <w:t>for</w:t>
      </w:r>
      <w:r w:rsidR="00EE4FC3">
        <w:t xml:space="preserve"> </w:t>
      </w:r>
      <w:r w:rsidRPr="00382917">
        <w:t>his</w:t>
      </w:r>
      <w:r w:rsidR="00EE4FC3">
        <w:t xml:space="preserve"> </w:t>
      </w:r>
      <w:r w:rsidRPr="00382917">
        <w:t>Beloved.</w:t>
      </w:r>
    </w:p>
    <w:p w:rsidR="001D2FA7" w:rsidRPr="00382917" w:rsidRDefault="001D2FA7" w:rsidP="00611AA4">
      <w:pPr>
        <w:pStyle w:val="Text"/>
      </w:pPr>
      <w:r w:rsidRPr="00382917">
        <w:t>From</w:t>
      </w:r>
      <w:r w:rsidR="00EE4FC3">
        <w:t xml:space="preserve"> </w:t>
      </w:r>
      <w:r w:rsidRPr="00382917">
        <w:t>the</w:t>
      </w:r>
      <w:r w:rsidR="00EE4FC3">
        <w:t xml:space="preserve"> </w:t>
      </w:r>
      <w:r w:rsidRPr="00382917">
        <w:t>very</w:t>
      </w:r>
      <w:r w:rsidR="00EE4FC3">
        <w:t xml:space="preserve"> </w:t>
      </w:r>
      <w:r w:rsidRPr="00382917">
        <w:t>first</w:t>
      </w:r>
      <w:r w:rsidR="00EE4FC3">
        <w:t xml:space="preserve"> </w:t>
      </w:r>
      <w:r w:rsidRPr="00382917">
        <w:t>moment</w:t>
      </w:r>
      <w:r w:rsidR="00EE4FC3">
        <w:t xml:space="preserve"> </w:t>
      </w:r>
      <w:r w:rsidRPr="00382917">
        <w:t>when</w:t>
      </w:r>
      <w:r w:rsidR="00EE4FC3">
        <w:t xml:space="preserve"> </w:t>
      </w:r>
      <w:r w:rsidRPr="00382917">
        <w:t>the</w:t>
      </w:r>
      <w:r w:rsidR="00EE4FC3">
        <w:t xml:space="preserve"> </w:t>
      </w:r>
      <w:r w:rsidRPr="00382917">
        <w:t>Báb</w:t>
      </w:r>
      <w:r w:rsidR="00EE4FC3">
        <w:t xml:space="preserve"> </w:t>
      </w:r>
      <w:r w:rsidRPr="00382917">
        <w:t>had</w:t>
      </w:r>
      <w:r w:rsidR="00EE4FC3">
        <w:t xml:space="preserve"> </w:t>
      </w:r>
      <w:r w:rsidRPr="00382917">
        <w:t>revealed</w:t>
      </w:r>
      <w:r w:rsidR="00EE4FC3">
        <w:t xml:space="preserve"> </w:t>
      </w:r>
      <w:r w:rsidRPr="00382917">
        <w:t>the</w:t>
      </w:r>
      <w:r w:rsidR="00EE4FC3">
        <w:t xml:space="preserve"> </w:t>
      </w:r>
      <w:r w:rsidRPr="00382917">
        <w:t>commentary</w:t>
      </w:r>
      <w:r w:rsidR="00EE4FC3">
        <w:t xml:space="preserve"> </w:t>
      </w:r>
      <w:r w:rsidRPr="00382917">
        <w:t>for</w:t>
      </w:r>
      <w:r w:rsidR="00EE4FC3">
        <w:t xml:space="preserve"> </w:t>
      </w:r>
      <w:r w:rsidRPr="00382917">
        <w:t>Mullá</w:t>
      </w:r>
      <w:r w:rsidR="00EE4FC3">
        <w:t xml:space="preserve"> </w:t>
      </w:r>
      <w:r w:rsidR="00964C11" w:rsidRPr="00382917">
        <w:t>Ḥusayn</w:t>
      </w:r>
      <w:r w:rsidR="00EE4FC3">
        <w:t xml:space="preserve"> </w:t>
      </w:r>
      <w:r w:rsidRPr="00382917">
        <w:t>on</w:t>
      </w:r>
      <w:r w:rsidR="00EE4FC3">
        <w:t xml:space="preserve"> </w:t>
      </w:r>
      <w:r w:rsidRPr="00382917">
        <w:t>the</w:t>
      </w:r>
      <w:r w:rsidR="00EE4FC3">
        <w:t xml:space="preserve"> </w:t>
      </w:r>
      <w:r w:rsidRPr="00382917">
        <w:t>eve</w:t>
      </w:r>
      <w:r w:rsidR="00EE4FC3">
        <w:t xml:space="preserve"> </w:t>
      </w:r>
      <w:r w:rsidRPr="00382917">
        <w:t>of</w:t>
      </w:r>
      <w:r w:rsidR="00EE4FC3">
        <w:t xml:space="preserve"> </w:t>
      </w:r>
      <w:r w:rsidR="00611AA4">
        <w:t xml:space="preserve">23 </w:t>
      </w:r>
      <w:r w:rsidRPr="00382917">
        <w:t>May</w:t>
      </w:r>
      <w:r w:rsidR="00EE4FC3">
        <w:t xml:space="preserve"> </w:t>
      </w:r>
      <w:r w:rsidRPr="00382917">
        <w:t>1844,</w:t>
      </w:r>
      <w:r w:rsidR="00EE4FC3">
        <w:t xml:space="preserve"> </w:t>
      </w:r>
      <w:r w:rsidRPr="00382917">
        <w:t>He</w:t>
      </w:r>
      <w:r w:rsidR="00EE4FC3">
        <w:t xml:space="preserve"> </w:t>
      </w:r>
      <w:r w:rsidRPr="00382917">
        <w:t>linked</w:t>
      </w:r>
      <w:r w:rsidR="00EE4FC3">
        <w:t xml:space="preserve"> </w:t>
      </w:r>
      <w:r w:rsidRPr="00382917">
        <w:t>His</w:t>
      </w:r>
      <w:r w:rsidR="00EE4FC3">
        <w:t xml:space="preserve"> </w:t>
      </w:r>
      <w:r w:rsidRPr="00382917">
        <w:t>own</w:t>
      </w:r>
      <w:r w:rsidR="00EE4FC3">
        <w:t xml:space="preserve"> </w:t>
      </w:r>
      <w:r w:rsidRPr="00382917">
        <w:t>Mission</w:t>
      </w:r>
      <w:r w:rsidR="00EE4FC3">
        <w:t xml:space="preserve"> </w:t>
      </w:r>
      <w:r w:rsidRPr="00382917">
        <w:t>with</w:t>
      </w:r>
      <w:r w:rsidR="00EE4FC3">
        <w:t xml:space="preserve"> </w:t>
      </w:r>
      <w:r w:rsidRPr="00382917">
        <w:t>that</w:t>
      </w:r>
      <w:r w:rsidR="00EE4FC3">
        <w:t xml:space="preserve"> </w:t>
      </w:r>
      <w:r w:rsidRPr="00382917">
        <w:t>of</w:t>
      </w:r>
      <w:r w:rsidR="00EE4FC3">
        <w:t xml:space="preserve"> </w:t>
      </w:r>
      <w:r w:rsidRPr="00382917">
        <w:t>Bahá</w:t>
      </w:r>
      <w:r w:rsidR="009C713D" w:rsidRPr="00382917">
        <w:t>’</w:t>
      </w:r>
      <w:r w:rsidRPr="00382917">
        <w:t>u</w:t>
      </w:r>
      <w:r w:rsidR="009C713D" w:rsidRPr="00382917">
        <w:t>’</w:t>
      </w:r>
      <w:r w:rsidRPr="00382917">
        <w:t>lláh</w:t>
      </w:r>
      <w:r w:rsidR="00330AF7">
        <w:t>.</w:t>
      </w:r>
      <w:r w:rsidR="00EE4FC3">
        <w:t xml:space="preserve">  </w:t>
      </w:r>
      <w:r w:rsidRPr="00382917">
        <w:t>Nabíl</w:t>
      </w:r>
      <w:r w:rsidR="00EE4FC3">
        <w:t xml:space="preserve"> </w:t>
      </w:r>
      <w:r w:rsidRPr="00382917">
        <w:t>states</w:t>
      </w:r>
      <w:r w:rsidR="00EE4FC3">
        <w:t xml:space="preserve"> </w:t>
      </w:r>
      <w:r w:rsidRPr="00382917">
        <w:t>in</w:t>
      </w:r>
      <w:r w:rsidR="00EE4FC3">
        <w:t xml:space="preserve"> </w:t>
      </w:r>
      <w:r w:rsidRPr="00382917">
        <w:t>his</w:t>
      </w:r>
      <w:r w:rsidR="00EE4FC3">
        <w:t xml:space="preserve"> </w:t>
      </w:r>
      <w:r w:rsidRPr="00382917">
        <w:t>history</w:t>
      </w:r>
      <w:r w:rsidR="00C03C91">
        <w:t>:</w:t>
      </w:r>
      <w:r w:rsidR="00EE4FC3">
        <w:t xml:space="preserve">  </w:t>
      </w:r>
      <w:r w:rsidR="009C713D" w:rsidRPr="00382917">
        <w:t>“</w:t>
      </w:r>
      <w:r w:rsidRPr="00382917">
        <w:t>Did</w:t>
      </w:r>
      <w:r w:rsidR="00EE4FC3">
        <w:t xml:space="preserve"> </w:t>
      </w:r>
      <w:r w:rsidRPr="00382917">
        <w:t>not</w:t>
      </w:r>
      <w:r w:rsidR="00EE4FC3">
        <w:t xml:space="preserve"> </w:t>
      </w:r>
      <w:r w:rsidRPr="00382917">
        <w:t>the</w:t>
      </w:r>
      <w:r w:rsidR="00EE4FC3">
        <w:t xml:space="preserve"> </w:t>
      </w:r>
      <w:r w:rsidRPr="00382917">
        <w:t>Báb,</w:t>
      </w:r>
      <w:r w:rsidR="00EE4FC3">
        <w:t xml:space="preserve"> </w:t>
      </w:r>
      <w:r w:rsidRPr="00382917">
        <w:t>in</w:t>
      </w:r>
      <w:r w:rsidR="00EE4FC3">
        <w:t xml:space="preserve"> </w:t>
      </w:r>
      <w:r w:rsidRPr="00382917">
        <w:t>the</w:t>
      </w:r>
      <w:r w:rsidR="00EE4FC3">
        <w:t xml:space="preserve"> </w:t>
      </w:r>
      <w:r w:rsidRPr="00382917">
        <w:t>earliest</w:t>
      </w:r>
      <w:r w:rsidR="00EE4FC3">
        <w:t xml:space="preserve"> </w:t>
      </w:r>
      <w:r w:rsidRPr="00382917">
        <w:t>days</w:t>
      </w:r>
      <w:r w:rsidR="00EE4FC3">
        <w:t xml:space="preserve"> </w:t>
      </w:r>
      <w:r w:rsidRPr="00382917">
        <w:t>of</w:t>
      </w:r>
      <w:r w:rsidR="00EE4FC3">
        <w:t xml:space="preserve"> </w:t>
      </w:r>
      <w:r w:rsidRPr="00382917">
        <w:t>His</w:t>
      </w:r>
      <w:r w:rsidR="00EE4FC3">
        <w:t xml:space="preserve"> </w:t>
      </w:r>
      <w:r w:rsidRPr="00382917">
        <w:t>Mission</w:t>
      </w:r>
      <w:r w:rsidR="00EE4FC3">
        <w:t xml:space="preserve"> </w:t>
      </w:r>
      <w:r w:rsidRPr="00382917">
        <w:t>allude,</w:t>
      </w:r>
      <w:r w:rsidR="00EE4FC3">
        <w:t xml:space="preserve"> </w:t>
      </w:r>
      <w:r w:rsidRPr="00382917">
        <w:t>in</w:t>
      </w:r>
      <w:r w:rsidR="00EE4FC3">
        <w:t xml:space="preserve"> </w:t>
      </w:r>
      <w:r w:rsidRPr="00382917">
        <w:t>the</w:t>
      </w:r>
      <w:r w:rsidR="00EE4FC3">
        <w:t xml:space="preserve"> </w:t>
      </w:r>
      <w:r w:rsidRPr="00382917">
        <w:t>opening</w:t>
      </w:r>
      <w:r w:rsidR="00EE4FC3">
        <w:t xml:space="preserve"> </w:t>
      </w:r>
      <w:r w:rsidRPr="00382917">
        <w:t>passages</w:t>
      </w:r>
      <w:r w:rsidR="00EE4FC3">
        <w:t xml:space="preserve"> </w:t>
      </w:r>
      <w:r w:rsidRPr="00382917">
        <w:t>of</w:t>
      </w:r>
      <w:r w:rsidR="00EE4FC3">
        <w:t xml:space="preserve"> </w:t>
      </w:r>
      <w:r w:rsidRPr="00382917">
        <w:t>His</w:t>
      </w:r>
      <w:r w:rsidR="00EE4FC3">
        <w:t xml:space="preserve"> </w:t>
      </w:r>
      <w:r w:rsidRPr="00382917">
        <w:t>commentary</w:t>
      </w:r>
      <w:r w:rsidR="00EE4FC3">
        <w:t xml:space="preserve"> </w:t>
      </w:r>
      <w:r w:rsidRPr="00382917">
        <w:t>of</w:t>
      </w:r>
      <w:r w:rsidR="00EE4FC3">
        <w:t xml:space="preserve"> </w:t>
      </w:r>
      <w:r w:rsidRPr="00382917">
        <w:t>the</w:t>
      </w:r>
      <w:r w:rsidR="00EE4FC3">
        <w:t xml:space="preserve"> </w:t>
      </w:r>
      <w:r w:rsidRPr="00382917">
        <w:t>Súrih</w:t>
      </w:r>
      <w:r w:rsidR="00EE4FC3">
        <w:t xml:space="preserve"> </w:t>
      </w:r>
      <w:r w:rsidRPr="00382917">
        <w:t>of</w:t>
      </w:r>
      <w:r w:rsidR="00EE4FC3">
        <w:t xml:space="preserve"> </w:t>
      </w:r>
      <w:r w:rsidRPr="00382917">
        <w:t>Joseph,</w:t>
      </w:r>
      <w:r w:rsidR="00EE4FC3">
        <w:t xml:space="preserve"> </w:t>
      </w:r>
      <w:r w:rsidRPr="00382917">
        <w:t>to</w:t>
      </w:r>
      <w:r w:rsidR="00EE4FC3">
        <w:t xml:space="preserve"> </w:t>
      </w:r>
      <w:r w:rsidRPr="00382917">
        <w:t>the</w:t>
      </w:r>
      <w:r w:rsidR="00EE4FC3">
        <w:t xml:space="preserve"> </w:t>
      </w:r>
      <w:r w:rsidRPr="00382917">
        <w:t>glory</w:t>
      </w:r>
      <w:r w:rsidR="00EE4FC3">
        <w:t xml:space="preserve"> </w:t>
      </w:r>
      <w:r w:rsidRPr="00382917">
        <w:t>and</w:t>
      </w:r>
      <w:r w:rsidR="00EE4FC3">
        <w:t xml:space="preserve"> </w:t>
      </w:r>
      <w:r w:rsidRPr="00382917">
        <w:t>significance</w:t>
      </w:r>
      <w:r w:rsidR="00EE4FC3">
        <w:t xml:space="preserve"> </w:t>
      </w:r>
      <w:r w:rsidRPr="00382917">
        <w:t>of</w:t>
      </w:r>
      <w:r w:rsidR="00EE4FC3">
        <w:t xml:space="preserve"> </w:t>
      </w:r>
      <w:r w:rsidRPr="00382917">
        <w:t>the</w:t>
      </w:r>
      <w:r w:rsidR="00EE4FC3">
        <w:t xml:space="preserve"> </w:t>
      </w:r>
      <w:r w:rsidRPr="00382917">
        <w:t>Revelation</w:t>
      </w:r>
      <w:r w:rsidR="00EE4FC3">
        <w:t xml:space="preserve"> </w:t>
      </w:r>
      <w:r w:rsidRPr="00382917">
        <w:t>of</w:t>
      </w:r>
      <w:r w:rsidR="00EE4FC3">
        <w:t xml:space="preserve"> </w:t>
      </w:r>
      <w:r w:rsidRPr="00382917">
        <w:t>Bahá</w:t>
      </w:r>
      <w:r w:rsidR="009C713D" w:rsidRPr="00382917">
        <w:t>’</w:t>
      </w:r>
      <w:r w:rsidRPr="00382917">
        <w:t>u</w:t>
      </w:r>
      <w:r w:rsidR="009C713D" w:rsidRPr="00382917">
        <w:t>’</w:t>
      </w:r>
      <w:r w:rsidRPr="00382917">
        <w:t>lláh?</w:t>
      </w:r>
      <w:r w:rsidR="00EE4FC3">
        <w:t xml:space="preserve"> </w:t>
      </w:r>
      <w:r w:rsidR="00611AA4">
        <w:t xml:space="preserve"> </w:t>
      </w:r>
      <w:r w:rsidRPr="00382917">
        <w:t>Was</w:t>
      </w:r>
      <w:r w:rsidR="00EE4FC3">
        <w:t xml:space="preserve"> </w:t>
      </w:r>
      <w:r w:rsidRPr="00382917">
        <w:t>it</w:t>
      </w:r>
      <w:r w:rsidR="00EE4FC3">
        <w:t xml:space="preserve"> </w:t>
      </w:r>
      <w:r w:rsidRPr="00382917">
        <w:t>not</w:t>
      </w:r>
      <w:r w:rsidR="00EE4FC3">
        <w:t xml:space="preserve"> </w:t>
      </w:r>
      <w:r w:rsidRPr="00382917">
        <w:t>His</w:t>
      </w:r>
      <w:r w:rsidR="00EE4FC3">
        <w:t xml:space="preserve"> </w:t>
      </w:r>
      <w:r w:rsidRPr="00382917">
        <w:t>purpose,</w:t>
      </w:r>
      <w:r w:rsidR="00EE4FC3">
        <w:t xml:space="preserve"> </w:t>
      </w:r>
      <w:r w:rsidRPr="00382917">
        <w:t>by</w:t>
      </w:r>
      <w:r w:rsidR="00EE4FC3">
        <w:t xml:space="preserve"> </w:t>
      </w:r>
      <w:r w:rsidRPr="00382917">
        <w:t>dwelling</w:t>
      </w:r>
      <w:r w:rsidR="00EE4FC3">
        <w:t xml:space="preserve"> </w:t>
      </w:r>
      <w:r w:rsidRPr="00382917">
        <w:t>upon</w:t>
      </w:r>
      <w:r w:rsidR="00EE4FC3">
        <w:t xml:space="preserve"> </w:t>
      </w:r>
      <w:r w:rsidRPr="00382917">
        <w:t>the</w:t>
      </w:r>
      <w:r w:rsidR="00EE4FC3">
        <w:t xml:space="preserve"> </w:t>
      </w:r>
      <w:r w:rsidRPr="00382917">
        <w:t>ingratitude</w:t>
      </w:r>
      <w:r w:rsidR="00EE4FC3">
        <w:t xml:space="preserve"> </w:t>
      </w:r>
      <w:r w:rsidRPr="00382917">
        <w:t>and</w:t>
      </w:r>
      <w:r w:rsidR="00EE4FC3">
        <w:t xml:space="preserve"> </w:t>
      </w:r>
      <w:r w:rsidRPr="00382917">
        <w:t>malice</w:t>
      </w:r>
      <w:r w:rsidR="00EE4FC3">
        <w:t xml:space="preserve"> </w:t>
      </w:r>
      <w:r w:rsidRPr="00382917">
        <w:t>which</w:t>
      </w:r>
      <w:r w:rsidR="00EE4FC3">
        <w:t xml:space="preserve"> </w:t>
      </w:r>
      <w:r w:rsidRPr="00382917">
        <w:t>characterized</w:t>
      </w:r>
      <w:r w:rsidR="00EE4FC3">
        <w:t xml:space="preserve"> </w:t>
      </w:r>
      <w:r w:rsidRPr="00382917">
        <w:t>the</w:t>
      </w:r>
      <w:r w:rsidR="00EE4FC3">
        <w:t xml:space="preserve"> </w:t>
      </w:r>
      <w:r w:rsidRPr="00382917">
        <w:t>treatment</w:t>
      </w:r>
      <w:r w:rsidR="00EE4FC3">
        <w:t xml:space="preserve"> </w:t>
      </w:r>
      <w:r w:rsidRPr="00382917">
        <w:t>of</w:t>
      </w:r>
      <w:r w:rsidR="00EE4FC3">
        <w:t xml:space="preserve"> </w:t>
      </w:r>
      <w:r w:rsidRPr="00382917">
        <w:t>Joseph</w:t>
      </w:r>
      <w:r w:rsidR="00EE4FC3">
        <w:t xml:space="preserve"> </w:t>
      </w:r>
      <w:r w:rsidRPr="00382917">
        <w:t>by</w:t>
      </w:r>
      <w:r w:rsidR="00EE4FC3">
        <w:t xml:space="preserve"> </w:t>
      </w:r>
      <w:r w:rsidRPr="00382917">
        <w:t>his</w:t>
      </w:r>
      <w:r w:rsidR="00EE4FC3">
        <w:t xml:space="preserve"> </w:t>
      </w:r>
      <w:r w:rsidRPr="00382917">
        <w:t>brethren,</w:t>
      </w:r>
      <w:r w:rsidR="00EE4FC3">
        <w:t xml:space="preserve"> </w:t>
      </w:r>
      <w:r w:rsidRPr="00382917">
        <w:t>to</w:t>
      </w:r>
      <w:r w:rsidR="00EE4FC3">
        <w:t xml:space="preserve"> </w:t>
      </w:r>
      <w:r w:rsidRPr="00382917">
        <w:t>predict</w:t>
      </w:r>
      <w:r w:rsidR="00EE4FC3">
        <w:t xml:space="preserve"> </w:t>
      </w:r>
      <w:r w:rsidRPr="00382917">
        <w:t>what</w:t>
      </w:r>
      <w:r w:rsidR="00EE4FC3">
        <w:t xml:space="preserve"> </w:t>
      </w:r>
      <w:r w:rsidRPr="00382917">
        <w:t>Bahá</w:t>
      </w:r>
      <w:r w:rsidR="009C713D" w:rsidRPr="00382917">
        <w:t>’</w:t>
      </w:r>
      <w:r w:rsidRPr="00382917">
        <w:t>u</w:t>
      </w:r>
      <w:r w:rsidR="009C713D" w:rsidRPr="00382917">
        <w:t>’</w:t>
      </w:r>
      <w:r w:rsidRPr="00382917">
        <w:t>lláh</w:t>
      </w:r>
      <w:r w:rsidR="00EE4FC3">
        <w:t xml:space="preserve"> </w:t>
      </w:r>
      <w:r w:rsidRPr="00382917">
        <w:t>was</w:t>
      </w:r>
      <w:r w:rsidR="00EE4FC3">
        <w:t xml:space="preserve"> </w:t>
      </w:r>
      <w:r w:rsidRPr="00382917">
        <w:t>destined</w:t>
      </w:r>
      <w:r w:rsidR="00EE4FC3">
        <w:t xml:space="preserve"> </w:t>
      </w:r>
      <w:r w:rsidRPr="00382917">
        <w:t>to</w:t>
      </w:r>
      <w:r w:rsidR="00EE4FC3">
        <w:t xml:space="preserve"> </w:t>
      </w:r>
      <w:r w:rsidRPr="00382917">
        <w:t>suffer</w:t>
      </w:r>
      <w:r w:rsidR="00EE4FC3">
        <w:t xml:space="preserve"> </w:t>
      </w:r>
      <w:r w:rsidRPr="00382917">
        <w:t>at</w:t>
      </w:r>
      <w:r w:rsidR="00EE4FC3">
        <w:t xml:space="preserve"> </w:t>
      </w:r>
      <w:r w:rsidRPr="00382917">
        <w:t>the</w:t>
      </w:r>
      <w:r w:rsidR="00EE4FC3">
        <w:t xml:space="preserve"> </w:t>
      </w:r>
      <w:r w:rsidRPr="00382917">
        <w:t>hands</w:t>
      </w:r>
      <w:r w:rsidR="00EE4FC3">
        <w:t xml:space="preserve"> </w:t>
      </w:r>
      <w:r w:rsidRPr="00382917">
        <w:t>of</w:t>
      </w:r>
      <w:r w:rsidR="00EE4FC3">
        <w:t xml:space="preserve"> </w:t>
      </w:r>
      <w:r w:rsidRPr="00382917">
        <w:t>His</w:t>
      </w:r>
      <w:r w:rsidR="00EE4FC3">
        <w:t xml:space="preserve"> </w:t>
      </w:r>
      <w:r w:rsidRPr="00382917">
        <w:t>brother</w:t>
      </w:r>
      <w:r w:rsidR="00EE4FC3">
        <w:t xml:space="preserve"> </w:t>
      </w:r>
      <w:r w:rsidRPr="00382917">
        <w:t>and</w:t>
      </w:r>
      <w:r w:rsidR="00EE4FC3">
        <w:t xml:space="preserve"> </w:t>
      </w:r>
      <w:r w:rsidRPr="00382917">
        <w:t>kindred?</w:t>
      </w:r>
      <w:r w:rsidR="009C713D" w:rsidRPr="00382917">
        <w:t>”</w:t>
      </w:r>
      <w:r w:rsidR="00611AA4">
        <w:rPr>
          <w:rStyle w:val="FootnoteReference"/>
        </w:rPr>
        <w:footnoteReference w:id="229"/>
      </w:r>
    </w:p>
    <w:p w:rsidR="007B319A" w:rsidRPr="00382917" w:rsidRDefault="007B319A">
      <w:pPr>
        <w:widowControl/>
        <w:kinsoku/>
        <w:overflowPunct/>
        <w:textAlignment w:val="auto"/>
      </w:pPr>
      <w:r w:rsidRPr="00382917">
        <w:br w:type="page"/>
      </w:r>
    </w:p>
    <w:p w:rsidR="001D2FA7" w:rsidRPr="00382917" w:rsidRDefault="001D2FA7" w:rsidP="007B319A">
      <w:pPr>
        <w:pStyle w:val="Text"/>
      </w:pPr>
      <w:r w:rsidRPr="00382917">
        <w:t>In</w:t>
      </w:r>
      <w:r w:rsidR="00EE4FC3">
        <w:t xml:space="preserve"> </w:t>
      </w:r>
      <w:r w:rsidRPr="00382917">
        <w:t>His</w:t>
      </w:r>
      <w:r w:rsidR="00EE4FC3">
        <w:t xml:space="preserve"> </w:t>
      </w:r>
      <w:r w:rsidRPr="00382917">
        <w:t>farewell</w:t>
      </w:r>
      <w:r w:rsidR="00EE4FC3">
        <w:t xml:space="preserve"> </w:t>
      </w:r>
      <w:r w:rsidRPr="00382917">
        <w:t>address</w:t>
      </w:r>
      <w:r w:rsidR="00EE4FC3">
        <w:t xml:space="preserve"> </w:t>
      </w:r>
      <w:r w:rsidRPr="00382917">
        <w:t>to</w:t>
      </w:r>
      <w:r w:rsidR="00EE4FC3">
        <w:t xml:space="preserve"> </w:t>
      </w:r>
      <w:r w:rsidRPr="00382917">
        <w:t>His</w:t>
      </w:r>
      <w:r w:rsidR="00EE4FC3">
        <w:t xml:space="preserve"> </w:t>
      </w:r>
      <w:r w:rsidRPr="00382917">
        <w:t>chosen</w:t>
      </w:r>
      <w:r w:rsidR="00EE4FC3">
        <w:t xml:space="preserve"> </w:t>
      </w:r>
      <w:r w:rsidRPr="00382917">
        <w:t>disciples,</w:t>
      </w:r>
      <w:r w:rsidR="00EE4FC3">
        <w:t xml:space="preserve"> </w:t>
      </w:r>
      <w:r w:rsidRPr="00382917">
        <w:t>the</w:t>
      </w:r>
      <w:r w:rsidR="00EE4FC3">
        <w:t xml:space="preserve"> </w:t>
      </w:r>
      <w:r w:rsidRPr="00382917">
        <w:t>Báb</w:t>
      </w:r>
      <w:r w:rsidR="00EE4FC3">
        <w:t xml:space="preserve"> </w:t>
      </w:r>
      <w:r w:rsidRPr="00382917">
        <w:t>stated</w:t>
      </w:r>
      <w:r w:rsidR="00EE4FC3">
        <w:t xml:space="preserve"> </w:t>
      </w:r>
      <w:r w:rsidRPr="00382917">
        <w:t>clearly</w:t>
      </w:r>
      <w:r w:rsidR="00EE4FC3">
        <w:t xml:space="preserve"> </w:t>
      </w:r>
      <w:r w:rsidRPr="00382917">
        <w:t>that</w:t>
      </w:r>
      <w:r w:rsidR="00EE4FC3">
        <w:t xml:space="preserve"> </w:t>
      </w:r>
      <w:r w:rsidRPr="00382917">
        <w:t>He</w:t>
      </w:r>
      <w:r w:rsidR="00EE4FC3">
        <w:t xml:space="preserve"> </w:t>
      </w:r>
      <w:r w:rsidRPr="00382917">
        <w:t>was</w:t>
      </w:r>
      <w:r w:rsidR="00EE4FC3">
        <w:t xml:space="preserve"> </w:t>
      </w:r>
      <w:r w:rsidRPr="00382917">
        <w:t>but</w:t>
      </w:r>
      <w:r w:rsidR="00EE4FC3">
        <w:t xml:space="preserve"> </w:t>
      </w:r>
      <w:r w:rsidRPr="00382917">
        <w:t>the</w:t>
      </w:r>
      <w:r w:rsidR="00EE4FC3">
        <w:t xml:space="preserve"> </w:t>
      </w:r>
      <w:r w:rsidRPr="00382917">
        <w:t>forerunner</w:t>
      </w:r>
      <w:r w:rsidR="00EE4FC3">
        <w:t xml:space="preserve"> </w:t>
      </w:r>
      <w:r w:rsidRPr="00382917">
        <w:t>of</w:t>
      </w:r>
      <w:r w:rsidR="00EE4FC3">
        <w:t xml:space="preserve"> </w:t>
      </w:r>
      <w:r w:rsidRPr="00382917">
        <w:t>a</w:t>
      </w:r>
      <w:r w:rsidR="00EE4FC3">
        <w:t xml:space="preserve"> </w:t>
      </w:r>
      <w:r w:rsidRPr="00382917">
        <w:t>greater</w:t>
      </w:r>
      <w:r w:rsidR="00EE4FC3">
        <w:t xml:space="preserve"> </w:t>
      </w:r>
      <w:r w:rsidRPr="00382917">
        <w:t>One</w:t>
      </w:r>
      <w:r w:rsidR="00EE4FC3">
        <w:t xml:space="preserve"> </w:t>
      </w:r>
      <w:r w:rsidRPr="00382917">
        <w:t>yet</w:t>
      </w:r>
      <w:r w:rsidR="00EE4FC3">
        <w:t xml:space="preserve"> </w:t>
      </w:r>
      <w:r w:rsidRPr="00382917">
        <w:t>to</w:t>
      </w:r>
      <w:r w:rsidR="00EE4FC3">
        <w:t xml:space="preserve"> </w:t>
      </w:r>
      <w:r w:rsidRPr="00382917">
        <w:t>come.</w:t>
      </w:r>
    </w:p>
    <w:p w:rsidR="00E13D49" w:rsidRPr="00382917" w:rsidRDefault="009C713D" w:rsidP="00611AA4">
      <w:pPr>
        <w:pStyle w:val="Text"/>
      </w:pPr>
      <w:r w:rsidRPr="00382917">
        <w:t>“</w:t>
      </w:r>
      <w:r w:rsidR="001D2FA7" w:rsidRPr="00382917">
        <w:t>I</w:t>
      </w:r>
      <w:r w:rsidR="00EE4FC3">
        <w:t xml:space="preserve"> </w:t>
      </w:r>
      <w:r w:rsidR="001D2FA7" w:rsidRPr="00382917">
        <w:t>am</w:t>
      </w:r>
      <w:r w:rsidR="00EE4FC3">
        <w:t xml:space="preserve"> </w:t>
      </w:r>
      <w:r w:rsidR="001D2FA7" w:rsidRPr="00382917">
        <w:t>preparing</w:t>
      </w:r>
      <w:r w:rsidR="00EE4FC3">
        <w:t xml:space="preserve"> </w:t>
      </w:r>
      <w:r w:rsidR="001D2FA7" w:rsidRPr="00382917">
        <w:t>you</w:t>
      </w:r>
      <w:r w:rsidR="00EE4FC3">
        <w:t xml:space="preserve"> </w:t>
      </w:r>
      <w:r w:rsidR="001D2FA7" w:rsidRPr="00382917">
        <w:t>for</w:t>
      </w:r>
      <w:r w:rsidR="00EE4FC3">
        <w:t xml:space="preserve"> </w:t>
      </w:r>
      <w:r w:rsidR="001D2FA7" w:rsidRPr="00382917">
        <w:t>the</w:t>
      </w:r>
      <w:r w:rsidR="00EE4FC3">
        <w:t xml:space="preserve"> </w:t>
      </w:r>
      <w:r w:rsidR="001D2FA7" w:rsidRPr="00382917">
        <w:t>advent</w:t>
      </w:r>
      <w:r w:rsidR="00EE4FC3">
        <w:t xml:space="preserve"> </w:t>
      </w:r>
      <w:r w:rsidR="001D2FA7" w:rsidRPr="00382917">
        <w:t>of</w:t>
      </w:r>
      <w:r w:rsidR="00EE4FC3">
        <w:t xml:space="preserve"> </w:t>
      </w:r>
      <w:r w:rsidR="001D2FA7" w:rsidRPr="00382917">
        <w:t>a</w:t>
      </w:r>
      <w:r w:rsidR="00EE4FC3">
        <w:t xml:space="preserve"> </w:t>
      </w:r>
      <w:r w:rsidR="001D2FA7" w:rsidRPr="00382917">
        <w:t>mighty</w:t>
      </w:r>
      <w:r w:rsidR="00EE4FC3">
        <w:t xml:space="preserve"> </w:t>
      </w:r>
      <w:r w:rsidR="001D2FA7" w:rsidRPr="00382917">
        <w:t>Day,</w:t>
      </w:r>
      <w:r w:rsidRPr="00382917">
        <w:t>”</w:t>
      </w:r>
      <w:r w:rsidR="00EE4FC3">
        <w:t xml:space="preserve"> </w:t>
      </w:r>
      <w:r w:rsidR="001D2FA7" w:rsidRPr="00382917">
        <w:t>He</w:t>
      </w:r>
      <w:r w:rsidR="00EE4FC3">
        <w:t xml:space="preserve"> </w:t>
      </w:r>
      <w:r w:rsidR="001D2FA7" w:rsidRPr="00382917">
        <w:t>told</w:t>
      </w:r>
      <w:r w:rsidR="00EE4FC3">
        <w:t xml:space="preserve"> </w:t>
      </w:r>
      <w:r w:rsidR="001D2FA7" w:rsidRPr="00382917">
        <w:t>them</w:t>
      </w:r>
      <w:r w:rsidR="00EE4FC3">
        <w:t xml:space="preserve"> </w:t>
      </w:r>
      <w:r w:rsidR="001D2FA7" w:rsidRPr="00382917">
        <w:t>in</w:t>
      </w:r>
      <w:r w:rsidR="00EE4FC3">
        <w:t xml:space="preserve"> </w:t>
      </w:r>
      <w:r w:rsidR="001D2FA7" w:rsidRPr="00382917">
        <w:t>that</w:t>
      </w:r>
      <w:r w:rsidR="00EE4FC3">
        <w:t xml:space="preserve"> </w:t>
      </w:r>
      <w:r w:rsidR="001D2FA7" w:rsidRPr="00382917">
        <w:t>parting</w:t>
      </w:r>
      <w:r w:rsidR="00EE4FC3">
        <w:t xml:space="preserve"> </w:t>
      </w:r>
      <w:r w:rsidR="001D2FA7" w:rsidRPr="00382917">
        <w:t>message</w:t>
      </w:r>
      <w:r w:rsidR="00330AF7">
        <w:t>.</w:t>
      </w:r>
      <w:r w:rsidR="00EE4FC3">
        <w:t xml:space="preserve">  </w:t>
      </w:r>
      <w:r w:rsidRPr="00382917">
        <w:t>“</w:t>
      </w:r>
      <w:r w:rsidR="001D2FA7" w:rsidRPr="00382917">
        <w:t>Scatter</w:t>
      </w:r>
      <w:r w:rsidR="00EE4FC3">
        <w:t xml:space="preserve"> </w:t>
      </w:r>
      <w:r w:rsidR="001D2FA7" w:rsidRPr="00382917">
        <w:t>throughout</w:t>
      </w:r>
      <w:r w:rsidR="00EE4FC3">
        <w:t xml:space="preserve"> </w:t>
      </w:r>
      <w:r w:rsidR="001D2FA7" w:rsidRPr="00382917">
        <w:t>the</w:t>
      </w:r>
      <w:r w:rsidR="00EE4FC3">
        <w:t xml:space="preserve"> </w:t>
      </w:r>
      <w:r w:rsidR="001D2FA7" w:rsidRPr="00382917">
        <w:t>length</w:t>
      </w:r>
      <w:r w:rsidR="00EE4FC3">
        <w:t xml:space="preserve"> </w:t>
      </w:r>
      <w:r w:rsidR="001D2FA7" w:rsidRPr="00382917">
        <w:t>and</w:t>
      </w:r>
      <w:r w:rsidR="00EE4FC3">
        <w:t xml:space="preserve"> </w:t>
      </w:r>
      <w:r w:rsidR="001D2FA7" w:rsidRPr="00382917">
        <w:t>breadth</w:t>
      </w:r>
      <w:r w:rsidR="00EE4FC3">
        <w:t xml:space="preserve"> </w:t>
      </w:r>
      <w:r w:rsidR="001D2FA7" w:rsidRPr="00382917">
        <w:t>of</w:t>
      </w:r>
      <w:r w:rsidR="00EE4FC3">
        <w:t xml:space="preserve"> </w:t>
      </w:r>
      <w:r w:rsidR="001D2FA7" w:rsidRPr="00382917">
        <w:t>this</w:t>
      </w:r>
      <w:r w:rsidR="00EE4FC3">
        <w:t xml:space="preserve"> </w:t>
      </w:r>
      <w:r w:rsidR="001D2FA7" w:rsidRPr="00382917">
        <w:t>land,</w:t>
      </w:r>
      <w:r w:rsidR="00EE4FC3">
        <w:t xml:space="preserve"> </w:t>
      </w:r>
      <w:r w:rsidR="001D2FA7" w:rsidRPr="00382917">
        <w:t>and,</w:t>
      </w:r>
      <w:r w:rsidR="00EE4FC3">
        <w:t xml:space="preserve"> </w:t>
      </w:r>
      <w:r w:rsidR="001D2FA7" w:rsidRPr="00382917">
        <w:t>with</w:t>
      </w:r>
      <w:r w:rsidR="00EE4FC3">
        <w:t xml:space="preserve"> </w:t>
      </w:r>
      <w:r w:rsidR="001D2FA7" w:rsidRPr="00382917">
        <w:t>steadfast</w:t>
      </w:r>
      <w:r w:rsidR="00EE4FC3">
        <w:t xml:space="preserve"> </w:t>
      </w:r>
      <w:r w:rsidR="001D2FA7" w:rsidRPr="00382917">
        <w:t>feet</w:t>
      </w:r>
      <w:r w:rsidR="00EE4FC3">
        <w:t xml:space="preserve"> </w:t>
      </w:r>
      <w:r w:rsidR="001D2FA7" w:rsidRPr="00382917">
        <w:t>and</w:t>
      </w:r>
      <w:r w:rsidR="00EE4FC3">
        <w:t xml:space="preserve"> </w:t>
      </w:r>
      <w:r w:rsidR="001D2FA7" w:rsidRPr="00382917">
        <w:t>sanctified</w:t>
      </w:r>
      <w:r w:rsidR="00EE4FC3">
        <w:t xml:space="preserve"> </w:t>
      </w:r>
      <w:r w:rsidR="001D2FA7" w:rsidRPr="00382917">
        <w:t>hearts,</w:t>
      </w:r>
      <w:r w:rsidR="00EE4FC3">
        <w:t xml:space="preserve"> </w:t>
      </w:r>
      <w:r w:rsidR="001D2FA7" w:rsidRPr="00382917">
        <w:t>prepare</w:t>
      </w:r>
      <w:r w:rsidR="00EE4FC3">
        <w:t xml:space="preserve"> </w:t>
      </w:r>
      <w:r w:rsidR="001D2FA7" w:rsidRPr="00382917">
        <w:t>the</w:t>
      </w:r>
      <w:r w:rsidR="00EE4FC3">
        <w:t xml:space="preserve"> </w:t>
      </w:r>
      <w:r w:rsidR="001D2FA7" w:rsidRPr="00382917">
        <w:t>way</w:t>
      </w:r>
      <w:r w:rsidR="00EE4FC3">
        <w:t xml:space="preserve"> </w:t>
      </w:r>
      <w:r w:rsidR="001D2FA7" w:rsidRPr="00382917">
        <w:t>for</w:t>
      </w:r>
      <w:r w:rsidR="00EE4FC3">
        <w:t xml:space="preserve"> </w:t>
      </w:r>
      <w:r w:rsidR="001D2FA7" w:rsidRPr="00883FC2">
        <w:rPr>
          <w:i/>
          <w:iCs/>
        </w:rPr>
        <w:t>His</w:t>
      </w:r>
      <w:r w:rsidR="00EE4FC3">
        <w:t xml:space="preserve"> </w:t>
      </w:r>
      <w:r w:rsidR="001D2FA7" w:rsidRPr="00382917">
        <w:t>coming.</w:t>
      </w:r>
      <w:r w:rsidRPr="00382917">
        <w:t>”</w:t>
      </w:r>
      <w:r w:rsidR="00611AA4">
        <w:rPr>
          <w:rStyle w:val="FootnoteReference"/>
        </w:rPr>
        <w:footnoteReference w:id="230"/>
      </w:r>
    </w:p>
    <w:p w:rsidR="001D2FA7" w:rsidRPr="00382917" w:rsidRDefault="001D2FA7" w:rsidP="007B319A">
      <w:pPr>
        <w:pStyle w:val="Text"/>
      </w:pPr>
      <w:r w:rsidRPr="00382917">
        <w:t>The</w:t>
      </w:r>
      <w:r w:rsidR="00EE4FC3">
        <w:t xml:space="preserve"> </w:t>
      </w:r>
      <w:r w:rsidRPr="00382917">
        <w:t>Báb</w:t>
      </w:r>
      <w:r w:rsidR="00EE4FC3">
        <w:t xml:space="preserve"> </w:t>
      </w:r>
      <w:r w:rsidRPr="00382917">
        <w:t>also</w:t>
      </w:r>
      <w:r w:rsidR="00EE4FC3">
        <w:t xml:space="preserve"> </w:t>
      </w:r>
      <w:r w:rsidRPr="00382917">
        <w:t>instructed</w:t>
      </w:r>
      <w:r w:rsidR="00EE4FC3">
        <w:t xml:space="preserve"> </w:t>
      </w:r>
      <w:r w:rsidRPr="00382917">
        <w:t>His</w:t>
      </w:r>
      <w:r w:rsidR="00EE4FC3">
        <w:t xml:space="preserve"> </w:t>
      </w:r>
      <w:r w:rsidRPr="00382917">
        <w:t>disciples</w:t>
      </w:r>
      <w:r w:rsidR="00EE4FC3">
        <w:t xml:space="preserve"> </w:t>
      </w:r>
      <w:r w:rsidRPr="00382917">
        <w:t>to</w:t>
      </w:r>
      <w:r w:rsidR="00EE4FC3">
        <w:t xml:space="preserve"> </w:t>
      </w:r>
      <w:r w:rsidRPr="00382917">
        <w:t>record</w:t>
      </w:r>
      <w:r w:rsidR="00EE4FC3">
        <w:t xml:space="preserve"> </w:t>
      </w:r>
      <w:r w:rsidRPr="00382917">
        <w:t>the</w:t>
      </w:r>
      <w:r w:rsidR="00EE4FC3">
        <w:t xml:space="preserve"> </w:t>
      </w:r>
      <w:r w:rsidRPr="00382917">
        <w:t>names</w:t>
      </w:r>
      <w:r w:rsidR="00EE4FC3">
        <w:t xml:space="preserve"> </w:t>
      </w:r>
      <w:r w:rsidRPr="00382917">
        <w:t>of</w:t>
      </w:r>
      <w:r w:rsidR="00EE4FC3">
        <w:t xml:space="preserve"> </w:t>
      </w:r>
      <w:r w:rsidRPr="00382917">
        <w:t>all</w:t>
      </w:r>
      <w:r w:rsidR="00EE4FC3">
        <w:t xml:space="preserve"> </w:t>
      </w:r>
      <w:r w:rsidRPr="00382917">
        <w:t>the</w:t>
      </w:r>
      <w:r w:rsidR="00EE4FC3">
        <w:t xml:space="preserve"> </w:t>
      </w:r>
      <w:r w:rsidRPr="00382917">
        <w:t>believers</w:t>
      </w:r>
      <w:r w:rsidR="00EE4FC3">
        <w:t xml:space="preserve"> </w:t>
      </w:r>
      <w:r w:rsidRPr="00382917">
        <w:t>who</w:t>
      </w:r>
      <w:r w:rsidR="00EE4FC3">
        <w:t xml:space="preserve"> </w:t>
      </w:r>
      <w:r w:rsidRPr="00382917">
        <w:t>accepted</w:t>
      </w:r>
      <w:r w:rsidR="00EE4FC3">
        <w:t xml:space="preserve"> </w:t>
      </w:r>
      <w:r w:rsidRPr="00382917">
        <w:t>the</w:t>
      </w:r>
      <w:r w:rsidR="00EE4FC3">
        <w:t xml:space="preserve"> </w:t>
      </w:r>
      <w:r w:rsidRPr="00382917">
        <w:t>Faith.</w:t>
      </w:r>
    </w:p>
    <w:p w:rsidR="001D2FA7" w:rsidRPr="00382917" w:rsidRDefault="009C713D" w:rsidP="00611AA4">
      <w:pPr>
        <w:pStyle w:val="Text"/>
      </w:pPr>
      <w:r w:rsidRPr="00382917">
        <w:t>“</w:t>
      </w:r>
      <w:r w:rsidR="001D2FA7" w:rsidRPr="00382917">
        <w:t>Of</w:t>
      </w:r>
      <w:r w:rsidR="00EE4FC3">
        <w:t xml:space="preserve"> </w:t>
      </w:r>
      <w:r w:rsidR="001D2FA7" w:rsidRPr="00382917">
        <w:t>all</w:t>
      </w:r>
      <w:r w:rsidR="00EE4FC3">
        <w:t xml:space="preserve"> </w:t>
      </w:r>
      <w:r w:rsidR="001D2FA7" w:rsidRPr="00382917">
        <w:t>these</w:t>
      </w:r>
      <w:r w:rsidR="00EE4FC3">
        <w:t xml:space="preserve"> </w:t>
      </w:r>
      <w:r w:rsidR="001D2FA7" w:rsidRPr="00382917">
        <w:t>believers</w:t>
      </w:r>
      <w:r w:rsidR="00EE4FC3">
        <w:t xml:space="preserve"> </w:t>
      </w:r>
      <w:r w:rsidR="001D2FA7" w:rsidRPr="00382917">
        <w:t>I</w:t>
      </w:r>
      <w:r w:rsidR="00EE4FC3">
        <w:t xml:space="preserve"> </w:t>
      </w:r>
      <w:r w:rsidR="001D2FA7" w:rsidRPr="00382917">
        <w:t>shall</w:t>
      </w:r>
      <w:r w:rsidR="00EE4FC3">
        <w:t xml:space="preserve"> </w:t>
      </w:r>
      <w:r w:rsidR="001D2FA7" w:rsidRPr="00382917">
        <w:t>make</w:t>
      </w:r>
      <w:r w:rsidR="00EE4FC3">
        <w:t xml:space="preserve"> </w:t>
      </w:r>
      <w:r w:rsidR="001D2FA7" w:rsidRPr="00382917">
        <w:t>mention</w:t>
      </w:r>
      <w:r w:rsidR="00EE4FC3">
        <w:t xml:space="preserve"> </w:t>
      </w:r>
      <w:r w:rsidR="001D2FA7" w:rsidRPr="00382917">
        <w:t>in</w:t>
      </w:r>
      <w:r w:rsidR="00EE4FC3">
        <w:t xml:space="preserve"> </w:t>
      </w:r>
      <w:r w:rsidR="001D2FA7" w:rsidRPr="00382917">
        <w:t>the</w:t>
      </w:r>
      <w:r w:rsidR="00EE4FC3">
        <w:t xml:space="preserve"> </w:t>
      </w:r>
      <w:r w:rsidR="001D2FA7" w:rsidRPr="00382917">
        <w:t>Tablet</w:t>
      </w:r>
      <w:r w:rsidR="00EE4FC3">
        <w:t xml:space="preserve"> </w:t>
      </w:r>
      <w:r w:rsidR="001D2FA7" w:rsidRPr="00382917">
        <w:t>of</w:t>
      </w:r>
      <w:r w:rsidR="00EE4FC3">
        <w:t xml:space="preserve"> </w:t>
      </w:r>
      <w:r w:rsidR="001D2FA7" w:rsidRPr="00382917">
        <w:t>God,</w:t>
      </w:r>
      <w:r w:rsidRPr="00382917">
        <w:t>”</w:t>
      </w:r>
      <w:r w:rsidR="00EE4FC3">
        <w:t xml:space="preserve"> </w:t>
      </w:r>
      <w:r w:rsidR="001D2FA7" w:rsidRPr="00382917">
        <w:t>He</w:t>
      </w:r>
      <w:r w:rsidR="00EE4FC3">
        <w:t xml:space="preserve"> </w:t>
      </w:r>
      <w:r w:rsidR="001D2FA7" w:rsidRPr="00382917">
        <w:t>told</w:t>
      </w:r>
      <w:r w:rsidR="00EE4FC3">
        <w:t xml:space="preserve"> </w:t>
      </w:r>
      <w:r w:rsidR="001D2FA7" w:rsidRPr="00382917">
        <w:t>them,</w:t>
      </w:r>
      <w:r w:rsidR="00EE4FC3">
        <w:t xml:space="preserve"> </w:t>
      </w:r>
      <w:r w:rsidRPr="00382917">
        <w:t>“</w:t>
      </w:r>
      <w:r w:rsidR="001D2FA7" w:rsidRPr="00382917">
        <w:t>so</w:t>
      </w:r>
      <w:r w:rsidR="00EE4FC3">
        <w:t xml:space="preserve"> </w:t>
      </w:r>
      <w:r w:rsidR="001D2FA7" w:rsidRPr="00382917">
        <w:t>that</w:t>
      </w:r>
      <w:r w:rsidR="00EE4FC3">
        <w:t xml:space="preserve"> </w:t>
      </w:r>
      <w:r w:rsidR="001D2FA7" w:rsidRPr="00382917">
        <w:t>upon</w:t>
      </w:r>
      <w:r w:rsidR="00EE4FC3">
        <w:t xml:space="preserve"> </w:t>
      </w:r>
      <w:r w:rsidR="001D2FA7" w:rsidRPr="00382917">
        <w:t>each</w:t>
      </w:r>
      <w:r w:rsidR="00EE4FC3">
        <w:t xml:space="preserve"> </w:t>
      </w:r>
      <w:r w:rsidR="001D2FA7" w:rsidRPr="00382917">
        <w:t>one</w:t>
      </w:r>
      <w:r w:rsidR="00EE4FC3">
        <w:t xml:space="preserve"> </w:t>
      </w:r>
      <w:r w:rsidR="001D2FA7" w:rsidRPr="00382917">
        <w:t>of</w:t>
      </w:r>
      <w:r w:rsidR="00EE4FC3">
        <w:t xml:space="preserve"> </w:t>
      </w:r>
      <w:r w:rsidR="001D2FA7" w:rsidRPr="00382917">
        <w:t>them</w:t>
      </w:r>
      <w:r w:rsidR="00EE4FC3">
        <w:t xml:space="preserve"> </w:t>
      </w:r>
      <w:r w:rsidR="001D2FA7" w:rsidRPr="00382917">
        <w:t>the</w:t>
      </w:r>
      <w:r w:rsidR="00EE4FC3">
        <w:t xml:space="preserve"> </w:t>
      </w:r>
      <w:r w:rsidR="001D2FA7" w:rsidRPr="00382917">
        <w:t>Beloved</w:t>
      </w:r>
      <w:r w:rsidR="00EE4FC3">
        <w:t xml:space="preserve"> </w:t>
      </w:r>
      <w:r w:rsidR="001D2FA7" w:rsidRPr="00382917">
        <w:t>of</w:t>
      </w:r>
      <w:r w:rsidR="00EE4FC3">
        <w:t xml:space="preserve"> </w:t>
      </w:r>
      <w:r w:rsidR="001D2FA7" w:rsidRPr="00382917">
        <w:t>our</w:t>
      </w:r>
      <w:r w:rsidR="00EE4FC3">
        <w:t xml:space="preserve"> </w:t>
      </w:r>
      <w:r w:rsidR="001D2FA7" w:rsidRPr="00382917">
        <w:t>hearts</w:t>
      </w:r>
      <w:r w:rsidR="00EE4FC3">
        <w:t xml:space="preserve"> </w:t>
      </w:r>
      <w:r w:rsidR="001D2FA7" w:rsidRPr="00382917">
        <w:t>may,</w:t>
      </w:r>
      <w:r w:rsidR="00EE4FC3">
        <w:t xml:space="preserve"> </w:t>
      </w:r>
      <w:r w:rsidR="001D2FA7" w:rsidRPr="00382917">
        <w:t>in</w:t>
      </w:r>
      <w:r w:rsidR="00EE4FC3">
        <w:t xml:space="preserve"> </w:t>
      </w:r>
      <w:r w:rsidR="001D2FA7" w:rsidRPr="00382917">
        <w:t>the</w:t>
      </w:r>
      <w:r w:rsidR="00EE4FC3">
        <w:t xml:space="preserve"> </w:t>
      </w:r>
      <w:r w:rsidR="001D2FA7" w:rsidRPr="00382917">
        <w:t>Day</w:t>
      </w:r>
      <w:r w:rsidR="00EE4FC3">
        <w:t xml:space="preserve"> </w:t>
      </w:r>
      <w:r w:rsidR="001D2FA7" w:rsidRPr="00382917">
        <w:t>when</w:t>
      </w:r>
      <w:r w:rsidR="00EE4FC3">
        <w:t xml:space="preserve"> </w:t>
      </w:r>
      <w:r w:rsidR="001D2FA7" w:rsidRPr="00382917">
        <w:t>He</w:t>
      </w:r>
      <w:r w:rsidR="00EE4FC3">
        <w:t xml:space="preserve"> </w:t>
      </w:r>
      <w:r w:rsidR="001D2FA7" w:rsidRPr="00382917">
        <w:t>shall</w:t>
      </w:r>
      <w:r w:rsidR="00EE4FC3">
        <w:t xml:space="preserve"> </w:t>
      </w:r>
      <w:r w:rsidR="001D2FA7" w:rsidRPr="00382917">
        <w:t>have</w:t>
      </w:r>
      <w:r w:rsidR="00EE4FC3">
        <w:t xml:space="preserve"> </w:t>
      </w:r>
      <w:r w:rsidR="001D2FA7" w:rsidRPr="00382917">
        <w:t>ascended</w:t>
      </w:r>
      <w:r w:rsidR="00EE4FC3">
        <w:t xml:space="preserve"> </w:t>
      </w:r>
      <w:r w:rsidR="001D2FA7" w:rsidRPr="00382917">
        <w:t>the</w:t>
      </w:r>
      <w:r w:rsidR="00EE4FC3">
        <w:t xml:space="preserve"> </w:t>
      </w:r>
      <w:r w:rsidR="001D2FA7" w:rsidRPr="00382917">
        <w:t>throne</w:t>
      </w:r>
      <w:r w:rsidR="00EE4FC3">
        <w:t xml:space="preserve"> </w:t>
      </w:r>
      <w:r w:rsidR="001D2FA7" w:rsidRPr="00382917">
        <w:t>of</w:t>
      </w:r>
      <w:r w:rsidR="00EE4FC3">
        <w:t xml:space="preserve"> </w:t>
      </w:r>
      <w:r w:rsidR="001D2FA7" w:rsidRPr="00382917">
        <w:t>glory,</w:t>
      </w:r>
      <w:r w:rsidR="00EE4FC3">
        <w:t xml:space="preserve"> </w:t>
      </w:r>
      <w:r w:rsidR="001D2FA7" w:rsidRPr="00382917">
        <w:t>confer</w:t>
      </w:r>
      <w:r w:rsidR="00EE4FC3">
        <w:t xml:space="preserve"> </w:t>
      </w:r>
      <w:r w:rsidR="001D2FA7" w:rsidRPr="00382917">
        <w:t>His</w:t>
      </w:r>
      <w:r w:rsidR="00EE4FC3">
        <w:t xml:space="preserve"> </w:t>
      </w:r>
      <w:r w:rsidR="001D2FA7" w:rsidRPr="00382917">
        <w:t>inestimable</w:t>
      </w:r>
      <w:r w:rsidR="00EE4FC3">
        <w:t xml:space="preserve"> </w:t>
      </w:r>
      <w:r w:rsidR="001D2FA7" w:rsidRPr="00382917">
        <w:t>blessing.</w:t>
      </w:r>
      <w:r w:rsidRPr="00382917">
        <w:t>”</w:t>
      </w:r>
      <w:r w:rsidR="00611AA4">
        <w:rPr>
          <w:rStyle w:val="FootnoteReference"/>
        </w:rPr>
        <w:footnoteReference w:id="231"/>
      </w:r>
    </w:p>
    <w:p w:rsidR="001D2FA7" w:rsidRPr="00382917" w:rsidRDefault="001D2FA7" w:rsidP="007B319A">
      <w:pPr>
        <w:pStyle w:val="Text"/>
      </w:pPr>
      <w:r w:rsidRPr="00382917">
        <w:t>It</w:t>
      </w:r>
      <w:r w:rsidR="00EE4FC3">
        <w:t xml:space="preserve"> </w:t>
      </w:r>
      <w:r w:rsidRPr="00382917">
        <w:t>was</w:t>
      </w:r>
      <w:r w:rsidR="00EE4FC3">
        <w:t xml:space="preserve"> </w:t>
      </w:r>
      <w:r w:rsidRPr="00382917">
        <w:t>from</w:t>
      </w:r>
      <w:r w:rsidR="00EE4FC3">
        <w:t xml:space="preserve"> </w:t>
      </w:r>
      <w:r w:rsidRPr="00382917">
        <w:t>the</w:t>
      </w:r>
      <w:r w:rsidR="00EE4FC3">
        <w:t xml:space="preserve"> </w:t>
      </w:r>
      <w:r w:rsidRPr="00382917">
        <w:t>names</w:t>
      </w:r>
      <w:r w:rsidR="00EE4FC3">
        <w:t xml:space="preserve"> </w:t>
      </w:r>
      <w:r w:rsidRPr="00382917">
        <w:t>of</w:t>
      </w:r>
      <w:r w:rsidR="00EE4FC3">
        <w:t xml:space="preserve"> </w:t>
      </w:r>
      <w:r w:rsidRPr="00382917">
        <w:t>these</w:t>
      </w:r>
      <w:r w:rsidR="00EE4FC3">
        <w:t xml:space="preserve"> </w:t>
      </w:r>
      <w:r w:rsidRPr="00382917">
        <w:t>believers</w:t>
      </w:r>
      <w:r w:rsidR="00EE4FC3">
        <w:t xml:space="preserve"> </w:t>
      </w:r>
      <w:r w:rsidRPr="00382917">
        <w:t>that</w:t>
      </w:r>
      <w:r w:rsidR="00EE4FC3">
        <w:t xml:space="preserve"> </w:t>
      </w:r>
      <w:r w:rsidRPr="00382917">
        <w:t>the</w:t>
      </w:r>
      <w:r w:rsidR="00EE4FC3">
        <w:t xml:space="preserve"> </w:t>
      </w:r>
      <w:r w:rsidRPr="00382917">
        <w:t>first</w:t>
      </w:r>
      <w:r w:rsidR="00EE4FC3">
        <w:t xml:space="preserve"> </w:t>
      </w:r>
      <w:r w:rsidRPr="00382917">
        <w:t>followers</w:t>
      </w:r>
      <w:r w:rsidR="00EE4FC3">
        <w:t xml:space="preserve"> </w:t>
      </w:r>
      <w:r w:rsidRPr="00382917">
        <w:t>of</w:t>
      </w:r>
      <w:r w:rsidR="00EE4FC3">
        <w:t xml:space="preserve"> </w:t>
      </w:r>
      <w:r w:rsidRPr="00382917">
        <w:t>Bahá</w:t>
      </w:r>
      <w:r w:rsidR="009C713D" w:rsidRPr="00382917">
        <w:t>’</w:t>
      </w:r>
      <w:r w:rsidRPr="00382917">
        <w:t>u</w:t>
      </w:r>
      <w:r w:rsidR="009C713D" w:rsidRPr="00382917">
        <w:t>’</w:t>
      </w:r>
      <w:r w:rsidRPr="00382917">
        <w:t>lláh</w:t>
      </w:r>
      <w:r w:rsidR="00EE4FC3">
        <w:t xml:space="preserve"> </w:t>
      </w:r>
      <w:r w:rsidRPr="00382917">
        <w:t>came,</w:t>
      </w:r>
      <w:r w:rsidR="00EE4FC3">
        <w:t xml:space="preserve"> </w:t>
      </w:r>
      <w:r w:rsidRPr="00382917">
        <w:t>and</w:t>
      </w:r>
      <w:r w:rsidR="00EE4FC3">
        <w:t xml:space="preserve"> </w:t>
      </w:r>
      <w:r w:rsidRPr="00382917">
        <w:t>upon</w:t>
      </w:r>
      <w:r w:rsidR="00EE4FC3">
        <w:t xml:space="preserve"> </w:t>
      </w:r>
      <w:r w:rsidRPr="00382917">
        <w:t>whom</w:t>
      </w:r>
      <w:r w:rsidR="00EE4FC3">
        <w:t xml:space="preserve"> </w:t>
      </w:r>
      <w:r w:rsidRPr="00382917">
        <w:t>He</w:t>
      </w:r>
      <w:r w:rsidR="00EE4FC3">
        <w:t xml:space="preserve"> </w:t>
      </w:r>
      <w:r w:rsidRPr="00382917">
        <w:t>conferred</w:t>
      </w:r>
      <w:r w:rsidR="00EE4FC3">
        <w:t xml:space="preserve"> </w:t>
      </w:r>
      <w:r w:rsidRPr="00382917">
        <w:t>His</w:t>
      </w:r>
      <w:r w:rsidR="00EE4FC3">
        <w:t xml:space="preserve"> </w:t>
      </w:r>
      <w:r w:rsidRPr="00382917">
        <w:t>special</w:t>
      </w:r>
      <w:r w:rsidR="00EE4FC3">
        <w:t xml:space="preserve"> </w:t>
      </w:r>
      <w:r w:rsidRPr="00382917">
        <w:t>blessing</w:t>
      </w:r>
      <w:r w:rsidR="00EE4FC3">
        <w:t xml:space="preserve"> </w:t>
      </w:r>
      <w:r w:rsidRPr="00382917">
        <w:t>and</w:t>
      </w:r>
      <w:r w:rsidR="00EE4FC3">
        <w:t xml:space="preserve"> </w:t>
      </w:r>
      <w:r w:rsidRPr="00382917">
        <w:t>love.</w:t>
      </w:r>
    </w:p>
    <w:p w:rsidR="001D2FA7" w:rsidRPr="00382917" w:rsidRDefault="001D2FA7" w:rsidP="00611AA4">
      <w:pPr>
        <w:pStyle w:val="Text"/>
      </w:pPr>
      <w:r w:rsidRPr="00382917">
        <w:t>The</w:t>
      </w:r>
      <w:r w:rsidR="00EE4FC3">
        <w:t xml:space="preserve"> </w:t>
      </w:r>
      <w:r w:rsidRPr="00382917">
        <w:t>Báb</w:t>
      </w:r>
      <w:r w:rsidR="00EE4FC3">
        <w:t xml:space="preserve"> </w:t>
      </w:r>
      <w:r w:rsidRPr="00382917">
        <w:t>did</w:t>
      </w:r>
      <w:r w:rsidR="00EE4FC3">
        <w:t xml:space="preserve"> </w:t>
      </w:r>
      <w:r w:rsidRPr="00382917">
        <w:t>everything</w:t>
      </w:r>
      <w:r w:rsidR="00EE4FC3">
        <w:t xml:space="preserve"> </w:t>
      </w:r>
      <w:r w:rsidRPr="00382917">
        <w:t>in</w:t>
      </w:r>
      <w:r w:rsidR="00EE4FC3">
        <w:t xml:space="preserve"> </w:t>
      </w:r>
      <w:r w:rsidRPr="00382917">
        <w:t>His</w:t>
      </w:r>
      <w:r w:rsidR="00EE4FC3">
        <w:t xml:space="preserve"> </w:t>
      </w:r>
      <w:r w:rsidRPr="00382917">
        <w:t>power</w:t>
      </w:r>
      <w:r w:rsidR="00EE4FC3">
        <w:t xml:space="preserve"> </w:t>
      </w:r>
      <w:r w:rsidRPr="00382917">
        <w:t>to</w:t>
      </w:r>
      <w:r w:rsidR="00EE4FC3">
        <w:t xml:space="preserve"> </w:t>
      </w:r>
      <w:r w:rsidRPr="00382917">
        <w:t>assist</w:t>
      </w:r>
      <w:r w:rsidR="00EE4FC3">
        <w:t xml:space="preserve"> </w:t>
      </w:r>
      <w:r w:rsidRPr="00382917">
        <w:t>His</w:t>
      </w:r>
      <w:r w:rsidR="00EE4FC3">
        <w:t xml:space="preserve"> </w:t>
      </w:r>
      <w:r w:rsidRPr="00382917">
        <w:t>followers</w:t>
      </w:r>
      <w:r w:rsidR="00EE4FC3">
        <w:t xml:space="preserve"> </w:t>
      </w:r>
      <w:r w:rsidRPr="00382917">
        <w:t>so</w:t>
      </w:r>
      <w:r w:rsidR="00EE4FC3">
        <w:t xml:space="preserve"> </w:t>
      </w:r>
      <w:r w:rsidRPr="00382917">
        <w:t>that</w:t>
      </w:r>
      <w:r w:rsidR="00EE4FC3">
        <w:t xml:space="preserve"> </w:t>
      </w:r>
      <w:r w:rsidRPr="00382917">
        <w:t>they</w:t>
      </w:r>
      <w:r w:rsidR="00EE4FC3">
        <w:t xml:space="preserve"> </w:t>
      </w:r>
      <w:r w:rsidRPr="00382917">
        <w:t>would</w:t>
      </w:r>
      <w:r w:rsidR="00EE4FC3">
        <w:t xml:space="preserve"> </w:t>
      </w:r>
      <w:r w:rsidRPr="00382917">
        <w:t>know</w:t>
      </w:r>
      <w:r w:rsidR="00EE4FC3">
        <w:t xml:space="preserve"> </w:t>
      </w:r>
      <w:r w:rsidRPr="00382917">
        <w:t>where</w:t>
      </w:r>
      <w:r w:rsidR="00EE4FC3">
        <w:t xml:space="preserve"> </w:t>
      </w:r>
      <w:r w:rsidRPr="00382917">
        <w:t>to</w:t>
      </w:r>
      <w:r w:rsidR="00EE4FC3">
        <w:t xml:space="preserve"> </w:t>
      </w:r>
      <w:r w:rsidRPr="00382917">
        <w:t>turn</w:t>
      </w:r>
      <w:r w:rsidR="00EE4FC3">
        <w:t xml:space="preserve"> </w:t>
      </w:r>
      <w:r w:rsidRPr="00382917">
        <w:t>after</w:t>
      </w:r>
      <w:r w:rsidR="00EE4FC3">
        <w:t xml:space="preserve"> </w:t>
      </w:r>
      <w:r w:rsidRPr="00382917">
        <w:t>His</w:t>
      </w:r>
      <w:r w:rsidR="00EE4FC3">
        <w:t xml:space="preserve"> </w:t>
      </w:r>
      <w:r w:rsidRPr="00382917">
        <w:t>own</w:t>
      </w:r>
      <w:r w:rsidR="00EE4FC3">
        <w:t xml:space="preserve"> </w:t>
      </w:r>
      <w:r w:rsidRPr="00382917">
        <w:t>martyrdom</w:t>
      </w:r>
      <w:r w:rsidR="00330AF7">
        <w:t>.</w:t>
      </w:r>
      <w:r w:rsidR="00EE4FC3">
        <w:t xml:space="preserve">  </w:t>
      </w:r>
      <w:r w:rsidRPr="00382917">
        <w:t>He</w:t>
      </w:r>
      <w:r w:rsidR="00EE4FC3">
        <w:t xml:space="preserve"> </w:t>
      </w:r>
      <w:r w:rsidRPr="00382917">
        <w:t>clearly</w:t>
      </w:r>
      <w:r w:rsidR="00EE4FC3">
        <w:t xml:space="preserve"> </w:t>
      </w:r>
      <w:r w:rsidRPr="00382917">
        <w:t>announced</w:t>
      </w:r>
      <w:r w:rsidR="00EE4FC3">
        <w:t xml:space="preserve"> </w:t>
      </w:r>
      <w:r w:rsidRPr="00382917">
        <w:t>that</w:t>
      </w:r>
      <w:r w:rsidR="00EE4FC3">
        <w:t xml:space="preserve"> </w:t>
      </w:r>
      <w:r w:rsidRPr="00382917">
        <w:t>He</w:t>
      </w:r>
      <w:r w:rsidR="00EE4FC3">
        <w:t xml:space="preserve"> </w:t>
      </w:r>
      <w:r w:rsidRPr="00382917">
        <w:t>was</w:t>
      </w:r>
      <w:r w:rsidR="00EE4FC3">
        <w:t xml:space="preserve"> </w:t>
      </w:r>
      <w:r w:rsidRPr="00382917">
        <w:t>the</w:t>
      </w:r>
      <w:r w:rsidR="00EE4FC3">
        <w:t xml:space="preserve"> </w:t>
      </w:r>
      <w:r w:rsidRPr="00382917">
        <w:t>Promised</w:t>
      </w:r>
      <w:r w:rsidR="00EE4FC3">
        <w:t xml:space="preserve"> </w:t>
      </w:r>
      <w:r w:rsidRPr="00382917">
        <w:t>One,</w:t>
      </w:r>
      <w:r w:rsidR="00EE4FC3">
        <w:t xml:space="preserve"> </w:t>
      </w:r>
      <w:r w:rsidRPr="00382917">
        <w:t>but</w:t>
      </w:r>
      <w:r w:rsidR="00EE4FC3">
        <w:t xml:space="preserve"> </w:t>
      </w:r>
      <w:r w:rsidRPr="00382917">
        <w:t>that</w:t>
      </w:r>
      <w:r w:rsidR="00EE4FC3">
        <w:t xml:space="preserve"> </w:t>
      </w:r>
      <w:r w:rsidRPr="00382917">
        <w:t>He</w:t>
      </w:r>
      <w:r w:rsidR="00EE4FC3">
        <w:t xml:space="preserve"> </w:t>
      </w:r>
      <w:r w:rsidR="009C713D" w:rsidRPr="00382917">
        <w:t>“</w:t>
      </w:r>
      <w:r w:rsidRPr="00382917">
        <w:t>stood</w:t>
      </w:r>
      <w:r w:rsidR="00EE4FC3">
        <w:t xml:space="preserve"> </w:t>
      </w:r>
      <w:r w:rsidRPr="00382917">
        <w:t>in</w:t>
      </w:r>
      <w:r w:rsidR="00EE4FC3">
        <w:t xml:space="preserve"> </w:t>
      </w:r>
      <w:r w:rsidRPr="00382917">
        <w:t>relation</w:t>
      </w:r>
      <w:r w:rsidR="00EE4FC3">
        <w:t xml:space="preserve"> </w:t>
      </w:r>
      <w:r w:rsidRPr="00382917">
        <w:t>to</w:t>
      </w:r>
      <w:r w:rsidR="00EE4FC3">
        <w:t xml:space="preserve"> </w:t>
      </w:r>
      <w:r w:rsidRPr="00382917">
        <w:t>a</w:t>
      </w:r>
      <w:r w:rsidR="00EE4FC3">
        <w:t xml:space="preserve"> </w:t>
      </w:r>
      <w:r w:rsidRPr="00382917">
        <w:t>succeeding</w:t>
      </w:r>
      <w:r w:rsidR="00EE4FC3">
        <w:t xml:space="preserve"> </w:t>
      </w:r>
      <w:r w:rsidRPr="00382917">
        <w:t>and</w:t>
      </w:r>
      <w:r w:rsidR="00EE4FC3">
        <w:t xml:space="preserve"> </w:t>
      </w:r>
      <w:r w:rsidRPr="00382917">
        <w:t>greater</w:t>
      </w:r>
      <w:r w:rsidR="00EE4FC3">
        <w:t xml:space="preserve"> </w:t>
      </w:r>
      <w:r w:rsidRPr="00382917">
        <w:t>(Messenger)</w:t>
      </w:r>
      <w:r w:rsidR="00EE4FC3">
        <w:t xml:space="preserve"> </w:t>
      </w:r>
      <w:r w:rsidRPr="00382917">
        <w:t>as</w:t>
      </w:r>
      <w:r w:rsidR="00EE4FC3">
        <w:t xml:space="preserve"> </w:t>
      </w:r>
      <w:r w:rsidRPr="00382917">
        <w:t>did</w:t>
      </w:r>
      <w:r w:rsidR="00EE4FC3">
        <w:t xml:space="preserve"> </w:t>
      </w:r>
      <w:r w:rsidRPr="00382917">
        <w:t>John</w:t>
      </w:r>
      <w:r w:rsidR="00EE4FC3">
        <w:t xml:space="preserve"> </w:t>
      </w:r>
      <w:r w:rsidRPr="00382917">
        <w:t>the</w:t>
      </w:r>
      <w:r w:rsidR="00EE4FC3">
        <w:t xml:space="preserve"> </w:t>
      </w:r>
      <w:r w:rsidRPr="00382917">
        <w:t>Baptist</w:t>
      </w:r>
      <w:r w:rsidR="00EE4FC3">
        <w:t xml:space="preserve"> </w:t>
      </w:r>
      <w:r w:rsidRPr="00382917">
        <w:t>to</w:t>
      </w:r>
      <w:r w:rsidR="00EE4FC3">
        <w:t xml:space="preserve"> </w:t>
      </w:r>
      <w:r w:rsidRPr="00382917">
        <w:t>the</w:t>
      </w:r>
      <w:r w:rsidR="00EE4FC3">
        <w:t xml:space="preserve"> </w:t>
      </w:r>
      <w:r w:rsidRPr="00382917">
        <w:t>Christ</w:t>
      </w:r>
      <w:r w:rsidR="00330AF7">
        <w:t>.</w:t>
      </w:r>
      <w:r w:rsidR="00EE4FC3">
        <w:t xml:space="preserve">  </w:t>
      </w:r>
      <w:r w:rsidRPr="00382917">
        <w:t>He</w:t>
      </w:r>
      <w:r w:rsidR="00EE4FC3">
        <w:t xml:space="preserve"> </w:t>
      </w:r>
      <w:r w:rsidRPr="00382917">
        <w:t>was</w:t>
      </w:r>
      <w:r w:rsidR="00EE4FC3">
        <w:t xml:space="preserve"> </w:t>
      </w:r>
      <w:r w:rsidRPr="00382917">
        <w:t>the</w:t>
      </w:r>
      <w:r w:rsidR="00EE4FC3">
        <w:t xml:space="preserve"> </w:t>
      </w:r>
      <w:r w:rsidRPr="00382917">
        <w:t>Forerunner</w:t>
      </w:r>
      <w:r w:rsidR="00EE4FC3">
        <w:t xml:space="preserve"> </w:t>
      </w:r>
      <w:r w:rsidRPr="00382917">
        <w:t>of</w:t>
      </w:r>
      <w:r w:rsidR="00EE4FC3">
        <w:t xml:space="preserve"> </w:t>
      </w:r>
      <w:r w:rsidRPr="00382917">
        <w:t>One</w:t>
      </w:r>
      <w:r w:rsidR="00EE4FC3">
        <w:t xml:space="preserve"> </w:t>
      </w:r>
      <w:r w:rsidRPr="00382917">
        <w:t>more</w:t>
      </w:r>
      <w:r w:rsidR="00EE4FC3">
        <w:t xml:space="preserve"> </w:t>
      </w:r>
      <w:proofErr w:type="gramStart"/>
      <w:r w:rsidRPr="00382917">
        <w:t>mighty</w:t>
      </w:r>
      <w:proofErr w:type="gramEnd"/>
      <w:r w:rsidR="00EE4FC3">
        <w:t xml:space="preserve"> </w:t>
      </w:r>
      <w:r w:rsidRPr="00382917">
        <w:t>than</w:t>
      </w:r>
      <w:r w:rsidR="00EE4FC3">
        <w:t xml:space="preserve"> </w:t>
      </w:r>
      <w:r w:rsidRPr="00382917">
        <w:t>Himself</w:t>
      </w:r>
      <w:r w:rsidR="00330AF7">
        <w:t>.</w:t>
      </w:r>
      <w:r w:rsidR="00EE4FC3">
        <w:t xml:space="preserve">  </w:t>
      </w:r>
      <w:r w:rsidRPr="00382917">
        <w:t>He</w:t>
      </w:r>
      <w:r w:rsidR="00EE4FC3">
        <w:t xml:space="preserve"> </w:t>
      </w:r>
      <w:r w:rsidRPr="00382917">
        <w:t>(the</w:t>
      </w:r>
      <w:r w:rsidR="00EE4FC3">
        <w:t xml:space="preserve"> </w:t>
      </w:r>
      <w:r w:rsidR="0040329F" w:rsidRPr="00382917">
        <w:t>B</w:t>
      </w:r>
      <w:r w:rsidR="0040329F" w:rsidRPr="0040329F">
        <w:t>á</w:t>
      </w:r>
      <w:r w:rsidR="0040329F" w:rsidRPr="00382917">
        <w:t>b</w:t>
      </w:r>
      <w:r w:rsidRPr="00382917">
        <w:t>)</w:t>
      </w:r>
      <w:r w:rsidR="00EE4FC3">
        <w:t xml:space="preserve"> </w:t>
      </w:r>
      <w:r w:rsidRPr="00382917">
        <w:t>was</w:t>
      </w:r>
      <w:r w:rsidR="00EE4FC3">
        <w:t xml:space="preserve"> </w:t>
      </w:r>
      <w:r w:rsidRPr="00382917">
        <w:t>to</w:t>
      </w:r>
      <w:r w:rsidR="00EE4FC3">
        <w:t xml:space="preserve"> </w:t>
      </w:r>
      <w:r w:rsidRPr="00382917">
        <w:t>decrease;</w:t>
      </w:r>
      <w:r w:rsidR="00EE4FC3">
        <w:t xml:space="preserve"> </w:t>
      </w:r>
      <w:r w:rsidRPr="00382917">
        <w:t>that</w:t>
      </w:r>
      <w:r w:rsidR="00EE4FC3">
        <w:t xml:space="preserve"> </w:t>
      </w:r>
      <w:r w:rsidRPr="00382917">
        <w:t>Mighty</w:t>
      </w:r>
      <w:r w:rsidR="00EE4FC3">
        <w:t xml:space="preserve"> </w:t>
      </w:r>
      <w:r w:rsidRPr="00382917">
        <w:t>One</w:t>
      </w:r>
      <w:r w:rsidR="00EE4FC3">
        <w:t xml:space="preserve"> </w:t>
      </w:r>
      <w:r w:rsidRPr="00382917">
        <w:t>was</w:t>
      </w:r>
      <w:r w:rsidR="00EE4FC3">
        <w:t xml:space="preserve"> </w:t>
      </w:r>
      <w:r w:rsidRPr="00382917">
        <w:t>to</w:t>
      </w:r>
      <w:r w:rsidR="00EE4FC3">
        <w:t xml:space="preserve"> </w:t>
      </w:r>
      <w:r w:rsidRPr="00382917">
        <w:t>increase</w:t>
      </w:r>
      <w:r w:rsidR="00330AF7">
        <w:t>.</w:t>
      </w:r>
      <w:r w:rsidR="00EE4FC3">
        <w:t xml:space="preserve">  </w:t>
      </w:r>
      <w:r w:rsidRPr="00382917">
        <w:t>And</w:t>
      </w:r>
      <w:r w:rsidR="00EE4FC3">
        <w:t xml:space="preserve"> </w:t>
      </w:r>
      <w:r w:rsidRPr="00382917">
        <w:t>as</w:t>
      </w:r>
      <w:r w:rsidR="00EE4FC3">
        <w:t xml:space="preserve"> </w:t>
      </w:r>
      <w:r w:rsidRPr="00382917">
        <w:t>John</w:t>
      </w:r>
      <w:r w:rsidR="00EE4FC3">
        <w:t xml:space="preserve"> </w:t>
      </w:r>
      <w:r w:rsidRPr="00382917">
        <w:t>the</w:t>
      </w:r>
      <w:r w:rsidR="00EE4FC3">
        <w:t xml:space="preserve"> </w:t>
      </w:r>
      <w:r w:rsidRPr="00382917">
        <w:t>Baptist</w:t>
      </w:r>
      <w:r w:rsidR="00EE4FC3">
        <w:t xml:space="preserve"> </w:t>
      </w:r>
      <w:r w:rsidRPr="00382917">
        <w:t>had</w:t>
      </w:r>
      <w:r w:rsidR="00EE4FC3">
        <w:t xml:space="preserve"> </w:t>
      </w:r>
      <w:r w:rsidRPr="00382917">
        <w:t>been</w:t>
      </w:r>
      <w:r w:rsidR="00EE4FC3">
        <w:t xml:space="preserve"> </w:t>
      </w:r>
      <w:r w:rsidRPr="00382917">
        <w:t>the</w:t>
      </w:r>
      <w:r w:rsidR="00EE4FC3">
        <w:t xml:space="preserve"> </w:t>
      </w:r>
      <w:r w:rsidRPr="00382917">
        <w:t>Herald</w:t>
      </w:r>
      <w:r w:rsidR="00EE4FC3">
        <w:t xml:space="preserve"> </w:t>
      </w:r>
      <w:r w:rsidRPr="00382917">
        <w:t>or</w:t>
      </w:r>
      <w:r w:rsidR="00EE4FC3">
        <w:t xml:space="preserve"> </w:t>
      </w:r>
      <w:r w:rsidRPr="00382917">
        <w:t>Gate</w:t>
      </w:r>
      <w:r w:rsidR="00EE4FC3">
        <w:t xml:space="preserve"> </w:t>
      </w:r>
      <w:r w:rsidRPr="00382917">
        <w:t>of</w:t>
      </w:r>
      <w:r w:rsidR="00EE4FC3">
        <w:t xml:space="preserve"> </w:t>
      </w:r>
      <w:r w:rsidRPr="00382917">
        <w:t>the</w:t>
      </w:r>
      <w:r w:rsidR="00EE4FC3">
        <w:t xml:space="preserve"> </w:t>
      </w:r>
      <w:r w:rsidRPr="00382917">
        <w:t>Christ,</w:t>
      </w:r>
      <w:r w:rsidR="00EE4FC3">
        <w:t xml:space="preserve"> </w:t>
      </w:r>
      <w:r w:rsidRPr="00382917">
        <w:t>so</w:t>
      </w:r>
      <w:r w:rsidR="00EE4FC3">
        <w:t xml:space="preserve"> </w:t>
      </w:r>
      <w:r w:rsidRPr="00382917">
        <w:t>was</w:t>
      </w:r>
      <w:r w:rsidR="00EE4FC3">
        <w:t xml:space="preserve"> </w:t>
      </w:r>
      <w:r w:rsidRPr="00382917">
        <w:t>(He)</w:t>
      </w:r>
      <w:r w:rsidR="00EE4FC3">
        <w:t xml:space="preserve"> </w:t>
      </w:r>
      <w:r w:rsidRPr="00382917">
        <w:t>the</w:t>
      </w:r>
      <w:r w:rsidR="00EE4FC3">
        <w:t xml:space="preserve"> </w:t>
      </w:r>
      <w:r w:rsidRPr="00382917">
        <w:t>Báb</w:t>
      </w:r>
      <w:r w:rsidR="00EE4FC3">
        <w:t xml:space="preserve"> </w:t>
      </w:r>
      <w:r w:rsidRPr="00382917">
        <w:t>the</w:t>
      </w:r>
      <w:r w:rsidR="00EE4FC3">
        <w:t xml:space="preserve"> </w:t>
      </w:r>
      <w:r w:rsidRPr="00382917">
        <w:t>Herald</w:t>
      </w:r>
      <w:r w:rsidR="00EE4FC3">
        <w:t xml:space="preserve"> </w:t>
      </w:r>
      <w:r w:rsidRPr="00382917">
        <w:t>or</w:t>
      </w:r>
      <w:r w:rsidR="00EE4FC3">
        <w:t xml:space="preserve"> </w:t>
      </w:r>
      <w:r w:rsidRPr="00382917">
        <w:t>Gate</w:t>
      </w:r>
      <w:r w:rsidR="00EE4FC3">
        <w:t xml:space="preserve"> </w:t>
      </w:r>
      <w:r w:rsidRPr="00382917">
        <w:t>of</w:t>
      </w:r>
      <w:r w:rsidR="00EE4FC3">
        <w:t xml:space="preserve"> </w:t>
      </w:r>
      <w:r w:rsidRPr="00382917">
        <w:t>Bahá</w:t>
      </w:r>
      <w:r w:rsidR="009C713D" w:rsidRPr="00382917">
        <w:t>’</w:t>
      </w:r>
      <w:r w:rsidRPr="00382917">
        <w:t>u</w:t>
      </w:r>
      <w:r w:rsidR="009C713D" w:rsidRPr="00382917">
        <w:t>’</w:t>
      </w:r>
      <w:r w:rsidRPr="00382917">
        <w:t>lláh.</w:t>
      </w:r>
      <w:r w:rsidR="009C713D" w:rsidRPr="00382917">
        <w:t>”</w:t>
      </w:r>
      <w:r w:rsidR="00611AA4">
        <w:rPr>
          <w:rStyle w:val="FootnoteReference"/>
        </w:rPr>
        <w:footnoteReference w:id="232"/>
      </w:r>
    </w:p>
    <w:p w:rsidR="001D2FA7" w:rsidRPr="00382917" w:rsidRDefault="009C713D" w:rsidP="00611AA4">
      <w:pPr>
        <w:pStyle w:val="Text"/>
      </w:pPr>
      <w:r w:rsidRPr="00382917">
        <w:t>“</w:t>
      </w:r>
      <w:r w:rsidR="001D2FA7" w:rsidRPr="00382917">
        <w:t>Consecrate</w:t>
      </w:r>
      <w:r w:rsidR="00EE4FC3">
        <w:t xml:space="preserve"> </w:t>
      </w:r>
      <w:r w:rsidR="001D2FA7" w:rsidRPr="00382917">
        <w:t>thou,</w:t>
      </w:r>
      <w:r w:rsidR="00EE4FC3">
        <w:t xml:space="preserve"> </w:t>
      </w:r>
      <w:r w:rsidR="001D2FA7" w:rsidRPr="00382917">
        <w:t>O</w:t>
      </w:r>
      <w:r w:rsidR="00EE4FC3">
        <w:t xml:space="preserve"> </w:t>
      </w:r>
      <w:r w:rsidR="001D2FA7" w:rsidRPr="00382917">
        <w:t>My</w:t>
      </w:r>
      <w:r w:rsidR="00EE4FC3">
        <w:t xml:space="preserve"> </w:t>
      </w:r>
      <w:r w:rsidR="001D2FA7" w:rsidRPr="00382917">
        <w:t>God,</w:t>
      </w:r>
      <w:r w:rsidR="00EE4FC3">
        <w:t xml:space="preserve"> </w:t>
      </w:r>
      <w:r w:rsidR="001D2FA7" w:rsidRPr="00382917">
        <w:t>the</w:t>
      </w:r>
      <w:r w:rsidR="00EE4FC3">
        <w:t xml:space="preserve"> </w:t>
      </w:r>
      <w:r w:rsidR="001D2FA7" w:rsidRPr="00382917">
        <w:t>whole</w:t>
      </w:r>
      <w:r w:rsidR="00EE4FC3">
        <w:t xml:space="preserve"> </w:t>
      </w:r>
      <w:r w:rsidR="001D2FA7" w:rsidRPr="00382917">
        <w:t>of</w:t>
      </w:r>
      <w:r w:rsidR="00EE4FC3">
        <w:t xml:space="preserve"> </w:t>
      </w:r>
      <w:r w:rsidR="001D2FA7" w:rsidRPr="00382917">
        <w:t>this</w:t>
      </w:r>
      <w:r w:rsidR="00EE4FC3">
        <w:t xml:space="preserve"> </w:t>
      </w:r>
      <w:r w:rsidR="001D2FA7" w:rsidRPr="00382917">
        <w:t>Tree</w:t>
      </w:r>
      <w:r w:rsidR="00EE4FC3">
        <w:t xml:space="preserve"> </w:t>
      </w:r>
      <w:r w:rsidR="001D2FA7" w:rsidRPr="00382917">
        <w:t>unto</w:t>
      </w:r>
      <w:r w:rsidR="00EE4FC3">
        <w:t xml:space="preserve"> </w:t>
      </w:r>
      <w:r w:rsidR="001D2FA7" w:rsidRPr="00382917">
        <w:t>Him</w:t>
      </w:r>
      <w:r w:rsidR="00EE4FC3">
        <w:t xml:space="preserve"> </w:t>
      </w:r>
      <w:proofErr w:type="gramStart"/>
      <w:r w:rsidR="00F04416" w:rsidRPr="00382917">
        <w:t>…</w:t>
      </w:r>
      <w:r w:rsidR="00EE4FC3">
        <w:t xml:space="preserve"> </w:t>
      </w:r>
      <w:r w:rsidR="001D2FA7" w:rsidRPr="00382917">
        <w:t>,</w:t>
      </w:r>
      <w:proofErr w:type="gramEnd"/>
      <w:r w:rsidRPr="00382917">
        <w:t>”</w:t>
      </w:r>
      <w:r w:rsidR="00EE4FC3">
        <w:t xml:space="preserve"> </w:t>
      </w:r>
      <w:r w:rsidR="001D2FA7" w:rsidRPr="00382917">
        <w:t>He</w:t>
      </w:r>
      <w:r w:rsidR="00EE4FC3">
        <w:t xml:space="preserve"> </w:t>
      </w:r>
      <w:r w:rsidR="001D2FA7" w:rsidRPr="00382917">
        <w:t>wrote</w:t>
      </w:r>
      <w:r w:rsidR="00EE4FC3">
        <w:t xml:space="preserve"> </w:t>
      </w:r>
      <w:r w:rsidR="001D2FA7" w:rsidRPr="00382917">
        <w:t>of</w:t>
      </w:r>
      <w:r w:rsidR="00EE4FC3">
        <w:t xml:space="preserve"> </w:t>
      </w:r>
      <w:r w:rsidR="001D2FA7" w:rsidRPr="00382917">
        <w:t>Bahá</w:t>
      </w:r>
      <w:r w:rsidRPr="00382917">
        <w:t>’</w:t>
      </w:r>
      <w:r w:rsidR="001D2FA7" w:rsidRPr="00382917">
        <w:t>u</w:t>
      </w:r>
      <w:r w:rsidRPr="00382917">
        <w:t>’</w:t>
      </w:r>
      <w:r w:rsidR="001D2FA7" w:rsidRPr="00382917">
        <w:t>lláh</w:t>
      </w:r>
      <w:r w:rsidR="00330AF7">
        <w:t>.</w:t>
      </w:r>
      <w:r w:rsidR="00EE4FC3">
        <w:t xml:space="preserve">  </w:t>
      </w:r>
      <w:r w:rsidRPr="00382917">
        <w:t>“</w:t>
      </w:r>
      <w:r w:rsidR="001D2FA7" w:rsidRPr="00382917">
        <w:t>I</w:t>
      </w:r>
      <w:r w:rsidR="00EE4FC3">
        <w:t xml:space="preserve"> </w:t>
      </w:r>
      <w:r w:rsidR="001D2FA7" w:rsidRPr="00382917">
        <w:t>have</w:t>
      </w:r>
      <w:r w:rsidR="00EE4FC3">
        <w:t xml:space="preserve"> </w:t>
      </w:r>
      <w:r w:rsidR="001D2FA7" w:rsidRPr="00382917">
        <w:t>not</w:t>
      </w:r>
      <w:r w:rsidR="00EE4FC3">
        <w:t xml:space="preserve"> </w:t>
      </w:r>
      <w:r w:rsidR="001D2FA7" w:rsidRPr="00382917">
        <w:t>wished</w:t>
      </w:r>
      <w:r w:rsidR="00EE4FC3">
        <w:t xml:space="preserve"> </w:t>
      </w:r>
      <w:r w:rsidR="001D2FA7" w:rsidRPr="00382917">
        <w:t>that</w:t>
      </w:r>
      <w:r w:rsidR="00EE4FC3">
        <w:t xml:space="preserve"> </w:t>
      </w:r>
      <w:r w:rsidR="001D2FA7" w:rsidRPr="00382917">
        <w:t>this</w:t>
      </w:r>
      <w:r w:rsidR="00EE4FC3">
        <w:t xml:space="preserve"> </w:t>
      </w:r>
      <w:r w:rsidR="001D2FA7" w:rsidRPr="00382917">
        <w:t>Tree</w:t>
      </w:r>
      <w:r w:rsidR="00EE4FC3">
        <w:t xml:space="preserve"> </w:t>
      </w:r>
      <w:r w:rsidR="001D2FA7" w:rsidRPr="00382917">
        <w:t>should</w:t>
      </w:r>
      <w:r w:rsidR="00EE4FC3">
        <w:t xml:space="preserve"> </w:t>
      </w:r>
      <w:r w:rsidR="001D2FA7" w:rsidRPr="00382917">
        <w:t>ever</w:t>
      </w:r>
      <w:r w:rsidR="00EE4FC3">
        <w:t xml:space="preserve"> </w:t>
      </w:r>
      <w:r w:rsidR="001D2FA7" w:rsidRPr="00382917">
        <w:t>bear</w:t>
      </w:r>
      <w:r w:rsidR="00EE4FC3">
        <w:t xml:space="preserve"> </w:t>
      </w:r>
      <w:r w:rsidR="001D2FA7" w:rsidRPr="00382917">
        <w:t>any</w:t>
      </w:r>
      <w:r w:rsidR="00EE4FC3">
        <w:t xml:space="preserve"> </w:t>
      </w:r>
      <w:r w:rsidR="001D2FA7" w:rsidRPr="00382917">
        <w:t>branch,</w:t>
      </w:r>
      <w:r w:rsidR="00EE4FC3">
        <w:t xml:space="preserve"> </w:t>
      </w:r>
      <w:r w:rsidR="001D2FA7" w:rsidRPr="00382917">
        <w:t>leaf,</w:t>
      </w:r>
      <w:r w:rsidR="00EE4FC3">
        <w:t xml:space="preserve"> </w:t>
      </w:r>
      <w:r w:rsidR="001D2FA7" w:rsidRPr="00382917">
        <w:t>or</w:t>
      </w:r>
      <w:r w:rsidR="00EE4FC3">
        <w:t xml:space="preserve"> </w:t>
      </w:r>
      <w:r w:rsidR="001D2FA7" w:rsidRPr="00382917">
        <w:t>fruit</w:t>
      </w:r>
      <w:r w:rsidR="00EE4FC3">
        <w:t xml:space="preserve"> </w:t>
      </w:r>
      <w:r w:rsidR="001D2FA7" w:rsidRPr="00382917">
        <w:t>that</w:t>
      </w:r>
      <w:r w:rsidR="00EE4FC3">
        <w:t xml:space="preserve"> </w:t>
      </w:r>
      <w:r w:rsidR="001D2FA7" w:rsidRPr="00382917">
        <w:t>would</w:t>
      </w:r>
      <w:r w:rsidR="00EE4FC3">
        <w:t xml:space="preserve"> </w:t>
      </w:r>
      <w:r w:rsidR="001D2FA7" w:rsidRPr="00382917">
        <w:t>fail</w:t>
      </w:r>
      <w:r w:rsidR="00EE4FC3">
        <w:t xml:space="preserve"> </w:t>
      </w:r>
      <w:r w:rsidR="001D2FA7" w:rsidRPr="00382917">
        <w:t>to</w:t>
      </w:r>
      <w:r w:rsidR="00EE4FC3">
        <w:t xml:space="preserve"> </w:t>
      </w:r>
      <w:r w:rsidR="001D2FA7" w:rsidRPr="00382917">
        <w:t>bow</w:t>
      </w:r>
      <w:r w:rsidR="00EE4FC3">
        <w:t xml:space="preserve"> </w:t>
      </w:r>
      <w:r w:rsidR="001D2FA7" w:rsidRPr="00382917">
        <w:t>down</w:t>
      </w:r>
      <w:r w:rsidR="00EE4FC3">
        <w:t xml:space="preserve"> </w:t>
      </w:r>
      <w:r w:rsidR="001D2FA7" w:rsidRPr="00382917">
        <w:t>before</w:t>
      </w:r>
      <w:r w:rsidR="00EE4FC3">
        <w:t xml:space="preserve"> </w:t>
      </w:r>
      <w:r w:rsidR="001D2FA7" w:rsidRPr="00382917">
        <w:t>Him</w:t>
      </w:r>
      <w:r w:rsidR="00EE4FC3">
        <w:t xml:space="preserve"> </w:t>
      </w:r>
      <w:r w:rsidR="001D2FA7" w:rsidRPr="00382917">
        <w:t>on</w:t>
      </w:r>
      <w:r w:rsidR="00EE4FC3">
        <w:t xml:space="preserve"> </w:t>
      </w:r>
      <w:r w:rsidR="001D2FA7" w:rsidRPr="00382917">
        <w:t>the</w:t>
      </w:r>
      <w:r w:rsidR="00EE4FC3">
        <w:t xml:space="preserve"> </w:t>
      </w:r>
      <w:r w:rsidR="001D2FA7" w:rsidRPr="00382917">
        <w:t>day</w:t>
      </w:r>
      <w:r w:rsidR="00EE4FC3">
        <w:t xml:space="preserve"> </w:t>
      </w:r>
      <w:r w:rsidR="001D2FA7" w:rsidRPr="00382917">
        <w:t>of</w:t>
      </w:r>
      <w:r w:rsidR="00EE4FC3">
        <w:t xml:space="preserve"> </w:t>
      </w:r>
      <w:r w:rsidR="001D2FA7" w:rsidRPr="00382917">
        <w:t>His</w:t>
      </w:r>
      <w:r w:rsidR="00EE4FC3">
        <w:t xml:space="preserve"> </w:t>
      </w:r>
      <w:r w:rsidR="001D2FA7" w:rsidRPr="00382917">
        <w:t>Revelation</w:t>
      </w:r>
      <w:proofErr w:type="gramStart"/>
      <w:r w:rsidR="00611AA4">
        <w:t>.</w:t>
      </w:r>
      <w:r w:rsidR="00EE4FC3">
        <w:t xml:space="preserve"> </w:t>
      </w:r>
      <w:r w:rsidR="00F04416" w:rsidRPr="00382917">
        <w:t>…</w:t>
      </w:r>
      <w:r w:rsidR="00EE4FC3">
        <w:t xml:space="preserve"> </w:t>
      </w:r>
      <w:proofErr w:type="gramEnd"/>
      <w:r w:rsidR="001D2FA7" w:rsidRPr="00382917">
        <w:t>And</w:t>
      </w:r>
      <w:r w:rsidR="00EE4FC3">
        <w:t xml:space="preserve"> </w:t>
      </w:r>
      <w:proofErr w:type="spellStart"/>
      <w:r w:rsidR="001D2FA7" w:rsidRPr="00382917">
        <w:t>shouldst</w:t>
      </w:r>
      <w:proofErr w:type="spellEnd"/>
      <w:r w:rsidR="00EE4FC3">
        <w:t xml:space="preserve"> </w:t>
      </w:r>
      <w:r w:rsidR="001D2FA7" w:rsidRPr="00382917">
        <w:t>Thou</w:t>
      </w:r>
      <w:r w:rsidR="00EE4FC3">
        <w:t xml:space="preserve"> </w:t>
      </w:r>
      <w:r w:rsidR="001D2FA7" w:rsidRPr="00382917">
        <w:t>behold,</w:t>
      </w:r>
      <w:r w:rsidR="00EE4FC3">
        <w:t xml:space="preserve"> </w:t>
      </w:r>
      <w:r w:rsidR="001D2FA7" w:rsidRPr="00382917">
        <w:t>O</w:t>
      </w:r>
      <w:r w:rsidR="00EE4FC3">
        <w:t xml:space="preserve"> </w:t>
      </w:r>
      <w:r w:rsidR="001D2FA7" w:rsidRPr="00382917">
        <w:t>my</w:t>
      </w:r>
      <w:r w:rsidR="00EE4FC3">
        <w:t xml:space="preserve"> </w:t>
      </w:r>
      <w:r w:rsidR="001D2FA7" w:rsidRPr="00382917">
        <w:t>God,</w:t>
      </w:r>
      <w:r w:rsidR="00EE4FC3">
        <w:t xml:space="preserve"> </w:t>
      </w:r>
      <w:r w:rsidR="001D2FA7" w:rsidRPr="00382917">
        <w:t>any</w:t>
      </w:r>
      <w:r w:rsidR="00EE4FC3">
        <w:t xml:space="preserve"> </w:t>
      </w:r>
      <w:r w:rsidR="001D2FA7" w:rsidRPr="00382917">
        <w:t>branch,</w:t>
      </w:r>
      <w:r w:rsidR="00EE4FC3">
        <w:t xml:space="preserve"> </w:t>
      </w:r>
      <w:r w:rsidR="001D2FA7" w:rsidRPr="00382917">
        <w:t>leaf</w:t>
      </w:r>
      <w:r w:rsidR="00EE4FC3">
        <w:t xml:space="preserve"> </w:t>
      </w:r>
      <w:r w:rsidR="001D2FA7" w:rsidRPr="00382917">
        <w:t>or</w:t>
      </w:r>
      <w:r w:rsidR="00EE4FC3">
        <w:t xml:space="preserve"> </w:t>
      </w:r>
      <w:r w:rsidR="001D2FA7" w:rsidRPr="00382917">
        <w:t>fruit</w:t>
      </w:r>
      <w:r w:rsidR="00EE4FC3">
        <w:t xml:space="preserve"> </w:t>
      </w:r>
      <w:r w:rsidR="001D2FA7" w:rsidRPr="00382917">
        <w:t>upon</w:t>
      </w:r>
      <w:r w:rsidR="00EE4FC3">
        <w:t xml:space="preserve"> </w:t>
      </w:r>
      <w:proofErr w:type="gramStart"/>
      <w:r w:rsidR="001D2FA7" w:rsidRPr="00382917">
        <w:t>Me</w:t>
      </w:r>
      <w:proofErr w:type="gramEnd"/>
      <w:r w:rsidR="00EE4FC3">
        <w:t xml:space="preserve"> </w:t>
      </w:r>
      <w:r w:rsidR="001D2FA7" w:rsidRPr="00382917">
        <w:t>that</w:t>
      </w:r>
      <w:r w:rsidR="00EE4FC3">
        <w:t xml:space="preserve"> </w:t>
      </w:r>
      <w:r w:rsidR="001D2FA7" w:rsidRPr="00382917">
        <w:t>hath</w:t>
      </w:r>
      <w:r w:rsidR="00EE4FC3">
        <w:t xml:space="preserve"> </w:t>
      </w:r>
      <w:r w:rsidR="001D2FA7" w:rsidRPr="00382917">
        <w:t>failed</w:t>
      </w:r>
      <w:r w:rsidR="00EE4FC3">
        <w:t xml:space="preserve"> </w:t>
      </w:r>
      <w:r w:rsidR="001D2FA7" w:rsidRPr="00382917">
        <w:t>to</w:t>
      </w:r>
      <w:r w:rsidR="00EE4FC3">
        <w:t xml:space="preserve"> </w:t>
      </w:r>
      <w:r w:rsidR="001D2FA7" w:rsidRPr="00382917">
        <w:t>bow</w:t>
      </w:r>
      <w:r w:rsidR="00EE4FC3">
        <w:t xml:space="preserve"> </w:t>
      </w:r>
      <w:r w:rsidR="001D2FA7" w:rsidRPr="00382917">
        <w:t>down</w:t>
      </w:r>
      <w:r w:rsidR="00EE4FC3">
        <w:t xml:space="preserve"> </w:t>
      </w:r>
      <w:r w:rsidR="001D2FA7" w:rsidRPr="00382917">
        <w:t>before</w:t>
      </w:r>
      <w:r w:rsidR="00EE4FC3">
        <w:t xml:space="preserve"> </w:t>
      </w:r>
      <w:r w:rsidR="001D2FA7" w:rsidRPr="00382917">
        <w:t>Him</w:t>
      </w:r>
      <w:r w:rsidR="00EE4FC3">
        <w:t xml:space="preserve"> </w:t>
      </w:r>
      <w:r w:rsidR="001D2FA7" w:rsidRPr="00382917">
        <w:t>on</w:t>
      </w:r>
      <w:r w:rsidR="00EE4FC3">
        <w:t xml:space="preserve"> </w:t>
      </w:r>
      <w:r w:rsidR="001D2FA7" w:rsidRPr="00382917">
        <w:t>the</w:t>
      </w:r>
      <w:r w:rsidR="00EE4FC3">
        <w:t xml:space="preserve"> </w:t>
      </w:r>
      <w:r w:rsidR="001D2FA7" w:rsidRPr="00382917">
        <w:t>day</w:t>
      </w:r>
      <w:r w:rsidR="00EE4FC3">
        <w:t xml:space="preserve"> </w:t>
      </w:r>
      <w:r w:rsidR="001D2FA7" w:rsidRPr="00382917">
        <w:t>of</w:t>
      </w:r>
      <w:r w:rsidR="00EE4FC3">
        <w:t xml:space="preserve"> </w:t>
      </w:r>
      <w:r w:rsidR="001D2FA7" w:rsidRPr="00382917">
        <w:t>His</w:t>
      </w:r>
      <w:r w:rsidR="00EE4FC3">
        <w:t xml:space="preserve"> </w:t>
      </w:r>
      <w:r w:rsidR="001D2FA7" w:rsidRPr="00382917">
        <w:t>Revelation,</w:t>
      </w:r>
      <w:r w:rsidR="00EE4FC3">
        <w:t xml:space="preserve"> </w:t>
      </w:r>
      <w:r w:rsidR="001D2FA7" w:rsidRPr="00382917">
        <w:t>cut</w:t>
      </w:r>
      <w:r w:rsidR="00EE4FC3">
        <w:t xml:space="preserve"> </w:t>
      </w:r>
      <w:r w:rsidR="001D2FA7" w:rsidRPr="00382917">
        <w:t>it</w:t>
      </w:r>
      <w:r w:rsidR="00EE4FC3">
        <w:t xml:space="preserve"> </w:t>
      </w:r>
      <w:r w:rsidR="001D2FA7" w:rsidRPr="00382917">
        <w:t>off,</w:t>
      </w:r>
      <w:r w:rsidR="00EE4FC3">
        <w:t xml:space="preserve"> </w:t>
      </w:r>
      <w:r w:rsidR="001D2FA7" w:rsidRPr="00382917">
        <w:t>O</w:t>
      </w:r>
      <w:r w:rsidR="00EE4FC3">
        <w:t xml:space="preserve"> </w:t>
      </w:r>
      <w:r w:rsidR="001D2FA7" w:rsidRPr="00382917">
        <w:t>My</w:t>
      </w:r>
      <w:r w:rsidR="00EE4FC3">
        <w:t xml:space="preserve"> </w:t>
      </w:r>
      <w:r w:rsidR="001D2FA7" w:rsidRPr="00382917">
        <w:t>God</w:t>
      </w:r>
      <w:r w:rsidR="00EE4FC3">
        <w:t xml:space="preserve"> </w:t>
      </w:r>
      <w:r w:rsidR="001D2FA7" w:rsidRPr="00382917">
        <w:t>from</w:t>
      </w:r>
      <w:r w:rsidR="00EE4FC3">
        <w:t xml:space="preserve"> </w:t>
      </w:r>
      <w:r w:rsidR="001D2FA7" w:rsidRPr="00382917">
        <w:t>that</w:t>
      </w:r>
      <w:r w:rsidR="00EE4FC3">
        <w:t xml:space="preserve"> </w:t>
      </w:r>
      <w:r w:rsidR="001D2FA7" w:rsidRPr="00382917">
        <w:t>Tree,</w:t>
      </w:r>
      <w:r w:rsidR="00EE4FC3">
        <w:t xml:space="preserve"> </w:t>
      </w:r>
      <w:r w:rsidR="001D2FA7" w:rsidRPr="00382917">
        <w:t>for</w:t>
      </w:r>
      <w:r w:rsidR="00EE4FC3">
        <w:t xml:space="preserve"> </w:t>
      </w:r>
      <w:r w:rsidR="001D2FA7" w:rsidRPr="00382917">
        <w:t>it</w:t>
      </w:r>
      <w:r w:rsidR="00EE4FC3">
        <w:t xml:space="preserve"> </w:t>
      </w:r>
      <w:r w:rsidR="001D2FA7" w:rsidRPr="00382917">
        <w:t>is</w:t>
      </w:r>
      <w:r w:rsidR="00EE4FC3">
        <w:t xml:space="preserve"> </w:t>
      </w:r>
      <w:r w:rsidR="001D2FA7" w:rsidRPr="00382917">
        <w:t>not</w:t>
      </w:r>
      <w:r w:rsidR="00EE4FC3">
        <w:t xml:space="preserve"> </w:t>
      </w:r>
      <w:r w:rsidR="001D2FA7" w:rsidRPr="00382917">
        <w:t>of</w:t>
      </w:r>
      <w:r w:rsidR="00EE4FC3">
        <w:t xml:space="preserve"> </w:t>
      </w:r>
      <w:r w:rsidR="001D2FA7" w:rsidRPr="00382917">
        <w:t>Me.</w:t>
      </w:r>
      <w:r w:rsidR="00611AA4">
        <w:t xml:space="preserve"> …</w:t>
      </w:r>
      <w:r w:rsidRPr="00382917">
        <w:t>”</w:t>
      </w:r>
      <w:r w:rsidR="00611AA4">
        <w:rPr>
          <w:rStyle w:val="FootnoteReference"/>
        </w:rPr>
        <w:footnoteReference w:id="233"/>
      </w:r>
    </w:p>
    <w:p w:rsidR="001D2FA7" w:rsidRPr="00382917" w:rsidRDefault="009C713D" w:rsidP="00F323D3">
      <w:pPr>
        <w:pStyle w:val="Text"/>
      </w:pPr>
      <w:r w:rsidRPr="00382917">
        <w:t>“</w:t>
      </w:r>
      <w:r w:rsidR="001D2FA7" w:rsidRPr="00382917">
        <w:t>Ere</w:t>
      </w:r>
      <w:r w:rsidR="00EE4FC3">
        <w:t xml:space="preserve"> </w:t>
      </w:r>
      <w:r w:rsidR="001D2FA7" w:rsidRPr="00382917">
        <w:t>nine</w:t>
      </w:r>
      <w:r w:rsidR="00EE4FC3">
        <w:t xml:space="preserve"> </w:t>
      </w:r>
      <w:r w:rsidR="001D2FA7" w:rsidRPr="00382917">
        <w:t>[years]</w:t>
      </w:r>
      <w:r w:rsidR="00EE4FC3">
        <w:t xml:space="preserve"> </w:t>
      </w:r>
      <w:r w:rsidR="001D2FA7" w:rsidRPr="00382917">
        <w:t>will</w:t>
      </w:r>
      <w:r w:rsidR="00EE4FC3">
        <w:t xml:space="preserve"> </w:t>
      </w:r>
      <w:r w:rsidR="001D2FA7" w:rsidRPr="00382917">
        <w:t>have</w:t>
      </w:r>
      <w:r w:rsidR="00EE4FC3">
        <w:t xml:space="preserve"> </w:t>
      </w:r>
      <w:r w:rsidR="001D2FA7" w:rsidRPr="00382917">
        <w:t>elapsed</w:t>
      </w:r>
      <w:r w:rsidR="00EE4FC3">
        <w:t xml:space="preserve"> </w:t>
      </w:r>
      <w:r w:rsidR="001D2FA7" w:rsidRPr="00382917">
        <w:t>from</w:t>
      </w:r>
      <w:r w:rsidR="00EE4FC3">
        <w:t xml:space="preserve"> </w:t>
      </w:r>
      <w:r w:rsidR="001D2FA7" w:rsidRPr="00382917">
        <w:t>the</w:t>
      </w:r>
      <w:r w:rsidR="00EE4FC3">
        <w:t xml:space="preserve"> </w:t>
      </w:r>
      <w:r w:rsidR="001D2FA7" w:rsidRPr="00382917">
        <w:t>inception</w:t>
      </w:r>
      <w:r w:rsidR="00EE4FC3">
        <w:t xml:space="preserve"> </w:t>
      </w:r>
      <w:r w:rsidR="001D2FA7" w:rsidRPr="00382917">
        <w:t>of</w:t>
      </w:r>
      <w:r w:rsidR="00EE4FC3">
        <w:t xml:space="preserve"> </w:t>
      </w:r>
      <w:r w:rsidR="001D2FA7" w:rsidRPr="00382917">
        <w:t>this</w:t>
      </w:r>
      <w:r w:rsidR="00EE4FC3">
        <w:t xml:space="preserve"> </w:t>
      </w:r>
      <w:r w:rsidR="001D2FA7" w:rsidRPr="00382917">
        <w:t>Cause,</w:t>
      </w:r>
      <w:r w:rsidRPr="00382917">
        <w:t>”</w:t>
      </w:r>
      <w:r w:rsidR="00EE4FC3">
        <w:t xml:space="preserve"> </w:t>
      </w:r>
      <w:r w:rsidR="001D2FA7" w:rsidRPr="00382917">
        <w:t>the</w:t>
      </w:r>
      <w:r w:rsidR="00EE4FC3">
        <w:t xml:space="preserve"> </w:t>
      </w:r>
      <w:r w:rsidR="001D2FA7" w:rsidRPr="00382917">
        <w:t>Báb</w:t>
      </w:r>
      <w:r w:rsidR="00EE4FC3">
        <w:t xml:space="preserve"> </w:t>
      </w:r>
      <w:r w:rsidR="001D2FA7" w:rsidRPr="00382917">
        <w:t>wrote</w:t>
      </w:r>
      <w:r w:rsidR="00EE4FC3">
        <w:t xml:space="preserve"> </w:t>
      </w:r>
      <w:r w:rsidR="001D2FA7" w:rsidRPr="00382917">
        <w:t>in</w:t>
      </w:r>
      <w:r w:rsidR="00EE4FC3">
        <w:t xml:space="preserve"> </w:t>
      </w:r>
      <w:r w:rsidR="001D2FA7" w:rsidRPr="00382917">
        <w:t>another</w:t>
      </w:r>
      <w:r w:rsidR="00EE4FC3">
        <w:t xml:space="preserve"> </w:t>
      </w:r>
      <w:r w:rsidR="001D2FA7" w:rsidRPr="00382917">
        <w:t>place,</w:t>
      </w:r>
      <w:r w:rsidR="00EE4FC3">
        <w:t xml:space="preserve"> </w:t>
      </w:r>
      <w:r w:rsidR="001D2FA7" w:rsidRPr="00382917">
        <w:t>pointing</w:t>
      </w:r>
      <w:r w:rsidR="00EE4FC3">
        <w:t xml:space="preserve"> </w:t>
      </w:r>
      <w:r w:rsidR="001D2FA7" w:rsidRPr="00382917">
        <w:t>out</w:t>
      </w:r>
      <w:r w:rsidR="00EE4FC3">
        <w:t xml:space="preserve"> </w:t>
      </w:r>
      <w:r w:rsidR="001D2FA7" w:rsidRPr="00382917">
        <w:t>even</w:t>
      </w:r>
      <w:r w:rsidR="00EE4FC3">
        <w:t xml:space="preserve"> </w:t>
      </w:r>
      <w:r w:rsidR="001D2FA7" w:rsidRPr="00382917">
        <w:t>the</w:t>
      </w:r>
      <w:r w:rsidR="00EE4FC3">
        <w:t xml:space="preserve"> </w:t>
      </w:r>
      <w:r w:rsidR="001D2FA7" w:rsidRPr="00382917">
        <w:t>exact</w:t>
      </w:r>
      <w:r w:rsidR="00EE4FC3">
        <w:t xml:space="preserve"> </w:t>
      </w:r>
      <w:r w:rsidR="001D2FA7" w:rsidRPr="00382917">
        <w:t>hour</w:t>
      </w:r>
      <w:r w:rsidR="00EE4FC3">
        <w:t xml:space="preserve"> </w:t>
      </w:r>
      <w:r w:rsidR="001D2FA7" w:rsidRPr="00382917">
        <w:t>of</w:t>
      </w:r>
      <w:r w:rsidR="00EE4FC3">
        <w:t xml:space="preserve"> </w:t>
      </w:r>
      <w:proofErr w:type="spellStart"/>
      <w:r w:rsidR="001D2FA7" w:rsidRPr="00382917">
        <w:t>Báha</w:t>
      </w:r>
      <w:r w:rsidRPr="00382917">
        <w:t>’</w:t>
      </w:r>
      <w:r w:rsidR="001D2FA7" w:rsidRPr="00382917">
        <w:t>u</w:t>
      </w:r>
      <w:r w:rsidRPr="00382917">
        <w:t>’</w:t>
      </w:r>
      <w:r w:rsidR="001D2FA7" w:rsidRPr="00382917">
        <w:t>lláh</w:t>
      </w:r>
      <w:r w:rsidRPr="00382917">
        <w:t>’</w:t>
      </w:r>
      <w:r w:rsidR="001D2FA7" w:rsidRPr="00382917">
        <w:t>s</w:t>
      </w:r>
      <w:proofErr w:type="spellEnd"/>
      <w:r w:rsidR="00EE4FC3">
        <w:t xml:space="preserve"> </w:t>
      </w:r>
      <w:r w:rsidR="001D2FA7" w:rsidRPr="00382917">
        <w:t>coming,</w:t>
      </w:r>
      <w:r w:rsidR="00EE4FC3">
        <w:t xml:space="preserve"> </w:t>
      </w:r>
      <w:r w:rsidRPr="00382917">
        <w:t>“</w:t>
      </w:r>
      <w:r w:rsidR="001D2FA7" w:rsidRPr="00382917">
        <w:t>the</w:t>
      </w:r>
      <w:r w:rsidR="00EE4FC3">
        <w:t xml:space="preserve"> </w:t>
      </w:r>
      <w:r w:rsidR="001D2FA7" w:rsidRPr="00382917">
        <w:t>realities</w:t>
      </w:r>
      <w:r w:rsidR="00EE4FC3">
        <w:t xml:space="preserve"> </w:t>
      </w:r>
      <w:r w:rsidR="001D2FA7" w:rsidRPr="00382917">
        <w:t>of</w:t>
      </w:r>
      <w:r w:rsidR="00EE4FC3">
        <w:t xml:space="preserve"> </w:t>
      </w:r>
      <w:r w:rsidR="001D2FA7" w:rsidRPr="00382917">
        <w:t>the</w:t>
      </w:r>
      <w:r w:rsidR="00EE4FC3">
        <w:t xml:space="preserve"> </w:t>
      </w:r>
      <w:r w:rsidR="001D2FA7" w:rsidRPr="00382917">
        <w:t>created</w:t>
      </w:r>
      <w:r w:rsidR="00EE4FC3">
        <w:t xml:space="preserve"> </w:t>
      </w:r>
      <w:r w:rsidR="001D2FA7" w:rsidRPr="00382917">
        <w:t>things</w:t>
      </w:r>
      <w:r w:rsidR="00EE4FC3">
        <w:t xml:space="preserve"> </w:t>
      </w:r>
      <w:r w:rsidR="001D2FA7" w:rsidRPr="00382917">
        <w:t>will</w:t>
      </w:r>
      <w:r w:rsidR="00EE4FC3">
        <w:t xml:space="preserve"> </w:t>
      </w:r>
      <w:r w:rsidR="001D2FA7" w:rsidRPr="00382917">
        <w:t>not</w:t>
      </w:r>
      <w:r w:rsidR="00EE4FC3">
        <w:t xml:space="preserve"> </w:t>
      </w:r>
      <w:r w:rsidR="001D2FA7" w:rsidRPr="00382917">
        <w:t>be</w:t>
      </w:r>
      <w:r w:rsidR="00EE4FC3">
        <w:t xml:space="preserve"> </w:t>
      </w:r>
      <w:r w:rsidR="001D2FA7" w:rsidRPr="00382917">
        <w:t>made</w:t>
      </w:r>
      <w:r w:rsidR="00EE4FC3">
        <w:t xml:space="preserve"> </w:t>
      </w:r>
      <w:r w:rsidR="001D2FA7" w:rsidRPr="00382917">
        <w:t>manifest</w:t>
      </w:r>
      <w:proofErr w:type="gramStart"/>
      <w:r w:rsidR="00611AA4">
        <w:t xml:space="preserve">. </w:t>
      </w:r>
      <w:proofErr w:type="gramEnd"/>
      <w:r w:rsidR="00F04416" w:rsidRPr="00382917">
        <w:t>…</w:t>
      </w:r>
      <w:r w:rsidR="00EE4FC3">
        <w:t xml:space="preserve">  </w:t>
      </w:r>
      <w:r w:rsidR="001D2FA7" w:rsidRPr="00382917">
        <w:t>Be</w:t>
      </w:r>
      <w:r w:rsidR="00EE4FC3">
        <w:t xml:space="preserve"> </w:t>
      </w:r>
      <w:r w:rsidR="001D2FA7" w:rsidRPr="00382917">
        <w:t>patient</w:t>
      </w:r>
      <w:r w:rsidR="00EE4FC3">
        <w:t xml:space="preserve"> </w:t>
      </w:r>
      <w:r w:rsidR="001D2FA7" w:rsidRPr="00382917">
        <w:t>until</w:t>
      </w:r>
      <w:r w:rsidR="00EE4FC3">
        <w:t xml:space="preserve"> </w:t>
      </w:r>
      <w:r w:rsidR="001D2FA7" w:rsidRPr="00382917">
        <w:t>thou</w:t>
      </w:r>
      <w:r w:rsidR="00EE4FC3">
        <w:t xml:space="preserve"> </w:t>
      </w:r>
      <w:proofErr w:type="spellStart"/>
      <w:r w:rsidR="001D2FA7" w:rsidRPr="00382917">
        <w:t>beholdest</w:t>
      </w:r>
      <w:proofErr w:type="spellEnd"/>
      <w:r w:rsidR="00EE4FC3">
        <w:t xml:space="preserve"> </w:t>
      </w:r>
      <w:r w:rsidR="001D2FA7" w:rsidRPr="00382917">
        <w:t>a</w:t>
      </w:r>
      <w:r w:rsidR="00EE4FC3">
        <w:t xml:space="preserve"> </w:t>
      </w:r>
      <w:r w:rsidR="001D2FA7" w:rsidRPr="00382917">
        <w:t>new</w:t>
      </w:r>
      <w:r w:rsidR="00EE4FC3">
        <w:t xml:space="preserve"> </w:t>
      </w:r>
      <w:r w:rsidR="001D2FA7" w:rsidRPr="00382917">
        <w:t>creation.</w:t>
      </w:r>
      <w:r w:rsidRPr="00382917">
        <w:t>”</w:t>
      </w:r>
      <w:r w:rsidR="00EE4FC3">
        <w:t xml:space="preserve"> </w:t>
      </w:r>
      <w:r w:rsidR="00611AA4">
        <w:t xml:space="preserve"> </w:t>
      </w:r>
      <w:proofErr w:type="gramStart"/>
      <w:r w:rsidRPr="00382917">
        <w:t>“</w:t>
      </w:r>
      <w:proofErr w:type="gramEnd"/>
      <w:r w:rsidR="001D2FA7" w:rsidRPr="00382917">
        <w:t>In</w:t>
      </w:r>
      <w:r w:rsidR="00EE4FC3">
        <w:t xml:space="preserve"> </w:t>
      </w:r>
      <w:r w:rsidR="001D2FA7" w:rsidRPr="00382917">
        <w:t>the</w:t>
      </w:r>
      <w:r w:rsidR="00EE4FC3">
        <w:t xml:space="preserve"> </w:t>
      </w:r>
      <w:r w:rsidR="001D2FA7" w:rsidRPr="00382917">
        <w:t>year</w:t>
      </w:r>
      <w:r w:rsidR="00EE4FC3">
        <w:t xml:space="preserve"> </w:t>
      </w:r>
      <w:r w:rsidR="001D2FA7" w:rsidRPr="00382917">
        <w:t>nine</w:t>
      </w:r>
      <w:r w:rsidR="00EE4FC3">
        <w:t xml:space="preserve"> </w:t>
      </w:r>
      <w:r w:rsidR="001D2FA7" w:rsidRPr="00382917">
        <w:t>ye</w:t>
      </w:r>
      <w:r w:rsidR="00EE4FC3">
        <w:t xml:space="preserve"> </w:t>
      </w:r>
      <w:r w:rsidR="001D2FA7" w:rsidRPr="00382917">
        <w:t>will</w:t>
      </w:r>
      <w:r w:rsidR="00EE4FC3">
        <w:t xml:space="preserve"> </w:t>
      </w:r>
      <w:r w:rsidR="001D2FA7" w:rsidRPr="00382917">
        <w:t>attain</w:t>
      </w:r>
      <w:r w:rsidR="00EE4FC3">
        <w:t xml:space="preserve"> </w:t>
      </w:r>
      <w:r w:rsidR="001D2FA7" w:rsidRPr="00382917">
        <w:t>unto</w:t>
      </w:r>
      <w:r w:rsidR="00EE4FC3">
        <w:t xml:space="preserve"> </w:t>
      </w:r>
      <w:r w:rsidR="001D2FA7" w:rsidRPr="00382917">
        <w:t>all</w:t>
      </w:r>
      <w:r w:rsidR="00EE4FC3">
        <w:t xml:space="preserve"> </w:t>
      </w:r>
      <w:r w:rsidR="001D2FA7" w:rsidRPr="00382917">
        <w:t>good.</w:t>
      </w:r>
      <w:r w:rsidRPr="00382917">
        <w:t>”</w:t>
      </w:r>
      <w:r w:rsidR="00611AA4">
        <w:t xml:space="preserve"> </w:t>
      </w:r>
      <w:r w:rsidR="00EE4FC3">
        <w:t xml:space="preserve"> </w:t>
      </w:r>
      <w:proofErr w:type="gramStart"/>
      <w:r w:rsidRPr="00382917">
        <w:t>“</w:t>
      </w:r>
      <w:proofErr w:type="gramEnd"/>
      <w:r w:rsidR="001D2FA7" w:rsidRPr="00382917">
        <w:t>In</w:t>
      </w:r>
      <w:r w:rsidR="00EE4FC3">
        <w:t xml:space="preserve"> </w:t>
      </w:r>
      <w:r w:rsidR="001D2FA7" w:rsidRPr="00382917">
        <w:t>the</w:t>
      </w:r>
      <w:r w:rsidR="00EE4FC3">
        <w:t xml:space="preserve"> </w:t>
      </w:r>
      <w:r w:rsidR="001D2FA7" w:rsidRPr="00382917">
        <w:t>year</w:t>
      </w:r>
      <w:r w:rsidR="00EE4FC3">
        <w:t xml:space="preserve"> </w:t>
      </w:r>
      <w:r w:rsidR="001D2FA7" w:rsidRPr="00382917">
        <w:t>nine</w:t>
      </w:r>
      <w:r w:rsidR="00EE4FC3">
        <w:t xml:space="preserve"> </w:t>
      </w:r>
      <w:r w:rsidR="001D2FA7" w:rsidRPr="00382917">
        <w:t>ye</w:t>
      </w:r>
      <w:r w:rsidR="00EE4FC3">
        <w:t xml:space="preserve"> </w:t>
      </w:r>
      <w:r w:rsidR="001D2FA7" w:rsidRPr="00382917">
        <w:t>will</w:t>
      </w:r>
      <w:r w:rsidR="00EE4FC3">
        <w:t xml:space="preserve"> </w:t>
      </w:r>
      <w:r w:rsidR="001D2FA7" w:rsidRPr="00382917">
        <w:t>attain</w:t>
      </w:r>
      <w:r w:rsidR="00EE4FC3">
        <w:t xml:space="preserve"> </w:t>
      </w:r>
      <w:r w:rsidR="001D2FA7" w:rsidRPr="00382917">
        <w:t>unto</w:t>
      </w:r>
      <w:r w:rsidR="00EE4FC3">
        <w:t xml:space="preserve"> </w:t>
      </w:r>
      <w:r w:rsidR="001D2FA7" w:rsidRPr="00382917">
        <w:t>the</w:t>
      </w:r>
      <w:r w:rsidR="00EE4FC3">
        <w:t xml:space="preserve"> </w:t>
      </w:r>
      <w:r w:rsidR="001D2FA7" w:rsidRPr="00382917">
        <w:t>presence</w:t>
      </w:r>
      <w:r w:rsidR="00EE4FC3">
        <w:t xml:space="preserve"> </w:t>
      </w:r>
      <w:r w:rsidR="001D2FA7" w:rsidRPr="00382917">
        <w:t>of</w:t>
      </w:r>
      <w:r w:rsidR="00EE4FC3">
        <w:t xml:space="preserve"> </w:t>
      </w:r>
      <w:r w:rsidR="001D2FA7" w:rsidRPr="00382917">
        <w:t>God.</w:t>
      </w:r>
      <w:r w:rsidRPr="00382917">
        <w:t>”</w:t>
      </w:r>
      <w:r w:rsidR="00F323D3">
        <w:rPr>
          <w:rStyle w:val="FootnoteReference"/>
        </w:rPr>
        <w:footnoteReference w:id="234"/>
      </w:r>
    </w:p>
    <w:p w:rsidR="001D2FA7" w:rsidRPr="00382917" w:rsidRDefault="001D2FA7" w:rsidP="007B319A">
      <w:pPr>
        <w:pStyle w:val="Text"/>
      </w:pPr>
      <w:r w:rsidRPr="00382917">
        <w:t>Before</w:t>
      </w:r>
      <w:r w:rsidR="00EE4FC3">
        <w:t xml:space="preserve"> </w:t>
      </w:r>
      <w:r w:rsidRPr="00382917">
        <w:t>nine</w:t>
      </w:r>
      <w:r w:rsidR="00EE4FC3">
        <w:t xml:space="preserve"> </w:t>
      </w:r>
      <w:r w:rsidRPr="00382917">
        <w:t>years</w:t>
      </w:r>
      <w:r w:rsidR="00EE4FC3">
        <w:t xml:space="preserve"> </w:t>
      </w:r>
      <w:r w:rsidRPr="00382917">
        <w:t>had</w:t>
      </w:r>
      <w:r w:rsidR="00EE4FC3">
        <w:t xml:space="preserve"> </w:t>
      </w:r>
      <w:r w:rsidRPr="00382917">
        <w:t>elapsed,</w:t>
      </w:r>
      <w:r w:rsidR="00EE4FC3">
        <w:t xml:space="preserve"> </w:t>
      </w:r>
      <w:r w:rsidRPr="00382917">
        <w:t>in</w:t>
      </w:r>
      <w:r w:rsidR="00EE4FC3">
        <w:t xml:space="preserve"> </w:t>
      </w:r>
      <w:r w:rsidRPr="00382917">
        <w:t>fact</w:t>
      </w:r>
      <w:r w:rsidR="00EE4FC3">
        <w:t xml:space="preserve"> </w:t>
      </w:r>
      <w:r w:rsidRPr="00382917">
        <w:t>during</w:t>
      </w:r>
      <w:r w:rsidR="00EE4FC3">
        <w:t xml:space="preserve"> </w:t>
      </w:r>
      <w:r w:rsidRPr="00382917">
        <w:t>the</w:t>
      </w:r>
      <w:r w:rsidR="00EE4FC3">
        <w:t xml:space="preserve"> </w:t>
      </w:r>
      <w:r w:rsidRPr="00382917">
        <w:t>ninth</w:t>
      </w:r>
      <w:r w:rsidR="00EE4FC3">
        <w:t xml:space="preserve"> </w:t>
      </w:r>
      <w:r w:rsidRPr="00382917">
        <w:t>year</w:t>
      </w:r>
    </w:p>
    <w:p w:rsidR="007B319A" w:rsidRPr="00382917" w:rsidRDefault="007B319A">
      <w:pPr>
        <w:widowControl/>
        <w:kinsoku/>
        <w:overflowPunct/>
        <w:textAlignment w:val="auto"/>
      </w:pPr>
      <w:r w:rsidRPr="00382917">
        <w:br w:type="page"/>
      </w:r>
    </w:p>
    <w:p w:rsidR="00E13D49" w:rsidRPr="00382917" w:rsidRDefault="001D2FA7" w:rsidP="00A0316E">
      <w:pPr>
        <w:pStyle w:val="Textcts"/>
      </w:pPr>
      <w:r w:rsidRPr="00382917">
        <w:t>[1853],</w:t>
      </w:r>
      <w:r w:rsidR="00EE4FC3">
        <w:t xml:space="preserve"> </w:t>
      </w:r>
      <w:r w:rsidRPr="00382917">
        <w:t>Bahá</w:t>
      </w:r>
      <w:r w:rsidR="009C713D" w:rsidRPr="00382917">
        <w:t>’</w:t>
      </w:r>
      <w:r w:rsidRPr="00382917">
        <w:t>u</w:t>
      </w:r>
      <w:r w:rsidR="009C713D" w:rsidRPr="00382917">
        <w:t>’</w:t>
      </w:r>
      <w:r w:rsidRPr="00382917">
        <w:t>lláh</w:t>
      </w:r>
      <w:r w:rsidR="009C713D" w:rsidRPr="00382917">
        <w:t>’</w:t>
      </w:r>
      <w:r w:rsidRPr="00382917">
        <w:t>s</w:t>
      </w:r>
      <w:r w:rsidR="00EE4FC3">
        <w:t xml:space="preserve"> </w:t>
      </w:r>
      <w:r w:rsidRPr="00382917">
        <w:t>Mission</w:t>
      </w:r>
      <w:r w:rsidR="00EE4FC3">
        <w:t xml:space="preserve"> </w:t>
      </w:r>
      <w:r w:rsidRPr="00382917">
        <w:t>began,</w:t>
      </w:r>
      <w:r w:rsidR="00EE4FC3">
        <w:t xml:space="preserve"> </w:t>
      </w:r>
      <w:r w:rsidRPr="00382917">
        <w:t>thus</w:t>
      </w:r>
      <w:r w:rsidR="00EE4FC3">
        <w:t xml:space="preserve"> </w:t>
      </w:r>
      <w:r w:rsidRPr="00382917">
        <w:t>fulfilling</w:t>
      </w:r>
      <w:r w:rsidR="00EE4FC3">
        <w:t xml:space="preserve"> </w:t>
      </w:r>
      <w:r w:rsidRPr="00382917">
        <w:t>not</w:t>
      </w:r>
      <w:r w:rsidR="00EE4FC3">
        <w:t xml:space="preserve"> </w:t>
      </w:r>
      <w:r w:rsidRPr="00382917">
        <w:t>only</w:t>
      </w:r>
      <w:r w:rsidR="00EE4FC3">
        <w:t xml:space="preserve"> </w:t>
      </w:r>
      <w:r w:rsidRPr="00382917">
        <w:t>the</w:t>
      </w:r>
      <w:r w:rsidR="00EE4FC3">
        <w:t xml:space="preserve"> </w:t>
      </w:r>
      <w:r w:rsidRPr="00382917">
        <w:t>promise</w:t>
      </w:r>
      <w:r w:rsidR="00EE4FC3">
        <w:t xml:space="preserve"> </w:t>
      </w:r>
      <w:r w:rsidRPr="00382917">
        <w:t>of</w:t>
      </w:r>
      <w:r w:rsidR="00EE4FC3">
        <w:t xml:space="preserve"> </w:t>
      </w:r>
      <w:r w:rsidRPr="00382917">
        <w:t>the</w:t>
      </w:r>
      <w:r w:rsidR="00EE4FC3">
        <w:t xml:space="preserve"> </w:t>
      </w:r>
      <w:r w:rsidRPr="00382917">
        <w:t>Báb</w:t>
      </w:r>
      <w:r w:rsidR="00EE4FC3">
        <w:t xml:space="preserve"> </w:t>
      </w:r>
      <w:r w:rsidRPr="00382917">
        <w:t>and</w:t>
      </w:r>
      <w:r w:rsidR="00EE4FC3">
        <w:t xml:space="preserve"> </w:t>
      </w:r>
      <w:r w:rsidRPr="00382917">
        <w:t>that</w:t>
      </w:r>
      <w:r w:rsidR="00EE4FC3">
        <w:t xml:space="preserve"> </w:t>
      </w:r>
      <w:r w:rsidRPr="00382917">
        <w:t>of</w:t>
      </w:r>
      <w:r w:rsidR="00EE4FC3">
        <w:t xml:space="preserve"> </w:t>
      </w:r>
      <w:r w:rsidR="008A073E" w:rsidRPr="00382917">
        <w:rPr>
          <w:u w:val="single"/>
        </w:rPr>
        <w:t>Sh</w:t>
      </w:r>
      <w:r w:rsidR="008A073E" w:rsidRPr="00382917">
        <w:t>ay</w:t>
      </w:r>
      <w:r w:rsidR="008A073E" w:rsidRPr="00382917">
        <w:rPr>
          <w:u w:val="single"/>
        </w:rPr>
        <w:t>kh</w:t>
      </w:r>
      <w:r w:rsidR="00EE4FC3">
        <w:t xml:space="preserve"> </w:t>
      </w:r>
      <w:r w:rsidRPr="00382917">
        <w:t>Aḥmad</w:t>
      </w:r>
      <w:r w:rsidR="00EE4FC3">
        <w:t xml:space="preserve"> </w:t>
      </w:r>
      <w:r w:rsidRPr="00382917">
        <w:t>and</w:t>
      </w:r>
      <w:r w:rsidR="00EE4FC3">
        <w:t xml:space="preserve"> </w:t>
      </w:r>
      <w:r w:rsidRPr="00382917">
        <w:t>Siyyid</w:t>
      </w:r>
      <w:r w:rsidR="00EE4FC3">
        <w:t xml:space="preserve"> </w:t>
      </w:r>
      <w:r w:rsidRPr="00382917">
        <w:t>Káẓim,</w:t>
      </w:r>
      <w:r w:rsidR="00EE4FC3">
        <w:t xml:space="preserve"> </w:t>
      </w:r>
      <w:r w:rsidRPr="00382917">
        <w:t>but</w:t>
      </w:r>
      <w:r w:rsidR="00EE4FC3">
        <w:t xml:space="preserve"> </w:t>
      </w:r>
      <w:r w:rsidRPr="00382917">
        <w:t>also</w:t>
      </w:r>
      <w:r w:rsidR="00EE4FC3">
        <w:t xml:space="preserve"> </w:t>
      </w:r>
      <w:r w:rsidRPr="00382917">
        <w:t>the</w:t>
      </w:r>
      <w:r w:rsidR="00EE4FC3">
        <w:t xml:space="preserve"> </w:t>
      </w:r>
      <w:r w:rsidRPr="00382917">
        <w:t>prophecy</w:t>
      </w:r>
      <w:r w:rsidR="00EE4FC3">
        <w:t xml:space="preserve"> </w:t>
      </w:r>
      <w:r w:rsidRPr="00382917">
        <w:t>from</w:t>
      </w:r>
      <w:r w:rsidR="00EE4FC3">
        <w:t xml:space="preserve"> </w:t>
      </w:r>
      <w:r w:rsidRPr="00382917">
        <w:t>the</w:t>
      </w:r>
      <w:r w:rsidR="00EE4FC3">
        <w:t xml:space="preserve"> </w:t>
      </w:r>
      <w:r w:rsidRPr="00382917">
        <w:t>sacred</w:t>
      </w:r>
      <w:r w:rsidR="00EE4FC3">
        <w:t xml:space="preserve"> </w:t>
      </w:r>
      <w:r w:rsidRPr="00382917">
        <w:t>writings</w:t>
      </w:r>
      <w:r w:rsidR="00EE4FC3">
        <w:t xml:space="preserve"> </w:t>
      </w:r>
      <w:r w:rsidRPr="00382917">
        <w:t>of</w:t>
      </w:r>
      <w:r w:rsidR="00EE4FC3">
        <w:t xml:space="preserve"> </w:t>
      </w:r>
      <w:r w:rsidRPr="00382917">
        <w:t>that</w:t>
      </w:r>
      <w:r w:rsidR="00EE4FC3">
        <w:t xml:space="preserve"> </w:t>
      </w:r>
      <w:r w:rsidRPr="00382917">
        <w:t>land</w:t>
      </w:r>
      <w:r w:rsidR="00EE4FC3">
        <w:t xml:space="preserve"> </w:t>
      </w:r>
      <w:r w:rsidRPr="00382917">
        <w:t>which</w:t>
      </w:r>
      <w:r w:rsidR="00EE4FC3">
        <w:t xml:space="preserve"> </w:t>
      </w:r>
      <w:r w:rsidRPr="00382917">
        <w:t>said</w:t>
      </w:r>
      <w:r w:rsidR="00C03C91">
        <w:t>:</w:t>
      </w:r>
      <w:r w:rsidR="00EE4FC3">
        <w:t xml:space="preserve">  </w:t>
      </w:r>
      <w:r w:rsidR="009C713D" w:rsidRPr="00382917">
        <w:t>“</w:t>
      </w:r>
      <w:r w:rsidRPr="00382917">
        <w:t>In</w:t>
      </w:r>
      <w:r w:rsidR="00EE4FC3">
        <w:t xml:space="preserve"> </w:t>
      </w:r>
      <w:r w:rsidRPr="00382917">
        <w:t>the</w:t>
      </w:r>
      <w:r w:rsidR="00EE4FC3">
        <w:t xml:space="preserve"> </w:t>
      </w:r>
      <w:r w:rsidRPr="00382917">
        <w:t>year</w:t>
      </w:r>
      <w:r w:rsidR="00EE4FC3">
        <w:t xml:space="preserve"> </w:t>
      </w:r>
      <w:r w:rsidRPr="00382917">
        <w:t>[1844]</w:t>
      </w:r>
      <w:r w:rsidR="00EE4FC3">
        <w:t xml:space="preserve"> </w:t>
      </w:r>
      <w:r w:rsidRPr="00382917">
        <w:t>the</w:t>
      </w:r>
      <w:r w:rsidR="00EE4FC3">
        <w:t xml:space="preserve"> </w:t>
      </w:r>
      <w:r w:rsidRPr="00382917">
        <w:t>earth</w:t>
      </w:r>
      <w:r w:rsidR="00EE4FC3">
        <w:t xml:space="preserve"> </w:t>
      </w:r>
      <w:r w:rsidRPr="00382917">
        <w:t>shall</w:t>
      </w:r>
      <w:r w:rsidR="00EE4FC3">
        <w:t xml:space="preserve"> </w:t>
      </w:r>
      <w:r w:rsidRPr="00382917">
        <w:t>be</w:t>
      </w:r>
      <w:r w:rsidR="00EE4FC3">
        <w:t xml:space="preserve"> </w:t>
      </w:r>
      <w:r w:rsidRPr="00382917">
        <w:t>illumined</w:t>
      </w:r>
      <w:r w:rsidR="00EE4FC3">
        <w:t xml:space="preserve"> </w:t>
      </w:r>
      <w:r w:rsidRPr="00382917">
        <w:t>by</w:t>
      </w:r>
      <w:r w:rsidR="00EE4FC3">
        <w:t xml:space="preserve"> </w:t>
      </w:r>
      <w:r w:rsidRPr="00382917">
        <w:t>His</w:t>
      </w:r>
      <w:r w:rsidR="00EE4FC3">
        <w:t xml:space="preserve"> </w:t>
      </w:r>
      <w:r w:rsidRPr="00382917">
        <w:t>light</w:t>
      </w:r>
      <w:proofErr w:type="gramStart"/>
      <w:r w:rsidR="00A0316E">
        <w:t xml:space="preserve">. </w:t>
      </w:r>
      <w:proofErr w:type="gramEnd"/>
      <w:r w:rsidR="00F04416" w:rsidRPr="00382917">
        <w:t>…</w:t>
      </w:r>
      <w:r w:rsidR="00EE4FC3">
        <w:t xml:space="preserve">  </w:t>
      </w:r>
      <w:r w:rsidRPr="00382917">
        <w:t>If</w:t>
      </w:r>
      <w:r w:rsidR="00EE4FC3">
        <w:t xml:space="preserve"> </w:t>
      </w:r>
      <w:r w:rsidRPr="00382917">
        <w:t>thou</w:t>
      </w:r>
      <w:r w:rsidR="00EE4FC3">
        <w:t xml:space="preserve"> </w:t>
      </w:r>
      <w:proofErr w:type="spellStart"/>
      <w:r w:rsidRPr="00382917">
        <w:t>livest</w:t>
      </w:r>
      <w:proofErr w:type="spellEnd"/>
      <w:r w:rsidR="00EE4FC3">
        <w:t xml:space="preserve"> </w:t>
      </w:r>
      <w:r w:rsidRPr="00382917">
        <w:t>until</w:t>
      </w:r>
      <w:r w:rsidR="00EE4FC3">
        <w:t xml:space="preserve"> </w:t>
      </w:r>
      <w:r w:rsidRPr="00382917">
        <w:t>the</w:t>
      </w:r>
      <w:r w:rsidR="00EE4FC3">
        <w:t xml:space="preserve"> </w:t>
      </w:r>
      <w:r w:rsidRPr="00382917">
        <w:t>year</w:t>
      </w:r>
      <w:r w:rsidR="00EE4FC3">
        <w:t xml:space="preserve"> </w:t>
      </w:r>
      <w:r w:rsidRPr="00382917">
        <w:t>[1853]</w:t>
      </w:r>
      <w:r w:rsidR="00EE4FC3">
        <w:t xml:space="preserve"> </w:t>
      </w:r>
      <w:r w:rsidRPr="00382917">
        <w:t>thou</w:t>
      </w:r>
      <w:r w:rsidR="00EE4FC3">
        <w:t xml:space="preserve"> </w:t>
      </w:r>
      <w:r w:rsidRPr="00382917">
        <w:t>shalt</w:t>
      </w:r>
      <w:r w:rsidR="00EE4FC3">
        <w:t xml:space="preserve"> </w:t>
      </w:r>
      <w:r w:rsidRPr="00382917">
        <w:t>witness</w:t>
      </w:r>
      <w:r w:rsidR="00EE4FC3">
        <w:t xml:space="preserve"> </w:t>
      </w:r>
      <w:r w:rsidRPr="00382917">
        <w:t>how</w:t>
      </w:r>
      <w:r w:rsidR="00EE4FC3">
        <w:t xml:space="preserve"> </w:t>
      </w:r>
      <w:r w:rsidRPr="00382917">
        <w:t>the</w:t>
      </w:r>
      <w:r w:rsidR="00EE4FC3">
        <w:t xml:space="preserve"> </w:t>
      </w:r>
      <w:r w:rsidRPr="00382917">
        <w:t>nations,</w:t>
      </w:r>
      <w:r w:rsidR="00EE4FC3">
        <w:t xml:space="preserve"> </w:t>
      </w:r>
      <w:r w:rsidRPr="00382917">
        <w:t>the</w:t>
      </w:r>
      <w:r w:rsidR="00EE4FC3">
        <w:t xml:space="preserve"> </w:t>
      </w:r>
      <w:r w:rsidRPr="00382917">
        <w:t>rulers,</w:t>
      </w:r>
      <w:r w:rsidR="00EE4FC3">
        <w:t xml:space="preserve"> </w:t>
      </w:r>
      <w:r w:rsidRPr="00382917">
        <w:t>the</w:t>
      </w:r>
      <w:r w:rsidR="00EE4FC3">
        <w:t xml:space="preserve"> </w:t>
      </w:r>
      <w:r w:rsidRPr="00382917">
        <w:t>peoples,</w:t>
      </w:r>
      <w:r w:rsidR="00EE4FC3">
        <w:t xml:space="preserve"> </w:t>
      </w:r>
      <w:r w:rsidRPr="00382917">
        <w:t>and</w:t>
      </w:r>
      <w:r w:rsidR="00EE4FC3">
        <w:t xml:space="preserve"> </w:t>
      </w:r>
      <w:r w:rsidRPr="00382917">
        <w:t>the</w:t>
      </w:r>
      <w:r w:rsidR="00EE4FC3">
        <w:t xml:space="preserve"> </w:t>
      </w:r>
      <w:r w:rsidRPr="00382917">
        <w:t>Faith</w:t>
      </w:r>
      <w:r w:rsidR="00EE4FC3">
        <w:t xml:space="preserve"> </w:t>
      </w:r>
      <w:r w:rsidRPr="00382917">
        <w:t>of</w:t>
      </w:r>
      <w:r w:rsidR="00EE4FC3">
        <w:t xml:space="preserve"> </w:t>
      </w:r>
      <w:r w:rsidRPr="00382917">
        <w:t>God</w:t>
      </w:r>
      <w:r w:rsidR="00EE4FC3">
        <w:t xml:space="preserve"> </w:t>
      </w:r>
      <w:r w:rsidRPr="00382917">
        <w:t>shall</w:t>
      </w:r>
      <w:r w:rsidR="00EE4FC3">
        <w:t xml:space="preserve"> </w:t>
      </w:r>
      <w:r w:rsidRPr="00382917">
        <w:t>have</w:t>
      </w:r>
      <w:r w:rsidR="00EE4FC3">
        <w:t xml:space="preserve"> </w:t>
      </w:r>
      <w:r w:rsidRPr="00382917">
        <w:t>been</w:t>
      </w:r>
      <w:r w:rsidR="00EE4FC3">
        <w:t xml:space="preserve"> </w:t>
      </w:r>
      <w:r w:rsidRPr="00382917">
        <w:t>renewed.</w:t>
      </w:r>
      <w:r w:rsidR="009C713D" w:rsidRPr="00382917">
        <w:t>”</w:t>
      </w:r>
      <w:r w:rsidR="00A0316E">
        <w:rPr>
          <w:rStyle w:val="FootnoteReference"/>
        </w:rPr>
        <w:footnoteReference w:id="235"/>
      </w:r>
    </w:p>
    <w:p w:rsidR="001D2FA7" w:rsidRPr="00382917" w:rsidRDefault="001D2FA7" w:rsidP="007B319A">
      <w:pPr>
        <w:pStyle w:val="Text"/>
      </w:pPr>
      <w:r w:rsidRPr="00382917">
        <w:t>The</w:t>
      </w:r>
      <w:r w:rsidR="00EE4FC3">
        <w:t xml:space="preserve"> </w:t>
      </w:r>
      <w:r w:rsidRPr="00382917">
        <w:t>Báb</w:t>
      </w:r>
      <w:r w:rsidR="009C713D" w:rsidRPr="00382917">
        <w:t>’</w:t>
      </w:r>
      <w:r w:rsidRPr="00382917">
        <w:t>s</w:t>
      </w:r>
      <w:r w:rsidR="00EE4FC3">
        <w:t xml:space="preserve"> </w:t>
      </w:r>
      <w:r w:rsidRPr="00382917">
        <w:t>challenging</w:t>
      </w:r>
      <w:r w:rsidR="00EE4FC3">
        <w:t xml:space="preserve"> </w:t>
      </w:r>
      <w:r w:rsidRPr="00382917">
        <w:t>words</w:t>
      </w:r>
      <w:r w:rsidR="00EE4FC3">
        <w:t xml:space="preserve"> </w:t>
      </w:r>
      <w:r w:rsidRPr="00382917">
        <w:t>written</w:t>
      </w:r>
      <w:r w:rsidR="00EE4FC3">
        <w:t xml:space="preserve"> </w:t>
      </w:r>
      <w:r w:rsidRPr="00382917">
        <w:t>at</w:t>
      </w:r>
      <w:r w:rsidR="00EE4FC3">
        <w:t xml:space="preserve"> </w:t>
      </w:r>
      <w:r w:rsidRPr="00382917">
        <w:t>Máh-Kú</w:t>
      </w:r>
      <w:r w:rsidR="00EE4FC3">
        <w:t xml:space="preserve"> </w:t>
      </w:r>
      <w:r w:rsidRPr="00382917">
        <w:t>seal</w:t>
      </w:r>
      <w:r w:rsidR="00EE4FC3">
        <w:t xml:space="preserve"> </w:t>
      </w:r>
      <w:r w:rsidRPr="00382917">
        <w:t>forever</w:t>
      </w:r>
      <w:r w:rsidR="00EE4FC3">
        <w:t xml:space="preserve"> </w:t>
      </w:r>
      <w:r w:rsidRPr="00382917">
        <w:t>the</w:t>
      </w:r>
      <w:r w:rsidR="00EE4FC3">
        <w:t xml:space="preserve"> </w:t>
      </w:r>
      <w:r w:rsidRPr="00382917">
        <w:t>bond</w:t>
      </w:r>
      <w:r w:rsidR="00EE4FC3">
        <w:t xml:space="preserve"> </w:t>
      </w:r>
      <w:r w:rsidRPr="00382917">
        <w:t>that</w:t>
      </w:r>
      <w:r w:rsidR="00EE4FC3">
        <w:t xml:space="preserve"> </w:t>
      </w:r>
      <w:r w:rsidRPr="00382917">
        <w:t>unites</w:t>
      </w:r>
      <w:r w:rsidR="00EE4FC3">
        <w:t xml:space="preserve"> </w:t>
      </w:r>
      <w:r w:rsidRPr="00382917">
        <w:t>Him</w:t>
      </w:r>
      <w:r w:rsidR="00EE4FC3">
        <w:t xml:space="preserve"> </w:t>
      </w:r>
      <w:r w:rsidRPr="00382917">
        <w:t>with</w:t>
      </w:r>
      <w:r w:rsidR="00EE4FC3">
        <w:t xml:space="preserve"> </w:t>
      </w:r>
      <w:r w:rsidRPr="00382917">
        <w:t>Bahá</w:t>
      </w:r>
      <w:r w:rsidR="009C713D" w:rsidRPr="00382917">
        <w:t>’</w:t>
      </w:r>
      <w:r w:rsidRPr="00382917">
        <w:t>u</w:t>
      </w:r>
      <w:r w:rsidR="009C713D" w:rsidRPr="00382917">
        <w:t>’</w:t>
      </w:r>
      <w:r w:rsidRPr="00382917">
        <w:t>lláh.</w:t>
      </w:r>
    </w:p>
    <w:p w:rsidR="001D2FA7" w:rsidRPr="00382917" w:rsidRDefault="009C713D" w:rsidP="00894D2F">
      <w:pPr>
        <w:pStyle w:val="Text"/>
      </w:pPr>
      <w:r w:rsidRPr="00382917">
        <w:t>“</w:t>
      </w:r>
      <w:r w:rsidR="001D2FA7" w:rsidRPr="00382917">
        <w:t>Well</w:t>
      </w:r>
      <w:r w:rsidR="00EE4FC3">
        <w:t xml:space="preserve"> </w:t>
      </w:r>
      <w:r w:rsidR="001D2FA7" w:rsidRPr="00382917">
        <w:t>is</w:t>
      </w:r>
      <w:r w:rsidR="00EE4FC3">
        <w:t xml:space="preserve"> </w:t>
      </w:r>
      <w:r w:rsidR="001D2FA7" w:rsidRPr="00382917">
        <w:t>it</w:t>
      </w:r>
      <w:r w:rsidR="00EE4FC3">
        <w:t xml:space="preserve"> </w:t>
      </w:r>
      <w:r w:rsidR="001D2FA7" w:rsidRPr="00382917">
        <w:t>with</w:t>
      </w:r>
      <w:r w:rsidR="00EE4FC3">
        <w:t xml:space="preserve"> </w:t>
      </w:r>
      <w:r w:rsidR="001D2FA7" w:rsidRPr="00382917">
        <w:t>him</w:t>
      </w:r>
      <w:r w:rsidR="00EE4FC3">
        <w:t xml:space="preserve"> </w:t>
      </w:r>
      <w:r w:rsidR="001D2FA7" w:rsidRPr="00382917">
        <w:t>who</w:t>
      </w:r>
      <w:r w:rsidR="00EE4FC3">
        <w:t xml:space="preserve"> </w:t>
      </w:r>
      <w:proofErr w:type="spellStart"/>
      <w:r w:rsidR="001D2FA7" w:rsidRPr="00382917">
        <w:t>fixeth</w:t>
      </w:r>
      <w:proofErr w:type="spellEnd"/>
      <w:r w:rsidR="00EE4FC3">
        <w:t xml:space="preserve"> </w:t>
      </w:r>
      <w:r w:rsidR="001D2FA7" w:rsidRPr="00382917">
        <w:t>his</w:t>
      </w:r>
      <w:r w:rsidR="00EE4FC3">
        <w:t xml:space="preserve"> </w:t>
      </w:r>
      <w:r w:rsidR="001D2FA7" w:rsidRPr="00382917">
        <w:t>gaze</w:t>
      </w:r>
      <w:r w:rsidR="00EE4FC3">
        <w:t xml:space="preserve"> </w:t>
      </w:r>
      <w:r w:rsidR="001D2FA7" w:rsidRPr="00382917">
        <w:t>upon</w:t>
      </w:r>
      <w:r w:rsidR="00EE4FC3">
        <w:t xml:space="preserve"> </w:t>
      </w:r>
      <w:r w:rsidR="001D2FA7" w:rsidRPr="00382917">
        <w:t>the</w:t>
      </w:r>
      <w:r w:rsidR="00EE4FC3">
        <w:t xml:space="preserve"> </w:t>
      </w:r>
      <w:r w:rsidR="001D2FA7" w:rsidRPr="00382917">
        <w:t>Order</w:t>
      </w:r>
      <w:r w:rsidR="00EE4FC3">
        <w:t xml:space="preserve"> </w:t>
      </w:r>
      <w:r w:rsidR="001D2FA7" w:rsidRPr="00382917">
        <w:t>of</w:t>
      </w:r>
      <w:r w:rsidR="00EE4FC3">
        <w:t xml:space="preserve"> </w:t>
      </w:r>
      <w:r w:rsidR="001D2FA7" w:rsidRPr="00382917">
        <w:t>Bahá</w:t>
      </w:r>
      <w:r w:rsidRPr="00382917">
        <w:t>’</w:t>
      </w:r>
      <w:r w:rsidR="001D2FA7" w:rsidRPr="00382917">
        <w:t>u</w:t>
      </w:r>
      <w:r w:rsidRPr="00382917">
        <w:t>’</w:t>
      </w:r>
      <w:r w:rsidR="001D2FA7" w:rsidRPr="00382917">
        <w:t>lláh</w:t>
      </w:r>
      <w:r w:rsidR="00EE4FC3">
        <w:t xml:space="preserve"> </w:t>
      </w:r>
      <w:r w:rsidR="001D2FA7" w:rsidRPr="00382917">
        <w:t>and</w:t>
      </w:r>
      <w:r w:rsidR="00EE4FC3">
        <w:t xml:space="preserve"> </w:t>
      </w:r>
      <w:proofErr w:type="spellStart"/>
      <w:r w:rsidR="001D2FA7" w:rsidRPr="00382917">
        <w:t>rendereth</w:t>
      </w:r>
      <w:proofErr w:type="spellEnd"/>
      <w:r w:rsidR="00EE4FC3">
        <w:t xml:space="preserve"> </w:t>
      </w:r>
      <w:r w:rsidR="001D2FA7" w:rsidRPr="00382917">
        <w:t>thanks</w:t>
      </w:r>
      <w:r w:rsidR="00EE4FC3">
        <w:t xml:space="preserve"> </w:t>
      </w:r>
      <w:r w:rsidR="001D2FA7" w:rsidRPr="00382917">
        <w:t>unto</w:t>
      </w:r>
      <w:r w:rsidR="00EE4FC3">
        <w:t xml:space="preserve"> </w:t>
      </w:r>
      <w:r w:rsidR="001D2FA7" w:rsidRPr="00382917">
        <w:t>his</w:t>
      </w:r>
      <w:r w:rsidR="00EE4FC3">
        <w:t xml:space="preserve"> </w:t>
      </w:r>
      <w:r w:rsidR="001D2FA7" w:rsidRPr="00382917">
        <w:t>Lord!</w:t>
      </w:r>
      <w:r w:rsidR="00EE4FC3">
        <w:t xml:space="preserve"> </w:t>
      </w:r>
      <w:r w:rsidR="00894D2F">
        <w:t xml:space="preserve"> </w:t>
      </w:r>
      <w:proofErr w:type="gramStart"/>
      <w:r w:rsidR="001D2FA7" w:rsidRPr="00382917">
        <w:t>For</w:t>
      </w:r>
      <w:r w:rsidR="00EE4FC3">
        <w:t xml:space="preserve"> </w:t>
      </w:r>
      <w:r w:rsidR="001D2FA7" w:rsidRPr="00382917">
        <w:t>He</w:t>
      </w:r>
      <w:r w:rsidR="00EE4FC3">
        <w:t xml:space="preserve"> </w:t>
      </w:r>
      <w:r w:rsidR="001D2FA7" w:rsidRPr="00382917">
        <w:t>will</w:t>
      </w:r>
      <w:r w:rsidR="00EE4FC3">
        <w:t xml:space="preserve"> </w:t>
      </w:r>
      <w:r w:rsidR="001D2FA7" w:rsidRPr="00382917">
        <w:t>assuredly</w:t>
      </w:r>
      <w:r w:rsidR="00EE4FC3">
        <w:t xml:space="preserve"> </w:t>
      </w:r>
      <w:r w:rsidR="001D2FA7" w:rsidRPr="00382917">
        <w:t>be</w:t>
      </w:r>
      <w:r w:rsidR="00EE4FC3">
        <w:t xml:space="preserve"> </w:t>
      </w:r>
      <w:r w:rsidR="001D2FA7" w:rsidRPr="00382917">
        <w:t>made</w:t>
      </w:r>
      <w:r w:rsidR="00EE4FC3">
        <w:t xml:space="preserve"> </w:t>
      </w:r>
      <w:r w:rsidR="001D2FA7" w:rsidRPr="00382917">
        <w:t>manifest.</w:t>
      </w:r>
      <w:r w:rsidRPr="00382917">
        <w:t>”</w:t>
      </w:r>
      <w:proofErr w:type="gramEnd"/>
      <w:r w:rsidR="00894D2F">
        <w:rPr>
          <w:rStyle w:val="FootnoteReference"/>
        </w:rPr>
        <w:footnoteReference w:id="236"/>
      </w:r>
    </w:p>
    <w:p w:rsidR="00E13D49" w:rsidRPr="00382917" w:rsidRDefault="009C713D" w:rsidP="00894D2F">
      <w:pPr>
        <w:pStyle w:val="Text"/>
      </w:pPr>
      <w:r w:rsidRPr="00382917">
        <w:t>“</w:t>
      </w:r>
      <w:r w:rsidR="001D2FA7" w:rsidRPr="00382917">
        <w:t>I</w:t>
      </w:r>
      <w:r w:rsidR="00EE4FC3">
        <w:t xml:space="preserve"> </w:t>
      </w:r>
      <w:r w:rsidR="001D2FA7" w:rsidRPr="00382917">
        <w:t>verily</w:t>
      </w:r>
      <w:r w:rsidR="00EE4FC3">
        <w:t xml:space="preserve"> </w:t>
      </w:r>
      <w:r w:rsidR="001D2FA7" w:rsidRPr="00382917">
        <w:t>am</w:t>
      </w:r>
      <w:r w:rsidR="00EE4FC3">
        <w:t xml:space="preserve"> </w:t>
      </w:r>
      <w:r w:rsidR="001D2FA7" w:rsidRPr="00382917">
        <w:t>a</w:t>
      </w:r>
      <w:r w:rsidR="00EE4FC3">
        <w:t xml:space="preserve"> </w:t>
      </w:r>
      <w:r w:rsidR="001D2FA7" w:rsidRPr="00382917">
        <w:t>believer</w:t>
      </w:r>
      <w:r w:rsidR="00EE4FC3">
        <w:t xml:space="preserve"> </w:t>
      </w:r>
      <w:r w:rsidR="001D2FA7" w:rsidRPr="00382917">
        <w:t>in</w:t>
      </w:r>
      <w:r w:rsidR="00EE4FC3">
        <w:t xml:space="preserve"> </w:t>
      </w:r>
      <w:r w:rsidR="001D2FA7" w:rsidRPr="00382917">
        <w:t>Him,</w:t>
      </w:r>
      <w:r w:rsidRPr="00382917">
        <w:t>”</w:t>
      </w:r>
      <w:r w:rsidR="00EE4FC3">
        <w:t xml:space="preserve"> </w:t>
      </w:r>
      <w:r w:rsidR="001D2FA7" w:rsidRPr="00382917">
        <w:t>the</w:t>
      </w:r>
      <w:r w:rsidR="00EE4FC3">
        <w:t xml:space="preserve"> </w:t>
      </w:r>
      <w:r w:rsidR="001D2FA7" w:rsidRPr="00382917">
        <w:t>Báb</w:t>
      </w:r>
      <w:r w:rsidR="00EE4FC3">
        <w:t xml:space="preserve"> </w:t>
      </w:r>
      <w:r w:rsidR="001D2FA7" w:rsidRPr="00382917">
        <w:t>declares</w:t>
      </w:r>
      <w:r w:rsidR="00EE4FC3">
        <w:t xml:space="preserve"> </w:t>
      </w:r>
      <w:r w:rsidR="001D2FA7" w:rsidRPr="00382917">
        <w:t>to</w:t>
      </w:r>
      <w:r w:rsidR="00EE4FC3">
        <w:t xml:space="preserve"> </w:t>
      </w:r>
      <w:r w:rsidR="001D2FA7" w:rsidRPr="00382917">
        <w:t>the</w:t>
      </w:r>
      <w:r w:rsidR="00EE4FC3">
        <w:t xml:space="preserve"> </w:t>
      </w:r>
      <w:r w:rsidR="001D2FA7" w:rsidRPr="00382917">
        <w:t>world,</w:t>
      </w:r>
      <w:r w:rsidR="00EE4FC3">
        <w:t xml:space="preserve"> </w:t>
      </w:r>
      <w:r w:rsidRPr="00382917">
        <w:t>“</w:t>
      </w:r>
      <w:r w:rsidR="001D2FA7" w:rsidRPr="00382917">
        <w:t>and</w:t>
      </w:r>
      <w:r w:rsidR="00EE4FC3">
        <w:t xml:space="preserve"> </w:t>
      </w:r>
      <w:r w:rsidR="001D2FA7" w:rsidRPr="00382917">
        <w:t>in</w:t>
      </w:r>
      <w:r w:rsidR="00EE4FC3">
        <w:t xml:space="preserve"> </w:t>
      </w:r>
      <w:r w:rsidR="001D2FA7" w:rsidRPr="00382917">
        <w:t>His</w:t>
      </w:r>
      <w:r w:rsidR="00EE4FC3">
        <w:t xml:space="preserve"> </w:t>
      </w:r>
      <w:r w:rsidR="001D2FA7" w:rsidRPr="00382917">
        <w:t>Faith,</w:t>
      </w:r>
      <w:r w:rsidR="00EE4FC3">
        <w:t xml:space="preserve"> </w:t>
      </w:r>
      <w:r w:rsidR="001D2FA7" w:rsidRPr="00382917">
        <w:t>and</w:t>
      </w:r>
      <w:r w:rsidR="00EE4FC3">
        <w:t xml:space="preserve"> </w:t>
      </w:r>
      <w:r w:rsidR="001D2FA7" w:rsidRPr="00382917">
        <w:t>in</w:t>
      </w:r>
      <w:r w:rsidR="00EE4FC3">
        <w:t xml:space="preserve"> </w:t>
      </w:r>
      <w:r w:rsidR="001D2FA7" w:rsidRPr="00382917">
        <w:t>His</w:t>
      </w:r>
      <w:r w:rsidR="00EE4FC3">
        <w:t xml:space="preserve"> </w:t>
      </w:r>
      <w:r w:rsidR="001D2FA7" w:rsidRPr="00382917">
        <w:t>Book</w:t>
      </w:r>
      <w:proofErr w:type="gramStart"/>
      <w:r w:rsidR="00894D2F">
        <w:t xml:space="preserve">. </w:t>
      </w:r>
      <w:proofErr w:type="gramEnd"/>
      <w:r w:rsidR="00F04416" w:rsidRPr="00382917">
        <w:t>…</w:t>
      </w:r>
      <w:r w:rsidR="00894D2F">
        <w:t>”</w:t>
      </w:r>
      <w:r w:rsidR="00894D2F">
        <w:rPr>
          <w:rStyle w:val="FootnoteReference"/>
        </w:rPr>
        <w:footnoteReference w:id="237"/>
      </w:r>
    </w:p>
    <w:p w:rsidR="001D2FA7" w:rsidRPr="00382917" w:rsidRDefault="001D2FA7" w:rsidP="007B319A">
      <w:pPr>
        <w:pStyle w:val="Text"/>
      </w:pPr>
      <w:r w:rsidRPr="00382917">
        <w:t>Bahá</w:t>
      </w:r>
      <w:r w:rsidR="009C713D" w:rsidRPr="00382917">
        <w:t>’</w:t>
      </w:r>
      <w:r w:rsidRPr="00382917">
        <w:t>u</w:t>
      </w:r>
      <w:r w:rsidR="009C713D" w:rsidRPr="00382917">
        <w:t>’</w:t>
      </w:r>
      <w:r w:rsidRPr="00382917">
        <w:t>lláh</w:t>
      </w:r>
      <w:r w:rsidR="00EE4FC3">
        <w:t xml:space="preserve"> </w:t>
      </w:r>
      <w:r w:rsidRPr="00382917">
        <w:t>on</w:t>
      </w:r>
      <w:r w:rsidR="00EE4FC3">
        <w:t xml:space="preserve"> </w:t>
      </w:r>
      <w:r w:rsidRPr="00382917">
        <w:t>His</w:t>
      </w:r>
      <w:r w:rsidR="00EE4FC3">
        <w:t xml:space="preserve"> </w:t>
      </w:r>
      <w:r w:rsidRPr="00382917">
        <w:t>part</w:t>
      </w:r>
      <w:r w:rsidR="00EE4FC3">
        <w:t xml:space="preserve"> </w:t>
      </w:r>
      <w:r w:rsidRPr="00382917">
        <w:t>had</w:t>
      </w:r>
      <w:r w:rsidR="00EE4FC3">
        <w:t xml:space="preserve"> </w:t>
      </w:r>
      <w:r w:rsidRPr="00382917">
        <w:t>such</w:t>
      </w:r>
      <w:r w:rsidR="00EE4FC3">
        <w:t xml:space="preserve"> </w:t>
      </w:r>
      <w:r w:rsidRPr="00382917">
        <w:t>a</w:t>
      </w:r>
      <w:r w:rsidR="00EE4FC3">
        <w:t xml:space="preserve"> </w:t>
      </w:r>
      <w:r w:rsidRPr="00382917">
        <w:t>love</w:t>
      </w:r>
      <w:r w:rsidR="00EE4FC3">
        <w:t xml:space="preserve"> </w:t>
      </w:r>
      <w:r w:rsidRPr="00382917">
        <w:t>for</w:t>
      </w:r>
      <w:r w:rsidR="00EE4FC3">
        <w:t xml:space="preserve"> </w:t>
      </w:r>
      <w:r w:rsidRPr="00382917">
        <w:t>the</w:t>
      </w:r>
      <w:r w:rsidR="00EE4FC3">
        <w:t xml:space="preserve"> </w:t>
      </w:r>
      <w:r w:rsidRPr="00382917">
        <w:t>Báb</w:t>
      </w:r>
      <w:r w:rsidR="00EE4FC3">
        <w:t xml:space="preserve"> </w:t>
      </w:r>
      <w:r w:rsidRPr="00382917">
        <w:t>that</w:t>
      </w:r>
      <w:r w:rsidR="00EE4FC3">
        <w:t xml:space="preserve"> </w:t>
      </w:r>
      <w:r w:rsidRPr="00382917">
        <w:t>He</w:t>
      </w:r>
      <w:r w:rsidR="00EE4FC3">
        <w:t xml:space="preserve"> </w:t>
      </w:r>
      <w:r w:rsidRPr="00382917">
        <w:t>would</w:t>
      </w:r>
      <w:r w:rsidR="00EE4FC3">
        <w:t xml:space="preserve"> </w:t>
      </w:r>
      <w:r w:rsidRPr="00382917">
        <w:t>not</w:t>
      </w:r>
      <w:r w:rsidR="00EE4FC3">
        <w:t xml:space="preserve"> </w:t>
      </w:r>
      <w:r w:rsidRPr="00382917">
        <w:t>let</w:t>
      </w:r>
      <w:r w:rsidR="00EE4FC3">
        <w:t xml:space="preserve"> </w:t>
      </w:r>
      <w:r w:rsidRPr="00382917">
        <w:t>Him</w:t>
      </w:r>
      <w:r w:rsidR="00EE4FC3">
        <w:t xml:space="preserve"> </w:t>
      </w:r>
      <w:r w:rsidRPr="00382917">
        <w:t>suffer</w:t>
      </w:r>
      <w:r w:rsidR="00EE4FC3">
        <w:t xml:space="preserve"> </w:t>
      </w:r>
      <w:r w:rsidRPr="00382917">
        <w:t>any</w:t>
      </w:r>
      <w:r w:rsidR="00EE4FC3">
        <w:t xml:space="preserve"> </w:t>
      </w:r>
      <w:r w:rsidRPr="00382917">
        <w:t>pain,</w:t>
      </w:r>
      <w:r w:rsidR="00EE4FC3">
        <w:t xml:space="preserve"> </w:t>
      </w:r>
      <w:r w:rsidRPr="00382917">
        <w:t>indignity,</w:t>
      </w:r>
      <w:r w:rsidR="00EE4FC3">
        <w:t xml:space="preserve"> </w:t>
      </w:r>
      <w:r w:rsidRPr="00382917">
        <w:t>or</w:t>
      </w:r>
      <w:r w:rsidR="00EE4FC3">
        <w:t xml:space="preserve"> </w:t>
      </w:r>
      <w:r w:rsidRPr="00382917">
        <w:t>humiliation</w:t>
      </w:r>
      <w:r w:rsidR="00EE4FC3">
        <w:t xml:space="preserve"> </w:t>
      </w:r>
      <w:r w:rsidRPr="00382917">
        <w:t>in</w:t>
      </w:r>
      <w:r w:rsidR="00EE4FC3">
        <w:t xml:space="preserve"> </w:t>
      </w:r>
      <w:r w:rsidRPr="00382917">
        <w:t>which</w:t>
      </w:r>
      <w:r w:rsidR="00EE4FC3">
        <w:t xml:space="preserve"> </w:t>
      </w:r>
      <w:r w:rsidRPr="00382917">
        <w:t>He,</w:t>
      </w:r>
      <w:r w:rsidR="00EE4FC3">
        <w:t xml:space="preserve"> </w:t>
      </w:r>
      <w:r w:rsidRPr="00382917">
        <w:t>Bahá</w:t>
      </w:r>
      <w:r w:rsidR="009C713D" w:rsidRPr="00382917">
        <w:t>’</w:t>
      </w:r>
      <w:r w:rsidRPr="00382917">
        <w:t>u</w:t>
      </w:r>
      <w:r w:rsidR="009C713D" w:rsidRPr="00382917">
        <w:t>’</w:t>
      </w:r>
      <w:r w:rsidRPr="00382917">
        <w:t>lláh,</w:t>
      </w:r>
      <w:r w:rsidR="00EE4FC3">
        <w:t xml:space="preserve"> </w:t>
      </w:r>
      <w:r w:rsidRPr="00382917">
        <w:t>did</w:t>
      </w:r>
      <w:r w:rsidR="00EE4FC3">
        <w:t xml:space="preserve"> </w:t>
      </w:r>
      <w:r w:rsidRPr="00382917">
        <w:t>not</w:t>
      </w:r>
      <w:r w:rsidR="00EE4FC3">
        <w:t xml:space="preserve"> </w:t>
      </w:r>
      <w:r w:rsidRPr="00382917">
        <w:t>share.</w:t>
      </w:r>
    </w:p>
    <w:p w:rsidR="001D2FA7" w:rsidRPr="00382917" w:rsidRDefault="001D2FA7" w:rsidP="000173F2">
      <w:pPr>
        <w:pStyle w:val="Text"/>
      </w:pPr>
      <w:r w:rsidRPr="00382917">
        <w:t>The</w:t>
      </w:r>
      <w:r w:rsidR="00EE4FC3">
        <w:t xml:space="preserve"> </w:t>
      </w:r>
      <w:r w:rsidRPr="00382917">
        <w:t>Báb</w:t>
      </w:r>
      <w:r w:rsidR="00EE4FC3">
        <w:t xml:space="preserve"> </w:t>
      </w:r>
      <w:r w:rsidRPr="00382917">
        <w:t>was</w:t>
      </w:r>
      <w:r w:rsidR="00EE4FC3">
        <w:t xml:space="preserve"> </w:t>
      </w:r>
      <w:r w:rsidRPr="00382917">
        <w:t>first</w:t>
      </w:r>
      <w:r w:rsidR="00EE4FC3">
        <w:t xml:space="preserve"> </w:t>
      </w:r>
      <w:r w:rsidRPr="00382917">
        <w:t>confined</w:t>
      </w:r>
      <w:r w:rsidR="00EE4FC3">
        <w:t xml:space="preserve"> </w:t>
      </w:r>
      <w:r w:rsidRPr="00382917">
        <w:t>in</w:t>
      </w:r>
      <w:r w:rsidR="00EE4FC3">
        <w:t xml:space="preserve"> </w:t>
      </w:r>
      <w:r w:rsidRPr="00382917">
        <w:t>the</w:t>
      </w:r>
      <w:r w:rsidR="00EE4FC3">
        <w:t xml:space="preserve"> </w:t>
      </w:r>
      <w:r w:rsidRPr="00382917">
        <w:t>house</w:t>
      </w:r>
      <w:r w:rsidR="00EE4FC3">
        <w:t xml:space="preserve"> </w:t>
      </w:r>
      <w:r w:rsidRPr="00382917">
        <w:t>of</w:t>
      </w:r>
      <w:r w:rsidR="00EE4FC3">
        <w:t xml:space="preserve"> </w:t>
      </w:r>
      <w:r w:rsidRPr="00382917">
        <w:t>the</w:t>
      </w:r>
      <w:r w:rsidR="00EE4FC3">
        <w:t xml:space="preserve"> </w:t>
      </w:r>
      <w:r w:rsidRPr="00382917">
        <w:t>Chief</w:t>
      </w:r>
      <w:r w:rsidR="00EE4FC3">
        <w:t xml:space="preserve"> </w:t>
      </w:r>
      <w:r w:rsidRPr="00382917">
        <w:t>Constable</w:t>
      </w:r>
      <w:r w:rsidR="00EE4FC3">
        <w:t xml:space="preserve"> </w:t>
      </w:r>
      <w:r w:rsidRPr="00382917">
        <w:t>of</w:t>
      </w:r>
      <w:r w:rsidR="00EE4FC3">
        <w:t xml:space="preserve"> </w:t>
      </w:r>
      <w:r w:rsidR="008A073E" w:rsidRPr="00382917">
        <w:rPr>
          <w:u w:val="single"/>
        </w:rPr>
        <w:t>Sh</w:t>
      </w:r>
      <w:r w:rsidR="008A073E" w:rsidRPr="00382917">
        <w:t>íráz</w:t>
      </w:r>
      <w:r w:rsidR="00330AF7">
        <w:t>.</w:t>
      </w:r>
      <w:r w:rsidR="00EE4FC3">
        <w:t xml:space="preserve">  </w:t>
      </w:r>
      <w:r w:rsidRPr="00382917">
        <w:t>Shortly</w:t>
      </w:r>
      <w:r w:rsidR="00EE4FC3">
        <w:t xml:space="preserve"> </w:t>
      </w:r>
      <w:r w:rsidRPr="00382917">
        <w:t>after</w:t>
      </w:r>
      <w:r w:rsidR="00EE4FC3">
        <w:t xml:space="preserve"> </w:t>
      </w:r>
      <w:r w:rsidRPr="00382917">
        <w:t>this</w:t>
      </w:r>
      <w:r w:rsidR="00EE4FC3">
        <w:t xml:space="preserve"> </w:t>
      </w:r>
      <w:r w:rsidRPr="00382917">
        <w:t>Bahá</w:t>
      </w:r>
      <w:r w:rsidR="009C713D" w:rsidRPr="00382917">
        <w:t>’</w:t>
      </w:r>
      <w:r w:rsidRPr="00382917">
        <w:t>u</w:t>
      </w:r>
      <w:r w:rsidR="009C713D" w:rsidRPr="00382917">
        <w:t>’</w:t>
      </w:r>
      <w:r w:rsidRPr="00382917">
        <w:t>lláh</w:t>
      </w:r>
      <w:r w:rsidR="00EE4FC3">
        <w:t xml:space="preserve"> </w:t>
      </w:r>
      <w:r w:rsidRPr="00382917">
        <w:t>was</w:t>
      </w:r>
      <w:r w:rsidR="00EE4FC3">
        <w:t xml:space="preserve"> </w:t>
      </w:r>
      <w:r w:rsidRPr="00382917">
        <w:t>confined</w:t>
      </w:r>
      <w:r w:rsidR="00EE4FC3">
        <w:t xml:space="preserve"> </w:t>
      </w:r>
      <w:r w:rsidRPr="00382917">
        <w:t>in</w:t>
      </w:r>
      <w:r w:rsidR="00EE4FC3">
        <w:t xml:space="preserve"> </w:t>
      </w:r>
      <w:r w:rsidRPr="00382917">
        <w:t>the</w:t>
      </w:r>
      <w:r w:rsidR="00EE4FC3">
        <w:t xml:space="preserve"> </w:t>
      </w:r>
      <w:r w:rsidRPr="00382917">
        <w:t>house</w:t>
      </w:r>
      <w:r w:rsidR="00EE4FC3">
        <w:t xml:space="preserve"> </w:t>
      </w:r>
      <w:r w:rsidRPr="00382917">
        <w:t>of</w:t>
      </w:r>
      <w:r w:rsidR="00EE4FC3">
        <w:t xml:space="preserve"> </w:t>
      </w:r>
      <w:r w:rsidRPr="00382917">
        <w:t>one</w:t>
      </w:r>
      <w:r w:rsidR="00EE4FC3">
        <w:t xml:space="preserve"> </w:t>
      </w:r>
      <w:r w:rsidRPr="00382917">
        <w:t>of</w:t>
      </w:r>
      <w:r w:rsidR="00EE4FC3">
        <w:t xml:space="preserve"> </w:t>
      </w:r>
      <w:r w:rsidRPr="00382917">
        <w:t>the</w:t>
      </w:r>
      <w:r w:rsidR="00EE4FC3">
        <w:t xml:space="preserve"> </w:t>
      </w:r>
      <w:r w:rsidRPr="00382917">
        <w:t>religious</w:t>
      </w:r>
      <w:r w:rsidR="00EE4FC3">
        <w:t xml:space="preserve"> </w:t>
      </w:r>
      <w:r w:rsidRPr="00382917">
        <w:t>leaders</w:t>
      </w:r>
      <w:r w:rsidR="00EE4FC3">
        <w:t xml:space="preserve"> </w:t>
      </w:r>
      <w:r w:rsidRPr="00382917">
        <w:t>in</w:t>
      </w:r>
      <w:r w:rsidR="00EE4FC3">
        <w:t xml:space="preserve"> </w:t>
      </w:r>
      <w:r w:rsidRPr="00382917">
        <w:t>Ṭihrán</w:t>
      </w:r>
      <w:r w:rsidR="00330AF7">
        <w:t>.</w:t>
      </w:r>
      <w:r w:rsidR="00EE4FC3">
        <w:t xml:space="preserve">  </w:t>
      </w:r>
      <w:r w:rsidRPr="00382917">
        <w:t>The</w:t>
      </w:r>
      <w:r w:rsidR="00EE4FC3">
        <w:t xml:space="preserve"> </w:t>
      </w:r>
      <w:r w:rsidRPr="00382917">
        <w:t>Báb</w:t>
      </w:r>
      <w:r w:rsidR="009C713D" w:rsidRPr="00382917">
        <w:t>’</w:t>
      </w:r>
      <w:r w:rsidRPr="00382917">
        <w:t>s</w:t>
      </w:r>
      <w:r w:rsidR="00EE4FC3">
        <w:t xml:space="preserve"> </w:t>
      </w:r>
      <w:r w:rsidRPr="00382917">
        <w:t>second</w:t>
      </w:r>
      <w:r w:rsidR="00EE4FC3">
        <w:t xml:space="preserve"> </w:t>
      </w:r>
      <w:r w:rsidRPr="00382917">
        <w:t>imprisonment</w:t>
      </w:r>
      <w:r w:rsidR="00EE4FC3">
        <w:t xml:space="preserve"> </w:t>
      </w:r>
      <w:r w:rsidRPr="00382917">
        <w:t>was</w:t>
      </w:r>
      <w:r w:rsidR="00EE4FC3">
        <w:t xml:space="preserve"> </w:t>
      </w:r>
      <w:r w:rsidRPr="00382917">
        <w:t>in</w:t>
      </w:r>
      <w:r w:rsidR="00EE4FC3">
        <w:t xml:space="preserve"> </w:t>
      </w:r>
      <w:r w:rsidRPr="00382917">
        <w:t>the</w:t>
      </w:r>
      <w:r w:rsidR="00EE4FC3">
        <w:t xml:space="preserve"> </w:t>
      </w:r>
      <w:r w:rsidRPr="00382917">
        <w:t>castle</w:t>
      </w:r>
      <w:r w:rsidR="00EE4FC3">
        <w:t xml:space="preserve"> </w:t>
      </w:r>
      <w:r w:rsidRPr="00382917">
        <w:t>of</w:t>
      </w:r>
      <w:r w:rsidR="00EE4FC3">
        <w:t xml:space="preserve"> </w:t>
      </w:r>
      <w:r w:rsidRPr="00382917">
        <w:t>Máh-Kú;</w:t>
      </w:r>
      <w:r w:rsidR="00EE4FC3">
        <w:t xml:space="preserve"> </w:t>
      </w:r>
      <w:r w:rsidRPr="00382917">
        <w:t>that</w:t>
      </w:r>
      <w:r w:rsidR="00EE4FC3">
        <w:t xml:space="preserve"> </w:t>
      </w:r>
      <w:r w:rsidRPr="00382917">
        <w:t>of</w:t>
      </w:r>
      <w:r w:rsidR="00EE4FC3">
        <w:t xml:space="preserve"> </w:t>
      </w:r>
      <w:r w:rsidRPr="00382917">
        <w:t>Bahá</w:t>
      </w:r>
      <w:r w:rsidR="009C713D" w:rsidRPr="00382917">
        <w:t>’</w:t>
      </w:r>
      <w:r w:rsidRPr="00382917">
        <w:t>u</w:t>
      </w:r>
      <w:r w:rsidR="009C713D" w:rsidRPr="00382917">
        <w:t>’</w:t>
      </w:r>
      <w:r w:rsidRPr="00382917">
        <w:t>lláh</w:t>
      </w:r>
      <w:r w:rsidR="00EE4FC3">
        <w:t xml:space="preserve"> </w:t>
      </w:r>
      <w:r w:rsidRPr="00382917">
        <w:t>followed</w:t>
      </w:r>
      <w:r w:rsidR="00EE4FC3">
        <w:t xml:space="preserve"> </w:t>
      </w:r>
      <w:r w:rsidRPr="00382917">
        <w:t>when</w:t>
      </w:r>
      <w:r w:rsidR="00EE4FC3">
        <w:t xml:space="preserve"> </w:t>
      </w:r>
      <w:r w:rsidRPr="00382917">
        <w:t>He</w:t>
      </w:r>
      <w:r w:rsidR="00EE4FC3">
        <w:t xml:space="preserve"> </w:t>
      </w:r>
      <w:r w:rsidRPr="00382917">
        <w:t>was</w:t>
      </w:r>
      <w:r w:rsidR="00EE4FC3">
        <w:t xml:space="preserve"> </w:t>
      </w:r>
      <w:r w:rsidRPr="00382917">
        <w:t>imprisoned</w:t>
      </w:r>
      <w:r w:rsidR="00EE4FC3">
        <w:t xml:space="preserve"> </w:t>
      </w:r>
      <w:r w:rsidRPr="00382917">
        <w:t>in</w:t>
      </w:r>
      <w:r w:rsidR="00EE4FC3">
        <w:t xml:space="preserve"> </w:t>
      </w:r>
      <w:r w:rsidRPr="00382917">
        <w:t>the</w:t>
      </w:r>
      <w:r w:rsidR="00EE4FC3">
        <w:t xml:space="preserve"> </w:t>
      </w:r>
      <w:r w:rsidRPr="00382917">
        <w:t>residence</w:t>
      </w:r>
      <w:r w:rsidR="00EE4FC3">
        <w:t xml:space="preserve"> </w:t>
      </w:r>
      <w:r w:rsidRPr="00382917">
        <w:t>of</w:t>
      </w:r>
      <w:r w:rsidR="00EE4FC3">
        <w:t xml:space="preserve"> </w:t>
      </w:r>
      <w:r w:rsidRPr="00382917">
        <w:t>the</w:t>
      </w:r>
      <w:r w:rsidR="00EE4FC3">
        <w:t xml:space="preserve"> </w:t>
      </w:r>
      <w:r w:rsidRPr="00382917">
        <w:t>governor</w:t>
      </w:r>
      <w:r w:rsidR="00EE4FC3">
        <w:t xml:space="preserve"> </w:t>
      </w:r>
      <w:r w:rsidRPr="00382917">
        <w:t>of</w:t>
      </w:r>
      <w:r w:rsidR="00EE4FC3">
        <w:t xml:space="preserve"> </w:t>
      </w:r>
      <w:r w:rsidR="009C713D" w:rsidRPr="00382917">
        <w:t>‘</w:t>
      </w:r>
      <w:r w:rsidRPr="00382917">
        <w:t>Ámul</w:t>
      </w:r>
      <w:r w:rsidR="00330AF7">
        <w:t>.</w:t>
      </w:r>
      <w:r w:rsidR="00EE4FC3">
        <w:t xml:space="preserve">  </w:t>
      </w:r>
      <w:r w:rsidRPr="00382917">
        <w:t>The</w:t>
      </w:r>
      <w:r w:rsidR="00EE4FC3">
        <w:t xml:space="preserve"> </w:t>
      </w:r>
      <w:r w:rsidRPr="00382917">
        <w:t>Báb</w:t>
      </w:r>
      <w:r w:rsidR="00EE4FC3">
        <w:t xml:space="preserve"> </w:t>
      </w:r>
      <w:r w:rsidRPr="00382917">
        <w:t>was</w:t>
      </w:r>
      <w:r w:rsidR="00EE4FC3">
        <w:t xml:space="preserve"> </w:t>
      </w:r>
      <w:r w:rsidRPr="00382917">
        <w:t>scourged</w:t>
      </w:r>
      <w:r w:rsidR="00EE4FC3">
        <w:t xml:space="preserve"> </w:t>
      </w:r>
      <w:r w:rsidRPr="00382917">
        <w:t>in</w:t>
      </w:r>
      <w:r w:rsidR="00EE4FC3">
        <w:t xml:space="preserve"> </w:t>
      </w:r>
      <w:r w:rsidRPr="00382917">
        <w:t>the</w:t>
      </w:r>
      <w:r w:rsidR="00EE4FC3">
        <w:t xml:space="preserve"> </w:t>
      </w:r>
      <w:r w:rsidRPr="00382917">
        <w:t>prayer-house</w:t>
      </w:r>
      <w:r w:rsidR="00EE4FC3">
        <w:t xml:space="preserve"> </w:t>
      </w:r>
      <w:r w:rsidRPr="00382917">
        <w:t>in</w:t>
      </w:r>
      <w:r w:rsidR="00EE4FC3">
        <w:t xml:space="preserve"> </w:t>
      </w:r>
      <w:r w:rsidR="000173F2">
        <w:t>T</w:t>
      </w:r>
      <w:r w:rsidRPr="00382917">
        <w:t>abríz</w:t>
      </w:r>
      <w:r w:rsidR="00330AF7">
        <w:t>.</w:t>
      </w:r>
      <w:r w:rsidR="00EE4FC3">
        <w:t xml:space="preserve">  </w:t>
      </w:r>
      <w:r w:rsidRPr="00382917">
        <w:t>The</w:t>
      </w:r>
      <w:r w:rsidR="00EE4FC3">
        <w:t xml:space="preserve"> </w:t>
      </w:r>
      <w:r w:rsidRPr="00382917">
        <w:t>very</w:t>
      </w:r>
      <w:r w:rsidR="00EE4FC3">
        <w:t xml:space="preserve"> </w:t>
      </w:r>
      <w:r w:rsidRPr="00382917">
        <w:t>same</w:t>
      </w:r>
      <w:r w:rsidR="00EE4FC3">
        <w:t xml:space="preserve"> </w:t>
      </w:r>
      <w:r w:rsidRPr="00382917">
        <w:t>punishment</w:t>
      </w:r>
      <w:r w:rsidR="00EE4FC3">
        <w:t xml:space="preserve"> </w:t>
      </w:r>
      <w:r w:rsidRPr="00382917">
        <w:t>was</w:t>
      </w:r>
      <w:r w:rsidR="00EE4FC3">
        <w:t xml:space="preserve"> </w:t>
      </w:r>
      <w:r w:rsidRPr="00382917">
        <w:t>inflicted</w:t>
      </w:r>
      <w:r w:rsidR="00EE4FC3">
        <w:t xml:space="preserve"> </w:t>
      </w:r>
      <w:r w:rsidRPr="00382917">
        <w:t>shortly</w:t>
      </w:r>
      <w:r w:rsidR="00EE4FC3">
        <w:t xml:space="preserve"> </w:t>
      </w:r>
      <w:r w:rsidRPr="00382917">
        <w:t>after</w:t>
      </w:r>
      <w:r w:rsidR="00EE4FC3">
        <w:t xml:space="preserve"> </w:t>
      </w:r>
      <w:r w:rsidRPr="00382917">
        <w:t>this</w:t>
      </w:r>
      <w:r w:rsidR="00EE4FC3">
        <w:t xml:space="preserve"> </w:t>
      </w:r>
      <w:r w:rsidRPr="00382917">
        <w:t>upon</w:t>
      </w:r>
      <w:r w:rsidR="00EE4FC3">
        <w:t xml:space="preserve"> </w:t>
      </w:r>
      <w:r w:rsidRPr="00382917">
        <w:t>Bahá</w:t>
      </w:r>
      <w:r w:rsidR="009C713D" w:rsidRPr="00382917">
        <w:t>’</w:t>
      </w:r>
      <w:r w:rsidRPr="00382917">
        <w:t>u</w:t>
      </w:r>
      <w:r w:rsidR="009C713D" w:rsidRPr="00382917">
        <w:t>’</w:t>
      </w:r>
      <w:r w:rsidRPr="00382917">
        <w:t>lláh</w:t>
      </w:r>
      <w:r w:rsidR="00EE4FC3">
        <w:t xml:space="preserve"> </w:t>
      </w:r>
      <w:r w:rsidRPr="00382917">
        <w:t>in</w:t>
      </w:r>
      <w:r w:rsidR="00EE4FC3">
        <w:t xml:space="preserve"> </w:t>
      </w:r>
      <w:r w:rsidRPr="00382917">
        <w:t>the</w:t>
      </w:r>
      <w:r w:rsidR="00EE4FC3">
        <w:t xml:space="preserve"> </w:t>
      </w:r>
      <w:r w:rsidRPr="00382917">
        <w:t>prayer-house</w:t>
      </w:r>
      <w:r w:rsidR="00EE4FC3">
        <w:t xml:space="preserve"> </w:t>
      </w:r>
      <w:r w:rsidRPr="00382917">
        <w:t>at</w:t>
      </w:r>
      <w:r w:rsidR="00EE4FC3">
        <w:t xml:space="preserve"> </w:t>
      </w:r>
      <w:r w:rsidR="009C713D" w:rsidRPr="00382917">
        <w:t>‘</w:t>
      </w:r>
      <w:r w:rsidRPr="00382917">
        <w:t>Ámul</w:t>
      </w:r>
      <w:r w:rsidR="00330AF7">
        <w:t>.</w:t>
      </w:r>
      <w:r w:rsidR="00EE4FC3">
        <w:t xml:space="preserve">  </w:t>
      </w:r>
      <w:r w:rsidRPr="00382917">
        <w:t>The</w:t>
      </w:r>
      <w:r w:rsidR="00EE4FC3">
        <w:t xml:space="preserve"> </w:t>
      </w:r>
      <w:r w:rsidRPr="00382917">
        <w:t>Báb</w:t>
      </w:r>
      <w:r w:rsidR="009C713D" w:rsidRPr="00382917">
        <w:t>’</w:t>
      </w:r>
      <w:r w:rsidRPr="00382917">
        <w:t>s</w:t>
      </w:r>
      <w:r w:rsidR="00EE4FC3">
        <w:t xml:space="preserve"> </w:t>
      </w:r>
      <w:r w:rsidRPr="00382917">
        <w:t>third</w:t>
      </w:r>
      <w:r w:rsidR="00EE4FC3">
        <w:t xml:space="preserve"> </w:t>
      </w:r>
      <w:r w:rsidRPr="00382917">
        <w:t>imprisonment</w:t>
      </w:r>
      <w:r w:rsidR="00EE4FC3">
        <w:t xml:space="preserve"> </w:t>
      </w:r>
      <w:r w:rsidRPr="00382917">
        <w:t>was</w:t>
      </w:r>
      <w:r w:rsidR="00EE4FC3">
        <w:t xml:space="preserve"> </w:t>
      </w:r>
      <w:r w:rsidRPr="00382917">
        <w:t>in</w:t>
      </w:r>
      <w:r w:rsidR="00EE4FC3">
        <w:t xml:space="preserve"> </w:t>
      </w:r>
      <w:r w:rsidRPr="00382917">
        <w:t>the</w:t>
      </w:r>
      <w:r w:rsidR="00EE4FC3">
        <w:t xml:space="preserve"> </w:t>
      </w:r>
      <w:r w:rsidRPr="00382917">
        <w:t>castle</w:t>
      </w:r>
      <w:r w:rsidR="00EE4FC3">
        <w:t xml:space="preserve"> </w:t>
      </w:r>
      <w:r w:rsidRPr="00382917">
        <w:t>of</w:t>
      </w:r>
      <w:r w:rsidR="00EE4FC3">
        <w:t xml:space="preserve"> </w:t>
      </w:r>
      <w:r w:rsidR="001713B3" w:rsidRPr="001713B3">
        <w:rPr>
          <w:u w:val="single"/>
        </w:rPr>
        <w:t>Ch</w:t>
      </w:r>
      <w:r w:rsidR="001713B3" w:rsidRPr="00382917">
        <w:t>ihríq</w:t>
      </w:r>
      <w:r w:rsidRPr="00382917">
        <w:t>;</w:t>
      </w:r>
      <w:r w:rsidR="00EE4FC3">
        <w:t xml:space="preserve"> </w:t>
      </w:r>
      <w:r w:rsidRPr="00382917">
        <w:t>that</w:t>
      </w:r>
      <w:r w:rsidR="00EE4FC3">
        <w:t xml:space="preserve"> </w:t>
      </w:r>
      <w:r w:rsidRPr="00382917">
        <w:t>of</w:t>
      </w:r>
      <w:r w:rsidR="00EE4FC3">
        <w:t xml:space="preserve"> </w:t>
      </w:r>
      <w:r w:rsidRPr="00382917">
        <w:t>Bahá</w:t>
      </w:r>
      <w:r w:rsidR="009C713D" w:rsidRPr="00382917">
        <w:t>’</w:t>
      </w:r>
      <w:r w:rsidRPr="00382917">
        <w:t>u</w:t>
      </w:r>
      <w:r w:rsidR="009C713D" w:rsidRPr="00382917">
        <w:t>’</w:t>
      </w:r>
      <w:r w:rsidRPr="00382917">
        <w:t>lláh</w:t>
      </w:r>
      <w:r w:rsidR="00EE4FC3">
        <w:t xml:space="preserve"> </w:t>
      </w:r>
      <w:r w:rsidRPr="00382917">
        <w:t>followed</w:t>
      </w:r>
      <w:r w:rsidR="00EE4FC3">
        <w:t xml:space="preserve"> </w:t>
      </w:r>
      <w:r w:rsidRPr="00382917">
        <w:t>in</w:t>
      </w:r>
      <w:r w:rsidR="00EE4FC3">
        <w:t xml:space="preserve"> </w:t>
      </w:r>
      <w:r w:rsidRPr="00382917">
        <w:t>the</w:t>
      </w:r>
      <w:r w:rsidR="00EE4FC3">
        <w:t xml:space="preserve"> </w:t>
      </w:r>
      <w:r w:rsidR="009C713D" w:rsidRPr="00382917">
        <w:t>“</w:t>
      </w:r>
      <w:r w:rsidRPr="00382917">
        <w:t>Black</w:t>
      </w:r>
      <w:r w:rsidR="00EE4FC3">
        <w:t xml:space="preserve"> </w:t>
      </w:r>
      <w:r w:rsidRPr="00382917">
        <w:t>Pit</w:t>
      </w:r>
      <w:r w:rsidR="009C713D" w:rsidRPr="00382917">
        <w:t>”</w:t>
      </w:r>
      <w:r w:rsidR="00EE4FC3">
        <w:t xml:space="preserve"> </w:t>
      </w:r>
      <w:r w:rsidRPr="00382917">
        <w:t>prison</w:t>
      </w:r>
      <w:r w:rsidR="00EE4FC3">
        <w:t xml:space="preserve"> </w:t>
      </w:r>
      <w:r w:rsidRPr="00382917">
        <w:t>of</w:t>
      </w:r>
      <w:r w:rsidR="00EE4FC3">
        <w:t xml:space="preserve"> </w:t>
      </w:r>
      <w:r w:rsidRPr="00382917">
        <w:t>Ṭihrán</w:t>
      </w:r>
      <w:r w:rsidR="00330AF7">
        <w:t>.</w:t>
      </w:r>
      <w:r w:rsidR="00EE4FC3">
        <w:t xml:space="preserve">  </w:t>
      </w:r>
      <w:r w:rsidRPr="00382917">
        <w:t>The</w:t>
      </w:r>
      <w:r w:rsidR="00EE4FC3">
        <w:t xml:space="preserve"> </w:t>
      </w:r>
      <w:r w:rsidRPr="00382917">
        <w:t>Báb</w:t>
      </w:r>
      <w:r w:rsidR="00EE4FC3">
        <w:t xml:space="preserve"> </w:t>
      </w:r>
      <w:r w:rsidRPr="00382917">
        <w:t>was</w:t>
      </w:r>
      <w:r w:rsidR="00EE4FC3">
        <w:t xml:space="preserve"> </w:t>
      </w:r>
      <w:r w:rsidRPr="00382917">
        <w:t>struck</w:t>
      </w:r>
      <w:r w:rsidR="00EE4FC3">
        <w:t xml:space="preserve"> </w:t>
      </w:r>
      <w:r w:rsidRPr="00382917">
        <w:t>in</w:t>
      </w:r>
      <w:r w:rsidR="00EE4FC3">
        <w:t xml:space="preserve"> </w:t>
      </w:r>
      <w:r w:rsidRPr="00382917">
        <w:t>the</w:t>
      </w:r>
      <w:r w:rsidR="00EE4FC3">
        <w:t xml:space="preserve"> </w:t>
      </w:r>
      <w:r w:rsidRPr="00382917">
        <w:t>face</w:t>
      </w:r>
      <w:r w:rsidR="00EE4FC3">
        <w:t xml:space="preserve"> </w:t>
      </w:r>
      <w:r w:rsidRPr="00382917">
        <w:t>with</w:t>
      </w:r>
      <w:r w:rsidR="00EE4FC3">
        <w:t xml:space="preserve"> </w:t>
      </w:r>
      <w:r w:rsidRPr="00382917">
        <w:t>missiles</w:t>
      </w:r>
      <w:r w:rsidR="00EE4FC3">
        <w:t xml:space="preserve"> </w:t>
      </w:r>
      <w:r w:rsidRPr="00382917">
        <w:t>in</w:t>
      </w:r>
      <w:r w:rsidR="00EE4FC3">
        <w:t xml:space="preserve"> </w:t>
      </w:r>
      <w:r w:rsidRPr="00382917">
        <w:t>the</w:t>
      </w:r>
      <w:r w:rsidR="00EE4FC3">
        <w:t xml:space="preserve"> </w:t>
      </w:r>
      <w:r w:rsidRPr="00382917">
        <w:t>streets</w:t>
      </w:r>
      <w:r w:rsidR="00EE4FC3">
        <w:t xml:space="preserve"> </w:t>
      </w:r>
      <w:r w:rsidRPr="00382917">
        <w:t>of</w:t>
      </w:r>
      <w:r w:rsidR="00EE4FC3">
        <w:t xml:space="preserve"> </w:t>
      </w:r>
      <w:r w:rsidR="00B24C41">
        <w:t>Tabríz</w:t>
      </w:r>
      <w:r w:rsidR="00330AF7">
        <w:t>.</w:t>
      </w:r>
      <w:r w:rsidR="00EE4FC3">
        <w:t xml:space="preserve">  </w:t>
      </w:r>
      <w:r w:rsidRPr="00382917">
        <w:t>Bahá</w:t>
      </w:r>
      <w:r w:rsidR="009C713D" w:rsidRPr="00382917">
        <w:t>’</w:t>
      </w:r>
      <w:r w:rsidRPr="00382917">
        <w:t>u</w:t>
      </w:r>
      <w:r w:rsidR="009C713D" w:rsidRPr="00382917">
        <w:t>’</w:t>
      </w:r>
      <w:r w:rsidRPr="00382917">
        <w:t>lláh</w:t>
      </w:r>
      <w:r w:rsidR="00EE4FC3">
        <w:t xml:space="preserve"> </w:t>
      </w:r>
      <w:r w:rsidRPr="00382917">
        <w:t>was</w:t>
      </w:r>
      <w:r w:rsidR="00EE4FC3">
        <w:t xml:space="preserve"> </w:t>
      </w:r>
      <w:r w:rsidRPr="00382917">
        <w:t>pelted</w:t>
      </w:r>
      <w:r w:rsidR="00EE4FC3">
        <w:t xml:space="preserve"> </w:t>
      </w:r>
      <w:r w:rsidRPr="00382917">
        <w:t>with</w:t>
      </w:r>
      <w:r w:rsidR="00EE4FC3">
        <w:t xml:space="preserve"> </w:t>
      </w:r>
      <w:r w:rsidRPr="00382917">
        <w:t>stones</w:t>
      </w:r>
      <w:r w:rsidR="00EE4FC3">
        <w:t xml:space="preserve"> </w:t>
      </w:r>
      <w:r w:rsidRPr="00382917">
        <w:t>on</w:t>
      </w:r>
      <w:r w:rsidR="00EE4FC3">
        <w:t xml:space="preserve"> </w:t>
      </w:r>
      <w:r w:rsidRPr="00382917">
        <w:t>the</w:t>
      </w:r>
      <w:r w:rsidR="00EE4FC3">
        <w:t xml:space="preserve"> </w:t>
      </w:r>
      <w:r w:rsidRPr="00382917">
        <w:t>streets</w:t>
      </w:r>
      <w:r w:rsidR="00EE4FC3">
        <w:t xml:space="preserve"> </w:t>
      </w:r>
      <w:r w:rsidRPr="00382917">
        <w:t>of</w:t>
      </w:r>
      <w:r w:rsidR="00EE4FC3">
        <w:t xml:space="preserve"> </w:t>
      </w:r>
      <w:r w:rsidR="009C713D" w:rsidRPr="00382917">
        <w:t>‘</w:t>
      </w:r>
      <w:r w:rsidRPr="00382917">
        <w:t>Ámul,</w:t>
      </w:r>
      <w:r w:rsidR="00EE4FC3">
        <w:t xml:space="preserve"> </w:t>
      </w:r>
      <w:r w:rsidRPr="00382917">
        <w:t>and</w:t>
      </w:r>
      <w:r w:rsidR="00EE4FC3">
        <w:t xml:space="preserve"> </w:t>
      </w:r>
      <w:r w:rsidRPr="00382917">
        <w:t>struck</w:t>
      </w:r>
      <w:r w:rsidR="00EE4FC3">
        <w:t xml:space="preserve"> </w:t>
      </w:r>
      <w:r w:rsidRPr="00382917">
        <w:t>in</w:t>
      </w:r>
      <w:r w:rsidR="00EE4FC3">
        <w:t xml:space="preserve"> </w:t>
      </w:r>
      <w:r w:rsidRPr="00382917">
        <w:t>the</w:t>
      </w:r>
      <w:r w:rsidR="00EE4FC3">
        <w:t xml:space="preserve"> </w:t>
      </w:r>
      <w:r w:rsidRPr="00382917">
        <w:t>face</w:t>
      </w:r>
      <w:r w:rsidR="00EE4FC3">
        <w:t xml:space="preserve"> </w:t>
      </w:r>
      <w:r w:rsidRPr="00382917">
        <w:t>with</w:t>
      </w:r>
      <w:r w:rsidR="00EE4FC3">
        <w:t xml:space="preserve"> </w:t>
      </w:r>
      <w:r w:rsidRPr="00382917">
        <w:t>a</w:t>
      </w:r>
      <w:r w:rsidR="00EE4FC3">
        <w:t xml:space="preserve"> </w:t>
      </w:r>
      <w:r w:rsidRPr="00382917">
        <w:t>rock</w:t>
      </w:r>
      <w:r w:rsidR="00EE4FC3">
        <w:t xml:space="preserve"> </w:t>
      </w:r>
      <w:r w:rsidRPr="00382917">
        <w:t>on</w:t>
      </w:r>
      <w:r w:rsidR="00EE4FC3">
        <w:t xml:space="preserve"> </w:t>
      </w:r>
      <w:r w:rsidRPr="00382917">
        <w:t>His</w:t>
      </w:r>
      <w:r w:rsidR="00EE4FC3">
        <w:t xml:space="preserve"> </w:t>
      </w:r>
      <w:r w:rsidRPr="00382917">
        <w:t>way</w:t>
      </w:r>
      <w:r w:rsidR="00EE4FC3">
        <w:t xml:space="preserve"> </w:t>
      </w:r>
      <w:r w:rsidRPr="00382917">
        <w:t>to</w:t>
      </w:r>
      <w:r w:rsidR="00EE4FC3">
        <w:t xml:space="preserve"> </w:t>
      </w:r>
      <w:r w:rsidRPr="00382917">
        <w:t>prison</w:t>
      </w:r>
      <w:r w:rsidR="00EE4FC3">
        <w:t xml:space="preserve"> </w:t>
      </w:r>
      <w:r w:rsidRPr="00382917">
        <w:t>in</w:t>
      </w:r>
      <w:r w:rsidR="00EE4FC3">
        <w:t xml:space="preserve"> </w:t>
      </w:r>
      <w:r w:rsidRPr="00382917">
        <w:t>Ṭihrán</w:t>
      </w:r>
      <w:r w:rsidR="00330AF7">
        <w:t>.</w:t>
      </w:r>
      <w:r w:rsidR="00EE4FC3">
        <w:t xml:space="preserve">  </w:t>
      </w:r>
      <w:r w:rsidRPr="00382917">
        <w:t>The</w:t>
      </w:r>
      <w:r w:rsidR="00EE4FC3">
        <w:t xml:space="preserve"> </w:t>
      </w:r>
      <w:r w:rsidRPr="00382917">
        <w:t>Báb</w:t>
      </w:r>
      <w:r w:rsidR="00EE4FC3">
        <w:t xml:space="preserve"> </w:t>
      </w:r>
      <w:r w:rsidRPr="00382917">
        <w:t>was</w:t>
      </w:r>
      <w:r w:rsidR="00EE4FC3">
        <w:t xml:space="preserve"> </w:t>
      </w:r>
      <w:r w:rsidRPr="00382917">
        <w:t>slain</w:t>
      </w:r>
      <w:r w:rsidR="00EE4FC3">
        <w:t xml:space="preserve"> </w:t>
      </w:r>
      <w:r w:rsidRPr="00382917">
        <w:t>in</w:t>
      </w:r>
      <w:r w:rsidR="00EE4FC3">
        <w:t xml:space="preserve"> </w:t>
      </w:r>
      <w:r w:rsidRPr="00382917">
        <w:t>the</w:t>
      </w:r>
      <w:r w:rsidR="00EE4FC3">
        <w:t xml:space="preserve"> </w:t>
      </w:r>
      <w:r w:rsidRPr="00382917">
        <w:t>public</w:t>
      </w:r>
      <w:r w:rsidR="00EE4FC3">
        <w:t xml:space="preserve"> </w:t>
      </w:r>
      <w:r w:rsidRPr="00382917">
        <w:t>square</w:t>
      </w:r>
      <w:r w:rsidR="00EE4FC3">
        <w:t xml:space="preserve"> </w:t>
      </w:r>
      <w:r w:rsidRPr="00382917">
        <w:t>of</w:t>
      </w:r>
      <w:r w:rsidR="00EE4FC3">
        <w:t xml:space="preserve"> </w:t>
      </w:r>
      <w:r w:rsidRPr="00382917">
        <w:t>Tabríz</w:t>
      </w:r>
      <w:r w:rsidR="00330AF7">
        <w:t>.</w:t>
      </w:r>
      <w:r w:rsidR="00EE4FC3">
        <w:t xml:space="preserve">  </w:t>
      </w:r>
      <w:r w:rsidRPr="00382917">
        <w:t>Bahá</w:t>
      </w:r>
      <w:r w:rsidR="009C713D" w:rsidRPr="00382917">
        <w:t>’</w:t>
      </w:r>
      <w:r w:rsidRPr="00382917">
        <w:t>u</w:t>
      </w:r>
      <w:r w:rsidR="009C713D" w:rsidRPr="00382917">
        <w:t>’</w:t>
      </w:r>
      <w:r w:rsidRPr="00382917">
        <w:t>lláh</w:t>
      </w:r>
      <w:r w:rsidR="00EE4FC3">
        <w:t xml:space="preserve"> </w:t>
      </w:r>
      <w:r w:rsidRPr="00382917">
        <w:t>underwent</w:t>
      </w:r>
      <w:r w:rsidR="00EE4FC3">
        <w:t xml:space="preserve"> </w:t>
      </w:r>
      <w:r w:rsidRPr="00382917">
        <w:t>nearly</w:t>
      </w:r>
      <w:r w:rsidR="00EE4FC3">
        <w:t xml:space="preserve"> </w:t>
      </w:r>
      <w:r w:rsidRPr="00382917">
        <w:t>half</w:t>
      </w:r>
      <w:r w:rsidR="00EE4FC3">
        <w:t xml:space="preserve"> </w:t>
      </w:r>
      <w:r w:rsidRPr="00382917">
        <w:t>a</w:t>
      </w:r>
      <w:r w:rsidR="00EE4FC3">
        <w:t xml:space="preserve"> </w:t>
      </w:r>
      <w:r w:rsidRPr="00382917">
        <w:t>century</w:t>
      </w:r>
      <w:r w:rsidR="00EE4FC3">
        <w:t xml:space="preserve"> </w:t>
      </w:r>
      <w:r w:rsidRPr="00382917">
        <w:t>of</w:t>
      </w:r>
      <w:r w:rsidR="00EE4FC3">
        <w:t xml:space="preserve"> </w:t>
      </w:r>
      <w:r w:rsidRPr="00382917">
        <w:t>living</w:t>
      </w:r>
      <w:r w:rsidR="00EE4FC3">
        <w:t xml:space="preserve"> </w:t>
      </w:r>
      <w:r w:rsidRPr="00382917">
        <w:t>martyrdom</w:t>
      </w:r>
      <w:r w:rsidR="00330AF7">
        <w:t>.</w:t>
      </w:r>
      <w:r w:rsidR="00EE4FC3">
        <w:t xml:space="preserve">  </w:t>
      </w:r>
      <w:r w:rsidRPr="00382917">
        <w:t>He</w:t>
      </w:r>
      <w:r w:rsidR="00EE4FC3">
        <w:t xml:space="preserve"> </w:t>
      </w:r>
      <w:r w:rsidRPr="00382917">
        <w:t>was</w:t>
      </w:r>
      <w:r w:rsidR="00EE4FC3">
        <w:t xml:space="preserve"> </w:t>
      </w:r>
      <w:r w:rsidRPr="00382917">
        <w:t>exiled</w:t>
      </w:r>
      <w:r w:rsidR="00EE4FC3">
        <w:t xml:space="preserve"> </w:t>
      </w:r>
      <w:r w:rsidRPr="00382917">
        <w:t>and</w:t>
      </w:r>
      <w:r w:rsidR="00EE4FC3">
        <w:t xml:space="preserve"> </w:t>
      </w:r>
      <w:r w:rsidRPr="00382917">
        <w:t>imprisoned</w:t>
      </w:r>
      <w:r w:rsidR="00EE4FC3">
        <w:t xml:space="preserve"> </w:t>
      </w:r>
      <w:r w:rsidRPr="00382917">
        <w:t>for</w:t>
      </w:r>
      <w:r w:rsidR="00EE4FC3">
        <w:t xml:space="preserve"> </w:t>
      </w:r>
      <w:r w:rsidRPr="00382917">
        <w:t>forty</w:t>
      </w:r>
      <w:r w:rsidR="00EE4FC3">
        <w:t xml:space="preserve"> </w:t>
      </w:r>
      <w:r w:rsidRPr="00382917">
        <w:t>years</w:t>
      </w:r>
      <w:r w:rsidR="00330AF7">
        <w:t>.</w:t>
      </w:r>
      <w:r w:rsidR="00EE4FC3">
        <w:t xml:space="preserve">  </w:t>
      </w:r>
      <w:r w:rsidRPr="00382917">
        <w:t>He</w:t>
      </w:r>
      <w:r w:rsidR="00EE4FC3">
        <w:t xml:space="preserve"> </w:t>
      </w:r>
      <w:r w:rsidRPr="00382917">
        <w:t>was</w:t>
      </w:r>
      <w:r w:rsidR="00EE4FC3">
        <w:t xml:space="preserve"> </w:t>
      </w:r>
      <w:r w:rsidRPr="00382917">
        <w:t>poisoned</w:t>
      </w:r>
      <w:r w:rsidR="00EE4FC3">
        <w:t xml:space="preserve"> </w:t>
      </w:r>
      <w:r w:rsidRPr="00382917">
        <w:t>in</w:t>
      </w:r>
      <w:r w:rsidR="00EE4FC3">
        <w:t xml:space="preserve"> </w:t>
      </w:r>
      <w:r w:rsidRPr="00382917">
        <w:t>the</w:t>
      </w:r>
      <w:r w:rsidR="00EE4FC3">
        <w:t xml:space="preserve"> </w:t>
      </w:r>
      <w:r w:rsidR="009C713D" w:rsidRPr="00382917">
        <w:t>“</w:t>
      </w:r>
      <w:r w:rsidRPr="00382917">
        <w:t>Black</w:t>
      </w:r>
      <w:r w:rsidR="00EE4FC3">
        <w:t xml:space="preserve"> </w:t>
      </w:r>
      <w:r w:rsidRPr="00382917">
        <w:t>Pit</w:t>
      </w:r>
      <w:r w:rsidR="009C713D" w:rsidRPr="00382917">
        <w:t>”</w:t>
      </w:r>
      <w:r w:rsidR="00330AF7">
        <w:t>.</w:t>
      </w:r>
      <w:r w:rsidR="00EE4FC3">
        <w:t xml:space="preserve">  </w:t>
      </w:r>
      <w:r w:rsidRPr="00382917">
        <w:t>He</w:t>
      </w:r>
      <w:r w:rsidR="00EE4FC3">
        <w:t xml:space="preserve"> </w:t>
      </w:r>
      <w:r w:rsidRPr="00382917">
        <w:t>was</w:t>
      </w:r>
      <w:r w:rsidR="00EE4FC3">
        <w:t xml:space="preserve"> </w:t>
      </w:r>
      <w:r w:rsidRPr="00382917">
        <w:t>set</w:t>
      </w:r>
      <w:r w:rsidR="00EE4FC3">
        <w:t xml:space="preserve"> </w:t>
      </w:r>
      <w:r w:rsidRPr="00382917">
        <w:t>upon</w:t>
      </w:r>
      <w:r w:rsidR="00EE4FC3">
        <w:t xml:space="preserve"> </w:t>
      </w:r>
      <w:r w:rsidRPr="00382917">
        <w:t>by</w:t>
      </w:r>
      <w:r w:rsidR="00EE4FC3">
        <w:t xml:space="preserve"> </w:t>
      </w:r>
      <w:r w:rsidRPr="00382917">
        <w:t>assassins</w:t>
      </w:r>
      <w:r w:rsidR="00EE4FC3">
        <w:t xml:space="preserve"> </w:t>
      </w:r>
      <w:r w:rsidRPr="00382917">
        <w:t>in</w:t>
      </w:r>
      <w:r w:rsidR="00EE4FC3">
        <w:t xml:space="preserve"> </w:t>
      </w:r>
      <w:r w:rsidR="00664069" w:rsidRPr="00382917">
        <w:t>Ba</w:t>
      </w:r>
      <w:r w:rsidR="00664069" w:rsidRPr="00664069">
        <w:rPr>
          <w:u w:val="single"/>
        </w:rPr>
        <w:t>gh</w:t>
      </w:r>
      <w:r w:rsidR="00664069" w:rsidRPr="00382917">
        <w:t>d</w:t>
      </w:r>
      <w:r w:rsidR="00664069" w:rsidRPr="00664069">
        <w:t>á</w:t>
      </w:r>
      <w:r w:rsidR="00664069" w:rsidRPr="00382917">
        <w:t>d</w:t>
      </w:r>
      <w:r w:rsidR="00330AF7">
        <w:t>.</w:t>
      </w:r>
      <w:r w:rsidR="00EE4FC3">
        <w:t xml:space="preserve">  </w:t>
      </w:r>
      <w:r w:rsidRPr="00382917">
        <w:t>He</w:t>
      </w:r>
      <w:r w:rsidR="00EE4FC3">
        <w:t xml:space="preserve"> </w:t>
      </w:r>
      <w:r w:rsidRPr="00382917">
        <w:t>was</w:t>
      </w:r>
      <w:r w:rsidR="00EE4FC3">
        <w:t xml:space="preserve"> </w:t>
      </w:r>
      <w:r w:rsidRPr="00382917">
        <w:t>poisoned</w:t>
      </w:r>
      <w:r w:rsidR="00EE4FC3">
        <w:t xml:space="preserve"> </w:t>
      </w:r>
      <w:r w:rsidRPr="00382917">
        <w:t>again</w:t>
      </w:r>
      <w:r w:rsidR="00EE4FC3">
        <w:t xml:space="preserve"> </w:t>
      </w:r>
      <w:r w:rsidRPr="00382917">
        <w:t>in</w:t>
      </w:r>
      <w:r w:rsidR="00EE4FC3">
        <w:t xml:space="preserve"> </w:t>
      </w:r>
      <w:r w:rsidRPr="00382917">
        <w:t>Adrianople</w:t>
      </w:r>
      <w:r w:rsidR="00330AF7">
        <w:t>.</w:t>
      </w:r>
      <w:r w:rsidR="00EE4FC3">
        <w:t xml:space="preserve">  </w:t>
      </w:r>
      <w:r w:rsidRPr="00382917">
        <w:t>He</w:t>
      </w:r>
      <w:r w:rsidR="00EE4FC3">
        <w:t xml:space="preserve"> </w:t>
      </w:r>
      <w:r w:rsidRPr="00382917">
        <w:t>was</w:t>
      </w:r>
      <w:r w:rsidR="00EE4FC3">
        <w:t xml:space="preserve"> </w:t>
      </w:r>
      <w:r w:rsidRPr="00382917">
        <w:t>approached</w:t>
      </w:r>
      <w:r w:rsidR="00EE4FC3">
        <w:t xml:space="preserve"> </w:t>
      </w:r>
      <w:r w:rsidRPr="00382917">
        <w:t>by</w:t>
      </w:r>
      <w:r w:rsidR="00EE4FC3">
        <w:t xml:space="preserve"> </w:t>
      </w:r>
      <w:r w:rsidRPr="00382917">
        <w:t>yet</w:t>
      </w:r>
      <w:r w:rsidR="00EE4FC3">
        <w:t xml:space="preserve"> </w:t>
      </w:r>
      <w:r w:rsidRPr="00382917">
        <w:t>another</w:t>
      </w:r>
      <w:r w:rsidR="00EE4FC3">
        <w:t xml:space="preserve"> </w:t>
      </w:r>
      <w:r w:rsidRPr="00382917">
        <w:t>assassin</w:t>
      </w:r>
      <w:r w:rsidR="00EE4FC3">
        <w:t xml:space="preserve"> </w:t>
      </w:r>
      <w:r w:rsidRPr="00382917">
        <w:t>in</w:t>
      </w:r>
      <w:r w:rsidR="00EE4FC3">
        <w:t xml:space="preserve"> </w:t>
      </w:r>
      <w:r w:rsidRPr="00382917">
        <w:t>the</w:t>
      </w:r>
      <w:r w:rsidR="00EE4FC3">
        <w:t xml:space="preserve"> </w:t>
      </w:r>
      <w:r w:rsidRPr="00382917">
        <w:t>prison</w:t>
      </w:r>
      <w:r w:rsidR="00EE4FC3">
        <w:t xml:space="preserve"> </w:t>
      </w:r>
      <w:r w:rsidRPr="00382917">
        <w:t>of</w:t>
      </w:r>
      <w:r w:rsidR="00EE4FC3">
        <w:t xml:space="preserve"> </w:t>
      </w:r>
      <w:r w:rsidR="009C713D" w:rsidRPr="00382917">
        <w:t>‘</w:t>
      </w:r>
      <w:r w:rsidRPr="00382917">
        <w:t>Akká</w:t>
      </w:r>
      <w:r w:rsidR="00330AF7">
        <w:t>.</w:t>
      </w:r>
      <w:r w:rsidR="00EE4FC3">
        <w:t xml:space="preserve">  </w:t>
      </w:r>
      <w:r w:rsidRPr="00382917">
        <w:t>To</w:t>
      </w:r>
      <w:r w:rsidR="00EE4FC3">
        <w:t xml:space="preserve"> </w:t>
      </w:r>
      <w:r w:rsidRPr="00382917">
        <w:t>His</w:t>
      </w:r>
      <w:r w:rsidR="00EE4FC3">
        <w:t xml:space="preserve"> </w:t>
      </w:r>
      <w:r w:rsidRPr="00382917">
        <w:t>grave</w:t>
      </w:r>
      <w:r w:rsidR="00EE4FC3">
        <w:t xml:space="preserve"> </w:t>
      </w:r>
      <w:r w:rsidRPr="00382917">
        <w:t>Bahá</w:t>
      </w:r>
      <w:r w:rsidR="009C713D" w:rsidRPr="00382917">
        <w:t>’</w:t>
      </w:r>
      <w:r w:rsidRPr="00382917">
        <w:t>u</w:t>
      </w:r>
      <w:r w:rsidR="009C713D" w:rsidRPr="00382917">
        <w:t>’</w:t>
      </w:r>
      <w:r w:rsidRPr="00382917">
        <w:t>lláh</w:t>
      </w:r>
      <w:r w:rsidR="00EE4FC3">
        <w:t xml:space="preserve"> </w:t>
      </w:r>
      <w:r w:rsidRPr="00382917">
        <w:t>carried</w:t>
      </w:r>
      <w:r w:rsidR="00EE4FC3">
        <w:t xml:space="preserve"> </w:t>
      </w:r>
      <w:r w:rsidRPr="00382917">
        <w:t>the</w:t>
      </w:r>
      <w:r w:rsidR="00EE4FC3">
        <w:t xml:space="preserve"> </w:t>
      </w:r>
      <w:r w:rsidRPr="00382917">
        <w:t>scars</w:t>
      </w:r>
      <w:r w:rsidR="00EE4FC3">
        <w:t xml:space="preserve"> </w:t>
      </w:r>
      <w:r w:rsidRPr="00382917">
        <w:t>of</w:t>
      </w:r>
      <w:r w:rsidR="00EE4FC3">
        <w:t xml:space="preserve"> </w:t>
      </w:r>
      <w:r w:rsidRPr="00382917">
        <w:t>great</w:t>
      </w:r>
      <w:r w:rsidR="00EE4FC3">
        <w:t xml:space="preserve"> </w:t>
      </w:r>
      <w:r w:rsidRPr="00382917">
        <w:t>prison-chains</w:t>
      </w:r>
      <w:r w:rsidR="00EE4FC3">
        <w:t xml:space="preserve"> </w:t>
      </w:r>
      <w:r w:rsidRPr="00382917">
        <w:t>which</w:t>
      </w:r>
      <w:r w:rsidR="00EE4FC3">
        <w:t xml:space="preserve"> </w:t>
      </w:r>
      <w:r w:rsidRPr="00382917">
        <w:t>had</w:t>
      </w:r>
      <w:r w:rsidR="00EE4FC3">
        <w:t xml:space="preserve"> </w:t>
      </w:r>
      <w:r w:rsidRPr="00382917">
        <w:t>torn</w:t>
      </w:r>
      <w:r w:rsidR="00EE4FC3">
        <w:t xml:space="preserve"> </w:t>
      </w:r>
      <w:r w:rsidRPr="00382917">
        <w:t>the</w:t>
      </w:r>
      <w:r w:rsidR="00EE4FC3">
        <w:t xml:space="preserve"> </w:t>
      </w:r>
      <w:r w:rsidRPr="00382917">
        <w:t>flesh</w:t>
      </w:r>
      <w:r w:rsidR="00EE4FC3">
        <w:t xml:space="preserve"> </w:t>
      </w:r>
      <w:r w:rsidRPr="00382917">
        <w:t>from</w:t>
      </w:r>
      <w:r w:rsidR="00EE4FC3">
        <w:t xml:space="preserve"> </w:t>
      </w:r>
      <w:r w:rsidRPr="00382917">
        <w:t>His</w:t>
      </w:r>
      <w:r w:rsidR="00EE4FC3">
        <w:t xml:space="preserve"> </w:t>
      </w:r>
      <w:r w:rsidRPr="00382917">
        <w:t>shoulders.</w:t>
      </w:r>
    </w:p>
    <w:p w:rsidR="001D2FA7" w:rsidRPr="00382917" w:rsidRDefault="001D2FA7" w:rsidP="007B319A">
      <w:pPr>
        <w:pStyle w:val="Text"/>
      </w:pPr>
      <w:r w:rsidRPr="00382917">
        <w:t>Nabíl</w:t>
      </w:r>
      <w:r w:rsidR="00EE4FC3">
        <w:t xml:space="preserve"> </w:t>
      </w:r>
      <w:r w:rsidRPr="00382917">
        <w:t>recounts</w:t>
      </w:r>
      <w:r w:rsidR="00EE4FC3">
        <w:t xml:space="preserve"> </w:t>
      </w:r>
      <w:r w:rsidRPr="00382917">
        <w:t>in</w:t>
      </w:r>
      <w:r w:rsidR="00EE4FC3">
        <w:t xml:space="preserve"> </w:t>
      </w:r>
      <w:r w:rsidRPr="00382917">
        <w:t>his</w:t>
      </w:r>
      <w:r w:rsidR="00EE4FC3">
        <w:t xml:space="preserve"> </w:t>
      </w:r>
      <w:r w:rsidRPr="00382917">
        <w:t>history</w:t>
      </w:r>
      <w:r w:rsidR="00C03C91">
        <w:t>:</w:t>
      </w:r>
      <w:r w:rsidR="00EE4FC3">
        <w:t xml:space="preserve">  </w:t>
      </w:r>
      <w:r w:rsidR="009C713D" w:rsidRPr="00382917">
        <w:t>“</w:t>
      </w:r>
      <w:r w:rsidRPr="00382917">
        <w:t>The</w:t>
      </w:r>
      <w:r w:rsidR="00EE4FC3">
        <w:t xml:space="preserve"> </w:t>
      </w:r>
      <w:r w:rsidRPr="00382917">
        <w:t>Báb,</w:t>
      </w:r>
      <w:r w:rsidR="00EE4FC3">
        <w:t xml:space="preserve"> </w:t>
      </w:r>
      <w:r w:rsidRPr="00382917">
        <w:t>Whose</w:t>
      </w:r>
      <w:r w:rsidR="00EE4FC3">
        <w:t xml:space="preserve"> </w:t>
      </w:r>
      <w:r w:rsidRPr="00382917">
        <w:t>trials</w:t>
      </w:r>
      <w:r w:rsidR="00EE4FC3">
        <w:t xml:space="preserve"> </w:t>
      </w:r>
      <w:r w:rsidRPr="00382917">
        <w:t>and</w:t>
      </w:r>
      <w:r w:rsidR="00EE4FC3">
        <w:t xml:space="preserve"> </w:t>
      </w:r>
      <w:r w:rsidRPr="00382917">
        <w:t>sufferings</w:t>
      </w:r>
      <w:r w:rsidR="00EE4FC3">
        <w:t xml:space="preserve"> </w:t>
      </w:r>
      <w:r w:rsidRPr="00382917">
        <w:t>had</w:t>
      </w:r>
      <w:r w:rsidR="00EE4FC3">
        <w:t xml:space="preserve"> </w:t>
      </w:r>
      <w:r w:rsidRPr="00382917">
        <w:t>preceded,</w:t>
      </w:r>
      <w:r w:rsidR="00EE4FC3">
        <w:t xml:space="preserve"> </w:t>
      </w:r>
      <w:r w:rsidRPr="00382917">
        <w:t>in</w:t>
      </w:r>
      <w:r w:rsidR="00EE4FC3">
        <w:t xml:space="preserve"> </w:t>
      </w:r>
      <w:r w:rsidRPr="00382917">
        <w:t>almost</w:t>
      </w:r>
      <w:r w:rsidR="00EE4FC3">
        <w:t xml:space="preserve"> </w:t>
      </w:r>
      <w:r w:rsidRPr="00382917">
        <w:t>every</w:t>
      </w:r>
      <w:r w:rsidR="00EE4FC3">
        <w:t xml:space="preserve"> </w:t>
      </w:r>
      <w:r w:rsidRPr="00382917">
        <w:t>case,</w:t>
      </w:r>
      <w:r w:rsidR="00EE4FC3">
        <w:t xml:space="preserve"> </w:t>
      </w:r>
      <w:r w:rsidRPr="00382917">
        <w:t>those</w:t>
      </w:r>
      <w:r w:rsidR="00EE4FC3">
        <w:t xml:space="preserve"> </w:t>
      </w:r>
      <w:r w:rsidRPr="00382917">
        <w:t>of</w:t>
      </w:r>
      <w:r w:rsidR="00EE4FC3">
        <w:t xml:space="preserve"> </w:t>
      </w:r>
      <w:r w:rsidRPr="00382917">
        <w:t>Bahá</w:t>
      </w:r>
      <w:r w:rsidR="009C713D" w:rsidRPr="00382917">
        <w:t>’</w:t>
      </w:r>
      <w:r w:rsidRPr="00382917">
        <w:t>u</w:t>
      </w:r>
      <w:r w:rsidR="009C713D" w:rsidRPr="00382917">
        <w:t>’</w:t>
      </w:r>
      <w:r w:rsidRPr="00382917">
        <w:t>lláh,</w:t>
      </w:r>
      <w:r w:rsidR="00EE4FC3">
        <w:t xml:space="preserve"> </w:t>
      </w:r>
      <w:r w:rsidRPr="00382917">
        <w:t>had</w:t>
      </w:r>
      <w:r w:rsidR="00EE4FC3">
        <w:t xml:space="preserve"> </w:t>
      </w:r>
      <w:r w:rsidRPr="00382917">
        <w:t>offered</w:t>
      </w:r>
      <w:r w:rsidR="00EE4FC3">
        <w:t xml:space="preserve"> </w:t>
      </w:r>
      <w:r w:rsidRPr="00382917">
        <w:t>Himself</w:t>
      </w:r>
      <w:r w:rsidR="00EE4FC3">
        <w:t xml:space="preserve"> </w:t>
      </w:r>
      <w:r w:rsidRPr="00382917">
        <w:t>to</w:t>
      </w:r>
      <w:r w:rsidR="00EE4FC3">
        <w:t xml:space="preserve"> </w:t>
      </w:r>
      <w:r w:rsidRPr="00382917">
        <w:t>ransom</w:t>
      </w:r>
      <w:r w:rsidR="00EE4FC3">
        <w:t xml:space="preserve"> </w:t>
      </w:r>
      <w:r w:rsidRPr="00382917">
        <w:t>His</w:t>
      </w:r>
      <w:r w:rsidR="00EE4FC3">
        <w:t xml:space="preserve"> </w:t>
      </w:r>
      <w:r w:rsidRPr="00382917">
        <w:t>Beloved</w:t>
      </w:r>
      <w:r w:rsidR="00EE4FC3">
        <w:t xml:space="preserve"> </w:t>
      </w:r>
      <w:r w:rsidRPr="00382917">
        <w:t>from</w:t>
      </w:r>
      <w:r w:rsidR="00EE4FC3">
        <w:t xml:space="preserve"> </w:t>
      </w:r>
      <w:r w:rsidRPr="00382917">
        <w:t>the</w:t>
      </w:r>
      <w:r w:rsidR="00EE4FC3">
        <w:t xml:space="preserve"> </w:t>
      </w:r>
      <w:r w:rsidRPr="00382917">
        <w:t>perils</w:t>
      </w:r>
      <w:r w:rsidR="00EE4FC3">
        <w:t xml:space="preserve"> </w:t>
      </w:r>
      <w:r w:rsidRPr="00382917">
        <w:t>that</w:t>
      </w:r>
      <w:r w:rsidR="00EE4FC3">
        <w:t xml:space="preserve"> </w:t>
      </w:r>
      <w:r w:rsidRPr="00382917">
        <w:t>beset</w:t>
      </w:r>
    </w:p>
    <w:p w:rsidR="00621DD5" w:rsidRPr="00382917" w:rsidRDefault="00621DD5">
      <w:pPr>
        <w:widowControl/>
        <w:kinsoku/>
        <w:overflowPunct/>
        <w:textAlignment w:val="auto"/>
      </w:pPr>
      <w:r w:rsidRPr="00382917">
        <w:br w:type="page"/>
      </w:r>
    </w:p>
    <w:p w:rsidR="00621DD5" w:rsidRPr="00382917" w:rsidRDefault="00621DD5" w:rsidP="00621DD5">
      <w:pPr>
        <w:pStyle w:val="Textcts"/>
      </w:pPr>
      <w:r w:rsidRPr="00382917">
        <w:t>that</w:t>
      </w:r>
      <w:r w:rsidR="00EE4FC3">
        <w:t xml:space="preserve"> </w:t>
      </w:r>
      <w:r w:rsidRPr="00382917">
        <w:t>precious</w:t>
      </w:r>
      <w:r w:rsidR="00EE4FC3">
        <w:t xml:space="preserve"> </w:t>
      </w:r>
      <w:r w:rsidRPr="00382917">
        <w:t>life;</w:t>
      </w:r>
      <w:r w:rsidR="00EE4FC3">
        <w:t xml:space="preserve"> </w:t>
      </w:r>
      <w:r w:rsidRPr="00382917">
        <w:t>whilst</w:t>
      </w:r>
      <w:r w:rsidR="00EE4FC3">
        <w:t xml:space="preserve"> </w:t>
      </w:r>
      <w:r w:rsidRPr="00382917">
        <w:t>Bahá</w:t>
      </w:r>
      <w:r w:rsidR="009C713D" w:rsidRPr="00382917">
        <w:t>’</w:t>
      </w:r>
      <w:r w:rsidRPr="00382917">
        <w:t>u</w:t>
      </w:r>
      <w:r w:rsidR="009C713D" w:rsidRPr="00382917">
        <w:t>’</w:t>
      </w:r>
      <w:r w:rsidRPr="00382917">
        <w:t>lláh,</w:t>
      </w:r>
      <w:r w:rsidR="00EE4FC3">
        <w:t xml:space="preserve"> </w:t>
      </w:r>
      <w:r w:rsidRPr="00382917">
        <w:t>on</w:t>
      </w:r>
      <w:r w:rsidR="00EE4FC3">
        <w:t xml:space="preserve"> </w:t>
      </w:r>
      <w:r w:rsidRPr="00382917">
        <w:t>His</w:t>
      </w:r>
      <w:r w:rsidR="00EE4FC3">
        <w:t xml:space="preserve"> </w:t>
      </w:r>
      <w:r w:rsidRPr="00382917">
        <w:t>part,</w:t>
      </w:r>
      <w:r w:rsidR="00EE4FC3">
        <w:t xml:space="preserve"> </w:t>
      </w:r>
      <w:r w:rsidRPr="00382917">
        <w:t>unwilling</w:t>
      </w:r>
      <w:r w:rsidR="00EE4FC3">
        <w:t xml:space="preserve"> </w:t>
      </w:r>
      <w:r w:rsidRPr="00382917">
        <w:t>that</w:t>
      </w:r>
      <w:r w:rsidR="00EE4FC3">
        <w:t xml:space="preserve"> </w:t>
      </w:r>
      <w:r w:rsidRPr="00382917">
        <w:t>He</w:t>
      </w:r>
      <w:r w:rsidR="00EE4FC3">
        <w:t xml:space="preserve"> </w:t>
      </w:r>
      <w:r w:rsidRPr="00382917">
        <w:t>Who</w:t>
      </w:r>
      <w:r w:rsidR="00EE4FC3">
        <w:t xml:space="preserve"> </w:t>
      </w:r>
      <w:r w:rsidRPr="00382917">
        <w:t>so</w:t>
      </w:r>
      <w:r w:rsidR="00EE4FC3">
        <w:t xml:space="preserve"> </w:t>
      </w:r>
      <w:r w:rsidRPr="00382917">
        <w:t>greatly</w:t>
      </w:r>
      <w:r w:rsidR="00EE4FC3">
        <w:t xml:space="preserve"> </w:t>
      </w:r>
      <w:r w:rsidRPr="00382917">
        <w:t>loved</w:t>
      </w:r>
      <w:r w:rsidR="00EE4FC3">
        <w:t xml:space="preserve"> </w:t>
      </w:r>
      <w:r w:rsidRPr="00382917">
        <w:t>Him</w:t>
      </w:r>
      <w:r w:rsidR="00EE4FC3">
        <w:t xml:space="preserve"> </w:t>
      </w:r>
      <w:r w:rsidRPr="00382917">
        <w:t>should</w:t>
      </w:r>
      <w:r w:rsidR="00EE4FC3">
        <w:t xml:space="preserve"> </w:t>
      </w:r>
      <w:r w:rsidRPr="00382917">
        <w:t>be</w:t>
      </w:r>
      <w:r w:rsidR="00EE4FC3">
        <w:t xml:space="preserve"> </w:t>
      </w:r>
      <w:r w:rsidRPr="00382917">
        <w:t>the</w:t>
      </w:r>
      <w:r w:rsidR="00EE4FC3">
        <w:t xml:space="preserve"> </w:t>
      </w:r>
      <w:r w:rsidRPr="00382917">
        <w:t>sole</w:t>
      </w:r>
      <w:r w:rsidR="00EE4FC3">
        <w:t xml:space="preserve"> </w:t>
      </w:r>
      <w:r w:rsidRPr="00382917">
        <w:t>sufferer,</w:t>
      </w:r>
      <w:r w:rsidR="00EE4FC3">
        <w:t xml:space="preserve"> </w:t>
      </w:r>
      <w:r w:rsidRPr="00382917">
        <w:t>shared</w:t>
      </w:r>
      <w:r w:rsidR="00EE4FC3">
        <w:t xml:space="preserve"> </w:t>
      </w:r>
      <w:r w:rsidRPr="00382917">
        <w:t>at</w:t>
      </w:r>
      <w:r w:rsidR="00EE4FC3">
        <w:t xml:space="preserve"> </w:t>
      </w:r>
      <w:r w:rsidRPr="00382917">
        <w:t>every</w:t>
      </w:r>
      <w:r w:rsidR="00EE4FC3">
        <w:t xml:space="preserve"> </w:t>
      </w:r>
      <w:r w:rsidRPr="00382917">
        <w:t>turn</w:t>
      </w:r>
      <w:r w:rsidR="00EE4FC3">
        <w:t xml:space="preserve"> </w:t>
      </w:r>
      <w:r w:rsidRPr="00382917">
        <w:t>the</w:t>
      </w:r>
      <w:r w:rsidR="00EE4FC3">
        <w:t xml:space="preserve"> </w:t>
      </w:r>
      <w:r w:rsidRPr="00382917">
        <w:t>cup</w:t>
      </w:r>
      <w:r w:rsidR="00EE4FC3">
        <w:t xml:space="preserve"> </w:t>
      </w:r>
      <w:r w:rsidRPr="00382917">
        <w:t>that</w:t>
      </w:r>
      <w:r w:rsidR="00EE4FC3">
        <w:t xml:space="preserve"> </w:t>
      </w:r>
      <w:r w:rsidRPr="00382917">
        <w:t>had</w:t>
      </w:r>
      <w:r w:rsidR="00EE4FC3">
        <w:t xml:space="preserve"> </w:t>
      </w:r>
      <w:r w:rsidRPr="00382917">
        <w:t>touched</w:t>
      </w:r>
      <w:r w:rsidR="00EE4FC3">
        <w:t xml:space="preserve"> </w:t>
      </w:r>
      <w:r w:rsidRPr="00382917">
        <w:t>His</w:t>
      </w:r>
      <w:r w:rsidR="00EE4FC3">
        <w:t xml:space="preserve"> </w:t>
      </w:r>
      <w:r w:rsidRPr="00382917">
        <w:t>[the</w:t>
      </w:r>
      <w:r w:rsidR="00EE4FC3">
        <w:t xml:space="preserve"> </w:t>
      </w:r>
      <w:r w:rsidRPr="00382917">
        <w:t>Báb</w:t>
      </w:r>
      <w:r w:rsidR="009C713D" w:rsidRPr="00382917">
        <w:t>’</w:t>
      </w:r>
      <w:r w:rsidRPr="00382917">
        <w:t>s]</w:t>
      </w:r>
      <w:r w:rsidR="00EE4FC3">
        <w:t xml:space="preserve"> </w:t>
      </w:r>
      <w:r w:rsidRPr="00382917">
        <w:t>lips.</w:t>
      </w:r>
    </w:p>
    <w:p w:rsidR="00E13D49" w:rsidRPr="00382917" w:rsidRDefault="009C713D" w:rsidP="000173F2">
      <w:pPr>
        <w:pStyle w:val="Text"/>
      </w:pPr>
      <w:r w:rsidRPr="00382917">
        <w:t>“</w:t>
      </w:r>
      <w:r w:rsidR="00621DD5" w:rsidRPr="00382917">
        <w:t>Such</w:t>
      </w:r>
      <w:r w:rsidR="00EE4FC3">
        <w:t xml:space="preserve"> </w:t>
      </w:r>
      <w:r w:rsidR="00621DD5" w:rsidRPr="00382917">
        <w:t>love</w:t>
      </w:r>
      <w:r w:rsidR="00EE4FC3">
        <w:t xml:space="preserve"> </w:t>
      </w:r>
      <w:r w:rsidR="00621DD5" w:rsidRPr="00382917">
        <w:t>no</w:t>
      </w:r>
      <w:r w:rsidR="00EE4FC3">
        <w:t xml:space="preserve"> </w:t>
      </w:r>
      <w:r w:rsidR="00621DD5" w:rsidRPr="00382917">
        <w:t>eye</w:t>
      </w:r>
      <w:r w:rsidR="00EE4FC3">
        <w:t xml:space="preserve"> </w:t>
      </w:r>
      <w:r w:rsidR="00621DD5" w:rsidRPr="00382917">
        <w:t>has</w:t>
      </w:r>
      <w:r w:rsidR="00EE4FC3">
        <w:t xml:space="preserve"> </w:t>
      </w:r>
      <w:r w:rsidR="00621DD5" w:rsidRPr="00382917">
        <w:t>ever</w:t>
      </w:r>
      <w:r w:rsidR="00EE4FC3">
        <w:t xml:space="preserve"> </w:t>
      </w:r>
      <w:r w:rsidR="00621DD5" w:rsidRPr="00382917">
        <w:t>beheld,</w:t>
      </w:r>
      <w:r w:rsidR="00EE4FC3">
        <w:t xml:space="preserve"> </w:t>
      </w:r>
      <w:r w:rsidR="00621DD5" w:rsidRPr="00382917">
        <w:t>nor</w:t>
      </w:r>
      <w:r w:rsidR="00EE4FC3">
        <w:t xml:space="preserve"> </w:t>
      </w:r>
      <w:r w:rsidR="00621DD5" w:rsidRPr="00382917">
        <w:t>has</w:t>
      </w:r>
      <w:r w:rsidR="00EE4FC3">
        <w:t xml:space="preserve"> </w:t>
      </w:r>
      <w:r w:rsidR="00621DD5" w:rsidRPr="00382917">
        <w:t>mortal</w:t>
      </w:r>
      <w:r w:rsidR="00EE4FC3">
        <w:t xml:space="preserve"> </w:t>
      </w:r>
      <w:r w:rsidR="00621DD5" w:rsidRPr="00382917">
        <w:t>heart</w:t>
      </w:r>
      <w:r w:rsidR="00EE4FC3">
        <w:t xml:space="preserve"> </w:t>
      </w:r>
      <w:r w:rsidR="00621DD5" w:rsidRPr="00382917">
        <w:t>ever</w:t>
      </w:r>
      <w:r w:rsidR="00EE4FC3">
        <w:t xml:space="preserve"> </w:t>
      </w:r>
      <w:r w:rsidR="00621DD5" w:rsidRPr="00382917">
        <w:t>conceived</w:t>
      </w:r>
      <w:r w:rsidR="00EE4FC3">
        <w:t xml:space="preserve"> </w:t>
      </w:r>
      <w:r w:rsidR="00621DD5" w:rsidRPr="00382917">
        <w:t>such</w:t>
      </w:r>
      <w:r w:rsidR="00EE4FC3">
        <w:t xml:space="preserve"> </w:t>
      </w:r>
      <w:r w:rsidR="00621DD5" w:rsidRPr="00382917">
        <w:t>mutual</w:t>
      </w:r>
      <w:r w:rsidR="00EE4FC3">
        <w:t xml:space="preserve"> </w:t>
      </w:r>
      <w:r w:rsidR="00621DD5" w:rsidRPr="00382917">
        <w:t>devotion</w:t>
      </w:r>
      <w:r w:rsidR="00330AF7">
        <w:t>.</w:t>
      </w:r>
      <w:r w:rsidR="00EE4FC3">
        <w:t xml:space="preserve">  </w:t>
      </w:r>
      <w:r w:rsidR="00621DD5" w:rsidRPr="00382917">
        <w:t>If</w:t>
      </w:r>
      <w:r w:rsidR="00EE4FC3">
        <w:t xml:space="preserve"> </w:t>
      </w:r>
      <w:r w:rsidR="00621DD5" w:rsidRPr="00382917">
        <w:t>the</w:t>
      </w:r>
      <w:r w:rsidR="00EE4FC3">
        <w:t xml:space="preserve"> </w:t>
      </w:r>
      <w:r w:rsidR="00621DD5" w:rsidRPr="00382917">
        <w:t>branches</w:t>
      </w:r>
      <w:r w:rsidR="00EE4FC3">
        <w:t xml:space="preserve"> </w:t>
      </w:r>
      <w:r w:rsidR="00621DD5" w:rsidRPr="00382917">
        <w:t>of</w:t>
      </w:r>
      <w:r w:rsidR="00EE4FC3">
        <w:t xml:space="preserve"> </w:t>
      </w:r>
      <w:r w:rsidR="00621DD5" w:rsidRPr="00382917">
        <w:t>every</w:t>
      </w:r>
      <w:r w:rsidR="00EE4FC3">
        <w:t xml:space="preserve"> </w:t>
      </w:r>
      <w:r w:rsidR="00621DD5" w:rsidRPr="00382917">
        <w:t>tree</w:t>
      </w:r>
      <w:r w:rsidR="00EE4FC3">
        <w:t xml:space="preserve"> </w:t>
      </w:r>
      <w:r w:rsidR="00621DD5" w:rsidRPr="00382917">
        <w:t>were</w:t>
      </w:r>
      <w:r w:rsidR="00EE4FC3">
        <w:t xml:space="preserve"> </w:t>
      </w:r>
      <w:r w:rsidR="00621DD5" w:rsidRPr="00382917">
        <w:t>turned</w:t>
      </w:r>
      <w:r w:rsidR="00EE4FC3">
        <w:t xml:space="preserve"> </w:t>
      </w:r>
      <w:r w:rsidR="00621DD5" w:rsidRPr="00382917">
        <w:t>into</w:t>
      </w:r>
      <w:r w:rsidR="00EE4FC3">
        <w:t xml:space="preserve"> </w:t>
      </w:r>
      <w:r w:rsidR="00621DD5" w:rsidRPr="00382917">
        <w:t>pens,</w:t>
      </w:r>
      <w:r w:rsidR="00EE4FC3">
        <w:t xml:space="preserve"> </w:t>
      </w:r>
      <w:r w:rsidR="00621DD5" w:rsidRPr="00382917">
        <w:t>and</w:t>
      </w:r>
      <w:r w:rsidR="00EE4FC3">
        <w:t xml:space="preserve"> </w:t>
      </w:r>
      <w:r w:rsidR="00621DD5" w:rsidRPr="00382917">
        <w:t>all</w:t>
      </w:r>
      <w:r w:rsidR="00EE4FC3">
        <w:t xml:space="preserve"> </w:t>
      </w:r>
      <w:r w:rsidR="00621DD5" w:rsidRPr="00382917">
        <w:t>the</w:t>
      </w:r>
      <w:r w:rsidR="00EE4FC3">
        <w:t xml:space="preserve"> </w:t>
      </w:r>
      <w:r w:rsidR="00621DD5" w:rsidRPr="00382917">
        <w:t>seas</w:t>
      </w:r>
      <w:r w:rsidR="00EE4FC3">
        <w:t xml:space="preserve"> </w:t>
      </w:r>
      <w:r w:rsidR="00621DD5" w:rsidRPr="00382917">
        <w:t>into</w:t>
      </w:r>
      <w:r w:rsidR="00EE4FC3">
        <w:t xml:space="preserve"> </w:t>
      </w:r>
      <w:r w:rsidR="00621DD5" w:rsidRPr="00382917">
        <w:t>ink,</w:t>
      </w:r>
      <w:r w:rsidR="00EE4FC3">
        <w:t xml:space="preserve"> </w:t>
      </w:r>
      <w:r w:rsidR="00621DD5" w:rsidRPr="00382917">
        <w:t>and</w:t>
      </w:r>
      <w:r w:rsidR="00EE4FC3">
        <w:t xml:space="preserve"> </w:t>
      </w:r>
      <w:r w:rsidR="00621DD5" w:rsidRPr="00382917">
        <w:t>earth</w:t>
      </w:r>
      <w:r w:rsidR="00EE4FC3">
        <w:t xml:space="preserve"> </w:t>
      </w:r>
      <w:r w:rsidR="00621DD5" w:rsidRPr="00382917">
        <w:t>and</w:t>
      </w:r>
      <w:r w:rsidR="00EE4FC3">
        <w:t xml:space="preserve"> </w:t>
      </w:r>
      <w:r w:rsidR="00621DD5" w:rsidRPr="00382917">
        <w:t>heaven</w:t>
      </w:r>
      <w:r w:rsidR="00EE4FC3">
        <w:t xml:space="preserve"> </w:t>
      </w:r>
      <w:r w:rsidR="00621DD5" w:rsidRPr="00382917">
        <w:t>rolled</w:t>
      </w:r>
      <w:r w:rsidR="00EE4FC3">
        <w:t xml:space="preserve"> </w:t>
      </w:r>
      <w:r w:rsidR="00621DD5" w:rsidRPr="00382917">
        <w:t>into</w:t>
      </w:r>
      <w:r w:rsidR="00EE4FC3">
        <w:t xml:space="preserve"> </w:t>
      </w:r>
      <w:r w:rsidR="00621DD5" w:rsidRPr="00382917">
        <w:t>one</w:t>
      </w:r>
      <w:r w:rsidR="00EE4FC3">
        <w:t xml:space="preserve"> </w:t>
      </w:r>
      <w:r w:rsidR="00621DD5" w:rsidRPr="00382917">
        <w:t>parchment,</w:t>
      </w:r>
      <w:r w:rsidR="00EE4FC3">
        <w:t xml:space="preserve"> </w:t>
      </w:r>
      <w:r w:rsidR="00621DD5" w:rsidRPr="00382917">
        <w:t>the</w:t>
      </w:r>
      <w:r w:rsidR="00EE4FC3">
        <w:t xml:space="preserve"> </w:t>
      </w:r>
      <w:r w:rsidR="00621DD5" w:rsidRPr="00382917">
        <w:t>immensity</w:t>
      </w:r>
      <w:r w:rsidR="00EE4FC3">
        <w:t xml:space="preserve"> </w:t>
      </w:r>
      <w:r w:rsidR="00621DD5" w:rsidRPr="00382917">
        <w:t>of</w:t>
      </w:r>
      <w:r w:rsidR="00EE4FC3">
        <w:t xml:space="preserve"> </w:t>
      </w:r>
      <w:r w:rsidR="00621DD5" w:rsidRPr="00382917">
        <w:t>that</w:t>
      </w:r>
      <w:r w:rsidR="00EE4FC3">
        <w:t xml:space="preserve"> </w:t>
      </w:r>
      <w:r w:rsidR="00621DD5" w:rsidRPr="00382917">
        <w:t>love</w:t>
      </w:r>
      <w:r w:rsidR="00EE4FC3">
        <w:t xml:space="preserve"> </w:t>
      </w:r>
      <w:r w:rsidR="00621DD5" w:rsidRPr="00382917">
        <w:t>would</w:t>
      </w:r>
      <w:r w:rsidR="00EE4FC3">
        <w:t xml:space="preserve"> </w:t>
      </w:r>
      <w:r w:rsidR="00621DD5" w:rsidRPr="00382917">
        <w:t>still</w:t>
      </w:r>
      <w:r w:rsidR="00EE4FC3">
        <w:t xml:space="preserve"> </w:t>
      </w:r>
      <w:r w:rsidR="00621DD5" w:rsidRPr="00382917">
        <w:t>remain</w:t>
      </w:r>
      <w:r w:rsidR="00EE4FC3">
        <w:t xml:space="preserve"> </w:t>
      </w:r>
      <w:r w:rsidR="00621DD5" w:rsidRPr="00382917">
        <w:t>unexplored,</w:t>
      </w:r>
      <w:r w:rsidR="00EE4FC3">
        <w:t xml:space="preserve"> </w:t>
      </w:r>
      <w:r w:rsidR="00621DD5" w:rsidRPr="00382917">
        <w:t>and</w:t>
      </w:r>
      <w:r w:rsidR="00EE4FC3">
        <w:t xml:space="preserve"> </w:t>
      </w:r>
      <w:r w:rsidR="00621DD5" w:rsidRPr="00382917">
        <w:t>the</w:t>
      </w:r>
      <w:r w:rsidR="00EE4FC3">
        <w:t xml:space="preserve"> </w:t>
      </w:r>
      <w:r w:rsidR="00621DD5" w:rsidRPr="00382917">
        <w:t>depths</w:t>
      </w:r>
      <w:r w:rsidR="00EE4FC3">
        <w:t xml:space="preserve"> </w:t>
      </w:r>
      <w:r w:rsidR="00621DD5" w:rsidRPr="00382917">
        <w:t>of</w:t>
      </w:r>
      <w:r w:rsidR="00EE4FC3">
        <w:t xml:space="preserve"> </w:t>
      </w:r>
      <w:r w:rsidR="00621DD5" w:rsidRPr="00382917">
        <w:t>that</w:t>
      </w:r>
      <w:r w:rsidR="00EE4FC3">
        <w:t xml:space="preserve"> </w:t>
      </w:r>
      <w:r w:rsidR="00621DD5" w:rsidRPr="00382917">
        <w:t>devotion</w:t>
      </w:r>
      <w:r w:rsidR="00EE4FC3">
        <w:t xml:space="preserve"> </w:t>
      </w:r>
      <w:r w:rsidR="00621DD5" w:rsidRPr="00382917">
        <w:t>unfathomed.</w:t>
      </w:r>
      <w:r w:rsidRPr="00382917">
        <w:t>”</w:t>
      </w:r>
      <w:r w:rsidR="000173F2">
        <w:rPr>
          <w:rStyle w:val="FootnoteReference"/>
        </w:rPr>
        <w:footnoteReference w:id="238"/>
      </w:r>
    </w:p>
    <w:p w:rsidR="00621DD5" w:rsidRPr="00382917" w:rsidRDefault="00621DD5" w:rsidP="00621DD5">
      <w:pPr>
        <w:pStyle w:val="Text"/>
      </w:pPr>
      <w:r w:rsidRPr="00382917">
        <w:t>Their</w:t>
      </w:r>
      <w:r w:rsidR="00EE4FC3">
        <w:t xml:space="preserve"> </w:t>
      </w:r>
      <w:r w:rsidRPr="00382917">
        <w:t>Missions</w:t>
      </w:r>
      <w:r w:rsidR="00EE4FC3">
        <w:t xml:space="preserve"> </w:t>
      </w:r>
      <w:r w:rsidRPr="00382917">
        <w:t>were</w:t>
      </w:r>
      <w:r w:rsidR="00EE4FC3">
        <w:t xml:space="preserve"> </w:t>
      </w:r>
      <w:r w:rsidRPr="00382917">
        <w:t>bound</w:t>
      </w:r>
      <w:r w:rsidR="00EE4FC3">
        <w:t xml:space="preserve"> </w:t>
      </w:r>
      <w:r w:rsidRPr="00382917">
        <w:t>together</w:t>
      </w:r>
      <w:r w:rsidR="00EE4FC3">
        <w:t xml:space="preserve"> </w:t>
      </w:r>
      <w:r w:rsidRPr="00382917">
        <w:t>for</w:t>
      </w:r>
      <w:r w:rsidR="00EE4FC3">
        <w:t xml:space="preserve"> </w:t>
      </w:r>
      <w:r w:rsidRPr="00382917">
        <w:t>eternity.</w:t>
      </w:r>
    </w:p>
    <w:p w:rsidR="00621DD5" w:rsidRPr="00382917" w:rsidRDefault="00621DD5" w:rsidP="00621DD5">
      <w:pPr>
        <w:pStyle w:val="Text"/>
      </w:pPr>
      <w:r w:rsidRPr="00382917">
        <w:t>Thus</w:t>
      </w:r>
      <w:r w:rsidR="00EE4FC3">
        <w:t xml:space="preserve"> </w:t>
      </w:r>
      <w:r w:rsidRPr="00382917">
        <w:t>it</w:t>
      </w:r>
      <w:r w:rsidR="00EE4FC3">
        <w:t xml:space="preserve"> </w:t>
      </w:r>
      <w:r w:rsidRPr="00382917">
        <w:t>was</w:t>
      </w:r>
      <w:r w:rsidR="00EE4FC3">
        <w:t xml:space="preserve"> </w:t>
      </w:r>
      <w:r w:rsidRPr="00382917">
        <w:t>that</w:t>
      </w:r>
      <w:r w:rsidR="00EE4FC3">
        <w:t xml:space="preserve"> </w:t>
      </w:r>
      <w:r w:rsidRPr="00382917">
        <w:t>the</w:t>
      </w:r>
      <w:r w:rsidR="00EE4FC3">
        <w:t xml:space="preserve"> </w:t>
      </w:r>
      <w:r w:rsidRPr="00382917">
        <w:t>Báb</w:t>
      </w:r>
      <w:r w:rsidR="00EE4FC3">
        <w:t xml:space="preserve"> </w:t>
      </w:r>
      <w:r w:rsidRPr="00382917">
        <w:t>was</w:t>
      </w:r>
      <w:r w:rsidR="00EE4FC3">
        <w:t xml:space="preserve"> </w:t>
      </w:r>
      <w:r w:rsidRPr="00382917">
        <w:t>able</w:t>
      </w:r>
      <w:r w:rsidR="00EE4FC3">
        <w:t xml:space="preserve"> </w:t>
      </w:r>
      <w:r w:rsidRPr="00382917">
        <w:t>to</w:t>
      </w:r>
      <w:r w:rsidR="00EE4FC3">
        <w:t xml:space="preserve"> </w:t>
      </w:r>
      <w:r w:rsidRPr="00382917">
        <w:t>leave</w:t>
      </w:r>
      <w:r w:rsidR="00EE4FC3">
        <w:t xml:space="preserve"> </w:t>
      </w:r>
      <w:r w:rsidRPr="00382917">
        <w:t>the</w:t>
      </w:r>
      <w:r w:rsidR="00EE4FC3">
        <w:t xml:space="preserve"> </w:t>
      </w:r>
      <w:r w:rsidRPr="00382917">
        <w:t>prison</w:t>
      </w:r>
      <w:r w:rsidR="00EE4FC3">
        <w:t xml:space="preserve"> </w:t>
      </w:r>
      <w:r w:rsidRPr="00382917">
        <w:t>of</w:t>
      </w:r>
      <w:r w:rsidR="00EE4FC3">
        <w:t xml:space="preserve"> </w:t>
      </w:r>
      <w:r w:rsidR="001713B3" w:rsidRPr="001713B3">
        <w:rPr>
          <w:u w:val="single"/>
        </w:rPr>
        <w:t>Ch</w:t>
      </w:r>
      <w:r w:rsidR="001713B3" w:rsidRPr="00382917">
        <w:t>ihríq</w:t>
      </w:r>
      <w:r w:rsidR="00EE4FC3">
        <w:t xml:space="preserve"> </w:t>
      </w:r>
      <w:r w:rsidRPr="00382917">
        <w:t>in</w:t>
      </w:r>
      <w:r w:rsidR="00EE4FC3">
        <w:t xml:space="preserve"> </w:t>
      </w:r>
      <w:r w:rsidRPr="00382917">
        <w:t>peace</w:t>
      </w:r>
      <w:r w:rsidR="00EE4FC3">
        <w:t xml:space="preserve"> </w:t>
      </w:r>
      <w:r w:rsidRPr="00382917">
        <w:t>and</w:t>
      </w:r>
      <w:r w:rsidR="00EE4FC3">
        <w:t xml:space="preserve"> </w:t>
      </w:r>
      <w:r w:rsidRPr="00382917">
        <w:t>with</w:t>
      </w:r>
      <w:r w:rsidR="00EE4FC3">
        <w:t xml:space="preserve"> </w:t>
      </w:r>
      <w:r w:rsidRPr="00382917">
        <w:t>eagerness,</w:t>
      </w:r>
      <w:r w:rsidR="00EE4FC3">
        <w:t xml:space="preserve"> </w:t>
      </w:r>
      <w:r w:rsidRPr="00382917">
        <w:t>and</w:t>
      </w:r>
      <w:r w:rsidR="00EE4FC3">
        <w:t xml:space="preserve"> </w:t>
      </w:r>
      <w:r w:rsidRPr="00382917">
        <w:t>begin</w:t>
      </w:r>
      <w:r w:rsidR="00EE4FC3">
        <w:t xml:space="preserve"> </w:t>
      </w:r>
      <w:r w:rsidRPr="00382917">
        <w:t>what</w:t>
      </w:r>
      <w:r w:rsidR="00EE4FC3">
        <w:t xml:space="preserve"> </w:t>
      </w:r>
      <w:r w:rsidRPr="00382917">
        <w:t>He</w:t>
      </w:r>
      <w:r w:rsidR="00EE4FC3">
        <w:t xml:space="preserve"> </w:t>
      </w:r>
      <w:r w:rsidRPr="00382917">
        <w:t>knew</w:t>
      </w:r>
      <w:r w:rsidR="00EE4FC3">
        <w:t xml:space="preserve"> </w:t>
      </w:r>
      <w:r w:rsidRPr="00382917">
        <w:t>would</w:t>
      </w:r>
      <w:r w:rsidR="00EE4FC3">
        <w:t xml:space="preserve"> </w:t>
      </w:r>
      <w:r w:rsidRPr="00382917">
        <w:t>be</w:t>
      </w:r>
      <w:r w:rsidR="00EE4FC3">
        <w:t xml:space="preserve"> </w:t>
      </w:r>
      <w:r w:rsidRPr="00382917">
        <w:t>His</w:t>
      </w:r>
      <w:r w:rsidR="00EE4FC3">
        <w:t xml:space="preserve"> </w:t>
      </w:r>
      <w:r w:rsidRPr="00382917">
        <w:t>last</w:t>
      </w:r>
      <w:r w:rsidR="00EE4FC3">
        <w:t xml:space="preserve"> </w:t>
      </w:r>
      <w:r w:rsidRPr="00382917">
        <w:t>journey</w:t>
      </w:r>
      <w:r w:rsidR="00EE4FC3">
        <w:t xml:space="preserve"> </w:t>
      </w:r>
      <w:r w:rsidRPr="00382917">
        <w:t>on</w:t>
      </w:r>
      <w:r w:rsidR="00EE4FC3">
        <w:t xml:space="preserve"> </w:t>
      </w:r>
      <w:r w:rsidRPr="00382917">
        <w:t>this</w:t>
      </w:r>
      <w:r w:rsidR="00EE4FC3">
        <w:t xml:space="preserve"> </w:t>
      </w:r>
      <w:r w:rsidRPr="00382917">
        <w:t>earth</w:t>
      </w:r>
      <w:r w:rsidR="00330AF7">
        <w:t>.</w:t>
      </w:r>
      <w:r w:rsidR="00EE4FC3">
        <w:t xml:space="preserve">  </w:t>
      </w:r>
      <w:r w:rsidRPr="00382917">
        <w:t>He</w:t>
      </w:r>
      <w:r w:rsidR="00EE4FC3">
        <w:t xml:space="preserve"> </w:t>
      </w:r>
      <w:r w:rsidRPr="00382917">
        <w:t>had</w:t>
      </w:r>
      <w:r w:rsidR="00EE4FC3">
        <w:t xml:space="preserve"> </w:t>
      </w:r>
      <w:r w:rsidRPr="00382917">
        <w:t>fulfilled</w:t>
      </w:r>
      <w:r w:rsidR="00EE4FC3">
        <w:t xml:space="preserve"> </w:t>
      </w:r>
      <w:r w:rsidRPr="00382917">
        <w:t>His</w:t>
      </w:r>
      <w:r w:rsidR="00EE4FC3">
        <w:t xml:space="preserve"> </w:t>
      </w:r>
      <w:r w:rsidRPr="00382917">
        <w:t>task</w:t>
      </w:r>
      <w:r w:rsidR="00330AF7">
        <w:t>.</w:t>
      </w:r>
      <w:r w:rsidR="00EE4FC3">
        <w:t xml:space="preserve">  </w:t>
      </w:r>
      <w:r w:rsidRPr="00382917">
        <w:t>He</w:t>
      </w:r>
      <w:r w:rsidR="00EE4FC3">
        <w:t xml:space="preserve"> </w:t>
      </w:r>
      <w:r w:rsidRPr="00382917">
        <w:t>was</w:t>
      </w:r>
      <w:r w:rsidR="00EE4FC3">
        <w:t xml:space="preserve"> </w:t>
      </w:r>
      <w:r w:rsidRPr="00382917">
        <w:t>the</w:t>
      </w:r>
      <w:r w:rsidR="00EE4FC3">
        <w:t xml:space="preserve"> </w:t>
      </w:r>
      <w:r w:rsidRPr="00382917">
        <w:t>Dawn,</w:t>
      </w:r>
      <w:r w:rsidR="00EE4FC3">
        <w:t xml:space="preserve"> </w:t>
      </w:r>
      <w:r w:rsidRPr="00382917">
        <w:t>and</w:t>
      </w:r>
      <w:r w:rsidR="00EE4FC3">
        <w:t xml:space="preserve"> </w:t>
      </w:r>
      <w:r w:rsidRPr="00382917">
        <w:t>He</w:t>
      </w:r>
      <w:r w:rsidR="00EE4FC3">
        <w:t xml:space="preserve"> </w:t>
      </w:r>
      <w:r w:rsidRPr="00382917">
        <w:t>had</w:t>
      </w:r>
      <w:r w:rsidR="00EE4FC3">
        <w:t xml:space="preserve"> </w:t>
      </w:r>
      <w:r w:rsidRPr="00382917">
        <w:t>faithfully</w:t>
      </w:r>
      <w:r w:rsidR="00EE4FC3">
        <w:t xml:space="preserve"> </w:t>
      </w:r>
      <w:r w:rsidRPr="00382917">
        <w:t>prepared</w:t>
      </w:r>
      <w:r w:rsidR="00EE4FC3">
        <w:t xml:space="preserve"> </w:t>
      </w:r>
      <w:r w:rsidRPr="00382917">
        <w:t>His</w:t>
      </w:r>
      <w:r w:rsidR="00EE4FC3">
        <w:t xml:space="preserve"> </w:t>
      </w:r>
      <w:r w:rsidRPr="00382917">
        <w:t>followers</w:t>
      </w:r>
      <w:r w:rsidR="00EE4FC3">
        <w:t xml:space="preserve"> </w:t>
      </w:r>
      <w:r w:rsidRPr="00382917">
        <w:t>for</w:t>
      </w:r>
      <w:r w:rsidR="00EE4FC3">
        <w:t xml:space="preserve"> </w:t>
      </w:r>
      <w:r w:rsidRPr="00382917">
        <w:t>the</w:t>
      </w:r>
      <w:r w:rsidR="00EE4FC3">
        <w:t xml:space="preserve"> </w:t>
      </w:r>
      <w:r w:rsidRPr="00382917">
        <w:t>coming</w:t>
      </w:r>
      <w:r w:rsidR="00EE4FC3">
        <w:t xml:space="preserve"> </w:t>
      </w:r>
      <w:r w:rsidRPr="00382917">
        <w:t>of</w:t>
      </w:r>
      <w:r w:rsidR="00EE4FC3">
        <w:t xml:space="preserve"> </w:t>
      </w:r>
      <w:r w:rsidRPr="00382917">
        <w:t>the</w:t>
      </w:r>
      <w:r w:rsidR="00EE4FC3">
        <w:t xml:space="preserve"> </w:t>
      </w:r>
      <w:r w:rsidRPr="00382917">
        <w:t>Sun</w:t>
      </w:r>
      <w:r w:rsidR="00EE4FC3">
        <w:t xml:space="preserve"> </w:t>
      </w:r>
      <w:r w:rsidRPr="00382917">
        <w:t>itself.</w:t>
      </w:r>
    </w:p>
    <w:p w:rsidR="00621DD5" w:rsidRPr="00382917" w:rsidRDefault="009C713D" w:rsidP="00DB5C0E">
      <w:pPr>
        <w:pStyle w:val="Text"/>
      </w:pPr>
      <w:r w:rsidRPr="00382917">
        <w:t>“</w:t>
      </w:r>
      <w:r w:rsidR="00621DD5" w:rsidRPr="00382917">
        <w:t>I,</w:t>
      </w:r>
      <w:r w:rsidR="00EE4FC3">
        <w:t xml:space="preserve"> </w:t>
      </w:r>
      <w:r w:rsidR="00621DD5" w:rsidRPr="00382917">
        <w:t>verily,</w:t>
      </w:r>
      <w:r w:rsidR="00EE4FC3">
        <w:t xml:space="preserve"> </w:t>
      </w:r>
      <w:r w:rsidR="00621DD5" w:rsidRPr="00382917">
        <w:t>have</w:t>
      </w:r>
      <w:r w:rsidR="00EE4FC3">
        <w:t xml:space="preserve"> </w:t>
      </w:r>
      <w:r w:rsidR="00621DD5" w:rsidRPr="00382917">
        <w:t>not</w:t>
      </w:r>
      <w:r w:rsidR="00EE4FC3">
        <w:t xml:space="preserve"> </w:t>
      </w:r>
      <w:r w:rsidR="00621DD5" w:rsidRPr="00382917">
        <w:t>fallen</w:t>
      </w:r>
      <w:r w:rsidR="00EE4FC3">
        <w:t xml:space="preserve"> </w:t>
      </w:r>
      <w:r w:rsidR="00621DD5" w:rsidRPr="00382917">
        <w:t>short</w:t>
      </w:r>
      <w:r w:rsidR="00EE4FC3">
        <w:t xml:space="preserve"> </w:t>
      </w:r>
      <w:r w:rsidR="00621DD5" w:rsidRPr="00382917">
        <w:t>of</w:t>
      </w:r>
      <w:r w:rsidR="00EE4FC3">
        <w:t xml:space="preserve"> </w:t>
      </w:r>
      <w:r w:rsidR="00621DD5" w:rsidRPr="00382917">
        <w:t>My</w:t>
      </w:r>
      <w:r w:rsidR="00EE4FC3">
        <w:t xml:space="preserve"> </w:t>
      </w:r>
      <w:r w:rsidR="00621DD5" w:rsidRPr="00382917">
        <w:t>duty</w:t>
      </w:r>
      <w:r w:rsidR="00EE4FC3">
        <w:t xml:space="preserve"> </w:t>
      </w:r>
      <w:r w:rsidR="00621DD5" w:rsidRPr="00382917">
        <w:t>to</w:t>
      </w:r>
      <w:r w:rsidR="00EE4FC3">
        <w:t xml:space="preserve"> </w:t>
      </w:r>
      <w:r w:rsidR="00621DD5" w:rsidRPr="00382917">
        <w:t>admonish</w:t>
      </w:r>
      <w:r w:rsidR="00EE4FC3">
        <w:t xml:space="preserve"> </w:t>
      </w:r>
      <w:r w:rsidR="00621DD5" w:rsidRPr="00382917">
        <w:t>that</w:t>
      </w:r>
      <w:r w:rsidR="00EE4FC3">
        <w:t xml:space="preserve"> </w:t>
      </w:r>
      <w:r w:rsidR="00621DD5" w:rsidRPr="00382917">
        <w:t>people,</w:t>
      </w:r>
      <w:r w:rsidR="00EE4FC3">
        <w:t xml:space="preserve"> </w:t>
      </w:r>
      <w:r w:rsidR="00621DD5" w:rsidRPr="00382917">
        <w:t>and</w:t>
      </w:r>
      <w:r w:rsidR="00EE4FC3">
        <w:t xml:space="preserve"> </w:t>
      </w:r>
      <w:r w:rsidR="00621DD5" w:rsidRPr="00382917">
        <w:t>devise</w:t>
      </w:r>
      <w:r w:rsidR="00EE4FC3">
        <w:t xml:space="preserve"> </w:t>
      </w:r>
      <w:r w:rsidR="00621DD5" w:rsidRPr="00382917">
        <w:t>means</w:t>
      </w:r>
      <w:r w:rsidR="00EE4FC3">
        <w:t xml:space="preserve"> </w:t>
      </w:r>
      <w:r w:rsidR="00621DD5" w:rsidRPr="00382917">
        <w:t>whereby</w:t>
      </w:r>
      <w:r w:rsidR="00EE4FC3">
        <w:t xml:space="preserve"> </w:t>
      </w:r>
      <w:r w:rsidR="00621DD5" w:rsidRPr="00382917">
        <w:t>they</w:t>
      </w:r>
      <w:r w:rsidR="00EE4FC3">
        <w:t xml:space="preserve"> </w:t>
      </w:r>
      <w:r w:rsidR="00621DD5" w:rsidRPr="00382917">
        <w:t>may</w:t>
      </w:r>
      <w:r w:rsidR="00EE4FC3">
        <w:t xml:space="preserve"> </w:t>
      </w:r>
      <w:r w:rsidR="00621DD5" w:rsidRPr="00382917">
        <w:t>turn</w:t>
      </w:r>
      <w:r w:rsidR="00EE4FC3">
        <w:t xml:space="preserve"> </w:t>
      </w:r>
      <w:r w:rsidR="00621DD5" w:rsidRPr="00382917">
        <w:t>towards</w:t>
      </w:r>
      <w:r w:rsidR="00EE4FC3">
        <w:t xml:space="preserve"> </w:t>
      </w:r>
      <w:r w:rsidR="00621DD5" w:rsidRPr="00382917">
        <w:t>God</w:t>
      </w:r>
      <w:r w:rsidR="00EE4FC3">
        <w:t xml:space="preserve"> </w:t>
      </w:r>
      <w:proofErr w:type="gramStart"/>
      <w:r w:rsidR="00F04416" w:rsidRPr="00382917">
        <w:t>…</w:t>
      </w:r>
      <w:r w:rsidR="00EE4FC3">
        <w:t xml:space="preserve"> </w:t>
      </w:r>
      <w:r w:rsidR="00621DD5" w:rsidRPr="00382917">
        <w:t>,</w:t>
      </w:r>
      <w:proofErr w:type="gramEnd"/>
      <w:r w:rsidRPr="00382917">
        <w:t>”</w:t>
      </w:r>
      <w:r w:rsidR="00EE4FC3">
        <w:t xml:space="preserve"> </w:t>
      </w:r>
      <w:r w:rsidR="00621DD5" w:rsidRPr="00382917">
        <w:t>He</w:t>
      </w:r>
      <w:r w:rsidR="00EE4FC3">
        <w:t xml:space="preserve"> </w:t>
      </w:r>
      <w:r w:rsidR="00621DD5" w:rsidRPr="00382917">
        <w:t>said</w:t>
      </w:r>
      <w:r w:rsidR="00330AF7">
        <w:t>.</w:t>
      </w:r>
      <w:r w:rsidR="00EE4FC3">
        <w:t xml:space="preserve">  </w:t>
      </w:r>
      <w:r w:rsidRPr="00382917">
        <w:t>“</w:t>
      </w:r>
      <w:r w:rsidR="00621DD5" w:rsidRPr="00382917">
        <w:t>If,</w:t>
      </w:r>
      <w:r w:rsidR="00EE4FC3">
        <w:t xml:space="preserve"> </w:t>
      </w:r>
      <w:r w:rsidR="00621DD5" w:rsidRPr="00382917">
        <w:t>on</w:t>
      </w:r>
      <w:r w:rsidR="00EE4FC3">
        <w:t xml:space="preserve"> </w:t>
      </w:r>
      <w:r w:rsidR="00621DD5" w:rsidRPr="00382917">
        <w:t>the</w:t>
      </w:r>
      <w:r w:rsidR="00EE4FC3">
        <w:t xml:space="preserve"> </w:t>
      </w:r>
      <w:r w:rsidR="00621DD5" w:rsidRPr="00382917">
        <w:t>day</w:t>
      </w:r>
      <w:r w:rsidR="00EE4FC3">
        <w:t xml:space="preserve"> </w:t>
      </w:r>
      <w:r w:rsidR="00621DD5" w:rsidRPr="00382917">
        <w:t>of</w:t>
      </w:r>
      <w:r w:rsidR="00EE4FC3">
        <w:t xml:space="preserve"> </w:t>
      </w:r>
      <w:r w:rsidR="00621DD5" w:rsidRPr="00382917">
        <w:t>His</w:t>
      </w:r>
      <w:r w:rsidR="00EE4FC3">
        <w:t xml:space="preserve"> </w:t>
      </w:r>
      <w:r w:rsidR="00621DD5" w:rsidRPr="00382917">
        <w:t>Revelation,</w:t>
      </w:r>
      <w:r w:rsidR="00EE4FC3">
        <w:t xml:space="preserve"> </w:t>
      </w:r>
      <w:r w:rsidR="00621DD5" w:rsidRPr="00382917">
        <w:t>all</w:t>
      </w:r>
      <w:r w:rsidR="00EE4FC3">
        <w:t xml:space="preserve"> </w:t>
      </w:r>
      <w:r w:rsidR="00621DD5" w:rsidRPr="00382917">
        <w:t>that</w:t>
      </w:r>
      <w:r w:rsidR="00EE4FC3">
        <w:t xml:space="preserve"> </w:t>
      </w:r>
      <w:r w:rsidR="00621DD5" w:rsidRPr="00382917">
        <w:t>are</w:t>
      </w:r>
      <w:r w:rsidR="00EE4FC3">
        <w:t xml:space="preserve"> </w:t>
      </w:r>
      <w:r w:rsidR="00621DD5" w:rsidRPr="00382917">
        <w:t>on</w:t>
      </w:r>
      <w:r w:rsidR="00EE4FC3">
        <w:t xml:space="preserve"> </w:t>
      </w:r>
      <w:r w:rsidR="00621DD5" w:rsidRPr="00382917">
        <w:t>earth</w:t>
      </w:r>
      <w:r w:rsidR="00EE4FC3">
        <w:t xml:space="preserve"> </w:t>
      </w:r>
      <w:r w:rsidR="00621DD5" w:rsidRPr="00382917">
        <w:t>bear</w:t>
      </w:r>
      <w:r w:rsidR="00EE4FC3">
        <w:t xml:space="preserve"> </w:t>
      </w:r>
      <w:r w:rsidR="00621DD5" w:rsidRPr="00382917">
        <w:t>Him</w:t>
      </w:r>
      <w:r w:rsidR="00EE4FC3">
        <w:t xml:space="preserve"> </w:t>
      </w:r>
      <w:r w:rsidR="00621DD5" w:rsidRPr="00382917">
        <w:t>allegiance,</w:t>
      </w:r>
      <w:r w:rsidR="00EE4FC3">
        <w:t xml:space="preserve"> </w:t>
      </w:r>
      <w:r w:rsidR="00621DD5" w:rsidRPr="00382917">
        <w:t>Mine</w:t>
      </w:r>
      <w:r w:rsidR="00EE4FC3">
        <w:t xml:space="preserve"> </w:t>
      </w:r>
      <w:proofErr w:type="spellStart"/>
      <w:r w:rsidR="00621DD5" w:rsidRPr="00382917">
        <w:t>inmost</w:t>
      </w:r>
      <w:proofErr w:type="spellEnd"/>
      <w:r w:rsidR="00EE4FC3">
        <w:t xml:space="preserve"> </w:t>
      </w:r>
      <w:r w:rsidR="00621DD5" w:rsidRPr="00382917">
        <w:t>being</w:t>
      </w:r>
      <w:r w:rsidR="00EE4FC3">
        <w:t xml:space="preserve"> </w:t>
      </w:r>
      <w:r w:rsidR="00621DD5" w:rsidRPr="00382917">
        <w:t>will</w:t>
      </w:r>
      <w:r w:rsidR="00EE4FC3">
        <w:t xml:space="preserve"> </w:t>
      </w:r>
      <w:r w:rsidR="00621DD5" w:rsidRPr="00382917">
        <w:t>rejoice,</w:t>
      </w:r>
      <w:r w:rsidR="00EE4FC3">
        <w:t xml:space="preserve"> </w:t>
      </w:r>
      <w:r w:rsidR="00621DD5" w:rsidRPr="00382917">
        <w:t>inasmuch</w:t>
      </w:r>
      <w:r w:rsidR="00EE4FC3">
        <w:t xml:space="preserve"> </w:t>
      </w:r>
      <w:r w:rsidR="00621DD5" w:rsidRPr="00382917">
        <w:t>as</w:t>
      </w:r>
      <w:r w:rsidR="00EE4FC3">
        <w:t xml:space="preserve"> </w:t>
      </w:r>
      <w:r w:rsidR="00621DD5" w:rsidRPr="00382917">
        <w:t>all</w:t>
      </w:r>
      <w:r w:rsidR="00EE4FC3">
        <w:t xml:space="preserve"> </w:t>
      </w:r>
      <w:r w:rsidR="00621DD5" w:rsidRPr="00382917">
        <w:t>will</w:t>
      </w:r>
      <w:r w:rsidR="00EE4FC3">
        <w:t xml:space="preserve"> </w:t>
      </w:r>
      <w:r w:rsidR="00621DD5" w:rsidRPr="00382917">
        <w:t>have</w:t>
      </w:r>
      <w:r w:rsidR="00EE4FC3">
        <w:t xml:space="preserve"> </w:t>
      </w:r>
      <w:r w:rsidR="00621DD5" w:rsidRPr="00382917">
        <w:t>attained</w:t>
      </w:r>
      <w:r w:rsidR="00EE4FC3">
        <w:t xml:space="preserve"> </w:t>
      </w:r>
      <w:r w:rsidR="00621DD5" w:rsidRPr="00382917">
        <w:t>the</w:t>
      </w:r>
      <w:r w:rsidR="00EE4FC3">
        <w:t xml:space="preserve"> </w:t>
      </w:r>
      <w:r w:rsidR="00621DD5" w:rsidRPr="00382917">
        <w:t>summit</w:t>
      </w:r>
      <w:r w:rsidR="00EE4FC3">
        <w:t xml:space="preserve"> </w:t>
      </w:r>
      <w:r w:rsidR="00621DD5" w:rsidRPr="00382917">
        <w:t>of</w:t>
      </w:r>
      <w:r w:rsidR="00EE4FC3">
        <w:t xml:space="preserve"> </w:t>
      </w:r>
      <w:r w:rsidR="00621DD5" w:rsidRPr="00382917">
        <w:t>their</w:t>
      </w:r>
      <w:r w:rsidR="00EE4FC3">
        <w:t xml:space="preserve"> </w:t>
      </w:r>
      <w:r w:rsidR="00621DD5" w:rsidRPr="00382917">
        <w:t>existence,</w:t>
      </w:r>
      <w:r w:rsidR="00EE4FC3">
        <w:t xml:space="preserve"> </w:t>
      </w:r>
      <w:r w:rsidR="00621DD5" w:rsidRPr="00382917">
        <w:t>and</w:t>
      </w:r>
      <w:r w:rsidR="00EE4FC3">
        <w:t xml:space="preserve"> </w:t>
      </w:r>
      <w:r w:rsidR="00621DD5" w:rsidRPr="00382917">
        <w:t>will</w:t>
      </w:r>
      <w:r w:rsidR="00EE4FC3">
        <w:t xml:space="preserve"> </w:t>
      </w:r>
      <w:r w:rsidR="00621DD5" w:rsidRPr="00382917">
        <w:t>have</w:t>
      </w:r>
      <w:r w:rsidR="00EE4FC3">
        <w:t xml:space="preserve"> </w:t>
      </w:r>
      <w:r w:rsidR="00621DD5" w:rsidRPr="00382917">
        <w:t>been</w:t>
      </w:r>
      <w:r w:rsidR="00EE4FC3">
        <w:t xml:space="preserve"> </w:t>
      </w:r>
      <w:r w:rsidR="00621DD5" w:rsidRPr="00382917">
        <w:t>brought</w:t>
      </w:r>
      <w:r w:rsidR="00EE4FC3">
        <w:t xml:space="preserve"> </w:t>
      </w:r>
      <w:r w:rsidR="00621DD5" w:rsidRPr="00382917">
        <w:t>face</w:t>
      </w:r>
      <w:r w:rsidR="00EE4FC3">
        <w:t xml:space="preserve"> </w:t>
      </w:r>
      <w:r w:rsidR="00621DD5" w:rsidRPr="00382917">
        <w:t>to</w:t>
      </w:r>
      <w:r w:rsidR="00EE4FC3">
        <w:t xml:space="preserve"> </w:t>
      </w:r>
      <w:r w:rsidR="00621DD5" w:rsidRPr="00382917">
        <w:t>face</w:t>
      </w:r>
      <w:r w:rsidR="00EE4FC3">
        <w:t xml:space="preserve"> </w:t>
      </w:r>
      <w:r w:rsidR="00621DD5" w:rsidRPr="00382917">
        <w:t>with</w:t>
      </w:r>
      <w:r w:rsidR="00EE4FC3">
        <w:t xml:space="preserve"> </w:t>
      </w:r>
      <w:r w:rsidR="00621DD5" w:rsidRPr="00382917">
        <w:t>their</w:t>
      </w:r>
      <w:r w:rsidR="00EE4FC3">
        <w:t xml:space="preserve"> </w:t>
      </w:r>
      <w:r w:rsidR="00621DD5" w:rsidRPr="00382917">
        <w:t>Beloved</w:t>
      </w:r>
      <w:r w:rsidR="00EE4FC3">
        <w:t xml:space="preserve"> </w:t>
      </w:r>
      <w:r w:rsidR="00F04416" w:rsidRPr="00382917">
        <w:t>…</w:t>
      </w:r>
      <w:r w:rsidR="00EE4FC3">
        <w:t xml:space="preserve"> </w:t>
      </w:r>
      <w:r w:rsidR="00621DD5" w:rsidRPr="00382917">
        <w:t>I</w:t>
      </w:r>
      <w:r w:rsidR="00EE4FC3">
        <w:t xml:space="preserve"> </w:t>
      </w:r>
      <w:r w:rsidR="00621DD5" w:rsidRPr="00382917">
        <w:t>truly</w:t>
      </w:r>
      <w:r w:rsidR="00EE4FC3">
        <w:t xml:space="preserve"> </w:t>
      </w:r>
      <w:r w:rsidR="00621DD5" w:rsidRPr="00382917">
        <w:t>have</w:t>
      </w:r>
      <w:r w:rsidR="00EE4FC3">
        <w:t xml:space="preserve"> </w:t>
      </w:r>
      <w:r w:rsidR="00621DD5" w:rsidRPr="00382917">
        <w:t>nurtured</w:t>
      </w:r>
      <w:r w:rsidR="00EE4FC3">
        <w:t xml:space="preserve"> </w:t>
      </w:r>
      <w:r w:rsidR="00621DD5" w:rsidRPr="00382917">
        <w:t>all</w:t>
      </w:r>
      <w:r w:rsidR="00EE4FC3">
        <w:t xml:space="preserve"> </w:t>
      </w:r>
      <w:r w:rsidR="00621DD5" w:rsidRPr="00382917">
        <w:t>things</w:t>
      </w:r>
      <w:r w:rsidR="00EE4FC3">
        <w:t xml:space="preserve"> </w:t>
      </w:r>
      <w:r w:rsidR="00621DD5" w:rsidRPr="00382917">
        <w:t>for</w:t>
      </w:r>
      <w:r w:rsidR="00EE4FC3">
        <w:t xml:space="preserve"> </w:t>
      </w:r>
      <w:r w:rsidR="00621DD5" w:rsidRPr="00382917">
        <w:t>this</w:t>
      </w:r>
      <w:r w:rsidR="00EE4FC3">
        <w:t xml:space="preserve"> </w:t>
      </w:r>
      <w:r w:rsidR="00621DD5" w:rsidRPr="00382917">
        <w:t>purpose</w:t>
      </w:r>
      <w:r w:rsidR="00330AF7">
        <w:t>.</w:t>
      </w:r>
      <w:r w:rsidR="00EE4FC3">
        <w:t xml:space="preserve">  </w:t>
      </w:r>
      <w:r w:rsidR="00621DD5" w:rsidRPr="00382917">
        <w:t>How</w:t>
      </w:r>
      <w:r w:rsidR="00EE4FC3">
        <w:t xml:space="preserve"> </w:t>
      </w:r>
      <w:r w:rsidR="00621DD5" w:rsidRPr="00382917">
        <w:t>then</w:t>
      </w:r>
      <w:r w:rsidR="00EE4FC3">
        <w:t xml:space="preserve"> </w:t>
      </w:r>
      <w:r w:rsidR="00621DD5" w:rsidRPr="00382917">
        <w:t>can</w:t>
      </w:r>
      <w:r w:rsidR="00EE4FC3">
        <w:t xml:space="preserve"> </w:t>
      </w:r>
      <w:r w:rsidR="00621DD5" w:rsidRPr="00382917">
        <w:t>anyone</w:t>
      </w:r>
      <w:r w:rsidR="00EE4FC3">
        <w:t xml:space="preserve"> </w:t>
      </w:r>
      <w:r w:rsidR="00621DD5" w:rsidRPr="00382917">
        <w:t>be</w:t>
      </w:r>
      <w:r w:rsidR="00EE4FC3">
        <w:t xml:space="preserve"> </w:t>
      </w:r>
      <w:r w:rsidR="00621DD5" w:rsidRPr="00382917">
        <w:t>veiled</w:t>
      </w:r>
      <w:r w:rsidR="00EE4FC3">
        <w:t xml:space="preserve"> </w:t>
      </w:r>
      <w:r w:rsidR="00621DD5" w:rsidRPr="00382917">
        <w:t>from</w:t>
      </w:r>
      <w:r w:rsidR="00EE4FC3">
        <w:t xml:space="preserve"> </w:t>
      </w:r>
      <w:r w:rsidR="00621DD5" w:rsidRPr="00382917">
        <w:t>Him?</w:t>
      </w:r>
      <w:r w:rsidRPr="00382917">
        <w:t>”</w:t>
      </w:r>
      <w:r w:rsidR="00DB5C0E">
        <w:rPr>
          <w:rStyle w:val="FootnoteReference"/>
        </w:rPr>
        <w:footnoteReference w:id="239"/>
      </w:r>
      <w:r w:rsidR="00EE4FC3">
        <w:t xml:space="preserve"> </w:t>
      </w:r>
      <w:r w:rsidR="00DB5C0E">
        <w:t xml:space="preserve"> </w:t>
      </w:r>
      <w:proofErr w:type="gramStart"/>
      <w:r w:rsidRPr="00382917">
        <w:t>“</w:t>
      </w:r>
      <w:proofErr w:type="gramEnd"/>
      <w:r w:rsidR="00621DD5" w:rsidRPr="00382917">
        <w:t>I</w:t>
      </w:r>
      <w:r w:rsidR="00EE4FC3">
        <w:t xml:space="preserve"> </w:t>
      </w:r>
      <w:r w:rsidR="00621DD5" w:rsidRPr="00382917">
        <w:t>have</w:t>
      </w:r>
      <w:r w:rsidR="00EE4FC3">
        <w:t xml:space="preserve"> </w:t>
      </w:r>
      <w:r w:rsidR="00621DD5" w:rsidRPr="00382917">
        <w:t>educated</w:t>
      </w:r>
      <w:r w:rsidR="00EE4FC3">
        <w:t xml:space="preserve"> </w:t>
      </w:r>
      <w:r w:rsidR="00621DD5" w:rsidRPr="00382917">
        <w:t>all</w:t>
      </w:r>
      <w:r w:rsidR="00EE4FC3">
        <w:t xml:space="preserve"> </w:t>
      </w:r>
      <w:r w:rsidR="00621DD5" w:rsidRPr="00382917">
        <w:t>men,</w:t>
      </w:r>
      <w:r w:rsidR="00EE4FC3">
        <w:t xml:space="preserve"> </w:t>
      </w:r>
      <w:r w:rsidR="00621DD5" w:rsidRPr="00382917">
        <w:t>that</w:t>
      </w:r>
      <w:r w:rsidR="00EE4FC3">
        <w:t xml:space="preserve"> </w:t>
      </w:r>
      <w:r w:rsidR="00621DD5" w:rsidRPr="00382917">
        <w:t>they</w:t>
      </w:r>
      <w:r w:rsidR="00EE4FC3">
        <w:t xml:space="preserve"> </w:t>
      </w:r>
      <w:r w:rsidR="00621DD5" w:rsidRPr="00382917">
        <w:t>may</w:t>
      </w:r>
      <w:r w:rsidR="00EE4FC3">
        <w:t xml:space="preserve"> </w:t>
      </w:r>
      <w:r w:rsidR="00621DD5" w:rsidRPr="00382917">
        <w:t>recognize</w:t>
      </w:r>
      <w:r w:rsidR="00EE4FC3">
        <w:t xml:space="preserve"> </w:t>
      </w:r>
      <w:r w:rsidR="00621DD5" w:rsidRPr="00382917">
        <w:t>this</w:t>
      </w:r>
      <w:r w:rsidR="00EE4FC3">
        <w:t xml:space="preserve"> </w:t>
      </w:r>
      <w:r w:rsidR="00621DD5" w:rsidRPr="00382917">
        <w:t>Revelation.</w:t>
      </w:r>
      <w:r w:rsidRPr="00382917">
        <w:t>”</w:t>
      </w:r>
    </w:p>
    <w:p w:rsidR="00621DD5" w:rsidRPr="00382917" w:rsidRDefault="00621DD5" w:rsidP="00621DD5">
      <w:pPr>
        <w:pStyle w:val="Text"/>
      </w:pPr>
      <w:r w:rsidRPr="00382917">
        <w:t>The</w:t>
      </w:r>
      <w:r w:rsidR="00EE4FC3">
        <w:t xml:space="preserve"> </w:t>
      </w:r>
      <w:r w:rsidRPr="00382917">
        <w:t>Báb</w:t>
      </w:r>
      <w:r w:rsidR="009C713D" w:rsidRPr="00382917">
        <w:t>’</w:t>
      </w:r>
      <w:r w:rsidRPr="00382917">
        <w:t>s</w:t>
      </w:r>
      <w:r w:rsidR="00EE4FC3">
        <w:t xml:space="preserve"> </w:t>
      </w:r>
      <w:r w:rsidRPr="00382917">
        <w:t>heart</w:t>
      </w:r>
      <w:r w:rsidR="00EE4FC3">
        <w:t xml:space="preserve"> </w:t>
      </w:r>
      <w:r w:rsidRPr="00382917">
        <w:t>was</w:t>
      </w:r>
      <w:r w:rsidR="00EE4FC3">
        <w:t xml:space="preserve"> </w:t>
      </w:r>
      <w:r w:rsidRPr="00382917">
        <w:t>turned</w:t>
      </w:r>
      <w:r w:rsidR="00EE4FC3">
        <w:t xml:space="preserve"> </w:t>
      </w:r>
      <w:r w:rsidRPr="00382917">
        <w:t>toward</w:t>
      </w:r>
      <w:r w:rsidR="00EE4FC3">
        <w:t xml:space="preserve"> </w:t>
      </w:r>
      <w:r w:rsidRPr="00382917">
        <w:t>Ṭihrán</w:t>
      </w:r>
      <w:r w:rsidR="00EE4FC3">
        <w:t xml:space="preserve"> </w:t>
      </w:r>
      <w:r w:rsidRPr="00382917">
        <w:t>and</w:t>
      </w:r>
      <w:r w:rsidR="00EE4FC3">
        <w:t xml:space="preserve"> </w:t>
      </w:r>
      <w:r w:rsidRPr="00382917">
        <w:t>Bahá</w:t>
      </w:r>
      <w:r w:rsidR="009C713D" w:rsidRPr="00382917">
        <w:t>’</w:t>
      </w:r>
      <w:r w:rsidRPr="00382917">
        <w:t>u</w:t>
      </w:r>
      <w:r w:rsidR="009C713D" w:rsidRPr="00382917">
        <w:t>’</w:t>
      </w:r>
      <w:r w:rsidRPr="00382917">
        <w:t>lláh</w:t>
      </w:r>
      <w:r w:rsidR="00EE4FC3">
        <w:t xml:space="preserve"> </w:t>
      </w:r>
      <w:r w:rsidRPr="00382917">
        <w:t>when</w:t>
      </w:r>
      <w:r w:rsidR="00EE4FC3">
        <w:t xml:space="preserve"> </w:t>
      </w:r>
      <w:r w:rsidRPr="00382917">
        <w:t>He</w:t>
      </w:r>
      <w:r w:rsidR="00EE4FC3">
        <w:t xml:space="preserve"> </w:t>
      </w:r>
      <w:r w:rsidRPr="00382917">
        <w:t>wrote</w:t>
      </w:r>
      <w:r w:rsidR="00EE4FC3">
        <w:t xml:space="preserve"> </w:t>
      </w:r>
      <w:r w:rsidRPr="00382917">
        <w:t>those</w:t>
      </w:r>
      <w:r w:rsidR="00EE4FC3">
        <w:t xml:space="preserve"> </w:t>
      </w:r>
      <w:r w:rsidRPr="00382917">
        <w:t>moving</w:t>
      </w:r>
      <w:r w:rsidR="00EE4FC3">
        <w:t xml:space="preserve"> </w:t>
      </w:r>
      <w:r w:rsidRPr="00382917">
        <w:t>words</w:t>
      </w:r>
      <w:r w:rsidR="00EE4FC3">
        <w:t xml:space="preserve"> </w:t>
      </w:r>
      <w:r w:rsidRPr="00382917">
        <w:t>which</w:t>
      </w:r>
      <w:r w:rsidR="00EE4FC3">
        <w:t xml:space="preserve"> </w:t>
      </w:r>
      <w:r w:rsidRPr="00382917">
        <w:t>foreshadowed</w:t>
      </w:r>
      <w:r w:rsidR="00EE4FC3">
        <w:t xml:space="preserve"> </w:t>
      </w:r>
      <w:r w:rsidRPr="00382917">
        <w:t>the</w:t>
      </w:r>
      <w:r w:rsidR="00EE4FC3">
        <w:t xml:space="preserve"> </w:t>
      </w:r>
      <w:r w:rsidRPr="00382917">
        <w:t>hours</w:t>
      </w:r>
      <w:r w:rsidR="00EE4FC3">
        <w:t xml:space="preserve"> </w:t>
      </w:r>
      <w:r w:rsidRPr="00382917">
        <w:t>that</w:t>
      </w:r>
      <w:r w:rsidR="00EE4FC3">
        <w:t xml:space="preserve"> </w:t>
      </w:r>
      <w:r w:rsidRPr="00382917">
        <w:t>were</w:t>
      </w:r>
      <w:r w:rsidR="00EE4FC3">
        <w:t xml:space="preserve"> </w:t>
      </w:r>
      <w:r w:rsidRPr="00382917">
        <w:t>fast</w:t>
      </w:r>
      <w:r w:rsidR="00EE4FC3">
        <w:t xml:space="preserve"> </w:t>
      </w:r>
      <w:r w:rsidRPr="00382917">
        <w:t>sweeping</w:t>
      </w:r>
      <w:r w:rsidR="00EE4FC3">
        <w:t xml:space="preserve"> </w:t>
      </w:r>
      <w:r w:rsidRPr="00382917">
        <w:t>down</w:t>
      </w:r>
      <w:r w:rsidR="00EE4FC3">
        <w:t xml:space="preserve"> </w:t>
      </w:r>
      <w:r w:rsidRPr="00382917">
        <w:t>upon</w:t>
      </w:r>
      <w:r w:rsidR="00EE4FC3">
        <w:t xml:space="preserve"> </w:t>
      </w:r>
      <w:r w:rsidRPr="00382917">
        <w:t>Him:</w:t>
      </w:r>
    </w:p>
    <w:p w:rsidR="00621DD5" w:rsidRPr="00382917" w:rsidRDefault="009C713D" w:rsidP="0057732B">
      <w:pPr>
        <w:pStyle w:val="Text"/>
      </w:pPr>
      <w:r w:rsidRPr="00382917">
        <w:t>“</w:t>
      </w:r>
      <w:r w:rsidR="00621DD5" w:rsidRPr="00382917">
        <w:t>I</w:t>
      </w:r>
      <w:r w:rsidR="00EE4FC3">
        <w:t xml:space="preserve"> </w:t>
      </w:r>
      <w:r w:rsidR="00621DD5" w:rsidRPr="00382917">
        <w:t>have</w:t>
      </w:r>
      <w:r w:rsidR="00EE4FC3">
        <w:t xml:space="preserve"> </w:t>
      </w:r>
      <w:r w:rsidR="00621DD5" w:rsidRPr="00382917">
        <w:t>sacrificed</w:t>
      </w:r>
      <w:r w:rsidR="00EE4FC3">
        <w:t xml:space="preserve"> </w:t>
      </w:r>
      <w:proofErr w:type="gramStart"/>
      <w:r w:rsidR="00621DD5" w:rsidRPr="00382917">
        <w:t>Myself</w:t>
      </w:r>
      <w:proofErr w:type="gramEnd"/>
      <w:r w:rsidR="00EE4FC3">
        <w:t xml:space="preserve"> </w:t>
      </w:r>
      <w:r w:rsidR="00621DD5" w:rsidRPr="00382917">
        <w:t>wholly</w:t>
      </w:r>
      <w:r w:rsidR="00EE4FC3">
        <w:t xml:space="preserve"> </w:t>
      </w:r>
      <w:r w:rsidR="00621DD5" w:rsidRPr="00382917">
        <w:t>for</w:t>
      </w:r>
      <w:r w:rsidR="00EE4FC3">
        <w:t xml:space="preserve"> </w:t>
      </w:r>
      <w:r w:rsidR="00621DD5" w:rsidRPr="00382917">
        <w:t>Thee;</w:t>
      </w:r>
      <w:r w:rsidR="00EE4FC3">
        <w:t xml:space="preserve"> </w:t>
      </w:r>
      <w:r w:rsidR="00621DD5" w:rsidRPr="00382917">
        <w:t>I</w:t>
      </w:r>
      <w:r w:rsidR="00EE4FC3">
        <w:t xml:space="preserve"> </w:t>
      </w:r>
      <w:r w:rsidR="00621DD5" w:rsidRPr="00382917">
        <w:t>have</w:t>
      </w:r>
      <w:r w:rsidR="00EE4FC3">
        <w:t xml:space="preserve"> </w:t>
      </w:r>
      <w:r w:rsidR="00621DD5" w:rsidRPr="00382917">
        <w:t>accepted</w:t>
      </w:r>
      <w:r w:rsidR="00EE4FC3">
        <w:t xml:space="preserve"> </w:t>
      </w:r>
      <w:r w:rsidR="00621DD5" w:rsidRPr="00382917">
        <w:t>curses</w:t>
      </w:r>
      <w:r w:rsidR="00EE4FC3">
        <w:t xml:space="preserve"> </w:t>
      </w:r>
      <w:r w:rsidR="00621DD5" w:rsidRPr="00382917">
        <w:t>for</w:t>
      </w:r>
      <w:r w:rsidR="00EE4FC3">
        <w:t xml:space="preserve"> </w:t>
      </w:r>
      <w:r w:rsidR="00621DD5" w:rsidRPr="00382917">
        <w:t>Thy</w:t>
      </w:r>
      <w:r w:rsidR="00EE4FC3">
        <w:t xml:space="preserve"> </w:t>
      </w:r>
      <w:r w:rsidR="00621DD5" w:rsidRPr="00382917">
        <w:t>sake,</w:t>
      </w:r>
      <w:r w:rsidR="00EE4FC3">
        <w:t xml:space="preserve"> </w:t>
      </w:r>
      <w:r w:rsidR="00621DD5" w:rsidRPr="00382917">
        <w:t>and</w:t>
      </w:r>
      <w:r w:rsidR="00EE4FC3">
        <w:t xml:space="preserve"> </w:t>
      </w:r>
      <w:r w:rsidR="00621DD5" w:rsidRPr="00382917">
        <w:t>have</w:t>
      </w:r>
      <w:r w:rsidR="00EE4FC3">
        <w:t xml:space="preserve"> </w:t>
      </w:r>
      <w:r w:rsidR="00621DD5" w:rsidRPr="00382917">
        <w:t>yearned</w:t>
      </w:r>
      <w:r w:rsidR="00EE4FC3">
        <w:t xml:space="preserve"> </w:t>
      </w:r>
      <w:r w:rsidR="00621DD5" w:rsidRPr="00382917">
        <w:t>for</w:t>
      </w:r>
      <w:r w:rsidR="00EE4FC3">
        <w:t xml:space="preserve"> </w:t>
      </w:r>
      <w:r w:rsidR="00621DD5" w:rsidRPr="00382917">
        <w:t>naught</w:t>
      </w:r>
      <w:r w:rsidR="00EE4FC3">
        <w:t xml:space="preserve"> </w:t>
      </w:r>
      <w:r w:rsidR="00621DD5" w:rsidRPr="00382917">
        <w:t>but</w:t>
      </w:r>
      <w:r w:rsidR="00EE4FC3">
        <w:t xml:space="preserve"> </w:t>
      </w:r>
      <w:r w:rsidR="00621DD5" w:rsidRPr="00382917">
        <w:t>martyrdom</w:t>
      </w:r>
      <w:r w:rsidR="00EE4FC3">
        <w:t xml:space="preserve"> </w:t>
      </w:r>
      <w:r w:rsidR="00621DD5" w:rsidRPr="00382917">
        <w:t>in</w:t>
      </w:r>
      <w:r w:rsidR="00EE4FC3">
        <w:t xml:space="preserve"> </w:t>
      </w:r>
      <w:r w:rsidR="00621DD5" w:rsidRPr="00382917">
        <w:t>the</w:t>
      </w:r>
      <w:r w:rsidR="00EE4FC3">
        <w:t xml:space="preserve"> </w:t>
      </w:r>
      <w:r w:rsidR="00621DD5" w:rsidRPr="00382917">
        <w:t>path</w:t>
      </w:r>
      <w:r w:rsidR="00EE4FC3">
        <w:t xml:space="preserve"> </w:t>
      </w:r>
      <w:r w:rsidR="00621DD5" w:rsidRPr="00382917">
        <w:t>of</w:t>
      </w:r>
      <w:r w:rsidR="00EE4FC3">
        <w:t xml:space="preserve"> </w:t>
      </w:r>
      <w:r w:rsidR="00621DD5" w:rsidRPr="00382917">
        <w:t>Thy</w:t>
      </w:r>
      <w:r w:rsidR="00EE4FC3">
        <w:t xml:space="preserve"> </w:t>
      </w:r>
      <w:r w:rsidR="00621DD5" w:rsidRPr="00382917">
        <w:t>love.</w:t>
      </w:r>
      <w:r w:rsidRPr="00382917">
        <w:t>”</w:t>
      </w:r>
      <w:r w:rsidR="0057732B">
        <w:rPr>
          <w:rStyle w:val="FootnoteReference"/>
        </w:rPr>
        <w:footnoteReference w:id="240"/>
      </w:r>
    </w:p>
    <w:p w:rsidR="00621DD5" w:rsidRPr="00382917" w:rsidRDefault="00621DD5" w:rsidP="00621DD5">
      <w:pPr>
        <w:pStyle w:val="Text"/>
      </w:pPr>
      <w:r w:rsidRPr="00382917">
        <w:t>The</w:t>
      </w:r>
      <w:r w:rsidR="00EE4FC3">
        <w:t xml:space="preserve"> </w:t>
      </w:r>
      <w:r w:rsidRPr="00382917">
        <w:t>soldiers</w:t>
      </w:r>
      <w:r w:rsidR="00EE4FC3">
        <w:t xml:space="preserve"> </w:t>
      </w:r>
      <w:r w:rsidRPr="00382917">
        <w:t>bearing</w:t>
      </w:r>
      <w:r w:rsidR="00EE4FC3">
        <w:t xml:space="preserve"> </w:t>
      </w:r>
      <w:r w:rsidRPr="00382917">
        <w:t>the</w:t>
      </w:r>
      <w:r w:rsidR="00EE4FC3">
        <w:t xml:space="preserve"> </w:t>
      </w:r>
      <w:r w:rsidRPr="00382917">
        <w:t>fatal</w:t>
      </w:r>
      <w:r w:rsidR="00EE4FC3">
        <w:t xml:space="preserve"> </w:t>
      </w:r>
      <w:r w:rsidRPr="00382917">
        <w:t>edict</w:t>
      </w:r>
      <w:r w:rsidR="00EE4FC3">
        <w:t xml:space="preserve"> </w:t>
      </w:r>
      <w:r w:rsidRPr="00382917">
        <w:t>from</w:t>
      </w:r>
      <w:r w:rsidR="00EE4FC3">
        <w:t xml:space="preserve"> </w:t>
      </w:r>
      <w:r w:rsidRPr="00382917">
        <w:t>the</w:t>
      </w:r>
      <w:r w:rsidR="00EE4FC3">
        <w:t xml:space="preserve"> </w:t>
      </w:r>
      <w:r w:rsidRPr="00382917">
        <w:t>Prime</w:t>
      </w:r>
      <w:r w:rsidR="00EE4FC3">
        <w:t xml:space="preserve"> </w:t>
      </w:r>
      <w:r w:rsidRPr="00382917">
        <w:t>Minister</w:t>
      </w:r>
      <w:r w:rsidR="00EE4FC3">
        <w:t xml:space="preserve"> </w:t>
      </w:r>
      <w:r w:rsidRPr="00382917">
        <w:t>which</w:t>
      </w:r>
      <w:r w:rsidR="00EE4FC3">
        <w:t xml:space="preserve"> </w:t>
      </w:r>
      <w:r w:rsidRPr="00382917">
        <w:t>called</w:t>
      </w:r>
      <w:r w:rsidR="00EE4FC3">
        <w:t xml:space="preserve"> </w:t>
      </w:r>
      <w:r w:rsidRPr="00382917">
        <w:t>for</w:t>
      </w:r>
      <w:r w:rsidR="00EE4FC3">
        <w:t xml:space="preserve"> </w:t>
      </w:r>
      <w:r w:rsidRPr="00382917">
        <w:t>His</w:t>
      </w:r>
      <w:r w:rsidR="00EE4FC3">
        <w:t xml:space="preserve"> </w:t>
      </w:r>
      <w:r w:rsidRPr="00382917">
        <w:t>execution</w:t>
      </w:r>
      <w:r w:rsidR="00EE4FC3">
        <w:t xml:space="preserve"> </w:t>
      </w:r>
      <w:r w:rsidRPr="00382917">
        <w:t>were</w:t>
      </w:r>
      <w:r w:rsidR="00EE4FC3">
        <w:t xml:space="preserve"> </w:t>
      </w:r>
      <w:r w:rsidRPr="00382917">
        <w:t>already</w:t>
      </w:r>
      <w:r w:rsidR="00EE4FC3">
        <w:t xml:space="preserve"> </w:t>
      </w:r>
      <w:r w:rsidRPr="00382917">
        <w:t>at</w:t>
      </w:r>
      <w:r w:rsidR="00EE4FC3">
        <w:t xml:space="preserve"> </w:t>
      </w:r>
      <w:r w:rsidRPr="00382917">
        <w:t>the</w:t>
      </w:r>
      <w:r w:rsidR="00EE4FC3">
        <w:t xml:space="preserve"> </w:t>
      </w:r>
      <w:r w:rsidRPr="00382917">
        <w:t>gates</w:t>
      </w:r>
      <w:r w:rsidR="00EE4FC3">
        <w:t xml:space="preserve"> </w:t>
      </w:r>
      <w:r w:rsidRPr="00382917">
        <w:t>of</w:t>
      </w:r>
      <w:r w:rsidR="00EE4FC3">
        <w:t xml:space="preserve"> </w:t>
      </w:r>
      <w:r w:rsidRPr="00382917">
        <w:t>the</w:t>
      </w:r>
      <w:r w:rsidR="00EE4FC3">
        <w:t xml:space="preserve"> </w:t>
      </w:r>
      <w:r w:rsidRPr="00382917">
        <w:t>prison-castle</w:t>
      </w:r>
      <w:r w:rsidR="00EE4FC3">
        <w:t xml:space="preserve"> </w:t>
      </w:r>
      <w:r w:rsidRPr="00382917">
        <w:t>of</w:t>
      </w:r>
      <w:r w:rsidR="00EE4FC3">
        <w:t xml:space="preserve"> </w:t>
      </w:r>
      <w:r w:rsidRPr="0057732B">
        <w:rPr>
          <w:u w:val="single"/>
        </w:rPr>
        <w:t>Ch</w:t>
      </w:r>
      <w:r w:rsidRPr="00382917">
        <w:t>i</w:t>
      </w:r>
      <w:r w:rsidR="0057732B">
        <w:t>h</w:t>
      </w:r>
      <w:r w:rsidRPr="00382917">
        <w:t>ríq</w:t>
      </w:r>
      <w:r w:rsidR="00330AF7">
        <w:t>.</w:t>
      </w:r>
      <w:r w:rsidR="00EE4FC3">
        <w:t xml:space="preserve">  </w:t>
      </w:r>
      <w:r w:rsidRPr="00382917">
        <w:t>The</w:t>
      </w:r>
      <w:r w:rsidR="00EE4FC3">
        <w:t xml:space="preserve"> </w:t>
      </w:r>
      <w:r w:rsidRPr="00382917">
        <w:t>Báb,</w:t>
      </w:r>
      <w:r w:rsidR="00EE4FC3">
        <w:t xml:space="preserve"> </w:t>
      </w:r>
      <w:r w:rsidRPr="00382917">
        <w:t>confident</w:t>
      </w:r>
      <w:r w:rsidR="00EE4FC3">
        <w:t xml:space="preserve"> </w:t>
      </w:r>
      <w:r w:rsidRPr="00382917">
        <w:t>that</w:t>
      </w:r>
      <w:r w:rsidR="00EE4FC3">
        <w:t xml:space="preserve"> </w:t>
      </w:r>
      <w:r w:rsidRPr="00382917">
        <w:t>He</w:t>
      </w:r>
      <w:r w:rsidR="00EE4FC3">
        <w:t xml:space="preserve"> </w:t>
      </w:r>
      <w:r w:rsidRPr="00382917">
        <w:t>had</w:t>
      </w:r>
      <w:r w:rsidR="00EE4FC3">
        <w:t xml:space="preserve"> </w:t>
      </w:r>
      <w:r w:rsidRPr="00382917">
        <w:t>expended</w:t>
      </w:r>
      <w:r w:rsidR="00EE4FC3">
        <w:t xml:space="preserve"> </w:t>
      </w:r>
      <w:r w:rsidRPr="00382917">
        <w:t>every</w:t>
      </w:r>
      <w:r w:rsidR="00EE4FC3">
        <w:t xml:space="preserve"> </w:t>
      </w:r>
      <w:r w:rsidRPr="00382917">
        <w:t>effort</w:t>
      </w:r>
      <w:r w:rsidR="00EE4FC3">
        <w:t xml:space="preserve"> </w:t>
      </w:r>
      <w:r w:rsidRPr="00382917">
        <w:t>in</w:t>
      </w:r>
      <w:r w:rsidR="00EE4FC3">
        <w:t xml:space="preserve"> </w:t>
      </w:r>
      <w:r w:rsidRPr="00382917">
        <w:t>the</w:t>
      </w:r>
      <w:r w:rsidR="00EE4FC3">
        <w:t xml:space="preserve"> </w:t>
      </w:r>
      <w:r w:rsidRPr="00382917">
        <w:t>path</w:t>
      </w:r>
      <w:r w:rsidR="00EE4FC3">
        <w:t xml:space="preserve"> </w:t>
      </w:r>
      <w:r w:rsidRPr="00382917">
        <w:t>of</w:t>
      </w:r>
      <w:r w:rsidR="00EE4FC3">
        <w:t xml:space="preserve"> </w:t>
      </w:r>
      <w:r w:rsidRPr="00382917">
        <w:t>God,</w:t>
      </w:r>
      <w:r w:rsidR="00EE4FC3">
        <w:t xml:space="preserve"> </w:t>
      </w:r>
      <w:r w:rsidRPr="00382917">
        <w:t>had</w:t>
      </w:r>
      <w:r w:rsidR="00EE4FC3">
        <w:t xml:space="preserve"> </w:t>
      </w:r>
      <w:r w:rsidRPr="00382917">
        <w:t>already</w:t>
      </w:r>
      <w:r w:rsidR="00EE4FC3">
        <w:t xml:space="preserve"> </w:t>
      </w:r>
      <w:r w:rsidRPr="00382917">
        <w:t>sent</w:t>
      </w:r>
      <w:r w:rsidR="00EE4FC3">
        <w:t xml:space="preserve"> </w:t>
      </w:r>
      <w:r w:rsidRPr="00382917">
        <w:t>His</w:t>
      </w:r>
      <w:r w:rsidR="00EE4FC3">
        <w:t xml:space="preserve"> </w:t>
      </w:r>
      <w:r w:rsidRPr="00382917">
        <w:t>writings,</w:t>
      </w:r>
      <w:r w:rsidR="00EE4FC3">
        <w:t xml:space="preserve"> </w:t>
      </w:r>
      <w:r w:rsidRPr="00382917">
        <w:t>His</w:t>
      </w:r>
      <w:r w:rsidR="00EE4FC3">
        <w:t xml:space="preserve"> </w:t>
      </w:r>
      <w:r w:rsidRPr="00382917">
        <w:t>pen-case,</w:t>
      </w:r>
      <w:r w:rsidR="00EE4FC3">
        <w:t xml:space="preserve"> </w:t>
      </w:r>
      <w:r w:rsidRPr="00382917">
        <w:t>His</w:t>
      </w:r>
      <w:r w:rsidR="00EE4FC3">
        <w:t xml:space="preserve"> </w:t>
      </w:r>
      <w:r w:rsidRPr="00382917">
        <w:t>seals,</w:t>
      </w:r>
      <w:r w:rsidR="00EE4FC3">
        <w:t xml:space="preserve"> </w:t>
      </w:r>
      <w:r w:rsidRPr="00382917">
        <w:t>and</w:t>
      </w:r>
      <w:r w:rsidR="00EE4FC3">
        <w:t xml:space="preserve"> </w:t>
      </w:r>
      <w:r w:rsidRPr="00382917">
        <w:t>His</w:t>
      </w:r>
      <w:r w:rsidR="00EE4FC3">
        <w:t xml:space="preserve"> </w:t>
      </w:r>
      <w:r w:rsidRPr="00382917">
        <w:t>ring</w:t>
      </w:r>
      <w:r w:rsidR="00EE4FC3">
        <w:t xml:space="preserve"> </w:t>
      </w:r>
      <w:r w:rsidRPr="00382917">
        <w:t>to</w:t>
      </w:r>
      <w:r w:rsidR="00EE4FC3">
        <w:t xml:space="preserve"> </w:t>
      </w:r>
      <w:r w:rsidRPr="00382917">
        <w:t>Bahá</w:t>
      </w:r>
      <w:r w:rsidR="009C713D" w:rsidRPr="00382917">
        <w:t>’</w:t>
      </w:r>
      <w:r w:rsidRPr="00382917">
        <w:t>u</w:t>
      </w:r>
      <w:r w:rsidR="009C713D" w:rsidRPr="00382917">
        <w:t>’</w:t>
      </w:r>
      <w:r w:rsidRPr="00382917">
        <w:t>lláh,</w:t>
      </w:r>
      <w:r w:rsidR="00EE4FC3">
        <w:t xml:space="preserve"> </w:t>
      </w:r>
      <w:r w:rsidRPr="00382917">
        <w:t>along</w:t>
      </w:r>
      <w:r w:rsidR="00EE4FC3">
        <w:t xml:space="preserve"> </w:t>
      </w:r>
      <w:r w:rsidRPr="00382917">
        <w:t>with</w:t>
      </w:r>
      <w:r w:rsidR="00EE4FC3">
        <w:t xml:space="preserve"> </w:t>
      </w:r>
      <w:r w:rsidRPr="00382917">
        <w:t>a</w:t>
      </w:r>
      <w:r w:rsidR="00EE4FC3">
        <w:t xml:space="preserve"> </w:t>
      </w:r>
      <w:r w:rsidRPr="00382917">
        <w:t>beautiful</w:t>
      </w:r>
      <w:r w:rsidR="00EE4FC3">
        <w:t xml:space="preserve"> </w:t>
      </w:r>
      <w:r w:rsidRPr="00382917">
        <w:t>scroll</w:t>
      </w:r>
      <w:r w:rsidR="00EE4FC3">
        <w:t xml:space="preserve"> </w:t>
      </w:r>
      <w:r w:rsidRPr="00382917">
        <w:t>filled</w:t>
      </w:r>
      <w:r w:rsidR="00EE4FC3">
        <w:t xml:space="preserve"> </w:t>
      </w:r>
      <w:r w:rsidRPr="00382917">
        <w:t>with</w:t>
      </w:r>
      <w:r w:rsidR="00EE4FC3">
        <w:t xml:space="preserve"> </w:t>
      </w:r>
      <w:r w:rsidRPr="00382917">
        <w:t>the</w:t>
      </w:r>
      <w:r w:rsidR="00EE4FC3">
        <w:t xml:space="preserve"> </w:t>
      </w:r>
      <w:r w:rsidRPr="00382917">
        <w:t>praises</w:t>
      </w:r>
      <w:r w:rsidR="00EE4FC3">
        <w:t xml:space="preserve"> </w:t>
      </w:r>
      <w:r w:rsidRPr="00382917">
        <w:t>and</w:t>
      </w:r>
      <w:r w:rsidR="00EE4FC3">
        <w:t xml:space="preserve"> </w:t>
      </w:r>
      <w:r w:rsidRPr="00382917">
        <w:t>glory</w:t>
      </w:r>
      <w:r w:rsidR="00EE4FC3">
        <w:t xml:space="preserve"> </w:t>
      </w:r>
      <w:r w:rsidRPr="00382917">
        <w:t>of</w:t>
      </w:r>
      <w:r w:rsidR="00EE4FC3">
        <w:t xml:space="preserve"> </w:t>
      </w:r>
      <w:r w:rsidRPr="00382917">
        <w:t>His</w:t>
      </w:r>
      <w:r w:rsidR="00EE4FC3">
        <w:t xml:space="preserve"> </w:t>
      </w:r>
      <w:r w:rsidRPr="00382917">
        <w:t>name.</w:t>
      </w:r>
    </w:p>
    <w:p w:rsidR="00621DD5" w:rsidRPr="00382917" w:rsidRDefault="00621DD5" w:rsidP="00621DD5">
      <w:pPr>
        <w:pStyle w:val="Text"/>
      </w:pPr>
      <w:r w:rsidRPr="00382917">
        <w:t>Now</w:t>
      </w:r>
      <w:r w:rsidR="00EE4FC3">
        <w:t xml:space="preserve"> </w:t>
      </w:r>
      <w:r w:rsidRPr="00382917">
        <w:t>He</w:t>
      </w:r>
      <w:r w:rsidR="00EE4FC3">
        <w:t xml:space="preserve"> </w:t>
      </w:r>
      <w:r w:rsidRPr="00382917">
        <w:t>calmly</w:t>
      </w:r>
      <w:r w:rsidR="00EE4FC3">
        <w:t xml:space="preserve"> </w:t>
      </w:r>
      <w:r w:rsidRPr="00382917">
        <w:t>awaited</w:t>
      </w:r>
      <w:r w:rsidR="00EE4FC3">
        <w:t xml:space="preserve"> </w:t>
      </w:r>
      <w:r w:rsidRPr="00382917">
        <w:t>His</w:t>
      </w:r>
      <w:r w:rsidR="00EE4FC3">
        <w:t xml:space="preserve"> </w:t>
      </w:r>
      <w:r w:rsidRPr="00382917">
        <w:t>escort</w:t>
      </w:r>
      <w:r w:rsidR="00EE4FC3">
        <w:t xml:space="preserve"> </w:t>
      </w:r>
      <w:r w:rsidRPr="00382917">
        <w:t>of</w:t>
      </w:r>
      <w:r w:rsidR="00EE4FC3">
        <w:t xml:space="preserve"> </w:t>
      </w:r>
      <w:r w:rsidRPr="00382917">
        <w:t>death.</w:t>
      </w:r>
    </w:p>
    <w:p w:rsidR="00621DD5" w:rsidRPr="00382917" w:rsidRDefault="00621DD5" w:rsidP="00621DD5"/>
    <w:p w:rsidR="00621DD5" w:rsidRPr="00382917" w:rsidRDefault="00621DD5" w:rsidP="00621DD5">
      <w:pPr>
        <w:sectPr w:rsidR="00621DD5" w:rsidRPr="00382917" w:rsidSect="009073C7">
          <w:footnotePr>
            <w:numRestart w:val="eachPage"/>
          </w:footnotePr>
          <w:type w:val="evenPage"/>
          <w:pgSz w:w="8618" w:h="12984" w:code="188"/>
          <w:pgMar w:top="720" w:right="720" w:bottom="720" w:left="720" w:header="720" w:footer="567" w:gutter="357"/>
          <w:cols w:space="708"/>
          <w:noEndnote/>
          <w:titlePg/>
          <w:docGrid w:linePitch="272"/>
        </w:sectPr>
      </w:pPr>
    </w:p>
    <w:p w:rsidR="00621DD5" w:rsidRPr="00382917" w:rsidRDefault="00417538" w:rsidP="00417538">
      <w:r w:rsidRPr="00382917">
        <w:rPr>
          <w:sz w:val="12"/>
          <w:szCs w:val="12"/>
        </w:rPr>
        <w:fldChar w:fldCharType="begin"/>
      </w:r>
      <w:r w:rsidR="00EE4FC3">
        <w:rPr>
          <w:sz w:val="12"/>
          <w:szCs w:val="12"/>
        </w:rPr>
        <w:instrText xml:space="preserve"> </w:instrText>
      </w:r>
      <w:proofErr w:type="gramStart"/>
      <w:r w:rsidRPr="00382917">
        <w:rPr>
          <w:sz w:val="12"/>
          <w:szCs w:val="12"/>
        </w:rPr>
        <w:instrText>TC</w:instrText>
      </w:r>
      <w:r w:rsidR="00EE4FC3">
        <w:rPr>
          <w:sz w:val="12"/>
          <w:szCs w:val="12"/>
        </w:rPr>
        <w:instrText xml:space="preserve">  </w:instrText>
      </w:r>
      <w:r w:rsidRPr="00382917">
        <w:rPr>
          <w:sz w:val="12"/>
          <w:szCs w:val="12"/>
        </w:rPr>
        <w:instrText>“</w:instrText>
      </w:r>
      <w:bookmarkStart w:id="21" w:name="_Toc206658617"/>
      <w:proofErr w:type="gramEnd"/>
      <w:r>
        <w:rPr>
          <w:sz w:val="12"/>
          <w:szCs w:val="12"/>
        </w:rPr>
        <w:tab/>
        <w:instrText>19.</w:instrText>
      </w:r>
      <w:r>
        <w:rPr>
          <w:sz w:val="12"/>
          <w:szCs w:val="12"/>
        </w:rPr>
        <w:tab/>
      </w:r>
      <w:r w:rsidRPr="00417538">
        <w:rPr>
          <w:sz w:val="12"/>
          <w:szCs w:val="12"/>
        </w:rPr>
        <w:instrText>The</w:instrText>
      </w:r>
      <w:r w:rsidR="00EE4FC3">
        <w:rPr>
          <w:sz w:val="12"/>
          <w:szCs w:val="12"/>
        </w:rPr>
        <w:instrText xml:space="preserve"> </w:instrText>
      </w:r>
      <w:r w:rsidRPr="00417538">
        <w:rPr>
          <w:sz w:val="12"/>
          <w:szCs w:val="12"/>
        </w:rPr>
        <w:instrText>martyrdom</w:instrText>
      </w:r>
      <w:r w:rsidR="00EE4FC3">
        <w:rPr>
          <w:sz w:val="12"/>
          <w:szCs w:val="12"/>
        </w:rPr>
        <w:instrText xml:space="preserve"> </w:instrText>
      </w:r>
      <w:r w:rsidRPr="00417538">
        <w:rPr>
          <w:sz w:val="12"/>
          <w:szCs w:val="12"/>
        </w:rPr>
        <w:instrText>of</w:instrText>
      </w:r>
      <w:r w:rsidR="00EE4FC3">
        <w:rPr>
          <w:sz w:val="12"/>
          <w:szCs w:val="12"/>
        </w:rPr>
        <w:instrText xml:space="preserve"> </w:instrText>
      </w:r>
      <w:r w:rsidRPr="00417538">
        <w:rPr>
          <w:sz w:val="12"/>
          <w:szCs w:val="12"/>
        </w:rPr>
        <w:instrText>the</w:instrText>
      </w:r>
      <w:r w:rsidR="00EE4FC3">
        <w:rPr>
          <w:sz w:val="12"/>
          <w:szCs w:val="12"/>
        </w:rPr>
        <w:instrText xml:space="preserve"> </w:instrText>
      </w:r>
      <w:r w:rsidRPr="00417538">
        <w:rPr>
          <w:sz w:val="12"/>
          <w:szCs w:val="12"/>
        </w:rPr>
        <w:instrText>Báb</w:instrText>
      </w:r>
      <w:proofErr w:type="gramStart"/>
      <w:r w:rsidRPr="00382917">
        <w:rPr>
          <w:color w:val="FFFFFF" w:themeColor="background1"/>
          <w:sz w:val="12"/>
          <w:szCs w:val="12"/>
        </w:rPr>
        <w:instrText>..</w:instrText>
      </w:r>
      <w:proofErr w:type="gramEnd"/>
      <w:r w:rsidRPr="00382917">
        <w:rPr>
          <w:sz w:val="12"/>
          <w:szCs w:val="12"/>
        </w:rPr>
        <w:tab/>
      </w:r>
      <w:r w:rsidRPr="00382917">
        <w:rPr>
          <w:color w:val="FFFFFF" w:themeColor="background1"/>
          <w:sz w:val="12"/>
          <w:szCs w:val="12"/>
        </w:rPr>
        <w:instrText>.</w:instrText>
      </w:r>
      <w:bookmarkEnd w:id="21"/>
      <w:proofErr w:type="gramStart"/>
      <w:r w:rsidRPr="00382917">
        <w:rPr>
          <w:sz w:val="12"/>
          <w:szCs w:val="12"/>
        </w:rPr>
        <w:instrText>”</w:instrText>
      </w:r>
      <w:r w:rsidR="00EE4FC3">
        <w:rPr>
          <w:sz w:val="12"/>
          <w:szCs w:val="12"/>
        </w:rPr>
        <w:instrText xml:space="preserve"> </w:instrText>
      </w:r>
      <w:proofErr w:type="gramEnd"/>
      <w:r w:rsidRPr="00382917">
        <w:rPr>
          <w:sz w:val="12"/>
          <w:szCs w:val="12"/>
        </w:rPr>
        <w:instrText>\l</w:instrText>
      </w:r>
      <w:r w:rsidR="00EE4FC3">
        <w:rPr>
          <w:sz w:val="12"/>
          <w:szCs w:val="12"/>
        </w:rPr>
        <w:instrText xml:space="preserve"> </w:instrText>
      </w:r>
      <w:r w:rsidRPr="00382917">
        <w:rPr>
          <w:sz w:val="12"/>
          <w:szCs w:val="12"/>
        </w:rPr>
        <w:instrText>1</w:instrText>
      </w:r>
      <w:r w:rsidR="00EE4FC3">
        <w:rPr>
          <w:sz w:val="12"/>
          <w:szCs w:val="12"/>
        </w:rPr>
        <w:instrText xml:space="preserve"> </w:instrText>
      </w:r>
      <w:r w:rsidRPr="00382917">
        <w:rPr>
          <w:sz w:val="12"/>
          <w:szCs w:val="12"/>
        </w:rPr>
        <w:fldChar w:fldCharType="end"/>
      </w:r>
    </w:p>
    <w:p w:rsidR="00621DD5" w:rsidRPr="00382917" w:rsidRDefault="00621DD5" w:rsidP="00621DD5"/>
    <w:p w:rsidR="00621DD5" w:rsidRPr="00382917" w:rsidRDefault="00621DD5" w:rsidP="00417538">
      <w:pPr>
        <w:pStyle w:val="Myheadc"/>
      </w:pPr>
      <w:r w:rsidRPr="00382917">
        <w:t>19</w:t>
      </w:r>
      <w:r w:rsidR="00417538">
        <w:br/>
      </w:r>
      <w:r w:rsidRPr="00382917">
        <w:rPr>
          <w:noProof/>
          <w:lang w:val="en-AU" w:eastAsia="en-AU"/>
        </w:rPr>
        <w:drawing>
          <wp:inline distT="0" distB="0" distL="0" distR="0" wp14:anchorId="52F42D74" wp14:editId="7C80A753">
            <wp:extent cx="396000" cy="392400"/>
            <wp:effectExtent l="0" t="0" r="4445" b="825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p.emf"/>
                    <pic:cNvPicPr/>
                  </pic:nvPicPr>
                  <pic:blipFill>
                    <a:blip r:embed="rId17">
                      <a:extLst>
                        <a:ext uri="{28A0092B-C50C-407E-A947-70E740481C1C}">
                          <a14:useLocalDpi xmlns:a14="http://schemas.microsoft.com/office/drawing/2010/main" val="0"/>
                        </a:ext>
                      </a:extLst>
                    </a:blip>
                    <a:stretch>
                      <a:fillRect/>
                    </a:stretch>
                  </pic:blipFill>
                  <pic:spPr>
                    <a:xfrm>
                      <a:off x="0" y="0"/>
                      <a:ext cx="396000" cy="392400"/>
                    </a:xfrm>
                    <a:prstGeom prst="rect">
                      <a:avLst/>
                    </a:prstGeom>
                  </pic:spPr>
                </pic:pic>
              </a:graphicData>
            </a:graphic>
          </wp:inline>
        </w:drawing>
      </w:r>
      <w:r w:rsidR="00417538">
        <w:br/>
      </w:r>
      <w:r w:rsidRPr="00382917">
        <w:t>The</w:t>
      </w:r>
      <w:r w:rsidR="00EE4FC3">
        <w:t xml:space="preserve"> </w:t>
      </w:r>
      <w:r w:rsidRPr="00382917">
        <w:t>martyrdom</w:t>
      </w:r>
      <w:r w:rsidR="00EE4FC3">
        <w:t xml:space="preserve"> </w:t>
      </w:r>
      <w:r w:rsidRPr="00382917">
        <w:t>of</w:t>
      </w:r>
      <w:r w:rsidR="00EE4FC3">
        <w:t xml:space="preserve"> </w:t>
      </w:r>
      <w:r w:rsidRPr="00382917">
        <w:t>the</w:t>
      </w:r>
      <w:r w:rsidR="00EE4FC3">
        <w:t xml:space="preserve"> </w:t>
      </w:r>
      <w:r w:rsidRPr="00382917">
        <w:t>Báb</w:t>
      </w:r>
    </w:p>
    <w:p w:rsidR="00E13D49" w:rsidRPr="00382917" w:rsidRDefault="00621DD5" w:rsidP="006225E8">
      <w:pPr>
        <w:pStyle w:val="Text"/>
      </w:pPr>
      <w:r w:rsidRPr="00382917">
        <w:t>A</w:t>
      </w:r>
      <w:r w:rsidR="00EE4FC3">
        <w:t xml:space="preserve"> </w:t>
      </w:r>
      <w:r w:rsidRPr="00382917">
        <w:t>wave</w:t>
      </w:r>
      <w:r w:rsidR="00EE4FC3">
        <w:t xml:space="preserve"> </w:t>
      </w:r>
      <w:r w:rsidRPr="00382917">
        <w:t>of</w:t>
      </w:r>
      <w:r w:rsidR="00EE4FC3">
        <w:t xml:space="preserve"> </w:t>
      </w:r>
      <w:r w:rsidRPr="00382917">
        <w:t>violence</w:t>
      </w:r>
      <w:r w:rsidR="00EE4FC3">
        <w:t xml:space="preserve"> </w:t>
      </w:r>
      <w:r w:rsidRPr="00382917">
        <w:t>unprecedented</w:t>
      </w:r>
      <w:r w:rsidR="00EE4FC3">
        <w:t xml:space="preserve"> </w:t>
      </w:r>
      <w:r w:rsidRPr="00382917">
        <w:t>in</w:t>
      </w:r>
      <w:r w:rsidR="00EE4FC3">
        <w:t xml:space="preserve"> </w:t>
      </w:r>
      <w:r w:rsidRPr="00382917">
        <w:t>its</w:t>
      </w:r>
      <w:r w:rsidR="00EE4FC3">
        <w:t xml:space="preserve"> </w:t>
      </w:r>
      <w:r w:rsidRPr="00382917">
        <w:t>cruelty,</w:t>
      </w:r>
      <w:r w:rsidR="00EE4FC3">
        <w:t xml:space="preserve"> </w:t>
      </w:r>
      <w:r w:rsidRPr="00382917">
        <w:t>its</w:t>
      </w:r>
      <w:r w:rsidR="00EE4FC3">
        <w:t xml:space="preserve"> </w:t>
      </w:r>
      <w:r w:rsidRPr="00382917">
        <w:t>persistency,</w:t>
      </w:r>
      <w:r w:rsidR="00EE4FC3">
        <w:t xml:space="preserve"> </w:t>
      </w:r>
      <w:r w:rsidRPr="00382917">
        <w:t>and</w:t>
      </w:r>
      <w:r w:rsidR="00EE4FC3">
        <w:t xml:space="preserve"> </w:t>
      </w:r>
      <w:r w:rsidRPr="00382917">
        <w:t>its</w:t>
      </w:r>
      <w:r w:rsidR="00EE4FC3">
        <w:t xml:space="preserve"> </w:t>
      </w:r>
      <w:r w:rsidRPr="00382917">
        <w:t>breadth</w:t>
      </w:r>
      <w:r w:rsidR="00EE4FC3">
        <w:t xml:space="preserve"> </w:t>
      </w:r>
      <w:r w:rsidRPr="00382917">
        <w:t>swept</w:t>
      </w:r>
      <w:r w:rsidR="00EE4FC3">
        <w:t xml:space="preserve"> </w:t>
      </w:r>
      <w:r w:rsidRPr="00382917">
        <w:t>the</w:t>
      </w:r>
      <w:r w:rsidR="00EE4FC3">
        <w:t xml:space="preserve"> </w:t>
      </w:r>
      <w:r w:rsidRPr="00382917">
        <w:t>face</w:t>
      </w:r>
      <w:r w:rsidR="00EE4FC3">
        <w:t xml:space="preserve"> </w:t>
      </w:r>
      <w:r w:rsidRPr="00382917">
        <w:t>of</w:t>
      </w:r>
      <w:r w:rsidR="00EE4FC3">
        <w:t xml:space="preserve"> </w:t>
      </w:r>
      <w:r w:rsidRPr="00382917">
        <w:t>the</w:t>
      </w:r>
      <w:r w:rsidR="00EE4FC3">
        <w:t xml:space="preserve"> </w:t>
      </w:r>
      <w:r w:rsidRPr="00382917">
        <w:t>entire</w:t>
      </w:r>
      <w:r w:rsidR="00EE4FC3">
        <w:t xml:space="preserve"> </w:t>
      </w:r>
      <w:r w:rsidRPr="00382917">
        <w:t>land</w:t>
      </w:r>
      <w:r w:rsidR="00330AF7">
        <w:t>.</w:t>
      </w:r>
      <w:r w:rsidR="00EE4FC3">
        <w:t xml:space="preserve">  </w:t>
      </w:r>
      <w:r w:rsidRPr="00382917">
        <w:t>From</w:t>
      </w:r>
      <w:r w:rsidR="00EE4FC3">
        <w:t xml:space="preserve"> </w:t>
      </w:r>
      <w:r w:rsidR="006225E8" w:rsidRPr="006225E8">
        <w:rPr>
          <w:u w:val="single"/>
        </w:rPr>
        <w:t>Kh</w:t>
      </w:r>
      <w:r w:rsidR="006225E8" w:rsidRPr="00382917">
        <w:t>urásán</w:t>
      </w:r>
      <w:r w:rsidR="00EE4FC3">
        <w:t xml:space="preserve"> </w:t>
      </w:r>
      <w:r w:rsidRPr="00382917">
        <w:t>on</w:t>
      </w:r>
      <w:r w:rsidR="00EE4FC3">
        <w:t xml:space="preserve"> </w:t>
      </w:r>
      <w:r w:rsidRPr="00382917">
        <w:t>the</w:t>
      </w:r>
      <w:r w:rsidR="00EE4FC3">
        <w:t xml:space="preserve"> </w:t>
      </w:r>
      <w:r w:rsidRPr="00382917">
        <w:t>eastern</w:t>
      </w:r>
      <w:r w:rsidR="00EE4FC3">
        <w:t xml:space="preserve"> </w:t>
      </w:r>
      <w:r w:rsidRPr="00382917">
        <w:t>border</w:t>
      </w:r>
      <w:r w:rsidR="00EE4FC3">
        <w:t xml:space="preserve"> </w:t>
      </w:r>
      <w:r w:rsidRPr="00382917">
        <w:t>of</w:t>
      </w:r>
      <w:r w:rsidR="00EE4FC3">
        <w:t xml:space="preserve"> </w:t>
      </w:r>
      <w:r w:rsidRPr="00382917">
        <w:t>Persia</w:t>
      </w:r>
      <w:r w:rsidR="00EE4FC3">
        <w:t xml:space="preserve"> </w:t>
      </w:r>
      <w:r w:rsidRPr="00382917">
        <w:t>to</w:t>
      </w:r>
      <w:r w:rsidR="00EE4FC3">
        <w:t xml:space="preserve"> </w:t>
      </w:r>
      <w:r w:rsidRPr="00382917">
        <w:t>Tabríz</w:t>
      </w:r>
      <w:r w:rsidR="00EE4FC3">
        <w:t xml:space="preserve"> </w:t>
      </w:r>
      <w:r w:rsidRPr="00382917">
        <w:t>on</w:t>
      </w:r>
      <w:r w:rsidR="00EE4FC3">
        <w:t xml:space="preserve"> </w:t>
      </w:r>
      <w:r w:rsidRPr="00382917">
        <w:t>the</w:t>
      </w:r>
      <w:r w:rsidR="00EE4FC3">
        <w:t xml:space="preserve"> </w:t>
      </w:r>
      <w:r w:rsidRPr="00382917">
        <w:t>west,</w:t>
      </w:r>
      <w:r w:rsidR="00EE4FC3">
        <w:t xml:space="preserve"> </w:t>
      </w:r>
      <w:r w:rsidRPr="00382917">
        <w:t>from</w:t>
      </w:r>
      <w:r w:rsidR="00EE4FC3">
        <w:t xml:space="preserve"> </w:t>
      </w:r>
      <w:r w:rsidRPr="00382917">
        <w:t>the</w:t>
      </w:r>
      <w:r w:rsidR="00EE4FC3">
        <w:t xml:space="preserve"> </w:t>
      </w:r>
      <w:r w:rsidRPr="00382917">
        <w:t>northern</w:t>
      </w:r>
      <w:r w:rsidR="00EE4FC3">
        <w:t xml:space="preserve"> </w:t>
      </w:r>
      <w:r w:rsidRPr="00382917">
        <w:t>cities</w:t>
      </w:r>
      <w:r w:rsidR="00EE4FC3">
        <w:t xml:space="preserve"> </w:t>
      </w:r>
      <w:r w:rsidRPr="00382917">
        <w:t>of</w:t>
      </w:r>
      <w:r w:rsidR="00EE4FC3">
        <w:t xml:space="preserve"> </w:t>
      </w:r>
      <w:r w:rsidRPr="00382917">
        <w:t>Zanján</w:t>
      </w:r>
      <w:r w:rsidR="00EE4FC3">
        <w:t xml:space="preserve"> </w:t>
      </w:r>
      <w:r w:rsidRPr="00382917">
        <w:t>and</w:t>
      </w:r>
      <w:r w:rsidR="00EE4FC3">
        <w:t xml:space="preserve"> </w:t>
      </w:r>
      <w:r w:rsidRPr="00382917">
        <w:rPr>
          <w:sz w:val="22"/>
        </w:rPr>
        <w:t>Ṭ</w:t>
      </w:r>
      <w:r w:rsidRPr="00382917">
        <w:t>ihrán</w:t>
      </w:r>
      <w:r w:rsidR="00EE4FC3">
        <w:t xml:space="preserve"> </w:t>
      </w:r>
      <w:r w:rsidRPr="00382917">
        <w:t>stretching</w:t>
      </w:r>
      <w:r w:rsidR="00EE4FC3">
        <w:t xml:space="preserve"> </w:t>
      </w:r>
      <w:r w:rsidRPr="00382917">
        <w:t>as</w:t>
      </w:r>
      <w:r w:rsidR="00EE4FC3">
        <w:t xml:space="preserve"> </w:t>
      </w:r>
      <w:r w:rsidRPr="00382917">
        <w:t>far</w:t>
      </w:r>
      <w:r w:rsidR="00EE4FC3">
        <w:t xml:space="preserve"> </w:t>
      </w:r>
      <w:r w:rsidRPr="00382917">
        <w:t>south</w:t>
      </w:r>
      <w:r w:rsidR="00EE4FC3">
        <w:t xml:space="preserve"> </w:t>
      </w:r>
      <w:r w:rsidRPr="00382917">
        <w:t>as</w:t>
      </w:r>
      <w:r w:rsidR="00EE4FC3">
        <w:t xml:space="preserve"> </w:t>
      </w:r>
      <w:r w:rsidRPr="00382917">
        <w:t>Nayríz,</w:t>
      </w:r>
      <w:r w:rsidR="00EE4FC3">
        <w:t xml:space="preserve"> </w:t>
      </w:r>
      <w:r w:rsidRPr="00382917">
        <w:t>the</w:t>
      </w:r>
      <w:r w:rsidR="00EE4FC3">
        <w:t xml:space="preserve"> </w:t>
      </w:r>
      <w:r w:rsidRPr="00382917">
        <w:t>country</w:t>
      </w:r>
      <w:r w:rsidR="00EE4FC3">
        <w:t xml:space="preserve"> </w:t>
      </w:r>
      <w:r w:rsidRPr="00382917">
        <w:t>was</w:t>
      </w:r>
      <w:r w:rsidR="00EE4FC3">
        <w:t xml:space="preserve"> </w:t>
      </w:r>
      <w:r w:rsidRPr="00382917">
        <w:t>enveloped</w:t>
      </w:r>
      <w:r w:rsidR="00EE4FC3">
        <w:t xml:space="preserve"> </w:t>
      </w:r>
      <w:r w:rsidRPr="00382917">
        <w:t>in</w:t>
      </w:r>
      <w:r w:rsidR="00EE4FC3">
        <w:t xml:space="preserve"> </w:t>
      </w:r>
      <w:r w:rsidRPr="00382917">
        <w:t>darkness</w:t>
      </w:r>
      <w:r w:rsidR="00330AF7">
        <w:t>.</w:t>
      </w:r>
      <w:r w:rsidR="00EE4FC3">
        <w:t xml:space="preserve">  </w:t>
      </w:r>
      <w:r w:rsidRPr="00382917">
        <w:t>Many</w:t>
      </w:r>
      <w:r w:rsidR="00EE4FC3">
        <w:t xml:space="preserve"> </w:t>
      </w:r>
      <w:r w:rsidRPr="00382917">
        <w:t>recalled</w:t>
      </w:r>
      <w:r w:rsidR="00EE4FC3">
        <w:t xml:space="preserve"> </w:t>
      </w:r>
      <w:r w:rsidRPr="00382917">
        <w:t>the</w:t>
      </w:r>
      <w:r w:rsidR="00EE4FC3">
        <w:t xml:space="preserve"> </w:t>
      </w:r>
      <w:r w:rsidRPr="00382917">
        <w:t>prophecy</w:t>
      </w:r>
      <w:r w:rsidR="00EE4FC3">
        <w:t xml:space="preserve"> </w:t>
      </w:r>
      <w:r w:rsidRPr="00382917">
        <w:t>of</w:t>
      </w:r>
      <w:r w:rsidR="00EE4FC3">
        <w:t xml:space="preserve"> </w:t>
      </w:r>
      <w:r w:rsidR="008A073E" w:rsidRPr="00382917">
        <w:rPr>
          <w:u w:val="single"/>
        </w:rPr>
        <w:t>Sh</w:t>
      </w:r>
      <w:r w:rsidR="008A073E" w:rsidRPr="00382917">
        <w:t>ay</w:t>
      </w:r>
      <w:r w:rsidR="008A073E" w:rsidRPr="00382917">
        <w:rPr>
          <w:u w:val="single"/>
        </w:rPr>
        <w:t>kh</w:t>
      </w:r>
      <w:r w:rsidR="00EE4FC3">
        <w:t xml:space="preserve"> </w:t>
      </w:r>
      <w:r w:rsidR="008A073E" w:rsidRPr="00382917">
        <w:t>Aḥmad</w:t>
      </w:r>
      <w:r w:rsidR="00EE4FC3">
        <w:t xml:space="preserve"> </w:t>
      </w:r>
      <w:r w:rsidRPr="00382917">
        <w:t>who</w:t>
      </w:r>
      <w:r w:rsidR="00EE4FC3">
        <w:t xml:space="preserve"> </w:t>
      </w:r>
      <w:r w:rsidRPr="00382917">
        <w:t>spoke</w:t>
      </w:r>
      <w:r w:rsidR="00EE4FC3">
        <w:t xml:space="preserve"> </w:t>
      </w:r>
      <w:r w:rsidRPr="00382917">
        <w:t>so</w:t>
      </w:r>
      <w:r w:rsidR="00EE4FC3">
        <w:t xml:space="preserve"> </w:t>
      </w:r>
      <w:r w:rsidRPr="00382917">
        <w:t>glowingly</w:t>
      </w:r>
      <w:r w:rsidR="00EE4FC3">
        <w:t xml:space="preserve"> </w:t>
      </w:r>
      <w:r w:rsidRPr="00382917">
        <w:t>of</w:t>
      </w:r>
      <w:r w:rsidR="00EE4FC3">
        <w:t xml:space="preserve"> </w:t>
      </w:r>
      <w:r w:rsidRPr="00382917">
        <w:t>the</w:t>
      </w:r>
      <w:r w:rsidR="00EE4FC3">
        <w:t xml:space="preserve"> </w:t>
      </w:r>
      <w:r w:rsidRPr="00382917">
        <w:t>Twin</w:t>
      </w:r>
      <w:r w:rsidR="00EE4FC3">
        <w:t xml:space="preserve"> </w:t>
      </w:r>
      <w:r w:rsidRPr="00382917">
        <w:t>Revelations</w:t>
      </w:r>
      <w:r w:rsidR="00EE4FC3">
        <w:t xml:space="preserve"> </w:t>
      </w:r>
      <w:r w:rsidRPr="00382917">
        <w:t>that</w:t>
      </w:r>
      <w:r w:rsidR="00EE4FC3">
        <w:t xml:space="preserve"> </w:t>
      </w:r>
      <w:r w:rsidRPr="00382917">
        <w:t>were</w:t>
      </w:r>
      <w:r w:rsidR="00EE4FC3">
        <w:t xml:space="preserve"> </w:t>
      </w:r>
      <w:r w:rsidRPr="00382917">
        <w:t>at</w:t>
      </w:r>
      <w:r w:rsidR="00EE4FC3">
        <w:t xml:space="preserve"> </w:t>
      </w:r>
      <w:r w:rsidRPr="00382917">
        <w:t>hand</w:t>
      </w:r>
      <w:r w:rsidR="00330AF7">
        <w:t>.</w:t>
      </w:r>
      <w:r w:rsidR="00EE4FC3">
        <w:t xml:space="preserve">  </w:t>
      </w:r>
      <w:r w:rsidRPr="00382917">
        <w:t>He</w:t>
      </w:r>
      <w:r w:rsidR="00EE4FC3">
        <w:t xml:space="preserve"> </w:t>
      </w:r>
      <w:r w:rsidRPr="00382917">
        <w:t>had</w:t>
      </w:r>
      <w:r w:rsidR="00EE4FC3">
        <w:t xml:space="preserve"> </w:t>
      </w:r>
      <w:r w:rsidRPr="00382917">
        <w:t>warned</w:t>
      </w:r>
      <w:r w:rsidR="00EE4FC3">
        <w:t xml:space="preserve"> </w:t>
      </w:r>
      <w:r w:rsidRPr="00382917">
        <w:t>his</w:t>
      </w:r>
      <w:r w:rsidR="00EE4FC3">
        <w:t xml:space="preserve"> </w:t>
      </w:r>
      <w:r w:rsidRPr="00382917">
        <w:t>followers</w:t>
      </w:r>
      <w:r w:rsidR="00EE4FC3">
        <w:t xml:space="preserve"> </w:t>
      </w:r>
      <w:r w:rsidRPr="00382917">
        <w:t>to</w:t>
      </w:r>
      <w:r w:rsidR="00EE4FC3">
        <w:t xml:space="preserve"> </w:t>
      </w:r>
      <w:r w:rsidRPr="00382917">
        <w:t>expect</w:t>
      </w:r>
      <w:r w:rsidR="00EE4FC3">
        <w:t xml:space="preserve"> </w:t>
      </w:r>
      <w:r w:rsidRPr="00382917">
        <w:t>these</w:t>
      </w:r>
      <w:r w:rsidR="00EE4FC3">
        <w:t xml:space="preserve"> </w:t>
      </w:r>
      <w:r w:rsidRPr="00382917">
        <w:t>days</w:t>
      </w:r>
      <w:r w:rsidR="00EE4FC3">
        <w:t xml:space="preserve"> </w:t>
      </w:r>
      <w:r w:rsidRPr="00382917">
        <w:t>of</w:t>
      </w:r>
      <w:r w:rsidR="00EE4FC3">
        <w:t xml:space="preserve"> </w:t>
      </w:r>
      <w:r w:rsidRPr="00382917">
        <w:t>suffering</w:t>
      </w:r>
      <w:r w:rsidR="00330AF7">
        <w:t>.</w:t>
      </w:r>
      <w:r w:rsidR="00EE4FC3">
        <w:t xml:space="preserve">  </w:t>
      </w:r>
      <w:r w:rsidR="009C713D" w:rsidRPr="00382917">
        <w:t>“</w:t>
      </w:r>
      <w:r w:rsidRPr="00382917">
        <w:t>Pray</w:t>
      </w:r>
      <w:r w:rsidR="00EE4FC3">
        <w:t xml:space="preserve"> </w:t>
      </w:r>
      <w:r w:rsidRPr="00382917">
        <w:t>God,</w:t>
      </w:r>
      <w:r w:rsidR="009C713D" w:rsidRPr="00382917">
        <w:t>”</w:t>
      </w:r>
      <w:r w:rsidR="00EE4FC3">
        <w:t xml:space="preserve"> </w:t>
      </w:r>
      <w:r w:rsidRPr="00382917">
        <w:t>he</w:t>
      </w:r>
      <w:r w:rsidR="00EE4FC3">
        <w:t xml:space="preserve"> </w:t>
      </w:r>
      <w:r w:rsidRPr="00382917">
        <w:t>told</w:t>
      </w:r>
      <w:r w:rsidR="00EE4FC3">
        <w:t xml:space="preserve"> </w:t>
      </w:r>
      <w:r w:rsidRPr="00382917">
        <w:t>them,</w:t>
      </w:r>
      <w:r w:rsidR="00EE4FC3">
        <w:t xml:space="preserve"> </w:t>
      </w:r>
      <w:r w:rsidR="009C713D" w:rsidRPr="00382917">
        <w:t>“</w:t>
      </w:r>
      <w:r w:rsidRPr="00382917">
        <w:t>that</w:t>
      </w:r>
      <w:r w:rsidR="00EE4FC3">
        <w:t xml:space="preserve"> </w:t>
      </w:r>
      <w:r w:rsidRPr="00382917">
        <w:t>you</w:t>
      </w:r>
      <w:r w:rsidR="00EE4FC3">
        <w:t xml:space="preserve"> </w:t>
      </w:r>
      <w:r w:rsidRPr="00382917">
        <w:t>may</w:t>
      </w:r>
      <w:r w:rsidR="00EE4FC3">
        <w:t xml:space="preserve"> </w:t>
      </w:r>
      <w:r w:rsidRPr="00382917">
        <w:t>not</w:t>
      </w:r>
      <w:r w:rsidR="00EE4FC3">
        <w:t xml:space="preserve"> </w:t>
      </w:r>
      <w:r w:rsidRPr="00382917">
        <w:t>be</w:t>
      </w:r>
      <w:r w:rsidR="00EE4FC3">
        <w:t xml:space="preserve"> </w:t>
      </w:r>
      <w:r w:rsidRPr="00382917">
        <w:t>present</w:t>
      </w:r>
      <w:r w:rsidR="00EE4FC3">
        <w:t xml:space="preserve"> </w:t>
      </w:r>
      <w:r w:rsidRPr="00382917">
        <w:t>in</w:t>
      </w:r>
      <w:r w:rsidR="00EE4FC3">
        <w:t xml:space="preserve"> </w:t>
      </w:r>
      <w:r w:rsidRPr="00382917">
        <w:t>(1)</w:t>
      </w:r>
      <w:r w:rsidR="00EE4FC3">
        <w:t xml:space="preserve"> </w:t>
      </w:r>
      <w:r w:rsidRPr="00382917">
        <w:t>the</w:t>
      </w:r>
      <w:r w:rsidR="00EE4FC3">
        <w:t xml:space="preserve"> </w:t>
      </w:r>
      <w:r w:rsidRPr="00382917">
        <w:t>day</w:t>
      </w:r>
      <w:r w:rsidR="00EE4FC3">
        <w:t xml:space="preserve"> </w:t>
      </w:r>
      <w:r w:rsidRPr="00382917">
        <w:t>of</w:t>
      </w:r>
      <w:r w:rsidR="00EE4FC3">
        <w:t xml:space="preserve"> </w:t>
      </w:r>
      <w:r w:rsidRPr="00382917">
        <w:t>the</w:t>
      </w:r>
      <w:r w:rsidR="00EE4FC3">
        <w:t xml:space="preserve"> </w:t>
      </w:r>
      <w:r w:rsidRPr="00382917">
        <w:t>coming</w:t>
      </w:r>
      <w:r w:rsidR="00EE4FC3">
        <w:t xml:space="preserve"> </w:t>
      </w:r>
      <w:r w:rsidRPr="00382917">
        <w:t>of</w:t>
      </w:r>
      <w:r w:rsidR="00EE4FC3">
        <w:t xml:space="preserve"> </w:t>
      </w:r>
      <w:r w:rsidRPr="00382917">
        <w:t>the</w:t>
      </w:r>
      <w:r w:rsidR="00EE4FC3">
        <w:t xml:space="preserve"> </w:t>
      </w:r>
      <w:r w:rsidRPr="00382917">
        <w:t>Prophet</w:t>
      </w:r>
      <w:r w:rsidR="00EE4FC3">
        <w:t xml:space="preserve"> </w:t>
      </w:r>
      <w:r w:rsidRPr="00382917">
        <w:t>or</w:t>
      </w:r>
      <w:r w:rsidR="00EE4FC3">
        <w:t xml:space="preserve"> </w:t>
      </w:r>
      <w:r w:rsidRPr="00382917">
        <w:t>(2)</w:t>
      </w:r>
      <w:r w:rsidR="00EE4FC3">
        <w:t xml:space="preserve"> </w:t>
      </w:r>
      <w:r w:rsidRPr="00382917">
        <w:t>the</w:t>
      </w:r>
      <w:r w:rsidR="00EE4FC3">
        <w:t xml:space="preserve"> </w:t>
      </w:r>
      <w:r w:rsidRPr="00382917">
        <w:t>day</w:t>
      </w:r>
      <w:r w:rsidR="00EE4FC3">
        <w:t xml:space="preserve"> </w:t>
      </w:r>
      <w:r w:rsidRPr="00382917">
        <w:t>of</w:t>
      </w:r>
      <w:r w:rsidR="00EE4FC3">
        <w:t xml:space="preserve"> </w:t>
      </w:r>
      <w:r w:rsidRPr="00382917">
        <w:t>His</w:t>
      </w:r>
      <w:r w:rsidR="00EE4FC3">
        <w:t xml:space="preserve"> </w:t>
      </w:r>
      <w:r w:rsidRPr="00382917">
        <w:t>return,</w:t>
      </w:r>
      <w:r w:rsidR="00EE4FC3">
        <w:t xml:space="preserve"> </w:t>
      </w:r>
      <w:r w:rsidRPr="00382917">
        <w:t>as</w:t>
      </w:r>
      <w:r w:rsidR="00EE4FC3">
        <w:t xml:space="preserve"> </w:t>
      </w:r>
      <w:r w:rsidRPr="00382917">
        <w:t>there</w:t>
      </w:r>
      <w:r w:rsidR="00EE4FC3">
        <w:t xml:space="preserve"> </w:t>
      </w:r>
      <w:r w:rsidRPr="00382917">
        <w:t>will</w:t>
      </w:r>
      <w:r w:rsidR="00EE4FC3">
        <w:t xml:space="preserve"> </w:t>
      </w:r>
      <w:r w:rsidRPr="00382917">
        <w:t>be</w:t>
      </w:r>
      <w:r w:rsidR="00EE4FC3">
        <w:t xml:space="preserve"> </w:t>
      </w:r>
      <w:r w:rsidRPr="00382917">
        <w:t>many</w:t>
      </w:r>
      <w:r w:rsidR="00EE4FC3">
        <w:t xml:space="preserve"> </w:t>
      </w:r>
      <w:r w:rsidRPr="00382917">
        <w:t>civil</w:t>
      </w:r>
      <w:r w:rsidR="00EE4FC3">
        <w:t xml:space="preserve"> </w:t>
      </w:r>
      <w:r w:rsidRPr="00382917">
        <w:t>wars</w:t>
      </w:r>
      <w:r w:rsidR="00330AF7">
        <w:t>.</w:t>
      </w:r>
      <w:r w:rsidR="00EE4FC3">
        <w:t xml:space="preserve">  </w:t>
      </w:r>
      <w:r w:rsidRPr="00382917">
        <w:t>If</w:t>
      </w:r>
      <w:r w:rsidR="00EE4FC3">
        <w:t xml:space="preserve"> </w:t>
      </w:r>
      <w:r w:rsidRPr="00382917">
        <w:t>any</w:t>
      </w:r>
      <w:r w:rsidR="00EE4FC3">
        <w:t xml:space="preserve"> </w:t>
      </w:r>
      <w:r w:rsidRPr="00382917">
        <w:t>of</w:t>
      </w:r>
      <w:r w:rsidR="00EE4FC3">
        <w:t xml:space="preserve"> </w:t>
      </w:r>
      <w:r w:rsidRPr="00382917">
        <w:t>you</w:t>
      </w:r>
      <w:r w:rsidR="00EE4FC3">
        <w:t xml:space="preserve"> </w:t>
      </w:r>
      <w:r w:rsidRPr="00382917">
        <w:t>should</w:t>
      </w:r>
      <w:r w:rsidR="00EE4FC3">
        <w:t xml:space="preserve"> </w:t>
      </w:r>
      <w:r w:rsidRPr="00382917">
        <w:t>be</w:t>
      </w:r>
      <w:r w:rsidR="00EE4FC3">
        <w:t xml:space="preserve"> </w:t>
      </w:r>
      <w:r w:rsidRPr="00382917">
        <w:t>living</w:t>
      </w:r>
      <w:r w:rsidR="00EE4FC3">
        <w:t xml:space="preserve"> </w:t>
      </w:r>
      <w:r w:rsidRPr="00382917">
        <w:t>at</w:t>
      </w:r>
      <w:r w:rsidR="00EE4FC3">
        <w:t xml:space="preserve"> </w:t>
      </w:r>
      <w:r w:rsidRPr="00382917">
        <w:t>that</w:t>
      </w:r>
      <w:r w:rsidR="00EE4FC3">
        <w:t xml:space="preserve"> </w:t>
      </w:r>
      <w:r w:rsidRPr="00382917">
        <w:t>time,</w:t>
      </w:r>
      <w:r w:rsidR="00EE4FC3">
        <w:t xml:space="preserve"> </w:t>
      </w:r>
      <w:r w:rsidRPr="00382917">
        <w:t>he</w:t>
      </w:r>
      <w:r w:rsidR="00EE4FC3">
        <w:t xml:space="preserve"> </w:t>
      </w:r>
      <w:r w:rsidRPr="00382917">
        <w:t>shall</w:t>
      </w:r>
      <w:r w:rsidR="00EE4FC3">
        <w:t xml:space="preserve"> </w:t>
      </w:r>
      <w:r w:rsidRPr="00382917">
        <w:t>see</w:t>
      </w:r>
      <w:r w:rsidR="00EE4FC3">
        <w:t xml:space="preserve"> </w:t>
      </w:r>
      <w:r w:rsidRPr="00382917">
        <w:t>strange</w:t>
      </w:r>
      <w:r w:rsidR="00EE4FC3">
        <w:t xml:space="preserve"> </w:t>
      </w:r>
      <w:r w:rsidRPr="00382917">
        <w:t>things</w:t>
      </w:r>
      <w:r w:rsidR="00EE4FC3">
        <w:t xml:space="preserve"> </w:t>
      </w:r>
      <w:r w:rsidRPr="00382917">
        <w:t>between</w:t>
      </w:r>
      <w:r w:rsidR="00EE4FC3">
        <w:t xml:space="preserve"> </w:t>
      </w:r>
      <w:r w:rsidRPr="00382917">
        <w:t>the</w:t>
      </w:r>
      <w:r w:rsidR="00EE4FC3">
        <w:t xml:space="preserve"> </w:t>
      </w:r>
      <w:r w:rsidRPr="00382917">
        <w:t>years</w:t>
      </w:r>
      <w:r w:rsidR="00EE4FC3">
        <w:t xml:space="preserve"> </w:t>
      </w:r>
      <w:r w:rsidRPr="00382917">
        <w:t>1844</w:t>
      </w:r>
      <w:r w:rsidR="00EE4FC3">
        <w:t xml:space="preserve"> </w:t>
      </w:r>
      <w:r w:rsidRPr="00382917">
        <w:t>and</w:t>
      </w:r>
      <w:r w:rsidR="00EE4FC3">
        <w:t xml:space="preserve"> </w:t>
      </w:r>
      <w:r w:rsidRPr="00382917">
        <w:t>1851.</w:t>
      </w:r>
      <w:r w:rsidR="009C713D" w:rsidRPr="00382917">
        <w:t>”</w:t>
      </w:r>
      <w:r w:rsidR="006225E8">
        <w:rPr>
          <w:rStyle w:val="FootnoteReference"/>
        </w:rPr>
        <w:footnoteReference w:id="241"/>
      </w:r>
    </w:p>
    <w:p w:rsidR="00621DD5" w:rsidRPr="00382917" w:rsidRDefault="00621DD5" w:rsidP="006225E8">
      <w:pPr>
        <w:pStyle w:val="Text"/>
      </w:pPr>
      <w:r w:rsidRPr="00382917">
        <w:t>Nicolas</w:t>
      </w:r>
      <w:r w:rsidR="00EE4FC3">
        <w:t xml:space="preserve"> </w:t>
      </w:r>
      <w:r w:rsidRPr="00382917">
        <w:t>in</w:t>
      </w:r>
      <w:r w:rsidR="00EE4FC3">
        <w:t xml:space="preserve"> </w:t>
      </w:r>
      <w:r w:rsidRPr="00382917">
        <w:t>his</w:t>
      </w:r>
      <w:r w:rsidR="00EE4FC3">
        <w:t xml:space="preserve"> </w:t>
      </w:r>
      <w:r w:rsidRPr="00382917">
        <w:t>account</w:t>
      </w:r>
      <w:r w:rsidR="00EE4FC3">
        <w:t xml:space="preserve"> </w:t>
      </w:r>
      <w:r w:rsidRPr="00382917">
        <w:t>of</w:t>
      </w:r>
      <w:r w:rsidR="00EE4FC3">
        <w:t xml:space="preserve"> </w:t>
      </w:r>
      <w:r w:rsidRPr="00382917">
        <w:t>those</w:t>
      </w:r>
      <w:r w:rsidR="00EE4FC3">
        <w:t xml:space="preserve"> </w:t>
      </w:r>
      <w:r w:rsidRPr="00382917">
        <w:t>days</w:t>
      </w:r>
      <w:r w:rsidR="00EE4FC3">
        <w:t xml:space="preserve"> </w:t>
      </w:r>
      <w:r w:rsidRPr="00382917">
        <w:t>says</w:t>
      </w:r>
      <w:r w:rsidR="00C03C91">
        <w:t>:</w:t>
      </w:r>
      <w:r w:rsidR="00EE4FC3">
        <w:t xml:space="preserve">  </w:t>
      </w:r>
      <w:r w:rsidR="009C713D" w:rsidRPr="00382917">
        <w:t>“</w:t>
      </w:r>
      <w:r w:rsidRPr="00382917">
        <w:t>The</w:t>
      </w:r>
      <w:r w:rsidR="00EE4FC3">
        <w:t xml:space="preserve"> </w:t>
      </w:r>
      <w:r w:rsidRPr="00382917">
        <w:t>anxious</w:t>
      </w:r>
      <w:r w:rsidR="00EE4FC3">
        <w:t xml:space="preserve"> </w:t>
      </w:r>
      <w:r w:rsidRPr="00382917">
        <w:t>priests,</w:t>
      </w:r>
      <w:r w:rsidR="00EE4FC3">
        <w:t xml:space="preserve"> </w:t>
      </w:r>
      <w:r w:rsidRPr="00382917">
        <w:t>feeling</w:t>
      </w:r>
      <w:r w:rsidR="00EE4FC3">
        <w:t xml:space="preserve"> </w:t>
      </w:r>
      <w:r w:rsidRPr="00382917">
        <w:t>their</w:t>
      </w:r>
      <w:r w:rsidR="00EE4FC3">
        <w:t xml:space="preserve"> </w:t>
      </w:r>
      <w:r w:rsidRPr="00382917">
        <w:t>flock</w:t>
      </w:r>
      <w:r w:rsidR="00EE4FC3">
        <w:t xml:space="preserve"> </w:t>
      </w:r>
      <w:r w:rsidRPr="00382917">
        <w:t>quivering</w:t>
      </w:r>
      <w:r w:rsidR="00EE4FC3">
        <w:t xml:space="preserve"> </w:t>
      </w:r>
      <w:r w:rsidRPr="00382917">
        <w:t>with</w:t>
      </w:r>
      <w:r w:rsidR="00EE4FC3">
        <w:t xml:space="preserve"> </w:t>
      </w:r>
      <w:r w:rsidRPr="00382917">
        <w:t>impatience</w:t>
      </w:r>
      <w:r w:rsidR="00EE4FC3">
        <w:t xml:space="preserve"> </w:t>
      </w:r>
      <w:r w:rsidRPr="00382917">
        <w:t>and</w:t>
      </w:r>
      <w:r w:rsidR="00EE4FC3">
        <w:t xml:space="preserve"> </w:t>
      </w:r>
      <w:r w:rsidRPr="00382917">
        <w:t>ready</w:t>
      </w:r>
      <w:r w:rsidR="00EE4FC3">
        <w:t xml:space="preserve"> </w:t>
      </w:r>
      <w:r w:rsidRPr="00382917">
        <w:t>to</w:t>
      </w:r>
      <w:r w:rsidR="00EE4FC3">
        <w:t xml:space="preserve"> </w:t>
      </w:r>
      <w:r w:rsidRPr="00382917">
        <w:t>escape</w:t>
      </w:r>
      <w:r w:rsidR="00EE4FC3">
        <w:t xml:space="preserve"> </w:t>
      </w:r>
      <w:r w:rsidRPr="00382917">
        <w:t>their</w:t>
      </w:r>
      <w:r w:rsidR="00EE4FC3">
        <w:t xml:space="preserve"> </w:t>
      </w:r>
      <w:r w:rsidRPr="00382917">
        <w:t>control,</w:t>
      </w:r>
      <w:r w:rsidR="00EE4FC3">
        <w:t xml:space="preserve"> </w:t>
      </w:r>
      <w:r w:rsidRPr="00382917">
        <w:t>redoubled</w:t>
      </w:r>
      <w:r w:rsidR="00EE4FC3">
        <w:t xml:space="preserve"> </w:t>
      </w:r>
      <w:r w:rsidRPr="00382917">
        <w:t>their</w:t>
      </w:r>
      <w:r w:rsidR="00EE4FC3">
        <w:t xml:space="preserve"> </w:t>
      </w:r>
      <w:r w:rsidRPr="00382917">
        <w:t>slanders</w:t>
      </w:r>
      <w:r w:rsidR="00EE4FC3">
        <w:t xml:space="preserve"> </w:t>
      </w:r>
      <w:r w:rsidR="006225E8">
        <w:t>…</w:t>
      </w:r>
      <w:r w:rsidR="00EE4FC3">
        <w:t xml:space="preserve"> </w:t>
      </w:r>
      <w:r w:rsidRPr="00382917">
        <w:t>the</w:t>
      </w:r>
      <w:r w:rsidR="00EE4FC3">
        <w:t xml:space="preserve"> </w:t>
      </w:r>
      <w:r w:rsidRPr="00382917">
        <w:t>grossest</w:t>
      </w:r>
      <w:r w:rsidR="00EE4FC3">
        <w:t xml:space="preserve"> </w:t>
      </w:r>
      <w:r w:rsidRPr="00382917">
        <w:t>lies,</w:t>
      </w:r>
      <w:r w:rsidR="00EE4FC3">
        <w:t xml:space="preserve"> </w:t>
      </w:r>
      <w:r w:rsidRPr="00382917">
        <w:t>the</w:t>
      </w:r>
      <w:r w:rsidR="00EE4FC3">
        <w:t xml:space="preserve"> </w:t>
      </w:r>
      <w:proofErr w:type="gramStart"/>
      <w:r w:rsidRPr="00382917">
        <w:t>most</w:t>
      </w:r>
      <w:r w:rsidR="00EE4FC3">
        <w:t xml:space="preserve"> </w:t>
      </w:r>
      <w:r w:rsidRPr="00382917">
        <w:t>bloody</w:t>
      </w:r>
      <w:proofErr w:type="gramEnd"/>
      <w:r w:rsidR="00EE4FC3">
        <w:t xml:space="preserve"> </w:t>
      </w:r>
      <w:r w:rsidRPr="00382917">
        <w:t>fictions</w:t>
      </w:r>
      <w:r w:rsidR="00EE4FC3">
        <w:t xml:space="preserve"> </w:t>
      </w:r>
      <w:r w:rsidRPr="00382917">
        <w:t>were</w:t>
      </w:r>
      <w:r w:rsidR="00EE4FC3">
        <w:t xml:space="preserve"> </w:t>
      </w:r>
      <w:r w:rsidRPr="00382917">
        <w:t>spread</w:t>
      </w:r>
      <w:r w:rsidR="00EE4FC3">
        <w:t xml:space="preserve"> </w:t>
      </w:r>
      <w:r w:rsidRPr="00382917">
        <w:t>among</w:t>
      </w:r>
      <w:r w:rsidR="00EE4FC3">
        <w:t xml:space="preserve"> </w:t>
      </w:r>
      <w:r w:rsidRPr="00382917">
        <w:t>the</w:t>
      </w:r>
      <w:r w:rsidR="00EE4FC3">
        <w:t xml:space="preserve"> </w:t>
      </w:r>
      <w:r w:rsidRPr="00382917">
        <w:t>bewildered</w:t>
      </w:r>
      <w:r w:rsidR="00EE4FC3">
        <w:t xml:space="preserve"> </w:t>
      </w:r>
      <w:r w:rsidRPr="00382917">
        <w:t>populace,</w:t>
      </w:r>
      <w:r w:rsidR="00EE4FC3">
        <w:t xml:space="preserve"> </w:t>
      </w:r>
      <w:r w:rsidRPr="00382917">
        <w:t>torn</w:t>
      </w:r>
      <w:r w:rsidR="00EE4FC3">
        <w:t xml:space="preserve"> </w:t>
      </w:r>
      <w:r w:rsidRPr="00382917">
        <w:t>between</w:t>
      </w:r>
      <w:r w:rsidR="00EE4FC3">
        <w:t xml:space="preserve"> </w:t>
      </w:r>
      <w:r w:rsidRPr="00382917">
        <w:t>terror</w:t>
      </w:r>
      <w:r w:rsidR="00EE4FC3">
        <w:t xml:space="preserve"> </w:t>
      </w:r>
      <w:r w:rsidRPr="00382917">
        <w:t>and</w:t>
      </w:r>
      <w:r w:rsidR="00EE4FC3">
        <w:t xml:space="preserve"> </w:t>
      </w:r>
      <w:r w:rsidRPr="00382917">
        <w:t>admiration.</w:t>
      </w:r>
      <w:r w:rsidR="009C713D" w:rsidRPr="00382917">
        <w:t>”</w:t>
      </w:r>
      <w:r w:rsidR="006225E8">
        <w:rPr>
          <w:rStyle w:val="FootnoteReference"/>
        </w:rPr>
        <w:footnoteReference w:id="242"/>
      </w:r>
    </w:p>
    <w:p w:rsidR="00621DD5" w:rsidRPr="00382917" w:rsidRDefault="00621DD5" w:rsidP="006225E8">
      <w:pPr>
        <w:pStyle w:val="Text"/>
      </w:pPr>
      <w:r w:rsidRPr="00382917">
        <w:t>When</w:t>
      </w:r>
      <w:r w:rsidR="00EE4FC3">
        <w:t xml:space="preserve"> </w:t>
      </w:r>
      <w:r w:rsidRPr="00382917">
        <w:t>the</w:t>
      </w:r>
      <w:r w:rsidR="00EE4FC3">
        <w:t xml:space="preserve"> </w:t>
      </w:r>
      <w:r w:rsidRPr="00382917">
        <w:t>news</w:t>
      </w:r>
      <w:r w:rsidR="00EE4FC3">
        <w:t xml:space="preserve"> </w:t>
      </w:r>
      <w:r w:rsidRPr="00382917">
        <w:t>of</w:t>
      </w:r>
      <w:r w:rsidR="00EE4FC3">
        <w:t xml:space="preserve"> </w:t>
      </w:r>
      <w:r w:rsidRPr="00382917">
        <w:t>the</w:t>
      </w:r>
      <w:r w:rsidR="00EE4FC3">
        <w:t xml:space="preserve"> </w:t>
      </w:r>
      <w:r w:rsidRPr="00382917">
        <w:t>death</w:t>
      </w:r>
      <w:r w:rsidR="00EE4FC3">
        <w:t xml:space="preserve"> </w:t>
      </w:r>
      <w:r w:rsidRPr="00382917">
        <w:t>of</w:t>
      </w:r>
      <w:r w:rsidR="00EE4FC3">
        <w:t xml:space="preserve"> </w:t>
      </w:r>
      <w:r w:rsidRPr="00382917">
        <w:t>His</w:t>
      </w:r>
      <w:r w:rsidR="00EE4FC3">
        <w:t xml:space="preserve"> </w:t>
      </w:r>
      <w:r w:rsidRPr="00382917">
        <w:t>beloved</w:t>
      </w:r>
      <w:r w:rsidR="00EE4FC3">
        <w:t xml:space="preserve"> </w:t>
      </w:r>
      <w:r w:rsidRPr="00382917">
        <w:t>uncle</w:t>
      </w:r>
      <w:r w:rsidR="00EE4FC3">
        <w:t xml:space="preserve"> </w:t>
      </w:r>
      <w:r w:rsidRPr="00382917">
        <w:t>reached</w:t>
      </w:r>
      <w:r w:rsidR="00EE4FC3">
        <w:t xml:space="preserve"> </w:t>
      </w:r>
      <w:r w:rsidRPr="00382917">
        <w:t>the</w:t>
      </w:r>
      <w:r w:rsidR="00EE4FC3">
        <w:t xml:space="preserve"> </w:t>
      </w:r>
      <w:r w:rsidRPr="00382917">
        <w:t>Báb,</w:t>
      </w:r>
      <w:r w:rsidR="00EE4FC3">
        <w:t xml:space="preserve"> </w:t>
      </w:r>
      <w:r w:rsidRPr="00382917">
        <w:t>and</w:t>
      </w:r>
      <w:r w:rsidR="00EE4FC3">
        <w:t xml:space="preserve"> </w:t>
      </w:r>
      <w:r w:rsidRPr="00382917">
        <w:t>he</w:t>
      </w:r>
      <w:r w:rsidR="00EE4FC3">
        <w:t xml:space="preserve"> </w:t>
      </w:r>
      <w:r w:rsidRPr="00382917">
        <w:t>heard</w:t>
      </w:r>
      <w:r w:rsidR="00EE4FC3">
        <w:t xml:space="preserve"> </w:t>
      </w:r>
      <w:r w:rsidRPr="00382917">
        <w:t>the</w:t>
      </w:r>
      <w:r w:rsidR="00EE4FC3">
        <w:t xml:space="preserve"> </w:t>
      </w:r>
      <w:r w:rsidRPr="00382917">
        <w:t>moving</w:t>
      </w:r>
      <w:r w:rsidR="00EE4FC3">
        <w:t xml:space="preserve"> </w:t>
      </w:r>
      <w:r w:rsidRPr="00382917">
        <w:t>account</w:t>
      </w:r>
      <w:r w:rsidR="00EE4FC3">
        <w:t xml:space="preserve"> </w:t>
      </w:r>
      <w:r w:rsidRPr="00382917">
        <w:t>of</w:t>
      </w:r>
      <w:r w:rsidR="00EE4FC3">
        <w:t xml:space="preserve"> </w:t>
      </w:r>
      <w:r w:rsidRPr="00382917">
        <w:t>the</w:t>
      </w:r>
      <w:r w:rsidR="00EE4FC3">
        <w:t xml:space="preserve"> </w:t>
      </w:r>
      <w:r w:rsidRPr="00382917">
        <w:t>tragic</w:t>
      </w:r>
      <w:r w:rsidR="00EE4FC3">
        <w:t xml:space="preserve"> </w:t>
      </w:r>
      <w:r w:rsidRPr="00382917">
        <w:t>fate</w:t>
      </w:r>
      <w:r w:rsidR="00EE4FC3">
        <w:t xml:space="preserve"> </w:t>
      </w:r>
      <w:r w:rsidRPr="00382917">
        <w:t>of</w:t>
      </w:r>
      <w:r w:rsidR="00EE4FC3">
        <w:t xml:space="preserve"> </w:t>
      </w:r>
      <w:r w:rsidRPr="00382917">
        <w:t>the</w:t>
      </w:r>
      <w:r w:rsidR="00EE4FC3">
        <w:t xml:space="preserve"> </w:t>
      </w:r>
      <w:r w:rsidR="009C713D" w:rsidRPr="00382917">
        <w:t>“</w:t>
      </w:r>
      <w:r w:rsidRPr="00382917">
        <w:t>seven</w:t>
      </w:r>
      <w:r w:rsidR="00EE4FC3">
        <w:t xml:space="preserve"> </w:t>
      </w:r>
      <w:r w:rsidRPr="00382917">
        <w:t>martyrs</w:t>
      </w:r>
      <w:r w:rsidR="00EE4FC3">
        <w:t xml:space="preserve"> </w:t>
      </w:r>
      <w:r w:rsidRPr="00382917">
        <w:t>of</w:t>
      </w:r>
      <w:r w:rsidR="00EE4FC3">
        <w:t xml:space="preserve"> </w:t>
      </w:r>
      <w:r w:rsidRPr="00382917">
        <w:rPr>
          <w:sz w:val="22"/>
        </w:rPr>
        <w:t>Ṭ</w:t>
      </w:r>
      <w:r w:rsidRPr="00382917">
        <w:t>ihrán</w:t>
      </w:r>
      <w:r w:rsidR="009C713D" w:rsidRPr="00382917">
        <w:t>”</w:t>
      </w:r>
      <w:r w:rsidR="006225E8">
        <w:t>,</w:t>
      </w:r>
      <w:r w:rsidR="00EE4FC3">
        <w:t xml:space="preserve"> </w:t>
      </w:r>
      <w:r w:rsidRPr="00382917">
        <w:t>His</w:t>
      </w:r>
      <w:r w:rsidR="00EE4FC3">
        <w:t xml:space="preserve"> </w:t>
      </w:r>
      <w:r w:rsidRPr="00382917">
        <w:t>heart</w:t>
      </w:r>
      <w:r w:rsidR="00EE4FC3">
        <w:t xml:space="preserve"> </w:t>
      </w:r>
      <w:r w:rsidRPr="00382917">
        <w:t>was</w:t>
      </w:r>
      <w:r w:rsidR="00EE4FC3">
        <w:t xml:space="preserve"> </w:t>
      </w:r>
      <w:r w:rsidRPr="00382917">
        <w:t>plunged</w:t>
      </w:r>
      <w:r w:rsidR="00EE4FC3">
        <w:t xml:space="preserve"> </w:t>
      </w:r>
      <w:r w:rsidRPr="00382917">
        <w:t>in</w:t>
      </w:r>
      <w:r w:rsidR="00EE4FC3">
        <w:t xml:space="preserve"> </w:t>
      </w:r>
      <w:r w:rsidRPr="00382917">
        <w:t>sorrow.</w:t>
      </w:r>
    </w:p>
    <w:p w:rsidR="00621DD5" w:rsidRPr="00382917" w:rsidRDefault="00621DD5" w:rsidP="00621DD5">
      <w:pPr>
        <w:pStyle w:val="Text"/>
      </w:pPr>
      <w:r w:rsidRPr="00382917">
        <w:t>He</w:t>
      </w:r>
      <w:r w:rsidR="00EE4FC3">
        <w:t xml:space="preserve"> </w:t>
      </w:r>
      <w:r w:rsidRPr="00382917">
        <w:t>wrote</w:t>
      </w:r>
      <w:r w:rsidR="00EE4FC3">
        <w:t xml:space="preserve"> </w:t>
      </w:r>
      <w:r w:rsidRPr="00382917">
        <w:t>a</w:t>
      </w:r>
      <w:r w:rsidR="00EE4FC3">
        <w:t xml:space="preserve"> </w:t>
      </w:r>
      <w:r w:rsidRPr="00382917">
        <w:t>special</w:t>
      </w:r>
      <w:r w:rsidR="00EE4FC3">
        <w:t xml:space="preserve"> </w:t>
      </w:r>
      <w:r w:rsidRPr="00382917">
        <w:t>tribute</w:t>
      </w:r>
      <w:r w:rsidR="00EE4FC3">
        <w:t xml:space="preserve"> </w:t>
      </w:r>
      <w:r w:rsidRPr="00382917">
        <w:t>in</w:t>
      </w:r>
      <w:r w:rsidR="00EE4FC3">
        <w:t xml:space="preserve"> </w:t>
      </w:r>
      <w:r w:rsidRPr="00382917">
        <w:t>their</w:t>
      </w:r>
      <w:r w:rsidR="00EE4FC3">
        <w:t xml:space="preserve"> </w:t>
      </w:r>
      <w:proofErr w:type="spellStart"/>
      <w:r w:rsidRPr="00382917">
        <w:t>honor</w:t>
      </w:r>
      <w:proofErr w:type="spellEnd"/>
      <w:r w:rsidR="00EE4FC3">
        <w:t xml:space="preserve"> </w:t>
      </w:r>
      <w:r w:rsidRPr="00382917">
        <w:t>which</w:t>
      </w:r>
      <w:r w:rsidR="00EE4FC3">
        <w:t xml:space="preserve"> </w:t>
      </w:r>
      <w:r w:rsidRPr="00382917">
        <w:t>testified</w:t>
      </w:r>
      <w:r w:rsidR="00EE4FC3">
        <w:t xml:space="preserve"> </w:t>
      </w:r>
      <w:r w:rsidRPr="00382917">
        <w:t>to</w:t>
      </w:r>
      <w:r w:rsidR="00EE4FC3">
        <w:t xml:space="preserve"> </w:t>
      </w:r>
      <w:r w:rsidRPr="00382917">
        <w:t>the</w:t>
      </w:r>
      <w:r w:rsidR="00EE4FC3">
        <w:t xml:space="preserve"> </w:t>
      </w:r>
      <w:r w:rsidRPr="00382917">
        <w:t>exalted</w:t>
      </w:r>
      <w:r w:rsidR="00EE4FC3">
        <w:t xml:space="preserve"> </w:t>
      </w:r>
      <w:r w:rsidRPr="00382917">
        <w:t>position</w:t>
      </w:r>
      <w:r w:rsidR="00EE4FC3">
        <w:t xml:space="preserve"> </w:t>
      </w:r>
      <w:r w:rsidRPr="00382917">
        <w:t>they</w:t>
      </w:r>
      <w:r w:rsidR="00EE4FC3">
        <w:t xml:space="preserve"> </w:t>
      </w:r>
      <w:r w:rsidRPr="00382917">
        <w:t>occupied</w:t>
      </w:r>
      <w:r w:rsidR="00EE4FC3">
        <w:t xml:space="preserve"> </w:t>
      </w:r>
      <w:r w:rsidRPr="00382917">
        <w:t>in</w:t>
      </w:r>
      <w:r w:rsidR="00EE4FC3">
        <w:t xml:space="preserve"> </w:t>
      </w:r>
      <w:r w:rsidRPr="00382917">
        <w:t>His</w:t>
      </w:r>
      <w:r w:rsidR="00EE4FC3">
        <w:t xml:space="preserve"> </w:t>
      </w:r>
      <w:r w:rsidRPr="00382917">
        <w:t>eyes</w:t>
      </w:r>
      <w:r w:rsidR="00330AF7">
        <w:t>.</w:t>
      </w:r>
      <w:r w:rsidR="00EE4FC3">
        <w:t xml:space="preserve">  </w:t>
      </w:r>
      <w:r w:rsidRPr="00382917">
        <w:t>The</w:t>
      </w:r>
      <w:r w:rsidR="00EE4FC3">
        <w:t xml:space="preserve"> </w:t>
      </w:r>
      <w:r w:rsidRPr="00382917">
        <w:t>Báb</w:t>
      </w:r>
      <w:r w:rsidR="00EE4FC3">
        <w:t xml:space="preserve"> </w:t>
      </w:r>
      <w:r w:rsidRPr="00382917">
        <w:t>said</w:t>
      </w:r>
      <w:r w:rsidR="00EE4FC3">
        <w:t xml:space="preserve"> </w:t>
      </w:r>
      <w:r w:rsidRPr="00382917">
        <w:t>that</w:t>
      </w:r>
      <w:r w:rsidR="00EE4FC3">
        <w:t xml:space="preserve"> </w:t>
      </w:r>
      <w:r w:rsidRPr="00382917">
        <w:t>these</w:t>
      </w:r>
      <w:r w:rsidR="00EE4FC3">
        <w:t xml:space="preserve"> </w:t>
      </w:r>
      <w:r w:rsidRPr="00382917">
        <w:t>166</w:t>
      </w:r>
    </w:p>
    <w:p w:rsidR="00621DD5" w:rsidRPr="00382917" w:rsidRDefault="00621DD5">
      <w:pPr>
        <w:widowControl/>
        <w:kinsoku/>
        <w:overflowPunct/>
        <w:textAlignment w:val="auto"/>
      </w:pPr>
      <w:r w:rsidRPr="00382917">
        <w:br w:type="page"/>
      </w:r>
    </w:p>
    <w:p w:rsidR="00E13D49" w:rsidRPr="00382917" w:rsidRDefault="00621DD5" w:rsidP="00715F20">
      <w:pPr>
        <w:pStyle w:val="Textcts"/>
      </w:pPr>
      <w:proofErr w:type="gramStart"/>
      <w:r w:rsidRPr="00382917">
        <w:t>seven</w:t>
      </w:r>
      <w:proofErr w:type="gramEnd"/>
      <w:r w:rsidR="00EE4FC3">
        <w:t xml:space="preserve"> </w:t>
      </w:r>
      <w:r w:rsidRPr="00382917">
        <w:t>heroes</w:t>
      </w:r>
      <w:r w:rsidR="00EE4FC3">
        <w:t xml:space="preserve"> </w:t>
      </w:r>
      <w:r w:rsidRPr="00382917">
        <w:t>were</w:t>
      </w:r>
      <w:r w:rsidR="00EE4FC3">
        <w:t xml:space="preserve"> </w:t>
      </w:r>
      <w:r w:rsidRPr="00382917">
        <w:t>the</w:t>
      </w:r>
      <w:r w:rsidR="00EE4FC3">
        <w:t xml:space="preserve"> </w:t>
      </w:r>
      <w:r w:rsidR="009C713D" w:rsidRPr="00382917">
        <w:t>“</w:t>
      </w:r>
      <w:r w:rsidRPr="00382917">
        <w:t>Seven</w:t>
      </w:r>
      <w:r w:rsidR="00EE4FC3">
        <w:t xml:space="preserve"> </w:t>
      </w:r>
      <w:r w:rsidRPr="00382917">
        <w:t>Goats</w:t>
      </w:r>
      <w:r w:rsidR="009C713D" w:rsidRPr="00382917">
        <w:t>”</w:t>
      </w:r>
      <w:r w:rsidR="00EE4FC3">
        <w:t xml:space="preserve"> </w:t>
      </w:r>
      <w:r w:rsidRPr="00382917">
        <w:t>spoken</w:t>
      </w:r>
      <w:r w:rsidR="00EE4FC3">
        <w:t xml:space="preserve"> </w:t>
      </w:r>
      <w:r w:rsidRPr="00382917">
        <w:t>of</w:t>
      </w:r>
      <w:r w:rsidR="00EE4FC3">
        <w:t xml:space="preserve"> </w:t>
      </w:r>
      <w:r w:rsidRPr="00382917">
        <w:t>in</w:t>
      </w:r>
      <w:r w:rsidR="00EE4FC3">
        <w:t xml:space="preserve"> </w:t>
      </w:r>
      <w:r w:rsidRPr="00382917">
        <w:t>the</w:t>
      </w:r>
      <w:r w:rsidR="00EE4FC3">
        <w:t xml:space="preserve"> </w:t>
      </w:r>
      <w:r w:rsidRPr="00382917">
        <w:t>prophecies</w:t>
      </w:r>
      <w:r w:rsidR="00EE4FC3">
        <w:t xml:space="preserve"> </w:t>
      </w:r>
      <w:r w:rsidRPr="00382917">
        <w:t>of</w:t>
      </w:r>
      <w:r w:rsidR="00EE4FC3">
        <w:t xml:space="preserve"> </w:t>
      </w:r>
      <w:r w:rsidR="0040329F" w:rsidRPr="00382917">
        <w:t>Isl</w:t>
      </w:r>
      <w:r w:rsidR="0040329F" w:rsidRPr="0040329F">
        <w:t>á</w:t>
      </w:r>
      <w:r w:rsidR="0040329F" w:rsidRPr="00382917">
        <w:t>m</w:t>
      </w:r>
      <w:r w:rsidR="00EE4FC3">
        <w:t xml:space="preserve"> </w:t>
      </w:r>
      <w:r w:rsidRPr="00382917">
        <w:t>who</w:t>
      </w:r>
      <w:r w:rsidR="00EE4FC3">
        <w:t xml:space="preserve"> </w:t>
      </w:r>
      <w:r w:rsidRPr="00382917">
        <w:t>on</w:t>
      </w:r>
      <w:r w:rsidR="00EE4FC3">
        <w:t xml:space="preserve"> </w:t>
      </w:r>
      <w:r w:rsidRPr="00382917">
        <w:t>the</w:t>
      </w:r>
      <w:r w:rsidR="00EE4FC3">
        <w:t xml:space="preserve"> </w:t>
      </w:r>
      <w:r w:rsidRPr="00382917">
        <w:t>Day</w:t>
      </w:r>
      <w:r w:rsidR="00EE4FC3">
        <w:t xml:space="preserve"> </w:t>
      </w:r>
      <w:r w:rsidRPr="00382917">
        <w:t>of</w:t>
      </w:r>
      <w:r w:rsidR="00EE4FC3">
        <w:t xml:space="preserve"> </w:t>
      </w:r>
      <w:r w:rsidRPr="00382917">
        <w:t>Judgement</w:t>
      </w:r>
      <w:r w:rsidR="00EE4FC3">
        <w:t xml:space="preserve"> </w:t>
      </w:r>
      <w:r w:rsidRPr="00382917">
        <w:t>would</w:t>
      </w:r>
      <w:r w:rsidR="00EE4FC3">
        <w:t xml:space="preserve"> </w:t>
      </w:r>
      <w:r w:rsidR="009C713D" w:rsidRPr="00382917">
        <w:t>“</w:t>
      </w:r>
      <w:r w:rsidRPr="00382917">
        <w:t>walk</w:t>
      </w:r>
      <w:r w:rsidR="00EE4FC3">
        <w:t xml:space="preserve"> </w:t>
      </w:r>
      <w:r w:rsidRPr="00382917">
        <w:t>in</w:t>
      </w:r>
      <w:r w:rsidR="00EE4FC3">
        <w:t xml:space="preserve"> </w:t>
      </w:r>
      <w:r w:rsidRPr="00382917">
        <w:t>front</w:t>
      </w:r>
      <w:r w:rsidR="00EE4FC3">
        <w:t xml:space="preserve"> </w:t>
      </w:r>
      <w:r w:rsidRPr="00382917">
        <w:t>of</w:t>
      </w:r>
      <w:r w:rsidR="00EE4FC3">
        <w:t xml:space="preserve"> </w:t>
      </w:r>
      <w:r w:rsidRPr="00382917">
        <w:t>the</w:t>
      </w:r>
      <w:r w:rsidR="00EE4FC3">
        <w:t xml:space="preserve"> </w:t>
      </w:r>
      <w:r w:rsidRPr="00382917">
        <w:t>Promised</w:t>
      </w:r>
      <w:r w:rsidR="00EE4FC3">
        <w:t xml:space="preserve"> </w:t>
      </w:r>
      <w:r w:rsidRPr="00382917">
        <w:t>Qá</w:t>
      </w:r>
      <w:r w:rsidR="009C713D" w:rsidRPr="00382917">
        <w:t>’</w:t>
      </w:r>
      <w:r w:rsidRPr="00382917">
        <w:t>im</w:t>
      </w:r>
      <w:r w:rsidR="00EE4FC3">
        <w:t xml:space="preserve"> </w:t>
      </w:r>
      <w:r w:rsidRPr="00382917">
        <w:t>[He</w:t>
      </w:r>
      <w:r w:rsidR="00EE4FC3">
        <w:t xml:space="preserve"> </w:t>
      </w:r>
      <w:r w:rsidRPr="00382917">
        <w:t>who</w:t>
      </w:r>
      <w:r w:rsidR="00EE4FC3">
        <w:t xml:space="preserve"> </w:t>
      </w:r>
      <w:r w:rsidRPr="00382917">
        <w:t>shall</w:t>
      </w:r>
      <w:r w:rsidR="00EE4FC3">
        <w:t xml:space="preserve"> </w:t>
      </w:r>
      <w:r w:rsidRPr="00382917">
        <w:t>arise].</w:t>
      </w:r>
      <w:r w:rsidR="009C713D" w:rsidRPr="00382917">
        <w:t>”</w:t>
      </w:r>
      <w:r w:rsidR="00715F20">
        <w:rPr>
          <w:rStyle w:val="FootnoteReference"/>
        </w:rPr>
        <w:footnoteReference w:id="243"/>
      </w:r>
    </w:p>
    <w:p w:rsidR="00621DD5" w:rsidRPr="00382917" w:rsidRDefault="00621DD5" w:rsidP="00621DD5">
      <w:pPr>
        <w:pStyle w:val="Text"/>
      </w:pPr>
      <w:r w:rsidRPr="00382917">
        <w:t>It</w:t>
      </w:r>
      <w:r w:rsidR="00EE4FC3">
        <w:t xml:space="preserve"> </w:t>
      </w:r>
      <w:r w:rsidRPr="00382917">
        <w:t>was</w:t>
      </w:r>
      <w:r w:rsidR="00EE4FC3">
        <w:t xml:space="preserve"> </w:t>
      </w:r>
      <w:r w:rsidRPr="00382917">
        <w:t>at</w:t>
      </w:r>
      <w:r w:rsidR="00EE4FC3">
        <w:t xml:space="preserve"> </w:t>
      </w:r>
      <w:r w:rsidRPr="00382917">
        <w:t>this</w:t>
      </w:r>
      <w:r w:rsidR="00EE4FC3">
        <w:t xml:space="preserve"> </w:t>
      </w:r>
      <w:r w:rsidRPr="00382917">
        <w:t>moment</w:t>
      </w:r>
      <w:r w:rsidR="00EE4FC3">
        <w:t xml:space="preserve"> </w:t>
      </w:r>
      <w:r w:rsidRPr="00382917">
        <w:t>that</w:t>
      </w:r>
      <w:r w:rsidR="00EE4FC3">
        <w:t xml:space="preserve"> </w:t>
      </w:r>
      <w:r w:rsidRPr="00382917">
        <w:t>the</w:t>
      </w:r>
      <w:r w:rsidR="00EE4FC3">
        <w:t xml:space="preserve"> </w:t>
      </w:r>
      <w:r w:rsidRPr="00382917">
        <w:t>Prime</w:t>
      </w:r>
      <w:r w:rsidR="00EE4FC3">
        <w:t xml:space="preserve"> </w:t>
      </w:r>
      <w:r w:rsidRPr="00382917">
        <w:t>Minister,</w:t>
      </w:r>
      <w:r w:rsidR="00EE4FC3">
        <w:t xml:space="preserve"> </w:t>
      </w:r>
      <w:r w:rsidRPr="00382917">
        <w:t>Mírzá</w:t>
      </w:r>
      <w:r w:rsidR="00EE4FC3">
        <w:t xml:space="preserve"> </w:t>
      </w:r>
      <w:r w:rsidRPr="00382917">
        <w:t>Taqí</w:t>
      </w:r>
      <w:r w:rsidR="00EE4FC3">
        <w:t xml:space="preserve"> </w:t>
      </w:r>
      <w:r w:rsidR="0040329F" w:rsidRPr="0040329F">
        <w:rPr>
          <w:u w:val="single"/>
        </w:rPr>
        <w:t>Kh</w:t>
      </w:r>
      <w:r w:rsidR="0040329F" w:rsidRPr="00382917">
        <w:t>án</w:t>
      </w:r>
      <w:r w:rsidRPr="00382917">
        <w:t>,</w:t>
      </w:r>
      <w:r w:rsidR="00EE4FC3">
        <w:t xml:space="preserve"> </w:t>
      </w:r>
      <w:r w:rsidRPr="00382917">
        <w:t>issued</w:t>
      </w:r>
      <w:r w:rsidR="00EE4FC3">
        <w:t xml:space="preserve"> </w:t>
      </w:r>
      <w:r w:rsidRPr="00382917">
        <w:t>the</w:t>
      </w:r>
      <w:r w:rsidR="00EE4FC3">
        <w:t xml:space="preserve"> </w:t>
      </w:r>
      <w:r w:rsidRPr="00382917">
        <w:t>command</w:t>
      </w:r>
      <w:r w:rsidR="00EE4FC3">
        <w:t xml:space="preserve"> </w:t>
      </w:r>
      <w:r w:rsidRPr="00382917">
        <w:t>that</w:t>
      </w:r>
      <w:r w:rsidR="00EE4FC3">
        <w:t xml:space="preserve"> </w:t>
      </w:r>
      <w:r w:rsidRPr="00382917">
        <w:t>brought</w:t>
      </w:r>
      <w:r w:rsidR="00EE4FC3">
        <w:t xml:space="preserve"> </w:t>
      </w:r>
      <w:r w:rsidRPr="00382917">
        <w:t>the</w:t>
      </w:r>
      <w:r w:rsidR="00EE4FC3">
        <w:t xml:space="preserve"> </w:t>
      </w:r>
      <w:r w:rsidRPr="00382917">
        <w:t>Báb</w:t>
      </w:r>
      <w:r w:rsidR="00EE4FC3">
        <w:t xml:space="preserve"> </w:t>
      </w:r>
      <w:r w:rsidRPr="00382917">
        <w:t>out</w:t>
      </w:r>
      <w:r w:rsidR="00EE4FC3">
        <w:t xml:space="preserve"> </w:t>
      </w:r>
      <w:r w:rsidRPr="00382917">
        <w:t>of</w:t>
      </w:r>
      <w:r w:rsidR="00EE4FC3">
        <w:t xml:space="preserve"> </w:t>
      </w:r>
      <w:r w:rsidRPr="00382917">
        <w:t>His</w:t>
      </w:r>
      <w:r w:rsidR="00EE4FC3">
        <w:t xml:space="preserve"> </w:t>
      </w:r>
      <w:r w:rsidRPr="00382917">
        <w:t>prison-cell</w:t>
      </w:r>
      <w:r w:rsidR="00EE4FC3">
        <w:t xml:space="preserve"> </w:t>
      </w:r>
      <w:r w:rsidRPr="00382917">
        <w:t>in</w:t>
      </w:r>
      <w:r w:rsidR="00EE4FC3">
        <w:t xml:space="preserve"> </w:t>
      </w:r>
      <w:r w:rsidR="001713B3" w:rsidRPr="001713B3">
        <w:rPr>
          <w:u w:val="single"/>
        </w:rPr>
        <w:t>Ch</w:t>
      </w:r>
      <w:r w:rsidR="001713B3" w:rsidRPr="00382917">
        <w:t>ihríq</w:t>
      </w:r>
      <w:r w:rsidR="00330AF7">
        <w:t>.</w:t>
      </w:r>
      <w:r w:rsidR="00EE4FC3">
        <w:t xml:space="preserve">  </w:t>
      </w:r>
      <w:r w:rsidRPr="00382917">
        <w:t>The</w:t>
      </w:r>
      <w:r w:rsidR="00EE4FC3">
        <w:t xml:space="preserve"> </w:t>
      </w:r>
      <w:r w:rsidRPr="00382917">
        <w:t>Prime</w:t>
      </w:r>
      <w:r w:rsidR="00EE4FC3">
        <w:t xml:space="preserve"> </w:t>
      </w:r>
      <w:r w:rsidRPr="00382917">
        <w:t>Minister</w:t>
      </w:r>
      <w:r w:rsidR="00EE4FC3">
        <w:t xml:space="preserve"> </w:t>
      </w:r>
      <w:r w:rsidRPr="00382917">
        <w:t>had</w:t>
      </w:r>
      <w:r w:rsidR="00EE4FC3">
        <w:t xml:space="preserve"> </w:t>
      </w:r>
      <w:r w:rsidRPr="00382917">
        <w:t>at</w:t>
      </w:r>
      <w:r w:rsidR="00EE4FC3">
        <w:t xml:space="preserve"> </w:t>
      </w:r>
      <w:r w:rsidRPr="00382917">
        <w:t>last</w:t>
      </w:r>
      <w:r w:rsidR="00EE4FC3">
        <w:t xml:space="preserve"> </w:t>
      </w:r>
      <w:r w:rsidRPr="00382917">
        <w:t>decided</w:t>
      </w:r>
      <w:r w:rsidR="00EE4FC3">
        <w:t xml:space="preserve"> </w:t>
      </w:r>
      <w:r w:rsidRPr="00382917">
        <w:t>to</w:t>
      </w:r>
      <w:r w:rsidR="00EE4FC3">
        <w:t xml:space="preserve"> </w:t>
      </w:r>
      <w:r w:rsidRPr="00382917">
        <w:t>strike</w:t>
      </w:r>
      <w:r w:rsidR="00EE4FC3">
        <w:t xml:space="preserve"> </w:t>
      </w:r>
      <w:r w:rsidRPr="00382917">
        <w:t>at</w:t>
      </w:r>
      <w:r w:rsidR="00EE4FC3">
        <w:t xml:space="preserve"> </w:t>
      </w:r>
      <w:r w:rsidRPr="00382917">
        <w:t>the</w:t>
      </w:r>
      <w:r w:rsidR="00EE4FC3">
        <w:t xml:space="preserve"> </w:t>
      </w:r>
      <w:r w:rsidRPr="00382917">
        <w:t>very</w:t>
      </w:r>
      <w:r w:rsidR="00EE4FC3">
        <w:t xml:space="preserve"> </w:t>
      </w:r>
      <w:r w:rsidRPr="00382917">
        <w:t>head</w:t>
      </w:r>
      <w:r w:rsidR="00EE4FC3">
        <w:t xml:space="preserve"> </w:t>
      </w:r>
      <w:r w:rsidRPr="00382917">
        <w:t>of</w:t>
      </w:r>
      <w:r w:rsidR="00EE4FC3">
        <w:t xml:space="preserve"> </w:t>
      </w:r>
      <w:r w:rsidRPr="00382917">
        <w:t>the</w:t>
      </w:r>
      <w:r w:rsidR="00EE4FC3">
        <w:t xml:space="preserve"> </w:t>
      </w:r>
      <w:r w:rsidRPr="00382917">
        <w:t>Faith</w:t>
      </w:r>
      <w:r w:rsidR="00330AF7">
        <w:t>.</w:t>
      </w:r>
      <w:r w:rsidR="00EE4FC3">
        <w:t xml:space="preserve">  </w:t>
      </w:r>
      <w:r w:rsidRPr="00382917">
        <w:t>The</w:t>
      </w:r>
      <w:r w:rsidR="00EE4FC3">
        <w:t xml:space="preserve"> </w:t>
      </w:r>
      <w:r w:rsidRPr="00382917">
        <w:t>forces</w:t>
      </w:r>
      <w:r w:rsidR="00EE4FC3">
        <w:t xml:space="preserve"> </w:t>
      </w:r>
      <w:r w:rsidRPr="00382917">
        <w:t>of</w:t>
      </w:r>
      <w:r w:rsidR="00EE4FC3">
        <w:t xml:space="preserve"> </w:t>
      </w:r>
      <w:r w:rsidRPr="00382917">
        <w:t>the</w:t>
      </w:r>
      <w:r w:rsidR="00EE4FC3">
        <w:t xml:space="preserve"> </w:t>
      </w:r>
      <w:r w:rsidR="004F6339" w:rsidRPr="004F6339">
        <w:rPr>
          <w:u w:val="single"/>
        </w:rPr>
        <w:t>Sh</w:t>
      </w:r>
      <w:r w:rsidR="004F6339" w:rsidRPr="00382917">
        <w:t>áh</w:t>
      </w:r>
      <w:r w:rsidR="00EE4FC3">
        <w:t xml:space="preserve"> </w:t>
      </w:r>
      <w:r w:rsidRPr="00382917">
        <w:t>and</w:t>
      </w:r>
      <w:r w:rsidR="00EE4FC3">
        <w:t xml:space="preserve"> </w:t>
      </w:r>
      <w:r w:rsidRPr="00382917">
        <w:t>the</w:t>
      </w:r>
      <w:r w:rsidR="00EE4FC3">
        <w:t xml:space="preserve"> </w:t>
      </w:r>
      <w:r w:rsidRPr="00382917">
        <w:t>members</w:t>
      </w:r>
      <w:r w:rsidR="00EE4FC3">
        <w:t xml:space="preserve"> </w:t>
      </w:r>
      <w:r w:rsidRPr="00382917">
        <w:t>of</w:t>
      </w:r>
      <w:r w:rsidR="00EE4FC3">
        <w:t xml:space="preserve"> </w:t>
      </w:r>
      <w:r w:rsidRPr="00382917">
        <w:t>the</w:t>
      </w:r>
      <w:r w:rsidR="00EE4FC3">
        <w:t xml:space="preserve"> </w:t>
      </w:r>
      <w:r w:rsidRPr="00382917">
        <w:t>clergy</w:t>
      </w:r>
      <w:r w:rsidR="00EE4FC3">
        <w:t xml:space="preserve"> </w:t>
      </w:r>
      <w:r w:rsidRPr="00382917">
        <w:t>were</w:t>
      </w:r>
      <w:r w:rsidR="00EE4FC3">
        <w:t xml:space="preserve"> </w:t>
      </w:r>
      <w:r w:rsidRPr="00382917">
        <w:t>suffering</w:t>
      </w:r>
      <w:r w:rsidR="00EE4FC3">
        <w:t xml:space="preserve"> </w:t>
      </w:r>
      <w:r w:rsidRPr="00382917">
        <w:t>humiliating</w:t>
      </w:r>
      <w:r w:rsidR="00EE4FC3">
        <w:t xml:space="preserve"> </w:t>
      </w:r>
      <w:r w:rsidRPr="00382917">
        <w:t>defeats</w:t>
      </w:r>
      <w:r w:rsidR="00EE4FC3">
        <w:t xml:space="preserve"> </w:t>
      </w:r>
      <w:r w:rsidRPr="00382917">
        <w:t>all</w:t>
      </w:r>
      <w:r w:rsidR="00EE4FC3">
        <w:t xml:space="preserve"> </w:t>
      </w:r>
      <w:r w:rsidRPr="00382917">
        <w:t>across</w:t>
      </w:r>
      <w:r w:rsidR="00EE4FC3">
        <w:t xml:space="preserve"> </w:t>
      </w:r>
      <w:r w:rsidRPr="00382917">
        <w:t>the</w:t>
      </w:r>
      <w:r w:rsidR="00EE4FC3">
        <w:t xml:space="preserve"> </w:t>
      </w:r>
      <w:r w:rsidRPr="00382917">
        <w:t>land</w:t>
      </w:r>
      <w:r w:rsidR="00330AF7">
        <w:t>.</w:t>
      </w:r>
      <w:r w:rsidR="00EE4FC3">
        <w:t xml:space="preserve">  </w:t>
      </w:r>
      <w:r w:rsidRPr="00382917">
        <w:t>Remove</w:t>
      </w:r>
      <w:r w:rsidR="00EE4FC3">
        <w:t xml:space="preserve"> </w:t>
      </w:r>
      <w:r w:rsidRPr="00382917">
        <w:t>the</w:t>
      </w:r>
      <w:r w:rsidR="00EE4FC3">
        <w:t xml:space="preserve"> </w:t>
      </w:r>
      <w:r w:rsidRPr="00382917">
        <w:t>Báb,</w:t>
      </w:r>
      <w:r w:rsidR="00EE4FC3">
        <w:t xml:space="preserve"> </w:t>
      </w:r>
      <w:r w:rsidRPr="00382917">
        <w:t>the</w:t>
      </w:r>
      <w:r w:rsidR="00EE4FC3">
        <w:t xml:space="preserve"> </w:t>
      </w:r>
      <w:r w:rsidRPr="00382917">
        <w:t>Prime</w:t>
      </w:r>
      <w:r w:rsidR="00EE4FC3">
        <w:t xml:space="preserve"> </w:t>
      </w:r>
      <w:r w:rsidRPr="00382917">
        <w:t>Minister</w:t>
      </w:r>
      <w:r w:rsidR="00EE4FC3">
        <w:t xml:space="preserve"> </w:t>
      </w:r>
      <w:r w:rsidRPr="00382917">
        <w:t>told</w:t>
      </w:r>
      <w:r w:rsidR="00EE4FC3">
        <w:t xml:space="preserve"> </w:t>
      </w:r>
      <w:r w:rsidRPr="00382917">
        <w:t>himself,</w:t>
      </w:r>
      <w:r w:rsidR="00EE4FC3">
        <w:t xml:space="preserve"> </w:t>
      </w:r>
      <w:r w:rsidRPr="00382917">
        <w:t>and</w:t>
      </w:r>
      <w:r w:rsidR="00EE4FC3">
        <w:t xml:space="preserve"> </w:t>
      </w:r>
      <w:r w:rsidRPr="00382917">
        <w:t>the</w:t>
      </w:r>
      <w:r w:rsidR="00EE4FC3">
        <w:t xml:space="preserve"> </w:t>
      </w:r>
      <w:r w:rsidRPr="00382917">
        <w:t>old</w:t>
      </w:r>
      <w:r w:rsidR="00EE4FC3">
        <w:t xml:space="preserve"> </w:t>
      </w:r>
      <w:r w:rsidRPr="00382917">
        <w:t>order</w:t>
      </w:r>
      <w:r w:rsidR="00EE4FC3">
        <w:t xml:space="preserve"> </w:t>
      </w:r>
      <w:r w:rsidRPr="00382917">
        <w:t>could</w:t>
      </w:r>
      <w:r w:rsidR="00EE4FC3">
        <w:t xml:space="preserve"> </w:t>
      </w:r>
      <w:r w:rsidRPr="00382917">
        <w:t>be</w:t>
      </w:r>
      <w:r w:rsidR="00EE4FC3">
        <w:t xml:space="preserve"> </w:t>
      </w:r>
      <w:r w:rsidRPr="00382917">
        <w:t>restored</w:t>
      </w:r>
      <w:r w:rsidR="00330AF7">
        <w:t>.</w:t>
      </w:r>
      <w:r w:rsidR="00EE4FC3">
        <w:t xml:space="preserve">  </w:t>
      </w:r>
      <w:r w:rsidRPr="00382917">
        <w:t>He</w:t>
      </w:r>
      <w:r w:rsidR="00EE4FC3">
        <w:t xml:space="preserve"> </w:t>
      </w:r>
      <w:r w:rsidRPr="00382917">
        <w:t>called</w:t>
      </w:r>
      <w:r w:rsidR="00EE4FC3">
        <w:t xml:space="preserve"> </w:t>
      </w:r>
      <w:r w:rsidRPr="00382917">
        <w:t>his</w:t>
      </w:r>
      <w:r w:rsidR="00EE4FC3">
        <w:t xml:space="preserve"> </w:t>
      </w:r>
      <w:r w:rsidRPr="00382917">
        <w:t>counsellors</w:t>
      </w:r>
      <w:r w:rsidR="00EE4FC3">
        <w:t xml:space="preserve"> </w:t>
      </w:r>
      <w:r w:rsidRPr="00382917">
        <w:t>together</w:t>
      </w:r>
      <w:r w:rsidR="00EE4FC3">
        <w:t xml:space="preserve"> </w:t>
      </w:r>
      <w:r w:rsidRPr="00382917">
        <w:t>and</w:t>
      </w:r>
      <w:r w:rsidR="00EE4FC3">
        <w:t xml:space="preserve"> </w:t>
      </w:r>
      <w:r w:rsidRPr="00382917">
        <w:t>unfolded</w:t>
      </w:r>
      <w:r w:rsidR="00EE4FC3">
        <w:t xml:space="preserve"> </w:t>
      </w:r>
      <w:r w:rsidRPr="00382917">
        <w:t>to</w:t>
      </w:r>
      <w:r w:rsidR="00EE4FC3">
        <w:t xml:space="preserve"> </w:t>
      </w:r>
      <w:r w:rsidRPr="00382917">
        <w:t>them</w:t>
      </w:r>
      <w:r w:rsidR="00EE4FC3">
        <w:t xml:space="preserve"> </w:t>
      </w:r>
      <w:r w:rsidRPr="00382917">
        <w:t>his</w:t>
      </w:r>
      <w:r w:rsidR="00EE4FC3">
        <w:t xml:space="preserve"> </w:t>
      </w:r>
      <w:r w:rsidRPr="00382917">
        <w:t>plan.</w:t>
      </w:r>
    </w:p>
    <w:p w:rsidR="00E13D49" w:rsidRPr="00382917" w:rsidRDefault="00621DD5" w:rsidP="003C712C">
      <w:pPr>
        <w:pStyle w:val="Text"/>
      </w:pPr>
      <w:r w:rsidRPr="00382917">
        <w:t>This</w:t>
      </w:r>
      <w:r w:rsidR="00EE4FC3">
        <w:t xml:space="preserve"> </w:t>
      </w:r>
      <w:r w:rsidRPr="00382917">
        <w:t>was</w:t>
      </w:r>
      <w:r w:rsidR="00EE4FC3">
        <w:t xml:space="preserve"> </w:t>
      </w:r>
      <w:r w:rsidRPr="00382917">
        <w:t>a</w:t>
      </w:r>
      <w:r w:rsidR="00EE4FC3">
        <w:t xml:space="preserve"> </w:t>
      </w:r>
      <w:r w:rsidRPr="00382917">
        <w:t>drastic</w:t>
      </w:r>
      <w:r w:rsidR="00EE4FC3">
        <w:t xml:space="preserve"> </w:t>
      </w:r>
      <w:r w:rsidRPr="00382917">
        <w:t>change</w:t>
      </w:r>
      <w:r w:rsidR="00EE4FC3">
        <w:t xml:space="preserve"> </w:t>
      </w:r>
      <w:r w:rsidRPr="00382917">
        <w:t>from</w:t>
      </w:r>
      <w:r w:rsidR="00EE4FC3">
        <w:t xml:space="preserve"> </w:t>
      </w:r>
      <w:r w:rsidRPr="00382917">
        <w:t>the</w:t>
      </w:r>
      <w:r w:rsidR="00EE4FC3">
        <w:t xml:space="preserve"> </w:t>
      </w:r>
      <w:r w:rsidRPr="00382917">
        <w:t>Prime</w:t>
      </w:r>
      <w:r w:rsidR="00EE4FC3">
        <w:t xml:space="preserve"> </w:t>
      </w:r>
      <w:r w:rsidRPr="00382917">
        <w:t>Minister</w:t>
      </w:r>
      <w:r w:rsidR="009C713D" w:rsidRPr="00382917">
        <w:t>’</w:t>
      </w:r>
      <w:r w:rsidRPr="00382917">
        <w:t>s</w:t>
      </w:r>
      <w:r w:rsidR="00EE4FC3">
        <w:t xml:space="preserve"> </w:t>
      </w:r>
      <w:r w:rsidRPr="00382917">
        <w:t>original</w:t>
      </w:r>
      <w:r w:rsidR="00EE4FC3">
        <w:t xml:space="preserve"> </w:t>
      </w:r>
      <w:r w:rsidRPr="00382917">
        <w:t>plan</w:t>
      </w:r>
      <w:r w:rsidR="00330AF7">
        <w:t>.</w:t>
      </w:r>
      <w:r w:rsidR="00EE4FC3">
        <w:t xml:space="preserve">  </w:t>
      </w:r>
      <w:r w:rsidRPr="00382917">
        <w:t>Up</w:t>
      </w:r>
      <w:r w:rsidR="00EE4FC3">
        <w:t xml:space="preserve"> </w:t>
      </w:r>
      <w:r w:rsidRPr="00382917">
        <w:t>to</w:t>
      </w:r>
      <w:r w:rsidR="00EE4FC3">
        <w:t xml:space="preserve"> </w:t>
      </w:r>
      <w:r w:rsidRPr="00382917">
        <w:t>now,</w:t>
      </w:r>
      <w:r w:rsidR="00EE4FC3">
        <w:t xml:space="preserve"> </w:t>
      </w:r>
      <w:r w:rsidRPr="00382917">
        <w:t>Mírzá</w:t>
      </w:r>
      <w:r w:rsidR="00EE4FC3">
        <w:t xml:space="preserve"> </w:t>
      </w:r>
      <w:r w:rsidRPr="00382917">
        <w:t>Taq</w:t>
      </w:r>
      <w:r w:rsidR="003C712C" w:rsidRPr="003C712C">
        <w:t>í</w:t>
      </w:r>
      <w:r w:rsidR="00EE4FC3">
        <w:t xml:space="preserve"> </w:t>
      </w:r>
      <w:r w:rsidR="0040329F" w:rsidRPr="0040329F">
        <w:rPr>
          <w:u w:val="single"/>
        </w:rPr>
        <w:t>Kh</w:t>
      </w:r>
      <w:r w:rsidR="0040329F" w:rsidRPr="00382917">
        <w:t>án</w:t>
      </w:r>
      <w:r w:rsidR="00EE4FC3">
        <w:t xml:space="preserve"> </w:t>
      </w:r>
      <w:r w:rsidRPr="00382917">
        <w:t>had</w:t>
      </w:r>
      <w:r w:rsidR="00EE4FC3">
        <w:t xml:space="preserve"> </w:t>
      </w:r>
      <w:r w:rsidRPr="00382917">
        <w:t>felt</w:t>
      </w:r>
      <w:r w:rsidR="00EE4FC3">
        <w:t xml:space="preserve"> </w:t>
      </w:r>
      <w:r w:rsidRPr="00382917">
        <w:t>that</w:t>
      </w:r>
      <w:r w:rsidR="00EE4FC3">
        <w:t xml:space="preserve"> </w:t>
      </w:r>
      <w:r w:rsidRPr="00382917">
        <w:t>the</w:t>
      </w:r>
      <w:r w:rsidR="00EE4FC3">
        <w:t xml:space="preserve"> </w:t>
      </w:r>
      <w:r w:rsidRPr="00382917">
        <w:t>most</w:t>
      </w:r>
      <w:r w:rsidR="00EE4FC3">
        <w:t xml:space="preserve"> </w:t>
      </w:r>
      <w:r w:rsidRPr="00382917">
        <w:t>effective</w:t>
      </w:r>
      <w:r w:rsidR="00EE4FC3">
        <w:t xml:space="preserve"> </w:t>
      </w:r>
      <w:r w:rsidRPr="00382917">
        <w:t>way</w:t>
      </w:r>
      <w:r w:rsidR="00EE4FC3">
        <w:t xml:space="preserve"> </w:t>
      </w:r>
      <w:r w:rsidRPr="00382917">
        <w:t>of</w:t>
      </w:r>
      <w:r w:rsidR="00EE4FC3">
        <w:t xml:space="preserve"> </w:t>
      </w:r>
      <w:r w:rsidRPr="00382917">
        <w:t>destroying</w:t>
      </w:r>
      <w:r w:rsidR="00EE4FC3">
        <w:t xml:space="preserve"> </w:t>
      </w:r>
      <w:r w:rsidRPr="00382917">
        <w:t>the</w:t>
      </w:r>
      <w:r w:rsidR="00EE4FC3">
        <w:t xml:space="preserve"> </w:t>
      </w:r>
      <w:r w:rsidRPr="00382917">
        <w:t>Báb</w:t>
      </w:r>
      <w:r w:rsidR="009C713D" w:rsidRPr="00382917">
        <w:t>’</w:t>
      </w:r>
      <w:r w:rsidRPr="00382917">
        <w:t>s</w:t>
      </w:r>
      <w:r w:rsidR="00EE4FC3">
        <w:t xml:space="preserve"> </w:t>
      </w:r>
      <w:r w:rsidRPr="00382917">
        <w:t>influence</w:t>
      </w:r>
      <w:r w:rsidR="00EE4FC3">
        <w:t xml:space="preserve"> </w:t>
      </w:r>
      <w:r w:rsidRPr="00382917">
        <w:t>would</w:t>
      </w:r>
      <w:r w:rsidR="00EE4FC3">
        <w:t xml:space="preserve"> </w:t>
      </w:r>
      <w:r w:rsidRPr="00382917">
        <w:t>be</w:t>
      </w:r>
      <w:r w:rsidR="00EE4FC3">
        <w:t xml:space="preserve"> </w:t>
      </w:r>
      <w:r w:rsidRPr="00382917">
        <w:t>to</w:t>
      </w:r>
      <w:r w:rsidR="00EE4FC3">
        <w:t xml:space="preserve"> </w:t>
      </w:r>
      <w:r w:rsidRPr="00382917">
        <w:t>ruin</w:t>
      </w:r>
      <w:r w:rsidR="00EE4FC3">
        <w:t xml:space="preserve"> </w:t>
      </w:r>
      <w:r w:rsidRPr="00382917">
        <w:t>him</w:t>
      </w:r>
      <w:r w:rsidR="00EE4FC3">
        <w:t xml:space="preserve"> </w:t>
      </w:r>
      <w:r w:rsidRPr="00382917">
        <w:t>morally</w:t>
      </w:r>
      <w:r w:rsidR="00EE4FC3">
        <w:t xml:space="preserve"> </w:t>
      </w:r>
      <w:r w:rsidR="009C713D" w:rsidRPr="00382917">
        <w:t>“</w:t>
      </w:r>
      <w:r w:rsidRPr="00382917">
        <w:t>to</w:t>
      </w:r>
      <w:r w:rsidR="00EE4FC3">
        <w:t xml:space="preserve"> </w:t>
      </w:r>
      <w:r w:rsidRPr="00382917">
        <w:t>bring</w:t>
      </w:r>
      <w:r w:rsidR="00EE4FC3">
        <w:t xml:space="preserve"> </w:t>
      </w:r>
      <w:r w:rsidRPr="00382917">
        <w:t>him</w:t>
      </w:r>
      <w:r w:rsidR="00EE4FC3">
        <w:t xml:space="preserve"> </w:t>
      </w:r>
      <w:r w:rsidRPr="00382917">
        <w:t>out</w:t>
      </w:r>
      <w:r w:rsidR="00EE4FC3">
        <w:t xml:space="preserve"> </w:t>
      </w:r>
      <w:r w:rsidRPr="00382917">
        <w:t>of</w:t>
      </w:r>
      <w:r w:rsidR="00EE4FC3">
        <w:t xml:space="preserve"> </w:t>
      </w:r>
      <w:r w:rsidRPr="00382917">
        <w:t>his</w:t>
      </w:r>
      <w:r w:rsidR="00EE4FC3">
        <w:t xml:space="preserve"> </w:t>
      </w:r>
      <w:r w:rsidRPr="00382917">
        <w:t>retreat</w:t>
      </w:r>
      <w:r w:rsidR="00EE4FC3">
        <w:t xml:space="preserve"> </w:t>
      </w:r>
      <w:r w:rsidRPr="00382917">
        <w:t>in</w:t>
      </w:r>
      <w:r w:rsidR="00EE4FC3">
        <w:t xml:space="preserve"> </w:t>
      </w:r>
      <w:r w:rsidR="001713B3" w:rsidRPr="001713B3">
        <w:rPr>
          <w:u w:val="single"/>
        </w:rPr>
        <w:t>Ch</w:t>
      </w:r>
      <w:r w:rsidR="001713B3" w:rsidRPr="00382917">
        <w:t>ihríq</w:t>
      </w:r>
      <w:r w:rsidR="00EE4FC3">
        <w:t xml:space="preserve"> </w:t>
      </w:r>
      <w:r w:rsidRPr="00382917">
        <w:t>where</w:t>
      </w:r>
      <w:r w:rsidR="00EE4FC3">
        <w:t xml:space="preserve"> </w:t>
      </w:r>
      <w:r w:rsidRPr="00382917">
        <w:t>a</w:t>
      </w:r>
      <w:r w:rsidR="00EE4FC3">
        <w:t xml:space="preserve"> </w:t>
      </w:r>
      <w:r w:rsidRPr="00382917">
        <w:t>halo</w:t>
      </w:r>
      <w:r w:rsidR="00EE4FC3">
        <w:t xml:space="preserve"> </w:t>
      </w:r>
      <w:r w:rsidRPr="00382917">
        <w:t>of</w:t>
      </w:r>
      <w:r w:rsidR="00EE4FC3">
        <w:t xml:space="preserve"> </w:t>
      </w:r>
      <w:r w:rsidRPr="00382917">
        <w:t>suffering,</w:t>
      </w:r>
      <w:r w:rsidR="00EE4FC3">
        <w:t xml:space="preserve"> </w:t>
      </w:r>
      <w:r w:rsidRPr="00382917">
        <w:t>holiness,</w:t>
      </w:r>
      <w:r w:rsidR="00EE4FC3">
        <w:t xml:space="preserve"> </w:t>
      </w:r>
      <w:r w:rsidRPr="00382917">
        <w:t>science</w:t>
      </w:r>
      <w:r w:rsidR="00EE4FC3">
        <w:t xml:space="preserve"> </w:t>
      </w:r>
      <w:r w:rsidRPr="00382917">
        <w:t>and</w:t>
      </w:r>
      <w:r w:rsidR="00EE4FC3">
        <w:t xml:space="preserve"> </w:t>
      </w:r>
      <w:r w:rsidRPr="00382917">
        <w:t>eloquence</w:t>
      </w:r>
      <w:r w:rsidR="00EE4FC3">
        <w:t xml:space="preserve"> </w:t>
      </w:r>
      <w:r w:rsidRPr="00382917">
        <w:t>made</w:t>
      </w:r>
      <w:r w:rsidR="00EE4FC3">
        <w:t xml:space="preserve"> </w:t>
      </w:r>
      <w:r w:rsidRPr="00382917">
        <w:t>him</w:t>
      </w:r>
      <w:r w:rsidR="00EE4FC3">
        <w:t xml:space="preserve"> </w:t>
      </w:r>
      <w:r w:rsidRPr="00382917">
        <w:t>radiate</w:t>
      </w:r>
      <w:r w:rsidR="00EE4FC3">
        <w:t xml:space="preserve"> </w:t>
      </w:r>
      <w:r w:rsidRPr="00382917">
        <w:t>like</w:t>
      </w:r>
      <w:r w:rsidR="00EE4FC3">
        <w:t xml:space="preserve"> </w:t>
      </w:r>
      <w:r w:rsidRPr="00382917">
        <w:t>a</w:t>
      </w:r>
      <w:r w:rsidR="00EE4FC3">
        <w:t xml:space="preserve"> </w:t>
      </w:r>
      <w:r w:rsidRPr="00382917">
        <w:t>sun;</w:t>
      </w:r>
      <w:r w:rsidR="00EE4FC3">
        <w:t xml:space="preserve"> </w:t>
      </w:r>
      <w:r w:rsidRPr="00382917">
        <w:t>to</w:t>
      </w:r>
      <w:r w:rsidR="00EE4FC3">
        <w:t xml:space="preserve"> </w:t>
      </w:r>
      <w:r w:rsidRPr="00382917">
        <w:t>show</w:t>
      </w:r>
      <w:r w:rsidR="00EE4FC3">
        <w:t xml:space="preserve"> </w:t>
      </w:r>
      <w:r w:rsidRPr="00382917">
        <w:t>him</w:t>
      </w:r>
      <w:r w:rsidR="00EE4FC3">
        <w:t xml:space="preserve"> </w:t>
      </w:r>
      <w:r w:rsidRPr="00382917">
        <w:t>to</w:t>
      </w:r>
      <w:r w:rsidR="00EE4FC3">
        <w:t xml:space="preserve"> </w:t>
      </w:r>
      <w:r w:rsidRPr="00382917">
        <w:t>the</w:t>
      </w:r>
      <w:r w:rsidR="00EE4FC3">
        <w:t xml:space="preserve"> </w:t>
      </w:r>
      <w:r w:rsidRPr="00382917">
        <w:t>people</w:t>
      </w:r>
      <w:r w:rsidR="00EE4FC3">
        <w:t xml:space="preserve"> </w:t>
      </w:r>
      <w:r w:rsidRPr="00382917">
        <w:t>just</w:t>
      </w:r>
      <w:r w:rsidR="00EE4FC3">
        <w:t xml:space="preserve"> </w:t>
      </w:r>
      <w:r w:rsidRPr="00382917">
        <w:t>as</w:t>
      </w:r>
      <w:r w:rsidR="00EE4FC3">
        <w:t xml:space="preserve"> </w:t>
      </w:r>
      <w:r w:rsidRPr="00382917">
        <w:t>he</w:t>
      </w:r>
      <w:r w:rsidR="00EE4FC3">
        <w:t xml:space="preserve"> </w:t>
      </w:r>
      <w:r w:rsidRPr="00382917">
        <w:t>was</w:t>
      </w:r>
      <w:r w:rsidR="00EE4FC3">
        <w:t xml:space="preserve"> </w:t>
      </w:r>
      <w:r w:rsidR="00F04416" w:rsidRPr="00382917">
        <w:t>…</w:t>
      </w:r>
      <w:r w:rsidR="00EE4FC3">
        <w:t xml:space="preserve"> </w:t>
      </w:r>
      <w:r w:rsidRPr="00382917">
        <w:t>a</w:t>
      </w:r>
      <w:r w:rsidR="00EE4FC3">
        <w:t xml:space="preserve"> </w:t>
      </w:r>
      <w:r w:rsidRPr="00382917">
        <w:t>vulgar</w:t>
      </w:r>
      <w:r w:rsidR="00EE4FC3">
        <w:t xml:space="preserve"> </w:t>
      </w:r>
      <w:r w:rsidRPr="00382917">
        <w:t>charlatan,</w:t>
      </w:r>
      <w:r w:rsidR="00EE4FC3">
        <w:t xml:space="preserve"> </w:t>
      </w:r>
      <w:r w:rsidRPr="00382917">
        <w:t>a</w:t>
      </w:r>
      <w:r w:rsidR="00EE4FC3">
        <w:t xml:space="preserve"> </w:t>
      </w:r>
      <w:r w:rsidRPr="00382917">
        <w:t>weak</w:t>
      </w:r>
      <w:r w:rsidR="00EE4FC3">
        <w:t xml:space="preserve"> </w:t>
      </w:r>
      <w:r w:rsidRPr="00382917">
        <w:t>dreamer</w:t>
      </w:r>
      <w:r w:rsidR="00EE4FC3">
        <w:t xml:space="preserve"> </w:t>
      </w:r>
      <w:r w:rsidRPr="00382917">
        <w:t>who</w:t>
      </w:r>
      <w:r w:rsidR="00EE4FC3">
        <w:t xml:space="preserve"> </w:t>
      </w:r>
      <w:r w:rsidRPr="00382917">
        <w:t>did</w:t>
      </w:r>
      <w:r w:rsidR="00EE4FC3">
        <w:t xml:space="preserve"> </w:t>
      </w:r>
      <w:r w:rsidRPr="00382917">
        <w:t>not</w:t>
      </w:r>
      <w:r w:rsidR="00EE4FC3">
        <w:t xml:space="preserve"> </w:t>
      </w:r>
      <w:r w:rsidRPr="00382917">
        <w:t>have</w:t>
      </w:r>
      <w:r w:rsidR="00EE4FC3">
        <w:t xml:space="preserve"> </w:t>
      </w:r>
      <w:r w:rsidRPr="00382917">
        <w:t>courage</w:t>
      </w:r>
      <w:r w:rsidR="00EE4FC3">
        <w:t xml:space="preserve"> </w:t>
      </w:r>
      <w:r w:rsidRPr="00382917">
        <w:t>enough</w:t>
      </w:r>
      <w:r w:rsidR="00EE4FC3">
        <w:t xml:space="preserve"> </w:t>
      </w:r>
      <w:r w:rsidRPr="00382917">
        <w:t>to</w:t>
      </w:r>
      <w:r w:rsidR="00EE4FC3">
        <w:t xml:space="preserve"> </w:t>
      </w:r>
      <w:r w:rsidRPr="00382917">
        <w:t>conceive,</w:t>
      </w:r>
      <w:r w:rsidR="00EE4FC3">
        <w:t xml:space="preserve"> </w:t>
      </w:r>
      <w:r w:rsidRPr="00382917">
        <w:t>still</w:t>
      </w:r>
      <w:r w:rsidR="00EE4FC3">
        <w:t xml:space="preserve"> </w:t>
      </w:r>
      <w:r w:rsidRPr="00382917">
        <w:t>less</w:t>
      </w:r>
      <w:r w:rsidR="00EE4FC3">
        <w:t xml:space="preserve"> </w:t>
      </w:r>
      <w:r w:rsidRPr="00382917">
        <w:t>to</w:t>
      </w:r>
      <w:r w:rsidR="00EE4FC3">
        <w:t xml:space="preserve"> </w:t>
      </w:r>
      <w:r w:rsidRPr="00382917">
        <w:t>direct</w:t>
      </w:r>
      <w:r w:rsidR="00EE4FC3">
        <w:t xml:space="preserve"> </w:t>
      </w:r>
      <w:r w:rsidRPr="00382917">
        <w:t>the</w:t>
      </w:r>
      <w:r w:rsidR="00EE4FC3">
        <w:t xml:space="preserve"> </w:t>
      </w:r>
      <w:r w:rsidRPr="00382917">
        <w:t>daring</w:t>
      </w:r>
      <w:r w:rsidR="00EE4FC3">
        <w:t xml:space="preserve"> </w:t>
      </w:r>
      <w:r w:rsidRPr="00382917">
        <w:t>enterprises</w:t>
      </w:r>
      <w:r w:rsidR="009C713D" w:rsidRPr="00382917">
        <w:t>”</w:t>
      </w:r>
      <w:r w:rsidR="00EE4FC3">
        <w:t xml:space="preserve"> </w:t>
      </w:r>
      <w:r w:rsidRPr="00382917">
        <w:t>of</w:t>
      </w:r>
      <w:r w:rsidR="00EE4FC3">
        <w:t xml:space="preserve"> </w:t>
      </w:r>
      <w:r w:rsidRPr="00382917">
        <w:t>Ṭabarsí,</w:t>
      </w:r>
      <w:r w:rsidR="00EE4FC3">
        <w:t xml:space="preserve"> </w:t>
      </w:r>
      <w:r w:rsidRPr="00382917">
        <w:t>Nayríz</w:t>
      </w:r>
      <w:r w:rsidR="00EE4FC3">
        <w:t xml:space="preserve"> </w:t>
      </w:r>
      <w:r w:rsidRPr="00382917">
        <w:t>and</w:t>
      </w:r>
      <w:r w:rsidR="00EE4FC3">
        <w:t xml:space="preserve"> </w:t>
      </w:r>
      <w:r w:rsidRPr="00382917">
        <w:t>Zanján,</w:t>
      </w:r>
      <w:r w:rsidR="00EE4FC3">
        <w:t xml:space="preserve"> </w:t>
      </w:r>
      <w:r w:rsidR="009C713D" w:rsidRPr="00382917">
        <w:t>“</w:t>
      </w:r>
      <w:r w:rsidRPr="00382917">
        <w:t>or</w:t>
      </w:r>
      <w:r w:rsidR="00EE4FC3">
        <w:t xml:space="preserve"> </w:t>
      </w:r>
      <w:r w:rsidRPr="00382917">
        <w:t>even</w:t>
      </w:r>
      <w:r w:rsidR="00EE4FC3">
        <w:t xml:space="preserve"> </w:t>
      </w:r>
      <w:r w:rsidRPr="00382917">
        <w:t>take</w:t>
      </w:r>
      <w:r w:rsidR="00EE4FC3">
        <w:t xml:space="preserve"> </w:t>
      </w:r>
      <w:r w:rsidRPr="00382917">
        <w:t>part</w:t>
      </w:r>
      <w:r w:rsidR="00EE4FC3">
        <w:t xml:space="preserve"> </w:t>
      </w:r>
      <w:r w:rsidRPr="00382917">
        <w:t>in</w:t>
      </w:r>
      <w:r w:rsidR="00EE4FC3">
        <w:t xml:space="preserve"> </w:t>
      </w:r>
      <w:r w:rsidRPr="00382917">
        <w:t>them.</w:t>
      </w:r>
      <w:r w:rsidR="009C713D" w:rsidRPr="00382917">
        <w:t>”</w:t>
      </w:r>
      <w:r w:rsidR="003C712C">
        <w:rPr>
          <w:rStyle w:val="FootnoteReference"/>
        </w:rPr>
        <w:footnoteReference w:id="244"/>
      </w:r>
    </w:p>
    <w:p w:rsidR="00621DD5" w:rsidRPr="00382917" w:rsidRDefault="00621DD5" w:rsidP="00621DD5">
      <w:pPr>
        <w:pStyle w:val="Text"/>
      </w:pPr>
      <w:r w:rsidRPr="00382917">
        <w:t>These</w:t>
      </w:r>
      <w:r w:rsidR="00EE4FC3">
        <w:t xml:space="preserve"> </w:t>
      </w:r>
      <w:r w:rsidRPr="00382917">
        <w:t>counsellors</w:t>
      </w:r>
      <w:r w:rsidR="00EE4FC3">
        <w:t xml:space="preserve"> </w:t>
      </w:r>
      <w:r w:rsidRPr="00382917">
        <w:t>pointed</w:t>
      </w:r>
      <w:r w:rsidR="00EE4FC3">
        <w:t xml:space="preserve"> </w:t>
      </w:r>
      <w:r w:rsidRPr="00382917">
        <w:t>out</w:t>
      </w:r>
      <w:r w:rsidR="00EE4FC3">
        <w:t xml:space="preserve"> </w:t>
      </w:r>
      <w:r w:rsidRPr="00382917">
        <w:t>that</w:t>
      </w:r>
      <w:r w:rsidR="00EE4FC3">
        <w:t xml:space="preserve"> </w:t>
      </w:r>
      <w:r w:rsidRPr="00382917">
        <w:t>the</w:t>
      </w:r>
      <w:r w:rsidR="00EE4FC3">
        <w:t xml:space="preserve"> </w:t>
      </w:r>
      <w:r w:rsidRPr="00382917">
        <w:t>Báb</w:t>
      </w:r>
      <w:r w:rsidR="009C713D" w:rsidRPr="00382917">
        <w:t>’</w:t>
      </w:r>
      <w:r w:rsidRPr="00382917">
        <w:t>s</w:t>
      </w:r>
      <w:r w:rsidR="00EE4FC3">
        <w:t xml:space="preserve"> </w:t>
      </w:r>
      <w:r w:rsidRPr="00382917">
        <w:t>conduct</w:t>
      </w:r>
      <w:r w:rsidR="00EE4FC3">
        <w:t xml:space="preserve"> </w:t>
      </w:r>
      <w:r w:rsidRPr="00382917">
        <w:t>while</w:t>
      </w:r>
      <w:r w:rsidR="00EE4FC3">
        <w:t xml:space="preserve"> </w:t>
      </w:r>
      <w:r w:rsidRPr="00382917">
        <w:t>He</w:t>
      </w:r>
      <w:r w:rsidR="00EE4FC3">
        <w:t xml:space="preserve"> </w:t>
      </w:r>
      <w:r w:rsidRPr="00382917">
        <w:t>was</w:t>
      </w:r>
      <w:r w:rsidR="00EE4FC3">
        <w:t xml:space="preserve"> </w:t>
      </w:r>
      <w:r w:rsidRPr="00382917">
        <w:t>in</w:t>
      </w:r>
      <w:r w:rsidR="00EE4FC3">
        <w:t xml:space="preserve"> </w:t>
      </w:r>
      <w:r w:rsidRPr="00382917">
        <w:t>prison</w:t>
      </w:r>
      <w:r w:rsidR="00EE4FC3">
        <w:t xml:space="preserve"> </w:t>
      </w:r>
      <w:r w:rsidRPr="00382917">
        <w:t>gave</w:t>
      </w:r>
      <w:r w:rsidR="00EE4FC3">
        <w:t xml:space="preserve"> </w:t>
      </w:r>
      <w:r w:rsidRPr="00382917">
        <w:t>no</w:t>
      </w:r>
      <w:r w:rsidR="00EE4FC3">
        <w:t xml:space="preserve"> </w:t>
      </w:r>
      <w:r w:rsidRPr="00382917">
        <w:t>evidence</w:t>
      </w:r>
      <w:r w:rsidR="00EE4FC3">
        <w:t xml:space="preserve"> </w:t>
      </w:r>
      <w:r w:rsidRPr="00382917">
        <w:t>that</w:t>
      </w:r>
      <w:r w:rsidR="00EE4FC3">
        <w:t xml:space="preserve"> </w:t>
      </w:r>
      <w:r w:rsidRPr="00382917">
        <w:t>He</w:t>
      </w:r>
      <w:r w:rsidR="00EE4FC3">
        <w:t xml:space="preserve"> </w:t>
      </w:r>
      <w:r w:rsidRPr="00382917">
        <w:t>was</w:t>
      </w:r>
      <w:r w:rsidR="00EE4FC3">
        <w:t xml:space="preserve"> </w:t>
      </w:r>
      <w:r w:rsidRPr="00382917">
        <w:t>such</w:t>
      </w:r>
      <w:r w:rsidR="00EE4FC3">
        <w:t xml:space="preserve"> </w:t>
      </w:r>
      <w:r w:rsidRPr="00382917">
        <w:t>a</w:t>
      </w:r>
      <w:r w:rsidR="00EE4FC3">
        <w:t xml:space="preserve"> </w:t>
      </w:r>
      <w:r w:rsidRPr="00382917">
        <w:t>person</w:t>
      </w:r>
      <w:r w:rsidR="00EE4FC3">
        <w:t xml:space="preserve"> </w:t>
      </w:r>
      <w:r w:rsidRPr="00382917">
        <w:t>as</w:t>
      </w:r>
      <w:r w:rsidR="00EE4FC3">
        <w:t xml:space="preserve"> </w:t>
      </w:r>
      <w:r w:rsidRPr="00382917">
        <w:t>the</w:t>
      </w:r>
      <w:r w:rsidR="00EE4FC3">
        <w:t xml:space="preserve"> </w:t>
      </w:r>
      <w:r w:rsidRPr="00382917">
        <w:t>Prime</w:t>
      </w:r>
      <w:r w:rsidR="00EE4FC3">
        <w:t xml:space="preserve"> </w:t>
      </w:r>
      <w:r w:rsidRPr="00382917">
        <w:t>Minister</w:t>
      </w:r>
      <w:r w:rsidR="00EE4FC3">
        <w:t xml:space="preserve"> </w:t>
      </w:r>
      <w:r w:rsidRPr="00382917">
        <w:t>suggested</w:t>
      </w:r>
      <w:r w:rsidR="00330AF7">
        <w:t>.</w:t>
      </w:r>
      <w:r w:rsidR="00EE4FC3">
        <w:t xml:space="preserve">  </w:t>
      </w:r>
      <w:r w:rsidRPr="00382917">
        <w:t>He</w:t>
      </w:r>
      <w:r w:rsidR="00EE4FC3">
        <w:t xml:space="preserve"> </w:t>
      </w:r>
      <w:r w:rsidRPr="00382917">
        <w:t>bore</w:t>
      </w:r>
      <w:r w:rsidR="00EE4FC3">
        <w:t xml:space="preserve"> </w:t>
      </w:r>
      <w:r w:rsidRPr="00382917">
        <w:t>all</w:t>
      </w:r>
      <w:r w:rsidR="00EE4FC3">
        <w:t xml:space="preserve"> </w:t>
      </w:r>
      <w:r w:rsidRPr="00382917">
        <w:t>hardships</w:t>
      </w:r>
      <w:r w:rsidR="00EE4FC3">
        <w:t xml:space="preserve"> </w:t>
      </w:r>
      <w:r w:rsidRPr="00382917">
        <w:t>without</w:t>
      </w:r>
      <w:r w:rsidR="00EE4FC3">
        <w:t xml:space="preserve"> </w:t>
      </w:r>
      <w:r w:rsidRPr="00382917">
        <w:t>complaint</w:t>
      </w:r>
      <w:r w:rsidR="00330AF7">
        <w:t>.</w:t>
      </w:r>
      <w:r w:rsidR="00EE4FC3">
        <w:t xml:space="preserve">  </w:t>
      </w:r>
      <w:r w:rsidRPr="00382917">
        <w:t>He</w:t>
      </w:r>
      <w:r w:rsidR="00EE4FC3">
        <w:t xml:space="preserve"> </w:t>
      </w:r>
      <w:r w:rsidRPr="00382917">
        <w:t>prayed</w:t>
      </w:r>
      <w:r w:rsidR="00EE4FC3">
        <w:t xml:space="preserve"> </w:t>
      </w:r>
      <w:r w:rsidRPr="00382917">
        <w:t>and</w:t>
      </w:r>
      <w:r w:rsidR="00EE4FC3">
        <w:t xml:space="preserve"> </w:t>
      </w:r>
      <w:r w:rsidRPr="00382917">
        <w:t>worked</w:t>
      </w:r>
      <w:r w:rsidR="00EE4FC3">
        <w:t xml:space="preserve"> </w:t>
      </w:r>
      <w:r w:rsidRPr="00382917">
        <w:t>incessantly</w:t>
      </w:r>
      <w:r w:rsidR="00330AF7">
        <w:t>.</w:t>
      </w:r>
      <w:r w:rsidR="00EE4FC3">
        <w:t xml:space="preserve">  </w:t>
      </w:r>
      <w:r w:rsidRPr="00382917">
        <w:t>Those</w:t>
      </w:r>
      <w:r w:rsidR="00EE4FC3">
        <w:t xml:space="preserve"> </w:t>
      </w:r>
      <w:r w:rsidRPr="00382917">
        <w:t>who</w:t>
      </w:r>
      <w:r w:rsidR="00EE4FC3">
        <w:t xml:space="preserve"> </w:t>
      </w:r>
      <w:r w:rsidRPr="00382917">
        <w:t>came</w:t>
      </w:r>
      <w:r w:rsidR="00EE4FC3">
        <w:t xml:space="preserve"> </w:t>
      </w:r>
      <w:r w:rsidRPr="00382917">
        <w:t>near</w:t>
      </w:r>
      <w:r w:rsidR="00EE4FC3">
        <w:t xml:space="preserve"> </w:t>
      </w:r>
      <w:r w:rsidRPr="00382917">
        <w:t>Him</w:t>
      </w:r>
      <w:r w:rsidR="00EE4FC3">
        <w:t xml:space="preserve"> </w:t>
      </w:r>
      <w:r w:rsidRPr="00382917">
        <w:t>felt</w:t>
      </w:r>
      <w:r w:rsidR="00EE4FC3">
        <w:t xml:space="preserve"> </w:t>
      </w:r>
      <w:r w:rsidRPr="00382917">
        <w:t>the</w:t>
      </w:r>
      <w:r w:rsidR="00EE4FC3">
        <w:t xml:space="preserve"> </w:t>
      </w:r>
      <w:r w:rsidRPr="00382917">
        <w:t>power</w:t>
      </w:r>
      <w:r w:rsidR="00EE4FC3">
        <w:t xml:space="preserve"> </w:t>
      </w:r>
      <w:r w:rsidRPr="00382917">
        <w:t>of</w:t>
      </w:r>
      <w:r w:rsidR="00EE4FC3">
        <w:t xml:space="preserve"> </w:t>
      </w:r>
      <w:r w:rsidRPr="00382917">
        <w:t>His</w:t>
      </w:r>
      <w:r w:rsidR="00EE4FC3">
        <w:t xml:space="preserve"> </w:t>
      </w:r>
      <w:r w:rsidRPr="00382917">
        <w:t>personality</w:t>
      </w:r>
      <w:r w:rsidR="00330AF7">
        <w:t>.</w:t>
      </w:r>
      <w:r w:rsidR="00EE4FC3">
        <w:t xml:space="preserve">  </w:t>
      </w:r>
      <w:r w:rsidRPr="00382917">
        <w:t>Did</w:t>
      </w:r>
      <w:r w:rsidR="00EE4FC3">
        <w:t xml:space="preserve"> </w:t>
      </w:r>
      <w:r w:rsidRPr="00382917">
        <w:t>they</w:t>
      </w:r>
      <w:r w:rsidR="00EE4FC3">
        <w:t xml:space="preserve"> </w:t>
      </w:r>
      <w:r w:rsidRPr="00382917">
        <w:t>not</w:t>
      </w:r>
      <w:r w:rsidR="00EE4FC3">
        <w:t xml:space="preserve"> </w:t>
      </w:r>
      <w:r w:rsidRPr="00382917">
        <w:t>have</w:t>
      </w:r>
      <w:r w:rsidR="00EE4FC3">
        <w:t xml:space="preserve"> </w:t>
      </w:r>
      <w:r w:rsidRPr="00382917">
        <w:t>the</w:t>
      </w:r>
      <w:r w:rsidR="00EE4FC3">
        <w:t xml:space="preserve"> </w:t>
      </w:r>
      <w:r w:rsidRPr="00382917">
        <w:t>alarming</w:t>
      </w:r>
      <w:r w:rsidR="00EE4FC3">
        <w:t xml:space="preserve"> </w:t>
      </w:r>
      <w:r w:rsidRPr="00382917">
        <w:t>example</w:t>
      </w:r>
      <w:r w:rsidR="00EE4FC3">
        <w:t xml:space="preserve"> </w:t>
      </w:r>
      <w:r w:rsidRPr="00382917">
        <w:t>of</w:t>
      </w:r>
      <w:r w:rsidR="00EE4FC3">
        <w:t xml:space="preserve"> </w:t>
      </w:r>
      <w:r w:rsidRPr="00382917">
        <w:t>the</w:t>
      </w:r>
      <w:r w:rsidR="00EE4FC3">
        <w:t xml:space="preserve"> </w:t>
      </w:r>
      <w:r w:rsidRPr="00382917">
        <w:t>two</w:t>
      </w:r>
      <w:r w:rsidR="00EE4FC3">
        <w:t xml:space="preserve"> </w:t>
      </w:r>
      <w:r w:rsidRPr="00382917">
        <w:t>wardens</w:t>
      </w:r>
      <w:r w:rsidR="00EE4FC3">
        <w:t xml:space="preserve"> </w:t>
      </w:r>
      <w:r w:rsidRPr="00382917">
        <w:t>of</w:t>
      </w:r>
      <w:r w:rsidR="00EE4FC3">
        <w:t xml:space="preserve"> </w:t>
      </w:r>
      <w:r w:rsidRPr="00382917">
        <w:t>Máh-Kú</w:t>
      </w:r>
      <w:r w:rsidR="00EE4FC3">
        <w:t xml:space="preserve"> </w:t>
      </w:r>
      <w:r w:rsidRPr="00382917">
        <w:t>and</w:t>
      </w:r>
      <w:r w:rsidR="00EE4FC3">
        <w:t xml:space="preserve"> </w:t>
      </w:r>
      <w:r w:rsidR="001713B3" w:rsidRPr="001713B3">
        <w:rPr>
          <w:u w:val="single"/>
        </w:rPr>
        <w:t>Ch</w:t>
      </w:r>
      <w:r w:rsidR="001713B3" w:rsidRPr="00382917">
        <w:t>ihríq</w:t>
      </w:r>
      <w:r w:rsidRPr="00382917">
        <w:t>?</w:t>
      </w:r>
      <w:r w:rsidR="00EE4FC3">
        <w:t xml:space="preserve"> </w:t>
      </w:r>
      <w:r w:rsidR="003C712C">
        <w:t xml:space="preserve"> </w:t>
      </w:r>
      <w:r w:rsidRPr="00382917">
        <w:t>Both</w:t>
      </w:r>
      <w:r w:rsidR="00EE4FC3">
        <w:t xml:space="preserve"> </w:t>
      </w:r>
      <w:r w:rsidRPr="00382917">
        <w:t>had</w:t>
      </w:r>
      <w:r w:rsidR="00EE4FC3">
        <w:t xml:space="preserve"> </w:t>
      </w:r>
      <w:r w:rsidRPr="00382917">
        <w:t>been</w:t>
      </w:r>
      <w:r w:rsidR="00EE4FC3">
        <w:t xml:space="preserve"> </w:t>
      </w:r>
      <w:r w:rsidRPr="00382917">
        <w:t>bitter</w:t>
      </w:r>
      <w:r w:rsidR="00EE4FC3">
        <w:t xml:space="preserve"> </w:t>
      </w:r>
      <w:r w:rsidRPr="00382917">
        <w:t>enemies</w:t>
      </w:r>
      <w:r w:rsidR="00EE4FC3">
        <w:t xml:space="preserve"> </w:t>
      </w:r>
      <w:r w:rsidRPr="00382917">
        <w:t>of</w:t>
      </w:r>
      <w:r w:rsidR="00EE4FC3">
        <w:t xml:space="preserve"> </w:t>
      </w:r>
      <w:r w:rsidRPr="00382917">
        <w:t>the</w:t>
      </w:r>
      <w:r w:rsidR="00EE4FC3">
        <w:t xml:space="preserve"> </w:t>
      </w:r>
      <w:r w:rsidR="0040329F" w:rsidRPr="00382917">
        <w:t>B</w:t>
      </w:r>
      <w:r w:rsidR="0040329F" w:rsidRPr="0040329F">
        <w:t>á</w:t>
      </w:r>
      <w:r w:rsidR="0040329F" w:rsidRPr="00382917">
        <w:t>b</w:t>
      </w:r>
      <w:r w:rsidRPr="00382917">
        <w:t>,</w:t>
      </w:r>
      <w:r w:rsidR="00EE4FC3">
        <w:t xml:space="preserve"> </w:t>
      </w:r>
      <w:r w:rsidRPr="00382917">
        <w:t>but</w:t>
      </w:r>
      <w:r w:rsidR="00EE4FC3">
        <w:t xml:space="preserve"> </w:t>
      </w:r>
      <w:r w:rsidRPr="00382917">
        <w:t>through</w:t>
      </w:r>
      <w:r w:rsidR="00EE4FC3">
        <w:t xml:space="preserve"> </w:t>
      </w:r>
      <w:r w:rsidRPr="00382917">
        <w:t>His</w:t>
      </w:r>
      <w:r w:rsidR="00EE4FC3">
        <w:t xml:space="preserve"> </w:t>
      </w:r>
      <w:r w:rsidRPr="00382917">
        <w:t>mere</w:t>
      </w:r>
      <w:r w:rsidR="00EE4FC3">
        <w:t xml:space="preserve"> </w:t>
      </w:r>
      <w:r w:rsidRPr="00382917">
        <w:t>presence</w:t>
      </w:r>
      <w:r w:rsidR="00EE4FC3">
        <w:t xml:space="preserve"> </w:t>
      </w:r>
      <w:r w:rsidRPr="00382917">
        <w:t>among</w:t>
      </w:r>
      <w:r w:rsidR="00EE4FC3">
        <w:t xml:space="preserve"> </w:t>
      </w:r>
      <w:r w:rsidRPr="00382917">
        <w:t>them,</w:t>
      </w:r>
      <w:r w:rsidR="00EE4FC3">
        <w:t xml:space="preserve"> </w:t>
      </w:r>
      <w:r w:rsidRPr="00382917">
        <w:t>they</w:t>
      </w:r>
      <w:r w:rsidR="00EE4FC3">
        <w:t xml:space="preserve"> </w:t>
      </w:r>
      <w:r w:rsidRPr="00382917">
        <w:t>had</w:t>
      </w:r>
      <w:r w:rsidR="00EE4FC3">
        <w:t xml:space="preserve"> </w:t>
      </w:r>
      <w:r w:rsidRPr="00382917">
        <w:t>become</w:t>
      </w:r>
      <w:r w:rsidR="00EE4FC3">
        <w:t xml:space="preserve"> </w:t>
      </w:r>
      <w:r w:rsidRPr="00382917">
        <w:t>enraptured</w:t>
      </w:r>
      <w:r w:rsidR="00EE4FC3">
        <w:t xml:space="preserve"> </w:t>
      </w:r>
      <w:r w:rsidRPr="00382917">
        <w:t>friends.</w:t>
      </w:r>
    </w:p>
    <w:p w:rsidR="00621DD5" w:rsidRPr="00382917" w:rsidRDefault="00621DD5" w:rsidP="00621DD5">
      <w:pPr>
        <w:pStyle w:val="Text"/>
      </w:pPr>
      <w:r w:rsidRPr="00382917">
        <w:t>Had</w:t>
      </w:r>
      <w:r w:rsidR="00EE4FC3">
        <w:t xml:space="preserve"> </w:t>
      </w:r>
      <w:r w:rsidRPr="00382917">
        <w:t>not</w:t>
      </w:r>
      <w:r w:rsidR="00EE4FC3">
        <w:t xml:space="preserve"> </w:t>
      </w:r>
      <w:r w:rsidRPr="00382917">
        <w:t>the</w:t>
      </w:r>
      <w:r w:rsidR="00EE4FC3">
        <w:t xml:space="preserve"> </w:t>
      </w:r>
      <w:r w:rsidRPr="00382917">
        <w:t>authorities</w:t>
      </w:r>
      <w:r w:rsidR="00EE4FC3">
        <w:t xml:space="preserve"> </w:t>
      </w:r>
      <w:r w:rsidRPr="00382917">
        <w:t>sent</w:t>
      </w:r>
      <w:r w:rsidR="00EE4FC3">
        <w:t xml:space="preserve"> </w:t>
      </w:r>
      <w:r w:rsidRPr="00382917">
        <w:t>the</w:t>
      </w:r>
      <w:r w:rsidR="00EE4FC3">
        <w:t xml:space="preserve"> </w:t>
      </w:r>
      <w:r w:rsidRPr="00382917">
        <w:t>greatest</w:t>
      </w:r>
      <w:r w:rsidR="00EE4FC3">
        <w:t xml:space="preserve"> </w:t>
      </w:r>
      <w:r w:rsidRPr="00382917">
        <w:t>religious</w:t>
      </w:r>
      <w:r w:rsidR="00EE4FC3">
        <w:t xml:space="preserve"> </w:t>
      </w:r>
      <w:r w:rsidRPr="00382917">
        <w:t>leader</w:t>
      </w:r>
      <w:r w:rsidR="00EE4FC3">
        <w:t xml:space="preserve"> </w:t>
      </w:r>
      <w:r w:rsidRPr="00382917">
        <w:t>of</w:t>
      </w:r>
      <w:r w:rsidR="00EE4FC3">
        <w:t xml:space="preserve"> </w:t>
      </w:r>
      <w:r w:rsidRPr="00382917">
        <w:t>them</w:t>
      </w:r>
      <w:r w:rsidR="00EE4FC3">
        <w:t xml:space="preserve"> </w:t>
      </w:r>
      <w:r w:rsidRPr="00382917">
        <w:t>all,</w:t>
      </w:r>
      <w:r w:rsidR="00EE4FC3">
        <w:t xml:space="preserve"> </w:t>
      </w:r>
      <w:r w:rsidRPr="00382917">
        <w:t>Va</w:t>
      </w:r>
      <w:r w:rsidRPr="00382917">
        <w:rPr>
          <w:sz w:val="22"/>
        </w:rPr>
        <w:t>ḥí</w:t>
      </w:r>
      <w:r w:rsidRPr="00382917">
        <w:t>d,</w:t>
      </w:r>
      <w:r w:rsidR="00EE4FC3">
        <w:t xml:space="preserve"> </w:t>
      </w:r>
      <w:r w:rsidRPr="00382917">
        <w:t>to</w:t>
      </w:r>
      <w:r w:rsidR="00EE4FC3">
        <w:t xml:space="preserve"> </w:t>
      </w:r>
      <w:r w:rsidRPr="00382917">
        <w:t>investigate</w:t>
      </w:r>
      <w:r w:rsidR="00EE4FC3">
        <w:t xml:space="preserve"> </w:t>
      </w:r>
      <w:r w:rsidRPr="00382917">
        <w:t>and</w:t>
      </w:r>
      <w:r w:rsidR="00EE4FC3">
        <w:t xml:space="preserve"> </w:t>
      </w:r>
      <w:r w:rsidRPr="00382917">
        <w:t>discredit</w:t>
      </w:r>
      <w:r w:rsidR="00EE4FC3">
        <w:t xml:space="preserve"> </w:t>
      </w:r>
      <w:r w:rsidRPr="00382917">
        <w:t>the</w:t>
      </w:r>
      <w:r w:rsidR="00EE4FC3">
        <w:t xml:space="preserve"> </w:t>
      </w:r>
      <w:r w:rsidRPr="00382917">
        <w:t>Báb?</w:t>
      </w:r>
      <w:r w:rsidR="003C712C">
        <w:t xml:space="preserve"> </w:t>
      </w:r>
      <w:r w:rsidR="00EE4FC3">
        <w:t xml:space="preserve"> </w:t>
      </w:r>
      <w:r w:rsidRPr="00382917">
        <w:t>He,</w:t>
      </w:r>
      <w:r w:rsidR="00EE4FC3">
        <w:t xml:space="preserve"> </w:t>
      </w:r>
      <w:r w:rsidRPr="00382917">
        <w:t>too,</w:t>
      </w:r>
      <w:r w:rsidR="00EE4FC3">
        <w:t xml:space="preserve"> </w:t>
      </w:r>
      <w:r w:rsidRPr="00382917">
        <w:t>upon</w:t>
      </w:r>
      <w:r w:rsidR="00EE4FC3">
        <w:t xml:space="preserve"> </w:t>
      </w:r>
      <w:r w:rsidRPr="00382917">
        <w:t>meeting</w:t>
      </w:r>
      <w:r w:rsidR="00EE4FC3">
        <w:t xml:space="preserve"> </w:t>
      </w:r>
      <w:r w:rsidRPr="00382917">
        <w:t>Him</w:t>
      </w:r>
      <w:r w:rsidR="00EE4FC3">
        <w:t xml:space="preserve"> </w:t>
      </w:r>
      <w:r w:rsidRPr="00382917">
        <w:t>had</w:t>
      </w:r>
      <w:r w:rsidR="00EE4FC3">
        <w:t xml:space="preserve"> </w:t>
      </w:r>
      <w:r w:rsidRPr="00382917">
        <w:t>forsaken</w:t>
      </w:r>
      <w:r w:rsidR="00EE4FC3">
        <w:t xml:space="preserve"> </w:t>
      </w:r>
      <w:r w:rsidRPr="00382917">
        <w:t>the</w:t>
      </w:r>
      <w:r w:rsidR="00EE4FC3">
        <w:t xml:space="preserve"> </w:t>
      </w:r>
      <w:r w:rsidRPr="00382917">
        <w:t>King,</w:t>
      </w:r>
      <w:r w:rsidR="00EE4FC3">
        <w:t xml:space="preserve"> </w:t>
      </w:r>
      <w:r w:rsidRPr="00382917">
        <w:t>his</w:t>
      </w:r>
      <w:r w:rsidR="00EE4FC3">
        <w:t xml:space="preserve"> </w:t>
      </w:r>
      <w:r w:rsidRPr="00382917">
        <w:t>own</w:t>
      </w:r>
      <w:r w:rsidR="00EE4FC3">
        <w:t xml:space="preserve"> </w:t>
      </w:r>
      <w:r w:rsidRPr="00382917">
        <w:t>fame,</w:t>
      </w:r>
      <w:r w:rsidR="00EE4FC3">
        <w:t xml:space="preserve"> </w:t>
      </w:r>
      <w:r w:rsidRPr="00382917">
        <w:t>and</w:t>
      </w:r>
      <w:r w:rsidR="00EE4FC3">
        <w:t xml:space="preserve"> </w:t>
      </w:r>
      <w:r w:rsidRPr="00382917">
        <w:t>his</w:t>
      </w:r>
      <w:r w:rsidR="00EE4FC3">
        <w:t xml:space="preserve"> </w:t>
      </w:r>
      <w:r w:rsidRPr="00382917">
        <w:t>very</w:t>
      </w:r>
      <w:r w:rsidR="00EE4FC3">
        <w:t xml:space="preserve"> </w:t>
      </w:r>
      <w:r w:rsidRPr="00382917">
        <w:t>life</w:t>
      </w:r>
      <w:r w:rsidR="00EE4FC3">
        <w:t xml:space="preserve"> </w:t>
      </w:r>
      <w:r w:rsidRPr="00382917">
        <w:t>for</w:t>
      </w:r>
      <w:r w:rsidR="00EE4FC3">
        <w:t xml:space="preserve"> </w:t>
      </w:r>
      <w:r w:rsidRPr="00382917">
        <w:t>this</w:t>
      </w:r>
      <w:r w:rsidR="00EE4FC3">
        <w:t xml:space="preserve"> </w:t>
      </w:r>
      <w:r w:rsidRPr="00382917">
        <w:t>Prisoner</w:t>
      </w:r>
      <w:r w:rsidR="00330AF7">
        <w:t>.</w:t>
      </w:r>
      <w:r w:rsidR="00EE4FC3">
        <w:t xml:space="preserve">  </w:t>
      </w:r>
      <w:r w:rsidRPr="00382917">
        <w:t>Was</w:t>
      </w:r>
      <w:r w:rsidR="00EE4FC3">
        <w:t xml:space="preserve"> </w:t>
      </w:r>
      <w:r w:rsidRPr="00382917">
        <w:t>there</w:t>
      </w:r>
      <w:r w:rsidR="00EE4FC3">
        <w:t xml:space="preserve"> </w:t>
      </w:r>
      <w:r w:rsidRPr="00382917">
        <w:t>any</w:t>
      </w:r>
      <w:r w:rsidR="00EE4FC3">
        <w:t xml:space="preserve"> </w:t>
      </w:r>
      <w:r w:rsidRPr="00382917">
        <w:t>comfort</w:t>
      </w:r>
      <w:r w:rsidR="00EE4FC3">
        <w:t xml:space="preserve"> </w:t>
      </w:r>
      <w:r w:rsidRPr="00382917">
        <w:t>to</w:t>
      </w:r>
      <w:r w:rsidR="00EE4FC3">
        <w:t xml:space="preserve"> </w:t>
      </w:r>
      <w:r w:rsidRPr="00382917">
        <w:t>be</w:t>
      </w:r>
      <w:r w:rsidR="00EE4FC3">
        <w:t xml:space="preserve"> </w:t>
      </w:r>
      <w:r w:rsidRPr="00382917">
        <w:t>found</w:t>
      </w:r>
      <w:r w:rsidR="00EE4FC3">
        <w:t xml:space="preserve"> </w:t>
      </w:r>
      <w:r w:rsidRPr="00382917">
        <w:t>in</w:t>
      </w:r>
      <w:r w:rsidR="00EE4FC3">
        <w:t xml:space="preserve"> </w:t>
      </w:r>
      <w:r w:rsidRPr="00382917">
        <w:t>this?</w:t>
      </w:r>
      <w:r w:rsidR="00EE4FC3">
        <w:t xml:space="preserve"> </w:t>
      </w:r>
      <w:r w:rsidR="003C712C">
        <w:t xml:space="preserve"> </w:t>
      </w:r>
      <w:r w:rsidRPr="00382917">
        <w:t>What</w:t>
      </w:r>
      <w:r w:rsidR="00EE4FC3">
        <w:t xml:space="preserve"> </w:t>
      </w:r>
      <w:r w:rsidRPr="00382917">
        <w:t>about</w:t>
      </w:r>
      <w:r w:rsidR="00EE4FC3">
        <w:t xml:space="preserve"> </w:t>
      </w:r>
      <w:r w:rsidR="0040329F" w:rsidRPr="00382917">
        <w:t>Manú</w:t>
      </w:r>
      <w:r w:rsidR="0040329F" w:rsidRPr="0040329F">
        <w:rPr>
          <w:u w:val="single"/>
        </w:rPr>
        <w:t>ch</w:t>
      </w:r>
      <w:r w:rsidR="0040329F" w:rsidRPr="00382917">
        <w:t>ihr</w:t>
      </w:r>
      <w:r w:rsidR="00EE4FC3">
        <w:t xml:space="preserve"> </w:t>
      </w:r>
      <w:proofErr w:type="spellStart"/>
      <w:r w:rsidR="0040329F" w:rsidRPr="0040329F">
        <w:rPr>
          <w:u w:val="single"/>
        </w:rPr>
        <w:t>Kh</w:t>
      </w:r>
      <w:r w:rsidR="0040329F" w:rsidRPr="00382917">
        <w:t>án</w:t>
      </w:r>
      <w:r w:rsidR="009C713D" w:rsidRPr="00382917">
        <w:t>’</w:t>
      </w:r>
      <w:r w:rsidRPr="00382917">
        <w:t>s</w:t>
      </w:r>
      <w:proofErr w:type="spellEnd"/>
      <w:r w:rsidR="00EE4FC3">
        <w:t xml:space="preserve"> </w:t>
      </w:r>
      <w:r w:rsidRPr="00382917">
        <w:t>conversion?</w:t>
      </w:r>
    </w:p>
    <w:p w:rsidR="00621DD5" w:rsidRPr="00382917" w:rsidRDefault="00621DD5" w:rsidP="00621DD5">
      <w:pPr>
        <w:pStyle w:val="Text"/>
      </w:pPr>
      <w:r w:rsidRPr="00382917">
        <w:t>What</w:t>
      </w:r>
      <w:r w:rsidR="00EE4FC3">
        <w:t xml:space="preserve"> </w:t>
      </w:r>
      <w:r w:rsidRPr="00382917">
        <w:t>about</w:t>
      </w:r>
      <w:r w:rsidR="00EE4FC3">
        <w:t xml:space="preserve"> </w:t>
      </w:r>
      <w:r w:rsidRPr="00382917">
        <w:t>the</w:t>
      </w:r>
      <w:r w:rsidR="00EE4FC3">
        <w:t xml:space="preserve"> </w:t>
      </w:r>
      <w:r w:rsidRPr="00382917">
        <w:t>reports</w:t>
      </w:r>
      <w:r w:rsidR="00EE4FC3">
        <w:t xml:space="preserve"> </w:t>
      </w:r>
      <w:r w:rsidRPr="00382917">
        <w:t>of</w:t>
      </w:r>
      <w:r w:rsidR="00EE4FC3">
        <w:t xml:space="preserve"> </w:t>
      </w:r>
      <w:r w:rsidRPr="00382917">
        <w:t>the</w:t>
      </w:r>
      <w:r w:rsidR="00EE4FC3">
        <w:t xml:space="preserve"> </w:t>
      </w:r>
      <w:r w:rsidRPr="00382917">
        <w:t>spies</w:t>
      </w:r>
      <w:r w:rsidR="00EE4FC3">
        <w:t xml:space="preserve"> </w:t>
      </w:r>
      <w:r w:rsidRPr="00382917">
        <w:t>near</w:t>
      </w:r>
      <w:r w:rsidR="00EE4FC3">
        <w:t xml:space="preserve"> </w:t>
      </w:r>
      <w:r w:rsidRPr="00382917">
        <w:t>the</w:t>
      </w:r>
      <w:r w:rsidR="00EE4FC3">
        <w:t xml:space="preserve"> </w:t>
      </w:r>
      <w:r w:rsidRPr="00382917">
        <w:t>prison</w:t>
      </w:r>
      <w:r w:rsidR="00EE4FC3">
        <w:t xml:space="preserve"> </w:t>
      </w:r>
      <w:r w:rsidRPr="00382917">
        <w:t>of</w:t>
      </w:r>
      <w:r w:rsidR="00EE4FC3">
        <w:t xml:space="preserve"> </w:t>
      </w:r>
      <w:r w:rsidR="001713B3" w:rsidRPr="001713B3">
        <w:rPr>
          <w:u w:val="single"/>
        </w:rPr>
        <w:t>Ch</w:t>
      </w:r>
      <w:r w:rsidR="001713B3" w:rsidRPr="00382917">
        <w:t>ihríq</w:t>
      </w:r>
      <w:r w:rsidRPr="00382917">
        <w:t>?</w:t>
      </w:r>
      <w:r w:rsidR="003C712C">
        <w:t xml:space="preserve"> </w:t>
      </w:r>
      <w:r w:rsidR="00EE4FC3">
        <w:t xml:space="preserve"> </w:t>
      </w:r>
      <w:r w:rsidRPr="00382917">
        <w:t>They</w:t>
      </w:r>
      <w:r w:rsidR="00EE4FC3">
        <w:t xml:space="preserve"> </w:t>
      </w:r>
      <w:r w:rsidRPr="00382917">
        <w:t>reported</w:t>
      </w:r>
      <w:r w:rsidR="00EE4FC3">
        <w:t xml:space="preserve"> </w:t>
      </w:r>
      <w:r w:rsidRPr="00382917">
        <w:t>that</w:t>
      </w:r>
      <w:r w:rsidR="00EE4FC3">
        <w:t xml:space="preserve"> </w:t>
      </w:r>
      <w:r w:rsidRPr="00382917">
        <w:t>the</w:t>
      </w:r>
      <w:r w:rsidR="00EE4FC3">
        <w:t xml:space="preserve"> </w:t>
      </w:r>
      <w:r w:rsidRPr="00382917">
        <w:t>Báb</w:t>
      </w:r>
      <w:r w:rsidR="00EE4FC3">
        <w:t xml:space="preserve"> </w:t>
      </w:r>
      <w:r w:rsidRPr="00382917">
        <w:t>spoke</w:t>
      </w:r>
      <w:r w:rsidR="00EE4FC3">
        <w:t xml:space="preserve"> </w:t>
      </w:r>
      <w:r w:rsidRPr="00382917">
        <w:t>often</w:t>
      </w:r>
      <w:r w:rsidR="00EE4FC3">
        <w:t xml:space="preserve"> </w:t>
      </w:r>
      <w:r w:rsidRPr="00382917">
        <w:t>of</w:t>
      </w:r>
      <w:r w:rsidR="00EE4FC3">
        <w:t xml:space="preserve"> </w:t>
      </w:r>
      <w:r w:rsidRPr="00382917">
        <w:t>His</w:t>
      </w:r>
      <w:r w:rsidR="00EE4FC3">
        <w:t xml:space="preserve"> </w:t>
      </w:r>
      <w:r w:rsidRPr="00382917">
        <w:t>death</w:t>
      </w:r>
      <w:r w:rsidR="00EE4FC3">
        <w:t xml:space="preserve"> </w:t>
      </w:r>
      <w:r w:rsidRPr="00382917">
        <w:t>during</w:t>
      </w:r>
      <w:r w:rsidR="00EE4FC3">
        <w:t xml:space="preserve"> </w:t>
      </w:r>
      <w:r w:rsidRPr="00382917">
        <w:t>these</w:t>
      </w:r>
      <w:r w:rsidR="00EE4FC3">
        <w:t xml:space="preserve"> </w:t>
      </w:r>
      <w:r w:rsidRPr="00382917">
        <w:t>days</w:t>
      </w:r>
      <w:r w:rsidR="00330AF7">
        <w:t>.</w:t>
      </w:r>
      <w:r w:rsidR="00EE4FC3">
        <w:t xml:space="preserve">  </w:t>
      </w:r>
      <w:r w:rsidRPr="00382917">
        <w:t>It</w:t>
      </w:r>
      <w:r w:rsidR="00EE4FC3">
        <w:t xml:space="preserve"> </w:t>
      </w:r>
      <w:r w:rsidRPr="00382917">
        <w:t>was</w:t>
      </w:r>
      <w:r w:rsidR="00EE4FC3">
        <w:t xml:space="preserve"> </w:t>
      </w:r>
      <w:r w:rsidRPr="00382917">
        <w:t>said</w:t>
      </w:r>
      <w:r w:rsidR="00EE4FC3">
        <w:t xml:space="preserve"> </w:t>
      </w:r>
      <w:r w:rsidRPr="00382917">
        <w:t>that</w:t>
      </w:r>
      <w:r w:rsidR="00EE4FC3">
        <w:t xml:space="preserve"> </w:t>
      </w:r>
      <w:r w:rsidRPr="00382917">
        <w:t>He</w:t>
      </w:r>
      <w:r w:rsidR="00EE4FC3">
        <w:t xml:space="preserve"> </w:t>
      </w:r>
      <w:r w:rsidRPr="00382917">
        <w:t>referred</w:t>
      </w:r>
      <w:r w:rsidR="00EE4FC3">
        <w:t xml:space="preserve"> </w:t>
      </w:r>
      <w:r w:rsidRPr="00382917">
        <w:t>to</w:t>
      </w:r>
      <w:r w:rsidR="00EE4FC3">
        <w:t xml:space="preserve"> </w:t>
      </w:r>
      <w:r w:rsidRPr="00382917">
        <w:t>His</w:t>
      </w:r>
      <w:r w:rsidR="00EE4FC3">
        <w:t xml:space="preserve"> </w:t>
      </w:r>
      <w:r w:rsidRPr="00382917">
        <w:t>death</w:t>
      </w:r>
      <w:r w:rsidR="00EE4FC3">
        <w:t xml:space="preserve"> </w:t>
      </w:r>
      <w:r w:rsidRPr="00382917">
        <w:t>as</w:t>
      </w:r>
      <w:r w:rsidR="00EE4FC3">
        <w:t xml:space="preserve"> </w:t>
      </w:r>
      <w:r w:rsidRPr="00382917">
        <w:t>something</w:t>
      </w:r>
      <w:r w:rsidR="00EE4FC3">
        <w:t xml:space="preserve"> </w:t>
      </w:r>
      <w:r w:rsidRPr="00382917">
        <w:t>not</w:t>
      </w:r>
      <w:r w:rsidR="00EE4FC3">
        <w:t xml:space="preserve"> </w:t>
      </w:r>
      <w:r w:rsidRPr="00382917">
        <w:t>only</w:t>
      </w:r>
      <w:r w:rsidR="00EE4FC3">
        <w:t xml:space="preserve"> </w:t>
      </w:r>
      <w:r w:rsidRPr="00382917">
        <w:t>familiar,</w:t>
      </w:r>
      <w:r w:rsidR="00EE4FC3">
        <w:t xml:space="preserve"> </w:t>
      </w:r>
      <w:r w:rsidRPr="00382917">
        <w:t>but</w:t>
      </w:r>
      <w:r w:rsidR="00EE4FC3">
        <w:t xml:space="preserve"> </w:t>
      </w:r>
      <w:r w:rsidRPr="00382917">
        <w:t>pleasant</w:t>
      </w:r>
      <w:r w:rsidR="00330AF7">
        <w:t>.</w:t>
      </w:r>
      <w:r w:rsidR="00EE4FC3">
        <w:t xml:space="preserve">  </w:t>
      </w:r>
      <w:r w:rsidRPr="00382917">
        <w:t>Suppose</w:t>
      </w:r>
      <w:r w:rsidR="00EE4FC3">
        <w:t xml:space="preserve"> </w:t>
      </w:r>
      <w:r w:rsidRPr="00382917">
        <w:t>He</w:t>
      </w:r>
      <w:r w:rsidR="00EE4FC3">
        <w:t xml:space="preserve"> </w:t>
      </w:r>
      <w:r w:rsidRPr="00382917">
        <w:t>should</w:t>
      </w:r>
      <w:r w:rsidR="00EE4FC3">
        <w:t xml:space="preserve"> </w:t>
      </w:r>
      <w:r w:rsidRPr="00382917">
        <w:t>display</w:t>
      </w:r>
      <w:r w:rsidR="00EE4FC3">
        <w:t xml:space="preserve"> </w:t>
      </w:r>
      <w:r w:rsidRPr="00382917">
        <w:t>an</w:t>
      </w:r>
      <w:r w:rsidR="00EE4FC3">
        <w:t xml:space="preserve"> </w:t>
      </w:r>
      <w:r w:rsidRPr="00382917">
        <w:t>undaunted</w:t>
      </w:r>
      <w:r w:rsidR="00EE4FC3">
        <w:t xml:space="preserve"> </w:t>
      </w:r>
      <w:r w:rsidRPr="00382917">
        <w:t>courage</w:t>
      </w:r>
      <w:r w:rsidR="00EE4FC3">
        <w:t xml:space="preserve"> </w:t>
      </w:r>
      <w:r w:rsidRPr="00382917">
        <w:t>if</w:t>
      </w:r>
      <w:r w:rsidR="00EE4FC3">
        <w:t xml:space="preserve"> </w:t>
      </w:r>
      <w:r w:rsidRPr="00382917">
        <w:t>exhibited</w:t>
      </w:r>
      <w:r w:rsidR="00EE4FC3">
        <w:t xml:space="preserve"> </w:t>
      </w:r>
      <w:r w:rsidRPr="00382917">
        <w:t>in</w:t>
      </w:r>
      <w:r w:rsidR="00EE4FC3">
        <w:t xml:space="preserve"> </w:t>
      </w:r>
      <w:r w:rsidRPr="00382917">
        <w:t>chains</w:t>
      </w:r>
      <w:r w:rsidR="00EE4FC3">
        <w:t xml:space="preserve"> </w:t>
      </w:r>
      <w:r w:rsidRPr="00382917">
        <w:t>throughout</w:t>
      </w:r>
      <w:r w:rsidR="00EE4FC3">
        <w:t xml:space="preserve"> </w:t>
      </w:r>
      <w:r w:rsidRPr="00382917">
        <w:t>the</w:t>
      </w:r>
      <w:r w:rsidR="00EE4FC3">
        <w:t xml:space="preserve"> </w:t>
      </w:r>
      <w:r w:rsidRPr="00382917">
        <w:t>country?</w:t>
      </w:r>
      <w:r w:rsidR="00EE4FC3">
        <w:t xml:space="preserve"> </w:t>
      </w:r>
      <w:r w:rsidR="003C712C">
        <w:t xml:space="preserve"> </w:t>
      </w:r>
      <w:r w:rsidRPr="00382917">
        <w:t>Suppose</w:t>
      </w:r>
      <w:r w:rsidR="00EE4FC3">
        <w:t xml:space="preserve"> </w:t>
      </w:r>
      <w:r w:rsidRPr="00382917">
        <w:t>He</w:t>
      </w:r>
      <w:r w:rsidR="00EE4FC3">
        <w:t xml:space="preserve"> </w:t>
      </w:r>
      <w:r w:rsidRPr="00382917">
        <w:t>confused</w:t>
      </w:r>
      <w:r w:rsidR="00EE4FC3">
        <w:t xml:space="preserve"> </w:t>
      </w:r>
      <w:r w:rsidRPr="00382917">
        <w:t>and</w:t>
      </w:r>
      <w:r w:rsidR="00EE4FC3">
        <w:t xml:space="preserve"> </w:t>
      </w:r>
      <w:r w:rsidRPr="00382917">
        <w:t>bewildered</w:t>
      </w:r>
      <w:r w:rsidR="00EE4FC3">
        <w:t xml:space="preserve"> </w:t>
      </w:r>
      <w:r w:rsidRPr="00382917">
        <w:t>the</w:t>
      </w:r>
      <w:r w:rsidR="00EE4FC3">
        <w:t xml:space="preserve"> </w:t>
      </w:r>
      <w:r w:rsidRPr="00382917">
        <w:t>subtle</w:t>
      </w:r>
      <w:r w:rsidR="00EE4FC3">
        <w:t xml:space="preserve"> </w:t>
      </w:r>
      <w:r w:rsidRPr="00382917">
        <w:t>doctors</w:t>
      </w:r>
      <w:r w:rsidR="00EE4FC3">
        <w:t xml:space="preserve"> </w:t>
      </w:r>
      <w:r w:rsidRPr="00382917">
        <w:t>they</w:t>
      </w:r>
      <w:r w:rsidR="00EE4FC3">
        <w:t xml:space="preserve"> </w:t>
      </w:r>
      <w:r w:rsidRPr="00382917">
        <w:t>chose</w:t>
      </w:r>
      <w:r w:rsidR="00EE4FC3">
        <w:t xml:space="preserve"> </w:t>
      </w:r>
      <w:r w:rsidRPr="00382917">
        <w:t>to</w:t>
      </w:r>
      <w:r w:rsidR="00EE4FC3">
        <w:t xml:space="preserve"> </w:t>
      </w:r>
      <w:r w:rsidRPr="00382917">
        <w:t>debate</w:t>
      </w:r>
      <w:r w:rsidR="00EE4FC3">
        <w:t xml:space="preserve"> </w:t>
      </w:r>
      <w:r w:rsidRPr="00382917">
        <w:t>against</w:t>
      </w:r>
      <w:r w:rsidR="00EE4FC3">
        <w:t xml:space="preserve"> </w:t>
      </w:r>
      <w:r w:rsidRPr="00382917">
        <w:t>Him</w:t>
      </w:r>
      <w:r w:rsidR="003C712C">
        <w:t xml:space="preserve">?  </w:t>
      </w:r>
      <w:r w:rsidRPr="00382917">
        <w:t>Suppose</w:t>
      </w:r>
      <w:r w:rsidR="00EE4FC3">
        <w:t xml:space="preserve"> </w:t>
      </w:r>
      <w:r w:rsidRPr="00382917">
        <w:t>they</w:t>
      </w:r>
      <w:r w:rsidR="00EE4FC3">
        <w:t xml:space="preserve"> </w:t>
      </w:r>
      <w:r w:rsidRPr="00382917">
        <w:t>bowed</w:t>
      </w:r>
      <w:r w:rsidR="00EE4FC3">
        <w:t xml:space="preserve"> </w:t>
      </w:r>
      <w:r w:rsidRPr="00382917">
        <w:t>down</w:t>
      </w:r>
      <w:r w:rsidR="00EE4FC3">
        <w:t xml:space="preserve"> </w:t>
      </w:r>
      <w:r w:rsidRPr="00382917">
        <w:t>in</w:t>
      </w:r>
      <w:r w:rsidR="00EE4FC3">
        <w:t xml:space="preserve"> </w:t>
      </w:r>
      <w:r w:rsidRPr="00382917">
        <w:t>belief</w:t>
      </w:r>
      <w:r w:rsidR="00EE4FC3">
        <w:t xml:space="preserve"> </w:t>
      </w:r>
      <w:r w:rsidRPr="00382917">
        <w:t>before</w:t>
      </w:r>
    </w:p>
    <w:p w:rsidR="00621DD5" w:rsidRPr="00382917" w:rsidRDefault="00621DD5">
      <w:pPr>
        <w:widowControl/>
        <w:kinsoku/>
        <w:overflowPunct/>
        <w:textAlignment w:val="auto"/>
      </w:pPr>
      <w:r w:rsidRPr="00382917">
        <w:br w:type="page"/>
      </w:r>
    </w:p>
    <w:p w:rsidR="00621DD5" w:rsidRPr="00382917" w:rsidRDefault="00621DD5" w:rsidP="00621DD5">
      <w:pPr>
        <w:pStyle w:val="Textcts"/>
      </w:pPr>
      <w:r w:rsidRPr="00382917">
        <w:t>Him</w:t>
      </w:r>
      <w:r w:rsidR="00EE4FC3">
        <w:t xml:space="preserve"> </w:t>
      </w:r>
      <w:r w:rsidRPr="00382917">
        <w:t>as</w:t>
      </w:r>
      <w:r w:rsidR="00EE4FC3">
        <w:t xml:space="preserve"> </w:t>
      </w:r>
      <w:r w:rsidRPr="00382917">
        <w:t>the</w:t>
      </w:r>
      <w:r w:rsidR="00EE4FC3">
        <w:t xml:space="preserve"> </w:t>
      </w:r>
      <w:r w:rsidRPr="00382917">
        <w:t>wisest</w:t>
      </w:r>
      <w:r w:rsidR="00EE4FC3">
        <w:t xml:space="preserve"> </w:t>
      </w:r>
      <w:r w:rsidRPr="00382917">
        <w:t>of</w:t>
      </w:r>
      <w:r w:rsidR="00EE4FC3">
        <w:t xml:space="preserve"> </w:t>
      </w:r>
      <w:r w:rsidRPr="00382917">
        <w:t>all,</w:t>
      </w:r>
      <w:r w:rsidR="00EE4FC3">
        <w:t xml:space="preserve"> </w:t>
      </w:r>
      <w:r w:rsidRPr="00382917">
        <w:t>Vaḥíd,</w:t>
      </w:r>
      <w:r w:rsidR="00EE4FC3">
        <w:t xml:space="preserve"> </w:t>
      </w:r>
      <w:r w:rsidRPr="00382917">
        <w:t>had</w:t>
      </w:r>
      <w:r w:rsidR="00EE4FC3">
        <w:t xml:space="preserve"> </w:t>
      </w:r>
      <w:r w:rsidRPr="00382917">
        <w:t>done</w:t>
      </w:r>
      <w:r w:rsidR="003C712C">
        <w:t xml:space="preserve">?  </w:t>
      </w:r>
      <w:r w:rsidRPr="00382917">
        <w:t>Suppose</w:t>
      </w:r>
      <w:r w:rsidR="00EE4FC3">
        <w:t xml:space="preserve"> </w:t>
      </w:r>
      <w:r w:rsidRPr="00382917">
        <w:t>He</w:t>
      </w:r>
      <w:r w:rsidR="00EE4FC3">
        <w:t xml:space="preserve"> </w:t>
      </w:r>
      <w:r w:rsidRPr="00382917">
        <w:t>became</w:t>
      </w:r>
      <w:r w:rsidR="00EE4FC3">
        <w:t xml:space="preserve"> </w:t>
      </w:r>
      <w:r w:rsidRPr="00382917">
        <w:t>more</w:t>
      </w:r>
      <w:r w:rsidR="00EE4FC3">
        <w:t xml:space="preserve"> </w:t>
      </w:r>
      <w:r w:rsidRPr="00382917">
        <w:t>of</w:t>
      </w:r>
      <w:r w:rsidR="00EE4FC3">
        <w:t xml:space="preserve"> </w:t>
      </w:r>
      <w:r w:rsidRPr="00382917">
        <w:t>a</w:t>
      </w:r>
      <w:r w:rsidR="00EE4FC3">
        <w:t xml:space="preserve"> </w:t>
      </w:r>
      <w:r w:rsidRPr="00382917">
        <w:t>hero</w:t>
      </w:r>
      <w:r w:rsidR="00EE4FC3">
        <w:t xml:space="preserve"> </w:t>
      </w:r>
      <w:r w:rsidRPr="00382917">
        <w:t>and</w:t>
      </w:r>
      <w:r w:rsidR="00EE4FC3">
        <w:t xml:space="preserve"> </w:t>
      </w:r>
      <w:r w:rsidRPr="00382917">
        <w:t>martyr</w:t>
      </w:r>
      <w:r w:rsidR="00EE4FC3">
        <w:t xml:space="preserve"> </w:t>
      </w:r>
      <w:r w:rsidRPr="00382917">
        <w:t>than</w:t>
      </w:r>
      <w:r w:rsidR="00EE4FC3">
        <w:t xml:space="preserve"> </w:t>
      </w:r>
      <w:r w:rsidRPr="00382917">
        <w:t>ever</w:t>
      </w:r>
      <w:r w:rsidR="00EE4FC3">
        <w:t xml:space="preserve"> </w:t>
      </w:r>
      <w:r w:rsidRPr="00382917">
        <w:t>to</w:t>
      </w:r>
      <w:r w:rsidR="00EE4FC3">
        <w:t xml:space="preserve"> </w:t>
      </w:r>
      <w:r w:rsidRPr="00382917">
        <w:t>the</w:t>
      </w:r>
      <w:r w:rsidR="00EE4FC3">
        <w:t xml:space="preserve"> </w:t>
      </w:r>
      <w:r w:rsidRPr="00382917">
        <w:t>people</w:t>
      </w:r>
      <w:r w:rsidR="00EE4FC3">
        <w:t xml:space="preserve"> </w:t>
      </w:r>
      <w:r w:rsidRPr="00382917">
        <w:t>as</w:t>
      </w:r>
      <w:r w:rsidR="00EE4FC3">
        <w:t xml:space="preserve"> </w:t>
      </w:r>
      <w:r w:rsidRPr="00382917">
        <w:t>a</w:t>
      </w:r>
      <w:r w:rsidR="00EE4FC3">
        <w:t xml:space="preserve"> </w:t>
      </w:r>
      <w:r w:rsidRPr="00382917">
        <w:t>result</w:t>
      </w:r>
      <w:r w:rsidR="00EE4FC3">
        <w:t xml:space="preserve"> </w:t>
      </w:r>
      <w:r w:rsidRPr="00382917">
        <w:t>of</w:t>
      </w:r>
      <w:r w:rsidR="00EE4FC3">
        <w:t xml:space="preserve"> </w:t>
      </w:r>
      <w:r w:rsidRPr="00382917">
        <w:t>this</w:t>
      </w:r>
      <w:r w:rsidR="00EE4FC3">
        <w:t xml:space="preserve"> </w:t>
      </w:r>
      <w:r w:rsidRPr="00382917">
        <w:t>treatment</w:t>
      </w:r>
      <w:r w:rsidR="003C712C">
        <w:t xml:space="preserve">?  </w:t>
      </w:r>
      <w:r w:rsidRPr="00382917">
        <w:t>What</w:t>
      </w:r>
      <w:r w:rsidR="00EE4FC3">
        <w:t xml:space="preserve"> </w:t>
      </w:r>
      <w:r w:rsidRPr="00382917">
        <w:t>then?</w:t>
      </w:r>
    </w:p>
    <w:p w:rsidR="00E13D49" w:rsidRPr="00382917" w:rsidRDefault="00621DD5" w:rsidP="00611458">
      <w:proofErr w:type="spellStart"/>
      <w:r w:rsidRPr="00382917">
        <w:t>Gobineau</w:t>
      </w:r>
      <w:proofErr w:type="spellEnd"/>
      <w:r w:rsidR="00EE4FC3">
        <w:t xml:space="preserve"> </w:t>
      </w:r>
      <w:r w:rsidRPr="00382917">
        <w:t>himself</w:t>
      </w:r>
      <w:r w:rsidR="00EE4FC3">
        <w:t xml:space="preserve"> </w:t>
      </w:r>
      <w:r w:rsidRPr="00382917">
        <w:t>in</w:t>
      </w:r>
      <w:r w:rsidR="00EE4FC3">
        <w:t xml:space="preserve"> </w:t>
      </w:r>
      <w:r w:rsidRPr="00382917">
        <w:t>his</w:t>
      </w:r>
      <w:r w:rsidR="00EE4FC3">
        <w:t xml:space="preserve"> </w:t>
      </w:r>
      <w:r w:rsidRPr="00382917">
        <w:t>history,</w:t>
      </w:r>
      <w:r w:rsidR="00EE4FC3">
        <w:t xml:space="preserve"> </w:t>
      </w:r>
      <w:r w:rsidRPr="00382917">
        <w:t>says,</w:t>
      </w:r>
      <w:r w:rsidR="00EE4FC3">
        <w:t xml:space="preserve"> </w:t>
      </w:r>
      <w:r w:rsidR="009C713D" w:rsidRPr="00382917">
        <w:t>“</w:t>
      </w:r>
      <w:r w:rsidRPr="00382917">
        <w:t>Those</w:t>
      </w:r>
      <w:r w:rsidR="00EE4FC3">
        <w:t xml:space="preserve"> </w:t>
      </w:r>
      <w:r w:rsidRPr="00382917">
        <w:t>who</w:t>
      </w:r>
      <w:r w:rsidR="00EE4FC3">
        <w:t xml:space="preserve"> </w:t>
      </w:r>
      <w:r w:rsidRPr="00382917">
        <w:t>came</w:t>
      </w:r>
      <w:r w:rsidR="00EE4FC3">
        <w:t xml:space="preserve"> </w:t>
      </w:r>
      <w:r w:rsidRPr="00382917">
        <w:t>near</w:t>
      </w:r>
      <w:r w:rsidR="00EE4FC3">
        <w:t xml:space="preserve"> </w:t>
      </w:r>
      <w:r w:rsidRPr="00382917">
        <w:t>him</w:t>
      </w:r>
      <w:r w:rsidR="00EE4FC3">
        <w:t xml:space="preserve"> </w:t>
      </w:r>
      <w:r w:rsidRPr="00382917">
        <w:t>felt</w:t>
      </w:r>
      <w:r w:rsidR="00EE4FC3">
        <w:t xml:space="preserve"> </w:t>
      </w:r>
      <w:r w:rsidRPr="00382917">
        <w:t>in</w:t>
      </w:r>
      <w:r w:rsidR="00EE4FC3">
        <w:t xml:space="preserve"> </w:t>
      </w:r>
      <w:r w:rsidRPr="00382917">
        <w:t>spite</w:t>
      </w:r>
      <w:r w:rsidR="00EE4FC3">
        <w:t xml:space="preserve"> </w:t>
      </w:r>
      <w:r w:rsidRPr="00382917">
        <w:t>of</w:t>
      </w:r>
      <w:r w:rsidR="00EE4FC3">
        <w:t xml:space="preserve"> </w:t>
      </w:r>
      <w:r w:rsidRPr="00382917">
        <w:t>themselves</w:t>
      </w:r>
      <w:r w:rsidR="00EE4FC3">
        <w:t xml:space="preserve"> </w:t>
      </w:r>
      <w:r w:rsidRPr="00382917">
        <w:t>the</w:t>
      </w:r>
      <w:r w:rsidR="00EE4FC3">
        <w:t xml:space="preserve"> </w:t>
      </w:r>
      <w:r w:rsidRPr="00382917">
        <w:t>fascinating</w:t>
      </w:r>
      <w:r w:rsidR="00EE4FC3">
        <w:t xml:space="preserve"> </w:t>
      </w:r>
      <w:r w:rsidRPr="00382917">
        <w:t>influence</w:t>
      </w:r>
      <w:r w:rsidR="00EE4FC3">
        <w:t xml:space="preserve"> </w:t>
      </w:r>
      <w:r w:rsidRPr="00382917">
        <w:t>of</w:t>
      </w:r>
      <w:r w:rsidR="00EE4FC3">
        <w:t xml:space="preserve"> </w:t>
      </w:r>
      <w:r w:rsidRPr="00382917">
        <w:t>his</w:t>
      </w:r>
      <w:r w:rsidR="00EE4FC3">
        <w:t xml:space="preserve"> </w:t>
      </w:r>
      <w:r w:rsidRPr="00382917">
        <w:t>personality,</w:t>
      </w:r>
      <w:r w:rsidR="00EE4FC3">
        <w:t xml:space="preserve"> </w:t>
      </w:r>
      <w:r w:rsidRPr="00382917">
        <w:t>of</w:t>
      </w:r>
      <w:r w:rsidR="00EE4FC3">
        <w:t xml:space="preserve"> </w:t>
      </w:r>
      <w:r w:rsidRPr="00382917">
        <w:t>his</w:t>
      </w:r>
      <w:r w:rsidR="00EE4FC3">
        <w:t xml:space="preserve"> </w:t>
      </w:r>
      <w:r w:rsidRPr="00382917">
        <w:t>manner</w:t>
      </w:r>
      <w:r w:rsidR="00EE4FC3">
        <w:t xml:space="preserve"> </w:t>
      </w:r>
      <w:r w:rsidRPr="00382917">
        <w:t>and</w:t>
      </w:r>
      <w:r w:rsidR="00EE4FC3">
        <w:t xml:space="preserve"> </w:t>
      </w:r>
      <w:r w:rsidRPr="00382917">
        <w:t>of</w:t>
      </w:r>
      <w:r w:rsidR="00EE4FC3">
        <w:t xml:space="preserve"> </w:t>
      </w:r>
      <w:r w:rsidRPr="00382917">
        <w:t>his</w:t>
      </w:r>
      <w:r w:rsidR="00EE4FC3">
        <w:t xml:space="preserve"> </w:t>
      </w:r>
      <w:r w:rsidRPr="00382917">
        <w:t>speech</w:t>
      </w:r>
      <w:r w:rsidR="00330AF7">
        <w:t>.</w:t>
      </w:r>
      <w:r w:rsidR="00EE4FC3">
        <w:t xml:space="preserve">  </w:t>
      </w:r>
      <w:r w:rsidRPr="00382917">
        <w:t>His</w:t>
      </w:r>
      <w:r w:rsidR="00EE4FC3">
        <w:t xml:space="preserve"> </w:t>
      </w:r>
      <w:r w:rsidRPr="00382917">
        <w:t>guards</w:t>
      </w:r>
      <w:r w:rsidR="00EE4FC3">
        <w:t xml:space="preserve"> </w:t>
      </w:r>
      <w:r w:rsidRPr="00382917">
        <w:t>were</w:t>
      </w:r>
      <w:r w:rsidR="00EE4FC3">
        <w:t xml:space="preserve"> </w:t>
      </w:r>
      <w:r w:rsidRPr="00382917">
        <w:t>not</w:t>
      </w:r>
      <w:r w:rsidR="00EE4FC3">
        <w:t xml:space="preserve"> </w:t>
      </w:r>
      <w:r w:rsidRPr="00382917">
        <w:t>free</w:t>
      </w:r>
      <w:r w:rsidR="00EE4FC3">
        <w:t xml:space="preserve"> </w:t>
      </w:r>
      <w:r w:rsidRPr="00382917">
        <w:t>from</w:t>
      </w:r>
      <w:r w:rsidR="00EE4FC3">
        <w:t xml:space="preserve"> </w:t>
      </w:r>
      <w:r w:rsidRPr="00382917">
        <w:t>that</w:t>
      </w:r>
      <w:r w:rsidR="00EE4FC3">
        <w:t xml:space="preserve"> </w:t>
      </w:r>
      <w:r w:rsidRPr="00382917">
        <w:t>weakness.</w:t>
      </w:r>
      <w:r w:rsidR="009C713D" w:rsidRPr="00382917">
        <w:t>”</w:t>
      </w:r>
      <w:r w:rsidR="00611458">
        <w:rPr>
          <w:rStyle w:val="FootnoteReference"/>
        </w:rPr>
        <w:footnoteReference w:id="245"/>
      </w:r>
    </w:p>
    <w:p w:rsidR="00621DD5" w:rsidRPr="00382917" w:rsidRDefault="00621DD5" w:rsidP="00621DD5">
      <w:pPr>
        <w:pStyle w:val="Text"/>
      </w:pPr>
      <w:r w:rsidRPr="00382917">
        <w:t>The</w:t>
      </w:r>
      <w:r w:rsidR="00EE4FC3">
        <w:t xml:space="preserve"> </w:t>
      </w:r>
      <w:r w:rsidRPr="00382917">
        <w:t>risk</w:t>
      </w:r>
      <w:r w:rsidR="00EE4FC3">
        <w:t xml:space="preserve"> </w:t>
      </w:r>
      <w:r w:rsidRPr="00382917">
        <w:t>was</w:t>
      </w:r>
      <w:r w:rsidR="00EE4FC3">
        <w:t xml:space="preserve"> </w:t>
      </w:r>
      <w:r w:rsidRPr="00382917">
        <w:t>too</w:t>
      </w:r>
      <w:r w:rsidR="00EE4FC3">
        <w:t xml:space="preserve"> </w:t>
      </w:r>
      <w:r w:rsidRPr="00382917">
        <w:t>great</w:t>
      </w:r>
      <w:r w:rsidR="00330AF7">
        <w:t>.</w:t>
      </w:r>
      <w:r w:rsidR="00EE4FC3">
        <w:t xml:space="preserve">  </w:t>
      </w:r>
      <w:r w:rsidRPr="00382917">
        <w:t>After</w:t>
      </w:r>
      <w:r w:rsidR="00EE4FC3">
        <w:t xml:space="preserve"> </w:t>
      </w:r>
      <w:r w:rsidRPr="00382917">
        <w:t>weighing</w:t>
      </w:r>
      <w:r w:rsidR="00EE4FC3">
        <w:t xml:space="preserve"> </w:t>
      </w:r>
      <w:r w:rsidRPr="00382917">
        <w:t>the</w:t>
      </w:r>
      <w:r w:rsidR="00EE4FC3">
        <w:t xml:space="preserve"> </w:t>
      </w:r>
      <w:r w:rsidRPr="00382917">
        <w:t>matter</w:t>
      </w:r>
      <w:r w:rsidR="00EE4FC3">
        <w:t xml:space="preserve"> </w:t>
      </w:r>
      <w:r w:rsidRPr="00382917">
        <w:t>with</w:t>
      </w:r>
      <w:r w:rsidR="00EE4FC3">
        <w:t xml:space="preserve"> </w:t>
      </w:r>
      <w:r w:rsidRPr="00382917">
        <w:t>care,</w:t>
      </w:r>
      <w:r w:rsidR="00EE4FC3">
        <w:t xml:space="preserve"> </w:t>
      </w:r>
      <w:r w:rsidRPr="00382917">
        <w:t>the</w:t>
      </w:r>
      <w:r w:rsidR="00EE4FC3">
        <w:t xml:space="preserve"> </w:t>
      </w:r>
      <w:r w:rsidRPr="00382917">
        <w:t>counsellors</w:t>
      </w:r>
      <w:r w:rsidR="00EE4FC3">
        <w:t xml:space="preserve"> </w:t>
      </w:r>
      <w:r w:rsidRPr="00382917">
        <w:t>of</w:t>
      </w:r>
      <w:r w:rsidR="00EE4FC3">
        <w:t xml:space="preserve"> </w:t>
      </w:r>
      <w:r w:rsidRPr="00382917">
        <w:t>the</w:t>
      </w:r>
      <w:r w:rsidR="00EE4FC3">
        <w:t xml:space="preserve"> </w:t>
      </w:r>
      <w:r w:rsidRPr="00382917">
        <w:t>Prime</w:t>
      </w:r>
      <w:r w:rsidR="00EE4FC3">
        <w:t xml:space="preserve"> </w:t>
      </w:r>
      <w:r w:rsidRPr="00382917">
        <w:t>Minister</w:t>
      </w:r>
      <w:r w:rsidR="00EE4FC3">
        <w:t xml:space="preserve"> </w:t>
      </w:r>
      <w:r w:rsidRPr="00382917">
        <w:t>decided</w:t>
      </w:r>
      <w:r w:rsidR="00EE4FC3">
        <w:t xml:space="preserve"> </w:t>
      </w:r>
      <w:r w:rsidRPr="00382917">
        <w:t>against</w:t>
      </w:r>
      <w:r w:rsidR="00EE4FC3">
        <w:t xml:space="preserve"> </w:t>
      </w:r>
      <w:r w:rsidRPr="00382917">
        <w:t>this</w:t>
      </w:r>
      <w:r w:rsidR="00EE4FC3">
        <w:t xml:space="preserve"> </w:t>
      </w:r>
      <w:r w:rsidRPr="00382917">
        <w:t>plan</w:t>
      </w:r>
      <w:r w:rsidR="00330AF7">
        <w:t>.</w:t>
      </w:r>
      <w:r w:rsidR="00EE4FC3">
        <w:t xml:space="preserve">  </w:t>
      </w:r>
      <w:r w:rsidRPr="00382917">
        <w:t>They</w:t>
      </w:r>
      <w:r w:rsidR="00EE4FC3">
        <w:t xml:space="preserve"> </w:t>
      </w:r>
      <w:r w:rsidRPr="00382917">
        <w:t>dared</w:t>
      </w:r>
      <w:r w:rsidR="00EE4FC3">
        <w:t xml:space="preserve"> </w:t>
      </w:r>
      <w:r w:rsidRPr="00382917">
        <w:t>not</w:t>
      </w:r>
      <w:r w:rsidR="00EE4FC3">
        <w:t xml:space="preserve"> </w:t>
      </w:r>
      <w:r w:rsidRPr="00382917">
        <w:t>take</w:t>
      </w:r>
      <w:r w:rsidR="00EE4FC3">
        <w:t xml:space="preserve"> </w:t>
      </w:r>
      <w:r w:rsidRPr="00382917">
        <w:t>the</w:t>
      </w:r>
      <w:r w:rsidR="00EE4FC3">
        <w:t xml:space="preserve"> </w:t>
      </w:r>
      <w:r w:rsidRPr="00382917">
        <w:t>chance.</w:t>
      </w:r>
    </w:p>
    <w:p w:rsidR="00621DD5" w:rsidRPr="00382917" w:rsidRDefault="00621DD5" w:rsidP="00621DD5">
      <w:pPr>
        <w:pStyle w:val="Text"/>
      </w:pPr>
      <w:r w:rsidRPr="00382917">
        <w:t>Now</w:t>
      </w:r>
      <w:r w:rsidR="00EE4FC3">
        <w:t xml:space="preserve"> </w:t>
      </w:r>
      <w:r w:rsidRPr="00382917">
        <w:t>the</w:t>
      </w:r>
      <w:r w:rsidR="00EE4FC3">
        <w:t xml:space="preserve"> </w:t>
      </w:r>
      <w:r w:rsidRPr="00382917">
        <w:t>Prime</w:t>
      </w:r>
      <w:r w:rsidR="00EE4FC3">
        <w:t xml:space="preserve"> </w:t>
      </w:r>
      <w:r w:rsidRPr="00382917">
        <w:t>Minister</w:t>
      </w:r>
      <w:r w:rsidR="00EE4FC3">
        <w:t xml:space="preserve"> </w:t>
      </w:r>
      <w:r w:rsidRPr="00382917">
        <w:t>insisted</w:t>
      </w:r>
      <w:r w:rsidR="00EE4FC3">
        <w:t xml:space="preserve"> </w:t>
      </w:r>
      <w:r w:rsidRPr="00382917">
        <w:t>on</w:t>
      </w:r>
      <w:r w:rsidR="00EE4FC3">
        <w:t xml:space="preserve"> </w:t>
      </w:r>
      <w:r w:rsidRPr="00382917">
        <w:t>more</w:t>
      </w:r>
      <w:r w:rsidR="00EE4FC3">
        <w:t xml:space="preserve"> </w:t>
      </w:r>
      <w:r w:rsidRPr="00382917">
        <w:t>drastic</w:t>
      </w:r>
      <w:r w:rsidR="00EE4FC3">
        <w:t xml:space="preserve"> </w:t>
      </w:r>
      <w:r w:rsidRPr="00382917">
        <w:t>action</w:t>
      </w:r>
      <w:r w:rsidR="00EE4FC3">
        <w:t xml:space="preserve"> </w:t>
      </w:r>
      <w:r w:rsidRPr="00382917">
        <w:t>against</w:t>
      </w:r>
      <w:r w:rsidR="00EE4FC3">
        <w:t xml:space="preserve"> </w:t>
      </w:r>
      <w:r w:rsidRPr="00382917">
        <w:t>the</w:t>
      </w:r>
      <w:r w:rsidR="00EE4FC3">
        <w:t xml:space="preserve"> </w:t>
      </w:r>
      <w:r w:rsidRPr="00382917">
        <w:t>Báb</w:t>
      </w:r>
      <w:r w:rsidR="00330AF7">
        <w:t>.</w:t>
      </w:r>
      <w:r w:rsidR="00EE4FC3">
        <w:t xml:space="preserve">  </w:t>
      </w:r>
      <w:r w:rsidRPr="00382917">
        <w:t>He</w:t>
      </w:r>
      <w:r w:rsidR="00EE4FC3">
        <w:t xml:space="preserve"> </w:t>
      </w:r>
      <w:r w:rsidRPr="00382917">
        <w:t>cursed</w:t>
      </w:r>
      <w:r w:rsidR="00EE4FC3">
        <w:t xml:space="preserve"> </w:t>
      </w:r>
      <w:r w:rsidRPr="00382917">
        <w:t>the</w:t>
      </w:r>
      <w:r w:rsidR="00EE4FC3">
        <w:t xml:space="preserve"> </w:t>
      </w:r>
      <w:r w:rsidRPr="00382917">
        <w:t>laxity</w:t>
      </w:r>
      <w:r w:rsidR="00EE4FC3">
        <w:t xml:space="preserve"> </w:t>
      </w:r>
      <w:r w:rsidRPr="00382917">
        <w:t>with</w:t>
      </w:r>
      <w:r w:rsidR="00EE4FC3">
        <w:t xml:space="preserve"> </w:t>
      </w:r>
      <w:r w:rsidRPr="00382917">
        <w:t>which</w:t>
      </w:r>
      <w:r w:rsidR="00EE4FC3">
        <w:t xml:space="preserve"> </w:t>
      </w:r>
      <w:r w:rsidRPr="00382917">
        <w:t>his</w:t>
      </w:r>
      <w:r w:rsidR="00EE4FC3">
        <w:t xml:space="preserve"> </w:t>
      </w:r>
      <w:r w:rsidRPr="00382917">
        <w:t>predecessor,</w:t>
      </w:r>
      <w:r w:rsidR="00EE4FC3">
        <w:t xml:space="preserve"> </w:t>
      </w:r>
      <w:r w:rsidRPr="00382917">
        <w:t>Ḥájí</w:t>
      </w:r>
      <w:r w:rsidR="00EE4FC3">
        <w:t xml:space="preserve"> </w:t>
      </w:r>
      <w:r w:rsidRPr="00382917">
        <w:t>Mírzá</w:t>
      </w:r>
      <w:r w:rsidR="00EE4FC3">
        <w:t xml:space="preserve"> </w:t>
      </w:r>
      <w:r w:rsidRPr="00382917">
        <w:t>Áqásí,</w:t>
      </w:r>
      <w:r w:rsidR="00EE4FC3">
        <w:t xml:space="preserve"> </w:t>
      </w:r>
      <w:r w:rsidRPr="00382917">
        <w:t>had</w:t>
      </w:r>
      <w:r w:rsidR="00EE4FC3">
        <w:t xml:space="preserve"> </w:t>
      </w:r>
      <w:r w:rsidRPr="00382917">
        <w:t>allowed</w:t>
      </w:r>
      <w:r w:rsidR="00EE4FC3">
        <w:t xml:space="preserve"> </w:t>
      </w:r>
      <w:r w:rsidRPr="00382917">
        <w:t>so</w:t>
      </w:r>
      <w:r w:rsidR="00EE4FC3">
        <w:t xml:space="preserve"> </w:t>
      </w:r>
      <w:r w:rsidRPr="00382917">
        <w:t>great</w:t>
      </w:r>
      <w:r w:rsidR="00EE4FC3">
        <w:t xml:space="preserve"> </w:t>
      </w:r>
      <w:r w:rsidRPr="00382917">
        <w:t>a</w:t>
      </w:r>
      <w:r w:rsidR="00EE4FC3">
        <w:t xml:space="preserve"> </w:t>
      </w:r>
      <w:r w:rsidRPr="00382917">
        <w:t>peril</w:t>
      </w:r>
      <w:r w:rsidR="00EE4FC3">
        <w:t xml:space="preserve"> </w:t>
      </w:r>
      <w:r w:rsidRPr="00382917">
        <w:t>to</w:t>
      </w:r>
      <w:r w:rsidR="00EE4FC3">
        <w:t xml:space="preserve"> </w:t>
      </w:r>
      <w:r w:rsidRPr="00382917">
        <w:t>grow</w:t>
      </w:r>
      <w:r w:rsidR="00330AF7">
        <w:t>.</w:t>
      </w:r>
      <w:r w:rsidR="00EE4FC3">
        <w:t xml:space="preserve">  </w:t>
      </w:r>
      <w:r w:rsidRPr="00382917">
        <w:t>He</w:t>
      </w:r>
      <w:r w:rsidR="00EE4FC3">
        <w:t xml:space="preserve"> </w:t>
      </w:r>
      <w:r w:rsidRPr="00382917">
        <w:t>was</w:t>
      </w:r>
      <w:r w:rsidR="00EE4FC3">
        <w:t xml:space="preserve"> </w:t>
      </w:r>
      <w:r w:rsidRPr="00382917">
        <w:t>determined</w:t>
      </w:r>
      <w:r w:rsidR="00EE4FC3">
        <w:t xml:space="preserve"> </w:t>
      </w:r>
      <w:r w:rsidRPr="00382917">
        <w:t>that</w:t>
      </w:r>
      <w:r w:rsidR="00EE4FC3">
        <w:t xml:space="preserve"> </w:t>
      </w:r>
      <w:r w:rsidRPr="00382917">
        <w:t>this</w:t>
      </w:r>
      <w:r w:rsidR="00EE4FC3">
        <w:t xml:space="preserve"> </w:t>
      </w:r>
      <w:r w:rsidRPr="00382917">
        <w:t>weak</w:t>
      </w:r>
      <w:r w:rsidR="00EE4FC3">
        <w:t xml:space="preserve"> </w:t>
      </w:r>
      <w:r w:rsidRPr="00382917">
        <w:t>policy</w:t>
      </w:r>
      <w:r w:rsidR="00EE4FC3">
        <w:t xml:space="preserve"> </w:t>
      </w:r>
      <w:r w:rsidRPr="00382917">
        <w:t>must</w:t>
      </w:r>
      <w:r w:rsidR="00EE4FC3">
        <w:t xml:space="preserve"> </w:t>
      </w:r>
      <w:r w:rsidRPr="00382917">
        <w:t>cease</w:t>
      </w:r>
      <w:r w:rsidR="00EE4FC3">
        <w:t xml:space="preserve"> </w:t>
      </w:r>
      <w:r w:rsidRPr="00382917">
        <w:t>at</w:t>
      </w:r>
      <w:r w:rsidR="00EE4FC3">
        <w:t xml:space="preserve"> </w:t>
      </w:r>
      <w:r w:rsidRPr="00382917">
        <w:t>once</w:t>
      </w:r>
      <w:r w:rsidR="00330AF7">
        <w:t>.</w:t>
      </w:r>
      <w:r w:rsidR="00EE4FC3">
        <w:t xml:space="preserve">  </w:t>
      </w:r>
      <w:r w:rsidRPr="00382917">
        <w:t>To</w:t>
      </w:r>
      <w:r w:rsidR="00EE4FC3">
        <w:t xml:space="preserve"> </w:t>
      </w:r>
      <w:r w:rsidRPr="00382917">
        <w:t>allow</w:t>
      </w:r>
      <w:r w:rsidR="00EE4FC3">
        <w:t xml:space="preserve"> </w:t>
      </w:r>
      <w:r w:rsidRPr="00382917">
        <w:t>the</w:t>
      </w:r>
      <w:r w:rsidR="00EE4FC3">
        <w:t xml:space="preserve"> </w:t>
      </w:r>
      <w:r w:rsidRPr="00382917">
        <w:t>Báb</w:t>
      </w:r>
      <w:r w:rsidR="00EE4FC3">
        <w:t xml:space="preserve"> </w:t>
      </w:r>
      <w:r w:rsidRPr="00382917">
        <w:t>to</w:t>
      </w:r>
      <w:r w:rsidR="00EE4FC3">
        <w:t xml:space="preserve"> </w:t>
      </w:r>
      <w:r w:rsidRPr="00382917">
        <w:t>continue</w:t>
      </w:r>
      <w:r w:rsidR="00EE4FC3">
        <w:t xml:space="preserve"> </w:t>
      </w:r>
      <w:r w:rsidRPr="00382917">
        <w:t>to</w:t>
      </w:r>
      <w:r w:rsidR="00EE4FC3">
        <w:t xml:space="preserve"> </w:t>
      </w:r>
      <w:r w:rsidRPr="00382917">
        <w:t>gain</w:t>
      </w:r>
      <w:r w:rsidR="00EE4FC3">
        <w:t xml:space="preserve"> </w:t>
      </w:r>
      <w:r w:rsidRPr="00382917">
        <w:t>in</w:t>
      </w:r>
      <w:r w:rsidR="00EE4FC3">
        <w:t xml:space="preserve"> </w:t>
      </w:r>
      <w:r w:rsidRPr="00382917">
        <w:t>glory</w:t>
      </w:r>
      <w:r w:rsidR="00EE4FC3">
        <w:t xml:space="preserve"> </w:t>
      </w:r>
      <w:r w:rsidRPr="00382917">
        <w:t>and</w:t>
      </w:r>
      <w:r w:rsidR="00EE4FC3">
        <w:t xml:space="preserve"> </w:t>
      </w:r>
      <w:r w:rsidRPr="00382917">
        <w:t>prestige</w:t>
      </w:r>
      <w:r w:rsidR="00EE4FC3">
        <w:t xml:space="preserve"> </w:t>
      </w:r>
      <w:r w:rsidRPr="00382917">
        <w:t>was</w:t>
      </w:r>
      <w:r w:rsidR="00EE4FC3">
        <w:t xml:space="preserve"> </w:t>
      </w:r>
      <w:r w:rsidRPr="00382917">
        <w:t>unthinkable.</w:t>
      </w:r>
    </w:p>
    <w:p w:rsidR="00621DD5" w:rsidRPr="00382917" w:rsidRDefault="009C713D" w:rsidP="00621DD5">
      <w:pPr>
        <w:pStyle w:val="Text"/>
      </w:pPr>
      <w:r w:rsidRPr="00382917">
        <w:t>“</w:t>
      </w:r>
      <w:r w:rsidR="00621DD5" w:rsidRPr="00382917">
        <w:t>Nothing,</w:t>
      </w:r>
      <w:r w:rsidRPr="00382917">
        <w:t>”</w:t>
      </w:r>
      <w:r w:rsidR="00EE4FC3">
        <w:t xml:space="preserve"> </w:t>
      </w:r>
      <w:r w:rsidR="00621DD5" w:rsidRPr="00382917">
        <w:t>he</w:t>
      </w:r>
      <w:r w:rsidR="00EE4FC3">
        <w:t xml:space="preserve"> </w:t>
      </w:r>
      <w:r w:rsidR="00621DD5" w:rsidRPr="00382917">
        <w:t>told</w:t>
      </w:r>
      <w:r w:rsidR="00EE4FC3">
        <w:t xml:space="preserve"> </w:t>
      </w:r>
      <w:r w:rsidR="00621DD5" w:rsidRPr="00382917">
        <w:t>them,</w:t>
      </w:r>
      <w:r w:rsidR="00EE4FC3">
        <w:t xml:space="preserve"> </w:t>
      </w:r>
      <w:r w:rsidRPr="00382917">
        <w:t>“</w:t>
      </w:r>
      <w:r w:rsidR="00621DD5" w:rsidRPr="00382917">
        <w:t>short</w:t>
      </w:r>
      <w:r w:rsidR="00EE4FC3">
        <w:t xml:space="preserve"> </w:t>
      </w:r>
      <w:r w:rsidR="00621DD5" w:rsidRPr="00382917">
        <w:t>of</w:t>
      </w:r>
      <w:r w:rsidR="00EE4FC3">
        <w:t xml:space="preserve"> </w:t>
      </w:r>
      <w:r w:rsidR="00621DD5" w:rsidRPr="00382917">
        <w:t>his</w:t>
      </w:r>
      <w:r w:rsidR="00EE4FC3">
        <w:t xml:space="preserve"> </w:t>
      </w:r>
      <w:r w:rsidR="00621DD5" w:rsidRPr="00382917">
        <w:t>public</w:t>
      </w:r>
      <w:r w:rsidR="00EE4FC3">
        <w:t xml:space="preserve"> </w:t>
      </w:r>
      <w:r w:rsidR="00621DD5" w:rsidRPr="00382917">
        <w:t>execution</w:t>
      </w:r>
      <w:r w:rsidR="00EE4FC3">
        <w:t xml:space="preserve"> </w:t>
      </w:r>
      <w:r w:rsidR="00621DD5" w:rsidRPr="00382917">
        <w:t>can,</w:t>
      </w:r>
      <w:r w:rsidR="00EE4FC3">
        <w:t xml:space="preserve"> </w:t>
      </w:r>
      <w:r w:rsidR="00621DD5" w:rsidRPr="00382917">
        <w:t>to</w:t>
      </w:r>
      <w:r w:rsidR="00EE4FC3">
        <w:t xml:space="preserve"> </w:t>
      </w:r>
      <w:r w:rsidR="00621DD5" w:rsidRPr="00382917">
        <w:t>my</w:t>
      </w:r>
      <w:r w:rsidR="00EE4FC3">
        <w:t xml:space="preserve"> </w:t>
      </w:r>
      <w:r w:rsidR="00621DD5" w:rsidRPr="00382917">
        <w:t>mind,</w:t>
      </w:r>
      <w:r w:rsidR="00EE4FC3">
        <w:t xml:space="preserve"> </w:t>
      </w:r>
      <w:proofErr w:type="gramStart"/>
      <w:r w:rsidR="00621DD5" w:rsidRPr="00382917">
        <w:t>enable</w:t>
      </w:r>
      <w:proofErr w:type="gramEnd"/>
      <w:r w:rsidR="00EE4FC3">
        <w:t xml:space="preserve"> </w:t>
      </w:r>
      <w:r w:rsidR="00621DD5" w:rsidRPr="00382917">
        <w:t>this</w:t>
      </w:r>
      <w:r w:rsidR="00EE4FC3">
        <w:t xml:space="preserve"> </w:t>
      </w:r>
      <w:r w:rsidR="00621DD5" w:rsidRPr="00382917">
        <w:t>distracted</w:t>
      </w:r>
      <w:r w:rsidR="00EE4FC3">
        <w:t xml:space="preserve"> </w:t>
      </w:r>
      <w:r w:rsidR="00621DD5" w:rsidRPr="00382917">
        <w:t>country</w:t>
      </w:r>
      <w:r w:rsidR="00EE4FC3">
        <w:t xml:space="preserve"> </w:t>
      </w:r>
      <w:r w:rsidR="00621DD5" w:rsidRPr="00382917">
        <w:t>to</w:t>
      </w:r>
      <w:r w:rsidR="00EE4FC3">
        <w:t xml:space="preserve"> </w:t>
      </w:r>
      <w:r w:rsidR="00621DD5" w:rsidRPr="00382917">
        <w:t>recover</w:t>
      </w:r>
      <w:r w:rsidR="00EE4FC3">
        <w:t xml:space="preserve"> </w:t>
      </w:r>
      <w:r w:rsidR="00621DD5" w:rsidRPr="00382917">
        <w:t>its</w:t>
      </w:r>
      <w:r w:rsidR="00EE4FC3">
        <w:t xml:space="preserve"> </w:t>
      </w:r>
      <w:r w:rsidR="00621DD5" w:rsidRPr="00382917">
        <w:t>tranquillity</w:t>
      </w:r>
      <w:r w:rsidR="00EE4FC3">
        <w:t xml:space="preserve"> </w:t>
      </w:r>
      <w:r w:rsidR="00621DD5" w:rsidRPr="00382917">
        <w:t>and</w:t>
      </w:r>
      <w:r w:rsidR="00EE4FC3">
        <w:t xml:space="preserve"> </w:t>
      </w:r>
      <w:r w:rsidR="00621DD5" w:rsidRPr="00382917">
        <w:t>peace!</w:t>
      </w:r>
      <w:r w:rsidRPr="00382917">
        <w:t>”</w:t>
      </w:r>
    </w:p>
    <w:p w:rsidR="00621DD5" w:rsidRPr="00382917" w:rsidRDefault="00621DD5" w:rsidP="00621DD5">
      <w:pPr>
        <w:pStyle w:val="Text"/>
      </w:pPr>
      <w:r w:rsidRPr="00382917">
        <w:t>Seeing</w:t>
      </w:r>
      <w:r w:rsidR="00EE4FC3">
        <w:t xml:space="preserve"> </w:t>
      </w:r>
      <w:r w:rsidRPr="00382917">
        <w:t>his</w:t>
      </w:r>
      <w:r w:rsidR="00EE4FC3">
        <w:t xml:space="preserve"> </w:t>
      </w:r>
      <w:r w:rsidRPr="00382917">
        <w:t>wrath,</w:t>
      </w:r>
      <w:r w:rsidR="00EE4FC3">
        <w:t xml:space="preserve"> </w:t>
      </w:r>
      <w:r w:rsidRPr="00382917">
        <w:t>not</w:t>
      </w:r>
      <w:r w:rsidR="00EE4FC3">
        <w:t xml:space="preserve"> </w:t>
      </w:r>
      <w:r w:rsidRPr="00382917">
        <w:t>a</w:t>
      </w:r>
      <w:r w:rsidR="00EE4FC3">
        <w:t xml:space="preserve"> </w:t>
      </w:r>
      <w:r w:rsidRPr="00382917">
        <w:t>single</w:t>
      </w:r>
      <w:r w:rsidR="00EE4FC3">
        <w:t xml:space="preserve"> </w:t>
      </w:r>
      <w:r w:rsidRPr="00382917">
        <w:t>voice</w:t>
      </w:r>
      <w:r w:rsidR="00EE4FC3">
        <w:t xml:space="preserve"> </w:t>
      </w:r>
      <w:r w:rsidRPr="00382917">
        <w:t>dared</w:t>
      </w:r>
      <w:r w:rsidR="00EE4FC3">
        <w:t xml:space="preserve"> </w:t>
      </w:r>
      <w:r w:rsidRPr="00382917">
        <w:t>to</w:t>
      </w:r>
      <w:r w:rsidR="00EE4FC3">
        <w:t xml:space="preserve"> </w:t>
      </w:r>
      <w:r w:rsidRPr="00382917">
        <w:t>speak</w:t>
      </w:r>
      <w:r w:rsidR="00EE4FC3">
        <w:t xml:space="preserve"> </w:t>
      </w:r>
      <w:r w:rsidRPr="00382917">
        <w:t>against</w:t>
      </w:r>
      <w:r w:rsidR="00EE4FC3">
        <w:t xml:space="preserve"> </w:t>
      </w:r>
      <w:r w:rsidRPr="00382917">
        <w:t>his</w:t>
      </w:r>
      <w:r w:rsidR="00EE4FC3">
        <w:t xml:space="preserve"> </w:t>
      </w:r>
      <w:r w:rsidRPr="00382917">
        <w:t>plan</w:t>
      </w:r>
      <w:r w:rsidR="00330AF7">
        <w:t>.</w:t>
      </w:r>
      <w:r w:rsidR="00EE4FC3">
        <w:t xml:space="preserve">  </w:t>
      </w:r>
      <w:r w:rsidRPr="00382917">
        <w:t>After</w:t>
      </w:r>
      <w:r w:rsidR="00EE4FC3">
        <w:t xml:space="preserve"> </w:t>
      </w:r>
      <w:r w:rsidRPr="00382917">
        <w:t>a</w:t>
      </w:r>
      <w:r w:rsidR="00EE4FC3">
        <w:t xml:space="preserve"> </w:t>
      </w:r>
      <w:r w:rsidRPr="00382917">
        <w:t>long</w:t>
      </w:r>
      <w:r w:rsidR="00EE4FC3">
        <w:t xml:space="preserve"> </w:t>
      </w:r>
      <w:r w:rsidRPr="00382917">
        <w:t>silence,</w:t>
      </w:r>
      <w:r w:rsidR="00EE4FC3">
        <w:t xml:space="preserve"> </w:t>
      </w:r>
      <w:r w:rsidRPr="00382917">
        <w:t>one</w:t>
      </w:r>
      <w:r w:rsidR="00EE4FC3">
        <w:t xml:space="preserve"> </w:t>
      </w:r>
      <w:r w:rsidRPr="00382917">
        <w:t>quiet</w:t>
      </w:r>
      <w:r w:rsidR="00EE4FC3">
        <w:t xml:space="preserve"> </w:t>
      </w:r>
      <w:r w:rsidRPr="00382917">
        <w:t>courageous</w:t>
      </w:r>
      <w:r w:rsidR="00EE4FC3">
        <w:t xml:space="preserve"> </w:t>
      </w:r>
      <w:r w:rsidRPr="00382917">
        <w:t>voice</w:t>
      </w:r>
      <w:r w:rsidR="00EE4FC3">
        <w:t xml:space="preserve"> </w:t>
      </w:r>
      <w:r w:rsidRPr="00382917">
        <w:t>arose</w:t>
      </w:r>
      <w:r w:rsidR="00EE4FC3">
        <w:t xml:space="preserve"> </w:t>
      </w:r>
      <w:r w:rsidRPr="00382917">
        <w:t>in</w:t>
      </w:r>
      <w:r w:rsidR="00EE4FC3">
        <w:t xml:space="preserve"> </w:t>
      </w:r>
      <w:r w:rsidRPr="00382917">
        <w:t>protest</w:t>
      </w:r>
      <w:r w:rsidR="00330AF7">
        <w:t>.</w:t>
      </w:r>
      <w:r w:rsidR="00EE4FC3">
        <w:t xml:space="preserve">  </w:t>
      </w:r>
      <w:r w:rsidRPr="00382917">
        <w:t>It</w:t>
      </w:r>
      <w:r w:rsidR="00EE4FC3">
        <w:t xml:space="preserve"> </w:t>
      </w:r>
      <w:r w:rsidRPr="00382917">
        <w:t>was</w:t>
      </w:r>
      <w:r w:rsidR="00EE4FC3">
        <w:t xml:space="preserve"> </w:t>
      </w:r>
      <w:r w:rsidRPr="00382917">
        <w:t>that</w:t>
      </w:r>
      <w:r w:rsidR="00EE4FC3">
        <w:t xml:space="preserve"> </w:t>
      </w:r>
      <w:r w:rsidRPr="00382917">
        <w:t>of</w:t>
      </w:r>
      <w:r w:rsidR="00EE4FC3">
        <w:t xml:space="preserve"> </w:t>
      </w:r>
      <w:r w:rsidRPr="00382917">
        <w:t>the</w:t>
      </w:r>
      <w:r w:rsidR="00EE4FC3">
        <w:t xml:space="preserve"> </w:t>
      </w:r>
      <w:r w:rsidRPr="00382917">
        <w:t>Minister</w:t>
      </w:r>
      <w:r w:rsidR="00EE4FC3">
        <w:t xml:space="preserve"> </w:t>
      </w:r>
      <w:r w:rsidRPr="00382917">
        <w:t>of</w:t>
      </w:r>
      <w:r w:rsidR="00EE4FC3">
        <w:t xml:space="preserve"> </w:t>
      </w:r>
      <w:r w:rsidRPr="00382917">
        <w:t>War</w:t>
      </w:r>
      <w:r w:rsidR="00EE4FC3">
        <w:t xml:space="preserve"> </w:t>
      </w:r>
      <w:r w:rsidRPr="00382917">
        <w:t>who</w:t>
      </w:r>
      <w:r w:rsidR="00EE4FC3">
        <w:t xml:space="preserve"> </w:t>
      </w:r>
      <w:r w:rsidRPr="00382917">
        <w:t>was</w:t>
      </w:r>
      <w:r w:rsidR="00EE4FC3">
        <w:t xml:space="preserve"> </w:t>
      </w:r>
      <w:r w:rsidRPr="00382917">
        <w:t>later</w:t>
      </w:r>
      <w:r w:rsidR="00EE4FC3">
        <w:t xml:space="preserve"> </w:t>
      </w:r>
      <w:r w:rsidRPr="00382917">
        <w:t>to</w:t>
      </w:r>
      <w:r w:rsidR="00EE4FC3">
        <w:t xml:space="preserve"> </w:t>
      </w:r>
      <w:r w:rsidRPr="00382917">
        <w:t>succeed</w:t>
      </w:r>
      <w:r w:rsidR="00EE4FC3">
        <w:t xml:space="preserve"> </w:t>
      </w:r>
      <w:r w:rsidRPr="00382917">
        <w:t>Mírzá</w:t>
      </w:r>
      <w:r w:rsidR="00EE4FC3">
        <w:t xml:space="preserve"> </w:t>
      </w:r>
      <w:r w:rsidRPr="00382917">
        <w:t>Taqí</w:t>
      </w:r>
      <w:r w:rsidR="00EE4FC3">
        <w:t xml:space="preserve"> </w:t>
      </w:r>
      <w:r w:rsidR="0040329F" w:rsidRPr="0040329F">
        <w:rPr>
          <w:u w:val="single"/>
        </w:rPr>
        <w:t>Kh</w:t>
      </w:r>
      <w:r w:rsidR="0040329F" w:rsidRPr="00382917">
        <w:t>án</w:t>
      </w:r>
      <w:r w:rsidR="00330AF7">
        <w:t>.</w:t>
      </w:r>
      <w:r w:rsidR="00EE4FC3">
        <w:t xml:space="preserve">  </w:t>
      </w:r>
      <w:r w:rsidRPr="00382917">
        <w:t>He</w:t>
      </w:r>
      <w:r w:rsidR="00EE4FC3">
        <w:t xml:space="preserve"> </w:t>
      </w:r>
      <w:r w:rsidRPr="00382917">
        <w:t>suggested</w:t>
      </w:r>
      <w:r w:rsidR="00EE4FC3">
        <w:t xml:space="preserve"> </w:t>
      </w:r>
      <w:r w:rsidRPr="00382917">
        <w:t>a</w:t>
      </w:r>
      <w:r w:rsidR="00EE4FC3">
        <w:t xml:space="preserve"> </w:t>
      </w:r>
      <w:r w:rsidRPr="00382917">
        <w:t>less</w:t>
      </w:r>
      <w:r w:rsidR="00EE4FC3">
        <w:t xml:space="preserve"> </w:t>
      </w:r>
      <w:r w:rsidRPr="00382917">
        <w:t>violent</w:t>
      </w:r>
      <w:r w:rsidR="00EE4FC3">
        <w:t xml:space="preserve"> </w:t>
      </w:r>
      <w:r w:rsidRPr="00382917">
        <w:t>course</w:t>
      </w:r>
      <w:r w:rsidR="00330AF7">
        <w:t>.</w:t>
      </w:r>
      <w:r w:rsidR="00EE4FC3">
        <w:t xml:space="preserve">  </w:t>
      </w:r>
      <w:r w:rsidRPr="00382917">
        <w:t>The</w:t>
      </w:r>
      <w:r w:rsidR="00EE4FC3">
        <w:t xml:space="preserve"> </w:t>
      </w:r>
      <w:r w:rsidRPr="00382917">
        <w:t>Prime</w:t>
      </w:r>
      <w:r w:rsidR="00EE4FC3">
        <w:t xml:space="preserve"> </w:t>
      </w:r>
      <w:r w:rsidRPr="00382917">
        <w:t>Minister</w:t>
      </w:r>
      <w:r w:rsidR="00EE4FC3">
        <w:t xml:space="preserve"> </w:t>
      </w:r>
      <w:r w:rsidRPr="00382917">
        <w:t>was</w:t>
      </w:r>
      <w:r w:rsidR="00EE4FC3">
        <w:t xml:space="preserve"> </w:t>
      </w:r>
      <w:r w:rsidRPr="00382917">
        <w:t>very</w:t>
      </w:r>
      <w:r w:rsidR="00EE4FC3">
        <w:t xml:space="preserve"> </w:t>
      </w:r>
      <w:r w:rsidRPr="00382917">
        <w:t>displeased</w:t>
      </w:r>
      <w:r w:rsidR="00330AF7">
        <w:t>.</w:t>
      </w:r>
      <w:r w:rsidR="00EE4FC3">
        <w:t xml:space="preserve">  </w:t>
      </w:r>
      <w:r w:rsidRPr="00382917">
        <w:t>He</w:t>
      </w:r>
      <w:r w:rsidR="00EE4FC3">
        <w:t xml:space="preserve"> </w:t>
      </w:r>
      <w:r w:rsidRPr="00382917">
        <w:t>put</w:t>
      </w:r>
      <w:r w:rsidR="00EE4FC3">
        <w:t xml:space="preserve"> </w:t>
      </w:r>
      <w:r w:rsidRPr="00382917">
        <w:t>down</w:t>
      </w:r>
      <w:r w:rsidR="00EE4FC3">
        <w:t xml:space="preserve"> </w:t>
      </w:r>
      <w:r w:rsidRPr="00382917">
        <w:t>this</w:t>
      </w:r>
      <w:r w:rsidR="00EE4FC3">
        <w:t xml:space="preserve"> </w:t>
      </w:r>
      <w:r w:rsidRPr="00382917">
        <w:t>opposition</w:t>
      </w:r>
      <w:r w:rsidR="00EE4FC3">
        <w:t xml:space="preserve"> </w:t>
      </w:r>
      <w:r w:rsidRPr="00382917">
        <w:t>at</w:t>
      </w:r>
      <w:r w:rsidR="00EE4FC3">
        <w:t xml:space="preserve"> </w:t>
      </w:r>
      <w:r w:rsidRPr="00382917">
        <w:t>once.</w:t>
      </w:r>
    </w:p>
    <w:p w:rsidR="00621DD5" w:rsidRPr="00382917" w:rsidRDefault="009C713D" w:rsidP="00621DD5">
      <w:pPr>
        <w:pStyle w:val="Text"/>
      </w:pPr>
      <w:r w:rsidRPr="00382917">
        <w:t>“</w:t>
      </w:r>
      <w:r w:rsidR="00621DD5" w:rsidRPr="00382917">
        <w:t>Nothing</w:t>
      </w:r>
      <w:r w:rsidR="00EE4FC3">
        <w:t xml:space="preserve"> </w:t>
      </w:r>
      <w:r w:rsidR="00621DD5" w:rsidRPr="00382917">
        <w:t>short</w:t>
      </w:r>
      <w:r w:rsidR="00EE4FC3">
        <w:t xml:space="preserve"> </w:t>
      </w:r>
      <w:r w:rsidR="00621DD5" w:rsidRPr="00382917">
        <w:t>of</w:t>
      </w:r>
      <w:r w:rsidR="00EE4FC3">
        <w:t xml:space="preserve"> </w:t>
      </w:r>
      <w:r w:rsidR="00621DD5" w:rsidRPr="00382917">
        <w:t>the</w:t>
      </w:r>
      <w:r w:rsidR="00EE4FC3">
        <w:t xml:space="preserve"> </w:t>
      </w:r>
      <w:r w:rsidR="00621DD5" w:rsidRPr="00382917">
        <w:t>remedy</w:t>
      </w:r>
      <w:r w:rsidR="00EE4FC3">
        <w:t xml:space="preserve"> </w:t>
      </w:r>
      <w:r w:rsidR="00621DD5" w:rsidRPr="00382917">
        <w:t>I</w:t>
      </w:r>
      <w:r w:rsidR="00EE4FC3">
        <w:t xml:space="preserve"> </w:t>
      </w:r>
      <w:r w:rsidR="00621DD5" w:rsidRPr="00382917">
        <w:t>advocate</w:t>
      </w:r>
      <w:r w:rsidR="00EE4FC3">
        <w:t xml:space="preserve"> </w:t>
      </w:r>
      <w:r w:rsidR="00621DD5" w:rsidRPr="00382917">
        <w:t>can</w:t>
      </w:r>
      <w:r w:rsidR="00EE4FC3">
        <w:t xml:space="preserve"> </w:t>
      </w:r>
      <w:r w:rsidR="00621DD5" w:rsidRPr="00382917">
        <w:t>uproot</w:t>
      </w:r>
      <w:r w:rsidR="00EE4FC3">
        <w:t xml:space="preserve"> </w:t>
      </w:r>
      <w:r w:rsidR="00621DD5" w:rsidRPr="00382917">
        <w:t>this</w:t>
      </w:r>
      <w:r w:rsidR="00EE4FC3">
        <w:t xml:space="preserve"> </w:t>
      </w:r>
      <w:r w:rsidR="00621DD5" w:rsidRPr="00382917">
        <w:t>evil</w:t>
      </w:r>
      <w:r w:rsidR="00EE4FC3">
        <w:t xml:space="preserve"> </w:t>
      </w:r>
      <w:r w:rsidR="00621DD5" w:rsidRPr="00382917">
        <w:t>and</w:t>
      </w:r>
      <w:r w:rsidR="00EE4FC3">
        <w:t xml:space="preserve"> </w:t>
      </w:r>
      <w:r w:rsidR="00621DD5" w:rsidRPr="00382917">
        <w:t>bring</w:t>
      </w:r>
      <w:r w:rsidR="00EE4FC3">
        <w:t xml:space="preserve"> </w:t>
      </w:r>
      <w:r w:rsidR="00621DD5" w:rsidRPr="00382917">
        <w:t>us</w:t>
      </w:r>
      <w:r w:rsidR="00EE4FC3">
        <w:t xml:space="preserve"> </w:t>
      </w:r>
      <w:r w:rsidR="00621DD5" w:rsidRPr="00382917">
        <w:t>the</w:t>
      </w:r>
      <w:r w:rsidR="00EE4FC3">
        <w:t xml:space="preserve"> </w:t>
      </w:r>
      <w:r w:rsidR="00621DD5" w:rsidRPr="00382917">
        <w:t>peace</w:t>
      </w:r>
      <w:r w:rsidR="00EE4FC3">
        <w:t xml:space="preserve"> </w:t>
      </w:r>
      <w:r w:rsidR="00621DD5" w:rsidRPr="00382917">
        <w:t>for</w:t>
      </w:r>
      <w:r w:rsidR="00EE4FC3">
        <w:t xml:space="preserve"> </w:t>
      </w:r>
      <w:r w:rsidR="00621DD5" w:rsidRPr="00382917">
        <w:t>which</w:t>
      </w:r>
      <w:r w:rsidR="00EE4FC3">
        <w:t xml:space="preserve"> </w:t>
      </w:r>
      <w:r w:rsidR="00621DD5" w:rsidRPr="00382917">
        <w:t>we</w:t>
      </w:r>
      <w:r w:rsidR="00EE4FC3">
        <w:t xml:space="preserve"> </w:t>
      </w:r>
      <w:r w:rsidR="00621DD5" w:rsidRPr="00382917">
        <w:t>long,</w:t>
      </w:r>
      <w:r w:rsidRPr="00382917">
        <w:t>”</w:t>
      </w:r>
      <w:r w:rsidR="00EE4FC3">
        <w:t xml:space="preserve"> </w:t>
      </w:r>
      <w:r w:rsidR="00621DD5" w:rsidRPr="00382917">
        <w:t>he</w:t>
      </w:r>
      <w:r w:rsidR="00EE4FC3">
        <w:t xml:space="preserve"> </w:t>
      </w:r>
      <w:r w:rsidR="00621DD5" w:rsidRPr="00382917">
        <w:t>said.</w:t>
      </w:r>
    </w:p>
    <w:p w:rsidR="00621DD5" w:rsidRPr="00382917" w:rsidRDefault="00621DD5" w:rsidP="00EB5C5D">
      <w:pPr>
        <w:pStyle w:val="Text"/>
      </w:pPr>
      <w:r w:rsidRPr="00382917">
        <w:t>Disregarding</w:t>
      </w:r>
      <w:r w:rsidR="00EE4FC3">
        <w:t xml:space="preserve"> </w:t>
      </w:r>
      <w:r w:rsidRPr="00382917">
        <w:t>the</w:t>
      </w:r>
      <w:r w:rsidR="00EE4FC3">
        <w:t xml:space="preserve"> </w:t>
      </w:r>
      <w:r w:rsidRPr="00382917">
        <w:t>advice</w:t>
      </w:r>
      <w:r w:rsidR="00EE4FC3">
        <w:t xml:space="preserve"> </w:t>
      </w:r>
      <w:r w:rsidRPr="00382917">
        <w:t>of</w:t>
      </w:r>
      <w:r w:rsidR="00EE4FC3">
        <w:t xml:space="preserve"> </w:t>
      </w:r>
      <w:r w:rsidRPr="00382917">
        <w:t>any</w:t>
      </w:r>
      <w:r w:rsidR="00EE4FC3">
        <w:t xml:space="preserve"> </w:t>
      </w:r>
      <w:r w:rsidRPr="00382917">
        <w:t>who</w:t>
      </w:r>
      <w:r w:rsidR="00EE4FC3">
        <w:t xml:space="preserve"> </w:t>
      </w:r>
      <w:r w:rsidRPr="00382917">
        <w:t>disagreed</w:t>
      </w:r>
      <w:r w:rsidR="00EE4FC3">
        <w:t xml:space="preserve"> </w:t>
      </w:r>
      <w:r w:rsidRPr="00382917">
        <w:t>with</w:t>
      </w:r>
      <w:r w:rsidR="00EE4FC3">
        <w:t xml:space="preserve"> </w:t>
      </w:r>
      <w:r w:rsidRPr="00382917">
        <w:t>him,</w:t>
      </w:r>
      <w:r w:rsidR="00EE4FC3">
        <w:t xml:space="preserve"> </w:t>
      </w:r>
      <w:r w:rsidRPr="00382917">
        <w:t>the</w:t>
      </w:r>
      <w:r w:rsidR="00EE4FC3">
        <w:t xml:space="preserve"> </w:t>
      </w:r>
      <w:r w:rsidRPr="00382917">
        <w:t>Prime</w:t>
      </w:r>
      <w:r w:rsidR="00EE4FC3">
        <w:t xml:space="preserve"> </w:t>
      </w:r>
      <w:r w:rsidRPr="00382917">
        <w:t>Minister</w:t>
      </w:r>
      <w:r w:rsidR="00EE4FC3">
        <w:t xml:space="preserve"> </w:t>
      </w:r>
      <w:r w:rsidRPr="00382917">
        <w:t>dispatched</w:t>
      </w:r>
      <w:r w:rsidR="00EE4FC3">
        <w:t xml:space="preserve"> </w:t>
      </w:r>
      <w:r w:rsidRPr="00382917">
        <w:t>an</w:t>
      </w:r>
      <w:r w:rsidR="00EE4FC3">
        <w:t xml:space="preserve"> </w:t>
      </w:r>
      <w:r w:rsidRPr="00382917">
        <w:t>order</w:t>
      </w:r>
      <w:r w:rsidR="00EE4FC3">
        <w:t xml:space="preserve"> </w:t>
      </w:r>
      <w:r w:rsidRPr="00382917">
        <w:t>to</w:t>
      </w:r>
      <w:r w:rsidR="00EE4FC3">
        <w:t xml:space="preserve"> </w:t>
      </w:r>
      <w:r w:rsidRPr="00382917">
        <w:t>the</w:t>
      </w:r>
      <w:r w:rsidR="00EE4FC3">
        <w:t xml:space="preserve"> </w:t>
      </w:r>
      <w:r w:rsidRPr="00382917">
        <w:t>governor</w:t>
      </w:r>
      <w:r w:rsidR="00EE4FC3">
        <w:t xml:space="preserve"> </w:t>
      </w:r>
      <w:r w:rsidRPr="00382917">
        <w:t>of</w:t>
      </w:r>
      <w:r w:rsidR="00EE4FC3">
        <w:t xml:space="preserve"> </w:t>
      </w:r>
      <w:r w:rsidR="00B24C41">
        <w:t>Tabríz</w:t>
      </w:r>
      <w:r w:rsidRPr="00382917">
        <w:t>,</w:t>
      </w:r>
      <w:r w:rsidR="00EE4FC3">
        <w:t xml:space="preserve"> </w:t>
      </w:r>
      <w:r w:rsidRPr="00382917">
        <w:t>commanding</w:t>
      </w:r>
      <w:r w:rsidR="00EE4FC3">
        <w:t xml:space="preserve"> </w:t>
      </w:r>
      <w:r w:rsidRPr="00382917">
        <w:t>that</w:t>
      </w:r>
      <w:r w:rsidR="00EE4FC3">
        <w:t xml:space="preserve"> </w:t>
      </w:r>
      <w:r w:rsidRPr="00382917">
        <w:t>the</w:t>
      </w:r>
      <w:r w:rsidR="00EE4FC3">
        <w:t xml:space="preserve"> </w:t>
      </w:r>
      <w:r w:rsidRPr="00382917">
        <w:t>Báb</w:t>
      </w:r>
      <w:r w:rsidR="00EE4FC3">
        <w:t xml:space="preserve"> </w:t>
      </w:r>
      <w:r w:rsidRPr="00382917">
        <w:t>be</w:t>
      </w:r>
      <w:r w:rsidR="00EE4FC3">
        <w:t xml:space="preserve"> </w:t>
      </w:r>
      <w:r w:rsidRPr="00382917">
        <w:t>brought</w:t>
      </w:r>
      <w:r w:rsidR="00EE4FC3">
        <w:t xml:space="preserve"> </w:t>
      </w:r>
      <w:r w:rsidRPr="00382917">
        <w:t>from</w:t>
      </w:r>
      <w:r w:rsidR="00EE4FC3">
        <w:t xml:space="preserve"> </w:t>
      </w:r>
      <w:r w:rsidR="001713B3" w:rsidRPr="001713B3">
        <w:rPr>
          <w:u w:val="single"/>
        </w:rPr>
        <w:t>Ch</w:t>
      </w:r>
      <w:r w:rsidR="001713B3" w:rsidRPr="00382917">
        <w:t>ihríq</w:t>
      </w:r>
      <w:r w:rsidR="00EE4FC3">
        <w:t xml:space="preserve"> </w:t>
      </w:r>
      <w:r w:rsidRPr="00382917">
        <w:t>to</w:t>
      </w:r>
      <w:r w:rsidR="00EE4FC3">
        <w:t xml:space="preserve"> </w:t>
      </w:r>
      <w:r w:rsidRPr="00382917">
        <w:t>Tabr</w:t>
      </w:r>
      <w:r w:rsidRPr="00382917">
        <w:rPr>
          <w:sz w:val="22"/>
        </w:rPr>
        <w:t>í</w:t>
      </w:r>
      <w:r w:rsidRPr="00382917">
        <w:t>z</w:t>
      </w:r>
      <w:r w:rsidR="00330AF7">
        <w:t>.</w:t>
      </w:r>
      <w:r w:rsidR="00EE4FC3">
        <w:t xml:space="preserve">  </w:t>
      </w:r>
      <w:r w:rsidRPr="00382917">
        <w:t>The</w:t>
      </w:r>
      <w:r w:rsidR="00EE4FC3">
        <w:t xml:space="preserve"> </w:t>
      </w:r>
      <w:r w:rsidRPr="00382917">
        <w:t>order</w:t>
      </w:r>
      <w:r w:rsidR="00EE4FC3">
        <w:t xml:space="preserve"> </w:t>
      </w:r>
      <w:r w:rsidRPr="00382917">
        <w:t>requested</w:t>
      </w:r>
      <w:r w:rsidR="00EE4FC3">
        <w:t xml:space="preserve"> </w:t>
      </w:r>
      <w:r w:rsidRPr="00382917">
        <w:t>that</w:t>
      </w:r>
      <w:r w:rsidR="00EE4FC3">
        <w:t xml:space="preserve"> </w:t>
      </w:r>
      <w:r w:rsidRPr="00382917">
        <w:t>the</w:t>
      </w:r>
      <w:r w:rsidR="00EE4FC3">
        <w:t xml:space="preserve"> </w:t>
      </w:r>
      <w:r w:rsidRPr="00382917">
        <w:t>Báb</w:t>
      </w:r>
      <w:r w:rsidR="00EE4FC3">
        <w:t xml:space="preserve"> </w:t>
      </w:r>
      <w:r w:rsidRPr="00382917">
        <w:t>be</w:t>
      </w:r>
      <w:r w:rsidR="00EE4FC3">
        <w:t xml:space="preserve"> </w:t>
      </w:r>
      <w:r w:rsidRPr="00382917">
        <w:t>imprisoned</w:t>
      </w:r>
      <w:r w:rsidR="00EE4FC3">
        <w:t xml:space="preserve"> </w:t>
      </w:r>
      <w:r w:rsidRPr="00382917">
        <w:t>in</w:t>
      </w:r>
      <w:r w:rsidR="00EE4FC3">
        <w:t xml:space="preserve"> </w:t>
      </w:r>
      <w:r w:rsidRPr="00382917">
        <w:t>this</w:t>
      </w:r>
      <w:r w:rsidR="00EE4FC3">
        <w:t xml:space="preserve"> </w:t>
      </w:r>
      <w:r w:rsidRPr="00382917">
        <w:t>city</w:t>
      </w:r>
      <w:r w:rsidR="00EE4FC3">
        <w:t xml:space="preserve"> </w:t>
      </w:r>
      <w:r w:rsidRPr="00382917">
        <w:t>where</w:t>
      </w:r>
      <w:r w:rsidR="00EE4FC3">
        <w:t xml:space="preserve"> </w:t>
      </w:r>
      <w:r w:rsidRPr="00382917">
        <w:t>He</w:t>
      </w:r>
      <w:r w:rsidR="00EE4FC3">
        <w:t xml:space="preserve"> </w:t>
      </w:r>
      <w:r w:rsidRPr="00382917">
        <w:t>would</w:t>
      </w:r>
      <w:r w:rsidR="00EE4FC3">
        <w:t xml:space="preserve"> </w:t>
      </w:r>
      <w:r w:rsidRPr="00382917">
        <w:t>later</w:t>
      </w:r>
      <w:r w:rsidR="00EE4FC3">
        <w:t xml:space="preserve"> </w:t>
      </w:r>
      <w:r w:rsidRPr="00382917">
        <w:t>be</w:t>
      </w:r>
      <w:r w:rsidR="00EE4FC3">
        <w:t xml:space="preserve"> </w:t>
      </w:r>
      <w:r w:rsidRPr="00382917">
        <w:t>told</w:t>
      </w:r>
      <w:r w:rsidR="00EE4FC3">
        <w:t xml:space="preserve"> </w:t>
      </w:r>
      <w:r w:rsidRPr="00382917">
        <w:t>of</w:t>
      </w:r>
      <w:r w:rsidR="00EE4FC3">
        <w:t xml:space="preserve"> </w:t>
      </w:r>
      <w:r w:rsidRPr="00382917">
        <w:t>His</w:t>
      </w:r>
      <w:r w:rsidR="00EE4FC3">
        <w:t xml:space="preserve"> </w:t>
      </w:r>
      <w:r w:rsidRPr="00382917">
        <w:t>fate</w:t>
      </w:r>
      <w:r w:rsidR="00330AF7">
        <w:t>.</w:t>
      </w:r>
      <w:r w:rsidR="00EE4FC3">
        <w:t xml:space="preserve">  </w:t>
      </w:r>
      <w:r w:rsidRPr="00382917">
        <w:t>The</w:t>
      </w:r>
      <w:r w:rsidR="00EE4FC3">
        <w:t xml:space="preserve"> </w:t>
      </w:r>
      <w:r w:rsidRPr="00382917">
        <w:t>Prime</w:t>
      </w:r>
      <w:r w:rsidR="00EE4FC3">
        <w:t xml:space="preserve"> </w:t>
      </w:r>
      <w:r w:rsidRPr="00382917">
        <w:t>Minister</w:t>
      </w:r>
      <w:r w:rsidR="00EE4FC3">
        <w:t xml:space="preserve"> </w:t>
      </w:r>
      <w:r w:rsidRPr="00382917">
        <w:t>was</w:t>
      </w:r>
      <w:r w:rsidR="00EE4FC3">
        <w:t xml:space="preserve"> </w:t>
      </w:r>
      <w:r w:rsidRPr="00382917">
        <w:t>afraid</w:t>
      </w:r>
      <w:r w:rsidR="00EE4FC3">
        <w:t xml:space="preserve"> </w:t>
      </w:r>
      <w:r w:rsidRPr="00382917">
        <w:t>to</w:t>
      </w:r>
      <w:r w:rsidR="00EE4FC3">
        <w:t xml:space="preserve"> </w:t>
      </w:r>
      <w:r w:rsidRPr="00382917">
        <w:t>bring</w:t>
      </w:r>
      <w:r w:rsidR="00EE4FC3">
        <w:t xml:space="preserve"> </w:t>
      </w:r>
      <w:r w:rsidRPr="00382917">
        <w:t>the</w:t>
      </w:r>
      <w:r w:rsidR="00EE4FC3">
        <w:t xml:space="preserve"> </w:t>
      </w:r>
      <w:r w:rsidRPr="00382917">
        <w:t>Báb</w:t>
      </w:r>
      <w:r w:rsidR="00EE4FC3">
        <w:t xml:space="preserve"> </w:t>
      </w:r>
      <w:r w:rsidRPr="00382917">
        <w:t>to</w:t>
      </w:r>
      <w:r w:rsidR="00EE4FC3">
        <w:t xml:space="preserve"> </w:t>
      </w:r>
      <w:r w:rsidRPr="00382917">
        <w:t>Ṭihrán</w:t>
      </w:r>
      <w:r w:rsidR="00EE4FC3">
        <w:t xml:space="preserve"> </w:t>
      </w:r>
      <w:r w:rsidRPr="00382917">
        <w:t>for</w:t>
      </w:r>
      <w:r w:rsidR="00EE4FC3">
        <w:t xml:space="preserve"> </w:t>
      </w:r>
      <w:r w:rsidRPr="00382917">
        <w:t>an</w:t>
      </w:r>
      <w:r w:rsidR="00EE4FC3">
        <w:t xml:space="preserve"> </w:t>
      </w:r>
      <w:r w:rsidRPr="00382917">
        <w:t>execution,</w:t>
      </w:r>
      <w:r w:rsidR="00EE4FC3">
        <w:t xml:space="preserve"> </w:t>
      </w:r>
      <w:r w:rsidRPr="00382917">
        <w:t>lest</w:t>
      </w:r>
      <w:r w:rsidR="00EE4FC3">
        <w:t xml:space="preserve"> </w:t>
      </w:r>
      <w:r w:rsidRPr="00382917">
        <w:t>His</w:t>
      </w:r>
      <w:r w:rsidR="00EE4FC3">
        <w:t xml:space="preserve"> </w:t>
      </w:r>
      <w:r w:rsidRPr="00382917">
        <w:t>presence</w:t>
      </w:r>
      <w:r w:rsidR="00EE4FC3">
        <w:t xml:space="preserve"> </w:t>
      </w:r>
      <w:r w:rsidRPr="00382917">
        <w:t>there</w:t>
      </w:r>
      <w:r w:rsidR="00EE4FC3">
        <w:t xml:space="preserve"> </w:t>
      </w:r>
      <w:r w:rsidRPr="00382917">
        <w:t>set</w:t>
      </w:r>
      <w:r w:rsidR="00EE4FC3">
        <w:t xml:space="preserve"> </w:t>
      </w:r>
      <w:r w:rsidRPr="00382917">
        <w:t>in</w:t>
      </w:r>
      <w:r w:rsidR="00EE4FC3">
        <w:t xml:space="preserve"> </w:t>
      </w:r>
      <w:r w:rsidRPr="00382917">
        <w:t>motion</w:t>
      </w:r>
      <w:r w:rsidR="00EE4FC3">
        <w:t xml:space="preserve"> </w:t>
      </w:r>
      <w:r w:rsidRPr="00382917">
        <w:t>forces</w:t>
      </w:r>
      <w:r w:rsidR="00EE4FC3">
        <w:t xml:space="preserve"> </w:t>
      </w:r>
      <w:r w:rsidRPr="00382917">
        <w:t>which</w:t>
      </w:r>
      <w:r w:rsidR="00EE4FC3">
        <w:t xml:space="preserve"> </w:t>
      </w:r>
      <w:r w:rsidRPr="00382917">
        <w:t>the</w:t>
      </w:r>
      <w:r w:rsidR="00EE4FC3">
        <w:t xml:space="preserve"> </w:t>
      </w:r>
      <w:r w:rsidRPr="00382917">
        <w:t>Prime</w:t>
      </w:r>
      <w:r w:rsidR="00EE4FC3">
        <w:t xml:space="preserve"> </w:t>
      </w:r>
      <w:r w:rsidRPr="00382917">
        <w:t>Minister</w:t>
      </w:r>
      <w:r w:rsidR="00EE4FC3">
        <w:t xml:space="preserve"> </w:t>
      </w:r>
      <w:r w:rsidRPr="00382917">
        <w:t>would</w:t>
      </w:r>
      <w:r w:rsidR="00EE4FC3">
        <w:t xml:space="preserve"> </w:t>
      </w:r>
      <w:r w:rsidRPr="00382917">
        <w:t>be</w:t>
      </w:r>
      <w:r w:rsidR="00EE4FC3">
        <w:t xml:space="preserve"> </w:t>
      </w:r>
      <w:r w:rsidRPr="00382917">
        <w:t>powerless</w:t>
      </w:r>
      <w:r w:rsidR="00EE4FC3">
        <w:t xml:space="preserve"> </w:t>
      </w:r>
      <w:r w:rsidRPr="00382917">
        <w:t>to</w:t>
      </w:r>
      <w:r w:rsidR="00EE4FC3">
        <w:t xml:space="preserve"> </w:t>
      </w:r>
      <w:r w:rsidRPr="00382917">
        <w:t>control</w:t>
      </w:r>
      <w:r w:rsidR="00330AF7">
        <w:t>.</w:t>
      </w:r>
      <w:r w:rsidR="00EE4FC3">
        <w:t xml:space="preserve">  </w:t>
      </w:r>
      <w:r w:rsidRPr="00382917">
        <w:t>Therefore,</w:t>
      </w:r>
      <w:r w:rsidR="00EE4FC3">
        <w:t xml:space="preserve"> </w:t>
      </w:r>
      <w:r w:rsidRPr="00382917">
        <w:t>the</w:t>
      </w:r>
      <w:r w:rsidR="00EE4FC3">
        <w:t xml:space="preserve"> </w:t>
      </w:r>
      <w:r w:rsidRPr="00382917">
        <w:t>Báb</w:t>
      </w:r>
      <w:r w:rsidR="00EE4FC3">
        <w:t xml:space="preserve"> </w:t>
      </w:r>
      <w:r w:rsidRPr="00382917">
        <w:t>was</w:t>
      </w:r>
      <w:r w:rsidR="00EE4FC3">
        <w:t xml:space="preserve"> </w:t>
      </w:r>
      <w:r w:rsidRPr="00382917">
        <w:t>to</w:t>
      </w:r>
      <w:r w:rsidR="00EE4FC3">
        <w:t xml:space="preserve"> </w:t>
      </w:r>
      <w:r w:rsidRPr="00382917">
        <w:t>be</w:t>
      </w:r>
      <w:r w:rsidR="00EE4FC3">
        <w:t xml:space="preserve"> </w:t>
      </w:r>
      <w:r w:rsidRPr="00382917">
        <w:t>done</w:t>
      </w:r>
      <w:r w:rsidR="00EE4FC3">
        <w:t xml:space="preserve"> </w:t>
      </w:r>
      <w:r w:rsidRPr="00382917">
        <w:t>to</w:t>
      </w:r>
      <w:r w:rsidR="00EE4FC3">
        <w:t xml:space="preserve"> </w:t>
      </w:r>
      <w:r w:rsidRPr="00382917">
        <w:t>death</w:t>
      </w:r>
      <w:r w:rsidR="00EE4FC3">
        <w:t xml:space="preserve"> </w:t>
      </w:r>
      <w:r w:rsidRPr="00382917">
        <w:t>in</w:t>
      </w:r>
      <w:r w:rsidR="00EE4FC3">
        <w:t xml:space="preserve"> </w:t>
      </w:r>
      <w:r w:rsidRPr="00382917">
        <w:t>Tabríz,</w:t>
      </w:r>
      <w:r w:rsidR="00EE4FC3">
        <w:t xml:space="preserve"> </w:t>
      </w:r>
      <w:r w:rsidRPr="00382917">
        <w:t>in</w:t>
      </w:r>
      <w:r w:rsidR="00EE4FC3">
        <w:t xml:space="preserve"> </w:t>
      </w:r>
      <w:r w:rsidRPr="00382917">
        <w:t>the</w:t>
      </w:r>
      <w:r w:rsidR="00EE4FC3">
        <w:t xml:space="preserve"> </w:t>
      </w:r>
      <w:r w:rsidRPr="00382917">
        <w:t>north.</w:t>
      </w:r>
      <w:r w:rsidR="00EB5C5D">
        <w:rPr>
          <w:rStyle w:val="FootnoteReference"/>
        </w:rPr>
        <w:footnoteReference w:id="246"/>
      </w:r>
    </w:p>
    <w:p w:rsidR="00621DD5" w:rsidRPr="00382917" w:rsidRDefault="00621DD5" w:rsidP="00621DD5">
      <w:pPr>
        <w:pStyle w:val="Text"/>
      </w:pPr>
      <w:r w:rsidRPr="00382917">
        <w:t>Three</w:t>
      </w:r>
      <w:r w:rsidR="00EE4FC3">
        <w:t xml:space="preserve"> </w:t>
      </w:r>
      <w:r w:rsidRPr="00382917">
        <w:t>days</w:t>
      </w:r>
      <w:r w:rsidR="00EE4FC3">
        <w:t xml:space="preserve"> </w:t>
      </w:r>
      <w:r w:rsidRPr="00382917">
        <w:t>after</w:t>
      </w:r>
      <w:r w:rsidR="00EE4FC3">
        <w:t xml:space="preserve"> </w:t>
      </w:r>
      <w:r w:rsidRPr="00382917">
        <w:t>the</w:t>
      </w:r>
      <w:r w:rsidR="00EE4FC3">
        <w:t xml:space="preserve"> </w:t>
      </w:r>
      <w:r w:rsidRPr="00382917">
        <w:t>Báb</w:t>
      </w:r>
      <w:r w:rsidR="00EE4FC3">
        <w:t xml:space="preserve"> </w:t>
      </w:r>
      <w:r w:rsidRPr="00382917">
        <w:t>was</w:t>
      </w:r>
      <w:r w:rsidR="00EE4FC3">
        <w:t xml:space="preserve"> </w:t>
      </w:r>
      <w:r w:rsidRPr="00382917">
        <w:t>transferred</w:t>
      </w:r>
      <w:r w:rsidR="00EE4FC3">
        <w:t xml:space="preserve"> </w:t>
      </w:r>
      <w:r w:rsidRPr="00382917">
        <w:t>from</w:t>
      </w:r>
      <w:r w:rsidR="00EE4FC3">
        <w:t xml:space="preserve"> </w:t>
      </w:r>
      <w:r w:rsidRPr="00382917">
        <w:t>prison</w:t>
      </w:r>
      <w:r w:rsidR="00EE4FC3">
        <w:t xml:space="preserve"> </w:t>
      </w:r>
      <w:r w:rsidRPr="00382917">
        <w:t>to</w:t>
      </w:r>
      <w:r w:rsidR="00EE4FC3">
        <w:t xml:space="preserve"> </w:t>
      </w:r>
      <w:r w:rsidRPr="00382917">
        <w:t>Tabríz,</w:t>
      </w:r>
      <w:r w:rsidR="00EE4FC3">
        <w:t xml:space="preserve"> </w:t>
      </w:r>
      <w:r w:rsidRPr="00382917">
        <w:t>a</w:t>
      </w:r>
      <w:r w:rsidR="00EE4FC3">
        <w:t xml:space="preserve"> </w:t>
      </w:r>
      <w:r w:rsidRPr="00382917">
        <w:t>second</w:t>
      </w:r>
      <w:r w:rsidR="00EE4FC3">
        <w:t xml:space="preserve"> </w:t>
      </w:r>
      <w:r w:rsidRPr="00382917">
        <w:t>order</w:t>
      </w:r>
      <w:r w:rsidR="00EE4FC3">
        <w:t xml:space="preserve"> </w:t>
      </w:r>
      <w:r w:rsidRPr="00382917">
        <w:t>was</w:t>
      </w:r>
      <w:r w:rsidR="00EE4FC3">
        <w:t xml:space="preserve"> </w:t>
      </w:r>
      <w:r w:rsidRPr="00382917">
        <w:t>sent</w:t>
      </w:r>
      <w:r w:rsidR="00EE4FC3">
        <w:t xml:space="preserve"> </w:t>
      </w:r>
      <w:r w:rsidRPr="00382917">
        <w:t>to</w:t>
      </w:r>
      <w:r w:rsidR="00EE4FC3">
        <w:t xml:space="preserve"> </w:t>
      </w:r>
      <w:r w:rsidRPr="00382917">
        <w:t>the</w:t>
      </w:r>
      <w:r w:rsidR="00EE4FC3">
        <w:t xml:space="preserve"> </w:t>
      </w:r>
      <w:r w:rsidRPr="00382917">
        <w:t>governor</w:t>
      </w:r>
      <w:r w:rsidR="00330AF7">
        <w:t>.</w:t>
      </w:r>
      <w:r w:rsidR="00EE4FC3">
        <w:t xml:space="preserve">  </w:t>
      </w:r>
      <w:r w:rsidRPr="00382917">
        <w:t>This</w:t>
      </w:r>
      <w:r w:rsidR="00EE4FC3">
        <w:t xml:space="preserve"> </w:t>
      </w:r>
      <w:r w:rsidRPr="00382917">
        <w:t>order</w:t>
      </w:r>
      <w:r w:rsidR="00EE4FC3">
        <w:t xml:space="preserve"> </w:t>
      </w:r>
      <w:r w:rsidRPr="00382917">
        <w:t>instructed</w:t>
      </w:r>
      <w:r w:rsidR="00EE4FC3">
        <w:t xml:space="preserve"> </w:t>
      </w:r>
      <w:r w:rsidRPr="00382917">
        <w:t>him</w:t>
      </w:r>
      <w:r w:rsidR="00EE4FC3">
        <w:t xml:space="preserve"> </w:t>
      </w:r>
      <w:r w:rsidRPr="00382917">
        <w:t>to</w:t>
      </w:r>
      <w:r w:rsidR="00EE4FC3">
        <w:t xml:space="preserve"> </w:t>
      </w:r>
      <w:r w:rsidRPr="00382917">
        <w:t>execute</w:t>
      </w:r>
      <w:r w:rsidR="00EE4FC3">
        <w:t xml:space="preserve"> </w:t>
      </w:r>
      <w:r w:rsidRPr="00382917">
        <w:t>the</w:t>
      </w:r>
      <w:r w:rsidR="00EE4FC3">
        <w:t xml:space="preserve"> </w:t>
      </w:r>
      <w:r w:rsidRPr="00382917">
        <w:t>Báb</w:t>
      </w:r>
      <w:r w:rsidR="00330AF7">
        <w:t>.</w:t>
      </w:r>
      <w:r w:rsidR="00EE4FC3">
        <w:t xml:space="preserve">  </w:t>
      </w:r>
      <w:r w:rsidRPr="00382917">
        <w:t>He</w:t>
      </w:r>
      <w:r w:rsidR="00EE4FC3">
        <w:t xml:space="preserve"> </w:t>
      </w:r>
      <w:r w:rsidRPr="00382917">
        <w:t>refused.</w:t>
      </w:r>
    </w:p>
    <w:p w:rsidR="00621DD5" w:rsidRPr="00382917" w:rsidRDefault="009C713D" w:rsidP="00621DD5">
      <w:pPr>
        <w:pStyle w:val="Text"/>
      </w:pPr>
      <w:r w:rsidRPr="00382917">
        <w:t>“</w:t>
      </w:r>
      <w:r w:rsidR="00621DD5" w:rsidRPr="00382917">
        <w:t>This</w:t>
      </w:r>
      <w:r w:rsidR="00EE4FC3">
        <w:t xml:space="preserve"> </w:t>
      </w:r>
      <w:r w:rsidR="00621DD5" w:rsidRPr="00382917">
        <w:t>is</w:t>
      </w:r>
      <w:r w:rsidR="00EE4FC3">
        <w:t xml:space="preserve"> </w:t>
      </w:r>
      <w:r w:rsidR="00621DD5" w:rsidRPr="00382917">
        <w:t>a</w:t>
      </w:r>
      <w:r w:rsidR="00EE4FC3">
        <w:t xml:space="preserve"> </w:t>
      </w:r>
      <w:r w:rsidR="00621DD5" w:rsidRPr="00382917">
        <w:t>task</w:t>
      </w:r>
      <w:r w:rsidR="00EE4FC3">
        <w:t xml:space="preserve"> </w:t>
      </w:r>
      <w:r w:rsidR="00621DD5" w:rsidRPr="00382917">
        <w:t>only</w:t>
      </w:r>
      <w:r w:rsidR="00EE4FC3">
        <w:t xml:space="preserve"> </w:t>
      </w:r>
      <w:r w:rsidR="00621DD5" w:rsidRPr="00382917">
        <w:t>for</w:t>
      </w:r>
      <w:r w:rsidR="00EE4FC3">
        <w:t xml:space="preserve"> </w:t>
      </w:r>
      <w:r w:rsidR="00621DD5" w:rsidRPr="00382917">
        <w:t>the</w:t>
      </w:r>
      <w:r w:rsidR="00EE4FC3">
        <w:t xml:space="preserve"> </w:t>
      </w:r>
      <w:r w:rsidR="00621DD5" w:rsidRPr="00382917">
        <w:t>most</w:t>
      </w:r>
      <w:r w:rsidR="00EE4FC3">
        <w:t xml:space="preserve"> </w:t>
      </w:r>
      <w:r w:rsidR="00621DD5" w:rsidRPr="00382917">
        <w:t>ignoble,</w:t>
      </w:r>
      <w:r w:rsidRPr="00382917">
        <w:t>”</w:t>
      </w:r>
      <w:r w:rsidR="00EE4FC3">
        <w:t xml:space="preserve"> </w:t>
      </w:r>
      <w:r w:rsidR="00621DD5" w:rsidRPr="00382917">
        <w:t>he</w:t>
      </w:r>
      <w:r w:rsidR="00EE4FC3">
        <w:t xml:space="preserve"> </w:t>
      </w:r>
      <w:r w:rsidR="00621DD5" w:rsidRPr="00382917">
        <w:t>said</w:t>
      </w:r>
      <w:r w:rsidR="00EE4FC3">
        <w:t xml:space="preserve"> </w:t>
      </w:r>
      <w:r w:rsidR="00621DD5" w:rsidRPr="00382917">
        <w:t>indignantly</w:t>
      </w:r>
      <w:r w:rsidR="00330AF7">
        <w:t>.</w:t>
      </w:r>
      <w:r w:rsidR="00EE4FC3">
        <w:t xml:space="preserve">  </w:t>
      </w:r>
      <w:r w:rsidRPr="00382917">
        <w:t>“</w:t>
      </w:r>
      <w:r w:rsidR="00621DD5" w:rsidRPr="00382917">
        <w:t>Who</w:t>
      </w:r>
      <w:r w:rsidR="00EE4FC3">
        <w:t xml:space="preserve"> </w:t>
      </w:r>
      <w:r w:rsidR="00621DD5" w:rsidRPr="00382917">
        <w:t>am</w:t>
      </w:r>
      <w:r w:rsidR="00EE4FC3">
        <w:t xml:space="preserve"> </w:t>
      </w:r>
      <w:r w:rsidR="00621DD5" w:rsidRPr="00382917">
        <w:t>I</w:t>
      </w:r>
      <w:r w:rsidR="00EE4FC3">
        <w:t xml:space="preserve"> </w:t>
      </w:r>
      <w:r w:rsidR="00621DD5" w:rsidRPr="00382917">
        <w:t>to</w:t>
      </w:r>
      <w:r w:rsidR="00EE4FC3">
        <w:t xml:space="preserve"> </w:t>
      </w:r>
      <w:r w:rsidR="00621DD5" w:rsidRPr="00382917">
        <w:t>be</w:t>
      </w:r>
      <w:r w:rsidR="00EE4FC3">
        <w:t xml:space="preserve"> </w:t>
      </w:r>
      <w:r w:rsidR="00621DD5" w:rsidRPr="00382917">
        <w:t>called</w:t>
      </w:r>
      <w:r w:rsidR="00EE4FC3">
        <w:t xml:space="preserve"> </w:t>
      </w:r>
      <w:r w:rsidR="00621DD5" w:rsidRPr="00382917">
        <w:t>upon</w:t>
      </w:r>
      <w:r w:rsidR="00EE4FC3">
        <w:t xml:space="preserve"> </w:t>
      </w:r>
      <w:r w:rsidR="00621DD5" w:rsidRPr="00382917">
        <w:t>to</w:t>
      </w:r>
      <w:r w:rsidR="00EE4FC3">
        <w:t xml:space="preserve"> </w:t>
      </w:r>
      <w:r w:rsidR="00621DD5" w:rsidRPr="00382917">
        <w:t>slay</w:t>
      </w:r>
      <w:r w:rsidR="00EE4FC3">
        <w:t xml:space="preserve"> </w:t>
      </w:r>
      <w:r w:rsidR="00621DD5" w:rsidRPr="00382917">
        <w:t>an</w:t>
      </w:r>
      <w:r w:rsidR="00EE4FC3">
        <w:t xml:space="preserve"> </w:t>
      </w:r>
      <w:r w:rsidR="00621DD5" w:rsidRPr="00382917">
        <w:t>innocent</w:t>
      </w:r>
      <w:r w:rsidR="00EE4FC3">
        <w:t xml:space="preserve"> </w:t>
      </w:r>
      <w:r w:rsidR="00621DD5" w:rsidRPr="00382917">
        <w:t>descendent</w:t>
      </w:r>
      <w:r w:rsidR="00EE4FC3">
        <w:t xml:space="preserve"> </w:t>
      </w:r>
      <w:r w:rsidR="00621DD5" w:rsidRPr="00382917">
        <w:t>of</w:t>
      </w:r>
      <w:r w:rsidR="00EE4FC3">
        <w:t xml:space="preserve"> </w:t>
      </w:r>
      <w:r w:rsidR="00621DD5" w:rsidRPr="00382917">
        <w:t>our</w:t>
      </w:r>
      <w:r w:rsidR="00EE4FC3">
        <w:t xml:space="preserve"> </w:t>
      </w:r>
      <w:r w:rsidR="00621DD5" w:rsidRPr="00382917">
        <w:t>own</w:t>
      </w:r>
      <w:r w:rsidR="00EE4FC3">
        <w:t xml:space="preserve"> </w:t>
      </w:r>
      <w:r w:rsidR="00621DD5" w:rsidRPr="00382917">
        <w:t>Prophet?</w:t>
      </w:r>
      <w:r w:rsidRPr="00382917">
        <w:t>”</w:t>
      </w:r>
    </w:p>
    <w:p w:rsidR="00621DD5" w:rsidRPr="00382917" w:rsidRDefault="00621DD5">
      <w:pPr>
        <w:widowControl/>
        <w:kinsoku/>
        <w:overflowPunct/>
        <w:textAlignment w:val="auto"/>
      </w:pPr>
      <w:r w:rsidRPr="00382917">
        <w:br w:type="page"/>
      </w:r>
    </w:p>
    <w:p w:rsidR="00621DD5" w:rsidRPr="00382917" w:rsidRDefault="00621DD5" w:rsidP="00621DD5">
      <w:pPr>
        <w:pStyle w:val="Text"/>
      </w:pPr>
      <w:r w:rsidRPr="00382917">
        <w:t>The</w:t>
      </w:r>
      <w:r w:rsidR="00EE4FC3">
        <w:t xml:space="preserve"> </w:t>
      </w:r>
      <w:r w:rsidRPr="00382917">
        <w:t>Báb</w:t>
      </w:r>
      <w:r w:rsidR="00EE4FC3">
        <w:t xml:space="preserve"> </w:t>
      </w:r>
      <w:r w:rsidRPr="00382917">
        <w:t>was</w:t>
      </w:r>
      <w:r w:rsidR="00EE4FC3">
        <w:t xml:space="preserve"> </w:t>
      </w:r>
      <w:r w:rsidRPr="00382917">
        <w:t>descended</w:t>
      </w:r>
      <w:r w:rsidR="00EE4FC3">
        <w:t xml:space="preserve"> </w:t>
      </w:r>
      <w:r w:rsidRPr="00382917">
        <w:t>from</w:t>
      </w:r>
      <w:r w:rsidR="00EE4FC3">
        <w:t xml:space="preserve"> </w:t>
      </w:r>
      <w:r w:rsidRPr="00382917">
        <w:t>the</w:t>
      </w:r>
      <w:r w:rsidR="00EE4FC3">
        <w:t xml:space="preserve"> </w:t>
      </w:r>
      <w:r w:rsidRPr="00382917">
        <w:t>family</w:t>
      </w:r>
      <w:r w:rsidR="00EE4FC3">
        <w:t xml:space="preserve"> </w:t>
      </w:r>
      <w:r w:rsidRPr="00382917">
        <w:t>of</w:t>
      </w:r>
      <w:r w:rsidR="00EE4FC3">
        <w:t xml:space="preserve"> </w:t>
      </w:r>
      <w:r w:rsidRPr="00382917">
        <w:t>Baní-</w:t>
      </w:r>
      <w:r w:rsidR="00552489" w:rsidRPr="00382917">
        <w:t>Há</w:t>
      </w:r>
      <w:r w:rsidR="00552489" w:rsidRPr="00552489">
        <w:rPr>
          <w:u w:val="single"/>
        </w:rPr>
        <w:t>sh</w:t>
      </w:r>
      <w:r w:rsidR="00552489" w:rsidRPr="00382917">
        <w:t>im</w:t>
      </w:r>
      <w:r w:rsidRPr="00382917">
        <w:t>,</w:t>
      </w:r>
      <w:r w:rsidR="00EE4FC3">
        <w:t xml:space="preserve"> </w:t>
      </w:r>
      <w:r w:rsidRPr="00382917">
        <w:t>which</w:t>
      </w:r>
      <w:r w:rsidR="00EE4FC3">
        <w:t xml:space="preserve"> </w:t>
      </w:r>
      <w:r w:rsidRPr="00382917">
        <w:t>was</w:t>
      </w:r>
      <w:r w:rsidR="00EE4FC3">
        <w:t xml:space="preserve"> </w:t>
      </w:r>
      <w:r w:rsidRPr="00382917">
        <w:t>the</w:t>
      </w:r>
      <w:r w:rsidR="00EE4FC3">
        <w:t xml:space="preserve"> </w:t>
      </w:r>
      <w:r w:rsidRPr="00382917">
        <w:t>family</w:t>
      </w:r>
      <w:r w:rsidR="00EE4FC3">
        <w:t xml:space="preserve"> </w:t>
      </w:r>
      <w:r w:rsidRPr="00382917">
        <w:t>of</w:t>
      </w:r>
      <w:r w:rsidR="00EE4FC3">
        <w:t xml:space="preserve"> </w:t>
      </w:r>
      <w:r w:rsidRPr="00382917">
        <w:t>Muḥammad,</w:t>
      </w:r>
      <w:r w:rsidR="00EE4FC3">
        <w:t xml:space="preserve"> </w:t>
      </w:r>
      <w:r w:rsidRPr="00382917">
        <w:t>and</w:t>
      </w:r>
      <w:r w:rsidR="00EE4FC3">
        <w:t xml:space="preserve"> </w:t>
      </w:r>
      <w:r w:rsidRPr="00382917">
        <w:t>through</w:t>
      </w:r>
      <w:r w:rsidR="00EE4FC3">
        <w:t xml:space="preserve"> </w:t>
      </w:r>
      <w:r w:rsidRPr="00382917">
        <w:t>Ismá</w:t>
      </w:r>
      <w:r w:rsidR="009C713D" w:rsidRPr="00382917">
        <w:t>‘</w:t>
      </w:r>
      <w:r w:rsidRPr="00382917">
        <w:t>íl</w:t>
      </w:r>
      <w:r w:rsidR="00EE4FC3">
        <w:t xml:space="preserve"> </w:t>
      </w:r>
      <w:r w:rsidRPr="00382917">
        <w:t>from</w:t>
      </w:r>
      <w:r w:rsidR="00EE4FC3">
        <w:t xml:space="preserve"> </w:t>
      </w:r>
      <w:r w:rsidRPr="00382917">
        <w:t>Abraham,</w:t>
      </w:r>
      <w:r w:rsidR="00EE4FC3">
        <w:t xml:space="preserve"> </w:t>
      </w:r>
      <w:r w:rsidRPr="00382917">
        <w:t>Himself,</w:t>
      </w:r>
      <w:r w:rsidR="00EE4FC3">
        <w:t xml:space="preserve"> </w:t>
      </w:r>
      <w:r w:rsidRPr="00382917">
        <w:t>Whose</w:t>
      </w:r>
      <w:r w:rsidR="00EE4FC3">
        <w:t xml:space="preserve"> </w:t>
      </w:r>
      <w:r w:rsidR="009C713D" w:rsidRPr="00382917">
        <w:t>“</w:t>
      </w:r>
      <w:r w:rsidRPr="00382917">
        <w:t>seed</w:t>
      </w:r>
      <w:r w:rsidR="00EE4FC3">
        <w:t xml:space="preserve"> </w:t>
      </w:r>
      <w:r w:rsidRPr="00382917">
        <w:t>would</w:t>
      </w:r>
      <w:r w:rsidR="00EE4FC3">
        <w:t xml:space="preserve"> </w:t>
      </w:r>
      <w:r w:rsidRPr="00382917">
        <w:t>inherit</w:t>
      </w:r>
      <w:r w:rsidR="00EE4FC3">
        <w:t xml:space="preserve"> </w:t>
      </w:r>
      <w:r w:rsidRPr="00382917">
        <w:t>the</w:t>
      </w:r>
      <w:r w:rsidR="00EE4FC3">
        <w:t xml:space="preserve"> </w:t>
      </w:r>
      <w:r w:rsidRPr="00382917">
        <w:t>earth.</w:t>
      </w:r>
      <w:r w:rsidR="009C713D" w:rsidRPr="00382917">
        <w:t>”</w:t>
      </w:r>
    </w:p>
    <w:p w:rsidR="00E13D49" w:rsidRPr="00382917" w:rsidRDefault="00621DD5" w:rsidP="00900DE1">
      <w:pPr>
        <w:pStyle w:val="Text"/>
      </w:pPr>
      <w:r w:rsidRPr="00382917">
        <w:t>The</w:t>
      </w:r>
      <w:r w:rsidR="00EE4FC3">
        <w:t xml:space="preserve"> </w:t>
      </w:r>
      <w:r w:rsidRPr="00382917">
        <w:t>governor,</w:t>
      </w:r>
      <w:r w:rsidR="00EE4FC3">
        <w:t xml:space="preserve"> </w:t>
      </w:r>
      <w:r w:rsidRPr="00382917">
        <w:t>as</w:t>
      </w:r>
      <w:r w:rsidR="00EE4FC3">
        <w:t xml:space="preserve"> </w:t>
      </w:r>
      <w:r w:rsidRPr="00382917">
        <w:t>well</w:t>
      </w:r>
      <w:r w:rsidR="00EE4FC3">
        <w:t xml:space="preserve"> </w:t>
      </w:r>
      <w:r w:rsidRPr="00382917">
        <w:t>as</w:t>
      </w:r>
      <w:r w:rsidR="00EE4FC3">
        <w:t xml:space="preserve"> </w:t>
      </w:r>
      <w:r w:rsidRPr="00382917">
        <w:t>most</w:t>
      </w:r>
      <w:r w:rsidR="00EE4FC3">
        <w:t xml:space="preserve"> </w:t>
      </w:r>
      <w:r w:rsidRPr="00382917">
        <w:t>of</w:t>
      </w:r>
      <w:r w:rsidR="00EE4FC3">
        <w:t xml:space="preserve"> </w:t>
      </w:r>
      <w:r w:rsidRPr="00382917">
        <w:t>the</w:t>
      </w:r>
      <w:r w:rsidR="00EE4FC3">
        <w:t xml:space="preserve"> </w:t>
      </w:r>
      <w:r w:rsidRPr="00382917">
        <w:t>people,</w:t>
      </w:r>
      <w:r w:rsidR="00EE4FC3">
        <w:t xml:space="preserve"> </w:t>
      </w:r>
      <w:r w:rsidRPr="00382917">
        <w:t>was</w:t>
      </w:r>
      <w:r w:rsidR="00EE4FC3">
        <w:t xml:space="preserve"> </w:t>
      </w:r>
      <w:r w:rsidRPr="00382917">
        <w:t>familiar</w:t>
      </w:r>
      <w:r w:rsidR="00EE4FC3">
        <w:t xml:space="preserve"> </w:t>
      </w:r>
      <w:r w:rsidRPr="00382917">
        <w:t>with</w:t>
      </w:r>
      <w:r w:rsidR="00EE4FC3">
        <w:t xml:space="preserve"> </w:t>
      </w:r>
      <w:r w:rsidRPr="00382917">
        <w:t>the</w:t>
      </w:r>
      <w:r w:rsidR="00EE4FC3">
        <w:t xml:space="preserve"> </w:t>
      </w:r>
      <w:r w:rsidRPr="00382917">
        <w:t>prophecy</w:t>
      </w:r>
      <w:r w:rsidR="00EE4FC3">
        <w:t xml:space="preserve"> </w:t>
      </w:r>
      <w:r w:rsidRPr="00382917">
        <w:t>in</w:t>
      </w:r>
      <w:r w:rsidR="00EE4FC3">
        <w:t xml:space="preserve"> </w:t>
      </w:r>
      <w:r w:rsidRPr="00382917">
        <w:t>their</w:t>
      </w:r>
      <w:r w:rsidR="00EE4FC3">
        <w:t xml:space="preserve"> </w:t>
      </w:r>
      <w:r w:rsidRPr="00382917">
        <w:t>Books</w:t>
      </w:r>
      <w:r w:rsidR="00EE4FC3">
        <w:t xml:space="preserve"> </w:t>
      </w:r>
      <w:r w:rsidRPr="00382917">
        <w:t>which</w:t>
      </w:r>
      <w:r w:rsidR="00EE4FC3">
        <w:t xml:space="preserve"> </w:t>
      </w:r>
      <w:r w:rsidRPr="00382917">
        <w:t>said</w:t>
      </w:r>
      <w:r w:rsidR="00EE4FC3">
        <w:t xml:space="preserve"> </w:t>
      </w:r>
      <w:r w:rsidRPr="00382917">
        <w:t>that</w:t>
      </w:r>
      <w:r w:rsidR="00EE4FC3">
        <w:t xml:space="preserve"> </w:t>
      </w:r>
      <w:r w:rsidR="009C713D" w:rsidRPr="00382917">
        <w:t>“</w:t>
      </w:r>
      <w:r w:rsidRPr="00382917">
        <w:t>should</w:t>
      </w:r>
      <w:r w:rsidR="00EE4FC3">
        <w:t xml:space="preserve"> </w:t>
      </w:r>
      <w:r w:rsidRPr="00382917">
        <w:t>a</w:t>
      </w:r>
      <w:r w:rsidR="00EE4FC3">
        <w:t xml:space="preserve"> </w:t>
      </w:r>
      <w:r w:rsidRPr="00382917">
        <w:t>youth</w:t>
      </w:r>
      <w:r w:rsidR="00EE4FC3">
        <w:t xml:space="preserve"> </w:t>
      </w:r>
      <w:r w:rsidRPr="00382917">
        <w:t>from</w:t>
      </w:r>
      <w:r w:rsidR="00EE4FC3">
        <w:t xml:space="preserve"> </w:t>
      </w:r>
      <w:r w:rsidRPr="00382917">
        <w:t>Baní-</w:t>
      </w:r>
      <w:r w:rsidR="00552489" w:rsidRPr="00382917">
        <w:t>Há</w:t>
      </w:r>
      <w:r w:rsidR="00552489" w:rsidRPr="00552489">
        <w:rPr>
          <w:u w:val="single"/>
        </w:rPr>
        <w:t>sh</w:t>
      </w:r>
      <w:r w:rsidR="00552489" w:rsidRPr="00382917">
        <w:t>im</w:t>
      </w:r>
      <w:r w:rsidR="00EE4FC3">
        <w:t xml:space="preserve"> </w:t>
      </w:r>
      <w:r w:rsidRPr="00382917">
        <w:t>be</w:t>
      </w:r>
      <w:r w:rsidR="00EE4FC3">
        <w:t xml:space="preserve"> </w:t>
      </w:r>
      <w:r w:rsidRPr="00382917">
        <w:t>made</w:t>
      </w:r>
      <w:r w:rsidR="00EE4FC3">
        <w:t xml:space="preserve"> </w:t>
      </w:r>
      <w:r w:rsidRPr="00382917">
        <w:t>manifest</w:t>
      </w:r>
      <w:r w:rsidR="00EE4FC3">
        <w:t xml:space="preserve"> </w:t>
      </w:r>
      <w:r w:rsidRPr="00382917">
        <w:t>and</w:t>
      </w:r>
      <w:r w:rsidR="00EE4FC3">
        <w:t xml:space="preserve"> </w:t>
      </w:r>
      <w:r w:rsidRPr="00382917">
        <w:t>summon</w:t>
      </w:r>
      <w:r w:rsidR="00EE4FC3">
        <w:t xml:space="preserve"> </w:t>
      </w:r>
      <w:r w:rsidRPr="00382917">
        <w:t>the</w:t>
      </w:r>
      <w:r w:rsidR="00EE4FC3">
        <w:t xml:space="preserve"> </w:t>
      </w:r>
      <w:r w:rsidRPr="00382917">
        <w:t>people</w:t>
      </w:r>
      <w:r w:rsidR="00EE4FC3">
        <w:t xml:space="preserve"> </w:t>
      </w:r>
      <w:r w:rsidRPr="00382917">
        <w:t>to</w:t>
      </w:r>
      <w:r w:rsidR="00EE4FC3">
        <w:t xml:space="preserve"> </w:t>
      </w:r>
      <w:r w:rsidRPr="00382917">
        <w:t>a</w:t>
      </w:r>
      <w:r w:rsidR="00EE4FC3">
        <w:t xml:space="preserve"> </w:t>
      </w:r>
      <w:r w:rsidRPr="00382917">
        <w:t>new</w:t>
      </w:r>
      <w:r w:rsidR="00EE4FC3">
        <w:t xml:space="preserve"> </w:t>
      </w:r>
      <w:r w:rsidRPr="00382917">
        <w:t>book</w:t>
      </w:r>
      <w:r w:rsidR="00EE4FC3">
        <w:t xml:space="preserve"> </w:t>
      </w:r>
      <w:r w:rsidRPr="00382917">
        <w:t>and</w:t>
      </w:r>
      <w:r w:rsidR="00EE4FC3">
        <w:t xml:space="preserve"> </w:t>
      </w:r>
      <w:r w:rsidRPr="00382917">
        <w:t>to</w:t>
      </w:r>
      <w:r w:rsidR="00EE4FC3">
        <w:t xml:space="preserve"> </w:t>
      </w:r>
      <w:r w:rsidRPr="00382917">
        <w:t>new</w:t>
      </w:r>
      <w:r w:rsidR="00EE4FC3">
        <w:t xml:space="preserve"> </w:t>
      </w:r>
      <w:r w:rsidRPr="00382917">
        <w:t>laws,</w:t>
      </w:r>
      <w:r w:rsidR="00EE4FC3">
        <w:t xml:space="preserve"> </w:t>
      </w:r>
      <w:r w:rsidRPr="00382917">
        <w:t>all</w:t>
      </w:r>
      <w:r w:rsidR="00EE4FC3">
        <w:t xml:space="preserve"> </w:t>
      </w:r>
      <w:r w:rsidRPr="00382917">
        <w:t>should</w:t>
      </w:r>
      <w:r w:rsidR="00EE4FC3">
        <w:t xml:space="preserve"> </w:t>
      </w:r>
      <w:r w:rsidRPr="00382917">
        <w:t>hasten</w:t>
      </w:r>
      <w:r w:rsidR="00EE4FC3">
        <w:t xml:space="preserve"> </w:t>
      </w:r>
      <w:r w:rsidRPr="00382917">
        <w:t>to</w:t>
      </w:r>
      <w:r w:rsidR="00EE4FC3">
        <w:t xml:space="preserve"> </w:t>
      </w:r>
      <w:r w:rsidRPr="00382917">
        <w:t>Him</w:t>
      </w:r>
      <w:r w:rsidR="00EE4FC3">
        <w:t xml:space="preserve"> </w:t>
      </w:r>
      <w:r w:rsidRPr="00382917">
        <w:t>and</w:t>
      </w:r>
      <w:r w:rsidR="00EE4FC3">
        <w:t xml:space="preserve"> </w:t>
      </w:r>
      <w:r w:rsidRPr="00382917">
        <w:t>embrace</w:t>
      </w:r>
      <w:r w:rsidR="00EE4FC3">
        <w:t xml:space="preserve"> </w:t>
      </w:r>
      <w:r w:rsidRPr="00382917">
        <w:t>His</w:t>
      </w:r>
      <w:r w:rsidR="00EE4FC3">
        <w:t xml:space="preserve"> </w:t>
      </w:r>
      <w:r w:rsidRPr="00382917">
        <w:t>Cause.</w:t>
      </w:r>
      <w:r w:rsidR="009C713D" w:rsidRPr="00382917">
        <w:t>”</w:t>
      </w:r>
      <w:r w:rsidR="00900DE1">
        <w:rPr>
          <w:rStyle w:val="FootnoteReference"/>
        </w:rPr>
        <w:footnoteReference w:id="247"/>
      </w:r>
    </w:p>
    <w:p w:rsidR="00621DD5" w:rsidRPr="00382917" w:rsidRDefault="00621DD5" w:rsidP="00621DD5">
      <w:pPr>
        <w:pStyle w:val="Text"/>
      </w:pPr>
      <w:r w:rsidRPr="00382917">
        <w:t>The</w:t>
      </w:r>
      <w:r w:rsidR="00EE4FC3">
        <w:t xml:space="preserve"> </w:t>
      </w:r>
      <w:r w:rsidRPr="00382917">
        <w:t>Prime</w:t>
      </w:r>
      <w:r w:rsidR="00EE4FC3">
        <w:t xml:space="preserve"> </w:t>
      </w:r>
      <w:r w:rsidRPr="00382917">
        <w:t>Minister</w:t>
      </w:r>
      <w:r w:rsidR="00EE4FC3">
        <w:t xml:space="preserve"> </w:t>
      </w:r>
      <w:r w:rsidRPr="00382917">
        <w:t>was</w:t>
      </w:r>
      <w:r w:rsidR="00EE4FC3">
        <w:t xml:space="preserve"> </w:t>
      </w:r>
      <w:r w:rsidRPr="00382917">
        <w:t>very</w:t>
      </w:r>
      <w:r w:rsidR="00EE4FC3">
        <w:t xml:space="preserve"> </w:t>
      </w:r>
      <w:r w:rsidRPr="00382917">
        <w:t>angry</w:t>
      </w:r>
      <w:r w:rsidR="00EE4FC3">
        <w:t xml:space="preserve"> </w:t>
      </w:r>
      <w:r w:rsidRPr="00382917">
        <w:t>with</w:t>
      </w:r>
      <w:r w:rsidR="00EE4FC3">
        <w:t xml:space="preserve"> </w:t>
      </w:r>
      <w:r w:rsidRPr="00382917">
        <w:t>the</w:t>
      </w:r>
      <w:r w:rsidR="00EE4FC3">
        <w:t xml:space="preserve"> </w:t>
      </w:r>
      <w:r w:rsidRPr="00382917">
        <w:t>governor,</w:t>
      </w:r>
      <w:r w:rsidR="00EE4FC3">
        <w:t xml:space="preserve"> </w:t>
      </w:r>
      <w:r w:rsidRPr="00382917">
        <w:t>but</w:t>
      </w:r>
      <w:r w:rsidR="00EE4FC3">
        <w:t xml:space="preserve"> </w:t>
      </w:r>
      <w:r w:rsidRPr="00382917">
        <w:t>he</w:t>
      </w:r>
      <w:r w:rsidR="00EE4FC3">
        <w:t xml:space="preserve"> </w:t>
      </w:r>
      <w:r w:rsidRPr="00382917">
        <w:t>was</w:t>
      </w:r>
      <w:r w:rsidR="00EE4FC3">
        <w:t xml:space="preserve"> </w:t>
      </w:r>
      <w:r w:rsidRPr="00382917">
        <w:t>determined</w:t>
      </w:r>
      <w:r w:rsidR="00EE4FC3">
        <w:t xml:space="preserve"> </w:t>
      </w:r>
      <w:r w:rsidRPr="00382917">
        <w:t>that</w:t>
      </w:r>
      <w:r w:rsidR="00EE4FC3">
        <w:t xml:space="preserve"> </w:t>
      </w:r>
      <w:r w:rsidRPr="00382917">
        <w:t>nothing</w:t>
      </w:r>
      <w:r w:rsidR="00EE4FC3">
        <w:t xml:space="preserve"> </w:t>
      </w:r>
      <w:r w:rsidRPr="00382917">
        <w:t>should</w:t>
      </w:r>
      <w:r w:rsidR="00EE4FC3">
        <w:t xml:space="preserve"> </w:t>
      </w:r>
      <w:r w:rsidRPr="00382917">
        <w:t>stop</w:t>
      </w:r>
      <w:r w:rsidR="00EE4FC3">
        <w:t xml:space="preserve"> </w:t>
      </w:r>
      <w:r w:rsidRPr="00382917">
        <w:t>this</w:t>
      </w:r>
      <w:r w:rsidR="00EE4FC3">
        <w:t xml:space="preserve"> </w:t>
      </w:r>
      <w:r w:rsidRPr="00382917">
        <w:t>execution</w:t>
      </w:r>
      <w:r w:rsidR="00330AF7">
        <w:t>.</w:t>
      </w:r>
      <w:r w:rsidR="00EE4FC3">
        <w:t xml:space="preserve">  </w:t>
      </w:r>
      <w:r w:rsidRPr="00382917">
        <w:t>He</w:t>
      </w:r>
      <w:r w:rsidR="00EE4FC3">
        <w:t xml:space="preserve"> </w:t>
      </w:r>
      <w:r w:rsidRPr="00382917">
        <w:t>ordered</w:t>
      </w:r>
      <w:r w:rsidR="00EE4FC3">
        <w:t xml:space="preserve"> </w:t>
      </w:r>
      <w:r w:rsidRPr="00382917">
        <w:t>his</w:t>
      </w:r>
      <w:r w:rsidR="00EE4FC3">
        <w:t xml:space="preserve"> </w:t>
      </w:r>
      <w:r w:rsidRPr="00382917">
        <w:t>own</w:t>
      </w:r>
      <w:r w:rsidR="00EE4FC3">
        <w:t xml:space="preserve"> </w:t>
      </w:r>
      <w:r w:rsidRPr="00382917">
        <w:t>brother,</w:t>
      </w:r>
      <w:r w:rsidR="00EE4FC3">
        <w:t xml:space="preserve"> </w:t>
      </w:r>
      <w:r w:rsidRPr="00382917">
        <w:t>Mírzá</w:t>
      </w:r>
      <w:r w:rsidR="00EE4FC3">
        <w:t xml:space="preserve"> </w:t>
      </w:r>
      <w:r w:rsidRPr="00382917">
        <w:t>Ḥasan</w:t>
      </w:r>
      <w:r w:rsidR="00EE4FC3">
        <w:t xml:space="preserve"> </w:t>
      </w:r>
      <w:r w:rsidR="0040329F" w:rsidRPr="0040329F">
        <w:rPr>
          <w:u w:val="single"/>
        </w:rPr>
        <w:t>Kh</w:t>
      </w:r>
      <w:r w:rsidR="0040329F" w:rsidRPr="00382917">
        <w:t>án</w:t>
      </w:r>
      <w:r w:rsidRPr="00382917">
        <w:t>,</w:t>
      </w:r>
      <w:r w:rsidR="00EE4FC3">
        <w:t xml:space="preserve"> </w:t>
      </w:r>
      <w:r w:rsidRPr="00382917">
        <w:t>to</w:t>
      </w:r>
      <w:r w:rsidR="00EE4FC3">
        <w:t xml:space="preserve"> </w:t>
      </w:r>
      <w:r w:rsidRPr="00382917">
        <w:t>carry</w:t>
      </w:r>
      <w:r w:rsidR="00EE4FC3">
        <w:t xml:space="preserve"> </w:t>
      </w:r>
      <w:r w:rsidRPr="00382917">
        <w:t>out</w:t>
      </w:r>
      <w:r w:rsidR="00EE4FC3">
        <w:t xml:space="preserve"> </w:t>
      </w:r>
      <w:r w:rsidRPr="00382917">
        <w:t>his</w:t>
      </w:r>
      <w:r w:rsidR="00EE4FC3">
        <w:t xml:space="preserve"> </w:t>
      </w:r>
      <w:r w:rsidRPr="00382917">
        <w:t>orders</w:t>
      </w:r>
      <w:r w:rsidR="00330AF7">
        <w:t>.</w:t>
      </w:r>
      <w:r w:rsidR="00EE4FC3">
        <w:t xml:space="preserve">  </w:t>
      </w:r>
      <w:r w:rsidRPr="00382917">
        <w:t>The</w:t>
      </w:r>
      <w:r w:rsidR="00EE4FC3">
        <w:t xml:space="preserve"> </w:t>
      </w:r>
      <w:r w:rsidRPr="00382917">
        <w:t>brother</w:t>
      </w:r>
      <w:r w:rsidR="00EE4FC3">
        <w:t xml:space="preserve"> </w:t>
      </w:r>
      <w:r w:rsidRPr="00382917">
        <w:t>tried</w:t>
      </w:r>
      <w:r w:rsidR="00EE4FC3">
        <w:t xml:space="preserve"> </w:t>
      </w:r>
      <w:r w:rsidRPr="00382917">
        <w:t>to</w:t>
      </w:r>
      <w:r w:rsidR="00EE4FC3">
        <w:t xml:space="preserve"> </w:t>
      </w:r>
      <w:r w:rsidRPr="00382917">
        <w:t>inform</w:t>
      </w:r>
      <w:r w:rsidR="00EE4FC3">
        <w:t xml:space="preserve"> </w:t>
      </w:r>
      <w:r w:rsidRPr="00382917">
        <w:t>the</w:t>
      </w:r>
      <w:r w:rsidR="00EE4FC3">
        <w:t xml:space="preserve"> </w:t>
      </w:r>
      <w:r w:rsidRPr="00382917">
        <w:t>governor</w:t>
      </w:r>
      <w:r w:rsidR="00EE4FC3">
        <w:t xml:space="preserve"> </w:t>
      </w:r>
      <w:r w:rsidRPr="00382917">
        <w:t>of</w:t>
      </w:r>
      <w:r w:rsidR="00EE4FC3">
        <w:t xml:space="preserve"> </w:t>
      </w:r>
      <w:r w:rsidRPr="00382917">
        <w:t>these</w:t>
      </w:r>
      <w:r w:rsidR="00EE4FC3">
        <w:t xml:space="preserve"> </w:t>
      </w:r>
      <w:r w:rsidRPr="00382917">
        <w:t>new</w:t>
      </w:r>
      <w:r w:rsidR="00EE4FC3">
        <w:t xml:space="preserve"> </w:t>
      </w:r>
      <w:r w:rsidRPr="00382917">
        <w:t>instructions,</w:t>
      </w:r>
      <w:r w:rsidR="00EE4FC3">
        <w:t xml:space="preserve"> </w:t>
      </w:r>
      <w:r w:rsidRPr="00382917">
        <w:t>but</w:t>
      </w:r>
      <w:r w:rsidR="00EE4FC3">
        <w:t xml:space="preserve"> </w:t>
      </w:r>
      <w:r w:rsidRPr="00382917">
        <w:t>the</w:t>
      </w:r>
      <w:r w:rsidR="00EE4FC3">
        <w:t xml:space="preserve"> </w:t>
      </w:r>
      <w:r w:rsidRPr="00382917">
        <w:t>governor</w:t>
      </w:r>
      <w:r w:rsidR="00EE4FC3">
        <w:t xml:space="preserve"> </w:t>
      </w:r>
      <w:r w:rsidRPr="00382917">
        <w:t>refused</w:t>
      </w:r>
      <w:r w:rsidR="00EE4FC3">
        <w:t xml:space="preserve"> </w:t>
      </w:r>
      <w:r w:rsidRPr="00382917">
        <w:t>to</w:t>
      </w:r>
      <w:r w:rsidR="00EE4FC3">
        <w:t xml:space="preserve"> </w:t>
      </w:r>
      <w:r w:rsidRPr="00382917">
        <w:t>meet</w:t>
      </w:r>
      <w:r w:rsidR="00EE4FC3">
        <w:t xml:space="preserve"> </w:t>
      </w:r>
      <w:r w:rsidRPr="00382917">
        <w:t>him,</w:t>
      </w:r>
      <w:r w:rsidR="00EE4FC3">
        <w:t xml:space="preserve"> </w:t>
      </w:r>
      <w:r w:rsidRPr="00382917">
        <w:t>pretending</w:t>
      </w:r>
      <w:r w:rsidR="00EE4FC3">
        <w:t xml:space="preserve"> </w:t>
      </w:r>
      <w:r w:rsidRPr="00382917">
        <w:t>to</w:t>
      </w:r>
      <w:r w:rsidR="00EE4FC3">
        <w:t xml:space="preserve"> </w:t>
      </w:r>
      <w:r w:rsidRPr="00382917">
        <w:t>be</w:t>
      </w:r>
      <w:r w:rsidR="00EE4FC3">
        <w:t xml:space="preserve"> </w:t>
      </w:r>
      <w:r w:rsidRPr="00382917">
        <w:t>ill</w:t>
      </w:r>
      <w:r w:rsidR="00330AF7">
        <w:t>.</w:t>
      </w:r>
      <w:r w:rsidR="00EE4FC3">
        <w:t xml:space="preserve">  </w:t>
      </w:r>
      <w:r w:rsidRPr="00382917">
        <w:t>Mírzá</w:t>
      </w:r>
      <w:r w:rsidR="00EE4FC3">
        <w:t xml:space="preserve"> </w:t>
      </w:r>
      <w:r w:rsidRPr="00382917">
        <w:t>Ḥasan</w:t>
      </w:r>
      <w:r w:rsidR="00EE4FC3">
        <w:t xml:space="preserve"> </w:t>
      </w:r>
      <w:r w:rsidR="0040329F" w:rsidRPr="0040329F">
        <w:rPr>
          <w:u w:val="single"/>
        </w:rPr>
        <w:t>Kh</w:t>
      </w:r>
      <w:r w:rsidR="0040329F" w:rsidRPr="00382917">
        <w:t>án</w:t>
      </w:r>
      <w:r w:rsidR="00EE4FC3">
        <w:t xml:space="preserve"> </w:t>
      </w:r>
      <w:r w:rsidRPr="00382917">
        <w:t>then</w:t>
      </w:r>
      <w:r w:rsidR="00EE4FC3">
        <w:t xml:space="preserve"> </w:t>
      </w:r>
      <w:r w:rsidRPr="00382917">
        <w:t>personally</w:t>
      </w:r>
      <w:r w:rsidR="00EE4FC3">
        <w:t xml:space="preserve"> </w:t>
      </w:r>
      <w:r w:rsidRPr="00382917">
        <w:t>took</w:t>
      </w:r>
      <w:r w:rsidR="00EE4FC3">
        <w:t xml:space="preserve"> </w:t>
      </w:r>
      <w:r w:rsidRPr="00382917">
        <w:t>over</w:t>
      </w:r>
      <w:r w:rsidR="00EE4FC3">
        <w:t xml:space="preserve"> </w:t>
      </w:r>
      <w:r w:rsidRPr="00382917">
        <w:t>the</w:t>
      </w:r>
      <w:r w:rsidR="00EE4FC3">
        <w:t xml:space="preserve"> </w:t>
      </w:r>
      <w:r w:rsidRPr="00382917">
        <w:t>plans</w:t>
      </w:r>
      <w:r w:rsidR="00EE4FC3">
        <w:t xml:space="preserve"> </w:t>
      </w:r>
      <w:r w:rsidRPr="00382917">
        <w:t>for</w:t>
      </w:r>
      <w:r w:rsidR="00EE4FC3">
        <w:t xml:space="preserve"> </w:t>
      </w:r>
      <w:r w:rsidRPr="00382917">
        <w:t>the</w:t>
      </w:r>
      <w:r w:rsidR="00EE4FC3">
        <w:t xml:space="preserve"> </w:t>
      </w:r>
      <w:r w:rsidRPr="00382917">
        <w:t>execution.</w:t>
      </w:r>
    </w:p>
    <w:p w:rsidR="00621DD5" w:rsidRPr="00382917" w:rsidRDefault="00621DD5" w:rsidP="00621DD5">
      <w:pPr>
        <w:pStyle w:val="Text"/>
      </w:pPr>
      <w:r w:rsidRPr="00382917">
        <w:t>He</w:t>
      </w:r>
      <w:r w:rsidR="00EE4FC3">
        <w:t xml:space="preserve"> </w:t>
      </w:r>
      <w:r w:rsidRPr="00382917">
        <w:t>ordered</w:t>
      </w:r>
      <w:r w:rsidR="00EE4FC3">
        <w:t xml:space="preserve"> </w:t>
      </w:r>
      <w:r w:rsidRPr="00382917">
        <w:t>the</w:t>
      </w:r>
      <w:r w:rsidR="00EE4FC3">
        <w:t xml:space="preserve"> </w:t>
      </w:r>
      <w:r w:rsidRPr="00382917">
        <w:t>immediate</w:t>
      </w:r>
      <w:r w:rsidR="00EE4FC3">
        <w:t xml:space="preserve"> </w:t>
      </w:r>
      <w:r w:rsidRPr="00382917">
        <w:t>transfer</w:t>
      </w:r>
      <w:r w:rsidR="00EE4FC3">
        <w:t xml:space="preserve"> </w:t>
      </w:r>
      <w:r w:rsidRPr="00382917">
        <w:t>of</w:t>
      </w:r>
      <w:r w:rsidR="00EE4FC3">
        <w:t xml:space="preserve"> </w:t>
      </w:r>
      <w:r w:rsidRPr="00382917">
        <w:t>the</w:t>
      </w:r>
      <w:r w:rsidR="00EE4FC3">
        <w:t xml:space="preserve"> </w:t>
      </w:r>
      <w:r w:rsidRPr="00382917">
        <w:t>Báb</w:t>
      </w:r>
      <w:r w:rsidR="00EE4FC3">
        <w:t xml:space="preserve"> </w:t>
      </w:r>
      <w:r w:rsidRPr="00382917">
        <w:t>to</w:t>
      </w:r>
      <w:r w:rsidR="00EE4FC3">
        <w:t xml:space="preserve"> </w:t>
      </w:r>
      <w:r w:rsidRPr="00382917">
        <w:t>a</w:t>
      </w:r>
      <w:r w:rsidR="00EE4FC3">
        <w:t xml:space="preserve"> </w:t>
      </w:r>
      <w:r w:rsidRPr="00382917">
        <w:t>death</w:t>
      </w:r>
      <w:r w:rsidR="00EE4FC3">
        <w:t xml:space="preserve"> </w:t>
      </w:r>
      <w:r w:rsidRPr="00382917">
        <w:t>cell</w:t>
      </w:r>
      <w:r w:rsidR="00EE4FC3">
        <w:t xml:space="preserve"> </w:t>
      </w:r>
      <w:r w:rsidRPr="00382917">
        <w:t>in</w:t>
      </w:r>
      <w:r w:rsidR="00EE4FC3">
        <w:t xml:space="preserve"> </w:t>
      </w:r>
      <w:r w:rsidRPr="00382917">
        <w:t>the</w:t>
      </w:r>
      <w:r w:rsidR="00EE4FC3">
        <w:t xml:space="preserve"> </w:t>
      </w:r>
      <w:r w:rsidRPr="00382917">
        <w:t>city</w:t>
      </w:r>
      <w:r w:rsidR="00EE4FC3">
        <w:t xml:space="preserve"> </w:t>
      </w:r>
      <w:r w:rsidRPr="00382917">
        <w:t>barracks</w:t>
      </w:r>
      <w:r w:rsidR="00330AF7">
        <w:t>.</w:t>
      </w:r>
      <w:r w:rsidR="00EE4FC3">
        <w:t xml:space="preserve">  </w:t>
      </w:r>
      <w:r w:rsidRPr="00382917">
        <w:t>He</w:t>
      </w:r>
      <w:r w:rsidR="00EE4FC3">
        <w:t xml:space="preserve"> </w:t>
      </w:r>
      <w:r w:rsidRPr="00382917">
        <w:t>had</w:t>
      </w:r>
      <w:r w:rsidR="00EE4FC3">
        <w:t xml:space="preserve"> </w:t>
      </w:r>
      <w:r w:rsidRPr="00382917">
        <w:t>the</w:t>
      </w:r>
      <w:r w:rsidR="00EE4FC3">
        <w:t xml:space="preserve"> </w:t>
      </w:r>
      <w:r w:rsidRPr="00382917">
        <w:t>Báb</w:t>
      </w:r>
      <w:r w:rsidR="009C713D" w:rsidRPr="00382917">
        <w:t>’</w:t>
      </w:r>
      <w:r w:rsidRPr="00382917">
        <w:t>s</w:t>
      </w:r>
      <w:r w:rsidR="00EE4FC3">
        <w:t xml:space="preserve"> </w:t>
      </w:r>
      <w:r w:rsidRPr="00382917">
        <w:t>turban</w:t>
      </w:r>
      <w:r w:rsidR="00EE4FC3">
        <w:t xml:space="preserve"> </w:t>
      </w:r>
      <w:r w:rsidRPr="00382917">
        <w:t>and</w:t>
      </w:r>
      <w:r w:rsidR="00EE4FC3">
        <w:t xml:space="preserve"> </w:t>
      </w:r>
      <w:r w:rsidRPr="00382917">
        <w:t>sash,</w:t>
      </w:r>
      <w:r w:rsidR="00EE4FC3">
        <w:t xml:space="preserve"> </w:t>
      </w:r>
      <w:r w:rsidRPr="00382917">
        <w:t>the</w:t>
      </w:r>
      <w:r w:rsidR="00EE4FC3">
        <w:t xml:space="preserve"> </w:t>
      </w:r>
      <w:r w:rsidRPr="00382917">
        <w:t>twin</w:t>
      </w:r>
      <w:r w:rsidR="00EE4FC3">
        <w:t xml:space="preserve"> </w:t>
      </w:r>
      <w:r w:rsidRPr="00382917">
        <w:t>emblems</w:t>
      </w:r>
      <w:r w:rsidR="00EE4FC3">
        <w:t xml:space="preserve"> </w:t>
      </w:r>
      <w:r w:rsidRPr="00382917">
        <w:t>of</w:t>
      </w:r>
      <w:r w:rsidR="00EE4FC3">
        <w:t xml:space="preserve"> </w:t>
      </w:r>
      <w:r w:rsidRPr="00382917">
        <w:t>His</w:t>
      </w:r>
      <w:r w:rsidR="00EE4FC3">
        <w:t xml:space="preserve"> </w:t>
      </w:r>
      <w:r w:rsidRPr="00382917">
        <w:t>noble</w:t>
      </w:r>
      <w:r w:rsidR="00EE4FC3">
        <w:t xml:space="preserve"> </w:t>
      </w:r>
      <w:r w:rsidRPr="00382917">
        <w:t>lineage,</w:t>
      </w:r>
      <w:r w:rsidR="00EE4FC3">
        <w:t xml:space="preserve"> </w:t>
      </w:r>
      <w:r w:rsidRPr="00382917">
        <w:t>ripped</w:t>
      </w:r>
      <w:r w:rsidR="00EE4FC3">
        <w:t xml:space="preserve"> </w:t>
      </w:r>
      <w:r w:rsidRPr="00382917">
        <w:t>off</w:t>
      </w:r>
      <w:r w:rsidR="00330AF7">
        <w:t>.</w:t>
      </w:r>
      <w:r w:rsidR="00EE4FC3">
        <w:t xml:space="preserve">  </w:t>
      </w:r>
      <w:r w:rsidRPr="00382917">
        <w:t>He</w:t>
      </w:r>
      <w:r w:rsidR="00EE4FC3">
        <w:t xml:space="preserve"> </w:t>
      </w:r>
      <w:r w:rsidRPr="00382917">
        <w:t>ordered</w:t>
      </w:r>
      <w:r w:rsidR="00EE4FC3">
        <w:t xml:space="preserve"> </w:t>
      </w:r>
      <w:r w:rsidRPr="00382917">
        <w:t>Sam</w:t>
      </w:r>
      <w:r w:rsidR="00EE4FC3">
        <w:t xml:space="preserve"> </w:t>
      </w:r>
      <w:r w:rsidR="0040329F" w:rsidRPr="0040329F">
        <w:rPr>
          <w:u w:val="single"/>
        </w:rPr>
        <w:t>Kh</w:t>
      </w:r>
      <w:r w:rsidR="0040329F" w:rsidRPr="00382917">
        <w:t>án</w:t>
      </w:r>
      <w:r w:rsidRPr="00382917">
        <w:t>,</w:t>
      </w:r>
      <w:r w:rsidR="00EE4FC3">
        <w:t xml:space="preserve"> </w:t>
      </w:r>
      <w:r w:rsidRPr="00382917">
        <w:t>the</w:t>
      </w:r>
      <w:r w:rsidR="00EE4FC3">
        <w:t xml:space="preserve"> </w:t>
      </w:r>
      <w:r w:rsidRPr="00382917">
        <w:t>head</w:t>
      </w:r>
      <w:r w:rsidR="00EE4FC3">
        <w:t xml:space="preserve"> </w:t>
      </w:r>
      <w:r w:rsidRPr="00382917">
        <w:t>of</w:t>
      </w:r>
      <w:r w:rsidR="00EE4FC3">
        <w:t xml:space="preserve"> </w:t>
      </w:r>
      <w:r w:rsidRPr="00382917">
        <w:t>the</w:t>
      </w:r>
      <w:r w:rsidR="00EE4FC3">
        <w:t xml:space="preserve"> </w:t>
      </w:r>
      <w:r w:rsidRPr="00382917">
        <w:t>execution</w:t>
      </w:r>
      <w:r w:rsidR="00EE4FC3">
        <w:t xml:space="preserve"> </w:t>
      </w:r>
      <w:r w:rsidRPr="00382917">
        <w:t>regiment,</w:t>
      </w:r>
      <w:r w:rsidR="00EE4FC3">
        <w:t xml:space="preserve"> </w:t>
      </w:r>
      <w:r w:rsidRPr="00382917">
        <w:t>to</w:t>
      </w:r>
      <w:r w:rsidR="00EE4FC3">
        <w:t xml:space="preserve"> </w:t>
      </w:r>
      <w:r w:rsidRPr="00382917">
        <w:t>post</w:t>
      </w:r>
      <w:r w:rsidR="00EE4FC3">
        <w:t xml:space="preserve"> </w:t>
      </w:r>
      <w:r w:rsidRPr="00382917">
        <w:t>ten</w:t>
      </w:r>
      <w:r w:rsidR="00EE4FC3">
        <w:t xml:space="preserve"> </w:t>
      </w:r>
      <w:r w:rsidRPr="00382917">
        <w:t>special</w:t>
      </w:r>
      <w:r w:rsidR="00EE4FC3">
        <w:t xml:space="preserve"> </w:t>
      </w:r>
      <w:r w:rsidRPr="00382917">
        <w:t>guards</w:t>
      </w:r>
      <w:r w:rsidR="00EE4FC3">
        <w:t xml:space="preserve"> </w:t>
      </w:r>
      <w:r w:rsidRPr="00382917">
        <w:t>outside</w:t>
      </w:r>
      <w:r w:rsidR="00EE4FC3">
        <w:t xml:space="preserve"> </w:t>
      </w:r>
      <w:r w:rsidRPr="00382917">
        <w:t>the</w:t>
      </w:r>
      <w:r w:rsidR="00EE4FC3">
        <w:t xml:space="preserve"> </w:t>
      </w:r>
      <w:r w:rsidRPr="00382917">
        <w:t>door</w:t>
      </w:r>
      <w:r w:rsidR="00EE4FC3">
        <w:t xml:space="preserve"> </w:t>
      </w:r>
      <w:r w:rsidRPr="00382917">
        <w:t>of</w:t>
      </w:r>
      <w:r w:rsidR="00EE4FC3">
        <w:t xml:space="preserve"> </w:t>
      </w:r>
      <w:r w:rsidRPr="00382917">
        <w:t>the</w:t>
      </w:r>
      <w:r w:rsidR="00EE4FC3">
        <w:t xml:space="preserve"> </w:t>
      </w:r>
      <w:r w:rsidRPr="00382917">
        <w:t>Báb</w:t>
      </w:r>
      <w:r w:rsidR="009C713D" w:rsidRPr="00382917">
        <w:t>’</w:t>
      </w:r>
      <w:r w:rsidRPr="00382917">
        <w:t>s</w:t>
      </w:r>
      <w:r w:rsidR="00EE4FC3">
        <w:t xml:space="preserve"> </w:t>
      </w:r>
      <w:r w:rsidRPr="00382917">
        <w:t>cell.</w:t>
      </w:r>
    </w:p>
    <w:p w:rsidR="00621DD5" w:rsidRPr="00382917" w:rsidRDefault="00621DD5" w:rsidP="00621DD5">
      <w:pPr>
        <w:pStyle w:val="Text"/>
      </w:pPr>
      <w:r w:rsidRPr="00382917">
        <w:t>As</w:t>
      </w:r>
      <w:r w:rsidR="00EE4FC3">
        <w:t xml:space="preserve"> </w:t>
      </w:r>
      <w:r w:rsidRPr="00382917">
        <w:t>the</w:t>
      </w:r>
      <w:r w:rsidR="00EE4FC3">
        <w:t xml:space="preserve"> </w:t>
      </w:r>
      <w:r w:rsidRPr="00382917">
        <w:t>Báb</w:t>
      </w:r>
      <w:r w:rsidR="00EE4FC3">
        <w:t xml:space="preserve"> </w:t>
      </w:r>
      <w:r w:rsidRPr="00382917">
        <w:t>was</w:t>
      </w:r>
      <w:r w:rsidR="00EE4FC3">
        <w:t xml:space="preserve"> </w:t>
      </w:r>
      <w:r w:rsidRPr="00382917">
        <w:t>being</w:t>
      </w:r>
      <w:r w:rsidR="00EE4FC3">
        <w:t xml:space="preserve"> </w:t>
      </w:r>
      <w:r w:rsidRPr="00382917">
        <w:t>led</w:t>
      </w:r>
      <w:r w:rsidR="00EE4FC3">
        <w:t xml:space="preserve"> </w:t>
      </w:r>
      <w:r w:rsidRPr="00382917">
        <w:t>through</w:t>
      </w:r>
      <w:r w:rsidR="00EE4FC3">
        <w:t xml:space="preserve"> </w:t>
      </w:r>
      <w:r w:rsidRPr="00382917">
        <w:t>the</w:t>
      </w:r>
      <w:r w:rsidR="00EE4FC3">
        <w:t xml:space="preserve"> </w:t>
      </w:r>
      <w:r w:rsidRPr="00382917">
        <w:t>courtyard</w:t>
      </w:r>
      <w:r w:rsidR="00EE4FC3">
        <w:t xml:space="preserve"> </w:t>
      </w:r>
      <w:r w:rsidRPr="00382917">
        <w:t>to</w:t>
      </w:r>
      <w:r w:rsidR="00EE4FC3">
        <w:t xml:space="preserve"> </w:t>
      </w:r>
      <w:r w:rsidRPr="00382917">
        <w:t>His</w:t>
      </w:r>
      <w:r w:rsidR="00EE4FC3">
        <w:t xml:space="preserve"> </w:t>
      </w:r>
      <w:r w:rsidRPr="00382917">
        <w:t>cell</w:t>
      </w:r>
      <w:r w:rsidR="00EE4FC3">
        <w:t xml:space="preserve"> </w:t>
      </w:r>
      <w:r w:rsidRPr="00382917">
        <w:t>in</w:t>
      </w:r>
      <w:r w:rsidR="00EE4FC3">
        <w:t xml:space="preserve"> </w:t>
      </w:r>
      <w:r w:rsidRPr="00382917">
        <w:t>the</w:t>
      </w:r>
      <w:r w:rsidR="00EE4FC3">
        <w:t xml:space="preserve"> </w:t>
      </w:r>
      <w:r w:rsidRPr="00382917">
        <w:t>barracks,</w:t>
      </w:r>
      <w:r w:rsidR="00EE4FC3">
        <w:t xml:space="preserve"> </w:t>
      </w:r>
      <w:r w:rsidRPr="00382917">
        <w:t>a</w:t>
      </w:r>
      <w:r w:rsidR="00EE4FC3">
        <w:t xml:space="preserve"> </w:t>
      </w:r>
      <w:r w:rsidRPr="00382917">
        <w:t>young</w:t>
      </w:r>
      <w:r w:rsidR="00EE4FC3">
        <w:t xml:space="preserve"> </w:t>
      </w:r>
      <w:r w:rsidRPr="00382917">
        <w:t>boy</w:t>
      </w:r>
      <w:r w:rsidR="00EE4FC3">
        <w:t xml:space="preserve"> </w:t>
      </w:r>
      <w:r w:rsidRPr="00382917">
        <w:t>from</w:t>
      </w:r>
      <w:r w:rsidR="00EE4FC3">
        <w:t xml:space="preserve"> </w:t>
      </w:r>
      <w:r w:rsidRPr="00382917">
        <w:t>Tabríz</w:t>
      </w:r>
      <w:r w:rsidR="00EE4FC3">
        <w:t xml:space="preserve"> </w:t>
      </w:r>
      <w:r w:rsidRPr="00382917">
        <w:t>rushed</w:t>
      </w:r>
      <w:r w:rsidR="00EE4FC3">
        <w:t xml:space="preserve"> </w:t>
      </w:r>
      <w:r w:rsidRPr="00382917">
        <w:t>forward</w:t>
      </w:r>
      <w:r w:rsidR="00EE4FC3">
        <w:t xml:space="preserve"> </w:t>
      </w:r>
      <w:r w:rsidRPr="00382917">
        <w:t>from</w:t>
      </w:r>
      <w:r w:rsidR="00EE4FC3">
        <w:t xml:space="preserve"> </w:t>
      </w:r>
      <w:r w:rsidRPr="00382917">
        <w:t>the</w:t>
      </w:r>
      <w:r w:rsidR="00EE4FC3">
        <w:t xml:space="preserve"> </w:t>
      </w:r>
      <w:r w:rsidRPr="00382917">
        <w:t>crowd</w:t>
      </w:r>
      <w:r w:rsidR="00330AF7">
        <w:t>.</w:t>
      </w:r>
      <w:r w:rsidR="00EE4FC3">
        <w:t xml:space="preserve">  </w:t>
      </w:r>
      <w:r w:rsidRPr="00382917">
        <w:t>He</w:t>
      </w:r>
      <w:r w:rsidR="00EE4FC3">
        <w:t xml:space="preserve"> </w:t>
      </w:r>
      <w:r w:rsidRPr="00382917">
        <w:t>was</w:t>
      </w:r>
      <w:r w:rsidR="00EE4FC3">
        <w:t xml:space="preserve"> </w:t>
      </w:r>
      <w:r w:rsidRPr="00382917">
        <w:t>but</w:t>
      </w:r>
      <w:r w:rsidR="00EE4FC3">
        <w:t xml:space="preserve"> </w:t>
      </w:r>
      <w:r w:rsidRPr="00382917">
        <w:t>eighteen</w:t>
      </w:r>
      <w:r w:rsidR="00EE4FC3">
        <w:t xml:space="preserve"> </w:t>
      </w:r>
      <w:r w:rsidRPr="00382917">
        <w:t>years</w:t>
      </w:r>
      <w:r w:rsidR="00EE4FC3">
        <w:t xml:space="preserve"> </w:t>
      </w:r>
      <w:r w:rsidRPr="00382917">
        <w:t>old</w:t>
      </w:r>
      <w:r w:rsidR="00330AF7">
        <w:t>.</w:t>
      </w:r>
      <w:r w:rsidR="00EE4FC3">
        <w:t xml:space="preserve">  </w:t>
      </w:r>
      <w:r w:rsidRPr="00382917">
        <w:t>His</w:t>
      </w:r>
      <w:r w:rsidR="00EE4FC3">
        <w:t xml:space="preserve"> </w:t>
      </w:r>
      <w:r w:rsidRPr="00382917">
        <w:t>face</w:t>
      </w:r>
      <w:r w:rsidR="00EE4FC3">
        <w:t xml:space="preserve"> </w:t>
      </w:r>
      <w:r w:rsidRPr="00382917">
        <w:t>was</w:t>
      </w:r>
      <w:r w:rsidR="00EE4FC3">
        <w:t xml:space="preserve"> </w:t>
      </w:r>
      <w:r w:rsidRPr="00382917">
        <w:t>haggard,</w:t>
      </w:r>
      <w:r w:rsidR="00EE4FC3">
        <w:t xml:space="preserve"> </w:t>
      </w:r>
      <w:r w:rsidRPr="00382917">
        <w:t>his</w:t>
      </w:r>
      <w:r w:rsidR="00EE4FC3">
        <w:t xml:space="preserve"> </w:t>
      </w:r>
      <w:r w:rsidRPr="00382917">
        <w:t>feet</w:t>
      </w:r>
      <w:r w:rsidR="00EE4FC3">
        <w:t xml:space="preserve"> </w:t>
      </w:r>
      <w:r w:rsidRPr="00382917">
        <w:t>were</w:t>
      </w:r>
      <w:r w:rsidR="00EE4FC3">
        <w:t xml:space="preserve"> </w:t>
      </w:r>
      <w:r w:rsidRPr="00382917">
        <w:t>bare,</w:t>
      </w:r>
      <w:r w:rsidR="00EE4FC3">
        <w:t xml:space="preserve"> </w:t>
      </w:r>
      <w:r w:rsidRPr="00382917">
        <w:t>his</w:t>
      </w:r>
      <w:r w:rsidR="00EE4FC3">
        <w:t xml:space="preserve"> </w:t>
      </w:r>
      <w:r w:rsidRPr="00382917">
        <w:t>hair</w:t>
      </w:r>
      <w:r w:rsidR="00EE4FC3">
        <w:t xml:space="preserve"> </w:t>
      </w:r>
      <w:r w:rsidRPr="00382917">
        <w:t>dishevelled</w:t>
      </w:r>
      <w:r w:rsidR="00330AF7">
        <w:t>.</w:t>
      </w:r>
      <w:r w:rsidR="00EE4FC3">
        <w:t xml:space="preserve">  </w:t>
      </w:r>
      <w:r w:rsidRPr="00382917">
        <w:t>He</w:t>
      </w:r>
      <w:r w:rsidR="00EE4FC3">
        <w:t xml:space="preserve"> </w:t>
      </w:r>
      <w:r w:rsidRPr="00382917">
        <w:t>forced</w:t>
      </w:r>
      <w:r w:rsidR="00EE4FC3">
        <w:t xml:space="preserve"> </w:t>
      </w:r>
      <w:r w:rsidRPr="00382917">
        <w:t>his</w:t>
      </w:r>
      <w:r w:rsidR="00EE4FC3">
        <w:t xml:space="preserve"> </w:t>
      </w:r>
      <w:r w:rsidRPr="00382917">
        <w:t>way</w:t>
      </w:r>
      <w:r w:rsidR="00EE4FC3">
        <w:t xml:space="preserve"> </w:t>
      </w:r>
      <w:r w:rsidRPr="00382917">
        <w:t>through</w:t>
      </w:r>
      <w:r w:rsidR="00EE4FC3">
        <w:t xml:space="preserve"> </w:t>
      </w:r>
      <w:r w:rsidRPr="00382917">
        <w:t>the</w:t>
      </w:r>
      <w:r w:rsidR="00EE4FC3">
        <w:t xml:space="preserve"> </w:t>
      </w:r>
      <w:r w:rsidRPr="00382917">
        <w:t>mob,</w:t>
      </w:r>
      <w:r w:rsidR="00EE4FC3">
        <w:t xml:space="preserve"> </w:t>
      </w:r>
      <w:r w:rsidRPr="00382917">
        <w:t>ignoring</w:t>
      </w:r>
      <w:r w:rsidR="00EE4FC3">
        <w:t xml:space="preserve"> </w:t>
      </w:r>
      <w:r w:rsidRPr="00382917">
        <w:t>the</w:t>
      </w:r>
      <w:r w:rsidR="00EE4FC3">
        <w:t xml:space="preserve"> </w:t>
      </w:r>
      <w:r w:rsidRPr="00382917">
        <w:t>peril</w:t>
      </w:r>
      <w:r w:rsidR="00EE4FC3">
        <w:t xml:space="preserve"> </w:t>
      </w:r>
      <w:r w:rsidRPr="00382917">
        <w:t>to</w:t>
      </w:r>
      <w:r w:rsidR="00EE4FC3">
        <w:t xml:space="preserve"> </w:t>
      </w:r>
      <w:r w:rsidRPr="00382917">
        <w:t>his</w:t>
      </w:r>
      <w:r w:rsidR="00EE4FC3">
        <w:t xml:space="preserve"> </w:t>
      </w:r>
      <w:r w:rsidRPr="00382917">
        <w:t>own</w:t>
      </w:r>
      <w:r w:rsidR="00EE4FC3">
        <w:t xml:space="preserve"> </w:t>
      </w:r>
      <w:r w:rsidRPr="00382917">
        <w:t>life</w:t>
      </w:r>
      <w:r w:rsidR="00EE4FC3">
        <w:t xml:space="preserve"> </w:t>
      </w:r>
      <w:r w:rsidRPr="00382917">
        <w:t>which</w:t>
      </w:r>
      <w:r w:rsidR="00EE4FC3">
        <w:t xml:space="preserve"> </w:t>
      </w:r>
      <w:r w:rsidRPr="00382917">
        <w:t>such</w:t>
      </w:r>
      <w:r w:rsidR="00EE4FC3">
        <w:t xml:space="preserve"> </w:t>
      </w:r>
      <w:r w:rsidRPr="00382917">
        <w:t>an</w:t>
      </w:r>
      <w:r w:rsidR="00EE4FC3">
        <w:t xml:space="preserve"> </w:t>
      </w:r>
      <w:r w:rsidRPr="00382917">
        <w:t>action</w:t>
      </w:r>
      <w:r w:rsidR="00EE4FC3">
        <w:t xml:space="preserve"> </w:t>
      </w:r>
      <w:r w:rsidRPr="00382917">
        <w:t>involved</w:t>
      </w:r>
      <w:r w:rsidR="00330AF7">
        <w:t>.</w:t>
      </w:r>
      <w:r w:rsidR="00EE4FC3">
        <w:t xml:space="preserve">  </w:t>
      </w:r>
      <w:r w:rsidRPr="00382917">
        <w:t>He</w:t>
      </w:r>
      <w:r w:rsidR="00EE4FC3">
        <w:t xml:space="preserve"> </w:t>
      </w:r>
      <w:r w:rsidRPr="00382917">
        <w:t>flung</w:t>
      </w:r>
      <w:r w:rsidR="00EE4FC3">
        <w:t xml:space="preserve"> </w:t>
      </w:r>
      <w:r w:rsidRPr="00382917">
        <w:t>himself</w:t>
      </w:r>
      <w:r w:rsidR="00EE4FC3">
        <w:t xml:space="preserve"> </w:t>
      </w:r>
      <w:r w:rsidRPr="00382917">
        <w:t>at</w:t>
      </w:r>
      <w:r w:rsidR="00EE4FC3">
        <w:t xml:space="preserve"> </w:t>
      </w:r>
      <w:r w:rsidRPr="00382917">
        <w:t>the</w:t>
      </w:r>
      <w:r w:rsidR="00EE4FC3">
        <w:t xml:space="preserve"> </w:t>
      </w:r>
      <w:r w:rsidRPr="00382917">
        <w:t>feet</w:t>
      </w:r>
      <w:r w:rsidR="00EE4FC3">
        <w:t xml:space="preserve"> </w:t>
      </w:r>
      <w:r w:rsidRPr="00382917">
        <w:t>of</w:t>
      </w:r>
      <w:r w:rsidR="00EE4FC3">
        <w:t xml:space="preserve"> </w:t>
      </w:r>
      <w:r w:rsidRPr="00382917">
        <w:t>the</w:t>
      </w:r>
      <w:r w:rsidR="00EE4FC3">
        <w:t xml:space="preserve"> </w:t>
      </w:r>
      <w:r w:rsidRPr="00382917">
        <w:t>Báb.</w:t>
      </w:r>
    </w:p>
    <w:p w:rsidR="00621DD5" w:rsidRPr="00382917" w:rsidRDefault="009C713D" w:rsidP="00621DD5">
      <w:pPr>
        <w:pStyle w:val="Text"/>
      </w:pPr>
      <w:r w:rsidRPr="00382917">
        <w:t>“</w:t>
      </w:r>
      <w:r w:rsidR="00621DD5" w:rsidRPr="00382917">
        <w:t>Send</w:t>
      </w:r>
      <w:r w:rsidR="00EE4FC3">
        <w:t xml:space="preserve"> </w:t>
      </w:r>
      <w:r w:rsidR="00621DD5" w:rsidRPr="00382917">
        <w:t>me</w:t>
      </w:r>
      <w:r w:rsidR="00EE4FC3">
        <w:t xml:space="preserve"> </w:t>
      </w:r>
      <w:r w:rsidR="00621DD5" w:rsidRPr="00382917">
        <w:t>not</w:t>
      </w:r>
      <w:r w:rsidR="00EE4FC3">
        <w:t xml:space="preserve"> </w:t>
      </w:r>
      <w:r w:rsidR="00621DD5" w:rsidRPr="00382917">
        <w:t>from</w:t>
      </w:r>
      <w:r w:rsidR="00EE4FC3">
        <w:t xml:space="preserve"> </w:t>
      </w:r>
      <w:r w:rsidR="00621DD5" w:rsidRPr="00382917">
        <w:t>Thee,</w:t>
      </w:r>
      <w:r w:rsidR="00EE4FC3">
        <w:t xml:space="preserve"> </w:t>
      </w:r>
      <w:r w:rsidR="00621DD5" w:rsidRPr="00382917">
        <w:t>O</w:t>
      </w:r>
      <w:r w:rsidR="00EE4FC3">
        <w:t xml:space="preserve"> </w:t>
      </w:r>
      <w:r w:rsidR="00621DD5" w:rsidRPr="00382917">
        <w:t>Master,</w:t>
      </w:r>
      <w:r w:rsidRPr="00382917">
        <w:t>”</w:t>
      </w:r>
      <w:r w:rsidR="00EE4FC3">
        <w:t xml:space="preserve"> </w:t>
      </w:r>
      <w:r w:rsidR="00621DD5" w:rsidRPr="00382917">
        <w:t>he</w:t>
      </w:r>
      <w:r w:rsidR="00EE4FC3">
        <w:t xml:space="preserve"> </w:t>
      </w:r>
      <w:r w:rsidR="00621DD5" w:rsidRPr="00382917">
        <w:t>implored</w:t>
      </w:r>
      <w:r w:rsidR="00330AF7">
        <w:t>.</w:t>
      </w:r>
      <w:r w:rsidR="00EE4FC3">
        <w:t xml:space="preserve">  </w:t>
      </w:r>
      <w:r w:rsidRPr="00382917">
        <w:t>“</w:t>
      </w:r>
      <w:r w:rsidR="00621DD5" w:rsidRPr="00382917">
        <w:t>Wherever</w:t>
      </w:r>
      <w:r w:rsidR="00EE4FC3">
        <w:t xml:space="preserve"> </w:t>
      </w:r>
      <w:r w:rsidR="00621DD5" w:rsidRPr="00382917">
        <w:t>Thou</w:t>
      </w:r>
      <w:r w:rsidR="00EE4FC3">
        <w:t xml:space="preserve"> </w:t>
      </w:r>
      <w:proofErr w:type="spellStart"/>
      <w:r w:rsidR="00621DD5" w:rsidRPr="00382917">
        <w:t>goest</w:t>
      </w:r>
      <w:proofErr w:type="spellEnd"/>
      <w:r w:rsidR="00621DD5" w:rsidRPr="00382917">
        <w:t>,</w:t>
      </w:r>
      <w:r w:rsidR="00EE4FC3">
        <w:t xml:space="preserve"> </w:t>
      </w:r>
      <w:r w:rsidR="00621DD5" w:rsidRPr="00382917">
        <w:t>suffer</w:t>
      </w:r>
      <w:r w:rsidR="00EE4FC3">
        <w:t xml:space="preserve"> </w:t>
      </w:r>
      <w:r w:rsidR="00621DD5" w:rsidRPr="00382917">
        <w:t>me</w:t>
      </w:r>
      <w:r w:rsidR="00EE4FC3">
        <w:t xml:space="preserve"> </w:t>
      </w:r>
      <w:r w:rsidR="00621DD5" w:rsidRPr="00382917">
        <w:t>to</w:t>
      </w:r>
      <w:r w:rsidR="00EE4FC3">
        <w:t xml:space="preserve"> </w:t>
      </w:r>
      <w:r w:rsidR="00621DD5" w:rsidRPr="00382917">
        <w:t>follow</w:t>
      </w:r>
      <w:r w:rsidR="00EE4FC3">
        <w:t xml:space="preserve"> </w:t>
      </w:r>
      <w:r w:rsidR="00621DD5" w:rsidRPr="00382917">
        <w:t>Thee.</w:t>
      </w:r>
      <w:r w:rsidRPr="00382917">
        <w:t>”</w:t>
      </w:r>
    </w:p>
    <w:p w:rsidR="00621DD5" w:rsidRPr="00382917" w:rsidRDefault="00621DD5" w:rsidP="00A55DE8">
      <w:pPr>
        <w:pStyle w:val="Text"/>
      </w:pPr>
      <w:r w:rsidRPr="00382917">
        <w:t>The</w:t>
      </w:r>
      <w:r w:rsidR="00EE4FC3">
        <w:t xml:space="preserve"> </w:t>
      </w:r>
      <w:r w:rsidRPr="00382917">
        <w:t>Báb</w:t>
      </w:r>
      <w:r w:rsidR="00EE4FC3">
        <w:t xml:space="preserve"> </w:t>
      </w:r>
      <w:r w:rsidRPr="00382917">
        <w:t>smiled</w:t>
      </w:r>
      <w:r w:rsidR="00EE4FC3">
        <w:t xml:space="preserve"> </w:t>
      </w:r>
      <w:r w:rsidRPr="00382917">
        <w:t>down</w:t>
      </w:r>
      <w:r w:rsidR="00EE4FC3">
        <w:t xml:space="preserve"> </w:t>
      </w:r>
      <w:r w:rsidRPr="00382917">
        <w:t>upon</w:t>
      </w:r>
      <w:r w:rsidR="00EE4FC3">
        <w:t xml:space="preserve"> </w:t>
      </w:r>
      <w:r w:rsidRPr="00382917">
        <w:t>him</w:t>
      </w:r>
      <w:r w:rsidR="00EE4FC3">
        <w:t xml:space="preserve"> </w:t>
      </w:r>
      <w:r w:rsidRPr="00382917">
        <w:t>and</w:t>
      </w:r>
      <w:r w:rsidR="00EE4FC3">
        <w:t xml:space="preserve"> </w:t>
      </w:r>
      <w:r w:rsidRPr="00382917">
        <w:t>spoke</w:t>
      </w:r>
      <w:r w:rsidR="00EE4FC3">
        <w:t xml:space="preserve"> </w:t>
      </w:r>
      <w:r w:rsidRPr="00382917">
        <w:t>gently</w:t>
      </w:r>
      <w:r w:rsidR="00330AF7">
        <w:t>.</w:t>
      </w:r>
      <w:r w:rsidR="00EE4FC3">
        <w:t xml:space="preserve">  </w:t>
      </w:r>
      <w:r w:rsidR="009C713D" w:rsidRPr="00382917">
        <w:t>“</w:t>
      </w:r>
      <w:r w:rsidRPr="00382917">
        <w:t>Muḥammad</w:t>
      </w:r>
      <w:r w:rsidR="009C713D" w:rsidRPr="00382917">
        <w:t>-‘</w:t>
      </w:r>
      <w:r w:rsidRPr="00382917">
        <w:t>Alí,</w:t>
      </w:r>
      <w:r w:rsidR="00EE4FC3">
        <w:t xml:space="preserve"> </w:t>
      </w:r>
      <w:r w:rsidRPr="00382917">
        <w:t>arise,</w:t>
      </w:r>
      <w:r w:rsidR="009C713D" w:rsidRPr="00382917">
        <w:t>”</w:t>
      </w:r>
      <w:r w:rsidR="00EE4FC3">
        <w:t xml:space="preserve"> </w:t>
      </w:r>
      <w:r w:rsidRPr="00382917">
        <w:t>He</w:t>
      </w:r>
      <w:r w:rsidR="00EE4FC3">
        <w:t xml:space="preserve"> </w:t>
      </w:r>
      <w:r w:rsidRPr="00382917">
        <w:t>told</w:t>
      </w:r>
      <w:r w:rsidR="00EE4FC3">
        <w:t xml:space="preserve"> </w:t>
      </w:r>
      <w:r w:rsidRPr="00382917">
        <w:t>the</w:t>
      </w:r>
      <w:r w:rsidR="00EE4FC3">
        <w:t xml:space="preserve"> </w:t>
      </w:r>
      <w:r w:rsidRPr="00382917">
        <w:t>young</w:t>
      </w:r>
      <w:r w:rsidR="00EE4FC3">
        <w:t xml:space="preserve"> </w:t>
      </w:r>
      <w:r w:rsidRPr="00382917">
        <w:t>man,</w:t>
      </w:r>
      <w:r w:rsidR="00EE4FC3">
        <w:t xml:space="preserve"> </w:t>
      </w:r>
      <w:r w:rsidR="009C713D" w:rsidRPr="00382917">
        <w:t>“</w:t>
      </w:r>
      <w:r w:rsidRPr="00382917">
        <w:t>and</w:t>
      </w:r>
      <w:r w:rsidR="00EE4FC3">
        <w:t xml:space="preserve"> </w:t>
      </w:r>
      <w:r w:rsidRPr="00382917">
        <w:t>rest</w:t>
      </w:r>
      <w:r w:rsidR="00EE4FC3">
        <w:t xml:space="preserve"> </w:t>
      </w:r>
      <w:r w:rsidRPr="00382917">
        <w:t>assured</w:t>
      </w:r>
      <w:r w:rsidR="00EE4FC3">
        <w:t xml:space="preserve"> </w:t>
      </w:r>
      <w:r w:rsidRPr="00382917">
        <w:t>that</w:t>
      </w:r>
      <w:r w:rsidR="00EE4FC3">
        <w:t xml:space="preserve"> </w:t>
      </w:r>
      <w:r w:rsidRPr="00382917">
        <w:t>you</w:t>
      </w:r>
      <w:r w:rsidR="00EE4FC3">
        <w:t xml:space="preserve"> </w:t>
      </w:r>
      <w:r w:rsidRPr="00382917">
        <w:t>will</w:t>
      </w:r>
      <w:r w:rsidR="00EE4FC3">
        <w:t xml:space="preserve"> </w:t>
      </w:r>
      <w:r w:rsidRPr="00382917">
        <w:t>be</w:t>
      </w:r>
      <w:r w:rsidR="00EE4FC3">
        <w:t xml:space="preserve"> </w:t>
      </w:r>
      <w:r w:rsidRPr="00382917">
        <w:t>with</w:t>
      </w:r>
      <w:r w:rsidR="00EE4FC3">
        <w:t xml:space="preserve"> </w:t>
      </w:r>
      <w:r w:rsidRPr="00382917">
        <w:t>Me</w:t>
      </w:r>
      <w:r w:rsidR="00330AF7">
        <w:t>.</w:t>
      </w:r>
      <w:r w:rsidR="00EE4FC3">
        <w:t xml:space="preserve">  </w:t>
      </w:r>
      <w:r w:rsidRPr="00382917">
        <w:t>Tomorrow</w:t>
      </w:r>
      <w:r w:rsidR="00EE4FC3">
        <w:t xml:space="preserve"> </w:t>
      </w:r>
      <w:r w:rsidRPr="00382917">
        <w:t>you</w:t>
      </w:r>
      <w:r w:rsidR="00EE4FC3">
        <w:t xml:space="preserve"> </w:t>
      </w:r>
      <w:r w:rsidRPr="00382917">
        <w:t>will</w:t>
      </w:r>
      <w:r w:rsidR="00EE4FC3">
        <w:t xml:space="preserve"> </w:t>
      </w:r>
      <w:r w:rsidRPr="00382917">
        <w:t>witness</w:t>
      </w:r>
      <w:r w:rsidR="00EE4FC3">
        <w:t xml:space="preserve"> </w:t>
      </w:r>
      <w:r w:rsidRPr="00382917">
        <w:t>what</w:t>
      </w:r>
      <w:r w:rsidR="00EE4FC3">
        <w:t xml:space="preserve"> </w:t>
      </w:r>
      <w:r w:rsidRPr="00382917">
        <w:t>God</w:t>
      </w:r>
      <w:r w:rsidR="00EE4FC3">
        <w:t xml:space="preserve"> </w:t>
      </w:r>
      <w:r w:rsidRPr="00382917">
        <w:t>hath</w:t>
      </w:r>
      <w:r w:rsidR="00EE4FC3">
        <w:t xml:space="preserve"> </w:t>
      </w:r>
      <w:r w:rsidRPr="00382917">
        <w:t>decreed.</w:t>
      </w:r>
      <w:r w:rsidR="009C713D" w:rsidRPr="00382917">
        <w:t>”</w:t>
      </w:r>
      <w:r w:rsidR="00A55DE8">
        <w:rPr>
          <w:rStyle w:val="FootnoteReference"/>
        </w:rPr>
        <w:footnoteReference w:id="248"/>
      </w:r>
    </w:p>
    <w:p w:rsidR="00E13D49" w:rsidRPr="00382917" w:rsidRDefault="00621DD5" w:rsidP="009341BF">
      <w:pPr>
        <w:pStyle w:val="Text"/>
      </w:pPr>
      <w:r w:rsidRPr="00382917">
        <w:t>Dr</w:t>
      </w:r>
      <w:r w:rsidR="00EE4FC3">
        <w:t xml:space="preserve"> </w:t>
      </w:r>
      <w:r w:rsidRPr="00382917">
        <w:t>T.</w:t>
      </w:r>
      <w:r w:rsidR="00EE4FC3">
        <w:t xml:space="preserve"> </w:t>
      </w:r>
      <w:r w:rsidRPr="00382917">
        <w:t>K.</w:t>
      </w:r>
      <w:r w:rsidR="00EE4FC3">
        <w:t xml:space="preserve"> </w:t>
      </w:r>
      <w:r w:rsidRPr="00382917">
        <w:t>Cheyne</w:t>
      </w:r>
      <w:r w:rsidR="00EE4FC3">
        <w:t xml:space="preserve"> </w:t>
      </w:r>
      <w:r w:rsidRPr="00382917">
        <w:t>writes</w:t>
      </w:r>
      <w:r w:rsidR="00C03C91">
        <w:t>:</w:t>
      </w:r>
      <w:r w:rsidR="00EE4FC3">
        <w:t xml:space="preserve">  </w:t>
      </w:r>
      <w:r w:rsidR="009C713D" w:rsidRPr="00382917">
        <w:t>“</w:t>
      </w:r>
      <w:r w:rsidRPr="00382917">
        <w:t>It</w:t>
      </w:r>
      <w:r w:rsidR="00EE4FC3">
        <w:t xml:space="preserve"> </w:t>
      </w:r>
      <w:r w:rsidRPr="00382917">
        <w:t>is</w:t>
      </w:r>
      <w:r w:rsidR="00EE4FC3">
        <w:t xml:space="preserve"> </w:t>
      </w:r>
      <w:r w:rsidRPr="00382917">
        <w:t>no</w:t>
      </w:r>
      <w:r w:rsidR="00EE4FC3">
        <w:t xml:space="preserve"> </w:t>
      </w:r>
      <w:r w:rsidRPr="00382917">
        <w:t>doubt</w:t>
      </w:r>
      <w:r w:rsidR="00EE4FC3">
        <w:t xml:space="preserve"> </w:t>
      </w:r>
      <w:r w:rsidRPr="00382917">
        <w:t>a</w:t>
      </w:r>
      <w:r w:rsidR="00EE4FC3">
        <w:t xml:space="preserve"> </w:t>
      </w:r>
      <w:r w:rsidRPr="00382917">
        <w:t>singular</w:t>
      </w:r>
      <w:r w:rsidR="00EE4FC3">
        <w:t xml:space="preserve"> </w:t>
      </w:r>
      <w:r w:rsidRPr="00382917">
        <w:t>coincidence</w:t>
      </w:r>
      <w:r w:rsidR="00EE4FC3">
        <w:t xml:space="preserve"> </w:t>
      </w:r>
      <w:r w:rsidRPr="00382917">
        <w:t>that</w:t>
      </w:r>
      <w:r w:rsidR="00EE4FC3">
        <w:t xml:space="preserve"> </w:t>
      </w:r>
      <w:r w:rsidRPr="00382917">
        <w:t>both</w:t>
      </w:r>
      <w:r w:rsidR="00EE4FC3">
        <w:t xml:space="preserve"> </w:t>
      </w:r>
      <w:r w:rsidRPr="00382917">
        <w:t>[the</w:t>
      </w:r>
      <w:r w:rsidR="00EE4FC3">
        <w:t xml:space="preserve"> </w:t>
      </w:r>
      <w:r w:rsidRPr="00382917">
        <w:t>Báb]</w:t>
      </w:r>
      <w:r w:rsidR="00EE4FC3">
        <w:t xml:space="preserve"> </w:t>
      </w:r>
      <w:r w:rsidRPr="00382917">
        <w:t>and</w:t>
      </w:r>
      <w:r w:rsidR="00EE4FC3">
        <w:t xml:space="preserve"> </w:t>
      </w:r>
      <w:r w:rsidRPr="00382917">
        <w:t>Jesus</w:t>
      </w:r>
      <w:r w:rsidR="00EE4FC3">
        <w:t xml:space="preserve"> </w:t>
      </w:r>
      <w:r w:rsidRPr="00382917">
        <w:t>Christ</w:t>
      </w:r>
      <w:r w:rsidR="00EE4FC3">
        <w:t xml:space="preserve"> </w:t>
      </w:r>
      <w:proofErr w:type="gramStart"/>
      <w:r w:rsidRPr="00382917">
        <w:t>are</w:t>
      </w:r>
      <w:proofErr w:type="gramEnd"/>
      <w:r w:rsidR="00EE4FC3">
        <w:t xml:space="preserve"> </w:t>
      </w:r>
      <w:r w:rsidRPr="00382917">
        <w:t>reported</w:t>
      </w:r>
      <w:r w:rsidR="00EE4FC3">
        <w:t xml:space="preserve"> </w:t>
      </w:r>
      <w:r w:rsidRPr="00382917">
        <w:t>to</w:t>
      </w:r>
      <w:r w:rsidR="00EE4FC3">
        <w:t xml:space="preserve"> </w:t>
      </w:r>
      <w:r w:rsidRPr="00382917">
        <w:t>have</w:t>
      </w:r>
      <w:r w:rsidR="00EE4FC3">
        <w:t xml:space="preserve"> </w:t>
      </w:r>
      <w:r w:rsidRPr="00382917">
        <w:t>addressed</w:t>
      </w:r>
      <w:r w:rsidR="00EE4FC3">
        <w:t xml:space="preserve"> </w:t>
      </w:r>
      <w:r w:rsidRPr="00382917">
        <w:t>these</w:t>
      </w:r>
      <w:r w:rsidR="00EE4FC3">
        <w:t xml:space="preserve"> </w:t>
      </w:r>
      <w:r w:rsidRPr="00382917">
        <w:t>words</w:t>
      </w:r>
      <w:r w:rsidR="00EE4FC3">
        <w:t xml:space="preserve"> </w:t>
      </w:r>
      <w:r w:rsidRPr="00382917">
        <w:t>to</w:t>
      </w:r>
      <w:r w:rsidR="00EE4FC3">
        <w:t xml:space="preserve"> </w:t>
      </w:r>
      <w:r w:rsidRPr="00382917">
        <w:t>a</w:t>
      </w:r>
      <w:r w:rsidR="00EE4FC3">
        <w:t xml:space="preserve"> </w:t>
      </w:r>
      <w:r w:rsidRPr="00382917">
        <w:t>disciple</w:t>
      </w:r>
      <w:r w:rsidR="00C03C91">
        <w:t>:</w:t>
      </w:r>
      <w:r w:rsidR="00EE4FC3">
        <w:t xml:space="preserve">  </w:t>
      </w:r>
      <w:r w:rsidR="009C713D" w:rsidRPr="00382917">
        <w:t>‘</w:t>
      </w:r>
      <w:r w:rsidRPr="00382917">
        <w:t>Today</w:t>
      </w:r>
      <w:r w:rsidR="00EE4FC3">
        <w:t xml:space="preserve"> </w:t>
      </w:r>
      <w:r w:rsidRPr="00382917">
        <w:t>thou</w:t>
      </w:r>
      <w:r w:rsidR="00EE4FC3">
        <w:t xml:space="preserve"> </w:t>
      </w:r>
      <w:r w:rsidRPr="00382917">
        <w:t>shalt</w:t>
      </w:r>
      <w:r w:rsidR="00EE4FC3">
        <w:t xml:space="preserve"> </w:t>
      </w:r>
      <w:r w:rsidRPr="00382917">
        <w:t>be</w:t>
      </w:r>
      <w:r w:rsidR="00EE4FC3">
        <w:t xml:space="preserve"> </w:t>
      </w:r>
      <w:r w:rsidRPr="00382917">
        <w:t>with</w:t>
      </w:r>
      <w:r w:rsidR="00EE4FC3">
        <w:t xml:space="preserve"> </w:t>
      </w:r>
      <w:r w:rsidRPr="00382917">
        <w:t>Me</w:t>
      </w:r>
      <w:r w:rsidR="00EE4FC3">
        <w:t xml:space="preserve"> </w:t>
      </w:r>
      <w:r w:rsidRPr="00382917">
        <w:t>in</w:t>
      </w:r>
      <w:r w:rsidR="00EE4FC3">
        <w:t xml:space="preserve"> </w:t>
      </w:r>
      <w:r w:rsidRPr="00382917">
        <w:t>Paradise.</w:t>
      </w:r>
      <w:r w:rsidR="009C713D" w:rsidRPr="00382917">
        <w:t>’”</w:t>
      </w:r>
      <w:r w:rsidR="009341BF">
        <w:rPr>
          <w:rStyle w:val="FootnoteReference"/>
        </w:rPr>
        <w:footnoteReference w:id="249"/>
      </w:r>
    </w:p>
    <w:p w:rsidR="00621DD5" w:rsidRPr="00382917" w:rsidRDefault="00621DD5" w:rsidP="009341BF">
      <w:pPr>
        <w:pStyle w:val="Text"/>
      </w:pPr>
      <w:r w:rsidRPr="00382917">
        <w:t>The</w:t>
      </w:r>
      <w:r w:rsidR="00EE4FC3">
        <w:t xml:space="preserve"> </w:t>
      </w:r>
      <w:r w:rsidRPr="00382917">
        <w:t>youth</w:t>
      </w:r>
      <w:r w:rsidR="00EE4FC3">
        <w:t xml:space="preserve"> </w:t>
      </w:r>
      <w:r w:rsidRPr="00382917">
        <w:t>was</w:t>
      </w:r>
      <w:r w:rsidR="00EE4FC3">
        <w:t xml:space="preserve"> </w:t>
      </w:r>
      <w:r w:rsidRPr="00382917">
        <w:t>arrested</w:t>
      </w:r>
      <w:r w:rsidR="00EE4FC3">
        <w:t xml:space="preserve"> </w:t>
      </w:r>
      <w:r w:rsidRPr="00382917">
        <w:t>and</w:t>
      </w:r>
      <w:r w:rsidR="00EE4FC3">
        <w:t xml:space="preserve"> </w:t>
      </w:r>
      <w:r w:rsidRPr="00382917">
        <w:t>cast</w:t>
      </w:r>
      <w:r w:rsidR="00EE4FC3">
        <w:t xml:space="preserve"> </w:t>
      </w:r>
      <w:r w:rsidRPr="00382917">
        <w:t>into</w:t>
      </w:r>
      <w:r w:rsidR="00EE4FC3">
        <w:t xml:space="preserve"> </w:t>
      </w:r>
      <w:r w:rsidRPr="00382917">
        <w:t>the</w:t>
      </w:r>
      <w:r w:rsidR="00EE4FC3">
        <w:t xml:space="preserve"> </w:t>
      </w:r>
      <w:r w:rsidRPr="00382917">
        <w:t>same</w:t>
      </w:r>
      <w:r w:rsidR="00EE4FC3">
        <w:t xml:space="preserve"> </w:t>
      </w:r>
      <w:r w:rsidRPr="00382917">
        <w:t>cell</w:t>
      </w:r>
      <w:r w:rsidR="00EE4FC3">
        <w:t xml:space="preserve"> </w:t>
      </w:r>
      <w:r w:rsidRPr="00382917">
        <w:t>with</w:t>
      </w:r>
      <w:r w:rsidR="00EE4FC3">
        <w:t xml:space="preserve"> </w:t>
      </w:r>
      <w:r w:rsidRPr="00382917">
        <w:t>the</w:t>
      </w:r>
      <w:r w:rsidR="00EE4FC3">
        <w:t xml:space="preserve"> </w:t>
      </w:r>
      <w:r w:rsidRPr="00382917">
        <w:t>Báb</w:t>
      </w:r>
      <w:r w:rsidR="009341BF">
        <w:t xml:space="preserve"> </w:t>
      </w:r>
      <w:r w:rsidRPr="00382917">
        <w:t>and</w:t>
      </w:r>
      <w:r w:rsidR="00EE4FC3">
        <w:t xml:space="preserve"> </w:t>
      </w:r>
      <w:r w:rsidRPr="00382917">
        <w:t>condemned</w:t>
      </w:r>
      <w:r w:rsidR="00EE4FC3">
        <w:t xml:space="preserve"> </w:t>
      </w:r>
      <w:r w:rsidRPr="00382917">
        <w:t>to</w:t>
      </w:r>
      <w:r w:rsidR="00EE4FC3">
        <w:t xml:space="preserve"> </w:t>
      </w:r>
      <w:r w:rsidRPr="00382917">
        <w:t>death</w:t>
      </w:r>
      <w:r w:rsidR="00EE4FC3">
        <w:t xml:space="preserve"> </w:t>
      </w:r>
      <w:r w:rsidRPr="00382917">
        <w:t>with</w:t>
      </w:r>
      <w:r w:rsidR="00EE4FC3">
        <w:t xml:space="preserve"> </w:t>
      </w:r>
      <w:r w:rsidRPr="00382917">
        <w:t>Him</w:t>
      </w:r>
      <w:r w:rsidR="00330AF7">
        <w:t>.</w:t>
      </w:r>
      <w:r w:rsidR="00EE4FC3">
        <w:t xml:space="preserve">  </w:t>
      </w:r>
      <w:r w:rsidRPr="00382917">
        <w:t>Soon</w:t>
      </w:r>
      <w:r w:rsidR="00EE4FC3">
        <w:t xml:space="preserve"> </w:t>
      </w:r>
      <w:r w:rsidRPr="00382917">
        <w:t>the</w:t>
      </w:r>
      <w:r w:rsidR="00EE4FC3">
        <w:t xml:space="preserve"> </w:t>
      </w:r>
      <w:r w:rsidRPr="00382917">
        <w:t>story</w:t>
      </w:r>
      <w:r w:rsidR="00EE4FC3">
        <w:t xml:space="preserve"> </w:t>
      </w:r>
      <w:r w:rsidRPr="00382917">
        <w:t>of</w:t>
      </w:r>
      <w:r w:rsidR="00EE4FC3">
        <w:t xml:space="preserve"> </w:t>
      </w:r>
      <w:r w:rsidRPr="00382917">
        <w:t>this</w:t>
      </w:r>
      <w:r w:rsidR="00EE4FC3">
        <w:t xml:space="preserve"> </w:t>
      </w:r>
      <w:r w:rsidRPr="00382917">
        <w:t>young</w:t>
      </w:r>
      <w:r w:rsidR="00EE4FC3">
        <w:t xml:space="preserve"> </w:t>
      </w:r>
      <w:r w:rsidRPr="00382917">
        <w:t>man</w:t>
      </w:r>
      <w:r w:rsidR="00EE4FC3">
        <w:t xml:space="preserve"> </w:t>
      </w:r>
      <w:r w:rsidRPr="00382917">
        <w:t>became</w:t>
      </w:r>
      <w:r w:rsidR="00EE4FC3">
        <w:t xml:space="preserve"> </w:t>
      </w:r>
      <w:r w:rsidRPr="00382917">
        <w:t>known</w:t>
      </w:r>
      <w:r w:rsidR="00EE4FC3">
        <w:t xml:space="preserve"> </w:t>
      </w:r>
      <w:r w:rsidRPr="00382917">
        <w:t>to</w:t>
      </w:r>
      <w:r w:rsidR="00EE4FC3">
        <w:t xml:space="preserve"> </w:t>
      </w:r>
      <w:r w:rsidRPr="00382917">
        <w:t>everyone</w:t>
      </w:r>
      <w:r w:rsidR="00330AF7">
        <w:t>.</w:t>
      </w:r>
      <w:r w:rsidR="00EE4FC3">
        <w:t xml:space="preserve">  </w:t>
      </w:r>
      <w:r w:rsidRPr="00382917">
        <w:t>He</w:t>
      </w:r>
      <w:r w:rsidR="00EE4FC3">
        <w:t xml:space="preserve"> </w:t>
      </w:r>
      <w:r w:rsidRPr="00382917">
        <w:t>had</w:t>
      </w:r>
      <w:r w:rsidR="00EE4FC3">
        <w:t xml:space="preserve"> </w:t>
      </w:r>
      <w:r w:rsidRPr="00382917">
        <w:t>learned</w:t>
      </w:r>
      <w:r w:rsidR="00EE4FC3">
        <w:t xml:space="preserve"> </w:t>
      </w:r>
      <w:r w:rsidRPr="00382917">
        <w:t>of</w:t>
      </w:r>
      <w:r w:rsidR="00EE4FC3">
        <w:t xml:space="preserve"> </w:t>
      </w:r>
      <w:r w:rsidRPr="00382917">
        <w:t>the</w:t>
      </w:r>
      <w:r w:rsidR="00EE4FC3">
        <w:t xml:space="preserve"> </w:t>
      </w:r>
      <w:r w:rsidRPr="00382917">
        <w:t>Faith</w:t>
      </w:r>
      <w:r w:rsidR="00EE4FC3">
        <w:t xml:space="preserve"> </w:t>
      </w:r>
      <w:r w:rsidRPr="00382917">
        <w:t>of</w:t>
      </w:r>
      <w:r w:rsidR="009341BF">
        <w:t xml:space="preserve"> </w:t>
      </w:r>
      <w:r w:rsidRPr="00382917">
        <w:t>the</w:t>
      </w:r>
      <w:r w:rsidR="00EE4FC3">
        <w:t xml:space="preserve"> </w:t>
      </w:r>
      <w:r w:rsidRPr="00382917">
        <w:t>Báb</w:t>
      </w:r>
      <w:r w:rsidR="00EE4FC3">
        <w:t xml:space="preserve"> </w:t>
      </w:r>
      <w:r w:rsidRPr="00382917">
        <w:t>when</w:t>
      </w:r>
      <w:r w:rsidR="00EE4FC3">
        <w:t xml:space="preserve"> </w:t>
      </w:r>
      <w:r w:rsidRPr="00382917">
        <w:t>the</w:t>
      </w:r>
      <w:r w:rsidR="00EE4FC3">
        <w:t xml:space="preserve"> </w:t>
      </w:r>
      <w:r w:rsidRPr="00382917">
        <w:t>Báb</w:t>
      </w:r>
      <w:r w:rsidR="00EE4FC3">
        <w:t xml:space="preserve"> </w:t>
      </w:r>
      <w:r w:rsidRPr="00382917">
        <w:t>had</w:t>
      </w:r>
      <w:r w:rsidR="00EE4FC3">
        <w:t xml:space="preserve"> </w:t>
      </w:r>
      <w:r w:rsidRPr="00382917">
        <w:t>first</w:t>
      </w:r>
      <w:r w:rsidR="00EE4FC3">
        <w:t xml:space="preserve"> </w:t>
      </w:r>
      <w:r w:rsidRPr="00382917">
        <w:t>passed</w:t>
      </w:r>
      <w:r w:rsidR="00EE4FC3">
        <w:t xml:space="preserve"> </w:t>
      </w:r>
      <w:r w:rsidRPr="00382917">
        <w:t>through</w:t>
      </w:r>
      <w:r w:rsidR="00EE4FC3">
        <w:t xml:space="preserve"> </w:t>
      </w:r>
      <w:r w:rsidRPr="00382917">
        <w:t>Tabríz</w:t>
      </w:r>
      <w:r w:rsidR="00EE4FC3">
        <w:t xml:space="preserve"> </w:t>
      </w:r>
      <w:r w:rsidRPr="00382917">
        <w:t>on</w:t>
      </w:r>
      <w:r w:rsidR="00EE4FC3">
        <w:t xml:space="preserve"> </w:t>
      </w:r>
      <w:r w:rsidRPr="00382917">
        <w:t>His</w:t>
      </w:r>
      <w:r w:rsidR="00EE4FC3">
        <w:t xml:space="preserve"> </w:t>
      </w:r>
      <w:r w:rsidRPr="00382917">
        <w:t>way</w:t>
      </w:r>
      <w:r w:rsidR="00EE4FC3">
        <w:t xml:space="preserve"> </w:t>
      </w:r>
      <w:r w:rsidRPr="00382917">
        <w:t>to</w:t>
      </w:r>
      <w:r w:rsidR="00EE4FC3">
        <w:t xml:space="preserve"> </w:t>
      </w:r>
      <w:r w:rsidRPr="00382917">
        <w:t>prison</w:t>
      </w:r>
      <w:r w:rsidR="00EE4FC3">
        <w:t xml:space="preserve"> </w:t>
      </w:r>
      <w:r w:rsidRPr="00382917">
        <w:t>at</w:t>
      </w:r>
      <w:r w:rsidR="00EE4FC3">
        <w:t xml:space="preserve"> </w:t>
      </w:r>
      <w:r w:rsidRPr="00382917">
        <w:t>Máh-Kú</w:t>
      </w:r>
      <w:r w:rsidR="00330AF7">
        <w:t>.</w:t>
      </w:r>
      <w:r w:rsidR="00EE4FC3">
        <w:t xml:space="preserve">  </w:t>
      </w:r>
      <w:r w:rsidRPr="00382917">
        <w:t>At</w:t>
      </w:r>
      <w:r w:rsidR="00EE4FC3">
        <w:t xml:space="preserve"> </w:t>
      </w:r>
      <w:r w:rsidRPr="00382917">
        <w:t>once</w:t>
      </w:r>
      <w:r w:rsidR="00EE4FC3">
        <w:t xml:space="preserve"> </w:t>
      </w:r>
      <w:r w:rsidRPr="00382917">
        <w:t>he</w:t>
      </w:r>
      <w:r w:rsidR="00EE4FC3">
        <w:t xml:space="preserve"> </w:t>
      </w:r>
      <w:r w:rsidRPr="00382917">
        <w:t>became</w:t>
      </w:r>
      <w:r w:rsidR="00EE4FC3">
        <w:t xml:space="preserve"> </w:t>
      </w:r>
      <w:r w:rsidRPr="00382917">
        <w:t>an</w:t>
      </w:r>
      <w:r w:rsidR="00EE4FC3">
        <w:t xml:space="preserve"> </w:t>
      </w:r>
      <w:r w:rsidRPr="00382917">
        <w:t>ardent</w:t>
      </w:r>
      <w:r w:rsidR="00EE4FC3">
        <w:t xml:space="preserve"> </w:t>
      </w:r>
      <w:r w:rsidRPr="00382917">
        <w:t>believer.</w:t>
      </w:r>
    </w:p>
    <w:p w:rsidR="00621DD5" w:rsidRPr="00382917" w:rsidRDefault="00621DD5">
      <w:pPr>
        <w:widowControl/>
        <w:kinsoku/>
        <w:overflowPunct/>
        <w:textAlignment w:val="auto"/>
      </w:pPr>
      <w:r w:rsidRPr="00382917">
        <w:br w:type="page"/>
      </w:r>
    </w:p>
    <w:p w:rsidR="00621DD5" w:rsidRPr="00382917" w:rsidRDefault="00621DD5" w:rsidP="00621DD5">
      <w:pPr>
        <w:pStyle w:val="Textcts"/>
      </w:pPr>
      <w:r w:rsidRPr="00382917">
        <w:t>He</w:t>
      </w:r>
      <w:r w:rsidR="00EE4FC3">
        <w:t xml:space="preserve"> </w:t>
      </w:r>
      <w:r w:rsidRPr="00382917">
        <w:t>longed</w:t>
      </w:r>
      <w:r w:rsidR="00EE4FC3">
        <w:t xml:space="preserve"> </w:t>
      </w:r>
      <w:r w:rsidRPr="00382917">
        <w:t>to</w:t>
      </w:r>
      <w:r w:rsidR="00EE4FC3">
        <w:t xml:space="preserve"> </w:t>
      </w:r>
      <w:r w:rsidRPr="00382917">
        <w:t>visit</w:t>
      </w:r>
      <w:r w:rsidR="00EE4FC3">
        <w:t xml:space="preserve"> </w:t>
      </w:r>
      <w:r w:rsidRPr="00382917">
        <w:t>the</w:t>
      </w:r>
      <w:r w:rsidR="00EE4FC3">
        <w:t xml:space="preserve"> </w:t>
      </w:r>
      <w:r w:rsidRPr="00382917">
        <w:t>Báb</w:t>
      </w:r>
      <w:r w:rsidR="00EE4FC3">
        <w:t xml:space="preserve"> </w:t>
      </w:r>
      <w:r w:rsidRPr="00382917">
        <w:t>in</w:t>
      </w:r>
      <w:r w:rsidR="00EE4FC3">
        <w:t xml:space="preserve"> </w:t>
      </w:r>
      <w:r w:rsidRPr="00382917">
        <w:t>His</w:t>
      </w:r>
      <w:r w:rsidR="00EE4FC3">
        <w:t xml:space="preserve"> </w:t>
      </w:r>
      <w:r w:rsidRPr="00382917">
        <w:t>prison</w:t>
      </w:r>
      <w:r w:rsidR="00EE4FC3">
        <w:t xml:space="preserve"> </w:t>
      </w:r>
      <w:r w:rsidRPr="00382917">
        <w:t>and</w:t>
      </w:r>
      <w:r w:rsidR="00EE4FC3">
        <w:t xml:space="preserve"> </w:t>
      </w:r>
      <w:r w:rsidRPr="00382917">
        <w:t>offer</w:t>
      </w:r>
      <w:r w:rsidR="00EE4FC3">
        <w:t xml:space="preserve"> </w:t>
      </w:r>
      <w:r w:rsidRPr="00382917">
        <w:t>his</w:t>
      </w:r>
      <w:r w:rsidR="00EE4FC3">
        <w:t xml:space="preserve"> </w:t>
      </w:r>
      <w:r w:rsidRPr="00382917">
        <w:t>life</w:t>
      </w:r>
      <w:r w:rsidR="00EE4FC3">
        <w:t xml:space="preserve"> </w:t>
      </w:r>
      <w:r w:rsidRPr="00382917">
        <w:t>for</w:t>
      </w:r>
      <w:r w:rsidR="00EE4FC3">
        <w:t xml:space="preserve"> </w:t>
      </w:r>
      <w:r w:rsidRPr="00382917">
        <w:t>the</w:t>
      </w:r>
      <w:r w:rsidR="00EE4FC3">
        <w:t xml:space="preserve"> </w:t>
      </w:r>
      <w:r w:rsidRPr="00382917">
        <w:t>Faith</w:t>
      </w:r>
      <w:r w:rsidR="00330AF7">
        <w:t>.</w:t>
      </w:r>
      <w:r w:rsidR="00EE4FC3">
        <w:t xml:space="preserve">  </w:t>
      </w:r>
      <w:r w:rsidRPr="00382917">
        <w:t>The</w:t>
      </w:r>
      <w:r w:rsidR="00EE4FC3">
        <w:t xml:space="preserve"> </w:t>
      </w:r>
      <w:r w:rsidRPr="00382917">
        <w:t>boy</w:t>
      </w:r>
      <w:r w:rsidR="009C713D" w:rsidRPr="00382917">
        <w:t>’</w:t>
      </w:r>
      <w:r w:rsidRPr="00382917">
        <w:t>s</w:t>
      </w:r>
      <w:r w:rsidR="00EE4FC3">
        <w:t xml:space="preserve"> </w:t>
      </w:r>
      <w:r w:rsidRPr="00382917">
        <w:t>stepfather</w:t>
      </w:r>
      <w:r w:rsidR="00EE4FC3">
        <w:t xml:space="preserve"> </w:t>
      </w:r>
      <w:r w:rsidRPr="00382917">
        <w:t>was</w:t>
      </w:r>
      <w:r w:rsidR="00EE4FC3">
        <w:t xml:space="preserve"> </w:t>
      </w:r>
      <w:r w:rsidRPr="00382917">
        <w:t>one</w:t>
      </w:r>
      <w:r w:rsidR="00EE4FC3">
        <w:t xml:space="preserve"> </w:t>
      </w:r>
      <w:r w:rsidRPr="00382917">
        <w:t>of</w:t>
      </w:r>
      <w:r w:rsidR="00EE4FC3">
        <w:t xml:space="preserve"> </w:t>
      </w:r>
      <w:r w:rsidRPr="00382917">
        <w:t>the</w:t>
      </w:r>
      <w:r w:rsidR="00EE4FC3">
        <w:t xml:space="preserve"> </w:t>
      </w:r>
      <w:r w:rsidRPr="00382917">
        <w:t>most</w:t>
      </w:r>
      <w:r w:rsidR="00EE4FC3">
        <w:t xml:space="preserve"> </w:t>
      </w:r>
      <w:r w:rsidRPr="00382917">
        <w:t>illustrious</w:t>
      </w:r>
      <w:r w:rsidR="00EE4FC3">
        <w:t xml:space="preserve"> </w:t>
      </w:r>
      <w:r w:rsidRPr="00382917">
        <w:t>citizens</w:t>
      </w:r>
      <w:r w:rsidR="00EE4FC3">
        <w:t xml:space="preserve"> </w:t>
      </w:r>
      <w:r w:rsidRPr="00382917">
        <w:t>of</w:t>
      </w:r>
      <w:r w:rsidR="00EE4FC3">
        <w:t xml:space="preserve"> </w:t>
      </w:r>
      <w:r w:rsidR="00B24C41">
        <w:t>Tabríz</w:t>
      </w:r>
      <w:r w:rsidR="00330AF7">
        <w:t>.</w:t>
      </w:r>
      <w:r w:rsidR="00EE4FC3">
        <w:t xml:space="preserve">  </w:t>
      </w:r>
      <w:r w:rsidRPr="00382917">
        <w:t>He</w:t>
      </w:r>
      <w:r w:rsidR="00EE4FC3">
        <w:t xml:space="preserve"> </w:t>
      </w:r>
      <w:r w:rsidRPr="00382917">
        <w:t>refused</w:t>
      </w:r>
      <w:r w:rsidR="00EE4FC3">
        <w:t xml:space="preserve"> </w:t>
      </w:r>
      <w:r w:rsidRPr="00382917">
        <w:t>to</w:t>
      </w:r>
      <w:r w:rsidR="00EE4FC3">
        <w:t xml:space="preserve"> </w:t>
      </w:r>
      <w:r w:rsidRPr="00382917">
        <w:t>let</w:t>
      </w:r>
      <w:r w:rsidR="00EE4FC3">
        <w:t xml:space="preserve"> </w:t>
      </w:r>
      <w:r w:rsidRPr="00382917">
        <w:t>the</w:t>
      </w:r>
      <w:r w:rsidR="00EE4FC3">
        <w:t xml:space="preserve"> </w:t>
      </w:r>
      <w:r w:rsidRPr="00382917">
        <w:t>boy</w:t>
      </w:r>
      <w:r w:rsidR="00EE4FC3">
        <w:t xml:space="preserve"> </w:t>
      </w:r>
      <w:r w:rsidRPr="00382917">
        <w:t>leave</w:t>
      </w:r>
      <w:r w:rsidR="00EE4FC3">
        <w:t xml:space="preserve"> </w:t>
      </w:r>
      <w:r w:rsidRPr="00382917">
        <w:t>the</w:t>
      </w:r>
      <w:r w:rsidR="00EE4FC3">
        <w:t xml:space="preserve"> </w:t>
      </w:r>
      <w:r w:rsidRPr="00382917">
        <w:t>city</w:t>
      </w:r>
      <w:r w:rsidR="00330AF7">
        <w:t>.</w:t>
      </w:r>
      <w:r w:rsidR="00EE4FC3">
        <w:t xml:space="preserve">  </w:t>
      </w:r>
      <w:r w:rsidRPr="00382917">
        <w:t>He</w:t>
      </w:r>
      <w:r w:rsidR="00EE4FC3">
        <w:t xml:space="preserve"> </w:t>
      </w:r>
      <w:r w:rsidRPr="00382917">
        <w:t>feared</w:t>
      </w:r>
      <w:r w:rsidR="00EE4FC3">
        <w:t xml:space="preserve"> </w:t>
      </w:r>
      <w:r w:rsidRPr="00382917">
        <w:t>that</w:t>
      </w:r>
      <w:r w:rsidR="00EE4FC3">
        <w:t xml:space="preserve"> </w:t>
      </w:r>
      <w:r w:rsidRPr="00382917">
        <w:t>his</w:t>
      </w:r>
      <w:r w:rsidR="00EE4FC3">
        <w:t xml:space="preserve"> </w:t>
      </w:r>
      <w:r w:rsidRPr="00382917">
        <w:t>son</w:t>
      </w:r>
      <w:r w:rsidR="00EE4FC3">
        <w:t xml:space="preserve"> </w:t>
      </w:r>
      <w:r w:rsidRPr="00382917">
        <w:t>would</w:t>
      </w:r>
      <w:r w:rsidR="00EE4FC3">
        <w:t xml:space="preserve"> </w:t>
      </w:r>
      <w:r w:rsidRPr="00382917">
        <w:t>shame</w:t>
      </w:r>
      <w:r w:rsidR="00EE4FC3">
        <w:t xml:space="preserve"> </w:t>
      </w:r>
      <w:r w:rsidRPr="00382917">
        <w:t>the</w:t>
      </w:r>
      <w:r w:rsidR="00EE4FC3">
        <w:t xml:space="preserve"> </w:t>
      </w:r>
      <w:r w:rsidRPr="00382917">
        <w:t>family</w:t>
      </w:r>
      <w:r w:rsidR="00EE4FC3">
        <w:t xml:space="preserve"> </w:t>
      </w:r>
      <w:r w:rsidRPr="00382917">
        <w:t>by</w:t>
      </w:r>
      <w:r w:rsidR="00EE4FC3">
        <w:t xml:space="preserve"> </w:t>
      </w:r>
      <w:r w:rsidRPr="00382917">
        <w:t>publicly</w:t>
      </w:r>
      <w:r w:rsidR="00EE4FC3">
        <w:t xml:space="preserve"> </w:t>
      </w:r>
      <w:r w:rsidRPr="00382917">
        <w:t>admitting</w:t>
      </w:r>
      <w:r w:rsidR="00EE4FC3">
        <w:t xml:space="preserve"> </w:t>
      </w:r>
      <w:r w:rsidRPr="00382917">
        <w:t>that</w:t>
      </w:r>
      <w:r w:rsidR="00EE4FC3">
        <w:t xml:space="preserve"> </w:t>
      </w:r>
      <w:r w:rsidRPr="00382917">
        <w:t>he</w:t>
      </w:r>
      <w:r w:rsidR="00EE4FC3">
        <w:t xml:space="preserve"> </w:t>
      </w:r>
      <w:r w:rsidRPr="00382917">
        <w:t>believed</w:t>
      </w:r>
      <w:r w:rsidR="00EE4FC3">
        <w:t xml:space="preserve"> </w:t>
      </w:r>
      <w:r w:rsidRPr="00382917">
        <w:t>in</w:t>
      </w:r>
      <w:r w:rsidR="00EE4FC3">
        <w:t xml:space="preserve"> </w:t>
      </w:r>
      <w:r w:rsidRPr="00382917">
        <w:t>the</w:t>
      </w:r>
      <w:r w:rsidR="00EE4FC3">
        <w:t xml:space="preserve"> </w:t>
      </w:r>
      <w:r w:rsidRPr="00382917">
        <w:t>Báb,</w:t>
      </w:r>
      <w:r w:rsidR="00EE4FC3">
        <w:t xml:space="preserve"> </w:t>
      </w:r>
      <w:r w:rsidRPr="00382917">
        <w:t>so</w:t>
      </w:r>
      <w:r w:rsidR="00EE4FC3">
        <w:t xml:space="preserve"> </w:t>
      </w:r>
      <w:r w:rsidRPr="00382917">
        <w:t>he</w:t>
      </w:r>
      <w:r w:rsidR="00EE4FC3">
        <w:t xml:space="preserve"> </w:t>
      </w:r>
      <w:r w:rsidRPr="00382917">
        <w:t>confined</w:t>
      </w:r>
      <w:r w:rsidR="00EE4FC3">
        <w:t xml:space="preserve"> </w:t>
      </w:r>
      <w:r w:rsidRPr="00382917">
        <w:t>the</w:t>
      </w:r>
      <w:r w:rsidR="00EE4FC3">
        <w:t xml:space="preserve"> </w:t>
      </w:r>
      <w:r w:rsidRPr="00382917">
        <w:t>boy</w:t>
      </w:r>
      <w:r w:rsidR="00EE4FC3">
        <w:t xml:space="preserve"> </w:t>
      </w:r>
      <w:r w:rsidRPr="00382917">
        <w:t>to</w:t>
      </w:r>
      <w:r w:rsidR="00EE4FC3">
        <w:t xml:space="preserve"> </w:t>
      </w:r>
      <w:r w:rsidRPr="00382917">
        <w:t>his</w:t>
      </w:r>
      <w:r w:rsidR="00EE4FC3">
        <w:t xml:space="preserve"> </w:t>
      </w:r>
      <w:r w:rsidRPr="00382917">
        <w:t>room</w:t>
      </w:r>
      <w:r w:rsidR="00EE4FC3">
        <w:t xml:space="preserve"> </w:t>
      </w:r>
      <w:r w:rsidRPr="00382917">
        <w:t>and</w:t>
      </w:r>
      <w:r w:rsidR="00EE4FC3">
        <w:t xml:space="preserve"> </w:t>
      </w:r>
      <w:r w:rsidRPr="00382917">
        <w:t>put</w:t>
      </w:r>
      <w:r w:rsidR="00EE4FC3">
        <w:t xml:space="preserve"> </w:t>
      </w:r>
      <w:r w:rsidRPr="00382917">
        <w:t>a</w:t>
      </w:r>
      <w:r w:rsidR="00EE4FC3">
        <w:t xml:space="preserve"> </w:t>
      </w:r>
      <w:r w:rsidRPr="00382917">
        <w:t>strict</w:t>
      </w:r>
      <w:r w:rsidR="00EE4FC3">
        <w:t xml:space="preserve"> </w:t>
      </w:r>
      <w:r w:rsidRPr="00382917">
        <w:t>watch</w:t>
      </w:r>
      <w:r w:rsidR="00EE4FC3">
        <w:t xml:space="preserve"> </w:t>
      </w:r>
      <w:r w:rsidRPr="00382917">
        <w:t>over</w:t>
      </w:r>
      <w:r w:rsidR="00EE4FC3">
        <w:t xml:space="preserve"> </w:t>
      </w:r>
      <w:r w:rsidRPr="00382917">
        <w:t>him</w:t>
      </w:r>
      <w:r w:rsidR="00330AF7">
        <w:t>.</w:t>
      </w:r>
      <w:r w:rsidR="00EE4FC3">
        <w:t xml:space="preserve">  </w:t>
      </w:r>
      <w:r w:rsidRPr="00382917">
        <w:t>The</w:t>
      </w:r>
      <w:r w:rsidR="00EE4FC3">
        <w:t xml:space="preserve"> </w:t>
      </w:r>
      <w:r w:rsidRPr="00382917">
        <w:t>young</w:t>
      </w:r>
      <w:r w:rsidR="00EE4FC3">
        <w:t xml:space="preserve"> </w:t>
      </w:r>
      <w:r w:rsidRPr="00382917">
        <w:t>man</w:t>
      </w:r>
      <w:r w:rsidR="00EE4FC3">
        <w:t xml:space="preserve"> </w:t>
      </w:r>
      <w:r w:rsidRPr="00382917">
        <w:t>began</w:t>
      </w:r>
      <w:r w:rsidR="00EE4FC3">
        <w:t xml:space="preserve"> </w:t>
      </w:r>
      <w:r w:rsidRPr="00382917">
        <w:t>to</w:t>
      </w:r>
      <w:r w:rsidR="00EE4FC3">
        <w:t xml:space="preserve"> </w:t>
      </w:r>
      <w:r w:rsidRPr="00382917">
        <w:t>sicken</w:t>
      </w:r>
      <w:r w:rsidR="00EE4FC3">
        <w:t xml:space="preserve"> </w:t>
      </w:r>
      <w:r w:rsidRPr="00382917">
        <w:t>in</w:t>
      </w:r>
      <w:r w:rsidR="00EE4FC3">
        <w:t xml:space="preserve"> </w:t>
      </w:r>
      <w:r w:rsidRPr="00382917">
        <w:t>this</w:t>
      </w:r>
      <w:r w:rsidR="00EE4FC3">
        <w:t xml:space="preserve"> </w:t>
      </w:r>
      <w:r w:rsidRPr="00382917">
        <w:t>confinement</w:t>
      </w:r>
      <w:r w:rsidR="00EE4FC3">
        <w:t xml:space="preserve"> </w:t>
      </w:r>
      <w:r w:rsidRPr="00382917">
        <w:t>until</w:t>
      </w:r>
      <w:r w:rsidR="00EE4FC3">
        <w:t xml:space="preserve"> </w:t>
      </w:r>
      <w:r w:rsidRPr="00382917">
        <w:t>at</w:t>
      </w:r>
      <w:r w:rsidR="00EE4FC3">
        <w:t xml:space="preserve"> </w:t>
      </w:r>
      <w:r w:rsidRPr="00382917">
        <w:t>length</w:t>
      </w:r>
      <w:r w:rsidR="00EE4FC3">
        <w:t xml:space="preserve"> </w:t>
      </w:r>
      <w:r w:rsidRPr="00382917">
        <w:t>the</w:t>
      </w:r>
      <w:r w:rsidR="00EE4FC3">
        <w:t xml:space="preserve"> </w:t>
      </w:r>
      <w:r w:rsidRPr="00382917">
        <w:t>stepfather</w:t>
      </w:r>
      <w:r w:rsidR="00EE4FC3">
        <w:t xml:space="preserve"> </w:t>
      </w:r>
      <w:r w:rsidRPr="00382917">
        <w:t>became</w:t>
      </w:r>
      <w:r w:rsidR="00EE4FC3">
        <w:t xml:space="preserve"> </w:t>
      </w:r>
      <w:r w:rsidRPr="00382917">
        <w:t>worried.</w:t>
      </w:r>
    </w:p>
    <w:p w:rsidR="00621DD5" w:rsidRPr="00382917" w:rsidRDefault="008A073E" w:rsidP="00621DD5">
      <w:pPr>
        <w:pStyle w:val="Text"/>
      </w:pPr>
      <w:r w:rsidRPr="00382917">
        <w:rPr>
          <w:u w:val="single"/>
        </w:rPr>
        <w:t>Sh</w:t>
      </w:r>
      <w:r w:rsidRPr="00382917">
        <w:t>ay</w:t>
      </w:r>
      <w:r w:rsidRPr="00382917">
        <w:rPr>
          <w:u w:val="single"/>
        </w:rPr>
        <w:t>kh</w:t>
      </w:r>
      <w:r w:rsidR="00EE4FC3">
        <w:t xml:space="preserve"> </w:t>
      </w:r>
      <w:r w:rsidR="00621DD5" w:rsidRPr="00382917">
        <w:t>Ḥasan,</w:t>
      </w:r>
      <w:r w:rsidR="00EE4FC3">
        <w:t xml:space="preserve"> </w:t>
      </w:r>
      <w:r w:rsidR="00621DD5" w:rsidRPr="00382917">
        <w:t>who</w:t>
      </w:r>
      <w:r w:rsidR="00EE4FC3">
        <w:t xml:space="preserve"> </w:t>
      </w:r>
      <w:r w:rsidR="00621DD5" w:rsidRPr="00382917">
        <w:t>was</w:t>
      </w:r>
      <w:r w:rsidR="00EE4FC3">
        <w:t xml:space="preserve"> </w:t>
      </w:r>
      <w:r w:rsidR="00621DD5" w:rsidRPr="00382917">
        <w:t>related</w:t>
      </w:r>
      <w:r w:rsidR="00EE4FC3">
        <w:t xml:space="preserve"> </w:t>
      </w:r>
      <w:r w:rsidR="00621DD5" w:rsidRPr="00382917">
        <w:t>to</w:t>
      </w:r>
      <w:r w:rsidR="00EE4FC3">
        <w:t xml:space="preserve"> </w:t>
      </w:r>
      <w:r w:rsidR="00621DD5" w:rsidRPr="00382917">
        <w:t>the</w:t>
      </w:r>
      <w:r w:rsidR="00EE4FC3">
        <w:t xml:space="preserve"> </w:t>
      </w:r>
      <w:r w:rsidR="00621DD5" w:rsidRPr="00382917">
        <w:t>stepfather,</w:t>
      </w:r>
      <w:r w:rsidR="00EE4FC3">
        <w:t xml:space="preserve"> </w:t>
      </w:r>
      <w:r w:rsidR="00621DD5" w:rsidRPr="00382917">
        <w:t>had</w:t>
      </w:r>
      <w:r w:rsidR="00EE4FC3">
        <w:t xml:space="preserve"> </w:t>
      </w:r>
      <w:r w:rsidR="00621DD5" w:rsidRPr="00382917">
        <w:t>just</w:t>
      </w:r>
      <w:r w:rsidR="00EE4FC3">
        <w:t xml:space="preserve"> </w:t>
      </w:r>
      <w:r w:rsidR="00621DD5" w:rsidRPr="00382917">
        <w:t>been</w:t>
      </w:r>
      <w:r w:rsidR="00EE4FC3">
        <w:t xml:space="preserve"> </w:t>
      </w:r>
      <w:r w:rsidR="00621DD5" w:rsidRPr="00382917">
        <w:t>sent</w:t>
      </w:r>
      <w:r w:rsidR="00EE4FC3">
        <w:t xml:space="preserve"> </w:t>
      </w:r>
      <w:r w:rsidR="00621DD5" w:rsidRPr="00382917">
        <w:t>to</w:t>
      </w:r>
      <w:r w:rsidR="00EE4FC3">
        <w:t xml:space="preserve"> </w:t>
      </w:r>
      <w:r w:rsidR="00621DD5" w:rsidRPr="00382917">
        <w:t>Tabríz</w:t>
      </w:r>
      <w:r w:rsidR="00EE4FC3">
        <w:t xml:space="preserve"> </w:t>
      </w:r>
      <w:r w:rsidR="00621DD5" w:rsidRPr="00382917">
        <w:t>by</w:t>
      </w:r>
      <w:r w:rsidR="00EE4FC3">
        <w:t xml:space="preserve"> </w:t>
      </w:r>
      <w:r w:rsidR="00621DD5" w:rsidRPr="00382917">
        <w:t>the</w:t>
      </w:r>
      <w:r w:rsidR="00EE4FC3">
        <w:t xml:space="preserve"> </w:t>
      </w:r>
      <w:r w:rsidR="00621DD5" w:rsidRPr="00382917">
        <w:t>Báb</w:t>
      </w:r>
      <w:r w:rsidR="00EE4FC3">
        <w:t xml:space="preserve"> </w:t>
      </w:r>
      <w:r w:rsidR="00621DD5" w:rsidRPr="00382917">
        <w:t>with</w:t>
      </w:r>
      <w:r w:rsidR="00EE4FC3">
        <w:t xml:space="preserve"> </w:t>
      </w:r>
      <w:r w:rsidR="00621DD5" w:rsidRPr="00382917">
        <w:t>a</w:t>
      </w:r>
      <w:r w:rsidR="00EE4FC3">
        <w:t xml:space="preserve"> </w:t>
      </w:r>
      <w:r w:rsidR="00621DD5" w:rsidRPr="00382917">
        <w:t>number</w:t>
      </w:r>
      <w:r w:rsidR="00EE4FC3">
        <w:t xml:space="preserve"> </w:t>
      </w:r>
      <w:r w:rsidR="00621DD5" w:rsidRPr="00382917">
        <w:t>of</w:t>
      </w:r>
      <w:r w:rsidR="00EE4FC3">
        <w:t xml:space="preserve"> </w:t>
      </w:r>
      <w:r w:rsidR="00621DD5" w:rsidRPr="00382917">
        <w:t>manuscripts</w:t>
      </w:r>
      <w:r w:rsidR="00330AF7">
        <w:t>.</w:t>
      </w:r>
      <w:r w:rsidR="00EE4FC3">
        <w:t xml:space="preserve">  </w:t>
      </w:r>
      <w:r w:rsidR="00621DD5" w:rsidRPr="00382917">
        <w:t>He</w:t>
      </w:r>
      <w:r w:rsidR="00EE4FC3">
        <w:t xml:space="preserve"> </w:t>
      </w:r>
      <w:r w:rsidR="00621DD5" w:rsidRPr="00382917">
        <w:t>gives</w:t>
      </w:r>
      <w:r w:rsidR="00EE4FC3">
        <w:t xml:space="preserve"> </w:t>
      </w:r>
      <w:r w:rsidR="00621DD5" w:rsidRPr="00382917">
        <w:t>the</w:t>
      </w:r>
      <w:r w:rsidR="00EE4FC3">
        <w:t xml:space="preserve"> </w:t>
      </w:r>
      <w:r w:rsidR="00621DD5" w:rsidRPr="00382917">
        <w:t>following</w:t>
      </w:r>
      <w:r w:rsidR="00EE4FC3">
        <w:t xml:space="preserve"> </w:t>
      </w:r>
      <w:r w:rsidR="00621DD5" w:rsidRPr="00382917">
        <w:t>eye-witness</w:t>
      </w:r>
      <w:r w:rsidR="00EE4FC3">
        <w:t xml:space="preserve"> </w:t>
      </w:r>
      <w:r w:rsidR="00621DD5" w:rsidRPr="00382917">
        <w:t>account</w:t>
      </w:r>
      <w:r w:rsidR="00EE4FC3">
        <w:t xml:space="preserve"> </w:t>
      </w:r>
      <w:r w:rsidR="00621DD5" w:rsidRPr="00382917">
        <w:t>of</w:t>
      </w:r>
      <w:r w:rsidR="00EE4FC3">
        <w:t xml:space="preserve"> </w:t>
      </w:r>
      <w:r w:rsidR="00621DD5" w:rsidRPr="00382917">
        <w:t>his</w:t>
      </w:r>
      <w:r w:rsidR="00EE4FC3">
        <w:t xml:space="preserve"> </w:t>
      </w:r>
      <w:r w:rsidR="00621DD5" w:rsidRPr="00382917">
        <w:t>meeting</w:t>
      </w:r>
      <w:r w:rsidR="00EE4FC3">
        <w:t xml:space="preserve"> </w:t>
      </w:r>
      <w:r w:rsidR="00621DD5" w:rsidRPr="00382917">
        <w:t>with</w:t>
      </w:r>
      <w:r w:rsidR="00EE4FC3">
        <w:t xml:space="preserve"> </w:t>
      </w:r>
      <w:r w:rsidR="00621DD5" w:rsidRPr="00382917">
        <w:t>that</w:t>
      </w:r>
      <w:r w:rsidR="00EE4FC3">
        <w:t xml:space="preserve"> </w:t>
      </w:r>
      <w:r w:rsidR="00621DD5" w:rsidRPr="00382917">
        <w:t>young</w:t>
      </w:r>
      <w:r w:rsidR="00EE4FC3">
        <w:t xml:space="preserve"> </w:t>
      </w:r>
      <w:r w:rsidR="00621DD5" w:rsidRPr="00382917">
        <w:t>man.</w:t>
      </w:r>
    </w:p>
    <w:p w:rsidR="00621DD5" w:rsidRPr="00382917" w:rsidRDefault="009C713D" w:rsidP="00621DD5">
      <w:pPr>
        <w:pStyle w:val="Text"/>
      </w:pPr>
      <w:r w:rsidRPr="00382917">
        <w:t>“</w:t>
      </w:r>
      <w:r w:rsidR="00621DD5" w:rsidRPr="00382917">
        <w:t>Every</w:t>
      </w:r>
      <w:r w:rsidR="00EE4FC3">
        <w:t xml:space="preserve"> </w:t>
      </w:r>
      <w:r w:rsidR="00621DD5" w:rsidRPr="00382917">
        <w:t>day</w:t>
      </w:r>
      <w:r w:rsidR="00EE4FC3">
        <w:t xml:space="preserve"> </w:t>
      </w:r>
      <w:r w:rsidR="00621DD5" w:rsidRPr="00382917">
        <w:t>I</w:t>
      </w:r>
      <w:r w:rsidR="00EE4FC3">
        <w:t xml:space="preserve"> </w:t>
      </w:r>
      <w:r w:rsidR="00621DD5" w:rsidRPr="00382917">
        <w:t>visited</w:t>
      </w:r>
      <w:r w:rsidR="00EE4FC3">
        <w:t xml:space="preserve"> </w:t>
      </w:r>
      <w:r w:rsidR="00621DD5" w:rsidRPr="00382917">
        <w:t>him,</w:t>
      </w:r>
      <w:r w:rsidRPr="00382917">
        <w:t>”</w:t>
      </w:r>
      <w:r w:rsidR="00EE4FC3">
        <w:t xml:space="preserve"> </w:t>
      </w:r>
      <w:r w:rsidR="008A073E" w:rsidRPr="00382917">
        <w:rPr>
          <w:u w:val="single"/>
        </w:rPr>
        <w:t>Sh</w:t>
      </w:r>
      <w:r w:rsidR="008A073E" w:rsidRPr="00382917">
        <w:t>ay</w:t>
      </w:r>
      <w:r w:rsidR="008A073E" w:rsidRPr="00382917">
        <w:rPr>
          <w:u w:val="single"/>
        </w:rPr>
        <w:t>kh</w:t>
      </w:r>
      <w:r w:rsidR="00EE4FC3">
        <w:t xml:space="preserve"> </w:t>
      </w:r>
      <w:r w:rsidR="00621DD5" w:rsidRPr="00382917">
        <w:t>Ḥasan</w:t>
      </w:r>
      <w:r w:rsidR="00EE4FC3">
        <w:t xml:space="preserve"> </w:t>
      </w:r>
      <w:r w:rsidR="00621DD5" w:rsidRPr="00382917">
        <w:t>recalls,</w:t>
      </w:r>
      <w:r w:rsidR="00EE4FC3">
        <w:t xml:space="preserve"> </w:t>
      </w:r>
      <w:r w:rsidRPr="00382917">
        <w:t>“</w:t>
      </w:r>
      <w:r w:rsidR="00621DD5" w:rsidRPr="00382917">
        <w:t>and</w:t>
      </w:r>
      <w:r w:rsidR="00EE4FC3">
        <w:t xml:space="preserve"> </w:t>
      </w:r>
      <w:r w:rsidR="00621DD5" w:rsidRPr="00382917">
        <w:t>every</w:t>
      </w:r>
      <w:r w:rsidR="00EE4FC3">
        <w:t xml:space="preserve"> </w:t>
      </w:r>
      <w:r w:rsidR="00621DD5" w:rsidRPr="00382917">
        <w:t>day</w:t>
      </w:r>
      <w:r w:rsidR="00EE4FC3">
        <w:t xml:space="preserve"> </w:t>
      </w:r>
      <w:r w:rsidR="00621DD5" w:rsidRPr="00382917">
        <w:t>I</w:t>
      </w:r>
      <w:r w:rsidR="00EE4FC3">
        <w:t xml:space="preserve"> </w:t>
      </w:r>
      <w:r w:rsidR="00621DD5" w:rsidRPr="00382917">
        <w:t>witnessed</w:t>
      </w:r>
      <w:r w:rsidR="00EE4FC3">
        <w:t xml:space="preserve"> </w:t>
      </w:r>
      <w:r w:rsidR="00621DD5" w:rsidRPr="00382917">
        <w:t>the</w:t>
      </w:r>
      <w:r w:rsidR="00EE4FC3">
        <w:t xml:space="preserve"> </w:t>
      </w:r>
      <w:r w:rsidR="00621DD5" w:rsidRPr="00382917">
        <w:t>tears</w:t>
      </w:r>
      <w:r w:rsidR="00EE4FC3">
        <w:t xml:space="preserve"> </w:t>
      </w:r>
      <w:r w:rsidR="00621DD5" w:rsidRPr="00382917">
        <w:t>of</w:t>
      </w:r>
      <w:r w:rsidR="00EE4FC3">
        <w:t xml:space="preserve"> </w:t>
      </w:r>
      <w:r w:rsidR="00621DD5" w:rsidRPr="00382917">
        <w:t>sorrow</w:t>
      </w:r>
      <w:r w:rsidR="00EE4FC3">
        <w:t xml:space="preserve"> </w:t>
      </w:r>
      <w:r w:rsidR="00621DD5" w:rsidRPr="00382917">
        <w:t>that</w:t>
      </w:r>
      <w:r w:rsidR="00EE4FC3">
        <w:t xml:space="preserve"> </w:t>
      </w:r>
      <w:r w:rsidR="00621DD5" w:rsidRPr="00382917">
        <w:t>rained</w:t>
      </w:r>
      <w:r w:rsidR="00EE4FC3">
        <w:t xml:space="preserve"> </w:t>
      </w:r>
      <w:r w:rsidR="00621DD5" w:rsidRPr="00382917">
        <w:t>from</w:t>
      </w:r>
      <w:r w:rsidR="00EE4FC3">
        <w:t xml:space="preserve"> </w:t>
      </w:r>
      <w:r w:rsidR="00621DD5" w:rsidRPr="00382917">
        <w:t>his</w:t>
      </w:r>
      <w:r w:rsidR="00EE4FC3">
        <w:t xml:space="preserve"> </w:t>
      </w:r>
      <w:r w:rsidR="00621DD5" w:rsidRPr="00382917">
        <w:t>eyes</w:t>
      </w:r>
      <w:r w:rsidR="00330AF7">
        <w:t>.</w:t>
      </w:r>
      <w:r w:rsidR="00EE4FC3">
        <w:t xml:space="preserve">  </w:t>
      </w:r>
      <w:r w:rsidR="00621DD5" w:rsidRPr="00382917">
        <w:t>After</w:t>
      </w:r>
      <w:r w:rsidR="00EE4FC3">
        <w:t xml:space="preserve"> </w:t>
      </w:r>
      <w:r w:rsidR="00621DD5" w:rsidRPr="00382917">
        <w:t>the</w:t>
      </w:r>
      <w:r w:rsidR="00EE4FC3">
        <w:t xml:space="preserve"> </w:t>
      </w:r>
      <w:r w:rsidR="00621DD5" w:rsidRPr="00382917">
        <w:t>Báb</w:t>
      </w:r>
      <w:r w:rsidR="00EE4FC3">
        <w:t xml:space="preserve"> </w:t>
      </w:r>
      <w:r w:rsidR="00621DD5" w:rsidRPr="00382917">
        <w:t>had</w:t>
      </w:r>
      <w:r w:rsidR="00EE4FC3">
        <w:t xml:space="preserve"> </w:t>
      </w:r>
      <w:r w:rsidR="00621DD5" w:rsidRPr="00382917">
        <w:t>been</w:t>
      </w:r>
      <w:r w:rsidR="00EE4FC3">
        <w:t xml:space="preserve"> </w:t>
      </w:r>
      <w:r w:rsidR="00621DD5" w:rsidRPr="00382917">
        <w:t>scourged</w:t>
      </w:r>
      <w:r w:rsidR="00EE4FC3">
        <w:t xml:space="preserve"> </w:t>
      </w:r>
      <w:r w:rsidR="00621DD5" w:rsidRPr="00382917">
        <w:t>and</w:t>
      </w:r>
      <w:r w:rsidR="00EE4FC3">
        <w:t xml:space="preserve"> </w:t>
      </w:r>
      <w:r w:rsidR="00621DD5" w:rsidRPr="00382917">
        <w:t>returned</w:t>
      </w:r>
      <w:r w:rsidR="00EE4FC3">
        <w:t xml:space="preserve"> </w:t>
      </w:r>
      <w:r w:rsidR="00621DD5" w:rsidRPr="00382917">
        <w:t>to</w:t>
      </w:r>
      <w:r w:rsidR="00EE4FC3">
        <w:t xml:space="preserve"> </w:t>
      </w:r>
      <w:r w:rsidR="001713B3" w:rsidRPr="001713B3">
        <w:rPr>
          <w:u w:val="single"/>
        </w:rPr>
        <w:t>Ch</w:t>
      </w:r>
      <w:r w:rsidR="001713B3" w:rsidRPr="00382917">
        <w:t>ihríq</w:t>
      </w:r>
      <w:r w:rsidR="00621DD5" w:rsidRPr="00382917">
        <w:t>,</w:t>
      </w:r>
      <w:r w:rsidR="00EE4FC3">
        <w:t xml:space="preserve"> </w:t>
      </w:r>
      <w:r w:rsidR="00621DD5" w:rsidRPr="00382917">
        <w:t>I</w:t>
      </w:r>
      <w:r w:rsidR="00EE4FC3">
        <w:t xml:space="preserve"> </w:t>
      </w:r>
      <w:r w:rsidR="00621DD5" w:rsidRPr="00382917">
        <w:t>visited</w:t>
      </w:r>
      <w:r w:rsidR="00EE4FC3">
        <w:t xml:space="preserve"> </w:t>
      </w:r>
      <w:r w:rsidR="00621DD5" w:rsidRPr="00382917">
        <w:t>him</w:t>
      </w:r>
      <w:r w:rsidR="00EE4FC3">
        <w:t xml:space="preserve"> </w:t>
      </w:r>
      <w:r w:rsidR="00621DD5" w:rsidRPr="00382917">
        <w:t>again</w:t>
      </w:r>
      <w:r w:rsidR="00330AF7">
        <w:t>.</w:t>
      </w:r>
      <w:r w:rsidR="00EE4FC3">
        <w:t xml:space="preserve">  </w:t>
      </w:r>
      <w:r w:rsidR="00621DD5" w:rsidRPr="00382917">
        <w:t>This</w:t>
      </w:r>
      <w:r w:rsidR="00EE4FC3">
        <w:t xml:space="preserve"> </w:t>
      </w:r>
      <w:r w:rsidR="00621DD5" w:rsidRPr="00382917">
        <w:t>time</w:t>
      </w:r>
      <w:r w:rsidR="00EE4FC3">
        <w:t xml:space="preserve"> </w:t>
      </w:r>
      <w:r w:rsidR="00621DD5" w:rsidRPr="00382917">
        <w:t>I</w:t>
      </w:r>
      <w:r w:rsidR="00EE4FC3">
        <w:t xml:space="preserve"> </w:t>
      </w:r>
      <w:r w:rsidR="00621DD5" w:rsidRPr="00382917">
        <w:t>was</w:t>
      </w:r>
      <w:r w:rsidR="00EE4FC3">
        <w:t xml:space="preserve"> </w:t>
      </w:r>
      <w:r w:rsidR="00621DD5" w:rsidRPr="00382917">
        <w:t>surprised</w:t>
      </w:r>
      <w:r w:rsidR="00EE4FC3">
        <w:t xml:space="preserve"> </w:t>
      </w:r>
      <w:r w:rsidR="00621DD5" w:rsidRPr="00382917">
        <w:t>to</w:t>
      </w:r>
      <w:r w:rsidR="00EE4FC3">
        <w:t xml:space="preserve"> </w:t>
      </w:r>
      <w:r w:rsidR="00621DD5" w:rsidRPr="00382917">
        <w:t>note</w:t>
      </w:r>
      <w:r w:rsidR="00EE4FC3">
        <w:t xml:space="preserve"> </w:t>
      </w:r>
      <w:r w:rsidR="00621DD5" w:rsidRPr="00382917">
        <w:t>the</w:t>
      </w:r>
      <w:r w:rsidR="00EE4FC3">
        <w:t xml:space="preserve"> </w:t>
      </w:r>
      <w:r w:rsidR="00621DD5" w:rsidRPr="00382917">
        <w:t>joy</w:t>
      </w:r>
      <w:r w:rsidR="00EE4FC3">
        <w:t xml:space="preserve"> </w:t>
      </w:r>
      <w:r w:rsidR="00621DD5" w:rsidRPr="00382917">
        <w:t>and</w:t>
      </w:r>
      <w:r w:rsidR="00EE4FC3">
        <w:t xml:space="preserve"> </w:t>
      </w:r>
      <w:r w:rsidR="00621DD5" w:rsidRPr="00382917">
        <w:t>gladness</w:t>
      </w:r>
      <w:r w:rsidR="00EE4FC3">
        <w:t xml:space="preserve"> </w:t>
      </w:r>
      <w:r w:rsidR="00621DD5" w:rsidRPr="00382917">
        <w:t>which</w:t>
      </w:r>
      <w:r w:rsidR="00EE4FC3">
        <w:t xml:space="preserve"> </w:t>
      </w:r>
      <w:r w:rsidR="00621DD5" w:rsidRPr="00382917">
        <w:t>had</w:t>
      </w:r>
      <w:r w:rsidR="00EE4FC3">
        <w:t xml:space="preserve"> </w:t>
      </w:r>
      <w:r w:rsidR="00621DD5" w:rsidRPr="00382917">
        <w:t>illumined</w:t>
      </w:r>
      <w:r w:rsidR="00EE4FC3">
        <w:t xml:space="preserve"> </w:t>
      </w:r>
      <w:r w:rsidR="00621DD5" w:rsidRPr="00382917">
        <w:t>his</w:t>
      </w:r>
      <w:r w:rsidR="00EE4FC3">
        <w:t xml:space="preserve"> </w:t>
      </w:r>
      <w:r w:rsidR="00621DD5" w:rsidRPr="00382917">
        <w:t>countenance</w:t>
      </w:r>
      <w:r w:rsidR="00330AF7">
        <w:t>.</w:t>
      </w:r>
      <w:r w:rsidR="00EE4FC3">
        <w:t xml:space="preserve">  </w:t>
      </w:r>
      <w:r w:rsidR="00621DD5" w:rsidRPr="00382917">
        <w:t>His</w:t>
      </w:r>
      <w:r w:rsidR="00EE4FC3">
        <w:t xml:space="preserve"> </w:t>
      </w:r>
      <w:r w:rsidR="00621DD5" w:rsidRPr="00382917">
        <w:t>handsome</w:t>
      </w:r>
      <w:r w:rsidR="00EE4FC3">
        <w:t xml:space="preserve"> </w:t>
      </w:r>
      <w:r w:rsidR="00621DD5" w:rsidRPr="00382917">
        <w:t>face</w:t>
      </w:r>
      <w:r w:rsidR="00EE4FC3">
        <w:t xml:space="preserve"> </w:t>
      </w:r>
      <w:r w:rsidR="00621DD5" w:rsidRPr="00382917">
        <w:t>was</w:t>
      </w:r>
      <w:r w:rsidR="00EE4FC3">
        <w:t xml:space="preserve"> </w:t>
      </w:r>
      <w:r w:rsidR="00621DD5" w:rsidRPr="00382917">
        <w:t>wreathed</w:t>
      </w:r>
      <w:r w:rsidR="00EE4FC3">
        <w:t xml:space="preserve"> </w:t>
      </w:r>
      <w:r w:rsidR="00621DD5" w:rsidRPr="00382917">
        <w:t>in</w:t>
      </w:r>
      <w:r w:rsidR="00EE4FC3">
        <w:t xml:space="preserve"> </w:t>
      </w:r>
      <w:r w:rsidR="00621DD5" w:rsidRPr="00382917">
        <w:t>smiles</w:t>
      </w:r>
      <w:r w:rsidR="00EE4FC3">
        <w:t xml:space="preserve"> </w:t>
      </w:r>
      <w:r w:rsidR="00621DD5" w:rsidRPr="00382917">
        <w:t>as</w:t>
      </w:r>
      <w:r w:rsidR="00EE4FC3">
        <w:t xml:space="preserve"> </w:t>
      </w:r>
      <w:r w:rsidR="00621DD5" w:rsidRPr="00382917">
        <w:t>he</w:t>
      </w:r>
      <w:r w:rsidR="00EE4FC3">
        <w:t xml:space="preserve"> </w:t>
      </w:r>
      <w:r w:rsidR="00621DD5" w:rsidRPr="00382917">
        <w:t>stepped</w:t>
      </w:r>
      <w:r w:rsidR="00EE4FC3">
        <w:t xml:space="preserve"> </w:t>
      </w:r>
      <w:r w:rsidR="00621DD5" w:rsidRPr="00382917">
        <w:t>forward</w:t>
      </w:r>
      <w:r w:rsidR="00EE4FC3">
        <w:t xml:space="preserve"> </w:t>
      </w:r>
      <w:r w:rsidR="00621DD5" w:rsidRPr="00382917">
        <w:t>to</w:t>
      </w:r>
      <w:r w:rsidR="00EE4FC3">
        <w:t xml:space="preserve"> </w:t>
      </w:r>
      <w:r w:rsidR="00621DD5" w:rsidRPr="00382917">
        <w:t>receive</w:t>
      </w:r>
      <w:r w:rsidR="00EE4FC3">
        <w:t xml:space="preserve"> </w:t>
      </w:r>
      <w:r w:rsidR="00621DD5" w:rsidRPr="00382917">
        <w:t>me.</w:t>
      </w:r>
    </w:p>
    <w:p w:rsidR="00621DD5" w:rsidRPr="00382917" w:rsidRDefault="009C713D" w:rsidP="00E705E2">
      <w:pPr>
        <w:pStyle w:val="Text"/>
      </w:pPr>
      <w:r w:rsidRPr="00382917">
        <w:t>“‘</w:t>
      </w:r>
      <w:r w:rsidR="00621DD5" w:rsidRPr="00382917">
        <w:t>The</w:t>
      </w:r>
      <w:r w:rsidR="00EE4FC3">
        <w:t xml:space="preserve"> </w:t>
      </w:r>
      <w:r w:rsidR="00621DD5" w:rsidRPr="00382917">
        <w:t>eyes</w:t>
      </w:r>
      <w:r w:rsidR="00EE4FC3">
        <w:t xml:space="preserve"> </w:t>
      </w:r>
      <w:r w:rsidR="00621DD5" w:rsidRPr="00382917">
        <w:t>of</w:t>
      </w:r>
      <w:r w:rsidR="00EE4FC3">
        <w:t xml:space="preserve"> </w:t>
      </w:r>
      <w:r w:rsidR="00621DD5" w:rsidRPr="00382917">
        <w:t>my</w:t>
      </w:r>
      <w:r w:rsidR="00EE4FC3">
        <w:t xml:space="preserve"> </w:t>
      </w:r>
      <w:r w:rsidR="00621DD5" w:rsidRPr="00382917">
        <w:t>Beloved</w:t>
      </w:r>
      <w:r w:rsidR="00EE4FC3">
        <w:t xml:space="preserve"> </w:t>
      </w:r>
      <w:r w:rsidR="00621DD5" w:rsidRPr="00382917">
        <w:t>have</w:t>
      </w:r>
      <w:r w:rsidR="00EE4FC3">
        <w:t xml:space="preserve"> </w:t>
      </w:r>
      <w:r w:rsidR="00621DD5" w:rsidRPr="00382917">
        <w:t>beheld</w:t>
      </w:r>
      <w:r w:rsidR="00EE4FC3">
        <w:t xml:space="preserve"> </w:t>
      </w:r>
      <w:r w:rsidR="00621DD5" w:rsidRPr="00382917">
        <w:t>this</w:t>
      </w:r>
      <w:r w:rsidR="00EE4FC3">
        <w:t xml:space="preserve"> </w:t>
      </w:r>
      <w:r w:rsidR="00621DD5" w:rsidRPr="00382917">
        <w:t>face</w:t>
      </w:r>
      <w:r w:rsidR="00EE4FC3">
        <w:t xml:space="preserve"> </w:t>
      </w:r>
      <w:r w:rsidR="00621DD5" w:rsidRPr="00382917">
        <w:t>of</w:t>
      </w:r>
      <w:r w:rsidR="00EE4FC3">
        <w:t xml:space="preserve"> </w:t>
      </w:r>
      <w:r w:rsidR="00621DD5" w:rsidRPr="00382917">
        <w:t>mine,</w:t>
      </w:r>
      <w:r w:rsidRPr="00382917">
        <w:t>’</w:t>
      </w:r>
      <w:r w:rsidR="00EE4FC3">
        <w:t xml:space="preserve"> </w:t>
      </w:r>
      <w:r w:rsidR="00621DD5" w:rsidRPr="00382917">
        <w:t>he</w:t>
      </w:r>
      <w:r w:rsidR="00EE4FC3">
        <w:t xml:space="preserve"> </w:t>
      </w:r>
      <w:r w:rsidR="00621DD5" w:rsidRPr="00382917">
        <w:t>said,</w:t>
      </w:r>
      <w:r w:rsidR="00EE4FC3">
        <w:t xml:space="preserve"> </w:t>
      </w:r>
      <w:r w:rsidRPr="00382917">
        <w:t>‘</w:t>
      </w:r>
      <w:r w:rsidR="00621DD5" w:rsidRPr="00382917">
        <w:t>and</w:t>
      </w:r>
      <w:r w:rsidR="00EE4FC3">
        <w:t xml:space="preserve"> </w:t>
      </w:r>
      <w:r w:rsidR="00621DD5" w:rsidRPr="00382917">
        <w:t>these</w:t>
      </w:r>
      <w:r w:rsidR="00EE4FC3">
        <w:t xml:space="preserve"> </w:t>
      </w:r>
      <w:r w:rsidR="00621DD5" w:rsidRPr="00382917">
        <w:t>eyes</w:t>
      </w:r>
      <w:r w:rsidR="00EE4FC3">
        <w:t xml:space="preserve"> </w:t>
      </w:r>
      <w:r w:rsidR="00621DD5" w:rsidRPr="00382917">
        <w:t>have</w:t>
      </w:r>
      <w:r w:rsidR="00EE4FC3">
        <w:t xml:space="preserve"> </w:t>
      </w:r>
      <w:r w:rsidR="00621DD5" w:rsidRPr="00382917">
        <w:t>gazed</w:t>
      </w:r>
      <w:r w:rsidR="00EE4FC3">
        <w:t xml:space="preserve"> </w:t>
      </w:r>
      <w:r w:rsidR="00621DD5" w:rsidRPr="00382917">
        <w:t>upon</w:t>
      </w:r>
      <w:r w:rsidR="00EE4FC3">
        <w:t xml:space="preserve"> </w:t>
      </w:r>
      <w:r w:rsidR="00621DD5" w:rsidRPr="00382917">
        <w:t>his</w:t>
      </w:r>
      <w:r w:rsidR="00EE4FC3">
        <w:t xml:space="preserve"> </w:t>
      </w:r>
      <w:r w:rsidR="00621DD5" w:rsidRPr="00382917">
        <w:t>countenance.</w:t>
      </w:r>
      <w:r w:rsidRPr="00382917">
        <w:t>’</w:t>
      </w:r>
    </w:p>
    <w:p w:rsidR="00621DD5" w:rsidRPr="00382917" w:rsidRDefault="00E705E2" w:rsidP="00330AF7">
      <w:pPr>
        <w:pStyle w:val="Text"/>
      </w:pPr>
      <w:r>
        <w:t>“</w:t>
      </w:r>
      <w:r w:rsidR="009C713D" w:rsidRPr="00382917">
        <w:t>‘</w:t>
      </w:r>
      <w:r w:rsidR="00621DD5" w:rsidRPr="00382917">
        <w:t>Let</w:t>
      </w:r>
      <w:r w:rsidR="00EE4FC3">
        <w:t xml:space="preserve"> </w:t>
      </w:r>
      <w:r w:rsidR="00621DD5" w:rsidRPr="00382917">
        <w:t>me</w:t>
      </w:r>
      <w:r w:rsidR="00EE4FC3">
        <w:t xml:space="preserve"> </w:t>
      </w:r>
      <w:r w:rsidR="00621DD5" w:rsidRPr="00382917">
        <w:t>tell</w:t>
      </w:r>
      <w:r w:rsidR="00EE4FC3">
        <w:t xml:space="preserve"> </w:t>
      </w:r>
      <w:r w:rsidR="00621DD5" w:rsidRPr="00382917">
        <w:t>you</w:t>
      </w:r>
      <w:r w:rsidR="00EE4FC3">
        <w:t xml:space="preserve"> </w:t>
      </w:r>
      <w:r w:rsidR="00621DD5" w:rsidRPr="00382917">
        <w:t>the</w:t>
      </w:r>
      <w:r w:rsidR="00EE4FC3">
        <w:t xml:space="preserve"> </w:t>
      </w:r>
      <w:r w:rsidR="00621DD5" w:rsidRPr="00382917">
        <w:t>secret</w:t>
      </w:r>
      <w:r w:rsidR="00EE4FC3">
        <w:t xml:space="preserve"> </w:t>
      </w:r>
      <w:r w:rsidR="00621DD5" w:rsidRPr="00382917">
        <w:t>of</w:t>
      </w:r>
      <w:r w:rsidR="00EE4FC3">
        <w:t xml:space="preserve"> </w:t>
      </w:r>
      <w:r w:rsidR="00621DD5" w:rsidRPr="00382917">
        <w:t>my</w:t>
      </w:r>
      <w:r w:rsidR="00EE4FC3">
        <w:t xml:space="preserve"> </w:t>
      </w:r>
      <w:r w:rsidR="00621DD5" w:rsidRPr="00382917">
        <w:t>happiness,</w:t>
      </w:r>
      <w:r w:rsidR="009C713D" w:rsidRPr="00382917">
        <w:t>’</w:t>
      </w:r>
      <w:r w:rsidR="00EE4FC3">
        <w:t xml:space="preserve"> </w:t>
      </w:r>
      <w:r w:rsidR="00621DD5" w:rsidRPr="00382917">
        <w:t>he</w:t>
      </w:r>
      <w:r w:rsidR="00EE4FC3">
        <w:t xml:space="preserve"> </w:t>
      </w:r>
      <w:r w:rsidR="00621DD5" w:rsidRPr="00382917">
        <w:t>said</w:t>
      </w:r>
      <w:r w:rsidR="00330AF7">
        <w:t>.</w:t>
      </w:r>
      <w:r w:rsidR="00EE4FC3">
        <w:t xml:space="preserve">  </w:t>
      </w:r>
      <w:r w:rsidR="009C713D" w:rsidRPr="00382917">
        <w:t>‘</w:t>
      </w:r>
      <w:r w:rsidR="00621DD5" w:rsidRPr="00382917">
        <w:t>After</w:t>
      </w:r>
      <w:r w:rsidR="00EE4FC3">
        <w:t xml:space="preserve"> </w:t>
      </w:r>
      <w:r w:rsidR="00621DD5" w:rsidRPr="00382917">
        <w:t>the</w:t>
      </w:r>
      <w:r w:rsidR="00EE4FC3">
        <w:t xml:space="preserve"> </w:t>
      </w:r>
      <w:r w:rsidR="00621DD5" w:rsidRPr="00382917">
        <w:t>Báb</w:t>
      </w:r>
      <w:r w:rsidR="00EE4FC3">
        <w:t xml:space="preserve"> </w:t>
      </w:r>
      <w:r w:rsidR="00621DD5" w:rsidRPr="00382917">
        <w:t>had</w:t>
      </w:r>
      <w:r w:rsidR="00EE4FC3">
        <w:t xml:space="preserve"> </w:t>
      </w:r>
      <w:r w:rsidR="00621DD5" w:rsidRPr="00382917">
        <w:t>been</w:t>
      </w:r>
      <w:r w:rsidR="00EE4FC3">
        <w:t xml:space="preserve"> </w:t>
      </w:r>
      <w:r w:rsidR="00621DD5" w:rsidRPr="00382917">
        <w:t>taken</w:t>
      </w:r>
      <w:r w:rsidR="00EE4FC3">
        <w:t xml:space="preserve"> </w:t>
      </w:r>
      <w:r w:rsidR="00621DD5" w:rsidRPr="00382917">
        <w:t>back</w:t>
      </w:r>
      <w:r w:rsidR="00EE4FC3">
        <w:t xml:space="preserve"> </w:t>
      </w:r>
      <w:r w:rsidR="00621DD5" w:rsidRPr="00382917">
        <w:t>to</w:t>
      </w:r>
      <w:r w:rsidR="00EE4FC3">
        <w:t xml:space="preserve"> </w:t>
      </w:r>
      <w:r w:rsidR="001713B3" w:rsidRPr="001713B3">
        <w:rPr>
          <w:u w:val="single"/>
        </w:rPr>
        <w:t>Ch</w:t>
      </w:r>
      <w:r w:rsidR="001713B3" w:rsidRPr="00382917">
        <w:t>ihríq</w:t>
      </w:r>
      <w:r w:rsidR="00621DD5" w:rsidRPr="00382917">
        <w:t>,</w:t>
      </w:r>
      <w:r w:rsidR="00EE4FC3">
        <w:t xml:space="preserve"> </w:t>
      </w:r>
      <w:r w:rsidR="00621DD5" w:rsidRPr="00382917">
        <w:t>one</w:t>
      </w:r>
      <w:r w:rsidR="00EE4FC3">
        <w:t xml:space="preserve"> </w:t>
      </w:r>
      <w:r w:rsidR="00621DD5" w:rsidRPr="00382917">
        <w:t>day</w:t>
      </w:r>
      <w:r w:rsidR="00EE4FC3">
        <w:t xml:space="preserve"> </w:t>
      </w:r>
      <w:r w:rsidR="00621DD5" w:rsidRPr="00382917">
        <w:t>as</w:t>
      </w:r>
      <w:r w:rsidR="00EE4FC3">
        <w:t xml:space="preserve"> </w:t>
      </w:r>
      <w:r w:rsidR="00621DD5" w:rsidRPr="00382917">
        <w:t>I</w:t>
      </w:r>
      <w:r w:rsidR="00EE4FC3">
        <w:t xml:space="preserve"> </w:t>
      </w:r>
      <w:r w:rsidR="00621DD5" w:rsidRPr="00382917">
        <w:t>lay</w:t>
      </w:r>
      <w:r w:rsidR="00EE4FC3">
        <w:t xml:space="preserve"> </w:t>
      </w:r>
      <w:r w:rsidR="00621DD5" w:rsidRPr="00382917">
        <w:t>confined</w:t>
      </w:r>
      <w:r w:rsidR="00EE4FC3">
        <w:t xml:space="preserve"> </w:t>
      </w:r>
      <w:r w:rsidR="00621DD5" w:rsidRPr="00382917">
        <w:t>in</w:t>
      </w:r>
      <w:r w:rsidR="00EE4FC3">
        <w:t xml:space="preserve"> </w:t>
      </w:r>
      <w:r w:rsidR="00621DD5" w:rsidRPr="00382917">
        <w:t>my</w:t>
      </w:r>
      <w:r w:rsidR="00EE4FC3">
        <w:t xml:space="preserve"> </w:t>
      </w:r>
      <w:r w:rsidR="00621DD5" w:rsidRPr="00382917">
        <w:t>cell,</w:t>
      </w:r>
      <w:r w:rsidR="00EE4FC3">
        <w:t xml:space="preserve"> </w:t>
      </w:r>
      <w:r w:rsidR="00621DD5" w:rsidRPr="00382917">
        <w:t>I</w:t>
      </w:r>
      <w:r w:rsidR="00EE4FC3">
        <w:t xml:space="preserve"> </w:t>
      </w:r>
      <w:r w:rsidR="00621DD5" w:rsidRPr="00382917">
        <w:t>turned</w:t>
      </w:r>
      <w:r w:rsidR="00EE4FC3">
        <w:t xml:space="preserve"> </w:t>
      </w:r>
      <w:r w:rsidR="00621DD5" w:rsidRPr="00382917">
        <w:t>my</w:t>
      </w:r>
      <w:r w:rsidR="00EE4FC3">
        <w:t xml:space="preserve"> </w:t>
      </w:r>
      <w:r w:rsidR="00621DD5" w:rsidRPr="00382917">
        <w:t>heart</w:t>
      </w:r>
      <w:r w:rsidR="00EE4FC3">
        <w:t xml:space="preserve"> </w:t>
      </w:r>
      <w:r w:rsidR="00621DD5" w:rsidRPr="00382917">
        <w:t>to</w:t>
      </w:r>
      <w:r w:rsidR="00EE4FC3">
        <w:t xml:space="preserve"> </w:t>
      </w:r>
      <w:r w:rsidR="00621DD5" w:rsidRPr="00382917">
        <w:t>Him</w:t>
      </w:r>
      <w:r w:rsidR="00EE4FC3">
        <w:t xml:space="preserve"> </w:t>
      </w:r>
      <w:r w:rsidR="00621DD5" w:rsidRPr="00382917">
        <w:t>and</w:t>
      </w:r>
      <w:r w:rsidR="00EE4FC3">
        <w:t xml:space="preserve"> </w:t>
      </w:r>
      <w:r w:rsidR="00621DD5" w:rsidRPr="00382917">
        <w:t>besought</w:t>
      </w:r>
      <w:r w:rsidR="00EE4FC3">
        <w:t xml:space="preserve"> </w:t>
      </w:r>
      <w:r w:rsidR="00621DD5" w:rsidRPr="00382917">
        <w:t>Him</w:t>
      </w:r>
      <w:r w:rsidR="00EE4FC3">
        <w:t xml:space="preserve"> </w:t>
      </w:r>
      <w:r w:rsidR="00621DD5" w:rsidRPr="00382917">
        <w:t>in</w:t>
      </w:r>
      <w:r w:rsidR="00EE4FC3">
        <w:t xml:space="preserve"> </w:t>
      </w:r>
      <w:r w:rsidR="00621DD5" w:rsidRPr="00382917">
        <w:t>these</w:t>
      </w:r>
      <w:r w:rsidR="00EE4FC3">
        <w:t xml:space="preserve"> </w:t>
      </w:r>
      <w:r w:rsidR="00621DD5" w:rsidRPr="00382917">
        <w:t>words</w:t>
      </w:r>
      <w:r w:rsidR="00C03C91">
        <w:t>:</w:t>
      </w:r>
      <w:r w:rsidR="00EE4FC3">
        <w:t xml:space="preserve">  </w:t>
      </w:r>
      <w:r w:rsidR="009C713D" w:rsidRPr="00382917">
        <w:t>“</w:t>
      </w:r>
      <w:r w:rsidR="00621DD5" w:rsidRPr="00382917">
        <w:t>Thou</w:t>
      </w:r>
      <w:r w:rsidR="00EE4FC3">
        <w:t xml:space="preserve"> </w:t>
      </w:r>
      <w:proofErr w:type="spellStart"/>
      <w:r w:rsidR="00621DD5" w:rsidRPr="00382917">
        <w:t>beholdest</w:t>
      </w:r>
      <w:proofErr w:type="spellEnd"/>
      <w:r w:rsidR="00621DD5" w:rsidRPr="00382917">
        <w:t>,</w:t>
      </w:r>
      <w:r w:rsidR="00EE4FC3">
        <w:t xml:space="preserve"> </w:t>
      </w:r>
      <w:r w:rsidR="00621DD5" w:rsidRPr="00382917">
        <w:t>O</w:t>
      </w:r>
      <w:r w:rsidR="00EE4FC3">
        <w:t xml:space="preserve"> </w:t>
      </w:r>
      <w:r w:rsidR="00621DD5" w:rsidRPr="00382917">
        <w:t>my</w:t>
      </w:r>
      <w:r w:rsidR="00EE4FC3">
        <w:t xml:space="preserve"> </w:t>
      </w:r>
      <w:r w:rsidR="00621DD5" w:rsidRPr="00382917">
        <w:t>Best-Beloved,</w:t>
      </w:r>
      <w:r w:rsidR="00EE4FC3">
        <w:t xml:space="preserve"> </w:t>
      </w:r>
      <w:r w:rsidR="00621DD5" w:rsidRPr="00382917">
        <w:t>my</w:t>
      </w:r>
      <w:r w:rsidR="00EE4FC3">
        <w:t xml:space="preserve"> </w:t>
      </w:r>
      <w:r w:rsidR="00621DD5" w:rsidRPr="00382917">
        <w:t>captivity</w:t>
      </w:r>
      <w:r w:rsidR="00EE4FC3">
        <w:t xml:space="preserve"> </w:t>
      </w:r>
      <w:r w:rsidR="00621DD5" w:rsidRPr="00382917">
        <w:t>and</w:t>
      </w:r>
      <w:r w:rsidR="00EE4FC3">
        <w:t xml:space="preserve"> </w:t>
      </w:r>
      <w:r w:rsidR="00621DD5" w:rsidRPr="00382917">
        <w:t>helplessness,</w:t>
      </w:r>
      <w:r w:rsidR="00EE4FC3">
        <w:t xml:space="preserve"> </w:t>
      </w:r>
      <w:r w:rsidR="00621DD5" w:rsidRPr="00382917">
        <w:t>and</w:t>
      </w:r>
      <w:r w:rsidR="00EE4FC3">
        <w:t xml:space="preserve"> </w:t>
      </w:r>
      <w:proofErr w:type="spellStart"/>
      <w:r w:rsidR="00621DD5" w:rsidRPr="00382917">
        <w:t>knowest</w:t>
      </w:r>
      <w:proofErr w:type="spellEnd"/>
      <w:r w:rsidR="00EE4FC3">
        <w:t xml:space="preserve"> </w:t>
      </w:r>
      <w:r w:rsidR="00621DD5" w:rsidRPr="00382917">
        <w:t>how</w:t>
      </w:r>
      <w:r w:rsidR="00EE4FC3">
        <w:t xml:space="preserve"> </w:t>
      </w:r>
      <w:r w:rsidR="00621DD5" w:rsidRPr="00382917">
        <w:t>eagerly</w:t>
      </w:r>
      <w:r w:rsidR="00EE4FC3">
        <w:t xml:space="preserve"> </w:t>
      </w:r>
      <w:r w:rsidR="00621DD5" w:rsidRPr="00382917">
        <w:t>I</w:t>
      </w:r>
      <w:r w:rsidR="00EE4FC3">
        <w:t xml:space="preserve"> </w:t>
      </w:r>
      <w:r w:rsidR="00621DD5" w:rsidRPr="00382917">
        <w:t>yearn</w:t>
      </w:r>
      <w:r w:rsidR="00EE4FC3">
        <w:t xml:space="preserve"> </w:t>
      </w:r>
      <w:r w:rsidR="00621DD5" w:rsidRPr="00382917">
        <w:t>to</w:t>
      </w:r>
      <w:r w:rsidR="00EE4FC3">
        <w:t xml:space="preserve"> </w:t>
      </w:r>
      <w:r w:rsidR="00621DD5" w:rsidRPr="00382917">
        <w:t>look</w:t>
      </w:r>
      <w:r w:rsidR="00EE4FC3">
        <w:t xml:space="preserve"> </w:t>
      </w:r>
      <w:r w:rsidR="00621DD5" w:rsidRPr="00382917">
        <w:t>upon</w:t>
      </w:r>
      <w:r w:rsidR="00EE4FC3">
        <w:t xml:space="preserve"> </w:t>
      </w:r>
      <w:r w:rsidR="00621DD5" w:rsidRPr="00382917">
        <w:t>Thy</w:t>
      </w:r>
      <w:r w:rsidR="00EE4FC3">
        <w:t xml:space="preserve"> </w:t>
      </w:r>
      <w:r w:rsidR="00621DD5" w:rsidRPr="00382917">
        <w:t>face</w:t>
      </w:r>
      <w:r w:rsidR="00330AF7">
        <w:t>.</w:t>
      </w:r>
      <w:r w:rsidR="00EE4FC3">
        <w:t xml:space="preserve">  </w:t>
      </w:r>
      <w:r w:rsidR="00621DD5" w:rsidRPr="00382917">
        <w:t>Dispel</w:t>
      </w:r>
      <w:r w:rsidR="00EE4FC3">
        <w:t xml:space="preserve"> </w:t>
      </w:r>
      <w:r w:rsidR="00621DD5" w:rsidRPr="00382917">
        <w:t>the</w:t>
      </w:r>
      <w:r w:rsidR="00EE4FC3">
        <w:t xml:space="preserve"> </w:t>
      </w:r>
      <w:r w:rsidR="00621DD5" w:rsidRPr="00382917">
        <w:t>gloom</w:t>
      </w:r>
      <w:r w:rsidR="00EE4FC3">
        <w:t xml:space="preserve"> </w:t>
      </w:r>
      <w:r w:rsidR="00621DD5" w:rsidRPr="00382917">
        <w:t>that</w:t>
      </w:r>
      <w:r w:rsidR="00EE4FC3">
        <w:t xml:space="preserve"> </w:t>
      </w:r>
      <w:r w:rsidR="00621DD5" w:rsidRPr="00382917">
        <w:t>oppresses</w:t>
      </w:r>
      <w:r w:rsidR="00EE4FC3">
        <w:t xml:space="preserve"> </w:t>
      </w:r>
      <w:r w:rsidR="00621DD5" w:rsidRPr="00382917">
        <w:t>my</w:t>
      </w:r>
      <w:r w:rsidR="00EE4FC3">
        <w:t xml:space="preserve"> </w:t>
      </w:r>
      <w:r w:rsidR="00621DD5" w:rsidRPr="00382917">
        <w:t>heart,</w:t>
      </w:r>
      <w:r w:rsidR="00EE4FC3">
        <w:t xml:space="preserve"> </w:t>
      </w:r>
      <w:r w:rsidR="00621DD5" w:rsidRPr="00382917">
        <w:t>with</w:t>
      </w:r>
      <w:r w:rsidR="00EE4FC3">
        <w:t xml:space="preserve"> </w:t>
      </w:r>
      <w:r w:rsidR="00621DD5" w:rsidRPr="00382917">
        <w:t>the</w:t>
      </w:r>
      <w:r w:rsidR="00EE4FC3">
        <w:t xml:space="preserve"> </w:t>
      </w:r>
      <w:r w:rsidR="00621DD5" w:rsidRPr="00382917">
        <w:t>light</w:t>
      </w:r>
      <w:r w:rsidR="00EE4FC3">
        <w:t xml:space="preserve"> </w:t>
      </w:r>
      <w:r w:rsidR="00621DD5" w:rsidRPr="00382917">
        <w:t>of</w:t>
      </w:r>
      <w:r w:rsidR="00EE4FC3">
        <w:t xml:space="preserve"> </w:t>
      </w:r>
      <w:r w:rsidR="00621DD5" w:rsidRPr="00382917">
        <w:t>Thy</w:t>
      </w:r>
      <w:r w:rsidR="00EE4FC3">
        <w:t xml:space="preserve"> </w:t>
      </w:r>
      <w:r w:rsidR="00621DD5" w:rsidRPr="00382917">
        <w:t>countenance.</w:t>
      </w:r>
      <w:r w:rsidR="009C713D" w:rsidRPr="00382917">
        <w:t>”</w:t>
      </w:r>
    </w:p>
    <w:p w:rsidR="00621DD5" w:rsidRPr="00382917" w:rsidRDefault="009C713D" w:rsidP="00621DD5">
      <w:pPr>
        <w:pStyle w:val="Text"/>
      </w:pPr>
      <w:r w:rsidRPr="00382917">
        <w:t>“‘</w:t>
      </w:r>
      <w:r w:rsidR="00621DD5" w:rsidRPr="00382917">
        <w:t>I</w:t>
      </w:r>
      <w:r w:rsidR="00EE4FC3">
        <w:t xml:space="preserve"> </w:t>
      </w:r>
      <w:r w:rsidR="00621DD5" w:rsidRPr="00382917">
        <w:t>was</w:t>
      </w:r>
      <w:r w:rsidR="00EE4FC3">
        <w:t xml:space="preserve"> </w:t>
      </w:r>
      <w:r w:rsidR="00621DD5" w:rsidRPr="00382917">
        <w:t>so</w:t>
      </w:r>
      <w:r w:rsidR="00EE4FC3">
        <w:t xml:space="preserve"> </w:t>
      </w:r>
      <w:r w:rsidR="00621DD5" w:rsidRPr="00382917">
        <w:t>overcome</w:t>
      </w:r>
      <w:r w:rsidR="00EE4FC3">
        <w:t xml:space="preserve"> </w:t>
      </w:r>
      <w:r w:rsidR="00621DD5" w:rsidRPr="00382917">
        <w:t>with</w:t>
      </w:r>
      <w:r w:rsidR="00EE4FC3">
        <w:t xml:space="preserve"> </w:t>
      </w:r>
      <w:r w:rsidR="00621DD5" w:rsidRPr="00382917">
        <w:t>emotion</w:t>
      </w:r>
      <w:r w:rsidR="00EE4FC3">
        <w:t xml:space="preserve"> </w:t>
      </w:r>
      <w:r w:rsidR="00621DD5" w:rsidRPr="00382917">
        <w:t>that</w:t>
      </w:r>
      <w:r w:rsidR="00EE4FC3">
        <w:t xml:space="preserve"> </w:t>
      </w:r>
      <w:r w:rsidR="00621DD5" w:rsidRPr="00382917">
        <w:t>I</w:t>
      </w:r>
      <w:r w:rsidR="00EE4FC3">
        <w:t xml:space="preserve"> </w:t>
      </w:r>
      <w:r w:rsidR="00621DD5" w:rsidRPr="00382917">
        <w:t>seemed</w:t>
      </w:r>
      <w:r w:rsidR="00EE4FC3">
        <w:t xml:space="preserve"> </w:t>
      </w:r>
      <w:r w:rsidR="00621DD5" w:rsidRPr="00382917">
        <w:t>to</w:t>
      </w:r>
      <w:r w:rsidR="00EE4FC3">
        <w:t xml:space="preserve"> </w:t>
      </w:r>
      <w:r w:rsidR="00621DD5" w:rsidRPr="00382917">
        <w:t>lose</w:t>
      </w:r>
      <w:r w:rsidR="00EE4FC3">
        <w:t xml:space="preserve"> </w:t>
      </w:r>
      <w:r w:rsidR="00621DD5" w:rsidRPr="00382917">
        <w:t>consciousness</w:t>
      </w:r>
      <w:r w:rsidR="00330AF7">
        <w:t>.</w:t>
      </w:r>
      <w:r w:rsidR="00EE4FC3">
        <w:t xml:space="preserve">  </w:t>
      </w:r>
      <w:r w:rsidR="00621DD5" w:rsidRPr="00382917">
        <w:t>Suddenly</w:t>
      </w:r>
      <w:r w:rsidR="00EE4FC3">
        <w:t xml:space="preserve"> </w:t>
      </w:r>
      <w:r w:rsidR="00621DD5" w:rsidRPr="00382917">
        <w:t>I</w:t>
      </w:r>
      <w:r w:rsidR="00EE4FC3">
        <w:t xml:space="preserve"> </w:t>
      </w:r>
      <w:r w:rsidR="00621DD5" w:rsidRPr="00382917">
        <w:t>heard</w:t>
      </w:r>
      <w:r w:rsidR="00EE4FC3">
        <w:t xml:space="preserve"> </w:t>
      </w:r>
      <w:r w:rsidR="00621DD5" w:rsidRPr="00382917">
        <w:t>the</w:t>
      </w:r>
      <w:r w:rsidR="00EE4FC3">
        <w:t xml:space="preserve"> </w:t>
      </w:r>
      <w:r w:rsidR="00621DD5" w:rsidRPr="00382917">
        <w:t>voice</w:t>
      </w:r>
      <w:r w:rsidR="00EE4FC3">
        <w:t xml:space="preserve"> </w:t>
      </w:r>
      <w:r w:rsidR="00621DD5" w:rsidRPr="00382917">
        <w:t>of</w:t>
      </w:r>
      <w:r w:rsidR="00EE4FC3">
        <w:t xml:space="preserve"> </w:t>
      </w:r>
      <w:r w:rsidR="00621DD5" w:rsidRPr="00382917">
        <w:t>the</w:t>
      </w:r>
      <w:r w:rsidR="00EE4FC3">
        <w:t xml:space="preserve"> </w:t>
      </w:r>
      <w:r w:rsidR="00621DD5" w:rsidRPr="00382917">
        <w:t>Báb,</w:t>
      </w:r>
      <w:r w:rsidR="00EE4FC3">
        <w:t xml:space="preserve"> </w:t>
      </w:r>
      <w:r w:rsidR="00621DD5" w:rsidRPr="00382917">
        <w:t>and</w:t>
      </w:r>
      <w:r w:rsidR="00EE4FC3">
        <w:t xml:space="preserve"> </w:t>
      </w:r>
      <w:r w:rsidR="00621DD5" w:rsidRPr="00382917">
        <w:t>lo!</w:t>
      </w:r>
      <w:r w:rsidR="00EE4FC3">
        <w:t xml:space="preserve"> </w:t>
      </w:r>
      <w:r w:rsidR="00E705E2">
        <w:t xml:space="preserve"> </w:t>
      </w:r>
      <w:r w:rsidR="00621DD5" w:rsidRPr="00382917">
        <w:t>He</w:t>
      </w:r>
      <w:r w:rsidR="00EE4FC3">
        <w:t xml:space="preserve"> </w:t>
      </w:r>
      <w:r w:rsidR="00621DD5" w:rsidRPr="00382917">
        <w:t>was</w:t>
      </w:r>
      <w:r w:rsidR="00EE4FC3">
        <w:t xml:space="preserve"> </w:t>
      </w:r>
      <w:r w:rsidR="00621DD5" w:rsidRPr="00382917">
        <w:t>calling</w:t>
      </w:r>
      <w:r w:rsidR="00EE4FC3">
        <w:t xml:space="preserve"> </w:t>
      </w:r>
      <w:r w:rsidR="00621DD5" w:rsidRPr="00382917">
        <w:t>me</w:t>
      </w:r>
      <w:r w:rsidR="00330AF7">
        <w:t>.</w:t>
      </w:r>
      <w:r w:rsidR="00EE4FC3">
        <w:t xml:space="preserve">  </w:t>
      </w:r>
      <w:r w:rsidR="00621DD5" w:rsidRPr="00382917">
        <w:t>He</w:t>
      </w:r>
      <w:r w:rsidR="00EE4FC3">
        <w:t xml:space="preserve"> </w:t>
      </w:r>
      <w:r w:rsidR="00621DD5" w:rsidRPr="00382917">
        <w:t>bade</w:t>
      </w:r>
      <w:r w:rsidR="00EE4FC3">
        <w:t xml:space="preserve"> </w:t>
      </w:r>
      <w:r w:rsidR="00621DD5" w:rsidRPr="00382917">
        <w:t>me</w:t>
      </w:r>
      <w:r w:rsidR="00C03C91">
        <w:t>:</w:t>
      </w:r>
      <w:r w:rsidR="00EE4FC3">
        <w:t xml:space="preserve">  </w:t>
      </w:r>
      <w:r w:rsidRPr="00382917">
        <w:t>“</w:t>
      </w:r>
      <w:r w:rsidR="00621DD5" w:rsidRPr="00382917">
        <w:t>Arise!</w:t>
      </w:r>
      <w:r w:rsidRPr="00382917">
        <w:t>”</w:t>
      </w:r>
      <w:r w:rsidR="00E705E2">
        <w:t xml:space="preserve"> </w:t>
      </w:r>
      <w:r w:rsidR="00EE4FC3">
        <w:t xml:space="preserve"> </w:t>
      </w:r>
      <w:r w:rsidR="00621DD5" w:rsidRPr="00382917">
        <w:t>I</w:t>
      </w:r>
      <w:r w:rsidR="00EE4FC3">
        <w:t xml:space="preserve"> </w:t>
      </w:r>
      <w:r w:rsidR="00621DD5" w:rsidRPr="00382917">
        <w:t>beheld</w:t>
      </w:r>
      <w:r w:rsidR="00EE4FC3">
        <w:t xml:space="preserve"> </w:t>
      </w:r>
      <w:r w:rsidR="00621DD5" w:rsidRPr="00382917">
        <w:t>the</w:t>
      </w:r>
      <w:r w:rsidR="00EE4FC3">
        <w:t xml:space="preserve"> </w:t>
      </w:r>
      <w:r w:rsidR="00621DD5" w:rsidRPr="00382917">
        <w:t>majesty</w:t>
      </w:r>
      <w:r w:rsidR="00EE4FC3">
        <w:t xml:space="preserve"> </w:t>
      </w:r>
      <w:r w:rsidR="00621DD5" w:rsidRPr="00382917">
        <w:t>of</w:t>
      </w:r>
      <w:r w:rsidR="00EE4FC3">
        <w:t xml:space="preserve"> </w:t>
      </w:r>
      <w:r w:rsidR="00621DD5" w:rsidRPr="00382917">
        <w:t>His</w:t>
      </w:r>
      <w:r w:rsidR="00EE4FC3">
        <w:t xml:space="preserve"> </w:t>
      </w:r>
      <w:r w:rsidR="00621DD5" w:rsidRPr="00382917">
        <w:t>countenance</w:t>
      </w:r>
      <w:r w:rsidR="00EE4FC3">
        <w:t xml:space="preserve"> </w:t>
      </w:r>
      <w:r w:rsidR="00621DD5" w:rsidRPr="00382917">
        <w:t>as</w:t>
      </w:r>
      <w:r w:rsidR="00EE4FC3">
        <w:t xml:space="preserve"> </w:t>
      </w:r>
      <w:r w:rsidR="00621DD5" w:rsidRPr="00382917">
        <w:t>He</w:t>
      </w:r>
      <w:r w:rsidR="00EE4FC3">
        <w:t xml:space="preserve"> </w:t>
      </w:r>
      <w:r w:rsidR="00621DD5" w:rsidRPr="00382917">
        <w:t>appeared</w:t>
      </w:r>
      <w:r w:rsidR="00EE4FC3">
        <w:t xml:space="preserve"> </w:t>
      </w:r>
      <w:r w:rsidR="00621DD5" w:rsidRPr="00382917">
        <w:t>before</w:t>
      </w:r>
      <w:r w:rsidR="00EE4FC3">
        <w:t xml:space="preserve"> </w:t>
      </w:r>
      <w:r w:rsidR="00621DD5" w:rsidRPr="00382917">
        <w:t>me</w:t>
      </w:r>
      <w:r w:rsidR="00330AF7">
        <w:t>.</w:t>
      </w:r>
      <w:r w:rsidR="00EE4FC3">
        <w:t xml:space="preserve">  </w:t>
      </w:r>
      <w:r w:rsidR="00621DD5" w:rsidRPr="00382917">
        <w:t>He</w:t>
      </w:r>
      <w:r w:rsidR="00EE4FC3">
        <w:t xml:space="preserve"> </w:t>
      </w:r>
      <w:r w:rsidR="00621DD5" w:rsidRPr="00382917">
        <w:t>smiled</w:t>
      </w:r>
      <w:r w:rsidR="00EE4FC3">
        <w:t xml:space="preserve"> </w:t>
      </w:r>
      <w:r w:rsidR="00621DD5" w:rsidRPr="00382917">
        <w:t>as</w:t>
      </w:r>
      <w:r w:rsidR="00EE4FC3">
        <w:t xml:space="preserve"> </w:t>
      </w:r>
      <w:r w:rsidR="00621DD5" w:rsidRPr="00382917">
        <w:t>He</w:t>
      </w:r>
      <w:r w:rsidR="00EE4FC3">
        <w:t xml:space="preserve"> </w:t>
      </w:r>
      <w:r w:rsidR="00621DD5" w:rsidRPr="00382917">
        <w:t>looked</w:t>
      </w:r>
      <w:r w:rsidR="00EE4FC3">
        <w:t xml:space="preserve"> </w:t>
      </w:r>
      <w:r w:rsidR="00621DD5" w:rsidRPr="00382917">
        <w:t>into</w:t>
      </w:r>
      <w:r w:rsidR="00EE4FC3">
        <w:t xml:space="preserve"> </w:t>
      </w:r>
      <w:r w:rsidR="00621DD5" w:rsidRPr="00382917">
        <w:t>my</w:t>
      </w:r>
      <w:r w:rsidR="00EE4FC3">
        <w:t xml:space="preserve"> </w:t>
      </w:r>
      <w:r w:rsidR="00621DD5" w:rsidRPr="00382917">
        <w:t>eyes</w:t>
      </w:r>
      <w:r w:rsidR="00330AF7">
        <w:t>.</w:t>
      </w:r>
      <w:r w:rsidR="00EE4FC3">
        <w:t xml:space="preserve">  </w:t>
      </w:r>
      <w:r w:rsidR="00621DD5" w:rsidRPr="00382917">
        <w:t>I</w:t>
      </w:r>
      <w:r w:rsidR="00EE4FC3">
        <w:t xml:space="preserve"> </w:t>
      </w:r>
      <w:r w:rsidR="00621DD5" w:rsidRPr="00382917">
        <w:t>rushed</w:t>
      </w:r>
      <w:r w:rsidR="00EE4FC3">
        <w:t xml:space="preserve"> </w:t>
      </w:r>
      <w:r w:rsidR="00621DD5" w:rsidRPr="00382917">
        <w:t>forward</w:t>
      </w:r>
      <w:r w:rsidR="00EE4FC3">
        <w:t xml:space="preserve"> </w:t>
      </w:r>
      <w:r w:rsidR="00621DD5" w:rsidRPr="00382917">
        <w:t>and</w:t>
      </w:r>
      <w:r w:rsidR="00EE4FC3">
        <w:t xml:space="preserve"> </w:t>
      </w:r>
      <w:r w:rsidR="00621DD5" w:rsidRPr="00382917">
        <w:t>flung</w:t>
      </w:r>
      <w:r w:rsidR="00EE4FC3">
        <w:t xml:space="preserve"> </w:t>
      </w:r>
      <w:r w:rsidR="00621DD5" w:rsidRPr="00382917">
        <w:t>myself</w:t>
      </w:r>
      <w:r w:rsidR="00EE4FC3">
        <w:t xml:space="preserve"> </w:t>
      </w:r>
      <w:r w:rsidR="00621DD5" w:rsidRPr="00382917">
        <w:t>at</w:t>
      </w:r>
      <w:r w:rsidR="00EE4FC3">
        <w:t xml:space="preserve"> </w:t>
      </w:r>
      <w:r w:rsidR="00621DD5" w:rsidRPr="00382917">
        <w:t>His</w:t>
      </w:r>
      <w:r w:rsidR="00EE4FC3">
        <w:t xml:space="preserve"> </w:t>
      </w:r>
      <w:r w:rsidR="00621DD5" w:rsidRPr="00382917">
        <w:t>feet</w:t>
      </w:r>
      <w:r w:rsidR="00330AF7">
        <w:t>.</w:t>
      </w:r>
      <w:r w:rsidR="00EE4FC3">
        <w:t xml:space="preserve">  </w:t>
      </w:r>
      <w:r w:rsidRPr="00382917">
        <w:t>“</w:t>
      </w:r>
      <w:r w:rsidR="00621DD5" w:rsidRPr="00382917">
        <w:t>Rejoice,</w:t>
      </w:r>
      <w:r w:rsidRPr="00382917">
        <w:t>”</w:t>
      </w:r>
      <w:r w:rsidR="00EE4FC3">
        <w:t xml:space="preserve"> </w:t>
      </w:r>
      <w:r w:rsidR="00621DD5" w:rsidRPr="00382917">
        <w:t>He</w:t>
      </w:r>
      <w:r w:rsidR="00EE4FC3">
        <w:t xml:space="preserve"> </w:t>
      </w:r>
      <w:r w:rsidR="00621DD5" w:rsidRPr="00382917">
        <w:t>said,</w:t>
      </w:r>
      <w:r w:rsidR="00EE4FC3">
        <w:t xml:space="preserve"> </w:t>
      </w:r>
      <w:r w:rsidRPr="00382917">
        <w:t>“</w:t>
      </w:r>
      <w:r w:rsidR="00621DD5" w:rsidRPr="00382917">
        <w:t>the</w:t>
      </w:r>
      <w:r w:rsidR="00EE4FC3">
        <w:t xml:space="preserve"> </w:t>
      </w:r>
      <w:r w:rsidR="00621DD5" w:rsidRPr="00382917">
        <w:t>hour</w:t>
      </w:r>
      <w:r w:rsidR="00EE4FC3">
        <w:t xml:space="preserve"> </w:t>
      </w:r>
      <w:r w:rsidR="00621DD5" w:rsidRPr="00382917">
        <w:t>is</w:t>
      </w:r>
      <w:r w:rsidR="00EE4FC3">
        <w:t xml:space="preserve"> </w:t>
      </w:r>
      <w:r w:rsidR="00621DD5" w:rsidRPr="00382917">
        <w:t>approaching</w:t>
      </w:r>
      <w:r w:rsidR="00EE4FC3">
        <w:t xml:space="preserve"> </w:t>
      </w:r>
      <w:r w:rsidR="00621DD5" w:rsidRPr="00382917">
        <w:t>when,</w:t>
      </w:r>
      <w:r w:rsidR="00EE4FC3">
        <w:t xml:space="preserve"> </w:t>
      </w:r>
      <w:r w:rsidR="00621DD5" w:rsidRPr="00382917">
        <w:t>in</w:t>
      </w:r>
      <w:r w:rsidR="00EE4FC3">
        <w:t xml:space="preserve"> </w:t>
      </w:r>
      <w:r w:rsidR="00621DD5" w:rsidRPr="00382917">
        <w:t>this</w:t>
      </w:r>
      <w:r w:rsidR="00EE4FC3">
        <w:t xml:space="preserve"> </w:t>
      </w:r>
      <w:r w:rsidR="00621DD5" w:rsidRPr="00382917">
        <w:t>very</w:t>
      </w:r>
      <w:r w:rsidR="00EE4FC3">
        <w:t xml:space="preserve"> </w:t>
      </w:r>
      <w:r w:rsidR="00621DD5" w:rsidRPr="00382917">
        <w:t>city,</w:t>
      </w:r>
      <w:r w:rsidR="00EE4FC3">
        <w:t xml:space="preserve"> </w:t>
      </w:r>
      <w:r w:rsidR="00621DD5" w:rsidRPr="00382917">
        <w:t>I</w:t>
      </w:r>
      <w:r w:rsidR="00EE4FC3">
        <w:t xml:space="preserve"> </w:t>
      </w:r>
      <w:r w:rsidR="00621DD5" w:rsidRPr="00382917">
        <w:t>shall</w:t>
      </w:r>
      <w:r w:rsidR="00EE4FC3">
        <w:t xml:space="preserve"> </w:t>
      </w:r>
      <w:r w:rsidR="00621DD5" w:rsidRPr="00382917">
        <w:t>be</w:t>
      </w:r>
      <w:r w:rsidR="00EE4FC3">
        <w:t xml:space="preserve"> </w:t>
      </w:r>
      <w:r w:rsidR="00621DD5" w:rsidRPr="00382917">
        <w:t>suspended</w:t>
      </w:r>
      <w:r w:rsidR="00EE4FC3">
        <w:t xml:space="preserve"> </w:t>
      </w:r>
      <w:r w:rsidR="00621DD5" w:rsidRPr="00382917">
        <w:t>before</w:t>
      </w:r>
      <w:r w:rsidR="00EE4FC3">
        <w:t xml:space="preserve"> </w:t>
      </w:r>
      <w:r w:rsidR="00621DD5" w:rsidRPr="00382917">
        <w:t>the</w:t>
      </w:r>
      <w:r w:rsidR="00EE4FC3">
        <w:t xml:space="preserve"> </w:t>
      </w:r>
      <w:r w:rsidR="00621DD5" w:rsidRPr="00382917">
        <w:t>eyes</w:t>
      </w:r>
      <w:r w:rsidR="00EE4FC3">
        <w:t xml:space="preserve"> </w:t>
      </w:r>
      <w:r w:rsidR="00621DD5" w:rsidRPr="00382917">
        <w:t>of</w:t>
      </w:r>
      <w:r w:rsidR="00EE4FC3">
        <w:t xml:space="preserve"> </w:t>
      </w:r>
      <w:r w:rsidR="00621DD5" w:rsidRPr="00382917">
        <w:t>the</w:t>
      </w:r>
      <w:r w:rsidR="00EE4FC3">
        <w:t xml:space="preserve"> </w:t>
      </w:r>
      <w:r w:rsidR="00621DD5" w:rsidRPr="00382917">
        <w:t>multitude</w:t>
      </w:r>
      <w:r w:rsidR="00EE4FC3">
        <w:t xml:space="preserve"> </w:t>
      </w:r>
      <w:r w:rsidR="00621DD5" w:rsidRPr="00382917">
        <w:t>and</w:t>
      </w:r>
      <w:r w:rsidR="00EE4FC3">
        <w:t xml:space="preserve"> </w:t>
      </w:r>
      <w:r w:rsidR="00621DD5" w:rsidRPr="00382917">
        <w:t>shall</w:t>
      </w:r>
      <w:r w:rsidR="00EE4FC3">
        <w:t xml:space="preserve"> </w:t>
      </w:r>
      <w:r w:rsidR="00621DD5" w:rsidRPr="00382917">
        <w:t>fall</w:t>
      </w:r>
      <w:r w:rsidR="00EE4FC3">
        <w:t xml:space="preserve"> </w:t>
      </w:r>
      <w:r w:rsidR="00621DD5" w:rsidRPr="00382917">
        <w:t>a</w:t>
      </w:r>
      <w:r w:rsidR="00EE4FC3">
        <w:t xml:space="preserve"> </w:t>
      </w:r>
      <w:r w:rsidR="00621DD5" w:rsidRPr="00382917">
        <w:t>victim</w:t>
      </w:r>
      <w:r w:rsidR="00EE4FC3">
        <w:t xml:space="preserve"> </w:t>
      </w:r>
      <w:r w:rsidR="00621DD5" w:rsidRPr="00382917">
        <w:t>to</w:t>
      </w:r>
      <w:r w:rsidR="00EE4FC3">
        <w:t xml:space="preserve"> </w:t>
      </w:r>
      <w:r w:rsidR="00621DD5" w:rsidRPr="00382917">
        <w:t>the</w:t>
      </w:r>
      <w:r w:rsidR="00EE4FC3">
        <w:t xml:space="preserve"> </w:t>
      </w:r>
      <w:r w:rsidR="00621DD5" w:rsidRPr="00382917">
        <w:t>fire</w:t>
      </w:r>
      <w:r w:rsidR="00EE4FC3">
        <w:t xml:space="preserve"> </w:t>
      </w:r>
      <w:r w:rsidR="00621DD5" w:rsidRPr="00382917">
        <w:t>of</w:t>
      </w:r>
      <w:r w:rsidR="00EE4FC3">
        <w:t xml:space="preserve"> </w:t>
      </w:r>
      <w:r w:rsidR="00621DD5" w:rsidRPr="00382917">
        <w:t>the</w:t>
      </w:r>
      <w:r w:rsidR="00EE4FC3">
        <w:t xml:space="preserve"> </w:t>
      </w:r>
      <w:r w:rsidR="00621DD5" w:rsidRPr="00382917">
        <w:t>enemy</w:t>
      </w:r>
      <w:r w:rsidR="00330AF7">
        <w:t>.</w:t>
      </w:r>
      <w:r w:rsidR="00EE4FC3">
        <w:t xml:space="preserve">  </w:t>
      </w:r>
      <w:r w:rsidR="00621DD5" w:rsidRPr="00382917">
        <w:t>I</w:t>
      </w:r>
      <w:r w:rsidR="00EE4FC3">
        <w:t xml:space="preserve"> </w:t>
      </w:r>
      <w:r w:rsidR="00621DD5" w:rsidRPr="00382917">
        <w:t>shall</w:t>
      </w:r>
      <w:r w:rsidR="00EE4FC3">
        <w:t xml:space="preserve"> </w:t>
      </w:r>
      <w:r w:rsidR="00621DD5" w:rsidRPr="00382917">
        <w:t>choose</w:t>
      </w:r>
      <w:r w:rsidR="00EE4FC3">
        <w:t xml:space="preserve"> </w:t>
      </w:r>
      <w:r w:rsidR="00621DD5" w:rsidRPr="00382917">
        <w:t>no</w:t>
      </w:r>
      <w:r w:rsidR="00EE4FC3">
        <w:t xml:space="preserve"> </w:t>
      </w:r>
      <w:r w:rsidR="00621DD5" w:rsidRPr="00382917">
        <w:t>one</w:t>
      </w:r>
      <w:r w:rsidR="00EE4FC3">
        <w:t xml:space="preserve"> </w:t>
      </w:r>
      <w:r w:rsidR="00621DD5" w:rsidRPr="00382917">
        <w:t>except</w:t>
      </w:r>
      <w:r w:rsidR="00EE4FC3">
        <w:t xml:space="preserve"> </w:t>
      </w:r>
      <w:r w:rsidR="00621DD5" w:rsidRPr="00382917">
        <w:t>you</w:t>
      </w:r>
      <w:r w:rsidR="00EE4FC3">
        <w:t xml:space="preserve"> </w:t>
      </w:r>
      <w:r w:rsidR="00621DD5" w:rsidRPr="00382917">
        <w:t>to</w:t>
      </w:r>
      <w:r w:rsidR="00EE4FC3">
        <w:t xml:space="preserve"> </w:t>
      </w:r>
      <w:r w:rsidR="00621DD5" w:rsidRPr="00382917">
        <w:t>share</w:t>
      </w:r>
      <w:r w:rsidR="00EE4FC3">
        <w:t xml:space="preserve"> </w:t>
      </w:r>
      <w:r w:rsidR="00621DD5" w:rsidRPr="00382917">
        <w:t>with</w:t>
      </w:r>
      <w:r w:rsidR="00EE4FC3">
        <w:t xml:space="preserve"> </w:t>
      </w:r>
      <w:proofErr w:type="gramStart"/>
      <w:r w:rsidR="00621DD5" w:rsidRPr="00382917">
        <w:t>Me</w:t>
      </w:r>
      <w:proofErr w:type="gramEnd"/>
      <w:r w:rsidR="00EE4FC3">
        <w:t xml:space="preserve"> </w:t>
      </w:r>
      <w:r w:rsidR="00621DD5" w:rsidRPr="00382917">
        <w:t>the</w:t>
      </w:r>
      <w:r w:rsidR="00EE4FC3">
        <w:t xml:space="preserve"> </w:t>
      </w:r>
      <w:r w:rsidR="00621DD5" w:rsidRPr="00382917">
        <w:t>cup</w:t>
      </w:r>
      <w:r w:rsidR="00EE4FC3">
        <w:t xml:space="preserve"> </w:t>
      </w:r>
      <w:r w:rsidR="00621DD5" w:rsidRPr="00382917">
        <w:t>of</w:t>
      </w:r>
      <w:r w:rsidR="00EE4FC3">
        <w:t xml:space="preserve"> </w:t>
      </w:r>
      <w:r w:rsidR="00621DD5" w:rsidRPr="00382917">
        <w:t>martyrdom</w:t>
      </w:r>
      <w:r w:rsidR="00330AF7">
        <w:t>.</w:t>
      </w:r>
      <w:r w:rsidR="00EE4FC3">
        <w:t xml:space="preserve">  </w:t>
      </w:r>
      <w:r w:rsidR="00621DD5" w:rsidRPr="00382917">
        <w:t>Rest</w:t>
      </w:r>
      <w:r w:rsidR="00EE4FC3">
        <w:t xml:space="preserve"> </w:t>
      </w:r>
      <w:r w:rsidR="00621DD5" w:rsidRPr="00382917">
        <w:t>assured</w:t>
      </w:r>
      <w:r w:rsidR="00EE4FC3">
        <w:t xml:space="preserve"> </w:t>
      </w:r>
      <w:r w:rsidR="00621DD5" w:rsidRPr="00382917">
        <w:t>that</w:t>
      </w:r>
      <w:r w:rsidR="00EE4FC3">
        <w:t xml:space="preserve"> </w:t>
      </w:r>
      <w:r w:rsidR="00621DD5" w:rsidRPr="00382917">
        <w:t>this</w:t>
      </w:r>
      <w:r w:rsidR="00EE4FC3">
        <w:t xml:space="preserve"> </w:t>
      </w:r>
      <w:r w:rsidR="00621DD5" w:rsidRPr="00382917">
        <w:t>promise</w:t>
      </w:r>
      <w:r w:rsidR="00EE4FC3">
        <w:t xml:space="preserve"> </w:t>
      </w:r>
      <w:r w:rsidR="00621DD5" w:rsidRPr="00382917">
        <w:t>which</w:t>
      </w:r>
      <w:r w:rsidR="00EE4FC3">
        <w:t xml:space="preserve"> </w:t>
      </w:r>
      <w:r w:rsidR="00621DD5" w:rsidRPr="00382917">
        <w:t>I</w:t>
      </w:r>
      <w:r w:rsidR="00EE4FC3">
        <w:t xml:space="preserve"> </w:t>
      </w:r>
      <w:r w:rsidR="00621DD5" w:rsidRPr="00382917">
        <w:t>give</w:t>
      </w:r>
      <w:r w:rsidR="00EE4FC3">
        <w:t xml:space="preserve"> </w:t>
      </w:r>
      <w:r w:rsidR="00621DD5" w:rsidRPr="00382917">
        <w:t>you</w:t>
      </w:r>
      <w:r w:rsidR="00EE4FC3">
        <w:t xml:space="preserve"> </w:t>
      </w:r>
      <w:r w:rsidR="00621DD5" w:rsidRPr="00382917">
        <w:t>shall</w:t>
      </w:r>
      <w:r w:rsidR="00EE4FC3">
        <w:t xml:space="preserve"> </w:t>
      </w:r>
      <w:r w:rsidR="00621DD5" w:rsidRPr="00382917">
        <w:t>be</w:t>
      </w:r>
      <w:r w:rsidR="00EE4FC3">
        <w:t xml:space="preserve"> </w:t>
      </w:r>
      <w:r w:rsidR="00621DD5" w:rsidRPr="00382917">
        <w:t>fulfilled.</w:t>
      </w:r>
      <w:r w:rsidRPr="00382917">
        <w:t>”</w:t>
      </w:r>
    </w:p>
    <w:p w:rsidR="00621DD5" w:rsidRPr="00382917" w:rsidRDefault="009C713D" w:rsidP="00621DD5">
      <w:pPr>
        <w:pStyle w:val="Text"/>
      </w:pPr>
      <w:r w:rsidRPr="00382917">
        <w:t>“‘</w:t>
      </w:r>
      <w:r w:rsidR="00621DD5" w:rsidRPr="00382917">
        <w:t>I</w:t>
      </w:r>
      <w:r w:rsidR="00EE4FC3">
        <w:t xml:space="preserve"> </w:t>
      </w:r>
      <w:r w:rsidR="00621DD5" w:rsidRPr="00382917">
        <w:t>was</w:t>
      </w:r>
      <w:r w:rsidR="00EE4FC3">
        <w:t xml:space="preserve"> </w:t>
      </w:r>
      <w:r w:rsidR="00621DD5" w:rsidRPr="00382917">
        <w:t>entranced</w:t>
      </w:r>
      <w:r w:rsidR="00EE4FC3">
        <w:t xml:space="preserve"> </w:t>
      </w:r>
      <w:r w:rsidR="00621DD5" w:rsidRPr="00382917">
        <w:t>by</w:t>
      </w:r>
      <w:r w:rsidR="00EE4FC3">
        <w:t xml:space="preserve"> </w:t>
      </w:r>
      <w:r w:rsidR="00621DD5" w:rsidRPr="00382917">
        <w:t>the</w:t>
      </w:r>
      <w:r w:rsidR="00EE4FC3">
        <w:t xml:space="preserve"> </w:t>
      </w:r>
      <w:r w:rsidR="00621DD5" w:rsidRPr="00382917">
        <w:t>beauty</w:t>
      </w:r>
      <w:r w:rsidR="00EE4FC3">
        <w:t xml:space="preserve"> </w:t>
      </w:r>
      <w:r w:rsidR="00621DD5" w:rsidRPr="00382917">
        <w:t>of</w:t>
      </w:r>
      <w:r w:rsidR="00EE4FC3">
        <w:t xml:space="preserve"> </w:t>
      </w:r>
      <w:r w:rsidR="00621DD5" w:rsidRPr="00382917">
        <w:t>that</w:t>
      </w:r>
      <w:r w:rsidR="00EE4FC3">
        <w:t xml:space="preserve"> </w:t>
      </w:r>
      <w:r w:rsidR="00621DD5" w:rsidRPr="00382917">
        <w:t>vision</w:t>
      </w:r>
      <w:r w:rsidR="00330AF7">
        <w:t>.</w:t>
      </w:r>
      <w:r w:rsidR="00EE4FC3">
        <w:t xml:space="preserve">  </w:t>
      </w:r>
      <w:r w:rsidR="00621DD5" w:rsidRPr="00382917">
        <w:t>When</w:t>
      </w:r>
      <w:r w:rsidR="00EE4FC3">
        <w:t xml:space="preserve"> </w:t>
      </w:r>
      <w:r w:rsidR="00621DD5" w:rsidRPr="00382917">
        <w:t>I</w:t>
      </w:r>
      <w:r w:rsidR="00EE4FC3">
        <w:t xml:space="preserve"> </w:t>
      </w:r>
      <w:r w:rsidR="00621DD5" w:rsidRPr="00382917">
        <w:t>recovered,</w:t>
      </w:r>
      <w:r w:rsidR="00EE4FC3">
        <w:t xml:space="preserve"> </w:t>
      </w:r>
      <w:r w:rsidR="00621DD5" w:rsidRPr="00382917">
        <w:t>I</w:t>
      </w:r>
      <w:r w:rsidR="00EE4FC3">
        <w:t xml:space="preserve"> </w:t>
      </w:r>
      <w:r w:rsidR="00621DD5" w:rsidRPr="00382917">
        <w:t>found</w:t>
      </w:r>
      <w:r w:rsidR="00EE4FC3">
        <w:t xml:space="preserve"> </w:t>
      </w:r>
      <w:r w:rsidR="00621DD5" w:rsidRPr="00382917">
        <w:t>myself</w:t>
      </w:r>
      <w:r w:rsidR="00EE4FC3">
        <w:t xml:space="preserve"> </w:t>
      </w:r>
      <w:r w:rsidR="00621DD5" w:rsidRPr="00382917">
        <w:t>immersed</w:t>
      </w:r>
      <w:r w:rsidR="00EE4FC3">
        <w:t xml:space="preserve"> </w:t>
      </w:r>
      <w:r w:rsidR="00621DD5" w:rsidRPr="00382917">
        <w:t>in</w:t>
      </w:r>
      <w:r w:rsidR="00EE4FC3">
        <w:t xml:space="preserve"> </w:t>
      </w:r>
      <w:r w:rsidR="00621DD5" w:rsidRPr="00382917">
        <w:t>an</w:t>
      </w:r>
      <w:r w:rsidR="00EE4FC3">
        <w:t xml:space="preserve"> </w:t>
      </w:r>
      <w:r w:rsidR="00621DD5" w:rsidRPr="00382917">
        <w:t>ocean</w:t>
      </w:r>
      <w:r w:rsidR="00EE4FC3">
        <w:t xml:space="preserve"> </w:t>
      </w:r>
      <w:r w:rsidR="00621DD5" w:rsidRPr="00382917">
        <w:t>of</w:t>
      </w:r>
      <w:r w:rsidR="00EE4FC3">
        <w:t xml:space="preserve"> </w:t>
      </w:r>
      <w:r w:rsidR="00621DD5" w:rsidRPr="00382917">
        <w:t>joy,</w:t>
      </w:r>
      <w:r w:rsidR="00EE4FC3">
        <w:t xml:space="preserve"> </w:t>
      </w:r>
      <w:r w:rsidR="00621DD5" w:rsidRPr="00382917">
        <w:t>a</w:t>
      </w:r>
      <w:r w:rsidR="00EE4FC3">
        <w:t xml:space="preserve"> </w:t>
      </w:r>
      <w:r w:rsidR="00621DD5" w:rsidRPr="00382917">
        <w:t>joy</w:t>
      </w:r>
      <w:r w:rsidR="00EE4FC3">
        <w:t xml:space="preserve"> </w:t>
      </w:r>
      <w:r w:rsidR="00621DD5" w:rsidRPr="00382917">
        <w:t>the</w:t>
      </w:r>
      <w:r w:rsidR="00EE4FC3">
        <w:t xml:space="preserve"> </w:t>
      </w:r>
      <w:r w:rsidR="00621DD5" w:rsidRPr="00382917">
        <w:t>radiance</w:t>
      </w:r>
      <w:r w:rsidR="00EE4FC3">
        <w:t xml:space="preserve"> </w:t>
      </w:r>
      <w:r w:rsidR="00621DD5" w:rsidRPr="00382917">
        <w:t>of</w:t>
      </w:r>
      <w:r w:rsidR="00EE4FC3">
        <w:t xml:space="preserve"> </w:t>
      </w:r>
      <w:r w:rsidR="00621DD5" w:rsidRPr="00382917">
        <w:t>which</w:t>
      </w:r>
      <w:r w:rsidR="00EE4FC3">
        <w:t xml:space="preserve"> </w:t>
      </w:r>
      <w:r w:rsidR="00621DD5" w:rsidRPr="00382917">
        <w:t>all</w:t>
      </w:r>
      <w:r w:rsidR="00EE4FC3">
        <w:t xml:space="preserve"> </w:t>
      </w:r>
      <w:r w:rsidR="00621DD5" w:rsidRPr="00382917">
        <w:t>the</w:t>
      </w:r>
      <w:r w:rsidR="00EE4FC3">
        <w:t xml:space="preserve"> </w:t>
      </w:r>
      <w:r w:rsidR="00621DD5" w:rsidRPr="00382917">
        <w:t>sorrows</w:t>
      </w:r>
      <w:r w:rsidR="00EE4FC3">
        <w:t xml:space="preserve"> </w:t>
      </w:r>
      <w:r w:rsidR="00621DD5" w:rsidRPr="00382917">
        <w:t>of</w:t>
      </w:r>
      <w:r w:rsidR="00EE4FC3">
        <w:t xml:space="preserve"> </w:t>
      </w:r>
      <w:r w:rsidR="00621DD5" w:rsidRPr="00382917">
        <w:t>the</w:t>
      </w:r>
      <w:r w:rsidR="00EE4FC3">
        <w:t xml:space="preserve"> </w:t>
      </w:r>
      <w:r w:rsidR="00621DD5" w:rsidRPr="00382917">
        <w:t>world</w:t>
      </w:r>
      <w:r w:rsidR="00EE4FC3">
        <w:t xml:space="preserve"> </w:t>
      </w:r>
      <w:r w:rsidR="00621DD5" w:rsidRPr="00382917">
        <w:t>could</w:t>
      </w:r>
      <w:r w:rsidR="00EE4FC3">
        <w:t xml:space="preserve"> </w:t>
      </w:r>
      <w:r w:rsidR="00621DD5" w:rsidRPr="00382917">
        <w:t>never</w:t>
      </w:r>
      <w:r w:rsidR="00EE4FC3">
        <w:t xml:space="preserve"> </w:t>
      </w:r>
      <w:r w:rsidR="00621DD5" w:rsidRPr="00382917">
        <w:t>obscure</w:t>
      </w:r>
      <w:r w:rsidR="00330AF7">
        <w:t>.</w:t>
      </w:r>
      <w:r w:rsidR="00EE4FC3">
        <w:t xml:space="preserve">  </w:t>
      </w:r>
      <w:r w:rsidR="00621DD5" w:rsidRPr="00382917">
        <w:t>That</w:t>
      </w:r>
      <w:r w:rsidR="00EE4FC3">
        <w:t xml:space="preserve"> </w:t>
      </w:r>
      <w:r w:rsidR="00621DD5" w:rsidRPr="00382917">
        <w:t>voice</w:t>
      </w:r>
      <w:r w:rsidR="00EE4FC3">
        <w:t xml:space="preserve"> </w:t>
      </w:r>
      <w:r w:rsidR="00621DD5" w:rsidRPr="00382917">
        <w:t>keeps</w:t>
      </w:r>
      <w:r w:rsidR="00EE4FC3">
        <w:t xml:space="preserve"> </w:t>
      </w:r>
      <w:r w:rsidR="00621DD5" w:rsidRPr="00382917">
        <w:t>ringing</w:t>
      </w:r>
      <w:r w:rsidR="00EE4FC3">
        <w:t xml:space="preserve"> </w:t>
      </w:r>
      <w:r w:rsidR="00621DD5" w:rsidRPr="00382917">
        <w:t>in</w:t>
      </w:r>
      <w:r w:rsidR="00EE4FC3">
        <w:t xml:space="preserve"> </w:t>
      </w:r>
      <w:r w:rsidR="00621DD5" w:rsidRPr="00382917">
        <w:t>my</w:t>
      </w:r>
      <w:r w:rsidR="00EE4FC3">
        <w:t xml:space="preserve"> </w:t>
      </w:r>
      <w:r w:rsidR="00621DD5" w:rsidRPr="00382917">
        <w:t>ears</w:t>
      </w:r>
      <w:r w:rsidR="00330AF7">
        <w:t>.</w:t>
      </w:r>
      <w:r w:rsidR="00EE4FC3">
        <w:t xml:space="preserve">  </w:t>
      </w:r>
      <w:r w:rsidR="00621DD5" w:rsidRPr="00382917">
        <w:t>That</w:t>
      </w:r>
      <w:r w:rsidR="00EE4FC3">
        <w:t xml:space="preserve"> </w:t>
      </w:r>
      <w:r w:rsidR="00621DD5" w:rsidRPr="00382917">
        <w:t>vision</w:t>
      </w:r>
      <w:r w:rsidR="00EE4FC3">
        <w:t xml:space="preserve"> </w:t>
      </w:r>
      <w:r w:rsidR="00621DD5" w:rsidRPr="00382917">
        <w:t>haunts</w:t>
      </w:r>
      <w:r w:rsidR="00EE4FC3">
        <w:t xml:space="preserve"> </w:t>
      </w:r>
      <w:r w:rsidR="00621DD5" w:rsidRPr="00382917">
        <w:t>me</w:t>
      </w:r>
      <w:r w:rsidR="00EE4FC3">
        <w:t xml:space="preserve"> </w:t>
      </w:r>
      <w:r w:rsidR="00621DD5" w:rsidRPr="00382917">
        <w:t>both</w:t>
      </w:r>
      <w:r w:rsidR="00EE4FC3">
        <w:t xml:space="preserve"> </w:t>
      </w:r>
      <w:r w:rsidR="00621DD5" w:rsidRPr="00382917">
        <w:t>in</w:t>
      </w:r>
      <w:r w:rsidR="00EE4FC3">
        <w:t xml:space="preserve"> </w:t>
      </w:r>
      <w:r w:rsidR="00621DD5" w:rsidRPr="00382917">
        <w:t>the</w:t>
      </w:r>
    </w:p>
    <w:p w:rsidR="00621DD5" w:rsidRPr="00382917" w:rsidRDefault="00621DD5">
      <w:pPr>
        <w:widowControl/>
        <w:kinsoku/>
        <w:overflowPunct/>
        <w:textAlignment w:val="auto"/>
      </w:pPr>
      <w:r w:rsidRPr="00382917">
        <w:br w:type="page"/>
      </w:r>
    </w:p>
    <w:p w:rsidR="00621DD5" w:rsidRPr="00382917" w:rsidRDefault="00621DD5" w:rsidP="00621DD5">
      <w:pPr>
        <w:pStyle w:val="Textcts"/>
      </w:pPr>
      <w:proofErr w:type="gramStart"/>
      <w:r w:rsidRPr="00382917">
        <w:t>daytime</w:t>
      </w:r>
      <w:proofErr w:type="gramEnd"/>
      <w:r w:rsidR="00EE4FC3">
        <w:t xml:space="preserve"> </w:t>
      </w:r>
      <w:r w:rsidRPr="00382917">
        <w:t>and</w:t>
      </w:r>
      <w:r w:rsidR="00EE4FC3">
        <w:t xml:space="preserve"> </w:t>
      </w:r>
      <w:r w:rsidRPr="00382917">
        <w:t>in</w:t>
      </w:r>
      <w:r w:rsidR="00EE4FC3">
        <w:t xml:space="preserve"> </w:t>
      </w:r>
      <w:r w:rsidRPr="00382917">
        <w:t>the</w:t>
      </w:r>
      <w:r w:rsidR="00EE4FC3">
        <w:t xml:space="preserve"> </w:t>
      </w:r>
      <w:r w:rsidRPr="00382917">
        <w:t>night</w:t>
      </w:r>
      <w:r w:rsidR="00EE4FC3">
        <w:t xml:space="preserve"> </w:t>
      </w:r>
      <w:r w:rsidRPr="00382917">
        <w:t>season</w:t>
      </w:r>
      <w:r w:rsidR="00330AF7">
        <w:t>.</w:t>
      </w:r>
      <w:r w:rsidR="00EE4FC3">
        <w:t xml:space="preserve">  </w:t>
      </w:r>
      <w:r w:rsidRPr="00382917">
        <w:t>The</w:t>
      </w:r>
      <w:r w:rsidR="00EE4FC3">
        <w:t xml:space="preserve"> </w:t>
      </w:r>
      <w:r w:rsidRPr="00382917">
        <w:t>memory</w:t>
      </w:r>
      <w:r w:rsidR="00EE4FC3">
        <w:t xml:space="preserve"> </w:t>
      </w:r>
      <w:r w:rsidRPr="00382917">
        <w:t>of</w:t>
      </w:r>
      <w:r w:rsidR="00EE4FC3">
        <w:t xml:space="preserve"> </w:t>
      </w:r>
      <w:r w:rsidRPr="00382917">
        <w:t>that</w:t>
      </w:r>
      <w:r w:rsidR="00EE4FC3">
        <w:t xml:space="preserve"> </w:t>
      </w:r>
      <w:r w:rsidRPr="00382917">
        <w:t>smile</w:t>
      </w:r>
      <w:r w:rsidR="00EE4FC3">
        <w:t xml:space="preserve"> </w:t>
      </w:r>
      <w:r w:rsidRPr="00382917">
        <w:t>has</w:t>
      </w:r>
      <w:r w:rsidR="00EE4FC3">
        <w:t xml:space="preserve"> </w:t>
      </w:r>
      <w:r w:rsidRPr="00382917">
        <w:t>removed</w:t>
      </w:r>
      <w:r w:rsidR="00EE4FC3">
        <w:t xml:space="preserve"> </w:t>
      </w:r>
      <w:r w:rsidRPr="00382917">
        <w:t>all</w:t>
      </w:r>
      <w:r w:rsidR="00EE4FC3">
        <w:t xml:space="preserve"> </w:t>
      </w:r>
      <w:r w:rsidRPr="00382917">
        <w:t>the</w:t>
      </w:r>
      <w:r w:rsidR="00EE4FC3">
        <w:t xml:space="preserve"> </w:t>
      </w:r>
      <w:r w:rsidRPr="00382917">
        <w:t>loneliness</w:t>
      </w:r>
      <w:r w:rsidR="00EE4FC3">
        <w:t xml:space="preserve"> </w:t>
      </w:r>
      <w:r w:rsidRPr="00382917">
        <w:t>of</w:t>
      </w:r>
      <w:r w:rsidR="00EE4FC3">
        <w:t xml:space="preserve"> </w:t>
      </w:r>
      <w:r w:rsidRPr="00382917">
        <w:t>my</w:t>
      </w:r>
      <w:r w:rsidR="00EE4FC3">
        <w:t xml:space="preserve"> </w:t>
      </w:r>
      <w:r w:rsidRPr="00382917">
        <w:t>confinement.</w:t>
      </w:r>
    </w:p>
    <w:p w:rsidR="00621DD5" w:rsidRPr="00382917" w:rsidRDefault="009C713D" w:rsidP="00621DD5">
      <w:pPr>
        <w:pStyle w:val="Text"/>
      </w:pPr>
      <w:r w:rsidRPr="00382917">
        <w:t>“‘</w:t>
      </w:r>
      <w:r w:rsidR="00621DD5" w:rsidRPr="00382917">
        <w:t>I</w:t>
      </w:r>
      <w:r w:rsidR="00EE4FC3">
        <w:t xml:space="preserve"> </w:t>
      </w:r>
      <w:r w:rsidR="00621DD5" w:rsidRPr="00382917">
        <w:t>am</w:t>
      </w:r>
      <w:r w:rsidR="00EE4FC3">
        <w:t xml:space="preserve"> </w:t>
      </w:r>
      <w:r w:rsidR="00621DD5" w:rsidRPr="00382917">
        <w:t>firmly</w:t>
      </w:r>
      <w:r w:rsidR="00EE4FC3">
        <w:t xml:space="preserve"> </w:t>
      </w:r>
      <w:r w:rsidR="00621DD5" w:rsidRPr="00382917">
        <w:t>convinced,</w:t>
      </w:r>
      <w:r w:rsidRPr="00382917">
        <w:t>’</w:t>
      </w:r>
      <w:r w:rsidR="00EE4FC3">
        <w:t xml:space="preserve"> </w:t>
      </w:r>
      <w:r w:rsidR="00621DD5" w:rsidRPr="00382917">
        <w:t>the</w:t>
      </w:r>
      <w:r w:rsidR="00EE4FC3">
        <w:t xml:space="preserve"> </w:t>
      </w:r>
      <w:r w:rsidR="00621DD5" w:rsidRPr="00382917">
        <w:t>young</w:t>
      </w:r>
      <w:r w:rsidR="00EE4FC3">
        <w:t xml:space="preserve"> </w:t>
      </w:r>
      <w:r w:rsidR="00621DD5" w:rsidRPr="00382917">
        <w:t>man</w:t>
      </w:r>
      <w:r w:rsidR="00EE4FC3">
        <w:t xml:space="preserve"> </w:t>
      </w:r>
      <w:r w:rsidR="00621DD5" w:rsidRPr="00382917">
        <w:t>told</w:t>
      </w:r>
      <w:r w:rsidR="00EE4FC3">
        <w:t xml:space="preserve"> </w:t>
      </w:r>
      <w:r w:rsidR="00621DD5" w:rsidRPr="00382917">
        <w:t>me,</w:t>
      </w:r>
      <w:r w:rsidR="00EE4FC3">
        <w:t xml:space="preserve"> </w:t>
      </w:r>
      <w:r w:rsidRPr="00382917">
        <w:t>‘</w:t>
      </w:r>
      <w:r w:rsidR="00621DD5" w:rsidRPr="00382917">
        <w:t>that</w:t>
      </w:r>
      <w:r w:rsidR="00EE4FC3">
        <w:t xml:space="preserve"> </w:t>
      </w:r>
      <w:r w:rsidR="00621DD5" w:rsidRPr="00382917">
        <w:t>the</w:t>
      </w:r>
      <w:r w:rsidR="00EE4FC3">
        <w:t xml:space="preserve"> </w:t>
      </w:r>
      <w:r w:rsidR="00621DD5" w:rsidRPr="00382917">
        <w:t>hour</w:t>
      </w:r>
      <w:r w:rsidR="00EE4FC3">
        <w:t xml:space="preserve"> </w:t>
      </w:r>
      <w:r w:rsidR="00621DD5" w:rsidRPr="00382917">
        <w:t>at</w:t>
      </w:r>
      <w:r w:rsidR="00EE4FC3">
        <w:t xml:space="preserve"> </w:t>
      </w:r>
      <w:r w:rsidR="00621DD5" w:rsidRPr="00382917">
        <w:t>which</w:t>
      </w:r>
      <w:r w:rsidR="00EE4FC3">
        <w:t xml:space="preserve"> </w:t>
      </w:r>
      <w:r w:rsidR="00621DD5" w:rsidRPr="00382917">
        <w:t>His</w:t>
      </w:r>
      <w:r w:rsidR="00EE4FC3">
        <w:t xml:space="preserve"> </w:t>
      </w:r>
      <w:r w:rsidR="00621DD5" w:rsidRPr="00382917">
        <w:t>pledge</w:t>
      </w:r>
      <w:r w:rsidR="00EE4FC3">
        <w:t xml:space="preserve"> </w:t>
      </w:r>
      <w:r w:rsidR="00621DD5" w:rsidRPr="00382917">
        <w:t>is</w:t>
      </w:r>
      <w:r w:rsidR="00EE4FC3">
        <w:t xml:space="preserve"> </w:t>
      </w:r>
      <w:r w:rsidR="00621DD5" w:rsidRPr="00382917">
        <w:t>to</w:t>
      </w:r>
      <w:r w:rsidR="00EE4FC3">
        <w:t xml:space="preserve"> </w:t>
      </w:r>
      <w:r w:rsidR="00621DD5" w:rsidRPr="00382917">
        <w:t>be</w:t>
      </w:r>
      <w:r w:rsidR="00EE4FC3">
        <w:t xml:space="preserve"> </w:t>
      </w:r>
      <w:r w:rsidR="00621DD5" w:rsidRPr="00382917">
        <w:t>fulfilled</w:t>
      </w:r>
      <w:r w:rsidR="00EE4FC3">
        <w:t xml:space="preserve"> </w:t>
      </w:r>
      <w:r w:rsidR="00621DD5" w:rsidRPr="00382917">
        <w:t>can</w:t>
      </w:r>
      <w:r w:rsidR="00EE4FC3">
        <w:t xml:space="preserve"> </w:t>
      </w:r>
      <w:r w:rsidR="00621DD5" w:rsidRPr="00382917">
        <w:t>no</w:t>
      </w:r>
      <w:r w:rsidR="00EE4FC3">
        <w:t xml:space="preserve"> </w:t>
      </w:r>
      <w:r w:rsidR="00621DD5" w:rsidRPr="00382917">
        <w:t>longer</w:t>
      </w:r>
      <w:r w:rsidR="00EE4FC3">
        <w:t xml:space="preserve"> </w:t>
      </w:r>
      <w:r w:rsidR="00621DD5" w:rsidRPr="00382917">
        <w:t>be</w:t>
      </w:r>
      <w:r w:rsidR="00EE4FC3">
        <w:t xml:space="preserve"> </w:t>
      </w:r>
      <w:r w:rsidR="00621DD5" w:rsidRPr="00382917">
        <w:t>delayed.</w:t>
      </w:r>
      <w:r w:rsidRPr="00382917">
        <w:t>’</w:t>
      </w:r>
    </w:p>
    <w:p w:rsidR="00621DD5" w:rsidRPr="00382917" w:rsidRDefault="009C713D" w:rsidP="00621DD5">
      <w:pPr>
        <w:pStyle w:val="Text"/>
      </w:pPr>
      <w:r w:rsidRPr="00382917">
        <w:t>“</w:t>
      </w:r>
      <w:r w:rsidR="00621DD5" w:rsidRPr="00382917">
        <w:t>I</w:t>
      </w:r>
      <w:r w:rsidR="00EE4FC3">
        <w:t xml:space="preserve"> </w:t>
      </w:r>
      <w:r w:rsidR="00621DD5" w:rsidRPr="00382917">
        <w:t>urged</w:t>
      </w:r>
      <w:r w:rsidR="00EE4FC3">
        <w:t xml:space="preserve"> </w:t>
      </w:r>
      <w:r w:rsidR="00621DD5" w:rsidRPr="00382917">
        <w:t>him</w:t>
      </w:r>
      <w:r w:rsidR="00EE4FC3">
        <w:t xml:space="preserve"> </w:t>
      </w:r>
      <w:r w:rsidR="00621DD5" w:rsidRPr="00382917">
        <w:t>to</w:t>
      </w:r>
      <w:r w:rsidR="00EE4FC3">
        <w:t xml:space="preserve"> </w:t>
      </w:r>
      <w:r w:rsidR="00621DD5" w:rsidRPr="00382917">
        <w:t>be</w:t>
      </w:r>
      <w:r w:rsidR="00EE4FC3">
        <w:t xml:space="preserve"> </w:t>
      </w:r>
      <w:r w:rsidR="00621DD5" w:rsidRPr="00382917">
        <w:t>patient</w:t>
      </w:r>
      <w:r w:rsidR="00EE4FC3">
        <w:t xml:space="preserve"> </w:t>
      </w:r>
      <w:r w:rsidR="00621DD5" w:rsidRPr="00382917">
        <w:t>and</w:t>
      </w:r>
      <w:r w:rsidR="00EE4FC3">
        <w:t xml:space="preserve"> </w:t>
      </w:r>
      <w:r w:rsidR="00621DD5" w:rsidRPr="00382917">
        <w:t>to</w:t>
      </w:r>
      <w:r w:rsidR="00EE4FC3">
        <w:t xml:space="preserve"> </w:t>
      </w:r>
      <w:r w:rsidR="00621DD5" w:rsidRPr="00382917">
        <w:t>conceal</w:t>
      </w:r>
      <w:r w:rsidR="00EE4FC3">
        <w:t xml:space="preserve"> </w:t>
      </w:r>
      <w:r w:rsidR="00621DD5" w:rsidRPr="00382917">
        <w:t>his</w:t>
      </w:r>
      <w:r w:rsidR="00EE4FC3">
        <w:t xml:space="preserve"> </w:t>
      </w:r>
      <w:r w:rsidR="00621DD5" w:rsidRPr="00382917">
        <w:t>emotion</w:t>
      </w:r>
      <w:r w:rsidR="00330AF7">
        <w:t>.</w:t>
      </w:r>
      <w:r w:rsidR="00EE4FC3">
        <w:t xml:space="preserve">  </w:t>
      </w:r>
      <w:r w:rsidR="00621DD5" w:rsidRPr="00382917">
        <w:t>He</w:t>
      </w:r>
      <w:r w:rsidR="00EE4FC3">
        <w:t xml:space="preserve"> </w:t>
      </w:r>
      <w:r w:rsidR="00621DD5" w:rsidRPr="00382917">
        <w:t>promised</w:t>
      </w:r>
      <w:r w:rsidR="00EE4FC3">
        <w:t xml:space="preserve"> </w:t>
      </w:r>
      <w:r w:rsidR="00621DD5" w:rsidRPr="00382917">
        <w:t>not</w:t>
      </w:r>
      <w:r w:rsidR="00EE4FC3">
        <w:t xml:space="preserve"> </w:t>
      </w:r>
      <w:r w:rsidR="00621DD5" w:rsidRPr="00382917">
        <w:t>to</w:t>
      </w:r>
      <w:r w:rsidR="00EE4FC3">
        <w:t xml:space="preserve"> </w:t>
      </w:r>
      <w:r w:rsidR="00621DD5" w:rsidRPr="00382917">
        <w:t>divulge</w:t>
      </w:r>
      <w:r w:rsidR="00EE4FC3">
        <w:t xml:space="preserve"> </w:t>
      </w:r>
      <w:r w:rsidR="00621DD5" w:rsidRPr="00382917">
        <w:t>his</w:t>
      </w:r>
      <w:r w:rsidR="00EE4FC3">
        <w:t xml:space="preserve"> </w:t>
      </w:r>
      <w:r w:rsidR="00621DD5" w:rsidRPr="00382917">
        <w:t>secret</w:t>
      </w:r>
      <w:r w:rsidR="00EE4FC3">
        <w:t xml:space="preserve"> </w:t>
      </w:r>
      <w:r w:rsidR="00621DD5" w:rsidRPr="00382917">
        <w:t>and</w:t>
      </w:r>
      <w:r w:rsidR="00EE4FC3">
        <w:t xml:space="preserve"> </w:t>
      </w:r>
      <w:r w:rsidR="00621DD5" w:rsidRPr="00382917">
        <w:t>undertook</w:t>
      </w:r>
      <w:r w:rsidR="00EE4FC3">
        <w:t xml:space="preserve"> </w:t>
      </w:r>
      <w:r w:rsidR="00621DD5" w:rsidRPr="00382917">
        <w:t>to</w:t>
      </w:r>
      <w:r w:rsidR="00EE4FC3">
        <w:t xml:space="preserve"> </w:t>
      </w:r>
      <w:r w:rsidR="00621DD5" w:rsidRPr="00382917">
        <w:t>show</w:t>
      </w:r>
      <w:r w:rsidR="00EE4FC3">
        <w:t xml:space="preserve"> </w:t>
      </w:r>
      <w:r w:rsidR="00621DD5" w:rsidRPr="00382917">
        <w:t>the</w:t>
      </w:r>
      <w:r w:rsidR="00EE4FC3">
        <w:t xml:space="preserve"> </w:t>
      </w:r>
      <w:r w:rsidR="00621DD5" w:rsidRPr="00382917">
        <w:t>utmost</w:t>
      </w:r>
      <w:r w:rsidR="00EE4FC3">
        <w:t xml:space="preserve"> </w:t>
      </w:r>
      <w:r w:rsidR="00621DD5" w:rsidRPr="00382917">
        <w:t>forbearance</w:t>
      </w:r>
      <w:r w:rsidR="00EE4FC3">
        <w:t xml:space="preserve"> </w:t>
      </w:r>
      <w:r w:rsidR="00621DD5" w:rsidRPr="00382917">
        <w:t>and</w:t>
      </w:r>
      <w:r w:rsidR="00EE4FC3">
        <w:t xml:space="preserve"> </w:t>
      </w:r>
      <w:r w:rsidR="00621DD5" w:rsidRPr="00382917">
        <w:t>kindness</w:t>
      </w:r>
      <w:r w:rsidR="00EE4FC3">
        <w:t xml:space="preserve"> </w:t>
      </w:r>
      <w:r w:rsidR="00621DD5" w:rsidRPr="00382917">
        <w:t>toward</w:t>
      </w:r>
      <w:r w:rsidR="00EE4FC3">
        <w:t xml:space="preserve"> </w:t>
      </w:r>
      <w:r w:rsidR="00621DD5" w:rsidRPr="00382917">
        <w:t>his</w:t>
      </w:r>
      <w:r w:rsidR="00EE4FC3">
        <w:t xml:space="preserve"> </w:t>
      </w:r>
      <w:r w:rsidR="00621DD5" w:rsidRPr="00382917">
        <w:t>stepfather</w:t>
      </w:r>
      <w:r w:rsidR="00330AF7">
        <w:t>.</w:t>
      </w:r>
      <w:r w:rsidR="00EE4FC3">
        <w:t xml:space="preserve">  </w:t>
      </w:r>
      <w:r w:rsidR="00621DD5" w:rsidRPr="00382917">
        <w:t>I</w:t>
      </w:r>
      <w:r w:rsidR="00EE4FC3">
        <w:t xml:space="preserve"> </w:t>
      </w:r>
      <w:r w:rsidR="00621DD5" w:rsidRPr="00382917">
        <w:t>assured</w:t>
      </w:r>
      <w:r w:rsidR="00EE4FC3">
        <w:t xml:space="preserve"> </w:t>
      </w:r>
      <w:r w:rsidR="00621DD5" w:rsidRPr="00382917">
        <w:t>the</w:t>
      </w:r>
      <w:r w:rsidR="00EE4FC3">
        <w:t xml:space="preserve"> </w:t>
      </w:r>
      <w:r w:rsidR="00621DD5" w:rsidRPr="00382917">
        <w:t>step-father</w:t>
      </w:r>
      <w:r w:rsidR="00EE4FC3">
        <w:t xml:space="preserve"> </w:t>
      </w:r>
      <w:r w:rsidR="00621DD5" w:rsidRPr="00382917">
        <w:t>of</w:t>
      </w:r>
      <w:r w:rsidR="00EE4FC3">
        <w:t xml:space="preserve"> </w:t>
      </w:r>
      <w:r w:rsidR="00621DD5" w:rsidRPr="00382917">
        <w:t>the</w:t>
      </w:r>
      <w:r w:rsidR="00EE4FC3">
        <w:t xml:space="preserve"> </w:t>
      </w:r>
      <w:r w:rsidR="00621DD5" w:rsidRPr="00382917">
        <w:t>boy</w:t>
      </w:r>
      <w:r w:rsidRPr="00382917">
        <w:t>’</w:t>
      </w:r>
      <w:r w:rsidR="00621DD5" w:rsidRPr="00382917">
        <w:t>s</w:t>
      </w:r>
      <w:r w:rsidR="00EE4FC3">
        <w:t xml:space="preserve"> </w:t>
      </w:r>
      <w:r w:rsidR="00621DD5" w:rsidRPr="00382917">
        <w:t>willingness</w:t>
      </w:r>
      <w:r w:rsidR="00EE4FC3">
        <w:t xml:space="preserve"> </w:t>
      </w:r>
      <w:r w:rsidR="00621DD5" w:rsidRPr="00382917">
        <w:t>to</w:t>
      </w:r>
      <w:r w:rsidR="00EE4FC3">
        <w:t xml:space="preserve"> </w:t>
      </w:r>
      <w:r w:rsidR="00621DD5" w:rsidRPr="00382917">
        <w:t>obey,</w:t>
      </w:r>
      <w:r w:rsidR="00EE4FC3">
        <w:t xml:space="preserve"> </w:t>
      </w:r>
      <w:r w:rsidR="00621DD5" w:rsidRPr="00382917">
        <w:t>and</w:t>
      </w:r>
      <w:r w:rsidR="00EE4FC3">
        <w:t xml:space="preserve"> </w:t>
      </w:r>
      <w:r w:rsidR="00621DD5" w:rsidRPr="00382917">
        <w:t>succeeded</w:t>
      </w:r>
      <w:r w:rsidR="00EE4FC3">
        <w:t xml:space="preserve"> </w:t>
      </w:r>
      <w:r w:rsidR="00621DD5" w:rsidRPr="00382917">
        <w:t>in</w:t>
      </w:r>
      <w:r w:rsidR="00EE4FC3">
        <w:t xml:space="preserve"> </w:t>
      </w:r>
      <w:r w:rsidR="00621DD5" w:rsidRPr="00382917">
        <w:t>obtaining</w:t>
      </w:r>
      <w:r w:rsidR="00EE4FC3">
        <w:t xml:space="preserve"> </w:t>
      </w:r>
      <w:r w:rsidR="00621DD5" w:rsidRPr="00382917">
        <w:t>his</w:t>
      </w:r>
      <w:r w:rsidR="00EE4FC3">
        <w:t xml:space="preserve"> </w:t>
      </w:r>
      <w:r w:rsidR="00621DD5" w:rsidRPr="00382917">
        <w:t>release</w:t>
      </w:r>
      <w:r w:rsidR="00EE4FC3">
        <w:t xml:space="preserve"> </w:t>
      </w:r>
      <w:r w:rsidR="00621DD5" w:rsidRPr="00382917">
        <w:t>from</w:t>
      </w:r>
      <w:r w:rsidR="00EE4FC3">
        <w:t xml:space="preserve"> </w:t>
      </w:r>
      <w:r w:rsidR="00621DD5" w:rsidRPr="00382917">
        <w:t>his</w:t>
      </w:r>
      <w:r w:rsidR="00EE4FC3">
        <w:t xml:space="preserve"> </w:t>
      </w:r>
      <w:r w:rsidR="00621DD5" w:rsidRPr="00382917">
        <w:t>confinement.</w:t>
      </w:r>
    </w:p>
    <w:p w:rsidR="00E13D49" w:rsidRPr="00382917" w:rsidRDefault="009C713D" w:rsidP="00E705E2">
      <w:pPr>
        <w:pStyle w:val="Text"/>
      </w:pPr>
      <w:r w:rsidRPr="00382917">
        <w:t>“</w:t>
      </w:r>
      <w:r w:rsidR="00621DD5" w:rsidRPr="00382917">
        <w:t>That</w:t>
      </w:r>
      <w:r w:rsidR="00EE4FC3">
        <w:t xml:space="preserve"> </w:t>
      </w:r>
      <w:r w:rsidR="00621DD5" w:rsidRPr="00382917">
        <w:t>youth</w:t>
      </w:r>
      <w:r w:rsidR="00EE4FC3">
        <w:t xml:space="preserve"> </w:t>
      </w:r>
      <w:r w:rsidR="00621DD5" w:rsidRPr="00382917">
        <w:t>continued</w:t>
      </w:r>
      <w:r w:rsidR="00EE4FC3">
        <w:t xml:space="preserve"> </w:t>
      </w:r>
      <w:r w:rsidR="00621DD5" w:rsidRPr="00382917">
        <w:t>until</w:t>
      </w:r>
      <w:r w:rsidR="00EE4FC3">
        <w:t xml:space="preserve"> </w:t>
      </w:r>
      <w:r w:rsidR="00621DD5" w:rsidRPr="00382917">
        <w:t>the</w:t>
      </w:r>
      <w:r w:rsidR="00EE4FC3">
        <w:t xml:space="preserve"> </w:t>
      </w:r>
      <w:r w:rsidR="00621DD5" w:rsidRPr="00382917">
        <w:t>day</w:t>
      </w:r>
      <w:r w:rsidR="00EE4FC3">
        <w:t xml:space="preserve"> </w:t>
      </w:r>
      <w:r w:rsidR="00621DD5" w:rsidRPr="00382917">
        <w:t>of</w:t>
      </w:r>
      <w:r w:rsidR="00EE4FC3">
        <w:t xml:space="preserve"> </w:t>
      </w:r>
      <w:r w:rsidR="00621DD5" w:rsidRPr="00382917">
        <w:t>his</w:t>
      </w:r>
      <w:r w:rsidR="00EE4FC3">
        <w:t xml:space="preserve"> </w:t>
      </w:r>
      <w:r w:rsidR="00621DD5" w:rsidRPr="00382917">
        <w:t>martyrdom</w:t>
      </w:r>
      <w:r w:rsidR="00EE4FC3">
        <w:t xml:space="preserve"> </w:t>
      </w:r>
      <w:r w:rsidR="00621DD5" w:rsidRPr="00382917">
        <w:t>to</w:t>
      </w:r>
      <w:r w:rsidR="00EE4FC3">
        <w:t xml:space="preserve"> </w:t>
      </w:r>
      <w:r w:rsidR="00621DD5" w:rsidRPr="00382917">
        <w:t>associate</w:t>
      </w:r>
      <w:r w:rsidR="00EE4FC3">
        <w:t xml:space="preserve"> </w:t>
      </w:r>
      <w:r w:rsidR="00621DD5" w:rsidRPr="00382917">
        <w:t>in</w:t>
      </w:r>
      <w:r w:rsidR="00EE4FC3">
        <w:t xml:space="preserve"> </w:t>
      </w:r>
      <w:r w:rsidR="00621DD5" w:rsidRPr="00382917">
        <w:t>a</w:t>
      </w:r>
      <w:r w:rsidR="00EE4FC3">
        <w:t xml:space="preserve"> </w:t>
      </w:r>
      <w:r w:rsidR="00621DD5" w:rsidRPr="00382917">
        <w:t>state</w:t>
      </w:r>
      <w:r w:rsidR="00EE4FC3">
        <w:t xml:space="preserve"> </w:t>
      </w:r>
      <w:r w:rsidR="00621DD5" w:rsidRPr="00382917">
        <w:t>of</w:t>
      </w:r>
      <w:r w:rsidR="00EE4FC3">
        <w:t xml:space="preserve"> </w:t>
      </w:r>
      <w:r w:rsidR="00621DD5" w:rsidRPr="00382917">
        <w:t>complete</w:t>
      </w:r>
      <w:r w:rsidR="00EE4FC3">
        <w:t xml:space="preserve"> </w:t>
      </w:r>
      <w:r w:rsidR="00621DD5" w:rsidRPr="00382917">
        <w:t>serenity</w:t>
      </w:r>
      <w:r w:rsidR="00EE4FC3">
        <w:t xml:space="preserve"> </w:t>
      </w:r>
      <w:r w:rsidR="00621DD5" w:rsidRPr="00382917">
        <w:t>and</w:t>
      </w:r>
      <w:r w:rsidR="00EE4FC3">
        <w:t xml:space="preserve"> </w:t>
      </w:r>
      <w:r w:rsidR="00621DD5" w:rsidRPr="00382917">
        <w:t>joy</w:t>
      </w:r>
      <w:r w:rsidR="00EE4FC3">
        <w:t xml:space="preserve"> </w:t>
      </w:r>
      <w:r w:rsidR="00621DD5" w:rsidRPr="00382917">
        <w:t>with</w:t>
      </w:r>
      <w:r w:rsidR="00EE4FC3">
        <w:t xml:space="preserve"> </w:t>
      </w:r>
      <w:r w:rsidR="00621DD5" w:rsidRPr="00382917">
        <w:t>his</w:t>
      </w:r>
      <w:r w:rsidR="00EE4FC3">
        <w:t xml:space="preserve"> </w:t>
      </w:r>
      <w:r w:rsidR="00621DD5" w:rsidRPr="00382917">
        <w:t>parents</w:t>
      </w:r>
      <w:r w:rsidR="00EE4FC3">
        <w:t xml:space="preserve"> </w:t>
      </w:r>
      <w:r w:rsidR="00621DD5" w:rsidRPr="00382917">
        <w:t>and</w:t>
      </w:r>
      <w:r w:rsidR="00EE4FC3">
        <w:t xml:space="preserve"> </w:t>
      </w:r>
      <w:r w:rsidR="00621DD5" w:rsidRPr="00382917">
        <w:t>kinsmen</w:t>
      </w:r>
      <w:r w:rsidR="00330AF7">
        <w:t>.</w:t>
      </w:r>
      <w:r w:rsidR="00EE4FC3">
        <w:t xml:space="preserve">  </w:t>
      </w:r>
      <w:r w:rsidR="00621DD5" w:rsidRPr="00382917">
        <w:t>Such</w:t>
      </w:r>
      <w:r w:rsidR="00EE4FC3">
        <w:t xml:space="preserve"> </w:t>
      </w:r>
      <w:r w:rsidR="00621DD5" w:rsidRPr="00382917">
        <w:t>was</w:t>
      </w:r>
      <w:r w:rsidR="00EE4FC3">
        <w:t xml:space="preserve"> </w:t>
      </w:r>
      <w:r w:rsidR="00621DD5" w:rsidRPr="00382917">
        <w:t>his</w:t>
      </w:r>
      <w:r w:rsidR="00EE4FC3">
        <w:t xml:space="preserve"> </w:t>
      </w:r>
      <w:proofErr w:type="spellStart"/>
      <w:r w:rsidR="00621DD5" w:rsidRPr="00382917">
        <w:t>behavior</w:t>
      </w:r>
      <w:proofErr w:type="spellEnd"/>
      <w:r w:rsidR="00EE4FC3">
        <w:t xml:space="preserve"> </w:t>
      </w:r>
      <w:r w:rsidR="00621DD5" w:rsidRPr="00382917">
        <w:t>towards</w:t>
      </w:r>
      <w:r w:rsidR="00EE4FC3">
        <w:t xml:space="preserve"> </w:t>
      </w:r>
      <w:r w:rsidR="00621DD5" w:rsidRPr="00382917">
        <w:t>his</w:t>
      </w:r>
      <w:r w:rsidR="00EE4FC3">
        <w:t xml:space="preserve"> </w:t>
      </w:r>
      <w:r w:rsidR="00621DD5" w:rsidRPr="00382917">
        <w:t>friends</w:t>
      </w:r>
      <w:r w:rsidR="00EE4FC3">
        <w:t xml:space="preserve"> </w:t>
      </w:r>
      <w:r w:rsidR="00621DD5" w:rsidRPr="00382917">
        <w:t>and</w:t>
      </w:r>
      <w:r w:rsidR="00EE4FC3">
        <w:t xml:space="preserve"> </w:t>
      </w:r>
      <w:r w:rsidR="00621DD5" w:rsidRPr="00382917">
        <w:t>relatives</w:t>
      </w:r>
      <w:r w:rsidR="00EE4FC3">
        <w:t xml:space="preserve"> </w:t>
      </w:r>
      <w:r w:rsidR="00621DD5" w:rsidRPr="00382917">
        <w:t>that,</w:t>
      </w:r>
      <w:r w:rsidR="00EE4FC3">
        <w:t xml:space="preserve"> </w:t>
      </w:r>
      <w:r w:rsidR="00621DD5" w:rsidRPr="00382917">
        <w:t>on</w:t>
      </w:r>
      <w:r w:rsidR="00EE4FC3">
        <w:t xml:space="preserve"> </w:t>
      </w:r>
      <w:r w:rsidR="00621DD5" w:rsidRPr="00382917">
        <w:t>the</w:t>
      </w:r>
      <w:r w:rsidR="00EE4FC3">
        <w:t xml:space="preserve"> </w:t>
      </w:r>
      <w:r w:rsidR="00621DD5" w:rsidRPr="00382917">
        <w:t>day</w:t>
      </w:r>
      <w:r w:rsidR="00EE4FC3">
        <w:t xml:space="preserve"> </w:t>
      </w:r>
      <w:r w:rsidR="00621DD5" w:rsidRPr="00382917">
        <w:t>he</w:t>
      </w:r>
      <w:r w:rsidR="00EE4FC3">
        <w:t xml:space="preserve"> </w:t>
      </w:r>
      <w:r w:rsidR="00621DD5" w:rsidRPr="00382917">
        <w:t>laid</w:t>
      </w:r>
      <w:r w:rsidR="00EE4FC3">
        <w:t xml:space="preserve"> </w:t>
      </w:r>
      <w:r w:rsidR="00621DD5" w:rsidRPr="00382917">
        <w:t>down</w:t>
      </w:r>
      <w:r w:rsidR="00EE4FC3">
        <w:t xml:space="preserve"> </w:t>
      </w:r>
      <w:r w:rsidR="00621DD5" w:rsidRPr="00382917">
        <w:t>his</w:t>
      </w:r>
      <w:r w:rsidR="00EE4FC3">
        <w:t xml:space="preserve"> </w:t>
      </w:r>
      <w:r w:rsidR="00621DD5" w:rsidRPr="00382917">
        <w:t>life</w:t>
      </w:r>
      <w:r w:rsidR="00EE4FC3">
        <w:t xml:space="preserve"> </w:t>
      </w:r>
      <w:r w:rsidR="00621DD5" w:rsidRPr="00382917">
        <w:t>for</w:t>
      </w:r>
      <w:r w:rsidR="00EE4FC3">
        <w:t xml:space="preserve"> </w:t>
      </w:r>
      <w:r w:rsidR="00621DD5" w:rsidRPr="00382917">
        <w:t>his</w:t>
      </w:r>
      <w:r w:rsidR="00EE4FC3">
        <w:t xml:space="preserve"> </w:t>
      </w:r>
      <w:r w:rsidR="00621DD5" w:rsidRPr="00382917">
        <w:t>Beloved,</w:t>
      </w:r>
      <w:r w:rsidR="00EE4FC3">
        <w:t xml:space="preserve"> </w:t>
      </w:r>
      <w:r w:rsidR="00621DD5" w:rsidRPr="00382917">
        <w:t>the</w:t>
      </w:r>
      <w:r w:rsidR="00EE4FC3">
        <w:t xml:space="preserve"> </w:t>
      </w:r>
      <w:r w:rsidR="00621DD5" w:rsidRPr="00382917">
        <w:t>people</w:t>
      </w:r>
      <w:r w:rsidR="00EE4FC3">
        <w:t xml:space="preserve"> </w:t>
      </w:r>
      <w:r w:rsidR="00621DD5" w:rsidRPr="00382917">
        <w:t>of</w:t>
      </w:r>
      <w:r w:rsidR="00EE4FC3">
        <w:t xml:space="preserve"> </w:t>
      </w:r>
      <w:r w:rsidR="00621DD5" w:rsidRPr="00382917">
        <w:t>Tabríz</w:t>
      </w:r>
      <w:r w:rsidR="00EE4FC3">
        <w:t xml:space="preserve"> </w:t>
      </w:r>
      <w:r w:rsidR="00621DD5" w:rsidRPr="00382917">
        <w:t>all</w:t>
      </w:r>
      <w:r w:rsidR="00EE4FC3">
        <w:t xml:space="preserve"> </w:t>
      </w:r>
      <w:r w:rsidR="00621DD5" w:rsidRPr="00382917">
        <w:t>wept</w:t>
      </w:r>
      <w:r w:rsidR="00EE4FC3">
        <w:t xml:space="preserve"> </w:t>
      </w:r>
      <w:r w:rsidR="00621DD5" w:rsidRPr="00382917">
        <w:t>and</w:t>
      </w:r>
      <w:r w:rsidR="00EE4FC3">
        <w:t xml:space="preserve"> </w:t>
      </w:r>
      <w:r w:rsidR="00621DD5" w:rsidRPr="00382917">
        <w:t>bewailed</w:t>
      </w:r>
      <w:r w:rsidR="00EE4FC3">
        <w:t xml:space="preserve"> </w:t>
      </w:r>
      <w:r w:rsidR="00621DD5" w:rsidRPr="00382917">
        <w:t>him.</w:t>
      </w:r>
      <w:r w:rsidRPr="00382917">
        <w:t>”</w:t>
      </w:r>
      <w:r w:rsidR="00E705E2">
        <w:rPr>
          <w:rStyle w:val="FootnoteReference"/>
        </w:rPr>
        <w:footnoteReference w:id="250"/>
      </w:r>
    </w:p>
    <w:p w:rsidR="00621DD5" w:rsidRPr="00382917" w:rsidRDefault="00621DD5" w:rsidP="00621DD5">
      <w:pPr>
        <w:pStyle w:val="Text"/>
      </w:pPr>
      <w:r w:rsidRPr="00382917">
        <w:t>The</w:t>
      </w:r>
      <w:r w:rsidR="00EE4FC3">
        <w:t xml:space="preserve"> </w:t>
      </w:r>
      <w:r w:rsidRPr="00382917">
        <w:t>young</w:t>
      </w:r>
      <w:r w:rsidR="00EE4FC3">
        <w:t xml:space="preserve"> </w:t>
      </w:r>
      <w:r w:rsidRPr="00382917">
        <w:t>man</w:t>
      </w:r>
      <w:r w:rsidR="009C713D" w:rsidRPr="00382917">
        <w:t>’</w:t>
      </w:r>
      <w:r w:rsidRPr="00382917">
        <w:t>s</w:t>
      </w:r>
      <w:r w:rsidR="00EE4FC3">
        <w:t xml:space="preserve"> </w:t>
      </w:r>
      <w:r w:rsidRPr="00382917">
        <w:t>confidence</w:t>
      </w:r>
      <w:r w:rsidR="00EE4FC3">
        <w:t xml:space="preserve"> </w:t>
      </w:r>
      <w:r w:rsidRPr="00382917">
        <w:t>in</w:t>
      </w:r>
      <w:r w:rsidR="00EE4FC3">
        <w:t xml:space="preserve"> </w:t>
      </w:r>
      <w:r w:rsidRPr="00382917">
        <w:t>his</w:t>
      </w:r>
      <w:r w:rsidR="00EE4FC3">
        <w:t xml:space="preserve"> </w:t>
      </w:r>
      <w:r w:rsidRPr="00382917">
        <w:t>vision</w:t>
      </w:r>
      <w:r w:rsidR="00EE4FC3">
        <w:t xml:space="preserve"> </w:t>
      </w:r>
      <w:r w:rsidRPr="00382917">
        <w:t>never</w:t>
      </w:r>
      <w:r w:rsidR="00EE4FC3">
        <w:t xml:space="preserve"> </w:t>
      </w:r>
      <w:r w:rsidRPr="00382917">
        <w:t>diminished,</w:t>
      </w:r>
      <w:r w:rsidR="00EE4FC3">
        <w:t xml:space="preserve"> </w:t>
      </w:r>
      <w:r w:rsidRPr="00382917">
        <w:t>and</w:t>
      </w:r>
      <w:r w:rsidR="00EE4FC3">
        <w:t xml:space="preserve"> </w:t>
      </w:r>
      <w:r w:rsidRPr="00382917">
        <w:t>the</w:t>
      </w:r>
      <w:r w:rsidR="00EE4FC3">
        <w:t xml:space="preserve"> </w:t>
      </w:r>
      <w:r w:rsidRPr="00382917">
        <w:t>day</w:t>
      </w:r>
      <w:r w:rsidR="00EE4FC3">
        <w:t xml:space="preserve"> </w:t>
      </w:r>
      <w:r w:rsidRPr="00382917">
        <w:t>came</w:t>
      </w:r>
      <w:r w:rsidR="00EE4FC3">
        <w:t xml:space="preserve"> </w:t>
      </w:r>
      <w:r w:rsidRPr="00382917">
        <w:t>at</w:t>
      </w:r>
      <w:r w:rsidR="00EE4FC3">
        <w:t xml:space="preserve"> </w:t>
      </w:r>
      <w:r w:rsidRPr="00382917">
        <w:t>last</w:t>
      </w:r>
      <w:r w:rsidR="00EE4FC3">
        <w:t xml:space="preserve"> </w:t>
      </w:r>
      <w:r w:rsidRPr="00382917">
        <w:t>when</w:t>
      </w:r>
      <w:r w:rsidR="00EE4FC3">
        <w:t xml:space="preserve"> </w:t>
      </w:r>
      <w:r w:rsidRPr="00382917">
        <w:t>he</w:t>
      </w:r>
      <w:r w:rsidR="00EE4FC3">
        <w:t xml:space="preserve"> </w:t>
      </w:r>
      <w:r w:rsidRPr="00382917">
        <w:t>saw</w:t>
      </w:r>
      <w:r w:rsidR="00EE4FC3">
        <w:t xml:space="preserve"> </w:t>
      </w:r>
      <w:r w:rsidRPr="00382917">
        <w:t>the</w:t>
      </w:r>
      <w:r w:rsidR="00EE4FC3">
        <w:t xml:space="preserve"> </w:t>
      </w:r>
      <w:r w:rsidRPr="00382917">
        <w:t>Báb</w:t>
      </w:r>
      <w:r w:rsidR="00EE4FC3">
        <w:t xml:space="preserve"> </w:t>
      </w:r>
      <w:r w:rsidRPr="00382917">
        <w:t>with</w:t>
      </w:r>
      <w:r w:rsidR="00EE4FC3">
        <w:t xml:space="preserve"> </w:t>
      </w:r>
      <w:r w:rsidRPr="00382917">
        <w:t>his</w:t>
      </w:r>
      <w:r w:rsidR="00EE4FC3">
        <w:t xml:space="preserve"> </w:t>
      </w:r>
      <w:r w:rsidRPr="00382917">
        <w:t>own</w:t>
      </w:r>
      <w:r w:rsidR="00EE4FC3">
        <w:t xml:space="preserve"> </w:t>
      </w:r>
      <w:r w:rsidRPr="00382917">
        <w:t>eyes</w:t>
      </w:r>
      <w:r w:rsidR="00EE4FC3">
        <w:t xml:space="preserve"> </w:t>
      </w:r>
      <w:r w:rsidRPr="00382917">
        <w:t>in</w:t>
      </w:r>
      <w:r w:rsidR="00EE4FC3">
        <w:t xml:space="preserve"> </w:t>
      </w:r>
      <w:r w:rsidRPr="00382917">
        <w:t>the</w:t>
      </w:r>
      <w:r w:rsidR="00EE4FC3">
        <w:t xml:space="preserve"> </w:t>
      </w:r>
      <w:r w:rsidRPr="00382917">
        <w:t>barracks</w:t>
      </w:r>
      <w:r w:rsidR="00EE4FC3">
        <w:t xml:space="preserve"> </w:t>
      </w:r>
      <w:r w:rsidRPr="00382917">
        <w:t>courtyard</w:t>
      </w:r>
      <w:r w:rsidR="00330AF7">
        <w:t>.</w:t>
      </w:r>
      <w:r w:rsidR="00EE4FC3">
        <w:t xml:space="preserve">  </w:t>
      </w:r>
      <w:r w:rsidRPr="00382917">
        <w:t>He</w:t>
      </w:r>
      <w:r w:rsidR="00EE4FC3">
        <w:t xml:space="preserve"> </w:t>
      </w:r>
      <w:r w:rsidRPr="00382917">
        <w:t>flung</w:t>
      </w:r>
      <w:r w:rsidR="00EE4FC3">
        <w:t xml:space="preserve"> </w:t>
      </w:r>
      <w:r w:rsidRPr="00382917">
        <w:t>himself</w:t>
      </w:r>
      <w:r w:rsidR="00EE4FC3">
        <w:t xml:space="preserve"> </w:t>
      </w:r>
      <w:r w:rsidRPr="00382917">
        <w:t>at</w:t>
      </w:r>
      <w:r w:rsidR="00EE4FC3">
        <w:t xml:space="preserve"> </w:t>
      </w:r>
      <w:r w:rsidRPr="00382917">
        <w:t>His</w:t>
      </w:r>
      <w:r w:rsidR="00EE4FC3">
        <w:t xml:space="preserve"> </w:t>
      </w:r>
      <w:r w:rsidRPr="00382917">
        <w:t>feet,</w:t>
      </w:r>
      <w:r w:rsidR="00EE4FC3">
        <w:t xml:space="preserve"> </w:t>
      </w:r>
      <w:r w:rsidRPr="00382917">
        <w:t>looked</w:t>
      </w:r>
      <w:r w:rsidR="00EE4FC3">
        <w:t xml:space="preserve"> </w:t>
      </w:r>
      <w:r w:rsidRPr="00382917">
        <w:t>up</w:t>
      </w:r>
      <w:r w:rsidR="00EE4FC3">
        <w:t xml:space="preserve"> </w:t>
      </w:r>
      <w:r w:rsidRPr="00382917">
        <w:t>at</w:t>
      </w:r>
      <w:r w:rsidR="00EE4FC3">
        <w:t xml:space="preserve"> </w:t>
      </w:r>
      <w:r w:rsidRPr="00382917">
        <w:t>that</w:t>
      </w:r>
      <w:r w:rsidR="00EE4FC3">
        <w:t xml:space="preserve"> </w:t>
      </w:r>
      <w:r w:rsidRPr="00382917">
        <w:t>wondrous</w:t>
      </w:r>
      <w:r w:rsidR="00EE4FC3">
        <w:t xml:space="preserve"> </w:t>
      </w:r>
      <w:r w:rsidRPr="00382917">
        <w:t>smile</w:t>
      </w:r>
      <w:r w:rsidR="00EE4FC3">
        <w:t xml:space="preserve"> </w:t>
      </w:r>
      <w:r w:rsidRPr="00382917">
        <w:t>he</w:t>
      </w:r>
      <w:r w:rsidR="00EE4FC3">
        <w:t xml:space="preserve"> </w:t>
      </w:r>
      <w:r w:rsidRPr="00382917">
        <w:t>knew</w:t>
      </w:r>
      <w:r w:rsidR="00EE4FC3">
        <w:t xml:space="preserve"> </w:t>
      </w:r>
      <w:r w:rsidRPr="00382917">
        <w:t>so</w:t>
      </w:r>
      <w:r w:rsidR="00EE4FC3">
        <w:t xml:space="preserve"> </w:t>
      </w:r>
      <w:r w:rsidRPr="00382917">
        <w:t>well,</w:t>
      </w:r>
      <w:r w:rsidR="00EE4FC3">
        <w:t xml:space="preserve"> </w:t>
      </w:r>
      <w:r w:rsidRPr="00382917">
        <w:t>and</w:t>
      </w:r>
      <w:r w:rsidR="00EE4FC3">
        <w:t xml:space="preserve"> </w:t>
      </w:r>
      <w:r w:rsidRPr="00382917">
        <w:t>heard</w:t>
      </w:r>
      <w:r w:rsidR="00EE4FC3">
        <w:t xml:space="preserve"> </w:t>
      </w:r>
      <w:r w:rsidRPr="00382917">
        <w:t>the</w:t>
      </w:r>
      <w:r w:rsidR="00EE4FC3">
        <w:t xml:space="preserve"> </w:t>
      </w:r>
      <w:r w:rsidRPr="00382917">
        <w:t>Báb</w:t>
      </w:r>
      <w:r w:rsidR="00EE4FC3">
        <w:t xml:space="preserve"> </w:t>
      </w:r>
      <w:proofErr w:type="spellStart"/>
      <w:r w:rsidRPr="00382917">
        <w:t>fulfill</w:t>
      </w:r>
      <w:proofErr w:type="spellEnd"/>
      <w:r w:rsidR="00EE4FC3">
        <w:t xml:space="preserve"> </w:t>
      </w:r>
      <w:r w:rsidRPr="00382917">
        <w:t>His</w:t>
      </w:r>
      <w:r w:rsidR="00EE4FC3">
        <w:t xml:space="preserve"> </w:t>
      </w:r>
      <w:r w:rsidRPr="00382917">
        <w:t>promise</w:t>
      </w:r>
      <w:r w:rsidR="00EE4FC3">
        <w:t xml:space="preserve"> </w:t>
      </w:r>
      <w:r w:rsidRPr="00382917">
        <w:t>with</w:t>
      </w:r>
      <w:r w:rsidR="00EE4FC3">
        <w:t xml:space="preserve"> </w:t>
      </w:r>
      <w:r w:rsidRPr="00382917">
        <w:t>the</w:t>
      </w:r>
      <w:r w:rsidR="00EE4FC3">
        <w:t xml:space="preserve"> </w:t>
      </w:r>
      <w:r w:rsidRPr="00382917">
        <w:t>words</w:t>
      </w:r>
      <w:r w:rsidR="00C03C91">
        <w:t>:</w:t>
      </w:r>
      <w:r w:rsidR="00EE4FC3">
        <w:t xml:space="preserve">  </w:t>
      </w:r>
      <w:r w:rsidR="009C713D" w:rsidRPr="00382917">
        <w:t>“</w:t>
      </w:r>
      <w:r w:rsidRPr="00382917">
        <w:t>Arise,</w:t>
      </w:r>
      <w:r w:rsidR="00EE4FC3">
        <w:t xml:space="preserve"> </w:t>
      </w:r>
      <w:r w:rsidRPr="00382917">
        <w:t>you</w:t>
      </w:r>
      <w:r w:rsidR="00EE4FC3">
        <w:t xml:space="preserve"> </w:t>
      </w:r>
      <w:r w:rsidRPr="00382917">
        <w:t>shall</w:t>
      </w:r>
      <w:r w:rsidR="00EE4FC3">
        <w:t xml:space="preserve"> </w:t>
      </w:r>
      <w:r w:rsidRPr="00382917">
        <w:t>be</w:t>
      </w:r>
      <w:r w:rsidR="00EE4FC3">
        <w:t xml:space="preserve"> </w:t>
      </w:r>
      <w:r w:rsidRPr="00382917">
        <w:t>with</w:t>
      </w:r>
      <w:r w:rsidR="00EE4FC3">
        <w:t xml:space="preserve"> </w:t>
      </w:r>
      <w:proofErr w:type="gramStart"/>
      <w:r w:rsidRPr="00382917">
        <w:t>Me</w:t>
      </w:r>
      <w:proofErr w:type="gramEnd"/>
      <w:r w:rsidRPr="00382917">
        <w:t>.</w:t>
      </w:r>
      <w:r w:rsidR="009C713D" w:rsidRPr="00382917">
        <w:t>”</w:t>
      </w:r>
    </w:p>
    <w:p w:rsidR="00621DD5" w:rsidRPr="00382917" w:rsidRDefault="00621DD5" w:rsidP="0009604B">
      <w:pPr>
        <w:pStyle w:val="Text"/>
      </w:pPr>
      <w:r w:rsidRPr="00382917">
        <w:t>On</w:t>
      </w:r>
      <w:r w:rsidR="00EE4FC3">
        <w:t xml:space="preserve"> </w:t>
      </w:r>
      <w:r w:rsidRPr="00382917">
        <w:t>that</w:t>
      </w:r>
      <w:r w:rsidR="00EE4FC3">
        <w:t xml:space="preserve"> </w:t>
      </w:r>
      <w:r w:rsidRPr="00382917">
        <w:t>last</w:t>
      </w:r>
      <w:r w:rsidR="00EE4FC3">
        <w:t xml:space="preserve"> </w:t>
      </w:r>
      <w:r w:rsidRPr="00382917">
        <w:t>night</w:t>
      </w:r>
      <w:r w:rsidR="00EE4FC3">
        <w:t xml:space="preserve"> </w:t>
      </w:r>
      <w:r w:rsidRPr="00382917">
        <w:t>in</w:t>
      </w:r>
      <w:r w:rsidR="00EE4FC3">
        <w:t xml:space="preserve"> </w:t>
      </w:r>
      <w:r w:rsidRPr="00382917">
        <w:t>His</w:t>
      </w:r>
      <w:r w:rsidR="00EE4FC3">
        <w:t xml:space="preserve"> </w:t>
      </w:r>
      <w:r w:rsidRPr="00382917">
        <w:t>barracks</w:t>
      </w:r>
      <w:r w:rsidR="00EE4FC3">
        <w:t xml:space="preserve"> </w:t>
      </w:r>
      <w:r w:rsidRPr="00382917">
        <w:t>cell,</w:t>
      </w:r>
      <w:r w:rsidR="00EE4FC3">
        <w:t xml:space="preserve"> </w:t>
      </w:r>
      <w:r w:rsidRPr="00382917">
        <w:t>the</w:t>
      </w:r>
      <w:r w:rsidR="00EE4FC3">
        <w:t xml:space="preserve"> </w:t>
      </w:r>
      <w:r w:rsidRPr="00382917">
        <w:t>face</w:t>
      </w:r>
      <w:r w:rsidR="00EE4FC3">
        <w:t xml:space="preserve"> </w:t>
      </w:r>
      <w:r w:rsidRPr="00382917">
        <w:t>of</w:t>
      </w:r>
      <w:r w:rsidR="00EE4FC3">
        <w:t xml:space="preserve"> </w:t>
      </w:r>
      <w:r w:rsidRPr="00382917">
        <w:t>the</w:t>
      </w:r>
      <w:r w:rsidR="00EE4FC3">
        <w:t xml:space="preserve"> </w:t>
      </w:r>
      <w:r w:rsidRPr="00382917">
        <w:t>Báb</w:t>
      </w:r>
      <w:r w:rsidR="00EE4FC3">
        <w:t xml:space="preserve"> </w:t>
      </w:r>
      <w:r w:rsidRPr="00382917">
        <w:t>was</w:t>
      </w:r>
      <w:r w:rsidR="00EE4FC3">
        <w:t xml:space="preserve"> </w:t>
      </w:r>
      <w:r w:rsidRPr="00382917">
        <w:t>aglow</w:t>
      </w:r>
      <w:r w:rsidR="00EE4FC3">
        <w:t xml:space="preserve"> </w:t>
      </w:r>
      <w:r w:rsidRPr="00382917">
        <w:t>with</w:t>
      </w:r>
      <w:r w:rsidR="00EE4FC3">
        <w:t xml:space="preserve"> </w:t>
      </w:r>
      <w:r w:rsidRPr="00382917">
        <w:t>a</w:t>
      </w:r>
      <w:r w:rsidR="00EE4FC3">
        <w:t xml:space="preserve"> </w:t>
      </w:r>
      <w:r w:rsidRPr="00382917">
        <w:t>joy</w:t>
      </w:r>
      <w:r w:rsidR="00EE4FC3">
        <w:t xml:space="preserve"> </w:t>
      </w:r>
      <w:r w:rsidRPr="00382917">
        <w:t>such</w:t>
      </w:r>
      <w:r w:rsidR="00EE4FC3">
        <w:t xml:space="preserve"> </w:t>
      </w:r>
      <w:r w:rsidRPr="00382917">
        <w:t>as</w:t>
      </w:r>
      <w:r w:rsidR="00EE4FC3">
        <w:t xml:space="preserve"> </w:t>
      </w:r>
      <w:r w:rsidRPr="00382917">
        <w:t>had</w:t>
      </w:r>
      <w:r w:rsidR="00EE4FC3">
        <w:t xml:space="preserve"> </w:t>
      </w:r>
      <w:r w:rsidRPr="00382917">
        <w:t>never</w:t>
      </w:r>
      <w:r w:rsidR="00EE4FC3">
        <w:t xml:space="preserve"> </w:t>
      </w:r>
      <w:r w:rsidRPr="00382917">
        <w:t>shone</w:t>
      </w:r>
      <w:r w:rsidR="00EE4FC3">
        <w:t xml:space="preserve"> </w:t>
      </w:r>
      <w:r w:rsidRPr="00382917">
        <w:t>from</w:t>
      </w:r>
      <w:r w:rsidR="00EE4FC3">
        <w:t xml:space="preserve"> </w:t>
      </w:r>
      <w:r w:rsidRPr="00382917">
        <w:t>His</w:t>
      </w:r>
      <w:r w:rsidR="00EE4FC3">
        <w:t xml:space="preserve"> </w:t>
      </w:r>
      <w:r w:rsidRPr="00382917">
        <w:t>face</w:t>
      </w:r>
      <w:r w:rsidR="00EE4FC3">
        <w:t xml:space="preserve"> </w:t>
      </w:r>
      <w:r w:rsidRPr="00382917">
        <w:t>before</w:t>
      </w:r>
      <w:r w:rsidR="00330AF7">
        <w:t>.</w:t>
      </w:r>
      <w:r w:rsidR="00EE4FC3">
        <w:t xml:space="preserve">  </w:t>
      </w:r>
      <w:r w:rsidRPr="00382917">
        <w:t>Dr</w:t>
      </w:r>
      <w:r w:rsidR="00EE4FC3">
        <w:t xml:space="preserve"> </w:t>
      </w:r>
      <w:r w:rsidRPr="00382917">
        <w:t>T.</w:t>
      </w:r>
      <w:r w:rsidR="00EE4FC3">
        <w:t xml:space="preserve"> </w:t>
      </w:r>
      <w:r w:rsidRPr="00382917">
        <w:t>K.</w:t>
      </w:r>
      <w:r w:rsidR="00EE4FC3">
        <w:t xml:space="preserve"> </w:t>
      </w:r>
      <w:r w:rsidRPr="00382917">
        <w:t>Cheyne</w:t>
      </w:r>
      <w:r w:rsidR="00EE4FC3">
        <w:t xml:space="preserve"> </w:t>
      </w:r>
      <w:r w:rsidRPr="00382917">
        <w:t>in</w:t>
      </w:r>
      <w:r w:rsidR="00EE4FC3">
        <w:t xml:space="preserve"> </w:t>
      </w:r>
      <w:r w:rsidRPr="00382917">
        <w:t>his</w:t>
      </w:r>
      <w:r w:rsidR="00EE4FC3">
        <w:t xml:space="preserve"> </w:t>
      </w:r>
      <w:r w:rsidRPr="00382917">
        <w:t>account</w:t>
      </w:r>
      <w:r w:rsidR="00EE4FC3">
        <w:t xml:space="preserve"> </w:t>
      </w:r>
      <w:r w:rsidRPr="00382917">
        <w:t>of</w:t>
      </w:r>
      <w:r w:rsidR="00EE4FC3">
        <w:t xml:space="preserve"> </w:t>
      </w:r>
      <w:r w:rsidRPr="00382917">
        <w:t>the</w:t>
      </w:r>
      <w:r w:rsidR="00EE4FC3">
        <w:t xml:space="preserve"> </w:t>
      </w:r>
      <w:r w:rsidRPr="00382917">
        <w:t>Báb</w:t>
      </w:r>
      <w:r w:rsidR="00EE4FC3">
        <w:t xml:space="preserve"> </w:t>
      </w:r>
      <w:r w:rsidRPr="00382917">
        <w:t>writes</w:t>
      </w:r>
      <w:r w:rsidR="00C03C91">
        <w:t>:</w:t>
      </w:r>
      <w:r w:rsidR="00EE4FC3">
        <w:t xml:space="preserve">  </w:t>
      </w:r>
      <w:r w:rsidR="009C713D" w:rsidRPr="00382917">
        <w:t>“</w:t>
      </w:r>
      <w:r w:rsidRPr="00382917">
        <w:t>We</w:t>
      </w:r>
      <w:r w:rsidR="00EE4FC3">
        <w:t xml:space="preserve"> </w:t>
      </w:r>
      <w:r w:rsidRPr="00382917">
        <w:t>learn</w:t>
      </w:r>
      <w:r w:rsidR="00EE4FC3">
        <w:t xml:space="preserve"> </w:t>
      </w:r>
      <w:r w:rsidRPr="00382917">
        <w:t>that,</w:t>
      </w:r>
      <w:r w:rsidR="00EE4FC3">
        <w:t xml:space="preserve"> </w:t>
      </w:r>
      <w:r w:rsidRPr="00382917">
        <w:t>at</w:t>
      </w:r>
      <w:r w:rsidR="00EE4FC3">
        <w:t xml:space="preserve"> </w:t>
      </w:r>
      <w:r w:rsidRPr="00382917">
        <w:t>great</w:t>
      </w:r>
      <w:r w:rsidR="00EE4FC3">
        <w:t xml:space="preserve"> </w:t>
      </w:r>
      <w:r w:rsidRPr="00382917">
        <w:t>points</w:t>
      </w:r>
      <w:r w:rsidR="00EE4FC3">
        <w:t xml:space="preserve"> </w:t>
      </w:r>
      <w:r w:rsidRPr="00382917">
        <w:t>in</w:t>
      </w:r>
      <w:r w:rsidR="00EE4FC3">
        <w:t xml:space="preserve"> </w:t>
      </w:r>
      <w:r w:rsidRPr="00382917">
        <w:t>his</w:t>
      </w:r>
      <w:r w:rsidR="00EE4FC3">
        <w:t xml:space="preserve"> </w:t>
      </w:r>
      <w:r w:rsidRPr="00382917">
        <w:t>career</w:t>
      </w:r>
      <w:r w:rsidR="00EE4FC3">
        <w:t xml:space="preserve"> </w:t>
      </w:r>
      <w:r w:rsidR="00F04416" w:rsidRPr="00382917">
        <w:t>…</w:t>
      </w:r>
      <w:r w:rsidR="00EE4FC3">
        <w:t xml:space="preserve"> </w:t>
      </w:r>
      <w:r w:rsidRPr="00382917">
        <w:t>such</w:t>
      </w:r>
      <w:r w:rsidR="00EE4FC3">
        <w:t xml:space="preserve"> </w:t>
      </w:r>
      <w:r w:rsidRPr="00382917">
        <w:t>radiance</w:t>
      </w:r>
      <w:r w:rsidR="00EE4FC3">
        <w:t xml:space="preserve"> </w:t>
      </w:r>
      <w:r w:rsidRPr="00382917">
        <w:t>of</w:t>
      </w:r>
      <w:r w:rsidR="00EE4FC3">
        <w:t xml:space="preserve"> </w:t>
      </w:r>
      <w:r w:rsidRPr="00382917">
        <w:t>might</w:t>
      </w:r>
      <w:r w:rsidR="00EE4FC3">
        <w:t xml:space="preserve"> </w:t>
      </w:r>
      <w:r w:rsidRPr="00382917">
        <w:t>and</w:t>
      </w:r>
      <w:r w:rsidR="00EE4FC3">
        <w:t xml:space="preserve"> </w:t>
      </w:r>
      <w:r w:rsidRPr="00382917">
        <w:t>majesty</w:t>
      </w:r>
      <w:r w:rsidR="00EE4FC3">
        <w:t xml:space="preserve"> </w:t>
      </w:r>
      <w:r w:rsidRPr="00382917">
        <w:t>streamed</w:t>
      </w:r>
      <w:r w:rsidR="00EE4FC3">
        <w:t xml:space="preserve"> </w:t>
      </w:r>
      <w:r w:rsidRPr="00382917">
        <w:t>from</w:t>
      </w:r>
      <w:r w:rsidR="00EE4FC3">
        <w:t xml:space="preserve"> </w:t>
      </w:r>
      <w:r w:rsidRPr="00382917">
        <w:t>his</w:t>
      </w:r>
      <w:r w:rsidR="00EE4FC3">
        <w:t xml:space="preserve"> </w:t>
      </w:r>
      <w:r w:rsidRPr="00382917">
        <w:t>countenance</w:t>
      </w:r>
      <w:r w:rsidR="00EE4FC3">
        <w:t xml:space="preserve"> </w:t>
      </w:r>
      <w:r w:rsidRPr="00382917">
        <w:t>that</w:t>
      </w:r>
      <w:r w:rsidR="00EE4FC3">
        <w:t xml:space="preserve"> </w:t>
      </w:r>
      <w:r w:rsidRPr="00382917">
        <w:t>none</w:t>
      </w:r>
      <w:r w:rsidR="00EE4FC3">
        <w:t xml:space="preserve"> </w:t>
      </w:r>
      <w:r w:rsidRPr="00382917">
        <w:t>could</w:t>
      </w:r>
      <w:r w:rsidR="00EE4FC3">
        <w:t xml:space="preserve"> </w:t>
      </w:r>
      <w:r w:rsidRPr="00382917">
        <w:t>bear</w:t>
      </w:r>
      <w:r w:rsidR="00EE4FC3">
        <w:t xml:space="preserve"> </w:t>
      </w:r>
      <w:r w:rsidRPr="00382917">
        <w:t>to</w:t>
      </w:r>
      <w:r w:rsidR="00EE4FC3">
        <w:t xml:space="preserve"> </w:t>
      </w:r>
      <w:r w:rsidRPr="00382917">
        <w:t>look</w:t>
      </w:r>
      <w:r w:rsidR="00EE4FC3">
        <w:t xml:space="preserve"> </w:t>
      </w:r>
      <w:r w:rsidRPr="00382917">
        <w:t>upon</w:t>
      </w:r>
      <w:r w:rsidR="00EE4FC3">
        <w:t xml:space="preserve"> </w:t>
      </w:r>
      <w:r w:rsidRPr="00382917">
        <w:t>the</w:t>
      </w:r>
      <w:r w:rsidR="00EE4FC3">
        <w:t xml:space="preserve"> </w:t>
      </w:r>
      <w:r w:rsidRPr="00382917">
        <w:t>effulgence</w:t>
      </w:r>
      <w:r w:rsidR="00EE4FC3">
        <w:t xml:space="preserve"> </w:t>
      </w:r>
      <w:r w:rsidRPr="00382917">
        <w:t>of</w:t>
      </w:r>
      <w:r w:rsidR="00EE4FC3">
        <w:t xml:space="preserve"> </w:t>
      </w:r>
      <w:r w:rsidRPr="00382917">
        <w:t>his</w:t>
      </w:r>
      <w:r w:rsidR="00EE4FC3">
        <w:t xml:space="preserve"> </w:t>
      </w:r>
      <w:r w:rsidRPr="00382917">
        <w:t>glory</w:t>
      </w:r>
      <w:r w:rsidR="00EE4FC3">
        <w:t xml:space="preserve"> </w:t>
      </w:r>
      <w:r w:rsidRPr="00382917">
        <w:t>and</w:t>
      </w:r>
      <w:r w:rsidR="00EE4FC3">
        <w:t xml:space="preserve"> </w:t>
      </w:r>
      <w:r w:rsidRPr="00382917">
        <w:t>beauty</w:t>
      </w:r>
      <w:r w:rsidR="00330AF7">
        <w:t>.</w:t>
      </w:r>
      <w:r w:rsidR="00EE4FC3">
        <w:t xml:space="preserve">  </w:t>
      </w:r>
      <w:r w:rsidRPr="00382917">
        <w:t>Nor</w:t>
      </w:r>
      <w:r w:rsidR="00EE4FC3">
        <w:t xml:space="preserve"> </w:t>
      </w:r>
      <w:r w:rsidRPr="00382917">
        <w:t>was</w:t>
      </w:r>
      <w:r w:rsidR="00EE4FC3">
        <w:t xml:space="preserve"> </w:t>
      </w:r>
      <w:r w:rsidRPr="00382917">
        <w:t>it</w:t>
      </w:r>
      <w:r w:rsidR="00EE4FC3">
        <w:t xml:space="preserve"> </w:t>
      </w:r>
      <w:r w:rsidRPr="00382917">
        <w:t>an</w:t>
      </w:r>
      <w:r w:rsidR="00EE4FC3">
        <w:t xml:space="preserve"> </w:t>
      </w:r>
      <w:r w:rsidRPr="00382917">
        <w:t>uncommon</w:t>
      </w:r>
      <w:r w:rsidR="00EE4FC3">
        <w:t xml:space="preserve"> </w:t>
      </w:r>
      <w:r w:rsidRPr="00382917">
        <w:t>occurrence</w:t>
      </w:r>
      <w:r w:rsidR="00EE4FC3">
        <w:t xml:space="preserve"> </w:t>
      </w:r>
      <w:r w:rsidRPr="00382917">
        <w:t>for</w:t>
      </w:r>
      <w:r w:rsidR="00EE4FC3">
        <w:t xml:space="preserve"> </w:t>
      </w:r>
      <w:r w:rsidRPr="00382917">
        <w:t>unbelievers</w:t>
      </w:r>
      <w:r w:rsidR="00EE4FC3">
        <w:t xml:space="preserve"> </w:t>
      </w:r>
      <w:r w:rsidRPr="00382917">
        <w:t>to</w:t>
      </w:r>
      <w:r w:rsidR="00EE4FC3">
        <w:t xml:space="preserve"> </w:t>
      </w:r>
      <w:r w:rsidRPr="00382917">
        <w:t>bow</w:t>
      </w:r>
      <w:r w:rsidR="00EE4FC3">
        <w:t xml:space="preserve"> </w:t>
      </w:r>
      <w:r w:rsidRPr="00382917">
        <w:t>down</w:t>
      </w:r>
      <w:r w:rsidR="00EE4FC3">
        <w:t xml:space="preserve"> </w:t>
      </w:r>
      <w:r w:rsidRPr="00382917">
        <w:t>in</w:t>
      </w:r>
      <w:r w:rsidR="00EE4FC3">
        <w:t xml:space="preserve"> </w:t>
      </w:r>
      <w:r w:rsidRPr="00382917">
        <w:t>lowly</w:t>
      </w:r>
      <w:r w:rsidR="00EE4FC3">
        <w:t xml:space="preserve"> </w:t>
      </w:r>
      <w:r w:rsidRPr="00382917">
        <w:t>obeisance</w:t>
      </w:r>
      <w:r w:rsidR="00EE4FC3">
        <w:t xml:space="preserve"> </w:t>
      </w:r>
      <w:r w:rsidRPr="00382917">
        <w:t>on</w:t>
      </w:r>
      <w:r w:rsidR="00EE4FC3">
        <w:t xml:space="preserve"> </w:t>
      </w:r>
      <w:r w:rsidRPr="00382917">
        <w:t>beholding</w:t>
      </w:r>
      <w:r w:rsidR="00EE4FC3">
        <w:t xml:space="preserve"> </w:t>
      </w:r>
      <w:r w:rsidRPr="00382917">
        <w:t>His</w:t>
      </w:r>
      <w:r w:rsidR="00EE4FC3">
        <w:t xml:space="preserve"> </w:t>
      </w:r>
      <w:r w:rsidRPr="00382917">
        <w:t>holiness.</w:t>
      </w:r>
      <w:r w:rsidR="009C713D" w:rsidRPr="00382917">
        <w:t>”</w:t>
      </w:r>
      <w:r w:rsidR="0009604B">
        <w:rPr>
          <w:rStyle w:val="FootnoteReference"/>
        </w:rPr>
        <w:footnoteReference w:id="251"/>
      </w:r>
    </w:p>
    <w:p w:rsidR="00621DD5" w:rsidRPr="00382917" w:rsidRDefault="00621DD5" w:rsidP="00621DD5">
      <w:pPr>
        <w:pStyle w:val="Text"/>
      </w:pPr>
      <w:r w:rsidRPr="00382917">
        <w:t>Siyyid</w:t>
      </w:r>
      <w:r w:rsidR="00EE4FC3">
        <w:t xml:space="preserve"> </w:t>
      </w:r>
      <w:r w:rsidR="00964C11" w:rsidRPr="00382917">
        <w:t>Ḥusayn</w:t>
      </w:r>
      <w:r w:rsidR="00EE4FC3">
        <w:t xml:space="preserve"> </w:t>
      </w:r>
      <w:r w:rsidRPr="00382917">
        <w:t>has</w:t>
      </w:r>
      <w:r w:rsidR="00EE4FC3">
        <w:t xml:space="preserve"> </w:t>
      </w:r>
      <w:r w:rsidRPr="00382917">
        <w:t>left</w:t>
      </w:r>
      <w:r w:rsidR="00EE4FC3">
        <w:t xml:space="preserve"> </w:t>
      </w:r>
      <w:r w:rsidRPr="00382917">
        <w:t>the</w:t>
      </w:r>
      <w:r w:rsidR="00EE4FC3">
        <w:t xml:space="preserve"> </w:t>
      </w:r>
      <w:r w:rsidRPr="00382917">
        <w:t>following</w:t>
      </w:r>
      <w:r w:rsidR="00EE4FC3">
        <w:t xml:space="preserve"> </w:t>
      </w:r>
      <w:r w:rsidRPr="00382917">
        <w:t>eye-witness</w:t>
      </w:r>
      <w:r w:rsidR="00EE4FC3">
        <w:t xml:space="preserve"> </w:t>
      </w:r>
      <w:r w:rsidRPr="00382917">
        <w:t>account</w:t>
      </w:r>
      <w:r w:rsidR="00EE4FC3">
        <w:t xml:space="preserve"> </w:t>
      </w:r>
      <w:r w:rsidRPr="00382917">
        <w:t>of</w:t>
      </w:r>
      <w:r w:rsidR="00EE4FC3">
        <w:t xml:space="preserve"> </w:t>
      </w:r>
      <w:r w:rsidRPr="00382917">
        <w:t>the</w:t>
      </w:r>
      <w:r w:rsidR="00EE4FC3">
        <w:t xml:space="preserve"> </w:t>
      </w:r>
      <w:r w:rsidRPr="00382917">
        <w:t>Báb</w:t>
      </w:r>
      <w:r w:rsidR="009C713D" w:rsidRPr="00382917">
        <w:t>’</w:t>
      </w:r>
      <w:r w:rsidRPr="00382917">
        <w:t>s</w:t>
      </w:r>
      <w:r w:rsidR="00EE4FC3">
        <w:t xml:space="preserve"> </w:t>
      </w:r>
      <w:r w:rsidRPr="00382917">
        <w:t>last</w:t>
      </w:r>
      <w:r w:rsidR="00EE4FC3">
        <w:t xml:space="preserve"> </w:t>
      </w:r>
      <w:r w:rsidRPr="00382917">
        <w:t>night</w:t>
      </w:r>
      <w:r w:rsidR="00EE4FC3">
        <w:t xml:space="preserve"> </w:t>
      </w:r>
      <w:r w:rsidRPr="00382917">
        <w:t>on</w:t>
      </w:r>
      <w:r w:rsidR="00EE4FC3">
        <w:t xml:space="preserve"> </w:t>
      </w:r>
      <w:r w:rsidRPr="00382917">
        <w:t>earth:</w:t>
      </w:r>
    </w:p>
    <w:p w:rsidR="00621DD5" w:rsidRPr="00382917" w:rsidRDefault="009C713D" w:rsidP="00621DD5">
      <w:pPr>
        <w:pStyle w:val="Text"/>
      </w:pPr>
      <w:r w:rsidRPr="00382917">
        <w:t>“</w:t>
      </w:r>
      <w:r w:rsidR="00621DD5" w:rsidRPr="00382917">
        <w:t>Indifferent</w:t>
      </w:r>
      <w:r w:rsidR="00EE4FC3">
        <w:t xml:space="preserve"> </w:t>
      </w:r>
      <w:r w:rsidR="00621DD5" w:rsidRPr="00382917">
        <w:t>to</w:t>
      </w:r>
      <w:r w:rsidR="00EE4FC3">
        <w:t xml:space="preserve"> </w:t>
      </w:r>
      <w:r w:rsidR="00621DD5" w:rsidRPr="00382917">
        <w:t>the</w:t>
      </w:r>
      <w:r w:rsidR="00EE4FC3">
        <w:t xml:space="preserve"> </w:t>
      </w:r>
      <w:r w:rsidR="00621DD5" w:rsidRPr="00382917">
        <w:t>storm</w:t>
      </w:r>
      <w:r w:rsidR="00EE4FC3">
        <w:t xml:space="preserve"> </w:t>
      </w:r>
      <w:r w:rsidR="00621DD5" w:rsidRPr="00382917">
        <w:t>that</w:t>
      </w:r>
      <w:r w:rsidR="00EE4FC3">
        <w:t xml:space="preserve"> </w:t>
      </w:r>
      <w:r w:rsidR="00621DD5" w:rsidRPr="00382917">
        <w:t>raged</w:t>
      </w:r>
      <w:r w:rsidR="00EE4FC3">
        <w:t xml:space="preserve"> </w:t>
      </w:r>
      <w:r w:rsidR="00621DD5" w:rsidRPr="00382917">
        <w:t>about</w:t>
      </w:r>
      <w:r w:rsidR="00EE4FC3">
        <w:t xml:space="preserve"> </w:t>
      </w:r>
      <w:r w:rsidR="00621DD5" w:rsidRPr="00382917">
        <w:t>Him,</w:t>
      </w:r>
      <w:r w:rsidR="00EE4FC3">
        <w:t xml:space="preserve"> </w:t>
      </w:r>
      <w:r w:rsidR="00621DD5" w:rsidRPr="00382917">
        <w:t>He</w:t>
      </w:r>
      <w:r w:rsidR="00EE4FC3">
        <w:t xml:space="preserve"> </w:t>
      </w:r>
      <w:r w:rsidR="00621DD5" w:rsidRPr="00382917">
        <w:t>conversed</w:t>
      </w:r>
      <w:r w:rsidR="00EE4FC3">
        <w:t xml:space="preserve"> </w:t>
      </w:r>
      <w:r w:rsidR="00621DD5" w:rsidRPr="00382917">
        <w:t>with</w:t>
      </w:r>
      <w:r w:rsidR="00EE4FC3">
        <w:t xml:space="preserve"> </w:t>
      </w:r>
      <w:r w:rsidR="00621DD5" w:rsidRPr="00382917">
        <w:t>us</w:t>
      </w:r>
      <w:r w:rsidR="00EE4FC3">
        <w:t xml:space="preserve"> </w:t>
      </w:r>
      <w:r w:rsidR="00621DD5" w:rsidRPr="00382917">
        <w:t>with</w:t>
      </w:r>
      <w:r w:rsidR="00EE4FC3">
        <w:t xml:space="preserve"> </w:t>
      </w:r>
      <w:r w:rsidR="00621DD5" w:rsidRPr="00382917">
        <w:t>gaiety</w:t>
      </w:r>
      <w:r w:rsidR="00EE4FC3">
        <w:t xml:space="preserve"> </w:t>
      </w:r>
      <w:r w:rsidR="00621DD5" w:rsidRPr="00382917">
        <w:t>and</w:t>
      </w:r>
      <w:r w:rsidR="00EE4FC3">
        <w:t xml:space="preserve"> </w:t>
      </w:r>
      <w:r w:rsidR="00621DD5" w:rsidRPr="00382917">
        <w:t>cheerfulness</w:t>
      </w:r>
      <w:r w:rsidR="00330AF7">
        <w:t>.</w:t>
      </w:r>
      <w:r w:rsidR="00EE4FC3">
        <w:t xml:space="preserve">  </w:t>
      </w:r>
      <w:r w:rsidR="00621DD5" w:rsidRPr="00382917">
        <w:t>The</w:t>
      </w:r>
      <w:r w:rsidR="00EE4FC3">
        <w:t xml:space="preserve"> </w:t>
      </w:r>
      <w:r w:rsidR="00621DD5" w:rsidRPr="00382917">
        <w:t>sorrows</w:t>
      </w:r>
      <w:r w:rsidR="00EE4FC3">
        <w:t xml:space="preserve"> </w:t>
      </w:r>
      <w:r w:rsidR="00621DD5" w:rsidRPr="00382917">
        <w:t>that</w:t>
      </w:r>
      <w:r w:rsidR="00EE4FC3">
        <w:t xml:space="preserve"> </w:t>
      </w:r>
      <w:r w:rsidR="00621DD5" w:rsidRPr="00382917">
        <w:t>had</w:t>
      </w:r>
      <w:r w:rsidR="00EE4FC3">
        <w:t xml:space="preserve"> </w:t>
      </w:r>
      <w:r w:rsidR="00621DD5" w:rsidRPr="00382917">
        <w:t>weighed</w:t>
      </w:r>
      <w:r w:rsidR="00EE4FC3">
        <w:t xml:space="preserve"> </w:t>
      </w:r>
      <w:r w:rsidR="00621DD5" w:rsidRPr="00382917">
        <w:t>so</w:t>
      </w:r>
      <w:r w:rsidR="00EE4FC3">
        <w:t xml:space="preserve"> </w:t>
      </w:r>
      <w:r w:rsidR="00621DD5" w:rsidRPr="00382917">
        <w:t>heavily</w:t>
      </w:r>
      <w:r w:rsidR="00EE4FC3">
        <w:t xml:space="preserve"> </w:t>
      </w:r>
      <w:r w:rsidR="00621DD5" w:rsidRPr="00382917">
        <w:t>upon</w:t>
      </w:r>
      <w:r w:rsidR="00EE4FC3">
        <w:t xml:space="preserve"> </w:t>
      </w:r>
      <w:r w:rsidR="00621DD5" w:rsidRPr="00382917">
        <w:t>Him</w:t>
      </w:r>
      <w:r w:rsidR="00EE4FC3">
        <w:t xml:space="preserve"> </w:t>
      </w:r>
      <w:r w:rsidR="00621DD5" w:rsidRPr="00382917">
        <w:t>seemed</w:t>
      </w:r>
      <w:r w:rsidR="00EE4FC3">
        <w:t xml:space="preserve"> </w:t>
      </w:r>
      <w:r w:rsidR="00621DD5" w:rsidRPr="00382917">
        <w:t>to</w:t>
      </w:r>
      <w:r w:rsidR="00EE4FC3">
        <w:t xml:space="preserve"> </w:t>
      </w:r>
      <w:r w:rsidR="00621DD5" w:rsidRPr="00382917">
        <w:t>have</w:t>
      </w:r>
      <w:r w:rsidR="00EE4FC3">
        <w:t xml:space="preserve"> </w:t>
      </w:r>
      <w:r w:rsidR="00621DD5" w:rsidRPr="00382917">
        <w:t>completely</w:t>
      </w:r>
      <w:r w:rsidR="00EE4FC3">
        <w:t xml:space="preserve"> </w:t>
      </w:r>
      <w:r w:rsidR="00621DD5" w:rsidRPr="00382917">
        <w:t>vanished.</w:t>
      </w:r>
    </w:p>
    <w:p w:rsidR="00621DD5" w:rsidRPr="00382917" w:rsidRDefault="009C713D" w:rsidP="00621DD5">
      <w:pPr>
        <w:pStyle w:val="Text"/>
      </w:pPr>
      <w:r w:rsidRPr="00382917">
        <w:t>“‘</w:t>
      </w:r>
      <w:r w:rsidR="00621DD5" w:rsidRPr="00382917">
        <w:t>Tomorrow,</w:t>
      </w:r>
      <w:r w:rsidRPr="00382917">
        <w:t>’</w:t>
      </w:r>
      <w:r w:rsidR="00EE4FC3">
        <w:t xml:space="preserve"> </w:t>
      </w:r>
      <w:r w:rsidR="00621DD5" w:rsidRPr="00382917">
        <w:t>He</w:t>
      </w:r>
      <w:r w:rsidR="00EE4FC3">
        <w:t xml:space="preserve"> </w:t>
      </w:r>
      <w:r w:rsidR="00621DD5" w:rsidRPr="00382917">
        <w:t>said,</w:t>
      </w:r>
      <w:r w:rsidR="00EE4FC3">
        <w:t xml:space="preserve"> </w:t>
      </w:r>
      <w:r w:rsidRPr="00382917">
        <w:t>‘</w:t>
      </w:r>
      <w:r w:rsidR="00621DD5" w:rsidRPr="00382917">
        <w:t>will</w:t>
      </w:r>
      <w:r w:rsidR="00EE4FC3">
        <w:t xml:space="preserve"> </w:t>
      </w:r>
      <w:r w:rsidR="00621DD5" w:rsidRPr="00382917">
        <w:t>be</w:t>
      </w:r>
      <w:r w:rsidR="00EE4FC3">
        <w:t xml:space="preserve"> </w:t>
      </w:r>
      <w:r w:rsidR="00621DD5" w:rsidRPr="00382917">
        <w:t>the</w:t>
      </w:r>
      <w:r w:rsidR="00EE4FC3">
        <w:t xml:space="preserve"> </w:t>
      </w:r>
      <w:r w:rsidR="00621DD5" w:rsidRPr="00382917">
        <w:t>day</w:t>
      </w:r>
      <w:r w:rsidR="00EE4FC3">
        <w:t xml:space="preserve"> </w:t>
      </w:r>
      <w:r w:rsidR="00621DD5" w:rsidRPr="00382917">
        <w:t>of</w:t>
      </w:r>
      <w:r w:rsidR="00EE4FC3">
        <w:t xml:space="preserve"> </w:t>
      </w:r>
      <w:proofErr w:type="gramStart"/>
      <w:r w:rsidR="00621DD5" w:rsidRPr="00382917">
        <w:t>My</w:t>
      </w:r>
      <w:proofErr w:type="gramEnd"/>
      <w:r w:rsidR="00EE4FC3">
        <w:t xml:space="preserve"> </w:t>
      </w:r>
      <w:r w:rsidR="00621DD5" w:rsidRPr="00382917">
        <w:t>martyrdom</w:t>
      </w:r>
      <w:r w:rsidR="00330AF7">
        <w:t>.</w:t>
      </w:r>
      <w:r w:rsidR="00EE4FC3">
        <w:t xml:space="preserve">  </w:t>
      </w:r>
      <w:r w:rsidR="00621DD5" w:rsidRPr="00382917">
        <w:t>Would</w:t>
      </w:r>
      <w:r w:rsidR="00EE4FC3">
        <w:t xml:space="preserve"> </w:t>
      </w:r>
      <w:r w:rsidR="00621DD5" w:rsidRPr="00382917">
        <w:t>that</w:t>
      </w:r>
      <w:r w:rsidR="00EE4FC3">
        <w:t xml:space="preserve"> </w:t>
      </w:r>
      <w:r w:rsidR="00621DD5" w:rsidRPr="00382917">
        <w:t>one</w:t>
      </w:r>
      <w:r w:rsidR="00EE4FC3">
        <w:t xml:space="preserve"> </w:t>
      </w:r>
      <w:r w:rsidR="00621DD5" w:rsidRPr="00382917">
        <w:t>of</w:t>
      </w:r>
      <w:r w:rsidR="00EE4FC3">
        <w:t xml:space="preserve"> </w:t>
      </w:r>
      <w:r w:rsidR="00621DD5" w:rsidRPr="00382917">
        <w:t>you</w:t>
      </w:r>
      <w:r w:rsidR="00EE4FC3">
        <w:t xml:space="preserve"> </w:t>
      </w:r>
      <w:r w:rsidR="00621DD5" w:rsidRPr="00382917">
        <w:t>might</w:t>
      </w:r>
      <w:r w:rsidR="00EE4FC3">
        <w:t xml:space="preserve"> </w:t>
      </w:r>
      <w:r w:rsidR="00621DD5" w:rsidRPr="00382917">
        <w:t>now</w:t>
      </w:r>
      <w:r w:rsidR="00EE4FC3">
        <w:t xml:space="preserve"> </w:t>
      </w:r>
      <w:r w:rsidR="00621DD5" w:rsidRPr="00382917">
        <w:t>arise</w:t>
      </w:r>
      <w:r w:rsidR="00EE4FC3">
        <w:t xml:space="preserve"> </w:t>
      </w:r>
      <w:r w:rsidR="00621DD5" w:rsidRPr="00382917">
        <w:t>and,</w:t>
      </w:r>
      <w:r w:rsidR="00EE4FC3">
        <w:t xml:space="preserve"> </w:t>
      </w:r>
      <w:r w:rsidR="00621DD5" w:rsidRPr="00382917">
        <w:t>with</w:t>
      </w:r>
      <w:r w:rsidR="00EE4FC3">
        <w:t xml:space="preserve"> </w:t>
      </w:r>
      <w:r w:rsidR="00621DD5" w:rsidRPr="00382917">
        <w:t>his</w:t>
      </w:r>
      <w:r w:rsidR="00EE4FC3">
        <w:t xml:space="preserve"> </w:t>
      </w:r>
      <w:r w:rsidR="00621DD5" w:rsidRPr="00382917">
        <w:t>own</w:t>
      </w:r>
      <w:r w:rsidR="00EE4FC3">
        <w:t xml:space="preserve"> </w:t>
      </w:r>
      <w:r w:rsidR="00621DD5" w:rsidRPr="00382917">
        <w:t>hands,</w:t>
      </w:r>
      <w:r w:rsidR="00EE4FC3">
        <w:t xml:space="preserve"> </w:t>
      </w:r>
      <w:r w:rsidR="00621DD5" w:rsidRPr="00382917">
        <w:t>end</w:t>
      </w:r>
      <w:r w:rsidR="00EE4FC3">
        <w:t xml:space="preserve"> </w:t>
      </w:r>
      <w:proofErr w:type="gramStart"/>
      <w:r w:rsidR="00621DD5" w:rsidRPr="00382917">
        <w:t>My</w:t>
      </w:r>
      <w:proofErr w:type="gramEnd"/>
      <w:r w:rsidR="00EE4FC3">
        <w:t xml:space="preserve"> </w:t>
      </w:r>
      <w:r w:rsidR="00621DD5" w:rsidRPr="00382917">
        <w:t>life</w:t>
      </w:r>
      <w:r w:rsidR="00330AF7">
        <w:t>.</w:t>
      </w:r>
      <w:r w:rsidR="00EE4FC3">
        <w:t xml:space="preserve">  </w:t>
      </w:r>
      <w:r w:rsidR="00621DD5" w:rsidRPr="00382917">
        <w:t>I</w:t>
      </w:r>
      <w:r w:rsidR="00EE4FC3">
        <w:t xml:space="preserve"> </w:t>
      </w:r>
      <w:r w:rsidR="00621DD5" w:rsidRPr="00382917">
        <w:t>prefer</w:t>
      </w:r>
      <w:r w:rsidR="00EE4FC3">
        <w:t xml:space="preserve"> </w:t>
      </w:r>
      <w:r w:rsidR="00621DD5" w:rsidRPr="00382917">
        <w:t>to</w:t>
      </w:r>
      <w:r w:rsidR="00EE4FC3">
        <w:t xml:space="preserve"> </w:t>
      </w:r>
      <w:r w:rsidR="00621DD5" w:rsidRPr="00382917">
        <w:t>be</w:t>
      </w:r>
      <w:r w:rsidR="00EE4FC3">
        <w:t xml:space="preserve"> </w:t>
      </w:r>
      <w:r w:rsidR="00621DD5" w:rsidRPr="00382917">
        <w:t>slain</w:t>
      </w:r>
      <w:r w:rsidR="00EE4FC3">
        <w:t xml:space="preserve"> </w:t>
      </w:r>
      <w:r w:rsidR="00621DD5" w:rsidRPr="00382917">
        <w:t>by</w:t>
      </w:r>
      <w:r w:rsidR="00EE4FC3">
        <w:t xml:space="preserve"> </w:t>
      </w:r>
      <w:r w:rsidR="00621DD5" w:rsidRPr="00382917">
        <w:t>the</w:t>
      </w:r>
      <w:r w:rsidR="00EE4FC3">
        <w:t xml:space="preserve"> </w:t>
      </w:r>
      <w:r w:rsidR="00621DD5" w:rsidRPr="00382917">
        <w:t>hand</w:t>
      </w:r>
      <w:r w:rsidR="00EE4FC3">
        <w:t xml:space="preserve"> </w:t>
      </w:r>
      <w:r w:rsidR="00621DD5" w:rsidRPr="00382917">
        <w:t>of</w:t>
      </w:r>
      <w:r w:rsidR="00EE4FC3">
        <w:t xml:space="preserve"> </w:t>
      </w:r>
      <w:r w:rsidR="00621DD5" w:rsidRPr="00382917">
        <w:t>a</w:t>
      </w:r>
      <w:r w:rsidR="00EE4FC3">
        <w:t xml:space="preserve"> </w:t>
      </w:r>
      <w:r w:rsidR="00621DD5" w:rsidRPr="00382917">
        <w:t>friend</w:t>
      </w:r>
      <w:r w:rsidR="00EE4FC3">
        <w:t xml:space="preserve"> </w:t>
      </w:r>
      <w:r w:rsidR="00621DD5" w:rsidRPr="00382917">
        <w:t>than</w:t>
      </w:r>
      <w:r w:rsidR="00EE4FC3">
        <w:t xml:space="preserve"> </w:t>
      </w:r>
      <w:r w:rsidR="00621DD5" w:rsidRPr="00382917">
        <w:t>by</w:t>
      </w:r>
      <w:r w:rsidR="00EE4FC3">
        <w:t xml:space="preserve"> </w:t>
      </w:r>
      <w:r w:rsidR="00621DD5" w:rsidRPr="00382917">
        <w:t>that</w:t>
      </w:r>
      <w:r w:rsidR="00EE4FC3">
        <w:t xml:space="preserve"> </w:t>
      </w:r>
      <w:r w:rsidR="00621DD5" w:rsidRPr="00382917">
        <w:t>of</w:t>
      </w:r>
      <w:r w:rsidR="00EE4FC3">
        <w:t xml:space="preserve"> </w:t>
      </w:r>
      <w:r w:rsidR="00621DD5" w:rsidRPr="00382917">
        <w:t>the</w:t>
      </w:r>
      <w:r w:rsidR="00EE4FC3">
        <w:t xml:space="preserve"> </w:t>
      </w:r>
      <w:r w:rsidR="00621DD5" w:rsidRPr="00382917">
        <w:t>enemy.</w:t>
      </w:r>
      <w:r w:rsidRPr="00382917">
        <w:t>’</w:t>
      </w:r>
    </w:p>
    <w:p w:rsidR="00621DD5" w:rsidRPr="00382917" w:rsidRDefault="009C713D" w:rsidP="00621DD5">
      <w:pPr>
        <w:pStyle w:val="Text"/>
      </w:pPr>
      <w:r w:rsidRPr="00382917">
        <w:t>“</w:t>
      </w:r>
      <w:r w:rsidR="00621DD5" w:rsidRPr="00382917">
        <w:t>We</w:t>
      </w:r>
      <w:r w:rsidR="00EE4FC3">
        <w:t xml:space="preserve"> </w:t>
      </w:r>
      <w:r w:rsidR="00621DD5" w:rsidRPr="00382917">
        <w:t>shrank,</w:t>
      </w:r>
      <w:r w:rsidR="00EE4FC3">
        <w:t xml:space="preserve"> </w:t>
      </w:r>
      <w:r w:rsidR="00621DD5" w:rsidRPr="00382917">
        <w:t>however,</w:t>
      </w:r>
      <w:r w:rsidR="00EE4FC3">
        <w:t xml:space="preserve"> </w:t>
      </w:r>
      <w:r w:rsidR="00621DD5" w:rsidRPr="00382917">
        <w:t>at</w:t>
      </w:r>
      <w:r w:rsidR="00EE4FC3">
        <w:t xml:space="preserve"> </w:t>
      </w:r>
      <w:r w:rsidR="00621DD5" w:rsidRPr="00382917">
        <w:t>the</w:t>
      </w:r>
      <w:r w:rsidR="00EE4FC3">
        <w:t xml:space="preserve"> </w:t>
      </w:r>
      <w:r w:rsidR="00621DD5" w:rsidRPr="00382917">
        <w:t>thought</w:t>
      </w:r>
      <w:r w:rsidR="00EE4FC3">
        <w:t xml:space="preserve"> </w:t>
      </w:r>
      <w:r w:rsidR="00621DD5" w:rsidRPr="00382917">
        <w:t>of</w:t>
      </w:r>
      <w:r w:rsidR="00EE4FC3">
        <w:t xml:space="preserve"> </w:t>
      </w:r>
      <w:r w:rsidR="00621DD5" w:rsidRPr="00382917">
        <w:t>taking</w:t>
      </w:r>
      <w:r w:rsidR="00EE4FC3">
        <w:t xml:space="preserve"> </w:t>
      </w:r>
      <w:r w:rsidR="00621DD5" w:rsidRPr="00382917">
        <w:t>away</w:t>
      </w:r>
      <w:r w:rsidR="00EE4FC3">
        <w:t xml:space="preserve"> </w:t>
      </w:r>
      <w:r w:rsidR="00621DD5" w:rsidRPr="00382917">
        <w:t>with</w:t>
      </w:r>
      <w:r w:rsidR="00EE4FC3">
        <w:t xml:space="preserve"> </w:t>
      </w:r>
      <w:r w:rsidR="00621DD5" w:rsidRPr="00382917">
        <w:t>our</w:t>
      </w:r>
      <w:r w:rsidR="00EE4FC3">
        <w:t xml:space="preserve"> </w:t>
      </w:r>
      <w:r w:rsidR="00621DD5" w:rsidRPr="00382917">
        <w:t>own</w:t>
      </w:r>
      <w:r w:rsidR="00EE4FC3">
        <w:t xml:space="preserve"> </w:t>
      </w:r>
      <w:r w:rsidR="00621DD5" w:rsidRPr="00382917">
        <w:t>hands</w:t>
      </w:r>
      <w:r w:rsidR="00EE4FC3">
        <w:t xml:space="preserve"> </w:t>
      </w:r>
      <w:r w:rsidR="00621DD5" w:rsidRPr="00382917">
        <w:t>so</w:t>
      </w:r>
      <w:r w:rsidR="00EE4FC3">
        <w:t xml:space="preserve"> </w:t>
      </w:r>
      <w:r w:rsidR="00621DD5" w:rsidRPr="00382917">
        <w:t>precious</w:t>
      </w:r>
      <w:r w:rsidR="00EE4FC3">
        <w:t xml:space="preserve"> </w:t>
      </w:r>
      <w:r w:rsidR="00621DD5" w:rsidRPr="00382917">
        <w:t>a</w:t>
      </w:r>
      <w:r w:rsidR="00EE4FC3">
        <w:t xml:space="preserve"> </w:t>
      </w:r>
      <w:r w:rsidR="00621DD5" w:rsidRPr="00382917">
        <w:t>life</w:t>
      </w:r>
      <w:r w:rsidR="00330AF7">
        <w:t>.</w:t>
      </w:r>
      <w:r w:rsidR="00EE4FC3">
        <w:t xml:space="preserve">  </w:t>
      </w:r>
      <w:r w:rsidR="00621DD5" w:rsidRPr="00382917">
        <w:t>We</w:t>
      </w:r>
      <w:r w:rsidR="00EE4FC3">
        <w:t xml:space="preserve"> </w:t>
      </w:r>
      <w:r w:rsidR="00621DD5" w:rsidRPr="00382917">
        <w:t>refused,</w:t>
      </w:r>
      <w:r w:rsidR="00EE4FC3">
        <w:t xml:space="preserve"> </w:t>
      </w:r>
      <w:r w:rsidR="00621DD5" w:rsidRPr="00382917">
        <w:t>and</w:t>
      </w:r>
      <w:r w:rsidR="00EE4FC3">
        <w:t xml:space="preserve"> </w:t>
      </w:r>
      <w:r w:rsidR="00621DD5" w:rsidRPr="00382917">
        <w:t>remained</w:t>
      </w:r>
      <w:r w:rsidR="00EE4FC3">
        <w:t xml:space="preserve"> </w:t>
      </w:r>
      <w:r w:rsidR="00621DD5" w:rsidRPr="00382917">
        <w:t>silent</w:t>
      </w:r>
      <w:r w:rsidR="00330AF7">
        <w:t>.</w:t>
      </w:r>
      <w:r w:rsidR="00EE4FC3">
        <w:t xml:space="preserve">  </w:t>
      </w:r>
      <w:r w:rsidR="00621DD5" w:rsidRPr="00382917">
        <w:t>The</w:t>
      </w:r>
      <w:r w:rsidR="00EE4FC3">
        <w:t xml:space="preserve"> </w:t>
      </w:r>
      <w:r w:rsidR="00621DD5" w:rsidRPr="00382917">
        <w:t>young</w:t>
      </w:r>
      <w:r w:rsidR="00EE4FC3">
        <w:t xml:space="preserve"> </w:t>
      </w:r>
      <w:r w:rsidR="00621DD5" w:rsidRPr="00382917">
        <w:t>boy</w:t>
      </w:r>
      <w:r w:rsidR="00EE4FC3">
        <w:t xml:space="preserve"> </w:t>
      </w:r>
      <w:r w:rsidR="00621DD5" w:rsidRPr="00382917">
        <w:t>suddenly</w:t>
      </w:r>
      <w:r w:rsidR="00EE4FC3">
        <w:t xml:space="preserve"> </w:t>
      </w:r>
      <w:r w:rsidR="00621DD5" w:rsidRPr="00382917">
        <w:t>sprang</w:t>
      </w:r>
      <w:r w:rsidR="00EE4FC3">
        <w:t xml:space="preserve"> </w:t>
      </w:r>
      <w:r w:rsidR="00621DD5" w:rsidRPr="00382917">
        <w:t>to</w:t>
      </w:r>
      <w:r w:rsidR="00EE4FC3">
        <w:t xml:space="preserve"> </w:t>
      </w:r>
      <w:r w:rsidR="00621DD5" w:rsidRPr="00382917">
        <w:t>his</w:t>
      </w:r>
      <w:r w:rsidR="00EE4FC3">
        <w:t xml:space="preserve"> </w:t>
      </w:r>
      <w:r w:rsidR="00621DD5" w:rsidRPr="00382917">
        <w:t>feet</w:t>
      </w:r>
      <w:r w:rsidR="00EE4FC3">
        <w:t xml:space="preserve"> </w:t>
      </w:r>
      <w:r w:rsidR="00621DD5" w:rsidRPr="00382917">
        <w:t>and</w:t>
      </w:r>
      <w:r w:rsidR="00EE4FC3">
        <w:t xml:space="preserve"> </w:t>
      </w:r>
      <w:r w:rsidR="00621DD5" w:rsidRPr="00382917">
        <w:t>announced</w:t>
      </w:r>
      <w:r w:rsidR="00EE4FC3">
        <w:t xml:space="preserve"> </w:t>
      </w:r>
      <w:r w:rsidR="00621DD5" w:rsidRPr="00382917">
        <w:t>himself</w:t>
      </w:r>
      <w:r w:rsidR="00EE4FC3">
        <w:t xml:space="preserve"> </w:t>
      </w:r>
      <w:r w:rsidR="00621DD5" w:rsidRPr="00382917">
        <w:t>ready</w:t>
      </w:r>
      <w:r w:rsidR="00EE4FC3">
        <w:t xml:space="preserve"> </w:t>
      </w:r>
      <w:r w:rsidR="00621DD5" w:rsidRPr="00382917">
        <w:t>to</w:t>
      </w:r>
      <w:r w:rsidR="00EE4FC3">
        <w:t xml:space="preserve"> </w:t>
      </w:r>
      <w:r w:rsidR="00621DD5" w:rsidRPr="00382917">
        <w:t>obey</w:t>
      </w:r>
      <w:r w:rsidR="00EE4FC3">
        <w:t xml:space="preserve"> </w:t>
      </w:r>
      <w:r w:rsidR="00621DD5" w:rsidRPr="00382917">
        <w:t>whatever</w:t>
      </w:r>
      <w:r w:rsidR="00EE4FC3">
        <w:t xml:space="preserve"> </w:t>
      </w:r>
      <w:r w:rsidR="00621DD5" w:rsidRPr="00382917">
        <w:t>the</w:t>
      </w:r>
      <w:r w:rsidR="00EE4FC3">
        <w:t xml:space="preserve"> </w:t>
      </w:r>
      <w:r w:rsidR="00621DD5" w:rsidRPr="00382917">
        <w:t>Báb</w:t>
      </w:r>
      <w:r w:rsidR="00EE4FC3">
        <w:t xml:space="preserve"> </w:t>
      </w:r>
      <w:r w:rsidR="00621DD5" w:rsidRPr="00382917">
        <w:t>might</w:t>
      </w:r>
      <w:r w:rsidR="00EE4FC3">
        <w:t xml:space="preserve"> </w:t>
      </w:r>
      <w:r w:rsidR="00621DD5" w:rsidRPr="00382917">
        <w:t>desire</w:t>
      </w:r>
      <w:r w:rsidR="00330AF7">
        <w:t>.</w:t>
      </w:r>
      <w:r w:rsidR="00EE4FC3">
        <w:t xml:space="preserve">  </w:t>
      </w:r>
      <w:r w:rsidRPr="00382917">
        <w:t>‘</w:t>
      </w:r>
      <w:r w:rsidR="00621DD5" w:rsidRPr="00382917">
        <w:t>This</w:t>
      </w:r>
      <w:r w:rsidR="00EE4FC3">
        <w:t xml:space="preserve"> </w:t>
      </w:r>
      <w:r w:rsidR="00621DD5" w:rsidRPr="00382917">
        <w:t>same</w:t>
      </w:r>
      <w:r w:rsidR="00EE4FC3">
        <w:t xml:space="preserve"> </w:t>
      </w:r>
      <w:r w:rsidR="00621DD5" w:rsidRPr="00382917">
        <w:t>youth,</w:t>
      </w:r>
    </w:p>
    <w:p w:rsidR="00621DD5" w:rsidRPr="00382917" w:rsidRDefault="00621DD5">
      <w:pPr>
        <w:widowControl/>
        <w:kinsoku/>
        <w:overflowPunct/>
        <w:textAlignment w:val="auto"/>
      </w:pPr>
      <w:r w:rsidRPr="00382917">
        <w:br w:type="page"/>
      </w:r>
    </w:p>
    <w:p w:rsidR="00E13D49" w:rsidRPr="00382917" w:rsidRDefault="00621DD5" w:rsidP="00034889">
      <w:pPr>
        <w:pStyle w:val="Textcts"/>
      </w:pPr>
      <w:proofErr w:type="gramStart"/>
      <w:r w:rsidRPr="00382917">
        <w:t>who</w:t>
      </w:r>
      <w:proofErr w:type="gramEnd"/>
      <w:r w:rsidR="00EE4FC3">
        <w:t xml:space="preserve"> </w:t>
      </w:r>
      <w:r w:rsidRPr="00382917">
        <w:t>has</w:t>
      </w:r>
      <w:r w:rsidR="00EE4FC3">
        <w:t xml:space="preserve"> </w:t>
      </w:r>
      <w:r w:rsidRPr="00382917">
        <w:t>risen</w:t>
      </w:r>
      <w:r w:rsidR="00EE4FC3">
        <w:t xml:space="preserve"> </w:t>
      </w:r>
      <w:r w:rsidRPr="00382917">
        <w:t>to</w:t>
      </w:r>
      <w:r w:rsidR="00EE4FC3">
        <w:t xml:space="preserve"> </w:t>
      </w:r>
      <w:r w:rsidRPr="00382917">
        <w:t>comply</w:t>
      </w:r>
      <w:r w:rsidR="00EE4FC3">
        <w:t xml:space="preserve"> </w:t>
      </w:r>
      <w:r w:rsidRPr="00382917">
        <w:t>with</w:t>
      </w:r>
      <w:r w:rsidR="00EE4FC3">
        <w:t xml:space="preserve"> </w:t>
      </w:r>
      <w:r w:rsidRPr="00382917">
        <w:t>My</w:t>
      </w:r>
      <w:r w:rsidR="00EE4FC3">
        <w:t xml:space="preserve"> </w:t>
      </w:r>
      <w:r w:rsidRPr="00382917">
        <w:t>wish,</w:t>
      </w:r>
      <w:r w:rsidR="009C713D" w:rsidRPr="00382917">
        <w:t>’</w:t>
      </w:r>
      <w:r w:rsidR="00EE4FC3">
        <w:t xml:space="preserve"> </w:t>
      </w:r>
      <w:r w:rsidRPr="00382917">
        <w:t>the</w:t>
      </w:r>
      <w:r w:rsidR="00EE4FC3">
        <w:t xml:space="preserve"> </w:t>
      </w:r>
      <w:r w:rsidRPr="00382917">
        <w:t>Báb</w:t>
      </w:r>
      <w:r w:rsidR="00EE4FC3">
        <w:t xml:space="preserve"> </w:t>
      </w:r>
      <w:r w:rsidRPr="00382917">
        <w:t>declared,</w:t>
      </w:r>
      <w:r w:rsidR="00EE4FC3">
        <w:t xml:space="preserve"> </w:t>
      </w:r>
      <w:r w:rsidR="009C713D" w:rsidRPr="00382917">
        <w:t>‘</w:t>
      </w:r>
      <w:r w:rsidRPr="00382917">
        <w:t>will</w:t>
      </w:r>
      <w:r w:rsidR="00EE4FC3">
        <w:t xml:space="preserve"> </w:t>
      </w:r>
      <w:r w:rsidRPr="00382917">
        <w:t>together</w:t>
      </w:r>
      <w:r w:rsidR="00EE4FC3">
        <w:t xml:space="preserve"> </w:t>
      </w:r>
      <w:r w:rsidRPr="00382917">
        <w:t>with</w:t>
      </w:r>
      <w:r w:rsidR="00EE4FC3">
        <w:t xml:space="preserve"> </w:t>
      </w:r>
      <w:r w:rsidRPr="00382917">
        <w:t>Me</w:t>
      </w:r>
      <w:r w:rsidR="00EE4FC3">
        <w:t xml:space="preserve"> </w:t>
      </w:r>
      <w:r w:rsidRPr="00382917">
        <w:t>suffer</w:t>
      </w:r>
      <w:r w:rsidR="00EE4FC3">
        <w:t xml:space="preserve"> </w:t>
      </w:r>
      <w:r w:rsidRPr="00382917">
        <w:t>martyrdom</w:t>
      </w:r>
      <w:r w:rsidR="00330AF7">
        <w:t>.</w:t>
      </w:r>
      <w:r w:rsidR="00EE4FC3">
        <w:t xml:space="preserve">  </w:t>
      </w:r>
      <w:r w:rsidRPr="00382917">
        <w:t>Him</w:t>
      </w:r>
      <w:r w:rsidR="00EE4FC3">
        <w:t xml:space="preserve"> </w:t>
      </w:r>
      <w:r w:rsidRPr="00382917">
        <w:t>will</w:t>
      </w:r>
      <w:r w:rsidR="00EE4FC3">
        <w:t xml:space="preserve"> </w:t>
      </w:r>
      <w:r w:rsidRPr="00382917">
        <w:t>I</w:t>
      </w:r>
      <w:r w:rsidR="00EE4FC3">
        <w:t xml:space="preserve"> </w:t>
      </w:r>
      <w:r w:rsidRPr="00382917">
        <w:t>choose</w:t>
      </w:r>
      <w:r w:rsidR="00EE4FC3">
        <w:t xml:space="preserve"> </w:t>
      </w:r>
      <w:r w:rsidRPr="00382917">
        <w:t>to</w:t>
      </w:r>
      <w:r w:rsidR="00EE4FC3">
        <w:t xml:space="preserve"> </w:t>
      </w:r>
      <w:r w:rsidRPr="00382917">
        <w:t>share</w:t>
      </w:r>
      <w:r w:rsidR="00EE4FC3">
        <w:t xml:space="preserve"> </w:t>
      </w:r>
      <w:r w:rsidRPr="00382917">
        <w:t>with</w:t>
      </w:r>
      <w:r w:rsidR="00EE4FC3">
        <w:t xml:space="preserve"> </w:t>
      </w:r>
      <w:proofErr w:type="gramStart"/>
      <w:r w:rsidRPr="00382917">
        <w:t>Me</w:t>
      </w:r>
      <w:proofErr w:type="gramEnd"/>
      <w:r w:rsidR="00EE4FC3">
        <w:t xml:space="preserve"> </w:t>
      </w:r>
      <w:r w:rsidRPr="00382917">
        <w:t>its</w:t>
      </w:r>
      <w:r w:rsidR="00EE4FC3">
        <w:t xml:space="preserve"> </w:t>
      </w:r>
      <w:r w:rsidRPr="00382917">
        <w:t>crown.</w:t>
      </w:r>
      <w:r w:rsidR="009C713D" w:rsidRPr="00382917">
        <w:t>’”</w:t>
      </w:r>
      <w:r w:rsidR="00034889">
        <w:rPr>
          <w:rStyle w:val="FootnoteReference"/>
        </w:rPr>
        <w:footnoteReference w:id="252"/>
      </w:r>
    </w:p>
    <w:p w:rsidR="00621DD5" w:rsidRPr="00382917" w:rsidRDefault="00621DD5" w:rsidP="00621DD5">
      <w:pPr>
        <w:pStyle w:val="Text"/>
      </w:pPr>
      <w:r w:rsidRPr="00382917">
        <w:t>Early</w:t>
      </w:r>
      <w:r w:rsidR="00EE4FC3">
        <w:t xml:space="preserve"> </w:t>
      </w:r>
      <w:r w:rsidRPr="00382917">
        <w:t>the</w:t>
      </w:r>
      <w:r w:rsidR="00EE4FC3">
        <w:t xml:space="preserve"> </w:t>
      </w:r>
      <w:r w:rsidRPr="00382917">
        <w:t>next</w:t>
      </w:r>
      <w:r w:rsidR="00EE4FC3">
        <w:t xml:space="preserve"> </w:t>
      </w:r>
      <w:r w:rsidRPr="00382917">
        <w:t>morning,</w:t>
      </w:r>
      <w:r w:rsidR="00EE4FC3">
        <w:t xml:space="preserve"> </w:t>
      </w:r>
      <w:r w:rsidRPr="00382917">
        <w:t>the</w:t>
      </w:r>
      <w:r w:rsidR="00EE4FC3">
        <w:t xml:space="preserve"> </w:t>
      </w:r>
      <w:r w:rsidRPr="00382917">
        <w:t>chief-attendant</w:t>
      </w:r>
      <w:r w:rsidR="00EE4FC3">
        <w:t xml:space="preserve"> </w:t>
      </w:r>
      <w:r w:rsidRPr="00382917">
        <w:t>came</w:t>
      </w:r>
      <w:r w:rsidR="00EE4FC3">
        <w:t xml:space="preserve"> </w:t>
      </w:r>
      <w:r w:rsidRPr="00382917">
        <w:t>to</w:t>
      </w:r>
      <w:r w:rsidR="00EE4FC3">
        <w:t xml:space="preserve"> </w:t>
      </w:r>
      <w:r w:rsidRPr="00382917">
        <w:t>the</w:t>
      </w:r>
      <w:r w:rsidR="00EE4FC3">
        <w:t xml:space="preserve"> </w:t>
      </w:r>
      <w:r w:rsidRPr="00382917">
        <w:t>barracks</w:t>
      </w:r>
      <w:r w:rsidR="00EE4FC3">
        <w:t xml:space="preserve"> </w:t>
      </w:r>
      <w:r w:rsidRPr="00382917">
        <w:t>to</w:t>
      </w:r>
      <w:r w:rsidR="00EE4FC3">
        <w:t xml:space="preserve"> </w:t>
      </w:r>
      <w:r w:rsidRPr="00382917">
        <w:t>conduct</w:t>
      </w:r>
      <w:r w:rsidR="00EE4FC3">
        <w:t xml:space="preserve"> </w:t>
      </w:r>
      <w:r w:rsidRPr="00382917">
        <w:t>the</w:t>
      </w:r>
      <w:r w:rsidR="00EE4FC3">
        <w:t xml:space="preserve"> </w:t>
      </w:r>
      <w:r w:rsidRPr="00382917">
        <w:t>Báb</w:t>
      </w:r>
      <w:r w:rsidR="00EE4FC3">
        <w:t xml:space="preserve"> </w:t>
      </w:r>
      <w:r w:rsidRPr="00382917">
        <w:t>into</w:t>
      </w:r>
      <w:r w:rsidR="00EE4FC3">
        <w:t xml:space="preserve"> </w:t>
      </w:r>
      <w:r w:rsidRPr="00382917">
        <w:t>the</w:t>
      </w:r>
      <w:r w:rsidR="00EE4FC3">
        <w:t xml:space="preserve"> </w:t>
      </w:r>
      <w:r w:rsidRPr="00382917">
        <w:t>presence</w:t>
      </w:r>
      <w:r w:rsidR="00EE4FC3">
        <w:t xml:space="preserve"> </w:t>
      </w:r>
      <w:r w:rsidRPr="00382917">
        <w:t>of</w:t>
      </w:r>
      <w:r w:rsidR="00EE4FC3">
        <w:t xml:space="preserve"> </w:t>
      </w:r>
      <w:r w:rsidRPr="00382917">
        <w:t>the</w:t>
      </w:r>
      <w:r w:rsidR="00EE4FC3">
        <w:t xml:space="preserve"> </w:t>
      </w:r>
      <w:r w:rsidRPr="00382917">
        <w:t>leading</w:t>
      </w:r>
      <w:r w:rsidR="00EE4FC3">
        <w:t xml:space="preserve"> </w:t>
      </w:r>
      <w:r w:rsidRPr="00382917">
        <w:t>doctors</w:t>
      </w:r>
      <w:r w:rsidR="00EE4FC3">
        <w:t xml:space="preserve"> </w:t>
      </w:r>
      <w:r w:rsidRPr="00382917">
        <w:t>of</w:t>
      </w:r>
      <w:r w:rsidR="00EE4FC3">
        <w:t xml:space="preserve"> </w:t>
      </w:r>
      <w:r w:rsidRPr="00382917">
        <w:t>law</w:t>
      </w:r>
      <w:r w:rsidR="00EE4FC3">
        <w:t xml:space="preserve"> </w:t>
      </w:r>
      <w:r w:rsidRPr="00382917">
        <w:t>in</w:t>
      </w:r>
      <w:r w:rsidR="00EE4FC3">
        <w:t xml:space="preserve"> </w:t>
      </w:r>
      <w:r w:rsidR="00B24C41">
        <w:t>Tabríz</w:t>
      </w:r>
      <w:r w:rsidR="00330AF7">
        <w:t>.</w:t>
      </w:r>
      <w:r w:rsidR="00EE4FC3">
        <w:t xml:space="preserve">  </w:t>
      </w:r>
      <w:r w:rsidRPr="00382917">
        <w:t>They</w:t>
      </w:r>
      <w:r w:rsidR="00EE4FC3">
        <w:t xml:space="preserve"> </w:t>
      </w:r>
      <w:r w:rsidRPr="00382917">
        <w:t>were</w:t>
      </w:r>
      <w:r w:rsidR="00EE4FC3">
        <w:t xml:space="preserve"> </w:t>
      </w:r>
      <w:r w:rsidRPr="00382917">
        <w:t>to</w:t>
      </w:r>
      <w:r w:rsidR="00EE4FC3">
        <w:t xml:space="preserve"> </w:t>
      </w:r>
      <w:r w:rsidRPr="00382917">
        <w:t>authorize</w:t>
      </w:r>
      <w:r w:rsidR="00EE4FC3">
        <w:t xml:space="preserve"> </w:t>
      </w:r>
      <w:r w:rsidRPr="00382917">
        <w:t>His</w:t>
      </w:r>
      <w:r w:rsidR="00EE4FC3">
        <w:t xml:space="preserve"> </w:t>
      </w:r>
      <w:r w:rsidRPr="00382917">
        <w:t>execution</w:t>
      </w:r>
      <w:r w:rsidR="00EE4FC3">
        <w:t xml:space="preserve"> </w:t>
      </w:r>
      <w:r w:rsidRPr="00382917">
        <w:t>by</w:t>
      </w:r>
      <w:r w:rsidR="00EE4FC3">
        <w:t xml:space="preserve"> </w:t>
      </w:r>
      <w:r w:rsidRPr="00382917">
        <w:t>signing</w:t>
      </w:r>
      <w:r w:rsidR="00EE4FC3">
        <w:t xml:space="preserve"> </w:t>
      </w:r>
      <w:r w:rsidRPr="00382917">
        <w:t>a</w:t>
      </w:r>
      <w:r w:rsidR="00EE4FC3">
        <w:t xml:space="preserve"> </w:t>
      </w:r>
      <w:r w:rsidRPr="00382917">
        <w:t>death-warrant,</w:t>
      </w:r>
      <w:r w:rsidR="00EE4FC3">
        <w:t xml:space="preserve"> </w:t>
      </w:r>
      <w:r w:rsidRPr="00382917">
        <w:t>thus</w:t>
      </w:r>
      <w:r w:rsidR="00EE4FC3">
        <w:t xml:space="preserve"> </w:t>
      </w:r>
      <w:r w:rsidRPr="00382917">
        <w:t>relieving</w:t>
      </w:r>
      <w:r w:rsidR="00EE4FC3">
        <w:t xml:space="preserve"> </w:t>
      </w:r>
      <w:r w:rsidRPr="00382917">
        <w:t>the</w:t>
      </w:r>
      <w:r w:rsidR="00EE4FC3">
        <w:t xml:space="preserve"> </w:t>
      </w:r>
      <w:r w:rsidRPr="00382917">
        <w:t>Prime</w:t>
      </w:r>
      <w:r w:rsidR="00EE4FC3">
        <w:t xml:space="preserve"> </w:t>
      </w:r>
      <w:r w:rsidRPr="00382917">
        <w:t>Minister</w:t>
      </w:r>
      <w:r w:rsidR="00EE4FC3">
        <w:t xml:space="preserve"> </w:t>
      </w:r>
      <w:r w:rsidRPr="00382917">
        <w:t>of</w:t>
      </w:r>
      <w:r w:rsidR="00EE4FC3">
        <w:t xml:space="preserve"> </w:t>
      </w:r>
      <w:r w:rsidRPr="00382917">
        <w:t>the</w:t>
      </w:r>
      <w:r w:rsidR="00EE4FC3">
        <w:t xml:space="preserve"> </w:t>
      </w:r>
      <w:r w:rsidRPr="00382917">
        <w:t>entire</w:t>
      </w:r>
      <w:r w:rsidR="00EE4FC3">
        <w:t xml:space="preserve"> </w:t>
      </w:r>
      <w:r w:rsidRPr="00382917">
        <w:t>responsibility.</w:t>
      </w:r>
    </w:p>
    <w:p w:rsidR="00621DD5" w:rsidRPr="00382917" w:rsidRDefault="00621DD5" w:rsidP="00621DD5">
      <w:pPr>
        <w:pStyle w:val="Text"/>
      </w:pPr>
      <w:r w:rsidRPr="00382917">
        <w:t>The</w:t>
      </w:r>
      <w:r w:rsidR="00EE4FC3">
        <w:t xml:space="preserve"> </w:t>
      </w:r>
      <w:r w:rsidRPr="00382917">
        <w:t>Báb</w:t>
      </w:r>
      <w:r w:rsidR="00EE4FC3">
        <w:t xml:space="preserve"> </w:t>
      </w:r>
      <w:r w:rsidRPr="00382917">
        <w:t>was</w:t>
      </w:r>
      <w:r w:rsidR="00EE4FC3">
        <w:t xml:space="preserve"> </w:t>
      </w:r>
      <w:r w:rsidRPr="00382917">
        <w:t>engaged</w:t>
      </w:r>
      <w:r w:rsidR="00EE4FC3">
        <w:t xml:space="preserve"> </w:t>
      </w:r>
      <w:r w:rsidRPr="00382917">
        <w:t>in</w:t>
      </w:r>
      <w:r w:rsidR="00EE4FC3">
        <w:t xml:space="preserve"> </w:t>
      </w:r>
      <w:r w:rsidRPr="00382917">
        <w:t>a</w:t>
      </w:r>
      <w:r w:rsidR="00EE4FC3">
        <w:t xml:space="preserve"> </w:t>
      </w:r>
      <w:r w:rsidRPr="00382917">
        <w:t>confidential</w:t>
      </w:r>
      <w:r w:rsidR="00EE4FC3">
        <w:t xml:space="preserve"> </w:t>
      </w:r>
      <w:r w:rsidRPr="00382917">
        <w:t>conversation</w:t>
      </w:r>
      <w:r w:rsidR="00EE4FC3">
        <w:t xml:space="preserve"> </w:t>
      </w:r>
      <w:r w:rsidRPr="00382917">
        <w:t>with</w:t>
      </w:r>
      <w:r w:rsidR="00EE4FC3">
        <w:t xml:space="preserve"> </w:t>
      </w:r>
      <w:r w:rsidRPr="00382917">
        <w:t>Siyyid</w:t>
      </w:r>
      <w:r w:rsidR="00EE4FC3">
        <w:t xml:space="preserve"> </w:t>
      </w:r>
      <w:r w:rsidR="00964C11" w:rsidRPr="00382917">
        <w:t>Ḥusayn</w:t>
      </w:r>
      <w:r w:rsidRPr="00382917">
        <w:t>,</w:t>
      </w:r>
      <w:r w:rsidR="00EE4FC3">
        <w:t xml:space="preserve"> </w:t>
      </w:r>
      <w:r w:rsidRPr="00382917">
        <w:t>one</w:t>
      </w:r>
      <w:r w:rsidR="00EE4FC3">
        <w:t xml:space="preserve"> </w:t>
      </w:r>
      <w:r w:rsidRPr="00382917">
        <w:t>of</w:t>
      </w:r>
      <w:r w:rsidR="00EE4FC3">
        <w:t xml:space="preserve"> </w:t>
      </w:r>
      <w:r w:rsidRPr="00382917">
        <w:t>His</w:t>
      </w:r>
      <w:r w:rsidR="00EE4FC3">
        <w:t xml:space="preserve"> </w:t>
      </w:r>
      <w:r w:rsidRPr="00382917">
        <w:t>closest</w:t>
      </w:r>
      <w:r w:rsidR="00EE4FC3">
        <w:t xml:space="preserve"> </w:t>
      </w:r>
      <w:r w:rsidRPr="00382917">
        <w:t>followers,</w:t>
      </w:r>
      <w:r w:rsidR="00EE4FC3">
        <w:t xml:space="preserve"> </w:t>
      </w:r>
      <w:r w:rsidRPr="00382917">
        <w:t>who</w:t>
      </w:r>
      <w:r w:rsidR="00EE4FC3">
        <w:t xml:space="preserve"> </w:t>
      </w:r>
      <w:r w:rsidRPr="00382917">
        <w:t>had</w:t>
      </w:r>
      <w:r w:rsidR="00EE4FC3">
        <w:t xml:space="preserve"> </w:t>
      </w:r>
      <w:r w:rsidRPr="00382917">
        <w:t>been</w:t>
      </w:r>
      <w:r w:rsidR="00EE4FC3">
        <w:t xml:space="preserve"> </w:t>
      </w:r>
      <w:r w:rsidRPr="00382917">
        <w:t>serving</w:t>
      </w:r>
      <w:r w:rsidR="00EE4FC3">
        <w:t xml:space="preserve"> </w:t>
      </w:r>
      <w:r w:rsidRPr="00382917">
        <w:t>as</w:t>
      </w:r>
      <w:r w:rsidR="00EE4FC3">
        <w:t xml:space="preserve"> </w:t>
      </w:r>
      <w:r w:rsidRPr="00382917">
        <w:t>His</w:t>
      </w:r>
      <w:r w:rsidR="00EE4FC3">
        <w:t xml:space="preserve"> </w:t>
      </w:r>
      <w:r w:rsidRPr="00382917">
        <w:t>secretary</w:t>
      </w:r>
      <w:r w:rsidR="00330AF7">
        <w:t>.</w:t>
      </w:r>
      <w:r w:rsidR="00EE4FC3">
        <w:t xml:space="preserve">  </w:t>
      </w:r>
      <w:r w:rsidR="00964C11" w:rsidRPr="00382917">
        <w:t>Ḥusayn</w:t>
      </w:r>
      <w:r w:rsidR="00EE4FC3">
        <w:t xml:space="preserve"> </w:t>
      </w:r>
      <w:r w:rsidRPr="00382917">
        <w:t>had</w:t>
      </w:r>
      <w:r w:rsidR="00EE4FC3">
        <w:t xml:space="preserve"> </w:t>
      </w:r>
      <w:r w:rsidRPr="00382917">
        <w:t>been</w:t>
      </w:r>
      <w:r w:rsidR="00EE4FC3">
        <w:t xml:space="preserve"> </w:t>
      </w:r>
      <w:r w:rsidRPr="00382917">
        <w:t>with</w:t>
      </w:r>
      <w:r w:rsidR="00EE4FC3">
        <w:t xml:space="preserve"> </w:t>
      </w:r>
      <w:r w:rsidRPr="00382917">
        <w:t>the</w:t>
      </w:r>
      <w:r w:rsidR="00EE4FC3">
        <w:t xml:space="preserve"> </w:t>
      </w:r>
      <w:r w:rsidRPr="00382917">
        <w:t>Báb</w:t>
      </w:r>
      <w:r w:rsidR="00EE4FC3">
        <w:t xml:space="preserve"> </w:t>
      </w:r>
      <w:r w:rsidRPr="00382917">
        <w:t>throughout</w:t>
      </w:r>
      <w:r w:rsidR="00EE4FC3">
        <w:t xml:space="preserve"> </w:t>
      </w:r>
      <w:r w:rsidRPr="00382917">
        <w:t>His</w:t>
      </w:r>
      <w:r w:rsidR="00EE4FC3">
        <w:t xml:space="preserve"> </w:t>
      </w:r>
      <w:r w:rsidRPr="00382917">
        <w:t>imprisonment</w:t>
      </w:r>
      <w:r w:rsidR="00330AF7">
        <w:t>.</w:t>
      </w:r>
      <w:r w:rsidR="00EE4FC3">
        <w:t xml:space="preserve">  </w:t>
      </w:r>
      <w:r w:rsidRPr="00382917">
        <w:t>The</w:t>
      </w:r>
      <w:r w:rsidR="00EE4FC3">
        <w:t xml:space="preserve"> </w:t>
      </w:r>
      <w:r w:rsidRPr="00382917">
        <w:t>Báb</w:t>
      </w:r>
      <w:r w:rsidR="00EE4FC3">
        <w:t xml:space="preserve"> </w:t>
      </w:r>
      <w:r w:rsidRPr="00382917">
        <w:t>was</w:t>
      </w:r>
      <w:r w:rsidR="00EE4FC3">
        <w:t xml:space="preserve"> </w:t>
      </w:r>
      <w:r w:rsidRPr="00382917">
        <w:t>giving</w:t>
      </w:r>
      <w:r w:rsidR="00EE4FC3">
        <w:t xml:space="preserve"> </w:t>
      </w:r>
      <w:r w:rsidRPr="00382917">
        <w:t>him</w:t>
      </w:r>
      <w:r w:rsidR="00EE4FC3">
        <w:t xml:space="preserve"> </w:t>
      </w:r>
      <w:r w:rsidRPr="00382917">
        <w:t>last</w:t>
      </w:r>
      <w:r w:rsidR="00EE4FC3">
        <w:t xml:space="preserve"> </w:t>
      </w:r>
      <w:r w:rsidRPr="00382917">
        <w:t>minute</w:t>
      </w:r>
      <w:r w:rsidR="00EE4FC3">
        <w:t xml:space="preserve"> </w:t>
      </w:r>
      <w:r w:rsidRPr="00382917">
        <w:t>instructions.</w:t>
      </w:r>
    </w:p>
    <w:p w:rsidR="00621DD5" w:rsidRPr="00382917" w:rsidRDefault="009C713D" w:rsidP="00621DD5">
      <w:pPr>
        <w:pStyle w:val="Text"/>
      </w:pPr>
      <w:r w:rsidRPr="00382917">
        <w:t>“</w:t>
      </w:r>
      <w:r w:rsidR="00621DD5" w:rsidRPr="00382917">
        <w:t>Confess</w:t>
      </w:r>
      <w:r w:rsidR="00EE4FC3">
        <w:t xml:space="preserve"> </w:t>
      </w:r>
      <w:r w:rsidR="00621DD5" w:rsidRPr="00382917">
        <w:t>not</w:t>
      </w:r>
      <w:r w:rsidR="00EE4FC3">
        <w:t xml:space="preserve"> </w:t>
      </w:r>
      <w:r w:rsidR="00621DD5" w:rsidRPr="00382917">
        <w:t>your</w:t>
      </w:r>
      <w:r w:rsidR="00EE4FC3">
        <w:t xml:space="preserve"> </w:t>
      </w:r>
      <w:r w:rsidR="00621DD5" w:rsidRPr="00382917">
        <w:t>Faith,</w:t>
      </w:r>
      <w:r w:rsidRPr="00382917">
        <w:t>”</w:t>
      </w:r>
      <w:r w:rsidR="00EE4FC3">
        <w:t xml:space="preserve"> </w:t>
      </w:r>
      <w:r w:rsidR="00621DD5" w:rsidRPr="00382917">
        <w:t>the</w:t>
      </w:r>
      <w:r w:rsidR="00EE4FC3">
        <w:t xml:space="preserve"> </w:t>
      </w:r>
      <w:r w:rsidR="00621DD5" w:rsidRPr="00382917">
        <w:t>Báb</w:t>
      </w:r>
      <w:r w:rsidR="00EE4FC3">
        <w:t xml:space="preserve"> </w:t>
      </w:r>
      <w:r w:rsidR="00621DD5" w:rsidRPr="00382917">
        <w:t>advised</w:t>
      </w:r>
      <w:r w:rsidR="00EE4FC3">
        <w:t xml:space="preserve"> </w:t>
      </w:r>
      <w:r w:rsidR="00964C11" w:rsidRPr="00382917">
        <w:t>Ḥusayn</w:t>
      </w:r>
      <w:r w:rsidR="00330AF7">
        <w:t>.</w:t>
      </w:r>
      <w:r w:rsidR="00EE4FC3">
        <w:t xml:space="preserve">  </w:t>
      </w:r>
      <w:r w:rsidRPr="00382917">
        <w:t>“</w:t>
      </w:r>
      <w:r w:rsidR="00621DD5" w:rsidRPr="00382917">
        <w:t>Thereby</w:t>
      </w:r>
      <w:r w:rsidR="00EE4FC3">
        <w:t xml:space="preserve"> </w:t>
      </w:r>
      <w:r w:rsidR="00621DD5" w:rsidRPr="00382917">
        <w:t>you</w:t>
      </w:r>
      <w:r w:rsidR="00EE4FC3">
        <w:t xml:space="preserve"> </w:t>
      </w:r>
      <w:r w:rsidR="00621DD5" w:rsidRPr="00382917">
        <w:t>will</w:t>
      </w:r>
      <w:r w:rsidR="00EE4FC3">
        <w:t xml:space="preserve"> </w:t>
      </w:r>
      <w:r w:rsidR="00621DD5" w:rsidRPr="00382917">
        <w:t>be</w:t>
      </w:r>
      <w:r w:rsidR="00EE4FC3">
        <w:t xml:space="preserve"> </w:t>
      </w:r>
      <w:r w:rsidR="00621DD5" w:rsidRPr="00382917">
        <w:t>enabled,</w:t>
      </w:r>
      <w:r w:rsidR="00EE4FC3">
        <w:t xml:space="preserve"> </w:t>
      </w:r>
      <w:r w:rsidR="00621DD5" w:rsidRPr="00382917">
        <w:t>when</w:t>
      </w:r>
      <w:r w:rsidR="00EE4FC3">
        <w:t xml:space="preserve"> </w:t>
      </w:r>
      <w:r w:rsidR="00621DD5" w:rsidRPr="00382917">
        <w:t>the</w:t>
      </w:r>
      <w:r w:rsidR="00EE4FC3">
        <w:t xml:space="preserve"> </w:t>
      </w:r>
      <w:r w:rsidR="00621DD5" w:rsidRPr="00382917">
        <w:t>hour</w:t>
      </w:r>
      <w:r w:rsidR="00EE4FC3">
        <w:t xml:space="preserve"> </w:t>
      </w:r>
      <w:r w:rsidR="00621DD5" w:rsidRPr="00382917">
        <w:t>comes,</w:t>
      </w:r>
      <w:r w:rsidR="00EE4FC3">
        <w:t xml:space="preserve"> </w:t>
      </w:r>
      <w:r w:rsidR="00621DD5" w:rsidRPr="00382917">
        <w:t>to</w:t>
      </w:r>
      <w:r w:rsidR="00EE4FC3">
        <w:t xml:space="preserve"> </w:t>
      </w:r>
      <w:r w:rsidR="00621DD5" w:rsidRPr="00382917">
        <w:t>convey</w:t>
      </w:r>
      <w:r w:rsidR="00EE4FC3">
        <w:t xml:space="preserve"> </w:t>
      </w:r>
      <w:r w:rsidR="00621DD5" w:rsidRPr="00382917">
        <w:t>to</w:t>
      </w:r>
      <w:r w:rsidR="00EE4FC3">
        <w:t xml:space="preserve"> </w:t>
      </w:r>
      <w:r w:rsidR="00621DD5" w:rsidRPr="00382917">
        <w:t>those</w:t>
      </w:r>
      <w:r w:rsidR="00EE4FC3">
        <w:t xml:space="preserve"> </w:t>
      </w:r>
      <w:r w:rsidR="00621DD5" w:rsidRPr="00382917">
        <w:t>who</w:t>
      </w:r>
      <w:r w:rsidR="00EE4FC3">
        <w:t xml:space="preserve"> </w:t>
      </w:r>
      <w:r w:rsidR="00621DD5" w:rsidRPr="00382917">
        <w:t>are</w:t>
      </w:r>
      <w:r w:rsidR="00EE4FC3">
        <w:t xml:space="preserve"> </w:t>
      </w:r>
      <w:r w:rsidR="00621DD5" w:rsidRPr="00382917">
        <w:t>destined</w:t>
      </w:r>
      <w:r w:rsidR="00EE4FC3">
        <w:t xml:space="preserve"> </w:t>
      </w:r>
      <w:r w:rsidR="00621DD5" w:rsidRPr="00382917">
        <w:t>to</w:t>
      </w:r>
      <w:r w:rsidR="00EE4FC3">
        <w:t xml:space="preserve"> </w:t>
      </w:r>
      <w:r w:rsidR="00621DD5" w:rsidRPr="00382917">
        <w:t>hear</w:t>
      </w:r>
      <w:r w:rsidR="00EE4FC3">
        <w:t xml:space="preserve"> </w:t>
      </w:r>
      <w:r w:rsidR="00621DD5" w:rsidRPr="00382917">
        <w:t>you,</w:t>
      </w:r>
      <w:r w:rsidR="00EE4FC3">
        <w:t xml:space="preserve"> </w:t>
      </w:r>
      <w:r w:rsidR="00621DD5" w:rsidRPr="00382917">
        <w:t>the</w:t>
      </w:r>
      <w:r w:rsidR="00EE4FC3">
        <w:t xml:space="preserve"> </w:t>
      </w:r>
      <w:r w:rsidR="00621DD5" w:rsidRPr="00382917">
        <w:t>things</w:t>
      </w:r>
      <w:r w:rsidR="00EE4FC3">
        <w:t xml:space="preserve"> </w:t>
      </w:r>
      <w:r w:rsidR="00621DD5" w:rsidRPr="00382917">
        <w:t>of</w:t>
      </w:r>
      <w:r w:rsidR="00EE4FC3">
        <w:t xml:space="preserve"> </w:t>
      </w:r>
      <w:r w:rsidR="00621DD5" w:rsidRPr="00382917">
        <w:t>which</w:t>
      </w:r>
      <w:r w:rsidR="00EE4FC3">
        <w:t xml:space="preserve"> </w:t>
      </w:r>
      <w:r w:rsidR="00621DD5" w:rsidRPr="00382917">
        <w:t>you</w:t>
      </w:r>
      <w:r w:rsidR="00EE4FC3">
        <w:t xml:space="preserve"> </w:t>
      </w:r>
      <w:r w:rsidR="00621DD5" w:rsidRPr="00382917">
        <w:t>alone</w:t>
      </w:r>
      <w:r w:rsidR="00EE4FC3">
        <w:t xml:space="preserve"> </w:t>
      </w:r>
      <w:r w:rsidR="00621DD5" w:rsidRPr="00382917">
        <w:t>are</w:t>
      </w:r>
      <w:r w:rsidR="00EE4FC3">
        <w:t xml:space="preserve"> </w:t>
      </w:r>
      <w:r w:rsidR="00621DD5" w:rsidRPr="00382917">
        <w:t>aware.</w:t>
      </w:r>
      <w:r w:rsidRPr="00382917">
        <w:t>”</w:t>
      </w:r>
    </w:p>
    <w:p w:rsidR="00621DD5" w:rsidRPr="00382917" w:rsidRDefault="00621DD5" w:rsidP="00621DD5">
      <w:pPr>
        <w:pStyle w:val="Text"/>
      </w:pPr>
      <w:r w:rsidRPr="00382917">
        <w:t>The</w:t>
      </w:r>
      <w:r w:rsidR="00EE4FC3">
        <w:t xml:space="preserve"> </w:t>
      </w:r>
      <w:r w:rsidRPr="00382917">
        <w:t>Báb</w:t>
      </w:r>
      <w:r w:rsidR="00EE4FC3">
        <w:t xml:space="preserve"> </w:t>
      </w:r>
      <w:r w:rsidRPr="00382917">
        <w:t>was</w:t>
      </w:r>
      <w:r w:rsidR="00EE4FC3">
        <w:t xml:space="preserve"> </w:t>
      </w:r>
      <w:r w:rsidRPr="00382917">
        <w:t>thus</w:t>
      </w:r>
      <w:r w:rsidR="00EE4FC3">
        <w:t xml:space="preserve"> </w:t>
      </w:r>
      <w:r w:rsidRPr="00382917">
        <w:t>engaged</w:t>
      </w:r>
      <w:r w:rsidR="00EE4FC3">
        <w:t xml:space="preserve"> </w:t>
      </w:r>
      <w:r w:rsidRPr="00382917">
        <w:t>when</w:t>
      </w:r>
      <w:r w:rsidR="00EE4FC3">
        <w:t xml:space="preserve"> </w:t>
      </w:r>
      <w:r w:rsidRPr="00382917">
        <w:t>the</w:t>
      </w:r>
      <w:r w:rsidR="00EE4FC3">
        <w:t xml:space="preserve"> </w:t>
      </w:r>
      <w:r w:rsidRPr="00382917">
        <w:t>chief-attendant</w:t>
      </w:r>
      <w:r w:rsidR="00EE4FC3">
        <w:t xml:space="preserve"> </w:t>
      </w:r>
      <w:r w:rsidRPr="00382917">
        <w:t>arrived</w:t>
      </w:r>
      <w:r w:rsidR="00330AF7">
        <w:t>.</w:t>
      </w:r>
      <w:r w:rsidR="00EE4FC3">
        <w:t xml:space="preserve">  </w:t>
      </w:r>
      <w:r w:rsidRPr="00382917">
        <w:t>He</w:t>
      </w:r>
      <w:r w:rsidR="00EE4FC3">
        <w:t xml:space="preserve"> </w:t>
      </w:r>
      <w:r w:rsidRPr="00382917">
        <w:t>insisted</w:t>
      </w:r>
      <w:r w:rsidR="00EE4FC3">
        <w:t xml:space="preserve"> </w:t>
      </w:r>
      <w:r w:rsidRPr="00382917">
        <w:t>upon</w:t>
      </w:r>
      <w:r w:rsidR="00EE4FC3">
        <w:t xml:space="preserve"> </w:t>
      </w:r>
      <w:r w:rsidRPr="00382917">
        <w:t>the</w:t>
      </w:r>
      <w:r w:rsidR="00EE4FC3">
        <w:t xml:space="preserve"> </w:t>
      </w:r>
      <w:r w:rsidRPr="00382917">
        <w:t>Báb</w:t>
      </w:r>
      <w:r w:rsidR="009C713D" w:rsidRPr="00382917">
        <w:t>’</w:t>
      </w:r>
      <w:r w:rsidRPr="00382917">
        <w:t>s</w:t>
      </w:r>
      <w:r w:rsidR="00EE4FC3">
        <w:t xml:space="preserve"> </w:t>
      </w:r>
      <w:r w:rsidRPr="00382917">
        <w:t>immediate</w:t>
      </w:r>
      <w:r w:rsidR="00EE4FC3">
        <w:t xml:space="preserve"> </w:t>
      </w:r>
      <w:r w:rsidRPr="00382917">
        <w:t>departure</w:t>
      </w:r>
      <w:r w:rsidR="00330AF7">
        <w:t>.</w:t>
      </w:r>
      <w:r w:rsidR="00EE4FC3">
        <w:t xml:space="preserve">  </w:t>
      </w:r>
      <w:r w:rsidRPr="00382917">
        <w:t>The</w:t>
      </w:r>
      <w:r w:rsidR="00EE4FC3">
        <w:t xml:space="preserve"> </w:t>
      </w:r>
      <w:r w:rsidRPr="00382917">
        <w:t>Báb</w:t>
      </w:r>
      <w:r w:rsidR="00EE4FC3">
        <w:t xml:space="preserve"> </w:t>
      </w:r>
      <w:r w:rsidRPr="00382917">
        <w:t>turned</w:t>
      </w:r>
      <w:r w:rsidR="00EE4FC3">
        <w:t xml:space="preserve"> </w:t>
      </w:r>
      <w:r w:rsidRPr="00382917">
        <w:t>and</w:t>
      </w:r>
      <w:r w:rsidR="00EE4FC3">
        <w:t xml:space="preserve"> </w:t>
      </w:r>
      <w:r w:rsidRPr="00382917">
        <w:t>rebuked</w:t>
      </w:r>
      <w:r w:rsidR="00EE4FC3">
        <w:t xml:space="preserve"> </w:t>
      </w:r>
      <w:r w:rsidRPr="00382917">
        <w:t>the</w:t>
      </w:r>
      <w:r w:rsidR="00EE4FC3">
        <w:t xml:space="preserve"> </w:t>
      </w:r>
      <w:r w:rsidRPr="00382917">
        <w:t>chief-attendant</w:t>
      </w:r>
      <w:r w:rsidR="00EE4FC3">
        <w:t xml:space="preserve"> </w:t>
      </w:r>
      <w:r w:rsidRPr="00382917">
        <w:t>severely.</w:t>
      </w:r>
    </w:p>
    <w:p w:rsidR="00621DD5" w:rsidRPr="00382917" w:rsidRDefault="009C713D" w:rsidP="00621DD5">
      <w:pPr>
        <w:pStyle w:val="Text"/>
      </w:pPr>
      <w:r w:rsidRPr="00382917">
        <w:t>“</w:t>
      </w:r>
      <w:r w:rsidR="00621DD5" w:rsidRPr="00382917">
        <w:t>Not</w:t>
      </w:r>
      <w:r w:rsidR="00EE4FC3">
        <w:t xml:space="preserve"> </w:t>
      </w:r>
      <w:r w:rsidR="00621DD5" w:rsidRPr="00382917">
        <w:t>until</w:t>
      </w:r>
      <w:r w:rsidR="00EE4FC3">
        <w:t xml:space="preserve"> </w:t>
      </w:r>
      <w:r w:rsidR="00621DD5" w:rsidRPr="00382917">
        <w:t>I</w:t>
      </w:r>
      <w:r w:rsidR="00EE4FC3">
        <w:t xml:space="preserve"> </w:t>
      </w:r>
      <w:r w:rsidR="00621DD5" w:rsidRPr="00382917">
        <w:t>have</w:t>
      </w:r>
      <w:r w:rsidR="00EE4FC3">
        <w:t xml:space="preserve"> </w:t>
      </w:r>
      <w:r w:rsidR="00621DD5" w:rsidRPr="00382917">
        <w:t>said</w:t>
      </w:r>
      <w:r w:rsidR="00EE4FC3">
        <w:t xml:space="preserve"> </w:t>
      </w:r>
      <w:r w:rsidR="00621DD5" w:rsidRPr="00382917">
        <w:t>to</w:t>
      </w:r>
      <w:r w:rsidR="00EE4FC3">
        <w:t xml:space="preserve"> </w:t>
      </w:r>
      <w:r w:rsidR="00621DD5" w:rsidRPr="00382917">
        <w:t>him</w:t>
      </w:r>
      <w:r w:rsidR="00EE4FC3">
        <w:t xml:space="preserve"> </w:t>
      </w:r>
      <w:r w:rsidR="00621DD5" w:rsidRPr="00382917">
        <w:t>all</w:t>
      </w:r>
      <w:r w:rsidR="00EE4FC3">
        <w:t xml:space="preserve"> </w:t>
      </w:r>
      <w:r w:rsidR="00621DD5" w:rsidRPr="00382917">
        <w:t>those</w:t>
      </w:r>
      <w:r w:rsidR="00EE4FC3">
        <w:t xml:space="preserve"> </w:t>
      </w:r>
      <w:r w:rsidR="00621DD5" w:rsidRPr="00382917">
        <w:t>things</w:t>
      </w:r>
      <w:r w:rsidR="00EE4FC3">
        <w:t xml:space="preserve"> </w:t>
      </w:r>
      <w:r w:rsidR="00621DD5" w:rsidRPr="00382917">
        <w:t>I</w:t>
      </w:r>
      <w:r w:rsidR="00EE4FC3">
        <w:t xml:space="preserve"> </w:t>
      </w:r>
      <w:r w:rsidR="00621DD5" w:rsidRPr="00382917">
        <w:t>wish</w:t>
      </w:r>
      <w:r w:rsidR="00EE4FC3">
        <w:t xml:space="preserve"> </w:t>
      </w:r>
      <w:r w:rsidR="00621DD5" w:rsidRPr="00382917">
        <w:t>to</w:t>
      </w:r>
      <w:r w:rsidR="00EE4FC3">
        <w:t xml:space="preserve"> </w:t>
      </w:r>
      <w:r w:rsidR="00621DD5" w:rsidRPr="00382917">
        <w:t>say,</w:t>
      </w:r>
      <w:r w:rsidRPr="00382917">
        <w:t>”</w:t>
      </w:r>
      <w:r w:rsidR="00EE4FC3">
        <w:t xml:space="preserve"> </w:t>
      </w:r>
      <w:r w:rsidR="00621DD5" w:rsidRPr="00382917">
        <w:t>the</w:t>
      </w:r>
      <w:r w:rsidR="00EE4FC3">
        <w:t xml:space="preserve"> </w:t>
      </w:r>
      <w:r w:rsidR="00621DD5" w:rsidRPr="00382917">
        <w:t>Báb</w:t>
      </w:r>
      <w:r w:rsidR="00EE4FC3">
        <w:t xml:space="preserve"> </w:t>
      </w:r>
      <w:r w:rsidR="00621DD5" w:rsidRPr="00382917">
        <w:t>warned,</w:t>
      </w:r>
      <w:r w:rsidR="00EE4FC3">
        <w:t xml:space="preserve"> </w:t>
      </w:r>
      <w:r w:rsidRPr="00382917">
        <w:t>“</w:t>
      </w:r>
      <w:r w:rsidR="00621DD5" w:rsidRPr="00382917">
        <w:t>can</w:t>
      </w:r>
      <w:r w:rsidR="00EE4FC3">
        <w:t xml:space="preserve"> </w:t>
      </w:r>
      <w:r w:rsidR="00621DD5" w:rsidRPr="00382917">
        <w:t>any</w:t>
      </w:r>
      <w:r w:rsidR="00EE4FC3">
        <w:t xml:space="preserve"> </w:t>
      </w:r>
      <w:r w:rsidR="00621DD5" w:rsidRPr="00382917">
        <w:t>earthly</w:t>
      </w:r>
      <w:r w:rsidR="00EE4FC3">
        <w:t xml:space="preserve"> </w:t>
      </w:r>
      <w:r w:rsidR="00621DD5" w:rsidRPr="00382917">
        <w:t>power</w:t>
      </w:r>
      <w:r w:rsidR="00EE4FC3">
        <w:t xml:space="preserve"> </w:t>
      </w:r>
      <w:r w:rsidR="00621DD5" w:rsidRPr="00382917">
        <w:t>silence</w:t>
      </w:r>
      <w:r w:rsidR="00EE4FC3">
        <w:t xml:space="preserve"> </w:t>
      </w:r>
      <w:r w:rsidR="00621DD5" w:rsidRPr="00382917">
        <w:t>me</w:t>
      </w:r>
      <w:r w:rsidR="00330AF7">
        <w:t>.</w:t>
      </w:r>
      <w:r w:rsidR="00EE4FC3">
        <w:t xml:space="preserve">  </w:t>
      </w:r>
      <w:r w:rsidR="00621DD5" w:rsidRPr="00382917">
        <w:t>Though</w:t>
      </w:r>
      <w:r w:rsidR="00EE4FC3">
        <w:t xml:space="preserve"> </w:t>
      </w:r>
      <w:proofErr w:type="gramStart"/>
      <w:r w:rsidR="00621DD5" w:rsidRPr="00382917">
        <w:t>all</w:t>
      </w:r>
      <w:r w:rsidR="00EE4FC3">
        <w:t xml:space="preserve"> </w:t>
      </w:r>
      <w:r w:rsidR="00621DD5" w:rsidRPr="00382917">
        <w:t>the</w:t>
      </w:r>
      <w:proofErr w:type="gramEnd"/>
      <w:r w:rsidR="00EE4FC3">
        <w:t xml:space="preserve"> </w:t>
      </w:r>
      <w:r w:rsidR="00621DD5" w:rsidRPr="00382917">
        <w:t>world</w:t>
      </w:r>
      <w:r w:rsidR="00EE4FC3">
        <w:t xml:space="preserve"> </w:t>
      </w:r>
      <w:r w:rsidR="00621DD5" w:rsidRPr="00382917">
        <w:t>be</w:t>
      </w:r>
      <w:r w:rsidR="00EE4FC3">
        <w:t xml:space="preserve"> </w:t>
      </w:r>
      <w:r w:rsidR="00621DD5" w:rsidRPr="00382917">
        <w:t>armed</w:t>
      </w:r>
      <w:r w:rsidR="00EE4FC3">
        <w:t xml:space="preserve"> </w:t>
      </w:r>
      <w:r w:rsidR="00621DD5" w:rsidRPr="00382917">
        <w:t>against</w:t>
      </w:r>
      <w:r w:rsidR="00EE4FC3">
        <w:t xml:space="preserve"> </w:t>
      </w:r>
      <w:r w:rsidR="00621DD5" w:rsidRPr="00382917">
        <w:t>Me,</w:t>
      </w:r>
      <w:r w:rsidR="00EE4FC3">
        <w:t xml:space="preserve"> </w:t>
      </w:r>
      <w:r w:rsidR="00621DD5" w:rsidRPr="00382917">
        <w:t>yet</w:t>
      </w:r>
      <w:r w:rsidR="00EE4FC3">
        <w:t xml:space="preserve"> </w:t>
      </w:r>
      <w:r w:rsidR="00621DD5" w:rsidRPr="00382917">
        <w:t>shall</w:t>
      </w:r>
      <w:r w:rsidR="00EE4FC3">
        <w:t xml:space="preserve"> </w:t>
      </w:r>
      <w:r w:rsidR="00621DD5" w:rsidRPr="00382917">
        <w:t>they</w:t>
      </w:r>
      <w:r w:rsidR="00EE4FC3">
        <w:t xml:space="preserve"> </w:t>
      </w:r>
      <w:r w:rsidR="00621DD5" w:rsidRPr="00382917">
        <w:t>be</w:t>
      </w:r>
      <w:r w:rsidR="00EE4FC3">
        <w:t xml:space="preserve"> </w:t>
      </w:r>
      <w:r w:rsidR="00621DD5" w:rsidRPr="00382917">
        <w:t>powerless</w:t>
      </w:r>
      <w:r w:rsidR="00EE4FC3">
        <w:t xml:space="preserve"> </w:t>
      </w:r>
      <w:r w:rsidR="00621DD5" w:rsidRPr="00382917">
        <w:t>to</w:t>
      </w:r>
      <w:r w:rsidR="00EE4FC3">
        <w:t xml:space="preserve"> </w:t>
      </w:r>
      <w:r w:rsidR="00621DD5" w:rsidRPr="00382917">
        <w:t>deter</w:t>
      </w:r>
      <w:r w:rsidR="00EE4FC3">
        <w:t xml:space="preserve"> </w:t>
      </w:r>
      <w:r w:rsidR="00621DD5" w:rsidRPr="00382917">
        <w:t>Me</w:t>
      </w:r>
      <w:r w:rsidR="00EE4FC3">
        <w:t xml:space="preserve"> </w:t>
      </w:r>
      <w:r w:rsidR="00621DD5" w:rsidRPr="00382917">
        <w:t>from</w:t>
      </w:r>
      <w:r w:rsidR="00EE4FC3">
        <w:t xml:space="preserve"> </w:t>
      </w:r>
      <w:r w:rsidR="00621DD5" w:rsidRPr="00382917">
        <w:t>fulfilling,</w:t>
      </w:r>
      <w:r w:rsidR="00EE4FC3">
        <w:t xml:space="preserve"> </w:t>
      </w:r>
      <w:r w:rsidR="00621DD5" w:rsidRPr="00382917">
        <w:t>to</w:t>
      </w:r>
      <w:r w:rsidR="00EE4FC3">
        <w:t xml:space="preserve"> </w:t>
      </w:r>
      <w:r w:rsidR="00621DD5" w:rsidRPr="00382917">
        <w:t>the</w:t>
      </w:r>
      <w:r w:rsidR="00EE4FC3">
        <w:t xml:space="preserve"> </w:t>
      </w:r>
      <w:r w:rsidR="00621DD5" w:rsidRPr="00382917">
        <w:t>last</w:t>
      </w:r>
      <w:r w:rsidR="00EE4FC3">
        <w:t xml:space="preserve"> </w:t>
      </w:r>
      <w:r w:rsidR="00621DD5" w:rsidRPr="00382917">
        <w:t>word,</w:t>
      </w:r>
      <w:r w:rsidR="00EE4FC3">
        <w:t xml:space="preserve"> </w:t>
      </w:r>
      <w:r w:rsidR="00621DD5" w:rsidRPr="00382917">
        <w:t>My</w:t>
      </w:r>
      <w:r w:rsidR="00EE4FC3">
        <w:t xml:space="preserve"> </w:t>
      </w:r>
      <w:r w:rsidR="00621DD5" w:rsidRPr="00382917">
        <w:t>intention.</w:t>
      </w:r>
      <w:r w:rsidRPr="00382917">
        <w:t>”</w:t>
      </w:r>
    </w:p>
    <w:p w:rsidR="00621DD5" w:rsidRPr="00382917" w:rsidRDefault="00621DD5" w:rsidP="00621DD5">
      <w:pPr>
        <w:pStyle w:val="Text"/>
      </w:pPr>
      <w:r w:rsidRPr="00382917">
        <w:t>The</w:t>
      </w:r>
      <w:r w:rsidR="00EE4FC3">
        <w:t xml:space="preserve"> </w:t>
      </w:r>
      <w:r w:rsidRPr="00382917">
        <w:t>chief-attendant</w:t>
      </w:r>
      <w:r w:rsidR="00EE4FC3">
        <w:t xml:space="preserve"> </w:t>
      </w:r>
      <w:r w:rsidRPr="00382917">
        <w:t>was</w:t>
      </w:r>
      <w:r w:rsidR="00EE4FC3">
        <w:t xml:space="preserve"> </w:t>
      </w:r>
      <w:r w:rsidRPr="00382917">
        <w:t>amazed</w:t>
      </w:r>
      <w:r w:rsidR="00EE4FC3">
        <w:t xml:space="preserve"> </w:t>
      </w:r>
      <w:r w:rsidRPr="00382917">
        <w:t>at</w:t>
      </w:r>
      <w:r w:rsidR="00EE4FC3">
        <w:t xml:space="preserve"> </w:t>
      </w:r>
      <w:r w:rsidRPr="00382917">
        <w:t>such</w:t>
      </w:r>
      <w:r w:rsidR="00EE4FC3">
        <w:t xml:space="preserve"> </w:t>
      </w:r>
      <w:r w:rsidRPr="00382917">
        <w:t>a</w:t>
      </w:r>
      <w:r w:rsidR="00EE4FC3">
        <w:t xml:space="preserve"> </w:t>
      </w:r>
      <w:r w:rsidRPr="00382917">
        <w:t>bold</w:t>
      </w:r>
      <w:r w:rsidR="00EE4FC3">
        <w:t xml:space="preserve"> </w:t>
      </w:r>
      <w:r w:rsidRPr="00382917">
        <w:t>speech</w:t>
      </w:r>
      <w:r w:rsidR="00EE4FC3">
        <w:t xml:space="preserve"> </w:t>
      </w:r>
      <w:r w:rsidRPr="00382917">
        <w:t>on</w:t>
      </w:r>
      <w:r w:rsidR="00EE4FC3">
        <w:t xml:space="preserve"> </w:t>
      </w:r>
      <w:r w:rsidRPr="00382917">
        <w:t>the</w:t>
      </w:r>
      <w:r w:rsidR="00EE4FC3">
        <w:t xml:space="preserve"> </w:t>
      </w:r>
      <w:r w:rsidRPr="00382917">
        <w:t>part</w:t>
      </w:r>
      <w:r w:rsidR="00EE4FC3">
        <w:t xml:space="preserve"> </w:t>
      </w:r>
      <w:r w:rsidRPr="00382917">
        <w:t>of</w:t>
      </w:r>
      <w:r w:rsidR="00EE4FC3">
        <w:t xml:space="preserve"> </w:t>
      </w:r>
      <w:r w:rsidRPr="00382917">
        <w:t>a</w:t>
      </w:r>
      <w:r w:rsidR="00EE4FC3">
        <w:t xml:space="preserve"> </w:t>
      </w:r>
      <w:r w:rsidRPr="00382917">
        <w:t>prisoner</w:t>
      </w:r>
      <w:r w:rsidR="00330AF7">
        <w:t>.</w:t>
      </w:r>
      <w:r w:rsidR="00EE4FC3">
        <w:t xml:space="preserve">  </w:t>
      </w:r>
      <w:r w:rsidRPr="00382917">
        <w:t>However,</w:t>
      </w:r>
      <w:r w:rsidR="00EE4FC3">
        <w:t xml:space="preserve"> </w:t>
      </w:r>
      <w:r w:rsidRPr="00382917">
        <w:t>he</w:t>
      </w:r>
      <w:r w:rsidR="00EE4FC3">
        <w:t xml:space="preserve"> </w:t>
      </w:r>
      <w:r w:rsidRPr="00382917">
        <w:t>still</w:t>
      </w:r>
      <w:r w:rsidR="00EE4FC3">
        <w:t xml:space="preserve"> </w:t>
      </w:r>
      <w:r w:rsidRPr="00382917">
        <w:t>insisted</w:t>
      </w:r>
      <w:r w:rsidR="00EE4FC3">
        <w:t xml:space="preserve"> </w:t>
      </w:r>
      <w:r w:rsidRPr="00382917">
        <w:t>that</w:t>
      </w:r>
      <w:r w:rsidR="00EE4FC3">
        <w:t xml:space="preserve"> </w:t>
      </w:r>
      <w:r w:rsidRPr="00382917">
        <w:t>the</w:t>
      </w:r>
      <w:r w:rsidR="00EE4FC3">
        <w:t xml:space="preserve"> </w:t>
      </w:r>
      <w:r w:rsidRPr="00382917">
        <w:t>Báb</w:t>
      </w:r>
      <w:r w:rsidR="00EE4FC3">
        <w:t xml:space="preserve"> </w:t>
      </w:r>
      <w:r w:rsidRPr="00382917">
        <w:t>accompany</w:t>
      </w:r>
      <w:r w:rsidR="00EE4FC3">
        <w:t xml:space="preserve"> </w:t>
      </w:r>
      <w:r w:rsidRPr="00382917">
        <w:t>him</w:t>
      </w:r>
      <w:r w:rsidR="00EE4FC3">
        <w:t xml:space="preserve"> </w:t>
      </w:r>
      <w:r w:rsidRPr="00382917">
        <w:t>with</w:t>
      </w:r>
      <w:r w:rsidR="00EE4FC3">
        <w:t xml:space="preserve"> </w:t>
      </w:r>
      <w:r w:rsidRPr="00382917">
        <w:t>no</w:t>
      </w:r>
      <w:r w:rsidR="00EE4FC3">
        <w:t xml:space="preserve"> </w:t>
      </w:r>
      <w:r w:rsidRPr="00382917">
        <w:t>further</w:t>
      </w:r>
      <w:r w:rsidR="00EE4FC3">
        <w:t xml:space="preserve"> </w:t>
      </w:r>
      <w:r w:rsidRPr="00382917">
        <w:t>delay</w:t>
      </w:r>
      <w:r w:rsidR="00330AF7">
        <w:t>.</w:t>
      </w:r>
      <w:r w:rsidR="00EE4FC3">
        <w:t xml:space="preserve">  </w:t>
      </w:r>
      <w:r w:rsidRPr="00382917">
        <w:t>The</w:t>
      </w:r>
      <w:r w:rsidR="00EE4FC3">
        <w:t xml:space="preserve"> </w:t>
      </w:r>
      <w:r w:rsidRPr="00382917">
        <w:t>conversation</w:t>
      </w:r>
      <w:r w:rsidR="00EE4FC3">
        <w:t xml:space="preserve"> </w:t>
      </w:r>
      <w:r w:rsidRPr="00382917">
        <w:t>with</w:t>
      </w:r>
      <w:r w:rsidR="00EE4FC3">
        <w:t xml:space="preserve"> </w:t>
      </w:r>
      <w:r w:rsidR="00964C11" w:rsidRPr="00382917">
        <w:t>Ḥusayn</w:t>
      </w:r>
      <w:r w:rsidR="00EE4FC3">
        <w:t xml:space="preserve"> </w:t>
      </w:r>
      <w:r w:rsidRPr="00382917">
        <w:t>was</w:t>
      </w:r>
      <w:r w:rsidR="00EE4FC3">
        <w:t xml:space="preserve"> </w:t>
      </w:r>
      <w:r w:rsidRPr="00382917">
        <w:t>left</w:t>
      </w:r>
      <w:r w:rsidR="00EE4FC3">
        <w:t xml:space="preserve"> </w:t>
      </w:r>
      <w:r w:rsidRPr="00382917">
        <w:t>unfinished.</w:t>
      </w:r>
    </w:p>
    <w:p w:rsidR="00621DD5" w:rsidRPr="00382917" w:rsidRDefault="00621DD5" w:rsidP="00A0514C">
      <w:pPr>
        <w:pStyle w:val="Text"/>
      </w:pPr>
      <w:r w:rsidRPr="00382917">
        <w:t>The</w:t>
      </w:r>
      <w:r w:rsidR="00EE4FC3">
        <w:t xml:space="preserve"> </w:t>
      </w:r>
      <w:r w:rsidRPr="00382917">
        <w:t>Báb</w:t>
      </w:r>
      <w:r w:rsidR="00EE4FC3">
        <w:t xml:space="preserve"> </w:t>
      </w:r>
      <w:r w:rsidRPr="00382917">
        <w:t>and</w:t>
      </w:r>
      <w:r w:rsidR="00EE4FC3">
        <w:t xml:space="preserve"> </w:t>
      </w:r>
      <w:r w:rsidRPr="00382917">
        <w:t>the</w:t>
      </w:r>
      <w:r w:rsidR="00EE4FC3">
        <w:t xml:space="preserve"> </w:t>
      </w:r>
      <w:r w:rsidRPr="00382917">
        <w:t>eighteen-year-old</w:t>
      </w:r>
      <w:r w:rsidR="00EE4FC3">
        <w:t xml:space="preserve"> </w:t>
      </w:r>
      <w:r w:rsidRPr="00382917">
        <w:t>boy</w:t>
      </w:r>
      <w:r w:rsidR="00EE4FC3">
        <w:t xml:space="preserve"> </w:t>
      </w:r>
      <w:r w:rsidRPr="00382917">
        <w:t>who</w:t>
      </w:r>
      <w:r w:rsidR="00EE4FC3">
        <w:t xml:space="preserve"> </w:t>
      </w:r>
      <w:r w:rsidRPr="00382917">
        <w:t>was</w:t>
      </w:r>
      <w:r w:rsidR="00EE4FC3">
        <w:t xml:space="preserve"> </w:t>
      </w:r>
      <w:r w:rsidRPr="00382917">
        <w:t>to</w:t>
      </w:r>
      <w:r w:rsidR="00EE4FC3">
        <w:t xml:space="preserve"> </w:t>
      </w:r>
      <w:r w:rsidRPr="00382917">
        <w:t>die</w:t>
      </w:r>
      <w:r w:rsidR="00EE4FC3">
        <w:t xml:space="preserve"> </w:t>
      </w:r>
      <w:r w:rsidRPr="00382917">
        <w:t>with</w:t>
      </w:r>
      <w:r w:rsidR="00EE4FC3">
        <w:t xml:space="preserve"> </w:t>
      </w:r>
      <w:r w:rsidRPr="00382917">
        <w:t>Him</w:t>
      </w:r>
      <w:r w:rsidR="00EE4FC3">
        <w:t xml:space="preserve"> </w:t>
      </w:r>
      <w:r w:rsidRPr="00382917">
        <w:t>were</w:t>
      </w:r>
      <w:r w:rsidR="00EE4FC3">
        <w:t xml:space="preserve"> </w:t>
      </w:r>
      <w:r w:rsidRPr="00382917">
        <w:t>led,</w:t>
      </w:r>
      <w:r w:rsidR="00EE4FC3">
        <w:t xml:space="preserve"> </w:t>
      </w:r>
      <w:r w:rsidRPr="00382917">
        <w:t>one</w:t>
      </w:r>
      <w:r w:rsidR="00EE4FC3">
        <w:t xml:space="preserve"> </w:t>
      </w:r>
      <w:r w:rsidRPr="00382917">
        <w:t>by</w:t>
      </w:r>
      <w:r w:rsidR="00EE4FC3">
        <w:t xml:space="preserve"> </w:t>
      </w:r>
      <w:r w:rsidRPr="00382917">
        <w:t>one,</w:t>
      </w:r>
      <w:r w:rsidR="00EE4FC3">
        <w:t xml:space="preserve"> </w:t>
      </w:r>
      <w:r w:rsidRPr="00382917">
        <w:t>into</w:t>
      </w:r>
      <w:r w:rsidR="00EE4FC3">
        <w:t xml:space="preserve"> </w:t>
      </w:r>
      <w:r w:rsidRPr="00382917">
        <w:t>the</w:t>
      </w:r>
      <w:r w:rsidR="00EE4FC3">
        <w:t xml:space="preserve"> </w:t>
      </w:r>
      <w:r w:rsidRPr="00382917">
        <w:t>presence</w:t>
      </w:r>
      <w:r w:rsidR="00EE4FC3">
        <w:t xml:space="preserve"> </w:t>
      </w:r>
      <w:r w:rsidRPr="00382917">
        <w:t>of</w:t>
      </w:r>
      <w:r w:rsidR="00EE4FC3">
        <w:t xml:space="preserve"> </w:t>
      </w:r>
      <w:r w:rsidRPr="00382917">
        <w:t>each</w:t>
      </w:r>
      <w:r w:rsidR="00EE4FC3">
        <w:t xml:space="preserve"> </w:t>
      </w:r>
      <w:r w:rsidRPr="00382917">
        <w:t>of</w:t>
      </w:r>
      <w:r w:rsidR="00EE4FC3">
        <w:t xml:space="preserve"> </w:t>
      </w:r>
      <w:r w:rsidRPr="00382917">
        <w:t>three</w:t>
      </w:r>
      <w:r w:rsidR="00EE4FC3">
        <w:t xml:space="preserve"> </w:t>
      </w:r>
      <w:r w:rsidRPr="00382917">
        <w:t>doctors</w:t>
      </w:r>
      <w:r w:rsidR="00EE4FC3">
        <w:t xml:space="preserve"> </w:t>
      </w:r>
      <w:r w:rsidRPr="00382917">
        <w:t>of</w:t>
      </w:r>
      <w:r w:rsidR="00EE4FC3">
        <w:t xml:space="preserve"> </w:t>
      </w:r>
      <w:r w:rsidRPr="00382917">
        <w:t>law</w:t>
      </w:r>
      <w:r w:rsidR="00330AF7">
        <w:t>.</w:t>
      </w:r>
      <w:r w:rsidR="00EE4FC3">
        <w:t xml:space="preserve">  </w:t>
      </w:r>
      <w:r w:rsidRPr="00382917">
        <w:t>The</w:t>
      </w:r>
      <w:r w:rsidR="00EE4FC3">
        <w:t xml:space="preserve"> </w:t>
      </w:r>
      <w:r w:rsidRPr="00382917">
        <w:t>guards</w:t>
      </w:r>
      <w:r w:rsidR="00EE4FC3">
        <w:t xml:space="preserve"> </w:t>
      </w:r>
      <w:r w:rsidRPr="00382917">
        <w:t>made</w:t>
      </w:r>
      <w:r w:rsidR="00EE4FC3">
        <w:t xml:space="preserve"> </w:t>
      </w:r>
      <w:r w:rsidRPr="00382917">
        <w:t>certain</w:t>
      </w:r>
      <w:r w:rsidR="00EE4FC3">
        <w:t xml:space="preserve"> </w:t>
      </w:r>
      <w:r w:rsidRPr="00382917">
        <w:t>that</w:t>
      </w:r>
      <w:r w:rsidR="00EE4FC3">
        <w:t xml:space="preserve"> </w:t>
      </w:r>
      <w:r w:rsidRPr="00382917">
        <w:t>the</w:t>
      </w:r>
      <w:r w:rsidR="00EE4FC3">
        <w:t xml:space="preserve"> </w:t>
      </w:r>
      <w:r w:rsidRPr="00382917">
        <w:t>irons</w:t>
      </w:r>
      <w:r w:rsidR="00EE4FC3">
        <w:t xml:space="preserve"> </w:t>
      </w:r>
      <w:r w:rsidRPr="00382917">
        <w:t>about</w:t>
      </w:r>
      <w:r w:rsidR="00EE4FC3">
        <w:t xml:space="preserve"> </w:t>
      </w:r>
      <w:r w:rsidRPr="00382917">
        <w:t>the</w:t>
      </w:r>
      <w:r w:rsidR="00EE4FC3">
        <w:t xml:space="preserve"> </w:t>
      </w:r>
      <w:r w:rsidRPr="00382917">
        <w:t>neck</w:t>
      </w:r>
      <w:r w:rsidR="00EE4FC3">
        <w:t xml:space="preserve"> </w:t>
      </w:r>
      <w:r w:rsidRPr="00382917">
        <w:t>and</w:t>
      </w:r>
      <w:r w:rsidR="00EE4FC3">
        <w:t xml:space="preserve"> </w:t>
      </w:r>
      <w:r w:rsidRPr="00382917">
        <w:t>wrists</w:t>
      </w:r>
      <w:r w:rsidR="00EE4FC3">
        <w:t xml:space="preserve"> </w:t>
      </w:r>
      <w:r w:rsidRPr="00382917">
        <w:t>were</w:t>
      </w:r>
      <w:r w:rsidR="00EE4FC3">
        <w:t xml:space="preserve"> </w:t>
      </w:r>
      <w:r w:rsidRPr="00382917">
        <w:t>secure</w:t>
      </w:r>
      <w:r w:rsidR="00330AF7">
        <w:t>.</w:t>
      </w:r>
      <w:r w:rsidR="00EE4FC3">
        <w:t xml:space="preserve">  </w:t>
      </w:r>
      <w:r w:rsidRPr="00382917">
        <w:t>To</w:t>
      </w:r>
      <w:r w:rsidR="00EE4FC3">
        <w:t xml:space="preserve"> </w:t>
      </w:r>
      <w:r w:rsidRPr="00382917">
        <w:t>the</w:t>
      </w:r>
      <w:r w:rsidR="00EE4FC3">
        <w:t xml:space="preserve"> </w:t>
      </w:r>
      <w:r w:rsidRPr="00382917">
        <w:t>iron</w:t>
      </w:r>
      <w:r w:rsidR="00EE4FC3">
        <w:t xml:space="preserve"> </w:t>
      </w:r>
      <w:r w:rsidRPr="00382917">
        <w:t>collar</w:t>
      </w:r>
      <w:r w:rsidR="00EE4FC3">
        <w:t xml:space="preserve"> </w:t>
      </w:r>
      <w:r w:rsidRPr="00382917">
        <w:t>about</w:t>
      </w:r>
      <w:r w:rsidR="00EE4FC3">
        <w:t xml:space="preserve"> </w:t>
      </w:r>
      <w:r w:rsidRPr="00382917">
        <w:t>the</w:t>
      </w:r>
      <w:r w:rsidR="00EE4FC3">
        <w:t xml:space="preserve"> </w:t>
      </w:r>
      <w:r w:rsidRPr="00382917">
        <w:t>Báb</w:t>
      </w:r>
      <w:r w:rsidR="009C713D" w:rsidRPr="00382917">
        <w:t>’</w:t>
      </w:r>
      <w:r w:rsidRPr="00382917">
        <w:t>s</w:t>
      </w:r>
      <w:r w:rsidR="00EE4FC3">
        <w:t xml:space="preserve"> </w:t>
      </w:r>
      <w:r w:rsidRPr="00382917">
        <w:t>neck</w:t>
      </w:r>
      <w:r w:rsidR="00EE4FC3">
        <w:t xml:space="preserve"> </w:t>
      </w:r>
      <w:r w:rsidRPr="00382917">
        <w:t>they</w:t>
      </w:r>
      <w:r w:rsidR="00EE4FC3">
        <w:t xml:space="preserve"> </w:t>
      </w:r>
      <w:r w:rsidRPr="00382917">
        <w:t>tied</w:t>
      </w:r>
      <w:r w:rsidR="00EE4FC3">
        <w:t xml:space="preserve"> </w:t>
      </w:r>
      <w:r w:rsidRPr="00382917">
        <w:t>a</w:t>
      </w:r>
      <w:r w:rsidR="00EE4FC3">
        <w:t xml:space="preserve"> </w:t>
      </w:r>
      <w:r w:rsidRPr="00382917">
        <w:t>long</w:t>
      </w:r>
      <w:r w:rsidR="00EE4FC3">
        <w:t xml:space="preserve"> </w:t>
      </w:r>
      <w:r w:rsidRPr="00382917">
        <w:t>cord</w:t>
      </w:r>
      <w:r w:rsidR="00EE4FC3">
        <w:t xml:space="preserve"> </w:t>
      </w:r>
      <w:r w:rsidRPr="00382917">
        <w:t>which</w:t>
      </w:r>
      <w:r w:rsidR="00EE4FC3">
        <w:t xml:space="preserve"> </w:t>
      </w:r>
      <w:r w:rsidRPr="00382917">
        <w:t>was</w:t>
      </w:r>
      <w:r w:rsidR="00EE4FC3">
        <w:t xml:space="preserve"> </w:t>
      </w:r>
      <w:r w:rsidRPr="00382917">
        <w:t>held</w:t>
      </w:r>
      <w:r w:rsidR="00EE4FC3">
        <w:t xml:space="preserve"> </w:t>
      </w:r>
      <w:r w:rsidRPr="00382917">
        <w:t>by</w:t>
      </w:r>
      <w:r w:rsidR="00EE4FC3">
        <w:t xml:space="preserve"> </w:t>
      </w:r>
      <w:r w:rsidRPr="00382917">
        <w:t>another</w:t>
      </w:r>
      <w:r w:rsidR="00EE4FC3">
        <w:t xml:space="preserve"> </w:t>
      </w:r>
      <w:r w:rsidRPr="00382917">
        <w:t>attendant</w:t>
      </w:r>
      <w:r w:rsidR="00330AF7">
        <w:t>.</w:t>
      </w:r>
      <w:r w:rsidR="00EE4FC3">
        <w:t xml:space="preserve">  </w:t>
      </w:r>
      <w:r w:rsidRPr="00382917">
        <w:t>Then,</w:t>
      </w:r>
      <w:r w:rsidR="00EE4FC3">
        <w:t xml:space="preserve"> </w:t>
      </w:r>
      <w:r w:rsidRPr="00382917">
        <w:t>so</w:t>
      </w:r>
      <w:r w:rsidR="00EE4FC3">
        <w:t xml:space="preserve"> </w:t>
      </w:r>
      <w:r w:rsidRPr="00382917">
        <w:t>that</w:t>
      </w:r>
      <w:r w:rsidR="00EE4FC3">
        <w:t xml:space="preserve"> </w:t>
      </w:r>
      <w:r w:rsidRPr="00382917">
        <w:t>everyone</w:t>
      </w:r>
      <w:r w:rsidR="00EE4FC3">
        <w:t xml:space="preserve"> </w:t>
      </w:r>
      <w:r w:rsidRPr="00382917">
        <w:t>could</w:t>
      </w:r>
      <w:r w:rsidR="00EE4FC3">
        <w:t xml:space="preserve"> </w:t>
      </w:r>
      <w:r w:rsidRPr="00382917">
        <w:t>see</w:t>
      </w:r>
      <w:r w:rsidR="00EE4FC3">
        <w:t xml:space="preserve"> </w:t>
      </w:r>
      <w:r w:rsidRPr="00382917">
        <w:t>Him</w:t>
      </w:r>
      <w:r w:rsidR="00EE4FC3">
        <w:t xml:space="preserve"> </w:t>
      </w:r>
      <w:r w:rsidRPr="00382917">
        <w:t>in</w:t>
      </w:r>
      <w:r w:rsidR="00EE4FC3">
        <w:t xml:space="preserve"> </w:t>
      </w:r>
      <w:r w:rsidRPr="00382917">
        <w:t>His</w:t>
      </w:r>
      <w:r w:rsidR="00EE4FC3">
        <w:t xml:space="preserve"> </w:t>
      </w:r>
      <w:r w:rsidRPr="00382917">
        <w:t>humiliation,</w:t>
      </w:r>
      <w:r w:rsidR="00EE4FC3">
        <w:t xml:space="preserve"> </w:t>
      </w:r>
      <w:r w:rsidRPr="00382917">
        <w:t>they</w:t>
      </w:r>
      <w:r w:rsidR="00EE4FC3">
        <w:t xml:space="preserve"> </w:t>
      </w:r>
      <w:r w:rsidRPr="00382917">
        <w:t>walked</w:t>
      </w:r>
      <w:r w:rsidR="00EE4FC3">
        <w:t xml:space="preserve"> </w:t>
      </w:r>
      <w:r w:rsidRPr="00382917">
        <w:t>Him</w:t>
      </w:r>
      <w:r w:rsidR="00EE4FC3">
        <w:t xml:space="preserve"> </w:t>
      </w:r>
      <w:r w:rsidRPr="00382917">
        <w:t>about</w:t>
      </w:r>
      <w:r w:rsidR="00EE4FC3">
        <w:t xml:space="preserve"> </w:t>
      </w:r>
      <w:r w:rsidRPr="00382917">
        <w:t>the</w:t>
      </w:r>
      <w:r w:rsidR="00EE4FC3">
        <w:t xml:space="preserve"> </w:t>
      </w:r>
      <w:r w:rsidRPr="00382917">
        <w:t>town</w:t>
      </w:r>
      <w:r w:rsidR="00330AF7">
        <w:t>.</w:t>
      </w:r>
      <w:r w:rsidR="00EE4FC3">
        <w:t xml:space="preserve">  </w:t>
      </w:r>
      <w:r w:rsidRPr="00382917">
        <w:t>They</w:t>
      </w:r>
      <w:r w:rsidR="00EE4FC3">
        <w:t xml:space="preserve"> </w:t>
      </w:r>
      <w:r w:rsidRPr="00382917">
        <w:t>led</w:t>
      </w:r>
      <w:r w:rsidR="00EE4FC3">
        <w:t xml:space="preserve"> </w:t>
      </w:r>
      <w:r w:rsidRPr="00382917">
        <w:t>Him</w:t>
      </w:r>
      <w:r w:rsidR="00EE4FC3">
        <w:t xml:space="preserve"> </w:t>
      </w:r>
      <w:r w:rsidRPr="00382917">
        <w:t>through</w:t>
      </w:r>
      <w:r w:rsidR="00EE4FC3">
        <w:t xml:space="preserve"> </w:t>
      </w:r>
      <w:r w:rsidRPr="00382917">
        <w:t>the</w:t>
      </w:r>
      <w:r w:rsidR="00EE4FC3">
        <w:t xml:space="preserve"> </w:t>
      </w:r>
      <w:r w:rsidRPr="00382917">
        <w:t>streets</w:t>
      </w:r>
      <w:r w:rsidR="00EE4FC3">
        <w:t xml:space="preserve"> </w:t>
      </w:r>
      <w:r w:rsidRPr="00382917">
        <w:t>and</w:t>
      </w:r>
      <w:r w:rsidR="00EE4FC3">
        <w:t xml:space="preserve"> </w:t>
      </w:r>
      <w:r w:rsidRPr="00382917">
        <w:t>the</w:t>
      </w:r>
      <w:r w:rsidR="00EE4FC3">
        <w:t xml:space="preserve"> </w:t>
      </w:r>
      <w:r w:rsidRPr="00382917">
        <w:t>bazaars,</w:t>
      </w:r>
      <w:r w:rsidR="00EE4FC3">
        <w:t xml:space="preserve"> </w:t>
      </w:r>
      <w:r w:rsidRPr="00382917">
        <w:t>overwhelming</w:t>
      </w:r>
      <w:r w:rsidR="00EE4FC3">
        <w:t xml:space="preserve"> </w:t>
      </w:r>
      <w:r w:rsidRPr="00382917">
        <w:t>Him</w:t>
      </w:r>
      <w:r w:rsidR="00EE4FC3">
        <w:t xml:space="preserve"> </w:t>
      </w:r>
      <w:r w:rsidRPr="00382917">
        <w:t>with</w:t>
      </w:r>
      <w:r w:rsidR="00EE4FC3">
        <w:t xml:space="preserve"> </w:t>
      </w:r>
      <w:r w:rsidRPr="00382917">
        <w:t>blows</w:t>
      </w:r>
      <w:r w:rsidR="00EE4FC3">
        <w:t xml:space="preserve"> </w:t>
      </w:r>
      <w:r w:rsidRPr="00382917">
        <w:t>and</w:t>
      </w:r>
      <w:r w:rsidR="00EE4FC3">
        <w:t xml:space="preserve"> </w:t>
      </w:r>
      <w:r w:rsidRPr="00382917">
        <w:t>insults.</w:t>
      </w:r>
      <w:r w:rsidR="00A0514C">
        <w:rPr>
          <w:rStyle w:val="FootnoteReference"/>
        </w:rPr>
        <w:footnoteReference w:id="253"/>
      </w:r>
      <w:r w:rsidR="00EE4FC3">
        <w:t xml:space="preserve"> </w:t>
      </w:r>
      <w:r w:rsidR="00A0514C">
        <w:t xml:space="preserve"> </w:t>
      </w:r>
      <w:r w:rsidRPr="00382917">
        <w:t>He</w:t>
      </w:r>
      <w:r w:rsidR="00EE4FC3">
        <w:t xml:space="preserve"> </w:t>
      </w:r>
      <w:r w:rsidRPr="00382917">
        <w:t>was</w:t>
      </w:r>
      <w:r w:rsidR="00EE4FC3">
        <w:t xml:space="preserve"> </w:t>
      </w:r>
      <w:r w:rsidRPr="00382917">
        <w:t>paraded</w:t>
      </w:r>
      <w:r w:rsidR="00EE4FC3">
        <w:t xml:space="preserve"> </w:t>
      </w:r>
      <w:r w:rsidRPr="00382917">
        <w:t>publicly,</w:t>
      </w:r>
      <w:r w:rsidR="00EE4FC3">
        <w:t xml:space="preserve"> </w:t>
      </w:r>
      <w:r w:rsidRPr="00382917">
        <w:t>as</w:t>
      </w:r>
      <w:r w:rsidR="00EE4FC3">
        <w:t xml:space="preserve"> </w:t>
      </w:r>
      <w:r w:rsidRPr="00382917">
        <w:t>Christ</w:t>
      </w:r>
      <w:r w:rsidR="00EE4FC3">
        <w:t xml:space="preserve"> </w:t>
      </w:r>
      <w:r w:rsidRPr="00382917">
        <w:t>had</w:t>
      </w:r>
      <w:r w:rsidR="00EE4FC3">
        <w:t xml:space="preserve"> </w:t>
      </w:r>
      <w:proofErr w:type="gramStart"/>
      <w:r w:rsidRPr="00382917">
        <w:t>been,</w:t>
      </w:r>
      <w:proofErr w:type="gramEnd"/>
      <w:r w:rsidR="00EE4FC3">
        <w:t xml:space="preserve"> </w:t>
      </w:r>
      <w:r w:rsidRPr="00382917">
        <w:t>an</w:t>
      </w:r>
      <w:r w:rsidR="00EE4FC3">
        <w:t xml:space="preserve"> </w:t>
      </w:r>
      <w:r w:rsidRPr="00382917">
        <w:t>object</w:t>
      </w:r>
      <w:r w:rsidR="00EE4FC3">
        <w:t xml:space="preserve"> </w:t>
      </w:r>
      <w:r w:rsidRPr="00382917">
        <w:t>of</w:t>
      </w:r>
      <w:r w:rsidR="00EE4FC3">
        <w:t xml:space="preserve"> </w:t>
      </w:r>
      <w:r w:rsidRPr="00382917">
        <w:t>derision.</w:t>
      </w:r>
    </w:p>
    <w:p w:rsidR="00621DD5" w:rsidRPr="00382917" w:rsidRDefault="00621DD5" w:rsidP="00621DD5">
      <w:pPr>
        <w:pStyle w:val="Text"/>
      </w:pPr>
      <w:r w:rsidRPr="00382917">
        <w:t>To</w:t>
      </w:r>
      <w:r w:rsidR="00EE4FC3">
        <w:t xml:space="preserve"> </w:t>
      </w:r>
      <w:r w:rsidRPr="00382917">
        <w:t>the</w:t>
      </w:r>
      <w:r w:rsidR="00EE4FC3">
        <w:t xml:space="preserve"> </w:t>
      </w:r>
      <w:r w:rsidRPr="00382917">
        <w:t>people</w:t>
      </w:r>
      <w:r w:rsidR="00EE4FC3">
        <w:t xml:space="preserve"> </w:t>
      </w:r>
      <w:r w:rsidRPr="00382917">
        <w:t>of</w:t>
      </w:r>
      <w:r w:rsidR="00EE4FC3">
        <w:t xml:space="preserve"> </w:t>
      </w:r>
      <w:r w:rsidRPr="00382917">
        <w:t>Tabríz</w:t>
      </w:r>
      <w:r w:rsidR="00EE4FC3">
        <w:t xml:space="preserve"> </w:t>
      </w:r>
      <w:r w:rsidRPr="00382917">
        <w:t>the</w:t>
      </w:r>
      <w:r w:rsidR="00EE4FC3">
        <w:t xml:space="preserve"> </w:t>
      </w:r>
      <w:r w:rsidRPr="00382917">
        <w:t>Báb</w:t>
      </w:r>
      <w:r w:rsidR="00EE4FC3">
        <w:t xml:space="preserve"> </w:t>
      </w:r>
      <w:r w:rsidRPr="00382917">
        <w:t>was</w:t>
      </w:r>
      <w:r w:rsidR="00EE4FC3">
        <w:t xml:space="preserve"> </w:t>
      </w:r>
      <w:r w:rsidRPr="00382917">
        <w:t>no</w:t>
      </w:r>
      <w:r w:rsidR="00EE4FC3">
        <w:t xml:space="preserve"> </w:t>
      </w:r>
      <w:r w:rsidRPr="00382917">
        <w:t>longer</w:t>
      </w:r>
      <w:r w:rsidR="00EE4FC3">
        <w:t xml:space="preserve"> </w:t>
      </w:r>
      <w:r w:rsidRPr="00382917">
        <w:t>triumphant</w:t>
      </w:r>
      <w:r w:rsidR="00330AF7">
        <w:t>.</w:t>
      </w:r>
      <w:r w:rsidR="00EE4FC3">
        <w:t xml:space="preserve">  </w:t>
      </w:r>
      <w:r w:rsidRPr="00382917">
        <w:t>He</w:t>
      </w:r>
      <w:r w:rsidR="00EE4FC3">
        <w:t xml:space="preserve"> </w:t>
      </w:r>
      <w:r w:rsidRPr="00382917">
        <w:t>was</w:t>
      </w:r>
      <w:r w:rsidR="00EE4FC3">
        <w:t xml:space="preserve"> </w:t>
      </w:r>
      <w:r w:rsidRPr="00382917">
        <w:t>to</w:t>
      </w:r>
      <w:r w:rsidR="00EE4FC3">
        <w:t xml:space="preserve"> </w:t>
      </w:r>
      <w:r w:rsidRPr="00382917">
        <w:t>die</w:t>
      </w:r>
      <w:r w:rsidR="00330AF7">
        <w:t>.</w:t>
      </w:r>
      <w:r w:rsidR="00EE4FC3">
        <w:t xml:space="preserve">  </w:t>
      </w:r>
      <w:r w:rsidRPr="00382917">
        <w:t>He</w:t>
      </w:r>
      <w:r w:rsidR="00EE4FC3">
        <w:t xml:space="preserve"> </w:t>
      </w:r>
      <w:r w:rsidRPr="00382917">
        <w:t>was</w:t>
      </w:r>
      <w:r w:rsidR="00EE4FC3">
        <w:t xml:space="preserve"> </w:t>
      </w:r>
      <w:r w:rsidRPr="00382917">
        <w:t>being</w:t>
      </w:r>
      <w:r w:rsidR="00EE4FC3">
        <w:t xml:space="preserve"> </w:t>
      </w:r>
      <w:r w:rsidRPr="00382917">
        <w:t>humbled</w:t>
      </w:r>
      <w:r w:rsidR="00EE4FC3">
        <w:t xml:space="preserve"> </w:t>
      </w:r>
      <w:r w:rsidRPr="00382917">
        <w:t>and</w:t>
      </w:r>
      <w:r w:rsidR="00EE4FC3">
        <w:t xml:space="preserve"> </w:t>
      </w:r>
      <w:r w:rsidRPr="00382917">
        <w:t>degraded</w:t>
      </w:r>
      <w:r w:rsidR="00EE4FC3">
        <w:t xml:space="preserve"> </w:t>
      </w:r>
      <w:r w:rsidRPr="00382917">
        <w:t>just</w:t>
      </w:r>
      <w:r w:rsidR="00EE4FC3">
        <w:t xml:space="preserve"> </w:t>
      </w:r>
      <w:r w:rsidRPr="00382917">
        <w:t>as</w:t>
      </w:r>
      <w:r w:rsidR="00EE4FC3">
        <w:t xml:space="preserve"> </w:t>
      </w:r>
      <w:r w:rsidRPr="00382917">
        <w:t>the</w:t>
      </w:r>
      <w:r w:rsidR="00EE4FC3">
        <w:t xml:space="preserve"> </w:t>
      </w:r>
      <w:r w:rsidRPr="00382917">
        <w:t>Prime</w:t>
      </w:r>
      <w:r w:rsidR="00EE4FC3">
        <w:t xml:space="preserve"> </w:t>
      </w:r>
      <w:r w:rsidRPr="00382917">
        <w:t>Minister</w:t>
      </w:r>
      <w:r w:rsidR="00EE4FC3">
        <w:t xml:space="preserve"> </w:t>
      </w:r>
      <w:r w:rsidRPr="00382917">
        <w:t>had</w:t>
      </w:r>
      <w:r w:rsidR="00EE4FC3">
        <w:t xml:space="preserve"> </w:t>
      </w:r>
      <w:r w:rsidRPr="00382917">
        <w:t>planned</w:t>
      </w:r>
      <w:r w:rsidR="00330AF7">
        <w:t>.</w:t>
      </w:r>
      <w:r w:rsidR="00EE4FC3">
        <w:t xml:space="preserve">  </w:t>
      </w:r>
      <w:r w:rsidRPr="00382917">
        <w:t>The</w:t>
      </w:r>
      <w:r w:rsidR="00EE4FC3">
        <w:t xml:space="preserve"> </w:t>
      </w:r>
      <w:r w:rsidRPr="00382917">
        <w:t>crowds</w:t>
      </w:r>
      <w:r w:rsidR="00EE4FC3">
        <w:t xml:space="preserve"> </w:t>
      </w:r>
      <w:r w:rsidRPr="00382917">
        <w:t>packed</w:t>
      </w:r>
      <w:r w:rsidR="00EE4FC3">
        <w:t xml:space="preserve"> </w:t>
      </w:r>
      <w:r w:rsidRPr="00382917">
        <w:t>the</w:t>
      </w:r>
      <w:r w:rsidR="00EE4FC3">
        <w:t xml:space="preserve"> </w:t>
      </w:r>
      <w:r w:rsidRPr="00382917">
        <w:t>streets</w:t>
      </w:r>
      <w:r w:rsidR="00EE4FC3">
        <w:t xml:space="preserve"> </w:t>
      </w:r>
      <w:r w:rsidRPr="00382917">
        <w:t>along</w:t>
      </w:r>
      <w:r w:rsidR="00EE4FC3">
        <w:t xml:space="preserve"> </w:t>
      </w:r>
      <w:r w:rsidRPr="00382917">
        <w:t>which</w:t>
      </w:r>
      <w:r w:rsidR="00EE4FC3">
        <w:t xml:space="preserve"> </w:t>
      </w:r>
      <w:r w:rsidRPr="00382917">
        <w:t>he</w:t>
      </w:r>
      <w:r w:rsidR="00EE4FC3">
        <w:t xml:space="preserve"> </w:t>
      </w:r>
      <w:r w:rsidRPr="00382917">
        <w:t>was</w:t>
      </w:r>
      <w:r w:rsidR="00EE4FC3">
        <w:t xml:space="preserve"> </w:t>
      </w:r>
      <w:r w:rsidRPr="00382917">
        <w:t>led</w:t>
      </w:r>
      <w:r w:rsidR="00330AF7">
        <w:t>.</w:t>
      </w:r>
      <w:r w:rsidR="00EE4FC3">
        <w:t xml:space="preserve">  </w:t>
      </w:r>
      <w:r w:rsidRPr="00382917">
        <w:t>The</w:t>
      </w:r>
      <w:r w:rsidR="00EE4FC3">
        <w:t xml:space="preserve"> </w:t>
      </w:r>
      <w:r w:rsidRPr="00382917">
        <w:t>people</w:t>
      </w:r>
      <w:r w:rsidR="00EE4FC3">
        <w:t xml:space="preserve"> </w:t>
      </w:r>
      <w:r w:rsidRPr="00382917">
        <w:t>climbed</w:t>
      </w:r>
      <w:r w:rsidR="00EE4FC3">
        <w:t xml:space="preserve"> </w:t>
      </w:r>
      <w:r w:rsidRPr="00382917">
        <w:t>upon</w:t>
      </w:r>
      <w:r w:rsidR="00EE4FC3">
        <w:t xml:space="preserve"> </w:t>
      </w:r>
      <w:r w:rsidRPr="00382917">
        <w:t>each</w:t>
      </w:r>
      <w:r w:rsidR="00EE4FC3">
        <w:t xml:space="preserve"> </w:t>
      </w:r>
      <w:r w:rsidRPr="00382917">
        <w:t>other</w:t>
      </w:r>
      <w:r w:rsidR="009C713D" w:rsidRPr="00382917">
        <w:t>’</w:t>
      </w:r>
      <w:r w:rsidRPr="00382917">
        <w:t>s</w:t>
      </w:r>
      <w:r w:rsidR="00EE4FC3">
        <w:t xml:space="preserve"> </w:t>
      </w:r>
      <w:r w:rsidRPr="00382917">
        <w:t>shoulders</w:t>
      </w:r>
      <w:r w:rsidR="00EE4FC3">
        <w:t xml:space="preserve"> </w:t>
      </w:r>
      <w:r w:rsidRPr="00382917">
        <w:t>the</w:t>
      </w:r>
    </w:p>
    <w:p w:rsidR="00621DD5" w:rsidRPr="00382917" w:rsidRDefault="00621DD5">
      <w:pPr>
        <w:widowControl/>
        <w:kinsoku/>
        <w:overflowPunct/>
        <w:textAlignment w:val="auto"/>
      </w:pPr>
      <w:r w:rsidRPr="00382917">
        <w:br w:type="page"/>
      </w:r>
    </w:p>
    <w:p w:rsidR="00621DD5" w:rsidRPr="00382917" w:rsidRDefault="00621DD5" w:rsidP="00621DD5">
      <w:pPr>
        <w:pStyle w:val="Textcts"/>
      </w:pPr>
      <w:proofErr w:type="gramStart"/>
      <w:r w:rsidRPr="00382917">
        <w:t>better</w:t>
      </w:r>
      <w:proofErr w:type="gramEnd"/>
      <w:r w:rsidR="00EE4FC3">
        <w:t xml:space="preserve"> </w:t>
      </w:r>
      <w:r w:rsidRPr="00382917">
        <w:t>to</w:t>
      </w:r>
      <w:r w:rsidR="00EE4FC3">
        <w:t xml:space="preserve"> </w:t>
      </w:r>
      <w:r w:rsidRPr="00382917">
        <w:t>see</w:t>
      </w:r>
      <w:r w:rsidR="00EE4FC3">
        <w:t xml:space="preserve"> </w:t>
      </w:r>
      <w:r w:rsidRPr="00382917">
        <w:t>this</w:t>
      </w:r>
      <w:r w:rsidR="00EE4FC3">
        <w:t xml:space="preserve"> </w:t>
      </w:r>
      <w:r w:rsidRPr="00382917">
        <w:t>Personage</w:t>
      </w:r>
      <w:r w:rsidR="00EE4FC3">
        <w:t xml:space="preserve"> </w:t>
      </w:r>
      <w:r w:rsidRPr="00382917">
        <w:t>Who</w:t>
      </w:r>
      <w:r w:rsidR="00EE4FC3">
        <w:t xml:space="preserve"> </w:t>
      </w:r>
      <w:r w:rsidRPr="00382917">
        <w:t>was</w:t>
      </w:r>
      <w:r w:rsidR="00EE4FC3">
        <w:t xml:space="preserve"> </w:t>
      </w:r>
      <w:r w:rsidRPr="00382917">
        <w:t>so</w:t>
      </w:r>
      <w:r w:rsidR="00EE4FC3">
        <w:t xml:space="preserve"> </w:t>
      </w:r>
      <w:r w:rsidRPr="00382917">
        <w:t>much</w:t>
      </w:r>
      <w:r w:rsidR="00EE4FC3">
        <w:t xml:space="preserve"> </w:t>
      </w:r>
      <w:r w:rsidRPr="00382917">
        <w:t>talked</w:t>
      </w:r>
      <w:r w:rsidR="00EE4FC3">
        <w:t xml:space="preserve"> </w:t>
      </w:r>
      <w:r w:rsidRPr="00382917">
        <w:t>about</w:t>
      </w:r>
      <w:r w:rsidR="00330AF7">
        <w:t>.</w:t>
      </w:r>
      <w:r w:rsidR="00EE4FC3">
        <w:t xml:space="preserve">  </w:t>
      </w:r>
      <w:r w:rsidRPr="00382917">
        <w:t>What</w:t>
      </w:r>
      <w:r w:rsidR="00EE4FC3">
        <w:t xml:space="preserve"> </w:t>
      </w:r>
      <w:r w:rsidRPr="00382917">
        <w:t>a</w:t>
      </w:r>
      <w:r w:rsidR="00EE4FC3">
        <w:t xml:space="preserve"> </w:t>
      </w:r>
      <w:r w:rsidRPr="00382917">
        <w:t>pity</w:t>
      </w:r>
      <w:r w:rsidR="00EE4FC3">
        <w:t xml:space="preserve"> </w:t>
      </w:r>
      <w:r w:rsidRPr="00382917">
        <w:t>He</w:t>
      </w:r>
      <w:r w:rsidR="00EE4FC3">
        <w:t xml:space="preserve"> </w:t>
      </w:r>
      <w:r w:rsidRPr="00382917">
        <w:t>was</w:t>
      </w:r>
      <w:r w:rsidR="00EE4FC3">
        <w:t xml:space="preserve"> </w:t>
      </w:r>
      <w:r w:rsidRPr="00382917">
        <w:t>so</w:t>
      </w:r>
      <w:r w:rsidR="00EE4FC3">
        <w:t xml:space="preserve"> </w:t>
      </w:r>
      <w:r w:rsidRPr="00382917">
        <w:t>powerless,</w:t>
      </w:r>
      <w:r w:rsidR="00EE4FC3">
        <w:t xml:space="preserve"> </w:t>
      </w:r>
      <w:r w:rsidRPr="00382917">
        <w:t>they</w:t>
      </w:r>
      <w:r w:rsidR="00EE4FC3">
        <w:t xml:space="preserve"> </w:t>
      </w:r>
      <w:r w:rsidRPr="00382917">
        <w:t>said</w:t>
      </w:r>
      <w:r w:rsidR="00330AF7">
        <w:t>.</w:t>
      </w:r>
      <w:r w:rsidR="00EE4FC3">
        <w:t xml:space="preserve">  </w:t>
      </w:r>
      <w:r w:rsidRPr="00382917">
        <w:t>Quite</w:t>
      </w:r>
      <w:r w:rsidR="00EE4FC3">
        <w:t xml:space="preserve"> </w:t>
      </w:r>
      <w:r w:rsidRPr="00382917">
        <w:t>obviously</w:t>
      </w:r>
      <w:r w:rsidR="00EE4FC3">
        <w:t xml:space="preserve"> </w:t>
      </w:r>
      <w:r w:rsidRPr="00382917">
        <w:t>this</w:t>
      </w:r>
      <w:r w:rsidR="00EE4FC3">
        <w:t xml:space="preserve"> </w:t>
      </w:r>
      <w:r w:rsidRPr="00382917">
        <w:t>could</w:t>
      </w:r>
      <w:r w:rsidR="00EE4FC3">
        <w:t xml:space="preserve"> </w:t>
      </w:r>
      <w:r w:rsidRPr="00382917">
        <w:t>not</w:t>
      </w:r>
      <w:r w:rsidR="00EE4FC3">
        <w:t xml:space="preserve"> </w:t>
      </w:r>
      <w:r w:rsidRPr="00382917">
        <w:t>be</w:t>
      </w:r>
      <w:r w:rsidR="00EE4FC3">
        <w:t xml:space="preserve"> </w:t>
      </w:r>
      <w:r w:rsidRPr="00382917">
        <w:t>a</w:t>
      </w:r>
      <w:r w:rsidR="00EE4FC3">
        <w:t xml:space="preserve"> </w:t>
      </w:r>
      <w:r w:rsidRPr="00382917">
        <w:t>Man</w:t>
      </w:r>
      <w:r w:rsidR="00EE4FC3">
        <w:t xml:space="preserve"> </w:t>
      </w:r>
      <w:r w:rsidRPr="00382917">
        <w:t>of</w:t>
      </w:r>
      <w:r w:rsidR="00EE4FC3">
        <w:t xml:space="preserve"> </w:t>
      </w:r>
      <w:r w:rsidRPr="00382917">
        <w:t>God,</w:t>
      </w:r>
      <w:r w:rsidR="00EE4FC3">
        <w:t xml:space="preserve"> </w:t>
      </w:r>
      <w:r w:rsidRPr="00382917">
        <w:t>and</w:t>
      </w:r>
      <w:r w:rsidR="00EE4FC3">
        <w:t xml:space="preserve"> </w:t>
      </w:r>
      <w:r w:rsidRPr="00382917">
        <w:t>certainly</w:t>
      </w:r>
      <w:r w:rsidR="00EE4FC3">
        <w:t xml:space="preserve"> </w:t>
      </w:r>
      <w:r w:rsidRPr="00382917">
        <w:t>not</w:t>
      </w:r>
      <w:r w:rsidR="00EE4FC3">
        <w:t xml:space="preserve"> </w:t>
      </w:r>
      <w:r w:rsidRPr="00382917">
        <w:t>the</w:t>
      </w:r>
      <w:r w:rsidR="00EE4FC3">
        <w:t xml:space="preserve"> </w:t>
      </w:r>
      <w:r w:rsidRPr="00382917">
        <w:t>Promised</w:t>
      </w:r>
      <w:r w:rsidR="00EE4FC3">
        <w:t xml:space="preserve"> </w:t>
      </w:r>
      <w:r w:rsidRPr="00382917">
        <w:t>One.</w:t>
      </w:r>
    </w:p>
    <w:p w:rsidR="00621DD5" w:rsidRPr="00382917" w:rsidRDefault="00621DD5" w:rsidP="00621DD5">
      <w:pPr>
        <w:pStyle w:val="Text"/>
      </w:pPr>
      <w:proofErr w:type="gramStart"/>
      <w:r w:rsidRPr="00382917">
        <w:t>The</w:t>
      </w:r>
      <w:r w:rsidR="00EE4FC3">
        <w:t xml:space="preserve"> </w:t>
      </w:r>
      <w:r w:rsidRPr="00382917">
        <w:t>followers</w:t>
      </w:r>
      <w:r w:rsidR="00EE4FC3">
        <w:t xml:space="preserve"> </w:t>
      </w:r>
      <w:r w:rsidRPr="00382917">
        <w:t>of</w:t>
      </w:r>
      <w:r w:rsidR="00EE4FC3">
        <w:t xml:space="preserve"> </w:t>
      </w:r>
      <w:r w:rsidRPr="00382917">
        <w:t>the</w:t>
      </w:r>
      <w:r w:rsidR="00EE4FC3">
        <w:t xml:space="preserve"> </w:t>
      </w:r>
      <w:r w:rsidRPr="00382917">
        <w:t>Báb</w:t>
      </w:r>
      <w:r w:rsidR="00EE4FC3">
        <w:t xml:space="preserve"> </w:t>
      </w:r>
      <w:r w:rsidRPr="00382917">
        <w:t>who</w:t>
      </w:r>
      <w:r w:rsidR="00EE4FC3">
        <w:t xml:space="preserve"> </w:t>
      </w:r>
      <w:r w:rsidRPr="00382917">
        <w:t>were</w:t>
      </w:r>
      <w:r w:rsidR="00EE4FC3">
        <w:t xml:space="preserve"> </w:t>
      </w:r>
      <w:r w:rsidRPr="00382917">
        <w:t>in</w:t>
      </w:r>
      <w:r w:rsidR="00EE4FC3">
        <w:t xml:space="preserve"> </w:t>
      </w:r>
      <w:r w:rsidRPr="00382917">
        <w:t>the</w:t>
      </w:r>
      <w:r w:rsidR="00EE4FC3">
        <w:t xml:space="preserve"> </w:t>
      </w:r>
      <w:r w:rsidRPr="00382917">
        <w:t>crowd</w:t>
      </w:r>
      <w:r w:rsidR="00EE4FC3">
        <w:t xml:space="preserve"> </w:t>
      </w:r>
      <w:r w:rsidRPr="00382917">
        <w:t>scattered</w:t>
      </w:r>
      <w:r w:rsidR="00EE4FC3">
        <w:t xml:space="preserve"> </w:t>
      </w:r>
      <w:r w:rsidRPr="00382917">
        <w:t>in</w:t>
      </w:r>
      <w:r w:rsidR="00EE4FC3">
        <w:t xml:space="preserve"> </w:t>
      </w:r>
      <w:r w:rsidRPr="00382917">
        <w:t>all</w:t>
      </w:r>
      <w:r w:rsidR="00EE4FC3">
        <w:t xml:space="preserve"> </w:t>
      </w:r>
      <w:r w:rsidRPr="00382917">
        <w:t>directions</w:t>
      </w:r>
      <w:r w:rsidR="00330AF7">
        <w:t>.</w:t>
      </w:r>
      <w:proofErr w:type="gramEnd"/>
      <w:r w:rsidR="00EE4FC3">
        <w:t xml:space="preserve">  </w:t>
      </w:r>
      <w:r w:rsidRPr="00382917">
        <w:t>They</w:t>
      </w:r>
      <w:r w:rsidR="00EE4FC3">
        <w:t xml:space="preserve"> </w:t>
      </w:r>
      <w:r w:rsidRPr="00382917">
        <w:t>were</w:t>
      </w:r>
      <w:r w:rsidR="00EE4FC3">
        <w:t xml:space="preserve"> </w:t>
      </w:r>
      <w:r w:rsidRPr="00382917">
        <w:t>trying</w:t>
      </w:r>
      <w:r w:rsidR="00EE4FC3">
        <w:t xml:space="preserve"> </w:t>
      </w:r>
      <w:r w:rsidRPr="00382917">
        <w:t>to</w:t>
      </w:r>
      <w:r w:rsidR="00EE4FC3">
        <w:t xml:space="preserve"> </w:t>
      </w:r>
      <w:r w:rsidRPr="00382917">
        <w:t>arouse</w:t>
      </w:r>
      <w:r w:rsidR="00EE4FC3">
        <w:t xml:space="preserve"> </w:t>
      </w:r>
      <w:r w:rsidRPr="00382917">
        <w:t>among</w:t>
      </w:r>
      <w:r w:rsidR="00EE4FC3">
        <w:t xml:space="preserve"> </w:t>
      </w:r>
      <w:r w:rsidRPr="00382917">
        <w:t>the</w:t>
      </w:r>
      <w:r w:rsidR="00EE4FC3">
        <w:t xml:space="preserve"> </w:t>
      </w:r>
      <w:r w:rsidRPr="00382917">
        <w:t>onlookers</w:t>
      </w:r>
      <w:r w:rsidR="00EE4FC3">
        <w:t xml:space="preserve"> </w:t>
      </w:r>
      <w:r w:rsidRPr="00382917">
        <w:t>a</w:t>
      </w:r>
      <w:r w:rsidR="00EE4FC3">
        <w:t xml:space="preserve"> </w:t>
      </w:r>
      <w:r w:rsidRPr="00382917">
        <w:t>feeling</w:t>
      </w:r>
      <w:r w:rsidR="00EE4FC3">
        <w:t xml:space="preserve"> </w:t>
      </w:r>
      <w:r w:rsidRPr="00382917">
        <w:t>of</w:t>
      </w:r>
      <w:r w:rsidR="00EE4FC3">
        <w:t xml:space="preserve"> </w:t>
      </w:r>
      <w:r w:rsidRPr="00382917">
        <w:t>pity</w:t>
      </w:r>
      <w:r w:rsidR="00EE4FC3">
        <w:t xml:space="preserve"> </w:t>
      </w:r>
      <w:r w:rsidRPr="00382917">
        <w:t>or</w:t>
      </w:r>
      <w:r w:rsidR="00EE4FC3">
        <w:t xml:space="preserve"> </w:t>
      </w:r>
      <w:r w:rsidRPr="00382917">
        <w:t>sympathy</w:t>
      </w:r>
      <w:r w:rsidR="00EE4FC3">
        <w:t xml:space="preserve"> </w:t>
      </w:r>
      <w:r w:rsidRPr="00382917">
        <w:t>which</w:t>
      </w:r>
      <w:r w:rsidR="00EE4FC3">
        <w:t xml:space="preserve"> </w:t>
      </w:r>
      <w:r w:rsidRPr="00382917">
        <w:t>might</w:t>
      </w:r>
      <w:r w:rsidR="00EE4FC3">
        <w:t xml:space="preserve"> </w:t>
      </w:r>
      <w:r w:rsidRPr="00382917">
        <w:t>help</w:t>
      </w:r>
      <w:r w:rsidR="00EE4FC3">
        <w:t xml:space="preserve"> </w:t>
      </w:r>
      <w:r w:rsidRPr="00382917">
        <w:t>them</w:t>
      </w:r>
      <w:r w:rsidR="00EE4FC3">
        <w:t xml:space="preserve"> </w:t>
      </w:r>
      <w:r w:rsidRPr="00382917">
        <w:t>save</w:t>
      </w:r>
      <w:r w:rsidR="00EE4FC3">
        <w:t xml:space="preserve"> </w:t>
      </w:r>
      <w:r w:rsidRPr="00382917">
        <w:t>their</w:t>
      </w:r>
      <w:r w:rsidR="00EE4FC3">
        <w:t xml:space="preserve"> </w:t>
      </w:r>
      <w:r w:rsidRPr="00382917">
        <w:t>Master.</w:t>
      </w:r>
    </w:p>
    <w:p w:rsidR="00621DD5" w:rsidRPr="00382917" w:rsidRDefault="00621DD5" w:rsidP="00621DD5">
      <w:pPr>
        <w:pStyle w:val="Text"/>
      </w:pPr>
      <w:r w:rsidRPr="00382917">
        <w:t>Jesus</w:t>
      </w:r>
      <w:r w:rsidR="00EE4FC3">
        <w:t xml:space="preserve"> </w:t>
      </w:r>
      <w:r w:rsidRPr="00382917">
        <w:t>had</w:t>
      </w:r>
      <w:r w:rsidR="00EE4FC3">
        <w:t xml:space="preserve"> </w:t>
      </w:r>
      <w:r w:rsidRPr="00382917">
        <w:t>entered</w:t>
      </w:r>
      <w:r w:rsidR="00EE4FC3">
        <w:t xml:space="preserve"> </w:t>
      </w:r>
      <w:r w:rsidRPr="00382917">
        <w:t>Jerusalem</w:t>
      </w:r>
      <w:r w:rsidR="00EE4FC3">
        <w:t xml:space="preserve"> </w:t>
      </w:r>
      <w:r w:rsidRPr="00382917">
        <w:t>hailed</w:t>
      </w:r>
      <w:r w:rsidR="00EE4FC3">
        <w:t xml:space="preserve"> </w:t>
      </w:r>
      <w:r w:rsidRPr="00382917">
        <w:t>on</w:t>
      </w:r>
      <w:r w:rsidR="00EE4FC3">
        <w:t xml:space="preserve"> </w:t>
      </w:r>
      <w:r w:rsidRPr="00382917">
        <w:t>all</w:t>
      </w:r>
      <w:r w:rsidR="00EE4FC3">
        <w:t xml:space="preserve"> </w:t>
      </w:r>
      <w:r w:rsidRPr="00382917">
        <w:t>sides,</w:t>
      </w:r>
      <w:r w:rsidR="00EE4FC3">
        <w:t xml:space="preserve"> </w:t>
      </w:r>
      <w:r w:rsidRPr="00382917">
        <w:t>with</w:t>
      </w:r>
      <w:r w:rsidR="00EE4FC3">
        <w:t xml:space="preserve"> </w:t>
      </w:r>
      <w:r w:rsidRPr="00382917">
        <w:t>palm</w:t>
      </w:r>
      <w:r w:rsidR="00EE4FC3">
        <w:t xml:space="preserve"> </w:t>
      </w:r>
      <w:r w:rsidRPr="00382917">
        <w:t>leaves</w:t>
      </w:r>
      <w:r w:rsidR="00EE4FC3">
        <w:t xml:space="preserve"> </w:t>
      </w:r>
      <w:r w:rsidRPr="00382917">
        <w:t>strewn</w:t>
      </w:r>
      <w:r w:rsidR="00EE4FC3">
        <w:t xml:space="preserve"> </w:t>
      </w:r>
      <w:r w:rsidRPr="00382917">
        <w:t>in</w:t>
      </w:r>
      <w:r w:rsidR="00EE4FC3">
        <w:t xml:space="preserve"> </w:t>
      </w:r>
      <w:r w:rsidRPr="00382917">
        <w:t>His</w:t>
      </w:r>
      <w:r w:rsidR="00EE4FC3">
        <w:t xml:space="preserve"> </w:t>
      </w:r>
      <w:r w:rsidRPr="00382917">
        <w:t>path,</w:t>
      </w:r>
      <w:r w:rsidR="00EE4FC3">
        <w:t xml:space="preserve"> </w:t>
      </w:r>
      <w:r w:rsidRPr="00382917">
        <w:t>only</w:t>
      </w:r>
      <w:r w:rsidR="00EE4FC3">
        <w:t xml:space="preserve"> </w:t>
      </w:r>
      <w:r w:rsidRPr="00382917">
        <w:t>to</w:t>
      </w:r>
      <w:r w:rsidR="00EE4FC3">
        <w:t xml:space="preserve"> </w:t>
      </w:r>
      <w:r w:rsidRPr="00382917">
        <w:t>be</w:t>
      </w:r>
      <w:r w:rsidR="00EE4FC3">
        <w:t xml:space="preserve"> </w:t>
      </w:r>
      <w:r w:rsidRPr="00382917">
        <w:t>mocked</w:t>
      </w:r>
      <w:r w:rsidR="00EE4FC3">
        <w:t xml:space="preserve"> </w:t>
      </w:r>
      <w:r w:rsidRPr="00382917">
        <w:t>and</w:t>
      </w:r>
      <w:r w:rsidR="00EE4FC3">
        <w:t xml:space="preserve"> </w:t>
      </w:r>
      <w:r w:rsidRPr="00382917">
        <w:t>reviled</w:t>
      </w:r>
      <w:r w:rsidR="00EE4FC3">
        <w:t xml:space="preserve"> </w:t>
      </w:r>
      <w:r w:rsidRPr="00382917">
        <w:t>in</w:t>
      </w:r>
      <w:r w:rsidR="00EE4FC3">
        <w:t xml:space="preserve"> </w:t>
      </w:r>
      <w:r w:rsidRPr="00382917">
        <w:t>that</w:t>
      </w:r>
      <w:r w:rsidR="00EE4FC3">
        <w:t xml:space="preserve"> </w:t>
      </w:r>
      <w:r w:rsidRPr="00382917">
        <w:t>same</w:t>
      </w:r>
      <w:r w:rsidR="00EE4FC3">
        <w:t xml:space="preserve"> </w:t>
      </w:r>
      <w:r w:rsidRPr="00382917">
        <w:t>Jerusalem</w:t>
      </w:r>
      <w:r w:rsidR="00EE4FC3">
        <w:t xml:space="preserve"> </w:t>
      </w:r>
      <w:r w:rsidRPr="00382917">
        <w:t>with</w:t>
      </w:r>
      <w:r w:rsidR="00EE4FC3">
        <w:t xml:space="preserve"> </w:t>
      </w:r>
      <w:r w:rsidRPr="00382917">
        <w:t>the</w:t>
      </w:r>
      <w:r w:rsidR="00EE4FC3">
        <w:t xml:space="preserve"> </w:t>
      </w:r>
      <w:r w:rsidRPr="00382917">
        <w:t>week</w:t>
      </w:r>
      <w:r w:rsidR="00330AF7">
        <w:t>.</w:t>
      </w:r>
      <w:r w:rsidR="00EE4FC3">
        <w:t xml:space="preserve">  </w:t>
      </w:r>
      <w:r w:rsidRPr="00382917">
        <w:t>In</w:t>
      </w:r>
      <w:r w:rsidR="00EE4FC3">
        <w:t xml:space="preserve"> </w:t>
      </w:r>
      <w:r w:rsidRPr="00382917">
        <w:t>like</w:t>
      </w:r>
      <w:r w:rsidR="00EE4FC3">
        <w:t xml:space="preserve"> </w:t>
      </w:r>
      <w:r w:rsidRPr="00382917">
        <w:t>manner</w:t>
      </w:r>
      <w:r w:rsidR="00EE4FC3">
        <w:t xml:space="preserve"> </w:t>
      </w:r>
      <w:r w:rsidRPr="00382917">
        <w:t>the</w:t>
      </w:r>
      <w:r w:rsidR="00EE4FC3">
        <w:t xml:space="preserve"> </w:t>
      </w:r>
      <w:r w:rsidRPr="00382917">
        <w:t>glory</w:t>
      </w:r>
      <w:r w:rsidR="00EE4FC3">
        <w:t xml:space="preserve"> </w:t>
      </w:r>
      <w:r w:rsidRPr="00382917">
        <w:t>that</w:t>
      </w:r>
      <w:r w:rsidR="00EE4FC3">
        <w:t xml:space="preserve"> </w:t>
      </w:r>
      <w:r w:rsidRPr="00382917">
        <w:t>had</w:t>
      </w:r>
      <w:r w:rsidR="00EE4FC3">
        <w:t xml:space="preserve"> </w:t>
      </w:r>
      <w:r w:rsidRPr="00382917">
        <w:t>attended</w:t>
      </w:r>
      <w:r w:rsidR="00EE4FC3">
        <w:t xml:space="preserve"> </w:t>
      </w:r>
      <w:r w:rsidRPr="00382917">
        <w:t>the</w:t>
      </w:r>
      <w:r w:rsidR="00EE4FC3">
        <w:t xml:space="preserve"> </w:t>
      </w:r>
      <w:r w:rsidRPr="00382917">
        <w:t>Báb</w:t>
      </w:r>
      <w:r w:rsidR="009C713D" w:rsidRPr="00382917">
        <w:t>’</w:t>
      </w:r>
      <w:r w:rsidRPr="00382917">
        <w:t>s</w:t>
      </w:r>
      <w:r w:rsidR="00EE4FC3">
        <w:t xml:space="preserve"> </w:t>
      </w:r>
      <w:r w:rsidRPr="00382917">
        <w:t>first</w:t>
      </w:r>
      <w:r w:rsidR="00EE4FC3">
        <w:t xml:space="preserve"> </w:t>
      </w:r>
      <w:r w:rsidRPr="00382917">
        <w:t>triumphant</w:t>
      </w:r>
      <w:r w:rsidR="00EE4FC3">
        <w:t xml:space="preserve"> </w:t>
      </w:r>
      <w:r w:rsidRPr="00382917">
        <w:t>entry</w:t>
      </w:r>
      <w:r w:rsidR="00EE4FC3">
        <w:t xml:space="preserve"> </w:t>
      </w:r>
      <w:r w:rsidRPr="00382917">
        <w:t>into</w:t>
      </w:r>
      <w:r w:rsidR="00EE4FC3">
        <w:t xml:space="preserve"> </w:t>
      </w:r>
      <w:r w:rsidR="00B24C41">
        <w:t>Tabríz</w:t>
      </w:r>
      <w:r w:rsidR="00EE4FC3">
        <w:t xml:space="preserve"> </w:t>
      </w:r>
      <w:r w:rsidRPr="00382917">
        <w:t>was</w:t>
      </w:r>
      <w:r w:rsidR="00EE4FC3">
        <w:t xml:space="preserve"> </w:t>
      </w:r>
      <w:r w:rsidRPr="00382917">
        <w:t>now</w:t>
      </w:r>
      <w:r w:rsidR="00EE4FC3">
        <w:t xml:space="preserve"> </w:t>
      </w:r>
      <w:r w:rsidRPr="00382917">
        <w:t>forgotten</w:t>
      </w:r>
      <w:r w:rsidR="00330AF7">
        <w:t>.</w:t>
      </w:r>
      <w:r w:rsidR="00EE4FC3">
        <w:t xml:space="preserve">  </w:t>
      </w:r>
      <w:r w:rsidRPr="00382917">
        <w:t>This</w:t>
      </w:r>
      <w:r w:rsidR="00EE4FC3">
        <w:t xml:space="preserve"> </w:t>
      </w:r>
      <w:r w:rsidRPr="00382917">
        <w:t>time</w:t>
      </w:r>
      <w:r w:rsidR="00EE4FC3">
        <w:t xml:space="preserve"> </w:t>
      </w:r>
      <w:r w:rsidRPr="00382917">
        <w:t>the</w:t>
      </w:r>
      <w:r w:rsidR="00EE4FC3">
        <w:t xml:space="preserve"> </w:t>
      </w:r>
      <w:r w:rsidRPr="00382917">
        <w:t>crowd,</w:t>
      </w:r>
      <w:r w:rsidR="00EE4FC3">
        <w:t xml:space="preserve"> </w:t>
      </w:r>
      <w:r w:rsidRPr="00382917">
        <w:t>restless</w:t>
      </w:r>
      <w:r w:rsidR="00EE4FC3">
        <w:t xml:space="preserve"> </w:t>
      </w:r>
      <w:r w:rsidRPr="00382917">
        <w:t>and</w:t>
      </w:r>
      <w:r w:rsidR="00EE4FC3">
        <w:t xml:space="preserve"> </w:t>
      </w:r>
      <w:r w:rsidRPr="00382917">
        <w:t>excitable,</w:t>
      </w:r>
      <w:r w:rsidR="00EE4FC3">
        <w:t xml:space="preserve"> </w:t>
      </w:r>
      <w:r w:rsidRPr="00382917">
        <w:t>flung</w:t>
      </w:r>
      <w:r w:rsidR="00EE4FC3">
        <w:t xml:space="preserve"> </w:t>
      </w:r>
      <w:r w:rsidRPr="00382917">
        <w:t>insulting</w:t>
      </w:r>
      <w:r w:rsidR="00EE4FC3">
        <w:t xml:space="preserve"> </w:t>
      </w:r>
      <w:r w:rsidRPr="00382917">
        <w:t>words</w:t>
      </w:r>
      <w:r w:rsidR="00EE4FC3">
        <w:t xml:space="preserve"> </w:t>
      </w:r>
      <w:r w:rsidRPr="00382917">
        <w:t>at</w:t>
      </w:r>
      <w:r w:rsidR="00EE4FC3">
        <w:t xml:space="preserve"> </w:t>
      </w:r>
      <w:r w:rsidRPr="00382917">
        <w:t>Him</w:t>
      </w:r>
      <w:r w:rsidR="00330AF7">
        <w:t>.</w:t>
      </w:r>
      <w:r w:rsidR="00EE4FC3">
        <w:t xml:space="preserve">  </w:t>
      </w:r>
      <w:r w:rsidRPr="00382917">
        <w:t>They</w:t>
      </w:r>
      <w:r w:rsidR="00EE4FC3">
        <w:t xml:space="preserve"> </w:t>
      </w:r>
      <w:r w:rsidRPr="00382917">
        <w:t>wanted</w:t>
      </w:r>
      <w:r w:rsidR="00EE4FC3">
        <w:t xml:space="preserve"> </w:t>
      </w:r>
      <w:r w:rsidRPr="00382917">
        <w:t>to</w:t>
      </w:r>
      <w:r w:rsidR="00EE4FC3">
        <w:t xml:space="preserve"> </w:t>
      </w:r>
      <w:r w:rsidRPr="00382917">
        <w:t>be</w:t>
      </w:r>
      <w:r w:rsidR="00EE4FC3">
        <w:t xml:space="preserve"> </w:t>
      </w:r>
      <w:r w:rsidRPr="00382917">
        <w:t>entertained</w:t>
      </w:r>
      <w:r w:rsidR="00EE4FC3">
        <w:t xml:space="preserve"> </w:t>
      </w:r>
      <w:r w:rsidRPr="00382917">
        <w:t>with</w:t>
      </w:r>
      <w:r w:rsidR="00EE4FC3">
        <w:t xml:space="preserve"> </w:t>
      </w:r>
      <w:r w:rsidRPr="00382917">
        <w:t>miracles</w:t>
      </w:r>
      <w:r w:rsidR="00EE4FC3">
        <w:t xml:space="preserve"> </w:t>
      </w:r>
      <w:r w:rsidRPr="00382917">
        <w:t>and</w:t>
      </w:r>
      <w:r w:rsidR="00EE4FC3">
        <w:t xml:space="preserve"> </w:t>
      </w:r>
      <w:r w:rsidRPr="00382917">
        <w:t>signs</w:t>
      </w:r>
      <w:r w:rsidR="00EE4FC3">
        <w:t xml:space="preserve"> </w:t>
      </w:r>
      <w:r w:rsidRPr="00382917">
        <w:t>of</w:t>
      </w:r>
      <w:r w:rsidR="00EE4FC3">
        <w:t xml:space="preserve"> </w:t>
      </w:r>
      <w:r w:rsidRPr="00382917">
        <w:t>wonder,</w:t>
      </w:r>
      <w:r w:rsidR="00EE4FC3">
        <w:t xml:space="preserve"> </w:t>
      </w:r>
      <w:r w:rsidRPr="00382917">
        <w:t>and</w:t>
      </w:r>
      <w:r w:rsidR="00EE4FC3">
        <w:t xml:space="preserve"> </w:t>
      </w:r>
      <w:r w:rsidRPr="00382917">
        <w:t>the</w:t>
      </w:r>
      <w:r w:rsidR="00EE4FC3">
        <w:t xml:space="preserve"> </w:t>
      </w:r>
      <w:r w:rsidRPr="00382917">
        <w:t>Báb</w:t>
      </w:r>
      <w:r w:rsidR="00EE4FC3">
        <w:t xml:space="preserve"> </w:t>
      </w:r>
      <w:r w:rsidRPr="00382917">
        <w:t>was</w:t>
      </w:r>
      <w:r w:rsidR="00EE4FC3">
        <w:t xml:space="preserve"> </w:t>
      </w:r>
      <w:r w:rsidRPr="00382917">
        <w:t>failing</w:t>
      </w:r>
      <w:r w:rsidR="00EE4FC3">
        <w:t xml:space="preserve"> </w:t>
      </w:r>
      <w:r w:rsidRPr="00382917">
        <w:t>them</w:t>
      </w:r>
      <w:r w:rsidR="00330AF7">
        <w:t>.</w:t>
      </w:r>
      <w:r w:rsidR="00EE4FC3">
        <w:t xml:space="preserve">  </w:t>
      </w:r>
      <w:r w:rsidRPr="00382917">
        <w:t>They</w:t>
      </w:r>
      <w:r w:rsidR="00EE4FC3">
        <w:t xml:space="preserve"> </w:t>
      </w:r>
      <w:r w:rsidRPr="00382917">
        <w:t>pursued</w:t>
      </w:r>
      <w:r w:rsidR="00EE4FC3">
        <w:t xml:space="preserve"> </w:t>
      </w:r>
      <w:r w:rsidRPr="00382917">
        <w:t>Him</w:t>
      </w:r>
      <w:r w:rsidR="00EE4FC3">
        <w:t xml:space="preserve"> </w:t>
      </w:r>
      <w:r w:rsidRPr="00382917">
        <w:t>as</w:t>
      </w:r>
      <w:r w:rsidR="00EE4FC3">
        <w:t xml:space="preserve"> </w:t>
      </w:r>
      <w:r w:rsidRPr="00382917">
        <w:t>He</w:t>
      </w:r>
      <w:r w:rsidR="00EE4FC3">
        <w:t xml:space="preserve"> </w:t>
      </w:r>
      <w:r w:rsidRPr="00382917">
        <w:t>was</w:t>
      </w:r>
      <w:r w:rsidR="00EE4FC3">
        <w:t xml:space="preserve"> </w:t>
      </w:r>
      <w:r w:rsidRPr="00382917">
        <w:t>led</w:t>
      </w:r>
      <w:r w:rsidR="00EE4FC3">
        <w:t xml:space="preserve"> </w:t>
      </w:r>
      <w:r w:rsidRPr="00382917">
        <w:t>through</w:t>
      </w:r>
      <w:r w:rsidR="00EE4FC3">
        <w:t xml:space="preserve"> </w:t>
      </w:r>
      <w:r w:rsidRPr="00382917">
        <w:t>the</w:t>
      </w:r>
      <w:r w:rsidR="00EE4FC3">
        <w:t xml:space="preserve"> </w:t>
      </w:r>
      <w:r w:rsidRPr="00382917">
        <w:t>streets</w:t>
      </w:r>
      <w:r w:rsidR="00330AF7">
        <w:t>.</w:t>
      </w:r>
      <w:r w:rsidR="00EE4FC3">
        <w:t xml:space="preserve">  </w:t>
      </w:r>
      <w:r w:rsidRPr="00382917">
        <w:t>They</w:t>
      </w:r>
      <w:r w:rsidR="00EE4FC3">
        <w:t xml:space="preserve"> </w:t>
      </w:r>
      <w:r w:rsidRPr="00382917">
        <w:t>broke</w:t>
      </w:r>
      <w:r w:rsidR="00EE4FC3">
        <w:t xml:space="preserve"> </w:t>
      </w:r>
      <w:r w:rsidRPr="00382917">
        <w:t>through</w:t>
      </w:r>
      <w:r w:rsidR="00EE4FC3">
        <w:t xml:space="preserve"> </w:t>
      </w:r>
      <w:r w:rsidRPr="00382917">
        <w:t>the</w:t>
      </w:r>
      <w:r w:rsidR="00EE4FC3">
        <w:t xml:space="preserve"> </w:t>
      </w:r>
      <w:r w:rsidRPr="00382917">
        <w:t>guards</w:t>
      </w:r>
      <w:r w:rsidR="00EE4FC3">
        <w:t xml:space="preserve"> </w:t>
      </w:r>
      <w:r w:rsidRPr="00382917">
        <w:t>and</w:t>
      </w:r>
      <w:r w:rsidR="00EE4FC3">
        <w:t xml:space="preserve"> </w:t>
      </w:r>
      <w:r w:rsidRPr="00382917">
        <w:t>struck</w:t>
      </w:r>
      <w:r w:rsidR="00EE4FC3">
        <w:t xml:space="preserve"> </w:t>
      </w:r>
      <w:r w:rsidRPr="00382917">
        <w:t>Him</w:t>
      </w:r>
      <w:r w:rsidR="00EE4FC3">
        <w:t xml:space="preserve"> </w:t>
      </w:r>
      <w:r w:rsidRPr="00382917">
        <w:t>in</w:t>
      </w:r>
      <w:r w:rsidR="00EE4FC3">
        <w:t xml:space="preserve"> </w:t>
      </w:r>
      <w:r w:rsidRPr="00382917">
        <w:t>the</w:t>
      </w:r>
      <w:r w:rsidR="00EE4FC3">
        <w:t xml:space="preserve"> </w:t>
      </w:r>
      <w:r w:rsidRPr="00382917">
        <w:t>face</w:t>
      </w:r>
      <w:r w:rsidR="00330AF7">
        <w:t>.</w:t>
      </w:r>
      <w:r w:rsidR="00EE4FC3">
        <w:t xml:space="preserve">  </w:t>
      </w:r>
      <w:r w:rsidRPr="00382917">
        <w:t>When</w:t>
      </w:r>
      <w:r w:rsidR="00EE4FC3">
        <w:t xml:space="preserve"> </w:t>
      </w:r>
      <w:r w:rsidRPr="00382917">
        <w:t>some</w:t>
      </w:r>
      <w:r w:rsidR="00EE4FC3">
        <w:t xml:space="preserve"> </w:t>
      </w:r>
      <w:r w:rsidRPr="00382917">
        <w:t>missile</w:t>
      </w:r>
      <w:r w:rsidR="00EE4FC3">
        <w:t xml:space="preserve"> </w:t>
      </w:r>
      <w:r w:rsidRPr="00382917">
        <w:t>hurled</w:t>
      </w:r>
      <w:r w:rsidR="00EE4FC3">
        <w:t xml:space="preserve"> </w:t>
      </w:r>
      <w:r w:rsidRPr="00382917">
        <w:t>from</w:t>
      </w:r>
      <w:r w:rsidR="00EE4FC3">
        <w:t xml:space="preserve"> </w:t>
      </w:r>
      <w:r w:rsidRPr="00382917">
        <w:t>the</w:t>
      </w:r>
      <w:r w:rsidR="00EE4FC3">
        <w:t xml:space="preserve"> </w:t>
      </w:r>
      <w:r w:rsidRPr="00382917">
        <w:t>crowd</w:t>
      </w:r>
      <w:r w:rsidR="00EE4FC3">
        <w:t xml:space="preserve"> </w:t>
      </w:r>
      <w:r w:rsidRPr="00382917">
        <w:t>would</w:t>
      </w:r>
      <w:r w:rsidR="00EE4FC3">
        <w:t xml:space="preserve"> </w:t>
      </w:r>
      <w:r w:rsidRPr="00382917">
        <w:t>reach</w:t>
      </w:r>
      <w:r w:rsidR="00EE4FC3">
        <w:t xml:space="preserve"> </w:t>
      </w:r>
      <w:r w:rsidRPr="00382917">
        <w:t>its</w:t>
      </w:r>
      <w:r w:rsidR="00EE4FC3">
        <w:t xml:space="preserve"> </w:t>
      </w:r>
      <w:r w:rsidRPr="00382917">
        <w:t>mark,</w:t>
      </w:r>
      <w:r w:rsidR="00EE4FC3">
        <w:t xml:space="preserve"> </w:t>
      </w:r>
      <w:r w:rsidRPr="00382917">
        <w:t>the</w:t>
      </w:r>
      <w:r w:rsidR="00EE4FC3">
        <w:t xml:space="preserve"> </w:t>
      </w:r>
      <w:r w:rsidRPr="00382917">
        <w:t>guards</w:t>
      </w:r>
      <w:r w:rsidR="00EE4FC3">
        <w:t xml:space="preserve"> </w:t>
      </w:r>
      <w:r w:rsidRPr="00382917">
        <w:t>and</w:t>
      </w:r>
      <w:r w:rsidR="00EE4FC3">
        <w:t xml:space="preserve"> </w:t>
      </w:r>
      <w:r w:rsidRPr="00382917">
        <w:t>the</w:t>
      </w:r>
      <w:r w:rsidR="00EE4FC3">
        <w:t xml:space="preserve"> </w:t>
      </w:r>
      <w:r w:rsidRPr="00382917">
        <w:t>crowd</w:t>
      </w:r>
      <w:r w:rsidR="00EE4FC3">
        <w:t xml:space="preserve"> </w:t>
      </w:r>
      <w:r w:rsidRPr="00382917">
        <w:t>would</w:t>
      </w:r>
      <w:r w:rsidR="00EE4FC3">
        <w:t xml:space="preserve"> </w:t>
      </w:r>
      <w:r w:rsidRPr="00382917">
        <w:t>burst</w:t>
      </w:r>
      <w:r w:rsidR="00EE4FC3">
        <w:t xml:space="preserve"> </w:t>
      </w:r>
      <w:r w:rsidRPr="00382917">
        <w:t>into</w:t>
      </w:r>
      <w:r w:rsidR="00EE4FC3">
        <w:t xml:space="preserve"> </w:t>
      </w:r>
      <w:r w:rsidRPr="00382917">
        <w:t>laughter.</w:t>
      </w:r>
    </w:p>
    <w:p w:rsidR="00621DD5" w:rsidRPr="00382917" w:rsidRDefault="00621DD5" w:rsidP="00621DD5">
      <w:pPr>
        <w:pStyle w:val="Text"/>
      </w:pPr>
      <w:r w:rsidRPr="00382917">
        <w:t>The</w:t>
      </w:r>
      <w:r w:rsidR="00EE4FC3">
        <w:t xml:space="preserve"> </w:t>
      </w:r>
      <w:r w:rsidRPr="00382917">
        <w:t>Báb</w:t>
      </w:r>
      <w:r w:rsidR="00EE4FC3">
        <w:t xml:space="preserve"> </w:t>
      </w:r>
      <w:r w:rsidRPr="00382917">
        <w:t>was</w:t>
      </w:r>
      <w:r w:rsidR="00EE4FC3">
        <w:t xml:space="preserve"> </w:t>
      </w:r>
      <w:r w:rsidRPr="00382917">
        <w:t>then</w:t>
      </w:r>
      <w:r w:rsidR="00EE4FC3">
        <w:t xml:space="preserve"> </w:t>
      </w:r>
      <w:r w:rsidRPr="00382917">
        <w:t>brought</w:t>
      </w:r>
      <w:r w:rsidR="00EE4FC3">
        <w:t xml:space="preserve"> </w:t>
      </w:r>
      <w:r w:rsidRPr="00382917">
        <w:t>before</w:t>
      </w:r>
      <w:r w:rsidR="00EE4FC3">
        <w:t xml:space="preserve"> </w:t>
      </w:r>
      <w:r w:rsidRPr="00382917">
        <w:t>the</w:t>
      </w:r>
      <w:r w:rsidR="00EE4FC3">
        <w:t xml:space="preserve"> </w:t>
      </w:r>
      <w:r w:rsidRPr="00382917">
        <w:t>priest</w:t>
      </w:r>
      <w:r w:rsidR="00EE4FC3">
        <w:t xml:space="preserve"> </w:t>
      </w:r>
      <w:r w:rsidRPr="00382917">
        <w:t>who</w:t>
      </w:r>
      <w:r w:rsidR="00EE4FC3">
        <w:t xml:space="preserve"> </w:t>
      </w:r>
      <w:r w:rsidRPr="00382917">
        <w:t>had</w:t>
      </w:r>
      <w:r w:rsidR="00EE4FC3">
        <w:t xml:space="preserve"> </w:t>
      </w:r>
      <w:r w:rsidRPr="00382917">
        <w:t>previously</w:t>
      </w:r>
      <w:r w:rsidR="00EE4FC3">
        <w:t xml:space="preserve"> </w:t>
      </w:r>
      <w:r w:rsidRPr="00382917">
        <w:t>incited</w:t>
      </w:r>
      <w:r w:rsidR="00EE4FC3">
        <w:t xml:space="preserve"> </w:t>
      </w:r>
      <w:r w:rsidRPr="00382917">
        <w:t>the</w:t>
      </w:r>
      <w:r w:rsidR="00EE4FC3">
        <w:t xml:space="preserve"> </w:t>
      </w:r>
      <w:r w:rsidRPr="00382917">
        <w:t>clergy</w:t>
      </w:r>
      <w:r w:rsidR="00EE4FC3">
        <w:t xml:space="preserve"> </w:t>
      </w:r>
      <w:r w:rsidRPr="00382917">
        <w:t>to</w:t>
      </w:r>
      <w:r w:rsidR="00EE4FC3">
        <w:t xml:space="preserve"> </w:t>
      </w:r>
      <w:r w:rsidRPr="00382917">
        <w:t>scourge</w:t>
      </w:r>
      <w:r w:rsidR="00EE4FC3">
        <w:t xml:space="preserve"> </w:t>
      </w:r>
      <w:r w:rsidRPr="00382917">
        <w:t>Him</w:t>
      </w:r>
      <w:r w:rsidR="00330AF7">
        <w:t>.</w:t>
      </w:r>
      <w:r w:rsidR="00EE4FC3">
        <w:t xml:space="preserve">  </w:t>
      </w:r>
      <w:r w:rsidRPr="00382917">
        <w:t>As</w:t>
      </w:r>
      <w:r w:rsidR="00EE4FC3">
        <w:t xml:space="preserve"> </w:t>
      </w:r>
      <w:r w:rsidRPr="00382917">
        <w:t>soon</w:t>
      </w:r>
      <w:r w:rsidR="00EE4FC3">
        <w:t xml:space="preserve"> </w:t>
      </w:r>
      <w:r w:rsidRPr="00382917">
        <w:t>as</w:t>
      </w:r>
      <w:r w:rsidR="00EE4FC3">
        <w:t xml:space="preserve"> </w:t>
      </w:r>
      <w:r w:rsidRPr="00382917">
        <w:t>he</w:t>
      </w:r>
      <w:r w:rsidR="00EE4FC3">
        <w:t xml:space="preserve"> </w:t>
      </w:r>
      <w:r w:rsidRPr="00382917">
        <w:t>saw</w:t>
      </w:r>
      <w:r w:rsidR="00EE4FC3">
        <w:t xml:space="preserve"> </w:t>
      </w:r>
      <w:r w:rsidRPr="00382917">
        <w:t>the</w:t>
      </w:r>
      <w:r w:rsidR="00EE4FC3">
        <w:t xml:space="preserve"> </w:t>
      </w:r>
      <w:r w:rsidRPr="00382917">
        <w:t>Báb</w:t>
      </w:r>
      <w:r w:rsidR="00EE4FC3">
        <w:t xml:space="preserve"> </w:t>
      </w:r>
      <w:r w:rsidRPr="00382917">
        <w:t>approaching,</w:t>
      </w:r>
      <w:r w:rsidR="00EE4FC3">
        <w:t xml:space="preserve"> </w:t>
      </w:r>
      <w:r w:rsidRPr="00382917">
        <w:t>he</w:t>
      </w:r>
      <w:r w:rsidR="00EE4FC3">
        <w:t xml:space="preserve"> </w:t>
      </w:r>
      <w:r w:rsidRPr="00382917">
        <w:t>seized</w:t>
      </w:r>
      <w:r w:rsidR="00EE4FC3">
        <w:t xml:space="preserve"> </w:t>
      </w:r>
      <w:r w:rsidRPr="00382917">
        <w:t>the</w:t>
      </w:r>
      <w:r w:rsidR="00EE4FC3">
        <w:t xml:space="preserve"> </w:t>
      </w:r>
      <w:r w:rsidRPr="00382917">
        <w:t>death-warrant</w:t>
      </w:r>
      <w:r w:rsidR="00EE4FC3">
        <w:t xml:space="preserve"> </w:t>
      </w:r>
      <w:r w:rsidRPr="00382917">
        <w:t>and</w:t>
      </w:r>
      <w:r w:rsidR="00EE4FC3">
        <w:t xml:space="preserve"> </w:t>
      </w:r>
      <w:r w:rsidRPr="00382917">
        <w:t>thrust</w:t>
      </w:r>
      <w:r w:rsidR="00EE4FC3">
        <w:t xml:space="preserve"> </w:t>
      </w:r>
      <w:r w:rsidRPr="00382917">
        <w:t>it</w:t>
      </w:r>
      <w:r w:rsidR="00EE4FC3">
        <w:t xml:space="preserve"> </w:t>
      </w:r>
      <w:r w:rsidRPr="00382917">
        <w:t>at</w:t>
      </w:r>
      <w:r w:rsidR="00EE4FC3">
        <w:t xml:space="preserve"> </w:t>
      </w:r>
      <w:r w:rsidRPr="00382917">
        <w:t>the</w:t>
      </w:r>
      <w:r w:rsidR="00EE4FC3">
        <w:t xml:space="preserve"> </w:t>
      </w:r>
      <w:r w:rsidRPr="00382917">
        <w:t>attendant.</w:t>
      </w:r>
    </w:p>
    <w:p w:rsidR="00621DD5" w:rsidRPr="00382917" w:rsidRDefault="009C713D" w:rsidP="00621DD5">
      <w:pPr>
        <w:pStyle w:val="Text"/>
      </w:pPr>
      <w:r w:rsidRPr="00382917">
        <w:t>“</w:t>
      </w:r>
      <w:r w:rsidR="00621DD5" w:rsidRPr="00382917">
        <w:t>No</w:t>
      </w:r>
      <w:r w:rsidR="00EE4FC3">
        <w:t xml:space="preserve"> </w:t>
      </w:r>
      <w:r w:rsidR="00621DD5" w:rsidRPr="00382917">
        <w:t>need</w:t>
      </w:r>
      <w:r w:rsidR="00EE4FC3">
        <w:t xml:space="preserve"> </w:t>
      </w:r>
      <w:r w:rsidR="00621DD5" w:rsidRPr="00382917">
        <w:t>to</w:t>
      </w:r>
      <w:r w:rsidR="00EE4FC3">
        <w:t xml:space="preserve"> </w:t>
      </w:r>
      <w:r w:rsidR="00621DD5" w:rsidRPr="00382917">
        <w:t>bring</w:t>
      </w:r>
      <w:r w:rsidR="00EE4FC3">
        <w:t xml:space="preserve"> </w:t>
      </w:r>
      <w:r w:rsidR="00621DD5" w:rsidRPr="00382917">
        <w:t>him</w:t>
      </w:r>
      <w:r w:rsidR="00EE4FC3">
        <w:t xml:space="preserve"> </w:t>
      </w:r>
      <w:r w:rsidR="00621DD5" w:rsidRPr="00382917">
        <w:t>into</w:t>
      </w:r>
      <w:r w:rsidR="00EE4FC3">
        <w:t xml:space="preserve"> </w:t>
      </w:r>
      <w:r w:rsidR="00621DD5" w:rsidRPr="00382917">
        <w:t>my</w:t>
      </w:r>
      <w:r w:rsidR="00EE4FC3">
        <w:t xml:space="preserve"> </w:t>
      </w:r>
      <w:r w:rsidR="00621DD5" w:rsidRPr="00382917">
        <w:t>presence,</w:t>
      </w:r>
      <w:r w:rsidRPr="00382917">
        <w:t>”</w:t>
      </w:r>
      <w:r w:rsidR="00EE4FC3">
        <w:t xml:space="preserve"> </w:t>
      </w:r>
      <w:r w:rsidR="00621DD5" w:rsidRPr="00382917">
        <w:t>he</w:t>
      </w:r>
      <w:r w:rsidR="00EE4FC3">
        <w:t xml:space="preserve"> </w:t>
      </w:r>
      <w:r w:rsidR="00621DD5" w:rsidRPr="00382917">
        <w:t>cried</w:t>
      </w:r>
      <w:r w:rsidR="00330AF7">
        <w:t>.</w:t>
      </w:r>
      <w:r w:rsidR="00EE4FC3">
        <w:t xml:space="preserve">  </w:t>
      </w:r>
      <w:r w:rsidRPr="00382917">
        <w:t>“</w:t>
      </w:r>
      <w:r w:rsidR="00621DD5" w:rsidRPr="00382917">
        <w:t>This</w:t>
      </w:r>
      <w:r w:rsidR="00EE4FC3">
        <w:t xml:space="preserve"> </w:t>
      </w:r>
      <w:r w:rsidR="00621DD5" w:rsidRPr="00382917">
        <w:t>death-warrant</w:t>
      </w:r>
      <w:r w:rsidR="00EE4FC3">
        <w:t xml:space="preserve"> </w:t>
      </w:r>
      <w:r w:rsidR="00621DD5" w:rsidRPr="00382917">
        <w:t>I</w:t>
      </w:r>
      <w:r w:rsidR="00EE4FC3">
        <w:t xml:space="preserve"> </w:t>
      </w:r>
      <w:r w:rsidR="00621DD5" w:rsidRPr="00382917">
        <w:t>signed</w:t>
      </w:r>
      <w:r w:rsidR="00EE4FC3">
        <w:t xml:space="preserve"> </w:t>
      </w:r>
      <w:r w:rsidR="00621DD5" w:rsidRPr="00382917">
        <w:t>long</w:t>
      </w:r>
      <w:r w:rsidR="00EE4FC3">
        <w:t xml:space="preserve"> </w:t>
      </w:r>
      <w:r w:rsidR="00621DD5" w:rsidRPr="00382917">
        <w:t>ago,</w:t>
      </w:r>
      <w:r w:rsidR="00EE4FC3">
        <w:t xml:space="preserve"> </w:t>
      </w:r>
      <w:r w:rsidR="00621DD5" w:rsidRPr="00382917">
        <w:t>the</w:t>
      </w:r>
      <w:r w:rsidR="00EE4FC3">
        <w:t xml:space="preserve"> </w:t>
      </w:r>
      <w:r w:rsidR="00621DD5" w:rsidRPr="00382917">
        <w:t>very</w:t>
      </w:r>
      <w:r w:rsidR="00EE4FC3">
        <w:t xml:space="preserve"> </w:t>
      </w:r>
      <w:r w:rsidR="00621DD5" w:rsidRPr="00382917">
        <w:t>day</w:t>
      </w:r>
      <w:r w:rsidR="00EE4FC3">
        <w:t xml:space="preserve"> </w:t>
      </w:r>
      <w:r w:rsidR="00621DD5" w:rsidRPr="00382917">
        <w:t>I</w:t>
      </w:r>
      <w:r w:rsidR="00EE4FC3">
        <w:t xml:space="preserve"> </w:t>
      </w:r>
      <w:r w:rsidR="00621DD5" w:rsidRPr="00382917">
        <w:t>saw</w:t>
      </w:r>
      <w:r w:rsidR="00EE4FC3">
        <w:t xml:space="preserve"> </w:t>
      </w:r>
      <w:r w:rsidR="00621DD5" w:rsidRPr="00382917">
        <w:t>him</w:t>
      </w:r>
      <w:r w:rsidR="00EE4FC3">
        <w:t xml:space="preserve"> </w:t>
      </w:r>
      <w:r w:rsidR="00621DD5" w:rsidRPr="00382917">
        <w:t>at</w:t>
      </w:r>
      <w:r w:rsidR="00EE4FC3">
        <w:t xml:space="preserve"> </w:t>
      </w:r>
      <w:r w:rsidR="00621DD5" w:rsidRPr="00382917">
        <w:t>that</w:t>
      </w:r>
      <w:r w:rsidR="00EE4FC3">
        <w:t xml:space="preserve"> </w:t>
      </w:r>
      <w:r w:rsidR="00621DD5" w:rsidRPr="00382917">
        <w:t>gathering</w:t>
      </w:r>
      <w:r w:rsidR="00EE4FC3">
        <w:t xml:space="preserve"> </w:t>
      </w:r>
      <w:r w:rsidR="00621DD5" w:rsidRPr="00382917">
        <w:t>here</w:t>
      </w:r>
      <w:r w:rsidR="00EE4FC3">
        <w:t xml:space="preserve"> </w:t>
      </w:r>
      <w:r w:rsidR="00621DD5" w:rsidRPr="00382917">
        <w:t>in</w:t>
      </w:r>
      <w:r w:rsidR="00EE4FC3">
        <w:t xml:space="preserve"> </w:t>
      </w:r>
      <w:r w:rsidR="00B24C41">
        <w:t>Tabríz</w:t>
      </w:r>
      <w:r w:rsidR="00330AF7">
        <w:t>.</w:t>
      </w:r>
      <w:r w:rsidR="00EE4FC3">
        <w:t xml:space="preserve">  </w:t>
      </w:r>
      <w:r w:rsidR="00621DD5" w:rsidRPr="00382917">
        <w:t>He</w:t>
      </w:r>
      <w:r w:rsidR="00EE4FC3">
        <w:t xml:space="preserve"> </w:t>
      </w:r>
      <w:r w:rsidR="00621DD5" w:rsidRPr="00382917">
        <w:t>is</w:t>
      </w:r>
      <w:r w:rsidR="00EE4FC3">
        <w:t xml:space="preserve"> </w:t>
      </w:r>
      <w:r w:rsidR="00621DD5" w:rsidRPr="00382917">
        <w:t>the</w:t>
      </w:r>
      <w:r w:rsidR="00EE4FC3">
        <w:t xml:space="preserve"> </w:t>
      </w:r>
      <w:r w:rsidR="00621DD5" w:rsidRPr="00382917">
        <w:t>same</w:t>
      </w:r>
      <w:r w:rsidR="00EE4FC3">
        <w:t xml:space="preserve"> </w:t>
      </w:r>
      <w:r w:rsidR="00621DD5" w:rsidRPr="00382917">
        <w:t>man</w:t>
      </w:r>
      <w:r w:rsidR="00EE4FC3">
        <w:t xml:space="preserve"> </w:t>
      </w:r>
      <w:r w:rsidR="00621DD5" w:rsidRPr="00382917">
        <w:t>I</w:t>
      </w:r>
      <w:r w:rsidR="00EE4FC3">
        <w:t xml:space="preserve"> </w:t>
      </w:r>
      <w:r w:rsidR="00621DD5" w:rsidRPr="00382917">
        <w:t>saw</w:t>
      </w:r>
      <w:r w:rsidR="00EE4FC3">
        <w:t xml:space="preserve"> </w:t>
      </w:r>
      <w:r w:rsidR="00621DD5" w:rsidRPr="00382917">
        <w:t>then,</w:t>
      </w:r>
      <w:r w:rsidR="00EE4FC3">
        <w:t xml:space="preserve"> </w:t>
      </w:r>
      <w:r w:rsidR="00621DD5" w:rsidRPr="00382917">
        <w:t>and</w:t>
      </w:r>
      <w:r w:rsidR="00EE4FC3">
        <w:t xml:space="preserve"> </w:t>
      </w:r>
      <w:r w:rsidR="00621DD5" w:rsidRPr="00382917">
        <w:t>has</w:t>
      </w:r>
      <w:r w:rsidR="00EE4FC3">
        <w:t xml:space="preserve"> </w:t>
      </w:r>
      <w:r w:rsidR="00621DD5" w:rsidRPr="00382917">
        <w:t>not</w:t>
      </w:r>
      <w:r w:rsidR="00EE4FC3">
        <w:t xml:space="preserve"> </w:t>
      </w:r>
      <w:r w:rsidR="00621DD5" w:rsidRPr="00382917">
        <w:t>since</w:t>
      </w:r>
      <w:r w:rsidR="00EE4FC3">
        <w:t xml:space="preserve"> </w:t>
      </w:r>
      <w:r w:rsidR="00621DD5" w:rsidRPr="00382917">
        <w:t>surrendered</w:t>
      </w:r>
      <w:r w:rsidR="00EE4FC3">
        <w:t xml:space="preserve"> </w:t>
      </w:r>
      <w:r w:rsidR="00621DD5" w:rsidRPr="00382917">
        <w:t>any</w:t>
      </w:r>
      <w:r w:rsidR="00EE4FC3">
        <w:t xml:space="preserve"> </w:t>
      </w:r>
      <w:r w:rsidR="00621DD5" w:rsidRPr="00382917">
        <w:t>of</w:t>
      </w:r>
      <w:r w:rsidR="00EE4FC3">
        <w:t xml:space="preserve"> </w:t>
      </w:r>
      <w:r w:rsidR="00621DD5" w:rsidRPr="00382917">
        <w:t>his</w:t>
      </w:r>
      <w:r w:rsidR="00EE4FC3">
        <w:t xml:space="preserve"> </w:t>
      </w:r>
      <w:r w:rsidR="00621DD5" w:rsidRPr="00382917">
        <w:t>claims</w:t>
      </w:r>
      <w:r w:rsidR="00330AF7">
        <w:t>.</w:t>
      </w:r>
      <w:r w:rsidR="00EE4FC3">
        <w:t xml:space="preserve">  </w:t>
      </w:r>
      <w:r w:rsidR="00621DD5" w:rsidRPr="00382917">
        <w:t>Take</w:t>
      </w:r>
      <w:r w:rsidR="00EE4FC3">
        <w:t xml:space="preserve"> </w:t>
      </w:r>
      <w:r w:rsidR="00621DD5" w:rsidRPr="00382917">
        <w:t>him</w:t>
      </w:r>
      <w:r w:rsidR="00EE4FC3">
        <w:t xml:space="preserve"> </w:t>
      </w:r>
      <w:r w:rsidR="00621DD5" w:rsidRPr="00382917">
        <w:t>away!</w:t>
      </w:r>
      <w:r w:rsidRPr="00382917">
        <w:t>”</w:t>
      </w:r>
    </w:p>
    <w:p w:rsidR="00621DD5" w:rsidRPr="00382917" w:rsidRDefault="00621DD5" w:rsidP="00621DD5">
      <w:pPr>
        <w:pStyle w:val="Text"/>
      </w:pPr>
      <w:r w:rsidRPr="00382917">
        <w:t>The</w:t>
      </w:r>
      <w:r w:rsidR="00EE4FC3">
        <w:t xml:space="preserve"> </w:t>
      </w:r>
      <w:r w:rsidRPr="00382917">
        <w:t>other</w:t>
      </w:r>
      <w:r w:rsidR="00EE4FC3">
        <w:t xml:space="preserve"> </w:t>
      </w:r>
      <w:r w:rsidRPr="00382917">
        <w:t>priests</w:t>
      </w:r>
      <w:r w:rsidR="00EE4FC3">
        <w:t xml:space="preserve"> </w:t>
      </w:r>
      <w:r w:rsidRPr="00382917">
        <w:t>in</w:t>
      </w:r>
      <w:r w:rsidR="00EE4FC3">
        <w:t xml:space="preserve"> </w:t>
      </w:r>
      <w:r w:rsidRPr="00382917">
        <w:t>turn</w:t>
      </w:r>
      <w:r w:rsidR="00EE4FC3">
        <w:t xml:space="preserve"> </w:t>
      </w:r>
      <w:r w:rsidRPr="00382917">
        <w:t>also</w:t>
      </w:r>
      <w:r w:rsidR="00EE4FC3">
        <w:t xml:space="preserve"> </w:t>
      </w:r>
      <w:r w:rsidRPr="00382917">
        <w:t>refused</w:t>
      </w:r>
      <w:r w:rsidR="00EE4FC3">
        <w:t xml:space="preserve"> </w:t>
      </w:r>
      <w:r w:rsidRPr="00382917">
        <w:t>to</w:t>
      </w:r>
      <w:r w:rsidR="00EE4FC3">
        <w:t xml:space="preserve"> </w:t>
      </w:r>
      <w:r w:rsidRPr="00382917">
        <w:t>meet</w:t>
      </w:r>
      <w:r w:rsidR="00EE4FC3">
        <w:t xml:space="preserve"> </w:t>
      </w:r>
      <w:r w:rsidRPr="00382917">
        <w:t>the</w:t>
      </w:r>
      <w:r w:rsidR="00EE4FC3">
        <w:t xml:space="preserve"> </w:t>
      </w:r>
      <w:r w:rsidRPr="00382917">
        <w:t>Báb</w:t>
      </w:r>
      <w:r w:rsidR="00EE4FC3">
        <w:t xml:space="preserve"> </w:t>
      </w:r>
      <w:r w:rsidRPr="00382917">
        <w:t>face</w:t>
      </w:r>
      <w:r w:rsidR="00EE4FC3">
        <w:t xml:space="preserve"> </w:t>
      </w:r>
      <w:r w:rsidRPr="00382917">
        <w:t>to</w:t>
      </w:r>
      <w:r w:rsidR="00EE4FC3">
        <w:t xml:space="preserve"> </w:t>
      </w:r>
      <w:r w:rsidRPr="00382917">
        <w:t>face</w:t>
      </w:r>
      <w:r w:rsidR="00330AF7">
        <w:t>.</w:t>
      </w:r>
      <w:r w:rsidR="00EE4FC3">
        <w:t xml:space="preserve">  </w:t>
      </w:r>
      <w:r w:rsidRPr="00382917">
        <w:t>Their</w:t>
      </w:r>
      <w:r w:rsidR="00EE4FC3">
        <w:t xml:space="preserve"> </w:t>
      </w:r>
      <w:r w:rsidRPr="00382917">
        <w:t>hatred</w:t>
      </w:r>
      <w:r w:rsidR="00EE4FC3">
        <w:t xml:space="preserve"> </w:t>
      </w:r>
      <w:r w:rsidRPr="00382917">
        <w:t>of</w:t>
      </w:r>
      <w:r w:rsidR="00EE4FC3">
        <w:t xml:space="preserve"> </w:t>
      </w:r>
      <w:r w:rsidRPr="00382917">
        <w:t>Him</w:t>
      </w:r>
      <w:r w:rsidR="00EE4FC3">
        <w:t xml:space="preserve"> </w:t>
      </w:r>
      <w:r w:rsidRPr="00382917">
        <w:t>had</w:t>
      </w:r>
      <w:r w:rsidR="00EE4FC3">
        <w:t xml:space="preserve"> </w:t>
      </w:r>
      <w:r w:rsidRPr="00382917">
        <w:t>increased</w:t>
      </w:r>
      <w:r w:rsidR="00EE4FC3">
        <w:t xml:space="preserve"> </w:t>
      </w:r>
      <w:r w:rsidRPr="00382917">
        <w:t>since</w:t>
      </w:r>
      <w:r w:rsidR="00EE4FC3">
        <w:t xml:space="preserve"> </w:t>
      </w:r>
      <w:r w:rsidRPr="00382917">
        <w:t>the</w:t>
      </w:r>
      <w:r w:rsidR="00EE4FC3">
        <w:t xml:space="preserve"> </w:t>
      </w:r>
      <w:r w:rsidRPr="00382917">
        <w:t>day</w:t>
      </w:r>
      <w:r w:rsidR="00EE4FC3">
        <w:t xml:space="preserve"> </w:t>
      </w:r>
      <w:r w:rsidRPr="00382917">
        <w:t>of</w:t>
      </w:r>
      <w:r w:rsidR="00EE4FC3">
        <w:t xml:space="preserve"> </w:t>
      </w:r>
      <w:r w:rsidRPr="00382917">
        <w:t>His</w:t>
      </w:r>
      <w:r w:rsidR="00EE4FC3">
        <w:t xml:space="preserve"> </w:t>
      </w:r>
      <w:r w:rsidRPr="00382917">
        <w:t>previous</w:t>
      </w:r>
      <w:r w:rsidR="00EE4FC3">
        <w:t xml:space="preserve"> </w:t>
      </w:r>
      <w:r w:rsidRPr="00382917">
        <w:t>triumph</w:t>
      </w:r>
      <w:r w:rsidR="00EE4FC3">
        <w:t xml:space="preserve"> </w:t>
      </w:r>
      <w:r w:rsidRPr="00382917">
        <w:t>over</w:t>
      </w:r>
      <w:r w:rsidR="00EE4FC3">
        <w:t xml:space="preserve"> </w:t>
      </w:r>
      <w:r w:rsidRPr="00382917">
        <w:t>them.</w:t>
      </w:r>
    </w:p>
    <w:p w:rsidR="00621DD5" w:rsidRPr="00382917" w:rsidRDefault="009C713D" w:rsidP="00621DD5">
      <w:pPr>
        <w:pStyle w:val="Text"/>
      </w:pPr>
      <w:r w:rsidRPr="00382917">
        <w:t>“</w:t>
      </w:r>
      <w:r w:rsidR="00621DD5" w:rsidRPr="00382917">
        <w:t>We</w:t>
      </w:r>
      <w:r w:rsidR="00EE4FC3">
        <w:t xml:space="preserve"> </w:t>
      </w:r>
      <w:r w:rsidR="00621DD5" w:rsidRPr="00382917">
        <w:t>are</w:t>
      </w:r>
      <w:r w:rsidR="00EE4FC3">
        <w:t xml:space="preserve"> </w:t>
      </w:r>
      <w:r w:rsidR="00621DD5" w:rsidRPr="00382917">
        <w:t>satisfied</w:t>
      </w:r>
      <w:r w:rsidR="00EE4FC3">
        <w:t xml:space="preserve"> </w:t>
      </w:r>
      <w:r w:rsidR="00621DD5" w:rsidRPr="00382917">
        <w:t>that</w:t>
      </w:r>
      <w:r w:rsidR="00EE4FC3">
        <w:t xml:space="preserve"> </w:t>
      </w:r>
      <w:r w:rsidR="00621DD5" w:rsidRPr="00382917">
        <w:t>it</w:t>
      </w:r>
      <w:r w:rsidR="00EE4FC3">
        <w:t xml:space="preserve"> </w:t>
      </w:r>
      <w:r w:rsidR="00621DD5" w:rsidRPr="00382917">
        <w:t>is</w:t>
      </w:r>
      <w:r w:rsidR="00EE4FC3">
        <w:t xml:space="preserve"> </w:t>
      </w:r>
      <w:r w:rsidR="00621DD5" w:rsidRPr="00382917">
        <w:t>right</w:t>
      </w:r>
      <w:r w:rsidR="00EE4FC3">
        <w:t xml:space="preserve"> </w:t>
      </w:r>
      <w:r w:rsidR="00621DD5" w:rsidRPr="00382917">
        <w:t>to</w:t>
      </w:r>
      <w:r w:rsidR="00EE4FC3">
        <w:t xml:space="preserve"> </w:t>
      </w:r>
      <w:r w:rsidR="00621DD5" w:rsidRPr="00382917">
        <w:t>pronounce</w:t>
      </w:r>
      <w:r w:rsidR="00EE4FC3">
        <w:t xml:space="preserve"> </w:t>
      </w:r>
      <w:r w:rsidR="00621DD5" w:rsidRPr="00382917">
        <w:t>the</w:t>
      </w:r>
      <w:r w:rsidR="00EE4FC3">
        <w:t xml:space="preserve"> </w:t>
      </w:r>
      <w:r w:rsidR="00621DD5" w:rsidRPr="00382917">
        <w:t>sentence</w:t>
      </w:r>
      <w:r w:rsidR="00EE4FC3">
        <w:t xml:space="preserve"> </w:t>
      </w:r>
      <w:r w:rsidR="00621DD5" w:rsidRPr="00382917">
        <w:t>of</w:t>
      </w:r>
      <w:r w:rsidR="00EE4FC3">
        <w:t xml:space="preserve"> </w:t>
      </w:r>
      <w:r w:rsidR="00621DD5" w:rsidRPr="00382917">
        <w:t>death,</w:t>
      </w:r>
      <w:r w:rsidRPr="00382917">
        <w:t>”</w:t>
      </w:r>
      <w:r w:rsidR="00EE4FC3">
        <w:t xml:space="preserve"> </w:t>
      </w:r>
      <w:r w:rsidR="00621DD5" w:rsidRPr="00382917">
        <w:t>they</w:t>
      </w:r>
      <w:r w:rsidR="00EE4FC3">
        <w:t xml:space="preserve"> </w:t>
      </w:r>
      <w:r w:rsidR="00621DD5" w:rsidRPr="00382917">
        <w:t>said</w:t>
      </w:r>
      <w:r w:rsidR="00330AF7">
        <w:t>.</w:t>
      </w:r>
      <w:r w:rsidR="00EE4FC3">
        <w:t xml:space="preserve">  </w:t>
      </w:r>
      <w:r w:rsidRPr="00382917">
        <w:t>“</w:t>
      </w:r>
      <w:r w:rsidR="00621DD5" w:rsidRPr="00382917">
        <w:t>Do</w:t>
      </w:r>
      <w:r w:rsidR="00EE4FC3">
        <w:t xml:space="preserve"> </w:t>
      </w:r>
      <w:r w:rsidR="00621DD5" w:rsidRPr="00382917">
        <w:t>not</w:t>
      </w:r>
      <w:r w:rsidR="00EE4FC3">
        <w:t xml:space="preserve"> </w:t>
      </w:r>
      <w:r w:rsidR="00621DD5" w:rsidRPr="00382917">
        <w:t>bring</w:t>
      </w:r>
      <w:r w:rsidR="00EE4FC3">
        <w:t xml:space="preserve"> </w:t>
      </w:r>
      <w:r w:rsidR="00621DD5" w:rsidRPr="00382917">
        <w:t>him</w:t>
      </w:r>
      <w:r w:rsidR="00EE4FC3">
        <w:t xml:space="preserve"> </w:t>
      </w:r>
      <w:r w:rsidR="00621DD5" w:rsidRPr="00382917">
        <w:t>into</w:t>
      </w:r>
      <w:r w:rsidR="00EE4FC3">
        <w:t xml:space="preserve"> </w:t>
      </w:r>
      <w:r w:rsidR="00621DD5" w:rsidRPr="00382917">
        <w:t>our</w:t>
      </w:r>
      <w:r w:rsidR="00EE4FC3">
        <w:t xml:space="preserve"> </w:t>
      </w:r>
      <w:r w:rsidR="00621DD5" w:rsidRPr="00382917">
        <w:t>presence.</w:t>
      </w:r>
      <w:r w:rsidRPr="00382917">
        <w:t>”</w:t>
      </w:r>
    </w:p>
    <w:p w:rsidR="00621DD5" w:rsidRPr="00382917" w:rsidRDefault="00621DD5" w:rsidP="00621DD5">
      <w:pPr>
        <w:pStyle w:val="Text"/>
      </w:pPr>
      <w:r w:rsidRPr="00382917">
        <w:t>The</w:t>
      </w:r>
      <w:r w:rsidR="00EE4FC3">
        <w:t xml:space="preserve"> </w:t>
      </w:r>
      <w:r w:rsidRPr="00382917">
        <w:t>chief-attendant,</w:t>
      </w:r>
      <w:r w:rsidR="00EE4FC3">
        <w:t xml:space="preserve"> </w:t>
      </w:r>
      <w:r w:rsidRPr="00382917">
        <w:t>having</w:t>
      </w:r>
      <w:r w:rsidR="00EE4FC3">
        <w:t xml:space="preserve"> </w:t>
      </w:r>
      <w:r w:rsidRPr="00382917">
        <w:t>secured</w:t>
      </w:r>
      <w:r w:rsidR="00EE4FC3">
        <w:t xml:space="preserve"> </w:t>
      </w:r>
      <w:r w:rsidRPr="00382917">
        <w:t>the</w:t>
      </w:r>
      <w:r w:rsidR="00EE4FC3">
        <w:t xml:space="preserve"> </w:t>
      </w:r>
      <w:r w:rsidRPr="00382917">
        <w:t>necessary</w:t>
      </w:r>
      <w:r w:rsidR="00EE4FC3">
        <w:t xml:space="preserve"> </w:t>
      </w:r>
      <w:r w:rsidRPr="00382917">
        <w:t>death-warrants,</w:t>
      </w:r>
      <w:r w:rsidR="00EE4FC3">
        <w:t xml:space="preserve"> </w:t>
      </w:r>
      <w:r w:rsidRPr="00382917">
        <w:t>delivered</w:t>
      </w:r>
      <w:r w:rsidR="00EE4FC3">
        <w:t xml:space="preserve"> </w:t>
      </w:r>
      <w:r w:rsidRPr="00382917">
        <w:t>the</w:t>
      </w:r>
      <w:r w:rsidR="00EE4FC3">
        <w:t xml:space="preserve"> </w:t>
      </w:r>
      <w:r w:rsidRPr="00382917">
        <w:t>Báb</w:t>
      </w:r>
      <w:r w:rsidR="00EE4FC3">
        <w:t xml:space="preserve"> </w:t>
      </w:r>
      <w:r w:rsidRPr="00382917">
        <w:t>into</w:t>
      </w:r>
      <w:r w:rsidR="00EE4FC3">
        <w:t xml:space="preserve"> </w:t>
      </w:r>
      <w:r w:rsidRPr="00382917">
        <w:t>the</w:t>
      </w:r>
      <w:r w:rsidR="00EE4FC3">
        <w:t xml:space="preserve"> </w:t>
      </w:r>
      <w:r w:rsidRPr="00382917">
        <w:t>hands</w:t>
      </w:r>
      <w:r w:rsidR="00EE4FC3">
        <w:t xml:space="preserve"> </w:t>
      </w:r>
      <w:r w:rsidRPr="00382917">
        <w:t>of</w:t>
      </w:r>
      <w:r w:rsidR="00EE4FC3">
        <w:t xml:space="preserve"> </w:t>
      </w:r>
      <w:r w:rsidRPr="00382917">
        <w:t>Sam</w:t>
      </w:r>
      <w:r w:rsidR="00EE4FC3">
        <w:t xml:space="preserve"> </w:t>
      </w:r>
      <w:r w:rsidR="0040329F" w:rsidRPr="0040329F">
        <w:rPr>
          <w:u w:val="single"/>
        </w:rPr>
        <w:t>Kh</w:t>
      </w:r>
      <w:r w:rsidR="0040329F" w:rsidRPr="00382917">
        <w:t>án</w:t>
      </w:r>
      <w:r w:rsidRPr="00382917">
        <w:t>,</w:t>
      </w:r>
      <w:r w:rsidR="00EE4FC3">
        <w:t xml:space="preserve"> </w:t>
      </w:r>
      <w:r w:rsidRPr="00382917">
        <w:t>the</w:t>
      </w:r>
      <w:r w:rsidR="00EE4FC3">
        <w:t xml:space="preserve"> </w:t>
      </w:r>
      <w:r w:rsidRPr="00382917">
        <w:t>leader</w:t>
      </w:r>
      <w:r w:rsidR="00EE4FC3">
        <w:t xml:space="preserve"> </w:t>
      </w:r>
      <w:r w:rsidRPr="00382917">
        <w:t>of</w:t>
      </w:r>
      <w:r w:rsidR="00EE4FC3">
        <w:t xml:space="preserve"> </w:t>
      </w:r>
      <w:r w:rsidRPr="00382917">
        <w:t>the</w:t>
      </w:r>
      <w:r w:rsidR="00EE4FC3">
        <w:t xml:space="preserve"> </w:t>
      </w:r>
      <w:r w:rsidRPr="00382917">
        <w:t>regiment</w:t>
      </w:r>
      <w:r w:rsidR="00EE4FC3">
        <w:t xml:space="preserve"> </w:t>
      </w:r>
      <w:r w:rsidRPr="00382917">
        <w:t>that</w:t>
      </w:r>
      <w:r w:rsidR="00EE4FC3">
        <w:t xml:space="preserve"> </w:t>
      </w:r>
      <w:r w:rsidRPr="00382917">
        <w:t>was</w:t>
      </w:r>
      <w:r w:rsidR="00EE4FC3">
        <w:t xml:space="preserve"> </w:t>
      </w:r>
      <w:r w:rsidRPr="00382917">
        <w:t>to</w:t>
      </w:r>
      <w:r w:rsidR="00EE4FC3">
        <w:t xml:space="preserve"> </w:t>
      </w:r>
      <w:r w:rsidRPr="00382917">
        <w:t>execute</w:t>
      </w:r>
      <w:r w:rsidR="00EE4FC3">
        <w:t xml:space="preserve"> </w:t>
      </w:r>
      <w:r w:rsidRPr="00382917">
        <w:t>Him.</w:t>
      </w:r>
    </w:p>
    <w:p w:rsidR="00621DD5" w:rsidRPr="00382917" w:rsidRDefault="00621DD5" w:rsidP="00621DD5">
      <w:pPr>
        <w:pStyle w:val="Text"/>
      </w:pPr>
      <w:r w:rsidRPr="00382917">
        <w:t>Sam</w:t>
      </w:r>
      <w:r w:rsidR="00EE4FC3">
        <w:t xml:space="preserve"> </w:t>
      </w:r>
      <w:r w:rsidR="0040329F" w:rsidRPr="0040329F">
        <w:rPr>
          <w:u w:val="single"/>
        </w:rPr>
        <w:t>Kh</w:t>
      </w:r>
      <w:r w:rsidR="0040329F" w:rsidRPr="00382917">
        <w:t>án</w:t>
      </w:r>
      <w:r w:rsidR="00EE4FC3">
        <w:t xml:space="preserve"> </w:t>
      </w:r>
      <w:r w:rsidRPr="00382917">
        <w:t>found</w:t>
      </w:r>
      <w:r w:rsidR="00EE4FC3">
        <w:t xml:space="preserve"> </w:t>
      </w:r>
      <w:r w:rsidRPr="00382917">
        <w:t>himself</w:t>
      </w:r>
      <w:r w:rsidR="00EE4FC3">
        <w:t xml:space="preserve"> </w:t>
      </w:r>
      <w:r w:rsidRPr="00382917">
        <w:t>increasingly</w:t>
      </w:r>
      <w:r w:rsidR="00EE4FC3">
        <w:t xml:space="preserve"> </w:t>
      </w:r>
      <w:r w:rsidRPr="00382917">
        <w:t>affected</w:t>
      </w:r>
      <w:r w:rsidR="00EE4FC3">
        <w:t xml:space="preserve"> </w:t>
      </w:r>
      <w:r w:rsidRPr="00382917">
        <w:t>by</w:t>
      </w:r>
      <w:r w:rsidR="00EE4FC3">
        <w:t xml:space="preserve"> </w:t>
      </w:r>
      <w:r w:rsidRPr="00382917">
        <w:t>the</w:t>
      </w:r>
      <w:r w:rsidR="00EE4FC3">
        <w:t xml:space="preserve"> </w:t>
      </w:r>
      <w:proofErr w:type="spellStart"/>
      <w:r w:rsidRPr="00382917">
        <w:t>behavior</w:t>
      </w:r>
      <w:proofErr w:type="spellEnd"/>
      <w:r w:rsidR="00EE4FC3">
        <w:t xml:space="preserve"> </w:t>
      </w:r>
      <w:r w:rsidRPr="00382917">
        <w:t>of</w:t>
      </w:r>
      <w:r w:rsidR="00EE4FC3">
        <w:t xml:space="preserve"> </w:t>
      </w:r>
      <w:r w:rsidRPr="00382917">
        <w:t>his</w:t>
      </w:r>
      <w:r w:rsidR="00EE4FC3">
        <w:t xml:space="preserve"> </w:t>
      </w:r>
      <w:r w:rsidRPr="00382917">
        <w:t>Captive</w:t>
      </w:r>
      <w:r w:rsidR="00330AF7">
        <w:t>.</w:t>
      </w:r>
      <w:r w:rsidR="00EE4FC3">
        <w:t xml:space="preserve">  </w:t>
      </w:r>
      <w:r w:rsidRPr="00382917">
        <w:t>He</w:t>
      </w:r>
      <w:r w:rsidR="00EE4FC3">
        <w:t xml:space="preserve"> </w:t>
      </w:r>
      <w:r w:rsidRPr="00382917">
        <w:t>had</w:t>
      </w:r>
      <w:r w:rsidR="00EE4FC3">
        <w:t xml:space="preserve"> </w:t>
      </w:r>
      <w:r w:rsidRPr="00382917">
        <w:t>placed</w:t>
      </w:r>
      <w:r w:rsidR="00EE4FC3">
        <w:t xml:space="preserve"> </w:t>
      </w:r>
      <w:r w:rsidRPr="00382917">
        <w:t>a</w:t>
      </w:r>
      <w:r w:rsidR="00EE4FC3">
        <w:t xml:space="preserve"> </w:t>
      </w:r>
      <w:r w:rsidRPr="00382917">
        <w:t>guard</w:t>
      </w:r>
      <w:r w:rsidR="00EE4FC3">
        <w:t xml:space="preserve"> </w:t>
      </w:r>
      <w:r w:rsidRPr="00382917">
        <w:t>of</w:t>
      </w:r>
      <w:r w:rsidR="00EE4FC3">
        <w:t xml:space="preserve"> </w:t>
      </w:r>
      <w:r w:rsidRPr="00382917">
        <w:t>ten</w:t>
      </w:r>
      <w:r w:rsidR="00EE4FC3">
        <w:t xml:space="preserve"> </w:t>
      </w:r>
      <w:r w:rsidRPr="00382917">
        <w:t>soldiers</w:t>
      </w:r>
      <w:r w:rsidR="00EE4FC3">
        <w:t xml:space="preserve"> </w:t>
      </w:r>
      <w:r w:rsidRPr="00382917">
        <w:t>about</w:t>
      </w:r>
      <w:r w:rsidR="00EE4FC3">
        <w:t xml:space="preserve"> </w:t>
      </w:r>
      <w:r w:rsidRPr="00382917">
        <w:t>the</w:t>
      </w:r>
      <w:r w:rsidR="00EE4FC3">
        <w:t xml:space="preserve"> </w:t>
      </w:r>
      <w:r w:rsidRPr="00382917">
        <w:t>Báb</w:t>
      </w:r>
      <w:r w:rsidR="009C713D" w:rsidRPr="00382917">
        <w:t>’</w:t>
      </w:r>
      <w:r w:rsidRPr="00382917">
        <w:t>s</w:t>
      </w:r>
      <w:r w:rsidR="00EE4FC3">
        <w:t xml:space="preserve"> </w:t>
      </w:r>
      <w:r w:rsidRPr="00382917">
        <w:t>cell</w:t>
      </w:r>
      <w:r w:rsidR="00EE4FC3">
        <w:t xml:space="preserve"> </w:t>
      </w:r>
      <w:r w:rsidRPr="00382917">
        <w:t>door</w:t>
      </w:r>
      <w:r w:rsidR="00EE4FC3">
        <w:t xml:space="preserve"> </w:t>
      </w:r>
      <w:r w:rsidRPr="00382917">
        <w:t>and</w:t>
      </w:r>
      <w:r w:rsidR="00EE4FC3">
        <w:t xml:space="preserve"> </w:t>
      </w:r>
      <w:r w:rsidRPr="00382917">
        <w:t>had</w:t>
      </w:r>
      <w:r w:rsidR="00EE4FC3">
        <w:t xml:space="preserve"> </w:t>
      </w:r>
      <w:r w:rsidRPr="00382917">
        <w:t>carefully</w:t>
      </w:r>
      <w:r w:rsidR="00EE4FC3">
        <w:t xml:space="preserve"> </w:t>
      </w:r>
      <w:r w:rsidRPr="00382917">
        <w:t>supervised</w:t>
      </w:r>
      <w:r w:rsidR="00EE4FC3">
        <w:t xml:space="preserve"> </w:t>
      </w:r>
      <w:r w:rsidRPr="00382917">
        <w:t>it</w:t>
      </w:r>
      <w:r w:rsidR="00EE4FC3">
        <w:t xml:space="preserve"> </w:t>
      </w:r>
      <w:r w:rsidRPr="00382917">
        <w:t>himself</w:t>
      </w:r>
      <w:r w:rsidR="00330AF7">
        <w:t>.</w:t>
      </w:r>
      <w:r w:rsidR="00EE4FC3">
        <w:t xml:space="preserve">  </w:t>
      </w:r>
      <w:r w:rsidRPr="00382917">
        <w:t>Throughout</w:t>
      </w:r>
      <w:r w:rsidR="00EE4FC3">
        <w:t xml:space="preserve"> </w:t>
      </w:r>
      <w:r w:rsidRPr="00382917">
        <w:t>every</w:t>
      </w:r>
      <w:r w:rsidR="00EE4FC3">
        <w:t xml:space="preserve"> </w:t>
      </w:r>
      <w:r w:rsidRPr="00382917">
        <w:t>step</w:t>
      </w:r>
      <w:r w:rsidR="00EE4FC3">
        <w:t xml:space="preserve"> </w:t>
      </w:r>
      <w:r w:rsidRPr="00382917">
        <w:t>he</w:t>
      </w:r>
      <w:r w:rsidR="00EE4FC3">
        <w:t xml:space="preserve"> </w:t>
      </w:r>
      <w:r w:rsidRPr="00382917">
        <w:t>felt</w:t>
      </w:r>
      <w:r w:rsidR="00EE4FC3">
        <w:t xml:space="preserve"> </w:t>
      </w:r>
      <w:r w:rsidRPr="00382917">
        <w:t>an</w:t>
      </w:r>
      <w:r w:rsidR="00EE4FC3">
        <w:t xml:space="preserve"> </w:t>
      </w:r>
      <w:r w:rsidRPr="00382917">
        <w:t>increasing</w:t>
      </w:r>
      <w:r w:rsidR="00EE4FC3">
        <w:t xml:space="preserve"> </w:t>
      </w:r>
      <w:r w:rsidRPr="00382917">
        <w:t>attraction</w:t>
      </w:r>
      <w:r w:rsidR="00EE4FC3">
        <w:t xml:space="preserve"> </w:t>
      </w:r>
      <w:r w:rsidRPr="00382917">
        <w:t>to</w:t>
      </w:r>
      <w:r w:rsidR="00EE4FC3">
        <w:t xml:space="preserve"> </w:t>
      </w:r>
      <w:r w:rsidRPr="00382917">
        <w:t>this</w:t>
      </w:r>
      <w:r w:rsidR="00EE4FC3">
        <w:t xml:space="preserve"> </w:t>
      </w:r>
      <w:r w:rsidRPr="00382917">
        <w:t>unusual</w:t>
      </w:r>
      <w:r w:rsidR="00EE4FC3">
        <w:t xml:space="preserve"> </w:t>
      </w:r>
      <w:r w:rsidRPr="00382917">
        <w:t>Prisoner</w:t>
      </w:r>
      <w:r w:rsidR="00330AF7">
        <w:t>.</w:t>
      </w:r>
      <w:r w:rsidR="00EE4FC3">
        <w:t xml:space="preserve">  </w:t>
      </w:r>
      <w:r w:rsidRPr="00382917">
        <w:t>He</w:t>
      </w:r>
      <w:r w:rsidR="00EE4FC3">
        <w:t xml:space="preserve"> </w:t>
      </w:r>
      <w:r w:rsidRPr="00382917">
        <w:t>was</w:t>
      </w:r>
      <w:r w:rsidR="00EE4FC3">
        <w:t xml:space="preserve"> </w:t>
      </w:r>
      <w:r w:rsidRPr="00382917">
        <w:t>in</w:t>
      </w:r>
      <w:r w:rsidR="00EE4FC3">
        <w:t xml:space="preserve"> </w:t>
      </w:r>
      <w:r w:rsidRPr="00382917">
        <w:t>constant</w:t>
      </w:r>
      <w:r w:rsidR="00EE4FC3">
        <w:t xml:space="preserve"> </w:t>
      </w:r>
      <w:r w:rsidRPr="00382917">
        <w:t>fear</w:t>
      </w:r>
      <w:r w:rsidR="00EE4FC3">
        <w:t xml:space="preserve"> </w:t>
      </w:r>
      <w:r w:rsidRPr="00382917">
        <w:t>that</w:t>
      </w:r>
      <w:r w:rsidR="00EE4FC3">
        <w:t xml:space="preserve"> </w:t>
      </w:r>
      <w:r w:rsidRPr="00382917">
        <w:t>his</w:t>
      </w:r>
      <w:r w:rsidR="00EE4FC3">
        <w:t xml:space="preserve"> </w:t>
      </w:r>
      <w:r w:rsidRPr="00382917">
        <w:t>action</w:t>
      </w:r>
      <w:r w:rsidR="00EE4FC3">
        <w:t xml:space="preserve"> </w:t>
      </w:r>
      <w:r w:rsidRPr="00382917">
        <w:t>in</w:t>
      </w:r>
      <w:r w:rsidR="00EE4FC3">
        <w:t xml:space="preserve"> </w:t>
      </w:r>
      <w:r w:rsidRPr="00382917">
        <w:t>taking</w:t>
      </w:r>
      <w:r w:rsidR="00EE4FC3">
        <w:t xml:space="preserve"> </w:t>
      </w:r>
      <w:r w:rsidRPr="00382917">
        <w:t>such</w:t>
      </w:r>
      <w:r w:rsidR="00EE4FC3">
        <w:t xml:space="preserve"> </w:t>
      </w:r>
      <w:r w:rsidRPr="00382917">
        <w:t>a</w:t>
      </w:r>
      <w:r w:rsidR="00EE4FC3">
        <w:t xml:space="preserve"> </w:t>
      </w:r>
      <w:r w:rsidRPr="00382917">
        <w:t>holy</w:t>
      </w:r>
      <w:r w:rsidR="00EE4FC3">
        <w:t xml:space="preserve"> </w:t>
      </w:r>
      <w:r w:rsidRPr="00382917">
        <w:t>life</w:t>
      </w:r>
      <w:r w:rsidR="00EE4FC3">
        <w:t xml:space="preserve"> </w:t>
      </w:r>
      <w:r w:rsidRPr="00382917">
        <w:t>might</w:t>
      </w:r>
      <w:r w:rsidR="00EE4FC3">
        <w:t xml:space="preserve"> </w:t>
      </w:r>
      <w:r w:rsidRPr="00382917">
        <w:t>bring</w:t>
      </w:r>
      <w:r w:rsidR="00EE4FC3">
        <w:t xml:space="preserve"> </w:t>
      </w:r>
      <w:r w:rsidRPr="00382917">
        <w:t>upon</w:t>
      </w:r>
      <w:r w:rsidR="00EE4FC3">
        <w:t xml:space="preserve"> </w:t>
      </w:r>
      <w:r w:rsidRPr="00382917">
        <w:t>him</w:t>
      </w:r>
      <w:r w:rsidR="00EE4FC3">
        <w:t xml:space="preserve"> </w:t>
      </w:r>
      <w:r w:rsidRPr="00382917">
        <w:t>the</w:t>
      </w:r>
      <w:r w:rsidR="00EE4FC3">
        <w:t xml:space="preserve"> </w:t>
      </w:r>
      <w:r w:rsidRPr="00382917">
        <w:t>wrath</w:t>
      </w:r>
      <w:r w:rsidR="00EE4FC3">
        <w:t xml:space="preserve"> </w:t>
      </w:r>
      <w:r w:rsidRPr="00382917">
        <w:t>of</w:t>
      </w:r>
      <w:r w:rsidR="00EE4FC3">
        <w:t xml:space="preserve"> </w:t>
      </w:r>
      <w:r w:rsidRPr="00382917">
        <w:t>God</w:t>
      </w:r>
      <w:r w:rsidR="00330AF7">
        <w:t>.</w:t>
      </w:r>
      <w:r w:rsidR="00EE4FC3">
        <w:t xml:space="preserve">  </w:t>
      </w:r>
      <w:r w:rsidRPr="00382917">
        <w:t>Finally,</w:t>
      </w:r>
      <w:r w:rsidR="00EE4FC3">
        <w:t xml:space="preserve"> </w:t>
      </w:r>
      <w:r w:rsidRPr="00382917">
        <w:t>unable</w:t>
      </w:r>
      <w:r w:rsidR="00EE4FC3">
        <w:t xml:space="preserve"> </w:t>
      </w:r>
      <w:r w:rsidRPr="00382917">
        <w:t>to</w:t>
      </w:r>
      <w:r w:rsidR="00EE4FC3">
        <w:t xml:space="preserve"> </w:t>
      </w:r>
      <w:r w:rsidRPr="00382917">
        <w:t>bear</w:t>
      </w:r>
    </w:p>
    <w:p w:rsidR="00621DD5" w:rsidRPr="00382917" w:rsidRDefault="00621DD5">
      <w:pPr>
        <w:widowControl/>
        <w:kinsoku/>
        <w:overflowPunct/>
        <w:textAlignment w:val="auto"/>
      </w:pPr>
      <w:r w:rsidRPr="00382917">
        <w:br w:type="page"/>
      </w:r>
    </w:p>
    <w:p w:rsidR="00621DD5" w:rsidRPr="00382917" w:rsidRDefault="00621DD5" w:rsidP="00621DD5">
      <w:pPr>
        <w:pStyle w:val="Textcts"/>
      </w:pPr>
      <w:proofErr w:type="gramStart"/>
      <w:r w:rsidRPr="00382917">
        <w:t>this</w:t>
      </w:r>
      <w:proofErr w:type="gramEnd"/>
      <w:r w:rsidR="00EE4FC3">
        <w:t xml:space="preserve"> </w:t>
      </w:r>
      <w:r w:rsidRPr="00382917">
        <w:t>worry</w:t>
      </w:r>
      <w:r w:rsidR="00EE4FC3">
        <w:t xml:space="preserve"> </w:t>
      </w:r>
      <w:r w:rsidRPr="00382917">
        <w:t>any</w:t>
      </w:r>
      <w:r w:rsidR="00EE4FC3">
        <w:t xml:space="preserve"> </w:t>
      </w:r>
      <w:r w:rsidRPr="00382917">
        <w:t>longer,</w:t>
      </w:r>
      <w:r w:rsidR="00EE4FC3">
        <w:t xml:space="preserve"> </w:t>
      </w:r>
      <w:r w:rsidRPr="00382917">
        <w:t>he</w:t>
      </w:r>
      <w:r w:rsidR="00EE4FC3">
        <w:t xml:space="preserve"> </w:t>
      </w:r>
      <w:r w:rsidRPr="00382917">
        <w:t>approached</w:t>
      </w:r>
      <w:r w:rsidR="00EE4FC3">
        <w:t xml:space="preserve"> </w:t>
      </w:r>
      <w:r w:rsidRPr="00382917">
        <w:t>the</w:t>
      </w:r>
      <w:r w:rsidR="00EE4FC3">
        <w:t xml:space="preserve"> </w:t>
      </w:r>
      <w:r w:rsidRPr="00382917">
        <w:t>Báb</w:t>
      </w:r>
      <w:r w:rsidR="00EE4FC3">
        <w:t xml:space="preserve"> </w:t>
      </w:r>
      <w:r w:rsidRPr="00382917">
        <w:t>and</w:t>
      </w:r>
      <w:r w:rsidR="00EE4FC3">
        <w:t xml:space="preserve"> </w:t>
      </w:r>
      <w:r w:rsidRPr="00382917">
        <w:t>spoke</w:t>
      </w:r>
      <w:r w:rsidR="00EE4FC3">
        <w:t xml:space="preserve"> </w:t>
      </w:r>
      <w:r w:rsidRPr="00382917">
        <w:t>to</w:t>
      </w:r>
      <w:r w:rsidR="00EE4FC3">
        <w:t xml:space="preserve"> </w:t>
      </w:r>
      <w:r w:rsidRPr="00382917">
        <w:t>Him</w:t>
      </w:r>
      <w:r w:rsidR="00EE4FC3">
        <w:t xml:space="preserve"> </w:t>
      </w:r>
      <w:r w:rsidRPr="00382917">
        <w:t>privately.</w:t>
      </w:r>
    </w:p>
    <w:p w:rsidR="00621DD5" w:rsidRPr="00382917" w:rsidRDefault="009C713D" w:rsidP="00621DD5">
      <w:pPr>
        <w:pStyle w:val="Text"/>
      </w:pPr>
      <w:r w:rsidRPr="00382917">
        <w:t>“</w:t>
      </w:r>
      <w:r w:rsidR="00621DD5" w:rsidRPr="00382917">
        <w:t>I</w:t>
      </w:r>
      <w:r w:rsidR="00EE4FC3">
        <w:t xml:space="preserve"> </w:t>
      </w:r>
      <w:r w:rsidR="00621DD5" w:rsidRPr="00382917">
        <w:t>profess</w:t>
      </w:r>
      <w:r w:rsidR="00EE4FC3">
        <w:t xml:space="preserve"> </w:t>
      </w:r>
      <w:r w:rsidR="00621DD5" w:rsidRPr="00382917">
        <w:t>the</w:t>
      </w:r>
      <w:r w:rsidR="00EE4FC3">
        <w:t xml:space="preserve"> </w:t>
      </w:r>
      <w:r w:rsidR="00621DD5" w:rsidRPr="00382917">
        <w:t>Christian</w:t>
      </w:r>
      <w:r w:rsidR="00EE4FC3">
        <w:t xml:space="preserve"> </w:t>
      </w:r>
      <w:r w:rsidR="00621DD5" w:rsidRPr="00382917">
        <w:t>Faith,</w:t>
      </w:r>
      <w:r w:rsidRPr="00382917">
        <w:t>”</w:t>
      </w:r>
      <w:r w:rsidR="00EE4FC3">
        <w:t xml:space="preserve"> </w:t>
      </w:r>
      <w:proofErr w:type="gramStart"/>
      <w:r w:rsidR="00621DD5" w:rsidRPr="00382917">
        <w:t>he</w:t>
      </w:r>
      <w:proofErr w:type="gramEnd"/>
      <w:r w:rsidR="00EE4FC3">
        <w:t xml:space="preserve"> </w:t>
      </w:r>
      <w:r w:rsidR="00621DD5" w:rsidRPr="00382917">
        <w:t>said,</w:t>
      </w:r>
      <w:r w:rsidR="00EE4FC3">
        <w:t xml:space="preserve"> </w:t>
      </w:r>
      <w:r w:rsidRPr="00382917">
        <w:t>“</w:t>
      </w:r>
      <w:r w:rsidR="00621DD5" w:rsidRPr="00382917">
        <w:t>and</w:t>
      </w:r>
      <w:r w:rsidR="00EE4FC3">
        <w:t xml:space="preserve"> </w:t>
      </w:r>
      <w:r w:rsidR="00621DD5" w:rsidRPr="00382917">
        <w:t>entertain</w:t>
      </w:r>
      <w:r w:rsidR="00EE4FC3">
        <w:t xml:space="preserve"> </w:t>
      </w:r>
      <w:r w:rsidR="00621DD5" w:rsidRPr="00382917">
        <w:t>no</w:t>
      </w:r>
      <w:r w:rsidR="00EE4FC3">
        <w:t xml:space="preserve"> </w:t>
      </w:r>
      <w:r w:rsidR="00621DD5" w:rsidRPr="00382917">
        <w:t>ill-will</w:t>
      </w:r>
      <w:r w:rsidR="00EE4FC3">
        <w:t xml:space="preserve"> </w:t>
      </w:r>
      <w:r w:rsidR="00621DD5" w:rsidRPr="00382917">
        <w:t>against</w:t>
      </w:r>
      <w:r w:rsidR="00EE4FC3">
        <w:t xml:space="preserve"> </w:t>
      </w:r>
      <w:r w:rsidR="00621DD5" w:rsidRPr="00382917">
        <w:t>you</w:t>
      </w:r>
      <w:r w:rsidR="00330AF7">
        <w:t>.</w:t>
      </w:r>
      <w:r w:rsidR="00EE4FC3">
        <w:t xml:space="preserve">  </w:t>
      </w:r>
      <w:r w:rsidR="00621DD5" w:rsidRPr="00382917">
        <w:t>If</w:t>
      </w:r>
      <w:r w:rsidR="00EE4FC3">
        <w:t xml:space="preserve"> </w:t>
      </w:r>
      <w:r w:rsidR="00621DD5" w:rsidRPr="00382917">
        <w:t>your</w:t>
      </w:r>
      <w:r w:rsidR="00EE4FC3">
        <w:t xml:space="preserve"> </w:t>
      </w:r>
      <w:r w:rsidR="00621DD5" w:rsidRPr="00382917">
        <w:t>Cause</w:t>
      </w:r>
      <w:r w:rsidR="00EE4FC3">
        <w:t xml:space="preserve"> </w:t>
      </w:r>
      <w:r w:rsidR="00621DD5" w:rsidRPr="00382917">
        <w:t>be</w:t>
      </w:r>
      <w:r w:rsidR="00EE4FC3">
        <w:t xml:space="preserve"> </w:t>
      </w:r>
      <w:r w:rsidR="00621DD5" w:rsidRPr="00382917">
        <w:t>the</w:t>
      </w:r>
      <w:r w:rsidR="00EE4FC3">
        <w:t xml:space="preserve"> </w:t>
      </w:r>
      <w:r w:rsidR="00621DD5" w:rsidRPr="00382917">
        <w:t>Cause</w:t>
      </w:r>
      <w:r w:rsidR="00EE4FC3">
        <w:t xml:space="preserve"> </w:t>
      </w:r>
      <w:r w:rsidR="00621DD5" w:rsidRPr="00382917">
        <w:t>of</w:t>
      </w:r>
      <w:r w:rsidR="00EE4FC3">
        <w:t xml:space="preserve"> </w:t>
      </w:r>
      <w:r w:rsidR="00621DD5" w:rsidRPr="00382917">
        <w:t>Truth,</w:t>
      </w:r>
      <w:r w:rsidR="00EE4FC3">
        <w:t xml:space="preserve"> </w:t>
      </w:r>
      <w:r w:rsidR="00621DD5" w:rsidRPr="00382917">
        <w:t>then</w:t>
      </w:r>
      <w:r w:rsidR="00EE4FC3">
        <w:t xml:space="preserve"> </w:t>
      </w:r>
      <w:r w:rsidR="00621DD5" w:rsidRPr="00382917">
        <w:t>enable</w:t>
      </w:r>
      <w:r w:rsidR="00EE4FC3">
        <w:t xml:space="preserve"> </w:t>
      </w:r>
      <w:r w:rsidR="00621DD5" w:rsidRPr="00382917">
        <w:t>me</w:t>
      </w:r>
      <w:r w:rsidR="00EE4FC3">
        <w:t xml:space="preserve"> </w:t>
      </w:r>
      <w:r w:rsidR="00621DD5" w:rsidRPr="00382917">
        <w:t>to</w:t>
      </w:r>
      <w:r w:rsidR="00EE4FC3">
        <w:t xml:space="preserve"> </w:t>
      </w:r>
      <w:r w:rsidR="00621DD5" w:rsidRPr="00382917">
        <w:t>free</w:t>
      </w:r>
      <w:r w:rsidR="00EE4FC3">
        <w:t xml:space="preserve"> </w:t>
      </w:r>
      <w:r w:rsidR="00621DD5" w:rsidRPr="00382917">
        <w:t>myself</w:t>
      </w:r>
      <w:r w:rsidR="00EE4FC3">
        <w:t xml:space="preserve"> </w:t>
      </w:r>
      <w:r w:rsidR="00621DD5" w:rsidRPr="00382917">
        <w:t>from</w:t>
      </w:r>
      <w:r w:rsidR="00EE4FC3">
        <w:t xml:space="preserve"> </w:t>
      </w:r>
      <w:r w:rsidR="00621DD5" w:rsidRPr="00382917">
        <w:t>the</w:t>
      </w:r>
      <w:r w:rsidR="00EE4FC3">
        <w:t xml:space="preserve"> </w:t>
      </w:r>
      <w:r w:rsidR="00621DD5" w:rsidRPr="00382917">
        <w:t>obligation</w:t>
      </w:r>
      <w:r w:rsidR="00EE4FC3">
        <w:t xml:space="preserve"> </w:t>
      </w:r>
      <w:r w:rsidR="00621DD5" w:rsidRPr="00382917">
        <w:t>to</w:t>
      </w:r>
      <w:r w:rsidR="00EE4FC3">
        <w:t xml:space="preserve"> </w:t>
      </w:r>
      <w:r w:rsidR="00621DD5" w:rsidRPr="00382917">
        <w:t>shed</w:t>
      </w:r>
      <w:r w:rsidR="00EE4FC3">
        <w:t xml:space="preserve"> </w:t>
      </w:r>
      <w:r w:rsidR="00621DD5" w:rsidRPr="00382917">
        <w:t>your</w:t>
      </w:r>
      <w:r w:rsidR="00EE4FC3">
        <w:t xml:space="preserve"> </w:t>
      </w:r>
      <w:r w:rsidR="00621DD5" w:rsidRPr="00382917">
        <w:t>blood.</w:t>
      </w:r>
      <w:r w:rsidRPr="00382917">
        <w:t>”</w:t>
      </w:r>
    </w:p>
    <w:p w:rsidR="00621DD5" w:rsidRPr="00382917" w:rsidRDefault="00621DD5" w:rsidP="00621DD5">
      <w:pPr>
        <w:pStyle w:val="Text"/>
      </w:pPr>
      <w:r w:rsidRPr="00382917">
        <w:t>The</w:t>
      </w:r>
      <w:r w:rsidR="00EE4FC3">
        <w:t xml:space="preserve"> </w:t>
      </w:r>
      <w:r w:rsidRPr="00382917">
        <w:t>Báb</w:t>
      </w:r>
      <w:r w:rsidR="00EE4FC3">
        <w:t xml:space="preserve"> </w:t>
      </w:r>
      <w:r w:rsidRPr="00382917">
        <w:t>comforted</w:t>
      </w:r>
      <w:r w:rsidR="00EE4FC3">
        <w:t xml:space="preserve"> </w:t>
      </w:r>
      <w:r w:rsidRPr="00382917">
        <w:t>him</w:t>
      </w:r>
      <w:r w:rsidR="00EE4FC3">
        <w:t xml:space="preserve"> </w:t>
      </w:r>
      <w:r w:rsidRPr="00382917">
        <w:t>with</w:t>
      </w:r>
      <w:r w:rsidR="00EE4FC3">
        <w:t xml:space="preserve"> </w:t>
      </w:r>
      <w:r w:rsidRPr="00382917">
        <w:t>these</w:t>
      </w:r>
      <w:r w:rsidR="00EE4FC3">
        <w:t xml:space="preserve"> </w:t>
      </w:r>
      <w:r w:rsidRPr="00382917">
        <w:t>words</w:t>
      </w:r>
      <w:r w:rsidR="00C03C91">
        <w:t>:</w:t>
      </w:r>
      <w:r w:rsidR="00EE4FC3">
        <w:t xml:space="preserve">  </w:t>
      </w:r>
      <w:r w:rsidR="009C713D" w:rsidRPr="00382917">
        <w:t>“</w:t>
      </w:r>
      <w:r w:rsidRPr="00382917">
        <w:t>Follow</w:t>
      </w:r>
      <w:r w:rsidR="00EE4FC3">
        <w:t xml:space="preserve"> </w:t>
      </w:r>
      <w:r w:rsidRPr="00382917">
        <w:t>your</w:t>
      </w:r>
      <w:r w:rsidR="00EE4FC3">
        <w:t xml:space="preserve"> </w:t>
      </w:r>
      <w:r w:rsidRPr="00382917">
        <w:t>instructions</w:t>
      </w:r>
      <w:r w:rsidR="00EE4FC3">
        <w:t xml:space="preserve"> </w:t>
      </w:r>
      <w:r w:rsidRPr="00382917">
        <w:t>and</w:t>
      </w:r>
      <w:r w:rsidR="00EE4FC3">
        <w:t xml:space="preserve"> </w:t>
      </w:r>
      <w:r w:rsidRPr="00382917">
        <w:t>if</w:t>
      </w:r>
      <w:r w:rsidR="00EE4FC3">
        <w:t xml:space="preserve"> </w:t>
      </w:r>
      <w:r w:rsidRPr="00382917">
        <w:t>your</w:t>
      </w:r>
      <w:r w:rsidR="00EE4FC3">
        <w:t xml:space="preserve"> </w:t>
      </w:r>
      <w:r w:rsidRPr="00382917">
        <w:t>intention</w:t>
      </w:r>
      <w:r w:rsidR="00EE4FC3">
        <w:t xml:space="preserve"> </w:t>
      </w:r>
      <w:r w:rsidRPr="00382917">
        <w:t>be</w:t>
      </w:r>
      <w:r w:rsidR="00EE4FC3">
        <w:t xml:space="preserve"> </w:t>
      </w:r>
      <w:r w:rsidRPr="00382917">
        <w:t>sincere,</w:t>
      </w:r>
      <w:r w:rsidR="00EE4FC3">
        <w:t xml:space="preserve"> </w:t>
      </w:r>
      <w:r w:rsidRPr="00382917">
        <w:t>the</w:t>
      </w:r>
      <w:r w:rsidR="00EE4FC3">
        <w:t xml:space="preserve"> </w:t>
      </w:r>
      <w:r w:rsidRPr="00382917">
        <w:t>Almighty</w:t>
      </w:r>
      <w:r w:rsidR="00EE4FC3">
        <w:t xml:space="preserve"> </w:t>
      </w:r>
      <w:r w:rsidRPr="00382917">
        <w:t>is</w:t>
      </w:r>
      <w:r w:rsidR="00EE4FC3">
        <w:t xml:space="preserve"> </w:t>
      </w:r>
      <w:r w:rsidRPr="00382917">
        <w:t>surely</w:t>
      </w:r>
      <w:r w:rsidR="00EE4FC3">
        <w:t xml:space="preserve"> </w:t>
      </w:r>
      <w:r w:rsidRPr="00382917">
        <w:t>able</w:t>
      </w:r>
      <w:r w:rsidR="00EE4FC3">
        <w:t xml:space="preserve"> </w:t>
      </w:r>
      <w:r w:rsidRPr="00382917">
        <w:t>to</w:t>
      </w:r>
      <w:r w:rsidR="00EE4FC3">
        <w:t xml:space="preserve"> </w:t>
      </w:r>
      <w:r w:rsidRPr="00382917">
        <w:t>relieve</w:t>
      </w:r>
      <w:r w:rsidR="00EE4FC3">
        <w:t xml:space="preserve"> </w:t>
      </w:r>
      <w:r w:rsidRPr="00382917">
        <w:t>you</w:t>
      </w:r>
      <w:r w:rsidR="00EE4FC3">
        <w:t xml:space="preserve"> </w:t>
      </w:r>
      <w:r w:rsidRPr="00382917">
        <w:t>from</w:t>
      </w:r>
      <w:r w:rsidR="00EE4FC3">
        <w:t xml:space="preserve"> </w:t>
      </w:r>
      <w:r w:rsidRPr="00382917">
        <w:t>your</w:t>
      </w:r>
      <w:r w:rsidR="00EE4FC3">
        <w:t xml:space="preserve"> </w:t>
      </w:r>
      <w:r w:rsidRPr="00382917">
        <w:t>perplexity.</w:t>
      </w:r>
      <w:r w:rsidR="009C713D" w:rsidRPr="00382917">
        <w:t>”</w:t>
      </w:r>
    </w:p>
    <w:p w:rsidR="00621DD5" w:rsidRPr="00382917" w:rsidRDefault="00621DD5" w:rsidP="00621DD5">
      <w:pPr>
        <w:pStyle w:val="Text"/>
      </w:pPr>
      <w:r w:rsidRPr="00382917">
        <w:t>The</w:t>
      </w:r>
      <w:r w:rsidR="00EE4FC3">
        <w:t xml:space="preserve"> </w:t>
      </w:r>
      <w:r w:rsidRPr="00382917">
        <w:t>hour</w:t>
      </w:r>
      <w:r w:rsidR="00EE4FC3">
        <w:t xml:space="preserve"> </w:t>
      </w:r>
      <w:r w:rsidRPr="00382917">
        <w:t>for</w:t>
      </w:r>
      <w:r w:rsidR="00EE4FC3">
        <w:t xml:space="preserve"> </w:t>
      </w:r>
      <w:r w:rsidRPr="00382917">
        <w:t>the</w:t>
      </w:r>
      <w:r w:rsidR="00EE4FC3">
        <w:t xml:space="preserve"> </w:t>
      </w:r>
      <w:r w:rsidRPr="00382917">
        <w:t>execution</w:t>
      </w:r>
      <w:r w:rsidR="00EE4FC3">
        <w:t xml:space="preserve"> </w:t>
      </w:r>
      <w:r w:rsidRPr="00382917">
        <w:t>could</w:t>
      </w:r>
      <w:r w:rsidR="00EE4FC3">
        <w:t xml:space="preserve"> </w:t>
      </w:r>
      <w:r w:rsidRPr="00382917">
        <w:t>not</w:t>
      </w:r>
      <w:r w:rsidR="00EE4FC3">
        <w:t xml:space="preserve"> </w:t>
      </w:r>
      <w:r w:rsidRPr="00382917">
        <w:t>be</w:t>
      </w:r>
      <w:r w:rsidR="00EE4FC3">
        <w:t xml:space="preserve"> </w:t>
      </w:r>
      <w:r w:rsidRPr="00382917">
        <w:t>put</w:t>
      </w:r>
      <w:r w:rsidR="00EE4FC3">
        <w:t xml:space="preserve"> </w:t>
      </w:r>
      <w:r w:rsidRPr="00382917">
        <w:t>off</w:t>
      </w:r>
      <w:r w:rsidR="00EE4FC3">
        <w:t xml:space="preserve"> </w:t>
      </w:r>
      <w:r w:rsidRPr="00382917">
        <w:t>any</w:t>
      </w:r>
      <w:r w:rsidR="00EE4FC3">
        <w:t xml:space="preserve"> </w:t>
      </w:r>
      <w:r w:rsidRPr="00382917">
        <w:t>longer</w:t>
      </w:r>
      <w:r w:rsidR="00330AF7">
        <w:t>.</w:t>
      </w:r>
      <w:r w:rsidR="00EE4FC3">
        <w:t xml:space="preserve">  </w:t>
      </w:r>
      <w:r w:rsidRPr="00382917">
        <w:t>The</w:t>
      </w:r>
      <w:r w:rsidR="00EE4FC3">
        <w:t xml:space="preserve"> </w:t>
      </w:r>
      <w:r w:rsidRPr="00382917">
        <w:t>crowds</w:t>
      </w:r>
      <w:r w:rsidR="00EE4FC3">
        <w:t xml:space="preserve"> </w:t>
      </w:r>
      <w:r w:rsidRPr="00382917">
        <w:t>had</w:t>
      </w:r>
      <w:r w:rsidR="00EE4FC3">
        <w:t xml:space="preserve"> </w:t>
      </w:r>
      <w:r w:rsidRPr="00382917">
        <w:t>been</w:t>
      </w:r>
      <w:r w:rsidR="00EE4FC3">
        <w:t xml:space="preserve"> </w:t>
      </w:r>
      <w:r w:rsidRPr="00382917">
        <w:t>gathering</w:t>
      </w:r>
      <w:r w:rsidR="00EE4FC3">
        <w:t xml:space="preserve"> </w:t>
      </w:r>
      <w:r w:rsidRPr="00382917">
        <w:t>for</w:t>
      </w:r>
      <w:r w:rsidR="00EE4FC3">
        <w:t xml:space="preserve"> </w:t>
      </w:r>
      <w:r w:rsidRPr="00382917">
        <w:t>some</w:t>
      </w:r>
      <w:r w:rsidR="00EE4FC3">
        <w:t xml:space="preserve"> </w:t>
      </w:r>
      <w:r w:rsidRPr="00382917">
        <w:t>time</w:t>
      </w:r>
      <w:r w:rsidR="00330AF7">
        <w:t>.</w:t>
      </w:r>
      <w:r w:rsidR="00EE4FC3">
        <w:t xml:space="preserve">  </w:t>
      </w:r>
      <w:r w:rsidRPr="00382917">
        <w:t>They</w:t>
      </w:r>
      <w:r w:rsidR="00EE4FC3">
        <w:t xml:space="preserve"> </w:t>
      </w:r>
      <w:r w:rsidRPr="00382917">
        <w:t>streamed</w:t>
      </w:r>
      <w:r w:rsidR="00EE4FC3">
        <w:t xml:space="preserve"> </w:t>
      </w:r>
      <w:r w:rsidRPr="00382917">
        <w:t>into</w:t>
      </w:r>
      <w:r w:rsidR="00EE4FC3">
        <w:t xml:space="preserve"> </w:t>
      </w:r>
      <w:r w:rsidRPr="00382917">
        <w:t>the</w:t>
      </w:r>
      <w:r w:rsidR="00EE4FC3">
        <w:t xml:space="preserve"> </w:t>
      </w:r>
      <w:r w:rsidRPr="00382917">
        <w:t>public</w:t>
      </w:r>
      <w:r w:rsidR="00EE4FC3">
        <w:t xml:space="preserve"> </w:t>
      </w:r>
      <w:r w:rsidRPr="00382917">
        <w:t>square</w:t>
      </w:r>
      <w:r w:rsidR="00330AF7">
        <w:t>.</w:t>
      </w:r>
      <w:r w:rsidR="00EE4FC3">
        <w:t xml:space="preserve">  </w:t>
      </w:r>
      <w:r w:rsidRPr="00382917">
        <w:t>They</w:t>
      </w:r>
      <w:r w:rsidR="00EE4FC3">
        <w:t xml:space="preserve"> </w:t>
      </w:r>
      <w:r w:rsidRPr="00382917">
        <w:t>came</w:t>
      </w:r>
      <w:r w:rsidR="00EE4FC3">
        <w:t xml:space="preserve"> </w:t>
      </w:r>
      <w:r w:rsidRPr="00382917">
        <w:t>from</w:t>
      </w:r>
      <w:r w:rsidR="00EE4FC3">
        <w:t xml:space="preserve"> </w:t>
      </w:r>
      <w:r w:rsidRPr="00382917">
        <w:t>all</w:t>
      </w:r>
      <w:r w:rsidR="00EE4FC3">
        <w:t xml:space="preserve"> </w:t>
      </w:r>
      <w:r w:rsidRPr="00382917">
        <w:t>the</w:t>
      </w:r>
      <w:r w:rsidR="00EE4FC3">
        <w:t xml:space="preserve"> </w:t>
      </w:r>
      <w:proofErr w:type="spellStart"/>
      <w:r w:rsidRPr="00382917">
        <w:t>neighboring</w:t>
      </w:r>
      <w:proofErr w:type="spellEnd"/>
      <w:r w:rsidR="00EE4FC3">
        <w:t xml:space="preserve"> </w:t>
      </w:r>
      <w:r w:rsidRPr="00382917">
        <w:t>villages.</w:t>
      </w:r>
    </w:p>
    <w:p w:rsidR="00621DD5" w:rsidRPr="00382917" w:rsidRDefault="00621DD5" w:rsidP="00E13D49">
      <w:pPr>
        <w:pStyle w:val="Text"/>
      </w:pPr>
      <w:r w:rsidRPr="00382917">
        <w:t>Sam</w:t>
      </w:r>
      <w:r w:rsidR="00EE4FC3">
        <w:t xml:space="preserve"> </w:t>
      </w:r>
      <w:r w:rsidR="0040329F" w:rsidRPr="0040329F">
        <w:rPr>
          <w:u w:val="single"/>
        </w:rPr>
        <w:t>Kh</w:t>
      </w:r>
      <w:r w:rsidR="0040329F" w:rsidRPr="00382917">
        <w:t>án</w:t>
      </w:r>
      <w:r w:rsidR="00EE4FC3">
        <w:t xml:space="preserve"> </w:t>
      </w:r>
      <w:r w:rsidRPr="00382917">
        <w:t>ordered</w:t>
      </w:r>
      <w:r w:rsidR="00EE4FC3">
        <w:t xml:space="preserve"> </w:t>
      </w:r>
      <w:r w:rsidRPr="00382917">
        <w:t>his</w:t>
      </w:r>
      <w:r w:rsidR="00EE4FC3">
        <w:t xml:space="preserve"> </w:t>
      </w:r>
      <w:r w:rsidRPr="00382917">
        <w:t>men</w:t>
      </w:r>
      <w:r w:rsidR="00EE4FC3">
        <w:t xml:space="preserve"> </w:t>
      </w:r>
      <w:r w:rsidRPr="00382917">
        <w:t>to</w:t>
      </w:r>
      <w:r w:rsidR="00EE4FC3">
        <w:t xml:space="preserve"> </w:t>
      </w:r>
      <w:r w:rsidRPr="00382917">
        <w:t>drive</w:t>
      </w:r>
      <w:r w:rsidR="00EE4FC3">
        <w:t xml:space="preserve"> </w:t>
      </w:r>
      <w:r w:rsidRPr="00382917">
        <w:t>a</w:t>
      </w:r>
      <w:r w:rsidR="00EE4FC3">
        <w:t xml:space="preserve"> </w:t>
      </w:r>
      <w:r w:rsidRPr="00382917">
        <w:t>nail</w:t>
      </w:r>
      <w:r w:rsidR="00EE4FC3">
        <w:t xml:space="preserve"> </w:t>
      </w:r>
      <w:r w:rsidRPr="00382917">
        <w:t>into</w:t>
      </w:r>
      <w:r w:rsidR="00EE4FC3">
        <w:t xml:space="preserve"> </w:t>
      </w:r>
      <w:r w:rsidRPr="00382917">
        <w:t>the</w:t>
      </w:r>
      <w:r w:rsidR="00EE4FC3">
        <w:t xml:space="preserve"> </w:t>
      </w:r>
      <w:r w:rsidRPr="00382917">
        <w:t>pillar</w:t>
      </w:r>
      <w:r w:rsidR="00EE4FC3">
        <w:t xml:space="preserve"> </w:t>
      </w:r>
      <w:r w:rsidRPr="00382917">
        <w:t>between</w:t>
      </w:r>
      <w:r w:rsidR="00EE4FC3">
        <w:t xml:space="preserve"> </w:t>
      </w:r>
      <w:r w:rsidRPr="00382917">
        <w:t>the</w:t>
      </w:r>
      <w:r w:rsidR="00EE4FC3">
        <w:t xml:space="preserve"> </w:t>
      </w:r>
      <w:r w:rsidRPr="00382917">
        <w:t>doors</w:t>
      </w:r>
      <w:r w:rsidR="00EE4FC3">
        <w:t xml:space="preserve"> </w:t>
      </w:r>
      <w:r w:rsidRPr="00382917">
        <w:t>of</w:t>
      </w:r>
      <w:r w:rsidR="00EE4FC3">
        <w:t xml:space="preserve"> </w:t>
      </w:r>
      <w:r w:rsidRPr="00382917">
        <w:t>the</w:t>
      </w:r>
      <w:r w:rsidR="00EE4FC3">
        <w:t xml:space="preserve"> </w:t>
      </w:r>
      <w:r w:rsidRPr="00382917">
        <w:t>barracks</w:t>
      </w:r>
      <w:r w:rsidR="00330AF7">
        <w:t>.</w:t>
      </w:r>
      <w:r w:rsidR="00EE4FC3">
        <w:t xml:space="preserve">  </w:t>
      </w:r>
      <w:r w:rsidRPr="00382917">
        <w:t>To</w:t>
      </w:r>
      <w:r w:rsidR="00EE4FC3">
        <w:t xml:space="preserve"> </w:t>
      </w:r>
      <w:r w:rsidRPr="00382917">
        <w:t>the</w:t>
      </w:r>
      <w:r w:rsidR="00EE4FC3">
        <w:t xml:space="preserve"> </w:t>
      </w:r>
      <w:r w:rsidRPr="00382917">
        <w:t>nail</w:t>
      </w:r>
      <w:r w:rsidR="00EE4FC3">
        <w:t xml:space="preserve"> </w:t>
      </w:r>
      <w:r w:rsidRPr="00382917">
        <w:t>they</w:t>
      </w:r>
      <w:r w:rsidR="00EE4FC3">
        <w:t xml:space="preserve"> </w:t>
      </w:r>
      <w:r w:rsidRPr="00382917">
        <w:t>made</w:t>
      </w:r>
      <w:r w:rsidR="00EE4FC3">
        <w:t xml:space="preserve"> </w:t>
      </w:r>
      <w:r w:rsidRPr="00382917">
        <w:t>fast</w:t>
      </w:r>
      <w:r w:rsidR="00EE4FC3">
        <w:t xml:space="preserve"> </w:t>
      </w:r>
      <w:r w:rsidRPr="00382917">
        <w:t>the</w:t>
      </w:r>
      <w:r w:rsidR="00EE4FC3">
        <w:t xml:space="preserve"> </w:t>
      </w:r>
      <w:r w:rsidRPr="00382917">
        <w:t>ropes</w:t>
      </w:r>
      <w:r w:rsidR="00EE4FC3">
        <w:t xml:space="preserve"> </w:t>
      </w:r>
      <w:r w:rsidRPr="00382917">
        <w:t>by</w:t>
      </w:r>
      <w:r w:rsidR="00EE4FC3">
        <w:t xml:space="preserve"> </w:t>
      </w:r>
      <w:r w:rsidRPr="00382917">
        <w:t>which</w:t>
      </w:r>
      <w:r w:rsidR="00EE4FC3">
        <w:t xml:space="preserve"> </w:t>
      </w:r>
      <w:r w:rsidRPr="00382917">
        <w:t>the</w:t>
      </w:r>
      <w:r w:rsidR="00EE4FC3">
        <w:t xml:space="preserve"> </w:t>
      </w:r>
      <w:r w:rsidRPr="00382917">
        <w:t>Báb</w:t>
      </w:r>
      <w:r w:rsidR="00EE4FC3">
        <w:t xml:space="preserve"> </w:t>
      </w:r>
      <w:r w:rsidRPr="00382917">
        <w:t>and</w:t>
      </w:r>
      <w:r w:rsidR="00EE4FC3">
        <w:t xml:space="preserve"> </w:t>
      </w:r>
      <w:r w:rsidRPr="00382917">
        <w:t>His</w:t>
      </w:r>
      <w:r w:rsidR="00EE4FC3">
        <w:t xml:space="preserve"> </w:t>
      </w:r>
      <w:r w:rsidRPr="00382917">
        <w:t>young</w:t>
      </w:r>
      <w:r w:rsidR="00EE4FC3">
        <w:t xml:space="preserve"> </w:t>
      </w:r>
      <w:r w:rsidRPr="00382917">
        <w:t>companion</w:t>
      </w:r>
      <w:r w:rsidR="00EE4FC3">
        <w:t xml:space="preserve"> </w:t>
      </w:r>
      <w:r w:rsidRPr="00382917">
        <w:t>were</w:t>
      </w:r>
      <w:r w:rsidR="00EE4FC3">
        <w:t xml:space="preserve"> </w:t>
      </w:r>
      <w:r w:rsidRPr="00382917">
        <w:t>to</w:t>
      </w:r>
      <w:r w:rsidR="00EE4FC3">
        <w:t xml:space="preserve"> </w:t>
      </w:r>
      <w:r w:rsidRPr="00382917">
        <w:t>be</w:t>
      </w:r>
      <w:r w:rsidR="00EE4FC3">
        <w:t xml:space="preserve"> </w:t>
      </w:r>
      <w:r w:rsidRPr="00382917">
        <w:t>separately</w:t>
      </w:r>
      <w:r w:rsidR="00EE4FC3">
        <w:t xml:space="preserve"> </w:t>
      </w:r>
      <w:r w:rsidRPr="00382917">
        <w:t>suspended</w:t>
      </w:r>
      <w:r w:rsidR="00330AF7">
        <w:t>.</w:t>
      </w:r>
      <w:r w:rsidR="00EE4FC3">
        <w:t xml:space="preserve">  </w:t>
      </w:r>
      <w:r w:rsidRPr="00382917">
        <w:t>Thus</w:t>
      </w:r>
      <w:r w:rsidR="00EE4FC3">
        <w:t xml:space="preserve"> </w:t>
      </w:r>
      <w:r w:rsidRPr="00382917">
        <w:t>was</w:t>
      </w:r>
      <w:r w:rsidR="00EE4FC3">
        <w:t xml:space="preserve"> </w:t>
      </w:r>
      <w:r w:rsidRPr="00382917">
        <w:t>fulfilled</w:t>
      </w:r>
      <w:r w:rsidR="00EE4FC3">
        <w:t xml:space="preserve"> </w:t>
      </w:r>
      <w:r w:rsidRPr="00382917">
        <w:t>before</w:t>
      </w:r>
      <w:r w:rsidR="00EE4FC3">
        <w:t xml:space="preserve"> </w:t>
      </w:r>
      <w:r w:rsidRPr="00382917">
        <w:t>the</w:t>
      </w:r>
      <w:r w:rsidR="00EE4FC3">
        <w:t xml:space="preserve"> </w:t>
      </w:r>
      <w:r w:rsidRPr="00382917">
        <w:t>eyes</w:t>
      </w:r>
      <w:r w:rsidR="00EE4FC3">
        <w:t xml:space="preserve"> </w:t>
      </w:r>
      <w:r w:rsidRPr="00382917">
        <w:t>of</w:t>
      </w:r>
      <w:r w:rsidR="00EE4FC3">
        <w:t xml:space="preserve"> </w:t>
      </w:r>
      <w:r w:rsidRPr="00382917">
        <w:t>the</w:t>
      </w:r>
      <w:r w:rsidR="00EE4FC3">
        <w:t xml:space="preserve"> </w:t>
      </w:r>
      <w:r w:rsidRPr="00382917">
        <w:t>people</w:t>
      </w:r>
      <w:r w:rsidR="00EE4FC3">
        <w:t xml:space="preserve"> </w:t>
      </w:r>
      <w:r w:rsidRPr="00382917">
        <w:t>gazing</w:t>
      </w:r>
      <w:r w:rsidR="00EE4FC3">
        <w:t xml:space="preserve"> </w:t>
      </w:r>
      <w:r w:rsidRPr="00382917">
        <w:t>upon</w:t>
      </w:r>
      <w:r w:rsidR="00EE4FC3">
        <w:t xml:space="preserve"> </w:t>
      </w:r>
      <w:r w:rsidRPr="00382917">
        <w:t>the</w:t>
      </w:r>
      <w:r w:rsidR="00EE4FC3">
        <w:t xml:space="preserve"> </w:t>
      </w:r>
      <w:r w:rsidRPr="00382917">
        <w:t>scene,</w:t>
      </w:r>
      <w:r w:rsidR="00EE4FC3">
        <w:t xml:space="preserve"> </w:t>
      </w:r>
      <w:r w:rsidRPr="00382917">
        <w:t>the</w:t>
      </w:r>
      <w:r w:rsidR="00EE4FC3">
        <w:t xml:space="preserve"> </w:t>
      </w:r>
      <w:r w:rsidRPr="00382917">
        <w:t>words</w:t>
      </w:r>
      <w:r w:rsidR="00EE4FC3">
        <w:t xml:space="preserve"> </w:t>
      </w:r>
      <w:r w:rsidRPr="00382917">
        <w:t>of</w:t>
      </w:r>
      <w:r w:rsidR="00EE4FC3">
        <w:t xml:space="preserve"> </w:t>
      </w:r>
      <w:r w:rsidRPr="00382917">
        <w:t>the</w:t>
      </w:r>
      <w:r w:rsidR="00EE4FC3">
        <w:t xml:space="preserve"> </w:t>
      </w:r>
      <w:r w:rsidRPr="00382917">
        <w:t>prophecy</w:t>
      </w:r>
      <w:r w:rsidR="00EE4FC3">
        <w:t xml:space="preserve"> </w:t>
      </w:r>
      <w:r w:rsidRPr="00382917">
        <w:t>in</w:t>
      </w:r>
      <w:r w:rsidR="00EE4FC3">
        <w:t xml:space="preserve"> </w:t>
      </w:r>
      <w:r w:rsidRPr="00382917">
        <w:t>their</w:t>
      </w:r>
      <w:r w:rsidR="00EE4FC3">
        <w:t xml:space="preserve"> </w:t>
      </w:r>
      <w:r w:rsidRPr="00382917">
        <w:t>own</w:t>
      </w:r>
      <w:r w:rsidR="00EE4FC3">
        <w:t xml:space="preserve"> </w:t>
      </w:r>
      <w:r w:rsidRPr="00382917">
        <w:t>sacred</w:t>
      </w:r>
      <w:r w:rsidR="00EE4FC3">
        <w:t xml:space="preserve"> </w:t>
      </w:r>
      <w:r w:rsidRPr="00382917">
        <w:t>Writings</w:t>
      </w:r>
      <w:r w:rsidR="00EE4FC3">
        <w:t xml:space="preserve"> </w:t>
      </w:r>
      <w:r w:rsidRPr="00382917">
        <w:t>which</w:t>
      </w:r>
      <w:r w:rsidR="00EE4FC3">
        <w:t xml:space="preserve"> </w:t>
      </w:r>
      <w:r w:rsidRPr="00382917">
        <w:t>foretold</w:t>
      </w:r>
      <w:r w:rsidR="00EE4FC3">
        <w:t xml:space="preserve"> </w:t>
      </w:r>
      <w:r w:rsidRPr="00382917">
        <w:t>that</w:t>
      </w:r>
      <w:r w:rsidR="00EE4FC3">
        <w:t xml:space="preserve"> </w:t>
      </w:r>
      <w:r w:rsidRPr="00382917">
        <w:t>when</w:t>
      </w:r>
      <w:r w:rsidR="00EE4FC3">
        <w:t xml:space="preserve"> </w:t>
      </w:r>
      <w:r w:rsidRPr="00382917">
        <w:t>the</w:t>
      </w:r>
      <w:r w:rsidR="00EE4FC3">
        <w:t xml:space="preserve"> </w:t>
      </w:r>
      <w:r w:rsidRPr="00382917">
        <w:t>Promised</w:t>
      </w:r>
      <w:r w:rsidR="00EE4FC3">
        <w:t xml:space="preserve"> </w:t>
      </w:r>
      <w:r w:rsidRPr="00382917">
        <w:t>One</w:t>
      </w:r>
      <w:r w:rsidR="00EE4FC3">
        <w:t xml:space="preserve"> </w:t>
      </w:r>
      <w:r w:rsidRPr="00382917">
        <w:t>was</w:t>
      </w:r>
      <w:r w:rsidR="00EE4FC3">
        <w:t xml:space="preserve"> </w:t>
      </w:r>
      <w:r w:rsidRPr="00382917">
        <w:t>slain,</w:t>
      </w:r>
      <w:r w:rsidR="00EE4FC3">
        <w:t xml:space="preserve"> </w:t>
      </w:r>
      <w:r w:rsidRPr="00382917">
        <w:t>He</w:t>
      </w:r>
      <w:r w:rsidR="00EE4FC3">
        <w:t xml:space="preserve"> </w:t>
      </w:r>
      <w:r w:rsidRPr="00382917">
        <w:t>would</w:t>
      </w:r>
      <w:r w:rsidR="00EE4FC3">
        <w:t xml:space="preserve"> </w:t>
      </w:r>
      <w:r w:rsidRPr="00382917">
        <w:t>be</w:t>
      </w:r>
      <w:r w:rsidR="00EE4FC3">
        <w:t xml:space="preserve"> </w:t>
      </w:r>
      <w:r w:rsidRPr="00382917">
        <w:t>suspended</w:t>
      </w:r>
      <w:r w:rsidR="00EE4FC3">
        <w:t xml:space="preserve"> </w:t>
      </w:r>
      <w:r w:rsidRPr="00382917">
        <w:t>like</w:t>
      </w:r>
      <w:r w:rsidR="00EE4FC3">
        <w:t xml:space="preserve"> </w:t>
      </w:r>
      <w:r w:rsidRPr="00382917">
        <w:t>unto</w:t>
      </w:r>
      <w:r w:rsidR="00EE4FC3">
        <w:t xml:space="preserve"> </w:t>
      </w:r>
      <w:r w:rsidRPr="00382917">
        <w:t>Christ</w:t>
      </w:r>
      <w:r w:rsidR="00EE4FC3">
        <w:t xml:space="preserve"> </w:t>
      </w:r>
      <w:r w:rsidRPr="00382917">
        <w:t>before</w:t>
      </w:r>
      <w:r w:rsidR="00EE4FC3">
        <w:t xml:space="preserve"> </w:t>
      </w:r>
      <w:r w:rsidRPr="00382917">
        <w:t>the</w:t>
      </w:r>
      <w:r w:rsidR="00EE4FC3">
        <w:t xml:space="preserve"> </w:t>
      </w:r>
      <w:r w:rsidRPr="00382917">
        <w:t>gaze</w:t>
      </w:r>
      <w:r w:rsidR="00EE4FC3">
        <w:t xml:space="preserve"> </w:t>
      </w:r>
      <w:r w:rsidRPr="00382917">
        <w:t>of</w:t>
      </w:r>
      <w:r w:rsidR="00EE4FC3">
        <w:t xml:space="preserve"> </w:t>
      </w:r>
      <w:r w:rsidRPr="00382917">
        <w:t>the</w:t>
      </w:r>
      <w:r w:rsidR="00EE4FC3">
        <w:t xml:space="preserve"> </w:t>
      </w:r>
      <w:r w:rsidRPr="00382917">
        <w:t>public</w:t>
      </w:r>
      <w:r w:rsidR="00330AF7">
        <w:t>.</w:t>
      </w:r>
      <w:r w:rsidR="00EE4FC3">
        <w:t xml:space="preserve">  </w:t>
      </w:r>
      <w:r w:rsidRPr="00382917">
        <w:t>Mu</w:t>
      </w:r>
      <w:r w:rsidR="00765D59" w:rsidRPr="00382917">
        <w:t>ḥ</w:t>
      </w:r>
      <w:r w:rsidRPr="00382917">
        <w:t>ammad</w:t>
      </w:r>
      <w:r w:rsidR="009C713D" w:rsidRPr="00382917">
        <w:t>-‘</w:t>
      </w:r>
      <w:r w:rsidRPr="00382917">
        <w:t>Al</w:t>
      </w:r>
      <w:r w:rsidR="00E13D49" w:rsidRPr="00382917">
        <w:t>í</w:t>
      </w:r>
      <w:r w:rsidR="00EE4FC3">
        <w:t xml:space="preserve"> </w:t>
      </w:r>
      <w:r w:rsidRPr="00382917">
        <w:t>begged</w:t>
      </w:r>
      <w:r w:rsidR="00EE4FC3">
        <w:t xml:space="preserve"> </w:t>
      </w:r>
      <w:r w:rsidRPr="00382917">
        <w:t>Sam</w:t>
      </w:r>
      <w:r w:rsidR="00EE4FC3">
        <w:t xml:space="preserve"> </w:t>
      </w:r>
      <w:r w:rsidR="0040329F" w:rsidRPr="0040329F">
        <w:rPr>
          <w:u w:val="single"/>
        </w:rPr>
        <w:t>Kh</w:t>
      </w:r>
      <w:r w:rsidR="0040329F" w:rsidRPr="00382917">
        <w:t>án</w:t>
      </w:r>
      <w:r w:rsidR="00EE4FC3">
        <w:t xml:space="preserve"> </w:t>
      </w:r>
      <w:r w:rsidRPr="00382917">
        <w:t>to</w:t>
      </w:r>
      <w:r w:rsidR="00EE4FC3">
        <w:t xml:space="preserve"> </w:t>
      </w:r>
      <w:r w:rsidRPr="00382917">
        <w:t>allow</w:t>
      </w:r>
      <w:r w:rsidR="00EE4FC3">
        <w:t xml:space="preserve"> </w:t>
      </w:r>
      <w:r w:rsidRPr="00382917">
        <w:t>him</w:t>
      </w:r>
      <w:r w:rsidR="00EE4FC3">
        <w:t xml:space="preserve"> </w:t>
      </w:r>
      <w:r w:rsidRPr="00382917">
        <w:t>to</w:t>
      </w:r>
      <w:r w:rsidR="00EE4FC3">
        <w:t xml:space="preserve"> </w:t>
      </w:r>
      <w:r w:rsidRPr="00382917">
        <w:t>be</w:t>
      </w:r>
      <w:r w:rsidR="00EE4FC3">
        <w:t xml:space="preserve"> </w:t>
      </w:r>
      <w:r w:rsidRPr="00382917">
        <w:t>placed</w:t>
      </w:r>
      <w:r w:rsidR="00EE4FC3">
        <w:t xml:space="preserve"> </w:t>
      </w:r>
      <w:r w:rsidRPr="00382917">
        <w:t>in</w:t>
      </w:r>
      <w:r w:rsidR="00EE4FC3">
        <w:t xml:space="preserve"> </w:t>
      </w:r>
      <w:r w:rsidRPr="00382917">
        <w:t>such</w:t>
      </w:r>
      <w:r w:rsidR="00EE4FC3">
        <w:t xml:space="preserve"> </w:t>
      </w:r>
      <w:r w:rsidRPr="00382917">
        <w:t>a</w:t>
      </w:r>
      <w:r w:rsidR="00EE4FC3">
        <w:t xml:space="preserve"> </w:t>
      </w:r>
      <w:r w:rsidRPr="00382917">
        <w:t>manner</w:t>
      </w:r>
      <w:r w:rsidR="00EE4FC3">
        <w:t xml:space="preserve"> </w:t>
      </w:r>
      <w:r w:rsidRPr="00382917">
        <w:t>that</w:t>
      </w:r>
      <w:r w:rsidR="00EE4FC3">
        <w:t xml:space="preserve"> </w:t>
      </w:r>
      <w:r w:rsidRPr="00382917">
        <w:t>his</w:t>
      </w:r>
      <w:r w:rsidR="00EE4FC3">
        <w:t xml:space="preserve"> </w:t>
      </w:r>
      <w:r w:rsidRPr="00382917">
        <w:t>own</w:t>
      </w:r>
      <w:r w:rsidR="00EE4FC3">
        <w:t xml:space="preserve"> </w:t>
      </w:r>
      <w:r w:rsidRPr="00382917">
        <w:t>body</w:t>
      </w:r>
      <w:r w:rsidR="00EE4FC3">
        <w:t xml:space="preserve"> </w:t>
      </w:r>
      <w:r w:rsidRPr="00382917">
        <w:t>would</w:t>
      </w:r>
      <w:r w:rsidR="00EE4FC3">
        <w:t xml:space="preserve"> </w:t>
      </w:r>
      <w:r w:rsidRPr="00382917">
        <w:t>shield</w:t>
      </w:r>
      <w:r w:rsidR="00EE4FC3">
        <w:t xml:space="preserve"> </w:t>
      </w:r>
      <w:r w:rsidRPr="00382917">
        <w:t>that</w:t>
      </w:r>
      <w:r w:rsidR="00EE4FC3">
        <w:t xml:space="preserve"> </w:t>
      </w:r>
      <w:r w:rsidRPr="00382917">
        <w:t>of</w:t>
      </w:r>
      <w:r w:rsidR="00EE4FC3">
        <w:t xml:space="preserve"> </w:t>
      </w:r>
      <w:r w:rsidRPr="00382917">
        <w:t>the</w:t>
      </w:r>
      <w:r w:rsidR="00EE4FC3">
        <w:t xml:space="preserve"> </w:t>
      </w:r>
      <w:r w:rsidRPr="00382917">
        <w:t>Báb</w:t>
      </w:r>
      <w:r w:rsidR="00330AF7">
        <w:t>.</w:t>
      </w:r>
      <w:r w:rsidR="00EE4FC3">
        <w:t xml:space="preserve">  </w:t>
      </w:r>
      <w:r w:rsidRPr="00382917">
        <w:t>He</w:t>
      </w:r>
      <w:r w:rsidR="00EE4FC3">
        <w:t xml:space="preserve"> </w:t>
      </w:r>
      <w:r w:rsidRPr="00382917">
        <w:t>was</w:t>
      </w:r>
      <w:r w:rsidR="00EE4FC3">
        <w:t xml:space="preserve"> </w:t>
      </w:r>
      <w:r w:rsidRPr="00382917">
        <w:t>eventually</w:t>
      </w:r>
      <w:r w:rsidR="00EE4FC3">
        <w:t xml:space="preserve"> </w:t>
      </w:r>
      <w:r w:rsidRPr="00382917">
        <w:t>suspended</w:t>
      </w:r>
      <w:r w:rsidR="00EE4FC3">
        <w:t xml:space="preserve"> </w:t>
      </w:r>
      <w:r w:rsidRPr="00382917">
        <w:t>so</w:t>
      </w:r>
      <w:r w:rsidR="00EE4FC3">
        <w:t xml:space="preserve"> </w:t>
      </w:r>
      <w:r w:rsidRPr="00382917">
        <w:t>that</w:t>
      </w:r>
      <w:r w:rsidR="00EE4FC3">
        <w:t xml:space="preserve"> </w:t>
      </w:r>
      <w:r w:rsidRPr="00382917">
        <w:t>his</w:t>
      </w:r>
      <w:r w:rsidR="00EE4FC3">
        <w:t xml:space="preserve"> </w:t>
      </w:r>
      <w:r w:rsidRPr="00382917">
        <w:t>head</w:t>
      </w:r>
      <w:r w:rsidR="00EE4FC3">
        <w:t xml:space="preserve"> </w:t>
      </w:r>
      <w:r w:rsidRPr="00382917">
        <w:t>rested</w:t>
      </w:r>
      <w:r w:rsidR="00EE4FC3">
        <w:t xml:space="preserve"> </w:t>
      </w:r>
      <w:r w:rsidRPr="00382917">
        <w:t>upon</w:t>
      </w:r>
      <w:r w:rsidR="00EE4FC3">
        <w:t xml:space="preserve"> </w:t>
      </w:r>
      <w:r w:rsidRPr="00382917">
        <w:t>the</w:t>
      </w:r>
      <w:r w:rsidR="00EE4FC3">
        <w:t xml:space="preserve"> </w:t>
      </w:r>
      <w:r w:rsidRPr="00382917">
        <w:t>breast</w:t>
      </w:r>
      <w:r w:rsidR="00EE4FC3">
        <w:t xml:space="preserve"> </w:t>
      </w:r>
      <w:r w:rsidRPr="00382917">
        <w:t>of</w:t>
      </w:r>
      <w:r w:rsidR="00EE4FC3">
        <w:t xml:space="preserve"> </w:t>
      </w:r>
      <w:r w:rsidRPr="00382917">
        <w:t>the</w:t>
      </w:r>
      <w:r w:rsidR="00EE4FC3">
        <w:t xml:space="preserve"> </w:t>
      </w:r>
      <w:r w:rsidRPr="00382917">
        <w:t>Báb.</w:t>
      </w:r>
    </w:p>
    <w:p w:rsidR="00E13D49" w:rsidRPr="00382917" w:rsidRDefault="00621DD5" w:rsidP="00EC6BA8">
      <w:pPr>
        <w:pStyle w:val="Text"/>
      </w:pPr>
      <w:r w:rsidRPr="00382917">
        <w:t>The</w:t>
      </w:r>
      <w:r w:rsidR="00EE4FC3">
        <w:t xml:space="preserve"> </w:t>
      </w:r>
      <w:r w:rsidR="001713B3" w:rsidRPr="001713B3">
        <w:rPr>
          <w:i/>
          <w:iCs/>
        </w:rPr>
        <w:t>Journal</w:t>
      </w:r>
      <w:r w:rsidR="00EE4FC3">
        <w:rPr>
          <w:i/>
          <w:iCs/>
        </w:rPr>
        <w:t xml:space="preserve"> </w:t>
      </w:r>
      <w:proofErr w:type="spellStart"/>
      <w:r w:rsidR="001713B3" w:rsidRPr="001713B3">
        <w:rPr>
          <w:i/>
          <w:iCs/>
        </w:rPr>
        <w:t>Asiatique</w:t>
      </w:r>
      <w:r w:rsidR="009C713D" w:rsidRPr="00382917">
        <w:t>’</w:t>
      </w:r>
      <w:r w:rsidRPr="00382917">
        <w:t>s</w:t>
      </w:r>
      <w:proofErr w:type="spellEnd"/>
      <w:r w:rsidR="00EE4FC3">
        <w:t xml:space="preserve"> </w:t>
      </w:r>
      <w:r w:rsidRPr="00382917">
        <w:t>account</w:t>
      </w:r>
      <w:r w:rsidR="00EE4FC3">
        <w:t xml:space="preserve"> </w:t>
      </w:r>
      <w:r w:rsidRPr="00382917">
        <w:t>of</w:t>
      </w:r>
      <w:r w:rsidR="00EE4FC3">
        <w:t xml:space="preserve"> </w:t>
      </w:r>
      <w:r w:rsidRPr="00382917">
        <w:t>that</w:t>
      </w:r>
      <w:r w:rsidR="00EE4FC3">
        <w:t xml:space="preserve"> </w:t>
      </w:r>
      <w:r w:rsidRPr="00382917">
        <w:t>event</w:t>
      </w:r>
      <w:r w:rsidR="00EE4FC3">
        <w:t xml:space="preserve"> </w:t>
      </w:r>
      <w:r w:rsidRPr="00382917">
        <w:t>states</w:t>
      </w:r>
      <w:r w:rsidR="00C03C91">
        <w:t>:</w:t>
      </w:r>
      <w:r w:rsidR="00EE4FC3">
        <w:t xml:space="preserve">  </w:t>
      </w:r>
      <w:r w:rsidR="009C713D" w:rsidRPr="00382917">
        <w:t>“</w:t>
      </w:r>
      <w:r w:rsidRPr="00382917">
        <w:t>The</w:t>
      </w:r>
      <w:r w:rsidR="00EE4FC3">
        <w:t xml:space="preserve"> </w:t>
      </w:r>
      <w:r w:rsidRPr="00382917">
        <w:t>Báb</w:t>
      </w:r>
      <w:r w:rsidR="00EE4FC3">
        <w:t xml:space="preserve"> </w:t>
      </w:r>
      <w:r w:rsidRPr="00382917">
        <w:t>remained</w:t>
      </w:r>
      <w:r w:rsidR="00EE4FC3">
        <w:t xml:space="preserve"> </w:t>
      </w:r>
      <w:r w:rsidRPr="00382917">
        <w:t>silent</w:t>
      </w:r>
      <w:r w:rsidR="00330AF7">
        <w:t>.</w:t>
      </w:r>
      <w:r w:rsidR="00EE4FC3">
        <w:t xml:space="preserve">  </w:t>
      </w:r>
      <w:r w:rsidRPr="00382917">
        <w:t>His</w:t>
      </w:r>
      <w:r w:rsidR="00EE4FC3">
        <w:t xml:space="preserve"> </w:t>
      </w:r>
      <w:r w:rsidRPr="00382917">
        <w:t>pale</w:t>
      </w:r>
      <w:r w:rsidR="00EE4FC3">
        <w:t xml:space="preserve"> </w:t>
      </w:r>
      <w:r w:rsidRPr="00382917">
        <w:t>handsome</w:t>
      </w:r>
      <w:r w:rsidR="00EE4FC3">
        <w:t xml:space="preserve"> </w:t>
      </w:r>
      <w:r w:rsidRPr="00382917">
        <w:t>face</w:t>
      </w:r>
      <w:r w:rsidR="00EE4FC3">
        <w:t xml:space="preserve"> </w:t>
      </w:r>
      <w:r w:rsidR="00F04416" w:rsidRPr="00382917">
        <w:t>…</w:t>
      </w:r>
      <w:r w:rsidR="00EE4FC3">
        <w:t xml:space="preserve"> </w:t>
      </w:r>
      <w:r w:rsidRPr="00382917">
        <w:t>his</w:t>
      </w:r>
      <w:r w:rsidR="00EE4FC3">
        <w:t xml:space="preserve"> </w:t>
      </w:r>
      <w:r w:rsidRPr="00382917">
        <w:t>appearance</w:t>
      </w:r>
      <w:r w:rsidR="00EE4FC3">
        <w:t xml:space="preserve"> </w:t>
      </w:r>
      <w:r w:rsidRPr="00382917">
        <w:t>and</w:t>
      </w:r>
      <w:r w:rsidR="00EE4FC3">
        <w:t xml:space="preserve"> </w:t>
      </w:r>
      <w:r w:rsidRPr="00382917">
        <w:t>his</w:t>
      </w:r>
      <w:r w:rsidR="00EE4FC3">
        <w:t xml:space="preserve"> </w:t>
      </w:r>
      <w:r w:rsidRPr="00382917">
        <w:t>refined</w:t>
      </w:r>
      <w:r w:rsidR="00EE4FC3">
        <w:t xml:space="preserve"> </w:t>
      </w:r>
      <w:r w:rsidRPr="00382917">
        <w:t>manners,</w:t>
      </w:r>
      <w:r w:rsidR="00EE4FC3">
        <w:t xml:space="preserve"> </w:t>
      </w:r>
      <w:r w:rsidRPr="00382917">
        <w:t>his</w:t>
      </w:r>
      <w:r w:rsidR="00EE4FC3">
        <w:t xml:space="preserve"> </w:t>
      </w:r>
      <w:r w:rsidRPr="00382917">
        <w:t>white</w:t>
      </w:r>
      <w:r w:rsidR="00EE4FC3">
        <w:t xml:space="preserve"> </w:t>
      </w:r>
      <w:r w:rsidRPr="00382917">
        <w:t>delicate</w:t>
      </w:r>
      <w:r w:rsidR="00EE4FC3">
        <w:t xml:space="preserve"> </w:t>
      </w:r>
      <w:r w:rsidRPr="00382917">
        <w:t>hands,</w:t>
      </w:r>
      <w:r w:rsidR="00EE4FC3">
        <w:t xml:space="preserve"> </w:t>
      </w:r>
      <w:r w:rsidRPr="00382917">
        <w:t>his</w:t>
      </w:r>
      <w:r w:rsidR="00EE4FC3">
        <w:t xml:space="preserve"> </w:t>
      </w:r>
      <w:r w:rsidRPr="00382917">
        <w:t>simple</w:t>
      </w:r>
      <w:r w:rsidR="00EE4FC3">
        <w:t xml:space="preserve"> </w:t>
      </w:r>
      <w:r w:rsidRPr="00382917">
        <w:t>but</w:t>
      </w:r>
      <w:r w:rsidR="00EE4FC3">
        <w:t xml:space="preserve"> </w:t>
      </w:r>
      <w:r w:rsidRPr="00382917">
        <w:t>very</w:t>
      </w:r>
      <w:r w:rsidR="00EE4FC3">
        <w:t xml:space="preserve"> </w:t>
      </w:r>
      <w:r w:rsidRPr="00382917">
        <w:t>neat</w:t>
      </w:r>
      <w:r w:rsidR="00EE4FC3">
        <w:t xml:space="preserve"> </w:t>
      </w:r>
      <w:r w:rsidRPr="00382917">
        <w:t>garments—everything</w:t>
      </w:r>
      <w:r w:rsidR="00EE4FC3">
        <w:t xml:space="preserve"> </w:t>
      </w:r>
      <w:r w:rsidRPr="00382917">
        <w:t>about</w:t>
      </w:r>
      <w:r w:rsidR="00EE4FC3">
        <w:t xml:space="preserve"> </w:t>
      </w:r>
      <w:r w:rsidRPr="00382917">
        <w:t>him</w:t>
      </w:r>
      <w:r w:rsidR="00EE4FC3">
        <w:t xml:space="preserve"> </w:t>
      </w:r>
      <w:r w:rsidRPr="00382917">
        <w:t>awakened</w:t>
      </w:r>
      <w:r w:rsidR="00EE4FC3">
        <w:t xml:space="preserve"> </w:t>
      </w:r>
      <w:r w:rsidRPr="00382917">
        <w:t>sympathy</w:t>
      </w:r>
      <w:r w:rsidR="00EE4FC3">
        <w:t xml:space="preserve"> </w:t>
      </w:r>
      <w:r w:rsidRPr="00382917">
        <w:t>and</w:t>
      </w:r>
      <w:r w:rsidR="00EE4FC3">
        <w:t xml:space="preserve"> </w:t>
      </w:r>
      <w:r w:rsidRPr="00382917">
        <w:t>compassion.</w:t>
      </w:r>
      <w:r w:rsidR="009C713D" w:rsidRPr="00382917">
        <w:t>”</w:t>
      </w:r>
      <w:r w:rsidR="00EC6BA8">
        <w:rPr>
          <w:rStyle w:val="FootnoteReference"/>
        </w:rPr>
        <w:footnoteReference w:id="254"/>
      </w:r>
    </w:p>
    <w:p w:rsidR="00621DD5" w:rsidRPr="00382917" w:rsidRDefault="00621DD5" w:rsidP="00621DD5">
      <w:pPr>
        <w:pStyle w:val="Text"/>
      </w:pPr>
      <w:r w:rsidRPr="00382917">
        <w:t>About</w:t>
      </w:r>
      <w:r w:rsidR="00EE4FC3">
        <w:t xml:space="preserve"> </w:t>
      </w:r>
      <w:r w:rsidRPr="00382917">
        <w:t>ten</w:t>
      </w:r>
      <w:r w:rsidR="00EE4FC3">
        <w:t xml:space="preserve"> </w:t>
      </w:r>
      <w:r w:rsidRPr="00382917">
        <w:t>thousand</w:t>
      </w:r>
      <w:r w:rsidR="00EE4FC3">
        <w:t xml:space="preserve"> </w:t>
      </w:r>
      <w:r w:rsidRPr="00382917">
        <w:t>people</w:t>
      </w:r>
      <w:r w:rsidR="00EE4FC3">
        <w:t xml:space="preserve"> </w:t>
      </w:r>
      <w:r w:rsidRPr="00382917">
        <w:t>had</w:t>
      </w:r>
      <w:r w:rsidR="00EE4FC3">
        <w:t xml:space="preserve"> </w:t>
      </w:r>
      <w:r w:rsidRPr="00382917">
        <w:t>crowded</w:t>
      </w:r>
      <w:r w:rsidR="00EE4FC3">
        <w:t xml:space="preserve"> </w:t>
      </w:r>
      <w:r w:rsidRPr="00382917">
        <w:t>into</w:t>
      </w:r>
      <w:r w:rsidR="00EE4FC3">
        <w:t xml:space="preserve"> </w:t>
      </w:r>
      <w:r w:rsidRPr="00382917">
        <w:t>the</w:t>
      </w:r>
      <w:r w:rsidR="00EE4FC3">
        <w:t xml:space="preserve"> </w:t>
      </w:r>
      <w:r w:rsidRPr="00382917">
        <w:t>public</w:t>
      </w:r>
      <w:r w:rsidR="00EE4FC3">
        <w:t xml:space="preserve"> </w:t>
      </w:r>
      <w:r w:rsidRPr="00382917">
        <w:t>square</w:t>
      </w:r>
      <w:r w:rsidR="00330AF7">
        <w:t>.</w:t>
      </w:r>
      <w:r w:rsidR="00EE4FC3">
        <w:t xml:space="preserve">  </w:t>
      </w:r>
      <w:r w:rsidRPr="00382917">
        <w:t>They</w:t>
      </w:r>
      <w:r w:rsidR="00EE4FC3">
        <w:t xml:space="preserve"> </w:t>
      </w:r>
      <w:r w:rsidRPr="00382917">
        <w:t>were</w:t>
      </w:r>
      <w:r w:rsidR="00EE4FC3">
        <w:t xml:space="preserve"> </w:t>
      </w:r>
      <w:r w:rsidRPr="00382917">
        <w:t>thronged</w:t>
      </w:r>
      <w:r w:rsidR="00EE4FC3">
        <w:t xml:space="preserve"> </w:t>
      </w:r>
      <w:r w:rsidRPr="00382917">
        <w:t>on</w:t>
      </w:r>
      <w:r w:rsidR="00EE4FC3">
        <w:t xml:space="preserve"> </w:t>
      </w:r>
      <w:r w:rsidRPr="00382917">
        <w:t>the</w:t>
      </w:r>
      <w:r w:rsidR="00EE4FC3">
        <w:t xml:space="preserve"> </w:t>
      </w:r>
      <w:r w:rsidRPr="00382917">
        <w:t>roofs</w:t>
      </w:r>
      <w:r w:rsidR="00EE4FC3">
        <w:t xml:space="preserve"> </w:t>
      </w:r>
      <w:r w:rsidRPr="00382917">
        <w:t>of</w:t>
      </w:r>
      <w:r w:rsidR="00EE4FC3">
        <w:t xml:space="preserve"> </w:t>
      </w:r>
      <w:r w:rsidRPr="00382917">
        <w:t>the</w:t>
      </w:r>
      <w:r w:rsidR="00EE4FC3">
        <w:t xml:space="preserve"> </w:t>
      </w:r>
      <w:r w:rsidRPr="00382917">
        <w:t>adjoining</w:t>
      </w:r>
      <w:r w:rsidR="00EE4FC3">
        <w:t xml:space="preserve"> </w:t>
      </w:r>
      <w:r w:rsidRPr="00382917">
        <w:t>houses</w:t>
      </w:r>
      <w:r w:rsidR="00EE4FC3">
        <w:t xml:space="preserve"> </w:t>
      </w:r>
      <w:r w:rsidRPr="00382917">
        <w:t>as</w:t>
      </w:r>
      <w:r w:rsidR="00EE4FC3">
        <w:t xml:space="preserve"> </w:t>
      </w:r>
      <w:r w:rsidRPr="00382917">
        <w:t>well</w:t>
      </w:r>
      <w:r w:rsidR="00330AF7">
        <w:t>.</w:t>
      </w:r>
      <w:r w:rsidR="00EE4FC3">
        <w:t xml:space="preserve">  </w:t>
      </w:r>
      <w:r w:rsidRPr="00382917">
        <w:t>All</w:t>
      </w:r>
      <w:r w:rsidR="00EE4FC3">
        <w:t xml:space="preserve"> </w:t>
      </w:r>
      <w:r w:rsidRPr="00382917">
        <w:t>were</w:t>
      </w:r>
      <w:r w:rsidR="00EE4FC3">
        <w:t xml:space="preserve"> </w:t>
      </w:r>
      <w:r w:rsidRPr="00382917">
        <w:t>eager</w:t>
      </w:r>
      <w:r w:rsidR="00EE4FC3">
        <w:t xml:space="preserve"> </w:t>
      </w:r>
      <w:r w:rsidRPr="00382917">
        <w:t>to</w:t>
      </w:r>
      <w:r w:rsidR="00EE4FC3">
        <w:t xml:space="preserve"> </w:t>
      </w:r>
      <w:r w:rsidRPr="00382917">
        <w:t>witness</w:t>
      </w:r>
      <w:r w:rsidR="00EE4FC3">
        <w:t xml:space="preserve"> </w:t>
      </w:r>
      <w:r w:rsidRPr="00382917">
        <w:t>the</w:t>
      </w:r>
      <w:r w:rsidR="00EE4FC3">
        <w:t xml:space="preserve"> </w:t>
      </w:r>
      <w:r w:rsidRPr="00382917">
        <w:t>spectacle</w:t>
      </w:r>
      <w:r w:rsidR="00330AF7">
        <w:t>.</w:t>
      </w:r>
      <w:r w:rsidR="00EE4FC3">
        <w:t xml:space="preserve">  </w:t>
      </w:r>
      <w:r w:rsidRPr="00382917">
        <w:t>Yet</w:t>
      </w:r>
      <w:r w:rsidR="00EE4FC3">
        <w:t xml:space="preserve"> </w:t>
      </w:r>
      <w:r w:rsidRPr="00382917">
        <w:t>each</w:t>
      </w:r>
      <w:r w:rsidR="00EE4FC3">
        <w:t xml:space="preserve"> </w:t>
      </w:r>
      <w:r w:rsidRPr="00382917">
        <w:t>person</w:t>
      </w:r>
      <w:r w:rsidR="00EE4FC3">
        <w:t xml:space="preserve"> </w:t>
      </w:r>
      <w:r w:rsidRPr="00382917">
        <w:t>was</w:t>
      </w:r>
      <w:r w:rsidR="00EE4FC3">
        <w:t xml:space="preserve"> </w:t>
      </w:r>
      <w:r w:rsidRPr="00382917">
        <w:t>willing</w:t>
      </w:r>
      <w:r w:rsidR="00EE4FC3">
        <w:t xml:space="preserve"> </w:t>
      </w:r>
      <w:r w:rsidRPr="00382917">
        <w:t>to</w:t>
      </w:r>
      <w:r w:rsidR="00EE4FC3">
        <w:t xml:space="preserve"> </w:t>
      </w:r>
      <w:r w:rsidRPr="00382917">
        <w:t>change</w:t>
      </w:r>
      <w:r w:rsidR="00EE4FC3">
        <w:t xml:space="preserve"> </w:t>
      </w:r>
      <w:r w:rsidRPr="00382917">
        <w:t>from</w:t>
      </w:r>
      <w:r w:rsidR="00EE4FC3">
        <w:t xml:space="preserve"> </w:t>
      </w:r>
      <w:r w:rsidRPr="00382917">
        <w:t>an</w:t>
      </w:r>
      <w:r w:rsidR="00EE4FC3">
        <w:t xml:space="preserve"> </w:t>
      </w:r>
      <w:r w:rsidRPr="00382917">
        <w:t>enemy</w:t>
      </w:r>
      <w:r w:rsidR="00EE4FC3">
        <w:t xml:space="preserve"> </w:t>
      </w:r>
      <w:r w:rsidRPr="00382917">
        <w:t>into</w:t>
      </w:r>
      <w:r w:rsidR="00EE4FC3">
        <w:t xml:space="preserve"> </w:t>
      </w:r>
      <w:r w:rsidRPr="00382917">
        <w:t>a</w:t>
      </w:r>
      <w:r w:rsidR="00EE4FC3">
        <w:t xml:space="preserve"> </w:t>
      </w:r>
      <w:r w:rsidRPr="00382917">
        <w:t>friend</w:t>
      </w:r>
      <w:r w:rsidR="00EE4FC3">
        <w:t xml:space="preserve"> </w:t>
      </w:r>
      <w:r w:rsidRPr="00382917">
        <w:t>at</w:t>
      </w:r>
      <w:r w:rsidR="00EE4FC3">
        <w:t xml:space="preserve"> </w:t>
      </w:r>
      <w:r w:rsidRPr="00382917">
        <w:t>the</w:t>
      </w:r>
      <w:r w:rsidR="00EE4FC3">
        <w:t xml:space="preserve"> </w:t>
      </w:r>
      <w:r w:rsidRPr="00382917">
        <w:t>least</w:t>
      </w:r>
      <w:r w:rsidR="00EE4FC3">
        <w:t xml:space="preserve"> </w:t>
      </w:r>
      <w:r w:rsidRPr="00382917">
        <w:t>sign</w:t>
      </w:r>
      <w:r w:rsidR="00EE4FC3">
        <w:t xml:space="preserve"> </w:t>
      </w:r>
      <w:r w:rsidRPr="00382917">
        <w:t>of</w:t>
      </w:r>
      <w:r w:rsidR="00EE4FC3">
        <w:t xml:space="preserve"> </w:t>
      </w:r>
      <w:r w:rsidRPr="00382917">
        <w:t>power</w:t>
      </w:r>
      <w:r w:rsidR="00EE4FC3">
        <w:t xml:space="preserve"> </w:t>
      </w:r>
      <w:r w:rsidRPr="00382917">
        <w:t>from</w:t>
      </w:r>
      <w:r w:rsidR="00EE4FC3">
        <w:t xml:space="preserve"> </w:t>
      </w:r>
      <w:r w:rsidRPr="00382917">
        <w:t>the</w:t>
      </w:r>
      <w:r w:rsidR="00EE4FC3">
        <w:t xml:space="preserve"> </w:t>
      </w:r>
      <w:r w:rsidRPr="00382917">
        <w:t>Báb</w:t>
      </w:r>
      <w:r w:rsidR="00330AF7">
        <w:t>.</w:t>
      </w:r>
      <w:r w:rsidR="00EE4FC3">
        <w:t xml:space="preserve">  </w:t>
      </w:r>
      <w:r w:rsidRPr="00382917">
        <w:t>They</w:t>
      </w:r>
      <w:r w:rsidR="00EE4FC3">
        <w:t xml:space="preserve"> </w:t>
      </w:r>
      <w:r w:rsidRPr="00382917">
        <w:t>were</w:t>
      </w:r>
      <w:r w:rsidR="00EE4FC3">
        <w:t xml:space="preserve"> </w:t>
      </w:r>
      <w:r w:rsidRPr="00382917">
        <w:t>still</w:t>
      </w:r>
      <w:r w:rsidR="00EE4FC3">
        <w:t xml:space="preserve"> </w:t>
      </w:r>
      <w:r w:rsidRPr="00382917">
        <w:t>hungry</w:t>
      </w:r>
      <w:r w:rsidR="00EE4FC3">
        <w:t xml:space="preserve"> </w:t>
      </w:r>
      <w:r w:rsidRPr="00382917">
        <w:t>for</w:t>
      </w:r>
      <w:r w:rsidR="00EE4FC3">
        <w:t xml:space="preserve"> </w:t>
      </w:r>
      <w:r w:rsidRPr="00382917">
        <w:t>drama,</w:t>
      </w:r>
      <w:r w:rsidR="00EE4FC3">
        <w:t xml:space="preserve"> </w:t>
      </w:r>
      <w:r w:rsidRPr="00382917">
        <w:t>and</w:t>
      </w:r>
      <w:r w:rsidR="00EE4FC3">
        <w:t xml:space="preserve"> </w:t>
      </w:r>
      <w:r w:rsidRPr="00382917">
        <w:t>He</w:t>
      </w:r>
      <w:r w:rsidR="00EE4FC3">
        <w:t xml:space="preserve"> </w:t>
      </w:r>
      <w:r w:rsidRPr="00382917">
        <w:t>was</w:t>
      </w:r>
      <w:r w:rsidR="00EE4FC3">
        <w:t xml:space="preserve"> </w:t>
      </w:r>
      <w:r w:rsidRPr="00382917">
        <w:t>disappointing</w:t>
      </w:r>
      <w:r w:rsidR="00EE4FC3">
        <w:t xml:space="preserve"> </w:t>
      </w:r>
      <w:r w:rsidRPr="00382917">
        <w:t>them</w:t>
      </w:r>
      <w:r w:rsidR="00330AF7">
        <w:t>.</w:t>
      </w:r>
      <w:r w:rsidR="00EE4FC3">
        <w:t xml:space="preserve">  </w:t>
      </w:r>
      <w:r w:rsidRPr="00382917">
        <w:t>Just</w:t>
      </w:r>
      <w:r w:rsidR="00EE4FC3">
        <w:t xml:space="preserve"> </w:t>
      </w:r>
      <w:r w:rsidRPr="00382917">
        <w:t>as</w:t>
      </w:r>
      <w:r w:rsidR="00EE4FC3">
        <w:t xml:space="preserve"> </w:t>
      </w:r>
      <w:r w:rsidRPr="00382917">
        <w:t>the</w:t>
      </w:r>
      <w:r w:rsidR="00EE4FC3">
        <w:t xml:space="preserve"> </w:t>
      </w:r>
      <w:r w:rsidRPr="00382917">
        <w:t>crowd</w:t>
      </w:r>
      <w:r w:rsidR="00EE4FC3">
        <w:t xml:space="preserve"> </w:t>
      </w:r>
      <w:r w:rsidRPr="00382917">
        <w:t>had</w:t>
      </w:r>
      <w:r w:rsidR="00EE4FC3">
        <w:t xml:space="preserve"> </w:t>
      </w:r>
      <w:r w:rsidRPr="00382917">
        <w:t>stood</w:t>
      </w:r>
      <w:r w:rsidR="00EE4FC3">
        <w:t xml:space="preserve"> </w:t>
      </w:r>
      <w:r w:rsidRPr="00382917">
        <w:t>on</w:t>
      </w:r>
      <w:r w:rsidR="00EE4FC3">
        <w:t xml:space="preserve"> </w:t>
      </w:r>
      <w:r w:rsidRPr="00382917">
        <w:t>Golgotha,</w:t>
      </w:r>
      <w:r w:rsidR="00EE4FC3">
        <w:t xml:space="preserve"> </w:t>
      </w:r>
      <w:r w:rsidRPr="00382917">
        <w:t>reviling</w:t>
      </w:r>
      <w:r w:rsidR="00EE4FC3">
        <w:t xml:space="preserve"> </w:t>
      </w:r>
      <w:r w:rsidRPr="00382917">
        <w:t>Jesus,</w:t>
      </w:r>
      <w:r w:rsidR="00EE4FC3">
        <w:t xml:space="preserve"> </w:t>
      </w:r>
      <w:r w:rsidRPr="00382917">
        <w:t>wagging</w:t>
      </w:r>
      <w:r w:rsidR="00EE4FC3">
        <w:t xml:space="preserve"> </w:t>
      </w:r>
      <w:r w:rsidRPr="00382917">
        <w:t>their</w:t>
      </w:r>
      <w:r w:rsidR="00EE4FC3">
        <w:t xml:space="preserve"> </w:t>
      </w:r>
      <w:r w:rsidRPr="00382917">
        <w:t>heads</w:t>
      </w:r>
      <w:r w:rsidR="00EE4FC3">
        <w:t xml:space="preserve"> </w:t>
      </w:r>
      <w:r w:rsidRPr="00382917">
        <w:t>and</w:t>
      </w:r>
      <w:r w:rsidR="00EE4FC3">
        <w:t xml:space="preserve"> </w:t>
      </w:r>
      <w:r w:rsidRPr="00382917">
        <w:t>saying,</w:t>
      </w:r>
      <w:r w:rsidR="00EE4FC3">
        <w:t xml:space="preserve"> </w:t>
      </w:r>
      <w:r w:rsidR="009C713D" w:rsidRPr="00382917">
        <w:t>“</w:t>
      </w:r>
      <w:r w:rsidRPr="00382917">
        <w:t>Save</w:t>
      </w:r>
      <w:r w:rsidR="00EE4FC3">
        <w:t xml:space="preserve"> </w:t>
      </w:r>
      <w:proofErr w:type="gramStart"/>
      <w:r w:rsidRPr="00382917">
        <w:t>thyself</w:t>
      </w:r>
      <w:proofErr w:type="gramEnd"/>
      <w:r w:rsidRPr="00382917">
        <w:t>!</w:t>
      </w:r>
      <w:r w:rsidR="00EE4FC3">
        <w:t xml:space="preserve"> </w:t>
      </w:r>
      <w:r w:rsidR="00AF40F8">
        <w:t xml:space="preserve"> </w:t>
      </w:r>
      <w:r w:rsidRPr="00382917">
        <w:t>If</w:t>
      </w:r>
      <w:r w:rsidR="00EE4FC3">
        <w:t xml:space="preserve"> </w:t>
      </w:r>
      <w:r w:rsidRPr="00382917">
        <w:t>thou</w:t>
      </w:r>
      <w:r w:rsidR="00EE4FC3">
        <w:t xml:space="preserve"> </w:t>
      </w:r>
      <w:r w:rsidRPr="00382917">
        <w:t>be</w:t>
      </w:r>
      <w:r w:rsidR="00EE4FC3">
        <w:t xml:space="preserve"> </w:t>
      </w:r>
      <w:r w:rsidRPr="00382917">
        <w:t>the</w:t>
      </w:r>
      <w:r w:rsidR="00EE4FC3">
        <w:t xml:space="preserve"> </w:t>
      </w:r>
      <w:r w:rsidRPr="00382917">
        <w:t>Son</w:t>
      </w:r>
      <w:r w:rsidR="00EE4FC3">
        <w:t xml:space="preserve"> </w:t>
      </w:r>
      <w:r w:rsidRPr="00382917">
        <w:t>of</w:t>
      </w:r>
      <w:r w:rsidR="00EE4FC3">
        <w:t xml:space="preserve"> </w:t>
      </w:r>
      <w:r w:rsidRPr="00382917">
        <w:t>God,</w:t>
      </w:r>
      <w:r w:rsidR="00EE4FC3">
        <w:t xml:space="preserve"> </w:t>
      </w:r>
      <w:r w:rsidRPr="00382917">
        <w:t>come</w:t>
      </w:r>
      <w:r w:rsidR="00EE4FC3">
        <w:t xml:space="preserve"> </w:t>
      </w:r>
      <w:r w:rsidRPr="00382917">
        <w:t>down</w:t>
      </w:r>
      <w:r w:rsidR="00EE4FC3">
        <w:t xml:space="preserve"> </w:t>
      </w:r>
      <w:r w:rsidRPr="00382917">
        <w:t>from</w:t>
      </w:r>
      <w:r w:rsidR="00EE4FC3">
        <w:t xml:space="preserve"> </w:t>
      </w:r>
      <w:r w:rsidRPr="00382917">
        <w:t>the</w:t>
      </w:r>
      <w:r w:rsidR="00EE4FC3">
        <w:t xml:space="preserve"> </w:t>
      </w:r>
      <w:r w:rsidRPr="00382917">
        <w:t>cross!</w:t>
      </w:r>
      <w:r w:rsidR="009C713D" w:rsidRPr="00382917">
        <w:t>”</w:t>
      </w:r>
      <w:r w:rsidR="00EE4FC3">
        <w:t xml:space="preserve"> </w:t>
      </w:r>
      <w:r w:rsidRPr="00382917">
        <w:t>so,</w:t>
      </w:r>
      <w:r w:rsidR="00EE4FC3">
        <w:t xml:space="preserve"> </w:t>
      </w:r>
      <w:r w:rsidRPr="00382917">
        <w:t>too,</w:t>
      </w:r>
      <w:r w:rsidR="00EE4FC3">
        <w:t xml:space="preserve"> </w:t>
      </w:r>
      <w:r w:rsidRPr="00382917">
        <w:t>did</w:t>
      </w:r>
      <w:r w:rsidR="00EE4FC3">
        <w:t xml:space="preserve"> </w:t>
      </w:r>
      <w:r w:rsidRPr="00382917">
        <w:t>the</w:t>
      </w:r>
      <w:r w:rsidR="00EE4FC3">
        <w:t xml:space="preserve"> </w:t>
      </w:r>
      <w:r w:rsidRPr="00382917">
        <w:t>people</w:t>
      </w:r>
      <w:r w:rsidR="00EE4FC3">
        <w:t xml:space="preserve"> </w:t>
      </w:r>
      <w:r w:rsidRPr="00382917">
        <w:t>of</w:t>
      </w:r>
      <w:r w:rsidR="00EE4FC3">
        <w:t xml:space="preserve"> </w:t>
      </w:r>
      <w:r w:rsidR="00B24C41">
        <w:t>Tabríz</w:t>
      </w:r>
      <w:r w:rsidR="00EE4FC3">
        <w:t xml:space="preserve"> </w:t>
      </w:r>
      <w:r w:rsidRPr="00382917">
        <w:t>mock</w:t>
      </w:r>
      <w:r w:rsidR="00EE4FC3">
        <w:t xml:space="preserve"> </w:t>
      </w:r>
      <w:r w:rsidRPr="00382917">
        <w:t>the</w:t>
      </w:r>
      <w:r w:rsidR="00EE4FC3">
        <w:t xml:space="preserve"> </w:t>
      </w:r>
      <w:r w:rsidRPr="00382917">
        <w:t>Báb</w:t>
      </w:r>
      <w:r w:rsidR="00EE4FC3">
        <w:t xml:space="preserve"> </w:t>
      </w:r>
      <w:r w:rsidRPr="00382917">
        <w:t>and</w:t>
      </w:r>
      <w:r w:rsidR="00EE4FC3">
        <w:t xml:space="preserve"> </w:t>
      </w:r>
      <w:r w:rsidRPr="00382917">
        <w:t>jeer</w:t>
      </w:r>
      <w:r w:rsidR="00EE4FC3">
        <w:t xml:space="preserve"> </w:t>
      </w:r>
      <w:r w:rsidRPr="00382917">
        <w:t>at</w:t>
      </w:r>
      <w:r w:rsidR="00EE4FC3">
        <w:t xml:space="preserve"> </w:t>
      </w:r>
      <w:r w:rsidRPr="00382917">
        <w:t>His</w:t>
      </w:r>
      <w:r w:rsidR="00EE4FC3">
        <w:t xml:space="preserve"> </w:t>
      </w:r>
      <w:r w:rsidRPr="00382917">
        <w:t>seeming</w:t>
      </w:r>
      <w:r w:rsidR="00EE4FC3">
        <w:t xml:space="preserve"> </w:t>
      </w:r>
      <w:r w:rsidRPr="00382917">
        <w:t>impotence.</w:t>
      </w:r>
    </w:p>
    <w:p w:rsidR="00621DD5" w:rsidRPr="00382917" w:rsidRDefault="00621DD5" w:rsidP="00621DD5">
      <w:pPr>
        <w:pStyle w:val="Text"/>
      </w:pPr>
      <w:r w:rsidRPr="00382917">
        <w:t>As</w:t>
      </w:r>
      <w:r w:rsidR="00EE4FC3">
        <w:t xml:space="preserve"> </w:t>
      </w:r>
      <w:r w:rsidRPr="00382917">
        <w:t>soon</w:t>
      </w:r>
      <w:r w:rsidR="00EE4FC3">
        <w:t xml:space="preserve"> </w:t>
      </w:r>
      <w:r w:rsidRPr="00382917">
        <w:t>as</w:t>
      </w:r>
      <w:r w:rsidR="00EE4FC3">
        <w:t xml:space="preserve"> </w:t>
      </w:r>
      <w:r w:rsidRPr="00382917">
        <w:t>the</w:t>
      </w:r>
      <w:r w:rsidR="00EE4FC3">
        <w:t xml:space="preserve"> </w:t>
      </w:r>
      <w:r w:rsidRPr="00382917">
        <w:t>Báb</w:t>
      </w:r>
      <w:r w:rsidR="00EE4FC3">
        <w:t xml:space="preserve"> </w:t>
      </w:r>
      <w:r w:rsidRPr="00382917">
        <w:t>and</w:t>
      </w:r>
      <w:r w:rsidR="00EE4FC3">
        <w:t xml:space="preserve"> </w:t>
      </w:r>
      <w:r w:rsidRPr="00382917">
        <w:t>His</w:t>
      </w:r>
      <w:r w:rsidR="00EE4FC3">
        <w:t xml:space="preserve"> </w:t>
      </w:r>
      <w:r w:rsidRPr="00382917">
        <w:t>companion</w:t>
      </w:r>
      <w:r w:rsidR="00EE4FC3">
        <w:t xml:space="preserve"> </w:t>
      </w:r>
      <w:r w:rsidRPr="00382917">
        <w:t>were</w:t>
      </w:r>
      <w:r w:rsidR="00EE4FC3">
        <w:t xml:space="preserve"> </w:t>
      </w:r>
      <w:r w:rsidRPr="00382917">
        <w:t>fastened</w:t>
      </w:r>
      <w:r w:rsidR="00EE4FC3">
        <w:t xml:space="preserve"> </w:t>
      </w:r>
      <w:r w:rsidRPr="00382917">
        <w:t>to</w:t>
      </w:r>
      <w:r w:rsidR="00EE4FC3">
        <w:t xml:space="preserve"> </w:t>
      </w:r>
      <w:r w:rsidRPr="00382917">
        <w:t>the</w:t>
      </w:r>
      <w:r w:rsidR="00EE4FC3">
        <w:t xml:space="preserve"> </w:t>
      </w:r>
      <w:r w:rsidRPr="00382917">
        <w:t>pillar,</w:t>
      </w:r>
      <w:r w:rsidR="00EE4FC3">
        <w:t xml:space="preserve"> </w:t>
      </w:r>
      <w:r w:rsidRPr="00382917">
        <w:t>the</w:t>
      </w:r>
      <w:r w:rsidR="00EE4FC3">
        <w:t xml:space="preserve"> </w:t>
      </w:r>
      <w:r w:rsidRPr="00382917">
        <w:t>regiment</w:t>
      </w:r>
      <w:r w:rsidR="00EE4FC3">
        <w:t xml:space="preserve"> </w:t>
      </w:r>
      <w:r w:rsidRPr="00382917">
        <w:t>of</w:t>
      </w:r>
      <w:r w:rsidR="00EE4FC3">
        <w:t xml:space="preserve"> </w:t>
      </w:r>
      <w:r w:rsidRPr="00382917">
        <w:t>soldiers</w:t>
      </w:r>
      <w:r w:rsidR="00EE4FC3">
        <w:t xml:space="preserve"> </w:t>
      </w:r>
      <w:r w:rsidRPr="00382917">
        <w:t>arranged</w:t>
      </w:r>
      <w:r w:rsidR="00EE4FC3">
        <w:t xml:space="preserve"> </w:t>
      </w:r>
      <w:r w:rsidRPr="00382917">
        <w:t>itself</w:t>
      </w:r>
      <w:r w:rsidR="00EE4FC3">
        <w:t xml:space="preserve"> </w:t>
      </w:r>
      <w:r w:rsidRPr="00382917">
        <w:t>in</w:t>
      </w:r>
      <w:r w:rsidR="00EE4FC3">
        <w:t xml:space="preserve"> </w:t>
      </w:r>
      <w:r w:rsidRPr="00382917">
        <w:t>three</w:t>
      </w:r>
      <w:r w:rsidR="00EE4FC3">
        <w:t xml:space="preserve"> </w:t>
      </w:r>
      <w:r w:rsidRPr="00382917">
        <w:t>files,</w:t>
      </w:r>
      <w:r w:rsidR="00EE4FC3">
        <w:t xml:space="preserve"> </w:t>
      </w:r>
      <w:r w:rsidRPr="00382917">
        <w:t>each</w:t>
      </w:r>
      <w:r w:rsidR="00EE4FC3">
        <w:t xml:space="preserve"> </w:t>
      </w:r>
      <w:r w:rsidRPr="00382917">
        <w:t>file</w:t>
      </w:r>
      <w:r w:rsidR="00EE4FC3">
        <w:t xml:space="preserve"> </w:t>
      </w:r>
      <w:r w:rsidRPr="00382917">
        <w:t>having</w:t>
      </w:r>
      <w:r w:rsidR="00EE4FC3">
        <w:t xml:space="preserve"> </w:t>
      </w:r>
      <w:r w:rsidRPr="00382917">
        <w:t>two</w:t>
      </w:r>
      <w:r w:rsidR="00EE4FC3">
        <w:t xml:space="preserve"> </w:t>
      </w:r>
      <w:r w:rsidRPr="00382917">
        <w:t>hundred</w:t>
      </w:r>
      <w:r w:rsidR="00EE4FC3">
        <w:t xml:space="preserve"> </w:t>
      </w:r>
      <w:r w:rsidRPr="00382917">
        <w:t>and</w:t>
      </w:r>
      <w:r w:rsidR="00EE4FC3">
        <w:t xml:space="preserve"> </w:t>
      </w:r>
      <w:r w:rsidRPr="00382917">
        <w:t>fifty</w:t>
      </w:r>
      <w:r w:rsidR="00EE4FC3">
        <w:t xml:space="preserve"> </w:t>
      </w:r>
      <w:r w:rsidRPr="00382917">
        <w:t>men.</w:t>
      </w:r>
    </w:p>
    <w:p w:rsidR="00621DD5" w:rsidRPr="00382917" w:rsidRDefault="00621DD5" w:rsidP="00621DD5">
      <w:pPr>
        <w:pStyle w:val="Text"/>
      </w:pPr>
      <w:r w:rsidRPr="00382917">
        <w:t>The</w:t>
      </w:r>
      <w:r w:rsidR="00EE4FC3">
        <w:t xml:space="preserve"> </w:t>
      </w:r>
      <w:r w:rsidRPr="00382917">
        <w:t>leader</w:t>
      </w:r>
      <w:r w:rsidR="00EE4FC3">
        <w:t xml:space="preserve"> </w:t>
      </w:r>
      <w:r w:rsidRPr="00382917">
        <w:t>of</w:t>
      </w:r>
      <w:r w:rsidR="00EE4FC3">
        <w:t xml:space="preserve"> </w:t>
      </w:r>
      <w:r w:rsidRPr="00382917">
        <w:t>the</w:t>
      </w:r>
      <w:r w:rsidR="00EE4FC3">
        <w:t xml:space="preserve"> </w:t>
      </w:r>
      <w:r w:rsidRPr="00382917">
        <w:t>regiment,</w:t>
      </w:r>
      <w:r w:rsidR="00EE4FC3">
        <w:t xml:space="preserve"> </w:t>
      </w:r>
      <w:r w:rsidRPr="00382917">
        <w:t>Sam</w:t>
      </w:r>
      <w:r w:rsidR="00EE4FC3">
        <w:t xml:space="preserve"> </w:t>
      </w:r>
      <w:r w:rsidR="0040329F" w:rsidRPr="0040329F">
        <w:rPr>
          <w:u w:val="single"/>
        </w:rPr>
        <w:t>Kh</w:t>
      </w:r>
      <w:r w:rsidR="0040329F" w:rsidRPr="00382917">
        <w:t>án</w:t>
      </w:r>
      <w:r w:rsidRPr="00382917">
        <w:t>,</w:t>
      </w:r>
      <w:r w:rsidR="00EE4FC3">
        <w:t xml:space="preserve"> </w:t>
      </w:r>
      <w:r w:rsidRPr="00382917">
        <w:t>could</w:t>
      </w:r>
      <w:r w:rsidR="00EE4FC3">
        <w:t xml:space="preserve"> </w:t>
      </w:r>
      <w:r w:rsidRPr="00382917">
        <w:t>delay</w:t>
      </w:r>
      <w:r w:rsidR="00EE4FC3">
        <w:t xml:space="preserve"> </w:t>
      </w:r>
      <w:r w:rsidRPr="00382917">
        <w:t>the</w:t>
      </w:r>
      <w:r w:rsidR="00EE4FC3">
        <w:t xml:space="preserve"> </w:t>
      </w:r>
      <w:r w:rsidRPr="00382917">
        <w:t>command</w:t>
      </w:r>
    </w:p>
    <w:p w:rsidR="00621DD5" w:rsidRPr="00382917" w:rsidRDefault="00621DD5">
      <w:pPr>
        <w:widowControl/>
        <w:kinsoku/>
        <w:overflowPunct/>
        <w:textAlignment w:val="auto"/>
      </w:pPr>
      <w:r w:rsidRPr="00382917">
        <w:br w:type="page"/>
      </w:r>
    </w:p>
    <w:p w:rsidR="001B6670" w:rsidRPr="00382917" w:rsidRDefault="001B6670" w:rsidP="00775809">
      <w:pPr>
        <w:pStyle w:val="Textcts"/>
      </w:pPr>
      <w:proofErr w:type="gramStart"/>
      <w:r w:rsidRPr="00382917">
        <w:t>no</w:t>
      </w:r>
      <w:proofErr w:type="gramEnd"/>
      <w:r w:rsidR="00EE4FC3">
        <w:t xml:space="preserve"> </w:t>
      </w:r>
      <w:r w:rsidRPr="00382917">
        <w:t>longer</w:t>
      </w:r>
      <w:r w:rsidR="00330AF7">
        <w:t>.</w:t>
      </w:r>
      <w:r w:rsidR="00EE4FC3">
        <w:t xml:space="preserve">  </w:t>
      </w:r>
      <w:r w:rsidRPr="00382917">
        <w:t>The</w:t>
      </w:r>
      <w:r w:rsidR="00EE4FC3">
        <w:t xml:space="preserve"> </w:t>
      </w:r>
      <w:r w:rsidRPr="00382917">
        <w:t>Báb</w:t>
      </w:r>
      <w:r w:rsidR="00EE4FC3">
        <w:t xml:space="preserve"> </w:t>
      </w:r>
      <w:r w:rsidRPr="00382917">
        <w:t>had</w:t>
      </w:r>
      <w:r w:rsidR="00EE4FC3">
        <w:t xml:space="preserve"> </w:t>
      </w:r>
      <w:r w:rsidRPr="00382917">
        <w:t>told</w:t>
      </w:r>
      <w:r w:rsidR="00EE4FC3">
        <w:t xml:space="preserve"> </w:t>
      </w:r>
      <w:r w:rsidRPr="00382917">
        <w:t>him</w:t>
      </w:r>
      <w:r w:rsidR="00EE4FC3">
        <w:t xml:space="preserve"> </w:t>
      </w:r>
      <w:r w:rsidRPr="00382917">
        <w:t>to</w:t>
      </w:r>
      <w:r w:rsidR="00EE4FC3">
        <w:t xml:space="preserve"> </w:t>
      </w:r>
      <w:r w:rsidRPr="00382917">
        <w:t>do</w:t>
      </w:r>
      <w:r w:rsidR="00EE4FC3">
        <w:t xml:space="preserve"> </w:t>
      </w:r>
      <w:r w:rsidRPr="00382917">
        <w:t>his</w:t>
      </w:r>
      <w:r w:rsidR="00EE4FC3">
        <w:t xml:space="preserve"> </w:t>
      </w:r>
      <w:r w:rsidRPr="00382917">
        <w:t>duty;</w:t>
      </w:r>
      <w:r w:rsidR="00EE4FC3">
        <w:t xml:space="preserve"> </w:t>
      </w:r>
      <w:r w:rsidRPr="00382917">
        <w:t>therefore,</w:t>
      </w:r>
      <w:r w:rsidR="00EE4FC3">
        <w:t xml:space="preserve"> </w:t>
      </w:r>
      <w:r w:rsidRPr="00382917">
        <w:t>it</w:t>
      </w:r>
      <w:r w:rsidR="00EE4FC3">
        <w:t xml:space="preserve"> </w:t>
      </w:r>
      <w:r w:rsidRPr="00382917">
        <w:t>was</w:t>
      </w:r>
      <w:r w:rsidR="00EE4FC3">
        <w:t xml:space="preserve"> </w:t>
      </w:r>
      <w:r w:rsidRPr="00382917">
        <w:t>apparently</w:t>
      </w:r>
      <w:r w:rsidR="00EE4FC3">
        <w:t xml:space="preserve"> </w:t>
      </w:r>
      <w:r w:rsidRPr="00382917">
        <w:t>the</w:t>
      </w:r>
      <w:r w:rsidR="00EE4FC3">
        <w:t xml:space="preserve"> </w:t>
      </w:r>
      <w:r w:rsidRPr="00382917">
        <w:t>will</w:t>
      </w:r>
      <w:r w:rsidR="00EE4FC3">
        <w:t xml:space="preserve"> </w:t>
      </w:r>
      <w:r w:rsidRPr="00382917">
        <w:t>of</w:t>
      </w:r>
      <w:r w:rsidR="00EE4FC3">
        <w:t xml:space="preserve"> </w:t>
      </w:r>
      <w:r w:rsidRPr="00382917">
        <w:t>God</w:t>
      </w:r>
      <w:r w:rsidR="00EE4FC3">
        <w:t xml:space="preserve"> </w:t>
      </w:r>
      <w:r w:rsidRPr="00382917">
        <w:t>that</w:t>
      </w:r>
      <w:r w:rsidR="00EE4FC3">
        <w:t xml:space="preserve"> </w:t>
      </w:r>
      <w:r w:rsidRPr="00382917">
        <w:t>his</w:t>
      </w:r>
      <w:r w:rsidR="00EE4FC3">
        <w:t xml:space="preserve"> </w:t>
      </w:r>
      <w:r w:rsidRPr="00382917">
        <w:t>regiment</w:t>
      </w:r>
      <w:r w:rsidR="00EE4FC3">
        <w:t xml:space="preserve"> </w:t>
      </w:r>
      <w:r w:rsidRPr="00382917">
        <w:t>should</w:t>
      </w:r>
      <w:r w:rsidR="00EE4FC3">
        <w:t xml:space="preserve"> </w:t>
      </w:r>
      <w:r w:rsidRPr="00382917">
        <w:t>take</w:t>
      </w:r>
      <w:r w:rsidR="00EE4FC3">
        <w:t xml:space="preserve"> </w:t>
      </w:r>
      <w:r w:rsidRPr="00382917">
        <w:t>the</w:t>
      </w:r>
      <w:r w:rsidR="00EE4FC3">
        <w:t xml:space="preserve"> </w:t>
      </w:r>
      <w:r w:rsidRPr="00382917">
        <w:t>life</w:t>
      </w:r>
      <w:r w:rsidR="00EE4FC3">
        <w:t xml:space="preserve"> </w:t>
      </w:r>
      <w:r w:rsidRPr="00382917">
        <w:t>of</w:t>
      </w:r>
      <w:r w:rsidR="00EE4FC3">
        <w:t xml:space="preserve"> </w:t>
      </w:r>
      <w:r w:rsidRPr="00382917">
        <w:t>the</w:t>
      </w:r>
      <w:r w:rsidR="00EE4FC3">
        <w:t xml:space="preserve"> </w:t>
      </w:r>
      <w:r w:rsidRPr="00382917">
        <w:t>Báb</w:t>
      </w:r>
      <w:r w:rsidR="00330AF7">
        <w:t>.</w:t>
      </w:r>
      <w:r w:rsidR="00EE4FC3">
        <w:t xml:space="preserve">  </w:t>
      </w:r>
      <w:r w:rsidRPr="00382917">
        <w:t>This</w:t>
      </w:r>
      <w:r w:rsidR="00EE4FC3">
        <w:t xml:space="preserve"> </w:t>
      </w:r>
      <w:r w:rsidRPr="00382917">
        <w:t>was</w:t>
      </w:r>
      <w:r w:rsidR="00EE4FC3">
        <w:t xml:space="preserve"> </w:t>
      </w:r>
      <w:r w:rsidRPr="00382917">
        <w:t>a</w:t>
      </w:r>
      <w:r w:rsidR="00EE4FC3">
        <w:t xml:space="preserve"> </w:t>
      </w:r>
      <w:r w:rsidRPr="00382917">
        <w:t>source</w:t>
      </w:r>
      <w:r w:rsidR="00EE4FC3">
        <w:t xml:space="preserve"> </w:t>
      </w:r>
      <w:r w:rsidRPr="00382917">
        <w:t>of</w:t>
      </w:r>
      <w:r w:rsidR="00EE4FC3">
        <w:t xml:space="preserve"> </w:t>
      </w:r>
      <w:r w:rsidRPr="00382917">
        <w:t>great</w:t>
      </w:r>
      <w:r w:rsidR="00EE4FC3">
        <w:t xml:space="preserve"> </w:t>
      </w:r>
      <w:r w:rsidRPr="00382917">
        <w:t>sorrow</w:t>
      </w:r>
      <w:r w:rsidR="00EE4FC3">
        <w:t xml:space="preserve"> </w:t>
      </w:r>
      <w:r w:rsidRPr="00382917">
        <w:t>to</w:t>
      </w:r>
      <w:r w:rsidR="00EE4FC3">
        <w:t xml:space="preserve"> </w:t>
      </w:r>
      <w:r w:rsidRPr="00382917">
        <w:t>him.</w:t>
      </w:r>
    </w:p>
    <w:p w:rsidR="001B6670" w:rsidRPr="00382917" w:rsidRDefault="001B6670" w:rsidP="00775809">
      <w:pPr>
        <w:pStyle w:val="Text"/>
      </w:pPr>
      <w:r w:rsidRPr="00382917">
        <w:t>Reluctantly</w:t>
      </w:r>
      <w:r w:rsidR="00EE4FC3">
        <w:t xml:space="preserve"> </w:t>
      </w:r>
      <w:r w:rsidRPr="00382917">
        <w:t>he</w:t>
      </w:r>
      <w:r w:rsidR="00EE4FC3">
        <w:t xml:space="preserve"> </w:t>
      </w:r>
      <w:r w:rsidRPr="00382917">
        <w:t>gave</w:t>
      </w:r>
      <w:r w:rsidR="00EE4FC3">
        <w:t xml:space="preserve"> </w:t>
      </w:r>
      <w:r w:rsidRPr="00382917">
        <w:t>the</w:t>
      </w:r>
      <w:r w:rsidR="00EE4FC3">
        <w:t xml:space="preserve"> </w:t>
      </w:r>
      <w:r w:rsidRPr="00382917">
        <w:t>command,</w:t>
      </w:r>
      <w:r w:rsidR="00EE4FC3">
        <w:t xml:space="preserve"> </w:t>
      </w:r>
      <w:r w:rsidR="009C713D" w:rsidRPr="00382917">
        <w:t>“</w:t>
      </w:r>
      <w:r w:rsidRPr="00382917">
        <w:t>Fire!</w:t>
      </w:r>
      <w:r w:rsidR="009C713D" w:rsidRPr="00382917">
        <w:t>”</w:t>
      </w:r>
    </w:p>
    <w:p w:rsidR="001B6670" w:rsidRPr="00382917" w:rsidRDefault="001B6670" w:rsidP="00775809">
      <w:pPr>
        <w:pStyle w:val="Text"/>
      </w:pPr>
      <w:r w:rsidRPr="00382917">
        <w:t>In</w:t>
      </w:r>
      <w:r w:rsidR="00EE4FC3">
        <w:t xml:space="preserve"> </w:t>
      </w:r>
      <w:r w:rsidRPr="00382917">
        <w:t>turn,</w:t>
      </w:r>
      <w:r w:rsidR="00EE4FC3">
        <w:t xml:space="preserve"> </w:t>
      </w:r>
      <w:r w:rsidRPr="00382917">
        <w:t>each</w:t>
      </w:r>
      <w:r w:rsidR="00EE4FC3">
        <w:t xml:space="preserve"> </w:t>
      </w:r>
      <w:r w:rsidRPr="00382917">
        <w:t>of</w:t>
      </w:r>
      <w:r w:rsidR="00EE4FC3">
        <w:t xml:space="preserve"> </w:t>
      </w:r>
      <w:r w:rsidRPr="00382917">
        <w:t>the</w:t>
      </w:r>
      <w:r w:rsidR="00EE4FC3">
        <w:t xml:space="preserve"> </w:t>
      </w:r>
      <w:r w:rsidRPr="00382917">
        <w:t>files</w:t>
      </w:r>
      <w:r w:rsidR="00EE4FC3">
        <w:t xml:space="preserve"> </w:t>
      </w:r>
      <w:r w:rsidRPr="00382917">
        <w:t>opened</w:t>
      </w:r>
      <w:r w:rsidR="00EE4FC3">
        <w:t xml:space="preserve"> </w:t>
      </w:r>
      <w:r w:rsidRPr="00382917">
        <w:t>fire</w:t>
      </w:r>
      <w:r w:rsidR="00EE4FC3">
        <w:t xml:space="preserve"> </w:t>
      </w:r>
      <w:r w:rsidRPr="00382917">
        <w:t>upon</w:t>
      </w:r>
      <w:r w:rsidR="00EE4FC3">
        <w:t xml:space="preserve"> </w:t>
      </w:r>
      <w:r w:rsidRPr="00382917">
        <w:t>the</w:t>
      </w:r>
      <w:r w:rsidR="00EE4FC3">
        <w:t xml:space="preserve"> </w:t>
      </w:r>
      <w:r w:rsidRPr="00382917">
        <w:t>Báb</w:t>
      </w:r>
      <w:r w:rsidR="00EE4FC3">
        <w:t xml:space="preserve"> </w:t>
      </w:r>
      <w:r w:rsidRPr="00382917">
        <w:t>and</w:t>
      </w:r>
      <w:r w:rsidR="00EE4FC3">
        <w:t xml:space="preserve"> </w:t>
      </w:r>
      <w:r w:rsidRPr="00382917">
        <w:t>His</w:t>
      </w:r>
      <w:r w:rsidR="00EE4FC3">
        <w:t xml:space="preserve"> </w:t>
      </w:r>
      <w:r w:rsidRPr="00382917">
        <w:t>companion</w:t>
      </w:r>
      <w:r w:rsidR="00EE4FC3">
        <w:t xml:space="preserve"> </w:t>
      </w:r>
      <w:r w:rsidRPr="00382917">
        <w:t>until</w:t>
      </w:r>
      <w:r w:rsidR="00EE4FC3">
        <w:t xml:space="preserve"> </w:t>
      </w:r>
      <w:r w:rsidRPr="00382917">
        <w:t>the</w:t>
      </w:r>
      <w:r w:rsidR="00EE4FC3">
        <w:t xml:space="preserve"> </w:t>
      </w:r>
      <w:r w:rsidRPr="00382917">
        <w:t>entire</w:t>
      </w:r>
      <w:r w:rsidR="00EE4FC3">
        <w:t xml:space="preserve"> </w:t>
      </w:r>
      <w:r w:rsidRPr="00382917">
        <w:t>regiment</w:t>
      </w:r>
      <w:r w:rsidR="00EE4FC3">
        <w:t xml:space="preserve"> </w:t>
      </w:r>
      <w:r w:rsidRPr="00382917">
        <w:t>had</w:t>
      </w:r>
      <w:r w:rsidR="00EE4FC3">
        <w:t xml:space="preserve"> </w:t>
      </w:r>
      <w:r w:rsidRPr="00382917">
        <w:t>discharged</w:t>
      </w:r>
      <w:r w:rsidR="00EE4FC3">
        <w:t xml:space="preserve"> </w:t>
      </w:r>
      <w:r w:rsidRPr="00382917">
        <w:t>its</w:t>
      </w:r>
      <w:r w:rsidR="00EE4FC3">
        <w:t xml:space="preserve"> </w:t>
      </w:r>
      <w:r w:rsidRPr="00382917">
        <w:t>volley</w:t>
      </w:r>
      <w:r w:rsidR="00EE4FC3">
        <w:t xml:space="preserve"> </w:t>
      </w:r>
      <w:r w:rsidRPr="00382917">
        <w:t>of</w:t>
      </w:r>
      <w:r w:rsidR="00EE4FC3">
        <w:t xml:space="preserve"> </w:t>
      </w:r>
      <w:r w:rsidRPr="00382917">
        <w:t>bullets.</w:t>
      </w:r>
    </w:p>
    <w:p w:rsidR="001B6670" w:rsidRPr="00382917" w:rsidRDefault="001B6670" w:rsidP="00775809">
      <w:pPr>
        <w:pStyle w:val="Text"/>
      </w:pPr>
      <w:r w:rsidRPr="00382917">
        <w:t>There</w:t>
      </w:r>
      <w:r w:rsidR="00EE4FC3">
        <w:t xml:space="preserve"> </w:t>
      </w:r>
      <w:r w:rsidRPr="00382917">
        <w:t>were</w:t>
      </w:r>
      <w:r w:rsidR="00EE4FC3">
        <w:t xml:space="preserve"> </w:t>
      </w:r>
      <w:r w:rsidRPr="00382917">
        <w:t>over</w:t>
      </w:r>
      <w:r w:rsidR="00EE4FC3">
        <w:t xml:space="preserve"> </w:t>
      </w:r>
      <w:r w:rsidRPr="00382917">
        <w:t>ten</w:t>
      </w:r>
      <w:r w:rsidR="00EE4FC3">
        <w:t xml:space="preserve"> </w:t>
      </w:r>
      <w:r w:rsidRPr="00382917">
        <w:t>thousand</w:t>
      </w:r>
      <w:r w:rsidR="00EE4FC3">
        <w:t xml:space="preserve"> </w:t>
      </w:r>
      <w:r w:rsidRPr="00382917">
        <w:t>eye-witnesses</w:t>
      </w:r>
      <w:r w:rsidR="00EE4FC3">
        <w:t xml:space="preserve"> </w:t>
      </w:r>
      <w:r w:rsidRPr="00382917">
        <w:t>to</w:t>
      </w:r>
      <w:r w:rsidR="00EE4FC3">
        <w:t xml:space="preserve"> </w:t>
      </w:r>
      <w:r w:rsidRPr="00382917">
        <w:t>the</w:t>
      </w:r>
      <w:r w:rsidR="00EE4FC3">
        <w:t xml:space="preserve"> </w:t>
      </w:r>
      <w:r w:rsidRPr="00382917">
        <w:t>electrifying</w:t>
      </w:r>
      <w:r w:rsidR="00EE4FC3">
        <w:t xml:space="preserve"> </w:t>
      </w:r>
      <w:r w:rsidRPr="00382917">
        <w:t>spectacle</w:t>
      </w:r>
      <w:r w:rsidR="00EE4FC3">
        <w:t xml:space="preserve"> </w:t>
      </w:r>
      <w:r w:rsidRPr="00382917">
        <w:t>that</w:t>
      </w:r>
      <w:r w:rsidR="00EE4FC3">
        <w:t xml:space="preserve"> </w:t>
      </w:r>
      <w:r w:rsidRPr="00382917">
        <w:t>followed</w:t>
      </w:r>
      <w:r w:rsidR="00330AF7">
        <w:t>.</w:t>
      </w:r>
      <w:r w:rsidR="00EE4FC3">
        <w:t xml:space="preserve">  </w:t>
      </w:r>
      <w:r w:rsidRPr="00382917">
        <w:t>One</w:t>
      </w:r>
      <w:r w:rsidR="00EE4FC3">
        <w:t xml:space="preserve"> </w:t>
      </w:r>
      <w:r w:rsidRPr="00382917">
        <w:t>of</w:t>
      </w:r>
      <w:r w:rsidR="00EE4FC3">
        <w:t xml:space="preserve"> </w:t>
      </w:r>
      <w:r w:rsidRPr="00382917">
        <w:t>the</w:t>
      </w:r>
      <w:r w:rsidR="00EE4FC3">
        <w:t xml:space="preserve"> </w:t>
      </w:r>
      <w:r w:rsidRPr="00382917">
        <w:t>historical</w:t>
      </w:r>
      <w:r w:rsidR="00EE4FC3">
        <w:t xml:space="preserve"> </w:t>
      </w:r>
      <w:r w:rsidRPr="00382917">
        <w:t>accounts</w:t>
      </w:r>
      <w:r w:rsidR="00EE4FC3">
        <w:t xml:space="preserve"> </w:t>
      </w:r>
      <w:r w:rsidRPr="00382917">
        <w:t>of</w:t>
      </w:r>
      <w:r w:rsidR="00EE4FC3">
        <w:t xml:space="preserve"> </w:t>
      </w:r>
      <w:r w:rsidRPr="00382917">
        <w:t>that</w:t>
      </w:r>
      <w:r w:rsidR="00EE4FC3">
        <w:t xml:space="preserve"> </w:t>
      </w:r>
      <w:r w:rsidRPr="00382917">
        <w:t>staggering</w:t>
      </w:r>
      <w:r w:rsidR="00EE4FC3">
        <w:t xml:space="preserve"> </w:t>
      </w:r>
      <w:r w:rsidRPr="00382917">
        <w:t>moment</w:t>
      </w:r>
      <w:r w:rsidR="00EE4FC3">
        <w:t xml:space="preserve"> </w:t>
      </w:r>
      <w:r w:rsidRPr="00382917">
        <w:t>states:</w:t>
      </w:r>
    </w:p>
    <w:p w:rsidR="001B6670" w:rsidRPr="00382917" w:rsidRDefault="009C713D" w:rsidP="00775809">
      <w:pPr>
        <w:pStyle w:val="Text"/>
      </w:pPr>
      <w:r w:rsidRPr="00382917">
        <w:t>“</w:t>
      </w:r>
      <w:r w:rsidR="001B6670" w:rsidRPr="00382917">
        <w:t>The</w:t>
      </w:r>
      <w:r w:rsidR="00EE4FC3">
        <w:t xml:space="preserve"> </w:t>
      </w:r>
      <w:r w:rsidR="001B6670" w:rsidRPr="00382917">
        <w:t>smoke</w:t>
      </w:r>
      <w:r w:rsidR="00EE4FC3">
        <w:t xml:space="preserve"> </w:t>
      </w:r>
      <w:r w:rsidR="001B6670" w:rsidRPr="00382917">
        <w:t>of</w:t>
      </w:r>
      <w:r w:rsidR="00EE4FC3">
        <w:t xml:space="preserve"> </w:t>
      </w:r>
      <w:r w:rsidR="001B6670" w:rsidRPr="00382917">
        <w:t>the</w:t>
      </w:r>
      <w:r w:rsidR="00EE4FC3">
        <w:t xml:space="preserve"> </w:t>
      </w:r>
      <w:r w:rsidR="001B6670" w:rsidRPr="00382917">
        <w:t>firing</w:t>
      </w:r>
      <w:r w:rsidR="00EE4FC3">
        <w:t xml:space="preserve"> </w:t>
      </w:r>
      <w:r w:rsidR="001B6670" w:rsidRPr="00382917">
        <w:t>of</w:t>
      </w:r>
      <w:r w:rsidR="00EE4FC3">
        <w:t xml:space="preserve"> </w:t>
      </w:r>
      <w:r w:rsidR="001B6670" w:rsidRPr="00382917">
        <w:t>the</w:t>
      </w:r>
      <w:r w:rsidR="00EE4FC3">
        <w:t xml:space="preserve"> </w:t>
      </w:r>
      <w:r w:rsidR="001B6670" w:rsidRPr="00382917">
        <w:t>seven</w:t>
      </w:r>
      <w:r w:rsidR="00EE4FC3">
        <w:t xml:space="preserve"> </w:t>
      </w:r>
      <w:r w:rsidR="001B6670" w:rsidRPr="00382917">
        <w:t>hundred</w:t>
      </w:r>
      <w:r w:rsidR="00EE4FC3">
        <w:t xml:space="preserve"> </w:t>
      </w:r>
      <w:r w:rsidR="001B6670" w:rsidRPr="00382917">
        <w:t>and</w:t>
      </w:r>
      <w:r w:rsidR="00EE4FC3">
        <w:t xml:space="preserve"> </w:t>
      </w:r>
      <w:r w:rsidR="001B6670" w:rsidRPr="00382917">
        <w:t>fifty</w:t>
      </w:r>
      <w:r w:rsidR="00EE4FC3">
        <w:t xml:space="preserve"> </w:t>
      </w:r>
      <w:r w:rsidR="001B6670" w:rsidRPr="00382917">
        <w:t>rifles</w:t>
      </w:r>
      <w:r w:rsidR="00EE4FC3">
        <w:t xml:space="preserve"> </w:t>
      </w:r>
      <w:r w:rsidR="001B6670" w:rsidRPr="00382917">
        <w:t>was</w:t>
      </w:r>
      <w:r w:rsidR="00EE4FC3">
        <w:t xml:space="preserve"> </w:t>
      </w:r>
      <w:r w:rsidR="001B6670" w:rsidRPr="00382917">
        <w:t>such</w:t>
      </w:r>
      <w:r w:rsidR="00EE4FC3">
        <w:t xml:space="preserve"> </w:t>
      </w:r>
      <w:r w:rsidR="001B6670" w:rsidRPr="00382917">
        <w:t>as</w:t>
      </w:r>
      <w:r w:rsidR="00EE4FC3">
        <w:t xml:space="preserve"> </w:t>
      </w:r>
      <w:r w:rsidR="001B6670" w:rsidRPr="00382917">
        <w:t>to</w:t>
      </w:r>
      <w:r w:rsidR="00EE4FC3">
        <w:t xml:space="preserve"> </w:t>
      </w:r>
      <w:r w:rsidR="001B6670" w:rsidRPr="00382917">
        <w:t>turn</w:t>
      </w:r>
      <w:r w:rsidR="00EE4FC3">
        <w:t xml:space="preserve"> </w:t>
      </w:r>
      <w:r w:rsidR="001B6670" w:rsidRPr="00382917">
        <w:t>the</w:t>
      </w:r>
      <w:r w:rsidR="00EE4FC3">
        <w:t xml:space="preserve"> </w:t>
      </w:r>
      <w:r w:rsidR="001B6670" w:rsidRPr="00382917">
        <w:t>light</w:t>
      </w:r>
      <w:r w:rsidR="00EE4FC3">
        <w:t xml:space="preserve"> </w:t>
      </w:r>
      <w:r w:rsidR="001B6670" w:rsidRPr="00382917">
        <w:t>of</w:t>
      </w:r>
      <w:r w:rsidR="00EE4FC3">
        <w:t xml:space="preserve"> </w:t>
      </w:r>
      <w:r w:rsidR="001B6670" w:rsidRPr="00382917">
        <w:t>noonday</w:t>
      </w:r>
      <w:r w:rsidR="00EE4FC3">
        <w:t xml:space="preserve"> </w:t>
      </w:r>
      <w:r w:rsidR="001B6670" w:rsidRPr="00382917">
        <w:t>sun</w:t>
      </w:r>
      <w:r w:rsidR="00EE4FC3">
        <w:t xml:space="preserve"> </w:t>
      </w:r>
      <w:r w:rsidR="001B6670" w:rsidRPr="00382917">
        <w:t>into</w:t>
      </w:r>
      <w:r w:rsidR="00EE4FC3">
        <w:t xml:space="preserve"> </w:t>
      </w:r>
      <w:r w:rsidR="001B6670" w:rsidRPr="00382917">
        <w:t>darkness.</w:t>
      </w:r>
    </w:p>
    <w:p w:rsidR="001B6670" w:rsidRPr="00382917" w:rsidRDefault="009C713D" w:rsidP="00775809">
      <w:pPr>
        <w:pStyle w:val="Text"/>
      </w:pPr>
      <w:r w:rsidRPr="00382917">
        <w:t>“</w:t>
      </w:r>
      <w:r w:rsidR="001B6670" w:rsidRPr="00382917">
        <w:t>As</w:t>
      </w:r>
      <w:r w:rsidR="00EE4FC3">
        <w:t xml:space="preserve"> </w:t>
      </w:r>
      <w:r w:rsidR="001B6670" w:rsidRPr="00382917">
        <w:t>soon</w:t>
      </w:r>
      <w:r w:rsidR="00EE4FC3">
        <w:t xml:space="preserve"> </w:t>
      </w:r>
      <w:r w:rsidR="001B6670" w:rsidRPr="00382917">
        <w:t>as</w:t>
      </w:r>
      <w:r w:rsidR="00EE4FC3">
        <w:t xml:space="preserve"> </w:t>
      </w:r>
      <w:r w:rsidR="001B6670" w:rsidRPr="00382917">
        <w:t>the</w:t>
      </w:r>
      <w:r w:rsidR="00EE4FC3">
        <w:t xml:space="preserve"> </w:t>
      </w:r>
      <w:r w:rsidR="001B6670" w:rsidRPr="00382917">
        <w:t>cloud</w:t>
      </w:r>
      <w:r w:rsidR="00EE4FC3">
        <w:t xml:space="preserve"> </w:t>
      </w:r>
      <w:r w:rsidR="001B6670" w:rsidRPr="00382917">
        <w:t>of</w:t>
      </w:r>
      <w:r w:rsidR="00EE4FC3">
        <w:t xml:space="preserve"> </w:t>
      </w:r>
      <w:r w:rsidR="001B6670" w:rsidRPr="00382917">
        <w:t>smoke</w:t>
      </w:r>
      <w:r w:rsidR="00EE4FC3">
        <w:t xml:space="preserve"> </w:t>
      </w:r>
      <w:r w:rsidR="001B6670" w:rsidRPr="00382917">
        <w:t>had</w:t>
      </w:r>
      <w:r w:rsidR="00EE4FC3">
        <w:t xml:space="preserve"> </w:t>
      </w:r>
      <w:r w:rsidR="001B6670" w:rsidRPr="00382917">
        <w:t>cleared</w:t>
      </w:r>
      <w:r w:rsidR="00EE4FC3">
        <w:t xml:space="preserve"> </w:t>
      </w:r>
      <w:r w:rsidR="001B6670" w:rsidRPr="00382917">
        <w:t>away,</w:t>
      </w:r>
      <w:r w:rsidR="00EE4FC3">
        <w:t xml:space="preserve"> </w:t>
      </w:r>
      <w:r w:rsidR="001B6670" w:rsidRPr="00382917">
        <w:t>an</w:t>
      </w:r>
      <w:r w:rsidR="00EE4FC3">
        <w:t xml:space="preserve"> </w:t>
      </w:r>
      <w:r w:rsidR="001B6670" w:rsidRPr="00382917">
        <w:t>astounded</w:t>
      </w:r>
      <w:r w:rsidR="00EE4FC3">
        <w:t xml:space="preserve"> </w:t>
      </w:r>
      <w:r w:rsidR="001B6670" w:rsidRPr="00382917">
        <w:t>multitude</w:t>
      </w:r>
      <w:r w:rsidR="00EE4FC3">
        <w:t xml:space="preserve"> </w:t>
      </w:r>
      <w:r w:rsidR="001B6670" w:rsidRPr="00382917">
        <w:t>looked</w:t>
      </w:r>
      <w:r w:rsidR="00EE4FC3">
        <w:t xml:space="preserve"> </w:t>
      </w:r>
      <w:r w:rsidR="001B6670" w:rsidRPr="00382917">
        <w:t>upon</w:t>
      </w:r>
      <w:r w:rsidR="00EE4FC3">
        <w:t xml:space="preserve"> </w:t>
      </w:r>
      <w:r w:rsidR="001B6670" w:rsidRPr="00382917">
        <w:t>a</w:t>
      </w:r>
      <w:r w:rsidR="00EE4FC3">
        <w:t xml:space="preserve"> </w:t>
      </w:r>
      <w:r w:rsidR="001B6670" w:rsidRPr="00382917">
        <w:t>scene</w:t>
      </w:r>
      <w:r w:rsidR="00EE4FC3">
        <w:t xml:space="preserve"> </w:t>
      </w:r>
      <w:r w:rsidR="001B6670" w:rsidRPr="00382917">
        <w:t>which</w:t>
      </w:r>
      <w:r w:rsidR="00EE4FC3">
        <w:t xml:space="preserve"> </w:t>
      </w:r>
      <w:r w:rsidR="001B6670" w:rsidRPr="00382917">
        <w:t>their</w:t>
      </w:r>
      <w:r w:rsidR="00EE4FC3">
        <w:t xml:space="preserve"> </w:t>
      </w:r>
      <w:r w:rsidR="001B6670" w:rsidRPr="00382917">
        <w:t>eyes</w:t>
      </w:r>
      <w:r w:rsidR="00EE4FC3">
        <w:t xml:space="preserve"> </w:t>
      </w:r>
      <w:r w:rsidR="001B6670" w:rsidRPr="00382917">
        <w:t>could</w:t>
      </w:r>
      <w:r w:rsidR="00EE4FC3">
        <w:t xml:space="preserve"> </w:t>
      </w:r>
      <w:r w:rsidR="001B6670" w:rsidRPr="00382917">
        <w:t>scarcely</w:t>
      </w:r>
      <w:r w:rsidR="00EE4FC3">
        <w:t xml:space="preserve"> </w:t>
      </w:r>
      <w:r w:rsidR="001B6670" w:rsidRPr="00382917">
        <w:t>believe.</w:t>
      </w:r>
    </w:p>
    <w:p w:rsidR="00E13D49" w:rsidRPr="00382917" w:rsidRDefault="009C713D" w:rsidP="005415D8">
      <w:pPr>
        <w:pStyle w:val="Text"/>
      </w:pPr>
      <w:r w:rsidRPr="00382917">
        <w:t>“</w:t>
      </w:r>
      <w:r w:rsidR="001B6670" w:rsidRPr="00382917">
        <w:t>There,</w:t>
      </w:r>
      <w:r w:rsidR="00EE4FC3">
        <w:t xml:space="preserve"> </w:t>
      </w:r>
      <w:r w:rsidR="001B6670" w:rsidRPr="00382917">
        <w:t>standing</w:t>
      </w:r>
      <w:r w:rsidR="00EE4FC3">
        <w:t xml:space="preserve"> </w:t>
      </w:r>
      <w:r w:rsidR="001B6670" w:rsidRPr="00382917">
        <w:t>before</w:t>
      </w:r>
      <w:r w:rsidR="00EE4FC3">
        <w:t xml:space="preserve"> </w:t>
      </w:r>
      <w:r w:rsidR="001B6670" w:rsidRPr="00382917">
        <w:t>them,</w:t>
      </w:r>
      <w:r w:rsidR="00EE4FC3">
        <w:t xml:space="preserve"> </w:t>
      </w:r>
      <w:r w:rsidR="001B6670" w:rsidRPr="00382917">
        <w:t>alive</w:t>
      </w:r>
      <w:r w:rsidR="00EE4FC3">
        <w:t xml:space="preserve"> </w:t>
      </w:r>
      <w:r w:rsidR="001B6670" w:rsidRPr="00382917">
        <w:t>and</w:t>
      </w:r>
      <w:r w:rsidR="00EE4FC3">
        <w:t xml:space="preserve"> </w:t>
      </w:r>
      <w:r w:rsidR="001B6670" w:rsidRPr="00382917">
        <w:t>unhurt,</w:t>
      </w:r>
      <w:r w:rsidR="00EE4FC3">
        <w:t xml:space="preserve"> </w:t>
      </w:r>
      <w:r w:rsidR="001B6670" w:rsidRPr="00382917">
        <w:t>was</w:t>
      </w:r>
      <w:r w:rsidR="00EE4FC3">
        <w:t xml:space="preserve"> </w:t>
      </w:r>
      <w:r w:rsidR="001B6670" w:rsidRPr="00382917">
        <w:t>the</w:t>
      </w:r>
      <w:r w:rsidR="00EE4FC3">
        <w:t xml:space="preserve"> </w:t>
      </w:r>
      <w:r w:rsidR="001B6670" w:rsidRPr="00382917">
        <w:t>companion</w:t>
      </w:r>
      <w:r w:rsidR="00EE4FC3">
        <w:t xml:space="preserve"> </w:t>
      </w:r>
      <w:r w:rsidR="001B6670" w:rsidRPr="00382917">
        <w:t>of</w:t>
      </w:r>
      <w:r w:rsidR="00EE4FC3">
        <w:t xml:space="preserve"> </w:t>
      </w:r>
      <w:r w:rsidR="001B6670" w:rsidRPr="00382917">
        <w:t>the</w:t>
      </w:r>
      <w:r w:rsidR="00EE4FC3">
        <w:t xml:space="preserve"> </w:t>
      </w:r>
      <w:r w:rsidR="001B6670" w:rsidRPr="00382917">
        <w:t>Báb,</w:t>
      </w:r>
      <w:r w:rsidR="00EE4FC3">
        <w:t xml:space="preserve"> </w:t>
      </w:r>
      <w:r w:rsidR="001B6670" w:rsidRPr="00382917">
        <w:t>whilst</w:t>
      </w:r>
      <w:r w:rsidR="00EE4FC3">
        <w:t xml:space="preserve"> </w:t>
      </w:r>
      <w:r w:rsidR="001B6670" w:rsidRPr="00382917">
        <w:t>He,</w:t>
      </w:r>
      <w:r w:rsidR="00EE4FC3">
        <w:t xml:space="preserve"> </w:t>
      </w:r>
      <w:r w:rsidR="001B6670" w:rsidRPr="00382917">
        <w:t>Himself,</w:t>
      </w:r>
      <w:r w:rsidR="00EE4FC3">
        <w:t xml:space="preserve"> </w:t>
      </w:r>
      <w:r w:rsidR="001B6670" w:rsidRPr="00382917">
        <w:t>had</w:t>
      </w:r>
      <w:r w:rsidR="00EE4FC3">
        <w:t xml:space="preserve"> </w:t>
      </w:r>
      <w:r w:rsidR="001B6670" w:rsidRPr="00382917">
        <w:t>vanished</w:t>
      </w:r>
      <w:r w:rsidR="00EE4FC3">
        <w:t xml:space="preserve"> </w:t>
      </w:r>
      <w:r w:rsidR="001B6670" w:rsidRPr="00382917">
        <w:t>from</w:t>
      </w:r>
      <w:r w:rsidR="00EE4FC3">
        <w:t xml:space="preserve"> </w:t>
      </w:r>
      <w:r w:rsidR="001B6670" w:rsidRPr="00382917">
        <w:t>their</w:t>
      </w:r>
      <w:r w:rsidR="00EE4FC3">
        <w:t xml:space="preserve"> </w:t>
      </w:r>
      <w:r w:rsidR="001B6670" w:rsidRPr="00382917">
        <w:t>sight</w:t>
      </w:r>
      <w:r w:rsidR="00330AF7">
        <w:t>.</w:t>
      </w:r>
      <w:r w:rsidR="00EE4FC3">
        <w:t xml:space="preserve">  </w:t>
      </w:r>
      <w:r w:rsidR="001B6670" w:rsidRPr="00382917">
        <w:t>Though</w:t>
      </w:r>
      <w:r w:rsidR="00EE4FC3">
        <w:t xml:space="preserve"> </w:t>
      </w:r>
      <w:r w:rsidR="001B6670" w:rsidRPr="00382917">
        <w:t>the</w:t>
      </w:r>
      <w:r w:rsidR="00EE4FC3">
        <w:t xml:space="preserve"> </w:t>
      </w:r>
      <w:r w:rsidR="001B6670" w:rsidRPr="00382917">
        <w:t>cords</w:t>
      </w:r>
      <w:r w:rsidR="00EE4FC3">
        <w:t xml:space="preserve"> </w:t>
      </w:r>
      <w:r w:rsidR="001B6670" w:rsidRPr="00382917">
        <w:t>with</w:t>
      </w:r>
      <w:r w:rsidR="00EE4FC3">
        <w:t xml:space="preserve"> </w:t>
      </w:r>
      <w:r w:rsidR="001B6670" w:rsidRPr="00382917">
        <w:t>which</w:t>
      </w:r>
      <w:r w:rsidR="00EE4FC3">
        <w:t xml:space="preserve"> </w:t>
      </w:r>
      <w:r w:rsidR="001B6670" w:rsidRPr="00382917">
        <w:t>they</w:t>
      </w:r>
      <w:r w:rsidR="00EE4FC3">
        <w:t xml:space="preserve"> </w:t>
      </w:r>
      <w:r w:rsidR="001B6670" w:rsidRPr="00382917">
        <w:t>were</w:t>
      </w:r>
      <w:r w:rsidR="00EE4FC3">
        <w:t xml:space="preserve"> </w:t>
      </w:r>
      <w:r w:rsidR="001B6670" w:rsidRPr="00382917">
        <w:t>suspended</w:t>
      </w:r>
      <w:r w:rsidR="00EE4FC3">
        <w:t xml:space="preserve"> </w:t>
      </w:r>
      <w:r w:rsidR="001B6670" w:rsidRPr="00382917">
        <w:t>had</w:t>
      </w:r>
      <w:r w:rsidR="00EE4FC3">
        <w:t xml:space="preserve"> </w:t>
      </w:r>
      <w:r w:rsidR="001B6670" w:rsidRPr="00382917">
        <w:t>been</w:t>
      </w:r>
      <w:r w:rsidR="00EE4FC3">
        <w:t xml:space="preserve"> </w:t>
      </w:r>
      <w:r w:rsidR="001B6670" w:rsidRPr="00382917">
        <w:t>rent</w:t>
      </w:r>
      <w:r w:rsidR="00EE4FC3">
        <w:t xml:space="preserve"> </w:t>
      </w:r>
      <w:r w:rsidR="001B6670" w:rsidRPr="00382917">
        <w:t>in</w:t>
      </w:r>
      <w:r w:rsidR="00EE4FC3">
        <w:t xml:space="preserve"> </w:t>
      </w:r>
      <w:r w:rsidR="001B6670" w:rsidRPr="00382917">
        <w:t>pieces</w:t>
      </w:r>
      <w:r w:rsidR="00EE4FC3">
        <w:t xml:space="preserve"> </w:t>
      </w:r>
      <w:r w:rsidR="001B6670" w:rsidRPr="00382917">
        <w:t>by</w:t>
      </w:r>
      <w:r w:rsidR="00EE4FC3">
        <w:t xml:space="preserve"> </w:t>
      </w:r>
      <w:r w:rsidR="001B6670" w:rsidRPr="00382917">
        <w:t>the</w:t>
      </w:r>
      <w:r w:rsidR="00EE4FC3">
        <w:t xml:space="preserve"> </w:t>
      </w:r>
      <w:r w:rsidR="001B6670" w:rsidRPr="00382917">
        <w:t>bullets,</w:t>
      </w:r>
      <w:r w:rsidR="00EE4FC3">
        <w:t xml:space="preserve"> </w:t>
      </w:r>
      <w:r w:rsidR="001B6670" w:rsidRPr="00382917">
        <w:t>yet</w:t>
      </w:r>
      <w:r w:rsidR="00EE4FC3">
        <w:t xml:space="preserve"> </w:t>
      </w:r>
      <w:r w:rsidR="001B6670" w:rsidRPr="00382917">
        <w:t>their</w:t>
      </w:r>
      <w:r w:rsidR="00EE4FC3">
        <w:t xml:space="preserve"> </w:t>
      </w:r>
      <w:r w:rsidR="001B6670" w:rsidRPr="00382917">
        <w:t>bodies</w:t>
      </w:r>
      <w:r w:rsidR="00EE4FC3">
        <w:t xml:space="preserve"> </w:t>
      </w:r>
      <w:r w:rsidR="001B6670" w:rsidRPr="00382917">
        <w:t>had</w:t>
      </w:r>
      <w:r w:rsidR="00EE4FC3">
        <w:t xml:space="preserve"> </w:t>
      </w:r>
      <w:r w:rsidR="001B6670" w:rsidRPr="00382917">
        <w:t>miraculously</w:t>
      </w:r>
      <w:r w:rsidR="00EE4FC3">
        <w:t xml:space="preserve"> </w:t>
      </w:r>
      <w:r w:rsidR="001B6670" w:rsidRPr="00382917">
        <w:t>escaped</w:t>
      </w:r>
      <w:r w:rsidR="00EE4FC3">
        <w:t xml:space="preserve"> </w:t>
      </w:r>
      <w:r w:rsidR="001B6670" w:rsidRPr="00382917">
        <w:t>the</w:t>
      </w:r>
      <w:r w:rsidR="00EE4FC3">
        <w:t xml:space="preserve"> </w:t>
      </w:r>
      <w:r w:rsidR="001B6670" w:rsidRPr="00382917">
        <w:t>volleys.</w:t>
      </w:r>
      <w:r w:rsidRPr="00382917">
        <w:t>”</w:t>
      </w:r>
      <w:r w:rsidR="005415D8">
        <w:rPr>
          <w:rStyle w:val="FootnoteReference"/>
        </w:rPr>
        <w:footnoteReference w:id="255"/>
      </w:r>
    </w:p>
    <w:p w:rsidR="001B6670" w:rsidRPr="00382917" w:rsidRDefault="001B6670" w:rsidP="00775809">
      <w:pPr>
        <w:pStyle w:val="Text"/>
      </w:pPr>
      <w:r w:rsidRPr="00382917">
        <w:t>Cries</w:t>
      </w:r>
      <w:r w:rsidR="00EE4FC3">
        <w:t xml:space="preserve"> </w:t>
      </w:r>
      <w:r w:rsidRPr="00382917">
        <w:t>of</w:t>
      </w:r>
      <w:r w:rsidR="00EE4FC3">
        <w:t xml:space="preserve"> </w:t>
      </w:r>
      <w:r w:rsidRPr="00382917">
        <w:t>astonishment,</w:t>
      </w:r>
      <w:r w:rsidR="00EE4FC3">
        <w:t xml:space="preserve"> </w:t>
      </w:r>
      <w:r w:rsidRPr="00382917">
        <w:t>confusion</w:t>
      </w:r>
      <w:r w:rsidR="00EE4FC3">
        <w:t xml:space="preserve"> </w:t>
      </w:r>
      <w:r w:rsidRPr="00382917">
        <w:t>and</w:t>
      </w:r>
      <w:r w:rsidR="00EE4FC3">
        <w:t xml:space="preserve"> </w:t>
      </w:r>
      <w:r w:rsidRPr="00382917">
        <w:t>fear</w:t>
      </w:r>
      <w:r w:rsidR="00EE4FC3">
        <w:t xml:space="preserve"> </w:t>
      </w:r>
      <w:r w:rsidRPr="00382917">
        <w:t>rang</w:t>
      </w:r>
      <w:r w:rsidR="00EE4FC3">
        <w:t xml:space="preserve"> </w:t>
      </w:r>
      <w:r w:rsidRPr="00382917">
        <w:t>out</w:t>
      </w:r>
      <w:r w:rsidR="00EE4FC3">
        <w:t xml:space="preserve"> </w:t>
      </w:r>
      <w:r w:rsidRPr="00382917">
        <w:t>from</w:t>
      </w:r>
      <w:r w:rsidR="00EE4FC3">
        <w:t xml:space="preserve"> </w:t>
      </w:r>
      <w:r w:rsidRPr="00382917">
        <w:t>the</w:t>
      </w:r>
      <w:r w:rsidR="00EE4FC3">
        <w:t xml:space="preserve"> </w:t>
      </w:r>
      <w:r w:rsidRPr="00382917">
        <w:t>bewildered</w:t>
      </w:r>
      <w:r w:rsidR="00EE4FC3">
        <w:t xml:space="preserve"> </w:t>
      </w:r>
      <w:r w:rsidRPr="00382917">
        <w:t>multitude.</w:t>
      </w:r>
    </w:p>
    <w:p w:rsidR="001B6670" w:rsidRPr="00382917" w:rsidRDefault="009C713D" w:rsidP="00775809">
      <w:pPr>
        <w:pStyle w:val="Text"/>
      </w:pPr>
      <w:r w:rsidRPr="00382917">
        <w:t>“</w:t>
      </w:r>
      <w:r w:rsidR="001B6670" w:rsidRPr="00382917">
        <w:t>The</w:t>
      </w:r>
      <w:r w:rsidR="00EE4FC3">
        <w:t xml:space="preserve"> </w:t>
      </w:r>
      <w:r w:rsidR="001B6670" w:rsidRPr="00382917">
        <w:t>Báb</w:t>
      </w:r>
      <w:r w:rsidR="00EE4FC3">
        <w:t xml:space="preserve"> </w:t>
      </w:r>
      <w:r w:rsidR="001B6670" w:rsidRPr="00382917">
        <w:t>has</w:t>
      </w:r>
      <w:r w:rsidR="00EE4FC3">
        <w:t xml:space="preserve"> </w:t>
      </w:r>
      <w:r w:rsidR="001B6670" w:rsidRPr="00382917">
        <w:t>vanished!</w:t>
      </w:r>
      <w:r w:rsidRPr="00382917">
        <w:t>”</w:t>
      </w:r>
    </w:p>
    <w:p w:rsidR="001B6670" w:rsidRPr="00382917" w:rsidRDefault="009C713D" w:rsidP="00775809">
      <w:pPr>
        <w:pStyle w:val="Text"/>
      </w:pPr>
      <w:r w:rsidRPr="00382917">
        <w:t>“</w:t>
      </w:r>
      <w:r w:rsidR="001B6670" w:rsidRPr="00382917">
        <w:t>He</w:t>
      </w:r>
      <w:r w:rsidR="00EE4FC3">
        <w:t xml:space="preserve"> </w:t>
      </w:r>
      <w:r w:rsidR="001B6670" w:rsidRPr="00382917">
        <w:t>is</w:t>
      </w:r>
      <w:r w:rsidR="00EE4FC3">
        <w:t xml:space="preserve"> </w:t>
      </w:r>
      <w:r w:rsidR="001B6670" w:rsidRPr="00382917">
        <w:t>freed!</w:t>
      </w:r>
      <w:r w:rsidRPr="00382917">
        <w:t>”</w:t>
      </w:r>
      <w:r w:rsidR="00EE4FC3">
        <w:t xml:space="preserve"> </w:t>
      </w:r>
      <w:r w:rsidR="001B6670" w:rsidRPr="00382917">
        <w:t>they</w:t>
      </w:r>
      <w:r w:rsidR="00EE4FC3">
        <w:t xml:space="preserve"> </w:t>
      </w:r>
      <w:r w:rsidR="001B6670" w:rsidRPr="00382917">
        <w:t>shrieked.</w:t>
      </w:r>
    </w:p>
    <w:p w:rsidR="001B6670" w:rsidRPr="00382917" w:rsidRDefault="009C713D" w:rsidP="00775809">
      <w:pPr>
        <w:pStyle w:val="Text"/>
      </w:pPr>
      <w:r w:rsidRPr="00382917">
        <w:t>“</w:t>
      </w:r>
      <w:r w:rsidR="001B6670" w:rsidRPr="00382917">
        <w:t>It</w:t>
      </w:r>
      <w:r w:rsidR="00EE4FC3">
        <w:t xml:space="preserve"> </w:t>
      </w:r>
      <w:r w:rsidR="001B6670" w:rsidRPr="00382917">
        <w:t>is</w:t>
      </w:r>
      <w:r w:rsidR="00EE4FC3">
        <w:t xml:space="preserve"> </w:t>
      </w:r>
      <w:r w:rsidR="001B6670" w:rsidRPr="00382917">
        <w:t>a</w:t>
      </w:r>
      <w:r w:rsidR="00EE4FC3">
        <w:t xml:space="preserve"> </w:t>
      </w:r>
      <w:r w:rsidR="001B6670" w:rsidRPr="00382917">
        <w:t>miracle!</w:t>
      </w:r>
      <w:r w:rsidR="00EE4FC3">
        <w:t xml:space="preserve"> </w:t>
      </w:r>
      <w:r w:rsidR="005415D8">
        <w:t xml:space="preserve"> </w:t>
      </w:r>
      <w:r w:rsidR="001B6670" w:rsidRPr="00382917">
        <w:t>He</w:t>
      </w:r>
      <w:r w:rsidR="00EE4FC3">
        <w:t xml:space="preserve"> </w:t>
      </w:r>
      <w:r w:rsidR="001B6670" w:rsidRPr="00382917">
        <w:t>was</w:t>
      </w:r>
      <w:r w:rsidR="00EE4FC3">
        <w:t xml:space="preserve"> </w:t>
      </w:r>
      <w:r w:rsidR="001B6670" w:rsidRPr="00382917">
        <w:t>a</w:t>
      </w:r>
      <w:r w:rsidR="00EE4FC3">
        <w:t xml:space="preserve"> </w:t>
      </w:r>
      <w:r w:rsidR="001B6670" w:rsidRPr="00382917">
        <w:t>man</w:t>
      </w:r>
      <w:r w:rsidR="00EE4FC3">
        <w:t xml:space="preserve"> </w:t>
      </w:r>
      <w:r w:rsidR="001B6670" w:rsidRPr="00382917">
        <w:t>of</w:t>
      </w:r>
      <w:r w:rsidR="00EE4FC3">
        <w:t xml:space="preserve"> </w:t>
      </w:r>
      <w:r w:rsidR="001B6670" w:rsidRPr="00382917">
        <w:t>God!</w:t>
      </w:r>
      <w:r w:rsidRPr="00382917">
        <w:t>”</w:t>
      </w:r>
    </w:p>
    <w:p w:rsidR="001B6670" w:rsidRPr="00382917" w:rsidRDefault="009C713D" w:rsidP="00775809">
      <w:pPr>
        <w:pStyle w:val="Text"/>
      </w:pPr>
      <w:r w:rsidRPr="00382917">
        <w:t>“</w:t>
      </w:r>
      <w:r w:rsidR="001B6670" w:rsidRPr="00382917">
        <w:t>They</w:t>
      </w:r>
      <w:r w:rsidR="00EE4FC3">
        <w:t xml:space="preserve"> </w:t>
      </w:r>
      <w:r w:rsidR="001B6670" w:rsidRPr="00382917">
        <w:t>are</w:t>
      </w:r>
      <w:r w:rsidR="00EE4FC3">
        <w:t xml:space="preserve"> </w:t>
      </w:r>
      <w:r w:rsidR="001B6670" w:rsidRPr="00382917">
        <w:t>slaying</w:t>
      </w:r>
      <w:r w:rsidR="00EE4FC3">
        <w:t xml:space="preserve"> </w:t>
      </w:r>
      <w:r w:rsidR="001B6670" w:rsidRPr="00382917">
        <w:t>a</w:t>
      </w:r>
      <w:r w:rsidR="00EE4FC3">
        <w:t xml:space="preserve"> </w:t>
      </w:r>
      <w:r w:rsidR="001B6670" w:rsidRPr="00382917">
        <w:t>man</w:t>
      </w:r>
      <w:r w:rsidR="00EE4FC3">
        <w:t xml:space="preserve"> </w:t>
      </w:r>
      <w:r w:rsidR="001B6670" w:rsidRPr="00382917">
        <w:t>of</w:t>
      </w:r>
      <w:r w:rsidR="00EE4FC3">
        <w:t xml:space="preserve"> </w:t>
      </w:r>
      <w:r w:rsidR="001B6670" w:rsidRPr="00382917">
        <w:t>God!</w:t>
      </w:r>
      <w:r w:rsidRPr="00382917">
        <w:t>”</w:t>
      </w:r>
    </w:p>
    <w:p w:rsidR="001B6670" w:rsidRPr="00382917" w:rsidRDefault="001B6670" w:rsidP="00775809">
      <w:pPr>
        <w:pStyle w:val="Text"/>
      </w:pPr>
      <w:r w:rsidRPr="00382917">
        <w:t>An</w:t>
      </w:r>
      <w:r w:rsidR="00EE4FC3">
        <w:t xml:space="preserve"> </w:t>
      </w:r>
      <w:r w:rsidRPr="00382917">
        <w:t>intense</w:t>
      </w:r>
      <w:r w:rsidR="00EE4FC3">
        <w:t xml:space="preserve"> </w:t>
      </w:r>
      <w:proofErr w:type="spellStart"/>
      <w:r w:rsidRPr="00382917">
        <w:t>clamor</w:t>
      </w:r>
      <w:proofErr w:type="spellEnd"/>
      <w:r w:rsidR="00EE4FC3">
        <w:t xml:space="preserve"> </w:t>
      </w:r>
      <w:r w:rsidRPr="00382917">
        <w:t>arose</w:t>
      </w:r>
      <w:r w:rsidR="00EE4FC3">
        <w:t xml:space="preserve"> </w:t>
      </w:r>
      <w:r w:rsidRPr="00382917">
        <w:t>on</w:t>
      </w:r>
      <w:r w:rsidR="00EE4FC3">
        <w:t xml:space="preserve"> </w:t>
      </w:r>
      <w:r w:rsidRPr="00382917">
        <w:t>all</w:t>
      </w:r>
      <w:r w:rsidR="00EE4FC3">
        <w:t xml:space="preserve"> </w:t>
      </w:r>
      <w:r w:rsidRPr="00382917">
        <w:t>sides</w:t>
      </w:r>
      <w:r w:rsidR="00330AF7">
        <w:t>.</w:t>
      </w:r>
      <w:r w:rsidR="00EE4FC3">
        <w:t xml:space="preserve">  </w:t>
      </w:r>
      <w:r w:rsidRPr="00382917">
        <w:t>The</w:t>
      </w:r>
      <w:r w:rsidR="00EE4FC3">
        <w:t xml:space="preserve"> </w:t>
      </w:r>
      <w:r w:rsidRPr="00382917">
        <w:t>crowd</w:t>
      </w:r>
      <w:r w:rsidR="00EE4FC3">
        <w:t xml:space="preserve"> </w:t>
      </w:r>
      <w:r w:rsidRPr="00382917">
        <w:t>was</w:t>
      </w:r>
      <w:r w:rsidR="00EE4FC3">
        <w:t xml:space="preserve"> </w:t>
      </w:r>
      <w:r w:rsidRPr="00382917">
        <w:t>already</w:t>
      </w:r>
      <w:r w:rsidR="00EE4FC3">
        <w:t xml:space="preserve"> </w:t>
      </w:r>
      <w:r w:rsidRPr="00382917">
        <w:t>dangerous</w:t>
      </w:r>
      <w:r w:rsidR="00330AF7">
        <w:t>.</w:t>
      </w:r>
      <w:r w:rsidR="00EE4FC3">
        <w:t xml:space="preserve">  </w:t>
      </w:r>
      <w:r w:rsidRPr="00382917">
        <w:t>The</w:t>
      </w:r>
      <w:r w:rsidR="00EE4FC3">
        <w:t xml:space="preserve"> </w:t>
      </w:r>
      <w:r w:rsidRPr="00382917">
        <w:t>public</w:t>
      </w:r>
      <w:r w:rsidR="00EE4FC3">
        <w:t xml:space="preserve"> </w:t>
      </w:r>
      <w:r w:rsidRPr="00382917">
        <w:t>square</w:t>
      </w:r>
      <w:r w:rsidR="00EE4FC3">
        <w:t xml:space="preserve"> </w:t>
      </w:r>
      <w:r w:rsidRPr="00382917">
        <w:t>became</w:t>
      </w:r>
      <w:r w:rsidR="00EE4FC3">
        <w:t xml:space="preserve"> </w:t>
      </w:r>
      <w:r w:rsidRPr="00382917">
        <w:t>a</w:t>
      </w:r>
      <w:r w:rsidR="00EE4FC3">
        <w:t xml:space="preserve"> </w:t>
      </w:r>
      <w:r w:rsidRPr="00382917">
        <w:t>bedlam</w:t>
      </w:r>
      <w:r w:rsidR="00EE4FC3">
        <w:t xml:space="preserve"> </w:t>
      </w:r>
      <w:r w:rsidRPr="00382917">
        <w:t>as</w:t>
      </w:r>
      <w:r w:rsidR="00EE4FC3">
        <w:t xml:space="preserve"> </w:t>
      </w:r>
      <w:r w:rsidRPr="00382917">
        <w:t>a</w:t>
      </w:r>
      <w:r w:rsidR="00EE4FC3">
        <w:t xml:space="preserve"> </w:t>
      </w:r>
      <w:r w:rsidRPr="00382917">
        <w:t>frantic</w:t>
      </w:r>
      <w:r w:rsidR="00EE4FC3">
        <w:t xml:space="preserve"> </w:t>
      </w:r>
      <w:r w:rsidRPr="00382917">
        <w:t>search</w:t>
      </w:r>
      <w:r w:rsidR="00EE4FC3">
        <w:t xml:space="preserve"> </w:t>
      </w:r>
      <w:r w:rsidRPr="00382917">
        <w:t>for</w:t>
      </w:r>
      <w:r w:rsidR="00EE4FC3">
        <w:t xml:space="preserve"> </w:t>
      </w:r>
      <w:r w:rsidRPr="00382917">
        <w:t>the</w:t>
      </w:r>
      <w:r w:rsidR="00EE4FC3">
        <w:t xml:space="preserve"> </w:t>
      </w:r>
      <w:r w:rsidRPr="00382917">
        <w:t>Báb</w:t>
      </w:r>
      <w:r w:rsidR="00EE4FC3">
        <w:t xml:space="preserve"> </w:t>
      </w:r>
      <w:r w:rsidRPr="00382917">
        <w:t>began.</w:t>
      </w:r>
    </w:p>
    <w:p w:rsidR="00E13D49" w:rsidRPr="00382917" w:rsidRDefault="001B6670" w:rsidP="005415D8">
      <w:pPr>
        <w:pStyle w:val="Text"/>
      </w:pPr>
      <w:r w:rsidRPr="00382917">
        <w:t>M.</w:t>
      </w:r>
      <w:r w:rsidR="00EE4FC3">
        <w:t xml:space="preserve"> </w:t>
      </w:r>
      <w:r w:rsidRPr="00382917">
        <w:t>C.</w:t>
      </w:r>
      <w:r w:rsidR="00EE4FC3">
        <w:t xml:space="preserve"> </w:t>
      </w:r>
      <w:proofErr w:type="spellStart"/>
      <w:r w:rsidRPr="00382917">
        <w:t>Huart</w:t>
      </w:r>
      <w:proofErr w:type="spellEnd"/>
      <w:r w:rsidRPr="00382917">
        <w:t>,</w:t>
      </w:r>
      <w:r w:rsidR="00EE4FC3">
        <w:t xml:space="preserve"> </w:t>
      </w:r>
      <w:r w:rsidRPr="00382917">
        <w:t>a</w:t>
      </w:r>
      <w:r w:rsidR="00EE4FC3">
        <w:t xml:space="preserve"> </w:t>
      </w:r>
      <w:r w:rsidRPr="00382917">
        <w:t>French</w:t>
      </w:r>
      <w:r w:rsidR="00EE4FC3">
        <w:t xml:space="preserve"> </w:t>
      </w:r>
      <w:r w:rsidRPr="00382917">
        <w:t>author</w:t>
      </w:r>
      <w:r w:rsidR="00EE4FC3">
        <w:t xml:space="preserve"> </w:t>
      </w:r>
      <w:r w:rsidRPr="00382917">
        <w:t>who</w:t>
      </w:r>
      <w:r w:rsidR="00EE4FC3">
        <w:t xml:space="preserve"> </w:t>
      </w:r>
      <w:r w:rsidRPr="00382917">
        <w:t>wrote</w:t>
      </w:r>
      <w:r w:rsidR="00EE4FC3">
        <w:t xml:space="preserve"> </w:t>
      </w:r>
      <w:r w:rsidRPr="00382917">
        <w:t>of</w:t>
      </w:r>
      <w:r w:rsidR="00EE4FC3">
        <w:t xml:space="preserve"> </w:t>
      </w:r>
      <w:r w:rsidRPr="00382917">
        <w:t>this</w:t>
      </w:r>
      <w:r w:rsidR="00EE4FC3">
        <w:t xml:space="preserve"> </w:t>
      </w:r>
      <w:r w:rsidRPr="00382917">
        <w:t>episode,</w:t>
      </w:r>
      <w:r w:rsidR="00EE4FC3">
        <w:t xml:space="preserve"> </w:t>
      </w:r>
      <w:r w:rsidRPr="00382917">
        <w:t>says</w:t>
      </w:r>
      <w:r w:rsidR="00C03C91">
        <w:t>:</w:t>
      </w:r>
      <w:r w:rsidR="00EE4FC3">
        <w:t xml:space="preserve">  </w:t>
      </w:r>
      <w:r w:rsidR="009C713D" w:rsidRPr="00382917">
        <w:t>“</w:t>
      </w:r>
      <w:r w:rsidRPr="00382917">
        <w:t>The</w:t>
      </w:r>
      <w:r w:rsidR="00EE4FC3">
        <w:t xml:space="preserve"> </w:t>
      </w:r>
      <w:r w:rsidRPr="00382917">
        <w:t>soldiers</w:t>
      </w:r>
      <w:r w:rsidR="00EE4FC3">
        <w:t xml:space="preserve"> </w:t>
      </w:r>
      <w:r w:rsidRPr="00382917">
        <w:t>in</w:t>
      </w:r>
      <w:r w:rsidR="00EE4FC3">
        <w:t xml:space="preserve"> </w:t>
      </w:r>
      <w:r w:rsidRPr="00382917">
        <w:t>order</w:t>
      </w:r>
      <w:r w:rsidR="00EE4FC3">
        <w:t xml:space="preserve"> </w:t>
      </w:r>
      <w:r w:rsidRPr="00382917">
        <w:t>to</w:t>
      </w:r>
      <w:r w:rsidR="00EE4FC3">
        <w:t xml:space="preserve"> </w:t>
      </w:r>
      <w:r w:rsidRPr="00382917">
        <w:t>quiet</w:t>
      </w:r>
      <w:r w:rsidR="00EE4FC3">
        <w:t xml:space="preserve"> </w:t>
      </w:r>
      <w:r w:rsidRPr="00382917">
        <w:t>the</w:t>
      </w:r>
      <w:r w:rsidR="00EE4FC3">
        <w:t xml:space="preserve"> </w:t>
      </w:r>
      <w:r w:rsidRPr="00382917">
        <w:t>excitement</w:t>
      </w:r>
      <w:r w:rsidR="00EE4FC3">
        <w:t xml:space="preserve"> </w:t>
      </w:r>
      <w:r w:rsidRPr="00382917">
        <w:t>of</w:t>
      </w:r>
      <w:r w:rsidR="00EE4FC3">
        <w:t xml:space="preserve"> </w:t>
      </w:r>
      <w:r w:rsidRPr="00382917">
        <w:t>the</w:t>
      </w:r>
      <w:r w:rsidR="00EE4FC3">
        <w:t xml:space="preserve"> </w:t>
      </w:r>
      <w:r w:rsidRPr="00382917">
        <w:t>crowd</w:t>
      </w:r>
      <w:r w:rsidR="00EE4FC3">
        <w:t xml:space="preserve"> </w:t>
      </w:r>
      <w:r w:rsidRPr="00382917">
        <w:t>which,</w:t>
      </w:r>
      <w:r w:rsidR="00EE4FC3">
        <w:t xml:space="preserve"> </w:t>
      </w:r>
      <w:r w:rsidRPr="00382917">
        <w:t>being</w:t>
      </w:r>
      <w:r w:rsidR="00EE4FC3">
        <w:t xml:space="preserve"> </w:t>
      </w:r>
      <w:r w:rsidRPr="00382917">
        <w:t>extremely</w:t>
      </w:r>
      <w:r w:rsidR="00EE4FC3">
        <w:t xml:space="preserve"> </w:t>
      </w:r>
      <w:r w:rsidRPr="00382917">
        <w:t>agitated,</w:t>
      </w:r>
      <w:r w:rsidR="00EE4FC3">
        <w:t xml:space="preserve"> </w:t>
      </w:r>
      <w:r w:rsidRPr="00382917">
        <w:t>was</w:t>
      </w:r>
      <w:r w:rsidR="00EE4FC3">
        <w:t xml:space="preserve"> </w:t>
      </w:r>
      <w:r w:rsidRPr="00382917">
        <w:t>quite</w:t>
      </w:r>
      <w:r w:rsidR="00EE4FC3">
        <w:t xml:space="preserve"> </w:t>
      </w:r>
      <w:r w:rsidRPr="00382917">
        <w:t>ready</w:t>
      </w:r>
      <w:r w:rsidR="00EE4FC3">
        <w:t xml:space="preserve"> </w:t>
      </w:r>
      <w:r w:rsidRPr="00382917">
        <w:t>to</w:t>
      </w:r>
      <w:r w:rsidR="00EE4FC3">
        <w:t xml:space="preserve"> </w:t>
      </w:r>
      <w:r w:rsidRPr="00382917">
        <w:t>believe</w:t>
      </w:r>
      <w:r w:rsidR="00EE4FC3">
        <w:t xml:space="preserve"> </w:t>
      </w:r>
      <w:r w:rsidRPr="00382917">
        <w:t>the</w:t>
      </w:r>
      <w:r w:rsidR="00EE4FC3">
        <w:t xml:space="preserve"> </w:t>
      </w:r>
      <w:r w:rsidRPr="00382917">
        <w:t>claims</w:t>
      </w:r>
      <w:r w:rsidR="00EE4FC3">
        <w:t xml:space="preserve"> </w:t>
      </w:r>
      <w:r w:rsidRPr="00382917">
        <w:t>of</w:t>
      </w:r>
      <w:r w:rsidR="00EE4FC3">
        <w:t xml:space="preserve"> </w:t>
      </w:r>
      <w:r w:rsidRPr="00382917">
        <w:t>a</w:t>
      </w:r>
      <w:r w:rsidR="00EE4FC3">
        <w:t xml:space="preserve"> </w:t>
      </w:r>
      <w:r w:rsidRPr="00382917">
        <w:t>religion</w:t>
      </w:r>
      <w:r w:rsidR="00EE4FC3">
        <w:t xml:space="preserve"> </w:t>
      </w:r>
      <w:r w:rsidRPr="00382917">
        <w:t>which</w:t>
      </w:r>
      <w:r w:rsidR="00EE4FC3">
        <w:t xml:space="preserve"> </w:t>
      </w:r>
      <w:r w:rsidRPr="00382917">
        <w:t>thus</w:t>
      </w:r>
      <w:r w:rsidR="00EE4FC3">
        <w:t xml:space="preserve"> </w:t>
      </w:r>
      <w:r w:rsidRPr="00382917">
        <w:t>demonstrated</w:t>
      </w:r>
      <w:r w:rsidR="00EE4FC3">
        <w:t xml:space="preserve"> </w:t>
      </w:r>
      <w:r w:rsidRPr="00382917">
        <w:t>its</w:t>
      </w:r>
      <w:r w:rsidR="00EE4FC3">
        <w:t xml:space="preserve"> </w:t>
      </w:r>
      <w:r w:rsidRPr="00382917">
        <w:t>truth,</w:t>
      </w:r>
      <w:r w:rsidR="00EE4FC3">
        <w:t xml:space="preserve"> </w:t>
      </w:r>
      <w:r w:rsidRPr="00382917">
        <w:t>showed</w:t>
      </w:r>
      <w:r w:rsidR="00EE4FC3">
        <w:t xml:space="preserve"> </w:t>
      </w:r>
      <w:r w:rsidRPr="00382917">
        <w:t>the</w:t>
      </w:r>
      <w:r w:rsidR="00EE4FC3">
        <w:t xml:space="preserve"> </w:t>
      </w:r>
      <w:r w:rsidRPr="00382917">
        <w:t>cords</w:t>
      </w:r>
      <w:r w:rsidR="00EE4FC3">
        <w:t xml:space="preserve"> </w:t>
      </w:r>
      <w:r w:rsidRPr="00382917">
        <w:t>broken</w:t>
      </w:r>
      <w:r w:rsidR="00EE4FC3">
        <w:t xml:space="preserve"> </w:t>
      </w:r>
      <w:r w:rsidRPr="00382917">
        <w:t>by</w:t>
      </w:r>
      <w:r w:rsidR="00EE4FC3">
        <w:t xml:space="preserve"> </w:t>
      </w:r>
      <w:r w:rsidRPr="00382917">
        <w:t>the</w:t>
      </w:r>
      <w:r w:rsidR="00EE4FC3">
        <w:t xml:space="preserve"> </w:t>
      </w:r>
      <w:r w:rsidRPr="00382917">
        <w:t>bullets,</w:t>
      </w:r>
      <w:r w:rsidR="00EE4FC3">
        <w:t xml:space="preserve"> </w:t>
      </w:r>
      <w:r w:rsidRPr="00382917">
        <w:t>implying</w:t>
      </w:r>
      <w:r w:rsidR="00EE4FC3">
        <w:t xml:space="preserve"> </w:t>
      </w:r>
      <w:r w:rsidRPr="00382917">
        <w:t>that</w:t>
      </w:r>
      <w:r w:rsidR="00EE4FC3">
        <w:t xml:space="preserve"> </w:t>
      </w:r>
      <w:r w:rsidRPr="00382917">
        <w:t>no</w:t>
      </w:r>
      <w:r w:rsidR="00EE4FC3">
        <w:t xml:space="preserve"> </w:t>
      </w:r>
      <w:r w:rsidRPr="00382917">
        <w:t>miracle</w:t>
      </w:r>
      <w:r w:rsidR="00EE4FC3">
        <w:t xml:space="preserve"> </w:t>
      </w:r>
      <w:r w:rsidRPr="00382917">
        <w:t>had</w:t>
      </w:r>
      <w:r w:rsidR="00EE4FC3">
        <w:t xml:space="preserve"> </w:t>
      </w:r>
      <w:r w:rsidRPr="00382917">
        <w:t>really</w:t>
      </w:r>
      <w:r w:rsidR="00EE4FC3">
        <w:t xml:space="preserve"> </w:t>
      </w:r>
      <w:r w:rsidRPr="00382917">
        <w:t>taken</w:t>
      </w:r>
      <w:r w:rsidR="00EE4FC3">
        <w:t xml:space="preserve"> </w:t>
      </w:r>
      <w:r w:rsidRPr="00382917">
        <w:t>place.</w:t>
      </w:r>
      <w:r w:rsidR="009C713D" w:rsidRPr="00382917">
        <w:t>”</w:t>
      </w:r>
      <w:r w:rsidR="005415D8">
        <w:rPr>
          <w:rStyle w:val="FootnoteReference"/>
        </w:rPr>
        <w:footnoteReference w:id="256"/>
      </w:r>
    </w:p>
    <w:p w:rsidR="001B6670" w:rsidRPr="00382917" w:rsidRDefault="009C713D" w:rsidP="00775809">
      <w:pPr>
        <w:pStyle w:val="Text"/>
      </w:pPr>
      <w:r w:rsidRPr="00382917">
        <w:t>“</w:t>
      </w:r>
      <w:r w:rsidR="001B6670" w:rsidRPr="00382917">
        <w:t>Look!</w:t>
      </w:r>
      <w:r w:rsidRPr="00382917">
        <w:t>”</w:t>
      </w:r>
      <w:r w:rsidR="00EE4FC3">
        <w:t xml:space="preserve"> </w:t>
      </w:r>
      <w:r w:rsidR="001B6670" w:rsidRPr="00382917">
        <w:t>their</w:t>
      </w:r>
      <w:r w:rsidR="00EE4FC3">
        <w:t xml:space="preserve"> </w:t>
      </w:r>
      <w:r w:rsidR="001B6670" w:rsidRPr="00382917">
        <w:t>actions</w:t>
      </w:r>
      <w:r w:rsidR="00EE4FC3">
        <w:t xml:space="preserve"> </w:t>
      </w:r>
      <w:r w:rsidR="001B6670" w:rsidRPr="00382917">
        <w:t>implied</w:t>
      </w:r>
      <w:r w:rsidR="00330AF7">
        <w:t>.</w:t>
      </w:r>
      <w:r w:rsidR="00EE4FC3">
        <w:t xml:space="preserve">  </w:t>
      </w:r>
      <w:r w:rsidRPr="00382917">
        <w:t>“</w:t>
      </w:r>
      <w:r w:rsidR="001B6670" w:rsidRPr="00382917">
        <w:t>The</w:t>
      </w:r>
      <w:r w:rsidR="00EE4FC3">
        <w:t xml:space="preserve"> </w:t>
      </w:r>
      <w:r w:rsidR="001B6670" w:rsidRPr="00382917">
        <w:t>seven</w:t>
      </w:r>
      <w:r w:rsidR="00EE4FC3">
        <w:t xml:space="preserve"> </w:t>
      </w:r>
      <w:r w:rsidR="001B6670" w:rsidRPr="00382917">
        <w:t>hundred</w:t>
      </w:r>
      <w:r w:rsidR="00EE4FC3">
        <w:t xml:space="preserve"> </w:t>
      </w:r>
      <w:r w:rsidR="001B6670" w:rsidRPr="00382917">
        <w:t>and</w:t>
      </w:r>
      <w:r w:rsidR="00EE4FC3">
        <w:t xml:space="preserve"> </w:t>
      </w:r>
      <w:r w:rsidR="001B6670" w:rsidRPr="00382917">
        <w:t>fifty</w:t>
      </w:r>
      <w:r w:rsidR="00EE4FC3">
        <w:t xml:space="preserve"> </w:t>
      </w:r>
      <w:r w:rsidR="001B6670" w:rsidRPr="00382917">
        <w:t>musket-balls</w:t>
      </w:r>
      <w:r w:rsidR="00EE4FC3">
        <w:t xml:space="preserve"> </w:t>
      </w:r>
      <w:r w:rsidR="001B6670" w:rsidRPr="00382917">
        <w:t>have</w:t>
      </w:r>
      <w:r w:rsidR="00EE4FC3">
        <w:t xml:space="preserve"> </w:t>
      </w:r>
      <w:r w:rsidR="001B6670" w:rsidRPr="00382917">
        <w:t>shattered</w:t>
      </w:r>
      <w:r w:rsidR="00EE4FC3">
        <w:t xml:space="preserve"> </w:t>
      </w:r>
      <w:r w:rsidR="001B6670" w:rsidRPr="00382917">
        <w:t>the</w:t>
      </w:r>
      <w:r w:rsidR="00EE4FC3">
        <w:t xml:space="preserve"> </w:t>
      </w:r>
      <w:r w:rsidR="001B6670" w:rsidRPr="00382917">
        <w:t>ropes</w:t>
      </w:r>
      <w:r w:rsidR="00EE4FC3">
        <w:t xml:space="preserve"> </w:t>
      </w:r>
      <w:r w:rsidR="001B6670" w:rsidRPr="00382917">
        <w:t>into</w:t>
      </w:r>
      <w:r w:rsidR="00EE4FC3">
        <w:t xml:space="preserve"> </w:t>
      </w:r>
      <w:r w:rsidR="001B6670" w:rsidRPr="00382917">
        <w:t>fragments</w:t>
      </w:r>
      <w:r w:rsidR="00330AF7">
        <w:t>.</w:t>
      </w:r>
      <w:r w:rsidR="00EE4FC3">
        <w:t xml:space="preserve">  </w:t>
      </w:r>
      <w:r w:rsidR="001B6670" w:rsidRPr="00382917">
        <w:t>This</w:t>
      </w:r>
      <w:r w:rsidR="00EE4FC3">
        <w:t xml:space="preserve"> </w:t>
      </w:r>
      <w:r w:rsidR="001B6670" w:rsidRPr="00382917">
        <w:t>is</w:t>
      </w:r>
      <w:r w:rsidR="00EE4FC3">
        <w:t xml:space="preserve"> </w:t>
      </w:r>
      <w:r w:rsidR="001B6670" w:rsidRPr="00382917">
        <w:t>what</w:t>
      </w:r>
      <w:r w:rsidR="00EE4FC3">
        <w:t xml:space="preserve"> </w:t>
      </w:r>
      <w:r w:rsidR="001B6670" w:rsidRPr="00382917">
        <w:t>freed</w:t>
      </w:r>
      <w:r w:rsidR="00EE4FC3">
        <w:t xml:space="preserve"> </w:t>
      </w:r>
      <w:r w:rsidR="001B6670" w:rsidRPr="00382917">
        <w:t>them</w:t>
      </w:r>
      <w:r w:rsidR="00330AF7">
        <w:t>.</w:t>
      </w:r>
      <w:r w:rsidR="00EE4FC3">
        <w:t xml:space="preserve">  </w:t>
      </w:r>
      <w:r w:rsidR="001B6670" w:rsidRPr="00382917">
        <w:t>It</w:t>
      </w:r>
      <w:r w:rsidR="00EE4FC3">
        <w:t xml:space="preserve"> </w:t>
      </w:r>
      <w:r w:rsidR="001B6670" w:rsidRPr="00382917">
        <w:t>is</w:t>
      </w:r>
      <w:r w:rsidR="00EE4FC3">
        <w:t xml:space="preserve"> </w:t>
      </w:r>
      <w:r w:rsidR="001B6670" w:rsidRPr="00382917">
        <w:t>nothing</w:t>
      </w:r>
      <w:r w:rsidR="00EE4FC3">
        <w:t xml:space="preserve"> </w:t>
      </w:r>
      <w:r w:rsidR="001B6670" w:rsidRPr="00382917">
        <w:t>more</w:t>
      </w:r>
      <w:r w:rsidR="00EE4FC3">
        <w:t xml:space="preserve"> </w:t>
      </w:r>
      <w:r w:rsidR="001B6670" w:rsidRPr="00382917">
        <w:t>than</w:t>
      </w:r>
      <w:r w:rsidR="00EE4FC3">
        <w:t xml:space="preserve"> </w:t>
      </w:r>
      <w:r w:rsidR="001B6670" w:rsidRPr="00382917">
        <w:t>this</w:t>
      </w:r>
      <w:r w:rsidR="00330AF7">
        <w:t>.</w:t>
      </w:r>
      <w:r w:rsidR="00EE4FC3">
        <w:t xml:space="preserve">  </w:t>
      </w:r>
      <w:r w:rsidR="001B6670" w:rsidRPr="00382917">
        <w:t>It</w:t>
      </w:r>
      <w:r w:rsidR="00EE4FC3">
        <w:t xml:space="preserve"> </w:t>
      </w:r>
      <w:r w:rsidR="001B6670" w:rsidRPr="00382917">
        <w:t>is</w:t>
      </w:r>
      <w:r w:rsidR="00EE4FC3">
        <w:t xml:space="preserve"> </w:t>
      </w:r>
      <w:r w:rsidR="001B6670" w:rsidRPr="00382917">
        <w:t>no</w:t>
      </w:r>
      <w:r w:rsidR="00EE4FC3">
        <w:t xml:space="preserve"> </w:t>
      </w:r>
      <w:r w:rsidR="001B6670" w:rsidRPr="00382917">
        <w:t>miracle.</w:t>
      </w:r>
      <w:r w:rsidRPr="00382917">
        <w:t>”</w:t>
      </w:r>
    </w:p>
    <w:p w:rsidR="001B6670" w:rsidRPr="00382917" w:rsidRDefault="001B6670" w:rsidP="00775809">
      <w:pPr>
        <w:pStyle w:val="Text"/>
      </w:pPr>
      <w:r w:rsidRPr="00382917">
        <w:t>Uproars</w:t>
      </w:r>
      <w:r w:rsidR="00EE4FC3">
        <w:t xml:space="preserve"> </w:t>
      </w:r>
      <w:r w:rsidRPr="00382917">
        <w:t>and</w:t>
      </w:r>
      <w:r w:rsidR="00EE4FC3">
        <w:t xml:space="preserve"> </w:t>
      </w:r>
      <w:r w:rsidRPr="00382917">
        <w:t>shouts</w:t>
      </w:r>
      <w:r w:rsidR="00EE4FC3">
        <w:t xml:space="preserve"> </w:t>
      </w:r>
      <w:r w:rsidRPr="00382917">
        <w:t>continued</w:t>
      </w:r>
      <w:r w:rsidR="00EE4FC3">
        <w:t xml:space="preserve"> </w:t>
      </w:r>
      <w:r w:rsidRPr="00382917">
        <w:t>on</w:t>
      </w:r>
      <w:r w:rsidR="00EE4FC3">
        <w:t xml:space="preserve"> </w:t>
      </w:r>
      <w:r w:rsidRPr="00382917">
        <w:t>all</w:t>
      </w:r>
      <w:r w:rsidR="00EE4FC3">
        <w:t xml:space="preserve"> </w:t>
      </w:r>
      <w:r w:rsidRPr="00382917">
        <w:t>sides</w:t>
      </w:r>
      <w:r w:rsidR="00330AF7">
        <w:t>.</w:t>
      </w:r>
      <w:r w:rsidR="00EE4FC3">
        <w:t xml:space="preserve">  </w:t>
      </w:r>
      <w:r w:rsidRPr="00382917">
        <w:t>The</w:t>
      </w:r>
      <w:r w:rsidR="00EE4FC3">
        <w:t xml:space="preserve"> </w:t>
      </w:r>
      <w:r w:rsidRPr="00382917">
        <w:t>people</w:t>
      </w:r>
      <w:r w:rsidR="00EE4FC3">
        <w:t xml:space="preserve"> </w:t>
      </w:r>
      <w:r w:rsidRPr="00382917">
        <w:t>still</w:t>
      </w:r>
      <w:r w:rsidR="00EE4FC3">
        <w:t xml:space="preserve"> </w:t>
      </w:r>
      <w:r w:rsidRPr="00382917">
        <w:t>were</w:t>
      </w:r>
      <w:r w:rsidR="00EE4FC3">
        <w:t xml:space="preserve"> </w:t>
      </w:r>
      <w:r w:rsidRPr="00382917">
        <w:t>not</w:t>
      </w:r>
      <w:r w:rsidR="00EE4FC3">
        <w:t xml:space="preserve"> </w:t>
      </w:r>
      <w:r w:rsidRPr="00382917">
        <w:t>certain</w:t>
      </w:r>
      <w:r w:rsidR="00EE4FC3">
        <w:t xml:space="preserve"> </w:t>
      </w:r>
      <w:r w:rsidRPr="00382917">
        <w:t>themselves</w:t>
      </w:r>
      <w:r w:rsidR="00EE4FC3">
        <w:t xml:space="preserve"> </w:t>
      </w:r>
      <w:r w:rsidRPr="00382917">
        <w:t>what</w:t>
      </w:r>
      <w:r w:rsidR="00EE4FC3">
        <w:t xml:space="preserve"> </w:t>
      </w:r>
      <w:r w:rsidRPr="00382917">
        <w:t>really</w:t>
      </w:r>
      <w:r w:rsidR="00EE4FC3">
        <w:t xml:space="preserve"> </w:t>
      </w:r>
      <w:r w:rsidRPr="00382917">
        <w:t>had</w:t>
      </w:r>
      <w:r w:rsidR="00EE4FC3">
        <w:t xml:space="preserve"> </w:t>
      </w:r>
      <w:r w:rsidRPr="00382917">
        <w:t>happened.</w:t>
      </w:r>
    </w:p>
    <w:p w:rsidR="00775809" w:rsidRPr="00382917" w:rsidRDefault="00775809">
      <w:pPr>
        <w:widowControl/>
        <w:kinsoku/>
        <w:overflowPunct/>
        <w:textAlignment w:val="auto"/>
      </w:pPr>
      <w:r w:rsidRPr="00382917">
        <w:br w:type="page"/>
      </w:r>
    </w:p>
    <w:p w:rsidR="001B6670" w:rsidRPr="00382917" w:rsidRDefault="001B6670" w:rsidP="00775809">
      <w:pPr>
        <w:pStyle w:val="Text"/>
      </w:pPr>
      <w:r w:rsidRPr="00382917">
        <w:t>M.</w:t>
      </w:r>
      <w:r w:rsidR="00EE4FC3">
        <w:t xml:space="preserve"> </w:t>
      </w:r>
      <w:r w:rsidRPr="00382917">
        <w:t>C.</w:t>
      </w:r>
      <w:r w:rsidR="00EE4FC3">
        <w:t xml:space="preserve"> </w:t>
      </w:r>
      <w:proofErr w:type="spellStart"/>
      <w:r w:rsidRPr="00382917">
        <w:t>Huart</w:t>
      </w:r>
      <w:proofErr w:type="spellEnd"/>
      <w:r w:rsidRPr="00382917">
        <w:t>,</w:t>
      </w:r>
      <w:r w:rsidR="00EE4FC3">
        <w:t xml:space="preserve"> </w:t>
      </w:r>
      <w:r w:rsidRPr="00382917">
        <w:t>giving</w:t>
      </w:r>
      <w:r w:rsidR="00EE4FC3">
        <w:t xml:space="preserve"> </w:t>
      </w:r>
      <w:r w:rsidRPr="00382917">
        <w:t>his</w:t>
      </w:r>
      <w:r w:rsidR="00EE4FC3">
        <w:t xml:space="preserve"> </w:t>
      </w:r>
      <w:r w:rsidRPr="00382917">
        <w:t>view</w:t>
      </w:r>
      <w:r w:rsidR="00EE4FC3">
        <w:t xml:space="preserve"> </w:t>
      </w:r>
      <w:r w:rsidRPr="00382917">
        <w:t>of</w:t>
      </w:r>
      <w:r w:rsidR="00EE4FC3">
        <w:t xml:space="preserve"> </w:t>
      </w:r>
      <w:r w:rsidRPr="00382917">
        <w:t>that</w:t>
      </w:r>
      <w:r w:rsidR="00EE4FC3">
        <w:t xml:space="preserve"> </w:t>
      </w:r>
      <w:r w:rsidRPr="00382917">
        <w:t>astonishing</w:t>
      </w:r>
      <w:r w:rsidR="00EE4FC3">
        <w:t xml:space="preserve"> </w:t>
      </w:r>
      <w:r w:rsidRPr="00382917">
        <w:t>event,</w:t>
      </w:r>
      <w:r w:rsidR="00EE4FC3">
        <w:t xml:space="preserve"> </w:t>
      </w:r>
      <w:r w:rsidRPr="00382917">
        <w:t>states</w:t>
      </w:r>
      <w:r w:rsidR="00C03C91">
        <w:t>:</w:t>
      </w:r>
      <w:r w:rsidR="00EE4FC3">
        <w:t xml:space="preserve">  </w:t>
      </w:r>
      <w:r w:rsidR="009C713D" w:rsidRPr="00382917">
        <w:t>“</w:t>
      </w:r>
      <w:r w:rsidRPr="00382917">
        <w:t>Amazing</w:t>
      </w:r>
      <w:r w:rsidR="00EE4FC3">
        <w:t xml:space="preserve"> </w:t>
      </w:r>
      <w:r w:rsidRPr="00382917">
        <w:t>to</w:t>
      </w:r>
      <w:r w:rsidR="00EE4FC3">
        <w:t xml:space="preserve"> </w:t>
      </w:r>
      <w:r w:rsidRPr="00382917">
        <w:t>believe,</w:t>
      </w:r>
      <w:r w:rsidR="00EE4FC3">
        <w:t xml:space="preserve"> </w:t>
      </w:r>
      <w:r w:rsidRPr="00382917">
        <w:t>the</w:t>
      </w:r>
      <w:r w:rsidR="00EE4FC3">
        <w:t xml:space="preserve"> </w:t>
      </w:r>
      <w:r w:rsidRPr="00382917">
        <w:t>bullets</w:t>
      </w:r>
      <w:r w:rsidR="00EE4FC3">
        <w:t xml:space="preserve"> </w:t>
      </w:r>
      <w:r w:rsidRPr="00382917">
        <w:t>had</w:t>
      </w:r>
      <w:r w:rsidR="00EE4FC3">
        <w:t xml:space="preserve"> </w:t>
      </w:r>
      <w:r w:rsidRPr="00382917">
        <w:t>not</w:t>
      </w:r>
      <w:r w:rsidR="00EE4FC3">
        <w:t xml:space="preserve"> </w:t>
      </w:r>
      <w:r w:rsidRPr="00382917">
        <w:t>struck</w:t>
      </w:r>
      <w:r w:rsidR="00EE4FC3">
        <w:t xml:space="preserve"> </w:t>
      </w:r>
      <w:r w:rsidRPr="00382917">
        <w:t>the</w:t>
      </w:r>
      <w:r w:rsidR="00EE4FC3">
        <w:t xml:space="preserve"> </w:t>
      </w:r>
      <w:r w:rsidRPr="00382917">
        <w:t>condemned</w:t>
      </w:r>
      <w:r w:rsidR="00EE4FC3">
        <w:t xml:space="preserve"> </w:t>
      </w:r>
      <w:r w:rsidRPr="00382917">
        <w:t>but,</w:t>
      </w:r>
      <w:r w:rsidR="00EE4FC3">
        <w:t xml:space="preserve"> </w:t>
      </w:r>
      <w:r w:rsidRPr="00382917">
        <w:t>on</w:t>
      </w:r>
      <w:r w:rsidR="00EE4FC3">
        <w:t xml:space="preserve"> </w:t>
      </w:r>
      <w:r w:rsidRPr="00382917">
        <w:t>the</w:t>
      </w:r>
      <w:r w:rsidR="00EE4FC3">
        <w:t xml:space="preserve"> </w:t>
      </w:r>
      <w:r w:rsidRPr="00382917">
        <w:t>contrary,</w:t>
      </w:r>
      <w:r w:rsidR="00EE4FC3">
        <w:t xml:space="preserve"> </w:t>
      </w:r>
      <w:r w:rsidRPr="00382917">
        <w:t>had</w:t>
      </w:r>
      <w:r w:rsidR="00EE4FC3">
        <w:t xml:space="preserve"> </w:t>
      </w:r>
      <w:r w:rsidRPr="00382917">
        <w:t>broken</w:t>
      </w:r>
      <w:r w:rsidR="00EE4FC3">
        <w:t xml:space="preserve"> </w:t>
      </w:r>
      <w:r w:rsidRPr="00382917">
        <w:t>the</w:t>
      </w:r>
      <w:r w:rsidR="00EE4FC3">
        <w:t xml:space="preserve"> </w:t>
      </w:r>
      <w:r w:rsidRPr="00382917">
        <w:t>bonds</w:t>
      </w:r>
      <w:r w:rsidR="00EE4FC3">
        <w:t xml:space="preserve"> </w:t>
      </w:r>
      <w:r w:rsidRPr="00382917">
        <w:t>and</w:t>
      </w:r>
      <w:r w:rsidR="00EE4FC3">
        <w:t xml:space="preserve"> </w:t>
      </w:r>
      <w:r w:rsidRPr="00382917">
        <w:t>he</w:t>
      </w:r>
      <w:r w:rsidR="00EE4FC3">
        <w:t xml:space="preserve"> </w:t>
      </w:r>
      <w:r w:rsidRPr="00382917">
        <w:t>was</w:t>
      </w:r>
      <w:r w:rsidR="00EE4FC3">
        <w:t xml:space="preserve"> </w:t>
      </w:r>
      <w:r w:rsidRPr="00382917">
        <w:t>delivered</w:t>
      </w:r>
      <w:r w:rsidR="00330AF7">
        <w:t>.</w:t>
      </w:r>
      <w:r w:rsidR="00EE4FC3">
        <w:t xml:space="preserve">  </w:t>
      </w:r>
      <w:r w:rsidRPr="00382917">
        <w:t>It</w:t>
      </w:r>
      <w:r w:rsidR="00EE4FC3">
        <w:t xml:space="preserve"> </w:t>
      </w:r>
      <w:r w:rsidRPr="00382917">
        <w:t>was</w:t>
      </w:r>
      <w:r w:rsidR="00EE4FC3">
        <w:t xml:space="preserve"> </w:t>
      </w:r>
      <w:r w:rsidRPr="00382917">
        <w:t>a</w:t>
      </w:r>
      <w:r w:rsidR="00EE4FC3">
        <w:t xml:space="preserve"> </w:t>
      </w:r>
      <w:r w:rsidRPr="00382917">
        <w:t>real</w:t>
      </w:r>
      <w:r w:rsidR="00EE4FC3">
        <w:t xml:space="preserve"> </w:t>
      </w:r>
      <w:r w:rsidRPr="00382917">
        <w:t>miracle.</w:t>
      </w:r>
      <w:r w:rsidR="009C713D" w:rsidRPr="00382917">
        <w:t>”</w:t>
      </w:r>
    </w:p>
    <w:p w:rsidR="00E13D49" w:rsidRPr="00382917" w:rsidRDefault="001B6670" w:rsidP="005415D8">
      <w:pPr>
        <w:pStyle w:val="Text"/>
      </w:pPr>
      <w:r w:rsidRPr="00382917">
        <w:t>A.</w:t>
      </w:r>
      <w:r w:rsidR="00EE4FC3">
        <w:t xml:space="preserve"> </w:t>
      </w:r>
      <w:r w:rsidRPr="00382917">
        <w:t>L.</w:t>
      </w:r>
      <w:r w:rsidR="00EE4FC3">
        <w:t xml:space="preserve"> </w:t>
      </w:r>
      <w:r w:rsidRPr="00382917">
        <w:t>M.</w:t>
      </w:r>
      <w:r w:rsidR="00EE4FC3">
        <w:t xml:space="preserve"> </w:t>
      </w:r>
      <w:r w:rsidRPr="00382917">
        <w:t>Nicolas</w:t>
      </w:r>
      <w:r w:rsidR="00EE4FC3">
        <w:t xml:space="preserve"> </w:t>
      </w:r>
      <w:r w:rsidRPr="00382917">
        <w:t>also</w:t>
      </w:r>
      <w:r w:rsidR="00EE4FC3">
        <w:t xml:space="preserve"> </w:t>
      </w:r>
      <w:r w:rsidRPr="00382917">
        <w:t>wrote</w:t>
      </w:r>
      <w:r w:rsidR="00EE4FC3">
        <w:t xml:space="preserve"> </w:t>
      </w:r>
      <w:r w:rsidRPr="00382917">
        <w:t>of</w:t>
      </w:r>
      <w:r w:rsidR="00EE4FC3">
        <w:t xml:space="preserve"> </w:t>
      </w:r>
      <w:r w:rsidRPr="00382917">
        <w:t>this</w:t>
      </w:r>
      <w:r w:rsidR="00EE4FC3">
        <w:t xml:space="preserve"> </w:t>
      </w:r>
      <w:r w:rsidRPr="00382917">
        <w:t>episode,</w:t>
      </w:r>
      <w:r w:rsidR="00EE4FC3">
        <w:t xml:space="preserve"> </w:t>
      </w:r>
      <w:r w:rsidRPr="00382917">
        <w:t>saying</w:t>
      </w:r>
      <w:r w:rsidR="00C03C91">
        <w:t>:</w:t>
      </w:r>
      <w:r w:rsidR="00EE4FC3">
        <w:t xml:space="preserve">  </w:t>
      </w:r>
      <w:r w:rsidR="009C713D" w:rsidRPr="00382917">
        <w:t>“</w:t>
      </w:r>
      <w:r w:rsidRPr="00382917">
        <w:t>An</w:t>
      </w:r>
      <w:r w:rsidR="00EE4FC3">
        <w:t xml:space="preserve"> </w:t>
      </w:r>
      <w:r w:rsidRPr="00382917">
        <w:t>extraordinary</w:t>
      </w:r>
      <w:r w:rsidR="00EE4FC3">
        <w:t xml:space="preserve"> </w:t>
      </w:r>
      <w:r w:rsidRPr="00382917">
        <w:t>thing</w:t>
      </w:r>
      <w:r w:rsidR="00EE4FC3">
        <w:t xml:space="preserve"> </w:t>
      </w:r>
      <w:r w:rsidRPr="00382917">
        <w:t>happened,</w:t>
      </w:r>
      <w:r w:rsidR="00EE4FC3">
        <w:t xml:space="preserve"> </w:t>
      </w:r>
      <w:r w:rsidRPr="00382917">
        <w:t>unique</w:t>
      </w:r>
      <w:r w:rsidR="00EE4FC3">
        <w:t xml:space="preserve"> </w:t>
      </w:r>
      <w:r w:rsidRPr="00382917">
        <w:t>in</w:t>
      </w:r>
      <w:r w:rsidR="00EE4FC3">
        <w:t xml:space="preserve"> </w:t>
      </w:r>
      <w:r w:rsidRPr="00382917">
        <w:t>the</w:t>
      </w:r>
      <w:r w:rsidR="00EE4FC3">
        <w:t xml:space="preserve"> </w:t>
      </w:r>
      <w:r w:rsidRPr="00382917">
        <w:t>annals</w:t>
      </w:r>
      <w:r w:rsidR="00EE4FC3">
        <w:t xml:space="preserve"> </w:t>
      </w:r>
      <w:r w:rsidRPr="00382917">
        <w:t>of</w:t>
      </w:r>
      <w:r w:rsidR="00EE4FC3">
        <w:t xml:space="preserve"> </w:t>
      </w:r>
      <w:r w:rsidRPr="00382917">
        <w:t>the</w:t>
      </w:r>
      <w:r w:rsidR="00EE4FC3">
        <w:t xml:space="preserve"> </w:t>
      </w:r>
      <w:r w:rsidRPr="00382917">
        <w:t>history</w:t>
      </w:r>
      <w:r w:rsidR="00EE4FC3">
        <w:t xml:space="preserve"> </w:t>
      </w:r>
      <w:r w:rsidRPr="00382917">
        <w:t>of</w:t>
      </w:r>
      <w:r w:rsidR="00EE4FC3">
        <w:t xml:space="preserve"> </w:t>
      </w:r>
      <w:r w:rsidRPr="00382917">
        <w:t>humanity</w:t>
      </w:r>
      <w:r w:rsidR="00C03C91">
        <w:t>:</w:t>
      </w:r>
      <w:r w:rsidR="00EE4FC3">
        <w:t xml:space="preserve">  </w:t>
      </w:r>
      <w:r w:rsidRPr="00382917">
        <w:t>the</w:t>
      </w:r>
      <w:r w:rsidR="00EE4FC3">
        <w:t xml:space="preserve"> </w:t>
      </w:r>
      <w:r w:rsidRPr="00382917">
        <w:t>bullets</w:t>
      </w:r>
      <w:r w:rsidR="00EE4FC3">
        <w:t xml:space="preserve"> </w:t>
      </w:r>
      <w:r w:rsidRPr="00382917">
        <w:t>cut</w:t>
      </w:r>
      <w:r w:rsidR="00EE4FC3">
        <w:t xml:space="preserve"> </w:t>
      </w:r>
      <w:r w:rsidRPr="00382917">
        <w:t>the</w:t>
      </w:r>
      <w:r w:rsidR="00EE4FC3">
        <w:t xml:space="preserve"> </w:t>
      </w:r>
      <w:r w:rsidRPr="00382917">
        <w:t>cords</w:t>
      </w:r>
      <w:r w:rsidR="00EE4FC3">
        <w:t xml:space="preserve"> </w:t>
      </w:r>
      <w:r w:rsidRPr="00382917">
        <w:t>that</w:t>
      </w:r>
      <w:r w:rsidR="00EE4FC3">
        <w:t xml:space="preserve"> </w:t>
      </w:r>
      <w:r w:rsidRPr="00382917">
        <w:t>held</w:t>
      </w:r>
      <w:r w:rsidR="00EE4FC3">
        <w:t xml:space="preserve"> </w:t>
      </w:r>
      <w:r w:rsidRPr="00382917">
        <w:t>the</w:t>
      </w:r>
      <w:r w:rsidR="00EE4FC3">
        <w:t xml:space="preserve"> </w:t>
      </w:r>
      <w:r w:rsidRPr="00382917">
        <w:t>Báb</w:t>
      </w:r>
      <w:r w:rsidR="00EE4FC3">
        <w:t xml:space="preserve"> </w:t>
      </w:r>
      <w:r w:rsidRPr="00382917">
        <w:t>and</w:t>
      </w:r>
      <w:r w:rsidR="00EE4FC3">
        <w:t xml:space="preserve"> </w:t>
      </w:r>
      <w:r w:rsidRPr="00382917">
        <w:t>he</w:t>
      </w:r>
      <w:r w:rsidR="00EE4FC3">
        <w:t xml:space="preserve"> </w:t>
      </w:r>
      <w:r w:rsidRPr="00382917">
        <w:t>fell</w:t>
      </w:r>
      <w:r w:rsidR="00EE4FC3">
        <w:t xml:space="preserve"> </w:t>
      </w:r>
      <w:r w:rsidRPr="00382917">
        <w:t>on</w:t>
      </w:r>
      <w:r w:rsidR="00EE4FC3">
        <w:t xml:space="preserve"> </w:t>
      </w:r>
      <w:r w:rsidRPr="00382917">
        <w:t>his</w:t>
      </w:r>
      <w:r w:rsidR="00EE4FC3">
        <w:t xml:space="preserve"> </w:t>
      </w:r>
      <w:r w:rsidRPr="00382917">
        <w:t>feet</w:t>
      </w:r>
      <w:r w:rsidR="00EE4FC3">
        <w:t xml:space="preserve"> </w:t>
      </w:r>
      <w:r w:rsidRPr="00382917">
        <w:t>without</w:t>
      </w:r>
      <w:r w:rsidR="00EE4FC3">
        <w:t xml:space="preserve"> </w:t>
      </w:r>
      <w:r w:rsidRPr="00382917">
        <w:t>a</w:t>
      </w:r>
      <w:r w:rsidR="00EE4FC3">
        <w:t xml:space="preserve"> </w:t>
      </w:r>
      <w:r w:rsidRPr="00382917">
        <w:t>scratch.</w:t>
      </w:r>
      <w:r w:rsidR="009C713D" w:rsidRPr="00382917">
        <w:t>”</w:t>
      </w:r>
      <w:r w:rsidR="005415D8">
        <w:rPr>
          <w:rStyle w:val="FootnoteReference"/>
        </w:rPr>
        <w:footnoteReference w:id="257"/>
      </w:r>
    </w:p>
    <w:p w:rsidR="001B6670" w:rsidRPr="00382917" w:rsidRDefault="001B6670" w:rsidP="00775809">
      <w:pPr>
        <w:pStyle w:val="Text"/>
      </w:pPr>
      <w:r w:rsidRPr="00382917">
        <w:t>The</w:t>
      </w:r>
      <w:r w:rsidR="00EE4FC3">
        <w:t xml:space="preserve"> </w:t>
      </w:r>
      <w:r w:rsidRPr="00382917">
        <w:t>frenzied</w:t>
      </w:r>
      <w:r w:rsidR="00EE4FC3">
        <w:t xml:space="preserve"> </w:t>
      </w:r>
      <w:r w:rsidRPr="00382917">
        <w:t>search</w:t>
      </w:r>
      <w:r w:rsidR="00EE4FC3">
        <w:t xml:space="preserve"> </w:t>
      </w:r>
      <w:r w:rsidRPr="00382917">
        <w:t>by</w:t>
      </w:r>
      <w:r w:rsidR="00EE4FC3">
        <w:t xml:space="preserve"> </w:t>
      </w:r>
      <w:r w:rsidRPr="00382917">
        <w:t>the</w:t>
      </w:r>
      <w:r w:rsidR="00EE4FC3">
        <w:t xml:space="preserve"> </w:t>
      </w:r>
      <w:r w:rsidRPr="00382917">
        <w:t>authorities</w:t>
      </w:r>
      <w:r w:rsidR="00EE4FC3">
        <w:t xml:space="preserve"> </w:t>
      </w:r>
      <w:r w:rsidRPr="00382917">
        <w:t>for</w:t>
      </w:r>
      <w:r w:rsidR="00EE4FC3">
        <w:t xml:space="preserve"> </w:t>
      </w:r>
      <w:r w:rsidRPr="00382917">
        <w:t>the</w:t>
      </w:r>
      <w:r w:rsidR="00EE4FC3">
        <w:t xml:space="preserve"> </w:t>
      </w:r>
      <w:r w:rsidRPr="00382917">
        <w:t>Báb</w:t>
      </w:r>
      <w:r w:rsidR="00EE4FC3">
        <w:t xml:space="preserve"> </w:t>
      </w:r>
      <w:r w:rsidRPr="00382917">
        <w:t>came</w:t>
      </w:r>
      <w:r w:rsidR="00EE4FC3">
        <w:t xml:space="preserve"> </w:t>
      </w:r>
      <w:r w:rsidRPr="00382917">
        <w:t>to</w:t>
      </w:r>
      <w:r w:rsidR="00EE4FC3">
        <w:t xml:space="preserve"> </w:t>
      </w:r>
      <w:r w:rsidRPr="00382917">
        <w:t>an</w:t>
      </w:r>
      <w:r w:rsidR="00EE4FC3">
        <w:t xml:space="preserve"> </w:t>
      </w:r>
      <w:r w:rsidRPr="00382917">
        <w:t>end</w:t>
      </w:r>
      <w:r w:rsidR="00EE4FC3">
        <w:t xml:space="preserve"> </w:t>
      </w:r>
      <w:r w:rsidRPr="00382917">
        <w:t>within</w:t>
      </w:r>
      <w:r w:rsidR="00EE4FC3">
        <w:t xml:space="preserve"> </w:t>
      </w:r>
      <w:r w:rsidRPr="00382917">
        <w:t>but</w:t>
      </w:r>
      <w:r w:rsidR="00EE4FC3">
        <w:t xml:space="preserve"> </w:t>
      </w:r>
      <w:r w:rsidRPr="00382917">
        <w:t>a</w:t>
      </w:r>
      <w:r w:rsidR="00EE4FC3">
        <w:t xml:space="preserve"> </w:t>
      </w:r>
      <w:r w:rsidRPr="00382917">
        <w:t>few</w:t>
      </w:r>
      <w:r w:rsidR="00EE4FC3">
        <w:t xml:space="preserve"> </w:t>
      </w:r>
      <w:r w:rsidRPr="00382917">
        <w:t>feet</w:t>
      </w:r>
      <w:r w:rsidR="00EE4FC3">
        <w:t xml:space="preserve"> </w:t>
      </w:r>
      <w:r w:rsidRPr="00382917">
        <w:t>of</w:t>
      </w:r>
      <w:r w:rsidR="00EE4FC3">
        <w:t xml:space="preserve"> </w:t>
      </w:r>
      <w:r w:rsidRPr="00382917">
        <w:t>the</w:t>
      </w:r>
      <w:r w:rsidR="00EE4FC3">
        <w:t xml:space="preserve"> </w:t>
      </w:r>
      <w:r w:rsidRPr="00382917">
        <w:t>execution</w:t>
      </w:r>
      <w:r w:rsidR="00EE4FC3">
        <w:t xml:space="preserve"> </w:t>
      </w:r>
      <w:r w:rsidRPr="00382917">
        <w:t>post</w:t>
      </w:r>
      <w:r w:rsidR="00330AF7">
        <w:t>.</w:t>
      </w:r>
      <w:r w:rsidR="00EE4FC3">
        <w:t xml:space="preserve">  </w:t>
      </w:r>
      <w:r w:rsidRPr="00382917">
        <w:t>They</w:t>
      </w:r>
      <w:r w:rsidR="00EE4FC3">
        <w:t xml:space="preserve"> </w:t>
      </w:r>
      <w:r w:rsidRPr="00382917">
        <w:t>found</w:t>
      </w:r>
      <w:r w:rsidR="00EE4FC3">
        <w:t xml:space="preserve"> </w:t>
      </w:r>
      <w:r w:rsidRPr="00382917">
        <w:t>Him</w:t>
      </w:r>
      <w:r w:rsidR="00EE4FC3">
        <w:t xml:space="preserve"> </w:t>
      </w:r>
      <w:r w:rsidRPr="00382917">
        <w:t>back</w:t>
      </w:r>
      <w:r w:rsidR="00EE4FC3">
        <w:t xml:space="preserve"> </w:t>
      </w:r>
      <w:r w:rsidRPr="00382917">
        <w:t>in</w:t>
      </w:r>
      <w:r w:rsidR="00EE4FC3">
        <w:t xml:space="preserve"> </w:t>
      </w:r>
      <w:r w:rsidRPr="00382917">
        <w:t>His</w:t>
      </w:r>
      <w:r w:rsidR="00EE4FC3">
        <w:t xml:space="preserve"> </w:t>
      </w:r>
      <w:r w:rsidRPr="00382917">
        <w:t>cell</w:t>
      </w:r>
      <w:r w:rsidR="00EE4FC3">
        <w:t xml:space="preserve"> </w:t>
      </w:r>
      <w:r w:rsidRPr="00382917">
        <w:t>in</w:t>
      </w:r>
      <w:r w:rsidR="00EE4FC3">
        <w:t xml:space="preserve"> </w:t>
      </w:r>
      <w:r w:rsidRPr="00382917">
        <w:t>the</w:t>
      </w:r>
      <w:r w:rsidR="00EE4FC3">
        <w:t xml:space="preserve"> </w:t>
      </w:r>
      <w:r w:rsidRPr="00382917">
        <w:t>barracks,</w:t>
      </w:r>
      <w:r w:rsidR="00EE4FC3">
        <w:t xml:space="preserve"> </w:t>
      </w:r>
      <w:r w:rsidRPr="00382917">
        <w:t>in</w:t>
      </w:r>
      <w:r w:rsidR="00EE4FC3">
        <w:t xml:space="preserve"> </w:t>
      </w:r>
      <w:r w:rsidRPr="00382917">
        <w:t>the</w:t>
      </w:r>
      <w:r w:rsidR="00EE4FC3">
        <w:t xml:space="preserve"> </w:t>
      </w:r>
      <w:r w:rsidRPr="00382917">
        <w:t>same</w:t>
      </w:r>
      <w:r w:rsidR="00EE4FC3">
        <w:t xml:space="preserve"> </w:t>
      </w:r>
      <w:r w:rsidRPr="00382917">
        <w:t>room</w:t>
      </w:r>
      <w:r w:rsidR="00EE4FC3">
        <w:t xml:space="preserve"> </w:t>
      </w:r>
      <w:r w:rsidRPr="00382917">
        <w:t>He</w:t>
      </w:r>
      <w:r w:rsidR="00EE4FC3">
        <w:t xml:space="preserve"> </w:t>
      </w:r>
      <w:r w:rsidRPr="00382917">
        <w:t>had</w:t>
      </w:r>
      <w:r w:rsidR="00EE4FC3">
        <w:t xml:space="preserve"> </w:t>
      </w:r>
      <w:r w:rsidRPr="00382917">
        <w:t>occupied</w:t>
      </w:r>
      <w:r w:rsidR="00EE4FC3">
        <w:t xml:space="preserve"> </w:t>
      </w:r>
      <w:r w:rsidRPr="00382917">
        <w:t>the</w:t>
      </w:r>
      <w:r w:rsidR="00EE4FC3">
        <w:t xml:space="preserve"> </w:t>
      </w:r>
      <w:r w:rsidRPr="00382917">
        <w:t>night</w:t>
      </w:r>
      <w:r w:rsidR="00EE4FC3">
        <w:t xml:space="preserve"> </w:t>
      </w:r>
      <w:r w:rsidRPr="00382917">
        <w:t>before</w:t>
      </w:r>
      <w:r w:rsidR="00330AF7">
        <w:t>.</w:t>
      </w:r>
      <w:r w:rsidR="00EE4FC3">
        <w:t xml:space="preserve">  </w:t>
      </w:r>
      <w:r w:rsidRPr="00382917">
        <w:t>He</w:t>
      </w:r>
      <w:r w:rsidR="00EE4FC3">
        <w:t xml:space="preserve"> </w:t>
      </w:r>
      <w:r w:rsidRPr="00382917">
        <w:t>was</w:t>
      </w:r>
      <w:r w:rsidR="00EE4FC3">
        <w:t xml:space="preserve"> </w:t>
      </w:r>
      <w:r w:rsidRPr="00382917">
        <w:t>completing</w:t>
      </w:r>
      <w:r w:rsidR="00EE4FC3">
        <w:t xml:space="preserve"> </w:t>
      </w:r>
      <w:r w:rsidRPr="00382917">
        <w:t>His</w:t>
      </w:r>
      <w:r w:rsidR="00EE4FC3">
        <w:t xml:space="preserve"> </w:t>
      </w:r>
      <w:r w:rsidRPr="00382917">
        <w:t>conversation</w:t>
      </w:r>
      <w:r w:rsidR="00EE4FC3">
        <w:t xml:space="preserve"> </w:t>
      </w:r>
      <w:r w:rsidRPr="00382917">
        <w:t>with</w:t>
      </w:r>
      <w:r w:rsidR="00EE4FC3">
        <w:t xml:space="preserve"> </w:t>
      </w:r>
      <w:r w:rsidRPr="00382917">
        <w:t>His</w:t>
      </w:r>
      <w:r w:rsidR="00EE4FC3">
        <w:t xml:space="preserve"> </w:t>
      </w:r>
      <w:r w:rsidRPr="00382917">
        <w:t>secretary,</w:t>
      </w:r>
      <w:r w:rsidR="00EE4FC3">
        <w:t xml:space="preserve"> </w:t>
      </w:r>
      <w:r w:rsidRPr="00382917">
        <w:t>Siyyid</w:t>
      </w:r>
      <w:r w:rsidR="00EE4FC3">
        <w:t xml:space="preserve"> </w:t>
      </w:r>
      <w:r w:rsidR="00964C11" w:rsidRPr="00382917">
        <w:t>Ḥusayn</w:t>
      </w:r>
      <w:r w:rsidR="00330AF7">
        <w:t>.</w:t>
      </w:r>
      <w:r w:rsidR="00EE4FC3">
        <w:t xml:space="preserve">  </w:t>
      </w:r>
      <w:r w:rsidRPr="00382917">
        <w:t>He</w:t>
      </w:r>
      <w:r w:rsidR="00EE4FC3">
        <w:t xml:space="preserve"> </w:t>
      </w:r>
      <w:r w:rsidRPr="00382917">
        <w:t>was</w:t>
      </w:r>
      <w:r w:rsidR="00EE4FC3">
        <w:t xml:space="preserve"> </w:t>
      </w:r>
      <w:r w:rsidRPr="00382917">
        <w:t>giving</w:t>
      </w:r>
      <w:r w:rsidR="00EE4FC3">
        <w:t xml:space="preserve"> </w:t>
      </w:r>
      <w:r w:rsidRPr="00382917">
        <w:t>to</w:t>
      </w:r>
      <w:r w:rsidR="00EE4FC3">
        <w:t xml:space="preserve"> </w:t>
      </w:r>
      <w:r w:rsidRPr="00382917">
        <w:t>him</w:t>
      </w:r>
      <w:r w:rsidR="00EE4FC3">
        <w:t xml:space="preserve"> </w:t>
      </w:r>
      <w:r w:rsidRPr="00382917">
        <w:t>those</w:t>
      </w:r>
      <w:r w:rsidR="00EE4FC3">
        <w:t xml:space="preserve"> </w:t>
      </w:r>
      <w:r w:rsidRPr="00382917">
        <w:t>final</w:t>
      </w:r>
      <w:r w:rsidR="00EE4FC3">
        <w:t xml:space="preserve"> </w:t>
      </w:r>
      <w:r w:rsidRPr="00382917">
        <w:t>instructions</w:t>
      </w:r>
      <w:r w:rsidR="00EE4FC3">
        <w:t xml:space="preserve"> </w:t>
      </w:r>
      <w:r w:rsidRPr="00382917">
        <w:t>which</w:t>
      </w:r>
      <w:r w:rsidR="00EE4FC3">
        <w:t xml:space="preserve"> </w:t>
      </w:r>
      <w:r w:rsidRPr="00382917">
        <w:t>had</w:t>
      </w:r>
      <w:r w:rsidR="00EE4FC3">
        <w:t xml:space="preserve"> </w:t>
      </w:r>
      <w:r w:rsidRPr="00382917">
        <w:t>been</w:t>
      </w:r>
      <w:r w:rsidR="00EE4FC3">
        <w:t xml:space="preserve"> </w:t>
      </w:r>
      <w:r w:rsidRPr="00382917">
        <w:t>interrupted</w:t>
      </w:r>
      <w:r w:rsidR="00EE4FC3">
        <w:t xml:space="preserve"> </w:t>
      </w:r>
      <w:r w:rsidRPr="00382917">
        <w:t>that</w:t>
      </w:r>
      <w:r w:rsidR="00EE4FC3">
        <w:t xml:space="preserve"> </w:t>
      </w:r>
      <w:r w:rsidRPr="00382917">
        <w:t>morning</w:t>
      </w:r>
      <w:r w:rsidR="00330AF7">
        <w:t>.</w:t>
      </w:r>
      <w:r w:rsidR="00EE4FC3">
        <w:t xml:space="preserve">  </w:t>
      </w:r>
      <w:r w:rsidRPr="00382917">
        <w:t>An</w:t>
      </w:r>
      <w:r w:rsidR="00EE4FC3">
        <w:t xml:space="preserve"> </w:t>
      </w:r>
      <w:r w:rsidRPr="00382917">
        <w:t>expression</w:t>
      </w:r>
      <w:r w:rsidR="00EE4FC3">
        <w:t xml:space="preserve"> </w:t>
      </w:r>
      <w:r w:rsidRPr="00382917">
        <w:t>of</w:t>
      </w:r>
      <w:r w:rsidR="00EE4FC3">
        <w:t xml:space="preserve"> </w:t>
      </w:r>
      <w:r w:rsidRPr="00382917">
        <w:t>unruffled</w:t>
      </w:r>
      <w:r w:rsidR="00EE4FC3">
        <w:t xml:space="preserve"> </w:t>
      </w:r>
      <w:r w:rsidRPr="00382917">
        <w:t>calm</w:t>
      </w:r>
      <w:r w:rsidR="00EE4FC3">
        <w:t xml:space="preserve"> </w:t>
      </w:r>
      <w:r w:rsidRPr="00382917">
        <w:t>was</w:t>
      </w:r>
      <w:r w:rsidR="00EE4FC3">
        <w:t xml:space="preserve"> </w:t>
      </w:r>
      <w:r w:rsidRPr="00382917">
        <w:t>upon</w:t>
      </w:r>
      <w:r w:rsidR="00EE4FC3">
        <w:t xml:space="preserve"> </w:t>
      </w:r>
      <w:r w:rsidRPr="00382917">
        <w:t>His</w:t>
      </w:r>
      <w:r w:rsidR="00EE4FC3">
        <w:t xml:space="preserve"> </w:t>
      </w:r>
      <w:r w:rsidRPr="00382917">
        <w:t>face</w:t>
      </w:r>
      <w:r w:rsidR="00330AF7">
        <w:t>.</w:t>
      </w:r>
      <w:r w:rsidR="00EE4FC3">
        <w:t xml:space="preserve">  </w:t>
      </w:r>
      <w:r w:rsidRPr="00382917">
        <w:t>His</w:t>
      </w:r>
      <w:r w:rsidR="00EE4FC3">
        <w:t xml:space="preserve"> </w:t>
      </w:r>
      <w:r w:rsidRPr="00382917">
        <w:t>body,</w:t>
      </w:r>
      <w:r w:rsidR="00EE4FC3">
        <w:t xml:space="preserve"> </w:t>
      </w:r>
      <w:r w:rsidRPr="00382917">
        <w:t>obviously,</w:t>
      </w:r>
      <w:r w:rsidR="00EE4FC3">
        <w:t xml:space="preserve"> </w:t>
      </w:r>
      <w:r w:rsidRPr="00382917">
        <w:t>had</w:t>
      </w:r>
      <w:r w:rsidR="00EE4FC3">
        <w:t xml:space="preserve"> </w:t>
      </w:r>
      <w:r w:rsidRPr="00382917">
        <w:t>emerged</w:t>
      </w:r>
      <w:r w:rsidR="00EE4FC3">
        <w:t xml:space="preserve"> </w:t>
      </w:r>
      <w:r w:rsidRPr="00382917">
        <w:t>unscathed</w:t>
      </w:r>
      <w:r w:rsidR="00EE4FC3">
        <w:t xml:space="preserve"> </w:t>
      </w:r>
      <w:r w:rsidRPr="00382917">
        <w:t>from</w:t>
      </w:r>
      <w:r w:rsidR="00EE4FC3">
        <w:t xml:space="preserve"> </w:t>
      </w:r>
      <w:r w:rsidRPr="00382917">
        <w:t>the</w:t>
      </w:r>
      <w:r w:rsidR="00EE4FC3">
        <w:t xml:space="preserve"> </w:t>
      </w:r>
      <w:r w:rsidRPr="00382917">
        <w:t>shower</w:t>
      </w:r>
      <w:r w:rsidR="00EE4FC3">
        <w:t xml:space="preserve"> </w:t>
      </w:r>
      <w:r w:rsidRPr="00382917">
        <w:t>of</w:t>
      </w:r>
      <w:r w:rsidR="00EE4FC3">
        <w:t xml:space="preserve"> </w:t>
      </w:r>
      <w:r w:rsidRPr="00382917">
        <w:t>bullets.</w:t>
      </w:r>
    </w:p>
    <w:p w:rsidR="001B6670" w:rsidRPr="00382917" w:rsidRDefault="001B6670" w:rsidP="00775809">
      <w:pPr>
        <w:pStyle w:val="Text"/>
      </w:pPr>
      <w:r w:rsidRPr="00382917">
        <w:t>The</w:t>
      </w:r>
      <w:r w:rsidR="00EE4FC3">
        <w:t xml:space="preserve"> </w:t>
      </w:r>
      <w:r w:rsidRPr="00382917">
        <w:t>Báb</w:t>
      </w:r>
      <w:r w:rsidR="00EE4FC3">
        <w:t xml:space="preserve"> </w:t>
      </w:r>
      <w:r w:rsidRPr="00382917">
        <w:t>looked</w:t>
      </w:r>
      <w:r w:rsidR="00EE4FC3">
        <w:t xml:space="preserve"> </w:t>
      </w:r>
      <w:r w:rsidRPr="00382917">
        <w:t>at</w:t>
      </w:r>
      <w:r w:rsidR="00EE4FC3">
        <w:t xml:space="preserve"> </w:t>
      </w:r>
      <w:r w:rsidRPr="00382917">
        <w:t>the</w:t>
      </w:r>
      <w:r w:rsidR="00EE4FC3">
        <w:t xml:space="preserve"> </w:t>
      </w:r>
      <w:r w:rsidRPr="00382917">
        <w:t>chief-attendant</w:t>
      </w:r>
      <w:r w:rsidR="00EE4FC3">
        <w:t xml:space="preserve"> </w:t>
      </w:r>
      <w:r w:rsidRPr="00382917">
        <w:t>and</w:t>
      </w:r>
      <w:r w:rsidR="00EE4FC3">
        <w:t xml:space="preserve"> </w:t>
      </w:r>
      <w:r w:rsidRPr="00382917">
        <w:t>smiled.</w:t>
      </w:r>
    </w:p>
    <w:p w:rsidR="001B6670" w:rsidRPr="00382917" w:rsidRDefault="009C713D" w:rsidP="00775809">
      <w:pPr>
        <w:pStyle w:val="Text"/>
      </w:pPr>
      <w:r w:rsidRPr="00382917">
        <w:t>“</w:t>
      </w:r>
      <w:r w:rsidR="001B6670" w:rsidRPr="00382917">
        <w:t>I</w:t>
      </w:r>
      <w:r w:rsidR="00EE4FC3">
        <w:t xml:space="preserve"> </w:t>
      </w:r>
      <w:r w:rsidR="001B6670" w:rsidRPr="00382917">
        <w:t>have</w:t>
      </w:r>
      <w:r w:rsidR="00EE4FC3">
        <w:t xml:space="preserve"> </w:t>
      </w:r>
      <w:r w:rsidR="001B6670" w:rsidRPr="00382917">
        <w:t>finished</w:t>
      </w:r>
      <w:r w:rsidR="00EE4FC3">
        <w:t xml:space="preserve"> </w:t>
      </w:r>
      <w:proofErr w:type="gramStart"/>
      <w:r w:rsidR="001B6670" w:rsidRPr="00382917">
        <w:t>My</w:t>
      </w:r>
      <w:proofErr w:type="gramEnd"/>
      <w:r w:rsidR="00EE4FC3">
        <w:t xml:space="preserve"> </w:t>
      </w:r>
      <w:r w:rsidR="001B6670" w:rsidRPr="00382917">
        <w:t>conversation,</w:t>
      </w:r>
      <w:r w:rsidRPr="00382917">
        <w:t>”</w:t>
      </w:r>
      <w:r w:rsidR="00EE4FC3">
        <w:t xml:space="preserve"> </w:t>
      </w:r>
      <w:r w:rsidR="001B6670" w:rsidRPr="00382917">
        <w:t>He</w:t>
      </w:r>
      <w:r w:rsidR="00EE4FC3">
        <w:t xml:space="preserve"> </w:t>
      </w:r>
      <w:r w:rsidR="001B6670" w:rsidRPr="00382917">
        <w:t>said</w:t>
      </w:r>
      <w:r w:rsidR="00330AF7">
        <w:t>.</w:t>
      </w:r>
      <w:r w:rsidR="00EE4FC3">
        <w:t xml:space="preserve">  </w:t>
      </w:r>
      <w:r w:rsidRPr="00382917">
        <w:t>“</w:t>
      </w:r>
      <w:r w:rsidR="001B6670" w:rsidRPr="00382917">
        <w:t>You</w:t>
      </w:r>
      <w:r w:rsidR="00EE4FC3">
        <w:t xml:space="preserve"> </w:t>
      </w:r>
      <w:r w:rsidR="001B6670" w:rsidRPr="00382917">
        <w:t>may</w:t>
      </w:r>
      <w:r w:rsidR="00EE4FC3">
        <w:t xml:space="preserve"> </w:t>
      </w:r>
      <w:r w:rsidR="001B6670" w:rsidRPr="00382917">
        <w:t>now</w:t>
      </w:r>
      <w:r w:rsidR="00EE4FC3">
        <w:t xml:space="preserve"> </w:t>
      </w:r>
      <w:r w:rsidR="001B6670" w:rsidRPr="00382917">
        <w:t>proceed</w:t>
      </w:r>
      <w:r w:rsidR="00EE4FC3">
        <w:t xml:space="preserve"> </w:t>
      </w:r>
      <w:r w:rsidR="001B6670" w:rsidRPr="00382917">
        <w:t>to</w:t>
      </w:r>
      <w:r w:rsidR="00EE4FC3">
        <w:t xml:space="preserve"> </w:t>
      </w:r>
      <w:proofErr w:type="spellStart"/>
      <w:r w:rsidR="001B6670" w:rsidRPr="00382917">
        <w:t>fulfill</w:t>
      </w:r>
      <w:proofErr w:type="spellEnd"/>
      <w:r w:rsidR="00EE4FC3">
        <w:t xml:space="preserve"> </w:t>
      </w:r>
      <w:r w:rsidR="001B6670" w:rsidRPr="00382917">
        <w:t>your</w:t>
      </w:r>
      <w:r w:rsidR="00EE4FC3">
        <w:t xml:space="preserve"> </w:t>
      </w:r>
      <w:r w:rsidR="001B6670" w:rsidRPr="00382917">
        <w:t>duty.</w:t>
      </w:r>
      <w:r w:rsidRPr="00382917">
        <w:t>”</w:t>
      </w:r>
    </w:p>
    <w:p w:rsidR="001B6670" w:rsidRPr="00382917" w:rsidRDefault="001B6670" w:rsidP="006225E8">
      <w:pPr>
        <w:pStyle w:val="Text"/>
      </w:pPr>
      <w:r w:rsidRPr="00382917">
        <w:t>The</w:t>
      </w:r>
      <w:r w:rsidR="00EE4FC3">
        <w:t xml:space="preserve"> </w:t>
      </w:r>
      <w:r w:rsidRPr="00382917">
        <w:t>chief-attendant</w:t>
      </w:r>
      <w:r w:rsidR="00EE4FC3">
        <w:t xml:space="preserve"> </w:t>
      </w:r>
      <w:r w:rsidRPr="00382917">
        <w:t>was</w:t>
      </w:r>
      <w:r w:rsidR="00EE4FC3">
        <w:t xml:space="preserve"> </w:t>
      </w:r>
      <w:r w:rsidRPr="00382917">
        <w:t>much</w:t>
      </w:r>
      <w:r w:rsidR="00EE4FC3">
        <w:t xml:space="preserve"> </w:t>
      </w:r>
      <w:r w:rsidRPr="00382917">
        <w:t>too</w:t>
      </w:r>
      <w:r w:rsidR="00EE4FC3">
        <w:t xml:space="preserve"> </w:t>
      </w:r>
      <w:r w:rsidRPr="00382917">
        <w:t>disturbed</w:t>
      </w:r>
      <w:r w:rsidR="00EE4FC3">
        <w:t xml:space="preserve"> </w:t>
      </w:r>
      <w:r w:rsidRPr="00382917">
        <w:t>to</w:t>
      </w:r>
      <w:r w:rsidR="00EE4FC3">
        <w:t xml:space="preserve"> </w:t>
      </w:r>
      <w:r w:rsidRPr="00382917">
        <w:t>resume</w:t>
      </w:r>
      <w:r w:rsidR="00EE4FC3">
        <w:t xml:space="preserve"> </w:t>
      </w:r>
      <w:r w:rsidRPr="00382917">
        <w:t>his</w:t>
      </w:r>
      <w:r w:rsidR="00EE4FC3">
        <w:t xml:space="preserve"> </w:t>
      </w:r>
      <w:r w:rsidRPr="00382917">
        <w:t>duties</w:t>
      </w:r>
      <w:r w:rsidR="00330AF7">
        <w:t>.</w:t>
      </w:r>
      <w:r w:rsidR="00EE4FC3">
        <w:t xml:space="preserve">  </w:t>
      </w:r>
      <w:r w:rsidRPr="00382917">
        <w:t>He</w:t>
      </w:r>
      <w:r w:rsidR="00EE4FC3">
        <w:t xml:space="preserve"> </w:t>
      </w:r>
      <w:r w:rsidRPr="00382917">
        <w:t>recalled</w:t>
      </w:r>
      <w:r w:rsidR="00EE4FC3">
        <w:t xml:space="preserve"> </w:t>
      </w:r>
      <w:r w:rsidRPr="00382917">
        <w:t>vividly</w:t>
      </w:r>
      <w:r w:rsidR="00EE4FC3">
        <w:t xml:space="preserve"> </w:t>
      </w:r>
      <w:r w:rsidRPr="00382917">
        <w:t>the</w:t>
      </w:r>
      <w:r w:rsidR="00EE4FC3">
        <w:t xml:space="preserve"> </w:t>
      </w:r>
      <w:r w:rsidRPr="00382917">
        <w:t>words</w:t>
      </w:r>
      <w:r w:rsidR="00EE4FC3">
        <w:t xml:space="preserve"> </w:t>
      </w:r>
      <w:r w:rsidRPr="00382917">
        <w:t>with</w:t>
      </w:r>
      <w:r w:rsidR="00EE4FC3">
        <w:t xml:space="preserve"> </w:t>
      </w:r>
      <w:r w:rsidRPr="00382917">
        <w:t>which</w:t>
      </w:r>
      <w:r w:rsidR="00EE4FC3">
        <w:t xml:space="preserve"> </w:t>
      </w:r>
      <w:r w:rsidRPr="00382917">
        <w:t>the</w:t>
      </w:r>
      <w:r w:rsidR="00EE4FC3">
        <w:t xml:space="preserve"> </w:t>
      </w:r>
      <w:r w:rsidRPr="00382917">
        <w:t>Báb</w:t>
      </w:r>
      <w:r w:rsidR="00EE4FC3">
        <w:t xml:space="preserve"> </w:t>
      </w:r>
      <w:r w:rsidRPr="00382917">
        <w:t>had</w:t>
      </w:r>
      <w:r w:rsidR="00EE4FC3">
        <w:t xml:space="preserve"> </w:t>
      </w:r>
      <w:r w:rsidRPr="00382917">
        <w:t>rebuked</w:t>
      </w:r>
      <w:r w:rsidR="00EE4FC3">
        <w:t xml:space="preserve"> </w:t>
      </w:r>
      <w:r w:rsidRPr="00382917">
        <w:t>him</w:t>
      </w:r>
      <w:r w:rsidR="00EE4FC3">
        <w:t xml:space="preserve"> </w:t>
      </w:r>
      <w:r w:rsidRPr="00382917">
        <w:t>when</w:t>
      </w:r>
      <w:r w:rsidR="00EE4FC3">
        <w:t xml:space="preserve"> </w:t>
      </w:r>
      <w:r w:rsidRPr="00382917">
        <w:t>he</w:t>
      </w:r>
      <w:r w:rsidR="00EE4FC3">
        <w:t xml:space="preserve"> </w:t>
      </w:r>
      <w:r w:rsidRPr="00382917">
        <w:t>had</w:t>
      </w:r>
      <w:r w:rsidR="00EE4FC3">
        <w:t xml:space="preserve"> </w:t>
      </w:r>
      <w:r w:rsidRPr="00382917">
        <w:t>interrupted</w:t>
      </w:r>
      <w:r w:rsidR="00EE4FC3">
        <w:t xml:space="preserve"> </w:t>
      </w:r>
      <w:r w:rsidRPr="00382917">
        <w:t>that</w:t>
      </w:r>
      <w:r w:rsidR="00EE4FC3">
        <w:t xml:space="preserve"> </w:t>
      </w:r>
      <w:r w:rsidRPr="00382917">
        <w:t>conversation</w:t>
      </w:r>
      <w:r w:rsidR="00C03C91">
        <w:t>:</w:t>
      </w:r>
      <w:r w:rsidR="00EE4FC3">
        <w:t xml:space="preserve">  </w:t>
      </w:r>
      <w:r w:rsidR="009C713D" w:rsidRPr="00382917">
        <w:t>“</w:t>
      </w:r>
      <w:r w:rsidRPr="00382917">
        <w:t>Though</w:t>
      </w:r>
      <w:r w:rsidR="00EE4FC3">
        <w:t xml:space="preserve"> </w:t>
      </w:r>
      <w:proofErr w:type="gramStart"/>
      <w:r w:rsidRPr="00382917">
        <w:t>all</w:t>
      </w:r>
      <w:r w:rsidR="00EE4FC3">
        <w:t xml:space="preserve"> </w:t>
      </w:r>
      <w:r w:rsidRPr="00382917">
        <w:t>the</w:t>
      </w:r>
      <w:proofErr w:type="gramEnd"/>
      <w:r w:rsidR="00EE4FC3">
        <w:t xml:space="preserve"> </w:t>
      </w:r>
      <w:r w:rsidRPr="00382917">
        <w:t>world</w:t>
      </w:r>
      <w:r w:rsidR="00EE4FC3">
        <w:t xml:space="preserve"> </w:t>
      </w:r>
      <w:r w:rsidRPr="00382917">
        <w:t>be</w:t>
      </w:r>
      <w:r w:rsidR="00EE4FC3">
        <w:t xml:space="preserve"> </w:t>
      </w:r>
      <w:r w:rsidRPr="00382917">
        <w:t>armed</w:t>
      </w:r>
      <w:r w:rsidR="00EE4FC3">
        <w:t xml:space="preserve"> </w:t>
      </w:r>
      <w:r w:rsidRPr="00382917">
        <w:t>against</w:t>
      </w:r>
      <w:r w:rsidR="00EE4FC3">
        <w:t xml:space="preserve"> </w:t>
      </w:r>
      <w:r w:rsidRPr="00382917">
        <w:t>Me,</w:t>
      </w:r>
      <w:r w:rsidR="00EE4FC3">
        <w:t xml:space="preserve"> </w:t>
      </w:r>
      <w:r w:rsidRPr="00382917">
        <w:t>yet</w:t>
      </w:r>
      <w:r w:rsidR="00EE4FC3">
        <w:t xml:space="preserve"> </w:t>
      </w:r>
      <w:r w:rsidRPr="00382917">
        <w:t>shall</w:t>
      </w:r>
      <w:r w:rsidR="00EE4FC3">
        <w:t xml:space="preserve"> </w:t>
      </w:r>
      <w:r w:rsidRPr="00382917">
        <w:t>they</w:t>
      </w:r>
      <w:r w:rsidR="00EE4FC3">
        <w:t xml:space="preserve"> </w:t>
      </w:r>
      <w:r w:rsidRPr="00382917">
        <w:t>be</w:t>
      </w:r>
      <w:r w:rsidR="00EE4FC3">
        <w:t xml:space="preserve"> </w:t>
      </w:r>
      <w:r w:rsidRPr="00382917">
        <w:t>powerless</w:t>
      </w:r>
      <w:r w:rsidR="00EE4FC3">
        <w:t xml:space="preserve"> </w:t>
      </w:r>
      <w:r w:rsidRPr="00382917">
        <w:t>to</w:t>
      </w:r>
      <w:r w:rsidR="00EE4FC3">
        <w:t xml:space="preserve"> </w:t>
      </w:r>
      <w:r w:rsidRPr="00382917">
        <w:t>deter</w:t>
      </w:r>
      <w:r w:rsidR="00EE4FC3">
        <w:t xml:space="preserve"> </w:t>
      </w:r>
      <w:r w:rsidRPr="00382917">
        <w:t>Me</w:t>
      </w:r>
      <w:r w:rsidR="00EE4FC3">
        <w:t xml:space="preserve"> </w:t>
      </w:r>
      <w:r w:rsidRPr="00382917">
        <w:t>from</w:t>
      </w:r>
      <w:r w:rsidR="00EE4FC3">
        <w:t xml:space="preserve"> </w:t>
      </w:r>
      <w:r w:rsidRPr="00382917">
        <w:t>fulfilling,</w:t>
      </w:r>
      <w:r w:rsidR="00EE4FC3">
        <w:t xml:space="preserve"> </w:t>
      </w:r>
      <w:r w:rsidRPr="00382917">
        <w:t>to</w:t>
      </w:r>
      <w:r w:rsidR="00EE4FC3">
        <w:t xml:space="preserve"> </w:t>
      </w:r>
      <w:r w:rsidRPr="00382917">
        <w:t>the</w:t>
      </w:r>
      <w:r w:rsidR="00EE4FC3">
        <w:t xml:space="preserve"> </w:t>
      </w:r>
      <w:r w:rsidRPr="00382917">
        <w:t>last</w:t>
      </w:r>
      <w:r w:rsidR="00EE4FC3">
        <w:t xml:space="preserve"> </w:t>
      </w:r>
      <w:r w:rsidRPr="00382917">
        <w:t>word,</w:t>
      </w:r>
      <w:r w:rsidR="00EE4FC3">
        <w:t xml:space="preserve"> </w:t>
      </w:r>
      <w:r w:rsidRPr="00382917">
        <w:t>My</w:t>
      </w:r>
      <w:r w:rsidR="00EE4FC3">
        <w:t xml:space="preserve"> </w:t>
      </w:r>
      <w:r w:rsidRPr="00382917">
        <w:t>intention.</w:t>
      </w:r>
      <w:r w:rsidR="009C713D" w:rsidRPr="00382917">
        <w:t>”</w:t>
      </w:r>
    </w:p>
    <w:p w:rsidR="001B6670" w:rsidRPr="00382917" w:rsidRDefault="001B6670" w:rsidP="00775809">
      <w:pPr>
        <w:pStyle w:val="Text"/>
      </w:pPr>
      <w:r w:rsidRPr="00382917">
        <w:t>The</w:t>
      </w:r>
      <w:r w:rsidR="00EE4FC3">
        <w:t xml:space="preserve"> </w:t>
      </w:r>
      <w:r w:rsidRPr="00382917">
        <w:t>chief-attendant</w:t>
      </w:r>
      <w:r w:rsidR="00EE4FC3">
        <w:t xml:space="preserve"> </w:t>
      </w:r>
      <w:r w:rsidRPr="00382917">
        <w:t>refused</w:t>
      </w:r>
      <w:r w:rsidR="00EE4FC3">
        <w:t xml:space="preserve"> </w:t>
      </w:r>
      <w:r w:rsidRPr="00382917">
        <w:t>to</w:t>
      </w:r>
      <w:r w:rsidR="00EE4FC3">
        <w:t xml:space="preserve"> </w:t>
      </w:r>
      <w:r w:rsidRPr="00382917">
        <w:t>continue</w:t>
      </w:r>
      <w:r w:rsidR="00EE4FC3">
        <w:t xml:space="preserve"> </w:t>
      </w:r>
      <w:r w:rsidRPr="00382917">
        <w:t>with</w:t>
      </w:r>
      <w:r w:rsidR="00EE4FC3">
        <w:t xml:space="preserve"> </w:t>
      </w:r>
      <w:r w:rsidRPr="00382917">
        <w:t>any</w:t>
      </w:r>
      <w:r w:rsidR="00EE4FC3">
        <w:t xml:space="preserve"> </w:t>
      </w:r>
      <w:r w:rsidRPr="00382917">
        <w:t>part</w:t>
      </w:r>
      <w:r w:rsidR="00EE4FC3">
        <w:t xml:space="preserve"> </w:t>
      </w:r>
      <w:r w:rsidRPr="00382917">
        <w:t>of</w:t>
      </w:r>
      <w:r w:rsidR="00EE4FC3">
        <w:t xml:space="preserve"> </w:t>
      </w:r>
      <w:r w:rsidRPr="00382917">
        <w:t>the</w:t>
      </w:r>
      <w:r w:rsidR="00EE4FC3">
        <w:t xml:space="preserve"> </w:t>
      </w:r>
      <w:r w:rsidRPr="00382917">
        <w:t>execution</w:t>
      </w:r>
      <w:r w:rsidR="00330AF7">
        <w:t>.</w:t>
      </w:r>
      <w:r w:rsidR="00EE4FC3">
        <w:t xml:space="preserve">  </w:t>
      </w:r>
      <w:r w:rsidRPr="00382917">
        <w:t>He</w:t>
      </w:r>
      <w:r w:rsidR="00EE4FC3">
        <w:t xml:space="preserve"> </w:t>
      </w:r>
      <w:r w:rsidRPr="00382917">
        <w:t>left</w:t>
      </w:r>
      <w:r w:rsidR="00EE4FC3">
        <w:t xml:space="preserve"> </w:t>
      </w:r>
      <w:r w:rsidRPr="00382917">
        <w:t>the</w:t>
      </w:r>
      <w:r w:rsidR="00EE4FC3">
        <w:t xml:space="preserve"> </w:t>
      </w:r>
      <w:r w:rsidRPr="00382917">
        <w:t>scene</w:t>
      </w:r>
      <w:r w:rsidR="00EE4FC3">
        <w:t xml:space="preserve"> </w:t>
      </w:r>
      <w:r w:rsidRPr="00382917">
        <w:t>of</w:t>
      </w:r>
      <w:r w:rsidR="00EE4FC3">
        <w:t xml:space="preserve"> </w:t>
      </w:r>
      <w:r w:rsidRPr="00382917">
        <w:t>that</w:t>
      </w:r>
      <w:r w:rsidR="00EE4FC3">
        <w:t xml:space="preserve"> </w:t>
      </w:r>
      <w:r w:rsidRPr="00382917">
        <w:t>barracks</w:t>
      </w:r>
      <w:r w:rsidR="00EE4FC3">
        <w:t xml:space="preserve"> </w:t>
      </w:r>
      <w:r w:rsidRPr="00382917">
        <w:t>cell</w:t>
      </w:r>
      <w:r w:rsidR="00EE4FC3">
        <w:t xml:space="preserve"> </w:t>
      </w:r>
      <w:r w:rsidRPr="00382917">
        <w:t>shaken</w:t>
      </w:r>
      <w:r w:rsidR="00EE4FC3">
        <w:t xml:space="preserve"> </w:t>
      </w:r>
      <w:r w:rsidRPr="00382917">
        <w:t>to</w:t>
      </w:r>
      <w:r w:rsidR="00EE4FC3">
        <w:t xml:space="preserve"> </w:t>
      </w:r>
      <w:r w:rsidRPr="00382917">
        <w:t>the</w:t>
      </w:r>
      <w:r w:rsidR="00EE4FC3">
        <w:t xml:space="preserve"> </w:t>
      </w:r>
      <w:r w:rsidRPr="00382917">
        <w:t>core</w:t>
      </w:r>
      <w:r w:rsidR="00EE4FC3">
        <w:t xml:space="preserve"> </w:t>
      </w:r>
      <w:r w:rsidRPr="00382917">
        <w:t>of</w:t>
      </w:r>
      <w:r w:rsidR="00EE4FC3">
        <w:t xml:space="preserve"> </w:t>
      </w:r>
      <w:r w:rsidRPr="00382917">
        <w:t>his</w:t>
      </w:r>
      <w:r w:rsidR="00EE4FC3">
        <w:t xml:space="preserve"> </w:t>
      </w:r>
      <w:r w:rsidRPr="00382917">
        <w:t>being</w:t>
      </w:r>
      <w:r w:rsidR="00330AF7">
        <w:t>.</w:t>
      </w:r>
      <w:r w:rsidR="00EE4FC3">
        <w:t xml:space="preserve">  </w:t>
      </w:r>
      <w:r w:rsidRPr="00382917">
        <w:t>He</w:t>
      </w:r>
      <w:r w:rsidR="00EE4FC3">
        <w:t xml:space="preserve"> </w:t>
      </w:r>
      <w:r w:rsidRPr="00382917">
        <w:t>resigned</w:t>
      </w:r>
      <w:r w:rsidR="00EE4FC3">
        <w:t xml:space="preserve"> </w:t>
      </w:r>
      <w:r w:rsidRPr="00382917">
        <w:t>his</w:t>
      </w:r>
      <w:r w:rsidR="00EE4FC3">
        <w:t xml:space="preserve"> </w:t>
      </w:r>
      <w:r w:rsidRPr="00382917">
        <w:t>post</w:t>
      </w:r>
      <w:r w:rsidR="00EE4FC3">
        <w:t xml:space="preserve"> </w:t>
      </w:r>
      <w:r w:rsidRPr="00382917">
        <w:t>and</w:t>
      </w:r>
      <w:r w:rsidR="00EE4FC3">
        <w:t xml:space="preserve"> </w:t>
      </w:r>
      <w:r w:rsidRPr="00382917">
        <w:t>cut</w:t>
      </w:r>
      <w:r w:rsidR="00EE4FC3">
        <w:t xml:space="preserve"> </w:t>
      </w:r>
      <w:r w:rsidRPr="00382917">
        <w:t>himself</w:t>
      </w:r>
      <w:r w:rsidR="00EE4FC3">
        <w:t xml:space="preserve"> </w:t>
      </w:r>
      <w:r w:rsidRPr="00382917">
        <w:t>off</w:t>
      </w:r>
      <w:r w:rsidR="00EE4FC3">
        <w:t xml:space="preserve"> </w:t>
      </w:r>
      <w:r w:rsidRPr="00382917">
        <w:t>from</w:t>
      </w:r>
      <w:r w:rsidR="00EE4FC3">
        <w:t xml:space="preserve"> </w:t>
      </w:r>
      <w:r w:rsidRPr="00382917">
        <w:t>the</w:t>
      </w:r>
      <w:r w:rsidR="00EE4FC3">
        <w:t xml:space="preserve"> </w:t>
      </w:r>
      <w:r w:rsidRPr="00382917">
        <w:t>enemies</w:t>
      </w:r>
      <w:r w:rsidR="00EE4FC3">
        <w:t xml:space="preserve"> </w:t>
      </w:r>
      <w:r w:rsidRPr="00382917">
        <w:t>of</w:t>
      </w:r>
      <w:r w:rsidR="00EE4FC3">
        <w:t xml:space="preserve"> </w:t>
      </w:r>
      <w:r w:rsidRPr="00382917">
        <w:t>the</w:t>
      </w:r>
      <w:r w:rsidR="00EE4FC3">
        <w:t xml:space="preserve"> </w:t>
      </w:r>
      <w:r w:rsidRPr="00382917">
        <w:t>Báb</w:t>
      </w:r>
      <w:r w:rsidR="00EE4FC3">
        <w:t xml:space="preserve"> </w:t>
      </w:r>
      <w:r w:rsidRPr="00382917">
        <w:t>forever.</w:t>
      </w:r>
    </w:p>
    <w:p w:rsidR="001B6670" w:rsidRPr="00382917" w:rsidRDefault="001B6670" w:rsidP="00775809">
      <w:pPr>
        <w:pStyle w:val="Text"/>
      </w:pPr>
      <w:r w:rsidRPr="00382917">
        <w:t>The</w:t>
      </w:r>
      <w:r w:rsidR="00EE4FC3">
        <w:t xml:space="preserve"> </w:t>
      </w:r>
      <w:r w:rsidRPr="00382917">
        <w:t>head</w:t>
      </w:r>
      <w:r w:rsidR="00EE4FC3">
        <w:t xml:space="preserve"> </w:t>
      </w:r>
      <w:r w:rsidRPr="00382917">
        <w:t>of</w:t>
      </w:r>
      <w:r w:rsidR="00EE4FC3">
        <w:t xml:space="preserve"> </w:t>
      </w:r>
      <w:r w:rsidRPr="00382917">
        <w:t>the</w:t>
      </w:r>
      <w:r w:rsidR="00EE4FC3">
        <w:t xml:space="preserve"> </w:t>
      </w:r>
      <w:r w:rsidRPr="00382917">
        <w:t>Christian</w:t>
      </w:r>
      <w:r w:rsidR="00EE4FC3">
        <w:t xml:space="preserve"> </w:t>
      </w:r>
      <w:r w:rsidRPr="00382917">
        <w:t>regiment,</w:t>
      </w:r>
      <w:r w:rsidR="00EE4FC3">
        <w:t xml:space="preserve"> </w:t>
      </w:r>
      <w:r w:rsidRPr="00382917">
        <w:t>Sam</w:t>
      </w:r>
      <w:r w:rsidR="00EE4FC3">
        <w:t xml:space="preserve"> </w:t>
      </w:r>
      <w:r w:rsidR="0040329F" w:rsidRPr="0040329F">
        <w:rPr>
          <w:u w:val="single"/>
        </w:rPr>
        <w:t>Kh</w:t>
      </w:r>
      <w:r w:rsidR="0040329F" w:rsidRPr="00382917">
        <w:t>án</w:t>
      </w:r>
      <w:r w:rsidRPr="00382917">
        <w:t>,</w:t>
      </w:r>
      <w:r w:rsidR="00EE4FC3">
        <w:t xml:space="preserve"> </w:t>
      </w:r>
      <w:r w:rsidRPr="00382917">
        <w:t>was</w:t>
      </w:r>
      <w:r w:rsidR="00EE4FC3">
        <w:t xml:space="preserve"> </w:t>
      </w:r>
      <w:r w:rsidRPr="00382917">
        <w:t>likewise</w:t>
      </w:r>
      <w:r w:rsidR="00EE4FC3">
        <w:t xml:space="preserve"> </w:t>
      </w:r>
      <w:r w:rsidRPr="00382917">
        <w:t>stunned</w:t>
      </w:r>
      <w:r w:rsidR="00EE4FC3">
        <w:t xml:space="preserve"> </w:t>
      </w:r>
      <w:r w:rsidRPr="00382917">
        <w:t>by</w:t>
      </w:r>
      <w:r w:rsidR="00EE4FC3">
        <w:t xml:space="preserve"> </w:t>
      </w:r>
      <w:r w:rsidRPr="00382917">
        <w:t>what</w:t>
      </w:r>
      <w:r w:rsidR="00EE4FC3">
        <w:t xml:space="preserve"> </w:t>
      </w:r>
      <w:r w:rsidRPr="00382917">
        <w:t>had</w:t>
      </w:r>
      <w:r w:rsidR="00EE4FC3">
        <w:t xml:space="preserve"> </w:t>
      </w:r>
      <w:r w:rsidRPr="00382917">
        <w:t>taken</w:t>
      </w:r>
      <w:r w:rsidR="00EE4FC3">
        <w:t xml:space="preserve"> </w:t>
      </w:r>
      <w:r w:rsidRPr="00382917">
        <w:t>place</w:t>
      </w:r>
      <w:r w:rsidR="00330AF7">
        <w:t>.</w:t>
      </w:r>
      <w:r w:rsidR="00EE4FC3">
        <w:t xml:space="preserve">  </w:t>
      </w:r>
      <w:r w:rsidRPr="00382917">
        <w:t>He,</w:t>
      </w:r>
      <w:r w:rsidR="00EE4FC3">
        <w:t xml:space="preserve"> </w:t>
      </w:r>
      <w:r w:rsidRPr="00382917">
        <w:t>too,</w:t>
      </w:r>
      <w:r w:rsidR="00EE4FC3">
        <w:t xml:space="preserve"> </w:t>
      </w:r>
      <w:r w:rsidRPr="00382917">
        <w:t>remembered</w:t>
      </w:r>
      <w:r w:rsidR="00EE4FC3">
        <w:t xml:space="preserve"> </w:t>
      </w:r>
      <w:r w:rsidRPr="00382917">
        <w:t>clearly</w:t>
      </w:r>
      <w:r w:rsidR="00EE4FC3">
        <w:t xml:space="preserve"> </w:t>
      </w:r>
      <w:r w:rsidRPr="00382917">
        <w:t>the</w:t>
      </w:r>
      <w:r w:rsidR="00EE4FC3">
        <w:t xml:space="preserve"> </w:t>
      </w:r>
      <w:r w:rsidRPr="00382917">
        <w:t>words</w:t>
      </w:r>
      <w:r w:rsidR="00EE4FC3">
        <w:t xml:space="preserve"> </w:t>
      </w:r>
      <w:r w:rsidRPr="00382917">
        <w:t>which</w:t>
      </w:r>
      <w:r w:rsidR="00EE4FC3">
        <w:t xml:space="preserve"> </w:t>
      </w:r>
      <w:r w:rsidRPr="00382917">
        <w:t>the</w:t>
      </w:r>
      <w:r w:rsidR="00EE4FC3">
        <w:t xml:space="preserve"> </w:t>
      </w:r>
      <w:r w:rsidRPr="00382917">
        <w:t>Báb</w:t>
      </w:r>
      <w:r w:rsidR="00EE4FC3">
        <w:t xml:space="preserve"> </w:t>
      </w:r>
      <w:r w:rsidRPr="00382917">
        <w:t>had</w:t>
      </w:r>
      <w:r w:rsidR="00EE4FC3">
        <w:t xml:space="preserve"> </w:t>
      </w:r>
      <w:r w:rsidRPr="00382917">
        <w:t>spoken</w:t>
      </w:r>
      <w:r w:rsidR="00EE4FC3">
        <w:t xml:space="preserve"> </w:t>
      </w:r>
      <w:r w:rsidRPr="00382917">
        <w:t>to</w:t>
      </w:r>
      <w:r w:rsidR="00EE4FC3">
        <w:t xml:space="preserve"> </w:t>
      </w:r>
      <w:r w:rsidRPr="00382917">
        <w:t>him</w:t>
      </w:r>
      <w:r w:rsidR="00C03C91">
        <w:t>:</w:t>
      </w:r>
      <w:r w:rsidR="00EE4FC3">
        <w:t xml:space="preserve">  </w:t>
      </w:r>
      <w:r w:rsidR="009C713D" w:rsidRPr="00382917">
        <w:t>“</w:t>
      </w:r>
      <w:r w:rsidRPr="00382917">
        <w:t>If</w:t>
      </w:r>
      <w:r w:rsidR="00EE4FC3">
        <w:t xml:space="preserve"> </w:t>
      </w:r>
      <w:r w:rsidRPr="00382917">
        <w:t>your</w:t>
      </w:r>
      <w:r w:rsidR="00EE4FC3">
        <w:t xml:space="preserve"> </w:t>
      </w:r>
      <w:r w:rsidRPr="00382917">
        <w:t>intention</w:t>
      </w:r>
      <w:r w:rsidR="00EE4FC3">
        <w:t xml:space="preserve"> </w:t>
      </w:r>
      <w:r w:rsidRPr="00382917">
        <w:t>be</w:t>
      </w:r>
      <w:r w:rsidR="00EE4FC3">
        <w:t xml:space="preserve"> </w:t>
      </w:r>
      <w:r w:rsidRPr="00382917">
        <w:t>sincere,</w:t>
      </w:r>
      <w:r w:rsidR="00EE4FC3">
        <w:t xml:space="preserve"> </w:t>
      </w:r>
      <w:r w:rsidRPr="00382917">
        <w:t>the</w:t>
      </w:r>
      <w:r w:rsidR="00EE4FC3">
        <w:t xml:space="preserve"> </w:t>
      </w:r>
      <w:r w:rsidRPr="00382917">
        <w:t>Almighty</w:t>
      </w:r>
      <w:r w:rsidR="00EE4FC3">
        <w:t xml:space="preserve"> </w:t>
      </w:r>
      <w:r w:rsidRPr="00382917">
        <w:t>is</w:t>
      </w:r>
      <w:r w:rsidR="00EE4FC3">
        <w:t xml:space="preserve"> </w:t>
      </w:r>
      <w:r w:rsidRPr="00382917">
        <w:t>surely</w:t>
      </w:r>
      <w:r w:rsidR="00EE4FC3">
        <w:t xml:space="preserve"> </w:t>
      </w:r>
      <w:r w:rsidRPr="00382917">
        <w:t>able</w:t>
      </w:r>
      <w:r w:rsidR="00EE4FC3">
        <w:t xml:space="preserve"> </w:t>
      </w:r>
      <w:r w:rsidRPr="00382917">
        <w:t>to</w:t>
      </w:r>
      <w:r w:rsidR="00EE4FC3">
        <w:t xml:space="preserve"> </w:t>
      </w:r>
      <w:r w:rsidRPr="00382917">
        <w:t>relieve</w:t>
      </w:r>
      <w:r w:rsidR="00EE4FC3">
        <w:t xml:space="preserve"> </w:t>
      </w:r>
      <w:r w:rsidRPr="00382917">
        <w:t>you</w:t>
      </w:r>
      <w:r w:rsidR="00EE4FC3">
        <w:t xml:space="preserve"> </w:t>
      </w:r>
      <w:r w:rsidRPr="00382917">
        <w:t>from</w:t>
      </w:r>
      <w:r w:rsidR="00EE4FC3">
        <w:t xml:space="preserve"> </w:t>
      </w:r>
      <w:r w:rsidRPr="00382917">
        <w:t>your</w:t>
      </w:r>
      <w:r w:rsidR="00EE4FC3">
        <w:t xml:space="preserve"> </w:t>
      </w:r>
      <w:r w:rsidRPr="00382917">
        <w:t>perplexity.</w:t>
      </w:r>
      <w:r w:rsidR="009C713D" w:rsidRPr="00382917">
        <w:t>”</w:t>
      </w:r>
      <w:r w:rsidR="005415D8">
        <w:t xml:space="preserve"> </w:t>
      </w:r>
      <w:r w:rsidR="00EE4FC3">
        <w:t xml:space="preserve"> </w:t>
      </w:r>
      <w:r w:rsidRPr="00382917">
        <w:t>Sam</w:t>
      </w:r>
      <w:r w:rsidR="00EE4FC3">
        <w:t xml:space="preserve"> </w:t>
      </w:r>
      <w:r w:rsidR="0040329F" w:rsidRPr="0040329F">
        <w:rPr>
          <w:u w:val="single"/>
        </w:rPr>
        <w:t>Kh</w:t>
      </w:r>
      <w:r w:rsidR="0040329F" w:rsidRPr="00382917">
        <w:t>án</w:t>
      </w:r>
      <w:r w:rsidR="00EE4FC3">
        <w:t xml:space="preserve"> </w:t>
      </w:r>
      <w:r w:rsidRPr="00382917">
        <w:t>had</w:t>
      </w:r>
      <w:r w:rsidR="00EE4FC3">
        <w:t xml:space="preserve"> </w:t>
      </w:r>
      <w:r w:rsidRPr="00382917">
        <w:t>given</w:t>
      </w:r>
      <w:r w:rsidR="00EE4FC3">
        <w:t xml:space="preserve"> </w:t>
      </w:r>
      <w:r w:rsidRPr="00382917">
        <w:t>the</w:t>
      </w:r>
      <w:r w:rsidR="00EE4FC3">
        <w:t xml:space="preserve"> </w:t>
      </w:r>
      <w:r w:rsidRPr="00382917">
        <w:t>order</w:t>
      </w:r>
      <w:r w:rsidR="00EE4FC3">
        <w:t xml:space="preserve"> </w:t>
      </w:r>
      <w:r w:rsidRPr="00382917">
        <w:t>to</w:t>
      </w:r>
      <w:r w:rsidR="00EE4FC3">
        <w:t xml:space="preserve"> </w:t>
      </w:r>
      <w:r w:rsidRPr="00382917">
        <w:t>fire,</w:t>
      </w:r>
      <w:r w:rsidR="00EE4FC3">
        <w:t xml:space="preserve"> </w:t>
      </w:r>
      <w:r w:rsidRPr="00382917">
        <w:t>yet</w:t>
      </w:r>
      <w:r w:rsidR="00EE4FC3">
        <w:t xml:space="preserve"> </w:t>
      </w:r>
      <w:r w:rsidRPr="00382917">
        <w:t>the</w:t>
      </w:r>
      <w:r w:rsidR="00EE4FC3">
        <w:t xml:space="preserve"> </w:t>
      </w:r>
      <w:r w:rsidRPr="00382917">
        <w:t>Báb</w:t>
      </w:r>
      <w:r w:rsidR="00EE4FC3">
        <w:t xml:space="preserve"> </w:t>
      </w:r>
      <w:r w:rsidRPr="00382917">
        <w:t>had</w:t>
      </w:r>
      <w:r w:rsidR="00EE4FC3">
        <w:t xml:space="preserve"> </w:t>
      </w:r>
      <w:r w:rsidRPr="00382917">
        <w:t>been</w:t>
      </w:r>
      <w:r w:rsidR="00EE4FC3">
        <w:t xml:space="preserve"> </w:t>
      </w:r>
      <w:r w:rsidRPr="00382917">
        <w:t>freed</w:t>
      </w:r>
      <w:r w:rsidR="00330AF7">
        <w:t>.</w:t>
      </w:r>
      <w:r w:rsidR="00EE4FC3">
        <w:t xml:space="preserve">  </w:t>
      </w:r>
      <w:r w:rsidRPr="00382917">
        <w:t>Surely</w:t>
      </w:r>
      <w:r w:rsidR="00EE4FC3">
        <w:t xml:space="preserve"> </w:t>
      </w:r>
      <w:r w:rsidRPr="00382917">
        <w:t>the</w:t>
      </w:r>
      <w:r w:rsidR="00EE4FC3">
        <w:t xml:space="preserve"> </w:t>
      </w:r>
      <w:r w:rsidRPr="00382917">
        <w:t>Lord</w:t>
      </w:r>
      <w:r w:rsidR="00EE4FC3">
        <w:t xml:space="preserve"> </w:t>
      </w:r>
      <w:r w:rsidRPr="00382917">
        <w:t>had</w:t>
      </w:r>
      <w:r w:rsidR="00EE4FC3">
        <w:t xml:space="preserve"> </w:t>
      </w:r>
      <w:r w:rsidRPr="00382917">
        <w:t>delivered</w:t>
      </w:r>
      <w:r w:rsidR="00EE4FC3">
        <w:t xml:space="preserve"> </w:t>
      </w:r>
      <w:r w:rsidRPr="00382917">
        <w:t>him</w:t>
      </w:r>
      <w:r w:rsidR="00EE4FC3">
        <w:t xml:space="preserve"> </w:t>
      </w:r>
      <w:r w:rsidRPr="00382917">
        <w:t>from</w:t>
      </w:r>
      <w:r w:rsidR="00EE4FC3">
        <w:t xml:space="preserve"> </w:t>
      </w:r>
      <w:r w:rsidRPr="00382917">
        <w:t>the</w:t>
      </w:r>
      <w:r w:rsidR="00EE4FC3">
        <w:t xml:space="preserve"> </w:t>
      </w:r>
      <w:r w:rsidRPr="00382917">
        <w:t>need</w:t>
      </w:r>
      <w:r w:rsidR="00EE4FC3">
        <w:t xml:space="preserve"> </w:t>
      </w:r>
      <w:r w:rsidRPr="00382917">
        <w:t>to</w:t>
      </w:r>
      <w:r w:rsidR="00EE4FC3">
        <w:t xml:space="preserve"> </w:t>
      </w:r>
      <w:r w:rsidRPr="00382917">
        <w:t>shed</w:t>
      </w:r>
      <w:r w:rsidR="00EE4FC3">
        <w:t xml:space="preserve"> </w:t>
      </w:r>
      <w:r w:rsidRPr="00382917">
        <w:t>the</w:t>
      </w:r>
      <w:r w:rsidR="00EE4FC3">
        <w:t xml:space="preserve"> </w:t>
      </w:r>
      <w:r w:rsidRPr="00382917">
        <w:t>blood</w:t>
      </w:r>
      <w:r w:rsidR="00EE4FC3">
        <w:t xml:space="preserve"> </w:t>
      </w:r>
      <w:r w:rsidRPr="00382917">
        <w:t>of</w:t>
      </w:r>
      <w:r w:rsidR="00EE4FC3">
        <w:t xml:space="preserve"> </w:t>
      </w:r>
      <w:r w:rsidRPr="00382917">
        <w:t>this</w:t>
      </w:r>
      <w:r w:rsidR="00EE4FC3">
        <w:t xml:space="preserve"> </w:t>
      </w:r>
      <w:r w:rsidRPr="00382917">
        <w:t>Holy</w:t>
      </w:r>
      <w:r w:rsidR="00EE4FC3">
        <w:t xml:space="preserve"> </w:t>
      </w:r>
      <w:r w:rsidRPr="00382917">
        <w:t>Man</w:t>
      </w:r>
      <w:r w:rsidR="00330AF7">
        <w:t>.</w:t>
      </w:r>
      <w:r w:rsidR="00EE4FC3">
        <w:t xml:space="preserve">  </w:t>
      </w:r>
      <w:r w:rsidRPr="00382917">
        <w:t>He</w:t>
      </w:r>
      <w:r w:rsidR="00EE4FC3">
        <w:t xml:space="preserve"> </w:t>
      </w:r>
      <w:r w:rsidRPr="00382917">
        <w:t>would</w:t>
      </w:r>
      <w:r w:rsidR="00EE4FC3">
        <w:t xml:space="preserve"> </w:t>
      </w:r>
      <w:r w:rsidRPr="00382917">
        <w:t>not</w:t>
      </w:r>
      <w:r w:rsidR="00EE4FC3">
        <w:t xml:space="preserve"> </w:t>
      </w:r>
      <w:r w:rsidRPr="00382917">
        <w:t>go</w:t>
      </w:r>
      <w:r w:rsidR="00EE4FC3">
        <w:t xml:space="preserve"> </w:t>
      </w:r>
      <w:r w:rsidRPr="00382917">
        <w:t>on</w:t>
      </w:r>
      <w:r w:rsidR="00EE4FC3">
        <w:t xml:space="preserve"> </w:t>
      </w:r>
      <w:r w:rsidRPr="00382917">
        <w:t>with</w:t>
      </w:r>
      <w:r w:rsidR="00EE4FC3">
        <w:t xml:space="preserve"> </w:t>
      </w:r>
      <w:r w:rsidRPr="00382917">
        <w:t>the</w:t>
      </w:r>
      <w:r w:rsidR="00EE4FC3">
        <w:t xml:space="preserve"> </w:t>
      </w:r>
      <w:r w:rsidRPr="00382917">
        <w:t>execution</w:t>
      </w:r>
      <w:r w:rsidR="00330AF7">
        <w:t>.</w:t>
      </w:r>
      <w:r w:rsidR="00EE4FC3">
        <w:t xml:space="preserve">  </w:t>
      </w:r>
      <w:r w:rsidRPr="00382917">
        <w:t>Sam</w:t>
      </w:r>
      <w:r w:rsidR="00EE4FC3">
        <w:t xml:space="preserve"> </w:t>
      </w:r>
      <w:r w:rsidR="0040329F" w:rsidRPr="0040329F">
        <w:rPr>
          <w:u w:val="single"/>
        </w:rPr>
        <w:t>Kh</w:t>
      </w:r>
      <w:r w:rsidR="0040329F" w:rsidRPr="00382917">
        <w:t>án</w:t>
      </w:r>
      <w:r w:rsidR="00EE4FC3">
        <w:t xml:space="preserve"> </w:t>
      </w:r>
      <w:r w:rsidRPr="00382917">
        <w:t>ordered</w:t>
      </w:r>
      <w:r w:rsidR="00EE4FC3">
        <w:t xml:space="preserve"> </w:t>
      </w:r>
      <w:r w:rsidRPr="00382917">
        <w:t>his</w:t>
      </w:r>
      <w:r w:rsidR="00EE4FC3">
        <w:t xml:space="preserve"> </w:t>
      </w:r>
      <w:r w:rsidRPr="00382917">
        <w:t>regiment</w:t>
      </w:r>
      <w:r w:rsidR="00EE4FC3">
        <w:t xml:space="preserve"> </w:t>
      </w:r>
      <w:r w:rsidRPr="00382917">
        <w:t>to</w:t>
      </w:r>
      <w:r w:rsidR="00EE4FC3">
        <w:t xml:space="preserve"> </w:t>
      </w:r>
      <w:r w:rsidRPr="00382917">
        <w:t>leave</w:t>
      </w:r>
      <w:r w:rsidR="00EE4FC3">
        <w:t xml:space="preserve"> </w:t>
      </w:r>
      <w:r w:rsidRPr="00382917">
        <w:t>the</w:t>
      </w:r>
      <w:r w:rsidR="00EE4FC3">
        <w:t xml:space="preserve"> </w:t>
      </w:r>
      <w:r w:rsidRPr="00382917">
        <w:t>barracks</w:t>
      </w:r>
      <w:r w:rsidR="00EE4FC3">
        <w:t xml:space="preserve"> </w:t>
      </w:r>
      <w:r w:rsidRPr="00382917">
        <w:t>square</w:t>
      </w:r>
      <w:r w:rsidR="00EE4FC3">
        <w:t xml:space="preserve"> </w:t>
      </w:r>
      <w:r w:rsidRPr="00382917">
        <w:t>immediately</w:t>
      </w:r>
      <w:r w:rsidR="00330AF7">
        <w:t>.</w:t>
      </w:r>
      <w:r w:rsidR="00EE4FC3">
        <w:t xml:space="preserve">  </w:t>
      </w:r>
      <w:r w:rsidRPr="00382917">
        <w:t>He</w:t>
      </w:r>
      <w:r w:rsidR="00EE4FC3">
        <w:t xml:space="preserve"> </w:t>
      </w:r>
      <w:r w:rsidRPr="00382917">
        <w:t>told</w:t>
      </w:r>
      <w:r w:rsidR="00EE4FC3">
        <w:t xml:space="preserve"> </w:t>
      </w:r>
      <w:r w:rsidRPr="00382917">
        <w:t>the</w:t>
      </w:r>
      <w:r w:rsidR="00EE4FC3">
        <w:t xml:space="preserve"> </w:t>
      </w:r>
      <w:r w:rsidRPr="00382917">
        <w:t>authorities</w:t>
      </w:r>
      <w:r w:rsidR="00EE4FC3">
        <w:t xml:space="preserve"> </w:t>
      </w:r>
      <w:r w:rsidRPr="00382917">
        <w:t>plainly</w:t>
      </w:r>
      <w:r w:rsidR="00EE4FC3">
        <w:t xml:space="preserve"> </w:t>
      </w:r>
      <w:r w:rsidRPr="00382917">
        <w:t>that</w:t>
      </w:r>
      <w:r w:rsidR="00EE4FC3">
        <w:t xml:space="preserve"> </w:t>
      </w:r>
      <w:r w:rsidRPr="00382917">
        <w:t>he</w:t>
      </w:r>
      <w:r w:rsidR="00EE4FC3">
        <w:t xml:space="preserve"> </w:t>
      </w:r>
      <w:r w:rsidRPr="00382917">
        <w:t>was</w:t>
      </w:r>
      <w:r w:rsidR="00EE4FC3">
        <w:t xml:space="preserve"> </w:t>
      </w:r>
      <w:r w:rsidRPr="00382917">
        <w:t>finished</w:t>
      </w:r>
      <w:r w:rsidR="00EE4FC3">
        <w:t xml:space="preserve"> </w:t>
      </w:r>
      <w:r w:rsidRPr="00382917">
        <w:t>with</w:t>
      </w:r>
      <w:r w:rsidR="00EE4FC3">
        <w:t xml:space="preserve"> </w:t>
      </w:r>
      <w:r w:rsidRPr="00382917">
        <w:t>this</w:t>
      </w:r>
      <w:r w:rsidR="00EE4FC3">
        <w:t xml:space="preserve"> </w:t>
      </w:r>
      <w:r w:rsidRPr="00382917">
        <w:t>unjust</w:t>
      </w:r>
      <w:r w:rsidR="00EE4FC3">
        <w:t xml:space="preserve"> </w:t>
      </w:r>
      <w:r w:rsidRPr="00382917">
        <w:t>act.</w:t>
      </w:r>
    </w:p>
    <w:p w:rsidR="001B6670" w:rsidRPr="00382917" w:rsidRDefault="009C713D" w:rsidP="00775809">
      <w:pPr>
        <w:pStyle w:val="Text"/>
      </w:pPr>
      <w:r w:rsidRPr="00382917">
        <w:t>“</w:t>
      </w:r>
      <w:r w:rsidR="001B6670" w:rsidRPr="00382917">
        <w:t>I</w:t>
      </w:r>
      <w:r w:rsidR="00EE4FC3">
        <w:t xml:space="preserve"> </w:t>
      </w:r>
      <w:r w:rsidR="001B6670" w:rsidRPr="00382917">
        <w:t>refuse,</w:t>
      </w:r>
      <w:r w:rsidRPr="00382917">
        <w:t>”</w:t>
      </w:r>
      <w:r w:rsidR="00EE4FC3">
        <w:t xml:space="preserve"> </w:t>
      </w:r>
      <w:r w:rsidR="001B6670" w:rsidRPr="00382917">
        <w:t>he</w:t>
      </w:r>
      <w:r w:rsidR="00EE4FC3">
        <w:t xml:space="preserve"> </w:t>
      </w:r>
      <w:r w:rsidR="001B6670" w:rsidRPr="00382917">
        <w:t>said,</w:t>
      </w:r>
      <w:r w:rsidR="00EE4FC3">
        <w:t xml:space="preserve"> </w:t>
      </w:r>
      <w:r w:rsidRPr="00382917">
        <w:t>“</w:t>
      </w:r>
      <w:r w:rsidR="001B6670" w:rsidRPr="00382917">
        <w:t>ever</w:t>
      </w:r>
      <w:r w:rsidR="00EE4FC3">
        <w:t xml:space="preserve"> </w:t>
      </w:r>
      <w:r w:rsidR="001B6670" w:rsidRPr="00382917">
        <w:t>again</w:t>
      </w:r>
      <w:r w:rsidR="00EE4FC3">
        <w:t xml:space="preserve"> </w:t>
      </w:r>
      <w:r w:rsidR="001B6670" w:rsidRPr="00382917">
        <w:t>to</w:t>
      </w:r>
      <w:r w:rsidR="00EE4FC3">
        <w:t xml:space="preserve"> </w:t>
      </w:r>
      <w:r w:rsidR="001B6670" w:rsidRPr="00382917">
        <w:t>associate</w:t>
      </w:r>
      <w:r w:rsidR="00EE4FC3">
        <w:t xml:space="preserve"> </w:t>
      </w:r>
      <w:r w:rsidR="001B6670" w:rsidRPr="00382917">
        <w:t>myself</w:t>
      </w:r>
      <w:r w:rsidR="00EE4FC3">
        <w:t xml:space="preserve"> </w:t>
      </w:r>
      <w:r w:rsidR="001B6670" w:rsidRPr="00382917">
        <w:t>and</w:t>
      </w:r>
      <w:r w:rsidR="00EE4FC3">
        <w:t xml:space="preserve"> </w:t>
      </w:r>
      <w:r w:rsidR="001B6670" w:rsidRPr="00382917">
        <w:t>my</w:t>
      </w:r>
      <w:r w:rsidR="00EE4FC3">
        <w:t xml:space="preserve"> </w:t>
      </w:r>
      <w:r w:rsidR="001B6670" w:rsidRPr="00382917">
        <w:t>regiment</w:t>
      </w:r>
      <w:r w:rsidR="00EE4FC3">
        <w:t xml:space="preserve"> </w:t>
      </w:r>
      <w:r w:rsidR="001B6670" w:rsidRPr="00382917">
        <w:t>with</w:t>
      </w:r>
      <w:r w:rsidR="00EE4FC3">
        <w:t xml:space="preserve"> </w:t>
      </w:r>
      <w:r w:rsidR="001B6670" w:rsidRPr="00382917">
        <w:t>any</w:t>
      </w:r>
      <w:r w:rsidR="00EE4FC3">
        <w:t xml:space="preserve"> </w:t>
      </w:r>
      <w:r w:rsidR="001B6670" w:rsidRPr="00382917">
        <w:t>act</w:t>
      </w:r>
      <w:r w:rsidR="00EE4FC3">
        <w:t xml:space="preserve"> </w:t>
      </w:r>
      <w:r w:rsidR="001B6670" w:rsidRPr="00382917">
        <w:t>which</w:t>
      </w:r>
      <w:r w:rsidR="00EE4FC3">
        <w:t xml:space="preserve"> </w:t>
      </w:r>
      <w:r w:rsidR="001B6670" w:rsidRPr="00382917">
        <w:t>involves</w:t>
      </w:r>
      <w:r w:rsidR="00EE4FC3">
        <w:t xml:space="preserve"> </w:t>
      </w:r>
      <w:r w:rsidR="001B6670" w:rsidRPr="00382917">
        <w:t>the</w:t>
      </w:r>
      <w:r w:rsidR="00EE4FC3">
        <w:t xml:space="preserve"> </w:t>
      </w:r>
      <w:r w:rsidR="001B6670" w:rsidRPr="00382917">
        <w:t>least</w:t>
      </w:r>
      <w:r w:rsidR="00EE4FC3">
        <w:t xml:space="preserve"> </w:t>
      </w:r>
      <w:r w:rsidR="001B6670" w:rsidRPr="00382917">
        <w:t>injury</w:t>
      </w:r>
      <w:r w:rsidR="00EE4FC3">
        <w:t xml:space="preserve"> </w:t>
      </w:r>
      <w:r w:rsidR="001B6670" w:rsidRPr="00382917">
        <w:t>to</w:t>
      </w:r>
      <w:r w:rsidR="00EE4FC3">
        <w:t xml:space="preserve"> </w:t>
      </w:r>
      <w:r w:rsidR="001B6670" w:rsidRPr="00382917">
        <w:t>the</w:t>
      </w:r>
      <w:r w:rsidR="00EE4FC3">
        <w:t xml:space="preserve"> </w:t>
      </w:r>
      <w:r w:rsidR="001B6670" w:rsidRPr="00382917">
        <w:t>Báb.</w:t>
      </w:r>
      <w:r w:rsidRPr="00382917">
        <w:t>”</w:t>
      </w:r>
      <w:r w:rsidR="005415D8">
        <w:t xml:space="preserve"> </w:t>
      </w:r>
      <w:r w:rsidR="00EE4FC3">
        <w:t xml:space="preserve"> </w:t>
      </w:r>
      <w:r w:rsidR="001B6670" w:rsidRPr="00382917">
        <w:t>As</w:t>
      </w:r>
    </w:p>
    <w:p w:rsidR="00775809" w:rsidRPr="00382917" w:rsidRDefault="00775809">
      <w:pPr>
        <w:widowControl/>
        <w:kinsoku/>
        <w:overflowPunct/>
        <w:textAlignment w:val="auto"/>
      </w:pPr>
      <w:r w:rsidRPr="00382917">
        <w:br w:type="page"/>
      </w:r>
    </w:p>
    <w:p w:rsidR="001B6670" w:rsidRPr="00382917" w:rsidRDefault="001B6670" w:rsidP="00775809">
      <w:pPr>
        <w:pStyle w:val="Textcts"/>
      </w:pPr>
      <w:proofErr w:type="gramStart"/>
      <w:r w:rsidRPr="00382917">
        <w:t>he</w:t>
      </w:r>
      <w:proofErr w:type="gramEnd"/>
      <w:r w:rsidR="00EE4FC3">
        <w:t xml:space="preserve"> </w:t>
      </w:r>
      <w:r w:rsidRPr="00382917">
        <w:t>marched</w:t>
      </w:r>
      <w:r w:rsidR="00EE4FC3">
        <w:t xml:space="preserve"> </w:t>
      </w:r>
      <w:r w:rsidRPr="00382917">
        <w:t>his</w:t>
      </w:r>
      <w:r w:rsidR="00EE4FC3">
        <w:t xml:space="preserve"> </w:t>
      </w:r>
      <w:r w:rsidRPr="00382917">
        <w:t>regiment</w:t>
      </w:r>
      <w:r w:rsidR="00EE4FC3">
        <w:t xml:space="preserve"> </w:t>
      </w:r>
      <w:r w:rsidRPr="00382917">
        <w:t>out</w:t>
      </w:r>
      <w:r w:rsidR="00EE4FC3">
        <w:t xml:space="preserve"> </w:t>
      </w:r>
      <w:r w:rsidRPr="00382917">
        <w:t>of</w:t>
      </w:r>
      <w:r w:rsidR="00EE4FC3">
        <w:t xml:space="preserve"> </w:t>
      </w:r>
      <w:r w:rsidRPr="00382917">
        <w:t>the</w:t>
      </w:r>
      <w:r w:rsidR="00EE4FC3">
        <w:t xml:space="preserve"> </w:t>
      </w:r>
      <w:r w:rsidRPr="00382917">
        <w:t>public</w:t>
      </w:r>
      <w:r w:rsidR="00EE4FC3">
        <w:t xml:space="preserve"> </w:t>
      </w:r>
      <w:r w:rsidRPr="00382917">
        <w:t>square</w:t>
      </w:r>
      <w:r w:rsidR="00EE4FC3">
        <w:t xml:space="preserve"> </w:t>
      </w:r>
      <w:r w:rsidRPr="00382917">
        <w:t>he</w:t>
      </w:r>
      <w:r w:rsidR="00EE4FC3">
        <w:t xml:space="preserve"> </w:t>
      </w:r>
      <w:r w:rsidRPr="00382917">
        <w:t>swore</w:t>
      </w:r>
      <w:r w:rsidR="00EE4FC3">
        <w:t xml:space="preserve"> </w:t>
      </w:r>
      <w:r w:rsidRPr="00382917">
        <w:t>before</w:t>
      </w:r>
      <w:r w:rsidR="00EE4FC3">
        <w:t xml:space="preserve"> </w:t>
      </w:r>
      <w:r w:rsidRPr="00382917">
        <w:t>all</w:t>
      </w:r>
      <w:r w:rsidR="00EE4FC3">
        <w:t xml:space="preserve"> </w:t>
      </w:r>
      <w:r w:rsidRPr="00382917">
        <w:t>of</w:t>
      </w:r>
      <w:r w:rsidR="00EE4FC3">
        <w:t xml:space="preserve"> </w:t>
      </w:r>
      <w:r w:rsidRPr="00382917">
        <w:t>them</w:t>
      </w:r>
      <w:r w:rsidR="00C03C91">
        <w:t>:</w:t>
      </w:r>
      <w:r w:rsidR="00EE4FC3">
        <w:t xml:space="preserve">  </w:t>
      </w:r>
      <w:r w:rsidR="009C713D" w:rsidRPr="00382917">
        <w:t>“</w:t>
      </w:r>
      <w:r w:rsidRPr="00382917">
        <w:t>I</w:t>
      </w:r>
      <w:r w:rsidR="00EE4FC3">
        <w:t xml:space="preserve"> </w:t>
      </w:r>
      <w:r w:rsidRPr="00382917">
        <w:t>will</w:t>
      </w:r>
      <w:r w:rsidR="00EE4FC3">
        <w:t xml:space="preserve"> </w:t>
      </w:r>
      <w:r w:rsidRPr="00382917">
        <w:t>never</w:t>
      </w:r>
      <w:r w:rsidR="00EE4FC3">
        <w:t xml:space="preserve"> </w:t>
      </w:r>
      <w:r w:rsidRPr="00382917">
        <w:t>again</w:t>
      </w:r>
      <w:r w:rsidR="00EE4FC3">
        <w:t xml:space="preserve"> </w:t>
      </w:r>
      <w:r w:rsidRPr="00382917">
        <w:t>resume</w:t>
      </w:r>
      <w:r w:rsidR="00EE4FC3">
        <w:t xml:space="preserve"> </w:t>
      </w:r>
      <w:r w:rsidRPr="00382917">
        <w:t>this</w:t>
      </w:r>
      <w:r w:rsidR="00EE4FC3">
        <w:t xml:space="preserve"> </w:t>
      </w:r>
      <w:r w:rsidRPr="00382917">
        <w:t>task</w:t>
      </w:r>
      <w:r w:rsidR="00EE4FC3">
        <w:t xml:space="preserve"> </w:t>
      </w:r>
      <w:r w:rsidRPr="00382917">
        <w:t>even</w:t>
      </w:r>
      <w:r w:rsidR="00EE4FC3">
        <w:t xml:space="preserve"> </w:t>
      </w:r>
      <w:r w:rsidRPr="00382917">
        <w:t>if</w:t>
      </w:r>
      <w:r w:rsidR="00EE4FC3">
        <w:t xml:space="preserve"> </w:t>
      </w:r>
      <w:r w:rsidRPr="00382917">
        <w:t>it</w:t>
      </w:r>
      <w:r w:rsidR="00EE4FC3">
        <w:t xml:space="preserve"> </w:t>
      </w:r>
      <w:r w:rsidRPr="00382917">
        <w:t>costs</w:t>
      </w:r>
      <w:r w:rsidR="00EE4FC3">
        <w:t xml:space="preserve"> </w:t>
      </w:r>
      <w:r w:rsidRPr="00382917">
        <w:t>me</w:t>
      </w:r>
      <w:r w:rsidR="00EE4FC3">
        <w:t xml:space="preserve"> </w:t>
      </w:r>
      <w:r w:rsidRPr="00382917">
        <w:t>my</w:t>
      </w:r>
      <w:r w:rsidR="00EE4FC3">
        <w:t xml:space="preserve"> </w:t>
      </w:r>
      <w:r w:rsidRPr="00382917">
        <w:t>life.</w:t>
      </w:r>
      <w:r w:rsidR="009C713D" w:rsidRPr="00382917">
        <w:t>”</w:t>
      </w:r>
    </w:p>
    <w:p w:rsidR="001B6670" w:rsidRPr="00382917" w:rsidRDefault="001B6670" w:rsidP="00775809">
      <w:pPr>
        <w:pStyle w:val="Text"/>
      </w:pPr>
      <w:r w:rsidRPr="00382917">
        <w:t>After</w:t>
      </w:r>
      <w:r w:rsidR="00EE4FC3">
        <w:t xml:space="preserve"> </w:t>
      </w:r>
      <w:r w:rsidRPr="00382917">
        <w:t>the</w:t>
      </w:r>
      <w:r w:rsidR="00EE4FC3">
        <w:t xml:space="preserve"> </w:t>
      </w:r>
      <w:r w:rsidRPr="00382917">
        <w:t>departure</w:t>
      </w:r>
      <w:r w:rsidR="00EE4FC3">
        <w:t xml:space="preserve"> </w:t>
      </w:r>
      <w:r w:rsidRPr="00382917">
        <w:t>of</w:t>
      </w:r>
      <w:r w:rsidR="00EE4FC3">
        <w:t xml:space="preserve"> </w:t>
      </w:r>
      <w:r w:rsidRPr="00382917">
        <w:t>Sam</w:t>
      </w:r>
      <w:r w:rsidR="00EE4FC3">
        <w:t xml:space="preserve"> </w:t>
      </w:r>
      <w:r w:rsidR="0040329F" w:rsidRPr="0040329F">
        <w:rPr>
          <w:u w:val="single"/>
        </w:rPr>
        <w:t>Kh</w:t>
      </w:r>
      <w:r w:rsidR="0040329F" w:rsidRPr="00382917">
        <w:t>án</w:t>
      </w:r>
      <w:r w:rsidR="00EE4FC3">
        <w:t xml:space="preserve"> </w:t>
      </w:r>
      <w:r w:rsidRPr="00382917">
        <w:t>and</w:t>
      </w:r>
      <w:r w:rsidR="00EE4FC3">
        <w:t xml:space="preserve"> </w:t>
      </w:r>
      <w:r w:rsidRPr="00382917">
        <w:t>his</w:t>
      </w:r>
      <w:r w:rsidR="00EE4FC3">
        <w:t xml:space="preserve"> </w:t>
      </w:r>
      <w:r w:rsidRPr="00382917">
        <w:t>regiment,</w:t>
      </w:r>
      <w:r w:rsidR="00EE4FC3">
        <w:t xml:space="preserve"> </w:t>
      </w:r>
      <w:r w:rsidRPr="00382917">
        <w:t>a</w:t>
      </w:r>
      <w:r w:rsidR="00EE4FC3">
        <w:t xml:space="preserve"> </w:t>
      </w:r>
      <w:r w:rsidRPr="00382917">
        <w:t>colonel</w:t>
      </w:r>
      <w:r w:rsidR="00EE4FC3">
        <w:t xml:space="preserve"> </w:t>
      </w:r>
      <w:r w:rsidRPr="00382917">
        <w:t>of</w:t>
      </w:r>
      <w:r w:rsidR="00EE4FC3">
        <w:t xml:space="preserve"> </w:t>
      </w:r>
      <w:r w:rsidRPr="00382917">
        <w:t>the</w:t>
      </w:r>
      <w:r w:rsidR="00EE4FC3">
        <w:t xml:space="preserve"> </w:t>
      </w:r>
      <w:r w:rsidRPr="00382917">
        <w:t>bodyguard</w:t>
      </w:r>
      <w:r w:rsidR="00EE4FC3">
        <w:t xml:space="preserve"> </w:t>
      </w:r>
      <w:r w:rsidRPr="00382917">
        <w:t>volunteered</w:t>
      </w:r>
      <w:r w:rsidR="00EE4FC3">
        <w:t xml:space="preserve"> </w:t>
      </w:r>
      <w:r w:rsidRPr="00382917">
        <w:t>to</w:t>
      </w:r>
      <w:r w:rsidR="00EE4FC3">
        <w:t xml:space="preserve"> </w:t>
      </w:r>
      <w:r w:rsidRPr="00382917">
        <w:t>carry</w:t>
      </w:r>
      <w:r w:rsidR="00EE4FC3">
        <w:t xml:space="preserve"> </w:t>
      </w:r>
      <w:r w:rsidRPr="00382917">
        <w:t>out</w:t>
      </w:r>
      <w:r w:rsidR="00EE4FC3">
        <w:t xml:space="preserve"> </w:t>
      </w:r>
      <w:r w:rsidRPr="00382917">
        <w:t>the</w:t>
      </w:r>
      <w:r w:rsidR="00EE4FC3">
        <w:t xml:space="preserve"> </w:t>
      </w:r>
      <w:r w:rsidRPr="00382917">
        <w:t>execution.</w:t>
      </w:r>
    </w:p>
    <w:p w:rsidR="001B6670" w:rsidRPr="00382917" w:rsidRDefault="001B6670" w:rsidP="00775809">
      <w:pPr>
        <w:pStyle w:val="Text"/>
      </w:pPr>
      <w:r w:rsidRPr="00382917">
        <w:t>On</w:t>
      </w:r>
      <w:r w:rsidR="00EE4FC3">
        <w:t xml:space="preserve"> </w:t>
      </w:r>
      <w:r w:rsidRPr="00382917">
        <w:t>that</w:t>
      </w:r>
      <w:r w:rsidR="00EE4FC3">
        <w:t xml:space="preserve"> </w:t>
      </w:r>
      <w:r w:rsidRPr="00382917">
        <w:t>same</w:t>
      </w:r>
      <w:r w:rsidR="00EE4FC3">
        <w:t xml:space="preserve"> </w:t>
      </w:r>
      <w:r w:rsidRPr="00382917">
        <w:t>wall</w:t>
      </w:r>
      <w:r w:rsidR="00EE4FC3">
        <w:t xml:space="preserve"> </w:t>
      </w:r>
      <w:r w:rsidRPr="00382917">
        <w:t>and</w:t>
      </w:r>
      <w:r w:rsidR="00EE4FC3">
        <w:t xml:space="preserve"> </w:t>
      </w:r>
      <w:r w:rsidRPr="00382917">
        <w:t>to</w:t>
      </w:r>
      <w:r w:rsidR="00EE4FC3">
        <w:t xml:space="preserve"> </w:t>
      </w:r>
      <w:r w:rsidRPr="00382917">
        <w:t>that</w:t>
      </w:r>
      <w:r w:rsidR="00EE4FC3">
        <w:t xml:space="preserve"> </w:t>
      </w:r>
      <w:r w:rsidRPr="00382917">
        <w:t>same</w:t>
      </w:r>
      <w:r w:rsidR="00EE4FC3">
        <w:t xml:space="preserve"> </w:t>
      </w:r>
      <w:r w:rsidRPr="00382917">
        <w:t>nail,</w:t>
      </w:r>
      <w:r w:rsidR="00EE4FC3">
        <w:t xml:space="preserve"> </w:t>
      </w:r>
      <w:r w:rsidRPr="00382917">
        <w:t>the</w:t>
      </w:r>
      <w:r w:rsidR="00EE4FC3">
        <w:t xml:space="preserve"> </w:t>
      </w:r>
      <w:r w:rsidRPr="00382917">
        <w:t>Báb</w:t>
      </w:r>
      <w:r w:rsidR="00EE4FC3">
        <w:t xml:space="preserve"> </w:t>
      </w:r>
      <w:r w:rsidRPr="00382917">
        <w:t>and</w:t>
      </w:r>
      <w:r w:rsidR="00EE4FC3">
        <w:t xml:space="preserve"> </w:t>
      </w:r>
      <w:r w:rsidRPr="00382917">
        <w:t>His</w:t>
      </w:r>
      <w:r w:rsidR="00EE4FC3">
        <w:t xml:space="preserve"> </w:t>
      </w:r>
      <w:r w:rsidRPr="00382917">
        <w:t>companion</w:t>
      </w:r>
      <w:r w:rsidR="00EE4FC3">
        <w:t xml:space="preserve"> </w:t>
      </w:r>
      <w:r w:rsidRPr="00382917">
        <w:t>were</w:t>
      </w:r>
      <w:r w:rsidR="00EE4FC3">
        <w:t xml:space="preserve"> </w:t>
      </w:r>
      <w:r w:rsidRPr="00382917">
        <w:t>lashed</w:t>
      </w:r>
      <w:r w:rsidR="00EE4FC3">
        <w:t xml:space="preserve"> </w:t>
      </w:r>
      <w:r w:rsidRPr="00382917">
        <w:t>a</w:t>
      </w:r>
      <w:r w:rsidR="00EE4FC3">
        <w:t xml:space="preserve"> </w:t>
      </w:r>
      <w:r w:rsidRPr="00382917">
        <w:t>second</w:t>
      </w:r>
      <w:r w:rsidR="00EE4FC3">
        <w:t xml:space="preserve"> </w:t>
      </w:r>
      <w:r w:rsidRPr="00382917">
        <w:t>time</w:t>
      </w:r>
      <w:r w:rsidR="00330AF7">
        <w:t>.</w:t>
      </w:r>
      <w:r w:rsidR="00EE4FC3">
        <w:t xml:space="preserve">  </w:t>
      </w:r>
      <w:r w:rsidRPr="00382917">
        <w:t>The</w:t>
      </w:r>
      <w:r w:rsidR="00EE4FC3">
        <w:t xml:space="preserve"> </w:t>
      </w:r>
      <w:r w:rsidRPr="00382917">
        <w:t>new</w:t>
      </w:r>
      <w:r w:rsidR="00EE4FC3">
        <w:t xml:space="preserve"> </w:t>
      </w:r>
      <w:r w:rsidRPr="00382917">
        <w:t>firing</w:t>
      </w:r>
      <w:r w:rsidR="00EE4FC3">
        <w:t xml:space="preserve"> </w:t>
      </w:r>
      <w:r w:rsidRPr="00382917">
        <w:t>squad</w:t>
      </w:r>
      <w:r w:rsidR="00EE4FC3">
        <w:t xml:space="preserve"> </w:t>
      </w:r>
      <w:r w:rsidRPr="00382917">
        <w:t>formed</w:t>
      </w:r>
      <w:r w:rsidR="00EE4FC3">
        <w:t xml:space="preserve"> </w:t>
      </w:r>
      <w:r w:rsidRPr="00382917">
        <w:t>in</w:t>
      </w:r>
      <w:r w:rsidR="00EE4FC3">
        <w:t xml:space="preserve"> </w:t>
      </w:r>
      <w:r w:rsidRPr="00382917">
        <w:t>line</w:t>
      </w:r>
      <w:r w:rsidR="00330AF7">
        <w:t>.</w:t>
      </w:r>
      <w:r w:rsidR="00EE4FC3">
        <w:t xml:space="preserve">  </w:t>
      </w:r>
      <w:r w:rsidRPr="00382917">
        <w:t>As</w:t>
      </w:r>
      <w:r w:rsidR="00EE4FC3">
        <w:t xml:space="preserve"> </w:t>
      </w:r>
      <w:r w:rsidRPr="00382917">
        <w:t>the</w:t>
      </w:r>
      <w:r w:rsidR="00EE4FC3">
        <w:t xml:space="preserve"> </w:t>
      </w:r>
      <w:r w:rsidRPr="00382917">
        <w:t>regiment</w:t>
      </w:r>
      <w:r w:rsidR="00EE4FC3">
        <w:t xml:space="preserve"> </w:t>
      </w:r>
      <w:r w:rsidRPr="00382917">
        <w:t>prepared</w:t>
      </w:r>
      <w:r w:rsidR="00EE4FC3">
        <w:t xml:space="preserve"> </w:t>
      </w:r>
      <w:r w:rsidRPr="00382917">
        <w:t>to</w:t>
      </w:r>
      <w:r w:rsidR="00EE4FC3">
        <w:t xml:space="preserve"> </w:t>
      </w:r>
      <w:r w:rsidRPr="00382917">
        <w:t>fire</w:t>
      </w:r>
      <w:r w:rsidR="00EE4FC3">
        <w:t xml:space="preserve"> </w:t>
      </w:r>
      <w:r w:rsidRPr="00382917">
        <w:t>the</w:t>
      </w:r>
      <w:r w:rsidR="00EE4FC3">
        <w:t xml:space="preserve"> </w:t>
      </w:r>
      <w:r w:rsidRPr="00382917">
        <w:t>final</w:t>
      </w:r>
      <w:r w:rsidR="00EE4FC3">
        <w:t xml:space="preserve"> </w:t>
      </w:r>
      <w:r w:rsidRPr="00382917">
        <w:t>volley,</w:t>
      </w:r>
      <w:r w:rsidR="00EE4FC3">
        <w:t xml:space="preserve"> </w:t>
      </w:r>
      <w:r w:rsidRPr="00382917">
        <w:t>the</w:t>
      </w:r>
      <w:r w:rsidR="00EE4FC3">
        <w:t xml:space="preserve"> </w:t>
      </w:r>
      <w:r w:rsidRPr="00382917">
        <w:t>Báb</w:t>
      </w:r>
      <w:r w:rsidR="00EE4FC3">
        <w:t xml:space="preserve"> </w:t>
      </w:r>
      <w:r w:rsidRPr="00382917">
        <w:t>spoke</w:t>
      </w:r>
      <w:r w:rsidR="00EE4FC3">
        <w:t xml:space="preserve"> </w:t>
      </w:r>
      <w:r w:rsidRPr="00382917">
        <w:t>His</w:t>
      </w:r>
      <w:r w:rsidR="00EE4FC3">
        <w:t xml:space="preserve"> </w:t>
      </w:r>
      <w:r w:rsidRPr="00382917">
        <w:t>last</w:t>
      </w:r>
      <w:r w:rsidR="00EE4FC3">
        <w:t xml:space="preserve"> </w:t>
      </w:r>
      <w:r w:rsidRPr="00382917">
        <w:t>words</w:t>
      </w:r>
      <w:r w:rsidR="00EE4FC3">
        <w:t xml:space="preserve"> </w:t>
      </w:r>
      <w:r w:rsidRPr="00382917">
        <w:t>to</w:t>
      </w:r>
      <w:r w:rsidR="00EE4FC3">
        <w:t xml:space="preserve"> </w:t>
      </w:r>
      <w:r w:rsidRPr="00382917">
        <w:t>the</w:t>
      </w:r>
      <w:r w:rsidR="00EE4FC3">
        <w:t xml:space="preserve"> </w:t>
      </w:r>
      <w:r w:rsidRPr="00382917">
        <w:t>gazing</w:t>
      </w:r>
      <w:r w:rsidR="00EE4FC3">
        <w:t xml:space="preserve"> </w:t>
      </w:r>
      <w:r w:rsidRPr="00382917">
        <w:t>multitude.</w:t>
      </w:r>
    </w:p>
    <w:p w:rsidR="001B6670" w:rsidRPr="00382917" w:rsidRDefault="009C713D" w:rsidP="00775809">
      <w:pPr>
        <w:pStyle w:val="Text"/>
      </w:pPr>
      <w:r w:rsidRPr="00382917">
        <w:t>“</w:t>
      </w:r>
      <w:r w:rsidR="001B6670" w:rsidRPr="00382917">
        <w:t>Had</w:t>
      </w:r>
      <w:r w:rsidR="00EE4FC3">
        <w:t xml:space="preserve"> </w:t>
      </w:r>
      <w:r w:rsidR="001B6670" w:rsidRPr="00382917">
        <w:t>you</w:t>
      </w:r>
      <w:r w:rsidR="00EE4FC3">
        <w:t xml:space="preserve"> </w:t>
      </w:r>
      <w:r w:rsidR="001B6670" w:rsidRPr="00382917">
        <w:t>believed</w:t>
      </w:r>
      <w:r w:rsidR="00EE4FC3">
        <w:t xml:space="preserve"> </w:t>
      </w:r>
      <w:r w:rsidR="001B6670" w:rsidRPr="00382917">
        <w:t>in</w:t>
      </w:r>
      <w:r w:rsidR="00EE4FC3">
        <w:t xml:space="preserve"> </w:t>
      </w:r>
      <w:r w:rsidR="001B6670" w:rsidRPr="00382917">
        <w:t>Me,</w:t>
      </w:r>
      <w:r w:rsidR="00EE4FC3">
        <w:t xml:space="preserve"> </w:t>
      </w:r>
      <w:r w:rsidR="001B6670" w:rsidRPr="00382917">
        <w:t>O</w:t>
      </w:r>
      <w:r w:rsidR="00EE4FC3">
        <w:t xml:space="preserve"> </w:t>
      </w:r>
      <w:r w:rsidR="001B6670" w:rsidRPr="00382917">
        <w:t>wayward</w:t>
      </w:r>
      <w:r w:rsidR="00EE4FC3">
        <w:t xml:space="preserve"> </w:t>
      </w:r>
      <w:r w:rsidR="001B6670" w:rsidRPr="00382917">
        <w:t>generation,</w:t>
      </w:r>
      <w:r w:rsidRPr="00382917">
        <w:t>”</w:t>
      </w:r>
      <w:r w:rsidR="00EE4FC3">
        <w:t xml:space="preserve"> </w:t>
      </w:r>
      <w:r w:rsidR="001B6670" w:rsidRPr="00382917">
        <w:t>He</w:t>
      </w:r>
      <w:r w:rsidR="00EE4FC3">
        <w:t xml:space="preserve"> </w:t>
      </w:r>
      <w:r w:rsidR="001B6670" w:rsidRPr="00382917">
        <w:t>said,</w:t>
      </w:r>
      <w:r w:rsidR="00EE4FC3">
        <w:t xml:space="preserve"> </w:t>
      </w:r>
      <w:r w:rsidRPr="00382917">
        <w:t>“</w:t>
      </w:r>
      <w:proofErr w:type="spellStart"/>
      <w:proofErr w:type="gramStart"/>
      <w:r w:rsidR="001B6670" w:rsidRPr="00382917">
        <w:t>everyone</w:t>
      </w:r>
      <w:proofErr w:type="spellEnd"/>
      <w:proofErr w:type="gramEnd"/>
      <w:r w:rsidR="00EE4FC3">
        <w:t xml:space="preserve"> </w:t>
      </w:r>
      <w:r w:rsidR="001B6670" w:rsidRPr="00382917">
        <w:t>of</w:t>
      </w:r>
      <w:r w:rsidR="00EE4FC3">
        <w:t xml:space="preserve"> </w:t>
      </w:r>
      <w:r w:rsidR="001B6670" w:rsidRPr="00382917">
        <w:t>you</w:t>
      </w:r>
      <w:r w:rsidR="00EE4FC3">
        <w:t xml:space="preserve"> </w:t>
      </w:r>
      <w:r w:rsidR="001B6670" w:rsidRPr="00382917">
        <w:t>would</w:t>
      </w:r>
      <w:r w:rsidR="00EE4FC3">
        <w:t xml:space="preserve"> </w:t>
      </w:r>
      <w:r w:rsidR="001B6670" w:rsidRPr="00382917">
        <w:t>have</w:t>
      </w:r>
      <w:r w:rsidR="00EE4FC3">
        <w:t xml:space="preserve"> </w:t>
      </w:r>
      <w:r w:rsidR="001B6670" w:rsidRPr="00382917">
        <w:t>followed</w:t>
      </w:r>
      <w:r w:rsidR="00EE4FC3">
        <w:t xml:space="preserve"> </w:t>
      </w:r>
      <w:r w:rsidR="001B6670" w:rsidRPr="00382917">
        <w:t>the</w:t>
      </w:r>
      <w:r w:rsidR="00EE4FC3">
        <w:t xml:space="preserve"> </w:t>
      </w:r>
      <w:r w:rsidR="001B6670" w:rsidRPr="00382917">
        <w:t>example</w:t>
      </w:r>
      <w:r w:rsidR="00EE4FC3">
        <w:t xml:space="preserve"> </w:t>
      </w:r>
      <w:r w:rsidR="001B6670" w:rsidRPr="00382917">
        <w:t>of</w:t>
      </w:r>
      <w:r w:rsidR="00EE4FC3">
        <w:t xml:space="preserve"> </w:t>
      </w:r>
      <w:r w:rsidR="001B6670" w:rsidRPr="00382917">
        <w:t>this</w:t>
      </w:r>
      <w:r w:rsidR="00EE4FC3">
        <w:t xml:space="preserve"> </w:t>
      </w:r>
      <w:r w:rsidR="001B6670" w:rsidRPr="00382917">
        <w:t>youth</w:t>
      </w:r>
      <w:r w:rsidR="00EE4FC3">
        <w:t xml:space="preserve"> </w:t>
      </w:r>
      <w:r w:rsidR="001B6670" w:rsidRPr="00382917">
        <w:t>who</w:t>
      </w:r>
      <w:r w:rsidR="00EE4FC3">
        <w:t xml:space="preserve"> </w:t>
      </w:r>
      <w:r w:rsidR="001B6670" w:rsidRPr="00382917">
        <w:t>stood</w:t>
      </w:r>
      <w:r w:rsidR="00EE4FC3">
        <w:t xml:space="preserve"> </w:t>
      </w:r>
      <w:r w:rsidR="001B6670" w:rsidRPr="00382917">
        <w:t>in</w:t>
      </w:r>
      <w:r w:rsidR="00EE4FC3">
        <w:t xml:space="preserve"> </w:t>
      </w:r>
      <w:r w:rsidR="001B6670" w:rsidRPr="00382917">
        <w:t>rank</w:t>
      </w:r>
      <w:r w:rsidR="00EE4FC3">
        <w:t xml:space="preserve"> </w:t>
      </w:r>
      <w:r w:rsidR="001B6670" w:rsidRPr="00382917">
        <w:t>above</w:t>
      </w:r>
      <w:r w:rsidR="00EE4FC3">
        <w:t xml:space="preserve"> </w:t>
      </w:r>
      <w:r w:rsidR="001B6670" w:rsidRPr="00382917">
        <w:t>most</w:t>
      </w:r>
      <w:r w:rsidR="00EE4FC3">
        <w:t xml:space="preserve"> </w:t>
      </w:r>
      <w:r w:rsidR="001B6670" w:rsidRPr="00382917">
        <w:t>of</w:t>
      </w:r>
      <w:r w:rsidR="00EE4FC3">
        <w:t xml:space="preserve"> </w:t>
      </w:r>
      <w:r w:rsidR="001B6670" w:rsidRPr="00382917">
        <w:t>you,</w:t>
      </w:r>
      <w:r w:rsidR="00EE4FC3">
        <w:t xml:space="preserve"> </w:t>
      </w:r>
      <w:r w:rsidR="001B6670" w:rsidRPr="00382917">
        <w:t>and</w:t>
      </w:r>
      <w:r w:rsidR="00EE4FC3">
        <w:t xml:space="preserve"> </w:t>
      </w:r>
      <w:r w:rsidR="001B6670" w:rsidRPr="00382917">
        <w:t>willingly</w:t>
      </w:r>
      <w:r w:rsidR="00EE4FC3">
        <w:t xml:space="preserve"> </w:t>
      </w:r>
      <w:r w:rsidR="001B6670" w:rsidRPr="00382917">
        <w:t>would</w:t>
      </w:r>
      <w:r w:rsidR="00EE4FC3">
        <w:t xml:space="preserve"> </w:t>
      </w:r>
      <w:r w:rsidR="001B6670" w:rsidRPr="00382917">
        <w:t>have</w:t>
      </w:r>
      <w:r w:rsidR="00EE4FC3">
        <w:t xml:space="preserve"> </w:t>
      </w:r>
      <w:r w:rsidR="001B6670" w:rsidRPr="00382917">
        <w:t>sacrificed</w:t>
      </w:r>
      <w:r w:rsidR="00EE4FC3">
        <w:t xml:space="preserve"> </w:t>
      </w:r>
      <w:r w:rsidR="001B6670" w:rsidRPr="00382917">
        <w:t>himself</w:t>
      </w:r>
      <w:r w:rsidR="00EE4FC3">
        <w:t xml:space="preserve"> </w:t>
      </w:r>
      <w:r w:rsidR="001B6670" w:rsidRPr="00382917">
        <w:t>in</w:t>
      </w:r>
      <w:r w:rsidR="00EE4FC3">
        <w:t xml:space="preserve"> </w:t>
      </w:r>
      <w:r w:rsidR="001B6670" w:rsidRPr="00382917">
        <w:t>My</w:t>
      </w:r>
      <w:r w:rsidR="00EE4FC3">
        <w:t xml:space="preserve"> </w:t>
      </w:r>
      <w:r w:rsidR="001B6670" w:rsidRPr="00382917">
        <w:t>path</w:t>
      </w:r>
      <w:r w:rsidR="00330AF7">
        <w:t>.</w:t>
      </w:r>
      <w:r w:rsidR="00EE4FC3">
        <w:t xml:space="preserve">  </w:t>
      </w:r>
      <w:r w:rsidR="001B6670" w:rsidRPr="00382917">
        <w:t>The</w:t>
      </w:r>
      <w:r w:rsidR="00EE4FC3">
        <w:t xml:space="preserve"> </w:t>
      </w:r>
      <w:r w:rsidR="001B6670" w:rsidRPr="00382917">
        <w:t>day</w:t>
      </w:r>
      <w:r w:rsidR="00EE4FC3">
        <w:t xml:space="preserve"> </w:t>
      </w:r>
      <w:r w:rsidR="001B6670" w:rsidRPr="00382917">
        <w:t>will</w:t>
      </w:r>
      <w:r w:rsidR="00EE4FC3">
        <w:t xml:space="preserve"> </w:t>
      </w:r>
      <w:r w:rsidR="001B6670" w:rsidRPr="00382917">
        <w:t>come</w:t>
      </w:r>
      <w:r w:rsidR="00EE4FC3">
        <w:t xml:space="preserve"> </w:t>
      </w:r>
      <w:r w:rsidR="001B6670" w:rsidRPr="00382917">
        <w:t>when</w:t>
      </w:r>
      <w:r w:rsidR="00EE4FC3">
        <w:t xml:space="preserve"> </w:t>
      </w:r>
      <w:r w:rsidR="001B6670" w:rsidRPr="00382917">
        <w:t>you</w:t>
      </w:r>
      <w:r w:rsidR="00EE4FC3">
        <w:t xml:space="preserve"> </w:t>
      </w:r>
      <w:r w:rsidR="001B6670" w:rsidRPr="00382917">
        <w:t>will</w:t>
      </w:r>
      <w:r w:rsidR="00EE4FC3">
        <w:t xml:space="preserve"> </w:t>
      </w:r>
      <w:r w:rsidR="001B6670" w:rsidRPr="00382917">
        <w:t>have</w:t>
      </w:r>
      <w:r w:rsidR="00EE4FC3">
        <w:t xml:space="preserve"> </w:t>
      </w:r>
      <w:r w:rsidR="001B6670" w:rsidRPr="00382917">
        <w:t>recognized</w:t>
      </w:r>
      <w:r w:rsidR="00EE4FC3">
        <w:t xml:space="preserve"> </w:t>
      </w:r>
      <w:proofErr w:type="gramStart"/>
      <w:r w:rsidR="001B6670" w:rsidRPr="00382917">
        <w:t>Me</w:t>
      </w:r>
      <w:proofErr w:type="gramEnd"/>
      <w:r w:rsidR="001B6670" w:rsidRPr="00382917">
        <w:t>,</w:t>
      </w:r>
      <w:r w:rsidR="00EE4FC3">
        <w:t xml:space="preserve"> </w:t>
      </w:r>
      <w:r w:rsidR="001B6670" w:rsidRPr="00382917">
        <w:t>but</w:t>
      </w:r>
      <w:r w:rsidR="00EE4FC3">
        <w:t xml:space="preserve"> </w:t>
      </w:r>
      <w:r w:rsidR="001B6670" w:rsidRPr="00382917">
        <w:t>that</w:t>
      </w:r>
      <w:r w:rsidR="00EE4FC3">
        <w:t xml:space="preserve"> </w:t>
      </w:r>
      <w:r w:rsidR="001B6670" w:rsidRPr="00382917">
        <w:t>day</w:t>
      </w:r>
      <w:r w:rsidR="00EE4FC3">
        <w:t xml:space="preserve"> </w:t>
      </w:r>
      <w:r w:rsidR="001B6670" w:rsidRPr="00382917">
        <w:t>I</w:t>
      </w:r>
      <w:r w:rsidR="00EE4FC3">
        <w:t xml:space="preserve"> </w:t>
      </w:r>
      <w:r w:rsidR="001B6670" w:rsidRPr="00382917">
        <w:t>shall</w:t>
      </w:r>
      <w:r w:rsidR="00EE4FC3">
        <w:t xml:space="preserve"> </w:t>
      </w:r>
      <w:r w:rsidR="001B6670" w:rsidRPr="00382917">
        <w:t>have</w:t>
      </w:r>
      <w:r w:rsidR="00EE4FC3">
        <w:t xml:space="preserve"> </w:t>
      </w:r>
      <w:r w:rsidR="001B6670" w:rsidRPr="00382917">
        <w:t>ceased</w:t>
      </w:r>
      <w:r w:rsidR="00EE4FC3">
        <w:t xml:space="preserve"> </w:t>
      </w:r>
      <w:r w:rsidR="001B6670" w:rsidRPr="00382917">
        <w:t>to</w:t>
      </w:r>
      <w:r w:rsidR="00EE4FC3">
        <w:t xml:space="preserve"> </w:t>
      </w:r>
      <w:r w:rsidR="001B6670" w:rsidRPr="00382917">
        <w:t>be</w:t>
      </w:r>
      <w:r w:rsidR="00EE4FC3">
        <w:t xml:space="preserve"> </w:t>
      </w:r>
      <w:r w:rsidR="001B6670" w:rsidRPr="00382917">
        <w:t>with</w:t>
      </w:r>
      <w:r w:rsidR="00EE4FC3">
        <w:t xml:space="preserve"> </w:t>
      </w:r>
      <w:r w:rsidR="001B6670" w:rsidRPr="00382917">
        <w:t>you.</w:t>
      </w:r>
    </w:p>
    <w:p w:rsidR="001B6670" w:rsidRPr="00382917" w:rsidRDefault="001B6670" w:rsidP="00775809">
      <w:pPr>
        <w:pStyle w:val="Text"/>
      </w:pPr>
      <w:r w:rsidRPr="00382917">
        <w:t>A</w:t>
      </w:r>
      <w:r w:rsidR="00EE4FC3">
        <w:t xml:space="preserve"> </w:t>
      </w:r>
      <w:r w:rsidRPr="00382917">
        <w:t>dread</w:t>
      </w:r>
      <w:r w:rsidR="00EE4FC3">
        <w:t xml:space="preserve"> </w:t>
      </w:r>
      <w:r w:rsidRPr="00382917">
        <w:t>silence</w:t>
      </w:r>
      <w:r w:rsidR="00EE4FC3">
        <w:t xml:space="preserve"> </w:t>
      </w:r>
      <w:r w:rsidRPr="00382917">
        <w:t>fell</w:t>
      </w:r>
      <w:r w:rsidR="00EE4FC3">
        <w:t xml:space="preserve"> </w:t>
      </w:r>
      <w:r w:rsidRPr="00382917">
        <w:t>over</w:t>
      </w:r>
      <w:r w:rsidR="00EE4FC3">
        <w:t xml:space="preserve"> </w:t>
      </w:r>
      <w:r w:rsidRPr="00382917">
        <w:t>the</w:t>
      </w:r>
      <w:r w:rsidR="00EE4FC3">
        <w:t xml:space="preserve"> </w:t>
      </w:r>
      <w:r w:rsidRPr="00382917">
        <w:t>square</w:t>
      </w:r>
      <w:r w:rsidR="00330AF7">
        <w:t>.</w:t>
      </w:r>
      <w:r w:rsidR="00EE4FC3">
        <w:t xml:space="preserve">  </w:t>
      </w:r>
      <w:r w:rsidRPr="00382917">
        <w:t>In</w:t>
      </w:r>
      <w:r w:rsidR="00EE4FC3">
        <w:t xml:space="preserve"> </w:t>
      </w:r>
      <w:r w:rsidRPr="00382917">
        <w:t>the</w:t>
      </w:r>
      <w:r w:rsidR="00EE4FC3">
        <w:t xml:space="preserve"> </w:t>
      </w:r>
      <w:r w:rsidRPr="00382917">
        <w:t>ominous</w:t>
      </w:r>
      <w:r w:rsidR="00EE4FC3">
        <w:t xml:space="preserve"> </w:t>
      </w:r>
      <w:r w:rsidRPr="00382917">
        <w:t>hush,</w:t>
      </w:r>
      <w:r w:rsidR="00EE4FC3">
        <w:t xml:space="preserve"> </w:t>
      </w:r>
      <w:r w:rsidRPr="00382917">
        <w:t>the</w:t>
      </w:r>
      <w:r w:rsidR="00EE4FC3">
        <w:t xml:space="preserve"> </w:t>
      </w:r>
      <w:r w:rsidRPr="00382917">
        <w:t>only</w:t>
      </w:r>
      <w:r w:rsidR="00EE4FC3">
        <w:t xml:space="preserve"> </w:t>
      </w:r>
      <w:r w:rsidRPr="00382917">
        <w:t>sound</w:t>
      </w:r>
      <w:r w:rsidR="00EE4FC3">
        <w:t xml:space="preserve"> </w:t>
      </w:r>
      <w:r w:rsidRPr="00382917">
        <w:t>was</w:t>
      </w:r>
      <w:r w:rsidR="00EE4FC3">
        <w:t xml:space="preserve"> </w:t>
      </w:r>
      <w:r w:rsidRPr="00382917">
        <w:t>the</w:t>
      </w:r>
      <w:r w:rsidR="00EE4FC3">
        <w:t xml:space="preserve"> </w:t>
      </w:r>
      <w:r w:rsidRPr="00382917">
        <w:t>metallic</w:t>
      </w:r>
      <w:r w:rsidR="00EE4FC3">
        <w:t xml:space="preserve"> </w:t>
      </w:r>
      <w:r w:rsidRPr="00382917">
        <w:t>click</w:t>
      </w:r>
      <w:r w:rsidR="00EE4FC3">
        <w:t xml:space="preserve"> </w:t>
      </w:r>
      <w:r w:rsidRPr="00382917">
        <w:t>of</w:t>
      </w:r>
      <w:r w:rsidR="00EE4FC3">
        <w:t xml:space="preserve"> </w:t>
      </w:r>
      <w:r w:rsidRPr="00382917">
        <w:t>rifles</w:t>
      </w:r>
      <w:r w:rsidR="00EE4FC3">
        <w:t xml:space="preserve"> </w:t>
      </w:r>
      <w:r w:rsidRPr="00382917">
        <w:t>being</w:t>
      </w:r>
      <w:r w:rsidR="00EE4FC3">
        <w:t xml:space="preserve"> </w:t>
      </w:r>
      <w:r w:rsidRPr="00382917">
        <w:t>readied</w:t>
      </w:r>
      <w:r w:rsidR="00EE4FC3">
        <w:t xml:space="preserve"> </w:t>
      </w:r>
      <w:r w:rsidRPr="00382917">
        <w:t>to</w:t>
      </w:r>
      <w:r w:rsidR="00EE4FC3">
        <w:t xml:space="preserve"> </w:t>
      </w:r>
      <w:r w:rsidRPr="00382917">
        <w:t>fire</w:t>
      </w:r>
      <w:r w:rsidR="00330AF7">
        <w:t>.</w:t>
      </w:r>
      <w:r w:rsidR="00EE4FC3">
        <w:t xml:space="preserve">  </w:t>
      </w:r>
      <w:r w:rsidRPr="00382917">
        <w:t>The</w:t>
      </w:r>
      <w:r w:rsidR="00EE4FC3">
        <w:t xml:space="preserve"> </w:t>
      </w:r>
      <w:r w:rsidRPr="00382917">
        <w:t>crowd</w:t>
      </w:r>
      <w:r w:rsidR="00EE4FC3">
        <w:t xml:space="preserve"> </w:t>
      </w:r>
      <w:r w:rsidRPr="00382917">
        <w:t>stirred</w:t>
      </w:r>
      <w:r w:rsidR="00EE4FC3">
        <w:t xml:space="preserve"> </w:t>
      </w:r>
      <w:r w:rsidRPr="00382917">
        <w:t>restlessly</w:t>
      </w:r>
      <w:r w:rsidR="00330AF7">
        <w:t>.</w:t>
      </w:r>
      <w:r w:rsidR="00EE4FC3">
        <w:t xml:space="preserve">  </w:t>
      </w:r>
      <w:r w:rsidRPr="00382917">
        <w:t>The</w:t>
      </w:r>
      <w:r w:rsidR="00EE4FC3">
        <w:t xml:space="preserve"> </w:t>
      </w:r>
      <w:r w:rsidRPr="00382917">
        <w:t>rifles</w:t>
      </w:r>
      <w:r w:rsidR="00EE4FC3">
        <w:t xml:space="preserve"> </w:t>
      </w:r>
      <w:r w:rsidRPr="00382917">
        <w:t>were</w:t>
      </w:r>
      <w:r w:rsidR="00EE4FC3">
        <w:t xml:space="preserve"> </w:t>
      </w:r>
      <w:r w:rsidRPr="00382917">
        <w:t>raised,</w:t>
      </w:r>
      <w:r w:rsidR="00EE4FC3">
        <w:t xml:space="preserve"> </w:t>
      </w:r>
      <w:r w:rsidRPr="00382917">
        <w:t>the</w:t>
      </w:r>
      <w:r w:rsidR="00EE4FC3">
        <w:t xml:space="preserve"> </w:t>
      </w:r>
      <w:r w:rsidRPr="00382917">
        <w:t>command</w:t>
      </w:r>
      <w:r w:rsidR="00EE4FC3">
        <w:t xml:space="preserve"> </w:t>
      </w:r>
      <w:r w:rsidRPr="00382917">
        <w:t>given,</w:t>
      </w:r>
      <w:r w:rsidR="00EE4FC3">
        <w:t xml:space="preserve"> </w:t>
      </w:r>
      <w:r w:rsidRPr="00382917">
        <w:t>and</w:t>
      </w:r>
      <w:r w:rsidR="00EE4FC3">
        <w:t xml:space="preserve"> </w:t>
      </w:r>
      <w:r w:rsidRPr="00382917">
        <w:t>the</w:t>
      </w:r>
      <w:r w:rsidR="00EE4FC3">
        <w:t xml:space="preserve"> </w:t>
      </w:r>
      <w:r w:rsidRPr="00382917">
        <w:t>rifles</w:t>
      </w:r>
      <w:r w:rsidR="00EE4FC3">
        <w:t xml:space="preserve"> </w:t>
      </w:r>
      <w:r w:rsidRPr="00382917">
        <w:t>thundered</w:t>
      </w:r>
      <w:r w:rsidR="00330AF7">
        <w:t>.</w:t>
      </w:r>
      <w:r w:rsidR="00EE4FC3">
        <w:t xml:space="preserve">  </w:t>
      </w:r>
      <w:r w:rsidRPr="00382917">
        <w:t>The</w:t>
      </w:r>
      <w:r w:rsidR="00EE4FC3">
        <w:t xml:space="preserve"> </w:t>
      </w:r>
      <w:r w:rsidRPr="00382917">
        <w:t>bodies</w:t>
      </w:r>
      <w:r w:rsidR="00EE4FC3">
        <w:t xml:space="preserve"> </w:t>
      </w:r>
      <w:r w:rsidRPr="00382917">
        <w:t>of</w:t>
      </w:r>
      <w:r w:rsidR="00EE4FC3">
        <w:t xml:space="preserve"> </w:t>
      </w:r>
      <w:r w:rsidRPr="00382917">
        <w:t>the</w:t>
      </w:r>
      <w:r w:rsidR="00EE4FC3">
        <w:t xml:space="preserve"> </w:t>
      </w:r>
      <w:r w:rsidRPr="00382917">
        <w:t>Báb</w:t>
      </w:r>
      <w:r w:rsidR="00EE4FC3">
        <w:t xml:space="preserve"> </w:t>
      </w:r>
      <w:r w:rsidRPr="00382917">
        <w:t>and</w:t>
      </w:r>
      <w:r w:rsidR="00EE4FC3">
        <w:t xml:space="preserve"> </w:t>
      </w:r>
      <w:r w:rsidRPr="00382917">
        <w:t>His</w:t>
      </w:r>
      <w:r w:rsidR="00EE4FC3">
        <w:t xml:space="preserve"> </w:t>
      </w:r>
      <w:r w:rsidRPr="00382917">
        <w:t>youthful</w:t>
      </w:r>
      <w:r w:rsidR="00EE4FC3">
        <w:t xml:space="preserve"> </w:t>
      </w:r>
      <w:r w:rsidRPr="00382917">
        <w:t>companion</w:t>
      </w:r>
      <w:r w:rsidR="00EE4FC3">
        <w:t xml:space="preserve"> </w:t>
      </w:r>
      <w:r w:rsidRPr="00382917">
        <w:t>were</w:t>
      </w:r>
      <w:r w:rsidR="00EE4FC3">
        <w:t xml:space="preserve"> </w:t>
      </w:r>
      <w:r w:rsidRPr="00382917">
        <w:t>shattered</w:t>
      </w:r>
      <w:r w:rsidR="00EE4FC3">
        <w:t xml:space="preserve"> </w:t>
      </w:r>
      <w:r w:rsidRPr="00382917">
        <w:t>by</w:t>
      </w:r>
      <w:r w:rsidR="00EE4FC3">
        <w:t xml:space="preserve"> </w:t>
      </w:r>
      <w:r w:rsidRPr="00382917">
        <w:t>the</w:t>
      </w:r>
      <w:r w:rsidR="00EE4FC3">
        <w:t xml:space="preserve"> </w:t>
      </w:r>
      <w:r w:rsidRPr="00382917">
        <w:t>blast.</w:t>
      </w:r>
    </w:p>
    <w:p w:rsidR="001B6670" w:rsidRPr="00382917" w:rsidRDefault="001B6670" w:rsidP="00775809">
      <w:pPr>
        <w:pStyle w:val="Text"/>
      </w:pPr>
      <w:r w:rsidRPr="00382917">
        <w:t>As</w:t>
      </w:r>
      <w:r w:rsidR="00EE4FC3">
        <w:t xml:space="preserve"> </w:t>
      </w:r>
      <w:r w:rsidRPr="00382917">
        <w:t>Jesus</w:t>
      </w:r>
      <w:r w:rsidR="00EE4FC3">
        <w:t xml:space="preserve"> </w:t>
      </w:r>
      <w:r w:rsidRPr="00382917">
        <w:t>had</w:t>
      </w:r>
      <w:r w:rsidR="00EE4FC3">
        <w:t xml:space="preserve"> </w:t>
      </w:r>
      <w:r w:rsidRPr="00382917">
        <w:t>expired</w:t>
      </w:r>
      <w:r w:rsidR="00EE4FC3">
        <w:t xml:space="preserve"> </w:t>
      </w:r>
      <w:r w:rsidRPr="00382917">
        <w:t>on</w:t>
      </w:r>
      <w:r w:rsidR="00EE4FC3">
        <w:t xml:space="preserve"> </w:t>
      </w:r>
      <w:r w:rsidRPr="00382917">
        <w:t>the</w:t>
      </w:r>
      <w:r w:rsidR="00EE4FC3">
        <w:t xml:space="preserve"> </w:t>
      </w:r>
      <w:r w:rsidRPr="00382917">
        <w:t>cross</w:t>
      </w:r>
      <w:r w:rsidR="00EE4FC3">
        <w:t xml:space="preserve"> </w:t>
      </w:r>
      <w:r w:rsidRPr="00382917">
        <w:t>so</w:t>
      </w:r>
      <w:r w:rsidR="00EE4FC3">
        <w:t xml:space="preserve"> </w:t>
      </w:r>
      <w:r w:rsidRPr="00382917">
        <w:t>that</w:t>
      </w:r>
      <w:r w:rsidR="00EE4FC3">
        <w:t xml:space="preserve"> </w:t>
      </w:r>
      <w:r w:rsidRPr="00382917">
        <w:t>men</w:t>
      </w:r>
      <w:r w:rsidR="00EE4FC3">
        <w:t xml:space="preserve"> </w:t>
      </w:r>
      <w:r w:rsidRPr="00382917">
        <w:t>might</w:t>
      </w:r>
      <w:r w:rsidR="00EE4FC3">
        <w:t xml:space="preserve"> </w:t>
      </w:r>
      <w:r w:rsidRPr="00382917">
        <w:t>be</w:t>
      </w:r>
      <w:r w:rsidR="00EE4FC3">
        <w:t xml:space="preserve"> </w:t>
      </w:r>
      <w:r w:rsidRPr="00382917">
        <w:t>called</w:t>
      </w:r>
      <w:r w:rsidR="00EE4FC3">
        <w:t xml:space="preserve"> </w:t>
      </w:r>
      <w:r w:rsidRPr="00382917">
        <w:t>back</w:t>
      </w:r>
      <w:r w:rsidR="00EE4FC3">
        <w:t xml:space="preserve"> </w:t>
      </w:r>
      <w:r w:rsidRPr="00382917">
        <w:t>to</w:t>
      </w:r>
      <w:r w:rsidR="00EE4FC3">
        <w:t xml:space="preserve"> </w:t>
      </w:r>
      <w:r w:rsidRPr="00382917">
        <w:t>God,</w:t>
      </w:r>
      <w:r w:rsidR="00EE4FC3">
        <w:t xml:space="preserve"> </w:t>
      </w:r>
      <w:r w:rsidRPr="00382917">
        <w:t>so</w:t>
      </w:r>
      <w:r w:rsidR="00EE4FC3">
        <w:t xml:space="preserve"> </w:t>
      </w:r>
      <w:r w:rsidRPr="00382917">
        <w:t>did</w:t>
      </w:r>
      <w:r w:rsidR="00EE4FC3">
        <w:t xml:space="preserve"> </w:t>
      </w:r>
      <w:r w:rsidRPr="00382917">
        <w:t>the</w:t>
      </w:r>
      <w:r w:rsidR="00EE4FC3">
        <w:t xml:space="preserve"> </w:t>
      </w:r>
      <w:r w:rsidRPr="00382917">
        <w:t>Báb</w:t>
      </w:r>
      <w:r w:rsidR="00EE4FC3">
        <w:t xml:space="preserve"> </w:t>
      </w:r>
      <w:r w:rsidRPr="00382917">
        <w:t>breathe</w:t>
      </w:r>
      <w:r w:rsidR="00EE4FC3">
        <w:t xml:space="preserve"> </w:t>
      </w:r>
      <w:r w:rsidRPr="00382917">
        <w:t>His</w:t>
      </w:r>
      <w:r w:rsidR="00EE4FC3">
        <w:t xml:space="preserve"> </w:t>
      </w:r>
      <w:r w:rsidRPr="00382917">
        <w:t>last</w:t>
      </w:r>
      <w:r w:rsidR="00EE4FC3">
        <w:t xml:space="preserve"> </w:t>
      </w:r>
      <w:r w:rsidRPr="00382917">
        <w:t>against</w:t>
      </w:r>
      <w:r w:rsidR="00EE4FC3">
        <w:t xml:space="preserve"> </w:t>
      </w:r>
      <w:r w:rsidRPr="00382917">
        <w:t>a</w:t>
      </w:r>
      <w:r w:rsidR="00EE4FC3">
        <w:t xml:space="preserve"> </w:t>
      </w:r>
      <w:r w:rsidRPr="00382917">
        <w:t>barracks</w:t>
      </w:r>
      <w:r w:rsidR="00EE4FC3">
        <w:t xml:space="preserve"> </w:t>
      </w:r>
      <w:r w:rsidRPr="00382917">
        <w:t>wall</w:t>
      </w:r>
      <w:r w:rsidR="00EE4FC3">
        <w:t xml:space="preserve"> </w:t>
      </w:r>
      <w:r w:rsidRPr="00382917">
        <w:t>in</w:t>
      </w:r>
      <w:r w:rsidR="00EE4FC3">
        <w:t xml:space="preserve"> </w:t>
      </w:r>
      <w:r w:rsidRPr="00382917">
        <w:t>the</w:t>
      </w:r>
      <w:r w:rsidR="00EE4FC3">
        <w:t xml:space="preserve"> </w:t>
      </w:r>
      <w:r w:rsidRPr="00382917">
        <w:t>city</w:t>
      </w:r>
      <w:r w:rsidR="00EE4FC3">
        <w:t xml:space="preserve"> </w:t>
      </w:r>
      <w:r w:rsidRPr="00382917">
        <w:t>of</w:t>
      </w:r>
      <w:r w:rsidR="00EE4FC3">
        <w:t xml:space="preserve"> </w:t>
      </w:r>
      <w:r w:rsidRPr="00382917">
        <w:t>Tabríz,</w:t>
      </w:r>
      <w:r w:rsidR="00EE4FC3">
        <w:t xml:space="preserve"> </w:t>
      </w:r>
      <w:r w:rsidRPr="00382917">
        <w:t>Persia.</w:t>
      </w:r>
    </w:p>
    <w:p w:rsidR="00E13D49" w:rsidRPr="00382917" w:rsidRDefault="001B6670" w:rsidP="005415D8">
      <w:pPr>
        <w:pStyle w:val="Text"/>
      </w:pPr>
      <w:r w:rsidRPr="00382917">
        <w:t>The</w:t>
      </w:r>
      <w:r w:rsidR="00EE4FC3">
        <w:t xml:space="preserve"> </w:t>
      </w:r>
      <w:r w:rsidRPr="00382917">
        <w:t>historian</w:t>
      </w:r>
      <w:r w:rsidR="00EE4FC3">
        <w:t xml:space="preserve"> </w:t>
      </w:r>
      <w:r w:rsidRPr="00382917">
        <w:t>Nicolas</w:t>
      </w:r>
      <w:r w:rsidR="00EE4FC3">
        <w:t xml:space="preserve"> </w:t>
      </w:r>
      <w:r w:rsidRPr="00382917">
        <w:t>in</w:t>
      </w:r>
      <w:r w:rsidR="00EE4FC3">
        <w:t xml:space="preserve"> </w:t>
      </w:r>
      <w:r w:rsidRPr="00382917">
        <w:t>his</w:t>
      </w:r>
      <w:r w:rsidR="00EE4FC3">
        <w:t xml:space="preserve"> </w:t>
      </w:r>
      <w:r w:rsidRPr="00382917">
        <w:t>account</w:t>
      </w:r>
      <w:r w:rsidR="00EE4FC3">
        <w:t xml:space="preserve"> </w:t>
      </w:r>
      <w:r w:rsidRPr="00382917">
        <w:t>of</w:t>
      </w:r>
      <w:r w:rsidR="00EE4FC3">
        <w:t xml:space="preserve"> </w:t>
      </w:r>
      <w:r w:rsidRPr="00382917">
        <w:t>those</w:t>
      </w:r>
      <w:r w:rsidR="00EE4FC3">
        <w:t xml:space="preserve"> </w:t>
      </w:r>
      <w:r w:rsidRPr="00382917">
        <w:t>hours</w:t>
      </w:r>
      <w:r w:rsidR="00EE4FC3">
        <w:t xml:space="preserve"> </w:t>
      </w:r>
      <w:r w:rsidRPr="00382917">
        <w:t>writes,</w:t>
      </w:r>
      <w:r w:rsidR="00EE4FC3">
        <w:t xml:space="preserve"> </w:t>
      </w:r>
      <w:r w:rsidR="009C713D" w:rsidRPr="00382917">
        <w:t>“</w:t>
      </w:r>
      <w:r w:rsidRPr="00382917">
        <w:t>Christians</w:t>
      </w:r>
      <w:r w:rsidR="00EE4FC3">
        <w:t xml:space="preserve"> </w:t>
      </w:r>
      <w:r w:rsidRPr="00382917">
        <w:t>believe</w:t>
      </w:r>
      <w:r w:rsidR="00EE4FC3">
        <w:t xml:space="preserve"> </w:t>
      </w:r>
      <w:r w:rsidRPr="00382917">
        <w:t>that</w:t>
      </w:r>
      <w:r w:rsidR="00EE4FC3">
        <w:t xml:space="preserve"> </w:t>
      </w:r>
      <w:r w:rsidRPr="00382917">
        <w:t>if</w:t>
      </w:r>
      <w:r w:rsidR="00EE4FC3">
        <w:t xml:space="preserve"> </w:t>
      </w:r>
      <w:r w:rsidRPr="00382917">
        <w:t>Jesus</w:t>
      </w:r>
      <w:r w:rsidR="00EE4FC3">
        <w:t xml:space="preserve"> </w:t>
      </w:r>
      <w:r w:rsidRPr="00382917">
        <w:t>had</w:t>
      </w:r>
      <w:r w:rsidR="00EE4FC3">
        <w:t xml:space="preserve"> </w:t>
      </w:r>
      <w:r w:rsidRPr="00382917">
        <w:t>wished</w:t>
      </w:r>
      <w:r w:rsidR="00EE4FC3">
        <w:t xml:space="preserve"> </w:t>
      </w:r>
      <w:r w:rsidRPr="00382917">
        <w:t>to</w:t>
      </w:r>
      <w:r w:rsidR="00EE4FC3">
        <w:t xml:space="preserve"> </w:t>
      </w:r>
      <w:r w:rsidRPr="00382917">
        <w:t>come</w:t>
      </w:r>
      <w:r w:rsidR="00EE4FC3">
        <w:t xml:space="preserve"> </w:t>
      </w:r>
      <w:r w:rsidRPr="00382917">
        <w:t>clown</w:t>
      </w:r>
      <w:r w:rsidR="00EE4FC3">
        <w:t xml:space="preserve"> </w:t>
      </w:r>
      <w:r w:rsidRPr="00382917">
        <w:t>from</w:t>
      </w:r>
      <w:r w:rsidR="00EE4FC3">
        <w:t xml:space="preserve"> </w:t>
      </w:r>
      <w:r w:rsidRPr="00382917">
        <w:t>the</w:t>
      </w:r>
      <w:r w:rsidR="00EE4FC3">
        <w:t xml:space="preserve"> </w:t>
      </w:r>
      <w:r w:rsidRPr="00382917">
        <w:t>cross</w:t>
      </w:r>
      <w:r w:rsidR="00EE4FC3">
        <w:t xml:space="preserve"> </w:t>
      </w:r>
      <w:r w:rsidRPr="00382917">
        <w:t>he</w:t>
      </w:r>
      <w:r w:rsidR="00EE4FC3">
        <w:t xml:space="preserve"> </w:t>
      </w:r>
      <w:r w:rsidRPr="00382917">
        <w:t>could</w:t>
      </w:r>
      <w:r w:rsidR="00EE4FC3">
        <w:t xml:space="preserve"> </w:t>
      </w:r>
      <w:r w:rsidRPr="00382917">
        <w:t>have</w:t>
      </w:r>
      <w:r w:rsidR="00EE4FC3">
        <w:t xml:space="preserve"> </w:t>
      </w:r>
      <w:r w:rsidRPr="00382917">
        <w:t>done</w:t>
      </w:r>
      <w:r w:rsidR="00EE4FC3">
        <w:t xml:space="preserve"> </w:t>
      </w:r>
      <w:r w:rsidRPr="00382917">
        <w:t>so</w:t>
      </w:r>
      <w:r w:rsidR="00EE4FC3">
        <w:t xml:space="preserve"> </w:t>
      </w:r>
      <w:r w:rsidRPr="00382917">
        <w:t>easily;</w:t>
      </w:r>
      <w:r w:rsidR="00EE4FC3">
        <w:t xml:space="preserve"> </w:t>
      </w:r>
      <w:r w:rsidRPr="00382917">
        <w:t>he</w:t>
      </w:r>
      <w:r w:rsidR="00EE4FC3">
        <w:t xml:space="preserve"> </w:t>
      </w:r>
      <w:r w:rsidRPr="00382917">
        <w:t>died</w:t>
      </w:r>
      <w:r w:rsidR="00EE4FC3">
        <w:t xml:space="preserve"> </w:t>
      </w:r>
      <w:r w:rsidRPr="00382917">
        <w:t>of</w:t>
      </w:r>
      <w:r w:rsidR="00EE4FC3">
        <w:t xml:space="preserve"> </w:t>
      </w:r>
      <w:r w:rsidRPr="00382917">
        <w:t>his</w:t>
      </w:r>
      <w:r w:rsidR="00EE4FC3">
        <w:t xml:space="preserve"> </w:t>
      </w:r>
      <w:r w:rsidRPr="00382917">
        <w:t>own</w:t>
      </w:r>
      <w:r w:rsidR="00EE4FC3">
        <w:t xml:space="preserve"> </w:t>
      </w:r>
      <w:r w:rsidRPr="00382917">
        <w:t>free</w:t>
      </w:r>
      <w:r w:rsidR="00EE4FC3">
        <w:t xml:space="preserve"> </w:t>
      </w:r>
      <w:r w:rsidRPr="00382917">
        <w:t>will</w:t>
      </w:r>
      <w:r w:rsidR="00EE4FC3">
        <w:t xml:space="preserve"> </w:t>
      </w:r>
      <w:r w:rsidRPr="00382917">
        <w:t>because</w:t>
      </w:r>
      <w:r w:rsidR="00EE4FC3">
        <w:t xml:space="preserve"> </w:t>
      </w:r>
      <w:r w:rsidRPr="00382917">
        <w:t>it</w:t>
      </w:r>
      <w:r w:rsidR="00EE4FC3">
        <w:t xml:space="preserve"> </w:t>
      </w:r>
      <w:r w:rsidRPr="00382917">
        <w:t>was</w:t>
      </w:r>
      <w:r w:rsidR="00EE4FC3">
        <w:t xml:space="preserve"> </w:t>
      </w:r>
      <w:r w:rsidRPr="00382917">
        <w:t>written</w:t>
      </w:r>
      <w:r w:rsidR="00EE4FC3">
        <w:t xml:space="preserve"> </w:t>
      </w:r>
      <w:r w:rsidRPr="00382917">
        <w:t>that</w:t>
      </w:r>
      <w:r w:rsidR="00EE4FC3">
        <w:t xml:space="preserve"> </w:t>
      </w:r>
      <w:r w:rsidRPr="00382917">
        <w:t>he</w:t>
      </w:r>
      <w:r w:rsidR="00EE4FC3">
        <w:t xml:space="preserve"> </w:t>
      </w:r>
      <w:r w:rsidRPr="00382917">
        <w:t>should</w:t>
      </w:r>
      <w:r w:rsidR="00EE4FC3">
        <w:t xml:space="preserve"> </w:t>
      </w:r>
      <w:r w:rsidRPr="00382917">
        <w:t>and</w:t>
      </w:r>
      <w:r w:rsidR="00EE4FC3">
        <w:t xml:space="preserve"> </w:t>
      </w:r>
      <w:r w:rsidRPr="00382917">
        <w:t>in</w:t>
      </w:r>
      <w:r w:rsidR="00EE4FC3">
        <w:t xml:space="preserve"> </w:t>
      </w:r>
      <w:r w:rsidRPr="00382917">
        <w:t>order</w:t>
      </w:r>
      <w:r w:rsidR="00EE4FC3">
        <w:t xml:space="preserve"> </w:t>
      </w:r>
      <w:r w:rsidRPr="00382917">
        <w:t>that</w:t>
      </w:r>
      <w:r w:rsidR="00EE4FC3">
        <w:t xml:space="preserve"> </w:t>
      </w:r>
      <w:r w:rsidRPr="00382917">
        <w:t>the</w:t>
      </w:r>
      <w:r w:rsidR="00EE4FC3">
        <w:t xml:space="preserve"> </w:t>
      </w:r>
      <w:r w:rsidRPr="00382917">
        <w:t>prophecies</w:t>
      </w:r>
      <w:r w:rsidR="00EE4FC3">
        <w:t xml:space="preserve"> </w:t>
      </w:r>
      <w:r w:rsidRPr="00382917">
        <w:t>might</w:t>
      </w:r>
      <w:r w:rsidR="00EE4FC3">
        <w:t xml:space="preserve"> </w:t>
      </w:r>
      <w:r w:rsidRPr="00382917">
        <w:t>be</w:t>
      </w:r>
      <w:r w:rsidR="00EE4FC3">
        <w:t xml:space="preserve"> </w:t>
      </w:r>
      <w:r w:rsidRPr="00382917">
        <w:t>fulfilled</w:t>
      </w:r>
      <w:r w:rsidR="00330AF7">
        <w:t>.</w:t>
      </w:r>
      <w:r w:rsidR="00EE4FC3">
        <w:t xml:space="preserve">  </w:t>
      </w:r>
      <w:r w:rsidRPr="00382917">
        <w:t>The</w:t>
      </w:r>
      <w:r w:rsidR="00EE4FC3">
        <w:t xml:space="preserve"> </w:t>
      </w:r>
      <w:r w:rsidRPr="00382917">
        <w:t>same</w:t>
      </w:r>
      <w:r w:rsidR="00EE4FC3">
        <w:t xml:space="preserve"> </w:t>
      </w:r>
      <w:r w:rsidRPr="00382917">
        <w:t>is</w:t>
      </w:r>
      <w:r w:rsidR="00EE4FC3">
        <w:t xml:space="preserve"> </w:t>
      </w:r>
      <w:r w:rsidRPr="00382917">
        <w:t>true</w:t>
      </w:r>
      <w:r w:rsidR="00EE4FC3">
        <w:t xml:space="preserve"> </w:t>
      </w:r>
      <w:r w:rsidRPr="00382917">
        <w:t>of</w:t>
      </w:r>
      <w:r w:rsidR="00EE4FC3">
        <w:t xml:space="preserve"> </w:t>
      </w:r>
      <w:r w:rsidRPr="00382917">
        <w:t>the</w:t>
      </w:r>
      <w:r w:rsidR="00EE4FC3">
        <w:t xml:space="preserve"> </w:t>
      </w:r>
      <w:r w:rsidRPr="00382917">
        <w:t>Báb</w:t>
      </w:r>
      <w:r w:rsidR="00EE4FC3">
        <w:t xml:space="preserve"> </w:t>
      </w:r>
      <w:r w:rsidRPr="00382917">
        <w:t>so</w:t>
      </w:r>
      <w:r w:rsidR="00EE4FC3">
        <w:t xml:space="preserve"> </w:t>
      </w:r>
      <w:r w:rsidRPr="00382917">
        <w:t>[His</w:t>
      </w:r>
      <w:r w:rsidR="00EE4FC3">
        <w:t xml:space="preserve"> </w:t>
      </w:r>
      <w:r w:rsidRPr="00382917">
        <w:t>followers]</w:t>
      </w:r>
      <w:r w:rsidR="00EE4FC3">
        <w:t xml:space="preserve"> </w:t>
      </w:r>
      <w:r w:rsidRPr="00382917">
        <w:t>say</w:t>
      </w:r>
      <w:r w:rsidR="00EE4FC3">
        <w:t xml:space="preserve"> </w:t>
      </w:r>
      <w:r w:rsidR="00F04416" w:rsidRPr="00382917">
        <w:t>…</w:t>
      </w:r>
      <w:r w:rsidR="00EE4FC3">
        <w:t xml:space="preserve"> </w:t>
      </w:r>
      <w:r w:rsidRPr="00382917">
        <w:t>He</w:t>
      </w:r>
      <w:r w:rsidR="00EE4FC3">
        <w:t xml:space="preserve"> </w:t>
      </w:r>
      <w:r w:rsidRPr="00382917">
        <w:t>likewise</w:t>
      </w:r>
      <w:r w:rsidR="00EE4FC3">
        <w:t xml:space="preserve"> </w:t>
      </w:r>
      <w:r w:rsidRPr="00382917">
        <w:t>died</w:t>
      </w:r>
      <w:r w:rsidR="00EE4FC3">
        <w:t xml:space="preserve"> </w:t>
      </w:r>
      <w:r w:rsidRPr="00382917">
        <w:t>voluntarily</w:t>
      </w:r>
      <w:r w:rsidR="00EE4FC3">
        <w:t xml:space="preserve"> </w:t>
      </w:r>
      <w:r w:rsidRPr="00382917">
        <w:t>because</w:t>
      </w:r>
      <w:r w:rsidR="00EE4FC3">
        <w:t xml:space="preserve"> </w:t>
      </w:r>
      <w:r w:rsidRPr="00382917">
        <w:t>his</w:t>
      </w:r>
      <w:r w:rsidR="00EE4FC3">
        <w:t xml:space="preserve"> </w:t>
      </w:r>
      <w:r w:rsidRPr="00382917">
        <w:t>death</w:t>
      </w:r>
      <w:r w:rsidR="00EE4FC3">
        <w:t xml:space="preserve"> </w:t>
      </w:r>
      <w:r w:rsidRPr="00382917">
        <w:t>was</w:t>
      </w:r>
      <w:r w:rsidR="00EE4FC3">
        <w:t xml:space="preserve"> </w:t>
      </w:r>
      <w:r w:rsidRPr="00382917">
        <w:t>to</w:t>
      </w:r>
      <w:r w:rsidR="00EE4FC3">
        <w:t xml:space="preserve"> </w:t>
      </w:r>
      <w:r w:rsidRPr="00382917">
        <w:t>be</w:t>
      </w:r>
      <w:r w:rsidR="00EE4FC3">
        <w:t xml:space="preserve"> </w:t>
      </w:r>
      <w:r w:rsidRPr="00382917">
        <w:t>the</w:t>
      </w:r>
      <w:r w:rsidR="00EE4FC3">
        <w:t xml:space="preserve"> </w:t>
      </w:r>
      <w:r w:rsidRPr="00382917">
        <w:t>salvation</w:t>
      </w:r>
      <w:r w:rsidR="00EE4FC3">
        <w:t xml:space="preserve"> </w:t>
      </w:r>
      <w:r w:rsidRPr="00382917">
        <w:t>of</w:t>
      </w:r>
      <w:r w:rsidR="00EE4FC3">
        <w:t xml:space="preserve"> </w:t>
      </w:r>
      <w:r w:rsidRPr="00382917">
        <w:t>humanity</w:t>
      </w:r>
      <w:r w:rsidR="00330AF7">
        <w:t>.</w:t>
      </w:r>
      <w:r w:rsidR="00EE4FC3">
        <w:t xml:space="preserve">  </w:t>
      </w:r>
      <w:r w:rsidRPr="00382917">
        <w:t>Who</w:t>
      </w:r>
      <w:r w:rsidR="00EE4FC3">
        <w:t xml:space="preserve"> </w:t>
      </w:r>
      <w:r w:rsidRPr="00382917">
        <w:t>will</w:t>
      </w:r>
      <w:r w:rsidR="00EE4FC3">
        <w:t xml:space="preserve"> </w:t>
      </w:r>
      <w:r w:rsidRPr="00382917">
        <w:t>Sever</w:t>
      </w:r>
      <w:r w:rsidR="00EE4FC3">
        <w:t xml:space="preserve"> </w:t>
      </w:r>
      <w:r w:rsidRPr="00382917">
        <w:t>tell</w:t>
      </w:r>
      <w:r w:rsidR="00EE4FC3">
        <w:t xml:space="preserve"> </w:t>
      </w:r>
      <w:r w:rsidRPr="00382917">
        <w:t>us</w:t>
      </w:r>
      <w:r w:rsidR="00EE4FC3">
        <w:t xml:space="preserve"> </w:t>
      </w:r>
      <w:r w:rsidRPr="00382917">
        <w:t>the</w:t>
      </w:r>
      <w:r w:rsidR="00EE4FC3">
        <w:t xml:space="preserve"> </w:t>
      </w:r>
      <w:r w:rsidRPr="00382917">
        <w:t>words</w:t>
      </w:r>
      <w:r w:rsidR="00EE4FC3">
        <w:t xml:space="preserve"> </w:t>
      </w:r>
      <w:r w:rsidRPr="00382917">
        <w:t>that</w:t>
      </w:r>
      <w:r w:rsidR="00EE4FC3">
        <w:t xml:space="preserve"> </w:t>
      </w:r>
      <w:r w:rsidRPr="00382917">
        <w:t>the</w:t>
      </w:r>
      <w:r w:rsidR="00EE4FC3">
        <w:t xml:space="preserve"> </w:t>
      </w:r>
      <w:r w:rsidRPr="00382917">
        <w:t>Báb</w:t>
      </w:r>
      <w:r w:rsidR="00EE4FC3">
        <w:t xml:space="preserve"> </w:t>
      </w:r>
      <w:r w:rsidRPr="00382917">
        <w:t>uttered</w:t>
      </w:r>
      <w:r w:rsidR="00EE4FC3">
        <w:t xml:space="preserve"> </w:t>
      </w:r>
      <w:r w:rsidRPr="00382917">
        <w:t>in</w:t>
      </w:r>
      <w:r w:rsidR="00EE4FC3">
        <w:t xml:space="preserve"> </w:t>
      </w:r>
      <w:r w:rsidRPr="00382917">
        <w:t>the</w:t>
      </w:r>
      <w:r w:rsidR="00EE4FC3">
        <w:t xml:space="preserve"> </w:t>
      </w:r>
      <w:r w:rsidRPr="00382917">
        <w:t>midst</w:t>
      </w:r>
      <w:r w:rsidR="00EE4FC3">
        <w:t xml:space="preserve"> </w:t>
      </w:r>
      <w:r w:rsidRPr="00382917">
        <w:t>of</w:t>
      </w:r>
      <w:r w:rsidR="00EE4FC3">
        <w:t xml:space="preserve"> </w:t>
      </w:r>
      <w:r w:rsidRPr="00382917">
        <w:t>the</w:t>
      </w:r>
      <w:r w:rsidR="00EE4FC3">
        <w:t xml:space="preserve"> </w:t>
      </w:r>
      <w:r w:rsidRPr="00382917">
        <w:t>unprecedented</w:t>
      </w:r>
      <w:r w:rsidR="00EE4FC3">
        <w:t xml:space="preserve"> </w:t>
      </w:r>
      <w:r w:rsidRPr="00382917">
        <w:t>turmoil</w:t>
      </w:r>
      <w:r w:rsidR="00EE4FC3">
        <w:t xml:space="preserve"> </w:t>
      </w:r>
      <w:r w:rsidRPr="00382917">
        <w:t>which</w:t>
      </w:r>
      <w:r w:rsidR="00EE4FC3">
        <w:t xml:space="preserve"> </w:t>
      </w:r>
      <w:r w:rsidRPr="00382917">
        <w:t>broke</w:t>
      </w:r>
      <w:r w:rsidR="00EE4FC3">
        <w:t xml:space="preserve"> </w:t>
      </w:r>
      <w:r w:rsidRPr="00382917">
        <w:t>out</w:t>
      </w:r>
      <w:proofErr w:type="gramStart"/>
      <w:r w:rsidR="005415D8">
        <w:t xml:space="preserve">. </w:t>
      </w:r>
      <w:r w:rsidR="00F04416" w:rsidRPr="00382917">
        <w:t>…</w:t>
      </w:r>
      <w:r w:rsidR="00EE4FC3">
        <w:t xml:space="preserve">  </w:t>
      </w:r>
      <w:r w:rsidRPr="00382917">
        <w:t>who</w:t>
      </w:r>
      <w:proofErr w:type="gramEnd"/>
      <w:r w:rsidR="00EE4FC3">
        <w:t xml:space="preserve"> </w:t>
      </w:r>
      <w:r w:rsidRPr="00382917">
        <w:t>will</w:t>
      </w:r>
      <w:r w:rsidR="00EE4FC3">
        <w:t xml:space="preserve"> </w:t>
      </w:r>
      <w:r w:rsidRPr="00382917">
        <w:t>ever</w:t>
      </w:r>
      <w:r w:rsidR="00EE4FC3">
        <w:t xml:space="preserve"> </w:t>
      </w:r>
      <w:r w:rsidRPr="00382917">
        <w:t>know</w:t>
      </w:r>
      <w:r w:rsidR="00EE4FC3">
        <w:t xml:space="preserve"> </w:t>
      </w:r>
      <w:r w:rsidRPr="00382917">
        <w:t>the</w:t>
      </w:r>
      <w:r w:rsidR="00EE4FC3">
        <w:t xml:space="preserve"> </w:t>
      </w:r>
      <w:r w:rsidRPr="00382917">
        <w:t>memories</w:t>
      </w:r>
      <w:r w:rsidR="00EE4FC3">
        <w:t xml:space="preserve"> </w:t>
      </w:r>
      <w:r w:rsidRPr="00382917">
        <w:t>which</w:t>
      </w:r>
      <w:r w:rsidR="00EE4FC3">
        <w:t xml:space="preserve"> </w:t>
      </w:r>
      <w:r w:rsidRPr="00382917">
        <w:t>stirred</w:t>
      </w:r>
      <w:r w:rsidR="00EE4FC3">
        <w:t xml:space="preserve"> </w:t>
      </w:r>
      <w:r w:rsidRPr="00382917">
        <w:t>his</w:t>
      </w:r>
      <w:r w:rsidR="00EE4FC3">
        <w:t xml:space="preserve"> </w:t>
      </w:r>
      <w:r w:rsidRPr="00382917">
        <w:t>noble</w:t>
      </w:r>
      <w:r w:rsidR="00EE4FC3">
        <w:t xml:space="preserve"> </w:t>
      </w:r>
      <w:r w:rsidRPr="00382917">
        <w:t>soul?</w:t>
      </w:r>
      <w:r w:rsidR="009C713D" w:rsidRPr="00382917">
        <w:t>”</w:t>
      </w:r>
      <w:r w:rsidR="005415D8">
        <w:rPr>
          <w:rStyle w:val="FootnoteReference"/>
        </w:rPr>
        <w:footnoteReference w:id="258"/>
      </w:r>
    </w:p>
    <w:p w:rsidR="001B6670" w:rsidRPr="00382917" w:rsidRDefault="001B6670" w:rsidP="005415D8">
      <w:pPr>
        <w:pStyle w:val="Text"/>
      </w:pPr>
      <w:r w:rsidRPr="00382917">
        <w:t>Christ</w:t>
      </w:r>
      <w:r w:rsidR="00EE4FC3">
        <w:t xml:space="preserve"> </w:t>
      </w:r>
      <w:r w:rsidRPr="00382917">
        <w:t>in</w:t>
      </w:r>
      <w:r w:rsidR="00EE4FC3">
        <w:t xml:space="preserve"> </w:t>
      </w:r>
      <w:r w:rsidRPr="00382917">
        <w:t>His</w:t>
      </w:r>
      <w:r w:rsidR="00EE4FC3">
        <w:t xml:space="preserve"> </w:t>
      </w:r>
      <w:r w:rsidRPr="00382917">
        <w:t>agony</w:t>
      </w:r>
      <w:r w:rsidR="00EE4FC3">
        <w:t xml:space="preserve"> </w:t>
      </w:r>
      <w:r w:rsidRPr="00382917">
        <w:t>in</w:t>
      </w:r>
      <w:r w:rsidR="00EE4FC3">
        <w:t xml:space="preserve"> </w:t>
      </w:r>
      <w:r w:rsidRPr="00382917">
        <w:t>the</w:t>
      </w:r>
      <w:r w:rsidR="00EE4FC3">
        <w:t xml:space="preserve"> </w:t>
      </w:r>
      <w:r w:rsidRPr="00382917">
        <w:t>garden</w:t>
      </w:r>
      <w:r w:rsidR="00EE4FC3">
        <w:t xml:space="preserve"> </w:t>
      </w:r>
      <w:r w:rsidRPr="00382917">
        <w:t>of</w:t>
      </w:r>
      <w:r w:rsidR="00EE4FC3">
        <w:t xml:space="preserve"> </w:t>
      </w:r>
      <w:r w:rsidRPr="00382917">
        <w:t>Gethsemane</w:t>
      </w:r>
      <w:r w:rsidR="00EE4FC3">
        <w:t xml:space="preserve"> </w:t>
      </w:r>
      <w:r w:rsidRPr="00382917">
        <w:t>cried</w:t>
      </w:r>
      <w:r w:rsidR="00EE4FC3">
        <w:t xml:space="preserve"> </w:t>
      </w:r>
      <w:r w:rsidRPr="00382917">
        <w:t>out,</w:t>
      </w:r>
      <w:r w:rsidR="00EE4FC3">
        <w:t xml:space="preserve"> </w:t>
      </w:r>
      <w:r w:rsidR="009C713D" w:rsidRPr="00382917">
        <w:t>“</w:t>
      </w:r>
      <w:r w:rsidRPr="00382917">
        <w:t>Father</w:t>
      </w:r>
      <w:proofErr w:type="gramStart"/>
      <w:r w:rsidRPr="00382917">
        <w:t>!</w:t>
      </w:r>
      <w:r w:rsidR="00EE4FC3">
        <w:t xml:space="preserve"> </w:t>
      </w:r>
      <w:r w:rsidRPr="00382917">
        <w:t>if</w:t>
      </w:r>
      <w:proofErr w:type="gramEnd"/>
      <w:r w:rsidR="00EE4FC3">
        <w:t xml:space="preserve"> </w:t>
      </w:r>
      <w:r w:rsidRPr="00382917">
        <w:t>Thou</w:t>
      </w:r>
      <w:r w:rsidR="00EE4FC3">
        <w:t xml:space="preserve"> </w:t>
      </w:r>
      <w:r w:rsidRPr="00382917">
        <w:t>be</w:t>
      </w:r>
      <w:r w:rsidR="00EE4FC3">
        <w:t xml:space="preserve"> </w:t>
      </w:r>
      <w:r w:rsidRPr="00382917">
        <w:t>willing,</w:t>
      </w:r>
      <w:r w:rsidR="00EE4FC3">
        <w:t xml:space="preserve"> </w:t>
      </w:r>
      <w:r w:rsidRPr="00382917">
        <w:t>remove</w:t>
      </w:r>
      <w:r w:rsidR="00EE4FC3">
        <w:t xml:space="preserve"> </w:t>
      </w:r>
      <w:r w:rsidRPr="00382917">
        <w:t>this</w:t>
      </w:r>
      <w:r w:rsidR="00EE4FC3">
        <w:t xml:space="preserve"> </w:t>
      </w:r>
      <w:r w:rsidRPr="00382917">
        <w:t>cup</w:t>
      </w:r>
      <w:r w:rsidR="00EE4FC3">
        <w:t xml:space="preserve"> </w:t>
      </w:r>
      <w:r w:rsidRPr="00382917">
        <w:t>from</w:t>
      </w:r>
      <w:r w:rsidR="00EE4FC3">
        <w:t xml:space="preserve"> </w:t>
      </w:r>
      <w:r w:rsidRPr="00382917">
        <w:t>me</w:t>
      </w:r>
      <w:r w:rsidR="00C03C91">
        <w:t>:</w:t>
      </w:r>
      <w:r w:rsidR="00EE4FC3">
        <w:t xml:space="preserve">  </w:t>
      </w:r>
      <w:r w:rsidRPr="00382917">
        <w:t>nevertheless,</w:t>
      </w:r>
      <w:r w:rsidR="00EE4FC3">
        <w:t xml:space="preserve"> </w:t>
      </w:r>
      <w:r w:rsidRPr="00382917">
        <w:t>not</w:t>
      </w:r>
      <w:r w:rsidR="00EE4FC3">
        <w:t xml:space="preserve"> </w:t>
      </w:r>
      <w:r w:rsidRPr="00382917">
        <w:t>my</w:t>
      </w:r>
      <w:r w:rsidR="00EE4FC3">
        <w:t xml:space="preserve"> </w:t>
      </w:r>
      <w:r w:rsidRPr="00382917">
        <w:t>will,</w:t>
      </w:r>
      <w:r w:rsidR="00EE4FC3">
        <w:t xml:space="preserve"> </w:t>
      </w:r>
      <w:r w:rsidRPr="00382917">
        <w:t>but</w:t>
      </w:r>
      <w:r w:rsidR="00EE4FC3">
        <w:t xml:space="preserve"> </w:t>
      </w:r>
      <w:r w:rsidRPr="00382917">
        <w:t>Thine,</w:t>
      </w:r>
      <w:r w:rsidR="00EE4FC3">
        <w:t xml:space="preserve"> </w:t>
      </w:r>
      <w:r w:rsidRPr="00382917">
        <w:t>be</w:t>
      </w:r>
      <w:r w:rsidR="00EE4FC3">
        <w:t xml:space="preserve"> </w:t>
      </w:r>
      <w:r w:rsidRPr="00382917">
        <w:t>done.</w:t>
      </w:r>
      <w:r w:rsidR="009C713D" w:rsidRPr="00382917">
        <w:t>”</w:t>
      </w:r>
      <w:r w:rsidR="005415D8">
        <w:rPr>
          <w:rStyle w:val="FootnoteReference"/>
        </w:rPr>
        <w:footnoteReference w:id="259"/>
      </w:r>
      <w:r w:rsidR="005415D8">
        <w:t xml:space="preserve"> </w:t>
      </w:r>
      <w:r w:rsidR="00EE4FC3">
        <w:t xml:space="preserve"> </w:t>
      </w:r>
      <w:r w:rsidRPr="00382917">
        <w:t>The</w:t>
      </w:r>
      <w:r w:rsidR="00EE4FC3">
        <w:t xml:space="preserve"> </w:t>
      </w:r>
      <w:r w:rsidRPr="00382917">
        <w:t>Báb</w:t>
      </w:r>
      <w:r w:rsidR="00EE4FC3">
        <w:t xml:space="preserve"> </w:t>
      </w:r>
      <w:r w:rsidRPr="00382917">
        <w:t>in</w:t>
      </w:r>
      <w:r w:rsidR="00EE4FC3">
        <w:t xml:space="preserve"> </w:t>
      </w:r>
      <w:r w:rsidRPr="00382917">
        <w:t>the</w:t>
      </w:r>
      <w:r w:rsidR="00EE4FC3">
        <w:t xml:space="preserve"> </w:t>
      </w:r>
      <w:r w:rsidRPr="00382917">
        <w:t>frozen</w:t>
      </w:r>
      <w:r w:rsidR="00EE4FC3">
        <w:t xml:space="preserve"> </w:t>
      </w:r>
      <w:r w:rsidRPr="00382917">
        <w:t>winter</w:t>
      </w:r>
      <w:r w:rsidR="00EE4FC3">
        <w:t xml:space="preserve"> </w:t>
      </w:r>
      <w:r w:rsidRPr="00382917">
        <w:t>of</w:t>
      </w:r>
      <w:r w:rsidR="00EE4FC3">
        <w:t xml:space="preserve"> </w:t>
      </w:r>
      <w:r w:rsidRPr="00382917">
        <w:t>Máh-Kú</w:t>
      </w:r>
      <w:r w:rsidR="00EE4FC3">
        <w:t xml:space="preserve"> </w:t>
      </w:r>
      <w:r w:rsidRPr="00382917">
        <w:t>likewise</w:t>
      </w:r>
      <w:r w:rsidR="00EE4FC3">
        <w:t xml:space="preserve"> </w:t>
      </w:r>
      <w:r w:rsidRPr="00382917">
        <w:t>called</w:t>
      </w:r>
      <w:r w:rsidR="00EE4FC3">
        <w:t xml:space="preserve"> </w:t>
      </w:r>
      <w:r w:rsidRPr="00382917">
        <w:t>out</w:t>
      </w:r>
      <w:r w:rsidR="00EE4FC3">
        <w:t xml:space="preserve"> </w:t>
      </w:r>
      <w:r w:rsidRPr="00382917">
        <w:t>to</w:t>
      </w:r>
      <w:r w:rsidR="00EE4FC3">
        <w:t xml:space="preserve"> </w:t>
      </w:r>
      <w:r w:rsidRPr="00382917">
        <w:t>mankind</w:t>
      </w:r>
      <w:r w:rsidR="00EE4FC3">
        <w:t xml:space="preserve"> </w:t>
      </w:r>
      <w:r w:rsidRPr="00382917">
        <w:t>that</w:t>
      </w:r>
      <w:r w:rsidR="00EE4FC3">
        <w:t xml:space="preserve"> </w:t>
      </w:r>
      <w:r w:rsidRPr="00382917">
        <w:t>it</w:t>
      </w:r>
      <w:r w:rsidR="00EE4FC3">
        <w:t xml:space="preserve"> </w:t>
      </w:r>
      <w:r w:rsidRPr="00382917">
        <w:t>was</w:t>
      </w:r>
      <w:r w:rsidR="00EE4FC3">
        <w:t xml:space="preserve"> </w:t>
      </w:r>
      <w:r w:rsidRPr="00382917">
        <w:t>God</w:t>
      </w:r>
      <w:r w:rsidR="009C713D" w:rsidRPr="00382917">
        <w:t>’</w:t>
      </w:r>
      <w:r w:rsidRPr="00382917">
        <w:t>s</w:t>
      </w:r>
      <w:r w:rsidR="00EE4FC3">
        <w:t xml:space="preserve"> </w:t>
      </w:r>
      <w:r w:rsidRPr="00382917">
        <w:t>will</w:t>
      </w:r>
      <w:r w:rsidR="00EE4FC3">
        <w:t xml:space="preserve"> </w:t>
      </w:r>
      <w:r w:rsidRPr="00382917">
        <w:t>and</w:t>
      </w:r>
      <w:r w:rsidR="00EE4FC3">
        <w:t xml:space="preserve"> </w:t>
      </w:r>
      <w:r w:rsidRPr="00382917">
        <w:t>not</w:t>
      </w:r>
      <w:r w:rsidR="00EE4FC3">
        <w:t xml:space="preserve"> </w:t>
      </w:r>
      <w:r w:rsidRPr="00382917">
        <w:t>His</w:t>
      </w:r>
      <w:r w:rsidR="00EE4FC3">
        <w:t xml:space="preserve"> </w:t>
      </w:r>
      <w:r w:rsidRPr="00382917">
        <w:t>own</w:t>
      </w:r>
      <w:r w:rsidR="00EE4FC3">
        <w:t xml:space="preserve"> </w:t>
      </w:r>
      <w:r w:rsidRPr="00382917">
        <w:t>that</w:t>
      </w:r>
      <w:r w:rsidR="00EE4FC3">
        <w:t xml:space="preserve"> </w:t>
      </w:r>
      <w:r w:rsidRPr="00382917">
        <w:t>impelled</w:t>
      </w:r>
      <w:r w:rsidR="00EE4FC3">
        <w:t xml:space="preserve"> </w:t>
      </w:r>
      <w:r w:rsidRPr="00382917">
        <w:t>Him</w:t>
      </w:r>
      <w:r w:rsidR="00EE4FC3">
        <w:t xml:space="preserve"> </w:t>
      </w:r>
      <w:r w:rsidRPr="00382917">
        <w:t>to</w:t>
      </w:r>
      <w:r w:rsidR="00EE4FC3">
        <w:t xml:space="preserve"> </w:t>
      </w:r>
      <w:r w:rsidR="009C713D" w:rsidRPr="00382917">
        <w:t>“</w:t>
      </w:r>
      <w:r w:rsidRPr="00382917">
        <w:t>throw</w:t>
      </w:r>
      <w:r w:rsidR="00EE4FC3">
        <w:t xml:space="preserve"> </w:t>
      </w:r>
      <w:r w:rsidRPr="00382917">
        <w:t>Himself</w:t>
      </w:r>
      <w:r w:rsidR="00EE4FC3">
        <w:t xml:space="preserve"> </w:t>
      </w:r>
      <w:r w:rsidRPr="00382917">
        <w:t>headlong</w:t>
      </w:r>
      <w:r w:rsidR="00EE4FC3">
        <w:t xml:space="preserve"> </w:t>
      </w:r>
      <w:r w:rsidRPr="00382917">
        <w:t>into</w:t>
      </w:r>
      <w:r w:rsidR="00EE4FC3">
        <w:t xml:space="preserve"> </w:t>
      </w:r>
      <w:r w:rsidRPr="00382917">
        <w:t>that</w:t>
      </w:r>
      <w:r w:rsidR="00EE4FC3">
        <w:t xml:space="preserve"> </w:t>
      </w:r>
      <w:r w:rsidRPr="00382917">
        <w:t>ocean</w:t>
      </w:r>
      <w:r w:rsidR="00EE4FC3">
        <w:t xml:space="preserve"> </w:t>
      </w:r>
      <w:r w:rsidRPr="00382917">
        <w:t>of</w:t>
      </w:r>
      <w:r w:rsidR="00EE4FC3">
        <w:t xml:space="preserve"> </w:t>
      </w:r>
      <w:r w:rsidRPr="00382917">
        <w:t>superstition</w:t>
      </w:r>
      <w:r w:rsidR="00EE4FC3">
        <w:t xml:space="preserve"> </w:t>
      </w:r>
      <w:r w:rsidRPr="00382917">
        <w:t>and</w:t>
      </w:r>
      <w:r w:rsidR="00EE4FC3">
        <w:t xml:space="preserve"> </w:t>
      </w:r>
      <w:r w:rsidRPr="00382917">
        <w:t>hatred</w:t>
      </w:r>
      <w:r w:rsidR="00EE4FC3">
        <w:t xml:space="preserve"> </w:t>
      </w:r>
      <w:r w:rsidRPr="00382917">
        <w:t>which</w:t>
      </w:r>
      <w:r w:rsidR="00EE4FC3">
        <w:t xml:space="preserve"> </w:t>
      </w:r>
      <w:r w:rsidRPr="00382917">
        <w:t>was</w:t>
      </w:r>
      <w:r w:rsidR="00EE4FC3">
        <w:t xml:space="preserve"> </w:t>
      </w:r>
      <w:r w:rsidRPr="00382917">
        <w:t>fatally</w:t>
      </w:r>
      <w:r w:rsidR="00EE4FC3">
        <w:t xml:space="preserve"> </w:t>
      </w:r>
      <w:r w:rsidRPr="00382917">
        <w:t>to</w:t>
      </w:r>
    </w:p>
    <w:p w:rsidR="00775809" w:rsidRPr="00382917" w:rsidRDefault="00775809">
      <w:pPr>
        <w:widowControl/>
        <w:kinsoku/>
        <w:overflowPunct/>
        <w:textAlignment w:val="auto"/>
      </w:pPr>
      <w:r w:rsidRPr="00382917">
        <w:br w:type="page"/>
      </w:r>
    </w:p>
    <w:p w:rsidR="001B6670" w:rsidRPr="00382917" w:rsidRDefault="001B6670" w:rsidP="00775809">
      <w:pPr>
        <w:pStyle w:val="Textcts"/>
      </w:pPr>
      <w:proofErr w:type="gramStart"/>
      <w:r w:rsidRPr="00382917">
        <w:t>engulf</w:t>
      </w:r>
      <w:proofErr w:type="gramEnd"/>
      <w:r w:rsidR="00EE4FC3">
        <w:t xml:space="preserve"> </w:t>
      </w:r>
      <w:r w:rsidRPr="00382917">
        <w:t>Him.</w:t>
      </w:r>
      <w:r w:rsidR="009C713D" w:rsidRPr="00382917">
        <w:t>”</w:t>
      </w:r>
      <w:r w:rsidR="00EE4FC3">
        <w:t xml:space="preserve"> </w:t>
      </w:r>
      <w:r w:rsidR="005415D8">
        <w:t xml:space="preserve"> </w:t>
      </w:r>
      <w:r w:rsidRPr="00382917">
        <w:t>Both</w:t>
      </w:r>
      <w:r w:rsidR="00EE4FC3">
        <w:t xml:space="preserve"> </w:t>
      </w:r>
      <w:r w:rsidRPr="00382917">
        <w:t>Christ</w:t>
      </w:r>
      <w:r w:rsidR="00EE4FC3">
        <w:t xml:space="preserve"> </w:t>
      </w:r>
      <w:r w:rsidRPr="00382917">
        <w:t>and</w:t>
      </w:r>
      <w:r w:rsidR="00EE4FC3">
        <w:t xml:space="preserve"> </w:t>
      </w:r>
      <w:r w:rsidRPr="00382917">
        <w:t>the</w:t>
      </w:r>
      <w:r w:rsidR="00EE4FC3">
        <w:t xml:space="preserve"> </w:t>
      </w:r>
      <w:r w:rsidRPr="00382917">
        <w:t>Báb</w:t>
      </w:r>
      <w:r w:rsidR="00EE4FC3">
        <w:t xml:space="preserve"> </w:t>
      </w:r>
      <w:r w:rsidRPr="00382917">
        <w:t>uttered</w:t>
      </w:r>
      <w:r w:rsidR="00EE4FC3">
        <w:t xml:space="preserve"> </w:t>
      </w:r>
      <w:r w:rsidRPr="00382917">
        <w:t>the</w:t>
      </w:r>
      <w:r w:rsidR="00EE4FC3">
        <w:t xml:space="preserve"> </w:t>
      </w:r>
      <w:r w:rsidRPr="00382917">
        <w:t>same</w:t>
      </w:r>
      <w:r w:rsidR="00EE4FC3">
        <w:t xml:space="preserve"> </w:t>
      </w:r>
      <w:r w:rsidRPr="00382917">
        <w:t>words</w:t>
      </w:r>
      <w:r w:rsidR="00EE4FC3">
        <w:t xml:space="preserve"> </w:t>
      </w:r>
      <w:r w:rsidRPr="00382917">
        <w:t>of</w:t>
      </w:r>
      <w:r w:rsidR="00EE4FC3">
        <w:t xml:space="preserve"> </w:t>
      </w:r>
      <w:r w:rsidRPr="00382917">
        <w:t>warning,</w:t>
      </w:r>
      <w:r w:rsidR="00EE4FC3">
        <w:t xml:space="preserve"> </w:t>
      </w:r>
      <w:r w:rsidR="009C713D" w:rsidRPr="00382917">
        <w:t>“</w:t>
      </w:r>
      <w:r w:rsidRPr="00382917">
        <w:t>O</w:t>
      </w:r>
      <w:r w:rsidR="00EE4FC3">
        <w:t xml:space="preserve"> </w:t>
      </w:r>
      <w:r w:rsidRPr="00382917">
        <w:t>wayward</w:t>
      </w:r>
      <w:r w:rsidR="00EE4FC3">
        <w:t xml:space="preserve"> </w:t>
      </w:r>
      <w:r w:rsidRPr="00382917">
        <w:t>generation!</w:t>
      </w:r>
      <w:r w:rsidR="009C713D" w:rsidRPr="00382917">
        <w:t>”</w:t>
      </w:r>
    </w:p>
    <w:p w:rsidR="001B6670" w:rsidRPr="00382917" w:rsidRDefault="001B6670" w:rsidP="00775809">
      <w:pPr>
        <w:pStyle w:val="Text"/>
      </w:pPr>
      <w:r w:rsidRPr="00382917">
        <w:t>The</w:t>
      </w:r>
      <w:r w:rsidR="00EE4FC3">
        <w:t xml:space="preserve"> </w:t>
      </w:r>
      <w:r w:rsidRPr="00382917">
        <w:t>martyrdom</w:t>
      </w:r>
      <w:r w:rsidR="00EE4FC3">
        <w:t xml:space="preserve"> </w:t>
      </w:r>
      <w:r w:rsidRPr="00382917">
        <w:t>of</w:t>
      </w:r>
      <w:r w:rsidR="00EE4FC3">
        <w:t xml:space="preserve"> </w:t>
      </w:r>
      <w:r w:rsidRPr="00382917">
        <w:t>the</w:t>
      </w:r>
      <w:r w:rsidR="00EE4FC3">
        <w:t xml:space="preserve"> </w:t>
      </w:r>
      <w:r w:rsidRPr="00382917">
        <w:t>Báb</w:t>
      </w:r>
      <w:r w:rsidR="00EE4FC3">
        <w:t xml:space="preserve"> </w:t>
      </w:r>
      <w:r w:rsidRPr="00382917">
        <w:t>took</w:t>
      </w:r>
      <w:r w:rsidR="00EE4FC3">
        <w:t xml:space="preserve"> </w:t>
      </w:r>
      <w:r w:rsidRPr="00382917">
        <w:t>place</w:t>
      </w:r>
      <w:r w:rsidR="00EE4FC3">
        <w:t xml:space="preserve"> </w:t>
      </w:r>
      <w:r w:rsidRPr="00382917">
        <w:t>at</w:t>
      </w:r>
      <w:r w:rsidR="00EE4FC3">
        <w:t xml:space="preserve"> </w:t>
      </w:r>
      <w:r w:rsidRPr="00382917">
        <w:t>noon</w:t>
      </w:r>
      <w:r w:rsidR="00EE4FC3">
        <w:t xml:space="preserve"> </w:t>
      </w:r>
      <w:r w:rsidRPr="00382917">
        <w:t>on</w:t>
      </w:r>
      <w:r w:rsidR="00EE4FC3">
        <w:t xml:space="preserve"> </w:t>
      </w:r>
      <w:r w:rsidRPr="00382917">
        <w:t>Sunday,</w:t>
      </w:r>
      <w:r w:rsidR="00EE4FC3">
        <w:t xml:space="preserve"> </w:t>
      </w:r>
      <w:r w:rsidRPr="00382917">
        <w:t>July</w:t>
      </w:r>
      <w:r w:rsidR="00EE4FC3">
        <w:t xml:space="preserve"> </w:t>
      </w:r>
      <w:r w:rsidRPr="00382917">
        <w:t>9,</w:t>
      </w:r>
      <w:r w:rsidR="00EE4FC3">
        <w:t xml:space="preserve"> </w:t>
      </w:r>
      <w:r w:rsidRPr="00382917">
        <w:t>1850,</w:t>
      </w:r>
      <w:r w:rsidR="00EE4FC3">
        <w:t xml:space="preserve"> </w:t>
      </w:r>
      <w:r w:rsidRPr="00382917">
        <w:t>thirty</w:t>
      </w:r>
      <w:r w:rsidR="00EE4FC3">
        <w:t xml:space="preserve"> </w:t>
      </w:r>
      <w:r w:rsidRPr="00382917">
        <w:t>years</w:t>
      </w:r>
      <w:r w:rsidR="00EE4FC3">
        <w:t xml:space="preserve"> </w:t>
      </w:r>
      <w:r w:rsidRPr="00382917">
        <w:t>from</w:t>
      </w:r>
      <w:r w:rsidR="00EE4FC3">
        <w:t xml:space="preserve"> </w:t>
      </w:r>
      <w:r w:rsidRPr="00382917">
        <w:t>the</w:t>
      </w:r>
      <w:r w:rsidR="00EE4FC3">
        <w:t xml:space="preserve"> </w:t>
      </w:r>
      <w:r w:rsidRPr="00382917">
        <w:t>time</w:t>
      </w:r>
      <w:r w:rsidR="00EE4FC3">
        <w:t xml:space="preserve"> </w:t>
      </w:r>
      <w:r w:rsidRPr="00382917">
        <w:t>of</w:t>
      </w:r>
      <w:r w:rsidR="00EE4FC3">
        <w:t xml:space="preserve"> </w:t>
      </w:r>
      <w:r w:rsidRPr="00382917">
        <w:t>His</w:t>
      </w:r>
      <w:r w:rsidR="00EE4FC3">
        <w:t xml:space="preserve"> </w:t>
      </w:r>
      <w:r w:rsidRPr="00382917">
        <w:t>birth</w:t>
      </w:r>
      <w:r w:rsidR="00EE4FC3">
        <w:t xml:space="preserve"> </w:t>
      </w:r>
      <w:r w:rsidRPr="00382917">
        <w:t>in</w:t>
      </w:r>
      <w:r w:rsidR="00EE4FC3">
        <w:t xml:space="preserve"> </w:t>
      </w:r>
      <w:r w:rsidR="008A073E" w:rsidRPr="00382917">
        <w:rPr>
          <w:u w:val="single"/>
        </w:rPr>
        <w:t>Sh</w:t>
      </w:r>
      <w:r w:rsidR="008A073E" w:rsidRPr="00382917">
        <w:t>íráz</w:t>
      </w:r>
      <w:r w:rsidRPr="00382917">
        <w:t>.</w:t>
      </w:r>
    </w:p>
    <w:p w:rsidR="00E13D49" w:rsidRPr="00382917" w:rsidRDefault="001B6670" w:rsidP="00495FEF">
      <w:pPr>
        <w:pStyle w:val="Text"/>
      </w:pPr>
      <w:r w:rsidRPr="00382917">
        <w:t>An</w:t>
      </w:r>
      <w:r w:rsidR="00EE4FC3">
        <w:t xml:space="preserve"> </w:t>
      </w:r>
      <w:r w:rsidRPr="00382917">
        <w:t>historical</w:t>
      </w:r>
      <w:r w:rsidR="00EE4FC3">
        <w:t xml:space="preserve"> </w:t>
      </w:r>
      <w:r w:rsidRPr="00382917">
        <w:t>account</w:t>
      </w:r>
      <w:r w:rsidR="00EE4FC3">
        <w:t xml:space="preserve"> </w:t>
      </w:r>
      <w:r w:rsidRPr="00382917">
        <w:t>of</w:t>
      </w:r>
      <w:r w:rsidR="00EE4FC3">
        <w:t xml:space="preserve"> </w:t>
      </w:r>
      <w:r w:rsidRPr="00382917">
        <w:t>that</w:t>
      </w:r>
      <w:r w:rsidR="00EE4FC3">
        <w:t xml:space="preserve"> </w:t>
      </w:r>
      <w:r w:rsidRPr="00382917">
        <w:t>second</w:t>
      </w:r>
      <w:r w:rsidR="00EE4FC3">
        <w:t xml:space="preserve"> </w:t>
      </w:r>
      <w:r w:rsidRPr="00382917">
        <w:t>and</w:t>
      </w:r>
      <w:r w:rsidR="00EE4FC3">
        <w:t xml:space="preserve"> </w:t>
      </w:r>
      <w:r w:rsidRPr="00382917">
        <w:t>final</w:t>
      </w:r>
      <w:r w:rsidR="00EE4FC3">
        <w:t xml:space="preserve"> </w:t>
      </w:r>
      <w:r w:rsidRPr="00382917">
        <w:t>volley</w:t>
      </w:r>
      <w:r w:rsidR="00EE4FC3">
        <w:t xml:space="preserve"> </w:t>
      </w:r>
      <w:r w:rsidRPr="00382917">
        <w:t>states</w:t>
      </w:r>
      <w:r w:rsidR="00C03C91">
        <w:t>:</w:t>
      </w:r>
      <w:r w:rsidR="00EE4FC3">
        <w:t xml:space="preserve">  </w:t>
      </w:r>
      <w:r w:rsidR="009C713D" w:rsidRPr="00382917">
        <w:t>“</w:t>
      </w:r>
      <w:r w:rsidRPr="00382917">
        <w:t>This</w:t>
      </w:r>
      <w:r w:rsidR="00EE4FC3">
        <w:t xml:space="preserve"> </w:t>
      </w:r>
      <w:r w:rsidRPr="00382917">
        <w:t>time</w:t>
      </w:r>
      <w:r w:rsidR="00EE4FC3">
        <w:t xml:space="preserve"> </w:t>
      </w:r>
      <w:r w:rsidRPr="00382917">
        <w:t>the</w:t>
      </w:r>
      <w:r w:rsidR="00EE4FC3">
        <w:t xml:space="preserve"> </w:t>
      </w:r>
      <w:r w:rsidRPr="00382917">
        <w:t>execution</w:t>
      </w:r>
      <w:r w:rsidR="00EE4FC3">
        <w:t xml:space="preserve"> </w:t>
      </w:r>
      <w:r w:rsidRPr="00382917">
        <w:t>was</w:t>
      </w:r>
      <w:r w:rsidR="00EE4FC3">
        <w:t xml:space="preserve"> </w:t>
      </w:r>
      <w:r w:rsidRPr="00382917">
        <w:t>effective</w:t>
      </w:r>
      <w:proofErr w:type="gramStart"/>
      <w:r w:rsidR="00495FEF">
        <w:t xml:space="preserve">. </w:t>
      </w:r>
      <w:proofErr w:type="gramEnd"/>
      <w:r w:rsidR="00F04416" w:rsidRPr="00382917">
        <w:t>…</w:t>
      </w:r>
      <w:r w:rsidR="00EE4FC3">
        <w:t xml:space="preserve">  </w:t>
      </w:r>
      <w:r w:rsidRPr="00382917">
        <w:t>But</w:t>
      </w:r>
      <w:r w:rsidR="00EE4FC3">
        <w:t xml:space="preserve"> </w:t>
      </w:r>
      <w:r w:rsidRPr="00382917">
        <w:t>the</w:t>
      </w:r>
      <w:r w:rsidR="00EE4FC3">
        <w:t xml:space="preserve"> </w:t>
      </w:r>
      <w:r w:rsidRPr="00382917">
        <w:t>crowd,</w:t>
      </w:r>
      <w:r w:rsidR="00EE4FC3">
        <w:t xml:space="preserve"> </w:t>
      </w:r>
      <w:r w:rsidRPr="00382917">
        <w:t>vividly</w:t>
      </w:r>
      <w:r w:rsidR="00EE4FC3">
        <w:t xml:space="preserve"> </w:t>
      </w:r>
      <w:r w:rsidRPr="00382917">
        <w:t>impressed</w:t>
      </w:r>
      <w:r w:rsidR="00EE4FC3">
        <w:t xml:space="preserve"> </w:t>
      </w:r>
      <w:r w:rsidRPr="00382917">
        <w:t>by</w:t>
      </w:r>
      <w:r w:rsidR="00EE4FC3">
        <w:t xml:space="preserve"> </w:t>
      </w:r>
      <w:r w:rsidRPr="00382917">
        <w:t>the</w:t>
      </w:r>
      <w:r w:rsidR="00EE4FC3">
        <w:t xml:space="preserve"> </w:t>
      </w:r>
      <w:r w:rsidRPr="00382917">
        <w:t>spectacle</w:t>
      </w:r>
      <w:r w:rsidR="00EE4FC3">
        <w:t xml:space="preserve"> </w:t>
      </w:r>
      <w:r w:rsidRPr="00382917">
        <w:t>they</w:t>
      </w:r>
      <w:r w:rsidR="00EE4FC3">
        <w:t xml:space="preserve"> </w:t>
      </w:r>
      <w:r w:rsidRPr="00382917">
        <w:t>had</w:t>
      </w:r>
      <w:r w:rsidR="00EE4FC3">
        <w:t xml:space="preserve"> </w:t>
      </w:r>
      <w:r w:rsidRPr="00382917">
        <w:t>witnessed,</w:t>
      </w:r>
      <w:r w:rsidR="00EE4FC3">
        <w:t xml:space="preserve"> </w:t>
      </w:r>
      <w:r w:rsidRPr="00382917">
        <w:t>dispersed</w:t>
      </w:r>
      <w:r w:rsidR="00EE4FC3">
        <w:t xml:space="preserve"> </w:t>
      </w:r>
      <w:r w:rsidRPr="00382917">
        <w:t>slowly,</w:t>
      </w:r>
      <w:r w:rsidR="00EE4FC3">
        <w:t xml:space="preserve"> </w:t>
      </w:r>
      <w:r w:rsidRPr="00382917">
        <w:t>hardly</w:t>
      </w:r>
      <w:r w:rsidR="00EE4FC3">
        <w:t xml:space="preserve"> </w:t>
      </w:r>
      <w:r w:rsidRPr="00382917">
        <w:t>convinced</w:t>
      </w:r>
      <w:r w:rsidR="00EE4FC3">
        <w:t xml:space="preserve"> </w:t>
      </w:r>
      <w:r w:rsidRPr="00382917">
        <w:t>that</w:t>
      </w:r>
      <w:r w:rsidR="00EE4FC3">
        <w:t xml:space="preserve"> </w:t>
      </w:r>
      <w:r w:rsidRPr="00382917">
        <w:t>the</w:t>
      </w:r>
      <w:r w:rsidR="00EE4FC3">
        <w:t xml:space="preserve"> </w:t>
      </w:r>
      <w:r w:rsidRPr="00382917">
        <w:t>Báb</w:t>
      </w:r>
      <w:r w:rsidR="00EE4FC3">
        <w:t xml:space="preserve"> </w:t>
      </w:r>
      <w:r w:rsidRPr="00382917">
        <w:t>was</w:t>
      </w:r>
      <w:r w:rsidR="00EE4FC3">
        <w:t xml:space="preserve"> </w:t>
      </w:r>
      <w:r w:rsidRPr="00382917">
        <w:t>a</w:t>
      </w:r>
      <w:r w:rsidR="00EE4FC3">
        <w:t xml:space="preserve"> </w:t>
      </w:r>
      <w:r w:rsidRPr="00382917">
        <w:t>criminal.</w:t>
      </w:r>
      <w:r w:rsidR="009C713D" w:rsidRPr="00382917">
        <w:t>”</w:t>
      </w:r>
      <w:r w:rsidR="00495FEF">
        <w:rPr>
          <w:rStyle w:val="FootnoteReference"/>
        </w:rPr>
        <w:footnoteReference w:id="260"/>
      </w:r>
    </w:p>
    <w:p w:rsidR="001B6670" w:rsidRPr="00382917" w:rsidRDefault="001B6670" w:rsidP="00775809">
      <w:pPr>
        <w:pStyle w:val="Text"/>
      </w:pPr>
      <w:r w:rsidRPr="00382917">
        <w:t>On</w:t>
      </w:r>
      <w:r w:rsidR="00EE4FC3">
        <w:t xml:space="preserve"> </w:t>
      </w:r>
      <w:r w:rsidRPr="00382917">
        <w:t>the</w:t>
      </w:r>
      <w:r w:rsidR="00EE4FC3">
        <w:t xml:space="preserve"> </w:t>
      </w:r>
      <w:r w:rsidRPr="00382917">
        <w:t>evening</w:t>
      </w:r>
      <w:r w:rsidR="00EE4FC3">
        <w:t xml:space="preserve"> </w:t>
      </w:r>
      <w:r w:rsidRPr="00382917">
        <w:t>of</w:t>
      </w:r>
      <w:r w:rsidR="00EE4FC3">
        <w:t xml:space="preserve"> </w:t>
      </w:r>
      <w:r w:rsidRPr="00382917">
        <w:t>the</w:t>
      </w:r>
      <w:r w:rsidR="00EE4FC3">
        <w:t xml:space="preserve"> </w:t>
      </w:r>
      <w:r w:rsidRPr="00382917">
        <w:t>day</w:t>
      </w:r>
      <w:r w:rsidR="00EE4FC3">
        <w:t xml:space="preserve"> </w:t>
      </w:r>
      <w:r w:rsidRPr="00382917">
        <w:t>of</w:t>
      </w:r>
      <w:r w:rsidR="00EE4FC3">
        <w:t xml:space="preserve"> </w:t>
      </w:r>
      <w:r w:rsidRPr="00382917">
        <w:t>His</w:t>
      </w:r>
      <w:r w:rsidR="00EE4FC3">
        <w:t xml:space="preserve"> </w:t>
      </w:r>
      <w:r w:rsidRPr="00382917">
        <w:t>martyrdom,</w:t>
      </w:r>
      <w:r w:rsidR="00EE4FC3">
        <w:t xml:space="preserve"> </w:t>
      </w:r>
      <w:r w:rsidRPr="00382917">
        <w:t>the</w:t>
      </w:r>
      <w:r w:rsidR="00EE4FC3">
        <w:t xml:space="preserve"> </w:t>
      </w:r>
      <w:r w:rsidRPr="00382917">
        <w:t>mangled</w:t>
      </w:r>
      <w:r w:rsidR="00EE4FC3">
        <w:t xml:space="preserve"> </w:t>
      </w:r>
      <w:r w:rsidRPr="00382917">
        <w:t>bodies</w:t>
      </w:r>
      <w:r w:rsidR="00EE4FC3">
        <w:t xml:space="preserve"> </w:t>
      </w:r>
      <w:r w:rsidRPr="00382917">
        <w:t>of</w:t>
      </w:r>
      <w:r w:rsidR="00EE4FC3">
        <w:t xml:space="preserve"> </w:t>
      </w:r>
      <w:r w:rsidRPr="00382917">
        <w:t>the</w:t>
      </w:r>
      <w:r w:rsidR="00EE4FC3">
        <w:t xml:space="preserve"> </w:t>
      </w:r>
      <w:r w:rsidRPr="00382917">
        <w:t>Báb</w:t>
      </w:r>
      <w:r w:rsidR="00EE4FC3">
        <w:t xml:space="preserve"> </w:t>
      </w:r>
      <w:r w:rsidRPr="00382917">
        <w:t>and</w:t>
      </w:r>
      <w:r w:rsidR="00EE4FC3">
        <w:t xml:space="preserve"> </w:t>
      </w:r>
      <w:r w:rsidRPr="00382917">
        <w:t>His</w:t>
      </w:r>
      <w:r w:rsidR="00EE4FC3">
        <w:t xml:space="preserve"> </w:t>
      </w:r>
      <w:r w:rsidRPr="00382917">
        <w:t>companion</w:t>
      </w:r>
      <w:r w:rsidR="00EE4FC3">
        <w:t xml:space="preserve"> </w:t>
      </w:r>
      <w:r w:rsidRPr="00382917">
        <w:t>were</w:t>
      </w:r>
      <w:r w:rsidR="00EE4FC3">
        <w:t xml:space="preserve"> </w:t>
      </w:r>
      <w:r w:rsidRPr="00382917">
        <w:t>removed</w:t>
      </w:r>
      <w:r w:rsidR="00EE4FC3">
        <w:t xml:space="preserve"> </w:t>
      </w:r>
      <w:r w:rsidRPr="00382917">
        <w:t>from</w:t>
      </w:r>
      <w:r w:rsidR="00EE4FC3">
        <w:t xml:space="preserve"> </w:t>
      </w:r>
      <w:r w:rsidRPr="00382917">
        <w:t>the</w:t>
      </w:r>
      <w:r w:rsidR="00EE4FC3">
        <w:t xml:space="preserve"> </w:t>
      </w:r>
      <w:r w:rsidRPr="00382917">
        <w:t>courtyard</w:t>
      </w:r>
      <w:r w:rsidR="00EE4FC3">
        <w:t xml:space="preserve"> </w:t>
      </w:r>
      <w:r w:rsidRPr="00382917">
        <w:t>of</w:t>
      </w:r>
      <w:r w:rsidR="00EE4FC3">
        <w:t xml:space="preserve"> </w:t>
      </w:r>
      <w:r w:rsidRPr="00382917">
        <w:t>the</w:t>
      </w:r>
      <w:r w:rsidR="00EE4FC3">
        <w:t xml:space="preserve"> </w:t>
      </w:r>
      <w:r w:rsidRPr="00382917">
        <w:t>public</w:t>
      </w:r>
      <w:r w:rsidR="00EE4FC3">
        <w:t xml:space="preserve"> </w:t>
      </w:r>
      <w:r w:rsidRPr="00382917">
        <w:t>square</w:t>
      </w:r>
      <w:r w:rsidR="00330AF7">
        <w:t>.</w:t>
      </w:r>
      <w:r w:rsidR="00EE4FC3">
        <w:t xml:space="preserve">  </w:t>
      </w:r>
      <w:r w:rsidRPr="00382917">
        <w:t>They</w:t>
      </w:r>
      <w:r w:rsidR="00EE4FC3">
        <w:t xml:space="preserve"> </w:t>
      </w:r>
      <w:r w:rsidRPr="00382917">
        <w:t>were</w:t>
      </w:r>
      <w:r w:rsidR="00EE4FC3">
        <w:t xml:space="preserve"> </w:t>
      </w:r>
      <w:r w:rsidRPr="00382917">
        <w:t>thrown</w:t>
      </w:r>
      <w:r w:rsidR="00EE4FC3">
        <w:t xml:space="preserve"> </w:t>
      </w:r>
      <w:r w:rsidRPr="00382917">
        <w:t>at</w:t>
      </w:r>
      <w:r w:rsidR="00EE4FC3">
        <w:t xml:space="preserve"> </w:t>
      </w:r>
      <w:r w:rsidRPr="00382917">
        <w:t>the</w:t>
      </w:r>
      <w:r w:rsidR="00EE4FC3">
        <w:t xml:space="preserve"> </w:t>
      </w:r>
      <w:r w:rsidRPr="00382917">
        <w:t>edge</w:t>
      </w:r>
      <w:r w:rsidR="00EE4FC3">
        <w:t xml:space="preserve"> </w:t>
      </w:r>
      <w:r w:rsidRPr="00382917">
        <w:t>of</w:t>
      </w:r>
      <w:r w:rsidR="00EE4FC3">
        <w:t xml:space="preserve"> </w:t>
      </w:r>
      <w:r w:rsidRPr="00382917">
        <w:t>a</w:t>
      </w:r>
      <w:r w:rsidR="00EE4FC3">
        <w:t xml:space="preserve"> </w:t>
      </w:r>
      <w:r w:rsidRPr="00382917">
        <w:t>moat</w:t>
      </w:r>
      <w:r w:rsidR="00EE4FC3">
        <w:t xml:space="preserve"> </w:t>
      </w:r>
      <w:r w:rsidRPr="00382917">
        <w:t>outside</w:t>
      </w:r>
      <w:r w:rsidR="00EE4FC3">
        <w:t xml:space="preserve"> </w:t>
      </w:r>
      <w:r w:rsidRPr="00382917">
        <w:t>the</w:t>
      </w:r>
      <w:r w:rsidR="00EE4FC3">
        <w:t xml:space="preserve"> </w:t>
      </w:r>
      <w:r w:rsidRPr="00382917">
        <w:t>gate</w:t>
      </w:r>
      <w:r w:rsidR="00EE4FC3">
        <w:t xml:space="preserve"> </w:t>
      </w:r>
      <w:r w:rsidRPr="00382917">
        <w:t>of</w:t>
      </w:r>
      <w:r w:rsidR="00EE4FC3">
        <w:t xml:space="preserve"> </w:t>
      </w:r>
      <w:r w:rsidRPr="00382917">
        <w:t>the</w:t>
      </w:r>
      <w:r w:rsidR="00EE4FC3">
        <w:t xml:space="preserve"> </w:t>
      </w:r>
      <w:r w:rsidRPr="00382917">
        <w:t>city</w:t>
      </w:r>
      <w:r w:rsidR="00330AF7">
        <w:t>.</w:t>
      </w:r>
      <w:r w:rsidR="00EE4FC3">
        <w:t xml:space="preserve">  </w:t>
      </w:r>
      <w:r w:rsidRPr="00382917">
        <w:t>Four</w:t>
      </w:r>
      <w:r w:rsidR="00EE4FC3">
        <w:t xml:space="preserve"> </w:t>
      </w:r>
      <w:r w:rsidRPr="00382917">
        <w:t>companies</w:t>
      </w:r>
      <w:r w:rsidR="00EE4FC3">
        <w:t xml:space="preserve"> </w:t>
      </w:r>
      <w:r w:rsidRPr="00382917">
        <w:t>of</w:t>
      </w:r>
      <w:r w:rsidR="00EE4FC3">
        <w:t xml:space="preserve"> </w:t>
      </w:r>
      <w:r w:rsidRPr="00382917">
        <w:t>ten</w:t>
      </w:r>
      <w:r w:rsidR="00EE4FC3">
        <w:t xml:space="preserve"> </w:t>
      </w:r>
      <w:r w:rsidRPr="00382917">
        <w:t>sentinels</w:t>
      </w:r>
      <w:r w:rsidR="00EE4FC3">
        <w:t xml:space="preserve"> </w:t>
      </w:r>
      <w:r w:rsidRPr="00382917">
        <w:t>each</w:t>
      </w:r>
      <w:r w:rsidR="00EE4FC3">
        <w:t xml:space="preserve"> </w:t>
      </w:r>
      <w:r w:rsidRPr="00382917">
        <w:t>were</w:t>
      </w:r>
      <w:r w:rsidR="00EE4FC3">
        <w:t xml:space="preserve"> </w:t>
      </w:r>
      <w:r w:rsidRPr="00382917">
        <w:t>posted</w:t>
      </w:r>
      <w:r w:rsidR="00EE4FC3">
        <w:t xml:space="preserve"> </w:t>
      </w:r>
      <w:r w:rsidRPr="00382917">
        <w:t>to</w:t>
      </w:r>
      <w:r w:rsidR="00EE4FC3">
        <w:t xml:space="preserve"> </w:t>
      </w:r>
      <w:r w:rsidRPr="00382917">
        <w:t>keep</w:t>
      </w:r>
      <w:r w:rsidR="00EE4FC3">
        <w:t xml:space="preserve"> </w:t>
      </w:r>
      <w:r w:rsidRPr="00382917">
        <w:t>watch</w:t>
      </w:r>
      <w:r w:rsidR="00EE4FC3">
        <w:t xml:space="preserve"> </w:t>
      </w:r>
      <w:r w:rsidRPr="00382917">
        <w:t>in</w:t>
      </w:r>
      <w:r w:rsidR="00EE4FC3">
        <w:t xml:space="preserve"> </w:t>
      </w:r>
      <w:r w:rsidRPr="00382917">
        <w:t>turn</w:t>
      </w:r>
      <w:r w:rsidR="00EE4FC3">
        <w:t xml:space="preserve"> </w:t>
      </w:r>
      <w:r w:rsidRPr="00382917">
        <w:t>over</w:t>
      </w:r>
      <w:r w:rsidR="00EE4FC3">
        <w:t xml:space="preserve"> </w:t>
      </w:r>
      <w:r w:rsidRPr="00382917">
        <w:t>the</w:t>
      </w:r>
      <w:r w:rsidR="00EE4FC3">
        <w:t xml:space="preserve"> </w:t>
      </w:r>
      <w:r w:rsidRPr="00382917">
        <w:t>remains</w:t>
      </w:r>
      <w:r w:rsidR="00EE4FC3">
        <w:t xml:space="preserve"> </w:t>
      </w:r>
      <w:r w:rsidRPr="00382917">
        <w:t>so</w:t>
      </w:r>
      <w:r w:rsidR="00EE4FC3">
        <w:t xml:space="preserve"> </w:t>
      </w:r>
      <w:r w:rsidRPr="00382917">
        <w:t>that</w:t>
      </w:r>
      <w:r w:rsidR="00EE4FC3">
        <w:t xml:space="preserve"> </w:t>
      </w:r>
      <w:r w:rsidRPr="00382917">
        <w:t>none</w:t>
      </w:r>
      <w:r w:rsidR="00EE4FC3">
        <w:t xml:space="preserve"> </w:t>
      </w:r>
      <w:r w:rsidRPr="00382917">
        <w:t>of</w:t>
      </w:r>
      <w:r w:rsidR="00EE4FC3">
        <w:t xml:space="preserve"> </w:t>
      </w:r>
      <w:r w:rsidRPr="00382917">
        <w:t>His</w:t>
      </w:r>
      <w:r w:rsidR="00EE4FC3">
        <w:t xml:space="preserve"> </w:t>
      </w:r>
      <w:r w:rsidRPr="00382917">
        <w:t>followers</w:t>
      </w:r>
      <w:r w:rsidR="00EE4FC3">
        <w:t xml:space="preserve"> </w:t>
      </w:r>
      <w:r w:rsidRPr="00382917">
        <w:t>might</w:t>
      </w:r>
      <w:r w:rsidR="00EE4FC3">
        <w:t xml:space="preserve"> </w:t>
      </w:r>
      <w:r w:rsidRPr="00382917">
        <w:t>claim</w:t>
      </w:r>
      <w:r w:rsidR="00EE4FC3">
        <w:t xml:space="preserve"> </w:t>
      </w:r>
      <w:r w:rsidRPr="00382917">
        <w:t>them.</w:t>
      </w:r>
    </w:p>
    <w:p w:rsidR="001B6670" w:rsidRPr="00382917" w:rsidRDefault="001B6670" w:rsidP="00495FEF">
      <w:pPr>
        <w:pStyle w:val="Text"/>
      </w:pPr>
      <w:r w:rsidRPr="00382917">
        <w:t>On</w:t>
      </w:r>
      <w:r w:rsidR="00EE4FC3">
        <w:t xml:space="preserve"> </w:t>
      </w:r>
      <w:r w:rsidRPr="00382917">
        <w:t>the</w:t>
      </w:r>
      <w:r w:rsidR="00EE4FC3">
        <w:t xml:space="preserve"> </w:t>
      </w:r>
      <w:r w:rsidRPr="00382917">
        <w:t>morning</w:t>
      </w:r>
      <w:r w:rsidR="00EE4FC3">
        <w:t xml:space="preserve"> </w:t>
      </w:r>
      <w:r w:rsidRPr="00382917">
        <w:t>following</w:t>
      </w:r>
      <w:r w:rsidR="00EE4FC3">
        <w:t xml:space="preserve"> </w:t>
      </w:r>
      <w:r w:rsidRPr="00382917">
        <w:t>the</w:t>
      </w:r>
      <w:r w:rsidR="00EE4FC3">
        <w:t xml:space="preserve"> </w:t>
      </w:r>
      <w:r w:rsidRPr="00382917">
        <w:t>martyrdom,</w:t>
      </w:r>
      <w:r w:rsidR="00EE4FC3">
        <w:t xml:space="preserve"> </w:t>
      </w:r>
      <w:r w:rsidRPr="00382917">
        <w:t>an</w:t>
      </w:r>
      <w:r w:rsidR="00EE4FC3">
        <w:t xml:space="preserve"> </w:t>
      </w:r>
      <w:r w:rsidRPr="00382917">
        <w:t>official</w:t>
      </w:r>
      <w:r w:rsidR="00EE4FC3">
        <w:t xml:space="preserve"> </w:t>
      </w:r>
      <w:r w:rsidRPr="00382917">
        <w:t>from</w:t>
      </w:r>
      <w:r w:rsidR="00EE4FC3">
        <w:t xml:space="preserve"> </w:t>
      </w:r>
      <w:r w:rsidRPr="00382917">
        <w:t>one</w:t>
      </w:r>
      <w:r w:rsidR="00EE4FC3">
        <w:t xml:space="preserve"> </w:t>
      </w:r>
      <w:r w:rsidRPr="00382917">
        <w:t>of</w:t>
      </w:r>
      <w:r w:rsidR="00EE4FC3">
        <w:t xml:space="preserve"> </w:t>
      </w:r>
      <w:r w:rsidRPr="00382917">
        <w:t>the</w:t>
      </w:r>
      <w:r w:rsidR="00EE4FC3">
        <w:t xml:space="preserve"> </w:t>
      </w:r>
      <w:r w:rsidRPr="00382917">
        <w:t>foreign</w:t>
      </w:r>
      <w:r w:rsidR="00EE4FC3">
        <w:t xml:space="preserve"> </w:t>
      </w:r>
      <w:r w:rsidRPr="00382917">
        <w:t>consulates,</w:t>
      </w:r>
      <w:r w:rsidR="00EE4FC3">
        <w:t xml:space="preserve"> </w:t>
      </w:r>
      <w:r w:rsidRPr="00382917">
        <w:t>accompanied</w:t>
      </w:r>
      <w:r w:rsidR="00EE4FC3">
        <w:t xml:space="preserve"> </w:t>
      </w:r>
      <w:r w:rsidRPr="00382917">
        <w:t>by</w:t>
      </w:r>
      <w:r w:rsidR="00EE4FC3">
        <w:t xml:space="preserve"> </w:t>
      </w:r>
      <w:r w:rsidRPr="00382917">
        <w:t>an</w:t>
      </w:r>
      <w:r w:rsidR="00EE4FC3">
        <w:t xml:space="preserve"> </w:t>
      </w:r>
      <w:r w:rsidRPr="00382917">
        <w:t>artist,</w:t>
      </w:r>
      <w:r w:rsidR="00EE4FC3">
        <w:t xml:space="preserve"> </w:t>
      </w:r>
      <w:r w:rsidRPr="00382917">
        <w:t>went</w:t>
      </w:r>
      <w:r w:rsidR="00EE4FC3">
        <w:t xml:space="preserve"> </w:t>
      </w:r>
      <w:r w:rsidRPr="00382917">
        <w:t>to</w:t>
      </w:r>
      <w:r w:rsidR="00EE4FC3">
        <w:t xml:space="preserve"> </w:t>
      </w:r>
      <w:r w:rsidRPr="00382917">
        <w:t>the</w:t>
      </w:r>
      <w:r w:rsidR="00EE4FC3">
        <w:t xml:space="preserve"> </w:t>
      </w:r>
      <w:r w:rsidRPr="00382917">
        <w:t>moat</w:t>
      </w:r>
      <w:r w:rsidR="00EE4FC3">
        <w:t xml:space="preserve"> </w:t>
      </w:r>
      <w:r w:rsidRPr="00382917">
        <w:t>and</w:t>
      </w:r>
      <w:r w:rsidR="00EE4FC3">
        <w:t xml:space="preserve"> </w:t>
      </w:r>
      <w:r w:rsidRPr="00382917">
        <w:t>ordered</w:t>
      </w:r>
      <w:r w:rsidR="00EE4FC3">
        <w:t xml:space="preserve"> </w:t>
      </w:r>
      <w:r w:rsidRPr="00382917">
        <w:t>that</w:t>
      </w:r>
      <w:r w:rsidR="00EE4FC3">
        <w:t xml:space="preserve"> </w:t>
      </w:r>
      <w:r w:rsidRPr="00382917">
        <w:t>a</w:t>
      </w:r>
      <w:r w:rsidR="00EE4FC3">
        <w:t xml:space="preserve"> </w:t>
      </w:r>
      <w:r w:rsidRPr="00382917">
        <w:t>sketch</w:t>
      </w:r>
      <w:r w:rsidR="00EE4FC3">
        <w:t xml:space="preserve"> </w:t>
      </w:r>
      <w:r w:rsidRPr="00382917">
        <w:t>be</w:t>
      </w:r>
      <w:r w:rsidR="00EE4FC3">
        <w:t xml:space="preserve"> </w:t>
      </w:r>
      <w:r w:rsidRPr="00382917">
        <w:t>made</w:t>
      </w:r>
      <w:r w:rsidR="00EE4FC3">
        <w:t xml:space="preserve"> </w:t>
      </w:r>
      <w:r w:rsidRPr="00382917">
        <w:t>of</w:t>
      </w:r>
      <w:r w:rsidR="00EE4FC3">
        <w:t xml:space="preserve"> </w:t>
      </w:r>
      <w:r w:rsidRPr="00382917">
        <w:t>the</w:t>
      </w:r>
      <w:r w:rsidR="00EE4FC3">
        <w:t xml:space="preserve"> </w:t>
      </w:r>
      <w:r w:rsidRPr="00382917">
        <w:t>remains</w:t>
      </w:r>
      <w:r w:rsidR="00330AF7">
        <w:t>.</w:t>
      </w:r>
      <w:r w:rsidR="00EE4FC3">
        <w:t xml:space="preserve">  </w:t>
      </w:r>
      <w:r w:rsidRPr="00382917">
        <w:t>Nabíl,</w:t>
      </w:r>
      <w:r w:rsidR="00EE4FC3">
        <w:t xml:space="preserve"> </w:t>
      </w:r>
      <w:r w:rsidRPr="00382917">
        <w:t>in</w:t>
      </w:r>
      <w:r w:rsidR="00EE4FC3">
        <w:t xml:space="preserve"> </w:t>
      </w:r>
      <w:r w:rsidRPr="00382917">
        <w:t>his</w:t>
      </w:r>
      <w:r w:rsidR="00EE4FC3">
        <w:t xml:space="preserve"> </w:t>
      </w:r>
      <w:r w:rsidRPr="00382917">
        <w:t>history,</w:t>
      </w:r>
      <w:r w:rsidR="00EE4FC3">
        <w:t xml:space="preserve"> </w:t>
      </w:r>
      <w:r w:rsidRPr="00382917">
        <w:t>gives</w:t>
      </w:r>
      <w:r w:rsidR="00EE4FC3">
        <w:t xml:space="preserve"> </w:t>
      </w:r>
      <w:r w:rsidRPr="00382917">
        <w:t>the</w:t>
      </w:r>
      <w:r w:rsidR="00EE4FC3">
        <w:t xml:space="preserve"> </w:t>
      </w:r>
      <w:r w:rsidRPr="00382917">
        <w:t>words</w:t>
      </w:r>
      <w:r w:rsidR="00EE4FC3">
        <w:t xml:space="preserve"> </w:t>
      </w:r>
      <w:r w:rsidRPr="00382917">
        <w:t>of</w:t>
      </w:r>
      <w:r w:rsidR="00EE4FC3">
        <w:t xml:space="preserve"> </w:t>
      </w:r>
      <w:r w:rsidRPr="00382917">
        <w:t>an</w:t>
      </w:r>
      <w:r w:rsidR="00EE4FC3">
        <w:t xml:space="preserve"> </w:t>
      </w:r>
      <w:r w:rsidRPr="00382917">
        <w:t>eye-witness,</w:t>
      </w:r>
      <w:r w:rsidR="00EE4FC3">
        <w:t xml:space="preserve"> </w:t>
      </w:r>
      <w:r w:rsidR="009C713D" w:rsidRPr="00382917">
        <w:t>“</w:t>
      </w:r>
      <w:r w:rsidRPr="00382917">
        <w:t>It</w:t>
      </w:r>
      <w:r w:rsidR="00EE4FC3">
        <w:t xml:space="preserve"> </w:t>
      </w:r>
      <w:r w:rsidRPr="00382917">
        <w:t>was</w:t>
      </w:r>
      <w:r w:rsidR="00EE4FC3">
        <w:t xml:space="preserve"> </w:t>
      </w:r>
      <w:r w:rsidRPr="00382917">
        <w:t>such</w:t>
      </w:r>
      <w:r w:rsidR="00EE4FC3">
        <w:t xml:space="preserve"> </w:t>
      </w:r>
      <w:r w:rsidRPr="00382917">
        <w:t>a</w:t>
      </w:r>
      <w:r w:rsidR="00EE4FC3">
        <w:t xml:space="preserve"> </w:t>
      </w:r>
      <w:r w:rsidRPr="00382917">
        <w:t>faithful</w:t>
      </w:r>
      <w:r w:rsidR="00EE4FC3">
        <w:t xml:space="preserve"> </w:t>
      </w:r>
      <w:r w:rsidRPr="00382917">
        <w:t>portrait</w:t>
      </w:r>
      <w:r w:rsidR="00EE4FC3">
        <w:t xml:space="preserve"> </w:t>
      </w:r>
      <w:r w:rsidRPr="00382917">
        <w:t>of</w:t>
      </w:r>
      <w:r w:rsidR="00EE4FC3">
        <w:t xml:space="preserve"> </w:t>
      </w:r>
      <w:r w:rsidRPr="00382917">
        <w:t>the</w:t>
      </w:r>
      <w:r w:rsidR="00EE4FC3">
        <w:t xml:space="preserve"> </w:t>
      </w:r>
      <w:r w:rsidRPr="00382917">
        <w:t>Báb</w:t>
      </w:r>
      <w:proofErr w:type="gramStart"/>
      <w:r w:rsidRPr="00382917">
        <w:t>!</w:t>
      </w:r>
      <w:r w:rsidR="00EE4FC3">
        <w:t xml:space="preserve"> </w:t>
      </w:r>
      <w:r w:rsidR="00F04416" w:rsidRPr="00382917">
        <w:t>…</w:t>
      </w:r>
      <w:r w:rsidR="00EE4FC3">
        <w:t xml:space="preserve"> </w:t>
      </w:r>
      <w:proofErr w:type="gramEnd"/>
      <w:r w:rsidRPr="00382917">
        <w:t>No</w:t>
      </w:r>
      <w:r w:rsidR="00EE4FC3">
        <w:t xml:space="preserve"> </w:t>
      </w:r>
      <w:r w:rsidRPr="00382917">
        <w:t>bullet</w:t>
      </w:r>
      <w:r w:rsidR="00EE4FC3">
        <w:t xml:space="preserve"> </w:t>
      </w:r>
      <w:r w:rsidRPr="00382917">
        <w:t>had</w:t>
      </w:r>
      <w:r w:rsidR="00EE4FC3">
        <w:t xml:space="preserve"> </w:t>
      </w:r>
      <w:r w:rsidRPr="00382917">
        <w:t>struck</w:t>
      </w:r>
      <w:r w:rsidR="00EE4FC3">
        <w:t xml:space="preserve"> </w:t>
      </w:r>
      <w:r w:rsidRPr="00382917">
        <w:t>His</w:t>
      </w:r>
      <w:r w:rsidR="00EE4FC3">
        <w:t xml:space="preserve"> </w:t>
      </w:r>
      <w:r w:rsidRPr="00382917">
        <w:t>forehead,</w:t>
      </w:r>
      <w:r w:rsidR="00EE4FC3">
        <w:t xml:space="preserve"> </w:t>
      </w:r>
      <w:r w:rsidRPr="00382917">
        <w:t>His</w:t>
      </w:r>
      <w:r w:rsidR="00EE4FC3">
        <w:t xml:space="preserve"> </w:t>
      </w:r>
      <w:r w:rsidRPr="00382917">
        <w:t>cheeks,</w:t>
      </w:r>
      <w:r w:rsidR="00EE4FC3">
        <w:t xml:space="preserve"> </w:t>
      </w:r>
      <w:r w:rsidRPr="00382917">
        <w:t>or</w:t>
      </w:r>
      <w:r w:rsidR="00EE4FC3">
        <w:t xml:space="preserve"> </w:t>
      </w:r>
      <w:r w:rsidRPr="00382917">
        <w:t>His</w:t>
      </w:r>
      <w:r w:rsidR="00EE4FC3">
        <w:t xml:space="preserve"> </w:t>
      </w:r>
      <w:r w:rsidRPr="00382917">
        <w:t>lips</w:t>
      </w:r>
      <w:r w:rsidR="00330AF7">
        <w:t>.</w:t>
      </w:r>
      <w:r w:rsidR="00EE4FC3">
        <w:t xml:space="preserve">  </w:t>
      </w:r>
      <w:r w:rsidRPr="00382917">
        <w:t>I</w:t>
      </w:r>
      <w:r w:rsidR="00EE4FC3">
        <w:t xml:space="preserve"> </w:t>
      </w:r>
      <w:r w:rsidRPr="00382917">
        <w:t>gazed</w:t>
      </w:r>
      <w:r w:rsidR="00EE4FC3">
        <w:t xml:space="preserve"> </w:t>
      </w:r>
      <w:r w:rsidRPr="00382917">
        <w:t>upon</w:t>
      </w:r>
      <w:r w:rsidR="00EE4FC3">
        <w:t xml:space="preserve"> </w:t>
      </w:r>
      <w:r w:rsidRPr="00382917">
        <w:t>a</w:t>
      </w:r>
      <w:r w:rsidR="00EE4FC3">
        <w:t xml:space="preserve"> </w:t>
      </w:r>
      <w:r w:rsidRPr="00382917">
        <w:t>smile</w:t>
      </w:r>
      <w:r w:rsidR="00EE4FC3">
        <w:t xml:space="preserve"> </w:t>
      </w:r>
      <w:r w:rsidRPr="00382917">
        <w:t>which</w:t>
      </w:r>
      <w:r w:rsidR="00EE4FC3">
        <w:t xml:space="preserve"> </w:t>
      </w:r>
      <w:r w:rsidRPr="00382917">
        <w:t>seemed</w:t>
      </w:r>
      <w:r w:rsidR="00EE4FC3">
        <w:t xml:space="preserve"> </w:t>
      </w:r>
      <w:r w:rsidRPr="00382917">
        <w:t>to</w:t>
      </w:r>
      <w:r w:rsidR="00EE4FC3">
        <w:t xml:space="preserve"> </w:t>
      </w:r>
      <w:r w:rsidRPr="00382917">
        <w:t>be</w:t>
      </w:r>
      <w:r w:rsidR="00EE4FC3">
        <w:t xml:space="preserve"> </w:t>
      </w:r>
      <w:r w:rsidRPr="00382917">
        <w:t>still</w:t>
      </w:r>
      <w:r w:rsidR="00EE4FC3">
        <w:t xml:space="preserve"> </w:t>
      </w:r>
      <w:r w:rsidRPr="00382917">
        <w:t>lingering</w:t>
      </w:r>
      <w:r w:rsidR="00EE4FC3">
        <w:t xml:space="preserve"> </w:t>
      </w:r>
      <w:r w:rsidRPr="00382917">
        <w:t>upon</w:t>
      </w:r>
      <w:r w:rsidR="00EE4FC3">
        <w:t xml:space="preserve"> </w:t>
      </w:r>
      <w:r w:rsidRPr="00382917">
        <w:t>his</w:t>
      </w:r>
      <w:r w:rsidR="00EE4FC3">
        <w:t xml:space="preserve"> </w:t>
      </w:r>
      <w:r w:rsidRPr="00382917">
        <w:t>countenance.</w:t>
      </w:r>
      <w:r w:rsidR="009C713D" w:rsidRPr="00382917">
        <w:t>”</w:t>
      </w:r>
      <w:r w:rsidR="00495FEF">
        <w:rPr>
          <w:rStyle w:val="FootnoteReference"/>
        </w:rPr>
        <w:footnoteReference w:id="261"/>
      </w:r>
    </w:p>
    <w:p w:rsidR="001B6670" w:rsidRPr="00382917" w:rsidRDefault="001B6670" w:rsidP="00775809">
      <w:pPr>
        <w:pStyle w:val="Text"/>
      </w:pPr>
      <w:r w:rsidRPr="00382917">
        <w:t>On</w:t>
      </w:r>
      <w:r w:rsidR="00EE4FC3">
        <w:t xml:space="preserve"> </w:t>
      </w:r>
      <w:r w:rsidRPr="00382917">
        <w:t>the</w:t>
      </w:r>
      <w:r w:rsidR="00EE4FC3">
        <w:t xml:space="preserve"> </w:t>
      </w:r>
      <w:r w:rsidRPr="00382917">
        <w:t>afternoon</w:t>
      </w:r>
      <w:r w:rsidR="00EE4FC3">
        <w:t xml:space="preserve"> </w:t>
      </w:r>
      <w:r w:rsidRPr="00382917">
        <w:t>of</w:t>
      </w:r>
      <w:r w:rsidR="00EE4FC3">
        <w:t xml:space="preserve"> </w:t>
      </w:r>
      <w:r w:rsidRPr="00382917">
        <w:t>the</w:t>
      </w:r>
      <w:r w:rsidR="00EE4FC3">
        <w:t xml:space="preserve"> </w:t>
      </w:r>
      <w:r w:rsidRPr="00382917">
        <w:t>second</w:t>
      </w:r>
      <w:r w:rsidR="00EE4FC3">
        <w:t xml:space="preserve"> </w:t>
      </w:r>
      <w:r w:rsidRPr="00382917">
        <w:t>day,</w:t>
      </w:r>
      <w:r w:rsidR="00EE4FC3">
        <w:t xml:space="preserve"> </w:t>
      </w:r>
      <w:r w:rsidRPr="00382917">
        <w:t>Sulaymán</w:t>
      </w:r>
      <w:r w:rsidR="00EE4FC3">
        <w:t xml:space="preserve"> </w:t>
      </w:r>
      <w:r w:rsidR="0040329F" w:rsidRPr="0040329F">
        <w:rPr>
          <w:u w:val="single"/>
        </w:rPr>
        <w:t>Kh</w:t>
      </w:r>
      <w:r w:rsidR="0040329F" w:rsidRPr="00382917">
        <w:t>án</w:t>
      </w:r>
      <w:r w:rsidRPr="00382917">
        <w:t>,</w:t>
      </w:r>
      <w:r w:rsidR="00EE4FC3">
        <w:t xml:space="preserve"> </w:t>
      </w:r>
      <w:r w:rsidRPr="00382917">
        <w:t>a</w:t>
      </w:r>
      <w:r w:rsidR="00EE4FC3">
        <w:t xml:space="preserve"> </w:t>
      </w:r>
      <w:r w:rsidRPr="00382917">
        <w:t>follower</w:t>
      </w:r>
      <w:r w:rsidR="00EE4FC3">
        <w:t xml:space="preserve"> </w:t>
      </w:r>
      <w:r w:rsidRPr="00382917">
        <w:t>of</w:t>
      </w:r>
      <w:r w:rsidR="00EE4FC3">
        <w:t xml:space="preserve"> </w:t>
      </w:r>
      <w:r w:rsidRPr="00382917">
        <w:t>the</w:t>
      </w:r>
      <w:r w:rsidR="00EE4FC3">
        <w:t xml:space="preserve"> </w:t>
      </w:r>
      <w:r w:rsidRPr="00382917">
        <w:t>Báb,</w:t>
      </w:r>
      <w:r w:rsidR="00EE4FC3">
        <w:t xml:space="preserve"> </w:t>
      </w:r>
      <w:r w:rsidRPr="00382917">
        <w:t>arrived</w:t>
      </w:r>
      <w:r w:rsidR="00EE4FC3">
        <w:t xml:space="preserve"> </w:t>
      </w:r>
      <w:r w:rsidRPr="00382917">
        <w:t>from</w:t>
      </w:r>
      <w:r w:rsidR="00EE4FC3">
        <w:t xml:space="preserve"> </w:t>
      </w:r>
      <w:r w:rsidRPr="00382917">
        <w:rPr>
          <w:sz w:val="22"/>
        </w:rPr>
        <w:t>Ṭ</w:t>
      </w:r>
      <w:r w:rsidRPr="00382917">
        <w:t>ihrán</w:t>
      </w:r>
      <w:r w:rsidR="00330AF7">
        <w:t>.</w:t>
      </w:r>
      <w:r w:rsidR="00EE4FC3">
        <w:t xml:space="preserve">  </w:t>
      </w:r>
      <w:r w:rsidRPr="00382917">
        <w:t>He</w:t>
      </w:r>
      <w:r w:rsidR="00EE4FC3">
        <w:t xml:space="preserve"> </w:t>
      </w:r>
      <w:r w:rsidRPr="00382917">
        <w:t>had</w:t>
      </w:r>
      <w:r w:rsidR="00EE4FC3">
        <w:t xml:space="preserve"> </w:t>
      </w:r>
      <w:r w:rsidRPr="00382917">
        <w:t>heard</w:t>
      </w:r>
      <w:r w:rsidR="00EE4FC3">
        <w:t xml:space="preserve"> </w:t>
      </w:r>
      <w:r w:rsidRPr="00382917">
        <w:t>of</w:t>
      </w:r>
      <w:r w:rsidR="00EE4FC3">
        <w:t xml:space="preserve"> </w:t>
      </w:r>
      <w:r w:rsidRPr="00382917">
        <w:t>the</w:t>
      </w:r>
      <w:r w:rsidR="00EE4FC3">
        <w:t xml:space="preserve"> </w:t>
      </w:r>
      <w:r w:rsidRPr="00382917">
        <w:t>threat</w:t>
      </w:r>
      <w:r w:rsidR="00EE4FC3">
        <w:t xml:space="preserve"> </w:t>
      </w:r>
      <w:r w:rsidRPr="00382917">
        <w:t>to</w:t>
      </w:r>
      <w:r w:rsidR="00EE4FC3">
        <w:t xml:space="preserve"> </w:t>
      </w:r>
      <w:r w:rsidRPr="00382917">
        <w:t>the</w:t>
      </w:r>
      <w:r w:rsidR="00EE4FC3">
        <w:t xml:space="preserve"> </w:t>
      </w:r>
      <w:r w:rsidRPr="00382917">
        <w:t>life</w:t>
      </w:r>
      <w:r w:rsidR="00EE4FC3">
        <w:t xml:space="preserve"> </w:t>
      </w:r>
      <w:r w:rsidRPr="00382917">
        <w:t>of</w:t>
      </w:r>
      <w:r w:rsidR="00EE4FC3">
        <w:t xml:space="preserve"> </w:t>
      </w:r>
      <w:r w:rsidRPr="00382917">
        <w:t>the</w:t>
      </w:r>
      <w:r w:rsidR="00EE4FC3">
        <w:t xml:space="preserve"> </w:t>
      </w:r>
      <w:r w:rsidRPr="00382917">
        <w:t>Báb</w:t>
      </w:r>
      <w:r w:rsidR="00EE4FC3">
        <w:t xml:space="preserve"> </w:t>
      </w:r>
      <w:r w:rsidRPr="00382917">
        <w:t>and</w:t>
      </w:r>
      <w:r w:rsidR="00EE4FC3">
        <w:t xml:space="preserve"> </w:t>
      </w:r>
      <w:r w:rsidRPr="00382917">
        <w:t>had</w:t>
      </w:r>
      <w:r w:rsidR="00EE4FC3">
        <w:t xml:space="preserve"> </w:t>
      </w:r>
      <w:r w:rsidRPr="00382917">
        <w:t>left</w:t>
      </w:r>
      <w:r w:rsidR="00EE4FC3">
        <w:t xml:space="preserve"> </w:t>
      </w:r>
      <w:r w:rsidRPr="00382917">
        <w:rPr>
          <w:sz w:val="22"/>
        </w:rPr>
        <w:t>Ṭ</w:t>
      </w:r>
      <w:r w:rsidRPr="00382917">
        <w:t>ihrán</w:t>
      </w:r>
      <w:r w:rsidR="00EE4FC3">
        <w:t xml:space="preserve"> </w:t>
      </w:r>
      <w:r w:rsidRPr="00382917">
        <w:t>to</w:t>
      </w:r>
      <w:r w:rsidR="00EE4FC3">
        <w:t xml:space="preserve"> </w:t>
      </w:r>
      <w:r w:rsidRPr="00382917">
        <w:t>try</w:t>
      </w:r>
      <w:r w:rsidR="00EE4FC3">
        <w:t xml:space="preserve"> </w:t>
      </w:r>
      <w:r w:rsidRPr="00382917">
        <w:t>to</w:t>
      </w:r>
      <w:r w:rsidR="00EE4FC3">
        <w:t xml:space="preserve"> </w:t>
      </w:r>
      <w:r w:rsidRPr="00382917">
        <w:t>rescue</w:t>
      </w:r>
      <w:r w:rsidR="00EE4FC3">
        <w:t xml:space="preserve"> </w:t>
      </w:r>
      <w:r w:rsidRPr="00382917">
        <w:t>Him</w:t>
      </w:r>
      <w:r w:rsidR="00330AF7">
        <w:t>.</w:t>
      </w:r>
      <w:r w:rsidR="00EE4FC3">
        <w:t xml:space="preserve">  </w:t>
      </w:r>
      <w:r w:rsidRPr="00382917">
        <w:t>To</w:t>
      </w:r>
      <w:r w:rsidR="00EE4FC3">
        <w:t xml:space="preserve"> </w:t>
      </w:r>
      <w:r w:rsidRPr="00382917">
        <w:t>his</w:t>
      </w:r>
      <w:r w:rsidR="00EE4FC3">
        <w:t xml:space="preserve"> </w:t>
      </w:r>
      <w:r w:rsidRPr="00382917">
        <w:t>dismay,</w:t>
      </w:r>
      <w:r w:rsidR="00EE4FC3">
        <w:t xml:space="preserve"> </w:t>
      </w:r>
      <w:r w:rsidRPr="00382917">
        <w:t>he</w:t>
      </w:r>
      <w:r w:rsidR="00EE4FC3">
        <w:t xml:space="preserve"> </w:t>
      </w:r>
      <w:r w:rsidRPr="00382917">
        <w:t>arrived</w:t>
      </w:r>
      <w:r w:rsidR="00EE4FC3">
        <w:t xml:space="preserve"> </w:t>
      </w:r>
      <w:r w:rsidRPr="00382917">
        <w:t>too</w:t>
      </w:r>
      <w:r w:rsidR="00EE4FC3">
        <w:t xml:space="preserve"> </w:t>
      </w:r>
      <w:r w:rsidRPr="00382917">
        <w:t>late</w:t>
      </w:r>
      <w:r w:rsidR="00330AF7">
        <w:t>.</w:t>
      </w:r>
      <w:r w:rsidR="00EE4FC3">
        <w:t xml:space="preserve">  </w:t>
      </w:r>
      <w:r w:rsidRPr="00382917">
        <w:t>He</w:t>
      </w:r>
      <w:r w:rsidR="00EE4FC3">
        <w:t xml:space="preserve"> </w:t>
      </w:r>
      <w:r w:rsidRPr="00382917">
        <w:t>resolved</w:t>
      </w:r>
      <w:r w:rsidR="00EE4FC3">
        <w:t xml:space="preserve"> </w:t>
      </w:r>
      <w:r w:rsidRPr="00382917">
        <w:t>to</w:t>
      </w:r>
      <w:r w:rsidR="00EE4FC3">
        <w:t xml:space="preserve"> </w:t>
      </w:r>
      <w:r w:rsidRPr="00382917">
        <w:t>rescue</w:t>
      </w:r>
      <w:r w:rsidR="00EE4FC3">
        <w:t xml:space="preserve"> </w:t>
      </w:r>
      <w:r w:rsidRPr="00382917">
        <w:t>the</w:t>
      </w:r>
      <w:r w:rsidR="00EE4FC3">
        <w:t xml:space="preserve"> </w:t>
      </w:r>
      <w:r w:rsidRPr="00382917">
        <w:t>bodies</w:t>
      </w:r>
      <w:r w:rsidR="00EE4FC3">
        <w:t xml:space="preserve"> </w:t>
      </w:r>
      <w:r w:rsidRPr="00382917">
        <w:t>of</w:t>
      </w:r>
      <w:r w:rsidR="00EE4FC3">
        <w:t xml:space="preserve"> </w:t>
      </w:r>
      <w:r w:rsidRPr="00382917">
        <w:t>the</w:t>
      </w:r>
      <w:r w:rsidR="00EE4FC3">
        <w:t xml:space="preserve"> </w:t>
      </w:r>
      <w:r w:rsidRPr="00382917">
        <w:t>Báb</w:t>
      </w:r>
      <w:r w:rsidR="00EE4FC3">
        <w:t xml:space="preserve"> </w:t>
      </w:r>
      <w:r w:rsidRPr="00382917">
        <w:t>and</w:t>
      </w:r>
      <w:r w:rsidR="00EE4FC3">
        <w:t xml:space="preserve"> </w:t>
      </w:r>
      <w:r w:rsidRPr="00382917">
        <w:t>His</w:t>
      </w:r>
      <w:r w:rsidR="00EE4FC3">
        <w:t xml:space="preserve"> </w:t>
      </w:r>
      <w:r w:rsidRPr="00382917">
        <w:t>companion</w:t>
      </w:r>
      <w:r w:rsidR="00EE4FC3">
        <w:t xml:space="preserve"> </w:t>
      </w:r>
      <w:r w:rsidRPr="00382917">
        <w:t>in</w:t>
      </w:r>
      <w:r w:rsidR="00EE4FC3">
        <w:t xml:space="preserve"> </w:t>
      </w:r>
      <w:r w:rsidRPr="00382917">
        <w:t>spite</w:t>
      </w:r>
      <w:r w:rsidR="00EE4FC3">
        <w:t xml:space="preserve"> </w:t>
      </w:r>
      <w:r w:rsidRPr="00382917">
        <w:t>of</w:t>
      </w:r>
      <w:r w:rsidR="00EE4FC3">
        <w:t xml:space="preserve"> </w:t>
      </w:r>
      <w:r w:rsidRPr="00382917">
        <w:t>the</w:t>
      </w:r>
      <w:r w:rsidR="00EE4FC3">
        <w:t xml:space="preserve"> </w:t>
      </w:r>
      <w:r w:rsidRPr="00382917">
        <w:t>sentinels,</w:t>
      </w:r>
      <w:r w:rsidR="00EE4FC3">
        <w:t xml:space="preserve"> </w:t>
      </w:r>
      <w:r w:rsidRPr="00382917">
        <w:t>and</w:t>
      </w:r>
      <w:r w:rsidR="00EE4FC3">
        <w:t xml:space="preserve"> </w:t>
      </w:r>
      <w:r w:rsidRPr="00382917">
        <w:t>no</w:t>
      </w:r>
      <w:r w:rsidR="00EE4FC3">
        <w:t xml:space="preserve"> </w:t>
      </w:r>
      <w:r w:rsidRPr="00382917">
        <w:t>matter</w:t>
      </w:r>
      <w:r w:rsidR="00EE4FC3">
        <w:t xml:space="preserve"> </w:t>
      </w:r>
      <w:r w:rsidRPr="00382917">
        <w:t>what</w:t>
      </w:r>
      <w:r w:rsidR="00EE4FC3">
        <w:t xml:space="preserve"> </w:t>
      </w:r>
      <w:r w:rsidRPr="00382917">
        <w:t>the</w:t>
      </w:r>
      <w:r w:rsidR="00EE4FC3">
        <w:t xml:space="preserve"> </w:t>
      </w:r>
      <w:r w:rsidRPr="00382917">
        <w:t>risk</w:t>
      </w:r>
      <w:r w:rsidR="00EE4FC3">
        <w:t xml:space="preserve"> </w:t>
      </w:r>
      <w:r w:rsidRPr="00382917">
        <w:t>to</w:t>
      </w:r>
      <w:r w:rsidR="00EE4FC3">
        <w:t xml:space="preserve"> </w:t>
      </w:r>
      <w:r w:rsidRPr="00382917">
        <w:t>his</w:t>
      </w:r>
      <w:r w:rsidR="00EE4FC3">
        <w:t xml:space="preserve"> </w:t>
      </w:r>
      <w:r w:rsidRPr="00382917">
        <w:t>own</w:t>
      </w:r>
      <w:r w:rsidR="00EE4FC3">
        <w:t xml:space="preserve"> </w:t>
      </w:r>
      <w:r w:rsidRPr="00382917">
        <w:t>life.</w:t>
      </w:r>
    </w:p>
    <w:p w:rsidR="001B6670" w:rsidRPr="00382917" w:rsidRDefault="001B6670" w:rsidP="00775809">
      <w:pPr>
        <w:pStyle w:val="Text"/>
      </w:pPr>
      <w:r w:rsidRPr="00382917">
        <w:t>In</w:t>
      </w:r>
      <w:r w:rsidR="00EE4FC3">
        <w:t xml:space="preserve"> </w:t>
      </w:r>
      <w:r w:rsidRPr="00382917">
        <w:t>the</w:t>
      </w:r>
      <w:r w:rsidR="00EE4FC3">
        <w:t xml:space="preserve"> </w:t>
      </w:r>
      <w:r w:rsidRPr="00382917">
        <w:t>middle</w:t>
      </w:r>
      <w:r w:rsidR="00EE4FC3">
        <w:t xml:space="preserve"> </w:t>
      </w:r>
      <w:r w:rsidRPr="00382917">
        <w:t>of</w:t>
      </w:r>
      <w:r w:rsidR="00EE4FC3">
        <w:t xml:space="preserve"> </w:t>
      </w:r>
      <w:r w:rsidRPr="00382917">
        <w:t>that</w:t>
      </w:r>
      <w:r w:rsidR="00EE4FC3">
        <w:t xml:space="preserve"> </w:t>
      </w:r>
      <w:r w:rsidRPr="00382917">
        <w:t>same</w:t>
      </w:r>
      <w:r w:rsidR="00EE4FC3">
        <w:t xml:space="preserve"> </w:t>
      </w:r>
      <w:r w:rsidRPr="00382917">
        <w:t>night,</w:t>
      </w:r>
      <w:r w:rsidR="00EE4FC3">
        <w:t xml:space="preserve"> </w:t>
      </w:r>
      <w:r w:rsidRPr="00382917">
        <w:t>with</w:t>
      </w:r>
      <w:r w:rsidR="00EE4FC3">
        <w:t xml:space="preserve"> </w:t>
      </w:r>
      <w:r w:rsidRPr="00382917">
        <w:t>the</w:t>
      </w:r>
      <w:r w:rsidR="00EE4FC3">
        <w:t xml:space="preserve"> </w:t>
      </w:r>
      <w:r w:rsidRPr="00382917">
        <w:t>help</w:t>
      </w:r>
      <w:r w:rsidR="00EE4FC3">
        <w:t xml:space="preserve"> </w:t>
      </w:r>
      <w:r w:rsidRPr="00382917">
        <w:t>of</w:t>
      </w:r>
      <w:r w:rsidR="00EE4FC3">
        <w:t xml:space="preserve"> </w:t>
      </w:r>
      <w:r w:rsidRPr="00382917">
        <w:t>a</w:t>
      </w:r>
      <w:r w:rsidR="00EE4FC3">
        <w:t xml:space="preserve"> </w:t>
      </w:r>
      <w:r w:rsidRPr="00382917">
        <w:t>friend,</w:t>
      </w:r>
      <w:r w:rsidR="00EE4FC3">
        <w:t xml:space="preserve"> </w:t>
      </w:r>
      <w:r w:rsidRPr="00382917">
        <w:t>he</w:t>
      </w:r>
      <w:r w:rsidR="00EE4FC3">
        <w:t xml:space="preserve"> </w:t>
      </w:r>
      <w:r w:rsidRPr="00382917">
        <w:t>succeeded</w:t>
      </w:r>
      <w:r w:rsidR="00EE4FC3">
        <w:t xml:space="preserve"> </w:t>
      </w:r>
      <w:r w:rsidRPr="00382917">
        <w:t>in</w:t>
      </w:r>
      <w:r w:rsidR="00EE4FC3">
        <w:t xml:space="preserve"> </w:t>
      </w:r>
      <w:r w:rsidRPr="00382917">
        <w:t>bearing</w:t>
      </w:r>
      <w:r w:rsidR="00EE4FC3">
        <w:t xml:space="preserve"> </w:t>
      </w:r>
      <w:r w:rsidRPr="00382917">
        <w:t>away</w:t>
      </w:r>
      <w:r w:rsidR="00EE4FC3">
        <w:t xml:space="preserve"> </w:t>
      </w:r>
      <w:r w:rsidRPr="00382917">
        <w:t>the</w:t>
      </w:r>
      <w:r w:rsidR="00EE4FC3">
        <w:t xml:space="preserve"> </w:t>
      </w:r>
      <w:r w:rsidRPr="00382917">
        <w:t>bodies</w:t>
      </w:r>
      <w:r w:rsidR="00330AF7">
        <w:t>.</w:t>
      </w:r>
      <w:r w:rsidR="00EE4FC3">
        <w:t xml:space="preserve">  </w:t>
      </w:r>
      <w:r w:rsidRPr="00382917">
        <w:t>The</w:t>
      </w:r>
      <w:r w:rsidR="00EE4FC3">
        <w:t xml:space="preserve"> </w:t>
      </w:r>
      <w:r w:rsidRPr="00382917">
        <w:t>two</w:t>
      </w:r>
      <w:r w:rsidR="00EE4FC3">
        <w:t xml:space="preserve"> </w:t>
      </w:r>
      <w:r w:rsidRPr="00382917">
        <w:t>friends</w:t>
      </w:r>
      <w:r w:rsidR="00EE4FC3">
        <w:t xml:space="preserve"> </w:t>
      </w:r>
      <w:r w:rsidRPr="00382917">
        <w:t>watched</w:t>
      </w:r>
      <w:r w:rsidR="00EE4FC3">
        <w:t xml:space="preserve"> </w:t>
      </w:r>
      <w:r w:rsidRPr="00382917">
        <w:t>the</w:t>
      </w:r>
      <w:r w:rsidR="00EE4FC3">
        <w:t xml:space="preserve"> </w:t>
      </w:r>
      <w:r w:rsidRPr="00382917">
        <w:t>sentinels</w:t>
      </w:r>
      <w:r w:rsidR="00EE4FC3">
        <w:t xml:space="preserve"> </w:t>
      </w:r>
      <w:r w:rsidRPr="00382917">
        <w:t>carefully</w:t>
      </w:r>
      <w:r w:rsidR="00330AF7">
        <w:t>.</w:t>
      </w:r>
      <w:r w:rsidR="00EE4FC3">
        <w:t xml:space="preserve">  </w:t>
      </w:r>
      <w:r w:rsidRPr="00382917">
        <w:t>The</w:t>
      </w:r>
      <w:r w:rsidR="00EE4FC3">
        <w:t xml:space="preserve"> </w:t>
      </w:r>
      <w:r w:rsidRPr="00382917">
        <w:t>hearts</w:t>
      </w:r>
      <w:r w:rsidR="00EE4FC3">
        <w:t xml:space="preserve"> </w:t>
      </w:r>
      <w:r w:rsidRPr="00382917">
        <w:t>of</w:t>
      </w:r>
      <w:r w:rsidR="00EE4FC3">
        <w:t xml:space="preserve"> </w:t>
      </w:r>
      <w:r w:rsidRPr="00382917">
        <w:t>the</w:t>
      </w:r>
      <w:r w:rsidR="00EE4FC3">
        <w:t xml:space="preserve"> </w:t>
      </w:r>
      <w:r w:rsidRPr="00382917">
        <w:t>guards</w:t>
      </w:r>
      <w:r w:rsidR="00EE4FC3">
        <w:t xml:space="preserve"> </w:t>
      </w:r>
      <w:r w:rsidRPr="00382917">
        <w:t>were</w:t>
      </w:r>
      <w:r w:rsidR="00EE4FC3">
        <w:t xml:space="preserve"> </w:t>
      </w:r>
      <w:r w:rsidRPr="00382917">
        <w:t>not</w:t>
      </w:r>
      <w:r w:rsidR="00EE4FC3">
        <w:t xml:space="preserve"> </w:t>
      </w:r>
      <w:r w:rsidRPr="00382917">
        <w:t>in</w:t>
      </w:r>
      <w:r w:rsidR="00EE4FC3">
        <w:t xml:space="preserve"> </w:t>
      </w:r>
      <w:r w:rsidRPr="00382917">
        <w:t>the</w:t>
      </w:r>
      <w:r w:rsidR="00EE4FC3">
        <w:t xml:space="preserve"> </w:t>
      </w:r>
      <w:r w:rsidRPr="00382917">
        <w:t>task</w:t>
      </w:r>
      <w:r w:rsidR="00EE4FC3">
        <w:t xml:space="preserve"> </w:t>
      </w:r>
      <w:r w:rsidRPr="00382917">
        <w:t>of</w:t>
      </w:r>
      <w:r w:rsidR="00EE4FC3">
        <w:t xml:space="preserve"> </w:t>
      </w:r>
      <w:r w:rsidRPr="00382917">
        <w:t>standing</w:t>
      </w:r>
      <w:r w:rsidR="00EE4FC3">
        <w:t xml:space="preserve"> </w:t>
      </w:r>
      <w:r w:rsidRPr="00382917">
        <w:t>watch</w:t>
      </w:r>
      <w:r w:rsidR="00EE4FC3">
        <w:t xml:space="preserve"> </w:t>
      </w:r>
      <w:r w:rsidRPr="00382917">
        <w:t>through</w:t>
      </w:r>
      <w:r w:rsidR="00EE4FC3">
        <w:t xml:space="preserve"> </w:t>
      </w:r>
      <w:r w:rsidRPr="00382917">
        <w:t>a</w:t>
      </w:r>
      <w:r w:rsidR="00EE4FC3">
        <w:t xml:space="preserve"> </w:t>
      </w:r>
      <w:r w:rsidRPr="00382917">
        <w:t>long</w:t>
      </w:r>
      <w:r w:rsidR="00EE4FC3">
        <w:t xml:space="preserve"> </w:t>
      </w:r>
      <w:r w:rsidRPr="00382917">
        <w:t>night;</w:t>
      </w:r>
      <w:r w:rsidR="00EE4FC3">
        <w:t xml:space="preserve"> </w:t>
      </w:r>
      <w:r w:rsidRPr="00382917">
        <w:t>so</w:t>
      </w:r>
      <w:r w:rsidR="00EE4FC3">
        <w:t xml:space="preserve"> </w:t>
      </w:r>
      <w:r w:rsidRPr="00382917">
        <w:t>while</w:t>
      </w:r>
      <w:r w:rsidR="00EE4FC3">
        <w:t xml:space="preserve"> </w:t>
      </w:r>
      <w:r w:rsidRPr="00382917">
        <w:t>they</w:t>
      </w:r>
      <w:r w:rsidR="00EE4FC3">
        <w:t xml:space="preserve"> </w:t>
      </w:r>
      <w:r w:rsidRPr="00382917">
        <w:t>slept,</w:t>
      </w:r>
      <w:r w:rsidR="00EE4FC3">
        <w:t xml:space="preserve"> </w:t>
      </w:r>
      <w:r w:rsidRPr="00382917">
        <w:t>Sulaymán</w:t>
      </w:r>
      <w:r w:rsidR="00EE4FC3">
        <w:t xml:space="preserve"> </w:t>
      </w:r>
      <w:r w:rsidR="0040329F" w:rsidRPr="0040329F">
        <w:rPr>
          <w:u w:val="single"/>
        </w:rPr>
        <w:t>Kh</w:t>
      </w:r>
      <w:r w:rsidR="0040329F" w:rsidRPr="00382917">
        <w:t>án</w:t>
      </w:r>
      <w:r w:rsidR="00EE4FC3">
        <w:t xml:space="preserve"> </w:t>
      </w:r>
      <w:r w:rsidRPr="00382917">
        <w:t>and</w:t>
      </w:r>
      <w:r w:rsidR="00EE4FC3">
        <w:t xml:space="preserve"> </w:t>
      </w:r>
      <w:r w:rsidRPr="00382917">
        <w:t>his</w:t>
      </w:r>
      <w:r w:rsidR="00EE4FC3">
        <w:t xml:space="preserve"> </w:t>
      </w:r>
      <w:r w:rsidRPr="00382917">
        <w:t>friend</w:t>
      </w:r>
      <w:r w:rsidR="00EE4FC3">
        <w:t xml:space="preserve"> </w:t>
      </w:r>
      <w:r w:rsidRPr="00382917">
        <w:t>stole</w:t>
      </w:r>
      <w:r w:rsidR="00EE4FC3">
        <w:t xml:space="preserve"> </w:t>
      </w:r>
      <w:r w:rsidRPr="00382917">
        <w:t>the</w:t>
      </w:r>
      <w:r w:rsidR="00EE4FC3">
        <w:t xml:space="preserve"> </w:t>
      </w:r>
      <w:r w:rsidRPr="00382917">
        <w:t>sacred</w:t>
      </w:r>
      <w:r w:rsidR="00EE4FC3">
        <w:t xml:space="preserve"> </w:t>
      </w:r>
      <w:r w:rsidRPr="00382917">
        <w:t>remains,</w:t>
      </w:r>
      <w:r w:rsidR="00EE4FC3">
        <w:t xml:space="preserve"> </w:t>
      </w:r>
      <w:r w:rsidRPr="00382917">
        <w:t>and</w:t>
      </w:r>
      <w:r w:rsidR="00EE4FC3">
        <w:t xml:space="preserve"> </w:t>
      </w:r>
      <w:r w:rsidRPr="00382917">
        <w:t>carried</w:t>
      </w:r>
      <w:r w:rsidR="00EE4FC3">
        <w:t xml:space="preserve"> </w:t>
      </w:r>
      <w:r w:rsidRPr="00382917">
        <w:t>them</w:t>
      </w:r>
      <w:r w:rsidR="00EE4FC3">
        <w:t xml:space="preserve"> </w:t>
      </w:r>
      <w:r w:rsidRPr="00382917">
        <w:t>from</w:t>
      </w:r>
      <w:r w:rsidR="00EE4FC3">
        <w:t xml:space="preserve"> </w:t>
      </w:r>
      <w:r w:rsidRPr="00382917">
        <w:t>the</w:t>
      </w:r>
      <w:r w:rsidR="00EE4FC3">
        <w:t xml:space="preserve"> </w:t>
      </w:r>
      <w:r w:rsidRPr="00382917">
        <w:t>edge</w:t>
      </w:r>
      <w:r w:rsidR="00EE4FC3">
        <w:t xml:space="preserve"> </w:t>
      </w:r>
      <w:r w:rsidRPr="00382917">
        <w:t>of</w:t>
      </w:r>
      <w:r w:rsidR="00EE4FC3">
        <w:t xml:space="preserve"> </w:t>
      </w:r>
      <w:r w:rsidRPr="00382917">
        <w:t>the</w:t>
      </w:r>
      <w:r w:rsidR="00EE4FC3">
        <w:t xml:space="preserve"> </w:t>
      </w:r>
      <w:r w:rsidRPr="00382917">
        <w:t>moat</w:t>
      </w:r>
      <w:r w:rsidR="00EE4FC3">
        <w:t xml:space="preserve"> </w:t>
      </w:r>
      <w:r w:rsidRPr="00382917">
        <w:t>to</w:t>
      </w:r>
      <w:r w:rsidR="00EE4FC3">
        <w:t xml:space="preserve"> </w:t>
      </w:r>
      <w:r w:rsidRPr="00382917">
        <w:t>a</w:t>
      </w:r>
      <w:r w:rsidR="00EE4FC3">
        <w:t xml:space="preserve"> </w:t>
      </w:r>
      <w:r w:rsidRPr="00382917">
        <w:t>silk</w:t>
      </w:r>
      <w:r w:rsidR="00EE4FC3">
        <w:t xml:space="preserve"> </w:t>
      </w:r>
      <w:r w:rsidRPr="00382917">
        <w:t>factory</w:t>
      </w:r>
      <w:r w:rsidR="00EE4FC3">
        <w:t xml:space="preserve"> </w:t>
      </w:r>
      <w:r w:rsidRPr="00382917">
        <w:t>owned</w:t>
      </w:r>
      <w:r w:rsidR="00EE4FC3">
        <w:t xml:space="preserve"> </w:t>
      </w:r>
      <w:r w:rsidRPr="00382917">
        <w:t>by</w:t>
      </w:r>
      <w:r w:rsidR="00EE4FC3">
        <w:t xml:space="preserve"> </w:t>
      </w:r>
      <w:r w:rsidRPr="00382917">
        <w:t>one</w:t>
      </w:r>
      <w:r w:rsidR="00EE4FC3">
        <w:t xml:space="preserve"> </w:t>
      </w:r>
      <w:r w:rsidRPr="00382917">
        <w:t>of</w:t>
      </w:r>
      <w:r w:rsidR="00EE4FC3">
        <w:t xml:space="preserve"> </w:t>
      </w:r>
      <w:r w:rsidRPr="00382917">
        <w:t>the</w:t>
      </w:r>
      <w:r w:rsidR="00EE4FC3">
        <w:t xml:space="preserve"> </w:t>
      </w:r>
      <w:r w:rsidRPr="00382917">
        <w:t>believers</w:t>
      </w:r>
      <w:r w:rsidR="00330AF7">
        <w:t>.</w:t>
      </w:r>
      <w:r w:rsidR="00EE4FC3">
        <w:t xml:space="preserve">  </w:t>
      </w:r>
      <w:r w:rsidRPr="00382917">
        <w:t>The</w:t>
      </w:r>
      <w:r w:rsidR="00EE4FC3">
        <w:t xml:space="preserve"> </w:t>
      </w:r>
      <w:r w:rsidRPr="00382917">
        <w:t>remains</w:t>
      </w:r>
      <w:r w:rsidR="00EE4FC3">
        <w:t xml:space="preserve"> </w:t>
      </w:r>
      <w:r w:rsidRPr="00382917">
        <w:t>were</w:t>
      </w:r>
      <w:r w:rsidR="00EE4FC3">
        <w:t xml:space="preserve"> </w:t>
      </w:r>
      <w:r w:rsidRPr="00382917">
        <w:t>placed</w:t>
      </w:r>
      <w:r w:rsidR="00EE4FC3">
        <w:t xml:space="preserve"> </w:t>
      </w:r>
      <w:r w:rsidRPr="00382917">
        <w:t>the</w:t>
      </w:r>
      <w:r w:rsidR="00EE4FC3">
        <w:t xml:space="preserve"> </w:t>
      </w:r>
      <w:r w:rsidRPr="00382917">
        <w:t>next</w:t>
      </w:r>
      <w:r w:rsidR="00EE4FC3">
        <w:t xml:space="preserve"> </w:t>
      </w:r>
      <w:r w:rsidRPr="00382917">
        <w:t>day</w:t>
      </w:r>
      <w:r w:rsidR="00EE4FC3">
        <w:t xml:space="preserve"> </w:t>
      </w:r>
      <w:r w:rsidRPr="00382917">
        <w:t>in</w:t>
      </w:r>
      <w:r w:rsidR="00EE4FC3">
        <w:t xml:space="preserve"> </w:t>
      </w:r>
      <w:r w:rsidRPr="00382917">
        <w:t>a</w:t>
      </w:r>
      <w:r w:rsidR="00EE4FC3">
        <w:t xml:space="preserve"> </w:t>
      </w:r>
      <w:r w:rsidRPr="00382917">
        <w:t>specially</w:t>
      </w:r>
      <w:r w:rsidR="00EE4FC3">
        <w:t xml:space="preserve"> </w:t>
      </w:r>
      <w:r w:rsidRPr="00382917">
        <w:t>constructed</w:t>
      </w:r>
      <w:r w:rsidR="00EE4FC3">
        <w:t xml:space="preserve"> </w:t>
      </w:r>
      <w:r w:rsidRPr="00382917">
        <w:t>wooden</w:t>
      </w:r>
      <w:r w:rsidR="00EE4FC3">
        <w:t xml:space="preserve"> </w:t>
      </w:r>
      <w:r w:rsidRPr="00382917">
        <w:t>case</w:t>
      </w:r>
      <w:r w:rsidR="00EE4FC3">
        <w:t xml:space="preserve"> </w:t>
      </w:r>
      <w:r w:rsidRPr="00382917">
        <w:t>and</w:t>
      </w:r>
      <w:r w:rsidR="00EE4FC3">
        <w:t xml:space="preserve"> </w:t>
      </w:r>
      <w:r w:rsidRPr="00382917">
        <w:t>were</w:t>
      </w:r>
      <w:r w:rsidR="00EE4FC3">
        <w:t xml:space="preserve"> </w:t>
      </w:r>
      <w:r w:rsidRPr="00382917">
        <w:t>hidden</w:t>
      </w:r>
      <w:r w:rsidR="00EE4FC3">
        <w:t xml:space="preserve"> </w:t>
      </w:r>
      <w:r w:rsidRPr="00382917">
        <w:t>in</w:t>
      </w:r>
      <w:r w:rsidR="00EE4FC3">
        <w:t xml:space="preserve"> </w:t>
      </w:r>
      <w:r w:rsidRPr="00382917">
        <w:t>a</w:t>
      </w:r>
      <w:r w:rsidR="00EE4FC3">
        <w:t xml:space="preserve"> </w:t>
      </w:r>
      <w:r w:rsidRPr="00382917">
        <w:t>place</w:t>
      </w:r>
      <w:r w:rsidR="00EE4FC3">
        <w:t xml:space="preserve"> </w:t>
      </w:r>
      <w:r w:rsidRPr="00382917">
        <w:t>of</w:t>
      </w:r>
      <w:r w:rsidR="00EE4FC3">
        <w:t xml:space="preserve"> </w:t>
      </w:r>
      <w:r w:rsidRPr="00382917">
        <w:t>safety.</w:t>
      </w:r>
    </w:p>
    <w:p w:rsidR="001B6670" w:rsidRPr="00382917" w:rsidRDefault="001B6670" w:rsidP="00775809">
      <w:pPr>
        <w:pStyle w:val="Text"/>
      </w:pPr>
      <w:r w:rsidRPr="00382917">
        <w:t>The</w:t>
      </w:r>
      <w:r w:rsidR="00EE4FC3">
        <w:t xml:space="preserve"> </w:t>
      </w:r>
      <w:r w:rsidRPr="00382917">
        <w:t>sentinels</w:t>
      </w:r>
      <w:r w:rsidR="00EE4FC3">
        <w:t xml:space="preserve"> </w:t>
      </w:r>
      <w:r w:rsidRPr="00382917">
        <w:t>awakened,</w:t>
      </w:r>
      <w:r w:rsidR="00EE4FC3">
        <w:t xml:space="preserve"> </w:t>
      </w:r>
      <w:r w:rsidRPr="00382917">
        <w:t>and</w:t>
      </w:r>
      <w:r w:rsidR="00EE4FC3">
        <w:t xml:space="preserve"> </w:t>
      </w:r>
      <w:r w:rsidRPr="00382917">
        <w:t>finding</w:t>
      </w:r>
      <w:r w:rsidR="00EE4FC3">
        <w:t xml:space="preserve"> </w:t>
      </w:r>
      <w:r w:rsidRPr="00382917">
        <w:t>their</w:t>
      </w:r>
      <w:r w:rsidR="00EE4FC3">
        <w:t xml:space="preserve"> </w:t>
      </w:r>
      <w:r w:rsidRPr="00382917">
        <w:t>trust</w:t>
      </w:r>
      <w:r w:rsidR="00EE4FC3">
        <w:t xml:space="preserve"> </w:t>
      </w:r>
      <w:r w:rsidRPr="00382917">
        <w:t>had</w:t>
      </w:r>
      <w:r w:rsidR="00EE4FC3">
        <w:t xml:space="preserve"> </w:t>
      </w:r>
      <w:r w:rsidRPr="00382917">
        <w:t>been</w:t>
      </w:r>
      <w:r w:rsidR="00EE4FC3">
        <w:t xml:space="preserve"> </w:t>
      </w:r>
      <w:r w:rsidRPr="00382917">
        <w:t>spirited</w:t>
      </w:r>
      <w:r w:rsidR="00EE4FC3">
        <w:t xml:space="preserve"> </w:t>
      </w:r>
      <w:r w:rsidRPr="00382917">
        <w:t>away,</w:t>
      </w:r>
      <w:r w:rsidR="00EE4FC3">
        <w:t xml:space="preserve"> </w:t>
      </w:r>
      <w:r w:rsidRPr="00382917">
        <w:t>sought</w:t>
      </w:r>
      <w:r w:rsidR="00EE4FC3">
        <w:t xml:space="preserve"> </w:t>
      </w:r>
      <w:r w:rsidRPr="00382917">
        <w:t>to</w:t>
      </w:r>
      <w:r w:rsidR="00EE4FC3">
        <w:t xml:space="preserve"> </w:t>
      </w:r>
      <w:r w:rsidRPr="00382917">
        <w:t>justify</w:t>
      </w:r>
      <w:r w:rsidR="00EE4FC3">
        <w:t xml:space="preserve"> </w:t>
      </w:r>
      <w:r w:rsidRPr="00382917">
        <w:t>themselves</w:t>
      </w:r>
      <w:r w:rsidR="00EE4FC3">
        <w:t xml:space="preserve"> </w:t>
      </w:r>
      <w:r w:rsidRPr="00382917">
        <w:t>by</w:t>
      </w:r>
      <w:r w:rsidR="00EE4FC3">
        <w:t xml:space="preserve"> </w:t>
      </w:r>
      <w:r w:rsidRPr="00382917">
        <w:t>pretending</w:t>
      </w:r>
      <w:r w:rsidR="00EE4FC3">
        <w:t xml:space="preserve"> </w:t>
      </w:r>
      <w:r w:rsidRPr="00382917">
        <w:t>that</w:t>
      </w:r>
      <w:r w:rsidR="00EE4FC3">
        <w:t xml:space="preserve"> </w:t>
      </w:r>
      <w:r w:rsidRPr="00382917">
        <w:t>while</w:t>
      </w:r>
      <w:r w:rsidR="00EE4FC3">
        <w:t xml:space="preserve"> </w:t>
      </w:r>
      <w:r w:rsidRPr="00382917">
        <w:t>they</w:t>
      </w:r>
      <w:r w:rsidR="00EE4FC3">
        <w:t xml:space="preserve"> </w:t>
      </w:r>
      <w:r w:rsidRPr="00382917">
        <w:t>slept</w:t>
      </w:r>
      <w:r w:rsidR="00EE4FC3">
        <w:t xml:space="preserve"> </w:t>
      </w:r>
      <w:r w:rsidRPr="00382917">
        <w:t>wild</w:t>
      </w:r>
      <w:r w:rsidR="00EE4FC3">
        <w:t xml:space="preserve"> </w:t>
      </w:r>
      <w:r w:rsidRPr="00382917">
        <w:t>beasts</w:t>
      </w:r>
      <w:r w:rsidR="00EE4FC3">
        <w:t xml:space="preserve"> </w:t>
      </w:r>
      <w:r w:rsidRPr="00382917">
        <w:t>had</w:t>
      </w:r>
      <w:r w:rsidR="00EE4FC3">
        <w:t xml:space="preserve"> </w:t>
      </w:r>
      <w:r w:rsidRPr="00382917">
        <w:t>carried</w:t>
      </w:r>
      <w:r w:rsidR="00EE4FC3">
        <w:t xml:space="preserve"> </w:t>
      </w:r>
      <w:r w:rsidRPr="00382917">
        <w:t>away</w:t>
      </w:r>
      <w:r w:rsidR="00EE4FC3">
        <w:t xml:space="preserve"> </w:t>
      </w:r>
      <w:r w:rsidRPr="00382917">
        <w:t>the</w:t>
      </w:r>
      <w:r w:rsidR="00EE4FC3">
        <w:t xml:space="preserve"> </w:t>
      </w:r>
      <w:r w:rsidRPr="00382917">
        <w:t>bodies</w:t>
      </w:r>
      <w:r w:rsidR="00330AF7">
        <w:t>.</w:t>
      </w:r>
      <w:r w:rsidR="00EE4FC3">
        <w:t xml:space="preserve">  </w:t>
      </w:r>
      <w:r w:rsidRPr="00382917">
        <w:t>Their</w:t>
      </w:r>
      <w:r w:rsidR="00EE4FC3">
        <w:t xml:space="preserve"> </w:t>
      </w:r>
      <w:r w:rsidRPr="00382917">
        <w:t>superiors</w:t>
      </w:r>
      <w:r w:rsidR="00EE4FC3">
        <w:t xml:space="preserve"> </w:t>
      </w:r>
      <w:r w:rsidRPr="00382917">
        <w:t>also</w:t>
      </w:r>
      <w:r w:rsidR="00EE4FC3">
        <w:t xml:space="preserve"> </w:t>
      </w:r>
      <w:r w:rsidRPr="00382917">
        <w:t>concealed</w:t>
      </w:r>
      <w:r w:rsidR="00EE4FC3">
        <w:t xml:space="preserve"> </w:t>
      </w:r>
      <w:r w:rsidRPr="00382917">
        <w:t>the</w:t>
      </w:r>
      <w:r w:rsidR="00EE4FC3">
        <w:t xml:space="preserve"> </w:t>
      </w:r>
      <w:r w:rsidRPr="00382917">
        <w:t>truth</w:t>
      </w:r>
      <w:r w:rsidR="00EE4FC3">
        <w:t xml:space="preserve"> </w:t>
      </w:r>
      <w:r w:rsidRPr="00382917">
        <w:t>and</w:t>
      </w:r>
      <w:r w:rsidR="00EE4FC3">
        <w:t xml:space="preserve"> </w:t>
      </w:r>
      <w:r w:rsidRPr="00382917">
        <w:t>did</w:t>
      </w:r>
      <w:r w:rsidR="00EE4FC3">
        <w:t xml:space="preserve"> </w:t>
      </w:r>
      <w:r w:rsidRPr="00382917">
        <w:t>not</w:t>
      </w:r>
      <w:r w:rsidR="00EE4FC3">
        <w:t xml:space="preserve"> </w:t>
      </w:r>
      <w:r w:rsidRPr="00382917">
        <w:t>report</w:t>
      </w:r>
      <w:r w:rsidR="00EE4FC3">
        <w:t xml:space="preserve"> </w:t>
      </w:r>
      <w:r w:rsidRPr="00382917">
        <w:t>it</w:t>
      </w:r>
      <w:r w:rsidR="00EE4FC3">
        <w:t xml:space="preserve"> </w:t>
      </w:r>
      <w:r w:rsidRPr="00382917">
        <w:t>to</w:t>
      </w:r>
      <w:r w:rsidR="00EE4FC3">
        <w:t xml:space="preserve"> </w:t>
      </w:r>
      <w:r w:rsidRPr="00382917">
        <w:t>the</w:t>
      </w:r>
      <w:r w:rsidR="00EE4FC3">
        <w:t xml:space="preserve"> </w:t>
      </w:r>
      <w:r w:rsidRPr="00382917">
        <w:t>authorities</w:t>
      </w:r>
      <w:r w:rsidR="00EE4FC3">
        <w:t xml:space="preserve"> </w:t>
      </w:r>
      <w:r w:rsidRPr="00382917">
        <w:t>for</w:t>
      </w:r>
      <w:r w:rsidR="00EE4FC3">
        <w:t xml:space="preserve"> </w:t>
      </w:r>
      <w:r w:rsidRPr="00382917">
        <w:t>fear</w:t>
      </w:r>
      <w:r w:rsidR="00EE4FC3">
        <w:t xml:space="preserve"> </w:t>
      </w:r>
      <w:r w:rsidRPr="00382917">
        <w:t>of</w:t>
      </w:r>
      <w:r w:rsidR="00EE4FC3">
        <w:t xml:space="preserve"> </w:t>
      </w:r>
      <w:r w:rsidRPr="00382917">
        <w:t>losing</w:t>
      </w:r>
      <w:r w:rsidR="00EE4FC3">
        <w:t xml:space="preserve"> </w:t>
      </w:r>
      <w:r w:rsidRPr="00382917">
        <w:t>their</w:t>
      </w:r>
      <w:r w:rsidR="00EE4FC3">
        <w:t xml:space="preserve"> </w:t>
      </w:r>
      <w:r w:rsidRPr="00382917">
        <w:t>own</w:t>
      </w:r>
      <w:r w:rsidR="00EE4FC3">
        <w:t xml:space="preserve"> </w:t>
      </w:r>
      <w:r w:rsidRPr="00382917">
        <w:t>positions.</w:t>
      </w:r>
    </w:p>
    <w:p w:rsidR="00775809" w:rsidRPr="00382917" w:rsidRDefault="00775809">
      <w:pPr>
        <w:widowControl/>
        <w:kinsoku/>
        <w:overflowPunct/>
        <w:textAlignment w:val="auto"/>
      </w:pPr>
      <w:r w:rsidRPr="00382917">
        <w:br w:type="page"/>
      </w:r>
    </w:p>
    <w:p w:rsidR="001B6670" w:rsidRPr="00382917" w:rsidRDefault="001B6670" w:rsidP="00775809">
      <w:pPr>
        <w:pStyle w:val="Text"/>
      </w:pPr>
      <w:r w:rsidRPr="00382917">
        <w:t>This</w:t>
      </w:r>
      <w:r w:rsidR="00EE4FC3">
        <w:t xml:space="preserve"> </w:t>
      </w:r>
      <w:r w:rsidRPr="00382917">
        <w:t>pleased</w:t>
      </w:r>
      <w:r w:rsidR="00EE4FC3">
        <w:t xml:space="preserve"> </w:t>
      </w:r>
      <w:r w:rsidRPr="00382917">
        <w:t>the</w:t>
      </w:r>
      <w:r w:rsidR="00EE4FC3">
        <w:t xml:space="preserve"> </w:t>
      </w:r>
      <w:r w:rsidRPr="00382917">
        <w:t>followers</w:t>
      </w:r>
      <w:r w:rsidR="00EE4FC3">
        <w:t xml:space="preserve"> </w:t>
      </w:r>
      <w:r w:rsidRPr="00382917">
        <w:t>of</w:t>
      </w:r>
      <w:r w:rsidR="00EE4FC3">
        <w:t xml:space="preserve"> </w:t>
      </w:r>
      <w:r w:rsidRPr="00382917">
        <w:t>the</w:t>
      </w:r>
      <w:r w:rsidR="00EE4FC3">
        <w:t xml:space="preserve"> </w:t>
      </w:r>
      <w:r w:rsidRPr="00382917">
        <w:t>Báb,</w:t>
      </w:r>
      <w:r w:rsidR="00EE4FC3">
        <w:t xml:space="preserve"> </w:t>
      </w:r>
      <w:r w:rsidRPr="00382917">
        <w:t>who</w:t>
      </w:r>
      <w:r w:rsidR="00EE4FC3">
        <w:t xml:space="preserve"> </w:t>
      </w:r>
      <w:r w:rsidRPr="00382917">
        <w:t>were</w:t>
      </w:r>
      <w:r w:rsidR="00EE4FC3">
        <w:t xml:space="preserve"> </w:t>
      </w:r>
      <w:r w:rsidRPr="00382917">
        <w:t>anxious</w:t>
      </w:r>
      <w:r w:rsidR="00EE4FC3">
        <w:t xml:space="preserve"> </w:t>
      </w:r>
      <w:r w:rsidRPr="00382917">
        <w:t>to</w:t>
      </w:r>
      <w:r w:rsidR="00EE4FC3">
        <w:t xml:space="preserve"> </w:t>
      </w:r>
      <w:r w:rsidRPr="00382917">
        <w:t>prevent</w:t>
      </w:r>
      <w:r w:rsidR="00EE4FC3">
        <w:t xml:space="preserve"> </w:t>
      </w:r>
      <w:r w:rsidRPr="00382917">
        <w:t>any</w:t>
      </w:r>
      <w:r w:rsidR="00EE4FC3">
        <w:t xml:space="preserve"> </w:t>
      </w:r>
      <w:r w:rsidRPr="00382917">
        <w:t>further</w:t>
      </w:r>
      <w:r w:rsidR="00EE4FC3">
        <w:t xml:space="preserve"> </w:t>
      </w:r>
      <w:r w:rsidRPr="00382917">
        <w:t>investigation</w:t>
      </w:r>
      <w:r w:rsidR="00EE4FC3">
        <w:t xml:space="preserve"> </w:t>
      </w:r>
      <w:r w:rsidRPr="00382917">
        <w:t>which</w:t>
      </w:r>
      <w:r w:rsidR="00EE4FC3">
        <w:t xml:space="preserve"> </w:t>
      </w:r>
      <w:r w:rsidRPr="00382917">
        <w:t>might</w:t>
      </w:r>
      <w:r w:rsidR="00EE4FC3">
        <w:t xml:space="preserve"> </w:t>
      </w:r>
      <w:r w:rsidRPr="00382917">
        <w:t>take</w:t>
      </w:r>
      <w:r w:rsidR="00EE4FC3">
        <w:t xml:space="preserve"> </w:t>
      </w:r>
      <w:r w:rsidRPr="00382917">
        <w:t>from</w:t>
      </w:r>
      <w:r w:rsidR="00EE4FC3">
        <w:t xml:space="preserve"> </w:t>
      </w:r>
      <w:r w:rsidRPr="00382917">
        <w:t>them</w:t>
      </w:r>
      <w:r w:rsidR="00EE4FC3">
        <w:t xml:space="preserve"> </w:t>
      </w:r>
      <w:r w:rsidRPr="00382917">
        <w:t>those</w:t>
      </w:r>
      <w:r w:rsidR="00EE4FC3">
        <w:t xml:space="preserve"> </w:t>
      </w:r>
      <w:r w:rsidRPr="00382917">
        <w:t>blessed</w:t>
      </w:r>
      <w:r w:rsidR="00EE4FC3">
        <w:t xml:space="preserve"> </w:t>
      </w:r>
      <w:r w:rsidRPr="00382917">
        <w:t>remains.</w:t>
      </w:r>
    </w:p>
    <w:p w:rsidR="001B6670" w:rsidRPr="00382917" w:rsidRDefault="001B6670" w:rsidP="00775809">
      <w:pPr>
        <w:pStyle w:val="Text"/>
      </w:pPr>
      <w:r w:rsidRPr="00382917">
        <w:t>Meanwhile,</w:t>
      </w:r>
      <w:r w:rsidR="00EE4FC3">
        <w:t xml:space="preserve"> </w:t>
      </w:r>
      <w:r w:rsidRPr="00382917">
        <w:t>from</w:t>
      </w:r>
      <w:r w:rsidR="00EE4FC3">
        <w:t xml:space="preserve"> </w:t>
      </w:r>
      <w:r w:rsidRPr="00382917">
        <w:t>the</w:t>
      </w:r>
      <w:r w:rsidR="00EE4FC3">
        <w:t xml:space="preserve"> </w:t>
      </w:r>
      <w:r w:rsidRPr="00382917">
        <w:t>pulpits</w:t>
      </w:r>
      <w:r w:rsidR="00EE4FC3">
        <w:t xml:space="preserve"> </w:t>
      </w:r>
      <w:r w:rsidRPr="00382917">
        <w:t>of</w:t>
      </w:r>
      <w:r w:rsidR="00EE4FC3">
        <w:t xml:space="preserve"> </w:t>
      </w:r>
      <w:r w:rsidRPr="00382917">
        <w:t>Tabríz,</w:t>
      </w:r>
      <w:r w:rsidR="00EE4FC3">
        <w:t xml:space="preserve"> </w:t>
      </w:r>
      <w:r w:rsidRPr="00382917">
        <w:t>the</w:t>
      </w:r>
      <w:r w:rsidR="00EE4FC3">
        <w:t xml:space="preserve"> </w:t>
      </w:r>
      <w:r w:rsidRPr="00382917">
        <w:t>religious</w:t>
      </w:r>
      <w:r w:rsidR="00EE4FC3">
        <w:t xml:space="preserve"> </w:t>
      </w:r>
      <w:r w:rsidRPr="00382917">
        <w:t>leaders</w:t>
      </w:r>
      <w:r w:rsidR="00EE4FC3">
        <w:t xml:space="preserve"> </w:t>
      </w:r>
      <w:r w:rsidRPr="00382917">
        <w:t>boastfully</w:t>
      </w:r>
      <w:r w:rsidR="00EE4FC3">
        <w:t xml:space="preserve"> </w:t>
      </w:r>
      <w:r w:rsidRPr="00382917">
        <w:t>proclaimed</w:t>
      </w:r>
      <w:r w:rsidR="00EE4FC3">
        <w:t xml:space="preserve"> </w:t>
      </w:r>
      <w:r w:rsidRPr="00382917">
        <w:t>that</w:t>
      </w:r>
      <w:r w:rsidR="00EE4FC3">
        <w:t xml:space="preserve"> </w:t>
      </w:r>
      <w:r w:rsidRPr="00382917">
        <w:t>the</w:t>
      </w:r>
      <w:r w:rsidR="00EE4FC3">
        <w:t xml:space="preserve"> </w:t>
      </w:r>
      <w:r w:rsidRPr="00382917">
        <w:t>Báb</w:t>
      </w:r>
      <w:r w:rsidR="009C713D" w:rsidRPr="00382917">
        <w:t>’</w:t>
      </w:r>
      <w:r w:rsidRPr="00382917">
        <w:t>s</w:t>
      </w:r>
      <w:r w:rsidR="00EE4FC3">
        <w:t xml:space="preserve"> </w:t>
      </w:r>
      <w:r w:rsidRPr="00382917">
        <w:t>remains</w:t>
      </w:r>
      <w:r w:rsidR="00EE4FC3">
        <w:t xml:space="preserve"> </w:t>
      </w:r>
      <w:r w:rsidRPr="00382917">
        <w:t>had</w:t>
      </w:r>
      <w:r w:rsidR="00EE4FC3">
        <w:t xml:space="preserve"> </w:t>
      </w:r>
      <w:r w:rsidRPr="00382917">
        <w:t>been</w:t>
      </w:r>
      <w:r w:rsidR="00EE4FC3">
        <w:t xml:space="preserve"> </w:t>
      </w:r>
      <w:r w:rsidRPr="00382917">
        <w:t>devoured</w:t>
      </w:r>
      <w:r w:rsidR="00EE4FC3">
        <w:t xml:space="preserve"> </w:t>
      </w:r>
      <w:r w:rsidRPr="00382917">
        <w:t>by</w:t>
      </w:r>
      <w:r w:rsidR="00EE4FC3">
        <w:t xml:space="preserve"> </w:t>
      </w:r>
      <w:r w:rsidRPr="00382917">
        <w:t>wild</w:t>
      </w:r>
      <w:r w:rsidR="00EE4FC3">
        <w:t xml:space="preserve"> </w:t>
      </w:r>
      <w:r w:rsidRPr="00382917">
        <w:t>animals.</w:t>
      </w:r>
    </w:p>
    <w:p w:rsidR="001B6670" w:rsidRPr="00382917" w:rsidRDefault="009C713D" w:rsidP="00775809">
      <w:pPr>
        <w:pStyle w:val="Text"/>
      </w:pPr>
      <w:r w:rsidRPr="00382917">
        <w:t>“</w:t>
      </w:r>
      <w:r w:rsidR="001B6670" w:rsidRPr="00382917">
        <w:t>This</w:t>
      </w:r>
      <w:r w:rsidR="00EE4FC3">
        <w:t xml:space="preserve"> </w:t>
      </w:r>
      <w:r w:rsidR="001B6670" w:rsidRPr="00382917">
        <w:t>proves</w:t>
      </w:r>
      <w:r w:rsidR="00EE4FC3">
        <w:t xml:space="preserve"> </w:t>
      </w:r>
      <w:r w:rsidR="001B6670" w:rsidRPr="00382917">
        <w:t>us</w:t>
      </w:r>
      <w:r w:rsidR="00EE4FC3">
        <w:t xml:space="preserve"> </w:t>
      </w:r>
      <w:r w:rsidR="001B6670" w:rsidRPr="00382917">
        <w:t>right</w:t>
      </w:r>
      <w:r w:rsidR="00EE4FC3">
        <w:t xml:space="preserve"> </w:t>
      </w:r>
      <w:r w:rsidR="001B6670" w:rsidRPr="00382917">
        <w:t>and</w:t>
      </w:r>
      <w:r w:rsidR="00EE4FC3">
        <w:t xml:space="preserve"> </w:t>
      </w:r>
      <w:r w:rsidR="001B6670" w:rsidRPr="00382917">
        <w:t>him</w:t>
      </w:r>
      <w:r w:rsidR="00EE4FC3">
        <w:t xml:space="preserve"> </w:t>
      </w:r>
      <w:r w:rsidR="001B6670" w:rsidRPr="00382917">
        <w:t>false,</w:t>
      </w:r>
      <w:r w:rsidRPr="00382917">
        <w:t>”</w:t>
      </w:r>
      <w:r w:rsidR="00EE4FC3">
        <w:t xml:space="preserve"> </w:t>
      </w:r>
      <w:r w:rsidR="001B6670" w:rsidRPr="00382917">
        <w:t>they</w:t>
      </w:r>
      <w:r w:rsidR="00EE4FC3">
        <w:t xml:space="preserve"> </w:t>
      </w:r>
      <w:r w:rsidR="001B6670" w:rsidRPr="00382917">
        <w:t>cried</w:t>
      </w:r>
      <w:r w:rsidR="00EE4FC3">
        <w:t xml:space="preserve"> </w:t>
      </w:r>
      <w:r w:rsidR="001B6670" w:rsidRPr="00382917">
        <w:t>out</w:t>
      </w:r>
      <w:r w:rsidR="00330AF7">
        <w:t>.</w:t>
      </w:r>
      <w:r w:rsidR="00EE4FC3">
        <w:t xml:space="preserve">  </w:t>
      </w:r>
      <w:r w:rsidRPr="00382917">
        <w:t>“</w:t>
      </w:r>
      <w:r w:rsidR="001B6670" w:rsidRPr="00382917">
        <w:t>For</w:t>
      </w:r>
      <w:r w:rsidR="00EE4FC3">
        <w:t xml:space="preserve"> </w:t>
      </w:r>
      <w:r w:rsidR="001B6670" w:rsidRPr="00382917">
        <w:t>it</w:t>
      </w:r>
      <w:r w:rsidR="00EE4FC3">
        <w:t xml:space="preserve"> </w:t>
      </w:r>
      <w:r w:rsidR="001B6670" w:rsidRPr="00382917">
        <w:t>is</w:t>
      </w:r>
      <w:r w:rsidR="00EE4FC3">
        <w:t xml:space="preserve"> </w:t>
      </w:r>
      <w:r w:rsidR="001B6670" w:rsidRPr="00382917">
        <w:t>written</w:t>
      </w:r>
      <w:r w:rsidR="00EE4FC3">
        <w:t xml:space="preserve"> </w:t>
      </w:r>
      <w:r w:rsidR="001B6670" w:rsidRPr="00382917">
        <w:t>in</w:t>
      </w:r>
      <w:r w:rsidR="00EE4FC3">
        <w:t xml:space="preserve"> </w:t>
      </w:r>
      <w:r w:rsidR="001B6670" w:rsidRPr="00382917">
        <w:t>our</w:t>
      </w:r>
      <w:r w:rsidR="00EE4FC3">
        <w:t xml:space="preserve"> </w:t>
      </w:r>
      <w:r w:rsidR="001B6670" w:rsidRPr="00382917">
        <w:t>prophecies</w:t>
      </w:r>
      <w:r w:rsidR="00EE4FC3">
        <w:t xml:space="preserve"> </w:t>
      </w:r>
      <w:r w:rsidR="001B6670" w:rsidRPr="00382917">
        <w:t>that</w:t>
      </w:r>
      <w:r w:rsidR="00EE4FC3">
        <w:t xml:space="preserve"> </w:t>
      </w:r>
      <w:r w:rsidR="001B6670" w:rsidRPr="00382917">
        <w:t>the</w:t>
      </w:r>
      <w:r w:rsidR="00EE4FC3">
        <w:t xml:space="preserve"> </w:t>
      </w:r>
      <w:r w:rsidR="001B6670" w:rsidRPr="00382917">
        <w:t>holy</w:t>
      </w:r>
      <w:r w:rsidR="00EE4FC3">
        <w:t xml:space="preserve"> </w:t>
      </w:r>
      <w:r w:rsidR="001B6670" w:rsidRPr="00382917">
        <w:t>body</w:t>
      </w:r>
      <w:r w:rsidR="00EE4FC3">
        <w:t xml:space="preserve"> </w:t>
      </w:r>
      <w:r w:rsidR="001B6670" w:rsidRPr="00382917">
        <w:t>of</w:t>
      </w:r>
      <w:r w:rsidR="00EE4FC3">
        <w:t xml:space="preserve"> </w:t>
      </w:r>
      <w:r w:rsidR="001B6670" w:rsidRPr="00382917">
        <w:t>the</w:t>
      </w:r>
      <w:r w:rsidR="00EE4FC3">
        <w:t xml:space="preserve"> </w:t>
      </w:r>
      <w:r w:rsidR="001B6670" w:rsidRPr="00382917">
        <w:t>Promised</w:t>
      </w:r>
      <w:r w:rsidR="00EE4FC3">
        <w:t xml:space="preserve"> </w:t>
      </w:r>
      <w:r w:rsidR="001B6670" w:rsidRPr="00382917">
        <w:t>One</w:t>
      </w:r>
      <w:r w:rsidR="00EE4FC3">
        <w:t xml:space="preserve"> </w:t>
      </w:r>
      <w:r w:rsidR="001B6670" w:rsidRPr="00382917">
        <w:t>will</w:t>
      </w:r>
      <w:r w:rsidR="00EE4FC3">
        <w:t xml:space="preserve"> </w:t>
      </w:r>
      <w:r w:rsidR="001B6670" w:rsidRPr="00382917">
        <w:t>be</w:t>
      </w:r>
      <w:r w:rsidR="00EE4FC3">
        <w:t xml:space="preserve"> </w:t>
      </w:r>
      <w:r w:rsidR="001B6670" w:rsidRPr="00382917">
        <w:t>preserved</w:t>
      </w:r>
      <w:r w:rsidR="00EE4FC3">
        <w:t xml:space="preserve"> </w:t>
      </w:r>
      <w:r w:rsidR="001B6670" w:rsidRPr="00382917">
        <w:t>from</w:t>
      </w:r>
      <w:r w:rsidR="00EE4FC3">
        <w:t xml:space="preserve"> </w:t>
      </w:r>
      <w:r w:rsidR="001B6670" w:rsidRPr="00382917">
        <w:t>beasts</w:t>
      </w:r>
      <w:r w:rsidR="00EE4FC3">
        <w:t xml:space="preserve"> </w:t>
      </w:r>
      <w:r w:rsidR="001B6670" w:rsidRPr="00382917">
        <w:t>of</w:t>
      </w:r>
      <w:r w:rsidR="00EE4FC3">
        <w:t xml:space="preserve"> </w:t>
      </w:r>
      <w:r w:rsidR="001B6670" w:rsidRPr="00382917">
        <w:t>prey</w:t>
      </w:r>
      <w:r w:rsidR="00EE4FC3">
        <w:t xml:space="preserve"> </w:t>
      </w:r>
      <w:r w:rsidR="001B6670" w:rsidRPr="00382917">
        <w:t>and</w:t>
      </w:r>
      <w:r w:rsidR="00EE4FC3">
        <w:t xml:space="preserve"> </w:t>
      </w:r>
      <w:r w:rsidR="001B6670" w:rsidRPr="00382917">
        <w:t>from</w:t>
      </w:r>
      <w:r w:rsidR="00EE4FC3">
        <w:t xml:space="preserve"> </w:t>
      </w:r>
      <w:r w:rsidR="001B6670" w:rsidRPr="00382917">
        <w:t>all</w:t>
      </w:r>
      <w:r w:rsidR="00EE4FC3">
        <w:t xml:space="preserve"> </w:t>
      </w:r>
      <w:r w:rsidR="001B6670" w:rsidRPr="00382917">
        <w:t>creeping</w:t>
      </w:r>
      <w:r w:rsidR="00EE4FC3">
        <w:t xml:space="preserve"> </w:t>
      </w:r>
      <w:r w:rsidR="001B6670" w:rsidRPr="00382917">
        <w:t>things.</w:t>
      </w:r>
      <w:r w:rsidRPr="00382917">
        <w:t>”</w:t>
      </w:r>
    </w:p>
    <w:p w:rsidR="001B6670" w:rsidRPr="00382917" w:rsidRDefault="001B6670" w:rsidP="008B05CD">
      <w:pPr>
        <w:pStyle w:val="Text"/>
      </w:pPr>
      <w:r w:rsidRPr="00382917">
        <w:t>Nicolas</w:t>
      </w:r>
      <w:r w:rsidR="00EE4FC3">
        <w:t xml:space="preserve"> </w:t>
      </w:r>
      <w:r w:rsidRPr="00382917">
        <w:t>in</w:t>
      </w:r>
      <w:r w:rsidR="00EE4FC3">
        <w:t xml:space="preserve"> </w:t>
      </w:r>
      <w:r w:rsidRPr="00382917">
        <w:t>his</w:t>
      </w:r>
      <w:r w:rsidR="00EE4FC3">
        <w:t xml:space="preserve"> </w:t>
      </w:r>
      <w:r w:rsidRPr="00382917">
        <w:t>history</w:t>
      </w:r>
      <w:r w:rsidR="00EE4FC3">
        <w:t xml:space="preserve"> </w:t>
      </w:r>
      <w:r w:rsidRPr="00382917">
        <w:t>says,</w:t>
      </w:r>
      <w:r w:rsidR="00EE4FC3">
        <w:t xml:space="preserve"> </w:t>
      </w:r>
      <w:r w:rsidR="009C713D" w:rsidRPr="00382917">
        <w:t>“</w:t>
      </w:r>
      <w:r w:rsidRPr="00382917">
        <w:t>The</w:t>
      </w:r>
      <w:r w:rsidR="00EE4FC3">
        <w:t xml:space="preserve"> </w:t>
      </w:r>
      <w:r w:rsidRPr="00382917">
        <w:t>most</w:t>
      </w:r>
      <w:r w:rsidR="00EE4FC3">
        <w:t xml:space="preserve"> </w:t>
      </w:r>
      <w:r w:rsidRPr="00382917">
        <w:t>reliable</w:t>
      </w:r>
      <w:r w:rsidR="00EE4FC3">
        <w:t xml:space="preserve"> </w:t>
      </w:r>
      <w:r w:rsidRPr="00382917">
        <w:t>testimony</w:t>
      </w:r>
      <w:r w:rsidR="00EE4FC3">
        <w:t xml:space="preserve"> </w:t>
      </w:r>
      <w:r w:rsidRPr="00382917">
        <w:t>of</w:t>
      </w:r>
      <w:r w:rsidR="00EE4FC3">
        <w:t xml:space="preserve"> </w:t>
      </w:r>
      <w:r w:rsidRPr="00382917">
        <w:t>the</w:t>
      </w:r>
      <w:r w:rsidR="00EE4FC3">
        <w:t xml:space="preserve"> </w:t>
      </w:r>
      <w:r w:rsidRPr="00382917">
        <w:t>actual</w:t>
      </w:r>
      <w:r w:rsidR="00EE4FC3">
        <w:t xml:space="preserve"> </w:t>
      </w:r>
      <w:r w:rsidRPr="00382917">
        <w:t>witnesses</w:t>
      </w:r>
      <w:r w:rsidR="00EE4FC3">
        <w:t xml:space="preserve"> </w:t>
      </w:r>
      <w:r w:rsidRPr="00382917">
        <w:t>of</w:t>
      </w:r>
      <w:r w:rsidR="00EE4FC3">
        <w:t xml:space="preserve"> </w:t>
      </w:r>
      <w:r w:rsidRPr="00382917">
        <w:t>the</w:t>
      </w:r>
      <w:r w:rsidR="00EE4FC3">
        <w:t xml:space="preserve"> </w:t>
      </w:r>
      <w:r w:rsidRPr="00382917">
        <w:t>drama</w:t>
      </w:r>
      <w:r w:rsidR="00EE4FC3">
        <w:t xml:space="preserve"> </w:t>
      </w:r>
      <w:r w:rsidRPr="00382917">
        <w:t>and</w:t>
      </w:r>
      <w:r w:rsidR="00EE4FC3">
        <w:t xml:space="preserve"> </w:t>
      </w:r>
      <w:r w:rsidRPr="00382917">
        <w:t>of</w:t>
      </w:r>
      <w:r w:rsidR="00EE4FC3">
        <w:t xml:space="preserve"> </w:t>
      </w:r>
      <w:r w:rsidRPr="00382917">
        <w:t>its</w:t>
      </w:r>
      <w:r w:rsidR="00EE4FC3">
        <w:t xml:space="preserve"> </w:t>
      </w:r>
      <w:r w:rsidRPr="00382917">
        <w:t>actors</w:t>
      </w:r>
      <w:r w:rsidR="00EE4FC3">
        <w:t xml:space="preserve"> </w:t>
      </w:r>
      <w:r w:rsidRPr="00382917">
        <w:t>does</w:t>
      </w:r>
      <w:r w:rsidR="00EE4FC3">
        <w:t xml:space="preserve"> </w:t>
      </w:r>
      <w:r w:rsidRPr="00382917">
        <w:t>not</w:t>
      </w:r>
      <w:r w:rsidR="00EE4FC3">
        <w:t xml:space="preserve"> </w:t>
      </w:r>
      <w:r w:rsidRPr="00382917">
        <w:t>leave</w:t>
      </w:r>
      <w:r w:rsidR="00EE4FC3">
        <w:t xml:space="preserve"> </w:t>
      </w:r>
      <w:r w:rsidRPr="00382917">
        <w:t>me</w:t>
      </w:r>
      <w:r w:rsidR="00EE4FC3">
        <w:t xml:space="preserve"> </w:t>
      </w:r>
      <w:r w:rsidRPr="00382917">
        <w:t>any</w:t>
      </w:r>
      <w:r w:rsidR="00EE4FC3">
        <w:t xml:space="preserve"> </w:t>
      </w:r>
      <w:r w:rsidRPr="00382917">
        <w:t>doubt</w:t>
      </w:r>
      <w:r w:rsidR="00EE4FC3">
        <w:t xml:space="preserve"> </w:t>
      </w:r>
      <w:r w:rsidRPr="00382917">
        <w:t>that</w:t>
      </w:r>
      <w:r w:rsidR="00EE4FC3">
        <w:t xml:space="preserve"> </w:t>
      </w:r>
      <w:r w:rsidRPr="00382917">
        <w:t>the</w:t>
      </w:r>
      <w:r w:rsidR="00EE4FC3">
        <w:t xml:space="preserve"> </w:t>
      </w:r>
      <w:r w:rsidRPr="00382917">
        <w:t>body</w:t>
      </w:r>
      <w:r w:rsidR="00EE4FC3">
        <w:t xml:space="preserve"> </w:t>
      </w:r>
      <w:r w:rsidRPr="00382917">
        <w:t>of</w:t>
      </w:r>
      <w:r w:rsidR="00EE4FC3">
        <w:t xml:space="preserve"> </w:t>
      </w:r>
      <w:r w:rsidRPr="00382917">
        <w:t>[the</w:t>
      </w:r>
      <w:r w:rsidR="00EE4FC3">
        <w:t xml:space="preserve"> </w:t>
      </w:r>
      <w:r w:rsidRPr="00382917">
        <w:t>Báb]</w:t>
      </w:r>
      <w:r w:rsidR="00EE4FC3">
        <w:t xml:space="preserve"> </w:t>
      </w:r>
      <w:r w:rsidRPr="00382917">
        <w:t>was</w:t>
      </w:r>
      <w:r w:rsidR="00EE4FC3">
        <w:t xml:space="preserve"> </w:t>
      </w:r>
      <w:r w:rsidRPr="00382917">
        <w:t>carried</w:t>
      </w:r>
      <w:r w:rsidR="00EE4FC3">
        <w:t xml:space="preserve"> </w:t>
      </w:r>
      <w:r w:rsidRPr="00382917">
        <w:t>away</w:t>
      </w:r>
      <w:r w:rsidR="00EE4FC3">
        <w:t xml:space="preserve"> </w:t>
      </w:r>
      <w:r w:rsidRPr="00382917">
        <w:t>by</w:t>
      </w:r>
      <w:r w:rsidR="00EE4FC3">
        <w:t xml:space="preserve"> </w:t>
      </w:r>
      <w:r w:rsidRPr="00382917">
        <w:t>pious</w:t>
      </w:r>
      <w:r w:rsidR="00EE4FC3">
        <w:t xml:space="preserve"> </w:t>
      </w:r>
      <w:r w:rsidRPr="00382917">
        <w:t>hands</w:t>
      </w:r>
      <w:r w:rsidR="00EE4FC3">
        <w:t xml:space="preserve"> </w:t>
      </w:r>
      <w:r w:rsidRPr="00382917">
        <w:t>and,</w:t>
      </w:r>
      <w:r w:rsidR="00EE4FC3">
        <w:t xml:space="preserve"> </w:t>
      </w:r>
      <w:r w:rsidRPr="00382917">
        <w:t>at</w:t>
      </w:r>
      <w:r w:rsidR="00EE4FC3">
        <w:t xml:space="preserve"> </w:t>
      </w:r>
      <w:r w:rsidRPr="00382917">
        <w:t>last</w:t>
      </w:r>
      <w:r w:rsidR="00EE4FC3">
        <w:t xml:space="preserve"> </w:t>
      </w:r>
      <w:r w:rsidR="00F04416" w:rsidRPr="00382917">
        <w:t>…</w:t>
      </w:r>
      <w:r w:rsidR="00EE4FC3">
        <w:t xml:space="preserve"> </w:t>
      </w:r>
      <w:r w:rsidRPr="00382917">
        <w:t>received</w:t>
      </w:r>
      <w:r w:rsidR="00EE4FC3">
        <w:t xml:space="preserve"> </w:t>
      </w:r>
      <w:r w:rsidRPr="00382917">
        <w:t>a</w:t>
      </w:r>
      <w:r w:rsidR="00EE4FC3">
        <w:t xml:space="preserve"> </w:t>
      </w:r>
      <w:r w:rsidRPr="00382917">
        <w:t>burial</w:t>
      </w:r>
      <w:r w:rsidR="00EE4FC3">
        <w:t xml:space="preserve"> </w:t>
      </w:r>
      <w:r w:rsidRPr="00382917">
        <w:t>worthy</w:t>
      </w:r>
      <w:r w:rsidR="00EE4FC3">
        <w:t xml:space="preserve"> </w:t>
      </w:r>
      <w:r w:rsidRPr="00382917">
        <w:t>of</w:t>
      </w:r>
      <w:r w:rsidR="00EE4FC3">
        <w:t xml:space="preserve"> </w:t>
      </w:r>
      <w:r w:rsidRPr="00382917">
        <w:t>him.</w:t>
      </w:r>
      <w:r w:rsidR="009C713D" w:rsidRPr="00382917">
        <w:t>”</w:t>
      </w:r>
      <w:r w:rsidR="008B05CD">
        <w:rPr>
          <w:rStyle w:val="FootnoteReference"/>
        </w:rPr>
        <w:footnoteReference w:id="262"/>
      </w:r>
    </w:p>
    <w:p w:rsidR="001B6670" w:rsidRPr="00382917" w:rsidRDefault="001B6670" w:rsidP="00775809">
      <w:pPr>
        <w:pStyle w:val="Text"/>
      </w:pPr>
      <w:r w:rsidRPr="00382917">
        <w:t>Sulaymán</w:t>
      </w:r>
      <w:r w:rsidR="00EE4FC3">
        <w:t xml:space="preserve"> </w:t>
      </w:r>
      <w:r w:rsidR="0040329F" w:rsidRPr="0040329F">
        <w:rPr>
          <w:u w:val="single"/>
        </w:rPr>
        <w:t>Kh</w:t>
      </w:r>
      <w:r w:rsidR="0040329F" w:rsidRPr="00382917">
        <w:t>án</w:t>
      </w:r>
      <w:r w:rsidR="00EE4FC3">
        <w:t xml:space="preserve"> </w:t>
      </w:r>
      <w:r w:rsidRPr="00382917">
        <w:t>reported</w:t>
      </w:r>
      <w:r w:rsidR="00EE4FC3">
        <w:t xml:space="preserve"> </w:t>
      </w:r>
      <w:r w:rsidRPr="00382917">
        <w:t>the</w:t>
      </w:r>
      <w:r w:rsidR="00EE4FC3">
        <w:t xml:space="preserve"> </w:t>
      </w:r>
      <w:r w:rsidRPr="00382917">
        <w:t>rescue</w:t>
      </w:r>
      <w:r w:rsidR="00EE4FC3">
        <w:t xml:space="preserve"> </w:t>
      </w:r>
      <w:r w:rsidRPr="00382917">
        <w:t>of</w:t>
      </w:r>
      <w:r w:rsidR="00EE4FC3">
        <w:t xml:space="preserve"> </w:t>
      </w:r>
      <w:r w:rsidRPr="00382917">
        <w:t>the</w:t>
      </w:r>
      <w:r w:rsidR="00EE4FC3">
        <w:t xml:space="preserve"> </w:t>
      </w:r>
      <w:r w:rsidRPr="00382917">
        <w:t>remains</w:t>
      </w:r>
      <w:r w:rsidR="00EE4FC3">
        <w:t xml:space="preserve"> </w:t>
      </w:r>
      <w:r w:rsidRPr="00382917">
        <w:t>of</w:t>
      </w:r>
      <w:r w:rsidR="00EE4FC3">
        <w:t xml:space="preserve"> </w:t>
      </w:r>
      <w:r w:rsidRPr="00382917">
        <w:t>the</w:t>
      </w:r>
      <w:r w:rsidR="00EE4FC3">
        <w:t xml:space="preserve"> </w:t>
      </w:r>
      <w:r w:rsidRPr="00382917">
        <w:t>Báb</w:t>
      </w:r>
      <w:r w:rsidR="00EE4FC3">
        <w:t xml:space="preserve"> </w:t>
      </w:r>
      <w:r w:rsidRPr="00382917">
        <w:t>to</w:t>
      </w:r>
      <w:r w:rsidR="00EE4FC3">
        <w:t xml:space="preserve"> </w:t>
      </w:r>
      <w:r w:rsidRPr="00382917">
        <w:t>Bahá</w:t>
      </w:r>
      <w:r w:rsidR="009C713D" w:rsidRPr="00382917">
        <w:t>’</w:t>
      </w:r>
      <w:r w:rsidRPr="00382917">
        <w:t>u</w:t>
      </w:r>
      <w:r w:rsidR="009C713D" w:rsidRPr="00382917">
        <w:t>’</w:t>
      </w:r>
      <w:r w:rsidRPr="00382917">
        <w:t>lláh</w:t>
      </w:r>
      <w:r w:rsidR="00EE4FC3">
        <w:t xml:space="preserve"> </w:t>
      </w:r>
      <w:r w:rsidRPr="00382917">
        <w:t>in</w:t>
      </w:r>
      <w:r w:rsidR="00EE4FC3">
        <w:t xml:space="preserve"> </w:t>
      </w:r>
      <w:r w:rsidRPr="00382917">
        <w:rPr>
          <w:sz w:val="22"/>
        </w:rPr>
        <w:t>Ṭ</w:t>
      </w:r>
      <w:r w:rsidRPr="00382917">
        <w:t>ihrán</w:t>
      </w:r>
      <w:r w:rsidR="00330AF7">
        <w:t>.</w:t>
      </w:r>
      <w:r w:rsidR="00EE4FC3">
        <w:t xml:space="preserve">  </w:t>
      </w:r>
      <w:r w:rsidRPr="00382917">
        <w:t>Bahá</w:t>
      </w:r>
      <w:r w:rsidR="009C713D" w:rsidRPr="00382917">
        <w:t>’</w:t>
      </w:r>
      <w:r w:rsidRPr="00382917">
        <w:t>u</w:t>
      </w:r>
      <w:r w:rsidR="009C713D" w:rsidRPr="00382917">
        <w:t>’</w:t>
      </w:r>
      <w:r w:rsidRPr="00382917">
        <w:t>lláh</w:t>
      </w:r>
      <w:r w:rsidR="00EE4FC3">
        <w:t xml:space="preserve"> </w:t>
      </w:r>
      <w:r w:rsidRPr="00382917">
        <w:t>immediately</w:t>
      </w:r>
      <w:r w:rsidR="00EE4FC3">
        <w:t xml:space="preserve"> </w:t>
      </w:r>
      <w:r w:rsidRPr="00382917">
        <w:t>sent</w:t>
      </w:r>
      <w:r w:rsidR="00EE4FC3">
        <w:t xml:space="preserve"> </w:t>
      </w:r>
      <w:r w:rsidRPr="00382917">
        <w:t>a</w:t>
      </w:r>
      <w:r w:rsidR="00EE4FC3">
        <w:t xml:space="preserve"> </w:t>
      </w:r>
      <w:r w:rsidRPr="00382917">
        <w:t>special</w:t>
      </w:r>
      <w:r w:rsidR="00EE4FC3">
        <w:t xml:space="preserve"> </w:t>
      </w:r>
      <w:r w:rsidRPr="00382917">
        <w:t>messenger</w:t>
      </w:r>
      <w:r w:rsidR="00EE4FC3">
        <w:t xml:space="preserve"> </w:t>
      </w:r>
      <w:r w:rsidRPr="00382917">
        <w:t>to</w:t>
      </w:r>
      <w:r w:rsidR="00EE4FC3">
        <w:t xml:space="preserve"> </w:t>
      </w:r>
      <w:r w:rsidR="00B24C41">
        <w:t>Tabríz</w:t>
      </w:r>
      <w:r w:rsidR="00EE4FC3">
        <w:t xml:space="preserve"> </w:t>
      </w:r>
      <w:r w:rsidRPr="00382917">
        <w:t>to</w:t>
      </w:r>
      <w:r w:rsidR="00EE4FC3">
        <w:t xml:space="preserve"> </w:t>
      </w:r>
      <w:r w:rsidRPr="00382917">
        <w:t>arrange</w:t>
      </w:r>
      <w:r w:rsidR="00EE4FC3">
        <w:t xml:space="preserve"> </w:t>
      </w:r>
      <w:r w:rsidRPr="00382917">
        <w:t>for</w:t>
      </w:r>
      <w:r w:rsidR="00EE4FC3">
        <w:t xml:space="preserve"> </w:t>
      </w:r>
      <w:r w:rsidRPr="00382917">
        <w:t>the</w:t>
      </w:r>
      <w:r w:rsidR="00EE4FC3">
        <w:t xml:space="preserve"> </w:t>
      </w:r>
      <w:r w:rsidRPr="00382917">
        <w:t>bodies</w:t>
      </w:r>
      <w:r w:rsidR="00EE4FC3">
        <w:t xml:space="preserve"> </w:t>
      </w:r>
      <w:r w:rsidRPr="00382917">
        <w:t>to</w:t>
      </w:r>
      <w:r w:rsidR="00EE4FC3">
        <w:t xml:space="preserve"> </w:t>
      </w:r>
      <w:r w:rsidRPr="00382917">
        <w:t>be</w:t>
      </w:r>
      <w:r w:rsidR="00EE4FC3">
        <w:t xml:space="preserve"> </w:t>
      </w:r>
      <w:r w:rsidRPr="00382917">
        <w:t>transferred</w:t>
      </w:r>
      <w:r w:rsidR="00EE4FC3">
        <w:t xml:space="preserve"> </w:t>
      </w:r>
      <w:r w:rsidRPr="00382917">
        <w:t>to</w:t>
      </w:r>
      <w:r w:rsidR="00EE4FC3">
        <w:t xml:space="preserve"> </w:t>
      </w:r>
      <w:r w:rsidRPr="00382917">
        <w:t>the</w:t>
      </w:r>
      <w:r w:rsidR="00EE4FC3">
        <w:t xml:space="preserve"> </w:t>
      </w:r>
      <w:r w:rsidRPr="00382917">
        <w:t>capital.</w:t>
      </w:r>
    </w:p>
    <w:p w:rsidR="001B6670" w:rsidRPr="00382917" w:rsidRDefault="009C713D" w:rsidP="00775809">
      <w:pPr>
        <w:pStyle w:val="Text"/>
      </w:pPr>
      <w:r w:rsidRPr="00382917">
        <w:t>“</w:t>
      </w:r>
      <w:r w:rsidR="001B6670" w:rsidRPr="00382917">
        <w:t>This</w:t>
      </w:r>
      <w:r w:rsidR="00EE4FC3">
        <w:t xml:space="preserve"> </w:t>
      </w:r>
      <w:r w:rsidR="001B6670" w:rsidRPr="00382917">
        <w:t>decision,</w:t>
      </w:r>
      <w:r w:rsidRPr="00382917">
        <w:t>”</w:t>
      </w:r>
      <w:r w:rsidR="00EE4FC3">
        <w:t xml:space="preserve"> </w:t>
      </w:r>
      <w:r w:rsidR="001B6670" w:rsidRPr="00382917">
        <w:t>Nabíl</w:t>
      </w:r>
      <w:r w:rsidR="00EE4FC3">
        <w:t xml:space="preserve"> </w:t>
      </w:r>
      <w:r w:rsidR="001B6670" w:rsidRPr="00382917">
        <w:t>tells</w:t>
      </w:r>
      <w:r w:rsidR="00EE4FC3">
        <w:t xml:space="preserve"> </w:t>
      </w:r>
      <w:r w:rsidR="001B6670" w:rsidRPr="00382917">
        <w:t>us,</w:t>
      </w:r>
      <w:r w:rsidR="00EE4FC3">
        <w:t xml:space="preserve"> </w:t>
      </w:r>
      <w:r w:rsidRPr="00382917">
        <w:t>“</w:t>
      </w:r>
      <w:r w:rsidR="001B6670" w:rsidRPr="00382917">
        <w:t>was</w:t>
      </w:r>
      <w:r w:rsidR="00EE4FC3">
        <w:t xml:space="preserve"> </w:t>
      </w:r>
      <w:r w:rsidR="001B6670" w:rsidRPr="00382917">
        <w:t>prompted</w:t>
      </w:r>
      <w:r w:rsidR="00EE4FC3">
        <w:t xml:space="preserve"> </w:t>
      </w:r>
      <w:r w:rsidR="001B6670" w:rsidRPr="00382917">
        <w:t>by</w:t>
      </w:r>
      <w:r w:rsidR="00EE4FC3">
        <w:t xml:space="preserve"> </w:t>
      </w:r>
      <w:r w:rsidR="001B6670" w:rsidRPr="00382917">
        <w:t>the</w:t>
      </w:r>
      <w:r w:rsidR="00EE4FC3">
        <w:t xml:space="preserve"> </w:t>
      </w:r>
      <w:r w:rsidR="001B6670" w:rsidRPr="00382917">
        <w:t>wish</w:t>
      </w:r>
      <w:r w:rsidR="00EE4FC3">
        <w:t xml:space="preserve"> </w:t>
      </w:r>
      <w:r w:rsidR="001B6670" w:rsidRPr="00382917">
        <w:t>of</w:t>
      </w:r>
      <w:r w:rsidR="00EE4FC3">
        <w:t xml:space="preserve"> </w:t>
      </w:r>
      <w:r w:rsidR="001B6670" w:rsidRPr="00382917">
        <w:t>the</w:t>
      </w:r>
      <w:r w:rsidR="00EE4FC3">
        <w:t xml:space="preserve"> </w:t>
      </w:r>
      <w:r w:rsidR="001B6670" w:rsidRPr="00382917">
        <w:t>Báb</w:t>
      </w:r>
      <w:r w:rsidR="00EE4FC3">
        <w:t xml:space="preserve"> </w:t>
      </w:r>
      <w:r w:rsidR="001B6670" w:rsidRPr="00382917">
        <w:t>Himself.</w:t>
      </w:r>
      <w:r w:rsidRPr="00382917">
        <w:t>”</w:t>
      </w:r>
    </w:p>
    <w:p w:rsidR="001B6670" w:rsidRPr="00382917" w:rsidRDefault="001B6670" w:rsidP="001A576F">
      <w:pPr>
        <w:pStyle w:val="Text"/>
      </w:pPr>
      <w:r w:rsidRPr="00382917">
        <w:t>In</w:t>
      </w:r>
      <w:r w:rsidR="00EE4FC3">
        <w:t xml:space="preserve"> </w:t>
      </w:r>
      <w:r w:rsidRPr="00382917">
        <w:t>His</w:t>
      </w:r>
      <w:r w:rsidR="00EE4FC3">
        <w:t xml:space="preserve"> </w:t>
      </w:r>
      <w:r w:rsidRPr="00382917">
        <w:t>own</w:t>
      </w:r>
      <w:r w:rsidR="00EE4FC3">
        <w:t xml:space="preserve"> </w:t>
      </w:r>
      <w:r w:rsidRPr="00382917">
        <w:t>handwriting,</w:t>
      </w:r>
      <w:r w:rsidR="00EE4FC3">
        <w:t xml:space="preserve"> </w:t>
      </w:r>
      <w:r w:rsidRPr="00382917">
        <w:t>the</w:t>
      </w:r>
      <w:r w:rsidR="00EE4FC3">
        <w:t xml:space="preserve"> </w:t>
      </w:r>
      <w:r w:rsidRPr="00382917">
        <w:t>Báb</w:t>
      </w:r>
      <w:r w:rsidR="00EE4FC3">
        <w:t xml:space="preserve"> </w:t>
      </w:r>
      <w:r w:rsidRPr="00382917">
        <w:t>had</w:t>
      </w:r>
      <w:r w:rsidR="00EE4FC3">
        <w:t xml:space="preserve"> </w:t>
      </w:r>
      <w:r w:rsidRPr="00382917">
        <w:t>expressed</w:t>
      </w:r>
      <w:r w:rsidR="00EE4FC3">
        <w:t xml:space="preserve"> </w:t>
      </w:r>
      <w:r w:rsidRPr="00382917">
        <w:t>the</w:t>
      </w:r>
      <w:r w:rsidR="00EE4FC3">
        <w:t xml:space="preserve"> </w:t>
      </w:r>
      <w:r w:rsidRPr="00382917">
        <w:t>desire</w:t>
      </w:r>
      <w:r w:rsidR="00EE4FC3">
        <w:t xml:space="preserve"> </w:t>
      </w:r>
      <w:r w:rsidRPr="00382917">
        <w:t>to</w:t>
      </w:r>
      <w:r w:rsidR="00EE4FC3">
        <w:t xml:space="preserve"> </w:t>
      </w:r>
      <w:r w:rsidRPr="00382917">
        <w:t>be</w:t>
      </w:r>
      <w:r w:rsidR="00EE4FC3">
        <w:t xml:space="preserve"> </w:t>
      </w:r>
      <w:r w:rsidRPr="00382917">
        <w:t>buried</w:t>
      </w:r>
      <w:r w:rsidR="00EE4FC3">
        <w:t xml:space="preserve"> </w:t>
      </w:r>
      <w:r w:rsidRPr="00382917">
        <w:t>near</w:t>
      </w:r>
      <w:r w:rsidR="00EE4FC3">
        <w:t xml:space="preserve"> </w:t>
      </w:r>
      <w:r w:rsidRPr="00382917">
        <w:t>His</w:t>
      </w:r>
      <w:r w:rsidR="00EE4FC3">
        <w:t xml:space="preserve"> </w:t>
      </w:r>
      <w:r w:rsidRPr="00382917">
        <w:t>Loved</w:t>
      </w:r>
      <w:r w:rsidR="00EE4FC3">
        <w:t xml:space="preserve"> </w:t>
      </w:r>
      <w:r w:rsidRPr="00382917">
        <w:t>One</w:t>
      </w:r>
      <w:r w:rsidR="00330AF7">
        <w:t>.</w:t>
      </w:r>
      <w:r w:rsidR="00EE4FC3">
        <w:t xml:space="preserve">  </w:t>
      </w:r>
      <w:r w:rsidRPr="00382917">
        <w:t>In</w:t>
      </w:r>
      <w:r w:rsidR="00EE4FC3">
        <w:t xml:space="preserve"> </w:t>
      </w:r>
      <w:r w:rsidRPr="00382917">
        <w:t>a</w:t>
      </w:r>
      <w:r w:rsidR="00EE4FC3">
        <w:t xml:space="preserve"> </w:t>
      </w:r>
      <w:r w:rsidRPr="00382917">
        <w:t>letter</w:t>
      </w:r>
      <w:r w:rsidR="00EE4FC3">
        <w:t xml:space="preserve"> </w:t>
      </w:r>
      <w:r w:rsidRPr="00382917">
        <w:t>written</w:t>
      </w:r>
      <w:r w:rsidR="00EE4FC3">
        <w:t xml:space="preserve"> </w:t>
      </w:r>
      <w:r w:rsidRPr="00382917">
        <w:t>in</w:t>
      </w:r>
      <w:r w:rsidR="00EE4FC3">
        <w:t xml:space="preserve"> </w:t>
      </w:r>
      <w:r w:rsidRPr="00382917">
        <w:t>the</w:t>
      </w:r>
      <w:r w:rsidR="00EE4FC3">
        <w:t xml:space="preserve"> </w:t>
      </w:r>
      <w:proofErr w:type="spellStart"/>
      <w:r w:rsidRPr="00382917">
        <w:t>neighborhood</w:t>
      </w:r>
      <w:proofErr w:type="spellEnd"/>
      <w:r w:rsidR="00EE4FC3">
        <w:t xml:space="preserve"> </w:t>
      </w:r>
      <w:r w:rsidRPr="00382917">
        <w:t>of</w:t>
      </w:r>
      <w:r w:rsidR="00EE4FC3">
        <w:t xml:space="preserve"> </w:t>
      </w:r>
      <w:r w:rsidRPr="00382917">
        <w:t>a</w:t>
      </w:r>
      <w:r w:rsidR="00EE4FC3">
        <w:t xml:space="preserve"> </w:t>
      </w:r>
      <w:r w:rsidRPr="00382917">
        <w:t>shrine</w:t>
      </w:r>
      <w:r w:rsidR="00EE4FC3">
        <w:t xml:space="preserve"> </w:t>
      </w:r>
      <w:r w:rsidRPr="00382917">
        <w:t>near</w:t>
      </w:r>
      <w:r w:rsidR="00EE4FC3">
        <w:t xml:space="preserve"> </w:t>
      </w:r>
      <w:r w:rsidRPr="00382917">
        <w:t>Ṭihrán,</w:t>
      </w:r>
      <w:r w:rsidR="00EE4FC3">
        <w:t xml:space="preserve"> </w:t>
      </w:r>
      <w:r w:rsidRPr="00382917">
        <w:t>Nabíl</w:t>
      </w:r>
      <w:r w:rsidR="00EE4FC3">
        <w:t xml:space="preserve"> </w:t>
      </w:r>
      <w:r w:rsidRPr="00382917">
        <w:t>says</w:t>
      </w:r>
      <w:r w:rsidR="00EE4FC3">
        <w:t xml:space="preserve"> </w:t>
      </w:r>
      <w:r w:rsidRPr="00382917">
        <w:t>that</w:t>
      </w:r>
      <w:r w:rsidR="00EE4FC3">
        <w:t xml:space="preserve"> </w:t>
      </w:r>
      <w:r w:rsidRPr="00382917">
        <w:t>the</w:t>
      </w:r>
      <w:r w:rsidR="00EE4FC3">
        <w:t xml:space="preserve"> </w:t>
      </w:r>
      <w:r w:rsidRPr="00382917">
        <w:t>Báb</w:t>
      </w:r>
      <w:r w:rsidR="00EE4FC3">
        <w:t xml:space="preserve"> </w:t>
      </w:r>
      <w:r w:rsidRPr="00382917">
        <w:t>addressed</w:t>
      </w:r>
      <w:r w:rsidR="00EE4FC3">
        <w:t xml:space="preserve"> </w:t>
      </w:r>
      <w:r w:rsidRPr="00382917">
        <w:t>the</w:t>
      </w:r>
      <w:r w:rsidR="00EE4FC3">
        <w:t xml:space="preserve"> </w:t>
      </w:r>
      <w:r w:rsidRPr="00382917">
        <w:t>saint</w:t>
      </w:r>
      <w:r w:rsidR="00EE4FC3">
        <w:t xml:space="preserve"> </w:t>
      </w:r>
      <w:r w:rsidRPr="00382917">
        <w:t>buried</w:t>
      </w:r>
      <w:r w:rsidR="00EE4FC3">
        <w:t xml:space="preserve"> </w:t>
      </w:r>
      <w:r w:rsidRPr="00382917">
        <w:t>there</w:t>
      </w:r>
      <w:r w:rsidR="00EE4FC3">
        <w:t xml:space="preserve"> </w:t>
      </w:r>
      <w:r w:rsidRPr="00382917">
        <w:t>in</w:t>
      </w:r>
      <w:r w:rsidR="00EE4FC3">
        <w:t xml:space="preserve"> </w:t>
      </w:r>
      <w:r w:rsidRPr="00382917">
        <w:t>words</w:t>
      </w:r>
      <w:r w:rsidR="00EE4FC3">
        <w:t xml:space="preserve"> </w:t>
      </w:r>
      <w:r w:rsidRPr="00382917">
        <w:t>such</w:t>
      </w:r>
      <w:r w:rsidR="00EE4FC3">
        <w:t xml:space="preserve"> </w:t>
      </w:r>
      <w:r w:rsidRPr="00382917">
        <w:t>as</w:t>
      </w:r>
      <w:r w:rsidR="00EE4FC3">
        <w:t xml:space="preserve"> </w:t>
      </w:r>
      <w:r w:rsidRPr="00382917">
        <w:t>these</w:t>
      </w:r>
      <w:r w:rsidR="00C03C91">
        <w:t>:</w:t>
      </w:r>
      <w:r w:rsidR="00EE4FC3">
        <w:t xml:space="preserve">  </w:t>
      </w:r>
      <w:r w:rsidR="009C713D" w:rsidRPr="00382917">
        <w:t>“</w:t>
      </w:r>
      <w:r w:rsidRPr="00382917">
        <w:t>Well</w:t>
      </w:r>
      <w:r w:rsidR="00EE4FC3">
        <w:t xml:space="preserve"> </w:t>
      </w:r>
      <w:r w:rsidRPr="00382917">
        <w:t>is</w:t>
      </w:r>
      <w:r w:rsidR="00EE4FC3">
        <w:t xml:space="preserve"> </w:t>
      </w:r>
      <w:r w:rsidRPr="00382917">
        <w:t>it</w:t>
      </w:r>
      <w:r w:rsidR="00EE4FC3">
        <w:t xml:space="preserve"> </w:t>
      </w:r>
      <w:r w:rsidRPr="00382917">
        <w:t>with</w:t>
      </w:r>
      <w:r w:rsidR="00EE4FC3">
        <w:t xml:space="preserve"> </w:t>
      </w:r>
      <w:r w:rsidRPr="00382917">
        <w:t>you</w:t>
      </w:r>
      <w:r w:rsidR="00EE4FC3">
        <w:t xml:space="preserve"> </w:t>
      </w:r>
      <w:r w:rsidRPr="00382917">
        <w:t>to</w:t>
      </w:r>
      <w:r w:rsidR="00EE4FC3">
        <w:t xml:space="preserve"> </w:t>
      </w:r>
      <w:r w:rsidRPr="00382917">
        <w:t>have</w:t>
      </w:r>
      <w:r w:rsidR="00EE4FC3">
        <w:t xml:space="preserve"> </w:t>
      </w:r>
      <w:r w:rsidRPr="00382917">
        <w:t>found</w:t>
      </w:r>
      <w:r w:rsidR="00EE4FC3">
        <w:t xml:space="preserve"> </w:t>
      </w:r>
      <w:r w:rsidRPr="00382917">
        <w:t>your</w:t>
      </w:r>
      <w:r w:rsidR="00EE4FC3">
        <w:t xml:space="preserve"> </w:t>
      </w:r>
      <w:r w:rsidRPr="00382917">
        <w:t>resting</w:t>
      </w:r>
      <w:r w:rsidR="00EE4FC3">
        <w:t xml:space="preserve"> </w:t>
      </w:r>
      <w:r w:rsidRPr="00382917">
        <w:t>place</w:t>
      </w:r>
      <w:r w:rsidR="00EE4FC3">
        <w:t xml:space="preserve"> </w:t>
      </w:r>
      <w:r w:rsidR="00F04416" w:rsidRPr="00382917">
        <w:t>…</w:t>
      </w:r>
      <w:r w:rsidR="00EE4FC3">
        <w:t xml:space="preserve"> </w:t>
      </w:r>
      <w:r w:rsidRPr="00382917">
        <w:t>under</w:t>
      </w:r>
      <w:r w:rsidR="00EE4FC3">
        <w:t xml:space="preserve"> </w:t>
      </w:r>
      <w:r w:rsidRPr="00382917">
        <w:t>the</w:t>
      </w:r>
      <w:r w:rsidR="00EE4FC3">
        <w:t xml:space="preserve"> </w:t>
      </w:r>
      <w:r w:rsidRPr="00382917">
        <w:t>shadow</w:t>
      </w:r>
      <w:r w:rsidR="00EE4FC3">
        <w:t xml:space="preserve"> </w:t>
      </w:r>
      <w:r w:rsidRPr="00382917">
        <w:t>of</w:t>
      </w:r>
      <w:r w:rsidR="00EE4FC3">
        <w:t xml:space="preserve"> </w:t>
      </w:r>
      <w:r w:rsidRPr="00382917">
        <w:t>My</w:t>
      </w:r>
      <w:r w:rsidR="00EE4FC3">
        <w:t xml:space="preserve"> </w:t>
      </w:r>
      <w:r w:rsidRPr="00382917">
        <w:t>Beloved</w:t>
      </w:r>
      <w:r w:rsidR="00330AF7">
        <w:t>.</w:t>
      </w:r>
      <w:r w:rsidR="00EE4FC3">
        <w:t xml:space="preserve">  </w:t>
      </w:r>
      <w:proofErr w:type="gramStart"/>
      <w:r w:rsidRPr="00382917">
        <w:t>Would</w:t>
      </w:r>
      <w:r w:rsidR="00EE4FC3">
        <w:t xml:space="preserve"> </w:t>
      </w:r>
      <w:r w:rsidRPr="00382917">
        <w:t>that</w:t>
      </w:r>
      <w:r w:rsidR="00EE4FC3">
        <w:t xml:space="preserve"> </w:t>
      </w:r>
      <w:r w:rsidRPr="00382917">
        <w:t>I</w:t>
      </w:r>
      <w:r w:rsidR="00EE4FC3">
        <w:t xml:space="preserve"> </w:t>
      </w:r>
      <w:r w:rsidRPr="00382917">
        <w:t>might</w:t>
      </w:r>
      <w:r w:rsidR="00EE4FC3">
        <w:t xml:space="preserve"> </w:t>
      </w:r>
      <w:r w:rsidRPr="00382917">
        <w:t>be</w:t>
      </w:r>
      <w:r w:rsidR="00EE4FC3">
        <w:t xml:space="preserve"> </w:t>
      </w:r>
      <w:r w:rsidRPr="00382917">
        <w:t>entombed</w:t>
      </w:r>
      <w:r w:rsidR="00EE4FC3">
        <w:t xml:space="preserve"> </w:t>
      </w:r>
      <w:r w:rsidRPr="00382917">
        <w:t>within</w:t>
      </w:r>
      <w:r w:rsidR="00EE4FC3">
        <w:t xml:space="preserve"> </w:t>
      </w:r>
      <w:r w:rsidRPr="00382917">
        <w:t>the</w:t>
      </w:r>
      <w:r w:rsidR="00EE4FC3">
        <w:t xml:space="preserve"> </w:t>
      </w:r>
      <w:r w:rsidRPr="00382917">
        <w:t>precincts</w:t>
      </w:r>
      <w:r w:rsidR="00EE4FC3">
        <w:t xml:space="preserve"> </w:t>
      </w:r>
      <w:r w:rsidRPr="00382917">
        <w:t>of</w:t>
      </w:r>
      <w:r w:rsidR="00EE4FC3">
        <w:t xml:space="preserve"> </w:t>
      </w:r>
      <w:r w:rsidRPr="00382917">
        <w:t>that</w:t>
      </w:r>
      <w:r w:rsidR="00EE4FC3">
        <w:t xml:space="preserve"> </w:t>
      </w:r>
      <w:r w:rsidRPr="00382917">
        <w:t>holy</w:t>
      </w:r>
      <w:r w:rsidR="00EE4FC3">
        <w:t xml:space="preserve"> </w:t>
      </w:r>
      <w:r w:rsidRPr="00382917">
        <w:t>ground.</w:t>
      </w:r>
      <w:r w:rsidR="009C713D" w:rsidRPr="00382917">
        <w:t>”</w:t>
      </w:r>
      <w:proofErr w:type="gramEnd"/>
      <w:r w:rsidR="001A576F">
        <w:rPr>
          <w:rStyle w:val="FootnoteReference"/>
        </w:rPr>
        <w:footnoteReference w:id="263"/>
      </w:r>
    </w:p>
    <w:p w:rsidR="001B6670" w:rsidRPr="00382917" w:rsidRDefault="001B6670" w:rsidP="001A576F">
      <w:pPr>
        <w:pStyle w:val="Text"/>
      </w:pPr>
      <w:r w:rsidRPr="00382917">
        <w:t>Bahá</w:t>
      </w:r>
      <w:r w:rsidR="009C713D" w:rsidRPr="00382917">
        <w:t>’</w:t>
      </w:r>
      <w:r w:rsidRPr="00382917">
        <w:t>u</w:t>
      </w:r>
      <w:r w:rsidR="009C713D" w:rsidRPr="00382917">
        <w:t>’</w:t>
      </w:r>
      <w:r w:rsidRPr="00382917">
        <w:t>lláh</w:t>
      </w:r>
      <w:r w:rsidR="00EE4FC3">
        <w:t xml:space="preserve"> </w:t>
      </w:r>
      <w:r w:rsidRPr="00382917">
        <w:t>respected</w:t>
      </w:r>
      <w:r w:rsidR="00EE4FC3">
        <w:t xml:space="preserve"> </w:t>
      </w:r>
      <w:r w:rsidRPr="00382917">
        <w:t>that</w:t>
      </w:r>
      <w:r w:rsidR="00EE4FC3">
        <w:t xml:space="preserve"> </w:t>
      </w:r>
      <w:r w:rsidRPr="00382917">
        <w:t>wish</w:t>
      </w:r>
      <w:r w:rsidR="00EE4FC3">
        <w:t xml:space="preserve"> </w:t>
      </w:r>
      <w:r w:rsidRPr="00382917">
        <w:t>by</w:t>
      </w:r>
      <w:r w:rsidR="00EE4FC3">
        <w:t xml:space="preserve"> </w:t>
      </w:r>
      <w:r w:rsidRPr="00382917">
        <w:t>having</w:t>
      </w:r>
      <w:r w:rsidR="00EE4FC3">
        <w:t xml:space="preserve"> </w:t>
      </w:r>
      <w:r w:rsidRPr="00382917">
        <w:t>the</w:t>
      </w:r>
      <w:r w:rsidR="00EE4FC3">
        <w:t xml:space="preserve"> </w:t>
      </w:r>
      <w:r w:rsidRPr="00382917">
        <w:t>remains</w:t>
      </w:r>
      <w:r w:rsidR="00EE4FC3">
        <w:t xml:space="preserve"> </w:t>
      </w:r>
      <w:r w:rsidRPr="00382917">
        <w:t>of</w:t>
      </w:r>
      <w:r w:rsidR="00EE4FC3">
        <w:t xml:space="preserve"> </w:t>
      </w:r>
      <w:r w:rsidRPr="00382917">
        <w:t>the</w:t>
      </w:r>
      <w:r w:rsidR="00EE4FC3">
        <w:t xml:space="preserve"> </w:t>
      </w:r>
      <w:r w:rsidRPr="00382917">
        <w:t>Báb</w:t>
      </w:r>
      <w:r w:rsidR="00EE4FC3">
        <w:t xml:space="preserve"> </w:t>
      </w:r>
      <w:r w:rsidRPr="00382917">
        <w:t>transferred</w:t>
      </w:r>
      <w:r w:rsidR="00EE4FC3">
        <w:t xml:space="preserve"> </w:t>
      </w:r>
      <w:r w:rsidRPr="00382917">
        <w:t>to</w:t>
      </w:r>
      <w:r w:rsidR="00EE4FC3">
        <w:t xml:space="preserve"> </w:t>
      </w:r>
      <w:r w:rsidRPr="00382917">
        <w:t>that</w:t>
      </w:r>
      <w:r w:rsidR="00EE4FC3">
        <w:t xml:space="preserve"> </w:t>
      </w:r>
      <w:r w:rsidRPr="00382917">
        <w:t>very</w:t>
      </w:r>
      <w:r w:rsidR="00EE4FC3">
        <w:t xml:space="preserve"> </w:t>
      </w:r>
      <w:r w:rsidRPr="00382917">
        <w:t>spot!</w:t>
      </w:r>
      <w:r w:rsidR="001A576F">
        <w:rPr>
          <w:rStyle w:val="FootnoteReference"/>
        </w:rPr>
        <w:footnoteReference w:id="264"/>
      </w:r>
      <w:r w:rsidR="00EE4FC3">
        <w:t xml:space="preserve"> </w:t>
      </w:r>
      <w:r w:rsidR="001A576F">
        <w:t xml:space="preserve"> </w:t>
      </w:r>
      <w:r w:rsidRPr="00382917">
        <w:t>But</w:t>
      </w:r>
      <w:r w:rsidR="00EE4FC3">
        <w:t xml:space="preserve"> </w:t>
      </w:r>
      <w:r w:rsidRPr="00382917">
        <w:t>the</w:t>
      </w:r>
      <w:r w:rsidR="00EE4FC3">
        <w:t xml:space="preserve"> </w:t>
      </w:r>
      <w:r w:rsidRPr="00382917">
        <w:t>place</w:t>
      </w:r>
      <w:r w:rsidR="00EE4FC3">
        <w:t xml:space="preserve"> </w:t>
      </w:r>
      <w:r w:rsidRPr="00382917">
        <w:t>remained</w:t>
      </w:r>
      <w:r w:rsidR="00EE4FC3">
        <w:t xml:space="preserve"> </w:t>
      </w:r>
      <w:r w:rsidRPr="00382917">
        <w:t>secret</w:t>
      </w:r>
      <w:r w:rsidR="00EE4FC3">
        <w:t xml:space="preserve"> </w:t>
      </w:r>
      <w:r w:rsidRPr="00382917">
        <w:t>until</w:t>
      </w:r>
      <w:r w:rsidR="00EE4FC3">
        <w:t xml:space="preserve"> </w:t>
      </w:r>
      <w:r w:rsidRPr="00382917">
        <w:t>Bahá</w:t>
      </w:r>
      <w:r w:rsidR="009C713D" w:rsidRPr="00382917">
        <w:t>’</w:t>
      </w:r>
      <w:r w:rsidRPr="00382917">
        <w:t>u</w:t>
      </w:r>
      <w:r w:rsidR="009C713D" w:rsidRPr="00382917">
        <w:t>’</w:t>
      </w:r>
      <w:r w:rsidRPr="00382917">
        <w:t>lláh</w:t>
      </w:r>
      <w:r w:rsidR="009C713D" w:rsidRPr="00382917">
        <w:t>’</w:t>
      </w:r>
      <w:r w:rsidRPr="00382917">
        <w:t>s</w:t>
      </w:r>
      <w:r w:rsidR="00EE4FC3">
        <w:t xml:space="preserve"> </w:t>
      </w:r>
      <w:r w:rsidRPr="00382917">
        <w:t>departure</w:t>
      </w:r>
      <w:r w:rsidR="00EE4FC3">
        <w:t xml:space="preserve"> </w:t>
      </w:r>
      <w:r w:rsidRPr="00382917">
        <w:t>from</w:t>
      </w:r>
      <w:r w:rsidR="00EE4FC3">
        <w:t xml:space="preserve"> </w:t>
      </w:r>
      <w:r w:rsidRPr="00382917">
        <w:t>Persia.</w:t>
      </w:r>
    </w:p>
    <w:p w:rsidR="001B6670" w:rsidRPr="00382917" w:rsidRDefault="001B6670" w:rsidP="00775809">
      <w:pPr>
        <w:pStyle w:val="Text"/>
      </w:pPr>
      <w:r w:rsidRPr="00382917">
        <w:t>The</w:t>
      </w:r>
      <w:r w:rsidR="00EE4FC3">
        <w:t xml:space="preserve"> </w:t>
      </w:r>
      <w:r w:rsidRPr="00382917">
        <w:t>hand</w:t>
      </w:r>
      <w:r w:rsidR="00EE4FC3">
        <w:t xml:space="preserve"> </w:t>
      </w:r>
      <w:r w:rsidRPr="00382917">
        <w:t>of</w:t>
      </w:r>
      <w:r w:rsidR="00EE4FC3">
        <w:t xml:space="preserve"> </w:t>
      </w:r>
      <w:r w:rsidRPr="00382917">
        <w:t>the</w:t>
      </w:r>
      <w:r w:rsidR="00EE4FC3">
        <w:t xml:space="preserve"> </w:t>
      </w:r>
      <w:r w:rsidRPr="00382917">
        <w:t>wrath</w:t>
      </w:r>
      <w:r w:rsidR="00EE4FC3">
        <w:t xml:space="preserve"> </w:t>
      </w:r>
      <w:r w:rsidRPr="00382917">
        <w:t>of</w:t>
      </w:r>
      <w:r w:rsidR="00EE4FC3">
        <w:t xml:space="preserve"> </w:t>
      </w:r>
      <w:r w:rsidRPr="00382917">
        <w:t>God</w:t>
      </w:r>
      <w:r w:rsidR="00EE4FC3">
        <w:t xml:space="preserve"> </w:t>
      </w:r>
      <w:r w:rsidRPr="00382917">
        <w:t>began,</w:t>
      </w:r>
      <w:r w:rsidR="00EE4FC3">
        <w:t xml:space="preserve"> </w:t>
      </w:r>
      <w:r w:rsidRPr="00382917">
        <w:t>almost</w:t>
      </w:r>
      <w:r w:rsidR="00EE4FC3">
        <w:t xml:space="preserve"> </w:t>
      </w:r>
      <w:r w:rsidRPr="00382917">
        <w:t>at</w:t>
      </w:r>
      <w:r w:rsidR="00EE4FC3">
        <w:t xml:space="preserve"> </w:t>
      </w:r>
      <w:r w:rsidRPr="00382917">
        <w:t>once,</w:t>
      </w:r>
      <w:r w:rsidR="00EE4FC3">
        <w:t xml:space="preserve"> </w:t>
      </w:r>
      <w:r w:rsidRPr="00382917">
        <w:t>to</w:t>
      </w:r>
      <w:r w:rsidR="00EE4FC3">
        <w:t xml:space="preserve"> </w:t>
      </w:r>
      <w:r w:rsidRPr="00382917">
        <w:t>strike</w:t>
      </w:r>
      <w:r w:rsidR="00EE4FC3">
        <w:t xml:space="preserve"> </w:t>
      </w:r>
      <w:r w:rsidRPr="00382917">
        <w:t>down</w:t>
      </w:r>
      <w:r w:rsidR="00EE4FC3">
        <w:t xml:space="preserve"> </w:t>
      </w:r>
      <w:r w:rsidRPr="00382917">
        <w:t>those</w:t>
      </w:r>
      <w:r w:rsidR="00EE4FC3">
        <w:t xml:space="preserve"> </w:t>
      </w:r>
      <w:r w:rsidRPr="00382917">
        <w:t>primarily</w:t>
      </w:r>
      <w:r w:rsidR="00EE4FC3">
        <w:t xml:space="preserve"> </w:t>
      </w:r>
      <w:r w:rsidRPr="00382917">
        <w:t>responsible</w:t>
      </w:r>
      <w:r w:rsidR="00EE4FC3">
        <w:t xml:space="preserve"> </w:t>
      </w:r>
      <w:r w:rsidRPr="00382917">
        <w:t>for</w:t>
      </w:r>
      <w:r w:rsidR="00EE4FC3">
        <w:t xml:space="preserve"> </w:t>
      </w:r>
      <w:r w:rsidRPr="00382917">
        <w:t>the</w:t>
      </w:r>
      <w:r w:rsidR="00EE4FC3">
        <w:t xml:space="preserve"> </w:t>
      </w:r>
      <w:r w:rsidRPr="00382917">
        <w:t>martyrdom</w:t>
      </w:r>
      <w:r w:rsidR="00EE4FC3">
        <w:t xml:space="preserve"> </w:t>
      </w:r>
      <w:r w:rsidRPr="00382917">
        <w:t>of</w:t>
      </w:r>
      <w:r w:rsidR="00EE4FC3">
        <w:t xml:space="preserve"> </w:t>
      </w:r>
      <w:r w:rsidRPr="00382917">
        <w:t>the</w:t>
      </w:r>
      <w:r w:rsidR="00EE4FC3">
        <w:t xml:space="preserve"> </w:t>
      </w:r>
      <w:r w:rsidRPr="00382917">
        <w:t>Báb</w:t>
      </w:r>
      <w:r w:rsidR="00330AF7">
        <w:t>.</w:t>
      </w:r>
      <w:r w:rsidR="00EE4FC3">
        <w:t xml:space="preserve">  </w:t>
      </w:r>
      <w:r w:rsidRPr="00382917">
        <w:t>That</w:t>
      </w:r>
      <w:r w:rsidR="00EE4FC3">
        <w:t xml:space="preserve"> </w:t>
      </w:r>
      <w:r w:rsidRPr="00382917">
        <w:t>same</w:t>
      </w:r>
      <w:r w:rsidR="00EE4FC3">
        <w:t xml:space="preserve"> </w:t>
      </w:r>
      <w:r w:rsidRPr="00382917">
        <w:t>lack</w:t>
      </w:r>
      <w:r w:rsidR="00EE4FC3">
        <w:t xml:space="preserve"> </w:t>
      </w:r>
      <w:r w:rsidRPr="00382917">
        <w:t>of</w:t>
      </w:r>
      <w:r w:rsidR="00EE4FC3">
        <w:t xml:space="preserve"> </w:t>
      </w:r>
      <w:r w:rsidRPr="00382917">
        <w:t>mercy</w:t>
      </w:r>
      <w:r w:rsidR="00EE4FC3">
        <w:t xml:space="preserve"> </w:t>
      </w:r>
      <w:r w:rsidRPr="00382917">
        <w:t>which</w:t>
      </w:r>
      <w:r w:rsidR="00EE4FC3">
        <w:t xml:space="preserve"> </w:t>
      </w:r>
      <w:r w:rsidRPr="00382917">
        <w:t>had</w:t>
      </w:r>
      <w:r w:rsidR="00EE4FC3">
        <w:t xml:space="preserve"> </w:t>
      </w:r>
      <w:r w:rsidRPr="00382917">
        <w:t>been</w:t>
      </w:r>
      <w:r w:rsidR="00EE4FC3">
        <w:t xml:space="preserve"> </w:t>
      </w:r>
      <w:r w:rsidRPr="00382917">
        <w:t>shown</w:t>
      </w:r>
      <w:r w:rsidR="00EE4FC3">
        <w:t xml:space="preserve"> </w:t>
      </w:r>
      <w:r w:rsidRPr="00382917">
        <w:t>to</w:t>
      </w:r>
      <w:r w:rsidR="00EE4FC3">
        <w:t xml:space="preserve"> </w:t>
      </w:r>
      <w:r w:rsidRPr="00382917">
        <w:t>those</w:t>
      </w:r>
      <w:r w:rsidR="00EE4FC3">
        <w:t xml:space="preserve"> </w:t>
      </w:r>
      <w:r w:rsidRPr="00382917">
        <w:t>who</w:t>
      </w:r>
      <w:r w:rsidR="00EE4FC3">
        <w:t xml:space="preserve"> </w:t>
      </w:r>
      <w:r w:rsidRPr="00382917">
        <w:t>had</w:t>
      </w:r>
      <w:r w:rsidR="00EE4FC3">
        <w:t xml:space="preserve"> </w:t>
      </w:r>
      <w:r w:rsidRPr="00382917">
        <w:t>injured</w:t>
      </w:r>
      <w:r w:rsidR="00EE4FC3">
        <w:t xml:space="preserve"> </w:t>
      </w:r>
      <w:r w:rsidRPr="00382917">
        <w:t>Him</w:t>
      </w:r>
      <w:r w:rsidR="00EE4FC3">
        <w:t xml:space="preserve"> </w:t>
      </w:r>
      <w:r w:rsidRPr="00382917">
        <w:t>throughout</w:t>
      </w:r>
      <w:r w:rsidR="00EE4FC3">
        <w:t xml:space="preserve"> </w:t>
      </w:r>
      <w:r w:rsidRPr="00382917">
        <w:t>His</w:t>
      </w:r>
      <w:r w:rsidR="00EE4FC3">
        <w:t xml:space="preserve"> </w:t>
      </w:r>
      <w:r w:rsidRPr="00382917">
        <w:t>life</w:t>
      </w:r>
      <w:r w:rsidR="00EE4FC3">
        <w:t xml:space="preserve"> </w:t>
      </w:r>
      <w:r w:rsidRPr="00382917">
        <w:t>was</w:t>
      </w:r>
      <w:r w:rsidR="00EE4FC3">
        <w:t xml:space="preserve"> </w:t>
      </w:r>
      <w:r w:rsidRPr="00382917">
        <w:t>now</w:t>
      </w:r>
      <w:r w:rsidR="00EE4FC3">
        <w:t xml:space="preserve"> </w:t>
      </w:r>
      <w:r w:rsidRPr="00382917">
        <w:t>visited</w:t>
      </w:r>
      <w:r w:rsidR="00EE4FC3">
        <w:t xml:space="preserve"> </w:t>
      </w:r>
      <w:r w:rsidRPr="00382917">
        <w:t>upon</w:t>
      </w:r>
      <w:r w:rsidR="00EE4FC3">
        <w:t xml:space="preserve"> </w:t>
      </w:r>
      <w:r w:rsidRPr="00382917">
        <w:t>the</w:t>
      </w:r>
      <w:r w:rsidR="00EE4FC3">
        <w:t xml:space="preserve"> </w:t>
      </w:r>
      <w:r w:rsidRPr="00382917">
        <w:t>last</w:t>
      </w:r>
      <w:r w:rsidR="00EE4FC3">
        <w:t xml:space="preserve"> </w:t>
      </w:r>
      <w:r w:rsidRPr="00382917">
        <w:t>of</w:t>
      </w:r>
      <w:r w:rsidR="00EE4FC3">
        <w:t xml:space="preserve"> </w:t>
      </w:r>
      <w:r w:rsidRPr="00382917">
        <w:t>His</w:t>
      </w:r>
      <w:r w:rsidR="00EE4FC3">
        <w:t xml:space="preserve"> </w:t>
      </w:r>
      <w:r w:rsidRPr="00382917">
        <w:t>persecutors.</w:t>
      </w:r>
    </w:p>
    <w:p w:rsidR="001B6670" w:rsidRPr="00382917" w:rsidRDefault="001B6670" w:rsidP="00775809">
      <w:pPr>
        <w:pStyle w:val="Text"/>
      </w:pPr>
      <w:r w:rsidRPr="00382917">
        <w:t>The</w:t>
      </w:r>
      <w:r w:rsidR="00EE4FC3">
        <w:t xml:space="preserve"> </w:t>
      </w:r>
      <w:r w:rsidRPr="00382917">
        <w:t>governor</w:t>
      </w:r>
      <w:r w:rsidR="00EE4FC3">
        <w:t xml:space="preserve"> </w:t>
      </w:r>
      <w:r w:rsidRPr="00382917">
        <w:t>of</w:t>
      </w:r>
      <w:r w:rsidR="00EE4FC3">
        <w:t xml:space="preserve"> </w:t>
      </w:r>
      <w:r w:rsidR="008A073E" w:rsidRPr="00382917">
        <w:rPr>
          <w:u w:val="single"/>
        </w:rPr>
        <w:t>Sh</w:t>
      </w:r>
      <w:r w:rsidR="008A073E" w:rsidRPr="00382917">
        <w:t>íráz</w:t>
      </w:r>
      <w:r w:rsidRPr="00382917">
        <w:t>,</w:t>
      </w:r>
      <w:r w:rsidR="00EE4FC3">
        <w:t xml:space="preserve"> </w:t>
      </w:r>
      <w:r w:rsidRPr="00382917">
        <w:t>who</w:t>
      </w:r>
      <w:r w:rsidR="00EE4FC3">
        <w:t xml:space="preserve"> </w:t>
      </w:r>
      <w:r w:rsidRPr="00382917">
        <w:t>first</w:t>
      </w:r>
      <w:r w:rsidR="00EE4FC3">
        <w:t xml:space="preserve"> </w:t>
      </w:r>
      <w:r w:rsidRPr="00382917">
        <w:t>imprisoned</w:t>
      </w:r>
      <w:r w:rsidR="00EE4FC3">
        <w:t xml:space="preserve"> </w:t>
      </w:r>
      <w:r w:rsidRPr="00382917">
        <w:t>the</w:t>
      </w:r>
      <w:r w:rsidR="00EE4FC3">
        <w:t xml:space="preserve"> </w:t>
      </w:r>
      <w:r w:rsidRPr="00382917">
        <w:t>Báb,</w:t>
      </w:r>
      <w:r w:rsidR="00EE4FC3">
        <w:t xml:space="preserve"> </w:t>
      </w:r>
      <w:r w:rsidRPr="00382917">
        <w:t>was</w:t>
      </w:r>
      <w:r w:rsidR="00EE4FC3">
        <w:t xml:space="preserve"> </w:t>
      </w:r>
      <w:r w:rsidRPr="00382917">
        <w:t>hurled</w:t>
      </w:r>
      <w:r w:rsidR="00EE4FC3">
        <w:t xml:space="preserve"> </w:t>
      </w:r>
      <w:r w:rsidRPr="00382917">
        <w:t>from</w:t>
      </w:r>
      <w:r w:rsidR="00EE4FC3">
        <w:t xml:space="preserve"> </w:t>
      </w:r>
      <w:r w:rsidRPr="00382917">
        <w:t>power</w:t>
      </w:r>
      <w:r w:rsidR="00EE4FC3">
        <w:t xml:space="preserve"> </w:t>
      </w:r>
      <w:r w:rsidRPr="00382917">
        <w:t>and</w:t>
      </w:r>
      <w:r w:rsidR="00EE4FC3">
        <w:t xml:space="preserve"> </w:t>
      </w:r>
      <w:r w:rsidRPr="00382917">
        <w:t>abandoned</w:t>
      </w:r>
      <w:r w:rsidR="00EE4FC3">
        <w:t xml:space="preserve"> </w:t>
      </w:r>
      <w:r w:rsidRPr="00382917">
        <w:t>by</w:t>
      </w:r>
      <w:r w:rsidR="00EE4FC3">
        <w:t xml:space="preserve"> </w:t>
      </w:r>
      <w:r w:rsidRPr="00382917">
        <w:t>friend</w:t>
      </w:r>
      <w:r w:rsidR="00EE4FC3">
        <w:t xml:space="preserve"> </w:t>
      </w:r>
      <w:r w:rsidRPr="00382917">
        <w:t>and</w:t>
      </w:r>
      <w:r w:rsidR="00EE4FC3">
        <w:t xml:space="preserve"> </w:t>
      </w:r>
      <w:r w:rsidRPr="00382917">
        <w:t>foe</w:t>
      </w:r>
      <w:r w:rsidR="00EE4FC3">
        <w:t xml:space="preserve"> </w:t>
      </w:r>
      <w:r w:rsidRPr="00382917">
        <w:t>alike</w:t>
      </w:r>
      <w:r w:rsidR="00330AF7">
        <w:t>.</w:t>
      </w:r>
      <w:r w:rsidR="00EE4FC3">
        <w:t xml:space="preserve">  </w:t>
      </w:r>
      <w:r w:rsidRPr="00382917">
        <w:t>The</w:t>
      </w:r>
      <w:r w:rsidR="00EE4FC3">
        <w:t xml:space="preserve"> </w:t>
      </w:r>
      <w:r w:rsidRPr="00382917">
        <w:t>high</w:t>
      </w:r>
      <w:r w:rsidR="00EE4FC3">
        <w:t xml:space="preserve"> </w:t>
      </w:r>
      <w:r w:rsidRPr="00382917">
        <w:t>priest,</w:t>
      </w:r>
      <w:r w:rsidR="00EE4FC3">
        <w:t xml:space="preserve"> </w:t>
      </w:r>
      <w:r w:rsidRPr="00382917">
        <w:t>or</w:t>
      </w:r>
      <w:r w:rsidR="00EE4FC3">
        <w:t xml:space="preserve"> </w:t>
      </w:r>
      <w:r w:rsidRPr="00382917">
        <w:t>judge,</w:t>
      </w:r>
      <w:r w:rsidR="00EE4FC3">
        <w:t xml:space="preserve"> </w:t>
      </w:r>
      <w:r w:rsidRPr="00382917">
        <w:t>who</w:t>
      </w:r>
      <w:r w:rsidR="00EE4FC3">
        <w:t xml:space="preserve"> </w:t>
      </w:r>
      <w:r w:rsidRPr="00382917">
        <w:t>had</w:t>
      </w:r>
      <w:r w:rsidR="00EE4FC3">
        <w:t xml:space="preserve"> </w:t>
      </w:r>
      <w:r w:rsidRPr="00382917">
        <w:t>scourged</w:t>
      </w:r>
      <w:r w:rsidR="00EE4FC3">
        <w:t xml:space="preserve"> </w:t>
      </w:r>
      <w:r w:rsidRPr="00382917">
        <w:t>Him,</w:t>
      </w:r>
      <w:r w:rsidR="00EE4FC3">
        <w:t xml:space="preserve"> </w:t>
      </w:r>
      <w:r w:rsidRPr="00382917">
        <w:t>was</w:t>
      </w:r>
      <w:r w:rsidR="00EE4FC3">
        <w:t xml:space="preserve"> </w:t>
      </w:r>
      <w:r w:rsidRPr="00382917">
        <w:t>stricken</w:t>
      </w:r>
      <w:r w:rsidR="00EE4FC3">
        <w:t xml:space="preserve"> </w:t>
      </w:r>
      <w:r w:rsidRPr="00382917">
        <w:t>with</w:t>
      </w:r>
      <w:r w:rsidR="00EE4FC3">
        <w:t xml:space="preserve"> </w:t>
      </w:r>
      <w:r w:rsidRPr="00382917">
        <w:t>paralysis</w:t>
      </w:r>
      <w:r w:rsidR="00EE4FC3">
        <w:t xml:space="preserve"> </w:t>
      </w:r>
      <w:r w:rsidRPr="00382917">
        <w:t>and</w:t>
      </w:r>
      <w:r w:rsidR="00EE4FC3">
        <w:t xml:space="preserve"> </w:t>
      </w:r>
      <w:r w:rsidRPr="00382917">
        <w:t>died</w:t>
      </w:r>
      <w:r w:rsidR="00EE4FC3">
        <w:t xml:space="preserve"> </w:t>
      </w:r>
      <w:r w:rsidRPr="00382917">
        <w:t>an</w:t>
      </w:r>
      <w:r w:rsidR="00EE4FC3">
        <w:t xml:space="preserve"> </w:t>
      </w:r>
      <w:r w:rsidRPr="00382917">
        <w:t>agonizing</w:t>
      </w:r>
      <w:r w:rsidR="00EE4FC3">
        <w:t xml:space="preserve"> </w:t>
      </w:r>
      <w:r w:rsidRPr="00382917">
        <w:t>death</w:t>
      </w:r>
      <w:r w:rsidR="00330AF7">
        <w:t>.</w:t>
      </w:r>
      <w:r w:rsidR="00EE4FC3">
        <w:t xml:space="preserve">  </w:t>
      </w:r>
      <w:r w:rsidRPr="00382917">
        <w:t>The</w:t>
      </w:r>
      <w:r w:rsidR="00EE4FC3">
        <w:t xml:space="preserve"> </w:t>
      </w:r>
      <w:r w:rsidRPr="00382917">
        <w:t>king,</w:t>
      </w:r>
      <w:r w:rsidR="00EE4FC3">
        <w:t xml:space="preserve"> </w:t>
      </w:r>
      <w:r w:rsidRPr="00382917">
        <w:t>Muḥammad</w:t>
      </w:r>
      <w:r w:rsidR="00EE4FC3">
        <w:t xml:space="preserve"> </w:t>
      </w:r>
      <w:r w:rsidR="004F6339" w:rsidRPr="004F6339">
        <w:rPr>
          <w:u w:val="single"/>
        </w:rPr>
        <w:t>Sh</w:t>
      </w:r>
      <w:r w:rsidR="004F6339" w:rsidRPr="00382917">
        <w:t>áh</w:t>
      </w:r>
      <w:r w:rsidRPr="00382917">
        <w:t>,</w:t>
      </w:r>
      <w:r w:rsidR="00EE4FC3">
        <w:t xml:space="preserve"> </w:t>
      </w:r>
      <w:r w:rsidRPr="00382917">
        <w:t>who</w:t>
      </w:r>
      <w:r w:rsidR="00EE4FC3">
        <w:t xml:space="preserve"> </w:t>
      </w:r>
      <w:r w:rsidRPr="00382917">
        <w:t>had</w:t>
      </w:r>
    </w:p>
    <w:p w:rsidR="00775809" w:rsidRPr="00382917" w:rsidRDefault="00775809">
      <w:pPr>
        <w:widowControl/>
        <w:kinsoku/>
        <w:overflowPunct/>
        <w:textAlignment w:val="auto"/>
      </w:pPr>
      <w:r w:rsidRPr="00382917">
        <w:br w:type="page"/>
      </w:r>
    </w:p>
    <w:p w:rsidR="001B6670" w:rsidRPr="00382917" w:rsidRDefault="001B6670" w:rsidP="00775809">
      <w:pPr>
        <w:pStyle w:val="Textcts"/>
      </w:pPr>
      <w:proofErr w:type="gramStart"/>
      <w:r w:rsidRPr="00382917">
        <w:t>refused</w:t>
      </w:r>
      <w:proofErr w:type="gramEnd"/>
      <w:r w:rsidR="00EE4FC3">
        <w:t xml:space="preserve"> </w:t>
      </w:r>
      <w:r w:rsidRPr="00382917">
        <w:t>to</w:t>
      </w:r>
      <w:r w:rsidR="00EE4FC3">
        <w:t xml:space="preserve"> </w:t>
      </w:r>
      <w:r w:rsidRPr="00382917">
        <w:t>meet</w:t>
      </w:r>
      <w:r w:rsidR="00EE4FC3">
        <w:t xml:space="preserve"> </w:t>
      </w:r>
      <w:r w:rsidRPr="00382917">
        <w:t>the</w:t>
      </w:r>
      <w:r w:rsidR="00EE4FC3">
        <w:t xml:space="preserve"> </w:t>
      </w:r>
      <w:r w:rsidRPr="00382917">
        <w:t>Báb,</w:t>
      </w:r>
      <w:r w:rsidR="00EE4FC3">
        <w:t xml:space="preserve"> </w:t>
      </w:r>
      <w:r w:rsidRPr="00382917">
        <w:t>was</w:t>
      </w:r>
      <w:r w:rsidR="00EE4FC3">
        <w:t xml:space="preserve"> </w:t>
      </w:r>
      <w:r w:rsidRPr="00382917">
        <w:t>struck</w:t>
      </w:r>
      <w:r w:rsidR="00EE4FC3">
        <w:t xml:space="preserve"> </w:t>
      </w:r>
      <w:r w:rsidRPr="00382917">
        <w:t>down</w:t>
      </w:r>
      <w:r w:rsidR="00EE4FC3">
        <w:t xml:space="preserve"> </w:t>
      </w:r>
      <w:r w:rsidRPr="00382917">
        <w:t>by</w:t>
      </w:r>
      <w:r w:rsidR="00EE4FC3">
        <w:t xml:space="preserve"> </w:t>
      </w:r>
      <w:r w:rsidRPr="00382917">
        <w:t>illness</w:t>
      </w:r>
      <w:r w:rsidR="00EE4FC3">
        <w:t xml:space="preserve"> </w:t>
      </w:r>
      <w:r w:rsidRPr="00382917">
        <w:t>and</w:t>
      </w:r>
      <w:r w:rsidR="00EE4FC3">
        <w:t xml:space="preserve"> </w:t>
      </w:r>
      <w:r w:rsidRPr="00382917">
        <w:t>succumbed</w:t>
      </w:r>
      <w:r w:rsidR="00EE4FC3">
        <w:t xml:space="preserve"> </w:t>
      </w:r>
      <w:r w:rsidRPr="00382917">
        <w:t>to</w:t>
      </w:r>
      <w:r w:rsidR="00EE4FC3">
        <w:t xml:space="preserve"> </w:t>
      </w:r>
      <w:r w:rsidRPr="00382917">
        <w:t>a</w:t>
      </w:r>
      <w:r w:rsidR="00EE4FC3">
        <w:t xml:space="preserve"> </w:t>
      </w:r>
      <w:r w:rsidRPr="00382917">
        <w:t>complication</w:t>
      </w:r>
      <w:r w:rsidR="00EE4FC3">
        <w:t xml:space="preserve"> </w:t>
      </w:r>
      <w:r w:rsidRPr="00382917">
        <w:t>of</w:t>
      </w:r>
      <w:r w:rsidR="00EE4FC3">
        <w:t xml:space="preserve"> </w:t>
      </w:r>
      <w:r w:rsidRPr="00382917">
        <w:t>maladies</w:t>
      </w:r>
      <w:r w:rsidR="00EE4FC3">
        <w:t xml:space="preserve"> </w:t>
      </w:r>
      <w:r w:rsidRPr="00382917">
        <w:t>far</w:t>
      </w:r>
      <w:r w:rsidR="00EE4FC3">
        <w:t xml:space="preserve"> </w:t>
      </w:r>
      <w:r w:rsidRPr="00382917">
        <w:t>before</w:t>
      </w:r>
      <w:r w:rsidR="00EE4FC3">
        <w:t xml:space="preserve"> </w:t>
      </w:r>
      <w:r w:rsidRPr="00382917">
        <w:t>his</w:t>
      </w:r>
      <w:r w:rsidR="00EE4FC3">
        <w:t xml:space="preserve"> </w:t>
      </w:r>
      <w:r w:rsidRPr="00382917">
        <w:t>time</w:t>
      </w:r>
      <w:r w:rsidR="00330AF7">
        <w:t>.</w:t>
      </w:r>
      <w:r w:rsidR="00EE4FC3">
        <w:t xml:space="preserve">  </w:t>
      </w:r>
      <w:r w:rsidRPr="00382917">
        <w:t>His</w:t>
      </w:r>
      <w:r w:rsidR="00EE4FC3">
        <w:t xml:space="preserve"> </w:t>
      </w:r>
      <w:r w:rsidRPr="00382917">
        <w:t>Prime</w:t>
      </w:r>
      <w:r w:rsidR="00EE4FC3">
        <w:t xml:space="preserve"> </w:t>
      </w:r>
      <w:r w:rsidRPr="00382917">
        <w:t>Minister,</w:t>
      </w:r>
      <w:r w:rsidR="00EE4FC3">
        <w:t xml:space="preserve"> </w:t>
      </w:r>
      <w:r w:rsidRPr="00382917">
        <w:t>Ḥáj</w:t>
      </w:r>
      <w:r w:rsidR="00775809" w:rsidRPr="00382917">
        <w:t>í</w:t>
      </w:r>
      <w:r w:rsidR="00EE4FC3">
        <w:t xml:space="preserve"> </w:t>
      </w:r>
      <w:r w:rsidRPr="00382917">
        <w:t>Mírzá</w:t>
      </w:r>
      <w:r w:rsidR="00EE4FC3">
        <w:t xml:space="preserve"> </w:t>
      </w:r>
      <w:r w:rsidRPr="00382917">
        <w:t>Áqásí,</w:t>
      </w:r>
      <w:r w:rsidR="00EE4FC3">
        <w:t xml:space="preserve"> </w:t>
      </w:r>
      <w:r w:rsidRPr="00382917">
        <w:t>who</w:t>
      </w:r>
      <w:r w:rsidR="00EE4FC3">
        <w:t xml:space="preserve"> </w:t>
      </w:r>
      <w:r w:rsidRPr="00382917">
        <w:t>had</w:t>
      </w:r>
      <w:r w:rsidR="00EE4FC3">
        <w:t xml:space="preserve"> </w:t>
      </w:r>
      <w:r w:rsidRPr="00382917">
        <w:t>twice</w:t>
      </w:r>
      <w:r w:rsidR="00EE4FC3">
        <w:t xml:space="preserve"> </w:t>
      </w:r>
      <w:r w:rsidRPr="00382917">
        <w:t>banished</w:t>
      </w:r>
      <w:r w:rsidR="00EE4FC3">
        <w:t xml:space="preserve"> </w:t>
      </w:r>
      <w:r w:rsidRPr="00382917">
        <w:t>Him</w:t>
      </w:r>
      <w:r w:rsidR="00EE4FC3">
        <w:t xml:space="preserve"> </w:t>
      </w:r>
      <w:r w:rsidRPr="00382917">
        <w:t>to</w:t>
      </w:r>
      <w:r w:rsidR="00EE4FC3">
        <w:t xml:space="preserve"> </w:t>
      </w:r>
      <w:r w:rsidRPr="00382917">
        <w:t>prison,</w:t>
      </w:r>
      <w:r w:rsidR="00EE4FC3">
        <w:t xml:space="preserve"> </w:t>
      </w:r>
      <w:r w:rsidRPr="00382917">
        <w:t>was</w:t>
      </w:r>
      <w:r w:rsidR="00EE4FC3">
        <w:t xml:space="preserve"> </w:t>
      </w:r>
      <w:r w:rsidRPr="00382917">
        <w:t>toppled</w:t>
      </w:r>
      <w:r w:rsidR="00EE4FC3">
        <w:t xml:space="preserve"> </w:t>
      </w:r>
      <w:r w:rsidRPr="00382917">
        <w:t>from</w:t>
      </w:r>
      <w:r w:rsidR="00EE4FC3">
        <w:t xml:space="preserve"> </w:t>
      </w:r>
      <w:r w:rsidRPr="00382917">
        <w:t>power</w:t>
      </w:r>
      <w:r w:rsidR="00EE4FC3">
        <w:t xml:space="preserve"> </w:t>
      </w:r>
      <w:r w:rsidRPr="00382917">
        <w:t>and</w:t>
      </w:r>
      <w:r w:rsidR="00EE4FC3">
        <w:t xml:space="preserve"> </w:t>
      </w:r>
      <w:r w:rsidRPr="00382917">
        <w:t>died</w:t>
      </w:r>
      <w:r w:rsidR="00EE4FC3">
        <w:t xml:space="preserve"> </w:t>
      </w:r>
      <w:r w:rsidRPr="00382917">
        <w:t>in</w:t>
      </w:r>
      <w:r w:rsidR="00EE4FC3">
        <w:t xml:space="preserve"> </w:t>
      </w:r>
      <w:r w:rsidRPr="00382917">
        <w:t>poverty</w:t>
      </w:r>
      <w:r w:rsidR="00EE4FC3">
        <w:t xml:space="preserve"> </w:t>
      </w:r>
      <w:r w:rsidRPr="00382917">
        <w:t>and</w:t>
      </w:r>
      <w:r w:rsidR="00EE4FC3">
        <w:t xml:space="preserve"> </w:t>
      </w:r>
      <w:r w:rsidRPr="00382917">
        <w:t>exile.</w:t>
      </w:r>
    </w:p>
    <w:p w:rsidR="001B6670" w:rsidRPr="00382917" w:rsidRDefault="001B6670" w:rsidP="00775809">
      <w:pPr>
        <w:pStyle w:val="Text"/>
      </w:pPr>
      <w:proofErr w:type="gramStart"/>
      <w:r w:rsidRPr="00382917">
        <w:t>The</w:t>
      </w:r>
      <w:r w:rsidR="00EE4FC3">
        <w:t xml:space="preserve"> </w:t>
      </w:r>
      <w:r w:rsidRPr="00382917">
        <w:t>mayor</w:t>
      </w:r>
      <w:r w:rsidR="00EE4FC3">
        <w:t xml:space="preserve"> </w:t>
      </w:r>
      <w:r w:rsidRPr="00382917">
        <w:t>of</w:t>
      </w:r>
      <w:r w:rsidR="00EE4FC3">
        <w:t xml:space="preserve"> </w:t>
      </w:r>
      <w:r w:rsidR="00775809" w:rsidRPr="00382917">
        <w:t>Ṭ</w:t>
      </w:r>
      <w:r w:rsidRPr="00382917">
        <w:t>ihrán,</w:t>
      </w:r>
      <w:r w:rsidR="00EE4FC3">
        <w:t xml:space="preserve"> </w:t>
      </w:r>
      <w:r w:rsidRPr="00382917">
        <w:t>Maḥmúd</w:t>
      </w:r>
      <w:r w:rsidR="00EE4FC3">
        <w:t xml:space="preserve"> </w:t>
      </w:r>
      <w:r w:rsidR="0040329F" w:rsidRPr="0040329F">
        <w:rPr>
          <w:u w:val="single"/>
        </w:rPr>
        <w:t>Kh</w:t>
      </w:r>
      <w:r w:rsidR="0040329F" w:rsidRPr="00382917">
        <w:t>án</w:t>
      </w:r>
      <w:r w:rsidRPr="00382917">
        <w:t>,</w:t>
      </w:r>
      <w:r w:rsidR="00EE4FC3">
        <w:t xml:space="preserve"> </w:t>
      </w:r>
      <w:r w:rsidRPr="00382917">
        <w:t>who</w:t>
      </w:r>
      <w:r w:rsidR="00EE4FC3">
        <w:t xml:space="preserve"> </w:t>
      </w:r>
      <w:r w:rsidRPr="00382917">
        <w:t>held</w:t>
      </w:r>
      <w:r w:rsidR="00EE4FC3">
        <w:t xml:space="preserve"> </w:t>
      </w:r>
      <w:r w:rsidRPr="00382917">
        <w:t>prisoner</w:t>
      </w:r>
      <w:r w:rsidR="00EE4FC3">
        <w:t xml:space="preserve"> </w:t>
      </w:r>
      <w:r w:rsidRPr="00382917">
        <w:t>Ṭáhirih</w:t>
      </w:r>
      <w:r w:rsidR="00EE4FC3">
        <w:t xml:space="preserve"> </w:t>
      </w:r>
      <w:r w:rsidRPr="00382917">
        <w:t>and</w:t>
      </w:r>
      <w:r w:rsidR="00EE4FC3">
        <w:t xml:space="preserve"> </w:t>
      </w:r>
      <w:r w:rsidRPr="00382917">
        <w:t>the</w:t>
      </w:r>
      <w:r w:rsidR="00EE4FC3">
        <w:t xml:space="preserve"> </w:t>
      </w:r>
      <w:r w:rsidRPr="00382917">
        <w:t>seven</w:t>
      </w:r>
      <w:r w:rsidR="00EE4FC3">
        <w:t xml:space="preserve"> </w:t>
      </w:r>
      <w:r w:rsidRPr="00382917">
        <w:t>martyrs</w:t>
      </w:r>
      <w:r w:rsidR="00EE4FC3">
        <w:t xml:space="preserve"> </w:t>
      </w:r>
      <w:r w:rsidRPr="00382917">
        <w:t>of</w:t>
      </w:r>
      <w:r w:rsidR="00EE4FC3">
        <w:t xml:space="preserve"> </w:t>
      </w:r>
      <w:r w:rsidRPr="00382917">
        <w:rPr>
          <w:sz w:val="22"/>
        </w:rPr>
        <w:t>Ṭ</w:t>
      </w:r>
      <w:r w:rsidRPr="00382917">
        <w:t>ihrán</w:t>
      </w:r>
      <w:r w:rsidR="00EE4FC3">
        <w:t xml:space="preserve"> </w:t>
      </w:r>
      <w:r w:rsidRPr="00382917">
        <w:t>and</w:t>
      </w:r>
      <w:r w:rsidR="00EE4FC3">
        <w:t xml:space="preserve"> </w:t>
      </w:r>
      <w:r w:rsidRPr="00382917">
        <w:t>assisted</w:t>
      </w:r>
      <w:r w:rsidR="00EE4FC3">
        <w:t xml:space="preserve"> </w:t>
      </w:r>
      <w:r w:rsidRPr="00382917">
        <w:t>in</w:t>
      </w:r>
      <w:r w:rsidR="00EE4FC3">
        <w:t xml:space="preserve"> </w:t>
      </w:r>
      <w:r w:rsidRPr="00382917">
        <w:t>their</w:t>
      </w:r>
      <w:r w:rsidR="00EE4FC3">
        <w:t xml:space="preserve"> </w:t>
      </w:r>
      <w:r w:rsidRPr="00382917">
        <w:t>deaths,</w:t>
      </w:r>
      <w:r w:rsidR="00EE4FC3">
        <w:t xml:space="preserve"> </w:t>
      </w:r>
      <w:r w:rsidRPr="00382917">
        <w:t>was</w:t>
      </w:r>
      <w:r w:rsidR="00EE4FC3">
        <w:t xml:space="preserve"> </w:t>
      </w:r>
      <w:r w:rsidRPr="00382917">
        <w:t>strangled</w:t>
      </w:r>
      <w:r w:rsidR="00EE4FC3">
        <w:t xml:space="preserve"> </w:t>
      </w:r>
      <w:r w:rsidRPr="00382917">
        <w:t>and</w:t>
      </w:r>
      <w:r w:rsidR="00EE4FC3">
        <w:t xml:space="preserve"> </w:t>
      </w:r>
      <w:r w:rsidRPr="00382917">
        <w:t>hanged</w:t>
      </w:r>
      <w:r w:rsidR="00EE4FC3">
        <w:t xml:space="preserve"> </w:t>
      </w:r>
      <w:r w:rsidRPr="00382917">
        <w:t>from</w:t>
      </w:r>
      <w:r w:rsidR="00EE4FC3">
        <w:t xml:space="preserve"> </w:t>
      </w:r>
      <w:r w:rsidRPr="00382917">
        <w:t>the</w:t>
      </w:r>
      <w:r w:rsidR="00EE4FC3">
        <w:t xml:space="preserve"> </w:t>
      </w:r>
      <w:r w:rsidRPr="00382917">
        <w:t>gallows.</w:t>
      </w:r>
      <w:proofErr w:type="gramEnd"/>
    </w:p>
    <w:p w:rsidR="001B6670" w:rsidRPr="00382917" w:rsidRDefault="001B6670" w:rsidP="00775809">
      <w:pPr>
        <w:pStyle w:val="Text"/>
      </w:pPr>
      <w:r w:rsidRPr="00382917">
        <w:t>The</w:t>
      </w:r>
      <w:r w:rsidR="00EE4FC3">
        <w:t xml:space="preserve"> </w:t>
      </w:r>
      <w:r w:rsidRPr="00382917">
        <w:t>new</w:t>
      </w:r>
      <w:r w:rsidR="00EE4FC3">
        <w:t xml:space="preserve"> </w:t>
      </w:r>
      <w:r w:rsidRPr="00382917">
        <w:t>ruler,</w:t>
      </w:r>
      <w:r w:rsidR="00EE4FC3">
        <w:t xml:space="preserve"> </w:t>
      </w:r>
      <w:r w:rsidRPr="00382917">
        <w:t>Náṣiru</w:t>
      </w:r>
      <w:r w:rsidR="009C713D" w:rsidRPr="00382917">
        <w:t>’</w:t>
      </w:r>
      <w:r w:rsidRPr="00382917">
        <w:t>d-Dín</w:t>
      </w:r>
      <w:r w:rsidR="00EE4FC3">
        <w:t xml:space="preserve"> </w:t>
      </w:r>
      <w:r w:rsidR="004F6339" w:rsidRPr="004F6339">
        <w:rPr>
          <w:u w:val="single"/>
        </w:rPr>
        <w:t>Sh</w:t>
      </w:r>
      <w:r w:rsidR="004F6339" w:rsidRPr="00382917">
        <w:t>áh</w:t>
      </w:r>
      <w:r w:rsidRPr="00382917">
        <w:t>,</w:t>
      </w:r>
      <w:r w:rsidR="00EE4FC3">
        <w:t xml:space="preserve"> </w:t>
      </w:r>
      <w:r w:rsidRPr="00382917">
        <w:t>who</w:t>
      </w:r>
      <w:r w:rsidR="00EE4FC3">
        <w:t xml:space="preserve"> </w:t>
      </w:r>
      <w:r w:rsidRPr="00382917">
        <w:t>permitted</w:t>
      </w:r>
      <w:r w:rsidR="00EE4FC3">
        <w:t xml:space="preserve"> </w:t>
      </w:r>
      <w:r w:rsidRPr="00382917">
        <w:t>the</w:t>
      </w:r>
      <w:r w:rsidR="00EE4FC3">
        <w:t xml:space="preserve"> </w:t>
      </w:r>
      <w:r w:rsidRPr="00382917">
        <w:t>slaying</w:t>
      </w:r>
      <w:r w:rsidR="00EE4FC3">
        <w:t xml:space="preserve"> </w:t>
      </w:r>
      <w:r w:rsidRPr="00382917">
        <w:t>of</w:t>
      </w:r>
      <w:r w:rsidR="00EE4FC3">
        <w:t xml:space="preserve"> </w:t>
      </w:r>
      <w:r w:rsidRPr="00382917">
        <w:t>the</w:t>
      </w:r>
      <w:r w:rsidR="00EE4FC3">
        <w:t xml:space="preserve"> </w:t>
      </w:r>
      <w:r w:rsidRPr="00382917">
        <w:t>Báb,</w:t>
      </w:r>
      <w:r w:rsidR="00EE4FC3">
        <w:t xml:space="preserve"> </w:t>
      </w:r>
      <w:r w:rsidRPr="00382917">
        <w:t>was</w:t>
      </w:r>
      <w:r w:rsidR="00EE4FC3">
        <w:t xml:space="preserve"> </w:t>
      </w:r>
      <w:r w:rsidRPr="00382917">
        <w:t>awaiting</w:t>
      </w:r>
      <w:r w:rsidR="00EE4FC3">
        <w:t xml:space="preserve"> </w:t>
      </w:r>
      <w:r w:rsidRPr="00382917">
        <w:t>a</w:t>
      </w:r>
      <w:r w:rsidR="00EE4FC3">
        <w:t xml:space="preserve"> </w:t>
      </w:r>
      <w:r w:rsidRPr="00382917">
        <w:t>day</w:t>
      </w:r>
      <w:r w:rsidR="00EE4FC3">
        <w:t xml:space="preserve"> </w:t>
      </w:r>
      <w:r w:rsidRPr="00382917">
        <w:t>of</w:t>
      </w:r>
      <w:r w:rsidR="00EE4FC3">
        <w:t xml:space="preserve"> </w:t>
      </w:r>
      <w:r w:rsidRPr="00382917">
        <w:t>assassination</w:t>
      </w:r>
      <w:r w:rsidR="00EE4FC3">
        <w:t xml:space="preserve"> </w:t>
      </w:r>
      <w:r w:rsidRPr="00382917">
        <w:t>which</w:t>
      </w:r>
      <w:r w:rsidR="00EE4FC3">
        <w:t xml:space="preserve"> </w:t>
      </w:r>
      <w:r w:rsidRPr="00382917">
        <w:t>was</w:t>
      </w:r>
      <w:r w:rsidR="00EE4FC3">
        <w:t xml:space="preserve"> </w:t>
      </w:r>
      <w:r w:rsidRPr="00382917">
        <w:t>to</w:t>
      </w:r>
      <w:r w:rsidR="00EE4FC3">
        <w:t xml:space="preserve"> </w:t>
      </w:r>
      <w:r w:rsidRPr="00382917">
        <w:t>be</w:t>
      </w:r>
      <w:r w:rsidR="00EE4FC3">
        <w:t xml:space="preserve"> </w:t>
      </w:r>
      <w:r w:rsidRPr="00382917">
        <w:t>far</w:t>
      </w:r>
      <w:r w:rsidR="00EE4FC3">
        <w:t xml:space="preserve"> </w:t>
      </w:r>
      <w:r w:rsidRPr="00382917">
        <w:t>more</w:t>
      </w:r>
      <w:r w:rsidR="00EE4FC3">
        <w:t xml:space="preserve"> </w:t>
      </w:r>
      <w:r w:rsidRPr="00382917">
        <w:t>dreadful</w:t>
      </w:r>
      <w:r w:rsidR="00EE4FC3">
        <w:t xml:space="preserve"> </w:t>
      </w:r>
      <w:r w:rsidRPr="00382917">
        <w:t>and</w:t>
      </w:r>
      <w:r w:rsidR="00EE4FC3">
        <w:t xml:space="preserve"> </w:t>
      </w:r>
      <w:r w:rsidRPr="00382917">
        <w:t>dramatic</w:t>
      </w:r>
      <w:r w:rsidR="00EE4FC3">
        <w:t xml:space="preserve"> </w:t>
      </w:r>
      <w:r w:rsidRPr="00382917">
        <w:t>than</w:t>
      </w:r>
      <w:r w:rsidR="00EE4FC3">
        <w:t xml:space="preserve"> </w:t>
      </w:r>
      <w:r w:rsidRPr="00382917">
        <w:t>that</w:t>
      </w:r>
      <w:r w:rsidR="00EE4FC3">
        <w:t xml:space="preserve"> </w:t>
      </w:r>
      <w:r w:rsidRPr="00382917">
        <w:t>of</w:t>
      </w:r>
      <w:r w:rsidR="00EE4FC3">
        <w:t xml:space="preserve"> </w:t>
      </w:r>
      <w:r w:rsidRPr="00382917">
        <w:t>his</w:t>
      </w:r>
      <w:r w:rsidR="00EE4FC3">
        <w:t xml:space="preserve"> </w:t>
      </w:r>
      <w:r w:rsidRPr="00382917">
        <w:t>father.</w:t>
      </w:r>
    </w:p>
    <w:p w:rsidR="001B6670" w:rsidRPr="00382917" w:rsidRDefault="001B6670" w:rsidP="00775809">
      <w:pPr>
        <w:pStyle w:val="Text"/>
      </w:pPr>
      <w:r w:rsidRPr="00382917">
        <w:t>His</w:t>
      </w:r>
      <w:r w:rsidR="00EE4FC3">
        <w:t xml:space="preserve"> </w:t>
      </w:r>
      <w:r w:rsidRPr="00382917">
        <w:t>Prime</w:t>
      </w:r>
      <w:r w:rsidR="00EE4FC3">
        <w:t xml:space="preserve"> </w:t>
      </w:r>
      <w:r w:rsidRPr="00382917">
        <w:t>Minister,</w:t>
      </w:r>
      <w:r w:rsidR="00EE4FC3">
        <w:t xml:space="preserve"> </w:t>
      </w:r>
      <w:r w:rsidRPr="00382917">
        <w:t>Mírzá</w:t>
      </w:r>
      <w:r w:rsidR="00EE4FC3">
        <w:t xml:space="preserve"> </w:t>
      </w:r>
      <w:r w:rsidRPr="00382917">
        <w:t>Taqí</w:t>
      </w:r>
      <w:r w:rsidR="00EE4FC3">
        <w:t xml:space="preserve"> </w:t>
      </w:r>
      <w:r w:rsidR="0040329F" w:rsidRPr="0040329F">
        <w:rPr>
          <w:u w:val="single"/>
        </w:rPr>
        <w:t>Kh</w:t>
      </w:r>
      <w:r w:rsidR="0040329F" w:rsidRPr="00382917">
        <w:t>án</w:t>
      </w:r>
      <w:r w:rsidRPr="00382917">
        <w:t>,</w:t>
      </w:r>
      <w:r w:rsidR="00EE4FC3">
        <w:t xml:space="preserve"> </w:t>
      </w:r>
      <w:r w:rsidRPr="00382917">
        <w:t>who</w:t>
      </w:r>
      <w:r w:rsidR="00EE4FC3">
        <w:t xml:space="preserve"> </w:t>
      </w:r>
      <w:r w:rsidRPr="00382917">
        <w:t>ordered</w:t>
      </w:r>
      <w:r w:rsidR="00EE4FC3">
        <w:t xml:space="preserve"> </w:t>
      </w:r>
      <w:r w:rsidRPr="00382917">
        <w:t>the</w:t>
      </w:r>
      <w:r w:rsidR="00EE4FC3">
        <w:t xml:space="preserve"> </w:t>
      </w:r>
      <w:r w:rsidRPr="00382917">
        <w:t>Báb</w:t>
      </w:r>
      <w:r w:rsidR="009C713D" w:rsidRPr="00382917">
        <w:t>’</w:t>
      </w:r>
      <w:r w:rsidRPr="00382917">
        <w:t>s</w:t>
      </w:r>
      <w:r w:rsidR="00EE4FC3">
        <w:t xml:space="preserve"> </w:t>
      </w:r>
      <w:r w:rsidRPr="00382917">
        <w:t>execution,</w:t>
      </w:r>
      <w:r w:rsidR="00EE4FC3">
        <w:t xml:space="preserve"> </w:t>
      </w:r>
      <w:r w:rsidRPr="00382917">
        <w:t>and</w:t>
      </w:r>
      <w:r w:rsidR="00EE4FC3">
        <w:t xml:space="preserve"> </w:t>
      </w:r>
      <w:r w:rsidRPr="00382917">
        <w:t>who</w:t>
      </w:r>
      <w:r w:rsidR="00EE4FC3">
        <w:t xml:space="preserve"> </w:t>
      </w:r>
      <w:r w:rsidRPr="00382917">
        <w:t>encouraged</w:t>
      </w:r>
      <w:r w:rsidR="00EE4FC3">
        <w:t xml:space="preserve"> </w:t>
      </w:r>
      <w:r w:rsidRPr="00382917">
        <w:t>the</w:t>
      </w:r>
      <w:r w:rsidR="00EE4FC3">
        <w:t xml:space="preserve"> </w:t>
      </w:r>
      <w:r w:rsidRPr="00382917">
        <w:t>wholesale</w:t>
      </w:r>
      <w:r w:rsidR="00EE4FC3">
        <w:t xml:space="preserve"> </w:t>
      </w:r>
      <w:r w:rsidRPr="00382917">
        <w:t>slaughter</w:t>
      </w:r>
      <w:r w:rsidR="00EE4FC3">
        <w:t xml:space="preserve"> </w:t>
      </w:r>
      <w:r w:rsidRPr="00382917">
        <w:t>of</w:t>
      </w:r>
      <w:r w:rsidR="00EE4FC3">
        <w:t xml:space="preserve"> </w:t>
      </w:r>
      <w:r w:rsidRPr="00382917">
        <w:t>so</w:t>
      </w:r>
      <w:r w:rsidR="00EE4FC3">
        <w:t xml:space="preserve"> </w:t>
      </w:r>
      <w:r w:rsidRPr="00382917">
        <w:t>many</w:t>
      </w:r>
      <w:r w:rsidR="00EE4FC3">
        <w:t xml:space="preserve"> </w:t>
      </w:r>
      <w:r w:rsidRPr="00382917">
        <w:t>of</w:t>
      </w:r>
      <w:r w:rsidR="00EE4FC3">
        <w:t xml:space="preserve"> </w:t>
      </w:r>
      <w:r w:rsidRPr="00382917">
        <w:t>His</w:t>
      </w:r>
      <w:r w:rsidR="00EE4FC3">
        <w:t xml:space="preserve"> </w:t>
      </w:r>
      <w:r w:rsidRPr="00382917">
        <w:t>followers,</w:t>
      </w:r>
      <w:r w:rsidR="00EE4FC3">
        <w:t xml:space="preserve"> </w:t>
      </w:r>
      <w:r w:rsidRPr="00382917">
        <w:t>was</w:t>
      </w:r>
      <w:r w:rsidR="00EE4FC3">
        <w:t xml:space="preserve"> </w:t>
      </w:r>
      <w:r w:rsidRPr="00382917">
        <w:t>seized</w:t>
      </w:r>
      <w:r w:rsidR="00EE4FC3">
        <w:t xml:space="preserve"> </w:t>
      </w:r>
      <w:r w:rsidRPr="00382917">
        <w:t>in</w:t>
      </w:r>
      <w:r w:rsidR="00EE4FC3">
        <w:t xml:space="preserve"> </w:t>
      </w:r>
      <w:r w:rsidRPr="00382917">
        <w:t>the</w:t>
      </w:r>
      <w:r w:rsidR="00EE4FC3">
        <w:t xml:space="preserve"> </w:t>
      </w:r>
      <w:r w:rsidRPr="00382917">
        <w:t>grip</w:t>
      </w:r>
      <w:r w:rsidR="00EE4FC3">
        <w:t xml:space="preserve"> </w:t>
      </w:r>
      <w:r w:rsidRPr="00382917">
        <w:t>of</w:t>
      </w:r>
      <w:r w:rsidR="00EE4FC3">
        <w:t xml:space="preserve"> </w:t>
      </w:r>
      <w:r w:rsidRPr="00382917">
        <w:t>this</w:t>
      </w:r>
      <w:r w:rsidR="00EE4FC3">
        <w:t xml:space="preserve"> </w:t>
      </w:r>
      <w:r w:rsidRPr="00382917">
        <w:t>same</w:t>
      </w:r>
      <w:r w:rsidR="00EE4FC3">
        <w:t xml:space="preserve"> </w:t>
      </w:r>
      <w:r w:rsidRPr="00382917">
        <w:t>relentless,</w:t>
      </w:r>
      <w:r w:rsidR="00EE4FC3">
        <w:t xml:space="preserve"> </w:t>
      </w:r>
      <w:r w:rsidRPr="00382917">
        <w:t>punishing</w:t>
      </w:r>
      <w:r w:rsidR="00EE4FC3">
        <w:t xml:space="preserve"> </w:t>
      </w:r>
      <w:r w:rsidRPr="00382917">
        <w:t>retribution</w:t>
      </w:r>
      <w:r w:rsidR="00330AF7">
        <w:t>.</w:t>
      </w:r>
      <w:r w:rsidR="00EE4FC3">
        <w:t xml:space="preserve">  </w:t>
      </w:r>
      <w:r w:rsidRPr="00382917">
        <w:t>His</w:t>
      </w:r>
      <w:r w:rsidR="00EE4FC3">
        <w:t xml:space="preserve"> </w:t>
      </w:r>
      <w:r w:rsidRPr="00382917">
        <w:t>greatest</w:t>
      </w:r>
      <w:r w:rsidR="00EE4FC3">
        <w:t xml:space="preserve"> </w:t>
      </w:r>
      <w:r w:rsidRPr="00382917">
        <w:t>crime</w:t>
      </w:r>
      <w:r w:rsidR="00EE4FC3">
        <w:t xml:space="preserve"> </w:t>
      </w:r>
      <w:r w:rsidRPr="00382917">
        <w:t>was</w:t>
      </w:r>
      <w:r w:rsidR="00EE4FC3">
        <w:t xml:space="preserve"> </w:t>
      </w:r>
      <w:r w:rsidRPr="00382917">
        <w:t>the</w:t>
      </w:r>
      <w:r w:rsidR="00EE4FC3">
        <w:t xml:space="preserve"> </w:t>
      </w:r>
      <w:r w:rsidRPr="00382917">
        <w:t>taking</w:t>
      </w:r>
      <w:r w:rsidR="00EE4FC3">
        <w:t xml:space="preserve"> </w:t>
      </w:r>
      <w:r w:rsidRPr="00382917">
        <w:t>of</w:t>
      </w:r>
      <w:r w:rsidR="00EE4FC3">
        <w:t xml:space="preserve"> </w:t>
      </w:r>
      <w:r w:rsidRPr="00382917">
        <w:t>the</w:t>
      </w:r>
      <w:r w:rsidR="00EE4FC3">
        <w:t xml:space="preserve"> </w:t>
      </w:r>
      <w:r w:rsidRPr="00382917">
        <w:t>life</w:t>
      </w:r>
      <w:r w:rsidR="00EE4FC3">
        <w:t xml:space="preserve"> </w:t>
      </w:r>
      <w:r w:rsidRPr="00382917">
        <w:t>of</w:t>
      </w:r>
      <w:r w:rsidR="00EE4FC3">
        <w:t xml:space="preserve"> </w:t>
      </w:r>
      <w:r w:rsidRPr="00382917">
        <w:t>the</w:t>
      </w:r>
      <w:r w:rsidR="00EE4FC3">
        <w:t xml:space="preserve"> </w:t>
      </w:r>
      <w:r w:rsidRPr="00382917">
        <w:t>Báb</w:t>
      </w:r>
      <w:r w:rsidR="00330AF7">
        <w:t>.</w:t>
      </w:r>
      <w:r w:rsidR="00EE4FC3">
        <w:t xml:space="preserve">  </w:t>
      </w:r>
      <w:r w:rsidRPr="00382917">
        <w:t>His</w:t>
      </w:r>
      <w:r w:rsidR="00EE4FC3">
        <w:t xml:space="preserve"> </w:t>
      </w:r>
      <w:r w:rsidRPr="00382917">
        <w:t>greatest</w:t>
      </w:r>
      <w:r w:rsidR="00EE4FC3">
        <w:t xml:space="preserve"> </w:t>
      </w:r>
      <w:r w:rsidRPr="00382917">
        <w:t>massacre</w:t>
      </w:r>
      <w:r w:rsidR="00EE4FC3">
        <w:t xml:space="preserve"> </w:t>
      </w:r>
      <w:r w:rsidRPr="00382917">
        <w:t>was</w:t>
      </w:r>
      <w:r w:rsidR="00EE4FC3">
        <w:t xml:space="preserve"> </w:t>
      </w:r>
      <w:r w:rsidRPr="00382917">
        <w:t>that</w:t>
      </w:r>
      <w:r w:rsidR="00EE4FC3">
        <w:t xml:space="preserve"> </w:t>
      </w:r>
      <w:r w:rsidRPr="00382917">
        <w:t>which</w:t>
      </w:r>
      <w:r w:rsidR="00EE4FC3">
        <w:t xml:space="preserve"> </w:t>
      </w:r>
      <w:r w:rsidRPr="00382917">
        <w:t>took</w:t>
      </w:r>
      <w:r w:rsidR="00EE4FC3">
        <w:t xml:space="preserve"> </w:t>
      </w:r>
      <w:r w:rsidRPr="00382917">
        <w:t>place</w:t>
      </w:r>
      <w:r w:rsidR="00EE4FC3">
        <w:t xml:space="preserve"> </w:t>
      </w:r>
      <w:r w:rsidRPr="00382917">
        <w:t>in</w:t>
      </w:r>
      <w:r w:rsidR="00EE4FC3">
        <w:t xml:space="preserve"> </w:t>
      </w:r>
      <w:r w:rsidRPr="00382917">
        <w:t>Zanján</w:t>
      </w:r>
      <w:r w:rsidR="00EE4FC3">
        <w:t xml:space="preserve"> </w:t>
      </w:r>
      <w:r w:rsidRPr="00382917">
        <w:t>after</w:t>
      </w:r>
      <w:r w:rsidR="00EE4FC3">
        <w:t xml:space="preserve"> </w:t>
      </w:r>
      <w:r w:rsidRPr="00382917">
        <w:t>the</w:t>
      </w:r>
      <w:r w:rsidR="00EE4FC3">
        <w:t xml:space="preserve"> </w:t>
      </w:r>
      <w:r w:rsidRPr="00382917">
        <w:t>martyrdom</w:t>
      </w:r>
      <w:r w:rsidR="00EE4FC3">
        <w:t xml:space="preserve"> </w:t>
      </w:r>
      <w:r w:rsidRPr="00382917">
        <w:t>of</w:t>
      </w:r>
      <w:r w:rsidR="00EE4FC3">
        <w:t xml:space="preserve"> </w:t>
      </w:r>
      <w:r w:rsidRPr="00382917">
        <w:t>the</w:t>
      </w:r>
      <w:r w:rsidR="00EE4FC3">
        <w:t xml:space="preserve"> </w:t>
      </w:r>
      <w:r w:rsidRPr="00382917">
        <w:t>Báb</w:t>
      </w:r>
      <w:r w:rsidR="00330AF7">
        <w:t>.</w:t>
      </w:r>
      <w:r w:rsidR="00EE4FC3">
        <w:t xml:space="preserve">  </w:t>
      </w:r>
      <w:r w:rsidRPr="00382917">
        <w:t>Eighteen</w:t>
      </w:r>
      <w:r w:rsidR="00EE4FC3">
        <w:t xml:space="preserve"> </w:t>
      </w:r>
      <w:r w:rsidRPr="00382917">
        <w:t>hundred</w:t>
      </w:r>
      <w:r w:rsidR="00EE4FC3">
        <w:t xml:space="preserve"> </w:t>
      </w:r>
      <w:r w:rsidRPr="00382917">
        <w:t>were</w:t>
      </w:r>
      <w:r w:rsidR="00EE4FC3">
        <w:t xml:space="preserve"> </w:t>
      </w:r>
      <w:r w:rsidRPr="00382917">
        <w:t>slain</w:t>
      </w:r>
      <w:r w:rsidR="00EE4FC3">
        <w:t xml:space="preserve"> </w:t>
      </w:r>
      <w:r w:rsidRPr="00382917">
        <w:t>in</w:t>
      </w:r>
      <w:r w:rsidR="00EE4FC3">
        <w:t xml:space="preserve"> </w:t>
      </w:r>
      <w:r w:rsidRPr="00382917">
        <w:t>Zanján</w:t>
      </w:r>
      <w:r w:rsidR="00EE4FC3">
        <w:t xml:space="preserve"> </w:t>
      </w:r>
      <w:r w:rsidRPr="00382917">
        <w:t>village</w:t>
      </w:r>
      <w:r w:rsidR="00EE4FC3">
        <w:t xml:space="preserve"> </w:t>
      </w:r>
      <w:r w:rsidRPr="00382917">
        <w:t>alone</w:t>
      </w:r>
      <w:r w:rsidR="00330AF7">
        <w:t>.</w:t>
      </w:r>
      <w:r w:rsidR="00EE4FC3">
        <w:t xml:space="preserve">  </w:t>
      </w:r>
      <w:r w:rsidRPr="00382917">
        <w:t>Although</w:t>
      </w:r>
      <w:r w:rsidR="00EE4FC3">
        <w:t xml:space="preserve"> </w:t>
      </w:r>
      <w:r w:rsidRPr="00382917">
        <w:t>the</w:t>
      </w:r>
      <w:r w:rsidR="00EE4FC3">
        <w:t xml:space="preserve"> </w:t>
      </w:r>
      <w:r w:rsidRPr="00382917">
        <w:t>soldiers</w:t>
      </w:r>
      <w:r w:rsidR="00EE4FC3">
        <w:t xml:space="preserve"> </w:t>
      </w:r>
      <w:r w:rsidRPr="00382917">
        <w:t>had</w:t>
      </w:r>
      <w:r w:rsidR="00EE4FC3">
        <w:t xml:space="preserve"> </w:t>
      </w:r>
      <w:r w:rsidRPr="00382917">
        <w:t>promised</w:t>
      </w:r>
      <w:r w:rsidR="00EE4FC3">
        <w:t xml:space="preserve"> </w:t>
      </w:r>
      <w:r w:rsidRPr="00382917">
        <w:t>on</w:t>
      </w:r>
      <w:r w:rsidR="00EE4FC3">
        <w:t xml:space="preserve"> </w:t>
      </w:r>
      <w:r w:rsidRPr="00382917">
        <w:t>their</w:t>
      </w:r>
      <w:r w:rsidR="00EE4FC3">
        <w:t xml:space="preserve"> </w:t>
      </w:r>
      <w:proofErr w:type="spellStart"/>
      <w:r w:rsidRPr="00382917">
        <w:t>honor</w:t>
      </w:r>
      <w:proofErr w:type="spellEnd"/>
      <w:r w:rsidR="00EE4FC3">
        <w:t xml:space="preserve"> </w:t>
      </w:r>
      <w:r w:rsidRPr="00382917">
        <w:t>to</w:t>
      </w:r>
      <w:r w:rsidR="00EE4FC3">
        <w:t xml:space="preserve"> </w:t>
      </w:r>
      <w:r w:rsidRPr="00382917">
        <w:t>spare</w:t>
      </w:r>
      <w:r w:rsidR="00EE4FC3">
        <w:t xml:space="preserve"> </w:t>
      </w:r>
      <w:r w:rsidRPr="00382917">
        <w:t>the</w:t>
      </w:r>
      <w:r w:rsidR="00EE4FC3">
        <w:t xml:space="preserve"> </w:t>
      </w:r>
      <w:r w:rsidRPr="00382917">
        <w:t>followers</w:t>
      </w:r>
      <w:r w:rsidR="00EE4FC3">
        <w:t xml:space="preserve"> </w:t>
      </w:r>
      <w:r w:rsidRPr="00382917">
        <w:t>of</w:t>
      </w:r>
      <w:r w:rsidR="00EE4FC3">
        <w:t xml:space="preserve"> </w:t>
      </w:r>
      <w:r w:rsidRPr="00382917">
        <w:rPr>
          <w:sz w:val="22"/>
        </w:rPr>
        <w:t>Ḥ</w:t>
      </w:r>
      <w:r w:rsidRPr="00382917">
        <w:t>ujjat</w:t>
      </w:r>
      <w:r w:rsidR="00EE4FC3">
        <w:t xml:space="preserve"> </w:t>
      </w:r>
      <w:r w:rsidRPr="00382917">
        <w:t>who</w:t>
      </w:r>
      <w:r w:rsidR="00EE4FC3">
        <w:t xml:space="preserve"> </w:t>
      </w:r>
      <w:r w:rsidRPr="00382917">
        <w:t>willingly</w:t>
      </w:r>
      <w:r w:rsidR="00EE4FC3">
        <w:t xml:space="preserve"> </w:t>
      </w:r>
      <w:r w:rsidRPr="00382917">
        <w:t>came</w:t>
      </w:r>
      <w:r w:rsidR="00EE4FC3">
        <w:t xml:space="preserve"> </w:t>
      </w:r>
      <w:r w:rsidRPr="00382917">
        <w:t>out</w:t>
      </w:r>
      <w:r w:rsidR="00EE4FC3">
        <w:t xml:space="preserve"> </w:t>
      </w:r>
      <w:r w:rsidRPr="00382917">
        <w:t>of</w:t>
      </w:r>
      <w:r w:rsidR="00EE4FC3">
        <w:t xml:space="preserve"> </w:t>
      </w:r>
      <w:r w:rsidRPr="00382917">
        <w:t>their</w:t>
      </w:r>
      <w:r w:rsidR="00EE4FC3">
        <w:t xml:space="preserve"> </w:t>
      </w:r>
      <w:r w:rsidRPr="00382917">
        <w:t>shelters,</w:t>
      </w:r>
      <w:r w:rsidR="00EE4FC3">
        <w:t xml:space="preserve"> </w:t>
      </w:r>
      <w:r w:rsidRPr="00382917">
        <w:t>they</w:t>
      </w:r>
      <w:r w:rsidR="00EE4FC3">
        <w:t xml:space="preserve"> </w:t>
      </w:r>
      <w:r w:rsidRPr="00382917">
        <w:t>lined</w:t>
      </w:r>
      <w:r w:rsidR="00EE4FC3">
        <w:t xml:space="preserve"> </w:t>
      </w:r>
      <w:r w:rsidRPr="00382917">
        <w:t>them</w:t>
      </w:r>
      <w:r w:rsidR="00EE4FC3">
        <w:t xml:space="preserve"> </w:t>
      </w:r>
      <w:r w:rsidRPr="00382917">
        <w:t>up</w:t>
      </w:r>
      <w:r w:rsidR="00EE4FC3">
        <w:t xml:space="preserve"> </w:t>
      </w:r>
      <w:r w:rsidRPr="00382917">
        <w:t>in</w:t>
      </w:r>
      <w:r w:rsidR="00EE4FC3">
        <w:t xml:space="preserve"> </w:t>
      </w:r>
      <w:r w:rsidRPr="00382917">
        <w:t>rows,</w:t>
      </w:r>
      <w:r w:rsidR="00EE4FC3">
        <w:t xml:space="preserve"> </w:t>
      </w:r>
      <w:r w:rsidRPr="00382917">
        <w:t>to</w:t>
      </w:r>
      <w:r w:rsidR="00EE4FC3">
        <w:t xml:space="preserve"> </w:t>
      </w:r>
      <w:r w:rsidRPr="00382917">
        <w:t>the</w:t>
      </w:r>
      <w:r w:rsidR="00EE4FC3">
        <w:t xml:space="preserve"> </w:t>
      </w:r>
      <w:r w:rsidRPr="00382917">
        <w:t>accompaniment</w:t>
      </w:r>
      <w:r w:rsidR="00EE4FC3">
        <w:t xml:space="preserve"> </w:t>
      </w:r>
      <w:r w:rsidRPr="00382917">
        <w:t>of</w:t>
      </w:r>
      <w:r w:rsidR="00EE4FC3">
        <w:t xml:space="preserve"> </w:t>
      </w:r>
      <w:r w:rsidRPr="00382917">
        <w:t>drums</w:t>
      </w:r>
      <w:r w:rsidR="00EE4FC3">
        <w:t xml:space="preserve"> </w:t>
      </w:r>
      <w:r w:rsidRPr="00382917">
        <w:t>and</w:t>
      </w:r>
      <w:r w:rsidR="00EE4FC3">
        <w:t xml:space="preserve"> </w:t>
      </w:r>
      <w:r w:rsidRPr="00382917">
        <w:t>trumpets,</w:t>
      </w:r>
      <w:r w:rsidR="00EE4FC3">
        <w:t xml:space="preserve"> </w:t>
      </w:r>
      <w:r w:rsidRPr="00382917">
        <w:t>and</w:t>
      </w:r>
      <w:r w:rsidR="00EE4FC3">
        <w:t xml:space="preserve"> </w:t>
      </w:r>
      <w:r w:rsidRPr="00382917">
        <w:t>pierced</w:t>
      </w:r>
      <w:r w:rsidR="00EE4FC3">
        <w:t xml:space="preserve"> </w:t>
      </w:r>
      <w:r w:rsidRPr="00382917">
        <w:t>them</w:t>
      </w:r>
      <w:r w:rsidR="00EE4FC3">
        <w:t xml:space="preserve"> </w:t>
      </w:r>
      <w:r w:rsidRPr="00382917">
        <w:t>with</w:t>
      </w:r>
      <w:r w:rsidR="00EE4FC3">
        <w:t xml:space="preserve"> </w:t>
      </w:r>
      <w:r w:rsidRPr="00382917">
        <w:t>bayonets</w:t>
      </w:r>
      <w:r w:rsidR="00330AF7">
        <w:t>.</w:t>
      </w:r>
      <w:r w:rsidR="00EE4FC3">
        <w:t xml:space="preserve">  </w:t>
      </w:r>
      <w:r w:rsidRPr="00382917">
        <w:t>Then</w:t>
      </w:r>
      <w:r w:rsidR="00EE4FC3">
        <w:t xml:space="preserve"> </w:t>
      </w:r>
      <w:r w:rsidRPr="00382917">
        <w:t>the</w:t>
      </w:r>
      <w:r w:rsidR="00EE4FC3">
        <w:t xml:space="preserve"> </w:t>
      </w:r>
      <w:r w:rsidRPr="00382917">
        <w:t>victorious</w:t>
      </w:r>
      <w:r w:rsidR="00EE4FC3">
        <w:t xml:space="preserve"> </w:t>
      </w:r>
      <w:r w:rsidRPr="00382917">
        <w:t>army</w:t>
      </w:r>
      <w:r w:rsidR="00EE4FC3">
        <w:t xml:space="preserve"> </w:t>
      </w:r>
      <w:r w:rsidRPr="00382917">
        <w:t>forced</w:t>
      </w:r>
      <w:r w:rsidR="00EE4FC3">
        <w:t xml:space="preserve"> </w:t>
      </w:r>
      <w:r w:rsidRPr="00382917">
        <w:t>those</w:t>
      </w:r>
      <w:r w:rsidR="00EE4FC3">
        <w:t xml:space="preserve"> </w:t>
      </w:r>
      <w:r w:rsidRPr="00382917">
        <w:t>of</w:t>
      </w:r>
      <w:r w:rsidR="00EE4FC3">
        <w:t xml:space="preserve"> </w:t>
      </w:r>
      <w:r w:rsidRPr="00382917">
        <w:t>high</w:t>
      </w:r>
      <w:r w:rsidR="00EE4FC3">
        <w:t xml:space="preserve"> </w:t>
      </w:r>
      <w:r w:rsidRPr="00382917">
        <w:t>standing</w:t>
      </w:r>
      <w:r w:rsidR="00EE4FC3">
        <w:t xml:space="preserve"> </w:t>
      </w:r>
      <w:r w:rsidRPr="00382917">
        <w:t>who</w:t>
      </w:r>
      <w:r w:rsidR="00EE4FC3">
        <w:t xml:space="preserve"> </w:t>
      </w:r>
      <w:r w:rsidRPr="00382917">
        <w:t>were</w:t>
      </w:r>
      <w:r w:rsidR="00EE4FC3">
        <w:t xml:space="preserve"> </w:t>
      </w:r>
      <w:r w:rsidRPr="00382917">
        <w:t>left</w:t>
      </w:r>
      <w:r w:rsidR="00EE4FC3">
        <w:t xml:space="preserve"> </w:t>
      </w:r>
      <w:r w:rsidRPr="00382917">
        <w:t>to</w:t>
      </w:r>
      <w:r w:rsidR="00EE4FC3">
        <w:t xml:space="preserve"> </w:t>
      </w:r>
      <w:r w:rsidRPr="00382917">
        <w:t>march</w:t>
      </w:r>
      <w:r w:rsidR="00EE4FC3">
        <w:t xml:space="preserve"> </w:t>
      </w:r>
      <w:r w:rsidRPr="00382917">
        <w:t>on</w:t>
      </w:r>
      <w:r w:rsidR="00EE4FC3">
        <w:t xml:space="preserve"> </w:t>
      </w:r>
      <w:r w:rsidRPr="00382917">
        <w:t>foot</w:t>
      </w:r>
      <w:r w:rsidR="00EE4FC3">
        <w:t xml:space="preserve"> </w:t>
      </w:r>
      <w:r w:rsidRPr="00382917">
        <w:t>before</w:t>
      </w:r>
      <w:r w:rsidR="00EE4FC3">
        <w:t xml:space="preserve"> </w:t>
      </w:r>
      <w:r w:rsidRPr="00382917">
        <w:t>their</w:t>
      </w:r>
      <w:r w:rsidR="00EE4FC3">
        <w:t xml:space="preserve"> </w:t>
      </w:r>
      <w:r w:rsidRPr="00382917">
        <w:t>horses</w:t>
      </w:r>
      <w:r w:rsidR="00EE4FC3">
        <w:t xml:space="preserve"> </w:t>
      </w:r>
      <w:r w:rsidRPr="00382917">
        <w:t>all</w:t>
      </w:r>
      <w:r w:rsidR="00EE4FC3">
        <w:t xml:space="preserve"> </w:t>
      </w:r>
      <w:r w:rsidRPr="00382917">
        <w:t>the</w:t>
      </w:r>
      <w:r w:rsidR="00EE4FC3">
        <w:t xml:space="preserve"> </w:t>
      </w:r>
      <w:r w:rsidRPr="00382917">
        <w:t>way</w:t>
      </w:r>
      <w:r w:rsidR="00EE4FC3">
        <w:t xml:space="preserve"> </w:t>
      </w:r>
      <w:r w:rsidRPr="00382917">
        <w:t>to</w:t>
      </w:r>
      <w:r w:rsidR="00EE4FC3">
        <w:t xml:space="preserve"> </w:t>
      </w:r>
      <w:r w:rsidRPr="00382917">
        <w:rPr>
          <w:sz w:val="22"/>
        </w:rPr>
        <w:t>Ṭ</w:t>
      </w:r>
      <w:r w:rsidRPr="00382917">
        <w:t>ihrán</w:t>
      </w:r>
      <w:r w:rsidR="00EE4FC3">
        <w:t xml:space="preserve"> </w:t>
      </w:r>
      <w:r w:rsidRPr="00382917">
        <w:t>with</w:t>
      </w:r>
      <w:r w:rsidR="00EE4FC3">
        <w:t xml:space="preserve"> </w:t>
      </w:r>
      <w:r w:rsidRPr="00382917">
        <w:t>chains</w:t>
      </w:r>
      <w:r w:rsidR="00EE4FC3">
        <w:t xml:space="preserve"> </w:t>
      </w:r>
      <w:r w:rsidRPr="00382917">
        <w:t>about</w:t>
      </w:r>
      <w:r w:rsidR="00EE4FC3">
        <w:t xml:space="preserve"> </w:t>
      </w:r>
      <w:r w:rsidRPr="00382917">
        <w:t>their</w:t>
      </w:r>
      <w:r w:rsidR="00EE4FC3">
        <w:t xml:space="preserve"> </w:t>
      </w:r>
      <w:r w:rsidRPr="00382917">
        <w:t>necks</w:t>
      </w:r>
      <w:r w:rsidR="00EE4FC3">
        <w:t xml:space="preserve"> </w:t>
      </w:r>
      <w:r w:rsidRPr="00382917">
        <w:t>and</w:t>
      </w:r>
      <w:r w:rsidR="00EE4FC3">
        <w:t xml:space="preserve"> </w:t>
      </w:r>
      <w:r w:rsidRPr="00382917">
        <w:t>shackles</w:t>
      </w:r>
      <w:r w:rsidR="00EE4FC3">
        <w:t xml:space="preserve"> </w:t>
      </w:r>
      <w:r w:rsidRPr="00382917">
        <w:t>on</w:t>
      </w:r>
      <w:r w:rsidR="00EE4FC3">
        <w:t xml:space="preserve"> </w:t>
      </w:r>
      <w:r w:rsidRPr="00382917">
        <w:t>their</w:t>
      </w:r>
      <w:r w:rsidR="00EE4FC3">
        <w:t xml:space="preserve"> </w:t>
      </w:r>
      <w:r w:rsidRPr="00382917">
        <w:t>feet</w:t>
      </w:r>
      <w:r w:rsidR="00330AF7">
        <w:t>.</w:t>
      </w:r>
      <w:r w:rsidR="00EE4FC3">
        <w:t xml:space="preserve">  </w:t>
      </w:r>
      <w:r w:rsidRPr="00382917">
        <w:t>When</w:t>
      </w:r>
      <w:r w:rsidR="00EE4FC3">
        <w:t xml:space="preserve"> </w:t>
      </w:r>
      <w:r w:rsidRPr="00382917">
        <w:t>they</w:t>
      </w:r>
      <w:r w:rsidR="00EE4FC3">
        <w:t xml:space="preserve"> </w:t>
      </w:r>
      <w:r w:rsidRPr="00382917">
        <w:t>appeared</w:t>
      </w:r>
      <w:r w:rsidR="00EE4FC3">
        <w:t xml:space="preserve"> </w:t>
      </w:r>
      <w:r w:rsidRPr="00382917">
        <w:t>before</w:t>
      </w:r>
      <w:r w:rsidR="00EE4FC3">
        <w:t xml:space="preserve"> </w:t>
      </w:r>
      <w:r w:rsidRPr="00382917">
        <w:t>the</w:t>
      </w:r>
      <w:r w:rsidR="00EE4FC3">
        <w:t xml:space="preserve"> </w:t>
      </w:r>
      <w:r w:rsidRPr="00382917">
        <w:t>Prime</w:t>
      </w:r>
      <w:r w:rsidR="00EE4FC3">
        <w:t xml:space="preserve"> </w:t>
      </w:r>
      <w:r w:rsidRPr="00382917">
        <w:t>Minister,</w:t>
      </w:r>
      <w:r w:rsidR="00EE4FC3">
        <w:t xml:space="preserve"> </w:t>
      </w:r>
      <w:r w:rsidRPr="00382917">
        <w:t>Mírzá</w:t>
      </w:r>
      <w:r w:rsidR="00EE4FC3">
        <w:t xml:space="preserve"> </w:t>
      </w:r>
      <w:r w:rsidRPr="00382917">
        <w:t>Taqí</w:t>
      </w:r>
      <w:r w:rsidR="00EE4FC3">
        <w:t xml:space="preserve"> </w:t>
      </w:r>
      <w:r w:rsidR="0040329F" w:rsidRPr="0040329F">
        <w:rPr>
          <w:u w:val="single"/>
        </w:rPr>
        <w:t>Kh</w:t>
      </w:r>
      <w:r w:rsidR="0040329F" w:rsidRPr="00382917">
        <w:t>án</w:t>
      </w:r>
      <w:r w:rsidRPr="00382917">
        <w:t>,</w:t>
      </w:r>
      <w:r w:rsidR="00EE4FC3">
        <w:t xml:space="preserve"> </w:t>
      </w:r>
      <w:r w:rsidRPr="00382917">
        <w:t>he</w:t>
      </w:r>
      <w:r w:rsidR="00EE4FC3">
        <w:t xml:space="preserve"> </w:t>
      </w:r>
      <w:r w:rsidRPr="00382917">
        <w:t>ordered</w:t>
      </w:r>
      <w:r w:rsidR="00EE4FC3">
        <w:t xml:space="preserve"> </w:t>
      </w:r>
      <w:r w:rsidRPr="00382917">
        <w:t>that</w:t>
      </w:r>
      <w:r w:rsidR="00EE4FC3">
        <w:t xml:space="preserve"> </w:t>
      </w:r>
      <w:r w:rsidRPr="00382917">
        <w:t>the</w:t>
      </w:r>
      <w:r w:rsidR="00EE4FC3">
        <w:t xml:space="preserve"> </w:t>
      </w:r>
      <w:r w:rsidRPr="00382917">
        <w:t>veins</w:t>
      </w:r>
      <w:r w:rsidR="00EE4FC3">
        <w:t xml:space="preserve"> </w:t>
      </w:r>
      <w:r w:rsidRPr="00382917">
        <w:t>of</w:t>
      </w:r>
      <w:r w:rsidR="00EE4FC3">
        <w:t xml:space="preserve"> </w:t>
      </w:r>
      <w:r w:rsidRPr="00382917">
        <w:t>three</w:t>
      </w:r>
      <w:r w:rsidR="00EE4FC3">
        <w:t xml:space="preserve"> </w:t>
      </w:r>
      <w:r w:rsidRPr="00382917">
        <w:t>leaders</w:t>
      </w:r>
      <w:r w:rsidR="00EE4FC3">
        <w:t xml:space="preserve"> </w:t>
      </w:r>
      <w:r w:rsidRPr="00382917">
        <w:t>be</w:t>
      </w:r>
      <w:r w:rsidR="00EE4FC3">
        <w:t xml:space="preserve"> </w:t>
      </w:r>
      <w:r w:rsidRPr="00382917">
        <w:t>slashed</w:t>
      </w:r>
      <w:r w:rsidR="00EE4FC3">
        <w:t xml:space="preserve"> </w:t>
      </w:r>
      <w:r w:rsidRPr="00382917">
        <w:t>open</w:t>
      </w:r>
      <w:r w:rsidR="00330AF7">
        <w:t>.</w:t>
      </w:r>
      <w:r w:rsidR="00EE4FC3">
        <w:t xml:space="preserve">  </w:t>
      </w:r>
      <w:r w:rsidRPr="00382917">
        <w:t>He</w:t>
      </w:r>
      <w:r w:rsidR="00EE4FC3">
        <w:t xml:space="preserve"> </w:t>
      </w:r>
      <w:r w:rsidRPr="00382917">
        <w:t>would</w:t>
      </w:r>
      <w:r w:rsidR="00EE4FC3">
        <w:t xml:space="preserve"> </w:t>
      </w:r>
      <w:r w:rsidRPr="00382917">
        <w:t>make</w:t>
      </w:r>
      <w:r w:rsidR="00EE4FC3">
        <w:t xml:space="preserve"> </w:t>
      </w:r>
      <w:r w:rsidRPr="00382917">
        <w:t>an</w:t>
      </w:r>
      <w:r w:rsidR="00EE4FC3">
        <w:t xml:space="preserve"> </w:t>
      </w:r>
      <w:r w:rsidRPr="00382917">
        <w:t>example</w:t>
      </w:r>
      <w:r w:rsidR="00EE4FC3">
        <w:t xml:space="preserve"> </w:t>
      </w:r>
      <w:r w:rsidRPr="00382917">
        <w:t>of</w:t>
      </w:r>
      <w:r w:rsidR="00EE4FC3">
        <w:t xml:space="preserve"> </w:t>
      </w:r>
      <w:r w:rsidRPr="00382917">
        <w:t>them,</w:t>
      </w:r>
      <w:r w:rsidR="00EE4FC3">
        <w:t xml:space="preserve"> </w:t>
      </w:r>
      <w:r w:rsidRPr="00382917">
        <w:t>he</w:t>
      </w:r>
      <w:r w:rsidR="00EE4FC3">
        <w:t xml:space="preserve"> </w:t>
      </w:r>
      <w:r w:rsidRPr="00382917">
        <w:t>said,</w:t>
      </w:r>
      <w:r w:rsidR="00EE4FC3">
        <w:t xml:space="preserve"> </w:t>
      </w:r>
      <w:r w:rsidRPr="00382917">
        <w:t>as</w:t>
      </w:r>
      <w:r w:rsidR="00EE4FC3">
        <w:t xml:space="preserve"> </w:t>
      </w:r>
      <w:r w:rsidRPr="00382917">
        <w:t>he</w:t>
      </w:r>
      <w:r w:rsidR="00EE4FC3">
        <w:t xml:space="preserve"> </w:t>
      </w:r>
      <w:r w:rsidRPr="00382917">
        <w:t>had</w:t>
      </w:r>
      <w:r w:rsidR="00EE4FC3">
        <w:t xml:space="preserve"> </w:t>
      </w:r>
      <w:r w:rsidRPr="00382917">
        <w:t>made</w:t>
      </w:r>
      <w:r w:rsidR="00EE4FC3">
        <w:t xml:space="preserve"> </w:t>
      </w:r>
      <w:r w:rsidRPr="00382917">
        <w:t>of</w:t>
      </w:r>
      <w:r w:rsidR="00EE4FC3">
        <w:t xml:space="preserve"> </w:t>
      </w:r>
      <w:r w:rsidRPr="00382917">
        <w:t>the</w:t>
      </w:r>
      <w:r w:rsidR="00EE4FC3">
        <w:t xml:space="preserve"> </w:t>
      </w:r>
      <w:r w:rsidRPr="00382917">
        <w:t>Báb.</w:t>
      </w:r>
    </w:p>
    <w:p w:rsidR="001B6670" w:rsidRPr="00382917" w:rsidRDefault="001B6670" w:rsidP="00775809">
      <w:pPr>
        <w:pStyle w:val="Text"/>
      </w:pPr>
      <w:r w:rsidRPr="00382917">
        <w:t>The</w:t>
      </w:r>
      <w:r w:rsidR="00EE4FC3">
        <w:t xml:space="preserve"> </w:t>
      </w:r>
      <w:r w:rsidRPr="00382917">
        <w:t>victims</w:t>
      </w:r>
      <w:r w:rsidR="00EE4FC3">
        <w:t xml:space="preserve"> </w:t>
      </w:r>
      <w:r w:rsidRPr="00382917">
        <w:t>did</w:t>
      </w:r>
      <w:r w:rsidR="00EE4FC3">
        <w:t xml:space="preserve"> </w:t>
      </w:r>
      <w:r w:rsidRPr="00382917">
        <w:t>not</w:t>
      </w:r>
      <w:r w:rsidR="00EE4FC3">
        <w:t xml:space="preserve"> </w:t>
      </w:r>
      <w:r w:rsidRPr="00382917">
        <w:t>betray</w:t>
      </w:r>
      <w:r w:rsidR="00EE4FC3">
        <w:t xml:space="preserve"> </w:t>
      </w:r>
      <w:r w:rsidRPr="00382917">
        <w:t>the</w:t>
      </w:r>
      <w:r w:rsidR="00EE4FC3">
        <w:t xml:space="preserve"> </w:t>
      </w:r>
      <w:r w:rsidRPr="00382917">
        <w:t>least</w:t>
      </w:r>
      <w:r w:rsidR="00EE4FC3">
        <w:t xml:space="preserve"> </w:t>
      </w:r>
      <w:r w:rsidRPr="00382917">
        <w:t>fear</w:t>
      </w:r>
      <w:r w:rsidR="00EE4FC3">
        <w:t xml:space="preserve"> </w:t>
      </w:r>
      <w:r w:rsidRPr="00382917">
        <w:t>or</w:t>
      </w:r>
      <w:r w:rsidR="00EE4FC3">
        <w:t xml:space="preserve"> </w:t>
      </w:r>
      <w:r w:rsidRPr="00382917">
        <w:t>emotion</w:t>
      </w:r>
      <w:r w:rsidR="00330AF7">
        <w:t>.</w:t>
      </w:r>
      <w:r w:rsidR="00EE4FC3">
        <w:t xml:space="preserve">  </w:t>
      </w:r>
      <w:r w:rsidRPr="00382917">
        <w:t>They</w:t>
      </w:r>
      <w:r w:rsidR="00EE4FC3">
        <w:t xml:space="preserve"> </w:t>
      </w:r>
      <w:r w:rsidRPr="00382917">
        <w:t>told</w:t>
      </w:r>
      <w:r w:rsidR="00EE4FC3">
        <w:t xml:space="preserve"> </w:t>
      </w:r>
      <w:r w:rsidRPr="00382917">
        <w:t>the</w:t>
      </w:r>
      <w:r w:rsidR="00EE4FC3">
        <w:t xml:space="preserve"> </w:t>
      </w:r>
      <w:r w:rsidRPr="00382917">
        <w:t>Prime</w:t>
      </w:r>
      <w:r w:rsidR="00EE4FC3">
        <w:t xml:space="preserve"> </w:t>
      </w:r>
      <w:r w:rsidRPr="00382917">
        <w:t>Minister</w:t>
      </w:r>
      <w:r w:rsidR="00EE4FC3">
        <w:t xml:space="preserve"> </w:t>
      </w:r>
      <w:r w:rsidRPr="00382917">
        <w:t>that</w:t>
      </w:r>
      <w:r w:rsidR="00EE4FC3">
        <w:t xml:space="preserve"> </w:t>
      </w:r>
      <w:r w:rsidRPr="00382917">
        <w:t>the</w:t>
      </w:r>
      <w:r w:rsidR="00EE4FC3">
        <w:t xml:space="preserve"> </w:t>
      </w:r>
      <w:r w:rsidRPr="00382917">
        <w:t>lack</w:t>
      </w:r>
      <w:r w:rsidR="00EE4FC3">
        <w:t xml:space="preserve"> </w:t>
      </w:r>
      <w:r w:rsidRPr="00382917">
        <w:t>of</w:t>
      </w:r>
      <w:r w:rsidR="00EE4FC3">
        <w:t xml:space="preserve"> </w:t>
      </w:r>
      <w:r w:rsidRPr="00382917">
        <w:t>good</w:t>
      </w:r>
      <w:r w:rsidR="00EE4FC3">
        <w:t xml:space="preserve"> </w:t>
      </w:r>
      <w:r w:rsidRPr="00382917">
        <w:t>faith</w:t>
      </w:r>
      <w:r w:rsidR="00EE4FC3">
        <w:t xml:space="preserve"> </w:t>
      </w:r>
      <w:r w:rsidRPr="00382917">
        <w:t>which</w:t>
      </w:r>
      <w:r w:rsidR="00EE4FC3">
        <w:t xml:space="preserve"> </w:t>
      </w:r>
      <w:r w:rsidRPr="00382917">
        <w:t>the</w:t>
      </w:r>
      <w:r w:rsidR="00EE4FC3">
        <w:t xml:space="preserve"> </w:t>
      </w:r>
      <w:r w:rsidRPr="00382917">
        <w:t>authorities,</w:t>
      </w:r>
      <w:r w:rsidR="00EE4FC3">
        <w:t xml:space="preserve"> </w:t>
      </w:r>
      <w:r w:rsidRPr="00382917">
        <w:t>the</w:t>
      </w:r>
      <w:r w:rsidR="00EE4FC3">
        <w:t xml:space="preserve"> </w:t>
      </w:r>
      <w:r w:rsidRPr="00382917">
        <w:t>army,</w:t>
      </w:r>
      <w:r w:rsidR="00EE4FC3">
        <w:t xml:space="preserve"> </w:t>
      </w:r>
      <w:r w:rsidRPr="00382917">
        <w:t>and</w:t>
      </w:r>
      <w:r w:rsidR="00EE4FC3">
        <w:t xml:space="preserve"> </w:t>
      </w:r>
      <w:proofErr w:type="gramStart"/>
      <w:r w:rsidRPr="00382917">
        <w:t>himself</w:t>
      </w:r>
      <w:proofErr w:type="gramEnd"/>
      <w:r w:rsidR="00EE4FC3">
        <w:t xml:space="preserve"> </w:t>
      </w:r>
      <w:r w:rsidRPr="00382917">
        <w:t>had</w:t>
      </w:r>
      <w:r w:rsidR="00EE4FC3">
        <w:t xml:space="preserve"> </w:t>
      </w:r>
      <w:r w:rsidRPr="00382917">
        <w:t>been</w:t>
      </w:r>
      <w:r w:rsidR="00EE4FC3">
        <w:t xml:space="preserve"> </w:t>
      </w:r>
      <w:r w:rsidRPr="00382917">
        <w:t>guilty</w:t>
      </w:r>
      <w:r w:rsidR="00EE4FC3">
        <w:t xml:space="preserve"> </w:t>
      </w:r>
      <w:r w:rsidRPr="00382917">
        <w:t>of</w:t>
      </w:r>
      <w:r w:rsidR="00EE4FC3">
        <w:t xml:space="preserve"> </w:t>
      </w:r>
      <w:r w:rsidRPr="00382917">
        <w:t>was</w:t>
      </w:r>
      <w:r w:rsidR="00EE4FC3">
        <w:t xml:space="preserve"> </w:t>
      </w:r>
      <w:r w:rsidRPr="00382917">
        <w:t>a</w:t>
      </w:r>
      <w:r w:rsidR="00EE4FC3">
        <w:t xml:space="preserve"> </w:t>
      </w:r>
      <w:r w:rsidRPr="00382917">
        <w:t>crime</w:t>
      </w:r>
      <w:r w:rsidR="00EE4FC3">
        <w:t xml:space="preserve"> </w:t>
      </w:r>
      <w:r w:rsidRPr="00382917">
        <w:t>which</w:t>
      </w:r>
      <w:r w:rsidR="00EE4FC3">
        <w:t xml:space="preserve"> </w:t>
      </w:r>
      <w:r w:rsidRPr="00382917">
        <w:t>Almighty</w:t>
      </w:r>
      <w:r w:rsidR="00EE4FC3">
        <w:t xml:space="preserve"> </w:t>
      </w:r>
      <w:r w:rsidRPr="00382917">
        <w:t>God</w:t>
      </w:r>
      <w:r w:rsidR="00EE4FC3">
        <w:t xml:space="preserve"> </w:t>
      </w:r>
      <w:r w:rsidRPr="00382917">
        <w:t>would</w:t>
      </w:r>
      <w:r w:rsidR="00EE4FC3">
        <w:t xml:space="preserve"> </w:t>
      </w:r>
      <w:r w:rsidRPr="00382917">
        <w:t>not</w:t>
      </w:r>
      <w:r w:rsidR="00EE4FC3">
        <w:t xml:space="preserve"> </w:t>
      </w:r>
      <w:r w:rsidRPr="00382917">
        <w:t>be</w:t>
      </w:r>
      <w:r w:rsidR="00EE4FC3">
        <w:t xml:space="preserve"> </w:t>
      </w:r>
      <w:r w:rsidRPr="00382917">
        <w:t>satisfied</w:t>
      </w:r>
      <w:r w:rsidR="00EE4FC3">
        <w:t xml:space="preserve"> </w:t>
      </w:r>
      <w:r w:rsidRPr="00382917">
        <w:t>with</w:t>
      </w:r>
      <w:r w:rsidR="00EE4FC3">
        <w:t xml:space="preserve"> </w:t>
      </w:r>
      <w:r w:rsidRPr="00382917">
        <w:t>punishing</w:t>
      </w:r>
      <w:r w:rsidR="00EE4FC3">
        <w:t xml:space="preserve"> </w:t>
      </w:r>
      <w:r w:rsidRPr="00382917">
        <w:t>in</w:t>
      </w:r>
      <w:r w:rsidR="00EE4FC3">
        <w:t xml:space="preserve"> </w:t>
      </w:r>
      <w:r w:rsidRPr="00382917">
        <w:t>an</w:t>
      </w:r>
      <w:r w:rsidR="00EE4FC3">
        <w:t xml:space="preserve"> </w:t>
      </w:r>
      <w:r w:rsidRPr="00382917">
        <w:t>ordinary</w:t>
      </w:r>
      <w:r w:rsidR="00EE4FC3">
        <w:t xml:space="preserve"> </w:t>
      </w:r>
      <w:r w:rsidRPr="00382917">
        <w:t>way</w:t>
      </w:r>
      <w:r w:rsidR="00330AF7">
        <w:t>.</w:t>
      </w:r>
      <w:r w:rsidR="00EE4FC3">
        <w:t xml:space="preserve">  </w:t>
      </w:r>
      <w:r w:rsidRPr="00382917">
        <w:t>God</w:t>
      </w:r>
      <w:r w:rsidR="00EE4FC3">
        <w:t xml:space="preserve"> </w:t>
      </w:r>
      <w:r w:rsidRPr="00382917">
        <w:t>would</w:t>
      </w:r>
      <w:r w:rsidR="00EE4FC3">
        <w:t xml:space="preserve"> </w:t>
      </w:r>
      <w:r w:rsidRPr="00382917">
        <w:t>demand,</w:t>
      </w:r>
      <w:r w:rsidR="00EE4FC3">
        <w:t xml:space="preserve"> </w:t>
      </w:r>
      <w:r w:rsidRPr="00382917">
        <w:t>they</w:t>
      </w:r>
      <w:r w:rsidR="00EE4FC3">
        <w:t xml:space="preserve"> </w:t>
      </w:r>
      <w:r w:rsidRPr="00382917">
        <w:t>told</w:t>
      </w:r>
      <w:r w:rsidR="00EE4FC3">
        <w:t xml:space="preserve"> </w:t>
      </w:r>
      <w:r w:rsidRPr="00382917">
        <w:t>him,</w:t>
      </w:r>
      <w:r w:rsidR="00EE4FC3">
        <w:t xml:space="preserve"> </w:t>
      </w:r>
      <w:r w:rsidRPr="00382917">
        <w:t>a</w:t>
      </w:r>
      <w:r w:rsidR="00EE4FC3">
        <w:t xml:space="preserve"> </w:t>
      </w:r>
      <w:r w:rsidRPr="00382917">
        <w:t>more</w:t>
      </w:r>
      <w:r w:rsidR="00EE4FC3">
        <w:t xml:space="preserve"> </w:t>
      </w:r>
      <w:r w:rsidRPr="00382917">
        <w:t>impressive</w:t>
      </w:r>
      <w:r w:rsidR="00EE4FC3">
        <w:t xml:space="preserve"> </w:t>
      </w:r>
      <w:r w:rsidRPr="00382917">
        <w:t>and</w:t>
      </w:r>
      <w:r w:rsidR="00EE4FC3">
        <w:t xml:space="preserve"> </w:t>
      </w:r>
      <w:r w:rsidRPr="00382917">
        <w:t>striking</w:t>
      </w:r>
      <w:r w:rsidR="00EE4FC3">
        <w:t xml:space="preserve"> </w:t>
      </w:r>
      <w:r w:rsidRPr="00382917">
        <w:t>retribution</w:t>
      </w:r>
      <w:r w:rsidR="00EE4FC3">
        <w:t xml:space="preserve"> </w:t>
      </w:r>
      <w:r w:rsidRPr="00382917">
        <w:t>for</w:t>
      </w:r>
      <w:r w:rsidR="00EE4FC3">
        <w:t xml:space="preserve"> </w:t>
      </w:r>
      <w:r w:rsidRPr="00382917">
        <w:t>the</w:t>
      </w:r>
      <w:r w:rsidR="00EE4FC3">
        <w:t xml:space="preserve"> </w:t>
      </w:r>
      <w:r w:rsidRPr="00382917">
        <w:t>slayer</w:t>
      </w:r>
      <w:r w:rsidR="00EE4FC3">
        <w:t xml:space="preserve"> </w:t>
      </w:r>
      <w:r w:rsidRPr="00382917">
        <w:t>of</w:t>
      </w:r>
      <w:r w:rsidR="00EE4FC3">
        <w:t xml:space="preserve"> </w:t>
      </w:r>
      <w:r w:rsidRPr="00382917">
        <w:t>a</w:t>
      </w:r>
      <w:r w:rsidR="00EE4FC3">
        <w:t xml:space="preserve"> </w:t>
      </w:r>
      <w:r w:rsidRPr="00382917">
        <w:t>Prophet</w:t>
      </w:r>
      <w:r w:rsidR="00EE4FC3">
        <w:t xml:space="preserve"> </w:t>
      </w:r>
      <w:r w:rsidRPr="00382917">
        <w:t>and</w:t>
      </w:r>
      <w:r w:rsidR="00EE4FC3">
        <w:t xml:space="preserve"> </w:t>
      </w:r>
      <w:r w:rsidRPr="00382917">
        <w:t>the</w:t>
      </w:r>
      <w:r w:rsidR="00EE4FC3">
        <w:t xml:space="preserve"> </w:t>
      </w:r>
      <w:r w:rsidRPr="00382917">
        <w:t>persecutor</w:t>
      </w:r>
      <w:r w:rsidR="00EE4FC3">
        <w:t xml:space="preserve"> </w:t>
      </w:r>
      <w:r w:rsidRPr="00382917">
        <w:t>of</w:t>
      </w:r>
      <w:r w:rsidR="00EE4FC3">
        <w:t xml:space="preserve"> </w:t>
      </w:r>
      <w:r w:rsidRPr="00382917">
        <w:t>His</w:t>
      </w:r>
      <w:r w:rsidR="00EE4FC3">
        <w:t xml:space="preserve"> </w:t>
      </w:r>
      <w:r w:rsidRPr="00382917">
        <w:t>people</w:t>
      </w:r>
      <w:r w:rsidR="00330AF7">
        <w:t>.</w:t>
      </w:r>
      <w:r w:rsidR="00EE4FC3">
        <w:t xml:space="preserve">  </w:t>
      </w:r>
      <w:r w:rsidRPr="00382917">
        <w:t>They</w:t>
      </w:r>
      <w:r w:rsidR="00EE4FC3">
        <w:t xml:space="preserve"> </w:t>
      </w:r>
      <w:r w:rsidRPr="00382917">
        <w:t>prophesied</w:t>
      </w:r>
      <w:r w:rsidR="00EE4FC3">
        <w:t xml:space="preserve"> </w:t>
      </w:r>
      <w:r w:rsidRPr="00382917">
        <w:t>that</w:t>
      </w:r>
      <w:r w:rsidR="00EE4FC3">
        <w:t xml:space="preserve"> </w:t>
      </w:r>
      <w:r w:rsidRPr="00382917">
        <w:t>the</w:t>
      </w:r>
      <w:r w:rsidR="00EE4FC3">
        <w:t xml:space="preserve"> </w:t>
      </w:r>
      <w:r w:rsidRPr="00382917">
        <w:t>Prime</w:t>
      </w:r>
      <w:r w:rsidR="00EE4FC3">
        <w:t xml:space="preserve"> </w:t>
      </w:r>
      <w:r w:rsidRPr="00382917">
        <w:t>Minister,</w:t>
      </w:r>
      <w:r w:rsidR="00EE4FC3">
        <w:t xml:space="preserve"> </w:t>
      </w:r>
      <w:r w:rsidRPr="00382917">
        <w:t>himself,</w:t>
      </w:r>
      <w:r w:rsidR="00EE4FC3">
        <w:t xml:space="preserve"> </w:t>
      </w:r>
      <w:r w:rsidRPr="00382917">
        <w:t>would</w:t>
      </w:r>
      <w:r w:rsidR="00EE4FC3">
        <w:t xml:space="preserve"> </w:t>
      </w:r>
      <w:r w:rsidRPr="00382917">
        <w:t>very</w:t>
      </w:r>
      <w:r w:rsidR="00EE4FC3">
        <w:t xml:space="preserve"> </w:t>
      </w:r>
      <w:r w:rsidRPr="00382917">
        <w:t>soon</w:t>
      </w:r>
      <w:r w:rsidR="00EE4FC3">
        <w:t xml:space="preserve"> </w:t>
      </w:r>
      <w:r w:rsidRPr="00382917">
        <w:t>suffer</w:t>
      </w:r>
      <w:r w:rsidR="00EE4FC3">
        <w:t xml:space="preserve"> </w:t>
      </w:r>
      <w:r w:rsidRPr="00382917">
        <w:t>the</w:t>
      </w:r>
      <w:r w:rsidR="00EE4FC3">
        <w:t xml:space="preserve"> </w:t>
      </w:r>
      <w:r w:rsidRPr="00382917">
        <w:t>very</w:t>
      </w:r>
      <w:r w:rsidR="00EE4FC3">
        <w:t xml:space="preserve"> </w:t>
      </w:r>
      <w:r w:rsidRPr="00382917">
        <w:t>same</w:t>
      </w:r>
      <w:r w:rsidR="00EE4FC3">
        <w:t xml:space="preserve"> </w:t>
      </w:r>
      <w:r w:rsidRPr="00382917">
        <w:t>death</w:t>
      </w:r>
      <w:r w:rsidR="00EE4FC3">
        <w:t xml:space="preserve"> </w:t>
      </w:r>
      <w:r w:rsidRPr="00382917">
        <w:t>which</w:t>
      </w:r>
      <w:r w:rsidR="00EE4FC3">
        <w:t xml:space="preserve"> </w:t>
      </w:r>
      <w:r w:rsidRPr="00382917">
        <w:t>he,</w:t>
      </w:r>
      <w:r w:rsidR="00EE4FC3">
        <w:t xml:space="preserve"> </w:t>
      </w:r>
      <w:r w:rsidRPr="00382917">
        <w:t>in</w:t>
      </w:r>
      <w:r w:rsidR="00EE4FC3">
        <w:t xml:space="preserve"> </w:t>
      </w:r>
      <w:r w:rsidRPr="00382917">
        <w:t>his</w:t>
      </w:r>
      <w:r w:rsidR="00EE4FC3">
        <w:t xml:space="preserve"> </w:t>
      </w:r>
      <w:r w:rsidRPr="00382917">
        <w:t>hatred,</w:t>
      </w:r>
      <w:r w:rsidR="00EE4FC3">
        <w:t xml:space="preserve"> </w:t>
      </w:r>
      <w:r w:rsidRPr="00382917">
        <w:t>was</w:t>
      </w:r>
      <w:r w:rsidR="00EE4FC3">
        <w:t xml:space="preserve"> </w:t>
      </w:r>
      <w:r w:rsidRPr="00382917">
        <w:t>now</w:t>
      </w:r>
      <w:r w:rsidR="00EE4FC3">
        <w:t xml:space="preserve"> </w:t>
      </w:r>
      <w:r w:rsidRPr="00382917">
        <w:t>inflicting</w:t>
      </w:r>
      <w:r w:rsidR="00EE4FC3">
        <w:t xml:space="preserve"> </w:t>
      </w:r>
      <w:r w:rsidRPr="00382917">
        <w:t>upon</w:t>
      </w:r>
      <w:r w:rsidR="00EE4FC3">
        <w:t xml:space="preserve"> </w:t>
      </w:r>
      <w:r w:rsidRPr="00382917">
        <w:t>them.</w:t>
      </w:r>
    </w:p>
    <w:p w:rsidR="001B6670" w:rsidRPr="00382917" w:rsidRDefault="001B6670" w:rsidP="000D2EB0">
      <w:pPr>
        <w:pStyle w:val="Text"/>
      </w:pPr>
      <w:proofErr w:type="spellStart"/>
      <w:r w:rsidRPr="00382917">
        <w:t>Gobineau</w:t>
      </w:r>
      <w:proofErr w:type="spellEnd"/>
      <w:r w:rsidR="00EE4FC3">
        <w:t xml:space="preserve"> </w:t>
      </w:r>
      <w:r w:rsidRPr="00382917">
        <w:t>in</w:t>
      </w:r>
      <w:r w:rsidR="00EE4FC3">
        <w:t xml:space="preserve"> </w:t>
      </w:r>
      <w:r w:rsidRPr="00382917">
        <w:t>his</w:t>
      </w:r>
      <w:r w:rsidR="00EE4FC3">
        <w:t xml:space="preserve"> </w:t>
      </w:r>
      <w:r w:rsidRPr="00382917">
        <w:t>history</w:t>
      </w:r>
      <w:r w:rsidR="00EE4FC3">
        <w:t xml:space="preserve"> </w:t>
      </w:r>
      <w:r w:rsidRPr="00382917">
        <w:t>says,</w:t>
      </w:r>
      <w:r w:rsidR="00EE4FC3">
        <w:t xml:space="preserve"> </w:t>
      </w:r>
      <w:r w:rsidR="009C713D" w:rsidRPr="00382917">
        <w:t>“</w:t>
      </w:r>
      <w:r w:rsidRPr="00382917">
        <w:t>The</w:t>
      </w:r>
      <w:r w:rsidR="00EE4FC3">
        <w:t xml:space="preserve"> </w:t>
      </w:r>
      <w:r w:rsidRPr="00382917">
        <w:t>only</w:t>
      </w:r>
      <w:r w:rsidR="00EE4FC3">
        <w:t xml:space="preserve"> </w:t>
      </w:r>
      <w:r w:rsidRPr="00382917">
        <w:t>thing</w:t>
      </w:r>
      <w:r w:rsidR="00EE4FC3">
        <w:t xml:space="preserve"> </w:t>
      </w:r>
      <w:r w:rsidRPr="00382917">
        <w:t>I</w:t>
      </w:r>
      <w:r w:rsidR="00EE4FC3">
        <w:t xml:space="preserve"> </w:t>
      </w:r>
      <w:r w:rsidRPr="00382917">
        <w:t>can</w:t>
      </w:r>
      <w:r w:rsidR="00EE4FC3">
        <w:t xml:space="preserve"> </w:t>
      </w:r>
      <w:r w:rsidRPr="00382917">
        <w:t>affirm</w:t>
      </w:r>
      <w:r w:rsidR="00EE4FC3">
        <w:t xml:space="preserve"> </w:t>
      </w:r>
      <w:r w:rsidR="00F04416" w:rsidRPr="00382917">
        <w:t>…</w:t>
      </w:r>
      <w:r w:rsidR="00EE4FC3">
        <w:t xml:space="preserve"> </w:t>
      </w:r>
      <w:r w:rsidRPr="00382917">
        <w:t>is</w:t>
      </w:r>
      <w:r w:rsidR="00EE4FC3">
        <w:t xml:space="preserve"> </w:t>
      </w:r>
      <w:r w:rsidRPr="00382917">
        <w:t>that</w:t>
      </w:r>
      <w:r w:rsidR="00EE4FC3">
        <w:t xml:space="preserve"> </w:t>
      </w:r>
      <w:r w:rsidRPr="00382917">
        <w:t>I</w:t>
      </w:r>
      <w:r w:rsidR="00EE4FC3">
        <w:t xml:space="preserve"> </w:t>
      </w:r>
      <w:r w:rsidRPr="00382917">
        <w:t>was</w:t>
      </w:r>
      <w:r w:rsidR="00EE4FC3">
        <w:t xml:space="preserve"> </w:t>
      </w:r>
      <w:r w:rsidRPr="00382917">
        <w:t>given</w:t>
      </w:r>
      <w:r w:rsidR="00EE4FC3">
        <w:t xml:space="preserve"> </w:t>
      </w:r>
      <w:r w:rsidRPr="00382917">
        <w:t>assurance</w:t>
      </w:r>
      <w:r w:rsidR="00EE4FC3">
        <w:t xml:space="preserve"> </w:t>
      </w:r>
      <w:r w:rsidRPr="00382917">
        <w:t>that</w:t>
      </w:r>
      <w:r w:rsidR="00EE4FC3">
        <w:t xml:space="preserve"> </w:t>
      </w:r>
      <w:r w:rsidRPr="00382917">
        <w:t>the</w:t>
      </w:r>
      <w:r w:rsidR="00EE4FC3">
        <w:t xml:space="preserve"> </w:t>
      </w:r>
      <w:r w:rsidRPr="00382917">
        <w:t>prophecy</w:t>
      </w:r>
      <w:r w:rsidR="00EE4FC3">
        <w:t xml:space="preserve"> </w:t>
      </w:r>
      <w:r w:rsidRPr="00382917">
        <w:t>had</w:t>
      </w:r>
      <w:r w:rsidR="00EE4FC3">
        <w:t xml:space="preserve"> </w:t>
      </w:r>
      <w:r w:rsidRPr="00382917">
        <w:t>really</w:t>
      </w:r>
      <w:r w:rsidR="00EE4FC3">
        <w:t xml:space="preserve"> </w:t>
      </w:r>
      <w:r w:rsidRPr="00382917">
        <w:t>been</w:t>
      </w:r>
      <w:r w:rsidR="00EE4FC3">
        <w:t xml:space="preserve"> </w:t>
      </w:r>
      <w:r w:rsidRPr="00382917">
        <w:t>made</w:t>
      </w:r>
      <w:r w:rsidR="00EE4FC3">
        <w:t xml:space="preserve"> </w:t>
      </w:r>
      <w:r w:rsidRPr="00382917">
        <w:t>by</w:t>
      </w:r>
      <w:r w:rsidR="00EE4FC3">
        <w:t xml:space="preserve"> </w:t>
      </w:r>
      <w:r w:rsidRPr="00382917">
        <w:t>the</w:t>
      </w:r>
      <w:r w:rsidR="00EE4FC3">
        <w:t xml:space="preserve"> </w:t>
      </w:r>
      <w:r w:rsidRPr="00382917">
        <w:t>martyrs</w:t>
      </w:r>
      <w:r w:rsidR="00EE4FC3">
        <w:t xml:space="preserve"> </w:t>
      </w:r>
      <w:r w:rsidRPr="00382917">
        <w:t>of</w:t>
      </w:r>
      <w:r w:rsidR="00EE4FC3">
        <w:t xml:space="preserve"> </w:t>
      </w:r>
      <w:r w:rsidRPr="00382917">
        <w:t>Zanján.</w:t>
      </w:r>
      <w:r w:rsidR="009C713D" w:rsidRPr="00382917">
        <w:t>”</w:t>
      </w:r>
      <w:r w:rsidR="000D2EB0">
        <w:rPr>
          <w:rStyle w:val="FootnoteReference"/>
        </w:rPr>
        <w:footnoteReference w:id="265"/>
      </w:r>
    </w:p>
    <w:p w:rsidR="001B6670" w:rsidRPr="00382917" w:rsidRDefault="001B6670" w:rsidP="00775809">
      <w:pPr>
        <w:pStyle w:val="Text"/>
      </w:pPr>
      <w:r w:rsidRPr="00382917">
        <w:t>It</w:t>
      </w:r>
      <w:r w:rsidR="00EE4FC3">
        <w:t xml:space="preserve"> </w:t>
      </w:r>
      <w:r w:rsidRPr="00382917">
        <w:t>happened</w:t>
      </w:r>
      <w:r w:rsidR="00EE4FC3">
        <w:t xml:space="preserve"> </w:t>
      </w:r>
      <w:r w:rsidRPr="00382917">
        <w:t>precisely</w:t>
      </w:r>
      <w:r w:rsidR="00EE4FC3">
        <w:t xml:space="preserve"> </w:t>
      </w:r>
      <w:r w:rsidRPr="00382917">
        <w:t>as</w:t>
      </w:r>
      <w:r w:rsidR="00EE4FC3">
        <w:t xml:space="preserve"> </w:t>
      </w:r>
      <w:r w:rsidRPr="00382917">
        <w:t>those</w:t>
      </w:r>
      <w:r w:rsidR="00EE4FC3">
        <w:t xml:space="preserve"> </w:t>
      </w:r>
      <w:r w:rsidRPr="00382917">
        <w:t>victims</w:t>
      </w:r>
      <w:r w:rsidR="00EE4FC3">
        <w:t xml:space="preserve"> </w:t>
      </w:r>
      <w:r w:rsidRPr="00382917">
        <w:t>had</w:t>
      </w:r>
      <w:r w:rsidR="00EE4FC3">
        <w:t xml:space="preserve"> </w:t>
      </w:r>
      <w:r w:rsidRPr="00382917">
        <w:t>foretold</w:t>
      </w:r>
      <w:r w:rsidR="00330AF7">
        <w:t>.</w:t>
      </w:r>
      <w:r w:rsidR="00EE4FC3">
        <w:t xml:space="preserve">  </w:t>
      </w:r>
      <w:r w:rsidRPr="00382917">
        <w:t>Mírzá</w:t>
      </w:r>
      <w:r w:rsidR="00EE4FC3">
        <w:t xml:space="preserve"> </w:t>
      </w:r>
      <w:r w:rsidRPr="00382917">
        <w:t>Taqí</w:t>
      </w:r>
      <w:r w:rsidR="00EE4FC3">
        <w:t xml:space="preserve"> </w:t>
      </w:r>
      <w:r w:rsidR="0040329F" w:rsidRPr="0040329F">
        <w:rPr>
          <w:u w:val="single"/>
        </w:rPr>
        <w:t>Kh</w:t>
      </w:r>
      <w:r w:rsidR="0040329F" w:rsidRPr="00382917">
        <w:t>án</w:t>
      </w:r>
      <w:r w:rsidR="00EE4FC3">
        <w:t xml:space="preserve"> </w:t>
      </w:r>
      <w:r w:rsidRPr="00382917">
        <w:t>fell</w:t>
      </w:r>
      <w:r w:rsidR="00EE4FC3">
        <w:t xml:space="preserve"> </w:t>
      </w:r>
      <w:r w:rsidRPr="00382917">
        <w:t>from</w:t>
      </w:r>
      <w:r w:rsidR="00EE4FC3">
        <w:t xml:space="preserve"> </w:t>
      </w:r>
      <w:r w:rsidRPr="00382917">
        <w:t>the</w:t>
      </w:r>
      <w:r w:rsidR="00EE4FC3">
        <w:t xml:space="preserve"> </w:t>
      </w:r>
      <w:proofErr w:type="spellStart"/>
      <w:r w:rsidRPr="00382917">
        <w:t>favor</w:t>
      </w:r>
      <w:proofErr w:type="spellEnd"/>
      <w:r w:rsidR="00EE4FC3">
        <w:t xml:space="preserve"> </w:t>
      </w:r>
      <w:r w:rsidRPr="00382917">
        <w:t>of</w:t>
      </w:r>
      <w:r w:rsidR="00EE4FC3">
        <w:t xml:space="preserve"> </w:t>
      </w:r>
      <w:r w:rsidRPr="00382917">
        <w:t>the</w:t>
      </w:r>
      <w:r w:rsidR="00EE4FC3">
        <w:t xml:space="preserve"> </w:t>
      </w:r>
      <w:r w:rsidRPr="00382917">
        <w:t>king</w:t>
      </w:r>
      <w:r w:rsidR="00330AF7">
        <w:t>.</w:t>
      </w:r>
      <w:r w:rsidR="00EE4FC3">
        <w:t xml:space="preserve">  </w:t>
      </w:r>
      <w:r w:rsidRPr="00382917">
        <w:t>Court</w:t>
      </w:r>
      <w:r w:rsidR="00EE4FC3">
        <w:t xml:space="preserve"> </w:t>
      </w:r>
      <w:r w:rsidRPr="00382917">
        <w:t>intrigue</w:t>
      </w:r>
      <w:r w:rsidR="00EE4FC3">
        <w:t xml:space="preserve"> </w:t>
      </w:r>
      <w:r w:rsidRPr="00382917">
        <w:t>and</w:t>
      </w:r>
      <w:r w:rsidR="00EE4FC3">
        <w:t xml:space="preserve"> </w:t>
      </w:r>
      <w:r w:rsidRPr="00382917">
        <w:t>greed</w:t>
      </w:r>
    </w:p>
    <w:p w:rsidR="00775809" w:rsidRPr="00382917" w:rsidRDefault="00775809">
      <w:pPr>
        <w:widowControl/>
        <w:kinsoku/>
        <w:overflowPunct/>
        <w:textAlignment w:val="auto"/>
      </w:pPr>
      <w:r w:rsidRPr="00382917">
        <w:br w:type="page"/>
      </w:r>
    </w:p>
    <w:p w:rsidR="00E13D49" w:rsidRPr="00382917" w:rsidRDefault="001B6670" w:rsidP="008E7A6E">
      <w:pPr>
        <w:pStyle w:val="Textcts"/>
      </w:pPr>
      <w:proofErr w:type="gramStart"/>
      <w:r w:rsidRPr="00382917">
        <w:t>combined</w:t>
      </w:r>
      <w:proofErr w:type="gramEnd"/>
      <w:r w:rsidR="00EE4FC3">
        <w:t xml:space="preserve"> </w:t>
      </w:r>
      <w:r w:rsidRPr="00382917">
        <w:t>to</w:t>
      </w:r>
      <w:r w:rsidR="00EE4FC3">
        <w:t xml:space="preserve"> </w:t>
      </w:r>
      <w:r w:rsidRPr="00382917">
        <w:t>complete</w:t>
      </w:r>
      <w:r w:rsidR="00EE4FC3">
        <w:t xml:space="preserve"> </w:t>
      </w:r>
      <w:r w:rsidRPr="00382917">
        <w:t>his</w:t>
      </w:r>
      <w:r w:rsidR="00EE4FC3">
        <w:t xml:space="preserve"> </w:t>
      </w:r>
      <w:r w:rsidRPr="00382917">
        <w:t>downfall</w:t>
      </w:r>
      <w:r w:rsidR="00330AF7">
        <w:t>.</w:t>
      </w:r>
      <w:r w:rsidR="00EE4FC3">
        <w:t xml:space="preserve">  </w:t>
      </w:r>
      <w:r w:rsidRPr="00382917">
        <w:t>All</w:t>
      </w:r>
      <w:r w:rsidR="00EE4FC3">
        <w:t xml:space="preserve"> </w:t>
      </w:r>
      <w:r w:rsidRPr="00382917">
        <w:t>the</w:t>
      </w:r>
      <w:r w:rsidR="00EE4FC3">
        <w:t xml:space="preserve"> </w:t>
      </w:r>
      <w:proofErr w:type="spellStart"/>
      <w:r w:rsidRPr="00382917">
        <w:t>honors</w:t>
      </w:r>
      <w:proofErr w:type="spellEnd"/>
      <w:r w:rsidR="00EE4FC3">
        <w:t xml:space="preserve"> </w:t>
      </w:r>
      <w:r w:rsidRPr="00382917">
        <w:t>he</w:t>
      </w:r>
      <w:r w:rsidR="00EE4FC3">
        <w:t xml:space="preserve"> </w:t>
      </w:r>
      <w:r w:rsidRPr="00382917">
        <w:t>had</w:t>
      </w:r>
      <w:r w:rsidR="00EE4FC3">
        <w:t xml:space="preserve"> </w:t>
      </w:r>
      <w:r w:rsidRPr="00382917">
        <w:t>enjoyed</w:t>
      </w:r>
      <w:r w:rsidR="00EE4FC3">
        <w:t xml:space="preserve"> </w:t>
      </w:r>
      <w:r w:rsidRPr="00382917">
        <w:t>were</w:t>
      </w:r>
      <w:r w:rsidR="00EE4FC3">
        <w:t xml:space="preserve"> </w:t>
      </w:r>
      <w:r w:rsidRPr="00382917">
        <w:t>stripped</w:t>
      </w:r>
      <w:r w:rsidR="00EE4FC3">
        <w:t xml:space="preserve"> </w:t>
      </w:r>
      <w:r w:rsidRPr="00382917">
        <w:t>from</w:t>
      </w:r>
      <w:r w:rsidR="00EE4FC3">
        <w:t xml:space="preserve"> </w:t>
      </w:r>
      <w:r w:rsidRPr="00382917">
        <w:t>him</w:t>
      </w:r>
      <w:r w:rsidR="00330AF7">
        <w:t>.</w:t>
      </w:r>
      <w:r w:rsidR="00EE4FC3">
        <w:t xml:space="preserve">  </w:t>
      </w:r>
      <w:r w:rsidRPr="00382917">
        <w:t>He</w:t>
      </w:r>
      <w:r w:rsidR="00EE4FC3">
        <w:t xml:space="preserve"> </w:t>
      </w:r>
      <w:r w:rsidRPr="00382917">
        <w:t>had</w:t>
      </w:r>
      <w:r w:rsidR="00EE4FC3">
        <w:t xml:space="preserve"> </w:t>
      </w:r>
      <w:r w:rsidRPr="00382917">
        <w:t>to</w:t>
      </w:r>
      <w:r w:rsidR="00EE4FC3">
        <w:t xml:space="preserve"> </w:t>
      </w:r>
      <w:r w:rsidRPr="00382917">
        <w:t>flee</w:t>
      </w:r>
      <w:r w:rsidR="00EE4FC3">
        <w:t xml:space="preserve"> </w:t>
      </w:r>
      <w:r w:rsidRPr="00382917">
        <w:t>in</w:t>
      </w:r>
      <w:r w:rsidR="00EE4FC3">
        <w:t xml:space="preserve"> </w:t>
      </w:r>
      <w:r w:rsidRPr="00382917">
        <w:t>disgrace</w:t>
      </w:r>
      <w:r w:rsidR="00EE4FC3">
        <w:t xml:space="preserve"> </w:t>
      </w:r>
      <w:r w:rsidRPr="00382917">
        <w:t>from</w:t>
      </w:r>
      <w:r w:rsidR="00EE4FC3">
        <w:t xml:space="preserve"> </w:t>
      </w:r>
      <w:r w:rsidRPr="00382917">
        <w:t>the</w:t>
      </w:r>
      <w:r w:rsidR="00EE4FC3">
        <w:t xml:space="preserve"> </w:t>
      </w:r>
      <w:r w:rsidRPr="00382917">
        <w:t>capital</w:t>
      </w:r>
      <w:r w:rsidR="00330AF7">
        <w:t>.</w:t>
      </w:r>
      <w:r w:rsidR="00EE4FC3">
        <w:t xml:space="preserve">  </w:t>
      </w:r>
      <w:r w:rsidRPr="00382917">
        <w:t>Wherever</w:t>
      </w:r>
      <w:r w:rsidR="00EE4FC3">
        <w:t xml:space="preserve"> </w:t>
      </w:r>
      <w:r w:rsidRPr="00382917">
        <w:t>he</w:t>
      </w:r>
      <w:r w:rsidR="00EE4FC3">
        <w:t xml:space="preserve"> </w:t>
      </w:r>
      <w:r w:rsidRPr="00382917">
        <w:t>went</w:t>
      </w:r>
      <w:r w:rsidR="00EE4FC3">
        <w:t xml:space="preserve"> </w:t>
      </w:r>
      <w:r w:rsidRPr="00382917">
        <w:t>he</w:t>
      </w:r>
      <w:r w:rsidR="00EE4FC3">
        <w:t xml:space="preserve"> </w:t>
      </w:r>
      <w:r w:rsidRPr="00382917">
        <w:t>was</w:t>
      </w:r>
      <w:r w:rsidR="00EE4FC3">
        <w:t xml:space="preserve"> </w:t>
      </w:r>
      <w:r w:rsidRPr="00382917">
        <w:t>pursued</w:t>
      </w:r>
      <w:r w:rsidR="00EE4FC3">
        <w:t xml:space="preserve"> </w:t>
      </w:r>
      <w:r w:rsidRPr="00382917">
        <w:t>by</w:t>
      </w:r>
      <w:r w:rsidR="00EE4FC3">
        <w:t xml:space="preserve"> </w:t>
      </w:r>
      <w:r w:rsidRPr="00382917">
        <w:t>royal</w:t>
      </w:r>
      <w:r w:rsidR="00EE4FC3">
        <w:t xml:space="preserve"> </w:t>
      </w:r>
      <w:r w:rsidRPr="00382917">
        <w:t>hatred</w:t>
      </w:r>
      <w:r w:rsidR="00330AF7">
        <w:t>.</w:t>
      </w:r>
      <w:r w:rsidR="00EE4FC3">
        <w:t xml:space="preserve">  </w:t>
      </w:r>
      <w:r w:rsidRPr="00382917">
        <w:t>Finally</w:t>
      </w:r>
      <w:r w:rsidR="00EE4FC3">
        <w:t xml:space="preserve"> </w:t>
      </w:r>
      <w:r w:rsidRPr="00382917">
        <w:t>the</w:t>
      </w:r>
      <w:r w:rsidR="00EE4FC3">
        <w:t xml:space="preserve"> </w:t>
      </w:r>
      <w:r w:rsidRPr="00382917">
        <w:t>hand</w:t>
      </w:r>
      <w:r w:rsidR="00EE4FC3">
        <w:t xml:space="preserve"> </w:t>
      </w:r>
      <w:r w:rsidRPr="00382917">
        <w:t>of</w:t>
      </w:r>
      <w:r w:rsidR="00EE4FC3">
        <w:t xml:space="preserve"> </w:t>
      </w:r>
      <w:r w:rsidRPr="00382917">
        <w:t>revenge</w:t>
      </w:r>
      <w:r w:rsidR="00EE4FC3">
        <w:t xml:space="preserve"> </w:t>
      </w:r>
      <w:r w:rsidRPr="00382917">
        <w:t>caught</w:t>
      </w:r>
      <w:r w:rsidR="00EE4FC3">
        <w:t xml:space="preserve"> </w:t>
      </w:r>
      <w:r w:rsidRPr="00382917">
        <w:t>up</w:t>
      </w:r>
      <w:r w:rsidR="00EE4FC3">
        <w:t xml:space="preserve"> </w:t>
      </w:r>
      <w:r w:rsidRPr="00382917">
        <w:t>with</w:t>
      </w:r>
      <w:r w:rsidR="00EE4FC3">
        <w:t xml:space="preserve"> </w:t>
      </w:r>
      <w:r w:rsidRPr="00382917">
        <w:t>him</w:t>
      </w:r>
      <w:r w:rsidR="00330AF7">
        <w:t>.</w:t>
      </w:r>
      <w:r w:rsidR="00EE4FC3">
        <w:t xml:space="preserve">  </w:t>
      </w:r>
      <w:r w:rsidRPr="00382917">
        <w:t>The</w:t>
      </w:r>
      <w:r w:rsidR="00EE4FC3">
        <w:t xml:space="preserve"> </w:t>
      </w:r>
      <w:r w:rsidRPr="00382917">
        <w:t>former</w:t>
      </w:r>
      <w:r w:rsidR="00EE4FC3">
        <w:t xml:space="preserve"> </w:t>
      </w:r>
      <w:r w:rsidRPr="00382917">
        <w:t>Prime</w:t>
      </w:r>
      <w:r w:rsidR="00EE4FC3">
        <w:t xml:space="preserve"> </w:t>
      </w:r>
      <w:r w:rsidRPr="00382917">
        <w:t>Minister</w:t>
      </w:r>
      <w:r w:rsidR="009C713D" w:rsidRPr="00382917">
        <w:t>’</w:t>
      </w:r>
      <w:r w:rsidRPr="00382917">
        <w:t>s</w:t>
      </w:r>
      <w:r w:rsidR="00EE4FC3">
        <w:t xml:space="preserve"> </w:t>
      </w:r>
      <w:r w:rsidRPr="00382917">
        <w:t>veins</w:t>
      </w:r>
      <w:r w:rsidR="00EE4FC3">
        <w:t xml:space="preserve"> </w:t>
      </w:r>
      <w:r w:rsidRPr="00382917">
        <w:t>were</w:t>
      </w:r>
      <w:r w:rsidR="00EE4FC3">
        <w:t xml:space="preserve"> </w:t>
      </w:r>
      <w:r w:rsidRPr="00382917">
        <w:t>slashed</w:t>
      </w:r>
      <w:r w:rsidR="00EE4FC3">
        <w:t xml:space="preserve"> </w:t>
      </w:r>
      <w:r w:rsidRPr="00382917">
        <w:t>open</w:t>
      </w:r>
      <w:r w:rsidR="00330AF7">
        <w:t>.</w:t>
      </w:r>
      <w:r w:rsidR="00EE4FC3">
        <w:t xml:space="preserve">  </w:t>
      </w:r>
      <w:r w:rsidRPr="00382917">
        <w:t>His</w:t>
      </w:r>
      <w:r w:rsidR="00EE4FC3">
        <w:t xml:space="preserve"> </w:t>
      </w:r>
      <w:r w:rsidRPr="00382917">
        <w:t>blood</w:t>
      </w:r>
      <w:r w:rsidR="00EE4FC3">
        <w:t xml:space="preserve"> </w:t>
      </w:r>
      <w:r w:rsidRPr="00382917">
        <w:t>stains</w:t>
      </w:r>
      <w:r w:rsidR="00EE4FC3">
        <w:t xml:space="preserve"> </w:t>
      </w:r>
      <w:r w:rsidRPr="00382917">
        <w:t>the</w:t>
      </w:r>
      <w:r w:rsidR="00EE4FC3">
        <w:t xml:space="preserve"> </w:t>
      </w:r>
      <w:r w:rsidRPr="00382917">
        <w:t>wall</w:t>
      </w:r>
      <w:r w:rsidR="00EE4FC3">
        <w:t xml:space="preserve"> </w:t>
      </w:r>
      <w:r w:rsidRPr="00382917">
        <w:t>of</w:t>
      </w:r>
      <w:r w:rsidR="00EE4FC3">
        <w:t xml:space="preserve"> </w:t>
      </w:r>
      <w:r w:rsidRPr="00382917">
        <w:t>that</w:t>
      </w:r>
      <w:r w:rsidR="00EE4FC3">
        <w:t xml:space="preserve"> </w:t>
      </w:r>
      <w:r w:rsidRPr="00382917">
        <w:t>bath</w:t>
      </w:r>
      <w:r w:rsidR="00EE4FC3">
        <w:t xml:space="preserve"> </w:t>
      </w:r>
      <w:r w:rsidRPr="00382917">
        <w:t>of</w:t>
      </w:r>
      <w:r w:rsidR="00EE4FC3">
        <w:t xml:space="preserve"> </w:t>
      </w:r>
      <w:r w:rsidRPr="00382917">
        <w:t>the</w:t>
      </w:r>
      <w:r w:rsidR="00EE4FC3">
        <w:t xml:space="preserve"> </w:t>
      </w:r>
      <w:r w:rsidRPr="00382917">
        <w:t>Palace</w:t>
      </w:r>
      <w:r w:rsidR="00EE4FC3">
        <w:t xml:space="preserve"> </w:t>
      </w:r>
      <w:r w:rsidRPr="00382917">
        <w:t>of</w:t>
      </w:r>
      <w:r w:rsidR="00EE4FC3">
        <w:t xml:space="preserve"> </w:t>
      </w:r>
      <w:proofErr w:type="spellStart"/>
      <w:r w:rsidRPr="00382917">
        <w:t>F</w:t>
      </w:r>
      <w:r w:rsidRPr="00382917">
        <w:rPr>
          <w:sz w:val="22"/>
        </w:rPr>
        <w:t>í</w:t>
      </w:r>
      <w:r w:rsidRPr="00382917">
        <w:t>n</w:t>
      </w:r>
      <w:proofErr w:type="spellEnd"/>
      <w:r w:rsidR="00EE4FC3">
        <w:t xml:space="preserve"> </w:t>
      </w:r>
      <w:r w:rsidRPr="00382917">
        <w:t>to</w:t>
      </w:r>
      <w:r w:rsidR="00EE4FC3">
        <w:t xml:space="preserve"> </w:t>
      </w:r>
      <w:r w:rsidRPr="00382917">
        <w:t>this</w:t>
      </w:r>
      <w:r w:rsidR="00EE4FC3">
        <w:t xml:space="preserve"> </w:t>
      </w:r>
      <w:r w:rsidRPr="00382917">
        <w:t>very</w:t>
      </w:r>
      <w:r w:rsidR="00EE4FC3">
        <w:t xml:space="preserve"> </w:t>
      </w:r>
      <w:r w:rsidRPr="00382917">
        <w:t>day,</w:t>
      </w:r>
      <w:r w:rsidR="00EE4FC3">
        <w:t xml:space="preserve"> </w:t>
      </w:r>
      <w:r w:rsidRPr="00382917">
        <w:t>a</w:t>
      </w:r>
      <w:r w:rsidR="00EE4FC3">
        <w:t xml:space="preserve"> </w:t>
      </w:r>
      <w:r w:rsidRPr="00382917">
        <w:t>witness</w:t>
      </w:r>
      <w:r w:rsidR="00EE4FC3">
        <w:t xml:space="preserve"> </w:t>
      </w:r>
      <w:r w:rsidRPr="00382917">
        <w:t>to</w:t>
      </w:r>
      <w:r w:rsidR="00EE4FC3">
        <w:t xml:space="preserve"> </w:t>
      </w:r>
      <w:r w:rsidRPr="00382917">
        <w:t>the</w:t>
      </w:r>
      <w:r w:rsidR="00EE4FC3">
        <w:t xml:space="preserve"> </w:t>
      </w:r>
      <w:r w:rsidRPr="00382917">
        <w:t>atrocities</w:t>
      </w:r>
      <w:r w:rsidR="00EE4FC3">
        <w:t xml:space="preserve"> </w:t>
      </w:r>
      <w:r w:rsidRPr="00382917">
        <w:t>his</w:t>
      </w:r>
      <w:r w:rsidR="00EE4FC3">
        <w:t xml:space="preserve"> </w:t>
      </w:r>
      <w:r w:rsidRPr="00382917">
        <w:t>own</w:t>
      </w:r>
      <w:r w:rsidR="00EE4FC3">
        <w:t xml:space="preserve"> </w:t>
      </w:r>
      <w:r w:rsidRPr="00382917">
        <w:t>hand</w:t>
      </w:r>
      <w:r w:rsidR="00EE4FC3">
        <w:t xml:space="preserve"> </w:t>
      </w:r>
      <w:r w:rsidRPr="00382917">
        <w:t>had</w:t>
      </w:r>
      <w:r w:rsidR="00EE4FC3">
        <w:t xml:space="preserve"> </w:t>
      </w:r>
      <w:r w:rsidRPr="00382917">
        <w:t>wrought.</w:t>
      </w:r>
      <w:r w:rsidR="008E7A6E">
        <w:rPr>
          <w:rStyle w:val="FootnoteReference"/>
        </w:rPr>
        <w:footnoteReference w:id="266"/>
      </w:r>
    </w:p>
    <w:p w:rsidR="001B6670" w:rsidRPr="00382917" w:rsidRDefault="001B6670" w:rsidP="00775809">
      <w:pPr>
        <w:pStyle w:val="Text"/>
      </w:pPr>
      <w:r w:rsidRPr="00382917">
        <w:t>The</w:t>
      </w:r>
      <w:r w:rsidR="00EE4FC3">
        <w:t xml:space="preserve"> </w:t>
      </w:r>
      <w:r w:rsidRPr="00382917">
        <w:t>wave</w:t>
      </w:r>
      <w:r w:rsidR="00EE4FC3">
        <w:t xml:space="preserve"> </w:t>
      </w:r>
      <w:r w:rsidRPr="00382917">
        <w:t>of</w:t>
      </w:r>
      <w:r w:rsidR="00EE4FC3">
        <w:t xml:space="preserve"> </w:t>
      </w:r>
      <w:r w:rsidRPr="00382917">
        <w:t>retributive</w:t>
      </w:r>
      <w:r w:rsidR="00EE4FC3">
        <w:t xml:space="preserve"> </w:t>
      </w:r>
      <w:r w:rsidRPr="00382917">
        <w:t>justice</w:t>
      </w:r>
      <w:r w:rsidR="00EE4FC3">
        <w:t xml:space="preserve"> </w:t>
      </w:r>
      <w:r w:rsidRPr="00382917">
        <w:t>was</w:t>
      </w:r>
      <w:r w:rsidR="00EE4FC3">
        <w:t xml:space="preserve"> </w:t>
      </w:r>
      <w:r w:rsidRPr="00382917">
        <w:t>still</w:t>
      </w:r>
      <w:r w:rsidR="00EE4FC3">
        <w:t xml:space="preserve"> </w:t>
      </w:r>
      <w:r w:rsidRPr="00382917">
        <w:t>not</w:t>
      </w:r>
      <w:r w:rsidR="00EE4FC3">
        <w:t xml:space="preserve"> </w:t>
      </w:r>
      <w:r w:rsidRPr="00382917">
        <w:t>at</w:t>
      </w:r>
      <w:r w:rsidR="00EE4FC3">
        <w:t xml:space="preserve"> </w:t>
      </w:r>
      <w:r w:rsidRPr="00382917">
        <w:t>an</w:t>
      </w:r>
      <w:r w:rsidR="00EE4FC3">
        <w:t xml:space="preserve"> </w:t>
      </w:r>
      <w:r w:rsidRPr="00382917">
        <w:t>end</w:t>
      </w:r>
      <w:r w:rsidR="00330AF7">
        <w:t>.</w:t>
      </w:r>
      <w:r w:rsidR="00EE4FC3">
        <w:t xml:space="preserve">  </w:t>
      </w:r>
      <w:r w:rsidRPr="00382917">
        <w:t>Mírzá</w:t>
      </w:r>
      <w:r w:rsidR="00EE4FC3">
        <w:t xml:space="preserve"> </w:t>
      </w:r>
      <w:r w:rsidRPr="00382917">
        <w:rPr>
          <w:sz w:val="22"/>
        </w:rPr>
        <w:t>Ḥ</w:t>
      </w:r>
      <w:r w:rsidRPr="00382917">
        <w:t>asan</w:t>
      </w:r>
      <w:r w:rsidR="00EE4FC3">
        <w:t xml:space="preserve"> </w:t>
      </w:r>
      <w:r w:rsidR="0040329F" w:rsidRPr="0040329F">
        <w:rPr>
          <w:u w:val="single"/>
        </w:rPr>
        <w:t>Kh</w:t>
      </w:r>
      <w:r w:rsidR="0040329F" w:rsidRPr="00382917">
        <w:t>án</w:t>
      </w:r>
      <w:r w:rsidRPr="00382917">
        <w:t>,</w:t>
      </w:r>
      <w:r w:rsidR="00EE4FC3">
        <w:t xml:space="preserve"> </w:t>
      </w:r>
      <w:r w:rsidRPr="00382917">
        <w:t>the</w:t>
      </w:r>
      <w:r w:rsidR="00EE4FC3">
        <w:t xml:space="preserve"> </w:t>
      </w:r>
      <w:r w:rsidRPr="00382917">
        <w:t>Prime</w:t>
      </w:r>
      <w:r w:rsidR="00EE4FC3">
        <w:t xml:space="preserve"> </w:t>
      </w:r>
      <w:r w:rsidRPr="00382917">
        <w:t>Minister</w:t>
      </w:r>
      <w:r w:rsidR="009C713D" w:rsidRPr="00382917">
        <w:t>’</w:t>
      </w:r>
      <w:r w:rsidRPr="00382917">
        <w:t>s</w:t>
      </w:r>
      <w:r w:rsidR="00EE4FC3">
        <w:t xml:space="preserve"> </w:t>
      </w:r>
      <w:r w:rsidRPr="00382917">
        <w:t>brother,</w:t>
      </w:r>
      <w:r w:rsidR="00EE4FC3">
        <w:t xml:space="preserve"> </w:t>
      </w:r>
      <w:r w:rsidRPr="00382917">
        <w:t>who</w:t>
      </w:r>
      <w:r w:rsidR="00EE4FC3">
        <w:t xml:space="preserve"> </w:t>
      </w:r>
      <w:r w:rsidRPr="00382917">
        <w:t>carried</w:t>
      </w:r>
      <w:r w:rsidR="00EE4FC3">
        <w:t xml:space="preserve"> </w:t>
      </w:r>
      <w:r w:rsidRPr="00382917">
        <w:t>out</w:t>
      </w:r>
      <w:r w:rsidR="00EE4FC3">
        <w:t xml:space="preserve"> </w:t>
      </w:r>
      <w:r w:rsidRPr="00382917">
        <w:t>the</w:t>
      </w:r>
      <w:r w:rsidR="00EE4FC3">
        <w:t xml:space="preserve"> </w:t>
      </w:r>
      <w:r w:rsidRPr="00382917">
        <w:t>execution</w:t>
      </w:r>
      <w:r w:rsidR="00EE4FC3">
        <w:t xml:space="preserve"> </w:t>
      </w:r>
      <w:r w:rsidRPr="00382917">
        <w:t>of</w:t>
      </w:r>
      <w:r w:rsidR="00EE4FC3">
        <w:t xml:space="preserve"> </w:t>
      </w:r>
      <w:r w:rsidRPr="00382917">
        <w:t>the</w:t>
      </w:r>
      <w:r w:rsidR="00EE4FC3">
        <w:t xml:space="preserve"> </w:t>
      </w:r>
      <w:r w:rsidRPr="00382917">
        <w:t>Báb,</w:t>
      </w:r>
      <w:r w:rsidR="00EE4FC3">
        <w:t xml:space="preserve"> </w:t>
      </w:r>
      <w:r w:rsidRPr="00382917">
        <w:t>was</w:t>
      </w:r>
      <w:r w:rsidR="00EE4FC3">
        <w:t xml:space="preserve"> </w:t>
      </w:r>
      <w:r w:rsidRPr="00382917">
        <w:t>subjected</w:t>
      </w:r>
      <w:r w:rsidR="00EE4FC3">
        <w:t xml:space="preserve"> </w:t>
      </w:r>
      <w:r w:rsidRPr="00382917">
        <w:t>to</w:t>
      </w:r>
      <w:r w:rsidR="00EE4FC3">
        <w:t xml:space="preserve"> </w:t>
      </w:r>
      <w:r w:rsidRPr="00382917">
        <w:t>a</w:t>
      </w:r>
      <w:r w:rsidR="00EE4FC3">
        <w:t xml:space="preserve"> </w:t>
      </w:r>
      <w:r w:rsidRPr="00382917">
        <w:t>dreadful</w:t>
      </w:r>
      <w:r w:rsidR="00EE4FC3">
        <w:t xml:space="preserve"> </w:t>
      </w:r>
      <w:r w:rsidRPr="00382917">
        <w:t>punishment</w:t>
      </w:r>
      <w:r w:rsidR="00330AF7">
        <w:t>.</w:t>
      </w:r>
      <w:r w:rsidR="00EE4FC3">
        <w:t xml:space="preserve">  </w:t>
      </w:r>
      <w:r w:rsidRPr="00382917">
        <w:t>No</w:t>
      </w:r>
      <w:r w:rsidR="00EE4FC3">
        <w:t xml:space="preserve"> </w:t>
      </w:r>
      <w:r w:rsidRPr="00382917">
        <w:t>one</w:t>
      </w:r>
      <w:r w:rsidR="00EE4FC3">
        <w:t xml:space="preserve"> </w:t>
      </w:r>
      <w:r w:rsidRPr="00382917">
        <w:t>would</w:t>
      </w:r>
      <w:r w:rsidR="00EE4FC3">
        <w:t xml:space="preserve"> </w:t>
      </w:r>
      <w:r w:rsidRPr="00382917">
        <w:t>come</w:t>
      </w:r>
      <w:r w:rsidR="00EE4FC3">
        <w:t xml:space="preserve"> </w:t>
      </w:r>
      <w:r w:rsidRPr="00382917">
        <w:t>to</w:t>
      </w:r>
      <w:r w:rsidR="00EE4FC3">
        <w:t xml:space="preserve"> </w:t>
      </w:r>
      <w:r w:rsidRPr="00382917">
        <w:t>his</w:t>
      </w:r>
      <w:r w:rsidR="00EE4FC3">
        <w:t xml:space="preserve"> </w:t>
      </w:r>
      <w:r w:rsidRPr="00382917">
        <w:t>aid</w:t>
      </w:r>
      <w:r w:rsidR="00330AF7">
        <w:t>.</w:t>
      </w:r>
      <w:r w:rsidR="00EE4FC3">
        <w:t xml:space="preserve">  </w:t>
      </w:r>
      <w:r w:rsidRPr="00382917">
        <w:t>In</w:t>
      </w:r>
      <w:r w:rsidR="00EE4FC3">
        <w:t xml:space="preserve"> </w:t>
      </w:r>
      <w:r w:rsidRPr="00382917">
        <w:t>despair,</w:t>
      </w:r>
      <w:r w:rsidR="00EE4FC3">
        <w:t xml:space="preserve"> </w:t>
      </w:r>
      <w:r w:rsidRPr="00382917">
        <w:t>he</w:t>
      </w:r>
      <w:r w:rsidR="00EE4FC3">
        <w:t xml:space="preserve"> </w:t>
      </w:r>
      <w:r w:rsidRPr="00382917">
        <w:t>succumbed</w:t>
      </w:r>
      <w:r w:rsidR="00EE4FC3">
        <w:t xml:space="preserve"> </w:t>
      </w:r>
      <w:r w:rsidRPr="00382917">
        <w:t>and</w:t>
      </w:r>
      <w:r w:rsidR="00EE4FC3">
        <w:t xml:space="preserve"> </w:t>
      </w:r>
      <w:r w:rsidRPr="00382917">
        <w:t>died.</w:t>
      </w:r>
    </w:p>
    <w:p w:rsidR="00E13D49" w:rsidRPr="00382917" w:rsidRDefault="001B6670" w:rsidP="008E7A6E">
      <w:pPr>
        <w:pStyle w:val="Text"/>
      </w:pPr>
      <w:r w:rsidRPr="00382917">
        <w:t>The</w:t>
      </w:r>
      <w:r w:rsidR="00EE4FC3">
        <w:t xml:space="preserve"> </w:t>
      </w:r>
      <w:r w:rsidRPr="00382917">
        <w:t>commander</w:t>
      </w:r>
      <w:r w:rsidR="00EE4FC3">
        <w:t xml:space="preserve"> </w:t>
      </w:r>
      <w:r w:rsidRPr="00382917">
        <w:t>of</w:t>
      </w:r>
      <w:r w:rsidR="00EE4FC3">
        <w:t xml:space="preserve"> </w:t>
      </w:r>
      <w:r w:rsidRPr="00382917">
        <w:t>the</w:t>
      </w:r>
      <w:r w:rsidR="00EE4FC3">
        <w:t xml:space="preserve"> </w:t>
      </w:r>
      <w:r w:rsidRPr="00382917">
        <w:t>regiment</w:t>
      </w:r>
      <w:r w:rsidR="00EE4FC3">
        <w:t xml:space="preserve"> </w:t>
      </w:r>
      <w:r w:rsidRPr="00382917">
        <w:t>that</w:t>
      </w:r>
      <w:r w:rsidR="00EE4FC3">
        <w:t xml:space="preserve"> </w:t>
      </w:r>
      <w:r w:rsidRPr="00382917">
        <w:t>volunteered</w:t>
      </w:r>
      <w:r w:rsidR="00EE4FC3">
        <w:t xml:space="preserve"> </w:t>
      </w:r>
      <w:r w:rsidRPr="00382917">
        <w:t>to</w:t>
      </w:r>
      <w:r w:rsidR="00EE4FC3">
        <w:t xml:space="preserve"> </w:t>
      </w:r>
      <w:r w:rsidRPr="00382917">
        <w:t>replace</w:t>
      </w:r>
      <w:r w:rsidR="00EE4FC3">
        <w:t xml:space="preserve"> </w:t>
      </w:r>
      <w:r w:rsidRPr="00382917">
        <w:t>that</w:t>
      </w:r>
      <w:r w:rsidR="00EE4FC3">
        <w:t xml:space="preserve"> </w:t>
      </w:r>
      <w:r w:rsidRPr="00382917">
        <w:t>of</w:t>
      </w:r>
      <w:r w:rsidR="00EE4FC3">
        <w:t xml:space="preserve"> </w:t>
      </w:r>
      <w:r w:rsidRPr="00382917">
        <w:t>Sam</w:t>
      </w:r>
      <w:r w:rsidR="00EE4FC3">
        <w:t xml:space="preserve"> </w:t>
      </w:r>
      <w:r w:rsidR="0040329F" w:rsidRPr="0040329F">
        <w:rPr>
          <w:u w:val="single"/>
        </w:rPr>
        <w:t>Kh</w:t>
      </w:r>
      <w:r w:rsidR="0040329F" w:rsidRPr="00382917">
        <w:t>án</w:t>
      </w:r>
      <w:r w:rsidR="00EE4FC3">
        <w:t xml:space="preserve"> </w:t>
      </w:r>
      <w:r w:rsidRPr="00382917">
        <w:t>lost</w:t>
      </w:r>
      <w:r w:rsidR="00EE4FC3">
        <w:t xml:space="preserve"> </w:t>
      </w:r>
      <w:r w:rsidRPr="00382917">
        <w:t>his</w:t>
      </w:r>
      <w:r w:rsidR="00EE4FC3">
        <w:t xml:space="preserve"> </w:t>
      </w:r>
      <w:r w:rsidRPr="00382917">
        <w:t>life</w:t>
      </w:r>
      <w:r w:rsidR="00EE4FC3">
        <w:t xml:space="preserve"> </w:t>
      </w:r>
      <w:r w:rsidRPr="00382917">
        <w:t>during</w:t>
      </w:r>
      <w:r w:rsidR="00EE4FC3">
        <w:t xml:space="preserve"> </w:t>
      </w:r>
      <w:r w:rsidRPr="00382917">
        <w:t>the</w:t>
      </w:r>
      <w:r w:rsidR="00EE4FC3">
        <w:t xml:space="preserve"> </w:t>
      </w:r>
      <w:r w:rsidRPr="00382917">
        <w:t>bombardment</w:t>
      </w:r>
      <w:r w:rsidR="00EE4FC3">
        <w:t xml:space="preserve"> </w:t>
      </w:r>
      <w:r w:rsidRPr="00382917">
        <w:t>of</w:t>
      </w:r>
      <w:r w:rsidR="00EE4FC3">
        <w:t xml:space="preserve"> </w:t>
      </w:r>
      <w:proofErr w:type="spellStart"/>
      <w:r w:rsidRPr="00382917">
        <w:t>Muḥammarih</w:t>
      </w:r>
      <w:proofErr w:type="spellEnd"/>
      <w:r w:rsidR="00EE4FC3">
        <w:t xml:space="preserve"> </w:t>
      </w:r>
      <w:r w:rsidRPr="00382917">
        <w:t>by</w:t>
      </w:r>
      <w:r w:rsidR="00EE4FC3">
        <w:t xml:space="preserve"> </w:t>
      </w:r>
      <w:r w:rsidRPr="00382917">
        <w:t>the</w:t>
      </w:r>
      <w:r w:rsidR="00EE4FC3">
        <w:t xml:space="preserve"> </w:t>
      </w:r>
      <w:r w:rsidRPr="00382917">
        <w:t>British</w:t>
      </w:r>
      <w:r w:rsidR="00330AF7">
        <w:t>.</w:t>
      </w:r>
      <w:r w:rsidR="00EE4FC3">
        <w:t xml:space="preserve">  </w:t>
      </w:r>
      <w:r w:rsidRPr="00382917">
        <w:t>The</w:t>
      </w:r>
      <w:r w:rsidR="00EE4FC3">
        <w:t xml:space="preserve"> </w:t>
      </w:r>
      <w:r w:rsidRPr="00382917">
        <w:t>regiment</w:t>
      </w:r>
      <w:r w:rsidR="00EE4FC3">
        <w:t xml:space="preserve"> </w:t>
      </w:r>
      <w:r w:rsidRPr="00382917">
        <w:t>itself</w:t>
      </w:r>
      <w:r w:rsidR="00EE4FC3">
        <w:t xml:space="preserve"> </w:t>
      </w:r>
      <w:r w:rsidRPr="00382917">
        <w:t>came</w:t>
      </w:r>
      <w:r w:rsidR="00EE4FC3">
        <w:t xml:space="preserve"> </w:t>
      </w:r>
      <w:r w:rsidRPr="00382917">
        <w:t>to</w:t>
      </w:r>
      <w:r w:rsidR="00EE4FC3">
        <w:t xml:space="preserve"> </w:t>
      </w:r>
      <w:r w:rsidRPr="00382917">
        <w:t>a</w:t>
      </w:r>
      <w:r w:rsidR="00EE4FC3">
        <w:t xml:space="preserve"> </w:t>
      </w:r>
      <w:r w:rsidRPr="00382917">
        <w:t>dreadful</w:t>
      </w:r>
      <w:r w:rsidR="00EE4FC3">
        <w:t xml:space="preserve"> </w:t>
      </w:r>
      <w:r w:rsidRPr="00382917">
        <w:t>end</w:t>
      </w:r>
      <w:r w:rsidR="00330AF7">
        <w:t>.</w:t>
      </w:r>
      <w:r w:rsidR="00EE4FC3">
        <w:t xml:space="preserve">  </w:t>
      </w:r>
      <w:r w:rsidRPr="00382917">
        <w:t>In</w:t>
      </w:r>
      <w:r w:rsidR="00EE4FC3">
        <w:t xml:space="preserve"> </w:t>
      </w:r>
      <w:r w:rsidRPr="00382917">
        <w:t>spite</w:t>
      </w:r>
      <w:r w:rsidR="00EE4FC3">
        <w:t xml:space="preserve"> </w:t>
      </w:r>
      <w:r w:rsidRPr="00382917">
        <w:t>of</w:t>
      </w:r>
      <w:r w:rsidR="00EE4FC3">
        <w:t xml:space="preserve"> </w:t>
      </w:r>
      <w:r w:rsidRPr="00382917">
        <w:t>the</w:t>
      </w:r>
      <w:r w:rsidR="00EE4FC3">
        <w:t xml:space="preserve"> </w:t>
      </w:r>
      <w:r w:rsidRPr="00382917">
        <w:t>unaccountable</w:t>
      </w:r>
      <w:r w:rsidR="00EE4FC3">
        <w:t xml:space="preserve"> </w:t>
      </w:r>
      <w:r w:rsidRPr="00382917">
        <w:t>failure</w:t>
      </w:r>
      <w:r w:rsidR="00EE4FC3">
        <w:t xml:space="preserve"> </w:t>
      </w:r>
      <w:r w:rsidRPr="00382917">
        <w:t>of</w:t>
      </w:r>
      <w:r w:rsidR="00EE4FC3">
        <w:t xml:space="preserve"> </w:t>
      </w:r>
      <w:r w:rsidRPr="00382917">
        <w:t>Sam</w:t>
      </w:r>
      <w:r w:rsidR="00EE4FC3">
        <w:t xml:space="preserve"> </w:t>
      </w:r>
      <w:r w:rsidR="0040329F" w:rsidRPr="0040329F">
        <w:rPr>
          <w:u w:val="single"/>
        </w:rPr>
        <w:t>Kh</w:t>
      </w:r>
      <w:r w:rsidR="0040329F" w:rsidRPr="00382917">
        <w:t>án</w:t>
      </w:r>
      <w:r w:rsidR="00EE4FC3">
        <w:t xml:space="preserve"> </w:t>
      </w:r>
      <w:r w:rsidRPr="00382917">
        <w:t>and</w:t>
      </w:r>
      <w:r w:rsidR="00EE4FC3">
        <w:t xml:space="preserve"> </w:t>
      </w:r>
      <w:r w:rsidRPr="00382917">
        <w:t>his</w:t>
      </w:r>
      <w:r w:rsidR="00EE4FC3">
        <w:t xml:space="preserve"> </w:t>
      </w:r>
      <w:r w:rsidRPr="00382917">
        <w:t>soldiers</w:t>
      </w:r>
      <w:r w:rsidR="00EE4FC3">
        <w:t xml:space="preserve"> </w:t>
      </w:r>
      <w:r w:rsidRPr="00382917">
        <w:t>to</w:t>
      </w:r>
      <w:r w:rsidR="00EE4FC3">
        <w:t xml:space="preserve"> </w:t>
      </w:r>
      <w:r w:rsidRPr="00382917">
        <w:t>destroy</w:t>
      </w:r>
      <w:r w:rsidR="00EE4FC3">
        <w:t xml:space="preserve"> </w:t>
      </w:r>
      <w:r w:rsidRPr="00382917">
        <w:t>the</w:t>
      </w:r>
      <w:r w:rsidR="00EE4FC3">
        <w:t xml:space="preserve"> </w:t>
      </w:r>
      <w:r w:rsidRPr="00382917">
        <w:t>life</w:t>
      </w:r>
      <w:r w:rsidR="00EE4FC3">
        <w:t xml:space="preserve"> </w:t>
      </w:r>
      <w:r w:rsidRPr="00382917">
        <w:t>of</w:t>
      </w:r>
      <w:r w:rsidR="00EE4FC3">
        <w:t xml:space="preserve"> </w:t>
      </w:r>
      <w:r w:rsidRPr="00382917">
        <w:t>the</w:t>
      </w:r>
      <w:r w:rsidR="00EE4FC3">
        <w:t xml:space="preserve"> </w:t>
      </w:r>
      <w:r w:rsidRPr="00382917">
        <w:t>Báb,</w:t>
      </w:r>
      <w:r w:rsidR="00EE4FC3">
        <w:t xml:space="preserve"> </w:t>
      </w:r>
      <w:r w:rsidRPr="00382917">
        <w:t>this</w:t>
      </w:r>
      <w:r w:rsidR="00EE4FC3">
        <w:t xml:space="preserve"> </w:t>
      </w:r>
      <w:r w:rsidRPr="00382917">
        <w:t>regiment</w:t>
      </w:r>
      <w:r w:rsidR="00EE4FC3">
        <w:t xml:space="preserve"> </w:t>
      </w:r>
      <w:r w:rsidRPr="00382917">
        <w:t>was</w:t>
      </w:r>
      <w:r w:rsidR="00EE4FC3">
        <w:t xml:space="preserve"> </w:t>
      </w:r>
      <w:r w:rsidRPr="00382917">
        <w:t>willing</w:t>
      </w:r>
      <w:r w:rsidR="00EE4FC3">
        <w:t xml:space="preserve"> </w:t>
      </w:r>
      <w:r w:rsidRPr="00382917">
        <w:t>to</w:t>
      </w:r>
      <w:r w:rsidR="00EE4FC3">
        <w:t xml:space="preserve"> </w:t>
      </w:r>
      <w:r w:rsidRPr="00382917">
        <w:t>renew</w:t>
      </w:r>
      <w:r w:rsidR="00EE4FC3">
        <w:t xml:space="preserve"> </w:t>
      </w:r>
      <w:r w:rsidRPr="00382917">
        <w:t>the</w:t>
      </w:r>
      <w:r w:rsidR="00EE4FC3">
        <w:t xml:space="preserve"> </w:t>
      </w:r>
      <w:r w:rsidRPr="00382917">
        <w:t>attempt,</w:t>
      </w:r>
      <w:r w:rsidR="00EE4FC3">
        <w:t xml:space="preserve"> </w:t>
      </w:r>
      <w:r w:rsidRPr="00382917">
        <w:t>and</w:t>
      </w:r>
      <w:r w:rsidR="00EE4FC3">
        <w:t xml:space="preserve"> </w:t>
      </w:r>
      <w:r w:rsidRPr="00382917">
        <w:t>did</w:t>
      </w:r>
      <w:r w:rsidR="00EE4FC3">
        <w:t xml:space="preserve"> </w:t>
      </w:r>
      <w:r w:rsidRPr="00382917">
        <w:t>eventually</w:t>
      </w:r>
      <w:r w:rsidR="00EE4FC3">
        <w:t xml:space="preserve"> </w:t>
      </w:r>
      <w:r w:rsidRPr="00382917">
        <w:t>riddle</w:t>
      </w:r>
      <w:r w:rsidR="00EE4FC3">
        <w:t xml:space="preserve"> </w:t>
      </w:r>
      <w:r w:rsidRPr="00382917">
        <w:t>His</w:t>
      </w:r>
      <w:r w:rsidR="00EE4FC3">
        <w:t xml:space="preserve"> </w:t>
      </w:r>
      <w:r w:rsidRPr="00382917">
        <w:t>body</w:t>
      </w:r>
      <w:r w:rsidR="00EE4FC3">
        <w:t xml:space="preserve"> </w:t>
      </w:r>
      <w:r w:rsidRPr="00382917">
        <w:t>with</w:t>
      </w:r>
      <w:r w:rsidR="00EE4FC3">
        <w:t xml:space="preserve"> </w:t>
      </w:r>
      <w:r w:rsidRPr="00382917">
        <w:t>bullets</w:t>
      </w:r>
      <w:r w:rsidR="00330AF7">
        <w:t>.</w:t>
      </w:r>
      <w:r w:rsidR="00EE4FC3">
        <w:t xml:space="preserve">  </w:t>
      </w:r>
      <w:r w:rsidRPr="00382917">
        <w:t>Two</w:t>
      </w:r>
      <w:r w:rsidR="00EE4FC3">
        <w:t xml:space="preserve"> </w:t>
      </w:r>
      <w:r w:rsidRPr="00382917">
        <w:t>hundred</w:t>
      </w:r>
      <w:r w:rsidR="00EE4FC3">
        <w:t xml:space="preserve"> </w:t>
      </w:r>
      <w:r w:rsidRPr="00382917">
        <w:t>and</w:t>
      </w:r>
      <w:r w:rsidR="00EE4FC3">
        <w:t xml:space="preserve"> </w:t>
      </w:r>
      <w:r w:rsidRPr="00382917">
        <w:t>fifty</w:t>
      </w:r>
      <w:r w:rsidR="00EE4FC3">
        <w:t xml:space="preserve"> </w:t>
      </w:r>
      <w:r w:rsidRPr="00382917">
        <w:t>of</w:t>
      </w:r>
      <w:r w:rsidR="00EE4FC3">
        <w:t xml:space="preserve"> </w:t>
      </w:r>
      <w:r w:rsidRPr="00382917">
        <w:t>its</w:t>
      </w:r>
      <w:r w:rsidR="00EE4FC3">
        <w:t xml:space="preserve"> </w:t>
      </w:r>
      <w:r w:rsidRPr="00382917">
        <w:t>members,</w:t>
      </w:r>
      <w:r w:rsidR="00EE4FC3">
        <w:t xml:space="preserve"> </w:t>
      </w:r>
      <w:r w:rsidRPr="00382917">
        <w:t>that</w:t>
      </w:r>
      <w:r w:rsidR="00EE4FC3">
        <w:t xml:space="preserve"> </w:t>
      </w:r>
      <w:r w:rsidRPr="00382917">
        <w:t>same</w:t>
      </w:r>
      <w:r w:rsidR="00EE4FC3">
        <w:t xml:space="preserve"> </w:t>
      </w:r>
      <w:r w:rsidRPr="00382917">
        <w:t>year,</w:t>
      </w:r>
      <w:r w:rsidR="00EE4FC3">
        <w:t xml:space="preserve"> </w:t>
      </w:r>
      <w:r w:rsidRPr="00382917">
        <w:t>with</w:t>
      </w:r>
      <w:r w:rsidR="00EE4FC3">
        <w:t xml:space="preserve"> </w:t>
      </w:r>
      <w:r w:rsidRPr="00382917">
        <w:t>their</w:t>
      </w:r>
      <w:r w:rsidR="00EE4FC3">
        <w:t xml:space="preserve"> </w:t>
      </w:r>
      <w:r w:rsidRPr="00382917">
        <w:t>officers,</w:t>
      </w:r>
      <w:r w:rsidR="00EE4FC3">
        <w:t xml:space="preserve"> </w:t>
      </w:r>
      <w:r w:rsidRPr="00382917">
        <w:t>were</w:t>
      </w:r>
      <w:r w:rsidR="00EE4FC3">
        <w:t xml:space="preserve"> </w:t>
      </w:r>
      <w:r w:rsidRPr="00382917">
        <w:t>crushed</w:t>
      </w:r>
      <w:r w:rsidR="00EE4FC3">
        <w:t xml:space="preserve"> </w:t>
      </w:r>
      <w:r w:rsidRPr="00382917">
        <w:t>in</w:t>
      </w:r>
      <w:r w:rsidR="00EE4FC3">
        <w:t xml:space="preserve"> </w:t>
      </w:r>
      <w:r w:rsidRPr="00382917">
        <w:t>a</w:t>
      </w:r>
      <w:r w:rsidR="00EE4FC3">
        <w:t xml:space="preserve"> </w:t>
      </w:r>
      <w:r w:rsidRPr="00382917">
        <w:t>terrible</w:t>
      </w:r>
      <w:r w:rsidR="00EE4FC3">
        <w:t xml:space="preserve"> </w:t>
      </w:r>
      <w:r w:rsidRPr="00382917">
        <w:t>earthquake</w:t>
      </w:r>
      <w:r w:rsidR="00330AF7">
        <w:t>.</w:t>
      </w:r>
      <w:r w:rsidR="00EE4FC3">
        <w:t xml:space="preserve">  </w:t>
      </w:r>
      <w:r w:rsidRPr="00382917">
        <w:t>They</w:t>
      </w:r>
      <w:r w:rsidR="00EE4FC3">
        <w:t xml:space="preserve"> </w:t>
      </w:r>
      <w:r w:rsidRPr="00382917">
        <w:t>were</w:t>
      </w:r>
      <w:r w:rsidR="00EE4FC3">
        <w:t xml:space="preserve"> </w:t>
      </w:r>
      <w:r w:rsidRPr="00382917">
        <w:t>resting</w:t>
      </w:r>
      <w:r w:rsidR="00EE4FC3">
        <w:t xml:space="preserve"> </w:t>
      </w:r>
      <w:r w:rsidRPr="00382917">
        <w:t>on</w:t>
      </w:r>
      <w:r w:rsidR="00EE4FC3">
        <w:t xml:space="preserve"> </w:t>
      </w:r>
      <w:r w:rsidRPr="00382917">
        <w:t>a</w:t>
      </w:r>
      <w:r w:rsidR="00EE4FC3">
        <w:t xml:space="preserve"> </w:t>
      </w:r>
      <w:r w:rsidRPr="00382917">
        <w:t>hot</w:t>
      </w:r>
      <w:r w:rsidR="00EE4FC3">
        <w:t xml:space="preserve"> </w:t>
      </w:r>
      <w:r w:rsidRPr="00382917">
        <w:t>summer</w:t>
      </w:r>
      <w:r w:rsidR="009C713D" w:rsidRPr="00382917">
        <w:t>’</w:t>
      </w:r>
      <w:r w:rsidRPr="00382917">
        <w:t>s</w:t>
      </w:r>
      <w:r w:rsidR="00EE4FC3">
        <w:t xml:space="preserve"> </w:t>
      </w:r>
      <w:r w:rsidRPr="00382917">
        <w:t>day</w:t>
      </w:r>
      <w:r w:rsidR="00EE4FC3">
        <w:t xml:space="preserve"> </w:t>
      </w:r>
      <w:r w:rsidRPr="00382917">
        <w:t>under</w:t>
      </w:r>
      <w:r w:rsidR="00EE4FC3">
        <w:t xml:space="preserve"> </w:t>
      </w:r>
      <w:r w:rsidRPr="00382917">
        <w:t>the</w:t>
      </w:r>
      <w:r w:rsidR="00EE4FC3">
        <w:t xml:space="preserve"> </w:t>
      </w:r>
      <w:r w:rsidRPr="00382917">
        <w:t>shadow</w:t>
      </w:r>
      <w:r w:rsidR="00EE4FC3">
        <w:t xml:space="preserve"> </w:t>
      </w:r>
      <w:r w:rsidRPr="00382917">
        <w:t>of</w:t>
      </w:r>
      <w:r w:rsidR="00EE4FC3">
        <w:t xml:space="preserve"> </w:t>
      </w:r>
      <w:r w:rsidRPr="00382917">
        <w:t>a</w:t>
      </w:r>
      <w:r w:rsidR="00EE4FC3">
        <w:t xml:space="preserve"> </w:t>
      </w:r>
      <w:r w:rsidRPr="00382917">
        <w:t>wall,</w:t>
      </w:r>
      <w:r w:rsidR="00EE4FC3">
        <w:t xml:space="preserve"> </w:t>
      </w:r>
      <w:r w:rsidRPr="00382917">
        <w:t>between</w:t>
      </w:r>
      <w:r w:rsidR="00EE4FC3">
        <w:t xml:space="preserve"> </w:t>
      </w:r>
      <w:r w:rsidR="00B24C41">
        <w:t>Tabríz</w:t>
      </w:r>
      <w:r w:rsidR="00EE4FC3">
        <w:t xml:space="preserve"> </w:t>
      </w:r>
      <w:r w:rsidRPr="00382917">
        <w:t>and</w:t>
      </w:r>
      <w:r w:rsidR="00EE4FC3">
        <w:t xml:space="preserve"> </w:t>
      </w:r>
      <w:r w:rsidRPr="00382917">
        <w:t>Ardibíl</w:t>
      </w:r>
      <w:r w:rsidR="00330AF7">
        <w:t>.</w:t>
      </w:r>
      <w:r w:rsidR="00EE4FC3">
        <w:t xml:space="preserve">  </w:t>
      </w:r>
      <w:r w:rsidRPr="00382917">
        <w:t>The</w:t>
      </w:r>
      <w:r w:rsidR="00EE4FC3">
        <w:t xml:space="preserve"> </w:t>
      </w:r>
      <w:r w:rsidRPr="00382917">
        <w:t>structure</w:t>
      </w:r>
      <w:r w:rsidR="00EE4FC3">
        <w:t xml:space="preserve"> </w:t>
      </w:r>
      <w:r w:rsidRPr="00382917">
        <w:t>suddenly</w:t>
      </w:r>
      <w:r w:rsidR="00EE4FC3">
        <w:t xml:space="preserve"> </w:t>
      </w:r>
      <w:r w:rsidRPr="00382917">
        <w:t>collapsed</w:t>
      </w:r>
      <w:r w:rsidR="00EE4FC3">
        <w:t xml:space="preserve"> </w:t>
      </w:r>
      <w:r w:rsidRPr="00382917">
        <w:t>and</w:t>
      </w:r>
      <w:r w:rsidR="00EE4FC3">
        <w:t xml:space="preserve"> </w:t>
      </w:r>
      <w:r w:rsidRPr="00382917">
        <w:t>fell</w:t>
      </w:r>
      <w:r w:rsidR="00EE4FC3">
        <w:t xml:space="preserve"> </w:t>
      </w:r>
      <w:r w:rsidRPr="00382917">
        <w:t>upon</w:t>
      </w:r>
      <w:r w:rsidR="00EE4FC3">
        <w:t xml:space="preserve"> </w:t>
      </w:r>
      <w:r w:rsidRPr="00382917">
        <w:t>them,</w:t>
      </w:r>
      <w:r w:rsidR="00EE4FC3">
        <w:t xml:space="preserve"> </w:t>
      </w:r>
      <w:r w:rsidRPr="00382917">
        <w:t>leaving</w:t>
      </w:r>
      <w:r w:rsidR="00EE4FC3">
        <w:t xml:space="preserve"> </w:t>
      </w:r>
      <w:r w:rsidRPr="00382917">
        <w:t>not</w:t>
      </w:r>
      <w:r w:rsidR="00EE4FC3">
        <w:t xml:space="preserve"> </w:t>
      </w:r>
      <w:r w:rsidRPr="00382917">
        <w:t>one</w:t>
      </w:r>
      <w:r w:rsidR="00EE4FC3">
        <w:t xml:space="preserve"> </w:t>
      </w:r>
      <w:r w:rsidRPr="00382917">
        <w:t>survivor.</w:t>
      </w:r>
      <w:r w:rsidR="008E7A6E">
        <w:rPr>
          <w:rStyle w:val="FootnoteReference"/>
        </w:rPr>
        <w:footnoteReference w:id="267"/>
      </w:r>
    </w:p>
    <w:p w:rsidR="001B6670" w:rsidRPr="00382917" w:rsidRDefault="001B6670" w:rsidP="00775809">
      <w:pPr>
        <w:pStyle w:val="Text"/>
      </w:pPr>
      <w:r w:rsidRPr="00382917">
        <w:t>The</w:t>
      </w:r>
      <w:r w:rsidR="00EE4FC3">
        <w:t xml:space="preserve"> </w:t>
      </w:r>
      <w:r w:rsidRPr="00382917">
        <w:t>remaining</w:t>
      </w:r>
      <w:r w:rsidR="00EE4FC3">
        <w:t xml:space="preserve"> </w:t>
      </w:r>
      <w:r w:rsidRPr="00382917">
        <w:t>five</w:t>
      </w:r>
      <w:r w:rsidR="00EE4FC3">
        <w:t xml:space="preserve"> </w:t>
      </w:r>
      <w:r w:rsidRPr="00382917">
        <w:t>hundred</w:t>
      </w:r>
      <w:r w:rsidR="00EE4FC3">
        <w:t xml:space="preserve"> </w:t>
      </w:r>
      <w:r w:rsidRPr="00382917">
        <w:t>members</w:t>
      </w:r>
      <w:r w:rsidR="00EE4FC3">
        <w:t xml:space="preserve"> </w:t>
      </w:r>
      <w:r w:rsidRPr="00382917">
        <w:t>of</w:t>
      </w:r>
      <w:r w:rsidR="00EE4FC3">
        <w:t xml:space="preserve"> </w:t>
      </w:r>
      <w:r w:rsidRPr="00382917">
        <w:t>the</w:t>
      </w:r>
      <w:r w:rsidR="00EE4FC3">
        <w:t xml:space="preserve"> </w:t>
      </w:r>
      <w:r w:rsidRPr="00382917">
        <w:t>regiment</w:t>
      </w:r>
      <w:r w:rsidR="00EE4FC3">
        <w:t xml:space="preserve"> </w:t>
      </w:r>
      <w:r w:rsidRPr="00382917">
        <w:t>suffered</w:t>
      </w:r>
      <w:r w:rsidR="00EE4FC3">
        <w:t xml:space="preserve"> </w:t>
      </w:r>
      <w:r w:rsidRPr="00382917">
        <w:t>an</w:t>
      </w:r>
      <w:r w:rsidR="00EE4FC3">
        <w:t xml:space="preserve"> </w:t>
      </w:r>
      <w:r w:rsidRPr="00382917">
        <w:t>ever</w:t>
      </w:r>
      <w:r w:rsidR="00EE4FC3">
        <w:t xml:space="preserve"> </w:t>
      </w:r>
      <w:r w:rsidRPr="00382917">
        <w:t>more</w:t>
      </w:r>
      <w:r w:rsidR="00EE4FC3">
        <w:t xml:space="preserve"> </w:t>
      </w:r>
      <w:r w:rsidRPr="00382917">
        <w:t>dramatic</w:t>
      </w:r>
      <w:r w:rsidR="00EE4FC3">
        <w:t xml:space="preserve"> </w:t>
      </w:r>
      <w:r w:rsidRPr="00382917">
        <w:t>fate</w:t>
      </w:r>
      <w:r w:rsidR="00330AF7">
        <w:t>.</w:t>
      </w:r>
      <w:r w:rsidR="00EE4FC3">
        <w:t xml:space="preserve">  </w:t>
      </w:r>
      <w:r w:rsidRPr="00382917">
        <w:t>They</w:t>
      </w:r>
      <w:r w:rsidR="00EE4FC3">
        <w:t xml:space="preserve"> </w:t>
      </w:r>
      <w:r w:rsidRPr="00382917">
        <w:t>were</w:t>
      </w:r>
      <w:r w:rsidR="00EE4FC3">
        <w:t xml:space="preserve"> </w:t>
      </w:r>
      <w:r w:rsidRPr="00382917">
        <w:t>executed</w:t>
      </w:r>
      <w:r w:rsidR="00EE4FC3">
        <w:t xml:space="preserve"> </w:t>
      </w:r>
      <w:r w:rsidRPr="00382917">
        <w:t>by</w:t>
      </w:r>
      <w:r w:rsidR="00EE4FC3">
        <w:t xml:space="preserve"> </w:t>
      </w:r>
      <w:r w:rsidRPr="00382917">
        <w:t>a</w:t>
      </w:r>
      <w:r w:rsidR="00EE4FC3">
        <w:t xml:space="preserve"> </w:t>
      </w:r>
      <w:r w:rsidRPr="00382917">
        <w:t>firing</w:t>
      </w:r>
      <w:r w:rsidR="00EE4FC3">
        <w:t xml:space="preserve"> </w:t>
      </w:r>
      <w:r w:rsidRPr="00382917">
        <w:t>squad</w:t>
      </w:r>
      <w:r w:rsidR="00330AF7">
        <w:t>.</w:t>
      </w:r>
      <w:r w:rsidR="00EE4FC3">
        <w:t xml:space="preserve">  </w:t>
      </w:r>
      <w:r w:rsidRPr="00382917">
        <w:t>Thus</w:t>
      </w:r>
      <w:r w:rsidR="00EE4FC3">
        <w:t xml:space="preserve"> </w:t>
      </w:r>
      <w:r w:rsidRPr="00382917">
        <w:t>they</w:t>
      </w:r>
      <w:r w:rsidR="00EE4FC3">
        <w:t xml:space="preserve"> </w:t>
      </w:r>
      <w:r w:rsidRPr="00382917">
        <w:t>met</w:t>
      </w:r>
      <w:r w:rsidR="00EE4FC3">
        <w:t xml:space="preserve"> </w:t>
      </w:r>
      <w:r w:rsidRPr="00382917">
        <w:t>the</w:t>
      </w:r>
      <w:r w:rsidR="00EE4FC3">
        <w:t xml:space="preserve"> </w:t>
      </w:r>
      <w:r w:rsidRPr="00382917">
        <w:t>same</w:t>
      </w:r>
      <w:r w:rsidR="00EE4FC3">
        <w:t xml:space="preserve"> </w:t>
      </w:r>
      <w:r w:rsidRPr="00382917">
        <w:t>identical</w:t>
      </w:r>
      <w:r w:rsidR="00EE4FC3">
        <w:t xml:space="preserve"> </w:t>
      </w:r>
      <w:r w:rsidRPr="00382917">
        <w:t>fate</w:t>
      </w:r>
      <w:r w:rsidR="00EE4FC3">
        <w:t xml:space="preserve"> </w:t>
      </w:r>
      <w:r w:rsidRPr="00382917">
        <w:t>as</w:t>
      </w:r>
      <w:r w:rsidR="00EE4FC3">
        <w:t xml:space="preserve"> </w:t>
      </w:r>
      <w:r w:rsidRPr="00382917">
        <w:t>that</w:t>
      </w:r>
      <w:r w:rsidR="00EE4FC3">
        <w:t xml:space="preserve"> </w:t>
      </w:r>
      <w:r w:rsidRPr="00382917">
        <w:t>which</w:t>
      </w:r>
      <w:r w:rsidR="00EE4FC3">
        <w:t xml:space="preserve"> </w:t>
      </w:r>
      <w:r w:rsidRPr="00382917">
        <w:t>their</w:t>
      </w:r>
      <w:r w:rsidR="00EE4FC3">
        <w:t xml:space="preserve"> </w:t>
      </w:r>
      <w:r w:rsidRPr="00382917">
        <w:t>hands</w:t>
      </w:r>
      <w:r w:rsidR="00EE4FC3">
        <w:t xml:space="preserve"> </w:t>
      </w:r>
      <w:r w:rsidRPr="00382917">
        <w:t>had</w:t>
      </w:r>
      <w:r w:rsidR="00EE4FC3">
        <w:t xml:space="preserve"> </w:t>
      </w:r>
      <w:r w:rsidRPr="00382917">
        <w:t>inflicted</w:t>
      </w:r>
      <w:r w:rsidR="00EE4FC3">
        <w:t xml:space="preserve"> </w:t>
      </w:r>
      <w:r w:rsidRPr="00382917">
        <w:t>upon</w:t>
      </w:r>
      <w:r w:rsidR="00EE4FC3">
        <w:t xml:space="preserve"> </w:t>
      </w:r>
      <w:r w:rsidRPr="00382917">
        <w:t>the</w:t>
      </w:r>
      <w:r w:rsidR="00EE4FC3">
        <w:t xml:space="preserve"> </w:t>
      </w:r>
      <w:r w:rsidRPr="00382917">
        <w:t>Báb</w:t>
      </w:r>
      <w:r w:rsidR="00330AF7">
        <w:t>.</w:t>
      </w:r>
      <w:r w:rsidR="00EE4FC3">
        <w:t xml:space="preserve">  </w:t>
      </w:r>
      <w:r w:rsidRPr="00382917">
        <w:t>Three</w:t>
      </w:r>
      <w:r w:rsidR="00EE4FC3">
        <w:t xml:space="preserve"> </w:t>
      </w:r>
      <w:r w:rsidRPr="00382917">
        <w:t>years</w:t>
      </w:r>
      <w:r w:rsidR="00EE4FC3">
        <w:t xml:space="preserve"> </w:t>
      </w:r>
      <w:r w:rsidRPr="00382917">
        <w:t>after</w:t>
      </w:r>
      <w:r w:rsidR="00EE4FC3">
        <w:t xml:space="preserve"> </w:t>
      </w:r>
      <w:r w:rsidRPr="00382917">
        <w:t>His</w:t>
      </w:r>
      <w:r w:rsidR="00EE4FC3">
        <w:t xml:space="preserve"> </w:t>
      </w:r>
      <w:r w:rsidRPr="00382917">
        <w:t>martyrdom,</w:t>
      </w:r>
      <w:r w:rsidR="00EE4FC3">
        <w:t xml:space="preserve"> </w:t>
      </w:r>
      <w:r w:rsidRPr="00382917">
        <w:t>that</w:t>
      </w:r>
      <w:r w:rsidR="00EE4FC3">
        <w:t xml:space="preserve"> </w:t>
      </w:r>
      <w:r w:rsidRPr="00382917">
        <w:t>regiment</w:t>
      </w:r>
      <w:r w:rsidR="00EE4FC3">
        <w:t xml:space="preserve"> </w:t>
      </w:r>
      <w:r w:rsidRPr="00382917">
        <w:t>mutinied</w:t>
      </w:r>
      <w:r w:rsidR="00330AF7">
        <w:t>.</w:t>
      </w:r>
      <w:r w:rsidR="00EE4FC3">
        <w:t xml:space="preserve">  </w:t>
      </w:r>
      <w:r w:rsidRPr="00382917">
        <w:t>The</w:t>
      </w:r>
      <w:r w:rsidR="00EE4FC3">
        <w:t xml:space="preserve"> </w:t>
      </w:r>
      <w:r w:rsidRPr="00382917">
        <w:t>authorities</w:t>
      </w:r>
      <w:r w:rsidR="00EE4FC3">
        <w:t xml:space="preserve"> </w:t>
      </w:r>
      <w:r w:rsidRPr="00382917">
        <w:t>ordered</w:t>
      </w:r>
      <w:r w:rsidR="00EE4FC3">
        <w:t xml:space="preserve"> </w:t>
      </w:r>
      <w:r w:rsidRPr="00382917">
        <w:t>that</w:t>
      </w:r>
      <w:r w:rsidR="00EE4FC3">
        <w:t xml:space="preserve"> </w:t>
      </w:r>
      <w:r w:rsidRPr="00382917">
        <w:t>all</w:t>
      </w:r>
      <w:r w:rsidR="00EE4FC3">
        <w:t xml:space="preserve"> </w:t>
      </w:r>
      <w:r w:rsidRPr="00382917">
        <w:t>of</w:t>
      </w:r>
      <w:r w:rsidR="00EE4FC3">
        <w:t xml:space="preserve"> </w:t>
      </w:r>
      <w:r w:rsidRPr="00382917">
        <w:t>its</w:t>
      </w:r>
      <w:r w:rsidR="00EE4FC3">
        <w:t xml:space="preserve"> </w:t>
      </w:r>
      <w:r w:rsidRPr="00382917">
        <w:t>members</w:t>
      </w:r>
      <w:r w:rsidR="00EE4FC3">
        <w:t xml:space="preserve"> </w:t>
      </w:r>
      <w:r w:rsidRPr="00382917">
        <w:t>should</w:t>
      </w:r>
      <w:r w:rsidR="00EE4FC3">
        <w:t xml:space="preserve"> </w:t>
      </w:r>
      <w:r w:rsidRPr="00382917">
        <w:t>be</w:t>
      </w:r>
      <w:r w:rsidR="00EE4FC3">
        <w:t xml:space="preserve"> </w:t>
      </w:r>
      <w:r w:rsidRPr="00382917">
        <w:t>mercilessly</w:t>
      </w:r>
      <w:r w:rsidR="00EE4FC3">
        <w:t xml:space="preserve"> </w:t>
      </w:r>
      <w:r w:rsidRPr="00382917">
        <w:t>shot</w:t>
      </w:r>
      <w:r w:rsidR="00330AF7">
        <w:t>.</w:t>
      </w:r>
      <w:r w:rsidR="00EE4FC3">
        <w:t xml:space="preserve">  </w:t>
      </w:r>
      <w:r w:rsidRPr="00382917">
        <w:t>Significantly,</w:t>
      </w:r>
      <w:r w:rsidR="00EE4FC3">
        <w:t xml:space="preserve"> </w:t>
      </w:r>
      <w:r w:rsidRPr="00382917">
        <w:t>there</w:t>
      </w:r>
      <w:r w:rsidR="00EE4FC3">
        <w:t xml:space="preserve"> </w:t>
      </w:r>
      <w:r w:rsidRPr="00382917">
        <w:t>was</w:t>
      </w:r>
      <w:r w:rsidR="00EE4FC3">
        <w:t xml:space="preserve"> </w:t>
      </w:r>
      <w:r w:rsidRPr="00382917">
        <w:t>not</w:t>
      </w:r>
      <w:r w:rsidR="00EE4FC3">
        <w:t xml:space="preserve"> </w:t>
      </w:r>
      <w:r w:rsidRPr="00382917">
        <w:t>only</w:t>
      </w:r>
      <w:r w:rsidR="00EE4FC3">
        <w:t xml:space="preserve"> </w:t>
      </w:r>
      <w:r w:rsidRPr="00382917">
        <w:t>one</w:t>
      </w:r>
      <w:r w:rsidR="00EE4FC3">
        <w:t xml:space="preserve"> </w:t>
      </w:r>
      <w:r w:rsidRPr="00382917">
        <w:t>volley,</w:t>
      </w:r>
      <w:r w:rsidR="00EE4FC3">
        <w:t xml:space="preserve"> </w:t>
      </w:r>
      <w:r w:rsidRPr="00382917">
        <w:t>but,</w:t>
      </w:r>
      <w:r w:rsidR="00EE4FC3">
        <w:t xml:space="preserve"> </w:t>
      </w:r>
      <w:r w:rsidRPr="00382917">
        <w:t>as</w:t>
      </w:r>
      <w:r w:rsidR="00EE4FC3">
        <w:t xml:space="preserve"> </w:t>
      </w:r>
      <w:r w:rsidRPr="00382917">
        <w:t>in</w:t>
      </w:r>
      <w:r w:rsidR="00EE4FC3">
        <w:t xml:space="preserve"> </w:t>
      </w:r>
      <w:r w:rsidRPr="00382917">
        <w:t>the</w:t>
      </w:r>
      <w:r w:rsidR="00EE4FC3">
        <w:t xml:space="preserve"> </w:t>
      </w:r>
      <w:r w:rsidRPr="00382917">
        <w:t>case</w:t>
      </w:r>
      <w:r w:rsidR="00EE4FC3">
        <w:t xml:space="preserve"> </w:t>
      </w:r>
      <w:r w:rsidRPr="00382917">
        <w:t>of</w:t>
      </w:r>
      <w:r w:rsidR="00EE4FC3">
        <w:t xml:space="preserve"> </w:t>
      </w:r>
      <w:r w:rsidRPr="00382917">
        <w:t>the</w:t>
      </w:r>
      <w:r w:rsidR="00EE4FC3">
        <w:t xml:space="preserve"> </w:t>
      </w:r>
      <w:r w:rsidRPr="00382917">
        <w:t>Báb,</w:t>
      </w:r>
      <w:r w:rsidR="00EE4FC3">
        <w:t xml:space="preserve"> </w:t>
      </w:r>
      <w:r w:rsidRPr="00382917">
        <w:t>a</w:t>
      </w:r>
      <w:r w:rsidR="00EE4FC3">
        <w:t xml:space="preserve"> </w:t>
      </w:r>
      <w:r w:rsidRPr="00382917">
        <w:t>second</w:t>
      </w:r>
      <w:r w:rsidR="00EE4FC3">
        <w:t xml:space="preserve"> </w:t>
      </w:r>
      <w:r w:rsidRPr="00382917">
        <w:t>volley</w:t>
      </w:r>
      <w:r w:rsidR="00EE4FC3">
        <w:t xml:space="preserve"> </w:t>
      </w:r>
      <w:r w:rsidRPr="00382917">
        <w:t>was</w:t>
      </w:r>
      <w:r w:rsidR="00EE4FC3">
        <w:t xml:space="preserve"> </w:t>
      </w:r>
      <w:r w:rsidRPr="00382917">
        <w:t>fired</w:t>
      </w:r>
      <w:r w:rsidR="00EE4FC3">
        <w:t xml:space="preserve"> </w:t>
      </w:r>
      <w:r w:rsidRPr="00382917">
        <w:t>to</w:t>
      </w:r>
      <w:r w:rsidR="00EE4FC3">
        <w:t xml:space="preserve"> </w:t>
      </w:r>
      <w:r w:rsidRPr="00382917">
        <w:t>make</w:t>
      </w:r>
      <w:r w:rsidR="00EE4FC3">
        <w:t xml:space="preserve"> </w:t>
      </w:r>
      <w:r w:rsidRPr="00382917">
        <w:t>sure</w:t>
      </w:r>
      <w:r w:rsidR="00EE4FC3">
        <w:t xml:space="preserve"> </w:t>
      </w:r>
      <w:r w:rsidRPr="00382917">
        <w:t>that</w:t>
      </w:r>
      <w:r w:rsidR="00EE4FC3">
        <w:t xml:space="preserve"> </w:t>
      </w:r>
      <w:r w:rsidRPr="00382917">
        <w:t>none</w:t>
      </w:r>
      <w:r w:rsidR="00EE4FC3">
        <w:t xml:space="preserve"> </w:t>
      </w:r>
      <w:r w:rsidRPr="00382917">
        <w:t>survived</w:t>
      </w:r>
      <w:r w:rsidR="00330AF7">
        <w:t>.</w:t>
      </w:r>
      <w:r w:rsidR="00EE4FC3">
        <w:t xml:space="preserve">  </w:t>
      </w:r>
      <w:r w:rsidRPr="00382917">
        <w:t>Then</w:t>
      </w:r>
      <w:r w:rsidR="00EE4FC3">
        <w:t xml:space="preserve"> </w:t>
      </w:r>
      <w:r w:rsidRPr="00382917">
        <w:t>their</w:t>
      </w:r>
      <w:r w:rsidR="00EE4FC3">
        <w:t xml:space="preserve"> </w:t>
      </w:r>
      <w:r w:rsidRPr="00382917">
        <w:t>bodies</w:t>
      </w:r>
      <w:r w:rsidR="00EE4FC3">
        <w:t xml:space="preserve"> </w:t>
      </w:r>
      <w:r w:rsidRPr="00382917">
        <w:t>were</w:t>
      </w:r>
      <w:r w:rsidR="00EE4FC3">
        <w:t xml:space="preserve"> </w:t>
      </w:r>
      <w:r w:rsidRPr="00382917">
        <w:t>pierced</w:t>
      </w:r>
      <w:r w:rsidR="00EE4FC3">
        <w:t xml:space="preserve"> </w:t>
      </w:r>
      <w:r w:rsidRPr="00382917">
        <w:t>with</w:t>
      </w:r>
      <w:r w:rsidR="00EE4FC3">
        <w:t xml:space="preserve"> </w:t>
      </w:r>
      <w:r w:rsidRPr="00382917">
        <w:t>spears</w:t>
      </w:r>
      <w:r w:rsidR="00EE4FC3">
        <w:t xml:space="preserve"> </w:t>
      </w:r>
      <w:r w:rsidRPr="00382917">
        <w:t>and</w:t>
      </w:r>
      <w:r w:rsidR="00EE4FC3">
        <w:t xml:space="preserve"> </w:t>
      </w:r>
      <w:r w:rsidRPr="00382917">
        <w:t>lances</w:t>
      </w:r>
      <w:r w:rsidR="00330AF7">
        <w:t>.</w:t>
      </w:r>
      <w:r w:rsidR="00EE4FC3">
        <w:t xml:space="preserve">  </w:t>
      </w:r>
      <w:r w:rsidRPr="00382917">
        <w:t>Their</w:t>
      </w:r>
      <w:r w:rsidR="00EE4FC3">
        <w:t xml:space="preserve"> </w:t>
      </w:r>
      <w:r w:rsidRPr="00382917">
        <w:t>remains</w:t>
      </w:r>
      <w:r w:rsidR="00EE4FC3">
        <w:t xml:space="preserve"> </w:t>
      </w:r>
      <w:r w:rsidRPr="00382917">
        <w:t>were</w:t>
      </w:r>
      <w:r w:rsidR="00EE4FC3">
        <w:t xml:space="preserve"> </w:t>
      </w:r>
      <w:r w:rsidRPr="00382917">
        <w:t>left</w:t>
      </w:r>
      <w:r w:rsidR="00EE4FC3">
        <w:t xml:space="preserve"> </w:t>
      </w:r>
      <w:r w:rsidRPr="00382917">
        <w:t>exposed</w:t>
      </w:r>
      <w:r w:rsidR="00EE4FC3">
        <w:t xml:space="preserve"> </w:t>
      </w:r>
      <w:r w:rsidRPr="00382917">
        <w:t>to</w:t>
      </w:r>
      <w:r w:rsidR="00EE4FC3">
        <w:t xml:space="preserve"> </w:t>
      </w:r>
      <w:r w:rsidRPr="00382917">
        <w:t>the</w:t>
      </w:r>
      <w:r w:rsidR="00EE4FC3">
        <w:t xml:space="preserve"> </w:t>
      </w:r>
      <w:r w:rsidRPr="00382917">
        <w:t>gaze</w:t>
      </w:r>
      <w:r w:rsidR="00EE4FC3">
        <w:t xml:space="preserve"> </w:t>
      </w:r>
      <w:r w:rsidRPr="00382917">
        <w:t>of</w:t>
      </w:r>
      <w:r w:rsidR="00EE4FC3">
        <w:t xml:space="preserve"> </w:t>
      </w:r>
      <w:r w:rsidRPr="00382917">
        <w:t>the</w:t>
      </w:r>
      <w:r w:rsidR="00EE4FC3">
        <w:t xml:space="preserve"> </w:t>
      </w:r>
      <w:r w:rsidRPr="00382917">
        <w:t>public</w:t>
      </w:r>
      <w:r w:rsidR="00EE4FC3">
        <w:t xml:space="preserve"> </w:t>
      </w:r>
      <w:r w:rsidRPr="00382917">
        <w:t>as</w:t>
      </w:r>
      <w:r w:rsidR="00EE4FC3">
        <w:t xml:space="preserve"> </w:t>
      </w:r>
      <w:r w:rsidRPr="00382917">
        <w:t>had</w:t>
      </w:r>
      <w:r w:rsidR="00EE4FC3">
        <w:t xml:space="preserve"> </w:t>
      </w:r>
      <w:r w:rsidRPr="00382917">
        <w:t>been</w:t>
      </w:r>
      <w:r w:rsidR="00EE4FC3">
        <w:t xml:space="preserve"> </w:t>
      </w:r>
      <w:r w:rsidRPr="00382917">
        <w:t>the</w:t>
      </w:r>
      <w:r w:rsidR="00EE4FC3">
        <w:t xml:space="preserve"> </w:t>
      </w:r>
      <w:r w:rsidRPr="00382917">
        <w:t>bodies</w:t>
      </w:r>
      <w:r w:rsidR="00EE4FC3">
        <w:t xml:space="preserve"> </w:t>
      </w:r>
      <w:r w:rsidRPr="00382917">
        <w:t>of</w:t>
      </w:r>
      <w:r w:rsidR="00EE4FC3">
        <w:t xml:space="preserve"> </w:t>
      </w:r>
      <w:r w:rsidRPr="00382917">
        <w:t>the</w:t>
      </w:r>
      <w:r w:rsidR="00EE4FC3">
        <w:t xml:space="preserve"> </w:t>
      </w:r>
      <w:r w:rsidRPr="00382917">
        <w:t>Báb</w:t>
      </w:r>
      <w:r w:rsidR="00EE4FC3">
        <w:t xml:space="preserve"> </w:t>
      </w:r>
      <w:r w:rsidRPr="00382917">
        <w:t>and</w:t>
      </w:r>
      <w:r w:rsidR="00EE4FC3">
        <w:t xml:space="preserve"> </w:t>
      </w:r>
      <w:r w:rsidRPr="00382917">
        <w:t>His</w:t>
      </w:r>
      <w:r w:rsidR="00EE4FC3">
        <w:t xml:space="preserve"> </w:t>
      </w:r>
      <w:r w:rsidRPr="00382917">
        <w:t>companion.</w:t>
      </w:r>
    </w:p>
    <w:p w:rsidR="001B6670" w:rsidRPr="00382917" w:rsidRDefault="001B6670" w:rsidP="00775809">
      <w:pPr>
        <w:pStyle w:val="Text"/>
      </w:pPr>
      <w:r w:rsidRPr="00382917">
        <w:t>This</w:t>
      </w:r>
      <w:r w:rsidR="00EE4FC3">
        <w:t xml:space="preserve"> </w:t>
      </w:r>
      <w:r w:rsidRPr="00382917">
        <w:t>event</w:t>
      </w:r>
      <w:r w:rsidR="00EE4FC3">
        <w:t xml:space="preserve"> </w:t>
      </w:r>
      <w:r w:rsidRPr="00382917">
        <w:t>caused</w:t>
      </w:r>
      <w:r w:rsidR="00EE4FC3">
        <w:t xml:space="preserve"> </w:t>
      </w:r>
      <w:r w:rsidRPr="00382917">
        <w:t>much</w:t>
      </w:r>
      <w:r w:rsidR="00EE4FC3">
        <w:t xml:space="preserve"> </w:t>
      </w:r>
      <w:r w:rsidRPr="00382917">
        <w:t>concern</w:t>
      </w:r>
      <w:r w:rsidR="00EE4FC3">
        <w:t xml:space="preserve"> </w:t>
      </w:r>
      <w:r w:rsidRPr="00382917">
        <w:t>and</w:t>
      </w:r>
      <w:r w:rsidR="00EE4FC3">
        <w:t xml:space="preserve"> </w:t>
      </w:r>
      <w:r w:rsidRPr="00382917">
        <w:t>whispering</w:t>
      </w:r>
      <w:r w:rsidR="00EE4FC3">
        <w:t xml:space="preserve"> </w:t>
      </w:r>
      <w:r w:rsidRPr="00382917">
        <w:t>in</w:t>
      </w:r>
      <w:r w:rsidR="00EE4FC3">
        <w:t xml:space="preserve"> </w:t>
      </w:r>
      <w:r w:rsidRPr="00382917">
        <w:t>Tabríz.</w:t>
      </w:r>
    </w:p>
    <w:p w:rsidR="001B6670" w:rsidRPr="00382917" w:rsidRDefault="009C713D" w:rsidP="00775809">
      <w:pPr>
        <w:pStyle w:val="Text"/>
      </w:pPr>
      <w:r w:rsidRPr="00382917">
        <w:t>“</w:t>
      </w:r>
      <w:r w:rsidR="001B6670" w:rsidRPr="00382917">
        <w:t>Is</w:t>
      </w:r>
      <w:r w:rsidR="00EE4FC3">
        <w:t xml:space="preserve"> </w:t>
      </w:r>
      <w:r w:rsidR="001B6670" w:rsidRPr="00382917">
        <w:t>this</w:t>
      </w:r>
      <w:r w:rsidR="00EE4FC3">
        <w:t xml:space="preserve"> </w:t>
      </w:r>
      <w:r w:rsidR="001B6670" w:rsidRPr="00382917">
        <w:t>not</w:t>
      </w:r>
      <w:r w:rsidR="00EE4FC3">
        <w:t xml:space="preserve"> </w:t>
      </w:r>
      <w:r w:rsidR="001B6670" w:rsidRPr="00382917">
        <w:t>the</w:t>
      </w:r>
      <w:r w:rsidR="00EE4FC3">
        <w:t xml:space="preserve"> </w:t>
      </w:r>
      <w:r w:rsidR="001B6670" w:rsidRPr="00382917">
        <w:t>regiment</w:t>
      </w:r>
      <w:r w:rsidR="00EE4FC3">
        <w:t xml:space="preserve"> </w:t>
      </w:r>
      <w:r w:rsidR="001B6670" w:rsidRPr="00382917">
        <w:t>that</w:t>
      </w:r>
      <w:r w:rsidR="00EE4FC3">
        <w:t xml:space="preserve"> </w:t>
      </w:r>
      <w:r w:rsidR="001B6670" w:rsidRPr="00382917">
        <w:t>destroyed</w:t>
      </w:r>
      <w:r w:rsidR="00EE4FC3">
        <w:t xml:space="preserve"> </w:t>
      </w:r>
      <w:r w:rsidR="001B6670" w:rsidRPr="00382917">
        <w:t>the</w:t>
      </w:r>
      <w:r w:rsidR="00EE4FC3">
        <w:t xml:space="preserve"> </w:t>
      </w:r>
      <w:r w:rsidR="001B6670" w:rsidRPr="00382917">
        <w:t>Báb?</w:t>
      </w:r>
      <w:r w:rsidRPr="00382917">
        <w:t>”</w:t>
      </w:r>
      <w:r w:rsidR="00EE4FC3">
        <w:t xml:space="preserve"> </w:t>
      </w:r>
      <w:r w:rsidR="001B6670" w:rsidRPr="00382917">
        <w:t>the</w:t>
      </w:r>
      <w:r w:rsidR="00EE4FC3">
        <w:t xml:space="preserve"> </w:t>
      </w:r>
      <w:r w:rsidR="001B6670" w:rsidRPr="00382917">
        <w:t>people</w:t>
      </w:r>
      <w:r w:rsidR="00EE4FC3">
        <w:t xml:space="preserve"> </w:t>
      </w:r>
      <w:r w:rsidR="001B6670" w:rsidRPr="00382917">
        <w:t>asked</w:t>
      </w:r>
      <w:r w:rsidR="00EE4FC3">
        <w:t xml:space="preserve"> </w:t>
      </w:r>
      <w:r w:rsidR="001B6670" w:rsidRPr="00382917">
        <w:t>each</w:t>
      </w:r>
      <w:r w:rsidR="00EE4FC3">
        <w:t xml:space="preserve"> </w:t>
      </w:r>
      <w:r w:rsidR="001B6670" w:rsidRPr="00382917">
        <w:t>other</w:t>
      </w:r>
      <w:r w:rsidR="00330AF7">
        <w:t>.</w:t>
      </w:r>
      <w:r w:rsidR="00EE4FC3">
        <w:t xml:space="preserve">  </w:t>
      </w:r>
      <w:r w:rsidRPr="00382917">
        <w:t>“</w:t>
      </w:r>
      <w:r w:rsidR="001B6670" w:rsidRPr="00382917">
        <w:t>They</w:t>
      </w:r>
      <w:r w:rsidR="00EE4FC3">
        <w:t xml:space="preserve"> </w:t>
      </w:r>
      <w:r w:rsidR="001B6670" w:rsidRPr="00382917">
        <w:t>have</w:t>
      </w:r>
      <w:r w:rsidR="00EE4FC3">
        <w:t xml:space="preserve"> </w:t>
      </w:r>
      <w:r w:rsidR="001B6670" w:rsidRPr="00382917">
        <w:t>been</w:t>
      </w:r>
      <w:r w:rsidR="00EE4FC3">
        <w:t xml:space="preserve"> </w:t>
      </w:r>
      <w:r w:rsidR="001B6670" w:rsidRPr="00382917">
        <w:t>overtaken</w:t>
      </w:r>
      <w:r w:rsidR="00EE4FC3">
        <w:t xml:space="preserve"> </w:t>
      </w:r>
      <w:r w:rsidR="001B6670" w:rsidRPr="00382917">
        <w:t>by</w:t>
      </w:r>
      <w:r w:rsidR="00EE4FC3">
        <w:t xml:space="preserve"> </w:t>
      </w:r>
      <w:r w:rsidR="001B6670" w:rsidRPr="00382917">
        <w:t>the</w:t>
      </w:r>
      <w:r w:rsidR="00EE4FC3">
        <w:t xml:space="preserve"> </w:t>
      </w:r>
      <w:r w:rsidR="001B6670" w:rsidRPr="00382917">
        <w:t>same</w:t>
      </w:r>
      <w:r w:rsidR="00EE4FC3">
        <w:t xml:space="preserve"> </w:t>
      </w:r>
      <w:r w:rsidR="001B6670" w:rsidRPr="00382917">
        <w:t>fate</w:t>
      </w:r>
      <w:r w:rsidR="00330AF7">
        <w:t>.</w:t>
      </w:r>
      <w:r w:rsidR="00EE4FC3">
        <w:t xml:space="preserve">  </w:t>
      </w:r>
      <w:r w:rsidR="001B6670" w:rsidRPr="00382917">
        <w:t>Could</w:t>
      </w:r>
      <w:r w:rsidR="00EE4FC3">
        <w:t xml:space="preserve"> </w:t>
      </w:r>
      <w:r w:rsidR="001B6670" w:rsidRPr="00382917">
        <w:t>it</w:t>
      </w:r>
      <w:r w:rsidR="00EE4FC3">
        <w:t xml:space="preserve"> </w:t>
      </w:r>
      <w:r w:rsidR="001B6670" w:rsidRPr="00382917">
        <w:t>be</w:t>
      </w:r>
      <w:r w:rsidR="00EE4FC3">
        <w:t xml:space="preserve"> </w:t>
      </w:r>
      <w:r w:rsidR="001B6670" w:rsidRPr="00382917">
        <w:t>the</w:t>
      </w:r>
      <w:r w:rsidR="00EE4FC3">
        <w:t xml:space="preserve"> </w:t>
      </w:r>
      <w:r w:rsidR="001B6670" w:rsidRPr="00382917">
        <w:t>vengeance</w:t>
      </w:r>
      <w:r w:rsidR="00EE4FC3">
        <w:t xml:space="preserve"> </w:t>
      </w:r>
      <w:r w:rsidR="001B6670" w:rsidRPr="00382917">
        <w:t>of</w:t>
      </w:r>
      <w:r w:rsidR="00EE4FC3">
        <w:t xml:space="preserve"> </w:t>
      </w:r>
      <w:r w:rsidR="001B6670" w:rsidRPr="00382917">
        <w:t>God</w:t>
      </w:r>
      <w:r w:rsidR="00EE4FC3">
        <w:t xml:space="preserve"> </w:t>
      </w:r>
      <w:r w:rsidR="001B6670" w:rsidRPr="00382917">
        <w:t>that</w:t>
      </w:r>
      <w:r w:rsidR="00EE4FC3">
        <w:t xml:space="preserve"> </w:t>
      </w:r>
      <w:r w:rsidR="001B6670" w:rsidRPr="00382917">
        <w:t>has</w:t>
      </w:r>
      <w:r w:rsidR="00EE4FC3">
        <w:t xml:space="preserve"> </w:t>
      </w:r>
      <w:r w:rsidR="001B6670" w:rsidRPr="00382917">
        <w:t>now</w:t>
      </w:r>
      <w:r w:rsidR="00EE4FC3">
        <w:t xml:space="preserve"> </w:t>
      </w:r>
      <w:r w:rsidR="001B6670" w:rsidRPr="00382917">
        <w:t>brought</w:t>
      </w:r>
      <w:r w:rsidR="00EE4FC3">
        <w:t xml:space="preserve"> </w:t>
      </w:r>
      <w:r w:rsidR="001B6670" w:rsidRPr="00382917">
        <w:t>the</w:t>
      </w:r>
      <w:r w:rsidR="00EE4FC3">
        <w:t xml:space="preserve"> </w:t>
      </w:r>
      <w:r w:rsidR="001B6670" w:rsidRPr="00382917">
        <w:t>whole</w:t>
      </w:r>
      <w:r w:rsidR="00EE4FC3">
        <w:t xml:space="preserve"> </w:t>
      </w:r>
      <w:r w:rsidR="001B6670" w:rsidRPr="00382917">
        <w:t>regiment</w:t>
      </w:r>
      <w:r w:rsidR="00EE4FC3">
        <w:t xml:space="preserve"> </w:t>
      </w:r>
      <w:r w:rsidR="001B6670" w:rsidRPr="00382917">
        <w:t>to</w:t>
      </w:r>
      <w:r w:rsidR="00EE4FC3">
        <w:t xml:space="preserve"> </w:t>
      </w:r>
      <w:r w:rsidR="001B6670" w:rsidRPr="00382917">
        <w:t>so</w:t>
      </w:r>
      <w:r w:rsidR="00EE4FC3">
        <w:t xml:space="preserve"> </w:t>
      </w:r>
      <w:proofErr w:type="spellStart"/>
      <w:r w:rsidR="001B6670" w:rsidRPr="00382917">
        <w:t>dishonorable</w:t>
      </w:r>
      <w:proofErr w:type="spellEnd"/>
      <w:r w:rsidR="00EE4FC3">
        <w:t xml:space="preserve"> </w:t>
      </w:r>
      <w:r w:rsidR="001B6670" w:rsidRPr="00382917">
        <w:t>an</w:t>
      </w:r>
      <w:r w:rsidR="00EE4FC3">
        <w:t xml:space="preserve"> </w:t>
      </w:r>
      <w:r w:rsidR="001B6670" w:rsidRPr="00382917">
        <w:t>end?</w:t>
      </w:r>
      <w:r w:rsidRPr="00382917">
        <w:t>”</w:t>
      </w:r>
    </w:p>
    <w:p w:rsidR="001B6670" w:rsidRPr="00382917" w:rsidRDefault="001B6670" w:rsidP="00775809">
      <w:pPr>
        <w:pStyle w:val="Text"/>
      </w:pPr>
      <w:r w:rsidRPr="00382917">
        <w:t>When</w:t>
      </w:r>
      <w:r w:rsidR="00EE4FC3">
        <w:t xml:space="preserve"> </w:t>
      </w:r>
      <w:r w:rsidRPr="00382917">
        <w:t>the</w:t>
      </w:r>
      <w:r w:rsidR="00EE4FC3">
        <w:t xml:space="preserve"> </w:t>
      </w:r>
      <w:r w:rsidRPr="00382917">
        <w:t>leading</w:t>
      </w:r>
      <w:r w:rsidR="00EE4FC3">
        <w:t xml:space="preserve"> </w:t>
      </w:r>
      <w:r w:rsidRPr="00382917">
        <w:t>lawyers</w:t>
      </w:r>
      <w:r w:rsidR="00EE4FC3">
        <w:t xml:space="preserve"> </w:t>
      </w:r>
      <w:r w:rsidRPr="00382917">
        <w:t>overheard</w:t>
      </w:r>
      <w:r w:rsidR="00EE4FC3">
        <w:t xml:space="preserve"> </w:t>
      </w:r>
      <w:r w:rsidRPr="00382917">
        <w:t>these</w:t>
      </w:r>
      <w:r w:rsidR="00EE4FC3">
        <w:t xml:space="preserve"> </w:t>
      </w:r>
      <w:r w:rsidRPr="00382917">
        <w:t>misgivings</w:t>
      </w:r>
      <w:r w:rsidR="00EE4FC3">
        <w:t xml:space="preserve"> </w:t>
      </w:r>
      <w:r w:rsidRPr="00382917">
        <w:t>and</w:t>
      </w:r>
      <w:r w:rsidR="00EE4FC3">
        <w:t xml:space="preserve"> </w:t>
      </w:r>
      <w:r w:rsidRPr="00382917">
        <w:t>doubts</w:t>
      </w:r>
      <w:r w:rsidR="00EE4FC3">
        <w:t xml:space="preserve"> </w:t>
      </w:r>
      <w:r w:rsidRPr="00382917">
        <w:t>they</w:t>
      </w:r>
      <w:r w:rsidR="00EE4FC3">
        <w:t xml:space="preserve"> </w:t>
      </w:r>
      <w:r w:rsidRPr="00382917">
        <w:t>were</w:t>
      </w:r>
      <w:r w:rsidR="00EE4FC3">
        <w:t xml:space="preserve"> </w:t>
      </w:r>
      <w:r w:rsidRPr="00382917">
        <w:t>alarmed</w:t>
      </w:r>
      <w:r w:rsidR="00330AF7">
        <w:t>.</w:t>
      </w:r>
      <w:r w:rsidR="00EE4FC3">
        <w:t xml:space="preserve">  </w:t>
      </w:r>
      <w:r w:rsidRPr="00382917">
        <w:t>They</w:t>
      </w:r>
      <w:r w:rsidR="00EE4FC3">
        <w:t xml:space="preserve"> </w:t>
      </w:r>
      <w:r w:rsidRPr="00382917">
        <w:t>issued</w:t>
      </w:r>
      <w:r w:rsidR="00EE4FC3">
        <w:t xml:space="preserve"> </w:t>
      </w:r>
      <w:r w:rsidRPr="00382917">
        <w:t>a</w:t>
      </w:r>
      <w:r w:rsidR="00EE4FC3">
        <w:t xml:space="preserve"> </w:t>
      </w:r>
      <w:r w:rsidRPr="00382917">
        <w:t>warning</w:t>
      </w:r>
      <w:r w:rsidR="00EE4FC3">
        <w:t xml:space="preserve"> </w:t>
      </w:r>
      <w:r w:rsidRPr="00382917">
        <w:t>stating</w:t>
      </w:r>
      <w:r w:rsidR="00EE4FC3">
        <w:t xml:space="preserve"> </w:t>
      </w:r>
      <w:r w:rsidRPr="00382917">
        <w:t>that</w:t>
      </w:r>
      <w:r w:rsidR="00EE4FC3">
        <w:t xml:space="preserve"> </w:t>
      </w:r>
      <w:r w:rsidRPr="00382917">
        <w:t>all</w:t>
      </w:r>
      <w:r w:rsidR="00EE4FC3">
        <w:t xml:space="preserve"> </w:t>
      </w:r>
      <w:r w:rsidRPr="00382917">
        <w:t>who</w:t>
      </w:r>
    </w:p>
    <w:p w:rsidR="00775809" w:rsidRPr="00382917" w:rsidRDefault="00775809">
      <w:pPr>
        <w:widowControl/>
        <w:kinsoku/>
        <w:overflowPunct/>
        <w:textAlignment w:val="auto"/>
      </w:pPr>
      <w:r w:rsidRPr="00382917">
        <w:br w:type="page"/>
      </w:r>
    </w:p>
    <w:p w:rsidR="001B6670" w:rsidRPr="00382917" w:rsidRDefault="001B6670" w:rsidP="00775809">
      <w:pPr>
        <w:pStyle w:val="Textcts"/>
      </w:pPr>
      <w:proofErr w:type="gramStart"/>
      <w:r w:rsidRPr="00382917">
        <w:t>expressed</w:t>
      </w:r>
      <w:proofErr w:type="gramEnd"/>
      <w:r w:rsidR="00EE4FC3">
        <w:t xml:space="preserve"> </w:t>
      </w:r>
      <w:r w:rsidRPr="00382917">
        <w:t>such</w:t>
      </w:r>
      <w:r w:rsidR="00EE4FC3">
        <w:t xml:space="preserve"> </w:t>
      </w:r>
      <w:r w:rsidRPr="00382917">
        <w:t>thoughts</w:t>
      </w:r>
      <w:r w:rsidR="00EE4FC3">
        <w:t xml:space="preserve"> </w:t>
      </w:r>
      <w:r w:rsidRPr="00382917">
        <w:t>would</w:t>
      </w:r>
      <w:r w:rsidR="00EE4FC3">
        <w:t xml:space="preserve"> </w:t>
      </w:r>
      <w:r w:rsidRPr="00382917">
        <w:t>be</w:t>
      </w:r>
      <w:r w:rsidR="00EE4FC3">
        <w:t xml:space="preserve"> </w:t>
      </w:r>
      <w:r w:rsidRPr="00382917">
        <w:t>severely</w:t>
      </w:r>
      <w:r w:rsidR="00EE4FC3">
        <w:t xml:space="preserve"> </w:t>
      </w:r>
      <w:r w:rsidRPr="00382917">
        <w:t>punished</w:t>
      </w:r>
      <w:r w:rsidR="00330AF7">
        <w:t>.</w:t>
      </w:r>
      <w:r w:rsidR="00EE4FC3">
        <w:t xml:space="preserve">  </w:t>
      </w:r>
      <w:r w:rsidRPr="00382917">
        <w:t>To</w:t>
      </w:r>
      <w:r w:rsidR="00EE4FC3">
        <w:t xml:space="preserve"> </w:t>
      </w:r>
      <w:r w:rsidRPr="00382917">
        <w:t>demonstrate</w:t>
      </w:r>
      <w:r w:rsidR="00EE4FC3">
        <w:t xml:space="preserve"> </w:t>
      </w:r>
      <w:r w:rsidRPr="00382917">
        <w:t>their</w:t>
      </w:r>
      <w:r w:rsidR="00EE4FC3">
        <w:t xml:space="preserve"> </w:t>
      </w:r>
      <w:r w:rsidRPr="00382917">
        <w:t>anger</w:t>
      </w:r>
      <w:r w:rsidR="00EE4FC3">
        <w:t xml:space="preserve"> </w:t>
      </w:r>
      <w:r w:rsidRPr="00382917">
        <w:t>they</w:t>
      </w:r>
      <w:r w:rsidR="00EE4FC3">
        <w:t xml:space="preserve"> </w:t>
      </w:r>
      <w:r w:rsidRPr="00382917">
        <w:t>made</w:t>
      </w:r>
      <w:r w:rsidR="00EE4FC3">
        <w:t xml:space="preserve"> </w:t>
      </w:r>
      <w:r w:rsidRPr="00382917">
        <w:t>an</w:t>
      </w:r>
      <w:r w:rsidR="00EE4FC3">
        <w:t xml:space="preserve"> </w:t>
      </w:r>
      <w:r w:rsidRPr="00382917">
        <w:t>example</w:t>
      </w:r>
      <w:r w:rsidR="00EE4FC3">
        <w:t xml:space="preserve"> </w:t>
      </w:r>
      <w:r w:rsidRPr="00382917">
        <w:t>of</w:t>
      </w:r>
      <w:r w:rsidR="00EE4FC3">
        <w:t xml:space="preserve"> </w:t>
      </w:r>
      <w:r w:rsidRPr="00382917">
        <w:t>a</w:t>
      </w:r>
      <w:r w:rsidR="00EE4FC3">
        <w:t xml:space="preserve"> </w:t>
      </w:r>
      <w:r w:rsidRPr="00382917">
        <w:t>few</w:t>
      </w:r>
      <w:r w:rsidR="00EE4FC3">
        <w:t xml:space="preserve"> </w:t>
      </w:r>
      <w:r w:rsidRPr="00382917">
        <w:t>of</w:t>
      </w:r>
      <w:r w:rsidR="00EE4FC3">
        <w:t xml:space="preserve"> </w:t>
      </w:r>
      <w:r w:rsidRPr="00382917">
        <w:t>the</w:t>
      </w:r>
      <w:r w:rsidR="00EE4FC3">
        <w:t xml:space="preserve"> </w:t>
      </w:r>
      <w:r w:rsidRPr="00382917">
        <w:t>people</w:t>
      </w:r>
      <w:r w:rsidR="00330AF7">
        <w:t>.</w:t>
      </w:r>
      <w:r w:rsidR="00EE4FC3">
        <w:t xml:space="preserve">  </w:t>
      </w:r>
      <w:r w:rsidRPr="00382917">
        <w:t>Some</w:t>
      </w:r>
      <w:r w:rsidR="00EE4FC3">
        <w:t xml:space="preserve"> </w:t>
      </w:r>
      <w:r w:rsidRPr="00382917">
        <w:t>were</w:t>
      </w:r>
      <w:r w:rsidR="00EE4FC3">
        <w:t xml:space="preserve"> </w:t>
      </w:r>
      <w:r w:rsidRPr="00382917">
        <w:t>fined</w:t>
      </w:r>
      <w:r w:rsidR="00EE4FC3">
        <w:t xml:space="preserve"> </w:t>
      </w:r>
      <w:r w:rsidRPr="00382917">
        <w:t>and</w:t>
      </w:r>
      <w:r w:rsidR="00EE4FC3">
        <w:t xml:space="preserve"> </w:t>
      </w:r>
      <w:r w:rsidRPr="00382917">
        <w:t>some</w:t>
      </w:r>
      <w:r w:rsidR="00EE4FC3">
        <w:t xml:space="preserve"> </w:t>
      </w:r>
      <w:r w:rsidRPr="00382917">
        <w:t>were</w:t>
      </w:r>
      <w:r w:rsidR="00EE4FC3">
        <w:t xml:space="preserve"> </w:t>
      </w:r>
      <w:r w:rsidRPr="00382917">
        <w:t>beaten</w:t>
      </w:r>
      <w:r w:rsidR="00330AF7">
        <w:t>.</w:t>
      </w:r>
      <w:r w:rsidR="00EE4FC3">
        <w:t xml:space="preserve">  </w:t>
      </w:r>
      <w:r w:rsidRPr="00382917">
        <w:t>All</w:t>
      </w:r>
      <w:r w:rsidR="00EE4FC3">
        <w:t xml:space="preserve"> </w:t>
      </w:r>
      <w:r w:rsidRPr="00382917">
        <w:t>were</w:t>
      </w:r>
      <w:r w:rsidR="00EE4FC3">
        <w:t xml:space="preserve"> </w:t>
      </w:r>
      <w:r w:rsidRPr="00382917">
        <w:t>warned</w:t>
      </w:r>
      <w:r w:rsidR="00EE4FC3">
        <w:t xml:space="preserve"> </w:t>
      </w:r>
      <w:r w:rsidRPr="00382917">
        <w:t>under</w:t>
      </w:r>
      <w:r w:rsidR="00EE4FC3">
        <w:t xml:space="preserve"> </w:t>
      </w:r>
      <w:r w:rsidRPr="00382917">
        <w:t>threat</w:t>
      </w:r>
      <w:r w:rsidR="00EE4FC3">
        <w:t xml:space="preserve"> </w:t>
      </w:r>
      <w:r w:rsidRPr="00382917">
        <w:t>of</w:t>
      </w:r>
      <w:r w:rsidR="00EE4FC3">
        <w:t xml:space="preserve"> </w:t>
      </w:r>
      <w:r w:rsidRPr="00382917">
        <w:t>further</w:t>
      </w:r>
      <w:r w:rsidR="00EE4FC3">
        <w:t xml:space="preserve"> </w:t>
      </w:r>
      <w:r w:rsidRPr="00382917">
        <w:t>punishment</w:t>
      </w:r>
      <w:r w:rsidR="00EE4FC3">
        <w:t xml:space="preserve"> </w:t>
      </w:r>
      <w:r w:rsidRPr="00382917">
        <w:t>to</w:t>
      </w:r>
      <w:r w:rsidR="00EE4FC3">
        <w:t xml:space="preserve"> </w:t>
      </w:r>
      <w:r w:rsidRPr="00382917">
        <w:t>cease</w:t>
      </w:r>
      <w:r w:rsidR="00EE4FC3">
        <w:t xml:space="preserve"> </w:t>
      </w:r>
      <w:r w:rsidRPr="00382917">
        <w:t>such</w:t>
      </w:r>
      <w:r w:rsidR="00EE4FC3">
        <w:t xml:space="preserve"> </w:t>
      </w:r>
      <w:r w:rsidRPr="00382917">
        <w:t>talk</w:t>
      </w:r>
      <w:r w:rsidR="00EE4FC3">
        <w:t xml:space="preserve"> </w:t>
      </w:r>
      <w:r w:rsidRPr="00382917">
        <w:t>at</w:t>
      </w:r>
      <w:r w:rsidR="00EE4FC3">
        <w:t xml:space="preserve"> </w:t>
      </w:r>
      <w:r w:rsidRPr="00382917">
        <w:t>once.</w:t>
      </w:r>
    </w:p>
    <w:p w:rsidR="001B6670" w:rsidRPr="00382917" w:rsidRDefault="009C713D" w:rsidP="00775809">
      <w:pPr>
        <w:pStyle w:val="Text"/>
      </w:pPr>
      <w:r w:rsidRPr="00382917">
        <w:t>“</w:t>
      </w:r>
      <w:r w:rsidR="001B6670" w:rsidRPr="00382917">
        <w:t>It</w:t>
      </w:r>
      <w:r w:rsidR="00EE4FC3">
        <w:t xml:space="preserve"> </w:t>
      </w:r>
      <w:r w:rsidR="001B6670" w:rsidRPr="00382917">
        <w:t>can</w:t>
      </w:r>
      <w:r w:rsidR="00EE4FC3">
        <w:t xml:space="preserve"> </w:t>
      </w:r>
      <w:r w:rsidR="001B6670" w:rsidRPr="00382917">
        <w:t>only</w:t>
      </w:r>
      <w:r w:rsidR="00EE4FC3">
        <w:t xml:space="preserve"> </w:t>
      </w:r>
      <w:r w:rsidR="001B6670" w:rsidRPr="00382917">
        <w:t>revive</w:t>
      </w:r>
      <w:r w:rsidR="00EE4FC3">
        <w:t xml:space="preserve"> </w:t>
      </w:r>
      <w:r w:rsidR="001B6670" w:rsidRPr="00382917">
        <w:t>the</w:t>
      </w:r>
      <w:r w:rsidR="00EE4FC3">
        <w:t xml:space="preserve"> </w:t>
      </w:r>
      <w:r w:rsidR="001B6670" w:rsidRPr="00382917">
        <w:t>memory</w:t>
      </w:r>
      <w:r w:rsidR="00EE4FC3">
        <w:t xml:space="preserve"> </w:t>
      </w:r>
      <w:r w:rsidR="001B6670" w:rsidRPr="00382917">
        <w:t>of</w:t>
      </w:r>
      <w:r w:rsidR="00EE4FC3">
        <w:t xml:space="preserve"> </w:t>
      </w:r>
      <w:r w:rsidR="001B6670" w:rsidRPr="00382917">
        <w:t>a</w:t>
      </w:r>
      <w:r w:rsidR="00EE4FC3">
        <w:t xml:space="preserve"> </w:t>
      </w:r>
      <w:r w:rsidR="001B6670" w:rsidRPr="00382917">
        <w:t>terrible</w:t>
      </w:r>
      <w:r w:rsidR="00EE4FC3">
        <w:t xml:space="preserve"> </w:t>
      </w:r>
      <w:r w:rsidR="001B6670" w:rsidRPr="00382917">
        <w:t>adversary,</w:t>
      </w:r>
      <w:r w:rsidRPr="00382917">
        <w:t>”</w:t>
      </w:r>
      <w:r w:rsidR="00EE4FC3">
        <w:t xml:space="preserve"> </w:t>
      </w:r>
      <w:r w:rsidR="001B6670" w:rsidRPr="00382917">
        <w:t>they</w:t>
      </w:r>
      <w:r w:rsidR="00EE4FC3">
        <w:t xml:space="preserve"> </w:t>
      </w:r>
      <w:r w:rsidR="001B6670" w:rsidRPr="00382917">
        <w:t>were</w:t>
      </w:r>
      <w:r w:rsidR="00EE4FC3">
        <w:t xml:space="preserve"> </w:t>
      </w:r>
      <w:r w:rsidR="001B6670" w:rsidRPr="00382917">
        <w:t>told.</w:t>
      </w:r>
    </w:p>
    <w:p w:rsidR="001B6670" w:rsidRPr="00382917" w:rsidRDefault="001B6670" w:rsidP="00775809">
      <w:pPr>
        <w:pStyle w:val="Text"/>
      </w:pPr>
      <w:r w:rsidRPr="00382917">
        <w:t>History</w:t>
      </w:r>
      <w:r w:rsidR="00EE4FC3">
        <w:t xml:space="preserve"> </w:t>
      </w:r>
      <w:r w:rsidRPr="00382917">
        <w:t>records</w:t>
      </w:r>
      <w:r w:rsidR="00EE4FC3">
        <w:t xml:space="preserve"> </w:t>
      </w:r>
      <w:r w:rsidRPr="00382917">
        <w:t>that</w:t>
      </w:r>
      <w:r w:rsidR="00EE4FC3">
        <w:t xml:space="preserve"> </w:t>
      </w:r>
      <w:r w:rsidRPr="00382917">
        <w:t>from</w:t>
      </w:r>
      <w:r w:rsidR="00EE4FC3">
        <w:t xml:space="preserve"> </w:t>
      </w:r>
      <w:r w:rsidRPr="00382917">
        <w:t>the</w:t>
      </w:r>
      <w:r w:rsidR="00EE4FC3">
        <w:t xml:space="preserve"> </w:t>
      </w:r>
      <w:r w:rsidRPr="00382917">
        <w:t>very</w:t>
      </w:r>
      <w:r w:rsidR="00EE4FC3">
        <w:t xml:space="preserve"> </w:t>
      </w:r>
      <w:r w:rsidRPr="00382917">
        <w:t>hour</w:t>
      </w:r>
      <w:r w:rsidR="00EE4FC3">
        <w:t xml:space="preserve"> </w:t>
      </w:r>
      <w:r w:rsidRPr="00382917">
        <w:t>that</w:t>
      </w:r>
      <w:r w:rsidR="00EE4FC3">
        <w:t xml:space="preserve"> </w:t>
      </w:r>
      <w:r w:rsidRPr="00382917">
        <w:t>the</w:t>
      </w:r>
      <w:r w:rsidR="00EE4FC3">
        <w:t xml:space="preserve"> </w:t>
      </w:r>
      <w:r w:rsidRPr="00382917">
        <w:t>volley</w:t>
      </w:r>
      <w:r w:rsidR="00EE4FC3">
        <w:t xml:space="preserve"> </w:t>
      </w:r>
      <w:r w:rsidRPr="00382917">
        <w:t>of</w:t>
      </w:r>
      <w:r w:rsidR="00EE4FC3">
        <w:t xml:space="preserve"> </w:t>
      </w:r>
      <w:r w:rsidRPr="00382917">
        <w:t>bullets</w:t>
      </w:r>
      <w:r w:rsidR="00EE4FC3">
        <w:t xml:space="preserve"> </w:t>
      </w:r>
      <w:r w:rsidRPr="00382917">
        <w:t>was</w:t>
      </w:r>
      <w:r w:rsidR="00EE4FC3">
        <w:t xml:space="preserve"> </w:t>
      </w:r>
      <w:r w:rsidRPr="00382917">
        <w:t>fired</w:t>
      </w:r>
      <w:r w:rsidR="00EE4FC3">
        <w:t xml:space="preserve"> </w:t>
      </w:r>
      <w:r w:rsidRPr="00382917">
        <w:t>at</w:t>
      </w:r>
      <w:r w:rsidR="00EE4FC3">
        <w:t xml:space="preserve"> </w:t>
      </w:r>
      <w:r w:rsidRPr="00382917">
        <w:t>the</w:t>
      </w:r>
      <w:r w:rsidR="00EE4FC3">
        <w:t xml:space="preserve"> </w:t>
      </w:r>
      <w:r w:rsidRPr="00382917">
        <w:t>Báb,</w:t>
      </w:r>
      <w:r w:rsidR="00EE4FC3">
        <w:t xml:space="preserve"> </w:t>
      </w:r>
      <w:r w:rsidR="009C713D" w:rsidRPr="00382917">
        <w:t>“</w:t>
      </w:r>
      <w:r w:rsidRPr="00382917">
        <w:t>a</w:t>
      </w:r>
      <w:r w:rsidR="00EE4FC3">
        <w:t xml:space="preserve"> </w:t>
      </w:r>
      <w:r w:rsidRPr="00382917">
        <w:t>gale</w:t>
      </w:r>
      <w:r w:rsidR="00EE4FC3">
        <w:t xml:space="preserve"> </w:t>
      </w:r>
      <w:r w:rsidRPr="00382917">
        <w:t>of</w:t>
      </w:r>
      <w:r w:rsidR="00EE4FC3">
        <w:t xml:space="preserve"> </w:t>
      </w:r>
      <w:r w:rsidRPr="00382917">
        <w:t>exceptional</w:t>
      </w:r>
      <w:r w:rsidR="00EE4FC3">
        <w:t xml:space="preserve"> </w:t>
      </w:r>
      <w:r w:rsidRPr="00382917">
        <w:t>severity</w:t>
      </w:r>
      <w:r w:rsidR="00EE4FC3">
        <w:t xml:space="preserve"> </w:t>
      </w:r>
      <w:r w:rsidRPr="00382917">
        <w:t>arose</w:t>
      </w:r>
      <w:r w:rsidR="00EE4FC3">
        <w:t xml:space="preserve"> </w:t>
      </w:r>
      <w:r w:rsidRPr="00382917">
        <w:t>and</w:t>
      </w:r>
      <w:r w:rsidR="00EE4FC3">
        <w:t xml:space="preserve"> </w:t>
      </w:r>
      <w:r w:rsidRPr="00382917">
        <w:t>swept</w:t>
      </w:r>
      <w:r w:rsidR="00EE4FC3">
        <w:t xml:space="preserve"> </w:t>
      </w:r>
      <w:r w:rsidRPr="00382917">
        <w:t>over</w:t>
      </w:r>
      <w:r w:rsidR="00EE4FC3">
        <w:t xml:space="preserve"> </w:t>
      </w:r>
      <w:r w:rsidRPr="00382917">
        <w:t>the</w:t>
      </w:r>
      <w:r w:rsidR="00EE4FC3">
        <w:t xml:space="preserve"> </w:t>
      </w:r>
      <w:r w:rsidRPr="00382917">
        <w:t>whole</w:t>
      </w:r>
      <w:r w:rsidR="00EE4FC3">
        <w:t xml:space="preserve"> </w:t>
      </w:r>
      <w:r w:rsidRPr="00382917">
        <w:t>city</w:t>
      </w:r>
      <w:r w:rsidR="00330AF7">
        <w:t>.</w:t>
      </w:r>
      <w:r w:rsidR="00EE4FC3">
        <w:t xml:space="preserve">  </w:t>
      </w:r>
      <w:r w:rsidRPr="00382917">
        <w:t>A</w:t>
      </w:r>
      <w:r w:rsidR="00EE4FC3">
        <w:t xml:space="preserve"> </w:t>
      </w:r>
      <w:r w:rsidRPr="00382917">
        <w:t>whirlwind</w:t>
      </w:r>
      <w:r w:rsidR="00EE4FC3">
        <w:t xml:space="preserve"> </w:t>
      </w:r>
      <w:r w:rsidRPr="00382917">
        <w:t>of</w:t>
      </w:r>
      <w:r w:rsidR="00EE4FC3">
        <w:t xml:space="preserve"> </w:t>
      </w:r>
      <w:r w:rsidRPr="00382917">
        <w:t>dust</w:t>
      </w:r>
      <w:r w:rsidR="00EE4FC3">
        <w:t xml:space="preserve"> </w:t>
      </w:r>
      <w:r w:rsidRPr="00382917">
        <w:t>of</w:t>
      </w:r>
      <w:r w:rsidR="00EE4FC3">
        <w:t xml:space="preserve"> </w:t>
      </w:r>
      <w:r w:rsidRPr="00382917">
        <w:t>incredible</w:t>
      </w:r>
      <w:r w:rsidR="00EE4FC3">
        <w:t xml:space="preserve"> </w:t>
      </w:r>
      <w:r w:rsidRPr="00382917">
        <w:t>density</w:t>
      </w:r>
      <w:r w:rsidR="00EE4FC3">
        <w:t xml:space="preserve"> </w:t>
      </w:r>
      <w:r w:rsidRPr="00382917">
        <w:t>obscured</w:t>
      </w:r>
      <w:r w:rsidR="00EE4FC3">
        <w:t xml:space="preserve"> </w:t>
      </w:r>
      <w:r w:rsidRPr="00382917">
        <w:t>the</w:t>
      </w:r>
      <w:r w:rsidR="00EE4FC3">
        <w:t xml:space="preserve"> </w:t>
      </w:r>
      <w:r w:rsidRPr="00382917">
        <w:t>light</w:t>
      </w:r>
      <w:r w:rsidR="00EE4FC3">
        <w:t xml:space="preserve"> </w:t>
      </w:r>
      <w:r w:rsidRPr="00382917">
        <w:t>of</w:t>
      </w:r>
      <w:r w:rsidR="00EE4FC3">
        <w:t xml:space="preserve"> </w:t>
      </w:r>
      <w:r w:rsidRPr="00382917">
        <w:t>the</w:t>
      </w:r>
      <w:r w:rsidR="00EE4FC3">
        <w:t xml:space="preserve"> </w:t>
      </w:r>
      <w:r w:rsidRPr="00382917">
        <w:t>sun</w:t>
      </w:r>
      <w:r w:rsidR="00EE4FC3">
        <w:t xml:space="preserve"> </w:t>
      </w:r>
      <w:r w:rsidRPr="00382917">
        <w:t>and</w:t>
      </w:r>
      <w:r w:rsidR="00EE4FC3">
        <w:t xml:space="preserve"> </w:t>
      </w:r>
      <w:r w:rsidRPr="00382917">
        <w:t>blinded</w:t>
      </w:r>
      <w:r w:rsidR="00EE4FC3">
        <w:t xml:space="preserve"> </w:t>
      </w:r>
      <w:r w:rsidRPr="00382917">
        <w:t>the</w:t>
      </w:r>
      <w:r w:rsidR="00EE4FC3">
        <w:t xml:space="preserve"> </w:t>
      </w:r>
      <w:r w:rsidRPr="00382917">
        <w:t>eyes</w:t>
      </w:r>
      <w:r w:rsidR="00EE4FC3">
        <w:t xml:space="preserve"> </w:t>
      </w:r>
      <w:r w:rsidRPr="00382917">
        <w:t>of</w:t>
      </w:r>
      <w:r w:rsidR="00EE4FC3">
        <w:t xml:space="preserve"> </w:t>
      </w:r>
      <w:r w:rsidRPr="00382917">
        <w:t>the</w:t>
      </w:r>
      <w:r w:rsidR="00EE4FC3">
        <w:t xml:space="preserve"> </w:t>
      </w:r>
      <w:r w:rsidRPr="00382917">
        <w:t>people.</w:t>
      </w:r>
      <w:r w:rsidR="009C713D" w:rsidRPr="00382917">
        <w:t>”</w:t>
      </w:r>
      <w:r w:rsidR="008E7A6E">
        <w:t xml:space="preserve"> </w:t>
      </w:r>
      <w:r w:rsidR="00EE4FC3">
        <w:t xml:space="preserve"> </w:t>
      </w:r>
      <w:r w:rsidRPr="00382917">
        <w:t>The</w:t>
      </w:r>
      <w:r w:rsidR="00EE4FC3">
        <w:t xml:space="preserve"> </w:t>
      </w:r>
      <w:r w:rsidRPr="00382917">
        <w:t>city</w:t>
      </w:r>
      <w:r w:rsidR="00EE4FC3">
        <w:t xml:space="preserve"> </w:t>
      </w:r>
      <w:r w:rsidRPr="00382917">
        <w:t>of</w:t>
      </w:r>
      <w:r w:rsidR="00EE4FC3">
        <w:t xml:space="preserve"> </w:t>
      </w:r>
      <w:r w:rsidRPr="00382917">
        <w:t>Tabríz</w:t>
      </w:r>
      <w:r w:rsidR="00EE4FC3">
        <w:t xml:space="preserve"> </w:t>
      </w:r>
      <w:r w:rsidRPr="00382917">
        <w:t>remained</w:t>
      </w:r>
      <w:r w:rsidR="00EE4FC3">
        <w:t xml:space="preserve"> </w:t>
      </w:r>
      <w:r w:rsidRPr="00382917">
        <w:t>wrapped</w:t>
      </w:r>
      <w:r w:rsidR="00EE4FC3">
        <w:t xml:space="preserve"> </w:t>
      </w:r>
      <w:r w:rsidRPr="00382917">
        <w:t>in</w:t>
      </w:r>
      <w:r w:rsidR="00EE4FC3">
        <w:t xml:space="preserve"> </w:t>
      </w:r>
      <w:r w:rsidRPr="00382917">
        <w:t>that</w:t>
      </w:r>
      <w:r w:rsidR="00EE4FC3">
        <w:t xml:space="preserve"> </w:t>
      </w:r>
      <w:r w:rsidRPr="00382917">
        <w:t>fearful</w:t>
      </w:r>
      <w:r w:rsidR="00EE4FC3">
        <w:t xml:space="preserve"> </w:t>
      </w:r>
      <w:r w:rsidRPr="00382917">
        <w:t>darkness</w:t>
      </w:r>
      <w:r w:rsidR="00EE4FC3">
        <w:t xml:space="preserve"> </w:t>
      </w:r>
      <w:r w:rsidRPr="00382917">
        <w:t>from</w:t>
      </w:r>
      <w:r w:rsidR="00EE4FC3">
        <w:t xml:space="preserve"> </w:t>
      </w:r>
      <w:r w:rsidRPr="00382917">
        <w:t>noon</w:t>
      </w:r>
      <w:r w:rsidR="00EE4FC3">
        <w:t xml:space="preserve"> </w:t>
      </w:r>
      <w:r w:rsidRPr="00382917">
        <w:t>until</w:t>
      </w:r>
      <w:r w:rsidR="00EE4FC3">
        <w:t xml:space="preserve"> </w:t>
      </w:r>
      <w:r w:rsidRPr="00382917">
        <w:t>night.</w:t>
      </w:r>
    </w:p>
    <w:p w:rsidR="001B6670" w:rsidRPr="00382917" w:rsidRDefault="001B6670" w:rsidP="008E7A6E">
      <w:pPr>
        <w:pStyle w:val="Text"/>
      </w:pPr>
      <w:r w:rsidRPr="00382917">
        <w:t>This</w:t>
      </w:r>
      <w:r w:rsidR="00EE4FC3">
        <w:t xml:space="preserve"> </w:t>
      </w:r>
      <w:r w:rsidRPr="00382917">
        <w:t>was</w:t>
      </w:r>
      <w:r w:rsidR="00EE4FC3">
        <w:t xml:space="preserve"> </w:t>
      </w:r>
      <w:r w:rsidRPr="00382917">
        <w:t>the</w:t>
      </w:r>
      <w:r w:rsidR="00EE4FC3">
        <w:t xml:space="preserve"> </w:t>
      </w:r>
      <w:r w:rsidRPr="00382917">
        <w:t>hour</w:t>
      </w:r>
      <w:r w:rsidR="00EE4FC3">
        <w:t xml:space="preserve"> </w:t>
      </w:r>
      <w:r w:rsidRPr="00382917">
        <w:t>promised</w:t>
      </w:r>
      <w:r w:rsidR="00EE4FC3">
        <w:t xml:space="preserve"> </w:t>
      </w:r>
      <w:r w:rsidRPr="00382917">
        <w:t>in</w:t>
      </w:r>
      <w:r w:rsidR="00EE4FC3">
        <w:t xml:space="preserve"> </w:t>
      </w:r>
      <w:r w:rsidRPr="00382917">
        <w:t>the</w:t>
      </w:r>
      <w:r w:rsidR="00EE4FC3">
        <w:t xml:space="preserve"> </w:t>
      </w:r>
      <w:r w:rsidRPr="00382917">
        <w:t>Old</w:t>
      </w:r>
      <w:r w:rsidR="00EE4FC3">
        <w:t xml:space="preserve"> </w:t>
      </w:r>
      <w:r w:rsidRPr="00382917">
        <w:t>Testament</w:t>
      </w:r>
      <w:r w:rsidR="00EE4FC3">
        <w:t xml:space="preserve"> </w:t>
      </w:r>
      <w:r w:rsidRPr="00382917">
        <w:t>in</w:t>
      </w:r>
      <w:r w:rsidR="00EE4FC3">
        <w:t xml:space="preserve"> </w:t>
      </w:r>
      <w:r w:rsidRPr="00382917">
        <w:t>the</w:t>
      </w:r>
      <w:r w:rsidR="00EE4FC3">
        <w:t xml:space="preserve"> </w:t>
      </w:r>
      <w:r w:rsidRPr="00382917">
        <w:t>Book</w:t>
      </w:r>
      <w:r w:rsidR="00EE4FC3">
        <w:t xml:space="preserve"> </w:t>
      </w:r>
      <w:r w:rsidRPr="00382917">
        <w:t>of</w:t>
      </w:r>
      <w:r w:rsidR="00EE4FC3">
        <w:t xml:space="preserve"> </w:t>
      </w:r>
      <w:r w:rsidRPr="00382917">
        <w:t>Amos</w:t>
      </w:r>
      <w:r w:rsidR="00EE4FC3">
        <w:t xml:space="preserve"> </w:t>
      </w:r>
      <w:r w:rsidRPr="00382917">
        <w:t>Who</w:t>
      </w:r>
      <w:r w:rsidR="00EE4FC3">
        <w:t xml:space="preserve"> </w:t>
      </w:r>
      <w:r w:rsidRPr="00382917">
        <w:t>said</w:t>
      </w:r>
      <w:r w:rsidR="00C03C91">
        <w:t>:</w:t>
      </w:r>
      <w:r w:rsidR="00EE4FC3">
        <w:t xml:space="preserve">  </w:t>
      </w:r>
      <w:r w:rsidR="009C713D" w:rsidRPr="00382917">
        <w:t>“</w:t>
      </w:r>
      <w:r w:rsidRPr="00382917">
        <w:t>And</w:t>
      </w:r>
      <w:r w:rsidR="00EE4FC3">
        <w:t xml:space="preserve"> </w:t>
      </w:r>
      <w:r w:rsidRPr="00382917">
        <w:t>it</w:t>
      </w:r>
      <w:r w:rsidR="00EE4FC3">
        <w:t xml:space="preserve"> </w:t>
      </w:r>
      <w:r w:rsidRPr="00382917">
        <w:t>shall</w:t>
      </w:r>
      <w:r w:rsidR="00EE4FC3">
        <w:t xml:space="preserve"> </w:t>
      </w:r>
      <w:r w:rsidRPr="00382917">
        <w:t>come</w:t>
      </w:r>
      <w:r w:rsidR="00EE4FC3">
        <w:t xml:space="preserve"> </w:t>
      </w:r>
      <w:r w:rsidRPr="00382917">
        <w:t>to</w:t>
      </w:r>
      <w:r w:rsidR="00EE4FC3">
        <w:t xml:space="preserve"> </w:t>
      </w:r>
      <w:r w:rsidRPr="00382917">
        <w:t>pass</w:t>
      </w:r>
      <w:r w:rsidR="00EE4FC3">
        <w:t xml:space="preserve"> </w:t>
      </w:r>
      <w:r w:rsidRPr="00382917">
        <w:t>in</w:t>
      </w:r>
      <w:r w:rsidR="00EE4FC3">
        <w:t xml:space="preserve"> </w:t>
      </w:r>
      <w:r w:rsidRPr="00382917">
        <w:t>that</w:t>
      </w:r>
      <w:r w:rsidR="00EE4FC3">
        <w:t xml:space="preserve"> </w:t>
      </w:r>
      <w:r w:rsidRPr="00382917">
        <w:t>day,</w:t>
      </w:r>
      <w:r w:rsidR="00EE4FC3">
        <w:t xml:space="preserve"> </w:t>
      </w:r>
      <w:proofErr w:type="spellStart"/>
      <w:r w:rsidRPr="00382917">
        <w:t>saith</w:t>
      </w:r>
      <w:proofErr w:type="spellEnd"/>
      <w:r w:rsidR="00EE4FC3">
        <w:t xml:space="preserve"> </w:t>
      </w:r>
      <w:r w:rsidRPr="00382917">
        <w:t>the</w:t>
      </w:r>
      <w:r w:rsidR="00EE4FC3">
        <w:t xml:space="preserve"> </w:t>
      </w:r>
      <w:r w:rsidRPr="00382917">
        <w:t>Lord</w:t>
      </w:r>
      <w:r w:rsidR="00EE4FC3">
        <w:t xml:space="preserve"> </w:t>
      </w:r>
      <w:r w:rsidRPr="00382917">
        <w:t>God,</w:t>
      </w:r>
      <w:r w:rsidR="00EE4FC3">
        <w:t xml:space="preserve"> </w:t>
      </w:r>
      <w:r w:rsidRPr="00382917">
        <w:t>that</w:t>
      </w:r>
      <w:r w:rsidR="00EE4FC3">
        <w:t xml:space="preserve"> </w:t>
      </w:r>
      <w:r w:rsidRPr="00382917">
        <w:t>I</w:t>
      </w:r>
      <w:r w:rsidR="00EE4FC3">
        <w:t xml:space="preserve"> </w:t>
      </w:r>
      <w:r w:rsidRPr="00382917">
        <w:t>will</w:t>
      </w:r>
      <w:r w:rsidR="00EE4FC3">
        <w:t xml:space="preserve"> </w:t>
      </w:r>
      <w:r w:rsidRPr="00382917">
        <w:t>cause</w:t>
      </w:r>
      <w:r w:rsidR="00EE4FC3">
        <w:t xml:space="preserve"> </w:t>
      </w:r>
      <w:r w:rsidRPr="00382917">
        <w:t>the</w:t>
      </w:r>
      <w:r w:rsidR="00EE4FC3">
        <w:t xml:space="preserve"> </w:t>
      </w:r>
      <w:r w:rsidRPr="00382917">
        <w:t>sun</w:t>
      </w:r>
      <w:r w:rsidR="00EE4FC3">
        <w:t xml:space="preserve"> </w:t>
      </w:r>
      <w:r w:rsidRPr="00382917">
        <w:t>to</w:t>
      </w:r>
      <w:r w:rsidR="00EE4FC3">
        <w:t xml:space="preserve"> </w:t>
      </w:r>
      <w:r w:rsidRPr="00382917">
        <w:t>go</w:t>
      </w:r>
      <w:r w:rsidR="00EE4FC3">
        <w:t xml:space="preserve"> </w:t>
      </w:r>
      <w:r w:rsidRPr="00382917">
        <w:t>down</w:t>
      </w:r>
      <w:r w:rsidR="00EE4FC3">
        <w:t xml:space="preserve"> </w:t>
      </w:r>
      <w:r w:rsidRPr="00382917">
        <w:t>at</w:t>
      </w:r>
      <w:r w:rsidR="00EE4FC3">
        <w:t xml:space="preserve"> </w:t>
      </w:r>
      <w:r w:rsidRPr="00382917">
        <w:t>noon,</w:t>
      </w:r>
      <w:r w:rsidR="00EE4FC3">
        <w:t xml:space="preserve"> </w:t>
      </w:r>
      <w:r w:rsidRPr="00382917">
        <w:t>and</w:t>
      </w:r>
      <w:r w:rsidR="00EE4FC3">
        <w:t xml:space="preserve"> </w:t>
      </w:r>
      <w:r w:rsidRPr="00382917">
        <w:t>I</w:t>
      </w:r>
      <w:r w:rsidR="00EE4FC3">
        <w:t xml:space="preserve"> </w:t>
      </w:r>
      <w:r w:rsidRPr="00382917">
        <w:t>will</w:t>
      </w:r>
      <w:r w:rsidR="00EE4FC3">
        <w:t xml:space="preserve"> </w:t>
      </w:r>
      <w:r w:rsidRPr="00382917">
        <w:t>darken</w:t>
      </w:r>
      <w:r w:rsidR="00EE4FC3">
        <w:t xml:space="preserve"> </w:t>
      </w:r>
      <w:r w:rsidRPr="00382917">
        <w:t>the</w:t>
      </w:r>
      <w:r w:rsidR="00EE4FC3">
        <w:t xml:space="preserve"> </w:t>
      </w:r>
      <w:r w:rsidRPr="00382917">
        <w:t>sky</w:t>
      </w:r>
      <w:r w:rsidR="00EE4FC3">
        <w:t xml:space="preserve"> </w:t>
      </w:r>
      <w:r w:rsidRPr="00382917">
        <w:t>on</w:t>
      </w:r>
      <w:r w:rsidR="00EE4FC3">
        <w:t xml:space="preserve"> </w:t>
      </w:r>
      <w:r w:rsidRPr="00382917">
        <w:t>a</w:t>
      </w:r>
      <w:r w:rsidR="00EE4FC3">
        <w:t xml:space="preserve"> </w:t>
      </w:r>
      <w:r w:rsidRPr="00382917">
        <w:t>clear</w:t>
      </w:r>
      <w:r w:rsidR="00EE4FC3">
        <w:t xml:space="preserve"> </w:t>
      </w:r>
      <w:r w:rsidRPr="00382917">
        <w:t>day.</w:t>
      </w:r>
      <w:r w:rsidR="009C713D" w:rsidRPr="00382917">
        <w:t>”</w:t>
      </w:r>
      <w:r w:rsidR="008E7A6E">
        <w:rPr>
          <w:rStyle w:val="FootnoteReference"/>
        </w:rPr>
        <w:footnoteReference w:id="268"/>
      </w:r>
    </w:p>
    <w:p w:rsidR="001B6670" w:rsidRPr="00382917" w:rsidRDefault="001B6670" w:rsidP="00330AF7">
      <w:pPr>
        <w:pStyle w:val="Text"/>
      </w:pPr>
      <w:r w:rsidRPr="00382917">
        <w:t>The</w:t>
      </w:r>
      <w:r w:rsidR="00EE4FC3">
        <w:t xml:space="preserve"> </w:t>
      </w:r>
      <w:r w:rsidR="009C713D" w:rsidRPr="00382917">
        <w:t>“</w:t>
      </w:r>
      <w:r w:rsidRPr="00382917">
        <w:t>lamb</w:t>
      </w:r>
      <w:r w:rsidR="009C713D" w:rsidRPr="00382917">
        <w:t>”</w:t>
      </w:r>
      <w:r w:rsidR="00EE4FC3">
        <w:t xml:space="preserve"> </w:t>
      </w:r>
      <w:r w:rsidRPr="00382917">
        <w:t>had</w:t>
      </w:r>
      <w:r w:rsidR="00EE4FC3">
        <w:t xml:space="preserve"> </w:t>
      </w:r>
      <w:r w:rsidRPr="00382917">
        <w:t>been</w:t>
      </w:r>
      <w:r w:rsidR="00EE4FC3">
        <w:t xml:space="preserve"> </w:t>
      </w:r>
      <w:r w:rsidRPr="00382917">
        <w:t>slain</w:t>
      </w:r>
      <w:r w:rsidR="00EE4FC3">
        <w:t xml:space="preserve"> </w:t>
      </w:r>
      <w:r w:rsidRPr="00382917">
        <w:t>just</w:t>
      </w:r>
      <w:r w:rsidR="00EE4FC3">
        <w:t xml:space="preserve"> </w:t>
      </w:r>
      <w:r w:rsidRPr="00382917">
        <w:t>as</w:t>
      </w:r>
      <w:r w:rsidR="00EE4FC3">
        <w:t xml:space="preserve"> </w:t>
      </w:r>
      <w:r w:rsidRPr="00382917">
        <w:t>it</w:t>
      </w:r>
      <w:r w:rsidR="00EE4FC3">
        <w:t xml:space="preserve"> </w:t>
      </w:r>
      <w:r w:rsidRPr="00382917">
        <w:t>was</w:t>
      </w:r>
      <w:r w:rsidR="00EE4FC3">
        <w:t xml:space="preserve"> </w:t>
      </w:r>
      <w:r w:rsidRPr="00382917">
        <w:t>promised</w:t>
      </w:r>
      <w:r w:rsidR="00EE4FC3">
        <w:t xml:space="preserve"> </w:t>
      </w:r>
      <w:r w:rsidRPr="00382917">
        <w:t>in</w:t>
      </w:r>
      <w:r w:rsidR="00EE4FC3">
        <w:t xml:space="preserve"> </w:t>
      </w:r>
      <w:r w:rsidRPr="00382917">
        <w:t>the</w:t>
      </w:r>
      <w:r w:rsidR="00EE4FC3">
        <w:t xml:space="preserve"> </w:t>
      </w:r>
      <w:r w:rsidRPr="00382917">
        <w:t>Revelation</w:t>
      </w:r>
      <w:r w:rsidR="00EE4FC3">
        <w:t xml:space="preserve"> </w:t>
      </w:r>
      <w:r w:rsidRPr="00382917">
        <w:t>of</w:t>
      </w:r>
      <w:r w:rsidR="00EE4FC3">
        <w:t xml:space="preserve"> </w:t>
      </w:r>
      <w:r w:rsidRPr="00382917">
        <w:t>St</w:t>
      </w:r>
      <w:r w:rsidR="00330AF7">
        <w:t>.</w:t>
      </w:r>
      <w:r w:rsidR="00EE4FC3">
        <w:t xml:space="preserve"> </w:t>
      </w:r>
      <w:r w:rsidRPr="00382917">
        <w:t>John</w:t>
      </w:r>
      <w:r w:rsidR="00330AF7">
        <w:t>.</w:t>
      </w:r>
      <w:r w:rsidR="00EE4FC3">
        <w:t xml:space="preserve">  </w:t>
      </w:r>
      <w:r w:rsidRPr="00382917">
        <w:t>The</w:t>
      </w:r>
      <w:r w:rsidR="00EE4FC3">
        <w:t xml:space="preserve"> </w:t>
      </w:r>
      <w:r w:rsidRPr="00382917">
        <w:t>events</w:t>
      </w:r>
      <w:r w:rsidR="00EE4FC3">
        <w:t xml:space="preserve"> </w:t>
      </w:r>
      <w:r w:rsidRPr="00382917">
        <w:t>that</w:t>
      </w:r>
      <w:r w:rsidR="00EE4FC3">
        <w:t xml:space="preserve"> </w:t>
      </w:r>
      <w:r w:rsidRPr="00382917">
        <w:t>soon</w:t>
      </w:r>
      <w:r w:rsidR="00EE4FC3">
        <w:t xml:space="preserve"> </w:t>
      </w:r>
      <w:r w:rsidRPr="00382917">
        <w:t>took</w:t>
      </w:r>
      <w:r w:rsidR="00EE4FC3">
        <w:t xml:space="preserve"> </w:t>
      </w:r>
      <w:r w:rsidRPr="00382917">
        <w:t>place</w:t>
      </w:r>
      <w:r w:rsidR="00EE4FC3">
        <w:t xml:space="preserve"> </w:t>
      </w:r>
      <w:r w:rsidRPr="00382917">
        <w:t>in</w:t>
      </w:r>
      <w:r w:rsidR="00EE4FC3">
        <w:t xml:space="preserve"> </w:t>
      </w:r>
      <w:r w:rsidRPr="00382917">
        <w:t>the</w:t>
      </w:r>
      <w:r w:rsidR="00EE4FC3">
        <w:t xml:space="preserve"> </w:t>
      </w:r>
      <w:r w:rsidRPr="00382917">
        <w:t>city</w:t>
      </w:r>
      <w:r w:rsidR="00EE4FC3">
        <w:t xml:space="preserve"> </w:t>
      </w:r>
      <w:r w:rsidRPr="00382917">
        <w:t>of</w:t>
      </w:r>
      <w:r w:rsidR="00EE4FC3">
        <w:t xml:space="preserve"> </w:t>
      </w:r>
      <w:r w:rsidRPr="00382917">
        <w:t>the</w:t>
      </w:r>
      <w:r w:rsidR="00EE4FC3">
        <w:t xml:space="preserve"> </w:t>
      </w:r>
      <w:r w:rsidRPr="00382917">
        <w:t>Báb</w:t>
      </w:r>
      <w:r w:rsidR="009C713D" w:rsidRPr="00382917">
        <w:t>’</w:t>
      </w:r>
      <w:r w:rsidRPr="00382917">
        <w:t>s</w:t>
      </w:r>
      <w:r w:rsidR="00EE4FC3">
        <w:t xml:space="preserve"> </w:t>
      </w:r>
      <w:r w:rsidRPr="00382917">
        <w:t>birth</w:t>
      </w:r>
      <w:r w:rsidR="00EE4FC3">
        <w:t xml:space="preserve"> </w:t>
      </w:r>
      <w:r w:rsidRPr="00382917">
        <w:t>were</w:t>
      </w:r>
      <w:r w:rsidR="00EE4FC3">
        <w:t xml:space="preserve"> </w:t>
      </w:r>
      <w:r w:rsidRPr="00382917">
        <w:t>also</w:t>
      </w:r>
      <w:r w:rsidR="00EE4FC3">
        <w:t xml:space="preserve"> </w:t>
      </w:r>
      <w:r w:rsidRPr="00382917">
        <w:t>foreshadowed</w:t>
      </w:r>
      <w:r w:rsidR="00EE4FC3">
        <w:t xml:space="preserve"> </w:t>
      </w:r>
      <w:r w:rsidRPr="00382917">
        <w:t>in</w:t>
      </w:r>
      <w:r w:rsidR="00EE4FC3">
        <w:t xml:space="preserve"> </w:t>
      </w:r>
      <w:r w:rsidRPr="00382917">
        <w:t>that</w:t>
      </w:r>
      <w:r w:rsidR="00EE4FC3">
        <w:t xml:space="preserve"> </w:t>
      </w:r>
      <w:r w:rsidRPr="00382917">
        <w:t>Book</w:t>
      </w:r>
      <w:r w:rsidR="00C03C91">
        <w:t>:</w:t>
      </w:r>
      <w:r w:rsidR="00EE4FC3">
        <w:t xml:space="preserve">  </w:t>
      </w:r>
      <w:r w:rsidR="009C713D" w:rsidRPr="00382917">
        <w:t>“</w:t>
      </w:r>
      <w:r w:rsidRPr="00382917">
        <w:t>And</w:t>
      </w:r>
      <w:r w:rsidR="00EE4FC3">
        <w:t xml:space="preserve"> </w:t>
      </w:r>
      <w:r w:rsidRPr="00382917">
        <w:t>the</w:t>
      </w:r>
      <w:r w:rsidR="00EE4FC3">
        <w:t xml:space="preserve"> </w:t>
      </w:r>
      <w:r w:rsidRPr="00382917">
        <w:t>same</w:t>
      </w:r>
      <w:r w:rsidR="00EE4FC3">
        <w:t xml:space="preserve"> </w:t>
      </w:r>
      <w:r w:rsidRPr="00382917">
        <w:t>hour</w:t>
      </w:r>
      <w:r w:rsidR="00EE4FC3">
        <w:t xml:space="preserve"> </w:t>
      </w:r>
      <w:r w:rsidRPr="00382917">
        <w:t>there</w:t>
      </w:r>
      <w:r w:rsidR="00EE4FC3">
        <w:t xml:space="preserve"> </w:t>
      </w:r>
      <w:r w:rsidRPr="00382917">
        <w:t>was</w:t>
      </w:r>
      <w:r w:rsidR="00EE4FC3">
        <w:t xml:space="preserve"> </w:t>
      </w:r>
      <w:r w:rsidRPr="00382917">
        <w:t>a</w:t>
      </w:r>
      <w:r w:rsidR="00EE4FC3">
        <w:t xml:space="preserve"> </w:t>
      </w:r>
      <w:r w:rsidRPr="00382917">
        <w:t>great</w:t>
      </w:r>
      <w:r w:rsidR="00EE4FC3">
        <w:t xml:space="preserve"> </w:t>
      </w:r>
      <w:r w:rsidRPr="00382917">
        <w:t>earthquake,</w:t>
      </w:r>
      <w:r w:rsidR="00EE4FC3">
        <w:t xml:space="preserve"> </w:t>
      </w:r>
      <w:r w:rsidRPr="00382917">
        <w:t>and</w:t>
      </w:r>
      <w:r w:rsidR="00EE4FC3">
        <w:t xml:space="preserve"> </w:t>
      </w:r>
      <w:r w:rsidRPr="00382917">
        <w:t>the</w:t>
      </w:r>
      <w:r w:rsidR="00EE4FC3">
        <w:t xml:space="preserve"> </w:t>
      </w:r>
      <w:r w:rsidRPr="00382917">
        <w:t>tenth</w:t>
      </w:r>
      <w:r w:rsidR="00EE4FC3">
        <w:t xml:space="preserve"> </w:t>
      </w:r>
      <w:r w:rsidRPr="00382917">
        <w:t>part</w:t>
      </w:r>
      <w:r w:rsidR="00EE4FC3">
        <w:t xml:space="preserve"> </w:t>
      </w:r>
      <w:r w:rsidRPr="00382917">
        <w:t>of</w:t>
      </w:r>
      <w:r w:rsidR="00EE4FC3">
        <w:t xml:space="preserve"> </w:t>
      </w:r>
      <w:r w:rsidRPr="00382917">
        <w:t>the</w:t>
      </w:r>
      <w:r w:rsidR="00EE4FC3">
        <w:t xml:space="preserve"> </w:t>
      </w:r>
      <w:r w:rsidRPr="00382917">
        <w:t>city</w:t>
      </w:r>
      <w:r w:rsidR="00EE4FC3">
        <w:t xml:space="preserve"> </w:t>
      </w:r>
      <w:r w:rsidRPr="00382917">
        <w:t>fell,</w:t>
      </w:r>
      <w:r w:rsidR="00EE4FC3">
        <w:t xml:space="preserve"> </w:t>
      </w:r>
      <w:r w:rsidRPr="00382917">
        <w:t>and</w:t>
      </w:r>
      <w:r w:rsidR="00EE4FC3">
        <w:t xml:space="preserve"> </w:t>
      </w:r>
      <w:r w:rsidRPr="00382917">
        <w:t>in</w:t>
      </w:r>
      <w:r w:rsidR="00EE4FC3">
        <w:t xml:space="preserve"> </w:t>
      </w:r>
      <w:r w:rsidRPr="00382917">
        <w:t>the</w:t>
      </w:r>
      <w:r w:rsidR="00EE4FC3">
        <w:t xml:space="preserve"> </w:t>
      </w:r>
      <w:r w:rsidRPr="00382917">
        <w:t>earthquake</w:t>
      </w:r>
      <w:r w:rsidR="00EE4FC3">
        <w:t xml:space="preserve"> </w:t>
      </w:r>
      <w:r w:rsidRPr="00382917">
        <w:t>were</w:t>
      </w:r>
      <w:r w:rsidR="00EE4FC3">
        <w:t xml:space="preserve"> </w:t>
      </w:r>
      <w:r w:rsidRPr="00382917">
        <w:t>slain</w:t>
      </w:r>
      <w:r w:rsidR="00EE4FC3">
        <w:t xml:space="preserve"> </w:t>
      </w:r>
      <w:r w:rsidRPr="00382917">
        <w:t>men</w:t>
      </w:r>
      <w:r w:rsidR="00EE4FC3">
        <w:t xml:space="preserve"> </w:t>
      </w:r>
      <w:r w:rsidRPr="00382917">
        <w:t>seven</w:t>
      </w:r>
      <w:r w:rsidR="00EE4FC3">
        <w:t xml:space="preserve"> </w:t>
      </w:r>
      <w:r w:rsidRPr="00382917">
        <w:t>thousand.</w:t>
      </w:r>
      <w:r w:rsidR="009C713D" w:rsidRPr="00382917">
        <w:t>”</w:t>
      </w:r>
    </w:p>
    <w:p w:rsidR="001B6670" w:rsidRPr="00382917" w:rsidRDefault="001B6670" w:rsidP="00775809">
      <w:pPr>
        <w:pStyle w:val="Text"/>
      </w:pPr>
      <w:r w:rsidRPr="00382917">
        <w:t>A</w:t>
      </w:r>
      <w:r w:rsidR="00EE4FC3">
        <w:t xml:space="preserve"> </w:t>
      </w:r>
      <w:r w:rsidRPr="00382917">
        <w:t>written</w:t>
      </w:r>
      <w:r w:rsidR="00EE4FC3">
        <w:t xml:space="preserve"> </w:t>
      </w:r>
      <w:r w:rsidRPr="00382917">
        <w:t>account</w:t>
      </w:r>
      <w:r w:rsidR="00EE4FC3">
        <w:t xml:space="preserve"> </w:t>
      </w:r>
      <w:r w:rsidRPr="00382917">
        <w:t>of</w:t>
      </w:r>
      <w:r w:rsidR="00EE4FC3">
        <w:t xml:space="preserve"> </w:t>
      </w:r>
      <w:r w:rsidRPr="00382917">
        <w:t>the</w:t>
      </w:r>
      <w:r w:rsidR="00EE4FC3">
        <w:t xml:space="preserve"> </w:t>
      </w:r>
      <w:r w:rsidRPr="00382917">
        <w:t>period</w:t>
      </w:r>
      <w:r w:rsidR="00EE4FC3">
        <w:t xml:space="preserve"> </w:t>
      </w:r>
      <w:r w:rsidRPr="00382917">
        <w:t>following</w:t>
      </w:r>
      <w:r w:rsidR="00EE4FC3">
        <w:t xml:space="preserve"> </w:t>
      </w:r>
      <w:r w:rsidRPr="00382917">
        <w:t>the</w:t>
      </w:r>
      <w:r w:rsidR="00EE4FC3">
        <w:t xml:space="preserve"> </w:t>
      </w:r>
      <w:r w:rsidRPr="00382917">
        <w:t>execution</w:t>
      </w:r>
      <w:r w:rsidR="00EE4FC3">
        <w:t xml:space="preserve"> </w:t>
      </w:r>
      <w:r w:rsidRPr="00382917">
        <w:t>of</w:t>
      </w:r>
      <w:r w:rsidR="00EE4FC3">
        <w:t xml:space="preserve"> </w:t>
      </w:r>
      <w:r w:rsidRPr="00382917">
        <w:t>the</w:t>
      </w:r>
      <w:r w:rsidR="00EE4FC3">
        <w:t xml:space="preserve"> </w:t>
      </w:r>
      <w:r w:rsidRPr="00382917">
        <w:t>Báb</w:t>
      </w:r>
      <w:r w:rsidR="00EE4FC3">
        <w:t xml:space="preserve"> </w:t>
      </w:r>
      <w:r w:rsidRPr="00382917">
        <w:t>states:</w:t>
      </w:r>
    </w:p>
    <w:p w:rsidR="001B6670" w:rsidRPr="00382917" w:rsidRDefault="009C713D" w:rsidP="00146DCD">
      <w:pPr>
        <w:pStyle w:val="Text"/>
      </w:pPr>
      <w:r w:rsidRPr="00382917">
        <w:t>“</w:t>
      </w:r>
      <w:r w:rsidR="00146DCD">
        <w:t>This earthquake occurred in Shiraz after the martyrdom of the Báb.  The city was plunged into turmoil, and many people were killed.  Great agitation ensued, moreover, from diseases, cholera, scarcity, famine, starvation, and other afflictions—an agitation the like of which had never before been witnessed.</w:t>
      </w:r>
      <w:r w:rsidRPr="00382917">
        <w:t>”</w:t>
      </w:r>
      <w:r w:rsidR="008E7A6E">
        <w:rPr>
          <w:rStyle w:val="FootnoteReference"/>
        </w:rPr>
        <w:footnoteReference w:id="269"/>
      </w:r>
    </w:p>
    <w:p w:rsidR="001B6670" w:rsidRPr="00382917" w:rsidRDefault="001B6670" w:rsidP="00775809">
      <w:pPr>
        <w:pStyle w:val="Text"/>
      </w:pPr>
      <w:r w:rsidRPr="00382917">
        <w:t>The</w:t>
      </w:r>
      <w:r w:rsidR="00EE4FC3">
        <w:t xml:space="preserve"> </w:t>
      </w:r>
      <w:r w:rsidRPr="00382917">
        <w:t>prophecies</w:t>
      </w:r>
      <w:r w:rsidR="00EE4FC3">
        <w:t xml:space="preserve"> </w:t>
      </w:r>
      <w:r w:rsidRPr="00382917">
        <w:t>and</w:t>
      </w:r>
      <w:r w:rsidR="00EE4FC3">
        <w:t xml:space="preserve"> </w:t>
      </w:r>
      <w:r w:rsidRPr="00382917">
        <w:t>promises</w:t>
      </w:r>
      <w:r w:rsidR="00EE4FC3">
        <w:t xml:space="preserve"> </w:t>
      </w:r>
      <w:r w:rsidRPr="00382917">
        <w:t>of</w:t>
      </w:r>
      <w:r w:rsidR="00EE4FC3">
        <w:t xml:space="preserve"> </w:t>
      </w:r>
      <w:r w:rsidRPr="00382917">
        <w:t>Christ</w:t>
      </w:r>
      <w:r w:rsidR="00EE4FC3">
        <w:t xml:space="preserve"> </w:t>
      </w:r>
      <w:r w:rsidRPr="00382917">
        <w:t>were</w:t>
      </w:r>
      <w:r w:rsidR="00EE4FC3">
        <w:t xml:space="preserve"> </w:t>
      </w:r>
      <w:r w:rsidRPr="00382917">
        <w:t>fulfilled</w:t>
      </w:r>
      <w:r w:rsidR="00EE4FC3">
        <w:t xml:space="preserve"> </w:t>
      </w:r>
      <w:r w:rsidRPr="00382917">
        <w:t>with</w:t>
      </w:r>
      <w:r w:rsidR="00EE4FC3">
        <w:t xml:space="preserve"> </w:t>
      </w:r>
      <w:r w:rsidRPr="00382917">
        <w:t>the</w:t>
      </w:r>
      <w:r w:rsidR="00EE4FC3">
        <w:t xml:space="preserve"> </w:t>
      </w:r>
      <w:r w:rsidRPr="00382917">
        <w:t>coming</w:t>
      </w:r>
      <w:r w:rsidR="00EE4FC3">
        <w:t xml:space="preserve"> </w:t>
      </w:r>
      <w:r w:rsidRPr="00382917">
        <w:t>of</w:t>
      </w:r>
      <w:r w:rsidR="00EE4FC3">
        <w:t xml:space="preserve"> </w:t>
      </w:r>
      <w:r w:rsidRPr="00382917">
        <w:t>the</w:t>
      </w:r>
      <w:r w:rsidR="00EE4FC3">
        <w:t xml:space="preserve"> </w:t>
      </w:r>
      <w:r w:rsidRPr="00382917">
        <w:t>Báb,</w:t>
      </w:r>
      <w:r w:rsidR="00EE4FC3">
        <w:t xml:space="preserve"> </w:t>
      </w:r>
      <w:r w:rsidRPr="00382917">
        <w:t>although</w:t>
      </w:r>
      <w:r w:rsidR="00EE4FC3">
        <w:t xml:space="preserve"> </w:t>
      </w:r>
      <w:r w:rsidRPr="00382917">
        <w:t>the</w:t>
      </w:r>
      <w:r w:rsidR="00EE4FC3">
        <w:t xml:space="preserve"> </w:t>
      </w:r>
      <w:r w:rsidRPr="00382917">
        <w:t>religious</w:t>
      </w:r>
      <w:r w:rsidR="00EE4FC3">
        <w:t xml:space="preserve"> </w:t>
      </w:r>
      <w:r w:rsidRPr="00382917">
        <w:t>leaders</w:t>
      </w:r>
      <w:r w:rsidR="00EE4FC3">
        <w:t xml:space="preserve"> </w:t>
      </w:r>
      <w:r w:rsidRPr="00382917">
        <w:t>turned</w:t>
      </w:r>
      <w:r w:rsidR="00EE4FC3">
        <w:t xml:space="preserve"> </w:t>
      </w:r>
      <w:r w:rsidRPr="00382917">
        <w:t>to</w:t>
      </w:r>
      <w:r w:rsidR="00EE4FC3">
        <w:t xml:space="preserve"> </w:t>
      </w:r>
      <w:r w:rsidRPr="00382917">
        <w:t>them</w:t>
      </w:r>
      <w:r w:rsidR="00EE4FC3">
        <w:t xml:space="preserve"> </w:t>
      </w:r>
      <w:r w:rsidRPr="00382917">
        <w:t>a</w:t>
      </w:r>
      <w:r w:rsidR="00EE4FC3">
        <w:t xml:space="preserve"> </w:t>
      </w:r>
      <w:r w:rsidRPr="00382917">
        <w:t>blind</w:t>
      </w:r>
      <w:r w:rsidR="00EE4FC3">
        <w:t xml:space="preserve"> </w:t>
      </w:r>
      <w:r w:rsidRPr="00382917">
        <w:t>eye</w:t>
      </w:r>
      <w:r w:rsidR="00EE4FC3">
        <w:t xml:space="preserve"> </w:t>
      </w:r>
      <w:r w:rsidRPr="00382917">
        <w:t>and</w:t>
      </w:r>
      <w:r w:rsidR="00EE4FC3">
        <w:t xml:space="preserve"> </w:t>
      </w:r>
      <w:r w:rsidRPr="00382917">
        <w:t>a</w:t>
      </w:r>
      <w:r w:rsidR="00EE4FC3">
        <w:t xml:space="preserve"> </w:t>
      </w:r>
      <w:r w:rsidRPr="00382917">
        <w:t>deaf</w:t>
      </w:r>
      <w:r w:rsidR="00EE4FC3">
        <w:t xml:space="preserve"> </w:t>
      </w:r>
      <w:r w:rsidRPr="00382917">
        <w:t>ear</w:t>
      </w:r>
      <w:r w:rsidR="00330AF7">
        <w:t>.</w:t>
      </w:r>
      <w:r w:rsidR="00EE4FC3">
        <w:t xml:space="preserve">  </w:t>
      </w:r>
      <w:r w:rsidRPr="00382917">
        <w:t>These</w:t>
      </w:r>
      <w:r w:rsidR="00EE4FC3">
        <w:t xml:space="preserve"> </w:t>
      </w:r>
      <w:r w:rsidRPr="00382917">
        <w:t>religious</w:t>
      </w:r>
      <w:r w:rsidR="00EE4FC3">
        <w:t xml:space="preserve"> </w:t>
      </w:r>
      <w:r w:rsidRPr="00382917">
        <w:t>authorities,</w:t>
      </w:r>
      <w:r w:rsidR="00EE4FC3">
        <w:t xml:space="preserve"> </w:t>
      </w:r>
      <w:r w:rsidRPr="00382917">
        <w:t>as</w:t>
      </w:r>
      <w:r w:rsidR="00EE4FC3">
        <w:t xml:space="preserve"> </w:t>
      </w:r>
      <w:r w:rsidRPr="00382917">
        <w:t>testified</w:t>
      </w:r>
      <w:r w:rsidR="00EE4FC3">
        <w:t xml:space="preserve"> </w:t>
      </w:r>
      <w:r w:rsidRPr="00382917">
        <w:t>to</w:t>
      </w:r>
      <w:r w:rsidR="00EE4FC3">
        <w:t xml:space="preserve"> </w:t>
      </w:r>
      <w:r w:rsidRPr="00382917">
        <w:t>by</w:t>
      </w:r>
      <w:r w:rsidR="00EE4FC3">
        <w:t xml:space="preserve"> </w:t>
      </w:r>
      <w:r w:rsidRPr="00382917">
        <w:t>the</w:t>
      </w:r>
      <w:r w:rsidR="00EE4FC3">
        <w:t xml:space="preserve"> </w:t>
      </w:r>
      <w:r w:rsidRPr="00382917">
        <w:t>introduction</w:t>
      </w:r>
      <w:r w:rsidR="00EE4FC3">
        <w:t xml:space="preserve"> </w:t>
      </w:r>
      <w:r w:rsidRPr="00382917">
        <w:t>to</w:t>
      </w:r>
      <w:r w:rsidR="00EE4FC3">
        <w:t xml:space="preserve"> </w:t>
      </w:r>
      <w:r w:rsidRPr="00382917">
        <w:t>the</w:t>
      </w:r>
      <w:r w:rsidR="00EE4FC3">
        <w:t xml:space="preserve"> </w:t>
      </w:r>
      <w:r w:rsidRPr="00382917">
        <w:t>most</w:t>
      </w:r>
      <w:r w:rsidR="00EE4FC3">
        <w:t xml:space="preserve"> </w:t>
      </w:r>
      <w:r w:rsidRPr="00382917">
        <w:t>authentic</w:t>
      </w:r>
      <w:r w:rsidR="00EE4FC3">
        <w:t xml:space="preserve"> </w:t>
      </w:r>
      <w:r w:rsidRPr="00382917">
        <w:t>history</w:t>
      </w:r>
      <w:r w:rsidR="00EE4FC3">
        <w:t xml:space="preserve"> </w:t>
      </w:r>
      <w:r w:rsidRPr="00382917">
        <w:t>of</w:t>
      </w:r>
      <w:r w:rsidR="00EE4FC3">
        <w:t xml:space="preserve"> </w:t>
      </w:r>
      <w:r w:rsidRPr="00382917">
        <w:t>the</w:t>
      </w:r>
      <w:r w:rsidR="00EE4FC3">
        <w:t xml:space="preserve"> </w:t>
      </w:r>
      <w:r w:rsidRPr="00382917">
        <w:t>Báb,</w:t>
      </w:r>
      <w:r w:rsidR="00EE4FC3">
        <w:t xml:space="preserve"> </w:t>
      </w:r>
      <w:r w:rsidR="009C713D" w:rsidRPr="00382917">
        <w:t>“</w:t>
      </w:r>
      <w:r w:rsidRPr="00382917">
        <w:t>confidently</w:t>
      </w:r>
      <w:r w:rsidR="00EE4FC3">
        <w:t xml:space="preserve"> </w:t>
      </w:r>
      <w:r w:rsidRPr="00382917">
        <w:t>expected</w:t>
      </w:r>
      <w:r w:rsidR="00EE4FC3">
        <w:t xml:space="preserve"> </w:t>
      </w:r>
      <w:r w:rsidRPr="00382917">
        <w:t>that</w:t>
      </w:r>
      <w:r w:rsidR="00EE4FC3">
        <w:t xml:space="preserve"> </w:t>
      </w:r>
      <w:r w:rsidRPr="00382917">
        <w:t>the</w:t>
      </w:r>
      <w:r w:rsidR="00EE4FC3">
        <w:t xml:space="preserve"> </w:t>
      </w:r>
      <w:r w:rsidRPr="00382917">
        <w:t>promised</w:t>
      </w:r>
      <w:r w:rsidR="00EE4FC3">
        <w:t xml:space="preserve"> </w:t>
      </w:r>
      <w:r w:rsidRPr="00382917">
        <w:t>Advent</w:t>
      </w:r>
      <w:r w:rsidR="00EE4FC3">
        <w:t xml:space="preserve"> </w:t>
      </w:r>
      <w:r w:rsidRPr="00382917">
        <w:t>would</w:t>
      </w:r>
      <w:r w:rsidR="00EE4FC3">
        <w:t xml:space="preserve"> </w:t>
      </w:r>
      <w:r w:rsidRPr="00382917">
        <w:t>not</w:t>
      </w:r>
      <w:r w:rsidR="00EE4FC3">
        <w:t xml:space="preserve"> </w:t>
      </w:r>
      <w:r w:rsidRPr="00382917">
        <w:t>substitute</w:t>
      </w:r>
      <w:r w:rsidR="00EE4FC3">
        <w:t xml:space="preserve"> </w:t>
      </w:r>
      <w:r w:rsidRPr="00382917">
        <w:t>a</w:t>
      </w:r>
      <w:r w:rsidR="00EE4FC3">
        <w:t xml:space="preserve"> </w:t>
      </w:r>
      <w:r w:rsidRPr="00382917">
        <w:t>new</w:t>
      </w:r>
      <w:r w:rsidR="00EE4FC3">
        <w:t xml:space="preserve"> </w:t>
      </w:r>
      <w:r w:rsidRPr="00382917">
        <w:t>and</w:t>
      </w:r>
      <w:r w:rsidR="00EE4FC3">
        <w:t xml:space="preserve"> </w:t>
      </w:r>
      <w:r w:rsidRPr="00382917">
        <w:t>richer</w:t>
      </w:r>
      <w:r w:rsidR="00EE4FC3">
        <w:t xml:space="preserve"> </w:t>
      </w:r>
      <w:r w:rsidRPr="00382917">
        <w:t>revelation</w:t>
      </w:r>
      <w:r w:rsidR="00EE4FC3">
        <w:t xml:space="preserve"> </w:t>
      </w:r>
      <w:r w:rsidRPr="00382917">
        <w:t>for</w:t>
      </w:r>
      <w:r w:rsidR="00EE4FC3">
        <w:t xml:space="preserve"> </w:t>
      </w:r>
      <w:r w:rsidRPr="00382917">
        <w:t>the</w:t>
      </w:r>
      <w:r w:rsidR="00EE4FC3">
        <w:t xml:space="preserve"> </w:t>
      </w:r>
      <w:r w:rsidRPr="00382917">
        <w:t>old,</w:t>
      </w:r>
      <w:r w:rsidR="00EE4FC3">
        <w:t xml:space="preserve"> </w:t>
      </w:r>
      <w:r w:rsidRPr="00382917">
        <w:t>but</w:t>
      </w:r>
      <w:r w:rsidR="00EE4FC3">
        <w:t xml:space="preserve"> </w:t>
      </w:r>
      <w:r w:rsidRPr="00382917">
        <w:t>would</w:t>
      </w:r>
      <w:r w:rsidR="00EE4FC3">
        <w:t xml:space="preserve"> </w:t>
      </w:r>
      <w:r w:rsidRPr="00382917">
        <w:t>endorse</w:t>
      </w:r>
      <w:r w:rsidR="00EE4FC3">
        <w:t xml:space="preserve"> </w:t>
      </w:r>
      <w:r w:rsidRPr="00382917">
        <w:t>and</w:t>
      </w:r>
      <w:r w:rsidR="00EE4FC3">
        <w:t xml:space="preserve"> </w:t>
      </w:r>
      <w:r w:rsidRPr="00382917">
        <w:t>fortify</w:t>
      </w:r>
      <w:r w:rsidR="00EE4FC3">
        <w:t xml:space="preserve"> </w:t>
      </w:r>
      <w:r w:rsidRPr="00382917">
        <w:t>the</w:t>
      </w:r>
      <w:r w:rsidR="00EE4FC3">
        <w:t xml:space="preserve"> </w:t>
      </w:r>
      <w:r w:rsidRPr="00382917">
        <w:t>system</w:t>
      </w:r>
      <w:r w:rsidR="00EE4FC3">
        <w:t xml:space="preserve"> </w:t>
      </w:r>
      <w:r w:rsidRPr="00382917">
        <w:t>of</w:t>
      </w:r>
      <w:r w:rsidR="00EE4FC3">
        <w:t xml:space="preserve"> </w:t>
      </w:r>
      <w:r w:rsidRPr="00382917">
        <w:t>which</w:t>
      </w:r>
      <w:r w:rsidR="00EE4FC3">
        <w:t xml:space="preserve"> </w:t>
      </w:r>
      <w:r w:rsidRPr="00382917">
        <w:t>they</w:t>
      </w:r>
      <w:r w:rsidR="00EE4FC3">
        <w:t xml:space="preserve"> </w:t>
      </w:r>
      <w:r w:rsidRPr="00382917">
        <w:t>were</w:t>
      </w:r>
      <w:r w:rsidR="00EE4FC3">
        <w:t xml:space="preserve"> </w:t>
      </w:r>
      <w:r w:rsidRPr="00382917">
        <w:t>the</w:t>
      </w:r>
      <w:r w:rsidR="00EE4FC3">
        <w:t xml:space="preserve"> </w:t>
      </w:r>
      <w:r w:rsidRPr="00382917">
        <w:t>functionaries</w:t>
      </w:r>
      <w:r w:rsidR="00330AF7">
        <w:t>.</w:t>
      </w:r>
      <w:r w:rsidR="00EE4FC3">
        <w:t xml:space="preserve">  </w:t>
      </w:r>
      <w:r w:rsidRPr="00382917">
        <w:t>It</w:t>
      </w:r>
      <w:r w:rsidR="00EE4FC3">
        <w:t xml:space="preserve"> </w:t>
      </w:r>
      <w:r w:rsidRPr="00382917">
        <w:t>would</w:t>
      </w:r>
      <w:r w:rsidR="00EE4FC3">
        <w:t xml:space="preserve"> </w:t>
      </w:r>
      <w:r w:rsidRPr="00382917">
        <w:t>enhance</w:t>
      </w:r>
      <w:r w:rsidR="00EE4FC3">
        <w:t xml:space="preserve"> </w:t>
      </w:r>
      <w:r w:rsidRPr="00382917">
        <w:t>incalculably</w:t>
      </w:r>
      <w:r w:rsidR="00EE4FC3">
        <w:t xml:space="preserve"> </w:t>
      </w:r>
      <w:r w:rsidRPr="00382917">
        <w:t>their</w:t>
      </w:r>
      <w:r w:rsidR="00EE4FC3">
        <w:t xml:space="preserve"> </w:t>
      </w:r>
      <w:r w:rsidRPr="00382917">
        <w:t>personal</w:t>
      </w:r>
      <w:r w:rsidR="00EE4FC3">
        <w:t xml:space="preserve"> </w:t>
      </w:r>
      <w:r w:rsidRPr="00382917">
        <w:t>prestige,</w:t>
      </w:r>
      <w:r w:rsidR="00EE4FC3">
        <w:t xml:space="preserve"> </w:t>
      </w:r>
      <w:r w:rsidRPr="00382917">
        <w:t>would</w:t>
      </w:r>
      <w:r w:rsidR="00EE4FC3">
        <w:t xml:space="preserve"> </w:t>
      </w:r>
      <w:r w:rsidRPr="00382917">
        <w:t>extend</w:t>
      </w:r>
      <w:r w:rsidR="00EE4FC3">
        <w:t xml:space="preserve"> </w:t>
      </w:r>
      <w:r w:rsidRPr="00382917">
        <w:t>their</w:t>
      </w:r>
      <w:r w:rsidR="00EE4FC3">
        <w:t xml:space="preserve"> </w:t>
      </w:r>
      <w:r w:rsidRPr="00382917">
        <w:t>authority</w:t>
      </w:r>
      <w:r w:rsidR="00EE4FC3">
        <w:t xml:space="preserve"> </w:t>
      </w:r>
      <w:r w:rsidRPr="00382917">
        <w:t>far</w:t>
      </w:r>
      <w:r w:rsidR="00EE4FC3">
        <w:t xml:space="preserve"> </w:t>
      </w:r>
      <w:r w:rsidRPr="00382917">
        <w:t>and</w:t>
      </w:r>
      <w:r w:rsidR="00EE4FC3">
        <w:t xml:space="preserve"> </w:t>
      </w:r>
      <w:r w:rsidRPr="00382917">
        <w:t>wide</w:t>
      </w:r>
      <w:r w:rsidR="00EE4FC3">
        <w:t xml:space="preserve"> </w:t>
      </w:r>
      <w:r w:rsidRPr="00382917">
        <w:t>among</w:t>
      </w:r>
      <w:r w:rsidR="00EE4FC3">
        <w:t xml:space="preserve"> </w:t>
      </w:r>
      <w:r w:rsidRPr="00382917">
        <w:t>the</w:t>
      </w:r>
      <w:r w:rsidR="00EE4FC3">
        <w:t xml:space="preserve"> </w:t>
      </w:r>
      <w:r w:rsidRPr="00382917">
        <w:t>nations,</w:t>
      </w:r>
      <w:r w:rsidR="00EE4FC3">
        <w:t xml:space="preserve"> </w:t>
      </w:r>
      <w:r w:rsidRPr="00382917">
        <w:t>and</w:t>
      </w:r>
      <w:r w:rsidR="00EE4FC3">
        <w:t xml:space="preserve"> </w:t>
      </w:r>
      <w:r w:rsidRPr="00382917">
        <w:t>would</w:t>
      </w:r>
      <w:r w:rsidR="00EE4FC3">
        <w:t xml:space="preserve"> </w:t>
      </w:r>
      <w:r w:rsidRPr="00382917">
        <w:t>win</w:t>
      </w:r>
      <w:r w:rsidR="00EE4FC3">
        <w:t xml:space="preserve"> </w:t>
      </w:r>
      <w:r w:rsidRPr="00382917">
        <w:t>for</w:t>
      </w:r>
      <w:r w:rsidR="00EE4FC3">
        <w:t xml:space="preserve"> </w:t>
      </w:r>
      <w:r w:rsidRPr="00382917">
        <w:t>them</w:t>
      </w:r>
      <w:r w:rsidR="00EE4FC3">
        <w:t xml:space="preserve"> </w:t>
      </w:r>
      <w:r w:rsidRPr="00382917">
        <w:t>the</w:t>
      </w:r>
      <w:r w:rsidR="00EE4FC3">
        <w:t xml:space="preserve"> </w:t>
      </w:r>
      <w:r w:rsidRPr="00382917">
        <w:t>reluctant</w:t>
      </w:r>
      <w:r w:rsidR="00EE4FC3">
        <w:t xml:space="preserve"> </w:t>
      </w:r>
      <w:r w:rsidRPr="00382917">
        <w:t>but</w:t>
      </w:r>
      <w:r w:rsidR="00EE4FC3">
        <w:t xml:space="preserve"> </w:t>
      </w:r>
      <w:r w:rsidRPr="00382917">
        <w:t>abject</w:t>
      </w:r>
      <w:r w:rsidR="00EE4FC3">
        <w:t xml:space="preserve"> </w:t>
      </w:r>
      <w:r w:rsidRPr="00382917">
        <w:t>homage</w:t>
      </w:r>
      <w:r w:rsidR="00EE4FC3">
        <w:t xml:space="preserve"> </w:t>
      </w:r>
      <w:r w:rsidRPr="00382917">
        <w:t>of</w:t>
      </w:r>
      <w:r w:rsidR="00EE4FC3">
        <w:t xml:space="preserve"> </w:t>
      </w:r>
      <w:r w:rsidRPr="00382917">
        <w:t>mankind</w:t>
      </w:r>
      <w:r w:rsidR="00330AF7">
        <w:t>.</w:t>
      </w:r>
      <w:r w:rsidR="00EE4FC3">
        <w:t xml:space="preserve">  </w:t>
      </w:r>
      <w:r w:rsidRPr="00382917">
        <w:t>When</w:t>
      </w:r>
      <w:r w:rsidR="00EE4FC3">
        <w:t xml:space="preserve"> </w:t>
      </w:r>
      <w:r w:rsidRPr="00382917">
        <w:t>the</w:t>
      </w:r>
      <w:r w:rsidR="00EE4FC3">
        <w:t xml:space="preserve"> </w:t>
      </w:r>
      <w:r w:rsidRPr="00382917">
        <w:t>Báb</w:t>
      </w:r>
      <w:r w:rsidR="00EE4FC3">
        <w:t xml:space="preserve"> </w:t>
      </w:r>
      <w:r w:rsidRPr="00382917">
        <w:t>proclaimed</w:t>
      </w:r>
      <w:r w:rsidR="00EE4FC3">
        <w:t xml:space="preserve"> </w:t>
      </w:r>
      <w:r w:rsidRPr="00382917">
        <w:t>a</w:t>
      </w:r>
      <w:r w:rsidR="00EE4FC3">
        <w:t xml:space="preserve"> </w:t>
      </w:r>
      <w:r w:rsidRPr="00382917">
        <w:t>new</w:t>
      </w:r>
      <w:r w:rsidR="00EE4FC3">
        <w:t xml:space="preserve"> </w:t>
      </w:r>
      <w:r w:rsidRPr="00382917">
        <w:t>code</w:t>
      </w:r>
      <w:r w:rsidR="00EE4FC3">
        <w:t xml:space="preserve"> </w:t>
      </w:r>
      <w:r w:rsidRPr="00382917">
        <w:t>of</w:t>
      </w:r>
      <w:r w:rsidR="00EE4FC3">
        <w:t xml:space="preserve"> </w:t>
      </w:r>
      <w:r w:rsidRPr="00382917">
        <w:t>religious</w:t>
      </w:r>
      <w:r w:rsidR="00EE4FC3">
        <w:t xml:space="preserve"> </w:t>
      </w:r>
      <w:proofErr w:type="gramStart"/>
      <w:r w:rsidRPr="00382917">
        <w:t>law,</w:t>
      </w:r>
      <w:proofErr w:type="gramEnd"/>
      <w:r w:rsidR="00EE4FC3">
        <w:t xml:space="preserve"> </w:t>
      </w:r>
      <w:r w:rsidRPr="00382917">
        <w:t>and</w:t>
      </w:r>
      <w:r w:rsidR="00EE4FC3">
        <w:t xml:space="preserve"> </w:t>
      </w:r>
      <w:r w:rsidRPr="00382917">
        <w:t>by</w:t>
      </w:r>
      <w:r w:rsidR="00EE4FC3">
        <w:t xml:space="preserve"> </w:t>
      </w:r>
      <w:r w:rsidRPr="00382917">
        <w:t>precept</w:t>
      </w:r>
      <w:r w:rsidR="00EE4FC3">
        <w:t xml:space="preserve"> </w:t>
      </w:r>
      <w:r w:rsidRPr="00382917">
        <w:t>and</w:t>
      </w:r>
      <w:r w:rsidR="00EE4FC3">
        <w:t xml:space="preserve"> </w:t>
      </w:r>
      <w:r w:rsidRPr="00382917">
        <w:t>example</w:t>
      </w:r>
      <w:r w:rsidR="00EE4FC3">
        <w:t xml:space="preserve"> </w:t>
      </w:r>
      <w:r w:rsidRPr="00382917">
        <w:t>instituted</w:t>
      </w:r>
      <w:r w:rsidR="00EE4FC3">
        <w:t xml:space="preserve"> </w:t>
      </w:r>
      <w:r w:rsidRPr="00382917">
        <w:t>a</w:t>
      </w:r>
      <w:r w:rsidR="00EE4FC3">
        <w:t xml:space="preserve"> </w:t>
      </w:r>
      <w:r w:rsidRPr="00382917">
        <w:t>profound</w:t>
      </w:r>
      <w:r w:rsidR="00EE4FC3">
        <w:t xml:space="preserve"> </w:t>
      </w:r>
      <w:r w:rsidRPr="00382917">
        <w:t>moral</w:t>
      </w:r>
      <w:r w:rsidR="00EE4FC3">
        <w:t xml:space="preserve"> </w:t>
      </w:r>
      <w:r w:rsidRPr="00382917">
        <w:t>and</w:t>
      </w:r>
      <w:r w:rsidR="00EE4FC3">
        <w:t xml:space="preserve"> </w:t>
      </w:r>
      <w:r w:rsidRPr="00382917">
        <w:t>spiritual</w:t>
      </w:r>
      <w:r w:rsidR="00EE4FC3">
        <w:t xml:space="preserve"> </w:t>
      </w:r>
      <w:r w:rsidRPr="00382917">
        <w:t>reform,</w:t>
      </w:r>
      <w:r w:rsidR="00EE4FC3">
        <w:t xml:space="preserve"> </w:t>
      </w:r>
      <w:r w:rsidRPr="00382917">
        <w:t>the</w:t>
      </w:r>
      <w:r w:rsidR="00EE4FC3">
        <w:t xml:space="preserve"> </w:t>
      </w:r>
      <w:r w:rsidRPr="00382917">
        <w:t>priests</w:t>
      </w:r>
    </w:p>
    <w:p w:rsidR="00775809" w:rsidRPr="00382917" w:rsidRDefault="00775809">
      <w:pPr>
        <w:widowControl/>
        <w:kinsoku/>
        <w:overflowPunct/>
        <w:textAlignment w:val="auto"/>
      </w:pPr>
      <w:r w:rsidRPr="00382917">
        <w:br w:type="page"/>
      </w:r>
    </w:p>
    <w:p w:rsidR="001B6670" w:rsidRPr="00382917" w:rsidRDefault="001B6670" w:rsidP="00775809">
      <w:pPr>
        <w:pStyle w:val="Textcts"/>
      </w:pPr>
      <w:proofErr w:type="gramStart"/>
      <w:r w:rsidRPr="00382917">
        <w:t>immediately</w:t>
      </w:r>
      <w:proofErr w:type="gramEnd"/>
      <w:r w:rsidR="00EE4FC3">
        <w:t xml:space="preserve"> </w:t>
      </w:r>
      <w:r w:rsidRPr="00382917">
        <w:t>scented</w:t>
      </w:r>
      <w:r w:rsidR="00EE4FC3">
        <w:t xml:space="preserve"> </w:t>
      </w:r>
      <w:r w:rsidRPr="00382917">
        <w:t>mortal</w:t>
      </w:r>
      <w:r w:rsidR="00EE4FC3">
        <w:t xml:space="preserve"> </w:t>
      </w:r>
      <w:r w:rsidRPr="00382917">
        <w:t>danger</w:t>
      </w:r>
      <w:r w:rsidR="00330AF7">
        <w:t>.</w:t>
      </w:r>
      <w:r w:rsidR="00EE4FC3">
        <w:t xml:space="preserve">  </w:t>
      </w:r>
      <w:r w:rsidRPr="00382917">
        <w:t>They</w:t>
      </w:r>
      <w:r w:rsidR="00EE4FC3">
        <w:t xml:space="preserve"> </w:t>
      </w:r>
      <w:r w:rsidRPr="00382917">
        <w:t>saw</w:t>
      </w:r>
      <w:r w:rsidR="00EE4FC3">
        <w:t xml:space="preserve"> </w:t>
      </w:r>
      <w:r w:rsidRPr="00382917">
        <w:t>their</w:t>
      </w:r>
      <w:r w:rsidR="00EE4FC3">
        <w:t xml:space="preserve"> </w:t>
      </w:r>
      <w:r w:rsidRPr="00382917">
        <w:t>monopoly</w:t>
      </w:r>
      <w:r w:rsidR="00EE4FC3">
        <w:t xml:space="preserve"> </w:t>
      </w:r>
      <w:r w:rsidRPr="00382917">
        <w:t>undermined,</w:t>
      </w:r>
      <w:r w:rsidR="00EE4FC3">
        <w:t xml:space="preserve"> </w:t>
      </w:r>
      <w:r w:rsidRPr="00382917">
        <w:t>their</w:t>
      </w:r>
      <w:r w:rsidR="00EE4FC3">
        <w:t xml:space="preserve"> </w:t>
      </w:r>
      <w:r w:rsidRPr="00382917">
        <w:t>ambitions</w:t>
      </w:r>
      <w:r w:rsidR="00EE4FC3">
        <w:t xml:space="preserve"> </w:t>
      </w:r>
      <w:r w:rsidRPr="00382917">
        <w:t>threatened,</w:t>
      </w:r>
      <w:r w:rsidR="00EE4FC3">
        <w:t xml:space="preserve"> </w:t>
      </w:r>
      <w:r w:rsidRPr="00382917">
        <w:t>their</w:t>
      </w:r>
      <w:r w:rsidR="00EE4FC3">
        <w:t xml:space="preserve"> </w:t>
      </w:r>
      <w:r w:rsidRPr="00382917">
        <w:t>own</w:t>
      </w:r>
      <w:r w:rsidR="00EE4FC3">
        <w:t xml:space="preserve"> </w:t>
      </w:r>
      <w:r w:rsidRPr="00382917">
        <w:t>lives</w:t>
      </w:r>
      <w:r w:rsidR="00EE4FC3">
        <w:t xml:space="preserve"> </w:t>
      </w:r>
      <w:r w:rsidRPr="00382917">
        <w:t>and</w:t>
      </w:r>
      <w:r w:rsidR="00EE4FC3">
        <w:t xml:space="preserve"> </w:t>
      </w:r>
      <w:r w:rsidRPr="00382917">
        <w:t>conduct</w:t>
      </w:r>
      <w:r w:rsidR="00EE4FC3">
        <w:t xml:space="preserve"> </w:t>
      </w:r>
      <w:r w:rsidRPr="00382917">
        <w:t>put</w:t>
      </w:r>
      <w:r w:rsidR="00EE4FC3">
        <w:t xml:space="preserve"> </w:t>
      </w:r>
      <w:r w:rsidRPr="00382917">
        <w:t>to</w:t>
      </w:r>
      <w:r w:rsidR="00EE4FC3">
        <w:t xml:space="preserve"> </w:t>
      </w:r>
      <w:r w:rsidRPr="00382917">
        <w:t>shame</w:t>
      </w:r>
      <w:r w:rsidR="00330AF7">
        <w:t>.</w:t>
      </w:r>
      <w:r w:rsidR="00EE4FC3">
        <w:t xml:space="preserve">  </w:t>
      </w:r>
      <w:r w:rsidRPr="00382917">
        <w:t>They</w:t>
      </w:r>
      <w:r w:rsidR="00EE4FC3">
        <w:t xml:space="preserve"> </w:t>
      </w:r>
      <w:r w:rsidRPr="00382917">
        <w:t>rose</w:t>
      </w:r>
      <w:r w:rsidR="00EE4FC3">
        <w:t xml:space="preserve"> </w:t>
      </w:r>
      <w:r w:rsidRPr="00382917">
        <w:t>against</w:t>
      </w:r>
      <w:r w:rsidR="00EE4FC3">
        <w:t xml:space="preserve"> </w:t>
      </w:r>
      <w:r w:rsidRPr="00382917">
        <w:t>Him</w:t>
      </w:r>
      <w:r w:rsidR="00EE4FC3">
        <w:t xml:space="preserve"> </w:t>
      </w:r>
      <w:r w:rsidRPr="00382917">
        <w:t>in</w:t>
      </w:r>
      <w:r w:rsidR="00EE4FC3">
        <w:t xml:space="preserve"> </w:t>
      </w:r>
      <w:r w:rsidRPr="00382917">
        <w:t>sanctimonious</w:t>
      </w:r>
      <w:r w:rsidR="00EE4FC3">
        <w:t xml:space="preserve"> </w:t>
      </w:r>
      <w:r w:rsidRPr="00382917">
        <w:t>indignation.</w:t>
      </w:r>
      <w:r w:rsidR="009C713D" w:rsidRPr="00382917">
        <w:t>”</w:t>
      </w:r>
    </w:p>
    <w:p w:rsidR="001B6670" w:rsidRPr="00382917" w:rsidRDefault="009C713D" w:rsidP="00775809">
      <w:pPr>
        <w:pStyle w:val="Text"/>
      </w:pPr>
      <w:r w:rsidRPr="00382917">
        <w:t>“</w:t>
      </w:r>
      <w:r w:rsidR="001B6670" w:rsidRPr="00382917">
        <w:t>The</w:t>
      </w:r>
      <w:r w:rsidR="00EE4FC3">
        <w:t xml:space="preserve"> </w:t>
      </w:r>
      <w:r w:rsidR="001B6670" w:rsidRPr="00382917">
        <w:t>cause</w:t>
      </w:r>
      <w:r w:rsidR="00EE4FC3">
        <w:t xml:space="preserve"> </w:t>
      </w:r>
      <w:r w:rsidR="001B6670" w:rsidRPr="00382917">
        <w:t>of</w:t>
      </w:r>
      <w:r w:rsidR="00EE4FC3">
        <w:t xml:space="preserve"> </w:t>
      </w:r>
      <w:r w:rsidR="001B6670" w:rsidRPr="00382917">
        <w:t>the</w:t>
      </w:r>
      <w:r w:rsidR="00EE4FC3">
        <w:t xml:space="preserve"> </w:t>
      </w:r>
      <w:r w:rsidR="001B6670" w:rsidRPr="00382917">
        <w:t>rejection</w:t>
      </w:r>
      <w:r w:rsidR="00EE4FC3">
        <w:t xml:space="preserve"> </w:t>
      </w:r>
      <w:r w:rsidR="001B6670" w:rsidRPr="00382917">
        <w:t>and</w:t>
      </w:r>
      <w:r w:rsidR="00EE4FC3">
        <w:t xml:space="preserve"> </w:t>
      </w:r>
      <w:r w:rsidR="001B6670" w:rsidRPr="00382917">
        <w:t>persecution</w:t>
      </w:r>
      <w:r w:rsidR="00EE4FC3">
        <w:t xml:space="preserve"> </w:t>
      </w:r>
      <w:r w:rsidR="001B6670" w:rsidRPr="00382917">
        <w:t>of</w:t>
      </w:r>
      <w:r w:rsidR="00EE4FC3">
        <w:t xml:space="preserve"> </w:t>
      </w:r>
      <w:r w:rsidR="001B6670" w:rsidRPr="00382917">
        <w:t>the</w:t>
      </w:r>
      <w:r w:rsidR="00EE4FC3">
        <w:t xml:space="preserve"> </w:t>
      </w:r>
      <w:r w:rsidR="001B6670" w:rsidRPr="00382917">
        <w:t>Báb,</w:t>
      </w:r>
      <w:r w:rsidRPr="00382917">
        <w:t>”</w:t>
      </w:r>
      <w:r w:rsidR="00EE4FC3">
        <w:t xml:space="preserve"> </w:t>
      </w:r>
      <w:r w:rsidR="001B6670" w:rsidRPr="00382917">
        <w:t>this</w:t>
      </w:r>
      <w:r w:rsidR="00EE4FC3">
        <w:t xml:space="preserve"> </w:t>
      </w:r>
      <w:r w:rsidR="001B6670" w:rsidRPr="00382917">
        <w:t>historical</w:t>
      </w:r>
      <w:r w:rsidR="00EE4FC3">
        <w:t xml:space="preserve"> </w:t>
      </w:r>
      <w:r w:rsidR="001B6670" w:rsidRPr="00382917">
        <w:t>analysis</w:t>
      </w:r>
      <w:r w:rsidR="00EE4FC3">
        <w:t xml:space="preserve"> </w:t>
      </w:r>
      <w:r w:rsidR="001B6670" w:rsidRPr="00382917">
        <w:t>continues,</w:t>
      </w:r>
      <w:r w:rsidR="00EE4FC3">
        <w:t xml:space="preserve"> </w:t>
      </w:r>
      <w:r w:rsidRPr="00382917">
        <w:t>“</w:t>
      </w:r>
      <w:r w:rsidR="001B6670" w:rsidRPr="00382917">
        <w:t>was</w:t>
      </w:r>
      <w:r w:rsidR="00EE4FC3">
        <w:t xml:space="preserve"> </w:t>
      </w:r>
      <w:r w:rsidR="001B6670" w:rsidRPr="00382917">
        <w:t>in</w:t>
      </w:r>
      <w:r w:rsidR="00EE4FC3">
        <w:t xml:space="preserve"> </w:t>
      </w:r>
      <w:r w:rsidR="001B6670" w:rsidRPr="00382917">
        <w:t>its</w:t>
      </w:r>
      <w:r w:rsidR="00EE4FC3">
        <w:t xml:space="preserve"> </w:t>
      </w:r>
      <w:r w:rsidR="001B6670" w:rsidRPr="00382917">
        <w:t>essence</w:t>
      </w:r>
      <w:r w:rsidR="00EE4FC3">
        <w:t xml:space="preserve"> </w:t>
      </w:r>
      <w:r w:rsidR="001B6670" w:rsidRPr="00382917">
        <w:t>the</w:t>
      </w:r>
      <w:r w:rsidR="00EE4FC3">
        <w:t xml:space="preserve"> </w:t>
      </w:r>
      <w:r w:rsidR="001B6670" w:rsidRPr="00382917">
        <w:t>same</w:t>
      </w:r>
      <w:r w:rsidR="00EE4FC3">
        <w:t xml:space="preserve"> </w:t>
      </w:r>
      <w:r w:rsidR="001B6670" w:rsidRPr="00382917">
        <w:t>as</w:t>
      </w:r>
      <w:r w:rsidR="00EE4FC3">
        <w:t xml:space="preserve"> </w:t>
      </w:r>
      <w:r w:rsidR="001B6670" w:rsidRPr="00382917">
        <w:t>that</w:t>
      </w:r>
      <w:r w:rsidR="00EE4FC3">
        <w:t xml:space="preserve"> </w:t>
      </w:r>
      <w:r w:rsidR="001B6670" w:rsidRPr="00382917">
        <w:t>of</w:t>
      </w:r>
      <w:r w:rsidR="00EE4FC3">
        <w:t xml:space="preserve"> </w:t>
      </w:r>
      <w:r w:rsidR="001B6670" w:rsidRPr="00382917">
        <w:t>the</w:t>
      </w:r>
      <w:r w:rsidR="00EE4FC3">
        <w:t xml:space="preserve"> </w:t>
      </w:r>
      <w:r w:rsidR="001B6670" w:rsidRPr="00382917">
        <w:t>rejection</w:t>
      </w:r>
      <w:r w:rsidR="00EE4FC3">
        <w:t xml:space="preserve"> </w:t>
      </w:r>
      <w:r w:rsidR="001B6670" w:rsidRPr="00382917">
        <w:t>and</w:t>
      </w:r>
      <w:r w:rsidR="00EE4FC3">
        <w:t xml:space="preserve"> </w:t>
      </w:r>
      <w:r w:rsidR="001B6670" w:rsidRPr="00382917">
        <w:t>persecution</w:t>
      </w:r>
      <w:r w:rsidR="00EE4FC3">
        <w:t xml:space="preserve"> </w:t>
      </w:r>
      <w:r w:rsidR="001B6670" w:rsidRPr="00382917">
        <w:t>of</w:t>
      </w:r>
      <w:r w:rsidR="00EE4FC3">
        <w:t xml:space="preserve"> </w:t>
      </w:r>
      <w:r w:rsidR="001B6670" w:rsidRPr="00382917">
        <w:t>the</w:t>
      </w:r>
      <w:r w:rsidR="00EE4FC3">
        <w:t xml:space="preserve"> </w:t>
      </w:r>
      <w:r w:rsidR="001B6670" w:rsidRPr="00382917">
        <w:t>Christ</w:t>
      </w:r>
      <w:r w:rsidR="00330AF7">
        <w:t>.</w:t>
      </w:r>
      <w:r w:rsidR="00EE4FC3">
        <w:t xml:space="preserve">  </w:t>
      </w:r>
      <w:r w:rsidR="001B6670" w:rsidRPr="00382917">
        <w:t>If</w:t>
      </w:r>
      <w:r w:rsidR="00EE4FC3">
        <w:t xml:space="preserve"> </w:t>
      </w:r>
      <w:r w:rsidR="001B6670" w:rsidRPr="00382917">
        <w:t>Jesus</w:t>
      </w:r>
      <w:r w:rsidR="00EE4FC3">
        <w:t xml:space="preserve"> </w:t>
      </w:r>
      <w:r w:rsidR="001B6670" w:rsidRPr="00382917">
        <w:t>had</w:t>
      </w:r>
      <w:r w:rsidR="00EE4FC3">
        <w:t xml:space="preserve"> </w:t>
      </w:r>
      <w:r w:rsidR="001B6670" w:rsidRPr="00382917">
        <w:t>not</w:t>
      </w:r>
      <w:r w:rsidR="00EE4FC3">
        <w:t xml:space="preserve"> </w:t>
      </w:r>
      <w:r w:rsidR="001B6670" w:rsidRPr="00382917">
        <w:t>brought</w:t>
      </w:r>
      <w:r w:rsidR="00EE4FC3">
        <w:t xml:space="preserve"> </w:t>
      </w:r>
      <w:r w:rsidR="001B6670" w:rsidRPr="00382917">
        <w:t>a</w:t>
      </w:r>
      <w:r w:rsidR="00EE4FC3">
        <w:t xml:space="preserve"> </w:t>
      </w:r>
      <w:r w:rsidR="001B6670" w:rsidRPr="00382917">
        <w:t>New</w:t>
      </w:r>
      <w:r w:rsidR="00EE4FC3">
        <w:t xml:space="preserve"> </w:t>
      </w:r>
      <w:r w:rsidR="001B6670" w:rsidRPr="00382917">
        <w:t>Book,</w:t>
      </w:r>
      <w:r w:rsidR="00EE4FC3">
        <w:t xml:space="preserve"> </w:t>
      </w:r>
      <w:r w:rsidR="001B6670" w:rsidRPr="00382917">
        <w:t>if</w:t>
      </w:r>
      <w:r w:rsidR="00EE4FC3">
        <w:t xml:space="preserve"> </w:t>
      </w:r>
      <w:r w:rsidR="001B6670" w:rsidRPr="00382917">
        <w:t>He</w:t>
      </w:r>
      <w:r w:rsidR="00EE4FC3">
        <w:t xml:space="preserve"> </w:t>
      </w:r>
      <w:r w:rsidR="001B6670" w:rsidRPr="00382917">
        <w:t>had</w:t>
      </w:r>
      <w:r w:rsidR="00EE4FC3">
        <w:t xml:space="preserve"> </w:t>
      </w:r>
      <w:r w:rsidR="001B6670" w:rsidRPr="00382917">
        <w:t>not</w:t>
      </w:r>
      <w:r w:rsidR="00EE4FC3">
        <w:t xml:space="preserve"> </w:t>
      </w:r>
      <w:r w:rsidR="001B6670" w:rsidRPr="00382917">
        <w:t>only</w:t>
      </w:r>
      <w:r w:rsidR="00EE4FC3">
        <w:t xml:space="preserve"> </w:t>
      </w:r>
      <w:r w:rsidR="001B6670" w:rsidRPr="00382917">
        <w:t>reiterated</w:t>
      </w:r>
      <w:r w:rsidR="00EE4FC3">
        <w:t xml:space="preserve"> </w:t>
      </w:r>
      <w:r w:rsidR="001B6670" w:rsidRPr="00382917">
        <w:t>the</w:t>
      </w:r>
      <w:r w:rsidR="00EE4FC3">
        <w:t xml:space="preserve"> </w:t>
      </w:r>
      <w:r w:rsidR="001B6670" w:rsidRPr="00382917">
        <w:t>spiritual</w:t>
      </w:r>
      <w:r w:rsidR="00EE4FC3">
        <w:t xml:space="preserve"> </w:t>
      </w:r>
      <w:r w:rsidR="001B6670" w:rsidRPr="00382917">
        <w:t>principles</w:t>
      </w:r>
      <w:r w:rsidR="00EE4FC3">
        <w:t xml:space="preserve"> </w:t>
      </w:r>
      <w:r w:rsidR="001B6670" w:rsidRPr="00382917">
        <w:t>taught</w:t>
      </w:r>
      <w:r w:rsidR="00EE4FC3">
        <w:t xml:space="preserve"> </w:t>
      </w:r>
      <w:r w:rsidR="001B6670" w:rsidRPr="00382917">
        <w:t>by</w:t>
      </w:r>
      <w:r w:rsidR="00EE4FC3">
        <w:t xml:space="preserve"> </w:t>
      </w:r>
      <w:r w:rsidR="001B6670" w:rsidRPr="00382917">
        <w:t>Moses</w:t>
      </w:r>
      <w:r w:rsidR="00EE4FC3">
        <w:t xml:space="preserve"> </w:t>
      </w:r>
      <w:r w:rsidR="001B6670" w:rsidRPr="00382917">
        <w:t>but</w:t>
      </w:r>
      <w:r w:rsidR="00EE4FC3">
        <w:t xml:space="preserve"> </w:t>
      </w:r>
      <w:r w:rsidR="001B6670" w:rsidRPr="00382917">
        <w:t>had</w:t>
      </w:r>
      <w:r w:rsidR="00EE4FC3">
        <w:t xml:space="preserve"> </w:t>
      </w:r>
      <w:r w:rsidR="001B6670" w:rsidRPr="00382917">
        <w:t>continued</w:t>
      </w:r>
      <w:r w:rsidR="00EE4FC3">
        <w:t xml:space="preserve"> </w:t>
      </w:r>
      <w:r w:rsidR="001B6670" w:rsidRPr="00382917">
        <w:t>Moses</w:t>
      </w:r>
      <w:r w:rsidRPr="00382917">
        <w:t>’</w:t>
      </w:r>
      <w:r w:rsidR="00EE4FC3">
        <w:t xml:space="preserve"> </w:t>
      </w:r>
      <w:r w:rsidR="001B6670" w:rsidRPr="00382917">
        <w:t>rules</w:t>
      </w:r>
      <w:r w:rsidR="00EE4FC3">
        <w:t xml:space="preserve"> </w:t>
      </w:r>
      <w:r w:rsidR="001B6670" w:rsidRPr="00382917">
        <w:t>and</w:t>
      </w:r>
      <w:r w:rsidR="00EE4FC3">
        <w:t xml:space="preserve"> </w:t>
      </w:r>
      <w:r w:rsidR="001B6670" w:rsidRPr="00382917">
        <w:t>regulations</w:t>
      </w:r>
      <w:r w:rsidR="00EE4FC3">
        <w:t xml:space="preserve"> </w:t>
      </w:r>
      <w:r w:rsidR="001B6670" w:rsidRPr="00382917">
        <w:t>too,</w:t>
      </w:r>
      <w:r w:rsidR="00EE4FC3">
        <w:t xml:space="preserve"> </w:t>
      </w:r>
      <w:r w:rsidR="001B6670" w:rsidRPr="00382917">
        <w:t>He</w:t>
      </w:r>
      <w:r w:rsidR="00EE4FC3">
        <w:t xml:space="preserve"> </w:t>
      </w:r>
      <w:r w:rsidR="001B6670" w:rsidRPr="00382917">
        <w:t>might</w:t>
      </w:r>
      <w:r w:rsidR="00EE4FC3">
        <w:t xml:space="preserve"> </w:t>
      </w:r>
      <w:r w:rsidR="001B6670" w:rsidRPr="00382917">
        <w:t>as</w:t>
      </w:r>
      <w:r w:rsidR="00EE4FC3">
        <w:t xml:space="preserve"> </w:t>
      </w:r>
      <w:r w:rsidR="001B6670" w:rsidRPr="00382917">
        <w:t>merely</w:t>
      </w:r>
      <w:r w:rsidR="00EE4FC3">
        <w:t xml:space="preserve"> </w:t>
      </w:r>
      <w:r w:rsidR="001B6670" w:rsidRPr="00382917">
        <w:t>a</w:t>
      </w:r>
      <w:r w:rsidR="00EE4FC3">
        <w:t xml:space="preserve"> </w:t>
      </w:r>
      <w:r w:rsidR="001B6670" w:rsidRPr="00382917">
        <w:t>moral</w:t>
      </w:r>
      <w:r w:rsidR="00EE4FC3">
        <w:t xml:space="preserve"> </w:t>
      </w:r>
      <w:r w:rsidR="001B6670" w:rsidRPr="00382917">
        <w:t>reformer</w:t>
      </w:r>
      <w:r w:rsidR="00EE4FC3">
        <w:t xml:space="preserve"> </w:t>
      </w:r>
      <w:r w:rsidR="001B6670" w:rsidRPr="00382917">
        <w:t>have</w:t>
      </w:r>
      <w:r w:rsidR="00EE4FC3">
        <w:t xml:space="preserve"> </w:t>
      </w:r>
      <w:r w:rsidR="001B6670" w:rsidRPr="00382917">
        <w:t>escaped</w:t>
      </w:r>
      <w:r w:rsidR="00EE4FC3">
        <w:t xml:space="preserve"> </w:t>
      </w:r>
      <w:r w:rsidR="001B6670" w:rsidRPr="00382917">
        <w:t>the</w:t>
      </w:r>
      <w:r w:rsidR="00EE4FC3">
        <w:t xml:space="preserve"> </w:t>
      </w:r>
      <w:r w:rsidR="001B6670" w:rsidRPr="00382917">
        <w:t>vengeance</w:t>
      </w:r>
      <w:r w:rsidR="00EE4FC3">
        <w:t xml:space="preserve"> </w:t>
      </w:r>
      <w:r w:rsidR="001B6670" w:rsidRPr="00382917">
        <w:t>of</w:t>
      </w:r>
      <w:r w:rsidR="00EE4FC3">
        <w:t xml:space="preserve"> </w:t>
      </w:r>
      <w:r w:rsidR="001B6670" w:rsidRPr="00382917">
        <w:t>the</w:t>
      </w:r>
      <w:r w:rsidR="00EE4FC3">
        <w:t xml:space="preserve"> </w:t>
      </w:r>
      <w:r w:rsidR="001B6670" w:rsidRPr="00382917">
        <w:t>Scribes</w:t>
      </w:r>
      <w:r w:rsidR="00EE4FC3">
        <w:t xml:space="preserve"> </w:t>
      </w:r>
      <w:r w:rsidR="001B6670" w:rsidRPr="00382917">
        <w:t>and</w:t>
      </w:r>
      <w:r w:rsidR="00EE4FC3">
        <w:t xml:space="preserve"> </w:t>
      </w:r>
      <w:r w:rsidR="001B6670" w:rsidRPr="00382917">
        <w:t>Pharisees</w:t>
      </w:r>
      <w:r w:rsidR="00330AF7">
        <w:t>.</w:t>
      </w:r>
      <w:r w:rsidR="00EE4FC3">
        <w:t xml:space="preserve">  </w:t>
      </w:r>
      <w:r w:rsidR="001B6670" w:rsidRPr="00382917">
        <w:t>But</w:t>
      </w:r>
      <w:r w:rsidR="00EE4FC3">
        <w:t xml:space="preserve"> </w:t>
      </w:r>
      <w:r w:rsidR="001B6670" w:rsidRPr="00382917">
        <w:t>to</w:t>
      </w:r>
      <w:r w:rsidR="00EE4FC3">
        <w:t xml:space="preserve"> </w:t>
      </w:r>
      <w:r w:rsidR="001B6670" w:rsidRPr="00382917">
        <w:t>claim</w:t>
      </w:r>
      <w:r w:rsidR="00EE4FC3">
        <w:t xml:space="preserve"> </w:t>
      </w:r>
      <w:r w:rsidR="001B6670" w:rsidRPr="00382917">
        <w:t>that</w:t>
      </w:r>
      <w:r w:rsidR="00EE4FC3">
        <w:t xml:space="preserve"> </w:t>
      </w:r>
      <w:r w:rsidR="001B6670" w:rsidRPr="00382917">
        <w:t>any</w:t>
      </w:r>
      <w:r w:rsidR="00EE4FC3">
        <w:t xml:space="preserve"> </w:t>
      </w:r>
      <w:r w:rsidR="001B6670" w:rsidRPr="00382917">
        <w:t>part</w:t>
      </w:r>
      <w:r w:rsidR="00EE4FC3">
        <w:t xml:space="preserve"> </w:t>
      </w:r>
      <w:r w:rsidR="001B6670" w:rsidRPr="00382917">
        <w:t>of</w:t>
      </w:r>
      <w:r w:rsidR="00EE4FC3">
        <w:t xml:space="preserve"> </w:t>
      </w:r>
      <w:r w:rsidR="001B6670" w:rsidRPr="00382917">
        <w:t>the</w:t>
      </w:r>
      <w:r w:rsidR="00EE4FC3">
        <w:t xml:space="preserve"> </w:t>
      </w:r>
      <w:r w:rsidR="001B6670" w:rsidRPr="00382917">
        <w:t>Mosaic</w:t>
      </w:r>
      <w:r w:rsidR="00EE4FC3">
        <w:t xml:space="preserve"> </w:t>
      </w:r>
      <w:r w:rsidR="001B6670" w:rsidRPr="00382917">
        <w:t>law,</w:t>
      </w:r>
      <w:r w:rsidR="00EE4FC3">
        <w:t xml:space="preserve"> </w:t>
      </w:r>
      <w:r w:rsidR="001B6670" w:rsidRPr="00382917">
        <w:t>even</w:t>
      </w:r>
      <w:r w:rsidR="00EE4FC3">
        <w:t xml:space="preserve"> </w:t>
      </w:r>
      <w:r w:rsidR="001B6670" w:rsidRPr="00382917">
        <w:t>such</w:t>
      </w:r>
      <w:r w:rsidR="00EE4FC3">
        <w:t xml:space="preserve"> </w:t>
      </w:r>
      <w:r w:rsidR="001B6670" w:rsidRPr="00382917">
        <w:t>material</w:t>
      </w:r>
      <w:r w:rsidR="00EE4FC3">
        <w:t xml:space="preserve"> </w:t>
      </w:r>
      <w:r w:rsidR="001B6670" w:rsidRPr="00382917">
        <w:t>ordinances</w:t>
      </w:r>
      <w:r w:rsidR="00EE4FC3">
        <w:t xml:space="preserve"> </w:t>
      </w:r>
      <w:r w:rsidR="001B6670" w:rsidRPr="00382917">
        <w:t>as</w:t>
      </w:r>
      <w:r w:rsidR="00EE4FC3">
        <w:t xml:space="preserve"> </w:t>
      </w:r>
      <w:r w:rsidR="001B6670" w:rsidRPr="00382917">
        <w:t>those</w:t>
      </w:r>
      <w:r w:rsidR="00EE4FC3">
        <w:t xml:space="preserve"> </w:t>
      </w:r>
      <w:r w:rsidR="001B6670" w:rsidRPr="00382917">
        <w:t>dealing</w:t>
      </w:r>
      <w:r w:rsidR="00EE4FC3">
        <w:t xml:space="preserve"> </w:t>
      </w:r>
      <w:r w:rsidR="001B6670" w:rsidRPr="00382917">
        <w:t>with</w:t>
      </w:r>
      <w:r w:rsidR="00EE4FC3">
        <w:t xml:space="preserve"> </w:t>
      </w:r>
      <w:r w:rsidR="001B6670" w:rsidRPr="00382917">
        <w:t>divorce</w:t>
      </w:r>
      <w:r w:rsidR="00EE4FC3">
        <w:t xml:space="preserve"> </w:t>
      </w:r>
      <w:r w:rsidR="001B6670" w:rsidRPr="00382917">
        <w:t>and</w:t>
      </w:r>
      <w:r w:rsidR="00EE4FC3">
        <w:t xml:space="preserve"> </w:t>
      </w:r>
      <w:r w:rsidR="001B6670" w:rsidRPr="00382917">
        <w:t>the</w:t>
      </w:r>
      <w:r w:rsidR="00EE4FC3">
        <w:t xml:space="preserve"> </w:t>
      </w:r>
      <w:r w:rsidR="001B6670" w:rsidRPr="00382917">
        <w:t>keeping</w:t>
      </w:r>
      <w:r w:rsidR="00EE4FC3">
        <w:t xml:space="preserve"> </w:t>
      </w:r>
      <w:r w:rsidR="001B6670" w:rsidRPr="00382917">
        <w:t>of</w:t>
      </w:r>
      <w:r w:rsidR="00EE4FC3">
        <w:t xml:space="preserve"> </w:t>
      </w:r>
      <w:r w:rsidR="001B6670" w:rsidRPr="00382917">
        <w:t>the</w:t>
      </w:r>
      <w:r w:rsidR="00EE4FC3">
        <w:t xml:space="preserve"> </w:t>
      </w:r>
      <w:r w:rsidR="001B6670" w:rsidRPr="00382917">
        <w:t>Sabbath,</w:t>
      </w:r>
      <w:r w:rsidR="00EE4FC3">
        <w:t xml:space="preserve"> </w:t>
      </w:r>
      <w:r w:rsidR="001B6670" w:rsidRPr="00382917">
        <w:t>could</w:t>
      </w:r>
      <w:r w:rsidR="00EE4FC3">
        <w:t xml:space="preserve"> </w:t>
      </w:r>
      <w:r w:rsidR="001B6670" w:rsidRPr="00382917">
        <w:t>be</w:t>
      </w:r>
      <w:r w:rsidR="00EE4FC3">
        <w:t xml:space="preserve"> </w:t>
      </w:r>
      <w:r w:rsidR="001B6670" w:rsidRPr="00382917">
        <w:t>altered—and</w:t>
      </w:r>
      <w:r w:rsidR="00EE4FC3">
        <w:t xml:space="preserve"> </w:t>
      </w:r>
      <w:r w:rsidR="001B6670" w:rsidRPr="00382917">
        <w:t>altered</w:t>
      </w:r>
      <w:r w:rsidR="00EE4FC3">
        <w:t xml:space="preserve"> </w:t>
      </w:r>
      <w:r w:rsidR="001B6670" w:rsidRPr="00382917">
        <w:t>by</w:t>
      </w:r>
      <w:r w:rsidR="00EE4FC3">
        <w:t xml:space="preserve"> </w:t>
      </w:r>
      <w:r w:rsidR="001B6670" w:rsidRPr="00382917">
        <w:t>an</w:t>
      </w:r>
      <w:r w:rsidR="00EE4FC3">
        <w:t xml:space="preserve"> </w:t>
      </w:r>
      <w:proofErr w:type="spellStart"/>
      <w:r w:rsidR="001B6670" w:rsidRPr="00382917">
        <w:t>unordained</w:t>
      </w:r>
      <w:proofErr w:type="spellEnd"/>
      <w:r w:rsidR="00EE4FC3">
        <w:t xml:space="preserve"> </w:t>
      </w:r>
      <w:r w:rsidR="001B6670" w:rsidRPr="00382917">
        <w:t>preacher</w:t>
      </w:r>
      <w:r w:rsidR="00EE4FC3">
        <w:t xml:space="preserve"> </w:t>
      </w:r>
      <w:r w:rsidR="001B6670" w:rsidRPr="00382917">
        <w:t>from</w:t>
      </w:r>
      <w:r w:rsidR="00EE4FC3">
        <w:t xml:space="preserve"> </w:t>
      </w:r>
      <w:r w:rsidR="001B6670" w:rsidRPr="00382917">
        <w:t>the</w:t>
      </w:r>
      <w:r w:rsidR="00EE4FC3">
        <w:t xml:space="preserve"> </w:t>
      </w:r>
      <w:r w:rsidR="001B6670" w:rsidRPr="00382917">
        <w:t>village</w:t>
      </w:r>
      <w:r w:rsidR="00EE4FC3">
        <w:t xml:space="preserve"> </w:t>
      </w:r>
      <w:r w:rsidR="001B6670" w:rsidRPr="00382917">
        <w:t>of</w:t>
      </w:r>
      <w:r w:rsidR="00EE4FC3">
        <w:t xml:space="preserve"> </w:t>
      </w:r>
      <w:r w:rsidR="001B6670" w:rsidRPr="00382917">
        <w:t>Nazareth—this</w:t>
      </w:r>
      <w:r w:rsidR="00EE4FC3">
        <w:t xml:space="preserve"> </w:t>
      </w:r>
      <w:r w:rsidR="001B6670" w:rsidRPr="00382917">
        <w:t>was</w:t>
      </w:r>
      <w:r w:rsidR="00EE4FC3">
        <w:t xml:space="preserve"> </w:t>
      </w:r>
      <w:r w:rsidR="001B6670" w:rsidRPr="00382917">
        <w:t>to</w:t>
      </w:r>
      <w:r w:rsidR="00EE4FC3">
        <w:t xml:space="preserve"> </w:t>
      </w:r>
      <w:r w:rsidR="001B6670" w:rsidRPr="00382917">
        <w:t>threaten</w:t>
      </w:r>
      <w:r w:rsidR="00EE4FC3">
        <w:t xml:space="preserve"> </w:t>
      </w:r>
      <w:r w:rsidR="001B6670" w:rsidRPr="00382917">
        <w:t>the</w:t>
      </w:r>
      <w:r w:rsidR="00EE4FC3">
        <w:t xml:space="preserve"> </w:t>
      </w:r>
      <w:r w:rsidR="001B6670" w:rsidRPr="00382917">
        <w:t>interests</w:t>
      </w:r>
      <w:r w:rsidR="00EE4FC3">
        <w:t xml:space="preserve"> </w:t>
      </w:r>
      <w:r w:rsidR="001B6670" w:rsidRPr="00382917">
        <w:t>of</w:t>
      </w:r>
      <w:r w:rsidR="00EE4FC3">
        <w:t xml:space="preserve"> </w:t>
      </w:r>
      <w:r w:rsidR="001B6670" w:rsidRPr="00382917">
        <w:t>the</w:t>
      </w:r>
      <w:r w:rsidR="00EE4FC3">
        <w:t xml:space="preserve"> </w:t>
      </w:r>
      <w:r w:rsidR="001B6670" w:rsidRPr="00382917">
        <w:t>Scribes</w:t>
      </w:r>
      <w:r w:rsidR="00EE4FC3">
        <w:t xml:space="preserve"> </w:t>
      </w:r>
      <w:r w:rsidR="001B6670" w:rsidRPr="00382917">
        <w:t>and</w:t>
      </w:r>
      <w:r w:rsidR="00EE4FC3">
        <w:t xml:space="preserve"> </w:t>
      </w:r>
      <w:r w:rsidR="001B6670" w:rsidRPr="00382917">
        <w:t>the</w:t>
      </w:r>
      <w:r w:rsidR="00EE4FC3">
        <w:t xml:space="preserve"> </w:t>
      </w:r>
      <w:r w:rsidR="001B6670" w:rsidRPr="00382917">
        <w:t>Pharisees</w:t>
      </w:r>
      <w:r w:rsidR="00EE4FC3">
        <w:t xml:space="preserve"> </w:t>
      </w:r>
      <w:r w:rsidR="001B6670" w:rsidRPr="00382917">
        <w:t>themselves,</w:t>
      </w:r>
      <w:r w:rsidR="00EE4FC3">
        <w:t xml:space="preserve"> </w:t>
      </w:r>
      <w:r w:rsidR="001B6670" w:rsidRPr="00382917">
        <w:t>and</w:t>
      </w:r>
      <w:r w:rsidR="00EE4FC3">
        <w:t xml:space="preserve"> </w:t>
      </w:r>
      <w:r w:rsidR="001B6670" w:rsidRPr="00382917">
        <w:t>since</w:t>
      </w:r>
      <w:r w:rsidR="00EE4FC3">
        <w:t xml:space="preserve"> </w:t>
      </w:r>
      <w:r w:rsidR="001B6670" w:rsidRPr="00382917">
        <w:t>they</w:t>
      </w:r>
      <w:r w:rsidR="00EE4FC3">
        <w:t xml:space="preserve"> </w:t>
      </w:r>
      <w:r w:rsidR="001B6670" w:rsidRPr="00382917">
        <w:t>were</w:t>
      </w:r>
      <w:r w:rsidR="00EE4FC3">
        <w:t xml:space="preserve"> </w:t>
      </w:r>
      <w:r w:rsidR="001B6670" w:rsidRPr="00382917">
        <w:t>the</w:t>
      </w:r>
      <w:r w:rsidR="00EE4FC3">
        <w:t xml:space="preserve"> </w:t>
      </w:r>
      <w:r w:rsidR="001B6670" w:rsidRPr="00382917">
        <w:t>representatives</w:t>
      </w:r>
      <w:r w:rsidR="00EE4FC3">
        <w:t xml:space="preserve"> </w:t>
      </w:r>
      <w:r w:rsidR="001B6670" w:rsidRPr="00382917">
        <w:t>of</w:t>
      </w:r>
      <w:r w:rsidR="00EE4FC3">
        <w:t xml:space="preserve"> </w:t>
      </w:r>
      <w:r w:rsidR="001B6670" w:rsidRPr="00382917">
        <w:t>Moses</w:t>
      </w:r>
      <w:r w:rsidR="00EE4FC3">
        <w:t xml:space="preserve"> </w:t>
      </w:r>
      <w:r w:rsidR="001B6670" w:rsidRPr="00382917">
        <w:t>and</w:t>
      </w:r>
      <w:r w:rsidR="00EE4FC3">
        <w:t xml:space="preserve"> </w:t>
      </w:r>
      <w:r w:rsidR="001B6670" w:rsidRPr="00382917">
        <w:t>of</w:t>
      </w:r>
      <w:r w:rsidR="00EE4FC3">
        <w:t xml:space="preserve"> </w:t>
      </w:r>
      <w:r w:rsidR="001B6670" w:rsidRPr="00382917">
        <w:t>God,</w:t>
      </w:r>
      <w:r w:rsidR="00EE4FC3">
        <w:t xml:space="preserve"> </w:t>
      </w:r>
      <w:r w:rsidR="001B6670" w:rsidRPr="00382917">
        <w:t>it</w:t>
      </w:r>
      <w:r w:rsidR="00EE4FC3">
        <w:t xml:space="preserve"> </w:t>
      </w:r>
      <w:r w:rsidR="001B6670" w:rsidRPr="00382917">
        <w:t>was</w:t>
      </w:r>
      <w:r w:rsidR="00EE4FC3">
        <w:t xml:space="preserve"> </w:t>
      </w:r>
      <w:r w:rsidR="001B6670" w:rsidRPr="00382917">
        <w:t>blasphemy</w:t>
      </w:r>
      <w:r w:rsidR="00EE4FC3">
        <w:t xml:space="preserve"> </w:t>
      </w:r>
      <w:r w:rsidR="001B6670" w:rsidRPr="00382917">
        <w:t>against</w:t>
      </w:r>
      <w:r w:rsidR="00EE4FC3">
        <w:t xml:space="preserve"> </w:t>
      </w:r>
      <w:r w:rsidR="001B6670" w:rsidRPr="00382917">
        <w:t>the</w:t>
      </w:r>
      <w:r w:rsidR="00EE4FC3">
        <w:t xml:space="preserve"> </w:t>
      </w:r>
      <w:r w:rsidR="001B6670" w:rsidRPr="00382917">
        <w:t>Most</w:t>
      </w:r>
      <w:r w:rsidR="00EE4FC3">
        <w:t xml:space="preserve"> </w:t>
      </w:r>
      <w:r w:rsidR="001B6670" w:rsidRPr="00382917">
        <w:t>High</w:t>
      </w:r>
      <w:r w:rsidR="00330AF7">
        <w:t>.</w:t>
      </w:r>
      <w:r w:rsidR="00EE4FC3">
        <w:t xml:space="preserve">  </w:t>
      </w:r>
      <w:r w:rsidR="001B6670" w:rsidRPr="00382917">
        <w:t>As</w:t>
      </w:r>
      <w:r w:rsidR="00EE4FC3">
        <w:t xml:space="preserve"> </w:t>
      </w:r>
      <w:r w:rsidR="001B6670" w:rsidRPr="00382917">
        <w:t>soon</w:t>
      </w:r>
      <w:r w:rsidR="00EE4FC3">
        <w:t xml:space="preserve"> </w:t>
      </w:r>
      <w:r w:rsidR="001B6670" w:rsidRPr="00382917">
        <w:t>as</w:t>
      </w:r>
      <w:r w:rsidR="00EE4FC3">
        <w:t xml:space="preserve"> </w:t>
      </w:r>
      <w:r w:rsidR="001B6670" w:rsidRPr="00382917">
        <w:t>the</w:t>
      </w:r>
      <w:r w:rsidR="00EE4FC3">
        <w:t xml:space="preserve"> </w:t>
      </w:r>
      <w:r w:rsidR="001B6670" w:rsidRPr="00382917">
        <w:t>position</w:t>
      </w:r>
      <w:r w:rsidR="00EE4FC3">
        <w:t xml:space="preserve"> </w:t>
      </w:r>
      <w:r w:rsidR="001B6670" w:rsidRPr="00382917">
        <w:t>of</w:t>
      </w:r>
      <w:r w:rsidR="00EE4FC3">
        <w:t xml:space="preserve"> </w:t>
      </w:r>
      <w:r w:rsidR="001B6670" w:rsidRPr="00382917">
        <w:t>Jesus</w:t>
      </w:r>
      <w:r w:rsidR="00EE4FC3">
        <w:t xml:space="preserve"> </w:t>
      </w:r>
      <w:r w:rsidR="001B6670" w:rsidRPr="00382917">
        <w:t>was</w:t>
      </w:r>
      <w:r w:rsidR="00EE4FC3">
        <w:t xml:space="preserve"> </w:t>
      </w:r>
      <w:r w:rsidR="001B6670" w:rsidRPr="00382917">
        <w:t>understood,</w:t>
      </w:r>
      <w:r w:rsidR="00EE4FC3">
        <w:t xml:space="preserve"> </w:t>
      </w:r>
      <w:r w:rsidR="001B6670" w:rsidRPr="00382917">
        <w:t>His</w:t>
      </w:r>
      <w:r w:rsidR="00EE4FC3">
        <w:t xml:space="preserve"> </w:t>
      </w:r>
      <w:r w:rsidR="001B6670" w:rsidRPr="00382917">
        <w:t>persecution</w:t>
      </w:r>
      <w:r w:rsidR="00EE4FC3">
        <w:t xml:space="preserve"> </w:t>
      </w:r>
      <w:r w:rsidR="001B6670" w:rsidRPr="00382917">
        <w:t>began</w:t>
      </w:r>
      <w:r w:rsidR="00330AF7">
        <w:t>.</w:t>
      </w:r>
      <w:r w:rsidR="00EE4FC3">
        <w:t xml:space="preserve">  </w:t>
      </w:r>
      <w:r w:rsidR="001B6670" w:rsidRPr="00382917">
        <w:t>As</w:t>
      </w:r>
      <w:r w:rsidR="00EE4FC3">
        <w:t xml:space="preserve"> </w:t>
      </w:r>
      <w:r w:rsidR="001B6670" w:rsidRPr="00382917">
        <w:t>He</w:t>
      </w:r>
      <w:r w:rsidR="00EE4FC3">
        <w:t xml:space="preserve"> </w:t>
      </w:r>
      <w:r w:rsidR="001B6670" w:rsidRPr="00382917">
        <w:t>refused</w:t>
      </w:r>
      <w:r w:rsidR="00EE4FC3">
        <w:t xml:space="preserve"> </w:t>
      </w:r>
      <w:r w:rsidR="001B6670" w:rsidRPr="00382917">
        <w:t>to</w:t>
      </w:r>
      <w:r w:rsidR="00EE4FC3">
        <w:t xml:space="preserve"> </w:t>
      </w:r>
      <w:r w:rsidR="001B6670" w:rsidRPr="00382917">
        <w:t>desist,</w:t>
      </w:r>
      <w:r w:rsidR="00EE4FC3">
        <w:t xml:space="preserve"> </w:t>
      </w:r>
      <w:r w:rsidR="001B6670" w:rsidRPr="00382917">
        <w:t>He</w:t>
      </w:r>
      <w:r w:rsidR="00EE4FC3">
        <w:t xml:space="preserve"> </w:t>
      </w:r>
      <w:r w:rsidR="001B6670" w:rsidRPr="00382917">
        <w:t>was</w:t>
      </w:r>
      <w:r w:rsidR="00EE4FC3">
        <w:t xml:space="preserve"> </w:t>
      </w:r>
      <w:r w:rsidR="001B6670" w:rsidRPr="00382917">
        <w:t>put</w:t>
      </w:r>
      <w:r w:rsidR="00EE4FC3">
        <w:t xml:space="preserve"> </w:t>
      </w:r>
      <w:r w:rsidR="001B6670" w:rsidRPr="00382917">
        <w:t>to</w:t>
      </w:r>
      <w:r w:rsidR="00EE4FC3">
        <w:t xml:space="preserve"> </w:t>
      </w:r>
      <w:r w:rsidR="001B6670" w:rsidRPr="00382917">
        <w:t>death.</w:t>
      </w:r>
    </w:p>
    <w:p w:rsidR="00E13D49" w:rsidRPr="00382917" w:rsidRDefault="009C713D" w:rsidP="000847FB">
      <w:pPr>
        <w:pStyle w:val="Text"/>
      </w:pPr>
      <w:r w:rsidRPr="00382917">
        <w:t>“</w:t>
      </w:r>
      <w:r w:rsidR="001B6670" w:rsidRPr="00382917">
        <w:t>For</w:t>
      </w:r>
      <w:r w:rsidR="00EE4FC3">
        <w:t xml:space="preserve"> </w:t>
      </w:r>
      <w:r w:rsidR="001B6670" w:rsidRPr="00382917">
        <w:t>reasons</w:t>
      </w:r>
      <w:r w:rsidR="00EE4FC3">
        <w:t xml:space="preserve"> </w:t>
      </w:r>
      <w:r w:rsidR="001B6670" w:rsidRPr="00382917">
        <w:t>exactly</w:t>
      </w:r>
      <w:r w:rsidR="00EE4FC3">
        <w:t xml:space="preserve"> </w:t>
      </w:r>
      <w:r w:rsidR="001B6670" w:rsidRPr="00382917">
        <w:t>parallel,</w:t>
      </w:r>
      <w:r w:rsidR="00EE4FC3">
        <w:t xml:space="preserve"> </w:t>
      </w:r>
      <w:r w:rsidR="001B6670" w:rsidRPr="00382917">
        <w:t>the</w:t>
      </w:r>
      <w:r w:rsidR="00EE4FC3">
        <w:t xml:space="preserve"> </w:t>
      </w:r>
      <w:r w:rsidR="001B6670" w:rsidRPr="00382917">
        <w:t>Báb</w:t>
      </w:r>
      <w:r w:rsidR="00EE4FC3">
        <w:t xml:space="preserve"> </w:t>
      </w:r>
      <w:r w:rsidR="001B6670" w:rsidRPr="00382917">
        <w:t>was</w:t>
      </w:r>
      <w:r w:rsidR="00EE4FC3">
        <w:t xml:space="preserve"> </w:t>
      </w:r>
      <w:r w:rsidR="001B6670" w:rsidRPr="00382917">
        <w:t>from</w:t>
      </w:r>
      <w:r w:rsidR="00EE4FC3">
        <w:t xml:space="preserve"> </w:t>
      </w:r>
      <w:r w:rsidR="001B6670" w:rsidRPr="00382917">
        <w:t>the</w:t>
      </w:r>
      <w:r w:rsidR="00EE4FC3">
        <w:t xml:space="preserve"> </w:t>
      </w:r>
      <w:r w:rsidR="001B6670" w:rsidRPr="00382917">
        <w:t>beginning</w:t>
      </w:r>
      <w:r w:rsidR="00EE4FC3">
        <w:t xml:space="preserve"> </w:t>
      </w:r>
      <w:r w:rsidR="001B6670" w:rsidRPr="00382917">
        <w:t>opposed.</w:t>
      </w:r>
      <w:r w:rsidRPr="00382917">
        <w:t>”</w:t>
      </w:r>
      <w:r w:rsidR="000847FB">
        <w:rPr>
          <w:rStyle w:val="FootnoteReference"/>
        </w:rPr>
        <w:footnoteReference w:id="270"/>
      </w:r>
    </w:p>
    <w:p w:rsidR="001B6670" w:rsidRPr="00382917" w:rsidRDefault="001B6670" w:rsidP="00775809">
      <w:pPr>
        <w:pStyle w:val="Text"/>
      </w:pPr>
      <w:r w:rsidRPr="00382917">
        <w:t>There</w:t>
      </w:r>
      <w:r w:rsidR="00EE4FC3">
        <w:t xml:space="preserve"> </w:t>
      </w:r>
      <w:r w:rsidRPr="00382917">
        <w:t>is</w:t>
      </w:r>
      <w:r w:rsidR="00EE4FC3">
        <w:t xml:space="preserve"> </w:t>
      </w:r>
      <w:r w:rsidRPr="00382917">
        <w:t>but</w:t>
      </w:r>
      <w:r w:rsidR="00EE4FC3">
        <w:t xml:space="preserve"> </w:t>
      </w:r>
      <w:r w:rsidRPr="00382917">
        <w:t>one</w:t>
      </w:r>
      <w:r w:rsidR="00EE4FC3">
        <w:t xml:space="preserve"> </w:t>
      </w:r>
      <w:r w:rsidRPr="00382917">
        <w:t>parallel</w:t>
      </w:r>
      <w:r w:rsidR="00EE4FC3">
        <w:t xml:space="preserve"> </w:t>
      </w:r>
      <w:r w:rsidRPr="00382917">
        <w:t>in</w:t>
      </w:r>
      <w:r w:rsidR="00EE4FC3">
        <w:t xml:space="preserve"> </w:t>
      </w:r>
      <w:r w:rsidRPr="00382917">
        <w:t>all</w:t>
      </w:r>
      <w:r w:rsidR="00EE4FC3">
        <w:t xml:space="preserve"> </w:t>
      </w:r>
      <w:r w:rsidRPr="00382917">
        <w:t>recorded</w:t>
      </w:r>
      <w:r w:rsidR="00EE4FC3">
        <w:t xml:space="preserve"> </w:t>
      </w:r>
      <w:r w:rsidRPr="00382917">
        <w:t>history</w:t>
      </w:r>
      <w:r w:rsidR="00EE4FC3">
        <w:t xml:space="preserve"> </w:t>
      </w:r>
      <w:r w:rsidRPr="00382917">
        <w:t>to</w:t>
      </w:r>
      <w:r w:rsidR="00EE4FC3">
        <w:t xml:space="preserve"> </w:t>
      </w:r>
      <w:r w:rsidRPr="00382917">
        <w:t>the</w:t>
      </w:r>
      <w:r w:rsidR="00EE4FC3">
        <w:t xml:space="preserve"> </w:t>
      </w:r>
      <w:r w:rsidRPr="00382917">
        <w:t>brief</w:t>
      </w:r>
      <w:r w:rsidR="00EE4FC3">
        <w:t xml:space="preserve"> </w:t>
      </w:r>
      <w:r w:rsidRPr="00382917">
        <w:t>turbulent</w:t>
      </w:r>
      <w:r w:rsidR="00EE4FC3">
        <w:t xml:space="preserve"> </w:t>
      </w:r>
      <w:r w:rsidRPr="00382917">
        <w:t>ministry</w:t>
      </w:r>
      <w:r w:rsidR="00EE4FC3">
        <w:t xml:space="preserve"> </w:t>
      </w:r>
      <w:r w:rsidRPr="00382917">
        <w:t>of</w:t>
      </w:r>
      <w:r w:rsidR="00EE4FC3">
        <w:t xml:space="preserve"> </w:t>
      </w:r>
      <w:r w:rsidRPr="00382917">
        <w:t>the</w:t>
      </w:r>
      <w:r w:rsidR="00EE4FC3">
        <w:t xml:space="preserve"> </w:t>
      </w:r>
      <w:r w:rsidRPr="00382917">
        <w:t>Báb</w:t>
      </w:r>
      <w:r w:rsidR="00330AF7">
        <w:t>.</w:t>
      </w:r>
      <w:r w:rsidR="00EE4FC3">
        <w:t xml:space="preserve">  </w:t>
      </w:r>
      <w:r w:rsidRPr="00382917">
        <w:t>It</w:t>
      </w:r>
      <w:r w:rsidR="00EE4FC3">
        <w:t xml:space="preserve"> </w:t>
      </w:r>
      <w:r w:rsidRPr="00382917">
        <w:t>is</w:t>
      </w:r>
      <w:r w:rsidR="00EE4FC3">
        <w:t xml:space="preserve"> </w:t>
      </w:r>
      <w:r w:rsidRPr="00382917">
        <w:t>the</w:t>
      </w:r>
      <w:r w:rsidR="00EE4FC3">
        <w:t xml:space="preserve"> </w:t>
      </w:r>
      <w:r w:rsidRPr="00382917">
        <w:t>passion</w:t>
      </w:r>
      <w:r w:rsidR="00EE4FC3">
        <w:t xml:space="preserve"> </w:t>
      </w:r>
      <w:r w:rsidRPr="00382917">
        <w:t>of</w:t>
      </w:r>
      <w:r w:rsidR="00EE4FC3">
        <w:t xml:space="preserve"> </w:t>
      </w:r>
      <w:r w:rsidRPr="00382917">
        <w:t>Jesus</w:t>
      </w:r>
      <w:r w:rsidR="00EE4FC3">
        <w:t xml:space="preserve"> </w:t>
      </w:r>
      <w:r w:rsidRPr="00382917">
        <w:t>Christ</w:t>
      </w:r>
      <w:r w:rsidR="00330AF7">
        <w:t>.</w:t>
      </w:r>
      <w:r w:rsidR="00EE4FC3">
        <w:t xml:space="preserve">  </w:t>
      </w:r>
      <w:r w:rsidRPr="00382917">
        <w:t>There</w:t>
      </w:r>
      <w:r w:rsidR="00EE4FC3">
        <w:t xml:space="preserve"> </w:t>
      </w:r>
      <w:r w:rsidRPr="00382917">
        <w:t>is</w:t>
      </w:r>
      <w:r w:rsidR="00EE4FC3">
        <w:t xml:space="preserve"> </w:t>
      </w:r>
      <w:r w:rsidRPr="00382917">
        <w:t>a</w:t>
      </w:r>
      <w:r w:rsidR="00EE4FC3">
        <w:t xml:space="preserve"> </w:t>
      </w:r>
      <w:r w:rsidRPr="00382917">
        <w:t>remarkable</w:t>
      </w:r>
      <w:r w:rsidR="00EE4FC3">
        <w:t xml:space="preserve"> </w:t>
      </w:r>
      <w:r w:rsidRPr="00382917">
        <w:t>similarity</w:t>
      </w:r>
      <w:r w:rsidR="00EE4FC3">
        <w:t xml:space="preserve"> </w:t>
      </w:r>
      <w:r w:rsidRPr="00382917">
        <w:t>in</w:t>
      </w:r>
      <w:r w:rsidR="00EE4FC3">
        <w:t xml:space="preserve"> </w:t>
      </w:r>
      <w:r w:rsidRPr="00382917">
        <w:t>the</w:t>
      </w:r>
      <w:r w:rsidR="00EE4FC3">
        <w:t xml:space="preserve"> </w:t>
      </w:r>
      <w:r w:rsidRPr="00382917">
        <w:t>distinguishing</w:t>
      </w:r>
      <w:r w:rsidR="00EE4FC3">
        <w:t xml:space="preserve"> </w:t>
      </w:r>
      <w:r w:rsidRPr="00382917">
        <w:t>features</w:t>
      </w:r>
      <w:r w:rsidR="00EE4FC3">
        <w:t xml:space="preserve"> </w:t>
      </w:r>
      <w:r w:rsidRPr="00382917">
        <w:t>of</w:t>
      </w:r>
      <w:r w:rsidR="00EE4FC3">
        <w:t xml:space="preserve"> </w:t>
      </w:r>
      <w:proofErr w:type="gramStart"/>
      <w:r w:rsidRPr="00382917">
        <w:t>Their</w:t>
      </w:r>
      <w:proofErr w:type="gramEnd"/>
      <w:r w:rsidR="00EE4FC3">
        <w:t xml:space="preserve"> </w:t>
      </w:r>
      <w:r w:rsidRPr="00382917">
        <w:t>careers</w:t>
      </w:r>
      <w:r w:rsidR="00330AF7">
        <w:t>.</w:t>
      </w:r>
      <w:r w:rsidR="00EE4FC3">
        <w:t xml:space="preserve">  </w:t>
      </w:r>
      <w:r w:rsidRPr="00382917">
        <w:t>Their</w:t>
      </w:r>
      <w:r w:rsidR="00EE4FC3">
        <w:t xml:space="preserve"> </w:t>
      </w:r>
      <w:r w:rsidRPr="00382917">
        <w:t>youthfulness</w:t>
      </w:r>
      <w:r w:rsidR="00EE4FC3">
        <w:t xml:space="preserve"> </w:t>
      </w:r>
      <w:r w:rsidRPr="00382917">
        <w:t>and</w:t>
      </w:r>
      <w:r w:rsidR="00EE4FC3">
        <w:t xml:space="preserve"> </w:t>
      </w:r>
      <w:r w:rsidRPr="00382917">
        <w:t>meekness;</w:t>
      </w:r>
      <w:r w:rsidR="00EE4FC3">
        <w:t xml:space="preserve"> </w:t>
      </w:r>
      <w:r w:rsidRPr="00382917">
        <w:t>the</w:t>
      </w:r>
      <w:r w:rsidR="00EE4FC3">
        <w:t xml:space="preserve"> </w:t>
      </w:r>
      <w:r w:rsidRPr="00382917">
        <w:t>dramatic</w:t>
      </w:r>
      <w:r w:rsidR="00EE4FC3">
        <w:t xml:space="preserve"> </w:t>
      </w:r>
      <w:r w:rsidRPr="00382917">
        <w:t>swiftness</w:t>
      </w:r>
      <w:r w:rsidR="00EE4FC3">
        <w:t xml:space="preserve"> </w:t>
      </w:r>
      <w:r w:rsidRPr="00382917">
        <w:t>with</w:t>
      </w:r>
      <w:r w:rsidR="00EE4FC3">
        <w:t xml:space="preserve"> </w:t>
      </w:r>
      <w:r w:rsidRPr="00382917">
        <w:t>which</w:t>
      </w:r>
      <w:r w:rsidR="00EE4FC3">
        <w:t xml:space="preserve"> </w:t>
      </w:r>
      <w:r w:rsidRPr="00382917">
        <w:t>each</w:t>
      </w:r>
      <w:r w:rsidR="00EE4FC3">
        <w:t xml:space="preserve"> </w:t>
      </w:r>
      <w:r w:rsidRPr="00382917">
        <w:t>ministry</w:t>
      </w:r>
      <w:r w:rsidR="00EE4FC3">
        <w:t xml:space="preserve"> </w:t>
      </w:r>
      <w:r w:rsidRPr="00382917">
        <w:t>moved</w:t>
      </w:r>
      <w:r w:rsidR="00EE4FC3">
        <w:t xml:space="preserve"> </w:t>
      </w:r>
      <w:r w:rsidRPr="00382917">
        <w:t>toward</w:t>
      </w:r>
      <w:r w:rsidR="00EE4FC3">
        <w:t xml:space="preserve"> </w:t>
      </w:r>
      <w:r w:rsidRPr="00382917">
        <w:t>its</w:t>
      </w:r>
      <w:r w:rsidR="00EE4FC3">
        <w:t xml:space="preserve"> </w:t>
      </w:r>
      <w:r w:rsidRPr="00382917">
        <w:t>climax;</w:t>
      </w:r>
      <w:r w:rsidR="00EE4FC3">
        <w:t xml:space="preserve"> </w:t>
      </w:r>
      <w:r w:rsidRPr="00382917">
        <w:t>the</w:t>
      </w:r>
      <w:r w:rsidR="00EE4FC3">
        <w:t xml:space="preserve"> </w:t>
      </w:r>
      <w:r w:rsidRPr="00382917">
        <w:t>boldness</w:t>
      </w:r>
      <w:r w:rsidR="00EE4FC3">
        <w:t xml:space="preserve"> </w:t>
      </w:r>
      <w:r w:rsidRPr="00382917">
        <w:t>with</w:t>
      </w:r>
      <w:r w:rsidR="00EE4FC3">
        <w:t xml:space="preserve"> </w:t>
      </w:r>
      <w:r w:rsidRPr="00382917">
        <w:t>which</w:t>
      </w:r>
      <w:r w:rsidR="00EE4FC3">
        <w:t xml:space="preserve"> </w:t>
      </w:r>
      <w:r w:rsidRPr="00382917">
        <w:t>They</w:t>
      </w:r>
      <w:r w:rsidR="00EE4FC3">
        <w:t xml:space="preserve"> </w:t>
      </w:r>
      <w:r w:rsidRPr="00382917">
        <w:t>challenged</w:t>
      </w:r>
      <w:r w:rsidR="00EE4FC3">
        <w:t xml:space="preserve"> </w:t>
      </w:r>
      <w:r w:rsidRPr="00382917">
        <w:t>the</w:t>
      </w:r>
      <w:r w:rsidR="00EE4FC3">
        <w:t xml:space="preserve"> </w:t>
      </w:r>
      <w:proofErr w:type="spellStart"/>
      <w:r w:rsidRPr="00382917">
        <w:t>time-honored</w:t>
      </w:r>
      <w:proofErr w:type="spellEnd"/>
      <w:r w:rsidR="00EE4FC3">
        <w:t xml:space="preserve"> </w:t>
      </w:r>
      <w:r w:rsidRPr="00382917">
        <w:t>conventions,</w:t>
      </w:r>
      <w:r w:rsidR="00EE4FC3">
        <w:t xml:space="preserve"> </w:t>
      </w:r>
      <w:r w:rsidRPr="00382917">
        <w:t>laws,</w:t>
      </w:r>
      <w:r w:rsidR="00EE4FC3">
        <w:t xml:space="preserve"> </w:t>
      </w:r>
      <w:r w:rsidRPr="00382917">
        <w:t>and</w:t>
      </w:r>
      <w:r w:rsidR="00EE4FC3">
        <w:t xml:space="preserve"> </w:t>
      </w:r>
      <w:r w:rsidRPr="00382917">
        <w:t>rites</w:t>
      </w:r>
      <w:r w:rsidR="00EE4FC3">
        <w:t xml:space="preserve"> </w:t>
      </w:r>
      <w:r w:rsidRPr="00382917">
        <w:t>of</w:t>
      </w:r>
      <w:r w:rsidR="00EE4FC3">
        <w:t xml:space="preserve"> </w:t>
      </w:r>
      <w:r w:rsidRPr="00382917">
        <w:t>the</w:t>
      </w:r>
      <w:r w:rsidR="00EE4FC3">
        <w:t xml:space="preserve"> </w:t>
      </w:r>
      <w:r w:rsidRPr="00382917">
        <w:t>religions</w:t>
      </w:r>
      <w:r w:rsidR="00EE4FC3">
        <w:t xml:space="preserve"> </w:t>
      </w:r>
      <w:r w:rsidRPr="00382917">
        <w:t>into</w:t>
      </w:r>
      <w:r w:rsidR="00EE4FC3">
        <w:t xml:space="preserve"> </w:t>
      </w:r>
      <w:r w:rsidRPr="00382917">
        <w:t>which</w:t>
      </w:r>
      <w:r w:rsidR="00EE4FC3">
        <w:t xml:space="preserve"> </w:t>
      </w:r>
      <w:r w:rsidRPr="00382917">
        <w:t>They</w:t>
      </w:r>
      <w:r w:rsidR="00EE4FC3">
        <w:t xml:space="preserve"> </w:t>
      </w:r>
      <w:r w:rsidRPr="00382917">
        <w:t>had</w:t>
      </w:r>
      <w:r w:rsidR="00EE4FC3">
        <w:t xml:space="preserve"> </w:t>
      </w:r>
      <w:r w:rsidRPr="00382917">
        <w:t>been</w:t>
      </w:r>
      <w:r w:rsidR="00EE4FC3">
        <w:t xml:space="preserve"> </w:t>
      </w:r>
      <w:r w:rsidRPr="00382917">
        <w:t>born;</w:t>
      </w:r>
      <w:r w:rsidR="00EE4FC3">
        <w:t xml:space="preserve"> </w:t>
      </w:r>
      <w:r w:rsidRPr="00382917">
        <w:t>the</w:t>
      </w:r>
      <w:r w:rsidR="00EE4FC3">
        <w:t xml:space="preserve"> </w:t>
      </w:r>
      <w:r w:rsidRPr="00382917">
        <w:t>role</w:t>
      </w:r>
      <w:r w:rsidR="00EE4FC3">
        <w:t xml:space="preserve"> </w:t>
      </w:r>
      <w:r w:rsidRPr="00382917">
        <w:t>which</w:t>
      </w:r>
      <w:r w:rsidR="00EE4FC3">
        <w:t xml:space="preserve"> </w:t>
      </w:r>
      <w:r w:rsidRPr="00382917">
        <w:t>the</w:t>
      </w:r>
      <w:r w:rsidR="00EE4FC3">
        <w:t xml:space="preserve"> </w:t>
      </w:r>
      <w:r w:rsidRPr="00382917">
        <w:t>religious</w:t>
      </w:r>
      <w:r w:rsidR="00EE4FC3">
        <w:t xml:space="preserve"> </w:t>
      </w:r>
      <w:r w:rsidRPr="00382917">
        <w:t>leaders</w:t>
      </w:r>
      <w:r w:rsidR="00EE4FC3">
        <w:t xml:space="preserve"> </w:t>
      </w:r>
      <w:r w:rsidRPr="00382917">
        <w:t>played</w:t>
      </w:r>
      <w:r w:rsidR="00EE4FC3">
        <w:t xml:space="preserve"> </w:t>
      </w:r>
      <w:r w:rsidRPr="00382917">
        <w:t>as</w:t>
      </w:r>
      <w:r w:rsidR="00EE4FC3">
        <w:t xml:space="preserve"> </w:t>
      </w:r>
      <w:r w:rsidRPr="00382917">
        <w:t>chief</w:t>
      </w:r>
      <w:r w:rsidR="00EE4FC3">
        <w:t xml:space="preserve"> </w:t>
      </w:r>
      <w:r w:rsidRPr="00382917">
        <w:t>instigators</w:t>
      </w:r>
      <w:r w:rsidR="00EE4FC3">
        <w:t xml:space="preserve"> </w:t>
      </w:r>
      <w:r w:rsidRPr="00382917">
        <w:t>of</w:t>
      </w:r>
      <w:r w:rsidR="00EE4FC3">
        <w:t xml:space="preserve"> </w:t>
      </w:r>
      <w:r w:rsidRPr="00382917">
        <w:t>the</w:t>
      </w:r>
      <w:r w:rsidR="00EE4FC3">
        <w:t xml:space="preserve"> </w:t>
      </w:r>
      <w:r w:rsidRPr="00382917">
        <w:t>outrages</w:t>
      </w:r>
      <w:r w:rsidR="00EE4FC3">
        <w:t xml:space="preserve"> </w:t>
      </w:r>
      <w:r w:rsidRPr="00382917">
        <w:t>They</w:t>
      </w:r>
      <w:r w:rsidR="00EE4FC3">
        <w:t xml:space="preserve"> </w:t>
      </w:r>
      <w:r w:rsidRPr="00382917">
        <w:t>were</w:t>
      </w:r>
      <w:r w:rsidR="00EE4FC3">
        <w:t xml:space="preserve"> </w:t>
      </w:r>
      <w:r w:rsidRPr="00382917">
        <w:t>made</w:t>
      </w:r>
      <w:r w:rsidR="00EE4FC3">
        <w:t xml:space="preserve"> </w:t>
      </w:r>
      <w:r w:rsidRPr="00382917">
        <w:t>to</w:t>
      </w:r>
      <w:r w:rsidR="00EE4FC3">
        <w:t xml:space="preserve"> </w:t>
      </w:r>
      <w:r w:rsidRPr="00382917">
        <w:t>suffer;</w:t>
      </w:r>
      <w:r w:rsidR="00EE4FC3">
        <w:t xml:space="preserve"> </w:t>
      </w:r>
      <w:r w:rsidRPr="00382917">
        <w:t>the</w:t>
      </w:r>
      <w:r w:rsidR="00EE4FC3">
        <w:t xml:space="preserve"> </w:t>
      </w:r>
      <w:r w:rsidRPr="00382917">
        <w:t>indignities</w:t>
      </w:r>
      <w:r w:rsidR="00EE4FC3">
        <w:t xml:space="preserve"> </w:t>
      </w:r>
      <w:r w:rsidRPr="00382917">
        <w:t>heaped</w:t>
      </w:r>
      <w:r w:rsidR="00EE4FC3">
        <w:t xml:space="preserve"> </w:t>
      </w:r>
      <w:r w:rsidRPr="00382917">
        <w:t>upon</w:t>
      </w:r>
      <w:r w:rsidR="00EE4FC3">
        <w:t xml:space="preserve"> </w:t>
      </w:r>
      <w:r w:rsidRPr="00382917">
        <w:t>Them;</w:t>
      </w:r>
      <w:r w:rsidR="00EE4FC3">
        <w:t xml:space="preserve"> </w:t>
      </w:r>
      <w:r w:rsidRPr="00382917">
        <w:t>the</w:t>
      </w:r>
      <w:r w:rsidR="00EE4FC3">
        <w:t xml:space="preserve"> </w:t>
      </w:r>
      <w:r w:rsidRPr="00382917">
        <w:t>suddenness</w:t>
      </w:r>
      <w:r w:rsidR="00EE4FC3">
        <w:t xml:space="preserve"> </w:t>
      </w:r>
      <w:r w:rsidRPr="00382917">
        <w:t>of</w:t>
      </w:r>
      <w:r w:rsidR="00EE4FC3">
        <w:t xml:space="preserve"> </w:t>
      </w:r>
      <w:r w:rsidRPr="00382917">
        <w:t>Their</w:t>
      </w:r>
      <w:r w:rsidR="00EE4FC3">
        <w:t xml:space="preserve"> </w:t>
      </w:r>
      <w:r w:rsidRPr="00382917">
        <w:t>arrest;</w:t>
      </w:r>
      <w:r w:rsidR="00EE4FC3">
        <w:t xml:space="preserve"> </w:t>
      </w:r>
      <w:r w:rsidRPr="00382917">
        <w:t>the</w:t>
      </w:r>
      <w:r w:rsidR="00EE4FC3">
        <w:t xml:space="preserve"> </w:t>
      </w:r>
      <w:r w:rsidRPr="00382917">
        <w:t>interrogations</w:t>
      </w:r>
      <w:r w:rsidR="00EE4FC3">
        <w:t xml:space="preserve"> </w:t>
      </w:r>
      <w:r w:rsidRPr="00382917">
        <w:t>to</w:t>
      </w:r>
      <w:r w:rsidR="00EE4FC3">
        <w:t xml:space="preserve"> </w:t>
      </w:r>
      <w:r w:rsidRPr="00382917">
        <w:t>which</w:t>
      </w:r>
      <w:r w:rsidR="00EE4FC3">
        <w:t xml:space="preserve"> </w:t>
      </w:r>
      <w:r w:rsidRPr="00382917">
        <w:t>They</w:t>
      </w:r>
      <w:r w:rsidR="00EE4FC3">
        <w:t xml:space="preserve"> </w:t>
      </w:r>
      <w:r w:rsidRPr="00382917">
        <w:t>were</w:t>
      </w:r>
      <w:r w:rsidR="00EE4FC3">
        <w:t xml:space="preserve"> </w:t>
      </w:r>
      <w:r w:rsidRPr="00382917">
        <w:t>subjected;</w:t>
      </w:r>
      <w:r w:rsidR="00EE4FC3">
        <w:t xml:space="preserve"> </w:t>
      </w:r>
      <w:r w:rsidRPr="00382917">
        <w:t>the</w:t>
      </w:r>
      <w:r w:rsidR="00EE4FC3">
        <w:t xml:space="preserve"> </w:t>
      </w:r>
      <w:proofErr w:type="spellStart"/>
      <w:r w:rsidRPr="00382917">
        <w:t>scourgings</w:t>
      </w:r>
      <w:proofErr w:type="spellEnd"/>
      <w:r w:rsidR="00EE4FC3">
        <w:t xml:space="preserve"> </w:t>
      </w:r>
      <w:r w:rsidRPr="00382917">
        <w:t>inflicted</w:t>
      </w:r>
      <w:r w:rsidR="00EE4FC3">
        <w:t xml:space="preserve"> </w:t>
      </w:r>
      <w:r w:rsidRPr="00382917">
        <w:t>upon</w:t>
      </w:r>
      <w:r w:rsidR="00EE4FC3">
        <w:t xml:space="preserve"> </w:t>
      </w:r>
      <w:r w:rsidRPr="00382917">
        <w:t>Them;</w:t>
      </w:r>
      <w:r w:rsidR="00EE4FC3">
        <w:t xml:space="preserve"> </w:t>
      </w:r>
      <w:r w:rsidRPr="00382917">
        <w:t>Their</w:t>
      </w:r>
      <w:r w:rsidR="00EE4FC3">
        <w:t xml:space="preserve"> </w:t>
      </w:r>
      <w:r w:rsidRPr="00382917">
        <w:t>passing</w:t>
      </w:r>
      <w:r w:rsidR="00EE4FC3">
        <w:t xml:space="preserve"> </w:t>
      </w:r>
      <w:r w:rsidRPr="00382917">
        <w:t>first</w:t>
      </w:r>
      <w:r w:rsidR="00EE4FC3">
        <w:t xml:space="preserve"> </w:t>
      </w:r>
      <w:r w:rsidRPr="00382917">
        <w:t>in</w:t>
      </w:r>
      <w:r w:rsidR="00EE4FC3">
        <w:t xml:space="preserve"> </w:t>
      </w:r>
      <w:r w:rsidRPr="00382917">
        <w:t>triumph,</w:t>
      </w:r>
      <w:r w:rsidR="00EE4FC3">
        <w:t xml:space="preserve"> </w:t>
      </w:r>
      <w:r w:rsidRPr="00382917">
        <w:t>then</w:t>
      </w:r>
      <w:r w:rsidR="00EE4FC3">
        <w:t xml:space="preserve"> </w:t>
      </w:r>
      <w:r w:rsidRPr="00382917">
        <w:t>in</w:t>
      </w:r>
      <w:r w:rsidR="00EE4FC3">
        <w:t xml:space="preserve"> </w:t>
      </w:r>
      <w:r w:rsidRPr="00382917">
        <w:t>suffering</w:t>
      </w:r>
      <w:r w:rsidR="00EE4FC3">
        <w:t xml:space="preserve"> </w:t>
      </w:r>
      <w:r w:rsidRPr="00382917">
        <w:t>through</w:t>
      </w:r>
      <w:r w:rsidR="00EE4FC3">
        <w:t xml:space="preserve"> </w:t>
      </w:r>
      <w:r w:rsidRPr="00382917">
        <w:t>the</w:t>
      </w:r>
      <w:r w:rsidR="00EE4FC3">
        <w:t xml:space="preserve"> </w:t>
      </w:r>
      <w:r w:rsidRPr="00382917">
        <w:t>streets</w:t>
      </w:r>
      <w:r w:rsidR="00EE4FC3">
        <w:t xml:space="preserve"> </w:t>
      </w:r>
      <w:r w:rsidRPr="00382917">
        <w:t>of</w:t>
      </w:r>
      <w:r w:rsidR="00EE4FC3">
        <w:t xml:space="preserve"> </w:t>
      </w:r>
      <w:r w:rsidRPr="00382917">
        <w:t>the</w:t>
      </w:r>
      <w:r w:rsidR="00EE4FC3">
        <w:t xml:space="preserve"> </w:t>
      </w:r>
      <w:r w:rsidRPr="00382917">
        <w:t>city</w:t>
      </w:r>
      <w:r w:rsidR="00EE4FC3">
        <w:t xml:space="preserve"> </w:t>
      </w:r>
      <w:r w:rsidRPr="00382917">
        <w:t>where</w:t>
      </w:r>
      <w:r w:rsidR="00EE4FC3">
        <w:t xml:space="preserve"> </w:t>
      </w:r>
      <w:r w:rsidRPr="00382917">
        <w:t>They</w:t>
      </w:r>
      <w:r w:rsidR="00EE4FC3">
        <w:t xml:space="preserve"> </w:t>
      </w:r>
      <w:r w:rsidRPr="00382917">
        <w:t>were</w:t>
      </w:r>
      <w:r w:rsidR="00EE4FC3">
        <w:t xml:space="preserve"> </w:t>
      </w:r>
      <w:r w:rsidRPr="00382917">
        <w:t>to</w:t>
      </w:r>
      <w:r w:rsidR="00EE4FC3">
        <w:t xml:space="preserve"> </w:t>
      </w:r>
      <w:r w:rsidRPr="00382917">
        <w:t>be</w:t>
      </w:r>
      <w:r w:rsidR="00EE4FC3">
        <w:t xml:space="preserve"> </w:t>
      </w:r>
      <w:r w:rsidRPr="00382917">
        <w:t>slain;</w:t>
      </w:r>
      <w:r w:rsidR="00EE4FC3">
        <w:t xml:space="preserve"> </w:t>
      </w:r>
      <w:r w:rsidRPr="00382917">
        <w:t>Their</w:t>
      </w:r>
      <w:r w:rsidR="00EE4FC3">
        <w:t xml:space="preserve"> </w:t>
      </w:r>
      <w:r w:rsidRPr="00382917">
        <w:t>public</w:t>
      </w:r>
      <w:r w:rsidR="00EE4FC3">
        <w:t xml:space="preserve"> </w:t>
      </w:r>
      <w:r w:rsidRPr="00382917">
        <w:t>parade</w:t>
      </w:r>
      <w:r w:rsidR="00EE4FC3">
        <w:t xml:space="preserve"> </w:t>
      </w:r>
      <w:r w:rsidRPr="00382917">
        <w:t>through</w:t>
      </w:r>
      <w:r w:rsidR="00EE4FC3">
        <w:t xml:space="preserve"> </w:t>
      </w:r>
      <w:r w:rsidRPr="00382917">
        <w:t>the</w:t>
      </w:r>
      <w:r w:rsidR="00EE4FC3">
        <w:t xml:space="preserve"> </w:t>
      </w:r>
      <w:r w:rsidRPr="00382917">
        <w:t>streets</w:t>
      </w:r>
      <w:r w:rsidR="00EE4FC3">
        <w:t xml:space="preserve"> </w:t>
      </w:r>
      <w:r w:rsidRPr="00382917">
        <w:t>on</w:t>
      </w:r>
      <w:r w:rsidR="00EE4FC3">
        <w:t xml:space="preserve"> </w:t>
      </w:r>
      <w:r w:rsidRPr="00382917">
        <w:t>the</w:t>
      </w:r>
      <w:r w:rsidR="00EE4FC3">
        <w:t xml:space="preserve"> </w:t>
      </w:r>
      <w:r w:rsidRPr="00382917">
        <w:t>way</w:t>
      </w:r>
      <w:r w:rsidR="00EE4FC3">
        <w:t xml:space="preserve"> </w:t>
      </w:r>
      <w:r w:rsidRPr="00382917">
        <w:t>to</w:t>
      </w:r>
      <w:r w:rsidR="00EE4FC3">
        <w:t xml:space="preserve"> </w:t>
      </w:r>
      <w:r w:rsidRPr="00382917">
        <w:t>the</w:t>
      </w:r>
      <w:r w:rsidR="00EE4FC3">
        <w:t xml:space="preserve"> </w:t>
      </w:r>
      <w:r w:rsidRPr="00382917">
        <w:t>place</w:t>
      </w:r>
      <w:r w:rsidR="00EE4FC3">
        <w:t xml:space="preserve"> </w:t>
      </w:r>
      <w:r w:rsidRPr="00382917">
        <w:t>of</w:t>
      </w:r>
      <w:r w:rsidR="00EE4FC3">
        <w:t xml:space="preserve"> </w:t>
      </w:r>
      <w:r w:rsidRPr="00382917">
        <w:t>martyrdom;</w:t>
      </w:r>
      <w:r w:rsidR="00EE4FC3">
        <w:t xml:space="preserve"> </w:t>
      </w:r>
      <w:r w:rsidRPr="00382917">
        <w:t>Their</w:t>
      </w:r>
      <w:r w:rsidR="00EE4FC3">
        <w:t xml:space="preserve"> </w:t>
      </w:r>
      <w:r w:rsidRPr="00382917">
        <w:t>words</w:t>
      </w:r>
      <w:r w:rsidR="00EE4FC3">
        <w:t xml:space="preserve"> </w:t>
      </w:r>
      <w:r w:rsidRPr="00382917">
        <w:t>of</w:t>
      </w:r>
      <w:r w:rsidR="00EE4FC3">
        <w:t xml:space="preserve"> </w:t>
      </w:r>
      <w:r w:rsidRPr="00382917">
        <w:t>hope</w:t>
      </w:r>
      <w:r w:rsidR="00EE4FC3">
        <w:t xml:space="preserve"> </w:t>
      </w:r>
      <w:r w:rsidRPr="00382917">
        <w:t>and</w:t>
      </w:r>
      <w:r w:rsidR="00EE4FC3">
        <w:t xml:space="preserve"> </w:t>
      </w:r>
      <w:r w:rsidRPr="00382917">
        <w:t>promise</w:t>
      </w:r>
      <w:r w:rsidR="00EE4FC3">
        <w:t xml:space="preserve"> </w:t>
      </w:r>
      <w:r w:rsidRPr="00382917">
        <w:t>to</w:t>
      </w:r>
      <w:r w:rsidR="00EE4FC3">
        <w:t xml:space="preserve"> </w:t>
      </w:r>
      <w:r w:rsidRPr="00382917">
        <w:t>a</w:t>
      </w:r>
      <w:r w:rsidR="00EE4FC3">
        <w:t xml:space="preserve"> </w:t>
      </w:r>
      <w:r w:rsidRPr="00382917">
        <w:t>companion</w:t>
      </w:r>
      <w:r w:rsidR="00EE4FC3">
        <w:t xml:space="preserve"> </w:t>
      </w:r>
      <w:r w:rsidRPr="00382917">
        <w:t>who</w:t>
      </w:r>
      <w:r w:rsidR="00EE4FC3">
        <w:t xml:space="preserve"> </w:t>
      </w:r>
      <w:r w:rsidRPr="00382917">
        <w:t>was</w:t>
      </w:r>
      <w:r w:rsidR="00EE4FC3">
        <w:t xml:space="preserve"> </w:t>
      </w:r>
      <w:r w:rsidRPr="00382917">
        <w:t>also</w:t>
      </w:r>
      <w:r w:rsidR="00EE4FC3">
        <w:t xml:space="preserve"> </w:t>
      </w:r>
      <w:r w:rsidRPr="00382917">
        <w:t>to</w:t>
      </w:r>
      <w:r w:rsidR="00EE4FC3">
        <w:t xml:space="preserve"> </w:t>
      </w:r>
      <w:r w:rsidRPr="00382917">
        <w:t>die</w:t>
      </w:r>
      <w:r w:rsidR="00EE4FC3">
        <w:t xml:space="preserve"> </w:t>
      </w:r>
      <w:r w:rsidRPr="00382917">
        <w:t>with</w:t>
      </w:r>
      <w:r w:rsidR="00EE4FC3">
        <w:t xml:space="preserve"> </w:t>
      </w:r>
      <w:r w:rsidRPr="00382917">
        <w:t>Them;</w:t>
      </w:r>
      <w:r w:rsidR="00EE4FC3">
        <w:t xml:space="preserve"> </w:t>
      </w:r>
      <w:r w:rsidRPr="00382917">
        <w:t>the</w:t>
      </w:r>
      <w:r w:rsidR="00EE4FC3">
        <w:t xml:space="preserve"> </w:t>
      </w:r>
      <w:r w:rsidRPr="00382917">
        <w:t>darkness</w:t>
      </w:r>
      <w:r w:rsidR="00EE4FC3">
        <w:t xml:space="preserve"> </w:t>
      </w:r>
      <w:r w:rsidRPr="00382917">
        <w:t>that</w:t>
      </w:r>
      <w:r w:rsidR="00EE4FC3">
        <w:t xml:space="preserve"> </w:t>
      </w:r>
      <w:r w:rsidRPr="00382917">
        <w:t>enveloped</w:t>
      </w:r>
      <w:r w:rsidR="00EE4FC3">
        <w:t xml:space="preserve"> </w:t>
      </w:r>
      <w:r w:rsidRPr="00382917">
        <w:t>the</w:t>
      </w:r>
      <w:r w:rsidR="00EE4FC3">
        <w:t xml:space="preserve"> </w:t>
      </w:r>
      <w:r w:rsidRPr="00382917">
        <w:t>land</w:t>
      </w:r>
      <w:r w:rsidR="00EE4FC3">
        <w:t xml:space="preserve"> </w:t>
      </w:r>
      <w:r w:rsidRPr="00382917">
        <w:t>in</w:t>
      </w:r>
      <w:r w:rsidR="00EE4FC3">
        <w:t xml:space="preserve"> </w:t>
      </w:r>
      <w:r w:rsidRPr="00382917">
        <w:t>the</w:t>
      </w:r>
      <w:r w:rsidR="00EE4FC3">
        <w:t xml:space="preserve"> </w:t>
      </w:r>
      <w:r w:rsidRPr="00382917">
        <w:t>hour</w:t>
      </w:r>
      <w:r w:rsidR="00EE4FC3">
        <w:t xml:space="preserve"> </w:t>
      </w:r>
      <w:r w:rsidRPr="00382917">
        <w:t>of</w:t>
      </w:r>
      <w:r w:rsidR="00EE4FC3">
        <w:t xml:space="preserve"> </w:t>
      </w:r>
      <w:r w:rsidRPr="00382917">
        <w:t>Their</w:t>
      </w:r>
      <w:r w:rsidR="00EE4FC3">
        <w:t xml:space="preserve"> </w:t>
      </w:r>
      <w:r w:rsidRPr="00382917">
        <w:t>martyrdom;</w:t>
      </w:r>
      <w:r w:rsidR="00EE4FC3">
        <w:t xml:space="preserve"> </w:t>
      </w:r>
      <w:r w:rsidRPr="00382917">
        <w:t>and</w:t>
      </w:r>
      <w:r w:rsidR="00EE4FC3">
        <w:t xml:space="preserve"> </w:t>
      </w:r>
      <w:r w:rsidRPr="00382917">
        <w:t>finally</w:t>
      </w:r>
      <w:r w:rsidR="00EE4FC3">
        <w:t xml:space="preserve"> </w:t>
      </w:r>
      <w:r w:rsidRPr="00382917">
        <w:t>Their</w:t>
      </w:r>
      <w:r w:rsidR="00EE4FC3">
        <w:t xml:space="preserve"> </w:t>
      </w:r>
      <w:r w:rsidRPr="00382917">
        <w:t>ignominious</w:t>
      </w:r>
      <w:r w:rsidR="00EE4FC3">
        <w:t xml:space="preserve"> </w:t>
      </w:r>
      <w:r w:rsidRPr="00382917">
        <w:t>suspension</w:t>
      </w:r>
      <w:r w:rsidR="00EE4FC3">
        <w:t xml:space="preserve"> </w:t>
      </w:r>
      <w:r w:rsidRPr="00382917">
        <w:t>before</w:t>
      </w:r>
      <w:r w:rsidR="00EE4FC3">
        <w:t xml:space="preserve"> </w:t>
      </w:r>
      <w:r w:rsidRPr="00382917">
        <w:t>the</w:t>
      </w:r>
      <w:r w:rsidR="00EE4FC3">
        <w:t xml:space="preserve"> </w:t>
      </w:r>
      <w:r w:rsidRPr="00382917">
        <w:t>gaze</w:t>
      </w:r>
      <w:r w:rsidR="00EE4FC3">
        <w:t xml:space="preserve"> </w:t>
      </w:r>
      <w:r w:rsidRPr="00382917">
        <w:t>of</w:t>
      </w:r>
      <w:r w:rsidR="00EE4FC3">
        <w:t xml:space="preserve"> </w:t>
      </w:r>
      <w:r w:rsidRPr="00382917">
        <w:t>a</w:t>
      </w:r>
      <w:r w:rsidR="00EE4FC3">
        <w:t xml:space="preserve"> </w:t>
      </w:r>
      <w:r w:rsidRPr="00382917">
        <w:t>hostile</w:t>
      </w:r>
      <w:r w:rsidR="00EE4FC3">
        <w:t xml:space="preserve"> </w:t>
      </w:r>
      <w:r w:rsidRPr="00382917">
        <w:t>multitude.</w:t>
      </w:r>
    </w:p>
    <w:p w:rsidR="001B6670" w:rsidRPr="00382917" w:rsidRDefault="009C713D" w:rsidP="00775809">
      <w:pPr>
        <w:pStyle w:val="Text"/>
      </w:pPr>
      <w:r w:rsidRPr="00382917">
        <w:t>“</w:t>
      </w:r>
      <w:r w:rsidR="001B6670" w:rsidRPr="00382917">
        <w:t>So</w:t>
      </w:r>
      <w:r w:rsidR="00EE4FC3">
        <w:t xml:space="preserve"> </w:t>
      </w:r>
      <w:r w:rsidR="001B6670" w:rsidRPr="00382917">
        <w:t>momentous</w:t>
      </w:r>
      <w:r w:rsidR="00EE4FC3">
        <w:t xml:space="preserve"> </w:t>
      </w:r>
      <w:r w:rsidR="001B6670" w:rsidRPr="00382917">
        <w:t>an</w:t>
      </w:r>
      <w:r w:rsidR="00EE4FC3">
        <w:t xml:space="preserve"> </w:t>
      </w:r>
      <w:r w:rsidR="001B6670" w:rsidRPr="00382917">
        <w:t>event</w:t>
      </w:r>
      <w:r w:rsidR="00EE4FC3">
        <w:t xml:space="preserve"> </w:t>
      </w:r>
      <w:r w:rsidR="001B6670" w:rsidRPr="00382917">
        <w:t>could</w:t>
      </w:r>
      <w:r w:rsidR="00EE4FC3">
        <w:t xml:space="preserve"> </w:t>
      </w:r>
      <w:r w:rsidR="001B6670" w:rsidRPr="00382917">
        <w:t>hardly</w:t>
      </w:r>
      <w:r w:rsidR="00EE4FC3">
        <w:t xml:space="preserve"> </w:t>
      </w:r>
      <w:r w:rsidR="001B6670" w:rsidRPr="00382917">
        <w:t>fail</w:t>
      </w:r>
      <w:r w:rsidR="00EE4FC3">
        <w:t xml:space="preserve"> </w:t>
      </w:r>
      <w:r w:rsidR="001B6670" w:rsidRPr="00382917">
        <w:t>to</w:t>
      </w:r>
      <w:r w:rsidR="00EE4FC3">
        <w:t xml:space="preserve"> </w:t>
      </w:r>
      <w:r w:rsidR="001B6670" w:rsidRPr="00382917">
        <w:t>arouse</w:t>
      </w:r>
      <w:r w:rsidR="00EE4FC3">
        <w:t xml:space="preserve"> </w:t>
      </w:r>
      <w:r w:rsidR="001B6670" w:rsidRPr="00382917">
        <w:t>widespread</w:t>
      </w:r>
    </w:p>
    <w:p w:rsidR="00775809" w:rsidRPr="00382917" w:rsidRDefault="00775809">
      <w:pPr>
        <w:widowControl/>
        <w:kinsoku/>
        <w:overflowPunct/>
        <w:textAlignment w:val="auto"/>
      </w:pPr>
      <w:r w:rsidRPr="00382917">
        <w:br w:type="page"/>
      </w:r>
    </w:p>
    <w:p w:rsidR="001B6670" w:rsidRPr="00382917" w:rsidRDefault="001B6670" w:rsidP="00F44342">
      <w:pPr>
        <w:pStyle w:val="Textcts"/>
      </w:pPr>
      <w:proofErr w:type="gramStart"/>
      <w:r w:rsidRPr="00382917">
        <w:t>and</w:t>
      </w:r>
      <w:proofErr w:type="gramEnd"/>
      <w:r w:rsidR="00EE4FC3">
        <w:t xml:space="preserve"> </w:t>
      </w:r>
      <w:r w:rsidRPr="00382917">
        <w:t>keen</w:t>
      </w:r>
      <w:r w:rsidR="00EE4FC3">
        <w:t xml:space="preserve"> </w:t>
      </w:r>
      <w:r w:rsidRPr="00382917">
        <w:t>interest</w:t>
      </w:r>
      <w:r w:rsidR="00EE4FC3">
        <w:t xml:space="preserve"> </w:t>
      </w:r>
      <w:r w:rsidRPr="00382917">
        <w:t>even</w:t>
      </w:r>
      <w:r w:rsidR="00EE4FC3">
        <w:t xml:space="preserve"> </w:t>
      </w:r>
      <w:r w:rsidRPr="00382917">
        <w:t>beyond</w:t>
      </w:r>
      <w:r w:rsidR="00EE4FC3">
        <w:t xml:space="preserve"> </w:t>
      </w:r>
      <w:r w:rsidRPr="00382917">
        <w:t>the</w:t>
      </w:r>
      <w:r w:rsidR="00EE4FC3">
        <w:t xml:space="preserve"> </w:t>
      </w:r>
      <w:r w:rsidRPr="00382917">
        <w:t>confines</w:t>
      </w:r>
      <w:r w:rsidR="00EE4FC3">
        <w:t xml:space="preserve"> </w:t>
      </w:r>
      <w:r w:rsidRPr="00382917">
        <w:t>of</w:t>
      </w:r>
      <w:r w:rsidR="00EE4FC3">
        <w:t xml:space="preserve"> </w:t>
      </w:r>
      <w:r w:rsidRPr="00382917">
        <w:t>the</w:t>
      </w:r>
      <w:r w:rsidR="00EE4FC3">
        <w:t xml:space="preserve"> </w:t>
      </w:r>
      <w:r w:rsidRPr="00382917">
        <w:t>land</w:t>
      </w:r>
      <w:r w:rsidR="00EE4FC3">
        <w:t xml:space="preserve"> </w:t>
      </w:r>
      <w:r w:rsidRPr="00382917">
        <w:t>in</w:t>
      </w:r>
      <w:r w:rsidR="00EE4FC3">
        <w:t xml:space="preserve"> </w:t>
      </w:r>
      <w:r w:rsidRPr="00382917">
        <w:t>which</w:t>
      </w:r>
      <w:r w:rsidR="00EE4FC3">
        <w:t xml:space="preserve"> </w:t>
      </w:r>
      <w:r w:rsidRPr="00382917">
        <w:t>it</w:t>
      </w:r>
      <w:r w:rsidR="00EE4FC3">
        <w:t xml:space="preserve"> </w:t>
      </w:r>
      <w:r w:rsidRPr="00382917">
        <w:t>occurred.</w:t>
      </w:r>
      <w:r w:rsidR="009C713D" w:rsidRPr="00382917">
        <w:t>”</w:t>
      </w:r>
      <w:r w:rsidR="00F44342">
        <w:rPr>
          <w:rStyle w:val="FootnoteReference"/>
        </w:rPr>
        <w:footnoteReference w:id="271"/>
      </w:r>
    </w:p>
    <w:p w:rsidR="001B6670" w:rsidRPr="00382917" w:rsidRDefault="001B6670" w:rsidP="00146DCD">
      <w:pPr>
        <w:pStyle w:val="Text"/>
      </w:pPr>
      <w:r w:rsidRPr="00382917">
        <w:t>One</w:t>
      </w:r>
      <w:r w:rsidR="00EE4FC3">
        <w:t xml:space="preserve"> </w:t>
      </w:r>
      <w:r w:rsidRPr="00382917">
        <w:t>particularly</w:t>
      </w:r>
      <w:r w:rsidR="00EE4FC3">
        <w:t xml:space="preserve"> </w:t>
      </w:r>
      <w:r w:rsidRPr="00382917">
        <w:t>moving</w:t>
      </w:r>
      <w:r w:rsidR="00EE4FC3">
        <w:t xml:space="preserve"> </w:t>
      </w:r>
      <w:r w:rsidRPr="00382917">
        <w:t>document</w:t>
      </w:r>
      <w:r w:rsidR="00EE4FC3">
        <w:t xml:space="preserve"> </w:t>
      </w:r>
      <w:r w:rsidRPr="00382917">
        <w:t>on</w:t>
      </w:r>
      <w:r w:rsidR="00EE4FC3">
        <w:t xml:space="preserve"> </w:t>
      </w:r>
      <w:r w:rsidRPr="00382917">
        <w:t>the</w:t>
      </w:r>
      <w:r w:rsidR="00EE4FC3">
        <w:t xml:space="preserve"> </w:t>
      </w:r>
      <w:r w:rsidRPr="00382917">
        <w:t>Báb</w:t>
      </w:r>
      <w:r w:rsidR="00EE4FC3">
        <w:t xml:space="preserve"> </w:t>
      </w:r>
      <w:r w:rsidRPr="00382917">
        <w:t>points</w:t>
      </w:r>
      <w:r w:rsidR="00EE4FC3">
        <w:t xml:space="preserve"> </w:t>
      </w:r>
      <w:r w:rsidRPr="00382917">
        <w:t>out</w:t>
      </w:r>
      <w:r w:rsidR="00C03C91">
        <w:t>:</w:t>
      </w:r>
      <w:r w:rsidR="00EE4FC3">
        <w:t xml:space="preserve">  </w:t>
      </w:r>
      <w:r w:rsidR="009C713D" w:rsidRPr="00382917">
        <w:t>“</w:t>
      </w:r>
      <w:r w:rsidR="00146DCD">
        <w:t xml:space="preserve">This illustrious Being arose with such power as to shake the foundations of the religious laws, customs, manners, morals, and habits of Persia, and instituted a new law, faith, and religion.  Though the eminent men of the State, the majority of the people, and the leaders of religion </w:t>
      </w:r>
      <w:proofErr w:type="gramStart"/>
      <w:r w:rsidR="00146DCD">
        <w:t>arose</w:t>
      </w:r>
      <w:proofErr w:type="gramEnd"/>
      <w:r w:rsidR="00146DCD">
        <w:t xml:space="preserve"> one and all to destroy and annihilate Him, He single-handedly withstood them and set all of Persia in motion.</w:t>
      </w:r>
      <w:r w:rsidR="009C713D" w:rsidRPr="00382917">
        <w:t>”</w:t>
      </w:r>
      <w:r w:rsidR="00146DCD">
        <w:rPr>
          <w:rStyle w:val="FootnoteReference"/>
        </w:rPr>
        <w:footnoteReference w:id="272"/>
      </w:r>
    </w:p>
    <w:p w:rsidR="001B6670" w:rsidRPr="00382917" w:rsidRDefault="009C713D" w:rsidP="00775809">
      <w:pPr>
        <w:pStyle w:val="Text"/>
      </w:pPr>
      <w:r w:rsidRPr="00382917">
        <w:t>“</w:t>
      </w:r>
      <w:r w:rsidR="001B6670" w:rsidRPr="00382917">
        <w:t>Many</w:t>
      </w:r>
      <w:r w:rsidR="00EE4FC3">
        <w:t xml:space="preserve"> </w:t>
      </w:r>
      <w:r w:rsidR="001B6670" w:rsidRPr="00382917">
        <w:t>persons</w:t>
      </w:r>
      <w:r w:rsidR="00EE4FC3">
        <w:t xml:space="preserve"> </w:t>
      </w:r>
      <w:r w:rsidR="001B6670" w:rsidRPr="00382917">
        <w:t>from</w:t>
      </w:r>
      <w:r w:rsidR="00EE4FC3">
        <w:t xml:space="preserve"> </w:t>
      </w:r>
      <w:r w:rsidR="001B6670" w:rsidRPr="00382917">
        <w:t>all</w:t>
      </w:r>
      <w:r w:rsidR="00EE4FC3">
        <w:t xml:space="preserve"> </w:t>
      </w:r>
      <w:r w:rsidR="001B6670" w:rsidRPr="00382917">
        <w:t>parts</w:t>
      </w:r>
      <w:r w:rsidR="00EE4FC3">
        <w:t xml:space="preserve"> </w:t>
      </w:r>
      <w:r w:rsidR="001B6670" w:rsidRPr="00382917">
        <w:t>of</w:t>
      </w:r>
      <w:r w:rsidR="00EE4FC3">
        <w:t xml:space="preserve"> </w:t>
      </w:r>
      <w:r w:rsidR="001B6670" w:rsidRPr="00382917">
        <w:t>the</w:t>
      </w:r>
      <w:r w:rsidR="00EE4FC3">
        <w:t xml:space="preserve"> </w:t>
      </w:r>
      <w:r w:rsidR="001B6670" w:rsidRPr="00382917">
        <w:t>world,</w:t>
      </w:r>
      <w:r w:rsidRPr="00382917">
        <w:t>”</w:t>
      </w:r>
      <w:r w:rsidR="00EE4FC3">
        <w:t xml:space="preserve"> </w:t>
      </w:r>
      <w:r w:rsidR="001B6670" w:rsidRPr="00382917">
        <w:t>one</w:t>
      </w:r>
      <w:r w:rsidR="00EE4FC3">
        <w:t xml:space="preserve"> </w:t>
      </w:r>
      <w:r w:rsidR="001B6670" w:rsidRPr="00382917">
        <w:t>writer</w:t>
      </w:r>
      <w:r w:rsidR="00EE4FC3">
        <w:t xml:space="preserve"> </w:t>
      </w:r>
      <w:r w:rsidR="001B6670" w:rsidRPr="00382917">
        <w:t>states,</w:t>
      </w:r>
      <w:r w:rsidR="00EE4FC3">
        <w:t xml:space="preserve"> </w:t>
      </w:r>
      <w:r w:rsidRPr="00382917">
        <w:t>“</w:t>
      </w:r>
      <w:r w:rsidR="001B6670" w:rsidRPr="00382917">
        <w:t>set</w:t>
      </w:r>
      <w:r w:rsidR="00EE4FC3">
        <w:t xml:space="preserve"> </w:t>
      </w:r>
      <w:r w:rsidR="001B6670" w:rsidRPr="00382917">
        <w:t>out</w:t>
      </w:r>
      <w:r w:rsidR="00EE4FC3">
        <w:t xml:space="preserve"> </w:t>
      </w:r>
      <w:r w:rsidR="001B6670" w:rsidRPr="00382917">
        <w:t>for</w:t>
      </w:r>
      <w:r w:rsidR="00EE4FC3">
        <w:t xml:space="preserve"> </w:t>
      </w:r>
      <w:r w:rsidR="001B6670" w:rsidRPr="00382917">
        <w:t>Persia</w:t>
      </w:r>
      <w:r w:rsidR="00EE4FC3">
        <w:t xml:space="preserve"> </w:t>
      </w:r>
      <w:r w:rsidR="001B6670" w:rsidRPr="00382917">
        <w:t>and</w:t>
      </w:r>
      <w:r w:rsidR="00EE4FC3">
        <w:t xml:space="preserve"> </w:t>
      </w:r>
      <w:r w:rsidR="001B6670" w:rsidRPr="00382917">
        <w:t>began</w:t>
      </w:r>
      <w:r w:rsidR="00EE4FC3">
        <w:t xml:space="preserve"> </w:t>
      </w:r>
      <w:r w:rsidR="001B6670" w:rsidRPr="00382917">
        <w:t>to</w:t>
      </w:r>
      <w:r w:rsidR="00EE4FC3">
        <w:t xml:space="preserve"> </w:t>
      </w:r>
      <w:r w:rsidR="001B6670" w:rsidRPr="00382917">
        <w:t>investigate</w:t>
      </w:r>
      <w:r w:rsidR="00EE4FC3">
        <w:t xml:space="preserve"> </w:t>
      </w:r>
      <w:r w:rsidR="001B6670" w:rsidRPr="00382917">
        <w:t>wholeheartedly</w:t>
      </w:r>
      <w:r w:rsidR="00EE4FC3">
        <w:t xml:space="preserve"> </w:t>
      </w:r>
      <w:r w:rsidR="001B6670" w:rsidRPr="00382917">
        <w:t>the</w:t>
      </w:r>
      <w:r w:rsidR="00EE4FC3">
        <w:t xml:space="preserve"> </w:t>
      </w:r>
      <w:r w:rsidR="001B6670" w:rsidRPr="00382917">
        <w:t>matter.</w:t>
      </w:r>
      <w:r w:rsidRPr="00382917">
        <w:t>”</w:t>
      </w:r>
    </w:p>
    <w:p w:rsidR="001B6670" w:rsidRPr="00382917" w:rsidRDefault="001B6670" w:rsidP="00146DCD">
      <w:pPr>
        <w:pStyle w:val="Text"/>
      </w:pPr>
      <w:r w:rsidRPr="00382917">
        <w:t>A</w:t>
      </w:r>
      <w:r w:rsidR="00EE4FC3">
        <w:t xml:space="preserve"> </w:t>
      </w:r>
      <w:r w:rsidRPr="00382917">
        <w:t>noted</w:t>
      </w:r>
      <w:r w:rsidR="00EE4FC3">
        <w:t xml:space="preserve"> </w:t>
      </w:r>
      <w:r w:rsidRPr="00382917">
        <w:t>French</w:t>
      </w:r>
      <w:r w:rsidR="00EE4FC3">
        <w:t xml:space="preserve"> </w:t>
      </w:r>
      <w:r w:rsidRPr="00382917">
        <w:t>publicist</w:t>
      </w:r>
      <w:r w:rsidR="00EE4FC3">
        <w:t xml:space="preserve"> </w:t>
      </w:r>
      <w:r w:rsidRPr="00382917">
        <w:t>testifies</w:t>
      </w:r>
      <w:r w:rsidR="00C03C91">
        <w:t>:</w:t>
      </w:r>
      <w:r w:rsidR="00EE4FC3">
        <w:t xml:space="preserve">  </w:t>
      </w:r>
      <w:r w:rsidR="009C713D" w:rsidRPr="00382917">
        <w:t>“</w:t>
      </w:r>
      <w:r w:rsidRPr="00382917">
        <w:t>All</w:t>
      </w:r>
      <w:r w:rsidR="00EE4FC3">
        <w:t xml:space="preserve"> </w:t>
      </w:r>
      <w:r w:rsidRPr="00382917">
        <w:t>Europe</w:t>
      </w:r>
      <w:r w:rsidR="00EE4FC3">
        <w:t xml:space="preserve"> </w:t>
      </w:r>
      <w:r w:rsidRPr="00382917">
        <w:t>was</w:t>
      </w:r>
      <w:r w:rsidR="00EE4FC3">
        <w:t xml:space="preserve"> </w:t>
      </w:r>
      <w:r w:rsidRPr="00382917">
        <w:t>stirred</w:t>
      </w:r>
      <w:r w:rsidR="00EE4FC3">
        <w:t xml:space="preserve"> </w:t>
      </w:r>
      <w:r w:rsidRPr="00382917">
        <w:t>to</w:t>
      </w:r>
      <w:r w:rsidR="00EE4FC3">
        <w:t xml:space="preserve"> </w:t>
      </w:r>
      <w:r w:rsidRPr="00382917">
        <w:t>pity</w:t>
      </w:r>
      <w:r w:rsidR="00EE4FC3">
        <w:t xml:space="preserve"> </w:t>
      </w:r>
      <w:r w:rsidRPr="00382917">
        <w:t>and</w:t>
      </w:r>
      <w:r w:rsidR="00EE4FC3">
        <w:t xml:space="preserve"> </w:t>
      </w:r>
      <w:r w:rsidRPr="00382917">
        <w:t>indignation.</w:t>
      </w:r>
      <w:r w:rsidR="009C713D" w:rsidRPr="00382917">
        <w:t>”</w:t>
      </w:r>
      <w:r w:rsidR="00146DCD">
        <w:t xml:space="preserve"> </w:t>
      </w:r>
      <w:r w:rsidR="00EE4FC3">
        <w:t xml:space="preserve"> </w:t>
      </w:r>
      <w:r w:rsidR="009C713D" w:rsidRPr="00382917">
        <w:t>“</w:t>
      </w:r>
      <w:r w:rsidRPr="00382917">
        <w:t>Among</w:t>
      </w:r>
      <w:r w:rsidR="00EE4FC3">
        <w:t xml:space="preserve"> </w:t>
      </w:r>
      <w:r w:rsidRPr="00382917">
        <w:t>the</w:t>
      </w:r>
      <w:r w:rsidR="00EE4FC3">
        <w:t xml:space="preserve"> </w:t>
      </w:r>
      <w:proofErr w:type="spellStart"/>
      <w:r w:rsidRPr="00382917">
        <w:t>littérateurs</w:t>
      </w:r>
      <w:proofErr w:type="spellEnd"/>
      <w:r w:rsidR="00EE4FC3">
        <w:t xml:space="preserve"> </w:t>
      </w:r>
      <w:r w:rsidRPr="00382917">
        <w:t>of</w:t>
      </w:r>
      <w:r w:rsidR="00EE4FC3">
        <w:t xml:space="preserve"> </w:t>
      </w:r>
      <w:r w:rsidRPr="00382917">
        <w:t>my</w:t>
      </w:r>
      <w:r w:rsidR="00EE4FC3">
        <w:t xml:space="preserve"> </w:t>
      </w:r>
      <w:r w:rsidRPr="00382917">
        <w:t>generation</w:t>
      </w:r>
      <w:r w:rsidR="00EE4FC3">
        <w:t xml:space="preserve"> </w:t>
      </w:r>
      <w:r w:rsidRPr="00382917">
        <w:t>in</w:t>
      </w:r>
      <w:r w:rsidR="00EE4FC3">
        <w:t xml:space="preserve"> </w:t>
      </w:r>
      <w:r w:rsidRPr="00382917">
        <w:t>the</w:t>
      </w:r>
      <w:r w:rsidR="00EE4FC3">
        <w:t xml:space="preserve"> </w:t>
      </w:r>
      <w:r w:rsidRPr="00382917">
        <w:t>Paris</w:t>
      </w:r>
      <w:r w:rsidR="00EE4FC3">
        <w:t xml:space="preserve"> </w:t>
      </w:r>
      <w:r w:rsidRPr="00382917">
        <w:t>of</w:t>
      </w:r>
      <w:r w:rsidR="00EE4FC3">
        <w:t xml:space="preserve"> </w:t>
      </w:r>
      <w:r w:rsidRPr="00382917">
        <w:t>1890,</w:t>
      </w:r>
      <w:r w:rsidR="009C713D" w:rsidRPr="00382917">
        <w:t>”</w:t>
      </w:r>
      <w:r w:rsidR="00EE4FC3">
        <w:t xml:space="preserve"> </w:t>
      </w:r>
      <w:r w:rsidRPr="00382917">
        <w:t>he</w:t>
      </w:r>
      <w:r w:rsidR="00EE4FC3">
        <w:t xml:space="preserve"> </w:t>
      </w:r>
      <w:r w:rsidRPr="00382917">
        <w:t>said,</w:t>
      </w:r>
      <w:r w:rsidR="00EE4FC3">
        <w:t xml:space="preserve"> </w:t>
      </w:r>
      <w:r w:rsidR="009C713D" w:rsidRPr="00382917">
        <w:t>“</w:t>
      </w:r>
      <w:r w:rsidRPr="00382917">
        <w:t>the</w:t>
      </w:r>
      <w:r w:rsidR="00EE4FC3">
        <w:t xml:space="preserve"> </w:t>
      </w:r>
      <w:r w:rsidRPr="00382917">
        <w:t>martyrdom</w:t>
      </w:r>
      <w:r w:rsidR="00EE4FC3">
        <w:t xml:space="preserve"> </w:t>
      </w:r>
      <w:r w:rsidRPr="00382917">
        <w:t>of</w:t>
      </w:r>
      <w:r w:rsidR="00EE4FC3">
        <w:t xml:space="preserve"> </w:t>
      </w:r>
      <w:r w:rsidRPr="00382917">
        <w:t>the</w:t>
      </w:r>
      <w:r w:rsidR="00EE4FC3">
        <w:t xml:space="preserve"> </w:t>
      </w:r>
      <w:r w:rsidRPr="00382917">
        <w:t>Báb</w:t>
      </w:r>
      <w:r w:rsidR="00EE4FC3">
        <w:t xml:space="preserve"> </w:t>
      </w:r>
      <w:r w:rsidRPr="00382917">
        <w:t>was</w:t>
      </w:r>
      <w:r w:rsidR="00EE4FC3">
        <w:t xml:space="preserve"> </w:t>
      </w:r>
      <w:r w:rsidRPr="00382917">
        <w:t>still</w:t>
      </w:r>
      <w:r w:rsidR="00EE4FC3">
        <w:t xml:space="preserve"> </w:t>
      </w:r>
      <w:r w:rsidRPr="00382917">
        <w:t>as</w:t>
      </w:r>
      <w:r w:rsidR="00EE4FC3">
        <w:t xml:space="preserve"> </w:t>
      </w:r>
      <w:r w:rsidRPr="00382917">
        <w:t>fresh</w:t>
      </w:r>
      <w:r w:rsidR="00EE4FC3">
        <w:t xml:space="preserve"> </w:t>
      </w:r>
      <w:r w:rsidRPr="00382917">
        <w:t>a</w:t>
      </w:r>
      <w:r w:rsidR="00EE4FC3">
        <w:t xml:space="preserve"> </w:t>
      </w:r>
      <w:r w:rsidRPr="00382917">
        <w:t>topic</w:t>
      </w:r>
      <w:r w:rsidR="00EE4FC3">
        <w:t xml:space="preserve"> </w:t>
      </w:r>
      <w:r w:rsidRPr="00382917">
        <w:t>as</w:t>
      </w:r>
      <w:r w:rsidR="00EE4FC3">
        <w:t xml:space="preserve"> </w:t>
      </w:r>
      <w:r w:rsidRPr="00382917">
        <w:t>had</w:t>
      </w:r>
      <w:r w:rsidR="00EE4FC3">
        <w:t xml:space="preserve"> </w:t>
      </w:r>
      <w:r w:rsidRPr="00382917">
        <w:t>been</w:t>
      </w:r>
      <w:r w:rsidR="00EE4FC3">
        <w:t xml:space="preserve"> </w:t>
      </w:r>
      <w:r w:rsidRPr="00382917">
        <w:t>the</w:t>
      </w:r>
      <w:r w:rsidR="00EE4FC3">
        <w:t xml:space="preserve"> </w:t>
      </w:r>
      <w:r w:rsidRPr="00382917">
        <w:t>first</w:t>
      </w:r>
      <w:r w:rsidR="00EE4FC3">
        <w:t xml:space="preserve"> </w:t>
      </w:r>
      <w:r w:rsidRPr="00382917">
        <w:t>news</w:t>
      </w:r>
      <w:r w:rsidR="00EE4FC3">
        <w:t xml:space="preserve"> </w:t>
      </w:r>
      <w:r w:rsidRPr="00382917">
        <w:t>of</w:t>
      </w:r>
      <w:r w:rsidR="00EE4FC3">
        <w:t xml:space="preserve"> </w:t>
      </w:r>
      <w:r w:rsidRPr="00382917">
        <w:t>his</w:t>
      </w:r>
      <w:r w:rsidR="00EE4FC3">
        <w:t xml:space="preserve"> </w:t>
      </w:r>
      <w:r w:rsidRPr="00382917">
        <w:t>death</w:t>
      </w:r>
      <w:r w:rsidR="00330AF7">
        <w:t>.</w:t>
      </w:r>
      <w:r w:rsidR="00EE4FC3">
        <w:t xml:space="preserve">  </w:t>
      </w:r>
      <w:r w:rsidRPr="00382917">
        <w:t>We</w:t>
      </w:r>
      <w:r w:rsidR="00EE4FC3">
        <w:t xml:space="preserve"> </w:t>
      </w:r>
      <w:r w:rsidRPr="00382917">
        <w:t>wrote</w:t>
      </w:r>
      <w:r w:rsidR="00EE4FC3">
        <w:t xml:space="preserve"> </w:t>
      </w:r>
      <w:r w:rsidRPr="00382917">
        <w:t>poems</w:t>
      </w:r>
      <w:r w:rsidR="00EE4FC3">
        <w:t xml:space="preserve"> </w:t>
      </w:r>
      <w:r w:rsidRPr="00382917">
        <w:t>about</w:t>
      </w:r>
      <w:r w:rsidR="00EE4FC3">
        <w:t xml:space="preserve"> </w:t>
      </w:r>
      <w:r w:rsidRPr="00382917">
        <w:t>him</w:t>
      </w:r>
      <w:r w:rsidR="00330AF7">
        <w:t>.</w:t>
      </w:r>
      <w:r w:rsidR="00EE4FC3">
        <w:t xml:space="preserve">  </w:t>
      </w:r>
      <w:r w:rsidRPr="00382917">
        <w:t>Sarah</w:t>
      </w:r>
      <w:r w:rsidR="00EE4FC3">
        <w:t xml:space="preserve"> </w:t>
      </w:r>
      <w:r w:rsidRPr="00382917">
        <w:t>Bernhardt</w:t>
      </w:r>
      <w:r w:rsidR="00EE4FC3">
        <w:t xml:space="preserve"> </w:t>
      </w:r>
      <w:r w:rsidRPr="00382917">
        <w:t>entreated</w:t>
      </w:r>
      <w:r w:rsidR="00EE4FC3">
        <w:t xml:space="preserve"> </w:t>
      </w:r>
      <w:proofErr w:type="spellStart"/>
      <w:r w:rsidRPr="00382917">
        <w:t>Catulle</w:t>
      </w:r>
      <w:proofErr w:type="spellEnd"/>
      <w:r w:rsidR="00EE4FC3">
        <w:t xml:space="preserve"> </w:t>
      </w:r>
      <w:proofErr w:type="spellStart"/>
      <w:r w:rsidRPr="00382917">
        <w:t>Mendès</w:t>
      </w:r>
      <w:proofErr w:type="spellEnd"/>
      <w:r w:rsidR="00EE4FC3">
        <w:t xml:space="preserve"> </w:t>
      </w:r>
      <w:r w:rsidRPr="00382917">
        <w:t>for</w:t>
      </w:r>
      <w:r w:rsidR="00EE4FC3">
        <w:t xml:space="preserve"> </w:t>
      </w:r>
      <w:r w:rsidRPr="00382917">
        <w:t>a</w:t>
      </w:r>
      <w:r w:rsidR="00EE4FC3">
        <w:t xml:space="preserve"> </w:t>
      </w:r>
      <w:r w:rsidRPr="00382917">
        <w:t>play</w:t>
      </w:r>
      <w:r w:rsidR="00EE4FC3">
        <w:t xml:space="preserve"> </w:t>
      </w:r>
      <w:r w:rsidRPr="00382917">
        <w:t>on</w:t>
      </w:r>
      <w:r w:rsidR="00EE4FC3">
        <w:t xml:space="preserve"> </w:t>
      </w:r>
      <w:r w:rsidRPr="00382917">
        <w:t>the</w:t>
      </w:r>
      <w:r w:rsidR="00EE4FC3">
        <w:t xml:space="preserve"> </w:t>
      </w:r>
      <w:r w:rsidRPr="00382917">
        <w:t>theme</w:t>
      </w:r>
      <w:r w:rsidR="00EE4FC3">
        <w:t xml:space="preserve"> </w:t>
      </w:r>
      <w:r w:rsidRPr="00382917">
        <w:t>of</w:t>
      </w:r>
      <w:r w:rsidR="00EE4FC3">
        <w:t xml:space="preserve"> </w:t>
      </w:r>
      <w:r w:rsidRPr="00382917">
        <w:t>this</w:t>
      </w:r>
      <w:r w:rsidR="00EE4FC3">
        <w:t xml:space="preserve"> </w:t>
      </w:r>
      <w:r w:rsidRPr="00382917">
        <w:t>historic</w:t>
      </w:r>
      <w:r w:rsidR="00EE4FC3">
        <w:t xml:space="preserve"> </w:t>
      </w:r>
      <w:r w:rsidRPr="00382917">
        <w:t>tragedy.</w:t>
      </w:r>
      <w:r w:rsidR="009C713D" w:rsidRPr="00382917">
        <w:t>”</w:t>
      </w:r>
      <w:r w:rsidR="00146DCD">
        <w:rPr>
          <w:rStyle w:val="FootnoteReference"/>
        </w:rPr>
        <w:footnoteReference w:id="273"/>
      </w:r>
    </w:p>
    <w:p w:rsidR="00E13D49" w:rsidRPr="00382917" w:rsidRDefault="001B6670" w:rsidP="00146DCD">
      <w:pPr>
        <w:pStyle w:val="Text"/>
      </w:pPr>
      <w:r w:rsidRPr="00382917">
        <w:t>A</w:t>
      </w:r>
      <w:r w:rsidR="00EE4FC3">
        <w:t xml:space="preserve"> </w:t>
      </w:r>
      <w:r w:rsidRPr="00382917">
        <w:t>drama</w:t>
      </w:r>
      <w:r w:rsidR="00EE4FC3">
        <w:t xml:space="preserve"> </w:t>
      </w:r>
      <w:r w:rsidRPr="00382917">
        <w:t>was</w:t>
      </w:r>
      <w:r w:rsidR="00EE4FC3">
        <w:t xml:space="preserve"> </w:t>
      </w:r>
      <w:r w:rsidRPr="00382917">
        <w:t>published</w:t>
      </w:r>
      <w:r w:rsidR="00EE4FC3">
        <w:t xml:space="preserve"> </w:t>
      </w:r>
      <w:r w:rsidRPr="00382917">
        <w:t>in</w:t>
      </w:r>
      <w:r w:rsidR="00EE4FC3">
        <w:t xml:space="preserve"> </w:t>
      </w:r>
      <w:r w:rsidRPr="00382917">
        <w:t>1903</w:t>
      </w:r>
      <w:r w:rsidR="00EE4FC3">
        <w:t xml:space="preserve"> </w:t>
      </w:r>
      <w:r w:rsidRPr="00382917">
        <w:t>entitled</w:t>
      </w:r>
      <w:r w:rsidR="00EE4FC3">
        <w:t xml:space="preserve"> </w:t>
      </w:r>
      <w:r w:rsidR="009C713D" w:rsidRPr="00382917">
        <w:t>“</w:t>
      </w:r>
      <w:r w:rsidRPr="00382917">
        <w:t>The</w:t>
      </w:r>
      <w:r w:rsidR="00EE4FC3">
        <w:t xml:space="preserve"> </w:t>
      </w:r>
      <w:r w:rsidRPr="00382917">
        <w:t>Báb</w:t>
      </w:r>
      <w:r w:rsidR="009C713D" w:rsidRPr="00382917">
        <w:t>”</w:t>
      </w:r>
      <w:r w:rsidR="00EE4FC3">
        <w:t xml:space="preserve"> </w:t>
      </w:r>
      <w:r w:rsidRPr="00382917">
        <w:t>and</w:t>
      </w:r>
      <w:r w:rsidR="00EE4FC3">
        <w:t xml:space="preserve"> </w:t>
      </w:r>
      <w:r w:rsidRPr="00382917">
        <w:t>was</w:t>
      </w:r>
      <w:r w:rsidR="00EE4FC3">
        <w:t xml:space="preserve"> </w:t>
      </w:r>
      <w:r w:rsidRPr="00382917">
        <w:t>played</w:t>
      </w:r>
      <w:r w:rsidR="00EE4FC3">
        <w:t xml:space="preserve"> </w:t>
      </w:r>
      <w:r w:rsidRPr="00382917">
        <w:t>in</w:t>
      </w:r>
      <w:r w:rsidR="00EE4FC3">
        <w:t xml:space="preserve"> </w:t>
      </w:r>
      <w:r w:rsidRPr="00382917">
        <w:t>one</w:t>
      </w:r>
      <w:r w:rsidR="00EE4FC3">
        <w:t xml:space="preserve"> </w:t>
      </w:r>
      <w:r w:rsidRPr="00382917">
        <w:t>of</w:t>
      </w:r>
      <w:r w:rsidR="00EE4FC3">
        <w:t xml:space="preserve"> </w:t>
      </w:r>
      <w:r w:rsidRPr="00382917">
        <w:t>the</w:t>
      </w:r>
      <w:r w:rsidR="00EE4FC3">
        <w:t xml:space="preserve"> </w:t>
      </w:r>
      <w:r w:rsidRPr="00382917">
        <w:t>leading</w:t>
      </w:r>
      <w:r w:rsidR="00EE4FC3">
        <w:t xml:space="preserve"> </w:t>
      </w:r>
      <w:r w:rsidRPr="00382917">
        <w:t>theatres</w:t>
      </w:r>
      <w:r w:rsidR="00EE4FC3">
        <w:t xml:space="preserve"> </w:t>
      </w:r>
      <w:r w:rsidRPr="00382917">
        <w:t>of</w:t>
      </w:r>
      <w:r w:rsidR="00EE4FC3">
        <w:t xml:space="preserve"> </w:t>
      </w:r>
      <w:r w:rsidRPr="00382917">
        <w:t>St</w:t>
      </w:r>
      <w:r w:rsidR="00330AF7">
        <w:t>.</w:t>
      </w:r>
      <w:r w:rsidR="00EE4FC3">
        <w:t xml:space="preserve"> </w:t>
      </w:r>
      <w:r w:rsidRPr="00382917">
        <w:t>Petersburg</w:t>
      </w:r>
      <w:r w:rsidR="00330AF7">
        <w:t>.</w:t>
      </w:r>
      <w:r w:rsidR="00EE4FC3">
        <w:t xml:space="preserve">  </w:t>
      </w:r>
      <w:r w:rsidRPr="00382917">
        <w:t>The</w:t>
      </w:r>
      <w:r w:rsidR="00EE4FC3">
        <w:t xml:space="preserve"> </w:t>
      </w:r>
      <w:r w:rsidRPr="00382917">
        <w:t>drama</w:t>
      </w:r>
      <w:r w:rsidR="00EE4FC3">
        <w:t xml:space="preserve"> </w:t>
      </w:r>
      <w:r w:rsidRPr="00382917">
        <w:t>was</w:t>
      </w:r>
      <w:r w:rsidR="00EE4FC3">
        <w:t xml:space="preserve"> </w:t>
      </w:r>
      <w:r w:rsidRPr="00382917">
        <w:t>publicized</w:t>
      </w:r>
      <w:r w:rsidR="00EE4FC3">
        <w:t xml:space="preserve"> </w:t>
      </w:r>
      <w:r w:rsidRPr="00382917">
        <w:t>in</w:t>
      </w:r>
      <w:r w:rsidR="00EE4FC3">
        <w:t xml:space="preserve"> </w:t>
      </w:r>
      <w:r w:rsidRPr="00382917">
        <w:t>London</w:t>
      </w:r>
      <w:r w:rsidR="00EE4FC3">
        <w:t xml:space="preserve"> </w:t>
      </w:r>
      <w:r w:rsidRPr="00382917">
        <w:t>and</w:t>
      </w:r>
      <w:r w:rsidR="00EE4FC3">
        <w:t xml:space="preserve"> </w:t>
      </w:r>
      <w:r w:rsidRPr="00382917">
        <w:t>was</w:t>
      </w:r>
      <w:r w:rsidR="00EE4FC3">
        <w:t xml:space="preserve"> </w:t>
      </w:r>
      <w:r w:rsidRPr="00382917">
        <w:t>translated</w:t>
      </w:r>
      <w:r w:rsidR="00EE4FC3">
        <w:t xml:space="preserve"> </w:t>
      </w:r>
      <w:r w:rsidRPr="00382917">
        <w:t>into</w:t>
      </w:r>
      <w:r w:rsidR="00EE4FC3">
        <w:t xml:space="preserve"> </w:t>
      </w:r>
      <w:r w:rsidRPr="00382917">
        <w:t>French</w:t>
      </w:r>
      <w:r w:rsidR="00EE4FC3">
        <w:t xml:space="preserve"> </w:t>
      </w:r>
      <w:r w:rsidRPr="00382917">
        <w:t>in</w:t>
      </w:r>
      <w:r w:rsidR="00EE4FC3">
        <w:t xml:space="preserve"> </w:t>
      </w:r>
      <w:r w:rsidRPr="00382917">
        <w:t>Paris</w:t>
      </w:r>
      <w:r w:rsidR="00EE4FC3">
        <w:t xml:space="preserve"> </w:t>
      </w:r>
      <w:r w:rsidRPr="00382917">
        <w:t>and</w:t>
      </w:r>
      <w:r w:rsidR="00EE4FC3">
        <w:t xml:space="preserve"> </w:t>
      </w:r>
      <w:r w:rsidRPr="00382917">
        <w:t>into</w:t>
      </w:r>
      <w:r w:rsidR="00EE4FC3">
        <w:t xml:space="preserve"> </w:t>
      </w:r>
      <w:r w:rsidRPr="00382917">
        <w:t>German</w:t>
      </w:r>
      <w:r w:rsidR="00EE4FC3">
        <w:t xml:space="preserve"> </w:t>
      </w:r>
      <w:r w:rsidRPr="00382917">
        <w:t>by</w:t>
      </w:r>
      <w:r w:rsidR="00EE4FC3">
        <w:t xml:space="preserve"> </w:t>
      </w:r>
      <w:r w:rsidRPr="00382917">
        <w:t>the</w:t>
      </w:r>
      <w:r w:rsidR="00EE4FC3">
        <w:t xml:space="preserve"> </w:t>
      </w:r>
      <w:r w:rsidRPr="00382917">
        <w:t>poet</w:t>
      </w:r>
      <w:r w:rsidR="00EE4FC3">
        <w:t xml:space="preserve"> </w:t>
      </w:r>
      <w:r w:rsidRPr="00382917">
        <w:t>Fiedler.</w:t>
      </w:r>
      <w:r w:rsidR="00146DCD">
        <w:rPr>
          <w:rStyle w:val="FootnoteReference"/>
        </w:rPr>
        <w:footnoteReference w:id="274"/>
      </w:r>
    </w:p>
    <w:p w:rsidR="00E13D49" w:rsidRPr="00382917" w:rsidRDefault="001B6670" w:rsidP="00423962">
      <w:pPr>
        <w:pStyle w:val="Text"/>
      </w:pPr>
      <w:r w:rsidRPr="00382917">
        <w:t>M.</w:t>
      </w:r>
      <w:r w:rsidR="00EE4FC3">
        <w:t xml:space="preserve"> </w:t>
      </w:r>
      <w:r w:rsidRPr="00382917">
        <w:t>J.</w:t>
      </w:r>
      <w:r w:rsidR="00EE4FC3">
        <w:t xml:space="preserve"> </w:t>
      </w:r>
      <w:proofErr w:type="spellStart"/>
      <w:r w:rsidRPr="00382917">
        <w:t>Balteau</w:t>
      </w:r>
      <w:proofErr w:type="spellEnd"/>
      <w:r w:rsidR="00EE4FC3">
        <w:t xml:space="preserve"> </w:t>
      </w:r>
      <w:r w:rsidRPr="00382917">
        <w:t>in</w:t>
      </w:r>
      <w:r w:rsidR="00EE4FC3">
        <w:t xml:space="preserve"> </w:t>
      </w:r>
      <w:r w:rsidRPr="00382917">
        <w:t>a</w:t>
      </w:r>
      <w:r w:rsidR="00EE4FC3">
        <w:t xml:space="preserve"> </w:t>
      </w:r>
      <w:r w:rsidRPr="00382917">
        <w:t>lecture</w:t>
      </w:r>
      <w:r w:rsidR="00EE4FC3">
        <w:t xml:space="preserve"> </w:t>
      </w:r>
      <w:r w:rsidRPr="00382917">
        <w:t>on</w:t>
      </w:r>
      <w:r w:rsidR="00EE4FC3">
        <w:t xml:space="preserve"> </w:t>
      </w:r>
      <w:r w:rsidRPr="00382917">
        <w:t>the</w:t>
      </w:r>
      <w:r w:rsidR="00EE4FC3">
        <w:t xml:space="preserve"> </w:t>
      </w:r>
      <w:r w:rsidRPr="00382917">
        <w:t>Faith</w:t>
      </w:r>
      <w:r w:rsidR="00EE4FC3">
        <w:t xml:space="preserve"> </w:t>
      </w:r>
      <w:r w:rsidRPr="00382917">
        <w:t>of</w:t>
      </w:r>
      <w:r w:rsidR="00EE4FC3">
        <w:t xml:space="preserve"> </w:t>
      </w:r>
      <w:r w:rsidRPr="00382917">
        <w:t>the</w:t>
      </w:r>
      <w:r w:rsidR="00EE4FC3">
        <w:t xml:space="preserve"> </w:t>
      </w:r>
      <w:r w:rsidRPr="00382917">
        <w:t>Báb</w:t>
      </w:r>
      <w:r w:rsidR="00EE4FC3">
        <w:t xml:space="preserve"> </w:t>
      </w:r>
      <w:r w:rsidRPr="00382917">
        <w:t>quotes</w:t>
      </w:r>
      <w:r w:rsidR="00EE4FC3">
        <w:t xml:space="preserve"> </w:t>
      </w:r>
      <w:r w:rsidRPr="00382917">
        <w:t>M.</w:t>
      </w:r>
      <w:r w:rsidR="00EE4FC3">
        <w:t xml:space="preserve"> </w:t>
      </w:r>
      <w:proofErr w:type="spellStart"/>
      <w:r w:rsidRPr="00382917">
        <w:t>Vambery</w:t>
      </w:r>
      <w:r w:rsidR="009C713D" w:rsidRPr="00382917">
        <w:t>’</w:t>
      </w:r>
      <w:r w:rsidRPr="00382917">
        <w:t>s</w:t>
      </w:r>
      <w:proofErr w:type="spellEnd"/>
      <w:r w:rsidR="00EE4FC3">
        <w:t xml:space="preserve"> </w:t>
      </w:r>
      <w:r w:rsidRPr="00382917">
        <w:t>words</w:t>
      </w:r>
      <w:r w:rsidR="00EE4FC3">
        <w:t xml:space="preserve"> </w:t>
      </w:r>
      <w:r w:rsidRPr="00382917">
        <w:t>spoken</w:t>
      </w:r>
      <w:r w:rsidR="00EE4FC3">
        <w:t xml:space="preserve"> </w:t>
      </w:r>
      <w:r w:rsidRPr="00382917">
        <w:t>in</w:t>
      </w:r>
      <w:r w:rsidR="00EE4FC3">
        <w:t xml:space="preserve"> </w:t>
      </w:r>
      <w:r w:rsidRPr="00382917">
        <w:t>the</w:t>
      </w:r>
      <w:r w:rsidR="00EE4FC3">
        <w:t xml:space="preserve"> </w:t>
      </w:r>
      <w:r w:rsidRPr="00382917">
        <w:t>French</w:t>
      </w:r>
      <w:r w:rsidR="00EE4FC3">
        <w:t xml:space="preserve"> </w:t>
      </w:r>
      <w:r w:rsidRPr="00382917">
        <w:t>Academy,</w:t>
      </w:r>
      <w:r w:rsidR="00EE4FC3">
        <w:t xml:space="preserve"> </w:t>
      </w:r>
      <w:r w:rsidRPr="00382917">
        <w:t>words</w:t>
      </w:r>
      <w:r w:rsidR="00EE4FC3">
        <w:t xml:space="preserve"> </w:t>
      </w:r>
      <w:r w:rsidRPr="00382917">
        <w:t>which</w:t>
      </w:r>
      <w:r w:rsidR="00EE4FC3">
        <w:t xml:space="preserve"> </w:t>
      </w:r>
      <w:r w:rsidRPr="00382917">
        <w:t>testify</w:t>
      </w:r>
      <w:r w:rsidR="00EE4FC3">
        <w:t xml:space="preserve"> </w:t>
      </w:r>
      <w:r w:rsidRPr="00382917">
        <w:t>to</w:t>
      </w:r>
      <w:r w:rsidR="00EE4FC3">
        <w:t xml:space="preserve"> </w:t>
      </w:r>
      <w:r w:rsidRPr="00382917">
        <w:t>the</w:t>
      </w:r>
      <w:r w:rsidR="00EE4FC3">
        <w:t xml:space="preserve"> </w:t>
      </w:r>
      <w:r w:rsidRPr="00382917">
        <w:t>depth</w:t>
      </w:r>
      <w:r w:rsidR="00EE4FC3">
        <w:t xml:space="preserve"> </w:t>
      </w:r>
      <w:r w:rsidRPr="00382917">
        <w:t>and</w:t>
      </w:r>
      <w:r w:rsidR="00EE4FC3">
        <w:t xml:space="preserve"> </w:t>
      </w:r>
      <w:r w:rsidRPr="00382917">
        <w:t>power</w:t>
      </w:r>
      <w:r w:rsidR="00EE4FC3">
        <w:t xml:space="preserve"> </w:t>
      </w:r>
      <w:r w:rsidRPr="00382917">
        <w:t>of</w:t>
      </w:r>
      <w:r w:rsidR="00EE4FC3">
        <w:t xml:space="preserve"> </w:t>
      </w:r>
      <w:r w:rsidRPr="00382917">
        <w:t>the</w:t>
      </w:r>
      <w:r w:rsidR="00EE4FC3">
        <w:t xml:space="preserve"> </w:t>
      </w:r>
      <w:r w:rsidRPr="00382917">
        <w:t>Báb</w:t>
      </w:r>
      <w:r w:rsidR="009C713D" w:rsidRPr="00382917">
        <w:t>’</w:t>
      </w:r>
      <w:r w:rsidRPr="00382917">
        <w:t>s</w:t>
      </w:r>
      <w:r w:rsidR="00EE4FC3">
        <w:t xml:space="preserve"> </w:t>
      </w:r>
      <w:r w:rsidRPr="00382917">
        <w:t>teachings</w:t>
      </w:r>
      <w:r w:rsidR="00330AF7">
        <w:t>.</w:t>
      </w:r>
      <w:r w:rsidR="00EE4FC3">
        <w:t xml:space="preserve">  </w:t>
      </w:r>
      <w:r w:rsidRPr="00382917">
        <w:t>The</w:t>
      </w:r>
      <w:r w:rsidR="00EE4FC3">
        <w:t xml:space="preserve"> </w:t>
      </w:r>
      <w:r w:rsidRPr="00382917">
        <w:t>Báb,</w:t>
      </w:r>
      <w:r w:rsidR="00EE4FC3">
        <w:t xml:space="preserve"> </w:t>
      </w:r>
      <w:r w:rsidRPr="00382917">
        <w:t>he</w:t>
      </w:r>
      <w:r w:rsidR="00EE4FC3">
        <w:t xml:space="preserve"> </w:t>
      </w:r>
      <w:r w:rsidRPr="00382917">
        <w:t>states,</w:t>
      </w:r>
      <w:r w:rsidR="00EE4FC3">
        <w:t xml:space="preserve"> </w:t>
      </w:r>
      <w:r w:rsidR="009C713D" w:rsidRPr="00382917">
        <w:t>“</w:t>
      </w:r>
      <w:r w:rsidRPr="00382917">
        <w:t>has</w:t>
      </w:r>
      <w:r w:rsidR="00EE4FC3">
        <w:t xml:space="preserve"> </w:t>
      </w:r>
      <w:r w:rsidRPr="00382917">
        <w:t>expressed</w:t>
      </w:r>
      <w:r w:rsidR="00EE4FC3">
        <w:t xml:space="preserve"> </w:t>
      </w:r>
      <w:r w:rsidRPr="00382917">
        <w:t>doctrines</w:t>
      </w:r>
      <w:r w:rsidR="00EE4FC3">
        <w:t xml:space="preserve"> </w:t>
      </w:r>
      <w:r w:rsidRPr="00382917">
        <w:t>worthy</w:t>
      </w:r>
      <w:r w:rsidR="00EE4FC3">
        <w:t xml:space="preserve"> </w:t>
      </w:r>
      <w:r w:rsidRPr="00382917">
        <w:t>of</w:t>
      </w:r>
      <w:r w:rsidR="00EE4FC3">
        <w:t xml:space="preserve"> </w:t>
      </w:r>
      <w:r w:rsidRPr="00382917">
        <w:t>the</w:t>
      </w:r>
      <w:r w:rsidR="00EE4FC3">
        <w:t xml:space="preserve"> </w:t>
      </w:r>
      <w:r w:rsidRPr="00382917">
        <w:t>greatest</w:t>
      </w:r>
      <w:r w:rsidR="00EE4FC3">
        <w:t xml:space="preserve"> </w:t>
      </w:r>
      <w:r w:rsidRPr="00382917">
        <w:t>thinkers.</w:t>
      </w:r>
      <w:r w:rsidR="009C713D" w:rsidRPr="00382917">
        <w:t>”</w:t>
      </w:r>
      <w:r w:rsidR="00423962">
        <w:rPr>
          <w:rStyle w:val="FootnoteReference"/>
        </w:rPr>
        <w:footnoteReference w:id="275"/>
      </w:r>
    </w:p>
    <w:p w:rsidR="001B6670" w:rsidRPr="00382917" w:rsidRDefault="001B6670" w:rsidP="00423962">
      <w:pPr>
        <w:pStyle w:val="Text"/>
      </w:pPr>
      <w:r w:rsidRPr="00382917">
        <w:t>The</w:t>
      </w:r>
      <w:r w:rsidR="00EE4FC3">
        <w:t xml:space="preserve"> </w:t>
      </w:r>
      <w:r w:rsidRPr="00382917">
        <w:t>famous</w:t>
      </w:r>
      <w:r w:rsidR="00EE4FC3">
        <w:t xml:space="preserve"> </w:t>
      </w:r>
      <w:r w:rsidRPr="00382917">
        <w:t>Cambridge</w:t>
      </w:r>
      <w:r w:rsidR="00EE4FC3">
        <w:t xml:space="preserve"> </w:t>
      </w:r>
      <w:r w:rsidRPr="00382917">
        <w:t>scholar,</w:t>
      </w:r>
      <w:r w:rsidR="00EE4FC3">
        <w:t xml:space="preserve"> </w:t>
      </w:r>
      <w:r w:rsidRPr="00382917">
        <w:t>Edward</w:t>
      </w:r>
      <w:r w:rsidR="00EE4FC3">
        <w:t xml:space="preserve"> </w:t>
      </w:r>
      <w:r w:rsidRPr="00382917">
        <w:t>Granville</w:t>
      </w:r>
      <w:r w:rsidR="00EE4FC3">
        <w:t xml:space="preserve"> </w:t>
      </w:r>
      <w:r w:rsidRPr="00382917">
        <w:t>Browne,</w:t>
      </w:r>
      <w:r w:rsidR="00EE4FC3">
        <w:t xml:space="preserve"> </w:t>
      </w:r>
      <w:r w:rsidRPr="00382917">
        <w:t>wrote</w:t>
      </w:r>
      <w:r w:rsidR="00C03C91">
        <w:t>:</w:t>
      </w:r>
      <w:r w:rsidR="00EE4FC3">
        <w:t xml:space="preserve">  </w:t>
      </w:r>
      <w:r w:rsidR="009C713D" w:rsidRPr="00382917">
        <w:t>“</w:t>
      </w:r>
      <w:r w:rsidRPr="00382917">
        <w:t>Who</w:t>
      </w:r>
      <w:r w:rsidR="00EE4FC3">
        <w:t xml:space="preserve"> </w:t>
      </w:r>
      <w:r w:rsidRPr="00382917">
        <w:t>can</w:t>
      </w:r>
      <w:r w:rsidR="00EE4FC3">
        <w:t xml:space="preserve"> </w:t>
      </w:r>
      <w:r w:rsidRPr="00382917">
        <w:t>fail</w:t>
      </w:r>
      <w:r w:rsidR="00EE4FC3">
        <w:t xml:space="preserve"> </w:t>
      </w:r>
      <w:r w:rsidRPr="00382917">
        <w:t>to</w:t>
      </w:r>
      <w:r w:rsidR="00EE4FC3">
        <w:t xml:space="preserve"> </w:t>
      </w:r>
      <w:r w:rsidRPr="00382917">
        <w:t>be</w:t>
      </w:r>
      <w:r w:rsidR="00EE4FC3">
        <w:t xml:space="preserve"> </w:t>
      </w:r>
      <w:r w:rsidRPr="00382917">
        <w:t>attracted</w:t>
      </w:r>
      <w:r w:rsidR="00EE4FC3">
        <w:t xml:space="preserve"> </w:t>
      </w:r>
      <w:r w:rsidRPr="00382917">
        <w:t>by</w:t>
      </w:r>
      <w:r w:rsidR="00EE4FC3">
        <w:t xml:space="preserve"> </w:t>
      </w:r>
      <w:r w:rsidRPr="00382917">
        <w:t>the</w:t>
      </w:r>
      <w:r w:rsidR="00EE4FC3">
        <w:t xml:space="preserve"> </w:t>
      </w:r>
      <w:r w:rsidRPr="00382917">
        <w:t>gentle</w:t>
      </w:r>
      <w:r w:rsidR="00EE4FC3">
        <w:t xml:space="preserve"> </w:t>
      </w:r>
      <w:r w:rsidRPr="00382917">
        <w:t>spirit</w:t>
      </w:r>
      <w:r w:rsidR="00EE4FC3">
        <w:t xml:space="preserve"> </w:t>
      </w:r>
      <w:r w:rsidRPr="00382917">
        <w:t>of</w:t>
      </w:r>
      <w:r w:rsidR="00EE4FC3">
        <w:t xml:space="preserve"> </w:t>
      </w:r>
      <w:r w:rsidRPr="00382917">
        <w:t>[the</w:t>
      </w:r>
      <w:r w:rsidR="00EE4FC3">
        <w:t xml:space="preserve"> </w:t>
      </w:r>
      <w:r w:rsidRPr="00382917">
        <w:t>Báb]</w:t>
      </w:r>
      <w:r w:rsidR="003C712C">
        <w:t xml:space="preserve">?  </w:t>
      </w:r>
      <w:r w:rsidRPr="00382917">
        <w:t>His</w:t>
      </w:r>
      <w:r w:rsidR="00EE4FC3">
        <w:t xml:space="preserve"> </w:t>
      </w:r>
      <w:r w:rsidRPr="00382917">
        <w:t>sorrowful</w:t>
      </w:r>
      <w:r w:rsidR="00EE4FC3">
        <w:t xml:space="preserve"> </w:t>
      </w:r>
      <w:r w:rsidRPr="00382917">
        <w:t>and</w:t>
      </w:r>
      <w:r w:rsidR="00EE4FC3">
        <w:t xml:space="preserve"> </w:t>
      </w:r>
      <w:r w:rsidRPr="00382917">
        <w:t>persecuted</w:t>
      </w:r>
      <w:r w:rsidR="00EE4FC3">
        <w:t xml:space="preserve"> </w:t>
      </w:r>
      <w:r w:rsidRPr="00382917">
        <w:t>life,</w:t>
      </w:r>
      <w:r w:rsidR="00EE4FC3">
        <w:t xml:space="preserve"> </w:t>
      </w:r>
      <w:r w:rsidRPr="00382917">
        <w:t>his</w:t>
      </w:r>
      <w:r w:rsidR="00EE4FC3">
        <w:t xml:space="preserve"> </w:t>
      </w:r>
      <w:r w:rsidRPr="00382917">
        <w:t>purity</w:t>
      </w:r>
      <w:r w:rsidR="00EE4FC3">
        <w:t xml:space="preserve"> </w:t>
      </w:r>
      <w:r w:rsidRPr="00382917">
        <w:t>of</w:t>
      </w:r>
      <w:r w:rsidR="00EE4FC3">
        <w:t xml:space="preserve"> </w:t>
      </w:r>
      <w:r w:rsidRPr="00382917">
        <w:t>conduct</w:t>
      </w:r>
      <w:r w:rsidR="00EE4FC3">
        <w:t xml:space="preserve"> </w:t>
      </w:r>
      <w:r w:rsidRPr="00382917">
        <w:t>and</w:t>
      </w:r>
      <w:r w:rsidR="00EE4FC3">
        <w:t xml:space="preserve"> </w:t>
      </w:r>
      <w:r w:rsidRPr="00382917">
        <w:t>youth;</w:t>
      </w:r>
      <w:r w:rsidR="00EE4FC3">
        <w:t xml:space="preserve"> </w:t>
      </w:r>
      <w:r w:rsidRPr="00382917">
        <w:t>his</w:t>
      </w:r>
      <w:r w:rsidR="00EE4FC3">
        <w:t xml:space="preserve"> </w:t>
      </w:r>
      <w:r w:rsidRPr="00382917">
        <w:t>courage</w:t>
      </w:r>
      <w:r w:rsidR="00EE4FC3">
        <w:t xml:space="preserve"> </w:t>
      </w:r>
      <w:r w:rsidRPr="00382917">
        <w:t>and</w:t>
      </w:r>
      <w:r w:rsidR="00EE4FC3">
        <w:t xml:space="preserve"> </w:t>
      </w:r>
      <w:r w:rsidRPr="00382917">
        <w:t>uncomplaining</w:t>
      </w:r>
      <w:r w:rsidR="00EE4FC3">
        <w:t xml:space="preserve"> </w:t>
      </w:r>
      <w:r w:rsidRPr="00382917">
        <w:t>patience</w:t>
      </w:r>
      <w:r w:rsidR="00EE4FC3">
        <w:t xml:space="preserve"> </w:t>
      </w:r>
      <w:r w:rsidRPr="00382917">
        <w:t>under</w:t>
      </w:r>
      <w:r w:rsidR="00EE4FC3">
        <w:t xml:space="preserve"> </w:t>
      </w:r>
      <w:r w:rsidRPr="00382917">
        <w:t>misfortune</w:t>
      </w:r>
      <w:r w:rsidR="00EE4FC3">
        <w:t xml:space="preserve"> </w:t>
      </w:r>
      <w:r w:rsidR="00F04416" w:rsidRPr="00382917">
        <w:t>…</w:t>
      </w:r>
      <w:r w:rsidR="00EE4FC3">
        <w:t xml:space="preserve"> </w:t>
      </w:r>
      <w:r w:rsidRPr="00382917">
        <w:t>but</w:t>
      </w:r>
      <w:r w:rsidR="00EE4FC3">
        <w:t xml:space="preserve"> </w:t>
      </w:r>
      <w:r w:rsidRPr="00382917">
        <w:t>most</w:t>
      </w:r>
      <w:r w:rsidR="00EE4FC3">
        <w:t xml:space="preserve"> </w:t>
      </w:r>
      <w:r w:rsidRPr="00382917">
        <w:t>of</w:t>
      </w:r>
      <w:r w:rsidR="00EE4FC3">
        <w:t xml:space="preserve"> </w:t>
      </w:r>
      <w:r w:rsidRPr="00382917">
        <w:t>all</w:t>
      </w:r>
      <w:r w:rsidR="00EE4FC3">
        <w:t xml:space="preserve"> </w:t>
      </w:r>
      <w:r w:rsidRPr="00382917">
        <w:t>his</w:t>
      </w:r>
      <w:r w:rsidR="00EE4FC3">
        <w:t xml:space="preserve"> </w:t>
      </w:r>
      <w:r w:rsidRPr="00382917">
        <w:t>tragic</w:t>
      </w:r>
      <w:r w:rsidR="00EE4FC3">
        <w:t xml:space="preserve"> </w:t>
      </w:r>
      <w:r w:rsidRPr="00382917">
        <w:t>death,</w:t>
      </w:r>
      <w:r w:rsidR="00EE4FC3">
        <w:t xml:space="preserve"> </w:t>
      </w:r>
      <w:r w:rsidRPr="00382917">
        <w:t>all</w:t>
      </w:r>
      <w:r w:rsidR="00EE4FC3">
        <w:t xml:space="preserve"> </w:t>
      </w:r>
      <w:r w:rsidRPr="00382917">
        <w:t>serve</w:t>
      </w:r>
      <w:r w:rsidR="00EE4FC3">
        <w:t xml:space="preserve"> </w:t>
      </w:r>
      <w:r w:rsidRPr="00382917">
        <w:t>to</w:t>
      </w:r>
      <w:r w:rsidR="00EE4FC3">
        <w:t xml:space="preserve"> </w:t>
      </w:r>
      <w:r w:rsidRPr="00382917">
        <w:t>enlist</w:t>
      </w:r>
      <w:r w:rsidR="00EE4FC3">
        <w:t xml:space="preserve"> </w:t>
      </w:r>
      <w:r w:rsidRPr="00382917">
        <w:t>our</w:t>
      </w:r>
      <w:r w:rsidR="00EE4FC3">
        <w:t xml:space="preserve"> </w:t>
      </w:r>
      <w:r w:rsidRPr="00382917">
        <w:t>sympathies</w:t>
      </w:r>
      <w:r w:rsidR="00EE4FC3">
        <w:t xml:space="preserve"> </w:t>
      </w:r>
      <w:r w:rsidRPr="00382917">
        <w:t>on</w:t>
      </w:r>
      <w:r w:rsidR="00EE4FC3">
        <w:t xml:space="preserve"> </w:t>
      </w:r>
      <w:r w:rsidRPr="00382917">
        <w:t>behalf</w:t>
      </w:r>
      <w:r w:rsidR="00EE4FC3">
        <w:t xml:space="preserve"> </w:t>
      </w:r>
      <w:r w:rsidRPr="00382917">
        <w:t>of</w:t>
      </w:r>
      <w:r w:rsidR="00EE4FC3">
        <w:t xml:space="preserve"> </w:t>
      </w:r>
      <w:r w:rsidRPr="00382917">
        <w:t>the</w:t>
      </w:r>
      <w:r w:rsidR="00EE4FC3">
        <w:t xml:space="preserve"> </w:t>
      </w:r>
      <w:r w:rsidRPr="00382917">
        <w:t>young</w:t>
      </w:r>
      <w:r w:rsidR="00EE4FC3">
        <w:t xml:space="preserve"> </w:t>
      </w:r>
      <w:r w:rsidRPr="00382917">
        <w:t>P</w:t>
      </w:r>
      <w:r w:rsidR="00423962">
        <w:t>r</w:t>
      </w:r>
      <w:r w:rsidRPr="00382917">
        <w:t>ophet</w:t>
      </w:r>
      <w:r w:rsidR="00EE4FC3">
        <w:t xml:space="preserve"> </w:t>
      </w:r>
      <w:r w:rsidRPr="00382917">
        <w:t>of</w:t>
      </w:r>
      <w:r w:rsidR="00EE4FC3">
        <w:t xml:space="preserve"> </w:t>
      </w:r>
      <w:r w:rsidR="008A073E" w:rsidRPr="00382917">
        <w:rPr>
          <w:u w:val="single"/>
        </w:rPr>
        <w:t>Sh</w:t>
      </w:r>
      <w:r w:rsidR="008A073E" w:rsidRPr="00382917">
        <w:t>íráz</w:t>
      </w:r>
      <w:r w:rsidRPr="00382917">
        <w:t>.</w:t>
      </w:r>
      <w:r w:rsidR="009C713D" w:rsidRPr="00382917">
        <w:t>”</w:t>
      </w:r>
      <w:r w:rsidR="00423962">
        <w:rPr>
          <w:rStyle w:val="FootnoteReference"/>
        </w:rPr>
        <w:footnoteReference w:id="276"/>
      </w:r>
    </w:p>
    <w:p w:rsidR="001B6670" w:rsidRPr="00382917" w:rsidRDefault="009C713D" w:rsidP="00423962">
      <w:pPr>
        <w:pStyle w:val="Text"/>
      </w:pPr>
      <w:r w:rsidRPr="00382917">
        <w:t>“</w:t>
      </w:r>
      <w:r w:rsidR="001B6670" w:rsidRPr="00382917">
        <w:t>That</w:t>
      </w:r>
      <w:r w:rsidR="00EE4FC3">
        <w:t xml:space="preserve"> </w:t>
      </w:r>
      <w:r w:rsidR="001B6670" w:rsidRPr="00382917">
        <w:t>Jesus</w:t>
      </w:r>
      <w:r w:rsidR="00EE4FC3">
        <w:t xml:space="preserve"> </w:t>
      </w:r>
      <w:r w:rsidR="001B6670" w:rsidRPr="00382917">
        <w:t>of</w:t>
      </w:r>
      <w:r w:rsidR="00EE4FC3">
        <w:t xml:space="preserve"> </w:t>
      </w:r>
      <w:r w:rsidR="001B6670" w:rsidRPr="00382917">
        <w:t>the</w:t>
      </w:r>
      <w:r w:rsidR="00EE4FC3">
        <w:t xml:space="preserve"> </w:t>
      </w:r>
      <w:r w:rsidR="001B6670" w:rsidRPr="00382917">
        <w:t>age</w:t>
      </w:r>
      <w:r w:rsidR="00EE4FC3">
        <w:t xml:space="preserve"> </w:t>
      </w:r>
      <w:r w:rsidR="00F04416" w:rsidRPr="00382917">
        <w:t>…</w:t>
      </w:r>
      <w:r w:rsidR="00EE4FC3">
        <w:t xml:space="preserve"> </w:t>
      </w:r>
      <w:r w:rsidR="001B6670" w:rsidRPr="00382917">
        <w:t>a</w:t>
      </w:r>
      <w:r w:rsidR="00EE4FC3">
        <w:t xml:space="preserve"> </w:t>
      </w:r>
      <w:r w:rsidR="001B6670" w:rsidRPr="00382917">
        <w:t>prophet</w:t>
      </w:r>
      <w:r w:rsidR="00EE4FC3">
        <w:t xml:space="preserve"> </w:t>
      </w:r>
      <w:r w:rsidR="001B6670" w:rsidRPr="00382917">
        <w:t>and</w:t>
      </w:r>
      <w:r w:rsidR="00EE4FC3">
        <w:t xml:space="preserve"> </w:t>
      </w:r>
      <w:r w:rsidR="001B6670" w:rsidRPr="00382917">
        <w:t>more</w:t>
      </w:r>
      <w:r w:rsidR="00EE4FC3">
        <w:t xml:space="preserve"> </w:t>
      </w:r>
      <w:r w:rsidR="001B6670" w:rsidRPr="00382917">
        <w:t>than</w:t>
      </w:r>
      <w:r w:rsidR="00EE4FC3">
        <w:t xml:space="preserve"> </w:t>
      </w:r>
      <w:r w:rsidR="001B6670" w:rsidRPr="00382917">
        <w:t>a</w:t>
      </w:r>
      <w:r w:rsidR="00EE4FC3">
        <w:t xml:space="preserve"> </w:t>
      </w:r>
      <w:r w:rsidR="001B6670" w:rsidRPr="00382917">
        <w:t>prophet,</w:t>
      </w:r>
      <w:r w:rsidRPr="00382917">
        <w:t>”</w:t>
      </w:r>
      <w:r w:rsidR="00EE4FC3">
        <w:t xml:space="preserve"> </w:t>
      </w:r>
      <w:r w:rsidR="001B6670" w:rsidRPr="00382917">
        <w:t>is</w:t>
      </w:r>
      <w:r w:rsidR="00EE4FC3">
        <w:t xml:space="preserve"> </w:t>
      </w:r>
      <w:r w:rsidR="001B6670" w:rsidRPr="00382917">
        <w:t>the</w:t>
      </w:r>
      <w:r w:rsidR="00EE4FC3">
        <w:t xml:space="preserve"> </w:t>
      </w:r>
      <w:r w:rsidR="001B6670" w:rsidRPr="00382917">
        <w:t>judgement</w:t>
      </w:r>
      <w:r w:rsidR="00EE4FC3">
        <w:t xml:space="preserve"> </w:t>
      </w:r>
      <w:r w:rsidR="001B6670" w:rsidRPr="00382917">
        <w:t>passed</w:t>
      </w:r>
      <w:r w:rsidR="00EE4FC3">
        <w:t xml:space="preserve"> </w:t>
      </w:r>
      <w:r w:rsidR="001B6670" w:rsidRPr="00382917">
        <w:t>by</w:t>
      </w:r>
      <w:r w:rsidR="00EE4FC3">
        <w:t xml:space="preserve"> </w:t>
      </w:r>
      <w:r w:rsidR="001B6670" w:rsidRPr="00382917">
        <w:t>the</w:t>
      </w:r>
      <w:r w:rsidR="00EE4FC3">
        <w:t xml:space="preserve"> </w:t>
      </w:r>
      <w:r w:rsidR="001B6670" w:rsidRPr="00382917">
        <w:t>distinguished</w:t>
      </w:r>
      <w:r w:rsidR="00EE4FC3">
        <w:t xml:space="preserve"> </w:t>
      </w:r>
      <w:r w:rsidR="001B6670" w:rsidRPr="00382917">
        <w:t>English</w:t>
      </w:r>
      <w:r w:rsidR="00EE4FC3">
        <w:t xml:space="preserve"> </w:t>
      </w:r>
      <w:r w:rsidR="001B6670" w:rsidRPr="00382917">
        <w:t>clergyman,</w:t>
      </w:r>
      <w:r w:rsidR="00423962">
        <w:t xml:space="preserve"> </w:t>
      </w:r>
      <w:r w:rsidR="001B6670" w:rsidRPr="00382917">
        <w:t>Dr</w:t>
      </w:r>
      <w:r w:rsidR="00EE4FC3">
        <w:t xml:space="preserve"> </w:t>
      </w:r>
      <w:r w:rsidR="001B6670" w:rsidRPr="00382917">
        <w:t>T.</w:t>
      </w:r>
      <w:r w:rsidR="00EE4FC3">
        <w:t xml:space="preserve"> </w:t>
      </w:r>
      <w:r w:rsidR="001B6670" w:rsidRPr="00382917">
        <w:t>K.</w:t>
      </w:r>
      <w:r w:rsidR="00EE4FC3">
        <w:t xml:space="preserve"> </w:t>
      </w:r>
      <w:r w:rsidR="001B6670" w:rsidRPr="00382917">
        <w:t>Cheyne</w:t>
      </w:r>
      <w:r w:rsidR="00330AF7">
        <w:t>.</w:t>
      </w:r>
      <w:r w:rsidR="00EE4FC3">
        <w:t xml:space="preserve">  </w:t>
      </w:r>
      <w:r w:rsidRPr="00382917">
        <w:t>“</w:t>
      </w:r>
      <w:r w:rsidR="001B6670" w:rsidRPr="00382917">
        <w:t>His</w:t>
      </w:r>
      <w:r w:rsidR="00EE4FC3">
        <w:t xml:space="preserve"> </w:t>
      </w:r>
      <w:r w:rsidR="001B6670" w:rsidRPr="00382917">
        <w:t>combination</w:t>
      </w:r>
      <w:r w:rsidR="00EE4FC3">
        <w:t xml:space="preserve"> </w:t>
      </w:r>
      <w:r w:rsidR="001B6670" w:rsidRPr="00382917">
        <w:t>of</w:t>
      </w:r>
      <w:r w:rsidR="00EE4FC3">
        <w:t xml:space="preserve"> </w:t>
      </w:r>
      <w:r w:rsidR="001B6670" w:rsidRPr="00382917">
        <w:t>mildness</w:t>
      </w:r>
      <w:r w:rsidR="00EE4FC3">
        <w:t xml:space="preserve"> </w:t>
      </w:r>
      <w:r w:rsidR="001B6670" w:rsidRPr="00382917">
        <w:t>and</w:t>
      </w:r>
      <w:r w:rsidR="00EE4FC3">
        <w:t xml:space="preserve"> </w:t>
      </w:r>
      <w:r w:rsidR="001B6670" w:rsidRPr="00382917">
        <w:t>power</w:t>
      </w:r>
      <w:r w:rsidR="00EE4FC3">
        <w:t xml:space="preserve"> </w:t>
      </w:r>
      <w:r w:rsidR="001B6670" w:rsidRPr="00382917">
        <w:t>is</w:t>
      </w:r>
      <w:r w:rsidR="00EE4FC3">
        <w:t xml:space="preserve"> </w:t>
      </w:r>
      <w:r w:rsidR="001B6670" w:rsidRPr="00382917">
        <w:t>so</w:t>
      </w:r>
      <w:r w:rsidR="00EE4FC3">
        <w:t xml:space="preserve"> </w:t>
      </w:r>
      <w:r w:rsidR="001B6670" w:rsidRPr="00382917">
        <w:t>rare,</w:t>
      </w:r>
      <w:r w:rsidRPr="00382917">
        <w:t>”</w:t>
      </w:r>
      <w:r w:rsidR="00EE4FC3">
        <w:t xml:space="preserve"> </w:t>
      </w:r>
      <w:r w:rsidR="001B6670" w:rsidRPr="00382917">
        <w:t>he</w:t>
      </w:r>
      <w:r w:rsidR="00EE4FC3">
        <w:t xml:space="preserve"> </w:t>
      </w:r>
      <w:r w:rsidR="001B6670" w:rsidRPr="00382917">
        <w:t>states,</w:t>
      </w:r>
      <w:r w:rsidR="00EE4FC3">
        <w:t xml:space="preserve"> </w:t>
      </w:r>
      <w:r w:rsidRPr="00382917">
        <w:t>“</w:t>
      </w:r>
      <w:r w:rsidR="001B6670" w:rsidRPr="00382917">
        <w:t>that</w:t>
      </w:r>
      <w:r w:rsidR="00EE4FC3">
        <w:t xml:space="preserve"> </w:t>
      </w:r>
      <w:r w:rsidR="001B6670" w:rsidRPr="00382917">
        <w:t>we</w:t>
      </w:r>
      <w:r w:rsidR="00EE4FC3">
        <w:t xml:space="preserve"> </w:t>
      </w:r>
      <w:r w:rsidR="001B6670" w:rsidRPr="00382917">
        <w:t>have</w:t>
      </w:r>
      <w:r w:rsidR="00EE4FC3">
        <w:t xml:space="preserve"> </w:t>
      </w:r>
      <w:r w:rsidR="001B6670" w:rsidRPr="00382917">
        <w:t>to</w:t>
      </w:r>
      <w:r w:rsidR="00EE4FC3">
        <w:t xml:space="preserve"> </w:t>
      </w:r>
      <w:r w:rsidR="001B6670" w:rsidRPr="00382917">
        <w:t>place</w:t>
      </w:r>
      <w:r w:rsidR="00EE4FC3">
        <w:t xml:space="preserve"> </w:t>
      </w:r>
      <w:r w:rsidR="001B6670" w:rsidRPr="00382917">
        <w:t>him</w:t>
      </w:r>
      <w:r w:rsidR="00EE4FC3">
        <w:t xml:space="preserve"> </w:t>
      </w:r>
      <w:r w:rsidR="001B6670" w:rsidRPr="00382917">
        <w:t>in</w:t>
      </w:r>
      <w:r w:rsidR="00EE4FC3">
        <w:t xml:space="preserve"> </w:t>
      </w:r>
      <w:r w:rsidR="001B6670" w:rsidRPr="00382917">
        <w:t>a</w:t>
      </w:r>
      <w:r w:rsidR="00EE4FC3">
        <w:t xml:space="preserve"> </w:t>
      </w:r>
      <w:r w:rsidR="001B6670" w:rsidRPr="00382917">
        <w:t>line</w:t>
      </w:r>
      <w:r w:rsidR="00EE4FC3">
        <w:t xml:space="preserve"> </w:t>
      </w:r>
      <w:r w:rsidR="001B6670" w:rsidRPr="00382917">
        <w:t>with</w:t>
      </w:r>
      <w:r w:rsidR="00EE4FC3">
        <w:t xml:space="preserve"> </w:t>
      </w:r>
      <w:r w:rsidR="001B6670" w:rsidRPr="00382917">
        <w:t>super-normal</w:t>
      </w:r>
      <w:r w:rsidR="00EE4FC3">
        <w:t xml:space="preserve"> </w:t>
      </w:r>
      <w:r w:rsidR="001B6670" w:rsidRPr="00382917">
        <w:t>men.</w:t>
      </w:r>
      <w:r w:rsidRPr="00382917">
        <w:t>”</w:t>
      </w:r>
      <w:r w:rsidR="00423962">
        <w:rPr>
          <w:rStyle w:val="FootnoteReference"/>
        </w:rPr>
        <w:footnoteReference w:id="277"/>
      </w:r>
    </w:p>
    <w:p w:rsidR="001B6670" w:rsidRPr="00382917" w:rsidRDefault="001B6670" w:rsidP="00423962">
      <w:pPr>
        <w:pStyle w:val="Text"/>
      </w:pPr>
      <w:r w:rsidRPr="00382917">
        <w:t>Sir</w:t>
      </w:r>
      <w:r w:rsidR="00EE4FC3">
        <w:t xml:space="preserve"> </w:t>
      </w:r>
      <w:r w:rsidRPr="00382917">
        <w:t>Francis</w:t>
      </w:r>
      <w:r w:rsidR="00EE4FC3">
        <w:t xml:space="preserve"> </w:t>
      </w:r>
      <w:proofErr w:type="spellStart"/>
      <w:r w:rsidRPr="00382917">
        <w:t>Younghusband</w:t>
      </w:r>
      <w:proofErr w:type="spellEnd"/>
      <w:r w:rsidR="00EE4FC3">
        <w:t xml:space="preserve"> </w:t>
      </w:r>
      <w:r w:rsidRPr="00382917">
        <w:t>in</w:t>
      </w:r>
      <w:r w:rsidR="00EE4FC3">
        <w:t xml:space="preserve"> </w:t>
      </w:r>
      <w:r w:rsidRPr="00382917">
        <w:t>his</w:t>
      </w:r>
      <w:r w:rsidR="00EE4FC3">
        <w:t xml:space="preserve"> </w:t>
      </w:r>
      <w:r w:rsidRPr="00382917">
        <w:t>book</w:t>
      </w:r>
      <w:r w:rsidR="00EE4FC3">
        <w:t xml:space="preserve"> </w:t>
      </w:r>
      <w:r w:rsidRPr="00423962">
        <w:rPr>
          <w:i/>
          <w:iCs/>
        </w:rPr>
        <w:t>The</w:t>
      </w:r>
      <w:r w:rsidR="00EE4FC3" w:rsidRPr="00423962">
        <w:rPr>
          <w:i/>
          <w:iCs/>
        </w:rPr>
        <w:t xml:space="preserve"> </w:t>
      </w:r>
      <w:r w:rsidRPr="00423962">
        <w:rPr>
          <w:i/>
          <w:iCs/>
        </w:rPr>
        <w:t>Gleam</w:t>
      </w:r>
      <w:r w:rsidR="00EE4FC3">
        <w:t xml:space="preserve"> </w:t>
      </w:r>
      <w:r w:rsidRPr="00382917">
        <w:t>has</w:t>
      </w:r>
      <w:r w:rsidR="00EE4FC3">
        <w:t xml:space="preserve"> </w:t>
      </w:r>
      <w:r w:rsidRPr="00382917">
        <w:t>written:</w:t>
      </w:r>
      <w:r w:rsidR="00423962">
        <w:t xml:space="preserve">  </w:t>
      </w:r>
      <w:r w:rsidR="009C713D" w:rsidRPr="00382917">
        <w:t>“</w:t>
      </w:r>
      <w:r w:rsidRPr="00382917">
        <w:t>The</w:t>
      </w:r>
      <w:r w:rsidR="00EE4FC3">
        <w:t xml:space="preserve"> </w:t>
      </w:r>
      <w:r w:rsidRPr="00382917">
        <w:t>story</w:t>
      </w:r>
      <w:r w:rsidR="00EE4FC3">
        <w:t xml:space="preserve"> </w:t>
      </w:r>
      <w:r w:rsidRPr="00382917">
        <w:t>of</w:t>
      </w:r>
      <w:r w:rsidR="00EE4FC3">
        <w:t xml:space="preserve"> </w:t>
      </w:r>
      <w:r w:rsidRPr="00382917">
        <w:t>the</w:t>
      </w:r>
      <w:r w:rsidR="00EE4FC3">
        <w:t xml:space="preserve"> </w:t>
      </w:r>
      <w:r w:rsidRPr="00382917">
        <w:t>Báb</w:t>
      </w:r>
      <w:r w:rsidR="00EE4FC3">
        <w:t xml:space="preserve"> </w:t>
      </w:r>
      <w:r w:rsidR="00F04416" w:rsidRPr="00382917">
        <w:t>…</w:t>
      </w:r>
      <w:r w:rsidR="00EE4FC3">
        <w:t xml:space="preserve"> </w:t>
      </w:r>
      <w:r w:rsidRPr="00382917">
        <w:t>was</w:t>
      </w:r>
      <w:r w:rsidR="00EE4FC3">
        <w:t xml:space="preserve"> </w:t>
      </w:r>
      <w:r w:rsidRPr="00382917">
        <w:t>the</w:t>
      </w:r>
      <w:r w:rsidR="00EE4FC3">
        <w:t xml:space="preserve"> </w:t>
      </w:r>
      <w:r w:rsidRPr="00382917">
        <w:t>story</w:t>
      </w:r>
      <w:r w:rsidR="00EE4FC3">
        <w:t xml:space="preserve"> </w:t>
      </w:r>
      <w:r w:rsidRPr="00382917">
        <w:t>of</w:t>
      </w:r>
      <w:r w:rsidR="00EE4FC3">
        <w:t xml:space="preserve"> </w:t>
      </w:r>
      <w:r w:rsidRPr="00382917">
        <w:t>spiritual</w:t>
      </w:r>
      <w:r w:rsidR="00EE4FC3">
        <w:t xml:space="preserve"> </w:t>
      </w:r>
      <w:r w:rsidRPr="00382917">
        <w:t>heroism</w:t>
      </w:r>
    </w:p>
    <w:p w:rsidR="00775809" w:rsidRPr="00382917" w:rsidRDefault="00775809">
      <w:pPr>
        <w:widowControl/>
        <w:kinsoku/>
        <w:overflowPunct/>
        <w:textAlignment w:val="auto"/>
      </w:pPr>
      <w:r w:rsidRPr="00382917">
        <w:br w:type="page"/>
      </w:r>
    </w:p>
    <w:p w:rsidR="001B6670" w:rsidRDefault="001B6670" w:rsidP="00423962">
      <w:pPr>
        <w:pStyle w:val="Textcts"/>
      </w:pPr>
      <w:r w:rsidRPr="00382917">
        <w:t>unsurpassed</w:t>
      </w:r>
      <w:proofErr w:type="gramStart"/>
      <w:r w:rsidR="00423962">
        <w:t>.</w:t>
      </w:r>
      <w:r w:rsidR="00EE4FC3">
        <w:t xml:space="preserve"> </w:t>
      </w:r>
      <w:r w:rsidR="00F04416" w:rsidRPr="00382917">
        <w:t>…</w:t>
      </w:r>
      <w:r w:rsidR="00EE4FC3">
        <w:t xml:space="preserve"> </w:t>
      </w:r>
      <w:proofErr w:type="gramEnd"/>
      <w:r w:rsidRPr="00382917">
        <w:t>The</w:t>
      </w:r>
      <w:r w:rsidR="00EE4FC3">
        <w:t xml:space="preserve"> </w:t>
      </w:r>
      <w:r w:rsidRPr="00382917">
        <w:t>Báb</w:t>
      </w:r>
      <w:r w:rsidR="009C713D" w:rsidRPr="00382917">
        <w:t>’</w:t>
      </w:r>
      <w:r w:rsidRPr="00382917">
        <w:t>s</w:t>
      </w:r>
      <w:r w:rsidR="00EE4FC3">
        <w:t xml:space="preserve"> </w:t>
      </w:r>
      <w:r w:rsidRPr="00382917">
        <w:t>passionate</w:t>
      </w:r>
      <w:r w:rsidR="00EE4FC3">
        <w:t xml:space="preserve"> </w:t>
      </w:r>
      <w:r w:rsidRPr="00382917">
        <w:t>sincerity</w:t>
      </w:r>
      <w:r w:rsidR="00EE4FC3">
        <w:t xml:space="preserve"> </w:t>
      </w:r>
      <w:r w:rsidRPr="00382917">
        <w:t>could</w:t>
      </w:r>
      <w:r w:rsidR="00EE4FC3">
        <w:t xml:space="preserve"> </w:t>
      </w:r>
      <w:r w:rsidRPr="00382917">
        <w:t>not</w:t>
      </w:r>
      <w:r w:rsidR="00EE4FC3">
        <w:t xml:space="preserve"> </w:t>
      </w:r>
      <w:r w:rsidRPr="00382917">
        <w:t>be</w:t>
      </w:r>
      <w:r w:rsidR="00EE4FC3">
        <w:t xml:space="preserve"> </w:t>
      </w:r>
      <w:r w:rsidRPr="00382917">
        <w:t>doubted,</w:t>
      </w:r>
      <w:r w:rsidR="00EE4FC3">
        <w:t xml:space="preserve"> </w:t>
      </w:r>
      <w:r w:rsidRPr="00382917">
        <w:t>for</w:t>
      </w:r>
      <w:r w:rsidR="00EE4FC3">
        <w:t xml:space="preserve"> </w:t>
      </w:r>
      <w:r w:rsidRPr="00382917">
        <w:t>he</w:t>
      </w:r>
      <w:r w:rsidR="00EE4FC3">
        <w:t xml:space="preserve"> </w:t>
      </w:r>
      <w:r w:rsidRPr="00382917">
        <w:t>had</w:t>
      </w:r>
      <w:r w:rsidR="00EE4FC3">
        <w:t xml:space="preserve"> </w:t>
      </w:r>
      <w:r w:rsidRPr="00382917">
        <w:t>given</w:t>
      </w:r>
      <w:r w:rsidR="00EE4FC3">
        <w:t xml:space="preserve"> </w:t>
      </w:r>
      <w:r w:rsidRPr="00382917">
        <w:t>his</w:t>
      </w:r>
      <w:r w:rsidR="00EE4FC3">
        <w:t xml:space="preserve"> </w:t>
      </w:r>
      <w:r w:rsidRPr="00382917">
        <w:t>life</w:t>
      </w:r>
      <w:r w:rsidR="00EE4FC3">
        <w:t xml:space="preserve"> </w:t>
      </w:r>
      <w:r w:rsidRPr="00382917">
        <w:t>for</w:t>
      </w:r>
      <w:r w:rsidR="00EE4FC3">
        <w:t xml:space="preserve"> </w:t>
      </w:r>
      <w:r w:rsidRPr="00382917">
        <w:t>his</w:t>
      </w:r>
      <w:r w:rsidR="00EE4FC3">
        <w:t xml:space="preserve"> </w:t>
      </w:r>
      <w:r w:rsidRPr="00382917">
        <w:t>faith</w:t>
      </w:r>
      <w:r w:rsidR="00330AF7">
        <w:t>.</w:t>
      </w:r>
      <w:r w:rsidR="00EE4FC3">
        <w:t xml:space="preserve">  </w:t>
      </w:r>
      <w:r w:rsidRPr="00382917">
        <w:t>And</w:t>
      </w:r>
      <w:r w:rsidR="00EE4FC3">
        <w:t xml:space="preserve"> </w:t>
      </w:r>
      <w:r w:rsidRPr="00382917">
        <w:t>that</w:t>
      </w:r>
      <w:r w:rsidR="00EE4FC3">
        <w:t xml:space="preserve"> </w:t>
      </w:r>
      <w:r w:rsidRPr="00382917">
        <w:t>there</w:t>
      </w:r>
      <w:r w:rsidR="00EE4FC3">
        <w:t xml:space="preserve"> </w:t>
      </w:r>
      <w:r w:rsidRPr="00382917">
        <w:t>must</w:t>
      </w:r>
      <w:r w:rsidR="00EE4FC3">
        <w:t xml:space="preserve"> </w:t>
      </w:r>
      <w:r w:rsidRPr="00382917">
        <w:t>be</w:t>
      </w:r>
      <w:r w:rsidR="00EE4FC3">
        <w:t xml:space="preserve"> </w:t>
      </w:r>
      <w:r w:rsidRPr="00382917">
        <w:t>something</w:t>
      </w:r>
      <w:r w:rsidR="00EE4FC3">
        <w:t xml:space="preserve"> </w:t>
      </w:r>
      <w:r w:rsidRPr="00382917">
        <w:t>in</w:t>
      </w:r>
      <w:r w:rsidR="00EE4FC3">
        <w:t xml:space="preserve"> </w:t>
      </w:r>
      <w:r w:rsidRPr="00382917">
        <w:t>his</w:t>
      </w:r>
      <w:r w:rsidR="00EE4FC3">
        <w:t xml:space="preserve"> </w:t>
      </w:r>
      <w:r w:rsidRPr="00382917">
        <w:t>message</w:t>
      </w:r>
      <w:r w:rsidR="00EE4FC3">
        <w:t xml:space="preserve"> </w:t>
      </w:r>
      <w:r w:rsidRPr="00382917">
        <w:t>that</w:t>
      </w:r>
      <w:r w:rsidR="00EE4FC3">
        <w:t xml:space="preserve"> </w:t>
      </w:r>
      <w:r w:rsidRPr="00382917">
        <w:t>appealed</w:t>
      </w:r>
      <w:r w:rsidR="00EE4FC3">
        <w:t xml:space="preserve"> </w:t>
      </w:r>
      <w:r w:rsidRPr="00382917">
        <w:t>to</w:t>
      </w:r>
      <w:r w:rsidR="00EE4FC3">
        <w:t xml:space="preserve"> </w:t>
      </w:r>
      <w:r w:rsidRPr="00382917">
        <w:t>men</w:t>
      </w:r>
      <w:r w:rsidR="00EE4FC3">
        <w:t xml:space="preserve"> </w:t>
      </w:r>
      <w:r w:rsidRPr="00382917">
        <w:t>and</w:t>
      </w:r>
      <w:r w:rsidR="00EE4FC3">
        <w:t xml:space="preserve"> </w:t>
      </w:r>
      <w:r w:rsidRPr="00382917">
        <w:t>satisfied</w:t>
      </w:r>
      <w:r w:rsidR="00EE4FC3">
        <w:t xml:space="preserve"> </w:t>
      </w:r>
      <w:r w:rsidRPr="00382917">
        <w:t>their</w:t>
      </w:r>
      <w:r w:rsidR="00EE4FC3">
        <w:t xml:space="preserve"> </w:t>
      </w:r>
      <w:r w:rsidRPr="00382917">
        <w:t>souls</w:t>
      </w:r>
      <w:r w:rsidR="00EE4FC3">
        <w:t xml:space="preserve"> </w:t>
      </w:r>
      <w:r w:rsidRPr="00382917">
        <w:t>was</w:t>
      </w:r>
      <w:r w:rsidR="00EE4FC3">
        <w:t xml:space="preserve"> </w:t>
      </w:r>
      <w:r w:rsidRPr="00382917">
        <w:t>witnessed</w:t>
      </w:r>
      <w:r w:rsidR="00EE4FC3">
        <w:t xml:space="preserve"> </w:t>
      </w:r>
      <w:r w:rsidRPr="00382917">
        <w:t>to</w:t>
      </w:r>
      <w:r w:rsidR="00EE4FC3">
        <w:t xml:space="preserve"> </w:t>
      </w:r>
      <w:r w:rsidRPr="00382917">
        <w:t>by</w:t>
      </w:r>
      <w:r w:rsidR="00EE4FC3">
        <w:t xml:space="preserve"> </w:t>
      </w:r>
      <w:r w:rsidRPr="00382917">
        <w:t>the</w:t>
      </w:r>
      <w:r w:rsidR="00EE4FC3">
        <w:t xml:space="preserve"> </w:t>
      </w:r>
      <w:r w:rsidRPr="00382917">
        <w:t>fact</w:t>
      </w:r>
      <w:r w:rsidR="00EE4FC3">
        <w:t xml:space="preserve"> </w:t>
      </w:r>
      <w:r w:rsidRPr="00382917">
        <w:t>that</w:t>
      </w:r>
      <w:r w:rsidR="00EE4FC3">
        <w:t xml:space="preserve"> </w:t>
      </w:r>
      <w:r w:rsidRPr="00382917">
        <w:t>thousands</w:t>
      </w:r>
      <w:r w:rsidR="00EE4FC3">
        <w:t xml:space="preserve"> </w:t>
      </w:r>
      <w:r w:rsidRPr="00382917">
        <w:t>gave</w:t>
      </w:r>
      <w:r w:rsidR="00EE4FC3">
        <w:t xml:space="preserve"> </w:t>
      </w:r>
      <w:r w:rsidRPr="00382917">
        <w:t>their</w:t>
      </w:r>
      <w:r w:rsidR="00EE4FC3">
        <w:t xml:space="preserve"> </w:t>
      </w:r>
      <w:r w:rsidRPr="00382917">
        <w:t>lives</w:t>
      </w:r>
      <w:r w:rsidR="00EE4FC3">
        <w:t xml:space="preserve"> </w:t>
      </w:r>
      <w:r w:rsidRPr="00382917">
        <w:t>in</w:t>
      </w:r>
      <w:r w:rsidR="00EE4FC3">
        <w:t xml:space="preserve"> </w:t>
      </w:r>
      <w:r w:rsidRPr="00382917">
        <w:t>his</w:t>
      </w:r>
      <w:r w:rsidR="00EE4FC3">
        <w:t xml:space="preserve"> </w:t>
      </w:r>
      <w:r w:rsidRPr="00382917">
        <w:t>cause</w:t>
      </w:r>
      <w:r w:rsidR="00EE4FC3">
        <w:t xml:space="preserve"> </w:t>
      </w:r>
      <w:r w:rsidRPr="00382917">
        <w:t>and</w:t>
      </w:r>
      <w:r w:rsidR="00EE4FC3">
        <w:t xml:space="preserve"> </w:t>
      </w:r>
      <w:r w:rsidRPr="00382917">
        <w:t>millions</w:t>
      </w:r>
      <w:r w:rsidR="00EE4FC3">
        <w:t xml:space="preserve"> </w:t>
      </w:r>
      <w:r w:rsidRPr="00382917">
        <w:t>now</w:t>
      </w:r>
      <w:r w:rsidR="00EE4FC3">
        <w:t xml:space="preserve"> </w:t>
      </w:r>
      <w:r w:rsidRPr="00382917">
        <w:t>follow</w:t>
      </w:r>
      <w:r w:rsidR="00EE4FC3">
        <w:t xml:space="preserve"> </w:t>
      </w:r>
      <w:r w:rsidRPr="00382917">
        <w:t>him</w:t>
      </w:r>
      <w:r w:rsidR="00EE4FC3">
        <w:t xml:space="preserve"> </w:t>
      </w:r>
      <w:r w:rsidR="00F04416" w:rsidRPr="00382917">
        <w:t>…</w:t>
      </w:r>
      <w:r w:rsidR="00EE4FC3">
        <w:t xml:space="preserve"> </w:t>
      </w:r>
      <w:r w:rsidRPr="00382917">
        <w:t>his</w:t>
      </w:r>
      <w:r w:rsidR="00EE4FC3">
        <w:t xml:space="preserve"> </w:t>
      </w:r>
      <w:r w:rsidRPr="00382917">
        <w:t>life</w:t>
      </w:r>
      <w:r w:rsidR="00EE4FC3">
        <w:t xml:space="preserve"> </w:t>
      </w:r>
      <w:r w:rsidRPr="00382917">
        <w:t>must</w:t>
      </w:r>
      <w:r w:rsidR="00EE4FC3">
        <w:t xml:space="preserve"> </w:t>
      </w:r>
      <w:r w:rsidRPr="00382917">
        <w:t>be</w:t>
      </w:r>
      <w:r w:rsidR="00EE4FC3">
        <w:t xml:space="preserve"> </w:t>
      </w:r>
      <w:r w:rsidRPr="00382917">
        <w:t>one</w:t>
      </w:r>
      <w:r w:rsidR="00EE4FC3">
        <w:t xml:space="preserve"> </w:t>
      </w:r>
      <w:r w:rsidRPr="00382917">
        <w:t>of</w:t>
      </w:r>
      <w:r w:rsidR="00EE4FC3">
        <w:t xml:space="preserve"> </w:t>
      </w:r>
      <w:r w:rsidRPr="00382917">
        <w:t>those</w:t>
      </w:r>
      <w:r w:rsidR="00EE4FC3">
        <w:t xml:space="preserve"> </w:t>
      </w:r>
      <w:r w:rsidRPr="00382917">
        <w:t>events</w:t>
      </w:r>
      <w:r w:rsidR="00EE4FC3">
        <w:t xml:space="preserve"> </w:t>
      </w:r>
      <w:r w:rsidRPr="00382917">
        <w:t>in</w:t>
      </w:r>
      <w:r w:rsidR="00EE4FC3">
        <w:t xml:space="preserve"> </w:t>
      </w:r>
      <w:r w:rsidRPr="00382917">
        <w:t>the</w:t>
      </w:r>
      <w:r w:rsidR="00EE4FC3">
        <w:t xml:space="preserve"> </w:t>
      </w:r>
      <w:r w:rsidRPr="00382917">
        <w:t>last</w:t>
      </w:r>
      <w:r w:rsidR="00EE4FC3">
        <w:t xml:space="preserve"> </w:t>
      </w:r>
      <w:r w:rsidRPr="00382917">
        <w:t>hundred</w:t>
      </w:r>
      <w:r w:rsidR="00EE4FC3">
        <w:t xml:space="preserve"> </w:t>
      </w:r>
      <w:r w:rsidRPr="00382917">
        <w:t>years</w:t>
      </w:r>
      <w:r w:rsidR="00EE4FC3">
        <w:t xml:space="preserve"> </w:t>
      </w:r>
      <w:r w:rsidRPr="00382917">
        <w:t>which</w:t>
      </w:r>
      <w:r w:rsidR="00EE4FC3">
        <w:t xml:space="preserve"> </w:t>
      </w:r>
      <w:r w:rsidRPr="00382917">
        <w:t>is</w:t>
      </w:r>
      <w:r w:rsidR="00EE4FC3">
        <w:t xml:space="preserve"> </w:t>
      </w:r>
      <w:r w:rsidRPr="00382917">
        <w:t>really</w:t>
      </w:r>
      <w:r w:rsidR="00EE4FC3">
        <w:t xml:space="preserve"> </w:t>
      </w:r>
      <w:r w:rsidRPr="00382917">
        <w:t>worth</w:t>
      </w:r>
      <w:r w:rsidR="00EE4FC3">
        <w:t xml:space="preserve"> </w:t>
      </w:r>
      <w:r w:rsidRPr="00382917">
        <w:t>study.</w:t>
      </w:r>
      <w:r w:rsidR="009C713D" w:rsidRPr="00382917">
        <w:t>”</w:t>
      </w:r>
      <w:r w:rsidR="00423962">
        <w:rPr>
          <w:rStyle w:val="FootnoteReference"/>
        </w:rPr>
        <w:footnoteReference w:id="278"/>
      </w:r>
    </w:p>
    <w:p w:rsidR="00E13D49" w:rsidRPr="00382917" w:rsidRDefault="001B6670" w:rsidP="001C2615">
      <w:pPr>
        <w:pStyle w:val="Text"/>
      </w:pPr>
      <w:r w:rsidRPr="00382917">
        <w:t>The</w:t>
      </w:r>
      <w:r w:rsidR="00EE4FC3">
        <w:t xml:space="preserve"> </w:t>
      </w:r>
      <w:r w:rsidRPr="00382917">
        <w:t>French</w:t>
      </w:r>
      <w:r w:rsidR="00EE4FC3">
        <w:t xml:space="preserve"> </w:t>
      </w:r>
      <w:r w:rsidRPr="00382917">
        <w:t>historian,</w:t>
      </w:r>
      <w:r w:rsidR="00EE4FC3">
        <w:t xml:space="preserve"> </w:t>
      </w:r>
      <w:r w:rsidRPr="00382917">
        <w:t>A</w:t>
      </w:r>
      <w:r w:rsidR="00330AF7">
        <w:t>.</w:t>
      </w:r>
      <w:r w:rsidR="00EE4FC3">
        <w:t xml:space="preserve"> </w:t>
      </w:r>
      <w:r w:rsidRPr="00382917">
        <w:t>L.</w:t>
      </w:r>
      <w:r w:rsidR="00EE4FC3">
        <w:t xml:space="preserve"> </w:t>
      </w:r>
      <w:r w:rsidRPr="00382917">
        <w:t>M.</w:t>
      </w:r>
      <w:r w:rsidR="00EE4FC3">
        <w:t xml:space="preserve"> </w:t>
      </w:r>
      <w:r w:rsidRPr="00382917">
        <w:t>Nicolas,</w:t>
      </w:r>
      <w:r w:rsidR="00EE4FC3">
        <w:t xml:space="preserve"> </w:t>
      </w:r>
      <w:r w:rsidRPr="00382917">
        <w:t>wrote</w:t>
      </w:r>
      <w:r w:rsidR="00C03C91">
        <w:t>:</w:t>
      </w:r>
      <w:r w:rsidR="00EE4FC3">
        <w:t xml:space="preserve">  </w:t>
      </w:r>
      <w:r w:rsidR="009C713D" w:rsidRPr="00382917">
        <w:t>“</w:t>
      </w:r>
      <w:r w:rsidRPr="00382917">
        <w:t>His</w:t>
      </w:r>
      <w:r w:rsidR="00EE4FC3">
        <w:t xml:space="preserve"> </w:t>
      </w:r>
      <w:r w:rsidRPr="00382917">
        <w:t>life</w:t>
      </w:r>
      <w:r w:rsidR="00EE4FC3">
        <w:t xml:space="preserve"> </w:t>
      </w:r>
      <w:r w:rsidRPr="00382917">
        <w:t>is</w:t>
      </w:r>
      <w:r w:rsidR="00EE4FC3">
        <w:t xml:space="preserve"> </w:t>
      </w:r>
      <w:r w:rsidRPr="00382917">
        <w:t>one</w:t>
      </w:r>
      <w:r w:rsidR="00EE4FC3">
        <w:t xml:space="preserve"> </w:t>
      </w:r>
      <w:r w:rsidRPr="00382917">
        <w:t>of</w:t>
      </w:r>
      <w:r w:rsidR="00EE4FC3">
        <w:t xml:space="preserve"> </w:t>
      </w:r>
      <w:r w:rsidRPr="00382917">
        <w:t>the</w:t>
      </w:r>
      <w:r w:rsidR="00EE4FC3">
        <w:t xml:space="preserve"> </w:t>
      </w:r>
      <w:r w:rsidRPr="00382917">
        <w:t>most</w:t>
      </w:r>
      <w:r w:rsidR="00EE4FC3">
        <w:t xml:space="preserve"> </w:t>
      </w:r>
      <w:r w:rsidRPr="00382917">
        <w:t>magnificent</w:t>
      </w:r>
      <w:r w:rsidR="00EE4FC3">
        <w:t xml:space="preserve"> </w:t>
      </w:r>
      <w:r w:rsidRPr="00382917">
        <w:t>examples</w:t>
      </w:r>
      <w:r w:rsidR="00EE4FC3">
        <w:t xml:space="preserve"> </w:t>
      </w:r>
      <w:r w:rsidRPr="00382917">
        <w:t>of</w:t>
      </w:r>
      <w:r w:rsidR="00EE4FC3">
        <w:t xml:space="preserve"> </w:t>
      </w:r>
      <w:r w:rsidRPr="00382917">
        <w:t>courage</w:t>
      </w:r>
      <w:r w:rsidR="00EE4FC3">
        <w:t xml:space="preserve"> </w:t>
      </w:r>
      <w:r w:rsidRPr="00382917">
        <w:t>which</w:t>
      </w:r>
      <w:r w:rsidR="00EE4FC3">
        <w:t xml:space="preserve"> </w:t>
      </w:r>
      <w:r w:rsidRPr="00382917">
        <w:t>it</w:t>
      </w:r>
      <w:r w:rsidR="00EE4FC3">
        <w:t xml:space="preserve"> </w:t>
      </w:r>
      <w:r w:rsidRPr="00382917">
        <w:t>has</w:t>
      </w:r>
      <w:r w:rsidR="00EE4FC3">
        <w:t xml:space="preserve"> </w:t>
      </w:r>
      <w:r w:rsidRPr="00382917">
        <w:t>been</w:t>
      </w:r>
      <w:r w:rsidR="00EE4FC3">
        <w:t xml:space="preserve"> </w:t>
      </w:r>
      <w:r w:rsidRPr="00382917">
        <w:t>the</w:t>
      </w:r>
      <w:r w:rsidR="00EE4FC3">
        <w:t xml:space="preserve"> </w:t>
      </w:r>
      <w:r w:rsidRPr="00382917">
        <w:t>privilege</w:t>
      </w:r>
      <w:r w:rsidR="00EE4FC3">
        <w:t xml:space="preserve"> </w:t>
      </w:r>
      <w:r w:rsidRPr="00382917">
        <w:t>of</w:t>
      </w:r>
      <w:r w:rsidR="00EE4FC3">
        <w:t xml:space="preserve"> </w:t>
      </w:r>
      <w:r w:rsidRPr="00382917">
        <w:t>mankind</w:t>
      </w:r>
      <w:r w:rsidR="00EE4FC3">
        <w:t xml:space="preserve"> </w:t>
      </w:r>
      <w:r w:rsidRPr="00382917">
        <w:t>to</w:t>
      </w:r>
      <w:r w:rsidR="00EE4FC3">
        <w:t xml:space="preserve"> </w:t>
      </w:r>
      <w:r w:rsidRPr="00382917">
        <w:t>behold</w:t>
      </w:r>
      <w:r w:rsidR="00EE4FC3">
        <w:t xml:space="preserve"> </w:t>
      </w:r>
      <w:r w:rsidR="00F04416" w:rsidRPr="00382917">
        <w:t>…</w:t>
      </w:r>
      <w:r w:rsidR="00EE4FC3">
        <w:t xml:space="preserve"> </w:t>
      </w:r>
      <w:r w:rsidRPr="00382917">
        <w:t>He</w:t>
      </w:r>
      <w:r w:rsidR="00EE4FC3">
        <w:t xml:space="preserve"> </w:t>
      </w:r>
      <w:r w:rsidRPr="00382917">
        <w:t>sacrificed</w:t>
      </w:r>
      <w:r w:rsidR="00EE4FC3">
        <w:t xml:space="preserve"> </w:t>
      </w:r>
      <w:r w:rsidRPr="00382917">
        <w:t>himself</w:t>
      </w:r>
      <w:r w:rsidR="00EE4FC3">
        <w:t xml:space="preserve"> </w:t>
      </w:r>
      <w:r w:rsidRPr="00382917">
        <w:t>for</w:t>
      </w:r>
      <w:r w:rsidR="00EE4FC3">
        <w:t xml:space="preserve"> </w:t>
      </w:r>
      <w:r w:rsidRPr="00382917">
        <w:t>humanity,</w:t>
      </w:r>
      <w:r w:rsidR="00EE4FC3">
        <w:t xml:space="preserve"> </w:t>
      </w:r>
      <w:r w:rsidRPr="00382917">
        <w:t>for</w:t>
      </w:r>
      <w:r w:rsidR="00EE4FC3">
        <w:t xml:space="preserve"> </w:t>
      </w:r>
      <w:r w:rsidRPr="00382917">
        <w:t>it</w:t>
      </w:r>
      <w:r w:rsidR="00EE4FC3">
        <w:t xml:space="preserve"> </w:t>
      </w:r>
      <w:r w:rsidRPr="00382917">
        <w:t>he</w:t>
      </w:r>
      <w:r w:rsidR="00EE4FC3">
        <w:t xml:space="preserve"> </w:t>
      </w:r>
      <w:r w:rsidRPr="00382917">
        <w:t>gave</w:t>
      </w:r>
      <w:r w:rsidR="00EE4FC3">
        <w:t xml:space="preserve"> </w:t>
      </w:r>
      <w:r w:rsidRPr="00382917">
        <w:t>his</w:t>
      </w:r>
      <w:r w:rsidR="00EE4FC3">
        <w:t xml:space="preserve"> </w:t>
      </w:r>
      <w:r w:rsidRPr="00382917">
        <w:t>body</w:t>
      </w:r>
      <w:r w:rsidR="00EE4FC3">
        <w:t xml:space="preserve"> </w:t>
      </w:r>
      <w:r w:rsidRPr="00382917">
        <w:t>and</w:t>
      </w:r>
      <w:r w:rsidR="00EE4FC3">
        <w:t xml:space="preserve"> </w:t>
      </w:r>
      <w:r w:rsidRPr="00382917">
        <w:t>his</w:t>
      </w:r>
      <w:r w:rsidR="00EE4FC3">
        <w:t xml:space="preserve"> </w:t>
      </w:r>
      <w:r w:rsidRPr="00382917">
        <w:t>soul,</w:t>
      </w:r>
      <w:r w:rsidR="00EE4FC3">
        <w:t xml:space="preserve"> </w:t>
      </w:r>
      <w:r w:rsidRPr="00382917">
        <w:t>for</w:t>
      </w:r>
      <w:r w:rsidR="00EE4FC3">
        <w:t xml:space="preserve"> </w:t>
      </w:r>
      <w:r w:rsidRPr="00382917">
        <w:t>it</w:t>
      </w:r>
      <w:r w:rsidR="00EE4FC3">
        <w:t xml:space="preserve"> </w:t>
      </w:r>
      <w:r w:rsidRPr="00382917">
        <w:t>he</w:t>
      </w:r>
      <w:r w:rsidR="00EE4FC3">
        <w:t xml:space="preserve"> </w:t>
      </w:r>
      <w:r w:rsidRPr="00382917">
        <w:t>endured</w:t>
      </w:r>
      <w:r w:rsidR="00EE4FC3">
        <w:t xml:space="preserve"> </w:t>
      </w:r>
      <w:r w:rsidRPr="00382917">
        <w:t>privations,</w:t>
      </w:r>
      <w:r w:rsidR="00EE4FC3">
        <w:t xml:space="preserve"> </w:t>
      </w:r>
      <w:r w:rsidRPr="00382917">
        <w:t>insults,</w:t>
      </w:r>
      <w:r w:rsidR="00EE4FC3">
        <w:t xml:space="preserve"> </w:t>
      </w:r>
      <w:r w:rsidRPr="00382917">
        <w:t>torture</w:t>
      </w:r>
      <w:r w:rsidR="00EE4FC3">
        <w:t xml:space="preserve"> </w:t>
      </w:r>
      <w:r w:rsidRPr="00382917">
        <w:t>and</w:t>
      </w:r>
      <w:r w:rsidR="00EE4FC3">
        <w:t xml:space="preserve"> </w:t>
      </w:r>
      <w:r w:rsidRPr="00382917">
        <w:t>martyrdom</w:t>
      </w:r>
      <w:r w:rsidR="00330AF7">
        <w:t>.</w:t>
      </w:r>
      <w:r w:rsidR="00EE4FC3">
        <w:t xml:space="preserve">  </w:t>
      </w:r>
      <w:r w:rsidRPr="00382917">
        <w:t>He</w:t>
      </w:r>
      <w:r w:rsidR="00EE4FC3">
        <w:t xml:space="preserve"> </w:t>
      </w:r>
      <w:r w:rsidRPr="00382917">
        <w:t>sealed,</w:t>
      </w:r>
      <w:r w:rsidR="00EE4FC3">
        <w:t xml:space="preserve"> </w:t>
      </w:r>
      <w:r w:rsidRPr="00382917">
        <w:t>with</w:t>
      </w:r>
      <w:r w:rsidR="00EE4FC3">
        <w:t xml:space="preserve"> </w:t>
      </w:r>
      <w:r w:rsidRPr="00382917">
        <w:t>his</w:t>
      </w:r>
      <w:r w:rsidR="00EE4FC3">
        <w:t xml:space="preserve"> </w:t>
      </w:r>
      <w:r w:rsidRPr="00382917">
        <w:t>very</w:t>
      </w:r>
      <w:r w:rsidR="00EE4FC3">
        <w:t xml:space="preserve"> </w:t>
      </w:r>
      <w:r w:rsidRPr="00382917">
        <w:t>lifeblood,</w:t>
      </w:r>
      <w:r w:rsidR="00EE4FC3">
        <w:t xml:space="preserve"> </w:t>
      </w:r>
      <w:r w:rsidRPr="00382917">
        <w:t>the</w:t>
      </w:r>
      <w:r w:rsidR="00EE4FC3">
        <w:t xml:space="preserve"> </w:t>
      </w:r>
      <w:r w:rsidRPr="00382917">
        <w:t>covenant</w:t>
      </w:r>
      <w:r w:rsidR="00EE4FC3">
        <w:t xml:space="preserve"> </w:t>
      </w:r>
      <w:r w:rsidRPr="00382917">
        <w:t>of</w:t>
      </w:r>
      <w:r w:rsidR="00EE4FC3">
        <w:t xml:space="preserve"> </w:t>
      </w:r>
      <w:r w:rsidRPr="00382917">
        <w:t>universal</w:t>
      </w:r>
      <w:r w:rsidR="00EE4FC3">
        <w:t xml:space="preserve"> </w:t>
      </w:r>
      <w:r w:rsidRPr="00382917">
        <w:t>brotherhood</w:t>
      </w:r>
      <w:r w:rsidR="00330AF7">
        <w:t>.</w:t>
      </w:r>
      <w:r w:rsidR="00EE4FC3">
        <w:t xml:space="preserve">  </w:t>
      </w:r>
      <w:r w:rsidRPr="00382917">
        <w:t>Like</w:t>
      </w:r>
      <w:r w:rsidR="00EE4FC3">
        <w:t xml:space="preserve"> </w:t>
      </w:r>
      <w:r w:rsidRPr="00382917">
        <w:t>Jesus,</w:t>
      </w:r>
      <w:r w:rsidR="00EE4FC3">
        <w:t xml:space="preserve"> </w:t>
      </w:r>
      <w:r w:rsidRPr="00382917">
        <w:t>he</w:t>
      </w:r>
      <w:r w:rsidR="00EE4FC3">
        <w:t xml:space="preserve"> </w:t>
      </w:r>
      <w:r w:rsidRPr="00382917">
        <w:t>paid</w:t>
      </w:r>
      <w:r w:rsidR="00EE4FC3">
        <w:t xml:space="preserve"> </w:t>
      </w:r>
      <w:r w:rsidRPr="00382917">
        <w:t>with</w:t>
      </w:r>
      <w:r w:rsidR="00EE4FC3">
        <w:t xml:space="preserve"> </w:t>
      </w:r>
      <w:r w:rsidRPr="00382917">
        <w:t>his</w:t>
      </w:r>
      <w:r w:rsidR="00EE4FC3">
        <w:t xml:space="preserve"> </w:t>
      </w:r>
      <w:r w:rsidRPr="00382917">
        <w:t>life</w:t>
      </w:r>
      <w:r w:rsidR="00EE4FC3">
        <w:t xml:space="preserve"> </w:t>
      </w:r>
      <w:r w:rsidRPr="00382917">
        <w:t>for</w:t>
      </w:r>
      <w:r w:rsidR="00EE4FC3">
        <w:t xml:space="preserve"> </w:t>
      </w:r>
      <w:r w:rsidRPr="00382917">
        <w:t>the</w:t>
      </w:r>
      <w:r w:rsidR="00EE4FC3">
        <w:t xml:space="preserve"> </w:t>
      </w:r>
      <w:r w:rsidRPr="00382917">
        <w:t>proclamation</w:t>
      </w:r>
      <w:r w:rsidR="00EE4FC3">
        <w:t xml:space="preserve"> </w:t>
      </w:r>
      <w:r w:rsidRPr="00382917">
        <w:t>of</w:t>
      </w:r>
      <w:r w:rsidR="00EE4FC3">
        <w:t xml:space="preserve"> </w:t>
      </w:r>
      <w:r w:rsidRPr="00382917">
        <w:t>a</w:t>
      </w:r>
      <w:r w:rsidR="00EE4FC3">
        <w:t xml:space="preserve"> </w:t>
      </w:r>
      <w:r w:rsidRPr="00382917">
        <w:t>reign</w:t>
      </w:r>
      <w:r w:rsidR="00EE4FC3">
        <w:t xml:space="preserve"> </w:t>
      </w:r>
      <w:r w:rsidRPr="00382917">
        <w:t>of</w:t>
      </w:r>
      <w:r w:rsidR="00EE4FC3">
        <w:t xml:space="preserve"> </w:t>
      </w:r>
      <w:r w:rsidRPr="00382917">
        <w:t>concord,</w:t>
      </w:r>
      <w:r w:rsidR="00EE4FC3">
        <w:t xml:space="preserve"> </w:t>
      </w:r>
      <w:r w:rsidRPr="00382917">
        <w:t>equity</w:t>
      </w:r>
      <w:r w:rsidR="00EE4FC3">
        <w:t xml:space="preserve"> </w:t>
      </w:r>
      <w:r w:rsidRPr="00382917">
        <w:t>and</w:t>
      </w:r>
      <w:r w:rsidR="00EE4FC3">
        <w:t xml:space="preserve"> </w:t>
      </w:r>
      <w:r w:rsidRPr="00382917">
        <w:t>brotherly</w:t>
      </w:r>
      <w:r w:rsidR="00EE4FC3">
        <w:t xml:space="preserve"> </w:t>
      </w:r>
      <w:r w:rsidRPr="00382917">
        <w:t>love</w:t>
      </w:r>
      <w:r w:rsidR="00330AF7">
        <w:t>.</w:t>
      </w:r>
      <w:r w:rsidR="00EE4FC3">
        <w:t xml:space="preserve">  </w:t>
      </w:r>
      <w:r w:rsidRPr="00382917">
        <w:t>More</w:t>
      </w:r>
      <w:r w:rsidR="00EE4FC3">
        <w:t xml:space="preserve"> </w:t>
      </w:r>
      <w:r w:rsidRPr="00382917">
        <w:t>than</w:t>
      </w:r>
      <w:r w:rsidR="00EE4FC3">
        <w:t xml:space="preserve"> </w:t>
      </w:r>
      <w:r w:rsidRPr="00382917">
        <w:t>anyone,</w:t>
      </w:r>
      <w:r w:rsidR="00EE4FC3">
        <w:t xml:space="preserve"> </w:t>
      </w:r>
      <w:r w:rsidRPr="00382917">
        <w:t>he</w:t>
      </w:r>
      <w:r w:rsidR="00EE4FC3">
        <w:t xml:space="preserve"> </w:t>
      </w:r>
      <w:r w:rsidRPr="00382917">
        <w:t>knew</w:t>
      </w:r>
      <w:r w:rsidR="00EE4FC3">
        <w:t xml:space="preserve"> </w:t>
      </w:r>
      <w:r w:rsidRPr="00382917">
        <w:t>what</w:t>
      </w:r>
      <w:r w:rsidR="00EE4FC3">
        <w:t xml:space="preserve"> </w:t>
      </w:r>
      <w:r w:rsidRPr="00382917">
        <w:t>dreadful</w:t>
      </w:r>
      <w:r w:rsidR="00EE4FC3">
        <w:t xml:space="preserve"> </w:t>
      </w:r>
      <w:r w:rsidRPr="00382917">
        <w:t>dangers</w:t>
      </w:r>
      <w:r w:rsidR="00EE4FC3">
        <w:t xml:space="preserve"> </w:t>
      </w:r>
      <w:r w:rsidRPr="00382917">
        <w:t>he</w:t>
      </w:r>
      <w:r w:rsidR="00EE4FC3">
        <w:t xml:space="preserve"> </w:t>
      </w:r>
      <w:r w:rsidRPr="00382917">
        <w:t>was</w:t>
      </w:r>
      <w:r w:rsidR="00EE4FC3">
        <w:t xml:space="preserve"> </w:t>
      </w:r>
      <w:r w:rsidRPr="00382917">
        <w:t>heaping</w:t>
      </w:r>
      <w:r w:rsidR="00EE4FC3">
        <w:t xml:space="preserve"> </w:t>
      </w:r>
      <w:r w:rsidRPr="00382917">
        <w:t>upon</w:t>
      </w:r>
      <w:r w:rsidR="00EE4FC3">
        <w:t xml:space="preserve"> </w:t>
      </w:r>
      <w:r w:rsidRPr="00382917">
        <w:t>himself</w:t>
      </w:r>
      <w:r w:rsidR="00EE4FC3">
        <w:t xml:space="preserve"> </w:t>
      </w:r>
      <w:r w:rsidR="00F04416" w:rsidRPr="00382917">
        <w:t>…</w:t>
      </w:r>
      <w:r w:rsidR="00EE4FC3">
        <w:t xml:space="preserve"> </w:t>
      </w:r>
      <w:r w:rsidRPr="00382917">
        <w:t>but</w:t>
      </w:r>
      <w:r w:rsidR="00EE4FC3">
        <w:t xml:space="preserve"> </w:t>
      </w:r>
      <w:r w:rsidRPr="00382917">
        <w:t>all</w:t>
      </w:r>
      <w:r w:rsidR="00EE4FC3">
        <w:t xml:space="preserve"> </w:t>
      </w:r>
      <w:r w:rsidRPr="00382917">
        <w:t>these</w:t>
      </w:r>
      <w:r w:rsidR="00EE4FC3">
        <w:t xml:space="preserve"> </w:t>
      </w:r>
      <w:r w:rsidRPr="00382917">
        <w:t>considerations</w:t>
      </w:r>
      <w:r w:rsidR="00EE4FC3">
        <w:t xml:space="preserve"> </w:t>
      </w:r>
      <w:r w:rsidRPr="00382917">
        <w:t>could</w:t>
      </w:r>
      <w:r w:rsidR="00EE4FC3">
        <w:t xml:space="preserve"> </w:t>
      </w:r>
      <w:r w:rsidRPr="00382917">
        <w:t>not</w:t>
      </w:r>
      <w:r w:rsidR="00EE4FC3">
        <w:t xml:space="preserve"> </w:t>
      </w:r>
      <w:r w:rsidRPr="00382917">
        <w:t>weaken</w:t>
      </w:r>
      <w:r w:rsidR="00EE4FC3">
        <w:t xml:space="preserve"> </w:t>
      </w:r>
      <w:r w:rsidRPr="00382917">
        <w:t>his</w:t>
      </w:r>
      <w:r w:rsidR="00EE4FC3">
        <w:t xml:space="preserve"> </w:t>
      </w:r>
      <w:r w:rsidRPr="00382917">
        <w:t>resolve</w:t>
      </w:r>
      <w:r w:rsidR="00330AF7">
        <w:t>.</w:t>
      </w:r>
      <w:r w:rsidR="00EE4FC3">
        <w:t xml:space="preserve">  </w:t>
      </w:r>
      <w:r w:rsidRPr="00382917">
        <w:t>Fear</w:t>
      </w:r>
      <w:r w:rsidR="00EE4FC3">
        <w:t xml:space="preserve"> </w:t>
      </w:r>
      <w:r w:rsidRPr="00382917">
        <w:t>had</w:t>
      </w:r>
      <w:r w:rsidR="00EE4FC3">
        <w:t xml:space="preserve"> </w:t>
      </w:r>
      <w:r w:rsidRPr="00382917">
        <w:t>no</w:t>
      </w:r>
      <w:r w:rsidR="00EE4FC3">
        <w:t xml:space="preserve"> </w:t>
      </w:r>
      <w:r w:rsidRPr="00382917">
        <w:t>hold</w:t>
      </w:r>
      <w:r w:rsidR="00EE4FC3">
        <w:t xml:space="preserve"> </w:t>
      </w:r>
      <w:r w:rsidRPr="00382917">
        <w:t>upon</w:t>
      </w:r>
      <w:r w:rsidR="00EE4FC3">
        <w:t xml:space="preserve"> </w:t>
      </w:r>
      <w:r w:rsidRPr="00382917">
        <w:t>his</w:t>
      </w:r>
      <w:r w:rsidR="00EE4FC3">
        <w:t xml:space="preserve"> </w:t>
      </w:r>
      <w:r w:rsidRPr="00382917">
        <w:t>soul</w:t>
      </w:r>
      <w:r w:rsidR="00EE4FC3">
        <w:t xml:space="preserve"> </w:t>
      </w:r>
      <w:r w:rsidRPr="00382917">
        <w:t>and,</w:t>
      </w:r>
      <w:r w:rsidR="00EE4FC3">
        <w:t xml:space="preserve"> </w:t>
      </w:r>
      <w:r w:rsidRPr="00382917">
        <w:t>perfectly</w:t>
      </w:r>
      <w:r w:rsidR="00EE4FC3">
        <w:t xml:space="preserve"> </w:t>
      </w:r>
      <w:r w:rsidRPr="00382917">
        <w:t>calm,</w:t>
      </w:r>
      <w:r w:rsidR="00EE4FC3">
        <w:t xml:space="preserve"> </w:t>
      </w:r>
      <w:r w:rsidRPr="00382917">
        <w:t>never</w:t>
      </w:r>
      <w:r w:rsidR="00EE4FC3">
        <w:t xml:space="preserve"> </w:t>
      </w:r>
      <w:r w:rsidRPr="00382917">
        <w:t>looking</w:t>
      </w:r>
      <w:r w:rsidR="00EE4FC3">
        <w:t xml:space="preserve"> </w:t>
      </w:r>
      <w:r w:rsidRPr="00382917">
        <w:t>back,</w:t>
      </w:r>
      <w:r w:rsidR="00EE4FC3">
        <w:t xml:space="preserve"> </w:t>
      </w:r>
      <w:r w:rsidRPr="00382917">
        <w:t>in</w:t>
      </w:r>
      <w:r w:rsidR="00EE4FC3">
        <w:t xml:space="preserve"> </w:t>
      </w:r>
      <w:r w:rsidRPr="00382917">
        <w:t>full</w:t>
      </w:r>
      <w:r w:rsidR="00EE4FC3">
        <w:t xml:space="preserve"> </w:t>
      </w:r>
      <w:r w:rsidRPr="00382917">
        <w:t>possession</w:t>
      </w:r>
      <w:r w:rsidR="00EE4FC3">
        <w:t xml:space="preserve"> </w:t>
      </w:r>
      <w:r w:rsidRPr="00382917">
        <w:t>of</w:t>
      </w:r>
      <w:r w:rsidR="00EE4FC3">
        <w:t xml:space="preserve"> </w:t>
      </w:r>
      <w:r w:rsidRPr="00382917">
        <w:t>all</w:t>
      </w:r>
      <w:r w:rsidR="00EE4FC3">
        <w:t xml:space="preserve"> </w:t>
      </w:r>
      <w:r w:rsidRPr="00382917">
        <w:t>his</w:t>
      </w:r>
      <w:r w:rsidR="00EE4FC3">
        <w:t xml:space="preserve"> </w:t>
      </w:r>
      <w:r w:rsidRPr="00382917">
        <w:t>powers,</w:t>
      </w:r>
      <w:r w:rsidR="00EE4FC3">
        <w:t xml:space="preserve"> </w:t>
      </w:r>
      <w:r w:rsidRPr="00382917">
        <w:t>he</w:t>
      </w:r>
      <w:r w:rsidR="00EE4FC3">
        <w:t xml:space="preserve"> </w:t>
      </w:r>
      <w:r w:rsidRPr="00382917">
        <w:t>walked</w:t>
      </w:r>
      <w:r w:rsidR="00EE4FC3">
        <w:t xml:space="preserve"> </w:t>
      </w:r>
      <w:r w:rsidRPr="00382917">
        <w:t>into</w:t>
      </w:r>
      <w:r w:rsidR="00EE4FC3">
        <w:t xml:space="preserve"> </w:t>
      </w:r>
      <w:r w:rsidRPr="00382917">
        <w:t>the</w:t>
      </w:r>
      <w:r w:rsidR="00EE4FC3">
        <w:t xml:space="preserve"> </w:t>
      </w:r>
      <w:r w:rsidRPr="00382917">
        <w:t>furnace.</w:t>
      </w:r>
      <w:r w:rsidR="009C713D" w:rsidRPr="00382917">
        <w:t>”</w:t>
      </w:r>
      <w:r w:rsidR="001C2615">
        <w:rPr>
          <w:rStyle w:val="FootnoteReference"/>
        </w:rPr>
        <w:footnoteReference w:id="279"/>
      </w:r>
    </w:p>
    <w:p w:rsidR="001B6670" w:rsidRPr="00382917" w:rsidRDefault="001B6670" w:rsidP="00775809">
      <w:pPr>
        <w:pStyle w:val="Text"/>
      </w:pPr>
      <w:r w:rsidRPr="00382917">
        <w:t>At</w:t>
      </w:r>
      <w:r w:rsidR="00EE4FC3">
        <w:t xml:space="preserve"> </w:t>
      </w:r>
      <w:r w:rsidRPr="00382917">
        <w:t>last</w:t>
      </w:r>
      <w:r w:rsidR="00EE4FC3">
        <w:t xml:space="preserve"> </w:t>
      </w:r>
      <w:r w:rsidRPr="00382917">
        <w:t>the</w:t>
      </w:r>
      <w:r w:rsidR="00EE4FC3">
        <w:t xml:space="preserve"> </w:t>
      </w:r>
      <w:r w:rsidRPr="00382917">
        <w:t>clergy</w:t>
      </w:r>
      <w:r w:rsidR="00EE4FC3">
        <w:t xml:space="preserve"> </w:t>
      </w:r>
      <w:r w:rsidRPr="00382917">
        <w:t>and</w:t>
      </w:r>
      <w:r w:rsidR="00EE4FC3">
        <w:t xml:space="preserve"> </w:t>
      </w:r>
      <w:r w:rsidRPr="00382917">
        <w:t>the</w:t>
      </w:r>
      <w:r w:rsidR="00EE4FC3">
        <w:t xml:space="preserve"> </w:t>
      </w:r>
      <w:r w:rsidRPr="00382917">
        <w:t>state</w:t>
      </w:r>
      <w:r w:rsidR="00EE4FC3">
        <w:t xml:space="preserve"> </w:t>
      </w:r>
      <w:r w:rsidRPr="00382917">
        <w:t>prided</w:t>
      </w:r>
      <w:r w:rsidR="00EE4FC3">
        <w:t xml:space="preserve"> </w:t>
      </w:r>
      <w:r w:rsidRPr="00382917">
        <w:t>themselves</w:t>
      </w:r>
      <w:r w:rsidR="00EE4FC3">
        <w:t xml:space="preserve"> </w:t>
      </w:r>
      <w:r w:rsidRPr="00382917">
        <w:t>on</w:t>
      </w:r>
      <w:r w:rsidR="00EE4FC3">
        <w:t xml:space="preserve"> </w:t>
      </w:r>
      <w:r w:rsidRPr="00382917">
        <w:t>having</w:t>
      </w:r>
      <w:r w:rsidR="00EE4FC3">
        <w:t xml:space="preserve"> </w:t>
      </w:r>
      <w:r w:rsidRPr="00382917">
        <w:t>crushed</w:t>
      </w:r>
      <w:r w:rsidR="00EE4FC3">
        <w:t xml:space="preserve"> </w:t>
      </w:r>
      <w:r w:rsidRPr="00382917">
        <w:t>the</w:t>
      </w:r>
      <w:r w:rsidR="00EE4FC3">
        <w:t xml:space="preserve"> </w:t>
      </w:r>
      <w:r w:rsidRPr="00382917">
        <w:t>life</w:t>
      </w:r>
      <w:r w:rsidR="00EE4FC3">
        <w:t xml:space="preserve"> </w:t>
      </w:r>
      <w:r w:rsidRPr="00382917">
        <w:t>from</w:t>
      </w:r>
      <w:r w:rsidR="00EE4FC3">
        <w:t xml:space="preserve"> </w:t>
      </w:r>
      <w:r w:rsidRPr="00382917">
        <w:t>the</w:t>
      </w:r>
      <w:r w:rsidR="00EE4FC3">
        <w:t xml:space="preserve"> </w:t>
      </w:r>
      <w:r w:rsidRPr="00382917">
        <w:t>Cause</w:t>
      </w:r>
      <w:r w:rsidR="00EE4FC3">
        <w:t xml:space="preserve"> </w:t>
      </w:r>
      <w:r w:rsidRPr="00382917">
        <w:t>they</w:t>
      </w:r>
      <w:r w:rsidR="00EE4FC3">
        <w:t xml:space="preserve"> </w:t>
      </w:r>
      <w:r w:rsidRPr="00382917">
        <w:t>had</w:t>
      </w:r>
      <w:r w:rsidR="00EE4FC3">
        <w:t xml:space="preserve"> </w:t>
      </w:r>
      <w:r w:rsidRPr="00382917">
        <w:t>battled</w:t>
      </w:r>
      <w:r w:rsidR="00EE4FC3">
        <w:t xml:space="preserve"> </w:t>
      </w:r>
      <w:r w:rsidRPr="00382917">
        <w:t>so</w:t>
      </w:r>
      <w:r w:rsidR="00EE4FC3">
        <w:t xml:space="preserve"> </w:t>
      </w:r>
      <w:r w:rsidRPr="00382917">
        <w:t>long</w:t>
      </w:r>
      <w:r w:rsidR="00330AF7">
        <w:t>.</w:t>
      </w:r>
      <w:r w:rsidR="00EE4FC3">
        <w:t xml:space="preserve">  </w:t>
      </w:r>
      <w:r w:rsidRPr="00382917">
        <w:t>The</w:t>
      </w:r>
      <w:r w:rsidR="00EE4FC3">
        <w:t xml:space="preserve"> </w:t>
      </w:r>
      <w:r w:rsidRPr="00382917">
        <w:t>Báb</w:t>
      </w:r>
      <w:r w:rsidR="00EE4FC3">
        <w:t xml:space="preserve"> </w:t>
      </w:r>
      <w:r w:rsidRPr="00382917">
        <w:t>was</w:t>
      </w:r>
      <w:r w:rsidR="00EE4FC3">
        <w:t xml:space="preserve"> </w:t>
      </w:r>
      <w:r w:rsidRPr="00382917">
        <w:t>no</w:t>
      </w:r>
      <w:r w:rsidR="00EE4FC3">
        <w:t xml:space="preserve"> </w:t>
      </w:r>
      <w:r w:rsidRPr="00382917">
        <w:t>more</w:t>
      </w:r>
      <w:r w:rsidR="00330AF7">
        <w:t>.</w:t>
      </w:r>
      <w:r w:rsidR="00EE4FC3">
        <w:t xml:space="preserve">  </w:t>
      </w:r>
      <w:r w:rsidRPr="00382917">
        <w:t>His</w:t>
      </w:r>
      <w:r w:rsidR="00EE4FC3">
        <w:t xml:space="preserve"> </w:t>
      </w:r>
      <w:r w:rsidRPr="00382917">
        <w:t>chief</w:t>
      </w:r>
      <w:r w:rsidR="00EE4FC3">
        <w:t xml:space="preserve"> </w:t>
      </w:r>
      <w:r w:rsidRPr="00382917">
        <w:t>disciples</w:t>
      </w:r>
      <w:r w:rsidR="00EE4FC3">
        <w:t xml:space="preserve"> </w:t>
      </w:r>
      <w:r w:rsidRPr="00382917">
        <w:t>were</w:t>
      </w:r>
      <w:r w:rsidR="00EE4FC3">
        <w:t xml:space="preserve"> </w:t>
      </w:r>
      <w:r w:rsidRPr="00382917">
        <w:t>destroyed</w:t>
      </w:r>
      <w:r w:rsidR="00330AF7">
        <w:t>.</w:t>
      </w:r>
      <w:r w:rsidR="00EE4FC3">
        <w:t xml:space="preserve">  </w:t>
      </w:r>
      <w:r w:rsidRPr="00382917">
        <w:t>The</w:t>
      </w:r>
      <w:r w:rsidR="00EE4FC3">
        <w:t xml:space="preserve"> </w:t>
      </w:r>
      <w:r w:rsidRPr="00382917">
        <w:t>mass</w:t>
      </w:r>
      <w:r w:rsidR="00EE4FC3">
        <w:t xml:space="preserve"> </w:t>
      </w:r>
      <w:r w:rsidRPr="00382917">
        <w:t>of</w:t>
      </w:r>
      <w:r w:rsidR="00EE4FC3">
        <w:t xml:space="preserve"> </w:t>
      </w:r>
      <w:r w:rsidRPr="00382917">
        <w:t>His</w:t>
      </w:r>
      <w:r w:rsidR="00EE4FC3">
        <w:t xml:space="preserve"> </w:t>
      </w:r>
      <w:r w:rsidRPr="00382917">
        <w:t>followers</w:t>
      </w:r>
      <w:r w:rsidR="00EE4FC3">
        <w:t xml:space="preserve"> </w:t>
      </w:r>
      <w:r w:rsidRPr="00382917">
        <w:t>throughout</w:t>
      </w:r>
      <w:r w:rsidR="00EE4FC3">
        <w:t xml:space="preserve"> </w:t>
      </w:r>
      <w:r w:rsidRPr="00382917">
        <w:t>the</w:t>
      </w:r>
      <w:r w:rsidR="00EE4FC3">
        <w:t xml:space="preserve"> </w:t>
      </w:r>
      <w:r w:rsidRPr="00382917">
        <w:t>land</w:t>
      </w:r>
      <w:r w:rsidR="00EE4FC3">
        <w:t xml:space="preserve"> </w:t>
      </w:r>
      <w:r w:rsidRPr="00382917">
        <w:t>had</w:t>
      </w:r>
      <w:r w:rsidR="00EE4FC3">
        <w:t xml:space="preserve"> </w:t>
      </w:r>
      <w:r w:rsidRPr="00382917">
        <w:t>been</w:t>
      </w:r>
      <w:r w:rsidR="00EE4FC3">
        <w:t xml:space="preserve"> </w:t>
      </w:r>
      <w:r w:rsidRPr="00382917">
        <w:t>beaten,</w:t>
      </w:r>
      <w:r w:rsidR="00EE4FC3">
        <w:t xml:space="preserve"> </w:t>
      </w:r>
      <w:r w:rsidRPr="00382917">
        <w:t>exhausted,</w:t>
      </w:r>
      <w:r w:rsidR="00EE4FC3">
        <w:t xml:space="preserve"> </w:t>
      </w:r>
      <w:r w:rsidRPr="00382917">
        <w:t>and</w:t>
      </w:r>
      <w:r w:rsidR="00EE4FC3">
        <w:t xml:space="preserve"> </w:t>
      </w:r>
      <w:r w:rsidRPr="00382917">
        <w:t>silenced.</w:t>
      </w:r>
    </w:p>
    <w:p w:rsidR="001B6670" w:rsidRPr="00382917" w:rsidRDefault="001B6670" w:rsidP="00775809">
      <w:pPr>
        <w:pStyle w:val="Text"/>
      </w:pPr>
      <w:r w:rsidRPr="00382917">
        <w:t>The</w:t>
      </w:r>
      <w:r w:rsidR="00EE4FC3">
        <w:t xml:space="preserve"> </w:t>
      </w:r>
      <w:r w:rsidRPr="00382917">
        <w:t>King</w:t>
      </w:r>
      <w:r w:rsidR="00EE4FC3">
        <w:t xml:space="preserve"> </w:t>
      </w:r>
      <w:r w:rsidRPr="00382917">
        <w:t>and</w:t>
      </w:r>
      <w:r w:rsidR="00EE4FC3">
        <w:t xml:space="preserve"> </w:t>
      </w:r>
      <w:r w:rsidRPr="00382917">
        <w:t>the</w:t>
      </w:r>
      <w:r w:rsidR="00EE4FC3">
        <w:t xml:space="preserve"> </w:t>
      </w:r>
      <w:r w:rsidRPr="00382917">
        <w:t>Prime</w:t>
      </w:r>
      <w:r w:rsidR="00EE4FC3">
        <w:t xml:space="preserve"> </w:t>
      </w:r>
      <w:r w:rsidRPr="00382917">
        <w:t>Minister</w:t>
      </w:r>
      <w:r w:rsidR="00EE4FC3">
        <w:t xml:space="preserve"> </w:t>
      </w:r>
      <w:r w:rsidRPr="00382917">
        <w:t>rejoiced</w:t>
      </w:r>
      <w:r w:rsidR="00330AF7">
        <w:t>.</w:t>
      </w:r>
      <w:r w:rsidR="00EE4FC3">
        <w:t xml:space="preserve">  </w:t>
      </w:r>
      <w:r w:rsidRPr="00382917">
        <w:t>If</w:t>
      </w:r>
      <w:r w:rsidR="00EE4FC3">
        <w:t xml:space="preserve"> </w:t>
      </w:r>
      <w:r w:rsidRPr="00382917">
        <w:t>they</w:t>
      </w:r>
      <w:r w:rsidR="00EE4FC3">
        <w:t xml:space="preserve"> </w:t>
      </w:r>
      <w:r w:rsidRPr="00382917">
        <w:t>were</w:t>
      </w:r>
      <w:r w:rsidR="00EE4FC3">
        <w:t xml:space="preserve"> </w:t>
      </w:r>
      <w:r w:rsidRPr="00382917">
        <w:t>to</w:t>
      </w:r>
      <w:r w:rsidR="00EE4FC3">
        <w:t xml:space="preserve"> </w:t>
      </w:r>
      <w:r w:rsidRPr="00382917">
        <w:t>believe</w:t>
      </w:r>
      <w:r w:rsidR="00EE4FC3">
        <w:t xml:space="preserve"> </w:t>
      </w:r>
      <w:r w:rsidRPr="00382917">
        <w:t>their</w:t>
      </w:r>
      <w:r w:rsidR="00EE4FC3">
        <w:t xml:space="preserve"> </w:t>
      </w:r>
      <w:r w:rsidRPr="00382917">
        <w:t>counsellors,</w:t>
      </w:r>
      <w:r w:rsidR="00EE4FC3">
        <w:t xml:space="preserve"> </w:t>
      </w:r>
      <w:r w:rsidRPr="00382917">
        <w:t>they</w:t>
      </w:r>
      <w:r w:rsidR="00EE4FC3">
        <w:t xml:space="preserve"> </w:t>
      </w:r>
      <w:r w:rsidRPr="00382917">
        <w:t>would</w:t>
      </w:r>
      <w:r w:rsidR="00EE4FC3">
        <w:t xml:space="preserve"> </w:t>
      </w:r>
      <w:r w:rsidRPr="00382917">
        <w:t>never</w:t>
      </w:r>
      <w:r w:rsidR="00EE4FC3">
        <w:t xml:space="preserve"> </w:t>
      </w:r>
      <w:r w:rsidRPr="00382917">
        <w:t>hear</w:t>
      </w:r>
      <w:r w:rsidR="00EE4FC3">
        <w:t xml:space="preserve"> </w:t>
      </w:r>
      <w:r w:rsidRPr="00382917">
        <w:t>of</w:t>
      </w:r>
      <w:r w:rsidR="00EE4FC3">
        <w:t xml:space="preserve"> </w:t>
      </w:r>
      <w:r w:rsidRPr="00382917">
        <w:t>the</w:t>
      </w:r>
      <w:r w:rsidR="00EE4FC3">
        <w:t xml:space="preserve"> </w:t>
      </w:r>
      <w:r w:rsidRPr="00382917">
        <w:t>Báb</w:t>
      </w:r>
      <w:r w:rsidR="00EE4FC3">
        <w:t xml:space="preserve"> </w:t>
      </w:r>
      <w:r w:rsidRPr="00382917">
        <w:t>again</w:t>
      </w:r>
      <w:r w:rsidR="00330AF7">
        <w:t>.</w:t>
      </w:r>
      <w:r w:rsidR="00EE4FC3">
        <w:t xml:space="preserve">  </w:t>
      </w:r>
      <w:r w:rsidRPr="00382917">
        <w:t>His</w:t>
      </w:r>
      <w:r w:rsidR="00EE4FC3">
        <w:t xml:space="preserve"> </w:t>
      </w:r>
      <w:r w:rsidRPr="00382917">
        <w:t>Faith</w:t>
      </w:r>
      <w:r w:rsidR="00EE4FC3">
        <w:t xml:space="preserve"> </w:t>
      </w:r>
      <w:r w:rsidRPr="00382917">
        <w:t>was</w:t>
      </w:r>
      <w:r w:rsidR="00EE4FC3">
        <w:t xml:space="preserve"> </w:t>
      </w:r>
      <w:r w:rsidRPr="00382917">
        <w:t>swiftly</w:t>
      </w:r>
      <w:r w:rsidR="00EE4FC3">
        <w:t xml:space="preserve"> </w:t>
      </w:r>
      <w:r w:rsidRPr="00382917">
        <w:t>receding</w:t>
      </w:r>
      <w:r w:rsidR="00EE4FC3">
        <w:t xml:space="preserve"> </w:t>
      </w:r>
      <w:r w:rsidRPr="00382917">
        <w:t>into</w:t>
      </w:r>
      <w:r w:rsidR="00EE4FC3">
        <w:t xml:space="preserve"> </w:t>
      </w:r>
      <w:r w:rsidRPr="00382917">
        <w:t>oblivion</w:t>
      </w:r>
      <w:r w:rsidR="00EE4FC3">
        <w:t xml:space="preserve"> </w:t>
      </w:r>
      <w:r w:rsidRPr="00382917">
        <w:t>and</w:t>
      </w:r>
      <w:r w:rsidR="00EE4FC3">
        <w:t xml:space="preserve"> </w:t>
      </w:r>
      <w:r w:rsidRPr="00382917">
        <w:t>the</w:t>
      </w:r>
      <w:r w:rsidR="00EE4FC3">
        <w:t xml:space="preserve"> </w:t>
      </w:r>
      <w:r w:rsidRPr="00382917">
        <w:t>wings</w:t>
      </w:r>
      <w:r w:rsidR="00EE4FC3">
        <w:t xml:space="preserve"> </w:t>
      </w:r>
      <w:r w:rsidRPr="00382917">
        <w:t>of</w:t>
      </w:r>
      <w:r w:rsidR="00EE4FC3">
        <w:t xml:space="preserve"> </w:t>
      </w:r>
      <w:r w:rsidRPr="00382917">
        <w:t>death</w:t>
      </w:r>
      <w:r w:rsidR="00EE4FC3">
        <w:t xml:space="preserve"> </w:t>
      </w:r>
      <w:r w:rsidRPr="00382917">
        <w:t>were</w:t>
      </w:r>
      <w:r w:rsidR="00EE4FC3">
        <w:t xml:space="preserve"> </w:t>
      </w:r>
      <w:r w:rsidRPr="00382917">
        <w:t>hovering</w:t>
      </w:r>
      <w:r w:rsidR="00EE4FC3">
        <w:t xml:space="preserve"> </w:t>
      </w:r>
      <w:r w:rsidRPr="00382917">
        <w:t>over</w:t>
      </w:r>
      <w:r w:rsidR="00EE4FC3">
        <w:t xml:space="preserve"> </w:t>
      </w:r>
      <w:r w:rsidRPr="00382917">
        <w:t>it</w:t>
      </w:r>
      <w:r w:rsidR="00330AF7">
        <w:t>.</w:t>
      </w:r>
      <w:r w:rsidR="00EE4FC3">
        <w:t xml:space="preserve">  </w:t>
      </w:r>
      <w:r w:rsidRPr="00382917">
        <w:t>The</w:t>
      </w:r>
      <w:r w:rsidR="00EE4FC3">
        <w:t xml:space="preserve"> </w:t>
      </w:r>
      <w:r w:rsidRPr="00382917">
        <w:t>combined</w:t>
      </w:r>
      <w:r w:rsidR="00EE4FC3">
        <w:t xml:space="preserve"> </w:t>
      </w:r>
      <w:r w:rsidRPr="00382917">
        <w:t>forces</w:t>
      </w:r>
      <w:r w:rsidR="00EE4FC3">
        <w:t xml:space="preserve"> </w:t>
      </w:r>
      <w:r w:rsidRPr="00382917">
        <w:t>which</w:t>
      </w:r>
      <w:r w:rsidR="00EE4FC3">
        <w:t xml:space="preserve"> </w:t>
      </w:r>
      <w:r w:rsidRPr="00382917">
        <w:t>had</w:t>
      </w:r>
      <w:r w:rsidR="00EE4FC3">
        <w:t xml:space="preserve"> </w:t>
      </w:r>
      <w:r w:rsidRPr="00382917">
        <w:t>engulfed</w:t>
      </w:r>
      <w:r w:rsidR="00EE4FC3">
        <w:t xml:space="preserve"> </w:t>
      </w:r>
      <w:r w:rsidRPr="00382917">
        <w:t>it</w:t>
      </w:r>
      <w:r w:rsidR="00EE4FC3">
        <w:t xml:space="preserve"> </w:t>
      </w:r>
      <w:r w:rsidRPr="00382917">
        <w:t>on</w:t>
      </w:r>
      <w:r w:rsidR="00EE4FC3">
        <w:t xml:space="preserve"> </w:t>
      </w:r>
      <w:r w:rsidRPr="00382917">
        <w:t>every</w:t>
      </w:r>
      <w:r w:rsidR="00EE4FC3">
        <w:t xml:space="preserve"> </w:t>
      </w:r>
      <w:r w:rsidRPr="00382917">
        <w:t>side</w:t>
      </w:r>
      <w:r w:rsidR="00EE4FC3">
        <w:t xml:space="preserve"> </w:t>
      </w:r>
      <w:r w:rsidRPr="00382917">
        <w:t>had</w:t>
      </w:r>
      <w:r w:rsidR="00EE4FC3">
        <w:t xml:space="preserve"> </w:t>
      </w:r>
      <w:r w:rsidRPr="00382917">
        <w:t>at</w:t>
      </w:r>
      <w:r w:rsidR="00EE4FC3">
        <w:t xml:space="preserve"> </w:t>
      </w:r>
      <w:r w:rsidRPr="00382917">
        <w:t>last</w:t>
      </w:r>
      <w:r w:rsidR="00EE4FC3">
        <w:t xml:space="preserve"> </w:t>
      </w:r>
      <w:r w:rsidRPr="00382917">
        <w:t>put</w:t>
      </w:r>
      <w:r w:rsidR="00EE4FC3">
        <w:t xml:space="preserve"> </w:t>
      </w:r>
      <w:r w:rsidRPr="00382917">
        <w:t>out</w:t>
      </w:r>
      <w:r w:rsidR="00EE4FC3">
        <w:t xml:space="preserve"> </w:t>
      </w:r>
      <w:r w:rsidRPr="00382917">
        <w:t>the</w:t>
      </w:r>
      <w:r w:rsidR="00EE4FC3">
        <w:t xml:space="preserve"> </w:t>
      </w:r>
      <w:r w:rsidRPr="00382917">
        <w:t>light</w:t>
      </w:r>
      <w:r w:rsidR="00EE4FC3">
        <w:t xml:space="preserve"> </w:t>
      </w:r>
      <w:r w:rsidRPr="00382917">
        <w:t>which</w:t>
      </w:r>
      <w:r w:rsidR="00EE4FC3">
        <w:t xml:space="preserve"> </w:t>
      </w:r>
      <w:r w:rsidRPr="00382917">
        <w:t>the</w:t>
      </w:r>
      <w:r w:rsidR="00EE4FC3">
        <w:t xml:space="preserve"> </w:t>
      </w:r>
      <w:r w:rsidRPr="00382917">
        <w:t>young</w:t>
      </w:r>
      <w:r w:rsidR="00EE4FC3">
        <w:t xml:space="preserve"> </w:t>
      </w:r>
      <w:r w:rsidRPr="00382917">
        <w:t>Prince</w:t>
      </w:r>
      <w:r w:rsidR="00EE4FC3">
        <w:t xml:space="preserve"> </w:t>
      </w:r>
      <w:r w:rsidRPr="00382917">
        <w:t>of</w:t>
      </w:r>
      <w:r w:rsidR="00EE4FC3">
        <w:t xml:space="preserve"> </w:t>
      </w:r>
      <w:r w:rsidRPr="00382917">
        <w:t>Glory</w:t>
      </w:r>
      <w:r w:rsidR="00EE4FC3">
        <w:t xml:space="preserve"> </w:t>
      </w:r>
      <w:r w:rsidRPr="00382917">
        <w:t>had</w:t>
      </w:r>
      <w:r w:rsidR="00EE4FC3">
        <w:t xml:space="preserve"> </w:t>
      </w:r>
      <w:r w:rsidRPr="00382917">
        <w:t>kindled</w:t>
      </w:r>
      <w:r w:rsidR="00EE4FC3">
        <w:t xml:space="preserve"> </w:t>
      </w:r>
      <w:r w:rsidRPr="00382917">
        <w:t>in</w:t>
      </w:r>
      <w:r w:rsidR="00EE4FC3">
        <w:t xml:space="preserve"> </w:t>
      </w:r>
      <w:r w:rsidRPr="00382917">
        <w:t>His</w:t>
      </w:r>
      <w:r w:rsidR="00EE4FC3">
        <w:t xml:space="preserve"> </w:t>
      </w:r>
      <w:r w:rsidRPr="00382917">
        <w:t>land.</w:t>
      </w:r>
    </w:p>
    <w:p w:rsidR="001B6670" w:rsidRPr="00382917" w:rsidRDefault="001B6670" w:rsidP="00775809">
      <w:pPr>
        <w:pStyle w:val="Text"/>
      </w:pPr>
      <w:r w:rsidRPr="00382917">
        <w:t>Yet,</w:t>
      </w:r>
      <w:r w:rsidR="00EE4FC3">
        <w:t xml:space="preserve"> </w:t>
      </w:r>
      <w:r w:rsidRPr="00382917">
        <w:t>at</w:t>
      </w:r>
      <w:r w:rsidR="00EE4FC3">
        <w:t xml:space="preserve"> </w:t>
      </w:r>
      <w:r w:rsidRPr="00382917">
        <w:t>that</w:t>
      </w:r>
      <w:r w:rsidR="00EE4FC3">
        <w:t xml:space="preserve"> </w:t>
      </w:r>
      <w:r w:rsidRPr="00382917">
        <w:t>very</w:t>
      </w:r>
      <w:r w:rsidR="00EE4FC3">
        <w:t xml:space="preserve"> </w:t>
      </w:r>
      <w:r w:rsidRPr="00382917">
        <w:t>moment</w:t>
      </w:r>
      <w:r w:rsidR="00EE4FC3">
        <w:t xml:space="preserve"> </w:t>
      </w:r>
      <w:r w:rsidRPr="00382917">
        <w:t>in</w:t>
      </w:r>
      <w:r w:rsidR="00EE4FC3">
        <w:t xml:space="preserve"> </w:t>
      </w:r>
      <w:r w:rsidRPr="00382917">
        <w:t>a</w:t>
      </w:r>
      <w:r w:rsidR="00EE4FC3">
        <w:t xml:space="preserve"> </w:t>
      </w:r>
      <w:r w:rsidRPr="00382917">
        <w:t>suburb</w:t>
      </w:r>
      <w:r w:rsidR="00EE4FC3">
        <w:t xml:space="preserve"> </w:t>
      </w:r>
      <w:r w:rsidRPr="00382917">
        <w:t>of</w:t>
      </w:r>
      <w:r w:rsidR="00EE4FC3">
        <w:t xml:space="preserve"> </w:t>
      </w:r>
      <w:r w:rsidRPr="00382917">
        <w:t>the</w:t>
      </w:r>
      <w:r w:rsidR="00EE4FC3">
        <w:t xml:space="preserve"> </w:t>
      </w:r>
      <w:r w:rsidRPr="00382917">
        <w:t>capital,</w:t>
      </w:r>
      <w:r w:rsidR="00EE4FC3">
        <w:t xml:space="preserve"> </w:t>
      </w:r>
      <w:r w:rsidRPr="00382917">
        <w:t>Bahá</w:t>
      </w:r>
      <w:r w:rsidR="009C713D" w:rsidRPr="00382917">
        <w:t>’</w:t>
      </w:r>
      <w:r w:rsidRPr="00382917">
        <w:t>u</w:t>
      </w:r>
      <w:r w:rsidR="009C713D" w:rsidRPr="00382917">
        <w:t>’</w:t>
      </w:r>
      <w:r w:rsidRPr="00382917">
        <w:t>lláh</w:t>
      </w:r>
      <w:r w:rsidR="00EE4FC3">
        <w:t xml:space="preserve"> </w:t>
      </w:r>
      <w:r w:rsidRPr="00382917">
        <w:t>was</w:t>
      </w:r>
      <w:r w:rsidR="00EE4FC3">
        <w:t xml:space="preserve"> </w:t>
      </w:r>
      <w:r w:rsidRPr="00382917">
        <w:t>receiving</w:t>
      </w:r>
      <w:r w:rsidR="00EE4FC3">
        <w:t xml:space="preserve"> </w:t>
      </w:r>
      <w:r w:rsidRPr="00382917">
        <w:t>a</w:t>
      </w:r>
      <w:r w:rsidR="00EE4FC3">
        <w:t xml:space="preserve"> </w:t>
      </w:r>
      <w:r w:rsidRPr="00382917">
        <w:t>visitor,</w:t>
      </w:r>
      <w:r w:rsidR="00EE4FC3">
        <w:t xml:space="preserve"> </w:t>
      </w:r>
      <w:r w:rsidRPr="00382917">
        <w:t>a</w:t>
      </w:r>
      <w:r w:rsidR="00EE4FC3">
        <w:t xml:space="preserve"> </w:t>
      </w:r>
      <w:r w:rsidRPr="00382917">
        <w:t>friend</w:t>
      </w:r>
      <w:r w:rsidR="00EE4FC3">
        <w:t xml:space="preserve"> </w:t>
      </w:r>
      <w:r w:rsidRPr="00382917">
        <w:t>who</w:t>
      </w:r>
      <w:r w:rsidR="00EE4FC3">
        <w:t xml:space="preserve"> </w:t>
      </w:r>
      <w:r w:rsidRPr="00382917">
        <w:t>was</w:t>
      </w:r>
      <w:r w:rsidR="00EE4FC3">
        <w:t xml:space="preserve"> </w:t>
      </w:r>
      <w:r w:rsidRPr="00382917">
        <w:t>soon</w:t>
      </w:r>
      <w:r w:rsidR="00EE4FC3">
        <w:t xml:space="preserve"> </w:t>
      </w:r>
      <w:r w:rsidRPr="00382917">
        <w:t>to</w:t>
      </w:r>
      <w:r w:rsidR="00EE4FC3">
        <w:t xml:space="preserve"> </w:t>
      </w:r>
      <w:r w:rsidRPr="00382917">
        <w:t>be</w:t>
      </w:r>
      <w:r w:rsidR="00EE4FC3">
        <w:t xml:space="preserve"> </w:t>
      </w:r>
      <w:r w:rsidRPr="00382917">
        <w:t>the</w:t>
      </w:r>
      <w:r w:rsidR="00EE4FC3">
        <w:t xml:space="preserve"> </w:t>
      </w:r>
      <w:r w:rsidRPr="00382917">
        <w:t>new</w:t>
      </w:r>
      <w:r w:rsidR="00EE4FC3">
        <w:t xml:space="preserve"> </w:t>
      </w:r>
      <w:r w:rsidRPr="00382917">
        <w:t>Prime</w:t>
      </w:r>
      <w:r w:rsidR="00EE4FC3">
        <w:t xml:space="preserve"> </w:t>
      </w:r>
      <w:r w:rsidRPr="00382917">
        <w:t>Minister.</w:t>
      </w:r>
    </w:p>
    <w:p w:rsidR="001B6670" w:rsidRPr="00382917" w:rsidRDefault="001B6670" w:rsidP="00775809">
      <w:pPr>
        <w:pStyle w:val="Text"/>
      </w:pPr>
      <w:r w:rsidRPr="00382917">
        <w:t>He</w:t>
      </w:r>
      <w:r w:rsidR="00EE4FC3">
        <w:t xml:space="preserve"> </w:t>
      </w:r>
      <w:r w:rsidRPr="00382917">
        <w:t>told</w:t>
      </w:r>
      <w:r w:rsidR="00EE4FC3">
        <w:t xml:space="preserve"> </w:t>
      </w:r>
      <w:r w:rsidRPr="00382917">
        <w:t>Bahá</w:t>
      </w:r>
      <w:r w:rsidR="009C713D" w:rsidRPr="00382917">
        <w:t>’</w:t>
      </w:r>
      <w:r w:rsidRPr="00382917">
        <w:t>u</w:t>
      </w:r>
      <w:r w:rsidR="009C713D" w:rsidRPr="00382917">
        <w:t>’</w:t>
      </w:r>
      <w:r w:rsidRPr="00382917">
        <w:t>lláh</w:t>
      </w:r>
      <w:r w:rsidR="00C03C91">
        <w:t>:</w:t>
      </w:r>
      <w:r w:rsidR="00EE4FC3">
        <w:t xml:space="preserve">  </w:t>
      </w:r>
      <w:r w:rsidR="009C713D" w:rsidRPr="00382917">
        <w:t>“</w:t>
      </w:r>
      <w:r w:rsidRPr="00382917">
        <w:t>The</w:t>
      </w:r>
      <w:r w:rsidR="00EE4FC3">
        <w:t xml:space="preserve"> </w:t>
      </w:r>
      <w:r w:rsidRPr="00382917">
        <w:t>Báb</w:t>
      </w:r>
      <w:r w:rsidR="00EE4FC3">
        <w:t xml:space="preserve"> </w:t>
      </w:r>
      <w:r w:rsidRPr="00382917">
        <w:t>has</w:t>
      </w:r>
      <w:r w:rsidR="00EE4FC3">
        <w:t xml:space="preserve"> </w:t>
      </w:r>
      <w:r w:rsidRPr="00382917">
        <w:t>been</w:t>
      </w:r>
      <w:r w:rsidR="00EE4FC3">
        <w:t xml:space="preserve"> </w:t>
      </w:r>
      <w:r w:rsidRPr="00382917">
        <w:t>slain</w:t>
      </w:r>
      <w:r w:rsidR="00330AF7">
        <w:t>.</w:t>
      </w:r>
      <w:r w:rsidR="00EE4FC3">
        <w:t xml:space="preserve">  </w:t>
      </w:r>
      <w:r w:rsidRPr="00382917">
        <w:t>He</w:t>
      </w:r>
      <w:r w:rsidR="00EE4FC3">
        <w:t xml:space="preserve"> </w:t>
      </w:r>
      <w:r w:rsidRPr="00382917">
        <w:t>has</w:t>
      </w:r>
      <w:r w:rsidR="00EE4FC3">
        <w:t xml:space="preserve"> </w:t>
      </w:r>
      <w:r w:rsidRPr="00382917">
        <w:t>been</w:t>
      </w:r>
      <w:r w:rsidR="00EE4FC3">
        <w:t xml:space="preserve"> </w:t>
      </w:r>
      <w:r w:rsidRPr="00382917">
        <w:t>put</w:t>
      </w:r>
      <w:r w:rsidR="00EE4FC3">
        <w:t xml:space="preserve"> </w:t>
      </w:r>
      <w:r w:rsidRPr="00382917">
        <w:t>to</w:t>
      </w:r>
      <w:r w:rsidR="00EE4FC3">
        <w:t xml:space="preserve"> </w:t>
      </w:r>
      <w:r w:rsidRPr="00382917">
        <w:t>death</w:t>
      </w:r>
      <w:r w:rsidR="00EE4FC3">
        <w:t xml:space="preserve"> </w:t>
      </w:r>
      <w:r w:rsidRPr="00382917">
        <w:t>in</w:t>
      </w:r>
      <w:r w:rsidR="00EE4FC3">
        <w:t xml:space="preserve"> </w:t>
      </w:r>
      <w:r w:rsidRPr="00382917">
        <w:t>Tabríz</w:t>
      </w:r>
      <w:r w:rsidR="00330AF7">
        <w:t>.</w:t>
      </w:r>
      <w:r w:rsidR="00EE4FC3">
        <w:t xml:space="preserve">  </w:t>
      </w:r>
      <w:r w:rsidRPr="00382917">
        <w:t>It</w:t>
      </w:r>
      <w:r w:rsidR="00EE4FC3">
        <w:t xml:space="preserve"> </w:t>
      </w:r>
      <w:r w:rsidRPr="00382917">
        <w:t>is</w:t>
      </w:r>
      <w:r w:rsidR="00EE4FC3">
        <w:t xml:space="preserve"> </w:t>
      </w:r>
      <w:r w:rsidRPr="00382917">
        <w:t>all</w:t>
      </w:r>
      <w:r w:rsidR="00EE4FC3">
        <w:t xml:space="preserve"> </w:t>
      </w:r>
      <w:r w:rsidRPr="00382917">
        <w:t>over</w:t>
      </w:r>
      <w:r w:rsidR="00330AF7">
        <w:t>.</w:t>
      </w:r>
      <w:r w:rsidR="00EE4FC3">
        <w:t xml:space="preserve">  </w:t>
      </w:r>
      <w:r w:rsidRPr="00382917">
        <w:t>At</w:t>
      </w:r>
      <w:r w:rsidR="00EE4FC3">
        <w:t xml:space="preserve"> </w:t>
      </w:r>
      <w:r w:rsidRPr="00382917">
        <w:t>last</w:t>
      </w:r>
      <w:r w:rsidR="00EE4FC3">
        <w:t xml:space="preserve"> </w:t>
      </w:r>
      <w:r w:rsidRPr="00382917">
        <w:t>the</w:t>
      </w:r>
      <w:r w:rsidR="00EE4FC3">
        <w:t xml:space="preserve"> </w:t>
      </w:r>
      <w:r w:rsidRPr="00382917">
        <w:t>fire</w:t>
      </w:r>
      <w:r w:rsidR="00EE4FC3">
        <w:t xml:space="preserve"> </w:t>
      </w:r>
      <w:r w:rsidRPr="00382917">
        <w:t>which</w:t>
      </w:r>
      <w:r w:rsidR="00EE4FC3">
        <w:t xml:space="preserve"> </w:t>
      </w:r>
      <w:r w:rsidRPr="00382917">
        <w:t>I</w:t>
      </w:r>
      <w:r w:rsidR="00EE4FC3">
        <w:t xml:space="preserve"> </w:t>
      </w:r>
      <w:r w:rsidRPr="00382917">
        <w:t>feared</w:t>
      </w:r>
      <w:r w:rsidR="00EE4FC3">
        <w:t xml:space="preserve"> </w:t>
      </w:r>
      <w:r w:rsidRPr="00382917">
        <w:t>might</w:t>
      </w:r>
      <w:r w:rsidR="00EE4FC3">
        <w:t xml:space="preserve"> </w:t>
      </w:r>
      <w:r w:rsidRPr="00382917">
        <w:t>engulf</w:t>
      </w:r>
      <w:r w:rsidR="00EE4FC3">
        <w:t xml:space="preserve"> </w:t>
      </w:r>
      <w:r w:rsidRPr="00382917">
        <w:t>and</w:t>
      </w:r>
      <w:r w:rsidR="00EE4FC3">
        <w:t xml:space="preserve"> </w:t>
      </w:r>
      <w:r w:rsidRPr="00382917">
        <w:t>destroy</w:t>
      </w:r>
      <w:r w:rsidR="00EE4FC3">
        <w:t xml:space="preserve"> </w:t>
      </w:r>
      <w:r w:rsidRPr="00382917">
        <w:t>you</w:t>
      </w:r>
      <w:r w:rsidR="00EE4FC3">
        <w:t xml:space="preserve"> </w:t>
      </w:r>
      <w:r w:rsidRPr="00382917">
        <w:t>has</w:t>
      </w:r>
      <w:r w:rsidR="00EE4FC3">
        <w:t xml:space="preserve"> </w:t>
      </w:r>
      <w:r w:rsidRPr="00382917">
        <w:t>been</w:t>
      </w:r>
      <w:r w:rsidR="00EE4FC3">
        <w:t xml:space="preserve"> </w:t>
      </w:r>
      <w:r w:rsidRPr="00382917">
        <w:t>extinguished.</w:t>
      </w:r>
      <w:r w:rsidR="009C713D" w:rsidRPr="00382917">
        <w:t>”</w:t>
      </w:r>
    </w:p>
    <w:p w:rsidR="00E13D49" w:rsidRPr="00382917" w:rsidRDefault="001B6670" w:rsidP="00775809">
      <w:pPr>
        <w:pStyle w:val="Text"/>
      </w:pPr>
      <w:r w:rsidRPr="00382917">
        <w:t>Bahá</w:t>
      </w:r>
      <w:r w:rsidR="009C713D" w:rsidRPr="00382917">
        <w:t>’</w:t>
      </w:r>
      <w:r w:rsidRPr="00382917">
        <w:t>u</w:t>
      </w:r>
      <w:r w:rsidR="009C713D" w:rsidRPr="00382917">
        <w:t>’</w:t>
      </w:r>
      <w:r w:rsidRPr="00382917">
        <w:t>lláh</w:t>
      </w:r>
      <w:r w:rsidR="00EE4FC3">
        <w:t xml:space="preserve"> </w:t>
      </w:r>
      <w:r w:rsidRPr="00382917">
        <w:t>replied</w:t>
      </w:r>
      <w:r w:rsidR="00C03C91">
        <w:t>:</w:t>
      </w:r>
      <w:r w:rsidR="00EE4FC3">
        <w:t xml:space="preserve">  </w:t>
      </w:r>
      <w:r w:rsidR="009C713D" w:rsidRPr="00382917">
        <w:t>“</w:t>
      </w:r>
      <w:r w:rsidRPr="00382917">
        <w:t>If</w:t>
      </w:r>
      <w:r w:rsidR="00EE4FC3">
        <w:t xml:space="preserve"> </w:t>
      </w:r>
      <w:r w:rsidRPr="00382917">
        <w:t>this</w:t>
      </w:r>
      <w:r w:rsidR="00EE4FC3">
        <w:t xml:space="preserve"> </w:t>
      </w:r>
      <w:r w:rsidRPr="00382917">
        <w:t>be</w:t>
      </w:r>
      <w:r w:rsidR="00EE4FC3">
        <w:t xml:space="preserve"> </w:t>
      </w:r>
      <w:r w:rsidRPr="00382917">
        <w:t>true,</w:t>
      </w:r>
      <w:r w:rsidR="00EE4FC3">
        <w:t xml:space="preserve"> </w:t>
      </w:r>
      <w:r w:rsidRPr="00382917">
        <w:t>you</w:t>
      </w:r>
      <w:r w:rsidR="00EE4FC3">
        <w:t xml:space="preserve"> </w:t>
      </w:r>
      <w:r w:rsidRPr="00382917">
        <w:t>can</w:t>
      </w:r>
      <w:r w:rsidR="00EE4FC3">
        <w:t xml:space="preserve"> </w:t>
      </w:r>
      <w:r w:rsidRPr="00382917">
        <w:t>be</w:t>
      </w:r>
      <w:r w:rsidR="00EE4FC3">
        <w:t xml:space="preserve"> </w:t>
      </w:r>
      <w:r w:rsidRPr="00382917">
        <w:t>certain</w:t>
      </w:r>
      <w:r w:rsidR="00EE4FC3">
        <w:t xml:space="preserve"> </w:t>
      </w:r>
      <w:r w:rsidRPr="00382917">
        <w:t>that</w:t>
      </w:r>
      <w:r w:rsidR="00EE4FC3">
        <w:t xml:space="preserve"> </w:t>
      </w:r>
      <w:r w:rsidRPr="00382917">
        <w:t>the</w:t>
      </w:r>
      <w:r w:rsidR="00EE4FC3">
        <w:t xml:space="preserve"> </w:t>
      </w:r>
      <w:r w:rsidRPr="00382917">
        <w:t>flame</w:t>
      </w:r>
      <w:r w:rsidR="00EE4FC3">
        <w:t xml:space="preserve"> </w:t>
      </w:r>
      <w:r w:rsidRPr="00382917">
        <w:t>that</w:t>
      </w:r>
      <w:r w:rsidR="00EE4FC3">
        <w:t xml:space="preserve"> </w:t>
      </w:r>
      <w:r w:rsidRPr="00382917">
        <w:t>has</w:t>
      </w:r>
      <w:r w:rsidR="00EE4FC3">
        <w:t xml:space="preserve"> </w:t>
      </w:r>
      <w:r w:rsidRPr="00382917">
        <w:t>been</w:t>
      </w:r>
      <w:r w:rsidR="00EE4FC3">
        <w:t xml:space="preserve"> </w:t>
      </w:r>
      <w:r w:rsidRPr="00382917">
        <w:t>kindled</w:t>
      </w:r>
      <w:r w:rsidR="00EE4FC3">
        <w:t xml:space="preserve"> </w:t>
      </w:r>
      <w:r w:rsidRPr="00382917">
        <w:t>will</w:t>
      </w:r>
      <w:r w:rsidR="00EE4FC3">
        <w:t xml:space="preserve"> </w:t>
      </w:r>
      <w:r w:rsidRPr="00382917">
        <w:t>by</w:t>
      </w:r>
      <w:r w:rsidR="00EE4FC3">
        <w:t xml:space="preserve"> </w:t>
      </w:r>
      <w:r w:rsidRPr="00382917">
        <w:t>this</w:t>
      </w:r>
      <w:r w:rsidR="00EE4FC3">
        <w:t xml:space="preserve"> </w:t>
      </w:r>
      <w:r w:rsidRPr="00382917">
        <w:t>very</w:t>
      </w:r>
      <w:r w:rsidR="00EE4FC3">
        <w:t xml:space="preserve"> </w:t>
      </w:r>
      <w:r w:rsidRPr="00382917">
        <w:t>act,</w:t>
      </w:r>
      <w:r w:rsidR="00EE4FC3">
        <w:t xml:space="preserve"> </w:t>
      </w:r>
      <w:r w:rsidRPr="00382917">
        <w:t>blaze</w:t>
      </w:r>
      <w:r w:rsidR="00EE4FC3">
        <w:t xml:space="preserve"> </w:t>
      </w:r>
      <w:r w:rsidRPr="00382917">
        <w:t>forth</w:t>
      </w:r>
      <w:r w:rsidR="00EE4FC3">
        <w:t xml:space="preserve"> </w:t>
      </w:r>
      <w:r w:rsidRPr="00382917">
        <w:t>more</w:t>
      </w:r>
      <w:r w:rsidR="00EE4FC3">
        <w:t xml:space="preserve"> </w:t>
      </w:r>
      <w:r w:rsidRPr="00382917">
        <w:t>fiercely</w:t>
      </w:r>
      <w:r w:rsidR="00EE4FC3">
        <w:t xml:space="preserve"> </w:t>
      </w:r>
      <w:r w:rsidRPr="00382917">
        <w:t>than</w:t>
      </w:r>
      <w:r w:rsidR="00EE4FC3">
        <w:t xml:space="preserve"> </w:t>
      </w:r>
      <w:r w:rsidRPr="00382917">
        <w:t>ever</w:t>
      </w:r>
      <w:r w:rsidR="00EE4FC3">
        <w:t xml:space="preserve"> </w:t>
      </w:r>
      <w:r w:rsidRPr="00382917">
        <w:t>and</w:t>
      </w:r>
      <w:r w:rsidR="00EE4FC3">
        <w:t xml:space="preserve"> </w:t>
      </w:r>
      <w:r w:rsidRPr="00382917">
        <w:t>will</w:t>
      </w:r>
      <w:r w:rsidR="00EE4FC3">
        <w:t xml:space="preserve"> </w:t>
      </w:r>
      <w:r w:rsidRPr="00382917">
        <w:t>set</w:t>
      </w:r>
      <w:r w:rsidR="00EE4FC3">
        <w:t xml:space="preserve"> </w:t>
      </w:r>
      <w:r w:rsidRPr="00382917">
        <w:t>up</w:t>
      </w:r>
      <w:r w:rsidR="00EE4FC3">
        <w:t xml:space="preserve"> </w:t>
      </w:r>
      <w:r w:rsidRPr="00382917">
        <w:t>a</w:t>
      </w:r>
      <w:r w:rsidR="00EE4FC3">
        <w:t xml:space="preserve"> </w:t>
      </w:r>
      <w:r w:rsidRPr="00382917">
        <w:t>conflagration</w:t>
      </w:r>
      <w:r w:rsidR="00EE4FC3">
        <w:t xml:space="preserve"> </w:t>
      </w:r>
      <w:r w:rsidRPr="00382917">
        <w:t>such</w:t>
      </w:r>
      <w:r w:rsidR="00EE4FC3">
        <w:t xml:space="preserve"> </w:t>
      </w:r>
      <w:r w:rsidRPr="00382917">
        <w:t>as</w:t>
      </w:r>
      <w:r w:rsidR="00EE4FC3">
        <w:t xml:space="preserve"> </w:t>
      </w:r>
      <w:r w:rsidRPr="00382917">
        <w:t>the</w:t>
      </w:r>
      <w:r w:rsidR="00EE4FC3">
        <w:t xml:space="preserve"> </w:t>
      </w:r>
      <w:r w:rsidRPr="00382917">
        <w:t>com-</w:t>
      </w:r>
    </w:p>
    <w:p w:rsidR="00775809" w:rsidRPr="00382917" w:rsidRDefault="00775809">
      <w:pPr>
        <w:widowControl/>
        <w:kinsoku/>
        <w:overflowPunct/>
        <w:textAlignment w:val="auto"/>
      </w:pPr>
      <w:r w:rsidRPr="00382917">
        <w:br w:type="page"/>
      </w:r>
    </w:p>
    <w:p w:rsidR="00F1111D" w:rsidRPr="00382917" w:rsidRDefault="00F1111D" w:rsidP="00FC4E1D">
      <w:pPr>
        <w:pStyle w:val="Textcts"/>
      </w:pPr>
      <w:proofErr w:type="spellStart"/>
      <w:proofErr w:type="gramStart"/>
      <w:r w:rsidRPr="00382917">
        <w:t>bined</w:t>
      </w:r>
      <w:proofErr w:type="spellEnd"/>
      <w:proofErr w:type="gramEnd"/>
      <w:r w:rsidR="00EE4FC3">
        <w:t xml:space="preserve"> </w:t>
      </w:r>
      <w:r w:rsidRPr="00382917">
        <w:t>forces</w:t>
      </w:r>
      <w:r w:rsidR="00EE4FC3">
        <w:t xml:space="preserve"> </w:t>
      </w:r>
      <w:r w:rsidRPr="00382917">
        <w:t>of</w:t>
      </w:r>
      <w:r w:rsidR="00EE4FC3">
        <w:t xml:space="preserve"> </w:t>
      </w:r>
      <w:r w:rsidRPr="00382917">
        <w:t>the</w:t>
      </w:r>
      <w:r w:rsidR="00EE4FC3">
        <w:t xml:space="preserve"> </w:t>
      </w:r>
      <w:r w:rsidRPr="00382917">
        <w:t>statesmen</w:t>
      </w:r>
      <w:r w:rsidR="00EE4FC3">
        <w:t xml:space="preserve"> </w:t>
      </w:r>
      <w:r w:rsidRPr="00382917">
        <w:t>of</w:t>
      </w:r>
      <w:r w:rsidR="00EE4FC3">
        <w:t xml:space="preserve"> </w:t>
      </w:r>
      <w:r w:rsidRPr="00382917">
        <w:t>this</w:t>
      </w:r>
      <w:r w:rsidR="00EE4FC3">
        <w:t xml:space="preserve"> </w:t>
      </w:r>
      <w:r w:rsidRPr="00382917">
        <w:t>realm</w:t>
      </w:r>
      <w:r w:rsidR="00EE4FC3">
        <w:t xml:space="preserve"> </w:t>
      </w:r>
      <w:r w:rsidRPr="00382917">
        <w:t>will</w:t>
      </w:r>
      <w:r w:rsidR="00EE4FC3">
        <w:t xml:space="preserve"> </w:t>
      </w:r>
      <w:r w:rsidRPr="00382917">
        <w:t>be</w:t>
      </w:r>
      <w:r w:rsidR="00EE4FC3">
        <w:t xml:space="preserve"> </w:t>
      </w:r>
      <w:r w:rsidRPr="00382917">
        <w:t>powerless</w:t>
      </w:r>
      <w:r w:rsidR="00EE4FC3">
        <w:t xml:space="preserve"> </w:t>
      </w:r>
      <w:r w:rsidRPr="00382917">
        <w:t>to</w:t>
      </w:r>
      <w:r w:rsidR="00EE4FC3">
        <w:t xml:space="preserve"> </w:t>
      </w:r>
      <w:r w:rsidRPr="00382917">
        <w:t>quench.</w:t>
      </w:r>
      <w:r w:rsidR="009C713D" w:rsidRPr="00382917">
        <w:t>”</w:t>
      </w:r>
      <w:r w:rsidR="00FC4E1D">
        <w:rPr>
          <w:rStyle w:val="FootnoteReference"/>
        </w:rPr>
        <w:footnoteReference w:id="280"/>
      </w:r>
    </w:p>
    <w:p w:rsidR="00F1111D" w:rsidRPr="00382917" w:rsidRDefault="00F1111D" w:rsidP="00FC4E1D">
      <w:pPr>
        <w:pStyle w:val="Text"/>
      </w:pPr>
      <w:proofErr w:type="spellStart"/>
      <w:r w:rsidRPr="00382917">
        <w:t>Gobineau</w:t>
      </w:r>
      <w:proofErr w:type="spellEnd"/>
      <w:r w:rsidR="00EE4FC3">
        <w:t xml:space="preserve"> </w:t>
      </w:r>
      <w:r w:rsidRPr="00382917">
        <w:t>echoes</w:t>
      </w:r>
      <w:r w:rsidR="00EE4FC3">
        <w:t xml:space="preserve"> </w:t>
      </w:r>
      <w:r w:rsidRPr="00382917">
        <w:t>this</w:t>
      </w:r>
      <w:r w:rsidR="00EE4FC3">
        <w:t xml:space="preserve"> </w:t>
      </w:r>
      <w:r w:rsidRPr="00382917">
        <w:t>statement,</w:t>
      </w:r>
      <w:r w:rsidR="00EE4FC3">
        <w:t xml:space="preserve"> </w:t>
      </w:r>
      <w:r w:rsidRPr="00382917">
        <w:t>recording</w:t>
      </w:r>
      <w:r w:rsidR="00EE4FC3">
        <w:t xml:space="preserve"> </w:t>
      </w:r>
      <w:r w:rsidRPr="00382917">
        <w:t>in</w:t>
      </w:r>
      <w:r w:rsidR="00EE4FC3">
        <w:t xml:space="preserve"> </w:t>
      </w:r>
      <w:r w:rsidRPr="00382917">
        <w:t>his</w:t>
      </w:r>
      <w:r w:rsidR="00EE4FC3">
        <w:t xml:space="preserve"> </w:t>
      </w:r>
      <w:r w:rsidRPr="00382917">
        <w:t>history</w:t>
      </w:r>
      <w:r w:rsidR="00EE4FC3">
        <w:t xml:space="preserve"> </w:t>
      </w:r>
      <w:r w:rsidRPr="00382917">
        <w:t>that</w:t>
      </w:r>
      <w:r w:rsidR="00EE4FC3">
        <w:t xml:space="preserve"> </w:t>
      </w:r>
      <w:r w:rsidR="009C713D" w:rsidRPr="00382917">
        <w:t>“</w:t>
      </w:r>
      <w:r w:rsidRPr="00382917">
        <w:t>instead</w:t>
      </w:r>
      <w:r w:rsidR="00EE4FC3">
        <w:t xml:space="preserve"> </w:t>
      </w:r>
      <w:r w:rsidRPr="00382917">
        <w:t>of</w:t>
      </w:r>
      <w:r w:rsidR="00EE4FC3">
        <w:t xml:space="preserve"> </w:t>
      </w:r>
      <w:r w:rsidRPr="00382917">
        <w:t>appeasing</w:t>
      </w:r>
      <w:r w:rsidR="00EE4FC3">
        <w:t xml:space="preserve"> </w:t>
      </w:r>
      <w:r w:rsidRPr="00382917">
        <w:t>the</w:t>
      </w:r>
      <w:r w:rsidR="00EE4FC3">
        <w:t xml:space="preserve"> </w:t>
      </w:r>
      <w:r w:rsidRPr="00382917">
        <w:t>flames,</w:t>
      </w:r>
      <w:r w:rsidR="00EE4FC3">
        <w:t xml:space="preserve"> </w:t>
      </w:r>
      <w:r w:rsidRPr="00382917">
        <w:t>it</w:t>
      </w:r>
      <w:r w:rsidR="00EE4FC3">
        <w:t xml:space="preserve"> </w:t>
      </w:r>
      <w:r w:rsidRPr="00382917">
        <w:t>had</w:t>
      </w:r>
      <w:r w:rsidR="00EE4FC3">
        <w:t xml:space="preserve"> </w:t>
      </w:r>
      <w:r w:rsidRPr="00382917">
        <w:t>fanned</w:t>
      </w:r>
      <w:r w:rsidR="00EE4FC3">
        <w:t xml:space="preserve"> </w:t>
      </w:r>
      <w:r w:rsidRPr="00382917">
        <w:t>them</w:t>
      </w:r>
      <w:r w:rsidR="00EE4FC3">
        <w:t xml:space="preserve"> </w:t>
      </w:r>
      <w:r w:rsidRPr="00382917">
        <w:t>into</w:t>
      </w:r>
      <w:r w:rsidR="00EE4FC3">
        <w:t xml:space="preserve"> </w:t>
      </w:r>
      <w:r w:rsidRPr="00382917">
        <w:t>greater</w:t>
      </w:r>
      <w:r w:rsidR="00EE4FC3">
        <w:t xml:space="preserve"> </w:t>
      </w:r>
      <w:r w:rsidRPr="00382917">
        <w:t>violence.</w:t>
      </w:r>
      <w:r w:rsidR="009C713D" w:rsidRPr="00382917">
        <w:t>”</w:t>
      </w:r>
      <w:r w:rsidR="00FC4E1D">
        <w:rPr>
          <w:rStyle w:val="FootnoteReference"/>
        </w:rPr>
        <w:footnoteReference w:id="281"/>
      </w:r>
    </w:p>
    <w:p w:rsidR="00F1111D" w:rsidRPr="00382917" w:rsidRDefault="00F1111D" w:rsidP="00244241">
      <w:pPr>
        <w:pStyle w:val="Text"/>
      </w:pPr>
      <w:r w:rsidRPr="00382917">
        <w:t>Judged</w:t>
      </w:r>
      <w:r w:rsidR="00EE4FC3">
        <w:t xml:space="preserve"> </w:t>
      </w:r>
      <w:r w:rsidRPr="00382917">
        <w:t>by</w:t>
      </w:r>
      <w:r w:rsidR="00EE4FC3">
        <w:t xml:space="preserve"> </w:t>
      </w:r>
      <w:r w:rsidRPr="00382917">
        <w:t>the</w:t>
      </w:r>
      <w:r w:rsidR="00EE4FC3">
        <w:t xml:space="preserve"> </w:t>
      </w:r>
      <w:r w:rsidRPr="00382917">
        <w:t>standards</w:t>
      </w:r>
      <w:r w:rsidR="00EE4FC3">
        <w:t xml:space="preserve"> </w:t>
      </w:r>
      <w:r w:rsidRPr="00382917">
        <w:t>of</w:t>
      </w:r>
      <w:r w:rsidR="00EE4FC3">
        <w:t xml:space="preserve"> </w:t>
      </w:r>
      <w:r w:rsidRPr="00382917">
        <w:t>the</w:t>
      </w:r>
      <w:r w:rsidR="00EE4FC3">
        <w:t xml:space="preserve"> </w:t>
      </w:r>
      <w:r w:rsidRPr="00382917">
        <w:t>world,</w:t>
      </w:r>
      <w:r w:rsidR="00EE4FC3">
        <w:t xml:space="preserve"> </w:t>
      </w:r>
      <w:r w:rsidRPr="00382917">
        <w:t>the</w:t>
      </w:r>
      <w:r w:rsidR="00EE4FC3">
        <w:t xml:space="preserve"> </w:t>
      </w:r>
      <w:r w:rsidRPr="00382917">
        <w:t>life</w:t>
      </w:r>
      <w:r w:rsidR="00EE4FC3">
        <w:t xml:space="preserve"> </w:t>
      </w:r>
      <w:r w:rsidRPr="00382917">
        <w:t>of</w:t>
      </w:r>
      <w:r w:rsidR="00EE4FC3">
        <w:t xml:space="preserve"> </w:t>
      </w:r>
      <w:r w:rsidRPr="00382917">
        <w:t>Christ</w:t>
      </w:r>
      <w:r w:rsidR="00EE4FC3">
        <w:t xml:space="preserve"> </w:t>
      </w:r>
      <w:r w:rsidRPr="00382917">
        <w:t>had</w:t>
      </w:r>
      <w:r w:rsidR="00EE4FC3">
        <w:t xml:space="preserve"> </w:t>
      </w:r>
      <w:r w:rsidRPr="00382917">
        <w:t>been</w:t>
      </w:r>
      <w:r w:rsidR="00EE4FC3">
        <w:t xml:space="preserve"> </w:t>
      </w:r>
      <w:r w:rsidRPr="00382917">
        <w:t>a</w:t>
      </w:r>
      <w:r w:rsidR="00EE4FC3">
        <w:t xml:space="preserve"> </w:t>
      </w:r>
      <w:r w:rsidRPr="00382917">
        <w:t>catastrophic</w:t>
      </w:r>
      <w:r w:rsidR="00EE4FC3">
        <w:t xml:space="preserve"> </w:t>
      </w:r>
      <w:r w:rsidRPr="00382917">
        <w:t>failure</w:t>
      </w:r>
      <w:r w:rsidR="00330AF7">
        <w:t>.</w:t>
      </w:r>
      <w:r w:rsidR="00EE4FC3">
        <w:t xml:space="preserve">  </w:t>
      </w:r>
      <w:r w:rsidRPr="00382917">
        <w:t>Of</w:t>
      </w:r>
      <w:r w:rsidR="00EE4FC3">
        <w:t xml:space="preserve"> </w:t>
      </w:r>
      <w:r w:rsidRPr="00382917">
        <w:t>His</w:t>
      </w:r>
      <w:r w:rsidR="00EE4FC3">
        <w:t xml:space="preserve"> </w:t>
      </w:r>
      <w:r w:rsidRPr="00382917">
        <w:t>chosen</w:t>
      </w:r>
      <w:r w:rsidR="00EE4FC3">
        <w:t xml:space="preserve"> </w:t>
      </w:r>
      <w:r w:rsidRPr="00382917">
        <w:t>disciples</w:t>
      </w:r>
      <w:r w:rsidR="00EE4FC3">
        <w:t xml:space="preserve"> </w:t>
      </w:r>
      <w:r w:rsidRPr="00382917">
        <w:t>one</w:t>
      </w:r>
      <w:r w:rsidR="00EE4FC3">
        <w:t xml:space="preserve"> </w:t>
      </w:r>
      <w:r w:rsidRPr="00382917">
        <w:t>had</w:t>
      </w:r>
      <w:r w:rsidR="00EE4FC3">
        <w:t xml:space="preserve"> </w:t>
      </w:r>
      <w:r w:rsidRPr="00382917">
        <w:t>betrayed</w:t>
      </w:r>
      <w:r w:rsidR="00EE4FC3">
        <w:t xml:space="preserve"> </w:t>
      </w:r>
      <w:proofErr w:type="gramStart"/>
      <w:r w:rsidRPr="00382917">
        <w:t>Him,</w:t>
      </w:r>
      <w:proofErr w:type="gramEnd"/>
      <w:r w:rsidR="00EE4FC3">
        <w:t xml:space="preserve"> </w:t>
      </w:r>
      <w:r w:rsidRPr="00382917">
        <w:t>another</w:t>
      </w:r>
      <w:r w:rsidR="00EE4FC3">
        <w:t xml:space="preserve"> </w:t>
      </w:r>
      <w:r w:rsidRPr="00382917">
        <w:t>had</w:t>
      </w:r>
      <w:r w:rsidR="00EE4FC3">
        <w:t xml:space="preserve"> </w:t>
      </w:r>
      <w:r w:rsidRPr="00382917">
        <w:t>denied</w:t>
      </w:r>
      <w:r w:rsidR="00EE4FC3">
        <w:t xml:space="preserve"> </w:t>
      </w:r>
      <w:r w:rsidRPr="00382917">
        <w:t>Him,</w:t>
      </w:r>
      <w:r w:rsidR="00EE4FC3">
        <w:t xml:space="preserve"> </w:t>
      </w:r>
      <w:r w:rsidRPr="00382917">
        <w:t>and</w:t>
      </w:r>
      <w:r w:rsidR="00EE4FC3">
        <w:t xml:space="preserve"> </w:t>
      </w:r>
      <w:r w:rsidRPr="00382917">
        <w:t>only</w:t>
      </w:r>
      <w:r w:rsidR="00EE4FC3">
        <w:t xml:space="preserve"> </w:t>
      </w:r>
      <w:r w:rsidRPr="00382917">
        <w:t>a</w:t>
      </w:r>
      <w:r w:rsidR="00EE4FC3">
        <w:t xml:space="preserve"> </w:t>
      </w:r>
      <w:r w:rsidRPr="00382917">
        <w:t>handful</w:t>
      </w:r>
      <w:r w:rsidR="00EE4FC3">
        <w:t xml:space="preserve"> </w:t>
      </w:r>
      <w:r w:rsidRPr="00382917">
        <w:t>stood</w:t>
      </w:r>
      <w:r w:rsidR="00EE4FC3">
        <w:t xml:space="preserve"> </w:t>
      </w:r>
      <w:r w:rsidRPr="00382917">
        <w:t>at</w:t>
      </w:r>
      <w:r w:rsidR="00EE4FC3">
        <w:t xml:space="preserve"> </w:t>
      </w:r>
      <w:r w:rsidRPr="00382917">
        <w:t>the</w:t>
      </w:r>
      <w:r w:rsidR="00EE4FC3">
        <w:t xml:space="preserve"> </w:t>
      </w:r>
      <w:r w:rsidRPr="00382917">
        <w:t>foot</w:t>
      </w:r>
      <w:r w:rsidR="00EE4FC3">
        <w:t xml:space="preserve"> </w:t>
      </w:r>
      <w:r w:rsidRPr="00382917">
        <w:t>of</w:t>
      </w:r>
      <w:r w:rsidR="00EE4FC3">
        <w:t xml:space="preserve"> </w:t>
      </w:r>
      <w:r w:rsidRPr="00382917">
        <w:t>the</w:t>
      </w:r>
      <w:r w:rsidR="00EE4FC3">
        <w:t xml:space="preserve"> </w:t>
      </w:r>
      <w:r w:rsidRPr="00382917">
        <w:t>cross</w:t>
      </w:r>
      <w:r w:rsidR="00330AF7">
        <w:t>.</w:t>
      </w:r>
      <w:r w:rsidR="00EE4FC3">
        <w:t xml:space="preserve">  </w:t>
      </w:r>
      <w:r w:rsidRPr="00382917">
        <w:t>Centuries</w:t>
      </w:r>
      <w:r w:rsidR="00EE4FC3">
        <w:t xml:space="preserve"> </w:t>
      </w:r>
      <w:r w:rsidRPr="00382917">
        <w:t>were</w:t>
      </w:r>
      <w:r w:rsidR="00EE4FC3">
        <w:t xml:space="preserve"> </w:t>
      </w:r>
      <w:r w:rsidRPr="00382917">
        <w:t>to</w:t>
      </w:r>
      <w:r w:rsidR="00EE4FC3">
        <w:t xml:space="preserve"> </w:t>
      </w:r>
      <w:r w:rsidRPr="00382917">
        <w:t>pass</w:t>
      </w:r>
      <w:r w:rsidR="00EE4FC3">
        <w:t xml:space="preserve"> </w:t>
      </w:r>
      <w:r w:rsidRPr="00382917">
        <w:t>before</w:t>
      </w:r>
      <w:r w:rsidR="00EE4FC3">
        <w:t xml:space="preserve"> </w:t>
      </w:r>
      <w:r w:rsidRPr="00382917">
        <w:t>the</w:t>
      </w:r>
      <w:r w:rsidR="00EE4FC3">
        <w:t xml:space="preserve"> </w:t>
      </w:r>
      <w:r w:rsidRPr="00382917">
        <w:t>world</w:t>
      </w:r>
      <w:r w:rsidR="00EE4FC3">
        <w:t xml:space="preserve"> </w:t>
      </w:r>
      <w:r w:rsidRPr="00382917">
        <w:t>ever</w:t>
      </w:r>
      <w:r w:rsidR="00EE4FC3">
        <w:t xml:space="preserve"> </w:t>
      </w:r>
      <w:r w:rsidRPr="00382917">
        <w:t>heard</w:t>
      </w:r>
      <w:r w:rsidR="00EE4FC3">
        <w:t xml:space="preserve"> </w:t>
      </w:r>
      <w:r w:rsidRPr="00382917">
        <w:t>of</w:t>
      </w:r>
      <w:r w:rsidR="00EE4FC3">
        <w:t xml:space="preserve"> </w:t>
      </w:r>
      <w:r w:rsidRPr="00382917">
        <w:t>His</w:t>
      </w:r>
      <w:r w:rsidR="00EE4FC3">
        <w:t xml:space="preserve"> </w:t>
      </w:r>
      <w:r w:rsidRPr="00382917">
        <w:t>name</w:t>
      </w:r>
      <w:r w:rsidR="00330AF7">
        <w:t>.</w:t>
      </w:r>
      <w:r w:rsidR="00EE4FC3">
        <w:t xml:space="preserve">  </w:t>
      </w:r>
      <w:r w:rsidRPr="00382917">
        <w:t>Judged</w:t>
      </w:r>
      <w:r w:rsidR="00EE4FC3">
        <w:t xml:space="preserve"> </w:t>
      </w:r>
      <w:r w:rsidRPr="00382917">
        <w:t>by</w:t>
      </w:r>
      <w:r w:rsidR="00EE4FC3">
        <w:t xml:space="preserve"> </w:t>
      </w:r>
      <w:r w:rsidRPr="00382917">
        <w:t>the</w:t>
      </w:r>
      <w:r w:rsidR="00EE4FC3">
        <w:t xml:space="preserve"> </w:t>
      </w:r>
      <w:r w:rsidRPr="00382917">
        <w:t>standards</w:t>
      </w:r>
      <w:r w:rsidR="00EE4FC3">
        <w:t xml:space="preserve"> </w:t>
      </w:r>
      <w:r w:rsidRPr="00382917">
        <w:t>of</w:t>
      </w:r>
      <w:r w:rsidR="00EE4FC3">
        <w:t xml:space="preserve"> </w:t>
      </w:r>
      <w:r w:rsidRPr="00382917">
        <w:t>the</w:t>
      </w:r>
      <w:r w:rsidR="00EE4FC3">
        <w:t xml:space="preserve"> </w:t>
      </w:r>
      <w:r w:rsidRPr="00382917">
        <w:t>same</w:t>
      </w:r>
      <w:r w:rsidR="00EE4FC3">
        <w:t xml:space="preserve"> </w:t>
      </w:r>
      <w:r w:rsidRPr="00382917">
        <w:t>world,</w:t>
      </w:r>
      <w:r w:rsidR="00EE4FC3">
        <w:t xml:space="preserve"> </w:t>
      </w:r>
      <w:r w:rsidRPr="00382917">
        <w:t>the</w:t>
      </w:r>
      <w:r w:rsidR="00EE4FC3">
        <w:t xml:space="preserve"> </w:t>
      </w:r>
      <w:r w:rsidRPr="00382917">
        <w:t>life</w:t>
      </w:r>
      <w:r w:rsidR="00EE4FC3">
        <w:t xml:space="preserve"> </w:t>
      </w:r>
      <w:r w:rsidRPr="00382917">
        <w:t>of</w:t>
      </w:r>
      <w:r w:rsidR="00EE4FC3">
        <w:t xml:space="preserve"> </w:t>
      </w:r>
      <w:r w:rsidRPr="00382917">
        <w:t>the</w:t>
      </w:r>
      <w:r w:rsidR="00EE4FC3">
        <w:t xml:space="preserve"> </w:t>
      </w:r>
      <w:r w:rsidRPr="00382917">
        <w:t>ill-fated</w:t>
      </w:r>
      <w:r w:rsidR="00EE4FC3">
        <w:t xml:space="preserve"> </w:t>
      </w:r>
      <w:r w:rsidRPr="00382917">
        <w:t>Youth</w:t>
      </w:r>
      <w:r w:rsidR="00EE4FC3">
        <w:t xml:space="preserve"> </w:t>
      </w:r>
      <w:r w:rsidRPr="00382917">
        <w:t>of</w:t>
      </w:r>
      <w:r w:rsidR="00EE4FC3">
        <w:t xml:space="preserve"> </w:t>
      </w:r>
      <w:r w:rsidR="008A073E" w:rsidRPr="00382917">
        <w:rPr>
          <w:u w:val="single"/>
        </w:rPr>
        <w:t>Sh</w:t>
      </w:r>
      <w:r w:rsidR="008A073E" w:rsidRPr="00382917">
        <w:t>íráz</w:t>
      </w:r>
      <w:r w:rsidR="00EE4FC3">
        <w:t xml:space="preserve"> </w:t>
      </w:r>
      <w:r w:rsidRPr="00382917">
        <w:t>appeared</w:t>
      </w:r>
      <w:r w:rsidR="00EE4FC3">
        <w:t xml:space="preserve"> </w:t>
      </w:r>
      <w:r w:rsidRPr="00382917">
        <w:t>to</w:t>
      </w:r>
      <w:r w:rsidR="00EE4FC3">
        <w:t xml:space="preserve"> </w:t>
      </w:r>
      <w:r w:rsidRPr="00382917">
        <w:t>be</w:t>
      </w:r>
      <w:r w:rsidR="00EE4FC3">
        <w:t xml:space="preserve"> </w:t>
      </w:r>
      <w:r w:rsidRPr="00382917">
        <w:t>one</w:t>
      </w:r>
      <w:r w:rsidR="00EE4FC3">
        <w:t xml:space="preserve"> </w:t>
      </w:r>
      <w:r w:rsidRPr="00382917">
        <w:t>of</w:t>
      </w:r>
      <w:r w:rsidR="00EE4FC3">
        <w:t xml:space="preserve"> </w:t>
      </w:r>
      <w:r w:rsidRPr="00382917">
        <w:t>the</w:t>
      </w:r>
      <w:r w:rsidR="00EE4FC3">
        <w:t xml:space="preserve"> </w:t>
      </w:r>
      <w:r w:rsidRPr="00382917">
        <w:t>saddest</w:t>
      </w:r>
      <w:r w:rsidR="00EE4FC3">
        <w:t xml:space="preserve"> </w:t>
      </w:r>
      <w:r w:rsidRPr="00382917">
        <w:t>and</w:t>
      </w:r>
      <w:r w:rsidR="00EE4FC3">
        <w:t xml:space="preserve"> </w:t>
      </w:r>
      <w:r w:rsidRPr="00382917">
        <w:t>most</w:t>
      </w:r>
      <w:r w:rsidR="00EE4FC3">
        <w:t xml:space="preserve"> </w:t>
      </w:r>
      <w:r w:rsidRPr="00382917">
        <w:t>fruitless</w:t>
      </w:r>
      <w:r w:rsidR="00EE4FC3">
        <w:t xml:space="preserve"> </w:t>
      </w:r>
      <w:r w:rsidRPr="00382917">
        <w:t>in</w:t>
      </w:r>
      <w:r w:rsidR="00EE4FC3">
        <w:t xml:space="preserve"> </w:t>
      </w:r>
      <w:r w:rsidRPr="00382917">
        <w:t>history</w:t>
      </w:r>
      <w:r w:rsidR="00330AF7">
        <w:t>.</w:t>
      </w:r>
      <w:r w:rsidR="00EE4FC3">
        <w:t xml:space="preserve">  </w:t>
      </w:r>
      <w:r w:rsidRPr="00382917">
        <w:t>The</w:t>
      </w:r>
      <w:r w:rsidR="00EE4FC3">
        <w:t xml:space="preserve"> </w:t>
      </w:r>
      <w:r w:rsidRPr="00382917">
        <w:t>work</w:t>
      </w:r>
      <w:r w:rsidR="00EE4FC3">
        <w:t xml:space="preserve"> </w:t>
      </w:r>
      <w:r w:rsidRPr="00382917">
        <w:t>He</w:t>
      </w:r>
      <w:r w:rsidR="00EE4FC3">
        <w:t xml:space="preserve"> </w:t>
      </w:r>
      <w:r w:rsidRPr="00382917">
        <w:t>had</w:t>
      </w:r>
      <w:r w:rsidR="00EE4FC3">
        <w:t xml:space="preserve"> </w:t>
      </w:r>
      <w:r w:rsidRPr="00382917">
        <w:t>so</w:t>
      </w:r>
      <w:r w:rsidR="00EE4FC3">
        <w:t xml:space="preserve"> </w:t>
      </w:r>
      <w:r w:rsidRPr="00382917">
        <w:t>gloriously</w:t>
      </w:r>
      <w:r w:rsidR="00EE4FC3">
        <w:t xml:space="preserve"> </w:t>
      </w:r>
      <w:r w:rsidRPr="00382917">
        <w:t>conceived</w:t>
      </w:r>
      <w:r w:rsidR="00EE4FC3">
        <w:t xml:space="preserve"> </w:t>
      </w:r>
      <w:r w:rsidRPr="00382917">
        <w:t>and</w:t>
      </w:r>
      <w:r w:rsidR="00EE4FC3">
        <w:t xml:space="preserve"> </w:t>
      </w:r>
      <w:r w:rsidRPr="00382917">
        <w:t>so</w:t>
      </w:r>
      <w:r w:rsidR="00EE4FC3">
        <w:t xml:space="preserve"> </w:t>
      </w:r>
      <w:r w:rsidRPr="00382917">
        <w:t>heroically</w:t>
      </w:r>
      <w:r w:rsidR="00EE4FC3">
        <w:t xml:space="preserve"> </w:t>
      </w:r>
      <w:r w:rsidRPr="00382917">
        <w:t>undertaken,</w:t>
      </w:r>
      <w:r w:rsidR="00EE4FC3">
        <w:t xml:space="preserve"> </w:t>
      </w:r>
      <w:r w:rsidRPr="00382917">
        <w:t>seemed</w:t>
      </w:r>
      <w:r w:rsidR="00EE4FC3">
        <w:t xml:space="preserve"> </w:t>
      </w:r>
      <w:r w:rsidRPr="00382917">
        <w:t>to</w:t>
      </w:r>
      <w:r w:rsidR="00EE4FC3">
        <w:t xml:space="preserve"> </w:t>
      </w:r>
      <w:r w:rsidRPr="00382917">
        <w:t>have</w:t>
      </w:r>
      <w:r w:rsidR="00EE4FC3">
        <w:t xml:space="preserve"> </w:t>
      </w:r>
      <w:r w:rsidRPr="00382917">
        <w:t>ended</w:t>
      </w:r>
      <w:r w:rsidR="00EE4FC3">
        <w:t xml:space="preserve"> </w:t>
      </w:r>
      <w:r w:rsidRPr="00382917">
        <w:t>in</w:t>
      </w:r>
      <w:r w:rsidR="00EE4FC3">
        <w:t xml:space="preserve"> </w:t>
      </w:r>
      <w:r w:rsidRPr="00382917">
        <w:t>a</w:t>
      </w:r>
      <w:r w:rsidR="00EE4FC3">
        <w:t xml:space="preserve"> </w:t>
      </w:r>
      <w:r w:rsidRPr="00382917">
        <w:t>colossal</w:t>
      </w:r>
      <w:r w:rsidR="00EE4FC3">
        <w:t xml:space="preserve"> </w:t>
      </w:r>
      <w:r w:rsidRPr="00382917">
        <w:t>disaster.</w:t>
      </w:r>
    </w:p>
    <w:p w:rsidR="00F1111D" w:rsidRPr="00382917" w:rsidRDefault="00F1111D" w:rsidP="00244241">
      <w:pPr>
        <w:pStyle w:val="Text"/>
      </w:pPr>
      <w:r w:rsidRPr="00382917">
        <w:t>Swift</w:t>
      </w:r>
      <w:r w:rsidR="00EE4FC3">
        <w:t xml:space="preserve"> </w:t>
      </w:r>
      <w:r w:rsidRPr="00382917">
        <w:t>as</w:t>
      </w:r>
      <w:r w:rsidR="00EE4FC3">
        <w:t xml:space="preserve"> </w:t>
      </w:r>
      <w:r w:rsidRPr="00382917">
        <w:t>a</w:t>
      </w:r>
      <w:r w:rsidR="00EE4FC3">
        <w:t xml:space="preserve"> </w:t>
      </w:r>
      <w:r w:rsidRPr="00382917">
        <w:t>meteor</w:t>
      </w:r>
      <w:r w:rsidR="00EE4FC3">
        <w:t xml:space="preserve"> </w:t>
      </w:r>
      <w:r w:rsidRPr="00382917">
        <w:t>that</w:t>
      </w:r>
      <w:r w:rsidR="00EE4FC3">
        <w:t xml:space="preserve"> </w:t>
      </w:r>
      <w:r w:rsidRPr="00382917">
        <w:t>short</w:t>
      </w:r>
      <w:r w:rsidR="00EE4FC3">
        <w:t xml:space="preserve"> </w:t>
      </w:r>
      <w:r w:rsidRPr="00382917">
        <w:t>heroic</w:t>
      </w:r>
      <w:r w:rsidR="00EE4FC3">
        <w:t xml:space="preserve"> </w:t>
      </w:r>
      <w:r w:rsidRPr="00382917">
        <w:t>career</w:t>
      </w:r>
      <w:r w:rsidR="00EE4FC3">
        <w:t xml:space="preserve"> </w:t>
      </w:r>
      <w:r w:rsidRPr="00382917">
        <w:t>had</w:t>
      </w:r>
      <w:r w:rsidR="00EE4FC3">
        <w:t xml:space="preserve"> </w:t>
      </w:r>
      <w:r w:rsidRPr="00382917">
        <w:t>flashed</w:t>
      </w:r>
      <w:r w:rsidR="00EE4FC3">
        <w:t xml:space="preserve"> </w:t>
      </w:r>
      <w:r w:rsidRPr="00382917">
        <w:t>across</w:t>
      </w:r>
      <w:r w:rsidR="00EE4FC3">
        <w:t xml:space="preserve"> </w:t>
      </w:r>
      <w:r w:rsidRPr="00382917">
        <w:t>the</w:t>
      </w:r>
      <w:r w:rsidR="00EE4FC3">
        <w:t xml:space="preserve"> </w:t>
      </w:r>
      <w:r w:rsidRPr="00382917">
        <w:t>skies</w:t>
      </w:r>
      <w:r w:rsidR="00EE4FC3">
        <w:t xml:space="preserve"> </w:t>
      </w:r>
      <w:r w:rsidRPr="00382917">
        <w:t>of</w:t>
      </w:r>
      <w:r w:rsidR="00EE4FC3">
        <w:t xml:space="preserve"> </w:t>
      </w:r>
      <w:r w:rsidRPr="00382917">
        <w:t>Persia</w:t>
      </w:r>
      <w:r w:rsidR="00330AF7">
        <w:t>.</w:t>
      </w:r>
      <w:r w:rsidR="00EE4FC3">
        <w:t xml:space="preserve">  </w:t>
      </w:r>
      <w:r w:rsidRPr="00382917">
        <w:t>Now</w:t>
      </w:r>
      <w:r w:rsidR="00EE4FC3">
        <w:t xml:space="preserve"> </w:t>
      </w:r>
      <w:r w:rsidRPr="00382917">
        <w:t>death</w:t>
      </w:r>
      <w:r w:rsidR="00EE4FC3">
        <w:t xml:space="preserve"> </w:t>
      </w:r>
      <w:r w:rsidRPr="00382917">
        <w:t>had</w:t>
      </w:r>
      <w:r w:rsidR="00EE4FC3">
        <w:t xml:space="preserve"> </w:t>
      </w:r>
      <w:r w:rsidRPr="00382917">
        <w:t>plunged</w:t>
      </w:r>
      <w:r w:rsidR="00EE4FC3">
        <w:t xml:space="preserve"> </w:t>
      </w:r>
      <w:r w:rsidRPr="00382917">
        <w:t>it</w:t>
      </w:r>
      <w:r w:rsidR="00EE4FC3">
        <w:t xml:space="preserve"> </w:t>
      </w:r>
      <w:r w:rsidRPr="00382917">
        <w:t>into</w:t>
      </w:r>
      <w:r w:rsidR="00EE4FC3">
        <w:t xml:space="preserve"> </w:t>
      </w:r>
      <w:r w:rsidRPr="00382917">
        <w:t>the</w:t>
      </w:r>
      <w:r w:rsidR="00EE4FC3">
        <w:t xml:space="preserve"> </w:t>
      </w:r>
      <w:r w:rsidRPr="00382917">
        <w:t>darkness</w:t>
      </w:r>
      <w:r w:rsidR="00EE4FC3">
        <w:t xml:space="preserve"> </w:t>
      </w:r>
      <w:r w:rsidRPr="00382917">
        <w:t>of</w:t>
      </w:r>
      <w:r w:rsidR="00EE4FC3">
        <w:t xml:space="preserve"> </w:t>
      </w:r>
      <w:r w:rsidRPr="00382917">
        <w:t>despair</w:t>
      </w:r>
      <w:r w:rsidR="00330AF7">
        <w:t>.</w:t>
      </w:r>
      <w:r w:rsidR="00EE4FC3">
        <w:t xml:space="preserve">  </w:t>
      </w:r>
      <w:r w:rsidRPr="00382917">
        <w:t>This</w:t>
      </w:r>
      <w:r w:rsidR="00EE4FC3">
        <w:t xml:space="preserve"> </w:t>
      </w:r>
      <w:r w:rsidRPr="00382917">
        <w:t>was</w:t>
      </w:r>
      <w:r w:rsidR="00EE4FC3">
        <w:t xml:space="preserve"> </w:t>
      </w:r>
      <w:r w:rsidRPr="00382917">
        <w:t>but</w:t>
      </w:r>
      <w:r w:rsidR="00EE4FC3">
        <w:t xml:space="preserve"> </w:t>
      </w:r>
      <w:r w:rsidRPr="00382917">
        <w:t>the</w:t>
      </w:r>
      <w:r w:rsidR="00EE4FC3">
        <w:t xml:space="preserve"> </w:t>
      </w:r>
      <w:r w:rsidRPr="00382917">
        <w:t>last</w:t>
      </w:r>
      <w:r w:rsidR="00EE4FC3">
        <w:t xml:space="preserve"> </w:t>
      </w:r>
      <w:r w:rsidRPr="00382917">
        <w:t>in</w:t>
      </w:r>
      <w:r w:rsidR="00EE4FC3">
        <w:t xml:space="preserve"> </w:t>
      </w:r>
      <w:r w:rsidRPr="00382917">
        <w:t>the</w:t>
      </w:r>
      <w:r w:rsidR="00EE4FC3">
        <w:t xml:space="preserve"> </w:t>
      </w:r>
      <w:r w:rsidRPr="00382917">
        <w:t>series</w:t>
      </w:r>
      <w:r w:rsidR="00EE4FC3">
        <w:t xml:space="preserve"> </w:t>
      </w:r>
      <w:r w:rsidRPr="00382917">
        <w:t>of</w:t>
      </w:r>
      <w:r w:rsidR="00EE4FC3">
        <w:t xml:space="preserve"> </w:t>
      </w:r>
      <w:r w:rsidRPr="00382917">
        <w:t>heartbreaks</w:t>
      </w:r>
      <w:r w:rsidR="00EE4FC3">
        <w:t xml:space="preserve"> </w:t>
      </w:r>
      <w:r w:rsidRPr="00382917">
        <w:t>which</w:t>
      </w:r>
      <w:r w:rsidR="00EE4FC3">
        <w:t xml:space="preserve"> </w:t>
      </w:r>
      <w:r w:rsidRPr="00382917">
        <w:t>had</w:t>
      </w:r>
      <w:r w:rsidR="00EE4FC3">
        <w:t xml:space="preserve"> </w:t>
      </w:r>
      <w:r w:rsidRPr="00382917">
        <w:t>beset</w:t>
      </w:r>
      <w:r w:rsidR="00EE4FC3">
        <w:t xml:space="preserve"> </w:t>
      </w:r>
      <w:r w:rsidRPr="00382917">
        <w:t>His</w:t>
      </w:r>
      <w:r w:rsidR="00EE4FC3">
        <w:t xml:space="preserve"> </w:t>
      </w:r>
      <w:r w:rsidRPr="00382917">
        <w:t>path</w:t>
      </w:r>
      <w:r w:rsidR="00EE4FC3">
        <w:t xml:space="preserve"> </w:t>
      </w:r>
      <w:r w:rsidRPr="00382917">
        <w:t>from</w:t>
      </w:r>
      <w:r w:rsidR="00EE4FC3">
        <w:t xml:space="preserve"> </w:t>
      </w:r>
      <w:r w:rsidRPr="00382917">
        <w:t>the</w:t>
      </w:r>
      <w:r w:rsidR="00EE4FC3">
        <w:t xml:space="preserve"> </w:t>
      </w:r>
      <w:r w:rsidRPr="00382917">
        <w:t>beginning.</w:t>
      </w:r>
    </w:p>
    <w:p w:rsidR="00F1111D" w:rsidRPr="00382917" w:rsidRDefault="00F1111D" w:rsidP="00244241">
      <w:pPr>
        <w:pStyle w:val="Text"/>
      </w:pPr>
      <w:r w:rsidRPr="00382917">
        <w:t>At</w:t>
      </w:r>
      <w:r w:rsidR="00EE4FC3">
        <w:t xml:space="preserve"> </w:t>
      </w:r>
      <w:r w:rsidRPr="00382917">
        <w:t>the</w:t>
      </w:r>
      <w:r w:rsidR="00EE4FC3">
        <w:t xml:space="preserve"> </w:t>
      </w:r>
      <w:r w:rsidRPr="00382917">
        <w:t>very</w:t>
      </w:r>
      <w:r w:rsidR="00EE4FC3">
        <w:t xml:space="preserve"> </w:t>
      </w:r>
      <w:r w:rsidRPr="00382917">
        <w:t>outset</w:t>
      </w:r>
      <w:r w:rsidR="00EE4FC3">
        <w:t xml:space="preserve"> </w:t>
      </w:r>
      <w:r w:rsidRPr="00382917">
        <w:t>of</w:t>
      </w:r>
      <w:r w:rsidR="00EE4FC3">
        <w:t xml:space="preserve"> </w:t>
      </w:r>
      <w:r w:rsidRPr="00382917">
        <w:t>His</w:t>
      </w:r>
      <w:r w:rsidR="00EE4FC3">
        <w:t xml:space="preserve"> </w:t>
      </w:r>
      <w:r w:rsidRPr="00382917">
        <w:t>career,</w:t>
      </w:r>
      <w:r w:rsidR="00EE4FC3">
        <w:t xml:space="preserve"> </w:t>
      </w:r>
      <w:r w:rsidRPr="00382917">
        <w:t>the</w:t>
      </w:r>
      <w:r w:rsidR="00EE4FC3">
        <w:t xml:space="preserve"> </w:t>
      </w:r>
      <w:r w:rsidRPr="00382917">
        <w:t>Báb</w:t>
      </w:r>
      <w:r w:rsidR="00EE4FC3">
        <w:t xml:space="preserve"> </w:t>
      </w:r>
      <w:r w:rsidRPr="00382917">
        <w:t>went</w:t>
      </w:r>
      <w:r w:rsidR="00EE4FC3">
        <w:t xml:space="preserve"> </w:t>
      </w:r>
      <w:r w:rsidRPr="00382917">
        <w:t>to</w:t>
      </w:r>
      <w:r w:rsidR="00EE4FC3">
        <w:t xml:space="preserve"> </w:t>
      </w:r>
      <w:r w:rsidRPr="00382917">
        <w:t>Mecca,</w:t>
      </w:r>
      <w:r w:rsidR="00EE4FC3">
        <w:t xml:space="preserve"> </w:t>
      </w:r>
      <w:r w:rsidRPr="00382917">
        <w:t>the</w:t>
      </w:r>
      <w:r w:rsidR="00EE4FC3">
        <w:t xml:space="preserve"> </w:t>
      </w:r>
      <w:r w:rsidRPr="00382917">
        <w:t>heart</w:t>
      </w:r>
      <w:r w:rsidR="00EE4FC3">
        <w:t xml:space="preserve"> </w:t>
      </w:r>
      <w:r w:rsidRPr="00382917">
        <w:t>of</w:t>
      </w:r>
      <w:r w:rsidR="00EE4FC3">
        <w:t xml:space="preserve"> </w:t>
      </w:r>
      <w:r w:rsidR="0040329F" w:rsidRPr="00382917">
        <w:t>Isl</w:t>
      </w:r>
      <w:r w:rsidR="0040329F" w:rsidRPr="0040329F">
        <w:t>á</w:t>
      </w:r>
      <w:r w:rsidR="0040329F" w:rsidRPr="00382917">
        <w:t>m</w:t>
      </w:r>
      <w:r w:rsidRPr="00382917">
        <w:t>,</w:t>
      </w:r>
      <w:r w:rsidR="00EE4FC3">
        <w:t xml:space="preserve"> </w:t>
      </w:r>
      <w:r w:rsidRPr="00382917">
        <w:t>to</w:t>
      </w:r>
      <w:r w:rsidR="00EE4FC3">
        <w:t xml:space="preserve"> </w:t>
      </w:r>
      <w:r w:rsidRPr="00382917">
        <w:t>proclaim</w:t>
      </w:r>
      <w:r w:rsidR="00EE4FC3">
        <w:t xml:space="preserve"> </w:t>
      </w:r>
      <w:r w:rsidRPr="00382917">
        <w:t>publicly</w:t>
      </w:r>
      <w:r w:rsidR="00EE4FC3">
        <w:t xml:space="preserve"> </w:t>
      </w:r>
      <w:r w:rsidRPr="00382917">
        <w:t>His</w:t>
      </w:r>
      <w:r w:rsidR="00EE4FC3">
        <w:t xml:space="preserve"> </w:t>
      </w:r>
      <w:r w:rsidRPr="00382917">
        <w:t>Mission</w:t>
      </w:r>
      <w:r w:rsidR="00330AF7">
        <w:t>.</w:t>
      </w:r>
      <w:r w:rsidR="00EE4FC3">
        <w:t xml:space="preserve">  </w:t>
      </w:r>
      <w:r w:rsidRPr="00382917">
        <w:t>He</w:t>
      </w:r>
      <w:r w:rsidR="00EE4FC3">
        <w:t xml:space="preserve"> </w:t>
      </w:r>
      <w:r w:rsidRPr="00382917">
        <w:t>was</w:t>
      </w:r>
      <w:r w:rsidR="00EE4FC3">
        <w:t xml:space="preserve"> </w:t>
      </w:r>
      <w:r w:rsidRPr="00382917">
        <w:t>treated</w:t>
      </w:r>
      <w:r w:rsidR="00EE4FC3">
        <w:t xml:space="preserve"> </w:t>
      </w:r>
      <w:r w:rsidRPr="00382917">
        <w:t>to</w:t>
      </w:r>
      <w:r w:rsidR="00EE4FC3">
        <w:t xml:space="preserve"> </w:t>
      </w:r>
      <w:r w:rsidRPr="00382917">
        <w:t>icy</w:t>
      </w:r>
      <w:r w:rsidR="00EE4FC3">
        <w:t xml:space="preserve"> </w:t>
      </w:r>
      <w:r w:rsidRPr="00382917">
        <w:t>indifference</w:t>
      </w:r>
      <w:r w:rsidR="00330AF7">
        <w:t>.</w:t>
      </w:r>
      <w:r w:rsidR="00EE4FC3">
        <w:t xml:space="preserve">  </w:t>
      </w:r>
      <w:r w:rsidRPr="00382917">
        <w:t>He</w:t>
      </w:r>
      <w:r w:rsidR="00EE4FC3">
        <w:t xml:space="preserve"> </w:t>
      </w:r>
      <w:r w:rsidRPr="00382917">
        <w:t>planned</w:t>
      </w:r>
      <w:r w:rsidR="00EE4FC3">
        <w:t xml:space="preserve"> </w:t>
      </w:r>
      <w:r w:rsidRPr="00382917">
        <w:t>to</w:t>
      </w:r>
      <w:r w:rsidR="00EE4FC3">
        <w:t xml:space="preserve"> </w:t>
      </w:r>
      <w:r w:rsidRPr="00382917">
        <w:t>return</w:t>
      </w:r>
      <w:r w:rsidR="00EE4FC3">
        <w:t xml:space="preserve"> </w:t>
      </w:r>
      <w:r w:rsidRPr="00382917">
        <w:t>to</w:t>
      </w:r>
      <w:r w:rsidR="00EE4FC3">
        <w:t xml:space="preserve"> </w:t>
      </w:r>
      <w:r w:rsidRPr="00382917">
        <w:t>the</w:t>
      </w:r>
      <w:r w:rsidR="00EE4FC3">
        <w:t xml:space="preserve"> </w:t>
      </w:r>
      <w:r w:rsidRPr="00382917">
        <w:t>city</w:t>
      </w:r>
      <w:r w:rsidR="00EE4FC3">
        <w:t xml:space="preserve"> </w:t>
      </w:r>
      <w:r w:rsidRPr="00382917">
        <w:t>of</w:t>
      </w:r>
      <w:r w:rsidR="00EE4FC3">
        <w:t xml:space="preserve"> </w:t>
      </w:r>
      <w:r w:rsidRPr="00382917">
        <w:t>Karbilá</w:t>
      </w:r>
      <w:r w:rsidR="00EE4FC3">
        <w:t xml:space="preserve"> </w:t>
      </w:r>
      <w:r w:rsidRPr="00382917">
        <w:t>and</w:t>
      </w:r>
      <w:r w:rsidR="00EE4FC3">
        <w:t xml:space="preserve"> </w:t>
      </w:r>
      <w:r w:rsidRPr="00382917">
        <w:t>establish</w:t>
      </w:r>
      <w:r w:rsidR="00EE4FC3">
        <w:t xml:space="preserve"> </w:t>
      </w:r>
      <w:r w:rsidRPr="00382917">
        <w:t>His</w:t>
      </w:r>
      <w:r w:rsidR="00EE4FC3">
        <w:t xml:space="preserve"> </w:t>
      </w:r>
      <w:r w:rsidRPr="00382917">
        <w:t>Cause</w:t>
      </w:r>
      <w:r w:rsidR="00330AF7">
        <w:t>.</w:t>
      </w:r>
      <w:r w:rsidR="00EE4FC3">
        <w:t xml:space="preserve">  </w:t>
      </w:r>
      <w:r w:rsidRPr="00382917">
        <w:t>His</w:t>
      </w:r>
      <w:r w:rsidR="00EE4FC3">
        <w:t xml:space="preserve"> </w:t>
      </w:r>
      <w:r w:rsidRPr="00382917">
        <w:t>arrest</w:t>
      </w:r>
      <w:r w:rsidR="00EE4FC3">
        <w:t xml:space="preserve"> </w:t>
      </w:r>
      <w:r w:rsidRPr="00382917">
        <w:t>prevented</w:t>
      </w:r>
      <w:r w:rsidR="00EE4FC3">
        <w:t xml:space="preserve"> </w:t>
      </w:r>
      <w:r w:rsidRPr="00382917">
        <w:t>it</w:t>
      </w:r>
      <w:r w:rsidR="00330AF7">
        <w:t>.</w:t>
      </w:r>
      <w:r w:rsidR="00EE4FC3">
        <w:t xml:space="preserve">  </w:t>
      </w:r>
      <w:r w:rsidRPr="00382917">
        <w:t>The</w:t>
      </w:r>
      <w:r w:rsidR="00EE4FC3">
        <w:t xml:space="preserve"> </w:t>
      </w:r>
      <w:r w:rsidRPr="00382917">
        <w:t>program</w:t>
      </w:r>
      <w:r w:rsidR="00EE4FC3">
        <w:t xml:space="preserve"> </w:t>
      </w:r>
      <w:r w:rsidRPr="00382917">
        <w:t>He</w:t>
      </w:r>
      <w:r w:rsidR="00EE4FC3">
        <w:t xml:space="preserve"> </w:t>
      </w:r>
      <w:r w:rsidRPr="00382917">
        <w:t>outlined</w:t>
      </w:r>
      <w:r w:rsidR="00EE4FC3">
        <w:t xml:space="preserve"> </w:t>
      </w:r>
      <w:r w:rsidRPr="00382917">
        <w:t>for</w:t>
      </w:r>
      <w:r w:rsidR="00EE4FC3">
        <w:t xml:space="preserve"> </w:t>
      </w:r>
      <w:r w:rsidRPr="00382917">
        <w:t>His</w:t>
      </w:r>
      <w:r w:rsidR="00EE4FC3">
        <w:t xml:space="preserve"> </w:t>
      </w:r>
      <w:r w:rsidRPr="00382917">
        <w:t>chosen</w:t>
      </w:r>
      <w:r w:rsidR="00EE4FC3">
        <w:t xml:space="preserve"> </w:t>
      </w:r>
      <w:r w:rsidRPr="00382917">
        <w:t>disciples</w:t>
      </w:r>
      <w:r w:rsidR="00EE4FC3">
        <w:t xml:space="preserve"> </w:t>
      </w:r>
      <w:r w:rsidRPr="00382917">
        <w:t>was</w:t>
      </w:r>
      <w:r w:rsidR="00EE4FC3">
        <w:t xml:space="preserve"> </w:t>
      </w:r>
      <w:r w:rsidRPr="00382917">
        <w:t>for</w:t>
      </w:r>
      <w:r w:rsidR="00EE4FC3">
        <w:t xml:space="preserve"> </w:t>
      </w:r>
      <w:r w:rsidRPr="00382917">
        <w:t>the</w:t>
      </w:r>
      <w:r w:rsidR="00EE4FC3">
        <w:t xml:space="preserve"> </w:t>
      </w:r>
      <w:r w:rsidRPr="00382917">
        <w:t>most</w:t>
      </w:r>
      <w:r w:rsidR="00EE4FC3">
        <w:t xml:space="preserve"> </w:t>
      </w:r>
      <w:r w:rsidRPr="00382917">
        <w:t>part</w:t>
      </w:r>
      <w:r w:rsidR="00EE4FC3">
        <w:t xml:space="preserve"> </w:t>
      </w:r>
      <w:r w:rsidRPr="00382917">
        <w:t>unfulfilled</w:t>
      </w:r>
      <w:r w:rsidR="00330AF7">
        <w:t>.</w:t>
      </w:r>
      <w:r w:rsidR="00EE4FC3">
        <w:t xml:space="preserve">  </w:t>
      </w:r>
      <w:r w:rsidRPr="00382917">
        <w:t>The</w:t>
      </w:r>
      <w:r w:rsidR="00EE4FC3">
        <w:t xml:space="preserve"> </w:t>
      </w:r>
      <w:r w:rsidRPr="00382917">
        <w:t>moderation</w:t>
      </w:r>
      <w:r w:rsidR="00EE4FC3">
        <w:t xml:space="preserve"> </w:t>
      </w:r>
      <w:r w:rsidRPr="00382917">
        <w:t>He</w:t>
      </w:r>
      <w:r w:rsidR="00EE4FC3">
        <w:t xml:space="preserve"> </w:t>
      </w:r>
      <w:r w:rsidRPr="00382917">
        <w:t>urged</w:t>
      </w:r>
      <w:r w:rsidR="00EE4FC3">
        <w:t xml:space="preserve"> </w:t>
      </w:r>
      <w:r w:rsidRPr="00382917">
        <w:t>them</w:t>
      </w:r>
      <w:r w:rsidR="00EE4FC3">
        <w:t xml:space="preserve"> </w:t>
      </w:r>
      <w:r w:rsidRPr="00382917">
        <w:t>to</w:t>
      </w:r>
      <w:r w:rsidR="00EE4FC3">
        <w:t xml:space="preserve"> </w:t>
      </w:r>
      <w:r w:rsidRPr="00382917">
        <w:t>observe</w:t>
      </w:r>
      <w:r w:rsidR="00EE4FC3">
        <w:t xml:space="preserve"> </w:t>
      </w:r>
      <w:r w:rsidRPr="00382917">
        <w:t>was</w:t>
      </w:r>
      <w:r w:rsidR="00EE4FC3">
        <w:t xml:space="preserve"> </w:t>
      </w:r>
      <w:r w:rsidRPr="00382917">
        <w:t>forgotten</w:t>
      </w:r>
      <w:r w:rsidR="00EE4FC3">
        <w:t xml:space="preserve"> </w:t>
      </w:r>
      <w:r w:rsidRPr="00382917">
        <w:t>in</w:t>
      </w:r>
      <w:r w:rsidR="00EE4FC3">
        <w:t xml:space="preserve"> </w:t>
      </w:r>
      <w:r w:rsidRPr="00382917">
        <w:t>the</w:t>
      </w:r>
      <w:r w:rsidR="00EE4FC3">
        <w:t xml:space="preserve"> </w:t>
      </w:r>
      <w:r w:rsidRPr="00382917">
        <w:t>first</w:t>
      </w:r>
      <w:r w:rsidR="00EE4FC3">
        <w:t xml:space="preserve"> </w:t>
      </w:r>
      <w:r w:rsidRPr="00382917">
        <w:t>flush</w:t>
      </w:r>
      <w:r w:rsidR="00EE4FC3">
        <w:t xml:space="preserve"> </w:t>
      </w:r>
      <w:r w:rsidRPr="00382917">
        <w:t>of</w:t>
      </w:r>
      <w:r w:rsidR="00EE4FC3">
        <w:t xml:space="preserve"> </w:t>
      </w:r>
      <w:r w:rsidRPr="00382917">
        <w:t>enthusiasm</w:t>
      </w:r>
      <w:r w:rsidR="00EE4FC3">
        <w:t xml:space="preserve"> </w:t>
      </w:r>
      <w:r w:rsidRPr="00382917">
        <w:t>that</w:t>
      </w:r>
      <w:r w:rsidR="00EE4FC3">
        <w:t xml:space="preserve"> </w:t>
      </w:r>
      <w:r w:rsidRPr="00382917">
        <w:t>seized</w:t>
      </w:r>
      <w:r w:rsidR="00EE4FC3">
        <w:t xml:space="preserve"> </w:t>
      </w:r>
      <w:r w:rsidRPr="00382917">
        <w:t>the</w:t>
      </w:r>
      <w:r w:rsidR="00EE4FC3">
        <w:t xml:space="preserve"> </w:t>
      </w:r>
      <w:r w:rsidRPr="00382917">
        <w:t>early</w:t>
      </w:r>
      <w:r w:rsidR="00EE4FC3">
        <w:t xml:space="preserve"> </w:t>
      </w:r>
      <w:r w:rsidRPr="00382917">
        <w:t>pioneers</w:t>
      </w:r>
      <w:r w:rsidR="00EE4FC3">
        <w:t xml:space="preserve"> </w:t>
      </w:r>
      <w:r w:rsidRPr="00382917">
        <w:t>of</w:t>
      </w:r>
      <w:r w:rsidR="00EE4FC3">
        <w:t xml:space="preserve"> </w:t>
      </w:r>
      <w:r w:rsidRPr="00382917">
        <w:t>His</w:t>
      </w:r>
      <w:r w:rsidR="00EE4FC3">
        <w:t xml:space="preserve"> </w:t>
      </w:r>
      <w:r w:rsidRPr="00382917">
        <w:t>Faith</w:t>
      </w:r>
      <w:r w:rsidR="00330AF7">
        <w:t>.</w:t>
      </w:r>
      <w:r w:rsidR="00EE4FC3">
        <w:t xml:space="preserve">  </w:t>
      </w:r>
      <w:r w:rsidRPr="00382917">
        <w:t>His</w:t>
      </w:r>
      <w:r w:rsidR="00EE4FC3">
        <w:t xml:space="preserve"> </w:t>
      </w:r>
      <w:r w:rsidRPr="00382917">
        <w:t>only</w:t>
      </w:r>
      <w:r w:rsidR="00EE4FC3">
        <w:t xml:space="preserve"> </w:t>
      </w:r>
      <w:r w:rsidRPr="00382917">
        <w:t>chance</w:t>
      </w:r>
      <w:r w:rsidR="00EE4FC3">
        <w:t xml:space="preserve"> </w:t>
      </w:r>
      <w:r w:rsidRPr="00382917">
        <w:t>of</w:t>
      </w:r>
      <w:r w:rsidR="00EE4FC3">
        <w:t xml:space="preserve"> </w:t>
      </w:r>
      <w:r w:rsidRPr="00382917">
        <w:t>meeting</w:t>
      </w:r>
      <w:r w:rsidR="00EE4FC3">
        <w:t xml:space="preserve"> </w:t>
      </w:r>
      <w:r w:rsidRPr="00382917">
        <w:t>the</w:t>
      </w:r>
      <w:r w:rsidR="00EE4FC3">
        <w:t xml:space="preserve"> </w:t>
      </w:r>
      <w:r w:rsidRPr="00382917">
        <w:t>king</w:t>
      </w:r>
      <w:r w:rsidR="00EE4FC3">
        <w:t xml:space="preserve"> </w:t>
      </w:r>
      <w:r w:rsidRPr="00382917">
        <w:t>was</w:t>
      </w:r>
      <w:r w:rsidR="00EE4FC3">
        <w:t xml:space="preserve"> </w:t>
      </w:r>
      <w:r w:rsidRPr="00382917">
        <w:t>dashed</w:t>
      </w:r>
      <w:r w:rsidR="00EE4FC3">
        <w:t xml:space="preserve"> </w:t>
      </w:r>
      <w:r w:rsidRPr="00382917">
        <w:t>to</w:t>
      </w:r>
      <w:r w:rsidR="00EE4FC3">
        <w:t xml:space="preserve"> </w:t>
      </w:r>
      <w:r w:rsidRPr="00382917">
        <w:t>the</w:t>
      </w:r>
      <w:r w:rsidR="00EE4FC3">
        <w:t xml:space="preserve"> </w:t>
      </w:r>
      <w:r w:rsidRPr="00382917">
        <w:t>ground</w:t>
      </w:r>
      <w:r w:rsidR="00EE4FC3">
        <w:t xml:space="preserve"> </w:t>
      </w:r>
      <w:r w:rsidRPr="00382917">
        <w:t>by</w:t>
      </w:r>
      <w:r w:rsidR="00EE4FC3">
        <w:t xml:space="preserve"> </w:t>
      </w:r>
      <w:r w:rsidRPr="00382917">
        <w:t>the</w:t>
      </w:r>
      <w:r w:rsidR="00EE4FC3">
        <w:t xml:space="preserve"> </w:t>
      </w:r>
      <w:r w:rsidRPr="00382917">
        <w:t>Prime</w:t>
      </w:r>
      <w:r w:rsidR="00EE4FC3">
        <w:t xml:space="preserve"> </w:t>
      </w:r>
      <w:r w:rsidRPr="00382917">
        <w:t>Minister</w:t>
      </w:r>
      <w:r w:rsidR="00330AF7">
        <w:t>.</w:t>
      </w:r>
      <w:r w:rsidR="00EE4FC3">
        <w:t xml:space="preserve">  </w:t>
      </w:r>
      <w:r w:rsidRPr="00382917">
        <w:t>His</w:t>
      </w:r>
      <w:r w:rsidR="00EE4FC3">
        <w:t xml:space="preserve"> </w:t>
      </w:r>
      <w:r w:rsidRPr="00382917">
        <w:t>ablest</w:t>
      </w:r>
      <w:r w:rsidR="00EE4FC3">
        <w:t xml:space="preserve"> </w:t>
      </w:r>
      <w:r w:rsidRPr="00382917">
        <w:t>disciples</w:t>
      </w:r>
      <w:r w:rsidR="00EE4FC3">
        <w:t xml:space="preserve"> </w:t>
      </w:r>
      <w:r w:rsidRPr="00382917">
        <w:t>were</w:t>
      </w:r>
      <w:r w:rsidR="00EE4FC3">
        <w:t xml:space="preserve"> </w:t>
      </w:r>
      <w:r w:rsidRPr="00382917">
        <w:t>struck</w:t>
      </w:r>
      <w:r w:rsidR="00EE4FC3">
        <w:t xml:space="preserve"> </w:t>
      </w:r>
      <w:r w:rsidRPr="00382917">
        <w:t>down</w:t>
      </w:r>
      <w:r w:rsidR="00EE4FC3">
        <w:t xml:space="preserve"> </w:t>
      </w:r>
      <w:r w:rsidRPr="00382917">
        <w:t>one</w:t>
      </w:r>
      <w:r w:rsidR="00EE4FC3">
        <w:t xml:space="preserve"> </w:t>
      </w:r>
      <w:r w:rsidRPr="00382917">
        <w:t>after</w:t>
      </w:r>
      <w:r w:rsidR="00EE4FC3">
        <w:t xml:space="preserve"> </w:t>
      </w:r>
      <w:r w:rsidRPr="00382917">
        <w:t>the</w:t>
      </w:r>
      <w:r w:rsidR="00EE4FC3">
        <w:t xml:space="preserve"> </w:t>
      </w:r>
      <w:r w:rsidRPr="00382917">
        <w:t>other</w:t>
      </w:r>
      <w:r w:rsidR="00330AF7">
        <w:t>.</w:t>
      </w:r>
      <w:r w:rsidR="00EE4FC3">
        <w:t xml:space="preserve">  </w:t>
      </w:r>
      <w:r w:rsidRPr="00382917">
        <w:t>The</w:t>
      </w:r>
      <w:r w:rsidR="00EE4FC3">
        <w:t xml:space="preserve"> </w:t>
      </w:r>
      <w:r w:rsidRPr="00382917">
        <w:t>flower</w:t>
      </w:r>
      <w:r w:rsidR="00EE4FC3">
        <w:t xml:space="preserve"> </w:t>
      </w:r>
      <w:r w:rsidRPr="00382917">
        <w:t>of</w:t>
      </w:r>
      <w:r w:rsidR="00EE4FC3">
        <w:t xml:space="preserve"> </w:t>
      </w:r>
      <w:r w:rsidRPr="00382917">
        <w:t>His</w:t>
      </w:r>
      <w:r w:rsidR="00EE4FC3">
        <w:t xml:space="preserve"> </w:t>
      </w:r>
      <w:r w:rsidRPr="00382917">
        <w:t>followers</w:t>
      </w:r>
      <w:r w:rsidR="00EE4FC3">
        <w:t xml:space="preserve"> </w:t>
      </w:r>
      <w:r w:rsidRPr="00382917">
        <w:t>was</w:t>
      </w:r>
      <w:r w:rsidR="00EE4FC3">
        <w:t xml:space="preserve"> </w:t>
      </w:r>
      <w:r w:rsidRPr="00382917">
        <w:t>slain</w:t>
      </w:r>
      <w:r w:rsidR="00EE4FC3">
        <w:t xml:space="preserve"> </w:t>
      </w:r>
      <w:r w:rsidRPr="00382917">
        <w:t>in</w:t>
      </w:r>
      <w:r w:rsidR="00EE4FC3">
        <w:t xml:space="preserve"> </w:t>
      </w:r>
      <w:r w:rsidRPr="00382917">
        <w:t>ruthless</w:t>
      </w:r>
      <w:r w:rsidR="00EE4FC3">
        <w:t xml:space="preserve"> </w:t>
      </w:r>
      <w:r w:rsidRPr="00382917">
        <w:t>carnage</w:t>
      </w:r>
      <w:r w:rsidR="00EE4FC3">
        <w:t xml:space="preserve"> </w:t>
      </w:r>
      <w:r w:rsidRPr="00382917">
        <w:t>all</w:t>
      </w:r>
      <w:r w:rsidR="00EE4FC3">
        <w:t xml:space="preserve"> </w:t>
      </w:r>
      <w:r w:rsidRPr="00382917">
        <w:t>across</w:t>
      </w:r>
      <w:r w:rsidR="00EE4FC3">
        <w:t xml:space="preserve"> </w:t>
      </w:r>
      <w:r w:rsidRPr="00382917">
        <w:t>the</w:t>
      </w:r>
      <w:r w:rsidR="00EE4FC3">
        <w:t xml:space="preserve"> </w:t>
      </w:r>
      <w:r w:rsidRPr="00382917">
        <w:t>land</w:t>
      </w:r>
      <w:r w:rsidR="00330AF7">
        <w:t>.</w:t>
      </w:r>
      <w:r w:rsidR="00EE4FC3">
        <w:t xml:space="preserve">  </w:t>
      </w:r>
      <w:r w:rsidRPr="00382917">
        <w:t>Then</w:t>
      </w:r>
      <w:r w:rsidR="00EE4FC3">
        <w:t xml:space="preserve"> </w:t>
      </w:r>
      <w:r w:rsidRPr="00382917">
        <w:t>followed</w:t>
      </w:r>
      <w:r w:rsidR="00EE4FC3">
        <w:t xml:space="preserve"> </w:t>
      </w:r>
      <w:proofErr w:type="gramStart"/>
      <w:r w:rsidRPr="00382917">
        <w:t>His</w:t>
      </w:r>
      <w:r w:rsidR="00EE4FC3">
        <w:t xml:space="preserve"> </w:t>
      </w:r>
      <w:r w:rsidRPr="00382917">
        <w:t>own</w:t>
      </w:r>
      <w:proofErr w:type="gramEnd"/>
      <w:r w:rsidR="00EE4FC3">
        <w:t xml:space="preserve"> </w:t>
      </w:r>
      <w:r w:rsidRPr="00382917">
        <w:t>martyrdom</w:t>
      </w:r>
      <w:r w:rsidR="00330AF7">
        <w:t>.</w:t>
      </w:r>
      <w:r w:rsidR="00EE4FC3">
        <w:t xml:space="preserve">  </w:t>
      </w:r>
      <w:r w:rsidRPr="00382917">
        <w:t>All</w:t>
      </w:r>
      <w:r w:rsidR="00EE4FC3">
        <w:t xml:space="preserve"> </w:t>
      </w:r>
      <w:r w:rsidRPr="00382917">
        <w:t>these</w:t>
      </w:r>
      <w:r w:rsidR="00EE4FC3">
        <w:t xml:space="preserve"> </w:t>
      </w:r>
      <w:r w:rsidRPr="00382917">
        <w:t>events,</w:t>
      </w:r>
      <w:r w:rsidR="00EE4FC3">
        <w:t xml:space="preserve"> </w:t>
      </w:r>
      <w:r w:rsidRPr="00382917">
        <w:t>on</w:t>
      </w:r>
      <w:r w:rsidR="00EE4FC3">
        <w:t xml:space="preserve"> </w:t>
      </w:r>
      <w:r w:rsidRPr="00382917">
        <w:t>the</w:t>
      </w:r>
      <w:r w:rsidR="00EE4FC3">
        <w:t xml:space="preserve"> </w:t>
      </w:r>
      <w:r w:rsidRPr="00382917">
        <w:t>surface</w:t>
      </w:r>
      <w:r w:rsidR="00EE4FC3">
        <w:t xml:space="preserve"> </w:t>
      </w:r>
      <w:r w:rsidRPr="00382917">
        <w:t>so</w:t>
      </w:r>
      <w:r w:rsidR="00EE4FC3">
        <w:t xml:space="preserve"> </w:t>
      </w:r>
      <w:r w:rsidRPr="00382917">
        <w:t>humiliating,</w:t>
      </w:r>
      <w:r w:rsidR="00EE4FC3">
        <w:t xml:space="preserve"> </w:t>
      </w:r>
      <w:r w:rsidRPr="00382917">
        <w:t>would</w:t>
      </w:r>
      <w:r w:rsidR="00EE4FC3">
        <w:t xml:space="preserve"> </w:t>
      </w:r>
      <w:r w:rsidRPr="00382917">
        <w:t>seem</w:t>
      </w:r>
      <w:r w:rsidR="00EE4FC3">
        <w:t xml:space="preserve"> </w:t>
      </w:r>
      <w:r w:rsidRPr="00382917">
        <w:t>to</w:t>
      </w:r>
      <w:r w:rsidR="00EE4FC3">
        <w:t xml:space="preserve"> </w:t>
      </w:r>
      <w:r w:rsidRPr="00382917">
        <w:t>have</w:t>
      </w:r>
      <w:r w:rsidR="00EE4FC3">
        <w:t xml:space="preserve"> </w:t>
      </w:r>
      <w:r w:rsidRPr="00382917">
        <w:t>marked</w:t>
      </w:r>
      <w:r w:rsidR="00EE4FC3">
        <w:t xml:space="preserve"> </w:t>
      </w:r>
      <w:r w:rsidRPr="00382917">
        <w:t>the</w:t>
      </w:r>
      <w:r w:rsidR="00EE4FC3">
        <w:t xml:space="preserve"> </w:t>
      </w:r>
      <w:r w:rsidRPr="00382917">
        <w:t>lowest</w:t>
      </w:r>
      <w:r w:rsidR="00EE4FC3">
        <w:t xml:space="preserve"> </w:t>
      </w:r>
      <w:r w:rsidRPr="00382917">
        <w:t>depths</w:t>
      </w:r>
      <w:r w:rsidR="00EE4FC3">
        <w:t xml:space="preserve"> </w:t>
      </w:r>
      <w:r w:rsidRPr="00382917">
        <w:t>to</w:t>
      </w:r>
      <w:r w:rsidR="00EE4FC3">
        <w:t xml:space="preserve"> </w:t>
      </w:r>
      <w:r w:rsidRPr="00382917">
        <w:t>which</w:t>
      </w:r>
      <w:r w:rsidR="00EE4FC3">
        <w:t xml:space="preserve"> </w:t>
      </w:r>
      <w:r w:rsidRPr="00382917">
        <w:t>His</w:t>
      </w:r>
      <w:r w:rsidR="00EE4FC3">
        <w:t xml:space="preserve"> </w:t>
      </w:r>
      <w:r w:rsidRPr="00382917">
        <w:t>Cause</w:t>
      </w:r>
      <w:r w:rsidR="00EE4FC3">
        <w:t xml:space="preserve"> </w:t>
      </w:r>
      <w:r w:rsidRPr="00382917">
        <w:t>had</w:t>
      </w:r>
      <w:r w:rsidR="00EE4FC3">
        <w:t xml:space="preserve"> </w:t>
      </w:r>
      <w:r w:rsidRPr="00382917">
        <w:t>fallen</w:t>
      </w:r>
      <w:r w:rsidR="00330AF7">
        <w:t>.</w:t>
      </w:r>
      <w:r w:rsidR="00EE4FC3">
        <w:t xml:space="preserve">  </w:t>
      </w:r>
      <w:r w:rsidRPr="00382917">
        <w:t>They</w:t>
      </w:r>
      <w:r w:rsidR="00EE4FC3">
        <w:t xml:space="preserve"> </w:t>
      </w:r>
      <w:r w:rsidRPr="00382917">
        <w:t>seemed</w:t>
      </w:r>
      <w:r w:rsidR="00EE4FC3">
        <w:t xml:space="preserve"> </w:t>
      </w:r>
      <w:r w:rsidRPr="00382917">
        <w:t>to</w:t>
      </w:r>
      <w:r w:rsidR="00EE4FC3">
        <w:t xml:space="preserve"> </w:t>
      </w:r>
      <w:r w:rsidRPr="00382917">
        <w:t>threaten</w:t>
      </w:r>
      <w:r w:rsidR="00EE4FC3">
        <w:t xml:space="preserve"> </w:t>
      </w:r>
      <w:r w:rsidRPr="00382917">
        <w:t>the</w:t>
      </w:r>
      <w:r w:rsidR="00EE4FC3">
        <w:t xml:space="preserve"> </w:t>
      </w:r>
      <w:r w:rsidRPr="00382917">
        <w:t>virtual</w:t>
      </w:r>
      <w:r w:rsidR="00EE4FC3">
        <w:t xml:space="preserve"> </w:t>
      </w:r>
      <w:r w:rsidRPr="00382917">
        <w:t>extinction</w:t>
      </w:r>
      <w:r w:rsidR="00EE4FC3">
        <w:t xml:space="preserve"> </w:t>
      </w:r>
      <w:r w:rsidRPr="00382917">
        <w:t>of</w:t>
      </w:r>
      <w:r w:rsidR="00EE4FC3">
        <w:t xml:space="preserve"> </w:t>
      </w:r>
      <w:r w:rsidRPr="00382917">
        <w:t>all</w:t>
      </w:r>
      <w:r w:rsidR="00EE4FC3">
        <w:t xml:space="preserve"> </w:t>
      </w:r>
      <w:r w:rsidRPr="00382917">
        <w:t>His</w:t>
      </w:r>
      <w:r w:rsidR="00EE4FC3">
        <w:t xml:space="preserve"> </w:t>
      </w:r>
      <w:r w:rsidRPr="00382917">
        <w:t>hopes.</w:t>
      </w:r>
    </w:p>
    <w:p w:rsidR="00F1111D" w:rsidRPr="00382917" w:rsidRDefault="00F1111D" w:rsidP="00FC4E1D">
      <w:pPr>
        <w:pStyle w:val="Text"/>
      </w:pPr>
      <w:r w:rsidRPr="00382917">
        <w:t>Yet</w:t>
      </w:r>
      <w:r w:rsidR="00EE4FC3">
        <w:t xml:space="preserve"> </w:t>
      </w:r>
      <w:r w:rsidRPr="00382917">
        <w:t>burning</w:t>
      </w:r>
      <w:r w:rsidR="00EE4FC3">
        <w:t xml:space="preserve"> </w:t>
      </w:r>
      <w:r w:rsidRPr="00382917">
        <w:t>like</w:t>
      </w:r>
      <w:r w:rsidR="00EE4FC3">
        <w:t xml:space="preserve"> </w:t>
      </w:r>
      <w:r w:rsidRPr="00382917">
        <w:t>a</w:t>
      </w:r>
      <w:r w:rsidR="00EE4FC3">
        <w:t xml:space="preserve"> </w:t>
      </w:r>
      <w:r w:rsidRPr="00382917">
        <w:t>flame</w:t>
      </w:r>
      <w:r w:rsidR="00EE4FC3">
        <w:t xml:space="preserve"> </w:t>
      </w:r>
      <w:r w:rsidRPr="00382917">
        <w:t>through</w:t>
      </w:r>
      <w:r w:rsidR="00EE4FC3">
        <w:t xml:space="preserve"> </w:t>
      </w:r>
      <w:r w:rsidRPr="00382917">
        <w:t>the</w:t>
      </w:r>
      <w:r w:rsidR="00EE4FC3">
        <w:t xml:space="preserve"> </w:t>
      </w:r>
      <w:r w:rsidRPr="00382917">
        <w:t>darkness</w:t>
      </w:r>
      <w:r w:rsidR="00EE4FC3">
        <w:t xml:space="preserve"> </w:t>
      </w:r>
      <w:r w:rsidRPr="00382917">
        <w:t>of</w:t>
      </w:r>
      <w:r w:rsidR="00EE4FC3">
        <w:t xml:space="preserve"> </w:t>
      </w:r>
      <w:r w:rsidRPr="00382917">
        <w:t>all</w:t>
      </w:r>
      <w:r w:rsidR="00EE4FC3">
        <w:t xml:space="preserve"> </w:t>
      </w:r>
      <w:r w:rsidRPr="00382917">
        <w:t>these</w:t>
      </w:r>
      <w:r w:rsidR="00EE4FC3">
        <w:t xml:space="preserve"> </w:t>
      </w:r>
      <w:r w:rsidRPr="00382917">
        <w:t>setbacks</w:t>
      </w:r>
      <w:r w:rsidR="00EE4FC3">
        <w:t xml:space="preserve"> </w:t>
      </w:r>
      <w:r w:rsidRPr="00382917">
        <w:t>and</w:t>
      </w:r>
      <w:r w:rsidR="00EE4FC3">
        <w:t xml:space="preserve"> </w:t>
      </w:r>
      <w:r w:rsidRPr="00382917">
        <w:t>sufferings</w:t>
      </w:r>
      <w:r w:rsidR="00EE4FC3">
        <w:t xml:space="preserve"> </w:t>
      </w:r>
      <w:r w:rsidRPr="00382917">
        <w:t>was</w:t>
      </w:r>
      <w:r w:rsidR="00EE4FC3">
        <w:t xml:space="preserve"> </w:t>
      </w:r>
      <w:r w:rsidRPr="00382917">
        <w:t>the</w:t>
      </w:r>
      <w:r w:rsidR="00EE4FC3">
        <w:t xml:space="preserve"> </w:t>
      </w:r>
      <w:r w:rsidRPr="00382917">
        <w:t>Báb</w:t>
      </w:r>
      <w:r w:rsidR="009C713D" w:rsidRPr="00382917">
        <w:t>’</w:t>
      </w:r>
      <w:r w:rsidRPr="00382917">
        <w:t>s</w:t>
      </w:r>
      <w:r w:rsidR="00EE4FC3">
        <w:t xml:space="preserve"> </w:t>
      </w:r>
      <w:r w:rsidRPr="00382917">
        <w:t>constant</w:t>
      </w:r>
      <w:r w:rsidR="00EE4FC3">
        <w:t xml:space="preserve"> </w:t>
      </w:r>
      <w:r w:rsidRPr="00382917">
        <w:t>promise</w:t>
      </w:r>
      <w:r w:rsidR="00EE4FC3">
        <w:t xml:space="preserve"> </w:t>
      </w:r>
      <w:r w:rsidRPr="00382917">
        <w:t>that</w:t>
      </w:r>
      <w:r w:rsidR="00EE4FC3">
        <w:t xml:space="preserve"> </w:t>
      </w:r>
      <w:r w:rsidRPr="00382917">
        <w:t>before</w:t>
      </w:r>
      <w:r w:rsidR="00EE4FC3">
        <w:t xml:space="preserve"> </w:t>
      </w:r>
      <w:r w:rsidRPr="00382917">
        <w:t>the</w:t>
      </w:r>
      <w:r w:rsidR="00EE4FC3">
        <w:t xml:space="preserve"> </w:t>
      </w:r>
      <w:r w:rsidRPr="00382917">
        <w:t>year</w:t>
      </w:r>
      <w:r w:rsidR="00EE4FC3">
        <w:t xml:space="preserve"> </w:t>
      </w:r>
      <w:r w:rsidRPr="00382917">
        <w:t>nine</w:t>
      </w:r>
      <w:r w:rsidR="00EE4FC3">
        <w:t xml:space="preserve"> </w:t>
      </w:r>
      <w:r w:rsidRPr="00382917">
        <w:t>would</w:t>
      </w:r>
      <w:r w:rsidR="00EE4FC3">
        <w:t xml:space="preserve"> </w:t>
      </w:r>
      <w:r w:rsidRPr="00382917">
        <w:t>pass,</w:t>
      </w:r>
      <w:r w:rsidR="00EE4FC3">
        <w:t xml:space="preserve"> </w:t>
      </w:r>
      <w:r w:rsidRPr="00382917">
        <w:t>the</w:t>
      </w:r>
      <w:r w:rsidR="00EE4FC3">
        <w:t xml:space="preserve"> </w:t>
      </w:r>
      <w:r w:rsidRPr="00382917">
        <w:t>Promised</w:t>
      </w:r>
      <w:r w:rsidR="00EE4FC3">
        <w:t xml:space="preserve"> </w:t>
      </w:r>
      <w:r w:rsidRPr="00382917">
        <w:t>One</w:t>
      </w:r>
      <w:r w:rsidR="00EE4FC3">
        <w:t xml:space="preserve"> </w:t>
      </w:r>
      <w:r w:rsidRPr="00382917">
        <w:t>of</w:t>
      </w:r>
      <w:r w:rsidR="00EE4FC3">
        <w:t xml:space="preserve"> </w:t>
      </w:r>
      <w:r w:rsidRPr="00382917">
        <w:t>all</w:t>
      </w:r>
      <w:r w:rsidR="00EE4FC3">
        <w:t xml:space="preserve"> </w:t>
      </w:r>
      <w:r w:rsidRPr="00382917">
        <w:t>religions</w:t>
      </w:r>
      <w:r w:rsidR="00EE4FC3">
        <w:t xml:space="preserve"> </w:t>
      </w:r>
      <w:r w:rsidRPr="00382917">
        <w:t>would</w:t>
      </w:r>
      <w:r w:rsidR="00EE4FC3">
        <w:t xml:space="preserve"> </w:t>
      </w:r>
      <w:r w:rsidRPr="00382917">
        <w:t>appear.</w:t>
      </w:r>
      <w:r w:rsidR="00FC4E1D">
        <w:rPr>
          <w:rStyle w:val="FootnoteReference"/>
        </w:rPr>
        <w:footnoteReference w:id="282"/>
      </w:r>
      <w:r w:rsidR="00EE4FC3">
        <w:t xml:space="preserve"> </w:t>
      </w:r>
      <w:r w:rsidR="00FC4E1D">
        <w:t xml:space="preserve"> </w:t>
      </w:r>
      <w:r w:rsidRPr="00382917">
        <w:t>There</w:t>
      </w:r>
      <w:r w:rsidR="00EE4FC3">
        <w:t xml:space="preserve"> </w:t>
      </w:r>
      <w:r w:rsidRPr="00382917">
        <w:t>was</w:t>
      </w:r>
      <w:r w:rsidR="00EE4FC3">
        <w:t xml:space="preserve"> </w:t>
      </w:r>
      <w:r w:rsidRPr="00382917">
        <w:t>never</w:t>
      </w:r>
      <w:r w:rsidR="00EE4FC3">
        <w:t xml:space="preserve"> </w:t>
      </w:r>
      <w:r w:rsidRPr="00382917">
        <w:t>a</w:t>
      </w:r>
      <w:r w:rsidR="00EE4FC3">
        <w:t xml:space="preserve"> </w:t>
      </w:r>
      <w:r w:rsidRPr="00382917">
        <w:t>moment</w:t>
      </w:r>
      <w:r w:rsidR="00EE4FC3">
        <w:t xml:space="preserve"> </w:t>
      </w:r>
      <w:r w:rsidRPr="00382917">
        <w:t>of</w:t>
      </w:r>
      <w:r w:rsidR="00EE4FC3">
        <w:t xml:space="preserve"> </w:t>
      </w:r>
      <w:r w:rsidRPr="00382917">
        <w:t>doubt</w:t>
      </w:r>
      <w:r w:rsidR="00EE4FC3">
        <w:t xml:space="preserve"> </w:t>
      </w:r>
      <w:r w:rsidRPr="00382917">
        <w:t>in</w:t>
      </w:r>
      <w:r w:rsidR="00EE4FC3">
        <w:t xml:space="preserve"> </w:t>
      </w:r>
      <w:r w:rsidRPr="00382917">
        <w:t>His</w:t>
      </w:r>
      <w:r w:rsidR="00EE4FC3">
        <w:t xml:space="preserve"> </w:t>
      </w:r>
      <w:r w:rsidRPr="00382917">
        <w:t>teaching</w:t>
      </w:r>
      <w:r w:rsidR="00330AF7">
        <w:t>.</w:t>
      </w:r>
      <w:r w:rsidR="00EE4FC3">
        <w:t xml:space="preserve">  </w:t>
      </w:r>
      <w:r w:rsidRPr="00382917">
        <w:t>He</w:t>
      </w:r>
      <w:r w:rsidR="00EE4FC3">
        <w:t xml:space="preserve"> </w:t>
      </w:r>
      <w:r w:rsidRPr="00382917">
        <w:t>was</w:t>
      </w:r>
      <w:r w:rsidR="00EE4FC3">
        <w:t xml:space="preserve"> </w:t>
      </w:r>
      <w:r w:rsidRPr="00382917">
        <w:t>only</w:t>
      </w:r>
      <w:r w:rsidR="00EE4FC3">
        <w:t xml:space="preserve"> </w:t>
      </w:r>
      <w:r w:rsidRPr="00382917">
        <w:t>the</w:t>
      </w:r>
      <w:r w:rsidR="00EE4FC3">
        <w:t xml:space="preserve"> </w:t>
      </w:r>
      <w:r w:rsidRPr="00382917">
        <w:t>Herald</w:t>
      </w:r>
      <w:r w:rsidR="00EE4FC3">
        <w:t xml:space="preserve"> </w:t>
      </w:r>
      <w:r w:rsidRPr="00382917">
        <w:t>of</w:t>
      </w:r>
      <w:r w:rsidR="00EE4FC3">
        <w:t xml:space="preserve"> </w:t>
      </w:r>
      <w:r w:rsidRPr="00382917">
        <w:t>a</w:t>
      </w:r>
      <w:r w:rsidR="00EE4FC3">
        <w:t xml:space="preserve"> </w:t>
      </w:r>
      <w:r w:rsidRPr="00382917">
        <w:t>greater</w:t>
      </w:r>
      <w:r w:rsidR="00EE4FC3">
        <w:t xml:space="preserve"> </w:t>
      </w:r>
      <w:r w:rsidRPr="00382917">
        <w:t>One</w:t>
      </w:r>
      <w:r w:rsidR="00EE4FC3">
        <w:t xml:space="preserve"> </w:t>
      </w:r>
      <w:r w:rsidRPr="00382917">
        <w:t>to</w:t>
      </w:r>
      <w:r w:rsidR="00EE4FC3">
        <w:t xml:space="preserve"> </w:t>
      </w:r>
      <w:r w:rsidRPr="00382917">
        <w:t>come</w:t>
      </w:r>
      <w:r w:rsidR="00330AF7">
        <w:t>.</w:t>
      </w:r>
      <w:r w:rsidR="00EE4FC3">
        <w:t xml:space="preserve">  </w:t>
      </w:r>
      <w:r w:rsidRPr="00382917">
        <w:t>He</w:t>
      </w:r>
      <w:r w:rsidR="00EE4FC3">
        <w:t xml:space="preserve"> </w:t>
      </w:r>
      <w:r w:rsidRPr="00382917">
        <w:t>knew</w:t>
      </w:r>
      <w:r w:rsidR="00EE4FC3">
        <w:t xml:space="preserve"> </w:t>
      </w:r>
      <w:r w:rsidRPr="00382917">
        <w:t>that</w:t>
      </w:r>
      <w:r w:rsidR="00EE4FC3">
        <w:t xml:space="preserve"> </w:t>
      </w:r>
      <w:r w:rsidRPr="00382917">
        <w:t>the</w:t>
      </w:r>
    </w:p>
    <w:p w:rsidR="00244241" w:rsidRPr="00382917" w:rsidRDefault="00244241">
      <w:pPr>
        <w:widowControl/>
        <w:kinsoku/>
        <w:overflowPunct/>
        <w:textAlignment w:val="auto"/>
      </w:pPr>
      <w:r w:rsidRPr="00382917">
        <w:br w:type="page"/>
      </w:r>
    </w:p>
    <w:p w:rsidR="00F1111D" w:rsidRPr="00382917" w:rsidRDefault="00F1111D" w:rsidP="00244241">
      <w:pPr>
        <w:pStyle w:val="Textcts"/>
      </w:pPr>
      <w:proofErr w:type="gramStart"/>
      <w:r w:rsidRPr="00382917">
        <w:t>seed</w:t>
      </w:r>
      <w:proofErr w:type="gramEnd"/>
      <w:r w:rsidR="00EE4FC3">
        <w:t xml:space="preserve"> </w:t>
      </w:r>
      <w:r w:rsidRPr="00382917">
        <w:t>had</w:t>
      </w:r>
      <w:r w:rsidR="00EE4FC3">
        <w:t xml:space="preserve"> </w:t>
      </w:r>
      <w:r w:rsidRPr="00382917">
        <w:t>been</w:t>
      </w:r>
      <w:r w:rsidR="00EE4FC3">
        <w:t xml:space="preserve"> </w:t>
      </w:r>
      <w:r w:rsidRPr="00382917">
        <w:t>firmly</w:t>
      </w:r>
      <w:r w:rsidR="00EE4FC3">
        <w:t xml:space="preserve"> </w:t>
      </w:r>
      <w:r w:rsidRPr="00382917">
        <w:t>planted</w:t>
      </w:r>
      <w:r w:rsidR="00EE4FC3">
        <w:t xml:space="preserve"> </w:t>
      </w:r>
      <w:r w:rsidRPr="00382917">
        <w:t>in</w:t>
      </w:r>
      <w:r w:rsidR="00EE4FC3">
        <w:t xml:space="preserve"> </w:t>
      </w:r>
      <w:r w:rsidRPr="00382917">
        <w:t>the</w:t>
      </w:r>
      <w:r w:rsidR="00EE4FC3">
        <w:t xml:space="preserve"> </w:t>
      </w:r>
      <w:r w:rsidRPr="00382917">
        <w:t>fields</w:t>
      </w:r>
      <w:r w:rsidR="00EE4FC3">
        <w:t xml:space="preserve"> </w:t>
      </w:r>
      <w:r w:rsidRPr="00382917">
        <w:t>and</w:t>
      </w:r>
      <w:r w:rsidR="00EE4FC3">
        <w:t xml:space="preserve"> </w:t>
      </w:r>
      <w:r w:rsidRPr="00382917">
        <w:t>meadows</w:t>
      </w:r>
      <w:r w:rsidR="00EE4FC3">
        <w:t xml:space="preserve"> </w:t>
      </w:r>
      <w:r w:rsidRPr="00382917">
        <w:t>of</w:t>
      </w:r>
      <w:r w:rsidR="00EE4FC3">
        <w:t xml:space="preserve"> </w:t>
      </w:r>
      <w:r w:rsidRPr="00382917">
        <w:t>human</w:t>
      </w:r>
      <w:r w:rsidR="00EE4FC3">
        <w:t xml:space="preserve"> </w:t>
      </w:r>
      <w:r w:rsidRPr="00382917">
        <w:t>hearts</w:t>
      </w:r>
      <w:r w:rsidR="00330AF7">
        <w:t>.</w:t>
      </w:r>
      <w:r w:rsidR="00EE4FC3">
        <w:t xml:space="preserve">  </w:t>
      </w:r>
      <w:r w:rsidRPr="00382917">
        <w:t>He</w:t>
      </w:r>
      <w:r w:rsidR="00EE4FC3">
        <w:t xml:space="preserve"> </w:t>
      </w:r>
      <w:r w:rsidRPr="00382917">
        <w:t>was</w:t>
      </w:r>
      <w:r w:rsidR="00EE4FC3">
        <w:t xml:space="preserve"> </w:t>
      </w:r>
      <w:r w:rsidRPr="00382917">
        <w:t>the</w:t>
      </w:r>
      <w:r w:rsidR="00EE4FC3">
        <w:t xml:space="preserve"> </w:t>
      </w:r>
      <w:proofErr w:type="gramStart"/>
      <w:r w:rsidRPr="00382917">
        <w:t>Dawn,</w:t>
      </w:r>
      <w:proofErr w:type="gramEnd"/>
      <w:r w:rsidR="00EE4FC3">
        <w:t xml:space="preserve"> </w:t>
      </w:r>
      <w:r w:rsidRPr="00382917">
        <w:t>the</w:t>
      </w:r>
      <w:r w:rsidR="00EE4FC3">
        <w:t xml:space="preserve"> </w:t>
      </w:r>
      <w:r w:rsidRPr="00382917">
        <w:t>Sun</w:t>
      </w:r>
      <w:r w:rsidR="00EE4FC3">
        <w:t xml:space="preserve"> </w:t>
      </w:r>
      <w:r w:rsidRPr="00382917">
        <w:t>was</w:t>
      </w:r>
      <w:r w:rsidR="00EE4FC3">
        <w:t xml:space="preserve"> </w:t>
      </w:r>
      <w:r w:rsidRPr="00382917">
        <w:t>yet</w:t>
      </w:r>
      <w:r w:rsidR="00EE4FC3">
        <w:t xml:space="preserve"> </w:t>
      </w:r>
      <w:r w:rsidRPr="00382917">
        <w:t>to</w:t>
      </w:r>
      <w:r w:rsidR="00EE4FC3">
        <w:t xml:space="preserve"> </w:t>
      </w:r>
      <w:r w:rsidRPr="00382917">
        <w:t>come.</w:t>
      </w:r>
    </w:p>
    <w:p w:rsidR="00F1111D" w:rsidRPr="00382917" w:rsidRDefault="002622C4" w:rsidP="00266CD8">
      <w:pPr>
        <w:pStyle w:val="Text"/>
      </w:pPr>
      <w:proofErr w:type="spellStart"/>
      <w:proofErr w:type="gramStart"/>
      <w:r>
        <w:t>checklimit</w:t>
      </w:r>
      <w:proofErr w:type="spellEnd"/>
      <w:proofErr w:type="gramEnd"/>
      <w:r>
        <w:t xml:space="preserve"> </w:t>
      </w:r>
      <w:r w:rsidR="00F1111D" w:rsidRPr="00382917">
        <w:t>Of</w:t>
      </w:r>
      <w:r w:rsidR="00EE4FC3">
        <w:t xml:space="preserve"> </w:t>
      </w:r>
      <w:r w:rsidR="00F1111D" w:rsidRPr="00382917">
        <w:t>all</w:t>
      </w:r>
      <w:r w:rsidR="00EE4FC3">
        <w:t xml:space="preserve"> </w:t>
      </w:r>
      <w:r w:rsidR="00F1111D" w:rsidRPr="00382917">
        <w:t>those</w:t>
      </w:r>
      <w:r w:rsidR="00EE4FC3">
        <w:t xml:space="preserve"> </w:t>
      </w:r>
      <w:r w:rsidR="00F1111D" w:rsidRPr="00382917">
        <w:t>great</w:t>
      </w:r>
      <w:r w:rsidR="00EE4FC3">
        <w:t xml:space="preserve"> </w:t>
      </w:r>
      <w:r w:rsidR="00F1111D" w:rsidRPr="00382917">
        <w:t>figures</w:t>
      </w:r>
      <w:r w:rsidR="00EE4FC3">
        <w:t xml:space="preserve"> </w:t>
      </w:r>
      <w:r w:rsidR="00F1111D" w:rsidRPr="00382917">
        <w:t>who</w:t>
      </w:r>
      <w:r w:rsidR="00EE4FC3">
        <w:t xml:space="preserve"> </w:t>
      </w:r>
      <w:r w:rsidR="00F1111D" w:rsidRPr="00382917">
        <w:t>loved</w:t>
      </w:r>
      <w:r w:rsidR="00EE4FC3">
        <w:t xml:space="preserve"> </w:t>
      </w:r>
      <w:r w:rsidR="00F1111D" w:rsidRPr="00382917">
        <w:t>Him</w:t>
      </w:r>
      <w:r w:rsidR="00EE4FC3">
        <w:t xml:space="preserve"> </w:t>
      </w:r>
      <w:r w:rsidR="00F1111D" w:rsidRPr="00382917">
        <w:t>so</w:t>
      </w:r>
      <w:r w:rsidR="00EE4FC3">
        <w:t xml:space="preserve"> </w:t>
      </w:r>
      <w:r w:rsidR="00F1111D" w:rsidRPr="00382917">
        <w:t>dearly</w:t>
      </w:r>
      <w:r w:rsidR="00EE4FC3">
        <w:t xml:space="preserve"> </w:t>
      </w:r>
      <w:r w:rsidR="00F1111D" w:rsidRPr="00382917">
        <w:t>not</w:t>
      </w:r>
      <w:r w:rsidR="00EE4FC3">
        <w:t xml:space="preserve"> </w:t>
      </w:r>
      <w:r w:rsidR="00F1111D" w:rsidRPr="00382917">
        <w:t>one</w:t>
      </w:r>
      <w:r w:rsidR="00EE4FC3">
        <w:t xml:space="preserve"> </w:t>
      </w:r>
      <w:r w:rsidR="00F1111D" w:rsidRPr="00382917">
        <w:t>soul</w:t>
      </w:r>
      <w:r w:rsidR="00EE4FC3">
        <w:t xml:space="preserve"> </w:t>
      </w:r>
      <w:r w:rsidR="00F1111D" w:rsidRPr="00382917">
        <w:t>was</w:t>
      </w:r>
      <w:r w:rsidR="00EE4FC3">
        <w:t xml:space="preserve"> </w:t>
      </w:r>
      <w:r w:rsidR="00F1111D" w:rsidRPr="00382917">
        <w:t>left</w:t>
      </w:r>
      <w:r w:rsidR="00EE4FC3">
        <w:t xml:space="preserve"> </w:t>
      </w:r>
      <w:r w:rsidR="00F1111D" w:rsidRPr="00382917">
        <w:t>alive</w:t>
      </w:r>
      <w:r w:rsidR="00EE4FC3">
        <w:t xml:space="preserve"> </w:t>
      </w:r>
      <w:r w:rsidR="00F1111D" w:rsidRPr="00382917">
        <w:t>save</w:t>
      </w:r>
      <w:r w:rsidR="00EE4FC3">
        <w:t xml:space="preserve"> </w:t>
      </w:r>
      <w:r w:rsidR="00F1111D" w:rsidRPr="00382917">
        <w:t>Bahá</w:t>
      </w:r>
      <w:r w:rsidR="009C713D" w:rsidRPr="00382917">
        <w:t>’</w:t>
      </w:r>
      <w:r w:rsidR="00F1111D" w:rsidRPr="00382917">
        <w:t>u</w:t>
      </w:r>
      <w:r w:rsidR="009C713D" w:rsidRPr="00382917">
        <w:t>’</w:t>
      </w:r>
      <w:r w:rsidR="00F1111D" w:rsidRPr="00382917">
        <w:t>lláh,</w:t>
      </w:r>
      <w:r w:rsidR="00EE4FC3">
        <w:t xml:space="preserve"> </w:t>
      </w:r>
      <w:r w:rsidR="00F1111D" w:rsidRPr="00382917">
        <w:t>Who</w:t>
      </w:r>
      <w:r w:rsidR="00EE4FC3">
        <w:t xml:space="preserve"> </w:t>
      </w:r>
      <w:r w:rsidR="00F1111D" w:rsidRPr="00382917">
        <w:t>with</w:t>
      </w:r>
      <w:r w:rsidR="00EE4FC3">
        <w:t xml:space="preserve"> </w:t>
      </w:r>
      <w:r w:rsidR="00F1111D" w:rsidRPr="00382917">
        <w:t>His</w:t>
      </w:r>
      <w:r w:rsidR="00EE4FC3">
        <w:t xml:space="preserve"> </w:t>
      </w:r>
      <w:r w:rsidR="00F1111D" w:rsidRPr="00382917">
        <w:t>family</w:t>
      </w:r>
      <w:r w:rsidR="00EE4FC3">
        <w:t xml:space="preserve"> </w:t>
      </w:r>
      <w:r w:rsidR="00F1111D" w:rsidRPr="00382917">
        <w:t>and</w:t>
      </w:r>
      <w:r w:rsidR="00EE4FC3">
        <w:t xml:space="preserve"> </w:t>
      </w:r>
      <w:r w:rsidR="00F1111D" w:rsidRPr="00382917">
        <w:t>a</w:t>
      </w:r>
      <w:r w:rsidR="00EE4FC3">
        <w:t xml:space="preserve"> </w:t>
      </w:r>
      <w:r w:rsidR="00F1111D" w:rsidRPr="00382917">
        <w:t>handful</w:t>
      </w:r>
      <w:r w:rsidR="00EE4FC3">
        <w:t xml:space="preserve"> </w:t>
      </w:r>
      <w:r w:rsidR="00F1111D" w:rsidRPr="00382917">
        <w:t>of</w:t>
      </w:r>
      <w:r w:rsidR="00EE4FC3">
        <w:t xml:space="preserve"> </w:t>
      </w:r>
      <w:r w:rsidR="00F1111D" w:rsidRPr="00382917">
        <w:t>devoted</w:t>
      </w:r>
      <w:r w:rsidR="00EE4FC3">
        <w:t xml:space="preserve"> </w:t>
      </w:r>
      <w:r w:rsidR="00F1111D" w:rsidRPr="00382917">
        <w:t>followers</w:t>
      </w:r>
      <w:r w:rsidR="00EE4FC3">
        <w:t xml:space="preserve"> </w:t>
      </w:r>
      <w:r w:rsidR="00F1111D" w:rsidRPr="00382917">
        <w:t>was</w:t>
      </w:r>
      <w:r w:rsidR="00EE4FC3">
        <w:t xml:space="preserve"> </w:t>
      </w:r>
      <w:r w:rsidR="00F1111D" w:rsidRPr="00382917">
        <w:t>driven</w:t>
      </w:r>
      <w:r w:rsidR="00EE4FC3">
        <w:t xml:space="preserve"> </w:t>
      </w:r>
      <w:r w:rsidR="00F1111D" w:rsidRPr="00382917">
        <w:t>destitute</w:t>
      </w:r>
      <w:r w:rsidR="00EE4FC3">
        <w:t xml:space="preserve"> </w:t>
      </w:r>
      <w:r w:rsidR="00F1111D" w:rsidRPr="00382917">
        <w:t>into</w:t>
      </w:r>
      <w:r w:rsidR="00EE4FC3">
        <w:t xml:space="preserve"> </w:t>
      </w:r>
      <w:r w:rsidR="00F1111D" w:rsidRPr="00382917">
        <w:t>exile</w:t>
      </w:r>
      <w:r w:rsidR="00EE4FC3">
        <w:t xml:space="preserve"> </w:t>
      </w:r>
      <w:r w:rsidR="00F1111D" w:rsidRPr="00382917">
        <w:t>and</w:t>
      </w:r>
      <w:r w:rsidR="00EE4FC3">
        <w:t xml:space="preserve"> </w:t>
      </w:r>
      <w:r w:rsidR="00F1111D" w:rsidRPr="00382917">
        <w:t>prison</w:t>
      </w:r>
      <w:r w:rsidR="00EE4FC3">
        <w:t xml:space="preserve"> </w:t>
      </w:r>
      <w:r w:rsidR="00F1111D" w:rsidRPr="00382917">
        <w:t>in</w:t>
      </w:r>
      <w:r w:rsidR="00EE4FC3">
        <w:t xml:space="preserve"> </w:t>
      </w:r>
      <w:r w:rsidR="00F1111D" w:rsidRPr="00382917">
        <w:t>a</w:t>
      </w:r>
      <w:r w:rsidR="00EE4FC3">
        <w:t xml:space="preserve"> </w:t>
      </w:r>
      <w:r w:rsidR="00F1111D" w:rsidRPr="00382917">
        <w:t>foreign</w:t>
      </w:r>
      <w:r w:rsidR="00EE4FC3">
        <w:t xml:space="preserve"> </w:t>
      </w:r>
      <w:r w:rsidR="00F1111D" w:rsidRPr="00382917">
        <w:t>land.</w:t>
      </w:r>
      <w:r w:rsidR="00266CD8">
        <w:rPr>
          <w:rStyle w:val="FootnoteReference"/>
        </w:rPr>
        <w:footnoteReference w:id="283"/>
      </w:r>
      <w:r w:rsidR="00EE4FC3">
        <w:t xml:space="preserve"> </w:t>
      </w:r>
      <w:r w:rsidR="00266CD8">
        <w:t xml:space="preserve"> </w:t>
      </w:r>
      <w:r w:rsidR="00F1111D" w:rsidRPr="00382917">
        <w:t>He</w:t>
      </w:r>
      <w:r w:rsidR="00EE4FC3">
        <w:t xml:space="preserve"> </w:t>
      </w:r>
      <w:r w:rsidR="00F1111D" w:rsidRPr="00382917">
        <w:t>was</w:t>
      </w:r>
      <w:r w:rsidR="00EE4FC3">
        <w:t xml:space="preserve"> </w:t>
      </w:r>
      <w:r w:rsidR="00F1111D" w:rsidRPr="00382917">
        <w:t>banished</w:t>
      </w:r>
      <w:r w:rsidR="00EE4FC3">
        <w:t xml:space="preserve"> </w:t>
      </w:r>
      <w:r w:rsidR="00F1111D" w:rsidRPr="00382917">
        <w:t>from</w:t>
      </w:r>
      <w:r w:rsidR="00EE4FC3">
        <w:t xml:space="preserve"> </w:t>
      </w:r>
      <w:r w:rsidR="00F1111D" w:rsidRPr="00382917">
        <w:t>place</w:t>
      </w:r>
      <w:r w:rsidR="00EE4FC3">
        <w:t xml:space="preserve"> </w:t>
      </w:r>
      <w:r w:rsidR="00F1111D" w:rsidRPr="00382917">
        <w:t>to</w:t>
      </w:r>
      <w:r w:rsidR="00EE4FC3">
        <w:t xml:space="preserve"> </w:t>
      </w:r>
      <w:r w:rsidR="00F1111D" w:rsidRPr="00382917">
        <w:t>place</w:t>
      </w:r>
      <w:r w:rsidR="00EE4FC3">
        <w:t xml:space="preserve"> </w:t>
      </w:r>
      <w:r w:rsidR="00F1111D" w:rsidRPr="00382917">
        <w:t>until</w:t>
      </w:r>
      <w:r w:rsidR="00EE4FC3">
        <w:t xml:space="preserve"> </w:t>
      </w:r>
      <w:r w:rsidR="00F1111D" w:rsidRPr="00382917">
        <w:t>He</w:t>
      </w:r>
      <w:r w:rsidR="00EE4FC3">
        <w:t xml:space="preserve"> </w:t>
      </w:r>
      <w:r w:rsidR="00F1111D" w:rsidRPr="00382917">
        <w:t>reached</w:t>
      </w:r>
      <w:r w:rsidR="00EE4FC3">
        <w:t xml:space="preserve"> </w:t>
      </w:r>
      <w:r w:rsidR="00F1111D" w:rsidRPr="00382917">
        <w:t>the</w:t>
      </w:r>
      <w:r w:rsidR="00EE4FC3">
        <w:t xml:space="preserve"> </w:t>
      </w:r>
      <w:r w:rsidR="009C713D" w:rsidRPr="00382917">
        <w:t>“</w:t>
      </w:r>
      <w:r w:rsidR="00F1111D" w:rsidRPr="00382917">
        <w:t>Mountain</w:t>
      </w:r>
      <w:r w:rsidR="00EE4FC3">
        <w:t xml:space="preserve"> </w:t>
      </w:r>
      <w:r w:rsidR="00F1111D" w:rsidRPr="00382917">
        <w:t>of</w:t>
      </w:r>
      <w:r w:rsidR="00EE4FC3">
        <w:t xml:space="preserve"> </w:t>
      </w:r>
      <w:r w:rsidR="00F1111D" w:rsidRPr="00382917">
        <w:t>God</w:t>
      </w:r>
      <w:r w:rsidR="009C713D" w:rsidRPr="00382917">
        <w:t>”</w:t>
      </w:r>
      <w:r w:rsidR="00EE4FC3">
        <w:t xml:space="preserve"> </w:t>
      </w:r>
      <w:r w:rsidR="00F1111D" w:rsidRPr="00382917">
        <w:t>in</w:t>
      </w:r>
      <w:r w:rsidR="00EE4FC3">
        <w:t xml:space="preserve"> </w:t>
      </w:r>
      <w:r w:rsidR="00F1111D" w:rsidRPr="00382917">
        <w:t>Israel,</w:t>
      </w:r>
      <w:r w:rsidR="00EE4FC3">
        <w:t xml:space="preserve"> </w:t>
      </w:r>
      <w:r w:rsidR="00F1111D" w:rsidRPr="00382917">
        <w:t>the</w:t>
      </w:r>
      <w:r w:rsidR="00EE4FC3">
        <w:t xml:space="preserve"> </w:t>
      </w:r>
      <w:r w:rsidR="00F1111D" w:rsidRPr="00382917">
        <w:t>Holy</w:t>
      </w:r>
      <w:r w:rsidR="00EE4FC3">
        <w:t xml:space="preserve"> </w:t>
      </w:r>
      <w:r w:rsidR="00F1111D" w:rsidRPr="00382917">
        <w:t>Land</w:t>
      </w:r>
      <w:r w:rsidR="00330AF7">
        <w:t>.</w:t>
      </w:r>
      <w:r w:rsidR="00EE4FC3">
        <w:t xml:space="preserve">  </w:t>
      </w:r>
      <w:r w:rsidR="00F1111D" w:rsidRPr="00382917">
        <w:t>Bahá</w:t>
      </w:r>
      <w:r w:rsidR="009C713D" w:rsidRPr="00382917">
        <w:t>’</w:t>
      </w:r>
      <w:r w:rsidR="00F1111D" w:rsidRPr="00382917">
        <w:t>u</w:t>
      </w:r>
      <w:r w:rsidR="009C713D" w:rsidRPr="00382917">
        <w:t>’</w:t>
      </w:r>
      <w:r w:rsidR="00F1111D" w:rsidRPr="00382917">
        <w:t>lláh</w:t>
      </w:r>
      <w:r w:rsidR="00EE4FC3">
        <w:t xml:space="preserve"> </w:t>
      </w:r>
      <w:r w:rsidR="00F1111D" w:rsidRPr="00382917">
        <w:t>was</w:t>
      </w:r>
      <w:r w:rsidR="00EE4FC3">
        <w:t xml:space="preserve"> </w:t>
      </w:r>
      <w:r w:rsidR="00F1111D" w:rsidRPr="00382917">
        <w:t>exiled,</w:t>
      </w:r>
      <w:r w:rsidR="00EE4FC3">
        <w:t xml:space="preserve"> </w:t>
      </w:r>
      <w:r w:rsidR="00F1111D" w:rsidRPr="00382917">
        <w:t>a</w:t>
      </w:r>
      <w:r w:rsidR="00EE4FC3">
        <w:t xml:space="preserve"> </w:t>
      </w:r>
      <w:r w:rsidR="00F1111D" w:rsidRPr="00382917">
        <w:t>prisoner,</w:t>
      </w:r>
      <w:r w:rsidR="00EE4FC3">
        <w:t xml:space="preserve"> </w:t>
      </w:r>
      <w:r w:rsidR="00F1111D" w:rsidRPr="00382917">
        <w:t>to</w:t>
      </w:r>
      <w:r w:rsidR="00EE4FC3">
        <w:t xml:space="preserve"> </w:t>
      </w:r>
      <w:r w:rsidR="00F1111D" w:rsidRPr="00382917">
        <w:t>the</w:t>
      </w:r>
      <w:r w:rsidR="00EE4FC3">
        <w:t xml:space="preserve"> </w:t>
      </w:r>
      <w:r w:rsidR="00F1111D" w:rsidRPr="00382917">
        <w:t>fortress</w:t>
      </w:r>
      <w:r w:rsidR="00EE4FC3">
        <w:t xml:space="preserve"> </w:t>
      </w:r>
      <w:r w:rsidR="00F1111D" w:rsidRPr="00382917">
        <w:t>situated</w:t>
      </w:r>
      <w:r w:rsidR="00EE4FC3">
        <w:t xml:space="preserve"> </w:t>
      </w:r>
      <w:r w:rsidR="00F1111D" w:rsidRPr="00382917">
        <w:t>on</w:t>
      </w:r>
      <w:r w:rsidR="00EE4FC3">
        <w:t xml:space="preserve"> </w:t>
      </w:r>
      <w:r w:rsidR="00F1111D" w:rsidRPr="00382917">
        <w:t>the</w:t>
      </w:r>
      <w:r w:rsidR="00EE4FC3">
        <w:t xml:space="preserve"> </w:t>
      </w:r>
      <w:r w:rsidR="00F1111D" w:rsidRPr="00382917">
        <w:t>plain</w:t>
      </w:r>
      <w:r w:rsidR="00EE4FC3">
        <w:t xml:space="preserve"> </w:t>
      </w:r>
      <w:r w:rsidR="00F1111D" w:rsidRPr="00382917">
        <w:t>of</w:t>
      </w:r>
      <w:r w:rsidR="00EE4FC3">
        <w:t xml:space="preserve"> </w:t>
      </w:r>
      <w:r w:rsidR="009C713D" w:rsidRPr="00382917">
        <w:t>‘</w:t>
      </w:r>
      <w:r w:rsidR="00F1111D" w:rsidRPr="00382917">
        <w:t>Akká,</w:t>
      </w:r>
      <w:r w:rsidR="00EE4FC3">
        <w:t xml:space="preserve"> </w:t>
      </w:r>
      <w:r w:rsidR="00F1111D" w:rsidRPr="00382917">
        <w:t>and</w:t>
      </w:r>
      <w:r w:rsidR="00EE4FC3">
        <w:t xml:space="preserve"> </w:t>
      </w:r>
      <w:r w:rsidR="00F1111D" w:rsidRPr="00382917">
        <w:t>those</w:t>
      </w:r>
      <w:r w:rsidR="00EE4FC3">
        <w:t xml:space="preserve"> </w:t>
      </w:r>
      <w:r w:rsidR="00F1111D" w:rsidRPr="00382917">
        <w:t>startling</w:t>
      </w:r>
      <w:r w:rsidR="00EE4FC3">
        <w:t xml:space="preserve"> </w:t>
      </w:r>
      <w:r w:rsidR="00F1111D" w:rsidRPr="00382917">
        <w:t>words</w:t>
      </w:r>
      <w:r w:rsidR="00EE4FC3">
        <w:t xml:space="preserve"> </w:t>
      </w:r>
      <w:r w:rsidR="00F1111D" w:rsidRPr="00382917">
        <w:t>of</w:t>
      </w:r>
      <w:r w:rsidR="00EE4FC3">
        <w:t xml:space="preserve"> </w:t>
      </w:r>
      <w:r w:rsidR="00F1111D" w:rsidRPr="00382917">
        <w:t>the</w:t>
      </w:r>
      <w:r w:rsidR="00EE4FC3">
        <w:t xml:space="preserve"> </w:t>
      </w:r>
      <w:r w:rsidR="00F1111D" w:rsidRPr="00382917">
        <w:t>prophecy</w:t>
      </w:r>
      <w:r w:rsidR="00EE4FC3">
        <w:t xml:space="preserve"> </w:t>
      </w:r>
      <w:r w:rsidR="00F1111D" w:rsidRPr="00382917">
        <w:t>given</w:t>
      </w:r>
      <w:r w:rsidR="00EE4FC3">
        <w:t xml:space="preserve"> </w:t>
      </w:r>
      <w:r w:rsidR="00F1111D" w:rsidRPr="00382917">
        <w:t>several</w:t>
      </w:r>
      <w:r w:rsidR="00EE4FC3">
        <w:t xml:space="preserve"> </w:t>
      </w:r>
      <w:r w:rsidR="00F1111D" w:rsidRPr="00382917">
        <w:t>hundred</w:t>
      </w:r>
      <w:r w:rsidR="00EE4FC3">
        <w:t xml:space="preserve"> </w:t>
      </w:r>
      <w:r w:rsidR="00F1111D" w:rsidRPr="00382917">
        <w:t>years</w:t>
      </w:r>
      <w:r w:rsidR="00EE4FC3">
        <w:t xml:space="preserve"> </w:t>
      </w:r>
      <w:r w:rsidR="00F1111D" w:rsidRPr="00382917">
        <w:t>before</w:t>
      </w:r>
      <w:r w:rsidR="00EE4FC3">
        <w:t xml:space="preserve"> </w:t>
      </w:r>
      <w:r w:rsidR="00F1111D" w:rsidRPr="00382917">
        <w:t>about</w:t>
      </w:r>
      <w:r w:rsidR="00EE4FC3">
        <w:t xml:space="preserve"> </w:t>
      </w:r>
      <w:r w:rsidR="00F1111D" w:rsidRPr="00382917">
        <w:t>the</w:t>
      </w:r>
      <w:r w:rsidR="00EE4FC3">
        <w:t xml:space="preserve"> </w:t>
      </w:r>
      <w:r w:rsidR="009C713D" w:rsidRPr="00382917">
        <w:t>“</w:t>
      </w:r>
      <w:r w:rsidR="00F1111D" w:rsidRPr="00382917">
        <w:t>last</w:t>
      </w:r>
      <w:r w:rsidR="00EE4FC3">
        <w:t xml:space="preserve"> </w:t>
      </w:r>
      <w:r w:rsidR="00F1111D" w:rsidRPr="00382917">
        <w:t>days</w:t>
      </w:r>
      <w:r w:rsidR="009C713D" w:rsidRPr="00382917">
        <w:t>”</w:t>
      </w:r>
      <w:r w:rsidR="00EE4FC3">
        <w:t xml:space="preserve"> </w:t>
      </w:r>
      <w:r w:rsidR="00F1111D" w:rsidRPr="00382917">
        <w:t>of</w:t>
      </w:r>
      <w:r w:rsidR="00EE4FC3">
        <w:t xml:space="preserve"> </w:t>
      </w:r>
      <w:r w:rsidR="00F1111D" w:rsidRPr="00382917">
        <w:t>the</w:t>
      </w:r>
      <w:r w:rsidR="00EE4FC3">
        <w:t xml:space="preserve"> </w:t>
      </w:r>
      <w:r w:rsidR="00F1111D" w:rsidRPr="00382917">
        <w:t>Twin</w:t>
      </w:r>
      <w:r w:rsidR="00EE4FC3">
        <w:t xml:space="preserve"> </w:t>
      </w:r>
      <w:r w:rsidR="00F1111D" w:rsidRPr="00382917">
        <w:t>Messengers</w:t>
      </w:r>
      <w:r w:rsidR="00EE4FC3">
        <w:t xml:space="preserve"> </w:t>
      </w:r>
      <w:r w:rsidR="00F1111D" w:rsidRPr="00382917">
        <w:t>were</w:t>
      </w:r>
      <w:r w:rsidR="00EE4FC3">
        <w:t xml:space="preserve"> </w:t>
      </w:r>
      <w:r w:rsidR="00F1111D" w:rsidRPr="00382917">
        <w:t>literally</w:t>
      </w:r>
      <w:r w:rsidR="00EE4FC3">
        <w:t xml:space="preserve"> </w:t>
      </w:r>
      <w:r w:rsidR="00F1111D" w:rsidRPr="00382917">
        <w:t>fulfilled</w:t>
      </w:r>
      <w:r w:rsidR="00C03C91">
        <w:t>:</w:t>
      </w:r>
      <w:r w:rsidR="00EE4FC3">
        <w:t xml:space="preserve">  </w:t>
      </w:r>
      <w:r w:rsidR="009C713D" w:rsidRPr="00382917">
        <w:t>“</w:t>
      </w:r>
      <w:r w:rsidR="00F1111D" w:rsidRPr="00382917">
        <w:t>All</w:t>
      </w:r>
      <w:r w:rsidR="00EE4FC3">
        <w:t xml:space="preserve"> </w:t>
      </w:r>
      <w:r w:rsidR="00F1111D" w:rsidRPr="00382917">
        <w:t>of</w:t>
      </w:r>
      <w:r w:rsidR="00EE4FC3">
        <w:t xml:space="preserve"> </w:t>
      </w:r>
      <w:r w:rsidR="00F1111D" w:rsidRPr="00382917">
        <w:t>them</w:t>
      </w:r>
      <w:r w:rsidR="00EE4FC3">
        <w:t xml:space="preserve"> </w:t>
      </w:r>
      <w:r w:rsidR="00F1111D" w:rsidRPr="00382917">
        <w:t>[the</w:t>
      </w:r>
      <w:r w:rsidR="00EE4FC3">
        <w:t xml:space="preserve"> </w:t>
      </w:r>
      <w:r w:rsidR="00F1111D" w:rsidRPr="00382917">
        <w:t>companions</w:t>
      </w:r>
      <w:r w:rsidR="00EE4FC3">
        <w:t xml:space="preserve"> </w:t>
      </w:r>
      <w:r w:rsidR="00F1111D" w:rsidRPr="00382917">
        <w:t>of</w:t>
      </w:r>
      <w:r w:rsidR="00EE4FC3">
        <w:t xml:space="preserve"> </w:t>
      </w:r>
      <w:r w:rsidR="00F1111D" w:rsidRPr="00382917">
        <w:t>the</w:t>
      </w:r>
      <w:r w:rsidR="00EE4FC3">
        <w:t xml:space="preserve"> </w:t>
      </w:r>
      <w:r w:rsidR="00F1111D" w:rsidRPr="00382917">
        <w:t>Herald]</w:t>
      </w:r>
      <w:r w:rsidR="00EE4FC3">
        <w:t xml:space="preserve"> </w:t>
      </w:r>
      <w:r w:rsidR="00F1111D" w:rsidRPr="00382917">
        <w:t>shall</w:t>
      </w:r>
      <w:r w:rsidR="00EE4FC3">
        <w:t xml:space="preserve"> </w:t>
      </w:r>
      <w:r w:rsidR="00F1111D" w:rsidRPr="00382917">
        <w:t>be</w:t>
      </w:r>
      <w:r w:rsidR="00EE4FC3">
        <w:t xml:space="preserve"> </w:t>
      </w:r>
      <w:r w:rsidR="00F1111D" w:rsidRPr="00382917">
        <w:t>slain</w:t>
      </w:r>
      <w:r w:rsidR="00EE4FC3">
        <w:t xml:space="preserve"> </w:t>
      </w:r>
      <w:r w:rsidR="00F1111D" w:rsidRPr="00382917">
        <w:t>except</w:t>
      </w:r>
      <w:r w:rsidR="00EE4FC3">
        <w:t xml:space="preserve"> </w:t>
      </w:r>
      <w:r w:rsidR="00F1111D" w:rsidRPr="00382917">
        <w:t>One</w:t>
      </w:r>
      <w:r w:rsidR="00EE4FC3">
        <w:t xml:space="preserve"> </w:t>
      </w:r>
      <w:r w:rsidR="00F1111D" w:rsidRPr="00382917">
        <w:t>Who</w:t>
      </w:r>
      <w:r w:rsidR="00EE4FC3">
        <w:t xml:space="preserve"> </w:t>
      </w:r>
      <w:r w:rsidR="00F1111D" w:rsidRPr="00382917">
        <w:t>shall</w:t>
      </w:r>
      <w:r w:rsidR="00EE4FC3">
        <w:t xml:space="preserve"> </w:t>
      </w:r>
      <w:r w:rsidR="00F1111D" w:rsidRPr="00382917">
        <w:t>reach</w:t>
      </w:r>
      <w:r w:rsidR="00EE4FC3">
        <w:t xml:space="preserve"> </w:t>
      </w:r>
      <w:r w:rsidR="00F1111D" w:rsidRPr="00382917">
        <w:t>the</w:t>
      </w:r>
      <w:r w:rsidR="00EE4FC3">
        <w:t xml:space="preserve"> </w:t>
      </w:r>
      <w:r w:rsidR="00F1111D" w:rsidRPr="00382917">
        <w:t>plain</w:t>
      </w:r>
      <w:r w:rsidR="00EE4FC3">
        <w:t xml:space="preserve"> </w:t>
      </w:r>
      <w:r w:rsidR="00F1111D" w:rsidRPr="00382917">
        <w:t>of</w:t>
      </w:r>
      <w:r w:rsidR="00EE4FC3">
        <w:t xml:space="preserve"> </w:t>
      </w:r>
      <w:r w:rsidR="009C713D" w:rsidRPr="00382917">
        <w:t>‘</w:t>
      </w:r>
      <w:r w:rsidR="00F1111D" w:rsidRPr="00382917">
        <w:t>Akká,</w:t>
      </w:r>
      <w:r w:rsidR="00EE4FC3">
        <w:t xml:space="preserve"> </w:t>
      </w:r>
      <w:r w:rsidR="00F1111D" w:rsidRPr="00382917">
        <w:t>the</w:t>
      </w:r>
      <w:r w:rsidR="00EE4FC3">
        <w:t xml:space="preserve"> </w:t>
      </w:r>
      <w:r w:rsidR="00F1111D" w:rsidRPr="00382917">
        <w:t>banquet</w:t>
      </w:r>
      <w:r w:rsidR="00EE4FC3">
        <w:t xml:space="preserve"> </w:t>
      </w:r>
      <w:r w:rsidR="00F1111D" w:rsidRPr="00382917">
        <w:t>Hall</w:t>
      </w:r>
      <w:r w:rsidR="00EE4FC3">
        <w:t xml:space="preserve"> </w:t>
      </w:r>
      <w:r w:rsidR="00F1111D" w:rsidRPr="00382917">
        <w:t>of</w:t>
      </w:r>
      <w:r w:rsidR="00EE4FC3">
        <w:t xml:space="preserve"> </w:t>
      </w:r>
      <w:r w:rsidR="00F1111D" w:rsidRPr="00382917">
        <w:t>God.</w:t>
      </w:r>
      <w:r w:rsidR="009C713D" w:rsidRPr="00382917">
        <w:t>”</w:t>
      </w:r>
      <w:r w:rsidR="00266CD8">
        <w:rPr>
          <w:rStyle w:val="FootnoteReference"/>
        </w:rPr>
        <w:footnoteReference w:id="284"/>
      </w:r>
    </w:p>
    <w:p w:rsidR="00F1111D" w:rsidRPr="00382917" w:rsidRDefault="00F1111D" w:rsidP="00244241">
      <w:pPr>
        <w:pStyle w:val="Text"/>
      </w:pPr>
      <w:r w:rsidRPr="00382917">
        <w:t>Although</w:t>
      </w:r>
      <w:r w:rsidR="00EE4FC3">
        <w:t xml:space="preserve"> </w:t>
      </w:r>
      <w:r w:rsidRPr="00382917">
        <w:t>the</w:t>
      </w:r>
      <w:r w:rsidR="00EE4FC3">
        <w:t xml:space="preserve"> </w:t>
      </w:r>
      <w:r w:rsidRPr="00382917">
        <w:t>Faith</w:t>
      </w:r>
      <w:r w:rsidR="00EE4FC3">
        <w:t xml:space="preserve"> </w:t>
      </w:r>
      <w:r w:rsidRPr="00382917">
        <w:t>of</w:t>
      </w:r>
      <w:r w:rsidR="00EE4FC3">
        <w:t xml:space="preserve"> </w:t>
      </w:r>
      <w:r w:rsidRPr="00382917">
        <w:t>God</w:t>
      </w:r>
      <w:r w:rsidR="00EE4FC3">
        <w:t xml:space="preserve"> </w:t>
      </w:r>
      <w:r w:rsidRPr="00382917">
        <w:t>had</w:t>
      </w:r>
      <w:r w:rsidR="00EE4FC3">
        <w:t xml:space="preserve"> </w:t>
      </w:r>
      <w:r w:rsidRPr="00382917">
        <w:t>been</w:t>
      </w:r>
      <w:r w:rsidR="00EE4FC3">
        <w:t xml:space="preserve"> </w:t>
      </w:r>
      <w:r w:rsidRPr="00382917">
        <w:t>crushed</w:t>
      </w:r>
      <w:r w:rsidR="00EE4FC3">
        <w:t xml:space="preserve"> </w:t>
      </w:r>
      <w:r w:rsidRPr="00382917">
        <w:t>into</w:t>
      </w:r>
      <w:r w:rsidR="00EE4FC3">
        <w:t xml:space="preserve"> </w:t>
      </w:r>
      <w:r w:rsidRPr="00382917">
        <w:t>the</w:t>
      </w:r>
      <w:r w:rsidR="00EE4FC3">
        <w:t xml:space="preserve"> </w:t>
      </w:r>
      <w:r w:rsidRPr="00382917">
        <w:t>ground</w:t>
      </w:r>
      <w:r w:rsidR="00EE4FC3">
        <w:t xml:space="preserve"> </w:t>
      </w:r>
      <w:r w:rsidRPr="00382917">
        <w:t>at</w:t>
      </w:r>
      <w:r w:rsidR="00EE4FC3">
        <w:t xml:space="preserve"> </w:t>
      </w:r>
      <w:r w:rsidRPr="00382917">
        <w:t>an</w:t>
      </w:r>
      <w:r w:rsidR="00EE4FC3">
        <w:t xml:space="preserve"> </w:t>
      </w:r>
      <w:r w:rsidRPr="00382917">
        <w:t>early</w:t>
      </w:r>
      <w:r w:rsidR="00EE4FC3">
        <w:t xml:space="preserve"> </w:t>
      </w:r>
      <w:r w:rsidRPr="00382917">
        <w:t>age</w:t>
      </w:r>
      <w:r w:rsidR="00EE4FC3">
        <w:t xml:space="preserve"> </w:t>
      </w:r>
      <w:r w:rsidRPr="00382917">
        <w:t>and</w:t>
      </w:r>
      <w:r w:rsidR="00EE4FC3">
        <w:t xml:space="preserve"> </w:t>
      </w:r>
      <w:r w:rsidRPr="00382917">
        <w:t>rudely</w:t>
      </w:r>
      <w:r w:rsidR="00EE4FC3">
        <w:t xml:space="preserve"> </w:t>
      </w:r>
      <w:r w:rsidRPr="00382917">
        <w:t>trampled</w:t>
      </w:r>
      <w:r w:rsidR="00EE4FC3">
        <w:t xml:space="preserve"> </w:t>
      </w:r>
      <w:r w:rsidRPr="00382917">
        <w:t>upon,</w:t>
      </w:r>
      <w:r w:rsidR="00EE4FC3">
        <w:t xml:space="preserve"> </w:t>
      </w:r>
      <w:r w:rsidRPr="00382917">
        <w:t>this</w:t>
      </w:r>
      <w:r w:rsidR="00EE4FC3">
        <w:t xml:space="preserve"> </w:t>
      </w:r>
      <w:r w:rsidRPr="00382917">
        <w:t>very</w:t>
      </w:r>
      <w:r w:rsidR="00EE4FC3">
        <w:t xml:space="preserve"> </w:t>
      </w:r>
      <w:r w:rsidRPr="00382917">
        <w:t>process</w:t>
      </w:r>
      <w:r w:rsidR="00EE4FC3">
        <w:t xml:space="preserve"> </w:t>
      </w:r>
      <w:r w:rsidRPr="00382917">
        <w:t>would</w:t>
      </w:r>
      <w:r w:rsidR="00EE4FC3">
        <w:t xml:space="preserve"> </w:t>
      </w:r>
      <w:r w:rsidRPr="00382917">
        <w:t>bring</w:t>
      </w:r>
      <w:r w:rsidR="00EE4FC3">
        <w:t xml:space="preserve"> </w:t>
      </w:r>
      <w:r w:rsidRPr="00382917">
        <w:t>about</w:t>
      </w:r>
      <w:r w:rsidR="00EE4FC3">
        <w:t xml:space="preserve"> </w:t>
      </w:r>
      <w:r w:rsidRPr="00382917">
        <w:t>its</w:t>
      </w:r>
      <w:r w:rsidR="00EE4FC3">
        <w:t xml:space="preserve"> </w:t>
      </w:r>
      <w:r w:rsidRPr="00382917">
        <w:t>germination</w:t>
      </w:r>
      <w:r w:rsidR="00330AF7">
        <w:t>.</w:t>
      </w:r>
      <w:r w:rsidR="00EE4FC3">
        <w:t xml:space="preserve">  </w:t>
      </w:r>
      <w:r w:rsidRPr="00382917">
        <w:t>Buried</w:t>
      </w:r>
      <w:r w:rsidR="00EE4FC3">
        <w:t xml:space="preserve"> </w:t>
      </w:r>
      <w:r w:rsidRPr="00382917">
        <w:t>in</w:t>
      </w:r>
      <w:r w:rsidR="00EE4FC3">
        <w:t xml:space="preserve"> </w:t>
      </w:r>
      <w:r w:rsidRPr="00382917">
        <w:t>the</w:t>
      </w:r>
      <w:r w:rsidR="00EE4FC3">
        <w:t xml:space="preserve"> </w:t>
      </w:r>
      <w:r w:rsidRPr="00382917">
        <w:t>earth,</w:t>
      </w:r>
      <w:r w:rsidR="00EE4FC3">
        <w:t xml:space="preserve"> </w:t>
      </w:r>
      <w:r w:rsidRPr="00382917">
        <w:t>warmed</w:t>
      </w:r>
      <w:r w:rsidR="00EE4FC3">
        <w:t xml:space="preserve"> </w:t>
      </w:r>
      <w:r w:rsidRPr="00382917">
        <w:t>by</w:t>
      </w:r>
      <w:r w:rsidR="00EE4FC3">
        <w:t xml:space="preserve"> </w:t>
      </w:r>
      <w:r w:rsidRPr="00382917">
        <w:t>the</w:t>
      </w:r>
      <w:r w:rsidR="00EE4FC3">
        <w:t xml:space="preserve"> </w:t>
      </w:r>
      <w:r w:rsidRPr="00382917">
        <w:t>blood</w:t>
      </w:r>
      <w:r w:rsidR="00EE4FC3">
        <w:t xml:space="preserve"> </w:t>
      </w:r>
      <w:r w:rsidRPr="00382917">
        <w:t>of</w:t>
      </w:r>
      <w:r w:rsidR="00EE4FC3">
        <w:t xml:space="preserve"> </w:t>
      </w:r>
      <w:proofErr w:type="gramStart"/>
      <w:r w:rsidRPr="00382917">
        <w:t>Its</w:t>
      </w:r>
      <w:proofErr w:type="gramEnd"/>
      <w:r w:rsidR="00EE4FC3">
        <w:t xml:space="preserve"> </w:t>
      </w:r>
      <w:r w:rsidRPr="00382917">
        <w:t>martyrs,</w:t>
      </w:r>
      <w:r w:rsidR="00EE4FC3">
        <w:t xml:space="preserve"> </w:t>
      </w:r>
      <w:r w:rsidRPr="00382917">
        <w:t>His</w:t>
      </w:r>
      <w:r w:rsidR="00EE4FC3">
        <w:t xml:space="preserve"> </w:t>
      </w:r>
      <w:r w:rsidRPr="00382917">
        <w:t>Faith</w:t>
      </w:r>
      <w:r w:rsidR="00EE4FC3">
        <w:t xml:space="preserve"> </w:t>
      </w:r>
      <w:r w:rsidRPr="00382917">
        <w:t>would</w:t>
      </w:r>
      <w:r w:rsidR="00EE4FC3">
        <w:t xml:space="preserve"> </w:t>
      </w:r>
      <w:r w:rsidRPr="00382917">
        <w:t>blossom</w:t>
      </w:r>
      <w:r w:rsidR="00EE4FC3">
        <w:t xml:space="preserve"> </w:t>
      </w:r>
      <w:r w:rsidRPr="00382917">
        <w:t>out</w:t>
      </w:r>
      <w:r w:rsidR="00EE4FC3">
        <w:t xml:space="preserve"> </w:t>
      </w:r>
      <w:r w:rsidRPr="00382917">
        <w:t>in</w:t>
      </w:r>
      <w:r w:rsidR="00EE4FC3">
        <w:t xml:space="preserve"> </w:t>
      </w:r>
      <w:r w:rsidRPr="00382917">
        <w:t>glory</w:t>
      </w:r>
      <w:r w:rsidR="00EE4FC3">
        <w:t xml:space="preserve"> </w:t>
      </w:r>
      <w:r w:rsidRPr="00382917">
        <w:t>at</w:t>
      </w:r>
      <w:r w:rsidR="00EE4FC3">
        <w:t xml:space="preserve"> </w:t>
      </w:r>
      <w:r w:rsidRPr="00382917">
        <w:t>a</w:t>
      </w:r>
      <w:r w:rsidR="00EE4FC3">
        <w:t xml:space="preserve"> </w:t>
      </w:r>
      <w:r w:rsidRPr="00382917">
        <w:t>later</w:t>
      </w:r>
      <w:r w:rsidR="00EE4FC3">
        <w:t xml:space="preserve"> </w:t>
      </w:r>
      <w:r w:rsidRPr="00382917">
        <w:t>date</w:t>
      </w:r>
      <w:r w:rsidR="00EE4FC3">
        <w:t xml:space="preserve"> </w:t>
      </w:r>
      <w:r w:rsidRPr="00382917">
        <w:t>with</w:t>
      </w:r>
      <w:r w:rsidR="00EE4FC3">
        <w:t xml:space="preserve"> </w:t>
      </w:r>
      <w:r w:rsidRPr="00382917">
        <w:t>the</w:t>
      </w:r>
      <w:r w:rsidR="00EE4FC3">
        <w:t xml:space="preserve"> </w:t>
      </w:r>
      <w:r w:rsidRPr="00382917">
        <w:t>brightness</w:t>
      </w:r>
      <w:r w:rsidR="00EE4FC3">
        <w:t xml:space="preserve"> </w:t>
      </w:r>
      <w:r w:rsidRPr="00382917">
        <w:t>of</w:t>
      </w:r>
      <w:r w:rsidR="00EE4FC3">
        <w:t xml:space="preserve"> </w:t>
      </w:r>
      <w:r w:rsidRPr="00382917">
        <w:t>the</w:t>
      </w:r>
      <w:r w:rsidR="00EE4FC3">
        <w:t xml:space="preserve"> </w:t>
      </w:r>
      <w:r w:rsidRPr="00382917">
        <w:t>sun,</w:t>
      </w:r>
      <w:r w:rsidR="00EE4FC3">
        <w:t xml:space="preserve"> </w:t>
      </w:r>
      <w:r w:rsidRPr="00382917">
        <w:t>and</w:t>
      </w:r>
      <w:r w:rsidR="00EE4FC3">
        <w:t xml:space="preserve"> </w:t>
      </w:r>
      <w:r w:rsidRPr="00382917">
        <w:t>would</w:t>
      </w:r>
      <w:r w:rsidR="00EE4FC3">
        <w:t xml:space="preserve"> </w:t>
      </w:r>
      <w:proofErr w:type="spellStart"/>
      <w:r w:rsidRPr="00382917">
        <w:t>fulfill</w:t>
      </w:r>
      <w:proofErr w:type="spellEnd"/>
      <w:r w:rsidR="00EE4FC3">
        <w:t xml:space="preserve"> </w:t>
      </w:r>
      <w:r w:rsidRPr="00382917">
        <w:t>prophecy</w:t>
      </w:r>
      <w:r w:rsidR="00EE4FC3">
        <w:t xml:space="preserve"> </w:t>
      </w:r>
      <w:r w:rsidRPr="00382917">
        <w:t>with</w:t>
      </w:r>
      <w:r w:rsidR="00EE4FC3">
        <w:t xml:space="preserve"> </w:t>
      </w:r>
      <w:r w:rsidRPr="00382917">
        <w:t>the</w:t>
      </w:r>
      <w:r w:rsidR="00EE4FC3">
        <w:t xml:space="preserve"> </w:t>
      </w:r>
      <w:r w:rsidRPr="00382917">
        <w:t>exactness</w:t>
      </w:r>
      <w:r w:rsidR="00EE4FC3">
        <w:t xml:space="preserve"> </w:t>
      </w:r>
      <w:r w:rsidRPr="00382917">
        <w:t>of</w:t>
      </w:r>
      <w:r w:rsidR="00EE4FC3">
        <w:t xml:space="preserve"> </w:t>
      </w:r>
      <w:r w:rsidRPr="00382917">
        <w:t>the</w:t>
      </w:r>
      <w:r w:rsidR="00EE4FC3">
        <w:t xml:space="preserve"> </w:t>
      </w:r>
      <w:r w:rsidRPr="00382917">
        <w:t>stars.</w:t>
      </w:r>
    </w:p>
    <w:p w:rsidR="00F1111D" w:rsidRPr="00382917" w:rsidRDefault="00F1111D" w:rsidP="002622C4">
      <w:pPr>
        <w:pStyle w:val="Text"/>
      </w:pPr>
      <w:r w:rsidRPr="00382917">
        <w:t>The</w:t>
      </w:r>
      <w:r w:rsidR="00EE4FC3">
        <w:t xml:space="preserve"> </w:t>
      </w:r>
      <w:r w:rsidRPr="00382917">
        <w:t>Dawn</w:t>
      </w:r>
      <w:r w:rsidR="00EE4FC3">
        <w:t xml:space="preserve"> </w:t>
      </w:r>
      <w:r w:rsidRPr="00382917">
        <w:t>would</w:t>
      </w:r>
      <w:r w:rsidR="00EE4FC3">
        <w:t xml:space="preserve"> </w:t>
      </w:r>
      <w:r w:rsidRPr="00382917">
        <w:t>give</w:t>
      </w:r>
      <w:r w:rsidR="00EE4FC3">
        <w:t xml:space="preserve"> </w:t>
      </w:r>
      <w:r w:rsidRPr="00382917">
        <w:t>way</w:t>
      </w:r>
      <w:r w:rsidR="00EE4FC3">
        <w:t xml:space="preserve"> </w:t>
      </w:r>
      <w:r w:rsidRPr="00382917">
        <w:t>to</w:t>
      </w:r>
      <w:r w:rsidR="00EE4FC3">
        <w:t xml:space="preserve"> </w:t>
      </w:r>
      <w:r w:rsidRPr="00382917">
        <w:t>the</w:t>
      </w:r>
      <w:r w:rsidR="00EE4FC3">
        <w:t xml:space="preserve"> </w:t>
      </w:r>
      <w:r w:rsidRPr="00382917">
        <w:t>Sun,</w:t>
      </w:r>
      <w:r w:rsidR="00EE4FC3">
        <w:t xml:space="preserve"> </w:t>
      </w:r>
      <w:r w:rsidRPr="00382917">
        <w:t>and</w:t>
      </w:r>
      <w:r w:rsidR="00EE4FC3">
        <w:t xml:space="preserve"> </w:t>
      </w:r>
      <w:r w:rsidRPr="00382917">
        <w:t>the</w:t>
      </w:r>
      <w:r w:rsidR="00EE4FC3">
        <w:t xml:space="preserve"> </w:t>
      </w:r>
      <w:r w:rsidRPr="00382917">
        <w:t>era</w:t>
      </w:r>
      <w:r w:rsidR="00EE4FC3">
        <w:t xml:space="preserve"> </w:t>
      </w:r>
      <w:r w:rsidRPr="00382917">
        <w:t>promised</w:t>
      </w:r>
      <w:r w:rsidR="00EE4FC3">
        <w:t xml:space="preserve"> </w:t>
      </w:r>
      <w:r w:rsidRPr="00382917">
        <w:t>to</w:t>
      </w:r>
      <w:r w:rsidR="00EE4FC3">
        <w:t xml:space="preserve"> </w:t>
      </w:r>
      <w:r w:rsidRPr="00382917">
        <w:t>the</w:t>
      </w:r>
      <w:r w:rsidR="00EE4FC3">
        <w:t xml:space="preserve"> </w:t>
      </w:r>
      <w:r w:rsidRPr="00382917">
        <w:t>earth</w:t>
      </w:r>
      <w:r w:rsidR="00EE4FC3">
        <w:t xml:space="preserve"> </w:t>
      </w:r>
      <w:r w:rsidRPr="00382917">
        <w:t>since</w:t>
      </w:r>
      <w:r w:rsidR="00EE4FC3">
        <w:t xml:space="preserve"> </w:t>
      </w:r>
      <w:r w:rsidRPr="00382917">
        <w:t>the</w:t>
      </w:r>
      <w:r w:rsidR="00EE4FC3">
        <w:t xml:space="preserve"> </w:t>
      </w:r>
      <w:r w:rsidRPr="00382917">
        <w:t>beginning</w:t>
      </w:r>
      <w:r w:rsidR="00EE4FC3">
        <w:t xml:space="preserve"> </w:t>
      </w:r>
      <w:r w:rsidRPr="00382917">
        <w:t>of</w:t>
      </w:r>
      <w:r w:rsidR="00EE4FC3">
        <w:t xml:space="preserve"> </w:t>
      </w:r>
      <w:r w:rsidRPr="00382917">
        <w:t>time,</w:t>
      </w:r>
      <w:r w:rsidR="00EE4FC3">
        <w:t xml:space="preserve"> </w:t>
      </w:r>
      <w:r w:rsidRPr="00382917">
        <w:t>the</w:t>
      </w:r>
      <w:r w:rsidR="00EE4FC3">
        <w:t xml:space="preserve"> </w:t>
      </w:r>
      <w:r w:rsidRPr="00382917">
        <w:t>Day</w:t>
      </w:r>
      <w:r w:rsidR="00EE4FC3">
        <w:t xml:space="preserve"> </w:t>
      </w:r>
      <w:r w:rsidRPr="00382917">
        <w:t>of</w:t>
      </w:r>
      <w:r w:rsidR="00EE4FC3">
        <w:t xml:space="preserve"> </w:t>
      </w:r>
      <w:r w:rsidRPr="00382917">
        <w:t>the</w:t>
      </w:r>
      <w:r w:rsidR="00EE4FC3">
        <w:t xml:space="preserve"> </w:t>
      </w:r>
      <w:r w:rsidR="009C713D" w:rsidRPr="00382917">
        <w:t>“</w:t>
      </w:r>
      <w:r w:rsidRPr="00382917">
        <w:t>One</w:t>
      </w:r>
      <w:r w:rsidR="00EE4FC3">
        <w:t xml:space="preserve"> </w:t>
      </w:r>
      <w:r w:rsidRPr="00382917">
        <w:t>fold</w:t>
      </w:r>
      <w:r w:rsidR="00EE4FC3">
        <w:t xml:space="preserve"> </w:t>
      </w:r>
      <w:r w:rsidRPr="00382917">
        <w:t>and</w:t>
      </w:r>
      <w:r w:rsidR="00EE4FC3">
        <w:t xml:space="preserve"> </w:t>
      </w:r>
      <w:r w:rsidRPr="00382917">
        <w:t>the</w:t>
      </w:r>
      <w:r w:rsidR="00EE4FC3">
        <w:t xml:space="preserve"> </w:t>
      </w:r>
      <w:r w:rsidRPr="00382917">
        <w:t>One</w:t>
      </w:r>
      <w:r w:rsidR="00EE4FC3">
        <w:t xml:space="preserve"> </w:t>
      </w:r>
      <w:r w:rsidRPr="00382917">
        <w:t>shepherd</w:t>
      </w:r>
      <w:r w:rsidR="009C713D" w:rsidRPr="00382917">
        <w:t>”</w:t>
      </w:r>
      <w:r w:rsidR="002622C4">
        <w:rPr>
          <w:rStyle w:val="FootnoteReference"/>
        </w:rPr>
        <w:footnoteReference w:id="285"/>
      </w:r>
      <w:r w:rsidR="00EE4FC3">
        <w:t xml:space="preserve"> </w:t>
      </w:r>
      <w:r w:rsidRPr="00382917">
        <w:t>would</w:t>
      </w:r>
      <w:r w:rsidR="00EE4FC3">
        <w:t xml:space="preserve"> </w:t>
      </w:r>
      <w:r w:rsidRPr="00382917">
        <w:t>be</w:t>
      </w:r>
      <w:r w:rsidR="00EE4FC3">
        <w:t xml:space="preserve"> </w:t>
      </w:r>
      <w:r w:rsidRPr="00382917">
        <w:t>ushered</w:t>
      </w:r>
      <w:r w:rsidR="00EE4FC3">
        <w:t xml:space="preserve"> </w:t>
      </w:r>
      <w:r w:rsidRPr="00382917">
        <w:t>in</w:t>
      </w:r>
      <w:r w:rsidR="00EE4FC3">
        <w:t xml:space="preserve"> </w:t>
      </w:r>
      <w:r w:rsidRPr="00382917">
        <w:t>by</w:t>
      </w:r>
      <w:r w:rsidR="00EE4FC3">
        <w:t xml:space="preserve"> </w:t>
      </w:r>
      <w:r w:rsidRPr="00382917">
        <w:t>the</w:t>
      </w:r>
      <w:r w:rsidR="00EE4FC3">
        <w:t xml:space="preserve"> </w:t>
      </w:r>
      <w:r w:rsidRPr="00382917">
        <w:t>sacrifice</w:t>
      </w:r>
      <w:r w:rsidR="00EE4FC3">
        <w:t xml:space="preserve"> </w:t>
      </w:r>
      <w:r w:rsidRPr="00382917">
        <w:t>of</w:t>
      </w:r>
      <w:r w:rsidR="00EE4FC3">
        <w:t xml:space="preserve"> </w:t>
      </w:r>
      <w:r w:rsidRPr="00382917">
        <w:t>that</w:t>
      </w:r>
      <w:r w:rsidR="00EE4FC3">
        <w:t xml:space="preserve"> </w:t>
      </w:r>
      <w:r w:rsidRPr="00382917">
        <w:t>gentle</w:t>
      </w:r>
      <w:r w:rsidR="00EE4FC3">
        <w:t xml:space="preserve"> </w:t>
      </w:r>
      <w:r w:rsidRPr="00382917">
        <w:t>Youth</w:t>
      </w:r>
      <w:r w:rsidR="00EE4FC3">
        <w:t xml:space="preserve"> </w:t>
      </w:r>
      <w:r w:rsidRPr="00382917">
        <w:t>from</w:t>
      </w:r>
      <w:r w:rsidR="00EE4FC3">
        <w:t xml:space="preserve"> </w:t>
      </w:r>
      <w:r w:rsidR="008A073E" w:rsidRPr="00382917">
        <w:rPr>
          <w:u w:val="single"/>
        </w:rPr>
        <w:t>Sh</w:t>
      </w:r>
      <w:r w:rsidR="008A073E" w:rsidRPr="00382917">
        <w:t>íráz</w:t>
      </w:r>
      <w:r w:rsidR="00C03C91">
        <w:t>:</w:t>
      </w:r>
      <w:r w:rsidR="00EE4FC3">
        <w:t xml:space="preserve">  </w:t>
      </w:r>
      <w:r w:rsidRPr="00382917">
        <w:t>the</w:t>
      </w:r>
      <w:r w:rsidR="00EE4FC3">
        <w:t xml:space="preserve"> </w:t>
      </w:r>
      <w:r w:rsidRPr="00382917">
        <w:t>Báb,</w:t>
      </w:r>
      <w:r w:rsidR="00EE4FC3">
        <w:t xml:space="preserve"> </w:t>
      </w:r>
      <w:r w:rsidRPr="00382917">
        <w:t>the</w:t>
      </w:r>
      <w:r w:rsidR="00EE4FC3">
        <w:t xml:space="preserve"> </w:t>
      </w:r>
      <w:r w:rsidRPr="00382917">
        <w:t>Gate</w:t>
      </w:r>
      <w:r w:rsidR="00EE4FC3">
        <w:t xml:space="preserve"> </w:t>
      </w:r>
      <w:r w:rsidRPr="00382917">
        <w:t>of</w:t>
      </w:r>
      <w:r w:rsidR="00EE4FC3">
        <w:t xml:space="preserve"> </w:t>
      </w:r>
      <w:r w:rsidRPr="00382917">
        <w:t>God.</w:t>
      </w:r>
    </w:p>
    <w:p w:rsidR="00244241" w:rsidRPr="00382917" w:rsidRDefault="00244241" w:rsidP="00F1111D"/>
    <w:p w:rsidR="00244241" w:rsidRPr="00382917" w:rsidRDefault="00244241" w:rsidP="00F1111D">
      <w:pPr>
        <w:sectPr w:rsidR="00244241" w:rsidRPr="00382917" w:rsidSect="009073C7">
          <w:footnotePr>
            <w:numRestart w:val="eachPage"/>
          </w:footnotePr>
          <w:type w:val="evenPage"/>
          <w:pgSz w:w="8618" w:h="12984" w:code="188"/>
          <w:pgMar w:top="720" w:right="720" w:bottom="720" w:left="720" w:header="720" w:footer="567" w:gutter="357"/>
          <w:cols w:space="708"/>
          <w:noEndnote/>
          <w:titlePg/>
          <w:docGrid w:linePitch="272"/>
        </w:sectPr>
      </w:pPr>
      <w:bookmarkStart w:id="22" w:name="_GoBack"/>
      <w:bookmarkEnd w:id="22"/>
    </w:p>
    <w:p w:rsidR="00244241" w:rsidRPr="00382917" w:rsidRDefault="00417538" w:rsidP="00417538">
      <w:r w:rsidRPr="00382917">
        <w:rPr>
          <w:sz w:val="12"/>
          <w:szCs w:val="12"/>
        </w:rPr>
        <w:fldChar w:fldCharType="begin"/>
      </w:r>
      <w:r w:rsidR="00EE4FC3">
        <w:rPr>
          <w:sz w:val="12"/>
          <w:szCs w:val="12"/>
        </w:rPr>
        <w:instrText xml:space="preserve"> </w:instrText>
      </w:r>
      <w:r w:rsidRPr="00382917">
        <w:rPr>
          <w:sz w:val="12"/>
          <w:szCs w:val="12"/>
        </w:rPr>
        <w:instrText>TC</w:instrText>
      </w:r>
      <w:r w:rsidR="00EE4FC3">
        <w:rPr>
          <w:sz w:val="12"/>
          <w:szCs w:val="12"/>
        </w:rPr>
        <w:instrText xml:space="preserve">  </w:instrText>
      </w:r>
      <w:r w:rsidRPr="00382917">
        <w:rPr>
          <w:sz w:val="12"/>
          <w:szCs w:val="12"/>
        </w:rPr>
        <w:instrText>“</w:instrText>
      </w:r>
      <w:bookmarkStart w:id="23" w:name="_Toc206658618"/>
      <w:r>
        <w:rPr>
          <w:sz w:val="12"/>
          <w:szCs w:val="12"/>
        </w:rPr>
        <w:instrText>Appendix</w:instrText>
      </w:r>
      <w:r w:rsidRPr="00382917">
        <w:rPr>
          <w:color w:val="FFFFFF" w:themeColor="background1"/>
          <w:sz w:val="12"/>
          <w:szCs w:val="12"/>
        </w:rPr>
        <w:instrText>..</w:instrText>
      </w:r>
      <w:r w:rsidRPr="00382917">
        <w:rPr>
          <w:sz w:val="12"/>
          <w:szCs w:val="12"/>
        </w:rPr>
        <w:tab/>
      </w:r>
      <w:r w:rsidRPr="00382917">
        <w:rPr>
          <w:color w:val="FFFFFF" w:themeColor="background1"/>
          <w:sz w:val="12"/>
          <w:szCs w:val="12"/>
        </w:rPr>
        <w:instrText>.</w:instrText>
      </w:r>
      <w:bookmarkEnd w:id="23"/>
      <w:proofErr w:type="gramStart"/>
      <w:r w:rsidRPr="00382917">
        <w:rPr>
          <w:sz w:val="12"/>
          <w:szCs w:val="12"/>
        </w:rPr>
        <w:instrText>”</w:instrText>
      </w:r>
      <w:r w:rsidR="00EE4FC3">
        <w:rPr>
          <w:sz w:val="12"/>
          <w:szCs w:val="12"/>
        </w:rPr>
        <w:instrText xml:space="preserve"> </w:instrText>
      </w:r>
      <w:proofErr w:type="gramEnd"/>
      <w:r w:rsidRPr="00382917">
        <w:rPr>
          <w:sz w:val="12"/>
          <w:szCs w:val="12"/>
        </w:rPr>
        <w:instrText>\l</w:instrText>
      </w:r>
      <w:r w:rsidR="00EE4FC3">
        <w:rPr>
          <w:sz w:val="12"/>
          <w:szCs w:val="12"/>
        </w:rPr>
        <w:instrText xml:space="preserve"> </w:instrText>
      </w:r>
      <w:r w:rsidRPr="00382917">
        <w:rPr>
          <w:sz w:val="12"/>
          <w:szCs w:val="12"/>
        </w:rPr>
        <w:instrText>1</w:instrText>
      </w:r>
      <w:r w:rsidR="00EE4FC3">
        <w:rPr>
          <w:sz w:val="12"/>
          <w:szCs w:val="12"/>
        </w:rPr>
        <w:instrText xml:space="preserve"> </w:instrText>
      </w:r>
      <w:r w:rsidRPr="00382917">
        <w:rPr>
          <w:sz w:val="12"/>
          <w:szCs w:val="12"/>
        </w:rPr>
        <w:fldChar w:fldCharType="end"/>
      </w:r>
    </w:p>
    <w:p w:rsidR="00244241" w:rsidRPr="00382917" w:rsidRDefault="00244241" w:rsidP="00F1111D"/>
    <w:p w:rsidR="00244241" w:rsidRPr="00382917" w:rsidRDefault="00244241" w:rsidP="00F1111D"/>
    <w:p w:rsidR="00244241" w:rsidRPr="00382917" w:rsidRDefault="00244241" w:rsidP="00F1111D"/>
    <w:p w:rsidR="00244241" w:rsidRPr="00382917" w:rsidRDefault="00244241" w:rsidP="00F1111D"/>
    <w:p w:rsidR="00244241" w:rsidRPr="00382917" w:rsidRDefault="00244241" w:rsidP="00F1111D"/>
    <w:p w:rsidR="00244241" w:rsidRPr="00382917" w:rsidRDefault="00244241" w:rsidP="00F1111D"/>
    <w:p w:rsidR="00244241" w:rsidRPr="00382917" w:rsidRDefault="00244241" w:rsidP="00F1111D"/>
    <w:p w:rsidR="00244241" w:rsidRPr="00382917" w:rsidRDefault="00244241" w:rsidP="00F1111D"/>
    <w:p w:rsidR="00244241" w:rsidRPr="00382917" w:rsidRDefault="00244241" w:rsidP="00F1111D"/>
    <w:p w:rsidR="00F1111D" w:rsidRPr="00382917" w:rsidRDefault="00417538" w:rsidP="00417538">
      <w:pPr>
        <w:pStyle w:val="Myheadc"/>
      </w:pPr>
      <w:r w:rsidRPr="00382917">
        <w:t>Appendix</w:t>
      </w:r>
    </w:p>
    <w:p w:rsidR="00244241" w:rsidRPr="00382917" w:rsidRDefault="00244241" w:rsidP="00F1111D"/>
    <w:p w:rsidR="00244241" w:rsidRPr="00382917" w:rsidRDefault="00244241" w:rsidP="00F1111D">
      <w:pPr>
        <w:sectPr w:rsidR="00244241" w:rsidRPr="00382917" w:rsidSect="009073C7">
          <w:footnotePr>
            <w:numRestart w:val="eachPage"/>
          </w:footnotePr>
          <w:type w:val="oddPage"/>
          <w:pgSz w:w="8618" w:h="12984" w:code="188"/>
          <w:pgMar w:top="720" w:right="720" w:bottom="720" w:left="720" w:header="720" w:footer="567" w:gutter="357"/>
          <w:cols w:space="708"/>
          <w:noEndnote/>
          <w:titlePg/>
          <w:docGrid w:linePitch="272"/>
        </w:sectPr>
      </w:pPr>
    </w:p>
    <w:p w:rsidR="00244241" w:rsidRPr="00382917" w:rsidRDefault="00417538" w:rsidP="00417538">
      <w:r w:rsidRPr="00382917">
        <w:rPr>
          <w:sz w:val="12"/>
          <w:szCs w:val="12"/>
        </w:rPr>
        <w:fldChar w:fldCharType="begin"/>
      </w:r>
      <w:r w:rsidR="00EE4FC3">
        <w:rPr>
          <w:sz w:val="12"/>
          <w:szCs w:val="12"/>
        </w:rPr>
        <w:instrText xml:space="preserve"> </w:instrText>
      </w:r>
      <w:r w:rsidRPr="00382917">
        <w:rPr>
          <w:sz w:val="12"/>
          <w:szCs w:val="12"/>
        </w:rPr>
        <w:instrText>TC</w:instrText>
      </w:r>
      <w:r w:rsidR="00EE4FC3">
        <w:rPr>
          <w:sz w:val="12"/>
          <w:szCs w:val="12"/>
        </w:rPr>
        <w:instrText xml:space="preserve">  </w:instrText>
      </w:r>
      <w:r w:rsidRPr="00382917">
        <w:rPr>
          <w:sz w:val="12"/>
          <w:szCs w:val="12"/>
        </w:rPr>
        <w:instrText>“</w:instrText>
      </w:r>
      <w:bookmarkStart w:id="24" w:name="_Toc206658619"/>
      <w:r>
        <w:rPr>
          <w:sz w:val="12"/>
          <w:szCs w:val="12"/>
        </w:rPr>
        <w:instrText>Note</w:instrText>
      </w:r>
      <w:r w:rsidR="00EE4FC3">
        <w:rPr>
          <w:sz w:val="12"/>
          <w:szCs w:val="12"/>
        </w:rPr>
        <w:instrText xml:space="preserve"> </w:instrText>
      </w:r>
      <w:r>
        <w:rPr>
          <w:sz w:val="12"/>
          <w:szCs w:val="12"/>
        </w:rPr>
        <w:instrText>1</w:instrText>
      </w:r>
      <w:r w:rsidRPr="00382917">
        <w:rPr>
          <w:color w:val="FFFFFF" w:themeColor="background1"/>
          <w:sz w:val="12"/>
          <w:szCs w:val="12"/>
        </w:rPr>
        <w:instrText>..</w:instrText>
      </w:r>
      <w:r w:rsidRPr="00382917">
        <w:rPr>
          <w:sz w:val="12"/>
          <w:szCs w:val="12"/>
        </w:rPr>
        <w:tab/>
      </w:r>
      <w:r w:rsidRPr="00382917">
        <w:rPr>
          <w:color w:val="FFFFFF" w:themeColor="background1"/>
          <w:sz w:val="12"/>
          <w:szCs w:val="12"/>
        </w:rPr>
        <w:instrText>.</w:instrText>
      </w:r>
      <w:bookmarkEnd w:id="24"/>
      <w:proofErr w:type="gramStart"/>
      <w:r w:rsidRPr="00382917">
        <w:rPr>
          <w:sz w:val="12"/>
          <w:szCs w:val="12"/>
        </w:rPr>
        <w:instrText>”</w:instrText>
      </w:r>
      <w:r w:rsidR="00EE4FC3">
        <w:rPr>
          <w:sz w:val="12"/>
          <w:szCs w:val="12"/>
        </w:rPr>
        <w:instrText xml:space="preserve"> </w:instrText>
      </w:r>
      <w:proofErr w:type="gramEnd"/>
      <w:r w:rsidRPr="00382917">
        <w:rPr>
          <w:sz w:val="12"/>
          <w:szCs w:val="12"/>
        </w:rPr>
        <w:instrText>\l</w:instrText>
      </w:r>
      <w:r w:rsidR="00EE4FC3">
        <w:rPr>
          <w:sz w:val="12"/>
          <w:szCs w:val="12"/>
        </w:rPr>
        <w:instrText xml:space="preserve"> </w:instrText>
      </w:r>
      <w:r>
        <w:rPr>
          <w:sz w:val="12"/>
          <w:szCs w:val="12"/>
        </w:rPr>
        <w:instrText>3</w:instrText>
      </w:r>
      <w:r w:rsidR="00EE4FC3">
        <w:rPr>
          <w:sz w:val="12"/>
          <w:szCs w:val="12"/>
        </w:rPr>
        <w:instrText xml:space="preserve"> </w:instrText>
      </w:r>
      <w:r w:rsidRPr="00382917">
        <w:rPr>
          <w:sz w:val="12"/>
          <w:szCs w:val="12"/>
        </w:rPr>
        <w:fldChar w:fldCharType="end"/>
      </w:r>
    </w:p>
    <w:p w:rsidR="00244241" w:rsidRPr="00382917" w:rsidRDefault="00244241" w:rsidP="00F1111D"/>
    <w:p w:rsidR="00F1111D" w:rsidRPr="00382917" w:rsidRDefault="00417538" w:rsidP="00266CD8">
      <w:pPr>
        <w:pStyle w:val="Myheadc"/>
      </w:pPr>
      <w:r w:rsidRPr="00382917">
        <w:t>Note</w:t>
      </w:r>
      <w:r w:rsidR="00EE4FC3">
        <w:t xml:space="preserve"> </w:t>
      </w:r>
      <w:r>
        <w:t>1</w:t>
      </w:r>
    </w:p>
    <w:p w:rsidR="00F1111D" w:rsidRPr="00382917" w:rsidRDefault="00F1111D" w:rsidP="00266CD8">
      <w:pPr>
        <w:pStyle w:val="Text"/>
      </w:pPr>
      <w:r w:rsidRPr="00382917">
        <w:t>The</w:t>
      </w:r>
      <w:r w:rsidR="00EE4FC3">
        <w:t xml:space="preserve"> </w:t>
      </w:r>
      <w:r w:rsidRPr="00382917">
        <w:t>period</w:t>
      </w:r>
      <w:r w:rsidR="00EE4FC3">
        <w:t xml:space="preserve"> </w:t>
      </w:r>
      <w:r w:rsidRPr="00382917">
        <w:t>in</w:t>
      </w:r>
      <w:r w:rsidR="00EE4FC3">
        <w:t xml:space="preserve"> </w:t>
      </w:r>
      <w:r w:rsidRPr="00382917">
        <w:t>history</w:t>
      </w:r>
      <w:r w:rsidR="00EE4FC3">
        <w:t xml:space="preserve"> </w:t>
      </w:r>
      <w:r w:rsidRPr="00382917">
        <w:t>from</w:t>
      </w:r>
      <w:r w:rsidR="00EE4FC3">
        <w:t xml:space="preserve"> </w:t>
      </w:r>
      <w:r w:rsidRPr="00382917">
        <w:t>the</w:t>
      </w:r>
      <w:r w:rsidR="00EE4FC3">
        <w:t xml:space="preserve"> </w:t>
      </w:r>
      <w:r w:rsidRPr="00382917">
        <w:t>years</w:t>
      </w:r>
      <w:r w:rsidR="00EE4FC3">
        <w:t xml:space="preserve"> </w:t>
      </w:r>
      <w:r w:rsidRPr="00382917">
        <w:t>1830</w:t>
      </w:r>
      <w:r w:rsidR="00EE4FC3">
        <w:t xml:space="preserve"> </w:t>
      </w:r>
      <w:r w:rsidRPr="00382917">
        <w:t>to</w:t>
      </w:r>
      <w:r w:rsidR="00EE4FC3">
        <w:t xml:space="preserve"> </w:t>
      </w:r>
      <w:r w:rsidRPr="00382917">
        <w:t>1850</w:t>
      </w:r>
      <w:r w:rsidR="00EE4FC3">
        <w:t xml:space="preserve"> </w:t>
      </w:r>
      <w:r w:rsidRPr="00382917">
        <w:t>was</w:t>
      </w:r>
      <w:r w:rsidR="00EE4FC3">
        <w:t xml:space="preserve"> </w:t>
      </w:r>
      <w:r w:rsidRPr="00382917">
        <w:t>one</w:t>
      </w:r>
      <w:r w:rsidR="00EE4FC3">
        <w:t xml:space="preserve"> </w:t>
      </w:r>
      <w:r w:rsidRPr="00382917">
        <w:t>of</w:t>
      </w:r>
      <w:r w:rsidR="00EE4FC3">
        <w:t xml:space="preserve"> </w:t>
      </w:r>
      <w:r w:rsidRPr="00382917">
        <w:t>strange</w:t>
      </w:r>
      <w:r w:rsidR="00EE4FC3">
        <w:t xml:space="preserve"> </w:t>
      </w:r>
      <w:r w:rsidRPr="00382917">
        <w:t>and</w:t>
      </w:r>
      <w:r w:rsidR="00EE4FC3">
        <w:t xml:space="preserve"> </w:t>
      </w:r>
      <w:r w:rsidRPr="00382917">
        <w:t>troublesome</w:t>
      </w:r>
      <w:r w:rsidR="00EE4FC3">
        <w:t xml:space="preserve"> </w:t>
      </w:r>
      <w:r w:rsidRPr="00382917">
        <w:t>events</w:t>
      </w:r>
      <w:r w:rsidR="00330AF7">
        <w:t>.</w:t>
      </w:r>
      <w:r w:rsidR="00EE4FC3">
        <w:t xml:space="preserve">  </w:t>
      </w:r>
      <w:r w:rsidRPr="00382917">
        <w:t>Men</w:t>
      </w:r>
      <w:r w:rsidR="00EE4FC3">
        <w:t xml:space="preserve"> </w:t>
      </w:r>
      <w:r w:rsidRPr="00382917">
        <w:t>stared</w:t>
      </w:r>
      <w:r w:rsidR="00EE4FC3">
        <w:t xml:space="preserve"> </w:t>
      </w:r>
      <w:r w:rsidRPr="00382917">
        <w:t>in</w:t>
      </w:r>
      <w:r w:rsidR="00EE4FC3">
        <w:t xml:space="preserve"> </w:t>
      </w:r>
      <w:r w:rsidRPr="00382917">
        <w:t>wonder</w:t>
      </w:r>
      <w:r w:rsidR="00EE4FC3">
        <w:t xml:space="preserve"> </w:t>
      </w:r>
      <w:r w:rsidRPr="00382917">
        <w:t>and</w:t>
      </w:r>
      <w:r w:rsidR="00EE4FC3">
        <w:t xml:space="preserve"> </w:t>
      </w:r>
      <w:r w:rsidRPr="00382917">
        <w:t>uneasiness</w:t>
      </w:r>
      <w:r w:rsidR="00EE4FC3">
        <w:t xml:space="preserve"> </w:t>
      </w:r>
      <w:r w:rsidRPr="00382917">
        <w:t>at</w:t>
      </w:r>
      <w:r w:rsidR="00EE4FC3">
        <w:t xml:space="preserve"> </w:t>
      </w:r>
      <w:r w:rsidRPr="00382917">
        <w:t>the</w:t>
      </w:r>
      <w:r w:rsidR="00EE4FC3">
        <w:t xml:space="preserve"> </w:t>
      </w:r>
      <w:r w:rsidRPr="00382917">
        <w:t>great</w:t>
      </w:r>
      <w:r w:rsidR="00EE4FC3">
        <w:t xml:space="preserve"> </w:t>
      </w:r>
      <w:r w:rsidRPr="00382917">
        <w:t>halo</w:t>
      </w:r>
      <w:r w:rsidR="00EE4FC3">
        <w:t xml:space="preserve"> </w:t>
      </w:r>
      <w:r w:rsidRPr="00382917">
        <w:t>that</w:t>
      </w:r>
      <w:r w:rsidR="00EE4FC3">
        <w:t xml:space="preserve"> </w:t>
      </w:r>
      <w:r w:rsidRPr="00382917">
        <w:t>circled</w:t>
      </w:r>
      <w:r w:rsidR="00EE4FC3">
        <w:t xml:space="preserve"> </w:t>
      </w:r>
      <w:r w:rsidRPr="00382917">
        <w:t>the</w:t>
      </w:r>
      <w:r w:rsidR="00EE4FC3">
        <w:t xml:space="preserve"> </w:t>
      </w:r>
      <w:r w:rsidRPr="00382917">
        <w:t>sun</w:t>
      </w:r>
      <w:r w:rsidR="00330AF7">
        <w:t>.</w:t>
      </w:r>
      <w:r w:rsidR="00EE4FC3">
        <w:t xml:space="preserve">  </w:t>
      </w:r>
      <w:r w:rsidRPr="00382917">
        <w:t>They</w:t>
      </w:r>
      <w:r w:rsidR="00EE4FC3">
        <w:t xml:space="preserve"> </w:t>
      </w:r>
      <w:r w:rsidRPr="00382917">
        <w:t>looked</w:t>
      </w:r>
      <w:r w:rsidR="00EE4FC3">
        <w:t xml:space="preserve"> </w:t>
      </w:r>
      <w:r w:rsidRPr="00382917">
        <w:t>up</w:t>
      </w:r>
      <w:r w:rsidR="00EE4FC3">
        <w:t xml:space="preserve"> </w:t>
      </w:r>
      <w:r w:rsidRPr="00382917">
        <w:t>in</w:t>
      </w:r>
      <w:r w:rsidR="00EE4FC3">
        <w:t xml:space="preserve"> </w:t>
      </w:r>
      <w:r w:rsidRPr="00382917">
        <w:t>horror</w:t>
      </w:r>
      <w:r w:rsidR="00EE4FC3">
        <w:t xml:space="preserve"> </w:t>
      </w:r>
      <w:r w:rsidRPr="00382917">
        <w:t>at</w:t>
      </w:r>
      <w:r w:rsidR="00EE4FC3">
        <w:t xml:space="preserve"> </w:t>
      </w:r>
      <w:r w:rsidRPr="00382917">
        <w:t>the</w:t>
      </w:r>
      <w:r w:rsidR="00EE4FC3">
        <w:t xml:space="preserve"> </w:t>
      </w:r>
      <w:r w:rsidRPr="00382917">
        <w:t>night</w:t>
      </w:r>
      <w:r w:rsidR="00EE4FC3">
        <w:t xml:space="preserve"> </w:t>
      </w:r>
      <w:r w:rsidRPr="00382917">
        <w:t>sky</w:t>
      </w:r>
      <w:r w:rsidR="00EE4FC3">
        <w:t xml:space="preserve"> </w:t>
      </w:r>
      <w:r w:rsidRPr="00382917">
        <w:t>where</w:t>
      </w:r>
      <w:r w:rsidR="00EE4FC3">
        <w:t xml:space="preserve"> </w:t>
      </w:r>
      <w:r w:rsidRPr="00382917">
        <w:t>a</w:t>
      </w:r>
      <w:r w:rsidR="00EE4FC3">
        <w:t xml:space="preserve"> </w:t>
      </w:r>
      <w:r w:rsidRPr="00382917">
        <w:t>giant</w:t>
      </w:r>
      <w:r w:rsidR="00EE4FC3">
        <w:t xml:space="preserve"> </w:t>
      </w:r>
      <w:r w:rsidRPr="00382917">
        <w:t>comet</w:t>
      </w:r>
      <w:r w:rsidR="00EE4FC3">
        <w:t xml:space="preserve"> </w:t>
      </w:r>
      <w:r w:rsidRPr="00382917">
        <w:t>with</w:t>
      </w:r>
      <w:r w:rsidR="00EE4FC3">
        <w:t xml:space="preserve"> </w:t>
      </w:r>
      <w:r w:rsidRPr="00382917">
        <w:t>a</w:t>
      </w:r>
      <w:r w:rsidR="00EE4FC3">
        <w:t xml:space="preserve"> </w:t>
      </w:r>
      <w:r w:rsidRPr="00382917">
        <w:t>fiery</w:t>
      </w:r>
      <w:r w:rsidR="00EE4FC3">
        <w:t xml:space="preserve"> </w:t>
      </w:r>
      <w:r w:rsidRPr="00382917">
        <w:t>tail</w:t>
      </w:r>
      <w:r w:rsidR="00EE4FC3">
        <w:t xml:space="preserve"> </w:t>
      </w:r>
      <w:r w:rsidRPr="00382917">
        <w:t>rushed</w:t>
      </w:r>
      <w:r w:rsidR="00EE4FC3">
        <w:t xml:space="preserve"> </w:t>
      </w:r>
      <w:r w:rsidRPr="00382917">
        <w:t>through</w:t>
      </w:r>
      <w:r w:rsidR="00EE4FC3">
        <w:t xml:space="preserve"> </w:t>
      </w:r>
      <w:r w:rsidRPr="00382917">
        <w:t>the</w:t>
      </w:r>
      <w:r w:rsidR="00EE4FC3">
        <w:t xml:space="preserve"> </w:t>
      </w:r>
      <w:r w:rsidRPr="00382917">
        <w:t>darkness.</w:t>
      </w:r>
      <w:r w:rsidR="00EE4FC3">
        <w:t xml:space="preserve">  </w:t>
      </w:r>
      <w:r w:rsidRPr="00382917">
        <w:t>It</w:t>
      </w:r>
      <w:r w:rsidR="00EE4FC3">
        <w:t xml:space="preserve"> </w:t>
      </w:r>
      <w:r w:rsidRPr="00382917">
        <w:t>was</w:t>
      </w:r>
      <w:r w:rsidR="00EE4FC3">
        <w:t xml:space="preserve"> </w:t>
      </w:r>
      <w:r w:rsidRPr="00382917">
        <w:t>whispered</w:t>
      </w:r>
      <w:r w:rsidR="00EE4FC3">
        <w:t xml:space="preserve"> </w:t>
      </w:r>
      <w:r w:rsidRPr="00382917">
        <w:t>that</w:t>
      </w:r>
      <w:r w:rsidR="00EE4FC3">
        <w:t xml:space="preserve"> </w:t>
      </w:r>
      <w:r w:rsidRPr="00382917">
        <w:t>the</w:t>
      </w:r>
      <w:r w:rsidR="00EE4FC3">
        <w:t xml:space="preserve"> </w:t>
      </w:r>
      <w:r w:rsidRPr="00382917">
        <w:t>comet</w:t>
      </w:r>
      <w:r w:rsidR="00EE4FC3">
        <w:t xml:space="preserve"> </w:t>
      </w:r>
      <w:r w:rsidRPr="00382917">
        <w:t>was</w:t>
      </w:r>
      <w:r w:rsidR="00EE4FC3">
        <w:t xml:space="preserve"> </w:t>
      </w:r>
      <w:r w:rsidRPr="00382917">
        <w:t>racing</w:t>
      </w:r>
      <w:r w:rsidR="00EE4FC3">
        <w:t xml:space="preserve"> </w:t>
      </w:r>
      <w:r w:rsidRPr="00382917">
        <w:t>toward</w:t>
      </w:r>
      <w:r w:rsidR="00EE4FC3">
        <w:t xml:space="preserve"> </w:t>
      </w:r>
      <w:r w:rsidRPr="00382917">
        <w:t>mankind</w:t>
      </w:r>
      <w:r w:rsidR="00EE4FC3">
        <w:t xml:space="preserve"> </w:t>
      </w:r>
      <w:r w:rsidRPr="00382917">
        <w:t>bringing</w:t>
      </w:r>
      <w:r w:rsidR="00EE4FC3">
        <w:t xml:space="preserve"> </w:t>
      </w:r>
      <w:r w:rsidRPr="00382917">
        <w:t>the</w:t>
      </w:r>
      <w:r w:rsidR="00EE4FC3">
        <w:t xml:space="preserve"> </w:t>
      </w:r>
      <w:r w:rsidR="009C713D" w:rsidRPr="00382917">
        <w:t>“</w:t>
      </w:r>
      <w:r w:rsidRPr="00382917">
        <w:t>end</w:t>
      </w:r>
      <w:r w:rsidR="00EE4FC3">
        <w:t xml:space="preserve"> </w:t>
      </w:r>
      <w:r w:rsidRPr="00382917">
        <w:t>of</w:t>
      </w:r>
      <w:r w:rsidR="00EE4FC3">
        <w:t xml:space="preserve"> </w:t>
      </w:r>
      <w:r w:rsidRPr="00382917">
        <w:t>the</w:t>
      </w:r>
      <w:r w:rsidR="00EE4FC3">
        <w:t xml:space="preserve"> </w:t>
      </w:r>
      <w:r w:rsidRPr="00382917">
        <w:t>world</w:t>
      </w:r>
      <w:r w:rsidR="009C713D" w:rsidRPr="00382917">
        <w:t>”</w:t>
      </w:r>
      <w:r w:rsidR="00266CD8">
        <w:t>.</w:t>
      </w:r>
    </w:p>
    <w:p w:rsidR="00F1111D" w:rsidRPr="00382917" w:rsidRDefault="00F1111D" w:rsidP="00244241">
      <w:pPr>
        <w:pStyle w:val="Text"/>
      </w:pPr>
      <w:r w:rsidRPr="00382917">
        <w:t>In</w:t>
      </w:r>
      <w:r w:rsidR="00EE4FC3">
        <w:t xml:space="preserve"> </w:t>
      </w:r>
      <w:r w:rsidRPr="00382917">
        <w:t>America,</w:t>
      </w:r>
      <w:r w:rsidR="00EE4FC3">
        <w:t xml:space="preserve"> </w:t>
      </w:r>
      <w:r w:rsidRPr="00382917">
        <w:t>Europe,</w:t>
      </w:r>
      <w:r w:rsidR="00EE4FC3">
        <w:t xml:space="preserve"> </w:t>
      </w:r>
      <w:r w:rsidRPr="00382917">
        <w:t>Asia</w:t>
      </w:r>
      <w:r w:rsidR="00EE4FC3">
        <w:t xml:space="preserve"> </w:t>
      </w:r>
      <w:r w:rsidRPr="00382917">
        <w:t>and</w:t>
      </w:r>
      <w:r w:rsidR="00EE4FC3">
        <w:t xml:space="preserve"> </w:t>
      </w:r>
      <w:r w:rsidRPr="00382917">
        <w:t>Africa,</w:t>
      </w:r>
      <w:r w:rsidR="00EE4FC3">
        <w:t xml:space="preserve"> </w:t>
      </w:r>
      <w:r w:rsidRPr="00382917">
        <w:t>there</w:t>
      </w:r>
      <w:r w:rsidR="00EE4FC3">
        <w:t xml:space="preserve"> </w:t>
      </w:r>
      <w:r w:rsidRPr="00382917">
        <w:t>were</w:t>
      </w:r>
      <w:r w:rsidR="00EE4FC3">
        <w:t xml:space="preserve"> </w:t>
      </w:r>
      <w:r w:rsidRPr="00382917">
        <w:t>men</w:t>
      </w:r>
      <w:r w:rsidR="00EE4FC3">
        <w:t xml:space="preserve"> </w:t>
      </w:r>
      <w:r w:rsidRPr="00382917">
        <w:t>warning</w:t>
      </w:r>
      <w:r w:rsidR="00EE4FC3">
        <w:t xml:space="preserve"> </w:t>
      </w:r>
      <w:r w:rsidRPr="00382917">
        <w:t>the</w:t>
      </w:r>
      <w:r w:rsidR="00EE4FC3">
        <w:t xml:space="preserve"> </w:t>
      </w:r>
      <w:r w:rsidRPr="00382917">
        <w:t>people</w:t>
      </w:r>
      <w:r w:rsidR="00EE4FC3">
        <w:t xml:space="preserve"> </w:t>
      </w:r>
      <w:r w:rsidRPr="00382917">
        <w:t>to</w:t>
      </w:r>
      <w:r w:rsidR="00EE4FC3">
        <w:t xml:space="preserve"> </w:t>
      </w:r>
      <w:r w:rsidRPr="00382917">
        <w:t>prepare</w:t>
      </w:r>
      <w:r w:rsidR="00EE4FC3">
        <w:t xml:space="preserve"> </w:t>
      </w:r>
      <w:r w:rsidRPr="00382917">
        <w:t>for</w:t>
      </w:r>
      <w:r w:rsidR="00EE4FC3">
        <w:t xml:space="preserve"> </w:t>
      </w:r>
      <w:r w:rsidRPr="00382917">
        <w:t>the</w:t>
      </w:r>
      <w:r w:rsidR="00EE4FC3">
        <w:t xml:space="preserve"> </w:t>
      </w:r>
      <w:r w:rsidRPr="00382917">
        <w:t>return</w:t>
      </w:r>
      <w:r w:rsidR="00EE4FC3">
        <w:t xml:space="preserve"> </w:t>
      </w:r>
      <w:r w:rsidRPr="00382917">
        <w:t>of</w:t>
      </w:r>
      <w:r w:rsidR="00EE4FC3">
        <w:t xml:space="preserve"> </w:t>
      </w:r>
      <w:r w:rsidRPr="00382917">
        <w:t>Jesus,</w:t>
      </w:r>
      <w:r w:rsidR="00EE4FC3">
        <w:t xml:space="preserve"> </w:t>
      </w:r>
      <w:r w:rsidRPr="00382917">
        <w:t>for</w:t>
      </w:r>
      <w:r w:rsidR="00EE4FC3">
        <w:t xml:space="preserve"> </w:t>
      </w:r>
      <w:r w:rsidRPr="00382917">
        <w:t>the</w:t>
      </w:r>
      <w:r w:rsidR="00EE4FC3">
        <w:t xml:space="preserve"> </w:t>
      </w:r>
      <w:r w:rsidRPr="00382917">
        <w:t>second</w:t>
      </w:r>
      <w:r w:rsidR="00EE4FC3">
        <w:t xml:space="preserve"> </w:t>
      </w:r>
      <w:r w:rsidRPr="00382917">
        <w:t>coming</w:t>
      </w:r>
      <w:r w:rsidR="00EE4FC3">
        <w:t xml:space="preserve"> </w:t>
      </w:r>
      <w:r w:rsidRPr="00382917">
        <w:t>of</w:t>
      </w:r>
      <w:r w:rsidR="00EE4FC3">
        <w:t xml:space="preserve"> </w:t>
      </w:r>
      <w:r w:rsidRPr="00382917">
        <w:t>Christ.</w:t>
      </w:r>
    </w:p>
    <w:p w:rsidR="00F1111D" w:rsidRPr="00382917" w:rsidRDefault="00F1111D" w:rsidP="00945736">
      <w:pPr>
        <w:pStyle w:val="Text"/>
      </w:pPr>
      <w:r w:rsidRPr="00382917">
        <w:t>Wolf</w:t>
      </w:r>
      <w:r w:rsidR="00EE4FC3">
        <w:t xml:space="preserve"> </w:t>
      </w:r>
      <w:r w:rsidRPr="00382917">
        <w:t>in</w:t>
      </w:r>
      <w:r w:rsidR="00EE4FC3">
        <w:t xml:space="preserve"> </w:t>
      </w:r>
      <w:r w:rsidRPr="00382917">
        <w:t>Asia,</w:t>
      </w:r>
      <w:r w:rsidR="00EE4FC3">
        <w:t xml:space="preserve"> </w:t>
      </w:r>
      <w:r w:rsidRPr="00382917">
        <w:t>Sir</w:t>
      </w:r>
      <w:r w:rsidR="00EE4FC3">
        <w:t xml:space="preserve"> </w:t>
      </w:r>
      <w:r w:rsidRPr="00382917">
        <w:t>Edward</w:t>
      </w:r>
      <w:r w:rsidR="00EE4FC3">
        <w:t xml:space="preserve"> </w:t>
      </w:r>
      <w:r w:rsidRPr="00382917">
        <w:t>Irving</w:t>
      </w:r>
      <w:r w:rsidR="00EE4FC3">
        <w:t xml:space="preserve"> </w:t>
      </w:r>
      <w:r w:rsidRPr="00382917">
        <w:t>in</w:t>
      </w:r>
      <w:r w:rsidR="00EE4FC3">
        <w:t xml:space="preserve"> </w:t>
      </w:r>
      <w:r w:rsidRPr="00382917">
        <w:t>England,</w:t>
      </w:r>
      <w:r w:rsidR="00EE4FC3">
        <w:t xml:space="preserve"> </w:t>
      </w:r>
      <w:r w:rsidRPr="00382917">
        <w:t>Mason</w:t>
      </w:r>
      <w:r w:rsidR="00EE4FC3">
        <w:t xml:space="preserve"> </w:t>
      </w:r>
      <w:r w:rsidRPr="00382917">
        <w:t>in</w:t>
      </w:r>
      <w:r w:rsidR="00EE4FC3">
        <w:t xml:space="preserve"> </w:t>
      </w:r>
      <w:r w:rsidRPr="00382917">
        <w:t>Scotland,</w:t>
      </w:r>
      <w:r w:rsidR="00EE4FC3">
        <w:t xml:space="preserve"> </w:t>
      </w:r>
      <w:r w:rsidRPr="00382917">
        <w:t>Davis</w:t>
      </w:r>
      <w:r w:rsidR="00EE4FC3">
        <w:t xml:space="preserve"> </w:t>
      </w:r>
      <w:r w:rsidRPr="00382917">
        <w:t>in</w:t>
      </w:r>
      <w:r w:rsidR="00EE4FC3">
        <w:t xml:space="preserve"> </w:t>
      </w:r>
      <w:r w:rsidRPr="00382917">
        <w:t>South</w:t>
      </w:r>
      <w:r w:rsidR="00EE4FC3">
        <w:t xml:space="preserve"> </w:t>
      </w:r>
      <w:r w:rsidRPr="00382917">
        <w:t>Carolina,</w:t>
      </w:r>
      <w:r w:rsidR="00EE4FC3">
        <w:t xml:space="preserve"> </w:t>
      </w:r>
      <w:r w:rsidRPr="00382917">
        <w:t>William</w:t>
      </w:r>
      <w:r w:rsidR="00EE4FC3">
        <w:t xml:space="preserve"> </w:t>
      </w:r>
      <w:r w:rsidRPr="00382917">
        <w:t>Miller</w:t>
      </w:r>
      <w:r w:rsidR="00EE4FC3">
        <w:t xml:space="preserve"> </w:t>
      </w:r>
      <w:r w:rsidRPr="00382917">
        <w:t>in</w:t>
      </w:r>
      <w:r w:rsidR="00EE4FC3">
        <w:t xml:space="preserve"> </w:t>
      </w:r>
      <w:r w:rsidRPr="00382917">
        <w:t>Pennsylvania,</w:t>
      </w:r>
      <w:r w:rsidR="00EE4FC3">
        <w:t xml:space="preserve"> </w:t>
      </w:r>
      <w:r w:rsidRPr="00382917">
        <w:t>and</w:t>
      </w:r>
      <w:r w:rsidR="00EE4FC3">
        <w:t xml:space="preserve"> </w:t>
      </w:r>
      <w:r w:rsidRPr="00382917">
        <w:t>many</w:t>
      </w:r>
      <w:r w:rsidR="00EE4FC3">
        <w:t xml:space="preserve"> </w:t>
      </w:r>
      <w:r w:rsidRPr="00382917">
        <w:t>others</w:t>
      </w:r>
      <w:r w:rsidR="00EE4FC3">
        <w:t xml:space="preserve"> </w:t>
      </w:r>
      <w:r w:rsidRPr="00382917">
        <w:t>throughout</w:t>
      </w:r>
      <w:r w:rsidR="00EE4FC3">
        <w:t xml:space="preserve"> </w:t>
      </w:r>
      <w:r w:rsidRPr="00382917">
        <w:t>the</w:t>
      </w:r>
      <w:r w:rsidR="00EE4FC3">
        <w:t xml:space="preserve"> </w:t>
      </w:r>
      <w:r w:rsidRPr="00382917">
        <w:t>world</w:t>
      </w:r>
      <w:r w:rsidR="00EE4FC3">
        <w:t xml:space="preserve"> </w:t>
      </w:r>
      <w:r w:rsidRPr="00382917">
        <w:t>agreed</w:t>
      </w:r>
      <w:r w:rsidR="00EE4FC3">
        <w:t xml:space="preserve"> </w:t>
      </w:r>
      <w:r w:rsidRPr="00382917">
        <w:t>that</w:t>
      </w:r>
      <w:r w:rsidR="00EE4FC3">
        <w:t xml:space="preserve"> </w:t>
      </w:r>
      <w:r w:rsidRPr="00382917">
        <w:t>this</w:t>
      </w:r>
      <w:r w:rsidR="00EE4FC3">
        <w:t xml:space="preserve"> </w:t>
      </w:r>
      <w:r w:rsidRPr="00382917">
        <w:t>was</w:t>
      </w:r>
      <w:r w:rsidR="00EE4FC3">
        <w:t xml:space="preserve"> </w:t>
      </w:r>
      <w:r w:rsidRPr="00382917">
        <w:t>indeed</w:t>
      </w:r>
      <w:r w:rsidR="00EE4FC3">
        <w:t xml:space="preserve"> </w:t>
      </w:r>
      <w:r w:rsidRPr="00382917">
        <w:t>the</w:t>
      </w:r>
      <w:r w:rsidR="00EE4FC3">
        <w:t xml:space="preserve"> </w:t>
      </w:r>
      <w:r w:rsidR="009C713D" w:rsidRPr="00382917">
        <w:t>“</w:t>
      </w:r>
      <w:r w:rsidRPr="00382917">
        <w:t>time</w:t>
      </w:r>
      <w:r w:rsidR="00EE4FC3">
        <w:t xml:space="preserve"> </w:t>
      </w:r>
      <w:r w:rsidRPr="00382917">
        <w:t>of</w:t>
      </w:r>
      <w:r w:rsidR="00EE4FC3">
        <w:t xml:space="preserve"> </w:t>
      </w:r>
      <w:r w:rsidRPr="00382917">
        <w:t>the</w:t>
      </w:r>
      <w:r w:rsidR="00EE4FC3">
        <w:t xml:space="preserve"> </w:t>
      </w:r>
      <w:r w:rsidRPr="00382917">
        <w:t>end</w:t>
      </w:r>
      <w:r w:rsidR="009C713D" w:rsidRPr="00382917">
        <w:t>”</w:t>
      </w:r>
      <w:r w:rsidR="00DD6267">
        <w:t>.</w:t>
      </w:r>
      <w:r w:rsidR="00945736">
        <w:rPr>
          <w:rStyle w:val="FootnoteReference"/>
        </w:rPr>
        <w:footnoteReference w:id="286"/>
      </w:r>
      <w:r w:rsidR="00945736">
        <w:t xml:space="preserve"> </w:t>
      </w:r>
      <w:r w:rsidR="00EE4FC3">
        <w:t xml:space="preserve"> </w:t>
      </w:r>
      <w:r w:rsidRPr="00382917">
        <w:t>Christ,</w:t>
      </w:r>
      <w:r w:rsidR="00EE4FC3">
        <w:t xml:space="preserve"> </w:t>
      </w:r>
      <w:r w:rsidRPr="00382917">
        <w:t>they</w:t>
      </w:r>
      <w:r w:rsidR="00EE4FC3">
        <w:t xml:space="preserve"> </w:t>
      </w:r>
      <w:r w:rsidRPr="00382917">
        <w:t>said,</w:t>
      </w:r>
      <w:r w:rsidR="00EE4FC3">
        <w:t xml:space="preserve"> </w:t>
      </w:r>
      <w:r w:rsidRPr="00382917">
        <w:t>would</w:t>
      </w:r>
      <w:r w:rsidR="00EE4FC3">
        <w:t xml:space="preserve"> </w:t>
      </w:r>
      <w:r w:rsidRPr="00382917">
        <w:t>soon</w:t>
      </w:r>
      <w:r w:rsidR="00EE4FC3">
        <w:t xml:space="preserve"> </w:t>
      </w:r>
      <w:r w:rsidRPr="00382917">
        <w:t>appear</w:t>
      </w:r>
      <w:r w:rsidR="00552489">
        <w:t>.</w:t>
      </w:r>
      <w:r w:rsidR="00EE4FC3">
        <w:t xml:space="preserve">  </w:t>
      </w:r>
      <w:r w:rsidRPr="00382917">
        <w:t>Leonard</w:t>
      </w:r>
      <w:r w:rsidR="00EE4FC3">
        <w:t xml:space="preserve"> </w:t>
      </w:r>
      <w:r w:rsidRPr="00382917">
        <w:t>Heinrich</w:t>
      </w:r>
      <w:r w:rsidR="00EE4FC3">
        <w:t xml:space="preserve"> </w:t>
      </w:r>
      <w:proofErr w:type="spellStart"/>
      <w:r w:rsidRPr="00382917">
        <w:t>Kelber</w:t>
      </w:r>
      <w:proofErr w:type="spellEnd"/>
      <w:r w:rsidR="00EE4FC3">
        <w:t xml:space="preserve"> </w:t>
      </w:r>
      <w:r w:rsidRPr="00382917">
        <w:t>and</w:t>
      </w:r>
      <w:r w:rsidR="00EE4FC3">
        <w:t xml:space="preserve"> </w:t>
      </w:r>
      <w:r w:rsidRPr="00382917">
        <w:t>his</w:t>
      </w:r>
      <w:r w:rsidR="00EE4FC3">
        <w:t xml:space="preserve"> </w:t>
      </w:r>
      <w:r w:rsidRPr="00382917">
        <w:t>fellow</w:t>
      </w:r>
      <w:r w:rsidR="00EE4FC3">
        <w:t xml:space="preserve"> </w:t>
      </w:r>
      <w:r w:rsidRPr="00382917">
        <w:t>Christians</w:t>
      </w:r>
      <w:r w:rsidR="00EE4FC3">
        <w:t xml:space="preserve"> </w:t>
      </w:r>
      <w:r w:rsidRPr="00382917">
        <w:t>in</w:t>
      </w:r>
      <w:r w:rsidR="00EE4FC3">
        <w:t xml:space="preserve"> </w:t>
      </w:r>
      <w:r w:rsidRPr="00382917">
        <w:t>Germany</w:t>
      </w:r>
      <w:r w:rsidR="00EE4FC3">
        <w:t xml:space="preserve"> </w:t>
      </w:r>
      <w:r w:rsidRPr="00382917">
        <w:t>confidently</w:t>
      </w:r>
      <w:r w:rsidR="00EE4FC3">
        <w:t xml:space="preserve"> </w:t>
      </w:r>
      <w:r w:rsidRPr="00382917">
        <w:t>awaited</w:t>
      </w:r>
      <w:r w:rsidR="00EE4FC3">
        <w:t xml:space="preserve"> </w:t>
      </w:r>
      <w:r w:rsidRPr="00382917">
        <w:t>the</w:t>
      </w:r>
      <w:r w:rsidR="00EE4FC3">
        <w:t xml:space="preserve"> </w:t>
      </w:r>
      <w:r w:rsidRPr="00382917">
        <w:t>coming</w:t>
      </w:r>
      <w:r w:rsidR="00EE4FC3">
        <w:t xml:space="preserve"> </w:t>
      </w:r>
      <w:r w:rsidRPr="00382917">
        <w:t>of</w:t>
      </w:r>
      <w:r w:rsidR="00EE4FC3">
        <w:t xml:space="preserve"> </w:t>
      </w:r>
      <w:r w:rsidRPr="00382917">
        <w:t>Christ</w:t>
      </w:r>
      <w:r w:rsidR="00EE4FC3">
        <w:t xml:space="preserve"> </w:t>
      </w:r>
      <w:r w:rsidRPr="00382917">
        <w:t>during</w:t>
      </w:r>
      <w:r w:rsidR="00EE4FC3">
        <w:t xml:space="preserve"> </w:t>
      </w:r>
      <w:r w:rsidRPr="00382917">
        <w:t>this</w:t>
      </w:r>
      <w:r w:rsidR="00EE4FC3">
        <w:t xml:space="preserve"> </w:t>
      </w:r>
      <w:r w:rsidRPr="00382917">
        <w:t>same</w:t>
      </w:r>
      <w:r w:rsidR="00EE4FC3">
        <w:t xml:space="preserve"> </w:t>
      </w:r>
      <w:r w:rsidRPr="00382917">
        <w:t>period</w:t>
      </w:r>
      <w:r w:rsidR="00552489">
        <w:t>.</w:t>
      </w:r>
      <w:r w:rsidR="00EE4FC3">
        <w:t xml:space="preserve">  </w:t>
      </w:r>
      <w:r w:rsidRPr="00382917">
        <w:t>This</w:t>
      </w:r>
      <w:r w:rsidR="00EE4FC3">
        <w:t xml:space="preserve"> </w:t>
      </w:r>
      <w:r w:rsidRPr="00382917">
        <w:t>millennial</w:t>
      </w:r>
      <w:r w:rsidR="00EE4FC3">
        <w:t xml:space="preserve"> </w:t>
      </w:r>
      <w:r w:rsidRPr="00382917">
        <w:t>zeal</w:t>
      </w:r>
      <w:r w:rsidR="00EE4FC3">
        <w:t xml:space="preserve"> </w:t>
      </w:r>
      <w:r w:rsidRPr="00382917">
        <w:t>reached</w:t>
      </w:r>
      <w:r w:rsidR="00EE4FC3">
        <w:t xml:space="preserve"> </w:t>
      </w:r>
      <w:r w:rsidRPr="00382917">
        <w:t>its</w:t>
      </w:r>
      <w:r w:rsidR="00EE4FC3">
        <w:t xml:space="preserve"> </w:t>
      </w:r>
      <w:r w:rsidRPr="00382917">
        <w:t>climax</w:t>
      </w:r>
      <w:r w:rsidR="00EE4FC3">
        <w:t xml:space="preserve"> </w:t>
      </w:r>
      <w:r w:rsidRPr="00382917">
        <w:t>in</w:t>
      </w:r>
      <w:r w:rsidR="00EE4FC3">
        <w:t xml:space="preserve"> </w:t>
      </w:r>
      <w:r w:rsidRPr="00382917">
        <w:t>the</w:t>
      </w:r>
      <w:r w:rsidR="00EE4FC3">
        <w:t xml:space="preserve"> </w:t>
      </w:r>
      <w:r w:rsidRPr="00382917">
        <w:t>year</w:t>
      </w:r>
      <w:r w:rsidR="00EE4FC3">
        <w:t xml:space="preserve"> </w:t>
      </w:r>
      <w:r w:rsidRPr="00382917">
        <w:t>1844.</w:t>
      </w:r>
    </w:p>
    <w:p w:rsidR="00F1111D" w:rsidRPr="00382917" w:rsidRDefault="00F1111D" w:rsidP="00244241">
      <w:pPr>
        <w:pStyle w:val="Text"/>
      </w:pPr>
      <w:r w:rsidRPr="00382917">
        <w:t>An</w:t>
      </w:r>
      <w:r w:rsidR="00EE4FC3">
        <w:t xml:space="preserve"> </w:t>
      </w:r>
      <w:r w:rsidRPr="00382917">
        <w:t>historical</w:t>
      </w:r>
      <w:r w:rsidR="00EE4FC3">
        <w:t xml:space="preserve"> </w:t>
      </w:r>
      <w:r w:rsidRPr="00382917">
        <w:t>account</w:t>
      </w:r>
      <w:r w:rsidR="00EE4FC3">
        <w:t xml:space="preserve"> </w:t>
      </w:r>
      <w:r w:rsidRPr="00382917">
        <w:t>of</w:t>
      </w:r>
      <w:r w:rsidR="00EE4FC3">
        <w:t xml:space="preserve"> </w:t>
      </w:r>
      <w:r w:rsidRPr="00382917">
        <w:t>those</w:t>
      </w:r>
      <w:r w:rsidR="00EE4FC3">
        <w:t xml:space="preserve"> </w:t>
      </w:r>
      <w:proofErr w:type="gramStart"/>
      <w:r w:rsidRPr="00382917">
        <w:t>days</w:t>
      </w:r>
      <w:proofErr w:type="gramEnd"/>
      <w:r w:rsidR="00EE4FC3">
        <w:t xml:space="preserve"> </w:t>
      </w:r>
      <w:r w:rsidRPr="00382917">
        <w:t>states</w:t>
      </w:r>
      <w:r w:rsidR="00C03C91">
        <w:t>:</w:t>
      </w:r>
      <w:r w:rsidR="00EE4FC3">
        <w:t xml:space="preserve">  </w:t>
      </w:r>
      <w:r w:rsidR="009C713D" w:rsidRPr="00382917">
        <w:t>“</w:t>
      </w:r>
      <w:r w:rsidRPr="00382917">
        <w:t>A</w:t>
      </w:r>
      <w:r w:rsidR="00EE4FC3">
        <w:t xml:space="preserve"> </w:t>
      </w:r>
      <w:r w:rsidRPr="00382917">
        <w:t>converted</w:t>
      </w:r>
      <w:r w:rsidR="00EE4FC3">
        <w:t xml:space="preserve"> </w:t>
      </w:r>
      <w:r w:rsidRPr="00382917">
        <w:t>Jew</w:t>
      </w:r>
      <w:r w:rsidR="00EE4FC3">
        <w:t xml:space="preserve"> </w:t>
      </w:r>
      <w:r w:rsidRPr="00382917">
        <w:t>in</w:t>
      </w:r>
      <w:r w:rsidR="00EE4FC3">
        <w:t xml:space="preserve"> </w:t>
      </w:r>
      <w:r w:rsidRPr="00382917">
        <w:t>Palestine,</w:t>
      </w:r>
      <w:r w:rsidR="00EE4FC3">
        <w:t xml:space="preserve"> </w:t>
      </w:r>
      <w:r w:rsidRPr="00382917">
        <w:t>Joseph</w:t>
      </w:r>
      <w:r w:rsidR="00EE4FC3">
        <w:t xml:space="preserve"> </w:t>
      </w:r>
      <w:r w:rsidRPr="00382917">
        <w:t>Wolf,</w:t>
      </w:r>
      <w:r w:rsidR="00EE4FC3">
        <w:t xml:space="preserve"> </w:t>
      </w:r>
      <w:r w:rsidRPr="00382917">
        <w:t>predicted</w:t>
      </w:r>
      <w:r w:rsidR="00EE4FC3">
        <w:t xml:space="preserve"> </w:t>
      </w:r>
      <w:r w:rsidRPr="00382917">
        <w:t>the</w:t>
      </w:r>
      <w:r w:rsidR="00EE4FC3">
        <w:t xml:space="preserve"> </w:t>
      </w:r>
      <w:r w:rsidRPr="00382917">
        <w:t>Advent</w:t>
      </w:r>
      <w:r w:rsidR="00EE4FC3">
        <w:t xml:space="preserve"> </w:t>
      </w:r>
      <w:r w:rsidRPr="00382917">
        <w:t>for</w:t>
      </w:r>
      <w:r w:rsidR="00EE4FC3">
        <w:t xml:space="preserve"> </w:t>
      </w:r>
      <w:r w:rsidRPr="00382917">
        <w:t>1847</w:t>
      </w:r>
      <w:r w:rsidR="00552489">
        <w:t>.</w:t>
      </w:r>
      <w:r w:rsidR="00EE4FC3">
        <w:t xml:space="preserve">  </w:t>
      </w:r>
      <w:r w:rsidRPr="00382917">
        <w:t>Harriet</w:t>
      </w:r>
      <w:r w:rsidR="00EE4FC3">
        <w:t xml:space="preserve"> </w:t>
      </w:r>
      <w:r w:rsidRPr="00382917">
        <w:t>Livermore,</w:t>
      </w:r>
      <w:r w:rsidR="00EE4FC3">
        <w:t xml:space="preserve"> </w:t>
      </w:r>
      <w:r w:rsidRPr="00382917">
        <w:t>an</w:t>
      </w:r>
      <w:r w:rsidR="00EE4FC3">
        <w:t xml:space="preserve"> </w:t>
      </w:r>
      <w:r w:rsidRPr="00382917">
        <w:t>eloquent</w:t>
      </w:r>
      <w:r w:rsidR="00EE4FC3">
        <w:t xml:space="preserve"> </w:t>
      </w:r>
      <w:r w:rsidRPr="00382917">
        <w:t>and</w:t>
      </w:r>
      <w:r w:rsidR="00EE4FC3">
        <w:t xml:space="preserve"> </w:t>
      </w:r>
      <w:r w:rsidRPr="00382917">
        <w:t>arresting</w:t>
      </w:r>
      <w:r w:rsidR="00EE4FC3">
        <w:t xml:space="preserve"> </w:t>
      </w:r>
      <w:r w:rsidRPr="00382917">
        <w:t>woman</w:t>
      </w:r>
      <w:r w:rsidR="00EE4FC3">
        <w:t xml:space="preserve"> </w:t>
      </w:r>
      <w:r w:rsidRPr="00382917">
        <w:t>of</w:t>
      </w:r>
      <w:r w:rsidR="00EE4FC3">
        <w:t xml:space="preserve"> </w:t>
      </w:r>
      <w:r w:rsidRPr="00382917">
        <w:t>the</w:t>
      </w:r>
      <w:r w:rsidR="00EE4FC3">
        <w:t xml:space="preserve"> </w:t>
      </w:r>
      <w:r w:rsidRPr="00382917">
        <w:t>time,</w:t>
      </w:r>
      <w:r w:rsidR="00EE4FC3">
        <w:t xml:space="preserve"> </w:t>
      </w:r>
      <w:r w:rsidRPr="00382917">
        <w:t>who</w:t>
      </w:r>
      <w:r w:rsidR="00EE4FC3">
        <w:t xml:space="preserve"> </w:t>
      </w:r>
      <w:r w:rsidRPr="00382917">
        <w:t>figures</w:t>
      </w:r>
      <w:r w:rsidR="00EE4FC3">
        <w:t xml:space="preserve"> </w:t>
      </w:r>
      <w:r w:rsidRPr="00382917">
        <w:t>in</w:t>
      </w:r>
      <w:r w:rsidR="00EE4FC3">
        <w:t xml:space="preserve"> </w:t>
      </w:r>
      <w:r w:rsidRPr="00382917">
        <w:t>Whittier</w:t>
      </w:r>
      <w:r w:rsidR="009C713D" w:rsidRPr="00382917">
        <w:t>’</w:t>
      </w:r>
      <w:r w:rsidRPr="00382917">
        <w:t>s</w:t>
      </w:r>
      <w:r w:rsidR="00EE4FC3">
        <w:t xml:space="preserve"> </w:t>
      </w:r>
      <w:r w:rsidRPr="00266CD8">
        <w:rPr>
          <w:i/>
          <w:iCs/>
        </w:rPr>
        <w:t>Snowbound</w:t>
      </w:r>
      <w:r w:rsidRPr="00382917">
        <w:t>,</w:t>
      </w:r>
      <w:r w:rsidR="00EE4FC3">
        <w:t xml:space="preserve"> </w:t>
      </w:r>
      <w:r w:rsidRPr="00382917">
        <w:t>preached</w:t>
      </w:r>
      <w:r w:rsidR="00EE4FC3">
        <w:t xml:space="preserve"> </w:t>
      </w:r>
      <w:r w:rsidRPr="00382917">
        <w:t>the</w:t>
      </w:r>
      <w:r w:rsidR="00EE4FC3">
        <w:t xml:space="preserve"> </w:t>
      </w:r>
      <w:r w:rsidRPr="00382917">
        <w:t>Second</w:t>
      </w:r>
      <w:r w:rsidR="00EE4FC3">
        <w:t xml:space="preserve"> </w:t>
      </w:r>
      <w:r w:rsidRPr="00382917">
        <w:t>Coming</w:t>
      </w:r>
      <w:r w:rsidR="00EE4FC3">
        <w:t xml:space="preserve"> </w:t>
      </w:r>
      <w:r w:rsidRPr="00382917">
        <w:t>everywhere,</w:t>
      </w:r>
      <w:r w:rsidR="00EE4FC3">
        <w:t xml:space="preserve"> </w:t>
      </w:r>
      <w:r w:rsidRPr="00382917">
        <w:t>including</w:t>
      </w:r>
      <w:r w:rsidR="00EE4FC3">
        <w:t xml:space="preserve"> </w:t>
      </w:r>
      <w:r w:rsidRPr="00382917">
        <w:t>the</w:t>
      </w:r>
      <w:r w:rsidR="00EE4FC3">
        <w:t xml:space="preserve"> </w:t>
      </w:r>
      <w:r w:rsidRPr="00382917">
        <w:t>House</w:t>
      </w:r>
      <w:r w:rsidR="00EE4FC3">
        <w:t xml:space="preserve"> </w:t>
      </w:r>
      <w:r w:rsidRPr="00382917">
        <w:t>of</w:t>
      </w:r>
      <w:r w:rsidR="00EE4FC3">
        <w:t xml:space="preserve"> </w:t>
      </w:r>
      <w:r w:rsidRPr="00382917">
        <w:t>Representatives</w:t>
      </w:r>
      <w:r w:rsidR="00EE4FC3">
        <w:t xml:space="preserve"> </w:t>
      </w:r>
      <w:r w:rsidRPr="00382917">
        <w:t>at</w:t>
      </w:r>
      <w:r w:rsidR="00EE4FC3">
        <w:t xml:space="preserve"> </w:t>
      </w:r>
      <w:r w:rsidRPr="00382917">
        <w:t>Washington</w:t>
      </w:r>
      <w:r w:rsidR="00EE4FC3">
        <w:t xml:space="preserve"> </w:t>
      </w:r>
      <w:r w:rsidRPr="00382917">
        <w:t>where</w:t>
      </w:r>
      <w:r w:rsidR="00EE4FC3">
        <w:t xml:space="preserve"> </w:t>
      </w:r>
      <w:r w:rsidRPr="00382917">
        <w:t>crowds</w:t>
      </w:r>
      <w:r w:rsidR="00EE4FC3">
        <w:t xml:space="preserve"> </w:t>
      </w:r>
      <w:r w:rsidRPr="00382917">
        <w:t>gathered</w:t>
      </w:r>
      <w:r w:rsidR="00EE4FC3">
        <w:t xml:space="preserve"> </w:t>
      </w:r>
      <w:r w:rsidRPr="00382917">
        <w:t>to</w:t>
      </w:r>
      <w:r w:rsidR="00EE4FC3">
        <w:t xml:space="preserve"> </w:t>
      </w:r>
      <w:r w:rsidRPr="00382917">
        <w:t>hear</w:t>
      </w:r>
      <w:r w:rsidR="00EE4FC3">
        <w:t xml:space="preserve"> </w:t>
      </w:r>
      <w:r w:rsidRPr="00382917">
        <w:t>her</w:t>
      </w:r>
      <w:r w:rsidR="00552489">
        <w:t>.</w:t>
      </w:r>
      <w:r w:rsidR="00EE4FC3">
        <w:t xml:space="preserve">  </w:t>
      </w:r>
      <w:r w:rsidRPr="00382917">
        <w:t>Lady</w:t>
      </w:r>
      <w:r w:rsidR="00EE4FC3">
        <w:t xml:space="preserve"> </w:t>
      </w:r>
      <w:r w:rsidRPr="00382917">
        <w:t>Hester</w:t>
      </w:r>
      <w:r w:rsidR="00EE4FC3">
        <w:t xml:space="preserve"> </w:t>
      </w:r>
      <w:r w:rsidRPr="00382917">
        <w:t>Stanhope,</w:t>
      </w:r>
      <w:r w:rsidR="00EE4FC3">
        <w:t xml:space="preserve"> </w:t>
      </w:r>
      <w:r w:rsidRPr="00382917">
        <w:t>the</w:t>
      </w:r>
      <w:r w:rsidR="00EE4FC3">
        <w:t xml:space="preserve"> </w:t>
      </w:r>
      <w:r w:rsidRPr="00382917">
        <w:t>valiant</w:t>
      </w:r>
      <w:r w:rsidR="00EE4FC3">
        <w:t xml:space="preserve"> </w:t>
      </w:r>
      <w:r w:rsidRPr="00382917">
        <w:t>madwoman,</w:t>
      </w:r>
      <w:r w:rsidR="00EE4FC3">
        <w:t xml:space="preserve"> </w:t>
      </w:r>
      <w:r w:rsidRPr="00382917">
        <w:t>niece</w:t>
      </w:r>
      <w:r w:rsidR="00EE4FC3">
        <w:t xml:space="preserve"> </w:t>
      </w:r>
      <w:r w:rsidRPr="00382917">
        <w:t>of</w:t>
      </w:r>
      <w:r w:rsidR="00EE4FC3">
        <w:t xml:space="preserve"> </w:t>
      </w:r>
      <w:r w:rsidRPr="00382917">
        <w:t>William</w:t>
      </w:r>
      <w:r w:rsidR="00EE4FC3">
        <w:t xml:space="preserve"> </w:t>
      </w:r>
      <w:r w:rsidRPr="00382917">
        <w:t>Pitt,</w:t>
      </w:r>
      <w:r w:rsidR="00EE4FC3">
        <w:t xml:space="preserve"> </w:t>
      </w:r>
      <w:r w:rsidRPr="00382917">
        <w:t>who</w:t>
      </w:r>
      <w:r w:rsidR="00EE4FC3">
        <w:t xml:space="preserve"> </w:t>
      </w:r>
      <w:r w:rsidRPr="00382917">
        <w:t>turned</w:t>
      </w:r>
      <w:r w:rsidR="00EE4FC3">
        <w:t xml:space="preserve"> </w:t>
      </w:r>
      <w:r w:rsidRPr="00382917">
        <w:t>her</w:t>
      </w:r>
      <w:r w:rsidR="00EE4FC3">
        <w:t xml:space="preserve"> </w:t>
      </w:r>
      <w:r w:rsidRPr="00382917">
        <w:t>back</w:t>
      </w:r>
      <w:r w:rsidR="00EE4FC3">
        <w:t xml:space="preserve"> </w:t>
      </w:r>
      <w:r w:rsidRPr="00382917">
        <w:t>on</w:t>
      </w:r>
    </w:p>
    <w:p w:rsidR="00244241" w:rsidRPr="00382917" w:rsidRDefault="00244241">
      <w:pPr>
        <w:widowControl/>
        <w:kinsoku/>
        <w:overflowPunct/>
        <w:textAlignment w:val="auto"/>
      </w:pPr>
      <w:r w:rsidRPr="00382917">
        <w:br w:type="page"/>
      </w:r>
    </w:p>
    <w:p w:rsidR="00F1111D" w:rsidRPr="00382917" w:rsidRDefault="00F1111D" w:rsidP="007B2071">
      <w:pPr>
        <w:pStyle w:val="Textcts"/>
      </w:pPr>
      <w:r w:rsidRPr="00382917">
        <w:t>London</w:t>
      </w:r>
      <w:r w:rsidR="00EE4FC3">
        <w:t xml:space="preserve"> </w:t>
      </w:r>
      <w:r w:rsidRPr="00382917">
        <w:t>and</w:t>
      </w:r>
      <w:r w:rsidR="00EE4FC3">
        <w:t xml:space="preserve"> </w:t>
      </w:r>
      <w:r w:rsidRPr="00382917">
        <w:t>power</w:t>
      </w:r>
      <w:r w:rsidR="00EE4FC3">
        <w:t xml:space="preserve"> </w:t>
      </w:r>
      <w:r w:rsidRPr="00382917">
        <w:t>and</w:t>
      </w:r>
      <w:r w:rsidR="00EE4FC3">
        <w:t xml:space="preserve"> </w:t>
      </w:r>
      <w:r w:rsidRPr="00382917">
        <w:t>fashion,</w:t>
      </w:r>
      <w:r w:rsidR="00EE4FC3">
        <w:t xml:space="preserve"> </w:t>
      </w:r>
      <w:r w:rsidRPr="00382917">
        <w:t>made</w:t>
      </w:r>
      <w:r w:rsidR="00EE4FC3">
        <w:t xml:space="preserve"> </w:t>
      </w:r>
      <w:r w:rsidRPr="00382917">
        <w:t>her</w:t>
      </w:r>
      <w:r w:rsidR="00EE4FC3">
        <w:t xml:space="preserve"> </w:t>
      </w:r>
      <w:r w:rsidRPr="00382917">
        <w:t>home</w:t>
      </w:r>
      <w:r w:rsidR="00EE4FC3">
        <w:t xml:space="preserve"> </w:t>
      </w:r>
      <w:r w:rsidRPr="00382917">
        <w:t>in</w:t>
      </w:r>
      <w:r w:rsidR="00EE4FC3">
        <w:t xml:space="preserve"> </w:t>
      </w:r>
      <w:r w:rsidRPr="00382917">
        <w:t>Lebanon</w:t>
      </w:r>
      <w:r w:rsidR="00EE4FC3">
        <w:t xml:space="preserve"> </w:t>
      </w:r>
      <w:r w:rsidRPr="00382917">
        <w:t>among</w:t>
      </w:r>
      <w:r w:rsidR="00EE4FC3">
        <w:t xml:space="preserve"> </w:t>
      </w:r>
      <w:r w:rsidRPr="00382917">
        <w:t>the</w:t>
      </w:r>
      <w:r w:rsidR="00EE4FC3">
        <w:t xml:space="preserve"> </w:t>
      </w:r>
      <w:r w:rsidRPr="00382917">
        <w:t>Arabs</w:t>
      </w:r>
      <w:r w:rsidR="00EE4FC3">
        <w:t xml:space="preserve"> </w:t>
      </w:r>
      <w:r w:rsidRPr="00382917">
        <w:t>and</w:t>
      </w:r>
      <w:r w:rsidR="00EE4FC3">
        <w:t xml:space="preserve"> </w:t>
      </w:r>
      <w:r w:rsidRPr="00382917">
        <w:t>Druses,</w:t>
      </w:r>
      <w:r w:rsidR="00EE4FC3">
        <w:t xml:space="preserve"> </w:t>
      </w:r>
      <w:r w:rsidRPr="00382917">
        <w:t>in</w:t>
      </w:r>
      <w:r w:rsidR="00EE4FC3">
        <w:t xml:space="preserve"> </w:t>
      </w:r>
      <w:r w:rsidRPr="00382917">
        <w:t>order</w:t>
      </w:r>
      <w:r w:rsidR="00EE4FC3">
        <w:t xml:space="preserve"> </w:t>
      </w:r>
      <w:r w:rsidRPr="00382917">
        <w:t>to</w:t>
      </w:r>
      <w:r w:rsidR="00EE4FC3">
        <w:t xml:space="preserve"> </w:t>
      </w:r>
      <w:r w:rsidRPr="00382917">
        <w:t>be</w:t>
      </w:r>
      <w:r w:rsidR="00EE4FC3">
        <w:t xml:space="preserve"> </w:t>
      </w:r>
      <w:r w:rsidRPr="00382917">
        <w:t>ready</w:t>
      </w:r>
      <w:r w:rsidR="00EE4FC3">
        <w:t xml:space="preserve"> </w:t>
      </w:r>
      <w:r w:rsidRPr="00382917">
        <w:t>and</w:t>
      </w:r>
      <w:r w:rsidR="00EE4FC3">
        <w:t xml:space="preserve"> </w:t>
      </w:r>
      <w:r w:rsidRPr="00382917">
        <w:t>near</w:t>
      </w:r>
      <w:r w:rsidR="00EE4FC3">
        <w:t xml:space="preserve"> </w:t>
      </w:r>
      <w:r w:rsidRPr="00382917">
        <w:t>to</w:t>
      </w:r>
      <w:r w:rsidR="00EE4FC3">
        <w:t xml:space="preserve"> </w:t>
      </w:r>
      <w:r w:rsidRPr="00382917">
        <w:t>the</w:t>
      </w:r>
      <w:r w:rsidR="00EE4FC3">
        <w:t xml:space="preserve"> </w:t>
      </w:r>
      <w:r w:rsidRPr="00382917">
        <w:t>scene</w:t>
      </w:r>
      <w:r w:rsidR="00EE4FC3">
        <w:t xml:space="preserve"> </w:t>
      </w:r>
      <w:r w:rsidRPr="00382917">
        <w:t>of</w:t>
      </w:r>
      <w:r w:rsidR="00EE4FC3">
        <w:t xml:space="preserve"> </w:t>
      </w:r>
      <w:r w:rsidRPr="00382917">
        <w:t>the</w:t>
      </w:r>
      <w:r w:rsidR="00EE4FC3">
        <w:t xml:space="preserve"> </w:t>
      </w:r>
      <w:r w:rsidRPr="00382917">
        <w:t>Advent</w:t>
      </w:r>
      <w:r w:rsidR="00552489">
        <w:t>.</w:t>
      </w:r>
      <w:r w:rsidR="00EE4FC3">
        <w:t xml:space="preserve">  </w:t>
      </w:r>
      <w:r w:rsidRPr="00382917">
        <w:t>She</w:t>
      </w:r>
      <w:r w:rsidR="00EE4FC3">
        <w:t xml:space="preserve"> </w:t>
      </w:r>
      <w:r w:rsidRPr="00382917">
        <w:t>kept,</w:t>
      </w:r>
      <w:r w:rsidR="00EE4FC3">
        <w:t xml:space="preserve"> </w:t>
      </w:r>
      <w:r w:rsidRPr="00382917">
        <w:t>it</w:t>
      </w:r>
      <w:r w:rsidR="00EE4FC3">
        <w:t xml:space="preserve"> </w:t>
      </w:r>
      <w:r w:rsidRPr="00382917">
        <w:t>was</w:t>
      </w:r>
      <w:r w:rsidR="00EE4FC3">
        <w:t xml:space="preserve"> </w:t>
      </w:r>
      <w:r w:rsidRPr="00382917">
        <w:t>reported,</w:t>
      </w:r>
      <w:r w:rsidR="00EE4FC3">
        <w:t xml:space="preserve"> </w:t>
      </w:r>
      <w:r w:rsidRPr="00382917">
        <w:t>two</w:t>
      </w:r>
      <w:r w:rsidR="00EE4FC3">
        <w:t xml:space="preserve"> </w:t>
      </w:r>
      <w:r w:rsidRPr="00382917">
        <w:t>white</w:t>
      </w:r>
      <w:r w:rsidR="00EE4FC3">
        <w:t xml:space="preserve"> </w:t>
      </w:r>
      <w:r w:rsidRPr="00382917">
        <w:t>Arab</w:t>
      </w:r>
      <w:r w:rsidR="00EE4FC3">
        <w:t xml:space="preserve"> </w:t>
      </w:r>
      <w:r w:rsidRPr="00382917">
        <w:t>steeds</w:t>
      </w:r>
      <w:r w:rsidR="00EE4FC3">
        <w:t xml:space="preserve"> </w:t>
      </w:r>
      <w:r w:rsidRPr="00382917">
        <w:t>in</w:t>
      </w:r>
      <w:r w:rsidR="00EE4FC3">
        <w:t xml:space="preserve"> </w:t>
      </w:r>
      <w:r w:rsidRPr="00382917">
        <w:t>her</w:t>
      </w:r>
      <w:r w:rsidR="00EE4FC3">
        <w:t xml:space="preserve"> </w:t>
      </w:r>
      <w:r w:rsidRPr="00382917">
        <w:t>stable,</w:t>
      </w:r>
      <w:r w:rsidR="00EE4FC3">
        <w:t xml:space="preserve"> </w:t>
      </w:r>
      <w:r w:rsidRPr="00382917">
        <w:t>one</w:t>
      </w:r>
      <w:r w:rsidR="00EE4FC3">
        <w:t xml:space="preserve"> </w:t>
      </w:r>
      <w:r w:rsidRPr="00382917">
        <w:t>for</w:t>
      </w:r>
      <w:r w:rsidR="00EE4FC3">
        <w:t xml:space="preserve"> </w:t>
      </w:r>
      <w:r w:rsidRPr="00382917">
        <w:t>the</w:t>
      </w:r>
      <w:r w:rsidR="00EE4FC3">
        <w:t xml:space="preserve"> </w:t>
      </w:r>
      <w:r w:rsidRPr="00382917">
        <w:t>Messiah,</w:t>
      </w:r>
      <w:r w:rsidR="00EE4FC3">
        <w:t xml:space="preserve"> </w:t>
      </w:r>
      <w:r w:rsidRPr="00382917">
        <w:t>one</w:t>
      </w:r>
      <w:r w:rsidR="00EE4FC3">
        <w:t xml:space="preserve"> </w:t>
      </w:r>
      <w:r w:rsidRPr="00382917">
        <w:t>for</w:t>
      </w:r>
      <w:r w:rsidR="00EE4FC3">
        <w:t xml:space="preserve"> </w:t>
      </w:r>
      <w:r w:rsidRPr="00382917">
        <w:t>herself!</w:t>
      </w:r>
      <w:r w:rsidR="00EE4FC3">
        <w:t xml:space="preserve"> </w:t>
      </w:r>
      <w:r w:rsidR="00411B04">
        <w:t xml:space="preserve"> </w:t>
      </w:r>
      <w:r w:rsidRPr="00382917">
        <w:t>So</w:t>
      </w:r>
      <w:r w:rsidR="00EE4FC3">
        <w:t xml:space="preserve"> </w:t>
      </w:r>
      <w:r w:rsidRPr="00382917">
        <w:t>real</w:t>
      </w:r>
      <w:r w:rsidR="00EE4FC3">
        <w:t xml:space="preserve"> </w:t>
      </w:r>
      <w:r w:rsidRPr="00382917">
        <w:t>was</w:t>
      </w:r>
      <w:r w:rsidR="00EE4FC3">
        <w:t xml:space="preserve"> </w:t>
      </w:r>
      <w:r w:rsidRPr="00382917">
        <w:t>the</w:t>
      </w:r>
      <w:r w:rsidR="00EE4FC3">
        <w:t xml:space="preserve"> </w:t>
      </w:r>
      <w:r w:rsidRPr="00382917">
        <w:t>hope</w:t>
      </w:r>
      <w:r w:rsidR="00EE4FC3">
        <w:t xml:space="preserve"> </w:t>
      </w:r>
      <w:r w:rsidRPr="00382917">
        <w:t>of</w:t>
      </w:r>
      <w:r w:rsidR="00EE4FC3">
        <w:t xml:space="preserve"> </w:t>
      </w:r>
      <w:r w:rsidRPr="00382917">
        <w:t>the</w:t>
      </w:r>
      <w:r w:rsidR="00EE4FC3">
        <w:t xml:space="preserve"> </w:t>
      </w:r>
      <w:r w:rsidRPr="00382917">
        <w:t>Advent</w:t>
      </w:r>
      <w:r w:rsidR="00EE4FC3">
        <w:t xml:space="preserve"> </w:t>
      </w:r>
      <w:r w:rsidRPr="00382917">
        <w:t>(Christ</w:t>
      </w:r>
      <w:r w:rsidR="009C713D" w:rsidRPr="00382917">
        <w:t>’</w:t>
      </w:r>
      <w:r w:rsidRPr="00382917">
        <w:t>s</w:t>
      </w:r>
      <w:r w:rsidR="00EE4FC3">
        <w:t xml:space="preserve"> </w:t>
      </w:r>
      <w:r w:rsidR="009C713D" w:rsidRPr="00382917">
        <w:t>“</w:t>
      </w:r>
      <w:r w:rsidRPr="00382917">
        <w:t>coming</w:t>
      </w:r>
      <w:r w:rsidR="009C713D" w:rsidRPr="00382917">
        <w:t>”</w:t>
      </w:r>
      <w:r w:rsidRPr="00382917">
        <w:t>),</w:t>
      </w:r>
      <w:r w:rsidR="00EE4FC3">
        <w:t xml:space="preserve"> </w:t>
      </w:r>
      <w:r w:rsidRPr="00382917">
        <w:t>people</w:t>
      </w:r>
      <w:r w:rsidR="00EE4FC3">
        <w:t xml:space="preserve"> </w:t>
      </w:r>
      <w:r w:rsidRPr="00382917">
        <w:t>were</w:t>
      </w:r>
      <w:r w:rsidR="00EE4FC3">
        <w:t xml:space="preserve"> </w:t>
      </w:r>
      <w:r w:rsidRPr="00382917">
        <w:t>actually</w:t>
      </w:r>
      <w:r w:rsidR="00EE4FC3">
        <w:t xml:space="preserve"> </w:t>
      </w:r>
      <w:r w:rsidRPr="00382917">
        <w:t>taking</w:t>
      </w:r>
      <w:r w:rsidR="00EE4FC3">
        <w:t xml:space="preserve"> </w:t>
      </w:r>
      <w:r w:rsidRPr="00382917">
        <w:t>almost</w:t>
      </w:r>
      <w:r w:rsidR="00EE4FC3">
        <w:t xml:space="preserve"> </w:t>
      </w:r>
      <w:r w:rsidRPr="00382917">
        <w:t>violent</w:t>
      </w:r>
      <w:r w:rsidR="00EE4FC3">
        <w:t xml:space="preserve"> </w:t>
      </w:r>
      <w:r w:rsidRPr="00382917">
        <w:t>measures</w:t>
      </w:r>
      <w:r w:rsidR="00EE4FC3">
        <w:t xml:space="preserve"> </w:t>
      </w:r>
      <w:r w:rsidRPr="00382917">
        <w:t>for</w:t>
      </w:r>
      <w:r w:rsidR="00EE4FC3">
        <w:t xml:space="preserve"> </w:t>
      </w:r>
      <w:r w:rsidRPr="00382917">
        <w:t>it</w:t>
      </w:r>
      <w:r w:rsidR="00552489">
        <w:t>.</w:t>
      </w:r>
      <w:r w:rsidR="00EE4FC3">
        <w:t xml:space="preserve">  </w:t>
      </w:r>
      <w:r w:rsidRPr="00382917">
        <w:t>It</w:t>
      </w:r>
      <w:r w:rsidR="00EE4FC3">
        <w:t xml:space="preserve"> </w:t>
      </w:r>
      <w:r w:rsidRPr="00382917">
        <w:t>was</w:t>
      </w:r>
      <w:r w:rsidR="00EE4FC3">
        <w:t xml:space="preserve"> </w:t>
      </w:r>
      <w:r w:rsidRPr="00382917">
        <w:t>the</w:t>
      </w:r>
      <w:r w:rsidR="00EE4FC3">
        <w:t xml:space="preserve"> </w:t>
      </w:r>
      <w:r w:rsidRPr="00382917">
        <w:t>nineteenth</w:t>
      </w:r>
      <w:r w:rsidR="00EE4FC3">
        <w:t xml:space="preserve"> </w:t>
      </w:r>
      <w:r w:rsidRPr="00382917">
        <w:t>century,</w:t>
      </w:r>
      <w:r w:rsidR="00EE4FC3">
        <w:t xml:space="preserve"> </w:t>
      </w:r>
      <w:r w:rsidRPr="00382917">
        <w:t>yet</w:t>
      </w:r>
      <w:r w:rsidR="00EE4FC3">
        <w:t xml:space="preserve"> </w:t>
      </w:r>
      <w:r w:rsidRPr="00382917">
        <w:t>the</w:t>
      </w:r>
      <w:r w:rsidR="00EE4FC3">
        <w:t xml:space="preserve"> </w:t>
      </w:r>
      <w:r w:rsidRPr="00382917">
        <w:t>shooting</w:t>
      </w:r>
      <w:r w:rsidR="00EE4FC3">
        <w:t xml:space="preserve"> </w:t>
      </w:r>
      <w:r w:rsidRPr="00382917">
        <w:t>stars</w:t>
      </w:r>
      <w:r w:rsidR="00EE4FC3">
        <w:t xml:space="preserve"> </w:t>
      </w:r>
      <w:r w:rsidRPr="00382917">
        <w:t>of</w:t>
      </w:r>
      <w:r w:rsidR="00EE4FC3">
        <w:t xml:space="preserve"> </w:t>
      </w:r>
      <w:r w:rsidRPr="00382917">
        <w:t>the</w:t>
      </w:r>
      <w:r w:rsidR="00EE4FC3">
        <w:t xml:space="preserve"> </w:t>
      </w:r>
      <w:r w:rsidRPr="00382917">
        <w:t>year</w:t>
      </w:r>
      <w:r w:rsidR="00EE4FC3">
        <w:t xml:space="preserve"> </w:t>
      </w:r>
      <w:r w:rsidRPr="00382917">
        <w:t>1833,</w:t>
      </w:r>
      <w:r w:rsidR="00EE4FC3">
        <w:t xml:space="preserve"> </w:t>
      </w:r>
      <w:r w:rsidRPr="00382917">
        <w:t>and</w:t>
      </w:r>
      <w:r w:rsidR="00EE4FC3">
        <w:t xml:space="preserve"> </w:t>
      </w:r>
      <w:r w:rsidRPr="00382917">
        <w:t>the</w:t>
      </w:r>
      <w:r w:rsidR="00EE4FC3">
        <w:t xml:space="preserve"> </w:t>
      </w:r>
      <w:proofErr w:type="spellStart"/>
      <w:r w:rsidRPr="00382917">
        <w:t>parahelia</w:t>
      </w:r>
      <w:proofErr w:type="spellEnd"/>
      <w:r w:rsidRPr="00382917">
        <w:t>,</w:t>
      </w:r>
      <w:r w:rsidR="00EE4FC3">
        <w:t xml:space="preserve"> </w:t>
      </w:r>
      <w:r w:rsidRPr="00382917">
        <w:t>or</w:t>
      </w:r>
      <w:r w:rsidR="00EE4FC3">
        <w:t xml:space="preserve"> </w:t>
      </w:r>
      <w:r w:rsidRPr="00382917">
        <w:t>halo-like</w:t>
      </w:r>
      <w:r w:rsidR="00EE4FC3">
        <w:t xml:space="preserve"> </w:t>
      </w:r>
      <w:r w:rsidRPr="00382917">
        <w:t>rings,</w:t>
      </w:r>
      <w:r w:rsidR="00EE4FC3">
        <w:t xml:space="preserve"> </w:t>
      </w:r>
      <w:r w:rsidRPr="00382917">
        <w:t>around</w:t>
      </w:r>
      <w:r w:rsidR="00EE4FC3">
        <w:t xml:space="preserve"> </w:t>
      </w:r>
      <w:r w:rsidRPr="00382917">
        <w:t>the</w:t>
      </w:r>
      <w:r w:rsidR="00EE4FC3">
        <w:t xml:space="preserve"> </w:t>
      </w:r>
      <w:r w:rsidRPr="00382917">
        <w:t>sun</w:t>
      </w:r>
      <w:r w:rsidR="00EE4FC3">
        <w:t xml:space="preserve"> </w:t>
      </w:r>
      <w:r w:rsidRPr="00382917">
        <w:t>in</w:t>
      </w:r>
      <w:r w:rsidR="00EE4FC3">
        <w:t xml:space="preserve"> </w:t>
      </w:r>
      <w:r w:rsidRPr="00382917">
        <w:t>1843,</w:t>
      </w:r>
      <w:r w:rsidR="00EE4FC3">
        <w:t xml:space="preserve"> </w:t>
      </w:r>
      <w:r w:rsidRPr="00382917">
        <w:t>were</w:t>
      </w:r>
      <w:r w:rsidR="00EE4FC3">
        <w:t xml:space="preserve"> </w:t>
      </w:r>
      <w:r w:rsidRPr="00382917">
        <w:t>objects</w:t>
      </w:r>
      <w:r w:rsidR="00EE4FC3">
        <w:t xml:space="preserve"> </w:t>
      </w:r>
      <w:r w:rsidRPr="00382917">
        <w:t>of</w:t>
      </w:r>
      <w:r w:rsidR="00EE4FC3">
        <w:t xml:space="preserve"> </w:t>
      </w:r>
      <w:r w:rsidRPr="00382917">
        <w:t>the</w:t>
      </w:r>
      <w:r w:rsidR="00EE4FC3">
        <w:t xml:space="preserve"> </w:t>
      </w:r>
      <w:r w:rsidRPr="00382917">
        <w:t>most</w:t>
      </w:r>
      <w:r w:rsidR="00EE4FC3">
        <w:t xml:space="preserve"> </w:t>
      </w:r>
      <w:r w:rsidRPr="00382917">
        <w:t>awesome</w:t>
      </w:r>
      <w:r w:rsidR="00EE4FC3">
        <w:t xml:space="preserve"> </w:t>
      </w:r>
      <w:r w:rsidRPr="00382917">
        <w:t>speculation</w:t>
      </w:r>
      <w:r w:rsidR="00EE4FC3">
        <w:t xml:space="preserve"> </w:t>
      </w:r>
      <w:r w:rsidRPr="00382917">
        <w:t>and</w:t>
      </w:r>
      <w:r w:rsidR="00EE4FC3">
        <w:t xml:space="preserve"> </w:t>
      </w:r>
      <w:r w:rsidRPr="00382917">
        <w:t>discussion</w:t>
      </w:r>
      <w:r w:rsidR="00552489">
        <w:t>.</w:t>
      </w:r>
      <w:r w:rsidR="00EE4FC3">
        <w:t xml:space="preserve">  </w:t>
      </w:r>
      <w:r w:rsidRPr="00382917">
        <w:t>And</w:t>
      </w:r>
      <w:r w:rsidR="00EE4FC3">
        <w:t xml:space="preserve"> </w:t>
      </w:r>
      <w:r w:rsidRPr="00382917">
        <w:t>the</w:t>
      </w:r>
      <w:r w:rsidR="00EE4FC3">
        <w:t xml:space="preserve"> </w:t>
      </w:r>
      <w:r w:rsidRPr="00382917">
        <w:t>tail</w:t>
      </w:r>
      <w:r w:rsidR="00EE4FC3">
        <w:t xml:space="preserve"> </w:t>
      </w:r>
      <w:r w:rsidRPr="00382917">
        <w:t>of</w:t>
      </w:r>
      <w:r w:rsidR="00EE4FC3">
        <w:t xml:space="preserve"> </w:t>
      </w:r>
      <w:r w:rsidRPr="00382917">
        <w:t>the</w:t>
      </w:r>
      <w:r w:rsidR="00EE4FC3">
        <w:t xml:space="preserve"> </w:t>
      </w:r>
      <w:r w:rsidRPr="00382917">
        <w:t>great</w:t>
      </w:r>
      <w:r w:rsidR="00EE4FC3">
        <w:t xml:space="preserve"> </w:t>
      </w:r>
      <w:r w:rsidRPr="00382917">
        <w:t>comet</w:t>
      </w:r>
      <w:r w:rsidR="00EE4FC3">
        <w:t xml:space="preserve"> </w:t>
      </w:r>
      <w:r w:rsidRPr="00382917">
        <w:t>of</w:t>
      </w:r>
      <w:r w:rsidR="00EE4FC3">
        <w:t xml:space="preserve"> </w:t>
      </w:r>
      <w:r w:rsidRPr="00382917">
        <w:t>1843</w:t>
      </w:r>
      <w:r w:rsidR="00EE4FC3">
        <w:t xml:space="preserve"> </w:t>
      </w:r>
      <w:r w:rsidRPr="00382917">
        <w:t>measured</w:t>
      </w:r>
      <w:r w:rsidR="00EE4FC3">
        <w:t xml:space="preserve"> </w:t>
      </w:r>
      <w:r w:rsidRPr="00382917">
        <w:t>108</w:t>
      </w:r>
      <w:r w:rsidR="00EE4FC3">
        <w:t xml:space="preserve"> </w:t>
      </w:r>
      <w:r w:rsidRPr="00382917">
        <w:t>million</w:t>
      </w:r>
      <w:r w:rsidR="00EE4FC3">
        <w:t xml:space="preserve"> </w:t>
      </w:r>
      <w:r w:rsidRPr="00382917">
        <w:t>miles</w:t>
      </w:r>
      <w:r w:rsidR="00EE4FC3">
        <w:t xml:space="preserve"> </w:t>
      </w:r>
      <w:r w:rsidRPr="00382917">
        <w:t>in</w:t>
      </w:r>
      <w:r w:rsidR="00EE4FC3">
        <w:t xml:space="preserve"> </w:t>
      </w:r>
      <w:r w:rsidRPr="00382917">
        <w:t>length</w:t>
      </w:r>
      <w:r w:rsidR="00F04416" w:rsidRPr="00382917">
        <w:t>…</w:t>
      </w:r>
      <w:r w:rsidR="00552489">
        <w:t>.</w:t>
      </w:r>
      <w:r w:rsidR="00EE4FC3">
        <w:t xml:space="preserve">  </w:t>
      </w:r>
      <w:r w:rsidRPr="00382917">
        <w:t>Whole</w:t>
      </w:r>
      <w:r w:rsidR="00EE4FC3">
        <w:t xml:space="preserve"> </w:t>
      </w:r>
      <w:r w:rsidRPr="00382917">
        <w:t>families</w:t>
      </w:r>
      <w:r w:rsidR="00EE4FC3">
        <w:t xml:space="preserve"> </w:t>
      </w:r>
      <w:r w:rsidRPr="00382917">
        <w:t>were</w:t>
      </w:r>
      <w:r w:rsidR="00EE4FC3">
        <w:t xml:space="preserve"> </w:t>
      </w:r>
      <w:r w:rsidRPr="00382917">
        <w:t>engaged</w:t>
      </w:r>
      <w:r w:rsidR="00EE4FC3">
        <w:t xml:space="preserve"> </w:t>
      </w:r>
      <w:r w:rsidRPr="00382917">
        <w:t>in</w:t>
      </w:r>
      <w:r w:rsidR="00EE4FC3">
        <w:t xml:space="preserve"> </w:t>
      </w:r>
      <w:r w:rsidRPr="00382917">
        <w:t>making</w:t>
      </w:r>
      <w:r w:rsidR="00EE4FC3">
        <w:t xml:space="preserve"> </w:t>
      </w:r>
      <w:r w:rsidRPr="00382917">
        <w:t>shrouds</w:t>
      </w:r>
      <w:r w:rsidR="00EE4FC3">
        <w:t xml:space="preserve"> </w:t>
      </w:r>
      <w:r w:rsidRPr="00382917">
        <w:t>against</w:t>
      </w:r>
      <w:r w:rsidR="00EE4FC3">
        <w:t xml:space="preserve"> </w:t>
      </w:r>
      <w:r w:rsidRPr="00382917">
        <w:t>that</w:t>
      </w:r>
      <w:r w:rsidR="00EE4FC3">
        <w:t xml:space="preserve"> </w:t>
      </w:r>
      <w:r w:rsidRPr="00382917">
        <w:t>fateful</w:t>
      </w:r>
      <w:r w:rsidR="00EE4FC3">
        <w:t xml:space="preserve"> </w:t>
      </w:r>
      <w:r w:rsidRPr="00382917">
        <w:t>day.</w:t>
      </w:r>
      <w:r w:rsidR="009C713D" w:rsidRPr="00382917">
        <w:t>”</w:t>
      </w:r>
      <w:r w:rsidR="007B2071">
        <w:rPr>
          <w:rStyle w:val="FootnoteReference"/>
        </w:rPr>
        <w:footnoteReference w:id="287"/>
      </w:r>
    </w:p>
    <w:p w:rsidR="00F1111D" w:rsidRPr="00382917" w:rsidRDefault="00F1111D" w:rsidP="00552489">
      <w:pPr>
        <w:pStyle w:val="Text"/>
      </w:pPr>
      <w:r w:rsidRPr="00382917">
        <w:t>Some</w:t>
      </w:r>
      <w:r w:rsidR="00EE4FC3">
        <w:t xml:space="preserve"> </w:t>
      </w:r>
      <w:r w:rsidRPr="00382917">
        <w:t>of</w:t>
      </w:r>
      <w:r w:rsidR="00EE4FC3">
        <w:t xml:space="preserve"> </w:t>
      </w:r>
      <w:r w:rsidRPr="00382917">
        <w:t>the</w:t>
      </w:r>
      <w:r w:rsidR="00EE4FC3">
        <w:t xml:space="preserve"> </w:t>
      </w:r>
      <w:r w:rsidRPr="00382917">
        <w:t>more</w:t>
      </w:r>
      <w:r w:rsidR="00EE4FC3">
        <w:t xml:space="preserve"> </w:t>
      </w:r>
      <w:r w:rsidRPr="00382917">
        <w:t>zealous</w:t>
      </w:r>
      <w:r w:rsidR="00EE4FC3">
        <w:t xml:space="preserve"> </w:t>
      </w:r>
      <w:r w:rsidRPr="00382917">
        <w:t>went</w:t>
      </w:r>
      <w:r w:rsidR="00EE4FC3">
        <w:t xml:space="preserve"> </w:t>
      </w:r>
      <w:r w:rsidRPr="00382917">
        <w:t>so</w:t>
      </w:r>
      <w:r w:rsidR="00EE4FC3">
        <w:t xml:space="preserve"> </w:t>
      </w:r>
      <w:r w:rsidRPr="00382917">
        <w:t>far</w:t>
      </w:r>
      <w:r w:rsidR="00EE4FC3">
        <w:t xml:space="preserve"> </w:t>
      </w:r>
      <w:r w:rsidRPr="00382917">
        <w:t>as</w:t>
      </w:r>
      <w:r w:rsidR="00EE4FC3">
        <w:t xml:space="preserve"> </w:t>
      </w:r>
      <w:r w:rsidRPr="00382917">
        <w:t>to</w:t>
      </w:r>
      <w:r w:rsidR="00EE4FC3">
        <w:t xml:space="preserve"> </w:t>
      </w:r>
      <w:r w:rsidRPr="00382917">
        <w:t>sell</w:t>
      </w:r>
      <w:r w:rsidR="00EE4FC3">
        <w:t xml:space="preserve"> </w:t>
      </w:r>
      <w:r w:rsidRPr="00382917">
        <w:t>their</w:t>
      </w:r>
      <w:r w:rsidR="00EE4FC3">
        <w:t xml:space="preserve"> </w:t>
      </w:r>
      <w:r w:rsidRPr="00382917">
        <w:t>possessions</w:t>
      </w:r>
      <w:r w:rsidR="00EE4FC3">
        <w:t xml:space="preserve"> </w:t>
      </w:r>
      <w:r w:rsidRPr="00382917">
        <w:t>and</w:t>
      </w:r>
      <w:r w:rsidR="00EE4FC3">
        <w:t xml:space="preserve"> </w:t>
      </w:r>
      <w:r w:rsidRPr="00382917">
        <w:t>to</w:t>
      </w:r>
      <w:r w:rsidR="00EE4FC3">
        <w:t xml:space="preserve"> </w:t>
      </w:r>
      <w:r w:rsidRPr="00382917">
        <w:t>await</w:t>
      </w:r>
      <w:r w:rsidR="00EE4FC3">
        <w:t xml:space="preserve"> </w:t>
      </w:r>
      <w:r w:rsidRPr="00382917">
        <w:t>Christ</w:t>
      </w:r>
      <w:r w:rsidR="009C713D" w:rsidRPr="00382917">
        <w:t>’</w:t>
      </w:r>
      <w:r w:rsidRPr="00382917">
        <w:t>s</w:t>
      </w:r>
      <w:r w:rsidR="00EE4FC3">
        <w:t xml:space="preserve"> </w:t>
      </w:r>
      <w:r w:rsidRPr="00382917">
        <w:t>descent</w:t>
      </w:r>
      <w:r w:rsidR="00EE4FC3">
        <w:t xml:space="preserve"> </w:t>
      </w:r>
      <w:r w:rsidRPr="00382917">
        <w:t>upon</w:t>
      </w:r>
      <w:r w:rsidR="00EE4FC3">
        <w:t xml:space="preserve"> </w:t>
      </w:r>
      <w:r w:rsidRPr="00382917">
        <w:t>the</w:t>
      </w:r>
      <w:r w:rsidR="00EE4FC3">
        <w:t xml:space="preserve"> </w:t>
      </w:r>
      <w:r w:rsidRPr="00382917">
        <w:t>clouds</w:t>
      </w:r>
      <w:r w:rsidR="00552489">
        <w:t>.</w:t>
      </w:r>
      <w:r w:rsidR="00EE4FC3">
        <w:t xml:space="preserve">  </w:t>
      </w:r>
      <w:r w:rsidRPr="00382917">
        <w:t>Their</w:t>
      </w:r>
      <w:r w:rsidR="00EE4FC3">
        <w:t xml:space="preserve"> </w:t>
      </w:r>
      <w:r w:rsidRPr="00382917">
        <w:t>more</w:t>
      </w:r>
      <w:r w:rsidR="00EE4FC3">
        <w:t xml:space="preserve"> </w:t>
      </w:r>
      <w:r w:rsidRPr="00382917">
        <w:t>practical</w:t>
      </w:r>
      <w:r w:rsidR="00EE4FC3">
        <w:t xml:space="preserve"> </w:t>
      </w:r>
      <w:proofErr w:type="spellStart"/>
      <w:r w:rsidRPr="00382917">
        <w:t>neighbors</w:t>
      </w:r>
      <w:proofErr w:type="spellEnd"/>
      <w:r w:rsidR="00EE4FC3">
        <w:t xml:space="preserve"> </w:t>
      </w:r>
      <w:r w:rsidRPr="00382917">
        <w:t>pointed</w:t>
      </w:r>
      <w:r w:rsidR="00EE4FC3">
        <w:t xml:space="preserve"> </w:t>
      </w:r>
      <w:r w:rsidRPr="00382917">
        <w:t>out</w:t>
      </w:r>
      <w:r w:rsidR="00EE4FC3">
        <w:t xml:space="preserve"> </w:t>
      </w:r>
      <w:proofErr w:type="gramStart"/>
      <w:r w:rsidRPr="00382917">
        <w:t>that</w:t>
      </w:r>
      <w:r w:rsidR="00EE4FC3">
        <w:t xml:space="preserve"> </w:t>
      </w:r>
      <w:r w:rsidRPr="00382917">
        <w:t>clouds</w:t>
      </w:r>
      <w:proofErr w:type="gramEnd"/>
      <w:r w:rsidR="00EE4FC3">
        <w:t xml:space="preserve"> </w:t>
      </w:r>
      <w:r w:rsidRPr="00382917">
        <w:t>did</w:t>
      </w:r>
      <w:r w:rsidR="00EE4FC3">
        <w:t xml:space="preserve"> </w:t>
      </w:r>
      <w:r w:rsidRPr="00382917">
        <w:t>not</w:t>
      </w:r>
      <w:r w:rsidR="00EE4FC3">
        <w:t xml:space="preserve"> </w:t>
      </w:r>
      <w:r w:rsidRPr="00382917">
        <w:t>descend</w:t>
      </w:r>
      <w:r w:rsidR="00EE4FC3">
        <w:t xml:space="preserve"> </w:t>
      </w:r>
      <w:r w:rsidRPr="00382917">
        <w:t>but</w:t>
      </w:r>
      <w:r w:rsidR="00EE4FC3">
        <w:t xml:space="preserve"> </w:t>
      </w:r>
      <w:r w:rsidRPr="00382917">
        <w:t>were</w:t>
      </w:r>
      <w:r w:rsidR="00EE4FC3">
        <w:t xml:space="preserve"> </w:t>
      </w:r>
      <w:proofErr w:type="spellStart"/>
      <w:r w:rsidRPr="00382917">
        <w:t>vapors</w:t>
      </w:r>
      <w:proofErr w:type="spellEnd"/>
      <w:r w:rsidR="00EE4FC3">
        <w:t xml:space="preserve"> </w:t>
      </w:r>
      <w:r w:rsidRPr="00382917">
        <w:t>that</w:t>
      </w:r>
      <w:r w:rsidR="00EE4FC3">
        <w:t xml:space="preserve"> </w:t>
      </w:r>
      <w:r w:rsidRPr="00382917">
        <w:t>rose</w:t>
      </w:r>
      <w:r w:rsidR="00EE4FC3">
        <w:t xml:space="preserve"> </w:t>
      </w:r>
      <w:r w:rsidRPr="00382917">
        <w:t>up</w:t>
      </w:r>
      <w:r w:rsidR="00EE4FC3">
        <w:t xml:space="preserve"> </w:t>
      </w:r>
      <w:r w:rsidRPr="00382917">
        <w:t>from</w:t>
      </w:r>
      <w:r w:rsidR="00EE4FC3">
        <w:t xml:space="preserve"> </w:t>
      </w:r>
      <w:r w:rsidRPr="00382917">
        <w:t>the</w:t>
      </w:r>
      <w:r w:rsidR="00EE4FC3">
        <w:t xml:space="preserve"> </w:t>
      </w:r>
      <w:r w:rsidRPr="00382917">
        <w:t>earth</w:t>
      </w:r>
      <w:r w:rsidR="00552489">
        <w:t>.</w:t>
      </w:r>
      <w:r w:rsidR="00EE4FC3">
        <w:t xml:space="preserve">  </w:t>
      </w:r>
      <w:r w:rsidRPr="00382917">
        <w:t>Others</w:t>
      </w:r>
      <w:r w:rsidR="00EE4FC3">
        <w:t xml:space="preserve"> </w:t>
      </w:r>
      <w:r w:rsidRPr="00382917">
        <w:t>quoted</w:t>
      </w:r>
      <w:r w:rsidR="00EE4FC3">
        <w:t xml:space="preserve"> </w:t>
      </w:r>
      <w:r w:rsidRPr="00382917">
        <w:t>St</w:t>
      </w:r>
      <w:r w:rsidR="00552489">
        <w:t>.</w:t>
      </w:r>
      <w:r w:rsidR="00EE4FC3">
        <w:t xml:space="preserve"> </w:t>
      </w:r>
      <w:r w:rsidRPr="00382917">
        <w:t>Augustine</w:t>
      </w:r>
      <w:r w:rsidR="00EE4FC3">
        <w:t xml:space="preserve"> </w:t>
      </w:r>
      <w:r w:rsidRPr="00382917">
        <w:t>who</w:t>
      </w:r>
      <w:r w:rsidR="00EE4FC3">
        <w:t xml:space="preserve"> </w:t>
      </w:r>
      <w:r w:rsidRPr="00382917">
        <w:t>had</w:t>
      </w:r>
      <w:r w:rsidR="00EE4FC3">
        <w:t xml:space="preserve"> </w:t>
      </w:r>
      <w:r w:rsidRPr="00382917">
        <w:t>written</w:t>
      </w:r>
      <w:r w:rsidR="00EE4FC3">
        <w:t xml:space="preserve"> </w:t>
      </w:r>
      <w:r w:rsidRPr="00382917">
        <w:t>an</w:t>
      </w:r>
      <w:r w:rsidR="00EE4FC3">
        <w:t xml:space="preserve"> </w:t>
      </w:r>
      <w:r w:rsidRPr="00382917">
        <w:t>entire</w:t>
      </w:r>
      <w:r w:rsidR="00EE4FC3">
        <w:t xml:space="preserve"> </w:t>
      </w:r>
      <w:r w:rsidRPr="00382917">
        <w:t>volume</w:t>
      </w:r>
      <w:r w:rsidR="00EE4FC3">
        <w:t xml:space="preserve"> </w:t>
      </w:r>
      <w:r w:rsidRPr="00382917">
        <w:t>proving</w:t>
      </w:r>
      <w:r w:rsidR="00EE4FC3">
        <w:t xml:space="preserve"> </w:t>
      </w:r>
      <w:r w:rsidRPr="00382917">
        <w:t>that</w:t>
      </w:r>
      <w:r w:rsidR="00EE4FC3">
        <w:t xml:space="preserve"> </w:t>
      </w:r>
      <w:r w:rsidRPr="00382917">
        <w:t>there</w:t>
      </w:r>
      <w:r w:rsidR="00EE4FC3">
        <w:t xml:space="preserve"> </w:t>
      </w:r>
      <w:r w:rsidRPr="00382917">
        <w:t>could</w:t>
      </w:r>
      <w:r w:rsidR="00EE4FC3">
        <w:t xml:space="preserve"> </w:t>
      </w:r>
      <w:r w:rsidRPr="00382917">
        <w:t>not</w:t>
      </w:r>
      <w:r w:rsidR="00EE4FC3">
        <w:t xml:space="preserve"> </w:t>
      </w:r>
      <w:r w:rsidRPr="00382917">
        <w:t>be</w:t>
      </w:r>
      <w:r w:rsidR="00EE4FC3">
        <w:t xml:space="preserve"> </w:t>
      </w:r>
      <w:r w:rsidRPr="00382917">
        <w:t>anyone</w:t>
      </w:r>
      <w:r w:rsidR="00EE4FC3">
        <w:t xml:space="preserve"> </w:t>
      </w:r>
      <w:r w:rsidRPr="00382917">
        <w:t>living</w:t>
      </w:r>
      <w:r w:rsidR="00EE4FC3">
        <w:t xml:space="preserve"> </w:t>
      </w:r>
      <w:r w:rsidRPr="00382917">
        <w:t>on</w:t>
      </w:r>
      <w:r w:rsidR="00EE4FC3">
        <w:t xml:space="preserve"> </w:t>
      </w:r>
      <w:r w:rsidRPr="00382917">
        <w:t>the</w:t>
      </w:r>
      <w:r w:rsidR="00EE4FC3">
        <w:t xml:space="preserve"> </w:t>
      </w:r>
      <w:r w:rsidRPr="00382917">
        <w:t>other</w:t>
      </w:r>
      <w:r w:rsidR="00EE4FC3">
        <w:t xml:space="preserve"> </w:t>
      </w:r>
      <w:r w:rsidRPr="00382917">
        <w:t>side</w:t>
      </w:r>
      <w:r w:rsidR="00EE4FC3">
        <w:t xml:space="preserve"> </w:t>
      </w:r>
      <w:r w:rsidRPr="00382917">
        <w:t>of</w:t>
      </w:r>
      <w:r w:rsidR="00EE4FC3">
        <w:t xml:space="preserve"> </w:t>
      </w:r>
      <w:r w:rsidRPr="00382917">
        <w:t>the</w:t>
      </w:r>
      <w:r w:rsidR="00EE4FC3">
        <w:t xml:space="preserve"> </w:t>
      </w:r>
      <w:r w:rsidRPr="00382917">
        <w:t>earth</w:t>
      </w:r>
      <w:r w:rsidR="00EE4FC3">
        <w:t xml:space="preserve"> </w:t>
      </w:r>
      <w:r w:rsidRPr="00382917">
        <w:t>because</w:t>
      </w:r>
      <w:r w:rsidR="00EE4FC3">
        <w:t xml:space="preserve"> </w:t>
      </w:r>
      <w:r w:rsidRPr="00382917">
        <w:t>it</w:t>
      </w:r>
      <w:r w:rsidR="00EE4FC3">
        <w:t xml:space="preserve"> </w:t>
      </w:r>
      <w:r w:rsidRPr="00382917">
        <w:t>would</w:t>
      </w:r>
      <w:r w:rsidR="00EE4FC3">
        <w:t xml:space="preserve"> </w:t>
      </w:r>
      <w:r w:rsidRPr="00382917">
        <w:t>be</w:t>
      </w:r>
      <w:r w:rsidR="00EE4FC3">
        <w:t xml:space="preserve"> </w:t>
      </w:r>
      <w:r w:rsidRPr="00382917">
        <w:t>impossible</w:t>
      </w:r>
      <w:r w:rsidR="00EE4FC3">
        <w:t xml:space="preserve"> </w:t>
      </w:r>
      <w:r w:rsidRPr="00382917">
        <w:t>for</w:t>
      </w:r>
      <w:r w:rsidR="00EE4FC3">
        <w:t xml:space="preserve"> </w:t>
      </w:r>
      <w:r w:rsidRPr="00382917">
        <w:t>such</w:t>
      </w:r>
      <w:r w:rsidR="00EE4FC3">
        <w:t xml:space="preserve"> </w:t>
      </w:r>
      <w:r w:rsidRPr="00382917">
        <w:t>people</w:t>
      </w:r>
      <w:r w:rsidR="00EE4FC3">
        <w:t xml:space="preserve"> </w:t>
      </w:r>
      <w:r w:rsidRPr="00382917">
        <w:t>to</w:t>
      </w:r>
      <w:r w:rsidR="00EE4FC3">
        <w:t xml:space="preserve"> </w:t>
      </w:r>
      <w:r w:rsidRPr="00382917">
        <w:t>see</w:t>
      </w:r>
      <w:r w:rsidR="00EE4FC3">
        <w:t xml:space="preserve"> </w:t>
      </w:r>
      <w:r w:rsidRPr="00382917">
        <w:t>Christ</w:t>
      </w:r>
      <w:r w:rsidR="00EE4FC3">
        <w:t xml:space="preserve"> </w:t>
      </w:r>
      <w:r w:rsidRPr="00382917">
        <w:t>when</w:t>
      </w:r>
      <w:r w:rsidR="00EE4FC3">
        <w:t xml:space="preserve"> </w:t>
      </w:r>
      <w:r w:rsidRPr="00382917">
        <w:t>He</w:t>
      </w:r>
      <w:r w:rsidR="00EE4FC3">
        <w:t xml:space="preserve"> </w:t>
      </w:r>
      <w:r w:rsidRPr="00382917">
        <w:t>came</w:t>
      </w:r>
      <w:r w:rsidR="00EE4FC3">
        <w:t xml:space="preserve"> </w:t>
      </w:r>
      <w:r w:rsidRPr="00382917">
        <w:t>down</w:t>
      </w:r>
      <w:r w:rsidR="00EE4FC3">
        <w:t xml:space="preserve"> </w:t>
      </w:r>
      <w:r w:rsidRPr="00382917">
        <w:t>on</w:t>
      </w:r>
      <w:r w:rsidR="00EE4FC3">
        <w:t xml:space="preserve"> </w:t>
      </w:r>
      <w:r w:rsidRPr="00382917">
        <w:t>the</w:t>
      </w:r>
      <w:r w:rsidR="00EE4FC3">
        <w:t xml:space="preserve"> </w:t>
      </w:r>
      <w:r w:rsidRPr="00382917">
        <w:t>day</w:t>
      </w:r>
      <w:r w:rsidR="00EE4FC3">
        <w:t xml:space="preserve"> </w:t>
      </w:r>
      <w:r w:rsidRPr="00382917">
        <w:t>of</w:t>
      </w:r>
      <w:r w:rsidR="00EE4FC3">
        <w:t xml:space="preserve"> </w:t>
      </w:r>
      <w:r w:rsidRPr="00382917">
        <w:t>His</w:t>
      </w:r>
      <w:r w:rsidR="00EE4FC3">
        <w:t xml:space="preserve"> </w:t>
      </w:r>
      <w:r w:rsidRPr="00382917">
        <w:t>return</w:t>
      </w:r>
      <w:r w:rsidR="00552489">
        <w:t>.</w:t>
      </w:r>
      <w:r w:rsidR="00EE4FC3">
        <w:t xml:space="preserve">  </w:t>
      </w:r>
      <w:r w:rsidRPr="00382917">
        <w:t>Mathematicians</w:t>
      </w:r>
      <w:r w:rsidR="00EE4FC3">
        <w:t xml:space="preserve"> </w:t>
      </w:r>
      <w:r w:rsidRPr="00382917">
        <w:t>tried</w:t>
      </w:r>
      <w:r w:rsidR="00EE4FC3">
        <w:t xml:space="preserve"> </w:t>
      </w:r>
      <w:r w:rsidRPr="00382917">
        <w:t>to</w:t>
      </w:r>
      <w:r w:rsidR="00EE4FC3">
        <w:t xml:space="preserve"> </w:t>
      </w:r>
      <w:r w:rsidRPr="00382917">
        <w:t>calculate</w:t>
      </w:r>
      <w:r w:rsidR="00EE4FC3">
        <w:t xml:space="preserve"> </w:t>
      </w:r>
      <w:r w:rsidRPr="00382917">
        <w:t>how</w:t>
      </w:r>
      <w:r w:rsidR="00EE4FC3">
        <w:t xml:space="preserve"> </w:t>
      </w:r>
      <w:r w:rsidRPr="00382917">
        <w:t>many</w:t>
      </w:r>
      <w:r w:rsidR="00EE4FC3">
        <w:t xml:space="preserve"> </w:t>
      </w:r>
      <w:r w:rsidRPr="00382917">
        <w:t>hundreds</w:t>
      </w:r>
      <w:r w:rsidR="00EE4FC3">
        <w:t xml:space="preserve"> </w:t>
      </w:r>
      <w:r w:rsidRPr="00382917">
        <w:t>of</w:t>
      </w:r>
      <w:r w:rsidR="00EE4FC3">
        <w:t xml:space="preserve"> </w:t>
      </w:r>
      <w:r w:rsidRPr="00382917">
        <w:t>thousands</w:t>
      </w:r>
      <w:r w:rsidR="00EE4FC3">
        <w:t xml:space="preserve"> </w:t>
      </w:r>
      <w:r w:rsidRPr="00382917">
        <w:t>of</w:t>
      </w:r>
      <w:r w:rsidR="00EE4FC3">
        <w:t xml:space="preserve"> </w:t>
      </w:r>
      <w:r w:rsidR="009C713D" w:rsidRPr="00382917">
        <w:t>“</w:t>
      </w:r>
      <w:r w:rsidRPr="00382917">
        <w:t>solo</w:t>
      </w:r>
      <w:r w:rsidR="009C713D" w:rsidRPr="00382917">
        <w:t>”</w:t>
      </w:r>
      <w:r w:rsidR="00EE4FC3">
        <w:t xml:space="preserve"> </w:t>
      </w:r>
      <w:r w:rsidRPr="00382917">
        <w:t>flights</w:t>
      </w:r>
      <w:r w:rsidR="00EE4FC3">
        <w:t xml:space="preserve"> </w:t>
      </w:r>
      <w:r w:rsidRPr="00382917">
        <w:t>it</w:t>
      </w:r>
      <w:r w:rsidR="00EE4FC3">
        <w:t xml:space="preserve"> </w:t>
      </w:r>
      <w:r w:rsidRPr="00382917">
        <w:t>would</w:t>
      </w:r>
      <w:r w:rsidR="00EE4FC3">
        <w:t xml:space="preserve"> </w:t>
      </w:r>
      <w:r w:rsidRPr="00382917">
        <w:t>be</w:t>
      </w:r>
      <w:r w:rsidR="00EE4FC3">
        <w:t xml:space="preserve"> </w:t>
      </w:r>
      <w:r w:rsidRPr="00382917">
        <w:t>necessary</w:t>
      </w:r>
      <w:r w:rsidR="00EE4FC3">
        <w:t xml:space="preserve"> </w:t>
      </w:r>
      <w:r w:rsidRPr="00382917">
        <w:t>for</w:t>
      </w:r>
      <w:r w:rsidR="00EE4FC3">
        <w:t xml:space="preserve"> </w:t>
      </w:r>
      <w:r w:rsidRPr="00382917">
        <w:t>the</w:t>
      </w:r>
      <w:r w:rsidR="00EE4FC3">
        <w:t xml:space="preserve"> </w:t>
      </w:r>
      <w:r w:rsidRPr="00382917">
        <w:t>Messiah</w:t>
      </w:r>
      <w:r w:rsidR="00EE4FC3">
        <w:t xml:space="preserve"> </w:t>
      </w:r>
      <w:r w:rsidRPr="00382917">
        <w:t>to</w:t>
      </w:r>
      <w:r w:rsidR="00EE4FC3">
        <w:t xml:space="preserve"> </w:t>
      </w:r>
      <w:r w:rsidRPr="00382917">
        <w:t>make</w:t>
      </w:r>
      <w:r w:rsidR="00EE4FC3">
        <w:t xml:space="preserve"> </w:t>
      </w:r>
      <w:r w:rsidRPr="00382917">
        <w:t>before</w:t>
      </w:r>
      <w:r w:rsidR="00EE4FC3">
        <w:t xml:space="preserve"> </w:t>
      </w:r>
      <w:r w:rsidRPr="00382917">
        <w:t>all</w:t>
      </w:r>
      <w:r w:rsidR="00EE4FC3">
        <w:t xml:space="preserve"> </w:t>
      </w:r>
      <w:r w:rsidRPr="00382917">
        <w:t>humanity</w:t>
      </w:r>
      <w:r w:rsidR="00EE4FC3">
        <w:t xml:space="preserve"> </w:t>
      </w:r>
      <w:r w:rsidRPr="00382917">
        <w:t>could</w:t>
      </w:r>
      <w:r w:rsidR="00EE4FC3">
        <w:t xml:space="preserve"> </w:t>
      </w:r>
      <w:r w:rsidRPr="00382917">
        <w:t>see</w:t>
      </w:r>
      <w:r w:rsidR="00EE4FC3">
        <w:t xml:space="preserve"> </w:t>
      </w:r>
      <w:r w:rsidRPr="00382917">
        <w:t>Him</w:t>
      </w:r>
      <w:r w:rsidR="00EE4FC3">
        <w:t xml:space="preserve"> </w:t>
      </w:r>
      <w:r w:rsidRPr="00382917">
        <w:t>due</w:t>
      </w:r>
      <w:r w:rsidR="00EE4FC3">
        <w:t xml:space="preserve"> </w:t>
      </w:r>
      <w:r w:rsidRPr="00382917">
        <w:t>to</w:t>
      </w:r>
      <w:r w:rsidR="00EE4FC3">
        <w:t xml:space="preserve"> </w:t>
      </w:r>
      <w:r w:rsidRPr="00382917">
        <w:t>the</w:t>
      </w:r>
      <w:r w:rsidR="00EE4FC3">
        <w:t xml:space="preserve"> </w:t>
      </w:r>
      <w:r w:rsidRPr="00382917">
        <w:t>curvature</w:t>
      </w:r>
      <w:r w:rsidR="00EE4FC3">
        <w:t xml:space="preserve"> </w:t>
      </w:r>
      <w:r w:rsidRPr="00382917">
        <w:t>of</w:t>
      </w:r>
      <w:r w:rsidR="00EE4FC3">
        <w:t xml:space="preserve"> </w:t>
      </w:r>
      <w:r w:rsidRPr="00382917">
        <w:t>the</w:t>
      </w:r>
      <w:r w:rsidR="00EE4FC3">
        <w:t xml:space="preserve"> </w:t>
      </w:r>
      <w:r w:rsidRPr="00382917">
        <w:t>earth</w:t>
      </w:r>
      <w:r w:rsidR="00552489">
        <w:t>.</w:t>
      </w:r>
      <w:r w:rsidR="00EE4FC3">
        <w:t xml:space="preserve">  </w:t>
      </w:r>
      <w:r w:rsidRPr="00382917">
        <w:t>It</w:t>
      </w:r>
      <w:r w:rsidR="00EE4FC3">
        <w:t xml:space="preserve"> </w:t>
      </w:r>
      <w:r w:rsidRPr="00382917">
        <w:t>was</w:t>
      </w:r>
      <w:r w:rsidR="00EE4FC3">
        <w:t xml:space="preserve"> </w:t>
      </w:r>
      <w:r w:rsidRPr="00382917">
        <w:t>reported</w:t>
      </w:r>
      <w:r w:rsidR="00EE4FC3">
        <w:t xml:space="preserve"> </w:t>
      </w:r>
      <w:r w:rsidRPr="00382917">
        <w:t>that</w:t>
      </w:r>
      <w:r w:rsidR="00EE4FC3">
        <w:t xml:space="preserve"> </w:t>
      </w:r>
      <w:r w:rsidRPr="00382917">
        <w:t>shops</w:t>
      </w:r>
      <w:r w:rsidR="00EE4FC3">
        <w:t xml:space="preserve"> </w:t>
      </w:r>
      <w:r w:rsidRPr="00382917">
        <w:t>in</w:t>
      </w:r>
      <w:r w:rsidR="00EE4FC3">
        <w:t xml:space="preserve"> </w:t>
      </w:r>
      <w:r w:rsidRPr="00382917">
        <w:t>some</w:t>
      </w:r>
      <w:r w:rsidR="00EE4FC3">
        <w:t xml:space="preserve"> </w:t>
      </w:r>
      <w:r w:rsidRPr="00382917">
        <w:t>of</w:t>
      </w:r>
      <w:r w:rsidR="00EE4FC3">
        <w:t xml:space="preserve"> </w:t>
      </w:r>
      <w:r w:rsidRPr="00382917">
        <w:t>the</w:t>
      </w:r>
      <w:r w:rsidR="00EE4FC3">
        <w:t xml:space="preserve"> </w:t>
      </w:r>
      <w:r w:rsidRPr="00382917">
        <w:t>eastern</w:t>
      </w:r>
      <w:r w:rsidR="00EE4FC3">
        <w:t xml:space="preserve"> </w:t>
      </w:r>
      <w:r w:rsidRPr="00382917">
        <w:t>cities</w:t>
      </w:r>
      <w:r w:rsidR="00EE4FC3">
        <w:t xml:space="preserve"> </w:t>
      </w:r>
      <w:r w:rsidRPr="00382917">
        <w:t>of</w:t>
      </w:r>
      <w:r w:rsidR="00EE4FC3">
        <w:t xml:space="preserve"> </w:t>
      </w:r>
      <w:r w:rsidRPr="00382917">
        <w:t>America</w:t>
      </w:r>
      <w:r w:rsidR="00EE4FC3">
        <w:t xml:space="preserve"> </w:t>
      </w:r>
      <w:r w:rsidRPr="00382917">
        <w:t>advertised</w:t>
      </w:r>
      <w:r w:rsidR="00EE4FC3">
        <w:t xml:space="preserve"> </w:t>
      </w:r>
      <w:r w:rsidRPr="00382917">
        <w:t>special</w:t>
      </w:r>
      <w:r w:rsidR="00EE4FC3">
        <w:t xml:space="preserve"> </w:t>
      </w:r>
      <w:r w:rsidR="009C713D" w:rsidRPr="00382917">
        <w:t>“</w:t>
      </w:r>
      <w:r w:rsidRPr="00382917">
        <w:t>ascension</w:t>
      </w:r>
      <w:r w:rsidR="00EE4FC3">
        <w:t xml:space="preserve"> </w:t>
      </w:r>
      <w:r w:rsidRPr="00382917">
        <w:t>robes</w:t>
      </w:r>
      <w:r w:rsidR="009C713D" w:rsidRPr="00382917">
        <w:t>”</w:t>
      </w:r>
      <w:r w:rsidR="00EE4FC3">
        <w:t xml:space="preserve"> </w:t>
      </w:r>
      <w:r w:rsidRPr="00382917">
        <w:t>for</w:t>
      </w:r>
      <w:r w:rsidR="00EE4FC3">
        <w:t xml:space="preserve"> </w:t>
      </w:r>
      <w:r w:rsidRPr="00382917">
        <w:t>the</w:t>
      </w:r>
      <w:r w:rsidR="00EE4FC3">
        <w:t xml:space="preserve"> </w:t>
      </w:r>
      <w:r w:rsidRPr="00382917">
        <w:t>coming</w:t>
      </w:r>
      <w:r w:rsidR="00EE4FC3">
        <w:t xml:space="preserve"> </w:t>
      </w:r>
      <w:r w:rsidRPr="00382917">
        <w:t>event.</w:t>
      </w:r>
    </w:p>
    <w:p w:rsidR="00F1111D" w:rsidRPr="00382917" w:rsidRDefault="00F1111D" w:rsidP="00244241">
      <w:pPr>
        <w:pStyle w:val="Text"/>
      </w:pPr>
      <w:r w:rsidRPr="00382917">
        <w:t>When</w:t>
      </w:r>
      <w:r w:rsidR="00EE4FC3">
        <w:t xml:space="preserve"> </w:t>
      </w:r>
      <w:r w:rsidRPr="00382917">
        <w:t>the</w:t>
      </w:r>
      <w:r w:rsidR="00EE4FC3">
        <w:t xml:space="preserve"> </w:t>
      </w:r>
      <w:r w:rsidRPr="00382917">
        <w:t>great</w:t>
      </w:r>
      <w:r w:rsidR="00EE4FC3">
        <w:t xml:space="preserve"> </w:t>
      </w:r>
      <w:r w:rsidRPr="00382917">
        <w:t>comet</w:t>
      </w:r>
      <w:r w:rsidR="00EE4FC3">
        <w:t xml:space="preserve"> </w:t>
      </w:r>
      <w:r w:rsidRPr="00382917">
        <w:t>streaked</w:t>
      </w:r>
      <w:r w:rsidR="00EE4FC3">
        <w:t xml:space="preserve"> </w:t>
      </w:r>
      <w:r w:rsidRPr="00382917">
        <w:t>across</w:t>
      </w:r>
      <w:r w:rsidR="00EE4FC3">
        <w:t xml:space="preserve"> </w:t>
      </w:r>
      <w:r w:rsidRPr="00382917">
        <w:t>the</w:t>
      </w:r>
      <w:r w:rsidR="00EE4FC3">
        <w:t xml:space="preserve"> </w:t>
      </w:r>
      <w:r w:rsidRPr="00382917">
        <w:t>heavens</w:t>
      </w:r>
      <w:r w:rsidR="00EE4FC3">
        <w:t xml:space="preserve"> </w:t>
      </w:r>
      <w:r w:rsidRPr="00382917">
        <w:t>in</w:t>
      </w:r>
      <w:r w:rsidR="00EE4FC3">
        <w:t xml:space="preserve"> </w:t>
      </w:r>
      <w:r w:rsidRPr="00382917">
        <w:t>1843,</w:t>
      </w:r>
      <w:r w:rsidR="00EE4FC3">
        <w:t xml:space="preserve"> </w:t>
      </w:r>
      <w:r w:rsidRPr="00382917">
        <w:t>it</w:t>
      </w:r>
      <w:r w:rsidR="00EE4FC3">
        <w:t xml:space="preserve"> </w:t>
      </w:r>
      <w:r w:rsidRPr="00382917">
        <w:t>was</w:t>
      </w:r>
      <w:r w:rsidR="00EE4FC3">
        <w:t xml:space="preserve"> </w:t>
      </w:r>
      <w:r w:rsidRPr="00382917">
        <w:t>believed</w:t>
      </w:r>
      <w:r w:rsidR="00EE4FC3">
        <w:t xml:space="preserve"> </w:t>
      </w:r>
      <w:r w:rsidRPr="00382917">
        <w:t>to</w:t>
      </w:r>
      <w:r w:rsidR="00EE4FC3">
        <w:t xml:space="preserve"> </w:t>
      </w:r>
      <w:r w:rsidRPr="00382917">
        <w:t>be</w:t>
      </w:r>
      <w:r w:rsidR="00EE4FC3">
        <w:t xml:space="preserve"> </w:t>
      </w:r>
      <w:r w:rsidRPr="00382917">
        <w:t>an</w:t>
      </w:r>
      <w:r w:rsidR="00EE4FC3">
        <w:t xml:space="preserve"> </w:t>
      </w:r>
      <w:r w:rsidRPr="00382917">
        <w:t>omen</w:t>
      </w:r>
      <w:r w:rsidR="00EE4FC3">
        <w:t xml:space="preserve"> </w:t>
      </w:r>
      <w:r w:rsidRPr="00382917">
        <w:t>for</w:t>
      </w:r>
      <w:r w:rsidR="00EE4FC3">
        <w:t xml:space="preserve"> </w:t>
      </w:r>
      <w:r w:rsidRPr="00382917">
        <w:t>the</w:t>
      </w:r>
      <w:r w:rsidR="00EE4FC3">
        <w:t xml:space="preserve"> </w:t>
      </w:r>
      <w:r w:rsidRPr="00382917">
        <w:t>hour</w:t>
      </w:r>
      <w:r w:rsidR="00EE4FC3">
        <w:t xml:space="preserve"> </w:t>
      </w:r>
      <w:r w:rsidRPr="00382917">
        <w:t>of</w:t>
      </w:r>
      <w:r w:rsidR="00EE4FC3">
        <w:t xml:space="preserve"> </w:t>
      </w:r>
      <w:r w:rsidRPr="00382917">
        <w:t>Christ</w:t>
      </w:r>
      <w:r w:rsidR="009C713D" w:rsidRPr="00382917">
        <w:t>’</w:t>
      </w:r>
      <w:r w:rsidRPr="00382917">
        <w:t>s</w:t>
      </w:r>
      <w:r w:rsidR="00EE4FC3">
        <w:t xml:space="preserve"> </w:t>
      </w:r>
      <w:r w:rsidRPr="00382917">
        <w:t>return</w:t>
      </w:r>
      <w:r w:rsidR="00552489">
        <w:t>.</w:t>
      </w:r>
      <w:r w:rsidR="00EE4FC3">
        <w:t xml:space="preserve">  </w:t>
      </w:r>
      <w:r w:rsidRPr="00382917">
        <w:t>In</w:t>
      </w:r>
      <w:r w:rsidR="00EE4FC3">
        <w:t xml:space="preserve"> </w:t>
      </w:r>
      <w:r w:rsidRPr="00382917">
        <w:t>that</w:t>
      </w:r>
      <w:r w:rsidR="00EE4FC3">
        <w:t xml:space="preserve"> </w:t>
      </w:r>
      <w:r w:rsidRPr="00382917">
        <w:t>same</w:t>
      </w:r>
      <w:r w:rsidR="00EE4FC3">
        <w:t xml:space="preserve"> </w:t>
      </w:r>
      <w:r w:rsidRPr="00382917">
        <w:t>year,</w:t>
      </w:r>
      <w:r w:rsidR="00EE4FC3">
        <w:t xml:space="preserve"> </w:t>
      </w:r>
      <w:r w:rsidRPr="00382917">
        <w:t>the</w:t>
      </w:r>
      <w:r w:rsidR="00EE4FC3">
        <w:t xml:space="preserve"> </w:t>
      </w:r>
      <w:r w:rsidRPr="00382917">
        <w:t>poet</w:t>
      </w:r>
      <w:r w:rsidR="00EE4FC3">
        <w:t xml:space="preserve"> </w:t>
      </w:r>
      <w:r w:rsidRPr="00382917">
        <w:t>James</w:t>
      </w:r>
      <w:r w:rsidR="00EE4FC3">
        <w:t xml:space="preserve"> </w:t>
      </w:r>
      <w:r w:rsidRPr="00382917">
        <w:t>Russell</w:t>
      </w:r>
      <w:r w:rsidR="00EE4FC3">
        <w:t xml:space="preserve"> </w:t>
      </w:r>
      <w:r w:rsidRPr="00382917">
        <w:t>Lowell</w:t>
      </w:r>
      <w:r w:rsidR="00EE4FC3">
        <w:t xml:space="preserve"> </w:t>
      </w:r>
      <w:r w:rsidRPr="00382917">
        <w:t>wrote:</w:t>
      </w:r>
    </w:p>
    <w:p w:rsidR="00F1111D" w:rsidRPr="00382917" w:rsidRDefault="00F1111D" w:rsidP="007949AC">
      <w:pPr>
        <w:pStyle w:val="Quote"/>
      </w:pPr>
      <w:r w:rsidRPr="00382917">
        <w:t>Once</w:t>
      </w:r>
      <w:r w:rsidR="00EE4FC3">
        <w:t xml:space="preserve"> </w:t>
      </w:r>
      <w:r w:rsidRPr="00382917">
        <w:t>to</w:t>
      </w:r>
      <w:r w:rsidR="00EE4FC3">
        <w:t xml:space="preserve"> </w:t>
      </w:r>
      <w:r w:rsidRPr="00382917">
        <w:t>every</w:t>
      </w:r>
      <w:r w:rsidR="00EE4FC3">
        <w:t xml:space="preserve"> </w:t>
      </w:r>
      <w:r w:rsidRPr="00382917">
        <w:t>man</w:t>
      </w:r>
      <w:r w:rsidR="00EE4FC3">
        <w:t xml:space="preserve"> </w:t>
      </w:r>
      <w:r w:rsidRPr="00382917">
        <w:t>and</w:t>
      </w:r>
      <w:r w:rsidR="00EE4FC3">
        <w:t xml:space="preserve"> </w:t>
      </w:r>
      <w:r w:rsidRPr="00382917">
        <w:t>nation</w:t>
      </w:r>
      <w:r w:rsidR="00EE4FC3">
        <w:t xml:space="preserve"> </w:t>
      </w:r>
      <w:r w:rsidRPr="00382917">
        <w:t>comes</w:t>
      </w:r>
      <w:r w:rsidR="00EE4FC3">
        <w:t xml:space="preserve"> </w:t>
      </w:r>
      <w:r w:rsidRPr="00382917">
        <w:t>the</w:t>
      </w:r>
      <w:r w:rsidR="00EE4FC3">
        <w:t xml:space="preserve"> </w:t>
      </w:r>
      <w:r w:rsidRPr="00382917">
        <w:t>moment</w:t>
      </w:r>
      <w:r w:rsidR="00EE4FC3">
        <w:t xml:space="preserve"> </w:t>
      </w:r>
      <w:r w:rsidRPr="00382917">
        <w:t>to</w:t>
      </w:r>
      <w:r w:rsidR="00EE4FC3">
        <w:t xml:space="preserve"> </w:t>
      </w:r>
      <w:r w:rsidRPr="00382917">
        <w:t>decide</w:t>
      </w:r>
      <w:r w:rsidR="00552489">
        <w:t>.</w:t>
      </w:r>
      <w:r w:rsidR="00EE4FC3">
        <w:t xml:space="preserve">  </w:t>
      </w:r>
      <w:r w:rsidRPr="00382917">
        <w:t>Some</w:t>
      </w:r>
      <w:r w:rsidR="00EE4FC3">
        <w:t xml:space="preserve"> </w:t>
      </w:r>
      <w:r w:rsidRPr="00382917">
        <w:t>great</w:t>
      </w:r>
      <w:r w:rsidR="00EE4FC3">
        <w:t xml:space="preserve"> </w:t>
      </w:r>
      <w:r w:rsidRPr="00382917">
        <w:t>Cause,</w:t>
      </w:r>
      <w:r w:rsidR="00EE4FC3">
        <w:t xml:space="preserve"> </w:t>
      </w:r>
      <w:r w:rsidRPr="00382917">
        <w:t>God</w:t>
      </w:r>
      <w:r w:rsidR="009C713D" w:rsidRPr="00382917">
        <w:t>’</w:t>
      </w:r>
      <w:r w:rsidRPr="00382917">
        <w:t>s</w:t>
      </w:r>
      <w:r w:rsidR="00EE4FC3">
        <w:t xml:space="preserve"> </w:t>
      </w:r>
      <w:r w:rsidRPr="00382917">
        <w:t>new</w:t>
      </w:r>
      <w:r w:rsidR="00EE4FC3">
        <w:t xml:space="preserve"> </w:t>
      </w:r>
      <w:r w:rsidRPr="00382917">
        <w:t>Messiah</w:t>
      </w:r>
      <w:r w:rsidR="00EE4FC3">
        <w:t xml:space="preserve"> </w:t>
      </w:r>
      <w:r w:rsidR="00F04416" w:rsidRPr="00382917">
        <w:t>…</w:t>
      </w:r>
      <w:r w:rsidR="00411B04">
        <w:t>.</w:t>
      </w:r>
      <w:r w:rsidR="00411B04">
        <w:rPr>
          <w:rStyle w:val="FootnoteReference"/>
        </w:rPr>
        <w:footnoteReference w:id="288"/>
      </w:r>
    </w:p>
    <w:p w:rsidR="00F1111D" w:rsidRPr="00382917" w:rsidRDefault="00F1111D" w:rsidP="007949AC">
      <w:pPr>
        <w:pStyle w:val="Text"/>
      </w:pPr>
      <w:r w:rsidRPr="00382917">
        <w:t>On</w:t>
      </w:r>
      <w:r w:rsidR="00EE4FC3">
        <w:t xml:space="preserve"> </w:t>
      </w:r>
      <w:r w:rsidR="007949AC">
        <w:t xml:space="preserve">24 </w:t>
      </w:r>
      <w:r w:rsidRPr="00382917">
        <w:t>May</w:t>
      </w:r>
      <w:r w:rsidR="00EE4FC3">
        <w:t xml:space="preserve"> </w:t>
      </w:r>
      <w:r w:rsidRPr="00382917">
        <w:t>1844</w:t>
      </w:r>
      <w:r w:rsidR="00EE4FC3">
        <w:t xml:space="preserve"> </w:t>
      </w:r>
      <w:r w:rsidRPr="00382917">
        <w:t>in</w:t>
      </w:r>
      <w:r w:rsidR="00EE4FC3">
        <w:t xml:space="preserve"> </w:t>
      </w:r>
      <w:r w:rsidRPr="00382917">
        <w:t>Washington</w:t>
      </w:r>
      <w:r w:rsidR="00EE4FC3">
        <w:t xml:space="preserve"> </w:t>
      </w:r>
      <w:r w:rsidRPr="00382917">
        <w:t>DC,</w:t>
      </w:r>
      <w:r w:rsidR="00EE4FC3">
        <w:t xml:space="preserve"> </w:t>
      </w:r>
      <w:r w:rsidRPr="00382917">
        <w:t>Mr</w:t>
      </w:r>
      <w:r w:rsidR="00EE4FC3">
        <w:t xml:space="preserve"> </w:t>
      </w:r>
      <w:r w:rsidRPr="00382917">
        <w:t>Samuel</w:t>
      </w:r>
      <w:r w:rsidR="00EE4FC3">
        <w:t xml:space="preserve"> </w:t>
      </w:r>
      <w:r w:rsidRPr="00382917">
        <w:t>F.</w:t>
      </w:r>
      <w:r w:rsidR="00EE4FC3">
        <w:t xml:space="preserve"> </w:t>
      </w:r>
      <w:r w:rsidRPr="00382917">
        <w:t>B.</w:t>
      </w:r>
      <w:r w:rsidR="00EE4FC3">
        <w:t xml:space="preserve"> </w:t>
      </w:r>
      <w:r w:rsidRPr="00382917">
        <w:t>Morse,</w:t>
      </w:r>
      <w:r w:rsidR="00EE4FC3">
        <w:t xml:space="preserve"> </w:t>
      </w:r>
      <w:r w:rsidRPr="00382917">
        <w:t>the</w:t>
      </w:r>
      <w:r w:rsidR="00EE4FC3">
        <w:t xml:space="preserve"> </w:t>
      </w:r>
      <w:r w:rsidRPr="00382917">
        <w:t>inventor</w:t>
      </w:r>
      <w:r w:rsidR="00EE4FC3">
        <w:t xml:space="preserve"> </w:t>
      </w:r>
      <w:r w:rsidRPr="00382917">
        <w:t>of</w:t>
      </w:r>
      <w:r w:rsidR="00EE4FC3">
        <w:t xml:space="preserve"> </w:t>
      </w:r>
      <w:r w:rsidRPr="00382917">
        <w:t>the</w:t>
      </w:r>
      <w:r w:rsidR="00EE4FC3">
        <w:t xml:space="preserve"> </w:t>
      </w:r>
      <w:r w:rsidRPr="00382917">
        <w:t>telegraph,</w:t>
      </w:r>
      <w:r w:rsidR="00EE4FC3">
        <w:t xml:space="preserve"> </w:t>
      </w:r>
      <w:r w:rsidRPr="00382917">
        <w:t>stepped</w:t>
      </w:r>
      <w:r w:rsidR="00EE4FC3">
        <w:t xml:space="preserve"> </w:t>
      </w:r>
      <w:r w:rsidRPr="00382917">
        <w:t>to</w:t>
      </w:r>
      <w:r w:rsidR="00EE4FC3">
        <w:t xml:space="preserve"> </w:t>
      </w:r>
      <w:r w:rsidRPr="00382917">
        <w:t>the</w:t>
      </w:r>
      <w:r w:rsidR="00EE4FC3">
        <w:t xml:space="preserve"> </w:t>
      </w:r>
      <w:r w:rsidRPr="00382917">
        <w:t>keyboard</w:t>
      </w:r>
      <w:r w:rsidR="00EE4FC3">
        <w:t xml:space="preserve"> </w:t>
      </w:r>
      <w:r w:rsidRPr="00382917">
        <w:t>of</w:t>
      </w:r>
      <w:r w:rsidR="00EE4FC3">
        <w:t xml:space="preserve"> </w:t>
      </w:r>
      <w:r w:rsidRPr="00382917">
        <w:t>his</w:t>
      </w:r>
      <w:r w:rsidR="00EE4FC3">
        <w:t xml:space="preserve"> </w:t>
      </w:r>
      <w:r w:rsidRPr="00382917">
        <w:t>new</w:t>
      </w:r>
      <w:r w:rsidR="00EE4FC3">
        <w:t xml:space="preserve"> </w:t>
      </w:r>
      <w:r w:rsidRPr="00382917">
        <w:t>instrument</w:t>
      </w:r>
      <w:r w:rsidR="00552489">
        <w:t>.</w:t>
      </w:r>
      <w:r w:rsidR="00EE4FC3">
        <w:t xml:space="preserve">  </w:t>
      </w:r>
      <w:r w:rsidRPr="00382917">
        <w:t>He</w:t>
      </w:r>
      <w:r w:rsidR="00EE4FC3">
        <w:t xml:space="preserve"> </w:t>
      </w:r>
      <w:r w:rsidRPr="00382917">
        <w:t>was</w:t>
      </w:r>
      <w:r w:rsidR="00EE4FC3">
        <w:t xml:space="preserve"> </w:t>
      </w:r>
      <w:r w:rsidRPr="00382917">
        <w:t>about</w:t>
      </w:r>
      <w:r w:rsidR="00EE4FC3">
        <w:t xml:space="preserve"> </w:t>
      </w:r>
      <w:r w:rsidRPr="00382917">
        <w:t>to</w:t>
      </w:r>
      <w:r w:rsidR="00EE4FC3">
        <w:t xml:space="preserve"> </w:t>
      </w:r>
      <w:r w:rsidRPr="00382917">
        <w:t>send</w:t>
      </w:r>
      <w:r w:rsidR="00EE4FC3">
        <w:t xml:space="preserve"> </w:t>
      </w:r>
      <w:r w:rsidRPr="00382917">
        <w:t>the</w:t>
      </w:r>
      <w:r w:rsidR="00EE4FC3">
        <w:t xml:space="preserve"> </w:t>
      </w:r>
      <w:r w:rsidRPr="00382917">
        <w:t>first</w:t>
      </w:r>
      <w:r w:rsidR="00EE4FC3">
        <w:t xml:space="preserve"> </w:t>
      </w:r>
      <w:r w:rsidRPr="00382917">
        <w:t>official</w:t>
      </w:r>
      <w:r w:rsidR="00EE4FC3">
        <w:t xml:space="preserve"> </w:t>
      </w:r>
      <w:r w:rsidRPr="00382917">
        <w:t>telegram</w:t>
      </w:r>
      <w:r w:rsidR="00EE4FC3">
        <w:t xml:space="preserve"> </w:t>
      </w:r>
      <w:r w:rsidRPr="00382917">
        <w:t>in</w:t>
      </w:r>
      <w:r w:rsidR="00EE4FC3">
        <w:t xml:space="preserve"> </w:t>
      </w:r>
      <w:r w:rsidRPr="00382917">
        <w:t>history</w:t>
      </w:r>
      <w:r w:rsidR="00EE4FC3">
        <w:t xml:space="preserve"> </w:t>
      </w:r>
      <w:r w:rsidRPr="00382917">
        <w:t>flashing</w:t>
      </w:r>
      <w:r w:rsidR="00EE4FC3">
        <w:t xml:space="preserve"> </w:t>
      </w:r>
      <w:r w:rsidRPr="00382917">
        <w:t>along</w:t>
      </w:r>
      <w:r w:rsidR="00EE4FC3">
        <w:t xml:space="preserve"> </w:t>
      </w:r>
      <w:r w:rsidRPr="00382917">
        <w:t>the</w:t>
      </w:r>
      <w:r w:rsidR="00EE4FC3">
        <w:t xml:space="preserve"> </w:t>
      </w:r>
      <w:r w:rsidRPr="00382917">
        <w:t>wires</w:t>
      </w:r>
      <w:r w:rsidR="00EE4FC3">
        <w:t xml:space="preserve"> </w:t>
      </w:r>
      <w:r w:rsidRPr="00382917">
        <w:t>from</w:t>
      </w:r>
      <w:r w:rsidR="00EE4FC3">
        <w:t xml:space="preserve"> </w:t>
      </w:r>
      <w:r w:rsidRPr="00382917">
        <w:t>Washington</w:t>
      </w:r>
      <w:r w:rsidR="00EE4FC3">
        <w:t xml:space="preserve"> </w:t>
      </w:r>
      <w:r w:rsidRPr="00382917">
        <w:t>to</w:t>
      </w:r>
      <w:r w:rsidR="00EE4FC3">
        <w:t xml:space="preserve"> </w:t>
      </w:r>
      <w:r w:rsidRPr="00382917">
        <w:t>Baltimore</w:t>
      </w:r>
      <w:r w:rsidR="00552489">
        <w:t>.</w:t>
      </w:r>
      <w:r w:rsidR="00EE4FC3">
        <w:t xml:space="preserve">  </w:t>
      </w:r>
      <w:r w:rsidRPr="00382917">
        <w:t>The</w:t>
      </w:r>
      <w:r w:rsidR="00EE4FC3">
        <w:t xml:space="preserve"> </w:t>
      </w:r>
      <w:r w:rsidRPr="00382917">
        <w:t>press</w:t>
      </w:r>
      <w:r w:rsidR="00EE4FC3">
        <w:t xml:space="preserve"> </w:t>
      </w:r>
      <w:r w:rsidRPr="00382917">
        <w:t>had</w:t>
      </w:r>
      <w:r w:rsidR="00EE4FC3">
        <w:t xml:space="preserve"> </w:t>
      </w:r>
      <w:r w:rsidRPr="00382917">
        <w:t>heralded</w:t>
      </w:r>
      <w:r w:rsidR="00EE4FC3">
        <w:t xml:space="preserve"> </w:t>
      </w:r>
      <w:r w:rsidRPr="00382917">
        <w:t>this</w:t>
      </w:r>
      <w:r w:rsidR="00EE4FC3">
        <w:t xml:space="preserve"> </w:t>
      </w:r>
      <w:r w:rsidRPr="00382917">
        <w:t>day</w:t>
      </w:r>
      <w:r w:rsidR="00EE4FC3">
        <w:t xml:space="preserve"> </w:t>
      </w:r>
      <w:r w:rsidRPr="00382917">
        <w:t>as</w:t>
      </w:r>
      <w:r w:rsidR="00EE4FC3">
        <w:t xml:space="preserve"> </w:t>
      </w:r>
      <w:r w:rsidRPr="00382917">
        <w:t>a</w:t>
      </w:r>
      <w:r w:rsidR="00EE4FC3">
        <w:t xml:space="preserve"> </w:t>
      </w:r>
      <w:r w:rsidRPr="00382917">
        <w:t>modern</w:t>
      </w:r>
      <w:r w:rsidR="00EE4FC3">
        <w:t xml:space="preserve"> </w:t>
      </w:r>
      <w:r w:rsidRPr="00382917">
        <w:t>miracle</w:t>
      </w:r>
      <w:r w:rsidR="00552489">
        <w:t>.</w:t>
      </w:r>
      <w:r w:rsidR="00EE4FC3">
        <w:t xml:space="preserve">  </w:t>
      </w:r>
      <w:r w:rsidRPr="00382917">
        <w:t>By</w:t>
      </w:r>
      <w:r w:rsidR="00EE4FC3">
        <w:t xml:space="preserve"> </w:t>
      </w:r>
      <w:r w:rsidRPr="00382917">
        <w:t>this</w:t>
      </w:r>
      <w:r w:rsidR="00EE4FC3">
        <w:t xml:space="preserve"> </w:t>
      </w:r>
      <w:r w:rsidRPr="00382917">
        <w:t>invention</w:t>
      </w:r>
      <w:r w:rsidR="00EE4FC3">
        <w:t xml:space="preserve"> </w:t>
      </w:r>
      <w:r w:rsidRPr="00382917">
        <w:t>the</w:t>
      </w:r>
      <w:r w:rsidR="00EE4FC3">
        <w:t xml:space="preserve"> </w:t>
      </w:r>
      <w:r w:rsidRPr="00382917">
        <w:t>world</w:t>
      </w:r>
      <w:r w:rsidR="00EE4FC3">
        <w:t xml:space="preserve"> </w:t>
      </w:r>
      <w:r w:rsidRPr="00382917">
        <w:t>would</w:t>
      </w:r>
      <w:r w:rsidR="00EE4FC3">
        <w:t xml:space="preserve"> </w:t>
      </w:r>
      <w:r w:rsidRPr="00382917">
        <w:t>soon</w:t>
      </w:r>
      <w:r w:rsidR="00EE4FC3">
        <w:t xml:space="preserve"> </w:t>
      </w:r>
      <w:r w:rsidRPr="00382917">
        <w:t>be</w:t>
      </w:r>
      <w:r w:rsidR="00EE4FC3">
        <w:t xml:space="preserve"> </w:t>
      </w:r>
      <w:r w:rsidRPr="00382917">
        <w:t>united</w:t>
      </w:r>
      <w:r w:rsidR="00EE4FC3">
        <w:t xml:space="preserve"> </w:t>
      </w:r>
      <w:r w:rsidRPr="00382917">
        <w:t>physically</w:t>
      </w:r>
      <w:r w:rsidR="00EE4FC3">
        <w:t xml:space="preserve"> </w:t>
      </w:r>
      <w:r w:rsidRPr="00382917">
        <w:t>in</w:t>
      </w:r>
      <w:r w:rsidR="00EE4FC3">
        <w:t xml:space="preserve"> </w:t>
      </w:r>
      <w:r w:rsidRPr="00382917">
        <w:t>the</w:t>
      </w:r>
      <w:r w:rsidR="00EE4FC3">
        <w:t xml:space="preserve"> </w:t>
      </w:r>
      <w:r w:rsidRPr="00382917">
        <w:t>twinkling</w:t>
      </w:r>
      <w:r w:rsidR="00EE4FC3">
        <w:t xml:space="preserve"> </w:t>
      </w:r>
      <w:r w:rsidRPr="00382917">
        <w:t>of</w:t>
      </w:r>
      <w:r w:rsidR="00EE4FC3">
        <w:t xml:space="preserve"> </w:t>
      </w:r>
      <w:r w:rsidRPr="00382917">
        <w:t>an</w:t>
      </w:r>
      <w:r w:rsidR="00EE4FC3">
        <w:t xml:space="preserve"> </w:t>
      </w:r>
      <w:r w:rsidRPr="00382917">
        <w:t>eye,</w:t>
      </w:r>
      <w:r w:rsidR="00EE4FC3">
        <w:t xml:space="preserve"> </w:t>
      </w:r>
      <w:r w:rsidRPr="00382917">
        <w:t>they</w:t>
      </w:r>
      <w:r w:rsidR="00EE4FC3">
        <w:t xml:space="preserve"> </w:t>
      </w:r>
      <w:r w:rsidRPr="00382917">
        <w:t>said.</w:t>
      </w:r>
    </w:p>
    <w:p w:rsidR="00F1111D" w:rsidRPr="00382917" w:rsidRDefault="00F1111D" w:rsidP="00411B04">
      <w:pPr>
        <w:pStyle w:val="Text"/>
      </w:pPr>
      <w:r w:rsidRPr="00382917">
        <w:t>The</w:t>
      </w:r>
      <w:r w:rsidR="00EE4FC3">
        <w:t xml:space="preserve"> </w:t>
      </w:r>
      <w:r w:rsidRPr="00382917">
        <w:t>scholars</w:t>
      </w:r>
      <w:r w:rsidR="00EE4FC3">
        <w:t xml:space="preserve"> </w:t>
      </w:r>
      <w:r w:rsidRPr="00382917">
        <w:t>of</w:t>
      </w:r>
      <w:r w:rsidR="00EE4FC3">
        <w:t xml:space="preserve"> </w:t>
      </w:r>
      <w:r w:rsidRPr="00382917">
        <w:t>Scripture</w:t>
      </w:r>
      <w:r w:rsidR="00EE4FC3">
        <w:t xml:space="preserve"> </w:t>
      </w:r>
      <w:r w:rsidRPr="00382917">
        <w:t>asked</w:t>
      </w:r>
      <w:r w:rsidR="00C03C91">
        <w:t>:</w:t>
      </w:r>
      <w:r w:rsidR="00EE4FC3">
        <w:t xml:space="preserve">  </w:t>
      </w:r>
      <w:r w:rsidRPr="00382917">
        <w:t>Is</w:t>
      </w:r>
      <w:r w:rsidR="00EE4FC3">
        <w:t xml:space="preserve"> </w:t>
      </w:r>
      <w:r w:rsidRPr="00382917">
        <w:t>this</w:t>
      </w:r>
      <w:r w:rsidR="00EE4FC3">
        <w:t xml:space="preserve"> </w:t>
      </w:r>
      <w:r w:rsidRPr="00382917">
        <w:t>not</w:t>
      </w:r>
      <w:r w:rsidR="00EE4FC3">
        <w:t xml:space="preserve"> </w:t>
      </w:r>
      <w:r w:rsidRPr="00382917">
        <w:t>still</w:t>
      </w:r>
      <w:r w:rsidR="00EE4FC3">
        <w:t xml:space="preserve"> </w:t>
      </w:r>
      <w:r w:rsidRPr="00382917">
        <w:t>another</w:t>
      </w:r>
      <w:r w:rsidR="00EE4FC3">
        <w:t xml:space="preserve"> </w:t>
      </w:r>
      <w:r w:rsidRPr="00382917">
        <w:t>proof</w:t>
      </w:r>
      <w:r w:rsidR="00EE4FC3">
        <w:t xml:space="preserve"> </w:t>
      </w:r>
      <w:r w:rsidRPr="00382917">
        <w:t>that</w:t>
      </w:r>
      <w:r w:rsidR="00EE4FC3">
        <w:t xml:space="preserve"> </w:t>
      </w:r>
      <w:r w:rsidRPr="00382917">
        <w:t>the</w:t>
      </w:r>
      <w:r w:rsidR="00EE4FC3">
        <w:t xml:space="preserve"> </w:t>
      </w:r>
      <w:r w:rsidRPr="00382917">
        <w:t>hour</w:t>
      </w:r>
      <w:r w:rsidR="00EE4FC3">
        <w:t xml:space="preserve"> </w:t>
      </w:r>
      <w:r w:rsidRPr="00382917">
        <w:t>has</w:t>
      </w:r>
      <w:r w:rsidR="00EE4FC3">
        <w:t xml:space="preserve"> </w:t>
      </w:r>
      <w:r w:rsidRPr="00382917">
        <w:t>come</w:t>
      </w:r>
      <w:r w:rsidR="00EE4FC3">
        <w:t xml:space="preserve"> </w:t>
      </w:r>
      <w:r w:rsidRPr="00382917">
        <w:t>for</w:t>
      </w:r>
      <w:r w:rsidR="00EE4FC3">
        <w:t xml:space="preserve"> </w:t>
      </w:r>
      <w:r w:rsidRPr="00382917">
        <w:t>Christ</w:t>
      </w:r>
      <w:r w:rsidR="009C713D" w:rsidRPr="00382917">
        <w:t>’</w:t>
      </w:r>
      <w:r w:rsidRPr="00382917">
        <w:t>s</w:t>
      </w:r>
      <w:r w:rsidR="00EE4FC3">
        <w:t xml:space="preserve"> </w:t>
      </w:r>
      <w:r w:rsidRPr="00382917">
        <w:t>appearance</w:t>
      </w:r>
      <w:r w:rsidR="003C712C">
        <w:t xml:space="preserve">?  </w:t>
      </w:r>
      <w:r w:rsidRPr="00382917">
        <w:t>Is</w:t>
      </w:r>
      <w:r w:rsidR="00EE4FC3">
        <w:t xml:space="preserve"> </w:t>
      </w:r>
      <w:r w:rsidRPr="00382917">
        <w:t>it</w:t>
      </w:r>
      <w:r w:rsidR="00EE4FC3">
        <w:t xml:space="preserve"> </w:t>
      </w:r>
      <w:r w:rsidRPr="00382917">
        <w:t>not</w:t>
      </w:r>
      <w:r w:rsidR="00EE4FC3">
        <w:t xml:space="preserve"> </w:t>
      </w:r>
      <w:r w:rsidRPr="00382917">
        <w:t>written</w:t>
      </w:r>
      <w:r w:rsidR="00EE4FC3">
        <w:t xml:space="preserve"> </w:t>
      </w:r>
      <w:r w:rsidRPr="00382917">
        <w:t>in</w:t>
      </w:r>
      <w:r w:rsidR="00EE4FC3">
        <w:t xml:space="preserve"> </w:t>
      </w:r>
      <w:r w:rsidRPr="00382917">
        <w:t>the</w:t>
      </w:r>
      <w:r w:rsidR="00EE4FC3">
        <w:t xml:space="preserve"> </w:t>
      </w:r>
      <w:r w:rsidRPr="00382917">
        <w:t>Book</w:t>
      </w:r>
      <w:r w:rsidR="00EE4FC3">
        <w:t xml:space="preserve"> </w:t>
      </w:r>
      <w:r w:rsidRPr="00382917">
        <w:t>of</w:t>
      </w:r>
      <w:r w:rsidR="00EE4FC3">
        <w:t xml:space="preserve"> </w:t>
      </w:r>
      <w:r w:rsidRPr="00382917">
        <w:t>Job</w:t>
      </w:r>
      <w:r w:rsidR="00EE4FC3">
        <w:t xml:space="preserve"> </w:t>
      </w:r>
      <w:r w:rsidRPr="00382917">
        <w:t>that</w:t>
      </w:r>
      <w:r w:rsidR="00EE4FC3">
        <w:t xml:space="preserve"> </w:t>
      </w:r>
      <w:r w:rsidRPr="00382917">
        <w:t>only</w:t>
      </w:r>
      <w:r w:rsidR="00EE4FC3">
        <w:t xml:space="preserve"> </w:t>
      </w:r>
      <w:r w:rsidRPr="00382917">
        <w:t>God</w:t>
      </w:r>
      <w:r w:rsidR="00EE4FC3">
        <w:t xml:space="preserve"> </w:t>
      </w:r>
      <w:r w:rsidRPr="00382917">
        <w:t>can</w:t>
      </w:r>
      <w:r w:rsidR="00EE4FC3">
        <w:t xml:space="preserve"> </w:t>
      </w:r>
      <w:r w:rsidRPr="00382917">
        <w:t>send</w:t>
      </w:r>
      <w:r w:rsidR="00EE4FC3">
        <w:t xml:space="preserve"> </w:t>
      </w:r>
      <w:r w:rsidR="009C713D" w:rsidRPr="00382917">
        <w:t>“</w:t>
      </w:r>
      <w:proofErr w:type="spellStart"/>
      <w:r w:rsidRPr="00382917">
        <w:t>lightnings</w:t>
      </w:r>
      <w:proofErr w:type="spellEnd"/>
      <w:r w:rsidR="00EE4FC3">
        <w:t xml:space="preserve"> </w:t>
      </w:r>
      <w:r w:rsidRPr="00382917">
        <w:t>that</w:t>
      </w:r>
      <w:r w:rsidR="00EE4FC3">
        <w:t xml:space="preserve"> </w:t>
      </w:r>
      <w:r w:rsidRPr="00382917">
        <w:t>they</w:t>
      </w:r>
      <w:r w:rsidR="00EE4FC3">
        <w:t xml:space="preserve"> </w:t>
      </w:r>
      <w:r w:rsidRPr="00382917">
        <w:t>may</w:t>
      </w:r>
      <w:r w:rsidR="00EE4FC3">
        <w:t xml:space="preserve"> </w:t>
      </w:r>
      <w:r w:rsidRPr="00382917">
        <w:t>go</w:t>
      </w:r>
      <w:r w:rsidR="00EE4FC3">
        <w:t xml:space="preserve"> </w:t>
      </w:r>
      <w:r w:rsidRPr="00382917">
        <w:t>and</w:t>
      </w:r>
      <w:r w:rsidR="00EE4FC3">
        <w:t xml:space="preserve"> </w:t>
      </w:r>
      <w:r w:rsidRPr="00382917">
        <w:t>say</w:t>
      </w:r>
      <w:r w:rsidR="00EE4FC3">
        <w:t xml:space="preserve"> </w:t>
      </w:r>
      <w:r w:rsidRPr="00382917">
        <w:t>unto</w:t>
      </w:r>
      <w:r w:rsidR="00EE4FC3">
        <w:t xml:space="preserve"> </w:t>
      </w:r>
      <w:r w:rsidRPr="00382917">
        <w:t>thee</w:t>
      </w:r>
      <w:r w:rsidR="00EE4FC3">
        <w:t xml:space="preserve"> </w:t>
      </w:r>
      <w:r w:rsidRPr="00382917">
        <w:t>here</w:t>
      </w:r>
      <w:r w:rsidR="00EE4FC3">
        <w:t xml:space="preserve"> </w:t>
      </w:r>
      <w:r w:rsidRPr="00382917">
        <w:t>we</w:t>
      </w:r>
      <w:r w:rsidR="00EE4FC3">
        <w:t xml:space="preserve"> </w:t>
      </w:r>
      <w:r w:rsidRPr="00382917">
        <w:t>are!</w:t>
      </w:r>
      <w:r w:rsidR="009C713D" w:rsidRPr="00382917">
        <w:t>”</w:t>
      </w:r>
      <w:r w:rsidR="00411B04">
        <w:rPr>
          <w:rStyle w:val="FootnoteReference"/>
        </w:rPr>
        <w:footnoteReference w:id="289"/>
      </w:r>
      <w:r w:rsidR="00EE4FC3">
        <w:t xml:space="preserve">  </w:t>
      </w:r>
      <w:r w:rsidRPr="00382917">
        <w:t>Was</w:t>
      </w:r>
      <w:r w:rsidR="00EE4FC3">
        <w:t xml:space="preserve"> </w:t>
      </w:r>
      <w:r w:rsidRPr="00382917">
        <w:t>not</w:t>
      </w:r>
      <w:r w:rsidR="00EE4FC3">
        <w:t xml:space="preserve"> </w:t>
      </w:r>
      <w:r w:rsidRPr="00382917">
        <w:t>this</w:t>
      </w:r>
      <w:r w:rsidR="00EE4FC3">
        <w:t xml:space="preserve"> </w:t>
      </w:r>
      <w:r w:rsidRPr="00382917">
        <w:t>electric</w:t>
      </w:r>
      <w:r w:rsidR="00EE4FC3">
        <w:t xml:space="preserve"> </w:t>
      </w:r>
      <w:r w:rsidRPr="00382917">
        <w:t>telegraph</w:t>
      </w:r>
      <w:r w:rsidR="00EE4FC3">
        <w:t xml:space="preserve"> </w:t>
      </w:r>
      <w:proofErr w:type="gramStart"/>
      <w:r w:rsidRPr="00382917">
        <w:t>of</w:t>
      </w:r>
      <w:proofErr w:type="gramEnd"/>
    </w:p>
    <w:p w:rsidR="00244241" w:rsidRPr="00382917" w:rsidRDefault="00244241">
      <w:pPr>
        <w:widowControl/>
        <w:kinsoku/>
        <w:overflowPunct/>
        <w:textAlignment w:val="auto"/>
      </w:pPr>
      <w:r w:rsidRPr="00382917">
        <w:br w:type="page"/>
      </w:r>
    </w:p>
    <w:p w:rsidR="00F1111D" w:rsidRPr="00382917" w:rsidRDefault="00F1111D" w:rsidP="00411B04">
      <w:pPr>
        <w:pStyle w:val="Textcts"/>
      </w:pPr>
      <w:r w:rsidRPr="00382917">
        <w:t>Morse</w:t>
      </w:r>
      <w:r w:rsidR="00EE4FC3">
        <w:t xml:space="preserve"> </w:t>
      </w:r>
      <w:r w:rsidRPr="00382917">
        <w:t>the</w:t>
      </w:r>
      <w:r w:rsidR="00EE4FC3">
        <w:t xml:space="preserve"> </w:t>
      </w:r>
      <w:r w:rsidR="009C713D" w:rsidRPr="00382917">
        <w:t>“</w:t>
      </w:r>
      <w:proofErr w:type="spellStart"/>
      <w:r w:rsidRPr="00382917">
        <w:t>lightnings</w:t>
      </w:r>
      <w:proofErr w:type="spellEnd"/>
      <w:r w:rsidR="009C713D" w:rsidRPr="00382917">
        <w:t>”</w:t>
      </w:r>
      <w:r w:rsidR="00EE4FC3">
        <w:t xml:space="preserve"> </w:t>
      </w:r>
      <w:r w:rsidRPr="00382917">
        <w:t>spoken</w:t>
      </w:r>
      <w:r w:rsidR="00EE4FC3">
        <w:t xml:space="preserve"> </w:t>
      </w:r>
      <w:r w:rsidRPr="00382917">
        <w:t>of</w:t>
      </w:r>
      <w:r w:rsidR="00EE4FC3">
        <w:t xml:space="preserve"> </w:t>
      </w:r>
      <w:r w:rsidRPr="00382917">
        <w:t>by</w:t>
      </w:r>
      <w:r w:rsidR="00EE4FC3">
        <w:t xml:space="preserve"> </w:t>
      </w:r>
      <w:r w:rsidRPr="00382917">
        <w:t>which</w:t>
      </w:r>
      <w:r w:rsidR="00EE4FC3">
        <w:t xml:space="preserve"> </w:t>
      </w:r>
      <w:r w:rsidRPr="00382917">
        <w:t>the</w:t>
      </w:r>
      <w:r w:rsidR="00EE4FC3">
        <w:t xml:space="preserve"> </w:t>
      </w:r>
      <w:r w:rsidR="009C713D" w:rsidRPr="00382917">
        <w:t>“</w:t>
      </w:r>
      <w:r w:rsidRPr="00382917">
        <w:t>Word</w:t>
      </w:r>
      <w:r w:rsidR="009C713D" w:rsidRPr="00382917">
        <w:t>”</w:t>
      </w:r>
      <w:r w:rsidR="00EE4FC3">
        <w:t xml:space="preserve"> </w:t>
      </w:r>
      <w:r w:rsidRPr="00382917">
        <w:t>would</w:t>
      </w:r>
      <w:r w:rsidR="00EE4FC3">
        <w:t xml:space="preserve"> </w:t>
      </w:r>
      <w:r w:rsidRPr="00382917">
        <w:t>go</w:t>
      </w:r>
      <w:r w:rsidR="003C712C">
        <w:t xml:space="preserve">?  </w:t>
      </w:r>
      <w:r w:rsidRPr="00382917">
        <w:t>Morse</w:t>
      </w:r>
      <w:r w:rsidR="00EE4FC3">
        <w:t xml:space="preserve"> </w:t>
      </w:r>
      <w:r w:rsidRPr="00382917">
        <w:t>put</w:t>
      </w:r>
      <w:r w:rsidR="00EE4FC3">
        <w:t xml:space="preserve"> </w:t>
      </w:r>
      <w:r w:rsidRPr="00382917">
        <w:t>his</w:t>
      </w:r>
      <w:r w:rsidR="00EE4FC3">
        <w:t xml:space="preserve"> </w:t>
      </w:r>
      <w:r w:rsidRPr="00382917">
        <w:t>hand</w:t>
      </w:r>
      <w:r w:rsidR="00EE4FC3">
        <w:t xml:space="preserve"> </w:t>
      </w:r>
      <w:r w:rsidRPr="00382917">
        <w:t>to</w:t>
      </w:r>
      <w:r w:rsidR="00EE4FC3">
        <w:t xml:space="preserve"> </w:t>
      </w:r>
      <w:r w:rsidRPr="00382917">
        <w:t>the</w:t>
      </w:r>
      <w:r w:rsidR="00EE4FC3">
        <w:t xml:space="preserve"> </w:t>
      </w:r>
      <w:r w:rsidRPr="00382917">
        <w:t>keyboard</w:t>
      </w:r>
      <w:r w:rsidR="00EE4FC3">
        <w:t xml:space="preserve"> </w:t>
      </w:r>
      <w:r w:rsidRPr="00382917">
        <w:t>and</w:t>
      </w:r>
      <w:r w:rsidR="00EE4FC3">
        <w:t xml:space="preserve"> </w:t>
      </w:r>
      <w:r w:rsidRPr="00382917">
        <w:t>tapped</w:t>
      </w:r>
      <w:r w:rsidR="00EE4FC3">
        <w:t xml:space="preserve"> </w:t>
      </w:r>
      <w:r w:rsidRPr="00382917">
        <w:t>out</w:t>
      </w:r>
      <w:r w:rsidR="00EE4FC3">
        <w:t xml:space="preserve"> </w:t>
      </w:r>
      <w:r w:rsidRPr="00382917">
        <w:t>the</w:t>
      </w:r>
      <w:r w:rsidR="00EE4FC3">
        <w:t xml:space="preserve"> </w:t>
      </w:r>
      <w:r w:rsidRPr="00382917">
        <w:t>message</w:t>
      </w:r>
      <w:r w:rsidR="00552489">
        <w:t>.</w:t>
      </w:r>
      <w:r w:rsidR="00EE4FC3">
        <w:t xml:space="preserve">  </w:t>
      </w:r>
      <w:r w:rsidRPr="00382917">
        <w:t>It</w:t>
      </w:r>
      <w:r w:rsidR="00EE4FC3">
        <w:t xml:space="preserve"> </w:t>
      </w:r>
      <w:r w:rsidRPr="00382917">
        <w:t>was</w:t>
      </w:r>
      <w:r w:rsidR="00EE4FC3">
        <w:t xml:space="preserve"> </w:t>
      </w:r>
      <w:r w:rsidRPr="00382917">
        <w:t>a</w:t>
      </w:r>
      <w:r w:rsidR="00EE4FC3">
        <w:t xml:space="preserve"> </w:t>
      </w:r>
      <w:r w:rsidRPr="00382917">
        <w:t>message</w:t>
      </w:r>
      <w:r w:rsidR="00EE4FC3">
        <w:t xml:space="preserve"> </w:t>
      </w:r>
      <w:r w:rsidRPr="00382917">
        <w:t>chosen</w:t>
      </w:r>
      <w:r w:rsidR="00EE4FC3">
        <w:t xml:space="preserve"> </w:t>
      </w:r>
      <w:r w:rsidRPr="00382917">
        <w:t>from</w:t>
      </w:r>
      <w:r w:rsidR="00EE4FC3">
        <w:t xml:space="preserve"> </w:t>
      </w:r>
      <w:r w:rsidRPr="00382917">
        <w:t>the</w:t>
      </w:r>
      <w:r w:rsidR="00EE4FC3">
        <w:t xml:space="preserve"> </w:t>
      </w:r>
      <w:r w:rsidRPr="00382917">
        <w:t>Bible,</w:t>
      </w:r>
      <w:r w:rsidR="00EE4FC3">
        <w:t xml:space="preserve"> </w:t>
      </w:r>
      <w:r w:rsidRPr="00382917">
        <w:t>from</w:t>
      </w:r>
      <w:r w:rsidR="00EE4FC3">
        <w:t xml:space="preserve"> </w:t>
      </w:r>
      <w:r w:rsidRPr="00382917">
        <w:t>the</w:t>
      </w:r>
      <w:r w:rsidR="00EE4FC3">
        <w:t xml:space="preserve"> </w:t>
      </w:r>
      <w:r w:rsidRPr="00382917">
        <w:t>Book</w:t>
      </w:r>
      <w:r w:rsidR="00EE4FC3">
        <w:t xml:space="preserve"> </w:t>
      </w:r>
      <w:r w:rsidRPr="00382917">
        <w:t>of</w:t>
      </w:r>
      <w:r w:rsidR="00EE4FC3">
        <w:t xml:space="preserve"> </w:t>
      </w:r>
      <w:r w:rsidRPr="00382917">
        <w:t>Numbers</w:t>
      </w:r>
      <w:r w:rsidR="00C03C91">
        <w:t>:</w:t>
      </w:r>
      <w:r w:rsidR="00EE4FC3">
        <w:t xml:space="preserve">  </w:t>
      </w:r>
      <w:r w:rsidR="009C713D" w:rsidRPr="00382917">
        <w:t>“</w:t>
      </w:r>
      <w:r w:rsidRPr="00382917">
        <w:t>What</w:t>
      </w:r>
      <w:r w:rsidR="00EE4FC3">
        <w:t xml:space="preserve"> </w:t>
      </w:r>
      <w:r w:rsidRPr="00382917">
        <w:t>hath</w:t>
      </w:r>
      <w:r w:rsidR="00EE4FC3">
        <w:t xml:space="preserve"> </w:t>
      </w:r>
      <w:r w:rsidRPr="00382917">
        <w:t>God</w:t>
      </w:r>
      <w:r w:rsidR="00EE4FC3">
        <w:t xml:space="preserve"> </w:t>
      </w:r>
      <w:r w:rsidRPr="00382917">
        <w:t>wrought?</w:t>
      </w:r>
      <w:r w:rsidR="009C713D" w:rsidRPr="00382917">
        <w:t>”</w:t>
      </w:r>
      <w:r w:rsidR="00411B04">
        <w:rPr>
          <w:rStyle w:val="FootnoteReference"/>
        </w:rPr>
        <w:footnoteReference w:id="290"/>
      </w:r>
    </w:p>
    <w:p w:rsidR="00F1111D" w:rsidRPr="00382917" w:rsidRDefault="00F1111D" w:rsidP="00244241">
      <w:pPr>
        <w:pStyle w:val="Text"/>
      </w:pPr>
      <w:r w:rsidRPr="00382917">
        <w:t>The</w:t>
      </w:r>
      <w:r w:rsidR="00EE4FC3">
        <w:t xml:space="preserve"> </w:t>
      </w:r>
      <w:r w:rsidRPr="00382917">
        <w:t>evening</w:t>
      </w:r>
      <w:r w:rsidR="00EE4FC3">
        <w:t xml:space="preserve"> </w:t>
      </w:r>
      <w:r w:rsidRPr="00382917">
        <w:t>before,</w:t>
      </w:r>
      <w:r w:rsidR="00EE4FC3">
        <w:t xml:space="preserve"> </w:t>
      </w:r>
      <w:r w:rsidR="00244241" w:rsidRPr="00382917">
        <w:t>23</w:t>
      </w:r>
      <w:r w:rsidR="00EE4FC3">
        <w:t xml:space="preserve"> </w:t>
      </w:r>
      <w:r w:rsidRPr="00382917">
        <w:t>May</w:t>
      </w:r>
      <w:r w:rsidR="00EE4FC3">
        <w:t xml:space="preserve"> </w:t>
      </w:r>
      <w:r w:rsidRPr="00382917">
        <w:t>1844</w:t>
      </w:r>
      <w:r w:rsidR="00EE4FC3">
        <w:t xml:space="preserve"> </w:t>
      </w:r>
      <w:r w:rsidRPr="00382917">
        <w:t>in</w:t>
      </w:r>
      <w:r w:rsidR="00EE4FC3">
        <w:t xml:space="preserve"> </w:t>
      </w:r>
      <w:r w:rsidR="008A073E" w:rsidRPr="00382917">
        <w:rPr>
          <w:u w:val="single"/>
        </w:rPr>
        <w:t>Sh</w:t>
      </w:r>
      <w:r w:rsidR="008A073E" w:rsidRPr="00382917">
        <w:t>íráz</w:t>
      </w:r>
      <w:r w:rsidRPr="00382917">
        <w:t>,</w:t>
      </w:r>
      <w:r w:rsidR="00EE4FC3">
        <w:t xml:space="preserve"> </w:t>
      </w:r>
      <w:r w:rsidRPr="00382917">
        <w:t>Persia,</w:t>
      </w:r>
      <w:r w:rsidR="00EE4FC3">
        <w:t xml:space="preserve"> </w:t>
      </w:r>
      <w:r w:rsidRPr="00382917">
        <w:t>the</w:t>
      </w:r>
      <w:r w:rsidR="00EE4FC3">
        <w:t xml:space="preserve"> </w:t>
      </w:r>
      <w:r w:rsidRPr="00382917">
        <w:t>Bahá</w:t>
      </w:r>
      <w:r w:rsidR="009C713D" w:rsidRPr="00382917">
        <w:t>’</w:t>
      </w:r>
      <w:r w:rsidRPr="00382917">
        <w:t>í</w:t>
      </w:r>
      <w:r w:rsidR="00EE4FC3">
        <w:t xml:space="preserve"> </w:t>
      </w:r>
      <w:r w:rsidRPr="00382917">
        <w:t>Faith</w:t>
      </w:r>
      <w:r w:rsidR="00EE4FC3">
        <w:t xml:space="preserve"> </w:t>
      </w:r>
      <w:r w:rsidRPr="00382917">
        <w:t>began</w:t>
      </w:r>
      <w:r w:rsidR="00552489">
        <w:t>.</w:t>
      </w:r>
      <w:r w:rsidR="00EE4FC3">
        <w:t xml:space="preserve">  </w:t>
      </w:r>
      <w:r w:rsidRPr="00382917">
        <w:t>The</w:t>
      </w:r>
      <w:r w:rsidR="00EE4FC3">
        <w:t xml:space="preserve"> </w:t>
      </w:r>
      <w:r w:rsidRPr="00382917">
        <w:t>Báb</w:t>
      </w:r>
      <w:r w:rsidR="00EE4FC3">
        <w:t xml:space="preserve"> </w:t>
      </w:r>
      <w:r w:rsidRPr="00382917">
        <w:t>proclaimed</w:t>
      </w:r>
      <w:r w:rsidR="00EE4FC3">
        <w:t xml:space="preserve"> </w:t>
      </w:r>
      <w:r w:rsidRPr="00382917">
        <w:t>Himself</w:t>
      </w:r>
      <w:r w:rsidR="00EE4FC3">
        <w:t xml:space="preserve"> </w:t>
      </w:r>
      <w:r w:rsidRPr="00382917">
        <w:t>to</w:t>
      </w:r>
      <w:r w:rsidR="00EE4FC3">
        <w:t xml:space="preserve"> </w:t>
      </w:r>
      <w:r w:rsidRPr="00382917">
        <w:t>Mullá</w:t>
      </w:r>
      <w:r w:rsidR="00EE4FC3">
        <w:t xml:space="preserve"> </w:t>
      </w:r>
      <w:r w:rsidR="00964C11" w:rsidRPr="00382917">
        <w:t>Ḥusayn</w:t>
      </w:r>
      <w:r w:rsidR="00EE4FC3">
        <w:t xml:space="preserve"> </w:t>
      </w:r>
      <w:r w:rsidRPr="00382917">
        <w:t>as</w:t>
      </w:r>
      <w:r w:rsidR="00EE4FC3">
        <w:t xml:space="preserve"> </w:t>
      </w:r>
      <w:r w:rsidRPr="00382917">
        <w:t>the</w:t>
      </w:r>
      <w:r w:rsidR="00EE4FC3">
        <w:t xml:space="preserve"> </w:t>
      </w:r>
      <w:r w:rsidRPr="00382917">
        <w:t>One</w:t>
      </w:r>
      <w:r w:rsidR="00EE4FC3">
        <w:t xml:space="preserve"> </w:t>
      </w:r>
      <w:r w:rsidRPr="00382917">
        <w:t>foretold</w:t>
      </w:r>
      <w:r w:rsidR="00EE4FC3">
        <w:t xml:space="preserve"> </w:t>
      </w:r>
      <w:r w:rsidRPr="00382917">
        <w:t>in</w:t>
      </w:r>
      <w:r w:rsidR="00EE4FC3">
        <w:t xml:space="preserve"> </w:t>
      </w:r>
      <w:r w:rsidRPr="00382917">
        <w:t>all</w:t>
      </w:r>
      <w:r w:rsidR="00EE4FC3">
        <w:t xml:space="preserve"> </w:t>
      </w:r>
      <w:r w:rsidRPr="00382917">
        <w:t>the</w:t>
      </w:r>
      <w:r w:rsidR="00EE4FC3">
        <w:t xml:space="preserve"> </w:t>
      </w:r>
      <w:r w:rsidRPr="00382917">
        <w:t>holy</w:t>
      </w:r>
      <w:r w:rsidR="00EE4FC3">
        <w:t xml:space="preserve"> </w:t>
      </w:r>
      <w:r w:rsidRPr="00382917">
        <w:t>Books</w:t>
      </w:r>
      <w:r w:rsidR="00EE4FC3">
        <w:t xml:space="preserve"> </w:t>
      </w:r>
      <w:r w:rsidRPr="00382917">
        <w:t>of</w:t>
      </w:r>
      <w:r w:rsidR="00EE4FC3">
        <w:t xml:space="preserve"> </w:t>
      </w:r>
      <w:r w:rsidRPr="00382917">
        <w:t>the</w:t>
      </w:r>
      <w:r w:rsidR="00EE4FC3">
        <w:t xml:space="preserve"> </w:t>
      </w:r>
      <w:r w:rsidRPr="00382917">
        <w:t>past</w:t>
      </w:r>
      <w:r w:rsidR="00552489">
        <w:t>.</w:t>
      </w:r>
      <w:r w:rsidR="00EE4FC3">
        <w:t xml:space="preserve">  </w:t>
      </w:r>
      <w:r w:rsidRPr="00382917">
        <w:t>This</w:t>
      </w:r>
      <w:r w:rsidR="00EE4FC3">
        <w:t xml:space="preserve"> </w:t>
      </w:r>
      <w:r w:rsidRPr="00382917">
        <w:t>day,</w:t>
      </w:r>
      <w:r w:rsidR="00EE4FC3">
        <w:t xml:space="preserve"> </w:t>
      </w:r>
      <w:r w:rsidRPr="00382917">
        <w:t>He</w:t>
      </w:r>
      <w:r w:rsidR="00EE4FC3">
        <w:t xml:space="preserve"> </w:t>
      </w:r>
      <w:r w:rsidRPr="00382917">
        <w:t>said,</w:t>
      </w:r>
      <w:r w:rsidR="00EE4FC3">
        <w:t xml:space="preserve"> </w:t>
      </w:r>
      <w:r w:rsidRPr="00382917">
        <w:t>was</w:t>
      </w:r>
      <w:r w:rsidR="00EE4FC3">
        <w:t xml:space="preserve"> </w:t>
      </w:r>
      <w:r w:rsidRPr="00382917">
        <w:t>the</w:t>
      </w:r>
      <w:r w:rsidR="00EE4FC3">
        <w:t xml:space="preserve"> </w:t>
      </w:r>
      <w:r w:rsidRPr="00382917">
        <w:t>beginning</w:t>
      </w:r>
      <w:r w:rsidR="00EE4FC3">
        <w:t xml:space="preserve"> </w:t>
      </w:r>
      <w:r w:rsidRPr="00382917">
        <w:t>of</w:t>
      </w:r>
      <w:r w:rsidR="00EE4FC3">
        <w:t xml:space="preserve"> </w:t>
      </w:r>
      <w:r w:rsidRPr="00382917">
        <w:t>the</w:t>
      </w:r>
      <w:r w:rsidR="00EE4FC3">
        <w:t xml:space="preserve"> </w:t>
      </w:r>
      <w:proofErr w:type="spellStart"/>
      <w:r w:rsidRPr="00382917">
        <w:t>fulfillment</w:t>
      </w:r>
      <w:proofErr w:type="spellEnd"/>
      <w:r w:rsidR="00EE4FC3">
        <w:t xml:space="preserve"> </w:t>
      </w:r>
      <w:r w:rsidRPr="00382917">
        <w:t>of</w:t>
      </w:r>
      <w:r w:rsidR="00EE4FC3">
        <w:t xml:space="preserve"> </w:t>
      </w:r>
      <w:r w:rsidRPr="00382917">
        <w:t>all</w:t>
      </w:r>
      <w:r w:rsidR="00EE4FC3">
        <w:t xml:space="preserve"> </w:t>
      </w:r>
      <w:r w:rsidRPr="00382917">
        <w:t>the</w:t>
      </w:r>
      <w:r w:rsidR="00EE4FC3">
        <w:t xml:space="preserve"> </w:t>
      </w:r>
      <w:proofErr w:type="gramStart"/>
      <w:r w:rsidRPr="00382917">
        <w:t>holy</w:t>
      </w:r>
      <w:proofErr w:type="gramEnd"/>
      <w:r w:rsidR="00EE4FC3">
        <w:t xml:space="preserve"> </w:t>
      </w:r>
      <w:r w:rsidRPr="00382917">
        <w:t>Scriptures.</w:t>
      </w:r>
    </w:p>
    <w:p w:rsidR="00F1111D" w:rsidRPr="00382917" w:rsidRDefault="00F1111D" w:rsidP="00244241">
      <w:pPr>
        <w:pStyle w:val="Text"/>
      </w:pPr>
      <w:r w:rsidRPr="00382917">
        <w:t>The</w:t>
      </w:r>
      <w:r w:rsidR="00EE4FC3">
        <w:t xml:space="preserve"> </w:t>
      </w:r>
      <w:r w:rsidRPr="00382917">
        <w:t>Báb</w:t>
      </w:r>
      <w:r w:rsidR="00EE4FC3">
        <w:t xml:space="preserve"> </w:t>
      </w:r>
      <w:r w:rsidRPr="00382917">
        <w:t>arose</w:t>
      </w:r>
      <w:r w:rsidR="00EE4FC3">
        <w:t xml:space="preserve"> </w:t>
      </w:r>
      <w:r w:rsidRPr="00382917">
        <w:t>in</w:t>
      </w:r>
      <w:r w:rsidR="00EE4FC3">
        <w:t xml:space="preserve"> </w:t>
      </w:r>
      <w:r w:rsidRPr="00382917">
        <w:t>a</w:t>
      </w:r>
      <w:r w:rsidR="00EE4FC3">
        <w:t xml:space="preserve"> </w:t>
      </w:r>
      <w:r w:rsidRPr="00382917">
        <w:t>Muslim</w:t>
      </w:r>
      <w:r w:rsidR="00EE4FC3">
        <w:t xml:space="preserve"> </w:t>
      </w:r>
      <w:r w:rsidRPr="00382917">
        <w:t>country,</w:t>
      </w:r>
      <w:r w:rsidR="00EE4FC3">
        <w:t xml:space="preserve"> </w:t>
      </w:r>
      <w:r w:rsidRPr="00382917">
        <w:t>whose</w:t>
      </w:r>
      <w:r w:rsidR="00EE4FC3">
        <w:t xml:space="preserve"> </w:t>
      </w:r>
      <w:r w:rsidRPr="00382917">
        <w:t>people</w:t>
      </w:r>
      <w:r w:rsidR="00EE4FC3">
        <w:t xml:space="preserve"> </w:t>
      </w:r>
      <w:r w:rsidRPr="00382917">
        <w:t>in</w:t>
      </w:r>
      <w:r w:rsidR="00EE4FC3">
        <w:t xml:space="preserve"> </w:t>
      </w:r>
      <w:r w:rsidRPr="00382917">
        <w:t>their</w:t>
      </w:r>
      <w:r w:rsidR="00EE4FC3">
        <w:t xml:space="preserve"> </w:t>
      </w:r>
      <w:r w:rsidRPr="00382917">
        <w:t>holy</w:t>
      </w:r>
      <w:r w:rsidR="00EE4FC3">
        <w:t xml:space="preserve"> </w:t>
      </w:r>
      <w:r w:rsidRPr="00382917">
        <w:t>writings</w:t>
      </w:r>
      <w:r w:rsidR="00EE4FC3">
        <w:t xml:space="preserve"> </w:t>
      </w:r>
      <w:r w:rsidRPr="00382917">
        <w:t>had</w:t>
      </w:r>
      <w:r w:rsidR="00EE4FC3">
        <w:t xml:space="preserve"> </w:t>
      </w:r>
      <w:r w:rsidRPr="00382917">
        <w:t>the</w:t>
      </w:r>
      <w:r w:rsidR="00EE4FC3">
        <w:t xml:space="preserve"> </w:t>
      </w:r>
      <w:r w:rsidRPr="00382917">
        <w:t>unmistakable</w:t>
      </w:r>
      <w:r w:rsidR="00EE4FC3">
        <w:t xml:space="preserve"> </w:t>
      </w:r>
      <w:r w:rsidRPr="00382917">
        <w:t>prophecy</w:t>
      </w:r>
      <w:r w:rsidR="00EE4FC3">
        <w:t xml:space="preserve"> </w:t>
      </w:r>
      <w:r w:rsidRPr="00382917">
        <w:t>which</w:t>
      </w:r>
      <w:r w:rsidR="00EE4FC3">
        <w:t xml:space="preserve"> </w:t>
      </w:r>
      <w:r w:rsidRPr="00382917">
        <w:t>said</w:t>
      </w:r>
      <w:r w:rsidR="00EE4FC3">
        <w:t xml:space="preserve"> </w:t>
      </w:r>
      <w:r w:rsidRPr="00382917">
        <w:t>that</w:t>
      </w:r>
      <w:r w:rsidR="00EE4FC3">
        <w:t xml:space="preserve"> </w:t>
      </w:r>
      <w:r w:rsidRPr="00382917">
        <w:t>the</w:t>
      </w:r>
      <w:r w:rsidR="00EE4FC3">
        <w:t xml:space="preserve"> </w:t>
      </w:r>
      <w:r w:rsidRPr="00382917">
        <w:t>Messenger</w:t>
      </w:r>
      <w:r w:rsidR="00EE4FC3">
        <w:t xml:space="preserve"> </w:t>
      </w:r>
      <w:r w:rsidRPr="00382917">
        <w:t>of</w:t>
      </w:r>
      <w:r w:rsidR="00EE4FC3">
        <w:t xml:space="preserve"> </w:t>
      </w:r>
      <w:r w:rsidRPr="00382917">
        <w:t>God</w:t>
      </w:r>
      <w:r w:rsidR="00EE4FC3">
        <w:t xml:space="preserve"> </w:t>
      </w:r>
      <w:r w:rsidRPr="00382917">
        <w:t>would</w:t>
      </w:r>
      <w:r w:rsidR="00EE4FC3">
        <w:t xml:space="preserve"> </w:t>
      </w:r>
      <w:r w:rsidRPr="00382917">
        <w:t>come</w:t>
      </w:r>
      <w:r w:rsidR="00EE4FC3">
        <w:t xml:space="preserve"> </w:t>
      </w:r>
      <w:r w:rsidRPr="00382917">
        <w:t>when</w:t>
      </w:r>
      <w:r w:rsidR="00EE4FC3">
        <w:t xml:space="preserve"> </w:t>
      </w:r>
      <w:r w:rsidRPr="00382917">
        <w:t>by</w:t>
      </w:r>
      <w:r w:rsidR="00EE4FC3">
        <w:t xml:space="preserve"> </w:t>
      </w:r>
      <w:r w:rsidR="009C713D" w:rsidRPr="00382917">
        <w:t>“</w:t>
      </w:r>
      <w:r w:rsidRPr="00382917">
        <w:t>beating</w:t>
      </w:r>
      <w:r w:rsidR="00EE4FC3">
        <w:t xml:space="preserve"> </w:t>
      </w:r>
      <w:r w:rsidRPr="00382917">
        <w:t>the</w:t>
      </w:r>
      <w:r w:rsidR="00EE4FC3">
        <w:t xml:space="preserve"> </w:t>
      </w:r>
      <w:r w:rsidRPr="00382917">
        <w:t>iron</w:t>
      </w:r>
      <w:r w:rsidR="00EE4FC3">
        <w:t xml:space="preserve"> </w:t>
      </w:r>
      <w:r w:rsidRPr="00382917">
        <w:t>upon</w:t>
      </w:r>
      <w:r w:rsidR="00EE4FC3">
        <w:t xml:space="preserve"> </w:t>
      </w:r>
      <w:r w:rsidRPr="00382917">
        <w:t>the</w:t>
      </w:r>
      <w:r w:rsidR="00EE4FC3">
        <w:t xml:space="preserve"> </w:t>
      </w:r>
      <w:r w:rsidRPr="00382917">
        <w:t>iron,</w:t>
      </w:r>
      <w:r w:rsidR="00EE4FC3">
        <w:t xml:space="preserve"> </w:t>
      </w:r>
      <w:r w:rsidRPr="00382917">
        <w:t>you</w:t>
      </w:r>
      <w:r w:rsidR="00EE4FC3">
        <w:t xml:space="preserve"> </w:t>
      </w:r>
      <w:r w:rsidRPr="00382917">
        <w:t>will</w:t>
      </w:r>
      <w:r w:rsidR="00EE4FC3">
        <w:t xml:space="preserve"> </w:t>
      </w:r>
      <w:r w:rsidRPr="00382917">
        <w:t>hear</w:t>
      </w:r>
      <w:r w:rsidR="00EE4FC3">
        <w:t xml:space="preserve"> </w:t>
      </w:r>
      <w:r w:rsidRPr="00382917">
        <w:t>the</w:t>
      </w:r>
      <w:r w:rsidR="00EE4FC3">
        <w:t xml:space="preserve"> </w:t>
      </w:r>
      <w:r w:rsidRPr="00382917">
        <w:t>news</w:t>
      </w:r>
      <w:r w:rsidR="00EE4FC3">
        <w:t xml:space="preserve"> </w:t>
      </w:r>
      <w:r w:rsidRPr="00382917">
        <w:t>from</w:t>
      </w:r>
      <w:r w:rsidR="00EE4FC3">
        <w:t xml:space="preserve"> </w:t>
      </w:r>
      <w:r w:rsidRPr="00382917">
        <w:t>a</w:t>
      </w:r>
      <w:r w:rsidR="00EE4FC3">
        <w:t xml:space="preserve"> </w:t>
      </w:r>
      <w:r w:rsidRPr="00382917">
        <w:t>far</w:t>
      </w:r>
      <w:r w:rsidR="00EE4FC3">
        <w:t xml:space="preserve"> </w:t>
      </w:r>
      <w:r w:rsidRPr="00382917">
        <w:t>distance.</w:t>
      </w:r>
      <w:r w:rsidR="009C713D" w:rsidRPr="00382917">
        <w:t>”</w:t>
      </w:r>
    </w:p>
    <w:p w:rsidR="00F1111D" w:rsidRPr="00382917" w:rsidRDefault="00F1111D" w:rsidP="007949AC">
      <w:pPr>
        <w:pStyle w:val="Text"/>
      </w:pPr>
      <w:r w:rsidRPr="00382917">
        <w:t>The</w:t>
      </w:r>
      <w:r w:rsidR="00EE4FC3">
        <w:t xml:space="preserve"> </w:t>
      </w:r>
      <w:r w:rsidRPr="00382917">
        <w:t>Báb</w:t>
      </w:r>
      <w:r w:rsidR="00EE4FC3">
        <w:t xml:space="preserve"> </w:t>
      </w:r>
      <w:r w:rsidRPr="00382917">
        <w:t>was</w:t>
      </w:r>
      <w:r w:rsidR="00EE4FC3">
        <w:t xml:space="preserve"> </w:t>
      </w:r>
      <w:r w:rsidRPr="00382917">
        <w:t>a</w:t>
      </w:r>
      <w:r w:rsidR="00EE4FC3">
        <w:t xml:space="preserve"> </w:t>
      </w:r>
      <w:r w:rsidRPr="00382917">
        <w:t>descendant</w:t>
      </w:r>
      <w:r w:rsidR="00EE4FC3">
        <w:t xml:space="preserve"> </w:t>
      </w:r>
      <w:r w:rsidRPr="00382917">
        <w:t>of</w:t>
      </w:r>
      <w:r w:rsidR="00EE4FC3">
        <w:t xml:space="preserve"> </w:t>
      </w:r>
      <w:r w:rsidRPr="00382917">
        <w:t>Abraham</w:t>
      </w:r>
      <w:r w:rsidR="00552489">
        <w:t>.</w:t>
      </w:r>
      <w:r w:rsidR="00EE4FC3">
        <w:t xml:space="preserve">  </w:t>
      </w:r>
      <w:r w:rsidRPr="00382917">
        <w:t>He</w:t>
      </w:r>
      <w:r w:rsidR="00EE4FC3">
        <w:t xml:space="preserve"> </w:t>
      </w:r>
      <w:r w:rsidRPr="00382917">
        <w:t>was</w:t>
      </w:r>
      <w:r w:rsidR="00EE4FC3">
        <w:t xml:space="preserve"> </w:t>
      </w:r>
      <w:r w:rsidRPr="00382917">
        <w:t>of</w:t>
      </w:r>
      <w:r w:rsidR="00EE4FC3">
        <w:t xml:space="preserve"> </w:t>
      </w:r>
      <w:r w:rsidRPr="00382917">
        <w:t>the</w:t>
      </w:r>
      <w:r w:rsidR="00EE4FC3">
        <w:t xml:space="preserve"> </w:t>
      </w:r>
      <w:r w:rsidR="009C713D" w:rsidRPr="00382917">
        <w:t>“</w:t>
      </w:r>
      <w:r w:rsidRPr="00382917">
        <w:t>seed</w:t>
      </w:r>
      <w:r w:rsidR="009C713D" w:rsidRPr="00382917">
        <w:t>”</w:t>
      </w:r>
      <w:r w:rsidR="00EE4FC3">
        <w:t xml:space="preserve"> </w:t>
      </w:r>
      <w:r w:rsidRPr="00382917">
        <w:t>which</w:t>
      </w:r>
      <w:r w:rsidR="00EE4FC3">
        <w:t xml:space="preserve"> </w:t>
      </w:r>
      <w:r w:rsidRPr="00382917">
        <w:t>would</w:t>
      </w:r>
      <w:r w:rsidR="00EE4FC3">
        <w:t xml:space="preserve"> </w:t>
      </w:r>
      <w:r w:rsidR="009C713D" w:rsidRPr="00382917">
        <w:t>“</w:t>
      </w:r>
      <w:r w:rsidRPr="00382917">
        <w:t>inherit</w:t>
      </w:r>
      <w:r w:rsidR="00EE4FC3">
        <w:t xml:space="preserve"> </w:t>
      </w:r>
      <w:r w:rsidRPr="00382917">
        <w:t>the</w:t>
      </w:r>
      <w:r w:rsidR="00EE4FC3">
        <w:t xml:space="preserve"> </w:t>
      </w:r>
      <w:r w:rsidRPr="00382917">
        <w:t>earth</w:t>
      </w:r>
      <w:r w:rsidR="009C713D" w:rsidRPr="00382917">
        <w:t>”</w:t>
      </w:r>
      <w:r w:rsidR="007949AC">
        <w:t xml:space="preserve">. </w:t>
      </w:r>
      <w:r w:rsidR="00EE4FC3">
        <w:t xml:space="preserve"> </w:t>
      </w:r>
      <w:r w:rsidRPr="00382917">
        <w:t>The</w:t>
      </w:r>
      <w:r w:rsidR="00EE4FC3">
        <w:t xml:space="preserve"> </w:t>
      </w:r>
      <w:r w:rsidRPr="00382917">
        <w:t>message</w:t>
      </w:r>
      <w:r w:rsidR="00EE4FC3">
        <w:t xml:space="preserve"> </w:t>
      </w:r>
      <w:r w:rsidRPr="00382917">
        <w:t>of</w:t>
      </w:r>
      <w:r w:rsidR="00EE4FC3">
        <w:t xml:space="preserve"> </w:t>
      </w:r>
      <w:r w:rsidRPr="00382917">
        <w:t>Morse</w:t>
      </w:r>
      <w:r w:rsidR="00EE4FC3">
        <w:t xml:space="preserve"> </w:t>
      </w:r>
      <w:r w:rsidRPr="00382917">
        <w:t>had</w:t>
      </w:r>
      <w:r w:rsidR="00EE4FC3">
        <w:t xml:space="preserve"> </w:t>
      </w:r>
      <w:r w:rsidRPr="00382917">
        <w:t>quoted</w:t>
      </w:r>
      <w:r w:rsidR="00EE4FC3">
        <w:t xml:space="preserve"> </w:t>
      </w:r>
      <w:r w:rsidRPr="00382917">
        <w:t>only</w:t>
      </w:r>
      <w:r w:rsidR="00EE4FC3">
        <w:t xml:space="preserve"> </w:t>
      </w:r>
      <w:r w:rsidRPr="00382917">
        <w:t>a</w:t>
      </w:r>
      <w:r w:rsidR="00EE4FC3">
        <w:t xml:space="preserve"> </w:t>
      </w:r>
      <w:r w:rsidRPr="00382917">
        <w:t>part</w:t>
      </w:r>
      <w:r w:rsidR="00EE4FC3">
        <w:t xml:space="preserve"> </w:t>
      </w:r>
      <w:r w:rsidRPr="00382917">
        <w:t>of</w:t>
      </w:r>
      <w:r w:rsidR="00EE4FC3">
        <w:t xml:space="preserve"> </w:t>
      </w:r>
      <w:r w:rsidRPr="00382917">
        <w:t>the</w:t>
      </w:r>
      <w:r w:rsidR="00EE4FC3">
        <w:t xml:space="preserve"> </w:t>
      </w:r>
      <w:r w:rsidRPr="00382917">
        <w:t>verse</w:t>
      </w:r>
      <w:r w:rsidR="00EE4FC3">
        <w:t xml:space="preserve"> </w:t>
      </w:r>
      <w:r w:rsidRPr="00382917">
        <w:t>from</w:t>
      </w:r>
      <w:r w:rsidR="00EE4FC3">
        <w:t xml:space="preserve"> </w:t>
      </w:r>
      <w:r w:rsidRPr="00382917">
        <w:t>Numbers</w:t>
      </w:r>
      <w:r w:rsidR="00552489">
        <w:t>.</w:t>
      </w:r>
      <w:r w:rsidR="00EE4FC3">
        <w:t xml:space="preserve">  </w:t>
      </w:r>
      <w:r w:rsidRPr="00382917">
        <w:t>The</w:t>
      </w:r>
      <w:r w:rsidR="00EE4FC3">
        <w:t xml:space="preserve"> </w:t>
      </w:r>
      <w:r w:rsidRPr="00382917">
        <w:t>full</w:t>
      </w:r>
      <w:r w:rsidR="00EE4FC3">
        <w:t xml:space="preserve"> </w:t>
      </w:r>
      <w:r w:rsidRPr="00382917">
        <w:t>verse</w:t>
      </w:r>
      <w:r w:rsidR="00EE4FC3">
        <w:t xml:space="preserve"> </w:t>
      </w:r>
      <w:r w:rsidRPr="00382917">
        <w:t>is</w:t>
      </w:r>
      <w:r w:rsidR="00C03C91">
        <w:t>:</w:t>
      </w:r>
      <w:r w:rsidR="00EE4FC3">
        <w:t xml:space="preserve">  </w:t>
      </w:r>
      <w:r w:rsidR="009C713D" w:rsidRPr="00382917">
        <w:t>“</w:t>
      </w:r>
      <w:r w:rsidRPr="00382917">
        <w:t>According</w:t>
      </w:r>
      <w:r w:rsidR="00EE4FC3">
        <w:t xml:space="preserve"> </w:t>
      </w:r>
      <w:r w:rsidRPr="00382917">
        <w:t>to</w:t>
      </w:r>
      <w:r w:rsidR="00EE4FC3">
        <w:t xml:space="preserve"> </w:t>
      </w:r>
      <w:r w:rsidRPr="00382917">
        <w:t>this</w:t>
      </w:r>
      <w:r w:rsidR="00EE4FC3">
        <w:t xml:space="preserve"> </w:t>
      </w:r>
      <w:r w:rsidRPr="00382917">
        <w:t>time</w:t>
      </w:r>
      <w:r w:rsidR="00EE4FC3">
        <w:t xml:space="preserve"> </w:t>
      </w:r>
      <w:r w:rsidRPr="00382917">
        <w:t>it</w:t>
      </w:r>
      <w:r w:rsidR="00EE4FC3">
        <w:t xml:space="preserve"> </w:t>
      </w:r>
      <w:r w:rsidRPr="00382917">
        <w:t>shall</w:t>
      </w:r>
      <w:r w:rsidR="00EE4FC3">
        <w:t xml:space="preserve"> </w:t>
      </w:r>
      <w:r w:rsidRPr="00382917">
        <w:t>be</w:t>
      </w:r>
      <w:r w:rsidR="00EE4FC3">
        <w:t xml:space="preserve"> </w:t>
      </w:r>
      <w:r w:rsidRPr="00382917">
        <w:t>said</w:t>
      </w:r>
      <w:r w:rsidR="00EE4FC3">
        <w:t xml:space="preserve"> </w:t>
      </w:r>
      <w:r w:rsidRPr="00382917">
        <w:t>of</w:t>
      </w:r>
      <w:r w:rsidR="00EE4FC3">
        <w:t xml:space="preserve"> </w:t>
      </w:r>
      <w:r w:rsidRPr="00382917">
        <w:t>Jacob</w:t>
      </w:r>
      <w:r w:rsidR="00EE4FC3">
        <w:t xml:space="preserve"> </w:t>
      </w:r>
      <w:r w:rsidRPr="00382917">
        <w:t>and</w:t>
      </w:r>
      <w:r w:rsidR="00EE4FC3">
        <w:t xml:space="preserve"> </w:t>
      </w:r>
      <w:r w:rsidRPr="00382917">
        <w:t>of</w:t>
      </w:r>
      <w:r w:rsidR="00EE4FC3">
        <w:t xml:space="preserve"> </w:t>
      </w:r>
      <w:r w:rsidRPr="00382917">
        <w:t>Israel</w:t>
      </w:r>
      <w:r w:rsidR="00EE4FC3">
        <w:t xml:space="preserve"> </w:t>
      </w:r>
      <w:r w:rsidRPr="00382917">
        <w:rPr>
          <w:i/>
          <w:iCs/>
        </w:rPr>
        <w:t>what</w:t>
      </w:r>
      <w:r w:rsidR="00EE4FC3">
        <w:rPr>
          <w:i/>
          <w:iCs/>
        </w:rPr>
        <w:t xml:space="preserve"> </w:t>
      </w:r>
      <w:r w:rsidRPr="00382917">
        <w:rPr>
          <w:i/>
          <w:iCs/>
        </w:rPr>
        <w:t>hath</w:t>
      </w:r>
      <w:r w:rsidR="00EE4FC3">
        <w:rPr>
          <w:i/>
          <w:iCs/>
        </w:rPr>
        <w:t xml:space="preserve"> </w:t>
      </w:r>
      <w:r w:rsidRPr="00382917">
        <w:rPr>
          <w:i/>
          <w:iCs/>
        </w:rPr>
        <w:t>God</w:t>
      </w:r>
      <w:r w:rsidR="00EE4FC3">
        <w:rPr>
          <w:i/>
          <w:iCs/>
        </w:rPr>
        <w:t xml:space="preserve"> </w:t>
      </w:r>
      <w:r w:rsidRPr="00382917">
        <w:rPr>
          <w:i/>
          <w:iCs/>
        </w:rPr>
        <w:t>wrought?</w:t>
      </w:r>
      <w:r w:rsidR="009C713D" w:rsidRPr="00382917">
        <w:t>”</w:t>
      </w:r>
    </w:p>
    <w:p w:rsidR="00F1111D" w:rsidRPr="00382917" w:rsidRDefault="00F1111D" w:rsidP="00F825CC">
      <w:pPr>
        <w:pStyle w:val="Text"/>
      </w:pPr>
      <w:r w:rsidRPr="00382917">
        <w:t>Why</w:t>
      </w:r>
      <w:r w:rsidR="00EE4FC3">
        <w:t xml:space="preserve"> </w:t>
      </w:r>
      <w:r w:rsidRPr="00382917">
        <w:t>did</w:t>
      </w:r>
      <w:r w:rsidR="00EE4FC3">
        <w:t xml:space="preserve"> </w:t>
      </w:r>
      <w:r w:rsidRPr="00382917">
        <w:t>so</w:t>
      </w:r>
      <w:r w:rsidR="00EE4FC3">
        <w:t xml:space="preserve"> </w:t>
      </w:r>
      <w:r w:rsidRPr="00382917">
        <w:t>many</w:t>
      </w:r>
      <w:r w:rsidR="00EE4FC3">
        <w:t xml:space="preserve"> </w:t>
      </w:r>
      <w:r w:rsidRPr="00382917">
        <w:t>Bible</w:t>
      </w:r>
      <w:r w:rsidR="00EE4FC3">
        <w:t xml:space="preserve"> </w:t>
      </w:r>
      <w:r w:rsidRPr="00382917">
        <w:t>scholars</w:t>
      </w:r>
      <w:r w:rsidR="00EE4FC3">
        <w:t xml:space="preserve"> </w:t>
      </w:r>
      <w:r w:rsidRPr="00382917">
        <w:t>from</w:t>
      </w:r>
      <w:r w:rsidR="00EE4FC3">
        <w:t xml:space="preserve"> </w:t>
      </w:r>
      <w:r w:rsidRPr="00382917">
        <w:t>all</w:t>
      </w:r>
      <w:r w:rsidR="00EE4FC3">
        <w:t xml:space="preserve"> </w:t>
      </w:r>
      <w:r w:rsidRPr="00382917">
        <w:t>parts</w:t>
      </w:r>
      <w:r w:rsidR="00EE4FC3">
        <w:t xml:space="preserve"> </w:t>
      </w:r>
      <w:r w:rsidRPr="00382917">
        <w:t>of</w:t>
      </w:r>
      <w:r w:rsidR="00EE4FC3">
        <w:t xml:space="preserve"> </w:t>
      </w:r>
      <w:r w:rsidRPr="00382917">
        <w:t>the</w:t>
      </w:r>
      <w:r w:rsidR="00EE4FC3">
        <w:t xml:space="preserve"> </w:t>
      </w:r>
      <w:r w:rsidRPr="00382917">
        <w:t>world</w:t>
      </w:r>
      <w:r w:rsidR="00EE4FC3">
        <w:t xml:space="preserve"> </w:t>
      </w:r>
      <w:r w:rsidRPr="00382917">
        <w:t>agree</w:t>
      </w:r>
      <w:r w:rsidR="00EE4FC3">
        <w:t xml:space="preserve"> </w:t>
      </w:r>
      <w:r w:rsidRPr="00382917">
        <w:t>upon</w:t>
      </w:r>
      <w:r w:rsidR="00EE4FC3">
        <w:t xml:space="preserve"> </w:t>
      </w:r>
      <w:r w:rsidRPr="00382917">
        <w:t>the</w:t>
      </w:r>
      <w:r w:rsidR="00EE4FC3">
        <w:t xml:space="preserve"> </w:t>
      </w:r>
      <w:r w:rsidRPr="00382917">
        <w:t>years</w:t>
      </w:r>
      <w:r w:rsidR="00EE4FC3">
        <w:t xml:space="preserve"> </w:t>
      </w:r>
      <w:proofErr w:type="gramStart"/>
      <w:r w:rsidRPr="00382917">
        <w:t>between</w:t>
      </w:r>
      <w:r w:rsidR="00EE4FC3">
        <w:t xml:space="preserve"> </w:t>
      </w:r>
      <w:r w:rsidRPr="00382917">
        <w:t>1843</w:t>
      </w:r>
      <w:r w:rsidR="00F825CC">
        <w:t>–</w:t>
      </w:r>
      <w:r w:rsidRPr="00382917">
        <w:t>1845</w:t>
      </w:r>
      <w:r w:rsidR="00EE4FC3">
        <w:t xml:space="preserve"> </w:t>
      </w:r>
      <w:r w:rsidRPr="00382917">
        <w:t>as</w:t>
      </w:r>
      <w:r w:rsidR="00EE4FC3">
        <w:t xml:space="preserve"> </w:t>
      </w:r>
      <w:r w:rsidRPr="00382917">
        <w:t>the</w:t>
      </w:r>
      <w:r w:rsidR="00EE4FC3">
        <w:t xml:space="preserve"> </w:t>
      </w:r>
      <w:r w:rsidRPr="00382917">
        <w:t>time</w:t>
      </w:r>
      <w:r w:rsidR="00EE4FC3">
        <w:t xml:space="preserve"> </w:t>
      </w:r>
      <w:r w:rsidRPr="00382917">
        <w:t>for</w:t>
      </w:r>
      <w:r w:rsidR="00EE4FC3">
        <w:t xml:space="preserve"> </w:t>
      </w:r>
      <w:r w:rsidRPr="00382917">
        <w:t>the</w:t>
      </w:r>
      <w:r w:rsidR="00EE4FC3">
        <w:t xml:space="preserve"> </w:t>
      </w:r>
      <w:r w:rsidRPr="00382917">
        <w:t>return</w:t>
      </w:r>
      <w:r w:rsidR="00EE4FC3">
        <w:t xml:space="preserve"> </w:t>
      </w:r>
      <w:r w:rsidRPr="00382917">
        <w:t>of</w:t>
      </w:r>
      <w:r w:rsidR="00EE4FC3">
        <w:t xml:space="preserve"> </w:t>
      </w:r>
      <w:r w:rsidRPr="00382917">
        <w:t>Christ</w:t>
      </w:r>
      <w:proofErr w:type="gramEnd"/>
      <w:r w:rsidR="003C712C">
        <w:t xml:space="preserve">?  </w:t>
      </w:r>
      <w:r w:rsidRPr="00382917">
        <w:t>Careful</w:t>
      </w:r>
      <w:r w:rsidR="00EE4FC3">
        <w:t xml:space="preserve"> </w:t>
      </w:r>
      <w:r w:rsidRPr="00382917">
        <w:t>research</w:t>
      </w:r>
      <w:r w:rsidR="00EE4FC3">
        <w:t xml:space="preserve"> </w:t>
      </w:r>
      <w:r w:rsidRPr="00382917">
        <w:t>makes</w:t>
      </w:r>
      <w:r w:rsidR="00EE4FC3">
        <w:t xml:space="preserve"> </w:t>
      </w:r>
      <w:r w:rsidRPr="00382917">
        <w:t>it</w:t>
      </w:r>
      <w:r w:rsidR="00EE4FC3">
        <w:t xml:space="preserve"> </w:t>
      </w:r>
      <w:r w:rsidRPr="00382917">
        <w:t>clear</w:t>
      </w:r>
      <w:r w:rsidR="00EE4FC3">
        <w:t xml:space="preserve"> </w:t>
      </w:r>
      <w:r w:rsidRPr="00382917">
        <w:t>that</w:t>
      </w:r>
      <w:r w:rsidR="00EE4FC3">
        <w:t xml:space="preserve"> </w:t>
      </w:r>
      <w:r w:rsidRPr="00382917">
        <w:t>they</w:t>
      </w:r>
      <w:r w:rsidR="00EE4FC3">
        <w:t xml:space="preserve"> </w:t>
      </w:r>
      <w:r w:rsidRPr="00382917">
        <w:t>chose</w:t>
      </w:r>
      <w:r w:rsidR="00EE4FC3">
        <w:t xml:space="preserve"> </w:t>
      </w:r>
      <w:r w:rsidRPr="00382917">
        <w:t>this</w:t>
      </w:r>
      <w:r w:rsidR="00EE4FC3">
        <w:t xml:space="preserve"> </w:t>
      </w:r>
      <w:r w:rsidRPr="00382917">
        <w:t>time</w:t>
      </w:r>
      <w:r w:rsidR="00EE4FC3">
        <w:t xml:space="preserve"> </w:t>
      </w:r>
      <w:r w:rsidRPr="00382917">
        <w:t>in</w:t>
      </w:r>
      <w:r w:rsidR="00EE4FC3">
        <w:t xml:space="preserve"> </w:t>
      </w:r>
      <w:r w:rsidRPr="00382917">
        <w:t>history</w:t>
      </w:r>
      <w:r w:rsidR="00EE4FC3">
        <w:t xml:space="preserve"> </w:t>
      </w:r>
      <w:r w:rsidRPr="00382917">
        <w:t>because</w:t>
      </w:r>
      <w:r w:rsidR="00EE4FC3">
        <w:t xml:space="preserve"> </w:t>
      </w:r>
      <w:r w:rsidRPr="00382917">
        <w:t>of</w:t>
      </w:r>
      <w:r w:rsidR="00EE4FC3">
        <w:t xml:space="preserve"> </w:t>
      </w:r>
      <w:r w:rsidRPr="00382917">
        <w:t>three</w:t>
      </w:r>
      <w:r w:rsidR="00EE4FC3">
        <w:t xml:space="preserve"> </w:t>
      </w:r>
      <w:r w:rsidRPr="00382917">
        <w:t>very</w:t>
      </w:r>
      <w:r w:rsidR="00EE4FC3">
        <w:t xml:space="preserve"> </w:t>
      </w:r>
      <w:r w:rsidRPr="00382917">
        <w:t>plain</w:t>
      </w:r>
      <w:r w:rsidR="00EE4FC3">
        <w:t xml:space="preserve"> </w:t>
      </w:r>
      <w:r w:rsidRPr="00382917">
        <w:t>and</w:t>
      </w:r>
      <w:r w:rsidR="00EE4FC3">
        <w:t xml:space="preserve"> </w:t>
      </w:r>
      <w:r w:rsidRPr="00382917">
        <w:t>specific</w:t>
      </w:r>
      <w:r w:rsidR="00EE4FC3">
        <w:t xml:space="preserve"> </w:t>
      </w:r>
      <w:r w:rsidRPr="00382917">
        <w:t>promises</w:t>
      </w:r>
      <w:r w:rsidR="00EE4FC3">
        <w:t xml:space="preserve"> </w:t>
      </w:r>
      <w:r w:rsidRPr="00382917">
        <w:t>given</w:t>
      </w:r>
      <w:r w:rsidR="00EE4FC3">
        <w:t xml:space="preserve"> </w:t>
      </w:r>
      <w:r w:rsidRPr="00382917">
        <w:t>by</w:t>
      </w:r>
      <w:r w:rsidR="00EE4FC3">
        <w:t xml:space="preserve"> </w:t>
      </w:r>
      <w:r w:rsidRPr="00382917">
        <w:t>Christ</w:t>
      </w:r>
      <w:r w:rsidR="00EE4FC3">
        <w:t xml:space="preserve"> </w:t>
      </w:r>
      <w:r w:rsidRPr="00382917">
        <w:t>Himself</w:t>
      </w:r>
      <w:r w:rsidR="00EE4FC3">
        <w:t xml:space="preserve"> </w:t>
      </w:r>
      <w:r w:rsidRPr="00382917">
        <w:t>foretelling</w:t>
      </w:r>
      <w:r w:rsidR="00EE4FC3">
        <w:t xml:space="preserve"> </w:t>
      </w:r>
      <w:r w:rsidRPr="00382917">
        <w:t>the</w:t>
      </w:r>
      <w:r w:rsidR="00EE4FC3">
        <w:t xml:space="preserve"> </w:t>
      </w:r>
      <w:r w:rsidRPr="00382917">
        <w:t>hour</w:t>
      </w:r>
      <w:r w:rsidR="00EE4FC3">
        <w:t xml:space="preserve"> </w:t>
      </w:r>
      <w:r w:rsidRPr="00382917">
        <w:t>of</w:t>
      </w:r>
      <w:r w:rsidR="00EE4FC3">
        <w:t xml:space="preserve"> </w:t>
      </w:r>
      <w:r w:rsidRPr="00382917">
        <w:t>His</w:t>
      </w:r>
      <w:r w:rsidR="00EE4FC3">
        <w:t xml:space="preserve"> </w:t>
      </w:r>
      <w:r w:rsidRPr="00382917">
        <w:t>second</w:t>
      </w:r>
      <w:r w:rsidR="00EE4FC3">
        <w:t xml:space="preserve"> </w:t>
      </w:r>
      <w:r w:rsidRPr="00382917">
        <w:t>coming.</w:t>
      </w:r>
    </w:p>
    <w:p w:rsidR="00F1111D" w:rsidRPr="00382917" w:rsidRDefault="00F1111D" w:rsidP="00244241">
      <w:pPr>
        <w:pStyle w:val="Text"/>
      </w:pPr>
      <w:r w:rsidRPr="00382917">
        <w:t>Christ</w:t>
      </w:r>
      <w:r w:rsidR="00EE4FC3">
        <w:t xml:space="preserve"> </w:t>
      </w:r>
      <w:r w:rsidRPr="00382917">
        <w:t>assured</w:t>
      </w:r>
      <w:r w:rsidR="00EE4FC3">
        <w:t xml:space="preserve"> </w:t>
      </w:r>
      <w:r w:rsidRPr="00382917">
        <w:t>His</w:t>
      </w:r>
      <w:r w:rsidR="00EE4FC3">
        <w:t xml:space="preserve"> </w:t>
      </w:r>
      <w:r w:rsidRPr="00382917">
        <w:t>disciples</w:t>
      </w:r>
      <w:r w:rsidR="00EE4FC3">
        <w:t xml:space="preserve"> </w:t>
      </w:r>
      <w:r w:rsidRPr="00382917">
        <w:t>that</w:t>
      </w:r>
      <w:r w:rsidR="00EE4FC3">
        <w:t xml:space="preserve"> </w:t>
      </w:r>
      <w:r w:rsidRPr="00382917">
        <w:t>He</w:t>
      </w:r>
      <w:r w:rsidR="00EE4FC3">
        <w:t xml:space="preserve"> </w:t>
      </w:r>
      <w:r w:rsidRPr="00382917">
        <w:t>would</w:t>
      </w:r>
      <w:r w:rsidR="00EE4FC3">
        <w:t xml:space="preserve"> </w:t>
      </w:r>
      <w:r w:rsidRPr="00382917">
        <w:t>return</w:t>
      </w:r>
      <w:r w:rsidR="00EE4FC3">
        <w:t xml:space="preserve"> </w:t>
      </w:r>
      <w:r w:rsidRPr="00382917">
        <w:t>to</w:t>
      </w:r>
      <w:r w:rsidR="00EE4FC3">
        <w:t xml:space="preserve"> </w:t>
      </w:r>
      <w:r w:rsidRPr="00382917">
        <w:t>earth</w:t>
      </w:r>
      <w:r w:rsidR="00EE4FC3">
        <w:t xml:space="preserve"> </w:t>
      </w:r>
      <w:r w:rsidRPr="00382917">
        <w:t>when</w:t>
      </w:r>
      <w:r w:rsidR="00EE4FC3">
        <w:t xml:space="preserve"> </w:t>
      </w:r>
      <w:r w:rsidRPr="00382917">
        <w:t>the</w:t>
      </w:r>
      <w:r w:rsidR="00EE4FC3">
        <w:t xml:space="preserve"> </w:t>
      </w:r>
      <w:r w:rsidRPr="00382917">
        <w:t>following</w:t>
      </w:r>
      <w:r w:rsidR="00EE4FC3">
        <w:t xml:space="preserve"> </w:t>
      </w:r>
      <w:r w:rsidRPr="00382917">
        <w:t>three</w:t>
      </w:r>
      <w:r w:rsidR="00EE4FC3">
        <w:t xml:space="preserve"> </w:t>
      </w:r>
      <w:r w:rsidRPr="00382917">
        <w:t>things</w:t>
      </w:r>
      <w:r w:rsidR="00EE4FC3">
        <w:t xml:space="preserve"> </w:t>
      </w:r>
      <w:r w:rsidRPr="00382917">
        <w:t>took</w:t>
      </w:r>
      <w:r w:rsidR="00EE4FC3">
        <w:t xml:space="preserve"> </w:t>
      </w:r>
      <w:r w:rsidRPr="00382917">
        <w:t>place:</w:t>
      </w:r>
    </w:p>
    <w:p w:rsidR="00F1111D" w:rsidRPr="00382917" w:rsidRDefault="00411B04" w:rsidP="00411B04">
      <w:pPr>
        <w:pStyle w:val="Bullet2"/>
      </w:pPr>
      <w:r>
        <w:t>1.</w:t>
      </w:r>
      <w:r>
        <w:tab/>
      </w:r>
      <w:r w:rsidR="00F1111D" w:rsidRPr="00382917">
        <w:t>When</w:t>
      </w:r>
      <w:r w:rsidR="00EE4FC3">
        <w:t xml:space="preserve"> </w:t>
      </w:r>
      <w:r w:rsidR="00F1111D" w:rsidRPr="00382917">
        <w:t>His</w:t>
      </w:r>
      <w:r w:rsidR="00EE4FC3">
        <w:t xml:space="preserve"> </w:t>
      </w:r>
      <w:r w:rsidR="00F1111D" w:rsidRPr="00382917">
        <w:t>Gospel</w:t>
      </w:r>
      <w:r w:rsidR="00EE4FC3">
        <w:t xml:space="preserve"> </w:t>
      </w:r>
      <w:r w:rsidR="00F1111D" w:rsidRPr="00382917">
        <w:t>shall</w:t>
      </w:r>
      <w:r w:rsidR="00EE4FC3">
        <w:t xml:space="preserve"> </w:t>
      </w:r>
      <w:r w:rsidR="00F1111D" w:rsidRPr="00382917">
        <w:t>be</w:t>
      </w:r>
      <w:r w:rsidR="00EE4FC3">
        <w:t xml:space="preserve"> </w:t>
      </w:r>
      <w:r w:rsidR="00F1111D" w:rsidRPr="00382917">
        <w:t>preached</w:t>
      </w:r>
      <w:r w:rsidR="00EE4FC3">
        <w:t xml:space="preserve"> </w:t>
      </w:r>
      <w:r w:rsidR="00F1111D" w:rsidRPr="00382917">
        <w:t>throughout</w:t>
      </w:r>
      <w:r w:rsidR="00EE4FC3">
        <w:t xml:space="preserve"> </w:t>
      </w:r>
      <w:r w:rsidR="00F1111D" w:rsidRPr="00382917">
        <w:t>the</w:t>
      </w:r>
      <w:r w:rsidR="00EE4FC3">
        <w:t xml:space="preserve"> </w:t>
      </w:r>
      <w:r w:rsidR="00F1111D" w:rsidRPr="00382917">
        <w:t>world.</w:t>
      </w:r>
    </w:p>
    <w:p w:rsidR="00F1111D" w:rsidRPr="00382917" w:rsidRDefault="00411B04" w:rsidP="00411B04">
      <w:pPr>
        <w:pStyle w:val="Bullet2ct"/>
      </w:pPr>
      <w:r>
        <w:t>2.</w:t>
      </w:r>
      <w:r>
        <w:tab/>
      </w:r>
      <w:r w:rsidR="00F1111D" w:rsidRPr="00382917">
        <w:t>When</w:t>
      </w:r>
      <w:r w:rsidR="00EE4FC3">
        <w:t xml:space="preserve"> </w:t>
      </w:r>
      <w:r w:rsidR="00F1111D" w:rsidRPr="00382917">
        <w:t>the</w:t>
      </w:r>
      <w:r w:rsidR="00EE4FC3">
        <w:t xml:space="preserve"> </w:t>
      </w:r>
      <w:r w:rsidR="009C713D" w:rsidRPr="00382917">
        <w:t>“</w:t>
      </w:r>
      <w:r w:rsidR="00F1111D" w:rsidRPr="00382917">
        <w:t>times</w:t>
      </w:r>
      <w:r w:rsidR="00EE4FC3">
        <w:t xml:space="preserve"> </w:t>
      </w:r>
      <w:r w:rsidR="00F1111D" w:rsidRPr="00382917">
        <w:t>of</w:t>
      </w:r>
      <w:r w:rsidR="00EE4FC3">
        <w:t xml:space="preserve"> </w:t>
      </w:r>
      <w:r w:rsidR="00F1111D" w:rsidRPr="00382917">
        <w:t>the</w:t>
      </w:r>
      <w:r w:rsidR="00EE4FC3">
        <w:t xml:space="preserve"> </w:t>
      </w:r>
      <w:r w:rsidR="00F1111D" w:rsidRPr="00382917">
        <w:t>Gentiles</w:t>
      </w:r>
      <w:r w:rsidR="009C713D" w:rsidRPr="00382917">
        <w:t>”</w:t>
      </w:r>
      <w:r w:rsidR="00EE4FC3">
        <w:t xml:space="preserve"> </w:t>
      </w:r>
      <w:r w:rsidR="00F1111D" w:rsidRPr="00382917">
        <w:t>is</w:t>
      </w:r>
      <w:r w:rsidR="00EE4FC3">
        <w:t xml:space="preserve"> </w:t>
      </w:r>
      <w:r w:rsidR="00F1111D" w:rsidRPr="00382917">
        <w:t>fulfilled</w:t>
      </w:r>
      <w:r w:rsidR="00EE4FC3">
        <w:t xml:space="preserve"> </w:t>
      </w:r>
      <w:r w:rsidR="00F1111D" w:rsidRPr="00382917">
        <w:t>and</w:t>
      </w:r>
      <w:r w:rsidR="00EE4FC3">
        <w:t xml:space="preserve"> </w:t>
      </w:r>
      <w:r w:rsidR="00F1111D" w:rsidRPr="00382917">
        <w:t>the</w:t>
      </w:r>
      <w:r w:rsidR="00EE4FC3">
        <w:t xml:space="preserve"> </w:t>
      </w:r>
      <w:r w:rsidR="00F1111D" w:rsidRPr="00382917">
        <w:t>Jews</w:t>
      </w:r>
      <w:r w:rsidR="00EE4FC3">
        <w:t xml:space="preserve"> </w:t>
      </w:r>
      <w:r w:rsidR="00F1111D" w:rsidRPr="00382917">
        <w:t>return</w:t>
      </w:r>
      <w:r w:rsidR="00EE4FC3">
        <w:t xml:space="preserve"> </w:t>
      </w:r>
      <w:r w:rsidR="00F1111D" w:rsidRPr="00382917">
        <w:t>to</w:t>
      </w:r>
      <w:r w:rsidR="00EE4FC3">
        <w:t xml:space="preserve"> </w:t>
      </w:r>
      <w:r w:rsidR="00F1111D" w:rsidRPr="00382917">
        <w:t>Israel</w:t>
      </w:r>
      <w:r w:rsidR="00EE4FC3">
        <w:t xml:space="preserve"> </w:t>
      </w:r>
      <w:r w:rsidR="00F1111D" w:rsidRPr="00382917">
        <w:t>(Palestine).</w:t>
      </w:r>
    </w:p>
    <w:p w:rsidR="00F1111D" w:rsidRPr="00382917" w:rsidRDefault="00411B04" w:rsidP="00411B04">
      <w:pPr>
        <w:pStyle w:val="Bullet2ct"/>
      </w:pPr>
      <w:r>
        <w:t>3.</w:t>
      </w:r>
      <w:r>
        <w:tab/>
      </w:r>
      <w:r w:rsidR="00F1111D" w:rsidRPr="00382917">
        <w:t>When</w:t>
      </w:r>
      <w:r w:rsidR="00EE4FC3">
        <w:t xml:space="preserve"> </w:t>
      </w:r>
      <w:r w:rsidR="00F1111D" w:rsidRPr="00382917">
        <w:t>all</w:t>
      </w:r>
      <w:r w:rsidR="00EE4FC3">
        <w:t xml:space="preserve"> </w:t>
      </w:r>
      <w:r w:rsidR="00F1111D" w:rsidRPr="00382917">
        <w:t>mankind</w:t>
      </w:r>
      <w:r w:rsidR="00EE4FC3">
        <w:t xml:space="preserve"> </w:t>
      </w:r>
      <w:r w:rsidR="00F1111D" w:rsidRPr="00382917">
        <w:t>would</w:t>
      </w:r>
      <w:r w:rsidR="00EE4FC3">
        <w:t xml:space="preserve"> </w:t>
      </w:r>
      <w:r w:rsidR="00F1111D" w:rsidRPr="00382917">
        <w:t>see</w:t>
      </w:r>
      <w:r w:rsidR="00EE4FC3">
        <w:t xml:space="preserve"> </w:t>
      </w:r>
      <w:r w:rsidR="00F1111D" w:rsidRPr="00382917">
        <w:t>the</w:t>
      </w:r>
      <w:r w:rsidR="00EE4FC3">
        <w:t xml:space="preserve"> </w:t>
      </w:r>
      <w:r w:rsidR="009C713D" w:rsidRPr="00382917">
        <w:t>“</w:t>
      </w:r>
      <w:r w:rsidR="00F1111D" w:rsidRPr="00382917">
        <w:t>abomination</w:t>
      </w:r>
      <w:r w:rsidR="00EE4FC3">
        <w:t xml:space="preserve"> </w:t>
      </w:r>
      <w:r w:rsidR="00F1111D" w:rsidRPr="00382917">
        <w:t>of</w:t>
      </w:r>
      <w:r w:rsidR="00EE4FC3">
        <w:t xml:space="preserve"> </w:t>
      </w:r>
      <w:r w:rsidR="00F1111D" w:rsidRPr="00382917">
        <w:t>desolation</w:t>
      </w:r>
      <w:r w:rsidR="009C713D" w:rsidRPr="00382917">
        <w:t>”</w:t>
      </w:r>
      <w:r w:rsidR="00EE4FC3">
        <w:t xml:space="preserve"> </w:t>
      </w:r>
      <w:r w:rsidR="00F1111D" w:rsidRPr="00382917">
        <w:t>foretold</w:t>
      </w:r>
      <w:r w:rsidR="00EE4FC3">
        <w:t xml:space="preserve"> </w:t>
      </w:r>
      <w:r w:rsidR="00F1111D" w:rsidRPr="00382917">
        <w:t>by</w:t>
      </w:r>
      <w:r w:rsidR="00EE4FC3">
        <w:t xml:space="preserve"> </w:t>
      </w:r>
      <w:r w:rsidR="00F1111D" w:rsidRPr="00382917">
        <w:t>Daniel</w:t>
      </w:r>
      <w:r w:rsidR="00EE4FC3">
        <w:t xml:space="preserve"> </w:t>
      </w:r>
      <w:r w:rsidR="00F1111D" w:rsidRPr="00382917">
        <w:t>the</w:t>
      </w:r>
      <w:r w:rsidR="00EE4FC3">
        <w:t xml:space="preserve"> </w:t>
      </w:r>
      <w:r w:rsidR="00F1111D" w:rsidRPr="00382917">
        <w:t>Prophet.</w:t>
      </w:r>
    </w:p>
    <w:p w:rsidR="00F1111D" w:rsidRPr="00382917" w:rsidRDefault="00F1111D" w:rsidP="00244241">
      <w:pPr>
        <w:pStyle w:val="Text"/>
      </w:pPr>
      <w:r w:rsidRPr="00382917">
        <w:t>F</w:t>
      </w:r>
      <w:r w:rsidRPr="007949AC">
        <w:rPr>
          <w:sz w:val="18"/>
          <w:szCs w:val="18"/>
        </w:rPr>
        <w:t>IRST</w:t>
      </w:r>
      <w:r w:rsidR="00EE4FC3" w:rsidRPr="007949AC">
        <w:rPr>
          <w:sz w:val="18"/>
          <w:szCs w:val="18"/>
        </w:rPr>
        <w:t xml:space="preserve"> </w:t>
      </w:r>
      <w:r w:rsidRPr="007949AC">
        <w:rPr>
          <w:sz w:val="18"/>
          <w:szCs w:val="18"/>
        </w:rPr>
        <w:t>PROMISE</w:t>
      </w:r>
      <w:r w:rsidR="00C03C91">
        <w:t>:</w:t>
      </w:r>
      <w:r w:rsidR="00EE4FC3">
        <w:t xml:space="preserve">  </w:t>
      </w:r>
      <w:r w:rsidRPr="00382917">
        <w:t>When</w:t>
      </w:r>
      <w:r w:rsidR="00EE4FC3">
        <w:t xml:space="preserve"> </w:t>
      </w:r>
      <w:r w:rsidRPr="00382917">
        <w:t>the</w:t>
      </w:r>
      <w:r w:rsidR="00EE4FC3">
        <w:t xml:space="preserve"> </w:t>
      </w:r>
      <w:r w:rsidRPr="00382917">
        <w:t>Gospel</w:t>
      </w:r>
      <w:r w:rsidR="00EE4FC3">
        <w:t xml:space="preserve"> </w:t>
      </w:r>
      <w:r w:rsidRPr="00382917">
        <w:t>of</w:t>
      </w:r>
      <w:r w:rsidR="00EE4FC3">
        <w:t xml:space="preserve"> </w:t>
      </w:r>
      <w:r w:rsidRPr="00382917">
        <w:t>Christ</w:t>
      </w:r>
      <w:r w:rsidR="00EE4FC3">
        <w:t xml:space="preserve"> </w:t>
      </w:r>
      <w:r w:rsidRPr="00382917">
        <w:t>is</w:t>
      </w:r>
      <w:r w:rsidR="00EE4FC3">
        <w:t xml:space="preserve"> </w:t>
      </w:r>
      <w:r w:rsidRPr="00382917">
        <w:t>taught</w:t>
      </w:r>
      <w:r w:rsidR="00EE4FC3">
        <w:t xml:space="preserve"> </w:t>
      </w:r>
      <w:r w:rsidR="009C713D" w:rsidRPr="00382917">
        <w:t>“</w:t>
      </w:r>
      <w:r w:rsidRPr="00382917">
        <w:t>in</w:t>
      </w:r>
      <w:r w:rsidR="00EE4FC3">
        <w:t xml:space="preserve"> </w:t>
      </w:r>
      <w:proofErr w:type="gramStart"/>
      <w:r w:rsidRPr="00382917">
        <w:t>all</w:t>
      </w:r>
      <w:r w:rsidR="00EE4FC3">
        <w:t xml:space="preserve"> </w:t>
      </w:r>
      <w:r w:rsidRPr="00382917">
        <w:t>the</w:t>
      </w:r>
      <w:proofErr w:type="gramEnd"/>
      <w:r w:rsidR="00EE4FC3">
        <w:t xml:space="preserve"> </w:t>
      </w:r>
      <w:r w:rsidRPr="00382917">
        <w:t>world,</w:t>
      </w:r>
      <w:r w:rsidR="009C713D" w:rsidRPr="00382917">
        <w:t>”</w:t>
      </w:r>
      <w:r w:rsidR="00EE4FC3">
        <w:t xml:space="preserve"> </w:t>
      </w:r>
      <w:r w:rsidRPr="00382917">
        <w:t>then</w:t>
      </w:r>
      <w:r w:rsidR="00EE4FC3">
        <w:t xml:space="preserve"> </w:t>
      </w:r>
      <w:r w:rsidRPr="00382917">
        <w:t>He</w:t>
      </w:r>
      <w:r w:rsidR="00EE4FC3">
        <w:t xml:space="preserve"> </w:t>
      </w:r>
      <w:r w:rsidRPr="00382917">
        <w:t>will</w:t>
      </w:r>
      <w:r w:rsidR="00EE4FC3">
        <w:t xml:space="preserve"> </w:t>
      </w:r>
      <w:r w:rsidRPr="00382917">
        <w:t>return</w:t>
      </w:r>
      <w:r w:rsidR="00552489">
        <w:t>.</w:t>
      </w:r>
      <w:r w:rsidR="00EE4FC3">
        <w:t xml:space="preserve">  </w:t>
      </w:r>
      <w:r w:rsidRPr="00382917">
        <w:t>This</w:t>
      </w:r>
      <w:r w:rsidR="00EE4FC3">
        <w:t xml:space="preserve"> </w:t>
      </w:r>
      <w:r w:rsidRPr="00382917">
        <w:t>promise</w:t>
      </w:r>
      <w:r w:rsidR="00EE4FC3">
        <w:t xml:space="preserve"> </w:t>
      </w:r>
      <w:r w:rsidRPr="00382917">
        <w:t>was</w:t>
      </w:r>
      <w:r w:rsidR="00EE4FC3">
        <w:t xml:space="preserve"> </w:t>
      </w:r>
      <w:r w:rsidRPr="00382917">
        <w:t>made</w:t>
      </w:r>
      <w:r w:rsidR="00EE4FC3">
        <w:t xml:space="preserve"> </w:t>
      </w:r>
      <w:r w:rsidRPr="00382917">
        <w:t>by</w:t>
      </w:r>
      <w:r w:rsidR="00EE4FC3">
        <w:t xml:space="preserve"> </w:t>
      </w:r>
      <w:r w:rsidRPr="00382917">
        <w:t>Christ</w:t>
      </w:r>
      <w:r w:rsidR="00EE4FC3">
        <w:t xml:space="preserve"> </w:t>
      </w:r>
      <w:r w:rsidRPr="00382917">
        <w:t>in</w:t>
      </w:r>
      <w:r w:rsidR="00EE4FC3">
        <w:t xml:space="preserve"> </w:t>
      </w:r>
      <w:r w:rsidRPr="00382917">
        <w:t>direct</w:t>
      </w:r>
      <w:r w:rsidR="00EE4FC3">
        <w:t xml:space="preserve"> </w:t>
      </w:r>
      <w:r w:rsidRPr="00382917">
        <w:t>reply</w:t>
      </w:r>
      <w:r w:rsidR="00EE4FC3">
        <w:t xml:space="preserve"> </w:t>
      </w:r>
      <w:r w:rsidRPr="00382917">
        <w:t>to</w:t>
      </w:r>
      <w:r w:rsidR="00EE4FC3">
        <w:t xml:space="preserve"> </w:t>
      </w:r>
      <w:r w:rsidRPr="00382917">
        <w:t>a</w:t>
      </w:r>
      <w:r w:rsidR="00EE4FC3">
        <w:t xml:space="preserve"> </w:t>
      </w:r>
      <w:r w:rsidRPr="00382917">
        <w:t>question</w:t>
      </w:r>
      <w:r w:rsidR="00EE4FC3">
        <w:t xml:space="preserve"> </w:t>
      </w:r>
      <w:r w:rsidRPr="00382917">
        <w:t>asked</w:t>
      </w:r>
      <w:r w:rsidR="00EE4FC3">
        <w:t xml:space="preserve"> </w:t>
      </w:r>
      <w:r w:rsidRPr="00382917">
        <w:t>by</w:t>
      </w:r>
      <w:r w:rsidR="00EE4FC3">
        <w:t xml:space="preserve"> </w:t>
      </w:r>
      <w:r w:rsidRPr="00382917">
        <w:t>His</w:t>
      </w:r>
      <w:r w:rsidR="00EE4FC3">
        <w:t xml:space="preserve"> </w:t>
      </w:r>
      <w:r w:rsidRPr="00382917">
        <w:t>disciples</w:t>
      </w:r>
      <w:r w:rsidR="00C03C91">
        <w:t>:</w:t>
      </w:r>
      <w:r w:rsidR="00EE4FC3">
        <w:t xml:space="preserve">  </w:t>
      </w:r>
      <w:r w:rsidR="009C713D" w:rsidRPr="00382917">
        <w:t>“</w:t>
      </w:r>
      <w:r w:rsidRPr="00382917">
        <w:t>Tell</w:t>
      </w:r>
      <w:r w:rsidR="00EE4FC3">
        <w:t xml:space="preserve"> </w:t>
      </w:r>
      <w:r w:rsidRPr="00382917">
        <w:t>us,</w:t>
      </w:r>
      <w:r w:rsidR="00EE4FC3">
        <w:t xml:space="preserve"> </w:t>
      </w:r>
      <w:r w:rsidRPr="00382917">
        <w:t>when</w:t>
      </w:r>
      <w:r w:rsidR="00EE4FC3">
        <w:t xml:space="preserve"> </w:t>
      </w:r>
      <w:r w:rsidRPr="00382917">
        <w:t>shall</w:t>
      </w:r>
      <w:r w:rsidR="00EE4FC3">
        <w:t xml:space="preserve"> </w:t>
      </w:r>
      <w:r w:rsidRPr="00382917">
        <w:t>these</w:t>
      </w:r>
      <w:r w:rsidR="00EE4FC3">
        <w:t xml:space="preserve"> </w:t>
      </w:r>
      <w:r w:rsidRPr="00382917">
        <w:t>things</w:t>
      </w:r>
      <w:r w:rsidR="00EE4FC3">
        <w:t xml:space="preserve"> </w:t>
      </w:r>
      <w:r w:rsidRPr="00382917">
        <w:t>be</w:t>
      </w:r>
      <w:proofErr w:type="gramStart"/>
      <w:r w:rsidRPr="00382917">
        <w:t>?</w:t>
      </w:r>
      <w:r w:rsidR="00EE4FC3">
        <w:t xml:space="preserve"> </w:t>
      </w:r>
      <w:r w:rsidRPr="00382917">
        <w:t>and</w:t>
      </w:r>
      <w:proofErr w:type="gramEnd"/>
      <w:r w:rsidR="00EE4FC3">
        <w:t xml:space="preserve"> </w:t>
      </w:r>
      <w:r w:rsidRPr="00382917">
        <w:t>what</w:t>
      </w:r>
      <w:r w:rsidR="00EE4FC3">
        <w:t xml:space="preserve"> </w:t>
      </w:r>
      <w:r w:rsidRPr="00382917">
        <w:t>shall</w:t>
      </w:r>
      <w:r w:rsidR="00EE4FC3">
        <w:t xml:space="preserve"> </w:t>
      </w:r>
      <w:r w:rsidRPr="00382917">
        <w:t>be</w:t>
      </w:r>
      <w:r w:rsidR="00EE4FC3">
        <w:t xml:space="preserve"> </w:t>
      </w:r>
      <w:r w:rsidRPr="00382917">
        <w:t>the</w:t>
      </w:r>
      <w:r w:rsidR="00EE4FC3">
        <w:t xml:space="preserve"> </w:t>
      </w:r>
      <w:r w:rsidRPr="00382917">
        <w:t>sign</w:t>
      </w:r>
      <w:r w:rsidR="00EE4FC3">
        <w:t xml:space="preserve"> </w:t>
      </w:r>
      <w:r w:rsidRPr="00382917">
        <w:t>of</w:t>
      </w:r>
      <w:r w:rsidR="00EE4FC3">
        <w:t xml:space="preserve"> </w:t>
      </w:r>
      <w:r w:rsidRPr="00382917">
        <w:t>Thy</w:t>
      </w:r>
      <w:r w:rsidR="00EE4FC3">
        <w:t xml:space="preserve"> </w:t>
      </w:r>
      <w:r w:rsidRPr="00382917">
        <w:t>coming,</w:t>
      </w:r>
      <w:r w:rsidR="00EE4FC3">
        <w:t xml:space="preserve"> </w:t>
      </w:r>
      <w:r w:rsidRPr="00382917">
        <w:t>and</w:t>
      </w:r>
      <w:r w:rsidR="00EE4FC3">
        <w:t xml:space="preserve"> </w:t>
      </w:r>
      <w:r w:rsidRPr="00382917">
        <w:t>of</w:t>
      </w:r>
      <w:r w:rsidR="00EE4FC3">
        <w:t xml:space="preserve"> </w:t>
      </w:r>
      <w:r w:rsidRPr="00382917">
        <w:t>the</w:t>
      </w:r>
      <w:r w:rsidR="00EE4FC3">
        <w:t xml:space="preserve"> </w:t>
      </w:r>
      <w:r w:rsidRPr="00382917">
        <w:t>end</w:t>
      </w:r>
      <w:r w:rsidR="00EE4FC3">
        <w:t xml:space="preserve"> </w:t>
      </w:r>
      <w:r w:rsidRPr="00382917">
        <w:t>of</w:t>
      </w:r>
      <w:r w:rsidR="00EE4FC3">
        <w:t xml:space="preserve"> </w:t>
      </w:r>
      <w:r w:rsidRPr="00382917">
        <w:t>the</w:t>
      </w:r>
      <w:r w:rsidR="00EE4FC3">
        <w:t xml:space="preserve"> </w:t>
      </w:r>
      <w:r w:rsidRPr="00382917">
        <w:t>world?</w:t>
      </w:r>
      <w:r w:rsidR="009C713D" w:rsidRPr="00382917">
        <w:t>”</w:t>
      </w:r>
    </w:p>
    <w:p w:rsidR="00F1111D" w:rsidRPr="00382917" w:rsidRDefault="00F1111D" w:rsidP="00411B04">
      <w:pPr>
        <w:pStyle w:val="Text"/>
      </w:pPr>
      <w:r w:rsidRPr="00382917">
        <w:t>Christ</w:t>
      </w:r>
      <w:r w:rsidR="00EE4FC3">
        <w:t xml:space="preserve"> </w:t>
      </w:r>
      <w:r w:rsidRPr="00382917">
        <w:t>gave</w:t>
      </w:r>
      <w:r w:rsidR="00EE4FC3">
        <w:t xml:space="preserve"> </w:t>
      </w:r>
      <w:r w:rsidRPr="00382917">
        <w:t>His</w:t>
      </w:r>
      <w:r w:rsidR="00EE4FC3">
        <w:t xml:space="preserve"> </w:t>
      </w:r>
      <w:r w:rsidRPr="00382917">
        <w:t>promise</w:t>
      </w:r>
      <w:r w:rsidR="00EE4FC3">
        <w:t xml:space="preserve"> </w:t>
      </w:r>
      <w:r w:rsidRPr="00382917">
        <w:t>in</w:t>
      </w:r>
      <w:r w:rsidR="00EE4FC3">
        <w:t xml:space="preserve"> </w:t>
      </w:r>
      <w:r w:rsidRPr="00382917">
        <w:t>the</w:t>
      </w:r>
      <w:r w:rsidR="00EE4FC3">
        <w:t xml:space="preserve"> </w:t>
      </w:r>
      <w:r w:rsidRPr="00382917">
        <w:t>following</w:t>
      </w:r>
      <w:r w:rsidR="00EE4FC3">
        <w:t xml:space="preserve"> </w:t>
      </w:r>
      <w:r w:rsidRPr="00382917">
        <w:t>words</w:t>
      </w:r>
      <w:r w:rsidR="00C03C91">
        <w:t>:</w:t>
      </w:r>
      <w:r w:rsidR="00EE4FC3">
        <w:t xml:space="preserve">  </w:t>
      </w:r>
      <w:r w:rsidR="009C713D" w:rsidRPr="00382917">
        <w:t>“</w:t>
      </w:r>
      <w:r w:rsidRPr="00382917">
        <w:t>But</w:t>
      </w:r>
      <w:r w:rsidR="00EE4FC3">
        <w:t xml:space="preserve"> </w:t>
      </w:r>
      <w:r w:rsidRPr="00382917">
        <w:t>he</w:t>
      </w:r>
      <w:r w:rsidR="00EE4FC3">
        <w:t xml:space="preserve"> </w:t>
      </w:r>
      <w:r w:rsidRPr="00382917">
        <w:t>that</w:t>
      </w:r>
      <w:r w:rsidR="00EE4FC3">
        <w:t xml:space="preserve"> </w:t>
      </w:r>
      <w:r w:rsidRPr="00382917">
        <w:t>shall</w:t>
      </w:r>
      <w:r w:rsidR="00EE4FC3">
        <w:t xml:space="preserve"> </w:t>
      </w:r>
      <w:r w:rsidRPr="00382917">
        <w:t>endure</w:t>
      </w:r>
      <w:r w:rsidR="00EE4FC3">
        <w:t xml:space="preserve"> </w:t>
      </w:r>
      <w:r w:rsidRPr="00382917">
        <w:t>unto</w:t>
      </w:r>
      <w:r w:rsidR="00EE4FC3">
        <w:t xml:space="preserve"> </w:t>
      </w:r>
      <w:r w:rsidRPr="00382917">
        <w:t>the</w:t>
      </w:r>
      <w:r w:rsidR="00EE4FC3">
        <w:t xml:space="preserve"> </w:t>
      </w:r>
      <w:r w:rsidRPr="00382917">
        <w:t>end,</w:t>
      </w:r>
      <w:r w:rsidR="00EE4FC3">
        <w:t xml:space="preserve"> </w:t>
      </w:r>
      <w:r w:rsidRPr="00382917">
        <w:t>the</w:t>
      </w:r>
      <w:r w:rsidR="00EE4FC3">
        <w:t xml:space="preserve"> </w:t>
      </w:r>
      <w:r w:rsidRPr="00382917">
        <w:t>same</w:t>
      </w:r>
      <w:r w:rsidR="00EE4FC3">
        <w:t xml:space="preserve"> </w:t>
      </w:r>
      <w:r w:rsidRPr="00382917">
        <w:t>shall</w:t>
      </w:r>
      <w:r w:rsidR="00EE4FC3">
        <w:t xml:space="preserve"> </w:t>
      </w:r>
      <w:r w:rsidRPr="00382917">
        <w:t>be</w:t>
      </w:r>
      <w:r w:rsidR="00EE4FC3">
        <w:t xml:space="preserve"> </w:t>
      </w:r>
      <w:r w:rsidRPr="00382917">
        <w:t>saved</w:t>
      </w:r>
      <w:r w:rsidR="00552489">
        <w:t>.</w:t>
      </w:r>
      <w:r w:rsidR="00EE4FC3">
        <w:t xml:space="preserve">  </w:t>
      </w:r>
      <w:r w:rsidRPr="00382917">
        <w:t>And</w:t>
      </w:r>
      <w:r w:rsidR="00EE4FC3">
        <w:t xml:space="preserve"> </w:t>
      </w:r>
      <w:r w:rsidRPr="00382917">
        <w:t>this</w:t>
      </w:r>
      <w:r w:rsidR="00EE4FC3">
        <w:t xml:space="preserve"> </w:t>
      </w:r>
      <w:r w:rsidRPr="00382917">
        <w:t>Gospel</w:t>
      </w:r>
      <w:r w:rsidR="00EE4FC3">
        <w:t xml:space="preserve"> </w:t>
      </w:r>
      <w:r w:rsidRPr="00382917">
        <w:t>of</w:t>
      </w:r>
      <w:r w:rsidR="00EE4FC3">
        <w:t xml:space="preserve"> </w:t>
      </w:r>
      <w:r w:rsidRPr="00382917">
        <w:t>the</w:t>
      </w:r>
      <w:r w:rsidR="00EE4FC3">
        <w:t xml:space="preserve"> </w:t>
      </w:r>
      <w:r w:rsidRPr="00382917">
        <w:t>Kingdom</w:t>
      </w:r>
      <w:r w:rsidR="00EE4FC3">
        <w:t xml:space="preserve"> </w:t>
      </w:r>
      <w:r w:rsidRPr="00382917">
        <w:t>shall</w:t>
      </w:r>
      <w:r w:rsidR="00EE4FC3">
        <w:t xml:space="preserve"> </w:t>
      </w:r>
      <w:r w:rsidRPr="00382917">
        <w:t>be</w:t>
      </w:r>
      <w:r w:rsidR="00EE4FC3">
        <w:t xml:space="preserve"> </w:t>
      </w:r>
      <w:r w:rsidRPr="00382917">
        <w:t>preached</w:t>
      </w:r>
      <w:r w:rsidR="00EE4FC3">
        <w:t xml:space="preserve"> </w:t>
      </w:r>
      <w:r w:rsidRPr="00382917">
        <w:t>in</w:t>
      </w:r>
      <w:r w:rsidR="00EE4FC3">
        <w:t xml:space="preserve"> </w:t>
      </w:r>
      <w:proofErr w:type="gramStart"/>
      <w:r w:rsidRPr="00382917">
        <w:t>all</w:t>
      </w:r>
      <w:r w:rsidR="00EE4FC3">
        <w:t xml:space="preserve"> </w:t>
      </w:r>
      <w:r w:rsidRPr="00382917">
        <w:t>the</w:t>
      </w:r>
      <w:proofErr w:type="gramEnd"/>
      <w:r w:rsidR="00EE4FC3">
        <w:t xml:space="preserve"> </w:t>
      </w:r>
      <w:r w:rsidRPr="00382917">
        <w:t>world</w:t>
      </w:r>
      <w:r w:rsidR="00EE4FC3">
        <w:t xml:space="preserve"> </w:t>
      </w:r>
      <w:r w:rsidRPr="00382917">
        <w:t>for</w:t>
      </w:r>
      <w:r w:rsidR="00EE4FC3">
        <w:t xml:space="preserve"> </w:t>
      </w:r>
      <w:r w:rsidRPr="00382917">
        <w:t>a</w:t>
      </w:r>
      <w:r w:rsidR="00EE4FC3">
        <w:t xml:space="preserve"> </w:t>
      </w:r>
      <w:r w:rsidRPr="00382917">
        <w:t>witness;</w:t>
      </w:r>
      <w:r w:rsidR="00EE4FC3">
        <w:t xml:space="preserve"> </w:t>
      </w:r>
      <w:r w:rsidRPr="00382917">
        <w:t>then</w:t>
      </w:r>
      <w:r w:rsidR="00EE4FC3">
        <w:t xml:space="preserve"> </w:t>
      </w:r>
      <w:r w:rsidRPr="00382917">
        <w:t>shall</w:t>
      </w:r>
      <w:r w:rsidR="00EE4FC3">
        <w:t xml:space="preserve"> </w:t>
      </w:r>
      <w:r w:rsidRPr="00382917">
        <w:t>the</w:t>
      </w:r>
      <w:r w:rsidR="00EE4FC3">
        <w:t xml:space="preserve"> </w:t>
      </w:r>
      <w:r w:rsidRPr="00382917">
        <w:t>end</w:t>
      </w:r>
      <w:r w:rsidR="00EE4FC3">
        <w:t xml:space="preserve"> </w:t>
      </w:r>
      <w:r w:rsidRPr="00382917">
        <w:t>come.</w:t>
      </w:r>
      <w:r w:rsidR="009C713D" w:rsidRPr="00382917">
        <w:t>”</w:t>
      </w:r>
      <w:r w:rsidR="00411B04">
        <w:rPr>
          <w:rStyle w:val="FootnoteReference"/>
        </w:rPr>
        <w:footnoteReference w:id="291"/>
      </w:r>
    </w:p>
    <w:p w:rsidR="00F1111D" w:rsidRPr="00382917" w:rsidRDefault="00F1111D" w:rsidP="00244241">
      <w:pPr>
        <w:pStyle w:val="Text"/>
      </w:pPr>
      <w:r w:rsidRPr="00382917">
        <w:t>A</w:t>
      </w:r>
      <w:r w:rsidR="00EE4FC3">
        <w:t xml:space="preserve"> </w:t>
      </w:r>
      <w:r w:rsidRPr="00382917">
        <w:t>study</w:t>
      </w:r>
      <w:r w:rsidR="00EE4FC3">
        <w:t xml:space="preserve"> </w:t>
      </w:r>
      <w:r w:rsidRPr="00382917">
        <w:t>of</w:t>
      </w:r>
      <w:r w:rsidR="00EE4FC3">
        <w:t xml:space="preserve"> </w:t>
      </w:r>
      <w:r w:rsidRPr="00382917">
        <w:t>the</w:t>
      </w:r>
      <w:r w:rsidR="00EE4FC3">
        <w:t xml:space="preserve"> </w:t>
      </w:r>
      <w:r w:rsidRPr="00382917">
        <w:t>spread</w:t>
      </w:r>
      <w:r w:rsidR="00EE4FC3">
        <w:t xml:space="preserve"> </w:t>
      </w:r>
      <w:r w:rsidRPr="00382917">
        <w:t>of</w:t>
      </w:r>
      <w:r w:rsidR="00EE4FC3">
        <w:t xml:space="preserve"> </w:t>
      </w:r>
      <w:r w:rsidRPr="00382917">
        <w:t>Christianity</w:t>
      </w:r>
      <w:r w:rsidR="00EE4FC3">
        <w:t xml:space="preserve"> </w:t>
      </w:r>
      <w:r w:rsidRPr="00382917">
        <w:t>made</w:t>
      </w:r>
      <w:r w:rsidR="00EE4FC3">
        <w:t xml:space="preserve"> </w:t>
      </w:r>
      <w:r w:rsidRPr="00382917">
        <w:t>by</w:t>
      </w:r>
      <w:r w:rsidR="00EE4FC3">
        <w:t xml:space="preserve"> </w:t>
      </w:r>
      <w:r w:rsidRPr="00382917">
        <w:t>these</w:t>
      </w:r>
      <w:r w:rsidR="00EE4FC3">
        <w:t xml:space="preserve"> </w:t>
      </w:r>
      <w:r w:rsidRPr="00382917">
        <w:t>scholars</w:t>
      </w:r>
      <w:r w:rsidR="00EE4FC3">
        <w:t xml:space="preserve"> </w:t>
      </w:r>
      <w:r w:rsidRPr="00382917">
        <w:t>of</w:t>
      </w:r>
    </w:p>
    <w:p w:rsidR="00244241" w:rsidRPr="00382917" w:rsidRDefault="00244241">
      <w:pPr>
        <w:widowControl/>
        <w:kinsoku/>
        <w:overflowPunct/>
        <w:textAlignment w:val="auto"/>
      </w:pPr>
      <w:r w:rsidRPr="00382917">
        <w:br w:type="page"/>
      </w:r>
    </w:p>
    <w:p w:rsidR="00F1111D" w:rsidRPr="00382917" w:rsidRDefault="00F1111D" w:rsidP="00411B04">
      <w:pPr>
        <w:pStyle w:val="Textcts"/>
      </w:pPr>
      <w:proofErr w:type="gramStart"/>
      <w:r w:rsidRPr="00382917">
        <w:t>the</w:t>
      </w:r>
      <w:proofErr w:type="gramEnd"/>
      <w:r w:rsidR="00EE4FC3">
        <w:t xml:space="preserve"> </w:t>
      </w:r>
      <w:r w:rsidRPr="00382917">
        <w:t>1840</w:t>
      </w:r>
      <w:r w:rsidR="009C713D" w:rsidRPr="00382917">
        <w:t>’</w:t>
      </w:r>
      <w:r w:rsidRPr="00382917">
        <w:t>s</w:t>
      </w:r>
      <w:r w:rsidR="00EE4FC3">
        <w:t xml:space="preserve"> </w:t>
      </w:r>
      <w:r w:rsidRPr="00382917">
        <w:t>convinced</w:t>
      </w:r>
      <w:r w:rsidR="00EE4FC3">
        <w:t xml:space="preserve"> </w:t>
      </w:r>
      <w:r w:rsidRPr="00382917">
        <w:t>them</w:t>
      </w:r>
      <w:r w:rsidR="00EE4FC3">
        <w:t xml:space="preserve"> </w:t>
      </w:r>
      <w:r w:rsidRPr="00382917">
        <w:t>that</w:t>
      </w:r>
      <w:r w:rsidR="00EE4FC3">
        <w:t xml:space="preserve"> </w:t>
      </w:r>
      <w:r w:rsidRPr="00382917">
        <w:t>the</w:t>
      </w:r>
      <w:r w:rsidR="00EE4FC3">
        <w:t xml:space="preserve"> </w:t>
      </w:r>
      <w:r w:rsidRPr="00382917">
        <w:t>message</w:t>
      </w:r>
      <w:r w:rsidR="00EE4FC3">
        <w:t xml:space="preserve"> </w:t>
      </w:r>
      <w:r w:rsidRPr="00382917">
        <w:t>of</w:t>
      </w:r>
      <w:r w:rsidR="00EE4FC3">
        <w:t xml:space="preserve"> </w:t>
      </w:r>
      <w:r w:rsidRPr="00382917">
        <w:t>Christ</w:t>
      </w:r>
      <w:r w:rsidR="00EE4FC3">
        <w:t xml:space="preserve"> </w:t>
      </w:r>
      <w:r w:rsidRPr="00382917">
        <w:t>had</w:t>
      </w:r>
      <w:r w:rsidR="00EE4FC3">
        <w:t xml:space="preserve"> </w:t>
      </w:r>
      <w:r w:rsidRPr="00382917">
        <w:t>already</w:t>
      </w:r>
      <w:r w:rsidR="00EE4FC3">
        <w:t xml:space="preserve"> </w:t>
      </w:r>
      <w:r w:rsidRPr="00382917">
        <w:t>well-circled</w:t>
      </w:r>
      <w:r w:rsidR="00EE4FC3">
        <w:t xml:space="preserve"> </w:t>
      </w:r>
      <w:r w:rsidRPr="00382917">
        <w:t>the</w:t>
      </w:r>
      <w:r w:rsidR="00EE4FC3">
        <w:t xml:space="preserve"> </w:t>
      </w:r>
      <w:r w:rsidRPr="00382917">
        <w:t>globe</w:t>
      </w:r>
      <w:r w:rsidR="00552489">
        <w:t>.</w:t>
      </w:r>
      <w:r w:rsidR="00EE4FC3">
        <w:t xml:space="preserve">  </w:t>
      </w:r>
      <w:r w:rsidRPr="00382917">
        <w:t>It</w:t>
      </w:r>
      <w:r w:rsidR="00EE4FC3">
        <w:t xml:space="preserve"> </w:t>
      </w:r>
      <w:r w:rsidRPr="00382917">
        <w:t>was</w:t>
      </w:r>
      <w:r w:rsidR="00EE4FC3">
        <w:t xml:space="preserve"> </w:t>
      </w:r>
      <w:r w:rsidRPr="00382917">
        <w:t>being</w:t>
      </w:r>
      <w:r w:rsidR="00EE4FC3">
        <w:t xml:space="preserve"> </w:t>
      </w:r>
      <w:r w:rsidRPr="00382917">
        <w:t>taught</w:t>
      </w:r>
      <w:r w:rsidR="00EE4FC3">
        <w:t xml:space="preserve"> </w:t>
      </w:r>
      <w:r w:rsidRPr="00382917">
        <w:t>in</w:t>
      </w:r>
      <w:r w:rsidR="00EE4FC3">
        <w:t xml:space="preserve"> </w:t>
      </w:r>
      <w:r w:rsidRPr="00382917">
        <w:t>all</w:t>
      </w:r>
      <w:r w:rsidR="00EE4FC3">
        <w:t xml:space="preserve"> </w:t>
      </w:r>
      <w:r w:rsidRPr="00382917">
        <w:t>the</w:t>
      </w:r>
      <w:r w:rsidR="00EE4FC3">
        <w:t xml:space="preserve"> </w:t>
      </w:r>
      <w:r w:rsidRPr="00382917">
        <w:t>continents</w:t>
      </w:r>
      <w:r w:rsidR="00552489">
        <w:t>.</w:t>
      </w:r>
      <w:r w:rsidR="00EE4FC3">
        <w:t xml:space="preserve">  </w:t>
      </w:r>
      <w:r w:rsidRPr="00382917">
        <w:t>By</w:t>
      </w:r>
      <w:r w:rsidR="00EE4FC3">
        <w:t xml:space="preserve"> </w:t>
      </w:r>
      <w:r w:rsidRPr="00382917">
        <w:t>1844</w:t>
      </w:r>
      <w:r w:rsidR="00EE4FC3">
        <w:t xml:space="preserve"> </w:t>
      </w:r>
      <w:r w:rsidRPr="00382917">
        <w:t>it</w:t>
      </w:r>
      <w:r w:rsidR="00EE4FC3">
        <w:t xml:space="preserve"> </w:t>
      </w:r>
      <w:r w:rsidRPr="00382917">
        <w:t>was</w:t>
      </w:r>
      <w:r w:rsidR="00EE4FC3">
        <w:t xml:space="preserve"> </w:t>
      </w:r>
      <w:r w:rsidRPr="00382917">
        <w:t>being</w:t>
      </w:r>
      <w:r w:rsidR="00EE4FC3">
        <w:t xml:space="preserve"> </w:t>
      </w:r>
      <w:r w:rsidRPr="00382917">
        <w:t>taught</w:t>
      </w:r>
      <w:r w:rsidR="00EE4FC3">
        <w:t xml:space="preserve"> </w:t>
      </w:r>
      <w:r w:rsidRPr="00382917">
        <w:t>not</w:t>
      </w:r>
      <w:r w:rsidR="00EE4FC3">
        <w:t xml:space="preserve"> </w:t>
      </w:r>
      <w:r w:rsidRPr="00382917">
        <w:t>by</w:t>
      </w:r>
      <w:r w:rsidR="00EE4FC3">
        <w:t xml:space="preserve"> </w:t>
      </w:r>
      <w:r w:rsidRPr="00382917">
        <w:t>solitary</w:t>
      </w:r>
      <w:r w:rsidR="00EE4FC3">
        <w:t xml:space="preserve"> </w:t>
      </w:r>
      <w:r w:rsidRPr="00382917">
        <w:t>missionaries,</w:t>
      </w:r>
      <w:r w:rsidR="00EE4FC3">
        <w:t xml:space="preserve"> </w:t>
      </w:r>
      <w:r w:rsidRPr="00382917">
        <w:t>but</w:t>
      </w:r>
      <w:r w:rsidR="00EE4FC3">
        <w:t xml:space="preserve"> </w:t>
      </w:r>
      <w:r w:rsidRPr="00382917">
        <w:t>on</w:t>
      </w:r>
      <w:r w:rsidR="00EE4FC3">
        <w:t xml:space="preserve"> </w:t>
      </w:r>
      <w:r w:rsidRPr="00382917">
        <w:t>a</w:t>
      </w:r>
      <w:r w:rsidR="00EE4FC3">
        <w:t xml:space="preserve"> </w:t>
      </w:r>
      <w:r w:rsidRPr="00382917">
        <w:t>wide</w:t>
      </w:r>
      <w:r w:rsidR="00EE4FC3">
        <w:t xml:space="preserve"> </w:t>
      </w:r>
      <w:r w:rsidRPr="00382917">
        <w:t>and</w:t>
      </w:r>
      <w:r w:rsidR="00EE4FC3">
        <w:t xml:space="preserve"> </w:t>
      </w:r>
      <w:r w:rsidRPr="00382917">
        <w:t>organized</w:t>
      </w:r>
      <w:r w:rsidR="00EE4FC3">
        <w:t xml:space="preserve"> </w:t>
      </w:r>
      <w:r w:rsidRPr="00382917">
        <w:t>scale,</w:t>
      </w:r>
      <w:r w:rsidR="00EE4FC3">
        <w:t xml:space="preserve"> </w:t>
      </w:r>
      <w:r w:rsidRPr="00382917">
        <w:t>even</w:t>
      </w:r>
      <w:r w:rsidR="00EE4FC3">
        <w:t xml:space="preserve"> </w:t>
      </w:r>
      <w:r w:rsidRPr="00382917">
        <w:t>in</w:t>
      </w:r>
      <w:r w:rsidR="00EE4FC3">
        <w:t xml:space="preserve"> </w:t>
      </w:r>
      <w:r w:rsidRPr="00382917">
        <w:t>the</w:t>
      </w:r>
      <w:r w:rsidR="00EE4FC3">
        <w:t xml:space="preserve"> </w:t>
      </w:r>
      <w:r w:rsidRPr="00382917">
        <w:t>interior</w:t>
      </w:r>
      <w:r w:rsidR="00EE4FC3">
        <w:t xml:space="preserve"> </w:t>
      </w:r>
      <w:r w:rsidRPr="00382917">
        <w:t>of</w:t>
      </w:r>
      <w:r w:rsidR="00EE4FC3">
        <w:t xml:space="preserve"> </w:t>
      </w:r>
      <w:r w:rsidRPr="00382917">
        <w:t>Africa</w:t>
      </w:r>
      <w:r w:rsidR="00552489">
        <w:t>.</w:t>
      </w:r>
      <w:r w:rsidR="00EE4FC3">
        <w:t xml:space="preserve">  </w:t>
      </w:r>
      <w:r w:rsidRPr="00382917">
        <w:t>A</w:t>
      </w:r>
      <w:r w:rsidR="00EE4FC3">
        <w:t xml:space="preserve"> </w:t>
      </w:r>
      <w:r w:rsidRPr="00382917">
        <w:t>commercial</w:t>
      </w:r>
      <w:r w:rsidR="00EE4FC3">
        <w:t xml:space="preserve"> </w:t>
      </w:r>
      <w:r w:rsidRPr="00382917">
        <w:t>history</w:t>
      </w:r>
      <w:r w:rsidR="00EE4FC3">
        <w:t xml:space="preserve"> </w:t>
      </w:r>
      <w:r w:rsidRPr="00382917">
        <w:t>of</w:t>
      </w:r>
      <w:r w:rsidR="00EE4FC3">
        <w:t xml:space="preserve"> </w:t>
      </w:r>
      <w:r w:rsidRPr="00382917">
        <w:t>East</w:t>
      </w:r>
      <w:r w:rsidR="00EE4FC3">
        <w:t xml:space="preserve"> </w:t>
      </w:r>
      <w:r w:rsidRPr="00382917">
        <w:t>Africa</w:t>
      </w:r>
      <w:r w:rsidR="00EE4FC3">
        <w:t xml:space="preserve"> </w:t>
      </w:r>
      <w:r w:rsidRPr="00382917">
        <w:t>states</w:t>
      </w:r>
      <w:r w:rsidR="00C03C91">
        <w:t>:</w:t>
      </w:r>
      <w:r w:rsidR="00EE4FC3">
        <w:t xml:space="preserve">  </w:t>
      </w:r>
      <w:r w:rsidR="009C713D" w:rsidRPr="00382917">
        <w:t>“</w:t>
      </w:r>
      <w:r w:rsidRPr="00382917">
        <w:t>Christian</w:t>
      </w:r>
      <w:r w:rsidR="00EE4FC3">
        <w:t xml:space="preserve"> </w:t>
      </w:r>
      <w:r w:rsidRPr="00382917">
        <w:t>missions</w:t>
      </w:r>
      <w:r w:rsidR="00EE4FC3">
        <w:t xml:space="preserve"> </w:t>
      </w:r>
      <w:r w:rsidRPr="00382917">
        <w:t>began</w:t>
      </w:r>
      <w:r w:rsidR="00EE4FC3">
        <w:t xml:space="preserve"> </w:t>
      </w:r>
      <w:r w:rsidRPr="00382917">
        <w:t>their</w:t>
      </w:r>
      <w:r w:rsidR="00EE4FC3">
        <w:t xml:space="preserve"> </w:t>
      </w:r>
      <w:r w:rsidRPr="00382917">
        <w:t>activities</w:t>
      </w:r>
      <w:r w:rsidR="00EE4FC3">
        <w:t xml:space="preserve"> </w:t>
      </w:r>
      <w:r w:rsidRPr="00382917">
        <w:t>amongst</w:t>
      </w:r>
      <w:r w:rsidR="00EE4FC3">
        <w:t xml:space="preserve"> </w:t>
      </w:r>
      <w:r w:rsidRPr="00382917">
        <w:t>the</w:t>
      </w:r>
      <w:r w:rsidR="00EE4FC3">
        <w:t xml:space="preserve"> </w:t>
      </w:r>
      <w:r w:rsidRPr="00382917">
        <w:t>African</w:t>
      </w:r>
      <w:r w:rsidR="00EE4FC3">
        <w:t xml:space="preserve"> </w:t>
      </w:r>
      <w:r w:rsidRPr="00382917">
        <w:t>people</w:t>
      </w:r>
      <w:r w:rsidR="00EE4FC3">
        <w:t xml:space="preserve"> </w:t>
      </w:r>
      <w:r w:rsidRPr="00382917">
        <w:t>in</w:t>
      </w:r>
      <w:r w:rsidR="00EE4FC3">
        <w:t xml:space="preserve"> </w:t>
      </w:r>
      <w:r w:rsidRPr="00382917">
        <w:t>1844.</w:t>
      </w:r>
      <w:r w:rsidR="009C713D" w:rsidRPr="00382917">
        <w:t>”</w:t>
      </w:r>
      <w:r w:rsidR="00411B04">
        <w:rPr>
          <w:rStyle w:val="FootnoteReference"/>
        </w:rPr>
        <w:footnoteReference w:id="292"/>
      </w:r>
    </w:p>
    <w:p w:rsidR="00F1111D" w:rsidRPr="00382917" w:rsidRDefault="00F1111D" w:rsidP="00244241">
      <w:pPr>
        <w:pStyle w:val="Text"/>
      </w:pPr>
      <w:r w:rsidRPr="00382917">
        <w:t>The</w:t>
      </w:r>
      <w:r w:rsidR="00EE4FC3">
        <w:t xml:space="preserve"> </w:t>
      </w:r>
      <w:r w:rsidRPr="00382917">
        <w:t>Gospel</w:t>
      </w:r>
      <w:r w:rsidR="00EE4FC3">
        <w:t xml:space="preserve"> </w:t>
      </w:r>
      <w:r w:rsidRPr="00382917">
        <w:t>of</w:t>
      </w:r>
      <w:r w:rsidR="00EE4FC3">
        <w:t xml:space="preserve"> </w:t>
      </w:r>
      <w:r w:rsidRPr="00382917">
        <w:t>Christ</w:t>
      </w:r>
      <w:r w:rsidR="00EE4FC3">
        <w:t xml:space="preserve"> </w:t>
      </w:r>
      <w:r w:rsidRPr="00382917">
        <w:t>had</w:t>
      </w:r>
      <w:r w:rsidR="00EE4FC3">
        <w:t xml:space="preserve"> </w:t>
      </w:r>
      <w:r w:rsidRPr="00382917">
        <w:t>now</w:t>
      </w:r>
      <w:r w:rsidR="00EE4FC3">
        <w:t xml:space="preserve"> </w:t>
      </w:r>
      <w:r w:rsidRPr="00382917">
        <w:t>been</w:t>
      </w:r>
      <w:r w:rsidR="00EE4FC3">
        <w:t xml:space="preserve"> </w:t>
      </w:r>
      <w:r w:rsidR="009C713D" w:rsidRPr="00382917">
        <w:t>“</w:t>
      </w:r>
      <w:r w:rsidRPr="00382917">
        <w:t>preached</w:t>
      </w:r>
      <w:r w:rsidR="00EE4FC3">
        <w:t xml:space="preserve"> </w:t>
      </w:r>
      <w:r w:rsidRPr="00382917">
        <w:t>in</w:t>
      </w:r>
      <w:r w:rsidR="00EE4FC3">
        <w:t xml:space="preserve"> </w:t>
      </w:r>
      <w:proofErr w:type="gramStart"/>
      <w:r w:rsidRPr="00382917">
        <w:t>all</w:t>
      </w:r>
      <w:r w:rsidR="00EE4FC3">
        <w:t xml:space="preserve"> </w:t>
      </w:r>
      <w:r w:rsidRPr="00382917">
        <w:t>the</w:t>
      </w:r>
      <w:proofErr w:type="gramEnd"/>
      <w:r w:rsidR="00EE4FC3">
        <w:t xml:space="preserve"> </w:t>
      </w:r>
      <w:r w:rsidRPr="00382917">
        <w:t>world</w:t>
      </w:r>
      <w:r w:rsidR="00EE4FC3">
        <w:t xml:space="preserve"> </w:t>
      </w:r>
      <w:r w:rsidRPr="00382917">
        <w:t>for</w:t>
      </w:r>
      <w:r w:rsidR="00EE4FC3">
        <w:t xml:space="preserve"> </w:t>
      </w:r>
      <w:r w:rsidRPr="00382917">
        <w:t>a</w:t>
      </w:r>
      <w:r w:rsidR="00EE4FC3">
        <w:t xml:space="preserve"> </w:t>
      </w:r>
      <w:r w:rsidRPr="00382917">
        <w:t>witness</w:t>
      </w:r>
      <w:r w:rsidR="009C713D" w:rsidRPr="00382917">
        <w:t>”</w:t>
      </w:r>
      <w:r w:rsidR="00EE4FC3">
        <w:t xml:space="preserve"> </w:t>
      </w:r>
      <w:r w:rsidRPr="00382917">
        <w:t>and</w:t>
      </w:r>
      <w:r w:rsidR="00EE4FC3">
        <w:t xml:space="preserve"> </w:t>
      </w:r>
      <w:r w:rsidRPr="00382917">
        <w:t>therefore,</w:t>
      </w:r>
      <w:r w:rsidR="00EE4FC3">
        <w:t xml:space="preserve"> </w:t>
      </w:r>
      <w:r w:rsidRPr="00382917">
        <w:t>these</w:t>
      </w:r>
      <w:r w:rsidR="00EE4FC3">
        <w:t xml:space="preserve"> </w:t>
      </w:r>
      <w:r w:rsidRPr="00382917">
        <w:t>scholars</w:t>
      </w:r>
      <w:r w:rsidR="00EE4FC3">
        <w:t xml:space="preserve"> </w:t>
      </w:r>
      <w:r w:rsidRPr="00382917">
        <w:t>had</w:t>
      </w:r>
      <w:r w:rsidR="00EE4FC3">
        <w:t xml:space="preserve"> </w:t>
      </w:r>
      <w:r w:rsidRPr="00382917">
        <w:t>reasoned,</w:t>
      </w:r>
      <w:r w:rsidR="00EE4FC3">
        <w:t xml:space="preserve"> </w:t>
      </w:r>
      <w:r w:rsidRPr="00382917">
        <w:t>the</w:t>
      </w:r>
      <w:r w:rsidR="00EE4FC3">
        <w:t xml:space="preserve"> </w:t>
      </w:r>
      <w:r w:rsidRPr="00382917">
        <w:t>hour</w:t>
      </w:r>
      <w:r w:rsidR="00EE4FC3">
        <w:t xml:space="preserve"> </w:t>
      </w:r>
      <w:r w:rsidRPr="00382917">
        <w:t>of</w:t>
      </w:r>
      <w:r w:rsidR="00EE4FC3">
        <w:t xml:space="preserve"> </w:t>
      </w:r>
      <w:r w:rsidRPr="00382917">
        <w:t>His</w:t>
      </w:r>
      <w:r w:rsidR="00EE4FC3">
        <w:t xml:space="preserve"> </w:t>
      </w:r>
      <w:r w:rsidRPr="00382917">
        <w:t>coming</w:t>
      </w:r>
      <w:r w:rsidR="00EE4FC3">
        <w:t xml:space="preserve"> </w:t>
      </w:r>
      <w:r w:rsidRPr="00382917">
        <w:t>was</w:t>
      </w:r>
      <w:r w:rsidR="00EE4FC3">
        <w:t xml:space="preserve"> </w:t>
      </w:r>
      <w:r w:rsidRPr="00382917">
        <w:t>at</w:t>
      </w:r>
      <w:r w:rsidR="00EE4FC3">
        <w:t xml:space="preserve"> </w:t>
      </w:r>
      <w:r w:rsidRPr="00382917">
        <w:t>hand.</w:t>
      </w:r>
    </w:p>
    <w:p w:rsidR="00F1111D" w:rsidRPr="00382917" w:rsidRDefault="00F1111D" w:rsidP="00244241">
      <w:pPr>
        <w:pStyle w:val="Text"/>
      </w:pPr>
      <w:r w:rsidRPr="00382917">
        <w:t>Thus</w:t>
      </w:r>
      <w:r w:rsidR="00EE4FC3">
        <w:t xml:space="preserve"> </w:t>
      </w:r>
      <w:r w:rsidRPr="00382917">
        <w:t>the</w:t>
      </w:r>
      <w:r w:rsidR="00EE4FC3">
        <w:t xml:space="preserve"> </w:t>
      </w:r>
      <w:r w:rsidRPr="00382917">
        <w:t>first</w:t>
      </w:r>
      <w:r w:rsidR="00EE4FC3">
        <w:t xml:space="preserve"> </w:t>
      </w:r>
      <w:r w:rsidRPr="00382917">
        <w:t>promise</w:t>
      </w:r>
      <w:r w:rsidR="00EE4FC3">
        <w:t xml:space="preserve"> </w:t>
      </w:r>
      <w:r w:rsidRPr="00382917">
        <w:t>of</w:t>
      </w:r>
      <w:r w:rsidR="00EE4FC3">
        <w:t xml:space="preserve"> </w:t>
      </w:r>
      <w:r w:rsidRPr="00382917">
        <w:t>Christ</w:t>
      </w:r>
      <w:r w:rsidR="00EE4FC3">
        <w:t xml:space="preserve"> </w:t>
      </w:r>
      <w:r w:rsidRPr="00382917">
        <w:t>was</w:t>
      </w:r>
      <w:r w:rsidR="00EE4FC3">
        <w:t xml:space="preserve"> </w:t>
      </w:r>
      <w:r w:rsidRPr="00382917">
        <w:t>fulfilled</w:t>
      </w:r>
      <w:r w:rsidR="00EE4FC3">
        <w:t xml:space="preserve"> </w:t>
      </w:r>
      <w:r w:rsidRPr="00382917">
        <w:t>by</w:t>
      </w:r>
      <w:r w:rsidR="00EE4FC3">
        <w:t xml:space="preserve"> </w:t>
      </w:r>
      <w:r w:rsidRPr="00382917">
        <w:t>the</w:t>
      </w:r>
      <w:r w:rsidR="00EE4FC3">
        <w:t xml:space="preserve"> </w:t>
      </w:r>
      <w:r w:rsidRPr="00382917">
        <w:t>year</w:t>
      </w:r>
      <w:r w:rsidR="00EE4FC3">
        <w:t xml:space="preserve"> </w:t>
      </w:r>
      <w:r w:rsidRPr="00382917">
        <w:t>1844.</w:t>
      </w:r>
    </w:p>
    <w:p w:rsidR="00F1111D" w:rsidRPr="00382917" w:rsidRDefault="00F1111D" w:rsidP="00411B04">
      <w:pPr>
        <w:pStyle w:val="Text"/>
      </w:pPr>
      <w:r w:rsidRPr="00382917">
        <w:t>S</w:t>
      </w:r>
      <w:r w:rsidRPr="007949AC">
        <w:rPr>
          <w:sz w:val="18"/>
          <w:szCs w:val="18"/>
        </w:rPr>
        <w:t>ECOND</w:t>
      </w:r>
      <w:r w:rsidR="00EE4FC3" w:rsidRPr="007949AC">
        <w:rPr>
          <w:sz w:val="18"/>
          <w:szCs w:val="18"/>
        </w:rPr>
        <w:t xml:space="preserve"> </w:t>
      </w:r>
      <w:r w:rsidRPr="007949AC">
        <w:rPr>
          <w:sz w:val="18"/>
          <w:szCs w:val="18"/>
        </w:rPr>
        <w:t>PROMISE</w:t>
      </w:r>
      <w:r w:rsidR="00C03C91">
        <w:t>:</w:t>
      </w:r>
      <w:r w:rsidR="00EE4FC3">
        <w:t xml:space="preserve">  </w:t>
      </w:r>
      <w:r w:rsidRPr="00382917">
        <w:t>When</w:t>
      </w:r>
      <w:r w:rsidR="00EE4FC3">
        <w:t xml:space="preserve"> </w:t>
      </w:r>
      <w:r w:rsidRPr="00382917">
        <w:t>the</w:t>
      </w:r>
      <w:r w:rsidR="00EE4FC3">
        <w:t xml:space="preserve"> </w:t>
      </w:r>
      <w:r w:rsidR="009C713D" w:rsidRPr="00382917">
        <w:t>“</w:t>
      </w:r>
      <w:r w:rsidRPr="00382917">
        <w:t>times</w:t>
      </w:r>
      <w:r w:rsidR="00EE4FC3">
        <w:t xml:space="preserve"> </w:t>
      </w:r>
      <w:r w:rsidRPr="00382917">
        <w:t>of</w:t>
      </w:r>
      <w:r w:rsidR="00EE4FC3">
        <w:t xml:space="preserve"> </w:t>
      </w:r>
      <w:r w:rsidRPr="00382917">
        <w:t>the</w:t>
      </w:r>
      <w:r w:rsidR="00EE4FC3">
        <w:t xml:space="preserve"> </w:t>
      </w:r>
      <w:r w:rsidRPr="00382917">
        <w:t>Gentiles</w:t>
      </w:r>
      <w:r w:rsidR="009C713D" w:rsidRPr="00382917">
        <w:t>”</w:t>
      </w:r>
      <w:r w:rsidR="00EE4FC3">
        <w:t xml:space="preserve"> </w:t>
      </w:r>
      <w:r w:rsidRPr="00382917">
        <w:t>is</w:t>
      </w:r>
      <w:r w:rsidR="00EE4FC3">
        <w:t xml:space="preserve"> </w:t>
      </w:r>
      <w:r w:rsidRPr="00382917">
        <w:t>fulfilled</w:t>
      </w:r>
      <w:r w:rsidR="00EE4FC3">
        <w:t xml:space="preserve"> </w:t>
      </w:r>
      <w:r w:rsidRPr="00382917">
        <w:t>and</w:t>
      </w:r>
      <w:r w:rsidR="00EE4FC3">
        <w:t xml:space="preserve"> </w:t>
      </w:r>
      <w:r w:rsidRPr="00382917">
        <w:t>the</w:t>
      </w:r>
      <w:r w:rsidR="00EE4FC3">
        <w:t xml:space="preserve"> </w:t>
      </w:r>
      <w:r w:rsidRPr="00382917">
        <w:t>Jews</w:t>
      </w:r>
      <w:r w:rsidR="00EE4FC3">
        <w:t xml:space="preserve"> </w:t>
      </w:r>
      <w:r w:rsidRPr="00382917">
        <w:t>return</w:t>
      </w:r>
      <w:r w:rsidR="00EE4FC3">
        <w:t xml:space="preserve"> </w:t>
      </w:r>
      <w:r w:rsidRPr="00382917">
        <w:t>to</w:t>
      </w:r>
      <w:r w:rsidR="00EE4FC3">
        <w:t xml:space="preserve"> </w:t>
      </w:r>
      <w:r w:rsidRPr="00382917">
        <w:t>Israel,</w:t>
      </w:r>
      <w:r w:rsidR="00EE4FC3">
        <w:t xml:space="preserve"> </w:t>
      </w:r>
      <w:r w:rsidRPr="00382917">
        <w:t>Christ</w:t>
      </w:r>
      <w:r w:rsidR="00EE4FC3">
        <w:t xml:space="preserve"> </w:t>
      </w:r>
      <w:r w:rsidRPr="00382917">
        <w:t>will</w:t>
      </w:r>
      <w:r w:rsidR="00EE4FC3">
        <w:t xml:space="preserve"> </w:t>
      </w:r>
      <w:r w:rsidRPr="00382917">
        <w:t>come</w:t>
      </w:r>
      <w:r w:rsidR="00EE4FC3">
        <w:t xml:space="preserve"> </w:t>
      </w:r>
      <w:r w:rsidRPr="00382917">
        <w:t>back</w:t>
      </w:r>
      <w:r w:rsidR="00EE4FC3">
        <w:t xml:space="preserve"> </w:t>
      </w:r>
      <w:r w:rsidRPr="00382917">
        <w:t>to</w:t>
      </w:r>
      <w:r w:rsidR="00EE4FC3">
        <w:t xml:space="preserve"> </w:t>
      </w:r>
      <w:r w:rsidRPr="00382917">
        <w:t>earth</w:t>
      </w:r>
      <w:r w:rsidR="00552489">
        <w:t>.</w:t>
      </w:r>
      <w:r w:rsidR="00EE4FC3">
        <w:t xml:space="preserve">  </w:t>
      </w:r>
      <w:r w:rsidRPr="00382917">
        <w:t>Christ</w:t>
      </w:r>
      <w:r w:rsidR="00EE4FC3">
        <w:t xml:space="preserve"> </w:t>
      </w:r>
      <w:r w:rsidRPr="00382917">
        <w:t>gave</w:t>
      </w:r>
      <w:r w:rsidR="00EE4FC3">
        <w:t xml:space="preserve"> </w:t>
      </w:r>
      <w:r w:rsidRPr="00382917">
        <w:t>this</w:t>
      </w:r>
      <w:r w:rsidR="00EE4FC3">
        <w:t xml:space="preserve"> </w:t>
      </w:r>
      <w:r w:rsidRPr="00382917">
        <w:t>promise</w:t>
      </w:r>
      <w:r w:rsidR="00EE4FC3">
        <w:t xml:space="preserve"> </w:t>
      </w:r>
      <w:r w:rsidRPr="00382917">
        <w:t>in</w:t>
      </w:r>
      <w:r w:rsidR="00EE4FC3">
        <w:t xml:space="preserve"> </w:t>
      </w:r>
      <w:r w:rsidRPr="00382917">
        <w:t>answer</w:t>
      </w:r>
      <w:r w:rsidR="00EE4FC3">
        <w:t xml:space="preserve"> </w:t>
      </w:r>
      <w:r w:rsidRPr="00382917">
        <w:t>to</w:t>
      </w:r>
      <w:r w:rsidR="00EE4FC3">
        <w:t xml:space="preserve"> </w:t>
      </w:r>
      <w:r w:rsidRPr="00382917">
        <w:t>the</w:t>
      </w:r>
      <w:r w:rsidR="00EE4FC3">
        <w:t xml:space="preserve"> </w:t>
      </w:r>
      <w:r w:rsidRPr="00382917">
        <w:t>questions</w:t>
      </w:r>
      <w:r w:rsidR="00EE4FC3">
        <w:t xml:space="preserve"> </w:t>
      </w:r>
      <w:r w:rsidRPr="00382917">
        <w:t>of</w:t>
      </w:r>
      <w:r w:rsidR="00EE4FC3">
        <w:t xml:space="preserve"> </w:t>
      </w:r>
      <w:r w:rsidRPr="00382917">
        <w:t>His</w:t>
      </w:r>
      <w:r w:rsidR="00EE4FC3">
        <w:t xml:space="preserve"> </w:t>
      </w:r>
      <w:r w:rsidRPr="00382917">
        <w:t>disciples</w:t>
      </w:r>
      <w:r w:rsidR="00552489">
        <w:t>.</w:t>
      </w:r>
      <w:r w:rsidR="00EE4FC3">
        <w:t xml:space="preserve">  </w:t>
      </w:r>
      <w:r w:rsidRPr="00382917">
        <w:t>They</w:t>
      </w:r>
      <w:r w:rsidR="00EE4FC3">
        <w:t xml:space="preserve"> </w:t>
      </w:r>
      <w:r w:rsidRPr="00382917">
        <w:t>asked</w:t>
      </w:r>
      <w:r w:rsidR="00EE4FC3">
        <w:t xml:space="preserve"> </w:t>
      </w:r>
      <w:r w:rsidRPr="00382917">
        <w:t>Him</w:t>
      </w:r>
      <w:r w:rsidR="00C03C91">
        <w:t>:</w:t>
      </w:r>
      <w:r w:rsidR="00EE4FC3">
        <w:t xml:space="preserve">  </w:t>
      </w:r>
      <w:r w:rsidR="009C713D" w:rsidRPr="00382917">
        <w:t>“</w:t>
      </w:r>
      <w:r w:rsidRPr="00382917">
        <w:t>When</w:t>
      </w:r>
      <w:r w:rsidR="00EE4FC3">
        <w:t xml:space="preserve"> </w:t>
      </w:r>
      <w:r w:rsidRPr="00382917">
        <w:t>shall</w:t>
      </w:r>
      <w:r w:rsidR="00EE4FC3">
        <w:t xml:space="preserve"> </w:t>
      </w:r>
      <w:r w:rsidRPr="00382917">
        <w:t>these</w:t>
      </w:r>
      <w:r w:rsidR="00EE4FC3">
        <w:t xml:space="preserve"> </w:t>
      </w:r>
      <w:r w:rsidRPr="00382917">
        <w:t>things</w:t>
      </w:r>
      <w:r w:rsidR="00EE4FC3">
        <w:t xml:space="preserve"> </w:t>
      </w:r>
      <w:r w:rsidRPr="00382917">
        <w:t>be</w:t>
      </w:r>
      <w:proofErr w:type="gramStart"/>
      <w:r w:rsidRPr="00382917">
        <w:t>?</w:t>
      </w:r>
      <w:r w:rsidR="00EE4FC3">
        <w:t xml:space="preserve"> </w:t>
      </w:r>
      <w:r w:rsidRPr="00382917">
        <w:t>and</w:t>
      </w:r>
      <w:proofErr w:type="gramEnd"/>
      <w:r w:rsidR="00EE4FC3">
        <w:t xml:space="preserve"> </w:t>
      </w:r>
      <w:r w:rsidRPr="00382917">
        <w:t>what</w:t>
      </w:r>
      <w:r w:rsidR="00EE4FC3">
        <w:t xml:space="preserve"> </w:t>
      </w:r>
      <w:r w:rsidRPr="00382917">
        <w:t>sign</w:t>
      </w:r>
      <w:r w:rsidR="00EE4FC3">
        <w:t xml:space="preserve"> </w:t>
      </w:r>
      <w:r w:rsidRPr="00382917">
        <w:t>will</w:t>
      </w:r>
      <w:r w:rsidR="00EE4FC3">
        <w:t xml:space="preserve"> </w:t>
      </w:r>
      <w:r w:rsidRPr="00382917">
        <w:t>there</w:t>
      </w:r>
      <w:r w:rsidR="00EE4FC3">
        <w:t xml:space="preserve"> </w:t>
      </w:r>
      <w:r w:rsidRPr="00382917">
        <w:t>be</w:t>
      </w:r>
      <w:r w:rsidR="00EE4FC3">
        <w:t xml:space="preserve"> </w:t>
      </w:r>
      <w:r w:rsidRPr="00382917">
        <w:t>when</w:t>
      </w:r>
      <w:r w:rsidR="00EE4FC3">
        <w:t xml:space="preserve"> </w:t>
      </w:r>
      <w:r w:rsidRPr="00382917">
        <w:t>these</w:t>
      </w:r>
      <w:r w:rsidR="00EE4FC3">
        <w:t xml:space="preserve"> </w:t>
      </w:r>
      <w:r w:rsidRPr="00382917">
        <w:t>things</w:t>
      </w:r>
      <w:r w:rsidR="00EE4FC3">
        <w:t xml:space="preserve"> </w:t>
      </w:r>
      <w:r w:rsidRPr="00382917">
        <w:t>shall</w:t>
      </w:r>
      <w:r w:rsidR="00EE4FC3">
        <w:t xml:space="preserve"> </w:t>
      </w:r>
      <w:r w:rsidRPr="00382917">
        <w:t>come</w:t>
      </w:r>
      <w:r w:rsidR="00EE4FC3">
        <w:t xml:space="preserve"> </w:t>
      </w:r>
      <w:r w:rsidRPr="00382917">
        <w:t>to</w:t>
      </w:r>
      <w:r w:rsidR="00EE4FC3">
        <w:t xml:space="preserve"> </w:t>
      </w:r>
      <w:r w:rsidRPr="00382917">
        <w:t>pass?</w:t>
      </w:r>
      <w:r w:rsidR="009C713D" w:rsidRPr="00382917">
        <w:t>”</w:t>
      </w:r>
      <w:r w:rsidR="00411B04">
        <w:rPr>
          <w:rStyle w:val="FootnoteReference"/>
        </w:rPr>
        <w:footnoteReference w:id="293"/>
      </w:r>
    </w:p>
    <w:p w:rsidR="00F1111D" w:rsidRPr="00382917" w:rsidRDefault="00F1111D" w:rsidP="008C4ED7">
      <w:pPr>
        <w:pStyle w:val="Text"/>
      </w:pPr>
      <w:r w:rsidRPr="00382917">
        <w:t>He</w:t>
      </w:r>
      <w:r w:rsidR="00EE4FC3">
        <w:t xml:space="preserve"> </w:t>
      </w:r>
      <w:r w:rsidRPr="00382917">
        <w:t>gave</w:t>
      </w:r>
      <w:r w:rsidR="00EE4FC3">
        <w:t xml:space="preserve"> </w:t>
      </w:r>
      <w:r w:rsidRPr="00382917">
        <w:t>them</w:t>
      </w:r>
      <w:r w:rsidR="00EE4FC3">
        <w:t xml:space="preserve"> </w:t>
      </w:r>
      <w:r w:rsidRPr="00382917">
        <w:t>His</w:t>
      </w:r>
      <w:r w:rsidR="00EE4FC3">
        <w:t xml:space="preserve"> </w:t>
      </w:r>
      <w:r w:rsidRPr="00382917">
        <w:t>promise</w:t>
      </w:r>
      <w:r w:rsidR="00EE4FC3">
        <w:t xml:space="preserve"> </w:t>
      </w:r>
      <w:r w:rsidRPr="00382917">
        <w:t>in</w:t>
      </w:r>
      <w:r w:rsidR="00EE4FC3">
        <w:t xml:space="preserve"> </w:t>
      </w:r>
      <w:r w:rsidRPr="00382917">
        <w:t>the</w:t>
      </w:r>
      <w:r w:rsidR="00EE4FC3">
        <w:t xml:space="preserve"> </w:t>
      </w:r>
      <w:r w:rsidRPr="00382917">
        <w:t>following</w:t>
      </w:r>
      <w:r w:rsidR="00EE4FC3">
        <w:t xml:space="preserve"> </w:t>
      </w:r>
      <w:r w:rsidRPr="00382917">
        <w:t>words</w:t>
      </w:r>
      <w:r w:rsidR="00C03C91">
        <w:t>:</w:t>
      </w:r>
      <w:r w:rsidR="00EE4FC3">
        <w:t xml:space="preserve">  </w:t>
      </w:r>
      <w:r w:rsidR="009C713D" w:rsidRPr="00382917">
        <w:t>“</w:t>
      </w:r>
      <w:r w:rsidRPr="00382917">
        <w:t>And</w:t>
      </w:r>
      <w:r w:rsidR="00EE4FC3">
        <w:t xml:space="preserve"> </w:t>
      </w:r>
      <w:r w:rsidRPr="00382917">
        <w:t>they</w:t>
      </w:r>
      <w:r w:rsidR="00EE4FC3">
        <w:t xml:space="preserve"> </w:t>
      </w:r>
      <w:r w:rsidRPr="00382917">
        <w:t>shall</w:t>
      </w:r>
      <w:r w:rsidR="00EE4FC3">
        <w:t xml:space="preserve"> </w:t>
      </w:r>
      <w:r w:rsidRPr="00382917">
        <w:t>fall</w:t>
      </w:r>
      <w:r w:rsidR="00EE4FC3">
        <w:t xml:space="preserve"> </w:t>
      </w:r>
      <w:r w:rsidRPr="00382917">
        <w:t>by</w:t>
      </w:r>
      <w:r w:rsidR="00EE4FC3">
        <w:t xml:space="preserve"> </w:t>
      </w:r>
      <w:r w:rsidRPr="00382917">
        <w:t>the</w:t>
      </w:r>
      <w:r w:rsidR="00EE4FC3">
        <w:t xml:space="preserve"> </w:t>
      </w:r>
      <w:r w:rsidRPr="00382917">
        <w:t>edge</w:t>
      </w:r>
      <w:r w:rsidR="00EE4FC3">
        <w:t xml:space="preserve"> </w:t>
      </w:r>
      <w:r w:rsidRPr="00382917">
        <w:t>of</w:t>
      </w:r>
      <w:r w:rsidR="00EE4FC3">
        <w:t xml:space="preserve"> </w:t>
      </w:r>
      <w:r w:rsidRPr="00382917">
        <w:t>the</w:t>
      </w:r>
      <w:r w:rsidR="00EE4FC3">
        <w:t xml:space="preserve"> </w:t>
      </w:r>
      <w:r w:rsidRPr="00382917">
        <w:t>sword,</w:t>
      </w:r>
      <w:r w:rsidR="00EE4FC3">
        <w:t xml:space="preserve"> </w:t>
      </w:r>
      <w:r w:rsidRPr="00382917">
        <w:t>and</w:t>
      </w:r>
      <w:r w:rsidR="00EE4FC3">
        <w:t xml:space="preserve"> </w:t>
      </w:r>
      <w:r w:rsidRPr="00382917">
        <w:t>shall</w:t>
      </w:r>
      <w:r w:rsidR="00EE4FC3">
        <w:t xml:space="preserve"> </w:t>
      </w:r>
      <w:r w:rsidRPr="00382917">
        <w:t>be</w:t>
      </w:r>
      <w:r w:rsidR="00EE4FC3">
        <w:t xml:space="preserve"> </w:t>
      </w:r>
      <w:r w:rsidRPr="00382917">
        <w:t>led</w:t>
      </w:r>
      <w:r w:rsidR="00EE4FC3">
        <w:t xml:space="preserve"> </w:t>
      </w:r>
      <w:r w:rsidRPr="00382917">
        <w:t>away</w:t>
      </w:r>
      <w:r w:rsidR="00EE4FC3">
        <w:t xml:space="preserve"> </w:t>
      </w:r>
      <w:r w:rsidRPr="00382917">
        <w:t>captive</w:t>
      </w:r>
      <w:r w:rsidR="00EE4FC3">
        <w:t xml:space="preserve"> </w:t>
      </w:r>
      <w:r w:rsidRPr="00382917">
        <w:t>into</w:t>
      </w:r>
      <w:r w:rsidR="00EE4FC3">
        <w:t xml:space="preserve"> </w:t>
      </w:r>
      <w:r w:rsidRPr="00382917">
        <w:t>all</w:t>
      </w:r>
      <w:r w:rsidR="00EE4FC3">
        <w:t xml:space="preserve"> </w:t>
      </w:r>
      <w:r w:rsidRPr="00382917">
        <w:t>nations</w:t>
      </w:r>
      <w:r w:rsidR="00C03C91">
        <w:t>:</w:t>
      </w:r>
      <w:r w:rsidR="00EE4FC3">
        <w:t xml:space="preserve">  </w:t>
      </w:r>
      <w:r w:rsidRPr="00382917">
        <w:t>and</w:t>
      </w:r>
      <w:r w:rsidR="00EE4FC3">
        <w:t xml:space="preserve"> </w:t>
      </w:r>
      <w:r w:rsidRPr="00382917">
        <w:t>Jerusalem</w:t>
      </w:r>
      <w:r w:rsidR="00EE4FC3">
        <w:t xml:space="preserve"> </w:t>
      </w:r>
      <w:r w:rsidRPr="00382917">
        <w:t>shall</w:t>
      </w:r>
      <w:r w:rsidR="00EE4FC3">
        <w:t xml:space="preserve"> </w:t>
      </w:r>
      <w:r w:rsidRPr="00382917">
        <w:t>be</w:t>
      </w:r>
      <w:r w:rsidR="00EE4FC3">
        <w:t xml:space="preserve"> </w:t>
      </w:r>
      <w:r w:rsidRPr="00382917">
        <w:t>trodden</w:t>
      </w:r>
      <w:r w:rsidR="00EE4FC3">
        <w:t xml:space="preserve"> </w:t>
      </w:r>
      <w:r w:rsidRPr="00382917">
        <w:t>down</w:t>
      </w:r>
      <w:r w:rsidR="00EE4FC3">
        <w:t xml:space="preserve"> </w:t>
      </w:r>
      <w:r w:rsidRPr="00382917">
        <w:t>of</w:t>
      </w:r>
      <w:r w:rsidR="00EE4FC3">
        <w:t xml:space="preserve"> </w:t>
      </w:r>
      <w:r w:rsidRPr="00382917">
        <w:t>the</w:t>
      </w:r>
      <w:r w:rsidR="00EE4FC3">
        <w:t xml:space="preserve"> </w:t>
      </w:r>
      <w:r w:rsidRPr="00382917">
        <w:t>Gentiles,</w:t>
      </w:r>
      <w:r w:rsidR="00EE4FC3">
        <w:t xml:space="preserve"> </w:t>
      </w:r>
      <w:r w:rsidRPr="00382917">
        <w:t>until</w:t>
      </w:r>
      <w:r w:rsidR="00EE4FC3">
        <w:t xml:space="preserve"> </w:t>
      </w:r>
      <w:r w:rsidRPr="00382917">
        <w:t>the</w:t>
      </w:r>
      <w:r w:rsidR="00EE4FC3">
        <w:t xml:space="preserve"> </w:t>
      </w:r>
      <w:r w:rsidRPr="00382917">
        <w:t>times</w:t>
      </w:r>
      <w:r w:rsidR="00EE4FC3">
        <w:t xml:space="preserve"> </w:t>
      </w:r>
      <w:r w:rsidRPr="00382917">
        <w:t>of</w:t>
      </w:r>
      <w:r w:rsidR="00EE4FC3">
        <w:t xml:space="preserve"> </w:t>
      </w:r>
      <w:r w:rsidRPr="00382917">
        <w:t>the</w:t>
      </w:r>
      <w:r w:rsidR="00EE4FC3">
        <w:t xml:space="preserve"> </w:t>
      </w:r>
      <w:r w:rsidRPr="00382917">
        <w:t>Gentiles</w:t>
      </w:r>
      <w:r w:rsidR="00EE4FC3">
        <w:t xml:space="preserve"> </w:t>
      </w:r>
      <w:r w:rsidRPr="00382917">
        <w:t>be</w:t>
      </w:r>
      <w:r w:rsidR="00EE4FC3">
        <w:t xml:space="preserve"> </w:t>
      </w:r>
      <w:r w:rsidRPr="00382917">
        <w:t>fulfilled</w:t>
      </w:r>
      <w:r w:rsidR="00EE4FC3">
        <w:t xml:space="preserve"> </w:t>
      </w:r>
      <w:r w:rsidR="00F04416" w:rsidRPr="00382917">
        <w:t>…</w:t>
      </w:r>
      <w:r w:rsidR="00EE4FC3">
        <w:t xml:space="preserve"> </w:t>
      </w:r>
      <w:r w:rsidRPr="00382917">
        <w:t>and</w:t>
      </w:r>
      <w:r w:rsidR="00EE4FC3">
        <w:t xml:space="preserve"> </w:t>
      </w:r>
      <w:r w:rsidRPr="00382917">
        <w:t>then</w:t>
      </w:r>
      <w:r w:rsidR="00EE4FC3">
        <w:t xml:space="preserve"> </w:t>
      </w:r>
      <w:r w:rsidRPr="00382917">
        <w:t>shall</w:t>
      </w:r>
      <w:r w:rsidR="00EE4FC3">
        <w:t xml:space="preserve"> </w:t>
      </w:r>
      <w:r w:rsidRPr="00382917">
        <w:t>they</w:t>
      </w:r>
      <w:r w:rsidR="00EE4FC3">
        <w:t xml:space="preserve"> </w:t>
      </w:r>
      <w:r w:rsidRPr="00382917">
        <w:t>see</w:t>
      </w:r>
      <w:r w:rsidR="00EE4FC3">
        <w:t xml:space="preserve"> </w:t>
      </w:r>
      <w:r w:rsidRPr="00382917">
        <w:t>the</w:t>
      </w:r>
      <w:r w:rsidR="00EE4FC3">
        <w:t xml:space="preserve"> </w:t>
      </w:r>
      <w:r w:rsidRPr="00382917">
        <w:t>Son</w:t>
      </w:r>
      <w:r w:rsidR="00EE4FC3">
        <w:t xml:space="preserve"> </w:t>
      </w:r>
      <w:r w:rsidRPr="00382917">
        <w:t>of</w:t>
      </w:r>
      <w:r w:rsidR="00EE4FC3">
        <w:t xml:space="preserve"> </w:t>
      </w:r>
      <w:r w:rsidRPr="00382917">
        <w:t>Man</w:t>
      </w:r>
      <w:r w:rsidR="00EE4FC3">
        <w:t xml:space="preserve"> </w:t>
      </w:r>
      <w:r w:rsidRPr="00382917">
        <w:t>coming</w:t>
      </w:r>
      <w:r w:rsidR="00EE4FC3">
        <w:t xml:space="preserve"> </w:t>
      </w:r>
      <w:r w:rsidRPr="00382917">
        <w:t>in</w:t>
      </w:r>
      <w:r w:rsidR="00EE4FC3">
        <w:t xml:space="preserve"> </w:t>
      </w:r>
      <w:r w:rsidRPr="00382917">
        <w:t>a</w:t>
      </w:r>
      <w:r w:rsidR="00EE4FC3">
        <w:t xml:space="preserve"> </w:t>
      </w:r>
      <w:r w:rsidRPr="00382917">
        <w:t>cloud</w:t>
      </w:r>
      <w:r w:rsidR="00EE4FC3">
        <w:t xml:space="preserve"> </w:t>
      </w:r>
      <w:r w:rsidRPr="00382917">
        <w:t>with</w:t>
      </w:r>
      <w:r w:rsidR="00EE4FC3">
        <w:t xml:space="preserve"> </w:t>
      </w:r>
      <w:r w:rsidRPr="00382917">
        <w:t>power</w:t>
      </w:r>
      <w:r w:rsidR="00EE4FC3">
        <w:t xml:space="preserve"> </w:t>
      </w:r>
      <w:r w:rsidRPr="00382917">
        <w:t>and</w:t>
      </w:r>
      <w:r w:rsidR="00EE4FC3">
        <w:t xml:space="preserve"> </w:t>
      </w:r>
      <w:r w:rsidRPr="00382917">
        <w:t>great</w:t>
      </w:r>
      <w:r w:rsidR="00EE4FC3">
        <w:t xml:space="preserve"> </w:t>
      </w:r>
      <w:r w:rsidRPr="00382917">
        <w:t>glory.</w:t>
      </w:r>
      <w:r w:rsidR="009C713D" w:rsidRPr="00382917">
        <w:t>”</w:t>
      </w:r>
      <w:r w:rsidR="008C4ED7">
        <w:rPr>
          <w:rStyle w:val="FootnoteReference"/>
        </w:rPr>
        <w:footnoteReference w:id="294"/>
      </w:r>
    </w:p>
    <w:p w:rsidR="00F1111D" w:rsidRPr="00382917" w:rsidRDefault="00F1111D" w:rsidP="008C4ED7">
      <w:pPr>
        <w:pStyle w:val="Text"/>
      </w:pPr>
      <w:r w:rsidRPr="00382917">
        <w:t>The</w:t>
      </w:r>
      <w:r w:rsidR="00EE4FC3">
        <w:t xml:space="preserve"> </w:t>
      </w:r>
      <w:r w:rsidRPr="00382917">
        <w:t>meaning</w:t>
      </w:r>
      <w:r w:rsidR="00EE4FC3">
        <w:t xml:space="preserve"> </w:t>
      </w:r>
      <w:r w:rsidRPr="00382917">
        <w:t>of</w:t>
      </w:r>
      <w:r w:rsidR="00EE4FC3">
        <w:t xml:space="preserve"> </w:t>
      </w:r>
      <w:r w:rsidRPr="00382917">
        <w:t>the</w:t>
      </w:r>
      <w:r w:rsidR="00EE4FC3">
        <w:t xml:space="preserve"> </w:t>
      </w:r>
      <w:r w:rsidRPr="00382917">
        <w:t>term</w:t>
      </w:r>
      <w:r w:rsidR="00EE4FC3">
        <w:t xml:space="preserve"> </w:t>
      </w:r>
      <w:r w:rsidR="009C713D" w:rsidRPr="00382917">
        <w:t>“</w:t>
      </w:r>
      <w:r w:rsidRPr="00382917">
        <w:t>times</w:t>
      </w:r>
      <w:r w:rsidR="00EE4FC3">
        <w:t xml:space="preserve"> </w:t>
      </w:r>
      <w:r w:rsidRPr="00382917">
        <w:t>of</w:t>
      </w:r>
      <w:r w:rsidR="00EE4FC3">
        <w:t xml:space="preserve"> </w:t>
      </w:r>
      <w:r w:rsidRPr="00382917">
        <w:t>the</w:t>
      </w:r>
      <w:r w:rsidR="00EE4FC3">
        <w:t xml:space="preserve"> </w:t>
      </w:r>
      <w:r w:rsidRPr="00382917">
        <w:t>Gentiles</w:t>
      </w:r>
      <w:r w:rsidR="009C713D" w:rsidRPr="00382917">
        <w:t>”</w:t>
      </w:r>
      <w:r w:rsidR="00EE4FC3">
        <w:t xml:space="preserve"> </w:t>
      </w:r>
      <w:r w:rsidRPr="00382917">
        <w:t>was</w:t>
      </w:r>
      <w:r w:rsidR="00EE4FC3">
        <w:t xml:space="preserve"> </w:t>
      </w:r>
      <w:r w:rsidRPr="00382917">
        <w:t>very</w:t>
      </w:r>
      <w:r w:rsidR="00EE4FC3">
        <w:t xml:space="preserve"> </w:t>
      </w:r>
      <w:r w:rsidRPr="00382917">
        <w:t>clear</w:t>
      </w:r>
      <w:r w:rsidR="00EE4FC3">
        <w:t xml:space="preserve"> </w:t>
      </w:r>
      <w:r w:rsidRPr="00382917">
        <w:t>to</w:t>
      </w:r>
      <w:r w:rsidR="00EE4FC3">
        <w:t xml:space="preserve"> </w:t>
      </w:r>
      <w:r w:rsidRPr="00382917">
        <w:t>these</w:t>
      </w:r>
      <w:r w:rsidR="00EE4FC3">
        <w:t xml:space="preserve"> </w:t>
      </w:r>
      <w:r w:rsidRPr="00382917">
        <w:t>scholars</w:t>
      </w:r>
      <w:r w:rsidR="00EE4FC3">
        <w:t xml:space="preserve"> </w:t>
      </w:r>
      <w:r w:rsidRPr="00382917">
        <w:t>of</w:t>
      </w:r>
      <w:r w:rsidR="00EE4FC3">
        <w:t xml:space="preserve"> </w:t>
      </w:r>
      <w:r w:rsidRPr="00382917">
        <w:t>Scripture</w:t>
      </w:r>
      <w:r w:rsidR="00552489">
        <w:t>.</w:t>
      </w:r>
      <w:r w:rsidR="00EE4FC3">
        <w:t xml:space="preserve">  </w:t>
      </w:r>
      <w:r w:rsidRPr="00382917">
        <w:t>It</w:t>
      </w:r>
      <w:r w:rsidR="00EE4FC3">
        <w:t xml:space="preserve"> </w:t>
      </w:r>
      <w:r w:rsidRPr="00382917">
        <w:t>denoted</w:t>
      </w:r>
      <w:r w:rsidR="00EE4FC3">
        <w:t xml:space="preserve"> </w:t>
      </w:r>
      <w:r w:rsidRPr="00382917">
        <w:t>that</w:t>
      </w:r>
      <w:r w:rsidR="00EE4FC3">
        <w:t xml:space="preserve"> </w:t>
      </w:r>
      <w:r w:rsidRPr="00382917">
        <w:t>period</w:t>
      </w:r>
      <w:r w:rsidR="00EE4FC3">
        <w:t xml:space="preserve"> </w:t>
      </w:r>
      <w:r w:rsidRPr="00382917">
        <w:t>of</w:t>
      </w:r>
      <w:r w:rsidR="00EE4FC3">
        <w:t xml:space="preserve"> </w:t>
      </w:r>
      <w:r w:rsidRPr="00382917">
        <w:t>time</w:t>
      </w:r>
      <w:r w:rsidR="00EE4FC3">
        <w:t xml:space="preserve"> </w:t>
      </w:r>
      <w:r w:rsidRPr="00382917">
        <w:t>during</w:t>
      </w:r>
      <w:r w:rsidR="00EE4FC3">
        <w:t xml:space="preserve"> </w:t>
      </w:r>
      <w:r w:rsidRPr="00382917">
        <w:t>which</w:t>
      </w:r>
      <w:r w:rsidR="00EE4FC3">
        <w:t xml:space="preserve"> </w:t>
      </w:r>
      <w:r w:rsidRPr="00382917">
        <w:t>Jerusalem</w:t>
      </w:r>
      <w:r w:rsidR="00EE4FC3">
        <w:t xml:space="preserve"> </w:t>
      </w:r>
      <w:r w:rsidRPr="00382917">
        <w:t>would</w:t>
      </w:r>
      <w:r w:rsidR="00EE4FC3">
        <w:t xml:space="preserve"> </w:t>
      </w:r>
      <w:r w:rsidRPr="00382917">
        <w:t>be</w:t>
      </w:r>
      <w:r w:rsidR="00EE4FC3">
        <w:t xml:space="preserve"> </w:t>
      </w:r>
      <w:r w:rsidRPr="00382917">
        <w:t>held</w:t>
      </w:r>
      <w:r w:rsidR="00EE4FC3">
        <w:t xml:space="preserve"> </w:t>
      </w:r>
      <w:r w:rsidRPr="00382917">
        <w:t>by</w:t>
      </w:r>
      <w:r w:rsidR="00EE4FC3">
        <w:t xml:space="preserve"> </w:t>
      </w:r>
      <w:r w:rsidRPr="00382917">
        <w:t>the</w:t>
      </w:r>
      <w:r w:rsidR="00EE4FC3">
        <w:t xml:space="preserve"> </w:t>
      </w:r>
      <w:r w:rsidRPr="00382917">
        <w:t>power</w:t>
      </w:r>
      <w:r w:rsidR="00EE4FC3">
        <w:t xml:space="preserve"> </w:t>
      </w:r>
      <w:r w:rsidRPr="00382917">
        <w:t>of</w:t>
      </w:r>
      <w:r w:rsidR="00EE4FC3">
        <w:t xml:space="preserve"> </w:t>
      </w:r>
      <w:r w:rsidRPr="00382917">
        <w:t>aliens,</w:t>
      </w:r>
      <w:r w:rsidR="00EE4FC3">
        <w:t xml:space="preserve"> </w:t>
      </w:r>
      <w:r w:rsidRPr="00382917">
        <w:t>non-Jews</w:t>
      </w:r>
      <w:r w:rsidR="00EE4FC3">
        <w:t xml:space="preserve"> </w:t>
      </w:r>
      <w:r w:rsidRPr="00382917">
        <w:t>(Gentiles),</w:t>
      </w:r>
      <w:r w:rsidR="00EE4FC3">
        <w:t xml:space="preserve"> </w:t>
      </w:r>
      <w:r w:rsidRPr="00382917">
        <w:t>and</w:t>
      </w:r>
      <w:r w:rsidR="00EE4FC3">
        <w:t xml:space="preserve"> </w:t>
      </w:r>
      <w:r w:rsidRPr="00382917">
        <w:t>during</w:t>
      </w:r>
      <w:r w:rsidR="00EE4FC3">
        <w:t xml:space="preserve"> </w:t>
      </w:r>
      <w:r w:rsidRPr="00382917">
        <w:t>which</w:t>
      </w:r>
      <w:r w:rsidR="00EE4FC3">
        <w:t xml:space="preserve"> </w:t>
      </w:r>
      <w:r w:rsidRPr="00382917">
        <w:t>the</w:t>
      </w:r>
      <w:r w:rsidR="00EE4FC3">
        <w:t xml:space="preserve"> </w:t>
      </w:r>
      <w:r w:rsidRPr="00382917">
        <w:t>Jews</w:t>
      </w:r>
      <w:r w:rsidR="00EE4FC3">
        <w:t xml:space="preserve"> </w:t>
      </w:r>
      <w:r w:rsidRPr="00382917">
        <w:t>themselves</w:t>
      </w:r>
      <w:r w:rsidR="00EE4FC3">
        <w:t xml:space="preserve"> </w:t>
      </w:r>
      <w:r w:rsidRPr="00382917">
        <w:t>would</w:t>
      </w:r>
      <w:r w:rsidR="00EE4FC3">
        <w:t xml:space="preserve"> </w:t>
      </w:r>
      <w:r w:rsidRPr="00382917">
        <w:t>be</w:t>
      </w:r>
      <w:r w:rsidR="00EE4FC3">
        <w:t xml:space="preserve"> </w:t>
      </w:r>
      <w:r w:rsidRPr="00382917">
        <w:t>banished</w:t>
      </w:r>
      <w:r w:rsidR="00EE4FC3">
        <w:t xml:space="preserve"> </w:t>
      </w:r>
      <w:r w:rsidRPr="00382917">
        <w:t>from</w:t>
      </w:r>
      <w:r w:rsidR="00EE4FC3">
        <w:t xml:space="preserve"> </w:t>
      </w:r>
      <w:r w:rsidRPr="00382917">
        <w:t>their</w:t>
      </w:r>
      <w:r w:rsidR="00EE4FC3">
        <w:t xml:space="preserve"> </w:t>
      </w:r>
      <w:r w:rsidRPr="00382917">
        <w:t>homeland.</w:t>
      </w:r>
    </w:p>
    <w:p w:rsidR="00F1111D" w:rsidRPr="00382917" w:rsidRDefault="00F1111D" w:rsidP="00244241">
      <w:pPr>
        <w:pStyle w:val="Text"/>
      </w:pPr>
      <w:r w:rsidRPr="00382917">
        <w:t>The</w:t>
      </w:r>
      <w:r w:rsidR="00EE4FC3">
        <w:t xml:space="preserve"> </w:t>
      </w:r>
      <w:r w:rsidR="009C713D" w:rsidRPr="00382917">
        <w:t>“</w:t>
      </w:r>
      <w:r w:rsidRPr="00382917">
        <w:t>times</w:t>
      </w:r>
      <w:r w:rsidR="00EE4FC3">
        <w:t xml:space="preserve"> </w:t>
      </w:r>
      <w:r w:rsidRPr="00382917">
        <w:t>of</w:t>
      </w:r>
      <w:r w:rsidR="00EE4FC3">
        <w:t xml:space="preserve"> </w:t>
      </w:r>
      <w:r w:rsidRPr="00382917">
        <w:t>the</w:t>
      </w:r>
      <w:r w:rsidR="00EE4FC3">
        <w:t xml:space="preserve"> </w:t>
      </w:r>
      <w:r w:rsidRPr="00382917">
        <w:t>Gentiles</w:t>
      </w:r>
      <w:r w:rsidR="009C713D" w:rsidRPr="00382917">
        <w:t>”</w:t>
      </w:r>
      <w:r w:rsidR="00EE4FC3">
        <w:t xml:space="preserve"> </w:t>
      </w:r>
      <w:r w:rsidRPr="00382917">
        <w:t>would</w:t>
      </w:r>
      <w:r w:rsidR="00EE4FC3">
        <w:t xml:space="preserve"> </w:t>
      </w:r>
      <w:r w:rsidRPr="00382917">
        <w:t>be</w:t>
      </w:r>
      <w:r w:rsidR="00EE4FC3">
        <w:t xml:space="preserve"> </w:t>
      </w:r>
      <w:r w:rsidRPr="00382917">
        <w:t>fulfilled,</w:t>
      </w:r>
      <w:r w:rsidR="00EE4FC3">
        <w:t xml:space="preserve"> </w:t>
      </w:r>
      <w:r w:rsidRPr="00382917">
        <w:t>therefore,</w:t>
      </w:r>
      <w:r w:rsidR="00EE4FC3">
        <w:t xml:space="preserve"> </w:t>
      </w:r>
      <w:r w:rsidRPr="00382917">
        <w:t>when</w:t>
      </w:r>
      <w:r w:rsidR="00EE4FC3">
        <w:t xml:space="preserve"> </w:t>
      </w:r>
      <w:r w:rsidRPr="00382917">
        <w:t>the</w:t>
      </w:r>
      <w:r w:rsidR="00EE4FC3">
        <w:t xml:space="preserve"> </w:t>
      </w:r>
      <w:r w:rsidRPr="00382917">
        <w:t>Jews</w:t>
      </w:r>
      <w:r w:rsidR="00EE4FC3">
        <w:t xml:space="preserve"> </w:t>
      </w:r>
      <w:r w:rsidRPr="00382917">
        <w:t>came</w:t>
      </w:r>
      <w:r w:rsidR="00EE4FC3">
        <w:t xml:space="preserve"> </w:t>
      </w:r>
      <w:r w:rsidRPr="00382917">
        <w:t>back</w:t>
      </w:r>
      <w:r w:rsidR="00EE4FC3">
        <w:t xml:space="preserve"> </w:t>
      </w:r>
      <w:r w:rsidRPr="00382917">
        <w:t>to</w:t>
      </w:r>
      <w:r w:rsidR="00EE4FC3">
        <w:t xml:space="preserve"> </w:t>
      </w:r>
      <w:r w:rsidRPr="00382917">
        <w:t>their</w:t>
      </w:r>
      <w:r w:rsidR="00EE4FC3">
        <w:t xml:space="preserve"> </w:t>
      </w:r>
      <w:r w:rsidRPr="00382917">
        <w:t>homeland</w:t>
      </w:r>
      <w:r w:rsidR="00EE4FC3">
        <w:t xml:space="preserve"> </w:t>
      </w:r>
      <w:r w:rsidRPr="00382917">
        <w:t>following</w:t>
      </w:r>
      <w:r w:rsidR="00EE4FC3">
        <w:t xml:space="preserve"> </w:t>
      </w:r>
      <w:r w:rsidRPr="00382917">
        <w:t>this</w:t>
      </w:r>
      <w:r w:rsidR="00EE4FC3">
        <w:t xml:space="preserve"> </w:t>
      </w:r>
      <w:r w:rsidRPr="00382917">
        <w:t>banishment.</w:t>
      </w:r>
    </w:p>
    <w:p w:rsidR="00F1111D" w:rsidRPr="00382917" w:rsidRDefault="00F1111D" w:rsidP="00244241">
      <w:pPr>
        <w:pStyle w:val="Text"/>
      </w:pPr>
      <w:r w:rsidRPr="00382917">
        <w:t>The</w:t>
      </w:r>
      <w:r w:rsidR="00EE4FC3">
        <w:t xml:space="preserve"> </w:t>
      </w:r>
      <w:r w:rsidRPr="00382917">
        <w:t>first</w:t>
      </w:r>
      <w:r w:rsidR="00EE4FC3">
        <w:t xml:space="preserve"> </w:t>
      </w:r>
      <w:r w:rsidRPr="00382917">
        <w:t>part</w:t>
      </w:r>
      <w:r w:rsidR="00EE4FC3">
        <w:t xml:space="preserve"> </w:t>
      </w:r>
      <w:r w:rsidRPr="00382917">
        <w:t>of</w:t>
      </w:r>
      <w:r w:rsidR="00EE4FC3">
        <w:t xml:space="preserve"> </w:t>
      </w:r>
      <w:r w:rsidRPr="00382917">
        <w:t>Christ</w:t>
      </w:r>
      <w:r w:rsidR="009C713D" w:rsidRPr="00382917">
        <w:t>’</w:t>
      </w:r>
      <w:r w:rsidRPr="00382917">
        <w:t>s</w:t>
      </w:r>
      <w:r w:rsidR="00EE4FC3">
        <w:t xml:space="preserve"> </w:t>
      </w:r>
      <w:r w:rsidRPr="00382917">
        <w:t>promise</w:t>
      </w:r>
      <w:r w:rsidR="00EE4FC3">
        <w:t xml:space="preserve"> </w:t>
      </w:r>
      <w:r w:rsidRPr="00382917">
        <w:t>came</w:t>
      </w:r>
      <w:r w:rsidR="00EE4FC3">
        <w:t xml:space="preserve"> </w:t>
      </w:r>
      <w:r w:rsidRPr="00382917">
        <w:t>true</w:t>
      </w:r>
      <w:r w:rsidR="00EE4FC3">
        <w:t xml:space="preserve"> </w:t>
      </w:r>
      <w:r w:rsidRPr="00382917">
        <w:t>almost</w:t>
      </w:r>
      <w:r w:rsidR="00EE4FC3">
        <w:t xml:space="preserve"> </w:t>
      </w:r>
      <w:r w:rsidRPr="00382917">
        <w:t>immediately</w:t>
      </w:r>
      <w:r w:rsidR="00552489">
        <w:t>.</w:t>
      </w:r>
      <w:r w:rsidR="00EE4FC3">
        <w:t xml:space="preserve">  </w:t>
      </w:r>
      <w:r w:rsidRPr="00382917">
        <w:t>His</w:t>
      </w:r>
      <w:r w:rsidR="00EE4FC3">
        <w:t xml:space="preserve"> </w:t>
      </w:r>
      <w:r w:rsidRPr="00382917">
        <w:t>words,</w:t>
      </w:r>
      <w:r w:rsidR="00EE4FC3">
        <w:t xml:space="preserve"> </w:t>
      </w:r>
      <w:r w:rsidR="009C713D" w:rsidRPr="00382917">
        <w:t>“</w:t>
      </w:r>
      <w:r w:rsidRPr="00382917">
        <w:t>they</w:t>
      </w:r>
      <w:r w:rsidR="00EE4FC3">
        <w:t xml:space="preserve"> </w:t>
      </w:r>
      <w:r w:rsidRPr="00382917">
        <w:t>shall</w:t>
      </w:r>
      <w:r w:rsidR="00EE4FC3">
        <w:t xml:space="preserve"> </w:t>
      </w:r>
      <w:r w:rsidRPr="00382917">
        <w:t>be</w:t>
      </w:r>
      <w:r w:rsidR="00EE4FC3">
        <w:t xml:space="preserve"> </w:t>
      </w:r>
      <w:r w:rsidRPr="00382917">
        <w:t>led</w:t>
      </w:r>
      <w:r w:rsidR="00EE4FC3">
        <w:t xml:space="preserve"> </w:t>
      </w:r>
      <w:r w:rsidRPr="00382917">
        <w:t>away</w:t>
      </w:r>
      <w:r w:rsidR="00EE4FC3">
        <w:t xml:space="preserve"> </w:t>
      </w:r>
      <w:r w:rsidRPr="00382917">
        <w:t>captive</w:t>
      </w:r>
      <w:r w:rsidR="00EE4FC3">
        <w:t xml:space="preserve"> </w:t>
      </w:r>
      <w:r w:rsidRPr="00382917">
        <w:t>into</w:t>
      </w:r>
      <w:r w:rsidR="00EE4FC3">
        <w:t xml:space="preserve"> </w:t>
      </w:r>
      <w:r w:rsidRPr="00382917">
        <w:t>all</w:t>
      </w:r>
      <w:r w:rsidR="00EE4FC3">
        <w:t xml:space="preserve"> </w:t>
      </w:r>
      <w:r w:rsidRPr="00382917">
        <w:t>nations</w:t>
      </w:r>
      <w:r w:rsidR="009C713D" w:rsidRPr="00382917">
        <w:t>”</w:t>
      </w:r>
      <w:r w:rsidR="00EE4FC3">
        <w:t xml:space="preserve"> </w:t>
      </w:r>
      <w:r w:rsidRPr="00382917">
        <w:t>began</w:t>
      </w:r>
      <w:r w:rsidR="00EE4FC3">
        <w:t xml:space="preserve"> </w:t>
      </w:r>
      <w:r w:rsidRPr="00382917">
        <w:t>its</w:t>
      </w:r>
      <w:r w:rsidR="00EE4FC3">
        <w:t xml:space="preserve"> </w:t>
      </w:r>
      <w:proofErr w:type="spellStart"/>
      <w:r w:rsidRPr="00382917">
        <w:t>fulfillment</w:t>
      </w:r>
      <w:proofErr w:type="spellEnd"/>
      <w:r w:rsidR="00EE4FC3">
        <w:t xml:space="preserve"> </w:t>
      </w:r>
      <w:r w:rsidRPr="00382917">
        <w:t>less</w:t>
      </w:r>
      <w:r w:rsidR="00EE4FC3">
        <w:t xml:space="preserve"> </w:t>
      </w:r>
      <w:r w:rsidRPr="00382917">
        <w:t>than</w:t>
      </w:r>
      <w:r w:rsidR="00EE4FC3">
        <w:t xml:space="preserve"> </w:t>
      </w:r>
      <w:r w:rsidRPr="00382917">
        <w:t>forty</w:t>
      </w:r>
      <w:r w:rsidR="00EE4FC3">
        <w:t xml:space="preserve"> </w:t>
      </w:r>
      <w:r w:rsidRPr="00382917">
        <w:t>years</w:t>
      </w:r>
      <w:r w:rsidR="00EE4FC3">
        <w:t xml:space="preserve"> </w:t>
      </w:r>
      <w:r w:rsidRPr="00382917">
        <w:t>after</w:t>
      </w:r>
      <w:r w:rsidR="00EE4FC3">
        <w:t xml:space="preserve"> </w:t>
      </w:r>
      <w:r w:rsidRPr="00382917">
        <w:t>His</w:t>
      </w:r>
      <w:r w:rsidR="00EE4FC3">
        <w:t xml:space="preserve"> </w:t>
      </w:r>
      <w:r w:rsidRPr="00382917">
        <w:t>crucifixion</w:t>
      </w:r>
      <w:r w:rsidR="00552489">
        <w:t>.</w:t>
      </w:r>
      <w:r w:rsidR="00EE4FC3">
        <w:t xml:space="preserve">  </w:t>
      </w:r>
      <w:r w:rsidRPr="00382917">
        <w:t>Jerusalem</w:t>
      </w:r>
      <w:r w:rsidR="00EE4FC3">
        <w:t xml:space="preserve"> </w:t>
      </w:r>
      <w:r w:rsidRPr="00382917">
        <w:t>was</w:t>
      </w:r>
      <w:r w:rsidR="00EE4FC3">
        <w:t xml:space="preserve"> </w:t>
      </w:r>
      <w:r w:rsidRPr="00382917">
        <w:t>destroyed</w:t>
      </w:r>
      <w:r w:rsidR="00EE4FC3">
        <w:t xml:space="preserve"> </w:t>
      </w:r>
      <w:r w:rsidRPr="00382917">
        <w:t>by</w:t>
      </w:r>
      <w:r w:rsidR="00EE4FC3">
        <w:t xml:space="preserve"> </w:t>
      </w:r>
      <w:r w:rsidRPr="00382917">
        <w:t>the</w:t>
      </w:r>
      <w:r w:rsidR="00EE4FC3">
        <w:t xml:space="preserve"> </w:t>
      </w:r>
      <w:r w:rsidRPr="00382917">
        <w:t>Roman</w:t>
      </w:r>
      <w:r w:rsidR="00EE4FC3">
        <w:t xml:space="preserve"> </w:t>
      </w:r>
      <w:r w:rsidRPr="00382917">
        <w:t>Titus</w:t>
      </w:r>
      <w:r w:rsidR="00EE4FC3">
        <w:t xml:space="preserve"> </w:t>
      </w:r>
      <w:r w:rsidRPr="00382917">
        <w:t>in</w:t>
      </w:r>
      <w:r w:rsidR="00EE4FC3">
        <w:t xml:space="preserve"> </w:t>
      </w:r>
      <w:r w:rsidRPr="00382917">
        <w:t>CE</w:t>
      </w:r>
      <w:r w:rsidR="00EE4FC3">
        <w:t xml:space="preserve"> </w:t>
      </w:r>
      <w:r w:rsidRPr="00382917">
        <w:t>70</w:t>
      </w:r>
      <w:r w:rsidR="00EE4FC3">
        <w:t xml:space="preserve"> </w:t>
      </w:r>
      <w:r w:rsidRPr="00382917">
        <w:t>and</w:t>
      </w:r>
      <w:r w:rsidR="00EE4FC3">
        <w:t xml:space="preserve"> </w:t>
      </w:r>
      <w:r w:rsidRPr="00382917">
        <w:t>the</w:t>
      </w:r>
      <w:r w:rsidR="00EE4FC3">
        <w:t xml:space="preserve"> </w:t>
      </w:r>
      <w:r w:rsidRPr="00382917">
        <w:t>Jews</w:t>
      </w:r>
      <w:r w:rsidR="00EE4FC3">
        <w:t xml:space="preserve"> </w:t>
      </w:r>
      <w:r w:rsidRPr="00382917">
        <w:t>were</w:t>
      </w:r>
      <w:r w:rsidR="00EE4FC3">
        <w:t xml:space="preserve"> </w:t>
      </w:r>
      <w:r w:rsidRPr="00382917">
        <w:t>exiled.</w:t>
      </w:r>
    </w:p>
    <w:p w:rsidR="00F1111D" w:rsidRPr="00382917" w:rsidRDefault="00F1111D" w:rsidP="008C4ED7">
      <w:pPr>
        <w:pStyle w:val="Text"/>
      </w:pPr>
      <w:r w:rsidRPr="00382917">
        <w:t>The</w:t>
      </w:r>
      <w:r w:rsidR="00EE4FC3">
        <w:t xml:space="preserve"> </w:t>
      </w:r>
      <w:r w:rsidRPr="00382917">
        <w:t>Jews</w:t>
      </w:r>
      <w:r w:rsidR="00EE4FC3">
        <w:t xml:space="preserve"> </w:t>
      </w:r>
      <w:r w:rsidRPr="00382917">
        <w:t>tried</w:t>
      </w:r>
      <w:r w:rsidR="00EE4FC3">
        <w:t xml:space="preserve"> </w:t>
      </w:r>
      <w:r w:rsidRPr="00382917">
        <w:t>to</w:t>
      </w:r>
      <w:r w:rsidR="00EE4FC3">
        <w:t xml:space="preserve"> </w:t>
      </w:r>
      <w:r w:rsidRPr="00382917">
        <w:t>regain</w:t>
      </w:r>
      <w:r w:rsidR="00EE4FC3">
        <w:t xml:space="preserve"> </w:t>
      </w:r>
      <w:r w:rsidRPr="00382917">
        <w:t>their</w:t>
      </w:r>
      <w:r w:rsidR="00EE4FC3">
        <w:t xml:space="preserve"> </w:t>
      </w:r>
      <w:r w:rsidRPr="00382917">
        <w:t>freedom</w:t>
      </w:r>
      <w:r w:rsidR="00EE4FC3">
        <w:t xml:space="preserve"> </w:t>
      </w:r>
      <w:r w:rsidRPr="00382917">
        <w:t>in</w:t>
      </w:r>
      <w:r w:rsidR="00EE4FC3">
        <w:t xml:space="preserve"> </w:t>
      </w:r>
      <w:r w:rsidRPr="00382917">
        <w:t>CE</w:t>
      </w:r>
      <w:r w:rsidR="00EE4FC3">
        <w:t xml:space="preserve"> </w:t>
      </w:r>
      <w:r w:rsidRPr="00382917">
        <w:t>132</w:t>
      </w:r>
      <w:r w:rsidR="00EE4FC3">
        <w:t xml:space="preserve"> </w:t>
      </w:r>
      <w:r w:rsidRPr="00382917">
        <w:t>under</w:t>
      </w:r>
      <w:r w:rsidR="00EE4FC3">
        <w:t xml:space="preserve"> </w:t>
      </w:r>
      <w:r w:rsidRPr="00382917">
        <w:t>Bar</w:t>
      </w:r>
      <w:r w:rsidR="00EE4FC3">
        <w:t xml:space="preserve"> </w:t>
      </w:r>
      <w:proofErr w:type="spellStart"/>
      <w:r w:rsidRPr="00382917">
        <w:t>Kochba</w:t>
      </w:r>
      <w:proofErr w:type="spellEnd"/>
      <w:r w:rsidR="00EE4FC3">
        <w:t xml:space="preserve"> </w:t>
      </w:r>
      <w:r w:rsidRPr="00382917">
        <w:t>but</w:t>
      </w:r>
      <w:r w:rsidR="00EE4FC3">
        <w:t xml:space="preserve"> </w:t>
      </w:r>
      <w:r w:rsidRPr="00382917">
        <w:t>were</w:t>
      </w:r>
      <w:r w:rsidR="00EE4FC3">
        <w:t xml:space="preserve"> </w:t>
      </w:r>
      <w:r w:rsidRPr="00382917">
        <w:t>crushed</w:t>
      </w:r>
      <w:r w:rsidR="00EE4FC3">
        <w:t xml:space="preserve"> </w:t>
      </w:r>
      <w:r w:rsidRPr="00382917">
        <w:t>by</w:t>
      </w:r>
      <w:r w:rsidR="00EE4FC3">
        <w:t xml:space="preserve"> </w:t>
      </w:r>
      <w:r w:rsidRPr="00382917">
        <w:t>the</w:t>
      </w:r>
      <w:r w:rsidR="00EE4FC3">
        <w:t xml:space="preserve"> </w:t>
      </w:r>
      <w:r w:rsidRPr="00382917">
        <w:t>armies</w:t>
      </w:r>
      <w:r w:rsidR="00EE4FC3">
        <w:t xml:space="preserve"> </w:t>
      </w:r>
      <w:r w:rsidRPr="00382917">
        <w:t>of</w:t>
      </w:r>
      <w:r w:rsidR="00EE4FC3">
        <w:t xml:space="preserve"> </w:t>
      </w:r>
      <w:r w:rsidRPr="00382917">
        <w:t>the</w:t>
      </w:r>
      <w:r w:rsidR="00EE4FC3">
        <w:t xml:space="preserve"> </w:t>
      </w:r>
      <w:r w:rsidRPr="00382917">
        <w:t>Roman</w:t>
      </w:r>
      <w:r w:rsidR="00EE4FC3">
        <w:t xml:space="preserve"> </w:t>
      </w:r>
      <w:r w:rsidRPr="00382917">
        <w:t>Emperor</w:t>
      </w:r>
      <w:r w:rsidR="00EE4FC3">
        <w:t xml:space="preserve"> </w:t>
      </w:r>
      <w:r w:rsidRPr="00382917">
        <w:t>Hadrian</w:t>
      </w:r>
      <w:r w:rsidR="00552489">
        <w:t>.</w:t>
      </w:r>
      <w:r w:rsidR="00EE4FC3">
        <w:t xml:space="preserve">  </w:t>
      </w:r>
      <w:r w:rsidRPr="00382917">
        <w:t>This</w:t>
      </w:r>
      <w:r w:rsidR="00EE4FC3">
        <w:t xml:space="preserve"> </w:t>
      </w:r>
      <w:r w:rsidRPr="00382917">
        <w:t>time</w:t>
      </w:r>
      <w:r w:rsidR="00EE4FC3">
        <w:t xml:space="preserve"> </w:t>
      </w:r>
      <w:r w:rsidRPr="00382917">
        <w:t>Jerusalem</w:t>
      </w:r>
      <w:r w:rsidR="00EE4FC3">
        <w:t xml:space="preserve"> </w:t>
      </w:r>
      <w:r w:rsidRPr="00382917">
        <w:t>was</w:t>
      </w:r>
      <w:r w:rsidR="00EE4FC3">
        <w:t xml:space="preserve"> </w:t>
      </w:r>
      <w:r w:rsidRPr="00382917">
        <w:t>devastated</w:t>
      </w:r>
      <w:r w:rsidR="00EE4FC3">
        <w:t xml:space="preserve"> </w:t>
      </w:r>
      <w:r w:rsidRPr="00382917">
        <w:t>even</w:t>
      </w:r>
      <w:r w:rsidR="00EE4FC3">
        <w:t xml:space="preserve"> </w:t>
      </w:r>
      <w:r w:rsidRPr="00382917">
        <w:t>more</w:t>
      </w:r>
      <w:r w:rsidR="00EE4FC3">
        <w:t xml:space="preserve"> </w:t>
      </w:r>
      <w:r w:rsidRPr="00382917">
        <w:t>completely</w:t>
      </w:r>
      <w:r w:rsidR="00EE4FC3">
        <w:t xml:space="preserve"> </w:t>
      </w:r>
      <w:r w:rsidRPr="00382917">
        <w:t>than</w:t>
      </w:r>
      <w:r w:rsidR="00EE4FC3">
        <w:t xml:space="preserve"> </w:t>
      </w:r>
      <w:r w:rsidRPr="00382917">
        <w:t>it</w:t>
      </w:r>
      <w:r w:rsidR="00EE4FC3">
        <w:t xml:space="preserve"> </w:t>
      </w:r>
      <w:r w:rsidRPr="00382917">
        <w:t>had</w:t>
      </w:r>
      <w:r w:rsidR="00EE4FC3">
        <w:t xml:space="preserve"> </w:t>
      </w:r>
      <w:r w:rsidRPr="00382917">
        <w:t>been</w:t>
      </w:r>
      <w:r w:rsidR="00EE4FC3">
        <w:t xml:space="preserve"> </w:t>
      </w:r>
      <w:r w:rsidRPr="00382917">
        <w:t>by</w:t>
      </w:r>
      <w:r w:rsidR="00EE4FC3">
        <w:t xml:space="preserve"> </w:t>
      </w:r>
      <w:r w:rsidRPr="00382917">
        <w:t>Titus</w:t>
      </w:r>
      <w:r w:rsidR="00552489">
        <w:t>.</w:t>
      </w:r>
      <w:r w:rsidR="00EE4FC3">
        <w:t xml:space="preserve">  </w:t>
      </w:r>
      <w:r w:rsidRPr="00382917">
        <w:t>The</w:t>
      </w:r>
      <w:r w:rsidR="00EE4FC3">
        <w:t xml:space="preserve"> </w:t>
      </w:r>
      <w:r w:rsidRPr="00382917">
        <w:t>site</w:t>
      </w:r>
      <w:r w:rsidR="00EE4FC3">
        <w:t xml:space="preserve"> </w:t>
      </w:r>
      <w:r w:rsidRPr="00382917">
        <w:t>of</w:t>
      </w:r>
      <w:r w:rsidR="00EE4FC3">
        <w:t xml:space="preserve"> </w:t>
      </w:r>
      <w:r w:rsidRPr="00382917">
        <w:t>the</w:t>
      </w:r>
      <w:r w:rsidR="00EE4FC3">
        <w:t xml:space="preserve"> </w:t>
      </w:r>
      <w:r w:rsidRPr="00382917">
        <w:t>city</w:t>
      </w:r>
      <w:r w:rsidR="00EE4FC3">
        <w:t xml:space="preserve"> </w:t>
      </w:r>
      <w:r w:rsidRPr="00382917">
        <w:t>was</w:t>
      </w:r>
      <w:r w:rsidR="00EE4FC3">
        <w:t xml:space="preserve"> </w:t>
      </w:r>
      <w:r w:rsidRPr="00382917">
        <w:t>ploughed</w:t>
      </w:r>
      <w:r w:rsidR="00EE4FC3">
        <w:t xml:space="preserve"> </w:t>
      </w:r>
      <w:r w:rsidRPr="00382917">
        <w:t>under</w:t>
      </w:r>
      <w:r w:rsidR="00EE4FC3">
        <w:t xml:space="preserve"> </w:t>
      </w:r>
      <w:r w:rsidRPr="00382917">
        <w:t>and</w:t>
      </w:r>
      <w:r w:rsidR="00EE4FC3">
        <w:t xml:space="preserve"> </w:t>
      </w:r>
      <w:r w:rsidRPr="00382917">
        <w:t>a</w:t>
      </w:r>
      <w:r w:rsidR="00EE4FC3">
        <w:t xml:space="preserve"> </w:t>
      </w:r>
      <w:r w:rsidRPr="00382917">
        <w:t>new</w:t>
      </w:r>
      <w:r w:rsidR="00EE4FC3">
        <w:t xml:space="preserve"> </w:t>
      </w:r>
      <w:r w:rsidRPr="00382917">
        <w:t>city</w:t>
      </w:r>
      <w:r w:rsidR="00EE4FC3">
        <w:t xml:space="preserve"> </w:t>
      </w:r>
      <w:r w:rsidRPr="00382917">
        <w:t>named</w:t>
      </w:r>
      <w:r w:rsidR="00EE4FC3">
        <w:t xml:space="preserve"> </w:t>
      </w:r>
      <w:r w:rsidRPr="00382917">
        <w:t>in</w:t>
      </w:r>
      <w:r w:rsidR="00EE4FC3">
        <w:t xml:space="preserve"> </w:t>
      </w:r>
      <w:proofErr w:type="spellStart"/>
      <w:r w:rsidRPr="00382917">
        <w:t>honor</w:t>
      </w:r>
      <w:proofErr w:type="spellEnd"/>
      <w:r w:rsidR="00EE4FC3">
        <w:t xml:space="preserve"> </w:t>
      </w:r>
      <w:r w:rsidRPr="00382917">
        <w:t>of</w:t>
      </w:r>
      <w:r w:rsidR="00EE4FC3">
        <w:t xml:space="preserve"> </w:t>
      </w:r>
      <w:r w:rsidRPr="00382917">
        <w:t>Hadrian</w:t>
      </w:r>
      <w:r w:rsidR="00EE4FC3">
        <w:t xml:space="preserve"> </w:t>
      </w:r>
      <w:r w:rsidRPr="00382917">
        <w:t>was</w:t>
      </w:r>
      <w:r w:rsidR="00EE4FC3">
        <w:t xml:space="preserve"> </w:t>
      </w:r>
      <w:r w:rsidRPr="00382917">
        <w:t>built</w:t>
      </w:r>
      <w:r w:rsidR="00EE4FC3">
        <w:t xml:space="preserve"> </w:t>
      </w:r>
      <w:r w:rsidRPr="00382917">
        <w:t>upon</w:t>
      </w:r>
      <w:r w:rsidR="00EE4FC3">
        <w:t xml:space="preserve"> </w:t>
      </w:r>
      <w:r w:rsidRPr="00382917">
        <w:t>the</w:t>
      </w:r>
      <w:r w:rsidR="00EE4FC3">
        <w:t xml:space="preserve"> </w:t>
      </w:r>
      <w:r w:rsidRPr="00382917">
        <w:t>ruins</w:t>
      </w:r>
      <w:r w:rsidR="00552489">
        <w:t>.</w:t>
      </w:r>
      <w:r w:rsidR="00EE4FC3">
        <w:t xml:space="preserve">  </w:t>
      </w:r>
      <w:r w:rsidRPr="00382917">
        <w:t>The</w:t>
      </w:r>
      <w:r w:rsidR="00EE4FC3">
        <w:t xml:space="preserve"> </w:t>
      </w:r>
      <w:r w:rsidRPr="00382917">
        <w:t>Jews</w:t>
      </w:r>
      <w:r w:rsidR="00EE4FC3">
        <w:t xml:space="preserve"> </w:t>
      </w:r>
      <w:r w:rsidRPr="00382917">
        <w:t>were</w:t>
      </w:r>
      <w:r w:rsidR="00EE4FC3">
        <w:t xml:space="preserve"> </w:t>
      </w:r>
      <w:r w:rsidRPr="00382917">
        <w:t>banished</w:t>
      </w:r>
      <w:r w:rsidR="00552489">
        <w:t>.</w:t>
      </w:r>
      <w:r w:rsidR="00EE4FC3">
        <w:t xml:space="preserve">  </w:t>
      </w:r>
      <w:r w:rsidRPr="00382917">
        <w:t>Many</w:t>
      </w:r>
      <w:r w:rsidR="00EE4FC3">
        <w:t xml:space="preserve"> </w:t>
      </w:r>
      <w:r w:rsidRPr="00382917">
        <w:t>of</w:t>
      </w:r>
      <w:r w:rsidR="00EE4FC3">
        <w:t xml:space="preserve"> </w:t>
      </w:r>
      <w:r w:rsidRPr="00382917">
        <w:t>them,</w:t>
      </w:r>
      <w:r w:rsidR="00EE4FC3">
        <w:t xml:space="preserve"> </w:t>
      </w:r>
      <w:r w:rsidRPr="00382917">
        <w:t>exactly</w:t>
      </w:r>
      <w:r w:rsidR="00EE4FC3">
        <w:t xml:space="preserve"> </w:t>
      </w:r>
      <w:r w:rsidRPr="00382917">
        <w:t>as</w:t>
      </w:r>
      <w:r w:rsidR="00EE4FC3">
        <w:t xml:space="preserve"> </w:t>
      </w:r>
      <w:r w:rsidRPr="00382917">
        <w:t>had</w:t>
      </w:r>
      <w:r w:rsidR="00EE4FC3">
        <w:t xml:space="preserve"> </w:t>
      </w:r>
      <w:r w:rsidRPr="00382917">
        <w:t>been</w:t>
      </w:r>
      <w:r w:rsidR="00EE4FC3">
        <w:t xml:space="preserve"> </w:t>
      </w:r>
      <w:r w:rsidRPr="00382917">
        <w:t>fore-</w:t>
      </w:r>
    </w:p>
    <w:p w:rsidR="00244241" w:rsidRPr="00382917" w:rsidRDefault="00244241">
      <w:pPr>
        <w:widowControl/>
        <w:kinsoku/>
        <w:overflowPunct/>
        <w:textAlignment w:val="auto"/>
      </w:pPr>
      <w:r w:rsidRPr="00382917">
        <w:br w:type="page"/>
      </w:r>
    </w:p>
    <w:p w:rsidR="00F1111D" w:rsidRPr="00382917" w:rsidRDefault="00F1111D" w:rsidP="008C4ED7">
      <w:pPr>
        <w:pStyle w:val="Textcts"/>
      </w:pPr>
      <w:proofErr w:type="gramStart"/>
      <w:r w:rsidRPr="00382917">
        <w:t>told</w:t>
      </w:r>
      <w:proofErr w:type="gramEnd"/>
      <w:r w:rsidR="00EE4FC3">
        <w:t xml:space="preserve"> </w:t>
      </w:r>
      <w:r w:rsidRPr="00382917">
        <w:t>by</w:t>
      </w:r>
      <w:r w:rsidR="00EE4FC3">
        <w:t xml:space="preserve"> </w:t>
      </w:r>
      <w:r w:rsidRPr="00382917">
        <w:t>Christ,</w:t>
      </w:r>
      <w:r w:rsidR="00EE4FC3">
        <w:t xml:space="preserve"> </w:t>
      </w:r>
      <w:r w:rsidRPr="00382917">
        <w:t>fell</w:t>
      </w:r>
      <w:r w:rsidR="00EE4FC3">
        <w:t xml:space="preserve"> </w:t>
      </w:r>
      <w:r w:rsidR="009C713D" w:rsidRPr="00382917">
        <w:t>“</w:t>
      </w:r>
      <w:r w:rsidRPr="00382917">
        <w:t>by</w:t>
      </w:r>
      <w:r w:rsidR="00EE4FC3">
        <w:t xml:space="preserve"> </w:t>
      </w:r>
      <w:r w:rsidRPr="00382917">
        <w:t>the</w:t>
      </w:r>
      <w:r w:rsidR="00EE4FC3">
        <w:t xml:space="preserve"> </w:t>
      </w:r>
      <w:r w:rsidRPr="00382917">
        <w:t>edge</w:t>
      </w:r>
      <w:r w:rsidR="00EE4FC3">
        <w:t xml:space="preserve"> </w:t>
      </w:r>
      <w:r w:rsidRPr="00382917">
        <w:t>of</w:t>
      </w:r>
      <w:r w:rsidR="00EE4FC3">
        <w:t xml:space="preserve"> </w:t>
      </w:r>
      <w:r w:rsidRPr="00382917">
        <w:t>the</w:t>
      </w:r>
      <w:r w:rsidR="00EE4FC3">
        <w:t xml:space="preserve"> </w:t>
      </w:r>
      <w:r w:rsidRPr="00382917">
        <w:t>sword.</w:t>
      </w:r>
      <w:r w:rsidR="009C713D" w:rsidRPr="00382917">
        <w:t>”</w:t>
      </w:r>
      <w:r w:rsidR="00EE4FC3">
        <w:t xml:space="preserve"> </w:t>
      </w:r>
      <w:r w:rsidR="008C4ED7">
        <w:t xml:space="preserve"> </w:t>
      </w:r>
      <w:r w:rsidRPr="00382917">
        <w:t>They</w:t>
      </w:r>
      <w:r w:rsidR="00EE4FC3">
        <w:t xml:space="preserve"> </w:t>
      </w:r>
      <w:r w:rsidRPr="00382917">
        <w:t>fled,</w:t>
      </w:r>
      <w:r w:rsidR="00EE4FC3">
        <w:t xml:space="preserve"> </w:t>
      </w:r>
      <w:r w:rsidRPr="00382917">
        <w:t>scattered,</w:t>
      </w:r>
      <w:r w:rsidR="00EE4FC3">
        <w:t xml:space="preserve"> </w:t>
      </w:r>
      <w:r w:rsidRPr="00382917">
        <w:t>and</w:t>
      </w:r>
      <w:r w:rsidR="00EE4FC3">
        <w:t xml:space="preserve"> </w:t>
      </w:r>
      <w:r w:rsidRPr="00382917">
        <w:t>were</w:t>
      </w:r>
      <w:r w:rsidR="00EE4FC3">
        <w:t xml:space="preserve"> </w:t>
      </w:r>
      <w:r w:rsidR="009C713D" w:rsidRPr="00382917">
        <w:t>“</w:t>
      </w:r>
      <w:r w:rsidRPr="00382917">
        <w:t>led</w:t>
      </w:r>
      <w:r w:rsidR="00EE4FC3">
        <w:t xml:space="preserve"> </w:t>
      </w:r>
      <w:r w:rsidRPr="00382917">
        <w:t>away</w:t>
      </w:r>
      <w:r w:rsidR="00EE4FC3">
        <w:t xml:space="preserve"> </w:t>
      </w:r>
      <w:r w:rsidRPr="00382917">
        <w:t>captive</w:t>
      </w:r>
      <w:r w:rsidR="00EE4FC3">
        <w:t xml:space="preserve"> </w:t>
      </w:r>
      <w:r w:rsidRPr="00382917">
        <w:t>into</w:t>
      </w:r>
      <w:r w:rsidR="00EE4FC3">
        <w:t xml:space="preserve"> </w:t>
      </w:r>
      <w:r w:rsidRPr="00382917">
        <w:t>all</w:t>
      </w:r>
      <w:r w:rsidR="00EE4FC3">
        <w:t xml:space="preserve"> </w:t>
      </w:r>
      <w:r w:rsidRPr="00382917">
        <w:t>nations.</w:t>
      </w:r>
      <w:r w:rsidR="009C713D" w:rsidRPr="00382917">
        <w:t>”</w:t>
      </w:r>
      <w:r w:rsidR="008C4ED7">
        <w:rPr>
          <w:rStyle w:val="FootnoteReference"/>
        </w:rPr>
        <w:footnoteReference w:id="295"/>
      </w:r>
    </w:p>
    <w:p w:rsidR="00F1111D" w:rsidRPr="00382917" w:rsidRDefault="00F1111D" w:rsidP="00244241">
      <w:pPr>
        <w:pStyle w:val="Text"/>
      </w:pPr>
      <w:r w:rsidRPr="00382917">
        <w:t>The</w:t>
      </w:r>
      <w:r w:rsidR="00EE4FC3">
        <w:t xml:space="preserve"> </w:t>
      </w:r>
      <w:r w:rsidRPr="00382917">
        <w:t>Romans</w:t>
      </w:r>
      <w:r w:rsidR="00EE4FC3">
        <w:t xml:space="preserve"> </w:t>
      </w:r>
      <w:r w:rsidRPr="00382917">
        <w:t>were</w:t>
      </w:r>
      <w:r w:rsidR="00EE4FC3">
        <w:t xml:space="preserve"> </w:t>
      </w:r>
      <w:r w:rsidRPr="00382917">
        <w:t>the</w:t>
      </w:r>
      <w:r w:rsidR="00EE4FC3">
        <w:t xml:space="preserve"> </w:t>
      </w:r>
      <w:r w:rsidRPr="00382917">
        <w:t>first</w:t>
      </w:r>
      <w:r w:rsidR="00EE4FC3">
        <w:t xml:space="preserve"> </w:t>
      </w:r>
      <w:r w:rsidRPr="00382917">
        <w:t>aliens</w:t>
      </w:r>
      <w:r w:rsidR="00EE4FC3">
        <w:t xml:space="preserve"> </w:t>
      </w:r>
      <w:r w:rsidRPr="00382917">
        <w:t>after</w:t>
      </w:r>
      <w:r w:rsidR="00EE4FC3">
        <w:t xml:space="preserve"> </w:t>
      </w:r>
      <w:r w:rsidRPr="00382917">
        <w:t>the</w:t>
      </w:r>
      <w:r w:rsidR="00EE4FC3">
        <w:t xml:space="preserve"> </w:t>
      </w:r>
      <w:r w:rsidRPr="00382917">
        <w:t>time</w:t>
      </w:r>
      <w:r w:rsidR="00EE4FC3">
        <w:t xml:space="preserve"> </w:t>
      </w:r>
      <w:r w:rsidRPr="00382917">
        <w:t>of</w:t>
      </w:r>
      <w:r w:rsidR="00EE4FC3">
        <w:t xml:space="preserve"> </w:t>
      </w:r>
      <w:r w:rsidRPr="00382917">
        <w:t>Christ</w:t>
      </w:r>
      <w:r w:rsidR="00EE4FC3">
        <w:t xml:space="preserve"> </w:t>
      </w:r>
      <w:r w:rsidRPr="00382917">
        <w:t>to</w:t>
      </w:r>
      <w:r w:rsidR="00EE4FC3">
        <w:t xml:space="preserve"> </w:t>
      </w:r>
      <w:r w:rsidRPr="00382917">
        <w:t>trample</w:t>
      </w:r>
      <w:r w:rsidR="00EE4FC3">
        <w:t xml:space="preserve"> </w:t>
      </w:r>
      <w:r w:rsidRPr="00382917">
        <w:t>down</w:t>
      </w:r>
      <w:r w:rsidR="00EE4FC3">
        <w:t xml:space="preserve"> </w:t>
      </w:r>
      <w:r w:rsidRPr="00382917">
        <w:t>the</w:t>
      </w:r>
      <w:r w:rsidR="00EE4FC3">
        <w:t xml:space="preserve"> </w:t>
      </w:r>
      <w:r w:rsidRPr="00382917">
        <w:t>city</w:t>
      </w:r>
      <w:r w:rsidR="00EE4FC3">
        <w:t xml:space="preserve"> </w:t>
      </w:r>
      <w:r w:rsidRPr="00382917">
        <w:t>of</w:t>
      </w:r>
      <w:r w:rsidR="00EE4FC3">
        <w:t xml:space="preserve"> </w:t>
      </w:r>
      <w:r w:rsidRPr="00382917">
        <w:t>Jerusalem</w:t>
      </w:r>
      <w:r w:rsidR="00552489">
        <w:t>.</w:t>
      </w:r>
      <w:r w:rsidR="00EE4FC3">
        <w:t xml:space="preserve">  </w:t>
      </w:r>
      <w:r w:rsidRPr="00382917">
        <w:t>Then</w:t>
      </w:r>
      <w:r w:rsidR="00EE4FC3">
        <w:t xml:space="preserve"> </w:t>
      </w:r>
      <w:proofErr w:type="gramStart"/>
      <w:r w:rsidRPr="00382917">
        <w:t>came</w:t>
      </w:r>
      <w:proofErr w:type="gramEnd"/>
      <w:r w:rsidR="00EE4FC3">
        <w:t xml:space="preserve"> </w:t>
      </w:r>
      <w:r w:rsidRPr="00382917">
        <w:t>the</w:t>
      </w:r>
      <w:r w:rsidR="00EE4FC3">
        <w:t xml:space="preserve"> </w:t>
      </w:r>
      <w:r w:rsidRPr="00382917">
        <w:t>Persians</w:t>
      </w:r>
      <w:r w:rsidR="00EE4FC3">
        <w:t xml:space="preserve"> </w:t>
      </w:r>
      <w:r w:rsidRPr="00382917">
        <w:t>and</w:t>
      </w:r>
      <w:r w:rsidR="00EE4FC3">
        <w:t xml:space="preserve"> </w:t>
      </w:r>
      <w:r w:rsidRPr="00382917">
        <w:t>the</w:t>
      </w:r>
      <w:r w:rsidR="00EE4FC3">
        <w:t xml:space="preserve"> </w:t>
      </w:r>
      <w:r w:rsidRPr="00382917">
        <w:t>Muslims</w:t>
      </w:r>
      <w:r w:rsidR="00552489">
        <w:t>.</w:t>
      </w:r>
      <w:r w:rsidR="00EE4FC3">
        <w:t xml:space="preserve">  </w:t>
      </w:r>
      <w:r w:rsidRPr="00382917">
        <w:t>The</w:t>
      </w:r>
      <w:r w:rsidR="00EE4FC3">
        <w:t xml:space="preserve"> </w:t>
      </w:r>
      <w:r w:rsidRPr="00382917">
        <w:t>latter</w:t>
      </w:r>
      <w:r w:rsidR="00EE4FC3">
        <w:t xml:space="preserve"> </w:t>
      </w:r>
      <w:r w:rsidRPr="00382917">
        <w:t>conquered</w:t>
      </w:r>
      <w:r w:rsidR="00EE4FC3">
        <w:t xml:space="preserve"> </w:t>
      </w:r>
      <w:r w:rsidRPr="00382917">
        <w:t>Jerusalem</w:t>
      </w:r>
      <w:r w:rsidR="00EE4FC3">
        <w:t xml:space="preserve"> </w:t>
      </w:r>
      <w:r w:rsidRPr="00382917">
        <w:t>in</w:t>
      </w:r>
      <w:r w:rsidR="00EE4FC3">
        <w:t xml:space="preserve"> </w:t>
      </w:r>
      <w:r w:rsidRPr="00382917">
        <w:t>CE</w:t>
      </w:r>
      <w:r w:rsidR="00EE4FC3">
        <w:t xml:space="preserve"> </w:t>
      </w:r>
      <w:r w:rsidRPr="00382917">
        <w:t>637</w:t>
      </w:r>
      <w:r w:rsidR="00552489">
        <w:t>.</w:t>
      </w:r>
      <w:r w:rsidR="00EE4FC3">
        <w:t xml:space="preserve">  </w:t>
      </w:r>
      <w:r w:rsidRPr="00382917">
        <w:t>During</w:t>
      </w:r>
      <w:r w:rsidR="00EE4FC3">
        <w:t xml:space="preserve"> </w:t>
      </w:r>
      <w:r w:rsidRPr="00382917">
        <w:t>the</w:t>
      </w:r>
      <w:r w:rsidR="00EE4FC3">
        <w:t xml:space="preserve"> </w:t>
      </w:r>
      <w:r w:rsidRPr="00382917">
        <w:t>period</w:t>
      </w:r>
      <w:r w:rsidR="00EE4FC3">
        <w:t xml:space="preserve"> </w:t>
      </w:r>
      <w:r w:rsidRPr="00382917">
        <w:t>of</w:t>
      </w:r>
      <w:r w:rsidR="00EE4FC3">
        <w:t xml:space="preserve"> </w:t>
      </w:r>
      <w:r w:rsidRPr="00382917">
        <w:t>occupation</w:t>
      </w:r>
      <w:r w:rsidR="00EE4FC3">
        <w:t xml:space="preserve"> </w:t>
      </w:r>
      <w:r w:rsidRPr="00382917">
        <w:t>by</w:t>
      </w:r>
      <w:r w:rsidR="00EE4FC3">
        <w:t xml:space="preserve"> </w:t>
      </w:r>
      <w:r w:rsidRPr="00382917">
        <w:t>the</w:t>
      </w:r>
      <w:r w:rsidR="00EE4FC3">
        <w:t xml:space="preserve"> </w:t>
      </w:r>
      <w:r w:rsidRPr="00382917">
        <w:t>Muslims,</w:t>
      </w:r>
      <w:r w:rsidR="00EE4FC3">
        <w:t xml:space="preserve"> </w:t>
      </w:r>
      <w:r w:rsidRPr="00382917">
        <w:t>the</w:t>
      </w:r>
      <w:r w:rsidR="00EE4FC3">
        <w:t xml:space="preserve"> </w:t>
      </w:r>
      <w:r w:rsidRPr="00382917">
        <w:t>Jews</w:t>
      </w:r>
      <w:r w:rsidR="00EE4FC3">
        <w:t xml:space="preserve"> </w:t>
      </w:r>
      <w:r w:rsidRPr="00382917">
        <w:t>were</w:t>
      </w:r>
      <w:r w:rsidR="00EE4FC3">
        <w:t xml:space="preserve"> </w:t>
      </w:r>
      <w:r w:rsidRPr="00382917">
        <w:t>rigidly</w:t>
      </w:r>
      <w:r w:rsidR="00EE4FC3">
        <w:t xml:space="preserve"> </w:t>
      </w:r>
      <w:r w:rsidRPr="00382917">
        <w:t>excluded</w:t>
      </w:r>
      <w:r w:rsidR="00EE4FC3">
        <w:t xml:space="preserve"> </w:t>
      </w:r>
      <w:r w:rsidRPr="00382917">
        <w:t>from</w:t>
      </w:r>
      <w:r w:rsidR="00EE4FC3">
        <w:t xml:space="preserve"> </w:t>
      </w:r>
      <w:r w:rsidRPr="00382917">
        <w:t>their</w:t>
      </w:r>
      <w:r w:rsidR="00EE4FC3">
        <w:t xml:space="preserve"> </w:t>
      </w:r>
      <w:r w:rsidRPr="00382917">
        <w:t>homeland.</w:t>
      </w:r>
    </w:p>
    <w:p w:rsidR="00F1111D" w:rsidRPr="00382917" w:rsidRDefault="00F1111D" w:rsidP="00244241">
      <w:pPr>
        <w:pStyle w:val="Text"/>
      </w:pPr>
      <w:r w:rsidRPr="00382917">
        <w:t>The</w:t>
      </w:r>
      <w:r w:rsidR="00EE4FC3">
        <w:t xml:space="preserve"> </w:t>
      </w:r>
      <w:r w:rsidRPr="00382917">
        <w:t>famous</w:t>
      </w:r>
      <w:r w:rsidR="00EE4FC3">
        <w:t xml:space="preserve"> </w:t>
      </w:r>
      <w:r w:rsidRPr="00382917">
        <w:t>Irish</w:t>
      </w:r>
      <w:r w:rsidR="00EE4FC3">
        <w:t xml:space="preserve"> </w:t>
      </w:r>
      <w:r w:rsidRPr="00382917">
        <w:t>scholar</w:t>
      </w:r>
      <w:r w:rsidR="00EE4FC3">
        <w:t xml:space="preserve"> </w:t>
      </w:r>
      <w:r w:rsidRPr="00382917">
        <w:t>and</w:t>
      </w:r>
      <w:r w:rsidR="00EE4FC3">
        <w:t xml:space="preserve"> </w:t>
      </w:r>
      <w:r w:rsidRPr="00382917">
        <w:t>author,</w:t>
      </w:r>
      <w:r w:rsidR="00EE4FC3">
        <w:t xml:space="preserve"> </w:t>
      </w:r>
      <w:r w:rsidRPr="00382917">
        <w:t>George</w:t>
      </w:r>
      <w:r w:rsidR="00EE4FC3">
        <w:t xml:space="preserve"> </w:t>
      </w:r>
      <w:r w:rsidRPr="00382917">
        <w:t>Townshend,</w:t>
      </w:r>
      <w:r w:rsidR="00EE4FC3">
        <w:t xml:space="preserve"> </w:t>
      </w:r>
      <w:r w:rsidRPr="00382917">
        <w:t>former</w:t>
      </w:r>
      <w:r w:rsidR="00EE4FC3">
        <w:t xml:space="preserve"> </w:t>
      </w:r>
      <w:r w:rsidRPr="00382917">
        <w:t>Canon</w:t>
      </w:r>
      <w:r w:rsidR="00EE4FC3">
        <w:t xml:space="preserve"> </w:t>
      </w:r>
      <w:r w:rsidRPr="00382917">
        <w:t>of</w:t>
      </w:r>
      <w:r w:rsidR="00EE4FC3">
        <w:t xml:space="preserve"> </w:t>
      </w:r>
      <w:r w:rsidRPr="00382917">
        <w:t>St.</w:t>
      </w:r>
      <w:r w:rsidR="00EE4FC3">
        <w:t xml:space="preserve"> </w:t>
      </w:r>
      <w:r w:rsidRPr="00382917">
        <w:t>Patrick</w:t>
      </w:r>
      <w:r w:rsidR="009C713D" w:rsidRPr="00382917">
        <w:t>’</w:t>
      </w:r>
      <w:r w:rsidRPr="00382917">
        <w:t>s</w:t>
      </w:r>
      <w:r w:rsidR="00EE4FC3">
        <w:t xml:space="preserve"> </w:t>
      </w:r>
      <w:r w:rsidRPr="00382917">
        <w:t>Cathedral,</w:t>
      </w:r>
      <w:r w:rsidR="00EE4FC3">
        <w:t xml:space="preserve"> </w:t>
      </w:r>
      <w:r w:rsidRPr="00382917">
        <w:t>Dublin,</w:t>
      </w:r>
      <w:r w:rsidR="00EE4FC3">
        <w:t xml:space="preserve"> </w:t>
      </w:r>
      <w:r w:rsidRPr="00382917">
        <w:t>and</w:t>
      </w:r>
      <w:r w:rsidR="00EE4FC3">
        <w:t xml:space="preserve"> </w:t>
      </w:r>
      <w:r w:rsidRPr="00382917">
        <w:t>Archdeacon</w:t>
      </w:r>
      <w:r w:rsidR="00EE4FC3">
        <w:t xml:space="preserve"> </w:t>
      </w:r>
      <w:r w:rsidRPr="00382917">
        <w:t>of</w:t>
      </w:r>
      <w:r w:rsidR="00EE4FC3">
        <w:t xml:space="preserve"> </w:t>
      </w:r>
      <w:proofErr w:type="spellStart"/>
      <w:r w:rsidRPr="00382917">
        <w:t>Clonfert</w:t>
      </w:r>
      <w:proofErr w:type="spellEnd"/>
      <w:r w:rsidRPr="00382917">
        <w:t>,</w:t>
      </w:r>
      <w:r w:rsidR="00EE4FC3">
        <w:t xml:space="preserve"> </w:t>
      </w:r>
      <w:r w:rsidRPr="00382917">
        <w:t>writes</w:t>
      </w:r>
      <w:r w:rsidR="00C03C91">
        <w:t>:</w:t>
      </w:r>
      <w:r w:rsidR="00EE4FC3">
        <w:t xml:space="preserve">  </w:t>
      </w:r>
      <w:r w:rsidR="009C713D" w:rsidRPr="00382917">
        <w:t>“</w:t>
      </w:r>
      <w:r w:rsidRPr="00382917">
        <w:t>The</w:t>
      </w:r>
      <w:r w:rsidR="00EE4FC3">
        <w:t xml:space="preserve"> </w:t>
      </w:r>
      <w:r w:rsidRPr="00382917">
        <w:t>strict</w:t>
      </w:r>
      <w:r w:rsidR="00EE4FC3">
        <w:t xml:space="preserve"> </w:t>
      </w:r>
      <w:r w:rsidRPr="00382917">
        <w:t>exclusion</w:t>
      </w:r>
      <w:r w:rsidR="00EE4FC3">
        <w:t xml:space="preserve"> </w:t>
      </w:r>
      <w:r w:rsidRPr="00382917">
        <w:t>of</w:t>
      </w:r>
      <w:r w:rsidR="00EE4FC3">
        <w:t xml:space="preserve"> </w:t>
      </w:r>
      <w:r w:rsidRPr="00382917">
        <w:t>the</w:t>
      </w:r>
      <w:r w:rsidR="00EE4FC3">
        <w:t xml:space="preserve"> </w:t>
      </w:r>
      <w:r w:rsidRPr="00382917">
        <w:t>Jews</w:t>
      </w:r>
      <w:r w:rsidR="00EE4FC3">
        <w:t xml:space="preserve"> </w:t>
      </w:r>
      <w:r w:rsidRPr="00382917">
        <w:t>from</w:t>
      </w:r>
      <w:r w:rsidR="00EE4FC3">
        <w:t xml:space="preserve"> </w:t>
      </w:r>
      <w:r w:rsidRPr="00382917">
        <w:t>their</w:t>
      </w:r>
      <w:r w:rsidR="00EE4FC3">
        <w:t xml:space="preserve"> </w:t>
      </w:r>
      <w:r w:rsidRPr="00382917">
        <w:t>own</w:t>
      </w:r>
      <w:r w:rsidR="00EE4FC3">
        <w:t xml:space="preserve"> </w:t>
      </w:r>
      <w:r w:rsidRPr="00382917">
        <w:t>land</w:t>
      </w:r>
      <w:r w:rsidR="00EE4FC3">
        <w:t xml:space="preserve"> </w:t>
      </w:r>
      <w:r w:rsidRPr="00382917">
        <w:t>enforced</w:t>
      </w:r>
      <w:r w:rsidR="00EE4FC3">
        <w:t xml:space="preserve"> </w:t>
      </w:r>
      <w:r w:rsidRPr="00382917">
        <w:t>by</w:t>
      </w:r>
      <w:r w:rsidR="00EE4FC3">
        <w:t xml:space="preserve"> </w:t>
      </w:r>
      <w:r w:rsidRPr="00382917">
        <w:t>the</w:t>
      </w:r>
      <w:r w:rsidR="00EE4FC3">
        <w:t xml:space="preserve"> </w:t>
      </w:r>
      <w:r w:rsidRPr="00382917">
        <w:t>Muslims</w:t>
      </w:r>
      <w:r w:rsidR="00EE4FC3">
        <w:t xml:space="preserve"> </w:t>
      </w:r>
      <w:r w:rsidRPr="00382917">
        <w:t>for</w:t>
      </w:r>
      <w:r w:rsidR="00EE4FC3">
        <w:t xml:space="preserve"> </w:t>
      </w:r>
      <w:r w:rsidRPr="00382917">
        <w:t>some</w:t>
      </w:r>
      <w:r w:rsidR="00EE4FC3">
        <w:t xml:space="preserve"> </w:t>
      </w:r>
      <w:r w:rsidRPr="00382917">
        <w:t>twelve</w:t>
      </w:r>
      <w:r w:rsidR="00EE4FC3">
        <w:t xml:space="preserve"> </w:t>
      </w:r>
      <w:r w:rsidRPr="00382917">
        <w:t>centuries</w:t>
      </w:r>
      <w:r w:rsidR="00EE4FC3">
        <w:t xml:space="preserve"> </w:t>
      </w:r>
      <w:r w:rsidRPr="00382917">
        <w:t>was</w:t>
      </w:r>
      <w:r w:rsidR="00EE4FC3">
        <w:t xml:space="preserve"> </w:t>
      </w:r>
      <w:r w:rsidRPr="00382917">
        <w:t>at</w:t>
      </w:r>
      <w:r w:rsidR="00EE4FC3">
        <w:t xml:space="preserve"> </w:t>
      </w:r>
      <w:r w:rsidRPr="00382917">
        <w:t>last</w:t>
      </w:r>
      <w:r w:rsidR="00EE4FC3">
        <w:t xml:space="preserve"> </w:t>
      </w:r>
      <w:r w:rsidRPr="00382917">
        <w:t>relaxed</w:t>
      </w:r>
      <w:r w:rsidR="00EE4FC3">
        <w:t xml:space="preserve"> </w:t>
      </w:r>
      <w:r w:rsidRPr="00382917">
        <w:t>by</w:t>
      </w:r>
      <w:r w:rsidR="00EE4FC3">
        <w:t xml:space="preserve"> </w:t>
      </w:r>
      <w:r w:rsidRPr="00382917">
        <w:t>the</w:t>
      </w:r>
      <w:r w:rsidR="00EE4FC3">
        <w:t xml:space="preserve"> </w:t>
      </w:r>
      <w:r w:rsidRPr="00382917">
        <w:t>Edict</w:t>
      </w:r>
      <w:r w:rsidR="00EE4FC3">
        <w:t xml:space="preserve"> </w:t>
      </w:r>
      <w:r w:rsidRPr="00382917">
        <w:t>of</w:t>
      </w:r>
      <w:r w:rsidR="00EE4FC3">
        <w:t xml:space="preserve"> </w:t>
      </w:r>
      <w:r w:rsidRPr="00382917">
        <w:t>Toleration</w:t>
      </w:r>
      <w:r w:rsidR="00EE4FC3">
        <w:t xml:space="preserve"> </w:t>
      </w:r>
      <w:r w:rsidRPr="00382917">
        <w:t>and</w:t>
      </w:r>
      <w:r w:rsidR="00EE4FC3">
        <w:t xml:space="preserve"> </w:t>
      </w:r>
      <w:r w:rsidRPr="00382917">
        <w:t>the</w:t>
      </w:r>
      <w:r w:rsidR="00EE4FC3">
        <w:t xml:space="preserve"> </w:t>
      </w:r>
      <w:r w:rsidR="009C713D" w:rsidRPr="00382917">
        <w:t>‘</w:t>
      </w:r>
      <w:r w:rsidRPr="00382917">
        <w:t>times</w:t>
      </w:r>
      <w:r w:rsidR="00EE4FC3">
        <w:t xml:space="preserve"> </w:t>
      </w:r>
      <w:r w:rsidRPr="00382917">
        <w:t>of</w:t>
      </w:r>
      <w:r w:rsidR="00EE4FC3">
        <w:t xml:space="preserve"> </w:t>
      </w:r>
      <w:r w:rsidRPr="00382917">
        <w:t>the</w:t>
      </w:r>
      <w:r w:rsidR="00EE4FC3">
        <w:t xml:space="preserve"> </w:t>
      </w:r>
      <w:r w:rsidRPr="00382917">
        <w:t>Gentiles</w:t>
      </w:r>
      <w:r w:rsidR="009C713D" w:rsidRPr="00382917">
        <w:t>’</w:t>
      </w:r>
      <w:r w:rsidR="00EE4FC3">
        <w:t xml:space="preserve"> </w:t>
      </w:r>
      <w:r w:rsidRPr="00382917">
        <w:t>were</w:t>
      </w:r>
      <w:r w:rsidR="00EE4FC3">
        <w:t xml:space="preserve"> </w:t>
      </w:r>
      <w:r w:rsidRPr="00382917">
        <w:t>fulfilled.</w:t>
      </w:r>
      <w:r w:rsidR="009C713D" w:rsidRPr="00382917">
        <w:t>”</w:t>
      </w:r>
    </w:p>
    <w:p w:rsidR="00F1111D" w:rsidRPr="00382917" w:rsidRDefault="00F1111D" w:rsidP="008C4ED7">
      <w:pPr>
        <w:pStyle w:val="Text"/>
      </w:pPr>
      <w:r w:rsidRPr="00382917">
        <w:t>Townshend</w:t>
      </w:r>
      <w:r w:rsidR="00EE4FC3">
        <w:t xml:space="preserve"> </w:t>
      </w:r>
      <w:r w:rsidRPr="00382917">
        <w:t>goes</w:t>
      </w:r>
      <w:r w:rsidR="00EE4FC3">
        <w:t xml:space="preserve"> </w:t>
      </w:r>
      <w:r w:rsidRPr="00382917">
        <w:t>on</w:t>
      </w:r>
      <w:r w:rsidR="00EE4FC3">
        <w:t xml:space="preserve"> </w:t>
      </w:r>
      <w:r w:rsidRPr="00382917">
        <w:t>to</w:t>
      </w:r>
      <w:r w:rsidR="00EE4FC3">
        <w:t xml:space="preserve"> </w:t>
      </w:r>
      <w:r w:rsidRPr="00382917">
        <w:t>point</w:t>
      </w:r>
      <w:r w:rsidR="00EE4FC3">
        <w:t xml:space="preserve"> </w:t>
      </w:r>
      <w:r w:rsidRPr="00382917">
        <w:t>out</w:t>
      </w:r>
      <w:r w:rsidR="00EE4FC3">
        <w:t xml:space="preserve"> </w:t>
      </w:r>
      <w:r w:rsidRPr="00382917">
        <w:t>that</w:t>
      </w:r>
      <w:r w:rsidR="00EE4FC3">
        <w:t xml:space="preserve"> </w:t>
      </w:r>
      <w:r w:rsidRPr="00382917">
        <w:t>this</w:t>
      </w:r>
      <w:r w:rsidR="00EE4FC3">
        <w:t xml:space="preserve"> </w:t>
      </w:r>
      <w:r w:rsidRPr="00382917">
        <w:t>document,</w:t>
      </w:r>
      <w:r w:rsidR="00EE4FC3">
        <w:t xml:space="preserve"> </w:t>
      </w:r>
      <w:r w:rsidRPr="00382917">
        <w:t>the</w:t>
      </w:r>
      <w:r w:rsidR="00EE4FC3">
        <w:t xml:space="preserve"> </w:t>
      </w:r>
      <w:r w:rsidRPr="00382917">
        <w:t>Edict</w:t>
      </w:r>
      <w:r w:rsidR="00EE4FC3">
        <w:t xml:space="preserve"> </w:t>
      </w:r>
      <w:r w:rsidRPr="00382917">
        <w:t>of</w:t>
      </w:r>
      <w:r w:rsidR="00EE4FC3">
        <w:t xml:space="preserve"> </w:t>
      </w:r>
      <w:r w:rsidRPr="00382917">
        <w:t>Toleration,</w:t>
      </w:r>
      <w:r w:rsidR="00EE4FC3">
        <w:t xml:space="preserve"> </w:t>
      </w:r>
      <w:r w:rsidRPr="00382917">
        <w:t>was</w:t>
      </w:r>
      <w:r w:rsidR="00EE4FC3">
        <w:t xml:space="preserve"> </w:t>
      </w:r>
      <w:r w:rsidRPr="00382917">
        <w:t>issued</w:t>
      </w:r>
      <w:r w:rsidR="00EE4FC3">
        <w:t xml:space="preserve"> </w:t>
      </w:r>
      <w:r w:rsidRPr="00382917">
        <w:t>by</w:t>
      </w:r>
      <w:r w:rsidR="00EE4FC3">
        <w:t xml:space="preserve"> </w:t>
      </w:r>
      <w:r w:rsidRPr="00382917">
        <w:t>the</w:t>
      </w:r>
      <w:r w:rsidR="00EE4FC3">
        <w:t xml:space="preserve"> </w:t>
      </w:r>
      <w:r w:rsidRPr="00382917">
        <w:t>governing</w:t>
      </w:r>
      <w:r w:rsidR="00EE4FC3">
        <w:t xml:space="preserve"> </w:t>
      </w:r>
      <w:r w:rsidRPr="00382917">
        <w:t>authorities</w:t>
      </w:r>
      <w:r w:rsidR="00EE4FC3">
        <w:t xml:space="preserve"> </w:t>
      </w:r>
      <w:r w:rsidRPr="00382917">
        <w:t>in</w:t>
      </w:r>
      <w:r w:rsidR="00EE4FC3">
        <w:t xml:space="preserve"> </w:t>
      </w:r>
      <w:r w:rsidRPr="00382917">
        <w:t>the</w:t>
      </w:r>
      <w:r w:rsidR="00EE4FC3">
        <w:t xml:space="preserve"> </w:t>
      </w:r>
      <w:r w:rsidRPr="00382917">
        <w:t>year</w:t>
      </w:r>
      <w:r w:rsidR="00EE4FC3">
        <w:t xml:space="preserve"> </w:t>
      </w:r>
      <w:r w:rsidRPr="00382917">
        <w:t>1844.</w:t>
      </w:r>
      <w:r w:rsidR="008C4ED7">
        <w:rPr>
          <w:rStyle w:val="FootnoteReference"/>
        </w:rPr>
        <w:footnoteReference w:id="296"/>
      </w:r>
    </w:p>
    <w:p w:rsidR="00F1111D" w:rsidRPr="00382917" w:rsidRDefault="00F1111D" w:rsidP="007949AC">
      <w:pPr>
        <w:pStyle w:val="Text"/>
      </w:pPr>
      <w:r w:rsidRPr="00382917">
        <w:t>There</w:t>
      </w:r>
      <w:r w:rsidR="00EE4FC3">
        <w:t xml:space="preserve"> </w:t>
      </w:r>
      <w:r w:rsidRPr="00382917">
        <w:t>is</w:t>
      </w:r>
      <w:r w:rsidR="00EE4FC3">
        <w:t xml:space="preserve"> </w:t>
      </w:r>
      <w:r w:rsidRPr="00382917">
        <w:t>a</w:t>
      </w:r>
      <w:r w:rsidR="00EE4FC3">
        <w:t xml:space="preserve"> </w:t>
      </w:r>
      <w:r w:rsidRPr="00382917">
        <w:t>strong</w:t>
      </w:r>
      <w:r w:rsidR="00EE4FC3">
        <w:t xml:space="preserve"> </w:t>
      </w:r>
      <w:r w:rsidRPr="00382917">
        <w:t>confirmation</w:t>
      </w:r>
      <w:r w:rsidR="00EE4FC3">
        <w:t xml:space="preserve"> </w:t>
      </w:r>
      <w:r w:rsidRPr="00382917">
        <w:t>to</w:t>
      </w:r>
      <w:r w:rsidR="00EE4FC3">
        <w:t xml:space="preserve"> </w:t>
      </w:r>
      <w:r w:rsidRPr="00382917">
        <w:t>be</w:t>
      </w:r>
      <w:r w:rsidR="00EE4FC3">
        <w:t xml:space="preserve"> </w:t>
      </w:r>
      <w:r w:rsidRPr="00382917">
        <w:t>found</w:t>
      </w:r>
      <w:r w:rsidR="00EE4FC3">
        <w:t xml:space="preserve"> </w:t>
      </w:r>
      <w:r w:rsidRPr="00382917">
        <w:t>in</w:t>
      </w:r>
      <w:r w:rsidR="00EE4FC3">
        <w:t xml:space="preserve"> </w:t>
      </w:r>
      <w:r w:rsidRPr="00382917">
        <w:t>the</w:t>
      </w:r>
      <w:r w:rsidR="00EE4FC3">
        <w:t xml:space="preserve"> </w:t>
      </w:r>
      <w:r w:rsidRPr="00382917">
        <w:t>Bible</w:t>
      </w:r>
      <w:r w:rsidR="00EE4FC3">
        <w:t xml:space="preserve"> </w:t>
      </w:r>
      <w:r w:rsidRPr="00382917">
        <w:t>itself</w:t>
      </w:r>
      <w:r w:rsidR="00EE4FC3">
        <w:t xml:space="preserve"> </w:t>
      </w:r>
      <w:r w:rsidRPr="00382917">
        <w:t>that</w:t>
      </w:r>
      <w:r w:rsidR="00EE4FC3">
        <w:t xml:space="preserve"> </w:t>
      </w:r>
      <w:r w:rsidRPr="00382917">
        <w:t>1844</w:t>
      </w:r>
      <w:r w:rsidR="00EE4FC3">
        <w:t xml:space="preserve"> </w:t>
      </w:r>
      <w:r w:rsidRPr="00382917">
        <w:t>was</w:t>
      </w:r>
      <w:r w:rsidR="00EE4FC3">
        <w:t xml:space="preserve"> </w:t>
      </w:r>
      <w:r w:rsidRPr="00382917">
        <w:t>the</w:t>
      </w:r>
      <w:r w:rsidR="00EE4FC3">
        <w:t xml:space="preserve"> </w:t>
      </w:r>
      <w:r w:rsidRPr="00382917">
        <w:t>year</w:t>
      </w:r>
      <w:r w:rsidR="00EE4FC3">
        <w:t xml:space="preserve"> </w:t>
      </w:r>
      <w:r w:rsidRPr="00382917">
        <w:t>intended</w:t>
      </w:r>
      <w:r w:rsidR="00EE4FC3">
        <w:t xml:space="preserve"> </w:t>
      </w:r>
      <w:r w:rsidRPr="00382917">
        <w:t>for</w:t>
      </w:r>
      <w:r w:rsidR="00EE4FC3">
        <w:t xml:space="preserve"> </w:t>
      </w:r>
      <w:r w:rsidRPr="00382917">
        <w:t>the</w:t>
      </w:r>
      <w:r w:rsidR="00EE4FC3">
        <w:t xml:space="preserve"> </w:t>
      </w:r>
      <w:proofErr w:type="spellStart"/>
      <w:r w:rsidRPr="00382917">
        <w:t>fulfillment</w:t>
      </w:r>
      <w:proofErr w:type="spellEnd"/>
      <w:r w:rsidR="00EE4FC3">
        <w:t xml:space="preserve"> </w:t>
      </w:r>
      <w:r w:rsidRPr="00382917">
        <w:t>of</w:t>
      </w:r>
      <w:r w:rsidR="00EE4FC3">
        <w:t xml:space="preserve"> </w:t>
      </w:r>
      <w:r w:rsidRPr="00382917">
        <w:t>Christ</w:t>
      </w:r>
      <w:r w:rsidR="009C713D" w:rsidRPr="00382917">
        <w:t>’</w:t>
      </w:r>
      <w:r w:rsidRPr="00382917">
        <w:t>s</w:t>
      </w:r>
      <w:r w:rsidR="00EE4FC3">
        <w:t xml:space="preserve"> </w:t>
      </w:r>
      <w:r w:rsidRPr="00382917">
        <w:t>promise</w:t>
      </w:r>
      <w:r w:rsidR="00EE4FC3">
        <w:t xml:space="preserve"> </w:t>
      </w:r>
      <w:r w:rsidRPr="00382917">
        <w:t>concerning</w:t>
      </w:r>
      <w:r w:rsidR="00EE4FC3">
        <w:t xml:space="preserve"> </w:t>
      </w:r>
      <w:r w:rsidRPr="00382917">
        <w:t>the</w:t>
      </w:r>
      <w:r w:rsidR="00EE4FC3">
        <w:t xml:space="preserve"> </w:t>
      </w:r>
      <w:r w:rsidR="009C713D" w:rsidRPr="00382917">
        <w:t>“</w:t>
      </w:r>
      <w:r w:rsidRPr="00382917">
        <w:t>times</w:t>
      </w:r>
      <w:r w:rsidR="00EE4FC3">
        <w:t xml:space="preserve"> </w:t>
      </w:r>
      <w:r w:rsidRPr="00382917">
        <w:t>of</w:t>
      </w:r>
      <w:r w:rsidR="00EE4FC3">
        <w:t xml:space="preserve"> </w:t>
      </w:r>
      <w:r w:rsidRPr="00382917">
        <w:t>the</w:t>
      </w:r>
      <w:r w:rsidR="00EE4FC3">
        <w:t xml:space="preserve"> </w:t>
      </w:r>
      <w:r w:rsidRPr="00382917">
        <w:t>Gentiles</w:t>
      </w:r>
      <w:r w:rsidR="009C713D" w:rsidRPr="00382917">
        <w:t>”</w:t>
      </w:r>
      <w:r w:rsidR="007949AC">
        <w:t xml:space="preserve">. </w:t>
      </w:r>
      <w:r w:rsidR="00EE4FC3">
        <w:t xml:space="preserve"> </w:t>
      </w:r>
      <w:r w:rsidRPr="00382917">
        <w:t>This</w:t>
      </w:r>
      <w:r w:rsidR="00EE4FC3">
        <w:t xml:space="preserve"> </w:t>
      </w:r>
      <w:r w:rsidRPr="00382917">
        <w:t>confirmation</w:t>
      </w:r>
      <w:r w:rsidR="00EE4FC3">
        <w:t xml:space="preserve"> </w:t>
      </w:r>
      <w:r w:rsidRPr="00382917">
        <w:t>is</w:t>
      </w:r>
      <w:r w:rsidR="00EE4FC3">
        <w:t xml:space="preserve"> </w:t>
      </w:r>
      <w:r w:rsidRPr="00382917">
        <w:t>given</w:t>
      </w:r>
      <w:r w:rsidR="00EE4FC3">
        <w:t xml:space="preserve"> </w:t>
      </w:r>
      <w:r w:rsidRPr="00382917">
        <w:t>in</w:t>
      </w:r>
      <w:r w:rsidR="00EE4FC3">
        <w:t xml:space="preserve"> </w:t>
      </w:r>
      <w:r w:rsidRPr="00382917">
        <w:t>the</w:t>
      </w:r>
      <w:r w:rsidR="00EE4FC3">
        <w:t xml:space="preserve"> </w:t>
      </w:r>
      <w:r w:rsidRPr="00382917">
        <w:t>Book</w:t>
      </w:r>
      <w:r w:rsidR="00EE4FC3">
        <w:t xml:space="preserve"> </w:t>
      </w:r>
      <w:r w:rsidRPr="00382917">
        <w:t>of</w:t>
      </w:r>
      <w:r w:rsidR="00EE4FC3">
        <w:t xml:space="preserve"> </w:t>
      </w:r>
      <w:r w:rsidRPr="00382917">
        <w:t>Revelation,</w:t>
      </w:r>
      <w:r w:rsidR="00EE4FC3">
        <w:t xml:space="preserve"> </w:t>
      </w:r>
      <w:r w:rsidRPr="00382917">
        <w:t>chapter</w:t>
      </w:r>
      <w:r w:rsidR="00EE4FC3">
        <w:t xml:space="preserve"> </w:t>
      </w:r>
      <w:r w:rsidRPr="00382917">
        <w:t>eleven:</w:t>
      </w:r>
    </w:p>
    <w:p w:rsidR="00F1111D" w:rsidRPr="00382917" w:rsidRDefault="009C713D" w:rsidP="008C4ED7">
      <w:pPr>
        <w:pStyle w:val="Quote"/>
      </w:pPr>
      <w:r w:rsidRPr="00382917">
        <w:t>“</w:t>
      </w:r>
      <w:r w:rsidR="00F1111D" w:rsidRPr="00382917">
        <w:t>And</w:t>
      </w:r>
      <w:r w:rsidR="00EE4FC3">
        <w:t xml:space="preserve"> </w:t>
      </w:r>
      <w:r w:rsidR="00F1111D" w:rsidRPr="00382917">
        <w:t>the</w:t>
      </w:r>
      <w:r w:rsidR="00EE4FC3">
        <w:t xml:space="preserve"> </w:t>
      </w:r>
      <w:r w:rsidR="00F1111D" w:rsidRPr="00382917">
        <w:t>Holy</w:t>
      </w:r>
      <w:r w:rsidR="00EE4FC3">
        <w:t xml:space="preserve"> </w:t>
      </w:r>
      <w:r w:rsidR="00F1111D" w:rsidRPr="00382917">
        <w:t>City</w:t>
      </w:r>
      <w:r w:rsidR="00EE4FC3">
        <w:t xml:space="preserve"> </w:t>
      </w:r>
      <w:r w:rsidR="00F1111D" w:rsidRPr="00382917">
        <w:t>[Jerusalem]</w:t>
      </w:r>
      <w:r w:rsidR="00EE4FC3">
        <w:t xml:space="preserve"> </w:t>
      </w:r>
      <w:r w:rsidR="00F1111D" w:rsidRPr="00382917">
        <w:t>shall</w:t>
      </w:r>
      <w:r w:rsidR="00EE4FC3">
        <w:t xml:space="preserve"> </w:t>
      </w:r>
      <w:r w:rsidR="00F1111D" w:rsidRPr="00382917">
        <w:t>they</w:t>
      </w:r>
      <w:r w:rsidR="00EE4FC3">
        <w:t xml:space="preserve"> </w:t>
      </w:r>
      <w:r w:rsidR="00F1111D" w:rsidRPr="00382917">
        <w:t>trod</w:t>
      </w:r>
      <w:r w:rsidR="00EE4FC3">
        <w:t xml:space="preserve"> </w:t>
      </w:r>
      <w:r w:rsidR="00F1111D" w:rsidRPr="00382917">
        <w:t>under</w:t>
      </w:r>
      <w:r w:rsidR="00EE4FC3">
        <w:t xml:space="preserve"> </w:t>
      </w:r>
      <w:r w:rsidR="00F1111D" w:rsidRPr="00382917">
        <w:t>foot</w:t>
      </w:r>
      <w:r w:rsidR="00EE4FC3">
        <w:t xml:space="preserve"> </w:t>
      </w:r>
      <w:r w:rsidR="00F1111D" w:rsidRPr="00382917">
        <w:t>for</w:t>
      </w:r>
      <w:r w:rsidR="00EE4FC3">
        <w:t xml:space="preserve"> </w:t>
      </w:r>
      <w:r w:rsidR="00F1111D" w:rsidRPr="00382917">
        <w:t>forty</w:t>
      </w:r>
      <w:r w:rsidR="00EE4FC3">
        <w:t xml:space="preserve"> </w:t>
      </w:r>
      <w:r w:rsidR="00F1111D" w:rsidRPr="00382917">
        <w:t>and</w:t>
      </w:r>
      <w:r w:rsidR="00EE4FC3">
        <w:t xml:space="preserve"> </w:t>
      </w:r>
      <w:r w:rsidR="00F1111D" w:rsidRPr="00382917">
        <w:t>two</w:t>
      </w:r>
      <w:r w:rsidR="00EE4FC3">
        <w:t xml:space="preserve"> </w:t>
      </w:r>
      <w:r w:rsidR="00F1111D" w:rsidRPr="00382917">
        <w:t>months,</w:t>
      </w:r>
      <w:r w:rsidR="00EE4FC3">
        <w:t xml:space="preserve"> </w:t>
      </w:r>
      <w:r w:rsidR="00F1111D" w:rsidRPr="00382917">
        <w:t>until</w:t>
      </w:r>
      <w:r w:rsidR="00EE4FC3">
        <w:t xml:space="preserve"> </w:t>
      </w:r>
      <w:r w:rsidR="00F1111D" w:rsidRPr="00382917">
        <w:t>the</w:t>
      </w:r>
      <w:r w:rsidR="00EE4FC3">
        <w:t xml:space="preserve"> </w:t>
      </w:r>
      <w:r w:rsidR="00F1111D" w:rsidRPr="00382917">
        <w:t>times</w:t>
      </w:r>
      <w:r w:rsidR="00EE4FC3">
        <w:t xml:space="preserve"> </w:t>
      </w:r>
      <w:r w:rsidR="00F1111D" w:rsidRPr="00382917">
        <w:t>of</w:t>
      </w:r>
      <w:r w:rsidR="00EE4FC3">
        <w:t xml:space="preserve"> </w:t>
      </w:r>
      <w:r w:rsidR="00F1111D" w:rsidRPr="00382917">
        <w:t>the</w:t>
      </w:r>
      <w:r w:rsidR="00EE4FC3">
        <w:t xml:space="preserve"> </w:t>
      </w:r>
      <w:r w:rsidR="00F1111D" w:rsidRPr="00382917">
        <w:t>Gentiles</w:t>
      </w:r>
      <w:r w:rsidR="00EE4FC3">
        <w:t xml:space="preserve"> </w:t>
      </w:r>
      <w:r w:rsidR="00F1111D" w:rsidRPr="00382917">
        <w:t>is</w:t>
      </w:r>
      <w:r w:rsidR="00EE4FC3">
        <w:t xml:space="preserve"> </w:t>
      </w:r>
      <w:r w:rsidR="00F1111D" w:rsidRPr="00382917">
        <w:t>fulfilled.</w:t>
      </w:r>
      <w:r w:rsidRPr="00382917">
        <w:t>”</w:t>
      </w:r>
      <w:r w:rsidR="008C4ED7">
        <w:rPr>
          <w:rStyle w:val="FootnoteReference"/>
        </w:rPr>
        <w:footnoteReference w:id="297"/>
      </w:r>
    </w:p>
    <w:p w:rsidR="00F1111D" w:rsidRPr="00382917" w:rsidRDefault="00F1111D" w:rsidP="00244241">
      <w:pPr>
        <w:pStyle w:val="Text"/>
      </w:pPr>
      <w:r w:rsidRPr="00382917">
        <w:t>This</w:t>
      </w:r>
      <w:r w:rsidR="00EE4FC3">
        <w:t xml:space="preserve"> </w:t>
      </w:r>
      <w:r w:rsidRPr="00382917">
        <w:t>period</w:t>
      </w:r>
      <w:r w:rsidR="00EE4FC3">
        <w:t xml:space="preserve"> </w:t>
      </w:r>
      <w:r w:rsidRPr="00382917">
        <w:t>of</w:t>
      </w:r>
      <w:r w:rsidR="00EE4FC3">
        <w:t xml:space="preserve"> </w:t>
      </w:r>
      <w:r w:rsidRPr="00382917">
        <w:t>forty-two</w:t>
      </w:r>
      <w:r w:rsidR="00EE4FC3">
        <w:t xml:space="preserve"> </w:t>
      </w:r>
      <w:r w:rsidRPr="00382917">
        <w:t>months</w:t>
      </w:r>
      <w:r w:rsidR="00EE4FC3">
        <w:t xml:space="preserve"> </w:t>
      </w:r>
      <w:r w:rsidRPr="00382917">
        <w:t>is</w:t>
      </w:r>
      <w:r w:rsidR="00EE4FC3">
        <w:t xml:space="preserve"> </w:t>
      </w:r>
      <w:r w:rsidRPr="00382917">
        <w:t>expressed</w:t>
      </w:r>
      <w:r w:rsidR="00EE4FC3">
        <w:t xml:space="preserve"> </w:t>
      </w:r>
      <w:r w:rsidRPr="00382917">
        <w:t>in</w:t>
      </w:r>
      <w:r w:rsidR="00EE4FC3">
        <w:t xml:space="preserve"> </w:t>
      </w:r>
      <w:r w:rsidRPr="00382917">
        <w:t>the</w:t>
      </w:r>
      <w:r w:rsidR="00EE4FC3">
        <w:t xml:space="preserve"> </w:t>
      </w:r>
      <w:r w:rsidRPr="00382917">
        <w:t>very</w:t>
      </w:r>
      <w:r w:rsidR="00EE4FC3">
        <w:t xml:space="preserve"> </w:t>
      </w:r>
      <w:r w:rsidRPr="00382917">
        <w:t>next</w:t>
      </w:r>
      <w:r w:rsidR="00EE4FC3">
        <w:t xml:space="preserve"> </w:t>
      </w:r>
      <w:r w:rsidRPr="00382917">
        <w:t>verse</w:t>
      </w:r>
      <w:r w:rsidR="00EE4FC3">
        <w:t xml:space="preserve"> </w:t>
      </w:r>
      <w:r w:rsidRPr="00382917">
        <w:t>in</w:t>
      </w:r>
      <w:r w:rsidR="00EE4FC3">
        <w:t xml:space="preserve"> </w:t>
      </w:r>
      <w:r w:rsidRPr="00382917">
        <w:t>the</w:t>
      </w:r>
      <w:r w:rsidR="00EE4FC3">
        <w:t xml:space="preserve"> </w:t>
      </w:r>
      <w:r w:rsidRPr="00382917">
        <w:t>form</w:t>
      </w:r>
      <w:r w:rsidR="00C03C91">
        <w:t>:</w:t>
      </w:r>
      <w:r w:rsidR="00EE4FC3">
        <w:t xml:space="preserve">  </w:t>
      </w:r>
      <w:r w:rsidRPr="00382917">
        <w:t>1</w:t>
      </w:r>
      <w:r w:rsidR="007949AC">
        <w:t>,</w:t>
      </w:r>
      <w:r w:rsidRPr="00382917">
        <w:t>260</w:t>
      </w:r>
      <w:r w:rsidR="00EE4FC3">
        <w:t xml:space="preserve"> </w:t>
      </w:r>
      <w:r w:rsidRPr="00382917">
        <w:t>days</w:t>
      </w:r>
      <w:r w:rsidR="00552489">
        <w:t>.</w:t>
      </w:r>
      <w:r w:rsidR="00EE4FC3">
        <w:t xml:space="preserve">  </w:t>
      </w:r>
      <w:r w:rsidRPr="00382917">
        <w:t>Bible</w:t>
      </w:r>
      <w:r w:rsidR="00EE4FC3">
        <w:t xml:space="preserve"> </w:t>
      </w:r>
      <w:r w:rsidRPr="00382917">
        <w:t>scholars</w:t>
      </w:r>
      <w:r w:rsidR="00EE4FC3">
        <w:t xml:space="preserve"> </w:t>
      </w:r>
      <w:r w:rsidRPr="00382917">
        <w:t>found</w:t>
      </w:r>
      <w:r w:rsidR="00EE4FC3">
        <w:t xml:space="preserve"> </w:t>
      </w:r>
      <w:r w:rsidRPr="00382917">
        <w:t>this</w:t>
      </w:r>
      <w:r w:rsidR="00EE4FC3">
        <w:t xml:space="preserve"> </w:t>
      </w:r>
      <w:r w:rsidRPr="00382917">
        <w:t>period</w:t>
      </w:r>
      <w:r w:rsidR="00EE4FC3">
        <w:t xml:space="preserve"> </w:t>
      </w:r>
      <w:r w:rsidRPr="00382917">
        <w:t>of</w:t>
      </w:r>
      <w:r w:rsidR="00EE4FC3">
        <w:t xml:space="preserve"> </w:t>
      </w:r>
      <w:r w:rsidRPr="00382917">
        <w:t>forty-two</w:t>
      </w:r>
      <w:r w:rsidR="00EE4FC3">
        <w:t xml:space="preserve"> </w:t>
      </w:r>
      <w:r w:rsidRPr="00382917">
        <w:t>months</w:t>
      </w:r>
      <w:r w:rsidR="00EE4FC3">
        <w:t xml:space="preserve"> </w:t>
      </w:r>
      <w:r w:rsidRPr="00382917">
        <w:t>or</w:t>
      </w:r>
      <w:r w:rsidR="00EE4FC3">
        <w:t xml:space="preserve"> </w:t>
      </w:r>
      <w:r w:rsidRPr="00382917">
        <w:t>1</w:t>
      </w:r>
      <w:r w:rsidR="007949AC">
        <w:t>,</w:t>
      </w:r>
      <w:r w:rsidRPr="00382917">
        <w:t>260</w:t>
      </w:r>
      <w:r w:rsidR="00EE4FC3">
        <w:t xml:space="preserve"> </w:t>
      </w:r>
      <w:r w:rsidRPr="00382917">
        <w:t>days</w:t>
      </w:r>
      <w:r w:rsidR="00EE4FC3">
        <w:t xml:space="preserve"> </w:t>
      </w:r>
      <w:r w:rsidRPr="00382917">
        <w:t>to</w:t>
      </w:r>
      <w:r w:rsidR="00EE4FC3">
        <w:t xml:space="preserve"> </w:t>
      </w:r>
      <w:r w:rsidRPr="00382917">
        <w:t>be</w:t>
      </w:r>
      <w:r w:rsidR="00EE4FC3">
        <w:t xml:space="preserve"> </w:t>
      </w:r>
      <w:r w:rsidRPr="00382917">
        <w:t>identical</w:t>
      </w:r>
      <w:r w:rsidR="00EE4FC3">
        <w:t xml:space="preserve"> </w:t>
      </w:r>
      <w:r w:rsidRPr="00382917">
        <w:t>with</w:t>
      </w:r>
      <w:r w:rsidR="00EE4FC3">
        <w:t xml:space="preserve"> </w:t>
      </w:r>
      <w:r w:rsidRPr="00382917">
        <w:t>the</w:t>
      </w:r>
      <w:r w:rsidR="00EE4FC3">
        <w:t xml:space="preserve"> </w:t>
      </w:r>
      <w:r w:rsidRPr="00382917">
        <w:t>year</w:t>
      </w:r>
      <w:r w:rsidR="00EE4FC3">
        <w:t xml:space="preserve"> </w:t>
      </w:r>
      <w:r w:rsidRPr="00382917">
        <w:t>1844</w:t>
      </w:r>
      <w:r w:rsidR="00552489">
        <w:t>.</w:t>
      </w:r>
      <w:r w:rsidR="00EE4FC3">
        <w:t xml:space="preserve">  </w:t>
      </w:r>
      <w:r w:rsidRPr="00382917">
        <w:t>They</w:t>
      </w:r>
      <w:r w:rsidR="00EE4FC3">
        <w:t xml:space="preserve"> </w:t>
      </w:r>
      <w:r w:rsidRPr="00382917">
        <w:t>arrived</w:t>
      </w:r>
      <w:r w:rsidR="00EE4FC3">
        <w:t xml:space="preserve"> </w:t>
      </w:r>
      <w:r w:rsidRPr="00382917">
        <w:t>at</w:t>
      </w:r>
      <w:r w:rsidR="00EE4FC3">
        <w:t xml:space="preserve"> </w:t>
      </w:r>
      <w:r w:rsidRPr="00382917">
        <w:t>this</w:t>
      </w:r>
      <w:r w:rsidR="00EE4FC3">
        <w:t xml:space="preserve"> </w:t>
      </w:r>
      <w:r w:rsidRPr="00382917">
        <w:t>conclusion</w:t>
      </w:r>
      <w:r w:rsidR="00EE4FC3">
        <w:t xml:space="preserve"> </w:t>
      </w:r>
      <w:r w:rsidRPr="00382917">
        <w:t>by</w:t>
      </w:r>
      <w:r w:rsidR="00EE4FC3">
        <w:t xml:space="preserve"> </w:t>
      </w:r>
      <w:r w:rsidRPr="00382917">
        <w:t>the</w:t>
      </w:r>
      <w:r w:rsidR="00EE4FC3">
        <w:t xml:space="preserve"> </w:t>
      </w:r>
      <w:r w:rsidRPr="00382917">
        <w:t>following</w:t>
      </w:r>
      <w:r w:rsidR="00EE4FC3">
        <w:t xml:space="preserve"> </w:t>
      </w:r>
      <w:r w:rsidRPr="00382917">
        <w:t>process</w:t>
      </w:r>
      <w:r w:rsidR="00EE4FC3">
        <w:t xml:space="preserve"> </w:t>
      </w:r>
      <w:r w:rsidRPr="00382917">
        <w:t>of</w:t>
      </w:r>
      <w:r w:rsidR="00EE4FC3">
        <w:t xml:space="preserve"> </w:t>
      </w:r>
      <w:r w:rsidRPr="00382917">
        <w:t>reasoning:</w:t>
      </w:r>
    </w:p>
    <w:p w:rsidR="00F1111D" w:rsidRPr="00382917" w:rsidRDefault="008C4ED7" w:rsidP="008C4ED7">
      <w:pPr>
        <w:pStyle w:val="BulletText"/>
      </w:pPr>
      <w:r>
        <w:t>1.</w:t>
      </w:r>
      <w:r>
        <w:tab/>
      </w:r>
      <w:r w:rsidR="00F1111D" w:rsidRPr="00382917">
        <w:t>In</w:t>
      </w:r>
      <w:r w:rsidR="00EE4FC3">
        <w:t xml:space="preserve"> </w:t>
      </w:r>
      <w:r w:rsidR="00F1111D" w:rsidRPr="00382917">
        <w:t>the</w:t>
      </w:r>
      <w:r w:rsidR="00EE4FC3">
        <w:t xml:space="preserve"> </w:t>
      </w:r>
      <w:r w:rsidR="00F1111D" w:rsidRPr="00382917">
        <w:t>study</w:t>
      </w:r>
      <w:r w:rsidR="00EE4FC3">
        <w:t xml:space="preserve"> </w:t>
      </w:r>
      <w:r w:rsidR="00F1111D" w:rsidRPr="00382917">
        <w:t>of</w:t>
      </w:r>
      <w:r w:rsidR="00EE4FC3">
        <w:t xml:space="preserve"> </w:t>
      </w:r>
      <w:r w:rsidR="00F1111D" w:rsidRPr="00382917">
        <w:t>biblical</w:t>
      </w:r>
      <w:r w:rsidR="00EE4FC3">
        <w:t xml:space="preserve"> </w:t>
      </w:r>
      <w:r w:rsidR="00F1111D" w:rsidRPr="00382917">
        <w:t>prophecy,</w:t>
      </w:r>
      <w:r w:rsidR="00EE4FC3">
        <w:t xml:space="preserve"> </w:t>
      </w:r>
      <w:r w:rsidR="00F1111D" w:rsidRPr="00382917">
        <w:t>the</w:t>
      </w:r>
      <w:r w:rsidR="00EE4FC3">
        <w:t xml:space="preserve"> </w:t>
      </w:r>
      <w:r w:rsidR="00F1111D" w:rsidRPr="00382917">
        <w:t>period</w:t>
      </w:r>
      <w:r w:rsidR="00EE4FC3">
        <w:t xml:space="preserve"> </w:t>
      </w:r>
      <w:r w:rsidR="00F1111D" w:rsidRPr="00382917">
        <w:t>called</w:t>
      </w:r>
      <w:r w:rsidR="00EE4FC3">
        <w:t xml:space="preserve"> </w:t>
      </w:r>
      <w:r w:rsidR="00F1111D" w:rsidRPr="00382917">
        <w:t>a</w:t>
      </w:r>
      <w:r w:rsidR="00EE4FC3">
        <w:t xml:space="preserve"> </w:t>
      </w:r>
      <w:r w:rsidR="009C713D" w:rsidRPr="00382917">
        <w:t>“</w:t>
      </w:r>
      <w:r w:rsidR="00F1111D" w:rsidRPr="00382917">
        <w:t>day</w:t>
      </w:r>
      <w:r w:rsidR="009C713D" w:rsidRPr="00382917">
        <w:t>”</w:t>
      </w:r>
      <w:r w:rsidR="00EE4FC3">
        <w:t xml:space="preserve"> </w:t>
      </w:r>
      <w:r w:rsidR="00F1111D" w:rsidRPr="00382917">
        <w:t>becomes</w:t>
      </w:r>
      <w:r w:rsidR="00EE4FC3">
        <w:t xml:space="preserve"> </w:t>
      </w:r>
      <w:r w:rsidR="00F1111D" w:rsidRPr="00382917">
        <w:t>a</w:t>
      </w:r>
      <w:r w:rsidR="00EE4FC3">
        <w:t xml:space="preserve"> </w:t>
      </w:r>
      <w:r w:rsidR="009C713D" w:rsidRPr="00382917">
        <w:t>“</w:t>
      </w:r>
      <w:r w:rsidR="00F1111D" w:rsidRPr="00382917">
        <w:t>year</w:t>
      </w:r>
      <w:r w:rsidR="009C713D" w:rsidRPr="00382917">
        <w:t>”</w:t>
      </w:r>
      <w:r w:rsidR="00EE4FC3">
        <w:t xml:space="preserve"> </w:t>
      </w:r>
      <w:r w:rsidR="00F1111D" w:rsidRPr="00382917">
        <w:t>when</w:t>
      </w:r>
      <w:r w:rsidR="00EE4FC3">
        <w:t xml:space="preserve"> </w:t>
      </w:r>
      <w:r w:rsidR="00F1111D" w:rsidRPr="00382917">
        <w:t>calculating</w:t>
      </w:r>
      <w:r w:rsidR="00EE4FC3">
        <w:t xml:space="preserve"> </w:t>
      </w:r>
      <w:r w:rsidR="00F1111D" w:rsidRPr="00382917">
        <w:t>the</w:t>
      </w:r>
      <w:r w:rsidR="00EE4FC3">
        <w:t xml:space="preserve"> </w:t>
      </w:r>
      <w:r w:rsidR="00F1111D" w:rsidRPr="00382917">
        <w:t>passing</w:t>
      </w:r>
      <w:r w:rsidR="00EE4FC3">
        <w:t xml:space="preserve"> </w:t>
      </w:r>
      <w:r w:rsidR="00F1111D" w:rsidRPr="00382917">
        <w:t>of</w:t>
      </w:r>
      <w:r w:rsidR="00EE4FC3">
        <w:t xml:space="preserve"> </w:t>
      </w:r>
      <w:r w:rsidR="00F1111D" w:rsidRPr="00382917">
        <w:t>time.</w:t>
      </w:r>
    </w:p>
    <w:p w:rsidR="00F1111D" w:rsidRPr="00382917" w:rsidRDefault="008C4ED7" w:rsidP="008C4ED7">
      <w:pPr>
        <w:pStyle w:val="Bullettextcont"/>
      </w:pPr>
      <w:r>
        <w:t>2.</w:t>
      </w:r>
      <w:r>
        <w:tab/>
      </w:r>
      <w:r w:rsidR="00F1111D" w:rsidRPr="00382917">
        <w:t>This</w:t>
      </w:r>
      <w:r w:rsidR="00EE4FC3">
        <w:t xml:space="preserve"> </w:t>
      </w:r>
      <w:r w:rsidR="00F1111D" w:rsidRPr="00382917">
        <w:t>theory</w:t>
      </w:r>
      <w:r w:rsidR="00EE4FC3">
        <w:t xml:space="preserve"> </w:t>
      </w:r>
      <w:r w:rsidR="00F1111D" w:rsidRPr="00382917">
        <w:t>is</w:t>
      </w:r>
      <w:r w:rsidR="00EE4FC3">
        <w:t xml:space="preserve"> </w:t>
      </w:r>
      <w:r w:rsidR="00F1111D" w:rsidRPr="00382917">
        <w:t>supported</w:t>
      </w:r>
      <w:r w:rsidR="00EE4FC3">
        <w:t xml:space="preserve"> </w:t>
      </w:r>
      <w:r w:rsidR="00F1111D" w:rsidRPr="00382917">
        <w:t>by</w:t>
      </w:r>
      <w:r w:rsidR="00EE4FC3">
        <w:t xml:space="preserve"> </w:t>
      </w:r>
      <w:r w:rsidR="00F1111D" w:rsidRPr="00382917">
        <w:t>the</w:t>
      </w:r>
      <w:r w:rsidR="00EE4FC3">
        <w:t xml:space="preserve"> </w:t>
      </w:r>
      <w:r w:rsidR="00F1111D" w:rsidRPr="00382917">
        <w:t>following</w:t>
      </w:r>
      <w:r w:rsidR="00EE4FC3">
        <w:t xml:space="preserve"> </w:t>
      </w:r>
      <w:r w:rsidR="00F1111D" w:rsidRPr="00382917">
        <w:t>prophecies:</w:t>
      </w:r>
    </w:p>
    <w:p w:rsidR="00F1111D" w:rsidRPr="00382917" w:rsidRDefault="008C4ED7" w:rsidP="008C4ED7">
      <w:pPr>
        <w:pStyle w:val="Bullet2"/>
      </w:pPr>
      <w:r>
        <w:t>a)</w:t>
      </w:r>
      <w:r>
        <w:tab/>
      </w:r>
      <w:r w:rsidR="00F1111D" w:rsidRPr="00382917">
        <w:t>Numbers</w:t>
      </w:r>
      <w:r w:rsidR="00EE4FC3">
        <w:t xml:space="preserve"> </w:t>
      </w:r>
      <w:r w:rsidR="00F1111D" w:rsidRPr="00382917">
        <w:t>14:34</w:t>
      </w:r>
      <w:r w:rsidRPr="00382917">
        <w:t>—</w:t>
      </w:r>
      <w:r>
        <w:t>“</w:t>
      </w:r>
      <w:r w:rsidR="00F1111D" w:rsidRPr="00382917">
        <w:t>Even</w:t>
      </w:r>
      <w:r w:rsidR="00EE4FC3">
        <w:t xml:space="preserve"> </w:t>
      </w:r>
      <w:r w:rsidR="00F1111D" w:rsidRPr="00382917">
        <w:t>forty</w:t>
      </w:r>
      <w:r w:rsidR="00EE4FC3">
        <w:t xml:space="preserve"> </w:t>
      </w:r>
      <w:r w:rsidR="00F1111D" w:rsidRPr="00382917">
        <w:t>days,</w:t>
      </w:r>
      <w:r w:rsidR="00EE4FC3">
        <w:t xml:space="preserve"> </w:t>
      </w:r>
      <w:r w:rsidR="00F1111D" w:rsidRPr="00382917">
        <w:t>each</w:t>
      </w:r>
      <w:r w:rsidR="00EE4FC3">
        <w:t xml:space="preserve"> </w:t>
      </w:r>
      <w:r w:rsidR="00F1111D" w:rsidRPr="00382917">
        <w:t>day</w:t>
      </w:r>
      <w:r w:rsidR="00EE4FC3">
        <w:t xml:space="preserve"> </w:t>
      </w:r>
      <w:r w:rsidR="00F1111D" w:rsidRPr="00382917">
        <w:t>for</w:t>
      </w:r>
      <w:r w:rsidR="00EE4FC3">
        <w:t xml:space="preserve"> </w:t>
      </w:r>
      <w:r w:rsidR="00F1111D" w:rsidRPr="00382917">
        <w:t>a</w:t>
      </w:r>
      <w:r w:rsidR="00EE4FC3">
        <w:t xml:space="preserve"> </w:t>
      </w:r>
      <w:r w:rsidR="00F1111D" w:rsidRPr="00382917">
        <w:t>year.</w:t>
      </w:r>
      <w:r w:rsidR="009C713D" w:rsidRPr="00382917">
        <w:t>”</w:t>
      </w:r>
    </w:p>
    <w:p w:rsidR="00F1111D" w:rsidRPr="00382917" w:rsidRDefault="008C4ED7" w:rsidP="008C4ED7">
      <w:pPr>
        <w:pStyle w:val="Bullet2ct"/>
      </w:pPr>
      <w:r>
        <w:t>b)</w:t>
      </w:r>
      <w:r>
        <w:tab/>
      </w:r>
      <w:r w:rsidR="00F1111D" w:rsidRPr="00382917">
        <w:t>Ezekiel</w:t>
      </w:r>
      <w:r w:rsidR="00EE4FC3">
        <w:t xml:space="preserve"> </w:t>
      </w:r>
      <w:r w:rsidR="00F1111D" w:rsidRPr="00382917">
        <w:t>4:6</w:t>
      </w:r>
      <w:r w:rsidRPr="00382917">
        <w:t>—</w:t>
      </w:r>
      <w:r>
        <w:t>“</w:t>
      </w:r>
      <w:r w:rsidR="00F1111D" w:rsidRPr="00382917">
        <w:t>I</w:t>
      </w:r>
      <w:r w:rsidR="00EE4FC3">
        <w:t xml:space="preserve"> </w:t>
      </w:r>
      <w:r w:rsidR="00F1111D" w:rsidRPr="00382917">
        <w:t>have</w:t>
      </w:r>
      <w:r w:rsidR="00EE4FC3">
        <w:t xml:space="preserve"> </w:t>
      </w:r>
      <w:r w:rsidR="00F1111D" w:rsidRPr="00382917">
        <w:t>appointed</w:t>
      </w:r>
      <w:r w:rsidR="00EE4FC3">
        <w:t xml:space="preserve"> </w:t>
      </w:r>
      <w:r w:rsidR="00F1111D" w:rsidRPr="00382917">
        <w:t>thee</w:t>
      </w:r>
      <w:r w:rsidR="00EE4FC3">
        <w:t xml:space="preserve"> </w:t>
      </w:r>
      <w:r w:rsidR="00F1111D" w:rsidRPr="00382917">
        <w:t>each</w:t>
      </w:r>
      <w:r w:rsidR="00EE4FC3">
        <w:t xml:space="preserve"> </w:t>
      </w:r>
      <w:r w:rsidR="00F1111D" w:rsidRPr="00382917">
        <w:t>day</w:t>
      </w:r>
      <w:r w:rsidR="00EE4FC3">
        <w:t xml:space="preserve"> </w:t>
      </w:r>
      <w:r w:rsidR="00F1111D" w:rsidRPr="00382917">
        <w:t>for</w:t>
      </w:r>
      <w:r w:rsidR="00EE4FC3">
        <w:t xml:space="preserve"> </w:t>
      </w:r>
      <w:r w:rsidR="00F1111D" w:rsidRPr="00382917">
        <w:t>a</w:t>
      </w:r>
      <w:r w:rsidR="00EE4FC3">
        <w:t xml:space="preserve"> </w:t>
      </w:r>
      <w:r w:rsidR="00F1111D" w:rsidRPr="00382917">
        <w:t>year.</w:t>
      </w:r>
      <w:r w:rsidR="009C713D" w:rsidRPr="00382917">
        <w:t>”</w:t>
      </w:r>
    </w:p>
    <w:p w:rsidR="00244241" w:rsidRPr="00382917" w:rsidRDefault="00244241">
      <w:pPr>
        <w:widowControl/>
        <w:kinsoku/>
        <w:overflowPunct/>
        <w:textAlignment w:val="auto"/>
      </w:pPr>
      <w:r w:rsidRPr="00382917">
        <w:br w:type="page"/>
      </w:r>
    </w:p>
    <w:p w:rsidR="00F1111D" w:rsidRPr="00382917" w:rsidRDefault="00F1111D" w:rsidP="008C4ED7">
      <w:pPr>
        <w:pStyle w:val="Text"/>
      </w:pPr>
      <w:r w:rsidRPr="00382917">
        <w:t>James</w:t>
      </w:r>
      <w:r w:rsidR="00EE4FC3">
        <w:t xml:space="preserve"> </w:t>
      </w:r>
      <w:r w:rsidRPr="00382917">
        <w:t>Henry</w:t>
      </w:r>
      <w:r w:rsidR="00EE4FC3">
        <w:t xml:space="preserve"> </w:t>
      </w:r>
      <w:r w:rsidRPr="00382917">
        <w:t>Foreman</w:t>
      </w:r>
      <w:r w:rsidR="00EE4FC3">
        <w:t xml:space="preserve"> </w:t>
      </w:r>
      <w:r w:rsidRPr="00382917">
        <w:t>in</w:t>
      </w:r>
      <w:r w:rsidR="00EE4FC3">
        <w:t xml:space="preserve"> </w:t>
      </w:r>
      <w:r w:rsidRPr="00382917">
        <w:t>his</w:t>
      </w:r>
      <w:r w:rsidR="00EE4FC3">
        <w:t xml:space="preserve"> </w:t>
      </w:r>
      <w:r w:rsidRPr="00382917">
        <w:t>compilation</w:t>
      </w:r>
      <w:r w:rsidR="00EE4FC3">
        <w:t xml:space="preserve"> </w:t>
      </w:r>
      <w:r w:rsidRPr="008C4ED7">
        <w:rPr>
          <w:i/>
          <w:iCs/>
        </w:rPr>
        <w:t>The</w:t>
      </w:r>
      <w:r w:rsidR="00EE4FC3" w:rsidRPr="008C4ED7">
        <w:rPr>
          <w:i/>
          <w:iCs/>
        </w:rPr>
        <w:t xml:space="preserve"> </w:t>
      </w:r>
      <w:r w:rsidRPr="008C4ED7">
        <w:rPr>
          <w:i/>
          <w:iCs/>
        </w:rPr>
        <w:t>Story</w:t>
      </w:r>
      <w:r w:rsidR="00EE4FC3" w:rsidRPr="008C4ED7">
        <w:rPr>
          <w:i/>
          <w:iCs/>
        </w:rPr>
        <w:t xml:space="preserve"> </w:t>
      </w:r>
      <w:r w:rsidRPr="008C4ED7">
        <w:rPr>
          <w:i/>
          <w:iCs/>
        </w:rPr>
        <w:t>of</w:t>
      </w:r>
      <w:r w:rsidR="00EE4FC3" w:rsidRPr="008C4ED7">
        <w:rPr>
          <w:i/>
          <w:iCs/>
        </w:rPr>
        <w:t xml:space="preserve"> </w:t>
      </w:r>
      <w:r w:rsidRPr="008C4ED7">
        <w:rPr>
          <w:i/>
          <w:iCs/>
        </w:rPr>
        <w:t>Prophecy</w:t>
      </w:r>
      <w:r w:rsidR="00EE4FC3">
        <w:t xml:space="preserve"> </w:t>
      </w:r>
      <w:r w:rsidRPr="00382917">
        <w:t>writes</w:t>
      </w:r>
      <w:r w:rsidR="00C03C91">
        <w:t>:</w:t>
      </w:r>
      <w:r w:rsidR="00EE4FC3">
        <w:t xml:space="preserve">  </w:t>
      </w:r>
      <w:r w:rsidR="009C713D" w:rsidRPr="00382917">
        <w:t>“</w:t>
      </w:r>
      <w:proofErr w:type="gramStart"/>
      <w:r w:rsidR="00F04416" w:rsidRPr="00382917">
        <w:t>…</w:t>
      </w:r>
      <w:r w:rsidR="00EE4FC3">
        <w:t xml:space="preserve"> </w:t>
      </w:r>
      <w:proofErr w:type="gramEnd"/>
      <w:r w:rsidRPr="00382917">
        <w:t>Biblical</w:t>
      </w:r>
      <w:r w:rsidR="00EE4FC3">
        <w:t xml:space="preserve"> </w:t>
      </w:r>
      <w:r w:rsidRPr="00382917">
        <w:t>prophecy</w:t>
      </w:r>
      <w:r w:rsidR="00EE4FC3">
        <w:t xml:space="preserve"> </w:t>
      </w:r>
      <w:r w:rsidRPr="00382917">
        <w:t>students,</w:t>
      </w:r>
      <w:r w:rsidR="00EE4FC3">
        <w:t xml:space="preserve"> </w:t>
      </w:r>
      <w:r w:rsidRPr="00382917">
        <w:t>after</w:t>
      </w:r>
      <w:r w:rsidR="00EE4FC3">
        <w:t xml:space="preserve"> </w:t>
      </w:r>
      <w:r w:rsidRPr="00382917">
        <w:t>a</w:t>
      </w:r>
      <w:r w:rsidR="00EE4FC3">
        <w:t xml:space="preserve"> </w:t>
      </w:r>
      <w:r w:rsidRPr="00382917">
        <w:t>scrutiny</w:t>
      </w:r>
      <w:r w:rsidR="00EE4FC3">
        <w:t xml:space="preserve"> </w:t>
      </w:r>
      <w:r w:rsidRPr="00382917">
        <w:t>of</w:t>
      </w:r>
      <w:r w:rsidR="00EE4FC3">
        <w:t xml:space="preserve"> </w:t>
      </w:r>
      <w:r w:rsidRPr="00382917">
        <w:t>the</w:t>
      </w:r>
      <w:r w:rsidR="00EE4FC3">
        <w:t xml:space="preserve"> </w:t>
      </w:r>
      <w:r w:rsidRPr="00382917">
        <w:t>entire</w:t>
      </w:r>
      <w:r w:rsidR="00EE4FC3">
        <w:t xml:space="preserve"> </w:t>
      </w:r>
      <w:r w:rsidRPr="00382917">
        <w:t>problem</w:t>
      </w:r>
      <w:r w:rsidR="00EE4FC3">
        <w:t xml:space="preserve"> </w:t>
      </w:r>
      <w:r w:rsidRPr="00382917">
        <w:t>of</w:t>
      </w:r>
      <w:r w:rsidR="00EE4FC3">
        <w:t xml:space="preserve"> </w:t>
      </w:r>
      <w:r w:rsidRPr="00382917">
        <w:t>Bible</w:t>
      </w:r>
      <w:r w:rsidR="00EE4FC3">
        <w:t xml:space="preserve"> </w:t>
      </w:r>
      <w:r w:rsidRPr="00382917">
        <w:t>chronology,</w:t>
      </w:r>
      <w:r w:rsidR="00EE4FC3">
        <w:t xml:space="preserve"> </w:t>
      </w:r>
      <w:r w:rsidRPr="00382917">
        <w:t>deduce</w:t>
      </w:r>
      <w:r w:rsidR="00EE4FC3">
        <w:t xml:space="preserve"> </w:t>
      </w:r>
      <w:r w:rsidRPr="00382917">
        <w:t>the</w:t>
      </w:r>
      <w:r w:rsidR="00EE4FC3">
        <w:t xml:space="preserve"> </w:t>
      </w:r>
      <w:r w:rsidRPr="00382917">
        <w:t>following</w:t>
      </w:r>
      <w:r w:rsidR="00EE4FC3">
        <w:t xml:space="preserve"> </w:t>
      </w:r>
      <w:r w:rsidRPr="00382917">
        <w:t>conclusions</w:t>
      </w:r>
      <w:r w:rsidR="00EE4FC3">
        <w:t xml:space="preserve"> </w:t>
      </w:r>
      <w:r w:rsidRPr="00382917">
        <w:t>as</w:t>
      </w:r>
      <w:r w:rsidR="00EE4FC3">
        <w:t xml:space="preserve"> </w:t>
      </w:r>
      <w:r w:rsidRPr="00382917">
        <w:t>virtually</w:t>
      </w:r>
      <w:r w:rsidR="00EE4FC3">
        <w:t xml:space="preserve"> </w:t>
      </w:r>
      <w:r w:rsidRPr="00382917">
        <w:t>axiomatic—namely,</w:t>
      </w:r>
      <w:r w:rsidR="00EE4FC3">
        <w:t xml:space="preserve"> </w:t>
      </w:r>
      <w:r w:rsidRPr="00382917">
        <w:t>that—(1)</w:t>
      </w:r>
      <w:r w:rsidR="00EE4FC3">
        <w:t xml:space="preserve"> </w:t>
      </w:r>
      <w:proofErr w:type="gramStart"/>
      <w:r w:rsidRPr="00382917">
        <w:t>In</w:t>
      </w:r>
      <w:proofErr w:type="gramEnd"/>
      <w:r w:rsidR="00EE4FC3">
        <w:t xml:space="preserve"> </w:t>
      </w:r>
      <w:r w:rsidRPr="00382917">
        <w:t>symbolic</w:t>
      </w:r>
      <w:r w:rsidR="00EE4FC3">
        <w:t xml:space="preserve"> </w:t>
      </w:r>
      <w:r w:rsidRPr="00382917">
        <w:t>prophecy</w:t>
      </w:r>
      <w:r w:rsidR="00EE4FC3">
        <w:t xml:space="preserve"> </w:t>
      </w:r>
      <w:r w:rsidRPr="00382917">
        <w:t>a</w:t>
      </w:r>
      <w:r w:rsidR="00EE4FC3">
        <w:t xml:space="preserve"> </w:t>
      </w:r>
      <w:r w:rsidRPr="00382917">
        <w:t>day</w:t>
      </w:r>
      <w:r w:rsidR="00EE4FC3">
        <w:t xml:space="preserve"> </w:t>
      </w:r>
      <w:r w:rsidRPr="00382917">
        <w:t>is</w:t>
      </w:r>
      <w:r w:rsidR="00EE4FC3">
        <w:t xml:space="preserve"> </w:t>
      </w:r>
      <w:r w:rsidRPr="00382917">
        <w:t>the</w:t>
      </w:r>
      <w:r w:rsidR="00EE4FC3">
        <w:t xml:space="preserve"> </w:t>
      </w:r>
      <w:r w:rsidRPr="00382917">
        <w:t>symbol</w:t>
      </w:r>
      <w:r w:rsidR="00EE4FC3">
        <w:t xml:space="preserve"> </w:t>
      </w:r>
      <w:r w:rsidRPr="00382917">
        <w:t>of</w:t>
      </w:r>
      <w:r w:rsidR="00EE4FC3">
        <w:t xml:space="preserve"> </w:t>
      </w:r>
      <w:r w:rsidRPr="00382917">
        <w:t>a</w:t>
      </w:r>
      <w:r w:rsidR="00EE4FC3">
        <w:t xml:space="preserve"> </w:t>
      </w:r>
      <w:r w:rsidRPr="00382917">
        <w:t>year.</w:t>
      </w:r>
      <w:r w:rsidR="009C713D" w:rsidRPr="00382917">
        <w:t>”</w:t>
      </w:r>
      <w:r w:rsidR="008C4ED7">
        <w:rPr>
          <w:rStyle w:val="FootnoteReference"/>
        </w:rPr>
        <w:footnoteReference w:id="298"/>
      </w:r>
    </w:p>
    <w:p w:rsidR="00F1111D" w:rsidRPr="00382917" w:rsidRDefault="00F1111D" w:rsidP="008C4ED7">
      <w:pPr>
        <w:pStyle w:val="Text"/>
      </w:pPr>
      <w:r w:rsidRPr="00382917">
        <w:t>By</w:t>
      </w:r>
      <w:r w:rsidR="00EE4FC3">
        <w:t xml:space="preserve"> </w:t>
      </w:r>
      <w:r w:rsidRPr="00382917">
        <w:t>using</w:t>
      </w:r>
      <w:r w:rsidR="00EE4FC3">
        <w:t xml:space="preserve"> </w:t>
      </w:r>
      <w:r w:rsidRPr="00382917">
        <w:t>the</w:t>
      </w:r>
      <w:r w:rsidR="00EE4FC3">
        <w:t xml:space="preserve"> </w:t>
      </w:r>
      <w:r w:rsidRPr="00382917">
        <w:t>accepted</w:t>
      </w:r>
      <w:r w:rsidR="00EE4FC3">
        <w:t xml:space="preserve"> </w:t>
      </w:r>
      <w:r w:rsidRPr="00382917">
        <w:t>formula</w:t>
      </w:r>
      <w:r w:rsidR="00EE4FC3">
        <w:t xml:space="preserve"> </w:t>
      </w:r>
      <w:r w:rsidRPr="00382917">
        <w:t>of</w:t>
      </w:r>
      <w:r w:rsidR="00EE4FC3">
        <w:t xml:space="preserve"> </w:t>
      </w:r>
      <w:r w:rsidRPr="00382917">
        <w:t>a</w:t>
      </w:r>
      <w:r w:rsidR="00EE4FC3">
        <w:t xml:space="preserve"> </w:t>
      </w:r>
      <w:r w:rsidR="009C713D" w:rsidRPr="00382917">
        <w:t>“</w:t>
      </w:r>
      <w:r w:rsidRPr="00382917">
        <w:t>day</w:t>
      </w:r>
      <w:r w:rsidR="009C713D" w:rsidRPr="00382917">
        <w:t>”</w:t>
      </w:r>
      <w:r w:rsidR="00EE4FC3">
        <w:t xml:space="preserve"> </w:t>
      </w:r>
      <w:r w:rsidRPr="00382917">
        <w:t>for</w:t>
      </w:r>
      <w:r w:rsidR="00EE4FC3">
        <w:t xml:space="preserve"> </w:t>
      </w:r>
      <w:r w:rsidRPr="00382917">
        <w:t>a</w:t>
      </w:r>
      <w:r w:rsidR="00EE4FC3">
        <w:t xml:space="preserve"> </w:t>
      </w:r>
      <w:r w:rsidR="009C713D" w:rsidRPr="00382917">
        <w:t>“</w:t>
      </w:r>
      <w:r w:rsidRPr="00382917">
        <w:t>year</w:t>
      </w:r>
      <w:r w:rsidR="009C713D" w:rsidRPr="00382917">
        <w:t>”</w:t>
      </w:r>
      <w:r w:rsidR="008C4ED7">
        <w:t>,</w:t>
      </w:r>
      <w:r w:rsidR="00EE4FC3">
        <w:t xml:space="preserve"> </w:t>
      </w:r>
      <w:r w:rsidRPr="00382917">
        <w:t>forty-two</w:t>
      </w:r>
      <w:r w:rsidR="00EE4FC3">
        <w:t xml:space="preserve"> </w:t>
      </w:r>
      <w:r w:rsidRPr="00382917">
        <w:t>months</w:t>
      </w:r>
      <w:r w:rsidR="00EE4FC3">
        <w:t xml:space="preserve"> </w:t>
      </w:r>
      <w:r w:rsidRPr="00382917">
        <w:t>or</w:t>
      </w:r>
      <w:r w:rsidR="00EE4FC3">
        <w:t xml:space="preserve"> </w:t>
      </w:r>
      <w:r w:rsidRPr="00382917">
        <w:t>1,260</w:t>
      </w:r>
      <w:r w:rsidR="00EE4FC3">
        <w:t xml:space="preserve"> </w:t>
      </w:r>
      <w:r w:rsidRPr="00382917">
        <w:t>days</w:t>
      </w:r>
      <w:r w:rsidR="00EE4FC3">
        <w:t xml:space="preserve"> </w:t>
      </w:r>
      <w:r w:rsidRPr="00382917">
        <w:t>become</w:t>
      </w:r>
      <w:r w:rsidR="00EE4FC3">
        <w:t xml:space="preserve"> </w:t>
      </w:r>
      <w:r w:rsidRPr="00382917">
        <w:t>1</w:t>
      </w:r>
      <w:r w:rsidR="008C4ED7">
        <w:t>,</w:t>
      </w:r>
      <w:r w:rsidRPr="00382917">
        <w:t>260</w:t>
      </w:r>
      <w:r w:rsidR="00EE4FC3">
        <w:t xml:space="preserve"> </w:t>
      </w:r>
      <w:r w:rsidRPr="00382917">
        <w:t>years</w:t>
      </w:r>
      <w:r w:rsidR="00552489">
        <w:t>.</w:t>
      </w:r>
      <w:r w:rsidR="00EE4FC3">
        <w:t xml:space="preserve">  </w:t>
      </w:r>
      <w:r w:rsidRPr="00382917">
        <w:t>Therefore,</w:t>
      </w:r>
      <w:r w:rsidR="00EE4FC3">
        <w:t xml:space="preserve"> </w:t>
      </w:r>
      <w:r w:rsidRPr="00382917">
        <w:t>the</w:t>
      </w:r>
      <w:r w:rsidR="00EE4FC3">
        <w:t xml:space="preserve"> </w:t>
      </w:r>
      <w:r w:rsidR="009C713D" w:rsidRPr="00382917">
        <w:t>“</w:t>
      </w:r>
      <w:r w:rsidRPr="00382917">
        <w:t>times</w:t>
      </w:r>
      <w:r w:rsidR="00EE4FC3">
        <w:t xml:space="preserve"> </w:t>
      </w:r>
      <w:r w:rsidRPr="00382917">
        <w:t>of</w:t>
      </w:r>
      <w:r w:rsidR="00EE4FC3">
        <w:t xml:space="preserve"> </w:t>
      </w:r>
      <w:r w:rsidRPr="00382917">
        <w:t>the</w:t>
      </w:r>
      <w:r w:rsidR="00EE4FC3">
        <w:t xml:space="preserve"> </w:t>
      </w:r>
      <w:r w:rsidRPr="00382917">
        <w:t>Gentiles</w:t>
      </w:r>
      <w:r w:rsidR="009C713D" w:rsidRPr="00382917">
        <w:t>”</w:t>
      </w:r>
      <w:r w:rsidR="00EE4FC3">
        <w:t xml:space="preserve"> </w:t>
      </w:r>
      <w:r w:rsidRPr="00382917">
        <w:t>would</w:t>
      </w:r>
      <w:r w:rsidR="00EE4FC3">
        <w:t xml:space="preserve"> </w:t>
      </w:r>
      <w:r w:rsidRPr="00382917">
        <w:t>last</w:t>
      </w:r>
      <w:r w:rsidR="00EE4FC3">
        <w:t xml:space="preserve"> </w:t>
      </w:r>
      <w:r w:rsidRPr="00382917">
        <w:t>for</w:t>
      </w:r>
      <w:r w:rsidR="00EE4FC3">
        <w:t xml:space="preserve"> </w:t>
      </w:r>
      <w:r w:rsidRPr="00382917">
        <w:t>1</w:t>
      </w:r>
      <w:r w:rsidR="008C4ED7">
        <w:t>,</w:t>
      </w:r>
      <w:r w:rsidRPr="00382917">
        <w:t>260</w:t>
      </w:r>
      <w:r w:rsidR="00EE4FC3">
        <w:t xml:space="preserve"> </w:t>
      </w:r>
      <w:r w:rsidRPr="00382917">
        <w:t>years.</w:t>
      </w:r>
    </w:p>
    <w:p w:rsidR="00F1111D" w:rsidRPr="00382917" w:rsidRDefault="00F1111D" w:rsidP="00244241">
      <w:pPr>
        <w:pStyle w:val="Text"/>
      </w:pPr>
      <w:r w:rsidRPr="00382917">
        <w:t>The</w:t>
      </w:r>
      <w:r w:rsidR="00EE4FC3">
        <w:t xml:space="preserve"> </w:t>
      </w:r>
      <w:r w:rsidRPr="00382917">
        <w:t>Muslims</w:t>
      </w:r>
      <w:r w:rsidR="00EE4FC3">
        <w:t xml:space="preserve"> </w:t>
      </w:r>
      <w:r w:rsidRPr="00382917">
        <w:t>conquered</w:t>
      </w:r>
      <w:r w:rsidR="00EE4FC3">
        <w:t xml:space="preserve"> </w:t>
      </w:r>
      <w:r w:rsidRPr="00382917">
        <w:t>Jerusalem</w:t>
      </w:r>
      <w:r w:rsidR="00EE4FC3">
        <w:t xml:space="preserve"> </w:t>
      </w:r>
      <w:r w:rsidRPr="00382917">
        <w:t>in</w:t>
      </w:r>
      <w:r w:rsidR="00EE4FC3">
        <w:t xml:space="preserve"> </w:t>
      </w:r>
      <w:r w:rsidRPr="00382917">
        <w:t>the</w:t>
      </w:r>
      <w:r w:rsidR="00EE4FC3">
        <w:t xml:space="preserve"> </w:t>
      </w:r>
      <w:r w:rsidRPr="00382917">
        <w:t>seventh</w:t>
      </w:r>
      <w:r w:rsidR="00EE4FC3">
        <w:t xml:space="preserve"> </w:t>
      </w:r>
      <w:r w:rsidRPr="00382917">
        <w:t>century,</w:t>
      </w:r>
      <w:r w:rsidR="00EE4FC3">
        <w:t xml:space="preserve"> </w:t>
      </w:r>
      <w:r w:rsidRPr="00382917">
        <w:t>and</w:t>
      </w:r>
      <w:r w:rsidR="00EE4FC3">
        <w:t xml:space="preserve"> </w:t>
      </w:r>
      <w:r w:rsidRPr="00382917">
        <w:t>according</w:t>
      </w:r>
      <w:r w:rsidR="00EE4FC3">
        <w:t xml:space="preserve"> </w:t>
      </w:r>
      <w:r w:rsidRPr="00382917">
        <w:t>to</w:t>
      </w:r>
      <w:r w:rsidR="00EE4FC3">
        <w:t xml:space="preserve"> </w:t>
      </w:r>
      <w:r w:rsidRPr="00382917">
        <w:t>the</w:t>
      </w:r>
      <w:r w:rsidR="00EE4FC3">
        <w:t xml:space="preserve"> </w:t>
      </w:r>
      <w:r w:rsidRPr="00382917">
        <w:t>promise</w:t>
      </w:r>
      <w:r w:rsidR="00EE4FC3">
        <w:t xml:space="preserve"> </w:t>
      </w:r>
      <w:r w:rsidRPr="00382917">
        <w:t>of</w:t>
      </w:r>
      <w:r w:rsidR="00EE4FC3">
        <w:t xml:space="preserve"> </w:t>
      </w:r>
      <w:r w:rsidRPr="00382917">
        <w:t>Christ,</w:t>
      </w:r>
      <w:r w:rsidR="00EE4FC3">
        <w:t xml:space="preserve"> </w:t>
      </w:r>
      <w:r w:rsidRPr="00382917">
        <w:t>they</w:t>
      </w:r>
      <w:r w:rsidR="00EE4FC3">
        <w:t xml:space="preserve"> </w:t>
      </w:r>
      <w:r w:rsidRPr="00382917">
        <w:t>would</w:t>
      </w:r>
      <w:r w:rsidR="00EE4FC3">
        <w:t xml:space="preserve"> </w:t>
      </w:r>
      <w:r w:rsidRPr="00382917">
        <w:t>tread</w:t>
      </w:r>
      <w:r w:rsidR="00EE4FC3">
        <w:t xml:space="preserve"> </w:t>
      </w:r>
      <w:r w:rsidRPr="00382917">
        <w:t>the</w:t>
      </w:r>
      <w:r w:rsidR="00EE4FC3">
        <w:t xml:space="preserve"> </w:t>
      </w:r>
      <w:r w:rsidRPr="00382917">
        <w:t>city</w:t>
      </w:r>
      <w:r w:rsidR="00EE4FC3">
        <w:t xml:space="preserve"> </w:t>
      </w:r>
      <w:r w:rsidRPr="00382917">
        <w:t>underfoot</w:t>
      </w:r>
      <w:r w:rsidR="00EE4FC3">
        <w:t xml:space="preserve"> </w:t>
      </w:r>
      <w:r w:rsidRPr="00382917">
        <w:t>until</w:t>
      </w:r>
      <w:r w:rsidR="00EE4FC3">
        <w:t xml:space="preserve"> </w:t>
      </w:r>
      <w:r w:rsidRPr="00382917">
        <w:t>the</w:t>
      </w:r>
      <w:r w:rsidR="00EE4FC3">
        <w:t xml:space="preserve"> </w:t>
      </w:r>
      <w:r w:rsidRPr="00382917">
        <w:t>hour</w:t>
      </w:r>
      <w:r w:rsidR="00EE4FC3">
        <w:t xml:space="preserve"> </w:t>
      </w:r>
      <w:r w:rsidRPr="00382917">
        <w:t>of</w:t>
      </w:r>
      <w:r w:rsidR="00EE4FC3">
        <w:t xml:space="preserve"> </w:t>
      </w:r>
      <w:r w:rsidRPr="00382917">
        <w:t>His</w:t>
      </w:r>
      <w:r w:rsidR="00EE4FC3">
        <w:t xml:space="preserve"> </w:t>
      </w:r>
      <w:r w:rsidRPr="00382917">
        <w:t>return,</w:t>
      </w:r>
      <w:r w:rsidR="00EE4FC3">
        <w:t xml:space="preserve"> </w:t>
      </w:r>
      <w:r w:rsidRPr="00382917">
        <w:t>which</w:t>
      </w:r>
      <w:r w:rsidR="00EE4FC3">
        <w:t xml:space="preserve"> </w:t>
      </w:r>
      <w:r w:rsidRPr="00382917">
        <w:t>would</w:t>
      </w:r>
      <w:r w:rsidR="00EE4FC3">
        <w:t xml:space="preserve"> </w:t>
      </w:r>
      <w:r w:rsidRPr="00382917">
        <w:t>be</w:t>
      </w:r>
      <w:r w:rsidR="00EE4FC3">
        <w:t xml:space="preserve"> </w:t>
      </w:r>
      <w:r w:rsidRPr="00382917">
        <w:t>1</w:t>
      </w:r>
      <w:r w:rsidR="00BB6481">
        <w:t>,</w:t>
      </w:r>
      <w:r w:rsidRPr="00382917">
        <w:t>260</w:t>
      </w:r>
      <w:r w:rsidR="00EE4FC3">
        <w:t xml:space="preserve"> </w:t>
      </w:r>
      <w:r w:rsidRPr="00382917">
        <w:t>years</w:t>
      </w:r>
      <w:r w:rsidR="00EE4FC3">
        <w:t xml:space="preserve"> </w:t>
      </w:r>
      <w:r w:rsidRPr="00382917">
        <w:t>later</w:t>
      </w:r>
      <w:r w:rsidR="00EE4FC3">
        <w:t xml:space="preserve"> </w:t>
      </w:r>
      <w:r w:rsidRPr="00382917">
        <w:t>by</w:t>
      </w:r>
      <w:r w:rsidR="00EE4FC3">
        <w:t xml:space="preserve"> </w:t>
      </w:r>
      <w:r w:rsidRPr="00382917">
        <w:t>the</w:t>
      </w:r>
      <w:r w:rsidR="00EE4FC3">
        <w:t xml:space="preserve"> </w:t>
      </w:r>
      <w:r w:rsidRPr="00382917">
        <w:t>measurement</w:t>
      </w:r>
      <w:r w:rsidR="00EE4FC3">
        <w:t xml:space="preserve"> </w:t>
      </w:r>
      <w:r w:rsidRPr="00382917">
        <w:t>of</w:t>
      </w:r>
      <w:r w:rsidR="00EE4FC3">
        <w:t xml:space="preserve"> </w:t>
      </w:r>
      <w:r w:rsidRPr="00382917">
        <w:t>prophecy.</w:t>
      </w:r>
    </w:p>
    <w:p w:rsidR="00F1111D" w:rsidRPr="00382917" w:rsidRDefault="00F1111D" w:rsidP="00244241">
      <w:pPr>
        <w:pStyle w:val="Text"/>
      </w:pPr>
      <w:r w:rsidRPr="00382917">
        <w:t>A</w:t>
      </w:r>
      <w:r w:rsidR="00EE4FC3">
        <w:t xml:space="preserve"> </w:t>
      </w:r>
      <w:r w:rsidRPr="00382917">
        <w:t>study</w:t>
      </w:r>
      <w:r w:rsidR="00EE4FC3">
        <w:t xml:space="preserve"> </w:t>
      </w:r>
      <w:r w:rsidRPr="00382917">
        <w:t>of</w:t>
      </w:r>
      <w:r w:rsidR="00EE4FC3">
        <w:t xml:space="preserve"> </w:t>
      </w:r>
      <w:r w:rsidRPr="00382917">
        <w:t>the</w:t>
      </w:r>
      <w:r w:rsidR="00EE4FC3">
        <w:t xml:space="preserve"> </w:t>
      </w:r>
      <w:r w:rsidRPr="00382917">
        <w:t>calendar</w:t>
      </w:r>
      <w:r w:rsidR="00EE4FC3">
        <w:t xml:space="preserve"> </w:t>
      </w:r>
      <w:r w:rsidRPr="00382917">
        <w:t>of</w:t>
      </w:r>
      <w:r w:rsidR="00EE4FC3">
        <w:t xml:space="preserve"> </w:t>
      </w:r>
      <w:r w:rsidRPr="00382917">
        <w:t>the</w:t>
      </w:r>
      <w:r w:rsidR="00EE4FC3">
        <w:t xml:space="preserve"> </w:t>
      </w:r>
      <w:r w:rsidRPr="00382917">
        <w:t>Muslims</w:t>
      </w:r>
      <w:r w:rsidR="00EE4FC3">
        <w:t xml:space="preserve"> </w:t>
      </w:r>
      <w:r w:rsidRPr="00382917">
        <w:t>reveals</w:t>
      </w:r>
      <w:r w:rsidR="00EE4FC3">
        <w:t xml:space="preserve"> </w:t>
      </w:r>
      <w:r w:rsidRPr="00382917">
        <w:t>that</w:t>
      </w:r>
      <w:r w:rsidR="00EE4FC3">
        <w:t xml:space="preserve"> </w:t>
      </w:r>
      <w:r w:rsidRPr="00382917">
        <w:t>the</w:t>
      </w:r>
      <w:r w:rsidR="00EE4FC3">
        <w:t xml:space="preserve"> </w:t>
      </w:r>
      <w:r w:rsidRPr="00382917">
        <w:t>year</w:t>
      </w:r>
      <w:r w:rsidR="00EE4FC3">
        <w:t xml:space="preserve"> </w:t>
      </w:r>
      <w:r w:rsidRPr="00382917">
        <w:t>1260</w:t>
      </w:r>
      <w:r w:rsidR="00EE4FC3">
        <w:t xml:space="preserve"> </w:t>
      </w:r>
      <w:r w:rsidRPr="00382917">
        <w:t>of</w:t>
      </w:r>
      <w:r w:rsidR="00EE4FC3">
        <w:t xml:space="preserve"> </w:t>
      </w:r>
      <w:r w:rsidRPr="00382917">
        <w:t>their</w:t>
      </w:r>
      <w:r w:rsidR="00EE4FC3">
        <w:t xml:space="preserve"> </w:t>
      </w:r>
      <w:r w:rsidRPr="00382917">
        <w:t>calendar</w:t>
      </w:r>
      <w:r w:rsidR="00EE4FC3">
        <w:t xml:space="preserve"> </w:t>
      </w:r>
      <w:r w:rsidRPr="00382917">
        <w:t>is</w:t>
      </w:r>
      <w:r w:rsidR="00EE4FC3">
        <w:t xml:space="preserve"> </w:t>
      </w:r>
      <w:r w:rsidRPr="00382917">
        <w:t>identical</w:t>
      </w:r>
      <w:r w:rsidR="00EE4FC3">
        <w:t xml:space="preserve"> </w:t>
      </w:r>
      <w:r w:rsidRPr="00382917">
        <w:t>with</w:t>
      </w:r>
      <w:r w:rsidR="00EE4FC3">
        <w:t xml:space="preserve"> </w:t>
      </w:r>
      <w:r w:rsidRPr="00382917">
        <w:t>the</w:t>
      </w:r>
      <w:r w:rsidR="00EE4FC3">
        <w:t xml:space="preserve"> </w:t>
      </w:r>
      <w:r w:rsidRPr="00382917">
        <w:t>year</w:t>
      </w:r>
      <w:r w:rsidR="00EE4FC3">
        <w:t xml:space="preserve"> </w:t>
      </w:r>
      <w:r w:rsidRPr="00382917">
        <w:t>1844</w:t>
      </w:r>
      <w:r w:rsidR="00EE4FC3">
        <w:t xml:space="preserve"> </w:t>
      </w:r>
      <w:r w:rsidRPr="00382917">
        <w:t>of</w:t>
      </w:r>
      <w:r w:rsidR="00EE4FC3">
        <w:t xml:space="preserve"> </w:t>
      </w:r>
      <w:r w:rsidRPr="00382917">
        <w:t>the</w:t>
      </w:r>
      <w:r w:rsidR="00EE4FC3">
        <w:t xml:space="preserve"> </w:t>
      </w:r>
      <w:r w:rsidRPr="00382917">
        <w:t>Christian</w:t>
      </w:r>
      <w:r w:rsidR="00EE4FC3">
        <w:t xml:space="preserve"> </w:t>
      </w:r>
      <w:r w:rsidRPr="00382917">
        <w:t>calendar.</w:t>
      </w:r>
    </w:p>
    <w:p w:rsidR="00F1111D" w:rsidRPr="00382917" w:rsidRDefault="00F1111D" w:rsidP="00244241">
      <w:pPr>
        <w:pStyle w:val="Text"/>
      </w:pPr>
      <w:r w:rsidRPr="00382917">
        <w:t>Thus</w:t>
      </w:r>
      <w:r w:rsidR="00EE4FC3">
        <w:t xml:space="preserve"> </w:t>
      </w:r>
      <w:r w:rsidRPr="00382917">
        <w:t>the</w:t>
      </w:r>
      <w:r w:rsidR="00EE4FC3">
        <w:t xml:space="preserve"> </w:t>
      </w:r>
      <w:r w:rsidRPr="00382917">
        <w:t>second</w:t>
      </w:r>
      <w:r w:rsidR="00EE4FC3">
        <w:t xml:space="preserve"> </w:t>
      </w:r>
      <w:r w:rsidRPr="00382917">
        <w:t>promise</w:t>
      </w:r>
      <w:r w:rsidR="00EE4FC3">
        <w:t xml:space="preserve"> </w:t>
      </w:r>
      <w:r w:rsidRPr="00382917">
        <w:t>of</w:t>
      </w:r>
      <w:r w:rsidR="00EE4FC3">
        <w:t xml:space="preserve"> </w:t>
      </w:r>
      <w:r w:rsidRPr="00382917">
        <w:t>Christ</w:t>
      </w:r>
      <w:r w:rsidR="00EE4FC3">
        <w:t xml:space="preserve"> </w:t>
      </w:r>
      <w:r w:rsidRPr="00382917">
        <w:t>was</w:t>
      </w:r>
      <w:r w:rsidR="00EE4FC3">
        <w:t xml:space="preserve"> </w:t>
      </w:r>
      <w:r w:rsidRPr="00382917">
        <w:t>fulfilled</w:t>
      </w:r>
      <w:r w:rsidR="00EE4FC3">
        <w:t xml:space="preserve"> </w:t>
      </w:r>
      <w:r w:rsidRPr="00382917">
        <w:t>by</w:t>
      </w:r>
      <w:r w:rsidR="00EE4FC3">
        <w:t xml:space="preserve"> </w:t>
      </w:r>
      <w:r w:rsidRPr="00382917">
        <w:t>the</w:t>
      </w:r>
      <w:r w:rsidR="00EE4FC3">
        <w:t xml:space="preserve"> </w:t>
      </w:r>
      <w:r w:rsidRPr="00382917">
        <w:t>year</w:t>
      </w:r>
      <w:r w:rsidR="00EE4FC3">
        <w:t xml:space="preserve"> </w:t>
      </w:r>
      <w:r w:rsidRPr="00382917">
        <w:t>1844,</w:t>
      </w:r>
      <w:r w:rsidR="00EE4FC3">
        <w:t xml:space="preserve"> </w:t>
      </w:r>
      <w:r w:rsidRPr="00382917">
        <w:t>when</w:t>
      </w:r>
      <w:r w:rsidR="00EE4FC3">
        <w:t xml:space="preserve"> </w:t>
      </w:r>
      <w:r w:rsidRPr="00382917">
        <w:t>the</w:t>
      </w:r>
      <w:r w:rsidR="00EE4FC3">
        <w:t xml:space="preserve"> </w:t>
      </w:r>
      <w:r w:rsidR="009C713D" w:rsidRPr="00382917">
        <w:t>“</w:t>
      </w:r>
      <w:r w:rsidRPr="00382917">
        <w:t>times</w:t>
      </w:r>
      <w:r w:rsidR="00EE4FC3">
        <w:t xml:space="preserve"> </w:t>
      </w:r>
      <w:r w:rsidRPr="00382917">
        <w:t>of</w:t>
      </w:r>
      <w:r w:rsidR="00EE4FC3">
        <w:t xml:space="preserve"> </w:t>
      </w:r>
      <w:r w:rsidRPr="00382917">
        <w:t>the</w:t>
      </w:r>
      <w:r w:rsidR="00EE4FC3">
        <w:t xml:space="preserve"> </w:t>
      </w:r>
      <w:r w:rsidRPr="00382917">
        <w:t>Gentiles</w:t>
      </w:r>
      <w:r w:rsidR="009C713D" w:rsidRPr="00382917">
        <w:t>”</w:t>
      </w:r>
      <w:r w:rsidR="00EE4FC3">
        <w:t xml:space="preserve"> </w:t>
      </w:r>
      <w:r w:rsidRPr="00382917">
        <w:t>was</w:t>
      </w:r>
      <w:r w:rsidR="00EE4FC3">
        <w:t xml:space="preserve"> </w:t>
      </w:r>
      <w:r w:rsidRPr="00382917">
        <w:t>ended.</w:t>
      </w:r>
    </w:p>
    <w:p w:rsidR="00F1111D" w:rsidRPr="00382917" w:rsidRDefault="00F1111D" w:rsidP="00244241">
      <w:pPr>
        <w:pStyle w:val="Text"/>
      </w:pPr>
      <w:r w:rsidRPr="00382917">
        <w:t>T</w:t>
      </w:r>
      <w:r w:rsidR="007949AC" w:rsidRPr="007949AC">
        <w:rPr>
          <w:sz w:val="18"/>
          <w:szCs w:val="18"/>
        </w:rPr>
        <w:t>HIRD PROMISE</w:t>
      </w:r>
      <w:r w:rsidR="00C03C91">
        <w:t>:</w:t>
      </w:r>
      <w:r w:rsidR="00EE4FC3">
        <w:t xml:space="preserve">  </w:t>
      </w:r>
      <w:r w:rsidRPr="00382917">
        <w:t>When</w:t>
      </w:r>
      <w:r w:rsidR="00EE4FC3">
        <w:t xml:space="preserve"> </w:t>
      </w:r>
      <w:r w:rsidRPr="00382917">
        <w:t>mankind</w:t>
      </w:r>
      <w:r w:rsidR="00EE4FC3">
        <w:t xml:space="preserve"> </w:t>
      </w:r>
      <w:r w:rsidRPr="00382917">
        <w:t>witnesses</w:t>
      </w:r>
      <w:r w:rsidR="00EE4FC3">
        <w:t xml:space="preserve"> </w:t>
      </w:r>
      <w:r w:rsidRPr="00382917">
        <w:t>the</w:t>
      </w:r>
      <w:r w:rsidR="00EE4FC3">
        <w:t xml:space="preserve"> </w:t>
      </w:r>
      <w:r w:rsidR="009C713D" w:rsidRPr="00382917">
        <w:t>“</w:t>
      </w:r>
      <w:r w:rsidRPr="00382917">
        <w:t>abomination</w:t>
      </w:r>
      <w:r w:rsidR="00EE4FC3">
        <w:t xml:space="preserve"> </w:t>
      </w:r>
      <w:r w:rsidRPr="00382917">
        <w:t>of</w:t>
      </w:r>
      <w:r w:rsidR="00EE4FC3">
        <w:t xml:space="preserve"> </w:t>
      </w:r>
      <w:r w:rsidRPr="00382917">
        <w:t>desolation</w:t>
      </w:r>
      <w:r w:rsidR="009C713D" w:rsidRPr="00382917">
        <w:t>”</w:t>
      </w:r>
      <w:r w:rsidR="00EE4FC3">
        <w:t xml:space="preserve"> </w:t>
      </w:r>
      <w:r w:rsidRPr="00382917">
        <w:t>spoken</w:t>
      </w:r>
      <w:r w:rsidR="00EE4FC3">
        <w:t xml:space="preserve"> </w:t>
      </w:r>
      <w:r w:rsidRPr="00382917">
        <w:t>of</w:t>
      </w:r>
      <w:r w:rsidR="00EE4FC3">
        <w:t xml:space="preserve"> </w:t>
      </w:r>
      <w:r w:rsidRPr="00382917">
        <w:t>by</w:t>
      </w:r>
      <w:r w:rsidR="00EE4FC3">
        <w:t xml:space="preserve"> </w:t>
      </w:r>
      <w:r w:rsidRPr="00382917">
        <w:t>Daniel</w:t>
      </w:r>
      <w:r w:rsidR="00EE4FC3">
        <w:t xml:space="preserve"> </w:t>
      </w:r>
      <w:r w:rsidRPr="00382917">
        <w:t>the</w:t>
      </w:r>
      <w:r w:rsidR="00EE4FC3">
        <w:t xml:space="preserve"> </w:t>
      </w:r>
      <w:r w:rsidRPr="00382917">
        <w:t>Prophet,</w:t>
      </w:r>
      <w:r w:rsidR="00EE4FC3">
        <w:t xml:space="preserve"> </w:t>
      </w:r>
      <w:r w:rsidRPr="00382917">
        <w:t>this</w:t>
      </w:r>
      <w:r w:rsidR="00EE4FC3">
        <w:t xml:space="preserve"> </w:t>
      </w:r>
      <w:r w:rsidRPr="00382917">
        <w:t>will</w:t>
      </w:r>
      <w:r w:rsidR="00EE4FC3">
        <w:t xml:space="preserve"> </w:t>
      </w:r>
      <w:r w:rsidRPr="00382917">
        <w:t>be</w:t>
      </w:r>
      <w:r w:rsidR="00EE4FC3">
        <w:t xml:space="preserve"> </w:t>
      </w:r>
      <w:r w:rsidRPr="00382917">
        <w:t>the</w:t>
      </w:r>
      <w:r w:rsidR="00EE4FC3">
        <w:t xml:space="preserve"> </w:t>
      </w:r>
      <w:r w:rsidRPr="00382917">
        <w:t>hour</w:t>
      </w:r>
      <w:r w:rsidR="00EE4FC3">
        <w:t xml:space="preserve"> </w:t>
      </w:r>
      <w:r w:rsidRPr="00382917">
        <w:t>of</w:t>
      </w:r>
      <w:r w:rsidR="00EE4FC3">
        <w:t xml:space="preserve"> </w:t>
      </w:r>
      <w:r w:rsidRPr="00382917">
        <w:t>Christ</w:t>
      </w:r>
      <w:r w:rsidR="009C713D" w:rsidRPr="00382917">
        <w:t>’</w:t>
      </w:r>
      <w:r w:rsidRPr="00382917">
        <w:t>s</w:t>
      </w:r>
      <w:r w:rsidR="00EE4FC3">
        <w:t xml:space="preserve"> </w:t>
      </w:r>
      <w:r w:rsidRPr="00382917">
        <w:t>return.</w:t>
      </w:r>
    </w:p>
    <w:p w:rsidR="00F1111D" w:rsidRPr="00382917" w:rsidRDefault="00F1111D" w:rsidP="00244241">
      <w:pPr>
        <w:pStyle w:val="Text"/>
      </w:pPr>
      <w:r w:rsidRPr="00382917">
        <w:t>Christ</w:t>
      </w:r>
      <w:r w:rsidR="00EE4FC3">
        <w:t xml:space="preserve"> </w:t>
      </w:r>
      <w:r w:rsidRPr="00382917">
        <w:t>gave</w:t>
      </w:r>
      <w:r w:rsidR="00EE4FC3">
        <w:t xml:space="preserve"> </w:t>
      </w:r>
      <w:r w:rsidRPr="00382917">
        <w:t>this</w:t>
      </w:r>
      <w:r w:rsidR="00EE4FC3">
        <w:t xml:space="preserve"> </w:t>
      </w:r>
      <w:r w:rsidRPr="00382917">
        <w:t>promise</w:t>
      </w:r>
      <w:r w:rsidR="00EE4FC3">
        <w:t xml:space="preserve"> </w:t>
      </w:r>
      <w:r w:rsidRPr="00382917">
        <w:t>to</w:t>
      </w:r>
      <w:r w:rsidR="00EE4FC3">
        <w:t xml:space="preserve"> </w:t>
      </w:r>
      <w:r w:rsidRPr="00382917">
        <w:t>His</w:t>
      </w:r>
      <w:r w:rsidR="00EE4FC3">
        <w:t xml:space="preserve"> </w:t>
      </w:r>
      <w:r w:rsidRPr="00382917">
        <w:t>disciples</w:t>
      </w:r>
      <w:r w:rsidR="00EE4FC3">
        <w:t xml:space="preserve"> </w:t>
      </w:r>
      <w:r w:rsidRPr="00382917">
        <w:t>in</w:t>
      </w:r>
      <w:r w:rsidR="00EE4FC3">
        <w:t xml:space="preserve"> </w:t>
      </w:r>
      <w:r w:rsidRPr="00382917">
        <w:t>direct</w:t>
      </w:r>
      <w:r w:rsidR="00EE4FC3">
        <w:t xml:space="preserve"> </w:t>
      </w:r>
      <w:r w:rsidRPr="00382917">
        <w:t>answer</w:t>
      </w:r>
      <w:r w:rsidR="00EE4FC3">
        <w:t xml:space="preserve"> </w:t>
      </w:r>
      <w:r w:rsidRPr="00382917">
        <w:t>to</w:t>
      </w:r>
      <w:r w:rsidR="00EE4FC3">
        <w:t xml:space="preserve"> </w:t>
      </w:r>
      <w:r w:rsidRPr="00382917">
        <w:t>their</w:t>
      </w:r>
      <w:r w:rsidR="00EE4FC3">
        <w:t xml:space="preserve"> </w:t>
      </w:r>
      <w:r w:rsidRPr="00382917">
        <w:t>questions</w:t>
      </w:r>
      <w:r w:rsidR="00C03C91">
        <w:t>:</w:t>
      </w:r>
      <w:r w:rsidR="00EE4FC3">
        <w:t xml:space="preserve">  </w:t>
      </w:r>
      <w:r w:rsidRPr="00382917">
        <w:t>When</w:t>
      </w:r>
      <w:r w:rsidR="00EE4FC3">
        <w:t xml:space="preserve"> </w:t>
      </w:r>
      <w:r w:rsidRPr="00382917">
        <w:t>will</w:t>
      </w:r>
      <w:r w:rsidR="00EE4FC3">
        <w:t xml:space="preserve"> </w:t>
      </w:r>
      <w:r w:rsidRPr="00382917">
        <w:t>you</w:t>
      </w:r>
      <w:r w:rsidR="00EE4FC3">
        <w:t xml:space="preserve"> </w:t>
      </w:r>
      <w:r w:rsidRPr="00382917">
        <w:t>come,</w:t>
      </w:r>
      <w:r w:rsidR="00EE4FC3">
        <w:t xml:space="preserve"> </w:t>
      </w:r>
      <w:r w:rsidRPr="00382917">
        <w:t>what</w:t>
      </w:r>
      <w:r w:rsidR="00EE4FC3">
        <w:t xml:space="preserve"> </w:t>
      </w:r>
      <w:r w:rsidRPr="00382917">
        <w:t>shall</w:t>
      </w:r>
      <w:r w:rsidR="00EE4FC3">
        <w:t xml:space="preserve"> </w:t>
      </w:r>
      <w:r w:rsidRPr="00382917">
        <w:t>we</w:t>
      </w:r>
      <w:r w:rsidR="00EE4FC3">
        <w:t xml:space="preserve"> </w:t>
      </w:r>
      <w:r w:rsidRPr="00382917">
        <w:t>look</w:t>
      </w:r>
      <w:r w:rsidR="00EE4FC3">
        <w:t xml:space="preserve"> </w:t>
      </w:r>
      <w:r w:rsidRPr="00382917">
        <w:t>for?</w:t>
      </w:r>
    </w:p>
    <w:p w:rsidR="00F1111D" w:rsidRPr="00382917" w:rsidRDefault="00F1111D" w:rsidP="008C4ED7">
      <w:pPr>
        <w:pStyle w:val="Text"/>
      </w:pPr>
      <w:r w:rsidRPr="00382917">
        <w:t>His</w:t>
      </w:r>
      <w:r w:rsidR="00EE4FC3">
        <w:t xml:space="preserve"> </w:t>
      </w:r>
      <w:r w:rsidRPr="00382917">
        <w:t>promise</w:t>
      </w:r>
      <w:r w:rsidR="00EE4FC3">
        <w:t xml:space="preserve"> </w:t>
      </w:r>
      <w:r w:rsidRPr="00382917">
        <w:t>was</w:t>
      </w:r>
      <w:r w:rsidR="00EE4FC3">
        <w:t xml:space="preserve"> </w:t>
      </w:r>
      <w:r w:rsidRPr="00382917">
        <w:t>given</w:t>
      </w:r>
      <w:r w:rsidR="00EE4FC3">
        <w:t xml:space="preserve"> </w:t>
      </w:r>
      <w:r w:rsidRPr="00382917">
        <w:t>in</w:t>
      </w:r>
      <w:r w:rsidR="00EE4FC3">
        <w:t xml:space="preserve"> </w:t>
      </w:r>
      <w:r w:rsidRPr="00382917">
        <w:t>these</w:t>
      </w:r>
      <w:r w:rsidR="00EE4FC3">
        <w:t xml:space="preserve"> </w:t>
      </w:r>
      <w:r w:rsidRPr="00382917">
        <w:t>words</w:t>
      </w:r>
      <w:r w:rsidR="00C03C91">
        <w:t>:</w:t>
      </w:r>
      <w:r w:rsidR="00EE4FC3">
        <w:t xml:space="preserve">  </w:t>
      </w:r>
      <w:r w:rsidR="009C713D" w:rsidRPr="00382917">
        <w:t>“</w:t>
      </w:r>
      <w:r w:rsidRPr="00382917">
        <w:t>When</w:t>
      </w:r>
      <w:r w:rsidR="00EE4FC3">
        <w:t xml:space="preserve"> </w:t>
      </w:r>
      <w:r w:rsidRPr="00382917">
        <w:t>ye</w:t>
      </w:r>
      <w:r w:rsidR="00EE4FC3">
        <w:t xml:space="preserve"> </w:t>
      </w:r>
      <w:r w:rsidRPr="00382917">
        <w:t>therefore</w:t>
      </w:r>
      <w:r w:rsidR="00EE4FC3">
        <w:t xml:space="preserve"> </w:t>
      </w:r>
      <w:r w:rsidRPr="00382917">
        <w:t>shall</w:t>
      </w:r>
      <w:r w:rsidR="00EE4FC3">
        <w:t xml:space="preserve"> </w:t>
      </w:r>
      <w:r w:rsidRPr="00382917">
        <w:t>see</w:t>
      </w:r>
      <w:r w:rsidR="00EE4FC3">
        <w:t xml:space="preserve"> </w:t>
      </w:r>
      <w:r w:rsidRPr="00382917">
        <w:t>the</w:t>
      </w:r>
      <w:r w:rsidR="00EE4FC3">
        <w:t xml:space="preserve"> </w:t>
      </w:r>
      <w:r w:rsidRPr="00382917">
        <w:t>abomination</w:t>
      </w:r>
      <w:r w:rsidR="00EE4FC3">
        <w:t xml:space="preserve"> </w:t>
      </w:r>
      <w:r w:rsidRPr="00382917">
        <w:t>of</w:t>
      </w:r>
      <w:r w:rsidR="00EE4FC3">
        <w:t xml:space="preserve"> </w:t>
      </w:r>
      <w:r w:rsidRPr="00382917">
        <w:t>desolation,</w:t>
      </w:r>
      <w:r w:rsidR="00EE4FC3">
        <w:t xml:space="preserve"> </w:t>
      </w:r>
      <w:r w:rsidRPr="00382917">
        <w:t>spoken</w:t>
      </w:r>
      <w:r w:rsidR="00EE4FC3">
        <w:t xml:space="preserve"> </w:t>
      </w:r>
      <w:r w:rsidRPr="00382917">
        <w:t>of</w:t>
      </w:r>
      <w:r w:rsidR="00EE4FC3">
        <w:t xml:space="preserve"> </w:t>
      </w:r>
      <w:r w:rsidRPr="00382917">
        <w:t>by</w:t>
      </w:r>
      <w:r w:rsidR="00EE4FC3">
        <w:t xml:space="preserve"> </w:t>
      </w:r>
      <w:r w:rsidRPr="00382917">
        <w:t>Daniel</w:t>
      </w:r>
      <w:r w:rsidR="00EE4FC3">
        <w:t xml:space="preserve"> </w:t>
      </w:r>
      <w:r w:rsidRPr="00382917">
        <w:t>the</w:t>
      </w:r>
      <w:r w:rsidR="00EE4FC3">
        <w:t xml:space="preserve"> </w:t>
      </w:r>
      <w:r w:rsidRPr="00382917">
        <w:t>Prophet,</w:t>
      </w:r>
      <w:r w:rsidR="00EE4FC3">
        <w:t xml:space="preserve"> </w:t>
      </w:r>
      <w:r w:rsidRPr="00382917">
        <w:t>stand</w:t>
      </w:r>
      <w:r w:rsidR="00EE4FC3">
        <w:t xml:space="preserve"> </w:t>
      </w:r>
      <w:r w:rsidRPr="00382917">
        <w:t>in</w:t>
      </w:r>
      <w:r w:rsidR="00EE4FC3">
        <w:t xml:space="preserve"> </w:t>
      </w:r>
      <w:r w:rsidRPr="00382917">
        <w:t>the</w:t>
      </w:r>
      <w:r w:rsidR="00EE4FC3">
        <w:t xml:space="preserve"> </w:t>
      </w:r>
      <w:r w:rsidRPr="00382917">
        <w:t>holy</w:t>
      </w:r>
      <w:r w:rsidR="00EE4FC3">
        <w:t xml:space="preserve"> </w:t>
      </w:r>
      <w:r w:rsidRPr="00382917">
        <w:t>place</w:t>
      </w:r>
      <w:r w:rsidR="00EE4FC3">
        <w:t xml:space="preserve"> </w:t>
      </w:r>
      <w:r w:rsidRPr="00382917">
        <w:t>(whoso</w:t>
      </w:r>
      <w:r w:rsidR="00EE4FC3">
        <w:t xml:space="preserve"> </w:t>
      </w:r>
      <w:proofErr w:type="spellStart"/>
      <w:r w:rsidRPr="00382917">
        <w:t>readeth</w:t>
      </w:r>
      <w:proofErr w:type="spellEnd"/>
      <w:r w:rsidRPr="00382917">
        <w:t>,</w:t>
      </w:r>
      <w:r w:rsidR="00EE4FC3">
        <w:t xml:space="preserve"> </w:t>
      </w:r>
      <w:r w:rsidRPr="00382917">
        <w:t>let</w:t>
      </w:r>
      <w:r w:rsidR="00EE4FC3">
        <w:t xml:space="preserve"> </w:t>
      </w:r>
      <w:r w:rsidRPr="00382917">
        <w:t>him</w:t>
      </w:r>
      <w:r w:rsidR="00EE4FC3">
        <w:t xml:space="preserve"> </w:t>
      </w:r>
      <w:r w:rsidRPr="00382917">
        <w:t>understand).</w:t>
      </w:r>
      <w:r w:rsidR="009C713D" w:rsidRPr="00382917">
        <w:t>”</w:t>
      </w:r>
      <w:r w:rsidR="008C4ED7">
        <w:rPr>
          <w:rStyle w:val="FootnoteReference"/>
        </w:rPr>
        <w:footnoteReference w:id="299"/>
      </w:r>
    </w:p>
    <w:p w:rsidR="00F1111D" w:rsidRPr="00382917" w:rsidRDefault="00F1111D" w:rsidP="00244241">
      <w:pPr>
        <w:pStyle w:val="Text"/>
      </w:pPr>
      <w:r w:rsidRPr="00382917">
        <w:t>This</w:t>
      </w:r>
      <w:r w:rsidR="00EE4FC3">
        <w:t xml:space="preserve"> </w:t>
      </w:r>
      <w:r w:rsidRPr="00382917">
        <w:t>third</w:t>
      </w:r>
      <w:r w:rsidR="00EE4FC3">
        <w:t xml:space="preserve"> </w:t>
      </w:r>
      <w:r w:rsidRPr="00382917">
        <w:t>promise</w:t>
      </w:r>
      <w:r w:rsidR="00EE4FC3">
        <w:t xml:space="preserve"> </w:t>
      </w:r>
      <w:r w:rsidRPr="00382917">
        <w:t>of</w:t>
      </w:r>
      <w:r w:rsidR="00EE4FC3">
        <w:t xml:space="preserve"> </w:t>
      </w:r>
      <w:r w:rsidRPr="00382917">
        <w:t>Christ</w:t>
      </w:r>
      <w:r w:rsidR="00EE4FC3">
        <w:t xml:space="preserve"> </w:t>
      </w:r>
      <w:r w:rsidRPr="00382917">
        <w:t>concerning</w:t>
      </w:r>
      <w:r w:rsidR="00EE4FC3">
        <w:t xml:space="preserve"> </w:t>
      </w:r>
      <w:r w:rsidRPr="00382917">
        <w:t>the</w:t>
      </w:r>
      <w:r w:rsidR="00EE4FC3">
        <w:t xml:space="preserve"> </w:t>
      </w:r>
      <w:r w:rsidR="009C713D" w:rsidRPr="00382917">
        <w:t>“</w:t>
      </w:r>
      <w:r w:rsidRPr="00382917">
        <w:t>abomination</w:t>
      </w:r>
      <w:r w:rsidR="00EE4FC3">
        <w:t xml:space="preserve"> </w:t>
      </w:r>
      <w:r w:rsidRPr="00382917">
        <w:t>of</w:t>
      </w:r>
      <w:r w:rsidR="00EE4FC3">
        <w:t xml:space="preserve"> </w:t>
      </w:r>
      <w:r w:rsidRPr="00382917">
        <w:t>desolation</w:t>
      </w:r>
      <w:r w:rsidR="009C713D" w:rsidRPr="00382917">
        <w:t>”</w:t>
      </w:r>
      <w:r w:rsidR="00EE4FC3">
        <w:t xml:space="preserve"> </w:t>
      </w:r>
      <w:r w:rsidRPr="00382917">
        <w:t>is</w:t>
      </w:r>
      <w:r w:rsidR="00EE4FC3">
        <w:t xml:space="preserve"> </w:t>
      </w:r>
      <w:r w:rsidRPr="00382917">
        <w:t>the</w:t>
      </w:r>
      <w:r w:rsidR="00EE4FC3">
        <w:t xml:space="preserve"> </w:t>
      </w:r>
      <w:r w:rsidRPr="00382917">
        <w:t>foundation-stone</w:t>
      </w:r>
      <w:r w:rsidR="00EE4FC3">
        <w:t xml:space="preserve"> </w:t>
      </w:r>
      <w:r w:rsidRPr="00382917">
        <w:t>upon</w:t>
      </w:r>
      <w:r w:rsidR="00EE4FC3">
        <w:t xml:space="preserve"> </w:t>
      </w:r>
      <w:r w:rsidRPr="00382917">
        <w:t>which</w:t>
      </w:r>
      <w:r w:rsidR="00EE4FC3">
        <w:t xml:space="preserve"> </w:t>
      </w:r>
      <w:r w:rsidRPr="00382917">
        <w:t>the</w:t>
      </w:r>
      <w:r w:rsidR="00EE4FC3">
        <w:t xml:space="preserve"> </w:t>
      </w:r>
      <w:r w:rsidRPr="00382917">
        <w:t>biblical</w:t>
      </w:r>
      <w:r w:rsidR="00EE4FC3">
        <w:t xml:space="preserve"> </w:t>
      </w:r>
      <w:r w:rsidRPr="00382917">
        <w:t>scholars</w:t>
      </w:r>
      <w:r w:rsidR="00EE4FC3">
        <w:t xml:space="preserve"> </w:t>
      </w:r>
      <w:r w:rsidRPr="00382917">
        <w:t>rested</w:t>
      </w:r>
      <w:r w:rsidR="00EE4FC3">
        <w:t xml:space="preserve"> </w:t>
      </w:r>
      <w:r w:rsidRPr="00382917">
        <w:t>the</w:t>
      </w:r>
      <w:r w:rsidR="00EE4FC3">
        <w:t xml:space="preserve"> </w:t>
      </w:r>
      <w:r w:rsidRPr="00382917">
        <w:t>structure</w:t>
      </w:r>
      <w:r w:rsidR="00EE4FC3">
        <w:t xml:space="preserve"> </w:t>
      </w:r>
      <w:r w:rsidRPr="00382917">
        <w:t>of</w:t>
      </w:r>
      <w:r w:rsidR="00EE4FC3">
        <w:t xml:space="preserve"> </w:t>
      </w:r>
      <w:r w:rsidRPr="00382917">
        <w:t>their</w:t>
      </w:r>
      <w:r w:rsidR="00EE4FC3">
        <w:t xml:space="preserve"> </w:t>
      </w:r>
      <w:r w:rsidRPr="00382917">
        <w:t>belief</w:t>
      </w:r>
      <w:r w:rsidR="00EE4FC3">
        <w:t xml:space="preserve"> </w:t>
      </w:r>
      <w:r w:rsidRPr="00382917">
        <w:t>in</w:t>
      </w:r>
      <w:r w:rsidR="00EE4FC3">
        <w:t xml:space="preserve"> </w:t>
      </w:r>
      <w:r w:rsidRPr="00382917">
        <w:t>the</w:t>
      </w:r>
      <w:r w:rsidR="00EE4FC3">
        <w:t xml:space="preserve"> </w:t>
      </w:r>
      <w:r w:rsidRPr="00382917">
        <w:t>return</w:t>
      </w:r>
      <w:r w:rsidR="00EE4FC3">
        <w:t xml:space="preserve"> </w:t>
      </w:r>
      <w:r w:rsidRPr="00382917">
        <w:t>of</w:t>
      </w:r>
      <w:r w:rsidR="00EE4FC3">
        <w:t xml:space="preserve"> </w:t>
      </w:r>
      <w:r w:rsidRPr="00382917">
        <w:t>Christ</w:t>
      </w:r>
      <w:r w:rsidR="00EE4FC3">
        <w:t xml:space="preserve"> </w:t>
      </w:r>
      <w:r w:rsidRPr="00382917">
        <w:t>during</w:t>
      </w:r>
      <w:r w:rsidR="00EE4FC3">
        <w:t xml:space="preserve"> </w:t>
      </w:r>
      <w:r w:rsidRPr="00382917">
        <w:t>the</w:t>
      </w:r>
      <w:r w:rsidR="00EE4FC3">
        <w:t xml:space="preserve"> </w:t>
      </w:r>
      <w:r w:rsidRPr="00382917">
        <w:t>1844</w:t>
      </w:r>
      <w:r w:rsidR="00EE4FC3">
        <w:t xml:space="preserve"> </w:t>
      </w:r>
      <w:r w:rsidRPr="00382917">
        <w:t>period.</w:t>
      </w:r>
    </w:p>
    <w:p w:rsidR="00F1111D" w:rsidRPr="00382917" w:rsidRDefault="00F1111D" w:rsidP="00244241">
      <w:pPr>
        <w:pStyle w:val="Text"/>
      </w:pPr>
      <w:r w:rsidRPr="00382917">
        <w:t>The</w:t>
      </w:r>
      <w:r w:rsidR="00EE4FC3">
        <w:t xml:space="preserve"> </w:t>
      </w:r>
      <w:r w:rsidRPr="00382917">
        <w:t>chapters</w:t>
      </w:r>
      <w:r w:rsidR="00EE4FC3">
        <w:t xml:space="preserve"> </w:t>
      </w:r>
      <w:r w:rsidRPr="00382917">
        <w:t>of</w:t>
      </w:r>
      <w:r w:rsidR="00EE4FC3">
        <w:t xml:space="preserve"> </w:t>
      </w:r>
      <w:r w:rsidRPr="00382917">
        <w:t>Daniel</w:t>
      </w:r>
      <w:r w:rsidR="00EE4FC3">
        <w:t xml:space="preserve"> </w:t>
      </w:r>
      <w:r w:rsidRPr="00382917">
        <w:t>which</w:t>
      </w:r>
      <w:r w:rsidR="00EE4FC3">
        <w:t xml:space="preserve"> </w:t>
      </w:r>
      <w:r w:rsidRPr="00382917">
        <w:t>deal</w:t>
      </w:r>
      <w:r w:rsidR="00EE4FC3">
        <w:t xml:space="preserve"> </w:t>
      </w:r>
      <w:r w:rsidRPr="00382917">
        <w:t>with</w:t>
      </w:r>
      <w:r w:rsidR="00EE4FC3">
        <w:t xml:space="preserve"> </w:t>
      </w:r>
      <w:r w:rsidRPr="00382917">
        <w:t>this</w:t>
      </w:r>
      <w:r w:rsidR="00EE4FC3">
        <w:t xml:space="preserve"> </w:t>
      </w:r>
      <w:r w:rsidRPr="00382917">
        <w:t>subject</w:t>
      </w:r>
      <w:r w:rsidR="00EE4FC3">
        <w:t xml:space="preserve"> </w:t>
      </w:r>
      <w:r w:rsidRPr="00382917">
        <w:t>are</w:t>
      </w:r>
      <w:r w:rsidR="00EE4FC3">
        <w:t xml:space="preserve"> </w:t>
      </w:r>
      <w:r w:rsidRPr="00382917">
        <w:t>those</w:t>
      </w:r>
      <w:r w:rsidR="00EE4FC3">
        <w:t xml:space="preserve"> </w:t>
      </w:r>
      <w:r w:rsidRPr="00382917">
        <w:t>from</w:t>
      </w:r>
      <w:r w:rsidR="00EE4FC3">
        <w:t xml:space="preserve"> </w:t>
      </w:r>
      <w:r w:rsidRPr="00382917">
        <w:t>eight</w:t>
      </w:r>
      <w:r w:rsidR="00EE4FC3">
        <w:t xml:space="preserve"> </w:t>
      </w:r>
      <w:r w:rsidRPr="00382917">
        <w:t>through</w:t>
      </w:r>
      <w:r w:rsidR="00EE4FC3">
        <w:t xml:space="preserve"> </w:t>
      </w:r>
      <w:r w:rsidRPr="00382917">
        <w:t>twelve</w:t>
      </w:r>
      <w:r w:rsidR="00552489">
        <w:t>.</w:t>
      </w:r>
      <w:r w:rsidR="00EE4FC3">
        <w:t xml:space="preserve">  </w:t>
      </w:r>
      <w:r w:rsidRPr="00382917">
        <w:t>These</w:t>
      </w:r>
      <w:r w:rsidR="00EE4FC3">
        <w:t xml:space="preserve"> </w:t>
      </w:r>
      <w:r w:rsidRPr="00382917">
        <w:t>foretell</w:t>
      </w:r>
      <w:r w:rsidR="00EE4FC3">
        <w:t xml:space="preserve"> </w:t>
      </w:r>
      <w:r w:rsidRPr="00382917">
        <w:t>clearly</w:t>
      </w:r>
      <w:r w:rsidR="00EE4FC3">
        <w:t xml:space="preserve"> </w:t>
      </w:r>
      <w:r w:rsidRPr="00382917">
        <w:t>not</w:t>
      </w:r>
      <w:r w:rsidR="00EE4FC3">
        <w:t xml:space="preserve"> </w:t>
      </w:r>
      <w:r w:rsidRPr="00382917">
        <w:t>only</w:t>
      </w:r>
      <w:r w:rsidR="00EE4FC3">
        <w:t xml:space="preserve"> </w:t>
      </w:r>
      <w:r w:rsidRPr="00382917">
        <w:t>the</w:t>
      </w:r>
      <w:r w:rsidR="00EE4FC3">
        <w:t xml:space="preserve"> </w:t>
      </w:r>
      <w:r w:rsidRPr="007949AC">
        <w:rPr>
          <w:i/>
          <w:iCs/>
        </w:rPr>
        <w:t>second</w:t>
      </w:r>
      <w:r w:rsidR="00EE4FC3" w:rsidRPr="007949AC">
        <w:rPr>
          <w:i/>
          <w:iCs/>
        </w:rPr>
        <w:t xml:space="preserve"> </w:t>
      </w:r>
      <w:r w:rsidRPr="00382917">
        <w:t>coming</w:t>
      </w:r>
      <w:r w:rsidR="00EE4FC3">
        <w:t xml:space="preserve"> </w:t>
      </w:r>
      <w:r w:rsidRPr="00382917">
        <w:t>of</w:t>
      </w:r>
      <w:r w:rsidR="00EE4FC3">
        <w:t xml:space="preserve"> </w:t>
      </w:r>
      <w:r w:rsidRPr="00382917">
        <w:t>Christ,</w:t>
      </w:r>
      <w:r w:rsidR="00EE4FC3">
        <w:t xml:space="preserve"> </w:t>
      </w:r>
      <w:r w:rsidRPr="00382917">
        <w:t>but</w:t>
      </w:r>
      <w:r w:rsidR="00EE4FC3">
        <w:t xml:space="preserve"> </w:t>
      </w:r>
      <w:r w:rsidRPr="00382917">
        <w:t>His</w:t>
      </w:r>
      <w:r w:rsidR="00EE4FC3">
        <w:t xml:space="preserve"> </w:t>
      </w:r>
      <w:r w:rsidRPr="007949AC">
        <w:rPr>
          <w:i/>
          <w:iCs/>
        </w:rPr>
        <w:t>first</w:t>
      </w:r>
      <w:r w:rsidR="00EE4FC3">
        <w:t xml:space="preserve"> </w:t>
      </w:r>
      <w:r w:rsidRPr="00382917">
        <w:t>appearance</w:t>
      </w:r>
      <w:r w:rsidR="00EE4FC3">
        <w:t xml:space="preserve"> </w:t>
      </w:r>
      <w:r w:rsidRPr="00382917">
        <w:t>as</w:t>
      </w:r>
      <w:r w:rsidR="00EE4FC3">
        <w:t xml:space="preserve"> </w:t>
      </w:r>
      <w:r w:rsidRPr="00382917">
        <w:t>well</w:t>
      </w:r>
      <w:r w:rsidR="00552489">
        <w:t>.</w:t>
      </w:r>
      <w:r w:rsidR="00EE4FC3">
        <w:t xml:space="preserve">  </w:t>
      </w:r>
      <w:r w:rsidRPr="00382917">
        <w:t>Therefore,</w:t>
      </w:r>
      <w:r w:rsidR="00EE4FC3">
        <w:t xml:space="preserve"> </w:t>
      </w:r>
      <w:r w:rsidRPr="00382917">
        <w:t>this</w:t>
      </w:r>
      <w:r w:rsidR="00EE4FC3">
        <w:t xml:space="preserve"> </w:t>
      </w:r>
      <w:r w:rsidRPr="00382917">
        <w:t>promise</w:t>
      </w:r>
      <w:r w:rsidR="00EE4FC3">
        <w:t xml:space="preserve"> </w:t>
      </w:r>
      <w:r w:rsidRPr="00382917">
        <w:t>of</w:t>
      </w:r>
      <w:r w:rsidR="00EE4FC3">
        <w:t xml:space="preserve"> </w:t>
      </w:r>
      <w:r w:rsidRPr="00382917">
        <w:t>Christ</w:t>
      </w:r>
      <w:r w:rsidR="00EE4FC3">
        <w:t xml:space="preserve"> </w:t>
      </w:r>
      <w:r w:rsidRPr="00382917">
        <w:t>is</w:t>
      </w:r>
      <w:r w:rsidR="00EE4FC3">
        <w:t xml:space="preserve"> </w:t>
      </w:r>
      <w:r w:rsidRPr="00382917">
        <w:t>considered</w:t>
      </w:r>
      <w:r w:rsidR="00EE4FC3">
        <w:t xml:space="preserve"> </w:t>
      </w:r>
      <w:r w:rsidRPr="00382917">
        <w:t>to</w:t>
      </w:r>
      <w:r w:rsidR="00EE4FC3">
        <w:t xml:space="preserve"> </w:t>
      </w:r>
      <w:r w:rsidRPr="00382917">
        <w:t>be</w:t>
      </w:r>
      <w:r w:rsidR="00EE4FC3">
        <w:t xml:space="preserve"> </w:t>
      </w:r>
      <w:r w:rsidRPr="00382917">
        <w:t>the</w:t>
      </w:r>
      <w:r w:rsidR="00EE4FC3">
        <w:t xml:space="preserve"> </w:t>
      </w:r>
      <w:r w:rsidRPr="00382917">
        <w:t>most</w:t>
      </w:r>
      <w:r w:rsidR="00EE4FC3">
        <w:t xml:space="preserve"> </w:t>
      </w:r>
      <w:r w:rsidRPr="00382917">
        <w:t>important</w:t>
      </w:r>
      <w:r w:rsidR="00EE4FC3">
        <w:t xml:space="preserve"> </w:t>
      </w:r>
      <w:r w:rsidRPr="00382917">
        <w:t>of</w:t>
      </w:r>
      <w:r w:rsidR="00EE4FC3">
        <w:t xml:space="preserve"> </w:t>
      </w:r>
      <w:r w:rsidRPr="00382917">
        <w:t>the</w:t>
      </w:r>
      <w:r w:rsidR="00EE4FC3">
        <w:t xml:space="preserve"> </w:t>
      </w:r>
      <w:r w:rsidRPr="00382917">
        <w:t>three.</w:t>
      </w:r>
    </w:p>
    <w:p w:rsidR="00F1111D" w:rsidRPr="00382917" w:rsidRDefault="00F1111D" w:rsidP="00AE4713">
      <w:pPr>
        <w:pStyle w:val="Text"/>
      </w:pPr>
      <w:r w:rsidRPr="00382917">
        <w:t>In</w:t>
      </w:r>
      <w:r w:rsidR="00EE4FC3">
        <w:t xml:space="preserve"> </w:t>
      </w:r>
      <w:r w:rsidRPr="00382917">
        <w:t>these</w:t>
      </w:r>
      <w:r w:rsidR="00EE4FC3">
        <w:t xml:space="preserve"> </w:t>
      </w:r>
      <w:r w:rsidRPr="00382917">
        <w:t>chapters,</w:t>
      </w:r>
      <w:r w:rsidR="00EE4FC3">
        <w:t xml:space="preserve"> </w:t>
      </w:r>
      <w:r w:rsidRPr="00382917">
        <w:t>Daniel</w:t>
      </w:r>
      <w:r w:rsidR="00EE4FC3">
        <w:t xml:space="preserve"> </w:t>
      </w:r>
      <w:r w:rsidRPr="00382917">
        <w:t>prophesies</w:t>
      </w:r>
      <w:r w:rsidR="00EE4FC3">
        <w:t xml:space="preserve"> </w:t>
      </w:r>
      <w:r w:rsidRPr="00382917">
        <w:t>that</w:t>
      </w:r>
      <w:r w:rsidR="00C03C91">
        <w:t>:</w:t>
      </w:r>
      <w:r w:rsidR="00EE4FC3">
        <w:t xml:space="preserve">  </w:t>
      </w:r>
      <w:r w:rsidRPr="00382917">
        <w:t>From</w:t>
      </w:r>
      <w:r w:rsidR="00EE4FC3">
        <w:t xml:space="preserve"> </w:t>
      </w:r>
      <w:r w:rsidRPr="00382917">
        <w:t>the</w:t>
      </w:r>
      <w:r w:rsidR="00EE4FC3">
        <w:t xml:space="preserve"> </w:t>
      </w:r>
      <w:r w:rsidRPr="00382917">
        <w:t>issuing</w:t>
      </w:r>
      <w:r w:rsidR="00EE4FC3">
        <w:t xml:space="preserve"> </w:t>
      </w:r>
      <w:r w:rsidRPr="00382917">
        <w:t>of</w:t>
      </w:r>
      <w:r w:rsidR="00EE4FC3">
        <w:t xml:space="preserve"> </w:t>
      </w:r>
      <w:r w:rsidRPr="00382917">
        <w:t>the</w:t>
      </w:r>
      <w:r w:rsidR="00EE4FC3">
        <w:t xml:space="preserve"> </w:t>
      </w:r>
      <w:r w:rsidRPr="00382917">
        <w:t>decree</w:t>
      </w:r>
      <w:r w:rsidR="00EE4FC3">
        <w:t xml:space="preserve"> </w:t>
      </w:r>
      <w:r w:rsidRPr="00382917">
        <w:t>to</w:t>
      </w:r>
      <w:r w:rsidR="00EE4FC3">
        <w:t xml:space="preserve"> </w:t>
      </w:r>
      <w:r w:rsidRPr="00382917">
        <w:t>rebuild</w:t>
      </w:r>
      <w:r w:rsidR="00EE4FC3">
        <w:t xml:space="preserve"> </w:t>
      </w:r>
      <w:r w:rsidRPr="00382917">
        <w:t>Jerusalem,</w:t>
      </w:r>
      <w:r w:rsidR="00EE4FC3">
        <w:t xml:space="preserve"> </w:t>
      </w:r>
      <w:r w:rsidRPr="00382917">
        <w:t>until</w:t>
      </w:r>
      <w:r w:rsidR="00EE4FC3">
        <w:t xml:space="preserve"> </w:t>
      </w:r>
      <w:r w:rsidRPr="00382917">
        <w:t>the</w:t>
      </w:r>
      <w:r w:rsidR="00EE4FC3">
        <w:t xml:space="preserve"> </w:t>
      </w:r>
      <w:r w:rsidRPr="00382917">
        <w:t>time</w:t>
      </w:r>
      <w:r w:rsidR="00EE4FC3">
        <w:t xml:space="preserve"> </w:t>
      </w:r>
      <w:r w:rsidRPr="00382917">
        <w:t>when</w:t>
      </w:r>
      <w:r w:rsidR="00EE4FC3">
        <w:t xml:space="preserve"> </w:t>
      </w:r>
      <w:r w:rsidRPr="00382917">
        <w:t>the</w:t>
      </w:r>
      <w:r w:rsidR="00EE4FC3">
        <w:t xml:space="preserve"> </w:t>
      </w:r>
      <w:r w:rsidRPr="00382917">
        <w:t>Messiah</w:t>
      </w:r>
      <w:r w:rsidR="00EE4FC3">
        <w:t xml:space="preserve"> </w:t>
      </w:r>
      <w:r w:rsidRPr="00382917">
        <w:t>shall</w:t>
      </w:r>
      <w:r w:rsidR="00EE4FC3">
        <w:t xml:space="preserve"> </w:t>
      </w:r>
      <w:r w:rsidRPr="00382917">
        <w:t>be</w:t>
      </w:r>
      <w:r w:rsidR="00EE4FC3">
        <w:t xml:space="preserve"> </w:t>
      </w:r>
      <w:r w:rsidRPr="00382917">
        <w:t>cut</w:t>
      </w:r>
      <w:r w:rsidR="00EE4FC3">
        <w:t xml:space="preserve"> </w:t>
      </w:r>
      <w:r w:rsidRPr="00382917">
        <w:t>off</w:t>
      </w:r>
      <w:r w:rsidR="00EE4FC3">
        <w:t xml:space="preserve"> </w:t>
      </w:r>
      <w:r w:rsidRPr="00382917">
        <w:t>(crucified)</w:t>
      </w:r>
      <w:r w:rsidR="00EE4FC3">
        <w:t xml:space="preserve"> </w:t>
      </w:r>
      <w:r w:rsidRPr="00382917">
        <w:t>there</w:t>
      </w:r>
      <w:r w:rsidR="00EE4FC3">
        <w:t xml:space="preserve"> </w:t>
      </w:r>
      <w:r w:rsidRPr="00382917">
        <w:t>are</w:t>
      </w:r>
      <w:r w:rsidR="00EE4FC3">
        <w:t xml:space="preserve"> </w:t>
      </w:r>
      <w:r w:rsidRPr="00382917">
        <w:t>appointed</w:t>
      </w:r>
      <w:r w:rsidR="00EE4FC3">
        <w:t xml:space="preserve"> </w:t>
      </w:r>
      <w:r w:rsidRPr="00382917">
        <w:t>70</w:t>
      </w:r>
      <w:r w:rsidR="00EE4FC3">
        <w:t xml:space="preserve"> </w:t>
      </w:r>
      <w:r w:rsidRPr="00382917">
        <w:t>weeks</w:t>
      </w:r>
      <w:r w:rsidR="00EE4FC3">
        <w:t xml:space="preserve"> </w:t>
      </w:r>
      <w:r w:rsidRPr="00382917">
        <w:t>(490</w:t>
      </w:r>
      <w:r w:rsidR="00EE4FC3">
        <w:t xml:space="preserve"> </w:t>
      </w:r>
      <w:r w:rsidRPr="00382917">
        <w:t>days).</w:t>
      </w:r>
      <w:r w:rsidR="00AE4713">
        <w:rPr>
          <w:rStyle w:val="FootnoteReference"/>
        </w:rPr>
        <w:footnoteReference w:id="300"/>
      </w:r>
    </w:p>
    <w:p w:rsidR="00F1111D" w:rsidRPr="00382917" w:rsidRDefault="00F1111D" w:rsidP="00244241">
      <w:pPr>
        <w:pStyle w:val="Text"/>
      </w:pPr>
      <w:r w:rsidRPr="00382917">
        <w:t>The</w:t>
      </w:r>
      <w:r w:rsidR="00EE4FC3">
        <w:t xml:space="preserve"> </w:t>
      </w:r>
      <w:r w:rsidRPr="00382917">
        <w:t>decree</w:t>
      </w:r>
      <w:r w:rsidR="00EE4FC3">
        <w:t xml:space="preserve"> </w:t>
      </w:r>
      <w:r w:rsidRPr="00382917">
        <w:t>would</w:t>
      </w:r>
      <w:r w:rsidR="00EE4FC3">
        <w:t xml:space="preserve"> </w:t>
      </w:r>
      <w:r w:rsidRPr="00382917">
        <w:t>be</w:t>
      </w:r>
      <w:r w:rsidR="00EE4FC3">
        <w:t xml:space="preserve"> </w:t>
      </w:r>
      <w:r w:rsidRPr="00382917">
        <w:t>issued,</w:t>
      </w:r>
      <w:r w:rsidR="00EE4FC3">
        <w:t xml:space="preserve"> </w:t>
      </w:r>
      <w:r w:rsidRPr="00382917">
        <w:t>the</w:t>
      </w:r>
      <w:r w:rsidR="00EE4FC3">
        <w:t xml:space="preserve"> </w:t>
      </w:r>
      <w:r w:rsidRPr="00382917">
        <w:t>city</w:t>
      </w:r>
      <w:r w:rsidR="00EE4FC3">
        <w:t xml:space="preserve"> </w:t>
      </w:r>
      <w:r w:rsidRPr="00382917">
        <w:t>rebuilt,</w:t>
      </w:r>
      <w:r w:rsidR="00EE4FC3">
        <w:t xml:space="preserve"> </w:t>
      </w:r>
      <w:proofErr w:type="gramStart"/>
      <w:r w:rsidRPr="00382917">
        <w:t>then</w:t>
      </w:r>
      <w:proofErr w:type="gramEnd"/>
      <w:r w:rsidR="00EE4FC3">
        <w:t xml:space="preserve"> </w:t>
      </w:r>
      <w:r w:rsidRPr="00382917">
        <w:t>Christ</w:t>
      </w:r>
      <w:r w:rsidR="00EE4FC3">
        <w:t xml:space="preserve"> </w:t>
      </w:r>
      <w:r w:rsidRPr="00382917">
        <w:t>would</w:t>
      </w:r>
      <w:r w:rsidR="00EE4FC3">
        <w:t xml:space="preserve"> </w:t>
      </w:r>
      <w:r w:rsidRPr="00382917">
        <w:t>be</w:t>
      </w:r>
      <w:r w:rsidR="00EE4FC3">
        <w:t xml:space="preserve"> </w:t>
      </w:r>
      <w:r w:rsidRPr="00382917">
        <w:t>crucified</w:t>
      </w:r>
      <w:r w:rsidR="00552489">
        <w:t>.</w:t>
      </w:r>
      <w:r w:rsidR="00EE4FC3">
        <w:t xml:space="preserve">  </w:t>
      </w:r>
      <w:r w:rsidRPr="00382917">
        <w:t>This</w:t>
      </w:r>
      <w:r w:rsidR="00EE4FC3">
        <w:t xml:space="preserve"> </w:t>
      </w:r>
      <w:r w:rsidRPr="00382917">
        <w:t>is</w:t>
      </w:r>
      <w:r w:rsidR="00EE4FC3">
        <w:t xml:space="preserve"> </w:t>
      </w:r>
      <w:r w:rsidRPr="00382917">
        <w:t>the</w:t>
      </w:r>
      <w:r w:rsidR="00EE4FC3">
        <w:t xml:space="preserve"> </w:t>
      </w:r>
      <w:r w:rsidRPr="00382917">
        <w:t>clear</w:t>
      </w:r>
      <w:r w:rsidR="00EE4FC3">
        <w:t xml:space="preserve"> </w:t>
      </w:r>
      <w:r w:rsidRPr="00382917">
        <w:t>meaning,</w:t>
      </w:r>
      <w:r w:rsidR="00EE4FC3">
        <w:t xml:space="preserve"> </w:t>
      </w:r>
      <w:r w:rsidRPr="00382917">
        <w:t>foretelling</w:t>
      </w:r>
      <w:r w:rsidR="00EE4FC3">
        <w:t xml:space="preserve"> </w:t>
      </w:r>
      <w:r w:rsidRPr="00382917">
        <w:t>Christ</w:t>
      </w:r>
      <w:r w:rsidR="009C713D" w:rsidRPr="00382917">
        <w:t>’</w:t>
      </w:r>
      <w:r w:rsidRPr="00382917">
        <w:t>s</w:t>
      </w:r>
      <w:r w:rsidR="00EE4FC3">
        <w:t xml:space="preserve"> </w:t>
      </w:r>
      <w:r w:rsidRPr="00382917">
        <w:t>first</w:t>
      </w:r>
      <w:r w:rsidR="00EE4FC3">
        <w:t xml:space="preserve"> </w:t>
      </w:r>
      <w:r w:rsidRPr="00382917">
        <w:t>coming.</w:t>
      </w:r>
    </w:p>
    <w:p w:rsidR="00244241" w:rsidRPr="00382917" w:rsidRDefault="00244241">
      <w:pPr>
        <w:widowControl/>
        <w:kinsoku/>
        <w:overflowPunct/>
        <w:textAlignment w:val="auto"/>
      </w:pPr>
      <w:r w:rsidRPr="00382917">
        <w:br w:type="page"/>
      </w:r>
    </w:p>
    <w:p w:rsidR="00F1111D" w:rsidRPr="00382917" w:rsidRDefault="00F1111D" w:rsidP="00244241">
      <w:pPr>
        <w:pStyle w:val="Text"/>
      </w:pPr>
      <w:r w:rsidRPr="00382917">
        <w:t>There</w:t>
      </w:r>
      <w:r w:rsidR="00EE4FC3">
        <w:t xml:space="preserve"> </w:t>
      </w:r>
      <w:r w:rsidRPr="00382917">
        <w:t>were</w:t>
      </w:r>
      <w:r w:rsidR="00EE4FC3">
        <w:t xml:space="preserve"> </w:t>
      </w:r>
      <w:r w:rsidRPr="00382917">
        <w:t>four</w:t>
      </w:r>
      <w:r w:rsidR="00EE4FC3">
        <w:t xml:space="preserve"> </w:t>
      </w:r>
      <w:r w:rsidRPr="00382917">
        <w:t>decrees</w:t>
      </w:r>
      <w:r w:rsidR="00EE4FC3">
        <w:t xml:space="preserve"> </w:t>
      </w:r>
      <w:r w:rsidRPr="00382917">
        <w:t>issued</w:t>
      </w:r>
      <w:r w:rsidR="00EE4FC3">
        <w:t xml:space="preserve"> </w:t>
      </w:r>
      <w:r w:rsidRPr="00382917">
        <w:t>to</w:t>
      </w:r>
      <w:r w:rsidR="00EE4FC3">
        <w:t xml:space="preserve"> </w:t>
      </w:r>
      <w:r w:rsidRPr="00382917">
        <w:t>rebuild</w:t>
      </w:r>
      <w:r w:rsidR="00EE4FC3">
        <w:t xml:space="preserve"> </w:t>
      </w:r>
      <w:r w:rsidRPr="00382917">
        <w:t>Jerusalem:</w:t>
      </w:r>
    </w:p>
    <w:p w:rsidR="00F1111D" w:rsidRPr="00382917" w:rsidRDefault="00244241" w:rsidP="00244241">
      <w:pPr>
        <w:pStyle w:val="Bullet2"/>
      </w:pPr>
      <w:r w:rsidRPr="00382917">
        <w:t>1.</w:t>
      </w:r>
      <w:r w:rsidRPr="00382917">
        <w:tab/>
      </w:r>
      <w:r w:rsidR="00F1111D" w:rsidRPr="00382917">
        <w:t>Issued</w:t>
      </w:r>
      <w:r w:rsidR="00EE4FC3">
        <w:t xml:space="preserve"> </w:t>
      </w:r>
      <w:r w:rsidR="00F1111D" w:rsidRPr="00382917">
        <w:t>by</w:t>
      </w:r>
      <w:r w:rsidR="00EE4FC3">
        <w:t xml:space="preserve"> </w:t>
      </w:r>
      <w:r w:rsidR="00F1111D" w:rsidRPr="00382917">
        <w:t>Cyrus</w:t>
      </w:r>
      <w:r w:rsidR="00EE4FC3">
        <w:t xml:space="preserve"> </w:t>
      </w:r>
      <w:r w:rsidR="00F1111D" w:rsidRPr="00382917">
        <w:t>in</w:t>
      </w:r>
      <w:r w:rsidR="00EE4FC3">
        <w:t xml:space="preserve"> </w:t>
      </w:r>
      <w:r w:rsidR="00F1111D" w:rsidRPr="00382917">
        <w:t>the</w:t>
      </w:r>
      <w:r w:rsidR="00EE4FC3">
        <w:t xml:space="preserve"> </w:t>
      </w:r>
      <w:r w:rsidR="00F1111D" w:rsidRPr="00382917">
        <w:t>year</w:t>
      </w:r>
      <w:r w:rsidR="00EE4FC3">
        <w:t xml:space="preserve"> </w:t>
      </w:r>
      <w:r w:rsidR="00F1111D" w:rsidRPr="00382917">
        <w:t>534</w:t>
      </w:r>
      <w:r w:rsidR="00EE4FC3">
        <w:t xml:space="preserve"> </w:t>
      </w:r>
      <w:r w:rsidR="00F1111D" w:rsidRPr="00382917">
        <w:t>BCE</w:t>
      </w:r>
      <w:r w:rsidR="00AE4713">
        <w:t xml:space="preserve">. </w:t>
      </w:r>
      <w:r w:rsidR="00EE4FC3">
        <w:t xml:space="preserve"> </w:t>
      </w:r>
      <w:r w:rsidR="00F1111D" w:rsidRPr="00382917">
        <w:t>This</w:t>
      </w:r>
      <w:r w:rsidR="00EE4FC3">
        <w:t xml:space="preserve"> </w:t>
      </w:r>
      <w:r w:rsidR="00F1111D" w:rsidRPr="00382917">
        <w:t>is</w:t>
      </w:r>
      <w:r w:rsidR="00EE4FC3">
        <w:t xml:space="preserve"> </w:t>
      </w:r>
      <w:r w:rsidR="00F1111D" w:rsidRPr="00382917">
        <w:t>recorded</w:t>
      </w:r>
      <w:r w:rsidR="00EE4FC3">
        <w:t xml:space="preserve"> </w:t>
      </w:r>
      <w:r w:rsidR="00F1111D" w:rsidRPr="00382917">
        <w:t>in</w:t>
      </w:r>
      <w:r w:rsidR="00EE4FC3">
        <w:t xml:space="preserve"> </w:t>
      </w:r>
      <w:r w:rsidR="00F1111D" w:rsidRPr="00382917">
        <w:t>the</w:t>
      </w:r>
      <w:r w:rsidR="00EE4FC3">
        <w:t xml:space="preserve"> </w:t>
      </w:r>
      <w:r w:rsidR="00F1111D" w:rsidRPr="00382917">
        <w:t>first</w:t>
      </w:r>
      <w:r w:rsidR="00EE4FC3">
        <w:t xml:space="preserve"> </w:t>
      </w:r>
      <w:r w:rsidR="00F1111D" w:rsidRPr="00382917">
        <w:t>chapter</w:t>
      </w:r>
      <w:r w:rsidR="00EE4FC3">
        <w:t xml:space="preserve"> </w:t>
      </w:r>
      <w:r w:rsidR="00F1111D" w:rsidRPr="00382917">
        <w:t>of</w:t>
      </w:r>
      <w:r w:rsidR="00EE4FC3">
        <w:t xml:space="preserve"> </w:t>
      </w:r>
      <w:r w:rsidR="00F1111D" w:rsidRPr="00382917">
        <w:t>the</w:t>
      </w:r>
      <w:r w:rsidR="00EE4FC3">
        <w:t xml:space="preserve"> </w:t>
      </w:r>
      <w:r w:rsidR="00F1111D" w:rsidRPr="00382917">
        <w:t>Book</w:t>
      </w:r>
      <w:r w:rsidR="00EE4FC3">
        <w:t xml:space="preserve"> </w:t>
      </w:r>
      <w:r w:rsidR="00F1111D" w:rsidRPr="00382917">
        <w:t>of</w:t>
      </w:r>
      <w:r w:rsidR="00EE4FC3">
        <w:t xml:space="preserve"> </w:t>
      </w:r>
      <w:r w:rsidR="00F1111D" w:rsidRPr="00382917">
        <w:t>Ezra</w:t>
      </w:r>
      <w:r w:rsidR="00552489">
        <w:t>.</w:t>
      </w:r>
      <w:r w:rsidR="00EE4FC3">
        <w:t xml:space="preserve">  </w:t>
      </w:r>
      <w:r w:rsidR="00F1111D" w:rsidRPr="00382917">
        <w:t>It</w:t>
      </w:r>
      <w:r w:rsidR="00EE4FC3">
        <w:t xml:space="preserve"> </w:t>
      </w:r>
      <w:r w:rsidR="00F1111D" w:rsidRPr="00382917">
        <w:t>went</w:t>
      </w:r>
      <w:r w:rsidR="00EE4FC3">
        <w:t xml:space="preserve"> </w:t>
      </w:r>
      <w:r w:rsidR="00F1111D" w:rsidRPr="00382917">
        <w:t>unfulfilled.</w:t>
      </w:r>
    </w:p>
    <w:p w:rsidR="00F1111D" w:rsidRPr="00382917" w:rsidRDefault="00244241" w:rsidP="00244241">
      <w:pPr>
        <w:pStyle w:val="Bullet2ct"/>
      </w:pPr>
      <w:r w:rsidRPr="00382917">
        <w:t>2.</w:t>
      </w:r>
      <w:r w:rsidRPr="00382917">
        <w:tab/>
      </w:r>
      <w:r w:rsidR="00F1111D" w:rsidRPr="00382917">
        <w:t>Issued</w:t>
      </w:r>
      <w:r w:rsidR="00EE4FC3">
        <w:t xml:space="preserve"> </w:t>
      </w:r>
      <w:r w:rsidR="00F1111D" w:rsidRPr="00382917">
        <w:t>by</w:t>
      </w:r>
      <w:r w:rsidR="00EE4FC3">
        <w:t xml:space="preserve"> </w:t>
      </w:r>
      <w:r w:rsidR="00F1111D" w:rsidRPr="00382917">
        <w:t>Darius</w:t>
      </w:r>
      <w:r w:rsidR="00EE4FC3">
        <w:t xml:space="preserve"> </w:t>
      </w:r>
      <w:r w:rsidR="00F1111D" w:rsidRPr="00382917">
        <w:t>in</w:t>
      </w:r>
      <w:r w:rsidR="00EE4FC3">
        <w:t xml:space="preserve"> </w:t>
      </w:r>
      <w:r w:rsidR="00F1111D" w:rsidRPr="00382917">
        <w:t>the</w:t>
      </w:r>
      <w:r w:rsidR="00EE4FC3">
        <w:t xml:space="preserve"> </w:t>
      </w:r>
      <w:r w:rsidR="00F1111D" w:rsidRPr="00382917">
        <w:t>year</w:t>
      </w:r>
      <w:r w:rsidR="00EE4FC3">
        <w:t xml:space="preserve"> </w:t>
      </w:r>
      <w:r w:rsidR="00F1111D" w:rsidRPr="00382917">
        <w:t>519</w:t>
      </w:r>
      <w:r w:rsidR="00EE4FC3">
        <w:t xml:space="preserve"> </w:t>
      </w:r>
      <w:r w:rsidR="00F1111D" w:rsidRPr="00382917">
        <w:t>BCE</w:t>
      </w:r>
      <w:r w:rsidR="00552489">
        <w:t>.</w:t>
      </w:r>
      <w:r w:rsidR="00EE4FC3">
        <w:t xml:space="preserve">  </w:t>
      </w:r>
      <w:r w:rsidR="00F1111D" w:rsidRPr="00382917">
        <w:t>This</w:t>
      </w:r>
      <w:r w:rsidR="00EE4FC3">
        <w:t xml:space="preserve"> </w:t>
      </w:r>
      <w:r w:rsidR="00F1111D" w:rsidRPr="00382917">
        <w:t>is</w:t>
      </w:r>
      <w:r w:rsidR="00EE4FC3">
        <w:t xml:space="preserve"> </w:t>
      </w:r>
      <w:r w:rsidR="00F1111D" w:rsidRPr="00382917">
        <w:t>recorded</w:t>
      </w:r>
      <w:r w:rsidR="00EE4FC3">
        <w:t xml:space="preserve"> </w:t>
      </w:r>
      <w:r w:rsidR="00F1111D" w:rsidRPr="00382917">
        <w:t>in</w:t>
      </w:r>
      <w:r w:rsidR="00EE4FC3">
        <w:t xml:space="preserve"> </w:t>
      </w:r>
      <w:r w:rsidR="00F1111D" w:rsidRPr="00382917">
        <w:t>the</w:t>
      </w:r>
      <w:r w:rsidR="00EE4FC3">
        <w:t xml:space="preserve"> </w:t>
      </w:r>
      <w:r w:rsidR="00F1111D" w:rsidRPr="00382917">
        <w:t>sixth</w:t>
      </w:r>
      <w:r w:rsidR="00EE4FC3">
        <w:t xml:space="preserve"> </w:t>
      </w:r>
      <w:r w:rsidR="00F1111D" w:rsidRPr="00382917">
        <w:t>chapter</w:t>
      </w:r>
      <w:r w:rsidR="00EE4FC3">
        <w:t xml:space="preserve"> </w:t>
      </w:r>
      <w:r w:rsidR="00F1111D" w:rsidRPr="00382917">
        <w:t>of</w:t>
      </w:r>
      <w:r w:rsidR="00EE4FC3">
        <w:t xml:space="preserve"> </w:t>
      </w:r>
      <w:r w:rsidR="00F1111D" w:rsidRPr="00382917">
        <w:t>the</w:t>
      </w:r>
      <w:r w:rsidR="00EE4FC3">
        <w:t xml:space="preserve"> </w:t>
      </w:r>
      <w:r w:rsidR="00F1111D" w:rsidRPr="00382917">
        <w:t>Book</w:t>
      </w:r>
      <w:r w:rsidR="00EE4FC3">
        <w:t xml:space="preserve"> </w:t>
      </w:r>
      <w:r w:rsidR="00F1111D" w:rsidRPr="00382917">
        <w:t>of</w:t>
      </w:r>
      <w:r w:rsidR="00EE4FC3">
        <w:t xml:space="preserve"> </w:t>
      </w:r>
      <w:r w:rsidR="00F1111D" w:rsidRPr="00382917">
        <w:t>Ezra</w:t>
      </w:r>
      <w:r w:rsidR="00552489">
        <w:t>.</w:t>
      </w:r>
      <w:r w:rsidR="00EE4FC3">
        <w:t xml:space="preserve">  </w:t>
      </w:r>
      <w:r w:rsidR="00F1111D" w:rsidRPr="00382917">
        <w:t>It</w:t>
      </w:r>
      <w:r w:rsidR="00EE4FC3">
        <w:t xml:space="preserve"> </w:t>
      </w:r>
      <w:r w:rsidR="00F1111D" w:rsidRPr="00382917">
        <w:t>also</w:t>
      </w:r>
      <w:r w:rsidR="00EE4FC3">
        <w:t xml:space="preserve"> </w:t>
      </w:r>
      <w:r w:rsidR="00F1111D" w:rsidRPr="00382917">
        <w:t>went</w:t>
      </w:r>
      <w:r w:rsidR="00EE4FC3">
        <w:t xml:space="preserve"> </w:t>
      </w:r>
      <w:r w:rsidR="00F1111D" w:rsidRPr="00382917">
        <w:t>unfulfilled.</w:t>
      </w:r>
    </w:p>
    <w:p w:rsidR="00F1111D" w:rsidRPr="00382917" w:rsidRDefault="00244241" w:rsidP="00244241">
      <w:pPr>
        <w:pStyle w:val="Bullet2ct"/>
      </w:pPr>
      <w:r w:rsidRPr="00382917">
        <w:t>3.</w:t>
      </w:r>
      <w:r w:rsidRPr="00382917">
        <w:tab/>
      </w:r>
      <w:r w:rsidR="00F1111D" w:rsidRPr="00382917">
        <w:t>Issued</w:t>
      </w:r>
      <w:r w:rsidR="00EE4FC3">
        <w:t xml:space="preserve"> </w:t>
      </w:r>
      <w:r w:rsidR="00F1111D" w:rsidRPr="00382917">
        <w:t>by</w:t>
      </w:r>
      <w:r w:rsidR="00EE4FC3">
        <w:t xml:space="preserve"> </w:t>
      </w:r>
      <w:r w:rsidR="00F1111D" w:rsidRPr="00382917">
        <w:t>Artaxerxes</w:t>
      </w:r>
      <w:r w:rsidR="00EE4FC3">
        <w:t xml:space="preserve"> </w:t>
      </w:r>
      <w:r w:rsidR="00F1111D" w:rsidRPr="00382917">
        <w:t>in</w:t>
      </w:r>
      <w:r w:rsidR="00EE4FC3">
        <w:t xml:space="preserve"> </w:t>
      </w:r>
      <w:r w:rsidR="00F1111D" w:rsidRPr="00382917">
        <w:t>the</w:t>
      </w:r>
      <w:r w:rsidR="00EE4FC3">
        <w:t xml:space="preserve"> </w:t>
      </w:r>
      <w:r w:rsidR="00F1111D" w:rsidRPr="00382917">
        <w:t>seventh</w:t>
      </w:r>
      <w:r w:rsidR="00EE4FC3">
        <w:t xml:space="preserve"> </w:t>
      </w:r>
      <w:r w:rsidR="00F1111D" w:rsidRPr="00382917">
        <w:t>year</w:t>
      </w:r>
      <w:r w:rsidR="00EE4FC3">
        <w:t xml:space="preserve"> </w:t>
      </w:r>
      <w:r w:rsidR="00F1111D" w:rsidRPr="00382917">
        <w:t>of</w:t>
      </w:r>
      <w:r w:rsidR="00EE4FC3">
        <w:t xml:space="preserve"> </w:t>
      </w:r>
      <w:r w:rsidR="00F1111D" w:rsidRPr="00382917">
        <w:t>his</w:t>
      </w:r>
      <w:r w:rsidR="00EE4FC3">
        <w:t xml:space="preserve"> </w:t>
      </w:r>
      <w:r w:rsidR="00F1111D" w:rsidRPr="00382917">
        <w:t>reign</w:t>
      </w:r>
      <w:r w:rsidR="00EE4FC3">
        <w:t xml:space="preserve"> </w:t>
      </w:r>
      <w:r w:rsidR="00F1111D" w:rsidRPr="00382917">
        <w:t>in</w:t>
      </w:r>
      <w:r w:rsidR="00EE4FC3">
        <w:t xml:space="preserve"> </w:t>
      </w:r>
      <w:r w:rsidR="00F1111D" w:rsidRPr="00382917">
        <w:t>the</w:t>
      </w:r>
      <w:r w:rsidR="00EE4FC3">
        <w:t xml:space="preserve"> </w:t>
      </w:r>
      <w:r w:rsidR="00F1111D" w:rsidRPr="00382917">
        <w:t>year</w:t>
      </w:r>
      <w:r w:rsidR="00EE4FC3">
        <w:t xml:space="preserve"> </w:t>
      </w:r>
      <w:r w:rsidR="00F1111D" w:rsidRPr="00382917">
        <w:t>457</w:t>
      </w:r>
      <w:r w:rsidR="00EE4FC3">
        <w:t xml:space="preserve"> </w:t>
      </w:r>
      <w:r w:rsidR="00F1111D" w:rsidRPr="00382917">
        <w:t>BCE</w:t>
      </w:r>
      <w:r w:rsidR="00552489">
        <w:t>.</w:t>
      </w:r>
      <w:r w:rsidR="00EE4FC3">
        <w:t xml:space="preserve">  </w:t>
      </w:r>
      <w:r w:rsidR="00F1111D" w:rsidRPr="00382917">
        <w:t>This</w:t>
      </w:r>
      <w:r w:rsidR="00EE4FC3">
        <w:t xml:space="preserve"> </w:t>
      </w:r>
      <w:r w:rsidR="00F1111D" w:rsidRPr="00382917">
        <w:t>is</w:t>
      </w:r>
      <w:r w:rsidR="00EE4FC3">
        <w:t xml:space="preserve"> </w:t>
      </w:r>
      <w:r w:rsidR="00F1111D" w:rsidRPr="00382917">
        <w:t>recorded</w:t>
      </w:r>
      <w:r w:rsidR="00EE4FC3">
        <w:t xml:space="preserve"> </w:t>
      </w:r>
      <w:r w:rsidR="00F1111D" w:rsidRPr="00382917">
        <w:t>in</w:t>
      </w:r>
      <w:r w:rsidR="00EE4FC3">
        <w:t xml:space="preserve"> </w:t>
      </w:r>
      <w:r w:rsidR="00F1111D" w:rsidRPr="00382917">
        <w:t>the</w:t>
      </w:r>
      <w:r w:rsidR="00EE4FC3">
        <w:t xml:space="preserve"> </w:t>
      </w:r>
      <w:r w:rsidR="00F1111D" w:rsidRPr="00382917">
        <w:t>seventh</w:t>
      </w:r>
      <w:r w:rsidR="00EE4FC3">
        <w:t xml:space="preserve"> </w:t>
      </w:r>
      <w:r w:rsidR="00F1111D" w:rsidRPr="00382917">
        <w:t>chapter</w:t>
      </w:r>
      <w:r w:rsidR="00EE4FC3">
        <w:t xml:space="preserve"> </w:t>
      </w:r>
      <w:r w:rsidR="00F1111D" w:rsidRPr="00382917">
        <w:t>of</w:t>
      </w:r>
      <w:r w:rsidR="00EE4FC3">
        <w:t xml:space="preserve"> </w:t>
      </w:r>
      <w:r w:rsidR="00F1111D" w:rsidRPr="00382917">
        <w:t>the</w:t>
      </w:r>
      <w:r w:rsidR="00EE4FC3">
        <w:t xml:space="preserve"> </w:t>
      </w:r>
      <w:r w:rsidR="00F1111D" w:rsidRPr="00382917">
        <w:t>Book</w:t>
      </w:r>
      <w:r w:rsidR="00EE4FC3">
        <w:t xml:space="preserve"> </w:t>
      </w:r>
      <w:r w:rsidR="00F1111D" w:rsidRPr="00382917">
        <w:t>of</w:t>
      </w:r>
      <w:r w:rsidR="00EE4FC3">
        <w:t xml:space="preserve"> </w:t>
      </w:r>
      <w:r w:rsidR="00F1111D" w:rsidRPr="00382917">
        <w:t>Ezra</w:t>
      </w:r>
      <w:r w:rsidR="00552489">
        <w:t>.</w:t>
      </w:r>
      <w:r w:rsidR="00EE4FC3">
        <w:t xml:space="preserve">  </w:t>
      </w:r>
      <w:r w:rsidR="00F1111D" w:rsidRPr="00382917">
        <w:t>It</w:t>
      </w:r>
      <w:r w:rsidR="00EE4FC3">
        <w:t xml:space="preserve"> </w:t>
      </w:r>
      <w:r w:rsidR="00F1111D" w:rsidRPr="00382917">
        <w:t>was</w:t>
      </w:r>
      <w:r w:rsidR="00EE4FC3">
        <w:t xml:space="preserve"> </w:t>
      </w:r>
      <w:r w:rsidR="00F1111D" w:rsidRPr="00382917">
        <w:t>fulfilled</w:t>
      </w:r>
      <w:r w:rsidR="00EE4FC3">
        <w:t xml:space="preserve"> </w:t>
      </w:r>
      <w:r w:rsidR="00F1111D" w:rsidRPr="00382917">
        <w:t>by</w:t>
      </w:r>
      <w:r w:rsidR="00EE4FC3">
        <w:t xml:space="preserve"> </w:t>
      </w:r>
      <w:r w:rsidR="00F1111D" w:rsidRPr="00382917">
        <w:t>the</w:t>
      </w:r>
      <w:r w:rsidR="00EE4FC3">
        <w:t xml:space="preserve"> </w:t>
      </w:r>
      <w:r w:rsidR="00F1111D" w:rsidRPr="00382917">
        <w:t>fourth</w:t>
      </w:r>
      <w:r w:rsidR="00EE4FC3">
        <w:t xml:space="preserve"> </w:t>
      </w:r>
      <w:r w:rsidR="00F1111D" w:rsidRPr="00382917">
        <w:t>decree.</w:t>
      </w:r>
    </w:p>
    <w:p w:rsidR="00F1111D" w:rsidRPr="00382917" w:rsidRDefault="00244241" w:rsidP="00244241">
      <w:pPr>
        <w:pStyle w:val="Bullet2ct"/>
      </w:pPr>
      <w:r w:rsidRPr="00382917">
        <w:t>4.</w:t>
      </w:r>
      <w:r w:rsidRPr="00382917">
        <w:tab/>
      </w:r>
      <w:r w:rsidR="00F1111D" w:rsidRPr="00382917">
        <w:t>Issued</w:t>
      </w:r>
      <w:r w:rsidR="00EE4FC3">
        <w:t xml:space="preserve"> </w:t>
      </w:r>
      <w:r w:rsidR="00F1111D" w:rsidRPr="00382917">
        <w:t>by</w:t>
      </w:r>
      <w:r w:rsidR="00EE4FC3">
        <w:t xml:space="preserve"> </w:t>
      </w:r>
      <w:r w:rsidR="00F1111D" w:rsidRPr="00382917">
        <w:t>the</w:t>
      </w:r>
      <w:r w:rsidR="00EE4FC3">
        <w:t xml:space="preserve"> </w:t>
      </w:r>
      <w:r w:rsidR="00F1111D" w:rsidRPr="00382917">
        <w:t>same</w:t>
      </w:r>
      <w:r w:rsidR="00EE4FC3">
        <w:t xml:space="preserve"> </w:t>
      </w:r>
      <w:r w:rsidR="00F1111D" w:rsidRPr="00382917">
        <w:t>Artaxerxes</w:t>
      </w:r>
      <w:r w:rsidR="00EE4FC3">
        <w:t xml:space="preserve"> </w:t>
      </w:r>
      <w:r w:rsidR="00F1111D" w:rsidRPr="00382917">
        <w:t>in</w:t>
      </w:r>
      <w:r w:rsidR="00EE4FC3">
        <w:t xml:space="preserve"> </w:t>
      </w:r>
      <w:r w:rsidR="00F1111D" w:rsidRPr="00382917">
        <w:t>the</w:t>
      </w:r>
      <w:r w:rsidR="00EE4FC3">
        <w:t xml:space="preserve"> </w:t>
      </w:r>
      <w:r w:rsidR="00F1111D" w:rsidRPr="00382917">
        <w:t>year</w:t>
      </w:r>
      <w:r w:rsidR="00EE4FC3">
        <w:t xml:space="preserve"> </w:t>
      </w:r>
      <w:r w:rsidR="00F1111D" w:rsidRPr="00382917">
        <w:t>444</w:t>
      </w:r>
      <w:r w:rsidR="00EE4FC3">
        <w:t xml:space="preserve"> </w:t>
      </w:r>
      <w:r w:rsidR="00F1111D" w:rsidRPr="00382917">
        <w:t>BCE</w:t>
      </w:r>
      <w:r w:rsidR="00552489">
        <w:t>.</w:t>
      </w:r>
      <w:r w:rsidR="00EE4FC3">
        <w:t xml:space="preserve">  </w:t>
      </w:r>
      <w:r w:rsidR="00F1111D" w:rsidRPr="00382917">
        <w:t>This</w:t>
      </w:r>
      <w:r w:rsidR="00EE4FC3">
        <w:t xml:space="preserve"> </w:t>
      </w:r>
      <w:r w:rsidR="00F1111D" w:rsidRPr="00382917">
        <w:t>is</w:t>
      </w:r>
      <w:r w:rsidR="00EE4FC3">
        <w:t xml:space="preserve"> </w:t>
      </w:r>
      <w:r w:rsidR="00F1111D" w:rsidRPr="00382917">
        <w:t>recorded</w:t>
      </w:r>
      <w:r w:rsidR="00EE4FC3">
        <w:t xml:space="preserve"> </w:t>
      </w:r>
      <w:r w:rsidR="00F1111D" w:rsidRPr="00382917">
        <w:t>in</w:t>
      </w:r>
      <w:r w:rsidR="00EE4FC3">
        <w:t xml:space="preserve"> </w:t>
      </w:r>
      <w:r w:rsidR="00F1111D" w:rsidRPr="00382917">
        <w:t>the</w:t>
      </w:r>
      <w:r w:rsidR="00EE4FC3">
        <w:t xml:space="preserve"> </w:t>
      </w:r>
      <w:r w:rsidR="00F1111D" w:rsidRPr="00382917">
        <w:t>second</w:t>
      </w:r>
      <w:r w:rsidR="00EE4FC3">
        <w:t xml:space="preserve"> </w:t>
      </w:r>
      <w:r w:rsidR="00F1111D" w:rsidRPr="00382917">
        <w:t>chapter</w:t>
      </w:r>
      <w:r w:rsidR="00EE4FC3">
        <w:t xml:space="preserve"> </w:t>
      </w:r>
      <w:r w:rsidR="00F1111D" w:rsidRPr="00382917">
        <w:t>of</w:t>
      </w:r>
      <w:r w:rsidR="00EE4FC3">
        <w:t xml:space="preserve"> </w:t>
      </w:r>
      <w:r w:rsidR="00F1111D" w:rsidRPr="00382917">
        <w:t>Nehemiah.</w:t>
      </w:r>
    </w:p>
    <w:p w:rsidR="00F1111D" w:rsidRPr="00382917" w:rsidRDefault="00F1111D" w:rsidP="00244241">
      <w:pPr>
        <w:pStyle w:val="Text"/>
      </w:pPr>
      <w:r w:rsidRPr="00382917">
        <w:t>The</w:t>
      </w:r>
      <w:r w:rsidR="00EE4FC3">
        <w:t xml:space="preserve"> </w:t>
      </w:r>
      <w:r w:rsidRPr="00382917">
        <w:t>scholars</w:t>
      </w:r>
      <w:r w:rsidR="00EE4FC3">
        <w:t xml:space="preserve"> </w:t>
      </w:r>
      <w:r w:rsidRPr="00382917">
        <w:t>of</w:t>
      </w:r>
      <w:r w:rsidR="00EE4FC3">
        <w:t xml:space="preserve"> </w:t>
      </w:r>
      <w:r w:rsidRPr="00382917">
        <w:t>Scripture</w:t>
      </w:r>
      <w:r w:rsidR="00EE4FC3">
        <w:t xml:space="preserve"> </w:t>
      </w:r>
      <w:r w:rsidRPr="00382917">
        <w:t>accepted</w:t>
      </w:r>
      <w:r w:rsidR="00EE4FC3">
        <w:t xml:space="preserve"> </w:t>
      </w:r>
      <w:r w:rsidRPr="00382917">
        <w:t>the</w:t>
      </w:r>
      <w:r w:rsidR="00EE4FC3">
        <w:t xml:space="preserve"> </w:t>
      </w:r>
      <w:r w:rsidRPr="00382917">
        <w:t>third</w:t>
      </w:r>
      <w:r w:rsidR="00EE4FC3">
        <w:t xml:space="preserve"> </w:t>
      </w:r>
      <w:r w:rsidRPr="00382917">
        <w:t>decree</w:t>
      </w:r>
      <w:r w:rsidR="00EE4FC3">
        <w:t xml:space="preserve"> </w:t>
      </w:r>
      <w:r w:rsidRPr="00382917">
        <w:t>of</w:t>
      </w:r>
      <w:r w:rsidR="00EE4FC3">
        <w:t xml:space="preserve"> </w:t>
      </w:r>
      <w:r w:rsidRPr="00382917">
        <w:t>Artaxerxes</w:t>
      </w:r>
      <w:r w:rsidR="00EE4FC3">
        <w:t xml:space="preserve"> </w:t>
      </w:r>
      <w:r w:rsidRPr="00382917">
        <w:t>as</w:t>
      </w:r>
      <w:r w:rsidR="00EE4FC3">
        <w:t xml:space="preserve"> </w:t>
      </w:r>
      <w:r w:rsidRPr="00382917">
        <w:t>the</w:t>
      </w:r>
      <w:r w:rsidR="00EE4FC3">
        <w:t xml:space="preserve"> </w:t>
      </w:r>
      <w:r w:rsidRPr="00382917">
        <w:t>one</w:t>
      </w:r>
      <w:r w:rsidR="00EE4FC3">
        <w:t xml:space="preserve"> </w:t>
      </w:r>
      <w:r w:rsidRPr="00382917">
        <w:t>prophesied</w:t>
      </w:r>
      <w:r w:rsidR="00EE4FC3">
        <w:t xml:space="preserve"> </w:t>
      </w:r>
      <w:r w:rsidRPr="00382917">
        <w:t>by</w:t>
      </w:r>
      <w:r w:rsidR="00EE4FC3">
        <w:t xml:space="preserve"> </w:t>
      </w:r>
      <w:r w:rsidRPr="00382917">
        <w:t>Daniel</w:t>
      </w:r>
      <w:r w:rsidR="00EE4FC3">
        <w:t xml:space="preserve"> </w:t>
      </w:r>
      <w:r w:rsidRPr="00382917">
        <w:t>inasmuch</w:t>
      </w:r>
      <w:r w:rsidR="00EE4FC3">
        <w:t xml:space="preserve"> </w:t>
      </w:r>
      <w:r w:rsidRPr="00382917">
        <w:t>as</w:t>
      </w:r>
      <w:r w:rsidR="00EE4FC3">
        <w:t xml:space="preserve"> </w:t>
      </w:r>
      <w:r w:rsidRPr="00382917">
        <w:t>the</w:t>
      </w:r>
      <w:r w:rsidR="00EE4FC3">
        <w:t xml:space="preserve"> </w:t>
      </w:r>
      <w:r w:rsidRPr="00382917">
        <w:t>fourth</w:t>
      </w:r>
      <w:r w:rsidR="00EE4FC3">
        <w:t xml:space="preserve"> </w:t>
      </w:r>
      <w:r w:rsidRPr="00382917">
        <w:t>decree</w:t>
      </w:r>
      <w:r w:rsidR="00EE4FC3">
        <w:t xml:space="preserve"> </w:t>
      </w:r>
      <w:r w:rsidRPr="00382917">
        <w:t>was</w:t>
      </w:r>
      <w:r w:rsidR="00EE4FC3">
        <w:t xml:space="preserve"> </w:t>
      </w:r>
      <w:r w:rsidRPr="00382917">
        <w:t>merely</w:t>
      </w:r>
      <w:r w:rsidR="00EE4FC3">
        <w:t xml:space="preserve"> </w:t>
      </w:r>
      <w:r w:rsidRPr="00382917">
        <w:t>an</w:t>
      </w:r>
      <w:r w:rsidR="00EE4FC3">
        <w:t xml:space="preserve"> </w:t>
      </w:r>
      <w:r w:rsidRPr="00382917">
        <w:t>extension</w:t>
      </w:r>
      <w:r w:rsidR="00EE4FC3">
        <w:t xml:space="preserve"> </w:t>
      </w:r>
      <w:r w:rsidRPr="00382917">
        <w:t>of</w:t>
      </w:r>
      <w:r w:rsidR="00EE4FC3">
        <w:t xml:space="preserve"> </w:t>
      </w:r>
      <w:r w:rsidRPr="00382917">
        <w:t>the</w:t>
      </w:r>
      <w:r w:rsidR="00EE4FC3">
        <w:t xml:space="preserve"> </w:t>
      </w:r>
      <w:r w:rsidRPr="00382917">
        <w:t>third</w:t>
      </w:r>
      <w:r w:rsidR="00552489">
        <w:t>.</w:t>
      </w:r>
      <w:r w:rsidR="00EE4FC3">
        <w:t xml:space="preserve">  </w:t>
      </w:r>
      <w:r w:rsidRPr="00382917">
        <w:t>Therefore,</w:t>
      </w:r>
      <w:r w:rsidR="00EE4FC3">
        <w:t xml:space="preserve"> </w:t>
      </w:r>
      <w:r w:rsidRPr="00382917">
        <w:t>this</w:t>
      </w:r>
      <w:r w:rsidR="00EE4FC3">
        <w:t xml:space="preserve"> </w:t>
      </w:r>
      <w:r w:rsidRPr="00382917">
        <w:t>prophecy</w:t>
      </w:r>
      <w:r w:rsidR="00EE4FC3">
        <w:t xml:space="preserve"> </w:t>
      </w:r>
      <w:r w:rsidRPr="00382917">
        <w:t>of</w:t>
      </w:r>
      <w:r w:rsidR="00EE4FC3">
        <w:t xml:space="preserve"> </w:t>
      </w:r>
      <w:r w:rsidRPr="00382917">
        <w:t>Daniel</w:t>
      </w:r>
      <w:r w:rsidR="00EE4FC3">
        <w:t xml:space="preserve"> </w:t>
      </w:r>
      <w:r w:rsidRPr="00382917">
        <w:t>could</w:t>
      </w:r>
      <w:r w:rsidR="00EE4FC3">
        <w:t xml:space="preserve"> </w:t>
      </w:r>
      <w:r w:rsidRPr="00382917">
        <w:t>now</w:t>
      </w:r>
      <w:r w:rsidR="00EE4FC3">
        <w:t xml:space="preserve"> </w:t>
      </w:r>
      <w:r w:rsidRPr="00382917">
        <w:t>be</w:t>
      </w:r>
      <w:r w:rsidR="00EE4FC3">
        <w:t xml:space="preserve"> </w:t>
      </w:r>
      <w:r w:rsidRPr="00382917">
        <w:t>stated</w:t>
      </w:r>
      <w:r w:rsidR="00EE4FC3">
        <w:t xml:space="preserve"> </w:t>
      </w:r>
      <w:r w:rsidRPr="00382917">
        <w:t>thus:</w:t>
      </w:r>
    </w:p>
    <w:p w:rsidR="00F1111D" w:rsidRPr="00382917" w:rsidRDefault="00F1111D" w:rsidP="00AE4713">
      <w:pPr>
        <w:pStyle w:val="Text"/>
      </w:pPr>
      <w:r w:rsidRPr="00382917">
        <w:t>From</w:t>
      </w:r>
      <w:r w:rsidR="00EE4FC3">
        <w:t xml:space="preserve"> </w:t>
      </w:r>
      <w:r w:rsidRPr="00382917">
        <w:t>the</w:t>
      </w:r>
      <w:r w:rsidR="00EE4FC3">
        <w:t xml:space="preserve"> </w:t>
      </w:r>
      <w:r w:rsidRPr="00382917">
        <w:t>issuing</w:t>
      </w:r>
      <w:r w:rsidR="00EE4FC3">
        <w:t xml:space="preserve"> </w:t>
      </w:r>
      <w:r w:rsidRPr="00382917">
        <w:t>of</w:t>
      </w:r>
      <w:r w:rsidR="00EE4FC3">
        <w:t xml:space="preserve"> </w:t>
      </w:r>
      <w:r w:rsidRPr="00382917">
        <w:t>the</w:t>
      </w:r>
      <w:r w:rsidR="00EE4FC3">
        <w:t xml:space="preserve"> </w:t>
      </w:r>
      <w:r w:rsidRPr="00382917">
        <w:t>decree</w:t>
      </w:r>
      <w:r w:rsidR="00EE4FC3">
        <w:t xml:space="preserve"> </w:t>
      </w:r>
      <w:r w:rsidRPr="00382917">
        <w:t>of</w:t>
      </w:r>
      <w:r w:rsidR="00EE4FC3">
        <w:t xml:space="preserve"> </w:t>
      </w:r>
      <w:r w:rsidRPr="00382917">
        <w:t>Artaxerxes</w:t>
      </w:r>
      <w:r w:rsidR="00EE4FC3">
        <w:t xml:space="preserve"> </w:t>
      </w:r>
      <w:r w:rsidRPr="00382917">
        <w:t>in</w:t>
      </w:r>
      <w:r w:rsidR="00EE4FC3">
        <w:t xml:space="preserve"> </w:t>
      </w:r>
      <w:r w:rsidRPr="00382917">
        <w:t>the</w:t>
      </w:r>
      <w:r w:rsidR="00EE4FC3">
        <w:t xml:space="preserve"> </w:t>
      </w:r>
      <w:r w:rsidRPr="00382917">
        <w:t>year</w:t>
      </w:r>
      <w:r w:rsidR="00EE4FC3">
        <w:t xml:space="preserve"> </w:t>
      </w:r>
      <w:r w:rsidRPr="00382917">
        <w:t>457</w:t>
      </w:r>
      <w:r w:rsidR="00EE4FC3">
        <w:t xml:space="preserve"> </w:t>
      </w:r>
      <w:r w:rsidRPr="00382917">
        <w:t>BCE</w:t>
      </w:r>
      <w:r w:rsidR="00EE4FC3">
        <w:t xml:space="preserve"> </w:t>
      </w:r>
      <w:r w:rsidRPr="00382917">
        <w:t>until</w:t>
      </w:r>
      <w:r w:rsidR="00EE4FC3">
        <w:t xml:space="preserve"> </w:t>
      </w:r>
      <w:r w:rsidRPr="00382917">
        <w:t>the</w:t>
      </w:r>
      <w:r w:rsidR="00EE4FC3">
        <w:t xml:space="preserve"> </w:t>
      </w:r>
      <w:r w:rsidRPr="00382917">
        <w:t>time</w:t>
      </w:r>
      <w:r w:rsidR="00EE4FC3">
        <w:t xml:space="preserve"> </w:t>
      </w:r>
      <w:r w:rsidRPr="00382917">
        <w:t>of</w:t>
      </w:r>
      <w:r w:rsidR="00EE4FC3">
        <w:t xml:space="preserve"> </w:t>
      </w:r>
      <w:r w:rsidRPr="00382917">
        <w:t>the</w:t>
      </w:r>
      <w:r w:rsidR="00EE4FC3">
        <w:t xml:space="preserve"> </w:t>
      </w:r>
      <w:r w:rsidRPr="00382917">
        <w:t>crucifixion</w:t>
      </w:r>
      <w:r w:rsidR="00EE4FC3">
        <w:t xml:space="preserve"> </w:t>
      </w:r>
      <w:r w:rsidRPr="00382917">
        <w:t>of</w:t>
      </w:r>
      <w:r w:rsidR="00EE4FC3">
        <w:t xml:space="preserve"> </w:t>
      </w:r>
      <w:r w:rsidRPr="00382917">
        <w:t>Christ</w:t>
      </w:r>
      <w:r w:rsidR="00EE4FC3">
        <w:t xml:space="preserve"> </w:t>
      </w:r>
      <w:r w:rsidRPr="00382917">
        <w:t>there</w:t>
      </w:r>
      <w:r w:rsidR="00EE4FC3">
        <w:t xml:space="preserve"> </w:t>
      </w:r>
      <w:r w:rsidRPr="00382917">
        <w:t>would</w:t>
      </w:r>
      <w:r w:rsidR="00EE4FC3">
        <w:t xml:space="preserve"> </w:t>
      </w:r>
      <w:r w:rsidRPr="00382917">
        <w:t>be</w:t>
      </w:r>
      <w:r w:rsidR="00EE4FC3">
        <w:t xml:space="preserve"> </w:t>
      </w:r>
      <w:r w:rsidRPr="00382917">
        <w:t>appointed</w:t>
      </w:r>
      <w:r w:rsidR="00EE4FC3">
        <w:t xml:space="preserve"> </w:t>
      </w:r>
      <w:r w:rsidRPr="00382917">
        <w:t>70</w:t>
      </w:r>
      <w:r w:rsidR="00EE4FC3">
        <w:t xml:space="preserve"> </w:t>
      </w:r>
      <w:r w:rsidRPr="00382917">
        <w:t>weeks</w:t>
      </w:r>
      <w:r w:rsidR="00EE4FC3">
        <w:t xml:space="preserve"> </w:t>
      </w:r>
      <w:r w:rsidRPr="00382917">
        <w:t>(or</w:t>
      </w:r>
      <w:r w:rsidR="00EE4FC3">
        <w:t xml:space="preserve"> </w:t>
      </w:r>
      <w:r w:rsidRPr="00382917">
        <w:t>490</w:t>
      </w:r>
      <w:r w:rsidR="00EE4FC3">
        <w:t xml:space="preserve"> </w:t>
      </w:r>
      <w:r w:rsidRPr="00382917">
        <w:t>days)</w:t>
      </w:r>
      <w:r w:rsidR="00552489">
        <w:t>.</w:t>
      </w:r>
      <w:r w:rsidR="00EE4FC3">
        <w:t xml:space="preserve">  </w:t>
      </w:r>
      <w:r w:rsidRPr="00382917">
        <w:t>70</w:t>
      </w:r>
      <w:r w:rsidR="00EE4FC3">
        <w:t xml:space="preserve"> </w:t>
      </w:r>
      <w:r w:rsidRPr="00382917">
        <w:t>weeks</w:t>
      </w:r>
      <w:r w:rsidR="00EE4FC3">
        <w:t xml:space="preserve"> </w:t>
      </w:r>
      <w:r w:rsidRPr="00382917">
        <w:t>equal</w:t>
      </w:r>
      <w:r w:rsidR="00EE4FC3">
        <w:t xml:space="preserve"> </w:t>
      </w:r>
      <w:r w:rsidRPr="00382917">
        <w:t>490</w:t>
      </w:r>
      <w:r w:rsidR="00EE4FC3">
        <w:t xml:space="preserve"> </w:t>
      </w:r>
      <w:r w:rsidRPr="00382917">
        <w:t>days</w:t>
      </w:r>
      <w:r w:rsidR="00552489">
        <w:t>.</w:t>
      </w:r>
      <w:r w:rsidR="00EE4FC3">
        <w:t xml:space="preserve">  </w:t>
      </w:r>
      <w:r w:rsidRPr="00382917">
        <w:t>By</w:t>
      </w:r>
      <w:r w:rsidR="00EE4FC3">
        <w:t xml:space="preserve"> </w:t>
      </w:r>
      <w:r w:rsidRPr="00382917">
        <w:t>the</w:t>
      </w:r>
      <w:r w:rsidR="00EE4FC3">
        <w:t xml:space="preserve"> </w:t>
      </w:r>
      <w:r w:rsidRPr="00382917">
        <w:t>use</w:t>
      </w:r>
      <w:r w:rsidR="00EE4FC3">
        <w:t xml:space="preserve"> </w:t>
      </w:r>
      <w:r w:rsidRPr="00382917">
        <w:t>of</w:t>
      </w:r>
      <w:r w:rsidR="00EE4FC3">
        <w:t xml:space="preserve"> </w:t>
      </w:r>
      <w:r w:rsidRPr="00382917">
        <w:t>our</w:t>
      </w:r>
      <w:r w:rsidR="00EE4FC3">
        <w:t xml:space="preserve"> </w:t>
      </w:r>
      <w:r w:rsidRPr="00382917">
        <w:t>measure</w:t>
      </w:r>
      <w:r w:rsidR="00EE4FC3">
        <w:t xml:space="preserve"> </w:t>
      </w:r>
      <w:r w:rsidRPr="00382917">
        <w:t>of</w:t>
      </w:r>
      <w:r w:rsidR="00EE4FC3">
        <w:t xml:space="preserve"> </w:t>
      </w:r>
      <w:r w:rsidRPr="00382917">
        <w:t>prophecy,</w:t>
      </w:r>
      <w:r w:rsidR="00EE4FC3">
        <w:t xml:space="preserve"> </w:t>
      </w:r>
      <w:r w:rsidRPr="00382917">
        <w:t>a</w:t>
      </w:r>
      <w:r w:rsidR="00EE4FC3">
        <w:t xml:space="preserve"> </w:t>
      </w:r>
      <w:r w:rsidR="009C713D" w:rsidRPr="00382917">
        <w:t>“</w:t>
      </w:r>
      <w:r w:rsidRPr="00382917">
        <w:t>day</w:t>
      </w:r>
      <w:r w:rsidR="009C713D" w:rsidRPr="00382917">
        <w:t>”</w:t>
      </w:r>
      <w:r w:rsidR="00EE4FC3">
        <w:t xml:space="preserve"> </w:t>
      </w:r>
      <w:r w:rsidRPr="00382917">
        <w:t>for</w:t>
      </w:r>
      <w:r w:rsidR="00EE4FC3">
        <w:t xml:space="preserve"> </w:t>
      </w:r>
      <w:r w:rsidRPr="00382917">
        <w:t>a</w:t>
      </w:r>
      <w:r w:rsidR="00EE4FC3">
        <w:t xml:space="preserve"> </w:t>
      </w:r>
      <w:r w:rsidR="009C713D" w:rsidRPr="00382917">
        <w:t>“</w:t>
      </w:r>
      <w:r w:rsidRPr="00382917">
        <w:t>year</w:t>
      </w:r>
      <w:r w:rsidR="009C713D" w:rsidRPr="00382917">
        <w:t>”</w:t>
      </w:r>
      <w:r w:rsidR="00AE4713">
        <w:t>,</w:t>
      </w:r>
      <w:r w:rsidR="00EE4FC3">
        <w:t xml:space="preserve"> </w:t>
      </w:r>
      <w:r w:rsidRPr="00382917">
        <w:t>490</w:t>
      </w:r>
      <w:r w:rsidR="00EE4FC3">
        <w:t xml:space="preserve"> </w:t>
      </w:r>
      <w:r w:rsidRPr="00382917">
        <w:t>days</w:t>
      </w:r>
      <w:r w:rsidR="00EE4FC3">
        <w:t xml:space="preserve"> </w:t>
      </w:r>
      <w:proofErr w:type="gramStart"/>
      <w:r w:rsidRPr="00382917">
        <w:t>become</w:t>
      </w:r>
      <w:proofErr w:type="gramEnd"/>
      <w:r w:rsidR="00EE4FC3">
        <w:t xml:space="preserve"> </w:t>
      </w:r>
      <w:r w:rsidRPr="00382917">
        <w:t>490</w:t>
      </w:r>
      <w:r w:rsidR="00EE4FC3">
        <w:t xml:space="preserve"> </w:t>
      </w:r>
      <w:r w:rsidRPr="00382917">
        <w:t>years</w:t>
      </w:r>
      <w:r w:rsidR="00552489">
        <w:t>.</w:t>
      </w:r>
      <w:r w:rsidR="00EE4FC3">
        <w:t xml:space="preserve">  </w:t>
      </w:r>
      <w:r w:rsidRPr="00382917">
        <w:t>Therefore,</w:t>
      </w:r>
      <w:r w:rsidR="00EE4FC3">
        <w:t xml:space="preserve"> </w:t>
      </w:r>
      <w:r w:rsidRPr="00382917">
        <w:t>from</w:t>
      </w:r>
      <w:r w:rsidR="00EE4FC3">
        <w:t xml:space="preserve"> </w:t>
      </w:r>
      <w:r w:rsidRPr="00382917">
        <w:t>the</w:t>
      </w:r>
      <w:r w:rsidR="00EE4FC3">
        <w:t xml:space="preserve"> </w:t>
      </w:r>
      <w:r w:rsidRPr="00382917">
        <w:t>issuing</w:t>
      </w:r>
      <w:r w:rsidR="00EE4FC3">
        <w:t xml:space="preserve"> </w:t>
      </w:r>
      <w:r w:rsidRPr="00382917">
        <w:t>of</w:t>
      </w:r>
      <w:r w:rsidR="00EE4FC3">
        <w:t xml:space="preserve"> </w:t>
      </w:r>
      <w:r w:rsidRPr="00382917">
        <w:t>the</w:t>
      </w:r>
      <w:r w:rsidR="00EE4FC3">
        <w:t xml:space="preserve"> </w:t>
      </w:r>
      <w:r w:rsidRPr="00382917">
        <w:t>decree</w:t>
      </w:r>
      <w:r w:rsidR="00EE4FC3">
        <w:t xml:space="preserve"> </w:t>
      </w:r>
      <w:r w:rsidRPr="00382917">
        <w:t>until</w:t>
      </w:r>
      <w:r w:rsidR="00EE4FC3">
        <w:t xml:space="preserve"> </w:t>
      </w:r>
      <w:r w:rsidRPr="00382917">
        <w:t>the</w:t>
      </w:r>
      <w:r w:rsidR="00EE4FC3">
        <w:t xml:space="preserve"> </w:t>
      </w:r>
      <w:r w:rsidRPr="00382917">
        <w:t>crucifixion</w:t>
      </w:r>
      <w:r w:rsidR="00EE4FC3">
        <w:t xml:space="preserve"> </w:t>
      </w:r>
      <w:r w:rsidRPr="00382917">
        <w:t>on</w:t>
      </w:r>
      <w:r w:rsidR="00EE4FC3">
        <w:t xml:space="preserve"> </w:t>
      </w:r>
      <w:r w:rsidRPr="00382917">
        <w:t>Calvary</w:t>
      </w:r>
      <w:r w:rsidR="00EE4FC3">
        <w:t xml:space="preserve"> </w:t>
      </w:r>
      <w:r w:rsidRPr="00382917">
        <w:t>there</w:t>
      </w:r>
      <w:r w:rsidR="00EE4FC3">
        <w:t xml:space="preserve"> </w:t>
      </w:r>
      <w:r w:rsidRPr="00382917">
        <w:t>would</w:t>
      </w:r>
      <w:r w:rsidR="00EE4FC3">
        <w:t xml:space="preserve"> </w:t>
      </w:r>
      <w:r w:rsidRPr="00382917">
        <w:t>be</w:t>
      </w:r>
      <w:r w:rsidR="00EE4FC3">
        <w:t xml:space="preserve"> </w:t>
      </w:r>
      <w:r w:rsidRPr="00382917">
        <w:t>490</w:t>
      </w:r>
      <w:r w:rsidR="00EE4FC3">
        <w:t xml:space="preserve"> </w:t>
      </w:r>
      <w:r w:rsidRPr="00382917">
        <w:t>years</w:t>
      </w:r>
      <w:r w:rsidR="00EE4FC3">
        <w:t xml:space="preserve"> </w:t>
      </w:r>
      <w:r w:rsidRPr="00382917">
        <w:t>according</w:t>
      </w:r>
      <w:r w:rsidR="00EE4FC3">
        <w:t xml:space="preserve"> </w:t>
      </w:r>
      <w:r w:rsidRPr="00382917">
        <w:t>to</w:t>
      </w:r>
      <w:r w:rsidR="00EE4FC3">
        <w:t xml:space="preserve"> </w:t>
      </w:r>
      <w:r w:rsidRPr="00382917">
        <w:t>Daniel</w:t>
      </w:r>
      <w:r w:rsidR="009C713D" w:rsidRPr="00382917">
        <w:t>’</w:t>
      </w:r>
      <w:r w:rsidRPr="00382917">
        <w:t>s</w:t>
      </w:r>
      <w:r w:rsidR="00EE4FC3">
        <w:t xml:space="preserve"> </w:t>
      </w:r>
      <w:r w:rsidRPr="00382917">
        <w:t>prophecy.</w:t>
      </w:r>
    </w:p>
    <w:p w:rsidR="00F1111D" w:rsidRPr="00382917" w:rsidRDefault="00F1111D" w:rsidP="00244241">
      <w:pPr>
        <w:pStyle w:val="Text"/>
      </w:pPr>
      <w:r w:rsidRPr="00382917">
        <w:t>It</w:t>
      </w:r>
      <w:r w:rsidR="00EE4FC3">
        <w:t xml:space="preserve"> </w:t>
      </w:r>
      <w:r w:rsidRPr="00382917">
        <w:t>has</w:t>
      </w:r>
      <w:r w:rsidR="00EE4FC3">
        <w:t xml:space="preserve"> </w:t>
      </w:r>
      <w:r w:rsidRPr="00382917">
        <w:t>been</w:t>
      </w:r>
      <w:r w:rsidR="00EE4FC3">
        <w:t xml:space="preserve"> </w:t>
      </w:r>
      <w:r w:rsidRPr="00382917">
        <w:t>clear</w:t>
      </w:r>
      <w:r w:rsidR="00EE4FC3">
        <w:t xml:space="preserve"> </w:t>
      </w:r>
      <w:r w:rsidRPr="00382917">
        <w:t>to</w:t>
      </w:r>
      <w:r w:rsidR="00EE4FC3">
        <w:t xml:space="preserve"> </w:t>
      </w:r>
      <w:r w:rsidRPr="00382917">
        <w:t>scholars</w:t>
      </w:r>
      <w:r w:rsidR="00EE4FC3">
        <w:t xml:space="preserve"> </w:t>
      </w:r>
      <w:r w:rsidRPr="00382917">
        <w:t>that</w:t>
      </w:r>
      <w:r w:rsidR="00EE4FC3">
        <w:t xml:space="preserve"> </w:t>
      </w:r>
      <w:r w:rsidRPr="00382917">
        <w:t>the</w:t>
      </w:r>
      <w:r w:rsidR="00EE4FC3">
        <w:t xml:space="preserve"> </w:t>
      </w:r>
      <w:r w:rsidRPr="00382917">
        <w:t>time</w:t>
      </w:r>
      <w:r w:rsidR="00EE4FC3">
        <w:t xml:space="preserve"> </w:t>
      </w:r>
      <w:r w:rsidRPr="00382917">
        <w:t>of</w:t>
      </w:r>
      <w:r w:rsidR="00EE4FC3">
        <w:t xml:space="preserve"> </w:t>
      </w:r>
      <w:r w:rsidRPr="00382917">
        <w:t>the</w:t>
      </w:r>
      <w:r w:rsidR="00EE4FC3">
        <w:t xml:space="preserve"> </w:t>
      </w:r>
      <w:r w:rsidRPr="00382917">
        <w:t>first</w:t>
      </w:r>
      <w:r w:rsidR="00EE4FC3">
        <w:t xml:space="preserve"> </w:t>
      </w:r>
      <w:r w:rsidRPr="00382917">
        <w:t>coming</w:t>
      </w:r>
      <w:r w:rsidR="00EE4FC3">
        <w:t xml:space="preserve"> </w:t>
      </w:r>
      <w:r w:rsidRPr="00382917">
        <w:t>of</w:t>
      </w:r>
      <w:r w:rsidR="00EE4FC3">
        <w:t xml:space="preserve"> </w:t>
      </w:r>
      <w:r w:rsidRPr="00382917">
        <w:t>Christ</w:t>
      </w:r>
      <w:r w:rsidR="00EE4FC3">
        <w:t xml:space="preserve"> </w:t>
      </w:r>
      <w:r w:rsidRPr="00382917">
        <w:t>was</w:t>
      </w:r>
      <w:r w:rsidR="00EE4FC3">
        <w:t xml:space="preserve"> </w:t>
      </w:r>
      <w:r w:rsidRPr="00382917">
        <w:t>foretold</w:t>
      </w:r>
      <w:r w:rsidR="00EE4FC3">
        <w:t xml:space="preserve"> </w:t>
      </w:r>
      <w:r w:rsidRPr="00382917">
        <w:t>by</w:t>
      </w:r>
      <w:r w:rsidR="00EE4FC3">
        <w:t xml:space="preserve"> </w:t>
      </w:r>
      <w:r w:rsidRPr="00382917">
        <w:t>Daniel</w:t>
      </w:r>
      <w:r w:rsidR="00EE4FC3">
        <w:t xml:space="preserve"> </w:t>
      </w:r>
      <w:r w:rsidRPr="00382917">
        <w:t>with</w:t>
      </w:r>
      <w:r w:rsidR="00EE4FC3">
        <w:t xml:space="preserve"> </w:t>
      </w:r>
      <w:r w:rsidRPr="00382917">
        <w:t>amazing</w:t>
      </w:r>
      <w:r w:rsidR="00EE4FC3">
        <w:t xml:space="preserve"> </w:t>
      </w:r>
      <w:r w:rsidRPr="00382917">
        <w:t>accuracy</w:t>
      </w:r>
      <w:r w:rsidR="00552489">
        <w:t>.</w:t>
      </w:r>
      <w:r w:rsidR="00EE4FC3">
        <w:t xml:space="preserve">  </w:t>
      </w:r>
      <w:r w:rsidRPr="00382917">
        <w:t>No</w:t>
      </w:r>
      <w:r w:rsidR="00EE4FC3">
        <w:t xml:space="preserve"> </w:t>
      </w:r>
      <w:r w:rsidRPr="00382917">
        <w:t>wonder</w:t>
      </w:r>
      <w:r w:rsidR="00EE4FC3">
        <w:t xml:space="preserve"> </w:t>
      </w:r>
      <w:r w:rsidRPr="00382917">
        <w:t>Christ</w:t>
      </w:r>
      <w:r w:rsidR="00EE4FC3">
        <w:t xml:space="preserve"> </w:t>
      </w:r>
      <w:r w:rsidRPr="00382917">
        <w:t>Himself</w:t>
      </w:r>
      <w:r w:rsidR="00EE4FC3">
        <w:t xml:space="preserve"> </w:t>
      </w:r>
      <w:r w:rsidRPr="00382917">
        <w:t>was</w:t>
      </w:r>
      <w:r w:rsidR="00EE4FC3">
        <w:t xml:space="preserve"> </w:t>
      </w:r>
      <w:r w:rsidRPr="00382917">
        <w:t>so</w:t>
      </w:r>
      <w:r w:rsidR="00EE4FC3">
        <w:t xml:space="preserve"> </w:t>
      </w:r>
      <w:r w:rsidRPr="00382917">
        <w:t>emphatic</w:t>
      </w:r>
      <w:r w:rsidR="00EE4FC3">
        <w:t xml:space="preserve"> </w:t>
      </w:r>
      <w:r w:rsidRPr="00382917">
        <w:t>about</w:t>
      </w:r>
      <w:r w:rsidR="00EE4FC3">
        <w:t xml:space="preserve"> </w:t>
      </w:r>
      <w:r w:rsidRPr="00382917">
        <w:t>Daniel</w:t>
      </w:r>
      <w:r w:rsidR="009C713D" w:rsidRPr="00382917">
        <w:t>’</w:t>
      </w:r>
      <w:r w:rsidRPr="00382917">
        <w:t>s</w:t>
      </w:r>
      <w:r w:rsidR="00EE4FC3">
        <w:t xml:space="preserve"> </w:t>
      </w:r>
      <w:r w:rsidRPr="00382917">
        <w:t>prophecy</w:t>
      </w:r>
      <w:r w:rsidR="00552489">
        <w:t>.</w:t>
      </w:r>
      <w:r w:rsidR="00EE4FC3">
        <w:t xml:space="preserve">  </w:t>
      </w:r>
      <w:r w:rsidRPr="00382917">
        <w:t>What</w:t>
      </w:r>
      <w:r w:rsidR="00EE4FC3">
        <w:t xml:space="preserve"> </w:t>
      </w:r>
      <w:r w:rsidRPr="00382917">
        <w:t>of</w:t>
      </w:r>
      <w:r w:rsidR="00EE4FC3">
        <w:t xml:space="preserve"> </w:t>
      </w:r>
      <w:r w:rsidRPr="00382917">
        <w:t>His</w:t>
      </w:r>
      <w:r w:rsidR="00EE4FC3">
        <w:t xml:space="preserve"> </w:t>
      </w:r>
      <w:r w:rsidRPr="00382917">
        <w:t>second</w:t>
      </w:r>
      <w:r w:rsidR="00EE4FC3">
        <w:t xml:space="preserve"> </w:t>
      </w:r>
      <w:r w:rsidRPr="00382917">
        <w:t>coming</w:t>
      </w:r>
      <w:r w:rsidR="003C712C">
        <w:t xml:space="preserve">?  </w:t>
      </w:r>
      <w:r w:rsidRPr="00382917">
        <w:t>Christ</w:t>
      </w:r>
      <w:r w:rsidR="00EE4FC3">
        <w:t xml:space="preserve"> </w:t>
      </w:r>
      <w:r w:rsidRPr="00382917">
        <w:t>promised</w:t>
      </w:r>
      <w:r w:rsidR="00EE4FC3">
        <w:t xml:space="preserve"> </w:t>
      </w:r>
      <w:r w:rsidRPr="00382917">
        <w:t>that</w:t>
      </w:r>
      <w:r w:rsidR="00EE4FC3">
        <w:t xml:space="preserve"> </w:t>
      </w:r>
      <w:r w:rsidRPr="00382917">
        <w:t>He</w:t>
      </w:r>
      <w:r w:rsidR="00EE4FC3">
        <w:t xml:space="preserve"> </w:t>
      </w:r>
      <w:r w:rsidRPr="00382917">
        <w:t>would</w:t>
      </w:r>
      <w:r w:rsidR="00EE4FC3">
        <w:t xml:space="preserve"> </w:t>
      </w:r>
      <w:r w:rsidRPr="00382917">
        <w:t>return</w:t>
      </w:r>
      <w:r w:rsidR="00EE4FC3">
        <w:t xml:space="preserve"> </w:t>
      </w:r>
      <w:r w:rsidRPr="00382917">
        <w:t>when</w:t>
      </w:r>
      <w:r w:rsidR="00EE4FC3">
        <w:t xml:space="preserve"> </w:t>
      </w:r>
      <w:r w:rsidRPr="00382917">
        <w:t>Daniel</w:t>
      </w:r>
      <w:r w:rsidR="009C713D" w:rsidRPr="00382917">
        <w:t>’</w:t>
      </w:r>
      <w:r w:rsidRPr="00382917">
        <w:t>s</w:t>
      </w:r>
      <w:r w:rsidR="00EE4FC3">
        <w:t xml:space="preserve"> </w:t>
      </w:r>
      <w:r w:rsidRPr="00382917">
        <w:t>prophecy</w:t>
      </w:r>
      <w:r w:rsidR="00EE4FC3">
        <w:t xml:space="preserve"> </w:t>
      </w:r>
      <w:r w:rsidRPr="00382917">
        <w:t>came</w:t>
      </w:r>
      <w:r w:rsidR="00EE4FC3">
        <w:t xml:space="preserve"> </w:t>
      </w:r>
      <w:r w:rsidRPr="00382917">
        <w:t>to</w:t>
      </w:r>
      <w:r w:rsidR="00EE4FC3">
        <w:t xml:space="preserve"> </w:t>
      </w:r>
      <w:r w:rsidRPr="00382917">
        <w:t>pass.</w:t>
      </w:r>
    </w:p>
    <w:p w:rsidR="00F1111D" w:rsidRPr="00382917" w:rsidRDefault="00F1111D" w:rsidP="00244241">
      <w:pPr>
        <w:pStyle w:val="Text"/>
      </w:pPr>
      <w:r w:rsidRPr="00382917">
        <w:t>These</w:t>
      </w:r>
      <w:r w:rsidR="00EE4FC3">
        <w:t xml:space="preserve"> </w:t>
      </w:r>
      <w:r w:rsidRPr="00382917">
        <w:t>are</w:t>
      </w:r>
      <w:r w:rsidR="00EE4FC3">
        <w:t xml:space="preserve"> </w:t>
      </w:r>
      <w:r w:rsidRPr="00382917">
        <w:t>the</w:t>
      </w:r>
      <w:r w:rsidR="00EE4FC3">
        <w:t xml:space="preserve"> </w:t>
      </w:r>
      <w:r w:rsidRPr="00382917">
        <w:t>words</w:t>
      </w:r>
      <w:r w:rsidR="00EE4FC3">
        <w:t xml:space="preserve"> </w:t>
      </w:r>
      <w:r w:rsidRPr="00382917">
        <w:t>spoken</w:t>
      </w:r>
      <w:r w:rsidR="00EE4FC3">
        <w:t xml:space="preserve"> </w:t>
      </w:r>
      <w:r w:rsidRPr="00382917">
        <w:t>by</w:t>
      </w:r>
      <w:r w:rsidR="00EE4FC3">
        <w:t xml:space="preserve"> </w:t>
      </w:r>
      <w:r w:rsidRPr="00382917">
        <w:t>Daniel:</w:t>
      </w:r>
    </w:p>
    <w:p w:rsidR="00F1111D" w:rsidRPr="00382917" w:rsidRDefault="009C713D" w:rsidP="00AE4713">
      <w:pPr>
        <w:pStyle w:val="Quote"/>
      </w:pPr>
      <w:r w:rsidRPr="00382917">
        <w:t>“</w:t>
      </w:r>
      <w:r w:rsidR="00F1111D" w:rsidRPr="00382917">
        <w:t>How</w:t>
      </w:r>
      <w:r w:rsidR="00EE4FC3">
        <w:t xml:space="preserve"> </w:t>
      </w:r>
      <w:r w:rsidR="00F1111D" w:rsidRPr="00382917">
        <w:t>long</w:t>
      </w:r>
      <w:r w:rsidR="00EE4FC3">
        <w:t xml:space="preserve"> </w:t>
      </w:r>
      <w:r w:rsidR="00F1111D" w:rsidRPr="00382917">
        <w:t>shall</w:t>
      </w:r>
      <w:r w:rsidR="00EE4FC3">
        <w:t xml:space="preserve"> </w:t>
      </w:r>
      <w:r w:rsidR="00F1111D" w:rsidRPr="00382917">
        <w:t>be</w:t>
      </w:r>
      <w:r w:rsidR="00EE4FC3">
        <w:t xml:space="preserve"> </w:t>
      </w:r>
      <w:r w:rsidR="00F1111D" w:rsidRPr="00382917">
        <w:t>the</w:t>
      </w:r>
      <w:r w:rsidR="00EE4FC3">
        <w:t xml:space="preserve"> </w:t>
      </w:r>
      <w:r w:rsidR="00F1111D" w:rsidRPr="00382917">
        <w:t>vision</w:t>
      </w:r>
      <w:r w:rsidR="00EE4FC3">
        <w:t xml:space="preserve"> </w:t>
      </w:r>
      <w:r w:rsidR="00F1111D" w:rsidRPr="00382917">
        <w:t>concerning</w:t>
      </w:r>
      <w:r w:rsidR="00EE4FC3">
        <w:t xml:space="preserve"> </w:t>
      </w:r>
      <w:r w:rsidR="00F1111D" w:rsidRPr="00382917">
        <w:t>the</w:t>
      </w:r>
      <w:r w:rsidR="00EE4FC3">
        <w:t xml:space="preserve"> </w:t>
      </w:r>
      <w:r w:rsidR="00F1111D" w:rsidRPr="00382917">
        <w:t>daily</w:t>
      </w:r>
      <w:r w:rsidR="00EE4FC3">
        <w:t xml:space="preserve"> </w:t>
      </w:r>
      <w:r w:rsidR="00F1111D" w:rsidRPr="00382917">
        <w:t>sacrifice,</w:t>
      </w:r>
      <w:r w:rsidR="00EE4FC3">
        <w:t xml:space="preserve"> </w:t>
      </w:r>
      <w:r w:rsidR="00F1111D" w:rsidRPr="00382917">
        <w:t>and</w:t>
      </w:r>
      <w:r w:rsidR="00EE4FC3">
        <w:t xml:space="preserve"> </w:t>
      </w:r>
      <w:r w:rsidR="00F1111D" w:rsidRPr="00382917">
        <w:t>the</w:t>
      </w:r>
      <w:r w:rsidR="00EE4FC3">
        <w:t xml:space="preserve"> </w:t>
      </w:r>
      <w:r w:rsidR="00F1111D" w:rsidRPr="00382917">
        <w:t>abomination</w:t>
      </w:r>
      <w:r w:rsidR="00EE4FC3">
        <w:t xml:space="preserve"> </w:t>
      </w:r>
      <w:r w:rsidR="00F1111D" w:rsidRPr="00382917">
        <w:t>of</w:t>
      </w:r>
      <w:r w:rsidR="00EE4FC3">
        <w:t xml:space="preserve"> </w:t>
      </w:r>
      <w:r w:rsidR="00F1111D" w:rsidRPr="00382917">
        <w:t>desolation,</w:t>
      </w:r>
      <w:r w:rsidR="00EE4FC3">
        <w:t xml:space="preserve"> </w:t>
      </w:r>
      <w:r w:rsidR="00F1111D" w:rsidRPr="00382917">
        <w:t>to</w:t>
      </w:r>
      <w:r w:rsidR="00EE4FC3">
        <w:t xml:space="preserve"> </w:t>
      </w:r>
      <w:r w:rsidR="00F1111D" w:rsidRPr="00382917">
        <w:t>give</w:t>
      </w:r>
      <w:r w:rsidR="00EE4FC3">
        <w:t xml:space="preserve"> </w:t>
      </w:r>
      <w:r w:rsidR="00F1111D" w:rsidRPr="00382917">
        <w:t>the</w:t>
      </w:r>
      <w:r w:rsidR="00EE4FC3">
        <w:t xml:space="preserve"> </w:t>
      </w:r>
      <w:r w:rsidR="00F1111D" w:rsidRPr="00382917">
        <w:t>sanctuary</w:t>
      </w:r>
      <w:r w:rsidR="00EE4FC3">
        <w:t xml:space="preserve"> </w:t>
      </w:r>
      <w:r w:rsidR="00F1111D" w:rsidRPr="00382917">
        <w:t>and</w:t>
      </w:r>
      <w:r w:rsidR="00EE4FC3">
        <w:t xml:space="preserve"> </w:t>
      </w:r>
      <w:r w:rsidR="00F1111D" w:rsidRPr="00382917">
        <w:t>the</w:t>
      </w:r>
      <w:r w:rsidR="00EE4FC3">
        <w:t xml:space="preserve"> </w:t>
      </w:r>
      <w:r w:rsidR="00F1111D" w:rsidRPr="00382917">
        <w:t>host</w:t>
      </w:r>
      <w:r w:rsidR="00EE4FC3">
        <w:t xml:space="preserve"> </w:t>
      </w:r>
      <w:r w:rsidR="00F1111D" w:rsidRPr="00382917">
        <w:t>to</w:t>
      </w:r>
      <w:r w:rsidR="00EE4FC3">
        <w:t xml:space="preserve"> </w:t>
      </w:r>
      <w:r w:rsidR="00F1111D" w:rsidRPr="00382917">
        <w:t>be</w:t>
      </w:r>
      <w:r w:rsidR="00EE4FC3">
        <w:t xml:space="preserve"> </w:t>
      </w:r>
      <w:r w:rsidR="00F1111D" w:rsidRPr="00382917">
        <w:t>trodden</w:t>
      </w:r>
      <w:r w:rsidR="00EE4FC3">
        <w:t xml:space="preserve"> </w:t>
      </w:r>
      <w:r w:rsidR="00F1111D" w:rsidRPr="00382917">
        <w:t>under</w:t>
      </w:r>
      <w:r w:rsidR="00EE4FC3">
        <w:t xml:space="preserve"> </w:t>
      </w:r>
      <w:r w:rsidR="00F1111D" w:rsidRPr="00382917">
        <w:t>foot</w:t>
      </w:r>
      <w:r w:rsidR="003C712C">
        <w:t xml:space="preserve">?  </w:t>
      </w:r>
      <w:r w:rsidR="00F1111D" w:rsidRPr="00382917">
        <w:t>And</w:t>
      </w:r>
      <w:r w:rsidR="00EE4FC3">
        <w:t xml:space="preserve"> </w:t>
      </w:r>
      <w:r w:rsidR="00F1111D" w:rsidRPr="00382917">
        <w:t>he</w:t>
      </w:r>
      <w:r w:rsidR="00EE4FC3">
        <w:t xml:space="preserve"> </w:t>
      </w:r>
      <w:r w:rsidR="00F1111D" w:rsidRPr="00382917">
        <w:t>said</w:t>
      </w:r>
      <w:r w:rsidR="00EE4FC3">
        <w:t xml:space="preserve"> </w:t>
      </w:r>
      <w:r w:rsidR="00F1111D" w:rsidRPr="00382917">
        <w:t>unto</w:t>
      </w:r>
      <w:r w:rsidR="00EE4FC3">
        <w:t xml:space="preserve"> </w:t>
      </w:r>
      <w:r w:rsidR="00F1111D" w:rsidRPr="00382917">
        <w:t>me,</w:t>
      </w:r>
      <w:r w:rsidR="00EE4FC3">
        <w:t xml:space="preserve"> </w:t>
      </w:r>
      <w:proofErr w:type="gramStart"/>
      <w:r w:rsidR="00F1111D" w:rsidRPr="00382917">
        <w:t>Unto</w:t>
      </w:r>
      <w:proofErr w:type="gramEnd"/>
      <w:r w:rsidR="00EE4FC3">
        <w:t xml:space="preserve"> </w:t>
      </w:r>
      <w:r w:rsidR="00F1111D" w:rsidRPr="00382917">
        <w:t>two</w:t>
      </w:r>
      <w:r w:rsidR="00EE4FC3">
        <w:t xml:space="preserve"> </w:t>
      </w:r>
      <w:r w:rsidR="00F1111D" w:rsidRPr="00382917">
        <w:t>thousand</w:t>
      </w:r>
      <w:r w:rsidR="00EE4FC3">
        <w:t xml:space="preserve"> </w:t>
      </w:r>
      <w:r w:rsidR="00F1111D" w:rsidRPr="00382917">
        <w:t>three</w:t>
      </w:r>
      <w:r w:rsidR="00EE4FC3">
        <w:t xml:space="preserve"> </w:t>
      </w:r>
      <w:r w:rsidR="00F1111D" w:rsidRPr="00382917">
        <w:t>hundred</w:t>
      </w:r>
      <w:r w:rsidR="00EE4FC3">
        <w:t xml:space="preserve"> </w:t>
      </w:r>
      <w:r w:rsidR="00F1111D" w:rsidRPr="00382917">
        <w:t>days,</w:t>
      </w:r>
      <w:r w:rsidR="00EE4FC3">
        <w:t xml:space="preserve"> </w:t>
      </w:r>
      <w:r w:rsidR="00F1111D" w:rsidRPr="00382917">
        <w:t>then</w:t>
      </w:r>
      <w:r w:rsidR="00EE4FC3">
        <w:t xml:space="preserve"> </w:t>
      </w:r>
      <w:r w:rsidR="00F1111D" w:rsidRPr="00382917">
        <w:t>shall</w:t>
      </w:r>
      <w:r w:rsidR="00EE4FC3">
        <w:t xml:space="preserve"> </w:t>
      </w:r>
      <w:r w:rsidR="00F1111D" w:rsidRPr="00382917">
        <w:t>the</w:t>
      </w:r>
      <w:r w:rsidR="00EE4FC3">
        <w:t xml:space="preserve"> </w:t>
      </w:r>
      <w:r w:rsidR="00F1111D" w:rsidRPr="00382917">
        <w:t>sanctuary</w:t>
      </w:r>
      <w:r w:rsidR="00EE4FC3">
        <w:t xml:space="preserve"> </w:t>
      </w:r>
      <w:r w:rsidR="00F1111D" w:rsidRPr="00382917">
        <w:t>be</w:t>
      </w:r>
      <w:r w:rsidR="00EE4FC3">
        <w:t xml:space="preserve"> </w:t>
      </w:r>
      <w:r w:rsidR="00F1111D" w:rsidRPr="00382917">
        <w:t>cleansed.</w:t>
      </w:r>
      <w:r w:rsidRPr="00382917">
        <w:t>”</w:t>
      </w:r>
      <w:r w:rsidR="00AE4713">
        <w:rPr>
          <w:rStyle w:val="FootnoteReference"/>
        </w:rPr>
        <w:footnoteReference w:id="301"/>
      </w:r>
    </w:p>
    <w:p w:rsidR="00F1111D" w:rsidRPr="00382917" w:rsidRDefault="00F1111D" w:rsidP="00244241">
      <w:pPr>
        <w:pStyle w:val="Text"/>
      </w:pPr>
      <w:r w:rsidRPr="00382917">
        <w:t>When</w:t>
      </w:r>
      <w:r w:rsidR="00EE4FC3">
        <w:t xml:space="preserve"> </w:t>
      </w:r>
      <w:r w:rsidRPr="00382917">
        <w:t>would</w:t>
      </w:r>
      <w:r w:rsidR="00EE4FC3">
        <w:t xml:space="preserve"> </w:t>
      </w:r>
      <w:r w:rsidRPr="00382917">
        <w:t>this</w:t>
      </w:r>
      <w:r w:rsidR="00EE4FC3">
        <w:t xml:space="preserve"> </w:t>
      </w:r>
      <w:r w:rsidRPr="00382917">
        <w:t>take</w:t>
      </w:r>
      <w:r w:rsidR="00EE4FC3">
        <w:t xml:space="preserve"> </w:t>
      </w:r>
      <w:r w:rsidRPr="00382917">
        <w:t>place</w:t>
      </w:r>
      <w:r w:rsidR="003C712C">
        <w:t xml:space="preserve">?  </w:t>
      </w:r>
      <w:r w:rsidRPr="00382917">
        <w:t>In</w:t>
      </w:r>
      <w:r w:rsidR="00EE4FC3">
        <w:t xml:space="preserve"> </w:t>
      </w:r>
      <w:r w:rsidRPr="00382917">
        <w:t>2,300</w:t>
      </w:r>
      <w:r w:rsidR="00EE4FC3">
        <w:t xml:space="preserve"> </w:t>
      </w:r>
      <w:r w:rsidRPr="00382917">
        <w:t>days,</w:t>
      </w:r>
      <w:r w:rsidR="00EE4FC3">
        <w:t xml:space="preserve"> </w:t>
      </w:r>
      <w:r w:rsidRPr="00382917">
        <w:t>says</w:t>
      </w:r>
      <w:r w:rsidR="00EE4FC3">
        <w:t xml:space="preserve"> </w:t>
      </w:r>
      <w:r w:rsidRPr="00382917">
        <w:t>Daniel</w:t>
      </w:r>
      <w:r w:rsidR="00552489">
        <w:t>.</w:t>
      </w:r>
      <w:r w:rsidR="00EE4FC3">
        <w:t xml:space="preserve">  </w:t>
      </w:r>
      <w:r w:rsidRPr="00382917">
        <w:t>These</w:t>
      </w:r>
      <w:r w:rsidR="00EE4FC3">
        <w:t xml:space="preserve"> </w:t>
      </w:r>
      <w:r w:rsidRPr="00382917">
        <w:t>2</w:t>
      </w:r>
      <w:r w:rsidR="00AE4713">
        <w:t>,</w:t>
      </w:r>
      <w:r w:rsidRPr="00382917">
        <w:t>300</w:t>
      </w:r>
      <w:r w:rsidR="00EE4FC3">
        <w:t xml:space="preserve"> </w:t>
      </w:r>
      <w:r w:rsidRPr="00382917">
        <w:t>days</w:t>
      </w:r>
      <w:r w:rsidR="00EE4FC3">
        <w:t xml:space="preserve"> </w:t>
      </w:r>
      <w:r w:rsidRPr="00382917">
        <w:t>in</w:t>
      </w:r>
      <w:r w:rsidR="00EE4FC3">
        <w:t xml:space="preserve"> </w:t>
      </w:r>
      <w:r w:rsidRPr="00382917">
        <w:t>our</w:t>
      </w:r>
      <w:r w:rsidR="00EE4FC3">
        <w:t xml:space="preserve"> </w:t>
      </w:r>
      <w:r w:rsidRPr="00382917">
        <w:t>prophetic</w:t>
      </w:r>
      <w:r w:rsidR="00EE4FC3">
        <w:t xml:space="preserve"> </w:t>
      </w:r>
      <w:r w:rsidRPr="00382917">
        <w:t>measure</w:t>
      </w:r>
      <w:r w:rsidR="00EE4FC3">
        <w:t xml:space="preserve"> </w:t>
      </w:r>
      <w:r w:rsidRPr="00382917">
        <w:t>become</w:t>
      </w:r>
      <w:r w:rsidR="00EE4FC3">
        <w:t xml:space="preserve"> </w:t>
      </w:r>
      <w:r w:rsidRPr="00382917">
        <w:t>2,300</w:t>
      </w:r>
      <w:r w:rsidR="00EE4FC3">
        <w:t xml:space="preserve"> </w:t>
      </w:r>
      <w:r w:rsidRPr="00382917">
        <w:t>years</w:t>
      </w:r>
      <w:r w:rsidR="00552489">
        <w:t>.</w:t>
      </w:r>
      <w:r w:rsidR="00EE4FC3">
        <w:t xml:space="preserve">  </w:t>
      </w:r>
      <w:proofErr w:type="gramStart"/>
      <w:r w:rsidRPr="00382917">
        <w:t>Using</w:t>
      </w:r>
      <w:r w:rsidR="00EE4FC3">
        <w:t xml:space="preserve"> </w:t>
      </w:r>
      <w:r w:rsidRPr="00382917">
        <w:t>the</w:t>
      </w:r>
      <w:r w:rsidR="00EE4FC3">
        <w:t xml:space="preserve"> </w:t>
      </w:r>
      <w:r w:rsidRPr="00382917">
        <w:t>same</w:t>
      </w:r>
      <w:r w:rsidR="00EE4FC3">
        <w:t xml:space="preserve"> </w:t>
      </w:r>
      <w:r w:rsidRPr="00382917">
        <w:t>frame</w:t>
      </w:r>
      <w:r w:rsidR="00EE4FC3">
        <w:t xml:space="preserve"> </w:t>
      </w:r>
      <w:r w:rsidRPr="00382917">
        <w:t>of</w:t>
      </w:r>
      <w:r w:rsidR="00EE4FC3">
        <w:t xml:space="preserve"> </w:t>
      </w:r>
      <w:r w:rsidRPr="00382917">
        <w:t>reference</w:t>
      </w:r>
      <w:r w:rsidR="00EE4FC3">
        <w:t xml:space="preserve"> </w:t>
      </w:r>
      <w:r w:rsidRPr="00382917">
        <w:t>as</w:t>
      </w:r>
      <w:r w:rsidR="00EE4FC3">
        <w:t xml:space="preserve"> </w:t>
      </w:r>
      <w:r w:rsidRPr="00382917">
        <w:t>that</w:t>
      </w:r>
      <w:r w:rsidR="00EE4FC3">
        <w:t xml:space="preserve"> </w:t>
      </w:r>
      <w:r w:rsidRPr="00382917">
        <w:t>used</w:t>
      </w:r>
      <w:r w:rsidR="00EE4FC3">
        <w:t xml:space="preserve"> </w:t>
      </w:r>
      <w:r w:rsidRPr="00382917">
        <w:t>for</w:t>
      </w:r>
      <w:r w:rsidR="00EE4FC3">
        <w:t xml:space="preserve"> </w:t>
      </w:r>
      <w:r w:rsidRPr="00382917">
        <w:t>Christ</w:t>
      </w:r>
      <w:r w:rsidR="009C713D" w:rsidRPr="00382917">
        <w:t>’</w:t>
      </w:r>
      <w:r w:rsidRPr="00382917">
        <w:t>s</w:t>
      </w:r>
      <w:r w:rsidR="00EE4FC3">
        <w:t xml:space="preserve"> </w:t>
      </w:r>
      <w:r w:rsidRPr="00382917">
        <w:t>first</w:t>
      </w:r>
      <w:r w:rsidR="00EE4FC3">
        <w:t xml:space="preserve"> </w:t>
      </w:r>
      <w:r w:rsidRPr="00382917">
        <w:t>coming,</w:t>
      </w:r>
      <w:r w:rsidR="00EE4FC3">
        <w:t xml:space="preserve"> </w:t>
      </w:r>
      <w:r w:rsidRPr="00382917">
        <w:t>the</w:t>
      </w:r>
      <w:r w:rsidR="00EE4FC3">
        <w:t xml:space="preserve"> </w:t>
      </w:r>
      <w:r w:rsidRPr="00382917">
        <w:t>biblical</w:t>
      </w:r>
      <w:r w:rsidR="00EE4FC3">
        <w:t xml:space="preserve"> </w:t>
      </w:r>
      <w:r w:rsidRPr="00382917">
        <w:t>scholars</w:t>
      </w:r>
      <w:r w:rsidR="00EE4FC3">
        <w:t xml:space="preserve"> </w:t>
      </w:r>
      <w:r w:rsidRPr="00382917">
        <w:t>made</w:t>
      </w:r>
      <w:r w:rsidR="00EE4FC3">
        <w:t xml:space="preserve"> </w:t>
      </w:r>
      <w:r w:rsidRPr="00382917">
        <w:t>their</w:t>
      </w:r>
      <w:r w:rsidR="00EE4FC3">
        <w:t xml:space="preserve"> </w:t>
      </w:r>
      <w:r w:rsidRPr="00382917">
        <w:t>calculations.</w:t>
      </w:r>
      <w:proofErr w:type="gramEnd"/>
    </w:p>
    <w:p w:rsidR="00F1111D" w:rsidRPr="00382917" w:rsidRDefault="00F1111D" w:rsidP="00244241">
      <w:pPr>
        <w:pStyle w:val="Text"/>
      </w:pPr>
      <w:r w:rsidRPr="00382917">
        <w:t>Although</w:t>
      </w:r>
      <w:r w:rsidR="00EE4FC3">
        <w:t xml:space="preserve"> </w:t>
      </w:r>
      <w:r w:rsidRPr="00382917">
        <w:t>many</w:t>
      </w:r>
      <w:r w:rsidR="00EE4FC3">
        <w:t xml:space="preserve"> </w:t>
      </w:r>
      <w:r w:rsidRPr="00382917">
        <w:t>disputes</w:t>
      </w:r>
      <w:r w:rsidR="00EE4FC3">
        <w:t xml:space="preserve"> </w:t>
      </w:r>
      <w:r w:rsidRPr="00382917">
        <w:t>arose</w:t>
      </w:r>
      <w:r w:rsidR="00EE4FC3">
        <w:t xml:space="preserve"> </w:t>
      </w:r>
      <w:r w:rsidRPr="00382917">
        <w:t>as</w:t>
      </w:r>
      <w:r w:rsidR="00EE4FC3">
        <w:t xml:space="preserve"> </w:t>
      </w:r>
      <w:r w:rsidRPr="00382917">
        <w:t>to</w:t>
      </w:r>
      <w:r w:rsidR="00EE4FC3">
        <w:t xml:space="preserve"> </w:t>
      </w:r>
      <w:r w:rsidRPr="00382917">
        <w:t>the</w:t>
      </w:r>
      <w:r w:rsidR="00EE4FC3">
        <w:t xml:space="preserve"> </w:t>
      </w:r>
      <w:r w:rsidRPr="00382917">
        <w:t>exact</w:t>
      </w:r>
      <w:r w:rsidR="00EE4FC3">
        <w:t xml:space="preserve"> </w:t>
      </w:r>
      <w:r w:rsidRPr="00382917">
        <w:t>month,</w:t>
      </w:r>
      <w:r w:rsidR="00EE4FC3">
        <w:t xml:space="preserve"> </w:t>
      </w:r>
      <w:r w:rsidRPr="00382917">
        <w:t>day,</w:t>
      </w:r>
      <w:r w:rsidR="00EE4FC3">
        <w:t xml:space="preserve"> </w:t>
      </w:r>
      <w:r w:rsidRPr="00382917">
        <w:t>and</w:t>
      </w:r>
      <w:r w:rsidR="00EE4FC3">
        <w:t xml:space="preserve"> </w:t>
      </w:r>
      <w:r w:rsidRPr="00382917">
        <w:t>hour,</w:t>
      </w:r>
      <w:r w:rsidR="00EE4FC3">
        <w:t xml:space="preserve"> </w:t>
      </w:r>
      <w:r w:rsidRPr="00382917">
        <w:t>there</w:t>
      </w:r>
      <w:r w:rsidR="00EE4FC3">
        <w:t xml:space="preserve"> </w:t>
      </w:r>
      <w:r w:rsidRPr="00382917">
        <w:t>was</w:t>
      </w:r>
      <w:r w:rsidR="00EE4FC3">
        <w:t xml:space="preserve"> </w:t>
      </w:r>
      <w:r w:rsidRPr="00382917">
        <w:t>a</w:t>
      </w:r>
      <w:r w:rsidR="00EE4FC3">
        <w:t xml:space="preserve"> </w:t>
      </w:r>
      <w:r w:rsidRPr="00382917">
        <w:t>basic</w:t>
      </w:r>
      <w:r w:rsidR="00EE4FC3">
        <w:t xml:space="preserve"> </w:t>
      </w:r>
      <w:r w:rsidRPr="00382917">
        <w:t>agreement</w:t>
      </w:r>
      <w:r w:rsidR="00EE4FC3">
        <w:t xml:space="preserve"> </w:t>
      </w:r>
      <w:r w:rsidRPr="00382917">
        <w:t>among</w:t>
      </w:r>
      <w:r w:rsidR="00EE4FC3">
        <w:t xml:space="preserve"> </w:t>
      </w:r>
      <w:r w:rsidRPr="00382917">
        <w:t>all</w:t>
      </w:r>
      <w:r w:rsidR="00EE4FC3">
        <w:t xml:space="preserve"> </w:t>
      </w:r>
      <w:r w:rsidRPr="00382917">
        <w:t>that</w:t>
      </w:r>
      <w:r w:rsidR="00EE4FC3">
        <w:t xml:space="preserve"> </w:t>
      </w:r>
      <w:r w:rsidRPr="00382917">
        <w:t>Christ</w:t>
      </w:r>
      <w:r w:rsidR="009C713D" w:rsidRPr="00382917">
        <w:t>’</w:t>
      </w:r>
      <w:r w:rsidRPr="00382917">
        <w:t>s</w:t>
      </w:r>
      <w:r w:rsidR="00EE4FC3">
        <w:t xml:space="preserve"> </w:t>
      </w:r>
      <w:r w:rsidRPr="00382917">
        <w:t>return</w:t>
      </w:r>
      <w:r w:rsidR="00EE4FC3">
        <w:t xml:space="preserve"> </w:t>
      </w:r>
      <w:r w:rsidRPr="00382917">
        <w:t>must</w:t>
      </w:r>
      <w:r w:rsidR="00EE4FC3">
        <w:t xml:space="preserve"> </w:t>
      </w:r>
      <w:r w:rsidRPr="00382917">
        <w:t>take</w:t>
      </w:r>
      <w:r w:rsidR="00EE4FC3">
        <w:t xml:space="preserve"> </w:t>
      </w:r>
      <w:r w:rsidRPr="00382917">
        <w:t>place</w:t>
      </w:r>
      <w:r w:rsidR="00EE4FC3">
        <w:t xml:space="preserve"> </w:t>
      </w:r>
      <w:r w:rsidRPr="00382917">
        <w:t>between</w:t>
      </w:r>
      <w:r w:rsidR="00EE4FC3">
        <w:t xml:space="preserve"> </w:t>
      </w:r>
      <w:r w:rsidRPr="00382917">
        <w:t>1843</w:t>
      </w:r>
      <w:r w:rsidR="00EE4FC3">
        <w:t xml:space="preserve"> </w:t>
      </w:r>
      <w:r w:rsidRPr="00382917">
        <w:t>and</w:t>
      </w:r>
      <w:r w:rsidR="00EE4FC3">
        <w:t xml:space="preserve"> </w:t>
      </w:r>
      <w:r w:rsidRPr="00382917">
        <w:t>1845,</w:t>
      </w:r>
      <w:r w:rsidR="00EE4FC3">
        <w:t xml:space="preserve"> </w:t>
      </w:r>
      <w:r w:rsidRPr="00382917">
        <w:t>with</w:t>
      </w:r>
      <w:r w:rsidR="00EE4FC3">
        <w:t xml:space="preserve"> </w:t>
      </w:r>
      <w:r w:rsidRPr="00382917">
        <w:t>the</w:t>
      </w:r>
      <w:r w:rsidR="00EE4FC3">
        <w:t xml:space="preserve"> </w:t>
      </w:r>
      <w:r w:rsidRPr="00382917">
        <w:t>year</w:t>
      </w:r>
      <w:r w:rsidR="00EE4FC3">
        <w:t xml:space="preserve"> </w:t>
      </w:r>
      <w:r w:rsidRPr="00382917">
        <w:t>1844</w:t>
      </w:r>
      <w:r w:rsidR="00EE4FC3">
        <w:t xml:space="preserve"> </w:t>
      </w:r>
      <w:r w:rsidRPr="00382917">
        <w:t>as</w:t>
      </w:r>
      <w:r w:rsidR="00EE4FC3">
        <w:t xml:space="preserve"> </w:t>
      </w:r>
      <w:r w:rsidRPr="00382917">
        <w:t>the</w:t>
      </w:r>
      <w:r w:rsidR="00EE4FC3">
        <w:t xml:space="preserve"> </w:t>
      </w:r>
      <w:r w:rsidRPr="00382917">
        <w:t>central</w:t>
      </w:r>
      <w:r w:rsidR="00EE4FC3">
        <w:t xml:space="preserve"> </w:t>
      </w:r>
      <w:r w:rsidRPr="00382917">
        <w:t>point</w:t>
      </w:r>
      <w:r w:rsidR="00EE4FC3">
        <w:t xml:space="preserve"> </w:t>
      </w:r>
      <w:r w:rsidRPr="00382917">
        <w:t>of</w:t>
      </w:r>
      <w:r w:rsidR="00EE4FC3">
        <w:t xml:space="preserve"> </w:t>
      </w:r>
      <w:r w:rsidRPr="00382917">
        <w:t>reference.</w:t>
      </w:r>
    </w:p>
    <w:p w:rsidR="00244241" w:rsidRPr="00382917" w:rsidRDefault="00244241">
      <w:pPr>
        <w:widowControl/>
        <w:kinsoku/>
        <w:overflowPunct/>
        <w:textAlignment w:val="auto"/>
      </w:pPr>
      <w:r w:rsidRPr="00382917">
        <w:br w:type="page"/>
      </w:r>
    </w:p>
    <w:p w:rsidR="00F1111D" w:rsidRPr="00382917" w:rsidRDefault="00F1111D" w:rsidP="00AE7285">
      <w:pPr>
        <w:pStyle w:val="Text"/>
      </w:pPr>
      <w:r w:rsidRPr="00382917">
        <w:t>One</w:t>
      </w:r>
      <w:r w:rsidR="00EE4FC3">
        <w:t xml:space="preserve"> </w:t>
      </w:r>
      <w:r w:rsidRPr="00382917">
        <w:t>group</w:t>
      </w:r>
      <w:r w:rsidR="00EE4FC3">
        <w:t xml:space="preserve"> </w:t>
      </w:r>
      <w:r w:rsidRPr="00382917">
        <w:t>of</w:t>
      </w:r>
      <w:r w:rsidR="00EE4FC3">
        <w:t xml:space="preserve"> </w:t>
      </w:r>
      <w:r w:rsidRPr="00382917">
        <w:t>Christian</w:t>
      </w:r>
      <w:r w:rsidR="00EE4FC3">
        <w:t xml:space="preserve"> </w:t>
      </w:r>
      <w:r w:rsidRPr="00382917">
        <w:t>scholars</w:t>
      </w:r>
      <w:r w:rsidR="00EE4FC3">
        <w:t xml:space="preserve"> </w:t>
      </w:r>
      <w:r w:rsidRPr="00382917">
        <w:t>worked</w:t>
      </w:r>
      <w:r w:rsidR="00EE4FC3">
        <w:t xml:space="preserve"> </w:t>
      </w:r>
      <w:r w:rsidRPr="00382917">
        <w:t>out</w:t>
      </w:r>
      <w:r w:rsidR="00EE4FC3">
        <w:t xml:space="preserve"> </w:t>
      </w:r>
      <w:r w:rsidRPr="00382917">
        <w:t>Daniel</w:t>
      </w:r>
      <w:r w:rsidR="009C713D" w:rsidRPr="00382917">
        <w:t>’</w:t>
      </w:r>
      <w:r w:rsidRPr="00382917">
        <w:t>s</w:t>
      </w:r>
      <w:r w:rsidR="00EE4FC3">
        <w:t xml:space="preserve"> </w:t>
      </w:r>
      <w:r w:rsidRPr="00382917">
        <w:t>prophecy</w:t>
      </w:r>
      <w:r w:rsidR="00EE4FC3">
        <w:t xml:space="preserve"> </w:t>
      </w:r>
      <w:r w:rsidRPr="00382917">
        <w:t>in</w:t>
      </w:r>
      <w:r w:rsidR="00EE4FC3">
        <w:t xml:space="preserve"> </w:t>
      </w:r>
      <w:r w:rsidRPr="00382917">
        <w:t>the</w:t>
      </w:r>
      <w:r w:rsidR="00EE4FC3">
        <w:t xml:space="preserve"> </w:t>
      </w:r>
      <w:r w:rsidRPr="00382917">
        <w:t>greatest</w:t>
      </w:r>
      <w:r w:rsidR="00EE4FC3">
        <w:t xml:space="preserve"> </w:t>
      </w:r>
      <w:r w:rsidRPr="00382917">
        <w:t>detail</w:t>
      </w:r>
      <w:r w:rsidR="00552489">
        <w:t>.</w:t>
      </w:r>
      <w:r w:rsidR="00EE4FC3">
        <w:t xml:space="preserve">  </w:t>
      </w:r>
      <w:r w:rsidRPr="00382917">
        <w:t>They</w:t>
      </w:r>
      <w:r w:rsidR="00EE4FC3">
        <w:t xml:space="preserve"> </w:t>
      </w:r>
      <w:r w:rsidRPr="00382917">
        <w:t>even</w:t>
      </w:r>
      <w:r w:rsidR="00EE4FC3">
        <w:t xml:space="preserve"> </w:t>
      </w:r>
      <w:r w:rsidRPr="00382917">
        <w:t>built</w:t>
      </w:r>
      <w:r w:rsidR="00EE4FC3">
        <w:t xml:space="preserve"> </w:t>
      </w:r>
      <w:r w:rsidRPr="00382917">
        <w:t>a</w:t>
      </w:r>
      <w:r w:rsidR="00EE4FC3">
        <w:t xml:space="preserve"> </w:t>
      </w:r>
      <w:r w:rsidRPr="00382917">
        <w:t>special</w:t>
      </w:r>
      <w:r w:rsidR="00EE4FC3">
        <w:t xml:space="preserve"> </w:t>
      </w:r>
      <w:r w:rsidRPr="00382917">
        <w:t>chart</w:t>
      </w:r>
      <w:r w:rsidR="00EE4FC3">
        <w:t xml:space="preserve"> </w:t>
      </w:r>
      <w:r w:rsidRPr="00382917">
        <w:t>to</w:t>
      </w:r>
      <w:r w:rsidR="00EE4FC3">
        <w:t xml:space="preserve"> </w:t>
      </w:r>
      <w:r w:rsidRPr="00382917">
        <w:t>show</w:t>
      </w:r>
      <w:r w:rsidR="00EE4FC3">
        <w:t xml:space="preserve"> </w:t>
      </w:r>
      <w:r w:rsidRPr="00382917">
        <w:t>that</w:t>
      </w:r>
      <w:r w:rsidR="00EE4FC3">
        <w:t xml:space="preserve"> </w:t>
      </w:r>
      <w:r w:rsidRPr="00382917">
        <w:t>Christ</w:t>
      </w:r>
      <w:r w:rsidR="00EE4FC3">
        <w:t xml:space="preserve"> </w:t>
      </w:r>
      <w:r w:rsidRPr="00382917">
        <w:t>would</w:t>
      </w:r>
      <w:r w:rsidR="00EE4FC3">
        <w:t xml:space="preserve"> </w:t>
      </w:r>
      <w:r w:rsidRPr="00382917">
        <w:t>return</w:t>
      </w:r>
      <w:r w:rsidR="00EE4FC3">
        <w:t xml:space="preserve"> </w:t>
      </w:r>
      <w:r w:rsidRPr="00382917">
        <w:t>in</w:t>
      </w:r>
      <w:r w:rsidR="00EE4FC3">
        <w:t xml:space="preserve"> </w:t>
      </w:r>
      <w:r w:rsidRPr="00382917">
        <w:t>the</w:t>
      </w:r>
      <w:r w:rsidR="00EE4FC3">
        <w:t xml:space="preserve"> </w:t>
      </w:r>
      <w:r w:rsidRPr="00382917">
        <w:t>middle</w:t>
      </w:r>
      <w:r w:rsidR="00EE4FC3">
        <w:t xml:space="preserve"> </w:t>
      </w:r>
      <w:r w:rsidRPr="00382917">
        <w:t>of</w:t>
      </w:r>
      <w:r w:rsidR="00EE4FC3">
        <w:t xml:space="preserve"> </w:t>
      </w:r>
      <w:r w:rsidRPr="00382917">
        <w:t>the</w:t>
      </w:r>
      <w:r w:rsidR="00EE4FC3">
        <w:t xml:space="preserve"> </w:t>
      </w:r>
      <w:r w:rsidRPr="00382917">
        <w:t>year</w:t>
      </w:r>
      <w:r w:rsidR="00EE4FC3">
        <w:t xml:space="preserve"> </w:t>
      </w:r>
      <w:r w:rsidRPr="00382917">
        <w:t>1844.</w:t>
      </w:r>
      <w:r w:rsidR="00AE7285">
        <w:rPr>
          <w:rStyle w:val="FootnoteReference"/>
        </w:rPr>
        <w:footnoteReference w:id="302"/>
      </w:r>
    </w:p>
    <w:p w:rsidR="00F1111D" w:rsidRPr="00382917" w:rsidRDefault="00F1111D" w:rsidP="006624C8">
      <w:pPr>
        <w:pStyle w:val="Text"/>
      </w:pPr>
      <w:r w:rsidRPr="00382917">
        <w:t>The</w:t>
      </w:r>
      <w:r w:rsidR="00EE4FC3">
        <w:t xml:space="preserve"> </w:t>
      </w:r>
      <w:r w:rsidRPr="00382917">
        <w:t>Báb,</w:t>
      </w:r>
      <w:r w:rsidR="00EE4FC3">
        <w:t xml:space="preserve"> </w:t>
      </w:r>
      <w:r w:rsidRPr="00382917">
        <w:t>the</w:t>
      </w:r>
      <w:r w:rsidR="00EE4FC3">
        <w:t xml:space="preserve"> </w:t>
      </w:r>
      <w:r w:rsidRPr="00382917">
        <w:t>Herald</w:t>
      </w:r>
      <w:r w:rsidR="00EE4FC3">
        <w:t xml:space="preserve"> </w:t>
      </w:r>
      <w:r w:rsidRPr="00382917">
        <w:t>of</w:t>
      </w:r>
      <w:r w:rsidR="00EE4FC3">
        <w:t xml:space="preserve"> </w:t>
      </w:r>
      <w:r w:rsidRPr="00382917">
        <w:t>the</w:t>
      </w:r>
      <w:r w:rsidR="00EE4FC3">
        <w:t xml:space="preserve"> </w:t>
      </w:r>
      <w:r w:rsidRPr="00382917">
        <w:t>Bahá</w:t>
      </w:r>
      <w:r w:rsidR="009C713D" w:rsidRPr="00382917">
        <w:t>’</w:t>
      </w:r>
      <w:r w:rsidRPr="00382917">
        <w:t>í</w:t>
      </w:r>
      <w:r w:rsidR="00EE4FC3">
        <w:t xml:space="preserve"> </w:t>
      </w:r>
      <w:r w:rsidRPr="00382917">
        <w:t>Faith,</w:t>
      </w:r>
      <w:r w:rsidR="00EE4FC3">
        <w:t xml:space="preserve"> </w:t>
      </w:r>
      <w:r w:rsidRPr="00382917">
        <w:t>made</w:t>
      </w:r>
      <w:r w:rsidR="00EE4FC3">
        <w:t xml:space="preserve"> </w:t>
      </w:r>
      <w:r w:rsidRPr="00382917">
        <w:t>His</w:t>
      </w:r>
      <w:r w:rsidR="00EE4FC3">
        <w:t xml:space="preserve"> </w:t>
      </w:r>
      <w:r w:rsidRPr="00382917">
        <w:t>declaration</w:t>
      </w:r>
      <w:r w:rsidR="00EE4FC3">
        <w:t xml:space="preserve"> </w:t>
      </w:r>
      <w:r w:rsidRPr="00382917">
        <w:t>to</w:t>
      </w:r>
      <w:r w:rsidR="00EE4FC3">
        <w:t xml:space="preserve"> </w:t>
      </w:r>
      <w:r w:rsidRPr="00382917">
        <w:t>the</w:t>
      </w:r>
      <w:r w:rsidR="00EE4FC3">
        <w:t xml:space="preserve"> </w:t>
      </w:r>
      <w:r w:rsidRPr="00382917">
        <w:t>world</w:t>
      </w:r>
      <w:r w:rsidR="00EE4FC3">
        <w:t xml:space="preserve"> </w:t>
      </w:r>
      <w:r w:rsidRPr="00382917">
        <w:t>well</w:t>
      </w:r>
      <w:r w:rsidR="00EE4FC3">
        <w:t xml:space="preserve"> </w:t>
      </w:r>
      <w:r w:rsidRPr="00382917">
        <w:t>into</w:t>
      </w:r>
      <w:r w:rsidR="00EE4FC3">
        <w:t xml:space="preserve"> </w:t>
      </w:r>
      <w:r w:rsidRPr="00382917">
        <w:t>the</w:t>
      </w:r>
      <w:r w:rsidR="00EE4FC3">
        <w:t xml:space="preserve"> </w:t>
      </w:r>
      <w:r w:rsidRPr="00382917">
        <w:t>year</w:t>
      </w:r>
      <w:r w:rsidR="00EE4FC3">
        <w:t xml:space="preserve"> </w:t>
      </w:r>
      <w:r w:rsidRPr="00382917">
        <w:t>1844</w:t>
      </w:r>
      <w:r w:rsidR="00C03C91">
        <w:t>:</w:t>
      </w:r>
      <w:r w:rsidR="00EE4FC3">
        <w:t xml:space="preserve">  </w:t>
      </w:r>
      <w:r w:rsidR="006624C8">
        <w:t xml:space="preserve">23 </w:t>
      </w:r>
      <w:r w:rsidRPr="00382917">
        <w:t>May.</w:t>
      </w:r>
      <w:r w:rsidR="006624C8">
        <w:rPr>
          <w:rStyle w:val="FootnoteReference"/>
        </w:rPr>
        <w:footnoteReference w:id="303"/>
      </w:r>
      <w:r w:rsidR="00EE4FC3">
        <w:t xml:space="preserve"> </w:t>
      </w:r>
      <w:r w:rsidR="006624C8">
        <w:t xml:space="preserve"> </w:t>
      </w:r>
      <w:r w:rsidRPr="00382917">
        <w:t>This</w:t>
      </w:r>
      <w:r w:rsidR="00EE4FC3">
        <w:t xml:space="preserve"> </w:t>
      </w:r>
      <w:r w:rsidRPr="00382917">
        <w:t>hour</w:t>
      </w:r>
      <w:r w:rsidR="00EE4FC3">
        <w:t xml:space="preserve"> </w:t>
      </w:r>
      <w:r w:rsidRPr="00382917">
        <w:t>marks</w:t>
      </w:r>
      <w:r w:rsidR="00EE4FC3">
        <w:t xml:space="preserve"> </w:t>
      </w:r>
      <w:r w:rsidRPr="00382917">
        <w:t>the</w:t>
      </w:r>
      <w:r w:rsidR="00EE4FC3">
        <w:t xml:space="preserve"> </w:t>
      </w:r>
      <w:r w:rsidRPr="00382917">
        <w:t>beginning</w:t>
      </w:r>
      <w:r w:rsidR="00EE4FC3">
        <w:t xml:space="preserve"> </w:t>
      </w:r>
      <w:r w:rsidRPr="00382917">
        <w:t>of</w:t>
      </w:r>
      <w:r w:rsidR="00EE4FC3">
        <w:t xml:space="preserve"> </w:t>
      </w:r>
      <w:r w:rsidRPr="00382917">
        <w:t>the</w:t>
      </w:r>
      <w:r w:rsidR="00EE4FC3">
        <w:t xml:space="preserve"> </w:t>
      </w:r>
      <w:r w:rsidRPr="00382917">
        <w:t>Bahá</w:t>
      </w:r>
      <w:r w:rsidR="009C713D" w:rsidRPr="00382917">
        <w:t>’</w:t>
      </w:r>
      <w:r w:rsidRPr="00382917">
        <w:t>í</w:t>
      </w:r>
      <w:r w:rsidR="00EE4FC3">
        <w:t xml:space="preserve"> </w:t>
      </w:r>
      <w:r w:rsidRPr="00382917">
        <w:t>Faith.</w:t>
      </w:r>
    </w:p>
    <w:p w:rsidR="00F1111D" w:rsidRPr="00382917" w:rsidRDefault="00F1111D" w:rsidP="00244241">
      <w:pPr>
        <w:pStyle w:val="Text"/>
      </w:pPr>
      <w:r w:rsidRPr="00382917">
        <w:t>Thus</w:t>
      </w:r>
      <w:r w:rsidR="00EE4FC3">
        <w:t xml:space="preserve"> </w:t>
      </w:r>
      <w:r w:rsidRPr="00382917">
        <w:t>the</w:t>
      </w:r>
      <w:r w:rsidR="00EE4FC3">
        <w:t xml:space="preserve"> </w:t>
      </w:r>
      <w:r w:rsidRPr="00382917">
        <w:t>proofs</w:t>
      </w:r>
      <w:r w:rsidR="00EE4FC3">
        <w:t xml:space="preserve"> </w:t>
      </w:r>
      <w:r w:rsidRPr="00382917">
        <w:t>were</w:t>
      </w:r>
      <w:r w:rsidR="00EE4FC3">
        <w:t xml:space="preserve"> </w:t>
      </w:r>
      <w:r w:rsidRPr="00382917">
        <w:t>now</w:t>
      </w:r>
      <w:r w:rsidR="00EE4FC3">
        <w:t xml:space="preserve"> </w:t>
      </w:r>
      <w:r w:rsidRPr="00382917">
        <w:t>complete</w:t>
      </w:r>
      <w:r w:rsidR="00552489">
        <w:t>.</w:t>
      </w:r>
      <w:r w:rsidR="00EE4FC3">
        <w:t xml:space="preserve">  </w:t>
      </w:r>
      <w:r w:rsidRPr="00382917">
        <w:t>All</w:t>
      </w:r>
      <w:r w:rsidR="00EE4FC3">
        <w:t xml:space="preserve"> </w:t>
      </w:r>
      <w:r w:rsidRPr="00382917">
        <w:t>three</w:t>
      </w:r>
      <w:r w:rsidR="00EE4FC3">
        <w:t xml:space="preserve"> </w:t>
      </w:r>
      <w:r w:rsidRPr="00382917">
        <w:t>of</w:t>
      </w:r>
      <w:r w:rsidR="00EE4FC3">
        <w:t xml:space="preserve"> </w:t>
      </w:r>
      <w:r w:rsidRPr="00382917">
        <w:t>the</w:t>
      </w:r>
      <w:r w:rsidR="00EE4FC3">
        <w:t xml:space="preserve"> </w:t>
      </w:r>
      <w:r w:rsidRPr="00382917">
        <w:t>specific</w:t>
      </w:r>
      <w:r w:rsidR="00EE4FC3">
        <w:t xml:space="preserve"> </w:t>
      </w:r>
      <w:r w:rsidRPr="00382917">
        <w:t>promises</w:t>
      </w:r>
      <w:r w:rsidR="00EE4FC3">
        <w:t xml:space="preserve"> </w:t>
      </w:r>
      <w:r w:rsidRPr="00382917">
        <w:t>of</w:t>
      </w:r>
      <w:r w:rsidR="00EE4FC3">
        <w:t xml:space="preserve"> </w:t>
      </w:r>
      <w:r w:rsidRPr="00382917">
        <w:t>Christ</w:t>
      </w:r>
      <w:r w:rsidR="00EE4FC3">
        <w:t xml:space="preserve"> </w:t>
      </w:r>
      <w:r w:rsidRPr="00382917">
        <w:t>concerning</w:t>
      </w:r>
      <w:r w:rsidR="00EE4FC3">
        <w:t xml:space="preserve"> </w:t>
      </w:r>
      <w:r w:rsidRPr="00382917">
        <w:t>the</w:t>
      </w:r>
      <w:r w:rsidR="00EE4FC3">
        <w:t xml:space="preserve"> </w:t>
      </w:r>
      <w:r w:rsidRPr="00382917">
        <w:t>time</w:t>
      </w:r>
      <w:r w:rsidR="00EE4FC3">
        <w:t xml:space="preserve"> </w:t>
      </w:r>
      <w:r w:rsidRPr="00382917">
        <w:t>of</w:t>
      </w:r>
      <w:r w:rsidR="00EE4FC3">
        <w:t xml:space="preserve"> </w:t>
      </w:r>
      <w:r w:rsidRPr="00382917">
        <w:t>His</w:t>
      </w:r>
      <w:r w:rsidR="00EE4FC3">
        <w:t xml:space="preserve"> </w:t>
      </w:r>
      <w:r w:rsidRPr="00382917">
        <w:t>return</w:t>
      </w:r>
      <w:r w:rsidR="00EE4FC3">
        <w:t xml:space="preserve"> </w:t>
      </w:r>
      <w:r w:rsidRPr="00382917">
        <w:t>pointed</w:t>
      </w:r>
      <w:r w:rsidR="00EE4FC3">
        <w:t xml:space="preserve"> </w:t>
      </w:r>
      <w:r w:rsidRPr="00382917">
        <w:t>to</w:t>
      </w:r>
      <w:r w:rsidR="00EE4FC3">
        <w:t xml:space="preserve"> </w:t>
      </w:r>
      <w:r w:rsidRPr="00382917">
        <w:t>the</w:t>
      </w:r>
      <w:r w:rsidR="00EE4FC3">
        <w:t xml:space="preserve"> </w:t>
      </w:r>
      <w:r w:rsidRPr="00382917">
        <w:t>exact</w:t>
      </w:r>
      <w:r w:rsidR="00EE4FC3">
        <w:t xml:space="preserve"> </w:t>
      </w:r>
      <w:r w:rsidRPr="00382917">
        <w:t>same</w:t>
      </w:r>
      <w:r w:rsidR="00EE4FC3">
        <w:t xml:space="preserve"> </w:t>
      </w:r>
      <w:r w:rsidRPr="00382917">
        <w:t>period:</w:t>
      </w:r>
    </w:p>
    <w:p w:rsidR="00F1111D" w:rsidRPr="00382917" w:rsidRDefault="00244241" w:rsidP="00244241">
      <w:pPr>
        <w:pStyle w:val="Bullet2"/>
      </w:pPr>
      <w:r w:rsidRPr="00382917">
        <w:t>1.</w:t>
      </w:r>
      <w:r w:rsidRPr="00382917">
        <w:tab/>
      </w:r>
      <w:r w:rsidR="00F1111D" w:rsidRPr="00382917">
        <w:t>The</w:t>
      </w:r>
      <w:r w:rsidR="00EE4FC3">
        <w:t xml:space="preserve"> </w:t>
      </w:r>
      <w:r w:rsidR="00F1111D" w:rsidRPr="00382917">
        <w:t>Gospel</w:t>
      </w:r>
      <w:r w:rsidR="00EE4FC3">
        <w:t xml:space="preserve"> </w:t>
      </w:r>
      <w:r w:rsidR="00F1111D" w:rsidRPr="00382917">
        <w:t>was</w:t>
      </w:r>
      <w:r w:rsidR="00EE4FC3">
        <w:t xml:space="preserve"> </w:t>
      </w:r>
      <w:r w:rsidR="00F1111D" w:rsidRPr="00382917">
        <w:t>preached</w:t>
      </w:r>
      <w:r w:rsidR="00EE4FC3">
        <w:t xml:space="preserve"> </w:t>
      </w:r>
      <w:r w:rsidR="00F1111D" w:rsidRPr="00382917">
        <w:t>around</w:t>
      </w:r>
      <w:r w:rsidR="00EE4FC3">
        <w:t xml:space="preserve"> </w:t>
      </w:r>
      <w:r w:rsidR="00F1111D" w:rsidRPr="00382917">
        <w:t>the</w:t>
      </w:r>
      <w:r w:rsidR="00EE4FC3">
        <w:t xml:space="preserve"> </w:t>
      </w:r>
      <w:r w:rsidR="00F1111D" w:rsidRPr="00382917">
        <w:t>world</w:t>
      </w:r>
      <w:r w:rsidR="00EE4FC3">
        <w:t xml:space="preserve"> </w:t>
      </w:r>
      <w:r w:rsidR="00F1111D" w:rsidRPr="00382917">
        <w:t>by</w:t>
      </w:r>
      <w:r w:rsidR="00EE4FC3">
        <w:t xml:space="preserve"> </w:t>
      </w:r>
      <w:r w:rsidR="00F1111D" w:rsidRPr="00382917">
        <w:t>1844.</w:t>
      </w:r>
    </w:p>
    <w:p w:rsidR="00F1111D" w:rsidRPr="00382917" w:rsidRDefault="00244241" w:rsidP="00244241">
      <w:pPr>
        <w:pStyle w:val="Bullet2ct"/>
      </w:pPr>
      <w:r w:rsidRPr="00382917">
        <w:t>2.</w:t>
      </w:r>
      <w:r w:rsidRPr="00382917">
        <w:tab/>
      </w:r>
      <w:r w:rsidR="009C713D" w:rsidRPr="00382917">
        <w:t>“</w:t>
      </w:r>
      <w:r w:rsidR="00F1111D" w:rsidRPr="00382917">
        <w:t>The</w:t>
      </w:r>
      <w:r w:rsidR="00EE4FC3">
        <w:t xml:space="preserve"> </w:t>
      </w:r>
      <w:r w:rsidR="00F1111D" w:rsidRPr="00382917">
        <w:t>times</w:t>
      </w:r>
      <w:r w:rsidR="00EE4FC3">
        <w:t xml:space="preserve"> </w:t>
      </w:r>
      <w:r w:rsidR="00F1111D" w:rsidRPr="00382917">
        <w:t>of</w:t>
      </w:r>
      <w:r w:rsidR="00EE4FC3">
        <w:t xml:space="preserve"> </w:t>
      </w:r>
      <w:r w:rsidR="00F1111D" w:rsidRPr="00382917">
        <w:t>the</w:t>
      </w:r>
      <w:r w:rsidR="00EE4FC3">
        <w:t xml:space="preserve"> </w:t>
      </w:r>
      <w:r w:rsidR="00F1111D" w:rsidRPr="00382917">
        <w:t>Gentiles</w:t>
      </w:r>
      <w:r w:rsidR="009C713D" w:rsidRPr="00382917">
        <w:t>”</w:t>
      </w:r>
      <w:r w:rsidR="00EE4FC3">
        <w:t xml:space="preserve"> </w:t>
      </w:r>
      <w:r w:rsidR="00F1111D" w:rsidRPr="00382917">
        <w:t>was</w:t>
      </w:r>
      <w:r w:rsidR="00EE4FC3">
        <w:t xml:space="preserve"> </w:t>
      </w:r>
      <w:r w:rsidR="00F1111D" w:rsidRPr="00382917">
        <w:t>fulfilled</w:t>
      </w:r>
      <w:r w:rsidR="00EE4FC3">
        <w:t xml:space="preserve"> </w:t>
      </w:r>
      <w:r w:rsidR="00F1111D" w:rsidRPr="00382917">
        <w:t>in</w:t>
      </w:r>
      <w:r w:rsidR="00EE4FC3">
        <w:t xml:space="preserve"> </w:t>
      </w:r>
      <w:r w:rsidR="00F1111D" w:rsidRPr="00382917">
        <w:t>1844.</w:t>
      </w:r>
    </w:p>
    <w:p w:rsidR="00F1111D" w:rsidRPr="00382917" w:rsidRDefault="00244241" w:rsidP="00244241">
      <w:pPr>
        <w:pStyle w:val="Bullet2ct"/>
      </w:pPr>
      <w:r w:rsidRPr="00382917">
        <w:t>3.</w:t>
      </w:r>
      <w:r w:rsidRPr="00382917">
        <w:tab/>
      </w:r>
      <w:r w:rsidR="00F1111D" w:rsidRPr="00382917">
        <w:t>The</w:t>
      </w:r>
      <w:r w:rsidR="00EE4FC3">
        <w:t xml:space="preserve"> </w:t>
      </w:r>
      <w:r w:rsidR="00F1111D" w:rsidRPr="00382917">
        <w:t>prophecy</w:t>
      </w:r>
      <w:r w:rsidR="00EE4FC3">
        <w:t xml:space="preserve"> </w:t>
      </w:r>
      <w:r w:rsidR="00F1111D" w:rsidRPr="00382917">
        <w:t>given</w:t>
      </w:r>
      <w:r w:rsidR="00EE4FC3">
        <w:t xml:space="preserve"> </w:t>
      </w:r>
      <w:r w:rsidR="00F1111D" w:rsidRPr="00382917">
        <w:t>by</w:t>
      </w:r>
      <w:r w:rsidR="00EE4FC3">
        <w:t xml:space="preserve"> </w:t>
      </w:r>
      <w:r w:rsidR="00F1111D" w:rsidRPr="00382917">
        <w:t>Daniel</w:t>
      </w:r>
      <w:r w:rsidR="00EE4FC3">
        <w:t xml:space="preserve"> </w:t>
      </w:r>
      <w:r w:rsidR="00F1111D" w:rsidRPr="00382917">
        <w:t>came</w:t>
      </w:r>
      <w:r w:rsidR="00EE4FC3">
        <w:t xml:space="preserve"> </w:t>
      </w:r>
      <w:r w:rsidR="00F1111D" w:rsidRPr="00382917">
        <w:t>to</w:t>
      </w:r>
      <w:r w:rsidR="00EE4FC3">
        <w:t xml:space="preserve"> </w:t>
      </w:r>
      <w:r w:rsidR="00F1111D" w:rsidRPr="00382917">
        <w:t>pass</w:t>
      </w:r>
      <w:r w:rsidR="00EE4FC3">
        <w:t xml:space="preserve"> </w:t>
      </w:r>
      <w:r w:rsidR="00F1111D" w:rsidRPr="00382917">
        <w:t>in</w:t>
      </w:r>
      <w:r w:rsidR="00EE4FC3">
        <w:t xml:space="preserve"> </w:t>
      </w:r>
      <w:r w:rsidR="00F1111D" w:rsidRPr="00382917">
        <w:t>1844.</w:t>
      </w:r>
    </w:p>
    <w:p w:rsidR="00F1111D" w:rsidRPr="00382917" w:rsidRDefault="00F1111D" w:rsidP="00244241">
      <w:pPr>
        <w:pStyle w:val="Text"/>
      </w:pPr>
      <w:r w:rsidRPr="00382917">
        <w:t>Christ</w:t>
      </w:r>
      <w:r w:rsidR="00EE4FC3">
        <w:t xml:space="preserve"> </w:t>
      </w:r>
      <w:r w:rsidRPr="00382917">
        <w:t>told</w:t>
      </w:r>
      <w:r w:rsidR="00EE4FC3">
        <w:t xml:space="preserve"> </w:t>
      </w:r>
      <w:r w:rsidRPr="00382917">
        <w:t>His</w:t>
      </w:r>
      <w:r w:rsidR="00EE4FC3">
        <w:t xml:space="preserve"> </w:t>
      </w:r>
      <w:r w:rsidRPr="00382917">
        <w:t>disciples</w:t>
      </w:r>
      <w:r w:rsidR="00C03C91">
        <w:t>:</w:t>
      </w:r>
      <w:r w:rsidR="00EE4FC3">
        <w:t xml:space="preserve">  </w:t>
      </w:r>
      <w:r w:rsidRPr="00382917">
        <w:t>When</w:t>
      </w:r>
      <w:r w:rsidR="00EE4FC3">
        <w:t xml:space="preserve"> </w:t>
      </w:r>
      <w:r w:rsidRPr="00382917">
        <w:t>ye</w:t>
      </w:r>
      <w:r w:rsidR="00EE4FC3">
        <w:t xml:space="preserve"> </w:t>
      </w:r>
      <w:r w:rsidRPr="00382917">
        <w:t>see</w:t>
      </w:r>
      <w:r w:rsidR="00EE4FC3">
        <w:t xml:space="preserve"> </w:t>
      </w:r>
      <w:r w:rsidRPr="00382917">
        <w:t>these</w:t>
      </w:r>
      <w:r w:rsidR="00EE4FC3">
        <w:t xml:space="preserve"> </w:t>
      </w:r>
      <w:r w:rsidRPr="00382917">
        <w:t>things,</w:t>
      </w:r>
      <w:r w:rsidR="00EE4FC3">
        <w:t xml:space="preserve"> </w:t>
      </w:r>
      <w:r w:rsidRPr="00382917">
        <w:t>it</w:t>
      </w:r>
      <w:r w:rsidR="00EE4FC3">
        <w:t xml:space="preserve"> </w:t>
      </w:r>
      <w:r w:rsidRPr="00382917">
        <w:t>will</w:t>
      </w:r>
      <w:r w:rsidR="00EE4FC3">
        <w:t xml:space="preserve"> </w:t>
      </w:r>
      <w:r w:rsidRPr="00382917">
        <w:t>be</w:t>
      </w:r>
      <w:r w:rsidR="00EE4FC3">
        <w:t xml:space="preserve"> </w:t>
      </w:r>
      <w:r w:rsidRPr="00382917">
        <w:t>the</w:t>
      </w:r>
      <w:r w:rsidR="00EE4FC3">
        <w:t xml:space="preserve"> </w:t>
      </w:r>
      <w:r w:rsidRPr="00382917">
        <w:t>time</w:t>
      </w:r>
      <w:r w:rsidR="00EE4FC3">
        <w:t xml:space="preserve"> </w:t>
      </w:r>
      <w:r w:rsidRPr="00382917">
        <w:t>of</w:t>
      </w:r>
      <w:r w:rsidR="00EE4FC3">
        <w:t xml:space="preserve"> </w:t>
      </w:r>
      <w:proofErr w:type="gramStart"/>
      <w:r w:rsidRPr="00382917">
        <w:t>My</w:t>
      </w:r>
      <w:proofErr w:type="gramEnd"/>
      <w:r w:rsidR="00EE4FC3">
        <w:t xml:space="preserve"> </w:t>
      </w:r>
      <w:r w:rsidRPr="00382917">
        <w:t>coming,</w:t>
      </w:r>
      <w:r w:rsidR="00EE4FC3">
        <w:t xml:space="preserve"> </w:t>
      </w:r>
      <w:r w:rsidRPr="00382917">
        <w:t>and</w:t>
      </w:r>
      <w:r w:rsidR="00EE4FC3">
        <w:t xml:space="preserve"> </w:t>
      </w:r>
      <w:r w:rsidRPr="00382917">
        <w:t>the</w:t>
      </w:r>
      <w:r w:rsidR="00EE4FC3">
        <w:t xml:space="preserve"> </w:t>
      </w:r>
      <w:r w:rsidRPr="00382917">
        <w:t>time</w:t>
      </w:r>
      <w:r w:rsidR="00EE4FC3">
        <w:t xml:space="preserve"> </w:t>
      </w:r>
      <w:r w:rsidRPr="00382917">
        <w:t>of</w:t>
      </w:r>
      <w:r w:rsidR="00EE4FC3">
        <w:t xml:space="preserve"> </w:t>
      </w:r>
      <w:r w:rsidRPr="00382917">
        <w:t>the</w:t>
      </w:r>
      <w:r w:rsidR="00EE4FC3">
        <w:t xml:space="preserve"> </w:t>
      </w:r>
      <w:r w:rsidRPr="00382917">
        <w:t>end.</w:t>
      </w:r>
    </w:p>
    <w:p w:rsidR="00F1111D" w:rsidRPr="00382917" w:rsidRDefault="00F1111D" w:rsidP="002F2CB1">
      <w:pPr>
        <w:pStyle w:val="Text"/>
      </w:pPr>
      <w:r w:rsidRPr="00382917">
        <w:t>The</w:t>
      </w:r>
      <w:r w:rsidR="00EE4FC3">
        <w:t xml:space="preserve"> </w:t>
      </w:r>
      <w:r w:rsidRPr="00382917">
        <w:t>words</w:t>
      </w:r>
      <w:r w:rsidR="00EE4FC3">
        <w:t xml:space="preserve"> </w:t>
      </w:r>
      <w:r w:rsidRPr="00382917">
        <w:t>of</w:t>
      </w:r>
      <w:r w:rsidR="00EE4FC3">
        <w:t xml:space="preserve"> </w:t>
      </w:r>
      <w:r w:rsidRPr="00382917">
        <w:t>Daniel,</w:t>
      </w:r>
      <w:r w:rsidR="00EE4FC3">
        <w:t xml:space="preserve"> </w:t>
      </w:r>
      <w:r w:rsidRPr="00382917">
        <w:t>which</w:t>
      </w:r>
      <w:r w:rsidR="00EE4FC3">
        <w:t xml:space="preserve"> </w:t>
      </w:r>
      <w:r w:rsidRPr="00382917">
        <w:t>told</w:t>
      </w:r>
      <w:r w:rsidR="00EE4FC3">
        <w:t xml:space="preserve"> </w:t>
      </w:r>
      <w:r w:rsidRPr="00382917">
        <w:t>with</w:t>
      </w:r>
      <w:r w:rsidR="00EE4FC3">
        <w:t xml:space="preserve"> </w:t>
      </w:r>
      <w:r w:rsidRPr="00382917">
        <w:t>such</w:t>
      </w:r>
      <w:r w:rsidR="00EE4FC3">
        <w:t xml:space="preserve"> </w:t>
      </w:r>
      <w:r w:rsidRPr="00382917">
        <w:t>startling</w:t>
      </w:r>
      <w:r w:rsidR="00EE4FC3">
        <w:t xml:space="preserve"> </w:t>
      </w:r>
      <w:r w:rsidRPr="00382917">
        <w:t>accuracy</w:t>
      </w:r>
      <w:r w:rsidR="00EE4FC3">
        <w:t xml:space="preserve"> </w:t>
      </w:r>
      <w:r w:rsidRPr="00382917">
        <w:t>the</w:t>
      </w:r>
      <w:r w:rsidR="00EE4FC3">
        <w:t xml:space="preserve"> </w:t>
      </w:r>
      <w:r w:rsidRPr="00382917">
        <w:t>story</w:t>
      </w:r>
      <w:r w:rsidR="00EE4FC3">
        <w:t xml:space="preserve"> </w:t>
      </w:r>
      <w:r w:rsidRPr="00382917">
        <w:t>of</w:t>
      </w:r>
      <w:r w:rsidR="00EE4FC3">
        <w:t xml:space="preserve"> </w:t>
      </w:r>
      <w:r w:rsidRPr="00382917">
        <w:t>both</w:t>
      </w:r>
      <w:r w:rsidR="00EE4FC3">
        <w:t xml:space="preserve"> </w:t>
      </w:r>
      <w:r w:rsidRPr="00382917">
        <w:t>the</w:t>
      </w:r>
      <w:r w:rsidR="00EE4FC3">
        <w:t xml:space="preserve"> </w:t>
      </w:r>
      <w:r w:rsidRPr="006624C8">
        <w:rPr>
          <w:i/>
          <w:iCs/>
        </w:rPr>
        <w:t>first</w:t>
      </w:r>
      <w:r w:rsidR="00EE4FC3">
        <w:t xml:space="preserve"> </w:t>
      </w:r>
      <w:r w:rsidRPr="00382917">
        <w:t>and</w:t>
      </w:r>
      <w:r w:rsidR="00EE4FC3">
        <w:t xml:space="preserve"> </w:t>
      </w:r>
      <w:r w:rsidRPr="006624C8">
        <w:rPr>
          <w:i/>
          <w:iCs/>
        </w:rPr>
        <w:t>second</w:t>
      </w:r>
      <w:r w:rsidR="00EE4FC3">
        <w:t xml:space="preserve"> </w:t>
      </w:r>
      <w:r w:rsidRPr="00382917">
        <w:t>coming</w:t>
      </w:r>
      <w:r w:rsidR="00EE4FC3">
        <w:t xml:space="preserve"> </w:t>
      </w:r>
      <w:r w:rsidRPr="00382917">
        <w:t>of</w:t>
      </w:r>
      <w:r w:rsidR="00EE4FC3">
        <w:t xml:space="preserve"> </w:t>
      </w:r>
      <w:r w:rsidRPr="00382917">
        <w:t>Christ,</w:t>
      </w:r>
      <w:r w:rsidR="00EE4FC3">
        <w:t xml:space="preserve"> </w:t>
      </w:r>
      <w:r w:rsidRPr="00382917">
        <w:t>were</w:t>
      </w:r>
      <w:r w:rsidR="00EE4FC3">
        <w:t xml:space="preserve"> </w:t>
      </w:r>
      <w:r w:rsidRPr="00382917">
        <w:t>written</w:t>
      </w:r>
      <w:r w:rsidR="00EE4FC3">
        <w:t xml:space="preserve"> </w:t>
      </w:r>
      <w:r w:rsidRPr="00382917">
        <w:t>by</w:t>
      </w:r>
      <w:r w:rsidR="00EE4FC3">
        <w:t xml:space="preserve"> </w:t>
      </w:r>
      <w:r w:rsidRPr="00382917">
        <w:t>Daniel</w:t>
      </w:r>
      <w:r w:rsidR="00EE4FC3">
        <w:t xml:space="preserve"> </w:t>
      </w:r>
      <w:r w:rsidRPr="00382917">
        <w:t>in</w:t>
      </w:r>
      <w:r w:rsidR="00EE4FC3">
        <w:t xml:space="preserve"> </w:t>
      </w:r>
      <w:r w:rsidRPr="00382917">
        <w:t>Elam,</w:t>
      </w:r>
      <w:r w:rsidR="00EE4FC3">
        <w:t xml:space="preserve"> </w:t>
      </w:r>
      <w:r w:rsidRPr="00382917">
        <w:t>a</w:t>
      </w:r>
      <w:r w:rsidR="00EE4FC3">
        <w:t xml:space="preserve"> </w:t>
      </w:r>
      <w:r w:rsidRPr="00382917">
        <w:t>part</w:t>
      </w:r>
      <w:r w:rsidR="00EE4FC3">
        <w:t xml:space="preserve"> </w:t>
      </w:r>
      <w:r w:rsidRPr="00382917">
        <w:t>of</w:t>
      </w:r>
      <w:r w:rsidR="00EE4FC3">
        <w:t xml:space="preserve"> </w:t>
      </w:r>
      <w:r w:rsidRPr="00382917">
        <w:t>ancient</w:t>
      </w:r>
      <w:r w:rsidR="00EE4FC3">
        <w:t xml:space="preserve"> </w:t>
      </w:r>
      <w:r w:rsidRPr="00382917">
        <w:t>Persia</w:t>
      </w:r>
      <w:r w:rsidR="00552489">
        <w:t>.</w:t>
      </w:r>
      <w:r w:rsidR="00EE4FC3">
        <w:t xml:space="preserve">  </w:t>
      </w:r>
      <w:r w:rsidRPr="00382917">
        <w:t>It</w:t>
      </w:r>
      <w:r w:rsidR="00EE4FC3">
        <w:t xml:space="preserve"> </w:t>
      </w:r>
      <w:r w:rsidRPr="00382917">
        <w:t>was</w:t>
      </w:r>
      <w:r w:rsidR="00EE4FC3">
        <w:t xml:space="preserve"> </w:t>
      </w:r>
      <w:r w:rsidRPr="00382917">
        <w:t>in</w:t>
      </w:r>
      <w:r w:rsidR="00EE4FC3">
        <w:t xml:space="preserve"> </w:t>
      </w:r>
      <w:r w:rsidRPr="00382917">
        <w:t>the</w:t>
      </w:r>
      <w:r w:rsidR="00EE4FC3">
        <w:t xml:space="preserve"> </w:t>
      </w:r>
      <w:r w:rsidRPr="00382917">
        <w:t>capital</w:t>
      </w:r>
      <w:r w:rsidR="00EE4FC3">
        <w:t xml:space="preserve"> </w:t>
      </w:r>
      <w:r w:rsidRPr="00382917">
        <w:t>of</w:t>
      </w:r>
      <w:r w:rsidR="00EE4FC3">
        <w:t xml:space="preserve"> </w:t>
      </w:r>
      <w:r w:rsidRPr="00382917">
        <w:t>ancient</w:t>
      </w:r>
      <w:r w:rsidR="00EE4FC3">
        <w:t xml:space="preserve"> </w:t>
      </w:r>
      <w:r w:rsidRPr="00382917">
        <w:t>Persia,</w:t>
      </w:r>
      <w:r w:rsidR="00EE4FC3">
        <w:t xml:space="preserve"> </w:t>
      </w:r>
      <w:r w:rsidR="006624C8" w:rsidRPr="00753DFA">
        <w:rPr>
          <w:u w:val="single"/>
        </w:rPr>
        <w:t>Sh</w:t>
      </w:r>
      <w:r w:rsidR="006624C8">
        <w:t>u</w:t>
      </w:r>
      <w:r w:rsidR="006624C8" w:rsidRPr="00753DFA">
        <w:rPr>
          <w:u w:val="single"/>
        </w:rPr>
        <w:t>sh</w:t>
      </w:r>
      <w:r w:rsidR="002F2CB1" w:rsidRPr="002F2CB1">
        <w:t xml:space="preserve"> (Susa)</w:t>
      </w:r>
      <w:r w:rsidRPr="00382917">
        <w:t>,</w:t>
      </w:r>
      <w:r w:rsidR="00EE4FC3">
        <w:t xml:space="preserve"> </w:t>
      </w:r>
      <w:r w:rsidRPr="00382917">
        <w:t>that</w:t>
      </w:r>
      <w:r w:rsidR="00EE4FC3">
        <w:t xml:space="preserve"> </w:t>
      </w:r>
      <w:r w:rsidRPr="00382917">
        <w:t>Daniel</w:t>
      </w:r>
      <w:r w:rsidR="00EE4FC3">
        <w:t xml:space="preserve"> </w:t>
      </w:r>
      <w:r w:rsidRPr="00382917">
        <w:t>gave</w:t>
      </w:r>
      <w:r w:rsidR="00EE4FC3">
        <w:t xml:space="preserve"> </w:t>
      </w:r>
      <w:r w:rsidRPr="00382917">
        <w:t>his</w:t>
      </w:r>
      <w:r w:rsidR="00EE4FC3">
        <w:t xml:space="preserve"> </w:t>
      </w:r>
      <w:r w:rsidRPr="00382917">
        <w:t>prophecy</w:t>
      </w:r>
      <w:r w:rsidR="00EE4FC3">
        <w:t xml:space="preserve"> </w:t>
      </w:r>
      <w:r w:rsidRPr="00382917">
        <w:t>foretelling</w:t>
      </w:r>
      <w:r w:rsidR="00EE4FC3">
        <w:t xml:space="preserve"> </w:t>
      </w:r>
      <w:r w:rsidRPr="00382917">
        <w:t>1844</w:t>
      </w:r>
      <w:r w:rsidR="00EE4FC3">
        <w:t xml:space="preserve"> </w:t>
      </w:r>
      <w:r w:rsidRPr="00382917">
        <w:t>as</w:t>
      </w:r>
      <w:r w:rsidR="00EE4FC3">
        <w:t xml:space="preserve"> </w:t>
      </w:r>
      <w:r w:rsidRPr="00382917">
        <w:t>the</w:t>
      </w:r>
      <w:r w:rsidR="00EE4FC3">
        <w:t xml:space="preserve"> </w:t>
      </w:r>
      <w:r w:rsidRPr="00382917">
        <w:t>time</w:t>
      </w:r>
      <w:r w:rsidR="00EE4FC3">
        <w:t xml:space="preserve"> </w:t>
      </w:r>
      <w:r w:rsidRPr="00382917">
        <w:t>for</w:t>
      </w:r>
      <w:r w:rsidR="00EE4FC3">
        <w:t xml:space="preserve"> </w:t>
      </w:r>
      <w:r w:rsidRPr="00382917">
        <w:t>Christ</w:t>
      </w:r>
      <w:r w:rsidR="009C713D" w:rsidRPr="00382917">
        <w:t>’</w:t>
      </w:r>
      <w:r w:rsidRPr="00382917">
        <w:t>s</w:t>
      </w:r>
      <w:r w:rsidR="00EE4FC3">
        <w:t xml:space="preserve"> </w:t>
      </w:r>
      <w:r w:rsidRPr="00382917">
        <w:t>return</w:t>
      </w:r>
      <w:r w:rsidR="00552489">
        <w:t>.</w:t>
      </w:r>
      <w:r w:rsidR="00EE4FC3">
        <w:t xml:space="preserve">  </w:t>
      </w:r>
      <w:r w:rsidRPr="00382917">
        <w:t>He</w:t>
      </w:r>
      <w:r w:rsidR="00EE4FC3">
        <w:t xml:space="preserve"> </w:t>
      </w:r>
      <w:r w:rsidRPr="00382917">
        <w:t>not</w:t>
      </w:r>
      <w:r w:rsidR="00EE4FC3">
        <w:t xml:space="preserve"> </w:t>
      </w:r>
      <w:r w:rsidRPr="00382917">
        <w:t>only</w:t>
      </w:r>
      <w:r w:rsidR="00EE4FC3">
        <w:t xml:space="preserve"> </w:t>
      </w:r>
      <w:r w:rsidRPr="00382917">
        <w:t>gave</w:t>
      </w:r>
      <w:r w:rsidR="00EE4FC3">
        <w:t xml:space="preserve"> </w:t>
      </w:r>
      <w:r w:rsidRPr="00382917">
        <w:t>the</w:t>
      </w:r>
      <w:r w:rsidR="00EE4FC3">
        <w:t xml:space="preserve"> </w:t>
      </w:r>
      <w:r w:rsidRPr="00382917">
        <w:t>time,</w:t>
      </w:r>
      <w:r w:rsidR="00EE4FC3">
        <w:t xml:space="preserve"> </w:t>
      </w:r>
      <w:r w:rsidRPr="00382917">
        <w:t>he</w:t>
      </w:r>
      <w:r w:rsidR="00EE4FC3">
        <w:t xml:space="preserve"> </w:t>
      </w:r>
      <w:r w:rsidRPr="00382917">
        <w:t>also</w:t>
      </w:r>
      <w:r w:rsidR="00EE4FC3">
        <w:t xml:space="preserve"> </w:t>
      </w:r>
      <w:r w:rsidRPr="00382917">
        <w:t>directed</w:t>
      </w:r>
      <w:r w:rsidR="00EE4FC3">
        <w:t xml:space="preserve"> </w:t>
      </w:r>
      <w:r w:rsidRPr="00382917">
        <w:t>attention</w:t>
      </w:r>
      <w:r w:rsidR="00EE4FC3">
        <w:t xml:space="preserve"> </w:t>
      </w:r>
      <w:r w:rsidRPr="00382917">
        <w:t>to</w:t>
      </w:r>
      <w:r w:rsidR="00EE4FC3">
        <w:t xml:space="preserve"> </w:t>
      </w:r>
      <w:r w:rsidRPr="00382917">
        <w:t>the</w:t>
      </w:r>
      <w:r w:rsidR="00EE4FC3">
        <w:t xml:space="preserve"> </w:t>
      </w:r>
      <w:r w:rsidRPr="00382917">
        <w:t>place</w:t>
      </w:r>
      <w:r w:rsidR="00EE4FC3">
        <w:t xml:space="preserve"> </w:t>
      </w:r>
      <w:r w:rsidRPr="00382917">
        <w:t>in</w:t>
      </w:r>
      <w:r w:rsidR="00EE4FC3">
        <w:t xml:space="preserve"> </w:t>
      </w:r>
      <w:r w:rsidRPr="00382917">
        <w:t>which</w:t>
      </w:r>
      <w:r w:rsidR="00EE4FC3">
        <w:t xml:space="preserve"> </w:t>
      </w:r>
      <w:r w:rsidRPr="00382917">
        <w:t>he</w:t>
      </w:r>
      <w:r w:rsidR="00EE4FC3">
        <w:t xml:space="preserve"> </w:t>
      </w:r>
      <w:r w:rsidRPr="00382917">
        <w:t>would</w:t>
      </w:r>
      <w:r w:rsidR="00EE4FC3">
        <w:t xml:space="preserve"> </w:t>
      </w:r>
      <w:r w:rsidRPr="00382917">
        <w:t>appear,</w:t>
      </w:r>
      <w:r w:rsidR="00EE4FC3">
        <w:t xml:space="preserve"> </w:t>
      </w:r>
      <w:r w:rsidRPr="00382917">
        <w:t>saying</w:t>
      </w:r>
      <w:r w:rsidR="00EE4FC3">
        <w:t xml:space="preserve"> </w:t>
      </w:r>
      <w:r w:rsidRPr="00382917">
        <w:t>that</w:t>
      </w:r>
      <w:r w:rsidR="00EE4FC3">
        <w:t xml:space="preserve"> </w:t>
      </w:r>
      <w:r w:rsidR="009C713D" w:rsidRPr="00382917">
        <w:t>“</w:t>
      </w:r>
      <w:r w:rsidRPr="00382917">
        <w:t>Elam</w:t>
      </w:r>
      <w:r w:rsidR="009C713D" w:rsidRPr="00382917">
        <w:t>”</w:t>
      </w:r>
      <w:r w:rsidR="00EE4FC3">
        <w:t xml:space="preserve"> </w:t>
      </w:r>
      <w:r w:rsidRPr="00382917">
        <w:t>would</w:t>
      </w:r>
      <w:r w:rsidR="00EE4FC3">
        <w:t xml:space="preserve"> </w:t>
      </w:r>
      <w:r w:rsidRPr="00382917">
        <w:t>be</w:t>
      </w:r>
      <w:r w:rsidR="00EE4FC3">
        <w:t xml:space="preserve"> </w:t>
      </w:r>
      <w:r w:rsidRPr="00382917">
        <w:t>given</w:t>
      </w:r>
      <w:r w:rsidR="00EE4FC3">
        <w:t xml:space="preserve"> </w:t>
      </w:r>
      <w:r w:rsidRPr="00382917">
        <w:t>as</w:t>
      </w:r>
      <w:r w:rsidR="00EE4FC3">
        <w:t xml:space="preserve"> </w:t>
      </w:r>
      <w:r w:rsidRPr="00382917">
        <w:t>a</w:t>
      </w:r>
      <w:r w:rsidR="00EE4FC3">
        <w:t xml:space="preserve"> </w:t>
      </w:r>
      <w:r w:rsidRPr="00382917">
        <w:t>place</w:t>
      </w:r>
      <w:r w:rsidR="00EE4FC3">
        <w:t xml:space="preserve"> </w:t>
      </w:r>
      <w:r w:rsidRPr="00382917">
        <w:t>of</w:t>
      </w:r>
      <w:r w:rsidR="00EE4FC3">
        <w:t xml:space="preserve"> </w:t>
      </w:r>
      <w:r w:rsidR="009C713D" w:rsidRPr="00382917">
        <w:t>“</w:t>
      </w:r>
      <w:r w:rsidRPr="00382917">
        <w:t>vision</w:t>
      </w:r>
      <w:r w:rsidR="009C713D" w:rsidRPr="00382917">
        <w:t>”</w:t>
      </w:r>
      <w:r w:rsidR="00EE4FC3">
        <w:t xml:space="preserve"> </w:t>
      </w:r>
      <w:r w:rsidRPr="00382917">
        <w:t>in</w:t>
      </w:r>
      <w:r w:rsidR="00EE4FC3">
        <w:t xml:space="preserve"> </w:t>
      </w:r>
      <w:r w:rsidRPr="00382917">
        <w:t>the</w:t>
      </w:r>
      <w:r w:rsidR="00EE4FC3">
        <w:t xml:space="preserve"> </w:t>
      </w:r>
      <w:r w:rsidRPr="00382917">
        <w:t>latter</w:t>
      </w:r>
      <w:r w:rsidR="00EE4FC3">
        <w:t xml:space="preserve"> </w:t>
      </w:r>
      <w:r w:rsidRPr="00382917">
        <w:t>days.</w:t>
      </w:r>
      <w:r w:rsidR="002F2CB1">
        <w:rPr>
          <w:rStyle w:val="FootnoteReference"/>
        </w:rPr>
        <w:footnoteReference w:id="304"/>
      </w:r>
    </w:p>
    <w:p w:rsidR="00F1111D" w:rsidRPr="00382917" w:rsidRDefault="00F1111D" w:rsidP="00244241">
      <w:pPr>
        <w:pStyle w:val="Text"/>
      </w:pPr>
      <w:r w:rsidRPr="00382917">
        <w:t>The</w:t>
      </w:r>
      <w:r w:rsidR="00EE4FC3">
        <w:t xml:space="preserve"> </w:t>
      </w:r>
      <w:r w:rsidRPr="00382917">
        <w:t>holy</w:t>
      </w:r>
      <w:r w:rsidR="00EE4FC3">
        <w:t xml:space="preserve"> </w:t>
      </w:r>
      <w:r w:rsidRPr="00382917">
        <w:t>Bible</w:t>
      </w:r>
      <w:r w:rsidR="00EE4FC3">
        <w:t xml:space="preserve"> </w:t>
      </w:r>
      <w:r w:rsidRPr="00382917">
        <w:t>of</w:t>
      </w:r>
      <w:r w:rsidR="00EE4FC3">
        <w:t xml:space="preserve"> </w:t>
      </w:r>
      <w:r w:rsidRPr="00382917">
        <w:t>Christianity,</w:t>
      </w:r>
      <w:r w:rsidR="00EE4FC3">
        <w:t xml:space="preserve"> </w:t>
      </w:r>
      <w:r w:rsidRPr="00382917">
        <w:t>as</w:t>
      </w:r>
      <w:r w:rsidR="00EE4FC3">
        <w:t xml:space="preserve"> </w:t>
      </w:r>
      <w:r w:rsidRPr="00382917">
        <w:t>well</w:t>
      </w:r>
      <w:r w:rsidR="00EE4FC3">
        <w:t xml:space="preserve"> </w:t>
      </w:r>
      <w:r w:rsidRPr="00382917">
        <w:t>as</w:t>
      </w:r>
      <w:r w:rsidR="00EE4FC3">
        <w:t xml:space="preserve"> </w:t>
      </w:r>
      <w:r w:rsidRPr="00382917">
        <w:t>the</w:t>
      </w:r>
      <w:r w:rsidR="00EE4FC3">
        <w:t xml:space="preserve"> </w:t>
      </w:r>
      <w:r w:rsidRPr="00382917">
        <w:t>sacred</w:t>
      </w:r>
      <w:r w:rsidR="00EE4FC3">
        <w:t xml:space="preserve"> </w:t>
      </w:r>
      <w:r w:rsidRPr="00382917">
        <w:t>writings</w:t>
      </w:r>
      <w:r w:rsidR="00EE4FC3">
        <w:t xml:space="preserve"> </w:t>
      </w:r>
      <w:r w:rsidRPr="00382917">
        <w:t>of</w:t>
      </w:r>
      <w:r w:rsidR="00EE4FC3">
        <w:t xml:space="preserve"> </w:t>
      </w:r>
      <w:r w:rsidRPr="00382917">
        <w:t>the</w:t>
      </w:r>
      <w:r w:rsidR="00EE4FC3">
        <w:t xml:space="preserve"> </w:t>
      </w:r>
      <w:r w:rsidRPr="00382917">
        <w:t>Jews,</w:t>
      </w:r>
      <w:r w:rsidR="00EE4FC3">
        <w:t xml:space="preserve"> </w:t>
      </w:r>
      <w:r w:rsidRPr="00382917">
        <w:t>and</w:t>
      </w:r>
      <w:r w:rsidR="00EE4FC3">
        <w:t xml:space="preserve"> </w:t>
      </w:r>
      <w:r w:rsidRPr="00382917">
        <w:t>the</w:t>
      </w:r>
      <w:r w:rsidR="00EE4FC3">
        <w:t xml:space="preserve"> </w:t>
      </w:r>
      <w:r w:rsidRPr="00382917">
        <w:t>Scriptures</w:t>
      </w:r>
      <w:r w:rsidR="00EE4FC3">
        <w:t xml:space="preserve"> </w:t>
      </w:r>
      <w:r w:rsidRPr="00382917">
        <w:t>of</w:t>
      </w:r>
      <w:r w:rsidR="00EE4FC3">
        <w:t xml:space="preserve"> </w:t>
      </w:r>
      <w:r w:rsidR="0040329F" w:rsidRPr="00382917">
        <w:t>Isl</w:t>
      </w:r>
      <w:r w:rsidR="0040329F" w:rsidRPr="0040329F">
        <w:t>á</w:t>
      </w:r>
      <w:r w:rsidR="0040329F" w:rsidRPr="00382917">
        <w:t>m</w:t>
      </w:r>
      <w:r w:rsidR="00EE4FC3">
        <w:t xml:space="preserve"> </w:t>
      </w:r>
      <w:r w:rsidRPr="006624C8">
        <w:rPr>
          <w:i/>
          <w:iCs/>
        </w:rPr>
        <w:t>all</w:t>
      </w:r>
      <w:r w:rsidR="00EE4FC3">
        <w:t xml:space="preserve"> </w:t>
      </w:r>
      <w:r w:rsidRPr="00382917">
        <w:t>foretold</w:t>
      </w:r>
      <w:r w:rsidR="00EE4FC3">
        <w:t xml:space="preserve"> </w:t>
      </w:r>
      <w:r w:rsidRPr="00382917">
        <w:t>that</w:t>
      </w:r>
      <w:r w:rsidR="00EE4FC3">
        <w:t xml:space="preserve"> </w:t>
      </w:r>
      <w:r w:rsidRPr="00382917">
        <w:t>the</w:t>
      </w:r>
      <w:r w:rsidR="00EE4FC3">
        <w:t xml:space="preserve"> </w:t>
      </w:r>
      <w:r w:rsidRPr="00382917">
        <w:t>Promised</w:t>
      </w:r>
      <w:r w:rsidR="00EE4FC3">
        <w:t xml:space="preserve"> </w:t>
      </w:r>
      <w:r w:rsidRPr="00382917">
        <w:t>One</w:t>
      </w:r>
      <w:r w:rsidR="00EE4FC3">
        <w:t xml:space="preserve"> </w:t>
      </w:r>
      <w:r w:rsidRPr="00382917">
        <w:t>would</w:t>
      </w:r>
      <w:r w:rsidR="00EE4FC3">
        <w:t xml:space="preserve"> </w:t>
      </w:r>
      <w:r w:rsidRPr="00382917">
        <w:t>appear</w:t>
      </w:r>
      <w:r w:rsidR="00EE4FC3">
        <w:t xml:space="preserve"> </w:t>
      </w:r>
      <w:r w:rsidRPr="00382917">
        <w:t>in</w:t>
      </w:r>
      <w:r w:rsidR="00EE4FC3">
        <w:t xml:space="preserve"> </w:t>
      </w:r>
      <w:r w:rsidRPr="00382917">
        <w:t>the</w:t>
      </w:r>
      <w:r w:rsidR="00EE4FC3">
        <w:t xml:space="preserve"> </w:t>
      </w:r>
      <w:r w:rsidRPr="00382917">
        <w:t>last</w:t>
      </w:r>
      <w:r w:rsidR="00EE4FC3">
        <w:t xml:space="preserve"> </w:t>
      </w:r>
      <w:r w:rsidRPr="00382917">
        <w:t>days</w:t>
      </w:r>
      <w:r w:rsidR="00EE4FC3">
        <w:t xml:space="preserve"> </w:t>
      </w:r>
      <w:r w:rsidRPr="00382917">
        <w:t>in</w:t>
      </w:r>
      <w:r w:rsidR="00EE4FC3">
        <w:t xml:space="preserve"> </w:t>
      </w:r>
      <w:r w:rsidRPr="00382917">
        <w:t>Elam</w:t>
      </w:r>
      <w:r w:rsidR="00EE4FC3">
        <w:t xml:space="preserve"> </w:t>
      </w:r>
      <w:r w:rsidRPr="00382917">
        <w:t>or</w:t>
      </w:r>
      <w:r w:rsidR="00EE4FC3">
        <w:t xml:space="preserve"> </w:t>
      </w:r>
      <w:r w:rsidRPr="00382917">
        <w:t>Persia.</w:t>
      </w:r>
    </w:p>
    <w:p w:rsidR="00F1111D" w:rsidRPr="00382917" w:rsidRDefault="00F1111D" w:rsidP="002F2CB1">
      <w:pPr>
        <w:pStyle w:val="Text"/>
      </w:pPr>
      <w:r w:rsidRPr="00382917">
        <w:t>The</w:t>
      </w:r>
      <w:r w:rsidR="00EE4FC3">
        <w:t xml:space="preserve"> </w:t>
      </w:r>
      <w:r w:rsidRPr="00382917">
        <w:t>Prophet</w:t>
      </w:r>
      <w:r w:rsidR="00EE4FC3">
        <w:t xml:space="preserve"> </w:t>
      </w:r>
      <w:r w:rsidRPr="00382917">
        <w:t>Jeremiah,</w:t>
      </w:r>
      <w:r w:rsidR="00EE4FC3">
        <w:t xml:space="preserve"> </w:t>
      </w:r>
      <w:r w:rsidRPr="00382917">
        <w:t>speaking</w:t>
      </w:r>
      <w:r w:rsidR="00EE4FC3">
        <w:t xml:space="preserve"> </w:t>
      </w:r>
      <w:r w:rsidRPr="00382917">
        <w:t>of</w:t>
      </w:r>
      <w:r w:rsidR="00EE4FC3">
        <w:t xml:space="preserve"> </w:t>
      </w:r>
      <w:r w:rsidRPr="00382917">
        <w:t>the</w:t>
      </w:r>
      <w:r w:rsidR="00EE4FC3">
        <w:t xml:space="preserve"> </w:t>
      </w:r>
      <w:r w:rsidRPr="00382917">
        <w:t>time</w:t>
      </w:r>
      <w:r w:rsidR="00EE4FC3">
        <w:t xml:space="preserve"> </w:t>
      </w:r>
      <w:r w:rsidRPr="00382917">
        <w:t>of</w:t>
      </w:r>
      <w:r w:rsidR="00EE4FC3">
        <w:t xml:space="preserve"> </w:t>
      </w:r>
      <w:r w:rsidRPr="00382917">
        <w:t>the</w:t>
      </w:r>
      <w:r w:rsidR="00EE4FC3">
        <w:t xml:space="preserve"> </w:t>
      </w:r>
      <w:r w:rsidRPr="00382917">
        <w:t>end,</w:t>
      </w:r>
      <w:r w:rsidR="00EE4FC3">
        <w:t xml:space="preserve"> </w:t>
      </w:r>
      <w:r w:rsidRPr="00382917">
        <w:t>says</w:t>
      </w:r>
      <w:r w:rsidR="00C03C91">
        <w:t>:</w:t>
      </w:r>
      <w:r w:rsidR="00EE4FC3">
        <w:t xml:space="preserve">  </w:t>
      </w:r>
      <w:r w:rsidR="009C713D" w:rsidRPr="00382917">
        <w:t>“</w:t>
      </w:r>
      <w:r w:rsidRPr="00382917">
        <w:t>And</w:t>
      </w:r>
      <w:r w:rsidR="00EE4FC3">
        <w:t xml:space="preserve"> </w:t>
      </w:r>
      <w:r w:rsidRPr="00382917">
        <w:t>I</w:t>
      </w:r>
      <w:r w:rsidR="00EE4FC3">
        <w:t xml:space="preserve"> </w:t>
      </w:r>
      <w:r w:rsidRPr="00382917">
        <w:t>will</w:t>
      </w:r>
      <w:r w:rsidR="00EE4FC3">
        <w:t xml:space="preserve"> </w:t>
      </w:r>
      <w:r w:rsidRPr="00382917">
        <w:t>set</w:t>
      </w:r>
      <w:r w:rsidR="00EE4FC3">
        <w:t xml:space="preserve"> </w:t>
      </w:r>
      <w:r w:rsidRPr="00382917">
        <w:t>my</w:t>
      </w:r>
      <w:r w:rsidR="00EE4FC3">
        <w:t xml:space="preserve"> </w:t>
      </w:r>
      <w:r w:rsidRPr="00382917">
        <w:t>throne</w:t>
      </w:r>
      <w:r w:rsidR="00EE4FC3">
        <w:t xml:space="preserve"> </w:t>
      </w:r>
      <w:r w:rsidRPr="00382917">
        <w:t>in</w:t>
      </w:r>
      <w:r w:rsidR="00EE4FC3">
        <w:t xml:space="preserve"> </w:t>
      </w:r>
      <w:r w:rsidRPr="00382917">
        <w:t>Elam.</w:t>
      </w:r>
      <w:r w:rsidR="009C713D" w:rsidRPr="00382917">
        <w:t>”</w:t>
      </w:r>
      <w:r w:rsidR="002F2CB1">
        <w:rPr>
          <w:rStyle w:val="FootnoteReference"/>
        </w:rPr>
        <w:footnoteReference w:id="305"/>
      </w:r>
    </w:p>
    <w:p w:rsidR="00F1111D" w:rsidRPr="00382917" w:rsidRDefault="00F1111D" w:rsidP="00E12762">
      <w:pPr>
        <w:pStyle w:val="Text"/>
      </w:pPr>
      <w:r w:rsidRPr="00382917">
        <w:t>In</w:t>
      </w:r>
      <w:r w:rsidR="00EE4FC3">
        <w:t xml:space="preserve"> </w:t>
      </w:r>
      <w:r w:rsidRPr="00382917">
        <w:t>a</w:t>
      </w:r>
      <w:r w:rsidR="00EE4FC3">
        <w:t xml:space="preserve"> </w:t>
      </w:r>
      <w:r w:rsidRPr="00382917">
        <w:t>prophecy</w:t>
      </w:r>
      <w:r w:rsidR="00EE4FC3">
        <w:t xml:space="preserve"> </w:t>
      </w:r>
      <w:r w:rsidRPr="00382917">
        <w:t>of</w:t>
      </w:r>
      <w:r w:rsidR="00EE4FC3">
        <w:t xml:space="preserve"> </w:t>
      </w:r>
      <w:r w:rsidRPr="00382917">
        <w:t>remarkable</w:t>
      </w:r>
      <w:r w:rsidR="00EE4FC3">
        <w:t xml:space="preserve"> </w:t>
      </w:r>
      <w:r w:rsidRPr="00382917">
        <w:t>clarity,</w:t>
      </w:r>
      <w:r w:rsidR="00EE4FC3">
        <w:t xml:space="preserve"> </w:t>
      </w:r>
      <w:r w:rsidRPr="00382917">
        <w:t>the</w:t>
      </w:r>
      <w:r w:rsidR="00EE4FC3">
        <w:t xml:space="preserve"> </w:t>
      </w:r>
      <w:r w:rsidRPr="00382917">
        <w:t>sacred</w:t>
      </w:r>
      <w:r w:rsidR="00EE4FC3">
        <w:t xml:space="preserve"> </w:t>
      </w:r>
      <w:r w:rsidRPr="00382917">
        <w:t>writings</w:t>
      </w:r>
      <w:r w:rsidR="00EE4FC3">
        <w:t xml:space="preserve"> </w:t>
      </w:r>
      <w:r w:rsidRPr="00382917">
        <w:t>of</w:t>
      </w:r>
      <w:r w:rsidR="00EE4FC3">
        <w:t xml:space="preserve"> </w:t>
      </w:r>
      <w:r w:rsidR="0040329F" w:rsidRPr="00382917">
        <w:t>Isl</w:t>
      </w:r>
      <w:r w:rsidR="0040329F" w:rsidRPr="0040329F">
        <w:t>á</w:t>
      </w:r>
      <w:r w:rsidR="0040329F" w:rsidRPr="00382917">
        <w:t>m</w:t>
      </w:r>
      <w:r w:rsidR="00EE4FC3">
        <w:t xml:space="preserve"> </w:t>
      </w:r>
      <w:r w:rsidRPr="00382917">
        <w:t>state</w:t>
      </w:r>
      <w:r w:rsidR="00C03C91">
        <w:t>:</w:t>
      </w:r>
      <w:r w:rsidR="00EE4FC3">
        <w:t xml:space="preserve">  </w:t>
      </w:r>
      <w:r w:rsidRPr="00382917">
        <w:t>When</w:t>
      </w:r>
      <w:r w:rsidR="00EE4FC3">
        <w:t xml:space="preserve"> </w:t>
      </w:r>
      <w:r w:rsidRPr="00382917">
        <w:t>the</w:t>
      </w:r>
      <w:r w:rsidR="00EE4FC3">
        <w:t xml:space="preserve"> </w:t>
      </w:r>
      <w:r w:rsidRPr="00382917">
        <w:t>Promised</w:t>
      </w:r>
      <w:r w:rsidR="00EE4FC3">
        <w:t xml:space="preserve"> </w:t>
      </w:r>
      <w:r w:rsidRPr="00382917">
        <w:t>One</w:t>
      </w:r>
      <w:r w:rsidR="00EE4FC3">
        <w:t xml:space="preserve"> </w:t>
      </w:r>
      <w:r w:rsidRPr="00382917">
        <w:t>appears,</w:t>
      </w:r>
      <w:r w:rsidR="00EE4FC3">
        <w:t xml:space="preserve"> </w:t>
      </w:r>
      <w:r w:rsidR="009C713D" w:rsidRPr="00382917">
        <w:t>“</w:t>
      </w:r>
      <w:r w:rsidRPr="00382917">
        <w:t>the</w:t>
      </w:r>
      <w:r w:rsidR="00EE4FC3">
        <w:t xml:space="preserve"> </w:t>
      </w:r>
      <w:r w:rsidRPr="00382917">
        <w:t>upholders</w:t>
      </w:r>
      <w:r w:rsidR="00EE4FC3">
        <w:t xml:space="preserve"> </w:t>
      </w:r>
      <w:r w:rsidRPr="00382917">
        <w:t>of</w:t>
      </w:r>
      <w:r w:rsidR="00EE4FC3">
        <w:t xml:space="preserve"> </w:t>
      </w:r>
      <w:r w:rsidRPr="00382917">
        <w:t>His</w:t>
      </w:r>
      <w:r w:rsidR="00EE4FC3">
        <w:t xml:space="preserve"> </w:t>
      </w:r>
      <w:r w:rsidRPr="00382917">
        <w:t>faith</w:t>
      </w:r>
      <w:r w:rsidR="00EE4FC3">
        <w:t xml:space="preserve"> </w:t>
      </w:r>
      <w:r w:rsidRPr="00382917">
        <w:t>shall</w:t>
      </w:r>
      <w:r w:rsidR="00EE4FC3">
        <w:t xml:space="preserve"> </w:t>
      </w:r>
      <w:r w:rsidRPr="00382917">
        <w:t>be</w:t>
      </w:r>
      <w:r w:rsidR="00EE4FC3">
        <w:t xml:space="preserve"> </w:t>
      </w:r>
      <w:r w:rsidRPr="00382917">
        <w:t>of</w:t>
      </w:r>
      <w:r w:rsidR="00EE4FC3">
        <w:t xml:space="preserve"> </w:t>
      </w:r>
      <w:r w:rsidRPr="00382917">
        <w:t>the</w:t>
      </w:r>
      <w:r w:rsidR="00EE4FC3">
        <w:t xml:space="preserve"> </w:t>
      </w:r>
      <w:r w:rsidRPr="00382917">
        <w:t>people</w:t>
      </w:r>
      <w:r w:rsidR="00EE4FC3">
        <w:t xml:space="preserve"> </w:t>
      </w:r>
      <w:r w:rsidRPr="00382917">
        <w:t>of</w:t>
      </w:r>
      <w:r w:rsidR="00EE4FC3">
        <w:t xml:space="preserve"> </w:t>
      </w:r>
      <w:r w:rsidRPr="00382917">
        <w:t>Persia.</w:t>
      </w:r>
      <w:r w:rsidR="009C713D" w:rsidRPr="00382917">
        <w:t>”</w:t>
      </w:r>
      <w:r w:rsidR="00E12762">
        <w:rPr>
          <w:rStyle w:val="FootnoteReference"/>
        </w:rPr>
        <w:footnoteReference w:id="306"/>
      </w:r>
    </w:p>
    <w:p w:rsidR="00F1111D" w:rsidRPr="00382917" w:rsidRDefault="00F1111D" w:rsidP="00244241">
      <w:pPr>
        <w:pStyle w:val="Text"/>
      </w:pPr>
      <w:r w:rsidRPr="00382917">
        <w:t>With</w:t>
      </w:r>
      <w:r w:rsidR="00EE4FC3">
        <w:t xml:space="preserve"> </w:t>
      </w:r>
      <w:r w:rsidRPr="00382917">
        <w:t>all</w:t>
      </w:r>
      <w:r w:rsidR="00EE4FC3">
        <w:t xml:space="preserve"> </w:t>
      </w:r>
      <w:r w:rsidRPr="00382917">
        <w:t>these</w:t>
      </w:r>
      <w:r w:rsidR="00EE4FC3">
        <w:t xml:space="preserve"> </w:t>
      </w:r>
      <w:r w:rsidRPr="00382917">
        <w:t>proofs</w:t>
      </w:r>
      <w:r w:rsidR="00EE4FC3">
        <w:t xml:space="preserve"> </w:t>
      </w:r>
      <w:r w:rsidRPr="00382917">
        <w:t>to</w:t>
      </w:r>
      <w:r w:rsidR="00EE4FC3">
        <w:t xml:space="preserve"> </w:t>
      </w:r>
      <w:r w:rsidRPr="00382917">
        <w:t>guide</w:t>
      </w:r>
      <w:r w:rsidR="00EE4FC3">
        <w:t xml:space="preserve"> </w:t>
      </w:r>
      <w:r w:rsidRPr="00382917">
        <w:t>them,</w:t>
      </w:r>
      <w:r w:rsidR="00EE4FC3">
        <w:t xml:space="preserve"> </w:t>
      </w:r>
      <w:r w:rsidRPr="00382917">
        <w:t>why</w:t>
      </w:r>
      <w:r w:rsidR="00EE4FC3">
        <w:t xml:space="preserve"> </w:t>
      </w:r>
      <w:r w:rsidRPr="00382917">
        <w:t>did</w:t>
      </w:r>
      <w:r w:rsidR="00EE4FC3">
        <w:t xml:space="preserve"> </w:t>
      </w:r>
      <w:r w:rsidRPr="00382917">
        <w:t>the</w:t>
      </w:r>
      <w:r w:rsidR="00EE4FC3">
        <w:t xml:space="preserve"> </w:t>
      </w:r>
      <w:r w:rsidRPr="00382917">
        <w:t>people</w:t>
      </w:r>
      <w:r w:rsidR="00EE4FC3">
        <w:t xml:space="preserve"> </w:t>
      </w:r>
      <w:r w:rsidRPr="00382917">
        <w:t>fail</w:t>
      </w:r>
      <w:r w:rsidR="00EE4FC3">
        <w:t xml:space="preserve"> </w:t>
      </w:r>
      <w:r w:rsidRPr="00382917">
        <w:t>to</w:t>
      </w:r>
      <w:r w:rsidR="00EE4FC3">
        <w:t xml:space="preserve"> </w:t>
      </w:r>
      <w:r w:rsidRPr="00382917">
        <w:t>recognize</w:t>
      </w:r>
      <w:r w:rsidR="00EE4FC3">
        <w:t xml:space="preserve"> </w:t>
      </w:r>
      <w:r w:rsidRPr="00382917">
        <w:t>Christ</w:t>
      </w:r>
      <w:r w:rsidR="00EE4FC3">
        <w:t xml:space="preserve"> </w:t>
      </w:r>
      <w:r w:rsidRPr="00382917">
        <w:t>in</w:t>
      </w:r>
      <w:r w:rsidR="00EE4FC3">
        <w:t xml:space="preserve"> </w:t>
      </w:r>
      <w:r w:rsidRPr="00382917">
        <w:t>the</w:t>
      </w:r>
      <w:r w:rsidR="00EE4FC3">
        <w:t xml:space="preserve"> </w:t>
      </w:r>
      <w:r w:rsidRPr="00382917">
        <w:t>day</w:t>
      </w:r>
      <w:r w:rsidR="00EE4FC3">
        <w:t xml:space="preserve"> </w:t>
      </w:r>
      <w:r w:rsidRPr="00382917">
        <w:t>of</w:t>
      </w:r>
      <w:r w:rsidR="00EE4FC3">
        <w:t xml:space="preserve"> </w:t>
      </w:r>
      <w:r w:rsidRPr="00382917">
        <w:t>His</w:t>
      </w:r>
      <w:r w:rsidR="00EE4FC3">
        <w:t xml:space="preserve"> </w:t>
      </w:r>
      <w:r w:rsidRPr="00382917">
        <w:t>return</w:t>
      </w:r>
      <w:r w:rsidR="00EE4FC3">
        <w:t xml:space="preserve"> </w:t>
      </w:r>
      <w:r w:rsidRPr="00382917">
        <w:t>in</w:t>
      </w:r>
      <w:r w:rsidR="00EE4FC3">
        <w:t xml:space="preserve"> </w:t>
      </w:r>
      <w:r w:rsidRPr="00382917">
        <w:t>1844</w:t>
      </w:r>
      <w:r w:rsidR="003C712C">
        <w:t xml:space="preserve">?  </w:t>
      </w:r>
      <w:r w:rsidRPr="00382917">
        <w:t>Why</w:t>
      </w:r>
      <w:r w:rsidR="00EE4FC3">
        <w:t xml:space="preserve"> </w:t>
      </w:r>
      <w:r w:rsidRPr="00382917">
        <w:t>did</w:t>
      </w:r>
      <w:r w:rsidR="00EE4FC3">
        <w:t xml:space="preserve"> </w:t>
      </w:r>
      <w:r w:rsidRPr="00382917">
        <w:t>over</w:t>
      </w:r>
      <w:r w:rsidR="00EE4FC3">
        <w:t xml:space="preserve"> </w:t>
      </w:r>
      <w:r w:rsidRPr="00382917">
        <w:t>a</w:t>
      </w:r>
      <w:r w:rsidR="00EE4FC3">
        <w:t xml:space="preserve"> </w:t>
      </w:r>
      <w:r w:rsidRPr="00382917">
        <w:t>century</w:t>
      </w:r>
      <w:r w:rsidR="00EE4FC3">
        <w:t xml:space="preserve"> </w:t>
      </w:r>
      <w:r w:rsidRPr="00382917">
        <w:t>pass</w:t>
      </w:r>
      <w:r w:rsidR="00EE4FC3">
        <w:t xml:space="preserve"> </w:t>
      </w:r>
      <w:r w:rsidRPr="00382917">
        <w:t>with</w:t>
      </w:r>
      <w:r w:rsidR="00EE4FC3">
        <w:t xml:space="preserve"> </w:t>
      </w:r>
      <w:r w:rsidRPr="00382917">
        <w:t>no</w:t>
      </w:r>
      <w:r w:rsidR="00EE4FC3">
        <w:t xml:space="preserve"> </w:t>
      </w:r>
      <w:r w:rsidRPr="00382917">
        <w:t>clear</w:t>
      </w:r>
      <w:r w:rsidR="00EE4FC3">
        <w:t xml:space="preserve"> </w:t>
      </w:r>
      <w:r w:rsidRPr="00382917">
        <w:t>explanation</w:t>
      </w:r>
      <w:r w:rsidR="00EE4FC3">
        <w:t xml:space="preserve"> </w:t>
      </w:r>
      <w:r w:rsidRPr="00382917">
        <w:t>of</w:t>
      </w:r>
      <w:r w:rsidR="00EE4FC3">
        <w:t xml:space="preserve"> </w:t>
      </w:r>
      <w:r w:rsidRPr="00382917">
        <w:t>this</w:t>
      </w:r>
      <w:r w:rsidR="00EE4FC3">
        <w:t xml:space="preserve"> </w:t>
      </w:r>
      <w:r w:rsidRPr="00382917">
        <w:t>great</w:t>
      </w:r>
      <w:r w:rsidR="00EE4FC3">
        <w:t xml:space="preserve"> </w:t>
      </w:r>
      <w:r w:rsidRPr="00382917">
        <w:t>riddle?</w:t>
      </w:r>
    </w:p>
    <w:p w:rsidR="00F1111D" w:rsidRPr="00382917" w:rsidRDefault="00F1111D" w:rsidP="00244241">
      <w:pPr>
        <w:pStyle w:val="Text"/>
      </w:pPr>
      <w:r w:rsidRPr="00382917">
        <w:t>The</w:t>
      </w:r>
      <w:r w:rsidR="00EE4FC3">
        <w:t xml:space="preserve"> </w:t>
      </w:r>
      <w:r w:rsidRPr="00382917">
        <w:t>answer</w:t>
      </w:r>
      <w:r w:rsidR="00EE4FC3">
        <w:t xml:space="preserve"> </w:t>
      </w:r>
      <w:r w:rsidRPr="00382917">
        <w:t>is</w:t>
      </w:r>
      <w:r w:rsidR="00EE4FC3">
        <w:t xml:space="preserve"> </w:t>
      </w:r>
      <w:r w:rsidRPr="00382917">
        <w:t>simple</w:t>
      </w:r>
      <w:r w:rsidR="00552489">
        <w:t>.</w:t>
      </w:r>
      <w:r w:rsidR="00EE4FC3">
        <w:t xml:space="preserve">  </w:t>
      </w:r>
      <w:r w:rsidRPr="00382917">
        <w:t>It</w:t>
      </w:r>
      <w:r w:rsidR="00EE4FC3">
        <w:t xml:space="preserve"> </w:t>
      </w:r>
      <w:r w:rsidRPr="00382917">
        <w:t>was</w:t>
      </w:r>
      <w:r w:rsidR="00EE4FC3">
        <w:t xml:space="preserve"> </w:t>
      </w:r>
      <w:r w:rsidRPr="00382917">
        <w:t>for</w:t>
      </w:r>
      <w:r w:rsidR="00EE4FC3">
        <w:t xml:space="preserve"> </w:t>
      </w:r>
      <w:r w:rsidRPr="00382917">
        <w:t>the</w:t>
      </w:r>
      <w:r w:rsidR="00EE4FC3">
        <w:t xml:space="preserve"> </w:t>
      </w:r>
      <w:r w:rsidRPr="00382917">
        <w:t>same</w:t>
      </w:r>
      <w:r w:rsidR="00EE4FC3">
        <w:t xml:space="preserve"> </w:t>
      </w:r>
      <w:r w:rsidRPr="00382917">
        <w:t>reason</w:t>
      </w:r>
      <w:r w:rsidR="00EE4FC3">
        <w:t xml:space="preserve"> </w:t>
      </w:r>
      <w:r w:rsidRPr="00382917">
        <w:t>that</w:t>
      </w:r>
      <w:r w:rsidR="00EE4FC3">
        <w:t xml:space="preserve"> </w:t>
      </w:r>
      <w:r w:rsidRPr="00382917">
        <w:t>the</w:t>
      </w:r>
      <w:r w:rsidR="00EE4FC3">
        <w:t xml:space="preserve"> </w:t>
      </w:r>
      <w:r w:rsidRPr="00382917">
        <w:t>people</w:t>
      </w:r>
      <w:r w:rsidR="00EE4FC3">
        <w:t xml:space="preserve"> </w:t>
      </w:r>
      <w:r w:rsidRPr="00382917">
        <w:t>did</w:t>
      </w:r>
      <w:r w:rsidR="00EE4FC3">
        <w:t xml:space="preserve"> </w:t>
      </w:r>
      <w:r w:rsidRPr="00382917">
        <w:t>not</w:t>
      </w:r>
      <w:r w:rsidR="00EE4FC3">
        <w:t xml:space="preserve"> </w:t>
      </w:r>
      <w:r w:rsidRPr="00382917">
        <w:t>recognize</w:t>
      </w:r>
      <w:r w:rsidR="00EE4FC3">
        <w:t xml:space="preserve"> </w:t>
      </w:r>
      <w:r w:rsidRPr="00382917">
        <w:t>Christ</w:t>
      </w:r>
      <w:r w:rsidR="00EE4FC3">
        <w:t xml:space="preserve"> </w:t>
      </w:r>
      <w:r w:rsidRPr="00382917">
        <w:t>in</w:t>
      </w:r>
      <w:r w:rsidR="00EE4FC3">
        <w:t xml:space="preserve"> </w:t>
      </w:r>
      <w:r w:rsidRPr="00382917">
        <w:t>the</w:t>
      </w:r>
      <w:r w:rsidR="00EE4FC3">
        <w:t xml:space="preserve"> </w:t>
      </w:r>
      <w:r w:rsidRPr="00382917">
        <w:t>day</w:t>
      </w:r>
      <w:r w:rsidR="00EE4FC3">
        <w:t xml:space="preserve"> </w:t>
      </w:r>
      <w:r w:rsidRPr="00382917">
        <w:t>of</w:t>
      </w:r>
      <w:r w:rsidR="00EE4FC3">
        <w:t xml:space="preserve"> </w:t>
      </w:r>
      <w:r w:rsidRPr="00382917">
        <w:t>His</w:t>
      </w:r>
      <w:r w:rsidR="00EE4FC3">
        <w:t xml:space="preserve"> </w:t>
      </w:r>
      <w:r w:rsidRPr="00E12762">
        <w:rPr>
          <w:i/>
          <w:iCs/>
        </w:rPr>
        <w:t>first</w:t>
      </w:r>
      <w:r w:rsidR="00EE4FC3">
        <w:t xml:space="preserve"> </w:t>
      </w:r>
      <w:r w:rsidRPr="00382917">
        <w:t>coming,</w:t>
      </w:r>
      <w:r w:rsidR="00EE4FC3">
        <w:t xml:space="preserve"> </w:t>
      </w:r>
      <w:r w:rsidRPr="00382917">
        <w:t>until</w:t>
      </w:r>
      <w:r w:rsidR="00EE4FC3">
        <w:t xml:space="preserve"> </w:t>
      </w:r>
      <w:r w:rsidRPr="00382917">
        <w:t>after</w:t>
      </w:r>
      <w:r w:rsidR="00EE4FC3">
        <w:t xml:space="preserve"> </w:t>
      </w:r>
      <w:r w:rsidRPr="00382917">
        <w:t>the</w:t>
      </w:r>
      <w:r w:rsidR="00EE4FC3">
        <w:t xml:space="preserve"> </w:t>
      </w:r>
      <w:r w:rsidRPr="00382917">
        <w:t>passing</w:t>
      </w:r>
      <w:r w:rsidR="00EE4FC3">
        <w:t xml:space="preserve"> </w:t>
      </w:r>
      <w:r w:rsidRPr="00382917">
        <w:t>of</w:t>
      </w:r>
      <w:r w:rsidR="00EE4FC3">
        <w:t xml:space="preserve"> </w:t>
      </w:r>
      <w:r w:rsidRPr="00382917">
        <w:t>centuries.</w:t>
      </w:r>
    </w:p>
    <w:p w:rsidR="00F1111D" w:rsidRPr="00382917" w:rsidRDefault="00F1111D" w:rsidP="00244241">
      <w:pPr>
        <w:pStyle w:val="Text"/>
      </w:pPr>
      <w:r w:rsidRPr="00382917">
        <w:t>Those</w:t>
      </w:r>
      <w:r w:rsidR="00EE4FC3">
        <w:t xml:space="preserve"> </w:t>
      </w:r>
      <w:r w:rsidRPr="00382917">
        <w:t>who</w:t>
      </w:r>
      <w:r w:rsidR="00EE4FC3">
        <w:t xml:space="preserve"> </w:t>
      </w:r>
      <w:r w:rsidRPr="00382917">
        <w:t>were</w:t>
      </w:r>
      <w:r w:rsidR="00EE4FC3">
        <w:t xml:space="preserve"> </w:t>
      </w:r>
      <w:r w:rsidRPr="00382917">
        <w:t>spiritually</w:t>
      </w:r>
      <w:r w:rsidR="00EE4FC3">
        <w:t xml:space="preserve"> </w:t>
      </w:r>
      <w:r w:rsidR="009C713D" w:rsidRPr="00382917">
        <w:t>“</w:t>
      </w:r>
      <w:r w:rsidRPr="00382917">
        <w:t>alive</w:t>
      </w:r>
      <w:r w:rsidR="009C713D" w:rsidRPr="00382917">
        <w:t>”</w:t>
      </w:r>
      <w:r w:rsidR="00EE4FC3">
        <w:t xml:space="preserve"> </w:t>
      </w:r>
      <w:r w:rsidRPr="00382917">
        <w:t>knew</w:t>
      </w:r>
      <w:r w:rsidR="00EE4FC3">
        <w:t xml:space="preserve"> </w:t>
      </w:r>
      <w:r w:rsidRPr="00382917">
        <w:t>Him,</w:t>
      </w:r>
      <w:r w:rsidR="00EE4FC3">
        <w:t xml:space="preserve"> </w:t>
      </w:r>
      <w:r w:rsidRPr="00382917">
        <w:t>but</w:t>
      </w:r>
      <w:r w:rsidR="00EE4FC3">
        <w:t xml:space="preserve"> </w:t>
      </w:r>
      <w:r w:rsidRPr="00382917">
        <w:t>the</w:t>
      </w:r>
      <w:r w:rsidR="00EE4FC3">
        <w:t xml:space="preserve"> </w:t>
      </w:r>
      <w:r w:rsidRPr="00382917">
        <w:t>great</w:t>
      </w:r>
      <w:r w:rsidR="00EE4FC3">
        <w:t xml:space="preserve"> </w:t>
      </w:r>
      <w:r w:rsidRPr="00382917">
        <w:t>mass</w:t>
      </w:r>
    </w:p>
    <w:p w:rsidR="00244241" w:rsidRPr="00382917" w:rsidRDefault="00244241">
      <w:pPr>
        <w:widowControl/>
        <w:kinsoku/>
        <w:overflowPunct/>
        <w:textAlignment w:val="auto"/>
      </w:pPr>
      <w:r w:rsidRPr="00382917">
        <w:br w:type="page"/>
      </w:r>
    </w:p>
    <w:p w:rsidR="00F1111D" w:rsidRPr="00382917" w:rsidRDefault="00F1111D" w:rsidP="00244241">
      <w:pPr>
        <w:pStyle w:val="Textcts"/>
      </w:pPr>
      <w:proofErr w:type="gramStart"/>
      <w:r w:rsidRPr="00382917">
        <w:t>of</w:t>
      </w:r>
      <w:proofErr w:type="gramEnd"/>
      <w:r w:rsidR="00EE4FC3">
        <w:t xml:space="preserve"> </w:t>
      </w:r>
      <w:r w:rsidRPr="00382917">
        <w:t>mankind</w:t>
      </w:r>
      <w:r w:rsidR="00EE4FC3">
        <w:t xml:space="preserve"> </w:t>
      </w:r>
      <w:r w:rsidRPr="00382917">
        <w:t>were</w:t>
      </w:r>
      <w:r w:rsidR="00EE4FC3">
        <w:t xml:space="preserve"> </w:t>
      </w:r>
      <w:r w:rsidRPr="00382917">
        <w:t>spiritually</w:t>
      </w:r>
      <w:r w:rsidR="00EE4FC3">
        <w:t xml:space="preserve"> </w:t>
      </w:r>
      <w:r w:rsidR="009C713D" w:rsidRPr="00382917">
        <w:t>“</w:t>
      </w:r>
      <w:r w:rsidRPr="00382917">
        <w:t>dead</w:t>
      </w:r>
      <w:r w:rsidR="009C713D" w:rsidRPr="00382917">
        <w:t>”</w:t>
      </w:r>
      <w:r w:rsidR="00EE4FC3">
        <w:t xml:space="preserve"> </w:t>
      </w:r>
      <w:r w:rsidRPr="00382917">
        <w:t>and</w:t>
      </w:r>
      <w:r w:rsidR="00EE4FC3">
        <w:t xml:space="preserve"> </w:t>
      </w:r>
      <w:r w:rsidRPr="00382917">
        <w:t>knew</w:t>
      </w:r>
      <w:r w:rsidR="00EE4FC3">
        <w:t xml:space="preserve"> </w:t>
      </w:r>
      <w:r w:rsidRPr="00382917">
        <w:t>Him</w:t>
      </w:r>
      <w:r w:rsidR="00EE4FC3">
        <w:t xml:space="preserve"> </w:t>
      </w:r>
      <w:r w:rsidRPr="00382917">
        <w:t>not</w:t>
      </w:r>
      <w:r w:rsidR="00552489">
        <w:t>.</w:t>
      </w:r>
      <w:r w:rsidR="00EE4FC3">
        <w:t xml:space="preserve">  </w:t>
      </w:r>
      <w:r w:rsidRPr="00382917">
        <w:t>These</w:t>
      </w:r>
      <w:r w:rsidR="00EE4FC3">
        <w:t xml:space="preserve"> </w:t>
      </w:r>
      <w:r w:rsidRPr="00382917">
        <w:t>were</w:t>
      </w:r>
      <w:r w:rsidR="00EE4FC3">
        <w:t xml:space="preserve"> </w:t>
      </w:r>
      <w:r w:rsidRPr="00382917">
        <w:t>the</w:t>
      </w:r>
      <w:r w:rsidR="00EE4FC3">
        <w:t xml:space="preserve"> </w:t>
      </w:r>
      <w:r w:rsidRPr="00382917">
        <w:t>people</w:t>
      </w:r>
      <w:r w:rsidR="00EE4FC3">
        <w:t xml:space="preserve"> </w:t>
      </w:r>
      <w:r w:rsidRPr="00382917">
        <w:t>spoken</w:t>
      </w:r>
      <w:r w:rsidR="00EE4FC3">
        <w:t xml:space="preserve"> </w:t>
      </w:r>
      <w:r w:rsidRPr="00382917">
        <w:t>of</w:t>
      </w:r>
      <w:r w:rsidR="00EE4FC3">
        <w:t xml:space="preserve"> </w:t>
      </w:r>
      <w:r w:rsidRPr="00382917">
        <w:t>by</w:t>
      </w:r>
      <w:r w:rsidR="00EE4FC3">
        <w:t xml:space="preserve"> </w:t>
      </w:r>
      <w:r w:rsidRPr="00382917">
        <w:t>Jeremiah:</w:t>
      </w:r>
    </w:p>
    <w:p w:rsidR="00F1111D" w:rsidRPr="00382917" w:rsidRDefault="009C713D" w:rsidP="006A1640">
      <w:pPr>
        <w:pStyle w:val="Quote"/>
      </w:pPr>
      <w:r w:rsidRPr="00382917">
        <w:t>“</w:t>
      </w:r>
      <w:r w:rsidR="00244241" w:rsidRPr="00382917">
        <w:t>O</w:t>
      </w:r>
      <w:r w:rsidR="00EE4FC3">
        <w:t xml:space="preserve"> </w:t>
      </w:r>
      <w:r w:rsidR="00F1111D" w:rsidRPr="00382917">
        <w:t>foolish</w:t>
      </w:r>
      <w:r w:rsidR="00EE4FC3">
        <w:t xml:space="preserve"> </w:t>
      </w:r>
      <w:r w:rsidR="00F1111D" w:rsidRPr="00382917">
        <w:t>people,</w:t>
      </w:r>
      <w:r w:rsidR="00EE4FC3">
        <w:t xml:space="preserve"> </w:t>
      </w:r>
      <w:r w:rsidR="00F1111D" w:rsidRPr="00382917">
        <w:t>and</w:t>
      </w:r>
      <w:r w:rsidR="00EE4FC3">
        <w:t xml:space="preserve"> </w:t>
      </w:r>
      <w:r w:rsidR="00F1111D" w:rsidRPr="00382917">
        <w:t>without</w:t>
      </w:r>
      <w:r w:rsidR="00EE4FC3">
        <w:t xml:space="preserve"> </w:t>
      </w:r>
      <w:r w:rsidR="00F1111D" w:rsidRPr="00382917">
        <w:t>understanding;</w:t>
      </w:r>
      <w:r w:rsidR="00EE4FC3">
        <w:t xml:space="preserve"> </w:t>
      </w:r>
      <w:r w:rsidR="00F1111D" w:rsidRPr="00382917">
        <w:t>which</w:t>
      </w:r>
      <w:r w:rsidR="00EE4FC3">
        <w:t xml:space="preserve"> </w:t>
      </w:r>
      <w:r w:rsidR="00F1111D" w:rsidRPr="00382917">
        <w:t>have</w:t>
      </w:r>
      <w:r w:rsidR="00EE4FC3">
        <w:t xml:space="preserve"> </w:t>
      </w:r>
      <w:r w:rsidR="00F1111D" w:rsidRPr="00382917">
        <w:t>eyes,</w:t>
      </w:r>
      <w:r w:rsidR="00EE4FC3">
        <w:t xml:space="preserve"> </w:t>
      </w:r>
      <w:r w:rsidR="00F1111D" w:rsidRPr="00382917">
        <w:t>and</w:t>
      </w:r>
      <w:r w:rsidR="00EE4FC3">
        <w:t xml:space="preserve"> </w:t>
      </w:r>
      <w:r w:rsidR="00F1111D" w:rsidRPr="00382917">
        <w:t>see</w:t>
      </w:r>
      <w:r w:rsidR="00EE4FC3">
        <w:t xml:space="preserve"> </w:t>
      </w:r>
      <w:r w:rsidR="00F1111D" w:rsidRPr="00382917">
        <w:t>not;</w:t>
      </w:r>
      <w:r w:rsidR="00EE4FC3">
        <w:t xml:space="preserve"> </w:t>
      </w:r>
      <w:r w:rsidR="00F1111D" w:rsidRPr="00382917">
        <w:t>which</w:t>
      </w:r>
      <w:r w:rsidR="00EE4FC3">
        <w:t xml:space="preserve"> </w:t>
      </w:r>
      <w:r w:rsidR="00F1111D" w:rsidRPr="00382917">
        <w:t>have</w:t>
      </w:r>
      <w:r w:rsidR="00EE4FC3">
        <w:t xml:space="preserve"> </w:t>
      </w:r>
      <w:r w:rsidR="00F1111D" w:rsidRPr="00382917">
        <w:t>ears</w:t>
      </w:r>
      <w:r w:rsidR="00EE4FC3">
        <w:t xml:space="preserve"> </w:t>
      </w:r>
      <w:r w:rsidR="00F1111D" w:rsidRPr="00382917">
        <w:t>and</w:t>
      </w:r>
      <w:r w:rsidR="00EE4FC3">
        <w:t xml:space="preserve"> </w:t>
      </w:r>
      <w:r w:rsidR="00F1111D" w:rsidRPr="00382917">
        <w:t>hear</w:t>
      </w:r>
      <w:r w:rsidR="00EE4FC3">
        <w:t xml:space="preserve"> </w:t>
      </w:r>
      <w:r w:rsidR="00F1111D" w:rsidRPr="00382917">
        <w:t>not.</w:t>
      </w:r>
      <w:r w:rsidRPr="00382917">
        <w:t>”</w:t>
      </w:r>
      <w:r w:rsidR="006A1640">
        <w:rPr>
          <w:rStyle w:val="FootnoteReference"/>
        </w:rPr>
        <w:footnoteReference w:id="307"/>
      </w:r>
    </w:p>
    <w:p w:rsidR="00F1111D" w:rsidRPr="00382917" w:rsidRDefault="00F1111D" w:rsidP="006A1640">
      <w:pPr>
        <w:pStyle w:val="Text"/>
      </w:pPr>
      <w:r w:rsidRPr="00382917">
        <w:t>When</w:t>
      </w:r>
      <w:r w:rsidR="00EE4FC3">
        <w:t xml:space="preserve"> </w:t>
      </w:r>
      <w:r w:rsidRPr="00382917">
        <w:t>Christ</w:t>
      </w:r>
      <w:r w:rsidR="00EE4FC3">
        <w:t xml:space="preserve"> </w:t>
      </w:r>
      <w:r w:rsidRPr="00382917">
        <w:t>did</w:t>
      </w:r>
      <w:r w:rsidR="00EE4FC3">
        <w:t xml:space="preserve"> </w:t>
      </w:r>
      <w:r w:rsidRPr="00382917">
        <w:t>not</w:t>
      </w:r>
      <w:r w:rsidR="00EE4FC3">
        <w:t xml:space="preserve"> </w:t>
      </w:r>
      <w:r w:rsidRPr="00382917">
        <w:t>appear</w:t>
      </w:r>
      <w:r w:rsidR="00EE4FC3">
        <w:t xml:space="preserve"> </w:t>
      </w:r>
      <w:r w:rsidRPr="00382917">
        <w:t>(the</w:t>
      </w:r>
      <w:r w:rsidR="00EE4FC3">
        <w:t xml:space="preserve"> </w:t>
      </w:r>
      <w:r w:rsidRPr="00382917">
        <w:t>first</w:t>
      </w:r>
      <w:r w:rsidR="00EE4FC3">
        <w:t xml:space="preserve"> </w:t>
      </w:r>
      <w:r w:rsidRPr="00382917">
        <w:t>time)</w:t>
      </w:r>
      <w:r w:rsidR="00EE4FC3">
        <w:t xml:space="preserve"> </w:t>
      </w:r>
      <w:r w:rsidRPr="00382917">
        <w:t>in</w:t>
      </w:r>
      <w:r w:rsidR="00EE4FC3">
        <w:t xml:space="preserve"> </w:t>
      </w:r>
      <w:r w:rsidRPr="00382917">
        <w:t>the</w:t>
      </w:r>
      <w:r w:rsidR="00EE4FC3">
        <w:t xml:space="preserve"> </w:t>
      </w:r>
      <w:r w:rsidRPr="00382917">
        <w:t>magic,</w:t>
      </w:r>
      <w:r w:rsidR="00EE4FC3">
        <w:t xml:space="preserve"> </w:t>
      </w:r>
      <w:r w:rsidRPr="00382917">
        <w:t>glorious</w:t>
      </w:r>
      <w:r w:rsidR="00EE4FC3">
        <w:t xml:space="preserve"> </w:t>
      </w:r>
      <w:r w:rsidRPr="00382917">
        <w:t>way</w:t>
      </w:r>
      <w:r w:rsidR="00EE4FC3">
        <w:t xml:space="preserve"> </w:t>
      </w:r>
      <w:r w:rsidRPr="00382917">
        <w:t>which</w:t>
      </w:r>
      <w:r w:rsidR="00EE4FC3">
        <w:t xml:space="preserve"> </w:t>
      </w:r>
      <w:r w:rsidRPr="00382917">
        <w:t>the</w:t>
      </w:r>
      <w:r w:rsidR="00EE4FC3">
        <w:t xml:space="preserve"> </w:t>
      </w:r>
      <w:r w:rsidRPr="00382917">
        <w:t>people</w:t>
      </w:r>
      <w:r w:rsidR="00EE4FC3">
        <w:t xml:space="preserve"> </w:t>
      </w:r>
      <w:r w:rsidRPr="00382917">
        <w:t>expected</w:t>
      </w:r>
      <w:r w:rsidR="00EE4FC3">
        <w:t xml:space="preserve"> </w:t>
      </w:r>
      <w:r w:rsidRPr="00382917">
        <w:t>of</w:t>
      </w:r>
      <w:r w:rsidR="00EE4FC3">
        <w:t xml:space="preserve"> </w:t>
      </w:r>
      <w:r w:rsidRPr="00382917">
        <w:t>a</w:t>
      </w:r>
      <w:r w:rsidR="00EE4FC3">
        <w:t xml:space="preserve"> </w:t>
      </w:r>
      <w:r w:rsidRPr="00382917">
        <w:t>Messiah,</w:t>
      </w:r>
      <w:r w:rsidR="00EE4FC3">
        <w:t xml:space="preserve"> </w:t>
      </w:r>
      <w:r w:rsidRPr="00382917">
        <w:t>they</w:t>
      </w:r>
      <w:r w:rsidR="00EE4FC3">
        <w:t xml:space="preserve"> </w:t>
      </w:r>
      <w:r w:rsidRPr="00382917">
        <w:t>denied</w:t>
      </w:r>
      <w:r w:rsidR="00EE4FC3">
        <w:t xml:space="preserve"> </w:t>
      </w:r>
      <w:r w:rsidRPr="00382917">
        <w:t>Him</w:t>
      </w:r>
      <w:r w:rsidR="00552489">
        <w:t>.</w:t>
      </w:r>
      <w:r w:rsidR="00EE4FC3">
        <w:t xml:space="preserve">  </w:t>
      </w:r>
      <w:r w:rsidRPr="00382917">
        <w:t>They</w:t>
      </w:r>
      <w:r w:rsidR="00EE4FC3">
        <w:t xml:space="preserve"> </w:t>
      </w:r>
      <w:r w:rsidRPr="00382917">
        <w:t>called</w:t>
      </w:r>
      <w:r w:rsidR="00EE4FC3">
        <w:t xml:space="preserve"> </w:t>
      </w:r>
      <w:r w:rsidRPr="00382917">
        <w:t>Him</w:t>
      </w:r>
      <w:r w:rsidR="00EE4FC3">
        <w:t xml:space="preserve"> </w:t>
      </w:r>
      <w:r w:rsidRPr="00382917">
        <w:t>a</w:t>
      </w:r>
      <w:r w:rsidR="00EE4FC3">
        <w:t xml:space="preserve"> </w:t>
      </w:r>
      <w:r w:rsidRPr="00382917">
        <w:t>false</w:t>
      </w:r>
      <w:r w:rsidR="00EE4FC3">
        <w:t xml:space="preserve"> </w:t>
      </w:r>
      <w:r w:rsidRPr="00382917">
        <w:t>prophet</w:t>
      </w:r>
      <w:r w:rsidR="00EE4FC3">
        <w:t xml:space="preserve"> </w:t>
      </w:r>
      <w:r w:rsidRPr="00382917">
        <w:t>and</w:t>
      </w:r>
      <w:r w:rsidR="00EE4FC3">
        <w:t xml:space="preserve"> </w:t>
      </w:r>
      <w:r w:rsidRPr="00382917">
        <w:t>they</w:t>
      </w:r>
      <w:r w:rsidR="00EE4FC3">
        <w:t xml:space="preserve"> </w:t>
      </w:r>
      <w:r w:rsidRPr="00382917">
        <w:t>slew</w:t>
      </w:r>
      <w:r w:rsidR="00EE4FC3">
        <w:t xml:space="preserve"> </w:t>
      </w:r>
      <w:r w:rsidRPr="00382917">
        <w:t>Him</w:t>
      </w:r>
      <w:r w:rsidR="00552489">
        <w:t>.</w:t>
      </w:r>
      <w:r w:rsidR="00EE4FC3">
        <w:t xml:space="preserve">  </w:t>
      </w:r>
      <w:r w:rsidRPr="00382917">
        <w:t>After</w:t>
      </w:r>
      <w:r w:rsidR="00EE4FC3">
        <w:t xml:space="preserve"> </w:t>
      </w:r>
      <w:r w:rsidRPr="00382917">
        <w:t>all,</w:t>
      </w:r>
      <w:r w:rsidR="00EE4FC3">
        <w:t xml:space="preserve"> </w:t>
      </w:r>
      <w:r w:rsidRPr="00382917">
        <w:t>He</w:t>
      </w:r>
      <w:r w:rsidR="00EE4FC3">
        <w:t xml:space="preserve"> </w:t>
      </w:r>
      <w:r w:rsidRPr="00382917">
        <w:t>was</w:t>
      </w:r>
      <w:r w:rsidR="00EE4FC3">
        <w:t xml:space="preserve"> </w:t>
      </w:r>
      <w:r w:rsidRPr="00382917">
        <w:t>born</w:t>
      </w:r>
      <w:r w:rsidR="00EE4FC3">
        <w:t xml:space="preserve"> </w:t>
      </w:r>
      <w:r w:rsidRPr="00382917">
        <w:t>of</w:t>
      </w:r>
      <w:r w:rsidR="00EE4FC3">
        <w:t xml:space="preserve"> </w:t>
      </w:r>
      <w:r w:rsidRPr="00382917">
        <w:t>a</w:t>
      </w:r>
      <w:r w:rsidR="00EE4FC3">
        <w:t xml:space="preserve"> </w:t>
      </w:r>
      <w:r w:rsidRPr="00382917">
        <w:t>woman</w:t>
      </w:r>
      <w:r w:rsidR="00EE4FC3">
        <w:t xml:space="preserve"> </w:t>
      </w:r>
      <w:r w:rsidRPr="00382917">
        <w:t>and</w:t>
      </w:r>
      <w:r w:rsidR="00EE4FC3">
        <w:t xml:space="preserve"> </w:t>
      </w:r>
      <w:r w:rsidRPr="00382917">
        <w:t>walked</w:t>
      </w:r>
      <w:r w:rsidR="00EE4FC3">
        <w:t xml:space="preserve"> </w:t>
      </w:r>
      <w:r w:rsidRPr="00382917">
        <w:t>among</w:t>
      </w:r>
      <w:r w:rsidR="00EE4FC3">
        <w:t xml:space="preserve"> </w:t>
      </w:r>
      <w:r w:rsidRPr="00382917">
        <w:t>them</w:t>
      </w:r>
      <w:r w:rsidR="00552489">
        <w:t>.</w:t>
      </w:r>
      <w:r w:rsidR="00EE4FC3">
        <w:t xml:space="preserve">  </w:t>
      </w:r>
      <w:r w:rsidRPr="00382917">
        <w:t>Surely,</w:t>
      </w:r>
      <w:r w:rsidR="00EE4FC3">
        <w:t xml:space="preserve"> </w:t>
      </w:r>
      <w:r w:rsidRPr="00382917">
        <w:t>they</w:t>
      </w:r>
      <w:r w:rsidR="00EE4FC3">
        <w:t xml:space="preserve"> </w:t>
      </w:r>
      <w:r w:rsidRPr="00382917">
        <w:t>said,</w:t>
      </w:r>
      <w:r w:rsidR="00EE4FC3">
        <w:t xml:space="preserve"> </w:t>
      </w:r>
      <w:r w:rsidRPr="00382917">
        <w:t>this</w:t>
      </w:r>
      <w:r w:rsidR="00EE4FC3">
        <w:t xml:space="preserve"> </w:t>
      </w:r>
      <w:r w:rsidRPr="00382917">
        <w:t>is</w:t>
      </w:r>
      <w:r w:rsidR="00EE4FC3">
        <w:t xml:space="preserve"> </w:t>
      </w:r>
      <w:r w:rsidRPr="00382917">
        <w:t>not</w:t>
      </w:r>
      <w:r w:rsidR="00EE4FC3">
        <w:t xml:space="preserve"> </w:t>
      </w:r>
      <w:r w:rsidRPr="00382917">
        <w:t>the</w:t>
      </w:r>
      <w:r w:rsidR="00EE4FC3">
        <w:t xml:space="preserve"> </w:t>
      </w:r>
      <w:r w:rsidRPr="00382917">
        <w:t>manner</w:t>
      </w:r>
      <w:r w:rsidR="00EE4FC3">
        <w:t xml:space="preserve"> </w:t>
      </w:r>
      <w:r w:rsidRPr="00382917">
        <w:t>in</w:t>
      </w:r>
      <w:r w:rsidR="00EE4FC3">
        <w:t xml:space="preserve"> </w:t>
      </w:r>
      <w:r w:rsidRPr="00382917">
        <w:t>which</w:t>
      </w:r>
      <w:r w:rsidR="00EE4FC3">
        <w:t xml:space="preserve"> </w:t>
      </w:r>
      <w:r w:rsidRPr="00382917">
        <w:t>our</w:t>
      </w:r>
      <w:r w:rsidR="00EE4FC3">
        <w:t xml:space="preserve"> </w:t>
      </w:r>
      <w:r w:rsidRPr="00382917">
        <w:t>great</w:t>
      </w:r>
      <w:r w:rsidR="00EE4FC3">
        <w:t xml:space="preserve"> </w:t>
      </w:r>
      <w:r w:rsidRPr="00382917">
        <w:t>Messiah</w:t>
      </w:r>
      <w:r w:rsidR="00EE4FC3">
        <w:t xml:space="preserve"> </w:t>
      </w:r>
      <w:r w:rsidRPr="00382917">
        <w:t>will</w:t>
      </w:r>
      <w:r w:rsidR="00EE4FC3">
        <w:t xml:space="preserve"> </w:t>
      </w:r>
      <w:r w:rsidRPr="00382917">
        <w:t>appear</w:t>
      </w:r>
      <w:r w:rsidR="00552489">
        <w:t>.</w:t>
      </w:r>
      <w:r w:rsidR="00EE4FC3">
        <w:t xml:space="preserve">  </w:t>
      </w:r>
      <w:r w:rsidRPr="00382917">
        <w:t>Their</w:t>
      </w:r>
      <w:r w:rsidR="00EE4FC3">
        <w:t xml:space="preserve"> </w:t>
      </w:r>
      <w:r w:rsidRPr="00382917">
        <w:t>eyes</w:t>
      </w:r>
      <w:r w:rsidR="00EE4FC3">
        <w:t xml:space="preserve"> </w:t>
      </w:r>
      <w:r w:rsidRPr="00382917">
        <w:t>were</w:t>
      </w:r>
      <w:r w:rsidR="00EE4FC3">
        <w:t xml:space="preserve"> </w:t>
      </w:r>
      <w:r w:rsidRPr="00382917">
        <w:t>closed.</w:t>
      </w:r>
    </w:p>
    <w:p w:rsidR="00F1111D" w:rsidRPr="00382917" w:rsidRDefault="00F1111D" w:rsidP="00244241">
      <w:pPr>
        <w:pStyle w:val="Text"/>
      </w:pPr>
      <w:r w:rsidRPr="00382917">
        <w:t>The</w:t>
      </w:r>
      <w:r w:rsidR="00EE4FC3">
        <w:t xml:space="preserve"> </w:t>
      </w:r>
      <w:r w:rsidRPr="00382917">
        <w:t>disciples</w:t>
      </w:r>
      <w:r w:rsidR="00EE4FC3">
        <w:t xml:space="preserve"> </w:t>
      </w:r>
      <w:r w:rsidRPr="00382917">
        <w:t>of</w:t>
      </w:r>
      <w:r w:rsidR="00EE4FC3">
        <w:t xml:space="preserve"> </w:t>
      </w:r>
      <w:r w:rsidRPr="00382917">
        <w:t>Jesus</w:t>
      </w:r>
      <w:r w:rsidR="00EE4FC3">
        <w:t xml:space="preserve"> </w:t>
      </w:r>
      <w:r w:rsidRPr="00382917">
        <w:t>were</w:t>
      </w:r>
      <w:r w:rsidR="00EE4FC3">
        <w:t xml:space="preserve"> </w:t>
      </w:r>
      <w:r w:rsidRPr="00382917">
        <w:t>greatly</w:t>
      </w:r>
      <w:r w:rsidR="00EE4FC3">
        <w:t xml:space="preserve"> </w:t>
      </w:r>
      <w:r w:rsidRPr="00382917">
        <w:t>troubled</w:t>
      </w:r>
      <w:r w:rsidR="00EE4FC3">
        <w:t xml:space="preserve"> </w:t>
      </w:r>
      <w:r w:rsidRPr="00382917">
        <w:t>because</w:t>
      </w:r>
      <w:r w:rsidR="00EE4FC3">
        <w:t xml:space="preserve"> </w:t>
      </w:r>
      <w:r w:rsidRPr="00382917">
        <w:t>most</w:t>
      </w:r>
      <w:r w:rsidR="00EE4FC3">
        <w:t xml:space="preserve"> </w:t>
      </w:r>
      <w:r w:rsidRPr="00382917">
        <w:t>of</w:t>
      </w:r>
      <w:r w:rsidR="00EE4FC3">
        <w:t xml:space="preserve"> </w:t>
      </w:r>
      <w:r w:rsidRPr="00382917">
        <w:t>the</w:t>
      </w:r>
      <w:r w:rsidR="00EE4FC3">
        <w:t xml:space="preserve"> </w:t>
      </w:r>
      <w:r w:rsidRPr="00382917">
        <w:t>people,</w:t>
      </w:r>
      <w:r w:rsidR="00EE4FC3">
        <w:t xml:space="preserve"> </w:t>
      </w:r>
      <w:r w:rsidRPr="00382917">
        <w:t>especially</w:t>
      </w:r>
      <w:r w:rsidR="00EE4FC3">
        <w:t xml:space="preserve"> </w:t>
      </w:r>
      <w:r w:rsidRPr="00382917">
        <w:t>the</w:t>
      </w:r>
      <w:r w:rsidR="00EE4FC3">
        <w:t xml:space="preserve"> </w:t>
      </w:r>
      <w:r w:rsidRPr="00382917">
        <w:t>religious</w:t>
      </w:r>
      <w:r w:rsidR="00EE4FC3">
        <w:t xml:space="preserve"> </w:t>
      </w:r>
      <w:r w:rsidRPr="00382917">
        <w:t>leaders</w:t>
      </w:r>
      <w:r w:rsidR="00EE4FC3">
        <w:t xml:space="preserve"> </w:t>
      </w:r>
      <w:r w:rsidRPr="00382917">
        <w:t>and</w:t>
      </w:r>
      <w:r w:rsidR="00EE4FC3">
        <w:t xml:space="preserve"> </w:t>
      </w:r>
      <w:r w:rsidRPr="00382917">
        <w:t>other</w:t>
      </w:r>
      <w:r w:rsidR="00EE4FC3">
        <w:t xml:space="preserve"> </w:t>
      </w:r>
      <w:r w:rsidRPr="00382917">
        <w:t>influential</w:t>
      </w:r>
      <w:r w:rsidR="00EE4FC3">
        <w:t xml:space="preserve"> </w:t>
      </w:r>
      <w:r w:rsidRPr="00382917">
        <w:t>persons,</w:t>
      </w:r>
      <w:r w:rsidR="00EE4FC3">
        <w:t xml:space="preserve"> </w:t>
      </w:r>
      <w:r w:rsidRPr="00382917">
        <w:t>neither</w:t>
      </w:r>
      <w:r w:rsidR="00EE4FC3">
        <w:t xml:space="preserve"> </w:t>
      </w:r>
      <w:r w:rsidRPr="00382917">
        <w:t>understood</w:t>
      </w:r>
      <w:r w:rsidR="00EE4FC3">
        <w:t xml:space="preserve"> </w:t>
      </w:r>
      <w:r w:rsidRPr="00382917">
        <w:t>nor</w:t>
      </w:r>
      <w:r w:rsidR="00EE4FC3">
        <w:t xml:space="preserve"> </w:t>
      </w:r>
      <w:r w:rsidRPr="00382917">
        <w:t>accepted</w:t>
      </w:r>
      <w:r w:rsidR="00EE4FC3">
        <w:t xml:space="preserve"> </w:t>
      </w:r>
      <w:r w:rsidRPr="00382917">
        <w:t>His</w:t>
      </w:r>
      <w:r w:rsidR="00EE4FC3">
        <w:t xml:space="preserve"> </w:t>
      </w:r>
      <w:r w:rsidRPr="00382917">
        <w:t>Message</w:t>
      </w:r>
      <w:r w:rsidR="00552489">
        <w:t>.</w:t>
      </w:r>
      <w:r w:rsidR="00EE4FC3">
        <w:t xml:space="preserve">  </w:t>
      </w:r>
      <w:r w:rsidRPr="00382917">
        <w:t>They</w:t>
      </w:r>
      <w:r w:rsidR="00EE4FC3">
        <w:t xml:space="preserve"> </w:t>
      </w:r>
      <w:r w:rsidRPr="00382917">
        <w:t>asked</w:t>
      </w:r>
      <w:r w:rsidR="00EE4FC3">
        <w:t xml:space="preserve"> </w:t>
      </w:r>
      <w:r w:rsidRPr="00382917">
        <w:t>Jesus</w:t>
      </w:r>
      <w:r w:rsidR="00C03C91">
        <w:t>:</w:t>
      </w:r>
      <w:r w:rsidR="00EE4FC3">
        <w:t xml:space="preserve">  </w:t>
      </w:r>
      <w:r w:rsidR="009C713D" w:rsidRPr="00382917">
        <w:t>“</w:t>
      </w:r>
      <w:r w:rsidRPr="00382917">
        <w:t>Why</w:t>
      </w:r>
      <w:r w:rsidR="00EE4FC3">
        <w:t xml:space="preserve"> </w:t>
      </w:r>
      <w:r w:rsidRPr="00382917">
        <w:t>do</w:t>
      </w:r>
      <w:r w:rsidR="00EE4FC3">
        <w:t xml:space="preserve"> </w:t>
      </w:r>
      <w:r w:rsidRPr="00382917">
        <w:t>they</w:t>
      </w:r>
      <w:r w:rsidR="00EE4FC3">
        <w:t xml:space="preserve"> </w:t>
      </w:r>
      <w:r w:rsidRPr="00382917">
        <w:t>not</w:t>
      </w:r>
      <w:r w:rsidR="00EE4FC3">
        <w:t xml:space="preserve"> </w:t>
      </w:r>
      <w:r w:rsidRPr="00382917">
        <w:t>believe?</w:t>
      </w:r>
      <w:r w:rsidR="009C713D" w:rsidRPr="00382917">
        <w:t>”</w:t>
      </w:r>
      <w:r w:rsidR="00EE4FC3">
        <w:t xml:space="preserve"> </w:t>
      </w:r>
      <w:r w:rsidR="006A1640">
        <w:t xml:space="preserve"> </w:t>
      </w:r>
      <w:r w:rsidRPr="00382917">
        <w:t>Christ</w:t>
      </w:r>
      <w:r w:rsidR="00EE4FC3">
        <w:t xml:space="preserve"> </w:t>
      </w:r>
      <w:r w:rsidRPr="00382917">
        <w:t>answered</w:t>
      </w:r>
      <w:r w:rsidR="00EE4FC3">
        <w:t xml:space="preserve"> </w:t>
      </w:r>
      <w:r w:rsidRPr="00382917">
        <w:t>them:</w:t>
      </w:r>
    </w:p>
    <w:p w:rsidR="00F1111D" w:rsidRPr="00382917" w:rsidRDefault="009C713D" w:rsidP="006A1640">
      <w:pPr>
        <w:pStyle w:val="Quote"/>
      </w:pPr>
      <w:r w:rsidRPr="00382917">
        <w:t>“</w:t>
      </w:r>
      <w:r w:rsidR="00F1111D" w:rsidRPr="00382917">
        <w:t>Because</w:t>
      </w:r>
      <w:r w:rsidR="00EE4FC3">
        <w:t xml:space="preserve"> </w:t>
      </w:r>
      <w:r w:rsidR="00F1111D" w:rsidRPr="00382917">
        <w:t>it</w:t>
      </w:r>
      <w:r w:rsidR="00EE4FC3">
        <w:t xml:space="preserve"> </w:t>
      </w:r>
      <w:r w:rsidR="00F1111D" w:rsidRPr="00382917">
        <w:t>is</w:t>
      </w:r>
      <w:r w:rsidR="00EE4FC3">
        <w:t xml:space="preserve"> </w:t>
      </w:r>
      <w:r w:rsidR="00F1111D" w:rsidRPr="00382917">
        <w:t>given</w:t>
      </w:r>
      <w:r w:rsidR="00EE4FC3">
        <w:t xml:space="preserve"> </w:t>
      </w:r>
      <w:r w:rsidR="00F1111D" w:rsidRPr="00382917">
        <w:t>unto</w:t>
      </w:r>
      <w:r w:rsidR="00EE4FC3">
        <w:t xml:space="preserve"> </w:t>
      </w:r>
      <w:r w:rsidR="00F1111D" w:rsidRPr="00382917">
        <w:t>you</w:t>
      </w:r>
      <w:r w:rsidR="00EE4FC3">
        <w:t xml:space="preserve"> </w:t>
      </w:r>
      <w:r w:rsidR="00F1111D" w:rsidRPr="00382917">
        <w:t>to</w:t>
      </w:r>
      <w:r w:rsidR="00EE4FC3">
        <w:t xml:space="preserve"> </w:t>
      </w:r>
      <w:r w:rsidR="00F1111D" w:rsidRPr="00382917">
        <w:t>know</w:t>
      </w:r>
      <w:r w:rsidR="00EE4FC3">
        <w:t xml:space="preserve"> </w:t>
      </w:r>
      <w:r w:rsidR="00F1111D" w:rsidRPr="00382917">
        <w:t>the</w:t>
      </w:r>
      <w:r w:rsidR="00EE4FC3">
        <w:t xml:space="preserve"> </w:t>
      </w:r>
      <w:r w:rsidR="00F1111D" w:rsidRPr="00382917">
        <w:t>mysteries</w:t>
      </w:r>
      <w:r w:rsidR="00EE4FC3">
        <w:t xml:space="preserve"> </w:t>
      </w:r>
      <w:r w:rsidR="00F1111D" w:rsidRPr="00382917">
        <w:t>of</w:t>
      </w:r>
      <w:r w:rsidR="00EE4FC3">
        <w:t xml:space="preserve"> </w:t>
      </w:r>
      <w:r w:rsidR="00F1111D" w:rsidRPr="00382917">
        <w:t>the</w:t>
      </w:r>
      <w:r w:rsidR="00EE4FC3">
        <w:t xml:space="preserve"> </w:t>
      </w:r>
      <w:r w:rsidR="00F1111D" w:rsidRPr="00382917">
        <w:t>kingdom</w:t>
      </w:r>
      <w:r w:rsidR="00EE4FC3">
        <w:t xml:space="preserve"> </w:t>
      </w:r>
      <w:r w:rsidR="00F1111D" w:rsidRPr="00382917">
        <w:t>of</w:t>
      </w:r>
      <w:r w:rsidR="00EE4FC3">
        <w:t xml:space="preserve"> </w:t>
      </w:r>
      <w:r w:rsidR="00F1111D" w:rsidRPr="00382917">
        <w:t>heaven</w:t>
      </w:r>
      <w:r w:rsidR="00EE4FC3">
        <w:t xml:space="preserve"> </w:t>
      </w:r>
      <w:r w:rsidR="00F1111D" w:rsidRPr="00382917">
        <w:t>but</w:t>
      </w:r>
      <w:r w:rsidR="00EE4FC3">
        <w:t xml:space="preserve"> </w:t>
      </w:r>
      <w:r w:rsidR="00F1111D" w:rsidRPr="00382917">
        <w:t>unto</w:t>
      </w:r>
      <w:r w:rsidR="00EE4FC3">
        <w:t xml:space="preserve"> </w:t>
      </w:r>
      <w:r w:rsidR="00F1111D" w:rsidRPr="00382917">
        <w:t>them</w:t>
      </w:r>
      <w:r w:rsidR="00EE4FC3">
        <w:t xml:space="preserve"> </w:t>
      </w:r>
      <w:r w:rsidR="00F1111D" w:rsidRPr="00382917">
        <w:t>it</w:t>
      </w:r>
      <w:r w:rsidR="00EE4FC3">
        <w:t xml:space="preserve"> </w:t>
      </w:r>
      <w:r w:rsidR="00F1111D" w:rsidRPr="00382917">
        <w:t>is</w:t>
      </w:r>
      <w:r w:rsidR="00EE4FC3">
        <w:t xml:space="preserve"> </w:t>
      </w:r>
      <w:r w:rsidR="00F1111D" w:rsidRPr="00382917">
        <w:t>not</w:t>
      </w:r>
      <w:r w:rsidR="00EE4FC3">
        <w:t xml:space="preserve"> </w:t>
      </w:r>
      <w:r w:rsidR="00F1111D" w:rsidRPr="00382917">
        <w:t>given</w:t>
      </w:r>
      <w:r w:rsidR="00EE4FC3">
        <w:t xml:space="preserve"> </w:t>
      </w:r>
      <w:r w:rsidR="00F04416" w:rsidRPr="00382917">
        <w:t>…</w:t>
      </w:r>
      <w:r w:rsidR="00EE4FC3">
        <w:t xml:space="preserve"> </w:t>
      </w:r>
      <w:r w:rsidR="00F1111D" w:rsidRPr="00382917">
        <w:t>their</w:t>
      </w:r>
      <w:r w:rsidR="00EE4FC3">
        <w:t xml:space="preserve"> </w:t>
      </w:r>
      <w:r w:rsidR="00F1111D" w:rsidRPr="00382917">
        <w:t>ears</w:t>
      </w:r>
      <w:r w:rsidR="00EE4FC3">
        <w:t xml:space="preserve"> </w:t>
      </w:r>
      <w:r w:rsidR="00F1111D" w:rsidRPr="00382917">
        <w:t>are</w:t>
      </w:r>
      <w:r w:rsidR="00EE4FC3">
        <w:t xml:space="preserve"> </w:t>
      </w:r>
      <w:r w:rsidR="00F1111D" w:rsidRPr="00382917">
        <w:t>dull</w:t>
      </w:r>
      <w:r w:rsidR="00EE4FC3">
        <w:t xml:space="preserve"> </w:t>
      </w:r>
      <w:r w:rsidR="00F1111D" w:rsidRPr="00382917">
        <w:t>of</w:t>
      </w:r>
      <w:r w:rsidR="00EE4FC3">
        <w:t xml:space="preserve"> </w:t>
      </w:r>
      <w:r w:rsidR="00F1111D" w:rsidRPr="00382917">
        <w:t>hearing,</w:t>
      </w:r>
      <w:r w:rsidR="00EE4FC3">
        <w:t xml:space="preserve"> </w:t>
      </w:r>
      <w:r w:rsidR="00F1111D" w:rsidRPr="00382917">
        <w:t>and</w:t>
      </w:r>
      <w:r w:rsidR="00EE4FC3">
        <w:t xml:space="preserve"> </w:t>
      </w:r>
      <w:r w:rsidR="00F1111D" w:rsidRPr="00382917">
        <w:t>their</w:t>
      </w:r>
      <w:r w:rsidR="00EE4FC3">
        <w:t xml:space="preserve"> </w:t>
      </w:r>
      <w:r w:rsidR="00F1111D" w:rsidRPr="00382917">
        <w:t>eyes</w:t>
      </w:r>
      <w:r w:rsidR="00EE4FC3">
        <w:t xml:space="preserve"> </w:t>
      </w:r>
      <w:r w:rsidR="00F1111D" w:rsidRPr="00382917">
        <w:t>they</w:t>
      </w:r>
      <w:r w:rsidR="00EE4FC3">
        <w:t xml:space="preserve"> </w:t>
      </w:r>
      <w:r w:rsidR="00F1111D" w:rsidRPr="00382917">
        <w:t>have</w:t>
      </w:r>
      <w:r w:rsidR="00EE4FC3">
        <w:t xml:space="preserve"> </w:t>
      </w:r>
      <w:r w:rsidR="00F1111D" w:rsidRPr="00382917">
        <w:t>closed</w:t>
      </w:r>
      <w:r w:rsidR="00EE4FC3">
        <w:t xml:space="preserve"> </w:t>
      </w:r>
      <w:r w:rsidR="00F04416" w:rsidRPr="00382917">
        <w:t>…</w:t>
      </w:r>
      <w:r w:rsidR="00EE4FC3">
        <w:t xml:space="preserve"> </w:t>
      </w:r>
      <w:r w:rsidR="00F1111D" w:rsidRPr="00382917">
        <w:t>but</w:t>
      </w:r>
      <w:r w:rsidR="00EE4FC3">
        <w:t xml:space="preserve"> </w:t>
      </w:r>
      <w:r w:rsidR="00F1111D" w:rsidRPr="00382917">
        <w:t>blessed</w:t>
      </w:r>
      <w:r w:rsidR="00EE4FC3">
        <w:t xml:space="preserve"> </w:t>
      </w:r>
      <w:r w:rsidR="00F1111D" w:rsidRPr="00382917">
        <w:t>are</w:t>
      </w:r>
      <w:r w:rsidR="00EE4FC3">
        <w:t xml:space="preserve"> </w:t>
      </w:r>
      <w:r w:rsidR="00F1111D" w:rsidRPr="00382917">
        <w:t>your</w:t>
      </w:r>
      <w:r w:rsidR="00EE4FC3">
        <w:t xml:space="preserve"> </w:t>
      </w:r>
      <w:r w:rsidR="00F1111D" w:rsidRPr="00382917">
        <w:t>eyes,</w:t>
      </w:r>
      <w:r w:rsidR="00EE4FC3">
        <w:t xml:space="preserve"> </w:t>
      </w:r>
      <w:r w:rsidR="00F1111D" w:rsidRPr="00382917">
        <w:t>for</w:t>
      </w:r>
      <w:r w:rsidR="00EE4FC3">
        <w:t xml:space="preserve"> </w:t>
      </w:r>
      <w:r w:rsidR="00F1111D" w:rsidRPr="00382917">
        <w:t>they</w:t>
      </w:r>
      <w:r w:rsidR="00EE4FC3">
        <w:t xml:space="preserve"> </w:t>
      </w:r>
      <w:r w:rsidR="00F1111D" w:rsidRPr="00382917">
        <w:t>see</w:t>
      </w:r>
      <w:r w:rsidR="00C03C91">
        <w:t>:</w:t>
      </w:r>
      <w:r w:rsidR="00EE4FC3">
        <w:t xml:space="preserve">  </w:t>
      </w:r>
      <w:r w:rsidR="00F1111D" w:rsidRPr="00382917">
        <w:t>and</w:t>
      </w:r>
      <w:r w:rsidR="00EE4FC3">
        <w:t xml:space="preserve"> </w:t>
      </w:r>
      <w:r w:rsidR="00F1111D" w:rsidRPr="00382917">
        <w:t>your</w:t>
      </w:r>
      <w:r w:rsidR="00EE4FC3">
        <w:t xml:space="preserve"> </w:t>
      </w:r>
      <w:r w:rsidR="00F1111D" w:rsidRPr="00382917">
        <w:t>ears,</w:t>
      </w:r>
      <w:r w:rsidR="00EE4FC3">
        <w:t xml:space="preserve"> </w:t>
      </w:r>
      <w:r w:rsidR="00F1111D" w:rsidRPr="00382917">
        <w:t>for</w:t>
      </w:r>
      <w:r w:rsidR="00EE4FC3">
        <w:t xml:space="preserve"> </w:t>
      </w:r>
      <w:r w:rsidR="00F1111D" w:rsidRPr="00382917">
        <w:t>they</w:t>
      </w:r>
      <w:r w:rsidR="00EE4FC3">
        <w:t xml:space="preserve"> </w:t>
      </w:r>
      <w:r w:rsidR="00F1111D" w:rsidRPr="00382917">
        <w:t>hear.</w:t>
      </w:r>
      <w:r w:rsidRPr="00382917">
        <w:t>”</w:t>
      </w:r>
      <w:r w:rsidR="006A1640">
        <w:rPr>
          <w:rStyle w:val="FootnoteReference"/>
        </w:rPr>
        <w:footnoteReference w:id="308"/>
      </w:r>
    </w:p>
    <w:p w:rsidR="00F1111D" w:rsidRPr="00382917" w:rsidRDefault="00F1111D" w:rsidP="00244241">
      <w:pPr>
        <w:pStyle w:val="Text"/>
      </w:pPr>
      <w:r w:rsidRPr="00382917">
        <w:t>It</w:t>
      </w:r>
      <w:r w:rsidR="00EE4FC3">
        <w:t xml:space="preserve"> </w:t>
      </w:r>
      <w:r w:rsidRPr="00382917">
        <w:t>was</w:t>
      </w:r>
      <w:r w:rsidR="00EE4FC3">
        <w:t xml:space="preserve"> </w:t>
      </w:r>
      <w:r w:rsidRPr="00382917">
        <w:t>to</w:t>
      </w:r>
      <w:r w:rsidR="00EE4FC3">
        <w:t xml:space="preserve"> </w:t>
      </w:r>
      <w:r w:rsidRPr="00382917">
        <w:t>be</w:t>
      </w:r>
      <w:r w:rsidR="00EE4FC3">
        <w:t xml:space="preserve"> </w:t>
      </w:r>
      <w:r w:rsidRPr="00382917">
        <w:t>the</w:t>
      </w:r>
      <w:r w:rsidR="00EE4FC3">
        <w:t xml:space="preserve"> </w:t>
      </w:r>
      <w:r w:rsidRPr="00382917">
        <w:t>same</w:t>
      </w:r>
      <w:r w:rsidR="00EE4FC3">
        <w:t xml:space="preserve"> </w:t>
      </w:r>
      <w:r w:rsidRPr="00382917">
        <w:t>in</w:t>
      </w:r>
      <w:r w:rsidR="00EE4FC3">
        <w:t xml:space="preserve"> </w:t>
      </w:r>
      <w:r w:rsidRPr="00382917">
        <w:t>the</w:t>
      </w:r>
      <w:r w:rsidR="00EE4FC3">
        <w:t xml:space="preserve"> </w:t>
      </w:r>
      <w:r w:rsidRPr="00382917">
        <w:t>day</w:t>
      </w:r>
      <w:r w:rsidR="00EE4FC3">
        <w:t xml:space="preserve"> </w:t>
      </w:r>
      <w:r w:rsidRPr="00382917">
        <w:t>of</w:t>
      </w:r>
      <w:r w:rsidR="00EE4FC3">
        <w:t xml:space="preserve"> </w:t>
      </w:r>
      <w:r w:rsidRPr="00382917">
        <w:t>His</w:t>
      </w:r>
      <w:r w:rsidR="00EE4FC3">
        <w:t xml:space="preserve"> </w:t>
      </w:r>
      <w:r w:rsidRPr="00382917">
        <w:t>return</w:t>
      </w:r>
      <w:r w:rsidR="00EE4FC3">
        <w:t xml:space="preserve"> </w:t>
      </w:r>
      <w:r w:rsidRPr="00382917">
        <w:t>in</w:t>
      </w:r>
      <w:r w:rsidR="00EE4FC3">
        <w:t xml:space="preserve"> </w:t>
      </w:r>
      <w:r w:rsidRPr="00382917">
        <w:t>1844</w:t>
      </w:r>
      <w:r w:rsidR="00552489">
        <w:t>.</w:t>
      </w:r>
      <w:r w:rsidR="00EE4FC3">
        <w:t xml:space="preserve">  </w:t>
      </w:r>
      <w:r w:rsidRPr="00382917">
        <w:t>It</w:t>
      </w:r>
      <w:r w:rsidR="00EE4FC3">
        <w:t xml:space="preserve"> </w:t>
      </w:r>
      <w:r w:rsidRPr="00382917">
        <w:t>takes</w:t>
      </w:r>
      <w:r w:rsidR="00EE4FC3">
        <w:t xml:space="preserve"> </w:t>
      </w:r>
      <w:r w:rsidRPr="00382917">
        <w:t>special</w:t>
      </w:r>
      <w:r w:rsidR="00EE4FC3">
        <w:t xml:space="preserve"> </w:t>
      </w:r>
      <w:r w:rsidR="009C713D" w:rsidRPr="00382917">
        <w:t>“</w:t>
      </w:r>
      <w:r w:rsidRPr="00382917">
        <w:t>eyes</w:t>
      </w:r>
      <w:r w:rsidR="009C713D" w:rsidRPr="00382917">
        <w:t>”</w:t>
      </w:r>
      <w:r w:rsidR="00EE4FC3">
        <w:t xml:space="preserve"> </w:t>
      </w:r>
      <w:r w:rsidRPr="00382917">
        <w:t>and</w:t>
      </w:r>
      <w:r w:rsidR="00EE4FC3">
        <w:t xml:space="preserve"> </w:t>
      </w:r>
      <w:r w:rsidR="009C713D" w:rsidRPr="00382917">
        <w:t>“</w:t>
      </w:r>
      <w:r w:rsidRPr="00382917">
        <w:t>ears</w:t>
      </w:r>
      <w:r w:rsidR="009C713D" w:rsidRPr="00382917">
        <w:t>”</w:t>
      </w:r>
      <w:r w:rsidR="00EE4FC3">
        <w:t xml:space="preserve"> </w:t>
      </w:r>
      <w:r w:rsidRPr="00382917">
        <w:t>to</w:t>
      </w:r>
      <w:r w:rsidR="00EE4FC3">
        <w:t xml:space="preserve"> </w:t>
      </w:r>
      <w:r w:rsidRPr="00382917">
        <w:t>recognize</w:t>
      </w:r>
      <w:r w:rsidR="00EE4FC3">
        <w:t xml:space="preserve"> </w:t>
      </w:r>
      <w:r w:rsidRPr="00382917">
        <w:t>and</w:t>
      </w:r>
      <w:r w:rsidR="00EE4FC3">
        <w:t xml:space="preserve"> </w:t>
      </w:r>
      <w:r w:rsidRPr="00382917">
        <w:t>accept</w:t>
      </w:r>
      <w:r w:rsidR="00EE4FC3">
        <w:t xml:space="preserve"> </w:t>
      </w:r>
      <w:r w:rsidRPr="00382917">
        <w:t>the</w:t>
      </w:r>
      <w:r w:rsidR="00EE4FC3">
        <w:t xml:space="preserve"> </w:t>
      </w:r>
      <w:r w:rsidRPr="00382917">
        <w:t>Messiah</w:t>
      </w:r>
      <w:r w:rsidR="00EE4FC3">
        <w:t xml:space="preserve"> </w:t>
      </w:r>
      <w:r w:rsidRPr="00382917">
        <w:rPr>
          <w:i/>
          <w:iCs/>
        </w:rPr>
        <w:t>each</w:t>
      </w:r>
      <w:r w:rsidR="00EE4FC3">
        <w:t xml:space="preserve"> </w:t>
      </w:r>
      <w:r w:rsidRPr="00382917">
        <w:t>time</w:t>
      </w:r>
      <w:r w:rsidR="00EE4FC3">
        <w:t xml:space="preserve"> </w:t>
      </w:r>
      <w:r w:rsidRPr="00382917">
        <w:t>He</w:t>
      </w:r>
      <w:r w:rsidR="00EE4FC3">
        <w:t xml:space="preserve"> </w:t>
      </w:r>
      <w:r w:rsidRPr="00382917">
        <w:t>appears.</w:t>
      </w:r>
    </w:p>
    <w:p w:rsidR="00F1111D" w:rsidRPr="00382917" w:rsidRDefault="00F1111D" w:rsidP="00244241">
      <w:pPr>
        <w:pStyle w:val="Text"/>
      </w:pPr>
      <w:r w:rsidRPr="00382917">
        <w:t>The</w:t>
      </w:r>
      <w:r w:rsidR="00EE4FC3">
        <w:t xml:space="preserve"> </w:t>
      </w:r>
      <w:r w:rsidRPr="00382917">
        <w:t>great</w:t>
      </w:r>
      <w:r w:rsidR="00EE4FC3">
        <w:t xml:space="preserve"> </w:t>
      </w:r>
      <w:r w:rsidRPr="00382917">
        <w:t>mass</w:t>
      </w:r>
      <w:r w:rsidR="00EE4FC3">
        <w:t xml:space="preserve"> </w:t>
      </w:r>
      <w:r w:rsidRPr="00382917">
        <w:t>of</w:t>
      </w:r>
      <w:r w:rsidR="00EE4FC3">
        <w:t xml:space="preserve"> </w:t>
      </w:r>
      <w:r w:rsidRPr="00382917">
        <w:t>mankind</w:t>
      </w:r>
      <w:r w:rsidR="00EE4FC3">
        <w:t xml:space="preserve"> </w:t>
      </w:r>
      <w:r w:rsidRPr="00382917">
        <w:t>did</w:t>
      </w:r>
      <w:r w:rsidR="00EE4FC3">
        <w:t xml:space="preserve"> </w:t>
      </w:r>
      <w:r w:rsidRPr="00382917">
        <w:t>not</w:t>
      </w:r>
      <w:r w:rsidR="00EE4FC3">
        <w:t xml:space="preserve"> </w:t>
      </w:r>
      <w:r w:rsidRPr="00382917">
        <w:t>recognize</w:t>
      </w:r>
      <w:r w:rsidR="00EE4FC3">
        <w:t xml:space="preserve"> </w:t>
      </w:r>
      <w:r w:rsidRPr="00382917">
        <w:t>Christ</w:t>
      </w:r>
      <w:r w:rsidR="00EE4FC3">
        <w:t xml:space="preserve"> </w:t>
      </w:r>
      <w:r w:rsidRPr="00382917">
        <w:t>in</w:t>
      </w:r>
      <w:r w:rsidR="00EE4FC3">
        <w:t xml:space="preserve"> </w:t>
      </w:r>
      <w:r w:rsidRPr="00382917">
        <w:t>the</w:t>
      </w:r>
      <w:r w:rsidR="00EE4FC3">
        <w:t xml:space="preserve"> </w:t>
      </w:r>
      <w:r w:rsidRPr="00382917">
        <w:t>day</w:t>
      </w:r>
      <w:r w:rsidR="00EE4FC3">
        <w:t xml:space="preserve"> </w:t>
      </w:r>
      <w:r w:rsidRPr="00382917">
        <w:t>of</w:t>
      </w:r>
      <w:r w:rsidR="00EE4FC3">
        <w:t xml:space="preserve"> </w:t>
      </w:r>
      <w:r w:rsidRPr="00382917">
        <w:t>His</w:t>
      </w:r>
      <w:r w:rsidR="00EE4FC3">
        <w:t xml:space="preserve"> </w:t>
      </w:r>
      <w:r w:rsidRPr="00382917">
        <w:rPr>
          <w:i/>
          <w:iCs/>
        </w:rPr>
        <w:t>first</w:t>
      </w:r>
      <w:r w:rsidR="00EE4FC3">
        <w:t xml:space="preserve"> </w:t>
      </w:r>
      <w:r w:rsidRPr="00382917">
        <w:t>coming,</w:t>
      </w:r>
      <w:r w:rsidR="00EE4FC3">
        <w:t xml:space="preserve"> </w:t>
      </w:r>
      <w:r w:rsidRPr="00382917">
        <w:t>nor</w:t>
      </w:r>
      <w:r w:rsidR="00EE4FC3">
        <w:t xml:space="preserve"> </w:t>
      </w:r>
      <w:r w:rsidRPr="00382917">
        <w:t>would</w:t>
      </w:r>
      <w:r w:rsidR="00EE4FC3">
        <w:t xml:space="preserve"> </w:t>
      </w:r>
      <w:r w:rsidRPr="00382917">
        <w:t>they</w:t>
      </w:r>
      <w:r w:rsidR="00EE4FC3">
        <w:t xml:space="preserve"> </w:t>
      </w:r>
      <w:r w:rsidRPr="00382917">
        <w:t>recognize</w:t>
      </w:r>
      <w:r w:rsidR="00EE4FC3">
        <w:t xml:space="preserve"> </w:t>
      </w:r>
      <w:r w:rsidRPr="00382917">
        <w:t>Him</w:t>
      </w:r>
      <w:r w:rsidR="00EE4FC3">
        <w:t xml:space="preserve"> </w:t>
      </w:r>
      <w:r w:rsidRPr="00382917">
        <w:t>in</w:t>
      </w:r>
      <w:r w:rsidR="00EE4FC3">
        <w:t xml:space="preserve"> </w:t>
      </w:r>
      <w:r w:rsidRPr="00382917">
        <w:t>the</w:t>
      </w:r>
      <w:r w:rsidR="00EE4FC3">
        <w:t xml:space="preserve"> </w:t>
      </w:r>
      <w:r w:rsidRPr="00382917">
        <w:t>day</w:t>
      </w:r>
      <w:r w:rsidR="00EE4FC3">
        <w:t xml:space="preserve"> </w:t>
      </w:r>
      <w:r w:rsidRPr="00382917">
        <w:t>of</w:t>
      </w:r>
      <w:r w:rsidR="00EE4FC3">
        <w:t xml:space="preserve"> </w:t>
      </w:r>
      <w:r w:rsidRPr="00382917">
        <w:t>His</w:t>
      </w:r>
      <w:r w:rsidR="00EE4FC3">
        <w:t xml:space="preserve"> </w:t>
      </w:r>
      <w:r w:rsidRPr="00382917">
        <w:rPr>
          <w:i/>
          <w:iCs/>
        </w:rPr>
        <w:t>second</w:t>
      </w:r>
      <w:r w:rsidR="00EE4FC3">
        <w:t xml:space="preserve"> </w:t>
      </w:r>
      <w:r w:rsidRPr="00382917">
        <w:t>coming</w:t>
      </w:r>
      <w:r w:rsidR="00552489">
        <w:t>.</w:t>
      </w:r>
      <w:r w:rsidR="00EE4FC3">
        <w:t xml:space="preserve">  </w:t>
      </w:r>
      <w:r w:rsidRPr="00382917">
        <w:t>For</w:t>
      </w:r>
      <w:r w:rsidR="00EE4FC3">
        <w:t xml:space="preserve"> </w:t>
      </w:r>
      <w:r w:rsidRPr="00382917">
        <w:t>He</w:t>
      </w:r>
      <w:r w:rsidR="00EE4FC3">
        <w:t xml:space="preserve"> </w:t>
      </w:r>
      <w:r w:rsidRPr="00382917">
        <w:t>would</w:t>
      </w:r>
      <w:r w:rsidR="00EE4FC3">
        <w:t xml:space="preserve"> </w:t>
      </w:r>
      <w:r w:rsidRPr="00382917">
        <w:t>appear</w:t>
      </w:r>
      <w:r w:rsidR="00EE4FC3">
        <w:t xml:space="preserve"> </w:t>
      </w:r>
      <w:r w:rsidRPr="00382917">
        <w:t>in</w:t>
      </w:r>
      <w:r w:rsidR="00EE4FC3">
        <w:t xml:space="preserve"> </w:t>
      </w:r>
      <w:r w:rsidRPr="00382917">
        <w:t>the</w:t>
      </w:r>
      <w:r w:rsidR="00EE4FC3">
        <w:t xml:space="preserve"> </w:t>
      </w:r>
      <w:r w:rsidRPr="00382917">
        <w:t>same</w:t>
      </w:r>
      <w:r w:rsidR="00EE4FC3">
        <w:t xml:space="preserve"> </w:t>
      </w:r>
      <w:r w:rsidRPr="00382917">
        <w:t>manner</w:t>
      </w:r>
      <w:r w:rsidR="00C03C91">
        <w:t>:</w:t>
      </w:r>
      <w:r w:rsidR="00EE4FC3">
        <w:t xml:space="preserve">  </w:t>
      </w:r>
      <w:r w:rsidRPr="00382917">
        <w:t>He</w:t>
      </w:r>
      <w:r w:rsidR="00EE4FC3">
        <w:t xml:space="preserve"> </w:t>
      </w:r>
      <w:r w:rsidRPr="00382917">
        <w:t>would</w:t>
      </w:r>
      <w:r w:rsidR="00EE4FC3">
        <w:t xml:space="preserve"> </w:t>
      </w:r>
      <w:r w:rsidRPr="00382917">
        <w:t>be</w:t>
      </w:r>
      <w:r w:rsidR="00EE4FC3">
        <w:t xml:space="preserve"> </w:t>
      </w:r>
      <w:r w:rsidRPr="00382917">
        <w:t>born</w:t>
      </w:r>
      <w:r w:rsidR="00EE4FC3">
        <w:t xml:space="preserve"> </w:t>
      </w:r>
      <w:r w:rsidRPr="00382917">
        <w:t>of</w:t>
      </w:r>
      <w:r w:rsidR="00EE4FC3">
        <w:t xml:space="preserve"> </w:t>
      </w:r>
      <w:r w:rsidRPr="00382917">
        <w:t>a</w:t>
      </w:r>
      <w:r w:rsidR="00EE4FC3">
        <w:t xml:space="preserve"> </w:t>
      </w:r>
      <w:r w:rsidRPr="00382917">
        <w:t>woman,</w:t>
      </w:r>
      <w:r w:rsidR="00EE4FC3">
        <w:t xml:space="preserve"> </w:t>
      </w:r>
      <w:r w:rsidRPr="00382917">
        <w:t>and</w:t>
      </w:r>
      <w:r w:rsidR="00EE4FC3">
        <w:t xml:space="preserve"> </w:t>
      </w:r>
      <w:r w:rsidRPr="00382917">
        <w:t>walk</w:t>
      </w:r>
      <w:r w:rsidR="00EE4FC3">
        <w:t xml:space="preserve"> </w:t>
      </w:r>
      <w:r w:rsidRPr="00382917">
        <w:t>among</w:t>
      </w:r>
      <w:r w:rsidR="00EE4FC3">
        <w:t xml:space="preserve"> </w:t>
      </w:r>
      <w:r w:rsidRPr="00382917">
        <w:t>them</w:t>
      </w:r>
      <w:r w:rsidR="00552489">
        <w:t>.</w:t>
      </w:r>
      <w:r w:rsidR="00EE4FC3">
        <w:t xml:space="preserve">  </w:t>
      </w:r>
      <w:r w:rsidRPr="00382917">
        <w:t>He</w:t>
      </w:r>
      <w:r w:rsidR="00EE4FC3">
        <w:t xml:space="preserve"> </w:t>
      </w:r>
      <w:r w:rsidRPr="00382917">
        <w:t>would</w:t>
      </w:r>
      <w:r w:rsidR="00EE4FC3">
        <w:t xml:space="preserve"> </w:t>
      </w:r>
      <w:r w:rsidRPr="00382917">
        <w:t>have</w:t>
      </w:r>
      <w:r w:rsidR="00EE4FC3">
        <w:t xml:space="preserve"> </w:t>
      </w:r>
      <w:r w:rsidRPr="00382917">
        <w:t>the</w:t>
      </w:r>
      <w:r w:rsidR="00EE4FC3">
        <w:t xml:space="preserve"> </w:t>
      </w:r>
      <w:r w:rsidRPr="00382917">
        <w:t>same</w:t>
      </w:r>
      <w:r w:rsidR="00EE4FC3">
        <w:t xml:space="preserve"> </w:t>
      </w:r>
      <w:r w:rsidRPr="00382917">
        <w:t>Christ-spirit,</w:t>
      </w:r>
      <w:r w:rsidR="00EE4FC3">
        <w:t xml:space="preserve"> </w:t>
      </w:r>
      <w:r w:rsidRPr="00382917">
        <w:t>but</w:t>
      </w:r>
      <w:r w:rsidR="00EE4FC3">
        <w:t xml:space="preserve"> </w:t>
      </w:r>
      <w:r w:rsidRPr="00382917">
        <w:t>He</w:t>
      </w:r>
      <w:r w:rsidR="00EE4FC3">
        <w:t xml:space="preserve"> </w:t>
      </w:r>
      <w:r w:rsidRPr="00382917">
        <w:t>would</w:t>
      </w:r>
      <w:r w:rsidR="00EE4FC3">
        <w:t xml:space="preserve"> </w:t>
      </w:r>
      <w:r w:rsidRPr="00382917">
        <w:t>have</w:t>
      </w:r>
      <w:r w:rsidR="00EE4FC3">
        <w:t xml:space="preserve"> </w:t>
      </w:r>
      <w:r w:rsidRPr="00382917">
        <w:t>a</w:t>
      </w:r>
      <w:r w:rsidR="00EE4FC3">
        <w:t xml:space="preserve"> </w:t>
      </w:r>
      <w:r w:rsidRPr="00382917">
        <w:t>new</w:t>
      </w:r>
      <w:r w:rsidR="00EE4FC3">
        <w:t xml:space="preserve"> </w:t>
      </w:r>
      <w:r w:rsidRPr="00382917">
        <w:t>physical</w:t>
      </w:r>
      <w:r w:rsidR="00EE4FC3">
        <w:t xml:space="preserve"> </w:t>
      </w:r>
      <w:r w:rsidRPr="00382917">
        <w:t>identity</w:t>
      </w:r>
      <w:r w:rsidR="00552489">
        <w:t>.</w:t>
      </w:r>
      <w:r w:rsidR="00EE4FC3">
        <w:t xml:space="preserve">  </w:t>
      </w:r>
      <w:r w:rsidRPr="00382917">
        <w:t>Jesus</w:t>
      </w:r>
      <w:r w:rsidR="00EE4FC3">
        <w:t xml:space="preserve"> </w:t>
      </w:r>
      <w:r w:rsidRPr="00382917">
        <w:t>Himself</w:t>
      </w:r>
      <w:r w:rsidR="00EE4FC3">
        <w:t xml:space="preserve"> </w:t>
      </w:r>
      <w:r w:rsidRPr="00382917">
        <w:t>had</w:t>
      </w:r>
      <w:r w:rsidR="00EE4FC3">
        <w:t xml:space="preserve"> </w:t>
      </w:r>
      <w:r w:rsidRPr="00382917">
        <w:t>explained</w:t>
      </w:r>
      <w:r w:rsidR="00EE4FC3">
        <w:t xml:space="preserve"> </w:t>
      </w:r>
      <w:r w:rsidRPr="00382917">
        <w:t>this</w:t>
      </w:r>
      <w:r w:rsidR="00EE4FC3">
        <w:t xml:space="preserve"> </w:t>
      </w:r>
      <w:r w:rsidRPr="00382917">
        <w:t>spiritual</w:t>
      </w:r>
      <w:r w:rsidR="00EE4FC3">
        <w:t xml:space="preserve"> </w:t>
      </w:r>
      <w:r w:rsidRPr="00382917">
        <w:t>truth</w:t>
      </w:r>
      <w:r w:rsidR="00EE4FC3">
        <w:t xml:space="preserve"> </w:t>
      </w:r>
      <w:r w:rsidRPr="00382917">
        <w:t>with</w:t>
      </w:r>
      <w:r w:rsidR="00EE4FC3">
        <w:t xml:space="preserve"> </w:t>
      </w:r>
      <w:r w:rsidRPr="00382917">
        <w:t>the</w:t>
      </w:r>
      <w:r w:rsidR="00EE4FC3">
        <w:t xml:space="preserve"> </w:t>
      </w:r>
      <w:r w:rsidRPr="00382917">
        <w:t>greatest</w:t>
      </w:r>
      <w:r w:rsidR="00EE4FC3">
        <w:t xml:space="preserve"> </w:t>
      </w:r>
      <w:r w:rsidRPr="00382917">
        <w:t>care</w:t>
      </w:r>
      <w:r w:rsidR="00EE4FC3">
        <w:t xml:space="preserve"> </w:t>
      </w:r>
      <w:r w:rsidRPr="00382917">
        <w:t>so</w:t>
      </w:r>
      <w:r w:rsidR="00EE4FC3">
        <w:t xml:space="preserve"> </w:t>
      </w:r>
      <w:r w:rsidRPr="00382917">
        <w:t>that</w:t>
      </w:r>
      <w:r w:rsidR="00EE4FC3">
        <w:t xml:space="preserve"> </w:t>
      </w:r>
      <w:r w:rsidRPr="00382917">
        <w:t>mankind</w:t>
      </w:r>
      <w:r w:rsidR="00EE4FC3">
        <w:t xml:space="preserve"> </w:t>
      </w:r>
      <w:r w:rsidRPr="00382917">
        <w:t>would</w:t>
      </w:r>
      <w:r w:rsidR="00EE4FC3">
        <w:t xml:space="preserve"> </w:t>
      </w:r>
      <w:r w:rsidRPr="00382917">
        <w:t>understand</w:t>
      </w:r>
      <w:r w:rsidR="00EE4FC3">
        <w:t xml:space="preserve"> </w:t>
      </w:r>
      <w:r w:rsidRPr="00382917">
        <w:t>and</w:t>
      </w:r>
      <w:r w:rsidR="00EE4FC3">
        <w:t xml:space="preserve"> </w:t>
      </w:r>
      <w:r w:rsidRPr="00382917">
        <w:t>not</w:t>
      </w:r>
      <w:r w:rsidR="00EE4FC3">
        <w:t xml:space="preserve"> </w:t>
      </w:r>
      <w:r w:rsidRPr="00382917">
        <w:t>be</w:t>
      </w:r>
      <w:r w:rsidR="00EE4FC3">
        <w:t xml:space="preserve"> </w:t>
      </w:r>
      <w:r w:rsidRPr="00382917">
        <w:t>misled.</w:t>
      </w:r>
    </w:p>
    <w:p w:rsidR="00F1111D" w:rsidRPr="00382917" w:rsidRDefault="00F1111D" w:rsidP="00C72E3D">
      <w:pPr>
        <w:pStyle w:val="Text"/>
      </w:pPr>
      <w:r w:rsidRPr="00382917">
        <w:t>The</w:t>
      </w:r>
      <w:r w:rsidR="00EE4FC3">
        <w:t xml:space="preserve"> </w:t>
      </w:r>
      <w:r w:rsidRPr="00382917">
        <w:t>people</w:t>
      </w:r>
      <w:r w:rsidR="00EE4FC3">
        <w:t xml:space="preserve"> </w:t>
      </w:r>
      <w:r w:rsidRPr="00382917">
        <w:t>said</w:t>
      </w:r>
      <w:r w:rsidR="00EE4FC3">
        <w:t xml:space="preserve"> </w:t>
      </w:r>
      <w:r w:rsidRPr="00382917">
        <w:t>of</w:t>
      </w:r>
      <w:r w:rsidR="00EE4FC3">
        <w:t xml:space="preserve"> </w:t>
      </w:r>
      <w:r w:rsidRPr="00382917">
        <w:t>Christ,</w:t>
      </w:r>
      <w:r w:rsidR="00EE4FC3">
        <w:t xml:space="preserve"> </w:t>
      </w:r>
      <w:r w:rsidR="009C713D" w:rsidRPr="00382917">
        <w:t>“</w:t>
      </w:r>
      <w:r w:rsidRPr="00382917">
        <w:t>Why</w:t>
      </w:r>
      <w:r w:rsidR="00EE4FC3">
        <w:t xml:space="preserve"> </w:t>
      </w:r>
      <w:r w:rsidRPr="00382917">
        <w:t>then</w:t>
      </w:r>
      <w:r w:rsidR="00EE4FC3">
        <w:t xml:space="preserve"> </w:t>
      </w:r>
      <w:r w:rsidRPr="00382917">
        <w:t>say</w:t>
      </w:r>
      <w:r w:rsidR="00EE4FC3">
        <w:t xml:space="preserve"> </w:t>
      </w:r>
      <w:r w:rsidRPr="00382917">
        <w:t>the</w:t>
      </w:r>
      <w:r w:rsidR="00EE4FC3">
        <w:t xml:space="preserve"> </w:t>
      </w:r>
      <w:r w:rsidRPr="00382917">
        <w:t>scribes</w:t>
      </w:r>
      <w:r w:rsidR="00EE4FC3">
        <w:t xml:space="preserve"> </w:t>
      </w:r>
      <w:r w:rsidRPr="00382917">
        <w:t>that</w:t>
      </w:r>
      <w:r w:rsidR="00EE4FC3">
        <w:t xml:space="preserve"> </w:t>
      </w:r>
      <w:r w:rsidRPr="00382917">
        <w:t>Elias</w:t>
      </w:r>
      <w:r w:rsidR="00EE4FC3">
        <w:t xml:space="preserve"> </w:t>
      </w:r>
      <w:r w:rsidRPr="00382917">
        <w:t>must</w:t>
      </w:r>
      <w:r w:rsidR="00EE4FC3">
        <w:t xml:space="preserve"> </w:t>
      </w:r>
      <w:r w:rsidRPr="00382917">
        <w:t>come</w:t>
      </w:r>
      <w:r w:rsidR="00EE4FC3">
        <w:t xml:space="preserve"> </w:t>
      </w:r>
      <w:r w:rsidRPr="00382917">
        <w:t>first?</w:t>
      </w:r>
      <w:r w:rsidR="009C713D" w:rsidRPr="00382917">
        <w:t>”</w:t>
      </w:r>
      <w:r w:rsidR="00C72E3D">
        <w:rPr>
          <w:rStyle w:val="FootnoteReference"/>
        </w:rPr>
        <w:footnoteReference w:id="309"/>
      </w:r>
    </w:p>
    <w:p w:rsidR="00F1111D" w:rsidRPr="00382917" w:rsidRDefault="00F1111D" w:rsidP="00244241">
      <w:pPr>
        <w:pStyle w:val="Text"/>
      </w:pPr>
      <w:r w:rsidRPr="00382917">
        <w:t>The</w:t>
      </w:r>
      <w:r w:rsidR="00EE4FC3">
        <w:t xml:space="preserve"> </w:t>
      </w:r>
      <w:r w:rsidRPr="00382917">
        <w:t>disciples</w:t>
      </w:r>
      <w:r w:rsidR="00EE4FC3">
        <w:t xml:space="preserve"> </w:t>
      </w:r>
      <w:r w:rsidRPr="00382917">
        <w:t>found</w:t>
      </w:r>
      <w:r w:rsidR="00EE4FC3">
        <w:t xml:space="preserve"> </w:t>
      </w:r>
      <w:r w:rsidRPr="00382917">
        <w:t>this</w:t>
      </w:r>
      <w:r w:rsidR="00EE4FC3">
        <w:t xml:space="preserve"> </w:t>
      </w:r>
      <w:r w:rsidRPr="00382917">
        <w:t>question</w:t>
      </w:r>
      <w:r w:rsidR="00EE4FC3">
        <w:t xml:space="preserve"> </w:t>
      </w:r>
      <w:r w:rsidRPr="00382917">
        <w:t>too</w:t>
      </w:r>
      <w:r w:rsidR="00EE4FC3">
        <w:t xml:space="preserve"> </w:t>
      </w:r>
      <w:r w:rsidRPr="00382917">
        <w:t>difficult</w:t>
      </w:r>
      <w:r w:rsidR="00EE4FC3">
        <w:t xml:space="preserve"> </w:t>
      </w:r>
      <w:r w:rsidRPr="00382917">
        <w:t>to</w:t>
      </w:r>
      <w:r w:rsidR="00EE4FC3">
        <w:t xml:space="preserve"> </w:t>
      </w:r>
      <w:r w:rsidRPr="00382917">
        <w:t>answer</w:t>
      </w:r>
      <w:r w:rsidR="00EE4FC3">
        <w:t xml:space="preserve"> </w:t>
      </w:r>
      <w:r w:rsidRPr="00382917">
        <w:t>because</w:t>
      </w:r>
      <w:r w:rsidR="00EE4FC3">
        <w:t xml:space="preserve"> </w:t>
      </w:r>
      <w:r w:rsidRPr="00382917">
        <w:t>they,</w:t>
      </w:r>
      <w:r w:rsidR="00EE4FC3">
        <w:t xml:space="preserve"> </w:t>
      </w:r>
      <w:r w:rsidRPr="00382917">
        <w:t>too,</w:t>
      </w:r>
      <w:r w:rsidR="00EE4FC3">
        <w:t xml:space="preserve"> </w:t>
      </w:r>
      <w:r w:rsidRPr="00382917">
        <w:t>had</w:t>
      </w:r>
      <w:r w:rsidR="00EE4FC3">
        <w:t xml:space="preserve"> </w:t>
      </w:r>
      <w:r w:rsidRPr="00382917">
        <w:t>been</w:t>
      </w:r>
      <w:r w:rsidR="00EE4FC3">
        <w:t xml:space="preserve"> </w:t>
      </w:r>
      <w:r w:rsidRPr="00382917">
        <w:t>taught</w:t>
      </w:r>
      <w:r w:rsidR="00EE4FC3">
        <w:t xml:space="preserve"> </w:t>
      </w:r>
      <w:r w:rsidRPr="00382917">
        <w:t>that</w:t>
      </w:r>
      <w:r w:rsidR="00EE4FC3">
        <w:t xml:space="preserve"> </w:t>
      </w:r>
      <w:r w:rsidRPr="00382917">
        <w:t>Elias</w:t>
      </w:r>
      <w:r w:rsidR="00EE4FC3">
        <w:t xml:space="preserve"> </w:t>
      </w:r>
      <w:r w:rsidRPr="00382917">
        <w:t>must</w:t>
      </w:r>
      <w:r w:rsidR="00EE4FC3">
        <w:t xml:space="preserve"> </w:t>
      </w:r>
      <w:r w:rsidRPr="00382917">
        <w:t>come</w:t>
      </w:r>
      <w:r w:rsidR="00EE4FC3">
        <w:t xml:space="preserve"> </w:t>
      </w:r>
      <w:r w:rsidRPr="00382917">
        <w:t>first</w:t>
      </w:r>
      <w:r w:rsidR="00552489">
        <w:t>.</w:t>
      </w:r>
      <w:r w:rsidR="00EE4FC3">
        <w:t xml:space="preserve">  </w:t>
      </w:r>
      <w:r w:rsidRPr="00382917">
        <w:t>If</w:t>
      </w:r>
      <w:r w:rsidR="00EE4FC3">
        <w:t xml:space="preserve"> </w:t>
      </w:r>
      <w:r w:rsidRPr="00382917">
        <w:t>so,</w:t>
      </w:r>
      <w:r w:rsidR="00EE4FC3">
        <w:t xml:space="preserve"> </w:t>
      </w:r>
      <w:r w:rsidRPr="00382917">
        <w:t>where</w:t>
      </w:r>
      <w:r w:rsidR="00EE4FC3">
        <w:t xml:space="preserve"> </w:t>
      </w:r>
      <w:r w:rsidRPr="00382917">
        <w:t>was</w:t>
      </w:r>
      <w:r w:rsidR="00EE4FC3">
        <w:t xml:space="preserve"> </w:t>
      </w:r>
      <w:r w:rsidRPr="00382917">
        <w:t>he</w:t>
      </w:r>
      <w:r w:rsidR="003C712C">
        <w:t xml:space="preserve">?  </w:t>
      </w:r>
      <w:r w:rsidRPr="00382917">
        <w:t>They</w:t>
      </w:r>
      <w:r w:rsidR="00EE4FC3">
        <w:t xml:space="preserve"> </w:t>
      </w:r>
      <w:r w:rsidRPr="00382917">
        <w:t>put</w:t>
      </w:r>
      <w:r w:rsidR="00EE4FC3">
        <w:t xml:space="preserve"> </w:t>
      </w:r>
      <w:r w:rsidRPr="00382917">
        <w:t>the</w:t>
      </w:r>
      <w:r w:rsidR="00EE4FC3">
        <w:t xml:space="preserve"> </w:t>
      </w:r>
      <w:r w:rsidRPr="00382917">
        <w:t>question</w:t>
      </w:r>
      <w:r w:rsidR="00EE4FC3">
        <w:t xml:space="preserve"> </w:t>
      </w:r>
      <w:r w:rsidRPr="00382917">
        <w:t>to</w:t>
      </w:r>
      <w:r w:rsidR="00EE4FC3">
        <w:t xml:space="preserve"> </w:t>
      </w:r>
      <w:r w:rsidRPr="00382917">
        <w:t>Christ</w:t>
      </w:r>
      <w:r w:rsidR="00552489">
        <w:t>.</w:t>
      </w:r>
      <w:r w:rsidR="00EE4FC3">
        <w:t xml:space="preserve">  </w:t>
      </w:r>
      <w:r w:rsidRPr="00382917">
        <w:t>He</w:t>
      </w:r>
      <w:r w:rsidR="00EE4FC3">
        <w:t xml:space="preserve"> </w:t>
      </w:r>
      <w:r w:rsidRPr="00382917">
        <w:t>told</w:t>
      </w:r>
      <w:r w:rsidR="00EE4FC3">
        <w:t xml:space="preserve"> </w:t>
      </w:r>
      <w:r w:rsidRPr="00382917">
        <w:t>them</w:t>
      </w:r>
      <w:r w:rsidR="00EE4FC3">
        <w:t xml:space="preserve"> </w:t>
      </w:r>
      <w:r w:rsidRPr="00382917">
        <w:t>that</w:t>
      </w:r>
      <w:r w:rsidR="00EE4FC3">
        <w:t xml:space="preserve"> </w:t>
      </w:r>
      <w:r w:rsidRPr="00382917">
        <w:t>Elias</w:t>
      </w:r>
      <w:r w:rsidR="00EE4FC3">
        <w:t xml:space="preserve"> </w:t>
      </w:r>
      <w:r w:rsidRPr="00382917">
        <w:t>had</w:t>
      </w:r>
      <w:r w:rsidR="00EE4FC3">
        <w:t xml:space="preserve"> </w:t>
      </w:r>
      <w:r w:rsidRPr="00382917">
        <w:t>already</w:t>
      </w:r>
      <w:r w:rsidR="00EE4FC3">
        <w:t xml:space="preserve"> </w:t>
      </w:r>
      <w:r w:rsidRPr="00382917">
        <w:t>come,</w:t>
      </w:r>
      <w:r w:rsidR="00EE4FC3">
        <w:t xml:space="preserve"> </w:t>
      </w:r>
      <w:r w:rsidRPr="00382917">
        <w:t>but</w:t>
      </w:r>
      <w:r w:rsidR="00EE4FC3">
        <w:t xml:space="preserve"> </w:t>
      </w:r>
      <w:r w:rsidRPr="00382917">
        <w:t>that</w:t>
      </w:r>
      <w:r w:rsidR="00EE4FC3">
        <w:t xml:space="preserve"> </w:t>
      </w:r>
      <w:r w:rsidRPr="00382917">
        <w:t>no</w:t>
      </w:r>
      <w:r w:rsidR="00EE4FC3">
        <w:t xml:space="preserve"> </w:t>
      </w:r>
      <w:r w:rsidRPr="00382917">
        <w:t>one</w:t>
      </w:r>
      <w:r w:rsidR="00EE4FC3">
        <w:t xml:space="preserve"> </w:t>
      </w:r>
      <w:r w:rsidRPr="00382917">
        <w:t>understood</w:t>
      </w:r>
      <w:r w:rsidR="00EE4FC3">
        <w:t xml:space="preserve"> </w:t>
      </w:r>
      <w:r w:rsidRPr="00382917">
        <w:t>this</w:t>
      </w:r>
      <w:r w:rsidR="00EE4FC3">
        <w:t xml:space="preserve"> </w:t>
      </w:r>
      <w:r w:rsidRPr="00382917">
        <w:t>truth,</w:t>
      </w:r>
      <w:r w:rsidR="00EE4FC3">
        <w:t xml:space="preserve"> </w:t>
      </w:r>
      <w:r w:rsidRPr="00382917">
        <w:t>since</w:t>
      </w:r>
      <w:r w:rsidR="00EE4FC3">
        <w:t xml:space="preserve"> </w:t>
      </w:r>
      <w:r w:rsidRPr="00382917">
        <w:t>Elias</w:t>
      </w:r>
      <w:r w:rsidR="00EE4FC3">
        <w:t xml:space="preserve"> </w:t>
      </w:r>
      <w:r w:rsidRPr="00382917">
        <w:t>had</w:t>
      </w:r>
      <w:r w:rsidR="00EE4FC3">
        <w:t xml:space="preserve"> </w:t>
      </w:r>
      <w:r w:rsidRPr="00382917">
        <w:t>come</w:t>
      </w:r>
      <w:r w:rsidR="00EE4FC3">
        <w:t xml:space="preserve"> </w:t>
      </w:r>
      <w:r w:rsidRPr="00382917">
        <w:t>in</w:t>
      </w:r>
      <w:r w:rsidR="00EE4FC3">
        <w:t xml:space="preserve"> </w:t>
      </w:r>
      <w:r w:rsidRPr="00382917">
        <w:t>a</w:t>
      </w:r>
      <w:r w:rsidR="00EE4FC3">
        <w:t xml:space="preserve"> </w:t>
      </w:r>
      <w:r w:rsidRPr="00382917">
        <w:t>manner</w:t>
      </w:r>
      <w:r w:rsidR="00EE4FC3">
        <w:t xml:space="preserve"> </w:t>
      </w:r>
      <w:r w:rsidRPr="00382917">
        <w:t>they</w:t>
      </w:r>
      <w:r w:rsidR="00EE4FC3">
        <w:t xml:space="preserve"> </w:t>
      </w:r>
      <w:r w:rsidRPr="00382917">
        <w:t>did</w:t>
      </w:r>
      <w:r w:rsidR="00EE4FC3">
        <w:t xml:space="preserve"> </w:t>
      </w:r>
      <w:r w:rsidRPr="00382917">
        <w:t>not</w:t>
      </w:r>
      <w:r w:rsidR="00EE4FC3">
        <w:t xml:space="preserve"> </w:t>
      </w:r>
      <w:r w:rsidRPr="00382917">
        <w:t>expect.</w:t>
      </w:r>
    </w:p>
    <w:p w:rsidR="00F1111D" w:rsidRPr="00382917" w:rsidRDefault="009C713D" w:rsidP="00C72E3D">
      <w:pPr>
        <w:pStyle w:val="Text"/>
      </w:pPr>
      <w:r w:rsidRPr="00382917">
        <w:t>“</w:t>
      </w:r>
      <w:r w:rsidR="00F1111D" w:rsidRPr="00382917">
        <w:t>If</w:t>
      </w:r>
      <w:r w:rsidR="00EE4FC3">
        <w:t xml:space="preserve"> </w:t>
      </w:r>
      <w:r w:rsidR="00F1111D" w:rsidRPr="00382917">
        <w:t>ye</w:t>
      </w:r>
      <w:r w:rsidR="00EE4FC3">
        <w:t xml:space="preserve"> </w:t>
      </w:r>
      <w:r w:rsidR="00F1111D" w:rsidRPr="00382917">
        <w:t>will</w:t>
      </w:r>
      <w:r w:rsidR="00EE4FC3">
        <w:t xml:space="preserve"> </w:t>
      </w:r>
      <w:r w:rsidR="00F1111D" w:rsidRPr="00382917">
        <w:t>receive</w:t>
      </w:r>
      <w:r w:rsidR="00EE4FC3">
        <w:t xml:space="preserve"> </w:t>
      </w:r>
      <w:r w:rsidR="00F1111D" w:rsidRPr="00382917">
        <w:t>it,</w:t>
      </w:r>
      <w:r w:rsidRPr="00382917">
        <w:t>”</w:t>
      </w:r>
      <w:r w:rsidR="00EE4FC3">
        <w:t xml:space="preserve"> </w:t>
      </w:r>
      <w:r w:rsidR="00F1111D" w:rsidRPr="00382917">
        <w:t>He</w:t>
      </w:r>
      <w:r w:rsidR="00EE4FC3">
        <w:t xml:space="preserve"> </w:t>
      </w:r>
      <w:r w:rsidR="00F1111D" w:rsidRPr="00382917">
        <w:t>said,</w:t>
      </w:r>
      <w:r w:rsidR="00EE4FC3">
        <w:t xml:space="preserve"> </w:t>
      </w:r>
      <w:r w:rsidRPr="00382917">
        <w:t>“</w:t>
      </w:r>
      <w:r w:rsidR="00F1111D" w:rsidRPr="00382917">
        <w:t>this</w:t>
      </w:r>
      <w:r w:rsidR="00EE4FC3">
        <w:t xml:space="preserve"> </w:t>
      </w:r>
      <w:r w:rsidR="00F1111D" w:rsidRPr="00382917">
        <w:t>[John</w:t>
      </w:r>
      <w:r w:rsidR="00EE4FC3">
        <w:t xml:space="preserve"> </w:t>
      </w:r>
      <w:r w:rsidR="00F1111D" w:rsidRPr="00382917">
        <w:t>the</w:t>
      </w:r>
      <w:r w:rsidR="00EE4FC3">
        <w:t xml:space="preserve"> </w:t>
      </w:r>
      <w:r w:rsidR="00F1111D" w:rsidRPr="00382917">
        <w:t>Baptist]</w:t>
      </w:r>
      <w:r w:rsidR="00EE4FC3">
        <w:t xml:space="preserve"> </w:t>
      </w:r>
      <w:r w:rsidR="00F1111D" w:rsidRPr="00382917">
        <w:t>is</w:t>
      </w:r>
      <w:r w:rsidR="00EE4FC3">
        <w:t xml:space="preserve"> </w:t>
      </w:r>
      <w:r w:rsidR="00F1111D" w:rsidRPr="00382917">
        <w:t>Elias,</w:t>
      </w:r>
      <w:r w:rsidR="00EE4FC3">
        <w:t xml:space="preserve"> </w:t>
      </w:r>
      <w:proofErr w:type="gramStart"/>
      <w:r w:rsidR="00F1111D" w:rsidRPr="00382917">
        <w:t>which</w:t>
      </w:r>
      <w:proofErr w:type="gramEnd"/>
      <w:r w:rsidR="00EE4FC3">
        <w:t xml:space="preserve"> </w:t>
      </w:r>
      <w:r w:rsidR="00F1111D" w:rsidRPr="00382917">
        <w:t>was</w:t>
      </w:r>
      <w:r w:rsidR="00EE4FC3">
        <w:t xml:space="preserve"> </w:t>
      </w:r>
      <w:r w:rsidR="00F1111D" w:rsidRPr="00382917">
        <w:t>for</w:t>
      </w:r>
      <w:r w:rsidR="00EE4FC3">
        <w:t xml:space="preserve"> </w:t>
      </w:r>
      <w:r w:rsidR="00F1111D" w:rsidRPr="00382917">
        <w:t>to</w:t>
      </w:r>
      <w:r w:rsidR="00EE4FC3">
        <w:t xml:space="preserve"> </w:t>
      </w:r>
      <w:r w:rsidR="00F1111D" w:rsidRPr="00382917">
        <w:t>come</w:t>
      </w:r>
      <w:r w:rsidR="00552489">
        <w:t>.</w:t>
      </w:r>
      <w:r w:rsidR="00EE4FC3">
        <w:t xml:space="preserve">  </w:t>
      </w:r>
      <w:r w:rsidR="00F1111D" w:rsidRPr="00382917">
        <w:t>He</w:t>
      </w:r>
      <w:r w:rsidR="00EE4FC3">
        <w:t xml:space="preserve"> </w:t>
      </w:r>
      <w:r w:rsidR="00F1111D" w:rsidRPr="00382917">
        <w:t>that</w:t>
      </w:r>
      <w:r w:rsidR="00EE4FC3">
        <w:t xml:space="preserve"> </w:t>
      </w:r>
      <w:r w:rsidR="005B2C36" w:rsidRPr="00382917">
        <w:t>h</w:t>
      </w:r>
      <w:r w:rsidR="00F1111D" w:rsidRPr="00382917">
        <w:t>ath</w:t>
      </w:r>
      <w:r w:rsidR="00EE4FC3">
        <w:t xml:space="preserve"> </w:t>
      </w:r>
      <w:r w:rsidR="00F1111D" w:rsidRPr="00382917">
        <w:t>ears</w:t>
      </w:r>
      <w:r w:rsidR="00EE4FC3">
        <w:t xml:space="preserve"> </w:t>
      </w:r>
      <w:r w:rsidR="00F1111D" w:rsidRPr="00382917">
        <w:t>to</w:t>
      </w:r>
      <w:r w:rsidR="00EE4FC3">
        <w:t xml:space="preserve"> </w:t>
      </w:r>
      <w:proofErr w:type="gramStart"/>
      <w:r w:rsidR="00F1111D" w:rsidRPr="00382917">
        <w:t>hear,</w:t>
      </w:r>
      <w:proofErr w:type="gramEnd"/>
      <w:r w:rsidR="00EE4FC3">
        <w:t xml:space="preserve"> </w:t>
      </w:r>
      <w:r w:rsidR="00F1111D" w:rsidRPr="00382917">
        <w:t>let</w:t>
      </w:r>
      <w:r w:rsidR="00EE4FC3">
        <w:t xml:space="preserve"> </w:t>
      </w:r>
      <w:r w:rsidR="00F1111D" w:rsidRPr="00382917">
        <w:t>him</w:t>
      </w:r>
      <w:r w:rsidR="00EE4FC3">
        <w:t xml:space="preserve"> </w:t>
      </w:r>
      <w:r w:rsidR="00F1111D" w:rsidRPr="00382917">
        <w:t>hear.</w:t>
      </w:r>
      <w:r w:rsidRPr="00382917">
        <w:t>”</w:t>
      </w:r>
      <w:r w:rsidR="00C72E3D">
        <w:rPr>
          <w:rStyle w:val="FootnoteReference"/>
        </w:rPr>
        <w:footnoteReference w:id="310"/>
      </w:r>
    </w:p>
    <w:p w:rsidR="00F1111D" w:rsidRPr="00382917" w:rsidRDefault="00F1111D" w:rsidP="00244241">
      <w:pPr>
        <w:pStyle w:val="Text"/>
      </w:pPr>
      <w:r w:rsidRPr="00382917">
        <w:t>John</w:t>
      </w:r>
      <w:r w:rsidR="00EE4FC3">
        <w:t xml:space="preserve"> </w:t>
      </w:r>
      <w:r w:rsidRPr="00382917">
        <w:t>the</w:t>
      </w:r>
      <w:r w:rsidR="00EE4FC3">
        <w:t xml:space="preserve"> </w:t>
      </w:r>
      <w:r w:rsidRPr="00382917">
        <w:t>Baptist</w:t>
      </w:r>
      <w:r w:rsidR="00EE4FC3">
        <w:t xml:space="preserve"> </w:t>
      </w:r>
      <w:r w:rsidRPr="00382917">
        <w:t>was</w:t>
      </w:r>
      <w:r w:rsidR="00EE4FC3">
        <w:t xml:space="preserve"> </w:t>
      </w:r>
      <w:r w:rsidRPr="00382917">
        <w:t>Elias,</w:t>
      </w:r>
      <w:r w:rsidR="00EE4FC3">
        <w:t xml:space="preserve"> </w:t>
      </w:r>
      <w:r w:rsidRPr="00382917">
        <w:t>Christ</w:t>
      </w:r>
      <w:r w:rsidR="00EE4FC3">
        <w:t xml:space="preserve"> </w:t>
      </w:r>
      <w:r w:rsidRPr="00382917">
        <w:t>told</w:t>
      </w:r>
      <w:r w:rsidR="00EE4FC3">
        <w:t xml:space="preserve"> </w:t>
      </w:r>
      <w:r w:rsidRPr="00382917">
        <w:t>them</w:t>
      </w:r>
      <w:r w:rsidR="00552489">
        <w:t>.</w:t>
      </w:r>
      <w:r w:rsidR="00EE4FC3">
        <w:t xml:space="preserve">  </w:t>
      </w:r>
      <w:r w:rsidRPr="00382917">
        <w:t>He</w:t>
      </w:r>
      <w:r w:rsidR="00EE4FC3">
        <w:t xml:space="preserve"> </w:t>
      </w:r>
      <w:r w:rsidRPr="00382917">
        <w:t>added</w:t>
      </w:r>
      <w:r w:rsidR="00C03C91">
        <w:t>:</w:t>
      </w:r>
      <w:r w:rsidR="00EE4FC3">
        <w:t xml:space="preserve">  </w:t>
      </w:r>
      <w:r w:rsidR="009C713D" w:rsidRPr="00382917">
        <w:t>“</w:t>
      </w:r>
      <w:r w:rsidRPr="00382917">
        <w:t>If</w:t>
      </w:r>
      <w:r w:rsidR="00EE4FC3">
        <w:t xml:space="preserve"> </w:t>
      </w:r>
      <w:r w:rsidRPr="00382917">
        <w:t>ye</w:t>
      </w:r>
    </w:p>
    <w:p w:rsidR="00244241" w:rsidRPr="00382917" w:rsidRDefault="00244241">
      <w:pPr>
        <w:widowControl/>
        <w:kinsoku/>
        <w:overflowPunct/>
        <w:textAlignment w:val="auto"/>
      </w:pPr>
      <w:r w:rsidRPr="00382917">
        <w:br w:type="page"/>
      </w:r>
    </w:p>
    <w:p w:rsidR="00F1111D" w:rsidRPr="00382917" w:rsidRDefault="00F1111D" w:rsidP="00244241">
      <w:pPr>
        <w:pStyle w:val="Textcts"/>
      </w:pPr>
      <w:proofErr w:type="gramStart"/>
      <w:r w:rsidRPr="00382917">
        <w:t>will</w:t>
      </w:r>
      <w:proofErr w:type="gramEnd"/>
      <w:r w:rsidR="00EE4FC3">
        <w:t xml:space="preserve"> </w:t>
      </w:r>
      <w:r w:rsidRPr="00382917">
        <w:t>receive</w:t>
      </w:r>
      <w:r w:rsidR="00EE4FC3">
        <w:t xml:space="preserve"> </w:t>
      </w:r>
      <w:r w:rsidRPr="00382917">
        <w:t>it.</w:t>
      </w:r>
      <w:r w:rsidR="009C713D" w:rsidRPr="00382917">
        <w:t>”</w:t>
      </w:r>
      <w:r w:rsidR="00EE4FC3">
        <w:t xml:space="preserve"> </w:t>
      </w:r>
      <w:r w:rsidR="00C72E3D">
        <w:t xml:space="preserve"> </w:t>
      </w:r>
      <w:r w:rsidRPr="00382917">
        <w:t>He</w:t>
      </w:r>
      <w:r w:rsidR="00EE4FC3">
        <w:t xml:space="preserve"> </w:t>
      </w:r>
      <w:r w:rsidRPr="00382917">
        <w:t>meant</w:t>
      </w:r>
      <w:r w:rsidR="00C03C91">
        <w:t>:</w:t>
      </w:r>
      <w:r w:rsidR="00EE4FC3">
        <w:t xml:space="preserve">  </w:t>
      </w:r>
      <w:r w:rsidRPr="00382917">
        <w:t>If</w:t>
      </w:r>
      <w:r w:rsidR="00EE4FC3">
        <w:t xml:space="preserve"> </w:t>
      </w:r>
      <w:r w:rsidRPr="00382917">
        <w:t>you</w:t>
      </w:r>
      <w:r w:rsidR="00EE4FC3">
        <w:t xml:space="preserve"> </w:t>
      </w:r>
      <w:r w:rsidRPr="00382917">
        <w:t>can</w:t>
      </w:r>
      <w:r w:rsidR="00EE4FC3">
        <w:t xml:space="preserve"> </w:t>
      </w:r>
      <w:r w:rsidRPr="00382917">
        <w:t>understand</w:t>
      </w:r>
      <w:r w:rsidR="00EE4FC3">
        <w:t xml:space="preserve"> </w:t>
      </w:r>
      <w:r w:rsidRPr="00382917">
        <w:t>this</w:t>
      </w:r>
      <w:r w:rsidR="00EE4FC3">
        <w:t xml:space="preserve"> </w:t>
      </w:r>
      <w:r w:rsidRPr="00382917">
        <w:t>symbolic</w:t>
      </w:r>
      <w:r w:rsidR="00EE4FC3">
        <w:t xml:space="preserve"> </w:t>
      </w:r>
      <w:r w:rsidRPr="00382917">
        <w:t>truth</w:t>
      </w:r>
      <w:r w:rsidR="00552489">
        <w:t>.</w:t>
      </w:r>
      <w:r w:rsidR="00EE4FC3">
        <w:t xml:space="preserve">  </w:t>
      </w:r>
      <w:r w:rsidRPr="00382917">
        <w:t>He</w:t>
      </w:r>
      <w:r w:rsidR="00EE4FC3">
        <w:t xml:space="preserve"> </w:t>
      </w:r>
      <w:r w:rsidRPr="00382917">
        <w:t>added</w:t>
      </w:r>
      <w:r w:rsidR="00C03C91">
        <w:t>:</w:t>
      </w:r>
      <w:r w:rsidR="00EE4FC3">
        <w:t xml:space="preserve">  </w:t>
      </w:r>
      <w:r w:rsidR="009C713D" w:rsidRPr="00382917">
        <w:t>“</w:t>
      </w:r>
      <w:r w:rsidRPr="00382917">
        <w:t>He</w:t>
      </w:r>
      <w:r w:rsidR="00EE4FC3">
        <w:t xml:space="preserve"> </w:t>
      </w:r>
      <w:r w:rsidRPr="00382917">
        <w:t>that</w:t>
      </w:r>
      <w:r w:rsidR="00EE4FC3">
        <w:t xml:space="preserve"> </w:t>
      </w:r>
      <w:r w:rsidRPr="00382917">
        <w:t>hath</w:t>
      </w:r>
      <w:r w:rsidR="00EE4FC3">
        <w:t xml:space="preserve"> </w:t>
      </w:r>
      <w:r w:rsidRPr="00382917">
        <w:t>ears</w:t>
      </w:r>
      <w:r w:rsidR="00EE4FC3">
        <w:t xml:space="preserve"> </w:t>
      </w:r>
      <w:r w:rsidRPr="00382917">
        <w:t>to</w:t>
      </w:r>
      <w:r w:rsidR="00EE4FC3">
        <w:t xml:space="preserve"> </w:t>
      </w:r>
      <w:r w:rsidRPr="00382917">
        <w:t>hear,</w:t>
      </w:r>
      <w:r w:rsidR="00EE4FC3">
        <w:t xml:space="preserve"> </w:t>
      </w:r>
      <w:r w:rsidRPr="00382917">
        <w:t>let</w:t>
      </w:r>
      <w:r w:rsidR="00EE4FC3">
        <w:t xml:space="preserve"> </w:t>
      </w:r>
      <w:r w:rsidRPr="00382917">
        <w:t>him</w:t>
      </w:r>
      <w:r w:rsidR="00EE4FC3">
        <w:t xml:space="preserve"> </w:t>
      </w:r>
      <w:r w:rsidRPr="00382917">
        <w:t>hear.</w:t>
      </w:r>
      <w:r w:rsidR="009C713D" w:rsidRPr="00382917">
        <w:t>”</w:t>
      </w:r>
      <w:r w:rsidR="00C72E3D">
        <w:t xml:space="preserve"> </w:t>
      </w:r>
      <w:r w:rsidR="00EE4FC3">
        <w:t xml:space="preserve"> </w:t>
      </w:r>
      <w:r w:rsidRPr="00382917">
        <w:t>This</w:t>
      </w:r>
      <w:r w:rsidR="00EE4FC3">
        <w:t xml:space="preserve"> </w:t>
      </w:r>
      <w:r w:rsidRPr="00382917">
        <w:t>clearly</w:t>
      </w:r>
      <w:r w:rsidR="00EE4FC3">
        <w:t xml:space="preserve"> </w:t>
      </w:r>
      <w:r w:rsidRPr="00382917">
        <w:t>warned</w:t>
      </w:r>
      <w:r w:rsidR="00EE4FC3">
        <w:t xml:space="preserve"> </w:t>
      </w:r>
      <w:r w:rsidRPr="00382917">
        <w:t>them</w:t>
      </w:r>
      <w:r w:rsidR="00EE4FC3">
        <w:t xml:space="preserve"> </w:t>
      </w:r>
      <w:r w:rsidRPr="00382917">
        <w:t>that</w:t>
      </w:r>
      <w:r w:rsidR="00EE4FC3">
        <w:t xml:space="preserve"> </w:t>
      </w:r>
      <w:r w:rsidRPr="00382917">
        <w:t>it</w:t>
      </w:r>
      <w:r w:rsidR="00EE4FC3">
        <w:t xml:space="preserve"> </w:t>
      </w:r>
      <w:r w:rsidRPr="00382917">
        <w:t>would</w:t>
      </w:r>
      <w:r w:rsidR="00EE4FC3">
        <w:t xml:space="preserve"> </w:t>
      </w:r>
      <w:r w:rsidRPr="00382917">
        <w:t>take</w:t>
      </w:r>
      <w:r w:rsidR="00EE4FC3">
        <w:t xml:space="preserve"> </w:t>
      </w:r>
      <w:r w:rsidRPr="00382917">
        <w:t>spiritual</w:t>
      </w:r>
      <w:r w:rsidR="00EE4FC3">
        <w:t xml:space="preserve"> </w:t>
      </w:r>
      <w:r w:rsidRPr="00382917">
        <w:t>ears</w:t>
      </w:r>
      <w:r w:rsidR="00EE4FC3">
        <w:t xml:space="preserve"> </w:t>
      </w:r>
      <w:r w:rsidRPr="00382917">
        <w:t>to</w:t>
      </w:r>
      <w:r w:rsidR="00EE4FC3">
        <w:t xml:space="preserve"> </w:t>
      </w:r>
      <w:r w:rsidRPr="00382917">
        <w:t>hear</w:t>
      </w:r>
      <w:r w:rsidR="00EE4FC3">
        <w:t xml:space="preserve"> </w:t>
      </w:r>
      <w:r w:rsidRPr="00382917">
        <w:t>and</w:t>
      </w:r>
      <w:r w:rsidR="00EE4FC3">
        <w:t xml:space="preserve"> </w:t>
      </w:r>
      <w:r w:rsidRPr="00382917">
        <w:t>accept</w:t>
      </w:r>
      <w:r w:rsidR="00EE4FC3">
        <w:t xml:space="preserve"> </w:t>
      </w:r>
      <w:r w:rsidRPr="00382917">
        <w:t>this</w:t>
      </w:r>
      <w:r w:rsidR="00EE4FC3">
        <w:t xml:space="preserve"> </w:t>
      </w:r>
      <w:r w:rsidRPr="00382917">
        <w:t>truth</w:t>
      </w:r>
      <w:r w:rsidR="00552489">
        <w:t>.</w:t>
      </w:r>
      <w:r w:rsidR="00EE4FC3">
        <w:t xml:space="preserve">  </w:t>
      </w:r>
      <w:r w:rsidRPr="00382917">
        <w:t>It</w:t>
      </w:r>
      <w:r w:rsidR="00EE4FC3">
        <w:t xml:space="preserve"> </w:t>
      </w:r>
      <w:r w:rsidRPr="00382917">
        <w:t>was</w:t>
      </w:r>
      <w:r w:rsidR="00EE4FC3">
        <w:t xml:space="preserve"> </w:t>
      </w:r>
      <w:r w:rsidRPr="00382917">
        <w:t>to</w:t>
      </w:r>
      <w:r w:rsidR="00EE4FC3">
        <w:t xml:space="preserve"> </w:t>
      </w:r>
      <w:r w:rsidRPr="00382917">
        <w:t>be</w:t>
      </w:r>
      <w:r w:rsidR="00EE4FC3">
        <w:t xml:space="preserve"> </w:t>
      </w:r>
      <w:r w:rsidRPr="00382917">
        <w:t>understood</w:t>
      </w:r>
      <w:r w:rsidR="00EE4FC3">
        <w:t xml:space="preserve"> </w:t>
      </w:r>
      <w:r w:rsidRPr="00382917">
        <w:t>inwardly,</w:t>
      </w:r>
      <w:r w:rsidR="00EE4FC3">
        <w:t xml:space="preserve"> </w:t>
      </w:r>
      <w:r w:rsidRPr="00382917">
        <w:t>not</w:t>
      </w:r>
      <w:r w:rsidR="00EE4FC3">
        <w:t xml:space="preserve"> </w:t>
      </w:r>
      <w:r w:rsidRPr="00382917">
        <w:t>outwardly,</w:t>
      </w:r>
      <w:r w:rsidR="00EE4FC3">
        <w:t xml:space="preserve"> </w:t>
      </w:r>
      <w:r w:rsidRPr="00382917">
        <w:t>in</w:t>
      </w:r>
      <w:r w:rsidR="00EE4FC3">
        <w:t xml:space="preserve"> </w:t>
      </w:r>
      <w:r w:rsidRPr="00382917">
        <w:t>the</w:t>
      </w:r>
      <w:r w:rsidR="00EE4FC3">
        <w:t xml:space="preserve"> </w:t>
      </w:r>
      <w:r w:rsidRPr="00382917">
        <w:t>world</w:t>
      </w:r>
      <w:r w:rsidR="00EE4FC3">
        <w:t xml:space="preserve"> </w:t>
      </w:r>
      <w:r w:rsidRPr="00382917">
        <w:t>of</w:t>
      </w:r>
      <w:r w:rsidR="00EE4FC3">
        <w:t xml:space="preserve"> </w:t>
      </w:r>
      <w:r w:rsidRPr="00382917">
        <w:t>comprehension,</w:t>
      </w:r>
      <w:r w:rsidR="00EE4FC3">
        <w:t xml:space="preserve"> </w:t>
      </w:r>
      <w:r w:rsidRPr="00382917">
        <w:t>not</w:t>
      </w:r>
      <w:r w:rsidR="00EE4FC3">
        <w:t xml:space="preserve"> </w:t>
      </w:r>
      <w:r w:rsidRPr="00382917">
        <w:t>by</w:t>
      </w:r>
      <w:r w:rsidR="00EE4FC3">
        <w:t xml:space="preserve"> </w:t>
      </w:r>
      <w:r w:rsidRPr="00382917">
        <w:t>the</w:t>
      </w:r>
      <w:r w:rsidR="00EE4FC3">
        <w:t xml:space="preserve"> </w:t>
      </w:r>
      <w:r w:rsidRPr="00382917">
        <w:t>senses.</w:t>
      </w:r>
    </w:p>
    <w:p w:rsidR="00F1111D" w:rsidRPr="00382917" w:rsidRDefault="00F1111D" w:rsidP="00244241">
      <w:pPr>
        <w:pStyle w:val="Text"/>
      </w:pPr>
      <w:r w:rsidRPr="00382917">
        <w:t>Only</w:t>
      </w:r>
      <w:r w:rsidR="00EE4FC3">
        <w:t xml:space="preserve"> </w:t>
      </w:r>
      <w:r w:rsidRPr="00382917">
        <w:t>in</w:t>
      </w:r>
      <w:r w:rsidR="00EE4FC3">
        <w:t xml:space="preserve"> </w:t>
      </w:r>
      <w:r w:rsidRPr="00382917">
        <w:t>this</w:t>
      </w:r>
      <w:r w:rsidR="00EE4FC3">
        <w:t xml:space="preserve"> </w:t>
      </w:r>
      <w:r w:rsidRPr="00382917">
        <w:t>symbolical</w:t>
      </w:r>
      <w:r w:rsidR="00EE4FC3">
        <w:t xml:space="preserve"> </w:t>
      </w:r>
      <w:r w:rsidRPr="00382917">
        <w:t>way</w:t>
      </w:r>
      <w:r w:rsidR="00EE4FC3">
        <w:t xml:space="preserve"> </w:t>
      </w:r>
      <w:r w:rsidRPr="00382917">
        <w:t>could</w:t>
      </w:r>
      <w:r w:rsidR="00EE4FC3">
        <w:t xml:space="preserve"> </w:t>
      </w:r>
      <w:r w:rsidRPr="00382917">
        <w:t>anyone</w:t>
      </w:r>
      <w:r w:rsidR="00EE4FC3">
        <w:t xml:space="preserve"> </w:t>
      </w:r>
      <w:r w:rsidRPr="00382917">
        <w:t>accept</w:t>
      </w:r>
      <w:r w:rsidR="00EE4FC3">
        <w:t xml:space="preserve"> </w:t>
      </w:r>
      <w:r w:rsidRPr="00382917">
        <w:t>the</w:t>
      </w:r>
      <w:r w:rsidR="00EE4FC3">
        <w:t xml:space="preserve"> </w:t>
      </w:r>
      <w:r w:rsidRPr="00382917">
        <w:t>man</w:t>
      </w:r>
      <w:r w:rsidR="00EE4FC3">
        <w:t xml:space="preserve"> </w:t>
      </w:r>
      <w:r w:rsidRPr="00382917">
        <w:t>John</w:t>
      </w:r>
      <w:r w:rsidR="00EE4FC3">
        <w:t xml:space="preserve"> </w:t>
      </w:r>
      <w:r w:rsidRPr="00382917">
        <w:t>as</w:t>
      </w:r>
      <w:r w:rsidR="00EE4FC3">
        <w:t xml:space="preserve"> </w:t>
      </w:r>
      <w:r w:rsidRPr="00382917">
        <w:t>Elias</w:t>
      </w:r>
      <w:r w:rsidR="00552489">
        <w:t>.</w:t>
      </w:r>
      <w:r w:rsidR="00EE4FC3">
        <w:t xml:space="preserve">  </w:t>
      </w:r>
      <w:r w:rsidRPr="00382917">
        <w:t>Elias</w:t>
      </w:r>
      <w:r w:rsidR="00EE4FC3">
        <w:t xml:space="preserve"> </w:t>
      </w:r>
      <w:r w:rsidRPr="00382917">
        <w:t>had</w:t>
      </w:r>
      <w:r w:rsidR="00EE4FC3">
        <w:t xml:space="preserve"> </w:t>
      </w:r>
      <w:r w:rsidRPr="00382917">
        <w:t>returned</w:t>
      </w:r>
      <w:r w:rsidR="00EE4FC3">
        <w:t xml:space="preserve"> </w:t>
      </w:r>
      <w:r w:rsidRPr="00382917">
        <w:t>in</w:t>
      </w:r>
      <w:r w:rsidR="00EE4FC3">
        <w:t xml:space="preserve"> </w:t>
      </w:r>
      <w:r w:rsidRPr="00382917">
        <w:t>the</w:t>
      </w:r>
      <w:r w:rsidR="00EE4FC3">
        <w:t xml:space="preserve"> </w:t>
      </w:r>
      <w:r w:rsidRPr="00382917">
        <w:t>spirit,</w:t>
      </w:r>
      <w:r w:rsidR="00EE4FC3">
        <w:t xml:space="preserve"> </w:t>
      </w:r>
      <w:r w:rsidRPr="00382917">
        <w:t>not</w:t>
      </w:r>
      <w:r w:rsidR="00EE4FC3">
        <w:t xml:space="preserve"> </w:t>
      </w:r>
      <w:r w:rsidRPr="00382917">
        <w:t>in</w:t>
      </w:r>
      <w:r w:rsidR="00EE4FC3">
        <w:t xml:space="preserve"> </w:t>
      </w:r>
      <w:r w:rsidRPr="00382917">
        <w:t>the</w:t>
      </w:r>
      <w:r w:rsidR="00EE4FC3">
        <w:t xml:space="preserve"> </w:t>
      </w:r>
      <w:r w:rsidRPr="00382917">
        <w:t>flesh</w:t>
      </w:r>
      <w:r w:rsidR="00EE4FC3">
        <w:t xml:space="preserve"> </w:t>
      </w:r>
      <w:r w:rsidRPr="00382917">
        <w:t>of</w:t>
      </w:r>
      <w:r w:rsidR="00EE4FC3">
        <w:t xml:space="preserve"> </w:t>
      </w:r>
      <w:r w:rsidRPr="00382917">
        <w:t>John</w:t>
      </w:r>
      <w:r w:rsidR="00552489">
        <w:t>.</w:t>
      </w:r>
      <w:r w:rsidR="00EE4FC3">
        <w:t xml:space="preserve">  </w:t>
      </w:r>
      <w:r w:rsidRPr="00382917">
        <w:t>If</w:t>
      </w:r>
      <w:r w:rsidR="00EE4FC3">
        <w:t xml:space="preserve"> </w:t>
      </w:r>
      <w:r w:rsidRPr="00382917">
        <w:t>they</w:t>
      </w:r>
      <w:r w:rsidR="00EE4FC3">
        <w:t xml:space="preserve"> </w:t>
      </w:r>
      <w:r w:rsidRPr="00382917">
        <w:t>did</w:t>
      </w:r>
      <w:r w:rsidR="00EE4FC3">
        <w:t xml:space="preserve"> </w:t>
      </w:r>
      <w:r w:rsidRPr="00382917">
        <w:t>not</w:t>
      </w:r>
      <w:r w:rsidR="00EE4FC3">
        <w:t xml:space="preserve"> </w:t>
      </w:r>
      <w:r w:rsidRPr="00382917">
        <w:t>understand</w:t>
      </w:r>
      <w:r w:rsidR="00EE4FC3">
        <w:t xml:space="preserve"> </w:t>
      </w:r>
      <w:r w:rsidRPr="00382917">
        <w:t>the</w:t>
      </w:r>
      <w:r w:rsidR="00EE4FC3">
        <w:t xml:space="preserve"> </w:t>
      </w:r>
      <w:r w:rsidRPr="00382917">
        <w:t>significance</w:t>
      </w:r>
      <w:r w:rsidR="00EE4FC3">
        <w:t xml:space="preserve"> </w:t>
      </w:r>
      <w:r w:rsidRPr="00382917">
        <w:t>of</w:t>
      </w:r>
      <w:r w:rsidR="00EE4FC3">
        <w:t xml:space="preserve"> </w:t>
      </w:r>
      <w:r w:rsidRPr="00382917">
        <w:t>this</w:t>
      </w:r>
      <w:r w:rsidR="00EE4FC3">
        <w:t xml:space="preserve"> </w:t>
      </w:r>
      <w:r w:rsidRPr="00382917">
        <w:t>inward</w:t>
      </w:r>
      <w:r w:rsidR="00EE4FC3">
        <w:t xml:space="preserve"> </w:t>
      </w:r>
      <w:r w:rsidRPr="00382917">
        <w:t>truth,</w:t>
      </w:r>
      <w:r w:rsidR="00EE4FC3">
        <w:t xml:space="preserve"> </w:t>
      </w:r>
      <w:r w:rsidRPr="00382917">
        <w:t>they</w:t>
      </w:r>
      <w:r w:rsidR="00EE4FC3">
        <w:t xml:space="preserve"> </w:t>
      </w:r>
      <w:r w:rsidRPr="00382917">
        <w:t>would</w:t>
      </w:r>
      <w:r w:rsidR="00EE4FC3">
        <w:t xml:space="preserve"> </w:t>
      </w:r>
      <w:r w:rsidRPr="00382917">
        <w:t>believe</w:t>
      </w:r>
      <w:r w:rsidR="00EE4FC3">
        <w:t xml:space="preserve"> </w:t>
      </w:r>
      <w:r w:rsidRPr="00382917">
        <w:t>Him</w:t>
      </w:r>
      <w:r w:rsidR="00EE4FC3">
        <w:t xml:space="preserve"> </w:t>
      </w:r>
      <w:r w:rsidRPr="00382917">
        <w:t>to</w:t>
      </w:r>
      <w:r w:rsidR="00EE4FC3">
        <w:t xml:space="preserve"> </w:t>
      </w:r>
      <w:r w:rsidRPr="00382917">
        <w:t>be</w:t>
      </w:r>
      <w:r w:rsidR="00EE4FC3">
        <w:t xml:space="preserve"> </w:t>
      </w:r>
      <w:r w:rsidRPr="00382917">
        <w:t>false</w:t>
      </w:r>
      <w:r w:rsidR="00552489">
        <w:t>.</w:t>
      </w:r>
      <w:r w:rsidR="00EE4FC3">
        <w:t xml:space="preserve">  </w:t>
      </w:r>
      <w:r w:rsidRPr="00382917">
        <w:t>They</w:t>
      </w:r>
      <w:r w:rsidR="00EE4FC3">
        <w:t xml:space="preserve"> </w:t>
      </w:r>
      <w:r w:rsidRPr="00382917">
        <w:t>must</w:t>
      </w:r>
      <w:r w:rsidR="00EE4FC3">
        <w:t xml:space="preserve"> </w:t>
      </w:r>
      <w:r w:rsidRPr="00382917">
        <w:t>have</w:t>
      </w:r>
      <w:r w:rsidR="00EE4FC3">
        <w:t xml:space="preserve"> </w:t>
      </w:r>
      <w:r w:rsidRPr="00382917">
        <w:t>the</w:t>
      </w:r>
      <w:r w:rsidR="00EE4FC3">
        <w:t xml:space="preserve"> </w:t>
      </w:r>
      <w:r w:rsidR="009C713D" w:rsidRPr="00382917">
        <w:t>“</w:t>
      </w:r>
      <w:r w:rsidRPr="00382917">
        <w:t>eyes</w:t>
      </w:r>
      <w:r w:rsidR="00EE4FC3">
        <w:t xml:space="preserve"> </w:t>
      </w:r>
      <w:r w:rsidRPr="00382917">
        <w:t>that</w:t>
      </w:r>
      <w:r w:rsidR="00EE4FC3">
        <w:t xml:space="preserve"> </w:t>
      </w:r>
      <w:r w:rsidRPr="00382917">
        <w:t>see</w:t>
      </w:r>
      <w:r w:rsidR="009C713D" w:rsidRPr="00382917">
        <w:t>”</w:t>
      </w:r>
      <w:r w:rsidR="00EE4FC3">
        <w:t xml:space="preserve"> </w:t>
      </w:r>
      <w:r w:rsidRPr="00382917">
        <w:t>and</w:t>
      </w:r>
      <w:r w:rsidR="00EE4FC3">
        <w:t xml:space="preserve"> </w:t>
      </w:r>
      <w:r w:rsidRPr="00382917">
        <w:t>the</w:t>
      </w:r>
      <w:r w:rsidR="00EE4FC3">
        <w:t xml:space="preserve"> </w:t>
      </w:r>
      <w:r w:rsidR="009C713D" w:rsidRPr="00382917">
        <w:t>“</w:t>
      </w:r>
      <w:r w:rsidRPr="00382917">
        <w:t>ears</w:t>
      </w:r>
      <w:r w:rsidR="00EE4FC3">
        <w:t xml:space="preserve"> </w:t>
      </w:r>
      <w:r w:rsidRPr="00382917">
        <w:t>that</w:t>
      </w:r>
      <w:r w:rsidR="00EE4FC3">
        <w:t xml:space="preserve"> </w:t>
      </w:r>
      <w:r w:rsidRPr="00382917">
        <w:t>hear</w:t>
      </w:r>
      <w:r w:rsidR="009C713D" w:rsidRPr="00382917">
        <w:t>”</w:t>
      </w:r>
      <w:r w:rsidRPr="00382917">
        <w:t>;</w:t>
      </w:r>
      <w:r w:rsidR="00EE4FC3">
        <w:t xml:space="preserve"> </w:t>
      </w:r>
      <w:r w:rsidRPr="00382917">
        <w:t>otherwise,</w:t>
      </w:r>
      <w:r w:rsidR="00EE4FC3">
        <w:t xml:space="preserve"> </w:t>
      </w:r>
      <w:r w:rsidRPr="00382917">
        <w:t>it</w:t>
      </w:r>
      <w:r w:rsidR="00EE4FC3">
        <w:t xml:space="preserve"> </w:t>
      </w:r>
      <w:r w:rsidRPr="00382917">
        <w:t>would</w:t>
      </w:r>
      <w:r w:rsidR="00EE4FC3">
        <w:t xml:space="preserve"> </w:t>
      </w:r>
      <w:r w:rsidRPr="00382917">
        <w:t>be</w:t>
      </w:r>
      <w:r w:rsidR="00EE4FC3">
        <w:t xml:space="preserve"> </w:t>
      </w:r>
      <w:r w:rsidRPr="00382917">
        <w:t>impossible</w:t>
      </w:r>
      <w:r w:rsidR="00EE4FC3">
        <w:t xml:space="preserve"> </w:t>
      </w:r>
      <w:r w:rsidRPr="00382917">
        <w:t>to</w:t>
      </w:r>
      <w:r w:rsidR="00EE4FC3">
        <w:t xml:space="preserve"> </w:t>
      </w:r>
      <w:r w:rsidRPr="00382917">
        <w:t>understand</w:t>
      </w:r>
      <w:r w:rsidR="00EE4FC3">
        <w:t xml:space="preserve"> </w:t>
      </w:r>
      <w:r w:rsidRPr="00382917">
        <w:t>or</w:t>
      </w:r>
      <w:r w:rsidR="00EE4FC3">
        <w:t xml:space="preserve"> </w:t>
      </w:r>
      <w:r w:rsidRPr="00382917">
        <w:t>to</w:t>
      </w:r>
      <w:r w:rsidR="00EE4FC3">
        <w:t xml:space="preserve"> </w:t>
      </w:r>
      <w:r w:rsidRPr="00382917">
        <w:t>accept.</w:t>
      </w:r>
    </w:p>
    <w:p w:rsidR="00F1111D" w:rsidRPr="00382917" w:rsidRDefault="00F1111D" w:rsidP="00C72E3D">
      <w:pPr>
        <w:pStyle w:val="Text"/>
      </w:pPr>
      <w:r w:rsidRPr="00382917">
        <w:t>This</w:t>
      </w:r>
      <w:r w:rsidR="00EE4FC3">
        <w:t xml:space="preserve"> </w:t>
      </w:r>
      <w:r w:rsidRPr="00382917">
        <w:t>truth</w:t>
      </w:r>
      <w:r w:rsidR="00EE4FC3">
        <w:t xml:space="preserve"> </w:t>
      </w:r>
      <w:r w:rsidRPr="00382917">
        <w:t>was</w:t>
      </w:r>
      <w:r w:rsidR="00EE4FC3">
        <w:t xml:space="preserve"> </w:t>
      </w:r>
      <w:r w:rsidRPr="00382917">
        <w:t>confirmed</w:t>
      </w:r>
      <w:r w:rsidR="00EE4FC3">
        <w:t xml:space="preserve"> </w:t>
      </w:r>
      <w:r w:rsidRPr="00382917">
        <w:t>by</w:t>
      </w:r>
      <w:r w:rsidR="00EE4FC3">
        <w:t xml:space="preserve"> </w:t>
      </w:r>
      <w:r w:rsidRPr="00382917">
        <w:t>John</w:t>
      </w:r>
      <w:r w:rsidR="00EE4FC3">
        <w:t xml:space="preserve"> </w:t>
      </w:r>
      <w:r w:rsidRPr="00382917">
        <w:t>the</w:t>
      </w:r>
      <w:r w:rsidR="00EE4FC3">
        <w:t xml:space="preserve"> </w:t>
      </w:r>
      <w:r w:rsidRPr="00382917">
        <w:t>Baptist</w:t>
      </w:r>
      <w:r w:rsidR="00EE4FC3">
        <w:t xml:space="preserve"> </w:t>
      </w:r>
      <w:r w:rsidRPr="00382917">
        <w:t>Himself</w:t>
      </w:r>
      <w:r w:rsidR="00552489">
        <w:t>.</w:t>
      </w:r>
      <w:r w:rsidR="00EE4FC3">
        <w:t xml:space="preserve">  </w:t>
      </w:r>
      <w:r w:rsidRPr="00382917">
        <w:t>He</w:t>
      </w:r>
      <w:r w:rsidR="00EE4FC3">
        <w:t xml:space="preserve"> </w:t>
      </w:r>
      <w:r w:rsidRPr="00382917">
        <w:t>was</w:t>
      </w:r>
      <w:r w:rsidR="00EE4FC3">
        <w:t xml:space="preserve"> </w:t>
      </w:r>
      <w:r w:rsidRPr="00382917">
        <w:t>asked</w:t>
      </w:r>
      <w:r w:rsidR="00C03C91">
        <w:t>:</w:t>
      </w:r>
      <w:r w:rsidR="00EE4FC3">
        <w:t xml:space="preserve">  </w:t>
      </w:r>
      <w:r w:rsidR="009C713D" w:rsidRPr="00382917">
        <w:t>“</w:t>
      </w:r>
      <w:r w:rsidRPr="00382917">
        <w:t>Art</w:t>
      </w:r>
      <w:r w:rsidR="00EE4FC3">
        <w:t xml:space="preserve"> </w:t>
      </w:r>
      <w:r w:rsidRPr="00382917">
        <w:t>thou</w:t>
      </w:r>
      <w:r w:rsidR="00EE4FC3">
        <w:t xml:space="preserve"> </w:t>
      </w:r>
      <w:r w:rsidRPr="00382917">
        <w:t>Elias?</w:t>
      </w:r>
      <w:proofErr w:type="gramStart"/>
      <w:r w:rsidR="009C713D" w:rsidRPr="00382917">
        <w:t>”</w:t>
      </w:r>
      <w:r w:rsidR="00EE4FC3">
        <w:t xml:space="preserve"> </w:t>
      </w:r>
      <w:proofErr w:type="gramEnd"/>
      <w:r w:rsidRPr="00382917">
        <w:t>He</w:t>
      </w:r>
      <w:r w:rsidR="00EE4FC3">
        <w:t xml:space="preserve"> </w:t>
      </w:r>
      <w:r w:rsidRPr="00382917">
        <w:t>answered</w:t>
      </w:r>
      <w:r w:rsidR="00C03C91">
        <w:t>:</w:t>
      </w:r>
      <w:r w:rsidR="00EE4FC3">
        <w:t xml:space="preserve">  </w:t>
      </w:r>
      <w:r w:rsidR="009C713D" w:rsidRPr="00382917">
        <w:t>“</w:t>
      </w:r>
      <w:r w:rsidRPr="00382917">
        <w:t>I</w:t>
      </w:r>
      <w:r w:rsidR="00EE4FC3">
        <w:t xml:space="preserve"> </w:t>
      </w:r>
      <w:r w:rsidRPr="00382917">
        <w:t>am</w:t>
      </w:r>
      <w:r w:rsidR="00EE4FC3">
        <w:t xml:space="preserve"> </w:t>
      </w:r>
      <w:r w:rsidRPr="00382917">
        <w:t>not.</w:t>
      </w:r>
      <w:r w:rsidR="009C713D" w:rsidRPr="00382917">
        <w:t>”</w:t>
      </w:r>
      <w:r w:rsidR="00C72E3D">
        <w:rPr>
          <w:rStyle w:val="FootnoteReference"/>
        </w:rPr>
        <w:footnoteReference w:id="311"/>
      </w:r>
      <w:r w:rsidR="00EE4FC3">
        <w:t xml:space="preserve">  </w:t>
      </w:r>
      <w:r w:rsidRPr="00382917">
        <w:t>He</w:t>
      </w:r>
      <w:r w:rsidR="00EE4FC3">
        <w:t xml:space="preserve"> </w:t>
      </w:r>
      <w:r w:rsidRPr="00382917">
        <w:t>was</w:t>
      </w:r>
      <w:r w:rsidR="00EE4FC3">
        <w:t xml:space="preserve"> </w:t>
      </w:r>
      <w:r w:rsidRPr="00382917">
        <w:t>not</w:t>
      </w:r>
      <w:r w:rsidR="00EE4FC3">
        <w:t xml:space="preserve"> </w:t>
      </w:r>
      <w:r w:rsidRPr="00382917">
        <w:t>the</w:t>
      </w:r>
      <w:r w:rsidR="00EE4FC3">
        <w:t xml:space="preserve"> </w:t>
      </w:r>
      <w:r w:rsidRPr="00382917">
        <w:t>return</w:t>
      </w:r>
      <w:r w:rsidR="00EE4FC3">
        <w:t xml:space="preserve"> </w:t>
      </w:r>
      <w:r w:rsidRPr="00382917">
        <w:t>of</w:t>
      </w:r>
      <w:r w:rsidR="00EE4FC3">
        <w:t xml:space="preserve"> </w:t>
      </w:r>
      <w:r w:rsidRPr="00382917">
        <w:t>Elias</w:t>
      </w:r>
      <w:r w:rsidR="00EE4FC3">
        <w:t xml:space="preserve"> </w:t>
      </w:r>
      <w:r w:rsidRPr="00382917">
        <w:t>in</w:t>
      </w:r>
      <w:r w:rsidR="00EE4FC3">
        <w:t xml:space="preserve"> </w:t>
      </w:r>
      <w:r w:rsidRPr="00382917">
        <w:t>the</w:t>
      </w:r>
      <w:r w:rsidR="00EE4FC3">
        <w:t xml:space="preserve"> </w:t>
      </w:r>
      <w:r w:rsidRPr="00382917">
        <w:t>flesh</w:t>
      </w:r>
      <w:r w:rsidR="00552489">
        <w:t>.</w:t>
      </w:r>
      <w:r w:rsidR="00EE4FC3">
        <w:t xml:space="preserve">  </w:t>
      </w:r>
      <w:r w:rsidRPr="00382917">
        <w:t>He</w:t>
      </w:r>
      <w:r w:rsidR="00EE4FC3">
        <w:t xml:space="preserve"> </w:t>
      </w:r>
      <w:r w:rsidRPr="00382917">
        <w:t>was</w:t>
      </w:r>
      <w:r w:rsidR="00EE4FC3">
        <w:t xml:space="preserve"> </w:t>
      </w:r>
      <w:r w:rsidRPr="00382917">
        <w:t>the</w:t>
      </w:r>
      <w:r w:rsidR="00EE4FC3">
        <w:t xml:space="preserve"> </w:t>
      </w:r>
      <w:r w:rsidRPr="00382917">
        <w:t>return</w:t>
      </w:r>
      <w:r w:rsidR="00EE4FC3">
        <w:t xml:space="preserve"> </w:t>
      </w:r>
      <w:r w:rsidRPr="00382917">
        <w:t>of</w:t>
      </w:r>
      <w:r w:rsidR="00EE4FC3">
        <w:t xml:space="preserve"> </w:t>
      </w:r>
      <w:r w:rsidRPr="00382917">
        <w:t>the</w:t>
      </w:r>
      <w:r w:rsidR="00EE4FC3">
        <w:t xml:space="preserve"> </w:t>
      </w:r>
      <w:r w:rsidRPr="00382917">
        <w:t>spirit</w:t>
      </w:r>
      <w:r w:rsidR="00EE4FC3">
        <w:t xml:space="preserve"> </w:t>
      </w:r>
      <w:r w:rsidRPr="00382917">
        <w:t>of</w:t>
      </w:r>
      <w:r w:rsidR="00EE4FC3">
        <w:t xml:space="preserve"> </w:t>
      </w:r>
      <w:r w:rsidRPr="00382917">
        <w:t>Elias</w:t>
      </w:r>
      <w:r w:rsidR="00552489">
        <w:t>.</w:t>
      </w:r>
      <w:r w:rsidR="00EE4FC3">
        <w:t xml:space="preserve">  </w:t>
      </w:r>
      <w:r w:rsidRPr="00382917">
        <w:t>In</w:t>
      </w:r>
      <w:r w:rsidR="00EE4FC3">
        <w:t xml:space="preserve"> </w:t>
      </w:r>
      <w:r w:rsidRPr="00382917">
        <w:t>the</w:t>
      </w:r>
      <w:r w:rsidR="00EE4FC3">
        <w:t xml:space="preserve"> </w:t>
      </w:r>
      <w:r w:rsidRPr="00382917">
        <w:t>Book</w:t>
      </w:r>
      <w:r w:rsidR="00EE4FC3">
        <w:t xml:space="preserve"> </w:t>
      </w:r>
      <w:r w:rsidRPr="00382917">
        <w:t>of</w:t>
      </w:r>
      <w:r w:rsidR="00EE4FC3">
        <w:t xml:space="preserve"> </w:t>
      </w:r>
      <w:r w:rsidRPr="00382917">
        <w:t>Luke</w:t>
      </w:r>
      <w:r w:rsidR="00EE4FC3">
        <w:t xml:space="preserve"> </w:t>
      </w:r>
      <w:r w:rsidRPr="00382917">
        <w:t>it</w:t>
      </w:r>
      <w:r w:rsidR="00EE4FC3">
        <w:t xml:space="preserve"> </w:t>
      </w:r>
      <w:r w:rsidRPr="00382917">
        <w:t>is</w:t>
      </w:r>
      <w:r w:rsidR="00EE4FC3">
        <w:t xml:space="preserve"> </w:t>
      </w:r>
      <w:r w:rsidRPr="00382917">
        <w:t>promised</w:t>
      </w:r>
      <w:r w:rsidR="00EE4FC3">
        <w:t xml:space="preserve"> </w:t>
      </w:r>
      <w:r w:rsidRPr="00382917">
        <w:t>for</w:t>
      </w:r>
      <w:r w:rsidR="00EE4FC3">
        <w:t xml:space="preserve"> </w:t>
      </w:r>
      <w:r w:rsidRPr="00382917">
        <w:t>this</w:t>
      </w:r>
      <w:r w:rsidR="00EE4FC3">
        <w:t xml:space="preserve"> </w:t>
      </w:r>
      <w:r w:rsidRPr="00382917">
        <w:t>same</w:t>
      </w:r>
      <w:r w:rsidR="00EE4FC3">
        <w:t xml:space="preserve"> </w:t>
      </w:r>
      <w:r w:rsidRPr="00382917">
        <w:t>John</w:t>
      </w:r>
      <w:r w:rsidR="00EE4FC3">
        <w:t xml:space="preserve"> </w:t>
      </w:r>
      <w:r w:rsidRPr="00382917">
        <w:t>the</w:t>
      </w:r>
      <w:r w:rsidR="00EE4FC3">
        <w:t xml:space="preserve"> </w:t>
      </w:r>
      <w:r w:rsidRPr="00382917">
        <w:t>Baptist:</w:t>
      </w:r>
    </w:p>
    <w:p w:rsidR="00F1111D" w:rsidRPr="00382917" w:rsidRDefault="009C713D" w:rsidP="00647AEF">
      <w:pPr>
        <w:pStyle w:val="Quote"/>
      </w:pPr>
      <w:r w:rsidRPr="00382917">
        <w:t>“</w:t>
      </w:r>
      <w:r w:rsidR="00F1111D" w:rsidRPr="00382917">
        <w:t>He</w:t>
      </w:r>
      <w:r w:rsidR="00EE4FC3">
        <w:t xml:space="preserve"> </w:t>
      </w:r>
      <w:r w:rsidR="00F1111D" w:rsidRPr="00382917">
        <w:t>shall</w:t>
      </w:r>
      <w:r w:rsidR="00EE4FC3">
        <w:t xml:space="preserve"> </w:t>
      </w:r>
      <w:r w:rsidR="00F1111D" w:rsidRPr="00382917">
        <w:t>be</w:t>
      </w:r>
      <w:r w:rsidR="00EE4FC3">
        <w:t xml:space="preserve"> </w:t>
      </w:r>
      <w:r w:rsidR="00F1111D" w:rsidRPr="00382917">
        <w:t>filled</w:t>
      </w:r>
      <w:r w:rsidR="00EE4FC3">
        <w:t xml:space="preserve"> </w:t>
      </w:r>
      <w:r w:rsidR="00F1111D" w:rsidRPr="00382917">
        <w:t>with</w:t>
      </w:r>
      <w:r w:rsidR="00EE4FC3">
        <w:t xml:space="preserve"> </w:t>
      </w:r>
      <w:r w:rsidR="00F1111D" w:rsidRPr="00382917">
        <w:t>the</w:t>
      </w:r>
      <w:r w:rsidR="00EE4FC3">
        <w:t xml:space="preserve"> </w:t>
      </w:r>
      <w:r w:rsidR="00F1111D" w:rsidRPr="00382917">
        <w:t>Holy</w:t>
      </w:r>
      <w:r w:rsidR="00EE4FC3">
        <w:t xml:space="preserve"> </w:t>
      </w:r>
      <w:r w:rsidR="00F1111D" w:rsidRPr="00382917">
        <w:t>Ghost,</w:t>
      </w:r>
      <w:r w:rsidR="00EE4FC3">
        <w:t xml:space="preserve"> </w:t>
      </w:r>
      <w:r w:rsidR="00F1111D" w:rsidRPr="00382917">
        <w:t>even</w:t>
      </w:r>
      <w:r w:rsidR="00EE4FC3">
        <w:t xml:space="preserve"> </w:t>
      </w:r>
      <w:r w:rsidR="00F1111D" w:rsidRPr="00382917">
        <w:t>from</w:t>
      </w:r>
      <w:r w:rsidR="00EE4FC3">
        <w:t xml:space="preserve"> </w:t>
      </w:r>
      <w:r w:rsidR="00F1111D" w:rsidRPr="00382917">
        <w:t>his</w:t>
      </w:r>
      <w:r w:rsidR="00EE4FC3">
        <w:t xml:space="preserve"> </w:t>
      </w:r>
      <w:r w:rsidR="00F1111D" w:rsidRPr="00382917">
        <w:t>mother</w:t>
      </w:r>
      <w:r w:rsidRPr="00382917">
        <w:t>’</w:t>
      </w:r>
      <w:r w:rsidR="00F1111D" w:rsidRPr="00382917">
        <w:t>s</w:t>
      </w:r>
      <w:r w:rsidR="00EE4FC3">
        <w:t xml:space="preserve"> </w:t>
      </w:r>
      <w:r w:rsidR="00F1111D" w:rsidRPr="00382917">
        <w:t>womb</w:t>
      </w:r>
      <w:proofErr w:type="gramStart"/>
      <w:r w:rsidR="00647AEF">
        <w:t xml:space="preserve">. </w:t>
      </w:r>
      <w:proofErr w:type="gramEnd"/>
      <w:r w:rsidR="00F04416" w:rsidRPr="00382917">
        <w:t>…</w:t>
      </w:r>
      <w:r w:rsidR="00EE4FC3">
        <w:t xml:space="preserve">  </w:t>
      </w:r>
      <w:r w:rsidR="00F1111D" w:rsidRPr="00382917">
        <w:t>And</w:t>
      </w:r>
      <w:r w:rsidR="00EE4FC3">
        <w:t xml:space="preserve"> </w:t>
      </w:r>
      <w:r w:rsidR="00F1111D" w:rsidRPr="00382917">
        <w:t>he</w:t>
      </w:r>
      <w:r w:rsidR="00EE4FC3">
        <w:t xml:space="preserve"> </w:t>
      </w:r>
      <w:r w:rsidR="00F1111D" w:rsidRPr="00382917">
        <w:t>shall</w:t>
      </w:r>
      <w:r w:rsidR="00EE4FC3">
        <w:t xml:space="preserve"> </w:t>
      </w:r>
      <w:r w:rsidR="00F1111D" w:rsidRPr="00382917">
        <w:t>go</w:t>
      </w:r>
      <w:r w:rsidR="00EE4FC3">
        <w:t xml:space="preserve"> </w:t>
      </w:r>
      <w:r w:rsidR="00F1111D" w:rsidRPr="00382917">
        <w:t>forth</w:t>
      </w:r>
      <w:r w:rsidR="00EE4FC3">
        <w:t xml:space="preserve"> </w:t>
      </w:r>
      <w:r w:rsidR="00F1111D" w:rsidRPr="00382917">
        <w:t>before</w:t>
      </w:r>
      <w:r w:rsidR="00EE4FC3">
        <w:t xml:space="preserve"> </w:t>
      </w:r>
      <w:r w:rsidR="00F1111D" w:rsidRPr="00382917">
        <w:t>him</w:t>
      </w:r>
      <w:r w:rsidR="00EE4FC3">
        <w:t xml:space="preserve"> </w:t>
      </w:r>
      <w:r w:rsidR="00F1111D" w:rsidRPr="00382917">
        <w:t>in</w:t>
      </w:r>
      <w:r w:rsidR="00EE4FC3">
        <w:t xml:space="preserve"> </w:t>
      </w:r>
      <w:r w:rsidR="00F1111D" w:rsidRPr="00382917">
        <w:t>the</w:t>
      </w:r>
      <w:r w:rsidR="00EE4FC3">
        <w:t xml:space="preserve"> </w:t>
      </w:r>
      <w:r w:rsidR="00F1111D" w:rsidRPr="00382917">
        <w:t>spirit</w:t>
      </w:r>
      <w:r w:rsidR="00EE4FC3">
        <w:t xml:space="preserve"> </w:t>
      </w:r>
      <w:r w:rsidR="00F1111D" w:rsidRPr="00382917">
        <w:t>and</w:t>
      </w:r>
      <w:r w:rsidR="00EE4FC3">
        <w:t xml:space="preserve"> </w:t>
      </w:r>
      <w:r w:rsidR="00F1111D" w:rsidRPr="00382917">
        <w:t>power</w:t>
      </w:r>
      <w:r w:rsidR="00EE4FC3">
        <w:t xml:space="preserve"> </w:t>
      </w:r>
      <w:r w:rsidR="00F1111D" w:rsidRPr="00382917">
        <w:t>of</w:t>
      </w:r>
      <w:r w:rsidR="00EE4FC3">
        <w:t xml:space="preserve"> </w:t>
      </w:r>
      <w:r w:rsidR="00F1111D" w:rsidRPr="00382917">
        <w:t>Elias.</w:t>
      </w:r>
      <w:r w:rsidRPr="00382917">
        <w:t>”</w:t>
      </w:r>
      <w:r w:rsidR="00C72E3D">
        <w:rPr>
          <w:rStyle w:val="FootnoteReference"/>
        </w:rPr>
        <w:footnoteReference w:id="312"/>
      </w:r>
    </w:p>
    <w:p w:rsidR="00F1111D" w:rsidRPr="00382917" w:rsidRDefault="00F1111D" w:rsidP="00244241">
      <w:pPr>
        <w:pStyle w:val="Text"/>
      </w:pPr>
      <w:r w:rsidRPr="00382917">
        <w:t>This</w:t>
      </w:r>
      <w:r w:rsidR="00EE4FC3">
        <w:t xml:space="preserve"> </w:t>
      </w:r>
      <w:r w:rsidRPr="00382917">
        <w:t>was</w:t>
      </w:r>
      <w:r w:rsidR="00EE4FC3">
        <w:t xml:space="preserve"> </w:t>
      </w:r>
      <w:r w:rsidRPr="00382917">
        <w:t>the</w:t>
      </w:r>
      <w:r w:rsidR="00EE4FC3">
        <w:t xml:space="preserve"> </w:t>
      </w:r>
      <w:r w:rsidRPr="00382917">
        <w:t>inward</w:t>
      </w:r>
      <w:r w:rsidR="00EE4FC3">
        <w:t xml:space="preserve"> </w:t>
      </w:r>
      <w:r w:rsidRPr="00382917">
        <w:t>truth</w:t>
      </w:r>
      <w:r w:rsidR="00EE4FC3">
        <w:t xml:space="preserve"> </w:t>
      </w:r>
      <w:r w:rsidRPr="00382917">
        <w:t>that</w:t>
      </w:r>
      <w:r w:rsidR="00EE4FC3">
        <w:t xml:space="preserve"> </w:t>
      </w:r>
      <w:r w:rsidRPr="00382917">
        <w:t>Christ</w:t>
      </w:r>
      <w:r w:rsidR="00EE4FC3">
        <w:t xml:space="preserve"> </w:t>
      </w:r>
      <w:r w:rsidRPr="00382917">
        <w:t>was</w:t>
      </w:r>
      <w:r w:rsidR="00EE4FC3">
        <w:t xml:space="preserve"> </w:t>
      </w:r>
      <w:r w:rsidRPr="00382917">
        <w:t>trying</w:t>
      </w:r>
      <w:r w:rsidR="00EE4FC3">
        <w:t xml:space="preserve"> </w:t>
      </w:r>
      <w:r w:rsidRPr="00382917">
        <w:t>to</w:t>
      </w:r>
      <w:r w:rsidR="00EE4FC3">
        <w:t xml:space="preserve"> </w:t>
      </w:r>
      <w:r w:rsidRPr="00382917">
        <w:t>convey</w:t>
      </w:r>
      <w:r w:rsidR="00552489">
        <w:t>.</w:t>
      </w:r>
      <w:r w:rsidR="00EE4FC3">
        <w:t xml:space="preserve">  </w:t>
      </w:r>
      <w:r w:rsidRPr="00382917">
        <w:t>He</w:t>
      </w:r>
      <w:r w:rsidR="00EE4FC3">
        <w:t xml:space="preserve"> </w:t>
      </w:r>
      <w:r w:rsidRPr="00382917">
        <w:t>emphasized</w:t>
      </w:r>
      <w:r w:rsidR="00EE4FC3">
        <w:t xml:space="preserve"> </w:t>
      </w:r>
      <w:r w:rsidRPr="00382917">
        <w:t>this</w:t>
      </w:r>
      <w:r w:rsidR="00EE4FC3">
        <w:t xml:space="preserve"> </w:t>
      </w:r>
      <w:r w:rsidRPr="00382917">
        <w:t>vital</w:t>
      </w:r>
      <w:r w:rsidR="00EE4FC3">
        <w:t xml:space="preserve"> </w:t>
      </w:r>
      <w:r w:rsidRPr="00382917">
        <w:t>spiritual</w:t>
      </w:r>
      <w:r w:rsidR="00EE4FC3">
        <w:t xml:space="preserve"> </w:t>
      </w:r>
      <w:r w:rsidRPr="00382917">
        <w:t>truth</w:t>
      </w:r>
      <w:r w:rsidR="00EE4FC3">
        <w:t xml:space="preserve"> </w:t>
      </w:r>
      <w:r w:rsidRPr="00382917">
        <w:t>on</w:t>
      </w:r>
      <w:r w:rsidR="00EE4FC3">
        <w:t xml:space="preserve"> </w:t>
      </w:r>
      <w:r w:rsidRPr="00382917">
        <w:t>more</w:t>
      </w:r>
      <w:r w:rsidR="00EE4FC3">
        <w:t xml:space="preserve"> </w:t>
      </w:r>
      <w:r w:rsidRPr="00382917">
        <w:t>than</w:t>
      </w:r>
      <w:r w:rsidR="00EE4FC3">
        <w:t xml:space="preserve"> </w:t>
      </w:r>
      <w:r w:rsidRPr="00382917">
        <w:t>one</w:t>
      </w:r>
      <w:r w:rsidR="00EE4FC3">
        <w:t xml:space="preserve"> </w:t>
      </w:r>
      <w:r w:rsidRPr="00382917">
        <w:t>occasion</w:t>
      </w:r>
      <w:r w:rsidR="00552489">
        <w:t>.</w:t>
      </w:r>
      <w:r w:rsidR="00EE4FC3">
        <w:t xml:space="preserve">  </w:t>
      </w:r>
      <w:r w:rsidRPr="00382917">
        <w:t>He</w:t>
      </w:r>
      <w:r w:rsidR="00EE4FC3">
        <w:t xml:space="preserve"> </w:t>
      </w:r>
      <w:r w:rsidRPr="00382917">
        <w:t>demonstrated</w:t>
      </w:r>
      <w:r w:rsidR="00EE4FC3">
        <w:t xml:space="preserve"> </w:t>
      </w:r>
      <w:r w:rsidRPr="00382917">
        <w:t>to</w:t>
      </w:r>
      <w:r w:rsidR="00EE4FC3">
        <w:t xml:space="preserve"> </w:t>
      </w:r>
      <w:r w:rsidRPr="00382917">
        <w:t>His</w:t>
      </w:r>
      <w:r w:rsidR="00EE4FC3">
        <w:t xml:space="preserve"> </w:t>
      </w:r>
      <w:r w:rsidRPr="00382917">
        <w:t>disciples</w:t>
      </w:r>
      <w:r w:rsidR="00EE4FC3">
        <w:t xml:space="preserve"> </w:t>
      </w:r>
      <w:r w:rsidRPr="00382917">
        <w:t>that</w:t>
      </w:r>
      <w:r w:rsidR="00EE4FC3">
        <w:t xml:space="preserve"> </w:t>
      </w:r>
      <w:r w:rsidRPr="00382917">
        <w:t>a</w:t>
      </w:r>
      <w:r w:rsidR="00EE4FC3">
        <w:t xml:space="preserve"> </w:t>
      </w:r>
      <w:r w:rsidRPr="00382917">
        <w:t>Messenger</w:t>
      </w:r>
      <w:r w:rsidR="00EE4FC3">
        <w:t xml:space="preserve"> </w:t>
      </w:r>
      <w:r w:rsidRPr="00382917">
        <w:t>of</w:t>
      </w:r>
      <w:r w:rsidR="00EE4FC3">
        <w:t xml:space="preserve"> </w:t>
      </w:r>
      <w:r w:rsidRPr="00382917">
        <w:t>God</w:t>
      </w:r>
      <w:r w:rsidR="00EE4FC3">
        <w:t xml:space="preserve"> </w:t>
      </w:r>
      <w:r w:rsidRPr="00382917">
        <w:t>does</w:t>
      </w:r>
      <w:r w:rsidR="00EE4FC3">
        <w:t xml:space="preserve"> </w:t>
      </w:r>
      <w:r w:rsidRPr="00382917">
        <w:t>not</w:t>
      </w:r>
      <w:r w:rsidR="00EE4FC3">
        <w:t xml:space="preserve"> </w:t>
      </w:r>
      <w:r w:rsidRPr="00382917">
        <w:t>return</w:t>
      </w:r>
      <w:r w:rsidR="00EE4FC3">
        <w:t xml:space="preserve"> </w:t>
      </w:r>
      <w:r w:rsidRPr="00382917">
        <w:t>in</w:t>
      </w:r>
      <w:r w:rsidR="00EE4FC3">
        <w:t xml:space="preserve"> </w:t>
      </w:r>
      <w:r w:rsidRPr="00382917">
        <w:t>the</w:t>
      </w:r>
      <w:r w:rsidR="00EE4FC3">
        <w:t xml:space="preserve"> </w:t>
      </w:r>
      <w:r w:rsidRPr="00382917">
        <w:t>flesh</w:t>
      </w:r>
      <w:r w:rsidR="00552489">
        <w:t>.</w:t>
      </w:r>
      <w:r w:rsidR="00EE4FC3">
        <w:t xml:space="preserve">  </w:t>
      </w:r>
      <w:r w:rsidRPr="00382917">
        <w:t>It</w:t>
      </w:r>
      <w:r w:rsidR="00EE4FC3">
        <w:t xml:space="preserve"> </w:t>
      </w:r>
      <w:r w:rsidRPr="00382917">
        <w:t>is</w:t>
      </w:r>
      <w:r w:rsidR="00EE4FC3">
        <w:t xml:space="preserve"> </w:t>
      </w:r>
      <w:r w:rsidRPr="00382917">
        <w:t>the</w:t>
      </w:r>
      <w:r w:rsidR="00EE4FC3">
        <w:t xml:space="preserve"> </w:t>
      </w:r>
      <w:r w:rsidRPr="00382917">
        <w:t>Holy</w:t>
      </w:r>
      <w:r w:rsidR="00EE4FC3">
        <w:t xml:space="preserve"> </w:t>
      </w:r>
      <w:r w:rsidRPr="00382917">
        <w:t>Spirit</w:t>
      </w:r>
      <w:r w:rsidR="00EE4FC3">
        <w:t xml:space="preserve"> </w:t>
      </w:r>
      <w:r w:rsidRPr="00382917">
        <w:t>that</w:t>
      </w:r>
      <w:r w:rsidR="00EE4FC3">
        <w:t xml:space="preserve"> </w:t>
      </w:r>
      <w:r w:rsidRPr="00382917">
        <w:t>returns;</w:t>
      </w:r>
      <w:r w:rsidR="00EE4FC3">
        <w:t xml:space="preserve"> </w:t>
      </w:r>
      <w:r w:rsidRPr="00382917">
        <w:t>but,</w:t>
      </w:r>
      <w:r w:rsidR="00EE4FC3">
        <w:t xml:space="preserve"> </w:t>
      </w:r>
      <w:r w:rsidRPr="00382917">
        <w:t>through</w:t>
      </w:r>
      <w:r w:rsidR="00EE4FC3">
        <w:t xml:space="preserve"> </w:t>
      </w:r>
      <w:r w:rsidRPr="00382917">
        <w:t>another</w:t>
      </w:r>
      <w:r w:rsidR="00EE4FC3">
        <w:t xml:space="preserve"> </w:t>
      </w:r>
      <w:r w:rsidRPr="00382917">
        <w:t>channel,</w:t>
      </w:r>
      <w:r w:rsidR="00EE4FC3">
        <w:t xml:space="preserve"> </w:t>
      </w:r>
      <w:r w:rsidRPr="00382917">
        <w:t>in</w:t>
      </w:r>
      <w:r w:rsidR="00EE4FC3">
        <w:t xml:space="preserve"> </w:t>
      </w:r>
      <w:r w:rsidRPr="00382917">
        <w:t>another</w:t>
      </w:r>
      <w:r w:rsidR="00EE4FC3">
        <w:t xml:space="preserve"> </w:t>
      </w:r>
      <w:r w:rsidRPr="00382917">
        <w:t>age,</w:t>
      </w:r>
      <w:r w:rsidR="00EE4FC3">
        <w:t xml:space="preserve"> </w:t>
      </w:r>
      <w:r w:rsidRPr="00382917">
        <w:t>and</w:t>
      </w:r>
      <w:r w:rsidR="00EE4FC3">
        <w:t xml:space="preserve"> </w:t>
      </w:r>
      <w:r w:rsidRPr="00382917">
        <w:t>with</w:t>
      </w:r>
      <w:r w:rsidR="00EE4FC3">
        <w:t xml:space="preserve"> </w:t>
      </w:r>
      <w:r w:rsidRPr="00382917">
        <w:t>another</w:t>
      </w:r>
      <w:r w:rsidR="00EE4FC3">
        <w:t xml:space="preserve"> </w:t>
      </w:r>
      <w:r w:rsidRPr="00382917">
        <w:t>outward</w:t>
      </w:r>
      <w:r w:rsidR="00EE4FC3">
        <w:t xml:space="preserve"> </w:t>
      </w:r>
      <w:r w:rsidRPr="00382917">
        <w:t>name.</w:t>
      </w:r>
    </w:p>
    <w:p w:rsidR="00F1111D" w:rsidRPr="00382917" w:rsidRDefault="009C713D" w:rsidP="00BC4BAA">
      <w:pPr>
        <w:pStyle w:val="Quote"/>
      </w:pPr>
      <w:r w:rsidRPr="00382917">
        <w:t>“</w:t>
      </w:r>
      <w:r w:rsidR="00F1111D" w:rsidRPr="00382917">
        <w:t>And</w:t>
      </w:r>
      <w:r w:rsidR="00EE4FC3">
        <w:t xml:space="preserve"> </w:t>
      </w:r>
      <w:r w:rsidR="00F1111D" w:rsidRPr="00382917">
        <w:t>his</w:t>
      </w:r>
      <w:r w:rsidR="00EE4FC3">
        <w:t xml:space="preserve"> </w:t>
      </w:r>
      <w:r w:rsidR="00F1111D" w:rsidRPr="00382917">
        <w:t>disciples</w:t>
      </w:r>
      <w:r w:rsidR="00EE4FC3">
        <w:t xml:space="preserve"> </w:t>
      </w:r>
      <w:r w:rsidR="00F1111D" w:rsidRPr="00382917">
        <w:t>asked</w:t>
      </w:r>
      <w:r w:rsidR="00EE4FC3">
        <w:t xml:space="preserve"> </w:t>
      </w:r>
      <w:r w:rsidR="00F1111D" w:rsidRPr="00382917">
        <w:t>him,</w:t>
      </w:r>
      <w:r w:rsidR="00EE4FC3">
        <w:t xml:space="preserve"> </w:t>
      </w:r>
      <w:r w:rsidR="00F1111D" w:rsidRPr="00382917">
        <w:t>saying,</w:t>
      </w:r>
      <w:r w:rsidR="00EE4FC3">
        <w:t xml:space="preserve"> </w:t>
      </w:r>
      <w:proofErr w:type="gramStart"/>
      <w:r w:rsidR="00F1111D" w:rsidRPr="00382917">
        <w:t>Why</w:t>
      </w:r>
      <w:proofErr w:type="gramEnd"/>
      <w:r w:rsidR="00EE4FC3">
        <w:t xml:space="preserve"> </w:t>
      </w:r>
      <w:r w:rsidR="00F1111D" w:rsidRPr="00382917">
        <w:t>then</w:t>
      </w:r>
      <w:r w:rsidR="00EE4FC3">
        <w:t xml:space="preserve"> </w:t>
      </w:r>
      <w:r w:rsidR="00F1111D" w:rsidRPr="00382917">
        <w:t>say</w:t>
      </w:r>
      <w:r w:rsidR="00EE4FC3">
        <w:t xml:space="preserve"> </w:t>
      </w:r>
      <w:r w:rsidR="00F1111D" w:rsidRPr="00382917">
        <w:t>the</w:t>
      </w:r>
      <w:r w:rsidR="00EE4FC3">
        <w:t xml:space="preserve"> </w:t>
      </w:r>
      <w:r w:rsidR="00F1111D" w:rsidRPr="00382917">
        <w:t>Scribes</w:t>
      </w:r>
      <w:r w:rsidR="00EE4FC3">
        <w:t xml:space="preserve"> </w:t>
      </w:r>
      <w:r w:rsidR="00F1111D" w:rsidRPr="00382917">
        <w:t>that</w:t>
      </w:r>
      <w:r w:rsidR="00EE4FC3">
        <w:t xml:space="preserve"> </w:t>
      </w:r>
      <w:r w:rsidR="00F1111D" w:rsidRPr="00382917">
        <w:t>Elias</w:t>
      </w:r>
      <w:r w:rsidR="00EE4FC3">
        <w:t xml:space="preserve"> </w:t>
      </w:r>
      <w:r w:rsidR="00F1111D" w:rsidRPr="00382917">
        <w:t>must</w:t>
      </w:r>
      <w:r w:rsidR="00EE4FC3">
        <w:t xml:space="preserve"> </w:t>
      </w:r>
      <w:r w:rsidR="00F1111D" w:rsidRPr="00382917">
        <w:t>first</w:t>
      </w:r>
      <w:r w:rsidR="00EE4FC3">
        <w:t xml:space="preserve"> </w:t>
      </w:r>
      <w:r w:rsidR="00F1111D" w:rsidRPr="00382917">
        <w:t>come</w:t>
      </w:r>
      <w:r w:rsidR="003C712C">
        <w:t xml:space="preserve">?  </w:t>
      </w:r>
      <w:r w:rsidR="00F1111D" w:rsidRPr="00382917">
        <w:t>And</w:t>
      </w:r>
      <w:r w:rsidR="00EE4FC3">
        <w:t xml:space="preserve"> </w:t>
      </w:r>
      <w:r w:rsidR="00F1111D" w:rsidRPr="00382917">
        <w:t>Jesus</w:t>
      </w:r>
      <w:r w:rsidR="00EE4FC3">
        <w:t xml:space="preserve"> </w:t>
      </w:r>
      <w:r w:rsidR="00F1111D" w:rsidRPr="00382917">
        <w:t>answered</w:t>
      </w:r>
      <w:r w:rsidR="00EE4FC3">
        <w:t xml:space="preserve"> </w:t>
      </w:r>
      <w:r w:rsidR="00F1111D" w:rsidRPr="00382917">
        <w:t>and</w:t>
      </w:r>
      <w:r w:rsidR="00EE4FC3">
        <w:t xml:space="preserve"> </w:t>
      </w:r>
      <w:r w:rsidR="00F1111D" w:rsidRPr="00382917">
        <w:t>said</w:t>
      </w:r>
      <w:r w:rsidR="00EE4FC3">
        <w:t xml:space="preserve"> </w:t>
      </w:r>
      <w:r w:rsidR="00F1111D" w:rsidRPr="00382917">
        <w:t>unto</w:t>
      </w:r>
      <w:r w:rsidR="00EE4FC3">
        <w:t xml:space="preserve"> </w:t>
      </w:r>
      <w:r w:rsidR="00F1111D" w:rsidRPr="00382917">
        <w:t>them,</w:t>
      </w:r>
      <w:r w:rsidR="00EE4FC3">
        <w:t xml:space="preserve"> </w:t>
      </w:r>
      <w:r w:rsidR="00F1111D" w:rsidRPr="00382917">
        <w:t>Elias</w:t>
      </w:r>
      <w:r w:rsidR="00EE4FC3">
        <w:t xml:space="preserve"> </w:t>
      </w:r>
      <w:r w:rsidR="00F1111D" w:rsidRPr="00382917">
        <w:t>truly</w:t>
      </w:r>
      <w:r w:rsidR="00EE4FC3">
        <w:t xml:space="preserve"> </w:t>
      </w:r>
      <w:r w:rsidR="00F1111D" w:rsidRPr="00382917">
        <w:t>shall</w:t>
      </w:r>
      <w:r w:rsidR="00EE4FC3">
        <w:t xml:space="preserve"> </w:t>
      </w:r>
      <w:r w:rsidR="00F1111D" w:rsidRPr="00382917">
        <w:t>come</w:t>
      </w:r>
      <w:r w:rsidR="00EE4FC3">
        <w:t xml:space="preserve"> </w:t>
      </w:r>
      <w:r w:rsidR="00F1111D" w:rsidRPr="00382917">
        <w:t>first,</w:t>
      </w:r>
      <w:r w:rsidR="00EE4FC3">
        <w:t xml:space="preserve"> </w:t>
      </w:r>
      <w:r w:rsidR="00F1111D" w:rsidRPr="00382917">
        <w:t>and</w:t>
      </w:r>
      <w:r w:rsidR="00EE4FC3">
        <w:t xml:space="preserve"> </w:t>
      </w:r>
      <w:r w:rsidR="00F1111D" w:rsidRPr="00382917">
        <w:t>restore</w:t>
      </w:r>
      <w:r w:rsidR="00EE4FC3">
        <w:t xml:space="preserve"> </w:t>
      </w:r>
      <w:r w:rsidR="00F1111D" w:rsidRPr="00382917">
        <w:t>all</w:t>
      </w:r>
      <w:r w:rsidR="00EE4FC3">
        <w:t xml:space="preserve"> </w:t>
      </w:r>
      <w:r w:rsidR="00F1111D" w:rsidRPr="00382917">
        <w:t>things</w:t>
      </w:r>
      <w:r w:rsidR="00552489">
        <w:t>.</w:t>
      </w:r>
      <w:r w:rsidR="00EE4FC3">
        <w:t xml:space="preserve">  </w:t>
      </w:r>
      <w:r w:rsidR="00F1111D" w:rsidRPr="00382917">
        <w:t>But</w:t>
      </w:r>
      <w:r w:rsidR="00EE4FC3">
        <w:t xml:space="preserve"> </w:t>
      </w:r>
      <w:r w:rsidR="00F1111D" w:rsidRPr="00382917">
        <w:t>I</w:t>
      </w:r>
      <w:r w:rsidR="00EE4FC3">
        <w:t xml:space="preserve"> </w:t>
      </w:r>
      <w:r w:rsidR="00F1111D" w:rsidRPr="00382917">
        <w:t>say</w:t>
      </w:r>
      <w:r w:rsidR="00EE4FC3">
        <w:t xml:space="preserve"> </w:t>
      </w:r>
      <w:r w:rsidR="00F1111D" w:rsidRPr="00382917">
        <w:t>unto</w:t>
      </w:r>
      <w:r w:rsidR="00EE4FC3">
        <w:t xml:space="preserve"> </w:t>
      </w:r>
      <w:r w:rsidR="00F1111D" w:rsidRPr="00382917">
        <w:t>you,</w:t>
      </w:r>
      <w:r w:rsidR="00EE4FC3">
        <w:t xml:space="preserve"> </w:t>
      </w:r>
      <w:r w:rsidR="00F1111D" w:rsidRPr="00382917">
        <w:t>that</w:t>
      </w:r>
      <w:r w:rsidR="00EE4FC3">
        <w:t xml:space="preserve"> </w:t>
      </w:r>
      <w:r w:rsidR="00F1111D" w:rsidRPr="00382917">
        <w:t>Elias</w:t>
      </w:r>
      <w:r w:rsidR="00EE4FC3">
        <w:t xml:space="preserve"> </w:t>
      </w:r>
      <w:r w:rsidR="00F1111D" w:rsidRPr="00382917">
        <w:t>is</w:t>
      </w:r>
      <w:r w:rsidR="00EE4FC3">
        <w:t xml:space="preserve"> </w:t>
      </w:r>
      <w:r w:rsidR="00F1111D" w:rsidRPr="00382917">
        <w:t>come</w:t>
      </w:r>
      <w:r w:rsidR="00EE4FC3">
        <w:t xml:space="preserve"> </w:t>
      </w:r>
      <w:r w:rsidR="00F1111D" w:rsidRPr="00382917">
        <w:t>already,</w:t>
      </w:r>
      <w:r w:rsidR="00EE4FC3">
        <w:t xml:space="preserve"> </w:t>
      </w:r>
      <w:r w:rsidR="00F1111D" w:rsidRPr="00382917">
        <w:t>and</w:t>
      </w:r>
      <w:r w:rsidR="00EE4FC3">
        <w:t xml:space="preserve"> </w:t>
      </w:r>
      <w:r w:rsidR="00F1111D" w:rsidRPr="00382917">
        <w:t>they</w:t>
      </w:r>
      <w:r w:rsidR="00EE4FC3">
        <w:t xml:space="preserve"> </w:t>
      </w:r>
      <w:r w:rsidR="00F1111D" w:rsidRPr="00382917">
        <w:t>knew</w:t>
      </w:r>
      <w:r w:rsidR="00EE4FC3">
        <w:t xml:space="preserve"> </w:t>
      </w:r>
      <w:r w:rsidR="00F1111D" w:rsidRPr="00382917">
        <w:t>him</w:t>
      </w:r>
      <w:r w:rsidR="00EE4FC3">
        <w:t xml:space="preserve"> </w:t>
      </w:r>
      <w:r w:rsidR="00F1111D" w:rsidRPr="00382917">
        <w:t>not,</w:t>
      </w:r>
      <w:r w:rsidR="00EE4FC3">
        <w:t xml:space="preserve"> </w:t>
      </w:r>
      <w:r w:rsidR="00F1111D" w:rsidRPr="00382917">
        <w:t>but</w:t>
      </w:r>
      <w:r w:rsidR="00EE4FC3">
        <w:t xml:space="preserve"> </w:t>
      </w:r>
      <w:r w:rsidR="00F1111D" w:rsidRPr="00382917">
        <w:t>have</w:t>
      </w:r>
      <w:r w:rsidR="00EE4FC3">
        <w:t xml:space="preserve"> </w:t>
      </w:r>
      <w:r w:rsidR="00F1111D" w:rsidRPr="00382917">
        <w:t>done</w:t>
      </w:r>
      <w:r w:rsidR="00EE4FC3">
        <w:t xml:space="preserve"> </w:t>
      </w:r>
      <w:r w:rsidR="00F1111D" w:rsidRPr="00382917">
        <w:t>unto</w:t>
      </w:r>
      <w:r w:rsidR="00EE4FC3">
        <w:t xml:space="preserve"> </w:t>
      </w:r>
      <w:r w:rsidR="00F1111D" w:rsidRPr="00382917">
        <w:t>him</w:t>
      </w:r>
      <w:r w:rsidR="00EE4FC3">
        <w:t xml:space="preserve"> </w:t>
      </w:r>
      <w:r w:rsidR="00F1111D" w:rsidRPr="00382917">
        <w:t>whatsoever</w:t>
      </w:r>
      <w:r w:rsidR="00EE4FC3">
        <w:t xml:space="preserve"> </w:t>
      </w:r>
      <w:r w:rsidR="00F1111D" w:rsidRPr="00382917">
        <w:t>they</w:t>
      </w:r>
      <w:r w:rsidR="00EE4FC3">
        <w:t xml:space="preserve"> </w:t>
      </w:r>
      <w:r w:rsidR="00F1111D" w:rsidRPr="00382917">
        <w:t>listed</w:t>
      </w:r>
      <w:r w:rsidR="00552489">
        <w:t>.</w:t>
      </w:r>
      <w:r w:rsidR="00EE4FC3">
        <w:t xml:space="preserve">  </w:t>
      </w:r>
      <w:r w:rsidR="00F1111D" w:rsidRPr="00382917">
        <w:t>Likewise</w:t>
      </w:r>
      <w:r w:rsidR="00EE4FC3">
        <w:t xml:space="preserve"> </w:t>
      </w:r>
      <w:r w:rsidR="00F1111D" w:rsidRPr="00382917">
        <w:t>shall</w:t>
      </w:r>
      <w:r w:rsidR="00EE4FC3">
        <w:t xml:space="preserve"> </w:t>
      </w:r>
      <w:r w:rsidR="00F1111D" w:rsidRPr="00382917">
        <w:t>also</w:t>
      </w:r>
      <w:r w:rsidR="00EE4FC3">
        <w:t xml:space="preserve"> </w:t>
      </w:r>
      <w:r w:rsidR="00F1111D" w:rsidRPr="00382917">
        <w:t>the</w:t>
      </w:r>
      <w:r w:rsidR="00EE4FC3">
        <w:t xml:space="preserve"> </w:t>
      </w:r>
      <w:r w:rsidR="00F1111D" w:rsidRPr="00382917">
        <w:t>Son</w:t>
      </w:r>
      <w:r w:rsidR="00EE4FC3">
        <w:t xml:space="preserve"> </w:t>
      </w:r>
      <w:r w:rsidR="00F1111D" w:rsidRPr="00382917">
        <w:t>of</w:t>
      </w:r>
      <w:r w:rsidR="00EE4FC3">
        <w:t xml:space="preserve"> </w:t>
      </w:r>
      <w:r w:rsidR="00F1111D" w:rsidRPr="00382917">
        <w:t>man</w:t>
      </w:r>
      <w:r w:rsidR="00EE4FC3">
        <w:t xml:space="preserve"> </w:t>
      </w:r>
      <w:r w:rsidR="00F1111D" w:rsidRPr="00382917">
        <w:t>suffer</w:t>
      </w:r>
      <w:r w:rsidR="00EE4FC3">
        <w:t xml:space="preserve"> </w:t>
      </w:r>
      <w:r w:rsidR="00F1111D" w:rsidRPr="00382917">
        <w:t>of</w:t>
      </w:r>
      <w:r w:rsidR="00EE4FC3">
        <w:t xml:space="preserve"> </w:t>
      </w:r>
      <w:proofErr w:type="gramStart"/>
      <w:r w:rsidR="00F1111D" w:rsidRPr="00382917">
        <w:t>them</w:t>
      </w:r>
      <w:r w:rsidR="00552489">
        <w:t>.</w:t>
      </w:r>
      <w:proofErr w:type="gramEnd"/>
      <w:r w:rsidR="00EE4FC3">
        <w:t xml:space="preserve">  </w:t>
      </w:r>
      <w:r w:rsidR="00F1111D" w:rsidRPr="00382917">
        <w:t>Then</w:t>
      </w:r>
      <w:r w:rsidR="00EE4FC3">
        <w:t xml:space="preserve"> </w:t>
      </w:r>
      <w:r w:rsidR="00F1111D" w:rsidRPr="00382917">
        <w:t>the</w:t>
      </w:r>
      <w:r w:rsidR="00EE4FC3">
        <w:t xml:space="preserve"> </w:t>
      </w:r>
      <w:r w:rsidR="00F1111D" w:rsidRPr="00382917">
        <w:t>disciples</w:t>
      </w:r>
      <w:r w:rsidR="00EE4FC3">
        <w:t xml:space="preserve"> </w:t>
      </w:r>
      <w:r w:rsidR="00F1111D" w:rsidRPr="00382917">
        <w:t>understood</w:t>
      </w:r>
      <w:r w:rsidR="00EE4FC3">
        <w:t xml:space="preserve"> </w:t>
      </w:r>
      <w:r w:rsidR="00F1111D" w:rsidRPr="00382917">
        <w:t>that</w:t>
      </w:r>
      <w:r w:rsidR="00EE4FC3">
        <w:t xml:space="preserve"> </w:t>
      </w:r>
      <w:r w:rsidR="00F1111D" w:rsidRPr="00382917">
        <w:t>he</w:t>
      </w:r>
      <w:r w:rsidR="00EE4FC3">
        <w:t xml:space="preserve"> </w:t>
      </w:r>
      <w:r w:rsidR="00F1111D" w:rsidRPr="00382917">
        <w:t>spoke</w:t>
      </w:r>
      <w:r w:rsidR="00EE4FC3">
        <w:t xml:space="preserve"> </w:t>
      </w:r>
      <w:r w:rsidR="00F1111D" w:rsidRPr="00382917">
        <w:t>unto</w:t>
      </w:r>
      <w:r w:rsidR="00EE4FC3">
        <w:t xml:space="preserve"> </w:t>
      </w:r>
      <w:r w:rsidR="00F1111D" w:rsidRPr="00382917">
        <w:t>them</w:t>
      </w:r>
      <w:r w:rsidR="00EE4FC3">
        <w:t xml:space="preserve"> </w:t>
      </w:r>
      <w:r w:rsidR="00F1111D" w:rsidRPr="00382917">
        <w:t>of</w:t>
      </w:r>
      <w:r w:rsidR="00EE4FC3">
        <w:t xml:space="preserve"> </w:t>
      </w:r>
      <w:r w:rsidR="00F1111D" w:rsidRPr="00382917">
        <w:t>John</w:t>
      </w:r>
      <w:r w:rsidR="00EE4FC3">
        <w:t xml:space="preserve"> </w:t>
      </w:r>
      <w:r w:rsidR="00F1111D" w:rsidRPr="00382917">
        <w:t>the</w:t>
      </w:r>
      <w:r w:rsidR="00EE4FC3">
        <w:t xml:space="preserve"> </w:t>
      </w:r>
      <w:r w:rsidR="00F1111D" w:rsidRPr="00382917">
        <w:t>Baptist.</w:t>
      </w:r>
      <w:r w:rsidRPr="00382917">
        <w:t>”</w:t>
      </w:r>
      <w:r w:rsidR="00BC4BAA">
        <w:rPr>
          <w:rStyle w:val="FootnoteReference"/>
        </w:rPr>
        <w:footnoteReference w:id="313"/>
      </w:r>
    </w:p>
    <w:p w:rsidR="00F1111D" w:rsidRPr="00382917" w:rsidRDefault="00F1111D" w:rsidP="00647AEF">
      <w:pPr>
        <w:pStyle w:val="Text"/>
      </w:pPr>
      <w:r w:rsidRPr="00382917">
        <w:t>Elias</w:t>
      </w:r>
      <w:r w:rsidR="00EE4FC3">
        <w:t xml:space="preserve"> </w:t>
      </w:r>
      <w:r w:rsidRPr="00382917">
        <w:t>had</w:t>
      </w:r>
      <w:r w:rsidR="00EE4FC3">
        <w:t xml:space="preserve"> </w:t>
      </w:r>
      <w:r w:rsidRPr="00382917">
        <w:t>come</w:t>
      </w:r>
      <w:r w:rsidR="00EE4FC3">
        <w:t xml:space="preserve"> </w:t>
      </w:r>
      <w:r w:rsidRPr="00382917">
        <w:t>but</w:t>
      </w:r>
      <w:r w:rsidR="00EE4FC3">
        <w:t xml:space="preserve"> </w:t>
      </w:r>
      <w:r w:rsidRPr="00382917">
        <w:t>they</w:t>
      </w:r>
      <w:r w:rsidR="00EE4FC3">
        <w:t xml:space="preserve"> </w:t>
      </w:r>
      <w:r w:rsidRPr="00382917">
        <w:t>knew</w:t>
      </w:r>
      <w:r w:rsidR="00EE4FC3">
        <w:t xml:space="preserve"> </w:t>
      </w:r>
      <w:r w:rsidRPr="00382917">
        <w:t>him</w:t>
      </w:r>
      <w:r w:rsidR="00EE4FC3">
        <w:t xml:space="preserve"> </w:t>
      </w:r>
      <w:r w:rsidRPr="00382917">
        <w:t>not</w:t>
      </w:r>
      <w:r w:rsidR="00EE4FC3">
        <w:t xml:space="preserve"> </w:t>
      </w:r>
      <w:r w:rsidRPr="00382917">
        <w:t>because</w:t>
      </w:r>
      <w:r w:rsidR="00EE4FC3">
        <w:t xml:space="preserve"> </w:t>
      </w:r>
      <w:r w:rsidRPr="00382917">
        <w:t>he</w:t>
      </w:r>
      <w:r w:rsidR="00EE4FC3">
        <w:t xml:space="preserve"> </w:t>
      </w:r>
      <w:r w:rsidRPr="00382917">
        <w:t>came</w:t>
      </w:r>
      <w:r w:rsidR="00EE4FC3">
        <w:t xml:space="preserve"> </w:t>
      </w:r>
      <w:r w:rsidRPr="00382917">
        <w:t>in</w:t>
      </w:r>
      <w:r w:rsidR="00EE4FC3">
        <w:t xml:space="preserve"> </w:t>
      </w:r>
      <w:r w:rsidRPr="00382917">
        <w:t>a</w:t>
      </w:r>
      <w:r w:rsidR="00EE4FC3">
        <w:t xml:space="preserve"> </w:t>
      </w:r>
      <w:r w:rsidRPr="00382917">
        <w:t>way</w:t>
      </w:r>
      <w:r w:rsidR="00EE4FC3">
        <w:t xml:space="preserve"> </w:t>
      </w:r>
      <w:r w:rsidRPr="00382917">
        <w:t>they</w:t>
      </w:r>
      <w:r w:rsidR="00EE4FC3">
        <w:t xml:space="preserve"> </w:t>
      </w:r>
      <w:r w:rsidRPr="00382917">
        <w:t>did</w:t>
      </w:r>
      <w:r w:rsidR="00EE4FC3">
        <w:t xml:space="preserve"> </w:t>
      </w:r>
      <w:r w:rsidRPr="00382917">
        <w:t>not</w:t>
      </w:r>
      <w:r w:rsidR="00EE4FC3">
        <w:t xml:space="preserve"> </w:t>
      </w:r>
      <w:r w:rsidRPr="00382917">
        <w:t>expect</w:t>
      </w:r>
      <w:r w:rsidR="00EE4FC3">
        <w:t xml:space="preserve"> </w:t>
      </w:r>
      <w:r w:rsidRPr="00382917">
        <w:t>or</w:t>
      </w:r>
      <w:r w:rsidR="00EE4FC3">
        <w:t xml:space="preserve"> </w:t>
      </w:r>
      <w:r w:rsidRPr="00382917">
        <w:t>understand</w:t>
      </w:r>
      <w:r w:rsidR="00552489">
        <w:t>.</w:t>
      </w:r>
      <w:r w:rsidR="00EE4FC3">
        <w:t xml:space="preserve">  </w:t>
      </w:r>
      <w:r w:rsidRPr="00382917">
        <w:t>Christ</w:t>
      </w:r>
      <w:r w:rsidR="00EE4FC3">
        <w:t xml:space="preserve"> </w:t>
      </w:r>
      <w:r w:rsidRPr="00382917">
        <w:t>likewise</w:t>
      </w:r>
      <w:r w:rsidR="00EE4FC3">
        <w:t xml:space="preserve"> </w:t>
      </w:r>
      <w:r w:rsidRPr="00382917">
        <w:t>they</w:t>
      </w:r>
      <w:r w:rsidR="00EE4FC3">
        <w:t xml:space="preserve"> </w:t>
      </w:r>
      <w:r w:rsidRPr="00382917">
        <w:t>knew</w:t>
      </w:r>
      <w:r w:rsidR="00EE4FC3">
        <w:t xml:space="preserve"> </w:t>
      </w:r>
      <w:r w:rsidRPr="00382917">
        <w:t>not</w:t>
      </w:r>
      <w:r w:rsidR="00EE4FC3">
        <w:t xml:space="preserve"> </w:t>
      </w:r>
      <w:r w:rsidRPr="00382917">
        <w:t>because</w:t>
      </w:r>
      <w:r w:rsidR="00EE4FC3">
        <w:t xml:space="preserve"> </w:t>
      </w:r>
      <w:r w:rsidRPr="00382917">
        <w:t>He,</w:t>
      </w:r>
      <w:r w:rsidR="00EE4FC3">
        <w:t xml:space="preserve"> </w:t>
      </w:r>
      <w:r w:rsidRPr="00382917">
        <w:t>too,</w:t>
      </w:r>
      <w:r w:rsidR="00EE4FC3">
        <w:t xml:space="preserve"> </w:t>
      </w:r>
      <w:r w:rsidRPr="00382917">
        <w:t>came</w:t>
      </w:r>
      <w:r w:rsidR="00EE4FC3">
        <w:t xml:space="preserve"> </w:t>
      </w:r>
      <w:r w:rsidRPr="00382917">
        <w:t>in</w:t>
      </w:r>
      <w:r w:rsidR="00EE4FC3">
        <w:t xml:space="preserve"> </w:t>
      </w:r>
      <w:r w:rsidRPr="00382917">
        <w:t>an</w:t>
      </w:r>
      <w:r w:rsidR="00EE4FC3">
        <w:t xml:space="preserve"> </w:t>
      </w:r>
      <w:r w:rsidRPr="00382917">
        <w:t>unexpected</w:t>
      </w:r>
      <w:r w:rsidR="00EE4FC3">
        <w:t xml:space="preserve"> </w:t>
      </w:r>
      <w:r w:rsidRPr="00382917">
        <w:t>manner</w:t>
      </w:r>
      <w:r w:rsidR="00552489">
        <w:t>.</w:t>
      </w:r>
      <w:r w:rsidR="00EE4FC3">
        <w:t xml:space="preserve">  </w:t>
      </w:r>
      <w:r w:rsidRPr="00382917">
        <w:t>Christ</w:t>
      </w:r>
      <w:r w:rsidR="00EE4FC3">
        <w:t xml:space="preserve"> </w:t>
      </w:r>
      <w:r w:rsidRPr="00382917">
        <w:t>would</w:t>
      </w:r>
      <w:r w:rsidR="00EE4FC3">
        <w:t xml:space="preserve"> </w:t>
      </w:r>
      <w:r w:rsidRPr="00382917">
        <w:t>be</w:t>
      </w:r>
      <w:r w:rsidR="00EE4FC3">
        <w:t xml:space="preserve"> </w:t>
      </w:r>
      <w:r w:rsidRPr="00382917">
        <w:t>rejected</w:t>
      </w:r>
      <w:r w:rsidR="00EE4FC3">
        <w:t xml:space="preserve"> </w:t>
      </w:r>
      <w:r w:rsidRPr="00382917">
        <w:t>and</w:t>
      </w:r>
      <w:r w:rsidR="00EE4FC3">
        <w:t xml:space="preserve"> </w:t>
      </w:r>
      <w:r w:rsidRPr="00382917">
        <w:t>slain,</w:t>
      </w:r>
      <w:r w:rsidR="00EE4FC3">
        <w:t xml:space="preserve"> </w:t>
      </w:r>
      <w:r w:rsidRPr="00382917">
        <w:t>as</w:t>
      </w:r>
      <w:r w:rsidR="00EE4FC3">
        <w:t xml:space="preserve"> </w:t>
      </w:r>
      <w:r w:rsidRPr="00382917">
        <w:t>was</w:t>
      </w:r>
      <w:r w:rsidR="00EE4FC3">
        <w:t xml:space="preserve"> </w:t>
      </w:r>
      <w:r w:rsidRPr="00382917">
        <w:t>John,</w:t>
      </w:r>
      <w:r w:rsidR="00EE4FC3">
        <w:t xml:space="preserve"> </w:t>
      </w:r>
      <w:r w:rsidRPr="00382917">
        <w:t>because</w:t>
      </w:r>
      <w:r w:rsidR="00EE4FC3">
        <w:t xml:space="preserve"> </w:t>
      </w:r>
      <w:r w:rsidRPr="00382917">
        <w:t>He</w:t>
      </w:r>
      <w:r w:rsidR="00EE4FC3">
        <w:t xml:space="preserve"> </w:t>
      </w:r>
      <w:r w:rsidRPr="00382917">
        <w:t>came</w:t>
      </w:r>
      <w:r w:rsidR="00EE4FC3">
        <w:t xml:space="preserve"> </w:t>
      </w:r>
      <w:r w:rsidRPr="00382917">
        <w:t>in</w:t>
      </w:r>
      <w:r w:rsidR="00EE4FC3">
        <w:t xml:space="preserve"> </w:t>
      </w:r>
      <w:r w:rsidRPr="00382917">
        <w:t>a</w:t>
      </w:r>
      <w:r w:rsidR="00EE4FC3">
        <w:t xml:space="preserve"> </w:t>
      </w:r>
      <w:r w:rsidRPr="00382917">
        <w:t>manner</w:t>
      </w:r>
      <w:r w:rsidR="00EE4FC3">
        <w:t xml:space="preserve"> </w:t>
      </w:r>
      <w:r w:rsidRPr="00382917">
        <w:t>contrary</w:t>
      </w:r>
      <w:r w:rsidR="00EE4FC3">
        <w:t xml:space="preserve"> </w:t>
      </w:r>
      <w:r w:rsidRPr="00382917">
        <w:t>to</w:t>
      </w:r>
      <w:r w:rsidR="00EE4FC3">
        <w:t xml:space="preserve"> </w:t>
      </w:r>
      <w:r w:rsidRPr="00382917">
        <w:t>the</w:t>
      </w:r>
      <w:r w:rsidR="00EE4FC3">
        <w:t xml:space="preserve"> </w:t>
      </w:r>
      <w:r w:rsidRPr="00382917">
        <w:t>expectations</w:t>
      </w:r>
      <w:r w:rsidR="00EE4FC3">
        <w:t xml:space="preserve"> </w:t>
      </w:r>
      <w:r w:rsidRPr="00382917">
        <w:t>of</w:t>
      </w:r>
      <w:r w:rsidR="00EE4FC3">
        <w:t xml:space="preserve"> </w:t>
      </w:r>
      <w:r w:rsidRPr="00382917">
        <w:t>the</w:t>
      </w:r>
      <w:r w:rsidR="00EE4FC3">
        <w:t xml:space="preserve"> </w:t>
      </w:r>
      <w:r w:rsidRPr="00382917">
        <w:t>people.</w:t>
      </w:r>
      <w:r w:rsidR="00647AEF">
        <w:rPr>
          <w:rStyle w:val="FootnoteReference"/>
        </w:rPr>
        <w:footnoteReference w:id="314"/>
      </w:r>
    </w:p>
    <w:p w:rsidR="00F1111D" w:rsidRPr="00382917" w:rsidRDefault="00F1111D" w:rsidP="00244241">
      <w:pPr>
        <w:pStyle w:val="Text"/>
      </w:pPr>
      <w:r w:rsidRPr="00382917">
        <w:t>Elias</w:t>
      </w:r>
      <w:r w:rsidR="00EE4FC3">
        <w:t xml:space="preserve"> </w:t>
      </w:r>
      <w:r w:rsidRPr="00382917">
        <w:t>came;</w:t>
      </w:r>
      <w:r w:rsidR="00EE4FC3">
        <w:t xml:space="preserve"> </w:t>
      </w:r>
      <w:r w:rsidRPr="00382917">
        <w:t>he</w:t>
      </w:r>
      <w:r w:rsidR="00EE4FC3">
        <w:t xml:space="preserve"> </w:t>
      </w:r>
      <w:r w:rsidRPr="00382917">
        <w:t>was</w:t>
      </w:r>
      <w:r w:rsidR="00EE4FC3">
        <w:t xml:space="preserve"> </w:t>
      </w:r>
      <w:r w:rsidRPr="00382917">
        <w:t>John</w:t>
      </w:r>
      <w:r w:rsidR="00EE4FC3">
        <w:t xml:space="preserve"> </w:t>
      </w:r>
      <w:r w:rsidRPr="00382917">
        <w:t>the</w:t>
      </w:r>
      <w:r w:rsidR="00EE4FC3">
        <w:t xml:space="preserve"> </w:t>
      </w:r>
      <w:r w:rsidRPr="00382917">
        <w:t>Baptist</w:t>
      </w:r>
      <w:r w:rsidR="00552489">
        <w:t>.</w:t>
      </w:r>
      <w:r w:rsidR="00EE4FC3">
        <w:t xml:space="preserve">  </w:t>
      </w:r>
      <w:r w:rsidRPr="00382917">
        <w:t>The</w:t>
      </w:r>
      <w:r w:rsidR="00EE4FC3">
        <w:t xml:space="preserve"> </w:t>
      </w:r>
      <w:r w:rsidRPr="00382917">
        <w:t>Messiah</w:t>
      </w:r>
      <w:r w:rsidR="00EE4FC3">
        <w:t xml:space="preserve"> </w:t>
      </w:r>
      <w:r w:rsidRPr="00382917">
        <w:t>came;</w:t>
      </w:r>
      <w:r w:rsidR="00EE4FC3">
        <w:t xml:space="preserve"> </w:t>
      </w:r>
      <w:r w:rsidRPr="00382917">
        <w:t>He</w:t>
      </w:r>
      <w:r w:rsidR="00EE4FC3">
        <w:t xml:space="preserve"> </w:t>
      </w:r>
      <w:r w:rsidRPr="00382917">
        <w:t>was</w:t>
      </w:r>
      <w:r w:rsidR="00EE4FC3">
        <w:t xml:space="preserve"> </w:t>
      </w:r>
      <w:r w:rsidRPr="00382917">
        <w:t>Jesus</w:t>
      </w:r>
      <w:r w:rsidR="00EE4FC3">
        <w:t xml:space="preserve"> </w:t>
      </w:r>
      <w:r w:rsidRPr="00382917">
        <w:t>of</w:t>
      </w:r>
      <w:r w:rsidR="00EE4FC3">
        <w:t xml:space="preserve"> </w:t>
      </w:r>
      <w:r w:rsidRPr="00382917">
        <w:t>Nazareth</w:t>
      </w:r>
      <w:r w:rsidR="00552489">
        <w:t>.</w:t>
      </w:r>
      <w:r w:rsidR="00EE4FC3">
        <w:t xml:space="preserve">  </w:t>
      </w:r>
      <w:r w:rsidRPr="00382917">
        <w:t>The</w:t>
      </w:r>
      <w:r w:rsidR="00EE4FC3">
        <w:t xml:space="preserve"> </w:t>
      </w:r>
      <w:r w:rsidRPr="00382917">
        <w:t>prophecies</w:t>
      </w:r>
      <w:r w:rsidR="00EE4FC3">
        <w:t xml:space="preserve"> </w:t>
      </w:r>
      <w:r w:rsidRPr="00382917">
        <w:t>were</w:t>
      </w:r>
      <w:r w:rsidR="00EE4FC3">
        <w:t xml:space="preserve"> </w:t>
      </w:r>
      <w:r w:rsidRPr="00382917">
        <w:t>symbolical</w:t>
      </w:r>
      <w:r w:rsidR="00552489">
        <w:t>.</w:t>
      </w:r>
      <w:r w:rsidR="00EE4FC3">
        <w:t xml:space="preserve">  </w:t>
      </w:r>
      <w:r w:rsidRPr="00382917">
        <w:t>Christ</w:t>
      </w:r>
      <w:r w:rsidR="00EE4FC3">
        <w:t xml:space="preserve"> </w:t>
      </w:r>
      <w:r w:rsidRPr="00382917">
        <w:t>warned</w:t>
      </w:r>
      <w:r w:rsidR="00EE4FC3">
        <w:t xml:space="preserve"> </w:t>
      </w:r>
      <w:r w:rsidRPr="00382917">
        <w:t>His</w:t>
      </w:r>
      <w:r w:rsidR="00EE4FC3">
        <w:t xml:space="preserve"> </w:t>
      </w:r>
      <w:r w:rsidRPr="00382917">
        <w:t>disciples</w:t>
      </w:r>
      <w:r w:rsidR="00EE4FC3">
        <w:t xml:space="preserve"> </w:t>
      </w:r>
      <w:r w:rsidRPr="00382917">
        <w:t>that</w:t>
      </w:r>
      <w:r w:rsidR="00EE4FC3">
        <w:t xml:space="preserve"> </w:t>
      </w:r>
      <w:r w:rsidRPr="00382917">
        <w:t>the</w:t>
      </w:r>
      <w:r w:rsidR="00EE4FC3">
        <w:t xml:space="preserve"> </w:t>
      </w:r>
      <w:r w:rsidRPr="00382917">
        <w:t>same</w:t>
      </w:r>
      <w:r w:rsidR="00EE4FC3">
        <w:t xml:space="preserve"> </w:t>
      </w:r>
      <w:r w:rsidRPr="00382917">
        <w:t>conditions</w:t>
      </w:r>
      <w:r w:rsidR="00EE4FC3">
        <w:t xml:space="preserve"> </w:t>
      </w:r>
      <w:r w:rsidRPr="00382917">
        <w:t>would</w:t>
      </w:r>
      <w:r w:rsidR="00EE4FC3">
        <w:t xml:space="preserve"> </w:t>
      </w:r>
      <w:r w:rsidRPr="00382917">
        <w:t>also</w:t>
      </w:r>
      <w:r w:rsidR="00EE4FC3">
        <w:t xml:space="preserve"> </w:t>
      </w:r>
      <w:r w:rsidRPr="00382917">
        <w:t>be</w:t>
      </w:r>
      <w:r w:rsidR="00EE4FC3">
        <w:t xml:space="preserve"> </w:t>
      </w:r>
      <w:r w:rsidRPr="00382917">
        <w:t>true</w:t>
      </w:r>
      <w:r w:rsidR="00EE4FC3">
        <w:t xml:space="preserve"> </w:t>
      </w:r>
      <w:r w:rsidRPr="00382917">
        <w:t>in</w:t>
      </w:r>
      <w:r w:rsidR="00EE4FC3">
        <w:t xml:space="preserve"> </w:t>
      </w:r>
      <w:r w:rsidRPr="00382917">
        <w:t>the</w:t>
      </w:r>
      <w:r w:rsidR="00EE4FC3">
        <w:t xml:space="preserve"> </w:t>
      </w:r>
      <w:r w:rsidRPr="00382917">
        <w:t>day</w:t>
      </w:r>
      <w:r w:rsidR="00EE4FC3">
        <w:t xml:space="preserve"> </w:t>
      </w:r>
      <w:r w:rsidRPr="00382917">
        <w:t>of</w:t>
      </w:r>
      <w:r w:rsidR="00EE4FC3">
        <w:t xml:space="preserve"> </w:t>
      </w:r>
      <w:r w:rsidRPr="00382917">
        <w:t>His</w:t>
      </w:r>
      <w:r w:rsidR="00EE4FC3">
        <w:t xml:space="preserve"> </w:t>
      </w:r>
      <w:r w:rsidRPr="00382917">
        <w:t>second</w:t>
      </w:r>
      <w:r w:rsidR="00EE4FC3">
        <w:t xml:space="preserve"> </w:t>
      </w:r>
      <w:r w:rsidRPr="00382917">
        <w:t>coming</w:t>
      </w:r>
      <w:r w:rsidR="00552489">
        <w:t>.</w:t>
      </w:r>
      <w:r w:rsidR="00EE4FC3">
        <w:t xml:space="preserve">  </w:t>
      </w:r>
      <w:r w:rsidRPr="00382917">
        <w:t>Elias</w:t>
      </w:r>
      <w:r w:rsidR="00EE4FC3">
        <w:t xml:space="preserve"> </w:t>
      </w:r>
      <w:r w:rsidRPr="00382917">
        <w:t>returned</w:t>
      </w:r>
      <w:r w:rsidR="00EE4FC3">
        <w:t xml:space="preserve"> </w:t>
      </w:r>
      <w:r w:rsidRPr="00382917">
        <w:t>in</w:t>
      </w:r>
      <w:r w:rsidR="00EE4FC3">
        <w:t xml:space="preserve"> </w:t>
      </w:r>
      <w:r w:rsidRPr="00382917">
        <w:t>John</w:t>
      </w:r>
      <w:r w:rsidR="00EE4FC3">
        <w:t xml:space="preserve"> </w:t>
      </w:r>
      <w:r w:rsidRPr="00382917">
        <w:t>the</w:t>
      </w:r>
      <w:r w:rsidR="00EE4FC3">
        <w:t xml:space="preserve"> </w:t>
      </w:r>
      <w:r w:rsidRPr="00382917">
        <w:t>Baptist</w:t>
      </w:r>
      <w:r w:rsidR="00EE4FC3">
        <w:t xml:space="preserve"> </w:t>
      </w:r>
      <w:r w:rsidRPr="00382917">
        <w:t>and</w:t>
      </w:r>
      <w:r w:rsidR="00EE4FC3">
        <w:t xml:space="preserve"> </w:t>
      </w:r>
      <w:r w:rsidRPr="00382917">
        <w:t>was</w:t>
      </w:r>
      <w:r w:rsidR="00EE4FC3">
        <w:t xml:space="preserve"> </w:t>
      </w:r>
      <w:r w:rsidRPr="00382917">
        <w:t>rejected</w:t>
      </w:r>
      <w:r w:rsidR="00552489">
        <w:t>.</w:t>
      </w:r>
      <w:r w:rsidR="00EE4FC3">
        <w:t xml:space="preserve">  </w:t>
      </w:r>
      <w:r w:rsidR="009C713D" w:rsidRPr="00382917">
        <w:t>“</w:t>
      </w:r>
      <w:r w:rsidRPr="00382917">
        <w:t>Likewise</w:t>
      </w:r>
      <w:r w:rsidR="00EE4FC3">
        <w:t xml:space="preserve"> </w:t>
      </w:r>
      <w:r w:rsidRPr="00382917">
        <w:t>shall</w:t>
      </w:r>
      <w:r w:rsidR="00EE4FC3">
        <w:t xml:space="preserve"> </w:t>
      </w:r>
      <w:r w:rsidRPr="00382917">
        <w:t>also</w:t>
      </w:r>
      <w:r w:rsidR="00EE4FC3">
        <w:t xml:space="preserve"> </w:t>
      </w:r>
      <w:r w:rsidRPr="00382917">
        <w:t>the</w:t>
      </w:r>
      <w:r w:rsidR="00EE4FC3">
        <w:t xml:space="preserve"> </w:t>
      </w:r>
      <w:r w:rsidRPr="00382917">
        <w:t>Son</w:t>
      </w:r>
      <w:r w:rsidR="00EE4FC3">
        <w:t xml:space="preserve"> </w:t>
      </w:r>
      <w:r w:rsidRPr="00382917">
        <w:t>of</w:t>
      </w:r>
      <w:r w:rsidR="00EE4FC3">
        <w:t xml:space="preserve"> </w:t>
      </w:r>
      <w:r w:rsidRPr="00382917">
        <w:t>Man</w:t>
      </w:r>
      <w:r w:rsidR="00EE4FC3">
        <w:t xml:space="preserve"> </w:t>
      </w:r>
      <w:r w:rsidRPr="00382917">
        <w:t>[Himself]</w:t>
      </w:r>
      <w:r w:rsidR="00EE4FC3">
        <w:t xml:space="preserve"> </w:t>
      </w:r>
      <w:r w:rsidRPr="00382917">
        <w:t>suffer</w:t>
      </w:r>
      <w:r w:rsidR="00EE4FC3">
        <w:t xml:space="preserve"> </w:t>
      </w:r>
      <w:proofErr w:type="gramStart"/>
      <w:r w:rsidRPr="00382917">
        <w:t>of</w:t>
      </w:r>
      <w:proofErr w:type="gramEnd"/>
    </w:p>
    <w:p w:rsidR="00244241" w:rsidRPr="00382917" w:rsidRDefault="00244241">
      <w:pPr>
        <w:widowControl/>
        <w:kinsoku/>
        <w:overflowPunct/>
        <w:textAlignment w:val="auto"/>
      </w:pPr>
      <w:r w:rsidRPr="00382917">
        <w:br w:type="page"/>
      </w:r>
    </w:p>
    <w:p w:rsidR="00300E83" w:rsidRPr="00382917" w:rsidRDefault="00300E83" w:rsidP="00300E83">
      <w:pPr>
        <w:pStyle w:val="Textcts"/>
      </w:pPr>
      <w:proofErr w:type="gramStart"/>
      <w:r w:rsidRPr="00382917">
        <w:t>them</w:t>
      </w:r>
      <w:proofErr w:type="gramEnd"/>
      <w:r w:rsidRPr="00382917">
        <w:t>,</w:t>
      </w:r>
      <w:r w:rsidR="009C713D" w:rsidRPr="00382917">
        <w:t>”</w:t>
      </w:r>
      <w:r w:rsidR="00EE4FC3">
        <w:t xml:space="preserve"> </w:t>
      </w:r>
      <w:r w:rsidRPr="00382917">
        <w:t>Christ</w:t>
      </w:r>
      <w:r w:rsidR="00EE4FC3">
        <w:t xml:space="preserve"> </w:t>
      </w:r>
      <w:r w:rsidRPr="00382917">
        <w:t>warned</w:t>
      </w:r>
      <w:r w:rsidR="00552489">
        <w:t>.</w:t>
      </w:r>
      <w:r w:rsidR="00EE4FC3">
        <w:t xml:space="preserve">  </w:t>
      </w:r>
      <w:r w:rsidRPr="00382917">
        <w:t>When</w:t>
      </w:r>
      <w:r w:rsidR="00EE4FC3">
        <w:t xml:space="preserve"> </w:t>
      </w:r>
      <w:r w:rsidRPr="00382917">
        <w:t>He</w:t>
      </w:r>
      <w:r w:rsidR="00EE4FC3">
        <w:t xml:space="preserve"> </w:t>
      </w:r>
      <w:r w:rsidRPr="00382917">
        <w:t>returned</w:t>
      </w:r>
      <w:r w:rsidR="00EE4FC3">
        <w:t xml:space="preserve"> </w:t>
      </w:r>
      <w:r w:rsidRPr="00382917">
        <w:t>in</w:t>
      </w:r>
      <w:r w:rsidR="00EE4FC3">
        <w:t xml:space="preserve"> </w:t>
      </w:r>
      <w:r w:rsidRPr="00382917">
        <w:t>the</w:t>
      </w:r>
      <w:r w:rsidR="00EE4FC3">
        <w:t xml:space="preserve"> </w:t>
      </w:r>
      <w:r w:rsidRPr="00382917">
        <w:t>promised</w:t>
      </w:r>
      <w:r w:rsidR="00EE4FC3">
        <w:t xml:space="preserve"> </w:t>
      </w:r>
      <w:r w:rsidRPr="00382917">
        <w:t>Messiah</w:t>
      </w:r>
      <w:r w:rsidR="00EE4FC3">
        <w:t xml:space="preserve"> </w:t>
      </w:r>
      <w:r w:rsidRPr="00382917">
        <w:t>in</w:t>
      </w:r>
      <w:r w:rsidR="00EE4FC3">
        <w:t xml:space="preserve"> </w:t>
      </w:r>
      <w:r w:rsidRPr="00382917">
        <w:t>1844,</w:t>
      </w:r>
      <w:r w:rsidR="00EE4FC3">
        <w:t xml:space="preserve"> </w:t>
      </w:r>
      <w:r w:rsidRPr="00382917">
        <w:t>He</w:t>
      </w:r>
      <w:r w:rsidR="00EE4FC3">
        <w:t xml:space="preserve"> </w:t>
      </w:r>
      <w:r w:rsidRPr="00382917">
        <w:t>was</w:t>
      </w:r>
      <w:r w:rsidR="00EE4FC3">
        <w:t xml:space="preserve"> </w:t>
      </w:r>
      <w:r w:rsidRPr="00382917">
        <w:t>also</w:t>
      </w:r>
      <w:r w:rsidR="00EE4FC3">
        <w:t xml:space="preserve"> </w:t>
      </w:r>
      <w:r w:rsidRPr="00382917">
        <w:t>rejected</w:t>
      </w:r>
      <w:r w:rsidR="00EE4FC3">
        <w:t xml:space="preserve"> </w:t>
      </w:r>
      <w:r w:rsidRPr="00382917">
        <w:t>in</w:t>
      </w:r>
      <w:r w:rsidR="00EE4FC3">
        <w:t xml:space="preserve"> </w:t>
      </w:r>
      <w:r w:rsidRPr="00382917">
        <w:t>spite</w:t>
      </w:r>
      <w:r w:rsidR="00EE4FC3">
        <w:t xml:space="preserve"> </w:t>
      </w:r>
      <w:r w:rsidRPr="00382917">
        <w:t>of</w:t>
      </w:r>
      <w:r w:rsidR="00EE4FC3">
        <w:t xml:space="preserve"> </w:t>
      </w:r>
      <w:r w:rsidRPr="00382917">
        <w:t>the</w:t>
      </w:r>
      <w:r w:rsidR="00EE4FC3">
        <w:t xml:space="preserve"> </w:t>
      </w:r>
      <w:r w:rsidRPr="00382917">
        <w:t>overwhelming</w:t>
      </w:r>
      <w:r w:rsidR="00EE4FC3">
        <w:t xml:space="preserve"> </w:t>
      </w:r>
      <w:r w:rsidRPr="00382917">
        <w:t>proofs;</w:t>
      </w:r>
      <w:r w:rsidR="00EE4FC3">
        <w:t xml:space="preserve"> </w:t>
      </w:r>
      <w:r w:rsidRPr="00382917">
        <w:t>in</w:t>
      </w:r>
      <w:r w:rsidR="00EE4FC3">
        <w:t xml:space="preserve"> </w:t>
      </w:r>
      <w:r w:rsidRPr="00382917">
        <w:t>spite</w:t>
      </w:r>
      <w:r w:rsidR="00EE4FC3">
        <w:t xml:space="preserve"> </w:t>
      </w:r>
      <w:r w:rsidRPr="00382917">
        <w:t>of</w:t>
      </w:r>
      <w:r w:rsidR="00EE4FC3">
        <w:t xml:space="preserve"> </w:t>
      </w:r>
      <w:r w:rsidRPr="00382917">
        <w:t>His</w:t>
      </w:r>
      <w:r w:rsidR="00EE4FC3">
        <w:t xml:space="preserve"> </w:t>
      </w:r>
      <w:r w:rsidRPr="00382917">
        <w:t>own</w:t>
      </w:r>
      <w:r w:rsidR="00EE4FC3">
        <w:t xml:space="preserve"> </w:t>
      </w:r>
      <w:r w:rsidRPr="00382917">
        <w:t>direct</w:t>
      </w:r>
      <w:r w:rsidR="00EE4FC3">
        <w:t xml:space="preserve"> </w:t>
      </w:r>
      <w:r w:rsidRPr="00382917">
        <w:t>promise</w:t>
      </w:r>
      <w:r w:rsidR="00EE4FC3">
        <w:t xml:space="preserve"> </w:t>
      </w:r>
      <w:r w:rsidRPr="00382917">
        <w:t>of</w:t>
      </w:r>
      <w:r w:rsidR="00EE4FC3">
        <w:t xml:space="preserve"> </w:t>
      </w:r>
      <w:r w:rsidRPr="00382917">
        <w:t>the</w:t>
      </w:r>
      <w:r w:rsidR="00EE4FC3">
        <w:t xml:space="preserve"> </w:t>
      </w:r>
      <w:r w:rsidRPr="00382917">
        <w:t>hour</w:t>
      </w:r>
      <w:r w:rsidR="00EE4FC3">
        <w:t xml:space="preserve"> </w:t>
      </w:r>
      <w:r w:rsidRPr="00382917">
        <w:t>of</w:t>
      </w:r>
      <w:r w:rsidR="00EE4FC3">
        <w:t xml:space="preserve"> </w:t>
      </w:r>
      <w:r w:rsidRPr="00382917">
        <w:t>His</w:t>
      </w:r>
      <w:r w:rsidR="00EE4FC3">
        <w:t xml:space="preserve"> </w:t>
      </w:r>
      <w:r w:rsidRPr="00382917">
        <w:t>coming</w:t>
      </w:r>
      <w:r w:rsidR="00EE4FC3">
        <w:t xml:space="preserve"> </w:t>
      </w:r>
      <w:r w:rsidRPr="00382917">
        <w:t>and</w:t>
      </w:r>
      <w:r w:rsidR="00EE4FC3">
        <w:t xml:space="preserve"> </w:t>
      </w:r>
      <w:r w:rsidRPr="00382917">
        <w:t>His</w:t>
      </w:r>
      <w:r w:rsidR="00EE4FC3">
        <w:t xml:space="preserve"> </w:t>
      </w:r>
      <w:r w:rsidRPr="00382917">
        <w:t>warning</w:t>
      </w:r>
      <w:r w:rsidR="00EE4FC3">
        <w:t xml:space="preserve"> </w:t>
      </w:r>
      <w:r w:rsidRPr="00382917">
        <w:t>that</w:t>
      </w:r>
      <w:r w:rsidR="00EE4FC3">
        <w:t xml:space="preserve"> </w:t>
      </w:r>
      <w:r w:rsidRPr="00382917">
        <w:t>man</w:t>
      </w:r>
      <w:r w:rsidR="00EE4FC3">
        <w:t xml:space="preserve"> </w:t>
      </w:r>
      <w:r w:rsidRPr="00382917">
        <w:t>would</w:t>
      </w:r>
      <w:r w:rsidR="00EE4FC3">
        <w:t xml:space="preserve"> </w:t>
      </w:r>
      <w:r w:rsidRPr="00382917">
        <w:t>need</w:t>
      </w:r>
      <w:r w:rsidR="00EE4FC3">
        <w:t xml:space="preserve"> </w:t>
      </w:r>
      <w:r w:rsidRPr="00382917">
        <w:t>to</w:t>
      </w:r>
      <w:r w:rsidR="00EE4FC3">
        <w:t xml:space="preserve"> </w:t>
      </w:r>
      <w:r w:rsidRPr="00382917">
        <w:t>have</w:t>
      </w:r>
      <w:r w:rsidR="00EE4FC3">
        <w:t xml:space="preserve"> </w:t>
      </w:r>
      <w:r w:rsidRPr="00382917">
        <w:t>spiritual</w:t>
      </w:r>
      <w:r w:rsidR="00EE4FC3">
        <w:t xml:space="preserve"> </w:t>
      </w:r>
      <w:r w:rsidR="009C713D" w:rsidRPr="00382917">
        <w:t>“</w:t>
      </w:r>
      <w:r w:rsidRPr="00382917">
        <w:t>eyes</w:t>
      </w:r>
      <w:r w:rsidR="00EE4FC3">
        <w:t xml:space="preserve"> </w:t>
      </w:r>
      <w:r w:rsidRPr="00382917">
        <w:t>that</w:t>
      </w:r>
      <w:r w:rsidR="00EE4FC3">
        <w:t xml:space="preserve"> </w:t>
      </w:r>
      <w:r w:rsidRPr="00382917">
        <w:t>see</w:t>
      </w:r>
      <w:r w:rsidR="009C713D" w:rsidRPr="00382917">
        <w:t>”</w:t>
      </w:r>
      <w:r w:rsidRPr="00382917">
        <w:t>.</w:t>
      </w:r>
    </w:p>
    <w:p w:rsidR="00300E83" w:rsidRPr="00382917" w:rsidRDefault="009C713D" w:rsidP="004E66A1">
      <w:pPr>
        <w:pStyle w:val="Quote"/>
      </w:pPr>
      <w:r w:rsidRPr="00382917">
        <w:t>“</w:t>
      </w:r>
      <w:r w:rsidR="00300E83" w:rsidRPr="00382917">
        <w:t>When</w:t>
      </w:r>
      <w:r w:rsidR="00EE4FC3">
        <w:t xml:space="preserve"> </w:t>
      </w:r>
      <w:r w:rsidR="00300E83" w:rsidRPr="00382917">
        <w:t>ye</w:t>
      </w:r>
      <w:r w:rsidR="00EE4FC3">
        <w:t xml:space="preserve"> </w:t>
      </w:r>
      <w:r w:rsidR="00300E83" w:rsidRPr="00382917">
        <w:t>shall</w:t>
      </w:r>
      <w:r w:rsidR="00EE4FC3">
        <w:t xml:space="preserve"> </w:t>
      </w:r>
      <w:r w:rsidR="00300E83" w:rsidRPr="00382917">
        <w:t>see</w:t>
      </w:r>
      <w:r w:rsidR="00EE4FC3">
        <w:t xml:space="preserve"> </w:t>
      </w:r>
      <w:r w:rsidR="00300E83" w:rsidRPr="00382917">
        <w:t>the</w:t>
      </w:r>
      <w:r w:rsidR="00EE4FC3">
        <w:t xml:space="preserve"> </w:t>
      </w:r>
      <w:r w:rsidR="00300E83" w:rsidRPr="00382917">
        <w:t>abomination</w:t>
      </w:r>
      <w:r w:rsidR="00EE4FC3">
        <w:t xml:space="preserve"> </w:t>
      </w:r>
      <w:r w:rsidR="00300E83" w:rsidRPr="00382917">
        <w:t>of</w:t>
      </w:r>
      <w:r w:rsidR="00EE4FC3">
        <w:t xml:space="preserve"> </w:t>
      </w:r>
      <w:r w:rsidR="00300E83" w:rsidRPr="00382917">
        <w:t>desolation</w:t>
      </w:r>
      <w:r w:rsidR="00EE4FC3">
        <w:t xml:space="preserve"> </w:t>
      </w:r>
      <w:r w:rsidR="00300E83" w:rsidRPr="00382917">
        <w:t>spoken</w:t>
      </w:r>
      <w:r w:rsidR="00EE4FC3">
        <w:t xml:space="preserve"> </w:t>
      </w:r>
      <w:r w:rsidR="00300E83" w:rsidRPr="00382917">
        <w:t>of</w:t>
      </w:r>
      <w:r w:rsidR="00EE4FC3">
        <w:t xml:space="preserve"> </w:t>
      </w:r>
      <w:r w:rsidR="00300E83" w:rsidRPr="00382917">
        <w:t>by</w:t>
      </w:r>
      <w:r w:rsidR="00EE4FC3">
        <w:t xml:space="preserve"> </w:t>
      </w:r>
      <w:r w:rsidR="00300E83" w:rsidRPr="00382917">
        <w:t>Daniel</w:t>
      </w:r>
      <w:r w:rsidR="00EE4FC3">
        <w:t xml:space="preserve"> </w:t>
      </w:r>
      <w:r w:rsidR="00300E83" w:rsidRPr="00382917">
        <w:t>the</w:t>
      </w:r>
      <w:r w:rsidR="00EE4FC3">
        <w:t xml:space="preserve"> </w:t>
      </w:r>
      <w:r w:rsidR="00300E83" w:rsidRPr="00382917">
        <w:t>Prophet,</w:t>
      </w:r>
      <w:r w:rsidRPr="00382917">
        <w:t>”</w:t>
      </w:r>
      <w:r w:rsidR="00EE4FC3">
        <w:t xml:space="preserve"> </w:t>
      </w:r>
      <w:r w:rsidR="00300E83" w:rsidRPr="00382917">
        <w:t>Christ</w:t>
      </w:r>
      <w:r w:rsidR="00EE4FC3">
        <w:t xml:space="preserve"> </w:t>
      </w:r>
      <w:r w:rsidR="00300E83" w:rsidRPr="00382917">
        <w:t>warned,</w:t>
      </w:r>
      <w:r w:rsidR="00EE4FC3">
        <w:t xml:space="preserve"> </w:t>
      </w:r>
      <w:r w:rsidRPr="00382917">
        <w:t>“</w:t>
      </w:r>
      <w:r w:rsidR="00300E83" w:rsidRPr="00382917">
        <w:t>stand</w:t>
      </w:r>
      <w:r w:rsidR="00EE4FC3">
        <w:t xml:space="preserve"> </w:t>
      </w:r>
      <w:r w:rsidR="00300E83" w:rsidRPr="00382917">
        <w:t>ye</w:t>
      </w:r>
      <w:r w:rsidR="00EE4FC3">
        <w:t xml:space="preserve"> </w:t>
      </w:r>
      <w:r w:rsidR="00300E83" w:rsidRPr="00382917">
        <w:t>in</w:t>
      </w:r>
      <w:r w:rsidR="00EE4FC3">
        <w:t xml:space="preserve"> </w:t>
      </w:r>
      <w:r w:rsidR="00300E83" w:rsidRPr="00382917">
        <w:t>the</w:t>
      </w:r>
      <w:r w:rsidR="00EE4FC3">
        <w:t xml:space="preserve"> </w:t>
      </w:r>
      <w:r w:rsidR="00300E83" w:rsidRPr="00382917">
        <w:t>holy</w:t>
      </w:r>
      <w:r w:rsidR="00EE4FC3">
        <w:t xml:space="preserve"> </w:t>
      </w:r>
      <w:r w:rsidR="00300E83" w:rsidRPr="00382917">
        <w:t>place</w:t>
      </w:r>
      <w:r w:rsidR="00EE4FC3">
        <w:t xml:space="preserve"> </w:t>
      </w:r>
      <w:r w:rsidR="00300E83" w:rsidRPr="00382917">
        <w:t>(whoso</w:t>
      </w:r>
      <w:r w:rsidR="00EE4FC3">
        <w:t xml:space="preserve"> </w:t>
      </w:r>
      <w:proofErr w:type="spellStart"/>
      <w:r w:rsidR="00300E83" w:rsidRPr="00382917">
        <w:t>readeth</w:t>
      </w:r>
      <w:proofErr w:type="spellEnd"/>
      <w:r w:rsidR="00300E83" w:rsidRPr="00382917">
        <w:t>,</w:t>
      </w:r>
      <w:r w:rsidR="00EE4FC3">
        <w:t xml:space="preserve"> </w:t>
      </w:r>
      <w:r w:rsidR="00300E83" w:rsidRPr="00382917">
        <w:t>let</w:t>
      </w:r>
      <w:r w:rsidR="00EE4FC3">
        <w:t xml:space="preserve"> </w:t>
      </w:r>
      <w:r w:rsidR="00300E83" w:rsidRPr="00382917">
        <w:t>him</w:t>
      </w:r>
      <w:r w:rsidR="00EE4FC3">
        <w:t xml:space="preserve"> </w:t>
      </w:r>
      <w:r w:rsidR="00300E83" w:rsidRPr="00382917">
        <w:t>understand).</w:t>
      </w:r>
      <w:r w:rsidRPr="00382917">
        <w:t>”</w:t>
      </w:r>
    </w:p>
    <w:p w:rsidR="00300E83" w:rsidRPr="00382917" w:rsidRDefault="00300E83" w:rsidP="00300E83">
      <w:pPr>
        <w:pStyle w:val="Text"/>
      </w:pPr>
      <w:r w:rsidRPr="00382917">
        <w:t>Christ</w:t>
      </w:r>
      <w:r w:rsidR="009C713D" w:rsidRPr="00382917">
        <w:t>’</w:t>
      </w:r>
      <w:r w:rsidRPr="00382917">
        <w:t>s</w:t>
      </w:r>
      <w:r w:rsidR="00EE4FC3">
        <w:t xml:space="preserve"> </w:t>
      </w:r>
      <w:r w:rsidRPr="00382917">
        <w:t>last</w:t>
      </w:r>
      <w:r w:rsidR="00EE4FC3">
        <w:t xml:space="preserve"> </w:t>
      </w:r>
      <w:r w:rsidRPr="00382917">
        <w:t>words</w:t>
      </w:r>
      <w:r w:rsidR="00EE4FC3">
        <w:t xml:space="preserve"> </w:t>
      </w:r>
      <w:r w:rsidRPr="00382917">
        <w:t>show</w:t>
      </w:r>
      <w:r w:rsidR="00EE4FC3">
        <w:t xml:space="preserve"> </w:t>
      </w:r>
      <w:r w:rsidRPr="00382917">
        <w:t>that</w:t>
      </w:r>
      <w:r w:rsidR="00EE4FC3">
        <w:t xml:space="preserve"> </w:t>
      </w:r>
      <w:r w:rsidRPr="00382917">
        <w:t>His</w:t>
      </w:r>
      <w:r w:rsidR="00EE4FC3">
        <w:t xml:space="preserve"> </w:t>
      </w:r>
      <w:r w:rsidRPr="00382917">
        <w:t>return</w:t>
      </w:r>
      <w:r w:rsidR="00EE4FC3">
        <w:t xml:space="preserve"> </w:t>
      </w:r>
      <w:r w:rsidRPr="00382917">
        <w:t>would</w:t>
      </w:r>
      <w:r w:rsidR="00EE4FC3">
        <w:t xml:space="preserve"> </w:t>
      </w:r>
      <w:r w:rsidRPr="00382917">
        <w:t>not</w:t>
      </w:r>
      <w:r w:rsidR="00EE4FC3">
        <w:t xml:space="preserve"> </w:t>
      </w:r>
      <w:r w:rsidRPr="00382917">
        <w:t>be</w:t>
      </w:r>
      <w:r w:rsidR="00EE4FC3">
        <w:t xml:space="preserve"> </w:t>
      </w:r>
      <w:r w:rsidRPr="00382917">
        <w:t>clear</w:t>
      </w:r>
      <w:r w:rsidR="00EE4FC3">
        <w:t xml:space="preserve"> </w:t>
      </w:r>
      <w:r w:rsidRPr="00382917">
        <w:t>to</w:t>
      </w:r>
      <w:r w:rsidR="00EE4FC3">
        <w:t xml:space="preserve"> </w:t>
      </w:r>
      <w:r w:rsidRPr="00382917">
        <w:t>outward</w:t>
      </w:r>
      <w:r w:rsidR="00EE4FC3">
        <w:t xml:space="preserve"> </w:t>
      </w:r>
      <w:r w:rsidRPr="00382917">
        <w:t>vision</w:t>
      </w:r>
      <w:r w:rsidR="00EE4FC3">
        <w:t xml:space="preserve"> </w:t>
      </w:r>
      <w:r w:rsidRPr="00382917">
        <w:t>or</w:t>
      </w:r>
      <w:r w:rsidR="00EE4FC3">
        <w:t xml:space="preserve"> </w:t>
      </w:r>
      <w:r w:rsidRPr="00382917">
        <w:t>understanding</w:t>
      </w:r>
      <w:r w:rsidR="00552489">
        <w:t>.</w:t>
      </w:r>
      <w:r w:rsidR="00EE4FC3">
        <w:t xml:space="preserve">  </w:t>
      </w:r>
      <w:r w:rsidRPr="00382917">
        <w:t>He</w:t>
      </w:r>
      <w:r w:rsidR="00EE4FC3">
        <w:t xml:space="preserve"> </w:t>
      </w:r>
      <w:r w:rsidRPr="00382917">
        <w:t>says</w:t>
      </w:r>
      <w:r w:rsidR="00C03C91">
        <w:t>:</w:t>
      </w:r>
      <w:r w:rsidR="00EE4FC3">
        <w:t xml:space="preserve">  </w:t>
      </w:r>
      <w:r w:rsidR="009C713D" w:rsidRPr="00382917">
        <w:t>“</w:t>
      </w:r>
      <w:r w:rsidRPr="00382917">
        <w:t>Whoso</w:t>
      </w:r>
      <w:r w:rsidR="00EE4FC3">
        <w:t xml:space="preserve"> </w:t>
      </w:r>
      <w:proofErr w:type="spellStart"/>
      <w:proofErr w:type="gramStart"/>
      <w:r w:rsidRPr="00382917">
        <w:t>readeth</w:t>
      </w:r>
      <w:proofErr w:type="spellEnd"/>
      <w:r w:rsidRPr="00382917">
        <w:t>,</w:t>
      </w:r>
      <w:proofErr w:type="gramEnd"/>
      <w:r w:rsidR="00EE4FC3">
        <w:t xml:space="preserve"> </w:t>
      </w:r>
      <w:r w:rsidRPr="00382917">
        <w:t>let</w:t>
      </w:r>
      <w:r w:rsidR="00EE4FC3">
        <w:t xml:space="preserve"> </w:t>
      </w:r>
      <w:r w:rsidRPr="00382917">
        <w:t>him</w:t>
      </w:r>
      <w:r w:rsidR="00EE4FC3">
        <w:t xml:space="preserve"> </w:t>
      </w:r>
      <w:r w:rsidRPr="00382917">
        <w:t>understand.</w:t>
      </w:r>
      <w:r w:rsidR="009C713D" w:rsidRPr="00382917">
        <w:t>”</w:t>
      </w:r>
      <w:r w:rsidR="00EE4FC3">
        <w:t xml:space="preserve"> </w:t>
      </w:r>
      <w:r w:rsidR="004E66A1">
        <w:t xml:space="preserve"> </w:t>
      </w:r>
      <w:r w:rsidRPr="00382917">
        <w:t>He</w:t>
      </w:r>
      <w:r w:rsidR="00EE4FC3">
        <w:t xml:space="preserve"> </w:t>
      </w:r>
      <w:r w:rsidRPr="00382917">
        <w:t>will</w:t>
      </w:r>
      <w:r w:rsidR="00EE4FC3">
        <w:t xml:space="preserve"> </w:t>
      </w:r>
      <w:r w:rsidRPr="00382917">
        <w:t>return</w:t>
      </w:r>
      <w:r w:rsidR="00EE4FC3">
        <w:t xml:space="preserve"> </w:t>
      </w:r>
      <w:r w:rsidRPr="00382917">
        <w:t>in</w:t>
      </w:r>
      <w:r w:rsidR="00EE4FC3">
        <w:t xml:space="preserve"> </w:t>
      </w:r>
      <w:r w:rsidRPr="00382917">
        <w:t>the</w:t>
      </w:r>
      <w:r w:rsidR="00EE4FC3">
        <w:t xml:space="preserve"> </w:t>
      </w:r>
      <w:r w:rsidRPr="00382917">
        <w:t>Christ-spirit,</w:t>
      </w:r>
      <w:r w:rsidR="00EE4FC3">
        <w:t xml:space="preserve"> </w:t>
      </w:r>
      <w:r w:rsidRPr="00382917">
        <w:t>but</w:t>
      </w:r>
      <w:r w:rsidR="00EE4FC3">
        <w:t xml:space="preserve"> </w:t>
      </w:r>
      <w:r w:rsidRPr="00382917">
        <w:t>not</w:t>
      </w:r>
      <w:r w:rsidR="00EE4FC3">
        <w:t xml:space="preserve"> </w:t>
      </w:r>
      <w:r w:rsidRPr="00382917">
        <w:t>as</w:t>
      </w:r>
      <w:r w:rsidR="00EE4FC3">
        <w:t xml:space="preserve"> </w:t>
      </w:r>
      <w:r w:rsidRPr="00382917">
        <w:t>Jesus</w:t>
      </w:r>
      <w:r w:rsidR="00EE4FC3">
        <w:t xml:space="preserve"> </w:t>
      </w:r>
      <w:r w:rsidRPr="00382917">
        <w:t>of</w:t>
      </w:r>
      <w:r w:rsidR="00EE4FC3">
        <w:t xml:space="preserve"> </w:t>
      </w:r>
      <w:r w:rsidRPr="00382917">
        <w:t>Nazareth</w:t>
      </w:r>
      <w:r w:rsidR="00552489">
        <w:t>.</w:t>
      </w:r>
      <w:r w:rsidR="00EE4FC3">
        <w:t xml:space="preserve">  </w:t>
      </w:r>
      <w:r w:rsidRPr="00382917">
        <w:t>Man</w:t>
      </w:r>
      <w:r w:rsidR="00EE4FC3">
        <w:t xml:space="preserve"> </w:t>
      </w:r>
      <w:r w:rsidRPr="00382917">
        <w:t>must</w:t>
      </w:r>
      <w:r w:rsidR="00EE4FC3">
        <w:t xml:space="preserve"> </w:t>
      </w:r>
      <w:r w:rsidRPr="00382917">
        <w:t>look</w:t>
      </w:r>
      <w:r w:rsidR="00EE4FC3">
        <w:t xml:space="preserve"> </w:t>
      </w:r>
      <w:r w:rsidRPr="00382917">
        <w:t>for</w:t>
      </w:r>
      <w:r w:rsidR="00EE4FC3">
        <w:t xml:space="preserve"> </w:t>
      </w:r>
      <w:r w:rsidRPr="00382917">
        <w:t>the</w:t>
      </w:r>
      <w:r w:rsidR="00EE4FC3">
        <w:t xml:space="preserve"> </w:t>
      </w:r>
      <w:r w:rsidRPr="00382917">
        <w:t>same</w:t>
      </w:r>
      <w:r w:rsidR="00EE4FC3">
        <w:t xml:space="preserve"> </w:t>
      </w:r>
      <w:r w:rsidRPr="00382917">
        <w:t>Holy</w:t>
      </w:r>
      <w:r w:rsidR="00EE4FC3">
        <w:t xml:space="preserve"> </w:t>
      </w:r>
      <w:r w:rsidRPr="00382917">
        <w:t>Spirit</w:t>
      </w:r>
      <w:r w:rsidR="00EE4FC3">
        <w:t xml:space="preserve"> </w:t>
      </w:r>
      <w:r w:rsidRPr="00382917">
        <w:t>in</w:t>
      </w:r>
      <w:r w:rsidR="00EE4FC3">
        <w:t xml:space="preserve"> </w:t>
      </w:r>
      <w:r w:rsidRPr="00382917">
        <w:t>a</w:t>
      </w:r>
      <w:r w:rsidR="00EE4FC3">
        <w:t xml:space="preserve"> </w:t>
      </w:r>
      <w:r w:rsidRPr="00382917">
        <w:t>new</w:t>
      </w:r>
      <w:r w:rsidR="00EE4FC3">
        <w:t xml:space="preserve"> </w:t>
      </w:r>
      <w:r w:rsidRPr="00382917">
        <w:t>physical</w:t>
      </w:r>
      <w:r w:rsidR="00EE4FC3">
        <w:t xml:space="preserve"> </w:t>
      </w:r>
      <w:r w:rsidRPr="00382917">
        <w:t>identity.</w:t>
      </w:r>
    </w:p>
    <w:p w:rsidR="00300E83" w:rsidRPr="00382917" w:rsidRDefault="00300E83" w:rsidP="00300E83">
      <w:pPr>
        <w:pStyle w:val="Text"/>
      </w:pPr>
      <w:r w:rsidRPr="00382917">
        <w:t>Christ</w:t>
      </w:r>
      <w:r w:rsidR="00EE4FC3">
        <w:t xml:space="preserve"> </w:t>
      </w:r>
      <w:r w:rsidRPr="00382917">
        <w:t>is</w:t>
      </w:r>
      <w:r w:rsidR="00EE4FC3">
        <w:t xml:space="preserve"> </w:t>
      </w:r>
      <w:r w:rsidRPr="00382917">
        <w:t>here</w:t>
      </w:r>
      <w:r w:rsidR="00EE4FC3">
        <w:t xml:space="preserve"> </w:t>
      </w:r>
      <w:r w:rsidRPr="00382917">
        <w:t>once</w:t>
      </w:r>
      <w:r w:rsidR="00EE4FC3">
        <w:t xml:space="preserve"> </w:t>
      </w:r>
      <w:r w:rsidRPr="00382917">
        <w:t>again</w:t>
      </w:r>
      <w:r w:rsidR="00EE4FC3">
        <w:t xml:space="preserve"> </w:t>
      </w:r>
      <w:r w:rsidRPr="00382917">
        <w:t>repeating</w:t>
      </w:r>
      <w:r w:rsidR="00EE4FC3">
        <w:t xml:space="preserve"> </w:t>
      </w:r>
      <w:r w:rsidRPr="00382917">
        <w:t>the</w:t>
      </w:r>
      <w:r w:rsidR="00EE4FC3">
        <w:t xml:space="preserve"> </w:t>
      </w:r>
      <w:r w:rsidRPr="00382917">
        <w:t>warning</w:t>
      </w:r>
      <w:r w:rsidR="00EE4FC3">
        <w:t xml:space="preserve"> </w:t>
      </w:r>
      <w:r w:rsidRPr="00382917">
        <w:t>about</w:t>
      </w:r>
      <w:r w:rsidR="00EE4FC3">
        <w:t xml:space="preserve"> </w:t>
      </w:r>
      <w:r w:rsidRPr="00382917">
        <w:t>His</w:t>
      </w:r>
      <w:r w:rsidR="00EE4FC3">
        <w:t xml:space="preserve"> </w:t>
      </w:r>
      <w:r w:rsidRPr="00382917">
        <w:t>own</w:t>
      </w:r>
      <w:r w:rsidR="00EE4FC3">
        <w:t xml:space="preserve"> </w:t>
      </w:r>
      <w:r w:rsidRPr="00382917">
        <w:t>second</w:t>
      </w:r>
      <w:r w:rsidR="00EE4FC3">
        <w:t xml:space="preserve"> </w:t>
      </w:r>
      <w:r w:rsidRPr="00382917">
        <w:t>coming</w:t>
      </w:r>
      <w:r w:rsidR="00EE4FC3">
        <w:t xml:space="preserve"> </w:t>
      </w:r>
      <w:r w:rsidRPr="00382917">
        <w:t>which</w:t>
      </w:r>
      <w:r w:rsidR="00EE4FC3">
        <w:t xml:space="preserve"> </w:t>
      </w:r>
      <w:r w:rsidRPr="00382917">
        <w:t>He</w:t>
      </w:r>
      <w:r w:rsidR="00EE4FC3">
        <w:t xml:space="preserve"> </w:t>
      </w:r>
      <w:r w:rsidRPr="00382917">
        <w:t>gave</w:t>
      </w:r>
      <w:r w:rsidR="00EE4FC3">
        <w:t xml:space="preserve"> </w:t>
      </w:r>
      <w:r w:rsidRPr="00382917">
        <w:t>to</w:t>
      </w:r>
      <w:r w:rsidR="00EE4FC3">
        <w:t xml:space="preserve"> </w:t>
      </w:r>
      <w:r w:rsidRPr="00382917">
        <w:t>His</w:t>
      </w:r>
      <w:r w:rsidR="00EE4FC3">
        <w:t xml:space="preserve"> </w:t>
      </w:r>
      <w:r w:rsidRPr="00382917">
        <w:t>disciples</w:t>
      </w:r>
      <w:r w:rsidR="00EE4FC3">
        <w:t xml:space="preserve"> </w:t>
      </w:r>
      <w:r w:rsidRPr="00382917">
        <w:t>about</w:t>
      </w:r>
      <w:r w:rsidR="00EE4FC3">
        <w:t xml:space="preserve"> </w:t>
      </w:r>
      <w:r w:rsidRPr="00382917">
        <w:t>the</w:t>
      </w:r>
      <w:r w:rsidR="00EE4FC3">
        <w:t xml:space="preserve"> </w:t>
      </w:r>
      <w:r w:rsidRPr="00382917">
        <w:t>return</w:t>
      </w:r>
      <w:r w:rsidR="00EE4FC3">
        <w:t xml:space="preserve"> </w:t>
      </w:r>
      <w:r w:rsidRPr="00382917">
        <w:t>of</w:t>
      </w:r>
      <w:r w:rsidR="00EE4FC3">
        <w:t xml:space="preserve"> </w:t>
      </w:r>
      <w:r w:rsidRPr="00382917">
        <w:t>Elias</w:t>
      </w:r>
      <w:r w:rsidR="00EE4FC3">
        <w:t xml:space="preserve"> </w:t>
      </w:r>
      <w:r w:rsidRPr="00382917">
        <w:t>in</w:t>
      </w:r>
      <w:r w:rsidR="00EE4FC3">
        <w:t xml:space="preserve"> </w:t>
      </w:r>
      <w:r w:rsidRPr="00382917">
        <w:t>John</w:t>
      </w:r>
      <w:r w:rsidR="00EE4FC3">
        <w:t xml:space="preserve"> </w:t>
      </w:r>
      <w:r w:rsidRPr="00382917">
        <w:t>the</w:t>
      </w:r>
      <w:r w:rsidR="00EE4FC3">
        <w:t xml:space="preserve"> </w:t>
      </w:r>
      <w:r w:rsidRPr="00382917">
        <w:t>Baptist</w:t>
      </w:r>
      <w:r w:rsidR="00C03C91">
        <w:t>:</w:t>
      </w:r>
      <w:r w:rsidR="00EE4FC3">
        <w:t xml:space="preserve">  </w:t>
      </w:r>
      <w:r w:rsidR="009C713D" w:rsidRPr="00382917">
        <w:t>“</w:t>
      </w:r>
      <w:r w:rsidRPr="00382917">
        <w:t>He</w:t>
      </w:r>
      <w:r w:rsidR="00EE4FC3">
        <w:t xml:space="preserve"> </w:t>
      </w:r>
      <w:r w:rsidRPr="00382917">
        <w:t>that</w:t>
      </w:r>
      <w:r w:rsidR="00EE4FC3">
        <w:t xml:space="preserve"> </w:t>
      </w:r>
      <w:r w:rsidRPr="00382917">
        <w:t>hath</w:t>
      </w:r>
      <w:r w:rsidR="00EE4FC3">
        <w:t xml:space="preserve"> </w:t>
      </w:r>
      <w:r w:rsidRPr="00382917">
        <w:t>ears</w:t>
      </w:r>
      <w:r w:rsidR="00EE4FC3">
        <w:t xml:space="preserve"> </w:t>
      </w:r>
      <w:r w:rsidRPr="00382917">
        <w:t>to</w:t>
      </w:r>
      <w:r w:rsidR="00EE4FC3">
        <w:t xml:space="preserve"> </w:t>
      </w:r>
      <w:proofErr w:type="gramStart"/>
      <w:r w:rsidRPr="00382917">
        <w:t>hear,</w:t>
      </w:r>
      <w:proofErr w:type="gramEnd"/>
      <w:r w:rsidR="00EE4FC3">
        <w:t xml:space="preserve"> </w:t>
      </w:r>
      <w:r w:rsidRPr="00382917">
        <w:t>let</w:t>
      </w:r>
      <w:r w:rsidR="00EE4FC3">
        <w:t xml:space="preserve"> </w:t>
      </w:r>
      <w:r w:rsidRPr="00382917">
        <w:t>him</w:t>
      </w:r>
      <w:r w:rsidR="00EE4FC3">
        <w:t xml:space="preserve"> </w:t>
      </w:r>
      <w:r w:rsidRPr="00382917">
        <w:t>hear.</w:t>
      </w:r>
      <w:r w:rsidR="009C713D" w:rsidRPr="00382917">
        <w:t>”</w:t>
      </w:r>
    </w:p>
    <w:p w:rsidR="00300E83" w:rsidRPr="00382917" w:rsidRDefault="004E66A1" w:rsidP="004E66A1">
      <w:pPr>
        <w:pStyle w:val="Bullet2"/>
      </w:pPr>
      <w:r>
        <w:t>1.</w:t>
      </w:r>
      <w:r>
        <w:tab/>
      </w:r>
      <w:r w:rsidR="00300E83" w:rsidRPr="00382917">
        <w:t>The</w:t>
      </w:r>
      <w:r w:rsidR="00EE4FC3">
        <w:t xml:space="preserve"> </w:t>
      </w:r>
      <w:r w:rsidR="00300E83" w:rsidRPr="00382917">
        <w:t>three</w:t>
      </w:r>
      <w:r w:rsidR="00EE4FC3">
        <w:t xml:space="preserve"> </w:t>
      </w:r>
      <w:r w:rsidR="00300E83" w:rsidRPr="00382917">
        <w:t>direct</w:t>
      </w:r>
      <w:r w:rsidR="00EE4FC3">
        <w:t xml:space="preserve"> </w:t>
      </w:r>
      <w:r w:rsidR="00300E83" w:rsidRPr="00382917">
        <w:t>promises</w:t>
      </w:r>
      <w:r w:rsidR="00EE4FC3">
        <w:t xml:space="preserve"> </w:t>
      </w:r>
      <w:r w:rsidR="00300E83" w:rsidRPr="00382917">
        <w:t>of</w:t>
      </w:r>
      <w:r w:rsidR="00EE4FC3">
        <w:t xml:space="preserve"> </w:t>
      </w:r>
      <w:r w:rsidR="00300E83" w:rsidRPr="00382917">
        <w:t>Christ</w:t>
      </w:r>
      <w:r w:rsidR="00EE4FC3">
        <w:t xml:space="preserve"> </w:t>
      </w:r>
      <w:r w:rsidR="00300E83" w:rsidRPr="00382917">
        <w:t>giving</w:t>
      </w:r>
      <w:r w:rsidR="00EE4FC3">
        <w:t xml:space="preserve"> </w:t>
      </w:r>
      <w:r w:rsidR="00300E83" w:rsidRPr="00382917">
        <w:t>the</w:t>
      </w:r>
      <w:r w:rsidR="00EE4FC3">
        <w:t xml:space="preserve"> </w:t>
      </w:r>
      <w:r w:rsidR="00300E83" w:rsidRPr="00382917">
        <w:t>time</w:t>
      </w:r>
      <w:r w:rsidR="00EE4FC3">
        <w:t xml:space="preserve"> </w:t>
      </w:r>
      <w:r w:rsidR="00300E83" w:rsidRPr="00382917">
        <w:t>of</w:t>
      </w:r>
      <w:r w:rsidR="00EE4FC3">
        <w:t xml:space="preserve"> </w:t>
      </w:r>
      <w:r w:rsidR="00300E83" w:rsidRPr="00382917">
        <w:t>His</w:t>
      </w:r>
      <w:r w:rsidR="00EE4FC3">
        <w:t xml:space="preserve"> </w:t>
      </w:r>
      <w:r w:rsidR="00300E83" w:rsidRPr="00382917">
        <w:t>return,</w:t>
      </w:r>
      <w:r w:rsidR="00EE4FC3">
        <w:t xml:space="preserve"> </w:t>
      </w:r>
      <w:r w:rsidR="00300E83" w:rsidRPr="00382917">
        <w:t>all</w:t>
      </w:r>
      <w:r w:rsidR="00EE4FC3">
        <w:t xml:space="preserve"> </w:t>
      </w:r>
      <w:r w:rsidR="00300E83" w:rsidRPr="00382917">
        <w:t>pointed</w:t>
      </w:r>
      <w:r w:rsidR="00EE4FC3">
        <w:t xml:space="preserve"> </w:t>
      </w:r>
      <w:r w:rsidR="00300E83" w:rsidRPr="00382917">
        <w:t>to</w:t>
      </w:r>
      <w:r w:rsidR="00EE4FC3">
        <w:t xml:space="preserve"> </w:t>
      </w:r>
      <w:r w:rsidR="00300E83" w:rsidRPr="00382917">
        <w:t>the</w:t>
      </w:r>
      <w:r w:rsidR="00EE4FC3">
        <w:t xml:space="preserve"> </w:t>
      </w:r>
      <w:r w:rsidR="00300E83" w:rsidRPr="00382917">
        <w:t>year</w:t>
      </w:r>
      <w:r w:rsidR="00EE4FC3">
        <w:t xml:space="preserve"> </w:t>
      </w:r>
      <w:r w:rsidR="00300E83" w:rsidRPr="00382917">
        <w:t>1844.</w:t>
      </w:r>
    </w:p>
    <w:p w:rsidR="00300E83" w:rsidRPr="00382917" w:rsidRDefault="004E66A1" w:rsidP="004E66A1">
      <w:pPr>
        <w:pStyle w:val="Bullet2ct"/>
      </w:pPr>
      <w:r>
        <w:t>2.</w:t>
      </w:r>
      <w:r>
        <w:tab/>
      </w:r>
      <w:r w:rsidR="00300E83" w:rsidRPr="00382917">
        <w:t>The</w:t>
      </w:r>
      <w:r w:rsidR="00EE4FC3">
        <w:t xml:space="preserve"> </w:t>
      </w:r>
      <w:proofErr w:type="gramStart"/>
      <w:r w:rsidR="00300E83" w:rsidRPr="00382917">
        <w:t>holy</w:t>
      </w:r>
      <w:proofErr w:type="gramEnd"/>
      <w:r w:rsidR="00EE4FC3">
        <w:t xml:space="preserve"> </w:t>
      </w:r>
      <w:r w:rsidR="00300E83" w:rsidRPr="00382917">
        <w:t>Scripture</w:t>
      </w:r>
      <w:r w:rsidR="00EE4FC3">
        <w:t xml:space="preserve"> </w:t>
      </w:r>
      <w:r w:rsidR="00300E83" w:rsidRPr="00382917">
        <w:t>of</w:t>
      </w:r>
      <w:r w:rsidR="00EE4FC3">
        <w:t xml:space="preserve"> </w:t>
      </w:r>
      <w:r w:rsidR="00300E83" w:rsidRPr="00382917">
        <w:t>the</w:t>
      </w:r>
      <w:r w:rsidR="00EE4FC3">
        <w:t xml:space="preserve"> </w:t>
      </w:r>
      <w:r w:rsidR="00300E83" w:rsidRPr="00382917">
        <w:t>Christians,</w:t>
      </w:r>
      <w:r w:rsidR="00EE4FC3">
        <w:t xml:space="preserve"> </w:t>
      </w:r>
      <w:r w:rsidR="00300E83" w:rsidRPr="00382917">
        <w:t>Jews</w:t>
      </w:r>
      <w:r w:rsidR="00EE4FC3">
        <w:t xml:space="preserve"> </w:t>
      </w:r>
      <w:r w:rsidR="00300E83" w:rsidRPr="00382917">
        <w:t>and</w:t>
      </w:r>
      <w:r w:rsidR="00EE4FC3">
        <w:t xml:space="preserve"> </w:t>
      </w:r>
      <w:r w:rsidR="00300E83" w:rsidRPr="00382917">
        <w:t>Muslims</w:t>
      </w:r>
      <w:r w:rsidR="00EE4FC3">
        <w:t xml:space="preserve"> </w:t>
      </w:r>
      <w:r w:rsidR="00300E83" w:rsidRPr="00382917">
        <w:t>gave</w:t>
      </w:r>
      <w:r w:rsidR="00EE4FC3">
        <w:t xml:space="preserve"> </w:t>
      </w:r>
      <w:r w:rsidR="00300E83" w:rsidRPr="00382917">
        <w:t>the</w:t>
      </w:r>
      <w:r w:rsidR="00EE4FC3">
        <w:t xml:space="preserve"> </w:t>
      </w:r>
      <w:r w:rsidR="00300E83" w:rsidRPr="00382917">
        <w:t>place</w:t>
      </w:r>
      <w:r w:rsidR="00C03C91">
        <w:t>:</w:t>
      </w:r>
      <w:r w:rsidR="00EE4FC3">
        <w:t xml:space="preserve">  </w:t>
      </w:r>
      <w:r w:rsidR="00300E83" w:rsidRPr="00382917">
        <w:t>Persia.</w:t>
      </w:r>
    </w:p>
    <w:p w:rsidR="00300E83" w:rsidRPr="00382917" w:rsidRDefault="004E66A1" w:rsidP="004E66A1">
      <w:pPr>
        <w:pStyle w:val="Bullet2ct"/>
      </w:pPr>
      <w:r>
        <w:t>3.</w:t>
      </w:r>
      <w:r>
        <w:tab/>
      </w:r>
      <w:r w:rsidR="00300E83" w:rsidRPr="00382917">
        <w:t>Christ</w:t>
      </w:r>
      <w:r w:rsidR="00EE4FC3">
        <w:t xml:space="preserve"> </w:t>
      </w:r>
      <w:r w:rsidR="00300E83" w:rsidRPr="00382917">
        <w:t>Himself</w:t>
      </w:r>
      <w:r w:rsidR="00EE4FC3">
        <w:t xml:space="preserve"> </w:t>
      </w:r>
      <w:r w:rsidR="00300E83" w:rsidRPr="00382917">
        <w:t>unmistakably</w:t>
      </w:r>
      <w:r w:rsidR="00EE4FC3">
        <w:t xml:space="preserve"> </w:t>
      </w:r>
      <w:r w:rsidR="00300E83" w:rsidRPr="00382917">
        <w:t>gave</w:t>
      </w:r>
      <w:r w:rsidR="00EE4FC3">
        <w:t xml:space="preserve"> </w:t>
      </w:r>
      <w:r w:rsidR="00300E83" w:rsidRPr="00382917">
        <w:t>the</w:t>
      </w:r>
      <w:r w:rsidR="00EE4FC3">
        <w:t xml:space="preserve"> </w:t>
      </w:r>
      <w:r w:rsidR="00300E83" w:rsidRPr="00382917">
        <w:t>manner</w:t>
      </w:r>
      <w:r w:rsidR="00EE4FC3">
        <w:t xml:space="preserve"> </w:t>
      </w:r>
      <w:r w:rsidR="00300E83" w:rsidRPr="00382917">
        <w:t>of</w:t>
      </w:r>
      <w:r w:rsidR="00EE4FC3">
        <w:t xml:space="preserve"> </w:t>
      </w:r>
      <w:r w:rsidR="00300E83" w:rsidRPr="00382917">
        <w:t>His</w:t>
      </w:r>
      <w:r w:rsidR="00EE4FC3">
        <w:t xml:space="preserve"> </w:t>
      </w:r>
      <w:r w:rsidR="00300E83" w:rsidRPr="00382917">
        <w:t>return;</w:t>
      </w:r>
      <w:r w:rsidR="00EE4FC3">
        <w:t xml:space="preserve"> </w:t>
      </w:r>
      <w:r w:rsidR="00300E83" w:rsidRPr="00382917">
        <w:t>not</w:t>
      </w:r>
      <w:r w:rsidR="00EE4FC3">
        <w:t xml:space="preserve"> </w:t>
      </w:r>
      <w:r w:rsidR="00300E83" w:rsidRPr="00382917">
        <w:t>in</w:t>
      </w:r>
      <w:r w:rsidR="00EE4FC3">
        <w:t xml:space="preserve"> </w:t>
      </w:r>
      <w:r w:rsidR="00300E83" w:rsidRPr="00382917">
        <w:t>the</w:t>
      </w:r>
      <w:r w:rsidR="00EE4FC3">
        <w:t xml:space="preserve"> </w:t>
      </w:r>
      <w:r w:rsidR="00300E83" w:rsidRPr="00382917">
        <w:t>flesh,</w:t>
      </w:r>
      <w:r w:rsidR="00EE4FC3">
        <w:t xml:space="preserve"> </w:t>
      </w:r>
      <w:r w:rsidR="00300E83" w:rsidRPr="00382917">
        <w:t>but</w:t>
      </w:r>
      <w:r w:rsidR="00EE4FC3">
        <w:t xml:space="preserve"> </w:t>
      </w:r>
      <w:r w:rsidR="00300E83" w:rsidRPr="00382917">
        <w:t>in</w:t>
      </w:r>
      <w:r w:rsidR="00EE4FC3">
        <w:t xml:space="preserve"> </w:t>
      </w:r>
      <w:r w:rsidR="00300E83" w:rsidRPr="00382917">
        <w:t>the</w:t>
      </w:r>
      <w:r w:rsidR="00EE4FC3">
        <w:t xml:space="preserve"> </w:t>
      </w:r>
      <w:r w:rsidR="00300E83" w:rsidRPr="00382917">
        <w:t>spirit</w:t>
      </w:r>
      <w:r w:rsidR="00552489">
        <w:t>.</w:t>
      </w:r>
      <w:r w:rsidR="00EE4FC3">
        <w:t xml:space="preserve">  </w:t>
      </w:r>
      <w:r w:rsidR="00300E83" w:rsidRPr="00382917">
        <w:t>But</w:t>
      </w:r>
      <w:r w:rsidR="00EE4FC3">
        <w:t xml:space="preserve"> </w:t>
      </w:r>
      <w:r w:rsidR="00300E83" w:rsidRPr="00382917">
        <w:t>only</w:t>
      </w:r>
      <w:r w:rsidR="00EE4FC3">
        <w:t xml:space="preserve"> </w:t>
      </w:r>
      <w:r w:rsidR="00300E83" w:rsidRPr="00382917">
        <w:t>Almighty</w:t>
      </w:r>
      <w:r w:rsidR="00EE4FC3">
        <w:t xml:space="preserve"> </w:t>
      </w:r>
      <w:r w:rsidR="00300E83" w:rsidRPr="00382917">
        <w:t>God</w:t>
      </w:r>
      <w:r w:rsidR="00EE4FC3">
        <w:t xml:space="preserve"> </w:t>
      </w:r>
      <w:r w:rsidR="00300E83" w:rsidRPr="00382917">
        <w:t>could</w:t>
      </w:r>
      <w:r w:rsidR="00EE4FC3">
        <w:t xml:space="preserve"> </w:t>
      </w:r>
      <w:r w:rsidR="00300E83" w:rsidRPr="00382917">
        <w:t>give</w:t>
      </w:r>
      <w:r w:rsidR="00EE4FC3">
        <w:t xml:space="preserve"> </w:t>
      </w:r>
      <w:r w:rsidR="00300E83" w:rsidRPr="00382917">
        <w:t>mankind</w:t>
      </w:r>
      <w:r w:rsidR="00EE4FC3">
        <w:t xml:space="preserve"> </w:t>
      </w:r>
      <w:r w:rsidR="00300E83" w:rsidRPr="00382917">
        <w:t>the</w:t>
      </w:r>
      <w:r w:rsidR="00EE4FC3">
        <w:t xml:space="preserve"> </w:t>
      </w:r>
      <w:r w:rsidR="009C713D" w:rsidRPr="00382917">
        <w:t>“</w:t>
      </w:r>
      <w:r w:rsidR="00300E83" w:rsidRPr="00382917">
        <w:t>eyes</w:t>
      </w:r>
      <w:r w:rsidR="00EE4FC3">
        <w:t xml:space="preserve"> </w:t>
      </w:r>
      <w:r w:rsidR="00300E83" w:rsidRPr="00382917">
        <w:t>to</w:t>
      </w:r>
      <w:r w:rsidR="00EE4FC3">
        <w:t xml:space="preserve"> </w:t>
      </w:r>
      <w:r w:rsidR="00300E83" w:rsidRPr="00382917">
        <w:t>see</w:t>
      </w:r>
      <w:r w:rsidR="009C713D" w:rsidRPr="00382917">
        <w:t>”</w:t>
      </w:r>
      <w:r w:rsidR="00EE4FC3">
        <w:t xml:space="preserve"> </w:t>
      </w:r>
      <w:r w:rsidR="00300E83" w:rsidRPr="00382917">
        <w:t>and</w:t>
      </w:r>
      <w:r w:rsidR="00EE4FC3">
        <w:t xml:space="preserve"> </w:t>
      </w:r>
      <w:r w:rsidR="00300E83" w:rsidRPr="00382917">
        <w:t>the</w:t>
      </w:r>
      <w:r w:rsidR="00EE4FC3">
        <w:t xml:space="preserve"> </w:t>
      </w:r>
      <w:r w:rsidR="009C713D" w:rsidRPr="00382917">
        <w:t>“</w:t>
      </w:r>
      <w:r w:rsidR="00300E83" w:rsidRPr="00382917">
        <w:t>ears</w:t>
      </w:r>
      <w:r w:rsidR="00EE4FC3">
        <w:t xml:space="preserve"> </w:t>
      </w:r>
      <w:r w:rsidR="00300E83" w:rsidRPr="00382917">
        <w:t>to</w:t>
      </w:r>
      <w:r w:rsidR="00EE4FC3">
        <w:t xml:space="preserve"> </w:t>
      </w:r>
      <w:r w:rsidR="00300E83" w:rsidRPr="00382917">
        <w:t>hear</w:t>
      </w:r>
      <w:r w:rsidR="009C713D" w:rsidRPr="00382917">
        <w:t>”</w:t>
      </w:r>
      <w:r>
        <w:t>.</w:t>
      </w:r>
    </w:p>
    <w:p w:rsidR="00300E83" w:rsidRPr="00382917" w:rsidRDefault="00300E83" w:rsidP="004D716D">
      <w:pPr>
        <w:pStyle w:val="Text"/>
      </w:pPr>
      <w:r w:rsidRPr="00382917">
        <w:t>These</w:t>
      </w:r>
      <w:r w:rsidR="00EE4FC3">
        <w:t xml:space="preserve"> </w:t>
      </w:r>
      <w:r w:rsidRPr="00382917">
        <w:t>proofs</w:t>
      </w:r>
      <w:r w:rsidR="00EE4FC3">
        <w:t xml:space="preserve"> </w:t>
      </w:r>
      <w:r w:rsidRPr="00382917">
        <w:t>which</w:t>
      </w:r>
      <w:r w:rsidR="00EE4FC3">
        <w:t xml:space="preserve"> </w:t>
      </w:r>
      <w:r w:rsidRPr="00382917">
        <w:t>make</w:t>
      </w:r>
      <w:r w:rsidR="00EE4FC3">
        <w:t xml:space="preserve"> </w:t>
      </w:r>
      <w:r w:rsidRPr="00382917">
        <w:t>it</w:t>
      </w:r>
      <w:r w:rsidR="00EE4FC3">
        <w:t xml:space="preserve"> </w:t>
      </w:r>
      <w:r w:rsidRPr="00382917">
        <w:t>possible</w:t>
      </w:r>
      <w:r w:rsidR="00EE4FC3">
        <w:t xml:space="preserve"> </w:t>
      </w:r>
      <w:r w:rsidRPr="00382917">
        <w:t>for</w:t>
      </w:r>
      <w:r w:rsidR="00EE4FC3">
        <w:t xml:space="preserve"> </w:t>
      </w:r>
      <w:r w:rsidRPr="00382917">
        <w:t>everyone</w:t>
      </w:r>
      <w:r w:rsidR="00EE4FC3">
        <w:t xml:space="preserve"> </w:t>
      </w:r>
      <w:r w:rsidRPr="00382917">
        <w:t>to</w:t>
      </w:r>
      <w:r w:rsidR="00EE4FC3">
        <w:t xml:space="preserve"> </w:t>
      </w:r>
      <w:r w:rsidRPr="00382917">
        <w:t>understand</w:t>
      </w:r>
      <w:r w:rsidR="00EE4FC3">
        <w:t xml:space="preserve"> </w:t>
      </w:r>
      <w:r w:rsidRPr="00382917">
        <w:t>the</w:t>
      </w:r>
      <w:r w:rsidR="00EE4FC3">
        <w:t xml:space="preserve"> </w:t>
      </w:r>
      <w:r w:rsidRPr="00382917">
        <w:t>Holy</w:t>
      </w:r>
      <w:r w:rsidR="00EE4FC3">
        <w:t xml:space="preserve"> </w:t>
      </w:r>
      <w:r w:rsidRPr="00382917">
        <w:t>Scripture</w:t>
      </w:r>
      <w:r w:rsidR="00EE4FC3">
        <w:t xml:space="preserve"> </w:t>
      </w:r>
      <w:r w:rsidRPr="00382917">
        <w:t>could</w:t>
      </w:r>
      <w:r w:rsidR="00EE4FC3">
        <w:t xml:space="preserve"> </w:t>
      </w:r>
      <w:r w:rsidRPr="00382917">
        <w:t>not</w:t>
      </w:r>
      <w:r w:rsidR="00EE4FC3">
        <w:t xml:space="preserve"> </w:t>
      </w:r>
      <w:r w:rsidRPr="00382917">
        <w:t>have</w:t>
      </w:r>
      <w:r w:rsidR="00EE4FC3">
        <w:t xml:space="preserve"> </w:t>
      </w:r>
      <w:r w:rsidRPr="00382917">
        <w:t>been</w:t>
      </w:r>
      <w:r w:rsidR="00EE4FC3">
        <w:t xml:space="preserve"> </w:t>
      </w:r>
      <w:r w:rsidRPr="00382917">
        <w:t>given</w:t>
      </w:r>
      <w:r w:rsidR="00EE4FC3">
        <w:t xml:space="preserve"> </w:t>
      </w:r>
      <w:r w:rsidRPr="00382917">
        <w:t>to</w:t>
      </w:r>
      <w:r w:rsidR="00EE4FC3">
        <w:t xml:space="preserve"> </w:t>
      </w:r>
      <w:r w:rsidRPr="00382917">
        <w:t>mankind</w:t>
      </w:r>
      <w:r w:rsidR="00EE4FC3">
        <w:t xml:space="preserve"> </w:t>
      </w:r>
      <w:r w:rsidRPr="00382917">
        <w:t>in</w:t>
      </w:r>
      <w:r w:rsidR="00EE4FC3">
        <w:t xml:space="preserve"> </w:t>
      </w:r>
      <w:r w:rsidRPr="00382917">
        <w:t>such</w:t>
      </w:r>
      <w:r w:rsidR="00EE4FC3">
        <w:t xml:space="preserve"> </w:t>
      </w:r>
      <w:r w:rsidRPr="00382917">
        <w:t>detail</w:t>
      </w:r>
      <w:r w:rsidR="00EE4FC3">
        <w:t xml:space="preserve"> </w:t>
      </w:r>
      <w:r w:rsidRPr="00382917">
        <w:t>until</w:t>
      </w:r>
      <w:r w:rsidR="00EE4FC3">
        <w:t xml:space="preserve"> </w:t>
      </w:r>
      <w:r w:rsidRPr="00382917">
        <w:t>the</w:t>
      </w:r>
      <w:r w:rsidR="00EE4FC3">
        <w:t xml:space="preserve"> </w:t>
      </w:r>
      <w:r w:rsidRPr="00382917">
        <w:t>time</w:t>
      </w:r>
      <w:r w:rsidR="00EE4FC3">
        <w:t xml:space="preserve"> </w:t>
      </w:r>
      <w:r w:rsidRPr="00382917">
        <w:t>of</w:t>
      </w:r>
      <w:r w:rsidR="00EE4FC3">
        <w:t xml:space="preserve"> </w:t>
      </w:r>
      <w:r w:rsidRPr="00382917">
        <w:t>Christ</w:t>
      </w:r>
      <w:r w:rsidR="009C713D" w:rsidRPr="00382917">
        <w:t>’</w:t>
      </w:r>
      <w:r w:rsidRPr="00382917">
        <w:t>s</w:t>
      </w:r>
      <w:r w:rsidR="00EE4FC3">
        <w:t xml:space="preserve"> </w:t>
      </w:r>
      <w:r w:rsidRPr="00382917">
        <w:t>return</w:t>
      </w:r>
      <w:r w:rsidR="00552489">
        <w:t>.</w:t>
      </w:r>
      <w:r w:rsidR="00EE4FC3">
        <w:t xml:space="preserve">  </w:t>
      </w:r>
      <w:r w:rsidRPr="00382917">
        <w:t>Until</w:t>
      </w:r>
      <w:r w:rsidR="00EE4FC3">
        <w:t xml:space="preserve"> </w:t>
      </w:r>
      <w:r w:rsidRPr="00382917">
        <w:t>the</w:t>
      </w:r>
      <w:r w:rsidR="00EE4FC3">
        <w:t xml:space="preserve"> </w:t>
      </w:r>
      <w:r w:rsidRPr="00382917">
        <w:t>hour</w:t>
      </w:r>
      <w:r w:rsidR="00EE4FC3">
        <w:t xml:space="preserve"> </w:t>
      </w:r>
      <w:r w:rsidRPr="00382917">
        <w:t>of</w:t>
      </w:r>
      <w:r w:rsidR="00EE4FC3">
        <w:t xml:space="preserve"> </w:t>
      </w:r>
      <w:r w:rsidRPr="00382917">
        <w:t>His</w:t>
      </w:r>
      <w:r w:rsidR="00EE4FC3">
        <w:t xml:space="preserve"> </w:t>
      </w:r>
      <w:r w:rsidRPr="00382917">
        <w:t>appearance</w:t>
      </w:r>
      <w:r w:rsidR="00EE4FC3">
        <w:t xml:space="preserve"> </w:t>
      </w:r>
      <w:r w:rsidRPr="00382917">
        <w:t>in</w:t>
      </w:r>
      <w:r w:rsidR="00EE4FC3">
        <w:t xml:space="preserve"> </w:t>
      </w:r>
      <w:r w:rsidRPr="00382917">
        <w:t>1844</w:t>
      </w:r>
      <w:r w:rsidR="00EE4FC3">
        <w:t xml:space="preserve"> </w:t>
      </w:r>
      <w:r w:rsidRPr="00382917">
        <w:t>in</w:t>
      </w:r>
      <w:r w:rsidR="00EE4FC3">
        <w:t xml:space="preserve"> </w:t>
      </w:r>
      <w:r w:rsidRPr="00382917">
        <w:t>Elam</w:t>
      </w:r>
      <w:r w:rsidR="004D716D">
        <w:rPr>
          <w:rStyle w:val="FootnoteReference"/>
        </w:rPr>
        <w:footnoteReference w:id="315"/>
      </w:r>
      <w:r w:rsidR="00EE4FC3">
        <w:t xml:space="preserve"> </w:t>
      </w:r>
      <w:r w:rsidRPr="00382917">
        <w:t>no</w:t>
      </w:r>
      <w:r w:rsidR="00EE4FC3">
        <w:t xml:space="preserve"> </w:t>
      </w:r>
      <w:r w:rsidRPr="00382917">
        <w:t>one</w:t>
      </w:r>
      <w:r w:rsidR="00EE4FC3">
        <w:t xml:space="preserve"> </w:t>
      </w:r>
      <w:r w:rsidRPr="00382917">
        <w:t>would</w:t>
      </w:r>
      <w:r w:rsidR="00EE4FC3">
        <w:t xml:space="preserve"> </w:t>
      </w:r>
      <w:r w:rsidRPr="00382917">
        <w:t>be</w:t>
      </w:r>
      <w:r w:rsidR="00EE4FC3">
        <w:t xml:space="preserve"> </w:t>
      </w:r>
      <w:r w:rsidRPr="00382917">
        <w:t>able</w:t>
      </w:r>
      <w:r w:rsidR="00EE4FC3">
        <w:t xml:space="preserve"> </w:t>
      </w:r>
      <w:r w:rsidRPr="00382917">
        <w:t>to</w:t>
      </w:r>
      <w:r w:rsidR="00EE4FC3">
        <w:t xml:space="preserve"> </w:t>
      </w:r>
      <w:r w:rsidRPr="00382917">
        <w:t>understand</w:t>
      </w:r>
      <w:r w:rsidR="00EE4FC3">
        <w:t xml:space="preserve"> </w:t>
      </w:r>
      <w:r w:rsidRPr="00382917">
        <w:t>these</w:t>
      </w:r>
      <w:r w:rsidR="00EE4FC3">
        <w:t xml:space="preserve"> </w:t>
      </w:r>
      <w:r w:rsidRPr="00382917">
        <w:t>inner</w:t>
      </w:r>
      <w:r w:rsidR="00EE4FC3">
        <w:t xml:space="preserve"> </w:t>
      </w:r>
      <w:r w:rsidRPr="00382917">
        <w:t>mysteries</w:t>
      </w:r>
      <w:r w:rsidR="00EE4FC3">
        <w:t xml:space="preserve"> </w:t>
      </w:r>
      <w:r w:rsidRPr="00382917">
        <w:t>of</w:t>
      </w:r>
      <w:r w:rsidR="00EE4FC3">
        <w:t xml:space="preserve"> </w:t>
      </w:r>
      <w:r w:rsidRPr="00382917">
        <w:t>the</w:t>
      </w:r>
      <w:r w:rsidR="00EE4FC3">
        <w:t xml:space="preserve"> </w:t>
      </w:r>
      <w:r w:rsidRPr="00382917">
        <w:t>holy</w:t>
      </w:r>
      <w:r w:rsidR="00EE4FC3">
        <w:t xml:space="preserve"> </w:t>
      </w:r>
      <w:r w:rsidRPr="00382917">
        <w:t>Books</w:t>
      </w:r>
      <w:r w:rsidR="00552489">
        <w:t>.</w:t>
      </w:r>
      <w:r w:rsidR="00EE4FC3">
        <w:t xml:space="preserve">  </w:t>
      </w:r>
      <w:r w:rsidRPr="00382917">
        <w:t>The</w:t>
      </w:r>
      <w:r w:rsidR="00EE4FC3">
        <w:t xml:space="preserve"> </w:t>
      </w:r>
      <w:r w:rsidRPr="00382917">
        <w:t>way</w:t>
      </w:r>
      <w:r w:rsidR="00EE4FC3">
        <w:t xml:space="preserve"> </w:t>
      </w:r>
      <w:r w:rsidRPr="00382917">
        <w:t>was</w:t>
      </w:r>
      <w:r w:rsidR="00EE4FC3">
        <w:t xml:space="preserve"> </w:t>
      </w:r>
      <w:r w:rsidRPr="00382917">
        <w:t>closed</w:t>
      </w:r>
      <w:r w:rsidR="00552489">
        <w:t>.</w:t>
      </w:r>
      <w:r w:rsidR="00EE4FC3">
        <w:t xml:space="preserve">  </w:t>
      </w:r>
      <w:r w:rsidRPr="00382917">
        <w:t>This</w:t>
      </w:r>
      <w:r w:rsidR="00EE4FC3">
        <w:t xml:space="preserve"> </w:t>
      </w:r>
      <w:r w:rsidRPr="00382917">
        <w:t>was</w:t>
      </w:r>
      <w:r w:rsidR="00EE4FC3">
        <w:t xml:space="preserve"> </w:t>
      </w:r>
      <w:r w:rsidRPr="00382917">
        <w:t>yet</w:t>
      </w:r>
      <w:r w:rsidR="00EE4FC3">
        <w:t xml:space="preserve"> </w:t>
      </w:r>
      <w:r w:rsidRPr="00382917">
        <w:t>another</w:t>
      </w:r>
      <w:r w:rsidR="00EE4FC3">
        <w:t xml:space="preserve"> </w:t>
      </w:r>
      <w:r w:rsidRPr="00382917">
        <w:t>prophecy</w:t>
      </w:r>
      <w:r w:rsidR="00EE4FC3">
        <w:t xml:space="preserve"> </w:t>
      </w:r>
      <w:r w:rsidRPr="00382917">
        <w:t>from</w:t>
      </w:r>
      <w:r w:rsidR="00EE4FC3">
        <w:t xml:space="preserve"> </w:t>
      </w:r>
      <w:r w:rsidRPr="00382917">
        <w:t>the</w:t>
      </w:r>
      <w:r w:rsidR="00EE4FC3">
        <w:t xml:space="preserve"> </w:t>
      </w:r>
      <w:r w:rsidRPr="00382917">
        <w:t>pen</w:t>
      </w:r>
      <w:r w:rsidR="00EE4FC3">
        <w:t xml:space="preserve"> </w:t>
      </w:r>
      <w:r w:rsidRPr="00382917">
        <w:t>of</w:t>
      </w:r>
      <w:r w:rsidR="00EE4FC3">
        <w:t xml:space="preserve"> </w:t>
      </w:r>
      <w:r w:rsidRPr="00382917">
        <w:t>the</w:t>
      </w:r>
      <w:r w:rsidR="00EE4FC3">
        <w:t xml:space="preserve"> </w:t>
      </w:r>
      <w:r w:rsidRPr="00382917">
        <w:t>same</w:t>
      </w:r>
      <w:r w:rsidR="00EE4FC3">
        <w:t xml:space="preserve"> </w:t>
      </w:r>
      <w:r w:rsidRPr="00382917">
        <w:t>Prophet,</w:t>
      </w:r>
      <w:r w:rsidR="00EE4FC3">
        <w:t xml:space="preserve"> </w:t>
      </w:r>
      <w:r w:rsidRPr="00382917">
        <w:t>Daniel</w:t>
      </w:r>
      <w:r w:rsidR="00552489">
        <w:t>.</w:t>
      </w:r>
      <w:r w:rsidR="00EE4FC3">
        <w:t xml:space="preserve">  </w:t>
      </w:r>
      <w:r w:rsidRPr="00382917">
        <w:t>The</w:t>
      </w:r>
      <w:r w:rsidR="00EE4FC3">
        <w:t xml:space="preserve"> </w:t>
      </w:r>
      <w:r w:rsidRPr="00382917">
        <w:t>words</w:t>
      </w:r>
      <w:r w:rsidR="00EE4FC3">
        <w:t xml:space="preserve"> </w:t>
      </w:r>
      <w:r w:rsidRPr="00382917">
        <w:t>came</w:t>
      </w:r>
      <w:r w:rsidR="00EE4FC3">
        <w:t xml:space="preserve"> </w:t>
      </w:r>
      <w:r w:rsidRPr="00382917">
        <w:t>to</w:t>
      </w:r>
      <w:r w:rsidR="00EE4FC3">
        <w:t xml:space="preserve"> </w:t>
      </w:r>
      <w:r w:rsidRPr="00382917">
        <w:t>him</w:t>
      </w:r>
      <w:r w:rsidR="00EE4FC3">
        <w:t xml:space="preserve"> </w:t>
      </w:r>
      <w:r w:rsidRPr="00382917">
        <w:t>in</w:t>
      </w:r>
      <w:r w:rsidR="00EE4FC3">
        <w:t xml:space="preserve"> </w:t>
      </w:r>
      <w:r w:rsidRPr="00382917">
        <w:t>a</w:t>
      </w:r>
      <w:r w:rsidR="00EE4FC3">
        <w:t xml:space="preserve"> </w:t>
      </w:r>
      <w:r w:rsidRPr="00382917">
        <w:t>vision.</w:t>
      </w:r>
    </w:p>
    <w:p w:rsidR="00300E83" w:rsidRPr="00382917" w:rsidRDefault="009C713D" w:rsidP="004E66A1">
      <w:pPr>
        <w:pStyle w:val="Quote"/>
      </w:pPr>
      <w:r w:rsidRPr="00382917">
        <w:t>“</w:t>
      </w:r>
      <w:r w:rsidR="00300E83" w:rsidRPr="00382917">
        <w:t>But</w:t>
      </w:r>
      <w:r w:rsidR="00EE4FC3">
        <w:t xml:space="preserve"> </w:t>
      </w:r>
      <w:r w:rsidR="00300E83" w:rsidRPr="00382917">
        <w:t>thou,</w:t>
      </w:r>
      <w:r w:rsidR="00EE4FC3">
        <w:t xml:space="preserve"> </w:t>
      </w:r>
      <w:r w:rsidR="00300E83" w:rsidRPr="00382917">
        <w:t>O</w:t>
      </w:r>
      <w:r w:rsidR="00EE4FC3">
        <w:t xml:space="preserve"> </w:t>
      </w:r>
      <w:r w:rsidR="00300E83" w:rsidRPr="00382917">
        <w:t>Daniel,</w:t>
      </w:r>
      <w:r w:rsidR="00EE4FC3">
        <w:t xml:space="preserve"> </w:t>
      </w:r>
      <w:r w:rsidR="00300E83" w:rsidRPr="00382917">
        <w:t>shut</w:t>
      </w:r>
      <w:r w:rsidR="00EE4FC3">
        <w:t xml:space="preserve"> </w:t>
      </w:r>
      <w:r w:rsidR="00300E83" w:rsidRPr="00382917">
        <w:t>up</w:t>
      </w:r>
      <w:r w:rsidR="00EE4FC3">
        <w:t xml:space="preserve"> </w:t>
      </w:r>
      <w:r w:rsidR="00300E83" w:rsidRPr="00382917">
        <w:t>the</w:t>
      </w:r>
      <w:r w:rsidR="00EE4FC3">
        <w:t xml:space="preserve"> </w:t>
      </w:r>
      <w:r w:rsidR="00300E83" w:rsidRPr="00382917">
        <w:t>words</w:t>
      </w:r>
      <w:r w:rsidR="00EE4FC3">
        <w:t xml:space="preserve"> </w:t>
      </w:r>
      <w:r w:rsidR="00300E83" w:rsidRPr="00382917">
        <w:t>and</w:t>
      </w:r>
      <w:r w:rsidR="00EE4FC3">
        <w:t xml:space="preserve"> </w:t>
      </w:r>
      <w:r w:rsidR="00300E83" w:rsidRPr="00382917">
        <w:t>seal</w:t>
      </w:r>
      <w:r w:rsidR="00EE4FC3">
        <w:t xml:space="preserve"> </w:t>
      </w:r>
      <w:r w:rsidR="00300E83" w:rsidRPr="00382917">
        <w:t>the</w:t>
      </w:r>
      <w:r w:rsidR="00EE4FC3">
        <w:t xml:space="preserve"> </w:t>
      </w:r>
      <w:r w:rsidR="00300E83" w:rsidRPr="00382917">
        <w:t>book,</w:t>
      </w:r>
      <w:r w:rsidR="00EE4FC3">
        <w:t xml:space="preserve"> </w:t>
      </w:r>
      <w:r w:rsidR="00300E83" w:rsidRPr="00382917">
        <w:t>even</w:t>
      </w:r>
      <w:r w:rsidR="00EE4FC3">
        <w:t xml:space="preserve"> </w:t>
      </w:r>
      <w:r w:rsidR="00300E83" w:rsidRPr="00382917">
        <w:t>to</w:t>
      </w:r>
      <w:r w:rsidR="00EE4FC3">
        <w:t xml:space="preserve"> </w:t>
      </w:r>
      <w:r w:rsidR="00300E83" w:rsidRPr="00382917">
        <w:t>the</w:t>
      </w:r>
      <w:r w:rsidR="00EE4FC3">
        <w:t xml:space="preserve"> </w:t>
      </w:r>
      <w:r w:rsidR="00300E83" w:rsidRPr="00382917">
        <w:t>time</w:t>
      </w:r>
      <w:r w:rsidR="00EE4FC3">
        <w:t xml:space="preserve"> </w:t>
      </w:r>
      <w:r w:rsidR="00300E83" w:rsidRPr="00382917">
        <w:t>of</w:t>
      </w:r>
      <w:r w:rsidR="00EE4FC3">
        <w:t xml:space="preserve"> </w:t>
      </w:r>
      <w:r w:rsidR="00300E83" w:rsidRPr="00382917">
        <w:t>the</w:t>
      </w:r>
      <w:r w:rsidR="00EE4FC3">
        <w:t xml:space="preserve"> </w:t>
      </w:r>
      <w:r w:rsidR="00300E83" w:rsidRPr="00382917">
        <w:t>end.</w:t>
      </w:r>
      <w:r w:rsidRPr="00382917">
        <w:t>”</w:t>
      </w:r>
    </w:p>
    <w:p w:rsidR="00300E83" w:rsidRPr="00382917" w:rsidRDefault="00300E83" w:rsidP="00300E83">
      <w:pPr>
        <w:pStyle w:val="Text"/>
      </w:pPr>
      <w:r w:rsidRPr="00382917">
        <w:t>Daniel,</w:t>
      </w:r>
      <w:r w:rsidR="00EE4FC3">
        <w:t xml:space="preserve"> </w:t>
      </w:r>
      <w:r w:rsidRPr="00382917">
        <w:t>still</w:t>
      </w:r>
      <w:r w:rsidR="00EE4FC3">
        <w:t xml:space="preserve"> </w:t>
      </w:r>
      <w:r w:rsidRPr="00382917">
        <w:t>not</w:t>
      </w:r>
      <w:r w:rsidR="00EE4FC3">
        <w:t xml:space="preserve"> </w:t>
      </w:r>
      <w:r w:rsidRPr="00382917">
        <w:t>satisfied,</w:t>
      </w:r>
      <w:r w:rsidR="00EE4FC3">
        <w:t xml:space="preserve"> </w:t>
      </w:r>
      <w:r w:rsidRPr="00382917">
        <w:t>pressed</w:t>
      </w:r>
      <w:r w:rsidR="00EE4FC3">
        <w:t xml:space="preserve"> </w:t>
      </w:r>
      <w:r w:rsidRPr="00382917">
        <w:t>for</w:t>
      </w:r>
      <w:r w:rsidR="00EE4FC3">
        <w:t xml:space="preserve"> </w:t>
      </w:r>
      <w:r w:rsidRPr="00382917">
        <w:t>an</w:t>
      </w:r>
      <w:r w:rsidR="00EE4FC3">
        <w:t xml:space="preserve"> </w:t>
      </w:r>
      <w:r w:rsidRPr="00382917">
        <w:t>answer</w:t>
      </w:r>
      <w:r w:rsidR="00EE4FC3">
        <w:t xml:space="preserve"> </w:t>
      </w:r>
      <w:r w:rsidRPr="00382917">
        <w:t>to</w:t>
      </w:r>
      <w:r w:rsidR="00EE4FC3">
        <w:t xml:space="preserve"> </w:t>
      </w:r>
      <w:r w:rsidRPr="00382917">
        <w:t>the</w:t>
      </w:r>
      <w:r w:rsidR="00EE4FC3">
        <w:t xml:space="preserve"> </w:t>
      </w:r>
      <w:r w:rsidRPr="00382917">
        <w:t>meaning</w:t>
      </w:r>
      <w:r w:rsidR="00EE4FC3">
        <w:t xml:space="preserve"> </w:t>
      </w:r>
      <w:r w:rsidRPr="00382917">
        <w:t>of</w:t>
      </w:r>
      <w:r w:rsidR="00EE4FC3">
        <w:t xml:space="preserve"> </w:t>
      </w:r>
      <w:r w:rsidRPr="00382917">
        <w:t>his</w:t>
      </w:r>
      <w:r w:rsidR="00EE4FC3">
        <w:t xml:space="preserve"> </w:t>
      </w:r>
      <w:r w:rsidRPr="00382917">
        <w:t>visions:</w:t>
      </w:r>
    </w:p>
    <w:p w:rsidR="00300E83" w:rsidRPr="00382917" w:rsidRDefault="009C713D" w:rsidP="004E66A1">
      <w:pPr>
        <w:pStyle w:val="Quote"/>
      </w:pPr>
      <w:r w:rsidRPr="00382917">
        <w:t>“</w:t>
      </w:r>
      <w:r w:rsidR="00300E83" w:rsidRPr="00382917">
        <w:t>Then</w:t>
      </w:r>
      <w:r w:rsidR="00EE4FC3">
        <w:t xml:space="preserve"> </w:t>
      </w:r>
      <w:r w:rsidR="00300E83" w:rsidRPr="00382917">
        <w:t>said</w:t>
      </w:r>
      <w:r w:rsidR="00EE4FC3">
        <w:t xml:space="preserve"> </w:t>
      </w:r>
      <w:r w:rsidR="00300E83" w:rsidRPr="00382917">
        <w:t>I,</w:t>
      </w:r>
      <w:r w:rsidR="00EE4FC3">
        <w:t xml:space="preserve"> </w:t>
      </w:r>
      <w:r w:rsidR="00300E83" w:rsidRPr="00382917">
        <w:t>0</w:t>
      </w:r>
      <w:r w:rsidR="00EE4FC3">
        <w:t xml:space="preserve"> </w:t>
      </w:r>
      <w:r w:rsidR="00300E83" w:rsidRPr="00382917">
        <w:t>my</w:t>
      </w:r>
      <w:r w:rsidR="00EE4FC3">
        <w:t xml:space="preserve"> </w:t>
      </w:r>
      <w:r w:rsidR="00300E83" w:rsidRPr="00382917">
        <w:t>Lord,</w:t>
      </w:r>
      <w:r w:rsidR="00EE4FC3">
        <w:t xml:space="preserve"> </w:t>
      </w:r>
      <w:r w:rsidR="00300E83" w:rsidRPr="00382917">
        <w:t>what</w:t>
      </w:r>
      <w:r w:rsidR="00EE4FC3">
        <w:t xml:space="preserve"> </w:t>
      </w:r>
      <w:r w:rsidR="00300E83" w:rsidRPr="00382917">
        <w:t>shall</w:t>
      </w:r>
      <w:r w:rsidR="00EE4FC3">
        <w:t xml:space="preserve"> </w:t>
      </w:r>
      <w:r w:rsidR="00300E83" w:rsidRPr="00382917">
        <w:t>be</w:t>
      </w:r>
      <w:r w:rsidR="00EE4FC3">
        <w:t xml:space="preserve"> </w:t>
      </w:r>
      <w:r w:rsidR="00300E83" w:rsidRPr="00382917">
        <w:t>the</w:t>
      </w:r>
      <w:r w:rsidR="00EE4FC3">
        <w:t xml:space="preserve"> </w:t>
      </w:r>
      <w:r w:rsidR="00300E83" w:rsidRPr="00382917">
        <w:t>end</w:t>
      </w:r>
      <w:r w:rsidR="00EE4FC3">
        <w:t xml:space="preserve"> </w:t>
      </w:r>
      <w:r w:rsidR="00300E83" w:rsidRPr="00382917">
        <w:t>of</w:t>
      </w:r>
      <w:r w:rsidR="00EE4FC3">
        <w:t xml:space="preserve"> </w:t>
      </w:r>
      <w:r w:rsidR="00300E83" w:rsidRPr="00382917">
        <w:t>these</w:t>
      </w:r>
      <w:r w:rsidR="00EE4FC3">
        <w:t xml:space="preserve"> </w:t>
      </w:r>
      <w:r w:rsidR="00300E83" w:rsidRPr="00382917">
        <w:t>things</w:t>
      </w:r>
      <w:r w:rsidR="003C712C">
        <w:t xml:space="preserve">?  </w:t>
      </w:r>
      <w:r w:rsidR="00300E83" w:rsidRPr="00382917">
        <w:t>And</w:t>
      </w:r>
      <w:r w:rsidR="00EE4FC3">
        <w:t xml:space="preserve"> </w:t>
      </w:r>
      <w:r w:rsidR="00300E83" w:rsidRPr="00382917">
        <w:t>He</w:t>
      </w:r>
      <w:r w:rsidR="00EE4FC3">
        <w:t xml:space="preserve"> </w:t>
      </w:r>
      <w:r w:rsidR="00300E83" w:rsidRPr="00382917">
        <w:t>said,</w:t>
      </w:r>
      <w:r w:rsidR="00EE4FC3">
        <w:t xml:space="preserve"> </w:t>
      </w:r>
      <w:r w:rsidR="00300E83" w:rsidRPr="00382917">
        <w:t>Go</w:t>
      </w:r>
      <w:r w:rsidR="00EE4FC3">
        <w:t xml:space="preserve"> </w:t>
      </w:r>
      <w:r w:rsidR="00300E83" w:rsidRPr="00382917">
        <w:t>thy</w:t>
      </w:r>
      <w:r w:rsidR="00EE4FC3">
        <w:t xml:space="preserve"> </w:t>
      </w:r>
      <w:r w:rsidR="00300E83" w:rsidRPr="00382917">
        <w:t>way,</w:t>
      </w:r>
      <w:r w:rsidR="00EE4FC3">
        <w:t xml:space="preserve"> </w:t>
      </w:r>
      <w:r w:rsidR="00300E83" w:rsidRPr="00382917">
        <w:t>Daniel;</w:t>
      </w:r>
      <w:r w:rsidR="00EE4FC3">
        <w:t xml:space="preserve"> </w:t>
      </w:r>
      <w:r w:rsidR="00300E83" w:rsidRPr="00382917">
        <w:t>for</w:t>
      </w:r>
      <w:r w:rsidR="00EE4FC3">
        <w:t xml:space="preserve"> </w:t>
      </w:r>
      <w:r w:rsidR="00300E83" w:rsidRPr="00382917">
        <w:t>the</w:t>
      </w:r>
      <w:r w:rsidR="00EE4FC3">
        <w:t xml:space="preserve"> </w:t>
      </w:r>
      <w:r w:rsidR="00300E83" w:rsidRPr="00382917">
        <w:t>words</w:t>
      </w:r>
      <w:r w:rsidR="00EE4FC3">
        <w:t xml:space="preserve"> </w:t>
      </w:r>
      <w:r w:rsidR="00300E83" w:rsidRPr="00382917">
        <w:t>are</w:t>
      </w:r>
      <w:r w:rsidR="00EE4FC3">
        <w:t xml:space="preserve"> </w:t>
      </w:r>
      <w:r w:rsidR="00300E83" w:rsidRPr="00382917">
        <w:t>closed</w:t>
      </w:r>
      <w:r w:rsidR="00EE4FC3">
        <w:t xml:space="preserve"> </w:t>
      </w:r>
      <w:r w:rsidR="00300E83" w:rsidRPr="00382917">
        <w:t>up</w:t>
      </w:r>
      <w:r w:rsidR="00EE4FC3">
        <w:t xml:space="preserve"> </w:t>
      </w:r>
      <w:r w:rsidR="00300E83" w:rsidRPr="00382917">
        <w:t>and</w:t>
      </w:r>
      <w:r w:rsidR="00EE4FC3">
        <w:t xml:space="preserve"> </w:t>
      </w:r>
      <w:r w:rsidR="00300E83" w:rsidRPr="00382917">
        <w:t>sealed</w:t>
      </w:r>
      <w:r w:rsidR="00EE4FC3">
        <w:t xml:space="preserve"> </w:t>
      </w:r>
      <w:r w:rsidR="00300E83" w:rsidRPr="00382917">
        <w:t>till</w:t>
      </w:r>
      <w:r w:rsidR="00EE4FC3">
        <w:t xml:space="preserve"> </w:t>
      </w:r>
      <w:r w:rsidR="00300E83" w:rsidRPr="00382917">
        <w:t>the</w:t>
      </w:r>
      <w:r w:rsidR="00EE4FC3">
        <w:t xml:space="preserve"> </w:t>
      </w:r>
      <w:r w:rsidR="00300E83" w:rsidRPr="00382917">
        <w:t>time</w:t>
      </w:r>
      <w:r w:rsidR="00EE4FC3">
        <w:t xml:space="preserve"> </w:t>
      </w:r>
      <w:r w:rsidR="00300E83" w:rsidRPr="00382917">
        <w:t>of</w:t>
      </w:r>
      <w:r w:rsidR="00EE4FC3">
        <w:t xml:space="preserve"> </w:t>
      </w:r>
      <w:r w:rsidR="00300E83" w:rsidRPr="00382917">
        <w:t>the</w:t>
      </w:r>
      <w:r w:rsidR="00EE4FC3">
        <w:t xml:space="preserve"> </w:t>
      </w:r>
      <w:r w:rsidR="00300E83" w:rsidRPr="00382917">
        <w:t>end.</w:t>
      </w:r>
      <w:r w:rsidRPr="00382917">
        <w:t>”</w:t>
      </w:r>
      <w:r w:rsidR="004E66A1">
        <w:rPr>
          <w:rStyle w:val="FootnoteReference"/>
        </w:rPr>
        <w:footnoteReference w:id="316"/>
      </w:r>
    </w:p>
    <w:p w:rsidR="00300E83" w:rsidRPr="00382917" w:rsidRDefault="00300E83" w:rsidP="004E66A1">
      <w:pPr>
        <w:pStyle w:val="Text"/>
      </w:pPr>
      <w:r w:rsidRPr="00382917">
        <w:t>This</w:t>
      </w:r>
      <w:r w:rsidR="00EE4FC3">
        <w:t xml:space="preserve"> </w:t>
      </w:r>
      <w:r w:rsidRPr="00382917">
        <w:t>much</w:t>
      </w:r>
      <w:r w:rsidR="00EE4FC3">
        <w:t xml:space="preserve"> </w:t>
      </w:r>
      <w:r w:rsidRPr="00382917">
        <w:t>was</w:t>
      </w:r>
      <w:r w:rsidR="00EE4FC3">
        <w:t xml:space="preserve"> </w:t>
      </w:r>
      <w:r w:rsidRPr="00382917">
        <w:t>clear</w:t>
      </w:r>
      <w:r w:rsidR="00552489">
        <w:t>.</w:t>
      </w:r>
      <w:r w:rsidR="00EE4FC3">
        <w:t xml:space="preserve">  </w:t>
      </w:r>
      <w:r w:rsidRPr="00382917">
        <w:t>No</w:t>
      </w:r>
      <w:r w:rsidR="00EE4FC3">
        <w:t xml:space="preserve"> </w:t>
      </w:r>
      <w:r w:rsidRPr="00382917">
        <w:t>one</w:t>
      </w:r>
      <w:r w:rsidR="00EE4FC3">
        <w:t xml:space="preserve"> </w:t>
      </w:r>
      <w:r w:rsidRPr="00382917">
        <w:t>would</w:t>
      </w:r>
      <w:r w:rsidR="00EE4FC3">
        <w:t xml:space="preserve"> </w:t>
      </w:r>
      <w:r w:rsidRPr="00382917">
        <w:t>be</w:t>
      </w:r>
      <w:r w:rsidR="00EE4FC3">
        <w:t xml:space="preserve"> </w:t>
      </w:r>
      <w:r w:rsidRPr="00382917">
        <w:t>able</w:t>
      </w:r>
      <w:r w:rsidR="00EE4FC3">
        <w:t xml:space="preserve"> </w:t>
      </w:r>
      <w:r w:rsidRPr="00382917">
        <w:t>to</w:t>
      </w:r>
      <w:r w:rsidR="00EE4FC3">
        <w:t xml:space="preserve"> </w:t>
      </w:r>
      <w:r w:rsidRPr="00382917">
        <w:t>discover</w:t>
      </w:r>
      <w:r w:rsidR="00EE4FC3">
        <w:t xml:space="preserve"> </w:t>
      </w:r>
      <w:r w:rsidRPr="00382917">
        <w:t>the</w:t>
      </w:r>
      <w:r w:rsidR="00EE4FC3">
        <w:t xml:space="preserve"> </w:t>
      </w:r>
      <w:r w:rsidRPr="00382917">
        <w:t>mean-</w:t>
      </w:r>
    </w:p>
    <w:p w:rsidR="00300E83" w:rsidRPr="00382917" w:rsidRDefault="00300E83">
      <w:pPr>
        <w:widowControl/>
        <w:kinsoku/>
        <w:overflowPunct/>
        <w:textAlignment w:val="auto"/>
      </w:pPr>
      <w:r w:rsidRPr="00382917">
        <w:br w:type="page"/>
      </w:r>
    </w:p>
    <w:p w:rsidR="00300E83" w:rsidRPr="00382917" w:rsidRDefault="00300E83" w:rsidP="00300E83">
      <w:pPr>
        <w:pStyle w:val="Textcts"/>
      </w:pPr>
      <w:proofErr w:type="spellStart"/>
      <w:proofErr w:type="gramStart"/>
      <w:r w:rsidRPr="00382917">
        <w:t>ing</w:t>
      </w:r>
      <w:proofErr w:type="spellEnd"/>
      <w:proofErr w:type="gramEnd"/>
      <w:r w:rsidR="00EE4FC3">
        <w:t xml:space="preserve"> </w:t>
      </w:r>
      <w:r w:rsidRPr="00382917">
        <w:t>of</w:t>
      </w:r>
      <w:r w:rsidR="00EE4FC3">
        <w:t xml:space="preserve"> </w:t>
      </w:r>
      <w:r w:rsidRPr="00382917">
        <w:t>the</w:t>
      </w:r>
      <w:r w:rsidR="00EE4FC3">
        <w:t xml:space="preserve"> </w:t>
      </w:r>
      <w:r w:rsidRPr="00382917">
        <w:t>words</w:t>
      </w:r>
      <w:r w:rsidR="00EE4FC3">
        <w:t xml:space="preserve"> </w:t>
      </w:r>
      <w:r w:rsidRPr="00382917">
        <w:t>until</w:t>
      </w:r>
      <w:r w:rsidR="00EE4FC3">
        <w:t xml:space="preserve"> </w:t>
      </w:r>
      <w:r w:rsidRPr="00382917">
        <w:t>after</w:t>
      </w:r>
      <w:r w:rsidR="00EE4FC3">
        <w:t xml:space="preserve"> </w:t>
      </w:r>
      <w:r w:rsidRPr="00382917">
        <w:t>the</w:t>
      </w:r>
      <w:r w:rsidR="00EE4FC3">
        <w:t xml:space="preserve"> </w:t>
      </w:r>
      <w:r w:rsidRPr="00382917">
        <w:t>return</w:t>
      </w:r>
      <w:r w:rsidR="00EE4FC3">
        <w:t xml:space="preserve"> </w:t>
      </w:r>
      <w:r w:rsidRPr="00382917">
        <w:t>of</w:t>
      </w:r>
      <w:r w:rsidR="00EE4FC3">
        <w:t xml:space="preserve"> </w:t>
      </w:r>
      <w:r w:rsidRPr="00382917">
        <w:t>the</w:t>
      </w:r>
      <w:r w:rsidR="00EE4FC3">
        <w:t xml:space="preserve"> </w:t>
      </w:r>
      <w:r w:rsidRPr="00382917">
        <w:t>Spirit</w:t>
      </w:r>
      <w:r w:rsidR="00EE4FC3">
        <w:t xml:space="preserve"> </w:t>
      </w:r>
      <w:r w:rsidRPr="00382917">
        <w:t>of</w:t>
      </w:r>
      <w:r w:rsidR="00EE4FC3">
        <w:t xml:space="preserve"> </w:t>
      </w:r>
      <w:r w:rsidRPr="00382917">
        <w:t>Christ</w:t>
      </w:r>
      <w:r w:rsidR="00EE4FC3">
        <w:t xml:space="preserve"> </w:t>
      </w:r>
      <w:r w:rsidRPr="00382917">
        <w:t>in</w:t>
      </w:r>
      <w:r w:rsidR="00EE4FC3">
        <w:t xml:space="preserve"> </w:t>
      </w:r>
      <w:r w:rsidRPr="00382917">
        <w:t>the</w:t>
      </w:r>
      <w:r w:rsidR="00EE4FC3">
        <w:t xml:space="preserve"> </w:t>
      </w:r>
      <w:r w:rsidRPr="00382917">
        <w:t>new</w:t>
      </w:r>
      <w:r w:rsidR="00EE4FC3">
        <w:t xml:space="preserve"> </w:t>
      </w:r>
      <w:r w:rsidRPr="00382917">
        <w:t>Messiah</w:t>
      </w:r>
      <w:r w:rsidR="00EE4FC3">
        <w:t xml:space="preserve"> </w:t>
      </w:r>
      <w:r w:rsidRPr="00382917">
        <w:t>in</w:t>
      </w:r>
      <w:r w:rsidR="00EE4FC3">
        <w:t xml:space="preserve"> </w:t>
      </w:r>
      <w:r w:rsidRPr="00382917">
        <w:t>the</w:t>
      </w:r>
      <w:r w:rsidR="00EE4FC3">
        <w:t xml:space="preserve"> </w:t>
      </w:r>
      <w:r w:rsidRPr="00382917">
        <w:t>last</w:t>
      </w:r>
      <w:r w:rsidR="00EE4FC3">
        <w:t xml:space="preserve"> </w:t>
      </w:r>
      <w:r w:rsidRPr="00382917">
        <w:t>days</w:t>
      </w:r>
      <w:r w:rsidR="00552489">
        <w:t>.</w:t>
      </w:r>
      <w:r w:rsidR="00EE4FC3">
        <w:t xml:space="preserve">  </w:t>
      </w:r>
      <w:r w:rsidRPr="00382917">
        <w:t>Isaiah</w:t>
      </w:r>
      <w:r w:rsidR="00EE4FC3">
        <w:t xml:space="preserve"> </w:t>
      </w:r>
      <w:r w:rsidRPr="00382917">
        <w:t>reinforces</w:t>
      </w:r>
      <w:r w:rsidR="00EE4FC3">
        <w:t xml:space="preserve"> </w:t>
      </w:r>
      <w:r w:rsidRPr="00382917">
        <w:t>this</w:t>
      </w:r>
      <w:r w:rsidR="00EE4FC3">
        <w:t xml:space="preserve"> </w:t>
      </w:r>
      <w:r w:rsidRPr="00382917">
        <w:t>truth:</w:t>
      </w:r>
    </w:p>
    <w:p w:rsidR="00300E83" w:rsidRPr="00382917" w:rsidRDefault="009C713D" w:rsidP="004E66A1">
      <w:pPr>
        <w:pStyle w:val="Quote"/>
      </w:pPr>
      <w:r w:rsidRPr="00382917">
        <w:t>“</w:t>
      </w:r>
      <w:r w:rsidR="00300E83" w:rsidRPr="00382917">
        <w:t>And</w:t>
      </w:r>
      <w:r w:rsidR="00EE4FC3">
        <w:t xml:space="preserve"> </w:t>
      </w:r>
      <w:r w:rsidR="00300E83" w:rsidRPr="00382917">
        <w:t>the</w:t>
      </w:r>
      <w:r w:rsidR="00EE4FC3">
        <w:t xml:space="preserve"> </w:t>
      </w:r>
      <w:r w:rsidR="00300E83" w:rsidRPr="00382917">
        <w:t>vision</w:t>
      </w:r>
      <w:r w:rsidR="00EE4FC3">
        <w:t xml:space="preserve"> </w:t>
      </w:r>
      <w:r w:rsidR="00300E83" w:rsidRPr="00382917">
        <w:t>of</w:t>
      </w:r>
      <w:r w:rsidR="00EE4FC3">
        <w:t xml:space="preserve"> </w:t>
      </w:r>
      <w:r w:rsidR="00300E83" w:rsidRPr="00382917">
        <w:t>all</w:t>
      </w:r>
      <w:r w:rsidR="00EE4FC3">
        <w:t xml:space="preserve"> </w:t>
      </w:r>
      <w:r w:rsidR="00300E83" w:rsidRPr="00382917">
        <w:t>is</w:t>
      </w:r>
      <w:r w:rsidR="00EE4FC3">
        <w:t xml:space="preserve"> </w:t>
      </w:r>
      <w:r w:rsidR="00300E83" w:rsidRPr="00382917">
        <w:t>become</w:t>
      </w:r>
      <w:r w:rsidR="00EE4FC3">
        <w:t xml:space="preserve"> </w:t>
      </w:r>
      <w:r w:rsidR="00300E83" w:rsidRPr="00382917">
        <w:t>unto</w:t>
      </w:r>
      <w:r w:rsidR="00EE4FC3">
        <w:t xml:space="preserve"> </w:t>
      </w:r>
      <w:r w:rsidR="00300E83" w:rsidRPr="00382917">
        <w:t>you</w:t>
      </w:r>
      <w:r w:rsidR="00EE4FC3">
        <w:t xml:space="preserve"> </w:t>
      </w:r>
      <w:r w:rsidR="00300E83" w:rsidRPr="00382917">
        <w:t>as</w:t>
      </w:r>
      <w:r w:rsidR="00EE4FC3">
        <w:t xml:space="preserve"> </w:t>
      </w:r>
      <w:r w:rsidR="00300E83" w:rsidRPr="00382917">
        <w:t>the</w:t>
      </w:r>
      <w:r w:rsidR="00EE4FC3">
        <w:t xml:space="preserve"> </w:t>
      </w:r>
      <w:r w:rsidR="00300E83" w:rsidRPr="00382917">
        <w:t>words</w:t>
      </w:r>
      <w:r w:rsidR="00EE4FC3">
        <w:t xml:space="preserve"> </w:t>
      </w:r>
      <w:r w:rsidR="00300E83" w:rsidRPr="00382917">
        <w:t>of</w:t>
      </w:r>
      <w:r w:rsidR="00EE4FC3">
        <w:t xml:space="preserve"> </w:t>
      </w:r>
      <w:r w:rsidR="00300E83" w:rsidRPr="00382917">
        <w:t>the</w:t>
      </w:r>
      <w:r w:rsidR="00EE4FC3">
        <w:t xml:space="preserve"> </w:t>
      </w:r>
      <w:r w:rsidR="00300E83" w:rsidRPr="00382917">
        <w:t>book</w:t>
      </w:r>
      <w:r w:rsidR="00EE4FC3">
        <w:t xml:space="preserve"> </w:t>
      </w:r>
      <w:r w:rsidR="00300E83" w:rsidRPr="00382917">
        <w:t>that</w:t>
      </w:r>
      <w:r w:rsidR="00EE4FC3">
        <w:t xml:space="preserve"> </w:t>
      </w:r>
      <w:r w:rsidR="00300E83" w:rsidRPr="00382917">
        <w:t>is</w:t>
      </w:r>
      <w:r w:rsidR="00EE4FC3">
        <w:t xml:space="preserve"> </w:t>
      </w:r>
      <w:r w:rsidR="00300E83" w:rsidRPr="00382917">
        <w:t>sealed,</w:t>
      </w:r>
      <w:r w:rsidR="00EE4FC3">
        <w:t xml:space="preserve"> </w:t>
      </w:r>
      <w:r w:rsidR="00300E83" w:rsidRPr="00382917">
        <w:t>which</w:t>
      </w:r>
      <w:r w:rsidR="00EE4FC3">
        <w:t xml:space="preserve"> </w:t>
      </w:r>
      <w:r w:rsidR="00300E83" w:rsidRPr="00382917">
        <w:t>men</w:t>
      </w:r>
      <w:r w:rsidR="00EE4FC3">
        <w:t xml:space="preserve"> </w:t>
      </w:r>
      <w:r w:rsidR="00300E83" w:rsidRPr="00382917">
        <w:t>deliver</w:t>
      </w:r>
      <w:r w:rsidR="00EE4FC3">
        <w:t xml:space="preserve"> </w:t>
      </w:r>
      <w:r w:rsidR="00300E83" w:rsidRPr="00382917">
        <w:t>to</w:t>
      </w:r>
      <w:r w:rsidR="00EE4FC3">
        <w:t xml:space="preserve"> </w:t>
      </w:r>
      <w:r w:rsidR="00300E83" w:rsidRPr="00382917">
        <w:t>one</w:t>
      </w:r>
      <w:r w:rsidR="00EE4FC3">
        <w:t xml:space="preserve"> </w:t>
      </w:r>
      <w:r w:rsidR="00300E83" w:rsidRPr="00382917">
        <w:t>who</w:t>
      </w:r>
      <w:r w:rsidR="00EE4FC3">
        <w:t xml:space="preserve"> </w:t>
      </w:r>
      <w:r w:rsidR="00300E83" w:rsidRPr="00382917">
        <w:t>is</w:t>
      </w:r>
      <w:r w:rsidR="00EE4FC3">
        <w:t xml:space="preserve"> </w:t>
      </w:r>
      <w:r w:rsidR="00300E83" w:rsidRPr="00382917">
        <w:t>learned,</w:t>
      </w:r>
      <w:r w:rsidR="00EE4FC3">
        <w:t xml:space="preserve"> </w:t>
      </w:r>
      <w:r w:rsidR="00300E83" w:rsidRPr="00382917">
        <w:t>saying,</w:t>
      </w:r>
      <w:r w:rsidR="00EE4FC3">
        <w:t xml:space="preserve"> </w:t>
      </w:r>
      <w:r w:rsidR="00300E83" w:rsidRPr="00382917">
        <w:t>read</w:t>
      </w:r>
      <w:r w:rsidR="00EE4FC3">
        <w:t xml:space="preserve"> </w:t>
      </w:r>
      <w:r w:rsidR="00300E83" w:rsidRPr="00382917">
        <w:t>this</w:t>
      </w:r>
      <w:r w:rsidR="00EE4FC3">
        <w:t xml:space="preserve"> </w:t>
      </w:r>
      <w:r w:rsidR="00300E83" w:rsidRPr="00382917">
        <w:t>I</w:t>
      </w:r>
      <w:r w:rsidR="00EE4FC3">
        <w:t xml:space="preserve"> </w:t>
      </w:r>
      <w:r w:rsidR="00300E83" w:rsidRPr="00382917">
        <w:t>pray</w:t>
      </w:r>
      <w:r w:rsidR="00EE4FC3">
        <w:t xml:space="preserve"> </w:t>
      </w:r>
      <w:r w:rsidR="00300E83" w:rsidRPr="00382917">
        <w:t>thee</w:t>
      </w:r>
      <w:r w:rsidR="00C03C91">
        <w:t>:</w:t>
      </w:r>
      <w:r w:rsidR="00EE4FC3">
        <w:t xml:space="preserve">  </w:t>
      </w:r>
      <w:r w:rsidR="00300E83" w:rsidRPr="00382917">
        <w:t>and</w:t>
      </w:r>
      <w:r w:rsidR="00EE4FC3">
        <w:t xml:space="preserve"> </w:t>
      </w:r>
      <w:r w:rsidR="00300E83" w:rsidRPr="00382917">
        <w:t>he</w:t>
      </w:r>
      <w:r w:rsidR="00EE4FC3">
        <w:t xml:space="preserve"> </w:t>
      </w:r>
      <w:proofErr w:type="spellStart"/>
      <w:r w:rsidR="00300E83" w:rsidRPr="00382917">
        <w:t>saith</w:t>
      </w:r>
      <w:proofErr w:type="spellEnd"/>
      <w:r w:rsidR="00300E83" w:rsidRPr="00382917">
        <w:t>,</w:t>
      </w:r>
      <w:r w:rsidR="00EE4FC3">
        <w:t xml:space="preserve"> </w:t>
      </w:r>
      <w:r w:rsidR="00300E83" w:rsidRPr="00382917">
        <w:t>I</w:t>
      </w:r>
      <w:r w:rsidR="00EE4FC3">
        <w:t xml:space="preserve"> </w:t>
      </w:r>
      <w:r w:rsidR="00300E83" w:rsidRPr="00382917">
        <w:t>cannot</w:t>
      </w:r>
      <w:r w:rsidR="00EE4FC3">
        <w:t xml:space="preserve"> </w:t>
      </w:r>
      <w:r w:rsidR="00300E83" w:rsidRPr="00382917">
        <w:t>for</w:t>
      </w:r>
      <w:r w:rsidR="00EE4FC3">
        <w:t xml:space="preserve"> </w:t>
      </w:r>
      <w:r w:rsidR="00300E83" w:rsidRPr="00382917">
        <w:t>it</w:t>
      </w:r>
      <w:r w:rsidR="00EE4FC3">
        <w:t xml:space="preserve"> </w:t>
      </w:r>
      <w:r w:rsidR="00300E83" w:rsidRPr="00382917">
        <w:t>is</w:t>
      </w:r>
      <w:r w:rsidR="00EE4FC3">
        <w:t xml:space="preserve"> </w:t>
      </w:r>
      <w:r w:rsidR="00300E83" w:rsidRPr="00382917">
        <w:t>sealed.</w:t>
      </w:r>
      <w:r w:rsidRPr="00382917">
        <w:t>”</w:t>
      </w:r>
      <w:r w:rsidR="004E66A1">
        <w:rPr>
          <w:rStyle w:val="FootnoteReference"/>
        </w:rPr>
        <w:footnoteReference w:id="317"/>
      </w:r>
    </w:p>
    <w:p w:rsidR="00300E83" w:rsidRPr="00382917" w:rsidRDefault="00300E83" w:rsidP="00300E83">
      <w:pPr>
        <w:pStyle w:val="Text"/>
      </w:pPr>
      <w:r w:rsidRPr="00382917">
        <w:t>These</w:t>
      </w:r>
      <w:r w:rsidR="00EE4FC3">
        <w:t xml:space="preserve"> </w:t>
      </w:r>
      <w:r w:rsidRPr="00382917">
        <w:t>seals</w:t>
      </w:r>
      <w:r w:rsidR="00EE4FC3">
        <w:t xml:space="preserve"> </w:t>
      </w:r>
      <w:r w:rsidRPr="00382917">
        <w:t>would</w:t>
      </w:r>
      <w:r w:rsidR="00EE4FC3">
        <w:t xml:space="preserve"> </w:t>
      </w:r>
      <w:r w:rsidRPr="00382917">
        <w:t>not</w:t>
      </w:r>
      <w:r w:rsidR="00EE4FC3">
        <w:t xml:space="preserve"> </w:t>
      </w:r>
      <w:r w:rsidRPr="00382917">
        <w:t>be</w:t>
      </w:r>
      <w:r w:rsidR="00EE4FC3">
        <w:t xml:space="preserve"> </w:t>
      </w:r>
      <w:r w:rsidRPr="00382917">
        <w:t>opened</w:t>
      </w:r>
      <w:r w:rsidR="00EE4FC3">
        <w:t xml:space="preserve"> </w:t>
      </w:r>
      <w:r w:rsidRPr="00382917">
        <w:t>by</w:t>
      </w:r>
      <w:r w:rsidR="00EE4FC3">
        <w:t xml:space="preserve"> </w:t>
      </w:r>
      <w:r w:rsidRPr="00382917">
        <w:t>Christ</w:t>
      </w:r>
      <w:r w:rsidR="00EE4FC3">
        <w:t xml:space="preserve"> </w:t>
      </w:r>
      <w:r w:rsidRPr="00382917">
        <w:t>in</w:t>
      </w:r>
      <w:r w:rsidR="00EE4FC3">
        <w:t xml:space="preserve"> </w:t>
      </w:r>
      <w:r w:rsidRPr="00382917">
        <w:t>His</w:t>
      </w:r>
      <w:r w:rsidR="00EE4FC3">
        <w:t xml:space="preserve"> </w:t>
      </w:r>
      <w:r w:rsidRPr="00382917">
        <w:t>first</w:t>
      </w:r>
      <w:r w:rsidR="00EE4FC3">
        <w:t xml:space="preserve"> </w:t>
      </w:r>
      <w:r w:rsidRPr="00382917">
        <w:t>coming,</w:t>
      </w:r>
      <w:r w:rsidR="00EE4FC3">
        <w:t xml:space="preserve"> </w:t>
      </w:r>
      <w:r w:rsidRPr="00382917">
        <w:t>but</w:t>
      </w:r>
      <w:r w:rsidR="00EE4FC3">
        <w:t xml:space="preserve"> </w:t>
      </w:r>
      <w:r w:rsidRPr="00382917">
        <w:t>only</w:t>
      </w:r>
      <w:r w:rsidR="00EE4FC3">
        <w:t xml:space="preserve"> </w:t>
      </w:r>
      <w:r w:rsidRPr="00382917">
        <w:t>in</w:t>
      </w:r>
      <w:r w:rsidR="00EE4FC3">
        <w:t xml:space="preserve"> </w:t>
      </w:r>
      <w:r w:rsidRPr="00382917">
        <w:t>His</w:t>
      </w:r>
      <w:r w:rsidR="00EE4FC3">
        <w:t xml:space="preserve"> </w:t>
      </w:r>
      <w:r w:rsidRPr="00382917">
        <w:t>second</w:t>
      </w:r>
      <w:r w:rsidR="00552489">
        <w:t>.</w:t>
      </w:r>
      <w:r w:rsidR="00EE4FC3">
        <w:t xml:space="preserve">  </w:t>
      </w:r>
      <w:r w:rsidRPr="00382917">
        <w:t>Leaders</w:t>
      </w:r>
      <w:r w:rsidR="00EE4FC3">
        <w:t xml:space="preserve"> </w:t>
      </w:r>
      <w:r w:rsidRPr="00382917">
        <w:t>of</w:t>
      </w:r>
      <w:r w:rsidR="00EE4FC3">
        <w:t xml:space="preserve"> </w:t>
      </w:r>
      <w:r w:rsidRPr="00382917">
        <w:t>the</w:t>
      </w:r>
      <w:r w:rsidR="00EE4FC3">
        <w:t xml:space="preserve"> </w:t>
      </w:r>
      <w:r w:rsidRPr="00382917">
        <w:t>early</w:t>
      </w:r>
      <w:r w:rsidR="00EE4FC3">
        <w:t xml:space="preserve"> </w:t>
      </w:r>
      <w:r w:rsidRPr="00382917">
        <w:t>Christians</w:t>
      </w:r>
      <w:r w:rsidR="00EE4FC3">
        <w:t xml:space="preserve"> </w:t>
      </w:r>
      <w:r w:rsidRPr="00382917">
        <w:t>understood</w:t>
      </w:r>
      <w:r w:rsidR="00EE4FC3">
        <w:t xml:space="preserve"> </w:t>
      </w:r>
      <w:r w:rsidRPr="00382917">
        <w:t>this:</w:t>
      </w:r>
    </w:p>
    <w:p w:rsidR="00300E83" w:rsidRPr="00382917" w:rsidRDefault="009C713D" w:rsidP="004D716D">
      <w:pPr>
        <w:pStyle w:val="Quote"/>
      </w:pPr>
      <w:r w:rsidRPr="00382917">
        <w:t>“</w:t>
      </w:r>
      <w:r w:rsidR="00300E83" w:rsidRPr="00382917">
        <w:t>Therefore</w:t>
      </w:r>
      <w:r w:rsidR="00EE4FC3">
        <w:t xml:space="preserve"> </w:t>
      </w:r>
      <w:r w:rsidR="00300E83" w:rsidRPr="00382917">
        <w:t>judge</w:t>
      </w:r>
      <w:r w:rsidR="00EE4FC3">
        <w:t xml:space="preserve"> </w:t>
      </w:r>
      <w:r w:rsidR="00300E83" w:rsidRPr="00382917">
        <w:t>nothing</w:t>
      </w:r>
      <w:r w:rsidR="00EE4FC3">
        <w:t xml:space="preserve"> </w:t>
      </w:r>
      <w:r w:rsidR="00300E83" w:rsidRPr="00382917">
        <w:t>before</w:t>
      </w:r>
      <w:r w:rsidR="00EE4FC3">
        <w:t xml:space="preserve"> </w:t>
      </w:r>
      <w:r w:rsidR="00300E83" w:rsidRPr="00382917">
        <w:t>the</w:t>
      </w:r>
      <w:r w:rsidR="00EE4FC3">
        <w:t xml:space="preserve"> </w:t>
      </w:r>
      <w:r w:rsidR="00300E83" w:rsidRPr="00382917">
        <w:t>time,</w:t>
      </w:r>
      <w:r w:rsidR="00EE4FC3">
        <w:t xml:space="preserve"> </w:t>
      </w:r>
      <w:r w:rsidR="00300E83" w:rsidRPr="00382917">
        <w:t>until</w:t>
      </w:r>
      <w:r w:rsidR="00EE4FC3">
        <w:t xml:space="preserve"> </w:t>
      </w:r>
      <w:r w:rsidR="00300E83" w:rsidRPr="00382917">
        <w:t>the</w:t>
      </w:r>
      <w:r w:rsidR="00EE4FC3">
        <w:t xml:space="preserve"> </w:t>
      </w:r>
      <w:r w:rsidR="00300E83" w:rsidRPr="00382917">
        <w:t>Lord</w:t>
      </w:r>
      <w:r w:rsidR="00EE4FC3">
        <w:t xml:space="preserve"> </w:t>
      </w:r>
      <w:r w:rsidR="00300E83" w:rsidRPr="00382917">
        <w:t>come,</w:t>
      </w:r>
      <w:r w:rsidR="00EE4FC3">
        <w:t xml:space="preserve"> </w:t>
      </w:r>
      <w:proofErr w:type="gramStart"/>
      <w:r w:rsidR="00300E83" w:rsidRPr="00382917">
        <w:t>who</w:t>
      </w:r>
      <w:proofErr w:type="gramEnd"/>
      <w:r w:rsidR="00EE4FC3">
        <w:t xml:space="preserve"> </w:t>
      </w:r>
      <w:r w:rsidR="00300E83" w:rsidRPr="00382917">
        <w:t>will</w:t>
      </w:r>
      <w:r w:rsidR="00EE4FC3">
        <w:t xml:space="preserve"> </w:t>
      </w:r>
      <w:r w:rsidR="00300E83" w:rsidRPr="00382917">
        <w:t>bring</w:t>
      </w:r>
      <w:r w:rsidR="00EE4FC3">
        <w:t xml:space="preserve"> </w:t>
      </w:r>
      <w:r w:rsidR="00300E83" w:rsidRPr="00382917">
        <w:t>to</w:t>
      </w:r>
      <w:r w:rsidR="00EE4FC3">
        <w:t xml:space="preserve"> </w:t>
      </w:r>
      <w:r w:rsidR="00300E83" w:rsidRPr="00382917">
        <w:t>light</w:t>
      </w:r>
      <w:r w:rsidR="00EE4FC3">
        <w:t xml:space="preserve"> </w:t>
      </w:r>
      <w:r w:rsidR="00300E83" w:rsidRPr="00382917">
        <w:t>the</w:t>
      </w:r>
      <w:r w:rsidR="00EE4FC3">
        <w:t xml:space="preserve"> </w:t>
      </w:r>
      <w:r w:rsidR="00300E83" w:rsidRPr="00382917">
        <w:t>hidden</w:t>
      </w:r>
      <w:r w:rsidR="00EE4FC3">
        <w:t xml:space="preserve"> </w:t>
      </w:r>
      <w:r w:rsidR="00300E83" w:rsidRPr="00382917">
        <w:t>things</w:t>
      </w:r>
      <w:r w:rsidR="00EE4FC3">
        <w:t xml:space="preserve"> </w:t>
      </w:r>
      <w:r w:rsidR="00300E83" w:rsidRPr="00382917">
        <w:t>of</w:t>
      </w:r>
      <w:r w:rsidR="00EE4FC3">
        <w:t xml:space="preserve"> </w:t>
      </w:r>
      <w:r w:rsidR="00300E83" w:rsidRPr="00382917">
        <w:t>darkness</w:t>
      </w:r>
      <w:r w:rsidR="004D716D">
        <w:t xml:space="preserve"> </w:t>
      </w:r>
      <w:r w:rsidR="00F04416" w:rsidRPr="00382917">
        <w:t>…</w:t>
      </w:r>
      <w:r w:rsidR="00300E83" w:rsidRPr="00382917">
        <w:t>.</w:t>
      </w:r>
      <w:r w:rsidRPr="00382917">
        <w:t>”</w:t>
      </w:r>
      <w:r w:rsidR="004D716D">
        <w:rPr>
          <w:rStyle w:val="FootnoteReference"/>
        </w:rPr>
        <w:footnoteReference w:id="318"/>
      </w:r>
    </w:p>
    <w:p w:rsidR="00300E83" w:rsidRPr="00382917" w:rsidRDefault="00300E83" w:rsidP="00300E83">
      <w:pPr>
        <w:pStyle w:val="Text"/>
      </w:pPr>
      <w:r w:rsidRPr="00382917">
        <w:t>The</w:t>
      </w:r>
      <w:r w:rsidR="00EE4FC3">
        <w:t xml:space="preserve"> </w:t>
      </w:r>
      <w:r w:rsidRPr="00382917">
        <w:t>Apostle</w:t>
      </w:r>
      <w:r w:rsidR="00EE4FC3">
        <w:t xml:space="preserve"> </w:t>
      </w:r>
      <w:r w:rsidRPr="00382917">
        <w:t>Peter</w:t>
      </w:r>
      <w:r w:rsidR="00EE4FC3">
        <w:t xml:space="preserve"> </w:t>
      </w:r>
      <w:r w:rsidRPr="00382917">
        <w:t>left</w:t>
      </w:r>
      <w:r w:rsidR="00EE4FC3">
        <w:t xml:space="preserve"> </w:t>
      </w:r>
      <w:r w:rsidRPr="00382917">
        <w:t>this</w:t>
      </w:r>
      <w:r w:rsidR="00EE4FC3">
        <w:t xml:space="preserve"> </w:t>
      </w:r>
      <w:r w:rsidRPr="00382917">
        <w:t>clear</w:t>
      </w:r>
      <w:r w:rsidR="00EE4FC3">
        <w:t xml:space="preserve"> </w:t>
      </w:r>
      <w:r w:rsidRPr="00382917">
        <w:t>warning</w:t>
      </w:r>
      <w:r w:rsidR="00EE4FC3">
        <w:t xml:space="preserve"> </w:t>
      </w:r>
      <w:r w:rsidRPr="00382917">
        <w:t>about</w:t>
      </w:r>
      <w:r w:rsidR="00EE4FC3">
        <w:t xml:space="preserve"> </w:t>
      </w:r>
      <w:r w:rsidRPr="00382917">
        <w:t>trying</w:t>
      </w:r>
      <w:r w:rsidR="00EE4FC3">
        <w:t xml:space="preserve"> </w:t>
      </w:r>
      <w:r w:rsidRPr="00382917">
        <w:t>to</w:t>
      </w:r>
      <w:r w:rsidR="00EE4FC3">
        <w:t xml:space="preserve"> </w:t>
      </w:r>
      <w:r w:rsidRPr="00382917">
        <w:t>interpret</w:t>
      </w:r>
      <w:r w:rsidR="00EE4FC3">
        <w:t xml:space="preserve"> </w:t>
      </w:r>
      <w:r w:rsidRPr="00382917">
        <w:t>the</w:t>
      </w:r>
      <w:r w:rsidR="00EE4FC3">
        <w:t xml:space="preserve"> </w:t>
      </w:r>
      <w:r w:rsidRPr="00382917">
        <w:t>prophecies</w:t>
      </w:r>
      <w:r w:rsidR="00EE4FC3">
        <w:t xml:space="preserve"> </w:t>
      </w:r>
      <w:r w:rsidRPr="00382917">
        <w:t>before</w:t>
      </w:r>
      <w:r w:rsidR="00EE4FC3">
        <w:t xml:space="preserve"> </w:t>
      </w:r>
      <w:r w:rsidRPr="00382917">
        <w:t>the</w:t>
      </w:r>
      <w:r w:rsidR="00EE4FC3">
        <w:t xml:space="preserve"> </w:t>
      </w:r>
      <w:r w:rsidRPr="00382917">
        <w:t>day</w:t>
      </w:r>
      <w:r w:rsidR="00EE4FC3">
        <w:t xml:space="preserve"> </w:t>
      </w:r>
      <w:r w:rsidRPr="00382917">
        <w:t>of</w:t>
      </w:r>
      <w:r w:rsidR="00EE4FC3">
        <w:t xml:space="preserve"> </w:t>
      </w:r>
      <w:r w:rsidRPr="00382917">
        <w:t>Christ</w:t>
      </w:r>
      <w:r w:rsidR="009C713D" w:rsidRPr="00382917">
        <w:t>’</w:t>
      </w:r>
      <w:r w:rsidRPr="00382917">
        <w:t>s</w:t>
      </w:r>
      <w:r w:rsidR="00EE4FC3">
        <w:t xml:space="preserve"> </w:t>
      </w:r>
      <w:r w:rsidRPr="00382917">
        <w:t>return:</w:t>
      </w:r>
    </w:p>
    <w:p w:rsidR="00300E83" w:rsidRPr="00382917" w:rsidRDefault="009C713D" w:rsidP="004D716D">
      <w:pPr>
        <w:pStyle w:val="Quote"/>
      </w:pPr>
      <w:r w:rsidRPr="00382917">
        <w:t>“</w:t>
      </w:r>
      <w:r w:rsidR="00300E83" w:rsidRPr="00382917">
        <w:t>We</w:t>
      </w:r>
      <w:r w:rsidR="00EE4FC3">
        <w:t xml:space="preserve"> </w:t>
      </w:r>
      <w:r w:rsidR="00300E83" w:rsidRPr="00382917">
        <w:t>have</w:t>
      </w:r>
      <w:r w:rsidR="00EE4FC3">
        <w:t xml:space="preserve"> </w:t>
      </w:r>
      <w:r w:rsidR="00300E83" w:rsidRPr="00382917">
        <w:t>also</w:t>
      </w:r>
      <w:r w:rsidR="00EE4FC3">
        <w:t xml:space="preserve"> </w:t>
      </w:r>
      <w:r w:rsidR="00300E83" w:rsidRPr="00382917">
        <w:t>a</w:t>
      </w:r>
      <w:r w:rsidR="00EE4FC3">
        <w:t xml:space="preserve"> </w:t>
      </w:r>
      <w:r w:rsidR="00300E83" w:rsidRPr="00382917">
        <w:t>more</w:t>
      </w:r>
      <w:r w:rsidR="00EE4FC3">
        <w:t xml:space="preserve"> </w:t>
      </w:r>
      <w:r w:rsidR="00300E83" w:rsidRPr="00382917">
        <w:t>sure</w:t>
      </w:r>
      <w:r w:rsidR="00EE4FC3">
        <w:t xml:space="preserve"> </w:t>
      </w:r>
      <w:r w:rsidR="00300E83" w:rsidRPr="00382917">
        <w:t>word</w:t>
      </w:r>
      <w:r w:rsidR="00EE4FC3">
        <w:t xml:space="preserve"> </w:t>
      </w:r>
      <w:r w:rsidR="00300E83" w:rsidRPr="00382917">
        <w:t>of</w:t>
      </w:r>
      <w:r w:rsidR="00EE4FC3">
        <w:t xml:space="preserve"> </w:t>
      </w:r>
      <w:r w:rsidR="00300E83" w:rsidRPr="00382917">
        <w:t>prophecy</w:t>
      </w:r>
      <w:r w:rsidR="00EE4FC3">
        <w:t xml:space="preserve"> </w:t>
      </w:r>
      <w:r w:rsidR="00F04416" w:rsidRPr="00382917">
        <w:t>…</w:t>
      </w:r>
      <w:r w:rsidR="00EE4FC3">
        <w:t xml:space="preserve"> </w:t>
      </w:r>
      <w:r w:rsidR="00300E83" w:rsidRPr="00382917">
        <w:t>that</w:t>
      </w:r>
      <w:r w:rsidR="00EE4FC3">
        <w:t xml:space="preserve"> </w:t>
      </w:r>
      <w:r w:rsidR="00300E83" w:rsidRPr="00382917">
        <w:t>no</w:t>
      </w:r>
      <w:r w:rsidR="00EE4FC3">
        <w:t xml:space="preserve"> </w:t>
      </w:r>
      <w:r w:rsidR="00300E83" w:rsidRPr="00382917">
        <w:t>prophecy</w:t>
      </w:r>
      <w:r w:rsidR="00EE4FC3">
        <w:t xml:space="preserve"> </w:t>
      </w:r>
      <w:r w:rsidR="00300E83" w:rsidRPr="00382917">
        <w:t>of</w:t>
      </w:r>
      <w:r w:rsidR="00EE4FC3">
        <w:t xml:space="preserve"> </w:t>
      </w:r>
      <w:r w:rsidR="00300E83" w:rsidRPr="00382917">
        <w:t>the</w:t>
      </w:r>
      <w:r w:rsidR="00EE4FC3">
        <w:t xml:space="preserve"> </w:t>
      </w:r>
      <w:r w:rsidR="00300E83" w:rsidRPr="00382917">
        <w:t>scripture</w:t>
      </w:r>
      <w:r w:rsidR="00EE4FC3">
        <w:t xml:space="preserve"> </w:t>
      </w:r>
      <w:r w:rsidR="00300E83" w:rsidRPr="00382917">
        <w:t>is</w:t>
      </w:r>
      <w:r w:rsidR="00EE4FC3">
        <w:t xml:space="preserve"> </w:t>
      </w:r>
      <w:r w:rsidR="00300E83" w:rsidRPr="00382917">
        <w:t>of</w:t>
      </w:r>
      <w:r w:rsidR="00EE4FC3">
        <w:t xml:space="preserve"> </w:t>
      </w:r>
      <w:r w:rsidR="00300E83" w:rsidRPr="00382917">
        <w:t>any</w:t>
      </w:r>
      <w:r w:rsidR="00EE4FC3">
        <w:t xml:space="preserve"> </w:t>
      </w:r>
      <w:r w:rsidR="00300E83" w:rsidRPr="00382917">
        <w:t>private</w:t>
      </w:r>
      <w:r w:rsidR="00EE4FC3">
        <w:t xml:space="preserve"> </w:t>
      </w:r>
      <w:r w:rsidR="00300E83" w:rsidRPr="00382917">
        <w:t>interpretation</w:t>
      </w:r>
      <w:r w:rsidR="00552489">
        <w:t>.</w:t>
      </w:r>
      <w:r w:rsidR="00EE4FC3">
        <w:t xml:space="preserve">  </w:t>
      </w:r>
      <w:r w:rsidR="00300E83" w:rsidRPr="00382917">
        <w:t>For</w:t>
      </w:r>
      <w:r w:rsidR="00EE4FC3">
        <w:t xml:space="preserve"> </w:t>
      </w:r>
      <w:r w:rsidR="00300E83" w:rsidRPr="00382917">
        <w:t>the</w:t>
      </w:r>
      <w:r w:rsidR="00EE4FC3">
        <w:t xml:space="preserve"> </w:t>
      </w:r>
      <w:r w:rsidR="00300E83" w:rsidRPr="00382917">
        <w:t>prophecy</w:t>
      </w:r>
      <w:r w:rsidR="00EE4FC3">
        <w:t xml:space="preserve"> </w:t>
      </w:r>
      <w:r w:rsidR="00300E83" w:rsidRPr="00382917">
        <w:t>came</w:t>
      </w:r>
      <w:r w:rsidR="00EE4FC3">
        <w:t xml:space="preserve"> </w:t>
      </w:r>
      <w:r w:rsidR="00300E83" w:rsidRPr="00382917">
        <w:t>not</w:t>
      </w:r>
      <w:r w:rsidR="00EE4FC3">
        <w:t xml:space="preserve"> </w:t>
      </w:r>
      <w:r w:rsidR="00300E83" w:rsidRPr="00382917">
        <w:t>in</w:t>
      </w:r>
      <w:r w:rsidR="00EE4FC3">
        <w:t xml:space="preserve"> </w:t>
      </w:r>
      <w:r w:rsidR="00300E83" w:rsidRPr="00382917">
        <w:t>old</w:t>
      </w:r>
      <w:r w:rsidR="00EE4FC3">
        <w:t xml:space="preserve"> </w:t>
      </w:r>
      <w:r w:rsidR="00300E83" w:rsidRPr="00382917">
        <w:t>time</w:t>
      </w:r>
      <w:r w:rsidR="00EE4FC3">
        <w:t xml:space="preserve"> </w:t>
      </w:r>
      <w:r w:rsidR="00300E83" w:rsidRPr="00382917">
        <w:t>by</w:t>
      </w:r>
      <w:r w:rsidR="00EE4FC3">
        <w:t xml:space="preserve"> </w:t>
      </w:r>
      <w:r w:rsidR="00300E83" w:rsidRPr="00382917">
        <w:t>the</w:t>
      </w:r>
      <w:r w:rsidR="00EE4FC3">
        <w:t xml:space="preserve"> </w:t>
      </w:r>
      <w:r w:rsidR="00300E83" w:rsidRPr="00382917">
        <w:t>will</w:t>
      </w:r>
      <w:r w:rsidR="00EE4FC3">
        <w:t xml:space="preserve"> </w:t>
      </w:r>
      <w:r w:rsidR="00300E83" w:rsidRPr="00382917">
        <w:t>of</w:t>
      </w:r>
      <w:r w:rsidR="00EE4FC3">
        <w:t xml:space="preserve"> </w:t>
      </w:r>
      <w:r w:rsidR="00300E83" w:rsidRPr="00382917">
        <w:t>man</w:t>
      </w:r>
      <w:r w:rsidR="00C03C91">
        <w:t>:</w:t>
      </w:r>
      <w:r w:rsidR="00EE4FC3">
        <w:t xml:space="preserve">  </w:t>
      </w:r>
      <w:r w:rsidR="00300E83" w:rsidRPr="00382917">
        <w:t>but</w:t>
      </w:r>
      <w:r w:rsidR="00EE4FC3">
        <w:t xml:space="preserve"> </w:t>
      </w:r>
      <w:r w:rsidR="00300E83" w:rsidRPr="00382917">
        <w:t>holy</w:t>
      </w:r>
      <w:r w:rsidR="00EE4FC3">
        <w:t xml:space="preserve"> </w:t>
      </w:r>
      <w:r w:rsidR="00300E83" w:rsidRPr="00382917">
        <w:t>men</w:t>
      </w:r>
      <w:r w:rsidR="00EE4FC3">
        <w:t xml:space="preserve"> </w:t>
      </w:r>
      <w:r w:rsidR="00300E83" w:rsidRPr="00382917">
        <w:t>of</w:t>
      </w:r>
      <w:r w:rsidR="00EE4FC3">
        <w:t xml:space="preserve"> </w:t>
      </w:r>
      <w:r w:rsidR="00300E83" w:rsidRPr="00382917">
        <w:t>God</w:t>
      </w:r>
      <w:r w:rsidR="00EE4FC3">
        <w:t xml:space="preserve"> </w:t>
      </w:r>
      <w:proofErr w:type="spellStart"/>
      <w:r w:rsidR="00300E83" w:rsidRPr="00382917">
        <w:t>spake</w:t>
      </w:r>
      <w:proofErr w:type="spellEnd"/>
      <w:r w:rsidR="00EE4FC3">
        <w:t xml:space="preserve"> </w:t>
      </w:r>
      <w:r w:rsidR="00300E83" w:rsidRPr="00382917">
        <w:t>as</w:t>
      </w:r>
      <w:r w:rsidR="00EE4FC3">
        <w:t xml:space="preserve"> </w:t>
      </w:r>
      <w:r w:rsidR="00300E83" w:rsidRPr="00382917">
        <w:t>they</w:t>
      </w:r>
      <w:r w:rsidR="00EE4FC3">
        <w:t xml:space="preserve"> </w:t>
      </w:r>
      <w:r w:rsidR="00300E83" w:rsidRPr="00382917">
        <w:t>were</w:t>
      </w:r>
      <w:r w:rsidR="00EE4FC3">
        <w:t xml:space="preserve"> </w:t>
      </w:r>
      <w:r w:rsidR="00300E83" w:rsidRPr="00382917">
        <w:t>moved</w:t>
      </w:r>
      <w:r w:rsidR="00EE4FC3">
        <w:t xml:space="preserve"> </w:t>
      </w:r>
      <w:r w:rsidR="00300E83" w:rsidRPr="00382917">
        <w:t>by</w:t>
      </w:r>
      <w:r w:rsidR="00EE4FC3">
        <w:t xml:space="preserve"> </w:t>
      </w:r>
      <w:r w:rsidR="00300E83" w:rsidRPr="00382917">
        <w:t>the</w:t>
      </w:r>
      <w:r w:rsidR="00EE4FC3">
        <w:t xml:space="preserve"> </w:t>
      </w:r>
      <w:r w:rsidR="00300E83" w:rsidRPr="00382917">
        <w:t>Holy</w:t>
      </w:r>
      <w:r w:rsidR="00EE4FC3">
        <w:t xml:space="preserve"> </w:t>
      </w:r>
      <w:r w:rsidR="00300E83" w:rsidRPr="00382917">
        <w:t>Ghost.</w:t>
      </w:r>
      <w:r w:rsidRPr="00382917">
        <w:t>”</w:t>
      </w:r>
      <w:r w:rsidR="004D716D">
        <w:rPr>
          <w:rStyle w:val="FootnoteReference"/>
        </w:rPr>
        <w:footnoteReference w:id="319"/>
      </w:r>
    </w:p>
    <w:p w:rsidR="00300E83" w:rsidRPr="00382917" w:rsidRDefault="00300E83" w:rsidP="004D716D">
      <w:pPr>
        <w:pStyle w:val="Text"/>
      </w:pPr>
      <w:r w:rsidRPr="00382917">
        <w:t>It</w:t>
      </w:r>
      <w:r w:rsidR="00EE4FC3">
        <w:t xml:space="preserve"> </w:t>
      </w:r>
      <w:r w:rsidRPr="00382917">
        <w:t>was</w:t>
      </w:r>
      <w:r w:rsidR="00EE4FC3">
        <w:t xml:space="preserve"> </w:t>
      </w:r>
      <w:r w:rsidRPr="00382917">
        <w:t>written</w:t>
      </w:r>
      <w:r w:rsidR="00EE4FC3">
        <w:t xml:space="preserve"> </w:t>
      </w:r>
      <w:r w:rsidRPr="00382917">
        <w:t>of</w:t>
      </w:r>
      <w:r w:rsidR="00EE4FC3">
        <w:t xml:space="preserve"> </w:t>
      </w:r>
      <w:r w:rsidRPr="00382917">
        <w:t>Bahá</w:t>
      </w:r>
      <w:r w:rsidR="009C713D" w:rsidRPr="00382917">
        <w:t>’</w:t>
      </w:r>
      <w:r w:rsidRPr="00382917">
        <w:t>u</w:t>
      </w:r>
      <w:r w:rsidR="009C713D" w:rsidRPr="00382917">
        <w:t>’</w:t>
      </w:r>
      <w:r w:rsidRPr="00382917">
        <w:t>lláh</w:t>
      </w:r>
      <w:r w:rsidR="00EE4FC3">
        <w:t xml:space="preserve"> </w:t>
      </w:r>
      <w:r w:rsidRPr="00382917">
        <w:t>early</w:t>
      </w:r>
      <w:r w:rsidR="00EE4FC3">
        <w:t xml:space="preserve"> </w:t>
      </w:r>
      <w:r w:rsidRPr="00382917">
        <w:t>in</w:t>
      </w:r>
      <w:r w:rsidR="00EE4FC3">
        <w:t xml:space="preserve"> </w:t>
      </w:r>
      <w:r w:rsidRPr="00382917">
        <w:t>this</w:t>
      </w:r>
      <w:r w:rsidR="00EE4FC3">
        <w:t xml:space="preserve"> </w:t>
      </w:r>
      <w:r w:rsidRPr="00382917">
        <w:t>century</w:t>
      </w:r>
      <w:r w:rsidR="00EE4FC3">
        <w:t xml:space="preserve"> </w:t>
      </w:r>
      <w:r w:rsidRPr="00382917">
        <w:t>that</w:t>
      </w:r>
      <w:r w:rsidR="00EE4FC3">
        <w:t xml:space="preserve"> </w:t>
      </w:r>
      <w:r w:rsidRPr="00382917">
        <w:t>His</w:t>
      </w:r>
      <w:r w:rsidR="00EE4FC3">
        <w:t xml:space="preserve"> </w:t>
      </w:r>
      <w:r w:rsidRPr="00382917">
        <w:t>teachings</w:t>
      </w:r>
      <w:r w:rsidR="00EE4FC3">
        <w:t xml:space="preserve"> </w:t>
      </w:r>
      <w:r w:rsidR="009C713D" w:rsidRPr="00382917">
        <w:t>“</w:t>
      </w:r>
      <w:r w:rsidRPr="00382917">
        <w:t>are</w:t>
      </w:r>
      <w:r w:rsidR="00EE4FC3">
        <w:t xml:space="preserve"> </w:t>
      </w:r>
      <w:r w:rsidRPr="00382917">
        <w:t>the</w:t>
      </w:r>
      <w:r w:rsidR="00EE4FC3">
        <w:t xml:space="preserve"> </w:t>
      </w:r>
      <w:r w:rsidRPr="00382917">
        <w:t>keys</w:t>
      </w:r>
      <w:r w:rsidR="00EE4FC3">
        <w:t xml:space="preserve"> </w:t>
      </w:r>
      <w:r w:rsidRPr="00382917">
        <w:t>to</w:t>
      </w:r>
      <w:r w:rsidR="00EE4FC3">
        <w:t xml:space="preserve"> </w:t>
      </w:r>
      <w:r w:rsidRPr="00382917">
        <w:t>all</w:t>
      </w:r>
      <w:r w:rsidR="00EE4FC3">
        <w:t xml:space="preserve"> </w:t>
      </w:r>
      <w:r w:rsidRPr="00382917">
        <w:t>doors</w:t>
      </w:r>
      <w:r w:rsidR="00552489">
        <w:t>.</w:t>
      </w:r>
      <w:r w:rsidR="00EE4FC3">
        <w:t xml:space="preserve">  </w:t>
      </w:r>
      <w:r w:rsidRPr="00382917">
        <w:t>Every</w:t>
      </w:r>
      <w:r w:rsidR="00EE4FC3">
        <w:t xml:space="preserve"> </w:t>
      </w:r>
      <w:r w:rsidRPr="00382917">
        <w:t>hidden</w:t>
      </w:r>
      <w:r w:rsidR="00EE4FC3">
        <w:t xml:space="preserve"> </w:t>
      </w:r>
      <w:r w:rsidRPr="00382917">
        <w:t>secret</w:t>
      </w:r>
      <w:r w:rsidR="00EE4FC3">
        <w:t xml:space="preserve"> </w:t>
      </w:r>
      <w:r w:rsidRPr="00382917">
        <w:t>will</w:t>
      </w:r>
      <w:r w:rsidR="00EE4FC3">
        <w:t xml:space="preserve"> </w:t>
      </w:r>
      <w:r w:rsidRPr="00382917">
        <w:t>become</w:t>
      </w:r>
      <w:r w:rsidR="004D716D">
        <w:t xml:space="preserve"> </w:t>
      </w:r>
      <w:r w:rsidRPr="00382917">
        <w:t>discovered</w:t>
      </w:r>
      <w:r w:rsidR="00EE4FC3">
        <w:t xml:space="preserve"> </w:t>
      </w:r>
      <w:r w:rsidRPr="00382917">
        <w:t>and</w:t>
      </w:r>
      <w:r w:rsidR="00EE4FC3">
        <w:t xml:space="preserve"> </w:t>
      </w:r>
      <w:r w:rsidRPr="00382917">
        <w:t>every</w:t>
      </w:r>
      <w:r w:rsidR="00EE4FC3">
        <w:t xml:space="preserve"> </w:t>
      </w:r>
      <w:r w:rsidRPr="00382917">
        <w:t>hidden</w:t>
      </w:r>
      <w:r w:rsidR="00EE4FC3">
        <w:t xml:space="preserve"> </w:t>
      </w:r>
      <w:r w:rsidRPr="00382917">
        <w:t>secret</w:t>
      </w:r>
      <w:r w:rsidR="00EE4FC3">
        <w:t xml:space="preserve"> </w:t>
      </w:r>
      <w:r w:rsidRPr="00382917">
        <w:t>will</w:t>
      </w:r>
      <w:r w:rsidR="00EE4FC3">
        <w:t xml:space="preserve"> </w:t>
      </w:r>
      <w:r w:rsidRPr="00382917">
        <w:t>become</w:t>
      </w:r>
      <w:r w:rsidR="00EE4FC3">
        <w:t xml:space="preserve"> </w:t>
      </w:r>
      <w:r w:rsidRPr="00382917">
        <w:t>manifest</w:t>
      </w:r>
      <w:r w:rsidR="00EE4FC3">
        <w:t xml:space="preserve"> </w:t>
      </w:r>
      <w:r w:rsidRPr="00382917">
        <w:t>and</w:t>
      </w:r>
      <w:r w:rsidR="00EE4FC3">
        <w:t xml:space="preserve"> </w:t>
      </w:r>
      <w:r w:rsidRPr="00382917">
        <w:t>apparent.</w:t>
      </w:r>
      <w:r w:rsidR="009C713D" w:rsidRPr="00382917">
        <w:t>”</w:t>
      </w:r>
      <w:r w:rsidR="004D716D">
        <w:rPr>
          <w:rStyle w:val="FootnoteReference"/>
        </w:rPr>
        <w:footnoteReference w:id="320"/>
      </w:r>
    </w:p>
    <w:p w:rsidR="00300E83" w:rsidRPr="00382917" w:rsidRDefault="00300E83" w:rsidP="004D716D">
      <w:pPr>
        <w:pStyle w:val="Text"/>
      </w:pPr>
      <w:r w:rsidRPr="00382917">
        <w:t>With</w:t>
      </w:r>
      <w:r w:rsidR="00EE4FC3">
        <w:t xml:space="preserve"> </w:t>
      </w:r>
      <w:r w:rsidRPr="00382917">
        <w:t>the</w:t>
      </w:r>
      <w:r w:rsidR="00EE4FC3">
        <w:t xml:space="preserve"> </w:t>
      </w:r>
      <w:r w:rsidRPr="00382917">
        <w:t>coming</w:t>
      </w:r>
      <w:r w:rsidR="00EE4FC3">
        <w:t xml:space="preserve"> </w:t>
      </w:r>
      <w:r w:rsidRPr="00382917">
        <w:t>of</w:t>
      </w:r>
      <w:r w:rsidR="00EE4FC3">
        <w:t xml:space="preserve"> </w:t>
      </w:r>
      <w:r w:rsidRPr="00382917">
        <w:t>the</w:t>
      </w:r>
      <w:r w:rsidR="00EE4FC3">
        <w:t xml:space="preserve"> </w:t>
      </w:r>
      <w:r w:rsidRPr="00382917">
        <w:t>Bahá</w:t>
      </w:r>
      <w:r w:rsidR="009C713D" w:rsidRPr="00382917">
        <w:t>’</w:t>
      </w:r>
      <w:r w:rsidRPr="00382917">
        <w:t>í</w:t>
      </w:r>
      <w:r w:rsidR="00EE4FC3">
        <w:t xml:space="preserve"> </w:t>
      </w:r>
      <w:r w:rsidRPr="00382917">
        <w:t>Faith</w:t>
      </w:r>
      <w:r w:rsidR="00EE4FC3">
        <w:t xml:space="preserve"> </w:t>
      </w:r>
      <w:r w:rsidRPr="00382917">
        <w:t>in</w:t>
      </w:r>
      <w:r w:rsidR="00EE4FC3">
        <w:t xml:space="preserve"> </w:t>
      </w:r>
      <w:r w:rsidRPr="00382917">
        <w:t>1844,</w:t>
      </w:r>
      <w:r w:rsidR="00EE4FC3">
        <w:t xml:space="preserve"> </w:t>
      </w:r>
      <w:r w:rsidRPr="00382917">
        <w:t>the</w:t>
      </w:r>
      <w:r w:rsidR="00EE4FC3">
        <w:t xml:space="preserve"> </w:t>
      </w:r>
      <w:r w:rsidRPr="00382917">
        <w:t>Books</w:t>
      </w:r>
      <w:r w:rsidR="00EE4FC3">
        <w:t xml:space="preserve"> </w:t>
      </w:r>
      <w:r w:rsidRPr="00382917">
        <w:t>were</w:t>
      </w:r>
      <w:r w:rsidR="00EE4FC3">
        <w:t xml:space="preserve"> </w:t>
      </w:r>
      <w:r w:rsidRPr="00382917">
        <w:t>at</w:t>
      </w:r>
      <w:r w:rsidR="00EE4FC3">
        <w:t xml:space="preserve"> </w:t>
      </w:r>
      <w:r w:rsidRPr="00382917">
        <w:t>last</w:t>
      </w:r>
      <w:r w:rsidR="00EE4FC3">
        <w:t xml:space="preserve"> </w:t>
      </w:r>
      <w:r w:rsidRPr="00382917">
        <w:t>opened</w:t>
      </w:r>
      <w:r w:rsidR="00552489">
        <w:t>.</w:t>
      </w:r>
      <w:r w:rsidR="00EE4FC3">
        <w:t xml:space="preserve">  </w:t>
      </w:r>
      <w:r w:rsidRPr="00382917">
        <w:t>Mankind</w:t>
      </w:r>
      <w:r w:rsidR="00EE4FC3">
        <w:t xml:space="preserve"> </w:t>
      </w:r>
      <w:r w:rsidRPr="00382917">
        <w:t>was</w:t>
      </w:r>
      <w:r w:rsidR="00EE4FC3">
        <w:t xml:space="preserve"> </w:t>
      </w:r>
      <w:r w:rsidRPr="00382917">
        <w:t>once</w:t>
      </w:r>
      <w:r w:rsidR="00EE4FC3">
        <w:t xml:space="preserve"> </w:t>
      </w:r>
      <w:r w:rsidRPr="00382917">
        <w:t>again</w:t>
      </w:r>
      <w:r w:rsidR="00EE4FC3">
        <w:t xml:space="preserve"> </w:t>
      </w:r>
      <w:r w:rsidRPr="00382917">
        <w:t>faced</w:t>
      </w:r>
      <w:r w:rsidR="00EE4FC3">
        <w:t xml:space="preserve"> </w:t>
      </w:r>
      <w:r w:rsidRPr="00382917">
        <w:t>with</w:t>
      </w:r>
      <w:r w:rsidR="00EE4FC3">
        <w:t xml:space="preserve"> </w:t>
      </w:r>
      <w:r w:rsidRPr="00382917">
        <w:t>that</w:t>
      </w:r>
      <w:r w:rsidR="00EE4FC3">
        <w:t xml:space="preserve"> </w:t>
      </w:r>
      <w:r w:rsidRPr="00382917">
        <w:t>same</w:t>
      </w:r>
      <w:r w:rsidR="00EE4FC3">
        <w:t xml:space="preserve"> </w:t>
      </w:r>
      <w:r w:rsidRPr="00382917">
        <w:t>great</w:t>
      </w:r>
      <w:r w:rsidR="00EE4FC3">
        <w:t xml:space="preserve"> </w:t>
      </w:r>
      <w:r w:rsidRPr="00382917">
        <w:t>spiritual</w:t>
      </w:r>
      <w:r w:rsidR="00EE4FC3">
        <w:t xml:space="preserve"> </w:t>
      </w:r>
      <w:r w:rsidRPr="00382917">
        <w:t>challenge</w:t>
      </w:r>
      <w:r w:rsidR="00C03C91">
        <w:t>:</w:t>
      </w:r>
      <w:r w:rsidR="00EE4FC3">
        <w:t xml:space="preserve">  </w:t>
      </w:r>
      <w:r w:rsidRPr="00382917">
        <w:t>To</w:t>
      </w:r>
      <w:r w:rsidR="00EE4FC3">
        <w:t xml:space="preserve"> </w:t>
      </w:r>
      <w:r w:rsidRPr="00382917">
        <w:t>accept</w:t>
      </w:r>
      <w:r w:rsidR="00EE4FC3">
        <w:t xml:space="preserve"> </w:t>
      </w:r>
      <w:r w:rsidRPr="00382917">
        <w:t>or</w:t>
      </w:r>
      <w:r w:rsidR="00EE4FC3">
        <w:t xml:space="preserve"> </w:t>
      </w:r>
      <w:r w:rsidRPr="00382917">
        <w:t>reject</w:t>
      </w:r>
      <w:r w:rsidR="00EE4FC3">
        <w:t xml:space="preserve"> </w:t>
      </w:r>
      <w:r w:rsidRPr="00382917">
        <w:t>the</w:t>
      </w:r>
      <w:r w:rsidR="00EE4FC3">
        <w:t xml:space="preserve"> </w:t>
      </w:r>
      <w:r w:rsidRPr="00382917">
        <w:t>Messiah</w:t>
      </w:r>
      <w:r w:rsidR="00552489">
        <w:t>.</w:t>
      </w:r>
      <w:r w:rsidR="00EE4FC3">
        <w:t xml:space="preserve">  </w:t>
      </w:r>
      <w:r w:rsidRPr="00382917">
        <w:t>His</w:t>
      </w:r>
      <w:r w:rsidR="00EE4FC3">
        <w:t xml:space="preserve"> </w:t>
      </w:r>
      <w:r w:rsidR="009C713D" w:rsidRPr="00382917">
        <w:t>“</w:t>
      </w:r>
      <w:r w:rsidRPr="00382917">
        <w:t>throne</w:t>
      </w:r>
      <w:r w:rsidR="009C713D" w:rsidRPr="00382917">
        <w:t>”</w:t>
      </w:r>
      <w:r w:rsidR="00EE4FC3">
        <w:t xml:space="preserve"> </w:t>
      </w:r>
      <w:r w:rsidRPr="00382917">
        <w:t>had</w:t>
      </w:r>
      <w:r w:rsidR="00EE4FC3">
        <w:t xml:space="preserve"> </w:t>
      </w:r>
      <w:r w:rsidRPr="00382917">
        <w:t>been</w:t>
      </w:r>
      <w:r w:rsidR="00EE4FC3">
        <w:t xml:space="preserve"> </w:t>
      </w:r>
      <w:r w:rsidRPr="00382917">
        <w:t>set</w:t>
      </w:r>
      <w:r w:rsidR="00EE4FC3">
        <w:t xml:space="preserve"> </w:t>
      </w:r>
      <w:r w:rsidRPr="00382917">
        <w:t>in</w:t>
      </w:r>
      <w:r w:rsidR="00EE4FC3">
        <w:t xml:space="preserve"> </w:t>
      </w:r>
      <w:r w:rsidR="009C713D" w:rsidRPr="00382917">
        <w:t>“</w:t>
      </w:r>
      <w:r w:rsidRPr="00382917">
        <w:t>Elam</w:t>
      </w:r>
      <w:r w:rsidR="009C713D" w:rsidRPr="00382917">
        <w:t>”</w:t>
      </w:r>
      <w:r w:rsidR="00EE4FC3">
        <w:t xml:space="preserve"> </w:t>
      </w:r>
      <w:r w:rsidRPr="00382917">
        <w:t>in</w:t>
      </w:r>
      <w:r w:rsidR="00EE4FC3">
        <w:t xml:space="preserve"> </w:t>
      </w:r>
      <w:r w:rsidRPr="00382917">
        <w:t>the</w:t>
      </w:r>
      <w:r w:rsidR="00EE4FC3">
        <w:t xml:space="preserve"> </w:t>
      </w:r>
      <w:r w:rsidRPr="00382917">
        <w:t>very</w:t>
      </w:r>
      <w:r w:rsidR="00EE4FC3">
        <w:t xml:space="preserve"> </w:t>
      </w:r>
      <w:r w:rsidRPr="00382917">
        <w:t>hour</w:t>
      </w:r>
      <w:r w:rsidR="00EE4FC3">
        <w:t xml:space="preserve"> </w:t>
      </w:r>
      <w:r w:rsidRPr="00382917">
        <w:t>(1844)</w:t>
      </w:r>
      <w:r w:rsidR="00EE4FC3">
        <w:t xml:space="preserve"> </w:t>
      </w:r>
      <w:r w:rsidRPr="00382917">
        <w:t>foretold</w:t>
      </w:r>
      <w:r w:rsidR="00EE4FC3">
        <w:t xml:space="preserve"> </w:t>
      </w:r>
      <w:r w:rsidRPr="00382917">
        <w:t>by</w:t>
      </w:r>
      <w:r w:rsidR="00EE4FC3">
        <w:t xml:space="preserve"> </w:t>
      </w:r>
      <w:r w:rsidRPr="00382917">
        <w:t>Christ</w:t>
      </w:r>
      <w:r w:rsidR="00EE4FC3">
        <w:t xml:space="preserve"> </w:t>
      </w:r>
      <w:r w:rsidRPr="00382917">
        <w:t>Himself</w:t>
      </w:r>
      <w:r w:rsidR="00EE4FC3">
        <w:t xml:space="preserve"> </w:t>
      </w:r>
      <w:r w:rsidRPr="00382917">
        <w:t>in</w:t>
      </w:r>
      <w:r w:rsidR="00EE4FC3">
        <w:t xml:space="preserve"> </w:t>
      </w:r>
      <w:r w:rsidRPr="00382917">
        <w:t>three</w:t>
      </w:r>
      <w:r w:rsidR="00EE4FC3">
        <w:t xml:space="preserve"> </w:t>
      </w:r>
      <w:r w:rsidRPr="00382917">
        <w:t>distinct</w:t>
      </w:r>
      <w:r w:rsidR="00EE4FC3">
        <w:t xml:space="preserve"> </w:t>
      </w:r>
      <w:r w:rsidRPr="00382917">
        <w:t>prophetic</w:t>
      </w:r>
      <w:r w:rsidR="00EE4FC3">
        <w:t xml:space="preserve"> </w:t>
      </w:r>
      <w:r w:rsidRPr="00382917">
        <w:t>promises</w:t>
      </w:r>
      <w:r w:rsidR="00552489">
        <w:t>.</w:t>
      </w:r>
      <w:r w:rsidR="00EE4FC3">
        <w:t xml:space="preserve">  </w:t>
      </w:r>
      <w:r w:rsidRPr="00382917">
        <w:t>From</w:t>
      </w:r>
      <w:r w:rsidR="00EE4FC3">
        <w:t xml:space="preserve"> </w:t>
      </w:r>
      <w:r w:rsidRPr="00382917">
        <w:t>the</w:t>
      </w:r>
      <w:r w:rsidR="00EE4FC3">
        <w:t xml:space="preserve"> </w:t>
      </w:r>
      <w:r w:rsidRPr="00382917">
        <w:t>pen</w:t>
      </w:r>
      <w:r w:rsidR="00EE4FC3">
        <w:t xml:space="preserve"> </w:t>
      </w:r>
      <w:r w:rsidRPr="00382917">
        <w:t>of</w:t>
      </w:r>
      <w:r w:rsidR="00EE4FC3">
        <w:t xml:space="preserve"> </w:t>
      </w:r>
      <w:r w:rsidRPr="00382917">
        <w:t>the</w:t>
      </w:r>
      <w:r w:rsidR="00EE4FC3">
        <w:t xml:space="preserve"> </w:t>
      </w:r>
      <w:r w:rsidRPr="00382917">
        <w:t>new</w:t>
      </w:r>
      <w:r w:rsidR="00EE4FC3">
        <w:t xml:space="preserve"> </w:t>
      </w:r>
      <w:r w:rsidRPr="00382917">
        <w:t>Messiah</w:t>
      </w:r>
      <w:r w:rsidR="00EE4FC3">
        <w:t xml:space="preserve"> </w:t>
      </w:r>
      <w:r w:rsidRPr="00382917">
        <w:t>were</w:t>
      </w:r>
      <w:r w:rsidR="00EE4FC3">
        <w:t xml:space="preserve"> </w:t>
      </w:r>
      <w:r w:rsidRPr="00382917">
        <w:t>to</w:t>
      </w:r>
      <w:r w:rsidR="00EE4FC3">
        <w:t xml:space="preserve"> </w:t>
      </w:r>
      <w:proofErr w:type="gramStart"/>
      <w:r w:rsidRPr="00382917">
        <w:t>come</w:t>
      </w:r>
      <w:proofErr w:type="gramEnd"/>
      <w:r w:rsidR="00EE4FC3">
        <w:t xml:space="preserve"> </w:t>
      </w:r>
      <w:r w:rsidRPr="00382917">
        <w:t>explanations</w:t>
      </w:r>
      <w:r w:rsidR="00EE4FC3">
        <w:t xml:space="preserve"> </w:t>
      </w:r>
      <w:r w:rsidRPr="00382917">
        <w:t>of</w:t>
      </w:r>
      <w:r w:rsidR="00EE4FC3">
        <w:t xml:space="preserve"> </w:t>
      </w:r>
      <w:r w:rsidRPr="00382917">
        <w:t>the</w:t>
      </w:r>
      <w:r w:rsidR="00EE4FC3">
        <w:t xml:space="preserve"> </w:t>
      </w:r>
      <w:r w:rsidRPr="00382917">
        <w:t>hidden</w:t>
      </w:r>
      <w:r w:rsidR="00EE4FC3">
        <w:t xml:space="preserve"> </w:t>
      </w:r>
      <w:r w:rsidRPr="00382917">
        <w:t>meanings</w:t>
      </w:r>
      <w:r w:rsidR="00EE4FC3">
        <w:t xml:space="preserve"> </w:t>
      </w:r>
      <w:r w:rsidRPr="00382917">
        <w:t>of</w:t>
      </w:r>
      <w:r w:rsidR="00EE4FC3">
        <w:t xml:space="preserve"> </w:t>
      </w:r>
      <w:r w:rsidRPr="00382917">
        <w:t>the</w:t>
      </w:r>
      <w:r w:rsidR="00EE4FC3">
        <w:t xml:space="preserve"> </w:t>
      </w:r>
      <w:r w:rsidRPr="00382917">
        <w:t>prophecies</w:t>
      </w:r>
      <w:r w:rsidR="00EE4FC3">
        <w:t xml:space="preserve"> </w:t>
      </w:r>
      <w:r w:rsidRPr="00382917">
        <w:t>in</w:t>
      </w:r>
      <w:r w:rsidR="00EE4FC3">
        <w:t xml:space="preserve"> </w:t>
      </w:r>
      <w:r w:rsidRPr="00382917">
        <w:t>all</w:t>
      </w:r>
      <w:r w:rsidR="00EE4FC3">
        <w:t xml:space="preserve"> </w:t>
      </w:r>
      <w:r w:rsidRPr="00382917">
        <w:t>the</w:t>
      </w:r>
      <w:r w:rsidR="00EE4FC3">
        <w:t xml:space="preserve"> </w:t>
      </w:r>
      <w:r w:rsidR="004E66A1">
        <w:t>H</w:t>
      </w:r>
      <w:r w:rsidRPr="00382917">
        <w:t>oly</w:t>
      </w:r>
      <w:r w:rsidR="00EE4FC3">
        <w:t xml:space="preserve"> </w:t>
      </w:r>
      <w:r w:rsidRPr="00382917">
        <w:t>Scriptures</w:t>
      </w:r>
      <w:r w:rsidR="00EE4FC3">
        <w:t xml:space="preserve"> </w:t>
      </w:r>
      <w:r w:rsidRPr="00382917">
        <w:t>of</w:t>
      </w:r>
      <w:r w:rsidR="00EE4FC3">
        <w:t xml:space="preserve"> </w:t>
      </w:r>
      <w:r w:rsidRPr="00382917">
        <w:t>the</w:t>
      </w:r>
      <w:r w:rsidR="00EE4FC3">
        <w:t xml:space="preserve"> </w:t>
      </w:r>
      <w:r w:rsidRPr="00382917">
        <w:t>world</w:t>
      </w:r>
      <w:r w:rsidR="00552489">
        <w:t>.</w:t>
      </w:r>
      <w:r w:rsidR="00EE4FC3">
        <w:t xml:space="preserve">  </w:t>
      </w:r>
      <w:r w:rsidRPr="00382917">
        <w:t>This,</w:t>
      </w:r>
      <w:r w:rsidR="00EE4FC3">
        <w:t xml:space="preserve"> </w:t>
      </w:r>
      <w:r w:rsidRPr="00382917">
        <w:t>too,</w:t>
      </w:r>
      <w:r w:rsidR="00EE4FC3">
        <w:t xml:space="preserve"> </w:t>
      </w:r>
      <w:r w:rsidRPr="00382917">
        <w:t>had</w:t>
      </w:r>
      <w:r w:rsidR="00EE4FC3">
        <w:t xml:space="preserve"> </w:t>
      </w:r>
      <w:r w:rsidRPr="00382917">
        <w:t>been</w:t>
      </w:r>
      <w:r w:rsidR="00EE4FC3">
        <w:t xml:space="preserve"> </w:t>
      </w:r>
      <w:r w:rsidRPr="00382917">
        <w:t>foretold</w:t>
      </w:r>
      <w:r w:rsidR="00EE4FC3">
        <w:t xml:space="preserve"> </w:t>
      </w:r>
      <w:r w:rsidRPr="00382917">
        <w:t>in</w:t>
      </w:r>
      <w:r w:rsidR="00EE4FC3">
        <w:t xml:space="preserve"> </w:t>
      </w:r>
      <w:r w:rsidRPr="00382917">
        <w:t>the</w:t>
      </w:r>
      <w:r w:rsidR="00EE4FC3">
        <w:t xml:space="preserve"> </w:t>
      </w:r>
      <w:r w:rsidRPr="00382917">
        <w:t>Revelation</w:t>
      </w:r>
      <w:r w:rsidR="00EE4FC3">
        <w:t xml:space="preserve"> </w:t>
      </w:r>
      <w:r w:rsidRPr="00382917">
        <w:t>of</w:t>
      </w:r>
      <w:r w:rsidR="00EE4FC3">
        <w:t xml:space="preserve"> </w:t>
      </w:r>
      <w:r w:rsidRPr="00382917">
        <w:t>St</w:t>
      </w:r>
      <w:r w:rsidR="00552489">
        <w:t>.</w:t>
      </w:r>
      <w:r w:rsidR="00EE4FC3">
        <w:t xml:space="preserve"> </w:t>
      </w:r>
      <w:r w:rsidRPr="00382917">
        <w:t>John:</w:t>
      </w:r>
    </w:p>
    <w:p w:rsidR="00300E83" w:rsidRPr="00382917" w:rsidRDefault="009C713D" w:rsidP="004D716D">
      <w:pPr>
        <w:pStyle w:val="Quote"/>
      </w:pPr>
      <w:r w:rsidRPr="00382917">
        <w:t>“</w:t>
      </w:r>
      <w:r w:rsidR="00300E83" w:rsidRPr="00382917">
        <w:t>In</w:t>
      </w:r>
      <w:r w:rsidR="00EE4FC3">
        <w:t xml:space="preserve"> </w:t>
      </w:r>
      <w:r w:rsidR="00300E83" w:rsidRPr="00382917">
        <w:t>the</w:t>
      </w:r>
      <w:r w:rsidR="00EE4FC3">
        <w:t xml:space="preserve"> </w:t>
      </w:r>
      <w:r w:rsidR="00300E83" w:rsidRPr="00382917">
        <w:t>midst</w:t>
      </w:r>
      <w:r w:rsidR="00EE4FC3">
        <w:t xml:space="preserve"> </w:t>
      </w:r>
      <w:r w:rsidR="00300E83" w:rsidRPr="00382917">
        <w:t>of</w:t>
      </w:r>
      <w:r w:rsidR="00EE4FC3">
        <w:t xml:space="preserve"> </w:t>
      </w:r>
      <w:r w:rsidR="00300E83" w:rsidRPr="00382917">
        <w:t>the</w:t>
      </w:r>
      <w:r w:rsidR="00EE4FC3">
        <w:t xml:space="preserve"> </w:t>
      </w:r>
      <w:r w:rsidR="00300E83" w:rsidRPr="00382917">
        <w:t>elders,</w:t>
      </w:r>
      <w:r w:rsidR="00EE4FC3">
        <w:t xml:space="preserve"> </w:t>
      </w:r>
      <w:r w:rsidR="00300E83" w:rsidRPr="00382917">
        <w:t>stood</w:t>
      </w:r>
      <w:r w:rsidR="00EE4FC3">
        <w:t xml:space="preserve"> </w:t>
      </w:r>
      <w:r w:rsidR="00300E83" w:rsidRPr="00382917">
        <w:t>a</w:t>
      </w:r>
      <w:r w:rsidR="00EE4FC3">
        <w:t xml:space="preserve"> </w:t>
      </w:r>
      <w:r w:rsidR="00300E83" w:rsidRPr="00382917">
        <w:t>Lamb</w:t>
      </w:r>
      <w:r w:rsidR="00EE4FC3">
        <w:t xml:space="preserve"> </w:t>
      </w:r>
      <w:r w:rsidR="00300E83" w:rsidRPr="00382917">
        <w:t>as</w:t>
      </w:r>
      <w:r w:rsidR="00EE4FC3">
        <w:t xml:space="preserve"> </w:t>
      </w:r>
      <w:r w:rsidR="00300E83" w:rsidRPr="00382917">
        <w:t>it</w:t>
      </w:r>
      <w:r w:rsidR="00EE4FC3">
        <w:t xml:space="preserve"> </w:t>
      </w:r>
      <w:r w:rsidR="00300E83" w:rsidRPr="00382917">
        <w:t>had</w:t>
      </w:r>
      <w:r w:rsidR="00EE4FC3">
        <w:t xml:space="preserve"> </w:t>
      </w:r>
      <w:r w:rsidR="00300E83" w:rsidRPr="00382917">
        <w:t>been</w:t>
      </w:r>
      <w:r w:rsidR="00EE4FC3">
        <w:t xml:space="preserve"> </w:t>
      </w:r>
      <w:r w:rsidR="00300E83" w:rsidRPr="00382917">
        <w:t>slain</w:t>
      </w:r>
      <w:r w:rsidR="004D716D">
        <w:t xml:space="preserve"> </w:t>
      </w:r>
      <w:r w:rsidR="00F04416" w:rsidRPr="00382917">
        <w:t>…</w:t>
      </w:r>
      <w:r w:rsidR="00552489">
        <w:t>.</w:t>
      </w:r>
      <w:r w:rsidR="00EE4FC3">
        <w:t xml:space="preserve">  </w:t>
      </w:r>
      <w:r w:rsidR="00300E83" w:rsidRPr="00382917">
        <w:t>And</w:t>
      </w:r>
      <w:r w:rsidR="00EE4FC3">
        <w:t xml:space="preserve"> </w:t>
      </w:r>
      <w:r w:rsidR="00300E83" w:rsidRPr="00382917">
        <w:t>they</w:t>
      </w:r>
      <w:r w:rsidR="00EE4FC3">
        <w:t xml:space="preserve"> </w:t>
      </w:r>
      <w:r w:rsidR="00300E83" w:rsidRPr="00382917">
        <w:t>sung</w:t>
      </w:r>
      <w:r w:rsidR="00EE4FC3">
        <w:t xml:space="preserve"> </w:t>
      </w:r>
      <w:r w:rsidR="00300E83" w:rsidRPr="00382917">
        <w:t>a</w:t>
      </w:r>
      <w:r w:rsidR="00EE4FC3">
        <w:t xml:space="preserve"> </w:t>
      </w:r>
      <w:r w:rsidR="00300E83" w:rsidRPr="00382917">
        <w:t>new</w:t>
      </w:r>
      <w:r w:rsidR="00EE4FC3">
        <w:t xml:space="preserve"> </w:t>
      </w:r>
      <w:r w:rsidR="00300E83" w:rsidRPr="00382917">
        <w:t>song,</w:t>
      </w:r>
      <w:r w:rsidR="00EE4FC3">
        <w:t xml:space="preserve"> </w:t>
      </w:r>
      <w:r w:rsidR="00300E83" w:rsidRPr="00382917">
        <w:t>saying</w:t>
      </w:r>
      <w:r w:rsidR="00EE4FC3">
        <w:t xml:space="preserve"> </w:t>
      </w:r>
      <w:r w:rsidR="00300E83" w:rsidRPr="00382917">
        <w:t>Thou</w:t>
      </w:r>
      <w:r w:rsidR="00EE4FC3">
        <w:t xml:space="preserve"> </w:t>
      </w:r>
      <w:r w:rsidR="00300E83" w:rsidRPr="00382917">
        <w:t>art</w:t>
      </w:r>
      <w:r w:rsidR="00EE4FC3">
        <w:t xml:space="preserve"> </w:t>
      </w:r>
      <w:r w:rsidR="00300E83" w:rsidRPr="00382917">
        <w:t>worthy</w:t>
      </w:r>
      <w:r w:rsidR="00EE4FC3">
        <w:t xml:space="preserve"> </w:t>
      </w:r>
      <w:r w:rsidR="00300E83" w:rsidRPr="00382917">
        <w:t>to</w:t>
      </w:r>
      <w:r w:rsidR="00EE4FC3">
        <w:t xml:space="preserve"> </w:t>
      </w:r>
      <w:r w:rsidR="00300E83" w:rsidRPr="00382917">
        <w:t>take</w:t>
      </w:r>
      <w:r w:rsidR="00EE4FC3">
        <w:t xml:space="preserve"> </w:t>
      </w:r>
      <w:r w:rsidR="00300E83" w:rsidRPr="00382917">
        <w:t>the</w:t>
      </w:r>
      <w:r w:rsidR="00EE4FC3">
        <w:t xml:space="preserve"> </w:t>
      </w:r>
      <w:r w:rsidR="00300E83" w:rsidRPr="00382917">
        <w:t>book</w:t>
      </w:r>
      <w:r w:rsidR="00EE4FC3">
        <w:t xml:space="preserve"> </w:t>
      </w:r>
      <w:r w:rsidR="00300E83" w:rsidRPr="00382917">
        <w:t>and</w:t>
      </w:r>
      <w:r w:rsidR="00EE4FC3">
        <w:t xml:space="preserve"> </w:t>
      </w:r>
      <w:r w:rsidR="00300E83" w:rsidRPr="00382917">
        <w:t>to</w:t>
      </w:r>
      <w:r w:rsidR="00EE4FC3">
        <w:t xml:space="preserve"> </w:t>
      </w:r>
      <w:r w:rsidR="00300E83" w:rsidRPr="00382917">
        <w:t>open</w:t>
      </w:r>
      <w:r w:rsidR="00EE4FC3">
        <w:t xml:space="preserve"> </w:t>
      </w:r>
      <w:r w:rsidR="00300E83" w:rsidRPr="00382917">
        <w:t>the</w:t>
      </w:r>
      <w:r w:rsidR="00EE4FC3">
        <w:t xml:space="preserve"> </w:t>
      </w:r>
      <w:r w:rsidR="00300E83" w:rsidRPr="00382917">
        <w:t>seals</w:t>
      </w:r>
      <w:r w:rsidR="00EE4FC3">
        <w:t xml:space="preserve"> </w:t>
      </w:r>
      <w:r w:rsidR="00300E83" w:rsidRPr="00382917">
        <w:t>thereof.</w:t>
      </w:r>
      <w:r w:rsidRPr="00382917">
        <w:t>”</w:t>
      </w:r>
      <w:r w:rsidR="004D716D">
        <w:rPr>
          <w:rStyle w:val="FootnoteReference"/>
        </w:rPr>
        <w:footnoteReference w:id="321"/>
      </w:r>
    </w:p>
    <w:p w:rsidR="00300E83" w:rsidRPr="00382917" w:rsidRDefault="00300E83" w:rsidP="00300E83">
      <w:pPr>
        <w:pStyle w:val="Text"/>
      </w:pPr>
      <w:r w:rsidRPr="00382917">
        <w:t>Even</w:t>
      </w:r>
      <w:r w:rsidR="00EE4FC3">
        <w:t xml:space="preserve"> </w:t>
      </w:r>
      <w:r w:rsidRPr="00382917">
        <w:t>Daniel,</w:t>
      </w:r>
      <w:r w:rsidR="00EE4FC3">
        <w:t xml:space="preserve"> </w:t>
      </w:r>
      <w:r w:rsidRPr="00382917">
        <w:t>who</w:t>
      </w:r>
      <w:r w:rsidR="00EE4FC3">
        <w:t xml:space="preserve"> </w:t>
      </w:r>
      <w:r w:rsidRPr="00382917">
        <w:t>said</w:t>
      </w:r>
      <w:r w:rsidR="00EE4FC3">
        <w:t xml:space="preserve"> </w:t>
      </w:r>
      <w:r w:rsidRPr="00382917">
        <w:t>the</w:t>
      </w:r>
      <w:r w:rsidR="00EE4FC3">
        <w:t xml:space="preserve"> </w:t>
      </w:r>
      <w:r w:rsidRPr="00382917">
        <w:t>books</w:t>
      </w:r>
      <w:r w:rsidR="00EE4FC3">
        <w:t xml:space="preserve"> </w:t>
      </w:r>
      <w:r w:rsidRPr="00382917">
        <w:t>were</w:t>
      </w:r>
      <w:r w:rsidR="00EE4FC3">
        <w:t xml:space="preserve"> </w:t>
      </w:r>
      <w:r w:rsidRPr="00382917">
        <w:t>sealed</w:t>
      </w:r>
      <w:r w:rsidR="00EE4FC3">
        <w:t xml:space="preserve"> </w:t>
      </w:r>
      <w:r w:rsidRPr="00382917">
        <w:t>until</w:t>
      </w:r>
      <w:r w:rsidR="00EE4FC3">
        <w:t xml:space="preserve"> </w:t>
      </w:r>
      <w:r w:rsidRPr="00382917">
        <w:t>the</w:t>
      </w:r>
      <w:r w:rsidR="00EE4FC3">
        <w:t xml:space="preserve"> </w:t>
      </w:r>
      <w:r w:rsidRPr="00382917">
        <w:t>time</w:t>
      </w:r>
      <w:r w:rsidR="00EE4FC3">
        <w:t xml:space="preserve"> </w:t>
      </w:r>
      <w:r w:rsidRPr="00382917">
        <w:t>of</w:t>
      </w:r>
      <w:r w:rsidR="00EE4FC3">
        <w:t xml:space="preserve"> </w:t>
      </w:r>
      <w:r w:rsidRPr="00382917">
        <w:t>the</w:t>
      </w:r>
      <w:r w:rsidR="00EE4FC3">
        <w:t xml:space="preserve"> </w:t>
      </w:r>
      <w:r w:rsidRPr="00382917">
        <w:t>end,</w:t>
      </w:r>
      <w:r w:rsidR="00EE4FC3">
        <w:t xml:space="preserve"> </w:t>
      </w:r>
      <w:r w:rsidRPr="00382917">
        <w:t>saw</w:t>
      </w:r>
      <w:r w:rsidR="00EE4FC3">
        <w:t xml:space="preserve"> </w:t>
      </w:r>
      <w:r w:rsidRPr="00382917">
        <w:t>another</w:t>
      </w:r>
      <w:r w:rsidR="00EE4FC3">
        <w:t xml:space="preserve"> </w:t>
      </w:r>
      <w:r w:rsidRPr="00382917">
        <w:t>vision</w:t>
      </w:r>
      <w:r w:rsidR="00EE4FC3">
        <w:t xml:space="preserve"> </w:t>
      </w:r>
      <w:r w:rsidRPr="00382917">
        <w:t>of</w:t>
      </w:r>
      <w:r w:rsidR="00EE4FC3">
        <w:t xml:space="preserve"> </w:t>
      </w:r>
      <w:r w:rsidRPr="00382917">
        <w:t>the</w:t>
      </w:r>
      <w:r w:rsidR="00EE4FC3">
        <w:t xml:space="preserve"> </w:t>
      </w:r>
      <w:r w:rsidR="009C713D" w:rsidRPr="00382917">
        <w:t>“</w:t>
      </w:r>
      <w:r w:rsidRPr="00382917">
        <w:t>last</w:t>
      </w:r>
      <w:r w:rsidR="00EE4FC3">
        <w:t xml:space="preserve"> </w:t>
      </w:r>
      <w:r w:rsidRPr="00382917">
        <w:t>days</w:t>
      </w:r>
      <w:r w:rsidR="009C713D" w:rsidRPr="00382917">
        <w:t>”</w:t>
      </w:r>
      <w:r w:rsidR="00EE4FC3">
        <w:t xml:space="preserve"> </w:t>
      </w:r>
      <w:r w:rsidRPr="00382917">
        <w:t>in</w:t>
      </w:r>
      <w:r w:rsidR="00EE4FC3">
        <w:t xml:space="preserve"> </w:t>
      </w:r>
      <w:r w:rsidRPr="00382917">
        <w:t>which</w:t>
      </w:r>
      <w:r w:rsidR="00EE4FC3">
        <w:t xml:space="preserve"> </w:t>
      </w:r>
      <w:r w:rsidRPr="00382917">
        <w:t>the</w:t>
      </w:r>
      <w:r w:rsidR="00EE4FC3">
        <w:t xml:space="preserve"> </w:t>
      </w:r>
      <w:r w:rsidRPr="00382917">
        <w:t>books</w:t>
      </w:r>
      <w:r w:rsidR="00EE4FC3">
        <w:t xml:space="preserve"> </w:t>
      </w:r>
      <w:r w:rsidRPr="00382917">
        <w:t>would</w:t>
      </w:r>
      <w:r w:rsidR="00EE4FC3">
        <w:t xml:space="preserve"> </w:t>
      </w:r>
      <w:r w:rsidRPr="00382917">
        <w:t>be</w:t>
      </w:r>
      <w:r w:rsidR="00EE4FC3">
        <w:t xml:space="preserve"> </w:t>
      </w:r>
      <w:r w:rsidRPr="00382917">
        <w:t>opened</w:t>
      </w:r>
      <w:r w:rsidR="00EE4FC3">
        <w:t xml:space="preserve"> </w:t>
      </w:r>
      <w:r w:rsidRPr="00382917">
        <w:t>by</w:t>
      </w:r>
      <w:r w:rsidR="00EE4FC3">
        <w:t xml:space="preserve"> </w:t>
      </w:r>
      <w:r w:rsidRPr="00382917">
        <w:t>the</w:t>
      </w:r>
      <w:r w:rsidR="00EE4FC3">
        <w:t xml:space="preserve"> </w:t>
      </w:r>
      <w:r w:rsidRPr="00382917">
        <w:t>new</w:t>
      </w:r>
      <w:r w:rsidR="00EE4FC3">
        <w:t xml:space="preserve"> </w:t>
      </w:r>
      <w:r w:rsidRPr="00382917">
        <w:t>Messiah:</w:t>
      </w:r>
    </w:p>
    <w:p w:rsidR="00300E83" w:rsidRPr="00382917" w:rsidRDefault="009C713D" w:rsidP="00FB62E1">
      <w:pPr>
        <w:pStyle w:val="Quote"/>
      </w:pPr>
      <w:r w:rsidRPr="00382917">
        <w:t>“</w:t>
      </w:r>
      <w:r w:rsidR="00300E83" w:rsidRPr="00382917">
        <w:t>Ten</w:t>
      </w:r>
      <w:r w:rsidR="00EE4FC3">
        <w:t xml:space="preserve"> </w:t>
      </w:r>
      <w:r w:rsidR="00300E83" w:rsidRPr="00382917">
        <w:t>thousand</w:t>
      </w:r>
      <w:r w:rsidR="00EE4FC3">
        <w:t xml:space="preserve"> </w:t>
      </w:r>
      <w:r w:rsidR="00300E83" w:rsidRPr="00382917">
        <w:t>times</w:t>
      </w:r>
      <w:r w:rsidR="00EE4FC3">
        <w:t xml:space="preserve"> </w:t>
      </w:r>
      <w:r w:rsidR="00300E83" w:rsidRPr="00382917">
        <w:t>ten</w:t>
      </w:r>
      <w:r w:rsidR="00EE4FC3">
        <w:t xml:space="preserve"> </w:t>
      </w:r>
      <w:r w:rsidR="00300E83" w:rsidRPr="00382917">
        <w:t>thousand</w:t>
      </w:r>
      <w:r w:rsidR="00EE4FC3">
        <w:t xml:space="preserve"> </w:t>
      </w:r>
      <w:r w:rsidR="00300E83" w:rsidRPr="00382917">
        <w:t>stood</w:t>
      </w:r>
      <w:r w:rsidR="00EE4FC3">
        <w:t xml:space="preserve"> </w:t>
      </w:r>
      <w:r w:rsidR="00300E83" w:rsidRPr="00382917">
        <w:t>before</w:t>
      </w:r>
      <w:r w:rsidR="00EE4FC3">
        <w:t xml:space="preserve"> </w:t>
      </w:r>
      <w:r w:rsidR="00300E83" w:rsidRPr="00382917">
        <w:t>him</w:t>
      </w:r>
      <w:r w:rsidR="00C03C91">
        <w:t>:</w:t>
      </w:r>
      <w:r w:rsidR="00EE4FC3">
        <w:t xml:space="preserve">  </w:t>
      </w:r>
      <w:r w:rsidR="00300E83" w:rsidRPr="00382917">
        <w:t>the</w:t>
      </w:r>
      <w:r w:rsidR="00EE4FC3">
        <w:t xml:space="preserve"> </w:t>
      </w:r>
      <w:r w:rsidR="00300E83" w:rsidRPr="00382917">
        <w:t>judgment</w:t>
      </w:r>
      <w:r w:rsidR="00EE4FC3">
        <w:t xml:space="preserve"> </w:t>
      </w:r>
      <w:r w:rsidR="00300E83" w:rsidRPr="00382917">
        <w:t>was</w:t>
      </w:r>
      <w:r w:rsidR="00EE4FC3">
        <w:t xml:space="preserve"> </w:t>
      </w:r>
      <w:r w:rsidR="00300E83" w:rsidRPr="00382917">
        <w:t>set</w:t>
      </w:r>
      <w:r w:rsidR="00EE4FC3">
        <w:t xml:space="preserve"> </w:t>
      </w:r>
      <w:r w:rsidR="00300E83" w:rsidRPr="00382917">
        <w:t>and</w:t>
      </w:r>
      <w:r w:rsidR="00EE4FC3">
        <w:t xml:space="preserve"> </w:t>
      </w:r>
      <w:r w:rsidR="00300E83" w:rsidRPr="00382917">
        <w:t>the</w:t>
      </w:r>
      <w:r w:rsidR="00EE4FC3">
        <w:t xml:space="preserve"> </w:t>
      </w:r>
      <w:r w:rsidR="00300E83" w:rsidRPr="00382917">
        <w:t>books</w:t>
      </w:r>
      <w:r w:rsidR="00EE4FC3">
        <w:t xml:space="preserve"> </w:t>
      </w:r>
      <w:r w:rsidR="00300E83" w:rsidRPr="00382917">
        <w:t>were</w:t>
      </w:r>
      <w:r w:rsidR="00EE4FC3">
        <w:t xml:space="preserve"> </w:t>
      </w:r>
      <w:r w:rsidR="00300E83" w:rsidRPr="00382917">
        <w:t>opened.</w:t>
      </w:r>
      <w:r w:rsidRPr="00382917">
        <w:t>”</w:t>
      </w:r>
    </w:p>
    <w:p w:rsidR="00300E83" w:rsidRPr="00382917" w:rsidRDefault="00300E83">
      <w:pPr>
        <w:widowControl/>
        <w:kinsoku/>
        <w:overflowPunct/>
        <w:textAlignment w:val="auto"/>
      </w:pPr>
      <w:r w:rsidRPr="00382917">
        <w:br w:type="page"/>
      </w:r>
    </w:p>
    <w:p w:rsidR="00300E83" w:rsidRPr="00382917" w:rsidRDefault="00300E83" w:rsidP="00300E83">
      <w:pPr>
        <w:pStyle w:val="Text"/>
      </w:pPr>
      <w:r w:rsidRPr="00382917">
        <w:t>Speaking</w:t>
      </w:r>
      <w:r w:rsidR="00EE4FC3">
        <w:t xml:space="preserve"> </w:t>
      </w:r>
      <w:r w:rsidRPr="00382917">
        <w:t>further</w:t>
      </w:r>
      <w:r w:rsidR="00EE4FC3">
        <w:t xml:space="preserve"> </w:t>
      </w:r>
      <w:r w:rsidRPr="00382917">
        <w:t>of</w:t>
      </w:r>
      <w:r w:rsidR="00EE4FC3">
        <w:t xml:space="preserve"> </w:t>
      </w:r>
      <w:r w:rsidRPr="00382917">
        <w:t>his</w:t>
      </w:r>
      <w:r w:rsidR="00EE4FC3">
        <w:t xml:space="preserve"> </w:t>
      </w:r>
      <w:r w:rsidRPr="00382917">
        <w:t>great</w:t>
      </w:r>
      <w:r w:rsidR="00EE4FC3">
        <w:t xml:space="preserve"> </w:t>
      </w:r>
      <w:r w:rsidRPr="00382917">
        <w:t>vision,</w:t>
      </w:r>
      <w:r w:rsidR="00EE4FC3">
        <w:t xml:space="preserve"> </w:t>
      </w:r>
      <w:r w:rsidRPr="00382917">
        <w:t>following</w:t>
      </w:r>
      <w:r w:rsidR="00EE4FC3">
        <w:t xml:space="preserve"> </w:t>
      </w:r>
      <w:r w:rsidRPr="00382917">
        <w:t>the</w:t>
      </w:r>
      <w:r w:rsidR="00EE4FC3">
        <w:t xml:space="preserve"> </w:t>
      </w:r>
      <w:r w:rsidRPr="00382917">
        <w:t>opening</w:t>
      </w:r>
      <w:r w:rsidR="00EE4FC3">
        <w:t xml:space="preserve"> </w:t>
      </w:r>
      <w:r w:rsidRPr="00382917">
        <w:t>of</w:t>
      </w:r>
      <w:r w:rsidR="00EE4FC3">
        <w:t xml:space="preserve"> </w:t>
      </w:r>
      <w:r w:rsidRPr="00382917">
        <w:t>the</w:t>
      </w:r>
      <w:r w:rsidR="00EE4FC3">
        <w:t xml:space="preserve"> </w:t>
      </w:r>
      <w:r w:rsidRPr="00382917">
        <w:t>books,</w:t>
      </w:r>
      <w:r w:rsidR="00EE4FC3">
        <w:t xml:space="preserve"> </w:t>
      </w:r>
      <w:r w:rsidRPr="00382917">
        <w:t>Daniel</w:t>
      </w:r>
      <w:r w:rsidR="00EE4FC3">
        <w:t xml:space="preserve"> </w:t>
      </w:r>
      <w:r w:rsidRPr="00382917">
        <w:t>says</w:t>
      </w:r>
      <w:r w:rsidR="00EE4FC3">
        <w:t xml:space="preserve"> </w:t>
      </w:r>
      <w:r w:rsidRPr="00382917">
        <w:t>that</w:t>
      </w:r>
      <w:r w:rsidR="00EE4FC3">
        <w:t xml:space="preserve"> </w:t>
      </w:r>
      <w:r w:rsidRPr="00382917">
        <w:t>he</w:t>
      </w:r>
      <w:r w:rsidR="00EE4FC3">
        <w:t xml:space="preserve"> </w:t>
      </w:r>
      <w:r w:rsidRPr="00382917">
        <w:t>saw:</w:t>
      </w:r>
    </w:p>
    <w:p w:rsidR="00300E83" w:rsidRPr="00382917" w:rsidRDefault="009C713D" w:rsidP="00FB62E1">
      <w:pPr>
        <w:pStyle w:val="Quote"/>
      </w:pPr>
      <w:r w:rsidRPr="00382917">
        <w:t>“</w:t>
      </w:r>
      <w:r w:rsidR="00300E83" w:rsidRPr="00382917">
        <w:t>The</w:t>
      </w:r>
      <w:r w:rsidR="00EE4FC3">
        <w:t xml:space="preserve"> </w:t>
      </w:r>
      <w:r w:rsidR="00300E83" w:rsidRPr="00382917">
        <w:t>Ancient</w:t>
      </w:r>
      <w:r w:rsidR="00EE4FC3">
        <w:t xml:space="preserve"> </w:t>
      </w:r>
      <w:r w:rsidR="00300E83" w:rsidRPr="00382917">
        <w:t>of</w:t>
      </w:r>
      <w:r w:rsidR="00EE4FC3">
        <w:t xml:space="preserve"> </w:t>
      </w:r>
      <w:r w:rsidR="00300E83" w:rsidRPr="00382917">
        <w:t>Days</w:t>
      </w:r>
      <w:r w:rsidR="00EE4FC3">
        <w:t xml:space="preserve"> </w:t>
      </w:r>
      <w:r w:rsidR="00F04416" w:rsidRPr="00382917">
        <w:t>…</w:t>
      </w:r>
      <w:r w:rsidR="00EE4FC3">
        <w:t xml:space="preserve"> </w:t>
      </w:r>
      <w:r w:rsidR="00300E83" w:rsidRPr="00382917">
        <w:t>and</w:t>
      </w:r>
      <w:r w:rsidR="00EE4FC3">
        <w:t xml:space="preserve"> </w:t>
      </w:r>
      <w:r w:rsidR="00300E83" w:rsidRPr="00382917">
        <w:t>there</w:t>
      </w:r>
      <w:r w:rsidR="00EE4FC3">
        <w:t xml:space="preserve"> </w:t>
      </w:r>
      <w:r w:rsidR="00300E83" w:rsidRPr="00382917">
        <w:t>was</w:t>
      </w:r>
      <w:r w:rsidR="00EE4FC3">
        <w:t xml:space="preserve"> </w:t>
      </w:r>
      <w:r w:rsidR="00300E83" w:rsidRPr="00382917">
        <w:t>given</w:t>
      </w:r>
      <w:r w:rsidR="00EE4FC3">
        <w:t xml:space="preserve"> </w:t>
      </w:r>
      <w:r w:rsidR="00300E83" w:rsidRPr="00382917">
        <w:t>him</w:t>
      </w:r>
      <w:r w:rsidR="00EE4FC3">
        <w:t xml:space="preserve"> </w:t>
      </w:r>
      <w:r w:rsidR="00300E83" w:rsidRPr="00382917">
        <w:t>dominion</w:t>
      </w:r>
      <w:r w:rsidR="00EE4FC3">
        <w:t xml:space="preserve"> </w:t>
      </w:r>
      <w:r w:rsidR="00300E83" w:rsidRPr="00382917">
        <w:t>and</w:t>
      </w:r>
      <w:r w:rsidR="00EE4FC3">
        <w:t xml:space="preserve"> </w:t>
      </w:r>
      <w:r w:rsidR="00300E83" w:rsidRPr="00382917">
        <w:t>glory,</w:t>
      </w:r>
      <w:r w:rsidR="00EE4FC3">
        <w:t xml:space="preserve"> </w:t>
      </w:r>
      <w:r w:rsidR="00300E83" w:rsidRPr="00382917">
        <w:t>and</w:t>
      </w:r>
      <w:r w:rsidR="00EE4FC3">
        <w:t xml:space="preserve"> </w:t>
      </w:r>
      <w:r w:rsidR="00300E83" w:rsidRPr="00382917">
        <w:t>a</w:t>
      </w:r>
      <w:r w:rsidR="00EE4FC3">
        <w:t xml:space="preserve"> </w:t>
      </w:r>
      <w:r w:rsidR="00300E83" w:rsidRPr="00382917">
        <w:t>kingdom,</w:t>
      </w:r>
      <w:r w:rsidR="00EE4FC3">
        <w:t xml:space="preserve"> </w:t>
      </w:r>
      <w:r w:rsidR="00300E83" w:rsidRPr="00382917">
        <w:t>that</w:t>
      </w:r>
      <w:r w:rsidR="00EE4FC3">
        <w:t xml:space="preserve"> </w:t>
      </w:r>
      <w:r w:rsidR="00300E83" w:rsidRPr="00382917">
        <w:t>all</w:t>
      </w:r>
      <w:r w:rsidR="00EE4FC3">
        <w:t xml:space="preserve"> </w:t>
      </w:r>
      <w:r w:rsidR="00300E83" w:rsidRPr="00382917">
        <w:t>people,</w:t>
      </w:r>
      <w:r w:rsidR="00EE4FC3">
        <w:t xml:space="preserve"> </w:t>
      </w:r>
      <w:r w:rsidR="00300E83" w:rsidRPr="00382917">
        <w:t>nations,</w:t>
      </w:r>
      <w:r w:rsidR="00EE4FC3">
        <w:t xml:space="preserve"> </w:t>
      </w:r>
      <w:r w:rsidR="00300E83" w:rsidRPr="00382917">
        <w:t>and</w:t>
      </w:r>
      <w:r w:rsidR="00EE4FC3">
        <w:t xml:space="preserve"> </w:t>
      </w:r>
      <w:r w:rsidR="00300E83" w:rsidRPr="00382917">
        <w:t>languages,</w:t>
      </w:r>
      <w:r w:rsidR="00EE4FC3">
        <w:t xml:space="preserve"> </w:t>
      </w:r>
      <w:r w:rsidR="00300E83" w:rsidRPr="00382917">
        <w:t>should</w:t>
      </w:r>
      <w:r w:rsidR="00EE4FC3">
        <w:t xml:space="preserve"> </w:t>
      </w:r>
      <w:r w:rsidR="00300E83" w:rsidRPr="00382917">
        <w:t>serve</w:t>
      </w:r>
      <w:r w:rsidR="00EE4FC3">
        <w:t xml:space="preserve"> </w:t>
      </w:r>
      <w:r w:rsidR="00300E83" w:rsidRPr="00382917">
        <w:t>him</w:t>
      </w:r>
      <w:r w:rsidR="00C03C91">
        <w:t>:</w:t>
      </w:r>
      <w:r w:rsidR="00EE4FC3">
        <w:t xml:space="preserve">  </w:t>
      </w:r>
      <w:r w:rsidR="00300E83" w:rsidRPr="00382917">
        <w:t>his</w:t>
      </w:r>
      <w:r w:rsidR="00EE4FC3">
        <w:t xml:space="preserve"> </w:t>
      </w:r>
      <w:r w:rsidR="00300E83" w:rsidRPr="00382917">
        <w:t>dominion</w:t>
      </w:r>
      <w:r w:rsidR="00EE4FC3">
        <w:t xml:space="preserve"> </w:t>
      </w:r>
      <w:r w:rsidR="00300E83" w:rsidRPr="00382917">
        <w:t>is</w:t>
      </w:r>
      <w:r w:rsidR="00EE4FC3">
        <w:t xml:space="preserve"> </w:t>
      </w:r>
      <w:r w:rsidR="00300E83" w:rsidRPr="00382917">
        <w:t>an</w:t>
      </w:r>
      <w:r w:rsidR="00EE4FC3">
        <w:t xml:space="preserve"> </w:t>
      </w:r>
      <w:r w:rsidR="00300E83" w:rsidRPr="00382917">
        <w:t>everlasting</w:t>
      </w:r>
      <w:r w:rsidR="00EE4FC3">
        <w:t xml:space="preserve"> </w:t>
      </w:r>
      <w:r w:rsidR="00300E83" w:rsidRPr="00382917">
        <w:t>dominion,</w:t>
      </w:r>
      <w:r w:rsidR="00EE4FC3">
        <w:t xml:space="preserve"> </w:t>
      </w:r>
      <w:r w:rsidR="00300E83" w:rsidRPr="00382917">
        <w:t>which</w:t>
      </w:r>
      <w:r w:rsidR="00EE4FC3">
        <w:t xml:space="preserve"> </w:t>
      </w:r>
      <w:r w:rsidR="00300E83" w:rsidRPr="00382917">
        <w:t>shall</w:t>
      </w:r>
      <w:r w:rsidR="00EE4FC3">
        <w:t xml:space="preserve"> </w:t>
      </w:r>
      <w:r w:rsidR="00300E83" w:rsidRPr="00382917">
        <w:t>not</w:t>
      </w:r>
      <w:r w:rsidR="00EE4FC3">
        <w:t xml:space="preserve"> </w:t>
      </w:r>
      <w:r w:rsidR="00300E83" w:rsidRPr="00382917">
        <w:t>pass</w:t>
      </w:r>
      <w:r w:rsidR="00EE4FC3">
        <w:t xml:space="preserve"> </w:t>
      </w:r>
      <w:r w:rsidR="00300E83" w:rsidRPr="00382917">
        <w:t>away,</w:t>
      </w:r>
      <w:r w:rsidR="00EE4FC3">
        <w:t xml:space="preserve"> </w:t>
      </w:r>
      <w:r w:rsidR="00300E83" w:rsidRPr="00382917">
        <w:t>and</w:t>
      </w:r>
      <w:r w:rsidR="00EE4FC3">
        <w:t xml:space="preserve"> </w:t>
      </w:r>
      <w:r w:rsidR="00300E83" w:rsidRPr="00382917">
        <w:t>his</w:t>
      </w:r>
      <w:r w:rsidR="00EE4FC3">
        <w:t xml:space="preserve"> </w:t>
      </w:r>
      <w:r w:rsidR="00300E83" w:rsidRPr="00382917">
        <w:t>kingdom</w:t>
      </w:r>
      <w:r w:rsidR="00EE4FC3">
        <w:t xml:space="preserve"> </w:t>
      </w:r>
      <w:r w:rsidR="00300E83" w:rsidRPr="00382917">
        <w:t>that</w:t>
      </w:r>
      <w:r w:rsidR="00EE4FC3">
        <w:t xml:space="preserve"> </w:t>
      </w:r>
      <w:r w:rsidR="00300E83" w:rsidRPr="00382917">
        <w:t>which</w:t>
      </w:r>
      <w:r w:rsidR="00EE4FC3">
        <w:t xml:space="preserve"> </w:t>
      </w:r>
      <w:r w:rsidR="00300E83" w:rsidRPr="00382917">
        <w:t>shall</w:t>
      </w:r>
      <w:r w:rsidR="00EE4FC3">
        <w:t xml:space="preserve"> </w:t>
      </w:r>
      <w:r w:rsidR="00300E83" w:rsidRPr="00382917">
        <w:t>not</w:t>
      </w:r>
      <w:r w:rsidR="00EE4FC3">
        <w:t xml:space="preserve"> </w:t>
      </w:r>
      <w:r w:rsidR="00300E83" w:rsidRPr="00382917">
        <w:t>be</w:t>
      </w:r>
      <w:r w:rsidR="00EE4FC3">
        <w:t xml:space="preserve"> </w:t>
      </w:r>
      <w:r w:rsidR="00300E83" w:rsidRPr="00382917">
        <w:t>destroyed.</w:t>
      </w:r>
      <w:r w:rsidRPr="00382917">
        <w:t>”</w:t>
      </w:r>
      <w:r w:rsidR="00FB62E1">
        <w:rPr>
          <w:rStyle w:val="FootnoteReference"/>
        </w:rPr>
        <w:footnoteReference w:id="322"/>
      </w:r>
    </w:p>
    <w:p w:rsidR="00300E83" w:rsidRPr="00382917" w:rsidRDefault="00300E83" w:rsidP="00300E83">
      <w:pPr>
        <w:pStyle w:val="Text"/>
      </w:pPr>
      <w:r w:rsidRPr="00382917">
        <w:t>This</w:t>
      </w:r>
      <w:r w:rsidR="00EE4FC3">
        <w:t xml:space="preserve"> </w:t>
      </w:r>
      <w:r w:rsidRPr="00382917">
        <w:t>is</w:t>
      </w:r>
      <w:r w:rsidR="00EE4FC3">
        <w:t xml:space="preserve"> </w:t>
      </w:r>
      <w:r w:rsidRPr="00382917">
        <w:t>the</w:t>
      </w:r>
      <w:r w:rsidR="00EE4FC3">
        <w:t xml:space="preserve"> </w:t>
      </w:r>
      <w:r w:rsidRPr="00382917">
        <w:t>story</w:t>
      </w:r>
      <w:r w:rsidR="00EE4FC3">
        <w:t xml:space="preserve"> </w:t>
      </w:r>
      <w:r w:rsidRPr="00382917">
        <w:t>behind</w:t>
      </w:r>
      <w:r w:rsidR="00EE4FC3">
        <w:t xml:space="preserve"> </w:t>
      </w:r>
      <w:r w:rsidRPr="00382917">
        <w:t>the</w:t>
      </w:r>
      <w:r w:rsidR="00EE4FC3">
        <w:t xml:space="preserve"> </w:t>
      </w:r>
      <w:r w:rsidRPr="00382917">
        <w:t>great</w:t>
      </w:r>
      <w:r w:rsidR="00EE4FC3">
        <w:t xml:space="preserve"> </w:t>
      </w:r>
      <w:r w:rsidRPr="00382917">
        <w:t>search</w:t>
      </w:r>
      <w:r w:rsidR="00EE4FC3">
        <w:t xml:space="preserve"> </w:t>
      </w:r>
      <w:r w:rsidRPr="00382917">
        <w:t>for</w:t>
      </w:r>
      <w:r w:rsidR="00EE4FC3">
        <w:t xml:space="preserve"> </w:t>
      </w:r>
      <w:r w:rsidRPr="00382917">
        <w:t>the</w:t>
      </w:r>
      <w:r w:rsidR="00EE4FC3">
        <w:t xml:space="preserve"> </w:t>
      </w:r>
      <w:r w:rsidR="00307488">
        <w:t>Promised One</w:t>
      </w:r>
      <w:r w:rsidR="00EE4FC3">
        <w:t xml:space="preserve"> </w:t>
      </w:r>
      <w:r w:rsidRPr="00382917">
        <w:t>undertaken</w:t>
      </w:r>
      <w:r w:rsidR="00EE4FC3">
        <w:t xml:space="preserve"> </w:t>
      </w:r>
      <w:r w:rsidRPr="00382917">
        <w:t>by</w:t>
      </w:r>
      <w:r w:rsidR="00EE4FC3">
        <w:t xml:space="preserve"> </w:t>
      </w:r>
      <w:r w:rsidR="008A073E" w:rsidRPr="00382917">
        <w:rPr>
          <w:u w:val="single"/>
        </w:rPr>
        <w:t>Sh</w:t>
      </w:r>
      <w:r w:rsidR="008A073E" w:rsidRPr="00382917">
        <w:t>ay</w:t>
      </w:r>
      <w:r w:rsidR="008A073E" w:rsidRPr="00382917">
        <w:rPr>
          <w:u w:val="single"/>
        </w:rPr>
        <w:t>kh</w:t>
      </w:r>
      <w:r w:rsidR="00EE4FC3">
        <w:t xml:space="preserve"> </w:t>
      </w:r>
      <w:r w:rsidR="008A073E" w:rsidRPr="00382917">
        <w:t>Aḥmad</w:t>
      </w:r>
      <w:r w:rsidRPr="00382917">
        <w:t>,</w:t>
      </w:r>
      <w:r w:rsidR="00EE4FC3">
        <w:t xml:space="preserve"> </w:t>
      </w:r>
      <w:r w:rsidRPr="00382917">
        <w:t>Siyyid</w:t>
      </w:r>
      <w:r w:rsidR="00EE4FC3">
        <w:t xml:space="preserve"> </w:t>
      </w:r>
      <w:r w:rsidRPr="00382917">
        <w:t>Káẓim,</w:t>
      </w:r>
      <w:r w:rsidR="00EE4FC3">
        <w:t xml:space="preserve"> </w:t>
      </w:r>
      <w:r w:rsidRPr="00382917">
        <w:t>Mullá</w:t>
      </w:r>
      <w:r w:rsidR="00EE4FC3">
        <w:t xml:space="preserve"> </w:t>
      </w:r>
      <w:r w:rsidR="00964C11" w:rsidRPr="00382917">
        <w:t>Ḥusayn</w:t>
      </w:r>
      <w:r w:rsidRPr="00382917">
        <w:t>,</w:t>
      </w:r>
      <w:r w:rsidR="00EE4FC3">
        <w:t xml:space="preserve"> </w:t>
      </w:r>
      <w:r w:rsidRPr="00382917">
        <w:t>Quddús,</w:t>
      </w:r>
      <w:r w:rsidR="00EE4FC3">
        <w:t xml:space="preserve"> </w:t>
      </w:r>
      <w:r w:rsidRPr="00382917">
        <w:t>Ṭáhirih,</w:t>
      </w:r>
      <w:r w:rsidR="00EE4FC3">
        <w:t xml:space="preserve"> </w:t>
      </w:r>
      <w:r w:rsidRPr="00382917">
        <w:t>Vaḥíd,</w:t>
      </w:r>
      <w:r w:rsidR="00EE4FC3">
        <w:t xml:space="preserve"> </w:t>
      </w:r>
      <w:r w:rsidRPr="00382917">
        <w:t>and</w:t>
      </w:r>
      <w:r w:rsidR="00EE4FC3">
        <w:t xml:space="preserve"> </w:t>
      </w:r>
      <w:r w:rsidRPr="00382917">
        <w:t>those</w:t>
      </w:r>
      <w:r w:rsidR="00EE4FC3">
        <w:t xml:space="preserve"> </w:t>
      </w:r>
      <w:r w:rsidRPr="00382917">
        <w:t>holy</w:t>
      </w:r>
      <w:r w:rsidR="00EE4FC3">
        <w:t xml:space="preserve"> </w:t>
      </w:r>
      <w:r w:rsidRPr="00382917">
        <w:t>souls</w:t>
      </w:r>
      <w:r w:rsidR="00EE4FC3">
        <w:t xml:space="preserve"> </w:t>
      </w:r>
      <w:r w:rsidRPr="00382917">
        <w:t>who</w:t>
      </w:r>
      <w:r w:rsidR="00EE4FC3">
        <w:t xml:space="preserve"> </w:t>
      </w:r>
      <w:r w:rsidRPr="00382917">
        <w:t>were</w:t>
      </w:r>
      <w:r w:rsidR="00EE4FC3">
        <w:t xml:space="preserve"> </w:t>
      </w:r>
      <w:r w:rsidRPr="00382917">
        <w:t>so</w:t>
      </w:r>
      <w:r w:rsidR="00EE4FC3">
        <w:t xml:space="preserve"> </w:t>
      </w:r>
      <w:r w:rsidRPr="00382917">
        <w:t>much</w:t>
      </w:r>
      <w:r w:rsidR="00EE4FC3">
        <w:t xml:space="preserve"> </w:t>
      </w:r>
      <w:r w:rsidRPr="00382917">
        <w:t>like</w:t>
      </w:r>
      <w:r w:rsidR="00EE4FC3">
        <w:t xml:space="preserve"> </w:t>
      </w:r>
      <w:r w:rsidRPr="00382917">
        <w:t>the</w:t>
      </w:r>
      <w:r w:rsidR="00EE4FC3">
        <w:t xml:space="preserve"> </w:t>
      </w:r>
      <w:proofErr w:type="gramStart"/>
      <w:r w:rsidRPr="00382917">
        <w:t>disciples</w:t>
      </w:r>
      <w:proofErr w:type="gramEnd"/>
      <w:r w:rsidR="00EE4FC3">
        <w:t xml:space="preserve"> </w:t>
      </w:r>
      <w:r w:rsidRPr="00382917">
        <w:t>of</w:t>
      </w:r>
      <w:r w:rsidR="00EE4FC3">
        <w:t xml:space="preserve"> </w:t>
      </w:r>
      <w:r w:rsidRPr="00382917">
        <w:t>Christ</w:t>
      </w:r>
      <w:r w:rsidR="00EE4FC3">
        <w:t xml:space="preserve"> </w:t>
      </w:r>
      <w:r w:rsidRPr="00382917">
        <w:t>in</w:t>
      </w:r>
      <w:r w:rsidR="00EE4FC3">
        <w:t xml:space="preserve"> </w:t>
      </w:r>
      <w:r w:rsidRPr="00382917">
        <w:t>His</w:t>
      </w:r>
      <w:r w:rsidR="00EE4FC3">
        <w:t xml:space="preserve"> </w:t>
      </w:r>
      <w:r w:rsidRPr="00382917">
        <w:t>day</w:t>
      </w:r>
      <w:r w:rsidR="00552489">
        <w:t>.</w:t>
      </w:r>
      <w:r w:rsidR="00EE4FC3">
        <w:t xml:space="preserve">  </w:t>
      </w:r>
      <w:r w:rsidRPr="00382917">
        <w:t>Now</w:t>
      </w:r>
      <w:r w:rsidR="00EE4FC3">
        <w:t xml:space="preserve"> </w:t>
      </w:r>
      <w:r w:rsidRPr="00382917">
        <w:t>at</w:t>
      </w:r>
      <w:r w:rsidR="00EE4FC3">
        <w:t xml:space="preserve"> </w:t>
      </w:r>
      <w:r w:rsidRPr="00382917">
        <w:t>last</w:t>
      </w:r>
      <w:r w:rsidR="00EE4FC3">
        <w:t xml:space="preserve"> </w:t>
      </w:r>
      <w:r w:rsidRPr="00382917">
        <w:t>the</w:t>
      </w:r>
      <w:r w:rsidR="00EE4FC3">
        <w:t xml:space="preserve"> </w:t>
      </w:r>
      <w:r w:rsidRPr="00382917">
        <w:t>books</w:t>
      </w:r>
      <w:r w:rsidR="00EE4FC3">
        <w:t xml:space="preserve"> </w:t>
      </w:r>
      <w:r w:rsidRPr="00382917">
        <w:t>were</w:t>
      </w:r>
      <w:r w:rsidR="00EE4FC3">
        <w:t xml:space="preserve"> </w:t>
      </w:r>
      <w:r w:rsidRPr="00382917">
        <w:t>opened</w:t>
      </w:r>
      <w:r w:rsidR="00EE4FC3">
        <w:t xml:space="preserve"> </w:t>
      </w:r>
      <w:r w:rsidRPr="00382917">
        <w:t>and</w:t>
      </w:r>
      <w:r w:rsidR="00EE4FC3">
        <w:t xml:space="preserve"> </w:t>
      </w:r>
      <w:r w:rsidRPr="00382917">
        <w:t>the</w:t>
      </w:r>
      <w:r w:rsidR="00EE4FC3">
        <w:t xml:space="preserve"> </w:t>
      </w:r>
      <w:r w:rsidRPr="00382917">
        <w:t>truth</w:t>
      </w:r>
      <w:r w:rsidR="00EE4FC3">
        <w:t xml:space="preserve"> </w:t>
      </w:r>
      <w:r w:rsidRPr="00382917">
        <w:t>revealed:</w:t>
      </w:r>
    </w:p>
    <w:p w:rsidR="00300E83" w:rsidRPr="00382917" w:rsidRDefault="00FB62E1" w:rsidP="00FB62E1">
      <w:pPr>
        <w:pStyle w:val="Bullet2"/>
      </w:pPr>
      <w:r>
        <w:t>1.</w:t>
      </w:r>
      <w:r>
        <w:tab/>
      </w:r>
      <w:r w:rsidR="00300E83" w:rsidRPr="00382917">
        <w:t>Christ</w:t>
      </w:r>
      <w:r w:rsidR="00EE4FC3">
        <w:t xml:space="preserve"> </w:t>
      </w:r>
      <w:r w:rsidR="00300E83" w:rsidRPr="00382917">
        <w:t>would</w:t>
      </w:r>
      <w:r w:rsidR="00EE4FC3">
        <w:t xml:space="preserve"> </w:t>
      </w:r>
      <w:r w:rsidR="00300E83" w:rsidRPr="00382917">
        <w:t>appear</w:t>
      </w:r>
      <w:r w:rsidR="00EE4FC3">
        <w:t xml:space="preserve"> </w:t>
      </w:r>
      <w:r w:rsidR="00300E83" w:rsidRPr="00382917">
        <w:t>in</w:t>
      </w:r>
      <w:r w:rsidR="00EE4FC3">
        <w:t xml:space="preserve"> </w:t>
      </w:r>
      <w:r w:rsidR="00300E83" w:rsidRPr="00382917">
        <w:t>Elam</w:t>
      </w:r>
      <w:r w:rsidR="00EE4FC3">
        <w:t xml:space="preserve"> </w:t>
      </w:r>
      <w:r w:rsidR="00300E83" w:rsidRPr="00382917">
        <w:t>(Persia).</w:t>
      </w:r>
    </w:p>
    <w:p w:rsidR="00300E83" w:rsidRPr="00382917" w:rsidRDefault="00FB62E1" w:rsidP="00FB62E1">
      <w:pPr>
        <w:pStyle w:val="Bullet2ct"/>
      </w:pPr>
      <w:r>
        <w:t>2.</w:t>
      </w:r>
      <w:r>
        <w:tab/>
      </w:r>
      <w:r w:rsidR="00300E83" w:rsidRPr="00382917">
        <w:t>Christ</w:t>
      </w:r>
      <w:r w:rsidR="00EE4FC3">
        <w:t xml:space="preserve"> </w:t>
      </w:r>
      <w:r w:rsidR="00300E83" w:rsidRPr="00382917">
        <w:t>would</w:t>
      </w:r>
      <w:r w:rsidR="00EE4FC3">
        <w:t xml:space="preserve"> </w:t>
      </w:r>
      <w:r w:rsidR="00300E83" w:rsidRPr="00382917">
        <w:t>return</w:t>
      </w:r>
      <w:r w:rsidR="00EE4FC3">
        <w:t xml:space="preserve"> </w:t>
      </w:r>
      <w:r w:rsidR="00300E83" w:rsidRPr="00382917">
        <w:t>in</w:t>
      </w:r>
      <w:r w:rsidR="00EE4FC3">
        <w:t xml:space="preserve"> </w:t>
      </w:r>
      <w:r w:rsidR="00300E83" w:rsidRPr="00382917">
        <w:t>the</w:t>
      </w:r>
      <w:r w:rsidR="00EE4FC3">
        <w:t xml:space="preserve"> </w:t>
      </w:r>
      <w:r w:rsidR="00300E83" w:rsidRPr="00382917">
        <w:t>year</w:t>
      </w:r>
      <w:r w:rsidR="00EE4FC3">
        <w:t xml:space="preserve"> </w:t>
      </w:r>
      <w:r w:rsidR="00300E83" w:rsidRPr="00382917">
        <w:t>1844.</w:t>
      </w:r>
    </w:p>
    <w:p w:rsidR="00300E83" w:rsidRPr="00382917" w:rsidRDefault="00FB62E1" w:rsidP="00FB62E1">
      <w:pPr>
        <w:pStyle w:val="Bullet2ct"/>
      </w:pPr>
      <w:r>
        <w:t>3.</w:t>
      </w:r>
      <w:r>
        <w:tab/>
      </w:r>
      <w:r>
        <w:tab/>
      </w:r>
      <w:r w:rsidR="00300E83" w:rsidRPr="00382917">
        <w:t>Christ</w:t>
      </w:r>
      <w:r w:rsidR="00EE4FC3">
        <w:t xml:space="preserve"> </w:t>
      </w:r>
      <w:r w:rsidR="00300E83" w:rsidRPr="00382917">
        <w:t>would</w:t>
      </w:r>
      <w:r w:rsidR="00EE4FC3">
        <w:t xml:space="preserve"> </w:t>
      </w:r>
      <w:r w:rsidR="00300E83" w:rsidRPr="00382917">
        <w:t>return</w:t>
      </w:r>
      <w:r w:rsidR="00EE4FC3">
        <w:t xml:space="preserve"> </w:t>
      </w:r>
      <w:r w:rsidR="00300E83" w:rsidRPr="00382917">
        <w:t>not</w:t>
      </w:r>
      <w:r w:rsidR="00EE4FC3">
        <w:t xml:space="preserve"> </w:t>
      </w:r>
      <w:r w:rsidR="00300E83" w:rsidRPr="00382917">
        <w:t>in</w:t>
      </w:r>
      <w:r w:rsidR="00EE4FC3">
        <w:t xml:space="preserve"> </w:t>
      </w:r>
      <w:r w:rsidR="00300E83" w:rsidRPr="00382917">
        <w:t>the</w:t>
      </w:r>
      <w:r w:rsidR="00EE4FC3">
        <w:t xml:space="preserve"> </w:t>
      </w:r>
      <w:r w:rsidR="00300E83" w:rsidRPr="00382917">
        <w:t>flesh,</w:t>
      </w:r>
      <w:r w:rsidR="00EE4FC3">
        <w:t xml:space="preserve"> </w:t>
      </w:r>
      <w:r w:rsidR="00300E83" w:rsidRPr="00382917">
        <w:t>but</w:t>
      </w:r>
      <w:r w:rsidR="00EE4FC3">
        <w:t xml:space="preserve"> </w:t>
      </w:r>
      <w:r w:rsidR="00300E83" w:rsidRPr="00382917">
        <w:t>with</w:t>
      </w:r>
      <w:r w:rsidR="00EE4FC3">
        <w:t xml:space="preserve"> </w:t>
      </w:r>
      <w:r w:rsidR="00300E83" w:rsidRPr="00382917">
        <w:t>the</w:t>
      </w:r>
      <w:r w:rsidR="00EE4FC3">
        <w:t xml:space="preserve"> </w:t>
      </w:r>
      <w:r w:rsidR="00300E83" w:rsidRPr="00382917">
        <w:t>same</w:t>
      </w:r>
      <w:r w:rsidR="00EE4FC3">
        <w:t xml:space="preserve"> </w:t>
      </w:r>
      <w:r w:rsidR="00300E83" w:rsidRPr="00382917">
        <w:t>Holy</w:t>
      </w:r>
      <w:r w:rsidR="00EE4FC3">
        <w:t xml:space="preserve"> </w:t>
      </w:r>
      <w:r w:rsidR="00300E83" w:rsidRPr="00382917">
        <w:t>Spirit</w:t>
      </w:r>
      <w:r w:rsidR="00EE4FC3">
        <w:t xml:space="preserve"> </w:t>
      </w:r>
      <w:r w:rsidR="00300E83" w:rsidRPr="00382917">
        <w:t>in</w:t>
      </w:r>
      <w:r w:rsidR="00EE4FC3">
        <w:t xml:space="preserve"> </w:t>
      </w:r>
      <w:r w:rsidR="00300E83" w:rsidRPr="00382917">
        <w:t>a</w:t>
      </w:r>
      <w:r w:rsidR="00EE4FC3">
        <w:t xml:space="preserve"> </w:t>
      </w:r>
      <w:r w:rsidR="00300E83" w:rsidRPr="00382917">
        <w:t>new</w:t>
      </w:r>
      <w:r w:rsidR="00EE4FC3">
        <w:t xml:space="preserve"> </w:t>
      </w:r>
      <w:r w:rsidR="00300E83" w:rsidRPr="00382917">
        <w:t>identity.</w:t>
      </w:r>
    </w:p>
    <w:p w:rsidR="00300E83" w:rsidRPr="00382917" w:rsidRDefault="00300E83" w:rsidP="00793528">
      <w:pPr>
        <w:pStyle w:val="Text"/>
      </w:pPr>
      <w:r w:rsidRPr="00382917">
        <w:t>In</w:t>
      </w:r>
      <w:r w:rsidR="00EE4FC3">
        <w:t xml:space="preserve"> </w:t>
      </w:r>
      <w:r w:rsidRPr="00382917">
        <w:t>order</w:t>
      </w:r>
      <w:r w:rsidR="00EE4FC3">
        <w:t xml:space="preserve"> </w:t>
      </w:r>
      <w:r w:rsidRPr="00382917">
        <w:t>that</w:t>
      </w:r>
      <w:r w:rsidR="00EE4FC3">
        <w:t xml:space="preserve"> </w:t>
      </w:r>
      <w:r w:rsidRPr="00382917">
        <w:t>this</w:t>
      </w:r>
      <w:r w:rsidR="00EE4FC3">
        <w:t xml:space="preserve"> </w:t>
      </w:r>
      <w:r w:rsidRPr="00382917">
        <w:t>last</w:t>
      </w:r>
      <w:r w:rsidR="00EE4FC3">
        <w:t xml:space="preserve"> </w:t>
      </w:r>
      <w:r w:rsidRPr="00382917">
        <w:t>truth</w:t>
      </w:r>
      <w:r w:rsidR="00EE4FC3">
        <w:t xml:space="preserve"> </w:t>
      </w:r>
      <w:r w:rsidRPr="00382917">
        <w:t>of</w:t>
      </w:r>
      <w:r w:rsidR="00EE4FC3">
        <w:t xml:space="preserve"> </w:t>
      </w:r>
      <w:r w:rsidRPr="00382917">
        <w:t>the</w:t>
      </w:r>
      <w:r w:rsidR="00EE4FC3">
        <w:t xml:space="preserve"> </w:t>
      </w:r>
      <w:r w:rsidRPr="00382917">
        <w:t>three</w:t>
      </w:r>
      <w:r w:rsidR="00EE4FC3">
        <w:t xml:space="preserve"> </w:t>
      </w:r>
      <w:r w:rsidRPr="00382917">
        <w:t>might</w:t>
      </w:r>
      <w:r w:rsidR="00EE4FC3">
        <w:t xml:space="preserve"> </w:t>
      </w:r>
      <w:r w:rsidRPr="00382917">
        <w:t>never</w:t>
      </w:r>
      <w:r w:rsidR="00EE4FC3">
        <w:t xml:space="preserve"> </w:t>
      </w:r>
      <w:r w:rsidRPr="00382917">
        <w:t>be</w:t>
      </w:r>
      <w:r w:rsidR="00EE4FC3">
        <w:t xml:space="preserve"> </w:t>
      </w:r>
      <w:r w:rsidRPr="00382917">
        <w:t>misunderstood,</w:t>
      </w:r>
      <w:r w:rsidR="00EE4FC3">
        <w:t xml:space="preserve"> </w:t>
      </w:r>
      <w:r w:rsidRPr="00382917">
        <w:t>repeated</w:t>
      </w:r>
      <w:r w:rsidR="00EE4FC3">
        <w:t xml:space="preserve"> </w:t>
      </w:r>
      <w:r w:rsidRPr="00382917">
        <w:t>promises</w:t>
      </w:r>
      <w:r w:rsidR="00EE4FC3">
        <w:t xml:space="preserve"> </w:t>
      </w:r>
      <w:r w:rsidRPr="00382917">
        <w:t>were</w:t>
      </w:r>
      <w:r w:rsidR="00EE4FC3">
        <w:t xml:space="preserve"> </w:t>
      </w:r>
      <w:r w:rsidRPr="00382917">
        <w:t>given</w:t>
      </w:r>
      <w:r w:rsidR="00EE4FC3">
        <w:t xml:space="preserve"> </w:t>
      </w:r>
      <w:r w:rsidRPr="00382917">
        <w:t>throughout</w:t>
      </w:r>
      <w:r w:rsidR="00EE4FC3">
        <w:t xml:space="preserve"> </w:t>
      </w:r>
      <w:r w:rsidRPr="00382917">
        <w:t>the</w:t>
      </w:r>
      <w:r w:rsidR="00EE4FC3">
        <w:t xml:space="preserve"> </w:t>
      </w:r>
      <w:r w:rsidRPr="00382917">
        <w:t>Bible</w:t>
      </w:r>
      <w:r w:rsidR="00EE4FC3">
        <w:t xml:space="preserve"> </w:t>
      </w:r>
      <w:r w:rsidRPr="00382917">
        <w:t>that</w:t>
      </w:r>
      <w:r w:rsidR="00EE4FC3">
        <w:t xml:space="preserve"> </w:t>
      </w:r>
      <w:r w:rsidRPr="00382917">
        <w:t>in</w:t>
      </w:r>
      <w:r w:rsidR="00EE4FC3">
        <w:t xml:space="preserve"> </w:t>
      </w:r>
      <w:r w:rsidRPr="00382917">
        <w:t>the</w:t>
      </w:r>
      <w:r w:rsidR="00EE4FC3">
        <w:t xml:space="preserve"> </w:t>
      </w:r>
      <w:r w:rsidRPr="00382917">
        <w:t>last</w:t>
      </w:r>
      <w:r w:rsidR="00EE4FC3">
        <w:t xml:space="preserve"> </w:t>
      </w:r>
      <w:r w:rsidRPr="00382917">
        <w:t>day</w:t>
      </w:r>
      <w:r w:rsidR="00EE4FC3">
        <w:t xml:space="preserve"> </w:t>
      </w:r>
      <w:r w:rsidRPr="00382917">
        <w:t>the</w:t>
      </w:r>
      <w:r w:rsidR="00EE4FC3">
        <w:t xml:space="preserve"> </w:t>
      </w:r>
      <w:r w:rsidRPr="00382917">
        <w:t>Messiah</w:t>
      </w:r>
      <w:r w:rsidR="00EE4FC3">
        <w:t xml:space="preserve"> </w:t>
      </w:r>
      <w:r w:rsidRPr="00382917">
        <w:t>would</w:t>
      </w:r>
      <w:r w:rsidR="00EE4FC3">
        <w:t xml:space="preserve"> </w:t>
      </w:r>
      <w:r w:rsidRPr="00382917">
        <w:t>come</w:t>
      </w:r>
      <w:r w:rsidR="00EE4FC3">
        <w:t xml:space="preserve"> </w:t>
      </w:r>
      <w:r w:rsidRPr="00382917">
        <w:t>with</w:t>
      </w:r>
      <w:r w:rsidR="00EE4FC3">
        <w:t xml:space="preserve"> </w:t>
      </w:r>
      <w:r w:rsidRPr="00382917">
        <w:t>a</w:t>
      </w:r>
      <w:r w:rsidR="00EE4FC3">
        <w:t xml:space="preserve"> </w:t>
      </w:r>
      <w:r w:rsidR="009C713D" w:rsidRPr="00382917">
        <w:t>“</w:t>
      </w:r>
      <w:r w:rsidRPr="00382917">
        <w:t>new</w:t>
      </w:r>
      <w:r w:rsidR="00EE4FC3">
        <w:t xml:space="preserve"> </w:t>
      </w:r>
      <w:r w:rsidRPr="00382917">
        <w:t>name</w:t>
      </w:r>
      <w:r w:rsidR="009C713D" w:rsidRPr="00382917">
        <w:t>”</w:t>
      </w:r>
      <w:r w:rsidR="00552489">
        <w:t>.</w:t>
      </w:r>
      <w:r w:rsidR="00EE4FC3">
        <w:t xml:space="preserve">  </w:t>
      </w:r>
      <w:r w:rsidRPr="00382917">
        <w:t>It</w:t>
      </w:r>
      <w:r w:rsidR="00EE4FC3">
        <w:t xml:space="preserve"> </w:t>
      </w:r>
      <w:r w:rsidRPr="00382917">
        <w:t>was</w:t>
      </w:r>
      <w:r w:rsidR="00EE4FC3">
        <w:t xml:space="preserve"> </w:t>
      </w:r>
      <w:r w:rsidRPr="00382917">
        <w:t>also</w:t>
      </w:r>
      <w:r w:rsidR="00EE4FC3">
        <w:t xml:space="preserve"> </w:t>
      </w:r>
      <w:r w:rsidRPr="00382917">
        <w:t>promised</w:t>
      </w:r>
      <w:r w:rsidR="00EE4FC3">
        <w:t xml:space="preserve"> </w:t>
      </w:r>
      <w:r w:rsidRPr="00382917">
        <w:t>that</w:t>
      </w:r>
      <w:r w:rsidR="00EE4FC3">
        <w:t xml:space="preserve"> </w:t>
      </w:r>
      <w:r w:rsidRPr="00382917">
        <w:t>His</w:t>
      </w:r>
      <w:r w:rsidR="00EE4FC3">
        <w:t xml:space="preserve"> </w:t>
      </w:r>
      <w:r w:rsidRPr="00382917">
        <w:t>followers</w:t>
      </w:r>
      <w:r w:rsidR="00EE4FC3">
        <w:t xml:space="preserve"> </w:t>
      </w:r>
      <w:r w:rsidRPr="00382917">
        <w:t>would</w:t>
      </w:r>
      <w:r w:rsidR="00EE4FC3">
        <w:t xml:space="preserve"> </w:t>
      </w:r>
      <w:r w:rsidRPr="00382917">
        <w:t>be</w:t>
      </w:r>
      <w:r w:rsidR="00EE4FC3">
        <w:t xml:space="preserve"> </w:t>
      </w:r>
      <w:r w:rsidRPr="00382917">
        <w:t>called</w:t>
      </w:r>
      <w:r w:rsidR="00EE4FC3">
        <w:t xml:space="preserve"> </w:t>
      </w:r>
      <w:r w:rsidRPr="00382917">
        <w:t>by</w:t>
      </w:r>
      <w:r w:rsidR="00EE4FC3">
        <w:t xml:space="preserve"> </w:t>
      </w:r>
      <w:r w:rsidRPr="00382917">
        <w:t>a</w:t>
      </w:r>
      <w:r w:rsidR="00EE4FC3">
        <w:t xml:space="preserve"> </w:t>
      </w:r>
      <w:r w:rsidR="009C713D" w:rsidRPr="00382917">
        <w:t>“</w:t>
      </w:r>
      <w:r w:rsidRPr="00382917">
        <w:t>new</w:t>
      </w:r>
      <w:r w:rsidR="00EE4FC3">
        <w:t xml:space="preserve"> </w:t>
      </w:r>
      <w:r w:rsidRPr="00382917">
        <w:t>name</w:t>
      </w:r>
      <w:r w:rsidR="009C713D" w:rsidRPr="00382917">
        <w:t>”</w:t>
      </w:r>
      <w:r w:rsidR="00793528">
        <w:t>.</w:t>
      </w:r>
    </w:p>
    <w:p w:rsidR="00300E83" w:rsidRPr="00382917" w:rsidRDefault="00FB62E1" w:rsidP="00FB62E1">
      <w:pPr>
        <w:pStyle w:val="Bullet2"/>
      </w:pPr>
      <w:r>
        <w:t>1.</w:t>
      </w:r>
      <w:r>
        <w:tab/>
      </w:r>
      <w:r w:rsidR="009C713D" w:rsidRPr="00382917">
        <w:t>“</w:t>
      </w:r>
      <w:r w:rsidR="00300E83" w:rsidRPr="00382917">
        <w:t>Thou</w:t>
      </w:r>
      <w:r w:rsidR="00EE4FC3">
        <w:t xml:space="preserve"> </w:t>
      </w:r>
      <w:r w:rsidR="00300E83" w:rsidRPr="00382917">
        <w:t>shalt</w:t>
      </w:r>
      <w:r w:rsidR="00EE4FC3">
        <w:t xml:space="preserve"> </w:t>
      </w:r>
      <w:r w:rsidR="00300E83" w:rsidRPr="00382917">
        <w:t>be</w:t>
      </w:r>
      <w:r w:rsidR="00EE4FC3">
        <w:t xml:space="preserve"> </w:t>
      </w:r>
      <w:r w:rsidR="00300E83" w:rsidRPr="00382917">
        <w:t>called</w:t>
      </w:r>
      <w:r w:rsidR="00EE4FC3">
        <w:t xml:space="preserve"> </w:t>
      </w:r>
      <w:r w:rsidR="00300E83" w:rsidRPr="00382917">
        <w:t>by</w:t>
      </w:r>
      <w:r w:rsidR="00EE4FC3">
        <w:t xml:space="preserve"> </w:t>
      </w:r>
      <w:r w:rsidR="00300E83" w:rsidRPr="00382917">
        <w:t>a</w:t>
      </w:r>
      <w:r w:rsidR="00EE4FC3">
        <w:t xml:space="preserve"> </w:t>
      </w:r>
      <w:r w:rsidR="00300E83" w:rsidRPr="00382917">
        <w:t>new</w:t>
      </w:r>
      <w:r w:rsidR="00EE4FC3">
        <w:t xml:space="preserve"> </w:t>
      </w:r>
      <w:r w:rsidR="00300E83" w:rsidRPr="00382917">
        <w:t>name.</w:t>
      </w:r>
      <w:r w:rsidR="009C713D" w:rsidRPr="00382917">
        <w:t>”</w:t>
      </w:r>
    </w:p>
    <w:p w:rsidR="00300E83" w:rsidRPr="00382917" w:rsidRDefault="00FB62E1" w:rsidP="00793528">
      <w:pPr>
        <w:pStyle w:val="Bullet2ct"/>
      </w:pPr>
      <w:r>
        <w:t>2.</w:t>
      </w:r>
      <w:r>
        <w:tab/>
      </w:r>
      <w:r w:rsidR="009C713D" w:rsidRPr="00382917">
        <w:t>“</w:t>
      </w:r>
      <w:r w:rsidR="00300E83" w:rsidRPr="00382917">
        <w:t>The</w:t>
      </w:r>
      <w:r w:rsidR="00EE4FC3">
        <w:t xml:space="preserve"> </w:t>
      </w:r>
      <w:r w:rsidR="00300E83" w:rsidRPr="00382917">
        <w:t>Lord</w:t>
      </w:r>
      <w:r w:rsidR="00EE4FC3">
        <w:t xml:space="preserve"> </w:t>
      </w:r>
      <w:r w:rsidR="00300E83" w:rsidRPr="00382917">
        <w:t>God</w:t>
      </w:r>
      <w:r w:rsidR="00EE4FC3">
        <w:t xml:space="preserve"> </w:t>
      </w:r>
      <w:r w:rsidR="00300E83" w:rsidRPr="00382917">
        <w:t>shall</w:t>
      </w:r>
      <w:r w:rsidR="00EE4FC3">
        <w:t xml:space="preserve"> </w:t>
      </w:r>
      <w:r w:rsidR="00F04416" w:rsidRPr="00382917">
        <w:t>…</w:t>
      </w:r>
      <w:r w:rsidR="00EE4FC3">
        <w:t xml:space="preserve"> </w:t>
      </w:r>
      <w:r w:rsidR="00300E83" w:rsidRPr="00382917">
        <w:t>call</w:t>
      </w:r>
      <w:r w:rsidR="00EE4FC3">
        <w:t xml:space="preserve"> </w:t>
      </w:r>
      <w:r w:rsidR="00300E83" w:rsidRPr="00382917">
        <w:t>his</w:t>
      </w:r>
      <w:r w:rsidR="00EE4FC3">
        <w:t xml:space="preserve"> </w:t>
      </w:r>
      <w:r w:rsidR="00300E83" w:rsidRPr="00382917">
        <w:t>servants</w:t>
      </w:r>
      <w:r w:rsidR="00EE4FC3">
        <w:t xml:space="preserve"> </w:t>
      </w:r>
      <w:r w:rsidR="00300E83" w:rsidRPr="00382917">
        <w:t>by</w:t>
      </w:r>
      <w:r w:rsidR="00EE4FC3">
        <w:t xml:space="preserve"> </w:t>
      </w:r>
      <w:r w:rsidR="00300E83" w:rsidRPr="00382917">
        <w:t>another</w:t>
      </w:r>
      <w:r w:rsidR="00EE4FC3">
        <w:t xml:space="preserve"> </w:t>
      </w:r>
      <w:r w:rsidR="00300E83" w:rsidRPr="00382917">
        <w:t>name.</w:t>
      </w:r>
      <w:r w:rsidR="009C713D" w:rsidRPr="00382917">
        <w:t>”</w:t>
      </w:r>
      <w:r w:rsidR="00793528">
        <w:rPr>
          <w:rStyle w:val="FootnoteReference"/>
        </w:rPr>
        <w:footnoteReference w:id="323"/>
      </w:r>
    </w:p>
    <w:p w:rsidR="00300E83" w:rsidRPr="00382917" w:rsidRDefault="00FB62E1" w:rsidP="00FB62E1">
      <w:pPr>
        <w:pStyle w:val="Bullet2ct"/>
      </w:pPr>
      <w:r>
        <w:t>3.</w:t>
      </w:r>
      <w:r>
        <w:tab/>
      </w:r>
      <w:r w:rsidR="009C713D" w:rsidRPr="00382917">
        <w:t>“</w:t>
      </w:r>
      <w:r w:rsidR="00300E83" w:rsidRPr="00382917">
        <w:t>To</w:t>
      </w:r>
      <w:r w:rsidR="00EE4FC3">
        <w:t xml:space="preserve"> </w:t>
      </w:r>
      <w:r w:rsidR="00300E83" w:rsidRPr="00382917">
        <w:t>him</w:t>
      </w:r>
      <w:r w:rsidR="00EE4FC3">
        <w:t xml:space="preserve"> </w:t>
      </w:r>
      <w:r w:rsidR="00300E83" w:rsidRPr="00382917">
        <w:t>that</w:t>
      </w:r>
      <w:r w:rsidR="00EE4FC3">
        <w:t xml:space="preserve"> </w:t>
      </w:r>
      <w:proofErr w:type="spellStart"/>
      <w:r w:rsidR="00300E83" w:rsidRPr="00382917">
        <w:t>overcometh</w:t>
      </w:r>
      <w:proofErr w:type="spellEnd"/>
      <w:r w:rsidR="00EE4FC3">
        <w:t xml:space="preserve"> </w:t>
      </w:r>
      <w:r w:rsidR="00300E83" w:rsidRPr="00382917">
        <w:t>will</w:t>
      </w:r>
      <w:r w:rsidR="00EE4FC3">
        <w:t xml:space="preserve"> </w:t>
      </w:r>
      <w:r w:rsidR="00300E83" w:rsidRPr="00382917">
        <w:t>I</w:t>
      </w:r>
      <w:r w:rsidR="00EE4FC3">
        <w:t xml:space="preserve"> </w:t>
      </w:r>
      <w:r w:rsidR="00300E83" w:rsidRPr="00382917">
        <w:t>give</w:t>
      </w:r>
      <w:r w:rsidR="00EE4FC3">
        <w:t xml:space="preserve"> </w:t>
      </w:r>
      <w:r w:rsidR="00300E83" w:rsidRPr="00382917">
        <w:t>to</w:t>
      </w:r>
      <w:r w:rsidR="00EE4FC3">
        <w:t xml:space="preserve"> </w:t>
      </w:r>
      <w:r w:rsidR="00300E83" w:rsidRPr="00382917">
        <w:t>eat</w:t>
      </w:r>
      <w:r w:rsidR="00EE4FC3">
        <w:t xml:space="preserve"> </w:t>
      </w:r>
      <w:r w:rsidR="00300E83" w:rsidRPr="00382917">
        <w:t>of</w:t>
      </w:r>
      <w:r w:rsidR="00EE4FC3">
        <w:t xml:space="preserve"> </w:t>
      </w:r>
      <w:r w:rsidR="00300E83" w:rsidRPr="00382917">
        <w:t>the</w:t>
      </w:r>
      <w:r w:rsidR="00EE4FC3">
        <w:t xml:space="preserve"> </w:t>
      </w:r>
      <w:r w:rsidR="00300E83" w:rsidRPr="00382917">
        <w:t>hidden</w:t>
      </w:r>
      <w:r w:rsidR="00EE4FC3">
        <w:t xml:space="preserve"> </w:t>
      </w:r>
      <w:r w:rsidR="00300E83" w:rsidRPr="00382917">
        <w:t>manna</w:t>
      </w:r>
      <w:r w:rsidR="00EE4FC3">
        <w:t xml:space="preserve"> </w:t>
      </w:r>
      <w:r w:rsidR="00300E83" w:rsidRPr="00382917">
        <w:t>and</w:t>
      </w:r>
      <w:r w:rsidR="00EE4FC3">
        <w:t xml:space="preserve"> </w:t>
      </w:r>
      <w:r w:rsidR="00300E83" w:rsidRPr="00382917">
        <w:t>will</w:t>
      </w:r>
      <w:r w:rsidR="00EE4FC3">
        <w:t xml:space="preserve"> </w:t>
      </w:r>
      <w:r w:rsidR="00300E83" w:rsidRPr="00382917">
        <w:t>give</w:t>
      </w:r>
      <w:r w:rsidR="00EE4FC3">
        <w:t xml:space="preserve"> </w:t>
      </w:r>
      <w:r w:rsidR="00300E83" w:rsidRPr="00382917">
        <w:t>him</w:t>
      </w:r>
      <w:r w:rsidR="00EE4FC3">
        <w:t xml:space="preserve"> </w:t>
      </w:r>
      <w:r w:rsidR="00300E83" w:rsidRPr="00382917">
        <w:t>a</w:t>
      </w:r>
      <w:r w:rsidR="00EE4FC3">
        <w:t xml:space="preserve"> </w:t>
      </w:r>
      <w:r w:rsidR="00300E83" w:rsidRPr="00382917">
        <w:t>white</w:t>
      </w:r>
      <w:r w:rsidR="00EE4FC3">
        <w:t xml:space="preserve"> </w:t>
      </w:r>
      <w:r w:rsidR="00300E83" w:rsidRPr="00382917">
        <w:t>stone,</w:t>
      </w:r>
      <w:r w:rsidR="00EE4FC3">
        <w:t xml:space="preserve"> </w:t>
      </w:r>
      <w:r w:rsidR="00300E83" w:rsidRPr="00382917">
        <w:t>and</w:t>
      </w:r>
      <w:r w:rsidR="00EE4FC3">
        <w:t xml:space="preserve"> </w:t>
      </w:r>
      <w:r w:rsidR="00300E83" w:rsidRPr="00382917">
        <w:t>in</w:t>
      </w:r>
      <w:r w:rsidR="00EE4FC3">
        <w:t xml:space="preserve"> </w:t>
      </w:r>
      <w:r w:rsidR="00300E83" w:rsidRPr="00382917">
        <w:t>the</w:t>
      </w:r>
      <w:r w:rsidR="00EE4FC3">
        <w:t xml:space="preserve"> </w:t>
      </w:r>
      <w:r w:rsidR="00300E83" w:rsidRPr="00382917">
        <w:t>stone</w:t>
      </w:r>
      <w:r w:rsidR="00EE4FC3">
        <w:t xml:space="preserve"> </w:t>
      </w:r>
      <w:r w:rsidR="00300E83" w:rsidRPr="00382917">
        <w:t>a</w:t>
      </w:r>
      <w:r w:rsidR="00EE4FC3">
        <w:t xml:space="preserve"> </w:t>
      </w:r>
      <w:r w:rsidR="00300E83" w:rsidRPr="00382917">
        <w:t>new</w:t>
      </w:r>
      <w:r w:rsidR="00EE4FC3">
        <w:t xml:space="preserve"> </w:t>
      </w:r>
      <w:r w:rsidR="00300E83" w:rsidRPr="00382917">
        <w:t>name</w:t>
      </w:r>
      <w:r w:rsidR="00EE4FC3">
        <w:t xml:space="preserve"> </w:t>
      </w:r>
      <w:r w:rsidR="00300E83" w:rsidRPr="00382917">
        <w:t>written,</w:t>
      </w:r>
      <w:r w:rsidR="00EE4FC3">
        <w:t xml:space="preserve"> </w:t>
      </w:r>
      <w:r w:rsidR="00300E83" w:rsidRPr="00382917">
        <w:t>which</w:t>
      </w:r>
      <w:r w:rsidR="00EE4FC3">
        <w:t xml:space="preserve"> </w:t>
      </w:r>
      <w:r w:rsidR="00300E83" w:rsidRPr="00382917">
        <w:t>no</w:t>
      </w:r>
      <w:r w:rsidR="00EE4FC3">
        <w:t xml:space="preserve"> </w:t>
      </w:r>
      <w:r w:rsidR="00300E83" w:rsidRPr="00382917">
        <w:t>man</w:t>
      </w:r>
      <w:r w:rsidR="00EE4FC3">
        <w:t xml:space="preserve"> </w:t>
      </w:r>
      <w:proofErr w:type="spellStart"/>
      <w:r w:rsidR="00300E83" w:rsidRPr="00382917">
        <w:t>knoweth</w:t>
      </w:r>
      <w:proofErr w:type="spellEnd"/>
      <w:r w:rsidR="00EE4FC3">
        <w:t xml:space="preserve"> </w:t>
      </w:r>
      <w:r w:rsidR="00300E83" w:rsidRPr="00382917">
        <w:t>saving</w:t>
      </w:r>
      <w:r w:rsidR="00EE4FC3">
        <w:t xml:space="preserve"> </w:t>
      </w:r>
      <w:r w:rsidR="00300E83" w:rsidRPr="00382917">
        <w:t>he</w:t>
      </w:r>
      <w:r w:rsidR="00EE4FC3">
        <w:t xml:space="preserve"> </w:t>
      </w:r>
      <w:r w:rsidR="00300E83" w:rsidRPr="00382917">
        <w:t>that</w:t>
      </w:r>
      <w:r w:rsidR="00EE4FC3">
        <w:t xml:space="preserve"> </w:t>
      </w:r>
      <w:proofErr w:type="spellStart"/>
      <w:r w:rsidR="00300E83" w:rsidRPr="00382917">
        <w:t>receiveth</w:t>
      </w:r>
      <w:proofErr w:type="spellEnd"/>
      <w:r w:rsidR="00EE4FC3">
        <w:t xml:space="preserve"> </w:t>
      </w:r>
      <w:r w:rsidR="00300E83" w:rsidRPr="00382917">
        <w:t>it.</w:t>
      </w:r>
      <w:r w:rsidR="009C713D" w:rsidRPr="00382917">
        <w:t>”</w:t>
      </w:r>
    </w:p>
    <w:p w:rsidR="00300E83" w:rsidRPr="00382917" w:rsidRDefault="00300E83" w:rsidP="00300E83">
      <w:pPr>
        <w:pStyle w:val="Text"/>
      </w:pPr>
      <w:r w:rsidRPr="00382917">
        <w:t>Only</w:t>
      </w:r>
      <w:r w:rsidR="00EE4FC3">
        <w:t xml:space="preserve"> </w:t>
      </w:r>
      <w:r w:rsidRPr="00382917">
        <w:t>those</w:t>
      </w:r>
      <w:r w:rsidR="00EE4FC3">
        <w:t xml:space="preserve"> </w:t>
      </w:r>
      <w:r w:rsidRPr="00382917">
        <w:t>that</w:t>
      </w:r>
      <w:r w:rsidR="00EE4FC3">
        <w:t xml:space="preserve"> </w:t>
      </w:r>
      <w:r w:rsidRPr="00382917">
        <w:t>had</w:t>
      </w:r>
      <w:r w:rsidR="00EE4FC3">
        <w:t xml:space="preserve"> </w:t>
      </w:r>
      <w:r w:rsidRPr="00382917">
        <w:t>the</w:t>
      </w:r>
      <w:r w:rsidR="00EE4FC3">
        <w:t xml:space="preserve"> </w:t>
      </w:r>
      <w:r w:rsidR="009C713D" w:rsidRPr="00382917">
        <w:t>“</w:t>
      </w:r>
      <w:r w:rsidRPr="00382917">
        <w:t>eyes</w:t>
      </w:r>
      <w:r w:rsidR="00EE4FC3">
        <w:t xml:space="preserve"> </w:t>
      </w:r>
      <w:r w:rsidRPr="00382917">
        <w:t>to</w:t>
      </w:r>
      <w:r w:rsidR="00EE4FC3">
        <w:t xml:space="preserve"> </w:t>
      </w:r>
      <w:r w:rsidRPr="00382917">
        <w:t>see</w:t>
      </w:r>
      <w:r w:rsidR="009C713D" w:rsidRPr="00382917">
        <w:t>”</w:t>
      </w:r>
      <w:r w:rsidR="00EE4FC3">
        <w:t xml:space="preserve"> </w:t>
      </w:r>
      <w:r w:rsidRPr="00382917">
        <w:t>and</w:t>
      </w:r>
      <w:r w:rsidR="00EE4FC3">
        <w:t xml:space="preserve"> </w:t>
      </w:r>
      <w:r w:rsidRPr="00382917">
        <w:t>the</w:t>
      </w:r>
      <w:r w:rsidR="00EE4FC3">
        <w:t xml:space="preserve"> </w:t>
      </w:r>
      <w:r w:rsidR="009C713D" w:rsidRPr="00382917">
        <w:t>“</w:t>
      </w:r>
      <w:r w:rsidRPr="00382917">
        <w:t>ears</w:t>
      </w:r>
      <w:r w:rsidR="00EE4FC3">
        <w:t xml:space="preserve"> </w:t>
      </w:r>
      <w:r w:rsidRPr="00382917">
        <w:t>to</w:t>
      </w:r>
      <w:r w:rsidR="00EE4FC3">
        <w:t xml:space="preserve"> </w:t>
      </w:r>
      <w:r w:rsidRPr="00382917">
        <w:t>hear</w:t>
      </w:r>
      <w:r w:rsidR="009C713D" w:rsidRPr="00382917">
        <w:t>”</w:t>
      </w:r>
      <w:r w:rsidR="00EE4FC3">
        <w:t xml:space="preserve"> </w:t>
      </w:r>
      <w:r w:rsidRPr="00382917">
        <w:t>would</w:t>
      </w:r>
      <w:r w:rsidR="00EE4FC3">
        <w:t xml:space="preserve"> </w:t>
      </w:r>
      <w:r w:rsidRPr="00382917">
        <w:t>receive</w:t>
      </w:r>
      <w:r w:rsidR="00EE4FC3">
        <w:t xml:space="preserve"> </w:t>
      </w:r>
      <w:r w:rsidRPr="00382917">
        <w:t>the</w:t>
      </w:r>
      <w:r w:rsidR="00EE4FC3">
        <w:t xml:space="preserve"> </w:t>
      </w:r>
      <w:r w:rsidRPr="00382917">
        <w:t>name</w:t>
      </w:r>
      <w:r w:rsidR="00EE4FC3">
        <w:t xml:space="preserve"> </w:t>
      </w:r>
      <w:r w:rsidRPr="00382917">
        <w:t>and</w:t>
      </w:r>
      <w:r w:rsidR="00EE4FC3">
        <w:t xml:space="preserve"> </w:t>
      </w:r>
      <w:r w:rsidRPr="00382917">
        <w:t>know</w:t>
      </w:r>
      <w:r w:rsidR="00EE4FC3">
        <w:t xml:space="preserve"> </w:t>
      </w:r>
      <w:r w:rsidRPr="00382917">
        <w:t>it</w:t>
      </w:r>
      <w:r w:rsidR="00552489">
        <w:t>.</w:t>
      </w:r>
      <w:r w:rsidR="00EE4FC3">
        <w:t xml:space="preserve">  </w:t>
      </w:r>
      <w:r w:rsidRPr="00382917">
        <w:t>In</w:t>
      </w:r>
      <w:r w:rsidR="00EE4FC3">
        <w:t xml:space="preserve"> </w:t>
      </w:r>
      <w:r w:rsidRPr="00382917">
        <w:t>the</w:t>
      </w:r>
      <w:r w:rsidR="00EE4FC3">
        <w:t xml:space="preserve"> </w:t>
      </w:r>
      <w:r w:rsidRPr="00382917">
        <w:t>very</w:t>
      </w:r>
      <w:r w:rsidR="00EE4FC3">
        <w:t xml:space="preserve"> </w:t>
      </w:r>
      <w:r w:rsidRPr="00382917">
        <w:t>chapter</w:t>
      </w:r>
      <w:r w:rsidR="00EE4FC3">
        <w:t xml:space="preserve"> </w:t>
      </w:r>
      <w:r w:rsidRPr="00382917">
        <w:t>in</w:t>
      </w:r>
      <w:r w:rsidR="00EE4FC3">
        <w:t xml:space="preserve"> </w:t>
      </w:r>
      <w:r w:rsidRPr="00382917">
        <w:t>which</w:t>
      </w:r>
      <w:r w:rsidR="00EE4FC3">
        <w:t xml:space="preserve"> </w:t>
      </w:r>
      <w:r w:rsidRPr="00382917">
        <w:t>Christ</w:t>
      </w:r>
      <w:r w:rsidR="00EE4FC3">
        <w:t xml:space="preserve"> </w:t>
      </w:r>
      <w:r w:rsidRPr="00382917">
        <w:t>revealed</w:t>
      </w:r>
      <w:r w:rsidR="00EE4FC3">
        <w:t xml:space="preserve"> </w:t>
      </w:r>
      <w:r w:rsidRPr="00382917">
        <w:t>to</w:t>
      </w:r>
      <w:r w:rsidR="00EE4FC3">
        <w:t xml:space="preserve"> </w:t>
      </w:r>
      <w:r w:rsidRPr="00382917">
        <w:t>John,</w:t>
      </w:r>
      <w:r w:rsidR="00EE4FC3">
        <w:t xml:space="preserve"> </w:t>
      </w:r>
      <w:r w:rsidR="009C713D" w:rsidRPr="00382917">
        <w:t>“</w:t>
      </w:r>
      <w:r w:rsidRPr="00382917">
        <w:t>If</w:t>
      </w:r>
      <w:r w:rsidR="00EE4FC3">
        <w:t xml:space="preserve"> </w:t>
      </w:r>
      <w:r w:rsidRPr="00382917">
        <w:t>therefore</w:t>
      </w:r>
      <w:r w:rsidR="00EE4FC3">
        <w:t xml:space="preserve"> </w:t>
      </w:r>
      <w:r w:rsidRPr="00382917">
        <w:t>thou</w:t>
      </w:r>
      <w:r w:rsidR="00EE4FC3">
        <w:t xml:space="preserve"> </w:t>
      </w:r>
      <w:r w:rsidRPr="00382917">
        <w:t>shalt</w:t>
      </w:r>
      <w:r w:rsidR="00EE4FC3">
        <w:t xml:space="preserve"> </w:t>
      </w:r>
      <w:r w:rsidRPr="00382917">
        <w:t>not</w:t>
      </w:r>
      <w:r w:rsidR="00EE4FC3">
        <w:t xml:space="preserve"> </w:t>
      </w:r>
      <w:r w:rsidRPr="00382917">
        <w:t>watch,</w:t>
      </w:r>
      <w:r w:rsidR="00EE4FC3">
        <w:t xml:space="preserve"> </w:t>
      </w:r>
      <w:r w:rsidRPr="00382917">
        <w:t>I</w:t>
      </w:r>
      <w:r w:rsidR="00EE4FC3">
        <w:t xml:space="preserve"> </w:t>
      </w:r>
      <w:r w:rsidRPr="00382917">
        <w:t>will</w:t>
      </w:r>
      <w:r w:rsidR="00EE4FC3">
        <w:t xml:space="preserve"> </w:t>
      </w:r>
      <w:r w:rsidRPr="00382917">
        <w:t>come</w:t>
      </w:r>
      <w:r w:rsidR="00EE4FC3">
        <w:t xml:space="preserve"> </w:t>
      </w:r>
      <w:r w:rsidRPr="00382917">
        <w:t>on</w:t>
      </w:r>
      <w:r w:rsidR="00EE4FC3">
        <w:t xml:space="preserve"> </w:t>
      </w:r>
      <w:r w:rsidRPr="00382917">
        <w:t>thee</w:t>
      </w:r>
      <w:r w:rsidR="00EE4FC3">
        <w:t xml:space="preserve"> </w:t>
      </w:r>
      <w:r w:rsidRPr="00382917">
        <w:t>as</w:t>
      </w:r>
      <w:r w:rsidR="00EE4FC3">
        <w:t xml:space="preserve"> </w:t>
      </w:r>
      <w:r w:rsidRPr="00382917">
        <w:t>a</w:t>
      </w:r>
      <w:r w:rsidR="00EE4FC3">
        <w:t xml:space="preserve"> </w:t>
      </w:r>
      <w:r w:rsidRPr="00382917">
        <w:t>thief,</w:t>
      </w:r>
      <w:r w:rsidR="00EE4FC3">
        <w:t xml:space="preserve"> </w:t>
      </w:r>
      <w:r w:rsidRPr="00382917">
        <w:t>and</w:t>
      </w:r>
      <w:r w:rsidR="00EE4FC3">
        <w:t xml:space="preserve"> </w:t>
      </w:r>
      <w:r w:rsidRPr="00382917">
        <w:t>thou</w:t>
      </w:r>
      <w:r w:rsidR="00EE4FC3">
        <w:t xml:space="preserve"> </w:t>
      </w:r>
      <w:r w:rsidRPr="00382917">
        <w:t>shalt</w:t>
      </w:r>
      <w:r w:rsidR="00EE4FC3">
        <w:t xml:space="preserve"> </w:t>
      </w:r>
      <w:r w:rsidRPr="00382917">
        <w:t>not</w:t>
      </w:r>
      <w:r w:rsidR="00EE4FC3">
        <w:t xml:space="preserve"> </w:t>
      </w:r>
      <w:r w:rsidRPr="00382917">
        <w:t>know</w:t>
      </w:r>
      <w:r w:rsidR="00EE4FC3">
        <w:t xml:space="preserve"> </w:t>
      </w:r>
      <w:r w:rsidRPr="00382917">
        <w:t>what</w:t>
      </w:r>
      <w:r w:rsidR="00EE4FC3">
        <w:t xml:space="preserve"> </w:t>
      </w:r>
      <w:r w:rsidRPr="00382917">
        <w:t>hour</w:t>
      </w:r>
      <w:r w:rsidR="00EE4FC3">
        <w:t xml:space="preserve"> </w:t>
      </w:r>
      <w:r w:rsidRPr="00382917">
        <w:t>I</w:t>
      </w:r>
      <w:r w:rsidR="00EE4FC3">
        <w:t xml:space="preserve"> </w:t>
      </w:r>
      <w:r w:rsidRPr="00382917">
        <w:t>come</w:t>
      </w:r>
      <w:r w:rsidR="00EE4FC3">
        <w:t xml:space="preserve"> </w:t>
      </w:r>
      <w:r w:rsidRPr="00382917">
        <w:t>upon</w:t>
      </w:r>
      <w:r w:rsidR="00EE4FC3">
        <w:t xml:space="preserve"> </w:t>
      </w:r>
      <w:r w:rsidRPr="00382917">
        <w:t>thee,</w:t>
      </w:r>
      <w:r w:rsidR="009C713D" w:rsidRPr="00382917">
        <w:t>”</w:t>
      </w:r>
      <w:r w:rsidR="00EE4FC3">
        <w:t xml:space="preserve"> </w:t>
      </w:r>
      <w:r w:rsidRPr="00382917">
        <w:t>a</w:t>
      </w:r>
      <w:r w:rsidR="00EE4FC3">
        <w:t xml:space="preserve"> </w:t>
      </w:r>
      <w:r w:rsidRPr="00382917">
        <w:rPr>
          <w:i/>
          <w:iCs/>
        </w:rPr>
        <w:t>new</w:t>
      </w:r>
      <w:r w:rsidR="00EE4FC3">
        <w:t xml:space="preserve"> </w:t>
      </w:r>
      <w:r w:rsidRPr="00382917">
        <w:t>name</w:t>
      </w:r>
      <w:r w:rsidR="00EE4FC3">
        <w:t xml:space="preserve"> </w:t>
      </w:r>
      <w:r w:rsidRPr="00382917">
        <w:t>for</w:t>
      </w:r>
      <w:r w:rsidR="00EE4FC3">
        <w:t xml:space="preserve"> </w:t>
      </w:r>
      <w:r w:rsidRPr="00382917">
        <w:t>His</w:t>
      </w:r>
      <w:r w:rsidR="00EE4FC3">
        <w:t xml:space="preserve"> </w:t>
      </w:r>
      <w:r w:rsidRPr="00382917">
        <w:rPr>
          <w:i/>
          <w:iCs/>
        </w:rPr>
        <w:t>new</w:t>
      </w:r>
      <w:r w:rsidR="00EE4FC3">
        <w:t xml:space="preserve"> </w:t>
      </w:r>
      <w:r w:rsidRPr="00382917">
        <w:t>followers</w:t>
      </w:r>
      <w:r w:rsidR="00EE4FC3">
        <w:t xml:space="preserve"> </w:t>
      </w:r>
      <w:r w:rsidRPr="00382917">
        <w:t>is</w:t>
      </w:r>
      <w:r w:rsidR="00EE4FC3">
        <w:t xml:space="preserve"> </w:t>
      </w:r>
      <w:r w:rsidRPr="00382917">
        <w:t>promised</w:t>
      </w:r>
      <w:r w:rsidR="00EE4FC3">
        <w:t xml:space="preserve"> </w:t>
      </w:r>
      <w:r w:rsidRPr="00382917">
        <w:t>yet</w:t>
      </w:r>
      <w:r w:rsidR="00EE4FC3">
        <w:t xml:space="preserve"> </w:t>
      </w:r>
      <w:r w:rsidRPr="00382917">
        <w:t>again.</w:t>
      </w:r>
    </w:p>
    <w:p w:rsidR="00300E83" w:rsidRPr="00382917" w:rsidRDefault="00300E83" w:rsidP="00300E83">
      <w:pPr>
        <w:pStyle w:val="Text"/>
      </w:pPr>
      <w:r w:rsidRPr="00382917">
        <w:t>Christ</w:t>
      </w:r>
      <w:r w:rsidR="00EE4FC3">
        <w:t xml:space="preserve"> </w:t>
      </w:r>
      <w:r w:rsidRPr="00382917">
        <w:t>counsels</w:t>
      </w:r>
      <w:r w:rsidR="00EE4FC3">
        <w:t xml:space="preserve"> </w:t>
      </w:r>
      <w:r w:rsidRPr="00382917">
        <w:t>His</w:t>
      </w:r>
      <w:r w:rsidR="00EE4FC3">
        <w:t xml:space="preserve"> </w:t>
      </w:r>
      <w:r w:rsidRPr="00382917">
        <w:t>followers</w:t>
      </w:r>
      <w:r w:rsidR="00EE4FC3">
        <w:t xml:space="preserve"> </w:t>
      </w:r>
      <w:r w:rsidRPr="00382917">
        <w:t>to</w:t>
      </w:r>
      <w:r w:rsidR="00EE4FC3">
        <w:t xml:space="preserve"> </w:t>
      </w:r>
      <w:r w:rsidRPr="00382917">
        <w:t>be</w:t>
      </w:r>
      <w:r w:rsidR="00EE4FC3">
        <w:t xml:space="preserve"> </w:t>
      </w:r>
      <w:r w:rsidRPr="00382917">
        <w:t>prepared</w:t>
      </w:r>
      <w:r w:rsidR="00EE4FC3">
        <w:t xml:space="preserve"> </w:t>
      </w:r>
      <w:r w:rsidRPr="00382917">
        <w:t>to</w:t>
      </w:r>
      <w:r w:rsidR="00EE4FC3">
        <w:t xml:space="preserve"> </w:t>
      </w:r>
      <w:r w:rsidRPr="00382917">
        <w:t>cast</w:t>
      </w:r>
      <w:r w:rsidR="00EE4FC3">
        <w:t xml:space="preserve"> </w:t>
      </w:r>
      <w:r w:rsidRPr="00382917">
        <w:t>aside</w:t>
      </w:r>
      <w:r w:rsidR="00EE4FC3">
        <w:t xml:space="preserve"> </w:t>
      </w:r>
      <w:r w:rsidRPr="00382917">
        <w:t>all</w:t>
      </w:r>
      <w:r w:rsidR="00EE4FC3">
        <w:t xml:space="preserve"> </w:t>
      </w:r>
      <w:r w:rsidRPr="00382917">
        <w:t>they</w:t>
      </w:r>
      <w:r w:rsidR="00EE4FC3">
        <w:t xml:space="preserve"> </w:t>
      </w:r>
      <w:r w:rsidRPr="00382917">
        <w:t>hold</w:t>
      </w:r>
      <w:r w:rsidR="00EE4FC3">
        <w:t xml:space="preserve"> </w:t>
      </w:r>
      <w:r w:rsidRPr="00382917">
        <w:t>dear</w:t>
      </w:r>
      <w:r w:rsidR="00EE4FC3">
        <w:t xml:space="preserve"> </w:t>
      </w:r>
      <w:r w:rsidRPr="00382917">
        <w:t>at</w:t>
      </w:r>
      <w:r w:rsidR="00EE4FC3">
        <w:t xml:space="preserve"> </w:t>
      </w:r>
      <w:r w:rsidRPr="00382917">
        <w:t>the</w:t>
      </w:r>
      <w:r w:rsidR="00EE4FC3">
        <w:t xml:space="preserve"> </w:t>
      </w:r>
      <w:r w:rsidRPr="00382917">
        <w:t>time</w:t>
      </w:r>
      <w:r w:rsidR="00EE4FC3">
        <w:t xml:space="preserve"> </w:t>
      </w:r>
      <w:r w:rsidRPr="00382917">
        <w:t>of</w:t>
      </w:r>
      <w:r w:rsidR="00EE4FC3">
        <w:t xml:space="preserve"> </w:t>
      </w:r>
      <w:r w:rsidRPr="00382917">
        <w:t>His</w:t>
      </w:r>
      <w:r w:rsidR="00EE4FC3">
        <w:t xml:space="preserve"> </w:t>
      </w:r>
      <w:r w:rsidRPr="00382917">
        <w:t>second</w:t>
      </w:r>
      <w:r w:rsidR="00EE4FC3">
        <w:t xml:space="preserve"> </w:t>
      </w:r>
      <w:r w:rsidRPr="00382917">
        <w:t>coming,</w:t>
      </w:r>
      <w:r w:rsidR="00EE4FC3">
        <w:t xml:space="preserve"> </w:t>
      </w:r>
      <w:r w:rsidRPr="00382917">
        <w:t>just</w:t>
      </w:r>
      <w:r w:rsidR="00EE4FC3">
        <w:t xml:space="preserve"> </w:t>
      </w:r>
      <w:r w:rsidRPr="00382917">
        <w:t>as</w:t>
      </w:r>
      <w:r w:rsidR="00EE4FC3">
        <w:t xml:space="preserve"> </w:t>
      </w:r>
      <w:r w:rsidRPr="00382917">
        <w:t>they</w:t>
      </w:r>
      <w:r w:rsidR="00EE4FC3">
        <w:t xml:space="preserve"> </w:t>
      </w:r>
      <w:r w:rsidRPr="00382917">
        <w:t>had</w:t>
      </w:r>
      <w:r w:rsidR="00EE4FC3">
        <w:t xml:space="preserve"> </w:t>
      </w:r>
      <w:r w:rsidRPr="00382917">
        <w:t>been</w:t>
      </w:r>
      <w:r w:rsidR="00EE4FC3">
        <w:t xml:space="preserve"> </w:t>
      </w:r>
      <w:r w:rsidRPr="00382917">
        <w:t>forced</w:t>
      </w:r>
      <w:r w:rsidR="00EE4FC3">
        <w:t xml:space="preserve"> </w:t>
      </w:r>
      <w:r w:rsidRPr="00382917">
        <w:t>to</w:t>
      </w:r>
      <w:r w:rsidR="00EE4FC3">
        <w:t xml:space="preserve"> </w:t>
      </w:r>
      <w:r w:rsidRPr="00382917">
        <w:t>cast</w:t>
      </w:r>
      <w:r w:rsidR="00EE4FC3">
        <w:t xml:space="preserve"> </w:t>
      </w:r>
      <w:r w:rsidRPr="00382917">
        <w:t>it</w:t>
      </w:r>
      <w:r w:rsidR="00EE4FC3">
        <w:t xml:space="preserve"> </w:t>
      </w:r>
      <w:r w:rsidRPr="00382917">
        <w:t>aside</w:t>
      </w:r>
      <w:r w:rsidR="00EE4FC3">
        <w:t xml:space="preserve"> </w:t>
      </w:r>
      <w:r w:rsidRPr="00382917">
        <w:t>in</w:t>
      </w:r>
      <w:r w:rsidR="00EE4FC3">
        <w:t xml:space="preserve"> </w:t>
      </w:r>
      <w:r w:rsidRPr="00382917">
        <w:t>the</w:t>
      </w:r>
      <w:r w:rsidR="00EE4FC3">
        <w:t xml:space="preserve"> </w:t>
      </w:r>
      <w:r w:rsidRPr="00382917">
        <w:t>day</w:t>
      </w:r>
      <w:r w:rsidR="00EE4FC3">
        <w:t xml:space="preserve"> </w:t>
      </w:r>
      <w:r w:rsidRPr="00382917">
        <w:t>of</w:t>
      </w:r>
      <w:r w:rsidR="00EE4FC3">
        <w:t xml:space="preserve"> </w:t>
      </w:r>
      <w:r w:rsidRPr="00382917">
        <w:t>His</w:t>
      </w:r>
      <w:r w:rsidR="00EE4FC3">
        <w:t xml:space="preserve"> </w:t>
      </w:r>
      <w:r w:rsidRPr="00382917">
        <w:t>first</w:t>
      </w:r>
      <w:r w:rsidR="00EE4FC3">
        <w:t xml:space="preserve"> </w:t>
      </w:r>
      <w:r w:rsidRPr="00382917">
        <w:t>coming</w:t>
      </w:r>
      <w:r w:rsidR="00552489">
        <w:t>.</w:t>
      </w:r>
      <w:r w:rsidR="00EE4FC3">
        <w:t xml:space="preserve">  </w:t>
      </w:r>
      <w:r w:rsidRPr="00382917">
        <w:t>He</w:t>
      </w:r>
      <w:r w:rsidR="00EE4FC3">
        <w:t xml:space="preserve"> </w:t>
      </w:r>
      <w:r w:rsidRPr="00382917">
        <w:t>makes</w:t>
      </w:r>
      <w:r w:rsidR="00EE4FC3">
        <w:t xml:space="preserve"> </w:t>
      </w:r>
      <w:r w:rsidRPr="00382917">
        <w:t>it</w:t>
      </w:r>
      <w:r w:rsidR="00EE4FC3">
        <w:t xml:space="preserve"> </w:t>
      </w:r>
      <w:r w:rsidRPr="00382917">
        <w:t>plain</w:t>
      </w:r>
      <w:r w:rsidR="00EE4FC3">
        <w:t xml:space="preserve"> </w:t>
      </w:r>
      <w:r w:rsidRPr="00382917">
        <w:t>that</w:t>
      </w:r>
      <w:r w:rsidR="00EE4FC3">
        <w:t xml:space="preserve"> </w:t>
      </w:r>
      <w:r w:rsidRPr="00382917">
        <w:t>His</w:t>
      </w:r>
      <w:r w:rsidR="00EE4FC3">
        <w:t xml:space="preserve"> </w:t>
      </w:r>
      <w:r w:rsidRPr="00382917">
        <w:t>second</w:t>
      </w:r>
      <w:r w:rsidR="00EE4FC3">
        <w:t xml:space="preserve"> </w:t>
      </w:r>
      <w:r w:rsidRPr="00382917">
        <w:t>coming</w:t>
      </w:r>
      <w:r w:rsidR="00EE4FC3">
        <w:t xml:space="preserve"> </w:t>
      </w:r>
      <w:r w:rsidRPr="00382917">
        <w:t>will</w:t>
      </w:r>
      <w:r w:rsidR="00EE4FC3">
        <w:t xml:space="preserve"> </w:t>
      </w:r>
      <w:r w:rsidRPr="00382917">
        <w:t>not</w:t>
      </w:r>
      <w:r w:rsidR="00EE4FC3">
        <w:t xml:space="preserve"> </w:t>
      </w:r>
      <w:r w:rsidRPr="00382917">
        <w:t>be</w:t>
      </w:r>
      <w:r w:rsidR="00EE4FC3">
        <w:t xml:space="preserve"> </w:t>
      </w:r>
      <w:r w:rsidRPr="00382917">
        <w:t>according</w:t>
      </w:r>
      <w:r w:rsidR="00EE4FC3">
        <w:t xml:space="preserve"> </w:t>
      </w:r>
      <w:r w:rsidRPr="00382917">
        <w:t>to</w:t>
      </w:r>
      <w:r w:rsidR="00EE4FC3">
        <w:t xml:space="preserve"> </w:t>
      </w:r>
      <w:r w:rsidRPr="00382917">
        <w:t>the</w:t>
      </w:r>
      <w:r w:rsidR="00EE4FC3">
        <w:t xml:space="preserve"> </w:t>
      </w:r>
      <w:r w:rsidRPr="00382917">
        <w:t>beliefs,</w:t>
      </w:r>
      <w:r w:rsidR="00EE4FC3">
        <w:t xml:space="preserve"> </w:t>
      </w:r>
      <w:r w:rsidRPr="00382917">
        <w:t>standards,</w:t>
      </w:r>
      <w:r w:rsidR="00EE4FC3">
        <w:t xml:space="preserve"> </w:t>
      </w:r>
      <w:r w:rsidRPr="00382917">
        <w:t>or</w:t>
      </w:r>
      <w:r w:rsidR="00EE4FC3">
        <w:t xml:space="preserve"> </w:t>
      </w:r>
      <w:r w:rsidRPr="00382917">
        <w:t>expectations</w:t>
      </w:r>
      <w:r w:rsidR="00EE4FC3">
        <w:t xml:space="preserve"> </w:t>
      </w:r>
      <w:r w:rsidRPr="00382917">
        <w:t>of</w:t>
      </w:r>
      <w:r w:rsidR="00EE4FC3">
        <w:t xml:space="preserve"> </w:t>
      </w:r>
      <w:r w:rsidRPr="00382917">
        <w:t>any</w:t>
      </w:r>
      <w:r w:rsidR="00EE4FC3">
        <w:t xml:space="preserve"> </w:t>
      </w:r>
      <w:r w:rsidRPr="00382917">
        <w:t>man</w:t>
      </w:r>
      <w:r w:rsidR="00552489">
        <w:t>.</w:t>
      </w:r>
      <w:r w:rsidR="00EE4FC3">
        <w:t xml:space="preserve">  </w:t>
      </w:r>
      <w:r w:rsidRPr="00382917">
        <w:t>He</w:t>
      </w:r>
      <w:r w:rsidR="00EE4FC3">
        <w:t xml:space="preserve"> </w:t>
      </w:r>
      <w:r w:rsidRPr="00382917">
        <w:t>warns</w:t>
      </w:r>
      <w:r w:rsidR="00EE4FC3">
        <w:t xml:space="preserve"> </w:t>
      </w:r>
      <w:r w:rsidRPr="00382917">
        <w:t>each</w:t>
      </w:r>
      <w:r w:rsidR="00EE4FC3">
        <w:t xml:space="preserve"> </w:t>
      </w:r>
      <w:r w:rsidRPr="00382917">
        <w:t>individual</w:t>
      </w:r>
      <w:r w:rsidR="00EE4FC3">
        <w:t xml:space="preserve"> </w:t>
      </w:r>
      <w:r w:rsidRPr="00382917">
        <w:t>that</w:t>
      </w:r>
      <w:r w:rsidR="00EE4FC3">
        <w:t xml:space="preserve"> </w:t>
      </w:r>
      <w:r w:rsidRPr="00382917">
        <w:t>he</w:t>
      </w:r>
      <w:r w:rsidR="00EE4FC3">
        <w:t xml:space="preserve"> </w:t>
      </w:r>
      <w:r w:rsidRPr="00382917">
        <w:t>must</w:t>
      </w:r>
      <w:r w:rsidR="00EE4FC3">
        <w:t xml:space="preserve"> </w:t>
      </w:r>
      <w:r w:rsidRPr="00382917">
        <w:t>search</w:t>
      </w:r>
      <w:r w:rsidR="00EE4FC3">
        <w:t xml:space="preserve"> </w:t>
      </w:r>
      <w:r w:rsidRPr="00382917">
        <w:t>for</w:t>
      </w:r>
      <w:r w:rsidR="00EE4FC3">
        <w:t xml:space="preserve"> </w:t>
      </w:r>
      <w:r w:rsidRPr="00382917">
        <w:t>himself,</w:t>
      </w:r>
      <w:r w:rsidR="00EE4FC3">
        <w:t xml:space="preserve"> </w:t>
      </w:r>
      <w:r w:rsidRPr="00382917">
        <w:t>must</w:t>
      </w:r>
      <w:r w:rsidR="00EE4FC3">
        <w:t xml:space="preserve"> </w:t>
      </w:r>
      <w:r w:rsidRPr="00382917">
        <w:t>be</w:t>
      </w:r>
      <w:r w:rsidR="00EE4FC3">
        <w:t xml:space="preserve"> </w:t>
      </w:r>
      <w:r w:rsidRPr="00382917">
        <w:t>alert,</w:t>
      </w:r>
      <w:r w:rsidR="00EE4FC3">
        <w:t xml:space="preserve"> </w:t>
      </w:r>
      <w:proofErr w:type="gramStart"/>
      <w:r w:rsidRPr="00382917">
        <w:t>must</w:t>
      </w:r>
      <w:proofErr w:type="gramEnd"/>
      <w:r w:rsidR="00EE4FC3">
        <w:t xml:space="preserve"> </w:t>
      </w:r>
      <w:r w:rsidRPr="00382917">
        <w:t>look</w:t>
      </w:r>
      <w:r w:rsidR="00EE4FC3">
        <w:t xml:space="preserve"> </w:t>
      </w:r>
      <w:r w:rsidRPr="00382917">
        <w:t>with</w:t>
      </w:r>
      <w:r w:rsidR="00EE4FC3">
        <w:t xml:space="preserve"> </w:t>
      </w:r>
      <w:r w:rsidRPr="00382917">
        <w:t>an</w:t>
      </w:r>
      <w:r w:rsidR="00EE4FC3">
        <w:t xml:space="preserve"> </w:t>
      </w:r>
      <w:r w:rsidR="009C713D" w:rsidRPr="00382917">
        <w:t>“</w:t>
      </w:r>
      <w:r w:rsidRPr="00382917">
        <w:t>inner</w:t>
      </w:r>
      <w:r w:rsidR="00EE4FC3">
        <w:t xml:space="preserve"> </w:t>
      </w:r>
      <w:r w:rsidRPr="00382917">
        <w:t>eye</w:t>
      </w:r>
      <w:r w:rsidR="009C713D" w:rsidRPr="00382917">
        <w:t>”</w:t>
      </w:r>
      <w:r w:rsidR="00552489">
        <w:t>.</w:t>
      </w:r>
      <w:r w:rsidR="00EE4FC3">
        <w:t xml:space="preserve">  </w:t>
      </w:r>
      <w:r w:rsidRPr="00382917">
        <w:t>In</w:t>
      </w:r>
      <w:r w:rsidR="00EE4FC3">
        <w:t xml:space="preserve"> </w:t>
      </w:r>
      <w:r w:rsidRPr="00382917">
        <w:t>this</w:t>
      </w:r>
      <w:r w:rsidR="00EE4FC3">
        <w:t xml:space="preserve"> </w:t>
      </w:r>
      <w:r w:rsidRPr="00382917">
        <w:t>final</w:t>
      </w:r>
      <w:r w:rsidR="00EE4FC3">
        <w:t xml:space="preserve"> </w:t>
      </w:r>
      <w:r w:rsidRPr="00382917">
        <w:t>book</w:t>
      </w:r>
      <w:r w:rsidR="00EE4FC3">
        <w:t xml:space="preserve"> </w:t>
      </w:r>
      <w:r w:rsidRPr="00382917">
        <w:t>of</w:t>
      </w:r>
      <w:r w:rsidR="00EE4FC3">
        <w:t xml:space="preserve"> </w:t>
      </w:r>
      <w:r w:rsidRPr="00382917">
        <w:t>Christian</w:t>
      </w:r>
      <w:r w:rsidR="00EE4FC3">
        <w:t xml:space="preserve"> </w:t>
      </w:r>
      <w:r w:rsidRPr="00382917">
        <w:t>Scripture</w:t>
      </w:r>
      <w:r w:rsidR="00EE4FC3">
        <w:t xml:space="preserve"> </w:t>
      </w:r>
      <w:r w:rsidRPr="00382917">
        <w:t>(Revelation),</w:t>
      </w:r>
      <w:r w:rsidR="00EE4FC3">
        <w:t xml:space="preserve"> </w:t>
      </w:r>
      <w:r w:rsidRPr="00382917">
        <w:t>Christ</w:t>
      </w:r>
      <w:r w:rsidR="00EE4FC3">
        <w:t xml:space="preserve"> </w:t>
      </w:r>
      <w:r w:rsidRPr="00382917">
        <w:t>says</w:t>
      </w:r>
      <w:r w:rsidR="00C03C91">
        <w:t>:</w:t>
      </w:r>
      <w:r w:rsidR="00EE4FC3">
        <w:t xml:space="preserve">  </w:t>
      </w:r>
      <w:r w:rsidR="009C713D" w:rsidRPr="00382917">
        <w:t>“</w:t>
      </w:r>
      <w:r w:rsidRPr="00382917">
        <w:t>Blessed</w:t>
      </w:r>
      <w:r w:rsidR="00EE4FC3">
        <w:t xml:space="preserve"> </w:t>
      </w:r>
      <w:r w:rsidRPr="00382917">
        <w:t>is</w:t>
      </w:r>
      <w:r w:rsidR="00EE4FC3">
        <w:t xml:space="preserve"> </w:t>
      </w:r>
      <w:r w:rsidRPr="00382917">
        <w:t>he</w:t>
      </w:r>
      <w:r w:rsidR="00EE4FC3">
        <w:t xml:space="preserve"> </w:t>
      </w:r>
      <w:r w:rsidRPr="00382917">
        <w:t>that</w:t>
      </w:r>
      <w:r w:rsidR="00EE4FC3">
        <w:t xml:space="preserve"> </w:t>
      </w:r>
      <w:proofErr w:type="spellStart"/>
      <w:r w:rsidRPr="00382917">
        <w:t>watcheth</w:t>
      </w:r>
      <w:proofErr w:type="spellEnd"/>
      <w:r w:rsidRPr="00382917">
        <w:t>.</w:t>
      </w:r>
      <w:r w:rsidR="009C713D" w:rsidRPr="00382917">
        <w:t>”</w:t>
      </w:r>
    </w:p>
    <w:p w:rsidR="00300E83" w:rsidRPr="00382917" w:rsidRDefault="00300E83">
      <w:pPr>
        <w:widowControl/>
        <w:kinsoku/>
        <w:overflowPunct/>
        <w:textAlignment w:val="auto"/>
      </w:pPr>
      <w:r w:rsidRPr="00382917">
        <w:br w:type="page"/>
      </w:r>
    </w:p>
    <w:p w:rsidR="00300E83" w:rsidRPr="00382917" w:rsidRDefault="00300E83" w:rsidP="00300E83">
      <w:pPr>
        <w:pStyle w:val="Text"/>
      </w:pPr>
      <w:r w:rsidRPr="00382917">
        <w:t>It</w:t>
      </w:r>
      <w:r w:rsidR="00EE4FC3">
        <w:t xml:space="preserve"> </w:t>
      </w:r>
      <w:r w:rsidRPr="00382917">
        <w:t>is</w:t>
      </w:r>
      <w:r w:rsidR="00EE4FC3">
        <w:t xml:space="preserve"> </w:t>
      </w:r>
      <w:r w:rsidRPr="00382917">
        <w:t>chapter</w:t>
      </w:r>
      <w:r w:rsidR="00EE4FC3">
        <w:t xml:space="preserve"> </w:t>
      </w:r>
      <w:r w:rsidRPr="00382917">
        <w:t>eleven</w:t>
      </w:r>
      <w:r w:rsidR="00EE4FC3">
        <w:t xml:space="preserve"> </w:t>
      </w:r>
      <w:r w:rsidRPr="00382917">
        <w:t>of</w:t>
      </w:r>
      <w:r w:rsidR="00EE4FC3">
        <w:t xml:space="preserve"> </w:t>
      </w:r>
      <w:r w:rsidRPr="00382917">
        <w:t>this</w:t>
      </w:r>
      <w:r w:rsidR="00EE4FC3">
        <w:t xml:space="preserve"> </w:t>
      </w:r>
      <w:r w:rsidRPr="00382917">
        <w:t>final</w:t>
      </w:r>
      <w:r w:rsidR="00EE4FC3">
        <w:t xml:space="preserve"> </w:t>
      </w:r>
      <w:r w:rsidRPr="00382917">
        <w:t>book</w:t>
      </w:r>
      <w:r w:rsidR="00EE4FC3">
        <w:t xml:space="preserve"> </w:t>
      </w:r>
      <w:r w:rsidRPr="00382917">
        <w:t>of</w:t>
      </w:r>
      <w:r w:rsidR="00EE4FC3">
        <w:t xml:space="preserve"> </w:t>
      </w:r>
      <w:r w:rsidRPr="00382917">
        <w:t>Christian</w:t>
      </w:r>
      <w:r w:rsidR="00EE4FC3">
        <w:t xml:space="preserve"> </w:t>
      </w:r>
      <w:r w:rsidRPr="00382917">
        <w:t>Scripture</w:t>
      </w:r>
      <w:r w:rsidR="00EE4FC3">
        <w:t xml:space="preserve"> </w:t>
      </w:r>
      <w:r w:rsidRPr="00382917">
        <w:t>which</w:t>
      </w:r>
      <w:r w:rsidR="00EE4FC3">
        <w:t xml:space="preserve"> </w:t>
      </w:r>
      <w:r w:rsidRPr="00382917">
        <w:t>so</w:t>
      </w:r>
      <w:r w:rsidR="00EE4FC3">
        <w:t xml:space="preserve"> </w:t>
      </w:r>
      <w:r w:rsidRPr="00382917">
        <w:t>clearly</w:t>
      </w:r>
      <w:r w:rsidR="00EE4FC3">
        <w:t xml:space="preserve"> </w:t>
      </w:r>
      <w:r w:rsidRPr="00382917">
        <w:t>prophesied</w:t>
      </w:r>
      <w:r w:rsidR="00EE4FC3">
        <w:t xml:space="preserve"> </w:t>
      </w:r>
      <w:r w:rsidRPr="00382917">
        <w:t>that</w:t>
      </w:r>
      <w:r w:rsidR="00EE4FC3">
        <w:t xml:space="preserve"> </w:t>
      </w:r>
      <w:r w:rsidRPr="00382917">
        <w:t>the</w:t>
      </w:r>
      <w:r w:rsidR="00EE4FC3">
        <w:t xml:space="preserve"> </w:t>
      </w:r>
      <w:r w:rsidR="009C713D" w:rsidRPr="00382917">
        <w:t>“</w:t>
      </w:r>
      <w:r w:rsidRPr="00382917">
        <w:t>times</w:t>
      </w:r>
      <w:r w:rsidR="00EE4FC3">
        <w:t xml:space="preserve"> </w:t>
      </w:r>
      <w:r w:rsidRPr="00382917">
        <w:t>of</w:t>
      </w:r>
      <w:r w:rsidR="00EE4FC3">
        <w:t xml:space="preserve"> </w:t>
      </w:r>
      <w:r w:rsidRPr="00382917">
        <w:t>the</w:t>
      </w:r>
      <w:r w:rsidR="00EE4FC3">
        <w:t xml:space="preserve"> </w:t>
      </w:r>
      <w:r w:rsidRPr="00382917">
        <w:t>Gentiles</w:t>
      </w:r>
      <w:r w:rsidR="009C713D" w:rsidRPr="00382917">
        <w:t>”</w:t>
      </w:r>
      <w:r w:rsidR="00EE4FC3">
        <w:t xml:space="preserve"> </w:t>
      </w:r>
      <w:r w:rsidRPr="00382917">
        <w:t>would</w:t>
      </w:r>
      <w:r w:rsidR="00EE4FC3">
        <w:t xml:space="preserve"> </w:t>
      </w:r>
      <w:r w:rsidRPr="00382917">
        <w:t>be</w:t>
      </w:r>
      <w:r w:rsidR="00EE4FC3">
        <w:t xml:space="preserve"> </w:t>
      </w:r>
      <w:r w:rsidRPr="00382917">
        <w:t>fulfilled</w:t>
      </w:r>
      <w:r w:rsidR="00EE4FC3">
        <w:t xml:space="preserve"> </w:t>
      </w:r>
      <w:r w:rsidRPr="00382917">
        <w:t>by</w:t>
      </w:r>
      <w:r w:rsidR="00EE4FC3">
        <w:t xml:space="preserve"> </w:t>
      </w:r>
      <w:r w:rsidRPr="00382917">
        <w:t>the</w:t>
      </w:r>
      <w:r w:rsidR="00EE4FC3">
        <w:t xml:space="preserve"> </w:t>
      </w:r>
      <w:r w:rsidRPr="00382917">
        <w:t>year</w:t>
      </w:r>
      <w:r w:rsidR="00EE4FC3">
        <w:t xml:space="preserve"> </w:t>
      </w:r>
      <w:r w:rsidRPr="00382917">
        <w:t>1844</w:t>
      </w:r>
      <w:r w:rsidR="00552489">
        <w:t>.</w:t>
      </w:r>
      <w:r w:rsidR="00EE4FC3">
        <w:t xml:space="preserve">  </w:t>
      </w:r>
      <w:r w:rsidRPr="00382917">
        <w:t>This</w:t>
      </w:r>
      <w:r w:rsidR="00EE4FC3">
        <w:t xml:space="preserve"> </w:t>
      </w:r>
      <w:r w:rsidRPr="00382917">
        <w:t>was</w:t>
      </w:r>
      <w:r w:rsidR="00EE4FC3">
        <w:t xml:space="preserve"> </w:t>
      </w:r>
      <w:r w:rsidRPr="00382917">
        <w:t>the</w:t>
      </w:r>
      <w:r w:rsidR="00EE4FC3">
        <w:t xml:space="preserve"> </w:t>
      </w:r>
      <w:r w:rsidRPr="00382917">
        <w:t>hour</w:t>
      </w:r>
      <w:r w:rsidR="00EE4FC3">
        <w:t xml:space="preserve"> </w:t>
      </w:r>
      <w:r w:rsidRPr="00382917">
        <w:t>(1844)</w:t>
      </w:r>
      <w:r w:rsidR="00EE4FC3">
        <w:t xml:space="preserve"> </w:t>
      </w:r>
      <w:r w:rsidRPr="00382917">
        <w:t>when</w:t>
      </w:r>
      <w:r w:rsidR="00EE4FC3">
        <w:t xml:space="preserve"> </w:t>
      </w:r>
      <w:r w:rsidRPr="00382917">
        <w:t>Christ</w:t>
      </w:r>
      <w:r w:rsidR="00EE4FC3">
        <w:t xml:space="preserve"> </w:t>
      </w:r>
      <w:r w:rsidRPr="00382917">
        <w:t>Himself</w:t>
      </w:r>
      <w:r w:rsidR="00EE4FC3">
        <w:t xml:space="preserve"> </w:t>
      </w:r>
      <w:r w:rsidRPr="00382917">
        <w:t>promised</w:t>
      </w:r>
      <w:r w:rsidR="00C03C91">
        <w:t>:</w:t>
      </w:r>
      <w:r w:rsidR="00EE4FC3">
        <w:t xml:space="preserve">  </w:t>
      </w:r>
      <w:r w:rsidR="009C713D" w:rsidRPr="00382917">
        <w:t>“</w:t>
      </w:r>
      <w:r w:rsidRPr="00382917">
        <w:t>Then</w:t>
      </w:r>
      <w:r w:rsidR="00EE4FC3">
        <w:t xml:space="preserve"> </w:t>
      </w:r>
      <w:r w:rsidRPr="00382917">
        <w:t>shall</w:t>
      </w:r>
      <w:r w:rsidR="00EE4FC3">
        <w:t xml:space="preserve"> </w:t>
      </w:r>
      <w:r w:rsidRPr="00382917">
        <w:t>they</w:t>
      </w:r>
      <w:r w:rsidR="00EE4FC3">
        <w:t xml:space="preserve"> </w:t>
      </w:r>
      <w:r w:rsidRPr="00382917">
        <w:t>see</w:t>
      </w:r>
      <w:r w:rsidR="00EE4FC3">
        <w:t xml:space="preserve"> </w:t>
      </w:r>
      <w:r w:rsidRPr="00382917">
        <w:t>the</w:t>
      </w:r>
      <w:r w:rsidR="00EE4FC3">
        <w:t xml:space="preserve"> </w:t>
      </w:r>
      <w:r w:rsidRPr="00382917">
        <w:t>Son</w:t>
      </w:r>
      <w:r w:rsidR="00EE4FC3">
        <w:t xml:space="preserve"> </w:t>
      </w:r>
      <w:r w:rsidRPr="00382917">
        <w:t>of</w:t>
      </w:r>
      <w:r w:rsidR="00EE4FC3">
        <w:t xml:space="preserve"> </w:t>
      </w:r>
      <w:r w:rsidRPr="00382917">
        <w:t>man</w:t>
      </w:r>
      <w:r w:rsidR="00EE4FC3">
        <w:t xml:space="preserve"> </w:t>
      </w:r>
      <w:r w:rsidRPr="00382917">
        <w:t>coming.</w:t>
      </w:r>
      <w:r w:rsidR="009C713D" w:rsidRPr="00382917">
        <w:t>”</w:t>
      </w:r>
    </w:p>
    <w:p w:rsidR="00300E83" w:rsidRPr="00382917" w:rsidRDefault="00300E83" w:rsidP="00300E83">
      <w:pPr>
        <w:pStyle w:val="Text"/>
      </w:pPr>
      <w:r w:rsidRPr="00382917">
        <w:t>There</w:t>
      </w:r>
      <w:r w:rsidR="00EE4FC3">
        <w:t xml:space="preserve"> </w:t>
      </w:r>
      <w:r w:rsidRPr="00382917">
        <w:t>is</w:t>
      </w:r>
      <w:r w:rsidR="00EE4FC3">
        <w:t xml:space="preserve"> </w:t>
      </w:r>
      <w:r w:rsidRPr="00382917">
        <w:t>no</w:t>
      </w:r>
      <w:r w:rsidR="00EE4FC3">
        <w:t xml:space="preserve"> </w:t>
      </w:r>
      <w:r w:rsidRPr="00382917">
        <w:t>subject</w:t>
      </w:r>
      <w:r w:rsidR="00EE4FC3">
        <w:t xml:space="preserve"> </w:t>
      </w:r>
      <w:r w:rsidRPr="00382917">
        <w:t>spoken</w:t>
      </w:r>
      <w:r w:rsidR="00EE4FC3">
        <w:t xml:space="preserve"> </w:t>
      </w:r>
      <w:r w:rsidRPr="00382917">
        <w:t>of</w:t>
      </w:r>
      <w:r w:rsidR="00EE4FC3">
        <w:t xml:space="preserve"> </w:t>
      </w:r>
      <w:r w:rsidRPr="00382917">
        <w:t>with</w:t>
      </w:r>
      <w:r w:rsidR="00EE4FC3">
        <w:t xml:space="preserve"> </w:t>
      </w:r>
      <w:r w:rsidRPr="00382917">
        <w:t>more</w:t>
      </w:r>
      <w:r w:rsidR="00EE4FC3">
        <w:t xml:space="preserve"> </w:t>
      </w:r>
      <w:r w:rsidRPr="00382917">
        <w:t>frequency</w:t>
      </w:r>
      <w:r w:rsidR="00EE4FC3">
        <w:t xml:space="preserve"> </w:t>
      </w:r>
      <w:r w:rsidRPr="00382917">
        <w:t>and</w:t>
      </w:r>
      <w:r w:rsidR="00EE4FC3">
        <w:t xml:space="preserve"> </w:t>
      </w:r>
      <w:r w:rsidRPr="00382917">
        <w:t>more</w:t>
      </w:r>
      <w:r w:rsidR="00EE4FC3">
        <w:t xml:space="preserve"> </w:t>
      </w:r>
      <w:r w:rsidRPr="00382917">
        <w:t>power</w:t>
      </w:r>
      <w:r w:rsidR="00EE4FC3">
        <w:t xml:space="preserve"> </w:t>
      </w:r>
      <w:r w:rsidRPr="00382917">
        <w:t>in</w:t>
      </w:r>
      <w:r w:rsidR="00EE4FC3">
        <w:t xml:space="preserve"> </w:t>
      </w:r>
      <w:r w:rsidRPr="00382917">
        <w:t>all</w:t>
      </w:r>
      <w:r w:rsidR="00EE4FC3">
        <w:t xml:space="preserve"> </w:t>
      </w:r>
      <w:r w:rsidRPr="00382917">
        <w:t>the</w:t>
      </w:r>
      <w:r w:rsidR="00EE4FC3">
        <w:t xml:space="preserve"> </w:t>
      </w:r>
      <w:r w:rsidRPr="00382917">
        <w:t>New</w:t>
      </w:r>
      <w:r w:rsidR="00EE4FC3">
        <w:t xml:space="preserve"> </w:t>
      </w:r>
      <w:r w:rsidRPr="00382917">
        <w:t>Testament</w:t>
      </w:r>
      <w:r w:rsidR="00EE4FC3">
        <w:t xml:space="preserve"> </w:t>
      </w:r>
      <w:r w:rsidRPr="00382917">
        <w:t>than</w:t>
      </w:r>
      <w:r w:rsidR="00EE4FC3">
        <w:t xml:space="preserve"> </w:t>
      </w:r>
      <w:r w:rsidRPr="00382917">
        <w:t>that</w:t>
      </w:r>
      <w:r w:rsidR="00EE4FC3">
        <w:t xml:space="preserve"> </w:t>
      </w:r>
      <w:r w:rsidRPr="00382917">
        <w:t>of</w:t>
      </w:r>
      <w:r w:rsidR="00EE4FC3">
        <w:t xml:space="preserve"> </w:t>
      </w:r>
      <w:r w:rsidRPr="00382917">
        <w:t>the</w:t>
      </w:r>
      <w:r w:rsidR="00EE4FC3">
        <w:t xml:space="preserve"> </w:t>
      </w:r>
      <w:r w:rsidRPr="00382917">
        <w:t>Return</w:t>
      </w:r>
      <w:r w:rsidR="00EE4FC3">
        <w:t xml:space="preserve"> </w:t>
      </w:r>
      <w:r w:rsidRPr="00382917">
        <w:t>of</w:t>
      </w:r>
      <w:r w:rsidR="00EE4FC3">
        <w:t xml:space="preserve"> </w:t>
      </w:r>
      <w:r w:rsidRPr="00382917">
        <w:t>Christ</w:t>
      </w:r>
      <w:r w:rsidR="00552489">
        <w:t>.</w:t>
      </w:r>
      <w:r w:rsidR="00EE4FC3">
        <w:t xml:space="preserve">  </w:t>
      </w:r>
      <w:r w:rsidRPr="00382917">
        <w:t>It</w:t>
      </w:r>
      <w:r w:rsidR="00EE4FC3">
        <w:t xml:space="preserve"> </w:t>
      </w:r>
      <w:r w:rsidRPr="00382917">
        <w:t>is</w:t>
      </w:r>
      <w:r w:rsidR="00EE4FC3">
        <w:t xml:space="preserve"> </w:t>
      </w:r>
      <w:r w:rsidRPr="00382917">
        <w:t>mentioned</w:t>
      </w:r>
      <w:r w:rsidR="00EE4FC3">
        <w:t xml:space="preserve"> </w:t>
      </w:r>
      <w:r w:rsidRPr="00382917">
        <w:t>repeatedly</w:t>
      </w:r>
      <w:r w:rsidR="00EE4FC3">
        <w:t xml:space="preserve"> </w:t>
      </w:r>
      <w:r w:rsidRPr="00382917">
        <w:t>on</w:t>
      </w:r>
      <w:r w:rsidR="00EE4FC3">
        <w:t xml:space="preserve"> </w:t>
      </w:r>
      <w:r w:rsidRPr="00382917">
        <w:t>innumerable</w:t>
      </w:r>
      <w:r w:rsidR="00EE4FC3">
        <w:t xml:space="preserve"> </w:t>
      </w:r>
      <w:r w:rsidRPr="00382917">
        <w:t>occasions</w:t>
      </w:r>
      <w:r w:rsidR="00552489">
        <w:t>.</w:t>
      </w:r>
      <w:r w:rsidR="00EE4FC3">
        <w:t xml:space="preserve">  </w:t>
      </w:r>
      <w:r w:rsidRPr="00382917">
        <w:t>Christ</w:t>
      </w:r>
      <w:r w:rsidR="00EE4FC3">
        <w:t xml:space="preserve"> </w:t>
      </w:r>
      <w:r w:rsidRPr="00382917">
        <w:t>says</w:t>
      </w:r>
      <w:r w:rsidR="00EE4FC3">
        <w:t xml:space="preserve"> </w:t>
      </w:r>
      <w:r w:rsidRPr="00382917">
        <w:t>clearly,</w:t>
      </w:r>
      <w:r w:rsidR="00EE4FC3">
        <w:t xml:space="preserve"> </w:t>
      </w:r>
      <w:r w:rsidRPr="00382917">
        <w:t>time</w:t>
      </w:r>
      <w:r w:rsidR="00EE4FC3">
        <w:t xml:space="preserve"> </w:t>
      </w:r>
      <w:r w:rsidRPr="00382917">
        <w:t>after</w:t>
      </w:r>
      <w:r w:rsidR="00EE4FC3">
        <w:t xml:space="preserve"> </w:t>
      </w:r>
      <w:r w:rsidRPr="00382917">
        <w:t>time:</w:t>
      </w:r>
    </w:p>
    <w:p w:rsidR="00300E83" w:rsidRPr="00382917" w:rsidRDefault="00EE4CE6" w:rsidP="00EE4CE6">
      <w:pPr>
        <w:pStyle w:val="Bullet2"/>
      </w:pPr>
      <w:r w:rsidRPr="00382917">
        <w:t>1.</w:t>
      </w:r>
      <w:r w:rsidRPr="00382917">
        <w:tab/>
      </w:r>
      <w:r w:rsidR="009C713D" w:rsidRPr="00382917">
        <w:t>“</w:t>
      </w:r>
      <w:r w:rsidR="00300E83" w:rsidRPr="00382917">
        <w:t>I</w:t>
      </w:r>
      <w:r w:rsidR="00EE4FC3">
        <w:t xml:space="preserve"> </w:t>
      </w:r>
      <w:r w:rsidR="00300E83" w:rsidRPr="00382917">
        <w:t>will</w:t>
      </w:r>
      <w:r w:rsidR="00EE4FC3">
        <w:t xml:space="preserve"> </w:t>
      </w:r>
      <w:r w:rsidR="00300E83" w:rsidRPr="00382917">
        <w:t>not</w:t>
      </w:r>
      <w:r w:rsidR="00EE4FC3">
        <w:t xml:space="preserve"> </w:t>
      </w:r>
      <w:r w:rsidR="00300E83" w:rsidRPr="00382917">
        <w:t>leave</w:t>
      </w:r>
      <w:r w:rsidR="00EE4FC3">
        <w:t xml:space="preserve"> </w:t>
      </w:r>
      <w:r w:rsidR="00300E83" w:rsidRPr="00382917">
        <w:t>you</w:t>
      </w:r>
      <w:r w:rsidR="00EE4FC3">
        <w:t xml:space="preserve"> </w:t>
      </w:r>
      <w:r w:rsidR="00300E83" w:rsidRPr="00382917">
        <w:t>comfortless</w:t>
      </w:r>
      <w:r w:rsidR="00C03C91">
        <w:t>:</w:t>
      </w:r>
      <w:r w:rsidR="00EE4FC3">
        <w:t xml:space="preserve">  </w:t>
      </w:r>
      <w:r w:rsidR="00300E83" w:rsidRPr="00382917">
        <w:t>I</w:t>
      </w:r>
      <w:r w:rsidR="00EE4FC3">
        <w:t xml:space="preserve"> </w:t>
      </w:r>
      <w:r w:rsidR="00300E83" w:rsidRPr="00382917">
        <w:t>will</w:t>
      </w:r>
      <w:r w:rsidR="00EE4FC3">
        <w:t xml:space="preserve"> </w:t>
      </w:r>
      <w:r w:rsidR="00300E83" w:rsidRPr="00382917">
        <w:t>come</w:t>
      </w:r>
      <w:r w:rsidR="00EE4FC3">
        <w:t xml:space="preserve"> </w:t>
      </w:r>
      <w:r w:rsidR="00300E83" w:rsidRPr="00382917">
        <w:t>to</w:t>
      </w:r>
      <w:r w:rsidR="00EE4FC3">
        <w:t xml:space="preserve"> </w:t>
      </w:r>
      <w:r w:rsidR="00300E83" w:rsidRPr="00382917">
        <w:t>you.</w:t>
      </w:r>
      <w:r w:rsidR="009C713D" w:rsidRPr="00382917">
        <w:t>”</w:t>
      </w:r>
    </w:p>
    <w:p w:rsidR="00300E83" w:rsidRPr="00382917" w:rsidRDefault="00EE4CE6" w:rsidP="00EE4CE6">
      <w:pPr>
        <w:pStyle w:val="Bullet2ct"/>
      </w:pPr>
      <w:r w:rsidRPr="00382917">
        <w:t>2.</w:t>
      </w:r>
      <w:r w:rsidRPr="00382917">
        <w:tab/>
      </w:r>
      <w:r w:rsidR="009C713D" w:rsidRPr="00382917">
        <w:t>“</w:t>
      </w:r>
      <w:r w:rsidR="00300E83" w:rsidRPr="00382917">
        <w:t>And</w:t>
      </w:r>
      <w:r w:rsidR="00EE4FC3">
        <w:t xml:space="preserve"> </w:t>
      </w:r>
      <w:r w:rsidR="00300E83" w:rsidRPr="00382917">
        <w:t>behold</w:t>
      </w:r>
      <w:r w:rsidR="00EE4FC3">
        <w:t xml:space="preserve"> </w:t>
      </w:r>
      <w:r w:rsidR="00300E83" w:rsidRPr="00382917">
        <w:t>I</w:t>
      </w:r>
      <w:r w:rsidR="00EE4FC3">
        <w:t xml:space="preserve"> </w:t>
      </w:r>
      <w:r w:rsidR="00300E83" w:rsidRPr="00382917">
        <w:t>come</w:t>
      </w:r>
      <w:r w:rsidR="00EE4FC3">
        <w:t xml:space="preserve"> </w:t>
      </w:r>
      <w:r w:rsidR="00300E83" w:rsidRPr="00382917">
        <w:t>quickly.</w:t>
      </w:r>
      <w:r w:rsidR="009C713D" w:rsidRPr="00382917">
        <w:t>”</w:t>
      </w:r>
    </w:p>
    <w:p w:rsidR="00300E83" w:rsidRPr="00382917" w:rsidRDefault="00EE4CE6" w:rsidP="00EE4CE6">
      <w:pPr>
        <w:pStyle w:val="Bullet2ct"/>
      </w:pPr>
      <w:r w:rsidRPr="00382917">
        <w:t>3.</w:t>
      </w:r>
      <w:r w:rsidRPr="00382917">
        <w:tab/>
      </w:r>
      <w:r w:rsidR="009C713D" w:rsidRPr="00382917">
        <w:t>“</w:t>
      </w:r>
      <w:r w:rsidR="00300E83" w:rsidRPr="00382917">
        <w:t>For</w:t>
      </w:r>
      <w:r w:rsidR="00EE4FC3">
        <w:t xml:space="preserve"> </w:t>
      </w:r>
      <w:r w:rsidR="00300E83" w:rsidRPr="00382917">
        <w:t>the</w:t>
      </w:r>
      <w:r w:rsidR="00EE4FC3">
        <w:t xml:space="preserve"> </w:t>
      </w:r>
      <w:r w:rsidR="00300E83" w:rsidRPr="00382917">
        <w:t>Son</w:t>
      </w:r>
      <w:r w:rsidR="00EE4FC3">
        <w:t xml:space="preserve"> </w:t>
      </w:r>
      <w:r w:rsidR="00300E83" w:rsidRPr="00382917">
        <w:t>of</w:t>
      </w:r>
      <w:r w:rsidR="00EE4FC3">
        <w:t xml:space="preserve"> </w:t>
      </w:r>
      <w:r w:rsidR="00300E83" w:rsidRPr="00382917">
        <w:t>man</w:t>
      </w:r>
      <w:r w:rsidR="00EE4FC3">
        <w:t xml:space="preserve"> </w:t>
      </w:r>
      <w:r w:rsidR="00300E83" w:rsidRPr="00382917">
        <w:t>shall</w:t>
      </w:r>
      <w:r w:rsidR="00EE4FC3">
        <w:t xml:space="preserve"> </w:t>
      </w:r>
      <w:r w:rsidR="00300E83" w:rsidRPr="00382917">
        <w:t>come</w:t>
      </w:r>
      <w:r w:rsidR="00EE4FC3">
        <w:t xml:space="preserve"> </w:t>
      </w:r>
      <w:r w:rsidR="00300E83" w:rsidRPr="00382917">
        <w:t>in</w:t>
      </w:r>
      <w:r w:rsidR="00EE4FC3">
        <w:t xml:space="preserve"> </w:t>
      </w:r>
      <w:r w:rsidR="00300E83" w:rsidRPr="00382917">
        <w:t>the</w:t>
      </w:r>
      <w:r w:rsidR="00EE4FC3">
        <w:t xml:space="preserve"> </w:t>
      </w:r>
      <w:r w:rsidR="00300E83" w:rsidRPr="00382917">
        <w:t>glory</w:t>
      </w:r>
      <w:r w:rsidR="00EE4FC3">
        <w:t xml:space="preserve"> </w:t>
      </w:r>
      <w:r w:rsidR="00300E83" w:rsidRPr="00382917">
        <w:t>of</w:t>
      </w:r>
      <w:r w:rsidR="00EE4FC3">
        <w:t xml:space="preserve"> </w:t>
      </w:r>
      <w:r w:rsidR="00300E83" w:rsidRPr="00382917">
        <w:t>the</w:t>
      </w:r>
      <w:r w:rsidR="00EE4FC3">
        <w:t xml:space="preserve"> </w:t>
      </w:r>
      <w:r w:rsidR="00300E83" w:rsidRPr="00382917">
        <w:t>Father.</w:t>
      </w:r>
      <w:r w:rsidR="009C713D" w:rsidRPr="00382917">
        <w:t>”</w:t>
      </w:r>
    </w:p>
    <w:p w:rsidR="00300E83" w:rsidRPr="00382917" w:rsidRDefault="00EE4CE6" w:rsidP="00EE4CE6">
      <w:pPr>
        <w:pStyle w:val="Bullet2ct"/>
      </w:pPr>
      <w:r w:rsidRPr="00382917">
        <w:t>4.</w:t>
      </w:r>
      <w:r w:rsidRPr="00382917">
        <w:tab/>
      </w:r>
      <w:r w:rsidR="009C713D" w:rsidRPr="00382917">
        <w:t>“</w:t>
      </w:r>
      <w:r w:rsidR="00300E83" w:rsidRPr="00382917">
        <w:t>I</w:t>
      </w:r>
      <w:r w:rsidR="00EE4FC3">
        <w:t xml:space="preserve"> </w:t>
      </w:r>
      <w:r w:rsidR="00300E83" w:rsidRPr="00382917">
        <w:t>go</w:t>
      </w:r>
      <w:r w:rsidR="00EE4FC3">
        <w:t xml:space="preserve"> </w:t>
      </w:r>
      <w:r w:rsidR="00300E83" w:rsidRPr="00382917">
        <w:t>away</w:t>
      </w:r>
      <w:r w:rsidR="00EE4FC3">
        <w:t xml:space="preserve"> </w:t>
      </w:r>
      <w:r w:rsidR="00300E83" w:rsidRPr="00382917">
        <w:t>but</w:t>
      </w:r>
      <w:r w:rsidR="00EE4FC3">
        <w:t xml:space="preserve"> </w:t>
      </w:r>
      <w:r w:rsidR="00300E83" w:rsidRPr="00382917">
        <w:t>come</w:t>
      </w:r>
      <w:r w:rsidR="00EE4FC3">
        <w:t xml:space="preserve"> </w:t>
      </w:r>
      <w:r w:rsidR="00300E83" w:rsidRPr="00382917">
        <w:t>again</w:t>
      </w:r>
      <w:r w:rsidR="00EE4FC3">
        <w:t xml:space="preserve"> </w:t>
      </w:r>
      <w:r w:rsidR="00300E83" w:rsidRPr="00382917">
        <w:t>unto</w:t>
      </w:r>
      <w:r w:rsidR="00EE4FC3">
        <w:t xml:space="preserve"> </w:t>
      </w:r>
      <w:r w:rsidR="00300E83" w:rsidRPr="00382917">
        <w:t>you.</w:t>
      </w:r>
      <w:r w:rsidR="009C713D" w:rsidRPr="00382917">
        <w:t>”</w:t>
      </w:r>
    </w:p>
    <w:p w:rsidR="00300E83" w:rsidRPr="00382917" w:rsidRDefault="00EE4CE6" w:rsidP="00EE4CE6">
      <w:pPr>
        <w:pStyle w:val="Bullet2ct"/>
      </w:pPr>
      <w:r w:rsidRPr="00382917">
        <w:t>5.</w:t>
      </w:r>
      <w:r w:rsidRPr="00382917">
        <w:tab/>
      </w:r>
      <w:r w:rsidR="009C713D" w:rsidRPr="00382917">
        <w:t>“</w:t>
      </w:r>
      <w:r w:rsidR="00300E83" w:rsidRPr="00382917">
        <w:t>And</w:t>
      </w:r>
      <w:r w:rsidR="00EE4FC3">
        <w:t xml:space="preserve"> </w:t>
      </w:r>
      <w:r w:rsidR="00300E83" w:rsidRPr="00382917">
        <w:t>if</w:t>
      </w:r>
      <w:r w:rsidR="00EE4FC3">
        <w:t xml:space="preserve"> </w:t>
      </w:r>
      <w:r w:rsidR="00300E83" w:rsidRPr="00382917">
        <w:t>I</w:t>
      </w:r>
      <w:r w:rsidR="00EE4FC3">
        <w:t xml:space="preserve"> </w:t>
      </w:r>
      <w:r w:rsidR="00300E83" w:rsidRPr="00382917">
        <w:t>go</w:t>
      </w:r>
      <w:r w:rsidR="00EE4FC3">
        <w:t xml:space="preserve"> </w:t>
      </w:r>
      <w:r w:rsidR="00300E83" w:rsidRPr="00382917">
        <w:t>to</w:t>
      </w:r>
      <w:r w:rsidR="00EE4FC3">
        <w:t xml:space="preserve"> </w:t>
      </w:r>
      <w:r w:rsidR="00300E83" w:rsidRPr="00382917">
        <w:t>prepare</w:t>
      </w:r>
      <w:r w:rsidR="00EE4FC3">
        <w:t xml:space="preserve"> </w:t>
      </w:r>
      <w:r w:rsidR="00300E83" w:rsidRPr="00382917">
        <w:t>a</w:t>
      </w:r>
      <w:r w:rsidR="00EE4FC3">
        <w:t xml:space="preserve"> </w:t>
      </w:r>
      <w:r w:rsidR="00300E83" w:rsidRPr="00382917">
        <w:t>place</w:t>
      </w:r>
      <w:r w:rsidR="00EE4FC3">
        <w:t xml:space="preserve"> </w:t>
      </w:r>
      <w:r w:rsidR="00300E83" w:rsidRPr="00382917">
        <w:t>for</w:t>
      </w:r>
      <w:r w:rsidR="00EE4FC3">
        <w:t xml:space="preserve"> </w:t>
      </w:r>
      <w:r w:rsidR="00300E83" w:rsidRPr="00382917">
        <w:t>you,</w:t>
      </w:r>
      <w:r w:rsidR="00EE4FC3">
        <w:t xml:space="preserve"> </w:t>
      </w:r>
      <w:r w:rsidR="00300E83" w:rsidRPr="00382917">
        <w:t>I</w:t>
      </w:r>
      <w:r w:rsidR="00EE4FC3">
        <w:t xml:space="preserve"> </w:t>
      </w:r>
      <w:r w:rsidR="00300E83" w:rsidRPr="00382917">
        <w:t>will</w:t>
      </w:r>
      <w:r w:rsidR="00EE4FC3">
        <w:t xml:space="preserve"> </w:t>
      </w:r>
      <w:r w:rsidR="00300E83" w:rsidRPr="00382917">
        <w:t>come</w:t>
      </w:r>
      <w:r w:rsidR="00EE4FC3">
        <w:t xml:space="preserve"> </w:t>
      </w:r>
      <w:r w:rsidR="00300E83" w:rsidRPr="00382917">
        <w:t>again.</w:t>
      </w:r>
      <w:r w:rsidR="009C713D" w:rsidRPr="00382917">
        <w:t>”</w:t>
      </w:r>
    </w:p>
    <w:p w:rsidR="00300E83" w:rsidRPr="00382917" w:rsidRDefault="00300E83" w:rsidP="00300E83">
      <w:pPr>
        <w:pStyle w:val="Text"/>
      </w:pPr>
      <w:r w:rsidRPr="00382917">
        <w:t>Because</w:t>
      </w:r>
      <w:r w:rsidR="00EE4FC3">
        <w:t xml:space="preserve"> </w:t>
      </w:r>
      <w:r w:rsidRPr="00382917">
        <w:t>mankind</w:t>
      </w:r>
      <w:r w:rsidR="00EE4FC3">
        <w:t xml:space="preserve"> </w:t>
      </w:r>
      <w:r w:rsidRPr="00382917">
        <w:t>has</w:t>
      </w:r>
      <w:r w:rsidR="00EE4FC3">
        <w:t xml:space="preserve"> </w:t>
      </w:r>
      <w:r w:rsidRPr="00382917">
        <w:t>failed</w:t>
      </w:r>
      <w:r w:rsidR="00EE4FC3">
        <w:t xml:space="preserve"> </w:t>
      </w:r>
      <w:r w:rsidRPr="00382917">
        <w:t>to</w:t>
      </w:r>
      <w:r w:rsidR="00EE4FC3">
        <w:t xml:space="preserve"> </w:t>
      </w:r>
      <w:r w:rsidRPr="00382917">
        <w:t>understand</w:t>
      </w:r>
      <w:r w:rsidR="00EE4FC3">
        <w:t xml:space="preserve"> </w:t>
      </w:r>
      <w:r w:rsidRPr="00382917">
        <w:t>the</w:t>
      </w:r>
      <w:r w:rsidR="00EE4FC3">
        <w:t xml:space="preserve"> </w:t>
      </w:r>
      <w:r w:rsidRPr="00382917">
        <w:t>symbolical</w:t>
      </w:r>
      <w:r w:rsidR="00EE4FC3">
        <w:t xml:space="preserve"> </w:t>
      </w:r>
      <w:proofErr w:type="spellStart"/>
      <w:r w:rsidRPr="00382917">
        <w:t>fulfillment</w:t>
      </w:r>
      <w:proofErr w:type="spellEnd"/>
      <w:r w:rsidR="00EE4FC3">
        <w:t xml:space="preserve"> </w:t>
      </w:r>
      <w:r w:rsidRPr="00382917">
        <w:t>of</w:t>
      </w:r>
      <w:r w:rsidR="00EE4FC3">
        <w:t xml:space="preserve"> </w:t>
      </w:r>
      <w:r w:rsidRPr="00382917">
        <w:t>Christ</w:t>
      </w:r>
      <w:r w:rsidR="009C713D" w:rsidRPr="00382917">
        <w:t>’</w:t>
      </w:r>
      <w:r w:rsidRPr="00382917">
        <w:t>s</w:t>
      </w:r>
      <w:r w:rsidR="00EE4FC3">
        <w:t xml:space="preserve"> </w:t>
      </w:r>
      <w:r w:rsidRPr="00382917">
        <w:t>return,</w:t>
      </w:r>
      <w:r w:rsidR="00EE4FC3">
        <w:t xml:space="preserve"> </w:t>
      </w:r>
      <w:r w:rsidRPr="00382917">
        <w:t>he</w:t>
      </w:r>
      <w:r w:rsidR="00EE4FC3">
        <w:t xml:space="preserve"> </w:t>
      </w:r>
      <w:r w:rsidRPr="00382917">
        <w:t>has</w:t>
      </w:r>
      <w:r w:rsidR="00EE4FC3">
        <w:t xml:space="preserve"> </w:t>
      </w:r>
      <w:r w:rsidRPr="00382917">
        <w:t>been</w:t>
      </w:r>
      <w:r w:rsidR="00EE4FC3">
        <w:t xml:space="preserve"> </w:t>
      </w:r>
      <w:r w:rsidRPr="00382917">
        <w:t>forced</w:t>
      </w:r>
      <w:r w:rsidR="00EE4FC3">
        <w:t xml:space="preserve"> </w:t>
      </w:r>
      <w:r w:rsidRPr="00382917">
        <w:t>to</w:t>
      </w:r>
      <w:r w:rsidR="00EE4FC3">
        <w:t xml:space="preserve"> </w:t>
      </w:r>
      <w:r w:rsidRPr="00382917">
        <w:t>abandon</w:t>
      </w:r>
      <w:r w:rsidR="00EE4FC3">
        <w:t xml:space="preserve"> </w:t>
      </w:r>
      <w:r w:rsidRPr="00382917">
        <w:t>it</w:t>
      </w:r>
      <w:r w:rsidR="00EE4FC3">
        <w:t xml:space="preserve"> </w:t>
      </w:r>
      <w:r w:rsidRPr="00382917">
        <w:t>and</w:t>
      </w:r>
      <w:r w:rsidR="00EE4FC3">
        <w:t xml:space="preserve"> </w:t>
      </w:r>
      <w:r w:rsidRPr="00382917">
        <w:t>consider</w:t>
      </w:r>
      <w:r w:rsidR="00EE4FC3">
        <w:t xml:space="preserve"> </w:t>
      </w:r>
      <w:r w:rsidRPr="00382917">
        <w:t>it</w:t>
      </w:r>
      <w:r w:rsidR="00EE4FC3">
        <w:t xml:space="preserve"> </w:t>
      </w:r>
      <w:r w:rsidRPr="00382917">
        <w:t>a</w:t>
      </w:r>
      <w:r w:rsidR="00EE4FC3">
        <w:t xml:space="preserve"> </w:t>
      </w:r>
      <w:r w:rsidRPr="00382917">
        <w:t>mistake;</w:t>
      </w:r>
      <w:r w:rsidR="00EE4FC3">
        <w:t xml:space="preserve"> </w:t>
      </w:r>
      <w:r w:rsidRPr="00382917">
        <w:t>and</w:t>
      </w:r>
      <w:r w:rsidR="00EE4FC3">
        <w:t xml:space="preserve"> </w:t>
      </w:r>
      <w:r w:rsidRPr="00382917">
        <w:t>teach</w:t>
      </w:r>
      <w:r w:rsidR="00EE4FC3">
        <w:t xml:space="preserve"> </w:t>
      </w:r>
      <w:r w:rsidRPr="00382917">
        <w:t>some</w:t>
      </w:r>
      <w:r w:rsidR="00EE4FC3">
        <w:t xml:space="preserve"> </w:t>
      </w:r>
      <w:r w:rsidRPr="00382917">
        <w:t>other</w:t>
      </w:r>
      <w:r w:rsidR="00EE4FC3">
        <w:t xml:space="preserve"> </w:t>
      </w:r>
      <w:r w:rsidRPr="00382917">
        <w:t>doctrine</w:t>
      </w:r>
      <w:r w:rsidR="00EE4FC3">
        <w:t xml:space="preserve"> </w:t>
      </w:r>
      <w:r w:rsidRPr="00382917">
        <w:t>concerning</w:t>
      </w:r>
      <w:r w:rsidR="00EE4FC3">
        <w:t xml:space="preserve"> </w:t>
      </w:r>
      <w:r w:rsidRPr="00382917">
        <w:t>His</w:t>
      </w:r>
      <w:r w:rsidR="00EE4FC3">
        <w:t xml:space="preserve"> </w:t>
      </w:r>
      <w:r w:rsidRPr="00382917">
        <w:t>coming</w:t>
      </w:r>
      <w:r w:rsidR="00552489">
        <w:t>.</w:t>
      </w:r>
      <w:r w:rsidR="00EE4FC3">
        <w:t xml:space="preserve">  </w:t>
      </w:r>
      <w:r w:rsidRPr="00382917">
        <w:t>Yet,</w:t>
      </w:r>
      <w:r w:rsidR="00EE4FC3">
        <w:t xml:space="preserve"> </w:t>
      </w:r>
      <w:r w:rsidRPr="00382917">
        <w:t>it</w:t>
      </w:r>
      <w:r w:rsidR="00EE4FC3">
        <w:t xml:space="preserve"> </w:t>
      </w:r>
      <w:r w:rsidRPr="00382917">
        <w:t>is</w:t>
      </w:r>
      <w:r w:rsidR="00EE4FC3">
        <w:t xml:space="preserve"> </w:t>
      </w:r>
      <w:r w:rsidRPr="00382917">
        <w:t>easy</w:t>
      </w:r>
      <w:r w:rsidR="00EE4FC3">
        <w:t xml:space="preserve"> </w:t>
      </w:r>
      <w:r w:rsidRPr="00382917">
        <w:t>to</w:t>
      </w:r>
      <w:r w:rsidR="00EE4FC3">
        <w:t xml:space="preserve"> </w:t>
      </w:r>
      <w:r w:rsidRPr="00382917">
        <w:t>understand</w:t>
      </w:r>
      <w:r w:rsidR="00EE4FC3">
        <w:t xml:space="preserve"> </w:t>
      </w:r>
      <w:r w:rsidRPr="00382917">
        <w:t>why</w:t>
      </w:r>
      <w:r w:rsidR="00EE4FC3">
        <w:t xml:space="preserve"> </w:t>
      </w:r>
      <w:r w:rsidRPr="00382917">
        <w:t>such</w:t>
      </w:r>
      <w:r w:rsidR="00EE4FC3">
        <w:t xml:space="preserve"> </w:t>
      </w:r>
      <w:r w:rsidRPr="00382917">
        <w:t>a</w:t>
      </w:r>
      <w:r w:rsidR="00EE4FC3">
        <w:t xml:space="preserve"> </w:t>
      </w:r>
      <w:r w:rsidRPr="00382917">
        <w:t>millennial</w:t>
      </w:r>
      <w:r w:rsidR="00EE4FC3">
        <w:t xml:space="preserve"> </w:t>
      </w:r>
      <w:r w:rsidRPr="00382917">
        <w:t>zeal</w:t>
      </w:r>
      <w:r w:rsidR="00EE4FC3">
        <w:t xml:space="preserve"> </w:t>
      </w:r>
      <w:r w:rsidRPr="00382917">
        <w:t>should</w:t>
      </w:r>
      <w:r w:rsidR="00EE4FC3">
        <w:t xml:space="preserve"> </w:t>
      </w:r>
      <w:r w:rsidRPr="00382917">
        <w:t>have</w:t>
      </w:r>
      <w:r w:rsidR="00EE4FC3">
        <w:t xml:space="preserve"> </w:t>
      </w:r>
      <w:r w:rsidRPr="00382917">
        <w:t>held</w:t>
      </w:r>
      <w:r w:rsidR="00EE4FC3">
        <w:t xml:space="preserve"> </w:t>
      </w:r>
      <w:r w:rsidRPr="00382917">
        <w:t>the</w:t>
      </w:r>
      <w:r w:rsidR="00EE4FC3">
        <w:t xml:space="preserve"> </w:t>
      </w:r>
      <w:r w:rsidRPr="00382917">
        <w:t>world</w:t>
      </w:r>
      <w:r w:rsidR="00EE4FC3">
        <w:t xml:space="preserve"> </w:t>
      </w:r>
      <w:r w:rsidRPr="00382917">
        <w:t>in</w:t>
      </w:r>
      <w:r w:rsidR="00EE4FC3">
        <w:t xml:space="preserve"> </w:t>
      </w:r>
      <w:r w:rsidRPr="00382917">
        <w:t>its</w:t>
      </w:r>
      <w:r w:rsidR="00EE4FC3">
        <w:t xml:space="preserve"> </w:t>
      </w:r>
      <w:r w:rsidRPr="00382917">
        <w:t>grasp</w:t>
      </w:r>
      <w:r w:rsidR="00EE4FC3">
        <w:t xml:space="preserve"> </w:t>
      </w:r>
      <w:r w:rsidRPr="00382917">
        <w:t>when</w:t>
      </w:r>
      <w:r w:rsidR="00EE4FC3">
        <w:t xml:space="preserve"> </w:t>
      </w:r>
      <w:r w:rsidRPr="00382917">
        <w:t>we</w:t>
      </w:r>
      <w:r w:rsidR="00EE4FC3">
        <w:t xml:space="preserve"> </w:t>
      </w:r>
      <w:r w:rsidRPr="00382917">
        <w:t>realize</w:t>
      </w:r>
      <w:r w:rsidR="00EE4FC3">
        <w:t xml:space="preserve"> </w:t>
      </w:r>
      <w:r w:rsidRPr="00382917">
        <w:t>that</w:t>
      </w:r>
      <w:r w:rsidR="00EE4FC3">
        <w:t xml:space="preserve"> </w:t>
      </w:r>
      <w:r w:rsidRPr="00382917">
        <w:t>the</w:t>
      </w:r>
      <w:r w:rsidR="00EE4FC3">
        <w:t xml:space="preserve"> </w:t>
      </w:r>
      <w:r w:rsidRPr="00382917">
        <w:t>following</w:t>
      </w:r>
      <w:r w:rsidR="00EE4FC3">
        <w:t xml:space="preserve"> </w:t>
      </w:r>
      <w:r w:rsidRPr="00382917">
        <w:t>references</w:t>
      </w:r>
      <w:r w:rsidR="00EE4FC3">
        <w:t xml:space="preserve"> </w:t>
      </w:r>
      <w:r w:rsidRPr="00382917">
        <w:t>are</w:t>
      </w:r>
      <w:r w:rsidR="00EE4FC3">
        <w:t xml:space="preserve"> </w:t>
      </w:r>
      <w:r w:rsidRPr="00382917">
        <w:t>but</w:t>
      </w:r>
      <w:r w:rsidR="00EE4FC3">
        <w:t xml:space="preserve"> </w:t>
      </w:r>
      <w:r w:rsidRPr="00382917">
        <w:t>some</w:t>
      </w:r>
      <w:r w:rsidR="00EE4FC3">
        <w:t xml:space="preserve"> </w:t>
      </w:r>
      <w:r w:rsidRPr="00382917">
        <w:t>of</w:t>
      </w:r>
      <w:r w:rsidR="00EE4FC3">
        <w:t xml:space="preserve"> </w:t>
      </w:r>
      <w:r w:rsidRPr="00382917">
        <w:t>Christ</w:t>
      </w:r>
      <w:r w:rsidR="009C713D" w:rsidRPr="00382917">
        <w:t>’</w:t>
      </w:r>
      <w:r w:rsidRPr="00382917">
        <w:t>s</w:t>
      </w:r>
      <w:r w:rsidR="00EE4FC3">
        <w:t xml:space="preserve"> </w:t>
      </w:r>
      <w:r w:rsidRPr="00382917">
        <w:t>own</w:t>
      </w:r>
      <w:r w:rsidR="00EE4FC3">
        <w:t xml:space="preserve"> </w:t>
      </w:r>
      <w:r w:rsidRPr="00382917">
        <w:t>promises</w:t>
      </w:r>
      <w:r w:rsidR="00EE4FC3">
        <w:t xml:space="preserve"> </w:t>
      </w:r>
      <w:r w:rsidRPr="00382917">
        <w:t>of</w:t>
      </w:r>
      <w:r w:rsidR="00EE4FC3">
        <w:t xml:space="preserve"> </w:t>
      </w:r>
      <w:r w:rsidRPr="00382917">
        <w:t>His</w:t>
      </w:r>
      <w:r w:rsidR="00EE4FC3">
        <w:t xml:space="preserve"> </w:t>
      </w:r>
      <w:r w:rsidRPr="00382917">
        <w:t>coming</w:t>
      </w:r>
      <w:r w:rsidR="00C03C91">
        <w:t>:</w:t>
      </w:r>
      <w:r w:rsidR="00EE4FC3">
        <w:t xml:space="preserve">  </w:t>
      </w:r>
      <w:r w:rsidRPr="00382917">
        <w:t>Matthew,</w:t>
      </w:r>
      <w:r w:rsidR="00EE4FC3">
        <w:t xml:space="preserve"> </w:t>
      </w:r>
      <w:r w:rsidRPr="00382917">
        <w:t>chapters</w:t>
      </w:r>
      <w:r w:rsidR="00EE4FC3">
        <w:t xml:space="preserve"> </w:t>
      </w:r>
      <w:r w:rsidRPr="00382917">
        <w:t>16,</w:t>
      </w:r>
      <w:r w:rsidR="00EE4FC3">
        <w:t xml:space="preserve"> </w:t>
      </w:r>
      <w:r w:rsidRPr="00382917">
        <w:t>24,</w:t>
      </w:r>
      <w:r w:rsidR="00EE4FC3">
        <w:t xml:space="preserve"> </w:t>
      </w:r>
      <w:r w:rsidRPr="00382917">
        <w:t>25</w:t>
      </w:r>
      <w:r w:rsidR="00EE4FC3">
        <w:t xml:space="preserve"> </w:t>
      </w:r>
      <w:r w:rsidRPr="00382917">
        <w:t>and</w:t>
      </w:r>
      <w:r w:rsidR="00EE4FC3">
        <w:t xml:space="preserve"> </w:t>
      </w:r>
      <w:r w:rsidRPr="00382917">
        <w:t>26</w:t>
      </w:r>
      <w:r w:rsidR="00552489">
        <w:t>.</w:t>
      </w:r>
      <w:r w:rsidR="00EE4FC3">
        <w:t xml:space="preserve">  </w:t>
      </w:r>
      <w:proofErr w:type="gramStart"/>
      <w:r w:rsidRPr="00382917">
        <w:t>Mark,</w:t>
      </w:r>
      <w:r w:rsidR="00EE4FC3">
        <w:t xml:space="preserve"> </w:t>
      </w:r>
      <w:r w:rsidRPr="00382917">
        <w:t>chapters</w:t>
      </w:r>
      <w:r w:rsidR="00EE4FC3">
        <w:t xml:space="preserve"> </w:t>
      </w:r>
      <w:r w:rsidRPr="00382917">
        <w:t>8</w:t>
      </w:r>
      <w:r w:rsidR="00EE4FC3">
        <w:t xml:space="preserve"> </w:t>
      </w:r>
      <w:r w:rsidRPr="00382917">
        <w:t>and</w:t>
      </w:r>
      <w:r w:rsidR="00EE4FC3">
        <w:t xml:space="preserve"> </w:t>
      </w:r>
      <w:r w:rsidRPr="00382917">
        <w:t>13</w:t>
      </w:r>
      <w:r w:rsidR="00552489">
        <w:t>.</w:t>
      </w:r>
      <w:proofErr w:type="gramEnd"/>
      <w:r w:rsidR="00EE4FC3">
        <w:t xml:space="preserve">  </w:t>
      </w:r>
      <w:proofErr w:type="gramStart"/>
      <w:r w:rsidRPr="00382917">
        <w:t>Luke,</w:t>
      </w:r>
      <w:r w:rsidR="00EE4FC3">
        <w:t xml:space="preserve"> </w:t>
      </w:r>
      <w:r w:rsidRPr="00382917">
        <w:t>chapters</w:t>
      </w:r>
      <w:r w:rsidR="00EE4FC3">
        <w:t xml:space="preserve"> </w:t>
      </w:r>
      <w:r w:rsidRPr="00382917">
        <w:t>12</w:t>
      </w:r>
      <w:r w:rsidR="00EE4FC3">
        <w:t xml:space="preserve"> </w:t>
      </w:r>
      <w:r w:rsidRPr="00382917">
        <w:t>and</w:t>
      </w:r>
      <w:r w:rsidR="00EE4FC3">
        <w:t xml:space="preserve"> </w:t>
      </w:r>
      <w:r w:rsidRPr="00382917">
        <w:t>21</w:t>
      </w:r>
      <w:r w:rsidR="00552489">
        <w:t>.</w:t>
      </w:r>
      <w:proofErr w:type="gramEnd"/>
      <w:r w:rsidR="00EE4FC3">
        <w:t xml:space="preserve">  </w:t>
      </w:r>
      <w:proofErr w:type="gramStart"/>
      <w:r w:rsidRPr="00382917">
        <w:t>Acts,</w:t>
      </w:r>
      <w:r w:rsidR="00EE4FC3">
        <w:t xml:space="preserve"> </w:t>
      </w:r>
      <w:r w:rsidRPr="00382917">
        <w:t>chapter</w:t>
      </w:r>
      <w:r w:rsidR="00EE4FC3">
        <w:t xml:space="preserve"> </w:t>
      </w:r>
      <w:r w:rsidRPr="00382917">
        <w:t>1</w:t>
      </w:r>
      <w:r w:rsidR="00552489">
        <w:t>.</w:t>
      </w:r>
      <w:proofErr w:type="gramEnd"/>
      <w:r w:rsidR="00EE4FC3">
        <w:t xml:space="preserve">  </w:t>
      </w:r>
      <w:proofErr w:type="gramStart"/>
      <w:r w:rsidRPr="00382917">
        <w:t>I</w:t>
      </w:r>
      <w:r w:rsidR="00EE4FC3">
        <w:t xml:space="preserve"> </w:t>
      </w:r>
      <w:r w:rsidRPr="00382917">
        <w:t>Corinthians,</w:t>
      </w:r>
      <w:r w:rsidR="00EE4FC3">
        <w:t xml:space="preserve"> </w:t>
      </w:r>
      <w:r w:rsidRPr="00382917">
        <w:t>chapters</w:t>
      </w:r>
      <w:r w:rsidR="00EE4FC3">
        <w:t xml:space="preserve"> </w:t>
      </w:r>
      <w:r w:rsidRPr="00382917">
        <w:t>4</w:t>
      </w:r>
      <w:r w:rsidR="00EE4FC3">
        <w:t xml:space="preserve"> </w:t>
      </w:r>
      <w:r w:rsidRPr="00382917">
        <w:t>and</w:t>
      </w:r>
      <w:r w:rsidR="00EE4FC3">
        <w:t xml:space="preserve"> </w:t>
      </w:r>
      <w:r w:rsidRPr="00382917">
        <w:t>15</w:t>
      </w:r>
      <w:r w:rsidR="00552489">
        <w:t>.</w:t>
      </w:r>
      <w:proofErr w:type="gramEnd"/>
      <w:r w:rsidR="00EE4FC3">
        <w:t xml:space="preserve">  </w:t>
      </w:r>
      <w:proofErr w:type="gramStart"/>
      <w:r w:rsidRPr="00382917">
        <w:t>I</w:t>
      </w:r>
      <w:r w:rsidR="00EE4FC3">
        <w:t xml:space="preserve"> </w:t>
      </w:r>
      <w:r w:rsidRPr="00382917">
        <w:t>Thessalonians,</w:t>
      </w:r>
      <w:r w:rsidR="00EE4FC3">
        <w:t xml:space="preserve"> </w:t>
      </w:r>
      <w:r w:rsidRPr="00382917">
        <w:t>chapters</w:t>
      </w:r>
      <w:r w:rsidR="00EE4FC3">
        <w:t xml:space="preserve"> </w:t>
      </w:r>
      <w:r w:rsidRPr="00382917">
        <w:t>1,</w:t>
      </w:r>
      <w:r w:rsidR="00EE4FC3">
        <w:t xml:space="preserve"> </w:t>
      </w:r>
      <w:r w:rsidRPr="00382917">
        <w:t>4</w:t>
      </w:r>
      <w:r w:rsidR="00EE4FC3">
        <w:t xml:space="preserve"> </w:t>
      </w:r>
      <w:r w:rsidRPr="00382917">
        <w:t>and</w:t>
      </w:r>
      <w:r w:rsidR="00EE4FC3">
        <w:t xml:space="preserve"> </w:t>
      </w:r>
      <w:r w:rsidRPr="00382917">
        <w:t>5</w:t>
      </w:r>
      <w:r w:rsidR="00552489">
        <w:t>.</w:t>
      </w:r>
      <w:proofErr w:type="gramEnd"/>
      <w:r w:rsidR="00EE4FC3">
        <w:t xml:space="preserve">  </w:t>
      </w:r>
      <w:r w:rsidRPr="00382917">
        <w:t>II</w:t>
      </w:r>
      <w:r w:rsidR="00EE4FC3">
        <w:t xml:space="preserve"> </w:t>
      </w:r>
      <w:r w:rsidRPr="00382917">
        <w:t>Peter,</w:t>
      </w:r>
      <w:r w:rsidR="00EE4FC3">
        <w:t xml:space="preserve"> </w:t>
      </w:r>
      <w:r w:rsidRPr="00382917">
        <w:t>chapters</w:t>
      </w:r>
      <w:r w:rsidR="00EE4FC3">
        <w:t xml:space="preserve"> </w:t>
      </w:r>
      <w:r w:rsidRPr="00382917">
        <w:t>1</w:t>
      </w:r>
      <w:r w:rsidR="00EE4FC3">
        <w:t xml:space="preserve"> </w:t>
      </w:r>
      <w:r w:rsidRPr="00382917">
        <w:t>and</w:t>
      </w:r>
      <w:r w:rsidR="00EE4FC3">
        <w:t xml:space="preserve"> </w:t>
      </w:r>
      <w:r w:rsidRPr="00382917">
        <w:t>3.</w:t>
      </w:r>
    </w:p>
    <w:p w:rsidR="00300E83" w:rsidRPr="00382917" w:rsidRDefault="00300E83" w:rsidP="00300E83">
      <w:pPr>
        <w:pStyle w:val="Text"/>
      </w:pPr>
      <w:r w:rsidRPr="00382917">
        <w:t>In</w:t>
      </w:r>
      <w:r w:rsidR="00EE4FC3">
        <w:t xml:space="preserve"> </w:t>
      </w:r>
      <w:r w:rsidRPr="00382917">
        <w:t>the</w:t>
      </w:r>
      <w:r w:rsidR="00EE4FC3">
        <w:t xml:space="preserve"> </w:t>
      </w:r>
      <w:r w:rsidRPr="00382917">
        <w:t>eleventh</w:t>
      </w:r>
      <w:r w:rsidR="00EE4FC3">
        <w:t xml:space="preserve"> </w:t>
      </w:r>
      <w:r w:rsidRPr="00382917">
        <w:t>chapter</w:t>
      </w:r>
      <w:r w:rsidR="00EE4FC3">
        <w:t xml:space="preserve"> </w:t>
      </w:r>
      <w:r w:rsidRPr="00382917">
        <w:t>of</w:t>
      </w:r>
      <w:r w:rsidR="00EE4FC3">
        <w:t xml:space="preserve"> </w:t>
      </w:r>
      <w:r w:rsidRPr="00382917">
        <w:t>Revelation,</w:t>
      </w:r>
      <w:r w:rsidR="00EE4FC3">
        <w:t xml:space="preserve"> </w:t>
      </w:r>
      <w:r w:rsidRPr="00382917">
        <w:t>a</w:t>
      </w:r>
      <w:r w:rsidR="00EE4FC3">
        <w:t xml:space="preserve"> </w:t>
      </w:r>
      <w:r w:rsidRPr="00382917">
        <w:t>chapter</w:t>
      </w:r>
      <w:r w:rsidR="00EE4FC3">
        <w:t xml:space="preserve"> </w:t>
      </w:r>
      <w:r w:rsidRPr="00382917">
        <w:t>filled</w:t>
      </w:r>
      <w:r w:rsidR="00EE4FC3">
        <w:t xml:space="preserve"> </w:t>
      </w:r>
      <w:r w:rsidRPr="00382917">
        <w:t>with</w:t>
      </w:r>
      <w:r w:rsidR="00EE4FC3">
        <w:t xml:space="preserve"> </w:t>
      </w:r>
      <w:r w:rsidRPr="00382917">
        <w:t>the</w:t>
      </w:r>
      <w:r w:rsidR="00EE4FC3">
        <w:t xml:space="preserve"> </w:t>
      </w:r>
      <w:r w:rsidRPr="00382917">
        <w:t>promise</w:t>
      </w:r>
      <w:r w:rsidR="00EE4FC3">
        <w:t xml:space="preserve"> </w:t>
      </w:r>
      <w:r w:rsidRPr="00382917">
        <w:t>of</w:t>
      </w:r>
      <w:r w:rsidR="00EE4FC3">
        <w:t xml:space="preserve"> </w:t>
      </w:r>
      <w:r w:rsidRPr="00382917">
        <w:t>Christ</w:t>
      </w:r>
      <w:r w:rsidR="009C713D" w:rsidRPr="00382917">
        <w:t>’</w:t>
      </w:r>
      <w:r w:rsidRPr="00382917">
        <w:t>s</w:t>
      </w:r>
      <w:r w:rsidR="00EE4FC3">
        <w:t xml:space="preserve"> </w:t>
      </w:r>
      <w:r w:rsidRPr="00382917">
        <w:t>second</w:t>
      </w:r>
      <w:r w:rsidR="00EE4FC3">
        <w:t xml:space="preserve"> </w:t>
      </w:r>
      <w:r w:rsidRPr="00382917">
        <w:t>coming,</w:t>
      </w:r>
      <w:r w:rsidR="00EE4FC3">
        <w:t xml:space="preserve"> </w:t>
      </w:r>
      <w:r w:rsidRPr="00382917">
        <w:t>and</w:t>
      </w:r>
      <w:r w:rsidR="00EE4FC3">
        <w:t xml:space="preserve"> </w:t>
      </w:r>
      <w:r w:rsidRPr="00382917">
        <w:t>laden</w:t>
      </w:r>
      <w:r w:rsidR="00EE4FC3">
        <w:t xml:space="preserve"> </w:t>
      </w:r>
      <w:r w:rsidRPr="00382917">
        <w:t>with</w:t>
      </w:r>
      <w:r w:rsidR="00EE4FC3">
        <w:t xml:space="preserve"> </w:t>
      </w:r>
      <w:r w:rsidRPr="00382917">
        <w:t>warnings</w:t>
      </w:r>
      <w:r w:rsidR="00EE4FC3">
        <w:t xml:space="preserve"> </w:t>
      </w:r>
      <w:r w:rsidRPr="00382917">
        <w:t>that</w:t>
      </w:r>
      <w:r w:rsidR="00EE4FC3">
        <w:t xml:space="preserve"> </w:t>
      </w:r>
      <w:r w:rsidRPr="00382917">
        <w:t>it</w:t>
      </w:r>
      <w:r w:rsidR="00EE4FC3">
        <w:t xml:space="preserve"> </w:t>
      </w:r>
      <w:r w:rsidRPr="00382917">
        <w:t>will</w:t>
      </w:r>
      <w:r w:rsidR="00EE4FC3">
        <w:t xml:space="preserve"> </w:t>
      </w:r>
      <w:r w:rsidRPr="00382917">
        <w:t>require</w:t>
      </w:r>
      <w:r w:rsidR="00EE4FC3">
        <w:t xml:space="preserve"> </w:t>
      </w:r>
      <w:r w:rsidRPr="00382917">
        <w:t>a</w:t>
      </w:r>
      <w:r w:rsidR="00EE4FC3">
        <w:t xml:space="preserve"> </w:t>
      </w:r>
      <w:r w:rsidRPr="00382917">
        <w:t>spiritual</w:t>
      </w:r>
      <w:r w:rsidR="00EE4FC3">
        <w:t xml:space="preserve"> </w:t>
      </w:r>
      <w:r w:rsidRPr="00382917">
        <w:t>ear</w:t>
      </w:r>
      <w:r w:rsidR="00EE4FC3">
        <w:t xml:space="preserve"> </w:t>
      </w:r>
      <w:r w:rsidRPr="00382917">
        <w:t>to</w:t>
      </w:r>
      <w:r w:rsidR="00EE4FC3">
        <w:t xml:space="preserve"> </w:t>
      </w:r>
      <w:r w:rsidRPr="00382917">
        <w:t>hear</w:t>
      </w:r>
      <w:r w:rsidR="00EE4FC3">
        <w:t xml:space="preserve"> </w:t>
      </w:r>
      <w:r w:rsidRPr="00382917">
        <w:t>and</w:t>
      </w:r>
      <w:r w:rsidR="00EE4FC3">
        <w:t xml:space="preserve"> </w:t>
      </w:r>
      <w:r w:rsidRPr="00382917">
        <w:t>to</w:t>
      </w:r>
      <w:r w:rsidR="00EE4FC3">
        <w:t xml:space="preserve"> </w:t>
      </w:r>
      <w:r w:rsidRPr="00382917">
        <w:t>understand</w:t>
      </w:r>
      <w:r w:rsidR="00EE4FC3">
        <w:t xml:space="preserve"> </w:t>
      </w:r>
      <w:r w:rsidRPr="00382917">
        <w:t>the</w:t>
      </w:r>
      <w:r w:rsidR="00EE4FC3">
        <w:t xml:space="preserve"> </w:t>
      </w:r>
      <w:r w:rsidRPr="00382917">
        <w:t>manner</w:t>
      </w:r>
      <w:r w:rsidR="00EE4FC3">
        <w:t xml:space="preserve"> </w:t>
      </w:r>
      <w:r w:rsidRPr="00382917">
        <w:t>of</w:t>
      </w:r>
      <w:r w:rsidR="00EE4FC3">
        <w:t xml:space="preserve"> </w:t>
      </w:r>
      <w:r w:rsidRPr="00382917">
        <w:t>His</w:t>
      </w:r>
      <w:r w:rsidR="00EE4FC3">
        <w:t xml:space="preserve"> </w:t>
      </w:r>
      <w:r w:rsidRPr="00382917">
        <w:t>coming,</w:t>
      </w:r>
      <w:r w:rsidR="00EE4FC3">
        <w:t xml:space="preserve"> </w:t>
      </w:r>
      <w:r w:rsidRPr="00382917">
        <w:t>the</w:t>
      </w:r>
      <w:r w:rsidR="00EE4FC3">
        <w:t xml:space="preserve"> </w:t>
      </w:r>
      <w:r w:rsidR="009C713D" w:rsidRPr="00382917">
        <w:t>“</w:t>
      </w:r>
      <w:r w:rsidRPr="00382917">
        <w:t>new</w:t>
      </w:r>
      <w:r w:rsidR="00EE4FC3">
        <w:t xml:space="preserve"> </w:t>
      </w:r>
      <w:r w:rsidRPr="00382917">
        <w:t>name</w:t>
      </w:r>
      <w:r w:rsidR="009C713D" w:rsidRPr="00382917">
        <w:t>”</w:t>
      </w:r>
      <w:r w:rsidR="00EE4FC3">
        <w:t xml:space="preserve"> </w:t>
      </w:r>
      <w:r w:rsidRPr="00382917">
        <w:t>for</w:t>
      </w:r>
      <w:r w:rsidR="00EE4FC3">
        <w:t xml:space="preserve"> </w:t>
      </w:r>
      <w:r w:rsidRPr="00382917">
        <w:t>His</w:t>
      </w:r>
      <w:r w:rsidR="00EE4FC3">
        <w:t xml:space="preserve"> </w:t>
      </w:r>
      <w:r w:rsidRPr="00382917">
        <w:t>followers</w:t>
      </w:r>
      <w:r w:rsidR="00EE4FC3">
        <w:t xml:space="preserve"> </w:t>
      </w:r>
      <w:r w:rsidRPr="00382917">
        <w:t>is</w:t>
      </w:r>
      <w:r w:rsidR="00EE4FC3">
        <w:t xml:space="preserve"> </w:t>
      </w:r>
      <w:r w:rsidRPr="00382917">
        <w:t>mentioned</w:t>
      </w:r>
      <w:r w:rsidR="00EE4FC3">
        <w:t xml:space="preserve"> </w:t>
      </w:r>
      <w:r w:rsidRPr="00382917">
        <w:t>for</w:t>
      </w:r>
      <w:r w:rsidR="00EE4FC3">
        <w:t xml:space="preserve"> </w:t>
      </w:r>
      <w:r w:rsidRPr="00382917">
        <w:t>the</w:t>
      </w:r>
      <w:r w:rsidR="00EE4FC3">
        <w:t xml:space="preserve"> </w:t>
      </w:r>
      <w:r w:rsidRPr="00382917">
        <w:t>final</w:t>
      </w:r>
      <w:r w:rsidR="00EE4FC3">
        <w:t xml:space="preserve"> </w:t>
      </w:r>
      <w:r w:rsidRPr="00382917">
        <w:t>time</w:t>
      </w:r>
      <w:r w:rsidR="00EE4FC3">
        <w:t xml:space="preserve"> </w:t>
      </w:r>
      <w:r w:rsidRPr="00382917">
        <w:t>in</w:t>
      </w:r>
      <w:r w:rsidR="00EE4FC3">
        <w:t xml:space="preserve"> </w:t>
      </w:r>
      <w:r w:rsidRPr="00382917">
        <w:t>Christian</w:t>
      </w:r>
      <w:r w:rsidR="00EE4FC3">
        <w:t xml:space="preserve"> </w:t>
      </w:r>
      <w:r w:rsidRPr="00382917">
        <w:t>Scripture.</w:t>
      </w:r>
    </w:p>
    <w:p w:rsidR="00300E83" w:rsidRPr="00382917" w:rsidRDefault="00300E83" w:rsidP="00300E83">
      <w:pPr>
        <w:pStyle w:val="Text"/>
      </w:pPr>
      <w:r w:rsidRPr="00382917">
        <w:t>In</w:t>
      </w:r>
      <w:r w:rsidR="00EE4FC3">
        <w:t xml:space="preserve"> </w:t>
      </w:r>
      <w:r w:rsidRPr="00382917">
        <w:t>this</w:t>
      </w:r>
      <w:r w:rsidR="00EE4FC3">
        <w:t xml:space="preserve"> </w:t>
      </w:r>
      <w:r w:rsidRPr="00382917">
        <w:t>chapter,</w:t>
      </w:r>
      <w:r w:rsidR="00EE4FC3">
        <w:t xml:space="preserve"> </w:t>
      </w:r>
      <w:r w:rsidRPr="00382917">
        <w:t>Christ</w:t>
      </w:r>
      <w:r w:rsidR="00EE4FC3">
        <w:t xml:space="preserve"> </w:t>
      </w:r>
      <w:r w:rsidRPr="00382917">
        <w:t>speaks</w:t>
      </w:r>
      <w:r w:rsidR="00EE4FC3">
        <w:t xml:space="preserve"> </w:t>
      </w:r>
      <w:r w:rsidRPr="00382917">
        <w:t>of</w:t>
      </w:r>
      <w:r w:rsidR="00EE4FC3">
        <w:t xml:space="preserve"> </w:t>
      </w:r>
      <w:r w:rsidRPr="00382917">
        <w:t>the</w:t>
      </w:r>
      <w:r w:rsidR="00EE4FC3">
        <w:t xml:space="preserve"> </w:t>
      </w:r>
      <w:r w:rsidRPr="00793528">
        <w:rPr>
          <w:i/>
          <w:iCs/>
        </w:rPr>
        <w:t>new</w:t>
      </w:r>
      <w:r w:rsidR="00EE4FC3">
        <w:t xml:space="preserve"> </w:t>
      </w:r>
      <w:r w:rsidRPr="00382917">
        <w:t>city,</w:t>
      </w:r>
      <w:r w:rsidR="00EE4FC3">
        <w:t xml:space="preserve"> </w:t>
      </w:r>
      <w:r w:rsidRPr="00382917">
        <w:t>the</w:t>
      </w:r>
      <w:r w:rsidR="00EE4FC3">
        <w:t xml:space="preserve"> </w:t>
      </w:r>
      <w:proofErr w:type="gramStart"/>
      <w:r w:rsidRPr="00793528">
        <w:rPr>
          <w:i/>
          <w:iCs/>
        </w:rPr>
        <w:t>new</w:t>
      </w:r>
      <w:proofErr w:type="gramEnd"/>
      <w:r w:rsidR="00EE4FC3">
        <w:t xml:space="preserve"> </w:t>
      </w:r>
      <w:r w:rsidRPr="00382917">
        <w:t>Jerusalem,</w:t>
      </w:r>
      <w:r w:rsidR="00EE4FC3">
        <w:t xml:space="preserve"> </w:t>
      </w:r>
      <w:r w:rsidRPr="00382917">
        <w:t>and</w:t>
      </w:r>
      <w:r w:rsidR="00EE4FC3">
        <w:t xml:space="preserve"> </w:t>
      </w:r>
      <w:r w:rsidRPr="00382917">
        <w:t>the</w:t>
      </w:r>
      <w:r w:rsidR="00EE4FC3">
        <w:t xml:space="preserve"> </w:t>
      </w:r>
      <w:r w:rsidRPr="00793528">
        <w:rPr>
          <w:i/>
          <w:iCs/>
        </w:rPr>
        <w:t>new</w:t>
      </w:r>
      <w:r w:rsidR="00EE4FC3">
        <w:t xml:space="preserve"> </w:t>
      </w:r>
      <w:r w:rsidRPr="00382917">
        <w:t>name</w:t>
      </w:r>
      <w:r w:rsidR="00552489">
        <w:t>.</w:t>
      </w:r>
      <w:r w:rsidR="00EE4FC3">
        <w:t xml:space="preserve">  </w:t>
      </w:r>
      <w:r w:rsidRPr="00382917">
        <w:t>All</w:t>
      </w:r>
      <w:r w:rsidR="00EE4FC3">
        <w:t xml:space="preserve"> </w:t>
      </w:r>
      <w:r w:rsidRPr="00382917">
        <w:t>the</w:t>
      </w:r>
      <w:r w:rsidR="00EE4FC3">
        <w:t xml:space="preserve"> </w:t>
      </w:r>
      <w:r w:rsidRPr="00382917">
        <w:t>things</w:t>
      </w:r>
      <w:r w:rsidR="00EE4FC3">
        <w:t xml:space="preserve"> </w:t>
      </w:r>
      <w:r w:rsidRPr="00382917">
        <w:t>of</w:t>
      </w:r>
      <w:r w:rsidR="00EE4FC3">
        <w:t xml:space="preserve"> </w:t>
      </w:r>
      <w:r w:rsidRPr="00382917">
        <w:t>the</w:t>
      </w:r>
      <w:r w:rsidR="00EE4FC3">
        <w:t xml:space="preserve"> </w:t>
      </w:r>
      <w:r w:rsidRPr="00382917">
        <w:t>past</w:t>
      </w:r>
      <w:r w:rsidR="00EE4FC3">
        <w:t xml:space="preserve"> </w:t>
      </w:r>
      <w:r w:rsidRPr="00382917">
        <w:t>will</w:t>
      </w:r>
      <w:r w:rsidR="00EE4FC3">
        <w:t xml:space="preserve"> </w:t>
      </w:r>
      <w:r w:rsidRPr="00382917">
        <w:t>be</w:t>
      </w:r>
      <w:r w:rsidR="00EE4FC3">
        <w:t xml:space="preserve"> </w:t>
      </w:r>
      <w:r w:rsidRPr="00382917">
        <w:t>swept</w:t>
      </w:r>
      <w:r w:rsidR="00EE4FC3">
        <w:t xml:space="preserve"> </w:t>
      </w:r>
      <w:r w:rsidRPr="00382917">
        <w:t>away</w:t>
      </w:r>
      <w:r w:rsidR="00EE4FC3">
        <w:t xml:space="preserve"> </w:t>
      </w:r>
      <w:r w:rsidRPr="00382917">
        <w:t>forever:</w:t>
      </w:r>
    </w:p>
    <w:p w:rsidR="00300E83" w:rsidRPr="00382917" w:rsidRDefault="009C713D" w:rsidP="00793528">
      <w:pPr>
        <w:pStyle w:val="Quote"/>
      </w:pPr>
      <w:r w:rsidRPr="00382917">
        <w:t>“</w:t>
      </w:r>
      <w:r w:rsidR="00300E83" w:rsidRPr="00382917">
        <w:t>Him</w:t>
      </w:r>
      <w:r w:rsidR="00EE4FC3">
        <w:t xml:space="preserve"> </w:t>
      </w:r>
      <w:r w:rsidR="00300E83" w:rsidRPr="00382917">
        <w:t>that</w:t>
      </w:r>
      <w:r w:rsidR="00EE4FC3">
        <w:t xml:space="preserve"> </w:t>
      </w:r>
      <w:proofErr w:type="spellStart"/>
      <w:r w:rsidR="00300E83" w:rsidRPr="00382917">
        <w:t>overcometh</w:t>
      </w:r>
      <w:proofErr w:type="spellEnd"/>
      <w:r w:rsidR="00EE4FC3">
        <w:t xml:space="preserve"> </w:t>
      </w:r>
      <w:r w:rsidR="00300E83" w:rsidRPr="00382917">
        <w:t>will</w:t>
      </w:r>
      <w:r w:rsidR="00EE4FC3">
        <w:t xml:space="preserve"> </w:t>
      </w:r>
      <w:r w:rsidR="00300E83" w:rsidRPr="00382917">
        <w:t>I</w:t>
      </w:r>
      <w:r w:rsidR="00EE4FC3">
        <w:t xml:space="preserve"> </w:t>
      </w:r>
      <w:r w:rsidR="00300E83" w:rsidRPr="00382917">
        <w:t>make</w:t>
      </w:r>
      <w:r w:rsidR="00EE4FC3">
        <w:t xml:space="preserve"> </w:t>
      </w:r>
      <w:r w:rsidR="00300E83" w:rsidRPr="00382917">
        <w:t>a</w:t>
      </w:r>
      <w:r w:rsidR="00EE4FC3">
        <w:t xml:space="preserve"> </w:t>
      </w:r>
      <w:r w:rsidR="00300E83" w:rsidRPr="00382917">
        <w:t>pillar</w:t>
      </w:r>
      <w:r w:rsidR="00EE4FC3">
        <w:t xml:space="preserve"> </w:t>
      </w:r>
      <w:r w:rsidR="00300E83" w:rsidRPr="00382917">
        <w:t>in</w:t>
      </w:r>
      <w:r w:rsidR="00EE4FC3">
        <w:t xml:space="preserve"> </w:t>
      </w:r>
      <w:r w:rsidR="00300E83" w:rsidRPr="00382917">
        <w:t>the</w:t>
      </w:r>
      <w:r w:rsidR="00EE4FC3">
        <w:t xml:space="preserve"> </w:t>
      </w:r>
      <w:r w:rsidR="00300E83" w:rsidRPr="00382917">
        <w:t>temple</w:t>
      </w:r>
      <w:r w:rsidR="00EE4FC3">
        <w:t xml:space="preserve"> </w:t>
      </w:r>
      <w:r w:rsidR="00300E83" w:rsidRPr="00382917">
        <w:t>of</w:t>
      </w:r>
      <w:r w:rsidR="00EE4FC3">
        <w:t xml:space="preserve"> </w:t>
      </w:r>
      <w:r w:rsidR="00300E83" w:rsidRPr="00382917">
        <w:t>my</w:t>
      </w:r>
      <w:r w:rsidR="00EE4FC3">
        <w:t xml:space="preserve"> </w:t>
      </w:r>
      <w:r w:rsidR="00300E83" w:rsidRPr="00382917">
        <w:t>God,</w:t>
      </w:r>
      <w:r w:rsidR="00EE4FC3">
        <w:t xml:space="preserve"> </w:t>
      </w:r>
      <w:r w:rsidR="00300E83" w:rsidRPr="00382917">
        <w:t>and</w:t>
      </w:r>
      <w:r w:rsidR="00EE4FC3">
        <w:t xml:space="preserve"> </w:t>
      </w:r>
      <w:r w:rsidR="00300E83" w:rsidRPr="00382917">
        <w:t>he</w:t>
      </w:r>
      <w:r w:rsidR="00EE4FC3">
        <w:t xml:space="preserve"> </w:t>
      </w:r>
      <w:r w:rsidR="00300E83" w:rsidRPr="00382917">
        <w:t>shall</w:t>
      </w:r>
      <w:r w:rsidR="00EE4FC3">
        <w:t xml:space="preserve"> </w:t>
      </w:r>
      <w:r w:rsidR="00300E83" w:rsidRPr="00382917">
        <w:t>go</w:t>
      </w:r>
      <w:r w:rsidR="00EE4FC3">
        <w:t xml:space="preserve"> </w:t>
      </w:r>
      <w:r w:rsidR="00300E83" w:rsidRPr="00382917">
        <w:t>no</w:t>
      </w:r>
      <w:r w:rsidR="00EE4FC3">
        <w:t xml:space="preserve"> </w:t>
      </w:r>
      <w:r w:rsidR="00300E83" w:rsidRPr="00382917">
        <w:t>more</w:t>
      </w:r>
      <w:r w:rsidR="00EE4FC3">
        <w:t xml:space="preserve"> </w:t>
      </w:r>
      <w:r w:rsidR="00300E83" w:rsidRPr="00382917">
        <w:t>out</w:t>
      </w:r>
      <w:r w:rsidR="00C03C91">
        <w:t>:</w:t>
      </w:r>
      <w:r w:rsidR="00EE4FC3">
        <w:t xml:space="preserve">  </w:t>
      </w:r>
      <w:r w:rsidR="00300E83" w:rsidRPr="00382917">
        <w:t>and</w:t>
      </w:r>
      <w:r w:rsidR="00EE4FC3">
        <w:t xml:space="preserve"> </w:t>
      </w:r>
      <w:r w:rsidR="00300E83" w:rsidRPr="00382917">
        <w:t>I</w:t>
      </w:r>
      <w:r w:rsidR="00EE4FC3">
        <w:t xml:space="preserve"> </w:t>
      </w:r>
      <w:r w:rsidR="00300E83" w:rsidRPr="00382917">
        <w:t>will</w:t>
      </w:r>
      <w:r w:rsidR="00EE4FC3">
        <w:t xml:space="preserve"> </w:t>
      </w:r>
      <w:r w:rsidR="00300E83" w:rsidRPr="00382917">
        <w:t>write</w:t>
      </w:r>
      <w:r w:rsidR="00EE4FC3">
        <w:t xml:space="preserve"> </w:t>
      </w:r>
      <w:r w:rsidR="00300E83" w:rsidRPr="00382917">
        <w:t>upon</w:t>
      </w:r>
      <w:r w:rsidR="00EE4FC3">
        <w:t xml:space="preserve"> </w:t>
      </w:r>
      <w:r w:rsidR="00300E83" w:rsidRPr="00382917">
        <w:t>him</w:t>
      </w:r>
      <w:r w:rsidR="00EE4FC3">
        <w:t xml:space="preserve"> </w:t>
      </w:r>
      <w:r w:rsidR="00300E83" w:rsidRPr="00382917">
        <w:t>the</w:t>
      </w:r>
      <w:r w:rsidR="00EE4FC3">
        <w:t xml:space="preserve"> </w:t>
      </w:r>
      <w:r w:rsidR="00300E83" w:rsidRPr="00382917">
        <w:t>name</w:t>
      </w:r>
      <w:r w:rsidR="00EE4FC3">
        <w:t xml:space="preserve"> </w:t>
      </w:r>
      <w:r w:rsidR="00300E83" w:rsidRPr="00382917">
        <w:t>of</w:t>
      </w:r>
      <w:r w:rsidR="00EE4FC3">
        <w:t xml:space="preserve"> </w:t>
      </w:r>
      <w:r w:rsidR="00300E83" w:rsidRPr="00382917">
        <w:t>my</w:t>
      </w:r>
      <w:r w:rsidR="00EE4FC3">
        <w:t xml:space="preserve"> </w:t>
      </w:r>
      <w:r w:rsidR="00300E83" w:rsidRPr="00382917">
        <w:t>God,</w:t>
      </w:r>
      <w:r w:rsidR="00EE4FC3">
        <w:t xml:space="preserve"> </w:t>
      </w:r>
      <w:r w:rsidR="00300E83" w:rsidRPr="00382917">
        <w:t>and</w:t>
      </w:r>
      <w:r w:rsidR="00EE4FC3">
        <w:t xml:space="preserve"> </w:t>
      </w:r>
      <w:r w:rsidR="00300E83" w:rsidRPr="00382917">
        <w:t>the</w:t>
      </w:r>
      <w:r w:rsidR="00EE4FC3">
        <w:t xml:space="preserve"> </w:t>
      </w:r>
      <w:r w:rsidR="00300E83" w:rsidRPr="00382917">
        <w:t>name</w:t>
      </w:r>
      <w:r w:rsidR="00EE4FC3">
        <w:t xml:space="preserve"> </w:t>
      </w:r>
      <w:r w:rsidR="00300E83" w:rsidRPr="00382917">
        <w:t>of</w:t>
      </w:r>
      <w:r w:rsidR="00EE4FC3">
        <w:t xml:space="preserve"> </w:t>
      </w:r>
      <w:r w:rsidR="00300E83" w:rsidRPr="00382917">
        <w:t>the</w:t>
      </w:r>
      <w:r w:rsidR="00EE4FC3">
        <w:t xml:space="preserve"> </w:t>
      </w:r>
      <w:r w:rsidR="00300E83" w:rsidRPr="00382917">
        <w:t>city</w:t>
      </w:r>
      <w:r w:rsidR="00EE4FC3">
        <w:t xml:space="preserve"> </w:t>
      </w:r>
      <w:r w:rsidR="00300E83" w:rsidRPr="00382917">
        <w:t>of</w:t>
      </w:r>
      <w:r w:rsidR="00EE4FC3">
        <w:t xml:space="preserve"> </w:t>
      </w:r>
      <w:r w:rsidR="00300E83" w:rsidRPr="00382917">
        <w:t>my</w:t>
      </w:r>
      <w:r w:rsidR="00EE4FC3">
        <w:t xml:space="preserve"> </w:t>
      </w:r>
      <w:r w:rsidR="00300E83" w:rsidRPr="00382917">
        <w:t>God,</w:t>
      </w:r>
      <w:r w:rsidR="00EE4FC3">
        <w:t xml:space="preserve"> </w:t>
      </w:r>
      <w:r w:rsidR="00300E83" w:rsidRPr="00382917">
        <w:t>which</w:t>
      </w:r>
      <w:r w:rsidR="00EE4FC3">
        <w:t xml:space="preserve"> </w:t>
      </w:r>
      <w:r w:rsidR="00300E83" w:rsidRPr="00382917">
        <w:t>is</w:t>
      </w:r>
      <w:r w:rsidR="00EE4FC3">
        <w:t xml:space="preserve"> </w:t>
      </w:r>
      <w:r w:rsidR="00300E83" w:rsidRPr="00382917">
        <w:t>new</w:t>
      </w:r>
      <w:r w:rsidR="00EE4FC3">
        <w:t xml:space="preserve"> </w:t>
      </w:r>
      <w:r w:rsidR="00300E83" w:rsidRPr="00382917">
        <w:t>Jerusalem,</w:t>
      </w:r>
      <w:r w:rsidR="00EE4FC3">
        <w:t xml:space="preserve"> </w:t>
      </w:r>
      <w:r w:rsidR="00300E83" w:rsidRPr="00382917">
        <w:t>which</w:t>
      </w:r>
      <w:r w:rsidR="00EE4FC3">
        <w:t xml:space="preserve"> </w:t>
      </w:r>
      <w:r w:rsidR="00300E83" w:rsidRPr="00382917">
        <w:t>cometh</w:t>
      </w:r>
      <w:r w:rsidR="00EE4FC3">
        <w:t xml:space="preserve"> </w:t>
      </w:r>
      <w:r w:rsidR="00300E83" w:rsidRPr="00382917">
        <w:t>down</w:t>
      </w:r>
      <w:r w:rsidR="00EE4FC3">
        <w:t xml:space="preserve"> </w:t>
      </w:r>
      <w:r w:rsidR="00300E83" w:rsidRPr="00382917">
        <w:t>out</w:t>
      </w:r>
      <w:r w:rsidR="00EE4FC3">
        <w:t xml:space="preserve"> </w:t>
      </w:r>
      <w:r w:rsidR="00300E83" w:rsidRPr="00382917">
        <w:t>of</w:t>
      </w:r>
      <w:r w:rsidR="00EE4FC3">
        <w:t xml:space="preserve"> </w:t>
      </w:r>
      <w:r w:rsidR="00300E83" w:rsidRPr="00382917">
        <w:t>heaven</w:t>
      </w:r>
      <w:r w:rsidR="00EE4FC3">
        <w:t xml:space="preserve"> </w:t>
      </w:r>
      <w:r w:rsidR="00300E83" w:rsidRPr="00382917">
        <w:t>from</w:t>
      </w:r>
      <w:r w:rsidR="00EE4FC3">
        <w:t xml:space="preserve"> </w:t>
      </w:r>
      <w:r w:rsidR="00300E83" w:rsidRPr="00382917">
        <w:t>my</w:t>
      </w:r>
      <w:r w:rsidR="00EE4FC3">
        <w:t xml:space="preserve"> </w:t>
      </w:r>
      <w:r w:rsidR="00300E83" w:rsidRPr="00382917">
        <w:t>God</w:t>
      </w:r>
      <w:r w:rsidR="00C03C91">
        <w:t>:</w:t>
      </w:r>
      <w:r w:rsidR="00EE4FC3">
        <w:t xml:space="preserve">  </w:t>
      </w:r>
      <w:r w:rsidR="00300E83" w:rsidRPr="00382917">
        <w:t>and</w:t>
      </w:r>
      <w:r w:rsidR="00EE4FC3">
        <w:t xml:space="preserve"> </w:t>
      </w:r>
      <w:r w:rsidR="00300E83" w:rsidRPr="00382917">
        <w:t>I</w:t>
      </w:r>
      <w:r w:rsidR="00EE4FC3">
        <w:t xml:space="preserve"> </w:t>
      </w:r>
      <w:r w:rsidR="00300E83" w:rsidRPr="00382917">
        <w:t>will</w:t>
      </w:r>
      <w:r w:rsidR="00EE4FC3">
        <w:t xml:space="preserve"> </w:t>
      </w:r>
      <w:r w:rsidR="00300E83" w:rsidRPr="00382917">
        <w:t>write</w:t>
      </w:r>
      <w:r w:rsidR="00EE4FC3">
        <w:t xml:space="preserve"> </w:t>
      </w:r>
      <w:r w:rsidR="00300E83" w:rsidRPr="00382917">
        <w:t>upon</w:t>
      </w:r>
      <w:r w:rsidR="00EE4FC3">
        <w:t xml:space="preserve"> </w:t>
      </w:r>
      <w:r w:rsidR="00300E83" w:rsidRPr="00382917">
        <w:t>him</w:t>
      </w:r>
      <w:r w:rsidR="00EE4FC3">
        <w:t xml:space="preserve"> </w:t>
      </w:r>
      <w:r w:rsidR="00300E83" w:rsidRPr="00382917">
        <w:t>my</w:t>
      </w:r>
      <w:r w:rsidR="00EE4FC3">
        <w:t xml:space="preserve"> </w:t>
      </w:r>
      <w:r w:rsidR="00300E83" w:rsidRPr="00382917">
        <w:t>new</w:t>
      </w:r>
      <w:r w:rsidR="00EE4FC3">
        <w:t xml:space="preserve"> </w:t>
      </w:r>
      <w:r w:rsidR="00300E83" w:rsidRPr="00382917">
        <w:t>name.</w:t>
      </w:r>
      <w:r w:rsidRPr="00382917">
        <w:t>”</w:t>
      </w:r>
      <w:r w:rsidR="00793528">
        <w:rPr>
          <w:rStyle w:val="FootnoteReference"/>
        </w:rPr>
        <w:footnoteReference w:id="324"/>
      </w:r>
    </w:p>
    <w:p w:rsidR="00300E83" w:rsidRPr="00382917" w:rsidRDefault="00300E83" w:rsidP="005B2C36">
      <w:pPr>
        <w:pStyle w:val="Text"/>
      </w:pPr>
      <w:r w:rsidRPr="00382917">
        <w:t>He</w:t>
      </w:r>
      <w:r w:rsidR="00EE4FC3">
        <w:t xml:space="preserve"> </w:t>
      </w:r>
      <w:r w:rsidRPr="00382917">
        <w:t>that</w:t>
      </w:r>
      <w:r w:rsidR="00EE4FC3">
        <w:t xml:space="preserve"> </w:t>
      </w:r>
      <w:r w:rsidRPr="00382917">
        <w:t>hath</w:t>
      </w:r>
      <w:r w:rsidR="00EE4FC3">
        <w:t xml:space="preserve"> </w:t>
      </w:r>
      <w:r w:rsidRPr="00382917">
        <w:t>an</w:t>
      </w:r>
      <w:r w:rsidR="00EE4FC3">
        <w:t xml:space="preserve"> </w:t>
      </w:r>
      <w:r w:rsidRPr="00382917">
        <w:t>eye</w:t>
      </w:r>
      <w:r w:rsidR="00EE4FC3">
        <w:t xml:space="preserve"> </w:t>
      </w:r>
      <w:r w:rsidRPr="00382917">
        <w:t>to</w:t>
      </w:r>
      <w:r w:rsidR="00EE4FC3">
        <w:t xml:space="preserve"> </w:t>
      </w:r>
      <w:proofErr w:type="gramStart"/>
      <w:r w:rsidRPr="00382917">
        <w:t>see,</w:t>
      </w:r>
      <w:proofErr w:type="gramEnd"/>
      <w:r w:rsidR="00EE4FC3">
        <w:t xml:space="preserve"> </w:t>
      </w:r>
      <w:r w:rsidRPr="00382917">
        <w:t>let</w:t>
      </w:r>
      <w:r w:rsidR="00EE4FC3">
        <w:t xml:space="preserve"> </w:t>
      </w:r>
      <w:r w:rsidRPr="00382917">
        <w:t>him</w:t>
      </w:r>
      <w:r w:rsidR="00EE4FC3">
        <w:t xml:space="preserve"> </w:t>
      </w:r>
      <w:r w:rsidRPr="00382917">
        <w:t>see</w:t>
      </w:r>
      <w:r w:rsidR="00552489">
        <w:t>.</w:t>
      </w:r>
      <w:r w:rsidR="00EE4FC3">
        <w:t xml:space="preserve">  </w:t>
      </w:r>
      <w:r w:rsidRPr="00382917">
        <w:t>He</w:t>
      </w:r>
      <w:r w:rsidR="00EE4FC3">
        <w:t xml:space="preserve"> </w:t>
      </w:r>
      <w:r w:rsidRPr="00382917">
        <w:t>that</w:t>
      </w:r>
      <w:r w:rsidR="00EE4FC3">
        <w:t xml:space="preserve"> </w:t>
      </w:r>
      <w:r w:rsidR="005B2C36" w:rsidRPr="00382917">
        <w:t>h</w:t>
      </w:r>
      <w:r w:rsidRPr="00382917">
        <w:t>ath</w:t>
      </w:r>
      <w:r w:rsidR="00EE4FC3">
        <w:t xml:space="preserve"> </w:t>
      </w:r>
      <w:r w:rsidRPr="00382917">
        <w:t>an</w:t>
      </w:r>
      <w:r w:rsidR="00EE4FC3">
        <w:t xml:space="preserve"> </w:t>
      </w:r>
      <w:r w:rsidRPr="00382917">
        <w:t>ear</w:t>
      </w:r>
      <w:r w:rsidR="00EE4FC3">
        <w:t xml:space="preserve"> </w:t>
      </w:r>
      <w:r w:rsidRPr="00382917">
        <w:t>to</w:t>
      </w:r>
      <w:r w:rsidR="00EE4FC3">
        <w:t xml:space="preserve"> </w:t>
      </w:r>
      <w:proofErr w:type="gramStart"/>
      <w:r w:rsidRPr="00382917">
        <w:t>hear,</w:t>
      </w:r>
      <w:proofErr w:type="gramEnd"/>
      <w:r w:rsidR="00EE4FC3">
        <w:t xml:space="preserve"> </w:t>
      </w:r>
      <w:r w:rsidRPr="00382917">
        <w:t>let</w:t>
      </w:r>
      <w:r w:rsidR="00EE4FC3">
        <w:t xml:space="preserve"> </w:t>
      </w:r>
      <w:r w:rsidRPr="00382917">
        <w:t>him</w:t>
      </w:r>
      <w:r w:rsidR="00EE4FC3">
        <w:t xml:space="preserve"> </w:t>
      </w:r>
      <w:r w:rsidRPr="00382917">
        <w:t>hear.</w:t>
      </w:r>
    </w:p>
    <w:p w:rsidR="001221F9" w:rsidRPr="00382917" w:rsidRDefault="001221F9">
      <w:pPr>
        <w:widowControl/>
        <w:kinsoku/>
        <w:overflowPunct/>
        <w:textAlignment w:val="auto"/>
      </w:pPr>
      <w:r w:rsidRPr="00382917">
        <w:br w:type="page"/>
      </w:r>
    </w:p>
    <w:p w:rsidR="001221F9" w:rsidRPr="00382917" w:rsidRDefault="00417538" w:rsidP="00417538">
      <w:r w:rsidRPr="00382917">
        <w:rPr>
          <w:sz w:val="12"/>
          <w:szCs w:val="12"/>
        </w:rPr>
        <w:fldChar w:fldCharType="begin"/>
      </w:r>
      <w:r w:rsidR="00EE4FC3">
        <w:rPr>
          <w:sz w:val="12"/>
          <w:szCs w:val="12"/>
        </w:rPr>
        <w:instrText xml:space="preserve"> </w:instrText>
      </w:r>
      <w:r w:rsidRPr="00382917">
        <w:rPr>
          <w:sz w:val="12"/>
          <w:szCs w:val="12"/>
        </w:rPr>
        <w:instrText>TC</w:instrText>
      </w:r>
      <w:r w:rsidR="00EE4FC3">
        <w:rPr>
          <w:sz w:val="12"/>
          <w:szCs w:val="12"/>
        </w:rPr>
        <w:instrText xml:space="preserve">  </w:instrText>
      </w:r>
      <w:r w:rsidRPr="00382917">
        <w:rPr>
          <w:sz w:val="12"/>
          <w:szCs w:val="12"/>
        </w:rPr>
        <w:instrText>“</w:instrText>
      </w:r>
      <w:bookmarkStart w:id="25" w:name="_Toc206658620"/>
      <w:r>
        <w:rPr>
          <w:sz w:val="12"/>
          <w:szCs w:val="12"/>
        </w:rPr>
        <w:instrText>Note</w:instrText>
      </w:r>
      <w:r w:rsidR="00EE4FC3">
        <w:rPr>
          <w:sz w:val="12"/>
          <w:szCs w:val="12"/>
        </w:rPr>
        <w:instrText xml:space="preserve"> </w:instrText>
      </w:r>
      <w:r>
        <w:rPr>
          <w:sz w:val="12"/>
          <w:szCs w:val="12"/>
        </w:rPr>
        <w:instrText>2</w:instrText>
      </w:r>
      <w:r w:rsidRPr="00382917">
        <w:rPr>
          <w:color w:val="FFFFFF" w:themeColor="background1"/>
          <w:sz w:val="12"/>
          <w:szCs w:val="12"/>
        </w:rPr>
        <w:instrText>..</w:instrText>
      </w:r>
      <w:r w:rsidRPr="00382917">
        <w:rPr>
          <w:sz w:val="12"/>
          <w:szCs w:val="12"/>
        </w:rPr>
        <w:tab/>
      </w:r>
      <w:r w:rsidRPr="00382917">
        <w:rPr>
          <w:color w:val="FFFFFF" w:themeColor="background1"/>
          <w:sz w:val="12"/>
          <w:szCs w:val="12"/>
        </w:rPr>
        <w:instrText>.</w:instrText>
      </w:r>
      <w:bookmarkEnd w:id="25"/>
      <w:proofErr w:type="gramStart"/>
      <w:r w:rsidRPr="00382917">
        <w:rPr>
          <w:sz w:val="12"/>
          <w:szCs w:val="12"/>
        </w:rPr>
        <w:instrText>”</w:instrText>
      </w:r>
      <w:r w:rsidR="00EE4FC3">
        <w:rPr>
          <w:sz w:val="12"/>
          <w:szCs w:val="12"/>
        </w:rPr>
        <w:instrText xml:space="preserve"> </w:instrText>
      </w:r>
      <w:proofErr w:type="gramEnd"/>
      <w:r w:rsidRPr="00382917">
        <w:rPr>
          <w:sz w:val="12"/>
          <w:szCs w:val="12"/>
        </w:rPr>
        <w:instrText>\l</w:instrText>
      </w:r>
      <w:r w:rsidR="00EE4FC3">
        <w:rPr>
          <w:sz w:val="12"/>
          <w:szCs w:val="12"/>
        </w:rPr>
        <w:instrText xml:space="preserve"> </w:instrText>
      </w:r>
      <w:r>
        <w:rPr>
          <w:sz w:val="12"/>
          <w:szCs w:val="12"/>
        </w:rPr>
        <w:instrText>3</w:instrText>
      </w:r>
      <w:r w:rsidR="00EE4FC3">
        <w:rPr>
          <w:sz w:val="12"/>
          <w:szCs w:val="12"/>
        </w:rPr>
        <w:instrText xml:space="preserve"> </w:instrText>
      </w:r>
      <w:r w:rsidRPr="00382917">
        <w:rPr>
          <w:sz w:val="12"/>
          <w:szCs w:val="12"/>
        </w:rPr>
        <w:fldChar w:fldCharType="end"/>
      </w:r>
    </w:p>
    <w:p w:rsidR="001221F9" w:rsidRPr="00382917" w:rsidRDefault="001221F9" w:rsidP="00300E83"/>
    <w:p w:rsidR="00300E83" w:rsidRPr="00382917" w:rsidRDefault="00300E83" w:rsidP="00793528">
      <w:pPr>
        <w:pStyle w:val="Myheadc"/>
      </w:pPr>
      <w:r w:rsidRPr="00382917">
        <w:t>N</w:t>
      </w:r>
      <w:r w:rsidR="00417538" w:rsidRPr="00382917">
        <w:t>ote</w:t>
      </w:r>
      <w:r w:rsidR="00EE4FC3">
        <w:t xml:space="preserve"> </w:t>
      </w:r>
      <w:r w:rsidR="00417538">
        <w:t>2</w:t>
      </w:r>
    </w:p>
    <w:p w:rsidR="00300E83" w:rsidRPr="00382917" w:rsidRDefault="00300E83" w:rsidP="001221F9">
      <w:pPr>
        <w:pStyle w:val="Text"/>
      </w:pPr>
      <w:r w:rsidRPr="00382917">
        <w:t>Every</w:t>
      </w:r>
      <w:r w:rsidR="00EE4FC3">
        <w:t xml:space="preserve"> </w:t>
      </w:r>
      <w:r w:rsidRPr="00382917">
        <w:t>Prophet</w:t>
      </w:r>
      <w:r w:rsidR="00EE4FC3">
        <w:t xml:space="preserve"> </w:t>
      </w:r>
      <w:r w:rsidRPr="00382917">
        <w:t>has</w:t>
      </w:r>
      <w:r w:rsidR="00EE4FC3">
        <w:t xml:space="preserve"> </w:t>
      </w:r>
      <w:r w:rsidRPr="00382917">
        <w:t>been</w:t>
      </w:r>
      <w:r w:rsidR="00EE4FC3">
        <w:t xml:space="preserve"> </w:t>
      </w:r>
      <w:r w:rsidRPr="00382917">
        <w:t>called</w:t>
      </w:r>
      <w:r w:rsidR="00EE4FC3">
        <w:t xml:space="preserve"> </w:t>
      </w:r>
      <w:r w:rsidRPr="00382917">
        <w:t>false</w:t>
      </w:r>
      <w:r w:rsidR="00EE4FC3">
        <w:t xml:space="preserve"> </w:t>
      </w:r>
      <w:r w:rsidRPr="00382917">
        <w:t>by</w:t>
      </w:r>
      <w:r w:rsidR="00EE4FC3">
        <w:t xml:space="preserve"> </w:t>
      </w:r>
      <w:r w:rsidRPr="00382917">
        <w:t>his</w:t>
      </w:r>
      <w:r w:rsidR="00EE4FC3">
        <w:t xml:space="preserve"> </w:t>
      </w:r>
      <w:r w:rsidRPr="00382917">
        <w:t>own</w:t>
      </w:r>
      <w:r w:rsidR="00EE4FC3">
        <w:t xml:space="preserve"> </w:t>
      </w:r>
      <w:r w:rsidRPr="00382917">
        <w:t>generation</w:t>
      </w:r>
      <w:r w:rsidR="00552489">
        <w:t>.</w:t>
      </w:r>
      <w:r w:rsidR="00EE4FC3">
        <w:t xml:space="preserve">  </w:t>
      </w:r>
      <w:r w:rsidRPr="00382917">
        <w:t>This</w:t>
      </w:r>
      <w:r w:rsidR="00EE4FC3">
        <w:t xml:space="preserve"> </w:t>
      </w:r>
      <w:r w:rsidRPr="00382917">
        <w:t>was</w:t>
      </w:r>
      <w:r w:rsidR="00EE4FC3">
        <w:t xml:space="preserve"> </w:t>
      </w:r>
      <w:r w:rsidRPr="00382917">
        <w:t>true</w:t>
      </w:r>
      <w:r w:rsidR="00EE4FC3">
        <w:t xml:space="preserve"> </w:t>
      </w:r>
      <w:r w:rsidRPr="00382917">
        <w:t>of</w:t>
      </w:r>
      <w:r w:rsidR="00EE4FC3">
        <w:t xml:space="preserve"> </w:t>
      </w:r>
      <w:r w:rsidRPr="00382917">
        <w:t>Jesus</w:t>
      </w:r>
      <w:r w:rsidR="00552489">
        <w:t>.</w:t>
      </w:r>
      <w:r w:rsidR="00EE4FC3">
        <w:t xml:space="preserve">  </w:t>
      </w:r>
      <w:r w:rsidRPr="00382917">
        <w:t>He</w:t>
      </w:r>
      <w:r w:rsidR="00EE4FC3">
        <w:t xml:space="preserve"> </w:t>
      </w:r>
      <w:r w:rsidRPr="00382917">
        <w:t>was</w:t>
      </w:r>
      <w:r w:rsidR="00EE4FC3">
        <w:t xml:space="preserve"> </w:t>
      </w:r>
      <w:r w:rsidRPr="00382917">
        <w:t>considered</w:t>
      </w:r>
      <w:r w:rsidR="00EE4FC3">
        <w:t xml:space="preserve"> </w:t>
      </w:r>
      <w:r w:rsidRPr="00382917">
        <w:t>a</w:t>
      </w:r>
      <w:r w:rsidR="00EE4FC3">
        <w:t xml:space="preserve"> </w:t>
      </w:r>
      <w:r w:rsidR="009C713D" w:rsidRPr="00382917">
        <w:t>“</w:t>
      </w:r>
      <w:r w:rsidRPr="00382917">
        <w:t>false</w:t>
      </w:r>
      <w:r w:rsidR="00EE4FC3">
        <w:t xml:space="preserve"> </w:t>
      </w:r>
      <w:r w:rsidRPr="00382917">
        <w:t>prophet.</w:t>
      </w:r>
      <w:r w:rsidR="009C713D" w:rsidRPr="00382917">
        <w:t>”</w:t>
      </w:r>
    </w:p>
    <w:p w:rsidR="00300E83" w:rsidRPr="00382917" w:rsidRDefault="009C713D" w:rsidP="002B6A79">
      <w:pPr>
        <w:pStyle w:val="Quote"/>
      </w:pPr>
      <w:r w:rsidRPr="00382917">
        <w:t>“</w:t>
      </w:r>
      <w:r w:rsidR="00300E83" w:rsidRPr="00382917">
        <w:t>And</w:t>
      </w:r>
      <w:r w:rsidR="00EE4FC3">
        <w:t xml:space="preserve"> </w:t>
      </w:r>
      <w:r w:rsidR="00300E83" w:rsidRPr="00382917">
        <w:t>there</w:t>
      </w:r>
      <w:r w:rsidR="00EE4FC3">
        <w:t xml:space="preserve"> </w:t>
      </w:r>
      <w:r w:rsidR="00300E83" w:rsidRPr="00382917">
        <w:t>was</w:t>
      </w:r>
      <w:r w:rsidR="00EE4FC3">
        <w:t xml:space="preserve"> </w:t>
      </w:r>
      <w:r w:rsidR="00300E83" w:rsidRPr="00382917">
        <w:t>much</w:t>
      </w:r>
      <w:r w:rsidR="00EE4FC3">
        <w:t xml:space="preserve"> </w:t>
      </w:r>
      <w:r w:rsidR="00300E83" w:rsidRPr="00382917">
        <w:t>murmuring</w:t>
      </w:r>
      <w:r w:rsidR="00EE4FC3">
        <w:t xml:space="preserve"> </w:t>
      </w:r>
      <w:r w:rsidR="00300E83" w:rsidRPr="00382917">
        <w:t>among</w:t>
      </w:r>
      <w:r w:rsidR="00EE4FC3">
        <w:t xml:space="preserve"> </w:t>
      </w:r>
      <w:r w:rsidR="00300E83" w:rsidRPr="00382917">
        <w:t>the</w:t>
      </w:r>
      <w:r w:rsidR="00EE4FC3">
        <w:t xml:space="preserve"> </w:t>
      </w:r>
      <w:r w:rsidR="00300E83" w:rsidRPr="00382917">
        <w:t>people</w:t>
      </w:r>
      <w:r w:rsidR="00EE4FC3">
        <w:t xml:space="preserve"> </w:t>
      </w:r>
      <w:r w:rsidR="00300E83" w:rsidRPr="00382917">
        <w:t>concerning</w:t>
      </w:r>
      <w:r w:rsidR="00EE4FC3">
        <w:t xml:space="preserve"> </w:t>
      </w:r>
      <w:r w:rsidR="00300E83" w:rsidRPr="00382917">
        <w:t>him</w:t>
      </w:r>
      <w:r w:rsidR="00C03C91">
        <w:t>:</w:t>
      </w:r>
      <w:r w:rsidR="00EE4FC3">
        <w:t xml:space="preserve">  </w:t>
      </w:r>
      <w:r w:rsidR="00300E83" w:rsidRPr="00382917">
        <w:t>for</w:t>
      </w:r>
      <w:r w:rsidR="00EE4FC3">
        <w:t xml:space="preserve"> </w:t>
      </w:r>
      <w:r w:rsidR="00300E83" w:rsidRPr="00382917">
        <w:t>some</w:t>
      </w:r>
      <w:r w:rsidR="00EE4FC3">
        <w:t xml:space="preserve"> </w:t>
      </w:r>
      <w:r w:rsidR="00300E83" w:rsidRPr="00382917">
        <w:t>said</w:t>
      </w:r>
      <w:r w:rsidR="00EE4FC3">
        <w:t xml:space="preserve"> </w:t>
      </w:r>
      <w:r w:rsidR="00300E83" w:rsidRPr="00382917">
        <w:t>he</w:t>
      </w:r>
      <w:r w:rsidR="00EE4FC3">
        <w:t xml:space="preserve"> </w:t>
      </w:r>
      <w:r w:rsidR="00300E83" w:rsidRPr="00382917">
        <w:t>is</w:t>
      </w:r>
      <w:r w:rsidR="00EE4FC3">
        <w:t xml:space="preserve"> </w:t>
      </w:r>
      <w:r w:rsidR="00300E83" w:rsidRPr="00382917">
        <w:t>a</w:t>
      </w:r>
      <w:r w:rsidR="00EE4FC3">
        <w:t xml:space="preserve"> </w:t>
      </w:r>
      <w:r w:rsidR="00300E83" w:rsidRPr="00382917">
        <w:t>good</w:t>
      </w:r>
      <w:r w:rsidR="00EE4FC3">
        <w:t xml:space="preserve"> </w:t>
      </w:r>
      <w:r w:rsidR="00300E83" w:rsidRPr="00382917">
        <w:t>man;</w:t>
      </w:r>
      <w:r w:rsidR="00EE4FC3">
        <w:t xml:space="preserve"> </w:t>
      </w:r>
      <w:r w:rsidR="00300E83" w:rsidRPr="00382917">
        <w:t>others</w:t>
      </w:r>
      <w:r w:rsidR="00EE4FC3">
        <w:t xml:space="preserve"> </w:t>
      </w:r>
      <w:r w:rsidR="00300E83" w:rsidRPr="00382917">
        <w:t>said,</w:t>
      </w:r>
      <w:r w:rsidR="00EE4FC3">
        <w:t xml:space="preserve"> </w:t>
      </w:r>
      <w:proofErr w:type="gramStart"/>
      <w:r w:rsidR="00300E83" w:rsidRPr="00382917">
        <w:t>Nay</w:t>
      </w:r>
      <w:proofErr w:type="gramEnd"/>
      <w:r w:rsidR="00300E83" w:rsidRPr="00382917">
        <w:t>;</w:t>
      </w:r>
      <w:r w:rsidR="00EE4FC3">
        <w:t xml:space="preserve"> </w:t>
      </w:r>
      <w:r w:rsidR="00300E83" w:rsidRPr="00382917">
        <w:t>but</w:t>
      </w:r>
      <w:r w:rsidR="00EE4FC3">
        <w:t xml:space="preserve"> </w:t>
      </w:r>
      <w:r w:rsidR="00300E83" w:rsidRPr="00793528">
        <w:rPr>
          <w:i/>
          <w:iCs w:val="0"/>
        </w:rPr>
        <w:t>he</w:t>
      </w:r>
      <w:r w:rsidR="00EE4FC3" w:rsidRPr="00793528">
        <w:rPr>
          <w:i/>
          <w:iCs w:val="0"/>
        </w:rPr>
        <w:t xml:space="preserve"> </w:t>
      </w:r>
      <w:proofErr w:type="spellStart"/>
      <w:r w:rsidR="00300E83" w:rsidRPr="00793528">
        <w:rPr>
          <w:i/>
          <w:iCs w:val="0"/>
        </w:rPr>
        <w:t>deceiveth</w:t>
      </w:r>
      <w:proofErr w:type="spellEnd"/>
      <w:r w:rsidR="00EE4FC3" w:rsidRPr="00793528">
        <w:rPr>
          <w:i/>
          <w:iCs w:val="0"/>
        </w:rPr>
        <w:t xml:space="preserve"> </w:t>
      </w:r>
      <w:r w:rsidR="00300E83" w:rsidRPr="00793528">
        <w:rPr>
          <w:i/>
          <w:iCs w:val="0"/>
        </w:rPr>
        <w:t>the</w:t>
      </w:r>
      <w:r w:rsidR="00EE4FC3" w:rsidRPr="00793528">
        <w:rPr>
          <w:i/>
          <w:iCs w:val="0"/>
        </w:rPr>
        <w:t xml:space="preserve"> </w:t>
      </w:r>
      <w:r w:rsidR="00300E83" w:rsidRPr="00793528">
        <w:rPr>
          <w:i/>
          <w:iCs w:val="0"/>
        </w:rPr>
        <w:t>people</w:t>
      </w:r>
      <w:r w:rsidR="00300E83" w:rsidRPr="00382917">
        <w:t>.</w:t>
      </w:r>
      <w:r w:rsidRPr="00382917">
        <w:t>”</w:t>
      </w:r>
      <w:r w:rsidR="002B6A79">
        <w:rPr>
          <w:rStyle w:val="FootnoteReference"/>
        </w:rPr>
        <w:footnoteReference w:id="325"/>
      </w:r>
    </w:p>
    <w:p w:rsidR="00300E83" w:rsidRPr="00382917" w:rsidRDefault="00300E83" w:rsidP="001221F9">
      <w:pPr>
        <w:pStyle w:val="Text"/>
      </w:pPr>
      <w:r w:rsidRPr="00382917">
        <w:t>A</w:t>
      </w:r>
      <w:r w:rsidR="00EE4FC3">
        <w:t xml:space="preserve"> </w:t>
      </w:r>
      <w:r w:rsidRPr="00382917">
        <w:t>famous</w:t>
      </w:r>
      <w:r w:rsidR="00EE4FC3">
        <w:t xml:space="preserve"> </w:t>
      </w:r>
      <w:r w:rsidRPr="00382917">
        <w:t>philosopher</w:t>
      </w:r>
      <w:r w:rsidR="00EE4FC3">
        <w:t xml:space="preserve"> </w:t>
      </w:r>
      <w:r w:rsidRPr="00382917">
        <w:t>named</w:t>
      </w:r>
      <w:r w:rsidR="00EE4FC3">
        <w:t xml:space="preserve"> </w:t>
      </w:r>
      <w:proofErr w:type="spellStart"/>
      <w:r w:rsidRPr="00382917">
        <w:t>Celsus</w:t>
      </w:r>
      <w:proofErr w:type="spellEnd"/>
      <w:r w:rsidR="00EE4FC3">
        <w:t xml:space="preserve"> </w:t>
      </w:r>
      <w:r w:rsidRPr="00382917">
        <w:t>in</w:t>
      </w:r>
      <w:r w:rsidR="00EE4FC3">
        <w:t xml:space="preserve"> </w:t>
      </w:r>
      <w:r w:rsidRPr="00382917">
        <w:t>the</w:t>
      </w:r>
      <w:r w:rsidR="00EE4FC3">
        <w:t xml:space="preserve"> </w:t>
      </w:r>
      <w:r w:rsidRPr="00382917">
        <w:t>second</w:t>
      </w:r>
      <w:r w:rsidR="00EE4FC3">
        <w:t xml:space="preserve"> </w:t>
      </w:r>
      <w:r w:rsidRPr="00382917">
        <w:t>century</w:t>
      </w:r>
      <w:r w:rsidR="00EE4FC3">
        <w:t xml:space="preserve"> </w:t>
      </w:r>
      <w:r w:rsidRPr="00382917">
        <w:t>compiled</w:t>
      </w:r>
      <w:r w:rsidR="00EE4FC3">
        <w:t xml:space="preserve"> </w:t>
      </w:r>
      <w:r w:rsidRPr="00382917">
        <w:t>an</w:t>
      </w:r>
      <w:r w:rsidR="00EE4FC3">
        <w:t xml:space="preserve"> </w:t>
      </w:r>
      <w:r w:rsidRPr="00382917">
        <w:t>entire</w:t>
      </w:r>
      <w:r w:rsidR="00EE4FC3">
        <w:t xml:space="preserve"> </w:t>
      </w:r>
      <w:r w:rsidRPr="00382917">
        <w:t>volume</w:t>
      </w:r>
      <w:r w:rsidR="00EE4FC3">
        <w:t xml:space="preserve"> </w:t>
      </w:r>
      <w:r w:rsidRPr="00382917">
        <w:t>filled</w:t>
      </w:r>
      <w:r w:rsidR="00EE4FC3">
        <w:t xml:space="preserve"> </w:t>
      </w:r>
      <w:r w:rsidRPr="00382917">
        <w:t>with</w:t>
      </w:r>
      <w:r w:rsidR="00EE4FC3">
        <w:t xml:space="preserve"> </w:t>
      </w:r>
      <w:r w:rsidRPr="00382917">
        <w:t>terrible</w:t>
      </w:r>
      <w:r w:rsidR="00EE4FC3">
        <w:t xml:space="preserve"> </w:t>
      </w:r>
      <w:r w:rsidRPr="00382917">
        <w:t>libels</w:t>
      </w:r>
      <w:r w:rsidR="00EE4FC3">
        <w:t xml:space="preserve"> </w:t>
      </w:r>
      <w:r w:rsidRPr="00382917">
        <w:t>about</w:t>
      </w:r>
      <w:r w:rsidR="00EE4FC3">
        <w:t xml:space="preserve"> </w:t>
      </w:r>
      <w:r w:rsidRPr="00382917">
        <w:t>Christ</w:t>
      </w:r>
      <w:r w:rsidR="00EE4FC3">
        <w:t xml:space="preserve"> </w:t>
      </w:r>
      <w:r w:rsidRPr="00382917">
        <w:t>and</w:t>
      </w:r>
      <w:r w:rsidR="00EE4FC3">
        <w:t xml:space="preserve"> </w:t>
      </w:r>
      <w:r w:rsidRPr="00382917">
        <w:t>His</w:t>
      </w:r>
      <w:r w:rsidR="00EE4FC3">
        <w:t xml:space="preserve"> </w:t>
      </w:r>
      <w:r w:rsidRPr="00382917">
        <w:t>followers</w:t>
      </w:r>
      <w:r w:rsidR="00552489">
        <w:t>.</w:t>
      </w:r>
      <w:r w:rsidR="00EE4FC3">
        <w:t xml:space="preserve">  </w:t>
      </w:r>
      <w:r w:rsidRPr="00382917">
        <w:t>Porphyry,</w:t>
      </w:r>
      <w:r w:rsidR="00EE4FC3">
        <w:t xml:space="preserve"> </w:t>
      </w:r>
      <w:r w:rsidRPr="00382917">
        <w:t>one</w:t>
      </w:r>
      <w:r w:rsidR="00EE4FC3">
        <w:t xml:space="preserve"> </w:t>
      </w:r>
      <w:r w:rsidRPr="00382917">
        <w:t>of</w:t>
      </w:r>
      <w:r w:rsidR="00EE4FC3">
        <w:t xml:space="preserve"> </w:t>
      </w:r>
      <w:r w:rsidRPr="00382917">
        <w:t>the</w:t>
      </w:r>
      <w:r w:rsidR="00EE4FC3">
        <w:t xml:space="preserve"> </w:t>
      </w:r>
      <w:r w:rsidRPr="00382917">
        <w:t>greatest</w:t>
      </w:r>
      <w:r w:rsidR="00EE4FC3">
        <w:t xml:space="preserve"> </w:t>
      </w:r>
      <w:r w:rsidRPr="00382917">
        <w:t>of</w:t>
      </w:r>
      <w:r w:rsidR="00EE4FC3">
        <w:t xml:space="preserve"> </w:t>
      </w:r>
      <w:r w:rsidRPr="00382917">
        <w:t>the</w:t>
      </w:r>
      <w:r w:rsidR="00EE4FC3">
        <w:t xml:space="preserve"> </w:t>
      </w:r>
      <w:r w:rsidRPr="00382917">
        <w:t>Platonic</w:t>
      </w:r>
      <w:r w:rsidR="00EE4FC3">
        <w:t xml:space="preserve"> </w:t>
      </w:r>
      <w:r w:rsidRPr="00382917">
        <w:t>philosophers,</w:t>
      </w:r>
      <w:r w:rsidR="00EE4FC3">
        <w:t xml:space="preserve"> </w:t>
      </w:r>
      <w:r w:rsidRPr="00382917">
        <w:t>wrote</w:t>
      </w:r>
      <w:r w:rsidR="00EE4FC3">
        <w:t xml:space="preserve"> </w:t>
      </w:r>
      <w:r w:rsidRPr="00382917">
        <w:t>a</w:t>
      </w:r>
      <w:r w:rsidR="00EE4FC3">
        <w:t xml:space="preserve"> </w:t>
      </w:r>
      <w:r w:rsidRPr="00382917">
        <w:t>large</w:t>
      </w:r>
      <w:r w:rsidR="00EE4FC3">
        <w:t xml:space="preserve"> </w:t>
      </w:r>
      <w:r w:rsidRPr="00382917">
        <w:t>book</w:t>
      </w:r>
      <w:r w:rsidR="00EE4FC3">
        <w:t xml:space="preserve"> </w:t>
      </w:r>
      <w:r w:rsidRPr="00382917">
        <w:t>against</w:t>
      </w:r>
      <w:r w:rsidR="00EE4FC3">
        <w:t xml:space="preserve"> </w:t>
      </w:r>
      <w:r w:rsidRPr="00382917">
        <w:t>Christ</w:t>
      </w:r>
      <w:r w:rsidR="00EE4FC3">
        <w:t xml:space="preserve"> </w:t>
      </w:r>
      <w:r w:rsidRPr="00382917">
        <w:t>and</w:t>
      </w:r>
      <w:r w:rsidR="00EE4FC3">
        <w:t xml:space="preserve"> </w:t>
      </w:r>
      <w:r w:rsidRPr="00382917">
        <w:t>the</w:t>
      </w:r>
      <w:r w:rsidR="00EE4FC3">
        <w:t xml:space="preserve"> </w:t>
      </w:r>
      <w:r w:rsidRPr="00382917">
        <w:t>Christians,</w:t>
      </w:r>
      <w:r w:rsidR="00EE4FC3">
        <w:t xml:space="preserve"> </w:t>
      </w:r>
      <w:r w:rsidRPr="00382917">
        <w:t>quoting</w:t>
      </w:r>
      <w:r w:rsidR="00EE4FC3">
        <w:t xml:space="preserve"> </w:t>
      </w:r>
      <w:r w:rsidRPr="00382917">
        <w:t>the</w:t>
      </w:r>
      <w:r w:rsidR="00EE4FC3">
        <w:t xml:space="preserve"> </w:t>
      </w:r>
      <w:r w:rsidRPr="00382917">
        <w:t>many</w:t>
      </w:r>
      <w:r w:rsidR="00EE4FC3">
        <w:t xml:space="preserve"> </w:t>
      </w:r>
      <w:r w:rsidRPr="00382917">
        <w:t>abusive</w:t>
      </w:r>
      <w:r w:rsidR="00EE4FC3">
        <w:t xml:space="preserve"> </w:t>
      </w:r>
      <w:r w:rsidRPr="00382917">
        <w:t>attacks</w:t>
      </w:r>
      <w:r w:rsidR="00EE4FC3">
        <w:t xml:space="preserve"> </w:t>
      </w:r>
      <w:r w:rsidRPr="00382917">
        <w:t>against</w:t>
      </w:r>
      <w:r w:rsidR="00EE4FC3">
        <w:t xml:space="preserve"> </w:t>
      </w:r>
      <w:r w:rsidRPr="00382917">
        <w:t>Jesus</w:t>
      </w:r>
      <w:r w:rsidR="00EE4FC3">
        <w:t xml:space="preserve"> </w:t>
      </w:r>
      <w:r w:rsidRPr="00382917">
        <w:t>which</w:t>
      </w:r>
      <w:r w:rsidR="00EE4FC3">
        <w:t xml:space="preserve"> </w:t>
      </w:r>
      <w:r w:rsidRPr="00382917">
        <w:t>were</w:t>
      </w:r>
      <w:r w:rsidR="00EE4FC3">
        <w:t xml:space="preserve"> </w:t>
      </w:r>
      <w:r w:rsidRPr="00382917">
        <w:t>prevalent</w:t>
      </w:r>
      <w:r w:rsidR="00EE4FC3">
        <w:t xml:space="preserve"> </w:t>
      </w:r>
      <w:r w:rsidRPr="00382917">
        <w:t>among</w:t>
      </w:r>
      <w:r w:rsidR="00EE4FC3">
        <w:t xml:space="preserve"> </w:t>
      </w:r>
      <w:r w:rsidRPr="00382917">
        <w:t>the</w:t>
      </w:r>
      <w:r w:rsidR="00EE4FC3">
        <w:t xml:space="preserve"> </w:t>
      </w:r>
      <w:r w:rsidRPr="00382917">
        <w:t>leaders</w:t>
      </w:r>
      <w:r w:rsidR="00EE4FC3">
        <w:t xml:space="preserve"> </w:t>
      </w:r>
      <w:r w:rsidRPr="00382917">
        <w:t>and</w:t>
      </w:r>
      <w:r w:rsidR="00EE4FC3">
        <w:t xml:space="preserve"> </w:t>
      </w:r>
      <w:r w:rsidRPr="00382917">
        <w:t>the</w:t>
      </w:r>
      <w:r w:rsidR="00EE4FC3">
        <w:t xml:space="preserve"> </w:t>
      </w:r>
      <w:r w:rsidRPr="00382917">
        <w:t>masses</w:t>
      </w:r>
      <w:r w:rsidR="00552489">
        <w:t>.</w:t>
      </w:r>
      <w:r w:rsidR="00EE4FC3">
        <w:t xml:space="preserve">  </w:t>
      </w:r>
      <w:r w:rsidRPr="00382917">
        <w:t>The</w:t>
      </w:r>
      <w:r w:rsidR="00EE4FC3">
        <w:t xml:space="preserve"> </w:t>
      </w:r>
      <w:r w:rsidRPr="00382917">
        <w:t>book</w:t>
      </w:r>
      <w:r w:rsidR="00EE4FC3">
        <w:t xml:space="preserve"> </w:t>
      </w:r>
      <w:r w:rsidRPr="00382917">
        <w:t>was</w:t>
      </w:r>
      <w:r w:rsidR="00EE4FC3">
        <w:t xml:space="preserve"> </w:t>
      </w:r>
      <w:r w:rsidRPr="00382917">
        <w:t>later</w:t>
      </w:r>
      <w:r w:rsidR="00EE4FC3">
        <w:t xml:space="preserve"> </w:t>
      </w:r>
      <w:r w:rsidRPr="00382917">
        <w:t>burned</w:t>
      </w:r>
      <w:r w:rsidR="00EE4FC3">
        <w:t xml:space="preserve"> </w:t>
      </w:r>
      <w:r w:rsidRPr="00382917">
        <w:t>by</w:t>
      </w:r>
      <w:r w:rsidR="00EE4FC3">
        <w:t xml:space="preserve"> </w:t>
      </w:r>
      <w:r w:rsidRPr="00382917">
        <w:t>order</w:t>
      </w:r>
      <w:r w:rsidR="00EE4FC3">
        <w:t xml:space="preserve"> </w:t>
      </w:r>
      <w:r w:rsidRPr="00382917">
        <w:t>of</w:t>
      </w:r>
      <w:r w:rsidR="00EE4FC3">
        <w:t xml:space="preserve"> </w:t>
      </w:r>
      <w:proofErr w:type="spellStart"/>
      <w:r w:rsidRPr="00382917">
        <w:t>Sydocius</w:t>
      </w:r>
      <w:proofErr w:type="spellEnd"/>
      <w:r w:rsidR="00EE4FC3">
        <w:t xml:space="preserve"> </w:t>
      </w:r>
      <w:r w:rsidRPr="00382917">
        <w:t>and</w:t>
      </w:r>
      <w:r w:rsidR="00EE4FC3">
        <w:t xml:space="preserve"> </w:t>
      </w:r>
      <w:proofErr w:type="spellStart"/>
      <w:r w:rsidRPr="00382917">
        <w:t>Dovalantius</w:t>
      </w:r>
      <w:proofErr w:type="spellEnd"/>
      <w:r w:rsidRPr="00382917">
        <w:t>,</w:t>
      </w:r>
      <w:r w:rsidR="00EE4FC3">
        <w:t xml:space="preserve"> </w:t>
      </w:r>
      <w:r w:rsidRPr="00382917">
        <w:t>two</w:t>
      </w:r>
      <w:r w:rsidR="00EE4FC3">
        <w:t xml:space="preserve"> </w:t>
      </w:r>
      <w:r w:rsidRPr="00382917">
        <w:t>Christian</w:t>
      </w:r>
      <w:r w:rsidR="00EE4FC3">
        <w:t xml:space="preserve"> </w:t>
      </w:r>
      <w:r w:rsidRPr="00382917">
        <w:t>emperors,</w:t>
      </w:r>
      <w:r w:rsidR="00EE4FC3">
        <w:t xml:space="preserve"> </w:t>
      </w:r>
      <w:r w:rsidRPr="00382917">
        <w:t>who</w:t>
      </w:r>
      <w:r w:rsidR="00EE4FC3">
        <w:t xml:space="preserve"> </w:t>
      </w:r>
      <w:r w:rsidRPr="00382917">
        <w:t>after</w:t>
      </w:r>
      <w:r w:rsidR="00EE4FC3">
        <w:t xml:space="preserve"> </w:t>
      </w:r>
      <w:r w:rsidRPr="00382917">
        <w:t>the</w:t>
      </w:r>
      <w:r w:rsidR="00EE4FC3">
        <w:t xml:space="preserve"> </w:t>
      </w:r>
      <w:r w:rsidRPr="00382917">
        <w:t>passing</w:t>
      </w:r>
      <w:r w:rsidR="00EE4FC3">
        <w:t xml:space="preserve"> </w:t>
      </w:r>
      <w:r w:rsidRPr="00382917">
        <w:t>of</w:t>
      </w:r>
      <w:r w:rsidR="00EE4FC3">
        <w:t xml:space="preserve"> </w:t>
      </w:r>
      <w:r w:rsidRPr="00382917">
        <w:t>time</w:t>
      </w:r>
      <w:r w:rsidR="00EE4FC3">
        <w:t xml:space="preserve"> </w:t>
      </w:r>
      <w:r w:rsidRPr="00382917">
        <w:t>lauded</w:t>
      </w:r>
      <w:r w:rsidR="00EE4FC3">
        <w:t xml:space="preserve"> </w:t>
      </w:r>
      <w:r w:rsidRPr="00382917">
        <w:t>and</w:t>
      </w:r>
      <w:r w:rsidR="00EE4FC3">
        <w:t xml:space="preserve"> </w:t>
      </w:r>
      <w:r w:rsidRPr="00382917">
        <w:t>defended</w:t>
      </w:r>
      <w:r w:rsidR="00EE4FC3">
        <w:t xml:space="preserve"> </w:t>
      </w:r>
      <w:r w:rsidRPr="00382917">
        <w:t>Christ</w:t>
      </w:r>
      <w:r w:rsidR="00EE4FC3">
        <w:t xml:space="preserve"> </w:t>
      </w:r>
      <w:r w:rsidRPr="00382917">
        <w:t>Whom</w:t>
      </w:r>
      <w:r w:rsidR="00EE4FC3">
        <w:t xml:space="preserve"> </w:t>
      </w:r>
      <w:r w:rsidRPr="00382917">
        <w:t>the</w:t>
      </w:r>
      <w:r w:rsidR="00EE4FC3">
        <w:t xml:space="preserve"> </w:t>
      </w:r>
      <w:r w:rsidRPr="00382917">
        <w:t>people</w:t>
      </w:r>
      <w:r w:rsidR="00EE4FC3">
        <w:t xml:space="preserve"> </w:t>
      </w:r>
      <w:r w:rsidRPr="00382917">
        <w:t>of</w:t>
      </w:r>
      <w:r w:rsidR="00EE4FC3">
        <w:t xml:space="preserve"> </w:t>
      </w:r>
      <w:r w:rsidRPr="00382917">
        <w:t>that</w:t>
      </w:r>
      <w:r w:rsidR="00EE4FC3">
        <w:t xml:space="preserve"> </w:t>
      </w:r>
      <w:r w:rsidRPr="00382917">
        <w:t>same</w:t>
      </w:r>
      <w:r w:rsidR="00EE4FC3">
        <w:t xml:space="preserve"> </w:t>
      </w:r>
      <w:proofErr w:type="gramStart"/>
      <w:r w:rsidRPr="00382917">
        <w:t>land</w:t>
      </w:r>
      <w:proofErr w:type="gramEnd"/>
      <w:r w:rsidR="00EE4FC3">
        <w:t xml:space="preserve"> </w:t>
      </w:r>
      <w:r w:rsidRPr="00382917">
        <w:t>had</w:t>
      </w:r>
      <w:r w:rsidR="00EE4FC3">
        <w:t xml:space="preserve"> </w:t>
      </w:r>
      <w:r w:rsidRPr="00382917">
        <w:t>once</w:t>
      </w:r>
      <w:r w:rsidR="00EE4FC3">
        <w:t xml:space="preserve"> </w:t>
      </w:r>
      <w:r w:rsidRPr="00382917">
        <w:t>called</w:t>
      </w:r>
      <w:r w:rsidR="00EE4FC3">
        <w:t xml:space="preserve"> </w:t>
      </w:r>
      <w:r w:rsidRPr="00382917">
        <w:t>false</w:t>
      </w:r>
      <w:r w:rsidR="00EE4FC3">
        <w:t xml:space="preserve"> </w:t>
      </w:r>
      <w:r w:rsidRPr="00382917">
        <w:t>and</w:t>
      </w:r>
      <w:r w:rsidR="00EE4FC3">
        <w:t xml:space="preserve"> </w:t>
      </w:r>
      <w:r w:rsidRPr="00382917">
        <w:t>had</w:t>
      </w:r>
      <w:r w:rsidR="00EE4FC3">
        <w:t xml:space="preserve"> </w:t>
      </w:r>
      <w:r w:rsidRPr="00382917">
        <w:t>despised.</w:t>
      </w:r>
    </w:p>
    <w:p w:rsidR="00300E83" w:rsidRPr="00382917" w:rsidRDefault="00300E83" w:rsidP="001221F9">
      <w:pPr>
        <w:pStyle w:val="Text"/>
      </w:pPr>
      <w:r w:rsidRPr="00382917">
        <w:t>James</w:t>
      </w:r>
      <w:r w:rsidR="00EE4FC3">
        <w:t xml:space="preserve"> </w:t>
      </w:r>
      <w:r w:rsidRPr="00382917">
        <w:t>Murdock</w:t>
      </w:r>
      <w:r w:rsidR="00EE4FC3">
        <w:t xml:space="preserve"> </w:t>
      </w:r>
      <w:r w:rsidRPr="00382917">
        <w:t>in</w:t>
      </w:r>
      <w:r w:rsidR="00EE4FC3">
        <w:t xml:space="preserve"> </w:t>
      </w:r>
      <w:r w:rsidRPr="00382917">
        <w:t>his</w:t>
      </w:r>
      <w:r w:rsidR="00EE4FC3">
        <w:t xml:space="preserve"> </w:t>
      </w:r>
      <w:r w:rsidRPr="00793528">
        <w:rPr>
          <w:i/>
          <w:iCs/>
        </w:rPr>
        <w:t>History</w:t>
      </w:r>
      <w:r w:rsidR="00EE4FC3" w:rsidRPr="00793528">
        <w:rPr>
          <w:i/>
          <w:iCs/>
        </w:rPr>
        <w:t xml:space="preserve"> </w:t>
      </w:r>
      <w:r w:rsidRPr="00793528">
        <w:rPr>
          <w:i/>
          <w:iCs/>
        </w:rPr>
        <w:t>of</w:t>
      </w:r>
      <w:r w:rsidR="00EE4FC3" w:rsidRPr="00793528">
        <w:rPr>
          <w:i/>
          <w:iCs/>
        </w:rPr>
        <w:t xml:space="preserve"> </w:t>
      </w:r>
      <w:r w:rsidRPr="00793528">
        <w:rPr>
          <w:i/>
          <w:iCs/>
        </w:rPr>
        <w:t>the</w:t>
      </w:r>
      <w:r w:rsidR="00EE4FC3" w:rsidRPr="00793528">
        <w:rPr>
          <w:i/>
          <w:iCs/>
        </w:rPr>
        <w:t xml:space="preserve"> </w:t>
      </w:r>
      <w:r w:rsidRPr="00793528">
        <w:rPr>
          <w:i/>
          <w:iCs/>
        </w:rPr>
        <w:t>Church</w:t>
      </w:r>
      <w:r w:rsidR="00EE4FC3">
        <w:t xml:space="preserve"> </w:t>
      </w:r>
      <w:r w:rsidRPr="00382917">
        <w:t>quotes</w:t>
      </w:r>
      <w:r w:rsidR="00EE4FC3">
        <w:t xml:space="preserve"> </w:t>
      </w:r>
      <w:r w:rsidRPr="00382917">
        <w:t>one</w:t>
      </w:r>
      <w:r w:rsidR="00EE4FC3">
        <w:t xml:space="preserve"> </w:t>
      </w:r>
      <w:r w:rsidRPr="00382917">
        <w:t>of</w:t>
      </w:r>
      <w:r w:rsidR="00EE4FC3">
        <w:t xml:space="preserve"> </w:t>
      </w:r>
      <w:r w:rsidRPr="00382917">
        <w:t>the</w:t>
      </w:r>
      <w:r w:rsidR="00EE4FC3">
        <w:t xml:space="preserve"> </w:t>
      </w:r>
      <w:r w:rsidRPr="00382917">
        <w:t>great</w:t>
      </w:r>
      <w:r w:rsidR="00EE4FC3">
        <w:t xml:space="preserve"> </w:t>
      </w:r>
      <w:r w:rsidRPr="00382917">
        <w:t>scholar-emperors</w:t>
      </w:r>
      <w:r w:rsidR="00EE4FC3">
        <w:t xml:space="preserve"> </w:t>
      </w:r>
      <w:r w:rsidRPr="00382917">
        <w:t>of</w:t>
      </w:r>
      <w:r w:rsidR="00EE4FC3">
        <w:t xml:space="preserve"> </w:t>
      </w:r>
      <w:r w:rsidRPr="00382917">
        <w:t>Rome,</w:t>
      </w:r>
      <w:r w:rsidR="00EE4FC3">
        <w:t xml:space="preserve"> </w:t>
      </w:r>
      <w:r w:rsidRPr="00382917">
        <w:t>Marc</w:t>
      </w:r>
      <w:r w:rsidR="00EE4FC3">
        <w:t xml:space="preserve"> </w:t>
      </w:r>
      <w:r w:rsidRPr="00382917">
        <w:t>Antony,</w:t>
      </w:r>
      <w:r w:rsidR="00EE4FC3">
        <w:t xml:space="preserve"> </w:t>
      </w:r>
      <w:r w:rsidRPr="00382917">
        <w:t>as</w:t>
      </w:r>
      <w:r w:rsidR="00EE4FC3">
        <w:t xml:space="preserve"> </w:t>
      </w:r>
      <w:r w:rsidRPr="00382917">
        <w:t>saying,</w:t>
      </w:r>
      <w:r w:rsidR="00EE4FC3">
        <w:t xml:space="preserve"> </w:t>
      </w:r>
      <w:r w:rsidR="009C713D" w:rsidRPr="00382917">
        <w:t>“</w:t>
      </w:r>
      <w:r w:rsidRPr="00382917">
        <w:t>You</w:t>
      </w:r>
      <w:r w:rsidR="00EE4FC3">
        <w:t xml:space="preserve"> </w:t>
      </w:r>
      <w:r w:rsidRPr="00382917">
        <w:t>should</w:t>
      </w:r>
      <w:r w:rsidR="00EE4FC3">
        <w:t xml:space="preserve"> </w:t>
      </w:r>
      <w:r w:rsidRPr="00382917">
        <w:t>not</w:t>
      </w:r>
      <w:r w:rsidR="00EE4FC3">
        <w:t xml:space="preserve"> </w:t>
      </w:r>
      <w:r w:rsidRPr="00382917">
        <w:t>ask</w:t>
      </w:r>
      <w:r w:rsidR="00EE4FC3">
        <w:t xml:space="preserve"> </w:t>
      </w:r>
      <w:r w:rsidRPr="00382917">
        <w:t>concerning</w:t>
      </w:r>
      <w:r w:rsidR="00EE4FC3">
        <w:t xml:space="preserve"> </w:t>
      </w:r>
      <w:r w:rsidRPr="00382917">
        <w:t>Jesus</w:t>
      </w:r>
      <w:r w:rsidR="00EE4FC3">
        <w:t xml:space="preserve"> </w:t>
      </w:r>
      <w:r w:rsidRPr="00382917">
        <w:t>of</w:t>
      </w:r>
      <w:r w:rsidR="00EE4FC3">
        <w:t xml:space="preserve"> </w:t>
      </w:r>
      <w:r w:rsidRPr="00382917">
        <w:t>Nazareth</w:t>
      </w:r>
      <w:r w:rsidR="00EE4FC3">
        <w:t xml:space="preserve"> </w:t>
      </w:r>
      <w:r w:rsidRPr="00382917">
        <w:t>from</w:t>
      </w:r>
      <w:r w:rsidR="00EE4FC3">
        <w:t xml:space="preserve"> </w:t>
      </w:r>
      <w:r w:rsidRPr="00382917">
        <w:t>these</w:t>
      </w:r>
      <w:r w:rsidR="00EE4FC3">
        <w:t xml:space="preserve"> </w:t>
      </w:r>
      <w:r w:rsidRPr="00382917">
        <w:t>poor</w:t>
      </w:r>
      <w:r w:rsidR="00EE4FC3">
        <w:t xml:space="preserve"> </w:t>
      </w:r>
      <w:r w:rsidRPr="00382917">
        <w:t>Romans,</w:t>
      </w:r>
      <w:r w:rsidR="00EE4FC3">
        <w:t xml:space="preserve"> </w:t>
      </w:r>
      <w:r w:rsidRPr="00382917">
        <w:t>none</w:t>
      </w:r>
      <w:r w:rsidR="00EE4FC3">
        <w:t xml:space="preserve"> </w:t>
      </w:r>
      <w:r w:rsidRPr="00382917">
        <w:t>of</w:t>
      </w:r>
      <w:r w:rsidR="00EE4FC3">
        <w:t xml:space="preserve"> </w:t>
      </w:r>
      <w:r w:rsidRPr="00382917">
        <w:t>whom</w:t>
      </w:r>
      <w:r w:rsidR="00EE4FC3">
        <w:t xml:space="preserve"> </w:t>
      </w:r>
      <w:r w:rsidRPr="00382917">
        <w:t>has</w:t>
      </w:r>
      <w:r w:rsidR="00EE4FC3">
        <w:t xml:space="preserve"> </w:t>
      </w:r>
      <w:r w:rsidRPr="00382917">
        <w:t>seen</w:t>
      </w:r>
      <w:r w:rsidR="00EE4FC3">
        <w:t xml:space="preserve"> </w:t>
      </w:r>
      <w:r w:rsidRPr="00382917">
        <w:t>him,</w:t>
      </w:r>
      <w:r w:rsidR="00EE4FC3">
        <w:t xml:space="preserve"> </w:t>
      </w:r>
      <w:r w:rsidRPr="00382917">
        <w:t>but</w:t>
      </w:r>
      <w:r w:rsidR="00EE4FC3">
        <w:t xml:space="preserve"> </w:t>
      </w:r>
      <w:r w:rsidRPr="00382917">
        <w:t>whom</w:t>
      </w:r>
      <w:r w:rsidR="00EE4FC3">
        <w:t xml:space="preserve"> </w:t>
      </w:r>
      <w:r w:rsidRPr="00382917">
        <w:t>baseness</w:t>
      </w:r>
      <w:r w:rsidR="00EE4FC3">
        <w:t xml:space="preserve"> </w:t>
      </w:r>
      <w:r w:rsidRPr="00382917">
        <w:t>and</w:t>
      </w:r>
      <w:r w:rsidR="00EE4FC3">
        <w:t xml:space="preserve"> </w:t>
      </w:r>
      <w:r w:rsidRPr="00382917">
        <w:t>indolence</w:t>
      </w:r>
      <w:r w:rsidR="00EE4FC3">
        <w:t xml:space="preserve"> </w:t>
      </w:r>
      <w:r w:rsidRPr="00382917">
        <w:t>have</w:t>
      </w:r>
      <w:r w:rsidR="00EE4FC3">
        <w:t xml:space="preserve"> </w:t>
      </w:r>
      <w:r w:rsidRPr="00382917">
        <w:t>caused</w:t>
      </w:r>
      <w:r w:rsidR="00EE4FC3">
        <w:t xml:space="preserve"> </w:t>
      </w:r>
      <w:r w:rsidRPr="00382917">
        <w:t>to</w:t>
      </w:r>
      <w:r w:rsidR="00EE4FC3">
        <w:t xml:space="preserve"> </w:t>
      </w:r>
      <w:r w:rsidRPr="00382917">
        <w:t>follow</w:t>
      </w:r>
      <w:r w:rsidR="00EE4FC3">
        <w:t xml:space="preserve"> </w:t>
      </w:r>
      <w:r w:rsidRPr="00382917">
        <w:t>him.</w:t>
      </w:r>
      <w:r w:rsidR="009C713D" w:rsidRPr="00382917">
        <w:t>”</w:t>
      </w:r>
      <w:r w:rsidR="00EE4FC3">
        <w:t xml:space="preserve"> </w:t>
      </w:r>
      <w:r w:rsidR="002B6A79">
        <w:t xml:space="preserve"> </w:t>
      </w:r>
      <w:r w:rsidRPr="00382917">
        <w:t>He</w:t>
      </w:r>
      <w:r w:rsidR="00EE4FC3">
        <w:t xml:space="preserve"> </w:t>
      </w:r>
      <w:r w:rsidRPr="00382917">
        <w:t>called</w:t>
      </w:r>
      <w:r w:rsidR="00EE4FC3">
        <w:t xml:space="preserve"> </w:t>
      </w:r>
      <w:r w:rsidRPr="00382917">
        <w:t>them</w:t>
      </w:r>
      <w:r w:rsidR="00EE4FC3">
        <w:t xml:space="preserve"> </w:t>
      </w:r>
      <w:r w:rsidRPr="00382917">
        <w:t>unimportant</w:t>
      </w:r>
      <w:r w:rsidR="00EE4FC3">
        <w:t xml:space="preserve"> </w:t>
      </w:r>
      <w:r w:rsidRPr="00382917">
        <w:t>people,</w:t>
      </w:r>
      <w:r w:rsidR="00EE4FC3">
        <w:t xml:space="preserve"> </w:t>
      </w:r>
      <w:r w:rsidRPr="00382917">
        <w:t>slaves,</w:t>
      </w:r>
      <w:r w:rsidR="00EE4FC3">
        <w:t xml:space="preserve"> </w:t>
      </w:r>
      <w:r w:rsidRPr="00382917">
        <w:t>men</w:t>
      </w:r>
      <w:r w:rsidR="00EE4FC3">
        <w:t xml:space="preserve"> </w:t>
      </w:r>
      <w:r w:rsidRPr="00382917">
        <w:t>and</w:t>
      </w:r>
      <w:r w:rsidR="00EE4FC3">
        <w:t xml:space="preserve"> </w:t>
      </w:r>
      <w:r w:rsidRPr="00382917">
        <w:t>women</w:t>
      </w:r>
      <w:r w:rsidR="00EE4FC3">
        <w:t xml:space="preserve"> </w:t>
      </w:r>
      <w:r w:rsidRPr="00382917">
        <w:t>without</w:t>
      </w:r>
      <w:r w:rsidR="00EE4FC3">
        <w:t xml:space="preserve"> </w:t>
      </w:r>
      <w:r w:rsidRPr="00382917">
        <w:t>praiseworthy</w:t>
      </w:r>
      <w:r w:rsidR="00EE4FC3">
        <w:t xml:space="preserve"> </w:t>
      </w:r>
      <w:r w:rsidRPr="00382917">
        <w:t>qualities</w:t>
      </w:r>
      <w:r w:rsidR="00552489">
        <w:t>.</w:t>
      </w:r>
      <w:r w:rsidR="00EE4FC3">
        <w:t xml:space="preserve">  </w:t>
      </w:r>
      <w:r w:rsidRPr="00382917">
        <w:t>The</w:t>
      </w:r>
      <w:r w:rsidR="00EE4FC3">
        <w:t xml:space="preserve"> </w:t>
      </w:r>
      <w:r w:rsidRPr="00382917">
        <w:t>emperor</w:t>
      </w:r>
      <w:r w:rsidR="00EE4FC3">
        <w:t xml:space="preserve"> </w:t>
      </w:r>
      <w:r w:rsidRPr="00382917">
        <w:t>Julian,</w:t>
      </w:r>
      <w:r w:rsidR="00EE4FC3">
        <w:t xml:space="preserve"> </w:t>
      </w:r>
      <w:r w:rsidRPr="00382917">
        <w:t>who</w:t>
      </w:r>
      <w:r w:rsidR="00EE4FC3">
        <w:t xml:space="preserve"> </w:t>
      </w:r>
      <w:r w:rsidRPr="00382917">
        <w:t>denied</w:t>
      </w:r>
      <w:r w:rsidR="00EE4FC3">
        <w:t xml:space="preserve"> </w:t>
      </w:r>
      <w:r w:rsidRPr="00382917">
        <w:t>his</w:t>
      </w:r>
      <w:r w:rsidR="00EE4FC3">
        <w:t xml:space="preserve"> </w:t>
      </w:r>
      <w:r w:rsidRPr="00382917">
        <w:t>faith</w:t>
      </w:r>
      <w:r w:rsidR="00EE4FC3">
        <w:t xml:space="preserve"> </w:t>
      </w:r>
      <w:r w:rsidRPr="00382917">
        <w:t>in</w:t>
      </w:r>
      <w:r w:rsidR="00EE4FC3">
        <w:t xml:space="preserve"> </w:t>
      </w:r>
      <w:r w:rsidRPr="00382917">
        <w:t>Christ,</w:t>
      </w:r>
      <w:r w:rsidR="00EE4FC3">
        <w:t xml:space="preserve"> </w:t>
      </w:r>
      <w:r w:rsidRPr="00382917">
        <w:t>said</w:t>
      </w:r>
      <w:r w:rsidR="00EE4FC3">
        <w:t xml:space="preserve"> </w:t>
      </w:r>
      <w:r w:rsidRPr="00382917">
        <w:t>the</w:t>
      </w:r>
      <w:r w:rsidR="00EE4FC3">
        <w:t xml:space="preserve"> </w:t>
      </w:r>
      <w:r w:rsidRPr="00382917">
        <w:t>Christians</w:t>
      </w:r>
      <w:r w:rsidR="00EE4FC3">
        <w:t xml:space="preserve"> </w:t>
      </w:r>
      <w:r w:rsidRPr="00382917">
        <w:t>were</w:t>
      </w:r>
      <w:r w:rsidR="00EE4FC3">
        <w:t xml:space="preserve"> </w:t>
      </w:r>
      <w:r w:rsidRPr="00382917">
        <w:t>the</w:t>
      </w:r>
      <w:r w:rsidR="00EE4FC3">
        <w:t xml:space="preserve"> </w:t>
      </w:r>
      <w:r w:rsidR="009C713D" w:rsidRPr="00382917">
        <w:t>“</w:t>
      </w:r>
      <w:r w:rsidRPr="00382917">
        <w:t>enemies</w:t>
      </w:r>
      <w:r w:rsidR="00EE4FC3">
        <w:t xml:space="preserve"> </w:t>
      </w:r>
      <w:r w:rsidRPr="00382917">
        <w:t>of</w:t>
      </w:r>
      <w:r w:rsidR="00EE4FC3">
        <w:t xml:space="preserve"> </w:t>
      </w:r>
      <w:r w:rsidRPr="00382917">
        <w:t>the</w:t>
      </w:r>
      <w:r w:rsidR="00EE4FC3">
        <w:t xml:space="preserve"> </w:t>
      </w:r>
      <w:r w:rsidRPr="00382917">
        <w:t>world</w:t>
      </w:r>
      <w:r w:rsidR="00EE4FC3">
        <w:t xml:space="preserve"> </w:t>
      </w:r>
      <w:r w:rsidRPr="00382917">
        <w:t>of</w:t>
      </w:r>
      <w:r w:rsidR="00EE4FC3">
        <w:t xml:space="preserve"> </w:t>
      </w:r>
      <w:r w:rsidRPr="00382917">
        <w:t>humanity.</w:t>
      </w:r>
      <w:r w:rsidR="009C713D" w:rsidRPr="00382917">
        <w:t>”</w:t>
      </w:r>
    </w:p>
    <w:p w:rsidR="00300E83" w:rsidRPr="00382917" w:rsidRDefault="00300E83" w:rsidP="001221F9">
      <w:pPr>
        <w:pStyle w:val="Text"/>
      </w:pPr>
      <w:r w:rsidRPr="00382917">
        <w:t>Even</w:t>
      </w:r>
      <w:r w:rsidR="00EE4FC3">
        <w:t xml:space="preserve"> </w:t>
      </w:r>
      <w:r w:rsidRPr="00382917">
        <w:t>hundreds</w:t>
      </w:r>
      <w:r w:rsidR="00EE4FC3">
        <w:t xml:space="preserve"> </w:t>
      </w:r>
      <w:r w:rsidRPr="00382917">
        <w:t>of</w:t>
      </w:r>
      <w:r w:rsidR="00EE4FC3">
        <w:t xml:space="preserve"> </w:t>
      </w:r>
      <w:r w:rsidRPr="00382917">
        <w:t>years</w:t>
      </w:r>
      <w:r w:rsidR="00EE4FC3">
        <w:t xml:space="preserve"> </w:t>
      </w:r>
      <w:r w:rsidRPr="00382917">
        <w:t>after</w:t>
      </w:r>
      <w:r w:rsidR="00EE4FC3">
        <w:t xml:space="preserve"> </w:t>
      </w:r>
      <w:r w:rsidRPr="00382917">
        <w:t>His</w:t>
      </w:r>
      <w:r w:rsidR="00EE4FC3">
        <w:t xml:space="preserve"> </w:t>
      </w:r>
      <w:r w:rsidRPr="00382917">
        <w:t>crucifixion,</w:t>
      </w:r>
      <w:r w:rsidR="00EE4FC3">
        <w:t xml:space="preserve"> </w:t>
      </w:r>
      <w:r w:rsidRPr="00382917">
        <w:t>Christ</w:t>
      </w:r>
      <w:r w:rsidR="00EE4FC3">
        <w:t xml:space="preserve"> </w:t>
      </w:r>
      <w:r w:rsidRPr="00382917">
        <w:t>was</w:t>
      </w:r>
      <w:r w:rsidR="00EE4FC3">
        <w:t xml:space="preserve"> </w:t>
      </w:r>
      <w:r w:rsidRPr="00382917">
        <w:t>called</w:t>
      </w:r>
      <w:r w:rsidR="00EE4FC3">
        <w:t xml:space="preserve"> </w:t>
      </w:r>
      <w:r w:rsidRPr="00382917">
        <w:t>a</w:t>
      </w:r>
      <w:r w:rsidR="00EE4FC3">
        <w:t xml:space="preserve"> </w:t>
      </w:r>
      <w:r w:rsidRPr="00382917">
        <w:t>false</w:t>
      </w:r>
      <w:r w:rsidR="00EE4FC3">
        <w:t xml:space="preserve"> </w:t>
      </w:r>
      <w:r w:rsidRPr="00382917">
        <w:t>prophet</w:t>
      </w:r>
      <w:r w:rsidR="00EE4FC3">
        <w:t xml:space="preserve"> </w:t>
      </w:r>
      <w:r w:rsidRPr="00382917">
        <w:t>by</w:t>
      </w:r>
      <w:r w:rsidR="00EE4FC3">
        <w:t xml:space="preserve"> </w:t>
      </w:r>
      <w:r w:rsidRPr="00382917">
        <w:t>the</w:t>
      </w:r>
      <w:r w:rsidR="00EE4FC3">
        <w:t xml:space="preserve"> </w:t>
      </w:r>
      <w:r w:rsidRPr="00382917">
        <w:t>leaders</w:t>
      </w:r>
      <w:r w:rsidR="00EE4FC3">
        <w:t xml:space="preserve"> </w:t>
      </w:r>
      <w:r w:rsidRPr="00382917">
        <w:t>and</w:t>
      </w:r>
      <w:r w:rsidR="00EE4FC3">
        <w:t xml:space="preserve"> </w:t>
      </w:r>
      <w:r w:rsidRPr="00382917">
        <w:t>people</w:t>
      </w:r>
      <w:r w:rsidR="00EE4FC3">
        <w:t xml:space="preserve"> </w:t>
      </w:r>
      <w:r w:rsidRPr="00382917">
        <w:t>of</w:t>
      </w:r>
      <w:r w:rsidR="00EE4FC3">
        <w:t xml:space="preserve"> </w:t>
      </w:r>
      <w:r w:rsidRPr="00382917">
        <w:t>the</w:t>
      </w:r>
      <w:r w:rsidR="00EE4FC3">
        <w:t xml:space="preserve"> </w:t>
      </w:r>
      <w:r w:rsidRPr="00382917">
        <w:t>world.</w:t>
      </w:r>
    </w:p>
    <w:p w:rsidR="00300E83" w:rsidRPr="00382917" w:rsidRDefault="00300E83" w:rsidP="001221F9">
      <w:pPr>
        <w:pStyle w:val="Text"/>
      </w:pPr>
      <w:r w:rsidRPr="00382917">
        <w:t>Most</w:t>
      </w:r>
      <w:r w:rsidR="00EE4FC3">
        <w:t xml:space="preserve"> </w:t>
      </w:r>
      <w:r w:rsidRPr="00382917">
        <w:t>people</w:t>
      </w:r>
      <w:r w:rsidR="00EE4FC3">
        <w:t xml:space="preserve"> </w:t>
      </w:r>
      <w:r w:rsidRPr="00382917">
        <w:t>could</w:t>
      </w:r>
      <w:r w:rsidR="00EE4FC3">
        <w:t xml:space="preserve"> </w:t>
      </w:r>
      <w:r w:rsidRPr="00382917">
        <w:t>not</w:t>
      </w:r>
      <w:r w:rsidR="00EE4FC3">
        <w:t xml:space="preserve"> </w:t>
      </w:r>
      <w:r w:rsidRPr="00382917">
        <w:t>believe</w:t>
      </w:r>
      <w:r w:rsidR="00EE4FC3">
        <w:t xml:space="preserve"> </w:t>
      </w:r>
      <w:r w:rsidRPr="00382917">
        <w:t>that</w:t>
      </w:r>
      <w:r w:rsidR="00EE4FC3">
        <w:t xml:space="preserve"> </w:t>
      </w:r>
      <w:r w:rsidRPr="00382917">
        <w:t>Jesus</w:t>
      </w:r>
      <w:r w:rsidR="00EE4FC3">
        <w:t xml:space="preserve"> </w:t>
      </w:r>
      <w:r w:rsidRPr="00382917">
        <w:t>of</w:t>
      </w:r>
      <w:r w:rsidR="00EE4FC3">
        <w:t xml:space="preserve"> </w:t>
      </w:r>
      <w:r w:rsidRPr="00382917">
        <w:t>Nazareth</w:t>
      </w:r>
      <w:r w:rsidR="00EE4FC3">
        <w:t xml:space="preserve"> </w:t>
      </w:r>
      <w:r w:rsidRPr="00382917">
        <w:t>fulfilled</w:t>
      </w:r>
      <w:r w:rsidR="00EE4FC3">
        <w:t xml:space="preserve"> </w:t>
      </w:r>
      <w:r w:rsidRPr="00382917">
        <w:t>the</w:t>
      </w:r>
      <w:r w:rsidR="00EE4FC3">
        <w:t xml:space="preserve"> </w:t>
      </w:r>
      <w:r w:rsidRPr="00382917">
        <w:t>prophecies</w:t>
      </w:r>
      <w:r w:rsidR="00EE4FC3">
        <w:t xml:space="preserve"> </w:t>
      </w:r>
      <w:r w:rsidRPr="00382917">
        <w:t>about</w:t>
      </w:r>
      <w:r w:rsidR="00EE4FC3">
        <w:t xml:space="preserve"> </w:t>
      </w:r>
      <w:r w:rsidRPr="00382917">
        <w:t>the</w:t>
      </w:r>
      <w:r w:rsidR="00EE4FC3">
        <w:t xml:space="preserve"> </w:t>
      </w:r>
      <w:r w:rsidRPr="00382917">
        <w:t>coming</w:t>
      </w:r>
      <w:r w:rsidR="00EE4FC3">
        <w:t xml:space="preserve"> </w:t>
      </w:r>
      <w:r w:rsidRPr="00382917">
        <w:t>Messiah</w:t>
      </w:r>
      <w:r w:rsidR="00EE4FC3">
        <w:t xml:space="preserve"> </w:t>
      </w:r>
      <w:r w:rsidRPr="00382917">
        <w:t>which</w:t>
      </w:r>
      <w:r w:rsidR="00EE4FC3">
        <w:t xml:space="preserve"> </w:t>
      </w:r>
      <w:r w:rsidRPr="00382917">
        <w:t>said:</w:t>
      </w:r>
    </w:p>
    <w:p w:rsidR="00300E83" w:rsidRPr="00382917" w:rsidRDefault="00650F8F" w:rsidP="00650F8F">
      <w:pPr>
        <w:pStyle w:val="Bullet2"/>
      </w:pPr>
      <w:r w:rsidRPr="00382917">
        <w:t>1.</w:t>
      </w:r>
      <w:r w:rsidRPr="00382917">
        <w:tab/>
      </w:r>
      <w:r w:rsidR="00300E83" w:rsidRPr="00382917">
        <w:t>He</w:t>
      </w:r>
      <w:r w:rsidR="00EE4FC3">
        <w:t xml:space="preserve"> </w:t>
      </w:r>
      <w:r w:rsidR="00300E83" w:rsidRPr="00382917">
        <w:t>(the</w:t>
      </w:r>
      <w:r w:rsidR="00EE4FC3">
        <w:t xml:space="preserve"> </w:t>
      </w:r>
      <w:r w:rsidR="00300E83" w:rsidRPr="00382917">
        <w:t>Messiah)</w:t>
      </w:r>
      <w:r w:rsidR="00EE4FC3">
        <w:t xml:space="preserve"> </w:t>
      </w:r>
      <w:r w:rsidR="00300E83" w:rsidRPr="00382917">
        <w:t>will</w:t>
      </w:r>
      <w:r w:rsidR="00EE4FC3">
        <w:t xml:space="preserve"> </w:t>
      </w:r>
      <w:r w:rsidR="00300E83" w:rsidRPr="00382917">
        <w:t>sit</w:t>
      </w:r>
      <w:r w:rsidR="00EE4FC3">
        <w:t xml:space="preserve"> </w:t>
      </w:r>
      <w:r w:rsidR="00300E83" w:rsidRPr="00382917">
        <w:t>upon</w:t>
      </w:r>
      <w:r w:rsidR="00EE4FC3">
        <w:t xml:space="preserve"> </w:t>
      </w:r>
      <w:r w:rsidR="00300E83" w:rsidRPr="00382917">
        <w:t>the</w:t>
      </w:r>
      <w:r w:rsidR="00EE4FC3">
        <w:t xml:space="preserve"> </w:t>
      </w:r>
      <w:r w:rsidR="00300E83" w:rsidRPr="00382917">
        <w:t>throne</w:t>
      </w:r>
      <w:r w:rsidR="00EE4FC3">
        <w:t xml:space="preserve"> </w:t>
      </w:r>
      <w:r w:rsidR="00300E83" w:rsidRPr="00382917">
        <w:t>of</w:t>
      </w:r>
      <w:r w:rsidR="00EE4FC3">
        <w:t xml:space="preserve"> </w:t>
      </w:r>
      <w:r w:rsidR="00300E83" w:rsidRPr="00382917">
        <w:t>David</w:t>
      </w:r>
      <w:r w:rsidR="00552489">
        <w:t>.</w:t>
      </w:r>
      <w:r w:rsidR="00EE4FC3">
        <w:t xml:space="preserve">  </w:t>
      </w:r>
      <w:r w:rsidR="00300E83" w:rsidRPr="00382917">
        <w:t>(Where</w:t>
      </w:r>
      <w:r w:rsidR="00EE4FC3">
        <w:t xml:space="preserve"> </w:t>
      </w:r>
      <w:r w:rsidR="00300E83" w:rsidRPr="00382917">
        <w:t>was</w:t>
      </w:r>
      <w:r w:rsidR="00EE4FC3">
        <w:t xml:space="preserve"> </w:t>
      </w:r>
      <w:r w:rsidR="00300E83" w:rsidRPr="00382917">
        <w:t>his</w:t>
      </w:r>
      <w:r w:rsidR="00EE4FC3">
        <w:t xml:space="preserve"> </w:t>
      </w:r>
      <w:r w:rsidR="00300E83" w:rsidRPr="00382917">
        <w:t>throne?)</w:t>
      </w:r>
    </w:p>
    <w:p w:rsidR="00300E83" w:rsidRPr="00382917" w:rsidRDefault="00650F8F" w:rsidP="00650F8F">
      <w:pPr>
        <w:pStyle w:val="Bullet2ct"/>
      </w:pPr>
      <w:r w:rsidRPr="00382917">
        <w:t>2.</w:t>
      </w:r>
      <w:r w:rsidRPr="00382917">
        <w:tab/>
      </w:r>
      <w:r w:rsidR="00300E83" w:rsidRPr="00382917">
        <w:t>Mount</w:t>
      </w:r>
      <w:r w:rsidR="00EE4FC3">
        <w:t xml:space="preserve"> </w:t>
      </w:r>
      <w:r w:rsidR="00300E83" w:rsidRPr="00382917">
        <w:t>Zion</w:t>
      </w:r>
      <w:r w:rsidR="00EE4FC3">
        <w:t xml:space="preserve"> </w:t>
      </w:r>
      <w:r w:rsidR="00300E83" w:rsidRPr="00382917">
        <w:t>will</w:t>
      </w:r>
      <w:r w:rsidR="00EE4FC3">
        <w:t xml:space="preserve"> </w:t>
      </w:r>
      <w:r w:rsidR="00300E83" w:rsidRPr="00382917">
        <w:t>dance</w:t>
      </w:r>
      <w:r w:rsidR="00552489">
        <w:t>.</w:t>
      </w:r>
      <w:r w:rsidR="00EE4FC3">
        <w:t xml:space="preserve">  </w:t>
      </w:r>
      <w:r w:rsidR="00300E83" w:rsidRPr="00382917">
        <w:t>(Who</w:t>
      </w:r>
      <w:r w:rsidR="00EE4FC3">
        <w:t xml:space="preserve"> </w:t>
      </w:r>
      <w:r w:rsidR="00300E83" w:rsidRPr="00382917">
        <w:t>had</w:t>
      </w:r>
      <w:r w:rsidR="00EE4FC3">
        <w:t xml:space="preserve"> </w:t>
      </w:r>
      <w:r w:rsidR="00300E83" w:rsidRPr="00382917">
        <w:t>yet</w:t>
      </w:r>
      <w:r w:rsidR="00EE4FC3">
        <w:t xml:space="preserve"> </w:t>
      </w:r>
      <w:r w:rsidR="00300E83" w:rsidRPr="00382917">
        <w:t>seen</w:t>
      </w:r>
      <w:r w:rsidR="00EE4FC3">
        <w:t xml:space="preserve"> </w:t>
      </w:r>
      <w:r w:rsidR="00300E83" w:rsidRPr="00382917">
        <w:t>this</w:t>
      </w:r>
      <w:r w:rsidR="00EE4FC3">
        <w:t xml:space="preserve"> </w:t>
      </w:r>
      <w:r w:rsidR="00300E83" w:rsidRPr="00382917">
        <w:t>wonder?)</w:t>
      </w:r>
    </w:p>
    <w:p w:rsidR="00300E83" w:rsidRPr="00382917" w:rsidRDefault="00650F8F" w:rsidP="00650F8F">
      <w:pPr>
        <w:pStyle w:val="Bullet2ct"/>
      </w:pPr>
      <w:r w:rsidRPr="00382917">
        <w:t>3.</w:t>
      </w:r>
      <w:r w:rsidRPr="00382917">
        <w:tab/>
      </w:r>
      <w:r w:rsidR="00300E83" w:rsidRPr="00382917">
        <w:t>He</w:t>
      </w:r>
      <w:r w:rsidR="00EE4FC3">
        <w:t xml:space="preserve"> </w:t>
      </w:r>
      <w:r w:rsidR="00300E83" w:rsidRPr="00382917">
        <w:t>will</w:t>
      </w:r>
      <w:r w:rsidR="00EE4FC3">
        <w:t xml:space="preserve"> </w:t>
      </w:r>
      <w:r w:rsidR="00300E83" w:rsidRPr="00382917">
        <w:t>rule</w:t>
      </w:r>
      <w:r w:rsidR="00EE4FC3">
        <w:t xml:space="preserve"> </w:t>
      </w:r>
      <w:r w:rsidR="00300E83" w:rsidRPr="00382917">
        <w:t>with</w:t>
      </w:r>
      <w:r w:rsidR="00EE4FC3">
        <w:t xml:space="preserve"> </w:t>
      </w:r>
      <w:r w:rsidR="00300E83" w:rsidRPr="00382917">
        <w:t>a</w:t>
      </w:r>
      <w:r w:rsidR="00EE4FC3">
        <w:t xml:space="preserve"> </w:t>
      </w:r>
      <w:r w:rsidR="00300E83" w:rsidRPr="00382917">
        <w:t>sword</w:t>
      </w:r>
      <w:r w:rsidR="00552489">
        <w:t>.</w:t>
      </w:r>
      <w:r w:rsidR="00EE4FC3">
        <w:t xml:space="preserve">  </w:t>
      </w:r>
      <w:r w:rsidR="00300E83" w:rsidRPr="00382917">
        <w:t>(He</w:t>
      </w:r>
      <w:r w:rsidR="00EE4FC3">
        <w:t xml:space="preserve"> </w:t>
      </w:r>
      <w:r w:rsidR="00300E83" w:rsidRPr="00382917">
        <w:t>didn</w:t>
      </w:r>
      <w:r w:rsidR="009C713D" w:rsidRPr="00382917">
        <w:t>’</w:t>
      </w:r>
      <w:r w:rsidR="00300E83" w:rsidRPr="00382917">
        <w:t>t</w:t>
      </w:r>
      <w:r w:rsidR="00EE4FC3">
        <w:t xml:space="preserve"> </w:t>
      </w:r>
      <w:r w:rsidR="00300E83" w:rsidRPr="00382917">
        <w:t>even</w:t>
      </w:r>
      <w:r w:rsidR="00EE4FC3">
        <w:t xml:space="preserve"> </w:t>
      </w:r>
      <w:r w:rsidR="00300E83" w:rsidRPr="00382917">
        <w:t>have</w:t>
      </w:r>
      <w:r w:rsidR="00EE4FC3">
        <w:t xml:space="preserve"> </w:t>
      </w:r>
      <w:r w:rsidR="00300E83" w:rsidRPr="00382917">
        <w:t>a</w:t>
      </w:r>
      <w:r w:rsidR="00EE4FC3">
        <w:t xml:space="preserve"> </w:t>
      </w:r>
      <w:r w:rsidR="00300E83" w:rsidRPr="00382917">
        <w:t>staff,</w:t>
      </w:r>
      <w:r w:rsidR="00EE4FC3">
        <w:t xml:space="preserve"> </w:t>
      </w:r>
      <w:r w:rsidR="00300E83" w:rsidRPr="00382917">
        <w:t>let</w:t>
      </w:r>
      <w:r w:rsidR="00EE4FC3">
        <w:t xml:space="preserve"> </w:t>
      </w:r>
      <w:r w:rsidR="00300E83" w:rsidRPr="00382917">
        <w:t>alone</w:t>
      </w:r>
      <w:r w:rsidR="00EE4FC3">
        <w:t xml:space="preserve"> </w:t>
      </w:r>
      <w:r w:rsidR="00300E83" w:rsidRPr="00382917">
        <w:t>a</w:t>
      </w:r>
      <w:r w:rsidR="00EE4FC3">
        <w:t xml:space="preserve"> </w:t>
      </w:r>
      <w:r w:rsidR="00300E83" w:rsidRPr="00382917">
        <w:t>sword.)</w:t>
      </w:r>
    </w:p>
    <w:p w:rsidR="00300E83" w:rsidRPr="00382917" w:rsidRDefault="00650F8F" w:rsidP="00650F8F">
      <w:pPr>
        <w:pStyle w:val="Bullet2ct"/>
      </w:pPr>
      <w:r w:rsidRPr="00382917">
        <w:t>4.</w:t>
      </w:r>
      <w:r w:rsidRPr="00382917">
        <w:tab/>
      </w:r>
      <w:r w:rsidR="00300E83" w:rsidRPr="00382917">
        <w:t>He</w:t>
      </w:r>
      <w:r w:rsidR="00EE4FC3">
        <w:t xml:space="preserve"> </w:t>
      </w:r>
      <w:r w:rsidR="00300E83" w:rsidRPr="00382917">
        <w:t>will</w:t>
      </w:r>
      <w:r w:rsidR="00EE4FC3">
        <w:t xml:space="preserve"> </w:t>
      </w:r>
      <w:r w:rsidR="00300E83" w:rsidRPr="00382917">
        <w:t>come</w:t>
      </w:r>
      <w:r w:rsidR="00EE4FC3">
        <w:t xml:space="preserve"> </w:t>
      </w:r>
      <w:r w:rsidR="00300E83" w:rsidRPr="00382917">
        <w:t>from</w:t>
      </w:r>
      <w:r w:rsidR="00EE4FC3">
        <w:t xml:space="preserve"> </w:t>
      </w:r>
      <w:r w:rsidR="00300E83" w:rsidRPr="00382917">
        <w:t>an</w:t>
      </w:r>
      <w:r w:rsidR="00EE4FC3">
        <w:t xml:space="preserve"> </w:t>
      </w:r>
      <w:r w:rsidR="00300E83" w:rsidRPr="00382917">
        <w:t>unknown</w:t>
      </w:r>
      <w:r w:rsidR="00EE4FC3">
        <w:t xml:space="preserve"> </w:t>
      </w:r>
      <w:r w:rsidR="00300E83" w:rsidRPr="00382917">
        <w:t>place</w:t>
      </w:r>
      <w:r w:rsidR="00552489">
        <w:t>.</w:t>
      </w:r>
      <w:r w:rsidR="00EE4FC3">
        <w:t xml:space="preserve">  </w:t>
      </w:r>
      <w:r w:rsidR="00300E83" w:rsidRPr="00382917">
        <w:t>(Did</w:t>
      </w:r>
      <w:r w:rsidR="00EE4FC3">
        <w:t xml:space="preserve"> </w:t>
      </w:r>
      <w:r w:rsidR="00300E83" w:rsidRPr="00382917">
        <w:t>not</w:t>
      </w:r>
      <w:r w:rsidR="00EE4FC3">
        <w:t xml:space="preserve"> </w:t>
      </w:r>
      <w:r w:rsidR="00300E83" w:rsidRPr="00382917">
        <w:t>this</w:t>
      </w:r>
      <w:r w:rsidR="00EE4FC3">
        <w:t xml:space="preserve"> </w:t>
      </w:r>
      <w:r w:rsidR="00300E83" w:rsidRPr="00382917">
        <w:t>Jesus</w:t>
      </w:r>
      <w:r w:rsidR="00EE4FC3">
        <w:t xml:space="preserve"> </w:t>
      </w:r>
      <w:r w:rsidR="00300E83" w:rsidRPr="00382917">
        <w:t>come</w:t>
      </w:r>
      <w:r w:rsidR="00EE4FC3">
        <w:t xml:space="preserve"> </w:t>
      </w:r>
      <w:r w:rsidR="00300E83" w:rsidRPr="00382917">
        <w:t>from</w:t>
      </w:r>
      <w:r w:rsidR="00EE4FC3">
        <w:t xml:space="preserve"> </w:t>
      </w:r>
      <w:r w:rsidR="00300E83" w:rsidRPr="00382917">
        <w:t>Nazareth,</w:t>
      </w:r>
      <w:r w:rsidR="00EE4FC3">
        <w:t xml:space="preserve"> </w:t>
      </w:r>
      <w:r w:rsidR="00300E83" w:rsidRPr="00382917">
        <w:t>a</w:t>
      </w:r>
      <w:r w:rsidR="00EE4FC3">
        <w:t xml:space="preserve"> </w:t>
      </w:r>
      <w:r w:rsidR="00300E83" w:rsidRPr="00382917">
        <w:t>place</w:t>
      </w:r>
      <w:r w:rsidR="00EE4FC3">
        <w:t xml:space="preserve"> </w:t>
      </w:r>
      <w:r w:rsidR="00300E83" w:rsidRPr="00382917">
        <w:t>from</w:t>
      </w:r>
      <w:r w:rsidR="00EE4FC3">
        <w:t xml:space="preserve"> </w:t>
      </w:r>
      <w:r w:rsidR="00300E83" w:rsidRPr="00382917">
        <w:t>which</w:t>
      </w:r>
      <w:r w:rsidR="00EE4FC3">
        <w:t xml:space="preserve"> </w:t>
      </w:r>
      <w:r w:rsidR="00300E83" w:rsidRPr="00382917">
        <w:t>tradition</w:t>
      </w:r>
      <w:r w:rsidR="00EE4FC3">
        <w:t xml:space="preserve"> </w:t>
      </w:r>
      <w:r w:rsidR="00300E83" w:rsidRPr="00382917">
        <w:t>promised</w:t>
      </w:r>
      <w:r w:rsidR="00EE4FC3">
        <w:t xml:space="preserve"> </w:t>
      </w:r>
      <w:r w:rsidR="00300E83" w:rsidRPr="00382917">
        <w:t>that</w:t>
      </w:r>
      <w:r w:rsidR="00EE4FC3">
        <w:t xml:space="preserve"> </w:t>
      </w:r>
      <w:r w:rsidR="00300E83" w:rsidRPr="00382917">
        <w:t>no</w:t>
      </w:r>
      <w:r w:rsidR="00EE4FC3">
        <w:t xml:space="preserve"> </w:t>
      </w:r>
      <w:r w:rsidR="009C713D" w:rsidRPr="00382917">
        <w:t>“</w:t>
      </w:r>
      <w:r w:rsidR="00300E83" w:rsidRPr="00382917">
        <w:t>good</w:t>
      </w:r>
      <w:r w:rsidR="009C713D" w:rsidRPr="00382917">
        <w:t>”</w:t>
      </w:r>
      <w:r w:rsidR="00EE4FC3">
        <w:t xml:space="preserve"> </w:t>
      </w:r>
      <w:r w:rsidR="00300E83" w:rsidRPr="00382917">
        <w:t>could</w:t>
      </w:r>
      <w:r w:rsidR="00EE4FC3">
        <w:t xml:space="preserve"> </w:t>
      </w:r>
      <w:r w:rsidR="00300E83" w:rsidRPr="00382917">
        <w:t>come?)</w:t>
      </w:r>
    </w:p>
    <w:p w:rsidR="00650F8F" w:rsidRPr="00382917" w:rsidRDefault="00650F8F">
      <w:pPr>
        <w:widowControl/>
        <w:kinsoku/>
        <w:overflowPunct/>
        <w:textAlignment w:val="auto"/>
      </w:pPr>
      <w:r w:rsidRPr="00382917">
        <w:br w:type="page"/>
      </w:r>
    </w:p>
    <w:p w:rsidR="00300E83" w:rsidRPr="00382917" w:rsidRDefault="00300E83" w:rsidP="00650F8F">
      <w:pPr>
        <w:pStyle w:val="Text"/>
      </w:pPr>
      <w:r w:rsidRPr="00382917">
        <w:t>How</w:t>
      </w:r>
      <w:r w:rsidR="00EE4FC3">
        <w:t xml:space="preserve"> </w:t>
      </w:r>
      <w:r w:rsidRPr="00382917">
        <w:t>then</w:t>
      </w:r>
      <w:r w:rsidR="00EE4FC3">
        <w:t xml:space="preserve"> </w:t>
      </w:r>
      <w:r w:rsidRPr="00382917">
        <w:t>could</w:t>
      </w:r>
      <w:r w:rsidR="00EE4FC3">
        <w:t xml:space="preserve"> </w:t>
      </w:r>
      <w:r w:rsidRPr="00382917">
        <w:t>this</w:t>
      </w:r>
      <w:r w:rsidR="00EE4FC3">
        <w:t xml:space="preserve"> </w:t>
      </w:r>
      <w:r w:rsidRPr="00382917">
        <w:t>(Jesus)</w:t>
      </w:r>
      <w:r w:rsidR="00EE4FC3">
        <w:t xml:space="preserve"> </w:t>
      </w:r>
      <w:r w:rsidRPr="00382917">
        <w:t>be</w:t>
      </w:r>
      <w:r w:rsidR="00EE4FC3">
        <w:t xml:space="preserve"> </w:t>
      </w:r>
      <w:r w:rsidRPr="00382917">
        <w:t>the</w:t>
      </w:r>
      <w:r w:rsidR="00EE4FC3">
        <w:t xml:space="preserve"> </w:t>
      </w:r>
      <w:r w:rsidRPr="00382917">
        <w:t>Messiah?</w:t>
      </w:r>
    </w:p>
    <w:p w:rsidR="00300E83" w:rsidRPr="00382917" w:rsidRDefault="00300E83" w:rsidP="002B6A79">
      <w:pPr>
        <w:pStyle w:val="Text"/>
      </w:pPr>
      <w:r w:rsidRPr="00382917">
        <w:t>When</w:t>
      </w:r>
      <w:r w:rsidR="00EE4FC3">
        <w:t xml:space="preserve"> </w:t>
      </w:r>
      <w:r w:rsidRPr="00382917">
        <w:t>it</w:t>
      </w:r>
      <w:r w:rsidR="00EE4FC3">
        <w:t xml:space="preserve"> </w:t>
      </w:r>
      <w:r w:rsidRPr="00382917">
        <w:t>was</w:t>
      </w:r>
      <w:r w:rsidR="00EE4FC3">
        <w:t xml:space="preserve"> </w:t>
      </w:r>
      <w:r w:rsidRPr="00382917">
        <w:t>explained</w:t>
      </w:r>
      <w:r w:rsidR="00EE4FC3">
        <w:t xml:space="preserve"> </w:t>
      </w:r>
      <w:r w:rsidRPr="00382917">
        <w:t>to</w:t>
      </w:r>
      <w:r w:rsidR="00EE4FC3">
        <w:t xml:space="preserve"> </w:t>
      </w:r>
      <w:r w:rsidRPr="00382917">
        <w:t>the</w:t>
      </w:r>
      <w:r w:rsidR="00EE4FC3">
        <w:t xml:space="preserve"> </w:t>
      </w:r>
      <w:r w:rsidRPr="00382917">
        <w:t>people</w:t>
      </w:r>
      <w:r w:rsidR="00EE4FC3">
        <w:t xml:space="preserve"> </w:t>
      </w:r>
      <w:r w:rsidRPr="00382917">
        <w:t>of</w:t>
      </w:r>
      <w:r w:rsidR="00EE4FC3">
        <w:t xml:space="preserve"> </w:t>
      </w:r>
      <w:r w:rsidRPr="00382917">
        <w:t>that</w:t>
      </w:r>
      <w:r w:rsidR="00EE4FC3">
        <w:t xml:space="preserve"> </w:t>
      </w:r>
      <w:r w:rsidRPr="00382917">
        <w:t>time</w:t>
      </w:r>
      <w:r w:rsidR="00EE4FC3">
        <w:t xml:space="preserve"> </w:t>
      </w:r>
      <w:r w:rsidRPr="00382917">
        <w:t>that</w:t>
      </w:r>
      <w:r w:rsidR="00EE4FC3">
        <w:t xml:space="preserve"> </w:t>
      </w:r>
      <w:r w:rsidRPr="00382917">
        <w:t>all</w:t>
      </w:r>
      <w:r w:rsidR="00EE4FC3">
        <w:t xml:space="preserve"> </w:t>
      </w:r>
      <w:r w:rsidRPr="00382917">
        <w:t>these</w:t>
      </w:r>
      <w:r w:rsidR="00EE4FC3">
        <w:t xml:space="preserve"> </w:t>
      </w:r>
      <w:r w:rsidRPr="00382917">
        <w:t>prophecies</w:t>
      </w:r>
      <w:r w:rsidR="00EE4FC3">
        <w:t xml:space="preserve"> </w:t>
      </w:r>
      <w:r w:rsidRPr="00382917">
        <w:t>had</w:t>
      </w:r>
      <w:r w:rsidR="00EE4FC3">
        <w:t xml:space="preserve"> </w:t>
      </w:r>
      <w:r w:rsidRPr="00382917">
        <w:t>been</w:t>
      </w:r>
      <w:r w:rsidR="00EE4FC3">
        <w:t xml:space="preserve"> </w:t>
      </w:r>
      <w:r w:rsidRPr="00382917">
        <w:t>fulfilled</w:t>
      </w:r>
      <w:r w:rsidR="00EE4FC3">
        <w:t xml:space="preserve"> </w:t>
      </w:r>
      <w:r w:rsidR="009C713D" w:rsidRPr="00382917">
        <w:t>“</w:t>
      </w:r>
      <w:r w:rsidRPr="00382917">
        <w:t>inwardly</w:t>
      </w:r>
      <w:r w:rsidR="009C713D" w:rsidRPr="00382917">
        <w:t>”</w:t>
      </w:r>
      <w:r w:rsidR="00EE4FC3">
        <w:t xml:space="preserve"> </w:t>
      </w:r>
      <w:r w:rsidRPr="00382917">
        <w:t>not</w:t>
      </w:r>
      <w:r w:rsidR="00EE4FC3">
        <w:t xml:space="preserve"> </w:t>
      </w:r>
      <w:r w:rsidR="009C713D" w:rsidRPr="00382917">
        <w:t>“</w:t>
      </w:r>
      <w:r w:rsidRPr="00382917">
        <w:t>outwardly</w:t>
      </w:r>
      <w:r w:rsidR="009C713D" w:rsidRPr="00382917">
        <w:t>”</w:t>
      </w:r>
      <w:r w:rsidR="002B6A79">
        <w:t>,</w:t>
      </w:r>
      <w:r w:rsidR="00EE4FC3">
        <w:t xml:space="preserve"> </w:t>
      </w:r>
      <w:r w:rsidRPr="00382917">
        <w:t>symbolically</w:t>
      </w:r>
      <w:r w:rsidR="00EE4FC3">
        <w:t xml:space="preserve"> </w:t>
      </w:r>
      <w:r w:rsidRPr="00382917">
        <w:t>and</w:t>
      </w:r>
      <w:r w:rsidR="00EE4FC3">
        <w:t xml:space="preserve"> </w:t>
      </w:r>
      <w:r w:rsidRPr="00382917">
        <w:t>not</w:t>
      </w:r>
      <w:r w:rsidR="00EE4FC3">
        <w:t xml:space="preserve"> </w:t>
      </w:r>
      <w:r w:rsidRPr="00382917">
        <w:t>literally,</w:t>
      </w:r>
      <w:r w:rsidR="00EE4FC3">
        <w:t xml:space="preserve"> </w:t>
      </w:r>
      <w:r w:rsidRPr="00382917">
        <w:t>they</w:t>
      </w:r>
      <w:r w:rsidR="00EE4FC3">
        <w:t xml:space="preserve"> </w:t>
      </w:r>
      <w:r w:rsidRPr="00382917">
        <w:t>refused</w:t>
      </w:r>
      <w:r w:rsidR="00EE4FC3">
        <w:t xml:space="preserve"> </w:t>
      </w:r>
      <w:r w:rsidRPr="00382917">
        <w:t>to</w:t>
      </w:r>
      <w:r w:rsidR="00EE4FC3">
        <w:t xml:space="preserve"> </w:t>
      </w:r>
      <w:r w:rsidRPr="00382917">
        <w:t>believe</w:t>
      </w:r>
      <w:r w:rsidR="00EE4FC3">
        <w:t xml:space="preserve"> </w:t>
      </w:r>
      <w:r w:rsidRPr="00382917">
        <w:t>it.</w:t>
      </w:r>
    </w:p>
    <w:p w:rsidR="00300E83" w:rsidRPr="00382917" w:rsidRDefault="00300E83" w:rsidP="002B6A79">
      <w:pPr>
        <w:pStyle w:val="Text"/>
      </w:pPr>
      <w:r w:rsidRPr="00382917">
        <w:t>Some</w:t>
      </w:r>
      <w:r w:rsidR="00EE4FC3">
        <w:t xml:space="preserve"> </w:t>
      </w:r>
      <w:r w:rsidRPr="00382917">
        <w:t>of</w:t>
      </w:r>
      <w:r w:rsidR="00EE4FC3">
        <w:t xml:space="preserve"> </w:t>
      </w:r>
      <w:r w:rsidRPr="00382917">
        <w:t>Christ</w:t>
      </w:r>
      <w:r w:rsidR="009C713D" w:rsidRPr="00382917">
        <w:t>’</w:t>
      </w:r>
      <w:r w:rsidRPr="00382917">
        <w:t>s</w:t>
      </w:r>
      <w:r w:rsidR="00EE4FC3">
        <w:t xml:space="preserve"> </w:t>
      </w:r>
      <w:r w:rsidRPr="00382917">
        <w:t>own</w:t>
      </w:r>
      <w:r w:rsidR="00EE4FC3">
        <w:t xml:space="preserve"> </w:t>
      </w:r>
      <w:r w:rsidRPr="00382917">
        <w:t>followers</w:t>
      </w:r>
      <w:r w:rsidR="00EE4FC3">
        <w:t xml:space="preserve"> </w:t>
      </w:r>
      <w:r w:rsidRPr="00382917">
        <w:t>denied</w:t>
      </w:r>
      <w:r w:rsidR="00EE4FC3">
        <w:t xml:space="preserve"> </w:t>
      </w:r>
      <w:r w:rsidRPr="00382917">
        <w:t>Him</w:t>
      </w:r>
      <w:r w:rsidR="00EE4FC3">
        <w:t xml:space="preserve"> </w:t>
      </w:r>
      <w:r w:rsidRPr="00382917">
        <w:t>because</w:t>
      </w:r>
      <w:r w:rsidR="00EE4FC3">
        <w:t xml:space="preserve"> </w:t>
      </w:r>
      <w:r w:rsidRPr="00382917">
        <w:t>they</w:t>
      </w:r>
      <w:r w:rsidR="00EE4FC3">
        <w:t xml:space="preserve"> </w:t>
      </w:r>
      <w:r w:rsidRPr="00382917">
        <w:t>couldn</w:t>
      </w:r>
      <w:r w:rsidR="009C713D" w:rsidRPr="00382917">
        <w:t>’</w:t>
      </w:r>
      <w:r w:rsidRPr="00382917">
        <w:t>t</w:t>
      </w:r>
      <w:r w:rsidR="00EE4FC3">
        <w:t xml:space="preserve"> </w:t>
      </w:r>
      <w:r w:rsidRPr="00382917">
        <w:t>fully</w:t>
      </w:r>
      <w:r w:rsidR="00EE4FC3">
        <w:t xml:space="preserve"> </w:t>
      </w:r>
      <w:r w:rsidRPr="00382917">
        <w:t>accept</w:t>
      </w:r>
      <w:r w:rsidR="00EE4FC3">
        <w:t xml:space="preserve"> </w:t>
      </w:r>
      <w:r w:rsidRPr="00382917">
        <w:t>His</w:t>
      </w:r>
      <w:r w:rsidR="00EE4FC3">
        <w:t xml:space="preserve"> </w:t>
      </w:r>
      <w:r w:rsidRPr="00382917">
        <w:t>teachings</w:t>
      </w:r>
      <w:r w:rsidR="00552489">
        <w:t>.</w:t>
      </w:r>
      <w:r w:rsidR="00EE4FC3">
        <w:t xml:space="preserve">  </w:t>
      </w:r>
      <w:r w:rsidRPr="00382917">
        <w:t>They</w:t>
      </w:r>
      <w:r w:rsidR="00EE4FC3">
        <w:t xml:space="preserve"> </w:t>
      </w:r>
      <w:r w:rsidRPr="00382917">
        <w:t>turned</w:t>
      </w:r>
      <w:r w:rsidR="00EE4FC3">
        <w:t xml:space="preserve"> </w:t>
      </w:r>
      <w:r w:rsidRPr="00382917">
        <w:t>away</w:t>
      </w:r>
      <w:r w:rsidR="00EE4FC3">
        <w:t xml:space="preserve"> </w:t>
      </w:r>
      <w:r w:rsidRPr="00382917">
        <w:t>from</w:t>
      </w:r>
      <w:r w:rsidR="00EE4FC3">
        <w:t xml:space="preserve"> </w:t>
      </w:r>
      <w:r w:rsidRPr="00382917">
        <w:t>Him</w:t>
      </w:r>
      <w:r w:rsidR="00EE4FC3">
        <w:t xml:space="preserve"> </w:t>
      </w:r>
      <w:r w:rsidRPr="00382917">
        <w:t>and</w:t>
      </w:r>
      <w:r w:rsidR="00EE4FC3">
        <w:t xml:space="preserve"> </w:t>
      </w:r>
      <w:r w:rsidRPr="00382917">
        <w:t>considered</w:t>
      </w:r>
      <w:r w:rsidR="00EE4FC3">
        <w:t xml:space="preserve"> </w:t>
      </w:r>
      <w:r w:rsidRPr="00382917">
        <w:t>Him</w:t>
      </w:r>
      <w:r w:rsidR="00EE4FC3">
        <w:t xml:space="preserve"> </w:t>
      </w:r>
      <w:r w:rsidRPr="00382917">
        <w:t>to</w:t>
      </w:r>
      <w:r w:rsidR="00EE4FC3">
        <w:t xml:space="preserve"> </w:t>
      </w:r>
      <w:r w:rsidRPr="00382917">
        <w:t>be</w:t>
      </w:r>
      <w:r w:rsidR="00EE4FC3">
        <w:t xml:space="preserve"> </w:t>
      </w:r>
      <w:r w:rsidRPr="00382917">
        <w:t>a</w:t>
      </w:r>
      <w:r w:rsidR="00EE4FC3">
        <w:t xml:space="preserve"> </w:t>
      </w:r>
      <w:r w:rsidR="009C713D" w:rsidRPr="00382917">
        <w:t>“</w:t>
      </w:r>
      <w:r w:rsidRPr="00382917">
        <w:t>false</w:t>
      </w:r>
      <w:r w:rsidR="00EE4FC3">
        <w:t xml:space="preserve"> </w:t>
      </w:r>
      <w:r w:rsidRPr="00382917">
        <w:t>prophet</w:t>
      </w:r>
      <w:r w:rsidR="009C713D" w:rsidRPr="00382917">
        <w:t>”</w:t>
      </w:r>
      <w:r w:rsidR="002B6A79">
        <w:t>.</w:t>
      </w:r>
    </w:p>
    <w:p w:rsidR="00300E83" w:rsidRPr="00382917" w:rsidRDefault="009C713D" w:rsidP="002B6A79">
      <w:pPr>
        <w:pStyle w:val="Text"/>
      </w:pPr>
      <w:r w:rsidRPr="00382917">
        <w:t>“</w:t>
      </w:r>
      <w:r w:rsidR="00300E83" w:rsidRPr="00382917">
        <w:t>From</w:t>
      </w:r>
      <w:r w:rsidR="00EE4FC3">
        <w:t xml:space="preserve"> </w:t>
      </w:r>
      <w:r w:rsidR="00300E83" w:rsidRPr="00382917">
        <w:t>that</w:t>
      </w:r>
      <w:r w:rsidR="00EE4FC3">
        <w:t xml:space="preserve"> </w:t>
      </w:r>
      <w:r w:rsidR="00300E83" w:rsidRPr="00382917">
        <w:t>time</w:t>
      </w:r>
      <w:r w:rsidR="00EE4FC3">
        <w:t xml:space="preserve"> </w:t>
      </w:r>
      <w:r w:rsidR="00300E83" w:rsidRPr="00382917">
        <w:t>many</w:t>
      </w:r>
      <w:r w:rsidR="00EE4FC3">
        <w:t xml:space="preserve"> </w:t>
      </w:r>
      <w:r w:rsidR="00300E83" w:rsidRPr="00382917">
        <w:t>of</w:t>
      </w:r>
      <w:r w:rsidR="00EE4FC3">
        <w:t xml:space="preserve"> </w:t>
      </w:r>
      <w:r w:rsidR="00300E83" w:rsidRPr="00382917">
        <w:t>his</w:t>
      </w:r>
      <w:r w:rsidR="00EE4FC3">
        <w:t xml:space="preserve"> </w:t>
      </w:r>
      <w:r w:rsidR="00300E83" w:rsidRPr="00382917">
        <w:t>disciples</w:t>
      </w:r>
      <w:r w:rsidR="00EE4FC3">
        <w:t xml:space="preserve"> </w:t>
      </w:r>
      <w:r w:rsidR="00300E83" w:rsidRPr="00382917">
        <w:t>went</w:t>
      </w:r>
      <w:r w:rsidR="00EE4FC3">
        <w:t xml:space="preserve"> </w:t>
      </w:r>
      <w:r w:rsidR="00300E83" w:rsidRPr="00382917">
        <w:t>back,</w:t>
      </w:r>
      <w:r w:rsidR="00EE4FC3">
        <w:t xml:space="preserve"> </w:t>
      </w:r>
      <w:r w:rsidR="00300E83" w:rsidRPr="00382917">
        <w:t>and</w:t>
      </w:r>
      <w:r w:rsidR="00EE4FC3">
        <w:t xml:space="preserve"> </w:t>
      </w:r>
      <w:r w:rsidR="00300E83" w:rsidRPr="00382917">
        <w:t>walked</w:t>
      </w:r>
      <w:r w:rsidR="00EE4FC3">
        <w:t xml:space="preserve"> </w:t>
      </w:r>
      <w:r w:rsidR="00300E83" w:rsidRPr="00382917">
        <w:t>no</w:t>
      </w:r>
      <w:r w:rsidR="00EE4FC3">
        <w:t xml:space="preserve"> </w:t>
      </w:r>
      <w:r w:rsidR="00300E83" w:rsidRPr="00382917">
        <w:t>more</w:t>
      </w:r>
      <w:r w:rsidR="00EE4FC3">
        <w:t xml:space="preserve"> </w:t>
      </w:r>
      <w:r w:rsidR="00300E83" w:rsidRPr="00382917">
        <w:t>with</w:t>
      </w:r>
      <w:r w:rsidR="00EE4FC3">
        <w:t xml:space="preserve"> </w:t>
      </w:r>
      <w:r w:rsidR="00300E83" w:rsidRPr="00382917">
        <w:t>him.</w:t>
      </w:r>
      <w:r w:rsidRPr="00382917">
        <w:t>”</w:t>
      </w:r>
      <w:r w:rsidR="002B6A79">
        <w:rPr>
          <w:rStyle w:val="FootnoteReference"/>
        </w:rPr>
        <w:footnoteReference w:id="326"/>
      </w:r>
    </w:p>
    <w:p w:rsidR="00300E83" w:rsidRPr="00382917" w:rsidRDefault="00300E83" w:rsidP="00650F8F">
      <w:pPr>
        <w:pStyle w:val="Text"/>
      </w:pPr>
      <w:r w:rsidRPr="00382917">
        <w:t>Whenever</w:t>
      </w:r>
      <w:r w:rsidR="00EE4FC3">
        <w:t xml:space="preserve"> </w:t>
      </w:r>
      <w:r w:rsidRPr="00382917">
        <w:t>a</w:t>
      </w:r>
      <w:r w:rsidR="00EE4FC3">
        <w:t xml:space="preserve"> </w:t>
      </w:r>
      <w:r w:rsidRPr="00382917">
        <w:t>Messenger</w:t>
      </w:r>
      <w:r w:rsidR="00EE4FC3">
        <w:t xml:space="preserve"> </w:t>
      </w:r>
      <w:r w:rsidRPr="00382917">
        <w:t>of</w:t>
      </w:r>
      <w:r w:rsidR="00EE4FC3">
        <w:t xml:space="preserve"> </w:t>
      </w:r>
      <w:r w:rsidRPr="00382917">
        <w:t>God</w:t>
      </w:r>
      <w:r w:rsidR="00EE4FC3">
        <w:t xml:space="preserve"> </w:t>
      </w:r>
      <w:r w:rsidRPr="00382917">
        <w:t>appears,</w:t>
      </w:r>
      <w:r w:rsidR="00EE4FC3">
        <w:t xml:space="preserve"> </w:t>
      </w:r>
      <w:r w:rsidRPr="00382917">
        <w:t>such</w:t>
      </w:r>
      <w:r w:rsidR="00EE4FC3">
        <w:t xml:space="preserve"> </w:t>
      </w:r>
      <w:r w:rsidRPr="00382917">
        <w:t>as</w:t>
      </w:r>
      <w:r w:rsidR="00EE4FC3">
        <w:t xml:space="preserve"> </w:t>
      </w:r>
      <w:r w:rsidRPr="00382917">
        <w:t>Krishna,</w:t>
      </w:r>
      <w:r w:rsidR="00EE4FC3">
        <w:t xml:space="preserve"> </w:t>
      </w:r>
      <w:r w:rsidRPr="00382917">
        <w:t>Moses,</w:t>
      </w:r>
      <w:r w:rsidR="00EE4FC3">
        <w:t xml:space="preserve"> </w:t>
      </w:r>
      <w:r w:rsidRPr="00382917">
        <w:t>Zoroaster,</w:t>
      </w:r>
      <w:r w:rsidR="00EE4FC3">
        <w:t xml:space="preserve"> </w:t>
      </w:r>
      <w:r w:rsidRPr="00382917">
        <w:t>Buddha,</w:t>
      </w:r>
      <w:r w:rsidR="00EE4FC3">
        <w:t xml:space="preserve"> </w:t>
      </w:r>
      <w:r w:rsidRPr="00382917">
        <w:t>Jesus,</w:t>
      </w:r>
      <w:r w:rsidR="00EE4FC3">
        <w:t xml:space="preserve"> </w:t>
      </w:r>
      <w:r w:rsidR="0040329F" w:rsidRPr="00382917">
        <w:t>Mu</w:t>
      </w:r>
      <w:r w:rsidR="0040329F" w:rsidRPr="0040329F">
        <w:t>ḥ</w:t>
      </w:r>
      <w:r w:rsidR="0040329F" w:rsidRPr="00382917">
        <w:t>ammad</w:t>
      </w:r>
      <w:r w:rsidRPr="00382917">
        <w:t>,</w:t>
      </w:r>
      <w:r w:rsidR="00EE4FC3">
        <w:t xml:space="preserve"> </w:t>
      </w:r>
      <w:r w:rsidRPr="00382917">
        <w:t>the</w:t>
      </w:r>
      <w:r w:rsidR="00EE4FC3">
        <w:t xml:space="preserve"> </w:t>
      </w:r>
      <w:r w:rsidRPr="00382917">
        <w:t>Báb</w:t>
      </w:r>
      <w:r w:rsidR="00EE4FC3">
        <w:t xml:space="preserve"> </w:t>
      </w:r>
      <w:r w:rsidRPr="00382917">
        <w:t>or</w:t>
      </w:r>
      <w:r w:rsidR="00EE4FC3">
        <w:t xml:space="preserve"> </w:t>
      </w:r>
      <w:r w:rsidRPr="00382917">
        <w:t>Bahá</w:t>
      </w:r>
      <w:r w:rsidR="009C713D" w:rsidRPr="00382917">
        <w:t>’</w:t>
      </w:r>
      <w:r w:rsidRPr="00382917">
        <w:t>u</w:t>
      </w:r>
      <w:r w:rsidR="009C713D" w:rsidRPr="00382917">
        <w:t>’</w:t>
      </w:r>
      <w:r w:rsidRPr="00382917">
        <w:t>lláh,</w:t>
      </w:r>
      <w:r w:rsidR="00EE4FC3">
        <w:t xml:space="preserve"> </w:t>
      </w:r>
      <w:r w:rsidRPr="00382917">
        <w:t>He</w:t>
      </w:r>
      <w:r w:rsidR="00EE4FC3">
        <w:t xml:space="preserve"> </w:t>
      </w:r>
      <w:r w:rsidRPr="00382917">
        <w:t>is</w:t>
      </w:r>
      <w:r w:rsidR="00EE4FC3">
        <w:t xml:space="preserve"> </w:t>
      </w:r>
      <w:r w:rsidRPr="00382917">
        <w:t>denounced</w:t>
      </w:r>
      <w:r w:rsidR="00EE4FC3">
        <w:t xml:space="preserve"> </w:t>
      </w:r>
      <w:r w:rsidRPr="00382917">
        <w:t>as</w:t>
      </w:r>
      <w:r w:rsidR="00EE4FC3">
        <w:t xml:space="preserve"> </w:t>
      </w:r>
      <w:r w:rsidRPr="00382917">
        <w:t>a</w:t>
      </w:r>
      <w:r w:rsidR="00EE4FC3">
        <w:t xml:space="preserve"> </w:t>
      </w:r>
      <w:r w:rsidR="009C713D" w:rsidRPr="00382917">
        <w:t>“</w:t>
      </w:r>
      <w:r w:rsidRPr="00382917">
        <w:t>false</w:t>
      </w:r>
      <w:r w:rsidR="00EE4FC3">
        <w:t xml:space="preserve"> </w:t>
      </w:r>
      <w:r w:rsidRPr="00382917">
        <w:t>prophet</w:t>
      </w:r>
      <w:r w:rsidR="009C713D" w:rsidRPr="00382917">
        <w:t>”</w:t>
      </w:r>
      <w:r w:rsidR="00EE4FC3">
        <w:t xml:space="preserve"> </w:t>
      </w:r>
      <w:r w:rsidRPr="00382917">
        <w:t>by</w:t>
      </w:r>
      <w:r w:rsidR="00EE4FC3">
        <w:t xml:space="preserve"> </w:t>
      </w:r>
      <w:r w:rsidRPr="00382917">
        <w:t>those</w:t>
      </w:r>
      <w:r w:rsidR="00EE4FC3">
        <w:t xml:space="preserve"> </w:t>
      </w:r>
      <w:r w:rsidRPr="00382917">
        <w:t>who</w:t>
      </w:r>
      <w:r w:rsidR="00EE4FC3">
        <w:t xml:space="preserve"> </w:t>
      </w:r>
      <w:r w:rsidRPr="00382917">
        <w:t>are</w:t>
      </w:r>
      <w:r w:rsidR="00EE4FC3">
        <w:t xml:space="preserve"> </w:t>
      </w:r>
      <w:r w:rsidRPr="00382917">
        <w:t>not</w:t>
      </w:r>
      <w:r w:rsidR="00EE4FC3">
        <w:t xml:space="preserve"> </w:t>
      </w:r>
      <w:r w:rsidRPr="00382917">
        <w:t>spiritually</w:t>
      </w:r>
      <w:r w:rsidR="00EE4FC3">
        <w:t xml:space="preserve"> </w:t>
      </w:r>
      <w:r w:rsidRPr="00382917">
        <w:t>awake.</w:t>
      </w:r>
    </w:p>
    <w:p w:rsidR="00300E83" w:rsidRPr="00382917" w:rsidRDefault="00300E83" w:rsidP="00650F8F">
      <w:pPr>
        <w:pStyle w:val="Text"/>
      </w:pPr>
      <w:r w:rsidRPr="00382917">
        <w:t>What</w:t>
      </w:r>
      <w:r w:rsidR="00EE4FC3">
        <w:t xml:space="preserve"> </w:t>
      </w:r>
      <w:r w:rsidRPr="00382917">
        <w:t>satisfactory</w:t>
      </w:r>
      <w:r w:rsidR="00EE4FC3">
        <w:t xml:space="preserve"> </w:t>
      </w:r>
      <w:r w:rsidRPr="00382917">
        <w:t>proof</w:t>
      </w:r>
      <w:r w:rsidR="00EE4FC3">
        <w:t xml:space="preserve"> </w:t>
      </w:r>
      <w:r w:rsidRPr="00382917">
        <w:t>can</w:t>
      </w:r>
      <w:r w:rsidR="00EE4FC3">
        <w:t xml:space="preserve"> </w:t>
      </w:r>
      <w:r w:rsidRPr="00382917">
        <w:t>be</w:t>
      </w:r>
      <w:r w:rsidR="00EE4FC3">
        <w:t xml:space="preserve"> </w:t>
      </w:r>
      <w:r w:rsidRPr="00382917">
        <w:t>given</w:t>
      </w:r>
      <w:r w:rsidR="00EE4FC3">
        <w:t xml:space="preserve"> </w:t>
      </w:r>
      <w:r w:rsidRPr="00382917">
        <w:t>to</w:t>
      </w:r>
      <w:r w:rsidR="00EE4FC3">
        <w:t xml:space="preserve"> </w:t>
      </w:r>
      <w:r w:rsidRPr="00382917">
        <w:t>the</w:t>
      </w:r>
      <w:r w:rsidR="00EE4FC3">
        <w:t xml:space="preserve"> </w:t>
      </w:r>
      <w:r w:rsidRPr="00382917">
        <w:t>spiritually</w:t>
      </w:r>
      <w:r w:rsidR="00EE4FC3">
        <w:t xml:space="preserve"> </w:t>
      </w:r>
      <w:r w:rsidRPr="00382917">
        <w:t>awake</w:t>
      </w:r>
      <w:r w:rsidR="00EE4FC3">
        <w:t xml:space="preserve"> </w:t>
      </w:r>
      <w:r w:rsidRPr="00382917">
        <w:t>that</w:t>
      </w:r>
      <w:r w:rsidR="00EE4FC3">
        <w:t xml:space="preserve"> </w:t>
      </w:r>
      <w:r w:rsidRPr="00382917">
        <w:t>Bahá</w:t>
      </w:r>
      <w:r w:rsidR="009C713D" w:rsidRPr="00382917">
        <w:t>’</w:t>
      </w:r>
      <w:r w:rsidRPr="00382917">
        <w:t>u</w:t>
      </w:r>
      <w:r w:rsidR="009C713D" w:rsidRPr="00382917">
        <w:t>’</w:t>
      </w:r>
      <w:r w:rsidRPr="00382917">
        <w:t>lláh</w:t>
      </w:r>
      <w:r w:rsidR="00EE4FC3">
        <w:t xml:space="preserve"> </w:t>
      </w:r>
      <w:r w:rsidRPr="00382917">
        <w:t>is</w:t>
      </w:r>
      <w:r w:rsidR="00EE4FC3">
        <w:t xml:space="preserve"> </w:t>
      </w:r>
      <w:r w:rsidRPr="00382917">
        <w:t>not</w:t>
      </w:r>
      <w:r w:rsidR="00EE4FC3">
        <w:t xml:space="preserve"> </w:t>
      </w:r>
      <w:r w:rsidRPr="00382917">
        <w:t>a</w:t>
      </w:r>
      <w:r w:rsidR="00EE4FC3">
        <w:t xml:space="preserve"> </w:t>
      </w:r>
      <w:r w:rsidRPr="00382917">
        <w:t>false</w:t>
      </w:r>
      <w:r w:rsidR="00EE4FC3">
        <w:t xml:space="preserve"> </w:t>
      </w:r>
      <w:r w:rsidRPr="00382917">
        <w:t>prophet</w:t>
      </w:r>
      <w:r w:rsidR="003C712C">
        <w:t xml:space="preserve">?  </w:t>
      </w:r>
      <w:r w:rsidRPr="00382917">
        <w:t>After</w:t>
      </w:r>
      <w:r w:rsidR="00EE4FC3">
        <w:t xml:space="preserve"> </w:t>
      </w:r>
      <w:r w:rsidRPr="00382917">
        <w:t>all,</w:t>
      </w:r>
      <w:r w:rsidR="00EE4FC3">
        <w:t xml:space="preserve"> </w:t>
      </w:r>
      <w:r w:rsidRPr="00382917">
        <w:t>Christ</w:t>
      </w:r>
      <w:r w:rsidR="00EE4FC3">
        <w:t xml:space="preserve"> </w:t>
      </w:r>
      <w:r w:rsidRPr="00382917">
        <w:rPr>
          <w:i/>
          <w:iCs/>
        </w:rPr>
        <w:t>did</w:t>
      </w:r>
      <w:r w:rsidR="00EE4FC3">
        <w:t xml:space="preserve"> </w:t>
      </w:r>
      <w:r w:rsidRPr="00382917">
        <w:t>warn</w:t>
      </w:r>
      <w:r w:rsidR="00EE4FC3">
        <w:t xml:space="preserve"> </w:t>
      </w:r>
      <w:r w:rsidRPr="00382917">
        <w:t>His</w:t>
      </w:r>
      <w:r w:rsidR="00EE4FC3">
        <w:t xml:space="preserve"> </w:t>
      </w:r>
      <w:r w:rsidRPr="00382917">
        <w:t>followers</w:t>
      </w:r>
      <w:r w:rsidR="00EE4FC3">
        <w:t xml:space="preserve"> </w:t>
      </w:r>
      <w:r w:rsidRPr="00382917">
        <w:t>to</w:t>
      </w:r>
      <w:r w:rsidR="00EE4FC3">
        <w:t xml:space="preserve"> </w:t>
      </w:r>
      <w:r w:rsidRPr="00382917">
        <w:t>beware</w:t>
      </w:r>
      <w:r w:rsidR="00EE4FC3">
        <w:t xml:space="preserve"> </w:t>
      </w:r>
      <w:r w:rsidRPr="00382917">
        <w:t>of</w:t>
      </w:r>
      <w:r w:rsidR="00EE4FC3">
        <w:t xml:space="preserve"> </w:t>
      </w:r>
      <w:r w:rsidRPr="00382917">
        <w:t>false</w:t>
      </w:r>
      <w:r w:rsidR="00EE4FC3">
        <w:t xml:space="preserve"> </w:t>
      </w:r>
      <w:r w:rsidRPr="00382917">
        <w:t>prophets.</w:t>
      </w:r>
    </w:p>
    <w:p w:rsidR="00300E83" w:rsidRPr="00382917" w:rsidRDefault="00300E83" w:rsidP="00650F8F">
      <w:pPr>
        <w:pStyle w:val="Text"/>
      </w:pPr>
      <w:r w:rsidRPr="00382917">
        <w:t>In</w:t>
      </w:r>
      <w:r w:rsidR="00EE4FC3">
        <w:t xml:space="preserve"> </w:t>
      </w:r>
      <w:r w:rsidRPr="00382917">
        <w:t>the</w:t>
      </w:r>
      <w:r w:rsidR="00EE4FC3">
        <w:t xml:space="preserve"> </w:t>
      </w:r>
      <w:r w:rsidRPr="00382917">
        <w:t>twenty</w:t>
      </w:r>
      <w:r w:rsidR="00EE4FC3">
        <w:t xml:space="preserve"> </w:t>
      </w:r>
      <w:r w:rsidRPr="00382917">
        <w:t>fourth</w:t>
      </w:r>
      <w:r w:rsidR="00EE4FC3">
        <w:t xml:space="preserve"> </w:t>
      </w:r>
      <w:r w:rsidRPr="00382917">
        <w:t>chapter</w:t>
      </w:r>
      <w:r w:rsidR="00EE4FC3">
        <w:t xml:space="preserve"> </w:t>
      </w:r>
      <w:r w:rsidRPr="00382917">
        <w:t>of</w:t>
      </w:r>
      <w:r w:rsidR="00EE4FC3">
        <w:t xml:space="preserve"> </w:t>
      </w:r>
      <w:r w:rsidRPr="00382917">
        <w:t>Matthew,</w:t>
      </w:r>
      <w:r w:rsidR="00EE4FC3">
        <w:t xml:space="preserve"> </w:t>
      </w:r>
      <w:r w:rsidRPr="00382917">
        <w:t>in</w:t>
      </w:r>
      <w:r w:rsidR="00EE4FC3">
        <w:t xml:space="preserve"> </w:t>
      </w:r>
      <w:r w:rsidRPr="00382917">
        <w:t>which</w:t>
      </w:r>
      <w:r w:rsidR="00EE4FC3">
        <w:t xml:space="preserve"> </w:t>
      </w:r>
      <w:r w:rsidRPr="00382917">
        <w:t>Christ</w:t>
      </w:r>
      <w:r w:rsidR="00EE4FC3">
        <w:t xml:space="preserve"> </w:t>
      </w:r>
      <w:r w:rsidRPr="00382917">
        <w:t>so</w:t>
      </w:r>
      <w:r w:rsidR="00EE4FC3">
        <w:t xml:space="preserve"> </w:t>
      </w:r>
      <w:r w:rsidRPr="00382917">
        <w:t>clearly</w:t>
      </w:r>
      <w:r w:rsidR="00EE4FC3">
        <w:t xml:space="preserve"> </w:t>
      </w:r>
      <w:r w:rsidRPr="00382917">
        <w:t>foretold</w:t>
      </w:r>
      <w:r w:rsidR="00EE4FC3">
        <w:t xml:space="preserve"> </w:t>
      </w:r>
      <w:r w:rsidRPr="00382917">
        <w:t>His</w:t>
      </w:r>
      <w:r w:rsidR="00EE4FC3">
        <w:t xml:space="preserve"> </w:t>
      </w:r>
      <w:r w:rsidRPr="00382917">
        <w:t>own</w:t>
      </w:r>
      <w:r w:rsidR="00EE4FC3">
        <w:t xml:space="preserve"> </w:t>
      </w:r>
      <w:r w:rsidRPr="00382917">
        <w:t>return</w:t>
      </w:r>
      <w:r w:rsidR="00EE4FC3">
        <w:t xml:space="preserve"> </w:t>
      </w:r>
      <w:r w:rsidRPr="00382917">
        <w:t>in</w:t>
      </w:r>
      <w:r w:rsidR="00EE4FC3">
        <w:t xml:space="preserve"> </w:t>
      </w:r>
      <w:r w:rsidRPr="00382917">
        <w:t>1844,</w:t>
      </w:r>
      <w:r w:rsidR="00EE4FC3">
        <w:t xml:space="preserve"> </w:t>
      </w:r>
      <w:r w:rsidRPr="00382917">
        <w:t>we</w:t>
      </w:r>
      <w:r w:rsidR="00EE4FC3">
        <w:t xml:space="preserve"> </w:t>
      </w:r>
      <w:r w:rsidRPr="00382917">
        <w:t>also</w:t>
      </w:r>
      <w:r w:rsidR="00EE4FC3">
        <w:t xml:space="preserve"> </w:t>
      </w:r>
      <w:r w:rsidRPr="00382917">
        <w:t>find</w:t>
      </w:r>
      <w:r w:rsidR="00EE4FC3">
        <w:t xml:space="preserve"> </w:t>
      </w:r>
      <w:r w:rsidRPr="00382917">
        <w:t>one</w:t>
      </w:r>
      <w:r w:rsidR="00EE4FC3">
        <w:t xml:space="preserve"> </w:t>
      </w:r>
      <w:r w:rsidRPr="00382917">
        <w:t>of</w:t>
      </w:r>
      <w:r w:rsidR="00EE4FC3">
        <w:t xml:space="preserve"> </w:t>
      </w:r>
      <w:r w:rsidRPr="00382917">
        <w:t>His</w:t>
      </w:r>
      <w:r w:rsidR="00EE4FC3">
        <w:t xml:space="preserve"> </w:t>
      </w:r>
      <w:r w:rsidRPr="00382917">
        <w:t>strongest</w:t>
      </w:r>
      <w:r w:rsidR="00EE4FC3">
        <w:t xml:space="preserve"> </w:t>
      </w:r>
      <w:r w:rsidRPr="00382917">
        <w:t>warnings</w:t>
      </w:r>
      <w:r w:rsidR="00EE4FC3">
        <w:t xml:space="preserve"> </w:t>
      </w:r>
      <w:r w:rsidRPr="00382917">
        <w:t>about</w:t>
      </w:r>
      <w:r w:rsidR="00EE4FC3">
        <w:t xml:space="preserve"> </w:t>
      </w:r>
      <w:r w:rsidRPr="00382917">
        <w:t>the</w:t>
      </w:r>
      <w:r w:rsidR="00EE4FC3">
        <w:t xml:space="preserve"> </w:t>
      </w:r>
      <w:r w:rsidRPr="00382917">
        <w:rPr>
          <w:i/>
          <w:iCs/>
        </w:rPr>
        <w:t>last</w:t>
      </w:r>
      <w:r w:rsidR="00EE4FC3">
        <w:rPr>
          <w:i/>
          <w:iCs/>
        </w:rPr>
        <w:t xml:space="preserve"> </w:t>
      </w:r>
      <w:r w:rsidRPr="00382917">
        <w:rPr>
          <w:i/>
          <w:iCs/>
        </w:rPr>
        <w:t>days</w:t>
      </w:r>
      <w:r w:rsidR="00EE4FC3">
        <w:t xml:space="preserve"> </w:t>
      </w:r>
      <w:r w:rsidRPr="00382917">
        <w:t>and</w:t>
      </w:r>
      <w:r w:rsidR="00EE4FC3">
        <w:t xml:space="preserve"> </w:t>
      </w:r>
      <w:r w:rsidRPr="00382917">
        <w:rPr>
          <w:i/>
          <w:iCs/>
        </w:rPr>
        <w:t>false</w:t>
      </w:r>
      <w:r w:rsidR="00EE4FC3">
        <w:rPr>
          <w:i/>
          <w:iCs/>
        </w:rPr>
        <w:t xml:space="preserve"> </w:t>
      </w:r>
      <w:r w:rsidRPr="00382917">
        <w:rPr>
          <w:i/>
          <w:iCs/>
        </w:rPr>
        <w:t>prophets</w:t>
      </w:r>
      <w:r w:rsidRPr="00382917">
        <w:t>:</w:t>
      </w:r>
    </w:p>
    <w:p w:rsidR="00300E83" w:rsidRPr="00382917" w:rsidRDefault="009C713D" w:rsidP="002B6A79">
      <w:pPr>
        <w:pStyle w:val="Quote"/>
      </w:pPr>
      <w:r w:rsidRPr="00382917">
        <w:t>“</w:t>
      </w:r>
      <w:r w:rsidR="00300E83" w:rsidRPr="00382917">
        <w:t>Then</w:t>
      </w:r>
      <w:r w:rsidR="00EE4FC3">
        <w:t xml:space="preserve"> </w:t>
      </w:r>
      <w:r w:rsidR="00300E83" w:rsidRPr="00382917">
        <w:t>if</w:t>
      </w:r>
      <w:r w:rsidR="00EE4FC3">
        <w:t xml:space="preserve"> </w:t>
      </w:r>
      <w:r w:rsidR="00300E83" w:rsidRPr="00382917">
        <w:t>any</w:t>
      </w:r>
      <w:r w:rsidR="00EE4FC3">
        <w:t xml:space="preserve"> </w:t>
      </w:r>
      <w:r w:rsidR="00300E83" w:rsidRPr="00382917">
        <w:t>man</w:t>
      </w:r>
      <w:r w:rsidR="00EE4FC3">
        <w:t xml:space="preserve"> </w:t>
      </w:r>
      <w:r w:rsidR="00300E83" w:rsidRPr="00382917">
        <w:t>shall</w:t>
      </w:r>
      <w:r w:rsidR="00EE4FC3">
        <w:t xml:space="preserve"> </w:t>
      </w:r>
      <w:r w:rsidR="00300E83" w:rsidRPr="00382917">
        <w:t>say</w:t>
      </w:r>
      <w:r w:rsidR="00EE4FC3">
        <w:t xml:space="preserve"> </w:t>
      </w:r>
      <w:r w:rsidR="00300E83" w:rsidRPr="00382917">
        <w:t>unto</w:t>
      </w:r>
      <w:r w:rsidR="00EE4FC3">
        <w:t xml:space="preserve"> </w:t>
      </w:r>
      <w:r w:rsidR="00300E83" w:rsidRPr="00382917">
        <w:t>you,</w:t>
      </w:r>
      <w:r w:rsidR="00EE4FC3">
        <w:t xml:space="preserve"> </w:t>
      </w:r>
      <w:r w:rsidR="00300E83" w:rsidRPr="00382917">
        <w:t>Lo,</w:t>
      </w:r>
      <w:r w:rsidR="00EE4FC3">
        <w:t xml:space="preserve"> </w:t>
      </w:r>
      <w:r w:rsidR="00300E83" w:rsidRPr="00382917">
        <w:t>here</w:t>
      </w:r>
      <w:r w:rsidR="00EE4FC3">
        <w:t xml:space="preserve"> </w:t>
      </w:r>
      <w:r w:rsidR="00300E83" w:rsidRPr="00382917">
        <w:t>is</w:t>
      </w:r>
      <w:r w:rsidR="00EE4FC3">
        <w:t xml:space="preserve"> </w:t>
      </w:r>
      <w:r w:rsidR="00300E83" w:rsidRPr="00382917">
        <w:t>Christ,</w:t>
      </w:r>
      <w:r w:rsidR="00EE4FC3">
        <w:t xml:space="preserve"> </w:t>
      </w:r>
      <w:r w:rsidR="00300E83" w:rsidRPr="00382917">
        <w:t>or</w:t>
      </w:r>
      <w:r w:rsidR="00EE4FC3">
        <w:t xml:space="preserve"> </w:t>
      </w:r>
      <w:r w:rsidR="00300E83" w:rsidRPr="00382917">
        <w:t>there;</w:t>
      </w:r>
      <w:r w:rsidR="00EE4FC3">
        <w:t xml:space="preserve"> </w:t>
      </w:r>
      <w:r w:rsidR="00300E83" w:rsidRPr="00382917">
        <w:t>believe</w:t>
      </w:r>
      <w:r w:rsidR="00EE4FC3">
        <w:t xml:space="preserve"> </w:t>
      </w:r>
      <w:r w:rsidR="00300E83" w:rsidRPr="00382917">
        <w:t>it</w:t>
      </w:r>
      <w:r w:rsidR="00EE4FC3">
        <w:t xml:space="preserve"> </w:t>
      </w:r>
      <w:r w:rsidR="00300E83" w:rsidRPr="00382917">
        <w:t>not</w:t>
      </w:r>
      <w:r w:rsidR="00552489">
        <w:t>.</w:t>
      </w:r>
      <w:r w:rsidR="00EE4FC3">
        <w:t xml:space="preserve">  </w:t>
      </w:r>
      <w:proofErr w:type="gramStart"/>
      <w:r w:rsidR="00300E83" w:rsidRPr="00382917">
        <w:t>For</w:t>
      </w:r>
      <w:r w:rsidR="00EE4FC3">
        <w:t xml:space="preserve"> </w:t>
      </w:r>
      <w:r w:rsidR="00300E83" w:rsidRPr="00382917">
        <w:t>there</w:t>
      </w:r>
      <w:r w:rsidR="00EE4FC3">
        <w:t xml:space="preserve"> </w:t>
      </w:r>
      <w:r w:rsidR="00300E83" w:rsidRPr="00382917">
        <w:t>shall</w:t>
      </w:r>
      <w:r w:rsidR="00EE4FC3">
        <w:t xml:space="preserve"> </w:t>
      </w:r>
      <w:r w:rsidR="00300E83" w:rsidRPr="00382917">
        <w:t>arise</w:t>
      </w:r>
      <w:r w:rsidR="00EE4FC3">
        <w:t xml:space="preserve"> </w:t>
      </w:r>
      <w:r w:rsidR="00300E83" w:rsidRPr="00382917">
        <w:t>false</w:t>
      </w:r>
      <w:r w:rsidR="00EE4FC3">
        <w:t xml:space="preserve"> </w:t>
      </w:r>
      <w:r w:rsidR="00300E83" w:rsidRPr="00382917">
        <w:t>Christs,</w:t>
      </w:r>
      <w:r w:rsidR="00EE4FC3">
        <w:t xml:space="preserve"> </w:t>
      </w:r>
      <w:r w:rsidR="00300E83" w:rsidRPr="00382917">
        <w:t>and</w:t>
      </w:r>
      <w:r w:rsidR="00EE4FC3">
        <w:t xml:space="preserve"> </w:t>
      </w:r>
      <w:r w:rsidR="00300E83" w:rsidRPr="00382917">
        <w:t>false</w:t>
      </w:r>
      <w:r w:rsidR="00EE4FC3">
        <w:t xml:space="preserve"> </w:t>
      </w:r>
      <w:r w:rsidR="00300E83" w:rsidRPr="00382917">
        <w:t>prophets,</w:t>
      </w:r>
      <w:r w:rsidR="00EE4FC3">
        <w:t xml:space="preserve"> </w:t>
      </w:r>
      <w:r w:rsidR="00300E83" w:rsidRPr="00382917">
        <w:t>and</w:t>
      </w:r>
      <w:r w:rsidR="00EE4FC3">
        <w:t xml:space="preserve"> </w:t>
      </w:r>
      <w:r w:rsidR="00300E83" w:rsidRPr="00382917">
        <w:t>shall</w:t>
      </w:r>
      <w:r w:rsidR="00EE4FC3">
        <w:t xml:space="preserve"> </w:t>
      </w:r>
      <w:r w:rsidR="00300E83" w:rsidRPr="00382917">
        <w:t>shew</w:t>
      </w:r>
      <w:r w:rsidR="00EE4FC3">
        <w:t xml:space="preserve"> </w:t>
      </w:r>
      <w:r w:rsidR="00300E83" w:rsidRPr="00382917">
        <w:t>great</w:t>
      </w:r>
      <w:r w:rsidR="00EE4FC3">
        <w:t xml:space="preserve"> </w:t>
      </w:r>
      <w:r w:rsidR="00300E83" w:rsidRPr="00382917">
        <w:t>signs</w:t>
      </w:r>
      <w:r w:rsidR="00EE4FC3">
        <w:t xml:space="preserve"> </w:t>
      </w:r>
      <w:r w:rsidR="00300E83" w:rsidRPr="00382917">
        <w:t>and</w:t>
      </w:r>
      <w:r w:rsidR="00EE4FC3">
        <w:t xml:space="preserve"> </w:t>
      </w:r>
      <w:r w:rsidR="00300E83" w:rsidRPr="00382917">
        <w:t>wonders;</w:t>
      </w:r>
      <w:r w:rsidR="00EE4FC3">
        <w:t xml:space="preserve"> </w:t>
      </w:r>
      <w:r w:rsidR="00300E83" w:rsidRPr="00382917">
        <w:t>insomuch</w:t>
      </w:r>
      <w:r w:rsidR="00EE4FC3">
        <w:t xml:space="preserve"> </w:t>
      </w:r>
      <w:r w:rsidR="00300E83" w:rsidRPr="00382917">
        <w:t>that,</w:t>
      </w:r>
      <w:r w:rsidR="00EE4FC3">
        <w:t xml:space="preserve"> </w:t>
      </w:r>
      <w:r w:rsidR="00300E83" w:rsidRPr="00382917">
        <w:t>if</w:t>
      </w:r>
      <w:r w:rsidR="00EE4FC3">
        <w:t xml:space="preserve"> </w:t>
      </w:r>
      <w:r w:rsidR="00300E83" w:rsidRPr="00382917">
        <w:t>it</w:t>
      </w:r>
      <w:r w:rsidR="00EE4FC3">
        <w:t xml:space="preserve"> </w:t>
      </w:r>
      <w:r w:rsidR="00300E83" w:rsidRPr="00382917">
        <w:t>were</w:t>
      </w:r>
      <w:r w:rsidR="00EE4FC3">
        <w:t xml:space="preserve"> </w:t>
      </w:r>
      <w:r w:rsidR="00300E83" w:rsidRPr="00382917">
        <w:t>possible,</w:t>
      </w:r>
      <w:r w:rsidR="00EE4FC3">
        <w:t xml:space="preserve"> </w:t>
      </w:r>
      <w:r w:rsidR="00300E83" w:rsidRPr="00382917">
        <w:t>they</w:t>
      </w:r>
      <w:r w:rsidR="00EE4FC3">
        <w:t xml:space="preserve"> </w:t>
      </w:r>
      <w:r w:rsidR="00300E83" w:rsidRPr="00382917">
        <w:t>shall</w:t>
      </w:r>
      <w:r w:rsidR="00EE4FC3">
        <w:t xml:space="preserve"> </w:t>
      </w:r>
      <w:r w:rsidR="00300E83" w:rsidRPr="00382917">
        <w:t>deceive</w:t>
      </w:r>
      <w:r w:rsidR="00EE4FC3">
        <w:t xml:space="preserve"> </w:t>
      </w:r>
      <w:r w:rsidR="00300E83" w:rsidRPr="00382917">
        <w:t>the</w:t>
      </w:r>
      <w:r w:rsidR="00EE4FC3">
        <w:t xml:space="preserve"> </w:t>
      </w:r>
      <w:r w:rsidR="00300E83" w:rsidRPr="00382917">
        <w:t>very</w:t>
      </w:r>
      <w:r w:rsidR="00EE4FC3">
        <w:t xml:space="preserve"> </w:t>
      </w:r>
      <w:r w:rsidR="00300E83" w:rsidRPr="00382917">
        <w:t>elect.</w:t>
      </w:r>
      <w:r w:rsidRPr="00382917">
        <w:t>”</w:t>
      </w:r>
      <w:proofErr w:type="gramEnd"/>
      <w:r w:rsidR="002B6A79">
        <w:rPr>
          <w:rStyle w:val="FootnoteReference"/>
        </w:rPr>
        <w:footnoteReference w:id="327"/>
      </w:r>
    </w:p>
    <w:p w:rsidR="00300E83" w:rsidRPr="00382917" w:rsidRDefault="00300E83" w:rsidP="00650F8F">
      <w:pPr>
        <w:pStyle w:val="Text"/>
      </w:pPr>
      <w:r w:rsidRPr="00382917">
        <w:t>Here</w:t>
      </w:r>
      <w:r w:rsidR="00EE4FC3">
        <w:t xml:space="preserve"> </w:t>
      </w:r>
      <w:r w:rsidRPr="00382917">
        <w:t>Jesus</w:t>
      </w:r>
      <w:r w:rsidR="00EE4FC3">
        <w:t xml:space="preserve"> </w:t>
      </w:r>
      <w:r w:rsidRPr="00382917">
        <w:t>prophesies</w:t>
      </w:r>
      <w:r w:rsidR="00EE4FC3">
        <w:t xml:space="preserve"> </w:t>
      </w:r>
      <w:r w:rsidRPr="00382917">
        <w:t>the</w:t>
      </w:r>
      <w:r w:rsidR="00EE4FC3">
        <w:t xml:space="preserve"> </w:t>
      </w:r>
      <w:r w:rsidRPr="00382917">
        <w:t>coming</w:t>
      </w:r>
      <w:r w:rsidR="00EE4FC3">
        <w:t xml:space="preserve"> </w:t>
      </w:r>
      <w:r w:rsidRPr="00382917">
        <w:t>of</w:t>
      </w:r>
      <w:r w:rsidR="00EE4FC3">
        <w:t xml:space="preserve"> </w:t>
      </w:r>
      <w:r w:rsidRPr="00382917">
        <w:t>not</w:t>
      </w:r>
      <w:r w:rsidR="00EE4FC3">
        <w:t xml:space="preserve"> </w:t>
      </w:r>
      <w:r w:rsidRPr="00382917">
        <w:t>one,</w:t>
      </w:r>
      <w:r w:rsidR="00EE4FC3">
        <w:t xml:space="preserve"> </w:t>
      </w:r>
      <w:r w:rsidRPr="00382917">
        <w:t>but</w:t>
      </w:r>
      <w:r w:rsidR="00EE4FC3">
        <w:t xml:space="preserve"> </w:t>
      </w:r>
      <w:r w:rsidRPr="00382917">
        <w:t>of</w:t>
      </w:r>
      <w:r w:rsidR="00EE4FC3">
        <w:t xml:space="preserve"> </w:t>
      </w:r>
      <w:r w:rsidRPr="00382917">
        <w:t>many</w:t>
      </w:r>
      <w:r w:rsidR="00EE4FC3">
        <w:t xml:space="preserve"> </w:t>
      </w:r>
      <w:r w:rsidRPr="00382917">
        <w:t>false</w:t>
      </w:r>
      <w:r w:rsidR="00EE4FC3">
        <w:t xml:space="preserve"> </w:t>
      </w:r>
      <w:r w:rsidRPr="00382917">
        <w:t>Christs</w:t>
      </w:r>
      <w:r w:rsidR="00EE4FC3">
        <w:t xml:space="preserve"> </w:t>
      </w:r>
      <w:r w:rsidRPr="00382917">
        <w:t>and</w:t>
      </w:r>
      <w:r w:rsidR="00EE4FC3">
        <w:t xml:space="preserve"> </w:t>
      </w:r>
      <w:r w:rsidRPr="00382917">
        <w:t>false</w:t>
      </w:r>
      <w:r w:rsidR="00EE4FC3">
        <w:t xml:space="preserve"> </w:t>
      </w:r>
      <w:r w:rsidRPr="00382917">
        <w:t>prophets</w:t>
      </w:r>
      <w:r w:rsidR="00552489">
        <w:t>.</w:t>
      </w:r>
      <w:r w:rsidR="00EE4FC3">
        <w:t xml:space="preserve">  </w:t>
      </w:r>
      <w:r w:rsidRPr="00382917">
        <w:t>He</w:t>
      </w:r>
      <w:r w:rsidR="00EE4FC3">
        <w:t xml:space="preserve"> </w:t>
      </w:r>
      <w:r w:rsidRPr="00382917">
        <w:t>points</w:t>
      </w:r>
      <w:r w:rsidR="00EE4FC3">
        <w:t xml:space="preserve"> </w:t>
      </w:r>
      <w:r w:rsidRPr="00382917">
        <w:t>out</w:t>
      </w:r>
      <w:r w:rsidR="00EE4FC3">
        <w:t xml:space="preserve"> </w:t>
      </w:r>
      <w:r w:rsidRPr="00382917">
        <w:t>that</w:t>
      </w:r>
      <w:r w:rsidR="00EE4FC3">
        <w:t xml:space="preserve"> </w:t>
      </w:r>
      <w:r w:rsidRPr="00382917">
        <w:t>they</w:t>
      </w:r>
      <w:r w:rsidR="00EE4FC3">
        <w:t xml:space="preserve"> </w:t>
      </w:r>
      <w:r w:rsidRPr="00382917">
        <w:t>will</w:t>
      </w:r>
      <w:r w:rsidR="00EE4FC3">
        <w:t xml:space="preserve"> </w:t>
      </w:r>
      <w:r w:rsidRPr="00382917">
        <w:t>work</w:t>
      </w:r>
      <w:r w:rsidR="00EE4FC3">
        <w:t xml:space="preserve"> </w:t>
      </w:r>
      <w:r w:rsidRPr="00382917">
        <w:t>such</w:t>
      </w:r>
      <w:r w:rsidR="00EE4FC3">
        <w:t xml:space="preserve"> </w:t>
      </w:r>
      <w:r w:rsidRPr="00382917">
        <w:t>astonishing</w:t>
      </w:r>
      <w:r w:rsidR="00EE4FC3">
        <w:t xml:space="preserve"> </w:t>
      </w:r>
      <w:r w:rsidRPr="00382917">
        <w:t>wonders</w:t>
      </w:r>
      <w:r w:rsidR="00EE4FC3">
        <w:t xml:space="preserve"> </w:t>
      </w:r>
      <w:r w:rsidRPr="00382917">
        <w:t>that</w:t>
      </w:r>
      <w:r w:rsidR="00EE4FC3">
        <w:t xml:space="preserve"> </w:t>
      </w:r>
      <w:r w:rsidRPr="00382917">
        <w:t>they</w:t>
      </w:r>
      <w:r w:rsidR="00EE4FC3">
        <w:t xml:space="preserve"> </w:t>
      </w:r>
      <w:r w:rsidRPr="00382917">
        <w:t>will</w:t>
      </w:r>
      <w:r w:rsidR="00EE4FC3">
        <w:t xml:space="preserve"> </w:t>
      </w:r>
      <w:r w:rsidRPr="00382917">
        <w:t>deceive</w:t>
      </w:r>
      <w:r w:rsidR="00EE4FC3">
        <w:t xml:space="preserve"> </w:t>
      </w:r>
      <w:r w:rsidRPr="00382917">
        <w:t>even</w:t>
      </w:r>
      <w:r w:rsidR="00EE4FC3">
        <w:t xml:space="preserve"> </w:t>
      </w:r>
      <w:r w:rsidRPr="00382917">
        <w:t>the</w:t>
      </w:r>
      <w:r w:rsidR="00EE4FC3">
        <w:t xml:space="preserve"> </w:t>
      </w:r>
      <w:r w:rsidRPr="00382917">
        <w:t>elect—His</w:t>
      </w:r>
      <w:r w:rsidR="00EE4FC3">
        <w:t xml:space="preserve"> </w:t>
      </w:r>
      <w:r w:rsidRPr="00382917">
        <w:t>own</w:t>
      </w:r>
      <w:r w:rsidR="00EE4FC3">
        <w:t xml:space="preserve"> </w:t>
      </w:r>
      <w:r w:rsidRPr="00382917">
        <w:t>followers,</w:t>
      </w:r>
      <w:r w:rsidR="00EE4FC3">
        <w:t xml:space="preserve"> </w:t>
      </w:r>
      <w:r w:rsidRPr="00382917">
        <w:t>the</w:t>
      </w:r>
      <w:r w:rsidR="00EE4FC3">
        <w:t xml:space="preserve"> </w:t>
      </w:r>
      <w:r w:rsidRPr="00382917">
        <w:t>Christians.</w:t>
      </w:r>
    </w:p>
    <w:p w:rsidR="00300E83" w:rsidRPr="00382917" w:rsidRDefault="00300E83" w:rsidP="00650F8F">
      <w:pPr>
        <w:pStyle w:val="Text"/>
      </w:pPr>
      <w:r w:rsidRPr="00382917">
        <w:t>There</w:t>
      </w:r>
      <w:r w:rsidR="00EE4FC3">
        <w:t xml:space="preserve"> </w:t>
      </w:r>
      <w:r w:rsidRPr="00382917">
        <w:t>are</w:t>
      </w:r>
      <w:r w:rsidR="00EE4FC3">
        <w:t xml:space="preserve"> </w:t>
      </w:r>
      <w:r w:rsidR="009C713D" w:rsidRPr="00382917">
        <w:t>“</w:t>
      </w:r>
      <w:r w:rsidRPr="00382917">
        <w:t>false</w:t>
      </w:r>
      <w:r w:rsidR="00EE4FC3">
        <w:t xml:space="preserve"> </w:t>
      </w:r>
      <w:r w:rsidRPr="00382917">
        <w:t>prophets</w:t>
      </w:r>
      <w:r w:rsidR="009C713D" w:rsidRPr="00382917">
        <w:t>”</w:t>
      </w:r>
      <w:r w:rsidR="00EE4FC3">
        <w:t xml:space="preserve"> </w:t>
      </w:r>
      <w:r w:rsidRPr="00382917">
        <w:t>who</w:t>
      </w:r>
      <w:r w:rsidR="00EE4FC3">
        <w:t xml:space="preserve"> </w:t>
      </w:r>
      <w:r w:rsidRPr="00382917">
        <w:t>deceive</w:t>
      </w:r>
      <w:r w:rsidR="00EE4FC3">
        <w:t xml:space="preserve"> </w:t>
      </w:r>
      <w:r w:rsidRPr="00382917">
        <w:t>many</w:t>
      </w:r>
      <w:r w:rsidR="00EE4FC3">
        <w:t xml:space="preserve"> </w:t>
      </w:r>
      <w:r w:rsidRPr="00382917">
        <w:t>of</w:t>
      </w:r>
      <w:r w:rsidR="00EE4FC3">
        <w:t xml:space="preserve"> </w:t>
      </w:r>
      <w:r w:rsidRPr="00382917">
        <w:t>the</w:t>
      </w:r>
      <w:r w:rsidR="00EE4FC3">
        <w:t xml:space="preserve"> </w:t>
      </w:r>
      <w:r w:rsidR="009C713D" w:rsidRPr="00382917">
        <w:t>“</w:t>
      </w:r>
      <w:r w:rsidRPr="00382917">
        <w:t>elect</w:t>
      </w:r>
      <w:r w:rsidR="009C713D" w:rsidRPr="00382917">
        <w:t>”</w:t>
      </w:r>
      <w:r w:rsidR="00EE4FC3">
        <w:t xml:space="preserve"> </w:t>
      </w:r>
      <w:r w:rsidRPr="00382917">
        <w:t>in</w:t>
      </w:r>
      <w:r w:rsidR="00EE4FC3">
        <w:t xml:space="preserve"> </w:t>
      </w:r>
      <w:r w:rsidRPr="00382917">
        <w:t>every</w:t>
      </w:r>
      <w:r w:rsidR="00EE4FC3">
        <w:t xml:space="preserve"> </w:t>
      </w:r>
      <w:r w:rsidRPr="00382917">
        <w:t>age</w:t>
      </w:r>
      <w:r w:rsidR="00552489">
        <w:t>.</w:t>
      </w:r>
      <w:r w:rsidR="00EE4FC3">
        <w:t xml:space="preserve">  </w:t>
      </w:r>
      <w:r w:rsidRPr="00382917">
        <w:t>These</w:t>
      </w:r>
      <w:r w:rsidR="00EE4FC3">
        <w:t xml:space="preserve"> </w:t>
      </w:r>
      <w:r w:rsidRPr="00382917">
        <w:t>false</w:t>
      </w:r>
      <w:r w:rsidR="00EE4FC3">
        <w:t xml:space="preserve"> </w:t>
      </w:r>
      <w:r w:rsidRPr="00382917">
        <w:t>prophets</w:t>
      </w:r>
      <w:r w:rsidR="00EE4FC3">
        <w:t xml:space="preserve"> </w:t>
      </w:r>
      <w:r w:rsidRPr="00382917">
        <w:t>do</w:t>
      </w:r>
      <w:r w:rsidR="00EE4FC3">
        <w:t xml:space="preserve"> </w:t>
      </w:r>
      <w:r w:rsidRPr="00382917">
        <w:t>not</w:t>
      </w:r>
      <w:r w:rsidR="00EE4FC3">
        <w:t xml:space="preserve"> </w:t>
      </w:r>
      <w:r w:rsidRPr="00382917">
        <w:t>always</w:t>
      </w:r>
      <w:r w:rsidR="00EE4FC3">
        <w:t xml:space="preserve"> </w:t>
      </w:r>
      <w:r w:rsidRPr="00382917">
        <w:t>appear</w:t>
      </w:r>
      <w:r w:rsidR="00EE4FC3">
        <w:t xml:space="preserve"> </w:t>
      </w:r>
      <w:r w:rsidRPr="00382917">
        <w:t>in</w:t>
      </w:r>
      <w:r w:rsidR="00EE4FC3">
        <w:t xml:space="preserve"> </w:t>
      </w:r>
      <w:r w:rsidRPr="00382917">
        <w:t>the</w:t>
      </w:r>
      <w:r w:rsidR="00EE4FC3">
        <w:t xml:space="preserve"> </w:t>
      </w:r>
      <w:r w:rsidRPr="00382917">
        <w:t>guise</w:t>
      </w:r>
      <w:r w:rsidR="00EE4FC3">
        <w:t xml:space="preserve"> </w:t>
      </w:r>
      <w:r w:rsidRPr="00382917">
        <w:t>of</w:t>
      </w:r>
      <w:r w:rsidR="00EE4FC3">
        <w:t xml:space="preserve"> </w:t>
      </w:r>
      <w:r w:rsidRPr="00382917">
        <w:t>religion</w:t>
      </w:r>
      <w:r w:rsidR="00552489">
        <w:t>.</w:t>
      </w:r>
      <w:r w:rsidR="00EE4FC3">
        <w:t xml:space="preserve">  </w:t>
      </w:r>
      <w:r w:rsidRPr="00382917">
        <w:t>There</w:t>
      </w:r>
      <w:r w:rsidR="00EE4FC3">
        <w:t xml:space="preserve"> </w:t>
      </w:r>
      <w:r w:rsidRPr="00382917">
        <w:t>is</w:t>
      </w:r>
      <w:r w:rsidR="00EE4FC3">
        <w:t xml:space="preserve"> </w:t>
      </w:r>
      <w:r w:rsidRPr="00382917">
        <w:t>the</w:t>
      </w:r>
      <w:r w:rsidR="00EE4FC3">
        <w:t xml:space="preserve"> </w:t>
      </w:r>
      <w:r w:rsidR="009C713D" w:rsidRPr="00382917">
        <w:t>“</w:t>
      </w:r>
      <w:r w:rsidRPr="00382917">
        <w:t>false</w:t>
      </w:r>
      <w:r w:rsidR="00EE4FC3">
        <w:t xml:space="preserve"> </w:t>
      </w:r>
      <w:r w:rsidRPr="00382917">
        <w:t>prophet</w:t>
      </w:r>
      <w:r w:rsidR="009C713D" w:rsidRPr="00382917">
        <w:t>”</w:t>
      </w:r>
      <w:r w:rsidR="00EE4FC3">
        <w:t xml:space="preserve"> </w:t>
      </w:r>
      <w:r w:rsidRPr="00382917">
        <w:t>who</w:t>
      </w:r>
      <w:r w:rsidR="00EE4FC3">
        <w:t xml:space="preserve"> </w:t>
      </w:r>
      <w:r w:rsidRPr="00382917">
        <w:t>teaches</w:t>
      </w:r>
      <w:r w:rsidR="00EE4FC3">
        <w:t xml:space="preserve"> </w:t>
      </w:r>
      <w:r w:rsidRPr="00382917">
        <w:t>that</w:t>
      </w:r>
      <w:r w:rsidR="00EE4FC3">
        <w:t xml:space="preserve"> </w:t>
      </w:r>
      <w:r w:rsidRPr="00382917">
        <w:t>there</w:t>
      </w:r>
      <w:r w:rsidR="00EE4FC3">
        <w:t xml:space="preserve"> </w:t>
      </w:r>
      <w:r w:rsidRPr="00382917">
        <w:t>is</w:t>
      </w:r>
      <w:r w:rsidR="00EE4FC3">
        <w:t xml:space="preserve"> </w:t>
      </w:r>
      <w:r w:rsidRPr="00382917">
        <w:t>no</w:t>
      </w:r>
      <w:r w:rsidR="00EE4FC3">
        <w:t xml:space="preserve"> </w:t>
      </w:r>
      <w:r w:rsidRPr="00382917">
        <w:t>God</w:t>
      </w:r>
      <w:r w:rsidR="00EE4FC3">
        <w:t xml:space="preserve"> </w:t>
      </w:r>
      <w:r w:rsidRPr="00382917">
        <w:t>at</w:t>
      </w:r>
      <w:r w:rsidR="00EE4FC3">
        <w:t xml:space="preserve"> </w:t>
      </w:r>
      <w:r w:rsidRPr="00382917">
        <w:t>all—atheism.</w:t>
      </w:r>
    </w:p>
    <w:p w:rsidR="00300E83" w:rsidRPr="00382917" w:rsidRDefault="00300E83" w:rsidP="00650F8F">
      <w:pPr>
        <w:pStyle w:val="Text"/>
      </w:pPr>
      <w:r w:rsidRPr="00382917">
        <w:t>The</w:t>
      </w:r>
      <w:r w:rsidR="00EE4FC3">
        <w:t xml:space="preserve"> </w:t>
      </w:r>
      <w:r w:rsidRPr="00382917">
        <w:t>coming</w:t>
      </w:r>
      <w:r w:rsidR="00EE4FC3">
        <w:t xml:space="preserve"> </w:t>
      </w:r>
      <w:r w:rsidRPr="00382917">
        <w:t>of</w:t>
      </w:r>
      <w:r w:rsidR="00EE4FC3">
        <w:t xml:space="preserve"> </w:t>
      </w:r>
      <w:r w:rsidRPr="00382917">
        <w:t>this</w:t>
      </w:r>
      <w:r w:rsidR="00EE4FC3">
        <w:t xml:space="preserve"> </w:t>
      </w:r>
      <w:r w:rsidRPr="00382917">
        <w:t>last</w:t>
      </w:r>
      <w:r w:rsidR="00EE4FC3">
        <w:t xml:space="preserve"> </w:t>
      </w:r>
      <w:r w:rsidR="009C713D" w:rsidRPr="00382917">
        <w:t>“</w:t>
      </w:r>
      <w:r w:rsidRPr="00382917">
        <w:t>false</w:t>
      </w:r>
      <w:r w:rsidR="00EE4FC3">
        <w:t xml:space="preserve"> </w:t>
      </w:r>
      <w:r w:rsidRPr="00382917">
        <w:t>prophet</w:t>
      </w:r>
      <w:r w:rsidR="009C713D" w:rsidRPr="00382917">
        <w:t>”</w:t>
      </w:r>
      <w:r w:rsidR="00650F8F" w:rsidRPr="00382917">
        <w:t>,</w:t>
      </w:r>
      <w:r w:rsidR="00EE4FC3">
        <w:t xml:space="preserve"> </w:t>
      </w:r>
      <w:r w:rsidRPr="00382917">
        <w:t>disbelief</w:t>
      </w:r>
      <w:r w:rsidR="00EE4FC3">
        <w:t xml:space="preserve"> </w:t>
      </w:r>
      <w:r w:rsidRPr="00382917">
        <w:t>in</w:t>
      </w:r>
      <w:r w:rsidR="00EE4FC3">
        <w:t xml:space="preserve"> </w:t>
      </w:r>
      <w:r w:rsidRPr="00382917">
        <w:t>God,</w:t>
      </w:r>
      <w:r w:rsidR="00EE4FC3">
        <w:t xml:space="preserve"> </w:t>
      </w:r>
      <w:r w:rsidRPr="00382917">
        <w:t>was</w:t>
      </w:r>
      <w:r w:rsidR="00EE4FC3">
        <w:t xml:space="preserve"> </w:t>
      </w:r>
      <w:r w:rsidRPr="00382917">
        <w:t>plainly</w:t>
      </w:r>
      <w:r w:rsidR="00EE4FC3">
        <w:t xml:space="preserve"> </w:t>
      </w:r>
      <w:r w:rsidRPr="00382917">
        <w:t>foretold</w:t>
      </w:r>
      <w:r w:rsidR="00EE4FC3">
        <w:t xml:space="preserve"> </w:t>
      </w:r>
      <w:r w:rsidRPr="00382917">
        <w:t>in</w:t>
      </w:r>
      <w:r w:rsidR="00EE4FC3">
        <w:t xml:space="preserve"> </w:t>
      </w:r>
      <w:r w:rsidRPr="00382917">
        <w:t>both</w:t>
      </w:r>
      <w:r w:rsidR="00EE4FC3">
        <w:t xml:space="preserve"> </w:t>
      </w:r>
      <w:r w:rsidRPr="00382917">
        <w:t>the</w:t>
      </w:r>
      <w:r w:rsidR="00EE4FC3">
        <w:t xml:space="preserve"> </w:t>
      </w:r>
      <w:r w:rsidRPr="00382917">
        <w:t>Old</w:t>
      </w:r>
      <w:r w:rsidR="00EE4FC3">
        <w:t xml:space="preserve"> </w:t>
      </w:r>
      <w:r w:rsidRPr="00382917">
        <w:t>and</w:t>
      </w:r>
      <w:r w:rsidR="00EE4FC3">
        <w:t xml:space="preserve"> </w:t>
      </w:r>
      <w:r w:rsidRPr="00382917">
        <w:t>the</w:t>
      </w:r>
      <w:r w:rsidR="00EE4FC3">
        <w:t xml:space="preserve"> </w:t>
      </w:r>
      <w:r w:rsidRPr="00382917">
        <w:t>New</w:t>
      </w:r>
      <w:r w:rsidR="00EE4FC3">
        <w:t xml:space="preserve"> </w:t>
      </w:r>
      <w:r w:rsidRPr="00382917">
        <w:t>Testament</w:t>
      </w:r>
      <w:r w:rsidR="00EE4FC3">
        <w:t xml:space="preserve"> </w:t>
      </w:r>
      <w:r w:rsidRPr="00382917">
        <w:t>for</w:t>
      </w:r>
      <w:r w:rsidR="00EE4FC3">
        <w:t xml:space="preserve"> </w:t>
      </w:r>
      <w:r w:rsidRPr="00382917">
        <w:t>the</w:t>
      </w:r>
      <w:r w:rsidR="00EE4FC3">
        <w:t xml:space="preserve"> </w:t>
      </w:r>
      <w:r w:rsidR="009C713D" w:rsidRPr="00382917">
        <w:t>“</w:t>
      </w:r>
      <w:r w:rsidRPr="00382917">
        <w:t>time</w:t>
      </w:r>
      <w:r w:rsidR="00EE4FC3">
        <w:t xml:space="preserve"> </w:t>
      </w:r>
      <w:r w:rsidRPr="00382917">
        <w:t>of</w:t>
      </w:r>
      <w:r w:rsidR="00EE4FC3">
        <w:t xml:space="preserve"> </w:t>
      </w:r>
      <w:r w:rsidRPr="00382917">
        <w:t>the</w:t>
      </w:r>
      <w:r w:rsidR="00EE4FC3">
        <w:t xml:space="preserve"> </w:t>
      </w:r>
      <w:r w:rsidRPr="00382917">
        <w:t>end</w:t>
      </w:r>
      <w:r w:rsidR="009C713D" w:rsidRPr="00382917">
        <w:t>”</w:t>
      </w:r>
      <w:r w:rsidRPr="00382917">
        <w:t>:</w:t>
      </w:r>
    </w:p>
    <w:p w:rsidR="00300E83" w:rsidRPr="00382917" w:rsidRDefault="00650F8F" w:rsidP="002B6A79">
      <w:pPr>
        <w:pStyle w:val="Bullet2"/>
      </w:pPr>
      <w:r w:rsidRPr="00382917">
        <w:t>1.</w:t>
      </w:r>
      <w:r w:rsidRPr="00382917">
        <w:tab/>
      </w:r>
      <w:r w:rsidR="009C713D" w:rsidRPr="00382917">
        <w:t>“</w:t>
      </w:r>
      <w:r w:rsidR="00300E83" w:rsidRPr="00382917">
        <w:t>That</w:t>
      </w:r>
      <w:r w:rsidR="00EE4FC3">
        <w:t xml:space="preserve"> </w:t>
      </w:r>
      <w:r w:rsidR="00300E83" w:rsidRPr="00382917">
        <w:t>day</w:t>
      </w:r>
      <w:r w:rsidR="00EE4FC3">
        <w:t xml:space="preserve"> </w:t>
      </w:r>
      <w:r w:rsidR="00300E83" w:rsidRPr="00382917">
        <w:t>[the</w:t>
      </w:r>
      <w:r w:rsidR="00EE4FC3">
        <w:t xml:space="preserve"> </w:t>
      </w:r>
      <w:r w:rsidR="00300E83" w:rsidRPr="00382917">
        <w:t>return</w:t>
      </w:r>
      <w:r w:rsidR="00EE4FC3">
        <w:t xml:space="preserve"> </w:t>
      </w:r>
      <w:r w:rsidR="00300E83" w:rsidRPr="00382917">
        <w:t>of</w:t>
      </w:r>
      <w:r w:rsidR="00EE4FC3">
        <w:t xml:space="preserve"> </w:t>
      </w:r>
      <w:r w:rsidR="00300E83" w:rsidRPr="00382917">
        <w:t>Christ]</w:t>
      </w:r>
      <w:r w:rsidR="00EE4FC3">
        <w:t xml:space="preserve"> </w:t>
      </w:r>
      <w:r w:rsidR="00300E83" w:rsidRPr="00382917">
        <w:t>shall</w:t>
      </w:r>
      <w:r w:rsidR="00EE4FC3">
        <w:t xml:space="preserve"> </w:t>
      </w:r>
      <w:r w:rsidR="00300E83" w:rsidRPr="00382917">
        <w:t>not</w:t>
      </w:r>
      <w:r w:rsidR="00EE4FC3">
        <w:t xml:space="preserve"> </w:t>
      </w:r>
      <w:r w:rsidR="00300E83" w:rsidRPr="00382917">
        <w:t>come</w:t>
      </w:r>
      <w:r w:rsidR="00EE4FC3">
        <w:t xml:space="preserve"> </w:t>
      </w:r>
      <w:r w:rsidR="00300E83" w:rsidRPr="00382917">
        <w:t>except</w:t>
      </w:r>
      <w:r w:rsidR="00EE4FC3">
        <w:t xml:space="preserve"> </w:t>
      </w:r>
      <w:r w:rsidR="00300E83" w:rsidRPr="00382917">
        <w:t>there</w:t>
      </w:r>
      <w:r w:rsidR="00EE4FC3">
        <w:t xml:space="preserve"> </w:t>
      </w:r>
      <w:proofErr w:type="spellStart"/>
      <w:r w:rsidR="00300E83" w:rsidRPr="00382917">
        <w:t>come</w:t>
      </w:r>
      <w:proofErr w:type="spellEnd"/>
      <w:r w:rsidR="00EE4FC3">
        <w:t xml:space="preserve"> </w:t>
      </w:r>
      <w:r w:rsidR="00300E83" w:rsidRPr="00382917">
        <w:t>a</w:t>
      </w:r>
      <w:r w:rsidR="00EE4FC3">
        <w:t xml:space="preserve"> </w:t>
      </w:r>
      <w:r w:rsidR="00300E83" w:rsidRPr="00382917">
        <w:t>falling</w:t>
      </w:r>
      <w:r w:rsidR="00EE4FC3">
        <w:t xml:space="preserve"> </w:t>
      </w:r>
      <w:r w:rsidR="00300E83" w:rsidRPr="00382917">
        <w:t>away</w:t>
      </w:r>
      <w:r w:rsidR="00EE4FC3">
        <w:t xml:space="preserve"> </w:t>
      </w:r>
      <w:r w:rsidR="00300E83" w:rsidRPr="00382917">
        <w:t>first</w:t>
      </w:r>
      <w:r w:rsidR="002B6A79">
        <w:t xml:space="preserve"> </w:t>
      </w:r>
      <w:r w:rsidR="00F04416" w:rsidRPr="00382917">
        <w:t>…</w:t>
      </w:r>
      <w:r w:rsidR="00300E83" w:rsidRPr="00382917">
        <w:t>.</w:t>
      </w:r>
      <w:r w:rsidR="009C713D" w:rsidRPr="00382917">
        <w:t>”</w:t>
      </w:r>
      <w:r w:rsidR="002B6A79">
        <w:rPr>
          <w:rStyle w:val="FootnoteReference"/>
        </w:rPr>
        <w:footnoteReference w:id="328"/>
      </w:r>
    </w:p>
    <w:p w:rsidR="00300E83" w:rsidRPr="00382917" w:rsidRDefault="00650F8F" w:rsidP="00650F8F">
      <w:pPr>
        <w:pStyle w:val="Bullet2ct"/>
      </w:pPr>
      <w:r w:rsidRPr="00382917">
        <w:t>2.</w:t>
      </w:r>
      <w:r w:rsidRPr="00382917">
        <w:tab/>
      </w:r>
      <w:r w:rsidR="009C713D" w:rsidRPr="00382917">
        <w:t>“</w:t>
      </w:r>
      <w:r w:rsidR="00300E83" w:rsidRPr="00382917">
        <w:t>There</w:t>
      </w:r>
      <w:r w:rsidR="00EE4FC3">
        <w:t xml:space="preserve"> </w:t>
      </w:r>
      <w:r w:rsidR="00300E83" w:rsidRPr="00382917">
        <w:t>shall</w:t>
      </w:r>
      <w:r w:rsidR="00EE4FC3">
        <w:t xml:space="preserve"> </w:t>
      </w:r>
      <w:r w:rsidR="00300E83" w:rsidRPr="00382917">
        <w:t>be</w:t>
      </w:r>
      <w:r w:rsidR="00EE4FC3">
        <w:t xml:space="preserve"> </w:t>
      </w:r>
      <w:r w:rsidR="00300E83" w:rsidRPr="00382917">
        <w:t>false</w:t>
      </w:r>
      <w:r w:rsidR="00EE4FC3">
        <w:t xml:space="preserve"> </w:t>
      </w:r>
      <w:r w:rsidR="00300E83" w:rsidRPr="00382917">
        <w:t>teachers</w:t>
      </w:r>
      <w:r w:rsidR="00EE4FC3">
        <w:t xml:space="preserve"> </w:t>
      </w:r>
      <w:r w:rsidR="00F04416" w:rsidRPr="00382917">
        <w:t>…</w:t>
      </w:r>
      <w:r w:rsidR="00EE4FC3">
        <w:t xml:space="preserve"> </w:t>
      </w:r>
      <w:r w:rsidR="00300E83" w:rsidRPr="00382917">
        <w:t>who</w:t>
      </w:r>
      <w:r w:rsidR="00EE4FC3">
        <w:t xml:space="preserve"> </w:t>
      </w:r>
      <w:proofErr w:type="spellStart"/>
      <w:r w:rsidR="00300E83" w:rsidRPr="00382917">
        <w:t>privily</w:t>
      </w:r>
      <w:proofErr w:type="spellEnd"/>
      <w:r w:rsidR="00EE4FC3">
        <w:t xml:space="preserve"> </w:t>
      </w:r>
      <w:r w:rsidR="00300E83" w:rsidRPr="00382917">
        <w:t>shall</w:t>
      </w:r>
      <w:r w:rsidR="00EE4FC3">
        <w:t xml:space="preserve"> </w:t>
      </w:r>
      <w:r w:rsidR="00300E83" w:rsidRPr="00382917">
        <w:t>bring</w:t>
      </w:r>
      <w:r w:rsidR="00EE4FC3">
        <w:t xml:space="preserve"> </w:t>
      </w:r>
      <w:r w:rsidR="00300E83" w:rsidRPr="00382917">
        <w:t>in</w:t>
      </w:r>
      <w:r w:rsidR="00EE4FC3">
        <w:t xml:space="preserve"> </w:t>
      </w:r>
      <w:r w:rsidR="00300E83" w:rsidRPr="00382917">
        <w:t>damnable</w:t>
      </w:r>
      <w:r w:rsidR="00EE4FC3">
        <w:t xml:space="preserve"> </w:t>
      </w:r>
      <w:r w:rsidR="00300E83" w:rsidRPr="00382917">
        <w:t>heresies,</w:t>
      </w:r>
      <w:r w:rsidR="00EE4FC3">
        <w:t xml:space="preserve"> </w:t>
      </w:r>
      <w:r w:rsidR="00300E83" w:rsidRPr="00382917">
        <w:t>even</w:t>
      </w:r>
      <w:r w:rsidR="00EE4FC3">
        <w:t xml:space="preserve"> </w:t>
      </w:r>
      <w:r w:rsidR="00300E83" w:rsidRPr="00382917">
        <w:t>denying</w:t>
      </w:r>
      <w:r w:rsidR="00EE4FC3">
        <w:t xml:space="preserve"> </w:t>
      </w:r>
      <w:r w:rsidR="00300E83" w:rsidRPr="00382917">
        <w:t>the</w:t>
      </w:r>
      <w:r w:rsidR="00EE4FC3">
        <w:t xml:space="preserve"> </w:t>
      </w:r>
      <w:r w:rsidR="00300E83" w:rsidRPr="00382917">
        <w:t>Lord</w:t>
      </w:r>
      <w:r w:rsidR="00EE4FC3">
        <w:t xml:space="preserve"> </w:t>
      </w:r>
      <w:r w:rsidR="00300E83" w:rsidRPr="00382917">
        <w:t>that</w:t>
      </w:r>
      <w:r w:rsidR="00EE4FC3">
        <w:t xml:space="preserve"> </w:t>
      </w:r>
      <w:r w:rsidR="00300E83" w:rsidRPr="00382917">
        <w:t>brought</w:t>
      </w:r>
      <w:r w:rsidR="00EE4FC3">
        <w:t xml:space="preserve"> </w:t>
      </w:r>
      <w:r w:rsidR="00300E83" w:rsidRPr="00382917">
        <w:t>them</w:t>
      </w:r>
      <w:r w:rsidR="002B6A79">
        <w:t xml:space="preserve"> </w:t>
      </w:r>
      <w:r w:rsidR="00F04416" w:rsidRPr="00382917">
        <w:t>…</w:t>
      </w:r>
      <w:r w:rsidR="00552489">
        <w:t>.</w:t>
      </w:r>
      <w:r w:rsidR="00EE4FC3">
        <w:t xml:space="preserve">  </w:t>
      </w:r>
      <w:r w:rsidR="00300E83" w:rsidRPr="00382917">
        <w:t>And</w:t>
      </w:r>
    </w:p>
    <w:p w:rsidR="00650F8F" w:rsidRPr="00382917" w:rsidRDefault="00650F8F">
      <w:pPr>
        <w:widowControl/>
        <w:kinsoku/>
        <w:overflowPunct/>
        <w:textAlignment w:val="auto"/>
      </w:pPr>
      <w:r w:rsidRPr="00382917">
        <w:br w:type="page"/>
      </w:r>
    </w:p>
    <w:p w:rsidR="00300E83" w:rsidRPr="00382917" w:rsidRDefault="00650F8F" w:rsidP="002B6A79">
      <w:pPr>
        <w:pStyle w:val="Bullet2ct"/>
      </w:pPr>
      <w:r w:rsidRPr="00382917">
        <w:tab/>
      </w:r>
      <w:proofErr w:type="gramStart"/>
      <w:r w:rsidR="00300E83" w:rsidRPr="00382917">
        <w:t>many</w:t>
      </w:r>
      <w:proofErr w:type="gramEnd"/>
      <w:r w:rsidR="00EE4FC3">
        <w:t xml:space="preserve"> </w:t>
      </w:r>
      <w:r w:rsidR="00300E83" w:rsidRPr="00382917">
        <w:t>shall</w:t>
      </w:r>
      <w:r w:rsidR="00EE4FC3">
        <w:t xml:space="preserve"> </w:t>
      </w:r>
      <w:r w:rsidR="00300E83" w:rsidRPr="00382917">
        <w:t>follow</w:t>
      </w:r>
      <w:r w:rsidR="00EE4FC3">
        <w:t xml:space="preserve"> </w:t>
      </w:r>
      <w:r w:rsidR="00300E83" w:rsidRPr="00382917">
        <w:t>their</w:t>
      </w:r>
      <w:r w:rsidR="00EE4FC3">
        <w:t xml:space="preserve"> </w:t>
      </w:r>
      <w:r w:rsidR="00300E83" w:rsidRPr="00382917">
        <w:t>pernicious</w:t>
      </w:r>
      <w:r w:rsidR="00EE4FC3">
        <w:t xml:space="preserve"> </w:t>
      </w:r>
      <w:r w:rsidR="00300E83" w:rsidRPr="00382917">
        <w:t>ways;</w:t>
      </w:r>
      <w:r w:rsidR="00EE4FC3">
        <w:t xml:space="preserve"> </w:t>
      </w:r>
      <w:r w:rsidR="00300E83" w:rsidRPr="00382917">
        <w:t>by</w:t>
      </w:r>
      <w:r w:rsidR="00EE4FC3">
        <w:t xml:space="preserve"> </w:t>
      </w:r>
      <w:r w:rsidR="00300E83" w:rsidRPr="00382917">
        <w:t>reason</w:t>
      </w:r>
      <w:r w:rsidR="00EE4FC3">
        <w:t xml:space="preserve"> </w:t>
      </w:r>
      <w:r w:rsidR="00300E83" w:rsidRPr="00382917">
        <w:t>of</w:t>
      </w:r>
      <w:r w:rsidR="00EE4FC3">
        <w:t xml:space="preserve"> </w:t>
      </w:r>
      <w:r w:rsidR="00300E83" w:rsidRPr="00382917">
        <w:t>whom</w:t>
      </w:r>
      <w:r w:rsidR="00EE4FC3">
        <w:t xml:space="preserve"> </w:t>
      </w:r>
      <w:r w:rsidR="00300E83" w:rsidRPr="00382917">
        <w:t>the</w:t>
      </w:r>
      <w:r w:rsidR="00EE4FC3">
        <w:t xml:space="preserve"> </w:t>
      </w:r>
      <w:r w:rsidR="00300E83" w:rsidRPr="00382917">
        <w:t>way</w:t>
      </w:r>
      <w:r w:rsidR="00EE4FC3">
        <w:t xml:space="preserve"> </w:t>
      </w:r>
      <w:r w:rsidR="00300E83" w:rsidRPr="00382917">
        <w:t>of</w:t>
      </w:r>
      <w:r w:rsidR="00EE4FC3">
        <w:t xml:space="preserve"> </w:t>
      </w:r>
      <w:r w:rsidR="00300E83" w:rsidRPr="00382917">
        <w:t>truth</w:t>
      </w:r>
      <w:r w:rsidR="00EE4FC3">
        <w:t xml:space="preserve"> </w:t>
      </w:r>
      <w:r w:rsidR="00300E83" w:rsidRPr="00382917">
        <w:t>shall</w:t>
      </w:r>
      <w:r w:rsidR="00EE4FC3">
        <w:t xml:space="preserve"> </w:t>
      </w:r>
      <w:r w:rsidR="00300E83" w:rsidRPr="00382917">
        <w:t>be</w:t>
      </w:r>
      <w:r w:rsidR="00EE4FC3">
        <w:t xml:space="preserve"> </w:t>
      </w:r>
      <w:r w:rsidR="00300E83" w:rsidRPr="00382917">
        <w:t>evil</w:t>
      </w:r>
      <w:r w:rsidR="00EE4FC3">
        <w:t xml:space="preserve"> </w:t>
      </w:r>
      <w:r w:rsidR="00300E83" w:rsidRPr="00382917">
        <w:t>spoken</w:t>
      </w:r>
      <w:r w:rsidR="00EE4FC3">
        <w:t xml:space="preserve"> </w:t>
      </w:r>
      <w:r w:rsidR="00300E83" w:rsidRPr="00382917">
        <w:t>of.</w:t>
      </w:r>
      <w:r w:rsidR="009C713D" w:rsidRPr="00382917">
        <w:t>”</w:t>
      </w:r>
      <w:r w:rsidR="002B6A79">
        <w:rPr>
          <w:rStyle w:val="FootnoteReference"/>
        </w:rPr>
        <w:footnoteReference w:id="329"/>
      </w:r>
    </w:p>
    <w:p w:rsidR="00300E83" w:rsidRPr="00382917" w:rsidRDefault="00300E83" w:rsidP="00650F8F">
      <w:pPr>
        <w:pStyle w:val="Text"/>
      </w:pPr>
      <w:r w:rsidRPr="00382917">
        <w:t>The</w:t>
      </w:r>
      <w:r w:rsidR="00EE4FC3">
        <w:t xml:space="preserve"> </w:t>
      </w:r>
      <w:r w:rsidRPr="00382917">
        <w:t>prophet</w:t>
      </w:r>
      <w:r w:rsidR="00EE4FC3">
        <w:t xml:space="preserve"> </w:t>
      </w:r>
      <w:r w:rsidRPr="00382917">
        <w:t>Amos,</w:t>
      </w:r>
      <w:r w:rsidR="00EE4FC3">
        <w:t xml:space="preserve"> </w:t>
      </w:r>
      <w:r w:rsidRPr="00382917">
        <w:t>who</w:t>
      </w:r>
      <w:r w:rsidR="00EE4FC3">
        <w:t xml:space="preserve"> </w:t>
      </w:r>
      <w:r w:rsidRPr="00382917">
        <w:t>foretold</w:t>
      </w:r>
      <w:r w:rsidR="00EE4FC3">
        <w:t xml:space="preserve"> </w:t>
      </w:r>
      <w:r w:rsidRPr="00382917">
        <w:t>with</w:t>
      </w:r>
      <w:r w:rsidR="00EE4FC3">
        <w:t xml:space="preserve"> </w:t>
      </w:r>
      <w:r w:rsidRPr="00382917">
        <w:t>such</w:t>
      </w:r>
      <w:r w:rsidR="00EE4FC3">
        <w:t xml:space="preserve"> </w:t>
      </w:r>
      <w:r w:rsidRPr="00382917">
        <w:t>startling</w:t>
      </w:r>
      <w:r w:rsidR="00EE4FC3">
        <w:t xml:space="preserve"> </w:t>
      </w:r>
      <w:r w:rsidRPr="00382917">
        <w:t>clarity</w:t>
      </w:r>
      <w:r w:rsidR="00EE4FC3">
        <w:t xml:space="preserve"> </w:t>
      </w:r>
      <w:r w:rsidRPr="00382917">
        <w:t>that</w:t>
      </w:r>
      <w:r w:rsidR="00EE4FC3">
        <w:t xml:space="preserve"> </w:t>
      </w:r>
      <w:r w:rsidRPr="00382917">
        <w:t>the</w:t>
      </w:r>
      <w:r w:rsidR="00EE4FC3">
        <w:t xml:space="preserve"> </w:t>
      </w:r>
      <w:r w:rsidR="009C713D" w:rsidRPr="00382917">
        <w:t>“</w:t>
      </w:r>
      <w:r w:rsidRPr="00382917">
        <w:t>sun</w:t>
      </w:r>
      <w:r w:rsidR="00EE4FC3">
        <w:t xml:space="preserve"> </w:t>
      </w:r>
      <w:r w:rsidRPr="00382917">
        <w:t>would</w:t>
      </w:r>
      <w:r w:rsidR="00EE4FC3">
        <w:t xml:space="preserve"> </w:t>
      </w:r>
      <w:r w:rsidRPr="00382917">
        <w:t>be</w:t>
      </w:r>
      <w:r w:rsidR="00EE4FC3">
        <w:t xml:space="preserve"> </w:t>
      </w:r>
      <w:r w:rsidRPr="00382917">
        <w:t>darkened</w:t>
      </w:r>
      <w:r w:rsidR="00EE4FC3">
        <w:t xml:space="preserve"> </w:t>
      </w:r>
      <w:r w:rsidRPr="00382917">
        <w:t>at</w:t>
      </w:r>
      <w:r w:rsidR="00EE4FC3">
        <w:t xml:space="preserve"> </w:t>
      </w:r>
      <w:r w:rsidRPr="00382917">
        <w:t>noon,</w:t>
      </w:r>
      <w:r w:rsidR="009C713D" w:rsidRPr="00382917">
        <w:t>”</w:t>
      </w:r>
      <w:r w:rsidR="00EE4FC3">
        <w:t xml:space="preserve"> </w:t>
      </w:r>
      <w:r w:rsidRPr="00382917">
        <w:t>(in</w:t>
      </w:r>
      <w:r w:rsidR="00EE4FC3">
        <w:t xml:space="preserve"> </w:t>
      </w:r>
      <w:r w:rsidRPr="00382917">
        <w:t>the</w:t>
      </w:r>
      <w:r w:rsidR="00EE4FC3">
        <w:t xml:space="preserve"> </w:t>
      </w:r>
      <w:r w:rsidRPr="00382917">
        <w:t>hour</w:t>
      </w:r>
      <w:r w:rsidR="00EE4FC3">
        <w:t xml:space="preserve"> </w:t>
      </w:r>
      <w:r w:rsidRPr="00382917">
        <w:t>of</w:t>
      </w:r>
      <w:r w:rsidR="00EE4FC3">
        <w:t xml:space="preserve"> </w:t>
      </w:r>
      <w:r w:rsidRPr="00382917">
        <w:t>the</w:t>
      </w:r>
      <w:r w:rsidR="00EE4FC3">
        <w:t xml:space="preserve"> </w:t>
      </w:r>
      <w:r w:rsidRPr="00382917">
        <w:t>Báb</w:t>
      </w:r>
      <w:r w:rsidR="009C713D" w:rsidRPr="00382917">
        <w:t>’</w:t>
      </w:r>
      <w:r w:rsidRPr="00382917">
        <w:t>s</w:t>
      </w:r>
      <w:r w:rsidR="00EE4FC3">
        <w:t xml:space="preserve"> </w:t>
      </w:r>
      <w:r w:rsidRPr="00382917">
        <w:t>martyrdom)</w:t>
      </w:r>
      <w:r w:rsidR="00EE4FC3">
        <w:t xml:space="preserve"> </w:t>
      </w:r>
      <w:r w:rsidRPr="00382917">
        <w:t>also</w:t>
      </w:r>
      <w:r w:rsidR="00EE4FC3">
        <w:t xml:space="preserve"> </w:t>
      </w:r>
      <w:r w:rsidRPr="00382917">
        <w:t>prophesied</w:t>
      </w:r>
      <w:r w:rsidR="00EE4FC3">
        <w:t xml:space="preserve"> </w:t>
      </w:r>
      <w:r w:rsidRPr="00382917">
        <w:t>that</w:t>
      </w:r>
      <w:r w:rsidR="00EE4FC3">
        <w:t xml:space="preserve"> </w:t>
      </w:r>
      <w:r w:rsidRPr="00382917">
        <w:t>it</w:t>
      </w:r>
      <w:r w:rsidR="00EE4FC3">
        <w:t xml:space="preserve"> </w:t>
      </w:r>
      <w:r w:rsidRPr="00382917">
        <w:t>should</w:t>
      </w:r>
      <w:r w:rsidR="00EE4FC3">
        <w:t xml:space="preserve"> </w:t>
      </w:r>
      <w:r w:rsidRPr="00382917">
        <w:t>be</w:t>
      </w:r>
      <w:r w:rsidR="00EE4FC3">
        <w:t xml:space="preserve"> </w:t>
      </w:r>
      <w:r w:rsidRPr="00382917">
        <w:t>a</w:t>
      </w:r>
      <w:r w:rsidR="00EE4FC3">
        <w:t xml:space="preserve"> </w:t>
      </w:r>
      <w:r w:rsidRPr="00382917">
        <w:t>day</w:t>
      </w:r>
      <w:r w:rsidR="00EE4FC3">
        <w:t xml:space="preserve"> </w:t>
      </w:r>
      <w:r w:rsidRPr="00382917">
        <w:t>of</w:t>
      </w:r>
      <w:r w:rsidR="00EE4FC3">
        <w:t xml:space="preserve"> </w:t>
      </w:r>
      <w:r w:rsidRPr="00382917">
        <w:t>disbelief</w:t>
      </w:r>
      <w:r w:rsidR="00EE4FC3">
        <w:t xml:space="preserve"> </w:t>
      </w:r>
      <w:r w:rsidRPr="00382917">
        <w:t>in</w:t>
      </w:r>
      <w:r w:rsidR="00EE4FC3">
        <w:t xml:space="preserve"> </w:t>
      </w:r>
      <w:r w:rsidRPr="00382917">
        <w:t>God</w:t>
      </w:r>
      <w:r w:rsidR="00EE4FC3">
        <w:t xml:space="preserve"> </w:t>
      </w:r>
      <w:r w:rsidRPr="00382917">
        <w:t>and</w:t>
      </w:r>
      <w:r w:rsidR="00EE4FC3">
        <w:t xml:space="preserve"> </w:t>
      </w:r>
      <w:r w:rsidRPr="00382917">
        <w:t>a</w:t>
      </w:r>
      <w:r w:rsidR="00EE4FC3">
        <w:t xml:space="preserve"> </w:t>
      </w:r>
      <w:r w:rsidRPr="00382917">
        <w:t>day</w:t>
      </w:r>
      <w:r w:rsidR="00EE4FC3">
        <w:t xml:space="preserve"> </w:t>
      </w:r>
      <w:r w:rsidRPr="00382917">
        <w:t>of</w:t>
      </w:r>
      <w:r w:rsidR="00EE4FC3">
        <w:t xml:space="preserve"> </w:t>
      </w:r>
      <w:r w:rsidRPr="00382917">
        <w:t>great</w:t>
      </w:r>
      <w:r w:rsidR="00EE4FC3">
        <w:t xml:space="preserve"> </w:t>
      </w:r>
      <w:r w:rsidR="009C713D" w:rsidRPr="00382917">
        <w:t>“</w:t>
      </w:r>
      <w:r w:rsidRPr="00382917">
        <w:t>falling</w:t>
      </w:r>
      <w:r w:rsidR="00EE4FC3">
        <w:t xml:space="preserve"> </w:t>
      </w:r>
      <w:r w:rsidRPr="00382917">
        <w:t>away</w:t>
      </w:r>
      <w:r w:rsidR="009C713D" w:rsidRPr="00382917">
        <w:t>”</w:t>
      </w:r>
      <w:r w:rsidR="00EE4FC3">
        <w:t xml:space="preserve"> </w:t>
      </w:r>
      <w:r w:rsidRPr="00382917">
        <w:t>from</w:t>
      </w:r>
      <w:r w:rsidR="00EE4FC3">
        <w:t xml:space="preserve"> </w:t>
      </w:r>
      <w:r w:rsidRPr="00382917">
        <w:t>religion:</w:t>
      </w:r>
    </w:p>
    <w:p w:rsidR="00300E83" w:rsidRPr="00382917" w:rsidRDefault="009C713D" w:rsidP="002B6A79">
      <w:pPr>
        <w:pStyle w:val="Quote"/>
      </w:pPr>
      <w:r w:rsidRPr="00382917">
        <w:t>“</w:t>
      </w:r>
      <w:r w:rsidR="00300E83" w:rsidRPr="00382917">
        <w:t>Behold,</w:t>
      </w:r>
      <w:r w:rsidR="00EE4FC3">
        <w:t xml:space="preserve"> </w:t>
      </w:r>
      <w:r w:rsidR="00300E83" w:rsidRPr="00382917">
        <w:t>the</w:t>
      </w:r>
      <w:r w:rsidR="00EE4FC3">
        <w:t xml:space="preserve"> </w:t>
      </w:r>
      <w:r w:rsidR="00300E83" w:rsidRPr="00382917">
        <w:t>days</w:t>
      </w:r>
      <w:r w:rsidR="00EE4FC3">
        <w:t xml:space="preserve"> </w:t>
      </w:r>
      <w:r w:rsidR="00300E83" w:rsidRPr="00382917">
        <w:t>come,</w:t>
      </w:r>
      <w:r w:rsidR="00EE4FC3">
        <w:t xml:space="preserve"> </w:t>
      </w:r>
      <w:proofErr w:type="spellStart"/>
      <w:r w:rsidR="00300E83" w:rsidRPr="00382917">
        <w:t>saith</w:t>
      </w:r>
      <w:proofErr w:type="spellEnd"/>
      <w:r w:rsidR="00EE4FC3">
        <w:t xml:space="preserve"> </w:t>
      </w:r>
      <w:r w:rsidR="00300E83" w:rsidRPr="00382917">
        <w:t>the</w:t>
      </w:r>
      <w:r w:rsidR="00EE4FC3">
        <w:t xml:space="preserve"> </w:t>
      </w:r>
      <w:r w:rsidR="00300E83" w:rsidRPr="00382917">
        <w:t>Lord</w:t>
      </w:r>
      <w:r w:rsidR="00EE4FC3">
        <w:t xml:space="preserve"> </w:t>
      </w:r>
      <w:r w:rsidR="00300E83" w:rsidRPr="00382917">
        <w:t>God,</w:t>
      </w:r>
      <w:r w:rsidR="00EE4FC3">
        <w:t xml:space="preserve"> </w:t>
      </w:r>
      <w:r w:rsidR="00300E83" w:rsidRPr="00382917">
        <w:t>that</w:t>
      </w:r>
      <w:r w:rsidR="00EE4FC3">
        <w:t xml:space="preserve"> </w:t>
      </w:r>
      <w:r w:rsidR="00300E83" w:rsidRPr="00382917">
        <w:t>I</w:t>
      </w:r>
      <w:r w:rsidR="00EE4FC3">
        <w:t xml:space="preserve"> </w:t>
      </w:r>
      <w:r w:rsidR="00300E83" w:rsidRPr="00382917">
        <w:t>will</w:t>
      </w:r>
      <w:r w:rsidR="00EE4FC3">
        <w:t xml:space="preserve"> </w:t>
      </w:r>
      <w:r w:rsidR="00300E83" w:rsidRPr="00382917">
        <w:t>send</w:t>
      </w:r>
      <w:r w:rsidR="00EE4FC3">
        <w:t xml:space="preserve"> </w:t>
      </w:r>
      <w:r w:rsidR="00300E83" w:rsidRPr="00382917">
        <w:t>a</w:t>
      </w:r>
      <w:r w:rsidR="00EE4FC3">
        <w:t xml:space="preserve"> </w:t>
      </w:r>
      <w:r w:rsidR="00300E83" w:rsidRPr="00382917">
        <w:t>famine</w:t>
      </w:r>
      <w:r w:rsidR="00EE4FC3">
        <w:t xml:space="preserve"> </w:t>
      </w:r>
      <w:r w:rsidR="00300E83" w:rsidRPr="00382917">
        <w:t>in</w:t>
      </w:r>
      <w:r w:rsidR="00EE4FC3">
        <w:t xml:space="preserve"> </w:t>
      </w:r>
      <w:r w:rsidR="00300E83" w:rsidRPr="00382917">
        <w:t>the</w:t>
      </w:r>
      <w:r w:rsidR="00EE4FC3">
        <w:t xml:space="preserve"> </w:t>
      </w:r>
      <w:r w:rsidR="00300E83" w:rsidRPr="00382917">
        <w:t>land,</w:t>
      </w:r>
      <w:r w:rsidR="00EE4FC3">
        <w:t xml:space="preserve"> </w:t>
      </w:r>
      <w:r w:rsidR="00300E83" w:rsidRPr="00382917">
        <w:t>not</w:t>
      </w:r>
      <w:r w:rsidR="00EE4FC3">
        <w:t xml:space="preserve"> </w:t>
      </w:r>
      <w:r w:rsidR="00300E83" w:rsidRPr="00382917">
        <w:t>a</w:t>
      </w:r>
      <w:r w:rsidR="00EE4FC3">
        <w:t xml:space="preserve"> </w:t>
      </w:r>
      <w:r w:rsidR="00300E83" w:rsidRPr="00382917">
        <w:t>famine</w:t>
      </w:r>
      <w:r w:rsidR="00EE4FC3">
        <w:t xml:space="preserve"> </w:t>
      </w:r>
      <w:r w:rsidR="00300E83" w:rsidRPr="00382917">
        <w:t>of</w:t>
      </w:r>
      <w:r w:rsidR="00EE4FC3">
        <w:t xml:space="preserve"> </w:t>
      </w:r>
      <w:r w:rsidR="00300E83" w:rsidRPr="00382917">
        <w:t>bread,</w:t>
      </w:r>
      <w:r w:rsidR="00EE4FC3">
        <w:t xml:space="preserve"> </w:t>
      </w:r>
      <w:r w:rsidR="00300E83" w:rsidRPr="00382917">
        <w:t>nor</w:t>
      </w:r>
      <w:r w:rsidR="00EE4FC3">
        <w:t xml:space="preserve"> </w:t>
      </w:r>
      <w:r w:rsidR="00300E83" w:rsidRPr="00382917">
        <w:t>a</w:t>
      </w:r>
      <w:r w:rsidR="00EE4FC3">
        <w:t xml:space="preserve"> </w:t>
      </w:r>
      <w:r w:rsidR="00300E83" w:rsidRPr="00382917">
        <w:t>thirst</w:t>
      </w:r>
      <w:r w:rsidR="00EE4FC3">
        <w:t xml:space="preserve"> </w:t>
      </w:r>
      <w:r w:rsidR="00300E83" w:rsidRPr="00382917">
        <w:t>for</w:t>
      </w:r>
      <w:r w:rsidR="00EE4FC3">
        <w:t xml:space="preserve"> </w:t>
      </w:r>
      <w:r w:rsidR="00300E83" w:rsidRPr="00382917">
        <w:t>water,</w:t>
      </w:r>
      <w:r w:rsidR="00EE4FC3">
        <w:t xml:space="preserve"> </w:t>
      </w:r>
      <w:r w:rsidR="00300E83" w:rsidRPr="00382917">
        <w:t>but</w:t>
      </w:r>
      <w:r w:rsidR="00EE4FC3">
        <w:t xml:space="preserve"> </w:t>
      </w:r>
      <w:r w:rsidR="00300E83" w:rsidRPr="00382917">
        <w:t>of</w:t>
      </w:r>
      <w:r w:rsidR="00EE4FC3">
        <w:t xml:space="preserve"> </w:t>
      </w:r>
      <w:r w:rsidR="00300E83" w:rsidRPr="00382917">
        <w:t>hearing</w:t>
      </w:r>
      <w:r w:rsidR="00EE4FC3">
        <w:t xml:space="preserve"> </w:t>
      </w:r>
      <w:r w:rsidR="00300E83" w:rsidRPr="00382917">
        <w:t>the</w:t>
      </w:r>
      <w:r w:rsidR="00EE4FC3">
        <w:t xml:space="preserve"> </w:t>
      </w:r>
      <w:r w:rsidR="00300E83" w:rsidRPr="00382917">
        <w:t>words</w:t>
      </w:r>
      <w:r w:rsidR="00EE4FC3">
        <w:t xml:space="preserve"> </w:t>
      </w:r>
      <w:r w:rsidR="00300E83" w:rsidRPr="00382917">
        <w:t>of</w:t>
      </w:r>
      <w:r w:rsidR="00EE4FC3">
        <w:t xml:space="preserve"> </w:t>
      </w:r>
      <w:r w:rsidR="00300E83" w:rsidRPr="00382917">
        <w:t>the</w:t>
      </w:r>
      <w:r w:rsidR="00EE4FC3">
        <w:t xml:space="preserve"> </w:t>
      </w:r>
      <w:r w:rsidR="00300E83" w:rsidRPr="00382917">
        <w:t>Lord</w:t>
      </w:r>
      <w:r w:rsidR="00552489">
        <w:t>.</w:t>
      </w:r>
      <w:r w:rsidR="00EE4FC3">
        <w:t xml:space="preserve">  </w:t>
      </w:r>
      <w:r w:rsidR="00300E83" w:rsidRPr="00382917">
        <w:t>And</w:t>
      </w:r>
      <w:r w:rsidR="00EE4FC3">
        <w:t xml:space="preserve"> </w:t>
      </w:r>
      <w:r w:rsidR="00300E83" w:rsidRPr="00382917">
        <w:t>they</w:t>
      </w:r>
      <w:r w:rsidR="00EE4FC3">
        <w:t xml:space="preserve"> </w:t>
      </w:r>
      <w:r w:rsidR="00300E83" w:rsidRPr="00382917">
        <w:t>shall</w:t>
      </w:r>
      <w:r w:rsidR="00EE4FC3">
        <w:t xml:space="preserve"> </w:t>
      </w:r>
      <w:r w:rsidR="00300E83" w:rsidRPr="00382917">
        <w:t>wander</w:t>
      </w:r>
      <w:r w:rsidR="00EE4FC3">
        <w:t xml:space="preserve"> </w:t>
      </w:r>
      <w:r w:rsidR="00300E83" w:rsidRPr="00382917">
        <w:t>from</w:t>
      </w:r>
      <w:r w:rsidR="00EE4FC3">
        <w:t xml:space="preserve"> </w:t>
      </w:r>
      <w:r w:rsidR="00300E83" w:rsidRPr="00382917">
        <w:t>sea</w:t>
      </w:r>
      <w:r w:rsidR="00EE4FC3">
        <w:t xml:space="preserve"> </w:t>
      </w:r>
      <w:r w:rsidR="00300E83" w:rsidRPr="00382917">
        <w:t>to</w:t>
      </w:r>
      <w:r w:rsidR="00EE4FC3">
        <w:t xml:space="preserve"> </w:t>
      </w:r>
      <w:r w:rsidR="00300E83" w:rsidRPr="00382917">
        <w:t>sea,</w:t>
      </w:r>
      <w:r w:rsidR="00EE4FC3">
        <w:t xml:space="preserve"> </w:t>
      </w:r>
      <w:r w:rsidR="00300E83" w:rsidRPr="00382917">
        <w:t>and</w:t>
      </w:r>
      <w:r w:rsidR="00EE4FC3">
        <w:t xml:space="preserve"> </w:t>
      </w:r>
      <w:r w:rsidR="00300E83" w:rsidRPr="00382917">
        <w:t>from</w:t>
      </w:r>
      <w:r w:rsidR="00EE4FC3">
        <w:t xml:space="preserve"> </w:t>
      </w:r>
      <w:r w:rsidR="00300E83" w:rsidRPr="00382917">
        <w:t>the</w:t>
      </w:r>
      <w:r w:rsidR="00EE4FC3">
        <w:t xml:space="preserve"> </w:t>
      </w:r>
      <w:r w:rsidR="00300E83" w:rsidRPr="00382917">
        <w:t>north</w:t>
      </w:r>
      <w:r w:rsidR="00EE4FC3">
        <w:t xml:space="preserve"> </w:t>
      </w:r>
      <w:r w:rsidR="00300E83" w:rsidRPr="00382917">
        <w:t>even</w:t>
      </w:r>
      <w:r w:rsidR="00EE4FC3">
        <w:t xml:space="preserve"> </w:t>
      </w:r>
      <w:r w:rsidR="00300E83" w:rsidRPr="00382917">
        <w:t>to</w:t>
      </w:r>
      <w:r w:rsidR="00EE4FC3">
        <w:t xml:space="preserve"> </w:t>
      </w:r>
      <w:r w:rsidR="00300E83" w:rsidRPr="00382917">
        <w:t>the</w:t>
      </w:r>
      <w:r w:rsidR="00EE4FC3">
        <w:t xml:space="preserve"> </w:t>
      </w:r>
      <w:r w:rsidR="00300E83" w:rsidRPr="00382917">
        <w:t>east,</w:t>
      </w:r>
      <w:r w:rsidR="00EE4FC3">
        <w:t xml:space="preserve"> </w:t>
      </w:r>
      <w:r w:rsidR="00300E83" w:rsidRPr="00382917">
        <w:t>they</w:t>
      </w:r>
      <w:r w:rsidR="00EE4FC3">
        <w:t xml:space="preserve"> </w:t>
      </w:r>
      <w:r w:rsidR="00300E83" w:rsidRPr="00382917">
        <w:t>shall</w:t>
      </w:r>
      <w:r w:rsidR="00EE4FC3">
        <w:t xml:space="preserve"> </w:t>
      </w:r>
      <w:r w:rsidR="00300E83" w:rsidRPr="00382917">
        <w:t>run</w:t>
      </w:r>
      <w:r w:rsidR="00EE4FC3">
        <w:t xml:space="preserve"> </w:t>
      </w:r>
      <w:r w:rsidR="00300E83" w:rsidRPr="00382917">
        <w:t>to</w:t>
      </w:r>
      <w:r w:rsidR="00EE4FC3">
        <w:t xml:space="preserve"> </w:t>
      </w:r>
      <w:r w:rsidR="00300E83" w:rsidRPr="00382917">
        <w:t>and</w:t>
      </w:r>
      <w:r w:rsidR="00EE4FC3">
        <w:t xml:space="preserve"> </w:t>
      </w:r>
      <w:r w:rsidR="00300E83" w:rsidRPr="00382917">
        <w:t>fro,</w:t>
      </w:r>
      <w:r w:rsidR="00EE4FC3">
        <w:t xml:space="preserve"> </w:t>
      </w:r>
      <w:r w:rsidR="00300E83" w:rsidRPr="00382917">
        <w:t>to</w:t>
      </w:r>
      <w:r w:rsidR="00EE4FC3">
        <w:t xml:space="preserve"> </w:t>
      </w:r>
      <w:r w:rsidR="00300E83" w:rsidRPr="00382917">
        <w:t>seek</w:t>
      </w:r>
      <w:r w:rsidR="00EE4FC3">
        <w:t xml:space="preserve"> </w:t>
      </w:r>
      <w:r w:rsidR="00300E83" w:rsidRPr="00382917">
        <w:t>the</w:t>
      </w:r>
      <w:r w:rsidR="00EE4FC3">
        <w:t xml:space="preserve"> </w:t>
      </w:r>
      <w:r w:rsidR="00300E83" w:rsidRPr="00382917">
        <w:t>Word</w:t>
      </w:r>
      <w:r w:rsidR="00EE4FC3">
        <w:t xml:space="preserve"> </w:t>
      </w:r>
      <w:r w:rsidR="00300E83" w:rsidRPr="00382917">
        <w:t>of</w:t>
      </w:r>
      <w:r w:rsidR="00EE4FC3">
        <w:t xml:space="preserve"> </w:t>
      </w:r>
      <w:r w:rsidR="00300E83" w:rsidRPr="00382917">
        <w:t>the</w:t>
      </w:r>
      <w:r w:rsidR="00EE4FC3">
        <w:t xml:space="preserve"> </w:t>
      </w:r>
      <w:r w:rsidR="00300E83" w:rsidRPr="00382917">
        <w:t>Lord,</w:t>
      </w:r>
      <w:r w:rsidR="00EE4FC3">
        <w:t xml:space="preserve"> </w:t>
      </w:r>
      <w:r w:rsidR="00300E83" w:rsidRPr="00382917">
        <w:t>and</w:t>
      </w:r>
      <w:r w:rsidR="00EE4FC3">
        <w:t xml:space="preserve"> </w:t>
      </w:r>
      <w:r w:rsidR="00300E83" w:rsidRPr="00382917">
        <w:t>shall</w:t>
      </w:r>
      <w:r w:rsidR="00EE4FC3">
        <w:t xml:space="preserve"> </w:t>
      </w:r>
      <w:r w:rsidR="00300E83" w:rsidRPr="00382917">
        <w:t>not</w:t>
      </w:r>
      <w:r w:rsidR="00EE4FC3">
        <w:t xml:space="preserve"> </w:t>
      </w:r>
      <w:r w:rsidR="00300E83" w:rsidRPr="00382917">
        <w:t>find</w:t>
      </w:r>
      <w:r w:rsidR="00EE4FC3">
        <w:t xml:space="preserve"> </w:t>
      </w:r>
      <w:r w:rsidR="00300E83" w:rsidRPr="00382917">
        <w:t>it.</w:t>
      </w:r>
      <w:r w:rsidRPr="00382917">
        <w:t>”</w:t>
      </w:r>
      <w:r w:rsidR="002B6A79">
        <w:rPr>
          <w:rStyle w:val="FootnoteReference"/>
        </w:rPr>
        <w:footnoteReference w:id="330"/>
      </w:r>
    </w:p>
    <w:p w:rsidR="00300E83" w:rsidRPr="00382917" w:rsidRDefault="009C713D" w:rsidP="002B6A79">
      <w:pPr>
        <w:pStyle w:val="Quote"/>
      </w:pPr>
      <w:r w:rsidRPr="00382917">
        <w:t>“</w:t>
      </w:r>
      <w:r w:rsidR="00300E83" w:rsidRPr="00382917">
        <w:t>Knowing</w:t>
      </w:r>
      <w:r w:rsidR="00EE4FC3">
        <w:t xml:space="preserve"> </w:t>
      </w:r>
      <w:r w:rsidR="00300E83" w:rsidRPr="00382917">
        <w:t>this</w:t>
      </w:r>
      <w:r w:rsidR="00EE4FC3">
        <w:t xml:space="preserve"> </w:t>
      </w:r>
      <w:r w:rsidR="00300E83" w:rsidRPr="00382917">
        <w:t>first,</w:t>
      </w:r>
      <w:r w:rsidR="00EE4FC3">
        <w:t xml:space="preserve"> </w:t>
      </w:r>
      <w:r w:rsidR="00300E83" w:rsidRPr="00382917">
        <w:t>that</w:t>
      </w:r>
      <w:r w:rsidR="00EE4FC3">
        <w:t xml:space="preserve"> </w:t>
      </w:r>
      <w:r w:rsidR="00300E83" w:rsidRPr="00382917">
        <w:t>there</w:t>
      </w:r>
      <w:r w:rsidR="00EE4FC3">
        <w:t xml:space="preserve"> </w:t>
      </w:r>
      <w:r w:rsidR="00300E83" w:rsidRPr="00382917">
        <w:t>shall</w:t>
      </w:r>
      <w:r w:rsidR="00EE4FC3">
        <w:t xml:space="preserve"> </w:t>
      </w:r>
      <w:r w:rsidR="00300E83" w:rsidRPr="00382917">
        <w:t>come</w:t>
      </w:r>
      <w:r w:rsidR="00EE4FC3">
        <w:t xml:space="preserve"> </w:t>
      </w:r>
      <w:r w:rsidR="00300E83" w:rsidRPr="00382917">
        <w:t>in</w:t>
      </w:r>
      <w:r w:rsidR="00EE4FC3">
        <w:t xml:space="preserve"> </w:t>
      </w:r>
      <w:r w:rsidR="00300E83" w:rsidRPr="00382917">
        <w:t>the</w:t>
      </w:r>
      <w:r w:rsidR="00EE4FC3">
        <w:t xml:space="preserve"> </w:t>
      </w:r>
      <w:r w:rsidR="00300E83" w:rsidRPr="00382917">
        <w:t>last</w:t>
      </w:r>
      <w:r w:rsidR="00EE4FC3">
        <w:t xml:space="preserve"> </w:t>
      </w:r>
      <w:r w:rsidR="00300E83" w:rsidRPr="00382917">
        <w:t>days,</w:t>
      </w:r>
      <w:r w:rsidR="00EE4FC3">
        <w:t xml:space="preserve"> </w:t>
      </w:r>
      <w:r w:rsidR="00300E83" w:rsidRPr="00382917">
        <w:t>scoffers</w:t>
      </w:r>
      <w:r w:rsidR="00EE4FC3">
        <w:t xml:space="preserve"> </w:t>
      </w:r>
      <w:r w:rsidR="00300E83" w:rsidRPr="00382917">
        <w:t>walking</w:t>
      </w:r>
      <w:r w:rsidR="00EE4FC3">
        <w:t xml:space="preserve"> </w:t>
      </w:r>
      <w:r w:rsidR="00300E83" w:rsidRPr="00382917">
        <w:t>after</w:t>
      </w:r>
      <w:r w:rsidR="00EE4FC3">
        <w:t xml:space="preserve"> </w:t>
      </w:r>
      <w:r w:rsidR="00300E83" w:rsidRPr="00382917">
        <w:t>their</w:t>
      </w:r>
      <w:r w:rsidR="00EE4FC3">
        <w:t xml:space="preserve"> </w:t>
      </w:r>
      <w:r w:rsidR="00300E83" w:rsidRPr="00382917">
        <w:t>own</w:t>
      </w:r>
      <w:r w:rsidR="00EE4FC3">
        <w:t xml:space="preserve"> </w:t>
      </w:r>
      <w:r w:rsidR="00300E83" w:rsidRPr="00382917">
        <w:t>lusts,</w:t>
      </w:r>
      <w:r w:rsidR="00EE4FC3">
        <w:t xml:space="preserve"> </w:t>
      </w:r>
      <w:proofErr w:type="gramStart"/>
      <w:r w:rsidR="00300E83" w:rsidRPr="00382917">
        <w:t>And</w:t>
      </w:r>
      <w:proofErr w:type="gramEnd"/>
      <w:r w:rsidR="00EE4FC3">
        <w:t xml:space="preserve"> </w:t>
      </w:r>
      <w:r w:rsidR="00300E83" w:rsidRPr="00382917">
        <w:t>saying</w:t>
      </w:r>
      <w:r w:rsidR="00C03C91">
        <w:t>:</w:t>
      </w:r>
      <w:r w:rsidR="00EE4FC3">
        <w:t xml:space="preserve">  </w:t>
      </w:r>
      <w:r w:rsidR="00300E83" w:rsidRPr="00382917">
        <w:t>Where</w:t>
      </w:r>
      <w:r w:rsidR="00EE4FC3">
        <w:t xml:space="preserve"> </w:t>
      </w:r>
      <w:r w:rsidR="00300E83" w:rsidRPr="00382917">
        <w:t>is</w:t>
      </w:r>
      <w:r w:rsidR="00EE4FC3">
        <w:t xml:space="preserve"> </w:t>
      </w:r>
      <w:r w:rsidR="00300E83" w:rsidRPr="00382917">
        <w:t>the</w:t>
      </w:r>
      <w:r w:rsidR="00EE4FC3">
        <w:t xml:space="preserve"> </w:t>
      </w:r>
      <w:r w:rsidR="00300E83" w:rsidRPr="00382917">
        <w:t>promise</w:t>
      </w:r>
      <w:r w:rsidR="00EE4FC3">
        <w:t xml:space="preserve"> </w:t>
      </w:r>
      <w:r w:rsidR="00300E83" w:rsidRPr="00382917">
        <w:t>of</w:t>
      </w:r>
      <w:r w:rsidR="00EE4FC3">
        <w:t xml:space="preserve"> </w:t>
      </w:r>
      <w:r w:rsidR="00300E83" w:rsidRPr="00382917">
        <w:t>His</w:t>
      </w:r>
      <w:r w:rsidR="00EE4FC3">
        <w:t xml:space="preserve"> </w:t>
      </w:r>
      <w:r w:rsidR="00300E83" w:rsidRPr="00382917">
        <w:t>coming?</w:t>
      </w:r>
      <w:r w:rsidRPr="00382917">
        <w:t>”</w:t>
      </w:r>
      <w:r w:rsidR="002B6A79">
        <w:rPr>
          <w:rStyle w:val="FootnoteReference"/>
        </w:rPr>
        <w:footnoteReference w:id="331"/>
      </w:r>
    </w:p>
    <w:p w:rsidR="00300E83" w:rsidRPr="00382917" w:rsidRDefault="00300E83" w:rsidP="002B6A79">
      <w:pPr>
        <w:pStyle w:val="Text"/>
      </w:pPr>
      <w:r w:rsidRPr="00382917">
        <w:t>In</w:t>
      </w:r>
      <w:r w:rsidR="00EE4FC3">
        <w:t xml:space="preserve"> </w:t>
      </w:r>
      <w:r w:rsidRPr="00382917">
        <w:t>the</w:t>
      </w:r>
      <w:r w:rsidR="00EE4FC3">
        <w:t xml:space="preserve"> </w:t>
      </w:r>
      <w:r w:rsidRPr="00382917">
        <w:t>hour</w:t>
      </w:r>
      <w:r w:rsidR="00EE4FC3">
        <w:t xml:space="preserve"> </w:t>
      </w:r>
      <w:r w:rsidRPr="00382917">
        <w:t>of</w:t>
      </w:r>
      <w:r w:rsidR="00EE4FC3">
        <w:t xml:space="preserve"> </w:t>
      </w:r>
      <w:r w:rsidRPr="00382917">
        <w:t>Christ</w:t>
      </w:r>
      <w:r w:rsidR="009C713D" w:rsidRPr="00382917">
        <w:t>’</w:t>
      </w:r>
      <w:r w:rsidRPr="00382917">
        <w:t>s</w:t>
      </w:r>
      <w:r w:rsidR="00EE4FC3">
        <w:t xml:space="preserve"> </w:t>
      </w:r>
      <w:r w:rsidRPr="00382917">
        <w:t>crucifixion,</w:t>
      </w:r>
      <w:r w:rsidR="00EE4FC3">
        <w:t xml:space="preserve"> </w:t>
      </w:r>
      <w:r w:rsidRPr="00382917">
        <w:t>the</w:t>
      </w:r>
      <w:r w:rsidR="00EE4FC3">
        <w:t xml:space="preserve"> </w:t>
      </w:r>
      <w:r w:rsidR="009C713D" w:rsidRPr="00382917">
        <w:t>“</w:t>
      </w:r>
      <w:r w:rsidRPr="00382917">
        <w:t>scoffers</w:t>
      </w:r>
      <w:r w:rsidR="009C713D" w:rsidRPr="00382917">
        <w:t>”</w:t>
      </w:r>
      <w:r w:rsidR="00EE4FC3">
        <w:t xml:space="preserve"> </w:t>
      </w:r>
      <w:r w:rsidRPr="00382917">
        <w:t>who</w:t>
      </w:r>
      <w:r w:rsidR="00EE4FC3">
        <w:t xml:space="preserve"> </w:t>
      </w:r>
      <w:r w:rsidRPr="00382917">
        <w:t>considered</w:t>
      </w:r>
      <w:r w:rsidR="00EE4FC3">
        <w:t xml:space="preserve"> </w:t>
      </w:r>
      <w:r w:rsidRPr="00382917">
        <w:t>Him</w:t>
      </w:r>
      <w:r w:rsidR="00EE4FC3">
        <w:t xml:space="preserve"> </w:t>
      </w:r>
      <w:r w:rsidRPr="00382917">
        <w:t>a</w:t>
      </w:r>
      <w:r w:rsidR="00EE4FC3">
        <w:t xml:space="preserve"> </w:t>
      </w:r>
      <w:r w:rsidR="009C713D" w:rsidRPr="00382917">
        <w:t>“</w:t>
      </w:r>
      <w:r w:rsidRPr="00382917">
        <w:t>false</w:t>
      </w:r>
      <w:r w:rsidR="00EE4FC3">
        <w:t xml:space="preserve"> </w:t>
      </w:r>
      <w:r w:rsidRPr="00382917">
        <w:t>prophet</w:t>
      </w:r>
      <w:r w:rsidR="009C713D" w:rsidRPr="00382917">
        <w:t>”</w:t>
      </w:r>
      <w:r w:rsidR="00EE4FC3">
        <w:t xml:space="preserve"> </w:t>
      </w:r>
      <w:r w:rsidRPr="00382917">
        <w:t>were</w:t>
      </w:r>
      <w:r w:rsidR="00EE4FC3">
        <w:t xml:space="preserve"> </w:t>
      </w:r>
      <w:proofErr w:type="gramStart"/>
      <w:r w:rsidRPr="00382917">
        <w:t>many,</w:t>
      </w:r>
      <w:proofErr w:type="gramEnd"/>
      <w:r w:rsidR="00EE4FC3">
        <w:t xml:space="preserve"> </w:t>
      </w:r>
      <w:r w:rsidRPr="00382917">
        <w:t>those</w:t>
      </w:r>
      <w:r w:rsidR="00EE4FC3">
        <w:t xml:space="preserve"> </w:t>
      </w:r>
      <w:r w:rsidRPr="00382917">
        <w:t>who</w:t>
      </w:r>
      <w:r w:rsidR="00EE4FC3">
        <w:t xml:space="preserve"> </w:t>
      </w:r>
      <w:r w:rsidRPr="00382917">
        <w:t>believed</w:t>
      </w:r>
      <w:r w:rsidR="00EE4FC3">
        <w:t xml:space="preserve"> </w:t>
      </w:r>
      <w:r w:rsidRPr="00382917">
        <w:t>in</w:t>
      </w:r>
      <w:r w:rsidR="00EE4FC3">
        <w:t xml:space="preserve"> </w:t>
      </w:r>
      <w:r w:rsidRPr="00382917">
        <w:t>Him</w:t>
      </w:r>
      <w:r w:rsidR="00EE4FC3">
        <w:t xml:space="preserve"> </w:t>
      </w:r>
      <w:r w:rsidRPr="00382917">
        <w:t>were</w:t>
      </w:r>
      <w:r w:rsidR="00EE4FC3">
        <w:t xml:space="preserve"> </w:t>
      </w:r>
      <w:r w:rsidRPr="00382917">
        <w:t>few</w:t>
      </w:r>
      <w:r w:rsidR="00552489">
        <w:t>.</w:t>
      </w:r>
      <w:r w:rsidR="00EE4FC3">
        <w:t xml:space="preserve">  </w:t>
      </w:r>
      <w:r w:rsidRPr="00382917">
        <w:t>One</w:t>
      </w:r>
      <w:r w:rsidR="00EE4FC3">
        <w:t xml:space="preserve"> </w:t>
      </w:r>
      <w:r w:rsidRPr="00382917">
        <w:t>of</w:t>
      </w:r>
      <w:r w:rsidR="00EE4FC3">
        <w:t xml:space="preserve"> </w:t>
      </w:r>
      <w:r w:rsidRPr="00382917">
        <w:t>His</w:t>
      </w:r>
      <w:r w:rsidR="00EE4FC3">
        <w:t xml:space="preserve"> </w:t>
      </w:r>
      <w:r w:rsidRPr="00382917">
        <w:t>chosen</w:t>
      </w:r>
      <w:r w:rsidR="00EE4FC3">
        <w:t xml:space="preserve"> </w:t>
      </w:r>
      <w:r w:rsidRPr="00382917">
        <w:t>disciples</w:t>
      </w:r>
      <w:r w:rsidR="00EE4FC3">
        <w:t xml:space="preserve"> </w:t>
      </w:r>
      <w:r w:rsidRPr="00382917">
        <w:t>had</w:t>
      </w:r>
      <w:r w:rsidR="00EE4FC3">
        <w:t xml:space="preserve"> </w:t>
      </w:r>
      <w:r w:rsidRPr="00382917">
        <w:t>betrayed</w:t>
      </w:r>
      <w:r w:rsidR="00EE4FC3">
        <w:t xml:space="preserve"> </w:t>
      </w:r>
      <w:r w:rsidRPr="00382917">
        <w:t>Him</w:t>
      </w:r>
      <w:r w:rsidR="00EE4FC3">
        <w:t xml:space="preserve"> </w:t>
      </w:r>
      <w:r w:rsidRPr="00382917">
        <w:t>for</w:t>
      </w:r>
      <w:r w:rsidR="00EE4FC3">
        <w:t xml:space="preserve"> </w:t>
      </w:r>
      <w:r w:rsidRPr="00382917">
        <w:t>money</w:t>
      </w:r>
      <w:r w:rsidR="002B6A79">
        <w:t>;</w:t>
      </w:r>
      <w:r w:rsidR="00EE4FC3">
        <w:t xml:space="preserve"> </w:t>
      </w:r>
      <w:r w:rsidRPr="00382917">
        <w:t>another</w:t>
      </w:r>
      <w:r w:rsidR="00EE4FC3">
        <w:t xml:space="preserve"> </w:t>
      </w:r>
      <w:r w:rsidRPr="00382917">
        <w:t>had</w:t>
      </w:r>
      <w:r w:rsidR="00EE4FC3">
        <w:t xml:space="preserve"> </w:t>
      </w:r>
      <w:r w:rsidRPr="00382917">
        <w:t>denied</w:t>
      </w:r>
      <w:r w:rsidR="00EE4FC3">
        <w:t xml:space="preserve"> </w:t>
      </w:r>
      <w:r w:rsidRPr="00382917">
        <w:t>Him</w:t>
      </w:r>
      <w:r w:rsidR="00EE4FC3">
        <w:t xml:space="preserve"> </w:t>
      </w:r>
      <w:r w:rsidRPr="00382917">
        <w:t>three</w:t>
      </w:r>
      <w:r w:rsidR="00EE4FC3">
        <w:t xml:space="preserve"> </w:t>
      </w:r>
      <w:r w:rsidRPr="00382917">
        <w:t>times</w:t>
      </w:r>
      <w:r w:rsidR="00552489">
        <w:t>.</w:t>
      </w:r>
      <w:r w:rsidR="00EE4FC3">
        <w:t xml:space="preserve">  </w:t>
      </w:r>
      <w:r w:rsidRPr="00382917">
        <w:t>When</w:t>
      </w:r>
      <w:r w:rsidR="00EE4FC3">
        <w:t xml:space="preserve"> </w:t>
      </w:r>
      <w:r w:rsidRPr="00382917">
        <w:t>His</w:t>
      </w:r>
      <w:r w:rsidR="00EE4FC3">
        <w:t xml:space="preserve"> </w:t>
      </w:r>
      <w:r w:rsidRPr="00382917">
        <w:t>enemies</w:t>
      </w:r>
      <w:r w:rsidR="00EE4FC3">
        <w:t xml:space="preserve"> </w:t>
      </w:r>
      <w:r w:rsidRPr="00382917">
        <w:t>came</w:t>
      </w:r>
      <w:r w:rsidR="00EE4FC3">
        <w:t xml:space="preserve"> </w:t>
      </w:r>
      <w:r w:rsidRPr="00382917">
        <w:t>against</w:t>
      </w:r>
      <w:r w:rsidR="00EE4FC3">
        <w:t xml:space="preserve"> </w:t>
      </w:r>
      <w:r w:rsidRPr="00382917">
        <w:t>Him</w:t>
      </w:r>
      <w:r w:rsidR="00EE4FC3">
        <w:t xml:space="preserve"> </w:t>
      </w:r>
      <w:r w:rsidRPr="00382917">
        <w:t>in</w:t>
      </w:r>
      <w:r w:rsidR="00EE4FC3">
        <w:t xml:space="preserve"> </w:t>
      </w:r>
      <w:r w:rsidRPr="00382917">
        <w:t>the</w:t>
      </w:r>
      <w:r w:rsidR="00EE4FC3">
        <w:t xml:space="preserve"> </w:t>
      </w:r>
      <w:r w:rsidRPr="00382917">
        <w:t>garden</w:t>
      </w:r>
      <w:r w:rsidR="00EE4FC3">
        <w:t xml:space="preserve"> </w:t>
      </w:r>
      <w:r w:rsidRPr="00382917">
        <w:t>of</w:t>
      </w:r>
      <w:r w:rsidR="00EE4FC3">
        <w:t xml:space="preserve"> </w:t>
      </w:r>
      <w:r w:rsidRPr="00382917">
        <w:t>Gethsemane</w:t>
      </w:r>
      <w:r w:rsidR="00EE4FC3">
        <w:t xml:space="preserve"> </w:t>
      </w:r>
      <w:r w:rsidRPr="00382917">
        <w:t>with</w:t>
      </w:r>
      <w:r w:rsidR="00EE4FC3">
        <w:t xml:space="preserve"> </w:t>
      </w:r>
      <w:r w:rsidRPr="00382917">
        <w:t>swords</w:t>
      </w:r>
      <w:r w:rsidR="00EE4FC3">
        <w:t xml:space="preserve"> </w:t>
      </w:r>
      <w:r w:rsidRPr="00382917">
        <w:t>and</w:t>
      </w:r>
      <w:r w:rsidR="00EE4FC3">
        <w:t xml:space="preserve"> </w:t>
      </w:r>
      <w:r w:rsidRPr="00382917">
        <w:t>stones,</w:t>
      </w:r>
      <w:r w:rsidR="00EE4FC3">
        <w:t xml:space="preserve"> </w:t>
      </w:r>
      <w:r w:rsidRPr="00382917">
        <w:t>His</w:t>
      </w:r>
      <w:r w:rsidR="00EE4FC3">
        <w:t xml:space="preserve"> </w:t>
      </w:r>
      <w:r w:rsidRPr="00382917">
        <w:t>most</w:t>
      </w:r>
      <w:r w:rsidR="00EE4FC3">
        <w:t xml:space="preserve"> </w:t>
      </w:r>
      <w:r w:rsidRPr="00382917">
        <w:t>trusted</w:t>
      </w:r>
      <w:r w:rsidR="00EE4FC3">
        <w:t xml:space="preserve"> </w:t>
      </w:r>
      <w:r w:rsidRPr="00382917">
        <w:t>disciples</w:t>
      </w:r>
      <w:r w:rsidR="00EE4FC3">
        <w:t xml:space="preserve"> </w:t>
      </w:r>
      <w:r w:rsidRPr="00382917">
        <w:t>deserted</w:t>
      </w:r>
      <w:r w:rsidR="00EE4FC3">
        <w:t xml:space="preserve"> </w:t>
      </w:r>
      <w:r w:rsidRPr="00382917">
        <w:t>Him,</w:t>
      </w:r>
      <w:r w:rsidR="00EE4FC3">
        <w:t xml:space="preserve"> </w:t>
      </w:r>
      <w:r w:rsidRPr="00382917">
        <w:t>fear</w:t>
      </w:r>
      <w:r w:rsidR="00EE4FC3">
        <w:t xml:space="preserve"> </w:t>
      </w:r>
      <w:r w:rsidRPr="00382917">
        <w:t>overcoming</w:t>
      </w:r>
      <w:r w:rsidR="00EE4FC3">
        <w:t xml:space="preserve"> </w:t>
      </w:r>
      <w:r w:rsidRPr="00382917">
        <w:t>their</w:t>
      </w:r>
      <w:r w:rsidR="00EE4FC3">
        <w:t xml:space="preserve"> </w:t>
      </w:r>
      <w:r w:rsidRPr="00382917">
        <w:t>faith</w:t>
      </w:r>
      <w:r w:rsidR="00C03C91">
        <w:t>:</w:t>
      </w:r>
      <w:r w:rsidR="00EE4FC3">
        <w:t xml:space="preserve">  </w:t>
      </w:r>
      <w:r w:rsidR="009C713D" w:rsidRPr="00382917">
        <w:t>“</w:t>
      </w:r>
      <w:r w:rsidRPr="00382917">
        <w:t>Then</w:t>
      </w:r>
      <w:r w:rsidR="00EE4FC3">
        <w:t xml:space="preserve"> </w:t>
      </w:r>
      <w:r w:rsidRPr="00382917">
        <w:t>all</w:t>
      </w:r>
      <w:r w:rsidR="00EE4FC3">
        <w:t xml:space="preserve"> </w:t>
      </w:r>
      <w:r w:rsidRPr="00382917">
        <w:t>the</w:t>
      </w:r>
      <w:r w:rsidR="00EE4FC3">
        <w:t xml:space="preserve"> </w:t>
      </w:r>
      <w:r w:rsidRPr="00382917">
        <w:t>disciples</w:t>
      </w:r>
      <w:r w:rsidR="00EE4FC3">
        <w:t xml:space="preserve"> </w:t>
      </w:r>
      <w:r w:rsidRPr="00382917">
        <w:t>forsook</w:t>
      </w:r>
      <w:r w:rsidR="00EE4FC3">
        <w:t xml:space="preserve"> </w:t>
      </w:r>
      <w:r w:rsidRPr="00382917">
        <w:t>Him,</w:t>
      </w:r>
      <w:r w:rsidR="00EE4FC3">
        <w:t xml:space="preserve"> </w:t>
      </w:r>
      <w:r w:rsidRPr="00382917">
        <w:t>and</w:t>
      </w:r>
      <w:r w:rsidR="00EE4FC3">
        <w:t xml:space="preserve"> </w:t>
      </w:r>
      <w:r w:rsidRPr="00382917">
        <w:t>fled.</w:t>
      </w:r>
      <w:r w:rsidR="009C713D" w:rsidRPr="00382917">
        <w:t>”</w:t>
      </w:r>
      <w:r w:rsidR="00EE4FC3">
        <w:t xml:space="preserve"> </w:t>
      </w:r>
      <w:r w:rsidR="002B6A79">
        <w:t xml:space="preserve"> </w:t>
      </w:r>
      <w:r w:rsidRPr="00382917">
        <w:t>No</w:t>
      </w:r>
      <w:r w:rsidR="00EE4FC3">
        <w:t xml:space="preserve"> </w:t>
      </w:r>
      <w:r w:rsidRPr="00382917">
        <w:t>wonder</w:t>
      </w:r>
      <w:r w:rsidR="00EE4FC3">
        <w:t xml:space="preserve"> </w:t>
      </w:r>
      <w:r w:rsidRPr="00382917">
        <w:t>Christ</w:t>
      </w:r>
      <w:r w:rsidR="00EE4FC3">
        <w:t xml:space="preserve"> </w:t>
      </w:r>
      <w:r w:rsidRPr="00382917">
        <w:t>repeatedly</w:t>
      </w:r>
      <w:r w:rsidR="00EE4FC3">
        <w:t xml:space="preserve"> </w:t>
      </w:r>
      <w:r w:rsidRPr="00382917">
        <w:t>warned</w:t>
      </w:r>
      <w:r w:rsidR="00EE4FC3">
        <w:t xml:space="preserve"> </w:t>
      </w:r>
      <w:r w:rsidRPr="00382917">
        <w:t>His</w:t>
      </w:r>
      <w:r w:rsidR="00EE4FC3">
        <w:t xml:space="preserve"> </w:t>
      </w:r>
      <w:r w:rsidRPr="00382917">
        <w:t>followers</w:t>
      </w:r>
      <w:r w:rsidR="00EE4FC3">
        <w:t xml:space="preserve"> </w:t>
      </w:r>
      <w:r w:rsidRPr="00382917">
        <w:t>not</w:t>
      </w:r>
      <w:r w:rsidR="00EE4FC3">
        <w:t xml:space="preserve"> </w:t>
      </w:r>
      <w:r w:rsidRPr="00382917">
        <w:t>to</w:t>
      </w:r>
      <w:r w:rsidR="00EE4FC3">
        <w:t xml:space="preserve"> </w:t>
      </w:r>
      <w:r w:rsidRPr="00382917">
        <w:t>make</w:t>
      </w:r>
      <w:r w:rsidR="00EE4FC3">
        <w:t xml:space="preserve"> </w:t>
      </w:r>
      <w:r w:rsidRPr="00382917">
        <w:t>this</w:t>
      </w:r>
      <w:r w:rsidR="00EE4FC3">
        <w:t xml:space="preserve"> </w:t>
      </w:r>
      <w:r w:rsidRPr="00382917">
        <w:t>same</w:t>
      </w:r>
      <w:r w:rsidR="00EE4FC3">
        <w:t xml:space="preserve"> </w:t>
      </w:r>
      <w:r w:rsidRPr="00382917">
        <w:t>mistake</w:t>
      </w:r>
      <w:r w:rsidR="00EE4FC3">
        <w:t xml:space="preserve"> </w:t>
      </w:r>
      <w:r w:rsidRPr="00382917">
        <w:t>in</w:t>
      </w:r>
      <w:r w:rsidR="00EE4FC3">
        <w:t xml:space="preserve"> </w:t>
      </w:r>
      <w:r w:rsidRPr="00382917">
        <w:t>the</w:t>
      </w:r>
      <w:r w:rsidR="00EE4FC3">
        <w:t xml:space="preserve"> </w:t>
      </w:r>
      <w:r w:rsidRPr="00382917">
        <w:t>hour</w:t>
      </w:r>
      <w:r w:rsidR="00EE4FC3">
        <w:t xml:space="preserve"> </w:t>
      </w:r>
      <w:r w:rsidRPr="00382917">
        <w:t>of</w:t>
      </w:r>
      <w:r w:rsidR="00EE4FC3">
        <w:t xml:space="preserve"> </w:t>
      </w:r>
      <w:r w:rsidRPr="00382917">
        <w:t>His</w:t>
      </w:r>
      <w:r w:rsidR="00EE4FC3">
        <w:t xml:space="preserve"> </w:t>
      </w:r>
      <w:r w:rsidRPr="00382917">
        <w:t>return.</w:t>
      </w:r>
    </w:p>
    <w:p w:rsidR="00300E83" w:rsidRPr="00382917" w:rsidRDefault="009C713D" w:rsidP="002B6A79">
      <w:pPr>
        <w:pStyle w:val="Quote"/>
      </w:pPr>
      <w:r w:rsidRPr="00382917">
        <w:t>“</w:t>
      </w:r>
      <w:r w:rsidR="00300E83" w:rsidRPr="00382917">
        <w:t>Watch</w:t>
      </w:r>
      <w:r w:rsidR="00EE4FC3">
        <w:t xml:space="preserve"> </w:t>
      </w:r>
      <w:r w:rsidR="00300E83" w:rsidRPr="00382917">
        <w:t>ye</w:t>
      </w:r>
      <w:r w:rsidR="00EE4FC3">
        <w:t xml:space="preserve"> </w:t>
      </w:r>
      <w:r w:rsidR="00300E83" w:rsidRPr="00382917">
        <w:t>therefore,</w:t>
      </w:r>
      <w:r w:rsidRPr="00382917">
        <w:t>”</w:t>
      </w:r>
      <w:r w:rsidR="00EE4FC3">
        <w:t xml:space="preserve"> </w:t>
      </w:r>
      <w:r w:rsidR="00300E83" w:rsidRPr="00382917">
        <w:t>He</w:t>
      </w:r>
      <w:r w:rsidR="00EE4FC3">
        <w:t xml:space="preserve"> </w:t>
      </w:r>
      <w:r w:rsidR="00300E83" w:rsidRPr="00382917">
        <w:t>warned</w:t>
      </w:r>
      <w:r w:rsidR="00EE4FC3">
        <w:t xml:space="preserve"> </w:t>
      </w:r>
      <w:r w:rsidR="00300E83" w:rsidRPr="00382917">
        <w:t>them,</w:t>
      </w:r>
      <w:r w:rsidR="00EE4FC3">
        <w:t xml:space="preserve"> </w:t>
      </w:r>
      <w:r w:rsidRPr="00382917">
        <w:t>“</w:t>
      </w:r>
      <w:r w:rsidR="00300E83" w:rsidRPr="00382917">
        <w:t>for</w:t>
      </w:r>
      <w:r w:rsidR="00EE4FC3">
        <w:t xml:space="preserve"> </w:t>
      </w:r>
      <w:r w:rsidR="00300E83" w:rsidRPr="00382917">
        <w:t>ye</w:t>
      </w:r>
      <w:r w:rsidR="00EE4FC3">
        <w:t xml:space="preserve"> </w:t>
      </w:r>
      <w:r w:rsidR="00300E83" w:rsidRPr="00382917">
        <w:t>know</w:t>
      </w:r>
      <w:r w:rsidR="00EE4FC3">
        <w:t xml:space="preserve"> </w:t>
      </w:r>
      <w:r w:rsidR="00300E83" w:rsidRPr="00382917">
        <w:t>not</w:t>
      </w:r>
      <w:r w:rsidR="00EE4FC3">
        <w:t xml:space="preserve"> </w:t>
      </w:r>
      <w:r w:rsidR="00300E83" w:rsidRPr="00382917">
        <w:t>when</w:t>
      </w:r>
      <w:r w:rsidR="00EE4FC3">
        <w:t xml:space="preserve"> </w:t>
      </w:r>
      <w:r w:rsidR="00300E83" w:rsidRPr="00382917">
        <w:t>the</w:t>
      </w:r>
      <w:r w:rsidR="00EE4FC3">
        <w:t xml:space="preserve"> </w:t>
      </w:r>
      <w:r w:rsidR="00300E83" w:rsidRPr="00382917">
        <w:t>master</w:t>
      </w:r>
      <w:r w:rsidR="00EE4FC3">
        <w:t xml:space="preserve"> </w:t>
      </w:r>
      <w:r w:rsidR="00300E83" w:rsidRPr="00382917">
        <w:t>of</w:t>
      </w:r>
      <w:r w:rsidR="00EE4FC3">
        <w:t xml:space="preserve"> </w:t>
      </w:r>
      <w:r w:rsidR="00300E83" w:rsidRPr="00382917">
        <w:t>the</w:t>
      </w:r>
      <w:r w:rsidR="00EE4FC3">
        <w:t xml:space="preserve"> </w:t>
      </w:r>
      <w:r w:rsidR="00300E83" w:rsidRPr="00382917">
        <w:t>house</w:t>
      </w:r>
      <w:r w:rsidR="00EE4FC3">
        <w:t xml:space="preserve"> </w:t>
      </w:r>
      <w:r w:rsidR="00300E83" w:rsidRPr="00382917">
        <w:t>cometh,</w:t>
      </w:r>
      <w:r w:rsidR="00EE4FC3">
        <w:t xml:space="preserve"> </w:t>
      </w:r>
      <w:r w:rsidR="00300E83" w:rsidRPr="00382917">
        <w:t>at</w:t>
      </w:r>
      <w:r w:rsidR="00EE4FC3">
        <w:t xml:space="preserve"> </w:t>
      </w:r>
      <w:r w:rsidR="00300E83" w:rsidRPr="00382917">
        <w:t>even,</w:t>
      </w:r>
      <w:r w:rsidR="00EE4FC3">
        <w:t xml:space="preserve"> </w:t>
      </w:r>
      <w:r w:rsidR="00300E83" w:rsidRPr="00382917">
        <w:t>or</w:t>
      </w:r>
      <w:r w:rsidR="00EE4FC3">
        <w:t xml:space="preserve"> </w:t>
      </w:r>
      <w:r w:rsidR="00300E83" w:rsidRPr="00382917">
        <w:t>at</w:t>
      </w:r>
      <w:r w:rsidR="00EE4FC3">
        <w:t xml:space="preserve"> </w:t>
      </w:r>
      <w:r w:rsidR="00300E83" w:rsidRPr="00382917">
        <w:t>midnight,</w:t>
      </w:r>
      <w:r w:rsidR="00EE4FC3">
        <w:t xml:space="preserve"> </w:t>
      </w:r>
      <w:r w:rsidR="00300E83" w:rsidRPr="00382917">
        <w:t>or</w:t>
      </w:r>
      <w:r w:rsidR="00EE4FC3">
        <w:t xml:space="preserve"> </w:t>
      </w:r>
      <w:r w:rsidR="00300E83" w:rsidRPr="00382917">
        <w:t>at</w:t>
      </w:r>
      <w:r w:rsidR="00EE4FC3">
        <w:t xml:space="preserve"> </w:t>
      </w:r>
      <w:r w:rsidR="00300E83" w:rsidRPr="00382917">
        <w:t>the</w:t>
      </w:r>
      <w:r w:rsidR="00EE4FC3">
        <w:t xml:space="preserve"> </w:t>
      </w:r>
      <w:r w:rsidR="00300E83" w:rsidRPr="00382917">
        <w:t>cock-crowing,</w:t>
      </w:r>
      <w:r w:rsidR="00EE4FC3">
        <w:t xml:space="preserve"> </w:t>
      </w:r>
      <w:r w:rsidR="00300E83" w:rsidRPr="00382917">
        <w:t>or</w:t>
      </w:r>
      <w:r w:rsidR="00EE4FC3">
        <w:t xml:space="preserve"> </w:t>
      </w:r>
      <w:r w:rsidR="00300E83" w:rsidRPr="00382917">
        <w:t>in</w:t>
      </w:r>
      <w:r w:rsidR="00EE4FC3">
        <w:t xml:space="preserve"> </w:t>
      </w:r>
      <w:r w:rsidR="00300E83" w:rsidRPr="00382917">
        <w:t>the</w:t>
      </w:r>
      <w:r w:rsidR="00EE4FC3">
        <w:t xml:space="preserve"> </w:t>
      </w:r>
      <w:r w:rsidR="00300E83" w:rsidRPr="00382917">
        <w:t>morning</w:t>
      </w:r>
      <w:r w:rsidR="00552489">
        <w:t>.</w:t>
      </w:r>
      <w:r w:rsidR="00EE4FC3">
        <w:t xml:space="preserve">  </w:t>
      </w:r>
      <w:r w:rsidR="00300E83" w:rsidRPr="00382917">
        <w:t>Lest</w:t>
      </w:r>
      <w:r w:rsidR="00EE4FC3">
        <w:t xml:space="preserve"> </w:t>
      </w:r>
      <w:r w:rsidR="00300E83" w:rsidRPr="00382917">
        <w:t>coming</w:t>
      </w:r>
      <w:r w:rsidR="00EE4FC3">
        <w:t xml:space="preserve"> </w:t>
      </w:r>
      <w:r w:rsidR="00300E83" w:rsidRPr="00382917">
        <w:t>suddenly</w:t>
      </w:r>
      <w:r w:rsidR="00EE4FC3">
        <w:t xml:space="preserve"> </w:t>
      </w:r>
      <w:r w:rsidR="00300E83" w:rsidRPr="00382917">
        <w:t>he</w:t>
      </w:r>
      <w:r w:rsidR="00EE4FC3">
        <w:t xml:space="preserve"> </w:t>
      </w:r>
      <w:proofErr w:type="gramStart"/>
      <w:r w:rsidR="00300E83" w:rsidRPr="00382917">
        <w:t>find</w:t>
      </w:r>
      <w:proofErr w:type="gramEnd"/>
      <w:r w:rsidR="00EE4FC3">
        <w:t xml:space="preserve"> </w:t>
      </w:r>
      <w:r w:rsidR="00300E83" w:rsidRPr="00382917">
        <w:t>you</w:t>
      </w:r>
      <w:r w:rsidR="00EE4FC3">
        <w:t xml:space="preserve"> </w:t>
      </w:r>
      <w:r w:rsidR="00300E83" w:rsidRPr="00382917">
        <w:t>sleeping.</w:t>
      </w:r>
      <w:r w:rsidRPr="00382917">
        <w:t>”</w:t>
      </w:r>
      <w:r w:rsidR="002B6A79">
        <w:rPr>
          <w:rStyle w:val="FootnoteReference"/>
        </w:rPr>
        <w:footnoteReference w:id="332"/>
      </w:r>
    </w:p>
    <w:p w:rsidR="00300E83" w:rsidRPr="00382917" w:rsidRDefault="00300E83" w:rsidP="002B6A79">
      <w:pPr>
        <w:pStyle w:val="Quote"/>
      </w:pPr>
      <w:r w:rsidRPr="00382917">
        <w:t>Thus,</w:t>
      </w:r>
      <w:r w:rsidR="00EE4FC3">
        <w:t xml:space="preserve"> </w:t>
      </w:r>
      <w:r w:rsidRPr="00382917">
        <w:t>Jesus</w:t>
      </w:r>
      <w:r w:rsidR="00EE4FC3">
        <w:t xml:space="preserve"> </w:t>
      </w:r>
      <w:r w:rsidRPr="00382917">
        <w:t>warned</w:t>
      </w:r>
      <w:r w:rsidR="00EE4FC3">
        <w:t xml:space="preserve"> </w:t>
      </w:r>
      <w:r w:rsidRPr="00382917">
        <w:t>all</w:t>
      </w:r>
      <w:r w:rsidR="00EE4FC3">
        <w:t xml:space="preserve"> </w:t>
      </w:r>
      <w:r w:rsidRPr="00382917">
        <w:t>future</w:t>
      </w:r>
      <w:r w:rsidR="00EE4FC3">
        <w:t xml:space="preserve"> </w:t>
      </w:r>
      <w:r w:rsidRPr="00382917">
        <w:t>humanity</w:t>
      </w:r>
      <w:r w:rsidR="00EE4FC3">
        <w:t xml:space="preserve"> </w:t>
      </w:r>
      <w:r w:rsidRPr="00382917">
        <w:t>through</w:t>
      </w:r>
      <w:r w:rsidR="00EE4FC3">
        <w:t xml:space="preserve"> </w:t>
      </w:r>
      <w:r w:rsidRPr="00382917">
        <w:t>His</w:t>
      </w:r>
      <w:r w:rsidR="00EE4FC3">
        <w:t xml:space="preserve"> </w:t>
      </w:r>
      <w:r w:rsidRPr="00382917">
        <w:t>followers</w:t>
      </w:r>
      <w:r w:rsidR="00C03C91">
        <w:t>:</w:t>
      </w:r>
      <w:r w:rsidR="00EE4FC3">
        <w:t xml:space="preserve">  </w:t>
      </w:r>
      <w:r w:rsidR="009C713D" w:rsidRPr="00382917">
        <w:t>“</w:t>
      </w:r>
      <w:r w:rsidRPr="00382917">
        <w:t>And</w:t>
      </w:r>
      <w:r w:rsidR="00EE4FC3">
        <w:t xml:space="preserve"> </w:t>
      </w:r>
      <w:r w:rsidRPr="00382917">
        <w:t>what</w:t>
      </w:r>
      <w:r w:rsidR="00EE4FC3">
        <w:t xml:space="preserve"> </w:t>
      </w:r>
      <w:r w:rsidRPr="00382917">
        <w:t>I</w:t>
      </w:r>
      <w:r w:rsidR="00EE4FC3">
        <w:t xml:space="preserve"> </w:t>
      </w:r>
      <w:r w:rsidRPr="00382917">
        <w:t>say</w:t>
      </w:r>
      <w:r w:rsidR="00EE4FC3">
        <w:t xml:space="preserve"> </w:t>
      </w:r>
      <w:r w:rsidRPr="00382917">
        <w:t>unto</w:t>
      </w:r>
      <w:r w:rsidR="00EE4FC3">
        <w:t xml:space="preserve"> </w:t>
      </w:r>
      <w:r w:rsidRPr="00382917">
        <w:t>you,</w:t>
      </w:r>
      <w:r w:rsidR="00EE4FC3">
        <w:t xml:space="preserve"> </w:t>
      </w:r>
      <w:r w:rsidRPr="00382917">
        <w:t>I</w:t>
      </w:r>
      <w:r w:rsidR="00EE4FC3">
        <w:t xml:space="preserve"> </w:t>
      </w:r>
      <w:r w:rsidRPr="00382917">
        <w:t>say</w:t>
      </w:r>
      <w:r w:rsidR="00EE4FC3">
        <w:t xml:space="preserve"> </w:t>
      </w:r>
      <w:r w:rsidRPr="00382917">
        <w:t>unto</w:t>
      </w:r>
      <w:r w:rsidR="00EE4FC3">
        <w:t xml:space="preserve"> </w:t>
      </w:r>
      <w:r w:rsidRPr="00382917">
        <w:t>all,</w:t>
      </w:r>
      <w:r w:rsidR="00EE4FC3">
        <w:t xml:space="preserve"> </w:t>
      </w:r>
      <w:r w:rsidRPr="00382917">
        <w:t>Watch!</w:t>
      </w:r>
      <w:r w:rsidR="009C713D" w:rsidRPr="00382917">
        <w:t>”</w:t>
      </w:r>
      <w:r w:rsidR="002B6A79">
        <w:rPr>
          <w:rStyle w:val="FootnoteReference"/>
        </w:rPr>
        <w:footnoteReference w:id="333"/>
      </w:r>
    </w:p>
    <w:p w:rsidR="00300E83" w:rsidRPr="00382917" w:rsidRDefault="00300E83" w:rsidP="00650F8F">
      <w:pPr>
        <w:pStyle w:val="Text"/>
      </w:pPr>
      <w:r w:rsidRPr="00382917">
        <w:t>In</w:t>
      </w:r>
      <w:r w:rsidR="00EE4FC3">
        <w:t xml:space="preserve"> </w:t>
      </w:r>
      <w:r w:rsidRPr="00382917">
        <w:t>the</w:t>
      </w:r>
      <w:r w:rsidR="00EE4FC3">
        <w:t xml:space="preserve"> </w:t>
      </w:r>
      <w:r w:rsidRPr="00382917">
        <w:t>twenty-fourth</w:t>
      </w:r>
      <w:r w:rsidR="00EE4FC3">
        <w:t xml:space="preserve"> </w:t>
      </w:r>
      <w:r w:rsidRPr="00382917">
        <w:t>chapter</w:t>
      </w:r>
      <w:r w:rsidR="00EE4FC3">
        <w:t xml:space="preserve"> </w:t>
      </w:r>
      <w:r w:rsidRPr="00382917">
        <w:t>of</w:t>
      </w:r>
      <w:r w:rsidR="00EE4FC3">
        <w:t xml:space="preserve"> </w:t>
      </w:r>
      <w:r w:rsidRPr="00382917">
        <w:t>Matthew</w:t>
      </w:r>
      <w:r w:rsidR="00EE4FC3">
        <w:t xml:space="preserve"> </w:t>
      </w:r>
      <w:r w:rsidRPr="00382917">
        <w:t>where</w:t>
      </w:r>
      <w:r w:rsidR="00EE4FC3">
        <w:t xml:space="preserve"> </w:t>
      </w:r>
      <w:r w:rsidRPr="00382917">
        <w:t>we</w:t>
      </w:r>
      <w:r w:rsidR="00EE4FC3">
        <w:t xml:space="preserve"> </w:t>
      </w:r>
      <w:r w:rsidRPr="00382917">
        <w:t>hear</w:t>
      </w:r>
      <w:r w:rsidR="00EE4FC3">
        <w:t xml:space="preserve"> </w:t>
      </w:r>
      <w:r w:rsidRPr="00382917">
        <w:t>Christ</w:t>
      </w:r>
      <w:r w:rsidR="00EE4FC3">
        <w:t xml:space="preserve"> </w:t>
      </w:r>
      <w:r w:rsidRPr="00382917">
        <w:t>foretelling</w:t>
      </w:r>
      <w:r w:rsidR="00EE4FC3">
        <w:t xml:space="preserve"> </w:t>
      </w:r>
      <w:r w:rsidRPr="00382917">
        <w:t>the</w:t>
      </w:r>
      <w:r w:rsidR="00EE4FC3">
        <w:t xml:space="preserve"> </w:t>
      </w:r>
      <w:r w:rsidRPr="00382917">
        <w:t>hour</w:t>
      </w:r>
      <w:r w:rsidR="00EE4FC3">
        <w:t xml:space="preserve"> </w:t>
      </w:r>
      <w:r w:rsidRPr="00382917">
        <w:t>of</w:t>
      </w:r>
      <w:r w:rsidR="00EE4FC3">
        <w:t xml:space="preserve"> </w:t>
      </w:r>
      <w:r w:rsidRPr="00382917">
        <w:t>His</w:t>
      </w:r>
      <w:r w:rsidR="00EE4FC3">
        <w:t xml:space="preserve"> </w:t>
      </w:r>
      <w:r w:rsidRPr="00382917">
        <w:t>return</w:t>
      </w:r>
      <w:r w:rsidR="00EE4FC3">
        <w:t xml:space="preserve"> </w:t>
      </w:r>
      <w:r w:rsidRPr="00382917">
        <w:t>(1844),</w:t>
      </w:r>
      <w:r w:rsidR="00EE4FC3">
        <w:t xml:space="preserve"> </w:t>
      </w:r>
      <w:r w:rsidRPr="00382917">
        <w:t>He</w:t>
      </w:r>
      <w:r w:rsidR="00EE4FC3">
        <w:t xml:space="preserve"> </w:t>
      </w:r>
      <w:r w:rsidRPr="00382917">
        <w:t>once</w:t>
      </w:r>
      <w:r w:rsidR="00EE4FC3">
        <w:t xml:space="preserve"> </w:t>
      </w:r>
      <w:r w:rsidRPr="00382917">
        <w:t>again</w:t>
      </w:r>
      <w:r w:rsidR="00EE4FC3">
        <w:t xml:space="preserve"> </w:t>
      </w:r>
      <w:r w:rsidRPr="00382917">
        <w:t>cautions</w:t>
      </w:r>
      <w:r w:rsidR="00EE4FC3">
        <w:t xml:space="preserve"> </w:t>
      </w:r>
      <w:r w:rsidRPr="00382917">
        <w:t>His</w:t>
      </w:r>
      <w:r w:rsidR="00EE4FC3">
        <w:t xml:space="preserve"> </w:t>
      </w:r>
      <w:r w:rsidRPr="00382917">
        <w:t>followers</w:t>
      </w:r>
      <w:r w:rsidR="00EE4FC3">
        <w:t xml:space="preserve"> </w:t>
      </w:r>
      <w:r w:rsidRPr="00382917">
        <w:t>not</w:t>
      </w:r>
      <w:r w:rsidR="00EE4FC3">
        <w:t xml:space="preserve"> </w:t>
      </w:r>
      <w:r w:rsidRPr="00382917">
        <w:t>to</w:t>
      </w:r>
      <w:r w:rsidR="00EE4FC3">
        <w:t xml:space="preserve"> </w:t>
      </w:r>
      <w:r w:rsidRPr="00382917">
        <w:t>misread</w:t>
      </w:r>
      <w:r w:rsidR="00EE4FC3">
        <w:t xml:space="preserve"> </w:t>
      </w:r>
      <w:r w:rsidRPr="00382917">
        <w:t>the</w:t>
      </w:r>
      <w:r w:rsidR="00EE4FC3">
        <w:t xml:space="preserve"> </w:t>
      </w:r>
      <w:r w:rsidRPr="00382917">
        <w:t>signs</w:t>
      </w:r>
      <w:r w:rsidR="00EE4FC3">
        <w:t xml:space="preserve"> </w:t>
      </w:r>
      <w:r w:rsidRPr="00382917">
        <w:t>of</w:t>
      </w:r>
      <w:r w:rsidR="00EE4FC3">
        <w:t xml:space="preserve"> </w:t>
      </w:r>
      <w:r w:rsidRPr="00382917">
        <w:t>His</w:t>
      </w:r>
      <w:r w:rsidR="00EE4FC3">
        <w:t xml:space="preserve"> </w:t>
      </w:r>
      <w:r w:rsidRPr="00382917">
        <w:t>coming</w:t>
      </w:r>
      <w:r w:rsidR="00EE4FC3">
        <w:t xml:space="preserve"> </w:t>
      </w:r>
      <w:r w:rsidRPr="00382917">
        <w:t>and</w:t>
      </w:r>
      <w:r w:rsidR="00EE4FC3">
        <w:t xml:space="preserve"> </w:t>
      </w:r>
      <w:r w:rsidRPr="00382917">
        <w:t>thus</w:t>
      </w:r>
      <w:r w:rsidR="00EE4FC3">
        <w:t xml:space="preserve"> </w:t>
      </w:r>
      <w:r w:rsidRPr="00382917">
        <w:t>be</w:t>
      </w:r>
      <w:r w:rsidR="00EE4FC3">
        <w:t xml:space="preserve"> </w:t>
      </w:r>
      <w:r w:rsidRPr="00382917">
        <w:t>misled</w:t>
      </w:r>
      <w:r w:rsidR="00EE4FC3">
        <w:t xml:space="preserve"> </w:t>
      </w:r>
      <w:r w:rsidRPr="00382917">
        <w:t>into</w:t>
      </w:r>
      <w:r w:rsidR="00EE4FC3">
        <w:t xml:space="preserve"> </w:t>
      </w:r>
      <w:r w:rsidRPr="00382917">
        <w:t>error:</w:t>
      </w:r>
    </w:p>
    <w:p w:rsidR="00300E83" w:rsidRPr="00382917" w:rsidRDefault="009C713D" w:rsidP="002B6A79">
      <w:pPr>
        <w:pStyle w:val="Quote"/>
      </w:pPr>
      <w:r w:rsidRPr="00382917">
        <w:t>“</w:t>
      </w:r>
      <w:r w:rsidR="00300E83" w:rsidRPr="00382917">
        <w:t>But</w:t>
      </w:r>
      <w:r w:rsidR="00EE4FC3">
        <w:t xml:space="preserve"> </w:t>
      </w:r>
      <w:r w:rsidR="00300E83" w:rsidRPr="00382917">
        <w:t>if</w:t>
      </w:r>
      <w:r w:rsidR="00EE4FC3">
        <w:t xml:space="preserve"> </w:t>
      </w:r>
      <w:r w:rsidR="00300E83" w:rsidRPr="00382917">
        <w:t>that</w:t>
      </w:r>
      <w:r w:rsidR="00EE4FC3">
        <w:t xml:space="preserve"> </w:t>
      </w:r>
      <w:r w:rsidR="00300E83" w:rsidRPr="00382917">
        <w:t>evil</w:t>
      </w:r>
      <w:r w:rsidR="00EE4FC3">
        <w:t xml:space="preserve"> </w:t>
      </w:r>
      <w:r w:rsidR="00300E83" w:rsidRPr="00382917">
        <w:t>servant</w:t>
      </w:r>
      <w:r w:rsidR="00EE4FC3">
        <w:t xml:space="preserve"> </w:t>
      </w:r>
      <w:r w:rsidR="00300E83" w:rsidRPr="00382917">
        <w:t>shall</w:t>
      </w:r>
      <w:r w:rsidR="00EE4FC3">
        <w:t xml:space="preserve"> </w:t>
      </w:r>
      <w:r w:rsidR="00300E83" w:rsidRPr="00382917">
        <w:t>say</w:t>
      </w:r>
      <w:r w:rsidR="00EE4FC3">
        <w:t xml:space="preserve"> </w:t>
      </w:r>
      <w:r w:rsidR="00300E83" w:rsidRPr="00382917">
        <w:t>in</w:t>
      </w:r>
      <w:r w:rsidR="00EE4FC3">
        <w:t xml:space="preserve"> </w:t>
      </w:r>
      <w:r w:rsidR="00300E83" w:rsidRPr="00382917">
        <w:t>his</w:t>
      </w:r>
      <w:r w:rsidR="00EE4FC3">
        <w:t xml:space="preserve"> </w:t>
      </w:r>
      <w:r w:rsidR="00300E83" w:rsidRPr="00382917">
        <w:t>heart</w:t>
      </w:r>
      <w:r w:rsidR="00EE4FC3">
        <w:t xml:space="preserve"> </w:t>
      </w:r>
      <w:r w:rsidR="00300E83" w:rsidRPr="00382917">
        <w:t>My</w:t>
      </w:r>
      <w:r w:rsidR="00EE4FC3">
        <w:t xml:space="preserve"> </w:t>
      </w:r>
      <w:r w:rsidR="00300E83" w:rsidRPr="00382917">
        <w:t>lord</w:t>
      </w:r>
      <w:r w:rsidR="00EE4FC3">
        <w:t xml:space="preserve"> </w:t>
      </w:r>
      <w:r w:rsidR="00300E83" w:rsidRPr="00382917">
        <w:t>delayed</w:t>
      </w:r>
      <w:r w:rsidR="00EE4FC3">
        <w:t xml:space="preserve"> </w:t>
      </w:r>
      <w:r w:rsidR="00300E83" w:rsidRPr="00382917">
        <w:t>His</w:t>
      </w:r>
      <w:r w:rsidR="00EE4FC3">
        <w:t xml:space="preserve"> </w:t>
      </w:r>
      <w:r w:rsidR="00300E83" w:rsidRPr="00382917">
        <w:t>coming</w:t>
      </w:r>
      <w:r w:rsidR="00EE4FC3">
        <w:t xml:space="preserve"> </w:t>
      </w:r>
      <w:r w:rsidR="00300E83" w:rsidRPr="00382917">
        <w:t>[and</w:t>
      </w:r>
      <w:r w:rsidR="00EE4FC3">
        <w:t xml:space="preserve"> </w:t>
      </w:r>
      <w:r w:rsidR="00300E83" w:rsidRPr="00382917">
        <w:t>thus</w:t>
      </w:r>
      <w:r w:rsidR="00EE4FC3">
        <w:t xml:space="preserve"> </w:t>
      </w:r>
      <w:r w:rsidR="00300E83" w:rsidRPr="00382917">
        <w:t>not</w:t>
      </w:r>
      <w:r w:rsidR="00EE4FC3">
        <w:t xml:space="preserve"> </w:t>
      </w:r>
      <w:r w:rsidR="00300E83" w:rsidRPr="00382917">
        <w:t>expecting</w:t>
      </w:r>
      <w:r w:rsidR="00EE4FC3">
        <w:t xml:space="preserve"> </w:t>
      </w:r>
      <w:r w:rsidR="00300E83" w:rsidRPr="00382917">
        <w:t>Him,</w:t>
      </w:r>
      <w:r w:rsidR="00EE4FC3">
        <w:t xml:space="preserve"> </w:t>
      </w:r>
      <w:r w:rsidR="00300E83" w:rsidRPr="00382917">
        <w:t>shall</w:t>
      </w:r>
      <w:r w:rsidR="00EE4FC3">
        <w:t xml:space="preserve"> </w:t>
      </w:r>
      <w:r w:rsidR="00300E83" w:rsidRPr="00382917">
        <w:t>deny</w:t>
      </w:r>
      <w:r w:rsidR="00EE4FC3">
        <w:t xml:space="preserve"> </w:t>
      </w:r>
      <w:r w:rsidR="00300E83" w:rsidRPr="00382917">
        <w:t>Him],</w:t>
      </w:r>
      <w:r w:rsidR="00EE4FC3">
        <w:t xml:space="preserve"> </w:t>
      </w:r>
      <w:r w:rsidR="00300E83" w:rsidRPr="00382917">
        <w:t>and</w:t>
      </w:r>
      <w:r w:rsidR="00EE4FC3">
        <w:t xml:space="preserve"> </w:t>
      </w:r>
      <w:r w:rsidR="00300E83" w:rsidRPr="00382917">
        <w:t>shall</w:t>
      </w:r>
      <w:r w:rsidR="00EE4FC3">
        <w:t xml:space="preserve"> </w:t>
      </w:r>
      <w:r w:rsidR="00300E83" w:rsidRPr="00382917">
        <w:t>begin</w:t>
      </w:r>
      <w:r w:rsidR="00EE4FC3">
        <w:t xml:space="preserve"> </w:t>
      </w:r>
      <w:r w:rsidR="00300E83" w:rsidRPr="00382917">
        <w:t>to</w:t>
      </w:r>
      <w:r w:rsidR="00EE4FC3">
        <w:t xml:space="preserve"> </w:t>
      </w:r>
      <w:r w:rsidR="00300E83" w:rsidRPr="00382917">
        <w:t>smite</w:t>
      </w:r>
      <w:r w:rsidR="00EE4FC3">
        <w:t xml:space="preserve"> </w:t>
      </w:r>
      <w:r w:rsidR="00300E83" w:rsidRPr="00382917">
        <w:t>his</w:t>
      </w:r>
      <w:r w:rsidR="00EE4FC3">
        <w:t xml:space="preserve"> </w:t>
      </w:r>
      <w:r w:rsidR="00300E83" w:rsidRPr="00382917">
        <w:t>fellow</w:t>
      </w:r>
      <w:r w:rsidR="00EE4FC3">
        <w:t xml:space="preserve"> </w:t>
      </w:r>
      <w:r w:rsidR="00300E83" w:rsidRPr="00382917">
        <w:t>servants,</w:t>
      </w:r>
      <w:r w:rsidR="00EE4FC3">
        <w:t xml:space="preserve"> </w:t>
      </w:r>
      <w:r w:rsidR="00300E83" w:rsidRPr="00382917">
        <w:t>and</w:t>
      </w:r>
      <w:r w:rsidR="00EE4FC3">
        <w:t xml:space="preserve"> </w:t>
      </w:r>
      <w:r w:rsidR="00300E83" w:rsidRPr="00382917">
        <w:t>to</w:t>
      </w:r>
      <w:r w:rsidR="00EE4FC3">
        <w:t xml:space="preserve"> </w:t>
      </w:r>
      <w:r w:rsidR="00300E83" w:rsidRPr="00382917">
        <w:t>eat</w:t>
      </w:r>
      <w:r w:rsidR="00EE4FC3">
        <w:t xml:space="preserve"> </w:t>
      </w:r>
      <w:r w:rsidR="00300E83" w:rsidRPr="00382917">
        <w:t>and</w:t>
      </w:r>
      <w:r w:rsidR="00EE4FC3">
        <w:t xml:space="preserve"> </w:t>
      </w:r>
      <w:r w:rsidR="00300E83" w:rsidRPr="00382917">
        <w:t>drink</w:t>
      </w:r>
      <w:r w:rsidR="00EE4FC3">
        <w:t xml:space="preserve"> </w:t>
      </w:r>
      <w:r w:rsidR="00300E83" w:rsidRPr="00382917">
        <w:t>with</w:t>
      </w:r>
      <w:r w:rsidR="00EE4FC3">
        <w:t xml:space="preserve"> </w:t>
      </w:r>
      <w:r w:rsidR="00300E83" w:rsidRPr="00382917">
        <w:t>the</w:t>
      </w:r>
      <w:r w:rsidR="00EE4FC3">
        <w:t xml:space="preserve"> </w:t>
      </w:r>
      <w:r w:rsidR="00300E83" w:rsidRPr="00382917">
        <w:t>drunken</w:t>
      </w:r>
      <w:r w:rsidR="00EE4FC3">
        <w:t xml:space="preserve"> </w:t>
      </w:r>
      <w:r w:rsidR="00300E83" w:rsidRPr="00382917">
        <w:t>[become</w:t>
      </w:r>
      <w:r w:rsidR="00EE4FC3">
        <w:t xml:space="preserve"> </w:t>
      </w:r>
      <w:r w:rsidR="00300E83" w:rsidRPr="00382917">
        <w:t>material-minded];</w:t>
      </w:r>
      <w:r w:rsidR="00EE4FC3">
        <w:t xml:space="preserve"> </w:t>
      </w:r>
      <w:r w:rsidR="00300E83" w:rsidRPr="00382917">
        <w:t>the</w:t>
      </w:r>
      <w:r w:rsidR="00EE4FC3">
        <w:t xml:space="preserve"> </w:t>
      </w:r>
      <w:r w:rsidR="00300E83" w:rsidRPr="00382917">
        <w:t>lord</w:t>
      </w:r>
      <w:r w:rsidR="00EE4FC3">
        <w:t xml:space="preserve"> </w:t>
      </w:r>
      <w:r w:rsidR="00300E83" w:rsidRPr="00382917">
        <w:t>of</w:t>
      </w:r>
      <w:r w:rsidR="00EE4FC3">
        <w:t xml:space="preserve"> </w:t>
      </w:r>
      <w:r w:rsidR="00300E83" w:rsidRPr="00382917">
        <w:t>that</w:t>
      </w:r>
      <w:r w:rsidR="00EE4FC3">
        <w:t xml:space="preserve"> </w:t>
      </w:r>
      <w:r w:rsidR="00300E83" w:rsidRPr="00382917">
        <w:t>servant</w:t>
      </w:r>
      <w:r w:rsidR="00EE4FC3">
        <w:t xml:space="preserve"> </w:t>
      </w:r>
      <w:r w:rsidR="00300E83" w:rsidRPr="00382917">
        <w:t>shall</w:t>
      </w:r>
      <w:r w:rsidR="00EE4FC3">
        <w:t xml:space="preserve"> </w:t>
      </w:r>
      <w:r w:rsidR="00300E83" w:rsidRPr="00382917">
        <w:t>come</w:t>
      </w:r>
      <w:r w:rsidR="00EE4FC3">
        <w:t xml:space="preserve"> </w:t>
      </w:r>
      <w:r w:rsidR="00300E83" w:rsidRPr="00382917">
        <w:t>in</w:t>
      </w:r>
      <w:r w:rsidR="00EE4FC3">
        <w:t xml:space="preserve"> </w:t>
      </w:r>
      <w:r w:rsidR="00300E83" w:rsidRPr="00382917">
        <w:t>a</w:t>
      </w:r>
      <w:r w:rsidR="00EE4FC3">
        <w:t xml:space="preserve"> </w:t>
      </w:r>
      <w:r w:rsidR="00300E83" w:rsidRPr="00382917">
        <w:t>day</w:t>
      </w:r>
      <w:r w:rsidR="00EE4FC3">
        <w:t xml:space="preserve"> </w:t>
      </w:r>
      <w:r w:rsidR="00300E83" w:rsidRPr="00382917">
        <w:t>when</w:t>
      </w:r>
      <w:r w:rsidR="00EE4FC3">
        <w:t xml:space="preserve"> </w:t>
      </w:r>
      <w:r w:rsidR="00300E83" w:rsidRPr="00382917">
        <w:t>he</w:t>
      </w:r>
      <w:r w:rsidR="00EE4FC3">
        <w:t xml:space="preserve"> </w:t>
      </w:r>
      <w:proofErr w:type="spellStart"/>
      <w:r w:rsidR="00300E83" w:rsidRPr="00382917">
        <w:t>looketh</w:t>
      </w:r>
      <w:proofErr w:type="spellEnd"/>
      <w:r w:rsidR="00EE4FC3">
        <w:t xml:space="preserve"> </w:t>
      </w:r>
      <w:r w:rsidR="00300E83" w:rsidRPr="00382917">
        <w:t>not</w:t>
      </w:r>
      <w:r w:rsidR="00EE4FC3">
        <w:t xml:space="preserve"> </w:t>
      </w:r>
      <w:r w:rsidR="00300E83" w:rsidRPr="00382917">
        <w:t>for</w:t>
      </w:r>
      <w:r w:rsidR="00EE4FC3">
        <w:t xml:space="preserve"> </w:t>
      </w:r>
      <w:r w:rsidR="00300E83" w:rsidRPr="00382917">
        <w:t>him,</w:t>
      </w:r>
      <w:r w:rsidR="00EE4FC3">
        <w:t xml:space="preserve"> </w:t>
      </w:r>
      <w:r w:rsidR="00300E83" w:rsidRPr="00382917">
        <w:t>and</w:t>
      </w:r>
      <w:r w:rsidR="00EE4FC3">
        <w:t xml:space="preserve"> </w:t>
      </w:r>
      <w:r w:rsidR="00300E83" w:rsidRPr="00382917">
        <w:t>in</w:t>
      </w:r>
      <w:r w:rsidR="00EE4FC3">
        <w:t xml:space="preserve"> </w:t>
      </w:r>
      <w:r w:rsidR="00300E83" w:rsidRPr="00382917">
        <w:t>an</w:t>
      </w:r>
      <w:r w:rsidR="00EE4FC3">
        <w:t xml:space="preserve"> </w:t>
      </w:r>
      <w:r w:rsidR="00300E83" w:rsidRPr="00382917">
        <w:t>hour</w:t>
      </w:r>
      <w:r w:rsidR="00EE4FC3">
        <w:t xml:space="preserve"> </w:t>
      </w:r>
      <w:r w:rsidR="00300E83" w:rsidRPr="00382917">
        <w:t>he</w:t>
      </w:r>
      <w:r w:rsidR="00EE4FC3">
        <w:t xml:space="preserve"> </w:t>
      </w:r>
      <w:r w:rsidR="00300E83" w:rsidRPr="00382917">
        <w:t>is</w:t>
      </w:r>
      <w:r w:rsidR="00EE4FC3">
        <w:t xml:space="preserve"> </w:t>
      </w:r>
      <w:r w:rsidR="00300E83" w:rsidRPr="00382917">
        <w:t>not</w:t>
      </w:r>
      <w:r w:rsidR="00EE4FC3">
        <w:t xml:space="preserve"> </w:t>
      </w:r>
      <w:r w:rsidR="00300E83" w:rsidRPr="00382917">
        <w:t>aware</w:t>
      </w:r>
      <w:r w:rsidR="00EE4FC3">
        <w:t xml:space="preserve"> </w:t>
      </w:r>
      <w:r w:rsidR="00300E83" w:rsidRPr="00382917">
        <w:t>of,</w:t>
      </w:r>
      <w:r w:rsidR="00EE4FC3">
        <w:t xml:space="preserve"> </w:t>
      </w:r>
      <w:r w:rsidR="00300E83" w:rsidRPr="00382917">
        <w:t>and</w:t>
      </w:r>
      <w:r w:rsidR="00EE4FC3">
        <w:t xml:space="preserve"> </w:t>
      </w:r>
      <w:r w:rsidR="00300E83" w:rsidRPr="00382917">
        <w:t>shall</w:t>
      </w:r>
      <w:r w:rsidR="00EE4FC3">
        <w:t xml:space="preserve"> </w:t>
      </w:r>
      <w:r w:rsidR="00300E83" w:rsidRPr="00382917">
        <w:t>cut</w:t>
      </w:r>
      <w:r w:rsidR="00EE4FC3">
        <w:t xml:space="preserve"> </w:t>
      </w:r>
      <w:r w:rsidR="00300E83" w:rsidRPr="00382917">
        <w:t>him</w:t>
      </w:r>
      <w:r w:rsidR="00EE4FC3">
        <w:t xml:space="preserve"> </w:t>
      </w:r>
      <w:r w:rsidR="00300E83" w:rsidRPr="00382917">
        <w:t>asunder</w:t>
      </w:r>
      <w:r w:rsidR="00EE4FC3">
        <w:t xml:space="preserve"> </w:t>
      </w:r>
      <w:r w:rsidR="00300E83" w:rsidRPr="00382917">
        <w:t>and</w:t>
      </w:r>
      <w:r w:rsidR="00EE4FC3">
        <w:t xml:space="preserve"> </w:t>
      </w:r>
      <w:r w:rsidR="00300E83" w:rsidRPr="00382917">
        <w:t>appoint</w:t>
      </w:r>
      <w:r w:rsidR="00EE4FC3">
        <w:t xml:space="preserve"> </w:t>
      </w:r>
      <w:r w:rsidR="00300E83" w:rsidRPr="00382917">
        <w:t>his</w:t>
      </w:r>
      <w:r w:rsidR="00EE4FC3">
        <w:t xml:space="preserve"> </w:t>
      </w:r>
      <w:r w:rsidR="00300E83" w:rsidRPr="00382917">
        <w:t>portion</w:t>
      </w:r>
      <w:r w:rsidR="00EE4FC3">
        <w:t xml:space="preserve"> </w:t>
      </w:r>
      <w:r w:rsidR="00300E83" w:rsidRPr="00382917">
        <w:t>with</w:t>
      </w:r>
      <w:r w:rsidR="00EE4FC3">
        <w:t xml:space="preserve"> </w:t>
      </w:r>
      <w:r w:rsidR="00300E83" w:rsidRPr="00382917">
        <w:t>the</w:t>
      </w:r>
      <w:r w:rsidR="00EE4FC3">
        <w:t xml:space="preserve"> </w:t>
      </w:r>
      <w:r w:rsidR="00300E83" w:rsidRPr="00382917">
        <w:t>hypocrites!</w:t>
      </w:r>
      <w:r w:rsidRPr="00382917">
        <w:t>”</w:t>
      </w:r>
      <w:r w:rsidR="002B6A79">
        <w:rPr>
          <w:rStyle w:val="FootnoteReference"/>
        </w:rPr>
        <w:footnoteReference w:id="334"/>
      </w:r>
    </w:p>
    <w:p w:rsidR="00650F8F" w:rsidRPr="00382917" w:rsidRDefault="00650F8F">
      <w:pPr>
        <w:widowControl/>
        <w:kinsoku/>
        <w:overflowPunct/>
        <w:textAlignment w:val="auto"/>
      </w:pPr>
      <w:r w:rsidRPr="00382917">
        <w:br w:type="page"/>
      </w:r>
    </w:p>
    <w:p w:rsidR="00300E83" w:rsidRPr="00382917" w:rsidRDefault="00300E83" w:rsidP="00C15844">
      <w:pPr>
        <w:pStyle w:val="Text"/>
      </w:pPr>
      <w:r w:rsidRPr="00382917">
        <w:t>Christ</w:t>
      </w:r>
      <w:r w:rsidR="00EE4FC3">
        <w:t xml:space="preserve"> </w:t>
      </w:r>
      <w:r w:rsidRPr="00382917">
        <w:t>Himself,</w:t>
      </w:r>
      <w:r w:rsidR="00EE4FC3">
        <w:t xml:space="preserve"> </w:t>
      </w:r>
      <w:r w:rsidRPr="00382917">
        <w:t>Who</w:t>
      </w:r>
      <w:r w:rsidR="00EE4FC3">
        <w:t xml:space="preserve"> </w:t>
      </w:r>
      <w:r w:rsidRPr="00382917">
        <w:t>warned</w:t>
      </w:r>
      <w:r w:rsidR="00EE4FC3">
        <w:t xml:space="preserve"> </w:t>
      </w:r>
      <w:r w:rsidRPr="00382917">
        <w:t>His</w:t>
      </w:r>
      <w:r w:rsidR="00EE4FC3">
        <w:t xml:space="preserve"> </w:t>
      </w:r>
      <w:r w:rsidRPr="00382917">
        <w:t>followers</w:t>
      </w:r>
      <w:r w:rsidR="00EE4FC3">
        <w:t xml:space="preserve"> </w:t>
      </w:r>
      <w:r w:rsidRPr="00382917">
        <w:t>to</w:t>
      </w:r>
      <w:r w:rsidR="00EE4FC3">
        <w:t xml:space="preserve"> </w:t>
      </w:r>
      <w:r w:rsidRPr="00382917">
        <w:t>beware</w:t>
      </w:r>
      <w:r w:rsidR="00EE4FC3">
        <w:t xml:space="preserve"> </w:t>
      </w:r>
      <w:r w:rsidRPr="00382917">
        <w:t>of</w:t>
      </w:r>
      <w:r w:rsidR="00EE4FC3">
        <w:t xml:space="preserve"> </w:t>
      </w:r>
      <w:r w:rsidR="009C713D" w:rsidRPr="00382917">
        <w:t>“</w:t>
      </w:r>
      <w:r w:rsidRPr="00382917">
        <w:t>false</w:t>
      </w:r>
      <w:r w:rsidR="00EE4FC3">
        <w:t xml:space="preserve"> </w:t>
      </w:r>
      <w:r w:rsidRPr="00382917">
        <w:t>prophets</w:t>
      </w:r>
      <w:r w:rsidR="009C713D" w:rsidRPr="00382917">
        <w:t>”</w:t>
      </w:r>
      <w:r w:rsidR="00C15844">
        <w:t>,</w:t>
      </w:r>
      <w:r w:rsidR="00EE4FC3">
        <w:t xml:space="preserve"> </w:t>
      </w:r>
      <w:r w:rsidRPr="00382917">
        <w:t>gave</w:t>
      </w:r>
      <w:r w:rsidR="00EE4FC3">
        <w:t xml:space="preserve"> </w:t>
      </w:r>
      <w:r w:rsidRPr="00382917">
        <w:t>humanity</w:t>
      </w:r>
      <w:r w:rsidR="00EE4FC3">
        <w:t xml:space="preserve"> </w:t>
      </w:r>
      <w:r w:rsidRPr="00382917">
        <w:t>a</w:t>
      </w:r>
      <w:r w:rsidR="00EE4FC3">
        <w:t xml:space="preserve"> </w:t>
      </w:r>
      <w:r w:rsidRPr="00382917">
        <w:t>measuring</w:t>
      </w:r>
      <w:r w:rsidR="00EE4FC3">
        <w:t xml:space="preserve"> </w:t>
      </w:r>
      <w:r w:rsidRPr="00382917">
        <w:t>rod</w:t>
      </w:r>
      <w:r w:rsidR="00EE4FC3">
        <w:t xml:space="preserve"> </w:t>
      </w:r>
      <w:r w:rsidRPr="00382917">
        <w:t>by</w:t>
      </w:r>
      <w:r w:rsidR="00EE4FC3">
        <w:t xml:space="preserve"> </w:t>
      </w:r>
      <w:r w:rsidRPr="00382917">
        <w:t>which</w:t>
      </w:r>
      <w:r w:rsidR="00EE4FC3">
        <w:t xml:space="preserve"> </w:t>
      </w:r>
      <w:r w:rsidRPr="00382917">
        <w:t>it</w:t>
      </w:r>
      <w:r w:rsidR="00EE4FC3">
        <w:t xml:space="preserve"> </w:t>
      </w:r>
      <w:r w:rsidRPr="00382917">
        <w:t>is</w:t>
      </w:r>
      <w:r w:rsidR="00EE4FC3">
        <w:t xml:space="preserve"> </w:t>
      </w:r>
      <w:r w:rsidRPr="00382917">
        <w:t>possible</w:t>
      </w:r>
      <w:r w:rsidR="00EE4FC3">
        <w:t xml:space="preserve"> </w:t>
      </w:r>
      <w:r w:rsidRPr="00382917">
        <w:t>to</w:t>
      </w:r>
      <w:r w:rsidR="00EE4FC3">
        <w:t xml:space="preserve"> </w:t>
      </w:r>
      <w:r w:rsidRPr="00382917">
        <w:t>judge</w:t>
      </w:r>
      <w:r w:rsidR="00EE4FC3">
        <w:t xml:space="preserve"> </w:t>
      </w:r>
      <w:r w:rsidRPr="00382917">
        <w:t>every</w:t>
      </w:r>
      <w:r w:rsidR="00EE4FC3">
        <w:t xml:space="preserve"> </w:t>
      </w:r>
      <w:r w:rsidRPr="00382917">
        <w:t>prophet</w:t>
      </w:r>
      <w:r w:rsidR="00EE4FC3">
        <w:t xml:space="preserve"> </w:t>
      </w:r>
      <w:r w:rsidRPr="00382917">
        <w:t>and</w:t>
      </w:r>
      <w:r w:rsidR="00EE4FC3">
        <w:t xml:space="preserve"> </w:t>
      </w:r>
      <w:r w:rsidRPr="00382917">
        <w:t>thus</w:t>
      </w:r>
      <w:r w:rsidR="00EE4FC3">
        <w:t xml:space="preserve"> </w:t>
      </w:r>
      <w:r w:rsidRPr="00382917">
        <w:t>be</w:t>
      </w:r>
      <w:r w:rsidR="00EE4FC3">
        <w:t xml:space="preserve"> </w:t>
      </w:r>
      <w:r w:rsidRPr="00382917">
        <w:t>sure</w:t>
      </w:r>
      <w:r w:rsidR="00EE4FC3">
        <w:t xml:space="preserve"> </w:t>
      </w:r>
      <w:r w:rsidRPr="00382917">
        <w:t>of</w:t>
      </w:r>
      <w:r w:rsidR="00EE4FC3">
        <w:t xml:space="preserve"> </w:t>
      </w:r>
      <w:r w:rsidRPr="00382917">
        <w:t>the</w:t>
      </w:r>
      <w:r w:rsidR="00EE4FC3">
        <w:t xml:space="preserve"> </w:t>
      </w:r>
      <w:r w:rsidRPr="00382917">
        <w:t>truth</w:t>
      </w:r>
      <w:r w:rsidR="00552489">
        <w:t>.</w:t>
      </w:r>
      <w:r w:rsidR="00EE4FC3">
        <w:t xml:space="preserve">  </w:t>
      </w:r>
      <w:r w:rsidRPr="00382917">
        <w:t>He</w:t>
      </w:r>
      <w:r w:rsidR="00EE4FC3">
        <w:t xml:space="preserve"> </w:t>
      </w:r>
      <w:r w:rsidRPr="00382917">
        <w:t>provided</w:t>
      </w:r>
      <w:r w:rsidR="00EE4FC3">
        <w:t xml:space="preserve"> </w:t>
      </w:r>
      <w:r w:rsidRPr="00382917">
        <w:t>an</w:t>
      </w:r>
      <w:r w:rsidR="00EE4FC3">
        <w:t xml:space="preserve"> </w:t>
      </w:r>
      <w:r w:rsidRPr="00382917">
        <w:t>unerring</w:t>
      </w:r>
      <w:r w:rsidR="00EE4FC3">
        <w:t xml:space="preserve"> </w:t>
      </w:r>
      <w:r w:rsidRPr="00382917">
        <w:t>standard</w:t>
      </w:r>
      <w:r w:rsidR="00EE4FC3">
        <w:t xml:space="preserve"> </w:t>
      </w:r>
      <w:r w:rsidRPr="00382917">
        <w:t>by</w:t>
      </w:r>
      <w:r w:rsidR="00EE4FC3">
        <w:t xml:space="preserve"> </w:t>
      </w:r>
      <w:r w:rsidRPr="00382917">
        <w:t>which</w:t>
      </w:r>
      <w:r w:rsidR="00EE4FC3">
        <w:t xml:space="preserve"> </w:t>
      </w:r>
      <w:r w:rsidRPr="00382917">
        <w:t>every</w:t>
      </w:r>
      <w:r w:rsidR="00EE4FC3">
        <w:t xml:space="preserve"> </w:t>
      </w:r>
      <w:r w:rsidRPr="00382917">
        <w:t>person</w:t>
      </w:r>
      <w:r w:rsidR="00EE4FC3">
        <w:t xml:space="preserve"> </w:t>
      </w:r>
      <w:r w:rsidRPr="00382917">
        <w:t>can</w:t>
      </w:r>
      <w:r w:rsidR="00EE4FC3">
        <w:t xml:space="preserve"> </w:t>
      </w:r>
      <w:r w:rsidRPr="00382917">
        <w:t>determine</w:t>
      </w:r>
      <w:r w:rsidR="00EE4FC3">
        <w:t xml:space="preserve"> </w:t>
      </w:r>
      <w:r w:rsidRPr="00382917">
        <w:t>for</w:t>
      </w:r>
      <w:r w:rsidR="00EE4FC3">
        <w:t xml:space="preserve"> </w:t>
      </w:r>
      <w:r w:rsidRPr="00382917">
        <w:t>himself</w:t>
      </w:r>
      <w:r w:rsidR="00EE4FC3">
        <w:t xml:space="preserve"> </w:t>
      </w:r>
      <w:r w:rsidRPr="00382917">
        <w:t>whether</w:t>
      </w:r>
      <w:r w:rsidR="00EE4FC3">
        <w:t xml:space="preserve"> </w:t>
      </w:r>
      <w:r w:rsidRPr="00382917">
        <w:t>a</w:t>
      </w:r>
      <w:r w:rsidR="00EE4FC3">
        <w:t xml:space="preserve"> </w:t>
      </w:r>
      <w:r w:rsidRPr="00382917">
        <w:t>prophet</w:t>
      </w:r>
      <w:r w:rsidR="00EE4FC3">
        <w:t xml:space="preserve"> </w:t>
      </w:r>
      <w:r w:rsidRPr="00382917">
        <w:t>is</w:t>
      </w:r>
      <w:r w:rsidR="00EE4FC3">
        <w:t xml:space="preserve"> </w:t>
      </w:r>
      <w:r w:rsidR="009C713D" w:rsidRPr="00382917">
        <w:t>“</w:t>
      </w:r>
      <w:r w:rsidRPr="00382917">
        <w:t>true</w:t>
      </w:r>
      <w:r w:rsidR="009C713D" w:rsidRPr="00382917">
        <w:t>”</w:t>
      </w:r>
      <w:r w:rsidR="00EE4FC3">
        <w:t xml:space="preserve"> </w:t>
      </w:r>
      <w:r w:rsidRPr="00382917">
        <w:t>or</w:t>
      </w:r>
      <w:r w:rsidR="00EE4FC3">
        <w:t xml:space="preserve"> </w:t>
      </w:r>
      <w:r w:rsidR="009C713D" w:rsidRPr="00382917">
        <w:t>“</w:t>
      </w:r>
      <w:r w:rsidRPr="00382917">
        <w:t>false</w:t>
      </w:r>
      <w:r w:rsidR="009C713D" w:rsidRPr="00382917">
        <w:t>”</w:t>
      </w:r>
      <w:r w:rsidR="00C15844">
        <w:t>.</w:t>
      </w:r>
      <w:r w:rsidR="00EE4FC3">
        <w:t xml:space="preserve"> </w:t>
      </w:r>
      <w:r w:rsidR="00C15844">
        <w:t xml:space="preserve"> </w:t>
      </w:r>
      <w:r w:rsidRPr="00382917">
        <w:t>This</w:t>
      </w:r>
      <w:r w:rsidR="00EE4FC3">
        <w:t xml:space="preserve"> </w:t>
      </w:r>
      <w:r w:rsidRPr="00382917">
        <w:t>standard</w:t>
      </w:r>
      <w:r w:rsidR="00EE4FC3">
        <w:t xml:space="preserve"> </w:t>
      </w:r>
      <w:r w:rsidRPr="00382917">
        <w:t>is</w:t>
      </w:r>
      <w:r w:rsidR="00EE4FC3">
        <w:t xml:space="preserve"> </w:t>
      </w:r>
      <w:r w:rsidRPr="00382917">
        <w:t>found</w:t>
      </w:r>
      <w:r w:rsidR="00EE4FC3">
        <w:t xml:space="preserve"> </w:t>
      </w:r>
      <w:r w:rsidRPr="00382917">
        <w:t>in</w:t>
      </w:r>
      <w:r w:rsidR="00EE4FC3">
        <w:t xml:space="preserve"> </w:t>
      </w:r>
      <w:r w:rsidRPr="00382917">
        <w:t>the</w:t>
      </w:r>
      <w:r w:rsidR="00EE4FC3">
        <w:t xml:space="preserve"> </w:t>
      </w:r>
      <w:r w:rsidRPr="00382917">
        <w:t>seventh</w:t>
      </w:r>
      <w:r w:rsidR="00EE4FC3">
        <w:t xml:space="preserve"> </w:t>
      </w:r>
      <w:r w:rsidRPr="00382917">
        <w:t>chapter</w:t>
      </w:r>
      <w:r w:rsidR="00EE4FC3">
        <w:t xml:space="preserve"> </w:t>
      </w:r>
      <w:r w:rsidRPr="00382917">
        <w:t>of</w:t>
      </w:r>
      <w:r w:rsidR="00EE4FC3">
        <w:t xml:space="preserve"> </w:t>
      </w:r>
      <w:r w:rsidRPr="00382917">
        <w:t>Matthew</w:t>
      </w:r>
      <w:r w:rsidR="00552489">
        <w:t>.</w:t>
      </w:r>
      <w:r w:rsidR="00EE4FC3">
        <w:t xml:space="preserve">  </w:t>
      </w:r>
      <w:r w:rsidRPr="00382917">
        <w:t>We</w:t>
      </w:r>
      <w:r w:rsidR="00EE4FC3">
        <w:t xml:space="preserve"> </w:t>
      </w:r>
      <w:r w:rsidRPr="00382917">
        <w:t>find</w:t>
      </w:r>
      <w:r w:rsidR="00EE4FC3">
        <w:t xml:space="preserve"> </w:t>
      </w:r>
      <w:r w:rsidRPr="00382917">
        <w:t>that</w:t>
      </w:r>
      <w:r w:rsidR="00EE4FC3">
        <w:t xml:space="preserve"> </w:t>
      </w:r>
      <w:r w:rsidRPr="00382917">
        <w:t>in</w:t>
      </w:r>
      <w:r w:rsidR="00EE4FC3">
        <w:t xml:space="preserve"> </w:t>
      </w:r>
      <w:r w:rsidRPr="00382917">
        <w:t>this</w:t>
      </w:r>
      <w:r w:rsidR="00EE4FC3">
        <w:t xml:space="preserve"> </w:t>
      </w:r>
      <w:r w:rsidRPr="00382917">
        <w:t>one</w:t>
      </w:r>
      <w:r w:rsidR="00EE4FC3">
        <w:t xml:space="preserve"> </w:t>
      </w:r>
      <w:r w:rsidRPr="00382917">
        <w:t>chapter</w:t>
      </w:r>
      <w:r w:rsidR="00EE4FC3">
        <w:t xml:space="preserve"> </w:t>
      </w:r>
      <w:r w:rsidRPr="00382917">
        <w:t>Christ</w:t>
      </w:r>
      <w:r w:rsidR="00EE4FC3">
        <w:t xml:space="preserve"> </w:t>
      </w:r>
      <w:r w:rsidRPr="00382917">
        <w:t>gave</w:t>
      </w:r>
      <w:r w:rsidR="00EE4FC3">
        <w:t xml:space="preserve"> </w:t>
      </w:r>
      <w:r w:rsidRPr="00382917">
        <w:t>both</w:t>
      </w:r>
      <w:r w:rsidR="00EE4FC3">
        <w:t xml:space="preserve"> </w:t>
      </w:r>
      <w:r w:rsidRPr="00382917">
        <w:t>the</w:t>
      </w:r>
      <w:r w:rsidR="00EE4FC3">
        <w:t xml:space="preserve"> </w:t>
      </w:r>
      <w:r w:rsidRPr="00382917">
        <w:t>warning</w:t>
      </w:r>
      <w:r w:rsidR="00EE4FC3">
        <w:t xml:space="preserve"> </w:t>
      </w:r>
      <w:r w:rsidRPr="00382917">
        <w:t>to</w:t>
      </w:r>
      <w:r w:rsidR="00EE4FC3">
        <w:t xml:space="preserve"> </w:t>
      </w:r>
      <w:r w:rsidRPr="00382917">
        <w:t>beware</w:t>
      </w:r>
      <w:r w:rsidR="00EE4FC3">
        <w:t xml:space="preserve"> </w:t>
      </w:r>
      <w:r w:rsidRPr="00382917">
        <w:t>of</w:t>
      </w:r>
      <w:r w:rsidR="00EE4FC3">
        <w:t xml:space="preserve"> </w:t>
      </w:r>
      <w:r w:rsidRPr="00382917">
        <w:t>false</w:t>
      </w:r>
      <w:r w:rsidR="00EE4FC3">
        <w:t xml:space="preserve"> </w:t>
      </w:r>
      <w:r w:rsidRPr="00382917">
        <w:t>prophets,</w:t>
      </w:r>
      <w:r w:rsidR="00EE4FC3">
        <w:t xml:space="preserve"> </w:t>
      </w:r>
      <w:r w:rsidRPr="00382917">
        <w:t>and</w:t>
      </w:r>
      <w:r w:rsidR="00EE4FC3">
        <w:t xml:space="preserve"> </w:t>
      </w:r>
      <w:r w:rsidRPr="00382917">
        <w:t>supplied</w:t>
      </w:r>
      <w:r w:rsidR="00EE4FC3">
        <w:t xml:space="preserve"> </w:t>
      </w:r>
      <w:r w:rsidRPr="00382917">
        <w:t>the</w:t>
      </w:r>
      <w:r w:rsidR="00EE4FC3">
        <w:t xml:space="preserve"> </w:t>
      </w:r>
      <w:r w:rsidRPr="00382917">
        <w:t>method</w:t>
      </w:r>
      <w:r w:rsidR="00EE4FC3">
        <w:t xml:space="preserve"> </w:t>
      </w:r>
      <w:r w:rsidRPr="00382917">
        <w:t>by</w:t>
      </w:r>
      <w:r w:rsidR="00EE4FC3">
        <w:t xml:space="preserve"> </w:t>
      </w:r>
      <w:r w:rsidRPr="00382917">
        <w:t>which</w:t>
      </w:r>
      <w:r w:rsidR="00EE4FC3">
        <w:t xml:space="preserve"> </w:t>
      </w:r>
      <w:r w:rsidRPr="00382917">
        <w:t>to</w:t>
      </w:r>
      <w:r w:rsidR="00EE4FC3">
        <w:t xml:space="preserve"> </w:t>
      </w:r>
      <w:r w:rsidRPr="00382917">
        <w:t>judge</w:t>
      </w:r>
      <w:r w:rsidR="00EE4FC3">
        <w:t xml:space="preserve"> </w:t>
      </w:r>
      <w:r w:rsidRPr="00382917">
        <w:t>them.</w:t>
      </w:r>
    </w:p>
    <w:p w:rsidR="00300E83" w:rsidRPr="00382917" w:rsidRDefault="009C713D" w:rsidP="00650F8F">
      <w:pPr>
        <w:pStyle w:val="Quote"/>
      </w:pPr>
      <w:r w:rsidRPr="00382917">
        <w:t>“</w:t>
      </w:r>
      <w:r w:rsidR="00300E83" w:rsidRPr="00382917">
        <w:t>Beware</w:t>
      </w:r>
      <w:r w:rsidR="00EE4FC3">
        <w:t xml:space="preserve"> </w:t>
      </w:r>
      <w:r w:rsidR="00300E83" w:rsidRPr="00382917">
        <w:t>of</w:t>
      </w:r>
      <w:r w:rsidR="00EE4FC3">
        <w:t xml:space="preserve"> </w:t>
      </w:r>
      <w:r w:rsidR="00300E83" w:rsidRPr="00382917">
        <w:t>false</w:t>
      </w:r>
      <w:r w:rsidR="00EE4FC3">
        <w:t xml:space="preserve"> </w:t>
      </w:r>
      <w:r w:rsidR="00300E83" w:rsidRPr="00382917">
        <w:t>prophets,</w:t>
      </w:r>
      <w:r w:rsidR="00EE4FC3">
        <w:t xml:space="preserve"> </w:t>
      </w:r>
      <w:r w:rsidR="00300E83" w:rsidRPr="00382917">
        <w:t>which</w:t>
      </w:r>
      <w:r w:rsidR="00EE4FC3">
        <w:t xml:space="preserve"> </w:t>
      </w:r>
      <w:r w:rsidR="00300E83" w:rsidRPr="00382917">
        <w:t>come</w:t>
      </w:r>
      <w:r w:rsidR="00EE4FC3">
        <w:t xml:space="preserve"> </w:t>
      </w:r>
      <w:r w:rsidR="00300E83" w:rsidRPr="00382917">
        <w:t>to</w:t>
      </w:r>
      <w:r w:rsidR="00EE4FC3">
        <w:t xml:space="preserve"> </w:t>
      </w:r>
      <w:r w:rsidR="00300E83" w:rsidRPr="00382917">
        <w:t>you</w:t>
      </w:r>
      <w:r w:rsidR="00EE4FC3">
        <w:t xml:space="preserve"> </w:t>
      </w:r>
      <w:r w:rsidR="00300E83" w:rsidRPr="00382917">
        <w:t>in</w:t>
      </w:r>
      <w:r w:rsidR="00EE4FC3">
        <w:t xml:space="preserve"> </w:t>
      </w:r>
      <w:r w:rsidR="00300E83" w:rsidRPr="00382917">
        <w:t>sheep</w:t>
      </w:r>
      <w:r w:rsidRPr="00382917">
        <w:t>’</w:t>
      </w:r>
      <w:r w:rsidR="00300E83" w:rsidRPr="00382917">
        <w:t>s</w:t>
      </w:r>
      <w:r w:rsidR="00EE4FC3">
        <w:t xml:space="preserve"> </w:t>
      </w:r>
      <w:r w:rsidR="00300E83" w:rsidRPr="00382917">
        <w:t>clothing,</w:t>
      </w:r>
      <w:r w:rsidR="00EE4FC3">
        <w:t xml:space="preserve"> </w:t>
      </w:r>
      <w:r w:rsidR="00300E83" w:rsidRPr="00382917">
        <w:t>but</w:t>
      </w:r>
      <w:r w:rsidR="00EE4FC3">
        <w:t xml:space="preserve"> </w:t>
      </w:r>
      <w:r w:rsidR="00300E83" w:rsidRPr="00382917">
        <w:t>inwardly</w:t>
      </w:r>
      <w:r w:rsidR="00EE4FC3">
        <w:t xml:space="preserve"> </w:t>
      </w:r>
      <w:r w:rsidR="00300E83" w:rsidRPr="00382917">
        <w:t>they</w:t>
      </w:r>
      <w:r w:rsidR="00EE4FC3">
        <w:t xml:space="preserve"> </w:t>
      </w:r>
      <w:r w:rsidR="00300E83" w:rsidRPr="00382917">
        <w:t>are</w:t>
      </w:r>
      <w:r w:rsidR="00EE4FC3">
        <w:t xml:space="preserve"> </w:t>
      </w:r>
      <w:r w:rsidR="00300E83" w:rsidRPr="00382917">
        <w:t>ravening</w:t>
      </w:r>
      <w:r w:rsidR="00EE4FC3">
        <w:t xml:space="preserve"> </w:t>
      </w:r>
      <w:r w:rsidR="00300E83" w:rsidRPr="00382917">
        <w:t>wolves.</w:t>
      </w:r>
    </w:p>
    <w:p w:rsidR="00300E83" w:rsidRPr="00382917" w:rsidRDefault="00300E83" w:rsidP="00650F8F">
      <w:pPr>
        <w:pStyle w:val="Quote"/>
      </w:pPr>
      <w:r w:rsidRPr="00382917">
        <w:t>Ye</w:t>
      </w:r>
      <w:r w:rsidR="00EE4FC3">
        <w:t xml:space="preserve"> </w:t>
      </w:r>
      <w:r w:rsidRPr="00382917">
        <w:t>shall</w:t>
      </w:r>
      <w:r w:rsidR="00EE4FC3">
        <w:t xml:space="preserve"> </w:t>
      </w:r>
      <w:r w:rsidRPr="00382917">
        <w:t>know</w:t>
      </w:r>
      <w:r w:rsidR="00EE4FC3">
        <w:t xml:space="preserve"> </w:t>
      </w:r>
      <w:r w:rsidRPr="00382917">
        <w:t>them</w:t>
      </w:r>
      <w:r w:rsidR="00EE4FC3">
        <w:t xml:space="preserve"> </w:t>
      </w:r>
      <w:r w:rsidRPr="00382917">
        <w:t>by</w:t>
      </w:r>
      <w:r w:rsidR="00EE4FC3">
        <w:t xml:space="preserve"> </w:t>
      </w:r>
      <w:r w:rsidRPr="00382917">
        <w:t>their</w:t>
      </w:r>
      <w:r w:rsidR="00EE4FC3">
        <w:t xml:space="preserve"> </w:t>
      </w:r>
      <w:r w:rsidRPr="00382917">
        <w:t>fruits</w:t>
      </w:r>
      <w:r w:rsidR="00552489">
        <w:t>.</w:t>
      </w:r>
      <w:r w:rsidR="00EE4FC3">
        <w:t xml:space="preserve">  </w:t>
      </w:r>
      <w:r w:rsidRPr="00382917">
        <w:t>Do</w:t>
      </w:r>
      <w:r w:rsidR="00EE4FC3">
        <w:t xml:space="preserve"> </w:t>
      </w:r>
      <w:r w:rsidRPr="00382917">
        <w:t>men</w:t>
      </w:r>
      <w:r w:rsidR="00EE4FC3">
        <w:t xml:space="preserve"> </w:t>
      </w:r>
      <w:r w:rsidRPr="00382917">
        <w:t>gather</w:t>
      </w:r>
      <w:r w:rsidR="00EE4FC3">
        <w:t xml:space="preserve"> </w:t>
      </w:r>
      <w:r w:rsidRPr="00382917">
        <w:t>grapes</w:t>
      </w:r>
      <w:r w:rsidR="00EE4FC3">
        <w:t xml:space="preserve"> </w:t>
      </w:r>
      <w:r w:rsidRPr="00382917">
        <w:t>of</w:t>
      </w:r>
      <w:r w:rsidR="00EE4FC3">
        <w:t xml:space="preserve"> </w:t>
      </w:r>
      <w:r w:rsidRPr="00382917">
        <w:t>thorns,</w:t>
      </w:r>
      <w:r w:rsidR="00EE4FC3">
        <w:t xml:space="preserve"> </w:t>
      </w:r>
      <w:r w:rsidRPr="00382917">
        <w:t>or</w:t>
      </w:r>
      <w:r w:rsidR="00EE4FC3">
        <w:t xml:space="preserve"> </w:t>
      </w:r>
      <w:r w:rsidRPr="00382917">
        <w:t>figs</w:t>
      </w:r>
      <w:r w:rsidR="00EE4FC3">
        <w:t xml:space="preserve"> </w:t>
      </w:r>
      <w:r w:rsidRPr="00382917">
        <w:t>of</w:t>
      </w:r>
      <w:r w:rsidR="00EE4FC3">
        <w:t xml:space="preserve"> </w:t>
      </w:r>
      <w:r w:rsidRPr="00382917">
        <w:t>thistles?</w:t>
      </w:r>
    </w:p>
    <w:p w:rsidR="00300E83" w:rsidRPr="00382917" w:rsidRDefault="00300E83" w:rsidP="00956448">
      <w:pPr>
        <w:pStyle w:val="Quote"/>
      </w:pPr>
      <w:r w:rsidRPr="00382917">
        <w:t>Even</w:t>
      </w:r>
      <w:r w:rsidR="00EE4FC3">
        <w:t xml:space="preserve"> </w:t>
      </w:r>
      <w:r w:rsidRPr="00382917">
        <w:t>so</w:t>
      </w:r>
      <w:r w:rsidR="00EE4FC3">
        <w:t xml:space="preserve"> </w:t>
      </w:r>
      <w:r w:rsidRPr="00382917">
        <w:t>every</w:t>
      </w:r>
      <w:r w:rsidR="00EE4FC3">
        <w:t xml:space="preserve"> </w:t>
      </w:r>
      <w:r w:rsidRPr="00382917">
        <w:t>good</w:t>
      </w:r>
      <w:r w:rsidR="00EE4FC3">
        <w:t xml:space="preserve"> </w:t>
      </w:r>
      <w:r w:rsidRPr="00382917">
        <w:t>tree</w:t>
      </w:r>
      <w:r w:rsidR="00EE4FC3">
        <w:t xml:space="preserve"> </w:t>
      </w:r>
      <w:proofErr w:type="spellStart"/>
      <w:r w:rsidRPr="00382917">
        <w:t>bringeth</w:t>
      </w:r>
      <w:proofErr w:type="spellEnd"/>
      <w:r w:rsidR="00EE4FC3">
        <w:t xml:space="preserve"> </w:t>
      </w:r>
      <w:r w:rsidRPr="00382917">
        <w:t>forth</w:t>
      </w:r>
      <w:r w:rsidR="00EE4FC3">
        <w:t xml:space="preserve"> </w:t>
      </w:r>
      <w:r w:rsidRPr="00382917">
        <w:t>good</w:t>
      </w:r>
      <w:r w:rsidR="00EE4FC3">
        <w:t xml:space="preserve"> </w:t>
      </w:r>
      <w:r w:rsidRPr="00382917">
        <w:t>fruit;</w:t>
      </w:r>
      <w:r w:rsidR="00EE4FC3">
        <w:t xml:space="preserve"> </w:t>
      </w:r>
      <w:r w:rsidRPr="00382917">
        <w:t>but</w:t>
      </w:r>
      <w:r w:rsidR="00EE4FC3">
        <w:t xml:space="preserve"> </w:t>
      </w:r>
      <w:r w:rsidRPr="00382917">
        <w:t>a</w:t>
      </w:r>
      <w:r w:rsidR="00EE4FC3">
        <w:t xml:space="preserve"> </w:t>
      </w:r>
      <w:r w:rsidRPr="00382917">
        <w:t>corrupt</w:t>
      </w:r>
      <w:r w:rsidR="00EE4FC3">
        <w:t xml:space="preserve"> </w:t>
      </w:r>
      <w:r w:rsidRPr="00382917">
        <w:t>tree</w:t>
      </w:r>
      <w:r w:rsidR="00EE4FC3">
        <w:t xml:space="preserve"> </w:t>
      </w:r>
      <w:proofErr w:type="spellStart"/>
      <w:r w:rsidRPr="00382917">
        <w:t>bringeth</w:t>
      </w:r>
      <w:proofErr w:type="spellEnd"/>
      <w:r w:rsidR="00EE4FC3">
        <w:t xml:space="preserve"> </w:t>
      </w:r>
      <w:r w:rsidRPr="00382917">
        <w:t>forth</w:t>
      </w:r>
      <w:r w:rsidR="00EE4FC3">
        <w:t xml:space="preserve"> </w:t>
      </w:r>
      <w:r w:rsidRPr="00382917">
        <w:t>evil</w:t>
      </w:r>
      <w:r w:rsidR="00EE4FC3">
        <w:t xml:space="preserve"> </w:t>
      </w:r>
      <w:r w:rsidRPr="00382917">
        <w:t>fruit</w:t>
      </w:r>
      <w:r w:rsidR="00956448">
        <w:t xml:space="preserve"> </w:t>
      </w:r>
      <w:r w:rsidR="00F04416" w:rsidRPr="00382917">
        <w:t>…</w:t>
      </w:r>
      <w:r w:rsidR="00552489">
        <w:t>.</w:t>
      </w:r>
      <w:r w:rsidR="00EE4FC3">
        <w:t xml:space="preserve">  </w:t>
      </w:r>
      <w:r w:rsidRPr="00382917">
        <w:t>Wherefore</w:t>
      </w:r>
      <w:r w:rsidR="00EE4FC3">
        <w:t xml:space="preserve"> </w:t>
      </w:r>
      <w:r w:rsidRPr="00382917">
        <w:t>by</w:t>
      </w:r>
      <w:r w:rsidR="00EE4FC3">
        <w:t xml:space="preserve"> </w:t>
      </w:r>
      <w:r w:rsidRPr="00382917">
        <w:t>their</w:t>
      </w:r>
      <w:r w:rsidR="00EE4FC3">
        <w:t xml:space="preserve"> </w:t>
      </w:r>
      <w:r w:rsidRPr="00382917">
        <w:t>fruits</w:t>
      </w:r>
      <w:r w:rsidR="00EE4FC3">
        <w:t xml:space="preserve"> </w:t>
      </w:r>
      <w:r w:rsidRPr="00382917">
        <w:t>ye</w:t>
      </w:r>
      <w:r w:rsidR="00EE4FC3">
        <w:t xml:space="preserve"> </w:t>
      </w:r>
      <w:r w:rsidRPr="00382917">
        <w:t>shall</w:t>
      </w:r>
      <w:r w:rsidR="00EE4FC3">
        <w:t xml:space="preserve"> </w:t>
      </w:r>
      <w:r w:rsidRPr="00382917">
        <w:t>know</w:t>
      </w:r>
      <w:r w:rsidR="00EE4FC3">
        <w:t xml:space="preserve"> </w:t>
      </w:r>
      <w:r w:rsidRPr="00382917">
        <w:t>them.</w:t>
      </w:r>
      <w:r w:rsidR="009C713D" w:rsidRPr="00382917">
        <w:t>”</w:t>
      </w:r>
      <w:r w:rsidR="00956448">
        <w:rPr>
          <w:rStyle w:val="FootnoteReference"/>
        </w:rPr>
        <w:footnoteReference w:id="335"/>
      </w:r>
    </w:p>
    <w:p w:rsidR="00300E83" w:rsidRPr="00382917" w:rsidRDefault="00300E83" w:rsidP="00650F8F">
      <w:pPr>
        <w:pStyle w:val="Text"/>
      </w:pPr>
      <w:r w:rsidRPr="00382917">
        <w:t>Judge</w:t>
      </w:r>
      <w:r w:rsidR="00EE4FC3">
        <w:t xml:space="preserve"> </w:t>
      </w:r>
      <w:r w:rsidRPr="00382917">
        <w:t>the</w:t>
      </w:r>
      <w:r w:rsidR="00EE4FC3">
        <w:t xml:space="preserve"> </w:t>
      </w:r>
      <w:r w:rsidRPr="00382917">
        <w:t>prophet</w:t>
      </w:r>
      <w:r w:rsidR="00EE4FC3">
        <w:t xml:space="preserve"> </w:t>
      </w:r>
      <w:r w:rsidRPr="00382917">
        <w:t>by</w:t>
      </w:r>
      <w:r w:rsidR="00EE4FC3">
        <w:t xml:space="preserve"> </w:t>
      </w:r>
      <w:r w:rsidRPr="00382917">
        <w:t>his</w:t>
      </w:r>
      <w:r w:rsidR="00EE4FC3">
        <w:t xml:space="preserve"> </w:t>
      </w:r>
      <w:r w:rsidRPr="00382917">
        <w:t>fruits</w:t>
      </w:r>
      <w:r w:rsidR="00552489">
        <w:t>.</w:t>
      </w:r>
      <w:r w:rsidR="00EE4FC3">
        <w:t xml:space="preserve">  </w:t>
      </w:r>
      <w:r w:rsidRPr="00382917">
        <w:t>This</w:t>
      </w:r>
      <w:r w:rsidR="00EE4FC3">
        <w:t xml:space="preserve"> </w:t>
      </w:r>
      <w:r w:rsidRPr="00382917">
        <w:t>is</w:t>
      </w:r>
      <w:r w:rsidR="00EE4FC3">
        <w:t xml:space="preserve"> </w:t>
      </w:r>
      <w:r w:rsidRPr="00382917">
        <w:t>a</w:t>
      </w:r>
      <w:r w:rsidR="00EE4FC3">
        <w:t xml:space="preserve"> </w:t>
      </w:r>
      <w:r w:rsidRPr="00382917">
        <w:t>sound</w:t>
      </w:r>
      <w:r w:rsidR="00EE4FC3">
        <w:t xml:space="preserve"> </w:t>
      </w:r>
      <w:r w:rsidRPr="00382917">
        <w:t>basis</w:t>
      </w:r>
      <w:r w:rsidR="00EE4FC3">
        <w:t xml:space="preserve"> </w:t>
      </w:r>
      <w:r w:rsidRPr="00382917">
        <w:t>for</w:t>
      </w:r>
      <w:r w:rsidR="00EE4FC3">
        <w:t xml:space="preserve"> </w:t>
      </w:r>
      <w:r w:rsidRPr="00382917">
        <w:t>judgement</w:t>
      </w:r>
      <w:r w:rsidR="00552489">
        <w:t>.</w:t>
      </w:r>
      <w:r w:rsidR="00EE4FC3">
        <w:t xml:space="preserve">  </w:t>
      </w:r>
      <w:r w:rsidRPr="00382917">
        <w:t>It</w:t>
      </w:r>
      <w:r w:rsidR="00EE4FC3">
        <w:t xml:space="preserve"> </w:t>
      </w:r>
      <w:r w:rsidRPr="00382917">
        <w:t>is</w:t>
      </w:r>
      <w:r w:rsidR="00EE4FC3">
        <w:t xml:space="preserve"> </w:t>
      </w:r>
      <w:r w:rsidRPr="00382917">
        <w:t>the</w:t>
      </w:r>
      <w:r w:rsidR="00EE4FC3">
        <w:t xml:space="preserve"> </w:t>
      </w:r>
      <w:r w:rsidRPr="00382917">
        <w:t>measure</w:t>
      </w:r>
      <w:r w:rsidR="00EE4FC3">
        <w:t xml:space="preserve"> </w:t>
      </w:r>
      <w:r w:rsidRPr="00382917">
        <w:t>established</w:t>
      </w:r>
      <w:r w:rsidR="00EE4FC3">
        <w:t xml:space="preserve"> </w:t>
      </w:r>
      <w:r w:rsidRPr="00382917">
        <w:t>by</w:t>
      </w:r>
      <w:r w:rsidR="00EE4FC3">
        <w:t xml:space="preserve"> </w:t>
      </w:r>
      <w:r w:rsidRPr="00382917">
        <w:t>Christ</w:t>
      </w:r>
      <w:r w:rsidR="00EE4FC3">
        <w:t xml:space="preserve"> </w:t>
      </w:r>
      <w:r w:rsidRPr="00382917">
        <w:t>Himself</w:t>
      </w:r>
      <w:r w:rsidR="00552489">
        <w:t>.</w:t>
      </w:r>
      <w:r w:rsidR="00EE4FC3">
        <w:t xml:space="preserve">  </w:t>
      </w:r>
      <w:r w:rsidRPr="00382917">
        <w:t>Therefore,</w:t>
      </w:r>
      <w:r w:rsidR="00EE4FC3">
        <w:t xml:space="preserve"> </w:t>
      </w:r>
      <w:r w:rsidRPr="00382917">
        <w:t>let</w:t>
      </w:r>
      <w:r w:rsidR="00EE4FC3">
        <w:t xml:space="preserve"> </w:t>
      </w:r>
      <w:r w:rsidRPr="00382917">
        <w:t>us</w:t>
      </w:r>
      <w:r w:rsidR="00EE4FC3">
        <w:t xml:space="preserve"> </w:t>
      </w:r>
      <w:r w:rsidRPr="00382917">
        <w:t>judge</w:t>
      </w:r>
      <w:r w:rsidR="00EE4FC3">
        <w:t xml:space="preserve"> </w:t>
      </w:r>
      <w:r w:rsidRPr="00382917">
        <w:t>Bahá</w:t>
      </w:r>
      <w:r w:rsidR="009C713D" w:rsidRPr="00382917">
        <w:t>’</w:t>
      </w:r>
      <w:r w:rsidRPr="00382917">
        <w:t>u</w:t>
      </w:r>
      <w:r w:rsidR="009C713D" w:rsidRPr="00382917">
        <w:t>’</w:t>
      </w:r>
      <w:r w:rsidRPr="00382917">
        <w:t>lláh</w:t>
      </w:r>
      <w:r w:rsidR="00EE4FC3">
        <w:t xml:space="preserve"> </w:t>
      </w:r>
      <w:r w:rsidRPr="00382917">
        <w:t>by</w:t>
      </w:r>
      <w:r w:rsidR="00EE4FC3">
        <w:t xml:space="preserve"> </w:t>
      </w:r>
      <w:r w:rsidRPr="00382917">
        <w:t>the</w:t>
      </w:r>
      <w:r w:rsidR="00EE4FC3">
        <w:t xml:space="preserve"> </w:t>
      </w:r>
      <w:r w:rsidRPr="00382917">
        <w:t>standard</w:t>
      </w:r>
      <w:r w:rsidR="00EE4FC3">
        <w:t xml:space="preserve"> </w:t>
      </w:r>
      <w:r w:rsidRPr="00382917">
        <w:t>given</w:t>
      </w:r>
      <w:r w:rsidR="00EE4FC3">
        <w:t xml:space="preserve"> </w:t>
      </w:r>
      <w:r w:rsidRPr="00382917">
        <w:t>by</w:t>
      </w:r>
      <w:r w:rsidR="00EE4FC3">
        <w:t xml:space="preserve"> </w:t>
      </w:r>
      <w:r w:rsidRPr="00382917">
        <w:t>Christ</w:t>
      </w:r>
      <w:r w:rsidR="00552489">
        <w:t>.</w:t>
      </w:r>
      <w:r w:rsidR="00EE4FC3">
        <w:t xml:space="preserve">  </w:t>
      </w:r>
      <w:r w:rsidRPr="00382917">
        <w:t>Let</w:t>
      </w:r>
      <w:r w:rsidR="00EE4FC3">
        <w:t xml:space="preserve"> </w:t>
      </w:r>
      <w:r w:rsidRPr="00382917">
        <w:t>us</w:t>
      </w:r>
      <w:r w:rsidR="00EE4FC3">
        <w:t xml:space="preserve"> </w:t>
      </w:r>
      <w:r w:rsidRPr="00382917">
        <w:t>test</w:t>
      </w:r>
      <w:r w:rsidR="00EE4FC3">
        <w:t xml:space="preserve"> </w:t>
      </w:r>
      <w:r w:rsidRPr="00382917">
        <w:t>the</w:t>
      </w:r>
      <w:r w:rsidR="00EE4FC3">
        <w:t xml:space="preserve"> </w:t>
      </w:r>
      <w:r w:rsidRPr="00382917">
        <w:t>fruits</w:t>
      </w:r>
      <w:r w:rsidR="00EE4FC3">
        <w:t xml:space="preserve"> </w:t>
      </w:r>
      <w:r w:rsidRPr="00382917">
        <w:t>of</w:t>
      </w:r>
      <w:r w:rsidR="00EE4FC3">
        <w:t xml:space="preserve"> </w:t>
      </w:r>
      <w:r w:rsidRPr="00382917">
        <w:t>Bahá</w:t>
      </w:r>
      <w:r w:rsidR="009C713D" w:rsidRPr="00382917">
        <w:t>’</w:t>
      </w:r>
      <w:r w:rsidRPr="00382917">
        <w:t>u</w:t>
      </w:r>
      <w:r w:rsidR="009C713D" w:rsidRPr="00382917">
        <w:t>’</w:t>
      </w:r>
      <w:r w:rsidRPr="00382917">
        <w:t>lláh</w:t>
      </w:r>
      <w:r w:rsidR="009C713D" w:rsidRPr="00382917">
        <w:t>’</w:t>
      </w:r>
      <w:r w:rsidRPr="00382917">
        <w:t>s</w:t>
      </w:r>
      <w:r w:rsidR="00EE4FC3">
        <w:t xml:space="preserve"> </w:t>
      </w:r>
      <w:r w:rsidRPr="00382917">
        <w:t>tree,</w:t>
      </w:r>
      <w:r w:rsidR="00EE4FC3">
        <w:t xml:space="preserve"> </w:t>
      </w:r>
      <w:r w:rsidRPr="00382917">
        <w:t>for</w:t>
      </w:r>
      <w:r w:rsidR="00EE4FC3">
        <w:t xml:space="preserve"> </w:t>
      </w:r>
      <w:r w:rsidRPr="00382917">
        <w:t>Christ</w:t>
      </w:r>
      <w:r w:rsidR="00EE4FC3">
        <w:t xml:space="preserve"> </w:t>
      </w:r>
      <w:r w:rsidRPr="00382917">
        <w:t>has</w:t>
      </w:r>
      <w:r w:rsidR="00EE4FC3">
        <w:t xml:space="preserve"> </w:t>
      </w:r>
      <w:r w:rsidRPr="00382917">
        <w:t>promised</w:t>
      </w:r>
      <w:r w:rsidR="00EE4FC3">
        <w:t xml:space="preserve"> </w:t>
      </w:r>
      <w:r w:rsidRPr="00382917">
        <w:t>us</w:t>
      </w:r>
      <w:r w:rsidR="00EE4FC3">
        <w:t xml:space="preserve"> </w:t>
      </w:r>
      <w:r w:rsidRPr="00382917">
        <w:t>that</w:t>
      </w:r>
      <w:r w:rsidR="00EE4FC3">
        <w:t xml:space="preserve"> </w:t>
      </w:r>
      <w:r w:rsidRPr="00382917">
        <w:t>if</w:t>
      </w:r>
      <w:r w:rsidR="00EE4FC3">
        <w:t xml:space="preserve"> </w:t>
      </w:r>
      <w:r w:rsidRPr="00382917">
        <w:t>the</w:t>
      </w:r>
      <w:r w:rsidR="00EE4FC3">
        <w:t xml:space="preserve"> </w:t>
      </w:r>
      <w:r w:rsidR="009C713D" w:rsidRPr="00382917">
        <w:t>“</w:t>
      </w:r>
      <w:r w:rsidRPr="00382917">
        <w:t>fruit</w:t>
      </w:r>
      <w:r w:rsidR="009C713D" w:rsidRPr="00382917">
        <w:t>”</w:t>
      </w:r>
      <w:r w:rsidR="00EE4FC3">
        <w:t xml:space="preserve"> </w:t>
      </w:r>
      <w:r w:rsidRPr="00382917">
        <w:t>is</w:t>
      </w:r>
      <w:r w:rsidR="00EE4FC3">
        <w:t xml:space="preserve"> </w:t>
      </w:r>
      <w:r w:rsidRPr="00382917">
        <w:t>good,</w:t>
      </w:r>
      <w:r w:rsidR="00EE4FC3">
        <w:t xml:space="preserve"> </w:t>
      </w:r>
      <w:r w:rsidRPr="00382917">
        <w:t>the</w:t>
      </w:r>
      <w:r w:rsidR="00EE4FC3">
        <w:t xml:space="preserve"> </w:t>
      </w:r>
      <w:r w:rsidRPr="00382917">
        <w:t>tree</w:t>
      </w:r>
      <w:r w:rsidR="00EE4FC3">
        <w:t xml:space="preserve"> </w:t>
      </w:r>
      <w:r w:rsidRPr="00382917">
        <w:t>is</w:t>
      </w:r>
      <w:r w:rsidR="00EE4FC3">
        <w:t xml:space="preserve"> </w:t>
      </w:r>
      <w:proofErr w:type="gramStart"/>
      <w:r w:rsidRPr="00382917">
        <w:t>good,</w:t>
      </w:r>
      <w:proofErr w:type="gramEnd"/>
      <w:r w:rsidR="00EE4FC3">
        <w:t xml:space="preserve"> </w:t>
      </w:r>
      <w:r w:rsidRPr="00382917">
        <w:t>and</w:t>
      </w:r>
      <w:r w:rsidR="00EE4FC3">
        <w:t xml:space="preserve"> </w:t>
      </w:r>
      <w:r w:rsidRPr="00382917">
        <w:t>the</w:t>
      </w:r>
      <w:r w:rsidR="00EE4FC3">
        <w:t xml:space="preserve"> </w:t>
      </w:r>
      <w:r w:rsidRPr="00382917">
        <w:t>prophet</w:t>
      </w:r>
      <w:r w:rsidR="00EE4FC3">
        <w:t xml:space="preserve"> </w:t>
      </w:r>
      <w:r w:rsidRPr="00382917">
        <w:t>true.</w:t>
      </w:r>
    </w:p>
    <w:p w:rsidR="00300E83" w:rsidRPr="00382917" w:rsidRDefault="00300E83" w:rsidP="00650F8F">
      <w:pPr>
        <w:pStyle w:val="Text"/>
      </w:pPr>
      <w:r w:rsidRPr="00382917">
        <w:t>Bahá</w:t>
      </w:r>
      <w:r w:rsidR="009C713D" w:rsidRPr="00382917">
        <w:t>’</w:t>
      </w:r>
      <w:r w:rsidRPr="00382917">
        <w:t>u</w:t>
      </w:r>
      <w:r w:rsidR="009C713D" w:rsidRPr="00382917">
        <w:t>’</w:t>
      </w:r>
      <w:r w:rsidRPr="00382917">
        <w:t>lláh</w:t>
      </w:r>
      <w:r w:rsidR="00EE4FC3">
        <w:t xml:space="preserve"> </w:t>
      </w:r>
      <w:r w:rsidRPr="00382917">
        <w:t>wrote</w:t>
      </w:r>
      <w:r w:rsidR="00EE4FC3">
        <w:t xml:space="preserve"> </w:t>
      </w:r>
      <w:r w:rsidRPr="00382917">
        <w:t>over</w:t>
      </w:r>
      <w:r w:rsidR="00EE4FC3">
        <w:t xml:space="preserve"> </w:t>
      </w:r>
      <w:r w:rsidRPr="00382917">
        <w:t>a</w:t>
      </w:r>
      <w:r w:rsidR="00EE4FC3">
        <w:t xml:space="preserve"> </w:t>
      </w:r>
      <w:r w:rsidRPr="00382917">
        <w:t>hundred</w:t>
      </w:r>
      <w:r w:rsidR="00EE4FC3">
        <w:t xml:space="preserve"> </w:t>
      </w:r>
      <w:r w:rsidRPr="00382917">
        <w:t>volumes</w:t>
      </w:r>
      <w:r w:rsidR="00552489">
        <w:t>.</w:t>
      </w:r>
      <w:r w:rsidR="00EE4FC3">
        <w:t xml:space="preserve">  </w:t>
      </w:r>
      <w:r w:rsidRPr="00382917">
        <w:t>Here</w:t>
      </w:r>
      <w:r w:rsidR="00EE4FC3">
        <w:t xml:space="preserve"> </w:t>
      </w:r>
      <w:r w:rsidRPr="00382917">
        <w:t>it</w:t>
      </w:r>
      <w:r w:rsidR="00EE4FC3">
        <w:t xml:space="preserve"> </w:t>
      </w:r>
      <w:r w:rsidRPr="00382917">
        <w:t>is</w:t>
      </w:r>
      <w:r w:rsidR="00EE4FC3">
        <w:t xml:space="preserve"> </w:t>
      </w:r>
      <w:r w:rsidRPr="00382917">
        <w:t>possible</w:t>
      </w:r>
      <w:r w:rsidR="00EE4FC3">
        <w:t xml:space="preserve"> </w:t>
      </w:r>
      <w:r w:rsidRPr="00382917">
        <w:t>to</w:t>
      </w:r>
      <w:r w:rsidR="00EE4FC3">
        <w:t xml:space="preserve"> </w:t>
      </w:r>
      <w:r w:rsidRPr="00382917">
        <w:t>mention</w:t>
      </w:r>
      <w:r w:rsidR="00EE4FC3">
        <w:t xml:space="preserve"> </w:t>
      </w:r>
      <w:r w:rsidRPr="00382917">
        <w:t>but</w:t>
      </w:r>
      <w:r w:rsidR="00EE4FC3">
        <w:t xml:space="preserve"> </w:t>
      </w:r>
      <w:r w:rsidRPr="00382917">
        <w:t>a</w:t>
      </w:r>
      <w:r w:rsidR="00EE4FC3">
        <w:t xml:space="preserve"> </w:t>
      </w:r>
      <w:r w:rsidRPr="00382917">
        <w:t>few</w:t>
      </w:r>
      <w:r w:rsidR="00EE4FC3">
        <w:t xml:space="preserve"> </w:t>
      </w:r>
      <w:r w:rsidRPr="00382917">
        <w:t>of</w:t>
      </w:r>
      <w:r w:rsidR="00EE4FC3">
        <w:t xml:space="preserve"> </w:t>
      </w:r>
      <w:r w:rsidRPr="00382917">
        <w:t>His</w:t>
      </w:r>
      <w:r w:rsidR="00EE4FC3">
        <w:t xml:space="preserve"> </w:t>
      </w:r>
      <w:r w:rsidRPr="00382917">
        <w:t>teachings,</w:t>
      </w:r>
      <w:r w:rsidR="00EE4FC3">
        <w:t xml:space="preserve"> </w:t>
      </w:r>
      <w:r w:rsidRPr="00382917">
        <w:t>and</w:t>
      </w:r>
      <w:r w:rsidR="00EE4FC3">
        <w:t xml:space="preserve"> </w:t>
      </w:r>
      <w:r w:rsidRPr="00382917">
        <w:t>in</w:t>
      </w:r>
      <w:r w:rsidR="00EE4FC3">
        <w:t xml:space="preserve"> </w:t>
      </w:r>
      <w:r w:rsidRPr="00382917">
        <w:t>the</w:t>
      </w:r>
      <w:r w:rsidR="00EE4FC3">
        <w:t xml:space="preserve"> </w:t>
      </w:r>
      <w:r w:rsidRPr="00382917">
        <w:t>briefest</w:t>
      </w:r>
      <w:r w:rsidR="00EE4FC3">
        <w:t xml:space="preserve"> </w:t>
      </w:r>
      <w:r w:rsidRPr="00382917">
        <w:t>manner</w:t>
      </w:r>
      <w:r w:rsidR="00552489">
        <w:t>.</w:t>
      </w:r>
      <w:r w:rsidR="00EE4FC3">
        <w:t xml:space="preserve">  </w:t>
      </w:r>
      <w:r w:rsidRPr="00382917">
        <w:t>It</w:t>
      </w:r>
      <w:r w:rsidR="00EE4FC3">
        <w:t xml:space="preserve"> </w:t>
      </w:r>
      <w:r w:rsidRPr="00382917">
        <w:t>is</w:t>
      </w:r>
      <w:r w:rsidR="00EE4FC3">
        <w:t xml:space="preserve"> </w:t>
      </w:r>
      <w:r w:rsidRPr="00382917">
        <w:t>like</w:t>
      </w:r>
      <w:r w:rsidR="00EE4FC3">
        <w:t xml:space="preserve"> </w:t>
      </w:r>
      <w:r w:rsidRPr="00382917">
        <w:t>trying</w:t>
      </w:r>
      <w:r w:rsidR="00EE4FC3">
        <w:t xml:space="preserve"> </w:t>
      </w:r>
      <w:r w:rsidRPr="00382917">
        <w:t>to</w:t>
      </w:r>
      <w:r w:rsidR="00EE4FC3">
        <w:t xml:space="preserve"> </w:t>
      </w:r>
      <w:r w:rsidRPr="00382917">
        <w:t>catch</w:t>
      </w:r>
      <w:r w:rsidR="00EE4FC3">
        <w:t xml:space="preserve"> </w:t>
      </w:r>
      <w:r w:rsidRPr="00382917">
        <w:t>the</w:t>
      </w:r>
      <w:r w:rsidR="00EE4FC3">
        <w:t xml:space="preserve"> </w:t>
      </w:r>
      <w:r w:rsidRPr="00382917">
        <w:t>ocean</w:t>
      </w:r>
      <w:r w:rsidR="00EE4FC3">
        <w:t xml:space="preserve"> </w:t>
      </w:r>
      <w:r w:rsidRPr="00382917">
        <w:t>in</w:t>
      </w:r>
      <w:r w:rsidR="00EE4FC3">
        <w:t xml:space="preserve"> </w:t>
      </w:r>
      <w:r w:rsidRPr="00382917">
        <w:t>a</w:t>
      </w:r>
      <w:r w:rsidR="00EE4FC3">
        <w:t xml:space="preserve"> </w:t>
      </w:r>
      <w:r w:rsidRPr="00382917">
        <w:t>cup.</w:t>
      </w:r>
    </w:p>
    <w:p w:rsidR="00300E83" w:rsidRPr="00382917" w:rsidRDefault="00300E83" w:rsidP="00650F8F">
      <w:pPr>
        <w:pStyle w:val="Text"/>
      </w:pPr>
      <w:r w:rsidRPr="00382917">
        <w:t>The</w:t>
      </w:r>
      <w:r w:rsidR="00EE4FC3">
        <w:t xml:space="preserve"> </w:t>
      </w:r>
      <w:r w:rsidRPr="00382917">
        <w:t>following</w:t>
      </w:r>
      <w:r w:rsidR="00EE4FC3">
        <w:t xml:space="preserve"> </w:t>
      </w:r>
      <w:r w:rsidRPr="00382917">
        <w:t>are</w:t>
      </w:r>
      <w:r w:rsidR="00EE4FC3">
        <w:t xml:space="preserve"> </w:t>
      </w:r>
      <w:r w:rsidR="009C713D" w:rsidRPr="00382917">
        <w:t>“</w:t>
      </w:r>
      <w:r w:rsidRPr="00382917">
        <w:t>fruits</w:t>
      </w:r>
      <w:r w:rsidR="009C713D" w:rsidRPr="00382917">
        <w:t>”</w:t>
      </w:r>
      <w:r w:rsidR="00EE4FC3">
        <w:t xml:space="preserve"> </w:t>
      </w:r>
      <w:r w:rsidRPr="00382917">
        <w:t>from</w:t>
      </w:r>
      <w:r w:rsidR="00EE4FC3">
        <w:t xml:space="preserve"> </w:t>
      </w:r>
      <w:r w:rsidRPr="00382917">
        <w:t>the</w:t>
      </w:r>
      <w:r w:rsidR="00EE4FC3">
        <w:t xml:space="preserve"> </w:t>
      </w:r>
      <w:r w:rsidRPr="00382917">
        <w:t>tree</w:t>
      </w:r>
      <w:r w:rsidR="00EE4FC3">
        <w:t xml:space="preserve"> </w:t>
      </w:r>
      <w:r w:rsidRPr="00382917">
        <w:t>of</w:t>
      </w:r>
      <w:r w:rsidR="00EE4FC3">
        <w:t xml:space="preserve"> </w:t>
      </w:r>
      <w:r w:rsidRPr="00382917">
        <w:t>Bahá</w:t>
      </w:r>
      <w:r w:rsidR="009C713D" w:rsidRPr="00382917">
        <w:t>’</w:t>
      </w:r>
      <w:r w:rsidRPr="00382917">
        <w:t>u</w:t>
      </w:r>
      <w:r w:rsidR="009C713D" w:rsidRPr="00382917">
        <w:t>’</w:t>
      </w:r>
      <w:r w:rsidRPr="00382917">
        <w:t>lláh</w:t>
      </w:r>
      <w:r w:rsidR="00EE4FC3">
        <w:t xml:space="preserve"> </w:t>
      </w:r>
      <w:r w:rsidRPr="00382917">
        <w:t>upon</w:t>
      </w:r>
      <w:r w:rsidR="00EE4FC3">
        <w:t xml:space="preserve"> </w:t>
      </w:r>
      <w:r w:rsidRPr="00382917">
        <w:t>subjects</w:t>
      </w:r>
      <w:r w:rsidR="00EE4FC3">
        <w:t xml:space="preserve"> </w:t>
      </w:r>
      <w:r w:rsidRPr="00382917">
        <w:t>which</w:t>
      </w:r>
      <w:r w:rsidR="00EE4FC3">
        <w:t xml:space="preserve"> </w:t>
      </w:r>
      <w:r w:rsidRPr="00382917">
        <w:t>are</w:t>
      </w:r>
      <w:r w:rsidR="00EE4FC3">
        <w:t xml:space="preserve"> </w:t>
      </w:r>
      <w:r w:rsidRPr="00382917">
        <w:t>nearest</w:t>
      </w:r>
      <w:r w:rsidR="00EE4FC3">
        <w:t xml:space="preserve"> </w:t>
      </w:r>
      <w:r w:rsidRPr="00382917">
        <w:t>to</w:t>
      </w:r>
      <w:r w:rsidR="00EE4FC3">
        <w:t xml:space="preserve"> </w:t>
      </w:r>
      <w:r w:rsidRPr="00382917">
        <w:t>the</w:t>
      </w:r>
      <w:r w:rsidR="00EE4FC3">
        <w:t xml:space="preserve"> </w:t>
      </w:r>
      <w:r w:rsidRPr="00382917">
        <w:t>heart</w:t>
      </w:r>
      <w:r w:rsidR="00EE4FC3">
        <w:t xml:space="preserve"> </w:t>
      </w:r>
      <w:r w:rsidRPr="00382917">
        <w:t>of</w:t>
      </w:r>
      <w:r w:rsidR="00EE4FC3">
        <w:t xml:space="preserve"> </w:t>
      </w:r>
      <w:r w:rsidRPr="00382917">
        <w:t>every</w:t>
      </w:r>
      <w:r w:rsidR="00EE4FC3">
        <w:t xml:space="preserve"> </w:t>
      </w:r>
      <w:r w:rsidRPr="00382917">
        <w:t>man,</w:t>
      </w:r>
      <w:r w:rsidR="00EE4FC3">
        <w:t xml:space="preserve"> </w:t>
      </w:r>
      <w:r w:rsidRPr="00382917">
        <w:t>and</w:t>
      </w:r>
      <w:r w:rsidR="00EE4FC3">
        <w:t xml:space="preserve"> </w:t>
      </w:r>
      <w:r w:rsidRPr="00382917">
        <w:t>most</w:t>
      </w:r>
      <w:r w:rsidR="00EE4FC3">
        <w:t xml:space="preserve"> </w:t>
      </w:r>
      <w:r w:rsidRPr="00382917">
        <w:t>vital</w:t>
      </w:r>
      <w:r w:rsidR="00EE4FC3">
        <w:t xml:space="preserve"> </w:t>
      </w:r>
      <w:r w:rsidRPr="00382917">
        <w:t>to</w:t>
      </w:r>
      <w:r w:rsidR="00EE4FC3">
        <w:t xml:space="preserve"> </w:t>
      </w:r>
      <w:r w:rsidRPr="00382917">
        <w:t>his</w:t>
      </w:r>
      <w:r w:rsidR="00EE4FC3">
        <w:t xml:space="preserve"> </w:t>
      </w:r>
      <w:r w:rsidRPr="00382917">
        <w:t>welfare</w:t>
      </w:r>
      <w:r w:rsidR="00C03C91">
        <w:t>:</w:t>
      </w:r>
      <w:r w:rsidR="00EE4FC3">
        <w:t xml:space="preserve">  </w:t>
      </w:r>
      <w:r w:rsidRPr="00382917">
        <w:t>1</w:t>
      </w:r>
      <w:proofErr w:type="gramStart"/>
      <w:r w:rsidR="00552489">
        <w:t>.</w:t>
      </w:r>
      <w:r w:rsidR="00EE4FC3">
        <w:t xml:space="preserve">  </w:t>
      </w:r>
      <w:r w:rsidRPr="00382917">
        <w:t>his</w:t>
      </w:r>
      <w:proofErr w:type="gramEnd"/>
      <w:r w:rsidR="00EE4FC3">
        <w:t xml:space="preserve"> </w:t>
      </w:r>
      <w:r w:rsidRPr="00382917">
        <w:t>home</w:t>
      </w:r>
      <w:r w:rsidR="00EE4FC3">
        <w:t xml:space="preserve"> </w:t>
      </w:r>
      <w:r w:rsidRPr="00382917">
        <w:t>and</w:t>
      </w:r>
      <w:r w:rsidR="00EE4FC3">
        <w:t xml:space="preserve"> </w:t>
      </w:r>
      <w:r w:rsidRPr="00382917">
        <w:t>family,</w:t>
      </w:r>
      <w:r w:rsidR="00EE4FC3">
        <w:t xml:space="preserve"> </w:t>
      </w:r>
      <w:r w:rsidRPr="00382917">
        <w:t>2</w:t>
      </w:r>
      <w:r w:rsidR="00552489">
        <w:t>.</w:t>
      </w:r>
      <w:r w:rsidR="00EE4FC3">
        <w:t xml:space="preserve">  </w:t>
      </w:r>
      <w:r w:rsidRPr="00382917">
        <w:t>his</w:t>
      </w:r>
      <w:r w:rsidR="00EE4FC3">
        <w:t xml:space="preserve"> </w:t>
      </w:r>
      <w:r w:rsidRPr="00382917">
        <w:t>country,</w:t>
      </w:r>
      <w:r w:rsidR="00EE4FC3">
        <w:t xml:space="preserve"> </w:t>
      </w:r>
      <w:r w:rsidRPr="00382917">
        <w:t>3</w:t>
      </w:r>
      <w:r w:rsidR="00552489">
        <w:t>.</w:t>
      </w:r>
      <w:r w:rsidR="00EE4FC3">
        <w:t xml:space="preserve">  </w:t>
      </w:r>
      <w:r w:rsidRPr="00382917">
        <w:t>his</w:t>
      </w:r>
      <w:r w:rsidR="00EE4FC3">
        <w:t xml:space="preserve"> </w:t>
      </w:r>
      <w:r w:rsidRPr="00382917">
        <w:t>religion,</w:t>
      </w:r>
      <w:r w:rsidR="00EE4FC3">
        <w:t xml:space="preserve"> </w:t>
      </w:r>
      <w:r w:rsidRPr="00382917">
        <w:t>and</w:t>
      </w:r>
      <w:r w:rsidR="00EE4FC3">
        <w:t xml:space="preserve"> </w:t>
      </w:r>
      <w:r w:rsidRPr="00382917">
        <w:t>4</w:t>
      </w:r>
      <w:r w:rsidR="00552489">
        <w:t>.</w:t>
      </w:r>
      <w:r w:rsidR="00EE4FC3">
        <w:t xml:space="preserve">  </w:t>
      </w:r>
      <w:r w:rsidRPr="00382917">
        <w:t>his</w:t>
      </w:r>
      <w:r w:rsidR="00EE4FC3">
        <w:t xml:space="preserve"> </w:t>
      </w:r>
      <w:r w:rsidRPr="00382917">
        <w:t>individual</w:t>
      </w:r>
      <w:r w:rsidR="00EE4FC3">
        <w:t xml:space="preserve"> </w:t>
      </w:r>
      <w:r w:rsidRPr="00382917">
        <w:t>self.</w:t>
      </w:r>
    </w:p>
    <w:p w:rsidR="00300E83" w:rsidRPr="00382917" w:rsidRDefault="00300E83" w:rsidP="00650F8F">
      <w:pPr>
        <w:pStyle w:val="Text"/>
      </w:pPr>
      <w:r w:rsidRPr="00382917">
        <w:t>The</w:t>
      </w:r>
      <w:r w:rsidR="00EE4FC3">
        <w:t xml:space="preserve"> </w:t>
      </w:r>
      <w:r w:rsidRPr="00382917">
        <w:t>first</w:t>
      </w:r>
      <w:r w:rsidR="00EE4FC3">
        <w:t xml:space="preserve"> </w:t>
      </w:r>
      <w:r w:rsidR="009C713D" w:rsidRPr="00382917">
        <w:t>“</w:t>
      </w:r>
      <w:r w:rsidRPr="00382917">
        <w:t>fruit</w:t>
      </w:r>
      <w:r w:rsidR="009C713D" w:rsidRPr="00382917">
        <w:t>”</w:t>
      </w:r>
      <w:r w:rsidR="00EE4FC3">
        <w:t xml:space="preserve"> </w:t>
      </w:r>
      <w:r w:rsidRPr="00382917">
        <w:t>we</w:t>
      </w:r>
      <w:r w:rsidR="00EE4FC3">
        <w:t xml:space="preserve"> </w:t>
      </w:r>
      <w:r w:rsidRPr="00382917">
        <w:t>shall</w:t>
      </w:r>
      <w:r w:rsidR="00EE4FC3">
        <w:t xml:space="preserve"> </w:t>
      </w:r>
      <w:r w:rsidRPr="00382917">
        <w:t>test</w:t>
      </w:r>
      <w:r w:rsidR="00EE4FC3">
        <w:t xml:space="preserve"> </w:t>
      </w:r>
      <w:r w:rsidRPr="00382917">
        <w:t>is</w:t>
      </w:r>
      <w:r w:rsidR="00EE4FC3">
        <w:t xml:space="preserve"> </w:t>
      </w:r>
      <w:r w:rsidRPr="00382917">
        <w:t>that</w:t>
      </w:r>
      <w:r w:rsidR="00EE4FC3">
        <w:t xml:space="preserve"> </w:t>
      </w:r>
      <w:r w:rsidRPr="00382917">
        <w:t>relating</w:t>
      </w:r>
      <w:r w:rsidR="00EE4FC3">
        <w:t xml:space="preserve"> </w:t>
      </w:r>
      <w:r w:rsidRPr="00382917">
        <w:t>to</w:t>
      </w:r>
      <w:r w:rsidR="00EE4FC3">
        <w:t xml:space="preserve"> </w:t>
      </w:r>
      <w:r w:rsidRPr="00382917">
        <w:t>man</w:t>
      </w:r>
      <w:r w:rsidR="009C713D" w:rsidRPr="00382917">
        <w:t>’</w:t>
      </w:r>
      <w:r w:rsidRPr="00382917">
        <w:t>s</w:t>
      </w:r>
      <w:r w:rsidR="00EE4FC3">
        <w:t xml:space="preserve"> </w:t>
      </w:r>
      <w:r w:rsidRPr="00382917">
        <w:t>home</w:t>
      </w:r>
      <w:r w:rsidR="00EE4FC3">
        <w:t xml:space="preserve"> </w:t>
      </w:r>
      <w:r w:rsidRPr="00382917">
        <w:t>and</w:t>
      </w:r>
      <w:r w:rsidR="00EE4FC3">
        <w:t xml:space="preserve"> </w:t>
      </w:r>
      <w:r w:rsidRPr="00382917">
        <w:t>family:</w:t>
      </w:r>
    </w:p>
    <w:p w:rsidR="00300E83" w:rsidRPr="00382917" w:rsidRDefault="00300E83" w:rsidP="00650F8F">
      <w:pPr>
        <w:pStyle w:val="Myhead3"/>
      </w:pPr>
      <w:r w:rsidRPr="00382917">
        <w:t>1.</w:t>
      </w:r>
      <w:r w:rsidR="00EE4FC3">
        <w:t xml:space="preserve">  </w:t>
      </w:r>
      <w:r w:rsidRPr="00382917">
        <w:t>H</w:t>
      </w:r>
      <w:r w:rsidR="00650F8F" w:rsidRPr="00382917">
        <w:t>ome</w:t>
      </w:r>
      <w:r w:rsidR="00EE4FC3">
        <w:t xml:space="preserve"> </w:t>
      </w:r>
      <w:r w:rsidR="00650F8F" w:rsidRPr="00382917">
        <w:t>and</w:t>
      </w:r>
      <w:r w:rsidR="00EE4FC3">
        <w:t xml:space="preserve"> </w:t>
      </w:r>
      <w:r w:rsidR="00650F8F" w:rsidRPr="00382917">
        <w:t>family</w:t>
      </w:r>
    </w:p>
    <w:p w:rsidR="00300E83" w:rsidRPr="00382917" w:rsidRDefault="00300E83" w:rsidP="00650F8F">
      <w:pPr>
        <w:pStyle w:val="Text"/>
      </w:pPr>
      <w:r w:rsidRPr="00382917">
        <w:t>Bahá</w:t>
      </w:r>
      <w:r w:rsidR="009C713D" w:rsidRPr="00382917">
        <w:t>’</w:t>
      </w:r>
      <w:r w:rsidRPr="00382917">
        <w:t>u</w:t>
      </w:r>
      <w:r w:rsidR="009C713D" w:rsidRPr="00382917">
        <w:t>’</w:t>
      </w:r>
      <w:r w:rsidRPr="00382917">
        <w:t>lláh</w:t>
      </w:r>
      <w:r w:rsidR="00EE4FC3">
        <w:t xml:space="preserve"> </w:t>
      </w:r>
      <w:r w:rsidRPr="00382917">
        <w:t>calls</w:t>
      </w:r>
      <w:r w:rsidR="00EE4FC3">
        <w:t xml:space="preserve"> </w:t>
      </w:r>
      <w:r w:rsidRPr="00382917">
        <w:t>upon</w:t>
      </w:r>
      <w:r w:rsidR="00EE4FC3">
        <w:t xml:space="preserve"> </w:t>
      </w:r>
      <w:r w:rsidRPr="00382917">
        <w:t>all</w:t>
      </w:r>
      <w:r w:rsidR="00EE4FC3">
        <w:t xml:space="preserve"> </w:t>
      </w:r>
      <w:r w:rsidRPr="00382917">
        <w:t>mankind</w:t>
      </w:r>
      <w:r w:rsidR="00EE4FC3">
        <w:t xml:space="preserve"> </w:t>
      </w:r>
      <w:r w:rsidRPr="00382917">
        <w:t>to</w:t>
      </w:r>
      <w:r w:rsidR="00EE4FC3">
        <w:t xml:space="preserve"> </w:t>
      </w:r>
      <w:proofErr w:type="spellStart"/>
      <w:r w:rsidRPr="00382917">
        <w:t>honor</w:t>
      </w:r>
      <w:proofErr w:type="spellEnd"/>
      <w:r w:rsidR="00EE4FC3">
        <w:t xml:space="preserve"> </w:t>
      </w:r>
      <w:r w:rsidRPr="00382917">
        <w:t>the</w:t>
      </w:r>
      <w:r w:rsidR="00EE4FC3">
        <w:t xml:space="preserve"> </w:t>
      </w:r>
      <w:r w:rsidRPr="00382917">
        <w:t>sanctity</w:t>
      </w:r>
      <w:r w:rsidR="00EE4FC3">
        <w:t xml:space="preserve"> </w:t>
      </w:r>
      <w:r w:rsidRPr="00382917">
        <w:t>of</w:t>
      </w:r>
      <w:r w:rsidR="00EE4FC3">
        <w:t xml:space="preserve"> </w:t>
      </w:r>
      <w:r w:rsidRPr="00382917">
        <w:t>marriage</w:t>
      </w:r>
      <w:r w:rsidR="00552489">
        <w:t>.</w:t>
      </w:r>
      <w:r w:rsidR="00EE4FC3">
        <w:t xml:space="preserve">  </w:t>
      </w:r>
      <w:r w:rsidRPr="00382917">
        <w:t>The</w:t>
      </w:r>
      <w:r w:rsidR="00EE4FC3">
        <w:t xml:space="preserve"> </w:t>
      </w:r>
      <w:r w:rsidRPr="00382917">
        <w:t>bond</w:t>
      </w:r>
      <w:r w:rsidR="00EE4FC3">
        <w:t xml:space="preserve"> </w:t>
      </w:r>
      <w:r w:rsidRPr="00382917">
        <w:t>between</w:t>
      </w:r>
      <w:r w:rsidR="00EE4FC3">
        <w:t xml:space="preserve"> </w:t>
      </w:r>
      <w:r w:rsidRPr="00382917">
        <w:t>husband</w:t>
      </w:r>
      <w:r w:rsidR="00EE4FC3">
        <w:t xml:space="preserve"> </w:t>
      </w:r>
      <w:r w:rsidRPr="00382917">
        <w:t>and</w:t>
      </w:r>
      <w:r w:rsidR="00EE4FC3">
        <w:t xml:space="preserve"> </w:t>
      </w:r>
      <w:r w:rsidRPr="00382917">
        <w:t>wife</w:t>
      </w:r>
      <w:r w:rsidR="00EE4FC3">
        <w:t xml:space="preserve"> </w:t>
      </w:r>
      <w:r w:rsidRPr="00382917">
        <w:t>must</w:t>
      </w:r>
      <w:r w:rsidR="00EE4FC3">
        <w:t xml:space="preserve"> </w:t>
      </w:r>
      <w:r w:rsidRPr="00382917">
        <w:t>be</w:t>
      </w:r>
      <w:r w:rsidR="00EE4FC3">
        <w:t xml:space="preserve"> </w:t>
      </w:r>
      <w:r w:rsidRPr="00382917">
        <w:t>upon</w:t>
      </w:r>
      <w:r w:rsidR="00EE4FC3">
        <w:t xml:space="preserve"> </w:t>
      </w:r>
      <w:r w:rsidRPr="00382917">
        <w:t>a</w:t>
      </w:r>
      <w:r w:rsidR="00EE4FC3">
        <w:t xml:space="preserve"> </w:t>
      </w:r>
      <w:r w:rsidRPr="00382917">
        <w:t>spiritual</w:t>
      </w:r>
      <w:r w:rsidR="00EE4FC3">
        <w:t xml:space="preserve"> </w:t>
      </w:r>
      <w:r w:rsidRPr="00382917">
        <w:t>as</w:t>
      </w:r>
      <w:r w:rsidR="00EE4FC3">
        <w:t xml:space="preserve"> </w:t>
      </w:r>
      <w:r w:rsidRPr="00382917">
        <w:t>well</w:t>
      </w:r>
      <w:r w:rsidR="00EE4FC3">
        <w:t xml:space="preserve"> </w:t>
      </w:r>
      <w:r w:rsidRPr="00382917">
        <w:t>as</w:t>
      </w:r>
      <w:r w:rsidR="00EE4FC3">
        <w:t xml:space="preserve"> </w:t>
      </w:r>
      <w:r w:rsidRPr="00382917">
        <w:t>a</w:t>
      </w:r>
      <w:r w:rsidR="00EE4FC3">
        <w:t xml:space="preserve"> </w:t>
      </w:r>
      <w:r w:rsidRPr="00382917">
        <w:t>physical</w:t>
      </w:r>
      <w:r w:rsidR="00EE4FC3">
        <w:t xml:space="preserve"> </w:t>
      </w:r>
      <w:r w:rsidRPr="00382917">
        <w:t>foundation</w:t>
      </w:r>
      <w:r w:rsidR="00552489">
        <w:t>.</w:t>
      </w:r>
      <w:r w:rsidR="00EE4FC3">
        <w:t xml:space="preserve">  </w:t>
      </w:r>
      <w:r w:rsidRPr="00382917">
        <w:t>It</w:t>
      </w:r>
      <w:r w:rsidR="00EE4FC3">
        <w:t xml:space="preserve"> </w:t>
      </w:r>
      <w:r w:rsidRPr="00382917">
        <w:t>must</w:t>
      </w:r>
      <w:r w:rsidR="00EE4FC3">
        <w:t xml:space="preserve"> </w:t>
      </w:r>
      <w:r w:rsidRPr="00382917">
        <w:t>be</w:t>
      </w:r>
      <w:r w:rsidR="00EE4FC3">
        <w:t xml:space="preserve"> </w:t>
      </w:r>
      <w:r w:rsidRPr="00382917">
        <w:t>a</w:t>
      </w:r>
      <w:r w:rsidR="00EE4FC3">
        <w:t xml:space="preserve"> </w:t>
      </w:r>
      <w:r w:rsidRPr="00382917">
        <w:t>happy</w:t>
      </w:r>
      <w:r w:rsidR="00EE4FC3">
        <w:t xml:space="preserve"> </w:t>
      </w:r>
      <w:r w:rsidRPr="00382917">
        <w:t>and</w:t>
      </w:r>
      <w:r w:rsidR="00EE4FC3">
        <w:t xml:space="preserve"> </w:t>
      </w:r>
      <w:r w:rsidRPr="00382917">
        <w:t>lasting</w:t>
      </w:r>
      <w:r w:rsidR="00EE4FC3">
        <w:t xml:space="preserve"> </w:t>
      </w:r>
      <w:r w:rsidRPr="00382917">
        <w:t>union,</w:t>
      </w:r>
      <w:r w:rsidR="00EE4FC3">
        <w:t xml:space="preserve"> </w:t>
      </w:r>
      <w:r w:rsidRPr="00382917">
        <w:t>for</w:t>
      </w:r>
      <w:r w:rsidR="00EE4FC3">
        <w:t xml:space="preserve"> </w:t>
      </w:r>
      <w:r w:rsidRPr="00382917">
        <w:t>the</w:t>
      </w:r>
      <w:r w:rsidR="00EE4FC3">
        <w:t xml:space="preserve"> </w:t>
      </w:r>
      <w:r w:rsidRPr="00382917">
        <w:t>family</w:t>
      </w:r>
      <w:r w:rsidR="00EE4FC3">
        <w:t xml:space="preserve"> </w:t>
      </w:r>
      <w:r w:rsidRPr="00382917">
        <w:t>is</w:t>
      </w:r>
      <w:r w:rsidR="00EE4FC3">
        <w:t xml:space="preserve"> </w:t>
      </w:r>
      <w:r w:rsidRPr="00382917">
        <w:t>the</w:t>
      </w:r>
      <w:r w:rsidR="00EE4FC3">
        <w:t xml:space="preserve"> </w:t>
      </w:r>
      <w:r w:rsidRPr="00382917">
        <w:t>basis</w:t>
      </w:r>
      <w:r w:rsidR="00EE4FC3">
        <w:t xml:space="preserve"> </w:t>
      </w:r>
      <w:r w:rsidRPr="00382917">
        <w:t>of</w:t>
      </w:r>
      <w:r w:rsidR="00EE4FC3">
        <w:t xml:space="preserve"> </w:t>
      </w:r>
      <w:r w:rsidRPr="00382917">
        <w:t>society.</w:t>
      </w:r>
    </w:p>
    <w:p w:rsidR="00300E83" w:rsidRPr="00382917" w:rsidRDefault="00300E83" w:rsidP="00956448">
      <w:pPr>
        <w:pStyle w:val="Text"/>
      </w:pPr>
      <w:r w:rsidRPr="00382917">
        <w:t>The</w:t>
      </w:r>
      <w:r w:rsidR="00EE4FC3">
        <w:t xml:space="preserve"> </w:t>
      </w:r>
      <w:r w:rsidRPr="00382917">
        <w:t>Bahá</w:t>
      </w:r>
      <w:r w:rsidR="009C713D" w:rsidRPr="00382917">
        <w:t>’</w:t>
      </w:r>
      <w:r w:rsidRPr="00382917">
        <w:t>í</w:t>
      </w:r>
      <w:r w:rsidR="00EE4FC3">
        <w:t xml:space="preserve"> </w:t>
      </w:r>
      <w:r w:rsidRPr="00382917">
        <w:t>law</w:t>
      </w:r>
      <w:r w:rsidR="00EE4FC3">
        <w:t xml:space="preserve"> </w:t>
      </w:r>
      <w:r w:rsidRPr="00382917">
        <w:t>on</w:t>
      </w:r>
      <w:r w:rsidR="00EE4FC3">
        <w:t xml:space="preserve"> </w:t>
      </w:r>
      <w:r w:rsidRPr="00382917">
        <w:t>marriage</w:t>
      </w:r>
      <w:r w:rsidR="00EE4FC3">
        <w:t xml:space="preserve"> </w:t>
      </w:r>
      <w:r w:rsidRPr="00382917">
        <w:t>is</w:t>
      </w:r>
      <w:r w:rsidR="00EE4FC3">
        <w:t xml:space="preserve"> </w:t>
      </w:r>
      <w:r w:rsidRPr="00382917">
        <w:t>that</w:t>
      </w:r>
      <w:r w:rsidR="00EE4FC3">
        <w:t xml:space="preserve"> </w:t>
      </w:r>
      <w:r w:rsidRPr="00382917">
        <w:t>man</w:t>
      </w:r>
      <w:r w:rsidR="00EE4FC3">
        <w:t xml:space="preserve"> </w:t>
      </w:r>
      <w:r w:rsidRPr="00382917">
        <w:t>must</w:t>
      </w:r>
      <w:r w:rsidR="00EE4FC3">
        <w:t xml:space="preserve"> </w:t>
      </w:r>
      <w:r w:rsidRPr="00382917">
        <w:t>have</w:t>
      </w:r>
      <w:r w:rsidR="00EE4FC3">
        <w:t xml:space="preserve"> </w:t>
      </w:r>
      <w:r w:rsidRPr="00382917">
        <w:t>but</w:t>
      </w:r>
      <w:r w:rsidR="00EE4FC3">
        <w:t xml:space="preserve"> </w:t>
      </w:r>
      <w:r w:rsidRPr="00382917">
        <w:t>one</w:t>
      </w:r>
      <w:r w:rsidR="00EE4FC3">
        <w:t xml:space="preserve"> </w:t>
      </w:r>
      <w:r w:rsidRPr="00382917">
        <w:t>wife</w:t>
      </w:r>
      <w:r w:rsidR="00EE4FC3">
        <w:t xml:space="preserve"> </w:t>
      </w:r>
      <w:r w:rsidRPr="00382917">
        <w:t>(monogamy)</w:t>
      </w:r>
      <w:r w:rsidR="00552489">
        <w:t>.</w:t>
      </w:r>
      <w:r w:rsidR="00EE4FC3">
        <w:t xml:space="preserve">  </w:t>
      </w:r>
      <w:r w:rsidRPr="00382917">
        <w:t>If</w:t>
      </w:r>
      <w:r w:rsidR="00EE4FC3">
        <w:t xml:space="preserve"> </w:t>
      </w:r>
      <w:r w:rsidRPr="00382917">
        <w:t>a</w:t>
      </w:r>
      <w:r w:rsidR="00EE4FC3">
        <w:t xml:space="preserve"> </w:t>
      </w:r>
      <w:r w:rsidRPr="00382917">
        <w:t>man</w:t>
      </w:r>
      <w:r w:rsidR="00EE4FC3">
        <w:t xml:space="preserve"> </w:t>
      </w:r>
      <w:r w:rsidRPr="00382917">
        <w:t>already</w:t>
      </w:r>
      <w:r w:rsidR="00EE4FC3">
        <w:t xml:space="preserve"> </w:t>
      </w:r>
      <w:r w:rsidRPr="00382917">
        <w:t>has</w:t>
      </w:r>
      <w:r w:rsidR="00EE4FC3">
        <w:t xml:space="preserve"> </w:t>
      </w:r>
      <w:r w:rsidRPr="00382917">
        <w:t>more</w:t>
      </w:r>
      <w:r w:rsidR="00EE4FC3">
        <w:t xml:space="preserve"> </w:t>
      </w:r>
      <w:r w:rsidRPr="00382917">
        <w:t>than</w:t>
      </w:r>
      <w:r w:rsidR="00EE4FC3">
        <w:t xml:space="preserve"> </w:t>
      </w:r>
      <w:r w:rsidRPr="00382917">
        <w:t>one</w:t>
      </w:r>
      <w:r w:rsidR="00EE4FC3">
        <w:t xml:space="preserve"> </w:t>
      </w:r>
      <w:r w:rsidRPr="00382917">
        <w:t>wife,</w:t>
      </w:r>
      <w:r w:rsidR="00EE4FC3">
        <w:t xml:space="preserve"> </w:t>
      </w:r>
      <w:r w:rsidRPr="00382917">
        <w:t>he</w:t>
      </w:r>
      <w:r w:rsidR="00EE4FC3">
        <w:t xml:space="preserve"> </w:t>
      </w:r>
      <w:r w:rsidRPr="00382917">
        <w:t>does</w:t>
      </w:r>
      <w:r w:rsidR="00EE4FC3">
        <w:t xml:space="preserve"> </w:t>
      </w:r>
      <w:r w:rsidRPr="00382917">
        <w:t>not</w:t>
      </w:r>
      <w:r w:rsidR="00EE4FC3">
        <w:t xml:space="preserve"> </w:t>
      </w:r>
      <w:r w:rsidRPr="00382917">
        <w:t>give</w:t>
      </w:r>
      <w:r w:rsidR="00EE4FC3">
        <w:t xml:space="preserve"> </w:t>
      </w:r>
      <w:r w:rsidRPr="00382917">
        <w:t>up</w:t>
      </w:r>
      <w:r w:rsidR="00EE4FC3">
        <w:t xml:space="preserve"> </w:t>
      </w:r>
      <w:r w:rsidRPr="00382917">
        <w:t>any,</w:t>
      </w:r>
      <w:r w:rsidR="00EE4FC3">
        <w:t xml:space="preserve"> </w:t>
      </w:r>
      <w:r w:rsidRPr="00382917">
        <w:t>but</w:t>
      </w:r>
      <w:r w:rsidR="00EE4FC3">
        <w:t xml:space="preserve"> </w:t>
      </w:r>
      <w:r w:rsidRPr="00382917">
        <w:t>he</w:t>
      </w:r>
      <w:r w:rsidR="00EE4FC3">
        <w:t xml:space="preserve"> </w:t>
      </w:r>
      <w:r w:rsidRPr="00382917">
        <w:t>can</w:t>
      </w:r>
      <w:r w:rsidR="00EE4FC3">
        <w:t xml:space="preserve"> </w:t>
      </w:r>
      <w:r w:rsidRPr="00382917">
        <w:t>take</w:t>
      </w:r>
      <w:r w:rsidR="00EE4FC3">
        <w:t xml:space="preserve"> </w:t>
      </w:r>
      <w:r w:rsidRPr="00382917">
        <w:t>no</w:t>
      </w:r>
      <w:r w:rsidR="00EE4FC3">
        <w:t xml:space="preserve"> </w:t>
      </w:r>
      <w:r w:rsidRPr="00382917">
        <w:t>more</w:t>
      </w:r>
      <w:r w:rsidR="00552489">
        <w:t>.</w:t>
      </w:r>
      <w:r w:rsidR="00EE4FC3">
        <w:t xml:space="preserve">  </w:t>
      </w:r>
      <w:r w:rsidRPr="00382917">
        <w:t>Thus</w:t>
      </w:r>
      <w:r w:rsidR="00EE4FC3">
        <w:t xml:space="preserve"> </w:t>
      </w:r>
      <w:r w:rsidRPr="00382917">
        <w:t>an</w:t>
      </w:r>
      <w:r w:rsidR="00EE4FC3">
        <w:t xml:space="preserve"> </w:t>
      </w:r>
      <w:r w:rsidRPr="00382917">
        <w:t>injustice</w:t>
      </w:r>
      <w:r w:rsidR="00EE4FC3">
        <w:t xml:space="preserve"> </w:t>
      </w:r>
      <w:r w:rsidRPr="00382917">
        <w:t>or</w:t>
      </w:r>
      <w:r w:rsidR="00EE4FC3">
        <w:t xml:space="preserve"> </w:t>
      </w:r>
      <w:r w:rsidRPr="00382917">
        <w:t>upheaval</w:t>
      </w:r>
      <w:r w:rsidR="00EE4FC3">
        <w:t xml:space="preserve"> </w:t>
      </w:r>
      <w:r w:rsidRPr="00382917">
        <w:t>will</w:t>
      </w:r>
      <w:r w:rsidR="00EE4FC3">
        <w:t xml:space="preserve"> </w:t>
      </w:r>
      <w:r w:rsidRPr="00382917">
        <w:t>not</w:t>
      </w:r>
      <w:r w:rsidR="00EE4FC3">
        <w:t xml:space="preserve"> </w:t>
      </w:r>
      <w:r w:rsidRPr="00382917">
        <w:t>be</w:t>
      </w:r>
      <w:r w:rsidR="00EE4FC3">
        <w:t xml:space="preserve"> </w:t>
      </w:r>
      <w:r w:rsidRPr="00382917">
        <w:t>caused</w:t>
      </w:r>
      <w:r w:rsidR="00EE4FC3">
        <w:t xml:space="preserve"> </w:t>
      </w:r>
      <w:r w:rsidRPr="00382917">
        <w:t>in</w:t>
      </w:r>
      <w:r w:rsidR="00EE4FC3">
        <w:t xml:space="preserve"> </w:t>
      </w:r>
      <w:r w:rsidRPr="00382917">
        <w:t>those</w:t>
      </w:r>
      <w:r w:rsidR="00EE4FC3">
        <w:t xml:space="preserve"> </w:t>
      </w:r>
      <w:r w:rsidRPr="00382917">
        <w:t>lands</w:t>
      </w:r>
      <w:r w:rsidR="00EE4FC3">
        <w:t xml:space="preserve"> </w:t>
      </w:r>
      <w:r w:rsidRPr="00382917">
        <w:t>where</w:t>
      </w:r>
      <w:r w:rsidR="00EE4FC3">
        <w:t xml:space="preserve"> </w:t>
      </w:r>
      <w:r w:rsidRPr="00382917">
        <w:t>plural</w:t>
      </w:r>
      <w:r w:rsidR="00EE4FC3">
        <w:t xml:space="preserve"> </w:t>
      </w:r>
      <w:r w:rsidRPr="00382917">
        <w:t>mar-</w:t>
      </w:r>
    </w:p>
    <w:p w:rsidR="00650F8F" w:rsidRPr="00382917" w:rsidRDefault="00650F8F">
      <w:pPr>
        <w:widowControl/>
        <w:kinsoku/>
        <w:overflowPunct/>
        <w:textAlignment w:val="auto"/>
      </w:pPr>
      <w:r w:rsidRPr="00382917">
        <w:br w:type="page"/>
      </w:r>
    </w:p>
    <w:p w:rsidR="00300E83" w:rsidRPr="00382917" w:rsidRDefault="00300E83" w:rsidP="00650F8F">
      <w:pPr>
        <w:pStyle w:val="Textcts"/>
      </w:pPr>
      <w:proofErr w:type="spellStart"/>
      <w:proofErr w:type="gramStart"/>
      <w:r w:rsidRPr="00382917">
        <w:t>riages</w:t>
      </w:r>
      <w:proofErr w:type="spellEnd"/>
      <w:proofErr w:type="gramEnd"/>
      <w:r w:rsidR="00EE4FC3">
        <w:t xml:space="preserve"> </w:t>
      </w:r>
      <w:r w:rsidRPr="00382917">
        <w:t>are</w:t>
      </w:r>
      <w:r w:rsidR="00EE4FC3">
        <w:t xml:space="preserve"> </w:t>
      </w:r>
      <w:r w:rsidRPr="00382917">
        <w:t>acceptable,</w:t>
      </w:r>
      <w:r w:rsidR="00EE4FC3">
        <w:t xml:space="preserve"> </w:t>
      </w:r>
      <w:r w:rsidRPr="00382917">
        <w:t>but</w:t>
      </w:r>
      <w:r w:rsidR="00EE4FC3">
        <w:t xml:space="preserve"> </w:t>
      </w:r>
      <w:r w:rsidRPr="00382917">
        <w:t>gradually</w:t>
      </w:r>
      <w:r w:rsidR="00EE4FC3">
        <w:t xml:space="preserve"> </w:t>
      </w:r>
      <w:r w:rsidRPr="00382917">
        <w:t>by</w:t>
      </w:r>
      <w:r w:rsidR="00EE4FC3">
        <w:t xml:space="preserve"> </w:t>
      </w:r>
      <w:r w:rsidRPr="00382917">
        <w:t>the</w:t>
      </w:r>
      <w:r w:rsidR="00EE4FC3">
        <w:t xml:space="preserve"> </w:t>
      </w:r>
      <w:r w:rsidRPr="00382917">
        <w:t>application</w:t>
      </w:r>
      <w:r w:rsidR="00EE4FC3">
        <w:t xml:space="preserve"> </w:t>
      </w:r>
      <w:r w:rsidRPr="00382917">
        <w:t>of</w:t>
      </w:r>
      <w:r w:rsidR="00EE4FC3">
        <w:t xml:space="preserve"> </w:t>
      </w:r>
      <w:r w:rsidRPr="00382917">
        <w:t>this</w:t>
      </w:r>
      <w:r w:rsidR="00EE4FC3">
        <w:t xml:space="preserve"> </w:t>
      </w:r>
      <w:r w:rsidRPr="00382917">
        <w:t>law,</w:t>
      </w:r>
      <w:r w:rsidR="00EE4FC3">
        <w:t xml:space="preserve"> </w:t>
      </w:r>
      <w:r w:rsidRPr="00382917">
        <w:t>monogamy</w:t>
      </w:r>
      <w:r w:rsidR="00EE4FC3">
        <w:t xml:space="preserve"> </w:t>
      </w:r>
      <w:r w:rsidRPr="00382917">
        <w:t>will</w:t>
      </w:r>
      <w:r w:rsidR="00EE4FC3">
        <w:t xml:space="preserve"> </w:t>
      </w:r>
      <w:r w:rsidRPr="00382917">
        <w:t>be</w:t>
      </w:r>
      <w:r w:rsidR="00EE4FC3">
        <w:t xml:space="preserve"> </w:t>
      </w:r>
      <w:r w:rsidRPr="00382917">
        <w:t>the</w:t>
      </w:r>
      <w:r w:rsidR="00EE4FC3">
        <w:t xml:space="preserve"> </w:t>
      </w:r>
      <w:r w:rsidRPr="00382917">
        <w:t>rule</w:t>
      </w:r>
      <w:r w:rsidR="00EE4FC3">
        <w:t xml:space="preserve"> </w:t>
      </w:r>
      <w:r w:rsidRPr="00382917">
        <w:t>everywhere.</w:t>
      </w:r>
    </w:p>
    <w:p w:rsidR="00300E83" w:rsidRPr="00382917" w:rsidRDefault="00300E83" w:rsidP="00552489">
      <w:pPr>
        <w:pStyle w:val="Text"/>
      </w:pPr>
      <w:r w:rsidRPr="00382917">
        <w:t>Bahá</w:t>
      </w:r>
      <w:r w:rsidR="009C713D" w:rsidRPr="00382917">
        <w:t>’</w:t>
      </w:r>
      <w:r w:rsidRPr="00382917">
        <w:t>u</w:t>
      </w:r>
      <w:r w:rsidR="009C713D" w:rsidRPr="00382917">
        <w:t>’</w:t>
      </w:r>
      <w:r w:rsidRPr="00382917">
        <w:t>lláh</w:t>
      </w:r>
      <w:r w:rsidR="00EE4FC3">
        <w:t xml:space="preserve"> </w:t>
      </w:r>
      <w:r w:rsidRPr="00382917">
        <w:t>calls</w:t>
      </w:r>
      <w:r w:rsidR="00EE4FC3">
        <w:t xml:space="preserve"> </w:t>
      </w:r>
      <w:r w:rsidRPr="00382917">
        <w:t>upon</w:t>
      </w:r>
      <w:r w:rsidR="00EE4FC3">
        <w:t xml:space="preserve"> </w:t>
      </w:r>
      <w:r w:rsidRPr="00382917">
        <w:t>all</w:t>
      </w:r>
      <w:r w:rsidR="00EE4FC3">
        <w:t xml:space="preserve"> </w:t>
      </w:r>
      <w:r w:rsidRPr="00382917">
        <w:t>men</w:t>
      </w:r>
      <w:r w:rsidR="00EE4FC3">
        <w:t xml:space="preserve"> </w:t>
      </w:r>
      <w:r w:rsidRPr="00382917">
        <w:t>and</w:t>
      </w:r>
      <w:r w:rsidR="00EE4FC3">
        <w:t xml:space="preserve"> </w:t>
      </w:r>
      <w:r w:rsidRPr="00382917">
        <w:t>women</w:t>
      </w:r>
      <w:r w:rsidR="00EE4FC3">
        <w:t xml:space="preserve"> </w:t>
      </w:r>
      <w:r w:rsidRPr="00382917">
        <w:t>to</w:t>
      </w:r>
      <w:r w:rsidR="00EE4FC3">
        <w:t xml:space="preserve"> </w:t>
      </w:r>
      <w:r w:rsidRPr="00382917">
        <w:t>marry</w:t>
      </w:r>
      <w:r w:rsidR="00EE4FC3">
        <w:t xml:space="preserve"> </w:t>
      </w:r>
      <w:r w:rsidRPr="00382917">
        <w:t>so</w:t>
      </w:r>
      <w:r w:rsidR="00EE4FC3">
        <w:t xml:space="preserve"> </w:t>
      </w:r>
      <w:r w:rsidRPr="00382917">
        <w:t>that</w:t>
      </w:r>
      <w:r w:rsidR="00EE4FC3">
        <w:t xml:space="preserve"> </w:t>
      </w:r>
      <w:r w:rsidRPr="00382917">
        <w:t>children</w:t>
      </w:r>
      <w:r w:rsidR="00EE4FC3">
        <w:t xml:space="preserve"> </w:t>
      </w:r>
      <w:r w:rsidRPr="00382917">
        <w:t>may</w:t>
      </w:r>
      <w:r w:rsidR="00EE4FC3">
        <w:t xml:space="preserve"> </w:t>
      </w:r>
      <w:r w:rsidRPr="00382917">
        <w:t>be</w:t>
      </w:r>
      <w:r w:rsidR="00EE4FC3">
        <w:t xml:space="preserve"> </w:t>
      </w:r>
      <w:r w:rsidRPr="00382917">
        <w:t>raised</w:t>
      </w:r>
      <w:r w:rsidR="00EE4FC3">
        <w:t xml:space="preserve"> </w:t>
      </w:r>
      <w:r w:rsidRPr="00382917">
        <w:t>up</w:t>
      </w:r>
      <w:r w:rsidR="00EE4FC3">
        <w:t xml:space="preserve"> </w:t>
      </w:r>
      <w:r w:rsidRPr="00382917">
        <w:t>who</w:t>
      </w:r>
      <w:r w:rsidR="00EE4FC3">
        <w:t xml:space="preserve"> </w:t>
      </w:r>
      <w:r w:rsidRPr="00382917">
        <w:t>can</w:t>
      </w:r>
      <w:r w:rsidR="00EE4FC3">
        <w:t xml:space="preserve"> </w:t>
      </w:r>
      <w:proofErr w:type="spellStart"/>
      <w:r w:rsidRPr="00382917">
        <w:t>honor</w:t>
      </w:r>
      <w:proofErr w:type="spellEnd"/>
      <w:r w:rsidR="00EE4FC3">
        <w:t xml:space="preserve"> </w:t>
      </w:r>
      <w:r w:rsidRPr="00382917">
        <w:t>the</w:t>
      </w:r>
      <w:r w:rsidR="00EE4FC3">
        <w:t xml:space="preserve"> </w:t>
      </w:r>
      <w:r w:rsidRPr="00382917">
        <w:t>name</w:t>
      </w:r>
      <w:r w:rsidR="00EE4FC3">
        <w:t xml:space="preserve"> </w:t>
      </w:r>
      <w:r w:rsidRPr="00382917">
        <w:t>of</w:t>
      </w:r>
      <w:r w:rsidR="00EE4FC3">
        <w:t xml:space="preserve"> </w:t>
      </w:r>
      <w:r w:rsidRPr="00382917">
        <w:t>God</w:t>
      </w:r>
      <w:r w:rsidR="00EE4FC3">
        <w:t xml:space="preserve"> </w:t>
      </w:r>
      <w:r w:rsidRPr="00382917">
        <w:t>and</w:t>
      </w:r>
      <w:r w:rsidR="00EE4FC3">
        <w:t xml:space="preserve"> </w:t>
      </w:r>
      <w:r w:rsidRPr="00382917">
        <w:t>render</w:t>
      </w:r>
      <w:r w:rsidR="00EE4FC3">
        <w:t xml:space="preserve"> </w:t>
      </w:r>
      <w:r w:rsidRPr="00382917">
        <w:t>service</w:t>
      </w:r>
      <w:r w:rsidR="00EE4FC3">
        <w:t xml:space="preserve"> </w:t>
      </w:r>
      <w:r w:rsidRPr="00382917">
        <w:t>to</w:t>
      </w:r>
      <w:r w:rsidR="00EE4FC3">
        <w:t xml:space="preserve"> </w:t>
      </w:r>
      <w:r w:rsidRPr="00382917">
        <w:t>mankind</w:t>
      </w:r>
      <w:r w:rsidR="00552489">
        <w:t>.</w:t>
      </w:r>
      <w:r w:rsidR="00EE4FC3">
        <w:t xml:space="preserve">  </w:t>
      </w:r>
      <w:r w:rsidR="00552489">
        <w:t>I</w:t>
      </w:r>
      <w:r w:rsidRPr="00382917">
        <w:t>t</w:t>
      </w:r>
      <w:r w:rsidR="00EE4FC3">
        <w:t xml:space="preserve"> </w:t>
      </w:r>
      <w:r w:rsidRPr="00382917">
        <w:t>is</w:t>
      </w:r>
      <w:r w:rsidR="00EE4FC3">
        <w:t xml:space="preserve"> </w:t>
      </w:r>
      <w:r w:rsidRPr="00382917">
        <w:t>obligatory</w:t>
      </w:r>
      <w:r w:rsidR="00EE4FC3">
        <w:t xml:space="preserve"> </w:t>
      </w:r>
      <w:r w:rsidRPr="00382917">
        <w:t>to</w:t>
      </w:r>
      <w:r w:rsidR="00EE4FC3">
        <w:t xml:space="preserve"> </w:t>
      </w:r>
      <w:r w:rsidRPr="00382917">
        <w:t>educate</w:t>
      </w:r>
      <w:r w:rsidR="00EE4FC3">
        <w:t xml:space="preserve"> </w:t>
      </w:r>
      <w:r w:rsidRPr="00382917">
        <w:t>the</w:t>
      </w:r>
      <w:r w:rsidR="00EE4FC3">
        <w:t xml:space="preserve"> </w:t>
      </w:r>
      <w:r w:rsidRPr="00382917">
        <w:t>children</w:t>
      </w:r>
      <w:r w:rsidR="00EE4FC3">
        <w:t xml:space="preserve"> </w:t>
      </w:r>
      <w:r w:rsidRPr="00382917">
        <w:t>and</w:t>
      </w:r>
      <w:r w:rsidR="00EE4FC3">
        <w:t xml:space="preserve"> </w:t>
      </w:r>
      <w:r w:rsidRPr="00382917">
        <w:t>they</w:t>
      </w:r>
      <w:r w:rsidR="00EE4FC3">
        <w:t xml:space="preserve"> </w:t>
      </w:r>
      <w:r w:rsidRPr="00382917">
        <w:t>must</w:t>
      </w:r>
      <w:r w:rsidR="00EE4FC3">
        <w:t xml:space="preserve"> </w:t>
      </w:r>
      <w:r w:rsidRPr="00382917">
        <w:t>be</w:t>
      </w:r>
      <w:r w:rsidR="00EE4FC3">
        <w:t xml:space="preserve"> </w:t>
      </w:r>
      <w:r w:rsidRPr="00382917">
        <w:t>educated</w:t>
      </w:r>
      <w:r w:rsidR="00EE4FC3">
        <w:t xml:space="preserve"> </w:t>
      </w:r>
      <w:r w:rsidRPr="00382917">
        <w:t>and</w:t>
      </w:r>
      <w:r w:rsidR="00EE4FC3">
        <w:t xml:space="preserve"> </w:t>
      </w:r>
      <w:r w:rsidRPr="00382917">
        <w:t>given</w:t>
      </w:r>
      <w:r w:rsidR="00EE4FC3">
        <w:t xml:space="preserve"> </w:t>
      </w:r>
      <w:r w:rsidRPr="00382917">
        <w:t>moral</w:t>
      </w:r>
      <w:r w:rsidR="00EE4FC3">
        <w:t xml:space="preserve"> </w:t>
      </w:r>
      <w:r w:rsidRPr="00382917">
        <w:t>as</w:t>
      </w:r>
      <w:r w:rsidR="00EE4FC3">
        <w:t xml:space="preserve"> </w:t>
      </w:r>
      <w:r w:rsidRPr="00382917">
        <w:t>well</w:t>
      </w:r>
      <w:r w:rsidR="00EE4FC3">
        <w:t xml:space="preserve"> </w:t>
      </w:r>
      <w:r w:rsidRPr="00382917">
        <w:t>as</w:t>
      </w:r>
      <w:r w:rsidR="00EE4FC3">
        <w:t xml:space="preserve"> </w:t>
      </w:r>
      <w:r w:rsidRPr="00382917">
        <w:t>scientific</w:t>
      </w:r>
      <w:r w:rsidR="00EE4FC3">
        <w:t xml:space="preserve"> </w:t>
      </w:r>
      <w:r w:rsidRPr="00382917">
        <w:t>training.</w:t>
      </w:r>
    </w:p>
    <w:p w:rsidR="00300E83" w:rsidRPr="00382917" w:rsidRDefault="00650F8F" w:rsidP="00650F8F">
      <w:pPr>
        <w:pStyle w:val="Myhead3"/>
      </w:pPr>
      <w:r w:rsidRPr="00382917">
        <w:t>2.</w:t>
      </w:r>
      <w:r w:rsidR="00EE4FC3">
        <w:t xml:space="preserve">  </w:t>
      </w:r>
      <w:r w:rsidR="00300E83" w:rsidRPr="00382917">
        <w:t>M</w:t>
      </w:r>
      <w:r w:rsidRPr="00382917">
        <w:t>an</w:t>
      </w:r>
      <w:r w:rsidR="009C713D" w:rsidRPr="00382917">
        <w:t>’</w:t>
      </w:r>
      <w:r w:rsidRPr="00382917">
        <w:t>s</w:t>
      </w:r>
      <w:r w:rsidR="00EE4FC3">
        <w:t xml:space="preserve"> </w:t>
      </w:r>
      <w:r w:rsidRPr="00382917">
        <w:t>country</w:t>
      </w:r>
    </w:p>
    <w:p w:rsidR="00300E83" w:rsidRPr="00382917" w:rsidRDefault="00300E83" w:rsidP="00650F8F">
      <w:pPr>
        <w:pStyle w:val="Text"/>
      </w:pPr>
      <w:r w:rsidRPr="00382917">
        <w:t>Bahá</w:t>
      </w:r>
      <w:r w:rsidR="009C713D" w:rsidRPr="00382917">
        <w:t>’</w:t>
      </w:r>
      <w:r w:rsidRPr="00382917">
        <w:t>u</w:t>
      </w:r>
      <w:r w:rsidR="009C713D" w:rsidRPr="00382917">
        <w:t>’</w:t>
      </w:r>
      <w:r w:rsidRPr="00382917">
        <w:t>lláh</w:t>
      </w:r>
      <w:r w:rsidR="009C713D" w:rsidRPr="00382917">
        <w:t>’</w:t>
      </w:r>
      <w:r w:rsidRPr="00382917">
        <w:t>s</w:t>
      </w:r>
      <w:r w:rsidR="00EE4FC3">
        <w:t xml:space="preserve"> </w:t>
      </w:r>
      <w:r w:rsidRPr="00382917">
        <w:t>teachings</w:t>
      </w:r>
      <w:r w:rsidR="00EE4FC3">
        <w:t xml:space="preserve"> </w:t>
      </w:r>
      <w:r w:rsidRPr="00382917">
        <w:t>state</w:t>
      </w:r>
      <w:r w:rsidR="00EE4FC3">
        <w:t xml:space="preserve"> </w:t>
      </w:r>
      <w:r w:rsidRPr="00382917">
        <w:t>clearly</w:t>
      </w:r>
      <w:r w:rsidR="00EE4FC3">
        <w:t xml:space="preserve"> </w:t>
      </w:r>
      <w:r w:rsidRPr="00382917">
        <w:t>that</w:t>
      </w:r>
      <w:r w:rsidR="00EE4FC3">
        <w:t xml:space="preserve"> </w:t>
      </w:r>
      <w:r w:rsidRPr="00382917">
        <w:t>it</w:t>
      </w:r>
      <w:r w:rsidR="00EE4FC3">
        <w:t xml:space="preserve"> </w:t>
      </w:r>
      <w:r w:rsidRPr="00382917">
        <w:t>is</w:t>
      </w:r>
      <w:r w:rsidR="00EE4FC3">
        <w:t xml:space="preserve"> </w:t>
      </w:r>
      <w:r w:rsidRPr="00382917">
        <w:t>the</w:t>
      </w:r>
      <w:r w:rsidR="00EE4FC3">
        <w:t xml:space="preserve"> </w:t>
      </w:r>
      <w:r w:rsidR="009C713D" w:rsidRPr="00382917">
        <w:t>“</w:t>
      </w:r>
      <w:r w:rsidRPr="00382917">
        <w:t>unquestioned</w:t>
      </w:r>
      <w:r w:rsidR="00EE4FC3">
        <w:t xml:space="preserve"> </w:t>
      </w:r>
      <w:r w:rsidRPr="00382917">
        <w:t>duty</w:t>
      </w:r>
      <w:r w:rsidR="00EE4FC3">
        <w:t xml:space="preserve"> </w:t>
      </w:r>
      <w:r w:rsidRPr="00382917">
        <w:t>of</w:t>
      </w:r>
      <w:r w:rsidR="00EE4FC3">
        <w:t xml:space="preserve"> </w:t>
      </w:r>
      <w:r w:rsidRPr="00382917">
        <w:t>every</w:t>
      </w:r>
      <w:r w:rsidR="00EE4FC3">
        <w:t xml:space="preserve"> </w:t>
      </w:r>
      <w:r w:rsidRPr="00382917">
        <w:t>one</w:t>
      </w:r>
      <w:r w:rsidR="00EE4FC3">
        <w:t xml:space="preserve"> </w:t>
      </w:r>
      <w:r w:rsidRPr="00382917">
        <w:t>of</w:t>
      </w:r>
      <w:r w:rsidR="00EE4FC3">
        <w:t xml:space="preserve"> </w:t>
      </w:r>
      <w:r w:rsidRPr="00382917">
        <w:t>His</w:t>
      </w:r>
      <w:r w:rsidR="00EE4FC3">
        <w:t xml:space="preserve"> </w:t>
      </w:r>
      <w:r w:rsidRPr="00382917">
        <w:t>followers</w:t>
      </w:r>
      <w:r w:rsidR="00EE4FC3">
        <w:t xml:space="preserve"> </w:t>
      </w:r>
      <w:r w:rsidRPr="00382917">
        <w:t>to</w:t>
      </w:r>
      <w:r w:rsidR="00EE4FC3">
        <w:t xml:space="preserve"> </w:t>
      </w:r>
      <w:r w:rsidRPr="00382917">
        <w:t>demonstrate</w:t>
      </w:r>
      <w:r w:rsidR="00EE4FC3">
        <w:t xml:space="preserve"> </w:t>
      </w:r>
      <w:r w:rsidRPr="00382917">
        <w:t>their</w:t>
      </w:r>
      <w:r w:rsidR="00EE4FC3">
        <w:t xml:space="preserve"> </w:t>
      </w:r>
      <w:r w:rsidRPr="00382917">
        <w:t>loyalty</w:t>
      </w:r>
      <w:r w:rsidR="00EE4FC3">
        <w:t xml:space="preserve"> </w:t>
      </w:r>
      <w:r w:rsidRPr="00382917">
        <w:t>and</w:t>
      </w:r>
      <w:r w:rsidR="00EE4FC3">
        <w:t xml:space="preserve"> </w:t>
      </w:r>
      <w:r w:rsidRPr="00382917">
        <w:t>obedience</w:t>
      </w:r>
      <w:r w:rsidR="00EE4FC3">
        <w:t xml:space="preserve"> </w:t>
      </w:r>
      <w:r w:rsidRPr="00382917">
        <w:t>to</w:t>
      </w:r>
      <w:r w:rsidR="00EE4FC3">
        <w:t xml:space="preserve"> </w:t>
      </w:r>
      <w:r w:rsidRPr="00382917">
        <w:t>their</w:t>
      </w:r>
      <w:r w:rsidR="00EE4FC3">
        <w:t xml:space="preserve"> </w:t>
      </w:r>
      <w:r w:rsidRPr="00382917">
        <w:t>respective</w:t>
      </w:r>
      <w:r w:rsidR="00EE4FC3">
        <w:t xml:space="preserve"> </w:t>
      </w:r>
      <w:r w:rsidRPr="00382917">
        <w:t>governments.</w:t>
      </w:r>
      <w:r w:rsidR="009C713D" w:rsidRPr="00382917">
        <w:t>”</w:t>
      </w:r>
    </w:p>
    <w:p w:rsidR="00300E83" w:rsidRPr="00382917" w:rsidRDefault="00300E83" w:rsidP="00956448">
      <w:pPr>
        <w:pStyle w:val="Text"/>
      </w:pPr>
      <w:r w:rsidRPr="00382917">
        <w:t>His</w:t>
      </w:r>
      <w:r w:rsidR="00EE4FC3">
        <w:t xml:space="preserve"> </w:t>
      </w:r>
      <w:r w:rsidRPr="00382917">
        <w:t>teachings</w:t>
      </w:r>
      <w:r w:rsidR="00EE4FC3">
        <w:t xml:space="preserve"> </w:t>
      </w:r>
      <w:r w:rsidRPr="00382917">
        <w:t>say,</w:t>
      </w:r>
      <w:r w:rsidR="00EE4FC3">
        <w:t xml:space="preserve"> </w:t>
      </w:r>
      <w:r w:rsidRPr="00382917">
        <w:t>even</w:t>
      </w:r>
      <w:r w:rsidR="00EE4FC3">
        <w:t xml:space="preserve"> </w:t>
      </w:r>
      <w:r w:rsidRPr="00382917">
        <w:t>more</w:t>
      </w:r>
      <w:r w:rsidR="00EE4FC3">
        <w:t xml:space="preserve"> </w:t>
      </w:r>
      <w:r w:rsidRPr="00382917">
        <w:t>specifically</w:t>
      </w:r>
      <w:r w:rsidR="00C03C91">
        <w:t>:</w:t>
      </w:r>
      <w:r w:rsidR="00EE4FC3">
        <w:t xml:space="preserve">  </w:t>
      </w:r>
      <w:r w:rsidR="009C713D" w:rsidRPr="00382917">
        <w:t>“</w:t>
      </w:r>
      <w:r w:rsidRPr="00382917">
        <w:t>According</w:t>
      </w:r>
      <w:r w:rsidR="00EE4FC3">
        <w:t xml:space="preserve"> </w:t>
      </w:r>
      <w:r w:rsidRPr="00382917">
        <w:t>to</w:t>
      </w:r>
      <w:r w:rsidR="00EE4FC3">
        <w:t xml:space="preserve"> </w:t>
      </w:r>
      <w:r w:rsidRPr="00382917">
        <w:t>the</w:t>
      </w:r>
      <w:r w:rsidR="00EE4FC3">
        <w:t xml:space="preserve"> </w:t>
      </w:r>
      <w:r w:rsidRPr="00382917">
        <w:t>direct</w:t>
      </w:r>
      <w:r w:rsidR="00EE4FC3">
        <w:t xml:space="preserve"> </w:t>
      </w:r>
      <w:r w:rsidRPr="00382917">
        <w:t>and</w:t>
      </w:r>
      <w:r w:rsidR="00EE4FC3">
        <w:t xml:space="preserve"> </w:t>
      </w:r>
      <w:r w:rsidRPr="00382917">
        <w:t>sacred</w:t>
      </w:r>
      <w:r w:rsidR="00EE4FC3">
        <w:t xml:space="preserve"> </w:t>
      </w:r>
      <w:r w:rsidRPr="00382917">
        <w:t>command</w:t>
      </w:r>
      <w:r w:rsidR="00EE4FC3">
        <w:t xml:space="preserve"> </w:t>
      </w:r>
      <w:r w:rsidRPr="00382917">
        <w:t>of</w:t>
      </w:r>
      <w:r w:rsidR="00EE4FC3">
        <w:t xml:space="preserve"> </w:t>
      </w:r>
      <w:r w:rsidRPr="00382917">
        <w:t>God</w:t>
      </w:r>
      <w:r w:rsidR="00EE4FC3">
        <w:t xml:space="preserve"> </w:t>
      </w:r>
      <w:r w:rsidRPr="00382917">
        <w:t>we</w:t>
      </w:r>
      <w:r w:rsidR="00EE4FC3">
        <w:t xml:space="preserve"> </w:t>
      </w:r>
      <w:r w:rsidRPr="00382917">
        <w:t>are</w:t>
      </w:r>
      <w:r w:rsidR="00EE4FC3">
        <w:t xml:space="preserve"> </w:t>
      </w:r>
      <w:r w:rsidRPr="00382917">
        <w:t>forbidden</w:t>
      </w:r>
      <w:r w:rsidR="00EE4FC3">
        <w:t xml:space="preserve"> </w:t>
      </w:r>
      <w:r w:rsidRPr="00382917">
        <w:t>to</w:t>
      </w:r>
      <w:r w:rsidR="00EE4FC3">
        <w:t xml:space="preserve"> </w:t>
      </w:r>
      <w:r w:rsidRPr="00382917">
        <w:t>utter</w:t>
      </w:r>
      <w:r w:rsidR="00EE4FC3">
        <w:t xml:space="preserve"> </w:t>
      </w:r>
      <w:r w:rsidRPr="00382917">
        <w:t>slander,</w:t>
      </w:r>
      <w:r w:rsidR="00EE4FC3">
        <w:t xml:space="preserve"> </w:t>
      </w:r>
      <w:r w:rsidRPr="00382917">
        <w:t>are</w:t>
      </w:r>
      <w:r w:rsidR="00EE4FC3">
        <w:t xml:space="preserve"> </w:t>
      </w:r>
      <w:r w:rsidRPr="00382917">
        <w:t>commanded</w:t>
      </w:r>
      <w:r w:rsidR="00EE4FC3">
        <w:t xml:space="preserve"> </w:t>
      </w:r>
      <w:r w:rsidRPr="00382917">
        <w:t>to</w:t>
      </w:r>
      <w:r w:rsidR="00EE4FC3">
        <w:t xml:space="preserve"> </w:t>
      </w:r>
      <w:r w:rsidRPr="00382917">
        <w:t>show</w:t>
      </w:r>
      <w:r w:rsidR="00EE4FC3">
        <w:t xml:space="preserve"> </w:t>
      </w:r>
      <w:r w:rsidRPr="00382917">
        <w:t>forth</w:t>
      </w:r>
      <w:r w:rsidR="00EE4FC3">
        <w:t xml:space="preserve"> </w:t>
      </w:r>
      <w:r w:rsidRPr="00382917">
        <w:t>peace</w:t>
      </w:r>
      <w:r w:rsidR="00EE4FC3">
        <w:t xml:space="preserve"> </w:t>
      </w:r>
      <w:r w:rsidRPr="00382917">
        <w:t>and</w:t>
      </w:r>
      <w:r w:rsidR="00EE4FC3">
        <w:t xml:space="preserve"> </w:t>
      </w:r>
      <w:r w:rsidRPr="00382917">
        <w:t>amity,</w:t>
      </w:r>
      <w:r w:rsidR="00EE4FC3">
        <w:t xml:space="preserve"> </w:t>
      </w:r>
      <w:r w:rsidRPr="00382917">
        <w:t>and</w:t>
      </w:r>
      <w:r w:rsidR="00EE4FC3">
        <w:t xml:space="preserve"> </w:t>
      </w:r>
      <w:r w:rsidRPr="00382917">
        <w:t>are</w:t>
      </w:r>
      <w:r w:rsidR="00EE4FC3">
        <w:t xml:space="preserve"> </w:t>
      </w:r>
      <w:r w:rsidRPr="00382917">
        <w:t>exhorted</w:t>
      </w:r>
      <w:r w:rsidR="00EE4FC3">
        <w:t xml:space="preserve"> </w:t>
      </w:r>
      <w:r w:rsidRPr="00382917">
        <w:t>to</w:t>
      </w:r>
      <w:r w:rsidR="00EE4FC3">
        <w:t xml:space="preserve"> </w:t>
      </w:r>
      <w:r w:rsidRPr="00382917">
        <w:t>rectitude</w:t>
      </w:r>
      <w:r w:rsidR="00EE4FC3">
        <w:t xml:space="preserve"> </w:t>
      </w:r>
      <w:r w:rsidRPr="00382917">
        <w:t>of</w:t>
      </w:r>
      <w:r w:rsidR="00EE4FC3">
        <w:t xml:space="preserve"> </w:t>
      </w:r>
      <w:r w:rsidRPr="00382917">
        <w:t>conduct,</w:t>
      </w:r>
      <w:r w:rsidR="00EE4FC3">
        <w:t xml:space="preserve"> </w:t>
      </w:r>
      <w:r w:rsidRPr="00382917">
        <w:t>straightforwardness</w:t>
      </w:r>
      <w:r w:rsidR="00EE4FC3">
        <w:t xml:space="preserve"> </w:t>
      </w:r>
      <w:r w:rsidRPr="00382917">
        <w:t>and</w:t>
      </w:r>
      <w:r w:rsidR="00EE4FC3">
        <w:t xml:space="preserve"> </w:t>
      </w:r>
      <w:r w:rsidRPr="00382917">
        <w:t>harmony</w:t>
      </w:r>
      <w:r w:rsidR="00EE4FC3">
        <w:t xml:space="preserve"> </w:t>
      </w:r>
      <w:r w:rsidRPr="00382917">
        <w:t>with</w:t>
      </w:r>
      <w:r w:rsidR="00EE4FC3">
        <w:t xml:space="preserve"> </w:t>
      </w:r>
      <w:r w:rsidRPr="00382917">
        <w:t>all</w:t>
      </w:r>
      <w:r w:rsidR="00EE4FC3">
        <w:t xml:space="preserve"> </w:t>
      </w:r>
      <w:r w:rsidRPr="00382917">
        <w:t>the</w:t>
      </w:r>
      <w:r w:rsidR="00EE4FC3">
        <w:t xml:space="preserve"> </w:t>
      </w:r>
      <w:proofErr w:type="spellStart"/>
      <w:r w:rsidRPr="00382917">
        <w:t>kindreds</w:t>
      </w:r>
      <w:proofErr w:type="spellEnd"/>
      <w:r w:rsidR="00EE4FC3">
        <w:t xml:space="preserve"> </w:t>
      </w:r>
      <w:r w:rsidRPr="00382917">
        <w:t>and</w:t>
      </w:r>
      <w:r w:rsidR="00EE4FC3">
        <w:t xml:space="preserve"> </w:t>
      </w:r>
      <w:r w:rsidRPr="00382917">
        <w:t>peoples</w:t>
      </w:r>
      <w:r w:rsidR="00EE4FC3">
        <w:t xml:space="preserve"> </w:t>
      </w:r>
      <w:r w:rsidRPr="00382917">
        <w:t>of</w:t>
      </w:r>
      <w:r w:rsidR="00EE4FC3">
        <w:t xml:space="preserve"> </w:t>
      </w:r>
      <w:r w:rsidRPr="00382917">
        <w:t>the</w:t>
      </w:r>
      <w:r w:rsidR="00EE4FC3">
        <w:t xml:space="preserve"> </w:t>
      </w:r>
      <w:r w:rsidRPr="00382917">
        <w:t>world.</w:t>
      </w:r>
      <w:r w:rsidR="009C713D" w:rsidRPr="00382917">
        <w:t>”</w:t>
      </w:r>
      <w:r w:rsidR="00956448">
        <w:rPr>
          <w:rStyle w:val="FootnoteReference"/>
        </w:rPr>
        <w:footnoteReference w:id="336"/>
      </w:r>
    </w:p>
    <w:p w:rsidR="00300E83" w:rsidRPr="00382917" w:rsidRDefault="00300E83" w:rsidP="00956448">
      <w:pPr>
        <w:pStyle w:val="Text"/>
      </w:pPr>
      <w:r w:rsidRPr="00382917">
        <w:t>Bahá</w:t>
      </w:r>
      <w:r w:rsidR="009C713D" w:rsidRPr="00382917">
        <w:t>’</w:t>
      </w:r>
      <w:r w:rsidRPr="00382917">
        <w:t>u</w:t>
      </w:r>
      <w:r w:rsidR="009C713D" w:rsidRPr="00382917">
        <w:t>’</w:t>
      </w:r>
      <w:r w:rsidRPr="00382917">
        <w:t>lláh</w:t>
      </w:r>
      <w:r w:rsidR="009C713D" w:rsidRPr="00382917">
        <w:t>’</w:t>
      </w:r>
      <w:r w:rsidRPr="00382917">
        <w:t>s</w:t>
      </w:r>
      <w:r w:rsidR="00EE4FC3">
        <w:t xml:space="preserve"> </w:t>
      </w:r>
      <w:r w:rsidRPr="00382917">
        <w:t>followers</w:t>
      </w:r>
      <w:r w:rsidR="00EE4FC3">
        <w:t xml:space="preserve"> </w:t>
      </w:r>
      <w:r w:rsidRPr="00382917">
        <w:t>are</w:t>
      </w:r>
      <w:r w:rsidR="00EE4FC3">
        <w:t xml:space="preserve"> </w:t>
      </w:r>
      <w:r w:rsidRPr="00382917">
        <w:t>instructed</w:t>
      </w:r>
      <w:r w:rsidR="00EE4FC3">
        <w:t xml:space="preserve"> </w:t>
      </w:r>
      <w:r w:rsidRPr="00382917">
        <w:t>to</w:t>
      </w:r>
      <w:r w:rsidR="00EE4FC3">
        <w:t xml:space="preserve"> </w:t>
      </w:r>
      <w:r w:rsidRPr="00382917">
        <w:t>consider</w:t>
      </w:r>
      <w:r w:rsidR="00EE4FC3">
        <w:t xml:space="preserve"> </w:t>
      </w:r>
      <w:r w:rsidRPr="00382917">
        <w:t>disloyalty</w:t>
      </w:r>
      <w:r w:rsidR="00EE4FC3">
        <w:t xml:space="preserve"> </w:t>
      </w:r>
      <w:r w:rsidRPr="00382917">
        <w:t>unto</w:t>
      </w:r>
      <w:r w:rsidR="00EE4FC3">
        <w:t xml:space="preserve"> </w:t>
      </w:r>
      <w:r w:rsidRPr="00382917">
        <w:t>a</w:t>
      </w:r>
      <w:r w:rsidR="00EE4FC3">
        <w:t xml:space="preserve"> </w:t>
      </w:r>
      <w:r w:rsidRPr="00382917">
        <w:t>just</w:t>
      </w:r>
      <w:r w:rsidR="00EE4FC3">
        <w:t xml:space="preserve"> </w:t>
      </w:r>
      <w:r w:rsidRPr="00382917">
        <w:t>government</w:t>
      </w:r>
      <w:r w:rsidR="00EE4FC3">
        <w:t xml:space="preserve"> </w:t>
      </w:r>
      <w:r w:rsidRPr="00382917">
        <w:t>as</w:t>
      </w:r>
      <w:r w:rsidR="00EE4FC3">
        <w:t xml:space="preserve"> </w:t>
      </w:r>
      <w:r w:rsidRPr="00382917">
        <w:t>disloyalty</w:t>
      </w:r>
      <w:r w:rsidR="00EE4FC3">
        <w:t xml:space="preserve"> </w:t>
      </w:r>
      <w:r w:rsidRPr="00382917">
        <w:t>to</w:t>
      </w:r>
      <w:r w:rsidR="00EE4FC3">
        <w:t xml:space="preserve"> </w:t>
      </w:r>
      <w:r w:rsidRPr="00382917">
        <w:t>God</w:t>
      </w:r>
      <w:r w:rsidR="00EE4FC3">
        <w:t xml:space="preserve"> </w:t>
      </w:r>
      <w:r w:rsidRPr="00382917">
        <w:t>Himself</w:t>
      </w:r>
      <w:r w:rsidR="00552489">
        <w:t>.</w:t>
      </w:r>
      <w:r w:rsidR="00EE4FC3">
        <w:t xml:space="preserve">  </w:t>
      </w:r>
      <w:r w:rsidRPr="00382917">
        <w:t>It</w:t>
      </w:r>
      <w:r w:rsidR="00EE4FC3">
        <w:t xml:space="preserve"> </w:t>
      </w:r>
      <w:r w:rsidRPr="00382917">
        <w:t>is</w:t>
      </w:r>
      <w:r w:rsidR="00EE4FC3">
        <w:t xml:space="preserve"> </w:t>
      </w:r>
      <w:r w:rsidRPr="00382917">
        <w:t>the</w:t>
      </w:r>
      <w:r w:rsidR="00EE4FC3">
        <w:t xml:space="preserve"> </w:t>
      </w:r>
      <w:r w:rsidRPr="00382917">
        <w:t>sacred</w:t>
      </w:r>
      <w:r w:rsidR="00EE4FC3">
        <w:t xml:space="preserve"> </w:t>
      </w:r>
      <w:r w:rsidRPr="00382917">
        <w:t>obligation</w:t>
      </w:r>
      <w:r w:rsidR="00EE4FC3">
        <w:t xml:space="preserve"> </w:t>
      </w:r>
      <w:r w:rsidRPr="00382917">
        <w:t>of</w:t>
      </w:r>
      <w:r w:rsidR="00EE4FC3">
        <w:t xml:space="preserve"> </w:t>
      </w:r>
      <w:r w:rsidRPr="00382917">
        <w:t>Bahá</w:t>
      </w:r>
      <w:r w:rsidR="009C713D" w:rsidRPr="00382917">
        <w:t>’</w:t>
      </w:r>
      <w:r w:rsidRPr="00382917">
        <w:t>ís</w:t>
      </w:r>
      <w:r w:rsidR="00EE4FC3">
        <w:t xml:space="preserve"> </w:t>
      </w:r>
      <w:r w:rsidRPr="00382917">
        <w:t>to</w:t>
      </w:r>
      <w:r w:rsidR="00EE4FC3">
        <w:t xml:space="preserve"> </w:t>
      </w:r>
      <w:r w:rsidR="009C713D" w:rsidRPr="00382917">
        <w:t>“</w:t>
      </w:r>
      <w:r w:rsidRPr="00382917">
        <w:t>promote,</w:t>
      </w:r>
      <w:r w:rsidR="00EE4FC3">
        <w:t xml:space="preserve"> </w:t>
      </w:r>
      <w:r w:rsidRPr="00382917">
        <w:t>in</w:t>
      </w:r>
      <w:r w:rsidR="00EE4FC3">
        <w:t xml:space="preserve"> </w:t>
      </w:r>
      <w:r w:rsidRPr="00382917">
        <w:t>the</w:t>
      </w:r>
      <w:r w:rsidR="00EE4FC3">
        <w:t xml:space="preserve"> </w:t>
      </w:r>
      <w:r w:rsidRPr="00382917">
        <w:t>most</w:t>
      </w:r>
      <w:r w:rsidR="00EE4FC3">
        <w:t xml:space="preserve"> </w:t>
      </w:r>
      <w:r w:rsidRPr="00382917">
        <w:t>effective</w:t>
      </w:r>
      <w:r w:rsidR="00EE4FC3">
        <w:t xml:space="preserve"> </w:t>
      </w:r>
      <w:r w:rsidRPr="00382917">
        <w:t>manner,</w:t>
      </w:r>
      <w:r w:rsidR="00EE4FC3">
        <w:t xml:space="preserve"> </w:t>
      </w:r>
      <w:r w:rsidRPr="00382917">
        <w:t>the</w:t>
      </w:r>
      <w:r w:rsidR="00EE4FC3">
        <w:t xml:space="preserve"> </w:t>
      </w:r>
      <w:r w:rsidRPr="00382917">
        <w:t>best</w:t>
      </w:r>
      <w:r w:rsidR="00EE4FC3">
        <w:t xml:space="preserve"> </w:t>
      </w:r>
      <w:r w:rsidRPr="00382917">
        <w:t>interests</w:t>
      </w:r>
      <w:r w:rsidR="00EE4FC3">
        <w:t xml:space="preserve"> </w:t>
      </w:r>
      <w:r w:rsidRPr="00382917">
        <w:t>of</w:t>
      </w:r>
      <w:r w:rsidR="00EE4FC3">
        <w:t xml:space="preserve"> </w:t>
      </w:r>
      <w:r w:rsidRPr="00382917">
        <w:t>their</w:t>
      </w:r>
      <w:r w:rsidR="00EE4FC3">
        <w:t xml:space="preserve"> </w:t>
      </w:r>
      <w:r w:rsidRPr="00382917">
        <w:t>government</w:t>
      </w:r>
      <w:r w:rsidR="00EE4FC3">
        <w:t xml:space="preserve"> </w:t>
      </w:r>
      <w:r w:rsidRPr="00382917">
        <w:t>and</w:t>
      </w:r>
      <w:r w:rsidR="00EE4FC3">
        <w:t xml:space="preserve"> </w:t>
      </w:r>
      <w:r w:rsidRPr="00382917">
        <w:t>people.</w:t>
      </w:r>
      <w:r w:rsidR="009C713D" w:rsidRPr="00382917">
        <w:t>”</w:t>
      </w:r>
      <w:r w:rsidR="00956448">
        <w:rPr>
          <w:rStyle w:val="FootnoteReference"/>
        </w:rPr>
        <w:footnoteReference w:id="337"/>
      </w:r>
    </w:p>
    <w:p w:rsidR="00300E83" w:rsidRPr="00382917" w:rsidRDefault="00300E83" w:rsidP="00650F8F">
      <w:pPr>
        <w:pStyle w:val="Text"/>
      </w:pPr>
      <w:r w:rsidRPr="00382917">
        <w:t>This</w:t>
      </w:r>
      <w:r w:rsidR="00EE4FC3">
        <w:t xml:space="preserve"> </w:t>
      </w:r>
      <w:r w:rsidRPr="00382917">
        <w:t>is</w:t>
      </w:r>
      <w:r w:rsidR="00EE4FC3">
        <w:t xml:space="preserve"> </w:t>
      </w:r>
      <w:r w:rsidRPr="00382917">
        <w:t>another</w:t>
      </w:r>
      <w:r w:rsidR="00EE4FC3">
        <w:t xml:space="preserve"> </w:t>
      </w:r>
      <w:r w:rsidR="009C713D" w:rsidRPr="00382917">
        <w:t>“</w:t>
      </w:r>
      <w:r w:rsidRPr="00382917">
        <w:t>fruit</w:t>
      </w:r>
      <w:r w:rsidR="009C713D" w:rsidRPr="00382917">
        <w:t>”</w:t>
      </w:r>
      <w:r w:rsidR="00EE4FC3">
        <w:t xml:space="preserve"> </w:t>
      </w:r>
      <w:r w:rsidRPr="00382917">
        <w:t>from</w:t>
      </w:r>
      <w:r w:rsidR="00EE4FC3">
        <w:t xml:space="preserve"> </w:t>
      </w:r>
      <w:r w:rsidRPr="00382917">
        <w:t>the</w:t>
      </w:r>
      <w:r w:rsidR="00EE4FC3">
        <w:t xml:space="preserve"> </w:t>
      </w:r>
      <w:r w:rsidRPr="00382917">
        <w:t>tree</w:t>
      </w:r>
      <w:r w:rsidR="00EE4FC3">
        <w:t xml:space="preserve"> </w:t>
      </w:r>
      <w:r w:rsidRPr="00382917">
        <w:t>of</w:t>
      </w:r>
      <w:r w:rsidR="00EE4FC3">
        <w:t xml:space="preserve"> </w:t>
      </w:r>
      <w:r w:rsidRPr="00382917">
        <w:t>Bahá</w:t>
      </w:r>
      <w:r w:rsidR="009C713D" w:rsidRPr="00382917">
        <w:t>’</w:t>
      </w:r>
      <w:r w:rsidRPr="00382917">
        <w:t>u</w:t>
      </w:r>
      <w:r w:rsidR="009C713D" w:rsidRPr="00382917">
        <w:t>’</w:t>
      </w:r>
      <w:r w:rsidRPr="00382917">
        <w:t>lláh</w:t>
      </w:r>
      <w:r w:rsidR="00EE4FC3">
        <w:t xml:space="preserve"> </w:t>
      </w:r>
      <w:r w:rsidRPr="00382917">
        <w:t>by</w:t>
      </w:r>
      <w:r w:rsidR="00EE4FC3">
        <w:t xml:space="preserve"> </w:t>
      </w:r>
      <w:r w:rsidRPr="00382917">
        <w:t>which</w:t>
      </w:r>
      <w:r w:rsidR="00EE4FC3">
        <w:t xml:space="preserve"> </w:t>
      </w:r>
      <w:r w:rsidRPr="00382917">
        <w:t>you</w:t>
      </w:r>
      <w:r w:rsidR="00EE4FC3">
        <w:t xml:space="preserve"> </w:t>
      </w:r>
      <w:r w:rsidRPr="00382917">
        <w:t>may</w:t>
      </w:r>
      <w:r w:rsidR="00EE4FC3">
        <w:t xml:space="preserve"> </w:t>
      </w:r>
      <w:r w:rsidRPr="00382917">
        <w:t>judge</w:t>
      </w:r>
      <w:r w:rsidR="00EE4FC3">
        <w:t xml:space="preserve"> </w:t>
      </w:r>
      <w:r w:rsidRPr="00382917">
        <w:t>whether</w:t>
      </w:r>
      <w:r w:rsidR="00EE4FC3">
        <w:t xml:space="preserve"> </w:t>
      </w:r>
      <w:r w:rsidRPr="00382917">
        <w:t>He</w:t>
      </w:r>
      <w:r w:rsidR="00EE4FC3">
        <w:t xml:space="preserve"> </w:t>
      </w:r>
      <w:r w:rsidRPr="00382917">
        <w:t>is</w:t>
      </w:r>
      <w:r w:rsidR="00EE4FC3">
        <w:t xml:space="preserve"> </w:t>
      </w:r>
      <w:r w:rsidRPr="00382917">
        <w:t>a</w:t>
      </w:r>
      <w:r w:rsidR="00EE4FC3">
        <w:t xml:space="preserve"> </w:t>
      </w:r>
      <w:r w:rsidRPr="00382917">
        <w:t>true</w:t>
      </w:r>
      <w:r w:rsidR="00EE4FC3">
        <w:t xml:space="preserve"> </w:t>
      </w:r>
      <w:r w:rsidRPr="00382917">
        <w:t>or</w:t>
      </w:r>
      <w:r w:rsidR="00EE4FC3">
        <w:t xml:space="preserve"> </w:t>
      </w:r>
      <w:r w:rsidRPr="00382917">
        <w:t>false</w:t>
      </w:r>
      <w:r w:rsidR="00EE4FC3">
        <w:t xml:space="preserve"> </w:t>
      </w:r>
      <w:r w:rsidRPr="00382917">
        <w:t>prophet.</w:t>
      </w:r>
    </w:p>
    <w:p w:rsidR="00300E83" w:rsidRPr="00382917" w:rsidRDefault="00650F8F" w:rsidP="00650F8F">
      <w:pPr>
        <w:pStyle w:val="Myhead3"/>
      </w:pPr>
      <w:r w:rsidRPr="00382917">
        <w:t>3.</w:t>
      </w:r>
      <w:r w:rsidR="00EE4FC3">
        <w:t xml:space="preserve">  </w:t>
      </w:r>
      <w:r w:rsidR="00300E83" w:rsidRPr="00382917">
        <w:t>M</w:t>
      </w:r>
      <w:r w:rsidRPr="00382917">
        <w:t>an</w:t>
      </w:r>
      <w:r w:rsidR="009C713D" w:rsidRPr="00382917">
        <w:t>’</w:t>
      </w:r>
      <w:r w:rsidRPr="00382917">
        <w:t>s</w:t>
      </w:r>
      <w:r w:rsidR="00EE4FC3">
        <w:t xml:space="preserve"> </w:t>
      </w:r>
      <w:r w:rsidRPr="00382917">
        <w:t>religion</w:t>
      </w:r>
    </w:p>
    <w:p w:rsidR="00300E83" w:rsidRPr="00382917" w:rsidRDefault="00300E83" w:rsidP="00650F8F">
      <w:pPr>
        <w:pStyle w:val="Text"/>
      </w:pPr>
      <w:r w:rsidRPr="00382917">
        <w:t>Bahá</w:t>
      </w:r>
      <w:r w:rsidR="009C713D" w:rsidRPr="00382917">
        <w:t>’</w:t>
      </w:r>
      <w:r w:rsidRPr="00382917">
        <w:t>u</w:t>
      </w:r>
      <w:r w:rsidR="009C713D" w:rsidRPr="00382917">
        <w:t>’</w:t>
      </w:r>
      <w:r w:rsidRPr="00382917">
        <w:t>lláh</w:t>
      </w:r>
      <w:r w:rsidR="00EE4FC3">
        <w:t xml:space="preserve"> </w:t>
      </w:r>
      <w:r w:rsidRPr="00382917">
        <w:t>teaches</w:t>
      </w:r>
      <w:r w:rsidR="00EE4FC3">
        <w:t xml:space="preserve"> </w:t>
      </w:r>
      <w:r w:rsidRPr="00382917">
        <w:t>that</w:t>
      </w:r>
      <w:r w:rsidR="00EE4FC3">
        <w:t xml:space="preserve"> </w:t>
      </w:r>
      <w:r w:rsidRPr="00382917">
        <w:t>just</w:t>
      </w:r>
      <w:r w:rsidR="00EE4FC3">
        <w:t xml:space="preserve"> </w:t>
      </w:r>
      <w:r w:rsidRPr="00382917">
        <w:t>as</w:t>
      </w:r>
      <w:r w:rsidR="00EE4FC3">
        <w:t xml:space="preserve"> </w:t>
      </w:r>
      <w:r w:rsidRPr="00382917">
        <w:t>there</w:t>
      </w:r>
      <w:r w:rsidR="00EE4FC3">
        <w:t xml:space="preserve"> </w:t>
      </w:r>
      <w:r w:rsidRPr="00382917">
        <w:t>is</w:t>
      </w:r>
      <w:r w:rsidR="00EE4FC3">
        <w:t xml:space="preserve"> </w:t>
      </w:r>
      <w:r w:rsidRPr="00382917">
        <w:t>only</w:t>
      </w:r>
      <w:r w:rsidR="00EE4FC3">
        <w:t xml:space="preserve"> </w:t>
      </w:r>
      <w:r w:rsidRPr="00382917">
        <w:t>one</w:t>
      </w:r>
      <w:r w:rsidR="00EE4FC3">
        <w:t xml:space="preserve"> </w:t>
      </w:r>
      <w:r w:rsidRPr="00382917">
        <w:t>God,</w:t>
      </w:r>
      <w:r w:rsidR="00EE4FC3">
        <w:t xml:space="preserve"> </w:t>
      </w:r>
      <w:r w:rsidRPr="00382917">
        <w:t>there</w:t>
      </w:r>
      <w:r w:rsidR="00EE4FC3">
        <w:t xml:space="preserve"> </w:t>
      </w:r>
      <w:r w:rsidRPr="00382917">
        <w:t>is</w:t>
      </w:r>
      <w:r w:rsidR="00EE4FC3">
        <w:t xml:space="preserve"> </w:t>
      </w:r>
      <w:r w:rsidRPr="00382917">
        <w:t>also</w:t>
      </w:r>
      <w:r w:rsidR="00EE4FC3">
        <w:t xml:space="preserve"> </w:t>
      </w:r>
      <w:r w:rsidRPr="00382917">
        <w:t>only</w:t>
      </w:r>
      <w:r w:rsidR="00EE4FC3">
        <w:t xml:space="preserve"> </w:t>
      </w:r>
      <w:r w:rsidRPr="00382917">
        <w:t>one</w:t>
      </w:r>
      <w:r w:rsidR="00EE4FC3">
        <w:t xml:space="preserve"> </w:t>
      </w:r>
      <w:r w:rsidRPr="00382917">
        <w:t>religion</w:t>
      </w:r>
      <w:r w:rsidR="00552489">
        <w:t>.</w:t>
      </w:r>
      <w:r w:rsidR="00EE4FC3">
        <w:t xml:space="preserve">  </w:t>
      </w:r>
      <w:r w:rsidRPr="00382917">
        <w:t>All</w:t>
      </w:r>
      <w:r w:rsidR="00EE4FC3">
        <w:t xml:space="preserve"> </w:t>
      </w:r>
      <w:r w:rsidRPr="00382917">
        <w:t>the</w:t>
      </w:r>
      <w:r w:rsidR="00EE4FC3">
        <w:t xml:space="preserve"> </w:t>
      </w:r>
      <w:r w:rsidRPr="00382917">
        <w:t>great</w:t>
      </w:r>
      <w:r w:rsidR="00EE4FC3">
        <w:t xml:space="preserve"> </w:t>
      </w:r>
      <w:r w:rsidRPr="00382917">
        <w:t>Prophets</w:t>
      </w:r>
      <w:r w:rsidR="00EE4FC3">
        <w:t xml:space="preserve"> </w:t>
      </w:r>
      <w:r w:rsidRPr="00382917">
        <w:t>have</w:t>
      </w:r>
      <w:r w:rsidR="00EE4FC3">
        <w:t xml:space="preserve"> </w:t>
      </w:r>
      <w:r w:rsidRPr="00382917">
        <w:t>taught</w:t>
      </w:r>
      <w:r w:rsidR="00EE4FC3">
        <w:t xml:space="preserve"> </w:t>
      </w:r>
      <w:r w:rsidRPr="00382917">
        <w:t>this</w:t>
      </w:r>
      <w:r w:rsidR="00EE4FC3">
        <w:t xml:space="preserve"> </w:t>
      </w:r>
      <w:r w:rsidRPr="00382917">
        <w:t>same</w:t>
      </w:r>
      <w:r w:rsidR="00EE4FC3">
        <w:t xml:space="preserve"> </w:t>
      </w:r>
      <w:r w:rsidRPr="00382917">
        <w:t>one</w:t>
      </w:r>
      <w:r w:rsidR="00EE4FC3">
        <w:t xml:space="preserve"> </w:t>
      </w:r>
      <w:r w:rsidRPr="00382917">
        <w:t>religion.</w:t>
      </w:r>
    </w:p>
    <w:p w:rsidR="00300E83" w:rsidRPr="00382917" w:rsidRDefault="00300E83" w:rsidP="00650F8F">
      <w:pPr>
        <w:pStyle w:val="Text"/>
      </w:pPr>
      <w:r w:rsidRPr="00382917">
        <w:t>There</w:t>
      </w:r>
      <w:r w:rsidR="00EE4FC3">
        <w:t xml:space="preserve"> </w:t>
      </w:r>
      <w:r w:rsidRPr="00382917">
        <w:t>is</w:t>
      </w:r>
      <w:r w:rsidR="00EE4FC3">
        <w:t xml:space="preserve"> </w:t>
      </w:r>
      <w:r w:rsidRPr="00382917">
        <w:t>no</w:t>
      </w:r>
      <w:r w:rsidR="00EE4FC3">
        <w:t xml:space="preserve"> </w:t>
      </w:r>
      <w:r w:rsidRPr="00382917">
        <w:t>exclusive</w:t>
      </w:r>
      <w:r w:rsidR="00EE4FC3">
        <w:t xml:space="preserve"> </w:t>
      </w:r>
      <w:r w:rsidRPr="00382917">
        <w:t>salvation</w:t>
      </w:r>
      <w:r w:rsidR="00EE4FC3">
        <w:t xml:space="preserve"> </w:t>
      </w:r>
      <w:r w:rsidRPr="00382917">
        <w:t>for</w:t>
      </w:r>
      <w:r w:rsidR="00EE4FC3">
        <w:t xml:space="preserve"> </w:t>
      </w:r>
      <w:r w:rsidRPr="00382917">
        <w:t>the</w:t>
      </w:r>
      <w:r w:rsidR="00EE4FC3">
        <w:t xml:space="preserve"> </w:t>
      </w:r>
      <w:r w:rsidRPr="00382917">
        <w:t>Hindu,</w:t>
      </w:r>
      <w:r w:rsidR="00EE4FC3">
        <w:t xml:space="preserve"> </w:t>
      </w:r>
      <w:r w:rsidRPr="00382917">
        <w:t>the</w:t>
      </w:r>
      <w:r w:rsidR="00EE4FC3">
        <w:t xml:space="preserve"> </w:t>
      </w:r>
      <w:r w:rsidRPr="00382917">
        <w:t>Jew,</w:t>
      </w:r>
      <w:r w:rsidR="00EE4FC3">
        <w:t xml:space="preserve"> </w:t>
      </w:r>
      <w:r w:rsidRPr="00382917">
        <w:t>the</w:t>
      </w:r>
      <w:r w:rsidR="00EE4FC3">
        <w:t xml:space="preserve"> </w:t>
      </w:r>
      <w:r w:rsidRPr="00382917">
        <w:t>Zoroastrian,</w:t>
      </w:r>
      <w:r w:rsidR="00EE4FC3">
        <w:t xml:space="preserve"> </w:t>
      </w:r>
      <w:r w:rsidRPr="00382917">
        <w:t>the</w:t>
      </w:r>
      <w:r w:rsidR="00EE4FC3">
        <w:t xml:space="preserve"> </w:t>
      </w:r>
      <w:r w:rsidRPr="00382917">
        <w:t>Buddhist,</w:t>
      </w:r>
      <w:r w:rsidR="00EE4FC3">
        <w:t xml:space="preserve"> </w:t>
      </w:r>
      <w:r w:rsidRPr="00382917">
        <w:t>the</w:t>
      </w:r>
      <w:r w:rsidR="00EE4FC3">
        <w:t xml:space="preserve"> </w:t>
      </w:r>
      <w:r w:rsidRPr="00382917">
        <w:t>Christian,</w:t>
      </w:r>
      <w:r w:rsidR="00EE4FC3">
        <w:t xml:space="preserve"> </w:t>
      </w:r>
      <w:r w:rsidRPr="00382917">
        <w:t>the</w:t>
      </w:r>
      <w:r w:rsidR="00EE4FC3">
        <w:t xml:space="preserve"> </w:t>
      </w:r>
      <w:r w:rsidRPr="00382917">
        <w:t>Muslim,</w:t>
      </w:r>
      <w:r w:rsidR="00EE4FC3">
        <w:t xml:space="preserve"> </w:t>
      </w:r>
      <w:r w:rsidRPr="00382917">
        <w:t>or</w:t>
      </w:r>
      <w:r w:rsidR="00EE4FC3">
        <w:t xml:space="preserve"> </w:t>
      </w:r>
      <w:r w:rsidRPr="00382917">
        <w:t>the</w:t>
      </w:r>
      <w:r w:rsidR="00EE4FC3">
        <w:t xml:space="preserve"> </w:t>
      </w:r>
      <w:r w:rsidRPr="00382917">
        <w:t>Bahá</w:t>
      </w:r>
      <w:r w:rsidR="009C713D" w:rsidRPr="00382917">
        <w:t>’</w:t>
      </w:r>
      <w:r w:rsidRPr="00382917">
        <w:t>í</w:t>
      </w:r>
      <w:r w:rsidR="00552489">
        <w:t>.</w:t>
      </w:r>
      <w:r w:rsidR="00EE4FC3">
        <w:t xml:space="preserve">  </w:t>
      </w:r>
      <w:r w:rsidRPr="00382917">
        <w:t>All</w:t>
      </w:r>
      <w:r w:rsidR="00EE4FC3">
        <w:t xml:space="preserve"> </w:t>
      </w:r>
      <w:r w:rsidRPr="00382917">
        <w:t>these</w:t>
      </w:r>
      <w:r w:rsidR="00EE4FC3">
        <w:t xml:space="preserve"> </w:t>
      </w:r>
      <w:r w:rsidRPr="00382917">
        <w:t>pure</w:t>
      </w:r>
      <w:r w:rsidR="00EE4FC3">
        <w:t xml:space="preserve"> </w:t>
      </w:r>
      <w:r w:rsidRPr="00382917">
        <w:t>and</w:t>
      </w:r>
      <w:r w:rsidR="00EE4FC3">
        <w:t xml:space="preserve"> </w:t>
      </w:r>
      <w:r w:rsidRPr="00382917">
        <w:t>holy</w:t>
      </w:r>
      <w:r w:rsidR="00EE4FC3">
        <w:t xml:space="preserve"> </w:t>
      </w:r>
      <w:r w:rsidRPr="00382917">
        <w:t>Faiths</w:t>
      </w:r>
      <w:r w:rsidR="00EE4FC3">
        <w:t xml:space="preserve"> </w:t>
      </w:r>
      <w:r w:rsidRPr="00382917">
        <w:t>are</w:t>
      </w:r>
      <w:r w:rsidR="00EE4FC3">
        <w:t xml:space="preserve"> </w:t>
      </w:r>
      <w:r w:rsidRPr="00382917">
        <w:t>part</w:t>
      </w:r>
      <w:r w:rsidR="00EE4FC3">
        <w:t xml:space="preserve"> </w:t>
      </w:r>
      <w:r w:rsidRPr="00382917">
        <w:t>of</w:t>
      </w:r>
      <w:r w:rsidR="00EE4FC3">
        <w:t xml:space="preserve"> </w:t>
      </w:r>
      <w:r w:rsidRPr="00382917">
        <w:t>the</w:t>
      </w:r>
      <w:r w:rsidR="00EE4FC3">
        <w:t xml:space="preserve"> </w:t>
      </w:r>
      <w:r w:rsidRPr="00382917">
        <w:t>one</w:t>
      </w:r>
      <w:r w:rsidR="00EE4FC3">
        <w:t xml:space="preserve"> </w:t>
      </w:r>
      <w:r w:rsidRPr="00382917">
        <w:t>eternal</w:t>
      </w:r>
      <w:r w:rsidR="00EE4FC3">
        <w:t xml:space="preserve"> </w:t>
      </w:r>
      <w:r w:rsidRPr="00382917">
        <w:t>religion</w:t>
      </w:r>
      <w:r w:rsidR="00EE4FC3">
        <w:t xml:space="preserve"> </w:t>
      </w:r>
      <w:r w:rsidRPr="00382917">
        <w:t>of</w:t>
      </w:r>
      <w:r w:rsidR="00EE4FC3">
        <w:t xml:space="preserve"> </w:t>
      </w:r>
      <w:r w:rsidRPr="00382917">
        <w:t>God</w:t>
      </w:r>
      <w:r w:rsidR="00EE4FC3">
        <w:t xml:space="preserve"> </w:t>
      </w:r>
      <w:r w:rsidRPr="00382917">
        <w:t>which</w:t>
      </w:r>
      <w:r w:rsidR="00EE4FC3">
        <w:t xml:space="preserve"> </w:t>
      </w:r>
      <w:r w:rsidRPr="00382917">
        <w:t>goes</w:t>
      </w:r>
      <w:r w:rsidR="00EE4FC3">
        <w:t xml:space="preserve"> </w:t>
      </w:r>
      <w:r w:rsidRPr="00382917">
        <w:t>on</w:t>
      </w:r>
      <w:r w:rsidR="00EE4FC3">
        <w:t xml:space="preserve"> </w:t>
      </w:r>
      <w:r w:rsidRPr="00382917">
        <w:t>for</w:t>
      </w:r>
      <w:r w:rsidR="00EE4FC3">
        <w:t xml:space="preserve"> </w:t>
      </w:r>
      <w:r w:rsidRPr="00382917">
        <w:t>ever</w:t>
      </w:r>
      <w:r w:rsidR="00552489">
        <w:t>.</w:t>
      </w:r>
      <w:r w:rsidR="00EE4FC3">
        <w:t xml:space="preserve">  </w:t>
      </w:r>
      <w:r w:rsidRPr="00382917">
        <w:t>No</w:t>
      </w:r>
      <w:r w:rsidR="00EE4FC3">
        <w:t xml:space="preserve"> </w:t>
      </w:r>
      <w:r w:rsidRPr="00382917">
        <w:t>religion</w:t>
      </w:r>
      <w:r w:rsidR="00EE4FC3">
        <w:t xml:space="preserve"> </w:t>
      </w:r>
      <w:r w:rsidRPr="00382917">
        <w:t>is</w:t>
      </w:r>
      <w:r w:rsidR="00EE4FC3">
        <w:t xml:space="preserve"> </w:t>
      </w:r>
      <w:r w:rsidRPr="00382917">
        <w:t>the</w:t>
      </w:r>
      <w:r w:rsidR="00EE4FC3">
        <w:t xml:space="preserve"> </w:t>
      </w:r>
      <w:r w:rsidRPr="00382917">
        <w:t>one</w:t>
      </w:r>
      <w:r w:rsidR="00EE4FC3">
        <w:t xml:space="preserve"> </w:t>
      </w:r>
      <w:r w:rsidRPr="00382917">
        <w:t>exclusive</w:t>
      </w:r>
      <w:r w:rsidR="00EE4FC3">
        <w:t xml:space="preserve"> </w:t>
      </w:r>
      <w:r w:rsidRPr="00382917">
        <w:t>faith,</w:t>
      </w:r>
      <w:r w:rsidR="00EE4FC3">
        <w:t xml:space="preserve"> </w:t>
      </w:r>
      <w:r w:rsidRPr="00382917">
        <w:t>or</w:t>
      </w:r>
      <w:r w:rsidR="00EE4FC3">
        <w:t xml:space="preserve"> </w:t>
      </w:r>
      <w:r w:rsidRPr="00382917">
        <w:t>the</w:t>
      </w:r>
      <w:r w:rsidR="00EE4FC3">
        <w:t xml:space="preserve"> </w:t>
      </w:r>
      <w:r w:rsidRPr="00382917">
        <w:t>final</w:t>
      </w:r>
      <w:r w:rsidR="00EE4FC3">
        <w:t xml:space="preserve"> </w:t>
      </w:r>
      <w:r w:rsidRPr="00382917">
        <w:t>outpouring</w:t>
      </w:r>
      <w:r w:rsidR="00EE4FC3">
        <w:t xml:space="preserve"> </w:t>
      </w:r>
      <w:r w:rsidRPr="00382917">
        <w:t>of</w:t>
      </w:r>
      <w:r w:rsidR="00EE4FC3">
        <w:t xml:space="preserve"> </w:t>
      </w:r>
      <w:r w:rsidRPr="00382917">
        <w:t>truth</w:t>
      </w:r>
      <w:r w:rsidR="00EE4FC3">
        <w:t xml:space="preserve"> </w:t>
      </w:r>
      <w:r w:rsidRPr="00382917">
        <w:t>from</w:t>
      </w:r>
      <w:r w:rsidR="00EE4FC3">
        <w:t xml:space="preserve"> </w:t>
      </w:r>
      <w:r w:rsidRPr="00382917">
        <w:t>Almighty</w:t>
      </w:r>
      <w:r w:rsidR="00EE4FC3">
        <w:t xml:space="preserve"> </w:t>
      </w:r>
      <w:r w:rsidRPr="00382917">
        <w:t>God</w:t>
      </w:r>
      <w:r w:rsidR="00552489">
        <w:t>.</w:t>
      </w:r>
      <w:r w:rsidR="00EE4FC3">
        <w:t xml:space="preserve">  </w:t>
      </w:r>
      <w:r w:rsidRPr="00382917">
        <w:t>Each</w:t>
      </w:r>
      <w:r w:rsidR="00EE4FC3">
        <w:t xml:space="preserve"> </w:t>
      </w:r>
      <w:r w:rsidRPr="00382917">
        <w:t>religion</w:t>
      </w:r>
      <w:r w:rsidR="00EE4FC3">
        <w:t xml:space="preserve"> </w:t>
      </w:r>
      <w:r w:rsidRPr="00382917">
        <w:t>is</w:t>
      </w:r>
      <w:r w:rsidR="00EE4FC3">
        <w:t xml:space="preserve"> </w:t>
      </w:r>
      <w:r w:rsidRPr="00382917">
        <w:t>true,</w:t>
      </w:r>
      <w:r w:rsidR="00EE4FC3">
        <w:t xml:space="preserve"> </w:t>
      </w:r>
      <w:r w:rsidRPr="00382917">
        <w:t>is</w:t>
      </w:r>
      <w:r w:rsidR="00EE4FC3">
        <w:t xml:space="preserve"> </w:t>
      </w:r>
      <w:r w:rsidRPr="00382917">
        <w:t>beautiful,</w:t>
      </w:r>
      <w:r w:rsidR="00EE4FC3">
        <w:t xml:space="preserve"> </w:t>
      </w:r>
      <w:proofErr w:type="gramStart"/>
      <w:r w:rsidRPr="00382917">
        <w:t>is</w:t>
      </w:r>
      <w:proofErr w:type="gramEnd"/>
      <w:r w:rsidR="00EE4FC3">
        <w:t xml:space="preserve"> </w:t>
      </w:r>
      <w:r w:rsidRPr="00382917">
        <w:t>valid</w:t>
      </w:r>
      <w:r w:rsidR="00EE4FC3">
        <w:t xml:space="preserve"> </w:t>
      </w:r>
      <w:r w:rsidRPr="00382917">
        <w:t>for</w:t>
      </w:r>
      <w:r w:rsidR="00EE4FC3">
        <w:t xml:space="preserve"> </w:t>
      </w:r>
      <w:r w:rsidRPr="00382917">
        <w:t>the</w:t>
      </w:r>
      <w:r w:rsidR="00EE4FC3">
        <w:t xml:space="preserve"> </w:t>
      </w:r>
      <w:r w:rsidRPr="00382917">
        <w:t>age</w:t>
      </w:r>
      <w:r w:rsidR="00EE4FC3">
        <w:t xml:space="preserve"> </w:t>
      </w:r>
      <w:r w:rsidRPr="00382917">
        <w:t>in</w:t>
      </w:r>
      <w:r w:rsidR="00EE4FC3">
        <w:t xml:space="preserve"> </w:t>
      </w:r>
      <w:r w:rsidRPr="00382917">
        <w:t>which</w:t>
      </w:r>
      <w:r w:rsidR="00EE4FC3">
        <w:t xml:space="preserve"> </w:t>
      </w:r>
      <w:r w:rsidRPr="00382917">
        <w:t>it</w:t>
      </w:r>
      <w:r w:rsidR="00EE4FC3">
        <w:t xml:space="preserve"> </w:t>
      </w:r>
      <w:r w:rsidRPr="00382917">
        <w:t>appears</w:t>
      </w:r>
      <w:r w:rsidR="00552489">
        <w:t>.</w:t>
      </w:r>
      <w:r w:rsidR="00EE4FC3">
        <w:t xml:space="preserve">  </w:t>
      </w:r>
      <w:r w:rsidRPr="00382917">
        <w:t>It</w:t>
      </w:r>
      <w:r w:rsidR="00EE4FC3">
        <w:t xml:space="preserve"> </w:t>
      </w:r>
      <w:r w:rsidRPr="00382917">
        <w:t>is</w:t>
      </w:r>
      <w:r w:rsidR="00EE4FC3">
        <w:t xml:space="preserve"> </w:t>
      </w:r>
      <w:r w:rsidRPr="00382917">
        <w:t>the</w:t>
      </w:r>
      <w:r w:rsidR="00EE4FC3">
        <w:t xml:space="preserve"> </w:t>
      </w:r>
      <w:r w:rsidRPr="00956448">
        <w:rPr>
          <w:i/>
          <w:iCs/>
        </w:rPr>
        <w:t>only</w:t>
      </w:r>
      <w:r w:rsidR="00EE4FC3">
        <w:t xml:space="preserve"> </w:t>
      </w:r>
      <w:r w:rsidRPr="00382917">
        <w:t>truth</w:t>
      </w:r>
      <w:r w:rsidR="00EE4FC3">
        <w:t xml:space="preserve"> </w:t>
      </w:r>
      <w:r w:rsidRPr="00382917">
        <w:t>for</w:t>
      </w:r>
      <w:r w:rsidR="00EE4FC3">
        <w:t xml:space="preserve"> </w:t>
      </w:r>
      <w:r w:rsidRPr="00382917">
        <w:t>that</w:t>
      </w:r>
      <w:r w:rsidR="00EE4FC3">
        <w:t xml:space="preserve"> </w:t>
      </w:r>
      <w:r w:rsidRPr="00382917">
        <w:t>particular</w:t>
      </w:r>
      <w:r w:rsidR="00EE4FC3">
        <w:t xml:space="preserve"> </w:t>
      </w:r>
      <w:r w:rsidRPr="00382917">
        <w:t>age,</w:t>
      </w:r>
      <w:r w:rsidR="00EE4FC3">
        <w:t xml:space="preserve"> </w:t>
      </w:r>
      <w:r w:rsidRPr="00382917">
        <w:t>yet</w:t>
      </w:r>
      <w:r w:rsidR="00EE4FC3">
        <w:t xml:space="preserve"> </w:t>
      </w:r>
      <w:r w:rsidRPr="00382917">
        <w:t>it</w:t>
      </w:r>
      <w:r w:rsidR="00EE4FC3">
        <w:t xml:space="preserve"> </w:t>
      </w:r>
      <w:r w:rsidRPr="00382917">
        <w:t>is</w:t>
      </w:r>
      <w:r w:rsidR="00EE4FC3">
        <w:t xml:space="preserve"> </w:t>
      </w:r>
      <w:r w:rsidRPr="00382917">
        <w:t>but</w:t>
      </w:r>
      <w:r w:rsidR="00EE4FC3">
        <w:t xml:space="preserve"> </w:t>
      </w:r>
      <w:r w:rsidRPr="00382917">
        <w:t>one</w:t>
      </w:r>
      <w:r w:rsidR="00EE4FC3">
        <w:t xml:space="preserve"> </w:t>
      </w:r>
      <w:r w:rsidRPr="00382917">
        <w:t>part</w:t>
      </w:r>
      <w:r w:rsidR="00EE4FC3">
        <w:t xml:space="preserve"> </w:t>
      </w:r>
      <w:r w:rsidRPr="00382917">
        <w:t>of</w:t>
      </w:r>
      <w:r w:rsidR="00EE4FC3">
        <w:t xml:space="preserve"> </w:t>
      </w:r>
      <w:r w:rsidRPr="00382917">
        <w:t>the</w:t>
      </w:r>
      <w:r w:rsidR="00EE4FC3">
        <w:t xml:space="preserve"> </w:t>
      </w:r>
      <w:r w:rsidRPr="00382917">
        <w:t>single,</w:t>
      </w:r>
      <w:r w:rsidR="00EE4FC3">
        <w:t xml:space="preserve"> </w:t>
      </w:r>
      <w:r w:rsidRPr="00382917">
        <w:t>great,</w:t>
      </w:r>
      <w:r w:rsidR="00EE4FC3">
        <w:t xml:space="preserve"> </w:t>
      </w:r>
      <w:r w:rsidRPr="00382917">
        <w:t>progressive,</w:t>
      </w:r>
      <w:r w:rsidR="00EE4FC3">
        <w:t xml:space="preserve"> </w:t>
      </w:r>
      <w:r w:rsidRPr="00382917">
        <w:t>never-ending</w:t>
      </w:r>
      <w:r w:rsidR="00EE4FC3">
        <w:t xml:space="preserve"> </w:t>
      </w:r>
      <w:r w:rsidRPr="00382917">
        <w:t>religion</w:t>
      </w:r>
      <w:r w:rsidR="00EE4FC3">
        <w:t xml:space="preserve"> </w:t>
      </w:r>
      <w:r w:rsidRPr="00382917">
        <w:t>of</w:t>
      </w:r>
      <w:r w:rsidR="00EE4FC3">
        <w:t xml:space="preserve"> </w:t>
      </w:r>
      <w:r w:rsidRPr="00382917">
        <w:t>God</w:t>
      </w:r>
      <w:r w:rsidR="00552489">
        <w:t>.</w:t>
      </w:r>
      <w:r w:rsidR="00EE4FC3">
        <w:t xml:space="preserve">  </w:t>
      </w:r>
      <w:r w:rsidRPr="00382917">
        <w:t>The</w:t>
      </w:r>
      <w:r w:rsidR="00EE4FC3">
        <w:t xml:space="preserve"> </w:t>
      </w:r>
      <w:r w:rsidRPr="00382917">
        <w:t>Word</w:t>
      </w:r>
      <w:r w:rsidR="00EE4FC3">
        <w:t xml:space="preserve"> </w:t>
      </w:r>
      <w:r w:rsidRPr="00382917">
        <w:t>of</w:t>
      </w:r>
      <w:r w:rsidR="00EE4FC3">
        <w:t xml:space="preserve"> </w:t>
      </w:r>
      <w:r w:rsidRPr="00382917">
        <w:t>God</w:t>
      </w:r>
      <w:r w:rsidR="00EE4FC3">
        <w:t xml:space="preserve"> </w:t>
      </w:r>
      <w:r w:rsidRPr="00382917">
        <w:t>is</w:t>
      </w:r>
      <w:r w:rsidR="00EE4FC3">
        <w:t xml:space="preserve"> </w:t>
      </w:r>
      <w:r w:rsidRPr="00382917">
        <w:t>one</w:t>
      </w:r>
      <w:r w:rsidR="00EE4FC3">
        <w:t xml:space="preserve"> </w:t>
      </w:r>
      <w:r w:rsidRPr="00382917">
        <w:t>though</w:t>
      </w:r>
      <w:r w:rsidR="00EE4FC3">
        <w:t xml:space="preserve"> </w:t>
      </w:r>
      <w:r w:rsidRPr="00382917">
        <w:t>the</w:t>
      </w:r>
      <w:r w:rsidR="00EE4FC3">
        <w:t xml:space="preserve"> </w:t>
      </w:r>
      <w:r w:rsidRPr="00382917">
        <w:t>Speakers</w:t>
      </w:r>
      <w:r w:rsidR="00EE4FC3">
        <w:t xml:space="preserve"> </w:t>
      </w:r>
      <w:r w:rsidRPr="00382917">
        <w:t>(Messengers)</w:t>
      </w:r>
      <w:r w:rsidR="00EE4FC3">
        <w:t xml:space="preserve"> </w:t>
      </w:r>
      <w:r w:rsidRPr="00382917">
        <w:t>are</w:t>
      </w:r>
      <w:r w:rsidR="00EE4FC3">
        <w:t xml:space="preserve"> </w:t>
      </w:r>
      <w:r w:rsidRPr="00382917">
        <w:t>many.</w:t>
      </w:r>
    </w:p>
    <w:p w:rsidR="00300E83" w:rsidRPr="00382917" w:rsidRDefault="00300E83" w:rsidP="00650F8F">
      <w:pPr>
        <w:pStyle w:val="Text"/>
      </w:pPr>
      <w:r w:rsidRPr="00382917">
        <w:t>The</w:t>
      </w:r>
      <w:r w:rsidR="00EE4FC3">
        <w:t xml:space="preserve"> </w:t>
      </w:r>
      <w:r w:rsidRPr="00382917">
        <w:t>Bahá</w:t>
      </w:r>
      <w:r w:rsidR="009C713D" w:rsidRPr="00382917">
        <w:t>’</w:t>
      </w:r>
      <w:r w:rsidRPr="00382917">
        <w:t>í</w:t>
      </w:r>
      <w:r w:rsidR="00EE4FC3">
        <w:t xml:space="preserve"> </w:t>
      </w:r>
      <w:r w:rsidRPr="00382917">
        <w:t>teachings</w:t>
      </w:r>
      <w:r w:rsidR="00EE4FC3">
        <w:t xml:space="preserve"> </w:t>
      </w:r>
      <w:r w:rsidRPr="00382917">
        <w:t>point</w:t>
      </w:r>
      <w:r w:rsidR="00EE4FC3">
        <w:t xml:space="preserve"> </w:t>
      </w:r>
      <w:r w:rsidRPr="00382917">
        <w:t>out</w:t>
      </w:r>
      <w:r w:rsidR="00EE4FC3">
        <w:t xml:space="preserve"> </w:t>
      </w:r>
      <w:r w:rsidRPr="00382917">
        <w:t>that</w:t>
      </w:r>
      <w:r w:rsidR="00EE4FC3">
        <w:t xml:space="preserve"> </w:t>
      </w:r>
      <w:r w:rsidRPr="00382917">
        <w:t>the</w:t>
      </w:r>
      <w:r w:rsidR="00EE4FC3">
        <w:t xml:space="preserve"> </w:t>
      </w:r>
      <w:r w:rsidRPr="00382917">
        <w:t>growth</w:t>
      </w:r>
      <w:r w:rsidR="00EE4FC3">
        <w:t xml:space="preserve"> </w:t>
      </w:r>
      <w:r w:rsidRPr="00382917">
        <w:t>of</w:t>
      </w:r>
      <w:r w:rsidR="00EE4FC3">
        <w:t xml:space="preserve"> </w:t>
      </w:r>
      <w:r w:rsidRPr="00382917">
        <w:t>religion</w:t>
      </w:r>
      <w:r w:rsidR="00EE4FC3">
        <w:t xml:space="preserve"> </w:t>
      </w:r>
      <w:r w:rsidRPr="00382917">
        <w:t>is</w:t>
      </w:r>
    </w:p>
    <w:p w:rsidR="00650F8F" w:rsidRPr="00382917" w:rsidRDefault="00650F8F">
      <w:pPr>
        <w:widowControl/>
        <w:kinsoku/>
        <w:overflowPunct/>
        <w:textAlignment w:val="auto"/>
      </w:pPr>
      <w:r w:rsidRPr="00382917">
        <w:br w:type="page"/>
      </w:r>
    </w:p>
    <w:p w:rsidR="00300E83" w:rsidRPr="00382917" w:rsidRDefault="00300E83" w:rsidP="00956448">
      <w:pPr>
        <w:pStyle w:val="Textcts"/>
      </w:pPr>
      <w:proofErr w:type="gramStart"/>
      <w:r w:rsidRPr="00382917">
        <w:t>like</w:t>
      </w:r>
      <w:proofErr w:type="gramEnd"/>
      <w:r w:rsidR="00EE4FC3">
        <w:t xml:space="preserve"> </w:t>
      </w:r>
      <w:r w:rsidRPr="00382917">
        <w:t>the</w:t>
      </w:r>
      <w:r w:rsidR="00EE4FC3">
        <w:t xml:space="preserve"> </w:t>
      </w:r>
      <w:r w:rsidRPr="00382917">
        <w:t>growth</w:t>
      </w:r>
      <w:r w:rsidR="00EE4FC3">
        <w:t xml:space="preserve"> </w:t>
      </w:r>
      <w:r w:rsidRPr="00382917">
        <w:t>of</w:t>
      </w:r>
      <w:r w:rsidR="00EE4FC3">
        <w:t xml:space="preserve"> </w:t>
      </w:r>
      <w:r w:rsidRPr="00382917">
        <w:t>a</w:t>
      </w:r>
      <w:r w:rsidR="00EE4FC3">
        <w:t xml:space="preserve"> </w:t>
      </w:r>
      <w:r w:rsidRPr="00382917">
        <w:t>tree</w:t>
      </w:r>
      <w:r w:rsidR="00552489">
        <w:t>.</w:t>
      </w:r>
      <w:r w:rsidR="00EE4FC3">
        <w:t xml:space="preserve">  </w:t>
      </w:r>
      <w:r w:rsidRPr="00382917">
        <w:t>In</w:t>
      </w:r>
      <w:r w:rsidR="00EE4FC3">
        <w:t xml:space="preserve"> </w:t>
      </w:r>
      <w:r w:rsidRPr="00382917">
        <w:t>the</w:t>
      </w:r>
      <w:r w:rsidR="00EE4FC3">
        <w:t xml:space="preserve"> </w:t>
      </w:r>
      <w:r w:rsidRPr="00382917">
        <w:t>teaching</w:t>
      </w:r>
      <w:r w:rsidR="00EE4FC3">
        <w:t xml:space="preserve"> </w:t>
      </w:r>
      <w:r w:rsidRPr="00382917">
        <w:t>of</w:t>
      </w:r>
      <w:r w:rsidR="00EE4FC3">
        <w:t xml:space="preserve"> </w:t>
      </w:r>
      <w:r w:rsidRPr="00382917">
        <w:t>Krishna</w:t>
      </w:r>
      <w:r w:rsidR="00EE4FC3">
        <w:t xml:space="preserve"> </w:t>
      </w:r>
      <w:r w:rsidRPr="00382917">
        <w:t>we</w:t>
      </w:r>
      <w:r w:rsidR="00EE4FC3">
        <w:t xml:space="preserve"> </w:t>
      </w:r>
      <w:r w:rsidRPr="00382917">
        <w:t>see</w:t>
      </w:r>
      <w:r w:rsidR="00EE4FC3">
        <w:t xml:space="preserve"> </w:t>
      </w:r>
      <w:r w:rsidRPr="00382917">
        <w:t>the</w:t>
      </w:r>
      <w:r w:rsidR="00EE4FC3">
        <w:t xml:space="preserve"> </w:t>
      </w:r>
      <w:r w:rsidR="009C713D" w:rsidRPr="00382917">
        <w:t>“</w:t>
      </w:r>
      <w:r w:rsidRPr="00382917">
        <w:t>seed</w:t>
      </w:r>
      <w:r w:rsidR="009C713D" w:rsidRPr="00382917">
        <w:t>”</w:t>
      </w:r>
      <w:r w:rsidRPr="00382917">
        <w:t>,</w:t>
      </w:r>
      <w:r w:rsidR="00EE4FC3">
        <w:t xml:space="preserve"> </w:t>
      </w:r>
      <w:r w:rsidRPr="00382917">
        <w:t>in</w:t>
      </w:r>
      <w:r w:rsidR="00EE4FC3">
        <w:t xml:space="preserve"> </w:t>
      </w:r>
      <w:r w:rsidRPr="00382917">
        <w:t>that</w:t>
      </w:r>
      <w:r w:rsidR="00EE4FC3">
        <w:t xml:space="preserve"> </w:t>
      </w:r>
      <w:r w:rsidRPr="00382917">
        <w:t>of</w:t>
      </w:r>
      <w:r w:rsidR="00EE4FC3">
        <w:t xml:space="preserve"> </w:t>
      </w:r>
      <w:r w:rsidRPr="00382917">
        <w:t>Moses</w:t>
      </w:r>
      <w:r w:rsidR="00EE4FC3">
        <w:t xml:space="preserve"> </w:t>
      </w:r>
      <w:r w:rsidRPr="00382917">
        <w:t>the</w:t>
      </w:r>
      <w:r w:rsidR="00EE4FC3">
        <w:t xml:space="preserve"> </w:t>
      </w:r>
      <w:r w:rsidR="009C713D" w:rsidRPr="00382917">
        <w:t>“</w:t>
      </w:r>
      <w:r w:rsidRPr="00382917">
        <w:t>shoot</w:t>
      </w:r>
      <w:r w:rsidR="009C713D" w:rsidRPr="00382917">
        <w:t>”</w:t>
      </w:r>
      <w:r w:rsidRPr="00382917">
        <w:t>,</w:t>
      </w:r>
      <w:r w:rsidR="00EE4FC3">
        <w:t xml:space="preserve"> </w:t>
      </w:r>
      <w:r w:rsidRPr="00382917">
        <w:t>in</w:t>
      </w:r>
      <w:r w:rsidR="00EE4FC3">
        <w:t xml:space="preserve"> </w:t>
      </w:r>
      <w:r w:rsidRPr="00382917">
        <w:t>that</w:t>
      </w:r>
      <w:r w:rsidR="00EE4FC3">
        <w:t xml:space="preserve"> </w:t>
      </w:r>
      <w:r w:rsidRPr="00382917">
        <w:t>of</w:t>
      </w:r>
      <w:r w:rsidR="00EE4FC3">
        <w:t xml:space="preserve"> </w:t>
      </w:r>
      <w:r w:rsidRPr="00382917">
        <w:t>Zoroaster</w:t>
      </w:r>
      <w:r w:rsidR="00EE4FC3">
        <w:t xml:space="preserve"> </w:t>
      </w:r>
      <w:r w:rsidRPr="00382917">
        <w:t>the</w:t>
      </w:r>
      <w:r w:rsidR="00EE4FC3">
        <w:t xml:space="preserve"> </w:t>
      </w:r>
      <w:r w:rsidR="009C713D" w:rsidRPr="00382917">
        <w:t>“</w:t>
      </w:r>
      <w:r w:rsidRPr="00382917">
        <w:t>trunk</w:t>
      </w:r>
      <w:r w:rsidR="009C713D" w:rsidRPr="00382917">
        <w:t>”</w:t>
      </w:r>
      <w:r w:rsidRPr="00382917">
        <w:t>,</w:t>
      </w:r>
      <w:r w:rsidR="00EE4FC3">
        <w:t xml:space="preserve"> </w:t>
      </w:r>
      <w:r w:rsidRPr="00382917">
        <w:t>in</w:t>
      </w:r>
      <w:r w:rsidR="00EE4FC3">
        <w:t xml:space="preserve"> </w:t>
      </w:r>
      <w:r w:rsidRPr="00382917">
        <w:t>that</w:t>
      </w:r>
      <w:r w:rsidR="00EE4FC3">
        <w:t xml:space="preserve"> </w:t>
      </w:r>
      <w:r w:rsidRPr="00382917">
        <w:t>of</w:t>
      </w:r>
      <w:r w:rsidR="00EE4FC3">
        <w:t xml:space="preserve"> </w:t>
      </w:r>
      <w:r w:rsidRPr="00382917">
        <w:t>Buddha</w:t>
      </w:r>
      <w:r w:rsidR="00EE4FC3">
        <w:t xml:space="preserve"> </w:t>
      </w:r>
      <w:r w:rsidRPr="00382917">
        <w:t>the</w:t>
      </w:r>
      <w:r w:rsidR="00EE4FC3">
        <w:t xml:space="preserve"> </w:t>
      </w:r>
      <w:r w:rsidR="009C713D" w:rsidRPr="00382917">
        <w:t>“</w:t>
      </w:r>
      <w:r w:rsidRPr="00382917">
        <w:t>branches</w:t>
      </w:r>
      <w:r w:rsidR="009C713D" w:rsidRPr="00382917">
        <w:t>”</w:t>
      </w:r>
      <w:r w:rsidR="00956448">
        <w:t>,</w:t>
      </w:r>
      <w:r w:rsidR="00EE4FC3">
        <w:t xml:space="preserve"> </w:t>
      </w:r>
      <w:r w:rsidRPr="00382917">
        <w:t>in</w:t>
      </w:r>
      <w:r w:rsidR="00EE4FC3">
        <w:t xml:space="preserve"> </w:t>
      </w:r>
      <w:r w:rsidRPr="00382917">
        <w:t>that</w:t>
      </w:r>
      <w:r w:rsidR="00EE4FC3">
        <w:t xml:space="preserve"> </w:t>
      </w:r>
      <w:r w:rsidRPr="00382917">
        <w:t>of</w:t>
      </w:r>
      <w:r w:rsidR="00EE4FC3">
        <w:t xml:space="preserve"> </w:t>
      </w:r>
      <w:r w:rsidRPr="00382917">
        <w:t>Jesus</w:t>
      </w:r>
      <w:r w:rsidR="00EE4FC3">
        <w:t xml:space="preserve"> </w:t>
      </w:r>
      <w:r w:rsidRPr="00382917">
        <w:t>the</w:t>
      </w:r>
      <w:r w:rsidR="00EE4FC3">
        <w:t xml:space="preserve"> </w:t>
      </w:r>
      <w:r w:rsidR="009C713D" w:rsidRPr="00382917">
        <w:t>“</w:t>
      </w:r>
      <w:r w:rsidRPr="00382917">
        <w:t>twigs</w:t>
      </w:r>
      <w:r w:rsidR="009C713D" w:rsidRPr="00382917">
        <w:t>”</w:t>
      </w:r>
      <w:r w:rsidRPr="00382917">
        <w:t>,</w:t>
      </w:r>
      <w:r w:rsidR="00EE4FC3">
        <w:t xml:space="preserve"> </w:t>
      </w:r>
      <w:r w:rsidRPr="00382917">
        <w:t>in</w:t>
      </w:r>
      <w:r w:rsidR="00EE4FC3">
        <w:t xml:space="preserve"> </w:t>
      </w:r>
      <w:r w:rsidRPr="00382917">
        <w:t>that</w:t>
      </w:r>
      <w:r w:rsidR="00EE4FC3">
        <w:t xml:space="preserve"> </w:t>
      </w:r>
      <w:r w:rsidRPr="00382917">
        <w:t>of</w:t>
      </w:r>
      <w:r w:rsidR="00EE4FC3">
        <w:t xml:space="preserve"> </w:t>
      </w:r>
      <w:r w:rsidRPr="00382917">
        <w:t>Muḥammad</w:t>
      </w:r>
      <w:r w:rsidR="00EE4FC3">
        <w:t xml:space="preserve"> </w:t>
      </w:r>
      <w:r w:rsidRPr="00382917">
        <w:t>the</w:t>
      </w:r>
      <w:r w:rsidR="00EE4FC3">
        <w:t xml:space="preserve"> </w:t>
      </w:r>
      <w:r w:rsidR="009C713D" w:rsidRPr="00382917">
        <w:t>“</w:t>
      </w:r>
      <w:r w:rsidRPr="00382917">
        <w:t>leaves</w:t>
      </w:r>
      <w:r w:rsidR="009C713D" w:rsidRPr="00382917">
        <w:t>”</w:t>
      </w:r>
      <w:r w:rsidRPr="00382917">
        <w:t>,</w:t>
      </w:r>
      <w:r w:rsidR="00EE4FC3">
        <w:t xml:space="preserve"> </w:t>
      </w:r>
      <w:r w:rsidRPr="00382917">
        <w:t>in</w:t>
      </w:r>
      <w:r w:rsidR="00EE4FC3">
        <w:t xml:space="preserve"> </w:t>
      </w:r>
      <w:r w:rsidRPr="00382917">
        <w:t>that</w:t>
      </w:r>
      <w:r w:rsidR="00EE4FC3">
        <w:t xml:space="preserve"> </w:t>
      </w:r>
      <w:r w:rsidRPr="00382917">
        <w:t>of</w:t>
      </w:r>
      <w:r w:rsidR="00EE4FC3">
        <w:t xml:space="preserve"> </w:t>
      </w:r>
      <w:r w:rsidRPr="00382917">
        <w:t>the</w:t>
      </w:r>
      <w:r w:rsidR="00EE4FC3">
        <w:t xml:space="preserve"> </w:t>
      </w:r>
      <w:r w:rsidRPr="00382917">
        <w:t>Báb</w:t>
      </w:r>
      <w:r w:rsidR="00EE4FC3">
        <w:t xml:space="preserve"> </w:t>
      </w:r>
      <w:r w:rsidRPr="00382917">
        <w:t>the</w:t>
      </w:r>
      <w:r w:rsidR="00EE4FC3">
        <w:t xml:space="preserve"> </w:t>
      </w:r>
      <w:r w:rsidR="009C713D" w:rsidRPr="00382917">
        <w:t>“</w:t>
      </w:r>
      <w:r w:rsidRPr="00382917">
        <w:t>blossoms</w:t>
      </w:r>
      <w:r w:rsidR="009C713D" w:rsidRPr="00382917">
        <w:t>”</w:t>
      </w:r>
      <w:r w:rsidRPr="00382917">
        <w:t>,</w:t>
      </w:r>
      <w:r w:rsidR="00EE4FC3">
        <w:t xml:space="preserve"> </w:t>
      </w:r>
      <w:r w:rsidRPr="00382917">
        <w:t>in</w:t>
      </w:r>
      <w:r w:rsidR="00EE4FC3">
        <w:t xml:space="preserve"> </w:t>
      </w:r>
      <w:r w:rsidRPr="00382917">
        <w:t>that</w:t>
      </w:r>
      <w:r w:rsidR="00EE4FC3">
        <w:t xml:space="preserve"> </w:t>
      </w:r>
      <w:r w:rsidRPr="00382917">
        <w:t>of</w:t>
      </w:r>
      <w:r w:rsidR="00EE4FC3">
        <w:t xml:space="preserve"> </w:t>
      </w:r>
      <w:r w:rsidRPr="00382917">
        <w:t>Bahá</w:t>
      </w:r>
      <w:r w:rsidR="009C713D" w:rsidRPr="00382917">
        <w:t>’</w:t>
      </w:r>
      <w:r w:rsidRPr="00382917">
        <w:t>u</w:t>
      </w:r>
      <w:r w:rsidR="009C713D" w:rsidRPr="00382917">
        <w:t>’</w:t>
      </w:r>
      <w:r w:rsidRPr="00382917">
        <w:t>lláh</w:t>
      </w:r>
      <w:r w:rsidR="00EE4FC3">
        <w:t xml:space="preserve"> </w:t>
      </w:r>
      <w:r w:rsidRPr="00382917">
        <w:t>the</w:t>
      </w:r>
      <w:r w:rsidR="00EE4FC3">
        <w:t xml:space="preserve"> </w:t>
      </w:r>
      <w:r w:rsidR="009C713D" w:rsidRPr="00382917">
        <w:t>“</w:t>
      </w:r>
      <w:r w:rsidRPr="00382917">
        <w:t>fruit</w:t>
      </w:r>
      <w:r w:rsidR="009C713D" w:rsidRPr="00382917">
        <w:t>”</w:t>
      </w:r>
      <w:r w:rsidR="00552489">
        <w:t>.</w:t>
      </w:r>
      <w:r w:rsidR="00EE4FC3">
        <w:t xml:space="preserve">  </w:t>
      </w:r>
      <w:r w:rsidRPr="00382917">
        <w:t>Because</w:t>
      </w:r>
      <w:r w:rsidR="00EE4FC3">
        <w:t xml:space="preserve"> </w:t>
      </w:r>
      <w:r w:rsidRPr="00382917">
        <w:t>men</w:t>
      </w:r>
      <w:r w:rsidR="00EE4FC3">
        <w:t xml:space="preserve"> </w:t>
      </w:r>
      <w:r w:rsidRPr="00382917">
        <w:t>failed</w:t>
      </w:r>
      <w:r w:rsidR="00EE4FC3">
        <w:t xml:space="preserve"> </w:t>
      </w:r>
      <w:r w:rsidRPr="00382917">
        <w:t>to</w:t>
      </w:r>
      <w:r w:rsidR="00EE4FC3">
        <w:t xml:space="preserve"> </w:t>
      </w:r>
      <w:r w:rsidRPr="00382917">
        <w:t>recognize</w:t>
      </w:r>
      <w:r w:rsidR="00EE4FC3">
        <w:t xml:space="preserve"> </w:t>
      </w:r>
      <w:r w:rsidRPr="00382917">
        <w:t>and</w:t>
      </w:r>
      <w:r w:rsidR="00EE4FC3">
        <w:t xml:space="preserve"> </w:t>
      </w:r>
      <w:r w:rsidRPr="00382917">
        <w:t>understand</w:t>
      </w:r>
      <w:r w:rsidR="00EE4FC3">
        <w:t xml:space="preserve"> </w:t>
      </w:r>
      <w:r w:rsidRPr="00382917">
        <w:t>this</w:t>
      </w:r>
      <w:r w:rsidR="00EE4FC3">
        <w:t xml:space="preserve"> </w:t>
      </w:r>
      <w:r w:rsidRPr="00382917">
        <w:t>oneness,</w:t>
      </w:r>
      <w:r w:rsidR="00EE4FC3">
        <w:t xml:space="preserve"> </w:t>
      </w:r>
      <w:r w:rsidRPr="00382917">
        <w:t>the</w:t>
      </w:r>
      <w:r w:rsidR="00EE4FC3">
        <w:t xml:space="preserve"> </w:t>
      </w:r>
      <w:r w:rsidRPr="00382917">
        <w:t>great</w:t>
      </w:r>
      <w:r w:rsidR="00EE4FC3">
        <w:t xml:space="preserve"> </w:t>
      </w:r>
      <w:r w:rsidRPr="00382917">
        <w:t>religions</w:t>
      </w:r>
      <w:r w:rsidR="00EE4FC3">
        <w:t xml:space="preserve"> </w:t>
      </w:r>
      <w:r w:rsidRPr="00382917">
        <w:t>have</w:t>
      </w:r>
      <w:r w:rsidR="00EE4FC3">
        <w:t xml:space="preserve"> </w:t>
      </w:r>
      <w:r w:rsidRPr="00382917">
        <w:t>developed</w:t>
      </w:r>
      <w:r w:rsidR="00EE4FC3">
        <w:t xml:space="preserve"> </w:t>
      </w:r>
      <w:r w:rsidRPr="00382917">
        <w:t>an</w:t>
      </w:r>
      <w:r w:rsidR="00EE4FC3">
        <w:t xml:space="preserve"> </w:t>
      </w:r>
      <w:r w:rsidRPr="00382917">
        <w:t>enmity</w:t>
      </w:r>
      <w:r w:rsidR="00EE4FC3">
        <w:t xml:space="preserve"> </w:t>
      </w:r>
      <w:r w:rsidRPr="00382917">
        <w:t>for</w:t>
      </w:r>
      <w:r w:rsidR="00EE4FC3">
        <w:t xml:space="preserve"> </w:t>
      </w:r>
      <w:r w:rsidRPr="00382917">
        <w:t>each</w:t>
      </w:r>
      <w:r w:rsidR="00EE4FC3">
        <w:t xml:space="preserve"> </w:t>
      </w:r>
      <w:r w:rsidRPr="00382917">
        <w:t>other.</w:t>
      </w:r>
    </w:p>
    <w:p w:rsidR="00300E83" w:rsidRPr="00382917" w:rsidRDefault="00300E83" w:rsidP="00650F8F">
      <w:pPr>
        <w:pStyle w:val="Text"/>
      </w:pPr>
      <w:r w:rsidRPr="00382917">
        <w:t>The</w:t>
      </w:r>
      <w:r w:rsidR="00EE4FC3">
        <w:t xml:space="preserve"> </w:t>
      </w:r>
      <w:r w:rsidRPr="00382917">
        <w:t>Founders</w:t>
      </w:r>
      <w:r w:rsidR="00EE4FC3">
        <w:t xml:space="preserve"> </w:t>
      </w:r>
      <w:r w:rsidRPr="00382917">
        <w:t>were</w:t>
      </w:r>
      <w:r w:rsidR="00EE4FC3">
        <w:t xml:space="preserve"> </w:t>
      </w:r>
      <w:r w:rsidRPr="00382917">
        <w:t>united</w:t>
      </w:r>
      <w:r w:rsidR="00EE4FC3">
        <w:t xml:space="preserve"> </w:t>
      </w:r>
      <w:r w:rsidRPr="00382917">
        <w:t>in</w:t>
      </w:r>
      <w:r w:rsidR="00EE4FC3">
        <w:t xml:space="preserve"> </w:t>
      </w:r>
      <w:r w:rsidRPr="00382917">
        <w:t>love,</w:t>
      </w:r>
      <w:r w:rsidR="00EE4FC3">
        <w:t xml:space="preserve"> </w:t>
      </w:r>
      <w:r w:rsidRPr="00382917">
        <w:t>but</w:t>
      </w:r>
      <w:r w:rsidR="00EE4FC3">
        <w:t xml:space="preserve"> </w:t>
      </w:r>
      <w:r w:rsidRPr="00382917">
        <w:t>the</w:t>
      </w:r>
      <w:r w:rsidR="00EE4FC3">
        <w:t xml:space="preserve"> </w:t>
      </w:r>
      <w:r w:rsidRPr="00382917">
        <w:t>followers</w:t>
      </w:r>
      <w:r w:rsidR="00EE4FC3">
        <w:t xml:space="preserve"> </w:t>
      </w:r>
      <w:r w:rsidRPr="00382917">
        <w:t>became</w:t>
      </w:r>
      <w:r w:rsidR="00EE4FC3">
        <w:t xml:space="preserve"> </w:t>
      </w:r>
      <w:r w:rsidRPr="00382917">
        <w:t>divided</w:t>
      </w:r>
      <w:r w:rsidR="00EE4FC3">
        <w:t xml:space="preserve"> </w:t>
      </w:r>
      <w:r w:rsidRPr="00382917">
        <w:t>in</w:t>
      </w:r>
      <w:r w:rsidR="00EE4FC3">
        <w:t xml:space="preserve"> </w:t>
      </w:r>
      <w:r w:rsidRPr="00382917">
        <w:t>hate</w:t>
      </w:r>
      <w:r w:rsidR="00552489">
        <w:t>.</w:t>
      </w:r>
      <w:r w:rsidR="00EE4FC3">
        <w:t xml:space="preserve">  </w:t>
      </w:r>
      <w:r w:rsidRPr="00382917">
        <w:t>One</w:t>
      </w:r>
      <w:r w:rsidR="00EE4FC3">
        <w:t xml:space="preserve"> </w:t>
      </w:r>
      <w:r w:rsidRPr="00382917">
        <w:t>step</w:t>
      </w:r>
      <w:r w:rsidR="00EE4FC3">
        <w:t xml:space="preserve"> </w:t>
      </w:r>
      <w:r w:rsidRPr="00382917">
        <w:t>is</w:t>
      </w:r>
      <w:r w:rsidR="00EE4FC3">
        <w:t xml:space="preserve"> </w:t>
      </w:r>
      <w:r w:rsidRPr="00382917">
        <w:t>not</w:t>
      </w:r>
      <w:r w:rsidR="00EE4FC3">
        <w:t xml:space="preserve"> </w:t>
      </w:r>
      <w:r w:rsidRPr="00382917">
        <w:t>greater</w:t>
      </w:r>
      <w:r w:rsidR="00EE4FC3">
        <w:t xml:space="preserve"> </w:t>
      </w:r>
      <w:r w:rsidRPr="00382917">
        <w:t>than</w:t>
      </w:r>
      <w:r w:rsidR="00EE4FC3">
        <w:t xml:space="preserve"> </w:t>
      </w:r>
      <w:r w:rsidRPr="00382917">
        <w:t>another</w:t>
      </w:r>
      <w:r w:rsidR="00552489">
        <w:t>.</w:t>
      </w:r>
      <w:r w:rsidR="00EE4FC3">
        <w:t xml:space="preserve">  </w:t>
      </w:r>
      <w:r w:rsidRPr="00382917">
        <w:t>All</w:t>
      </w:r>
      <w:r w:rsidR="00EE4FC3">
        <w:t xml:space="preserve"> </w:t>
      </w:r>
      <w:r w:rsidRPr="00382917">
        <w:t>are</w:t>
      </w:r>
      <w:r w:rsidR="00EE4FC3">
        <w:t xml:space="preserve"> </w:t>
      </w:r>
      <w:r w:rsidRPr="00382917">
        <w:t>necessary</w:t>
      </w:r>
      <w:r w:rsidR="00552489">
        <w:t>.</w:t>
      </w:r>
      <w:r w:rsidR="00EE4FC3">
        <w:t xml:space="preserve">  </w:t>
      </w:r>
      <w:r w:rsidRPr="00382917">
        <w:t>Each</w:t>
      </w:r>
      <w:r w:rsidR="00EE4FC3">
        <w:t xml:space="preserve"> </w:t>
      </w:r>
      <w:r w:rsidRPr="00382917">
        <w:t>stage</w:t>
      </w:r>
      <w:r w:rsidR="00EE4FC3">
        <w:t xml:space="preserve"> </w:t>
      </w:r>
      <w:r w:rsidRPr="00382917">
        <w:t>is</w:t>
      </w:r>
      <w:r w:rsidR="00EE4FC3">
        <w:t xml:space="preserve"> </w:t>
      </w:r>
      <w:r w:rsidRPr="00382917">
        <w:t>the</w:t>
      </w:r>
      <w:r w:rsidR="00EE4FC3">
        <w:t xml:space="preserve"> </w:t>
      </w:r>
      <w:proofErr w:type="spellStart"/>
      <w:r w:rsidRPr="00382917">
        <w:t>fulfillment</w:t>
      </w:r>
      <w:proofErr w:type="spellEnd"/>
      <w:r w:rsidR="00EE4FC3">
        <w:t xml:space="preserve"> </w:t>
      </w:r>
      <w:r w:rsidRPr="00382917">
        <w:t>of</w:t>
      </w:r>
      <w:r w:rsidR="00EE4FC3">
        <w:t xml:space="preserve"> </w:t>
      </w:r>
      <w:r w:rsidRPr="00382917">
        <w:t>the</w:t>
      </w:r>
      <w:r w:rsidR="00EE4FC3">
        <w:t xml:space="preserve"> </w:t>
      </w:r>
      <w:r w:rsidRPr="00382917">
        <w:t>one</w:t>
      </w:r>
      <w:r w:rsidR="00EE4FC3">
        <w:t xml:space="preserve"> </w:t>
      </w:r>
      <w:r w:rsidRPr="00382917">
        <w:t>that</w:t>
      </w:r>
      <w:r w:rsidR="00EE4FC3">
        <w:t xml:space="preserve"> </w:t>
      </w:r>
      <w:r w:rsidRPr="00382917">
        <w:t>went</w:t>
      </w:r>
      <w:r w:rsidR="00EE4FC3">
        <w:t xml:space="preserve"> </w:t>
      </w:r>
      <w:r w:rsidRPr="00382917">
        <w:t>before</w:t>
      </w:r>
      <w:r w:rsidR="00552489">
        <w:t>.</w:t>
      </w:r>
      <w:r w:rsidR="00EE4FC3">
        <w:t xml:space="preserve">  </w:t>
      </w:r>
      <w:r w:rsidRPr="00382917">
        <w:t>No</w:t>
      </w:r>
      <w:r w:rsidR="00EE4FC3">
        <w:t xml:space="preserve"> </w:t>
      </w:r>
      <w:r w:rsidRPr="00382917">
        <w:t>step</w:t>
      </w:r>
      <w:r w:rsidR="00EE4FC3">
        <w:t xml:space="preserve"> </w:t>
      </w:r>
      <w:r w:rsidRPr="00382917">
        <w:t>is</w:t>
      </w:r>
      <w:r w:rsidR="00EE4FC3">
        <w:t xml:space="preserve"> </w:t>
      </w:r>
      <w:r w:rsidRPr="00382917">
        <w:t>exclusive;</w:t>
      </w:r>
      <w:r w:rsidR="00EE4FC3">
        <w:t xml:space="preserve"> </w:t>
      </w:r>
      <w:r w:rsidRPr="00382917">
        <w:t>no</w:t>
      </w:r>
      <w:r w:rsidR="00EE4FC3">
        <w:t xml:space="preserve"> </w:t>
      </w:r>
      <w:r w:rsidRPr="00382917">
        <w:t>stage</w:t>
      </w:r>
      <w:r w:rsidR="00EE4FC3">
        <w:t xml:space="preserve"> </w:t>
      </w:r>
      <w:r w:rsidRPr="00382917">
        <w:t>is</w:t>
      </w:r>
      <w:r w:rsidR="00EE4FC3">
        <w:t xml:space="preserve"> </w:t>
      </w:r>
      <w:r w:rsidRPr="00382917">
        <w:t>final,</w:t>
      </w:r>
      <w:r w:rsidR="00EE4FC3">
        <w:t xml:space="preserve"> </w:t>
      </w:r>
      <w:r w:rsidRPr="00382917">
        <w:t>not</w:t>
      </w:r>
      <w:r w:rsidR="00EE4FC3">
        <w:t xml:space="preserve"> </w:t>
      </w:r>
      <w:r w:rsidRPr="00382917">
        <w:t>even</w:t>
      </w:r>
      <w:r w:rsidR="00EE4FC3">
        <w:t xml:space="preserve"> </w:t>
      </w:r>
      <w:r w:rsidRPr="00382917">
        <w:t>the</w:t>
      </w:r>
      <w:r w:rsidR="00EE4FC3">
        <w:t xml:space="preserve"> </w:t>
      </w:r>
      <w:r w:rsidRPr="00382917">
        <w:t>stage</w:t>
      </w:r>
      <w:r w:rsidR="00EE4FC3">
        <w:t xml:space="preserve"> </w:t>
      </w:r>
      <w:r w:rsidRPr="00382917">
        <w:t>of</w:t>
      </w:r>
      <w:r w:rsidR="00EE4FC3">
        <w:t xml:space="preserve"> </w:t>
      </w:r>
      <w:r w:rsidRPr="00382917">
        <w:t>the</w:t>
      </w:r>
      <w:r w:rsidR="00EE4FC3">
        <w:t xml:space="preserve"> </w:t>
      </w:r>
      <w:r w:rsidR="009C713D" w:rsidRPr="00382917">
        <w:t>“</w:t>
      </w:r>
      <w:r w:rsidRPr="00382917">
        <w:t>fruit</w:t>
      </w:r>
      <w:r w:rsidR="009C713D" w:rsidRPr="00382917">
        <w:t>”</w:t>
      </w:r>
      <w:r w:rsidR="00552489">
        <w:t>.</w:t>
      </w:r>
      <w:r w:rsidR="00EE4FC3">
        <w:t xml:space="preserve">  </w:t>
      </w:r>
      <w:r w:rsidRPr="00382917">
        <w:t>The</w:t>
      </w:r>
      <w:r w:rsidR="00EE4FC3">
        <w:t xml:space="preserve"> </w:t>
      </w:r>
      <w:r w:rsidR="009C713D" w:rsidRPr="00382917">
        <w:t>“</w:t>
      </w:r>
      <w:r w:rsidRPr="00382917">
        <w:t>fruit</w:t>
      </w:r>
      <w:r w:rsidR="009C713D" w:rsidRPr="00382917">
        <w:t>”</w:t>
      </w:r>
      <w:r w:rsidR="00EE4FC3">
        <w:t xml:space="preserve"> </w:t>
      </w:r>
      <w:r w:rsidRPr="00382917">
        <w:t>is</w:t>
      </w:r>
      <w:r w:rsidR="00EE4FC3">
        <w:t xml:space="preserve"> </w:t>
      </w:r>
      <w:r w:rsidRPr="00382917">
        <w:t>the</w:t>
      </w:r>
      <w:r w:rsidR="00EE4FC3">
        <w:t xml:space="preserve"> </w:t>
      </w:r>
      <w:proofErr w:type="spellStart"/>
      <w:r w:rsidRPr="00382917">
        <w:t>fulfillment</w:t>
      </w:r>
      <w:proofErr w:type="spellEnd"/>
      <w:r w:rsidR="00EE4FC3">
        <w:t xml:space="preserve"> </w:t>
      </w:r>
      <w:r w:rsidRPr="00382917">
        <w:t>of</w:t>
      </w:r>
      <w:r w:rsidR="00EE4FC3">
        <w:t xml:space="preserve"> </w:t>
      </w:r>
      <w:r w:rsidRPr="00382917">
        <w:t>the</w:t>
      </w:r>
      <w:r w:rsidR="00EE4FC3">
        <w:t xml:space="preserve"> </w:t>
      </w:r>
      <w:r w:rsidR="009C713D" w:rsidRPr="00382917">
        <w:t>“</w:t>
      </w:r>
      <w:r w:rsidRPr="00382917">
        <w:t>seed</w:t>
      </w:r>
      <w:r w:rsidR="009C713D" w:rsidRPr="00382917">
        <w:t>”</w:t>
      </w:r>
      <w:r w:rsidRPr="00382917">
        <w:t>;</w:t>
      </w:r>
      <w:r w:rsidR="00EE4FC3">
        <w:t xml:space="preserve"> </w:t>
      </w:r>
      <w:r w:rsidRPr="00382917">
        <w:t>it</w:t>
      </w:r>
      <w:r w:rsidR="00EE4FC3">
        <w:t xml:space="preserve"> </w:t>
      </w:r>
      <w:r w:rsidRPr="00382917">
        <w:t>is</w:t>
      </w:r>
      <w:r w:rsidR="00EE4FC3">
        <w:t xml:space="preserve"> </w:t>
      </w:r>
      <w:r w:rsidRPr="00382917">
        <w:t>the</w:t>
      </w:r>
      <w:r w:rsidR="00EE4FC3">
        <w:t xml:space="preserve"> </w:t>
      </w:r>
      <w:r w:rsidRPr="00382917">
        <w:t>end</w:t>
      </w:r>
      <w:r w:rsidR="00EE4FC3">
        <w:t xml:space="preserve"> </w:t>
      </w:r>
      <w:r w:rsidRPr="00382917">
        <w:t>of</w:t>
      </w:r>
      <w:r w:rsidR="00EE4FC3">
        <w:t xml:space="preserve"> </w:t>
      </w:r>
      <w:r w:rsidRPr="00382917">
        <w:t>a</w:t>
      </w:r>
      <w:r w:rsidR="00EE4FC3">
        <w:t xml:space="preserve"> </w:t>
      </w:r>
      <w:r w:rsidRPr="00382917">
        <w:t>cycle;</w:t>
      </w:r>
      <w:r w:rsidR="00EE4FC3">
        <w:t xml:space="preserve"> </w:t>
      </w:r>
      <w:r w:rsidRPr="00382917">
        <w:t>but</w:t>
      </w:r>
      <w:r w:rsidR="00EE4FC3">
        <w:t xml:space="preserve"> </w:t>
      </w:r>
      <w:r w:rsidRPr="00382917">
        <w:t>from</w:t>
      </w:r>
      <w:r w:rsidR="00EE4FC3">
        <w:t xml:space="preserve"> </w:t>
      </w:r>
      <w:r w:rsidRPr="00382917">
        <w:t>that</w:t>
      </w:r>
      <w:r w:rsidR="00EE4FC3">
        <w:t xml:space="preserve"> </w:t>
      </w:r>
      <w:r w:rsidR="009C713D" w:rsidRPr="00382917">
        <w:t>“</w:t>
      </w:r>
      <w:r w:rsidRPr="00382917">
        <w:t>fruit</w:t>
      </w:r>
      <w:r w:rsidR="009C713D" w:rsidRPr="00382917">
        <w:t>”</w:t>
      </w:r>
      <w:r w:rsidR="00EE4FC3">
        <w:t xml:space="preserve"> </w:t>
      </w:r>
      <w:r w:rsidRPr="00382917">
        <w:t>will</w:t>
      </w:r>
      <w:r w:rsidR="00EE4FC3">
        <w:t xml:space="preserve"> </w:t>
      </w:r>
      <w:proofErr w:type="gramStart"/>
      <w:r w:rsidRPr="00382917">
        <w:t>come</w:t>
      </w:r>
      <w:proofErr w:type="gramEnd"/>
      <w:r w:rsidR="00EE4FC3">
        <w:t xml:space="preserve"> </w:t>
      </w:r>
      <w:r w:rsidRPr="00382917">
        <w:t>the</w:t>
      </w:r>
      <w:r w:rsidR="00EE4FC3">
        <w:t xml:space="preserve"> </w:t>
      </w:r>
      <w:r w:rsidRPr="00382917">
        <w:t>seed</w:t>
      </w:r>
      <w:r w:rsidR="00EE4FC3">
        <w:t xml:space="preserve"> </w:t>
      </w:r>
      <w:r w:rsidRPr="00382917">
        <w:t>of</w:t>
      </w:r>
      <w:r w:rsidR="00EE4FC3">
        <w:t xml:space="preserve"> </w:t>
      </w:r>
      <w:r w:rsidRPr="00382917">
        <w:t>another</w:t>
      </w:r>
      <w:r w:rsidR="00EE4FC3">
        <w:t xml:space="preserve"> </w:t>
      </w:r>
      <w:r w:rsidRPr="00382917">
        <w:t>great</w:t>
      </w:r>
      <w:r w:rsidR="00EE4FC3">
        <w:t xml:space="preserve"> </w:t>
      </w:r>
      <w:r w:rsidRPr="00382917">
        <w:t>cycle.</w:t>
      </w:r>
    </w:p>
    <w:p w:rsidR="00300E83" w:rsidRPr="00382917" w:rsidRDefault="003B55DD" w:rsidP="003B55DD">
      <w:pPr>
        <w:pStyle w:val="Text"/>
      </w:pPr>
      <w:r>
        <w:t>“The religion of God</w:t>
      </w:r>
      <w:r w:rsidRPr="00382917">
        <w:t>,”</w:t>
      </w:r>
      <w:r>
        <w:t xml:space="preserve"> </w:t>
      </w:r>
      <w:r w:rsidRPr="00382917">
        <w:t>Bahá’u’lláh</w:t>
      </w:r>
      <w:r>
        <w:t xml:space="preserve"> </w:t>
      </w:r>
      <w:r w:rsidRPr="00382917">
        <w:t>declares,</w:t>
      </w:r>
      <w:r>
        <w:t xml:space="preserve"> </w:t>
      </w:r>
      <w:r w:rsidRPr="00382917">
        <w:t>“</w:t>
      </w:r>
      <w:r>
        <w:t>is for love and unity; make it not the cause of enmity or dissension.</w:t>
      </w:r>
      <w:r w:rsidR="009C713D" w:rsidRPr="00382917">
        <w:t>”</w:t>
      </w:r>
      <w:r w:rsidR="00956448">
        <w:rPr>
          <w:rStyle w:val="FootnoteReference"/>
        </w:rPr>
        <w:footnoteReference w:id="338"/>
      </w:r>
    </w:p>
    <w:p w:rsidR="00300E83" w:rsidRPr="00382917" w:rsidRDefault="00300E83" w:rsidP="00A55E11">
      <w:pPr>
        <w:pStyle w:val="Text"/>
      </w:pPr>
      <w:r w:rsidRPr="00382917">
        <w:t>Bahá</w:t>
      </w:r>
      <w:r w:rsidR="009C713D" w:rsidRPr="00382917">
        <w:t>’</w:t>
      </w:r>
      <w:r w:rsidRPr="00382917">
        <w:t>u</w:t>
      </w:r>
      <w:r w:rsidR="009C713D" w:rsidRPr="00382917">
        <w:t>’</w:t>
      </w:r>
      <w:r w:rsidRPr="00382917">
        <w:t>lláh</w:t>
      </w:r>
      <w:r w:rsidR="00EE4FC3">
        <w:t xml:space="preserve"> </w:t>
      </w:r>
      <w:r w:rsidRPr="00382917">
        <w:t>was</w:t>
      </w:r>
      <w:r w:rsidR="00EE4FC3">
        <w:t xml:space="preserve"> </w:t>
      </w:r>
      <w:r w:rsidRPr="00382917">
        <w:t>exiled</w:t>
      </w:r>
      <w:r w:rsidR="00EE4FC3">
        <w:t xml:space="preserve"> </w:t>
      </w:r>
      <w:r w:rsidRPr="00382917">
        <w:t>like</w:t>
      </w:r>
      <w:r w:rsidR="00EE4FC3">
        <w:t xml:space="preserve"> </w:t>
      </w:r>
      <w:r w:rsidRPr="00382917">
        <w:t>Abraham,</w:t>
      </w:r>
      <w:r w:rsidR="00EE4FC3">
        <w:t xml:space="preserve"> </w:t>
      </w:r>
      <w:r w:rsidRPr="00382917">
        <w:t>stoned</w:t>
      </w:r>
      <w:r w:rsidR="00EE4FC3">
        <w:t xml:space="preserve"> </w:t>
      </w:r>
      <w:r w:rsidRPr="00382917">
        <w:t>like</w:t>
      </w:r>
      <w:r w:rsidR="00EE4FC3">
        <w:t xml:space="preserve"> </w:t>
      </w:r>
      <w:r w:rsidRPr="00382917">
        <w:t>Moses,</w:t>
      </w:r>
      <w:r w:rsidR="00EE4FC3">
        <w:t xml:space="preserve"> </w:t>
      </w:r>
      <w:r w:rsidRPr="00382917">
        <w:t>and</w:t>
      </w:r>
      <w:r w:rsidR="00EE4FC3">
        <w:t xml:space="preserve"> </w:t>
      </w:r>
      <w:r w:rsidRPr="00382917">
        <w:t>scourged</w:t>
      </w:r>
      <w:r w:rsidR="00EE4FC3">
        <w:t xml:space="preserve"> </w:t>
      </w:r>
      <w:r w:rsidRPr="00382917">
        <w:t>like</w:t>
      </w:r>
      <w:r w:rsidR="00EE4FC3">
        <w:t xml:space="preserve"> </w:t>
      </w:r>
      <w:r w:rsidRPr="00382917">
        <w:t>Jesus</w:t>
      </w:r>
      <w:r w:rsidR="00552489">
        <w:t>.</w:t>
      </w:r>
      <w:r w:rsidR="00EE4FC3">
        <w:t xml:space="preserve">  </w:t>
      </w:r>
      <w:r w:rsidRPr="00382917">
        <w:t>For</w:t>
      </w:r>
      <w:r w:rsidR="00EE4FC3">
        <w:t xml:space="preserve"> </w:t>
      </w:r>
      <w:r w:rsidRPr="00382917">
        <w:t>nearly</w:t>
      </w:r>
      <w:r w:rsidR="00EE4FC3">
        <w:t xml:space="preserve"> </w:t>
      </w:r>
      <w:r w:rsidRPr="00382917">
        <w:t>half</w:t>
      </w:r>
      <w:r w:rsidR="00EE4FC3">
        <w:t xml:space="preserve"> </w:t>
      </w:r>
      <w:r w:rsidRPr="00382917">
        <w:t>a</w:t>
      </w:r>
      <w:r w:rsidR="00EE4FC3">
        <w:t xml:space="preserve"> </w:t>
      </w:r>
      <w:r w:rsidRPr="00382917">
        <w:t>century</w:t>
      </w:r>
      <w:r w:rsidR="00EE4FC3">
        <w:t xml:space="preserve"> </w:t>
      </w:r>
      <w:r w:rsidRPr="00382917">
        <w:t>Bahá</w:t>
      </w:r>
      <w:r w:rsidR="009C713D" w:rsidRPr="00382917">
        <w:t>’</w:t>
      </w:r>
      <w:r w:rsidRPr="00382917">
        <w:t>u</w:t>
      </w:r>
      <w:r w:rsidR="009C713D" w:rsidRPr="00382917">
        <w:t>’</w:t>
      </w:r>
      <w:r w:rsidRPr="00382917">
        <w:t>lláh</w:t>
      </w:r>
      <w:r w:rsidR="00EE4FC3">
        <w:t xml:space="preserve"> </w:t>
      </w:r>
      <w:r w:rsidRPr="00382917">
        <w:t>underwent</w:t>
      </w:r>
      <w:r w:rsidR="00EE4FC3">
        <w:t xml:space="preserve"> </w:t>
      </w:r>
      <w:r w:rsidRPr="00382917">
        <w:t>imprisonment</w:t>
      </w:r>
      <w:r w:rsidR="00EE4FC3">
        <w:t xml:space="preserve"> </w:t>
      </w:r>
      <w:r w:rsidRPr="00382917">
        <w:t>and</w:t>
      </w:r>
      <w:r w:rsidR="00EE4FC3">
        <w:t xml:space="preserve"> </w:t>
      </w:r>
      <w:r w:rsidRPr="00382917">
        <w:t>exile,</w:t>
      </w:r>
      <w:r w:rsidR="00EE4FC3">
        <w:t xml:space="preserve"> </w:t>
      </w:r>
      <w:r w:rsidRPr="00382917">
        <w:t>during</w:t>
      </w:r>
      <w:r w:rsidR="00EE4FC3">
        <w:t xml:space="preserve"> </w:t>
      </w:r>
      <w:r w:rsidRPr="00382917">
        <w:t>which</w:t>
      </w:r>
      <w:r w:rsidR="00EE4FC3">
        <w:t xml:space="preserve"> </w:t>
      </w:r>
      <w:r w:rsidRPr="00382917">
        <w:t>He</w:t>
      </w:r>
      <w:r w:rsidR="00EE4FC3">
        <w:t xml:space="preserve"> </w:t>
      </w:r>
      <w:r w:rsidRPr="00382917">
        <w:t>was</w:t>
      </w:r>
      <w:r w:rsidR="00EE4FC3">
        <w:t xml:space="preserve"> </w:t>
      </w:r>
      <w:r w:rsidRPr="00382917">
        <w:t>poisoned,</w:t>
      </w:r>
      <w:r w:rsidR="00EE4FC3">
        <w:t xml:space="preserve"> </w:t>
      </w:r>
      <w:r w:rsidRPr="00382917">
        <w:t>beaten,</w:t>
      </w:r>
      <w:r w:rsidR="00EE4FC3">
        <w:t xml:space="preserve"> </w:t>
      </w:r>
      <w:r w:rsidRPr="00382917">
        <w:t>chained</w:t>
      </w:r>
      <w:r w:rsidR="00EE4FC3">
        <w:t xml:space="preserve"> </w:t>
      </w:r>
      <w:r w:rsidRPr="00382917">
        <w:t>in</w:t>
      </w:r>
      <w:r w:rsidR="00EE4FC3">
        <w:t xml:space="preserve"> </w:t>
      </w:r>
      <w:r w:rsidRPr="00382917">
        <w:t>a</w:t>
      </w:r>
      <w:r w:rsidR="00EE4FC3">
        <w:t xml:space="preserve"> </w:t>
      </w:r>
      <w:r w:rsidRPr="00382917">
        <w:t>dungeon,</w:t>
      </w:r>
      <w:r w:rsidR="00EE4FC3">
        <w:t xml:space="preserve"> </w:t>
      </w:r>
      <w:r w:rsidRPr="00382917">
        <w:t>and</w:t>
      </w:r>
      <w:r w:rsidR="00EE4FC3">
        <w:t xml:space="preserve"> </w:t>
      </w:r>
      <w:r w:rsidRPr="00382917">
        <w:t>subjected</w:t>
      </w:r>
      <w:r w:rsidR="00EE4FC3">
        <w:t xml:space="preserve"> </w:t>
      </w:r>
      <w:r w:rsidRPr="00382917">
        <w:t>to</w:t>
      </w:r>
      <w:r w:rsidR="00EE4FC3">
        <w:t xml:space="preserve"> </w:t>
      </w:r>
      <w:r w:rsidRPr="00382917">
        <w:t>the</w:t>
      </w:r>
      <w:r w:rsidR="00EE4FC3">
        <w:t xml:space="preserve"> </w:t>
      </w:r>
      <w:r w:rsidRPr="00382917">
        <w:t>most</w:t>
      </w:r>
      <w:r w:rsidR="00EE4FC3">
        <w:t xml:space="preserve"> </w:t>
      </w:r>
      <w:r w:rsidRPr="00382917">
        <w:t>brutal</w:t>
      </w:r>
      <w:r w:rsidR="00EE4FC3">
        <w:t xml:space="preserve"> </w:t>
      </w:r>
      <w:r w:rsidRPr="00382917">
        <w:t>and</w:t>
      </w:r>
      <w:r w:rsidR="00EE4FC3">
        <w:t xml:space="preserve"> </w:t>
      </w:r>
      <w:r w:rsidRPr="00382917">
        <w:t>continuous</w:t>
      </w:r>
      <w:r w:rsidR="00EE4FC3">
        <w:t xml:space="preserve"> </w:t>
      </w:r>
      <w:r w:rsidRPr="00382917">
        <w:t>indignities</w:t>
      </w:r>
      <w:r w:rsidR="00552489">
        <w:t>.</w:t>
      </w:r>
      <w:r w:rsidR="00EE4FC3">
        <w:t xml:space="preserve">  </w:t>
      </w:r>
      <w:r w:rsidRPr="00382917">
        <w:t>In</w:t>
      </w:r>
      <w:r w:rsidR="00EE4FC3">
        <w:t xml:space="preserve"> </w:t>
      </w:r>
      <w:r w:rsidRPr="00382917">
        <w:t>the</w:t>
      </w:r>
      <w:r w:rsidR="00EE4FC3">
        <w:t xml:space="preserve"> </w:t>
      </w:r>
      <w:r w:rsidRPr="00382917">
        <w:t>depths</w:t>
      </w:r>
      <w:r w:rsidR="00EE4FC3">
        <w:t xml:space="preserve"> </w:t>
      </w:r>
      <w:r w:rsidRPr="00382917">
        <w:t>of</w:t>
      </w:r>
      <w:r w:rsidR="00EE4FC3">
        <w:t xml:space="preserve"> </w:t>
      </w:r>
      <w:r w:rsidRPr="00382917">
        <w:t>His</w:t>
      </w:r>
      <w:r w:rsidR="00EE4FC3">
        <w:t xml:space="preserve"> </w:t>
      </w:r>
      <w:r w:rsidRPr="00382917">
        <w:t>suffering,</w:t>
      </w:r>
      <w:r w:rsidR="00EE4FC3">
        <w:t xml:space="preserve"> </w:t>
      </w:r>
      <w:r w:rsidRPr="00382917">
        <w:t>He</w:t>
      </w:r>
      <w:r w:rsidR="00EE4FC3">
        <w:t xml:space="preserve"> </w:t>
      </w:r>
      <w:r w:rsidRPr="00382917">
        <w:t>again</w:t>
      </w:r>
      <w:r w:rsidR="00EE4FC3">
        <w:t xml:space="preserve"> </w:t>
      </w:r>
      <w:r w:rsidRPr="00382917">
        <w:t>pointed</w:t>
      </w:r>
      <w:r w:rsidR="00EE4FC3">
        <w:t xml:space="preserve"> </w:t>
      </w:r>
      <w:r w:rsidRPr="00382917">
        <w:t>out</w:t>
      </w:r>
      <w:r w:rsidR="00EE4FC3">
        <w:t xml:space="preserve"> </w:t>
      </w:r>
      <w:r w:rsidRPr="00382917">
        <w:t>the</w:t>
      </w:r>
      <w:r w:rsidR="00EE4FC3">
        <w:t xml:space="preserve"> </w:t>
      </w:r>
      <w:r w:rsidRPr="00382917">
        <w:t>oneness</w:t>
      </w:r>
      <w:r w:rsidR="00EE4FC3">
        <w:t xml:space="preserve"> </w:t>
      </w:r>
      <w:r w:rsidRPr="00382917">
        <w:t>of</w:t>
      </w:r>
      <w:r w:rsidR="00EE4FC3">
        <w:t xml:space="preserve"> </w:t>
      </w:r>
      <w:r w:rsidRPr="00382917">
        <w:t>His</w:t>
      </w:r>
      <w:r w:rsidR="00EE4FC3">
        <w:t xml:space="preserve"> </w:t>
      </w:r>
      <w:r w:rsidRPr="00382917">
        <w:t>own</w:t>
      </w:r>
      <w:r w:rsidR="00EE4FC3">
        <w:t xml:space="preserve"> </w:t>
      </w:r>
      <w:r w:rsidRPr="00382917">
        <w:t>Mission</w:t>
      </w:r>
      <w:r w:rsidR="00EE4FC3">
        <w:t xml:space="preserve"> </w:t>
      </w:r>
      <w:r w:rsidRPr="00382917">
        <w:t>with</w:t>
      </w:r>
      <w:r w:rsidR="00EE4FC3">
        <w:t xml:space="preserve"> </w:t>
      </w:r>
      <w:r w:rsidRPr="00382917">
        <w:t>that</w:t>
      </w:r>
      <w:r w:rsidR="00EE4FC3">
        <w:t xml:space="preserve"> </w:t>
      </w:r>
      <w:r w:rsidRPr="00382917">
        <w:t>of</w:t>
      </w:r>
      <w:r w:rsidR="00EE4FC3">
        <w:t xml:space="preserve"> </w:t>
      </w:r>
      <w:r w:rsidRPr="00382917">
        <w:t>Christ</w:t>
      </w:r>
      <w:r w:rsidR="00552489">
        <w:t>.</w:t>
      </w:r>
      <w:r w:rsidR="00EE4FC3">
        <w:t xml:space="preserve">  </w:t>
      </w:r>
      <w:r w:rsidRPr="00382917">
        <w:t>Bahá</w:t>
      </w:r>
      <w:r w:rsidR="009C713D" w:rsidRPr="00382917">
        <w:t>’</w:t>
      </w:r>
      <w:r w:rsidRPr="00382917">
        <w:t>u</w:t>
      </w:r>
      <w:r w:rsidR="009C713D" w:rsidRPr="00382917">
        <w:t>’</w:t>
      </w:r>
      <w:r w:rsidRPr="00382917">
        <w:t>lláh</w:t>
      </w:r>
      <w:r w:rsidR="00EE4FC3">
        <w:t xml:space="preserve"> </w:t>
      </w:r>
      <w:r w:rsidRPr="00382917">
        <w:t>called</w:t>
      </w:r>
      <w:r w:rsidR="00EE4FC3">
        <w:t xml:space="preserve"> </w:t>
      </w:r>
      <w:r w:rsidRPr="00382917">
        <w:t>out</w:t>
      </w:r>
      <w:r w:rsidR="00EE4FC3">
        <w:t xml:space="preserve"> </w:t>
      </w:r>
      <w:r w:rsidRPr="00382917">
        <w:t>to</w:t>
      </w:r>
      <w:r w:rsidR="00EE4FC3">
        <w:t xml:space="preserve"> </w:t>
      </w:r>
      <w:r w:rsidRPr="00382917">
        <w:t>mankind</w:t>
      </w:r>
      <w:r w:rsidR="00C03C91">
        <w:t>:</w:t>
      </w:r>
      <w:r w:rsidR="00EE4FC3">
        <w:t xml:space="preserve">  </w:t>
      </w:r>
      <w:r w:rsidR="009C713D" w:rsidRPr="00382917">
        <w:t>“</w:t>
      </w:r>
      <w:r w:rsidRPr="00382917">
        <w:t>If</w:t>
      </w:r>
      <w:r w:rsidR="00EE4FC3">
        <w:t xml:space="preserve"> </w:t>
      </w:r>
      <w:r w:rsidRPr="00382917">
        <w:t>ye</w:t>
      </w:r>
      <w:r w:rsidR="00EE4FC3">
        <w:t xml:space="preserve"> </w:t>
      </w:r>
      <w:r w:rsidRPr="00382917">
        <w:t>be</w:t>
      </w:r>
      <w:r w:rsidR="00EE4FC3">
        <w:t xml:space="preserve"> </w:t>
      </w:r>
      <w:r w:rsidRPr="00382917">
        <w:t>intent</w:t>
      </w:r>
      <w:r w:rsidR="00EE4FC3">
        <w:t xml:space="preserve"> </w:t>
      </w:r>
      <w:r w:rsidRPr="00382917">
        <w:t>on</w:t>
      </w:r>
      <w:r w:rsidR="00EE4FC3">
        <w:t xml:space="preserve"> </w:t>
      </w:r>
      <w:r w:rsidRPr="00382917">
        <w:t>crucifying</w:t>
      </w:r>
      <w:r w:rsidR="00EE4FC3">
        <w:t xml:space="preserve"> </w:t>
      </w:r>
      <w:r w:rsidRPr="00382917">
        <w:t>once</w:t>
      </w:r>
      <w:r w:rsidR="00EE4FC3">
        <w:t xml:space="preserve"> </w:t>
      </w:r>
      <w:r w:rsidRPr="00382917">
        <w:t>again</w:t>
      </w:r>
      <w:r w:rsidR="00EE4FC3">
        <w:t xml:space="preserve"> </w:t>
      </w:r>
      <w:r w:rsidRPr="00382917">
        <w:t>Jesus,</w:t>
      </w:r>
      <w:r w:rsidR="00EE4FC3">
        <w:t xml:space="preserve"> </w:t>
      </w:r>
      <w:r w:rsidRPr="00382917">
        <w:t>the</w:t>
      </w:r>
      <w:r w:rsidR="00EE4FC3">
        <w:t xml:space="preserve"> </w:t>
      </w:r>
      <w:r w:rsidRPr="00382917">
        <w:t>Spirit</w:t>
      </w:r>
      <w:r w:rsidR="00EE4FC3">
        <w:t xml:space="preserve"> </w:t>
      </w:r>
      <w:r w:rsidRPr="00382917">
        <w:t>of</w:t>
      </w:r>
      <w:r w:rsidR="00EE4FC3">
        <w:t xml:space="preserve"> </w:t>
      </w:r>
      <w:r w:rsidRPr="00382917">
        <w:t>God,</w:t>
      </w:r>
      <w:r w:rsidR="00EE4FC3">
        <w:t xml:space="preserve"> </w:t>
      </w:r>
      <w:r w:rsidRPr="00382917">
        <w:t>put</w:t>
      </w:r>
      <w:r w:rsidR="00EE4FC3">
        <w:t xml:space="preserve"> </w:t>
      </w:r>
      <w:r w:rsidRPr="00382917">
        <w:t>Me</w:t>
      </w:r>
      <w:r w:rsidR="00EE4FC3">
        <w:t xml:space="preserve"> </w:t>
      </w:r>
      <w:r w:rsidRPr="00382917">
        <w:t>to</w:t>
      </w:r>
      <w:r w:rsidR="00EE4FC3">
        <w:t xml:space="preserve"> </w:t>
      </w:r>
      <w:r w:rsidRPr="00382917">
        <w:t>death,</w:t>
      </w:r>
      <w:r w:rsidR="00EE4FC3">
        <w:t xml:space="preserve"> </w:t>
      </w:r>
      <w:r w:rsidRPr="00382917">
        <w:t>for</w:t>
      </w:r>
      <w:r w:rsidR="00EE4FC3">
        <w:t xml:space="preserve"> </w:t>
      </w:r>
      <w:r w:rsidRPr="00382917">
        <w:t>He</w:t>
      </w:r>
      <w:r w:rsidR="00EE4FC3">
        <w:t xml:space="preserve"> </w:t>
      </w:r>
      <w:r w:rsidRPr="00382917">
        <w:t>hath</w:t>
      </w:r>
      <w:r w:rsidR="00EE4FC3">
        <w:t xml:space="preserve"> </w:t>
      </w:r>
      <w:r w:rsidRPr="00382917">
        <w:t>once</w:t>
      </w:r>
      <w:r w:rsidR="00EE4FC3">
        <w:t xml:space="preserve"> </w:t>
      </w:r>
      <w:r w:rsidRPr="00382917">
        <w:t>more,</w:t>
      </w:r>
      <w:r w:rsidR="00EE4FC3">
        <w:t xml:space="preserve"> </w:t>
      </w:r>
      <w:r w:rsidRPr="00382917">
        <w:t>in</w:t>
      </w:r>
      <w:r w:rsidR="00EE4FC3">
        <w:t xml:space="preserve"> </w:t>
      </w:r>
      <w:r w:rsidRPr="00382917">
        <w:t>My</w:t>
      </w:r>
      <w:r w:rsidR="00EE4FC3">
        <w:t xml:space="preserve"> </w:t>
      </w:r>
      <w:r w:rsidRPr="00382917">
        <w:t>person,</w:t>
      </w:r>
      <w:r w:rsidR="00EE4FC3">
        <w:t xml:space="preserve"> </w:t>
      </w:r>
      <w:r w:rsidRPr="00382917">
        <w:t>been</w:t>
      </w:r>
      <w:r w:rsidR="00EE4FC3">
        <w:t xml:space="preserve"> </w:t>
      </w:r>
      <w:r w:rsidRPr="00382917">
        <w:t>made</w:t>
      </w:r>
      <w:r w:rsidR="00EE4FC3">
        <w:t xml:space="preserve"> </w:t>
      </w:r>
      <w:r w:rsidRPr="00382917">
        <w:t>manifest</w:t>
      </w:r>
      <w:r w:rsidR="00EE4FC3">
        <w:t xml:space="preserve"> </w:t>
      </w:r>
      <w:r w:rsidRPr="00382917">
        <w:t>unto</w:t>
      </w:r>
      <w:r w:rsidR="00EE4FC3">
        <w:t xml:space="preserve"> </w:t>
      </w:r>
      <w:r w:rsidRPr="00382917">
        <w:t>you.</w:t>
      </w:r>
      <w:r w:rsidR="009C713D" w:rsidRPr="00382917">
        <w:t>”</w:t>
      </w:r>
      <w:r w:rsidR="00A55E11">
        <w:rPr>
          <w:rStyle w:val="FootnoteReference"/>
        </w:rPr>
        <w:footnoteReference w:id="339"/>
      </w:r>
    </w:p>
    <w:p w:rsidR="00300E83" w:rsidRPr="00382917" w:rsidRDefault="00300E83" w:rsidP="00A55E11">
      <w:pPr>
        <w:pStyle w:val="Text"/>
      </w:pPr>
      <w:r w:rsidRPr="00382917">
        <w:t>Bahá</w:t>
      </w:r>
      <w:r w:rsidR="009C713D" w:rsidRPr="00382917">
        <w:t>’</w:t>
      </w:r>
      <w:r w:rsidRPr="00382917">
        <w:t>u</w:t>
      </w:r>
      <w:r w:rsidR="009C713D" w:rsidRPr="00382917">
        <w:t>’</w:t>
      </w:r>
      <w:r w:rsidRPr="00382917">
        <w:t>lláh</w:t>
      </w:r>
      <w:r w:rsidR="00EE4FC3">
        <w:t xml:space="preserve"> </w:t>
      </w:r>
      <w:r w:rsidRPr="00382917">
        <w:t>commands</w:t>
      </w:r>
      <w:r w:rsidR="00EE4FC3">
        <w:t xml:space="preserve"> </w:t>
      </w:r>
      <w:r w:rsidRPr="00382917">
        <w:t>His</w:t>
      </w:r>
      <w:r w:rsidR="00EE4FC3">
        <w:t xml:space="preserve"> </w:t>
      </w:r>
      <w:r w:rsidRPr="00382917">
        <w:t>followers</w:t>
      </w:r>
      <w:r w:rsidR="00EE4FC3">
        <w:t xml:space="preserve"> </w:t>
      </w:r>
      <w:r w:rsidRPr="00382917">
        <w:t>to</w:t>
      </w:r>
      <w:r w:rsidR="00EE4FC3">
        <w:t xml:space="preserve"> </w:t>
      </w:r>
      <w:r w:rsidR="009C713D" w:rsidRPr="00382917">
        <w:t>“</w:t>
      </w:r>
      <w:r w:rsidRPr="00382917">
        <w:t>consort</w:t>
      </w:r>
      <w:r w:rsidR="00EE4FC3">
        <w:t xml:space="preserve"> </w:t>
      </w:r>
      <w:r w:rsidRPr="00382917">
        <w:t>with</w:t>
      </w:r>
      <w:r w:rsidR="00EE4FC3">
        <w:t xml:space="preserve"> </w:t>
      </w:r>
      <w:r w:rsidRPr="00382917">
        <w:t>the</w:t>
      </w:r>
      <w:r w:rsidR="00EE4FC3">
        <w:t xml:space="preserve"> </w:t>
      </w:r>
      <w:r w:rsidRPr="00382917">
        <w:t>followers</w:t>
      </w:r>
      <w:r w:rsidR="00EE4FC3">
        <w:t xml:space="preserve"> </w:t>
      </w:r>
      <w:r w:rsidRPr="00382917">
        <w:t>of</w:t>
      </w:r>
      <w:r w:rsidR="00EE4FC3">
        <w:t xml:space="preserve"> </w:t>
      </w:r>
      <w:r w:rsidRPr="00382917">
        <w:t>all</w:t>
      </w:r>
      <w:r w:rsidR="00EE4FC3">
        <w:t xml:space="preserve"> </w:t>
      </w:r>
      <w:r w:rsidRPr="00382917">
        <w:t>religions</w:t>
      </w:r>
      <w:r w:rsidR="00EE4FC3">
        <w:t xml:space="preserve"> </w:t>
      </w:r>
      <w:r w:rsidRPr="00382917">
        <w:t>in</w:t>
      </w:r>
      <w:r w:rsidR="00EE4FC3">
        <w:t xml:space="preserve"> </w:t>
      </w:r>
      <w:r w:rsidRPr="00382917">
        <w:t>a</w:t>
      </w:r>
      <w:r w:rsidR="00EE4FC3">
        <w:t xml:space="preserve"> </w:t>
      </w:r>
      <w:r w:rsidRPr="00382917">
        <w:t>spirit</w:t>
      </w:r>
      <w:r w:rsidR="00EE4FC3">
        <w:t xml:space="preserve"> </w:t>
      </w:r>
      <w:r w:rsidRPr="00382917">
        <w:t>of</w:t>
      </w:r>
      <w:r w:rsidR="00EE4FC3">
        <w:t xml:space="preserve"> </w:t>
      </w:r>
      <w:r w:rsidRPr="00382917">
        <w:t>friendliness</w:t>
      </w:r>
      <w:r w:rsidR="00EE4FC3">
        <w:t xml:space="preserve"> </w:t>
      </w:r>
      <w:r w:rsidRPr="00382917">
        <w:t>and</w:t>
      </w:r>
      <w:r w:rsidR="00EE4FC3">
        <w:t xml:space="preserve"> </w:t>
      </w:r>
      <w:r w:rsidRPr="00382917">
        <w:t>fellowship.</w:t>
      </w:r>
      <w:r w:rsidR="009C713D" w:rsidRPr="00382917">
        <w:t>”</w:t>
      </w:r>
      <w:r w:rsidR="00A55E11">
        <w:rPr>
          <w:rStyle w:val="FootnoteReference"/>
        </w:rPr>
        <w:footnoteReference w:id="340"/>
      </w:r>
    </w:p>
    <w:p w:rsidR="00300E83" w:rsidRPr="00382917" w:rsidRDefault="00300E83" w:rsidP="00650F8F">
      <w:pPr>
        <w:pStyle w:val="Text"/>
      </w:pPr>
      <w:r w:rsidRPr="00382917">
        <w:t>Bahá</w:t>
      </w:r>
      <w:r w:rsidR="009C713D" w:rsidRPr="00382917">
        <w:t>’</w:t>
      </w:r>
      <w:r w:rsidRPr="00382917">
        <w:t>u</w:t>
      </w:r>
      <w:r w:rsidR="009C713D" w:rsidRPr="00382917">
        <w:t>’</w:t>
      </w:r>
      <w:r w:rsidRPr="00382917">
        <w:t>lláh</w:t>
      </w:r>
      <w:r w:rsidR="00EE4FC3">
        <w:t xml:space="preserve"> </w:t>
      </w:r>
      <w:r w:rsidRPr="00382917">
        <w:t>upholds</w:t>
      </w:r>
      <w:r w:rsidR="00EE4FC3">
        <w:t xml:space="preserve"> </w:t>
      </w:r>
      <w:r w:rsidRPr="00382917">
        <w:t>the</w:t>
      </w:r>
      <w:r w:rsidR="00EE4FC3">
        <w:t xml:space="preserve"> </w:t>
      </w:r>
      <w:r w:rsidRPr="00382917">
        <w:t>basic</w:t>
      </w:r>
      <w:r w:rsidR="00EE4FC3">
        <w:t xml:space="preserve"> </w:t>
      </w:r>
      <w:r w:rsidRPr="00382917">
        <w:t>teachings</w:t>
      </w:r>
      <w:r w:rsidR="00EE4FC3">
        <w:t xml:space="preserve"> </w:t>
      </w:r>
      <w:r w:rsidRPr="00382917">
        <w:t>of</w:t>
      </w:r>
      <w:r w:rsidR="00EE4FC3">
        <w:t xml:space="preserve"> </w:t>
      </w:r>
      <w:r w:rsidRPr="00382917">
        <w:t>Christ,</w:t>
      </w:r>
      <w:r w:rsidR="00EE4FC3">
        <w:t xml:space="preserve"> </w:t>
      </w:r>
      <w:r w:rsidRPr="00382917">
        <w:t>Moses,</w:t>
      </w:r>
      <w:r w:rsidR="00EE4FC3">
        <w:t xml:space="preserve"> </w:t>
      </w:r>
      <w:r w:rsidRPr="00382917">
        <w:t>Muḥammad,</w:t>
      </w:r>
      <w:r w:rsidR="00EE4FC3">
        <w:t xml:space="preserve"> </w:t>
      </w:r>
      <w:r w:rsidRPr="00382917">
        <w:t>Krishna</w:t>
      </w:r>
      <w:r w:rsidR="00EE4FC3">
        <w:t xml:space="preserve"> </w:t>
      </w:r>
      <w:r w:rsidRPr="00382917">
        <w:t>and</w:t>
      </w:r>
      <w:r w:rsidR="00EE4FC3">
        <w:t xml:space="preserve"> </w:t>
      </w:r>
      <w:r w:rsidRPr="00382917">
        <w:t>all</w:t>
      </w:r>
      <w:r w:rsidR="00EE4FC3">
        <w:t xml:space="preserve"> </w:t>
      </w:r>
      <w:r w:rsidRPr="00382917">
        <w:t>the</w:t>
      </w:r>
      <w:r w:rsidR="00EE4FC3">
        <w:t xml:space="preserve"> </w:t>
      </w:r>
      <w:r w:rsidRPr="00382917">
        <w:t>prophets</w:t>
      </w:r>
      <w:r w:rsidR="00EE4FC3">
        <w:t xml:space="preserve"> </w:t>
      </w:r>
      <w:r w:rsidRPr="00382917">
        <w:t>of</w:t>
      </w:r>
      <w:r w:rsidR="00EE4FC3">
        <w:t xml:space="preserve"> </w:t>
      </w:r>
      <w:r w:rsidRPr="00382917">
        <w:t>the</w:t>
      </w:r>
      <w:r w:rsidR="00EE4FC3">
        <w:t xml:space="preserve"> </w:t>
      </w:r>
      <w:r w:rsidRPr="00382917">
        <w:t>past</w:t>
      </w:r>
      <w:r w:rsidR="00552489">
        <w:t>.</w:t>
      </w:r>
      <w:r w:rsidR="00EE4FC3">
        <w:t xml:space="preserve">  </w:t>
      </w:r>
      <w:r w:rsidRPr="00382917">
        <w:t>He</w:t>
      </w:r>
      <w:r w:rsidR="00EE4FC3">
        <w:t xml:space="preserve"> </w:t>
      </w:r>
      <w:r w:rsidRPr="00382917">
        <w:t>speaks</w:t>
      </w:r>
      <w:r w:rsidR="00EE4FC3">
        <w:t xml:space="preserve"> </w:t>
      </w:r>
      <w:r w:rsidRPr="00382917">
        <w:t>of</w:t>
      </w:r>
      <w:r w:rsidR="00EE4FC3">
        <w:t xml:space="preserve"> </w:t>
      </w:r>
      <w:r w:rsidRPr="00382917">
        <w:t>them</w:t>
      </w:r>
      <w:r w:rsidR="00EE4FC3">
        <w:t xml:space="preserve"> </w:t>
      </w:r>
      <w:r w:rsidRPr="00382917">
        <w:t>all</w:t>
      </w:r>
      <w:r w:rsidR="00EE4FC3">
        <w:t xml:space="preserve"> </w:t>
      </w:r>
      <w:r w:rsidRPr="00382917">
        <w:t>with</w:t>
      </w:r>
      <w:r w:rsidR="00EE4FC3">
        <w:t xml:space="preserve"> </w:t>
      </w:r>
      <w:r w:rsidRPr="00382917">
        <w:t>great</w:t>
      </w:r>
      <w:r w:rsidR="00EE4FC3">
        <w:t xml:space="preserve"> </w:t>
      </w:r>
      <w:r w:rsidRPr="00382917">
        <w:t>love</w:t>
      </w:r>
      <w:r w:rsidR="00EE4FC3">
        <w:t xml:space="preserve"> </w:t>
      </w:r>
      <w:r w:rsidRPr="00382917">
        <w:t>and</w:t>
      </w:r>
      <w:r w:rsidR="00EE4FC3">
        <w:t xml:space="preserve"> </w:t>
      </w:r>
      <w:r w:rsidRPr="00382917">
        <w:t>beauty</w:t>
      </w:r>
      <w:r w:rsidR="00552489">
        <w:t>.</w:t>
      </w:r>
      <w:r w:rsidR="00EE4FC3">
        <w:t xml:space="preserve">  </w:t>
      </w:r>
      <w:r w:rsidRPr="00382917">
        <w:t>In</w:t>
      </w:r>
      <w:r w:rsidR="00EE4FC3">
        <w:t xml:space="preserve"> </w:t>
      </w:r>
      <w:r w:rsidRPr="00382917">
        <w:t>counselling</w:t>
      </w:r>
      <w:r w:rsidR="00EE4FC3">
        <w:t xml:space="preserve"> </w:t>
      </w:r>
      <w:r w:rsidRPr="00382917">
        <w:t>His</w:t>
      </w:r>
      <w:r w:rsidR="00EE4FC3">
        <w:t xml:space="preserve"> </w:t>
      </w:r>
      <w:r w:rsidRPr="00382917">
        <w:t>followers</w:t>
      </w:r>
      <w:r w:rsidR="00EE4FC3">
        <w:t xml:space="preserve"> </w:t>
      </w:r>
      <w:r w:rsidRPr="00382917">
        <w:t>to</w:t>
      </w:r>
      <w:r w:rsidR="00EE4FC3">
        <w:t xml:space="preserve"> </w:t>
      </w:r>
      <w:r w:rsidRPr="00382917">
        <w:t>mingle</w:t>
      </w:r>
      <w:r w:rsidR="00EE4FC3">
        <w:t xml:space="preserve"> </w:t>
      </w:r>
      <w:r w:rsidRPr="00382917">
        <w:t>with</w:t>
      </w:r>
      <w:r w:rsidR="00EE4FC3">
        <w:t xml:space="preserve"> </w:t>
      </w:r>
      <w:r w:rsidRPr="00382917">
        <w:t>the</w:t>
      </w:r>
      <w:r w:rsidR="00EE4FC3">
        <w:t xml:space="preserve"> </w:t>
      </w:r>
      <w:r w:rsidRPr="00382917">
        <w:t>people</w:t>
      </w:r>
      <w:r w:rsidR="00EE4FC3">
        <w:t xml:space="preserve"> </w:t>
      </w:r>
      <w:r w:rsidRPr="00382917">
        <w:t>of</w:t>
      </w:r>
      <w:r w:rsidR="00EE4FC3">
        <w:t xml:space="preserve"> </w:t>
      </w:r>
      <w:r w:rsidRPr="00382917">
        <w:t>all</w:t>
      </w:r>
      <w:r w:rsidR="00EE4FC3">
        <w:t xml:space="preserve"> </w:t>
      </w:r>
      <w:r w:rsidRPr="00382917">
        <w:t>Faiths</w:t>
      </w:r>
      <w:r w:rsidR="00EE4FC3">
        <w:t xml:space="preserve"> </w:t>
      </w:r>
      <w:r w:rsidRPr="00382917">
        <w:t>with</w:t>
      </w:r>
      <w:r w:rsidR="00EE4FC3">
        <w:t xml:space="preserve"> </w:t>
      </w:r>
      <w:r w:rsidRPr="00382917">
        <w:t>radiance</w:t>
      </w:r>
      <w:r w:rsidR="00EE4FC3">
        <w:t xml:space="preserve"> </w:t>
      </w:r>
      <w:r w:rsidRPr="00382917">
        <w:t>and</w:t>
      </w:r>
      <w:r w:rsidR="00EE4FC3">
        <w:t xml:space="preserve"> </w:t>
      </w:r>
      <w:r w:rsidRPr="00382917">
        <w:t>gladness,</w:t>
      </w:r>
      <w:r w:rsidR="00EE4FC3">
        <w:t xml:space="preserve"> </w:t>
      </w:r>
      <w:r w:rsidRPr="00382917">
        <w:t>He</w:t>
      </w:r>
      <w:r w:rsidR="00EE4FC3">
        <w:t xml:space="preserve"> </w:t>
      </w:r>
      <w:r w:rsidRPr="00382917">
        <w:t>says</w:t>
      </w:r>
      <w:r w:rsidR="00C03C91">
        <w:t>:</w:t>
      </w:r>
      <w:r w:rsidR="00EE4FC3">
        <w:t xml:space="preserve">  </w:t>
      </w:r>
      <w:r w:rsidR="009C713D" w:rsidRPr="00382917">
        <w:t>“</w:t>
      </w:r>
      <w:r w:rsidRPr="00382917">
        <w:t>Ye</w:t>
      </w:r>
      <w:r w:rsidR="00EE4FC3">
        <w:t xml:space="preserve"> </w:t>
      </w:r>
      <w:r w:rsidRPr="00382917">
        <w:t>are</w:t>
      </w:r>
      <w:r w:rsidR="00EE4FC3">
        <w:t xml:space="preserve"> </w:t>
      </w:r>
      <w:r w:rsidRPr="00382917">
        <w:t>all</w:t>
      </w:r>
      <w:r w:rsidR="00EE4FC3">
        <w:t xml:space="preserve"> </w:t>
      </w:r>
      <w:r w:rsidRPr="00382917">
        <w:t>the</w:t>
      </w:r>
      <w:r w:rsidR="00EE4FC3">
        <w:t xml:space="preserve"> </w:t>
      </w:r>
      <w:r w:rsidRPr="00382917">
        <w:t>leaves</w:t>
      </w:r>
      <w:r w:rsidR="00EE4FC3">
        <w:t xml:space="preserve"> </w:t>
      </w:r>
      <w:r w:rsidRPr="00382917">
        <w:t>of</w:t>
      </w:r>
      <w:r w:rsidR="00EE4FC3">
        <w:t xml:space="preserve"> </w:t>
      </w:r>
      <w:r w:rsidRPr="00382917">
        <w:t>one</w:t>
      </w:r>
      <w:r w:rsidR="00EE4FC3">
        <w:t xml:space="preserve"> </w:t>
      </w:r>
      <w:r w:rsidRPr="00382917">
        <w:t>tree</w:t>
      </w:r>
      <w:r w:rsidR="00EE4FC3">
        <w:t xml:space="preserve"> </w:t>
      </w:r>
      <w:r w:rsidRPr="00382917">
        <w:t>and</w:t>
      </w:r>
      <w:r w:rsidR="00EE4FC3">
        <w:t xml:space="preserve"> </w:t>
      </w:r>
      <w:r w:rsidRPr="00382917">
        <w:t>the</w:t>
      </w:r>
      <w:r w:rsidR="00EE4FC3">
        <w:t xml:space="preserve"> </w:t>
      </w:r>
      <w:r w:rsidRPr="00382917">
        <w:t>drops</w:t>
      </w:r>
      <w:r w:rsidR="00EE4FC3">
        <w:t xml:space="preserve"> </w:t>
      </w:r>
      <w:r w:rsidRPr="00382917">
        <w:t>of</w:t>
      </w:r>
      <w:r w:rsidR="00EE4FC3">
        <w:t xml:space="preserve"> </w:t>
      </w:r>
      <w:r w:rsidRPr="00382917">
        <w:t>one</w:t>
      </w:r>
      <w:r w:rsidR="00EE4FC3">
        <w:t xml:space="preserve"> </w:t>
      </w:r>
      <w:r w:rsidRPr="00382917">
        <w:t>ocean.</w:t>
      </w:r>
      <w:r w:rsidR="009C713D" w:rsidRPr="00382917">
        <w:t>”</w:t>
      </w:r>
    </w:p>
    <w:p w:rsidR="00300E83" w:rsidRPr="00382917" w:rsidRDefault="009C713D" w:rsidP="00A55E11">
      <w:pPr>
        <w:pStyle w:val="Text"/>
      </w:pPr>
      <w:r w:rsidRPr="00382917">
        <w:t>“</w:t>
      </w:r>
      <w:r w:rsidR="00300E83" w:rsidRPr="00382917">
        <w:t>Truly</w:t>
      </w:r>
      <w:r w:rsidR="00EE4FC3">
        <w:t xml:space="preserve"> </w:t>
      </w:r>
      <w:r w:rsidR="00300E83" w:rsidRPr="00382917">
        <w:t>I</w:t>
      </w:r>
      <w:r w:rsidR="00EE4FC3">
        <w:t xml:space="preserve"> </w:t>
      </w:r>
      <w:r w:rsidR="00300E83" w:rsidRPr="00382917">
        <w:t>say,</w:t>
      </w:r>
      <w:r w:rsidRPr="00382917">
        <w:t>”</w:t>
      </w:r>
      <w:r w:rsidR="00EE4FC3">
        <w:t xml:space="preserve"> </w:t>
      </w:r>
      <w:r w:rsidR="00300E83" w:rsidRPr="00382917">
        <w:t>Bahá</w:t>
      </w:r>
      <w:r w:rsidRPr="00382917">
        <w:t>’</w:t>
      </w:r>
      <w:r w:rsidR="00300E83" w:rsidRPr="00382917">
        <w:t>u</w:t>
      </w:r>
      <w:r w:rsidRPr="00382917">
        <w:t>’</w:t>
      </w:r>
      <w:r w:rsidR="00300E83" w:rsidRPr="00382917">
        <w:t>lláh</w:t>
      </w:r>
      <w:r w:rsidR="00EE4FC3">
        <w:t xml:space="preserve"> </w:t>
      </w:r>
      <w:r w:rsidR="00300E83" w:rsidRPr="00382917">
        <w:t>tells</w:t>
      </w:r>
      <w:r w:rsidR="00EE4FC3">
        <w:t xml:space="preserve"> </w:t>
      </w:r>
      <w:r w:rsidR="00300E83" w:rsidRPr="00382917">
        <w:t>us,</w:t>
      </w:r>
      <w:r w:rsidR="00EE4FC3">
        <w:t xml:space="preserve"> </w:t>
      </w:r>
      <w:r w:rsidRPr="00382917">
        <w:t>“</w:t>
      </w:r>
      <w:proofErr w:type="gramStart"/>
      <w:r w:rsidR="00300E83" w:rsidRPr="00382917">
        <w:t>whatever</w:t>
      </w:r>
      <w:proofErr w:type="gramEnd"/>
      <w:r w:rsidR="00EE4FC3">
        <w:t xml:space="preserve"> </w:t>
      </w:r>
      <w:r w:rsidR="00300E83" w:rsidRPr="00382917">
        <w:t>lowers</w:t>
      </w:r>
      <w:r w:rsidR="00EE4FC3">
        <w:t xml:space="preserve"> </w:t>
      </w:r>
      <w:r w:rsidR="00300E83" w:rsidRPr="00382917">
        <w:t>the</w:t>
      </w:r>
      <w:r w:rsidR="00EE4FC3">
        <w:t xml:space="preserve"> </w:t>
      </w:r>
      <w:r w:rsidR="00300E83" w:rsidRPr="00382917">
        <w:t>lofty</w:t>
      </w:r>
      <w:r w:rsidR="00EE4FC3">
        <w:t xml:space="preserve"> </w:t>
      </w:r>
      <w:r w:rsidR="00300E83" w:rsidRPr="00382917">
        <w:t>station</w:t>
      </w:r>
      <w:r w:rsidR="00EE4FC3">
        <w:t xml:space="preserve"> </w:t>
      </w:r>
      <w:r w:rsidR="00300E83" w:rsidRPr="00382917">
        <w:t>of</w:t>
      </w:r>
      <w:r w:rsidR="00EE4FC3">
        <w:t xml:space="preserve"> </w:t>
      </w:r>
      <w:r w:rsidR="00300E83" w:rsidRPr="00382917">
        <w:t>religion</w:t>
      </w:r>
      <w:r w:rsidR="00EE4FC3">
        <w:t xml:space="preserve"> </w:t>
      </w:r>
      <w:r w:rsidR="00300E83" w:rsidRPr="00382917">
        <w:t>will</w:t>
      </w:r>
      <w:r w:rsidR="00EE4FC3">
        <w:t xml:space="preserve"> </w:t>
      </w:r>
      <w:r w:rsidR="00300E83" w:rsidRPr="00382917">
        <w:t>increase</w:t>
      </w:r>
      <w:r w:rsidR="00EE4FC3">
        <w:t xml:space="preserve"> </w:t>
      </w:r>
      <w:r w:rsidR="00300E83" w:rsidRPr="00382917">
        <w:t>heedlessness</w:t>
      </w:r>
      <w:r w:rsidR="00EE4FC3">
        <w:t xml:space="preserve"> </w:t>
      </w:r>
      <w:r w:rsidR="00300E83" w:rsidRPr="00382917">
        <w:t>in</w:t>
      </w:r>
      <w:r w:rsidR="00EE4FC3">
        <w:t xml:space="preserve"> </w:t>
      </w:r>
      <w:r w:rsidR="00300E83" w:rsidRPr="00382917">
        <w:t>the</w:t>
      </w:r>
      <w:r w:rsidR="00EE4FC3">
        <w:t xml:space="preserve"> </w:t>
      </w:r>
      <w:r w:rsidR="00300E83" w:rsidRPr="00382917">
        <w:t>wicked</w:t>
      </w:r>
      <w:r w:rsidR="00A55E11">
        <w:t xml:space="preserve"> </w:t>
      </w:r>
      <w:r w:rsidR="00F04416" w:rsidRPr="00382917">
        <w:t>…</w:t>
      </w:r>
      <w:r w:rsidR="00552489">
        <w:t>.</w:t>
      </w:r>
      <w:r w:rsidR="00EE4FC3">
        <w:t xml:space="preserve">  </w:t>
      </w:r>
      <w:r w:rsidR="00300E83" w:rsidRPr="00382917">
        <w:t>O</w:t>
      </w:r>
      <w:r w:rsidR="00EE4FC3">
        <w:t xml:space="preserve"> </w:t>
      </w:r>
      <w:r w:rsidR="00300E83" w:rsidRPr="00382917">
        <w:t>people</w:t>
      </w:r>
      <w:r w:rsidR="00EE4FC3">
        <w:t xml:space="preserve"> </w:t>
      </w:r>
      <w:r w:rsidR="00300E83" w:rsidRPr="00382917">
        <w:t>of</w:t>
      </w:r>
      <w:r w:rsidR="00EE4FC3">
        <w:t xml:space="preserve"> </w:t>
      </w:r>
      <w:r w:rsidR="00300E83" w:rsidRPr="00382917">
        <w:t>God!</w:t>
      </w:r>
      <w:r w:rsidR="00EE4FC3">
        <w:t xml:space="preserve"> </w:t>
      </w:r>
      <w:r w:rsidR="00A55E11">
        <w:t xml:space="preserve"> </w:t>
      </w:r>
      <w:r w:rsidR="00300E83" w:rsidRPr="00382917">
        <w:t>Be</w:t>
      </w:r>
      <w:r w:rsidR="00EE4FC3">
        <w:t xml:space="preserve"> </w:t>
      </w:r>
      <w:r w:rsidR="00300E83" w:rsidRPr="00382917">
        <w:t>not</w:t>
      </w:r>
      <w:r w:rsidR="00EE4FC3">
        <w:t xml:space="preserve"> </w:t>
      </w:r>
      <w:r w:rsidR="00300E83" w:rsidRPr="00382917">
        <w:t>occupied</w:t>
      </w:r>
      <w:r w:rsidR="00EE4FC3">
        <w:t xml:space="preserve"> </w:t>
      </w:r>
      <w:r w:rsidR="00300E83" w:rsidRPr="00382917">
        <w:t>with</w:t>
      </w:r>
      <w:r w:rsidR="00EE4FC3">
        <w:t xml:space="preserve"> </w:t>
      </w:r>
      <w:r w:rsidR="00300E83" w:rsidRPr="00382917">
        <w:t>yourselves</w:t>
      </w:r>
      <w:r w:rsidR="00552489">
        <w:t>.</w:t>
      </w:r>
      <w:r w:rsidR="00EE4FC3">
        <w:t xml:space="preserve">  </w:t>
      </w:r>
      <w:r w:rsidR="00300E83" w:rsidRPr="00382917">
        <w:t>Be</w:t>
      </w:r>
      <w:r w:rsidR="00EE4FC3">
        <w:t xml:space="preserve"> </w:t>
      </w:r>
      <w:r w:rsidR="00300E83" w:rsidRPr="00382917">
        <w:t>intent</w:t>
      </w:r>
      <w:r w:rsidR="00EE4FC3">
        <w:t xml:space="preserve"> </w:t>
      </w:r>
      <w:r w:rsidR="00300E83" w:rsidRPr="00382917">
        <w:t>on</w:t>
      </w:r>
      <w:r w:rsidR="00EE4FC3">
        <w:t xml:space="preserve"> </w:t>
      </w:r>
      <w:r w:rsidR="00300E83" w:rsidRPr="00382917">
        <w:t>the</w:t>
      </w:r>
      <w:r w:rsidR="00EE4FC3">
        <w:t xml:space="preserve"> </w:t>
      </w:r>
      <w:r w:rsidR="00300E83" w:rsidRPr="00382917">
        <w:t>betterment</w:t>
      </w:r>
      <w:r w:rsidR="00EE4FC3">
        <w:t xml:space="preserve"> </w:t>
      </w:r>
      <w:r w:rsidR="00300E83" w:rsidRPr="00382917">
        <w:t>of</w:t>
      </w:r>
      <w:r w:rsidR="00EE4FC3">
        <w:t xml:space="preserve"> </w:t>
      </w:r>
      <w:r w:rsidR="00300E83" w:rsidRPr="00382917">
        <w:t>the</w:t>
      </w:r>
      <w:r w:rsidR="00EE4FC3">
        <w:t xml:space="preserve"> </w:t>
      </w:r>
      <w:r w:rsidR="00300E83" w:rsidRPr="00382917">
        <w:t>world</w:t>
      </w:r>
      <w:r w:rsidR="00EE4FC3">
        <w:t xml:space="preserve"> </w:t>
      </w:r>
      <w:r w:rsidR="00300E83" w:rsidRPr="00382917">
        <w:t>and</w:t>
      </w:r>
      <w:r w:rsidR="00EE4FC3">
        <w:t xml:space="preserve"> </w:t>
      </w:r>
      <w:r w:rsidR="00300E83" w:rsidRPr="00382917">
        <w:t>the</w:t>
      </w:r>
      <w:r w:rsidR="00EE4FC3">
        <w:t xml:space="preserve"> </w:t>
      </w:r>
      <w:r w:rsidR="00300E83" w:rsidRPr="00382917">
        <w:t>training</w:t>
      </w:r>
      <w:r w:rsidR="00EE4FC3">
        <w:t xml:space="preserve"> </w:t>
      </w:r>
      <w:r w:rsidR="00300E83" w:rsidRPr="00382917">
        <w:t>of</w:t>
      </w:r>
      <w:r w:rsidR="00EE4FC3">
        <w:t xml:space="preserve"> </w:t>
      </w:r>
      <w:r w:rsidR="00300E83" w:rsidRPr="00382917">
        <w:t>nations.</w:t>
      </w:r>
      <w:r w:rsidRPr="00382917">
        <w:t>”</w:t>
      </w:r>
      <w:r w:rsidR="00A55E11">
        <w:rPr>
          <w:rStyle w:val="FootnoteReference"/>
        </w:rPr>
        <w:footnoteReference w:id="341"/>
      </w:r>
    </w:p>
    <w:p w:rsidR="00650F8F" w:rsidRPr="00382917" w:rsidRDefault="00650F8F">
      <w:pPr>
        <w:widowControl/>
        <w:kinsoku/>
        <w:overflowPunct/>
        <w:textAlignment w:val="auto"/>
      </w:pPr>
      <w:r w:rsidRPr="00382917">
        <w:br w:type="page"/>
      </w:r>
    </w:p>
    <w:p w:rsidR="00300E83" w:rsidRPr="00382917" w:rsidRDefault="00300E83" w:rsidP="00650F8F">
      <w:pPr>
        <w:pStyle w:val="Text"/>
      </w:pPr>
      <w:r w:rsidRPr="00382917">
        <w:t>This</w:t>
      </w:r>
      <w:r w:rsidR="00EE4FC3">
        <w:t xml:space="preserve"> </w:t>
      </w:r>
      <w:r w:rsidRPr="00382917">
        <w:t>is</w:t>
      </w:r>
      <w:r w:rsidR="00EE4FC3">
        <w:t xml:space="preserve"> </w:t>
      </w:r>
      <w:r w:rsidRPr="00382917">
        <w:t>yet</w:t>
      </w:r>
      <w:r w:rsidR="00EE4FC3">
        <w:t xml:space="preserve"> </w:t>
      </w:r>
      <w:r w:rsidRPr="00382917">
        <w:t>another</w:t>
      </w:r>
      <w:r w:rsidR="00EE4FC3">
        <w:t xml:space="preserve"> </w:t>
      </w:r>
      <w:r w:rsidR="009C713D" w:rsidRPr="00382917">
        <w:t>“</w:t>
      </w:r>
      <w:r w:rsidRPr="00382917">
        <w:t>fruit</w:t>
      </w:r>
      <w:r w:rsidR="009C713D" w:rsidRPr="00382917">
        <w:t>”</w:t>
      </w:r>
      <w:r w:rsidR="00EE4FC3">
        <w:t xml:space="preserve"> </w:t>
      </w:r>
      <w:r w:rsidRPr="00382917">
        <w:t>taken</w:t>
      </w:r>
      <w:r w:rsidR="00EE4FC3">
        <w:t xml:space="preserve"> </w:t>
      </w:r>
      <w:r w:rsidRPr="00382917">
        <w:t>from</w:t>
      </w:r>
      <w:r w:rsidR="00EE4FC3">
        <w:t xml:space="preserve"> </w:t>
      </w:r>
      <w:r w:rsidRPr="00382917">
        <w:t>the</w:t>
      </w:r>
      <w:r w:rsidR="00EE4FC3">
        <w:t xml:space="preserve"> </w:t>
      </w:r>
      <w:r w:rsidRPr="00382917">
        <w:t>tree</w:t>
      </w:r>
      <w:r w:rsidR="00EE4FC3">
        <w:t xml:space="preserve"> </w:t>
      </w:r>
      <w:r w:rsidRPr="00382917">
        <w:t>of</w:t>
      </w:r>
      <w:r w:rsidR="00EE4FC3">
        <w:t xml:space="preserve"> </w:t>
      </w:r>
      <w:r w:rsidRPr="00382917">
        <w:t>Bahá</w:t>
      </w:r>
      <w:r w:rsidR="009C713D" w:rsidRPr="00382917">
        <w:t>’</w:t>
      </w:r>
      <w:r w:rsidRPr="00382917">
        <w:t>u</w:t>
      </w:r>
      <w:r w:rsidR="009C713D" w:rsidRPr="00382917">
        <w:t>’</w:t>
      </w:r>
      <w:r w:rsidRPr="00382917">
        <w:t>lláh</w:t>
      </w:r>
      <w:r w:rsidR="009C713D" w:rsidRPr="00382917">
        <w:t>’</w:t>
      </w:r>
      <w:r w:rsidRPr="00382917">
        <w:t>s</w:t>
      </w:r>
      <w:r w:rsidR="00EE4FC3">
        <w:t xml:space="preserve"> </w:t>
      </w:r>
      <w:r w:rsidRPr="00382917">
        <w:t>teachings</w:t>
      </w:r>
      <w:r w:rsidR="00EE4FC3">
        <w:t xml:space="preserve"> </w:t>
      </w:r>
      <w:r w:rsidRPr="00382917">
        <w:t>by</w:t>
      </w:r>
      <w:r w:rsidR="00EE4FC3">
        <w:t xml:space="preserve"> </w:t>
      </w:r>
      <w:r w:rsidRPr="00382917">
        <w:t>which</w:t>
      </w:r>
      <w:r w:rsidR="00EE4FC3">
        <w:t xml:space="preserve"> </w:t>
      </w:r>
      <w:r w:rsidRPr="00382917">
        <w:t>you</w:t>
      </w:r>
      <w:r w:rsidR="00EE4FC3">
        <w:t xml:space="preserve"> </w:t>
      </w:r>
      <w:r w:rsidRPr="00382917">
        <w:t>may</w:t>
      </w:r>
      <w:r w:rsidR="00EE4FC3">
        <w:t xml:space="preserve"> </w:t>
      </w:r>
      <w:r w:rsidRPr="00382917">
        <w:t>judge</w:t>
      </w:r>
      <w:r w:rsidR="00EE4FC3">
        <w:t xml:space="preserve"> </w:t>
      </w:r>
      <w:r w:rsidRPr="00382917">
        <w:t>whether</w:t>
      </w:r>
      <w:r w:rsidR="00EE4FC3">
        <w:t xml:space="preserve"> </w:t>
      </w:r>
      <w:r w:rsidRPr="00382917">
        <w:t>He</w:t>
      </w:r>
      <w:r w:rsidR="00EE4FC3">
        <w:t xml:space="preserve"> </w:t>
      </w:r>
      <w:r w:rsidRPr="00382917">
        <w:t>is</w:t>
      </w:r>
      <w:r w:rsidR="00EE4FC3">
        <w:t xml:space="preserve"> </w:t>
      </w:r>
      <w:r w:rsidRPr="00382917">
        <w:t>a</w:t>
      </w:r>
      <w:r w:rsidR="00EE4FC3">
        <w:t xml:space="preserve"> </w:t>
      </w:r>
      <w:r w:rsidRPr="00382917">
        <w:t>true</w:t>
      </w:r>
      <w:r w:rsidR="00EE4FC3">
        <w:t xml:space="preserve"> </w:t>
      </w:r>
      <w:r w:rsidRPr="00382917">
        <w:t>or</w:t>
      </w:r>
      <w:r w:rsidR="00EE4FC3">
        <w:t xml:space="preserve"> </w:t>
      </w:r>
      <w:r w:rsidRPr="00382917">
        <w:t>a</w:t>
      </w:r>
      <w:r w:rsidR="00EE4FC3">
        <w:t xml:space="preserve"> </w:t>
      </w:r>
      <w:r w:rsidRPr="00382917">
        <w:t>false</w:t>
      </w:r>
      <w:r w:rsidR="00EE4FC3">
        <w:t xml:space="preserve"> </w:t>
      </w:r>
      <w:r w:rsidRPr="00382917">
        <w:t>prophet.</w:t>
      </w:r>
    </w:p>
    <w:p w:rsidR="00300E83" w:rsidRPr="00382917" w:rsidRDefault="00300E83" w:rsidP="00650F8F">
      <w:pPr>
        <w:pStyle w:val="Myhead3"/>
      </w:pPr>
      <w:r w:rsidRPr="00382917">
        <w:t>4.</w:t>
      </w:r>
      <w:r w:rsidR="00EE4FC3">
        <w:t xml:space="preserve">  </w:t>
      </w:r>
      <w:r w:rsidRPr="00382917">
        <w:t>M</w:t>
      </w:r>
      <w:r w:rsidR="00650F8F" w:rsidRPr="00382917">
        <w:t>an</w:t>
      </w:r>
      <w:r w:rsidR="009C713D" w:rsidRPr="00382917">
        <w:t>’</w:t>
      </w:r>
      <w:r w:rsidR="00650F8F" w:rsidRPr="00382917">
        <w:t>s</w:t>
      </w:r>
      <w:r w:rsidR="00EE4FC3">
        <w:t xml:space="preserve"> </w:t>
      </w:r>
      <w:r w:rsidR="00650F8F" w:rsidRPr="00382917">
        <w:t>individual</w:t>
      </w:r>
      <w:r w:rsidR="00EE4FC3">
        <w:t xml:space="preserve"> </w:t>
      </w:r>
      <w:r w:rsidR="00650F8F" w:rsidRPr="00382917">
        <w:t>life</w:t>
      </w:r>
    </w:p>
    <w:p w:rsidR="00300E83" w:rsidRPr="00382917" w:rsidRDefault="00300E83" w:rsidP="0037470A">
      <w:pPr>
        <w:pStyle w:val="Text"/>
      </w:pPr>
      <w:r w:rsidRPr="00382917">
        <w:t>The</w:t>
      </w:r>
      <w:r w:rsidR="00EE4FC3">
        <w:t xml:space="preserve"> </w:t>
      </w:r>
      <w:r w:rsidRPr="00382917">
        <w:t>reason</w:t>
      </w:r>
      <w:r w:rsidR="00EE4FC3">
        <w:t xml:space="preserve"> </w:t>
      </w:r>
      <w:r w:rsidRPr="00382917">
        <w:t>a</w:t>
      </w:r>
      <w:r w:rsidR="00EE4FC3">
        <w:t xml:space="preserve"> </w:t>
      </w:r>
      <w:r w:rsidRPr="00382917">
        <w:t>Prophet</w:t>
      </w:r>
      <w:r w:rsidR="00EE4FC3">
        <w:t xml:space="preserve"> </w:t>
      </w:r>
      <w:r w:rsidRPr="00382917">
        <w:t>(Messenger)</w:t>
      </w:r>
      <w:r w:rsidR="00EE4FC3">
        <w:t xml:space="preserve"> </w:t>
      </w:r>
      <w:r w:rsidRPr="00382917">
        <w:t>comes</w:t>
      </w:r>
      <w:r w:rsidR="00EE4FC3">
        <w:t xml:space="preserve"> </w:t>
      </w:r>
      <w:r w:rsidRPr="00382917">
        <w:t>to</w:t>
      </w:r>
      <w:r w:rsidR="00EE4FC3">
        <w:t xml:space="preserve"> </w:t>
      </w:r>
      <w:r w:rsidRPr="00382917">
        <w:t>earth,</w:t>
      </w:r>
      <w:r w:rsidR="00EE4FC3">
        <w:t xml:space="preserve"> </w:t>
      </w:r>
      <w:r w:rsidRPr="00382917">
        <w:t>Bahá</w:t>
      </w:r>
      <w:r w:rsidR="009C713D" w:rsidRPr="00382917">
        <w:t>’</w:t>
      </w:r>
      <w:r w:rsidRPr="00382917">
        <w:t>u</w:t>
      </w:r>
      <w:r w:rsidR="009C713D" w:rsidRPr="00382917">
        <w:t>’</w:t>
      </w:r>
      <w:r w:rsidRPr="00382917">
        <w:t>lláh</w:t>
      </w:r>
      <w:r w:rsidR="00EE4FC3">
        <w:t xml:space="preserve"> </w:t>
      </w:r>
      <w:r w:rsidRPr="00382917">
        <w:t>says,</w:t>
      </w:r>
      <w:r w:rsidR="00EE4FC3">
        <w:t xml:space="preserve"> </w:t>
      </w:r>
      <w:r w:rsidRPr="00382917">
        <w:t>is</w:t>
      </w:r>
      <w:r w:rsidR="00EE4FC3">
        <w:t xml:space="preserve"> </w:t>
      </w:r>
      <w:r w:rsidR="009C713D" w:rsidRPr="00382917">
        <w:t>“</w:t>
      </w:r>
      <w:r w:rsidR="003B55DD">
        <w:t xml:space="preserve">to educate the souls of men and endue with grace all created </w:t>
      </w:r>
      <w:proofErr w:type="gramStart"/>
      <w:r w:rsidR="003B55DD">
        <w:t>things,</w:t>
      </w:r>
      <w:r w:rsidR="0037470A">
        <w:t xml:space="preserve"> ….</w:t>
      </w:r>
      <w:r w:rsidR="009C713D" w:rsidRPr="00382917">
        <w:t>”</w:t>
      </w:r>
      <w:proofErr w:type="gramEnd"/>
      <w:r w:rsidR="0037470A">
        <w:rPr>
          <w:rStyle w:val="FootnoteReference"/>
        </w:rPr>
        <w:footnoteReference w:id="342"/>
      </w:r>
    </w:p>
    <w:p w:rsidR="0010766C" w:rsidRDefault="009C713D" w:rsidP="0010766C">
      <w:pPr>
        <w:pStyle w:val="Quote"/>
      </w:pPr>
      <w:r w:rsidRPr="00382917">
        <w:t>“</w:t>
      </w:r>
      <w:r w:rsidR="00300E83" w:rsidRPr="00382917">
        <w:t>The</w:t>
      </w:r>
      <w:r w:rsidR="00EE4FC3">
        <w:t xml:space="preserve"> </w:t>
      </w:r>
      <w:r w:rsidR="00300E83" w:rsidRPr="00382917">
        <w:t>essence</w:t>
      </w:r>
      <w:r w:rsidR="00EE4FC3">
        <w:t xml:space="preserve"> </w:t>
      </w:r>
      <w:r w:rsidR="00300E83" w:rsidRPr="00382917">
        <w:t>of</w:t>
      </w:r>
      <w:r w:rsidR="00EE4FC3">
        <w:t xml:space="preserve"> </w:t>
      </w:r>
      <w:r w:rsidR="00300E83" w:rsidRPr="00382917">
        <w:t>faith,</w:t>
      </w:r>
      <w:r w:rsidRPr="00382917">
        <w:t>”</w:t>
      </w:r>
      <w:r w:rsidR="00EE4FC3">
        <w:t xml:space="preserve"> </w:t>
      </w:r>
      <w:r w:rsidR="00300E83" w:rsidRPr="00382917">
        <w:t>Bahá</w:t>
      </w:r>
      <w:r w:rsidRPr="00382917">
        <w:t>’</w:t>
      </w:r>
      <w:r w:rsidR="00300E83" w:rsidRPr="00382917">
        <w:t>u</w:t>
      </w:r>
      <w:r w:rsidRPr="00382917">
        <w:t>’</w:t>
      </w:r>
      <w:r w:rsidR="00300E83" w:rsidRPr="00382917">
        <w:t>lláh</w:t>
      </w:r>
      <w:r w:rsidR="00EE4FC3">
        <w:t xml:space="preserve"> </w:t>
      </w:r>
      <w:r w:rsidR="00300E83" w:rsidRPr="00382917">
        <w:t>counsels,</w:t>
      </w:r>
      <w:r w:rsidR="00EE4FC3">
        <w:t xml:space="preserve"> </w:t>
      </w:r>
      <w:r w:rsidRPr="00382917">
        <w:t>“</w:t>
      </w:r>
      <w:r w:rsidR="00300E83" w:rsidRPr="00382917">
        <w:t>is</w:t>
      </w:r>
      <w:r w:rsidR="00EE4FC3">
        <w:t xml:space="preserve"> </w:t>
      </w:r>
      <w:r w:rsidR="00300E83" w:rsidRPr="00382917">
        <w:t>fewness</w:t>
      </w:r>
      <w:r w:rsidR="00EE4FC3">
        <w:t xml:space="preserve"> </w:t>
      </w:r>
      <w:r w:rsidR="00300E83" w:rsidRPr="00382917">
        <w:t>of</w:t>
      </w:r>
      <w:r w:rsidR="00EE4FC3">
        <w:t xml:space="preserve"> </w:t>
      </w:r>
      <w:r w:rsidR="00300E83" w:rsidRPr="00382917">
        <w:t>words</w:t>
      </w:r>
      <w:r w:rsidR="00EE4FC3">
        <w:t xml:space="preserve"> </w:t>
      </w:r>
      <w:r w:rsidR="00300E83" w:rsidRPr="00382917">
        <w:t>and</w:t>
      </w:r>
      <w:r w:rsidR="00EE4FC3">
        <w:t xml:space="preserve"> </w:t>
      </w:r>
      <w:r w:rsidR="00300E83" w:rsidRPr="00382917">
        <w:t>abundance</w:t>
      </w:r>
      <w:r w:rsidR="00EE4FC3">
        <w:t xml:space="preserve"> </w:t>
      </w:r>
      <w:r w:rsidR="00300E83" w:rsidRPr="00382917">
        <w:t>of</w:t>
      </w:r>
      <w:r w:rsidR="00EE4FC3">
        <w:t xml:space="preserve"> </w:t>
      </w:r>
      <w:r w:rsidR="00300E83" w:rsidRPr="00382917">
        <w:t>deeds</w:t>
      </w:r>
      <w:r w:rsidR="0037470A">
        <w:t xml:space="preserve">; </w:t>
      </w:r>
      <w:r w:rsidR="00F04416" w:rsidRPr="00382917">
        <w:t>…</w:t>
      </w:r>
      <w:r w:rsidR="00300E83" w:rsidRPr="00382917">
        <w:t>.</w:t>
      </w:r>
      <w:r w:rsidRPr="00382917">
        <w:t>”</w:t>
      </w:r>
      <w:r w:rsidR="0010766C">
        <w:rPr>
          <w:rStyle w:val="FootnoteReference"/>
        </w:rPr>
        <w:footnoteReference w:id="343"/>
      </w:r>
    </w:p>
    <w:p w:rsidR="0037470A" w:rsidRPr="0037470A" w:rsidRDefault="009C713D" w:rsidP="0010766C">
      <w:pPr>
        <w:pStyle w:val="Quote"/>
      </w:pPr>
      <w:r w:rsidRPr="00382917">
        <w:t>“</w:t>
      </w:r>
      <w:r w:rsidR="00300E83" w:rsidRPr="00382917">
        <w:t>Beware,</w:t>
      </w:r>
      <w:r w:rsidR="00EE4FC3">
        <w:t xml:space="preserve"> </w:t>
      </w:r>
      <w:r w:rsidR="00300E83" w:rsidRPr="00382917">
        <w:t>O</w:t>
      </w:r>
      <w:r w:rsidR="00EE4FC3">
        <w:t xml:space="preserve"> </w:t>
      </w:r>
      <w:r w:rsidR="00300E83" w:rsidRPr="00382917">
        <w:t>people</w:t>
      </w:r>
      <w:r w:rsidR="00EE4FC3">
        <w:t xml:space="preserve"> </w:t>
      </w:r>
      <w:r w:rsidR="00300E83" w:rsidRPr="00382917">
        <w:t>of</w:t>
      </w:r>
      <w:r w:rsidR="00EE4FC3">
        <w:t xml:space="preserve"> </w:t>
      </w:r>
      <w:r w:rsidR="00300E83" w:rsidRPr="00382917">
        <w:t>Bahá,</w:t>
      </w:r>
      <w:r w:rsidR="00EE4FC3">
        <w:t xml:space="preserve"> </w:t>
      </w:r>
      <w:r w:rsidR="00300E83" w:rsidRPr="00382917">
        <w:t>lest</w:t>
      </w:r>
      <w:r w:rsidR="00EE4FC3">
        <w:t xml:space="preserve"> </w:t>
      </w:r>
      <w:r w:rsidR="00300E83" w:rsidRPr="00382917">
        <w:t>ye</w:t>
      </w:r>
      <w:r w:rsidR="00EE4FC3">
        <w:t xml:space="preserve"> </w:t>
      </w:r>
      <w:r w:rsidR="00300E83" w:rsidRPr="00382917">
        <w:t>walk</w:t>
      </w:r>
      <w:r w:rsidR="00EE4FC3">
        <w:t xml:space="preserve"> </w:t>
      </w:r>
      <w:r w:rsidR="00300E83" w:rsidRPr="00382917">
        <w:t>in</w:t>
      </w:r>
      <w:r w:rsidR="00EE4FC3">
        <w:t xml:space="preserve"> </w:t>
      </w:r>
      <w:r w:rsidR="00300E83" w:rsidRPr="00382917">
        <w:t>the</w:t>
      </w:r>
      <w:r w:rsidR="00EE4FC3">
        <w:t xml:space="preserve"> </w:t>
      </w:r>
      <w:r w:rsidR="00300E83" w:rsidRPr="00382917">
        <w:t>ways</w:t>
      </w:r>
      <w:r w:rsidR="00EE4FC3">
        <w:t xml:space="preserve"> </w:t>
      </w:r>
      <w:r w:rsidR="00300E83" w:rsidRPr="00382917">
        <w:t>of</w:t>
      </w:r>
      <w:r w:rsidR="00EE4FC3">
        <w:t xml:space="preserve"> </w:t>
      </w:r>
      <w:r w:rsidR="00300E83" w:rsidRPr="00382917">
        <w:t>them</w:t>
      </w:r>
      <w:r w:rsidR="00EE4FC3">
        <w:t xml:space="preserve"> </w:t>
      </w:r>
      <w:r w:rsidR="00300E83" w:rsidRPr="00382917">
        <w:t>whose</w:t>
      </w:r>
      <w:r w:rsidR="00EE4FC3">
        <w:t xml:space="preserve"> </w:t>
      </w:r>
      <w:r w:rsidR="00300E83" w:rsidRPr="00382917">
        <w:t>words</w:t>
      </w:r>
      <w:r w:rsidR="00EE4FC3">
        <w:t xml:space="preserve"> </w:t>
      </w:r>
      <w:r w:rsidR="00300E83" w:rsidRPr="00382917">
        <w:t>differ</w:t>
      </w:r>
      <w:r w:rsidR="00EE4FC3">
        <w:t xml:space="preserve"> </w:t>
      </w:r>
      <w:r w:rsidR="00300E83" w:rsidRPr="00382917">
        <w:t>from</w:t>
      </w:r>
      <w:r w:rsidR="00EE4FC3">
        <w:t xml:space="preserve"> </w:t>
      </w:r>
      <w:r w:rsidR="00300E83" w:rsidRPr="00382917">
        <w:t>their</w:t>
      </w:r>
      <w:r w:rsidR="00EE4FC3">
        <w:t xml:space="preserve"> </w:t>
      </w:r>
      <w:r w:rsidR="00300E83" w:rsidRPr="00382917">
        <w:t>deeds</w:t>
      </w:r>
      <w:proofErr w:type="gramStart"/>
      <w:r w:rsidR="00300E83" w:rsidRPr="00382917">
        <w:t>.</w:t>
      </w:r>
      <w:r w:rsidR="0037470A">
        <w:t xml:space="preserve"> </w:t>
      </w:r>
      <w:proofErr w:type="gramEnd"/>
      <w:r w:rsidR="0037470A">
        <w:t xml:space="preserve">… </w:t>
      </w:r>
      <w:r w:rsidR="00EE4FC3">
        <w:t xml:space="preserve"> </w:t>
      </w:r>
      <w:r w:rsidR="00300E83" w:rsidRPr="00382917">
        <w:t>Let</w:t>
      </w:r>
      <w:r w:rsidR="00EE4FC3">
        <w:t xml:space="preserve"> </w:t>
      </w:r>
      <w:r w:rsidR="00300E83" w:rsidRPr="00382917">
        <w:t>your</w:t>
      </w:r>
      <w:r w:rsidR="00EE4FC3">
        <w:t xml:space="preserve"> </w:t>
      </w:r>
      <w:r w:rsidR="00300E83" w:rsidRPr="00382917">
        <w:t>acts</w:t>
      </w:r>
      <w:r w:rsidR="00EE4FC3">
        <w:t xml:space="preserve"> </w:t>
      </w:r>
      <w:r w:rsidR="00300E83" w:rsidRPr="00382917">
        <w:t>be</w:t>
      </w:r>
      <w:r w:rsidR="00EE4FC3">
        <w:t xml:space="preserve"> </w:t>
      </w:r>
      <w:r w:rsidR="00300E83" w:rsidRPr="00382917">
        <w:t>a</w:t>
      </w:r>
      <w:r w:rsidR="00EE4FC3">
        <w:t xml:space="preserve"> </w:t>
      </w:r>
      <w:r w:rsidR="00300E83" w:rsidRPr="00382917">
        <w:t>guide</w:t>
      </w:r>
      <w:r w:rsidR="00EE4FC3">
        <w:t xml:space="preserve"> </w:t>
      </w:r>
      <w:r w:rsidR="00300E83" w:rsidRPr="00382917">
        <w:t>to</w:t>
      </w:r>
      <w:r w:rsidR="00EE4FC3">
        <w:t xml:space="preserve"> </w:t>
      </w:r>
      <w:r w:rsidR="00300E83" w:rsidRPr="00382917">
        <w:t>all</w:t>
      </w:r>
      <w:r w:rsidR="00EE4FC3">
        <w:t xml:space="preserve"> </w:t>
      </w:r>
      <w:r w:rsidR="00300E83" w:rsidRPr="00382917">
        <w:t>mankind</w:t>
      </w:r>
      <w:r w:rsidR="0037470A">
        <w:t xml:space="preserve"> </w:t>
      </w:r>
      <w:r w:rsidR="00F04416" w:rsidRPr="00382917">
        <w:t>…</w:t>
      </w:r>
      <w:r w:rsidR="00552489">
        <w:t>.</w:t>
      </w:r>
      <w:r w:rsidR="00EE4FC3">
        <w:t xml:space="preserve">  </w:t>
      </w:r>
      <w:r w:rsidR="00300E83" w:rsidRPr="00382917">
        <w:t>It</w:t>
      </w:r>
      <w:r w:rsidR="00EE4FC3">
        <w:t xml:space="preserve"> </w:t>
      </w:r>
      <w:r w:rsidR="00300E83" w:rsidRPr="00382917">
        <w:t>is</w:t>
      </w:r>
      <w:r w:rsidR="00EE4FC3">
        <w:t xml:space="preserve"> </w:t>
      </w:r>
      <w:r w:rsidR="00300E83" w:rsidRPr="00382917">
        <w:t>through</w:t>
      </w:r>
      <w:r w:rsidR="00EE4FC3">
        <w:t xml:space="preserve"> </w:t>
      </w:r>
      <w:r w:rsidR="00300E83" w:rsidRPr="00382917">
        <w:t>your</w:t>
      </w:r>
      <w:r w:rsidR="00EE4FC3">
        <w:t xml:space="preserve"> </w:t>
      </w:r>
      <w:r w:rsidR="00300E83" w:rsidRPr="00382917">
        <w:t>deeds</w:t>
      </w:r>
      <w:r w:rsidR="00EE4FC3">
        <w:t xml:space="preserve"> </w:t>
      </w:r>
      <w:r w:rsidR="00300E83" w:rsidRPr="00382917">
        <w:t>that</w:t>
      </w:r>
      <w:r w:rsidR="00EE4FC3">
        <w:t xml:space="preserve"> </w:t>
      </w:r>
      <w:r w:rsidR="00300E83" w:rsidRPr="00382917">
        <w:t>ye</w:t>
      </w:r>
      <w:r w:rsidR="00EE4FC3">
        <w:t xml:space="preserve"> </w:t>
      </w:r>
      <w:r w:rsidR="00300E83" w:rsidRPr="00382917">
        <w:t>can</w:t>
      </w:r>
      <w:r w:rsidR="00EE4FC3">
        <w:t xml:space="preserve"> </w:t>
      </w:r>
      <w:r w:rsidR="00300E83" w:rsidRPr="00382917">
        <w:t>distinguish</w:t>
      </w:r>
      <w:r w:rsidR="00EE4FC3">
        <w:t xml:space="preserve"> </w:t>
      </w:r>
      <w:r w:rsidR="00300E83" w:rsidRPr="00382917">
        <w:t>yourselves</w:t>
      </w:r>
      <w:r w:rsidR="00EE4FC3">
        <w:t xml:space="preserve"> </w:t>
      </w:r>
      <w:r w:rsidR="00300E83" w:rsidRPr="00382917">
        <w:t>from</w:t>
      </w:r>
      <w:r w:rsidR="00EE4FC3">
        <w:t xml:space="preserve"> </w:t>
      </w:r>
      <w:r w:rsidR="00300E83" w:rsidRPr="00382917">
        <w:t>others</w:t>
      </w:r>
      <w:r w:rsidR="00552489">
        <w:t>.</w:t>
      </w:r>
      <w:r w:rsidR="00EE4FC3">
        <w:t xml:space="preserve">  </w:t>
      </w:r>
      <w:r w:rsidR="00300E83" w:rsidRPr="00382917">
        <w:t>Through</w:t>
      </w:r>
      <w:r w:rsidR="00EE4FC3">
        <w:t xml:space="preserve"> </w:t>
      </w:r>
      <w:r w:rsidR="00300E83" w:rsidRPr="00382917">
        <w:t>them</w:t>
      </w:r>
      <w:r w:rsidR="00EE4FC3">
        <w:t xml:space="preserve"> </w:t>
      </w:r>
      <w:r w:rsidR="00300E83" w:rsidRPr="00382917">
        <w:t>the</w:t>
      </w:r>
      <w:r w:rsidR="00EE4FC3">
        <w:t xml:space="preserve"> </w:t>
      </w:r>
      <w:r w:rsidR="00300E83" w:rsidRPr="00382917">
        <w:t>brightness</w:t>
      </w:r>
      <w:r w:rsidR="00EE4FC3">
        <w:t xml:space="preserve"> </w:t>
      </w:r>
      <w:r w:rsidR="00300E83" w:rsidRPr="00382917">
        <w:t>of</w:t>
      </w:r>
      <w:r w:rsidR="00EE4FC3">
        <w:t xml:space="preserve"> </w:t>
      </w:r>
      <w:r w:rsidR="00300E83" w:rsidRPr="00382917">
        <w:t>your</w:t>
      </w:r>
      <w:r w:rsidR="00EE4FC3">
        <w:t xml:space="preserve"> </w:t>
      </w:r>
      <w:r w:rsidR="00300E83" w:rsidRPr="00382917">
        <w:t>light</w:t>
      </w:r>
      <w:r w:rsidR="00EE4FC3">
        <w:t xml:space="preserve"> </w:t>
      </w:r>
      <w:r w:rsidR="00300E83" w:rsidRPr="00382917">
        <w:t>can</w:t>
      </w:r>
      <w:r w:rsidR="00EE4FC3">
        <w:t xml:space="preserve"> </w:t>
      </w:r>
      <w:r w:rsidR="00300E83" w:rsidRPr="00382917">
        <w:t>be</w:t>
      </w:r>
      <w:r w:rsidR="00EE4FC3">
        <w:t xml:space="preserve"> </w:t>
      </w:r>
      <w:r w:rsidR="00300E83" w:rsidRPr="00382917">
        <w:t>shed</w:t>
      </w:r>
      <w:r w:rsidR="00EE4FC3">
        <w:t xml:space="preserve"> </w:t>
      </w:r>
      <w:r w:rsidR="00300E83" w:rsidRPr="00382917">
        <w:t>upon</w:t>
      </w:r>
      <w:r w:rsidR="00EE4FC3">
        <w:t xml:space="preserve"> </w:t>
      </w:r>
      <w:r w:rsidR="00300E83" w:rsidRPr="00382917">
        <w:t>the</w:t>
      </w:r>
      <w:r w:rsidR="00EE4FC3">
        <w:t xml:space="preserve"> </w:t>
      </w:r>
      <w:r w:rsidR="00300E83" w:rsidRPr="00382917">
        <w:t>whole</w:t>
      </w:r>
      <w:r w:rsidR="00EE4FC3">
        <w:t xml:space="preserve"> </w:t>
      </w:r>
      <w:r w:rsidR="00300E83" w:rsidRPr="00382917">
        <w:t>earth.</w:t>
      </w:r>
      <w:r w:rsidRPr="00382917">
        <w:t>”</w:t>
      </w:r>
      <w:r w:rsidR="0037470A">
        <w:rPr>
          <w:rStyle w:val="FootnoteReference"/>
        </w:rPr>
        <w:footnoteReference w:id="344"/>
      </w:r>
    </w:p>
    <w:p w:rsidR="00300E83" w:rsidRPr="00382917" w:rsidRDefault="009C713D" w:rsidP="0010766C">
      <w:pPr>
        <w:pStyle w:val="Quote"/>
      </w:pPr>
      <w:r w:rsidRPr="00382917">
        <w:t>“</w:t>
      </w:r>
      <w:r w:rsidR="00300E83" w:rsidRPr="00382917">
        <w:t>The</w:t>
      </w:r>
      <w:r w:rsidR="00EE4FC3">
        <w:t xml:space="preserve"> </w:t>
      </w:r>
      <w:r w:rsidR="00300E83" w:rsidRPr="00382917">
        <w:t>most</w:t>
      </w:r>
      <w:r w:rsidR="00EE4FC3">
        <w:t xml:space="preserve"> </w:t>
      </w:r>
      <w:r w:rsidR="00300E83" w:rsidRPr="00382917">
        <w:t>vital</w:t>
      </w:r>
      <w:r w:rsidR="00EE4FC3">
        <w:t xml:space="preserve"> </w:t>
      </w:r>
      <w:r w:rsidR="00300E83" w:rsidRPr="00382917">
        <w:t>duty,</w:t>
      </w:r>
      <w:r w:rsidR="00EE4FC3">
        <w:t xml:space="preserve"> </w:t>
      </w:r>
      <w:r w:rsidR="00300E83" w:rsidRPr="00382917">
        <w:t>in</w:t>
      </w:r>
      <w:r w:rsidR="00EE4FC3">
        <w:t xml:space="preserve"> </w:t>
      </w:r>
      <w:r w:rsidR="00300E83" w:rsidRPr="00382917">
        <w:t>this</w:t>
      </w:r>
      <w:r w:rsidR="00EE4FC3">
        <w:t xml:space="preserve"> </w:t>
      </w:r>
      <w:r w:rsidR="00300E83" w:rsidRPr="00382917">
        <w:t>day,</w:t>
      </w:r>
      <w:r w:rsidR="00EE4FC3">
        <w:t xml:space="preserve"> </w:t>
      </w:r>
      <w:r w:rsidR="00300E83" w:rsidRPr="00382917">
        <w:t>is</w:t>
      </w:r>
      <w:r w:rsidR="00EE4FC3">
        <w:t xml:space="preserve"> </w:t>
      </w:r>
      <w:r w:rsidR="00300E83" w:rsidRPr="00382917">
        <w:t>to</w:t>
      </w:r>
      <w:r w:rsidR="00EE4FC3">
        <w:t xml:space="preserve"> </w:t>
      </w:r>
      <w:r w:rsidR="00300E83" w:rsidRPr="00382917">
        <w:t>purify</w:t>
      </w:r>
      <w:r w:rsidR="00EE4FC3">
        <w:t xml:space="preserve"> </w:t>
      </w:r>
      <w:r w:rsidR="00300E83" w:rsidRPr="00382917">
        <w:t>your</w:t>
      </w:r>
      <w:r w:rsidR="00EE4FC3">
        <w:t xml:space="preserve"> </w:t>
      </w:r>
      <w:r w:rsidR="00300E83" w:rsidRPr="00382917">
        <w:t>characters,</w:t>
      </w:r>
      <w:r w:rsidR="00EE4FC3">
        <w:t xml:space="preserve"> </w:t>
      </w:r>
      <w:r w:rsidR="00300E83" w:rsidRPr="00382917">
        <w:t>to</w:t>
      </w:r>
      <w:r w:rsidR="00EE4FC3">
        <w:t xml:space="preserve"> </w:t>
      </w:r>
      <w:r w:rsidR="00300E83" w:rsidRPr="00382917">
        <w:t>correct</w:t>
      </w:r>
      <w:r w:rsidR="00EE4FC3">
        <w:t xml:space="preserve"> </w:t>
      </w:r>
      <w:r w:rsidR="00300E83" w:rsidRPr="00382917">
        <w:t>your</w:t>
      </w:r>
      <w:r w:rsidR="00EE4FC3">
        <w:t xml:space="preserve"> </w:t>
      </w:r>
      <w:r w:rsidR="00300E83" w:rsidRPr="00382917">
        <w:t>manners,</w:t>
      </w:r>
      <w:r w:rsidR="00EE4FC3">
        <w:t xml:space="preserve"> </w:t>
      </w:r>
      <w:r w:rsidR="00300E83" w:rsidRPr="00382917">
        <w:t>and</w:t>
      </w:r>
      <w:r w:rsidR="00EE4FC3">
        <w:t xml:space="preserve"> </w:t>
      </w:r>
      <w:r w:rsidR="00300E83" w:rsidRPr="00382917">
        <w:t>improve</w:t>
      </w:r>
      <w:r w:rsidR="00EE4FC3">
        <w:t xml:space="preserve"> </w:t>
      </w:r>
      <w:r w:rsidR="00300E83" w:rsidRPr="00382917">
        <w:t>your</w:t>
      </w:r>
      <w:r w:rsidR="00EE4FC3">
        <w:t xml:space="preserve"> </w:t>
      </w:r>
      <w:r w:rsidR="00300E83" w:rsidRPr="00382917">
        <w:t>conduct</w:t>
      </w:r>
      <w:r w:rsidR="0010766C">
        <w:t>.</w:t>
      </w:r>
      <w:r w:rsidR="00EE4FC3">
        <w:t xml:space="preserve">  </w:t>
      </w:r>
      <w:r w:rsidR="00300E83" w:rsidRPr="00382917">
        <w:t>The</w:t>
      </w:r>
      <w:r w:rsidR="00EE4FC3">
        <w:t xml:space="preserve"> </w:t>
      </w:r>
      <w:r w:rsidR="00300E83" w:rsidRPr="00382917">
        <w:t>beloved</w:t>
      </w:r>
      <w:r w:rsidR="00EE4FC3">
        <w:t xml:space="preserve"> </w:t>
      </w:r>
      <w:r w:rsidR="00300E83" w:rsidRPr="00382917">
        <w:t>of</w:t>
      </w:r>
      <w:r w:rsidR="00EE4FC3">
        <w:t xml:space="preserve"> </w:t>
      </w:r>
      <w:r w:rsidR="00300E83" w:rsidRPr="00382917">
        <w:t>the</w:t>
      </w:r>
      <w:r w:rsidR="00EE4FC3">
        <w:t xml:space="preserve"> </w:t>
      </w:r>
      <w:r w:rsidR="00300E83" w:rsidRPr="00382917">
        <w:t>Merciful</w:t>
      </w:r>
      <w:r w:rsidR="00EE4FC3">
        <w:t xml:space="preserve"> </w:t>
      </w:r>
      <w:r w:rsidR="00300E83" w:rsidRPr="00382917">
        <w:t>must</w:t>
      </w:r>
      <w:r w:rsidR="00EE4FC3">
        <w:t xml:space="preserve"> </w:t>
      </w:r>
      <w:r w:rsidR="00300E83" w:rsidRPr="00382917">
        <w:t>show</w:t>
      </w:r>
      <w:r w:rsidR="00EE4FC3">
        <w:t xml:space="preserve"> </w:t>
      </w:r>
      <w:r w:rsidR="00300E83" w:rsidRPr="00382917">
        <w:t>forth</w:t>
      </w:r>
      <w:r w:rsidR="00EE4FC3">
        <w:t xml:space="preserve"> </w:t>
      </w:r>
      <w:r w:rsidR="00300E83" w:rsidRPr="00382917">
        <w:t>such</w:t>
      </w:r>
      <w:r w:rsidR="00EE4FC3">
        <w:t xml:space="preserve"> </w:t>
      </w:r>
      <w:r w:rsidR="00300E83" w:rsidRPr="00382917">
        <w:t>character</w:t>
      </w:r>
      <w:r w:rsidR="00EE4FC3">
        <w:t xml:space="preserve"> </w:t>
      </w:r>
      <w:r w:rsidR="00300E83" w:rsidRPr="00382917">
        <w:t>and</w:t>
      </w:r>
      <w:r w:rsidR="00EE4FC3">
        <w:t xml:space="preserve"> </w:t>
      </w:r>
      <w:r w:rsidR="00300E83" w:rsidRPr="00382917">
        <w:t>conduct</w:t>
      </w:r>
      <w:r w:rsidR="00EE4FC3">
        <w:t xml:space="preserve"> </w:t>
      </w:r>
      <w:r w:rsidR="00300E83" w:rsidRPr="00382917">
        <w:t>among</w:t>
      </w:r>
      <w:r w:rsidR="00EE4FC3">
        <w:t xml:space="preserve"> </w:t>
      </w:r>
      <w:r w:rsidR="00300E83" w:rsidRPr="00382917">
        <w:t>His</w:t>
      </w:r>
      <w:r w:rsidR="00EE4FC3">
        <w:t xml:space="preserve"> </w:t>
      </w:r>
      <w:r w:rsidR="00300E83" w:rsidRPr="00382917">
        <w:t>creatures,</w:t>
      </w:r>
      <w:r w:rsidR="00EE4FC3">
        <w:t xml:space="preserve"> </w:t>
      </w:r>
      <w:r w:rsidR="00300E83" w:rsidRPr="00382917">
        <w:t>that</w:t>
      </w:r>
      <w:r w:rsidR="00EE4FC3">
        <w:t xml:space="preserve"> </w:t>
      </w:r>
      <w:r w:rsidR="00300E83" w:rsidRPr="00382917">
        <w:t>the</w:t>
      </w:r>
      <w:r w:rsidR="00EE4FC3">
        <w:t xml:space="preserve"> </w:t>
      </w:r>
      <w:r w:rsidR="00300E83" w:rsidRPr="00382917">
        <w:t>fragrance</w:t>
      </w:r>
      <w:r w:rsidR="00EE4FC3">
        <w:t xml:space="preserve"> </w:t>
      </w:r>
      <w:r w:rsidR="00300E83" w:rsidRPr="00382917">
        <w:t>of</w:t>
      </w:r>
      <w:r w:rsidR="00EE4FC3">
        <w:t xml:space="preserve"> </w:t>
      </w:r>
      <w:r w:rsidR="00300E83" w:rsidRPr="00382917">
        <w:t>their</w:t>
      </w:r>
      <w:r w:rsidR="00EE4FC3">
        <w:t xml:space="preserve"> </w:t>
      </w:r>
      <w:r w:rsidR="00300E83" w:rsidRPr="00382917">
        <w:t>holiness</w:t>
      </w:r>
      <w:r w:rsidR="00EE4FC3">
        <w:t xml:space="preserve"> </w:t>
      </w:r>
      <w:r w:rsidR="00300E83" w:rsidRPr="00382917">
        <w:t>may</w:t>
      </w:r>
      <w:r w:rsidR="00EE4FC3">
        <w:t xml:space="preserve"> </w:t>
      </w:r>
      <w:r w:rsidR="00300E83" w:rsidRPr="00382917">
        <w:t>be</w:t>
      </w:r>
      <w:r w:rsidR="00EE4FC3">
        <w:t xml:space="preserve"> </w:t>
      </w:r>
      <w:r w:rsidR="00300E83" w:rsidRPr="00382917">
        <w:t>shed</w:t>
      </w:r>
      <w:r w:rsidR="00EE4FC3">
        <w:t xml:space="preserve"> </w:t>
      </w:r>
      <w:r w:rsidR="00300E83" w:rsidRPr="00382917">
        <w:t>upon</w:t>
      </w:r>
      <w:r w:rsidR="00EE4FC3">
        <w:t xml:space="preserve"> </w:t>
      </w:r>
      <w:r w:rsidR="00300E83" w:rsidRPr="00382917">
        <w:t>the</w:t>
      </w:r>
      <w:r w:rsidR="00EE4FC3">
        <w:t xml:space="preserve"> </w:t>
      </w:r>
      <w:r w:rsidR="00300E83" w:rsidRPr="00382917">
        <w:t>whole</w:t>
      </w:r>
      <w:r w:rsidR="00EE4FC3">
        <w:t xml:space="preserve"> </w:t>
      </w:r>
      <w:r w:rsidR="00300E83" w:rsidRPr="00382917">
        <w:t>world</w:t>
      </w:r>
      <w:r w:rsidR="0010766C">
        <w:t xml:space="preserve"> </w:t>
      </w:r>
      <w:r w:rsidR="00F04416" w:rsidRPr="00382917">
        <w:t>…</w:t>
      </w:r>
      <w:r w:rsidR="00300E83" w:rsidRPr="00382917">
        <w:t>.</w:t>
      </w:r>
      <w:r w:rsidRPr="00382917">
        <w:t>”</w:t>
      </w:r>
      <w:r w:rsidR="0010766C">
        <w:rPr>
          <w:rStyle w:val="FootnoteReference"/>
        </w:rPr>
        <w:footnoteReference w:id="345"/>
      </w:r>
    </w:p>
    <w:p w:rsidR="008C015E" w:rsidRDefault="009C713D" w:rsidP="008C015E">
      <w:pPr>
        <w:pStyle w:val="Quote"/>
      </w:pPr>
      <w:r w:rsidRPr="00382917">
        <w:t>“</w:t>
      </w:r>
      <w:r w:rsidR="00300E83" w:rsidRPr="00382917">
        <w:t>A</w:t>
      </w:r>
      <w:r w:rsidR="00EE4FC3">
        <w:t xml:space="preserve"> </w:t>
      </w:r>
      <w:r w:rsidR="00300E83" w:rsidRPr="00382917">
        <w:t>good</w:t>
      </w:r>
      <w:r w:rsidR="00EE4FC3">
        <w:t xml:space="preserve"> </w:t>
      </w:r>
      <w:r w:rsidR="00300E83" w:rsidRPr="00382917">
        <w:t>character</w:t>
      </w:r>
      <w:r w:rsidR="00EE4FC3">
        <w:t xml:space="preserve"> </w:t>
      </w:r>
      <w:r w:rsidR="00300E83" w:rsidRPr="00382917">
        <w:t>is,</w:t>
      </w:r>
      <w:r w:rsidR="00EE4FC3">
        <w:t xml:space="preserve"> </w:t>
      </w:r>
      <w:r w:rsidR="00300E83" w:rsidRPr="00382917">
        <w:t>verily,</w:t>
      </w:r>
      <w:r w:rsidR="00EE4FC3">
        <w:t xml:space="preserve"> </w:t>
      </w:r>
      <w:r w:rsidR="00300E83" w:rsidRPr="00382917">
        <w:t>the</w:t>
      </w:r>
      <w:r w:rsidR="00EE4FC3">
        <w:t xml:space="preserve"> </w:t>
      </w:r>
      <w:r w:rsidR="00300E83" w:rsidRPr="00382917">
        <w:t>best</w:t>
      </w:r>
      <w:r w:rsidR="00EE4FC3">
        <w:t xml:space="preserve"> </w:t>
      </w:r>
      <w:r w:rsidR="00300E83" w:rsidRPr="00382917">
        <w:t>mantle</w:t>
      </w:r>
      <w:r w:rsidR="00EE4FC3">
        <w:t xml:space="preserve"> </w:t>
      </w:r>
      <w:r w:rsidR="00300E83" w:rsidRPr="00382917">
        <w:t>for</w:t>
      </w:r>
      <w:r w:rsidR="00EE4FC3">
        <w:t xml:space="preserve"> </w:t>
      </w:r>
      <w:r w:rsidR="00300E83" w:rsidRPr="00382917">
        <w:t>men</w:t>
      </w:r>
      <w:r w:rsidR="008C015E">
        <w:t xml:space="preserve"> </w:t>
      </w:r>
      <w:r w:rsidR="00F04416" w:rsidRPr="00382917">
        <w:t>…</w:t>
      </w:r>
      <w:r w:rsidR="00552489">
        <w:t>.</w:t>
      </w:r>
      <w:r w:rsidR="00EE4FC3">
        <w:t xml:space="preserve">  </w:t>
      </w:r>
      <w:r w:rsidR="00300E83" w:rsidRPr="00382917">
        <w:t>The</w:t>
      </w:r>
      <w:r w:rsidR="00EE4FC3">
        <w:t xml:space="preserve"> </w:t>
      </w:r>
      <w:r w:rsidR="00300E83" w:rsidRPr="00382917">
        <w:t>light</w:t>
      </w:r>
      <w:r w:rsidR="00EE4FC3">
        <w:t xml:space="preserve"> </w:t>
      </w:r>
      <w:r w:rsidR="00300E83" w:rsidRPr="00382917">
        <w:t>of</w:t>
      </w:r>
      <w:r w:rsidR="00EE4FC3">
        <w:t xml:space="preserve"> </w:t>
      </w:r>
      <w:r w:rsidR="00300E83" w:rsidRPr="00382917">
        <w:t>a</w:t>
      </w:r>
      <w:r w:rsidR="00EE4FC3">
        <w:t xml:space="preserve"> </w:t>
      </w:r>
      <w:r w:rsidR="00300E83" w:rsidRPr="00382917">
        <w:t>good</w:t>
      </w:r>
      <w:r w:rsidR="00EE4FC3">
        <w:t xml:space="preserve"> </w:t>
      </w:r>
      <w:r w:rsidR="00300E83" w:rsidRPr="00382917">
        <w:t>character</w:t>
      </w:r>
      <w:r w:rsidR="00EE4FC3">
        <w:t xml:space="preserve"> </w:t>
      </w:r>
      <w:r w:rsidR="00300E83" w:rsidRPr="00382917">
        <w:t>surpasses</w:t>
      </w:r>
      <w:r w:rsidR="00EE4FC3">
        <w:t xml:space="preserve"> </w:t>
      </w:r>
      <w:r w:rsidR="00300E83" w:rsidRPr="00382917">
        <w:t>the</w:t>
      </w:r>
      <w:r w:rsidR="00EE4FC3">
        <w:t xml:space="preserve"> </w:t>
      </w:r>
      <w:r w:rsidR="00300E83" w:rsidRPr="00382917">
        <w:t>light</w:t>
      </w:r>
      <w:r w:rsidR="00EE4FC3">
        <w:t xml:space="preserve"> </w:t>
      </w:r>
      <w:r w:rsidR="00300E83" w:rsidRPr="00382917">
        <w:t>of</w:t>
      </w:r>
      <w:r w:rsidR="00EE4FC3">
        <w:t xml:space="preserve"> </w:t>
      </w:r>
      <w:r w:rsidR="00300E83" w:rsidRPr="00382917">
        <w:t>the</w:t>
      </w:r>
      <w:r w:rsidR="00EE4FC3">
        <w:t xml:space="preserve"> </w:t>
      </w:r>
      <w:r w:rsidR="00300E83" w:rsidRPr="00382917">
        <w:t>sun</w:t>
      </w:r>
      <w:r w:rsidR="008C015E">
        <w:t xml:space="preserve"> </w:t>
      </w:r>
      <w:r w:rsidR="00F04416" w:rsidRPr="00382917">
        <w:t>…</w:t>
      </w:r>
      <w:r w:rsidR="00552489">
        <w:t>.</w:t>
      </w:r>
      <w:r w:rsidR="008C015E">
        <w:t>”</w:t>
      </w:r>
      <w:r w:rsidR="008C015E">
        <w:rPr>
          <w:rStyle w:val="FootnoteReference"/>
        </w:rPr>
        <w:footnoteReference w:id="346"/>
      </w:r>
    </w:p>
    <w:p w:rsidR="0075274D" w:rsidRDefault="00300E83" w:rsidP="0075274D">
      <w:pPr>
        <w:pStyle w:val="Quote"/>
      </w:pPr>
      <w:r w:rsidRPr="00382917">
        <w:t>Upon</w:t>
      </w:r>
      <w:r w:rsidR="00EE4FC3">
        <w:t xml:space="preserve"> </w:t>
      </w:r>
      <w:r w:rsidRPr="00382917">
        <w:t>this</w:t>
      </w:r>
      <w:r w:rsidR="00EE4FC3">
        <w:t xml:space="preserve"> </w:t>
      </w:r>
      <w:r w:rsidRPr="00382917">
        <w:t>the</w:t>
      </w:r>
      <w:r w:rsidR="00EE4FC3">
        <w:t xml:space="preserve"> </w:t>
      </w:r>
      <w:proofErr w:type="spellStart"/>
      <w:r w:rsidRPr="00382917">
        <w:t>honor</w:t>
      </w:r>
      <w:proofErr w:type="spellEnd"/>
      <w:r w:rsidR="00EE4FC3">
        <w:t xml:space="preserve"> </w:t>
      </w:r>
      <w:r w:rsidRPr="00382917">
        <w:t>and</w:t>
      </w:r>
      <w:r w:rsidR="00EE4FC3">
        <w:t xml:space="preserve"> </w:t>
      </w:r>
      <w:r w:rsidRPr="00382917">
        <w:t>glory</w:t>
      </w:r>
      <w:r w:rsidR="00EE4FC3">
        <w:t xml:space="preserve"> </w:t>
      </w:r>
      <w:r w:rsidRPr="00382917">
        <w:t>of</w:t>
      </w:r>
      <w:r w:rsidR="00EE4FC3">
        <w:t xml:space="preserve"> </w:t>
      </w:r>
      <w:r w:rsidRPr="00382917">
        <w:t>the</w:t>
      </w:r>
      <w:r w:rsidR="00EE4FC3">
        <w:t xml:space="preserve"> </w:t>
      </w:r>
      <w:r w:rsidRPr="00382917">
        <w:t>world</w:t>
      </w:r>
      <w:r w:rsidR="00EE4FC3">
        <w:t xml:space="preserve"> </w:t>
      </w:r>
      <w:r w:rsidRPr="00382917">
        <w:t>are</w:t>
      </w:r>
      <w:r w:rsidR="00EE4FC3">
        <w:t xml:space="preserve"> </w:t>
      </w:r>
      <w:r w:rsidRPr="00382917">
        <w:t>based</w:t>
      </w:r>
      <w:r w:rsidR="00EE4FC3">
        <w:t xml:space="preserve"> </w:t>
      </w:r>
      <w:r w:rsidRPr="00382917">
        <w:t>and</w:t>
      </w:r>
      <w:r w:rsidR="00EE4FC3">
        <w:t xml:space="preserve"> </w:t>
      </w:r>
      <w:r w:rsidRPr="00382917">
        <w:t>are</w:t>
      </w:r>
      <w:r w:rsidR="00EE4FC3">
        <w:t xml:space="preserve"> </w:t>
      </w:r>
      <w:r w:rsidRPr="00382917">
        <w:t>dependent.</w:t>
      </w:r>
      <w:r w:rsidR="009C713D" w:rsidRPr="00382917">
        <w:t>”</w:t>
      </w:r>
      <w:r w:rsidR="0075274D">
        <w:rPr>
          <w:rStyle w:val="FootnoteReference"/>
        </w:rPr>
        <w:footnoteReference w:id="347"/>
      </w:r>
    </w:p>
    <w:p w:rsidR="00300E83" w:rsidRPr="00382917" w:rsidRDefault="009C713D" w:rsidP="0075274D">
      <w:pPr>
        <w:pStyle w:val="Quote"/>
      </w:pPr>
      <w:r w:rsidRPr="00382917">
        <w:t>“</w:t>
      </w:r>
      <w:r w:rsidR="00300E83" w:rsidRPr="00382917">
        <w:t>Trustworthiness</w:t>
      </w:r>
      <w:r w:rsidR="00EE4FC3">
        <w:t xml:space="preserve"> </w:t>
      </w:r>
      <w:r w:rsidR="00300E83" w:rsidRPr="00382917">
        <w:t>is</w:t>
      </w:r>
      <w:r w:rsidR="00EE4FC3">
        <w:t xml:space="preserve"> </w:t>
      </w:r>
      <w:r w:rsidR="00300E83" w:rsidRPr="00382917">
        <w:t>the</w:t>
      </w:r>
      <w:r w:rsidR="00EE4FC3">
        <w:t xml:space="preserve"> </w:t>
      </w:r>
      <w:r w:rsidR="008C015E">
        <w:t xml:space="preserve">greatest </w:t>
      </w:r>
      <w:r w:rsidR="00300E83" w:rsidRPr="00382917">
        <w:t>door</w:t>
      </w:r>
      <w:r w:rsidR="00EE4FC3">
        <w:t xml:space="preserve"> </w:t>
      </w:r>
      <w:r w:rsidR="00300E83" w:rsidRPr="00382917">
        <w:t>to</w:t>
      </w:r>
      <w:r w:rsidR="00EE4FC3">
        <w:t xml:space="preserve"> </w:t>
      </w:r>
      <w:r w:rsidR="00300E83" w:rsidRPr="00382917">
        <w:t>the</w:t>
      </w:r>
      <w:r w:rsidR="00EE4FC3">
        <w:t xml:space="preserve"> </w:t>
      </w:r>
      <w:r w:rsidR="00300E83" w:rsidRPr="00382917">
        <w:t>security</w:t>
      </w:r>
      <w:r w:rsidR="00EE4FC3">
        <w:t xml:space="preserve"> </w:t>
      </w:r>
      <w:r w:rsidR="00300E83" w:rsidRPr="00382917">
        <w:t>and</w:t>
      </w:r>
      <w:r w:rsidR="00EE4FC3">
        <w:t xml:space="preserve"> </w:t>
      </w:r>
      <w:proofErr w:type="spellStart"/>
      <w:r w:rsidR="00300E83" w:rsidRPr="00382917">
        <w:t>tranquility</w:t>
      </w:r>
      <w:proofErr w:type="spellEnd"/>
      <w:r w:rsidR="00EE4FC3">
        <w:t xml:space="preserve"> </w:t>
      </w:r>
      <w:r w:rsidR="00300E83" w:rsidRPr="00382917">
        <w:t>of</w:t>
      </w:r>
      <w:r w:rsidR="00EE4FC3">
        <w:t xml:space="preserve"> </w:t>
      </w:r>
      <w:r w:rsidR="00300E83" w:rsidRPr="00382917">
        <w:t>mankind.</w:t>
      </w:r>
      <w:r w:rsidRPr="00382917">
        <w:t>”</w:t>
      </w:r>
      <w:r w:rsidR="008C015E">
        <w:rPr>
          <w:rStyle w:val="FootnoteReference"/>
        </w:rPr>
        <w:footnoteReference w:id="348"/>
      </w:r>
    </w:p>
    <w:p w:rsidR="00300E83" w:rsidRPr="00382917" w:rsidRDefault="00300E83" w:rsidP="00650F8F">
      <w:pPr>
        <w:pStyle w:val="Text"/>
      </w:pPr>
      <w:r w:rsidRPr="00382917">
        <w:t>Throughout</w:t>
      </w:r>
      <w:r w:rsidR="00EE4FC3">
        <w:t xml:space="preserve"> </w:t>
      </w:r>
      <w:r w:rsidRPr="00382917">
        <w:t>Bahá</w:t>
      </w:r>
      <w:r w:rsidR="009C713D" w:rsidRPr="00382917">
        <w:t>’</w:t>
      </w:r>
      <w:r w:rsidRPr="00382917">
        <w:t>u</w:t>
      </w:r>
      <w:r w:rsidR="009C713D" w:rsidRPr="00382917">
        <w:t>’</w:t>
      </w:r>
      <w:r w:rsidRPr="00382917">
        <w:t>lláh</w:t>
      </w:r>
      <w:r w:rsidR="009C713D" w:rsidRPr="00382917">
        <w:t>’</w:t>
      </w:r>
      <w:r w:rsidRPr="00382917">
        <w:t>s</w:t>
      </w:r>
      <w:r w:rsidR="00EE4FC3">
        <w:t xml:space="preserve"> </w:t>
      </w:r>
      <w:r w:rsidRPr="00382917">
        <w:t>Teachings,</w:t>
      </w:r>
      <w:r w:rsidR="00EE4FC3">
        <w:t xml:space="preserve"> </w:t>
      </w:r>
      <w:r w:rsidRPr="00382917">
        <w:t>such</w:t>
      </w:r>
      <w:r w:rsidR="00EE4FC3">
        <w:t xml:space="preserve"> </w:t>
      </w:r>
      <w:r w:rsidRPr="00382917">
        <w:t>additional</w:t>
      </w:r>
      <w:r w:rsidR="00EE4FC3">
        <w:t xml:space="preserve"> </w:t>
      </w:r>
      <w:r w:rsidRPr="00382917">
        <w:t>counsels</w:t>
      </w:r>
      <w:r w:rsidR="00EE4FC3">
        <w:t xml:space="preserve"> </w:t>
      </w:r>
      <w:r w:rsidR="001D79C2">
        <w:t xml:space="preserve">by ‘Abdu’l-Bahá </w:t>
      </w:r>
      <w:r w:rsidRPr="00382917">
        <w:t>on</w:t>
      </w:r>
      <w:r w:rsidR="00EE4FC3">
        <w:t xml:space="preserve"> </w:t>
      </w:r>
      <w:r w:rsidRPr="00382917">
        <w:t>individual</w:t>
      </w:r>
      <w:r w:rsidR="00EE4FC3">
        <w:t xml:space="preserve"> </w:t>
      </w:r>
      <w:proofErr w:type="spellStart"/>
      <w:r w:rsidRPr="00382917">
        <w:t>behavior</w:t>
      </w:r>
      <w:proofErr w:type="spellEnd"/>
      <w:r w:rsidR="00EE4FC3">
        <w:t xml:space="preserve"> </w:t>
      </w:r>
      <w:r w:rsidRPr="00382917">
        <w:t>as</w:t>
      </w:r>
      <w:r w:rsidR="00EE4FC3">
        <w:t xml:space="preserve"> </w:t>
      </w:r>
      <w:r w:rsidRPr="00382917">
        <w:t>these</w:t>
      </w:r>
      <w:r w:rsidR="00EE4FC3">
        <w:t xml:space="preserve"> </w:t>
      </w:r>
      <w:r w:rsidRPr="00382917">
        <w:t>are</w:t>
      </w:r>
      <w:r w:rsidR="00EE4FC3">
        <w:t xml:space="preserve"> </w:t>
      </w:r>
      <w:r w:rsidRPr="00382917">
        <w:t>found:</w:t>
      </w:r>
    </w:p>
    <w:p w:rsidR="00300E83" w:rsidRPr="00382917" w:rsidRDefault="009C713D" w:rsidP="001D79C2">
      <w:pPr>
        <w:pStyle w:val="Quote"/>
      </w:pPr>
      <w:r w:rsidRPr="00382917">
        <w:t>“</w:t>
      </w:r>
      <w:r w:rsidR="00300E83" w:rsidRPr="00382917">
        <w:t>Do</w:t>
      </w:r>
      <w:r w:rsidR="00EE4FC3">
        <w:t xml:space="preserve"> </w:t>
      </w:r>
      <w:r w:rsidR="00300E83" w:rsidRPr="00382917">
        <w:t>not</w:t>
      </w:r>
      <w:r w:rsidR="00EE4FC3">
        <w:t xml:space="preserve"> </w:t>
      </w:r>
      <w:r w:rsidR="00300E83" w:rsidRPr="00382917">
        <w:t>be</w:t>
      </w:r>
      <w:r w:rsidR="00EE4FC3">
        <w:t xml:space="preserve"> </w:t>
      </w:r>
      <w:r w:rsidR="00300E83" w:rsidRPr="00382917">
        <w:t>content</w:t>
      </w:r>
      <w:r w:rsidR="00EE4FC3">
        <w:t xml:space="preserve"> </w:t>
      </w:r>
      <w:r w:rsidR="00300E83" w:rsidRPr="00382917">
        <w:t>with</w:t>
      </w:r>
      <w:r w:rsidR="00EE4FC3">
        <w:t xml:space="preserve"> </w:t>
      </w:r>
      <w:r w:rsidR="00300E83" w:rsidRPr="00382917">
        <w:t>showing</w:t>
      </w:r>
      <w:r w:rsidR="00EE4FC3">
        <w:t xml:space="preserve"> </w:t>
      </w:r>
      <w:r w:rsidR="00300E83" w:rsidRPr="00382917">
        <w:t>friendship</w:t>
      </w:r>
      <w:r w:rsidR="00EE4FC3">
        <w:t xml:space="preserve"> </w:t>
      </w:r>
      <w:r w:rsidR="00300E83" w:rsidRPr="00382917">
        <w:t>in</w:t>
      </w:r>
      <w:r w:rsidR="00EE4FC3">
        <w:t xml:space="preserve"> </w:t>
      </w:r>
      <w:r w:rsidR="00300E83" w:rsidRPr="00382917">
        <w:t>words</w:t>
      </w:r>
      <w:r w:rsidR="00EE4FC3">
        <w:t xml:space="preserve"> </w:t>
      </w:r>
      <w:proofErr w:type="gramStart"/>
      <w:r w:rsidR="00300E83" w:rsidRPr="00382917">
        <w:t>alone,</w:t>
      </w:r>
      <w:proofErr w:type="gramEnd"/>
      <w:r w:rsidR="00EE4FC3">
        <w:t xml:space="preserve"> </w:t>
      </w:r>
      <w:r w:rsidR="00300E83" w:rsidRPr="00382917">
        <w:t>let</w:t>
      </w:r>
      <w:r w:rsidR="00EE4FC3">
        <w:t xml:space="preserve"> </w:t>
      </w:r>
      <w:r w:rsidR="00300E83" w:rsidRPr="00382917">
        <w:t>your</w:t>
      </w:r>
      <w:r w:rsidR="00EE4FC3">
        <w:t xml:space="preserve"> </w:t>
      </w:r>
      <w:r w:rsidR="00300E83" w:rsidRPr="00382917">
        <w:t>heart</w:t>
      </w:r>
      <w:r w:rsidR="00EE4FC3">
        <w:t xml:space="preserve"> </w:t>
      </w:r>
      <w:r w:rsidR="00300E83" w:rsidRPr="00382917">
        <w:t>burn</w:t>
      </w:r>
      <w:r w:rsidR="00EE4FC3">
        <w:t xml:space="preserve"> </w:t>
      </w:r>
      <w:r w:rsidR="00300E83" w:rsidRPr="00382917">
        <w:t>with</w:t>
      </w:r>
      <w:r w:rsidR="00EE4FC3">
        <w:t xml:space="preserve"> </w:t>
      </w:r>
      <w:r w:rsidR="00300E83" w:rsidRPr="00382917">
        <w:t>loving</w:t>
      </w:r>
      <w:r w:rsidR="00EE4FC3">
        <w:t xml:space="preserve"> </w:t>
      </w:r>
      <w:r w:rsidR="00300E83" w:rsidRPr="00382917">
        <w:t>kindness</w:t>
      </w:r>
      <w:r w:rsidR="00EE4FC3">
        <w:t xml:space="preserve"> </w:t>
      </w:r>
      <w:r w:rsidR="00300E83" w:rsidRPr="00382917">
        <w:t>for</w:t>
      </w:r>
      <w:r w:rsidR="00EE4FC3">
        <w:t xml:space="preserve"> </w:t>
      </w:r>
      <w:r w:rsidR="00300E83" w:rsidRPr="00382917">
        <w:t>all</w:t>
      </w:r>
      <w:r w:rsidR="00EE4FC3">
        <w:t xml:space="preserve"> </w:t>
      </w:r>
      <w:r w:rsidR="00300E83" w:rsidRPr="00382917">
        <w:t>who</w:t>
      </w:r>
      <w:r w:rsidR="00EE4FC3">
        <w:t xml:space="preserve"> </w:t>
      </w:r>
      <w:r w:rsidR="00300E83" w:rsidRPr="00382917">
        <w:t>may</w:t>
      </w:r>
      <w:r w:rsidR="00EE4FC3">
        <w:t xml:space="preserve"> </w:t>
      </w:r>
      <w:r w:rsidR="00300E83" w:rsidRPr="00382917">
        <w:t>cross</w:t>
      </w:r>
      <w:r w:rsidR="00EE4FC3">
        <w:t xml:space="preserve"> </w:t>
      </w:r>
      <w:r w:rsidR="00300E83" w:rsidRPr="00382917">
        <w:t>your</w:t>
      </w:r>
      <w:r w:rsidR="00EE4FC3">
        <w:t xml:space="preserve"> </w:t>
      </w:r>
      <w:r w:rsidR="00300E83" w:rsidRPr="00382917">
        <w:t>path.</w:t>
      </w:r>
      <w:r w:rsidRPr="00382917">
        <w:t>”</w:t>
      </w:r>
      <w:r w:rsidR="001D79C2">
        <w:rPr>
          <w:rStyle w:val="FootnoteReference"/>
        </w:rPr>
        <w:footnoteReference w:id="349"/>
      </w:r>
    </w:p>
    <w:p w:rsidR="00300E83" w:rsidRPr="00382917" w:rsidRDefault="009C713D" w:rsidP="001D79C2">
      <w:pPr>
        <w:pStyle w:val="Quote"/>
      </w:pPr>
      <w:r w:rsidRPr="00382917">
        <w:t>“</w:t>
      </w:r>
      <w:r w:rsidR="00F04416" w:rsidRPr="00382917">
        <w:t>…</w:t>
      </w:r>
      <w:r w:rsidR="00EE4FC3">
        <w:t xml:space="preserve"> </w:t>
      </w:r>
      <w:proofErr w:type="gramStart"/>
      <w:r w:rsidR="00300E83" w:rsidRPr="00382917">
        <w:t>show</w:t>
      </w:r>
      <w:proofErr w:type="gramEnd"/>
      <w:r w:rsidR="00EE4FC3">
        <w:t xml:space="preserve"> </w:t>
      </w:r>
      <w:r w:rsidR="00300E83" w:rsidRPr="00382917">
        <w:t>the</w:t>
      </w:r>
      <w:r w:rsidR="00EE4FC3">
        <w:t xml:space="preserve"> </w:t>
      </w:r>
      <w:r w:rsidR="00300E83" w:rsidRPr="00382917">
        <w:t>utmost</w:t>
      </w:r>
      <w:r w:rsidR="00EE4FC3">
        <w:t xml:space="preserve"> </w:t>
      </w:r>
      <w:r w:rsidR="00300E83" w:rsidRPr="00382917">
        <w:t>kindness</w:t>
      </w:r>
      <w:r w:rsidR="00EE4FC3">
        <w:t xml:space="preserve"> </w:t>
      </w:r>
      <w:r w:rsidR="00300E83" w:rsidRPr="00382917">
        <w:t>and</w:t>
      </w:r>
      <w:r w:rsidR="00EE4FC3">
        <w:t xml:space="preserve"> </w:t>
      </w:r>
      <w:r w:rsidR="00300E83" w:rsidRPr="00382917">
        <w:t>compassion</w:t>
      </w:r>
      <w:r w:rsidR="00EE4FC3">
        <w:t xml:space="preserve"> </w:t>
      </w:r>
      <w:r w:rsidR="00300E83" w:rsidRPr="00382917">
        <w:t>to</w:t>
      </w:r>
      <w:r w:rsidR="00EE4FC3">
        <w:t xml:space="preserve"> </w:t>
      </w:r>
      <w:r w:rsidR="00300E83" w:rsidRPr="00382917">
        <w:t>the</w:t>
      </w:r>
      <w:r w:rsidR="00EE4FC3">
        <w:t xml:space="preserve"> </w:t>
      </w:r>
      <w:r w:rsidR="00300E83" w:rsidRPr="00382917">
        <w:t>sick</w:t>
      </w:r>
      <w:r w:rsidR="00EE4FC3">
        <w:t xml:space="preserve"> </w:t>
      </w:r>
      <w:r w:rsidR="00300E83" w:rsidRPr="00382917">
        <w:t>and</w:t>
      </w:r>
      <w:r w:rsidR="00EE4FC3">
        <w:t xml:space="preserve"> </w:t>
      </w:r>
      <w:r w:rsidR="00300E83" w:rsidRPr="00382917">
        <w:t>suffering</w:t>
      </w:r>
      <w:r w:rsidR="00552489">
        <w:t>.</w:t>
      </w:r>
      <w:r w:rsidR="00EE4FC3">
        <w:t xml:space="preserve">  </w:t>
      </w:r>
      <w:r w:rsidR="00300E83" w:rsidRPr="00382917">
        <w:t>This</w:t>
      </w:r>
      <w:r w:rsidR="00EE4FC3">
        <w:t xml:space="preserve"> </w:t>
      </w:r>
      <w:r w:rsidR="00300E83" w:rsidRPr="00382917">
        <w:t>has</w:t>
      </w:r>
      <w:r w:rsidR="00EE4FC3">
        <w:t xml:space="preserve"> </w:t>
      </w:r>
      <w:r w:rsidR="00300E83" w:rsidRPr="00382917">
        <w:t>greater</w:t>
      </w:r>
      <w:r w:rsidR="00EE4FC3">
        <w:t xml:space="preserve"> </w:t>
      </w:r>
      <w:r w:rsidR="00300E83" w:rsidRPr="00382917">
        <w:t>effect</w:t>
      </w:r>
      <w:r w:rsidR="00EE4FC3">
        <w:t xml:space="preserve"> </w:t>
      </w:r>
      <w:r w:rsidR="00300E83" w:rsidRPr="00382917">
        <w:t>than</w:t>
      </w:r>
      <w:r w:rsidR="00EE4FC3">
        <w:t xml:space="preserve"> </w:t>
      </w:r>
      <w:r w:rsidR="00300E83" w:rsidRPr="00382917">
        <w:t>the</w:t>
      </w:r>
      <w:r w:rsidR="00EE4FC3">
        <w:t xml:space="preserve"> </w:t>
      </w:r>
      <w:r w:rsidR="00300E83" w:rsidRPr="00382917">
        <w:t>remedy</w:t>
      </w:r>
      <w:r w:rsidR="00EE4FC3">
        <w:t xml:space="preserve"> </w:t>
      </w:r>
      <w:r w:rsidR="00300E83" w:rsidRPr="00382917">
        <w:t>itself</w:t>
      </w:r>
      <w:r w:rsidR="00552489">
        <w:t>.</w:t>
      </w:r>
      <w:r w:rsidR="00EE4FC3">
        <w:t xml:space="preserve">  </w:t>
      </w:r>
      <w:r w:rsidR="00300E83" w:rsidRPr="00382917">
        <w:t>You</w:t>
      </w:r>
      <w:r w:rsidR="00EE4FC3">
        <w:t xml:space="preserve"> </w:t>
      </w:r>
      <w:r w:rsidR="00300E83" w:rsidRPr="00382917">
        <w:t>must</w:t>
      </w:r>
      <w:r w:rsidR="00EE4FC3">
        <w:t xml:space="preserve"> </w:t>
      </w:r>
      <w:r w:rsidR="00300E83" w:rsidRPr="00382917">
        <w:t>always</w:t>
      </w:r>
      <w:r w:rsidR="00EE4FC3">
        <w:t xml:space="preserve"> </w:t>
      </w:r>
      <w:r w:rsidR="00300E83" w:rsidRPr="00382917">
        <w:t>have</w:t>
      </w:r>
      <w:r w:rsidR="00EE4FC3">
        <w:t xml:space="preserve"> </w:t>
      </w:r>
      <w:r w:rsidR="00300E83" w:rsidRPr="00382917">
        <w:t>this</w:t>
      </w:r>
      <w:r w:rsidR="00EE4FC3">
        <w:t xml:space="preserve"> </w:t>
      </w:r>
      <w:r w:rsidR="00300E83" w:rsidRPr="00382917">
        <w:t>thought</w:t>
      </w:r>
      <w:r w:rsidR="00EE4FC3">
        <w:t xml:space="preserve"> </w:t>
      </w:r>
      <w:r w:rsidR="00300E83" w:rsidRPr="00382917">
        <w:t>of</w:t>
      </w:r>
      <w:r w:rsidR="00EE4FC3">
        <w:t xml:space="preserve"> </w:t>
      </w:r>
      <w:r w:rsidR="00300E83" w:rsidRPr="00382917">
        <w:t>love</w:t>
      </w:r>
      <w:r w:rsidR="00EE4FC3">
        <w:t xml:space="preserve"> </w:t>
      </w:r>
      <w:r w:rsidR="00300E83" w:rsidRPr="00382917">
        <w:t>and</w:t>
      </w:r>
      <w:r w:rsidR="00EE4FC3">
        <w:t xml:space="preserve"> </w:t>
      </w:r>
      <w:r w:rsidR="00300E83" w:rsidRPr="00382917">
        <w:t>affection</w:t>
      </w:r>
      <w:r w:rsidR="00EE4FC3">
        <w:t xml:space="preserve"> </w:t>
      </w:r>
      <w:r w:rsidR="00300E83" w:rsidRPr="00382917">
        <w:t>when</w:t>
      </w:r>
      <w:r w:rsidR="00EE4FC3">
        <w:t xml:space="preserve"> </w:t>
      </w:r>
      <w:r w:rsidR="00300E83" w:rsidRPr="00382917">
        <w:t>you</w:t>
      </w:r>
      <w:r w:rsidR="00EE4FC3">
        <w:t xml:space="preserve"> </w:t>
      </w:r>
      <w:r w:rsidR="00300E83" w:rsidRPr="00382917">
        <w:t>visit</w:t>
      </w:r>
      <w:r w:rsidR="00EE4FC3">
        <w:t xml:space="preserve"> </w:t>
      </w:r>
      <w:r w:rsidR="00300E83" w:rsidRPr="00382917">
        <w:t>the</w:t>
      </w:r>
      <w:r w:rsidR="00EE4FC3">
        <w:t xml:space="preserve"> </w:t>
      </w:r>
      <w:r w:rsidR="00300E83" w:rsidRPr="00382917">
        <w:t>ailing</w:t>
      </w:r>
      <w:r w:rsidR="00EE4FC3">
        <w:t xml:space="preserve"> </w:t>
      </w:r>
      <w:r w:rsidR="00300E83" w:rsidRPr="00382917">
        <w:t>and</w:t>
      </w:r>
      <w:r w:rsidR="00EE4FC3">
        <w:t xml:space="preserve"> </w:t>
      </w:r>
      <w:r w:rsidR="00300E83" w:rsidRPr="00382917">
        <w:t>afflicted.</w:t>
      </w:r>
      <w:r w:rsidRPr="00382917">
        <w:t>”</w:t>
      </w:r>
      <w:r w:rsidR="001D79C2">
        <w:rPr>
          <w:rStyle w:val="FootnoteReference"/>
        </w:rPr>
        <w:footnoteReference w:id="350"/>
      </w:r>
    </w:p>
    <w:p w:rsidR="00300E83" w:rsidRPr="00382917" w:rsidRDefault="00300E83" w:rsidP="00650F8F">
      <w:pPr>
        <w:pStyle w:val="Text"/>
      </w:pPr>
      <w:r w:rsidRPr="00382917">
        <w:t>Bahá</w:t>
      </w:r>
      <w:r w:rsidR="009C713D" w:rsidRPr="00382917">
        <w:t>’</w:t>
      </w:r>
      <w:r w:rsidRPr="00382917">
        <w:t>u</w:t>
      </w:r>
      <w:r w:rsidR="009C713D" w:rsidRPr="00382917">
        <w:t>’</w:t>
      </w:r>
      <w:r w:rsidRPr="00382917">
        <w:t>lláh</w:t>
      </w:r>
      <w:r w:rsidR="00EE4FC3">
        <w:t xml:space="preserve"> </w:t>
      </w:r>
      <w:r w:rsidRPr="00382917">
        <w:t>has</w:t>
      </w:r>
      <w:r w:rsidR="00EE4FC3">
        <w:t xml:space="preserve"> </w:t>
      </w:r>
      <w:r w:rsidRPr="00382917">
        <w:t>given</w:t>
      </w:r>
      <w:r w:rsidR="00EE4FC3">
        <w:t xml:space="preserve"> </w:t>
      </w:r>
      <w:r w:rsidRPr="00382917">
        <w:t>the</w:t>
      </w:r>
      <w:r w:rsidR="00EE4FC3">
        <w:t xml:space="preserve"> </w:t>
      </w:r>
      <w:r w:rsidRPr="00382917">
        <w:t>following</w:t>
      </w:r>
      <w:r w:rsidR="00EE4FC3">
        <w:t xml:space="preserve"> </w:t>
      </w:r>
      <w:r w:rsidRPr="00382917">
        <w:t>standard</w:t>
      </w:r>
      <w:r w:rsidR="00EE4FC3">
        <w:t xml:space="preserve"> </w:t>
      </w:r>
      <w:r w:rsidRPr="00382917">
        <w:t>of</w:t>
      </w:r>
      <w:r w:rsidR="00EE4FC3">
        <w:t xml:space="preserve"> </w:t>
      </w:r>
      <w:r w:rsidRPr="00382917">
        <w:t>conduct</w:t>
      </w:r>
      <w:r w:rsidR="00EE4FC3">
        <w:t xml:space="preserve"> </w:t>
      </w:r>
      <w:r w:rsidRPr="00382917">
        <w:t>for</w:t>
      </w:r>
      <w:r w:rsidR="00EE4FC3">
        <w:t xml:space="preserve"> </w:t>
      </w:r>
      <w:r w:rsidRPr="00382917">
        <w:t>all</w:t>
      </w:r>
      <w:r w:rsidR="00EE4FC3">
        <w:t xml:space="preserve"> </w:t>
      </w:r>
      <w:r w:rsidRPr="00382917">
        <w:t>His</w:t>
      </w:r>
      <w:r w:rsidR="00EE4FC3">
        <w:t xml:space="preserve"> </w:t>
      </w:r>
      <w:r w:rsidRPr="00382917">
        <w:t>followers:</w:t>
      </w:r>
    </w:p>
    <w:p w:rsidR="00300E83" w:rsidRPr="00382917" w:rsidRDefault="009C713D" w:rsidP="0075274D">
      <w:pPr>
        <w:pStyle w:val="Quote"/>
      </w:pPr>
      <w:r w:rsidRPr="00382917">
        <w:t>“</w:t>
      </w:r>
      <w:r w:rsidR="00300E83" w:rsidRPr="00382917">
        <w:t>Be</w:t>
      </w:r>
      <w:r w:rsidR="00EE4FC3">
        <w:t xml:space="preserve"> </w:t>
      </w:r>
      <w:r w:rsidR="00300E83" w:rsidRPr="00382917">
        <w:t>generous</w:t>
      </w:r>
      <w:r w:rsidR="00EE4FC3">
        <w:t xml:space="preserve"> </w:t>
      </w:r>
      <w:r w:rsidR="00300E83" w:rsidRPr="00382917">
        <w:t>in</w:t>
      </w:r>
      <w:r w:rsidR="00EE4FC3">
        <w:t xml:space="preserve"> </w:t>
      </w:r>
      <w:r w:rsidR="00300E83" w:rsidRPr="00382917">
        <w:t>prosperity,</w:t>
      </w:r>
      <w:r w:rsidR="00EE4FC3">
        <w:t xml:space="preserve"> </w:t>
      </w:r>
      <w:r w:rsidR="00300E83" w:rsidRPr="00382917">
        <w:t>and</w:t>
      </w:r>
      <w:r w:rsidR="00EE4FC3">
        <w:t xml:space="preserve"> </w:t>
      </w:r>
      <w:r w:rsidR="00300E83" w:rsidRPr="00382917">
        <w:t>thankful</w:t>
      </w:r>
      <w:r w:rsidR="00EE4FC3">
        <w:t xml:space="preserve"> </w:t>
      </w:r>
      <w:r w:rsidR="00300E83" w:rsidRPr="00382917">
        <w:t>in</w:t>
      </w:r>
      <w:r w:rsidR="00EE4FC3">
        <w:t xml:space="preserve"> </w:t>
      </w:r>
      <w:r w:rsidR="00300E83" w:rsidRPr="00382917">
        <w:t>adversity</w:t>
      </w:r>
      <w:r w:rsidR="00552489">
        <w:t>.</w:t>
      </w:r>
      <w:r w:rsidR="00EE4FC3">
        <w:t xml:space="preserve">  </w:t>
      </w:r>
      <w:r w:rsidR="00300E83" w:rsidRPr="00382917">
        <w:t>Be</w:t>
      </w:r>
      <w:r w:rsidR="00EE4FC3">
        <w:t xml:space="preserve"> </w:t>
      </w:r>
      <w:r w:rsidR="00300E83" w:rsidRPr="00382917">
        <w:t>worthy</w:t>
      </w:r>
      <w:r w:rsidR="00EE4FC3">
        <w:t xml:space="preserve"> </w:t>
      </w:r>
      <w:r w:rsidR="00300E83" w:rsidRPr="00382917">
        <w:t>of</w:t>
      </w:r>
      <w:r w:rsidR="00EE4FC3">
        <w:t xml:space="preserve"> </w:t>
      </w:r>
      <w:r w:rsidR="00300E83" w:rsidRPr="00382917">
        <w:t>the</w:t>
      </w:r>
      <w:r w:rsidR="00EE4FC3">
        <w:t xml:space="preserve"> </w:t>
      </w:r>
      <w:r w:rsidR="00300E83" w:rsidRPr="00382917">
        <w:t>trust</w:t>
      </w:r>
      <w:r w:rsidR="00EE4FC3">
        <w:t xml:space="preserve"> </w:t>
      </w:r>
      <w:r w:rsidR="00300E83" w:rsidRPr="00382917">
        <w:t>of</w:t>
      </w:r>
      <w:r w:rsidR="00EE4FC3">
        <w:t xml:space="preserve"> </w:t>
      </w:r>
      <w:r w:rsidR="00300E83" w:rsidRPr="00382917">
        <w:t>thy</w:t>
      </w:r>
      <w:r w:rsidR="00EE4FC3">
        <w:t xml:space="preserve"> </w:t>
      </w:r>
      <w:proofErr w:type="spellStart"/>
      <w:r w:rsidR="00300E83" w:rsidRPr="00382917">
        <w:t>neighbor</w:t>
      </w:r>
      <w:proofErr w:type="spellEnd"/>
      <w:r w:rsidR="00300E83" w:rsidRPr="00382917">
        <w:t>,</w:t>
      </w:r>
      <w:r w:rsidR="00EE4FC3">
        <w:t xml:space="preserve"> </w:t>
      </w:r>
      <w:r w:rsidR="00300E83" w:rsidRPr="00382917">
        <w:t>and</w:t>
      </w:r>
      <w:r w:rsidR="00EE4FC3">
        <w:t xml:space="preserve"> </w:t>
      </w:r>
      <w:r w:rsidR="00300E83" w:rsidRPr="00382917">
        <w:t>look</w:t>
      </w:r>
      <w:r w:rsidR="00EE4FC3">
        <w:t xml:space="preserve"> </w:t>
      </w:r>
      <w:r w:rsidR="00300E83" w:rsidRPr="00382917">
        <w:t>upon</w:t>
      </w:r>
      <w:r w:rsidR="00EE4FC3">
        <w:t xml:space="preserve"> </w:t>
      </w:r>
      <w:r w:rsidR="00300E83" w:rsidRPr="00382917">
        <w:t>him</w:t>
      </w:r>
      <w:r w:rsidR="00EE4FC3">
        <w:t xml:space="preserve"> </w:t>
      </w:r>
      <w:r w:rsidR="00300E83" w:rsidRPr="00382917">
        <w:t>with</w:t>
      </w:r>
      <w:r w:rsidR="00EE4FC3">
        <w:t xml:space="preserve"> </w:t>
      </w:r>
      <w:r w:rsidR="00300E83" w:rsidRPr="00382917">
        <w:t>a</w:t>
      </w:r>
    </w:p>
    <w:p w:rsidR="00650F8F" w:rsidRPr="00382917" w:rsidRDefault="00650F8F">
      <w:pPr>
        <w:widowControl/>
        <w:kinsoku/>
        <w:overflowPunct/>
        <w:textAlignment w:val="auto"/>
      </w:pPr>
      <w:r w:rsidRPr="00382917">
        <w:br w:type="page"/>
      </w:r>
    </w:p>
    <w:p w:rsidR="00300E83" w:rsidRPr="00382917" w:rsidRDefault="00300E83" w:rsidP="0075274D">
      <w:pPr>
        <w:pStyle w:val="Quote"/>
      </w:pPr>
      <w:proofErr w:type="gramStart"/>
      <w:r w:rsidRPr="00382917">
        <w:t>bright</w:t>
      </w:r>
      <w:proofErr w:type="gramEnd"/>
      <w:r w:rsidR="00EE4FC3">
        <w:t xml:space="preserve"> </w:t>
      </w:r>
      <w:r w:rsidRPr="00382917">
        <w:t>and</w:t>
      </w:r>
      <w:r w:rsidR="00EE4FC3">
        <w:t xml:space="preserve"> </w:t>
      </w:r>
      <w:r w:rsidRPr="00382917">
        <w:t>friendly</w:t>
      </w:r>
      <w:r w:rsidR="00EE4FC3">
        <w:t xml:space="preserve"> </w:t>
      </w:r>
      <w:r w:rsidRPr="00382917">
        <w:t>face</w:t>
      </w:r>
      <w:r w:rsidR="00552489">
        <w:t>.</w:t>
      </w:r>
      <w:r w:rsidR="00EE4FC3">
        <w:t xml:space="preserve">  </w:t>
      </w:r>
      <w:r w:rsidRPr="00382917">
        <w:t>Be</w:t>
      </w:r>
      <w:r w:rsidR="00EE4FC3">
        <w:t xml:space="preserve"> </w:t>
      </w:r>
      <w:r w:rsidRPr="00382917">
        <w:t>a</w:t>
      </w:r>
      <w:r w:rsidR="00EE4FC3">
        <w:t xml:space="preserve"> </w:t>
      </w:r>
      <w:r w:rsidRPr="00382917">
        <w:t>treasure</w:t>
      </w:r>
      <w:r w:rsidR="00EE4FC3">
        <w:t xml:space="preserve"> </w:t>
      </w:r>
      <w:r w:rsidRPr="00382917">
        <w:t>to</w:t>
      </w:r>
      <w:r w:rsidR="00EE4FC3">
        <w:t xml:space="preserve"> </w:t>
      </w:r>
      <w:r w:rsidRPr="00382917">
        <w:t>the</w:t>
      </w:r>
      <w:r w:rsidR="00EE4FC3">
        <w:t xml:space="preserve"> </w:t>
      </w:r>
      <w:proofErr w:type="gramStart"/>
      <w:r w:rsidRPr="00382917">
        <w:t>poor,</w:t>
      </w:r>
      <w:r w:rsidR="00EE4FC3">
        <w:t xml:space="preserve"> </w:t>
      </w:r>
      <w:r w:rsidR="00F04416" w:rsidRPr="00382917">
        <w:t>…</w:t>
      </w:r>
      <w:proofErr w:type="gramEnd"/>
      <w:r w:rsidR="00EE4FC3">
        <w:t xml:space="preserve"> </w:t>
      </w:r>
      <w:r w:rsidRPr="00382917">
        <w:t>an</w:t>
      </w:r>
      <w:r w:rsidR="00EE4FC3">
        <w:t xml:space="preserve"> </w:t>
      </w:r>
      <w:r w:rsidRPr="00382917">
        <w:t>answerer</w:t>
      </w:r>
      <w:r w:rsidR="00EE4FC3">
        <w:t xml:space="preserve"> </w:t>
      </w:r>
      <w:r w:rsidRPr="00382917">
        <w:t>to</w:t>
      </w:r>
      <w:r w:rsidR="00EE4FC3">
        <w:t xml:space="preserve"> </w:t>
      </w:r>
      <w:r w:rsidRPr="00382917">
        <w:t>the</w:t>
      </w:r>
      <w:r w:rsidR="00EE4FC3">
        <w:t xml:space="preserve"> </w:t>
      </w:r>
      <w:r w:rsidRPr="00382917">
        <w:t>cry</w:t>
      </w:r>
      <w:r w:rsidR="00EE4FC3">
        <w:t xml:space="preserve"> </w:t>
      </w:r>
      <w:r w:rsidRPr="00382917">
        <w:t>of</w:t>
      </w:r>
      <w:r w:rsidR="00EE4FC3">
        <w:t xml:space="preserve"> </w:t>
      </w:r>
      <w:r w:rsidRPr="00382917">
        <w:t>the</w:t>
      </w:r>
      <w:r w:rsidR="00EE4FC3">
        <w:t xml:space="preserve"> </w:t>
      </w:r>
      <w:r w:rsidRPr="00382917">
        <w:t>needy</w:t>
      </w:r>
      <w:r w:rsidR="0075274D">
        <w:t xml:space="preserve"> </w:t>
      </w:r>
      <w:r w:rsidR="00F04416" w:rsidRPr="00382917">
        <w:t>…</w:t>
      </w:r>
      <w:r w:rsidR="00552489">
        <w:t>.</w:t>
      </w:r>
      <w:r w:rsidR="00EE4FC3">
        <w:t xml:space="preserve">  </w:t>
      </w:r>
      <w:r w:rsidRPr="00382917">
        <w:t>Be</w:t>
      </w:r>
      <w:r w:rsidR="00EE4FC3">
        <w:t xml:space="preserve"> </w:t>
      </w:r>
      <w:r w:rsidRPr="00382917">
        <w:t>unjust</w:t>
      </w:r>
      <w:r w:rsidR="00EE4FC3">
        <w:t xml:space="preserve"> </w:t>
      </w:r>
      <w:r w:rsidRPr="00382917">
        <w:t>to</w:t>
      </w:r>
      <w:r w:rsidR="00EE4FC3">
        <w:t xml:space="preserve"> </w:t>
      </w:r>
      <w:r w:rsidRPr="00382917">
        <w:t>no</w:t>
      </w:r>
      <w:r w:rsidR="00EE4FC3">
        <w:t xml:space="preserve"> </w:t>
      </w:r>
      <w:r w:rsidRPr="00382917">
        <w:t>man</w:t>
      </w:r>
      <w:r w:rsidR="0075274D">
        <w:t xml:space="preserve"> </w:t>
      </w:r>
      <w:r w:rsidR="00F04416" w:rsidRPr="00382917">
        <w:t>…</w:t>
      </w:r>
      <w:r w:rsidR="00552489">
        <w:t>.</w:t>
      </w:r>
      <w:r w:rsidR="00EE4FC3">
        <w:t xml:space="preserve">  </w:t>
      </w:r>
      <w:r w:rsidRPr="00382917">
        <w:t>Be</w:t>
      </w:r>
      <w:r w:rsidR="00EE4FC3">
        <w:t xml:space="preserve"> </w:t>
      </w:r>
      <w:r w:rsidRPr="00382917">
        <w:t>as</w:t>
      </w:r>
      <w:r w:rsidR="00EE4FC3">
        <w:t xml:space="preserve"> </w:t>
      </w:r>
      <w:r w:rsidRPr="00382917">
        <w:t>a</w:t>
      </w:r>
      <w:r w:rsidR="00EE4FC3">
        <w:t xml:space="preserve"> </w:t>
      </w:r>
      <w:r w:rsidRPr="00382917">
        <w:t>lamp</w:t>
      </w:r>
      <w:r w:rsidR="00EE4FC3">
        <w:t xml:space="preserve"> </w:t>
      </w:r>
      <w:r w:rsidRPr="00382917">
        <w:t>unto</w:t>
      </w:r>
      <w:r w:rsidR="00EE4FC3">
        <w:t xml:space="preserve"> </w:t>
      </w:r>
      <w:r w:rsidRPr="00382917">
        <w:t>them</w:t>
      </w:r>
      <w:r w:rsidR="00EE4FC3">
        <w:t xml:space="preserve"> </w:t>
      </w:r>
      <w:r w:rsidRPr="00382917">
        <w:t>that</w:t>
      </w:r>
      <w:r w:rsidR="00EE4FC3">
        <w:t xml:space="preserve"> </w:t>
      </w:r>
      <w:r w:rsidRPr="00382917">
        <w:t>walk</w:t>
      </w:r>
      <w:r w:rsidR="00EE4FC3">
        <w:t xml:space="preserve"> </w:t>
      </w:r>
      <w:r w:rsidRPr="00382917">
        <w:t>in</w:t>
      </w:r>
      <w:r w:rsidR="00EE4FC3">
        <w:t xml:space="preserve"> </w:t>
      </w:r>
      <w:r w:rsidRPr="00382917">
        <w:t>darkness,</w:t>
      </w:r>
      <w:r w:rsidR="00EE4FC3">
        <w:t xml:space="preserve"> </w:t>
      </w:r>
      <w:r w:rsidRPr="00382917">
        <w:t>a</w:t>
      </w:r>
      <w:r w:rsidR="00EE4FC3">
        <w:t xml:space="preserve"> </w:t>
      </w:r>
      <w:r w:rsidRPr="00382917">
        <w:t>joy</w:t>
      </w:r>
      <w:r w:rsidR="00EE4FC3">
        <w:t xml:space="preserve"> </w:t>
      </w:r>
      <w:r w:rsidRPr="00382917">
        <w:t>to</w:t>
      </w:r>
      <w:r w:rsidR="00EE4FC3">
        <w:t xml:space="preserve"> </w:t>
      </w:r>
      <w:r w:rsidRPr="00382917">
        <w:t>the</w:t>
      </w:r>
      <w:r w:rsidR="00EE4FC3">
        <w:t xml:space="preserve"> </w:t>
      </w:r>
      <w:r w:rsidRPr="00382917">
        <w:t>sorrowful,</w:t>
      </w:r>
      <w:r w:rsidR="00EE4FC3">
        <w:t xml:space="preserve"> </w:t>
      </w:r>
      <w:r w:rsidRPr="00382917">
        <w:t>a</w:t>
      </w:r>
      <w:r w:rsidR="00EE4FC3">
        <w:t xml:space="preserve"> </w:t>
      </w:r>
      <w:r w:rsidRPr="00382917">
        <w:t>sea</w:t>
      </w:r>
      <w:r w:rsidR="00EE4FC3">
        <w:t xml:space="preserve"> </w:t>
      </w:r>
      <w:r w:rsidRPr="00382917">
        <w:t>for</w:t>
      </w:r>
      <w:r w:rsidR="00EE4FC3">
        <w:t xml:space="preserve"> </w:t>
      </w:r>
      <w:r w:rsidRPr="00382917">
        <w:t>the</w:t>
      </w:r>
      <w:r w:rsidR="00EE4FC3">
        <w:t xml:space="preserve"> </w:t>
      </w:r>
      <w:r w:rsidRPr="00382917">
        <w:t>thirsty,</w:t>
      </w:r>
      <w:r w:rsidR="00EE4FC3">
        <w:t xml:space="preserve"> </w:t>
      </w:r>
      <w:r w:rsidRPr="00382917">
        <w:t>a</w:t>
      </w:r>
      <w:r w:rsidR="00EE4FC3">
        <w:t xml:space="preserve"> </w:t>
      </w:r>
      <w:r w:rsidRPr="00382917">
        <w:t>haven</w:t>
      </w:r>
      <w:r w:rsidR="00EE4FC3">
        <w:t xml:space="preserve"> </w:t>
      </w:r>
      <w:r w:rsidRPr="00382917">
        <w:t>for</w:t>
      </w:r>
      <w:r w:rsidR="00EE4FC3">
        <w:t xml:space="preserve"> </w:t>
      </w:r>
      <w:r w:rsidRPr="00382917">
        <w:t>the</w:t>
      </w:r>
      <w:r w:rsidR="00EE4FC3">
        <w:t xml:space="preserve"> </w:t>
      </w:r>
      <w:r w:rsidRPr="00382917">
        <w:t>distressed,</w:t>
      </w:r>
      <w:r w:rsidR="00EE4FC3">
        <w:t xml:space="preserve"> </w:t>
      </w:r>
      <w:r w:rsidRPr="00382917">
        <w:t>an</w:t>
      </w:r>
      <w:r w:rsidR="00EE4FC3">
        <w:t xml:space="preserve"> </w:t>
      </w:r>
      <w:r w:rsidRPr="00382917">
        <w:t>upholder</w:t>
      </w:r>
      <w:r w:rsidR="00EE4FC3">
        <w:t xml:space="preserve"> </w:t>
      </w:r>
      <w:r w:rsidRPr="00382917">
        <w:t>and</w:t>
      </w:r>
      <w:r w:rsidR="00EE4FC3">
        <w:t xml:space="preserve"> </w:t>
      </w:r>
      <w:r w:rsidRPr="00382917">
        <w:t>defender</w:t>
      </w:r>
      <w:r w:rsidR="00EE4FC3">
        <w:t xml:space="preserve"> </w:t>
      </w:r>
      <w:r w:rsidRPr="00382917">
        <w:t>of</w:t>
      </w:r>
      <w:r w:rsidR="00EE4FC3">
        <w:t xml:space="preserve"> </w:t>
      </w:r>
      <w:r w:rsidRPr="00382917">
        <w:t>the</w:t>
      </w:r>
      <w:r w:rsidR="00EE4FC3">
        <w:t xml:space="preserve"> </w:t>
      </w:r>
      <w:r w:rsidRPr="00382917">
        <w:t>victim</w:t>
      </w:r>
      <w:r w:rsidR="00EE4FC3">
        <w:t xml:space="preserve"> </w:t>
      </w:r>
      <w:r w:rsidRPr="00382917">
        <w:t>of</w:t>
      </w:r>
      <w:r w:rsidR="00EE4FC3">
        <w:t xml:space="preserve"> </w:t>
      </w:r>
      <w:r w:rsidRPr="00382917">
        <w:t>oppression</w:t>
      </w:r>
      <w:proofErr w:type="gramStart"/>
      <w:r w:rsidR="0075274D">
        <w:t xml:space="preserve">. </w:t>
      </w:r>
      <w:proofErr w:type="gramEnd"/>
      <w:r w:rsidR="00F04416" w:rsidRPr="00382917">
        <w:t>…</w:t>
      </w:r>
      <w:r w:rsidR="00EE4FC3">
        <w:t xml:space="preserve">  </w:t>
      </w:r>
      <w:r w:rsidRPr="00382917">
        <w:t>Be</w:t>
      </w:r>
      <w:r w:rsidR="00EE4FC3">
        <w:t xml:space="preserve"> </w:t>
      </w:r>
      <w:r w:rsidRPr="00382917">
        <w:t>a</w:t>
      </w:r>
      <w:r w:rsidR="00EE4FC3">
        <w:t xml:space="preserve"> </w:t>
      </w:r>
      <w:r w:rsidRPr="00382917">
        <w:t>home</w:t>
      </w:r>
      <w:r w:rsidR="00EE4FC3">
        <w:t xml:space="preserve"> </w:t>
      </w:r>
      <w:r w:rsidRPr="00382917">
        <w:t>for</w:t>
      </w:r>
      <w:r w:rsidR="00EE4FC3">
        <w:t xml:space="preserve"> </w:t>
      </w:r>
      <w:r w:rsidRPr="00382917">
        <w:t>the</w:t>
      </w:r>
      <w:r w:rsidR="00EE4FC3">
        <w:t xml:space="preserve"> </w:t>
      </w:r>
      <w:r w:rsidRPr="00382917">
        <w:t>stranger,</w:t>
      </w:r>
      <w:r w:rsidR="00EE4FC3">
        <w:t xml:space="preserve"> </w:t>
      </w:r>
      <w:r w:rsidRPr="00382917">
        <w:t>a</w:t>
      </w:r>
      <w:r w:rsidR="00EE4FC3">
        <w:t xml:space="preserve"> </w:t>
      </w:r>
      <w:r w:rsidRPr="00382917">
        <w:t>balm</w:t>
      </w:r>
      <w:r w:rsidR="00EE4FC3">
        <w:t xml:space="preserve"> </w:t>
      </w:r>
      <w:r w:rsidRPr="00382917">
        <w:t>to</w:t>
      </w:r>
      <w:r w:rsidR="00EE4FC3">
        <w:t xml:space="preserve"> </w:t>
      </w:r>
      <w:r w:rsidRPr="00382917">
        <w:t>the</w:t>
      </w:r>
      <w:r w:rsidR="00EE4FC3">
        <w:t xml:space="preserve"> </w:t>
      </w:r>
      <w:r w:rsidRPr="00382917">
        <w:t>suffering,</w:t>
      </w:r>
      <w:r w:rsidR="00EE4FC3">
        <w:t xml:space="preserve"> </w:t>
      </w:r>
      <w:proofErr w:type="gramStart"/>
      <w:r w:rsidRPr="00382917">
        <w:t>a</w:t>
      </w:r>
      <w:proofErr w:type="gramEnd"/>
      <w:r w:rsidR="00EE4FC3">
        <w:t xml:space="preserve"> </w:t>
      </w:r>
      <w:r w:rsidRPr="00382917">
        <w:t>tower</w:t>
      </w:r>
      <w:r w:rsidR="00EE4FC3">
        <w:t xml:space="preserve"> </w:t>
      </w:r>
      <w:r w:rsidRPr="00382917">
        <w:t>of</w:t>
      </w:r>
      <w:r w:rsidR="00EE4FC3">
        <w:t xml:space="preserve"> </w:t>
      </w:r>
      <w:r w:rsidRPr="00382917">
        <w:t>strength</w:t>
      </w:r>
      <w:r w:rsidR="00EE4FC3">
        <w:t xml:space="preserve"> </w:t>
      </w:r>
      <w:r w:rsidRPr="00382917">
        <w:t>for</w:t>
      </w:r>
      <w:r w:rsidR="00EE4FC3">
        <w:t xml:space="preserve"> </w:t>
      </w:r>
      <w:r w:rsidRPr="00382917">
        <w:t>the</w:t>
      </w:r>
      <w:r w:rsidR="00EE4FC3">
        <w:t xml:space="preserve"> </w:t>
      </w:r>
      <w:r w:rsidRPr="00382917">
        <w:t>fugitive</w:t>
      </w:r>
      <w:r w:rsidR="00552489">
        <w:t>.</w:t>
      </w:r>
      <w:r w:rsidR="00EE4FC3">
        <w:t xml:space="preserve">  </w:t>
      </w:r>
      <w:r w:rsidRPr="00382917">
        <w:t>Be</w:t>
      </w:r>
      <w:r w:rsidR="00EE4FC3">
        <w:t xml:space="preserve"> </w:t>
      </w:r>
      <w:r w:rsidRPr="00382917">
        <w:t>eyes</w:t>
      </w:r>
      <w:r w:rsidR="00EE4FC3">
        <w:t xml:space="preserve"> </w:t>
      </w:r>
      <w:r w:rsidRPr="00382917">
        <w:t>to</w:t>
      </w:r>
      <w:r w:rsidR="00EE4FC3">
        <w:t xml:space="preserve"> </w:t>
      </w:r>
      <w:r w:rsidRPr="00382917">
        <w:t>the</w:t>
      </w:r>
      <w:r w:rsidR="00EE4FC3">
        <w:t xml:space="preserve"> </w:t>
      </w:r>
      <w:r w:rsidRPr="00382917">
        <w:t>blind,</w:t>
      </w:r>
      <w:r w:rsidR="00EE4FC3">
        <w:t xml:space="preserve"> </w:t>
      </w:r>
      <w:r w:rsidRPr="00382917">
        <w:t>and</w:t>
      </w:r>
      <w:r w:rsidR="00EE4FC3">
        <w:t xml:space="preserve"> </w:t>
      </w:r>
      <w:r w:rsidRPr="00382917">
        <w:t>a</w:t>
      </w:r>
      <w:r w:rsidR="00EE4FC3">
        <w:t xml:space="preserve"> </w:t>
      </w:r>
      <w:r w:rsidRPr="00382917">
        <w:t>guiding</w:t>
      </w:r>
      <w:r w:rsidR="00EE4FC3">
        <w:t xml:space="preserve"> </w:t>
      </w:r>
      <w:r w:rsidRPr="00382917">
        <w:t>light</w:t>
      </w:r>
      <w:r w:rsidR="00EE4FC3">
        <w:t xml:space="preserve"> </w:t>
      </w:r>
      <w:r w:rsidRPr="00382917">
        <w:t>unto</w:t>
      </w:r>
      <w:r w:rsidR="00EE4FC3">
        <w:t xml:space="preserve"> </w:t>
      </w:r>
      <w:r w:rsidRPr="00382917">
        <w:t>the</w:t>
      </w:r>
      <w:r w:rsidR="00EE4FC3">
        <w:t xml:space="preserve"> </w:t>
      </w:r>
      <w:r w:rsidRPr="00382917">
        <w:t>feet</w:t>
      </w:r>
      <w:r w:rsidR="00EE4FC3">
        <w:t xml:space="preserve"> </w:t>
      </w:r>
      <w:r w:rsidRPr="00382917">
        <w:t>of</w:t>
      </w:r>
      <w:r w:rsidR="00EE4FC3">
        <w:t xml:space="preserve"> </w:t>
      </w:r>
      <w:r w:rsidRPr="00382917">
        <w:t>the</w:t>
      </w:r>
      <w:r w:rsidR="00EE4FC3">
        <w:t xml:space="preserve"> </w:t>
      </w:r>
      <w:r w:rsidRPr="00382917">
        <w:t>erring</w:t>
      </w:r>
      <w:proofErr w:type="gramStart"/>
      <w:r w:rsidR="0075274D">
        <w:t xml:space="preserve">. </w:t>
      </w:r>
      <w:r w:rsidR="00F04416" w:rsidRPr="00382917">
        <w:t>…</w:t>
      </w:r>
      <w:r w:rsidR="0075274D">
        <w:t xml:space="preserve"> </w:t>
      </w:r>
      <w:r w:rsidR="00EE4FC3">
        <w:t xml:space="preserve"> </w:t>
      </w:r>
      <w:r w:rsidRPr="00382917">
        <w:t>a</w:t>
      </w:r>
      <w:proofErr w:type="gramEnd"/>
      <w:r w:rsidR="00EE4FC3">
        <w:t xml:space="preserve"> </w:t>
      </w:r>
      <w:r w:rsidRPr="00382917">
        <w:t>breath</w:t>
      </w:r>
      <w:r w:rsidR="00EE4FC3">
        <w:t xml:space="preserve"> </w:t>
      </w:r>
      <w:r w:rsidRPr="00382917">
        <w:t>of</w:t>
      </w:r>
      <w:r w:rsidR="00EE4FC3">
        <w:t xml:space="preserve"> </w:t>
      </w:r>
      <w:r w:rsidRPr="00382917">
        <w:t>life</w:t>
      </w:r>
      <w:r w:rsidR="00EE4FC3">
        <w:t xml:space="preserve"> </w:t>
      </w:r>
      <w:r w:rsidRPr="00382917">
        <w:t>to</w:t>
      </w:r>
      <w:r w:rsidR="00EE4FC3">
        <w:t xml:space="preserve"> </w:t>
      </w:r>
      <w:r w:rsidRPr="00382917">
        <w:t>the</w:t>
      </w:r>
      <w:r w:rsidR="00EE4FC3">
        <w:t xml:space="preserve"> </w:t>
      </w:r>
      <w:r w:rsidRPr="00382917">
        <w:t>body</w:t>
      </w:r>
      <w:r w:rsidR="00EE4FC3">
        <w:t xml:space="preserve"> </w:t>
      </w:r>
      <w:r w:rsidRPr="00382917">
        <w:t>of</w:t>
      </w:r>
      <w:r w:rsidR="00EE4FC3">
        <w:t xml:space="preserve"> </w:t>
      </w:r>
      <w:r w:rsidRPr="00382917">
        <w:t>mankind</w:t>
      </w:r>
      <w:r w:rsidR="0075274D">
        <w:t xml:space="preserve"> </w:t>
      </w:r>
      <w:r w:rsidR="00F04416" w:rsidRPr="00382917">
        <w:t>…</w:t>
      </w:r>
      <w:r w:rsidR="0075274D">
        <w:t>.</w:t>
      </w:r>
      <w:r w:rsidR="009C713D" w:rsidRPr="00382917">
        <w:t>”</w:t>
      </w:r>
      <w:r w:rsidR="0075274D">
        <w:rPr>
          <w:rStyle w:val="FootnoteReference"/>
        </w:rPr>
        <w:footnoteReference w:id="351"/>
      </w:r>
    </w:p>
    <w:p w:rsidR="00300E83" w:rsidRPr="00382917" w:rsidRDefault="00300E83" w:rsidP="00650F8F">
      <w:pPr>
        <w:pStyle w:val="Text"/>
      </w:pPr>
      <w:r w:rsidRPr="00382917">
        <w:t>This</w:t>
      </w:r>
      <w:r w:rsidR="00EE4FC3">
        <w:t xml:space="preserve"> </w:t>
      </w:r>
      <w:r w:rsidRPr="00382917">
        <w:t>is</w:t>
      </w:r>
      <w:r w:rsidR="00EE4FC3">
        <w:t xml:space="preserve"> </w:t>
      </w:r>
      <w:r w:rsidRPr="00382917">
        <w:t>another</w:t>
      </w:r>
      <w:r w:rsidR="00EE4FC3">
        <w:t xml:space="preserve"> </w:t>
      </w:r>
      <w:r w:rsidR="009C713D" w:rsidRPr="00382917">
        <w:t>“</w:t>
      </w:r>
      <w:r w:rsidRPr="00382917">
        <w:t>fruit</w:t>
      </w:r>
      <w:r w:rsidR="009C713D" w:rsidRPr="00382917">
        <w:t>”</w:t>
      </w:r>
      <w:r w:rsidR="00EE4FC3">
        <w:t xml:space="preserve"> </w:t>
      </w:r>
      <w:r w:rsidRPr="00382917">
        <w:t>taken</w:t>
      </w:r>
      <w:r w:rsidR="00EE4FC3">
        <w:t xml:space="preserve"> </w:t>
      </w:r>
      <w:r w:rsidRPr="00382917">
        <w:t>from</w:t>
      </w:r>
      <w:r w:rsidR="00EE4FC3">
        <w:t xml:space="preserve"> </w:t>
      </w:r>
      <w:r w:rsidRPr="00382917">
        <w:t>the</w:t>
      </w:r>
      <w:r w:rsidR="00EE4FC3">
        <w:t xml:space="preserve"> </w:t>
      </w:r>
      <w:r w:rsidRPr="00382917">
        <w:t>tree</w:t>
      </w:r>
      <w:r w:rsidR="00EE4FC3">
        <w:t xml:space="preserve"> </w:t>
      </w:r>
      <w:r w:rsidRPr="00382917">
        <w:t>of</w:t>
      </w:r>
      <w:r w:rsidR="00EE4FC3">
        <w:t xml:space="preserve"> </w:t>
      </w:r>
      <w:r w:rsidRPr="00382917">
        <w:t>Bahá</w:t>
      </w:r>
      <w:r w:rsidR="009C713D" w:rsidRPr="00382917">
        <w:t>’</w:t>
      </w:r>
      <w:r w:rsidRPr="00382917">
        <w:t>u</w:t>
      </w:r>
      <w:r w:rsidR="009C713D" w:rsidRPr="00382917">
        <w:t>’</w:t>
      </w:r>
      <w:r w:rsidRPr="00382917">
        <w:t>lláh</w:t>
      </w:r>
      <w:r w:rsidR="00552489">
        <w:t>.</w:t>
      </w:r>
      <w:r w:rsidR="00EE4FC3">
        <w:t xml:space="preserve">  </w:t>
      </w:r>
      <w:r w:rsidRPr="00382917">
        <w:t>Christ</w:t>
      </w:r>
      <w:r w:rsidR="00EE4FC3">
        <w:t xml:space="preserve"> </w:t>
      </w:r>
      <w:r w:rsidRPr="00382917">
        <w:t>said</w:t>
      </w:r>
      <w:r w:rsidR="00EE4FC3">
        <w:t xml:space="preserve"> </w:t>
      </w:r>
      <w:r w:rsidR="009C713D" w:rsidRPr="00382917">
        <w:t>“</w:t>
      </w:r>
      <w:r w:rsidRPr="00382917">
        <w:t>by</w:t>
      </w:r>
      <w:r w:rsidR="00EE4FC3">
        <w:t xml:space="preserve"> </w:t>
      </w:r>
      <w:r w:rsidRPr="00382917">
        <w:t>their</w:t>
      </w:r>
      <w:r w:rsidR="00EE4FC3">
        <w:t xml:space="preserve"> </w:t>
      </w:r>
      <w:r w:rsidRPr="00382917">
        <w:t>fruits</w:t>
      </w:r>
      <w:r w:rsidR="00EE4FC3">
        <w:t xml:space="preserve"> </w:t>
      </w:r>
      <w:r w:rsidRPr="00382917">
        <w:t>ye</w:t>
      </w:r>
      <w:r w:rsidR="00EE4FC3">
        <w:t xml:space="preserve"> </w:t>
      </w:r>
      <w:r w:rsidRPr="00382917">
        <w:t>will</w:t>
      </w:r>
      <w:r w:rsidR="00EE4FC3">
        <w:t xml:space="preserve"> </w:t>
      </w:r>
      <w:r w:rsidRPr="00382917">
        <w:t>know</w:t>
      </w:r>
      <w:r w:rsidR="00EE4FC3">
        <w:t xml:space="preserve"> </w:t>
      </w:r>
      <w:r w:rsidRPr="00382917">
        <w:t>them.</w:t>
      </w:r>
      <w:r w:rsidR="009C713D" w:rsidRPr="00382917">
        <w:t>”</w:t>
      </w:r>
      <w:r w:rsidR="00EE4FC3">
        <w:t xml:space="preserve"> </w:t>
      </w:r>
      <w:r w:rsidR="0075274D">
        <w:t xml:space="preserve"> </w:t>
      </w:r>
      <w:r w:rsidRPr="00382917">
        <w:t>These</w:t>
      </w:r>
      <w:r w:rsidR="00EE4FC3">
        <w:t xml:space="preserve"> </w:t>
      </w:r>
      <w:r w:rsidRPr="00382917">
        <w:t>will</w:t>
      </w:r>
      <w:r w:rsidR="00EE4FC3">
        <w:t xml:space="preserve"> </w:t>
      </w:r>
      <w:r w:rsidRPr="00382917">
        <w:t>help</w:t>
      </w:r>
      <w:r w:rsidR="00EE4FC3">
        <w:t xml:space="preserve"> </w:t>
      </w:r>
      <w:r w:rsidRPr="00382917">
        <w:t>you</w:t>
      </w:r>
      <w:r w:rsidR="00EE4FC3">
        <w:t xml:space="preserve"> </w:t>
      </w:r>
      <w:r w:rsidRPr="00382917">
        <w:t>to</w:t>
      </w:r>
      <w:r w:rsidR="00EE4FC3">
        <w:t xml:space="preserve"> </w:t>
      </w:r>
      <w:r w:rsidRPr="00382917">
        <w:t>decide</w:t>
      </w:r>
      <w:r w:rsidR="00EE4FC3">
        <w:t xml:space="preserve"> </w:t>
      </w:r>
      <w:r w:rsidRPr="00382917">
        <w:t>whether</w:t>
      </w:r>
      <w:r w:rsidR="00EE4FC3">
        <w:t xml:space="preserve"> </w:t>
      </w:r>
      <w:r w:rsidRPr="00382917">
        <w:t>Bahá</w:t>
      </w:r>
      <w:r w:rsidR="009C713D" w:rsidRPr="00382917">
        <w:t>’</w:t>
      </w:r>
      <w:r w:rsidRPr="00382917">
        <w:t>u</w:t>
      </w:r>
      <w:r w:rsidR="009C713D" w:rsidRPr="00382917">
        <w:t>’</w:t>
      </w:r>
      <w:r w:rsidRPr="00382917">
        <w:t>lláh</w:t>
      </w:r>
      <w:r w:rsidR="00EE4FC3">
        <w:t xml:space="preserve"> </w:t>
      </w:r>
      <w:r w:rsidRPr="00382917">
        <w:t>is</w:t>
      </w:r>
      <w:r w:rsidR="00EE4FC3">
        <w:t xml:space="preserve"> </w:t>
      </w:r>
      <w:r w:rsidRPr="00382917">
        <w:t>a</w:t>
      </w:r>
      <w:r w:rsidR="00EE4FC3">
        <w:t xml:space="preserve"> </w:t>
      </w:r>
      <w:r w:rsidRPr="00382917">
        <w:t>true</w:t>
      </w:r>
      <w:r w:rsidR="00EE4FC3">
        <w:t xml:space="preserve"> </w:t>
      </w:r>
      <w:r w:rsidRPr="00382917">
        <w:t>or</w:t>
      </w:r>
      <w:r w:rsidR="00EE4FC3">
        <w:t xml:space="preserve"> </w:t>
      </w:r>
      <w:r w:rsidRPr="00382917">
        <w:t>a</w:t>
      </w:r>
      <w:r w:rsidR="00EE4FC3">
        <w:t xml:space="preserve"> </w:t>
      </w:r>
      <w:r w:rsidRPr="00382917">
        <w:t>false</w:t>
      </w:r>
      <w:r w:rsidR="00EE4FC3">
        <w:t xml:space="preserve"> </w:t>
      </w:r>
      <w:r w:rsidRPr="00382917">
        <w:t>prophet.</w:t>
      </w:r>
    </w:p>
    <w:p w:rsidR="00300E83" w:rsidRPr="00382917" w:rsidRDefault="00300E83" w:rsidP="00650F8F">
      <w:pPr>
        <w:pStyle w:val="Text"/>
      </w:pPr>
      <w:r w:rsidRPr="00382917">
        <w:t>The</w:t>
      </w:r>
      <w:r w:rsidR="00EE4FC3">
        <w:t xml:space="preserve"> </w:t>
      </w:r>
      <w:r w:rsidRPr="00382917">
        <w:t>following</w:t>
      </w:r>
      <w:r w:rsidR="00EE4FC3">
        <w:t xml:space="preserve"> </w:t>
      </w:r>
      <w:r w:rsidRPr="00382917">
        <w:t>final</w:t>
      </w:r>
      <w:r w:rsidR="00EE4FC3">
        <w:t xml:space="preserve"> </w:t>
      </w:r>
      <w:r w:rsidR="009C713D" w:rsidRPr="00382917">
        <w:t>“</w:t>
      </w:r>
      <w:r w:rsidRPr="00382917">
        <w:t>fruits</w:t>
      </w:r>
      <w:r w:rsidR="009C713D" w:rsidRPr="00382917">
        <w:t>”</w:t>
      </w:r>
      <w:r w:rsidR="00EE4FC3">
        <w:t xml:space="preserve"> </w:t>
      </w:r>
      <w:r w:rsidRPr="00382917">
        <w:t>are</w:t>
      </w:r>
      <w:r w:rsidR="00EE4FC3">
        <w:t xml:space="preserve"> </w:t>
      </w:r>
      <w:r w:rsidRPr="00382917">
        <w:t>but</w:t>
      </w:r>
      <w:r w:rsidR="00EE4FC3">
        <w:t xml:space="preserve"> </w:t>
      </w:r>
      <w:r w:rsidRPr="00382917">
        <w:t>a</w:t>
      </w:r>
      <w:r w:rsidR="00EE4FC3">
        <w:t xml:space="preserve"> </w:t>
      </w:r>
      <w:r w:rsidRPr="00382917">
        <w:t>few</w:t>
      </w:r>
      <w:r w:rsidR="00EE4FC3">
        <w:t xml:space="preserve"> </w:t>
      </w:r>
      <w:r w:rsidRPr="00382917">
        <w:t>of</w:t>
      </w:r>
      <w:r w:rsidR="00EE4FC3">
        <w:t xml:space="preserve"> </w:t>
      </w:r>
      <w:r w:rsidRPr="00382917">
        <w:t>the</w:t>
      </w:r>
      <w:r w:rsidR="00EE4FC3">
        <w:t xml:space="preserve"> </w:t>
      </w:r>
      <w:r w:rsidRPr="00382917">
        <w:t>Teachings</w:t>
      </w:r>
      <w:r w:rsidR="00EE4FC3">
        <w:t xml:space="preserve"> </w:t>
      </w:r>
      <w:r w:rsidRPr="00382917">
        <w:t>taken</w:t>
      </w:r>
      <w:r w:rsidR="00EE4FC3">
        <w:t xml:space="preserve"> </w:t>
      </w:r>
      <w:r w:rsidRPr="00382917">
        <w:t>from</w:t>
      </w:r>
      <w:r w:rsidR="00EE4FC3">
        <w:t xml:space="preserve"> </w:t>
      </w:r>
      <w:r w:rsidRPr="00382917">
        <w:t>this</w:t>
      </w:r>
      <w:r w:rsidR="00EE4FC3">
        <w:t xml:space="preserve"> </w:t>
      </w:r>
      <w:r w:rsidRPr="00382917">
        <w:t>vast</w:t>
      </w:r>
      <w:r w:rsidR="00EE4FC3">
        <w:t xml:space="preserve"> </w:t>
      </w:r>
      <w:r w:rsidRPr="00382917">
        <w:t>reservoir</w:t>
      </w:r>
      <w:r w:rsidR="00EE4FC3">
        <w:t xml:space="preserve"> </w:t>
      </w:r>
      <w:r w:rsidRPr="00382917">
        <w:t>which</w:t>
      </w:r>
      <w:r w:rsidR="00EE4FC3">
        <w:t xml:space="preserve"> </w:t>
      </w:r>
      <w:r w:rsidRPr="00382917">
        <w:t>Bahá</w:t>
      </w:r>
      <w:r w:rsidR="009C713D" w:rsidRPr="00382917">
        <w:t>’</w:t>
      </w:r>
      <w:r w:rsidRPr="00382917">
        <w:t>u</w:t>
      </w:r>
      <w:r w:rsidR="009C713D" w:rsidRPr="00382917">
        <w:t>’</w:t>
      </w:r>
      <w:r w:rsidRPr="00382917">
        <w:t>lláh</w:t>
      </w:r>
      <w:r w:rsidR="00EE4FC3">
        <w:t xml:space="preserve"> </w:t>
      </w:r>
      <w:r w:rsidRPr="00382917">
        <w:t>has</w:t>
      </w:r>
      <w:r w:rsidR="00EE4FC3">
        <w:t xml:space="preserve"> </w:t>
      </w:r>
      <w:r w:rsidRPr="00382917">
        <w:t>left</w:t>
      </w:r>
      <w:r w:rsidR="00EE4FC3">
        <w:t xml:space="preserve"> </w:t>
      </w:r>
      <w:r w:rsidRPr="00382917">
        <w:t>to</w:t>
      </w:r>
      <w:r w:rsidR="00EE4FC3">
        <w:t xml:space="preserve"> </w:t>
      </w:r>
      <w:r w:rsidRPr="00382917">
        <w:t>humanity:</w:t>
      </w:r>
    </w:p>
    <w:p w:rsidR="00300E83" w:rsidRPr="00382917" w:rsidRDefault="004C0EF8" w:rsidP="0075274D">
      <w:pPr>
        <w:pStyle w:val="MyHead4"/>
      </w:pPr>
      <w:r w:rsidRPr="00382917">
        <w:t>1.</w:t>
      </w:r>
      <w:r w:rsidR="00EE4FC3">
        <w:t xml:space="preserve">  </w:t>
      </w:r>
      <w:r w:rsidR="00300E83" w:rsidRPr="00382917">
        <w:t>Each</w:t>
      </w:r>
      <w:r w:rsidR="00EE4FC3">
        <w:t xml:space="preserve"> </w:t>
      </w:r>
      <w:r w:rsidR="00300E83" w:rsidRPr="00382917">
        <w:t>individual</w:t>
      </w:r>
      <w:r w:rsidR="00EE4FC3">
        <w:t xml:space="preserve"> </w:t>
      </w:r>
      <w:r w:rsidR="00300E83" w:rsidRPr="00382917">
        <w:t>shall</w:t>
      </w:r>
      <w:r w:rsidR="00EE4FC3">
        <w:t xml:space="preserve"> </w:t>
      </w:r>
      <w:r w:rsidR="00300E83" w:rsidRPr="00382917">
        <w:t>make</w:t>
      </w:r>
      <w:r w:rsidR="00EE4FC3">
        <w:t xml:space="preserve"> </w:t>
      </w:r>
      <w:r w:rsidR="00300E83" w:rsidRPr="00382917">
        <w:t>his</w:t>
      </w:r>
      <w:r w:rsidR="00EE4FC3">
        <w:t xml:space="preserve"> </w:t>
      </w:r>
      <w:r w:rsidR="00300E83" w:rsidRPr="00382917">
        <w:t>own</w:t>
      </w:r>
      <w:r w:rsidR="00EE4FC3">
        <w:t xml:space="preserve"> </w:t>
      </w:r>
      <w:r w:rsidR="00300E83" w:rsidRPr="00382917">
        <w:t>independent</w:t>
      </w:r>
      <w:r w:rsidR="00EE4FC3">
        <w:t xml:space="preserve"> </w:t>
      </w:r>
      <w:r w:rsidR="00300E83" w:rsidRPr="00382917">
        <w:t>search</w:t>
      </w:r>
      <w:r w:rsidR="00EE4FC3">
        <w:t xml:space="preserve"> </w:t>
      </w:r>
      <w:r w:rsidR="00300E83" w:rsidRPr="00382917">
        <w:t>after</w:t>
      </w:r>
      <w:r w:rsidR="00EE4FC3">
        <w:t xml:space="preserve"> </w:t>
      </w:r>
      <w:r w:rsidR="00300E83" w:rsidRPr="00382917">
        <w:t>truth.</w:t>
      </w:r>
    </w:p>
    <w:p w:rsidR="00300E83" w:rsidRPr="00382917" w:rsidRDefault="00300E83" w:rsidP="00650F8F">
      <w:pPr>
        <w:pStyle w:val="Text"/>
      </w:pPr>
      <w:r w:rsidRPr="00382917">
        <w:t>The</w:t>
      </w:r>
      <w:r w:rsidR="00EE4FC3">
        <w:t xml:space="preserve"> </w:t>
      </w:r>
      <w:r w:rsidRPr="00382917">
        <w:t>Teachings</w:t>
      </w:r>
      <w:r w:rsidR="00EE4FC3">
        <w:t xml:space="preserve"> </w:t>
      </w:r>
      <w:r w:rsidRPr="00382917">
        <w:t>of</w:t>
      </w:r>
      <w:r w:rsidR="00EE4FC3">
        <w:t xml:space="preserve"> </w:t>
      </w:r>
      <w:r w:rsidRPr="00382917">
        <w:t>Bahá</w:t>
      </w:r>
      <w:r w:rsidR="009C713D" w:rsidRPr="00382917">
        <w:t>’</w:t>
      </w:r>
      <w:r w:rsidRPr="00382917">
        <w:t>u</w:t>
      </w:r>
      <w:r w:rsidR="009C713D" w:rsidRPr="00382917">
        <w:t>’</w:t>
      </w:r>
      <w:r w:rsidRPr="00382917">
        <w:t>lláh</w:t>
      </w:r>
      <w:r w:rsidR="00EE4FC3">
        <w:t xml:space="preserve"> </w:t>
      </w:r>
      <w:r w:rsidRPr="00382917">
        <w:t>say</w:t>
      </w:r>
      <w:r w:rsidR="00C03C91">
        <w:t>:</w:t>
      </w:r>
      <w:r w:rsidR="00EE4FC3">
        <w:t xml:space="preserve">  </w:t>
      </w:r>
      <w:r w:rsidR="009C713D" w:rsidRPr="00382917">
        <w:t>“</w:t>
      </w:r>
      <w:r w:rsidRPr="00382917">
        <w:t>The</w:t>
      </w:r>
      <w:r w:rsidR="00EE4FC3">
        <w:t xml:space="preserve"> </w:t>
      </w:r>
      <w:r w:rsidRPr="00382917">
        <w:t>greatest</w:t>
      </w:r>
      <w:r w:rsidR="00EE4FC3">
        <w:t xml:space="preserve"> </w:t>
      </w:r>
      <w:r w:rsidRPr="00382917">
        <w:t>gift</w:t>
      </w:r>
      <w:r w:rsidR="00EE4FC3">
        <w:t xml:space="preserve"> </w:t>
      </w:r>
      <w:r w:rsidRPr="00382917">
        <w:t>of</w:t>
      </w:r>
      <w:r w:rsidR="00EE4FC3">
        <w:t xml:space="preserve"> </w:t>
      </w:r>
      <w:r w:rsidRPr="00382917">
        <w:t>God</w:t>
      </w:r>
      <w:r w:rsidR="00EE4FC3">
        <w:t xml:space="preserve"> </w:t>
      </w:r>
      <w:r w:rsidRPr="00382917">
        <w:t>to</w:t>
      </w:r>
      <w:r w:rsidR="00EE4FC3">
        <w:t xml:space="preserve"> </w:t>
      </w:r>
      <w:r w:rsidRPr="00382917">
        <w:t>man</w:t>
      </w:r>
      <w:r w:rsidR="00EE4FC3">
        <w:t xml:space="preserve"> </w:t>
      </w:r>
      <w:r w:rsidRPr="00382917">
        <w:t>is</w:t>
      </w:r>
      <w:r w:rsidR="00EE4FC3">
        <w:t xml:space="preserve"> </w:t>
      </w:r>
      <w:r w:rsidRPr="00382917">
        <w:t>his</w:t>
      </w:r>
      <w:r w:rsidR="00EE4FC3">
        <w:t xml:space="preserve"> </w:t>
      </w:r>
      <w:r w:rsidRPr="00382917">
        <w:t>intelligence.</w:t>
      </w:r>
      <w:r w:rsidR="009C713D" w:rsidRPr="00382917">
        <w:t>”</w:t>
      </w:r>
    </w:p>
    <w:p w:rsidR="00300E83" w:rsidRPr="00382917" w:rsidRDefault="00300E83" w:rsidP="00650F8F">
      <w:pPr>
        <w:pStyle w:val="Text"/>
      </w:pPr>
      <w:r w:rsidRPr="00382917">
        <w:t>Each</w:t>
      </w:r>
      <w:r w:rsidR="00EE4FC3">
        <w:t xml:space="preserve"> </w:t>
      </w:r>
      <w:r w:rsidRPr="00382917">
        <w:t>individual</w:t>
      </w:r>
      <w:r w:rsidR="00EE4FC3">
        <w:t xml:space="preserve"> </w:t>
      </w:r>
      <w:r w:rsidRPr="00382917">
        <w:t>should</w:t>
      </w:r>
      <w:r w:rsidR="00EE4FC3">
        <w:t xml:space="preserve"> </w:t>
      </w:r>
      <w:r w:rsidRPr="00382917">
        <w:t>investigate</w:t>
      </w:r>
      <w:r w:rsidR="00EE4FC3">
        <w:t xml:space="preserve"> </w:t>
      </w:r>
      <w:r w:rsidRPr="00382917">
        <w:t>spiritual</w:t>
      </w:r>
      <w:r w:rsidR="00EE4FC3">
        <w:t xml:space="preserve"> </w:t>
      </w:r>
      <w:r w:rsidRPr="00382917">
        <w:t>truth</w:t>
      </w:r>
      <w:r w:rsidR="00EE4FC3">
        <w:t xml:space="preserve"> </w:t>
      </w:r>
      <w:r w:rsidRPr="00382917">
        <w:t>for</w:t>
      </w:r>
      <w:r w:rsidR="00EE4FC3">
        <w:t xml:space="preserve"> </w:t>
      </w:r>
      <w:r w:rsidRPr="00382917">
        <w:t>himself</w:t>
      </w:r>
      <w:r w:rsidR="00552489">
        <w:t>.</w:t>
      </w:r>
      <w:r w:rsidR="00EE4FC3">
        <w:t xml:space="preserve">  </w:t>
      </w:r>
      <w:r w:rsidRPr="00382917">
        <w:t>He</w:t>
      </w:r>
      <w:r w:rsidR="00EE4FC3">
        <w:t xml:space="preserve"> </w:t>
      </w:r>
      <w:r w:rsidRPr="00382917">
        <w:t>can,</w:t>
      </w:r>
      <w:r w:rsidR="00EE4FC3">
        <w:t xml:space="preserve"> </w:t>
      </w:r>
      <w:r w:rsidRPr="00382917">
        <w:t>and</w:t>
      </w:r>
      <w:r w:rsidR="00EE4FC3">
        <w:t xml:space="preserve"> </w:t>
      </w:r>
      <w:r w:rsidRPr="00382917">
        <w:t>should,</w:t>
      </w:r>
      <w:r w:rsidR="00EE4FC3">
        <w:t xml:space="preserve"> </w:t>
      </w:r>
      <w:r w:rsidRPr="00382917">
        <w:t>learn</w:t>
      </w:r>
      <w:r w:rsidR="00EE4FC3">
        <w:t xml:space="preserve"> </w:t>
      </w:r>
      <w:r w:rsidRPr="00382917">
        <w:t>from</w:t>
      </w:r>
      <w:r w:rsidR="00EE4FC3">
        <w:t xml:space="preserve"> </w:t>
      </w:r>
      <w:r w:rsidRPr="00382917">
        <w:t>the</w:t>
      </w:r>
      <w:r w:rsidR="00EE4FC3">
        <w:t xml:space="preserve"> </w:t>
      </w:r>
      <w:r w:rsidRPr="00382917">
        <w:t>knowledge</w:t>
      </w:r>
      <w:r w:rsidR="00EE4FC3">
        <w:t xml:space="preserve"> </w:t>
      </w:r>
      <w:r w:rsidRPr="00382917">
        <w:t>and</w:t>
      </w:r>
      <w:r w:rsidR="00EE4FC3">
        <w:t xml:space="preserve"> </w:t>
      </w:r>
      <w:r w:rsidRPr="00382917">
        <w:t>efforts</w:t>
      </w:r>
      <w:r w:rsidR="00EE4FC3">
        <w:t xml:space="preserve"> </w:t>
      </w:r>
      <w:r w:rsidRPr="00382917">
        <w:t>of</w:t>
      </w:r>
      <w:r w:rsidR="00EE4FC3">
        <w:t xml:space="preserve"> </w:t>
      </w:r>
      <w:r w:rsidRPr="00382917">
        <w:t>others,</w:t>
      </w:r>
      <w:r w:rsidR="00EE4FC3">
        <w:t xml:space="preserve"> </w:t>
      </w:r>
      <w:r w:rsidRPr="00382917">
        <w:t>but</w:t>
      </w:r>
      <w:r w:rsidR="00EE4FC3">
        <w:t xml:space="preserve"> </w:t>
      </w:r>
      <w:r w:rsidRPr="00382917">
        <w:t>he</w:t>
      </w:r>
      <w:r w:rsidR="00EE4FC3">
        <w:t xml:space="preserve"> </w:t>
      </w:r>
      <w:r w:rsidRPr="00382917">
        <w:t>should</w:t>
      </w:r>
      <w:r w:rsidR="00EE4FC3">
        <w:t xml:space="preserve"> </w:t>
      </w:r>
      <w:r w:rsidRPr="00382917">
        <w:t>not</w:t>
      </w:r>
      <w:r w:rsidR="00EE4FC3">
        <w:t xml:space="preserve"> </w:t>
      </w:r>
      <w:r w:rsidRPr="00382917">
        <w:t>accept</w:t>
      </w:r>
      <w:r w:rsidR="00EE4FC3">
        <w:t xml:space="preserve"> </w:t>
      </w:r>
      <w:r w:rsidRPr="00382917">
        <w:t>their</w:t>
      </w:r>
      <w:r w:rsidR="00EE4FC3">
        <w:t xml:space="preserve"> </w:t>
      </w:r>
      <w:r w:rsidRPr="00382917">
        <w:t>findings</w:t>
      </w:r>
      <w:r w:rsidR="00EE4FC3">
        <w:t xml:space="preserve"> </w:t>
      </w:r>
      <w:r w:rsidRPr="00382917">
        <w:t>as</w:t>
      </w:r>
      <w:r w:rsidR="00EE4FC3">
        <w:t xml:space="preserve"> </w:t>
      </w:r>
      <w:r w:rsidRPr="00382917">
        <w:t>the</w:t>
      </w:r>
      <w:r w:rsidR="00EE4FC3">
        <w:t xml:space="preserve"> </w:t>
      </w:r>
      <w:r w:rsidRPr="00382917">
        <w:t>final</w:t>
      </w:r>
      <w:r w:rsidR="00EE4FC3">
        <w:t xml:space="preserve"> </w:t>
      </w:r>
      <w:r w:rsidRPr="00382917">
        <w:t>truth</w:t>
      </w:r>
      <w:r w:rsidR="00EE4FC3">
        <w:t xml:space="preserve"> </w:t>
      </w:r>
      <w:r w:rsidRPr="00382917">
        <w:t>for</w:t>
      </w:r>
      <w:r w:rsidR="00EE4FC3">
        <w:t xml:space="preserve"> </w:t>
      </w:r>
      <w:r w:rsidRPr="00382917">
        <w:t>himself</w:t>
      </w:r>
      <w:r w:rsidR="00EE4FC3">
        <w:t xml:space="preserve"> </w:t>
      </w:r>
      <w:r w:rsidRPr="00382917">
        <w:t>without</w:t>
      </w:r>
      <w:r w:rsidR="00EE4FC3">
        <w:t xml:space="preserve"> </w:t>
      </w:r>
      <w:r w:rsidRPr="00382917">
        <w:t>a</w:t>
      </w:r>
      <w:r w:rsidR="00EE4FC3">
        <w:t xml:space="preserve"> </w:t>
      </w:r>
      <w:r w:rsidRPr="00382917">
        <w:t>personal</w:t>
      </w:r>
      <w:r w:rsidR="00EE4FC3">
        <w:t xml:space="preserve"> </w:t>
      </w:r>
      <w:r w:rsidRPr="00382917">
        <w:t>investigation</w:t>
      </w:r>
      <w:r w:rsidR="00552489">
        <w:t>.</w:t>
      </w:r>
      <w:r w:rsidR="00EE4FC3">
        <w:t xml:space="preserve">  </w:t>
      </w:r>
      <w:r w:rsidRPr="00382917">
        <w:t>Each</w:t>
      </w:r>
      <w:r w:rsidR="00EE4FC3">
        <w:t xml:space="preserve"> </w:t>
      </w:r>
      <w:r w:rsidRPr="00382917">
        <w:t>person</w:t>
      </w:r>
      <w:r w:rsidR="00EE4FC3">
        <w:t xml:space="preserve"> </w:t>
      </w:r>
      <w:r w:rsidRPr="00382917">
        <w:t>is</w:t>
      </w:r>
      <w:r w:rsidR="00EE4FC3">
        <w:t xml:space="preserve"> </w:t>
      </w:r>
      <w:r w:rsidRPr="00382917">
        <w:t>individually</w:t>
      </w:r>
      <w:r w:rsidR="00EE4FC3">
        <w:t xml:space="preserve"> </w:t>
      </w:r>
      <w:r w:rsidRPr="00382917">
        <w:t>responsible</w:t>
      </w:r>
      <w:r w:rsidR="00EE4FC3">
        <w:t xml:space="preserve"> </w:t>
      </w:r>
      <w:r w:rsidRPr="00382917">
        <w:t>for</w:t>
      </w:r>
      <w:r w:rsidR="00EE4FC3">
        <w:t xml:space="preserve"> </w:t>
      </w:r>
      <w:r w:rsidRPr="00382917">
        <w:t>the</w:t>
      </w:r>
      <w:r w:rsidR="00EE4FC3">
        <w:t xml:space="preserve"> </w:t>
      </w:r>
      <w:r w:rsidRPr="00382917">
        <w:t>relationship</w:t>
      </w:r>
      <w:r w:rsidR="00EE4FC3">
        <w:t xml:space="preserve"> </w:t>
      </w:r>
      <w:r w:rsidRPr="00382917">
        <w:t>between</w:t>
      </w:r>
      <w:r w:rsidR="00EE4FC3">
        <w:t xml:space="preserve"> </w:t>
      </w:r>
      <w:r w:rsidRPr="00382917">
        <w:t>himself</w:t>
      </w:r>
      <w:r w:rsidR="00EE4FC3">
        <w:t xml:space="preserve"> </w:t>
      </w:r>
      <w:r w:rsidRPr="00382917">
        <w:t>and</w:t>
      </w:r>
      <w:r w:rsidR="00EE4FC3">
        <w:t xml:space="preserve"> </w:t>
      </w:r>
      <w:r w:rsidRPr="00382917">
        <w:t>God</w:t>
      </w:r>
      <w:r w:rsidR="00552489">
        <w:t>.</w:t>
      </w:r>
      <w:r w:rsidR="00EE4FC3">
        <w:t xml:space="preserve">  </w:t>
      </w:r>
      <w:r w:rsidRPr="00382917">
        <w:t>Only</w:t>
      </w:r>
      <w:r w:rsidR="00EE4FC3">
        <w:t xml:space="preserve"> </w:t>
      </w:r>
      <w:r w:rsidRPr="00382917">
        <w:t>a</w:t>
      </w:r>
      <w:r w:rsidR="00EE4FC3">
        <w:t xml:space="preserve"> </w:t>
      </w:r>
      <w:r w:rsidRPr="00382917">
        <w:t>sincere</w:t>
      </w:r>
      <w:r w:rsidR="00EE4FC3">
        <w:t xml:space="preserve"> </w:t>
      </w:r>
      <w:r w:rsidRPr="00382917">
        <w:t>individual</w:t>
      </w:r>
      <w:r w:rsidR="00EE4FC3">
        <w:t xml:space="preserve"> </w:t>
      </w:r>
      <w:r w:rsidRPr="00382917">
        <w:t>search</w:t>
      </w:r>
      <w:r w:rsidR="00EE4FC3">
        <w:t xml:space="preserve"> </w:t>
      </w:r>
      <w:r w:rsidRPr="00382917">
        <w:t>can</w:t>
      </w:r>
      <w:r w:rsidR="00EE4FC3">
        <w:t xml:space="preserve"> </w:t>
      </w:r>
      <w:r w:rsidRPr="00382917">
        <w:t>bring</w:t>
      </w:r>
      <w:r w:rsidR="00EE4FC3">
        <w:t xml:space="preserve"> </w:t>
      </w:r>
      <w:r w:rsidRPr="00382917">
        <w:t>about</w:t>
      </w:r>
      <w:r w:rsidR="00EE4FC3">
        <w:t xml:space="preserve"> </w:t>
      </w:r>
      <w:r w:rsidRPr="00382917">
        <w:t>a</w:t>
      </w:r>
      <w:r w:rsidR="00EE4FC3">
        <w:t xml:space="preserve"> </w:t>
      </w:r>
      <w:r w:rsidRPr="00382917">
        <w:t>just</w:t>
      </w:r>
      <w:r w:rsidR="00EE4FC3">
        <w:t xml:space="preserve"> </w:t>
      </w:r>
      <w:r w:rsidRPr="00382917">
        <w:t>decision.</w:t>
      </w:r>
    </w:p>
    <w:p w:rsidR="00300E83" w:rsidRPr="00382917" w:rsidRDefault="00300E83" w:rsidP="00650F8F">
      <w:pPr>
        <w:pStyle w:val="Text"/>
      </w:pPr>
      <w:r w:rsidRPr="00382917">
        <w:t>This</w:t>
      </w:r>
      <w:r w:rsidR="00EE4FC3">
        <w:t xml:space="preserve"> </w:t>
      </w:r>
      <w:r w:rsidRPr="00382917">
        <w:t>is</w:t>
      </w:r>
      <w:r w:rsidR="00EE4FC3">
        <w:t xml:space="preserve"> </w:t>
      </w:r>
      <w:r w:rsidRPr="00382917">
        <w:t>a</w:t>
      </w:r>
      <w:r w:rsidR="00EE4FC3">
        <w:t xml:space="preserve"> </w:t>
      </w:r>
      <w:r w:rsidR="009C713D" w:rsidRPr="00382917">
        <w:t>“</w:t>
      </w:r>
      <w:r w:rsidRPr="00382917">
        <w:t>fruit</w:t>
      </w:r>
      <w:r w:rsidR="009C713D" w:rsidRPr="00382917">
        <w:t>”</w:t>
      </w:r>
      <w:r w:rsidR="00EE4FC3">
        <w:t xml:space="preserve"> </w:t>
      </w:r>
      <w:r w:rsidRPr="00382917">
        <w:t>from</w:t>
      </w:r>
      <w:r w:rsidR="00EE4FC3">
        <w:t xml:space="preserve"> </w:t>
      </w:r>
      <w:r w:rsidRPr="00382917">
        <w:t>the</w:t>
      </w:r>
      <w:r w:rsidR="00EE4FC3">
        <w:t xml:space="preserve"> </w:t>
      </w:r>
      <w:r w:rsidRPr="00382917">
        <w:t>tree</w:t>
      </w:r>
      <w:r w:rsidR="00EE4FC3">
        <w:t xml:space="preserve"> </w:t>
      </w:r>
      <w:r w:rsidRPr="00382917">
        <w:t>of</w:t>
      </w:r>
      <w:r w:rsidR="00EE4FC3">
        <w:t xml:space="preserve"> </w:t>
      </w:r>
      <w:r w:rsidRPr="00382917">
        <w:t>Bahá</w:t>
      </w:r>
      <w:r w:rsidR="009C713D" w:rsidRPr="00382917">
        <w:t>’</w:t>
      </w:r>
      <w:r w:rsidRPr="00382917">
        <w:t>u</w:t>
      </w:r>
      <w:r w:rsidR="009C713D" w:rsidRPr="00382917">
        <w:t>’</w:t>
      </w:r>
      <w:r w:rsidRPr="00382917">
        <w:t>lláh</w:t>
      </w:r>
      <w:r w:rsidR="009C713D" w:rsidRPr="00382917">
        <w:t>’</w:t>
      </w:r>
      <w:r w:rsidRPr="00382917">
        <w:t>s</w:t>
      </w:r>
      <w:r w:rsidR="00EE4FC3">
        <w:t xml:space="preserve"> </w:t>
      </w:r>
      <w:r w:rsidRPr="00382917">
        <w:t>Teachings.</w:t>
      </w:r>
    </w:p>
    <w:p w:rsidR="00300E83" w:rsidRPr="00382917" w:rsidRDefault="004C0EF8" w:rsidP="0075274D">
      <w:pPr>
        <w:pStyle w:val="MyHead4"/>
      </w:pPr>
      <w:r w:rsidRPr="00382917">
        <w:t>2.</w:t>
      </w:r>
      <w:r w:rsidR="00EE4FC3">
        <w:t xml:space="preserve">  </w:t>
      </w:r>
      <w:r w:rsidR="00300E83" w:rsidRPr="00382917">
        <w:t>Men</w:t>
      </w:r>
      <w:r w:rsidR="00EE4FC3">
        <w:t xml:space="preserve"> </w:t>
      </w:r>
      <w:r w:rsidR="00300E83" w:rsidRPr="00382917">
        <w:t>and</w:t>
      </w:r>
      <w:r w:rsidR="00EE4FC3">
        <w:t xml:space="preserve"> </w:t>
      </w:r>
      <w:r w:rsidR="00300E83" w:rsidRPr="00382917">
        <w:t>women</w:t>
      </w:r>
      <w:r w:rsidR="00EE4FC3">
        <w:t xml:space="preserve"> </w:t>
      </w:r>
      <w:r w:rsidR="00300E83" w:rsidRPr="00382917">
        <w:t>should</w:t>
      </w:r>
      <w:r w:rsidR="00EE4FC3">
        <w:t xml:space="preserve"> </w:t>
      </w:r>
      <w:r w:rsidR="00300E83" w:rsidRPr="00382917">
        <w:t>enjoy</w:t>
      </w:r>
      <w:r w:rsidR="00EE4FC3">
        <w:t xml:space="preserve"> </w:t>
      </w:r>
      <w:r w:rsidR="00300E83" w:rsidRPr="00382917">
        <w:t>equal</w:t>
      </w:r>
      <w:r w:rsidR="00EE4FC3">
        <w:t xml:space="preserve"> </w:t>
      </w:r>
      <w:r w:rsidR="00300E83" w:rsidRPr="00382917">
        <w:t>rights,</w:t>
      </w:r>
      <w:r w:rsidR="00EE4FC3">
        <w:t xml:space="preserve"> </w:t>
      </w:r>
      <w:r w:rsidR="00300E83" w:rsidRPr="00382917">
        <w:t>privileges,</w:t>
      </w:r>
      <w:r w:rsidR="00EE4FC3">
        <w:t xml:space="preserve"> </w:t>
      </w:r>
      <w:r w:rsidR="00300E83" w:rsidRPr="00382917">
        <w:t>education,</w:t>
      </w:r>
      <w:r w:rsidR="00EE4FC3">
        <w:t xml:space="preserve"> </w:t>
      </w:r>
      <w:r w:rsidR="00300E83" w:rsidRPr="00382917">
        <w:t>and</w:t>
      </w:r>
      <w:r w:rsidR="00EE4FC3">
        <w:t xml:space="preserve"> </w:t>
      </w:r>
      <w:r w:rsidR="00300E83" w:rsidRPr="00382917">
        <w:t>opportunities</w:t>
      </w:r>
      <w:r w:rsidR="00EE4FC3">
        <w:t xml:space="preserve"> </w:t>
      </w:r>
      <w:r w:rsidR="00300E83" w:rsidRPr="00382917">
        <w:t>throughout</w:t>
      </w:r>
      <w:r w:rsidR="00EE4FC3">
        <w:t xml:space="preserve"> </w:t>
      </w:r>
      <w:r w:rsidR="00300E83" w:rsidRPr="00382917">
        <w:t>the</w:t>
      </w:r>
      <w:r w:rsidR="00EE4FC3">
        <w:t xml:space="preserve"> </w:t>
      </w:r>
      <w:r w:rsidR="00300E83" w:rsidRPr="00382917">
        <w:t>world.</w:t>
      </w:r>
    </w:p>
    <w:p w:rsidR="00300E83" w:rsidRPr="00382917" w:rsidRDefault="00300E83" w:rsidP="00650F8F">
      <w:pPr>
        <w:pStyle w:val="Text"/>
      </w:pPr>
      <w:r w:rsidRPr="00382917">
        <w:t>Bahá</w:t>
      </w:r>
      <w:r w:rsidR="009C713D" w:rsidRPr="00382917">
        <w:t>’</w:t>
      </w:r>
      <w:r w:rsidRPr="00382917">
        <w:t>u</w:t>
      </w:r>
      <w:r w:rsidR="009C713D" w:rsidRPr="00382917">
        <w:t>’</w:t>
      </w:r>
      <w:r w:rsidRPr="00382917">
        <w:t>lláh</w:t>
      </w:r>
      <w:r w:rsidR="00EE4FC3">
        <w:t xml:space="preserve"> </w:t>
      </w:r>
      <w:r w:rsidRPr="00382917">
        <w:t>attached</w:t>
      </w:r>
      <w:r w:rsidR="00EE4FC3">
        <w:t xml:space="preserve"> </w:t>
      </w:r>
      <w:r w:rsidRPr="00382917">
        <w:t>great</w:t>
      </w:r>
      <w:r w:rsidR="00EE4FC3">
        <w:t xml:space="preserve"> </w:t>
      </w:r>
      <w:r w:rsidRPr="00382917">
        <w:t>importance</w:t>
      </w:r>
      <w:r w:rsidR="00EE4FC3">
        <w:t xml:space="preserve"> </w:t>
      </w:r>
      <w:r w:rsidRPr="00382917">
        <w:t>to</w:t>
      </w:r>
      <w:r w:rsidR="00EE4FC3">
        <w:t xml:space="preserve"> </w:t>
      </w:r>
      <w:r w:rsidRPr="00382917">
        <w:t>this</w:t>
      </w:r>
      <w:r w:rsidR="00EE4FC3">
        <w:t xml:space="preserve"> </w:t>
      </w:r>
      <w:r w:rsidRPr="00382917">
        <w:t>principle</w:t>
      </w:r>
      <w:r w:rsidR="00552489">
        <w:t>.</w:t>
      </w:r>
      <w:r w:rsidR="00EE4FC3">
        <w:t xml:space="preserve">  </w:t>
      </w:r>
      <w:r w:rsidRPr="00382917">
        <w:t>His</w:t>
      </w:r>
      <w:r w:rsidR="00EE4FC3">
        <w:t xml:space="preserve"> </w:t>
      </w:r>
      <w:r w:rsidRPr="00382917">
        <w:t>teachings</w:t>
      </w:r>
      <w:r w:rsidR="00EE4FC3">
        <w:t xml:space="preserve"> </w:t>
      </w:r>
      <w:r w:rsidRPr="00382917">
        <w:t>emphasize</w:t>
      </w:r>
      <w:r w:rsidR="00EE4FC3">
        <w:t xml:space="preserve"> </w:t>
      </w:r>
      <w:r w:rsidRPr="00382917">
        <w:t>the</w:t>
      </w:r>
      <w:r w:rsidR="00EE4FC3">
        <w:t xml:space="preserve"> </w:t>
      </w:r>
      <w:r w:rsidRPr="00382917">
        <w:t>fact</w:t>
      </w:r>
      <w:r w:rsidR="00EE4FC3">
        <w:t xml:space="preserve"> </w:t>
      </w:r>
      <w:r w:rsidRPr="00382917">
        <w:t>that</w:t>
      </w:r>
      <w:r w:rsidR="00EE4FC3">
        <w:t xml:space="preserve"> </w:t>
      </w:r>
      <w:r w:rsidRPr="00382917">
        <w:t>since</w:t>
      </w:r>
      <w:r w:rsidR="00EE4FC3">
        <w:t xml:space="preserve"> </w:t>
      </w:r>
      <w:r w:rsidRPr="00382917">
        <w:t>the</w:t>
      </w:r>
      <w:r w:rsidR="00EE4FC3">
        <w:t xml:space="preserve"> </w:t>
      </w:r>
      <w:r w:rsidRPr="00382917">
        <w:t>mother</w:t>
      </w:r>
      <w:r w:rsidR="00EE4FC3">
        <w:t xml:space="preserve"> </w:t>
      </w:r>
      <w:r w:rsidRPr="00382917">
        <w:t>is</w:t>
      </w:r>
      <w:r w:rsidR="00EE4FC3">
        <w:t xml:space="preserve"> </w:t>
      </w:r>
      <w:r w:rsidRPr="00382917">
        <w:t>the</w:t>
      </w:r>
      <w:r w:rsidR="00EE4FC3">
        <w:t xml:space="preserve"> </w:t>
      </w:r>
      <w:r w:rsidRPr="00382917">
        <w:t>teacher</w:t>
      </w:r>
      <w:r w:rsidR="00EE4FC3">
        <w:t xml:space="preserve"> </w:t>
      </w:r>
      <w:r w:rsidRPr="00382917">
        <w:t>of</w:t>
      </w:r>
      <w:r w:rsidR="00EE4FC3">
        <w:t xml:space="preserve"> </w:t>
      </w:r>
      <w:r w:rsidRPr="00382917">
        <w:t>the</w:t>
      </w:r>
      <w:r w:rsidR="00EE4FC3">
        <w:t xml:space="preserve"> </w:t>
      </w:r>
      <w:r w:rsidRPr="00382917">
        <w:t>child</w:t>
      </w:r>
      <w:r w:rsidR="00EE4FC3">
        <w:t xml:space="preserve"> </w:t>
      </w:r>
      <w:r w:rsidRPr="00382917">
        <w:t>during</w:t>
      </w:r>
      <w:r w:rsidR="00EE4FC3">
        <w:t xml:space="preserve"> </w:t>
      </w:r>
      <w:r w:rsidRPr="00382917">
        <w:t>its</w:t>
      </w:r>
      <w:r w:rsidR="00EE4FC3">
        <w:t xml:space="preserve"> </w:t>
      </w:r>
      <w:r w:rsidRPr="00382917">
        <w:t>early</w:t>
      </w:r>
      <w:r w:rsidR="00EE4FC3">
        <w:t xml:space="preserve"> </w:t>
      </w:r>
      <w:r w:rsidRPr="00382917">
        <w:t>and</w:t>
      </w:r>
      <w:r w:rsidR="00EE4FC3">
        <w:t xml:space="preserve"> </w:t>
      </w:r>
      <w:r w:rsidRPr="00382917">
        <w:t>formative</w:t>
      </w:r>
      <w:r w:rsidR="00EE4FC3">
        <w:t xml:space="preserve"> </w:t>
      </w:r>
      <w:r w:rsidRPr="00382917">
        <w:t>years,</w:t>
      </w:r>
      <w:r w:rsidR="00EE4FC3">
        <w:t xml:space="preserve"> </w:t>
      </w:r>
      <w:r w:rsidRPr="00382917">
        <w:t>it</w:t>
      </w:r>
      <w:r w:rsidR="00EE4FC3">
        <w:t xml:space="preserve"> </w:t>
      </w:r>
      <w:r w:rsidRPr="00382917">
        <w:t>is</w:t>
      </w:r>
      <w:r w:rsidR="00EE4FC3">
        <w:t xml:space="preserve"> </w:t>
      </w:r>
      <w:r w:rsidRPr="00382917">
        <w:t>most</w:t>
      </w:r>
      <w:r w:rsidR="00EE4FC3">
        <w:t xml:space="preserve"> </w:t>
      </w:r>
      <w:r w:rsidRPr="00382917">
        <w:t>necessary</w:t>
      </w:r>
      <w:r w:rsidR="00EE4FC3">
        <w:t xml:space="preserve"> </w:t>
      </w:r>
      <w:r w:rsidRPr="00382917">
        <w:t>that</w:t>
      </w:r>
      <w:r w:rsidR="00EE4FC3">
        <w:t xml:space="preserve"> </w:t>
      </w:r>
      <w:r w:rsidRPr="00382917">
        <w:t>she</w:t>
      </w:r>
      <w:r w:rsidR="00EE4FC3">
        <w:t xml:space="preserve"> </w:t>
      </w:r>
      <w:r w:rsidRPr="00382917">
        <w:t>have</w:t>
      </w:r>
      <w:r w:rsidR="00EE4FC3">
        <w:t xml:space="preserve"> </w:t>
      </w:r>
      <w:r w:rsidRPr="00382917">
        <w:t>a</w:t>
      </w:r>
      <w:r w:rsidR="00EE4FC3">
        <w:t xml:space="preserve"> </w:t>
      </w:r>
      <w:r w:rsidRPr="00382917">
        <w:t>good</w:t>
      </w:r>
      <w:r w:rsidR="00EE4FC3">
        <w:t xml:space="preserve"> </w:t>
      </w:r>
      <w:r w:rsidRPr="00382917">
        <w:t>education</w:t>
      </w:r>
      <w:r w:rsidR="00552489">
        <w:t>.</w:t>
      </w:r>
      <w:r w:rsidR="00EE4FC3">
        <w:t xml:space="preserve">  </w:t>
      </w:r>
      <w:r w:rsidRPr="00382917">
        <w:t>The</w:t>
      </w:r>
      <w:r w:rsidR="00EE4FC3">
        <w:t xml:space="preserve"> </w:t>
      </w:r>
      <w:r w:rsidRPr="00382917">
        <w:t>universal</w:t>
      </w:r>
      <w:r w:rsidR="00EE4FC3">
        <w:t xml:space="preserve"> </w:t>
      </w:r>
      <w:r w:rsidRPr="00382917">
        <w:t>education</w:t>
      </w:r>
      <w:r w:rsidR="00EE4FC3">
        <w:t xml:space="preserve"> </w:t>
      </w:r>
      <w:r w:rsidRPr="00382917">
        <w:t>which</w:t>
      </w:r>
      <w:r w:rsidR="00EE4FC3">
        <w:t xml:space="preserve"> </w:t>
      </w:r>
      <w:r w:rsidRPr="00382917">
        <w:t>Bahá</w:t>
      </w:r>
      <w:r w:rsidR="009C713D" w:rsidRPr="00382917">
        <w:t>’</w:t>
      </w:r>
      <w:r w:rsidRPr="00382917">
        <w:t>u</w:t>
      </w:r>
      <w:r w:rsidR="009C713D" w:rsidRPr="00382917">
        <w:t>’</w:t>
      </w:r>
      <w:r w:rsidRPr="00382917">
        <w:t>lláh</w:t>
      </w:r>
      <w:r w:rsidR="00EE4FC3">
        <w:t xml:space="preserve"> </w:t>
      </w:r>
      <w:r w:rsidRPr="00382917">
        <w:t>advocates</w:t>
      </w:r>
      <w:r w:rsidR="00EE4FC3">
        <w:t xml:space="preserve"> </w:t>
      </w:r>
      <w:r w:rsidRPr="00382917">
        <w:t>would</w:t>
      </w:r>
      <w:r w:rsidR="00EE4FC3">
        <w:t xml:space="preserve"> </w:t>
      </w:r>
      <w:r w:rsidRPr="00382917">
        <w:t>give</w:t>
      </w:r>
      <w:r w:rsidR="00EE4FC3">
        <w:t xml:space="preserve"> </w:t>
      </w:r>
      <w:r w:rsidRPr="00382917">
        <w:t>an</w:t>
      </w:r>
      <w:r w:rsidR="00EE4FC3">
        <w:t xml:space="preserve"> </w:t>
      </w:r>
      <w:r w:rsidRPr="00382917">
        <w:t>equal</w:t>
      </w:r>
      <w:r w:rsidR="00EE4FC3">
        <w:t xml:space="preserve"> </w:t>
      </w:r>
      <w:r w:rsidRPr="00382917">
        <w:t>position</w:t>
      </w:r>
      <w:r w:rsidR="00EE4FC3">
        <w:t xml:space="preserve"> </w:t>
      </w:r>
      <w:r w:rsidRPr="00382917">
        <w:t>to</w:t>
      </w:r>
      <w:r w:rsidR="00EE4FC3">
        <w:t xml:space="preserve"> </w:t>
      </w:r>
      <w:r w:rsidRPr="00382917">
        <w:t>boys</w:t>
      </w:r>
      <w:r w:rsidR="00EE4FC3">
        <w:t xml:space="preserve"> </w:t>
      </w:r>
      <w:r w:rsidRPr="00382917">
        <w:t>and</w:t>
      </w:r>
      <w:r w:rsidR="00EE4FC3">
        <w:t xml:space="preserve"> </w:t>
      </w:r>
      <w:r w:rsidRPr="00382917">
        <w:t>girls,</w:t>
      </w:r>
      <w:r w:rsidR="00EE4FC3">
        <w:t xml:space="preserve"> </w:t>
      </w:r>
      <w:r w:rsidRPr="00382917">
        <w:t>men</w:t>
      </w:r>
      <w:r w:rsidR="00EE4FC3">
        <w:t xml:space="preserve"> </w:t>
      </w:r>
      <w:r w:rsidRPr="00382917">
        <w:t>and</w:t>
      </w:r>
      <w:r w:rsidR="00EE4FC3">
        <w:t xml:space="preserve"> </w:t>
      </w:r>
      <w:r w:rsidRPr="00382917">
        <w:t>women.</w:t>
      </w:r>
    </w:p>
    <w:p w:rsidR="00300E83" w:rsidRPr="00382917" w:rsidRDefault="00300E83" w:rsidP="00650F8F">
      <w:pPr>
        <w:pStyle w:val="Text"/>
      </w:pPr>
      <w:r w:rsidRPr="00382917">
        <w:t>When</w:t>
      </w:r>
      <w:r w:rsidR="00EE4FC3">
        <w:t xml:space="preserve"> </w:t>
      </w:r>
      <w:r w:rsidRPr="00382917">
        <w:t>the</w:t>
      </w:r>
      <w:r w:rsidR="00EE4FC3">
        <w:t xml:space="preserve"> </w:t>
      </w:r>
      <w:r w:rsidRPr="00382917">
        <w:t>station</w:t>
      </w:r>
      <w:r w:rsidR="00EE4FC3">
        <w:t xml:space="preserve"> </w:t>
      </w:r>
      <w:r w:rsidRPr="00382917">
        <w:t>of</w:t>
      </w:r>
      <w:r w:rsidR="00EE4FC3">
        <w:t xml:space="preserve"> </w:t>
      </w:r>
      <w:r w:rsidRPr="00382917">
        <w:t>woman</w:t>
      </w:r>
      <w:r w:rsidR="00EE4FC3">
        <w:t xml:space="preserve"> </w:t>
      </w:r>
      <w:r w:rsidRPr="00382917">
        <w:t>is</w:t>
      </w:r>
      <w:r w:rsidR="00EE4FC3">
        <w:t xml:space="preserve"> </w:t>
      </w:r>
      <w:r w:rsidRPr="00382917">
        <w:t>elevated</w:t>
      </w:r>
      <w:r w:rsidR="00EE4FC3">
        <w:t xml:space="preserve"> </w:t>
      </w:r>
      <w:r w:rsidRPr="00382917">
        <w:t>until</w:t>
      </w:r>
      <w:r w:rsidR="00EE4FC3">
        <w:t xml:space="preserve"> </w:t>
      </w:r>
      <w:r w:rsidRPr="00382917">
        <w:t>it</w:t>
      </w:r>
      <w:r w:rsidR="00EE4FC3">
        <w:t xml:space="preserve"> </w:t>
      </w:r>
      <w:r w:rsidRPr="00382917">
        <w:t>is</w:t>
      </w:r>
      <w:r w:rsidR="00EE4FC3">
        <w:t xml:space="preserve"> </w:t>
      </w:r>
      <w:r w:rsidRPr="00382917">
        <w:t>co-equal</w:t>
      </w:r>
      <w:r w:rsidR="00EE4FC3">
        <w:t xml:space="preserve"> </w:t>
      </w:r>
      <w:r w:rsidRPr="00382917">
        <w:t>to</w:t>
      </w:r>
      <w:r w:rsidR="00EE4FC3">
        <w:t xml:space="preserve"> </w:t>
      </w:r>
      <w:r w:rsidRPr="00382917">
        <w:t>that</w:t>
      </w:r>
      <w:r w:rsidR="00EE4FC3">
        <w:t xml:space="preserve"> </w:t>
      </w:r>
      <w:r w:rsidRPr="00382917">
        <w:t>of</w:t>
      </w:r>
      <w:r w:rsidR="00EE4FC3">
        <w:t xml:space="preserve"> </w:t>
      </w:r>
      <w:r w:rsidRPr="00382917">
        <w:t>man</w:t>
      </w:r>
      <w:r w:rsidR="00EE4FC3">
        <w:t xml:space="preserve"> </w:t>
      </w:r>
      <w:r w:rsidRPr="00382917">
        <w:t>everywhere</w:t>
      </w:r>
      <w:r w:rsidR="00EE4FC3">
        <w:t xml:space="preserve"> </w:t>
      </w:r>
      <w:r w:rsidRPr="00382917">
        <w:t>in</w:t>
      </w:r>
      <w:r w:rsidR="00EE4FC3">
        <w:t xml:space="preserve"> </w:t>
      </w:r>
      <w:r w:rsidRPr="00382917">
        <w:t>the</w:t>
      </w:r>
      <w:r w:rsidR="00EE4FC3">
        <w:t xml:space="preserve"> </w:t>
      </w:r>
      <w:r w:rsidRPr="00382917">
        <w:t>entire</w:t>
      </w:r>
      <w:r w:rsidR="00EE4FC3">
        <w:t xml:space="preserve"> </w:t>
      </w:r>
      <w:r w:rsidRPr="00382917">
        <w:t>world,</w:t>
      </w:r>
      <w:r w:rsidR="00EE4FC3">
        <w:t xml:space="preserve"> </w:t>
      </w:r>
      <w:r w:rsidRPr="00382917">
        <w:t>the</w:t>
      </w:r>
      <w:r w:rsidR="00EE4FC3">
        <w:t xml:space="preserve"> </w:t>
      </w:r>
      <w:r w:rsidRPr="00382917">
        <w:t>stability</w:t>
      </w:r>
      <w:r w:rsidR="00EE4FC3">
        <w:t xml:space="preserve"> </w:t>
      </w:r>
      <w:r w:rsidRPr="00382917">
        <w:t>and</w:t>
      </w:r>
      <w:r w:rsidR="00EE4FC3">
        <w:t xml:space="preserve"> </w:t>
      </w:r>
      <w:r w:rsidRPr="00382917">
        <w:t>wholesomeness</w:t>
      </w:r>
      <w:r w:rsidR="00EE4FC3">
        <w:t xml:space="preserve"> </w:t>
      </w:r>
      <w:r w:rsidRPr="00382917">
        <w:t>of</w:t>
      </w:r>
      <w:r w:rsidR="00EE4FC3">
        <w:t xml:space="preserve"> </w:t>
      </w:r>
      <w:r w:rsidRPr="00382917">
        <w:t>social</w:t>
      </w:r>
      <w:r w:rsidR="00EE4FC3">
        <w:t xml:space="preserve"> </w:t>
      </w:r>
      <w:r w:rsidRPr="00382917">
        <w:t>affairs</w:t>
      </w:r>
      <w:r w:rsidR="00EE4FC3">
        <w:t xml:space="preserve"> </w:t>
      </w:r>
      <w:r w:rsidRPr="00382917">
        <w:t>throughout</w:t>
      </w:r>
      <w:r w:rsidR="00EE4FC3">
        <w:t xml:space="preserve"> </w:t>
      </w:r>
      <w:r w:rsidRPr="00382917">
        <w:t>the</w:t>
      </w:r>
      <w:r w:rsidR="00EE4FC3">
        <w:t xml:space="preserve"> </w:t>
      </w:r>
      <w:r w:rsidRPr="00382917">
        <w:t>world</w:t>
      </w:r>
      <w:r w:rsidR="00EE4FC3">
        <w:t xml:space="preserve"> </w:t>
      </w:r>
      <w:r w:rsidRPr="00382917">
        <w:t>will</w:t>
      </w:r>
      <w:r w:rsidR="00EE4FC3">
        <w:t xml:space="preserve"> </w:t>
      </w:r>
      <w:r w:rsidRPr="00382917">
        <w:t>be</w:t>
      </w:r>
      <w:r w:rsidR="00EE4FC3">
        <w:t xml:space="preserve"> </w:t>
      </w:r>
      <w:r w:rsidRPr="00382917">
        <w:t>greatly</w:t>
      </w:r>
      <w:r w:rsidR="00EE4FC3">
        <w:t xml:space="preserve"> </w:t>
      </w:r>
      <w:r w:rsidRPr="00382917">
        <w:t>improved.</w:t>
      </w:r>
    </w:p>
    <w:p w:rsidR="00650F8F" w:rsidRPr="00382917" w:rsidRDefault="00650F8F">
      <w:pPr>
        <w:widowControl/>
        <w:kinsoku/>
        <w:overflowPunct/>
        <w:textAlignment w:val="auto"/>
      </w:pPr>
      <w:r w:rsidRPr="00382917">
        <w:br w:type="page"/>
      </w:r>
    </w:p>
    <w:p w:rsidR="00300E83" w:rsidRPr="00382917" w:rsidRDefault="00300E83" w:rsidP="00650F8F">
      <w:pPr>
        <w:pStyle w:val="Text"/>
      </w:pPr>
      <w:r w:rsidRPr="00382917">
        <w:t>This</w:t>
      </w:r>
      <w:r w:rsidR="00EE4FC3">
        <w:t xml:space="preserve"> </w:t>
      </w:r>
      <w:r w:rsidRPr="00382917">
        <w:t>is</w:t>
      </w:r>
      <w:r w:rsidR="00EE4FC3">
        <w:t xml:space="preserve"> </w:t>
      </w:r>
      <w:r w:rsidRPr="00382917">
        <w:t>also</w:t>
      </w:r>
      <w:r w:rsidR="00EE4FC3">
        <w:t xml:space="preserve"> </w:t>
      </w:r>
      <w:r w:rsidRPr="00382917">
        <w:t>a</w:t>
      </w:r>
      <w:r w:rsidR="00EE4FC3">
        <w:t xml:space="preserve"> </w:t>
      </w:r>
      <w:r w:rsidR="009C713D" w:rsidRPr="00382917">
        <w:t>“</w:t>
      </w:r>
      <w:r w:rsidRPr="00382917">
        <w:t>fruit</w:t>
      </w:r>
      <w:r w:rsidR="009C713D" w:rsidRPr="00382917">
        <w:t>”</w:t>
      </w:r>
      <w:r w:rsidR="00EE4FC3">
        <w:t xml:space="preserve"> </w:t>
      </w:r>
      <w:r w:rsidRPr="00382917">
        <w:t>from</w:t>
      </w:r>
      <w:r w:rsidR="00EE4FC3">
        <w:t xml:space="preserve"> </w:t>
      </w:r>
      <w:r w:rsidRPr="00382917">
        <w:t>Bahá</w:t>
      </w:r>
      <w:r w:rsidR="009C713D" w:rsidRPr="00382917">
        <w:t>’</w:t>
      </w:r>
      <w:r w:rsidRPr="00382917">
        <w:t>u</w:t>
      </w:r>
      <w:r w:rsidR="009C713D" w:rsidRPr="00382917">
        <w:t>’</w:t>
      </w:r>
      <w:r w:rsidRPr="00382917">
        <w:t>lláh</w:t>
      </w:r>
      <w:r w:rsidR="009C713D" w:rsidRPr="00382917">
        <w:t>’</w:t>
      </w:r>
      <w:r w:rsidRPr="00382917">
        <w:t>s</w:t>
      </w:r>
      <w:r w:rsidR="00EE4FC3">
        <w:t xml:space="preserve"> </w:t>
      </w:r>
      <w:r w:rsidRPr="00382917">
        <w:t>tree.</w:t>
      </w:r>
    </w:p>
    <w:p w:rsidR="00300E83" w:rsidRPr="00382917" w:rsidRDefault="004C0EF8" w:rsidP="0075274D">
      <w:pPr>
        <w:pStyle w:val="MyHead4"/>
      </w:pPr>
      <w:r w:rsidRPr="00382917">
        <w:t>3.</w:t>
      </w:r>
      <w:r w:rsidR="00EE4FC3">
        <w:t xml:space="preserve">  </w:t>
      </w:r>
      <w:r w:rsidR="00300E83" w:rsidRPr="00382917">
        <w:t>Education</w:t>
      </w:r>
      <w:r w:rsidR="00EE4FC3">
        <w:t xml:space="preserve"> </w:t>
      </w:r>
      <w:r w:rsidR="00300E83" w:rsidRPr="00382917">
        <w:t>must</w:t>
      </w:r>
      <w:r w:rsidR="00EE4FC3">
        <w:t xml:space="preserve"> </w:t>
      </w:r>
      <w:r w:rsidR="00300E83" w:rsidRPr="00382917">
        <w:t>be</w:t>
      </w:r>
      <w:r w:rsidR="00EE4FC3">
        <w:t xml:space="preserve"> </w:t>
      </w:r>
      <w:r w:rsidR="00300E83" w:rsidRPr="00382917">
        <w:t>made</w:t>
      </w:r>
      <w:r w:rsidR="00EE4FC3">
        <w:t xml:space="preserve"> </w:t>
      </w:r>
      <w:r w:rsidR="00300E83" w:rsidRPr="00382917">
        <w:t>available</w:t>
      </w:r>
      <w:r w:rsidR="00EE4FC3">
        <w:t xml:space="preserve"> </w:t>
      </w:r>
      <w:r w:rsidR="00300E83" w:rsidRPr="00382917">
        <w:t>to</w:t>
      </w:r>
      <w:r w:rsidR="00EE4FC3">
        <w:t xml:space="preserve"> </w:t>
      </w:r>
      <w:r w:rsidR="00300E83" w:rsidRPr="00382917">
        <w:t>all.</w:t>
      </w:r>
    </w:p>
    <w:p w:rsidR="00300E83" w:rsidRPr="00382917" w:rsidRDefault="00300E83" w:rsidP="00650F8F">
      <w:pPr>
        <w:pStyle w:val="Text"/>
      </w:pPr>
      <w:r w:rsidRPr="00382917">
        <w:t>No</w:t>
      </w:r>
      <w:r w:rsidR="00EE4FC3">
        <w:t xml:space="preserve"> </w:t>
      </w:r>
      <w:r w:rsidRPr="00382917">
        <w:t>one</w:t>
      </w:r>
      <w:r w:rsidR="00EE4FC3">
        <w:t xml:space="preserve"> </w:t>
      </w:r>
      <w:r w:rsidRPr="00382917">
        <w:t>should</w:t>
      </w:r>
      <w:r w:rsidR="00EE4FC3">
        <w:t xml:space="preserve"> </w:t>
      </w:r>
      <w:r w:rsidRPr="00382917">
        <w:t>be</w:t>
      </w:r>
      <w:r w:rsidR="00EE4FC3">
        <w:t xml:space="preserve"> </w:t>
      </w:r>
      <w:r w:rsidRPr="00382917">
        <w:t>deprived</w:t>
      </w:r>
      <w:r w:rsidR="00EE4FC3">
        <w:t xml:space="preserve"> </w:t>
      </w:r>
      <w:r w:rsidRPr="00382917">
        <w:t>of</w:t>
      </w:r>
      <w:r w:rsidR="00EE4FC3">
        <w:t xml:space="preserve"> </w:t>
      </w:r>
      <w:r w:rsidRPr="00382917">
        <w:t>an</w:t>
      </w:r>
      <w:r w:rsidR="00EE4FC3">
        <w:t xml:space="preserve"> </w:t>
      </w:r>
      <w:r w:rsidRPr="00382917">
        <w:t>opportunity</w:t>
      </w:r>
      <w:r w:rsidR="00EE4FC3">
        <w:t xml:space="preserve"> </w:t>
      </w:r>
      <w:r w:rsidRPr="00382917">
        <w:t>for</w:t>
      </w:r>
      <w:r w:rsidR="00EE4FC3">
        <w:t xml:space="preserve"> </w:t>
      </w:r>
      <w:r w:rsidRPr="00382917">
        <w:t>education,</w:t>
      </w:r>
      <w:r w:rsidR="00EE4FC3">
        <w:t xml:space="preserve"> </w:t>
      </w:r>
      <w:r w:rsidRPr="00382917">
        <w:t>Bahá</w:t>
      </w:r>
      <w:r w:rsidR="009C713D" w:rsidRPr="00382917">
        <w:t>’</w:t>
      </w:r>
      <w:r w:rsidRPr="00382917">
        <w:t>u</w:t>
      </w:r>
      <w:r w:rsidR="009C713D" w:rsidRPr="00382917">
        <w:t>’</w:t>
      </w:r>
      <w:r w:rsidRPr="00382917">
        <w:t>lláh</w:t>
      </w:r>
      <w:r w:rsidR="009C713D" w:rsidRPr="00382917">
        <w:t>’</w:t>
      </w:r>
      <w:r w:rsidRPr="00382917">
        <w:t>s</w:t>
      </w:r>
      <w:r w:rsidR="00EE4FC3">
        <w:t xml:space="preserve"> </w:t>
      </w:r>
      <w:r w:rsidRPr="00382917">
        <w:t>teachings</w:t>
      </w:r>
      <w:r w:rsidR="00EE4FC3">
        <w:t xml:space="preserve"> </w:t>
      </w:r>
      <w:r w:rsidRPr="00382917">
        <w:t>explain</w:t>
      </w:r>
      <w:r w:rsidR="00552489">
        <w:t>.</w:t>
      </w:r>
      <w:r w:rsidR="00EE4FC3">
        <w:t xml:space="preserve">  </w:t>
      </w:r>
      <w:r w:rsidRPr="00382917">
        <w:t>Nor</w:t>
      </w:r>
      <w:r w:rsidR="00EE4FC3">
        <w:t xml:space="preserve"> </w:t>
      </w:r>
      <w:r w:rsidRPr="00382917">
        <w:t>must</w:t>
      </w:r>
      <w:r w:rsidR="00EE4FC3">
        <w:t xml:space="preserve"> </w:t>
      </w:r>
      <w:r w:rsidRPr="00382917">
        <w:t>anyone</w:t>
      </w:r>
      <w:r w:rsidR="00EE4FC3">
        <w:t xml:space="preserve"> </w:t>
      </w:r>
      <w:r w:rsidRPr="00382917">
        <w:t>be</w:t>
      </w:r>
      <w:r w:rsidR="00EE4FC3">
        <w:t xml:space="preserve"> </w:t>
      </w:r>
      <w:r w:rsidRPr="00382917">
        <w:t>permitted</w:t>
      </w:r>
      <w:r w:rsidR="00EE4FC3">
        <w:t xml:space="preserve"> </w:t>
      </w:r>
      <w:r w:rsidRPr="00382917">
        <w:t>to</w:t>
      </w:r>
      <w:r w:rsidR="00EE4FC3">
        <w:t xml:space="preserve"> </w:t>
      </w:r>
      <w:r w:rsidRPr="00382917">
        <w:t>deprive</w:t>
      </w:r>
      <w:r w:rsidR="00EE4FC3">
        <w:t xml:space="preserve"> </w:t>
      </w:r>
      <w:r w:rsidRPr="00382917">
        <w:t>himself</w:t>
      </w:r>
      <w:r w:rsidR="00EE4FC3">
        <w:t xml:space="preserve"> </w:t>
      </w:r>
      <w:r w:rsidRPr="00382917">
        <w:t>of</w:t>
      </w:r>
      <w:r w:rsidR="00EE4FC3">
        <w:t xml:space="preserve"> </w:t>
      </w:r>
      <w:r w:rsidRPr="00382917">
        <w:t>an</w:t>
      </w:r>
      <w:r w:rsidR="00EE4FC3">
        <w:t xml:space="preserve"> </w:t>
      </w:r>
      <w:r w:rsidRPr="00382917">
        <w:t>education</w:t>
      </w:r>
      <w:r w:rsidR="00552489">
        <w:t>.</w:t>
      </w:r>
      <w:r w:rsidR="00EE4FC3">
        <w:t xml:space="preserve">  </w:t>
      </w:r>
      <w:r w:rsidRPr="00382917">
        <w:t>Education</w:t>
      </w:r>
      <w:r w:rsidR="00EE4FC3">
        <w:t xml:space="preserve"> </w:t>
      </w:r>
      <w:r w:rsidRPr="00382917">
        <w:t>must</w:t>
      </w:r>
      <w:r w:rsidR="00EE4FC3">
        <w:t xml:space="preserve"> </w:t>
      </w:r>
      <w:r w:rsidRPr="00382917">
        <w:t>be</w:t>
      </w:r>
      <w:r w:rsidR="00EE4FC3">
        <w:t xml:space="preserve"> </w:t>
      </w:r>
      <w:r w:rsidRPr="00382917">
        <w:t>compulsory</w:t>
      </w:r>
      <w:r w:rsidR="00EE4FC3">
        <w:t xml:space="preserve"> </w:t>
      </w:r>
      <w:r w:rsidRPr="00382917">
        <w:t>up</w:t>
      </w:r>
      <w:r w:rsidR="00EE4FC3">
        <w:t xml:space="preserve"> </w:t>
      </w:r>
      <w:r w:rsidRPr="00382917">
        <w:t>to</w:t>
      </w:r>
      <w:r w:rsidR="00EE4FC3">
        <w:t xml:space="preserve"> </w:t>
      </w:r>
      <w:r w:rsidRPr="00382917">
        <w:t>a</w:t>
      </w:r>
      <w:r w:rsidR="00EE4FC3">
        <w:t xml:space="preserve"> </w:t>
      </w:r>
      <w:r w:rsidRPr="00382917">
        <w:t>certain</w:t>
      </w:r>
      <w:r w:rsidR="00EE4FC3">
        <w:t xml:space="preserve"> </w:t>
      </w:r>
      <w:r w:rsidRPr="00382917">
        <w:t>age.</w:t>
      </w:r>
    </w:p>
    <w:p w:rsidR="00C20B51" w:rsidRDefault="009C713D" w:rsidP="00C20B51">
      <w:pPr>
        <w:pStyle w:val="Quote"/>
      </w:pPr>
      <w:r w:rsidRPr="00382917">
        <w:t>“</w:t>
      </w:r>
      <w:r w:rsidR="00300E83" w:rsidRPr="00382917">
        <w:t>To</w:t>
      </w:r>
      <w:r w:rsidR="00EE4FC3">
        <w:t xml:space="preserve"> </w:t>
      </w:r>
      <w:r w:rsidR="00300E83" w:rsidRPr="00382917">
        <w:t>acquire</w:t>
      </w:r>
      <w:r w:rsidR="00EE4FC3">
        <w:t xml:space="preserve"> </w:t>
      </w:r>
      <w:r w:rsidR="00300E83" w:rsidRPr="00382917">
        <w:t>knowledge</w:t>
      </w:r>
      <w:r w:rsidR="00EE4FC3">
        <w:t xml:space="preserve"> </w:t>
      </w:r>
      <w:r w:rsidR="00300E83" w:rsidRPr="00382917">
        <w:t>is</w:t>
      </w:r>
      <w:r w:rsidR="00EE4FC3">
        <w:t xml:space="preserve"> </w:t>
      </w:r>
      <w:r w:rsidR="00300E83" w:rsidRPr="00382917">
        <w:t>incumbent</w:t>
      </w:r>
      <w:r w:rsidR="00EE4FC3">
        <w:t xml:space="preserve"> </w:t>
      </w:r>
      <w:r w:rsidR="00300E83" w:rsidRPr="00382917">
        <w:t>on</w:t>
      </w:r>
      <w:r w:rsidR="00EE4FC3">
        <w:t xml:space="preserve"> </w:t>
      </w:r>
      <w:r w:rsidR="00300E83" w:rsidRPr="00382917">
        <w:t>all,</w:t>
      </w:r>
      <w:r w:rsidRPr="00382917">
        <w:t>”</w:t>
      </w:r>
      <w:r w:rsidR="00EE4FC3">
        <w:t xml:space="preserve"> </w:t>
      </w:r>
      <w:r w:rsidR="00300E83" w:rsidRPr="00382917">
        <w:t>Bahá</w:t>
      </w:r>
      <w:r w:rsidRPr="00382917">
        <w:t>’</w:t>
      </w:r>
      <w:r w:rsidR="00300E83" w:rsidRPr="00382917">
        <w:t>u</w:t>
      </w:r>
      <w:r w:rsidRPr="00382917">
        <w:t>’</w:t>
      </w:r>
      <w:r w:rsidR="00300E83" w:rsidRPr="00382917">
        <w:t>lláh</w:t>
      </w:r>
      <w:r w:rsidR="00EE4FC3">
        <w:t xml:space="preserve"> </w:t>
      </w:r>
      <w:r w:rsidR="00300E83" w:rsidRPr="00382917">
        <w:t>declares,</w:t>
      </w:r>
      <w:r w:rsidR="00EE4FC3">
        <w:t xml:space="preserve"> </w:t>
      </w:r>
      <w:r w:rsidRPr="00382917">
        <w:t>“</w:t>
      </w:r>
      <w:r w:rsidR="00300E83" w:rsidRPr="00382917">
        <w:t>but</w:t>
      </w:r>
      <w:r w:rsidR="00EE4FC3">
        <w:t xml:space="preserve"> </w:t>
      </w:r>
      <w:r w:rsidR="00300E83" w:rsidRPr="00382917">
        <w:t>of</w:t>
      </w:r>
      <w:r w:rsidR="00EE4FC3">
        <w:t xml:space="preserve"> </w:t>
      </w:r>
      <w:r w:rsidR="00300E83" w:rsidRPr="00382917">
        <w:t>those</w:t>
      </w:r>
      <w:r w:rsidR="00EE4FC3">
        <w:t xml:space="preserve"> </w:t>
      </w:r>
      <w:r w:rsidR="00300E83" w:rsidRPr="00382917">
        <w:t>sciences</w:t>
      </w:r>
      <w:r w:rsidR="00EE4FC3">
        <w:t xml:space="preserve"> </w:t>
      </w:r>
      <w:r w:rsidR="00300E83" w:rsidRPr="00382917">
        <w:t>which</w:t>
      </w:r>
      <w:r w:rsidR="00EE4FC3">
        <w:t xml:space="preserve"> </w:t>
      </w:r>
      <w:r w:rsidR="00300E83" w:rsidRPr="00382917">
        <w:t>may</w:t>
      </w:r>
      <w:r w:rsidR="00EE4FC3">
        <w:t xml:space="preserve"> </w:t>
      </w:r>
      <w:r w:rsidR="00300E83" w:rsidRPr="00382917">
        <w:t>profit</w:t>
      </w:r>
      <w:r w:rsidR="00EE4FC3">
        <w:t xml:space="preserve"> </w:t>
      </w:r>
      <w:r w:rsidR="00300E83" w:rsidRPr="00382917">
        <w:t>the</w:t>
      </w:r>
      <w:r w:rsidR="00EE4FC3">
        <w:t xml:space="preserve"> </w:t>
      </w:r>
      <w:r w:rsidR="00300E83" w:rsidRPr="00382917">
        <w:t>people</w:t>
      </w:r>
      <w:r w:rsidR="00EE4FC3">
        <w:t xml:space="preserve"> </w:t>
      </w:r>
      <w:r w:rsidR="00300E83" w:rsidRPr="00382917">
        <w:t>of</w:t>
      </w:r>
      <w:r w:rsidR="00EE4FC3">
        <w:t xml:space="preserve"> </w:t>
      </w:r>
      <w:r w:rsidR="00300E83" w:rsidRPr="00382917">
        <w:t>the</w:t>
      </w:r>
      <w:r w:rsidR="00EE4FC3">
        <w:t xml:space="preserve"> </w:t>
      </w:r>
      <w:r w:rsidR="00300E83" w:rsidRPr="00382917">
        <w:t>earth</w:t>
      </w:r>
      <w:r w:rsidR="00C20B51">
        <w:t xml:space="preserve"> </w:t>
      </w:r>
      <w:r w:rsidR="00F04416" w:rsidRPr="00382917">
        <w:t>…</w:t>
      </w:r>
      <w:r w:rsidR="00552489">
        <w:t>.</w:t>
      </w:r>
      <w:r w:rsidR="00EE4FC3">
        <w:t xml:space="preserve">  </w:t>
      </w:r>
      <w:r w:rsidR="00300E83" w:rsidRPr="00382917">
        <w:t>The</w:t>
      </w:r>
      <w:r w:rsidR="00EE4FC3">
        <w:t xml:space="preserve"> </w:t>
      </w:r>
      <w:r w:rsidR="00300E83" w:rsidRPr="00382917">
        <w:t>possessors</w:t>
      </w:r>
      <w:r w:rsidR="00EE4FC3">
        <w:t xml:space="preserve"> </w:t>
      </w:r>
      <w:r w:rsidR="00300E83" w:rsidRPr="00382917">
        <w:t>of</w:t>
      </w:r>
      <w:r w:rsidR="00EE4FC3">
        <w:t xml:space="preserve"> </w:t>
      </w:r>
      <w:r w:rsidR="00300E83" w:rsidRPr="00382917">
        <w:t>sciences</w:t>
      </w:r>
      <w:r w:rsidR="00EE4FC3">
        <w:t xml:space="preserve"> </w:t>
      </w:r>
      <w:r w:rsidR="00300E83" w:rsidRPr="00382917">
        <w:t>and</w:t>
      </w:r>
      <w:r w:rsidR="00EE4FC3">
        <w:t xml:space="preserve"> </w:t>
      </w:r>
      <w:r w:rsidR="00300E83" w:rsidRPr="00382917">
        <w:t>arts</w:t>
      </w:r>
      <w:r w:rsidR="00EE4FC3">
        <w:t xml:space="preserve"> </w:t>
      </w:r>
      <w:r w:rsidR="00300E83" w:rsidRPr="00382917">
        <w:t>have</w:t>
      </w:r>
      <w:r w:rsidR="00EE4FC3">
        <w:t xml:space="preserve"> </w:t>
      </w:r>
      <w:r w:rsidR="00300E83" w:rsidRPr="00382917">
        <w:t>a</w:t>
      </w:r>
      <w:r w:rsidR="00EE4FC3">
        <w:t xml:space="preserve"> </w:t>
      </w:r>
      <w:r w:rsidR="00300E83" w:rsidRPr="00382917">
        <w:t>great</w:t>
      </w:r>
      <w:r w:rsidR="00EE4FC3">
        <w:t xml:space="preserve"> </w:t>
      </w:r>
      <w:r w:rsidR="00300E83" w:rsidRPr="00382917">
        <w:t>right</w:t>
      </w:r>
      <w:r w:rsidR="00EE4FC3">
        <w:t xml:space="preserve"> </w:t>
      </w:r>
      <w:r w:rsidR="00300E83" w:rsidRPr="00382917">
        <w:t>among</w:t>
      </w:r>
      <w:r w:rsidR="00EE4FC3">
        <w:t xml:space="preserve"> </w:t>
      </w:r>
      <w:r w:rsidR="00300E83" w:rsidRPr="00382917">
        <w:t>the</w:t>
      </w:r>
      <w:r w:rsidR="00EE4FC3">
        <w:t xml:space="preserve"> </w:t>
      </w:r>
      <w:r w:rsidR="00300E83" w:rsidRPr="00382917">
        <w:t>people</w:t>
      </w:r>
      <w:r w:rsidR="00EE4FC3">
        <w:t xml:space="preserve"> </w:t>
      </w:r>
      <w:r w:rsidR="00300E83" w:rsidRPr="00382917">
        <w:t>of</w:t>
      </w:r>
      <w:r w:rsidR="00EE4FC3">
        <w:t xml:space="preserve"> </w:t>
      </w:r>
      <w:r w:rsidR="00300E83" w:rsidRPr="00382917">
        <w:t>the</w:t>
      </w:r>
      <w:r w:rsidR="00EE4FC3">
        <w:t xml:space="preserve"> </w:t>
      </w:r>
      <w:r w:rsidR="00300E83" w:rsidRPr="00382917">
        <w:t>world</w:t>
      </w:r>
      <w:proofErr w:type="gramStart"/>
      <w:r w:rsidR="00C20B51">
        <w:t xml:space="preserve">. </w:t>
      </w:r>
      <w:proofErr w:type="gramEnd"/>
      <w:r w:rsidR="00F04416" w:rsidRPr="00382917">
        <w:t>…</w:t>
      </w:r>
    </w:p>
    <w:p w:rsidR="00300E83" w:rsidRPr="00382917" w:rsidRDefault="00C20B51" w:rsidP="00C20B51">
      <w:pPr>
        <w:pStyle w:val="Quote"/>
      </w:pPr>
      <w:r>
        <w:t>“</w:t>
      </w:r>
      <w:r w:rsidR="00300E83" w:rsidRPr="00382917">
        <w:t>Indeed,</w:t>
      </w:r>
      <w:r w:rsidR="00EE4FC3">
        <w:t xml:space="preserve"> </w:t>
      </w:r>
      <w:r w:rsidR="00300E83" w:rsidRPr="00382917">
        <w:t>the</w:t>
      </w:r>
      <w:r w:rsidR="00EE4FC3">
        <w:t xml:space="preserve"> </w:t>
      </w:r>
      <w:r w:rsidR="00300E83" w:rsidRPr="00382917">
        <w:t>real</w:t>
      </w:r>
      <w:r w:rsidR="00EE4FC3">
        <w:t xml:space="preserve"> </w:t>
      </w:r>
      <w:r w:rsidR="00300E83" w:rsidRPr="00382917">
        <w:t>treasury</w:t>
      </w:r>
      <w:r w:rsidR="00EE4FC3">
        <w:t xml:space="preserve"> </w:t>
      </w:r>
      <w:r w:rsidR="00300E83" w:rsidRPr="00382917">
        <w:t>of</w:t>
      </w:r>
      <w:r w:rsidR="00EE4FC3">
        <w:t xml:space="preserve"> </w:t>
      </w:r>
      <w:r w:rsidR="00300E83" w:rsidRPr="00382917">
        <w:t>man</w:t>
      </w:r>
      <w:r w:rsidR="00EE4FC3">
        <w:t xml:space="preserve"> </w:t>
      </w:r>
      <w:r w:rsidR="00300E83" w:rsidRPr="00382917">
        <w:t>is</w:t>
      </w:r>
      <w:r w:rsidR="00EE4FC3">
        <w:t xml:space="preserve"> </w:t>
      </w:r>
      <w:r w:rsidR="00300E83" w:rsidRPr="00382917">
        <w:t>his</w:t>
      </w:r>
      <w:r w:rsidR="00EE4FC3">
        <w:t xml:space="preserve"> </w:t>
      </w:r>
      <w:r w:rsidR="00300E83" w:rsidRPr="00382917">
        <w:t>knowledge</w:t>
      </w:r>
      <w:r w:rsidR="00552489">
        <w:t>.</w:t>
      </w:r>
      <w:r w:rsidR="00EE4FC3">
        <w:t xml:space="preserve">  </w:t>
      </w:r>
      <w:r w:rsidR="00300E83" w:rsidRPr="00382917">
        <w:t>Knowledge</w:t>
      </w:r>
      <w:r w:rsidR="00EE4FC3">
        <w:t xml:space="preserve"> </w:t>
      </w:r>
      <w:r w:rsidR="00300E83" w:rsidRPr="00382917">
        <w:t>is</w:t>
      </w:r>
      <w:r w:rsidR="00EE4FC3">
        <w:t xml:space="preserve"> </w:t>
      </w:r>
      <w:r w:rsidR="00300E83" w:rsidRPr="00382917">
        <w:t>the</w:t>
      </w:r>
      <w:r w:rsidR="00EE4FC3">
        <w:t xml:space="preserve"> </w:t>
      </w:r>
      <w:r w:rsidR="00300E83" w:rsidRPr="00382917">
        <w:t>means</w:t>
      </w:r>
      <w:r w:rsidR="00EE4FC3">
        <w:t xml:space="preserve"> </w:t>
      </w:r>
      <w:r w:rsidR="00300E83" w:rsidRPr="00382917">
        <w:t>of</w:t>
      </w:r>
      <w:r w:rsidR="00EE4FC3">
        <w:t xml:space="preserve"> </w:t>
      </w:r>
      <w:proofErr w:type="spellStart"/>
      <w:r w:rsidR="00300E83" w:rsidRPr="00382917">
        <w:t>honor</w:t>
      </w:r>
      <w:proofErr w:type="spellEnd"/>
      <w:r w:rsidR="00300E83" w:rsidRPr="00382917">
        <w:t>,</w:t>
      </w:r>
      <w:r w:rsidR="00EE4FC3">
        <w:t xml:space="preserve"> </w:t>
      </w:r>
      <w:r w:rsidR="00300E83" w:rsidRPr="00382917">
        <w:t>prosperity,</w:t>
      </w:r>
      <w:r w:rsidR="00EE4FC3">
        <w:t xml:space="preserve"> </w:t>
      </w:r>
      <w:r w:rsidR="00300E83" w:rsidRPr="00382917">
        <w:t>joy,</w:t>
      </w:r>
      <w:r w:rsidR="00EE4FC3">
        <w:t xml:space="preserve"> </w:t>
      </w:r>
      <w:r w:rsidR="00300E83" w:rsidRPr="00382917">
        <w:t>gladness,</w:t>
      </w:r>
      <w:r w:rsidR="00EE4FC3">
        <w:t xml:space="preserve"> </w:t>
      </w:r>
      <w:r w:rsidR="00300E83" w:rsidRPr="00382917">
        <w:t>happiness</w:t>
      </w:r>
      <w:r w:rsidR="00EE4FC3">
        <w:t xml:space="preserve"> </w:t>
      </w:r>
      <w:r w:rsidR="00300E83" w:rsidRPr="00382917">
        <w:t>and</w:t>
      </w:r>
      <w:r w:rsidR="00EE4FC3">
        <w:t xml:space="preserve"> </w:t>
      </w:r>
      <w:r w:rsidR="00300E83" w:rsidRPr="00382917">
        <w:t>exaltation.</w:t>
      </w:r>
      <w:r w:rsidR="009C713D" w:rsidRPr="00382917">
        <w:t>”</w:t>
      </w:r>
      <w:r>
        <w:rPr>
          <w:rStyle w:val="FootnoteReference"/>
        </w:rPr>
        <w:footnoteReference w:id="352"/>
      </w:r>
    </w:p>
    <w:p w:rsidR="00300E83" w:rsidRPr="00382917" w:rsidRDefault="00300E83" w:rsidP="00C20B51">
      <w:pPr>
        <w:pStyle w:val="Text"/>
      </w:pPr>
      <w:r w:rsidRPr="00382917">
        <w:t>This</w:t>
      </w:r>
      <w:r w:rsidR="00EE4FC3">
        <w:t xml:space="preserve"> </w:t>
      </w:r>
      <w:r w:rsidRPr="00382917">
        <w:t>is</w:t>
      </w:r>
      <w:r w:rsidR="00EE4FC3">
        <w:t xml:space="preserve"> </w:t>
      </w:r>
      <w:r w:rsidRPr="00382917">
        <w:t>another</w:t>
      </w:r>
      <w:r w:rsidR="00EE4FC3">
        <w:t xml:space="preserve"> </w:t>
      </w:r>
      <w:r w:rsidR="009C713D" w:rsidRPr="00382917">
        <w:t>“</w:t>
      </w:r>
      <w:r w:rsidRPr="00382917">
        <w:t>fruit</w:t>
      </w:r>
      <w:r w:rsidR="009C713D" w:rsidRPr="00382917">
        <w:t>”</w:t>
      </w:r>
      <w:r w:rsidR="00C20B51">
        <w:t>.</w:t>
      </w:r>
    </w:p>
    <w:p w:rsidR="00300E83" w:rsidRPr="00382917" w:rsidRDefault="004C0EF8" w:rsidP="00C20B51">
      <w:pPr>
        <w:pStyle w:val="MyHead4"/>
      </w:pPr>
      <w:r w:rsidRPr="00382917">
        <w:t>4.</w:t>
      </w:r>
      <w:r w:rsidR="00EE4FC3">
        <w:t xml:space="preserve">  </w:t>
      </w:r>
      <w:r w:rsidR="00300E83" w:rsidRPr="00382917">
        <w:t>An</w:t>
      </w:r>
      <w:r w:rsidR="00EE4FC3">
        <w:t xml:space="preserve"> </w:t>
      </w:r>
      <w:r w:rsidR="00300E83" w:rsidRPr="00382917">
        <w:t>International</w:t>
      </w:r>
      <w:r w:rsidR="00EE4FC3">
        <w:t xml:space="preserve"> </w:t>
      </w:r>
      <w:r w:rsidR="00300E83" w:rsidRPr="00382917">
        <w:t>language</w:t>
      </w:r>
      <w:r w:rsidR="00EE4FC3">
        <w:t xml:space="preserve"> </w:t>
      </w:r>
      <w:r w:rsidR="00300E83" w:rsidRPr="00382917">
        <w:t>must</w:t>
      </w:r>
      <w:r w:rsidR="00EE4FC3">
        <w:t xml:space="preserve"> </w:t>
      </w:r>
      <w:r w:rsidR="00300E83" w:rsidRPr="00382917">
        <w:t>be</w:t>
      </w:r>
      <w:r w:rsidR="00EE4FC3">
        <w:t xml:space="preserve"> </w:t>
      </w:r>
      <w:r w:rsidR="00300E83" w:rsidRPr="00382917">
        <w:t>taught</w:t>
      </w:r>
      <w:r w:rsidR="00EE4FC3">
        <w:t xml:space="preserve"> </w:t>
      </w:r>
      <w:r w:rsidR="00300E83" w:rsidRPr="00382917">
        <w:t>throughout</w:t>
      </w:r>
      <w:r w:rsidR="00EE4FC3">
        <w:t xml:space="preserve"> </w:t>
      </w:r>
      <w:r w:rsidR="00300E83" w:rsidRPr="00382917">
        <w:t>the</w:t>
      </w:r>
      <w:r w:rsidR="00EE4FC3">
        <w:t xml:space="preserve"> </w:t>
      </w:r>
      <w:r w:rsidR="00300E83" w:rsidRPr="00382917">
        <w:t>world</w:t>
      </w:r>
      <w:r w:rsidR="00EE4FC3">
        <w:t xml:space="preserve"> </w:t>
      </w:r>
      <w:r w:rsidR="00300E83" w:rsidRPr="00382917">
        <w:t>in</w:t>
      </w:r>
      <w:r w:rsidR="00EE4FC3">
        <w:t xml:space="preserve"> </w:t>
      </w:r>
      <w:r w:rsidR="00300E83" w:rsidRPr="00382917">
        <w:t>addition</w:t>
      </w:r>
      <w:r w:rsidR="00EE4FC3">
        <w:t xml:space="preserve"> </w:t>
      </w:r>
      <w:r w:rsidR="00300E83" w:rsidRPr="00382917">
        <w:t>to</w:t>
      </w:r>
      <w:r w:rsidR="00EE4FC3">
        <w:t xml:space="preserve"> </w:t>
      </w:r>
      <w:r w:rsidR="00300E83" w:rsidRPr="00382917">
        <w:t>the</w:t>
      </w:r>
      <w:r w:rsidR="00EE4FC3">
        <w:t xml:space="preserve"> </w:t>
      </w:r>
      <w:r w:rsidR="00300E83" w:rsidRPr="00382917">
        <w:t>mother-tongue.</w:t>
      </w:r>
    </w:p>
    <w:p w:rsidR="00300E83" w:rsidRPr="00382917" w:rsidRDefault="00300E83" w:rsidP="00650F8F">
      <w:pPr>
        <w:pStyle w:val="Text"/>
      </w:pPr>
      <w:r w:rsidRPr="00382917">
        <w:t>Bahá</w:t>
      </w:r>
      <w:r w:rsidR="009C713D" w:rsidRPr="00382917">
        <w:t>’</w:t>
      </w:r>
      <w:r w:rsidRPr="00382917">
        <w:t>u</w:t>
      </w:r>
      <w:r w:rsidR="009C713D" w:rsidRPr="00382917">
        <w:t>’</w:t>
      </w:r>
      <w:r w:rsidRPr="00382917">
        <w:t>lláh</w:t>
      </w:r>
      <w:r w:rsidR="00EE4FC3">
        <w:t xml:space="preserve"> </w:t>
      </w:r>
      <w:r w:rsidRPr="00382917">
        <w:t>has</w:t>
      </w:r>
      <w:r w:rsidR="00EE4FC3">
        <w:t xml:space="preserve"> </w:t>
      </w:r>
      <w:r w:rsidRPr="00382917">
        <w:t>instructed</w:t>
      </w:r>
      <w:r w:rsidR="00EE4FC3">
        <w:t xml:space="preserve"> </w:t>
      </w:r>
      <w:r w:rsidRPr="00382917">
        <w:t>that</w:t>
      </w:r>
      <w:r w:rsidR="00EE4FC3">
        <w:t xml:space="preserve"> </w:t>
      </w:r>
      <w:r w:rsidRPr="00382917">
        <w:t>a</w:t>
      </w:r>
      <w:r w:rsidR="00EE4FC3">
        <w:t xml:space="preserve"> </w:t>
      </w:r>
      <w:r w:rsidRPr="00382917">
        <w:t>universal</w:t>
      </w:r>
      <w:r w:rsidR="00EE4FC3">
        <w:t xml:space="preserve"> </w:t>
      </w:r>
      <w:r w:rsidRPr="00382917">
        <w:t>language</w:t>
      </w:r>
      <w:r w:rsidR="00EE4FC3">
        <w:t xml:space="preserve"> </w:t>
      </w:r>
      <w:r w:rsidRPr="00382917">
        <w:t>must</w:t>
      </w:r>
      <w:r w:rsidR="00EE4FC3">
        <w:t xml:space="preserve"> </w:t>
      </w:r>
      <w:r w:rsidRPr="00382917">
        <w:t>be</w:t>
      </w:r>
      <w:r w:rsidR="00EE4FC3">
        <w:t xml:space="preserve"> </w:t>
      </w:r>
      <w:r w:rsidRPr="00382917">
        <w:t>fashioned</w:t>
      </w:r>
      <w:r w:rsidR="00EE4FC3">
        <w:t xml:space="preserve"> </w:t>
      </w:r>
      <w:r w:rsidRPr="00382917">
        <w:t>or</w:t>
      </w:r>
      <w:r w:rsidR="00EE4FC3">
        <w:t xml:space="preserve"> </w:t>
      </w:r>
      <w:r w:rsidRPr="00382917">
        <w:t>adopted</w:t>
      </w:r>
      <w:r w:rsidR="00EE4FC3">
        <w:t xml:space="preserve"> </w:t>
      </w:r>
      <w:r w:rsidRPr="00382917">
        <w:t>from</w:t>
      </w:r>
      <w:r w:rsidR="00EE4FC3">
        <w:t xml:space="preserve"> </w:t>
      </w:r>
      <w:r w:rsidRPr="00382917">
        <w:t>one</w:t>
      </w:r>
      <w:r w:rsidR="00EE4FC3">
        <w:t xml:space="preserve"> </w:t>
      </w:r>
      <w:r w:rsidRPr="00382917">
        <w:t>of</w:t>
      </w:r>
      <w:r w:rsidR="00EE4FC3">
        <w:t xml:space="preserve"> </w:t>
      </w:r>
      <w:r w:rsidRPr="00382917">
        <w:t>the</w:t>
      </w:r>
      <w:r w:rsidR="00EE4FC3">
        <w:t xml:space="preserve"> </w:t>
      </w:r>
      <w:r w:rsidRPr="00382917">
        <w:t>existing</w:t>
      </w:r>
      <w:r w:rsidR="00EE4FC3">
        <w:t xml:space="preserve"> </w:t>
      </w:r>
      <w:r w:rsidRPr="00382917">
        <w:t>languages</w:t>
      </w:r>
      <w:r w:rsidR="00552489">
        <w:t>.</w:t>
      </w:r>
      <w:r w:rsidR="00EE4FC3">
        <w:t xml:space="preserve">  </w:t>
      </w:r>
      <w:r w:rsidRPr="00382917">
        <w:t>This</w:t>
      </w:r>
      <w:r w:rsidR="00EE4FC3">
        <w:t xml:space="preserve"> </w:t>
      </w:r>
      <w:r w:rsidRPr="00382917">
        <w:t>will</w:t>
      </w:r>
      <w:r w:rsidR="00EE4FC3">
        <w:t xml:space="preserve"> </w:t>
      </w:r>
      <w:r w:rsidRPr="00382917">
        <w:t>greatly</w:t>
      </w:r>
      <w:r w:rsidR="00EE4FC3">
        <w:t xml:space="preserve"> </w:t>
      </w:r>
      <w:r w:rsidRPr="00382917">
        <w:t>aid</w:t>
      </w:r>
      <w:r w:rsidR="00EE4FC3">
        <w:t xml:space="preserve"> </w:t>
      </w:r>
      <w:r w:rsidRPr="00382917">
        <w:t>commerce</w:t>
      </w:r>
      <w:r w:rsidR="00EE4FC3">
        <w:t xml:space="preserve"> </w:t>
      </w:r>
      <w:r w:rsidRPr="00382917">
        <w:t>and</w:t>
      </w:r>
      <w:r w:rsidR="00EE4FC3">
        <w:t xml:space="preserve"> </w:t>
      </w:r>
      <w:r w:rsidRPr="00382917">
        <w:t>will</w:t>
      </w:r>
      <w:r w:rsidR="00EE4FC3">
        <w:t xml:space="preserve"> </w:t>
      </w:r>
      <w:r w:rsidRPr="00382917">
        <w:t>break</w:t>
      </w:r>
      <w:r w:rsidR="00EE4FC3">
        <w:t xml:space="preserve"> </w:t>
      </w:r>
      <w:r w:rsidRPr="00382917">
        <w:t>down</w:t>
      </w:r>
      <w:r w:rsidR="00EE4FC3">
        <w:t xml:space="preserve"> </w:t>
      </w:r>
      <w:r w:rsidRPr="00382917">
        <w:t>the</w:t>
      </w:r>
      <w:r w:rsidR="00EE4FC3">
        <w:t xml:space="preserve"> </w:t>
      </w:r>
      <w:r w:rsidRPr="00382917">
        <w:t>barriers</w:t>
      </w:r>
      <w:r w:rsidR="00EE4FC3">
        <w:t xml:space="preserve"> </w:t>
      </w:r>
      <w:r w:rsidRPr="00382917">
        <w:t>of</w:t>
      </w:r>
      <w:r w:rsidR="00EE4FC3">
        <w:t xml:space="preserve"> </w:t>
      </w:r>
      <w:r w:rsidRPr="00382917">
        <w:t>misunderstanding</w:t>
      </w:r>
      <w:r w:rsidR="00EE4FC3">
        <w:t xml:space="preserve"> </w:t>
      </w:r>
      <w:r w:rsidRPr="00382917">
        <w:t>among</w:t>
      </w:r>
      <w:r w:rsidR="00EE4FC3">
        <w:t xml:space="preserve"> </w:t>
      </w:r>
      <w:r w:rsidRPr="00382917">
        <w:t>peoples.</w:t>
      </w:r>
    </w:p>
    <w:p w:rsidR="00300E83" w:rsidRPr="00382917" w:rsidRDefault="00300E83" w:rsidP="00650F8F">
      <w:pPr>
        <w:pStyle w:val="Text"/>
      </w:pPr>
      <w:r w:rsidRPr="00382917">
        <w:t>This</w:t>
      </w:r>
      <w:r w:rsidR="00EE4FC3">
        <w:t xml:space="preserve"> </w:t>
      </w:r>
      <w:r w:rsidRPr="00382917">
        <w:t>language</w:t>
      </w:r>
      <w:r w:rsidR="00EE4FC3">
        <w:t xml:space="preserve"> </w:t>
      </w:r>
      <w:r w:rsidRPr="00382917">
        <w:t>would</w:t>
      </w:r>
      <w:r w:rsidR="00EE4FC3">
        <w:t xml:space="preserve"> </w:t>
      </w:r>
      <w:r w:rsidRPr="00382917">
        <w:t>be</w:t>
      </w:r>
      <w:r w:rsidR="00EE4FC3">
        <w:t xml:space="preserve"> </w:t>
      </w:r>
      <w:r w:rsidRPr="00382917">
        <w:t>an</w:t>
      </w:r>
      <w:r w:rsidR="00EE4FC3">
        <w:t xml:space="preserve"> </w:t>
      </w:r>
      <w:r w:rsidRPr="00382917">
        <w:t>international</w:t>
      </w:r>
      <w:r w:rsidR="00EE4FC3">
        <w:t xml:space="preserve"> </w:t>
      </w:r>
      <w:r w:rsidRPr="00382917">
        <w:t>auxiliary</w:t>
      </w:r>
      <w:r w:rsidR="00EE4FC3">
        <w:t xml:space="preserve"> </w:t>
      </w:r>
      <w:r w:rsidRPr="00382917">
        <w:t>language</w:t>
      </w:r>
      <w:r w:rsidR="00552489">
        <w:t>.</w:t>
      </w:r>
      <w:r w:rsidR="00EE4FC3">
        <w:t xml:space="preserve">  </w:t>
      </w:r>
      <w:r w:rsidRPr="00382917">
        <w:t>Each</w:t>
      </w:r>
      <w:r w:rsidR="00EE4FC3">
        <w:t xml:space="preserve"> </w:t>
      </w:r>
      <w:r w:rsidRPr="00382917">
        <w:t>land</w:t>
      </w:r>
      <w:r w:rsidR="00EE4FC3">
        <w:t xml:space="preserve"> </w:t>
      </w:r>
      <w:r w:rsidRPr="00382917">
        <w:t>would</w:t>
      </w:r>
      <w:r w:rsidR="00EE4FC3">
        <w:t xml:space="preserve"> </w:t>
      </w:r>
      <w:r w:rsidRPr="00382917">
        <w:t>keep</w:t>
      </w:r>
      <w:r w:rsidR="00EE4FC3">
        <w:t xml:space="preserve"> </w:t>
      </w:r>
      <w:r w:rsidRPr="00382917">
        <w:t>the</w:t>
      </w:r>
      <w:r w:rsidR="00EE4FC3">
        <w:t xml:space="preserve"> </w:t>
      </w:r>
      <w:r w:rsidRPr="00382917">
        <w:t>beauty</w:t>
      </w:r>
      <w:r w:rsidR="00EE4FC3">
        <w:t xml:space="preserve"> </w:t>
      </w:r>
      <w:r w:rsidRPr="00382917">
        <w:t>and</w:t>
      </w:r>
      <w:r w:rsidR="00EE4FC3">
        <w:t xml:space="preserve"> </w:t>
      </w:r>
      <w:r w:rsidRPr="00382917">
        <w:t>charm</w:t>
      </w:r>
      <w:r w:rsidR="00EE4FC3">
        <w:t xml:space="preserve"> </w:t>
      </w:r>
      <w:r w:rsidRPr="00382917">
        <w:t>of</w:t>
      </w:r>
      <w:r w:rsidR="00EE4FC3">
        <w:t xml:space="preserve"> </w:t>
      </w:r>
      <w:r w:rsidRPr="00382917">
        <w:t>its</w:t>
      </w:r>
      <w:r w:rsidR="00EE4FC3">
        <w:t xml:space="preserve"> </w:t>
      </w:r>
      <w:r w:rsidRPr="00382917">
        <w:t>own</w:t>
      </w:r>
      <w:r w:rsidR="00EE4FC3">
        <w:t xml:space="preserve"> </w:t>
      </w:r>
      <w:r w:rsidRPr="00382917">
        <w:t>mother-tongue,</w:t>
      </w:r>
      <w:r w:rsidR="00EE4FC3">
        <w:t xml:space="preserve"> </w:t>
      </w:r>
      <w:r w:rsidRPr="00382917">
        <w:t>but</w:t>
      </w:r>
      <w:r w:rsidR="00EE4FC3">
        <w:t xml:space="preserve"> </w:t>
      </w:r>
      <w:r w:rsidRPr="00382917">
        <w:t>would</w:t>
      </w:r>
      <w:r w:rsidR="00EE4FC3">
        <w:t xml:space="preserve"> </w:t>
      </w:r>
      <w:r w:rsidRPr="00382917">
        <w:t>learn</w:t>
      </w:r>
      <w:r w:rsidR="00EE4FC3">
        <w:t xml:space="preserve"> </w:t>
      </w:r>
      <w:r w:rsidRPr="00382917">
        <w:t>in</w:t>
      </w:r>
      <w:r w:rsidR="00EE4FC3">
        <w:t xml:space="preserve"> </w:t>
      </w:r>
      <w:r w:rsidRPr="00382917">
        <w:t>addition</w:t>
      </w:r>
      <w:r w:rsidR="00EE4FC3">
        <w:t xml:space="preserve"> </w:t>
      </w:r>
      <w:r w:rsidRPr="00382917">
        <w:t>an</w:t>
      </w:r>
      <w:r w:rsidR="00EE4FC3">
        <w:t xml:space="preserve"> </w:t>
      </w:r>
      <w:r w:rsidRPr="00382917">
        <w:t>international</w:t>
      </w:r>
      <w:r w:rsidR="00EE4FC3">
        <w:t xml:space="preserve"> </w:t>
      </w:r>
      <w:r w:rsidRPr="00382917">
        <w:rPr>
          <w:i/>
          <w:iCs/>
        </w:rPr>
        <w:t>auxiliary</w:t>
      </w:r>
      <w:r w:rsidR="00EE4FC3">
        <w:rPr>
          <w:i/>
          <w:iCs/>
        </w:rPr>
        <w:t xml:space="preserve"> </w:t>
      </w:r>
      <w:r w:rsidRPr="00382917">
        <w:rPr>
          <w:i/>
          <w:iCs/>
        </w:rPr>
        <w:t>language</w:t>
      </w:r>
      <w:r w:rsidRPr="00382917">
        <w:t>.</w:t>
      </w:r>
    </w:p>
    <w:p w:rsidR="00C20B51" w:rsidRDefault="009C713D" w:rsidP="00C20B51">
      <w:pPr>
        <w:pStyle w:val="Quote"/>
      </w:pPr>
      <w:r w:rsidRPr="00382917">
        <w:t>“</w:t>
      </w:r>
      <w:r w:rsidR="00F04416" w:rsidRPr="00382917">
        <w:t>…</w:t>
      </w:r>
      <w:r w:rsidR="00EE4FC3">
        <w:t xml:space="preserve"> </w:t>
      </w:r>
      <w:proofErr w:type="gramStart"/>
      <w:r w:rsidR="00300E83" w:rsidRPr="00382917">
        <w:t>my</w:t>
      </w:r>
      <w:proofErr w:type="gramEnd"/>
      <w:r w:rsidR="00EE4FC3">
        <w:t xml:space="preserve"> </w:t>
      </w:r>
      <w:r w:rsidR="00300E83" w:rsidRPr="00382917">
        <w:t>determination</w:t>
      </w:r>
      <w:r w:rsidR="00EE4FC3">
        <w:t xml:space="preserve"> </w:t>
      </w:r>
      <w:r w:rsidR="00300E83" w:rsidRPr="00382917">
        <w:t>is</w:t>
      </w:r>
      <w:r w:rsidR="00EE4FC3">
        <w:t xml:space="preserve"> </w:t>
      </w:r>
      <w:r w:rsidR="00300E83" w:rsidRPr="00382917">
        <w:t>to</w:t>
      </w:r>
      <w:r w:rsidR="00EE4FC3">
        <w:t xml:space="preserve"> </w:t>
      </w:r>
      <w:r w:rsidR="00300E83" w:rsidRPr="00382917">
        <w:t>gather</w:t>
      </w:r>
      <w:r w:rsidR="00EE4FC3">
        <w:t xml:space="preserve"> </w:t>
      </w:r>
      <w:r w:rsidR="00300E83" w:rsidRPr="00382917">
        <w:t>the</w:t>
      </w:r>
      <w:r w:rsidR="00EE4FC3">
        <w:t xml:space="preserve"> </w:t>
      </w:r>
      <w:r w:rsidR="00300E83" w:rsidRPr="00382917">
        <w:t>nations</w:t>
      </w:r>
      <w:r w:rsidR="00C20B51">
        <w:t xml:space="preserve"> </w:t>
      </w:r>
      <w:r w:rsidR="00F04416" w:rsidRPr="00382917">
        <w:t>…</w:t>
      </w:r>
      <w:r w:rsidR="00552489">
        <w:t>.</w:t>
      </w:r>
    </w:p>
    <w:p w:rsidR="00300E83" w:rsidRPr="00382917" w:rsidRDefault="00C20B51" w:rsidP="00C20B51">
      <w:pPr>
        <w:pStyle w:val="Quote"/>
      </w:pPr>
      <w:r>
        <w:t>“</w:t>
      </w:r>
      <w:r w:rsidR="00300E83" w:rsidRPr="00382917">
        <w:t>For</w:t>
      </w:r>
      <w:r w:rsidR="00EE4FC3">
        <w:t xml:space="preserve"> </w:t>
      </w:r>
      <w:r w:rsidR="00300E83" w:rsidRPr="00382917">
        <w:t>then</w:t>
      </w:r>
      <w:r w:rsidR="00EE4FC3">
        <w:t xml:space="preserve"> </w:t>
      </w:r>
      <w:r w:rsidR="00300E83" w:rsidRPr="00382917">
        <w:t>will</w:t>
      </w:r>
      <w:r w:rsidR="00EE4FC3">
        <w:t xml:space="preserve"> </w:t>
      </w:r>
      <w:r w:rsidR="00300E83" w:rsidRPr="00382917">
        <w:t>I</w:t>
      </w:r>
      <w:r w:rsidR="00EE4FC3">
        <w:t xml:space="preserve"> </w:t>
      </w:r>
      <w:r w:rsidR="00300E83" w:rsidRPr="00382917">
        <w:t>turn</w:t>
      </w:r>
      <w:r w:rsidR="00EE4FC3">
        <w:t xml:space="preserve"> </w:t>
      </w:r>
      <w:r w:rsidR="00300E83" w:rsidRPr="00382917">
        <w:t>to</w:t>
      </w:r>
      <w:r w:rsidR="00EE4FC3">
        <w:t xml:space="preserve"> </w:t>
      </w:r>
      <w:r w:rsidR="00300E83" w:rsidRPr="00382917">
        <w:t>the</w:t>
      </w:r>
      <w:r w:rsidR="00EE4FC3">
        <w:t xml:space="preserve"> </w:t>
      </w:r>
      <w:r w:rsidR="00300E83" w:rsidRPr="00382917">
        <w:t>people</w:t>
      </w:r>
      <w:r w:rsidR="00EE4FC3">
        <w:t xml:space="preserve"> </w:t>
      </w:r>
      <w:r w:rsidR="00300E83" w:rsidRPr="00382917">
        <w:t>a</w:t>
      </w:r>
      <w:r w:rsidR="00EE4FC3">
        <w:t xml:space="preserve"> </w:t>
      </w:r>
      <w:r w:rsidR="00300E83" w:rsidRPr="00382917">
        <w:rPr>
          <w:i/>
        </w:rPr>
        <w:t>pure</w:t>
      </w:r>
      <w:r w:rsidR="00EE4FC3">
        <w:rPr>
          <w:i/>
        </w:rPr>
        <w:t xml:space="preserve"> </w:t>
      </w:r>
      <w:r w:rsidR="00300E83" w:rsidRPr="00382917">
        <w:rPr>
          <w:i/>
        </w:rPr>
        <w:t>language</w:t>
      </w:r>
      <w:r w:rsidR="00EE4FC3">
        <w:t xml:space="preserve"> </w:t>
      </w:r>
      <w:r w:rsidR="00300E83" w:rsidRPr="00382917">
        <w:t>that</w:t>
      </w:r>
      <w:r w:rsidR="00EE4FC3">
        <w:t xml:space="preserve"> </w:t>
      </w:r>
      <w:r w:rsidR="00300E83" w:rsidRPr="00382917">
        <w:t>they</w:t>
      </w:r>
      <w:r w:rsidR="00EE4FC3">
        <w:t xml:space="preserve"> </w:t>
      </w:r>
      <w:r w:rsidR="00300E83" w:rsidRPr="00382917">
        <w:t>may</w:t>
      </w:r>
      <w:r w:rsidR="00EE4FC3">
        <w:t xml:space="preserve"> </w:t>
      </w:r>
      <w:r w:rsidR="00300E83" w:rsidRPr="00382917">
        <w:t>all</w:t>
      </w:r>
      <w:r w:rsidR="00EE4FC3">
        <w:t xml:space="preserve"> </w:t>
      </w:r>
      <w:r w:rsidR="00300E83" w:rsidRPr="00382917">
        <w:t>call</w:t>
      </w:r>
      <w:r w:rsidR="00EE4FC3">
        <w:t xml:space="preserve"> </w:t>
      </w:r>
      <w:r w:rsidR="00300E83" w:rsidRPr="00382917">
        <w:t>upon</w:t>
      </w:r>
      <w:r w:rsidR="00EE4FC3">
        <w:t xml:space="preserve"> </w:t>
      </w:r>
      <w:r w:rsidR="00300E83" w:rsidRPr="00382917">
        <w:t>the</w:t>
      </w:r>
      <w:r w:rsidR="00EE4FC3">
        <w:t xml:space="preserve"> </w:t>
      </w:r>
      <w:r w:rsidR="00300E83" w:rsidRPr="00382917">
        <w:t>name</w:t>
      </w:r>
      <w:r w:rsidR="00EE4FC3">
        <w:t xml:space="preserve"> </w:t>
      </w:r>
      <w:r w:rsidR="00300E83" w:rsidRPr="00382917">
        <w:t>of</w:t>
      </w:r>
      <w:r w:rsidR="00EE4FC3">
        <w:t xml:space="preserve"> </w:t>
      </w:r>
      <w:r w:rsidR="00300E83" w:rsidRPr="00382917">
        <w:t>the</w:t>
      </w:r>
      <w:r w:rsidR="00EE4FC3">
        <w:t xml:space="preserve"> </w:t>
      </w:r>
      <w:r w:rsidR="00300E83" w:rsidRPr="00382917">
        <w:t>Lord,</w:t>
      </w:r>
      <w:r w:rsidR="00EE4FC3">
        <w:t xml:space="preserve"> </w:t>
      </w:r>
      <w:r w:rsidR="00300E83" w:rsidRPr="00382917">
        <w:t>to</w:t>
      </w:r>
      <w:r w:rsidR="00EE4FC3">
        <w:t xml:space="preserve"> </w:t>
      </w:r>
      <w:r w:rsidR="00300E83" w:rsidRPr="00382917">
        <w:t>serve</w:t>
      </w:r>
      <w:r w:rsidR="00EE4FC3">
        <w:t xml:space="preserve"> </w:t>
      </w:r>
      <w:r w:rsidR="00300E83" w:rsidRPr="00382917">
        <w:t>Him</w:t>
      </w:r>
      <w:r w:rsidR="00EE4FC3">
        <w:t xml:space="preserve"> </w:t>
      </w:r>
      <w:r w:rsidR="00300E83" w:rsidRPr="00382917">
        <w:t>with</w:t>
      </w:r>
      <w:r w:rsidR="00EE4FC3">
        <w:t xml:space="preserve"> </w:t>
      </w:r>
      <w:r w:rsidR="00300E83" w:rsidRPr="00382917">
        <w:t>one</w:t>
      </w:r>
      <w:r w:rsidR="00EE4FC3">
        <w:t xml:space="preserve"> </w:t>
      </w:r>
      <w:proofErr w:type="gramStart"/>
      <w:r w:rsidR="00300E83" w:rsidRPr="00382917">
        <w:t>consent.</w:t>
      </w:r>
      <w:proofErr w:type="gramEnd"/>
      <w:r w:rsidR="009C713D" w:rsidRPr="00382917">
        <w:t>”</w:t>
      </w:r>
      <w:r>
        <w:rPr>
          <w:rStyle w:val="FootnoteReference"/>
        </w:rPr>
        <w:footnoteReference w:id="353"/>
      </w:r>
    </w:p>
    <w:p w:rsidR="00300E83" w:rsidRPr="00382917" w:rsidRDefault="00300E83" w:rsidP="00650F8F">
      <w:pPr>
        <w:pStyle w:val="Text"/>
      </w:pPr>
      <w:r w:rsidRPr="00382917">
        <w:t>This,</w:t>
      </w:r>
      <w:r w:rsidR="00EE4FC3">
        <w:t xml:space="preserve"> </w:t>
      </w:r>
      <w:r w:rsidRPr="00382917">
        <w:t>too,</w:t>
      </w:r>
      <w:r w:rsidR="00EE4FC3">
        <w:t xml:space="preserve"> </w:t>
      </w:r>
      <w:r w:rsidRPr="00382917">
        <w:t>is</w:t>
      </w:r>
      <w:r w:rsidR="00EE4FC3">
        <w:t xml:space="preserve"> </w:t>
      </w:r>
      <w:r w:rsidRPr="00382917">
        <w:t>a</w:t>
      </w:r>
      <w:r w:rsidR="00EE4FC3">
        <w:t xml:space="preserve"> </w:t>
      </w:r>
      <w:r w:rsidR="009C713D" w:rsidRPr="00382917">
        <w:t>“</w:t>
      </w:r>
      <w:r w:rsidRPr="00382917">
        <w:t>fruit</w:t>
      </w:r>
      <w:r w:rsidR="009C713D" w:rsidRPr="00382917">
        <w:t>”</w:t>
      </w:r>
      <w:r w:rsidR="00EE4FC3">
        <w:t xml:space="preserve"> </w:t>
      </w:r>
      <w:r w:rsidRPr="00382917">
        <w:t>from</w:t>
      </w:r>
      <w:r w:rsidR="00EE4FC3">
        <w:t xml:space="preserve"> </w:t>
      </w:r>
      <w:r w:rsidRPr="00382917">
        <w:t>the</w:t>
      </w:r>
      <w:r w:rsidR="00EE4FC3">
        <w:t xml:space="preserve"> </w:t>
      </w:r>
      <w:r w:rsidRPr="00382917">
        <w:t>Teachings</w:t>
      </w:r>
      <w:r w:rsidR="00EE4FC3">
        <w:t xml:space="preserve"> </w:t>
      </w:r>
      <w:r w:rsidRPr="00382917">
        <w:t>of</w:t>
      </w:r>
      <w:r w:rsidR="00EE4FC3">
        <w:t xml:space="preserve"> </w:t>
      </w:r>
      <w:r w:rsidRPr="00382917">
        <w:t>Bahá</w:t>
      </w:r>
      <w:r w:rsidR="009C713D" w:rsidRPr="00382917">
        <w:t>’</w:t>
      </w:r>
      <w:r w:rsidRPr="00382917">
        <w:t>u</w:t>
      </w:r>
      <w:r w:rsidR="009C713D" w:rsidRPr="00382917">
        <w:t>’</w:t>
      </w:r>
      <w:r w:rsidRPr="00382917">
        <w:t>lláh.</w:t>
      </w:r>
    </w:p>
    <w:p w:rsidR="00300E83" w:rsidRPr="00382917" w:rsidRDefault="004C0EF8" w:rsidP="00C20B51">
      <w:pPr>
        <w:pStyle w:val="MyHead4"/>
      </w:pPr>
      <w:r w:rsidRPr="00382917">
        <w:t>5</w:t>
      </w:r>
      <w:r w:rsidR="00552489">
        <w:t>.</w:t>
      </w:r>
      <w:r w:rsidR="00EE4FC3">
        <w:t xml:space="preserve">  </w:t>
      </w:r>
      <w:r w:rsidR="00300E83" w:rsidRPr="00382917">
        <w:t>Religion</w:t>
      </w:r>
      <w:r w:rsidR="00EE4FC3">
        <w:t xml:space="preserve"> </w:t>
      </w:r>
      <w:r w:rsidR="00300E83" w:rsidRPr="00382917">
        <w:t>must</w:t>
      </w:r>
      <w:r w:rsidR="00EE4FC3">
        <w:t xml:space="preserve"> </w:t>
      </w:r>
      <w:r w:rsidR="00300E83" w:rsidRPr="00382917">
        <w:t>agree</w:t>
      </w:r>
      <w:r w:rsidR="00EE4FC3">
        <w:t xml:space="preserve"> </w:t>
      </w:r>
      <w:r w:rsidR="00300E83" w:rsidRPr="00382917">
        <w:t>with</w:t>
      </w:r>
      <w:r w:rsidR="00EE4FC3">
        <w:t xml:space="preserve"> </w:t>
      </w:r>
      <w:r w:rsidR="00300E83" w:rsidRPr="00382917">
        <w:t>science</w:t>
      </w:r>
      <w:r w:rsidR="00EE4FC3">
        <w:t xml:space="preserve"> </w:t>
      </w:r>
      <w:r w:rsidR="00300E83" w:rsidRPr="00382917">
        <w:t>and</w:t>
      </w:r>
      <w:r w:rsidR="00EE4FC3">
        <w:t xml:space="preserve"> </w:t>
      </w:r>
      <w:r w:rsidR="00300E83" w:rsidRPr="00382917">
        <w:t>reason.</w:t>
      </w:r>
    </w:p>
    <w:p w:rsidR="00300E83" w:rsidRPr="00382917" w:rsidRDefault="00300E83" w:rsidP="00C20B51">
      <w:pPr>
        <w:pStyle w:val="Text"/>
      </w:pPr>
      <w:r w:rsidRPr="00382917">
        <w:t>In</w:t>
      </w:r>
      <w:r w:rsidR="00EE4FC3">
        <w:t xml:space="preserve"> </w:t>
      </w:r>
      <w:r w:rsidRPr="00382917">
        <w:t>a</w:t>
      </w:r>
      <w:r w:rsidR="00EE4FC3">
        <w:t xml:space="preserve"> </w:t>
      </w:r>
      <w:r w:rsidRPr="00382917">
        <w:t>world</w:t>
      </w:r>
      <w:r w:rsidR="00EE4FC3">
        <w:t xml:space="preserve"> </w:t>
      </w:r>
      <w:r w:rsidRPr="00382917">
        <w:t>society</w:t>
      </w:r>
      <w:r w:rsidR="00EE4FC3">
        <w:t xml:space="preserve"> </w:t>
      </w:r>
      <w:r w:rsidRPr="00382917">
        <w:t>such</w:t>
      </w:r>
      <w:r w:rsidR="00EE4FC3">
        <w:t xml:space="preserve"> </w:t>
      </w:r>
      <w:r w:rsidRPr="00382917">
        <w:t>as</w:t>
      </w:r>
      <w:r w:rsidR="00EE4FC3">
        <w:t xml:space="preserve"> </w:t>
      </w:r>
      <w:r w:rsidRPr="00382917">
        <w:t>that</w:t>
      </w:r>
      <w:r w:rsidR="00EE4FC3">
        <w:t xml:space="preserve"> </w:t>
      </w:r>
      <w:r w:rsidRPr="00382917">
        <w:t>foretold</w:t>
      </w:r>
      <w:r w:rsidR="00EE4FC3">
        <w:t xml:space="preserve"> </w:t>
      </w:r>
      <w:r w:rsidRPr="00382917">
        <w:t>by</w:t>
      </w:r>
      <w:r w:rsidR="00EE4FC3">
        <w:t xml:space="preserve"> </w:t>
      </w:r>
      <w:r w:rsidRPr="00382917">
        <w:t>Bahá</w:t>
      </w:r>
      <w:r w:rsidR="009C713D" w:rsidRPr="00382917">
        <w:t>’</w:t>
      </w:r>
      <w:r w:rsidRPr="00382917">
        <w:t>u</w:t>
      </w:r>
      <w:r w:rsidR="009C713D" w:rsidRPr="00382917">
        <w:t>’</w:t>
      </w:r>
      <w:r w:rsidRPr="00382917">
        <w:t>lláh,</w:t>
      </w:r>
      <w:r w:rsidR="00EE4FC3">
        <w:t xml:space="preserve"> </w:t>
      </w:r>
      <w:r w:rsidR="009C713D" w:rsidRPr="00382917">
        <w:t>“</w:t>
      </w:r>
      <w:r w:rsidRPr="00382917">
        <w:t>science</w:t>
      </w:r>
      <w:r w:rsidR="00EE4FC3">
        <w:t xml:space="preserve"> </w:t>
      </w:r>
      <w:r w:rsidRPr="00382917">
        <w:t>and</w:t>
      </w:r>
      <w:r w:rsidR="00EE4FC3">
        <w:t xml:space="preserve"> </w:t>
      </w:r>
      <w:r w:rsidRPr="00382917">
        <w:t>religion,</w:t>
      </w:r>
      <w:r w:rsidR="00EE4FC3">
        <w:t xml:space="preserve"> </w:t>
      </w:r>
      <w:r w:rsidRPr="00382917">
        <w:t>the</w:t>
      </w:r>
      <w:r w:rsidR="00EE4FC3">
        <w:t xml:space="preserve"> </w:t>
      </w:r>
      <w:r w:rsidRPr="00382917">
        <w:t>two</w:t>
      </w:r>
      <w:r w:rsidR="00EE4FC3">
        <w:t xml:space="preserve"> </w:t>
      </w:r>
      <w:r w:rsidRPr="00382917">
        <w:t>most</w:t>
      </w:r>
      <w:r w:rsidR="00EE4FC3">
        <w:t xml:space="preserve"> </w:t>
      </w:r>
      <w:r w:rsidRPr="00382917">
        <w:t>potent</w:t>
      </w:r>
      <w:r w:rsidR="00EE4FC3">
        <w:t xml:space="preserve"> </w:t>
      </w:r>
      <w:r w:rsidRPr="00382917">
        <w:t>forces</w:t>
      </w:r>
      <w:r w:rsidR="00EE4FC3">
        <w:t xml:space="preserve"> </w:t>
      </w:r>
      <w:r w:rsidRPr="00382917">
        <w:t>in</w:t>
      </w:r>
      <w:r w:rsidR="00EE4FC3">
        <w:t xml:space="preserve"> </w:t>
      </w:r>
      <w:r w:rsidRPr="00382917">
        <w:t>human</w:t>
      </w:r>
      <w:r w:rsidR="00EE4FC3">
        <w:t xml:space="preserve"> </w:t>
      </w:r>
      <w:r w:rsidRPr="00382917">
        <w:t>life,</w:t>
      </w:r>
      <w:r w:rsidR="00EE4FC3">
        <w:t xml:space="preserve"> </w:t>
      </w:r>
      <w:r w:rsidRPr="00382917">
        <w:t>will</w:t>
      </w:r>
      <w:r w:rsidR="00EE4FC3">
        <w:t xml:space="preserve"> </w:t>
      </w:r>
      <w:r w:rsidRPr="00382917">
        <w:t>be</w:t>
      </w:r>
      <w:r w:rsidR="00EE4FC3">
        <w:t xml:space="preserve"> </w:t>
      </w:r>
      <w:r w:rsidRPr="00382917">
        <w:t>reconciled,</w:t>
      </w:r>
      <w:r w:rsidR="00EE4FC3">
        <w:t xml:space="preserve"> </w:t>
      </w:r>
      <w:r w:rsidRPr="00382917">
        <w:t>will</w:t>
      </w:r>
      <w:r w:rsidR="00EE4FC3">
        <w:t xml:space="preserve"> </w:t>
      </w:r>
      <w:r w:rsidRPr="00382917">
        <w:t>cooperate,</w:t>
      </w:r>
      <w:r w:rsidR="00EE4FC3">
        <w:t xml:space="preserve"> </w:t>
      </w:r>
      <w:r w:rsidRPr="00382917">
        <w:t>and</w:t>
      </w:r>
      <w:r w:rsidR="00EE4FC3">
        <w:t xml:space="preserve"> </w:t>
      </w:r>
      <w:r w:rsidRPr="00382917">
        <w:t>will</w:t>
      </w:r>
      <w:r w:rsidR="00EE4FC3">
        <w:t xml:space="preserve"> </w:t>
      </w:r>
      <w:r w:rsidRPr="00382917">
        <w:t>harmoniously</w:t>
      </w:r>
      <w:r w:rsidR="00EE4FC3">
        <w:t xml:space="preserve"> </w:t>
      </w:r>
      <w:r w:rsidRPr="00382917">
        <w:t>develop.</w:t>
      </w:r>
      <w:r w:rsidR="009C713D" w:rsidRPr="00382917">
        <w:t>”</w:t>
      </w:r>
      <w:r w:rsidR="00C20B51">
        <w:rPr>
          <w:rStyle w:val="FootnoteReference"/>
        </w:rPr>
        <w:footnoteReference w:id="354"/>
      </w:r>
    </w:p>
    <w:p w:rsidR="00300E83" w:rsidRPr="00382917" w:rsidRDefault="00300E83" w:rsidP="00650F8F">
      <w:pPr>
        <w:pStyle w:val="Text"/>
      </w:pPr>
      <w:r w:rsidRPr="00382917">
        <w:t>This</w:t>
      </w:r>
      <w:r w:rsidR="00EE4FC3">
        <w:t xml:space="preserve"> </w:t>
      </w:r>
      <w:r w:rsidRPr="00382917">
        <w:t>is</w:t>
      </w:r>
      <w:r w:rsidR="00EE4FC3">
        <w:t xml:space="preserve"> </w:t>
      </w:r>
      <w:r w:rsidRPr="00382917">
        <w:t>a</w:t>
      </w:r>
      <w:r w:rsidR="00EE4FC3">
        <w:t xml:space="preserve"> </w:t>
      </w:r>
      <w:r w:rsidR="009C713D" w:rsidRPr="00382917">
        <w:t>“</w:t>
      </w:r>
      <w:r w:rsidRPr="00382917">
        <w:t>fruit</w:t>
      </w:r>
      <w:r w:rsidR="009C713D" w:rsidRPr="00382917">
        <w:t>”</w:t>
      </w:r>
      <w:r w:rsidR="00EE4FC3">
        <w:t xml:space="preserve"> </w:t>
      </w:r>
      <w:r w:rsidRPr="00382917">
        <w:t>upon</w:t>
      </w:r>
      <w:r w:rsidR="00EE4FC3">
        <w:t xml:space="preserve"> </w:t>
      </w:r>
      <w:r w:rsidRPr="00382917">
        <w:t>Bahá</w:t>
      </w:r>
      <w:r w:rsidR="009C713D" w:rsidRPr="00382917">
        <w:t>’</w:t>
      </w:r>
      <w:r w:rsidRPr="00382917">
        <w:t>u</w:t>
      </w:r>
      <w:r w:rsidR="009C713D" w:rsidRPr="00382917">
        <w:t>’</w:t>
      </w:r>
      <w:r w:rsidRPr="00382917">
        <w:t>lláh</w:t>
      </w:r>
      <w:r w:rsidR="009C713D" w:rsidRPr="00382917">
        <w:t>’</w:t>
      </w:r>
      <w:r w:rsidRPr="00382917">
        <w:t>s</w:t>
      </w:r>
      <w:r w:rsidR="00EE4FC3">
        <w:t xml:space="preserve"> </w:t>
      </w:r>
      <w:r w:rsidRPr="00382917">
        <w:t>tree.</w:t>
      </w:r>
    </w:p>
    <w:p w:rsidR="00300E83" w:rsidRPr="00382917" w:rsidRDefault="004C0EF8" w:rsidP="005D0F7B">
      <w:pPr>
        <w:pStyle w:val="MyHead4"/>
      </w:pPr>
      <w:r w:rsidRPr="00382917">
        <w:t>6.</w:t>
      </w:r>
      <w:r w:rsidR="00EE4FC3">
        <w:t xml:space="preserve">  </w:t>
      </w:r>
      <w:r w:rsidR="00300E83" w:rsidRPr="00382917">
        <w:t>All</w:t>
      </w:r>
      <w:r w:rsidR="00EE4FC3">
        <w:t xml:space="preserve"> </w:t>
      </w:r>
      <w:r w:rsidR="00300E83" w:rsidRPr="00382917">
        <w:t>men</w:t>
      </w:r>
      <w:r w:rsidR="00EE4FC3">
        <w:t xml:space="preserve"> </w:t>
      </w:r>
      <w:r w:rsidR="00300E83" w:rsidRPr="00382917">
        <w:t>are</w:t>
      </w:r>
      <w:r w:rsidR="00EE4FC3">
        <w:t xml:space="preserve"> </w:t>
      </w:r>
      <w:r w:rsidR="00300E83" w:rsidRPr="00382917">
        <w:t>the</w:t>
      </w:r>
      <w:r w:rsidR="00EE4FC3">
        <w:t xml:space="preserve"> </w:t>
      </w:r>
      <w:r w:rsidR="00300E83" w:rsidRPr="00382917">
        <w:t>children</w:t>
      </w:r>
      <w:r w:rsidR="00EE4FC3">
        <w:t xml:space="preserve"> </w:t>
      </w:r>
      <w:r w:rsidR="00300E83" w:rsidRPr="00382917">
        <w:t>of</w:t>
      </w:r>
      <w:r w:rsidR="00EE4FC3">
        <w:t xml:space="preserve"> </w:t>
      </w:r>
      <w:r w:rsidR="00300E83" w:rsidRPr="00382917">
        <w:t>one</w:t>
      </w:r>
      <w:r w:rsidR="00EE4FC3">
        <w:t xml:space="preserve"> </w:t>
      </w:r>
      <w:r w:rsidR="00300E83" w:rsidRPr="00382917">
        <w:t>Father,</w:t>
      </w:r>
      <w:r w:rsidR="00EE4FC3">
        <w:t xml:space="preserve"> </w:t>
      </w:r>
      <w:r w:rsidR="00300E83" w:rsidRPr="00382917">
        <w:t>God,</w:t>
      </w:r>
      <w:r w:rsidR="00EE4FC3">
        <w:t xml:space="preserve"> </w:t>
      </w:r>
      <w:r w:rsidR="00300E83" w:rsidRPr="00382917">
        <w:t>and</w:t>
      </w:r>
      <w:r w:rsidR="00EE4FC3">
        <w:t xml:space="preserve"> </w:t>
      </w:r>
      <w:r w:rsidR="00300E83" w:rsidRPr="00382917">
        <w:t>are</w:t>
      </w:r>
      <w:r w:rsidR="00EE4FC3">
        <w:t xml:space="preserve"> </w:t>
      </w:r>
      <w:r w:rsidR="00300E83" w:rsidRPr="00382917">
        <w:t>the</w:t>
      </w:r>
      <w:r w:rsidR="00EE4FC3">
        <w:t xml:space="preserve"> </w:t>
      </w:r>
      <w:r w:rsidR="00300E83" w:rsidRPr="00382917">
        <w:t>brothers</w:t>
      </w:r>
      <w:r w:rsidR="00EE4FC3">
        <w:t xml:space="preserve"> </w:t>
      </w:r>
      <w:r w:rsidR="00300E83" w:rsidRPr="00382917">
        <w:t>and</w:t>
      </w:r>
      <w:r w:rsidR="00EE4FC3">
        <w:t xml:space="preserve"> </w:t>
      </w:r>
      <w:r w:rsidR="00300E83" w:rsidRPr="00382917">
        <w:t>sisters</w:t>
      </w:r>
      <w:r w:rsidR="00EE4FC3">
        <w:t xml:space="preserve"> </w:t>
      </w:r>
      <w:r w:rsidR="00300E83" w:rsidRPr="00382917">
        <w:t>of</w:t>
      </w:r>
      <w:r w:rsidR="00EE4FC3">
        <w:t xml:space="preserve"> </w:t>
      </w:r>
      <w:r w:rsidR="00300E83" w:rsidRPr="00382917">
        <w:t>one</w:t>
      </w:r>
      <w:r w:rsidR="00EE4FC3">
        <w:t xml:space="preserve"> </w:t>
      </w:r>
      <w:r w:rsidR="00300E83" w:rsidRPr="00382917">
        <w:t>human</w:t>
      </w:r>
      <w:r w:rsidR="00EE4FC3">
        <w:t xml:space="preserve"> </w:t>
      </w:r>
      <w:r w:rsidR="00300E83" w:rsidRPr="00382917">
        <w:t>family.</w:t>
      </w:r>
    </w:p>
    <w:p w:rsidR="00300E83" w:rsidRPr="00382917" w:rsidRDefault="00300E83" w:rsidP="00650F8F">
      <w:pPr>
        <w:pStyle w:val="Text"/>
      </w:pPr>
      <w:r w:rsidRPr="00382917">
        <w:t>However</w:t>
      </w:r>
      <w:r w:rsidR="00EE4FC3">
        <w:t xml:space="preserve"> </w:t>
      </w:r>
      <w:r w:rsidRPr="00382917">
        <w:t>great</w:t>
      </w:r>
      <w:r w:rsidR="00EE4FC3">
        <w:t xml:space="preserve"> </w:t>
      </w:r>
      <w:r w:rsidRPr="00382917">
        <w:t>the</w:t>
      </w:r>
      <w:r w:rsidR="00EE4FC3">
        <w:t xml:space="preserve"> </w:t>
      </w:r>
      <w:r w:rsidRPr="00382917">
        <w:t>conqueror</w:t>
      </w:r>
      <w:r w:rsidR="00EE4FC3">
        <w:t xml:space="preserve"> </w:t>
      </w:r>
      <w:r w:rsidRPr="00382917">
        <w:t>may</w:t>
      </w:r>
      <w:r w:rsidR="00EE4FC3">
        <w:t xml:space="preserve"> </w:t>
      </w:r>
      <w:r w:rsidRPr="00382917">
        <w:t>be,</w:t>
      </w:r>
      <w:r w:rsidR="00EE4FC3">
        <w:t xml:space="preserve"> </w:t>
      </w:r>
      <w:r w:rsidRPr="00382917">
        <w:t>he</w:t>
      </w:r>
      <w:r w:rsidR="00EE4FC3">
        <w:t xml:space="preserve"> </w:t>
      </w:r>
      <w:r w:rsidRPr="00382917">
        <w:t>is</w:t>
      </w:r>
      <w:r w:rsidR="00EE4FC3">
        <w:t xml:space="preserve"> </w:t>
      </w:r>
      <w:r w:rsidRPr="00382917">
        <w:t>finally</w:t>
      </w:r>
      <w:r w:rsidR="00EE4FC3">
        <w:t xml:space="preserve"> </w:t>
      </w:r>
      <w:r w:rsidRPr="00382917">
        <w:t>entombed,</w:t>
      </w:r>
      <w:r w:rsidR="00EE4FC3">
        <w:t xml:space="preserve"> </w:t>
      </w:r>
      <w:proofErr w:type="spellStart"/>
      <w:r w:rsidRPr="00382917">
        <w:t>possessionless</w:t>
      </w:r>
      <w:proofErr w:type="spellEnd"/>
      <w:r w:rsidR="00552489">
        <w:t>.</w:t>
      </w:r>
      <w:r w:rsidR="00EE4FC3">
        <w:t xml:space="preserve">  </w:t>
      </w:r>
      <w:r w:rsidRPr="00382917">
        <w:t>He</w:t>
      </w:r>
      <w:r w:rsidR="00EE4FC3">
        <w:t xml:space="preserve"> </w:t>
      </w:r>
      <w:r w:rsidRPr="00382917">
        <w:t>keeps</w:t>
      </w:r>
      <w:r w:rsidR="00EE4FC3">
        <w:t xml:space="preserve"> </w:t>
      </w:r>
      <w:r w:rsidRPr="00382917">
        <w:t>but</w:t>
      </w:r>
      <w:r w:rsidR="00EE4FC3">
        <w:t xml:space="preserve"> </w:t>
      </w:r>
      <w:r w:rsidRPr="00382917">
        <w:t>one</w:t>
      </w:r>
      <w:r w:rsidR="00EE4FC3">
        <w:t xml:space="preserve"> </w:t>
      </w:r>
      <w:r w:rsidRPr="00382917">
        <w:t>small</w:t>
      </w:r>
      <w:r w:rsidR="00EE4FC3">
        <w:t xml:space="preserve"> </w:t>
      </w:r>
      <w:r w:rsidRPr="00382917">
        <w:t>plot</w:t>
      </w:r>
      <w:r w:rsidR="00EE4FC3">
        <w:t xml:space="preserve"> </w:t>
      </w:r>
      <w:r w:rsidRPr="00382917">
        <w:t>of</w:t>
      </w:r>
      <w:r w:rsidR="00EE4FC3">
        <w:t xml:space="preserve"> </w:t>
      </w:r>
      <w:r w:rsidRPr="00382917">
        <w:t>earth</w:t>
      </w:r>
      <w:r w:rsidR="00EE4FC3">
        <w:t xml:space="preserve"> </w:t>
      </w:r>
      <w:r w:rsidRPr="00382917">
        <w:t>for</w:t>
      </w:r>
      <w:r w:rsidR="00EE4FC3">
        <w:t xml:space="preserve"> </w:t>
      </w:r>
      <w:r w:rsidRPr="00382917">
        <w:t>his</w:t>
      </w:r>
      <w:r w:rsidR="00EE4FC3">
        <w:t xml:space="preserve"> </w:t>
      </w:r>
      <w:r w:rsidRPr="00382917">
        <w:t>bones.</w:t>
      </w:r>
    </w:p>
    <w:p w:rsidR="00650F8F" w:rsidRPr="00382917" w:rsidRDefault="00650F8F">
      <w:pPr>
        <w:widowControl/>
        <w:kinsoku/>
        <w:overflowPunct/>
        <w:textAlignment w:val="auto"/>
      </w:pPr>
      <w:r w:rsidRPr="00382917">
        <w:br w:type="page"/>
      </w:r>
    </w:p>
    <w:p w:rsidR="006E4F81" w:rsidRPr="00382917" w:rsidRDefault="006E4F81" w:rsidP="005D0F7B">
      <w:pPr>
        <w:pStyle w:val="Textcts"/>
      </w:pPr>
      <w:r w:rsidRPr="00382917">
        <w:t>Thus</w:t>
      </w:r>
      <w:r w:rsidR="00EE4FC3">
        <w:t xml:space="preserve"> </w:t>
      </w:r>
      <w:r w:rsidRPr="00382917">
        <w:t>every</w:t>
      </w:r>
      <w:r w:rsidR="00EE4FC3">
        <w:t xml:space="preserve"> </w:t>
      </w:r>
      <w:r w:rsidRPr="00382917">
        <w:t>warrior</w:t>
      </w:r>
      <w:r w:rsidR="00EE4FC3">
        <w:t xml:space="preserve"> </w:t>
      </w:r>
      <w:r w:rsidRPr="00382917">
        <w:t>is</w:t>
      </w:r>
      <w:r w:rsidR="00EE4FC3">
        <w:t xml:space="preserve"> </w:t>
      </w:r>
      <w:r w:rsidRPr="00382917">
        <w:t>interred</w:t>
      </w:r>
      <w:r w:rsidR="00552489">
        <w:t>.</w:t>
      </w:r>
      <w:r w:rsidR="00EE4FC3">
        <w:t xml:space="preserve">  </w:t>
      </w:r>
      <w:r w:rsidRPr="00382917">
        <w:t>The</w:t>
      </w:r>
      <w:r w:rsidR="00EE4FC3">
        <w:t xml:space="preserve"> </w:t>
      </w:r>
      <w:r w:rsidRPr="00382917">
        <w:t>earth</w:t>
      </w:r>
      <w:r w:rsidR="00EE4FC3">
        <w:t xml:space="preserve"> </w:t>
      </w:r>
      <w:r w:rsidRPr="00382917">
        <w:t>belongs</w:t>
      </w:r>
      <w:r w:rsidR="00EE4FC3">
        <w:t xml:space="preserve"> </w:t>
      </w:r>
      <w:r w:rsidRPr="00382917">
        <w:t>to</w:t>
      </w:r>
      <w:r w:rsidR="00EE4FC3">
        <w:t xml:space="preserve"> </w:t>
      </w:r>
      <w:r w:rsidRPr="00382917">
        <w:t>God,</w:t>
      </w:r>
      <w:r w:rsidR="00EE4FC3">
        <w:t xml:space="preserve"> </w:t>
      </w:r>
      <w:r w:rsidRPr="00382917">
        <w:t>and</w:t>
      </w:r>
      <w:r w:rsidR="00EE4FC3">
        <w:t xml:space="preserve"> </w:t>
      </w:r>
      <w:r w:rsidRPr="00382917">
        <w:t>man</w:t>
      </w:r>
      <w:r w:rsidR="00EE4FC3">
        <w:t xml:space="preserve"> </w:t>
      </w:r>
      <w:r w:rsidRPr="00382917">
        <w:t>is</w:t>
      </w:r>
      <w:r w:rsidR="00EE4FC3">
        <w:t xml:space="preserve"> </w:t>
      </w:r>
      <w:r w:rsidRPr="00382917">
        <w:t>a</w:t>
      </w:r>
      <w:r w:rsidR="00EE4FC3">
        <w:t xml:space="preserve"> </w:t>
      </w:r>
      <w:r w:rsidRPr="00382917">
        <w:t>tenant</w:t>
      </w:r>
      <w:r w:rsidR="00EE4FC3">
        <w:t xml:space="preserve"> </w:t>
      </w:r>
      <w:r w:rsidRPr="00382917">
        <w:t>here</w:t>
      </w:r>
      <w:r w:rsidR="00EE4FC3">
        <w:t xml:space="preserve"> </w:t>
      </w:r>
      <w:r w:rsidRPr="00382917">
        <w:t>for</w:t>
      </w:r>
      <w:r w:rsidR="00EE4FC3">
        <w:t xml:space="preserve"> </w:t>
      </w:r>
      <w:r w:rsidRPr="00382917">
        <w:t>but</w:t>
      </w:r>
      <w:r w:rsidR="00EE4FC3">
        <w:t xml:space="preserve"> </w:t>
      </w:r>
      <w:r w:rsidRPr="00382917">
        <w:t>a</w:t>
      </w:r>
      <w:r w:rsidR="00EE4FC3">
        <w:t xml:space="preserve"> </w:t>
      </w:r>
      <w:r w:rsidRPr="00382917">
        <w:t>brief</w:t>
      </w:r>
      <w:r w:rsidR="00EE4FC3">
        <w:t xml:space="preserve"> </w:t>
      </w:r>
      <w:r w:rsidRPr="00382917">
        <w:t>span</w:t>
      </w:r>
      <w:r w:rsidR="00552489">
        <w:t>.</w:t>
      </w:r>
      <w:r w:rsidR="00EE4FC3">
        <w:t xml:space="preserve">  </w:t>
      </w:r>
      <w:r w:rsidRPr="00382917">
        <w:t>His</w:t>
      </w:r>
      <w:r w:rsidR="00EE4FC3">
        <w:t xml:space="preserve"> </w:t>
      </w:r>
      <w:r w:rsidRPr="00382917">
        <w:t>greatest</w:t>
      </w:r>
      <w:r w:rsidR="00EE4FC3">
        <w:t xml:space="preserve"> </w:t>
      </w:r>
      <w:r w:rsidRPr="00382917">
        <w:t>possession,</w:t>
      </w:r>
      <w:r w:rsidR="00EE4FC3">
        <w:t xml:space="preserve"> </w:t>
      </w:r>
      <w:r w:rsidRPr="00382917">
        <w:t>next</w:t>
      </w:r>
      <w:r w:rsidR="00EE4FC3">
        <w:t xml:space="preserve"> </w:t>
      </w:r>
      <w:r w:rsidRPr="00382917">
        <w:t>to</w:t>
      </w:r>
      <w:r w:rsidR="00EE4FC3">
        <w:t xml:space="preserve"> </w:t>
      </w:r>
      <w:r w:rsidRPr="00382917">
        <w:t>love</w:t>
      </w:r>
      <w:r w:rsidR="00EE4FC3">
        <w:t xml:space="preserve"> </w:t>
      </w:r>
      <w:r w:rsidRPr="00382917">
        <w:t>of</w:t>
      </w:r>
      <w:r w:rsidR="00EE4FC3">
        <w:t xml:space="preserve"> </w:t>
      </w:r>
      <w:r w:rsidRPr="00382917">
        <w:t>God,</w:t>
      </w:r>
      <w:r w:rsidR="00EE4FC3">
        <w:t xml:space="preserve"> </w:t>
      </w:r>
      <w:r w:rsidRPr="00382917">
        <w:t>is</w:t>
      </w:r>
      <w:r w:rsidR="00EE4FC3">
        <w:t xml:space="preserve"> </w:t>
      </w:r>
      <w:r w:rsidRPr="00382917">
        <w:t>love</w:t>
      </w:r>
      <w:r w:rsidR="00EE4FC3">
        <w:t xml:space="preserve"> </w:t>
      </w:r>
      <w:r w:rsidRPr="00382917">
        <w:t>for</w:t>
      </w:r>
      <w:r w:rsidR="00EE4FC3">
        <w:t xml:space="preserve"> </w:t>
      </w:r>
      <w:r w:rsidRPr="00382917">
        <w:t>his</w:t>
      </w:r>
      <w:r w:rsidR="00EE4FC3">
        <w:t xml:space="preserve"> </w:t>
      </w:r>
      <w:r w:rsidRPr="00382917">
        <w:t>fellow</w:t>
      </w:r>
      <w:r w:rsidR="00EE4FC3">
        <w:t xml:space="preserve"> </w:t>
      </w:r>
      <w:r w:rsidRPr="00382917">
        <w:t>human</w:t>
      </w:r>
      <w:r w:rsidR="00EE4FC3">
        <w:t xml:space="preserve"> </w:t>
      </w:r>
      <w:r w:rsidRPr="00382917">
        <w:t>beings</w:t>
      </w:r>
      <w:r w:rsidR="00552489">
        <w:t>.</w:t>
      </w:r>
      <w:r w:rsidR="00EE4FC3">
        <w:t xml:space="preserve">  </w:t>
      </w:r>
      <w:r w:rsidRPr="00382917">
        <w:t>Prejudices</w:t>
      </w:r>
      <w:r w:rsidR="00EE4FC3">
        <w:t xml:space="preserve"> </w:t>
      </w:r>
      <w:r w:rsidRPr="00382917">
        <w:t>of</w:t>
      </w:r>
      <w:r w:rsidR="00EE4FC3">
        <w:t xml:space="preserve"> </w:t>
      </w:r>
      <w:r w:rsidRPr="00382917">
        <w:t>all</w:t>
      </w:r>
      <w:r w:rsidR="00EE4FC3">
        <w:t xml:space="preserve"> </w:t>
      </w:r>
      <w:r w:rsidRPr="00382917">
        <w:t>kinds</w:t>
      </w:r>
      <w:r w:rsidR="00EE4FC3">
        <w:t xml:space="preserve"> </w:t>
      </w:r>
      <w:r w:rsidRPr="00382917">
        <w:t>must</w:t>
      </w:r>
      <w:r w:rsidR="00EE4FC3">
        <w:t xml:space="preserve"> </w:t>
      </w:r>
      <w:r w:rsidRPr="00382917">
        <w:t>be</w:t>
      </w:r>
      <w:r w:rsidR="00EE4FC3">
        <w:t xml:space="preserve"> </w:t>
      </w:r>
      <w:r w:rsidRPr="00382917">
        <w:t>banished</w:t>
      </w:r>
      <w:r w:rsidR="00EE4FC3">
        <w:t xml:space="preserve"> </w:t>
      </w:r>
      <w:r w:rsidRPr="00382917">
        <w:t>from</w:t>
      </w:r>
      <w:r w:rsidR="00EE4FC3">
        <w:t xml:space="preserve"> </w:t>
      </w:r>
      <w:r w:rsidRPr="00382917">
        <w:t>the</w:t>
      </w:r>
      <w:r w:rsidR="00EE4FC3">
        <w:t xml:space="preserve"> </w:t>
      </w:r>
      <w:r w:rsidRPr="00382917">
        <w:t>earth</w:t>
      </w:r>
      <w:r w:rsidR="00552489">
        <w:t>.</w:t>
      </w:r>
      <w:r w:rsidR="00EE4FC3">
        <w:t xml:space="preserve">  </w:t>
      </w:r>
      <w:r w:rsidRPr="00382917">
        <w:t>In</w:t>
      </w:r>
      <w:r w:rsidR="00EE4FC3">
        <w:t xml:space="preserve"> </w:t>
      </w:r>
      <w:r w:rsidRPr="00382917">
        <w:t>order</w:t>
      </w:r>
      <w:r w:rsidR="00EE4FC3">
        <w:t xml:space="preserve"> </w:t>
      </w:r>
      <w:r w:rsidRPr="00382917">
        <w:t>to</w:t>
      </w:r>
      <w:r w:rsidR="00EE4FC3">
        <w:t xml:space="preserve"> </w:t>
      </w:r>
      <w:r w:rsidRPr="00382917">
        <w:t>eliminate</w:t>
      </w:r>
      <w:r w:rsidR="00EE4FC3">
        <w:t xml:space="preserve"> </w:t>
      </w:r>
      <w:r w:rsidRPr="00382917">
        <w:t>racial</w:t>
      </w:r>
      <w:r w:rsidR="00EE4FC3">
        <w:t xml:space="preserve"> </w:t>
      </w:r>
      <w:r w:rsidRPr="00382917">
        <w:t>prejudice,</w:t>
      </w:r>
      <w:r w:rsidR="00EE4FC3">
        <w:t xml:space="preserve"> </w:t>
      </w:r>
      <w:r w:rsidRPr="00382917">
        <w:t>it</w:t>
      </w:r>
      <w:r w:rsidR="00EE4FC3">
        <w:t xml:space="preserve"> </w:t>
      </w:r>
      <w:r w:rsidRPr="00382917">
        <w:t>is</w:t>
      </w:r>
      <w:r w:rsidR="00EE4FC3">
        <w:t xml:space="preserve"> </w:t>
      </w:r>
      <w:r w:rsidRPr="00382917">
        <w:t>essential</w:t>
      </w:r>
      <w:r w:rsidR="00EE4FC3">
        <w:t xml:space="preserve"> </w:t>
      </w:r>
      <w:r w:rsidRPr="00382917">
        <w:t>to</w:t>
      </w:r>
      <w:r w:rsidR="00EE4FC3">
        <w:t xml:space="preserve"> </w:t>
      </w:r>
      <w:r w:rsidRPr="00382917">
        <w:t>eliminate</w:t>
      </w:r>
      <w:r w:rsidR="00EE4FC3">
        <w:t xml:space="preserve"> </w:t>
      </w:r>
      <w:r w:rsidRPr="00382917">
        <w:t>racial</w:t>
      </w:r>
      <w:r w:rsidR="00EE4FC3">
        <w:t xml:space="preserve"> </w:t>
      </w:r>
      <w:r w:rsidRPr="00382917">
        <w:t>consciousness</w:t>
      </w:r>
      <w:r w:rsidR="00EE4FC3">
        <w:t xml:space="preserve"> </w:t>
      </w:r>
      <w:r w:rsidRPr="00382917">
        <w:t>and</w:t>
      </w:r>
      <w:r w:rsidR="00EE4FC3">
        <w:t xml:space="preserve"> </w:t>
      </w:r>
      <w:r w:rsidRPr="00382917">
        <w:t>to</w:t>
      </w:r>
      <w:r w:rsidR="00EE4FC3">
        <w:t xml:space="preserve"> </w:t>
      </w:r>
      <w:r w:rsidRPr="00382917">
        <w:t>see</w:t>
      </w:r>
      <w:r w:rsidR="00EE4FC3">
        <w:t xml:space="preserve"> </w:t>
      </w:r>
      <w:r w:rsidRPr="00382917">
        <w:t>all</w:t>
      </w:r>
      <w:r w:rsidR="00EE4FC3">
        <w:t xml:space="preserve"> </w:t>
      </w:r>
      <w:r w:rsidRPr="00382917">
        <w:t>humanity</w:t>
      </w:r>
      <w:r w:rsidR="00EE4FC3">
        <w:t xml:space="preserve"> </w:t>
      </w:r>
      <w:r w:rsidRPr="00382917">
        <w:t>as</w:t>
      </w:r>
      <w:r w:rsidR="00EE4FC3">
        <w:t xml:space="preserve"> </w:t>
      </w:r>
      <w:r w:rsidRPr="00382917">
        <w:t>the</w:t>
      </w:r>
      <w:r w:rsidR="00EE4FC3">
        <w:t xml:space="preserve"> </w:t>
      </w:r>
      <w:r w:rsidRPr="00382917">
        <w:t>children</w:t>
      </w:r>
      <w:r w:rsidR="00EE4FC3">
        <w:t xml:space="preserve"> </w:t>
      </w:r>
      <w:r w:rsidRPr="00382917">
        <w:t>of</w:t>
      </w:r>
      <w:r w:rsidR="00EE4FC3">
        <w:t xml:space="preserve"> </w:t>
      </w:r>
      <w:r w:rsidRPr="00382917">
        <w:t>one</w:t>
      </w:r>
      <w:r w:rsidR="00EE4FC3">
        <w:t xml:space="preserve"> </w:t>
      </w:r>
      <w:r w:rsidRPr="00382917">
        <w:t>Father.</w:t>
      </w:r>
    </w:p>
    <w:p w:rsidR="006E4F81" w:rsidRPr="00382917" w:rsidRDefault="009C713D" w:rsidP="004C0EF8">
      <w:pPr>
        <w:pStyle w:val="Text"/>
      </w:pPr>
      <w:r w:rsidRPr="00382917">
        <w:t>“</w:t>
      </w:r>
      <w:r w:rsidR="006E4F81" w:rsidRPr="00382917">
        <w:t>Lovers</w:t>
      </w:r>
      <w:r w:rsidR="00EE4FC3">
        <w:t xml:space="preserve"> </w:t>
      </w:r>
      <w:r w:rsidR="006E4F81" w:rsidRPr="00382917">
        <w:t>of</w:t>
      </w:r>
      <w:r w:rsidR="00EE4FC3">
        <w:t xml:space="preserve"> </w:t>
      </w:r>
      <w:r w:rsidR="006E4F81" w:rsidRPr="00382917">
        <w:t>mankind,</w:t>
      </w:r>
      <w:r w:rsidRPr="00382917">
        <w:t>”</w:t>
      </w:r>
      <w:r w:rsidR="00EE4FC3">
        <w:t xml:space="preserve"> </w:t>
      </w:r>
      <w:r w:rsidR="006E4F81" w:rsidRPr="00382917">
        <w:t>His</w:t>
      </w:r>
      <w:r w:rsidR="00EE4FC3">
        <w:t xml:space="preserve"> </w:t>
      </w:r>
      <w:r w:rsidR="006E4F81" w:rsidRPr="00382917">
        <w:t>Teachings</w:t>
      </w:r>
      <w:r w:rsidR="00EE4FC3">
        <w:t xml:space="preserve"> </w:t>
      </w:r>
      <w:r w:rsidR="006E4F81" w:rsidRPr="00382917">
        <w:t>proclaim,</w:t>
      </w:r>
      <w:r w:rsidR="00EE4FC3">
        <w:t xml:space="preserve"> </w:t>
      </w:r>
      <w:r w:rsidRPr="00382917">
        <w:t>“</w:t>
      </w:r>
      <w:r w:rsidR="006E4F81" w:rsidRPr="00382917">
        <w:t>are</w:t>
      </w:r>
      <w:r w:rsidR="00EE4FC3">
        <w:t xml:space="preserve"> </w:t>
      </w:r>
      <w:r w:rsidR="006E4F81" w:rsidRPr="00382917">
        <w:t>the</w:t>
      </w:r>
      <w:r w:rsidR="00EE4FC3">
        <w:t xml:space="preserve"> </w:t>
      </w:r>
      <w:r w:rsidR="006E4F81" w:rsidRPr="00382917">
        <w:t>superior</w:t>
      </w:r>
      <w:r w:rsidR="00EE4FC3">
        <w:t xml:space="preserve"> </w:t>
      </w:r>
      <w:r w:rsidR="006E4F81" w:rsidRPr="00382917">
        <w:t>people,</w:t>
      </w:r>
      <w:r w:rsidR="00EE4FC3">
        <w:t xml:space="preserve"> </w:t>
      </w:r>
      <w:r w:rsidR="006E4F81" w:rsidRPr="00382917">
        <w:t>of</w:t>
      </w:r>
      <w:r w:rsidR="00EE4FC3">
        <w:t xml:space="preserve"> </w:t>
      </w:r>
      <w:r w:rsidR="006E4F81" w:rsidRPr="00382917">
        <w:t>whatever</w:t>
      </w:r>
      <w:r w:rsidR="00EE4FC3">
        <w:t xml:space="preserve"> </w:t>
      </w:r>
      <w:r w:rsidR="006E4F81" w:rsidRPr="00382917">
        <w:t>country,</w:t>
      </w:r>
      <w:r w:rsidR="00EE4FC3">
        <w:t xml:space="preserve"> </w:t>
      </w:r>
      <w:proofErr w:type="spellStart"/>
      <w:r w:rsidR="006E4F81" w:rsidRPr="00382917">
        <w:t>color</w:t>
      </w:r>
      <w:proofErr w:type="spellEnd"/>
      <w:r w:rsidR="00EE4FC3">
        <w:t xml:space="preserve"> </w:t>
      </w:r>
      <w:r w:rsidR="006E4F81" w:rsidRPr="00382917">
        <w:t>or</w:t>
      </w:r>
      <w:r w:rsidR="00EE4FC3">
        <w:t xml:space="preserve"> </w:t>
      </w:r>
      <w:r w:rsidR="006E4F81" w:rsidRPr="00382917">
        <w:t>creed</w:t>
      </w:r>
      <w:r w:rsidR="00EE4FC3">
        <w:t xml:space="preserve"> </w:t>
      </w:r>
      <w:r w:rsidR="006E4F81" w:rsidRPr="00382917">
        <w:t>they</w:t>
      </w:r>
      <w:r w:rsidR="00EE4FC3">
        <w:t xml:space="preserve"> </w:t>
      </w:r>
      <w:r w:rsidR="006E4F81" w:rsidRPr="00382917">
        <w:t>may</w:t>
      </w:r>
      <w:r w:rsidR="00EE4FC3">
        <w:t xml:space="preserve"> </w:t>
      </w:r>
      <w:r w:rsidR="006E4F81" w:rsidRPr="00382917">
        <w:t>be.</w:t>
      </w:r>
      <w:r w:rsidRPr="00382917">
        <w:t>”</w:t>
      </w:r>
    </w:p>
    <w:p w:rsidR="006E4F81" w:rsidRPr="00382917" w:rsidRDefault="006E4F81" w:rsidP="004C0EF8">
      <w:pPr>
        <w:pStyle w:val="Text"/>
      </w:pPr>
      <w:r w:rsidRPr="00382917">
        <w:t>This</w:t>
      </w:r>
      <w:r w:rsidR="00EE4FC3">
        <w:t xml:space="preserve"> </w:t>
      </w:r>
      <w:r w:rsidRPr="00382917">
        <w:t>also</w:t>
      </w:r>
      <w:r w:rsidR="00EE4FC3">
        <w:t xml:space="preserve"> </w:t>
      </w:r>
      <w:r w:rsidRPr="00382917">
        <w:t>is</w:t>
      </w:r>
      <w:r w:rsidR="00EE4FC3">
        <w:t xml:space="preserve"> </w:t>
      </w:r>
      <w:r w:rsidRPr="00382917">
        <w:t>a</w:t>
      </w:r>
      <w:r w:rsidR="00EE4FC3">
        <w:t xml:space="preserve"> </w:t>
      </w:r>
      <w:r w:rsidR="009C713D" w:rsidRPr="00382917">
        <w:t>“</w:t>
      </w:r>
      <w:r w:rsidRPr="00382917">
        <w:t>fruit</w:t>
      </w:r>
      <w:r w:rsidR="009C713D" w:rsidRPr="00382917">
        <w:t>”</w:t>
      </w:r>
      <w:r w:rsidR="00EE4FC3">
        <w:t xml:space="preserve"> </w:t>
      </w:r>
      <w:r w:rsidRPr="00382917">
        <w:t>taken</w:t>
      </w:r>
      <w:r w:rsidR="00EE4FC3">
        <w:t xml:space="preserve"> </w:t>
      </w:r>
      <w:r w:rsidRPr="00382917">
        <w:t>from</w:t>
      </w:r>
      <w:r w:rsidR="00EE4FC3">
        <w:t xml:space="preserve"> </w:t>
      </w:r>
      <w:r w:rsidRPr="00382917">
        <w:t>Bahá</w:t>
      </w:r>
      <w:r w:rsidR="009C713D" w:rsidRPr="00382917">
        <w:t>’</w:t>
      </w:r>
      <w:r w:rsidRPr="00382917">
        <w:t>u</w:t>
      </w:r>
      <w:r w:rsidR="009C713D" w:rsidRPr="00382917">
        <w:t>’</w:t>
      </w:r>
      <w:r w:rsidRPr="00382917">
        <w:t>lláh</w:t>
      </w:r>
      <w:r w:rsidR="009C713D" w:rsidRPr="00382917">
        <w:t>’</w:t>
      </w:r>
      <w:r w:rsidRPr="00382917">
        <w:t>s</w:t>
      </w:r>
      <w:r w:rsidR="00EE4FC3">
        <w:t xml:space="preserve"> </w:t>
      </w:r>
      <w:r w:rsidRPr="00382917">
        <w:t>tree.</w:t>
      </w:r>
    </w:p>
    <w:p w:rsidR="006E4F81" w:rsidRPr="00382917" w:rsidRDefault="006E4F81" w:rsidP="005D0F7B">
      <w:pPr>
        <w:pStyle w:val="MyHead4"/>
      </w:pPr>
      <w:r w:rsidRPr="00382917">
        <w:t>7.</w:t>
      </w:r>
      <w:r w:rsidR="00EE4FC3">
        <w:t xml:space="preserve">  </w:t>
      </w:r>
      <w:r w:rsidRPr="00382917">
        <w:t>The</w:t>
      </w:r>
      <w:r w:rsidR="00EE4FC3">
        <w:t xml:space="preserve"> </w:t>
      </w:r>
      <w:r w:rsidRPr="00382917">
        <w:t>soul</w:t>
      </w:r>
      <w:r w:rsidR="00EE4FC3">
        <w:t xml:space="preserve"> </w:t>
      </w:r>
      <w:r w:rsidRPr="00382917">
        <w:t>is</w:t>
      </w:r>
      <w:r w:rsidR="00EE4FC3">
        <w:t xml:space="preserve"> </w:t>
      </w:r>
      <w:r w:rsidRPr="00382917">
        <w:t>the</w:t>
      </w:r>
      <w:r w:rsidR="00EE4FC3">
        <w:t xml:space="preserve"> </w:t>
      </w:r>
      <w:r w:rsidRPr="00382917">
        <w:t>essential</w:t>
      </w:r>
      <w:r w:rsidR="00EE4FC3">
        <w:t xml:space="preserve"> </w:t>
      </w:r>
      <w:r w:rsidRPr="00382917">
        <w:t>part</w:t>
      </w:r>
      <w:r w:rsidR="00EE4FC3">
        <w:t xml:space="preserve"> </w:t>
      </w:r>
      <w:r w:rsidRPr="00382917">
        <w:t>of</w:t>
      </w:r>
      <w:r w:rsidR="00EE4FC3">
        <w:t xml:space="preserve"> </w:t>
      </w:r>
      <w:r w:rsidRPr="00382917">
        <w:t>every</w:t>
      </w:r>
      <w:r w:rsidR="00EE4FC3">
        <w:t xml:space="preserve"> </w:t>
      </w:r>
      <w:r w:rsidRPr="00382917">
        <w:t>human</w:t>
      </w:r>
      <w:r w:rsidR="00EE4FC3">
        <w:t xml:space="preserve"> </w:t>
      </w:r>
      <w:r w:rsidRPr="00382917">
        <w:t>being,</w:t>
      </w:r>
      <w:r w:rsidR="00EE4FC3">
        <w:t xml:space="preserve"> </w:t>
      </w:r>
      <w:r w:rsidRPr="00382917">
        <w:t>and</w:t>
      </w:r>
      <w:r w:rsidR="00EE4FC3">
        <w:t xml:space="preserve"> </w:t>
      </w:r>
      <w:r w:rsidRPr="00382917">
        <w:t>lives</w:t>
      </w:r>
      <w:r w:rsidR="00EE4FC3">
        <w:t xml:space="preserve"> </w:t>
      </w:r>
      <w:r w:rsidRPr="00382917">
        <w:t>forever.</w:t>
      </w:r>
    </w:p>
    <w:p w:rsidR="006E4F81" w:rsidRPr="00382917" w:rsidRDefault="006E4F81" w:rsidP="005D0F7B">
      <w:pPr>
        <w:pStyle w:val="Text"/>
      </w:pPr>
      <w:r w:rsidRPr="00382917">
        <w:t>The</w:t>
      </w:r>
      <w:r w:rsidR="00EE4FC3">
        <w:t xml:space="preserve"> </w:t>
      </w:r>
      <w:r w:rsidRPr="00382917">
        <w:t>most</w:t>
      </w:r>
      <w:r w:rsidR="00EE4FC3">
        <w:t xml:space="preserve"> </w:t>
      </w:r>
      <w:r w:rsidRPr="00382917">
        <w:t>vital</w:t>
      </w:r>
      <w:r w:rsidR="00EE4FC3">
        <w:t xml:space="preserve"> </w:t>
      </w:r>
      <w:r w:rsidRPr="00382917">
        <w:t>belief</w:t>
      </w:r>
      <w:r w:rsidR="00EE4FC3">
        <w:t xml:space="preserve"> </w:t>
      </w:r>
      <w:r w:rsidRPr="00382917">
        <w:t>any</w:t>
      </w:r>
      <w:r w:rsidR="00EE4FC3">
        <w:t xml:space="preserve"> </w:t>
      </w:r>
      <w:r w:rsidRPr="00382917">
        <w:t>man</w:t>
      </w:r>
      <w:r w:rsidR="00EE4FC3">
        <w:t xml:space="preserve"> </w:t>
      </w:r>
      <w:r w:rsidRPr="00382917">
        <w:t>can</w:t>
      </w:r>
      <w:r w:rsidR="00EE4FC3">
        <w:t xml:space="preserve"> </w:t>
      </w:r>
      <w:r w:rsidRPr="00382917">
        <w:t>possess,</w:t>
      </w:r>
      <w:r w:rsidR="00EE4FC3">
        <w:t xml:space="preserve"> </w:t>
      </w:r>
      <w:r w:rsidRPr="00382917">
        <w:t>Bahá</w:t>
      </w:r>
      <w:r w:rsidR="009C713D" w:rsidRPr="00382917">
        <w:t>’</w:t>
      </w:r>
      <w:r w:rsidRPr="00382917">
        <w:t>u</w:t>
      </w:r>
      <w:r w:rsidR="009C713D" w:rsidRPr="00382917">
        <w:t>’</w:t>
      </w:r>
      <w:r w:rsidRPr="00382917">
        <w:t>lláh</w:t>
      </w:r>
      <w:r w:rsidR="00EE4FC3">
        <w:t xml:space="preserve"> </w:t>
      </w:r>
      <w:r w:rsidRPr="00382917">
        <w:t>assures</w:t>
      </w:r>
      <w:r w:rsidR="00EE4FC3">
        <w:t xml:space="preserve"> </w:t>
      </w:r>
      <w:r w:rsidRPr="00382917">
        <w:t>us,</w:t>
      </w:r>
      <w:r w:rsidR="00EE4FC3">
        <w:t xml:space="preserve"> </w:t>
      </w:r>
      <w:r w:rsidRPr="00382917">
        <w:t>and</w:t>
      </w:r>
      <w:r w:rsidR="00EE4FC3">
        <w:t xml:space="preserve"> </w:t>
      </w:r>
      <w:r w:rsidRPr="00382917">
        <w:t>one</w:t>
      </w:r>
      <w:r w:rsidR="00EE4FC3">
        <w:t xml:space="preserve"> </w:t>
      </w:r>
      <w:r w:rsidRPr="00382917">
        <w:t>which</w:t>
      </w:r>
      <w:r w:rsidR="00EE4FC3">
        <w:t xml:space="preserve"> </w:t>
      </w:r>
      <w:r w:rsidRPr="00382917">
        <w:t>man</w:t>
      </w:r>
      <w:r w:rsidR="00EE4FC3">
        <w:t xml:space="preserve"> </w:t>
      </w:r>
      <w:r w:rsidRPr="00382917">
        <w:t>cherishes</w:t>
      </w:r>
      <w:r w:rsidR="00EE4FC3">
        <w:t xml:space="preserve"> </w:t>
      </w:r>
      <w:r w:rsidRPr="00382917">
        <w:t>most</w:t>
      </w:r>
      <w:r w:rsidR="00EE4FC3">
        <w:t xml:space="preserve"> </w:t>
      </w:r>
      <w:r w:rsidRPr="00382917">
        <w:t>of</w:t>
      </w:r>
      <w:r w:rsidR="00EE4FC3">
        <w:t xml:space="preserve"> </w:t>
      </w:r>
      <w:r w:rsidRPr="00382917">
        <w:t>all</w:t>
      </w:r>
      <w:r w:rsidR="00EE4FC3">
        <w:t xml:space="preserve"> </w:t>
      </w:r>
      <w:r w:rsidRPr="00382917">
        <w:t>at</w:t>
      </w:r>
      <w:r w:rsidR="00EE4FC3">
        <w:t xml:space="preserve"> </w:t>
      </w:r>
      <w:r w:rsidRPr="00382917">
        <w:t>the</w:t>
      </w:r>
      <w:r w:rsidR="00EE4FC3">
        <w:t xml:space="preserve"> </w:t>
      </w:r>
      <w:r w:rsidRPr="00382917">
        <w:t>moment</w:t>
      </w:r>
      <w:r w:rsidR="00EE4FC3">
        <w:t xml:space="preserve"> </w:t>
      </w:r>
      <w:r w:rsidRPr="00382917">
        <w:t>of</w:t>
      </w:r>
      <w:r w:rsidR="00EE4FC3">
        <w:t xml:space="preserve"> </w:t>
      </w:r>
      <w:r w:rsidRPr="00382917">
        <w:t>death,</w:t>
      </w:r>
      <w:r w:rsidR="00EE4FC3">
        <w:t xml:space="preserve"> </w:t>
      </w:r>
      <w:r w:rsidRPr="00382917">
        <w:t>is</w:t>
      </w:r>
      <w:r w:rsidR="00EE4FC3">
        <w:t xml:space="preserve"> </w:t>
      </w:r>
      <w:r w:rsidRPr="00382917">
        <w:t>a</w:t>
      </w:r>
      <w:r w:rsidR="00EE4FC3">
        <w:t xml:space="preserve"> </w:t>
      </w:r>
      <w:r w:rsidRPr="00382917">
        <w:t>belief</w:t>
      </w:r>
      <w:r w:rsidR="00EE4FC3">
        <w:t xml:space="preserve"> </w:t>
      </w:r>
      <w:r w:rsidRPr="00382917">
        <w:t>in</w:t>
      </w:r>
      <w:r w:rsidR="00EE4FC3">
        <w:t xml:space="preserve"> </w:t>
      </w:r>
      <w:r w:rsidRPr="00382917">
        <w:t>God</w:t>
      </w:r>
      <w:r w:rsidR="00EE4FC3">
        <w:t xml:space="preserve"> </w:t>
      </w:r>
      <w:r w:rsidRPr="00382917">
        <w:t>and</w:t>
      </w:r>
      <w:r w:rsidR="00EE4FC3">
        <w:t xml:space="preserve"> </w:t>
      </w:r>
      <w:r w:rsidRPr="00382917">
        <w:t>in</w:t>
      </w:r>
      <w:r w:rsidR="00EE4FC3">
        <w:t xml:space="preserve"> </w:t>
      </w:r>
      <w:r w:rsidRPr="00382917">
        <w:t>the</w:t>
      </w:r>
      <w:r w:rsidR="00EE4FC3">
        <w:t xml:space="preserve"> </w:t>
      </w:r>
      <w:r w:rsidRPr="00382917">
        <w:t>immortality</w:t>
      </w:r>
      <w:r w:rsidR="00EE4FC3">
        <w:t xml:space="preserve"> </w:t>
      </w:r>
      <w:r w:rsidRPr="00382917">
        <w:t>of</w:t>
      </w:r>
      <w:r w:rsidR="00EE4FC3">
        <w:t xml:space="preserve"> </w:t>
      </w:r>
      <w:r w:rsidRPr="00382917">
        <w:t>his</w:t>
      </w:r>
      <w:r w:rsidR="00EE4FC3">
        <w:t xml:space="preserve"> </w:t>
      </w:r>
      <w:r w:rsidRPr="00382917">
        <w:t>own</w:t>
      </w:r>
      <w:r w:rsidR="00EE4FC3">
        <w:t xml:space="preserve"> </w:t>
      </w:r>
      <w:r w:rsidRPr="00382917">
        <w:t>spirit</w:t>
      </w:r>
      <w:r w:rsidR="00552489">
        <w:t>.</w:t>
      </w:r>
      <w:r w:rsidR="00EE4FC3">
        <w:t xml:space="preserve">  </w:t>
      </w:r>
      <w:r w:rsidRPr="00382917">
        <w:t>Bahá</w:t>
      </w:r>
      <w:r w:rsidR="009C713D" w:rsidRPr="00382917">
        <w:t>’</w:t>
      </w:r>
      <w:r w:rsidRPr="00382917">
        <w:t>u</w:t>
      </w:r>
      <w:r w:rsidR="009C713D" w:rsidRPr="00382917">
        <w:t>’</w:t>
      </w:r>
      <w:r w:rsidRPr="00382917">
        <w:t>lláh</w:t>
      </w:r>
      <w:r w:rsidR="00EE4FC3">
        <w:t xml:space="preserve"> </w:t>
      </w:r>
      <w:r w:rsidRPr="00382917">
        <w:t>repeatedly</w:t>
      </w:r>
      <w:r w:rsidR="00EE4FC3">
        <w:t xml:space="preserve"> </w:t>
      </w:r>
      <w:r w:rsidRPr="00382917">
        <w:t>gives</w:t>
      </w:r>
      <w:r w:rsidR="00EE4FC3">
        <w:t xml:space="preserve"> </w:t>
      </w:r>
      <w:r w:rsidRPr="00382917">
        <w:t>mankind</w:t>
      </w:r>
      <w:r w:rsidR="00EE4FC3">
        <w:t xml:space="preserve"> </w:t>
      </w:r>
      <w:r w:rsidRPr="00382917">
        <w:t>comforting</w:t>
      </w:r>
      <w:r w:rsidR="00EE4FC3">
        <w:t xml:space="preserve"> </w:t>
      </w:r>
      <w:r w:rsidRPr="00382917">
        <w:t>assurance</w:t>
      </w:r>
      <w:r w:rsidR="00EE4FC3">
        <w:t xml:space="preserve"> </w:t>
      </w:r>
      <w:r w:rsidRPr="00382917">
        <w:t>upon</w:t>
      </w:r>
      <w:r w:rsidR="00EE4FC3">
        <w:t xml:space="preserve"> </w:t>
      </w:r>
      <w:r w:rsidRPr="00382917">
        <w:t>this</w:t>
      </w:r>
      <w:r w:rsidR="00EE4FC3">
        <w:t xml:space="preserve"> </w:t>
      </w:r>
      <w:r w:rsidRPr="00382917">
        <w:t>essential</w:t>
      </w:r>
      <w:r w:rsidR="00EE4FC3">
        <w:t xml:space="preserve"> </w:t>
      </w:r>
      <w:r w:rsidRPr="00382917">
        <w:t>truth.</w:t>
      </w:r>
      <w:r w:rsidR="005D0F7B">
        <w:rPr>
          <w:rStyle w:val="FootnoteReference"/>
        </w:rPr>
        <w:footnoteReference w:id="355"/>
      </w:r>
      <w:r w:rsidR="00EE4FC3">
        <w:t xml:space="preserve"> </w:t>
      </w:r>
      <w:r w:rsidR="005D0F7B">
        <w:t xml:space="preserve"> </w:t>
      </w:r>
      <w:r w:rsidRPr="00382917">
        <w:t>After</w:t>
      </w:r>
      <w:r w:rsidR="00EE4FC3">
        <w:t xml:space="preserve"> </w:t>
      </w:r>
      <w:r w:rsidRPr="00382917">
        <w:t>reading</w:t>
      </w:r>
      <w:r w:rsidR="00EE4FC3">
        <w:t xml:space="preserve"> </w:t>
      </w:r>
      <w:r w:rsidRPr="00382917">
        <w:t>Bahá</w:t>
      </w:r>
      <w:r w:rsidR="009C713D" w:rsidRPr="00382917">
        <w:t>’</w:t>
      </w:r>
      <w:r w:rsidRPr="00382917">
        <w:t>u</w:t>
      </w:r>
      <w:r w:rsidR="009C713D" w:rsidRPr="00382917">
        <w:t>’</w:t>
      </w:r>
      <w:r w:rsidRPr="00382917">
        <w:t>lláh</w:t>
      </w:r>
      <w:r w:rsidR="009C713D" w:rsidRPr="00382917">
        <w:t>’</w:t>
      </w:r>
      <w:r w:rsidRPr="00382917">
        <w:t>s</w:t>
      </w:r>
      <w:r w:rsidR="00EE4FC3">
        <w:t xml:space="preserve"> </w:t>
      </w:r>
      <w:r w:rsidRPr="00382917">
        <w:t>words</w:t>
      </w:r>
      <w:r w:rsidR="00EE4FC3">
        <w:t xml:space="preserve"> </w:t>
      </w:r>
      <w:r w:rsidRPr="00382917">
        <w:t>on</w:t>
      </w:r>
      <w:r w:rsidR="00EE4FC3">
        <w:t xml:space="preserve"> </w:t>
      </w:r>
      <w:r w:rsidRPr="00382917">
        <w:t>this</w:t>
      </w:r>
      <w:r w:rsidR="00EE4FC3">
        <w:t xml:space="preserve"> </w:t>
      </w:r>
      <w:r w:rsidRPr="00382917">
        <w:t>subject,</w:t>
      </w:r>
      <w:r w:rsidR="00EE4FC3">
        <w:t xml:space="preserve"> </w:t>
      </w:r>
      <w:r w:rsidRPr="00382917">
        <w:t>man</w:t>
      </w:r>
      <w:r w:rsidR="00EE4FC3">
        <w:t xml:space="preserve"> </w:t>
      </w:r>
      <w:r w:rsidRPr="00382917">
        <w:t>has</w:t>
      </w:r>
      <w:r w:rsidR="00EE4FC3">
        <w:t xml:space="preserve"> </w:t>
      </w:r>
      <w:r w:rsidRPr="00382917">
        <w:t>great</w:t>
      </w:r>
      <w:r w:rsidR="00EE4FC3">
        <w:t xml:space="preserve"> </w:t>
      </w:r>
      <w:r w:rsidRPr="00382917">
        <w:t>confidence</w:t>
      </w:r>
      <w:r w:rsidR="00EE4FC3">
        <w:t xml:space="preserve"> </w:t>
      </w:r>
      <w:r w:rsidRPr="00382917">
        <w:t>in</w:t>
      </w:r>
      <w:r w:rsidR="00EE4FC3">
        <w:t xml:space="preserve"> </w:t>
      </w:r>
      <w:r w:rsidRPr="00382917">
        <w:t>that</w:t>
      </w:r>
      <w:r w:rsidR="00EE4FC3">
        <w:t xml:space="preserve"> </w:t>
      </w:r>
      <w:r w:rsidRPr="00382917">
        <w:t>inner</w:t>
      </w:r>
      <w:r w:rsidR="00EE4FC3">
        <w:t xml:space="preserve"> </w:t>
      </w:r>
      <w:r w:rsidRPr="00382917">
        <w:t>prompting</w:t>
      </w:r>
      <w:r w:rsidR="00EE4FC3">
        <w:t xml:space="preserve"> </w:t>
      </w:r>
      <w:r w:rsidRPr="00382917">
        <w:t>which</w:t>
      </w:r>
      <w:r w:rsidR="00EE4FC3">
        <w:t xml:space="preserve"> </w:t>
      </w:r>
      <w:r w:rsidRPr="00382917">
        <w:t>tells</w:t>
      </w:r>
      <w:r w:rsidR="00EE4FC3">
        <w:t xml:space="preserve"> </w:t>
      </w:r>
      <w:r w:rsidRPr="00382917">
        <w:t>him</w:t>
      </w:r>
      <w:r w:rsidR="00EE4FC3">
        <w:t xml:space="preserve"> </w:t>
      </w:r>
      <w:r w:rsidRPr="00382917">
        <w:t>that</w:t>
      </w:r>
      <w:r w:rsidR="00EE4FC3">
        <w:t xml:space="preserve"> </w:t>
      </w:r>
      <w:r w:rsidRPr="00382917">
        <w:t>he</w:t>
      </w:r>
      <w:r w:rsidR="00EE4FC3">
        <w:t xml:space="preserve"> </w:t>
      </w:r>
      <w:r w:rsidRPr="00382917">
        <w:t>does</w:t>
      </w:r>
      <w:r w:rsidR="00EE4FC3">
        <w:t xml:space="preserve"> </w:t>
      </w:r>
      <w:r w:rsidRPr="00382917">
        <w:t>indeed</w:t>
      </w:r>
      <w:r w:rsidR="00EE4FC3">
        <w:t xml:space="preserve"> </w:t>
      </w:r>
      <w:r w:rsidRPr="00382917">
        <w:t>have</w:t>
      </w:r>
      <w:r w:rsidR="00EE4FC3">
        <w:t xml:space="preserve"> </w:t>
      </w:r>
      <w:r w:rsidRPr="00382917">
        <w:t>an</w:t>
      </w:r>
      <w:r w:rsidR="00EE4FC3">
        <w:t xml:space="preserve"> </w:t>
      </w:r>
      <w:r w:rsidRPr="00382917">
        <w:t>immortal</w:t>
      </w:r>
      <w:r w:rsidR="00EE4FC3">
        <w:t xml:space="preserve"> </w:t>
      </w:r>
      <w:r w:rsidRPr="00382917">
        <w:t>soul.</w:t>
      </w:r>
    </w:p>
    <w:p w:rsidR="006E4F81" w:rsidRPr="00382917" w:rsidRDefault="006E4F81" w:rsidP="004C0EF8">
      <w:pPr>
        <w:pStyle w:val="Text"/>
      </w:pPr>
      <w:r w:rsidRPr="00382917">
        <w:t>Many</w:t>
      </w:r>
      <w:r w:rsidR="00EE4FC3">
        <w:t xml:space="preserve"> </w:t>
      </w:r>
      <w:r w:rsidRPr="00382917">
        <w:t>of</w:t>
      </w:r>
      <w:r w:rsidR="00EE4FC3">
        <w:t xml:space="preserve"> </w:t>
      </w:r>
      <w:r w:rsidRPr="00382917">
        <w:t>the</w:t>
      </w:r>
      <w:r w:rsidR="00EE4FC3">
        <w:t xml:space="preserve"> </w:t>
      </w:r>
      <w:r w:rsidRPr="00382917">
        <w:t>great</w:t>
      </w:r>
      <w:r w:rsidR="00EE4FC3">
        <w:t xml:space="preserve"> </w:t>
      </w:r>
      <w:r w:rsidRPr="00382917">
        <w:t>scientific</w:t>
      </w:r>
      <w:r w:rsidR="00EE4FC3">
        <w:t xml:space="preserve"> </w:t>
      </w:r>
      <w:r w:rsidRPr="00382917">
        <w:t>minds</w:t>
      </w:r>
      <w:r w:rsidR="00EE4FC3">
        <w:t xml:space="preserve"> </w:t>
      </w:r>
      <w:r w:rsidRPr="00382917">
        <w:t>of</w:t>
      </w:r>
      <w:r w:rsidR="00EE4FC3">
        <w:t xml:space="preserve"> </w:t>
      </w:r>
      <w:r w:rsidRPr="00382917">
        <w:t>our</w:t>
      </w:r>
      <w:r w:rsidR="00EE4FC3">
        <w:t xml:space="preserve"> </w:t>
      </w:r>
      <w:r w:rsidRPr="00382917">
        <w:t>day</w:t>
      </w:r>
      <w:r w:rsidR="00EE4FC3">
        <w:t xml:space="preserve"> </w:t>
      </w:r>
      <w:r w:rsidRPr="00382917">
        <w:t>substantiate</w:t>
      </w:r>
      <w:r w:rsidR="00EE4FC3">
        <w:t xml:space="preserve"> </w:t>
      </w:r>
      <w:r w:rsidRPr="00382917">
        <w:t>these</w:t>
      </w:r>
      <w:r w:rsidR="00EE4FC3">
        <w:t xml:space="preserve"> </w:t>
      </w:r>
      <w:r w:rsidRPr="00382917">
        <w:t>inner</w:t>
      </w:r>
      <w:r w:rsidR="00EE4FC3">
        <w:t xml:space="preserve"> </w:t>
      </w:r>
      <w:r w:rsidRPr="00382917">
        <w:t>truths</w:t>
      </w:r>
      <w:r w:rsidR="00EE4FC3">
        <w:t xml:space="preserve"> </w:t>
      </w:r>
      <w:r w:rsidRPr="00382917">
        <w:t>from</w:t>
      </w:r>
      <w:r w:rsidR="00EE4FC3">
        <w:t xml:space="preserve"> </w:t>
      </w:r>
      <w:r w:rsidRPr="00382917">
        <w:t>their</w:t>
      </w:r>
      <w:r w:rsidR="00EE4FC3">
        <w:t xml:space="preserve"> </w:t>
      </w:r>
      <w:r w:rsidRPr="00382917">
        <w:t>own</w:t>
      </w:r>
      <w:r w:rsidR="00EE4FC3">
        <w:t xml:space="preserve"> </w:t>
      </w:r>
      <w:r w:rsidRPr="00382917">
        <w:t>research</w:t>
      </w:r>
      <w:r w:rsidR="00552489">
        <w:t>.</w:t>
      </w:r>
      <w:r w:rsidR="00EE4FC3">
        <w:t xml:space="preserve">  </w:t>
      </w:r>
      <w:r w:rsidRPr="00382917">
        <w:t>They</w:t>
      </w:r>
      <w:r w:rsidR="00EE4FC3">
        <w:t xml:space="preserve"> </w:t>
      </w:r>
      <w:r w:rsidRPr="00382917">
        <w:t>point</w:t>
      </w:r>
      <w:r w:rsidR="00EE4FC3">
        <w:t xml:space="preserve"> </w:t>
      </w:r>
      <w:r w:rsidRPr="00382917">
        <w:t>out</w:t>
      </w:r>
      <w:r w:rsidR="00EE4FC3">
        <w:t xml:space="preserve"> </w:t>
      </w:r>
      <w:r w:rsidRPr="00382917">
        <w:t>that</w:t>
      </w:r>
      <w:r w:rsidR="00EE4FC3">
        <w:t xml:space="preserve"> </w:t>
      </w:r>
      <w:r w:rsidRPr="00382917">
        <w:t>matter</w:t>
      </w:r>
      <w:r w:rsidR="00EE4FC3">
        <w:t xml:space="preserve"> </w:t>
      </w:r>
      <w:r w:rsidRPr="00382917">
        <w:t>itself</w:t>
      </w:r>
      <w:r w:rsidR="00EE4FC3">
        <w:t xml:space="preserve"> </w:t>
      </w:r>
      <w:r w:rsidRPr="00382917">
        <w:t>is</w:t>
      </w:r>
      <w:r w:rsidR="00EE4FC3">
        <w:t xml:space="preserve"> </w:t>
      </w:r>
      <w:r w:rsidRPr="00382917">
        <w:t>indestructible</w:t>
      </w:r>
      <w:r w:rsidR="00EE4FC3">
        <w:t xml:space="preserve"> </w:t>
      </w:r>
      <w:r w:rsidRPr="00382917">
        <w:t>and</w:t>
      </w:r>
      <w:r w:rsidR="00EE4FC3">
        <w:t xml:space="preserve"> </w:t>
      </w:r>
      <w:r w:rsidRPr="00382917">
        <w:t>has</w:t>
      </w:r>
      <w:r w:rsidR="00EE4FC3">
        <w:t xml:space="preserve"> </w:t>
      </w:r>
      <w:r w:rsidRPr="00382917">
        <w:t>a</w:t>
      </w:r>
      <w:r w:rsidR="00EE4FC3">
        <w:t xml:space="preserve"> </w:t>
      </w:r>
      <w:r w:rsidRPr="00382917">
        <w:t>form</w:t>
      </w:r>
      <w:r w:rsidR="00EE4FC3">
        <w:t xml:space="preserve"> </w:t>
      </w:r>
      <w:r w:rsidRPr="00382917">
        <w:t>of</w:t>
      </w:r>
      <w:r w:rsidR="00EE4FC3">
        <w:t xml:space="preserve"> </w:t>
      </w:r>
      <w:r w:rsidRPr="00382917">
        <w:t>immortality;</w:t>
      </w:r>
      <w:r w:rsidR="00EE4FC3">
        <w:t xml:space="preserve"> </w:t>
      </w:r>
      <w:r w:rsidRPr="00382917">
        <w:t>therefore,</w:t>
      </w:r>
      <w:r w:rsidR="00EE4FC3">
        <w:t xml:space="preserve"> </w:t>
      </w:r>
      <w:r w:rsidRPr="00382917">
        <w:t>how</w:t>
      </w:r>
      <w:r w:rsidR="00EE4FC3">
        <w:t xml:space="preserve"> </w:t>
      </w:r>
      <w:r w:rsidRPr="00382917">
        <w:t>can</w:t>
      </w:r>
      <w:r w:rsidR="00EE4FC3">
        <w:t xml:space="preserve"> </w:t>
      </w:r>
      <w:r w:rsidRPr="00382917">
        <w:t>the</w:t>
      </w:r>
      <w:r w:rsidR="00EE4FC3">
        <w:t xml:space="preserve"> </w:t>
      </w:r>
      <w:r w:rsidRPr="00382917">
        <w:t>spirit</w:t>
      </w:r>
      <w:r w:rsidR="00EE4FC3">
        <w:t xml:space="preserve"> </w:t>
      </w:r>
      <w:r w:rsidRPr="00382917">
        <w:t>be</w:t>
      </w:r>
      <w:r w:rsidR="00EE4FC3">
        <w:t xml:space="preserve"> </w:t>
      </w:r>
      <w:r w:rsidRPr="00382917">
        <w:t>mortal?</w:t>
      </w:r>
    </w:p>
    <w:p w:rsidR="006E4F81" w:rsidRPr="00382917" w:rsidRDefault="006E4F81" w:rsidP="005D0F7B">
      <w:pPr>
        <w:pStyle w:val="Text"/>
      </w:pPr>
      <w:r w:rsidRPr="00382917">
        <w:t>The</w:t>
      </w:r>
      <w:r w:rsidR="00EE4FC3">
        <w:t xml:space="preserve"> </w:t>
      </w:r>
      <w:r w:rsidRPr="00382917">
        <w:t>eminent</w:t>
      </w:r>
      <w:r w:rsidR="00EE4FC3">
        <w:t xml:space="preserve"> </w:t>
      </w:r>
      <w:r w:rsidRPr="00382917">
        <w:t>biologist</w:t>
      </w:r>
      <w:r w:rsidR="00EE4FC3">
        <w:t xml:space="preserve"> </w:t>
      </w:r>
      <w:r w:rsidRPr="00382917">
        <w:t>C.</w:t>
      </w:r>
      <w:r w:rsidR="00EE4FC3">
        <w:t xml:space="preserve"> </w:t>
      </w:r>
      <w:r w:rsidRPr="00382917">
        <w:t>C.</w:t>
      </w:r>
      <w:r w:rsidR="00EE4FC3">
        <w:t xml:space="preserve"> </w:t>
      </w:r>
      <w:r w:rsidRPr="00382917">
        <w:t>Hurst</w:t>
      </w:r>
      <w:r w:rsidR="00EE4FC3">
        <w:t xml:space="preserve"> </w:t>
      </w:r>
      <w:r w:rsidRPr="00382917">
        <w:t>writes,</w:t>
      </w:r>
      <w:r w:rsidR="00EE4FC3">
        <w:t xml:space="preserve"> </w:t>
      </w:r>
      <w:r w:rsidR="009C713D" w:rsidRPr="00382917">
        <w:t>“</w:t>
      </w:r>
      <w:r w:rsidRPr="00382917">
        <w:t>Recent</w:t>
      </w:r>
      <w:r w:rsidR="00EE4FC3">
        <w:t xml:space="preserve"> </w:t>
      </w:r>
      <w:proofErr w:type="spellStart"/>
      <w:r w:rsidRPr="00382917">
        <w:t>genetical</w:t>
      </w:r>
      <w:proofErr w:type="spellEnd"/>
      <w:r w:rsidR="00EE4FC3">
        <w:t xml:space="preserve"> </w:t>
      </w:r>
      <w:r w:rsidRPr="00382917">
        <w:t>research</w:t>
      </w:r>
      <w:r w:rsidR="00EE4FC3">
        <w:t xml:space="preserve"> </w:t>
      </w:r>
      <w:r w:rsidRPr="00382917">
        <w:t>leads</w:t>
      </w:r>
      <w:r w:rsidR="00EE4FC3">
        <w:t xml:space="preserve"> </w:t>
      </w:r>
      <w:r w:rsidRPr="00382917">
        <w:t>us</w:t>
      </w:r>
      <w:r w:rsidR="00EE4FC3">
        <w:t xml:space="preserve"> </w:t>
      </w:r>
      <w:r w:rsidRPr="00382917">
        <w:t>to</w:t>
      </w:r>
      <w:r w:rsidR="00EE4FC3">
        <w:t xml:space="preserve"> </w:t>
      </w:r>
      <w:r w:rsidRPr="00382917">
        <w:t>the</w:t>
      </w:r>
      <w:r w:rsidR="00EE4FC3">
        <w:t xml:space="preserve"> </w:t>
      </w:r>
      <w:r w:rsidRPr="00382917">
        <w:t>inevitable</w:t>
      </w:r>
      <w:r w:rsidR="00EE4FC3">
        <w:t xml:space="preserve"> </w:t>
      </w:r>
      <w:r w:rsidRPr="00382917">
        <w:t>conclusion</w:t>
      </w:r>
      <w:r w:rsidR="00EE4FC3">
        <w:t xml:space="preserve"> </w:t>
      </w:r>
      <w:r w:rsidRPr="00382917">
        <w:t>that,</w:t>
      </w:r>
      <w:r w:rsidR="00EE4FC3">
        <w:t xml:space="preserve"> </w:t>
      </w:r>
      <w:r w:rsidRPr="00382917">
        <w:t>in</w:t>
      </w:r>
      <w:r w:rsidR="00EE4FC3">
        <w:t xml:space="preserve"> </w:t>
      </w:r>
      <w:r w:rsidRPr="00382917">
        <w:t>general,</w:t>
      </w:r>
      <w:r w:rsidR="00EE4FC3">
        <w:t xml:space="preserve"> </w:t>
      </w:r>
      <w:r w:rsidRPr="00382917">
        <w:t>living</w:t>
      </w:r>
      <w:r w:rsidR="00EE4FC3">
        <w:t xml:space="preserve"> </w:t>
      </w:r>
      <w:r w:rsidRPr="00382917">
        <w:t>genes</w:t>
      </w:r>
      <w:r w:rsidR="00EE4FC3">
        <w:t xml:space="preserve"> </w:t>
      </w:r>
      <w:r w:rsidRPr="00382917">
        <w:t>are</w:t>
      </w:r>
      <w:r w:rsidR="00EE4FC3">
        <w:t xml:space="preserve"> </w:t>
      </w:r>
      <w:r w:rsidRPr="00382917">
        <w:t>relatively</w:t>
      </w:r>
      <w:r w:rsidR="00EE4FC3">
        <w:t xml:space="preserve"> </w:t>
      </w:r>
      <w:r w:rsidRPr="00382917">
        <w:t>immortal.</w:t>
      </w:r>
      <w:r w:rsidR="005D0F7B">
        <w:rPr>
          <w:rStyle w:val="FootnoteReference"/>
        </w:rPr>
        <w:footnoteReference w:id="356"/>
      </w:r>
    </w:p>
    <w:p w:rsidR="006E4F81" w:rsidRPr="00382917" w:rsidRDefault="006E4F81" w:rsidP="005D0F7B">
      <w:pPr>
        <w:pStyle w:val="Text"/>
      </w:pPr>
      <w:r w:rsidRPr="00382917">
        <w:t>Arthur</w:t>
      </w:r>
      <w:r w:rsidR="00EE4FC3">
        <w:t xml:space="preserve"> </w:t>
      </w:r>
      <w:r w:rsidRPr="00382917">
        <w:t>H.</w:t>
      </w:r>
      <w:r w:rsidR="00EE4FC3">
        <w:t xml:space="preserve"> </w:t>
      </w:r>
      <w:r w:rsidRPr="00382917">
        <w:t>Compton,</w:t>
      </w:r>
      <w:r w:rsidR="00EE4FC3">
        <w:t xml:space="preserve"> </w:t>
      </w:r>
      <w:r w:rsidRPr="00382917">
        <w:t>Nobel</w:t>
      </w:r>
      <w:r w:rsidR="00EE4FC3">
        <w:t xml:space="preserve"> </w:t>
      </w:r>
      <w:r w:rsidRPr="00382917">
        <w:t>Prize</w:t>
      </w:r>
      <w:r w:rsidR="00EE4FC3">
        <w:t xml:space="preserve"> </w:t>
      </w:r>
      <w:r w:rsidRPr="00382917">
        <w:t>Winner</w:t>
      </w:r>
      <w:r w:rsidR="00EE4FC3">
        <w:t xml:space="preserve"> </w:t>
      </w:r>
      <w:r w:rsidRPr="00382917">
        <w:t>for</w:t>
      </w:r>
      <w:r w:rsidR="00EE4FC3">
        <w:t xml:space="preserve"> </w:t>
      </w:r>
      <w:r w:rsidRPr="00382917">
        <w:t>his</w:t>
      </w:r>
      <w:r w:rsidR="00EE4FC3">
        <w:t xml:space="preserve"> </w:t>
      </w:r>
      <w:r w:rsidRPr="00382917">
        <w:t>work</w:t>
      </w:r>
      <w:r w:rsidR="00EE4FC3">
        <w:t xml:space="preserve"> </w:t>
      </w:r>
      <w:r w:rsidRPr="00382917">
        <w:t>in</w:t>
      </w:r>
      <w:r w:rsidR="00EE4FC3">
        <w:t xml:space="preserve"> </w:t>
      </w:r>
      <w:r w:rsidRPr="00382917">
        <w:t>physics,</w:t>
      </w:r>
      <w:r w:rsidR="00EE4FC3">
        <w:t xml:space="preserve"> </w:t>
      </w:r>
      <w:r w:rsidRPr="00382917">
        <w:t>says</w:t>
      </w:r>
      <w:r w:rsidR="00C03C91">
        <w:t>:</w:t>
      </w:r>
      <w:r w:rsidR="00EE4FC3">
        <w:t xml:space="preserve">  </w:t>
      </w:r>
      <w:r w:rsidR="009C713D" w:rsidRPr="00382917">
        <w:t>“</w:t>
      </w:r>
      <w:r w:rsidR="00F04416" w:rsidRPr="00382917">
        <w:t>…</w:t>
      </w:r>
      <w:r w:rsidR="00EE4FC3">
        <w:t xml:space="preserve"> </w:t>
      </w:r>
      <w:r w:rsidRPr="00382917">
        <w:t>it</w:t>
      </w:r>
      <w:r w:rsidR="00EE4FC3">
        <w:t xml:space="preserve"> </w:t>
      </w:r>
      <w:r w:rsidRPr="00382917">
        <w:t>is</w:t>
      </w:r>
      <w:r w:rsidR="00EE4FC3">
        <w:t xml:space="preserve"> </w:t>
      </w:r>
      <w:r w:rsidRPr="00382917">
        <w:t>only</w:t>
      </w:r>
      <w:r w:rsidR="00EE4FC3">
        <w:t xml:space="preserve"> </w:t>
      </w:r>
      <w:r w:rsidRPr="00382917">
        <w:t>fair</w:t>
      </w:r>
      <w:r w:rsidR="00EE4FC3">
        <w:t xml:space="preserve"> </w:t>
      </w:r>
      <w:r w:rsidRPr="00382917">
        <w:t>to</w:t>
      </w:r>
      <w:r w:rsidR="00EE4FC3">
        <w:t xml:space="preserve"> </w:t>
      </w:r>
      <w:r w:rsidRPr="00382917">
        <w:t>point</w:t>
      </w:r>
      <w:r w:rsidR="00EE4FC3">
        <w:t xml:space="preserve"> </w:t>
      </w:r>
      <w:r w:rsidRPr="00382917">
        <w:t>out</w:t>
      </w:r>
      <w:r w:rsidR="00EE4FC3">
        <w:t xml:space="preserve"> </w:t>
      </w:r>
      <w:r w:rsidRPr="00382917">
        <w:t>that</w:t>
      </w:r>
      <w:r w:rsidR="00EE4FC3">
        <w:t xml:space="preserve"> </w:t>
      </w:r>
      <w:r w:rsidRPr="00382917">
        <w:t>science</w:t>
      </w:r>
      <w:r w:rsidR="00EE4FC3">
        <w:t xml:space="preserve"> </w:t>
      </w:r>
      <w:r w:rsidRPr="00382917">
        <w:t>has</w:t>
      </w:r>
      <w:r w:rsidR="00EE4FC3">
        <w:t xml:space="preserve"> </w:t>
      </w:r>
      <w:r w:rsidRPr="00382917">
        <w:t>found</w:t>
      </w:r>
      <w:r w:rsidR="00EE4FC3">
        <w:t xml:space="preserve"> </w:t>
      </w:r>
      <w:r w:rsidRPr="00382917">
        <w:t>no</w:t>
      </w:r>
      <w:r w:rsidR="00EE4FC3">
        <w:t xml:space="preserve"> </w:t>
      </w:r>
      <w:r w:rsidRPr="00382917">
        <w:t>cogent</w:t>
      </w:r>
      <w:r w:rsidR="00EE4FC3">
        <w:t xml:space="preserve"> </w:t>
      </w:r>
      <w:r w:rsidRPr="00382917">
        <w:t>reason</w:t>
      </w:r>
      <w:r w:rsidR="00EE4FC3">
        <w:t xml:space="preserve"> </w:t>
      </w:r>
      <w:r w:rsidRPr="00382917">
        <w:t>for</w:t>
      </w:r>
      <w:r w:rsidR="00EE4FC3">
        <w:t xml:space="preserve"> </w:t>
      </w:r>
      <w:r w:rsidRPr="00382917">
        <w:t>supposing</w:t>
      </w:r>
      <w:r w:rsidR="00EE4FC3">
        <w:t xml:space="preserve"> </w:t>
      </w:r>
      <w:r w:rsidRPr="00382917">
        <w:t>that</w:t>
      </w:r>
      <w:r w:rsidR="00EE4FC3">
        <w:t xml:space="preserve"> </w:t>
      </w:r>
      <w:r w:rsidRPr="00382917">
        <w:t>what</w:t>
      </w:r>
      <w:r w:rsidR="00EE4FC3">
        <w:t xml:space="preserve"> </w:t>
      </w:r>
      <w:r w:rsidRPr="00382917">
        <w:t>is</w:t>
      </w:r>
      <w:r w:rsidR="00EE4FC3">
        <w:t xml:space="preserve"> </w:t>
      </w:r>
      <w:r w:rsidRPr="00382917">
        <w:t>of</w:t>
      </w:r>
      <w:r w:rsidR="00EE4FC3">
        <w:t xml:space="preserve"> </w:t>
      </w:r>
      <w:r w:rsidRPr="00382917">
        <w:t>importance</w:t>
      </w:r>
      <w:r w:rsidR="00EE4FC3">
        <w:t xml:space="preserve"> </w:t>
      </w:r>
      <w:r w:rsidRPr="00382917">
        <w:t>in</w:t>
      </w:r>
      <w:r w:rsidR="00EE4FC3">
        <w:t xml:space="preserve"> </w:t>
      </w:r>
      <w:r w:rsidRPr="00382917">
        <w:t>a</w:t>
      </w:r>
      <w:r w:rsidR="00EE4FC3">
        <w:t xml:space="preserve"> </w:t>
      </w:r>
      <w:r w:rsidRPr="00382917">
        <w:t>man</w:t>
      </w:r>
      <w:r w:rsidR="00EE4FC3">
        <w:t xml:space="preserve"> </w:t>
      </w:r>
      <w:r w:rsidRPr="00382917">
        <w:t>can</w:t>
      </w:r>
      <w:r w:rsidR="00EE4FC3">
        <w:t xml:space="preserve"> </w:t>
      </w:r>
      <w:r w:rsidRPr="00382917">
        <w:t>be</w:t>
      </w:r>
      <w:r w:rsidR="00EE4FC3">
        <w:t xml:space="preserve"> </w:t>
      </w:r>
      <w:r w:rsidRPr="00382917">
        <w:t>buried</w:t>
      </w:r>
      <w:r w:rsidR="00EE4FC3">
        <w:t xml:space="preserve"> </w:t>
      </w:r>
      <w:r w:rsidRPr="00382917">
        <w:t>in</w:t>
      </w:r>
      <w:r w:rsidR="00EE4FC3">
        <w:t xml:space="preserve"> </w:t>
      </w:r>
      <w:r w:rsidRPr="00382917">
        <w:t>a</w:t>
      </w:r>
      <w:r w:rsidR="00EE4FC3">
        <w:t xml:space="preserve"> </w:t>
      </w:r>
      <w:r w:rsidRPr="00382917">
        <w:t>grave.</w:t>
      </w:r>
      <w:r w:rsidR="009C713D" w:rsidRPr="00382917">
        <w:t>”</w:t>
      </w:r>
      <w:r w:rsidR="005D0F7B">
        <w:rPr>
          <w:rStyle w:val="FootnoteReference"/>
        </w:rPr>
        <w:footnoteReference w:id="357"/>
      </w:r>
      <w:r w:rsidR="00EE4FC3">
        <w:t xml:space="preserve"> </w:t>
      </w:r>
      <w:r w:rsidR="005D0F7B">
        <w:t xml:space="preserve"> </w:t>
      </w:r>
      <w:r w:rsidRPr="00382917">
        <w:t>Dr</w:t>
      </w:r>
      <w:r w:rsidR="00EE4FC3">
        <w:t xml:space="preserve"> </w:t>
      </w:r>
      <w:r w:rsidRPr="00382917">
        <w:t>Compton</w:t>
      </w:r>
      <w:r w:rsidR="00EE4FC3">
        <w:t xml:space="preserve"> </w:t>
      </w:r>
      <w:r w:rsidRPr="00382917">
        <w:t>says</w:t>
      </w:r>
      <w:r w:rsidR="00EE4FC3">
        <w:t xml:space="preserve"> </w:t>
      </w:r>
      <w:r w:rsidRPr="00382917">
        <w:t>in</w:t>
      </w:r>
      <w:r w:rsidR="00EE4FC3">
        <w:t xml:space="preserve"> </w:t>
      </w:r>
      <w:r w:rsidRPr="00382917">
        <w:t>yet</w:t>
      </w:r>
      <w:r w:rsidR="00EE4FC3">
        <w:t xml:space="preserve"> </w:t>
      </w:r>
      <w:r w:rsidRPr="00382917">
        <w:t>another</w:t>
      </w:r>
      <w:r w:rsidR="00EE4FC3">
        <w:t xml:space="preserve"> </w:t>
      </w:r>
      <w:r w:rsidRPr="00382917">
        <w:t>place,</w:t>
      </w:r>
      <w:r w:rsidR="00EE4FC3">
        <w:t xml:space="preserve"> </w:t>
      </w:r>
      <w:r w:rsidR="009C713D" w:rsidRPr="00382917">
        <w:t>“</w:t>
      </w:r>
      <w:r w:rsidRPr="00382917">
        <w:t>Biologically</w:t>
      </w:r>
      <w:r w:rsidR="00EE4FC3">
        <w:t xml:space="preserve"> </w:t>
      </w:r>
      <w:r w:rsidRPr="00382917">
        <w:t>speaking,</w:t>
      </w:r>
      <w:r w:rsidR="00EE4FC3">
        <w:t xml:space="preserve"> </w:t>
      </w:r>
      <w:r w:rsidRPr="00382917">
        <w:t>life,</w:t>
      </w:r>
      <w:r w:rsidR="00EE4FC3">
        <w:t xml:space="preserve"> </w:t>
      </w:r>
      <w:r w:rsidRPr="00382917">
        <w:t>whether</w:t>
      </w:r>
      <w:r w:rsidR="00EE4FC3">
        <w:t xml:space="preserve"> </w:t>
      </w:r>
      <w:r w:rsidRPr="00382917">
        <w:t>it</w:t>
      </w:r>
      <w:r w:rsidR="00EE4FC3">
        <w:t xml:space="preserve"> </w:t>
      </w:r>
      <w:r w:rsidRPr="00382917">
        <w:t>be</w:t>
      </w:r>
      <w:r w:rsidR="00EE4FC3">
        <w:t xml:space="preserve"> </w:t>
      </w:r>
      <w:r w:rsidRPr="00382917">
        <w:t>an</w:t>
      </w:r>
      <w:r w:rsidR="00EE4FC3">
        <w:t xml:space="preserve"> </w:t>
      </w:r>
      <w:r w:rsidRPr="00382917">
        <w:t>apple</w:t>
      </w:r>
      <w:r w:rsidR="00EE4FC3">
        <w:t xml:space="preserve"> </w:t>
      </w:r>
      <w:r w:rsidRPr="00382917">
        <w:t>seed</w:t>
      </w:r>
      <w:r w:rsidR="00EE4FC3">
        <w:t xml:space="preserve"> </w:t>
      </w:r>
      <w:r w:rsidRPr="00382917">
        <w:t>or</w:t>
      </w:r>
      <w:r w:rsidR="00EE4FC3">
        <w:t xml:space="preserve"> </w:t>
      </w:r>
      <w:r w:rsidRPr="00382917">
        <w:t>the</w:t>
      </w:r>
      <w:r w:rsidR="00EE4FC3">
        <w:t xml:space="preserve"> </w:t>
      </w:r>
      <w:r w:rsidRPr="00382917">
        <w:t>germ</w:t>
      </w:r>
      <w:r w:rsidR="00EE4FC3">
        <w:t xml:space="preserve"> </w:t>
      </w:r>
      <w:r w:rsidRPr="00382917">
        <w:t>cell</w:t>
      </w:r>
      <w:r w:rsidR="00EE4FC3">
        <w:t xml:space="preserve"> </w:t>
      </w:r>
      <w:r w:rsidRPr="00382917">
        <w:t>of</w:t>
      </w:r>
      <w:r w:rsidR="00EE4FC3">
        <w:t xml:space="preserve"> </w:t>
      </w:r>
      <w:r w:rsidRPr="00382917">
        <w:t>a</w:t>
      </w:r>
      <w:r w:rsidR="00EE4FC3">
        <w:t xml:space="preserve"> </w:t>
      </w:r>
      <w:r w:rsidRPr="00382917">
        <w:t>man,</w:t>
      </w:r>
      <w:r w:rsidR="00EE4FC3">
        <w:t xml:space="preserve"> </w:t>
      </w:r>
      <w:r w:rsidRPr="00382917">
        <w:t>is</w:t>
      </w:r>
      <w:r w:rsidR="00EE4FC3">
        <w:t xml:space="preserve"> </w:t>
      </w:r>
      <w:r w:rsidRPr="00382917">
        <w:t>essentially</w:t>
      </w:r>
      <w:r w:rsidR="00EE4FC3">
        <w:t xml:space="preserve"> </w:t>
      </w:r>
      <w:r w:rsidRPr="00382917">
        <w:t>continuous</w:t>
      </w:r>
      <w:r w:rsidR="00EE4FC3">
        <w:t xml:space="preserve"> </w:t>
      </w:r>
      <w:r w:rsidRPr="00382917">
        <w:t>and</w:t>
      </w:r>
      <w:r w:rsidR="00EE4FC3">
        <w:t xml:space="preserve"> </w:t>
      </w:r>
      <w:r w:rsidRPr="00382917">
        <w:t>eternal</w:t>
      </w:r>
      <w:r w:rsidR="00EE4FC3">
        <w:t xml:space="preserve"> </w:t>
      </w:r>
      <w:proofErr w:type="gramStart"/>
      <w:r w:rsidR="00F04416" w:rsidRPr="00382917">
        <w:t>…</w:t>
      </w:r>
      <w:r w:rsidR="00EE4FC3">
        <w:t xml:space="preserve"> </w:t>
      </w:r>
      <w:r w:rsidR="00E15D8C">
        <w:t xml:space="preserve"> </w:t>
      </w:r>
      <w:r w:rsidRPr="00382917">
        <w:t>May</w:t>
      </w:r>
      <w:proofErr w:type="gramEnd"/>
      <w:r w:rsidR="00EE4FC3">
        <w:t xml:space="preserve"> </w:t>
      </w:r>
      <w:r w:rsidRPr="00382917">
        <w:t>we</w:t>
      </w:r>
      <w:r w:rsidR="00EE4FC3">
        <w:t xml:space="preserve"> </w:t>
      </w:r>
      <w:r w:rsidRPr="00382917">
        <w:t>not</w:t>
      </w:r>
      <w:r w:rsidR="00EE4FC3">
        <w:t xml:space="preserve"> </w:t>
      </w:r>
      <w:r w:rsidRPr="00382917">
        <w:t>also</w:t>
      </w:r>
      <w:r w:rsidR="00EE4FC3">
        <w:t xml:space="preserve"> </w:t>
      </w:r>
      <w:r w:rsidRPr="00382917">
        <w:t>logically</w:t>
      </w:r>
      <w:r w:rsidR="00EE4FC3">
        <w:t xml:space="preserve"> </w:t>
      </w:r>
      <w:r w:rsidRPr="00382917">
        <w:t>say</w:t>
      </w:r>
      <w:r w:rsidR="00EE4FC3">
        <w:t xml:space="preserve"> </w:t>
      </w:r>
      <w:r w:rsidRPr="00382917">
        <w:t>that</w:t>
      </w:r>
      <w:r w:rsidR="00EE4FC3">
        <w:t xml:space="preserve"> </w:t>
      </w:r>
      <w:r w:rsidRPr="00382917">
        <w:t>continuity</w:t>
      </w:r>
      <w:r w:rsidR="00EE4FC3">
        <w:t xml:space="preserve"> </w:t>
      </w:r>
      <w:r w:rsidRPr="00382917">
        <w:t>of</w:t>
      </w:r>
      <w:r w:rsidR="00EE4FC3">
        <w:t xml:space="preserve"> </w:t>
      </w:r>
      <w:r w:rsidRPr="00382917">
        <w:t>consciousness,</w:t>
      </w:r>
      <w:r w:rsidR="00EE4FC3">
        <w:t xml:space="preserve"> </w:t>
      </w:r>
      <w:r w:rsidRPr="00382917">
        <w:t>mind</w:t>
      </w:r>
      <w:r w:rsidR="00EE4FC3">
        <w:t xml:space="preserve"> </w:t>
      </w:r>
      <w:r w:rsidRPr="00382917">
        <w:t>or</w:t>
      </w:r>
      <w:r w:rsidR="00EE4FC3">
        <w:t xml:space="preserve"> </w:t>
      </w:r>
      <w:r w:rsidRPr="00382917">
        <w:t>soul</w:t>
      </w:r>
      <w:r w:rsidR="00EE4FC3">
        <w:t xml:space="preserve"> </w:t>
      </w:r>
      <w:r w:rsidRPr="00382917">
        <w:t>may</w:t>
      </w:r>
      <w:r w:rsidR="00EE4FC3">
        <w:t xml:space="preserve"> </w:t>
      </w:r>
      <w:r w:rsidRPr="00382917">
        <w:t>be</w:t>
      </w:r>
      <w:r w:rsidR="00EE4FC3">
        <w:t xml:space="preserve"> </w:t>
      </w:r>
      <w:r w:rsidRPr="00382917">
        <w:t>presumed</w:t>
      </w:r>
      <w:r w:rsidR="00EE4FC3">
        <w:t xml:space="preserve"> </w:t>
      </w:r>
      <w:r w:rsidRPr="00382917">
        <w:t>from</w:t>
      </w:r>
      <w:r w:rsidR="00EE4FC3">
        <w:t xml:space="preserve"> </w:t>
      </w:r>
      <w:r w:rsidRPr="00382917">
        <w:t>the</w:t>
      </w:r>
      <w:r w:rsidR="00EE4FC3">
        <w:t xml:space="preserve"> </w:t>
      </w:r>
      <w:r w:rsidRPr="00382917">
        <w:t>essential</w:t>
      </w:r>
      <w:r w:rsidR="00EE4FC3">
        <w:t xml:space="preserve"> </w:t>
      </w:r>
      <w:r w:rsidRPr="00382917">
        <w:t>eternality</w:t>
      </w:r>
      <w:r w:rsidR="00EE4FC3">
        <w:t xml:space="preserve"> </w:t>
      </w:r>
      <w:r w:rsidRPr="00382917">
        <w:t>of</w:t>
      </w:r>
      <w:r w:rsidR="00EE4FC3">
        <w:t xml:space="preserve"> </w:t>
      </w:r>
      <w:r w:rsidRPr="00382917">
        <w:t>the</w:t>
      </w:r>
      <w:r w:rsidR="00EE4FC3">
        <w:t xml:space="preserve"> </w:t>
      </w:r>
      <w:r w:rsidRPr="00382917">
        <w:t>germ</w:t>
      </w:r>
      <w:r w:rsidR="00EE4FC3">
        <w:t xml:space="preserve"> </w:t>
      </w:r>
      <w:r w:rsidRPr="00382917">
        <w:t>cell?</w:t>
      </w:r>
      <w:r w:rsidR="009C713D" w:rsidRPr="00382917">
        <w:t>”</w:t>
      </w:r>
      <w:r w:rsidR="005D0F7B">
        <w:rPr>
          <w:rStyle w:val="FootnoteReference"/>
        </w:rPr>
        <w:footnoteReference w:id="358"/>
      </w:r>
    </w:p>
    <w:p w:rsidR="004C0EF8" w:rsidRPr="00382917" w:rsidRDefault="004C0EF8">
      <w:pPr>
        <w:widowControl/>
        <w:kinsoku/>
        <w:overflowPunct/>
        <w:textAlignment w:val="auto"/>
      </w:pPr>
      <w:r w:rsidRPr="00382917">
        <w:br w:type="page"/>
      </w:r>
    </w:p>
    <w:p w:rsidR="006E4F81" w:rsidRPr="00382917" w:rsidRDefault="006E4F81" w:rsidP="004C0EF8">
      <w:pPr>
        <w:pStyle w:val="Text"/>
      </w:pPr>
      <w:r w:rsidRPr="00382917">
        <w:t>This</w:t>
      </w:r>
      <w:r w:rsidR="00EE4FC3">
        <w:t xml:space="preserve"> </w:t>
      </w:r>
      <w:r w:rsidRPr="00382917">
        <w:t>is</w:t>
      </w:r>
      <w:r w:rsidR="00EE4FC3">
        <w:t xml:space="preserve"> </w:t>
      </w:r>
      <w:r w:rsidRPr="00382917">
        <w:t>another</w:t>
      </w:r>
      <w:r w:rsidR="00EE4FC3">
        <w:t xml:space="preserve"> </w:t>
      </w:r>
      <w:r w:rsidR="009C713D" w:rsidRPr="00382917">
        <w:t>“</w:t>
      </w:r>
      <w:r w:rsidRPr="00382917">
        <w:t>fruit</w:t>
      </w:r>
      <w:r w:rsidR="009C713D" w:rsidRPr="00382917">
        <w:t>”</w:t>
      </w:r>
      <w:r w:rsidR="00EE4FC3">
        <w:t xml:space="preserve"> </w:t>
      </w:r>
      <w:r w:rsidRPr="00382917">
        <w:t>of</w:t>
      </w:r>
      <w:r w:rsidR="00EE4FC3">
        <w:t xml:space="preserve"> </w:t>
      </w:r>
      <w:r w:rsidRPr="00382917">
        <w:t>Bahá</w:t>
      </w:r>
      <w:r w:rsidR="009C713D" w:rsidRPr="00382917">
        <w:t>’</w:t>
      </w:r>
      <w:r w:rsidRPr="00382917">
        <w:t>u</w:t>
      </w:r>
      <w:r w:rsidR="009C713D" w:rsidRPr="00382917">
        <w:t>’</w:t>
      </w:r>
      <w:r w:rsidRPr="00382917">
        <w:t>lláh</w:t>
      </w:r>
      <w:r w:rsidR="00EE4FC3">
        <w:t xml:space="preserve"> </w:t>
      </w:r>
      <w:r w:rsidRPr="00382917">
        <w:t>by</w:t>
      </w:r>
      <w:r w:rsidR="00EE4FC3">
        <w:t xml:space="preserve"> </w:t>
      </w:r>
      <w:r w:rsidRPr="00382917">
        <w:t>which</w:t>
      </w:r>
      <w:r w:rsidR="00EE4FC3">
        <w:t xml:space="preserve"> </w:t>
      </w:r>
      <w:r w:rsidRPr="00382917">
        <w:t>you</w:t>
      </w:r>
      <w:r w:rsidR="00EE4FC3">
        <w:t xml:space="preserve"> </w:t>
      </w:r>
      <w:r w:rsidRPr="00382917">
        <w:t>may</w:t>
      </w:r>
      <w:r w:rsidR="00EE4FC3">
        <w:t xml:space="preserve"> </w:t>
      </w:r>
      <w:r w:rsidRPr="00382917">
        <w:t>judge</w:t>
      </w:r>
      <w:r w:rsidR="00EE4FC3">
        <w:t xml:space="preserve"> </w:t>
      </w:r>
      <w:r w:rsidRPr="00382917">
        <w:t>Him.</w:t>
      </w:r>
    </w:p>
    <w:p w:rsidR="006E4F81" w:rsidRPr="00382917" w:rsidRDefault="006E4F81" w:rsidP="00E15D8C">
      <w:pPr>
        <w:pStyle w:val="MyHead4"/>
      </w:pPr>
      <w:r w:rsidRPr="00382917">
        <w:t>8.</w:t>
      </w:r>
      <w:r w:rsidR="00EE4FC3">
        <w:t xml:space="preserve">  </w:t>
      </w:r>
      <w:r w:rsidRPr="00382917">
        <w:t>Prayer</w:t>
      </w:r>
      <w:r w:rsidR="00EE4FC3">
        <w:t xml:space="preserve"> </w:t>
      </w:r>
      <w:r w:rsidRPr="00382917">
        <w:t>is</w:t>
      </w:r>
      <w:r w:rsidR="00EE4FC3">
        <w:t xml:space="preserve"> </w:t>
      </w:r>
      <w:r w:rsidRPr="00382917">
        <w:t>both</w:t>
      </w:r>
      <w:r w:rsidR="00EE4FC3">
        <w:t xml:space="preserve"> </w:t>
      </w:r>
      <w:r w:rsidRPr="00382917">
        <w:t>a</w:t>
      </w:r>
      <w:r w:rsidR="00EE4FC3">
        <w:t xml:space="preserve"> </w:t>
      </w:r>
      <w:r w:rsidRPr="00382917">
        <w:t>blessing</w:t>
      </w:r>
      <w:r w:rsidR="00EE4FC3">
        <w:t xml:space="preserve"> </w:t>
      </w:r>
      <w:r w:rsidRPr="00382917">
        <w:t>and</w:t>
      </w:r>
      <w:r w:rsidR="00EE4FC3">
        <w:t xml:space="preserve"> </w:t>
      </w:r>
      <w:r w:rsidRPr="00382917">
        <w:t>an</w:t>
      </w:r>
      <w:r w:rsidR="00EE4FC3">
        <w:t xml:space="preserve"> </w:t>
      </w:r>
      <w:r w:rsidRPr="00382917">
        <w:t>obligation.</w:t>
      </w:r>
    </w:p>
    <w:p w:rsidR="006E4F81" w:rsidRPr="00382917" w:rsidRDefault="006E4F81" w:rsidP="004C0EF8">
      <w:pPr>
        <w:pStyle w:val="Text"/>
      </w:pPr>
      <w:r w:rsidRPr="00382917">
        <w:t>Prayer</w:t>
      </w:r>
      <w:r w:rsidR="00EE4FC3">
        <w:t xml:space="preserve"> </w:t>
      </w:r>
      <w:r w:rsidRPr="00382917">
        <w:t>brings</w:t>
      </w:r>
      <w:r w:rsidR="00EE4FC3">
        <w:t xml:space="preserve"> </w:t>
      </w:r>
      <w:r w:rsidRPr="00382917">
        <w:t>healing</w:t>
      </w:r>
      <w:r w:rsidR="00EE4FC3">
        <w:t xml:space="preserve"> </w:t>
      </w:r>
      <w:r w:rsidRPr="00382917">
        <w:t>to</w:t>
      </w:r>
      <w:r w:rsidR="00EE4FC3">
        <w:t xml:space="preserve"> </w:t>
      </w:r>
      <w:r w:rsidRPr="00382917">
        <w:t>the</w:t>
      </w:r>
      <w:r w:rsidR="00EE4FC3">
        <w:t xml:space="preserve"> </w:t>
      </w:r>
      <w:r w:rsidRPr="00382917">
        <w:t>soul</w:t>
      </w:r>
      <w:r w:rsidR="00552489">
        <w:t>.</w:t>
      </w:r>
      <w:r w:rsidR="00EE4FC3">
        <w:t xml:space="preserve">  </w:t>
      </w:r>
      <w:r w:rsidRPr="00382917">
        <w:t>It</w:t>
      </w:r>
      <w:r w:rsidR="00EE4FC3">
        <w:t xml:space="preserve"> </w:t>
      </w:r>
      <w:r w:rsidRPr="00382917">
        <w:t>brings</w:t>
      </w:r>
      <w:r w:rsidR="00EE4FC3">
        <w:t xml:space="preserve"> </w:t>
      </w:r>
      <w:r w:rsidRPr="00382917">
        <w:t>joy</w:t>
      </w:r>
      <w:r w:rsidR="00EE4FC3">
        <w:t xml:space="preserve"> </w:t>
      </w:r>
      <w:r w:rsidRPr="00382917">
        <w:t>and</w:t>
      </w:r>
      <w:r w:rsidR="00EE4FC3">
        <w:t xml:space="preserve"> </w:t>
      </w:r>
      <w:r w:rsidRPr="00382917">
        <w:t>happiness,</w:t>
      </w:r>
      <w:r w:rsidR="00EE4FC3">
        <w:t xml:space="preserve"> </w:t>
      </w:r>
      <w:r w:rsidRPr="00382917">
        <w:t>and</w:t>
      </w:r>
      <w:r w:rsidR="00EE4FC3">
        <w:t xml:space="preserve"> </w:t>
      </w:r>
      <w:r w:rsidRPr="00382917">
        <w:t>protects</w:t>
      </w:r>
      <w:r w:rsidR="00EE4FC3">
        <w:t xml:space="preserve"> </w:t>
      </w:r>
      <w:r w:rsidRPr="00382917">
        <w:t>man</w:t>
      </w:r>
      <w:r w:rsidR="00EE4FC3">
        <w:t xml:space="preserve"> </w:t>
      </w:r>
      <w:r w:rsidRPr="00382917">
        <w:t>from</w:t>
      </w:r>
      <w:r w:rsidR="00EE4FC3">
        <w:t xml:space="preserve"> </w:t>
      </w:r>
      <w:r w:rsidRPr="00382917">
        <w:t>tests</w:t>
      </w:r>
      <w:r w:rsidR="00EE4FC3">
        <w:t xml:space="preserve"> </w:t>
      </w:r>
      <w:r w:rsidRPr="00382917">
        <w:t>and</w:t>
      </w:r>
      <w:r w:rsidR="00EE4FC3">
        <w:t xml:space="preserve"> </w:t>
      </w:r>
      <w:r w:rsidRPr="00382917">
        <w:t>difficulties</w:t>
      </w:r>
      <w:r w:rsidR="00552489">
        <w:t>.</w:t>
      </w:r>
      <w:r w:rsidR="00EE4FC3">
        <w:t xml:space="preserve">  </w:t>
      </w:r>
      <w:r w:rsidRPr="00382917">
        <w:t>It</w:t>
      </w:r>
      <w:r w:rsidR="00EE4FC3">
        <w:t xml:space="preserve"> </w:t>
      </w:r>
      <w:r w:rsidRPr="00382917">
        <w:t>is</w:t>
      </w:r>
      <w:r w:rsidR="00EE4FC3">
        <w:t xml:space="preserve"> </w:t>
      </w:r>
      <w:r w:rsidRPr="00382917">
        <w:t>essential</w:t>
      </w:r>
      <w:r w:rsidR="00EE4FC3">
        <w:t xml:space="preserve"> </w:t>
      </w:r>
      <w:r w:rsidRPr="00382917">
        <w:t>to</w:t>
      </w:r>
      <w:r w:rsidR="00EE4FC3">
        <w:t xml:space="preserve"> </w:t>
      </w:r>
      <w:r w:rsidRPr="00382917">
        <w:t>the</w:t>
      </w:r>
      <w:r w:rsidR="00EE4FC3">
        <w:t xml:space="preserve"> </w:t>
      </w:r>
      <w:r w:rsidRPr="00382917">
        <w:t>life</w:t>
      </w:r>
      <w:r w:rsidR="00EE4FC3">
        <w:t xml:space="preserve"> </w:t>
      </w:r>
      <w:r w:rsidRPr="00382917">
        <w:t>of</w:t>
      </w:r>
      <w:r w:rsidR="00EE4FC3">
        <w:t xml:space="preserve"> </w:t>
      </w:r>
      <w:r w:rsidRPr="00382917">
        <w:t>the</w:t>
      </w:r>
      <w:r w:rsidR="00EE4FC3">
        <w:t xml:space="preserve"> </w:t>
      </w:r>
      <w:r w:rsidRPr="00382917">
        <w:t>spirit.</w:t>
      </w:r>
    </w:p>
    <w:p w:rsidR="006E4F81" w:rsidRPr="00382917" w:rsidRDefault="006E4F81" w:rsidP="004C0EF8">
      <w:pPr>
        <w:pStyle w:val="Text"/>
      </w:pPr>
      <w:r w:rsidRPr="00382917">
        <w:t>Just</w:t>
      </w:r>
      <w:r w:rsidR="00EE4FC3">
        <w:t xml:space="preserve"> </w:t>
      </w:r>
      <w:r w:rsidRPr="00382917">
        <w:t>as</w:t>
      </w:r>
      <w:r w:rsidR="00EE4FC3">
        <w:t xml:space="preserve"> </w:t>
      </w:r>
      <w:r w:rsidRPr="00382917">
        <w:t>the</w:t>
      </w:r>
      <w:r w:rsidR="00EE4FC3">
        <w:t xml:space="preserve"> </w:t>
      </w:r>
      <w:r w:rsidRPr="00382917">
        <w:t>physical</w:t>
      </w:r>
      <w:r w:rsidR="00EE4FC3">
        <w:t xml:space="preserve"> </w:t>
      </w:r>
      <w:r w:rsidRPr="00382917">
        <w:t>body</w:t>
      </w:r>
      <w:r w:rsidR="00EE4FC3">
        <w:t xml:space="preserve"> </w:t>
      </w:r>
      <w:r w:rsidRPr="00382917">
        <w:t>must</w:t>
      </w:r>
      <w:r w:rsidR="00EE4FC3">
        <w:t xml:space="preserve"> </w:t>
      </w:r>
      <w:r w:rsidRPr="00382917">
        <w:t>have</w:t>
      </w:r>
      <w:r w:rsidR="00EE4FC3">
        <w:t xml:space="preserve"> </w:t>
      </w:r>
      <w:r w:rsidRPr="00382917">
        <w:t>food</w:t>
      </w:r>
      <w:r w:rsidR="00EE4FC3">
        <w:t xml:space="preserve"> </w:t>
      </w:r>
      <w:r w:rsidRPr="00382917">
        <w:t>each</w:t>
      </w:r>
      <w:r w:rsidR="00EE4FC3">
        <w:t xml:space="preserve"> </w:t>
      </w:r>
      <w:r w:rsidRPr="00382917">
        <w:t>day,</w:t>
      </w:r>
      <w:r w:rsidR="00EE4FC3">
        <w:t xml:space="preserve"> </w:t>
      </w:r>
      <w:r w:rsidRPr="00382917">
        <w:t>so</w:t>
      </w:r>
      <w:r w:rsidR="00EE4FC3">
        <w:t xml:space="preserve"> </w:t>
      </w:r>
      <w:r w:rsidRPr="00382917">
        <w:t>does</w:t>
      </w:r>
      <w:r w:rsidR="00EE4FC3">
        <w:t xml:space="preserve"> </w:t>
      </w:r>
      <w:r w:rsidRPr="00382917">
        <w:t>the</w:t>
      </w:r>
      <w:r w:rsidR="00EE4FC3">
        <w:t xml:space="preserve"> </w:t>
      </w:r>
      <w:r w:rsidRPr="00382917">
        <w:t>soul</w:t>
      </w:r>
      <w:r w:rsidR="00EE4FC3">
        <w:t xml:space="preserve"> </w:t>
      </w:r>
      <w:r w:rsidRPr="00382917">
        <w:t>need</w:t>
      </w:r>
      <w:r w:rsidR="00EE4FC3">
        <w:t xml:space="preserve"> </w:t>
      </w:r>
      <w:r w:rsidRPr="00382917">
        <w:t>food</w:t>
      </w:r>
      <w:r w:rsidR="00EE4FC3">
        <w:t xml:space="preserve"> </w:t>
      </w:r>
      <w:r w:rsidRPr="00382917">
        <w:t>each</w:t>
      </w:r>
      <w:r w:rsidR="00EE4FC3">
        <w:t xml:space="preserve"> </w:t>
      </w:r>
      <w:proofErr w:type="gramStart"/>
      <w:r w:rsidRPr="00382917">
        <w:t>day</w:t>
      </w:r>
      <w:r w:rsidR="00552489">
        <w:t>.</w:t>
      </w:r>
      <w:proofErr w:type="gramEnd"/>
      <w:r w:rsidR="00EE4FC3">
        <w:t xml:space="preserve">  </w:t>
      </w:r>
      <w:r w:rsidRPr="00382917">
        <w:t>Prayer</w:t>
      </w:r>
      <w:r w:rsidR="00EE4FC3">
        <w:t xml:space="preserve"> </w:t>
      </w:r>
      <w:r w:rsidRPr="00382917">
        <w:t>is</w:t>
      </w:r>
      <w:r w:rsidR="00EE4FC3">
        <w:t xml:space="preserve"> </w:t>
      </w:r>
      <w:r w:rsidRPr="00382917">
        <w:t>the</w:t>
      </w:r>
      <w:r w:rsidR="00EE4FC3">
        <w:t xml:space="preserve"> </w:t>
      </w:r>
      <w:r w:rsidRPr="00382917">
        <w:t>spiritual</w:t>
      </w:r>
      <w:r w:rsidR="00EE4FC3">
        <w:t xml:space="preserve"> </w:t>
      </w:r>
      <w:r w:rsidRPr="00382917">
        <w:t>food</w:t>
      </w:r>
      <w:r w:rsidR="00EE4FC3">
        <w:t xml:space="preserve"> </w:t>
      </w:r>
      <w:r w:rsidRPr="00382917">
        <w:t>of</w:t>
      </w:r>
      <w:r w:rsidR="00EE4FC3">
        <w:t xml:space="preserve"> </w:t>
      </w:r>
      <w:r w:rsidRPr="00382917">
        <w:t>the</w:t>
      </w:r>
      <w:r w:rsidR="00EE4FC3">
        <w:t xml:space="preserve"> </w:t>
      </w:r>
      <w:r w:rsidRPr="00382917">
        <w:t>soul</w:t>
      </w:r>
      <w:r w:rsidR="00552489">
        <w:t>.</w:t>
      </w:r>
      <w:r w:rsidR="00EE4FC3">
        <w:t xml:space="preserve">  </w:t>
      </w:r>
      <w:r w:rsidRPr="00382917">
        <w:t>A</w:t>
      </w:r>
      <w:r w:rsidR="00EE4FC3">
        <w:t xml:space="preserve"> </w:t>
      </w:r>
      <w:r w:rsidRPr="00382917">
        <w:t>physical</w:t>
      </w:r>
      <w:r w:rsidR="00EE4FC3">
        <w:t xml:space="preserve"> </w:t>
      </w:r>
      <w:r w:rsidRPr="00382917">
        <w:t>body</w:t>
      </w:r>
      <w:r w:rsidR="00EE4FC3">
        <w:t xml:space="preserve"> </w:t>
      </w:r>
      <w:r w:rsidRPr="00382917">
        <w:t>which</w:t>
      </w:r>
      <w:r w:rsidR="00EE4FC3">
        <w:t xml:space="preserve"> </w:t>
      </w:r>
      <w:r w:rsidRPr="00382917">
        <w:t>is</w:t>
      </w:r>
      <w:r w:rsidR="00EE4FC3">
        <w:t xml:space="preserve"> </w:t>
      </w:r>
      <w:r w:rsidRPr="00382917">
        <w:t>not</w:t>
      </w:r>
      <w:r w:rsidR="00EE4FC3">
        <w:t xml:space="preserve"> </w:t>
      </w:r>
      <w:r w:rsidRPr="00382917">
        <w:t>fed</w:t>
      </w:r>
      <w:r w:rsidR="00EE4FC3">
        <w:t xml:space="preserve"> </w:t>
      </w:r>
      <w:r w:rsidRPr="00382917">
        <w:t>regularly</w:t>
      </w:r>
      <w:r w:rsidR="00EE4FC3">
        <w:t xml:space="preserve"> </w:t>
      </w:r>
      <w:r w:rsidRPr="00382917">
        <w:t>becomes</w:t>
      </w:r>
      <w:r w:rsidR="00EE4FC3">
        <w:t xml:space="preserve"> </w:t>
      </w:r>
      <w:r w:rsidRPr="00382917">
        <w:t>emaciated</w:t>
      </w:r>
      <w:r w:rsidR="00EE4FC3">
        <w:t xml:space="preserve"> </w:t>
      </w:r>
      <w:r w:rsidRPr="00382917">
        <w:t>from</w:t>
      </w:r>
      <w:r w:rsidR="00EE4FC3">
        <w:t xml:space="preserve"> </w:t>
      </w:r>
      <w:r w:rsidRPr="00382917">
        <w:t>malnutrition</w:t>
      </w:r>
      <w:r w:rsidR="00552489">
        <w:t>.</w:t>
      </w:r>
      <w:r w:rsidR="00EE4FC3">
        <w:t xml:space="preserve">  </w:t>
      </w:r>
      <w:r w:rsidRPr="00382917">
        <w:t>It</w:t>
      </w:r>
      <w:r w:rsidR="00EE4FC3">
        <w:t xml:space="preserve"> </w:t>
      </w:r>
      <w:r w:rsidRPr="00382917">
        <w:t>sickens</w:t>
      </w:r>
      <w:r w:rsidR="00EE4FC3">
        <w:t xml:space="preserve"> </w:t>
      </w:r>
      <w:r w:rsidRPr="00382917">
        <w:t>and</w:t>
      </w:r>
      <w:r w:rsidR="00EE4FC3">
        <w:t xml:space="preserve"> </w:t>
      </w:r>
      <w:r w:rsidRPr="00382917">
        <w:t>dies</w:t>
      </w:r>
      <w:r w:rsidR="00552489">
        <w:t>.</w:t>
      </w:r>
      <w:r w:rsidR="00EE4FC3">
        <w:t xml:space="preserve">  </w:t>
      </w:r>
      <w:r w:rsidRPr="00382917">
        <w:t>The</w:t>
      </w:r>
      <w:r w:rsidR="00EE4FC3">
        <w:t xml:space="preserve"> </w:t>
      </w:r>
      <w:r w:rsidRPr="00382917">
        <w:t>same</w:t>
      </w:r>
      <w:r w:rsidR="00EE4FC3">
        <w:t xml:space="preserve"> </w:t>
      </w:r>
      <w:r w:rsidRPr="00382917">
        <w:t>is</w:t>
      </w:r>
      <w:r w:rsidR="00EE4FC3">
        <w:t xml:space="preserve"> </w:t>
      </w:r>
      <w:r w:rsidRPr="00382917">
        <w:t>true</w:t>
      </w:r>
      <w:r w:rsidR="00EE4FC3">
        <w:t xml:space="preserve"> </w:t>
      </w:r>
      <w:r w:rsidRPr="00382917">
        <w:t>of</w:t>
      </w:r>
      <w:r w:rsidR="00EE4FC3">
        <w:t xml:space="preserve"> </w:t>
      </w:r>
      <w:r w:rsidRPr="00382917">
        <w:t>the</w:t>
      </w:r>
      <w:r w:rsidR="00EE4FC3">
        <w:t xml:space="preserve"> </w:t>
      </w:r>
      <w:r w:rsidRPr="00382917">
        <w:t>soul</w:t>
      </w:r>
      <w:r w:rsidR="00EE4FC3">
        <w:t xml:space="preserve"> </w:t>
      </w:r>
      <w:r w:rsidRPr="00382917">
        <w:t>of</w:t>
      </w:r>
      <w:r w:rsidR="00EE4FC3">
        <w:t xml:space="preserve"> </w:t>
      </w:r>
      <w:r w:rsidRPr="00382917">
        <w:t>man</w:t>
      </w:r>
      <w:r w:rsidR="00552489">
        <w:t>.</w:t>
      </w:r>
      <w:r w:rsidR="00EE4FC3">
        <w:t xml:space="preserve">  </w:t>
      </w:r>
      <w:r w:rsidRPr="00382917">
        <w:t>This</w:t>
      </w:r>
      <w:r w:rsidR="00EE4FC3">
        <w:t xml:space="preserve"> </w:t>
      </w:r>
      <w:r w:rsidRPr="00382917">
        <w:t>spirit</w:t>
      </w:r>
      <w:r w:rsidR="00EE4FC3">
        <w:t xml:space="preserve"> </w:t>
      </w:r>
      <w:r w:rsidRPr="00382917">
        <w:t>must</w:t>
      </w:r>
      <w:r w:rsidR="00EE4FC3">
        <w:t xml:space="preserve"> </w:t>
      </w:r>
      <w:r w:rsidRPr="00382917">
        <w:t>be</w:t>
      </w:r>
      <w:r w:rsidR="00EE4FC3">
        <w:t xml:space="preserve"> </w:t>
      </w:r>
      <w:r w:rsidRPr="00382917">
        <w:t>fed</w:t>
      </w:r>
      <w:r w:rsidR="00EE4FC3">
        <w:t xml:space="preserve"> </w:t>
      </w:r>
      <w:r w:rsidRPr="00382917">
        <w:t>regularly</w:t>
      </w:r>
      <w:r w:rsidR="00EE4FC3">
        <w:t xml:space="preserve"> </w:t>
      </w:r>
      <w:r w:rsidRPr="00382917">
        <w:t>and</w:t>
      </w:r>
      <w:r w:rsidR="00EE4FC3">
        <w:t xml:space="preserve"> </w:t>
      </w:r>
      <w:r w:rsidRPr="00382917">
        <w:t>well,</w:t>
      </w:r>
      <w:r w:rsidR="00EE4FC3">
        <w:t xml:space="preserve"> </w:t>
      </w:r>
      <w:r w:rsidRPr="00382917">
        <w:t>or</w:t>
      </w:r>
      <w:r w:rsidR="00EE4FC3">
        <w:t xml:space="preserve"> </w:t>
      </w:r>
      <w:r w:rsidRPr="00382917">
        <w:t>it</w:t>
      </w:r>
      <w:r w:rsidR="00EE4FC3">
        <w:t xml:space="preserve"> </w:t>
      </w:r>
      <w:r w:rsidRPr="00382917">
        <w:t>will</w:t>
      </w:r>
      <w:r w:rsidR="00EE4FC3">
        <w:t xml:space="preserve"> </w:t>
      </w:r>
      <w:r w:rsidRPr="00382917">
        <w:t>suffer</w:t>
      </w:r>
      <w:r w:rsidR="00EE4FC3">
        <w:t xml:space="preserve"> </w:t>
      </w:r>
      <w:r w:rsidRPr="00382917">
        <w:t>the</w:t>
      </w:r>
      <w:r w:rsidR="00EE4FC3">
        <w:t xml:space="preserve"> </w:t>
      </w:r>
      <w:r w:rsidRPr="00382917">
        <w:t>same</w:t>
      </w:r>
      <w:r w:rsidR="00EE4FC3">
        <w:t xml:space="preserve"> </w:t>
      </w:r>
      <w:r w:rsidRPr="00382917">
        <w:t>loss</w:t>
      </w:r>
      <w:r w:rsidR="00EE4FC3">
        <w:t xml:space="preserve"> </w:t>
      </w:r>
      <w:r w:rsidRPr="00382917">
        <w:t>of</w:t>
      </w:r>
      <w:r w:rsidR="00EE4FC3">
        <w:t xml:space="preserve"> </w:t>
      </w:r>
      <w:r w:rsidRPr="00382917">
        <w:t>power</w:t>
      </w:r>
      <w:r w:rsidR="00552489">
        <w:t>.</w:t>
      </w:r>
      <w:r w:rsidR="00EE4FC3">
        <w:t xml:space="preserve">  </w:t>
      </w:r>
      <w:r w:rsidRPr="00382917">
        <w:t>It</w:t>
      </w:r>
      <w:r w:rsidR="00EE4FC3">
        <w:t xml:space="preserve"> </w:t>
      </w:r>
      <w:r w:rsidRPr="00382917">
        <w:t>too,</w:t>
      </w:r>
      <w:r w:rsidR="00EE4FC3">
        <w:t xml:space="preserve"> </w:t>
      </w:r>
      <w:r w:rsidRPr="00382917">
        <w:t>will</w:t>
      </w:r>
      <w:r w:rsidR="00EE4FC3">
        <w:t xml:space="preserve"> </w:t>
      </w:r>
      <w:r w:rsidRPr="00382917">
        <w:t>sicken</w:t>
      </w:r>
      <w:r w:rsidR="00552489">
        <w:t>.</w:t>
      </w:r>
      <w:r w:rsidR="00EE4FC3">
        <w:t xml:space="preserve">  </w:t>
      </w:r>
      <w:r w:rsidRPr="00382917">
        <w:t>While</w:t>
      </w:r>
      <w:r w:rsidR="00EE4FC3">
        <w:t xml:space="preserve"> </w:t>
      </w:r>
      <w:r w:rsidRPr="00382917">
        <w:t>it</w:t>
      </w:r>
      <w:r w:rsidR="00EE4FC3">
        <w:t xml:space="preserve"> </w:t>
      </w:r>
      <w:r w:rsidRPr="00382917">
        <w:t>never</w:t>
      </w:r>
      <w:r w:rsidR="00EE4FC3">
        <w:t xml:space="preserve"> </w:t>
      </w:r>
      <w:r w:rsidRPr="00382917">
        <w:t>dies,</w:t>
      </w:r>
      <w:r w:rsidR="00EE4FC3">
        <w:t xml:space="preserve"> </w:t>
      </w:r>
      <w:r w:rsidRPr="00382917">
        <w:t>it</w:t>
      </w:r>
      <w:r w:rsidR="00EE4FC3">
        <w:t xml:space="preserve"> </w:t>
      </w:r>
      <w:r w:rsidRPr="00382917">
        <w:t>becomes</w:t>
      </w:r>
      <w:r w:rsidR="00EE4FC3">
        <w:t xml:space="preserve"> </w:t>
      </w:r>
      <w:r w:rsidRPr="00382917">
        <w:t>so</w:t>
      </w:r>
      <w:r w:rsidR="00EE4FC3">
        <w:t xml:space="preserve"> </w:t>
      </w:r>
      <w:r w:rsidRPr="00382917">
        <w:t>helpless</w:t>
      </w:r>
      <w:r w:rsidR="00EE4FC3">
        <w:t xml:space="preserve"> </w:t>
      </w:r>
      <w:r w:rsidRPr="00382917">
        <w:t>that</w:t>
      </w:r>
      <w:r w:rsidR="00EE4FC3">
        <w:t xml:space="preserve"> </w:t>
      </w:r>
      <w:r w:rsidRPr="00382917">
        <w:t>it</w:t>
      </w:r>
      <w:r w:rsidR="00EE4FC3">
        <w:t xml:space="preserve"> </w:t>
      </w:r>
      <w:r w:rsidRPr="00382917">
        <w:t>exists</w:t>
      </w:r>
      <w:r w:rsidR="00EE4FC3">
        <w:t xml:space="preserve"> </w:t>
      </w:r>
      <w:r w:rsidRPr="00382917">
        <w:t>in</w:t>
      </w:r>
      <w:r w:rsidR="00EE4FC3">
        <w:t xml:space="preserve"> </w:t>
      </w:r>
      <w:r w:rsidRPr="00382917">
        <w:t>a</w:t>
      </w:r>
      <w:r w:rsidR="00EE4FC3">
        <w:t xml:space="preserve"> </w:t>
      </w:r>
      <w:r w:rsidRPr="00382917">
        <w:t>form</w:t>
      </w:r>
      <w:r w:rsidR="00EE4FC3">
        <w:t xml:space="preserve"> </w:t>
      </w:r>
      <w:r w:rsidRPr="00382917">
        <w:t>of</w:t>
      </w:r>
      <w:r w:rsidR="00EE4FC3">
        <w:t xml:space="preserve"> </w:t>
      </w:r>
      <w:r w:rsidRPr="00382917">
        <w:t>death.</w:t>
      </w:r>
    </w:p>
    <w:p w:rsidR="006E4F81" w:rsidRPr="00382917" w:rsidRDefault="006E4F81" w:rsidP="004C0EF8">
      <w:pPr>
        <w:pStyle w:val="Text"/>
      </w:pPr>
      <w:r w:rsidRPr="00382917">
        <w:t>For</w:t>
      </w:r>
      <w:r w:rsidR="00EE4FC3">
        <w:t xml:space="preserve"> </w:t>
      </w:r>
      <w:r w:rsidRPr="00382917">
        <w:t>example,</w:t>
      </w:r>
      <w:r w:rsidR="00EE4FC3">
        <w:t xml:space="preserve"> </w:t>
      </w:r>
      <w:r w:rsidRPr="00382917">
        <w:t>if</w:t>
      </w:r>
      <w:r w:rsidR="00EE4FC3">
        <w:t xml:space="preserve"> </w:t>
      </w:r>
      <w:r w:rsidRPr="00382917">
        <w:t>a</w:t>
      </w:r>
      <w:r w:rsidR="00EE4FC3">
        <w:t xml:space="preserve"> </w:t>
      </w:r>
      <w:r w:rsidRPr="00382917">
        <w:t>man</w:t>
      </w:r>
      <w:r w:rsidR="00EE4FC3">
        <w:t xml:space="preserve"> </w:t>
      </w:r>
      <w:r w:rsidRPr="00382917">
        <w:t>lets</w:t>
      </w:r>
      <w:r w:rsidR="00EE4FC3">
        <w:t xml:space="preserve"> </w:t>
      </w:r>
      <w:r w:rsidRPr="00382917">
        <w:t>his</w:t>
      </w:r>
      <w:r w:rsidR="00EE4FC3">
        <w:t xml:space="preserve"> </w:t>
      </w:r>
      <w:r w:rsidRPr="00382917">
        <w:t>arm</w:t>
      </w:r>
      <w:r w:rsidR="00EE4FC3">
        <w:t xml:space="preserve"> </w:t>
      </w:r>
      <w:r w:rsidRPr="00382917">
        <w:t>hang</w:t>
      </w:r>
      <w:r w:rsidR="00EE4FC3">
        <w:t xml:space="preserve"> </w:t>
      </w:r>
      <w:r w:rsidRPr="00382917">
        <w:t>at</w:t>
      </w:r>
      <w:r w:rsidR="00EE4FC3">
        <w:t xml:space="preserve"> </w:t>
      </w:r>
      <w:r w:rsidRPr="00382917">
        <w:t>his</w:t>
      </w:r>
      <w:r w:rsidR="00EE4FC3">
        <w:t xml:space="preserve"> </w:t>
      </w:r>
      <w:r w:rsidRPr="00382917">
        <w:t>side</w:t>
      </w:r>
      <w:r w:rsidR="00EE4FC3">
        <w:t xml:space="preserve"> </w:t>
      </w:r>
      <w:r w:rsidRPr="00382917">
        <w:t>without</w:t>
      </w:r>
      <w:r w:rsidR="00EE4FC3">
        <w:t xml:space="preserve"> </w:t>
      </w:r>
      <w:r w:rsidRPr="00382917">
        <w:t>ever</w:t>
      </w:r>
      <w:r w:rsidR="00EE4FC3">
        <w:t xml:space="preserve"> </w:t>
      </w:r>
      <w:r w:rsidRPr="00382917">
        <w:t>using</w:t>
      </w:r>
      <w:r w:rsidR="00EE4FC3">
        <w:t xml:space="preserve"> </w:t>
      </w:r>
      <w:r w:rsidRPr="00382917">
        <w:t>it,</w:t>
      </w:r>
      <w:r w:rsidR="00EE4FC3">
        <w:t xml:space="preserve"> </w:t>
      </w:r>
      <w:r w:rsidRPr="00382917">
        <w:t>soon</w:t>
      </w:r>
      <w:r w:rsidR="00EE4FC3">
        <w:t xml:space="preserve"> </w:t>
      </w:r>
      <w:r w:rsidRPr="00382917">
        <w:t>the</w:t>
      </w:r>
      <w:r w:rsidR="00EE4FC3">
        <w:t xml:space="preserve"> </w:t>
      </w:r>
      <w:r w:rsidRPr="00382917">
        <w:t>power</w:t>
      </w:r>
      <w:r w:rsidR="00EE4FC3">
        <w:t xml:space="preserve"> </w:t>
      </w:r>
      <w:r w:rsidRPr="00382917">
        <w:t>to</w:t>
      </w:r>
      <w:r w:rsidR="00EE4FC3">
        <w:t xml:space="preserve"> </w:t>
      </w:r>
      <w:r w:rsidRPr="00382917">
        <w:t>move</w:t>
      </w:r>
      <w:r w:rsidR="00EE4FC3">
        <w:t xml:space="preserve"> </w:t>
      </w:r>
      <w:r w:rsidRPr="00382917">
        <w:t>the</w:t>
      </w:r>
      <w:r w:rsidR="00EE4FC3">
        <w:t xml:space="preserve"> </w:t>
      </w:r>
      <w:r w:rsidRPr="00382917">
        <w:t>arm</w:t>
      </w:r>
      <w:r w:rsidR="00EE4FC3">
        <w:t xml:space="preserve"> </w:t>
      </w:r>
      <w:r w:rsidRPr="00382917">
        <w:t>vanishes</w:t>
      </w:r>
      <w:r w:rsidR="00552489">
        <w:t>.</w:t>
      </w:r>
      <w:r w:rsidR="00EE4FC3">
        <w:t xml:space="preserve">  </w:t>
      </w:r>
      <w:r w:rsidRPr="00382917">
        <w:t>The</w:t>
      </w:r>
      <w:r w:rsidR="00EE4FC3">
        <w:t xml:space="preserve"> </w:t>
      </w:r>
      <w:r w:rsidRPr="00382917">
        <w:t>arm</w:t>
      </w:r>
      <w:r w:rsidR="00EE4FC3">
        <w:t xml:space="preserve"> </w:t>
      </w:r>
      <w:r w:rsidRPr="00382917">
        <w:t>has</w:t>
      </w:r>
      <w:r w:rsidR="00EE4FC3">
        <w:t xml:space="preserve"> </w:t>
      </w:r>
      <w:r w:rsidRPr="00382917">
        <w:t>become</w:t>
      </w:r>
      <w:r w:rsidR="00EE4FC3">
        <w:t xml:space="preserve"> </w:t>
      </w:r>
      <w:r w:rsidRPr="00382917">
        <w:t>atrophied</w:t>
      </w:r>
      <w:r w:rsidR="00EE4FC3">
        <w:t xml:space="preserve"> </w:t>
      </w:r>
      <w:r w:rsidRPr="00382917">
        <w:t>and</w:t>
      </w:r>
      <w:r w:rsidR="00EE4FC3">
        <w:t xml:space="preserve"> </w:t>
      </w:r>
      <w:r w:rsidRPr="00382917">
        <w:t>useless</w:t>
      </w:r>
      <w:r w:rsidR="00552489">
        <w:t>.</w:t>
      </w:r>
      <w:r w:rsidR="00EE4FC3">
        <w:t xml:space="preserve">  </w:t>
      </w:r>
      <w:r w:rsidRPr="00382917">
        <w:t>A</w:t>
      </w:r>
      <w:r w:rsidR="00EE4FC3">
        <w:t xml:space="preserve"> </w:t>
      </w:r>
      <w:r w:rsidRPr="00382917">
        <w:t>man</w:t>
      </w:r>
      <w:r w:rsidR="009C713D" w:rsidRPr="00382917">
        <w:t>’</w:t>
      </w:r>
      <w:r w:rsidRPr="00382917">
        <w:t>s</w:t>
      </w:r>
      <w:r w:rsidR="00EE4FC3">
        <w:t xml:space="preserve"> </w:t>
      </w:r>
      <w:r w:rsidRPr="00382917">
        <w:t>soul</w:t>
      </w:r>
      <w:r w:rsidR="00EE4FC3">
        <w:t xml:space="preserve"> </w:t>
      </w:r>
      <w:r w:rsidRPr="00382917">
        <w:t>without</w:t>
      </w:r>
      <w:r w:rsidR="00EE4FC3">
        <w:t xml:space="preserve"> </w:t>
      </w:r>
      <w:r w:rsidRPr="00382917">
        <w:t>the</w:t>
      </w:r>
      <w:r w:rsidR="00EE4FC3">
        <w:t xml:space="preserve"> </w:t>
      </w:r>
      <w:r w:rsidRPr="00382917">
        <w:t>nourishment</w:t>
      </w:r>
      <w:r w:rsidR="00EE4FC3">
        <w:t xml:space="preserve"> </w:t>
      </w:r>
      <w:r w:rsidRPr="00382917">
        <w:t>of</w:t>
      </w:r>
      <w:r w:rsidR="00EE4FC3">
        <w:t xml:space="preserve"> </w:t>
      </w:r>
      <w:r w:rsidRPr="00382917">
        <w:t>regular</w:t>
      </w:r>
      <w:r w:rsidR="00EE4FC3">
        <w:t xml:space="preserve"> </w:t>
      </w:r>
      <w:r w:rsidRPr="00382917">
        <w:t>prayer</w:t>
      </w:r>
      <w:r w:rsidR="00EE4FC3">
        <w:t xml:space="preserve"> </w:t>
      </w:r>
      <w:r w:rsidRPr="00382917">
        <w:t>also</w:t>
      </w:r>
      <w:r w:rsidR="00EE4FC3">
        <w:t xml:space="preserve"> </w:t>
      </w:r>
      <w:r w:rsidRPr="00382917">
        <w:t>becomes</w:t>
      </w:r>
      <w:r w:rsidR="00EE4FC3">
        <w:t xml:space="preserve"> </w:t>
      </w:r>
      <w:r w:rsidRPr="00382917">
        <w:t>atrophied</w:t>
      </w:r>
      <w:r w:rsidR="00EE4FC3">
        <w:t xml:space="preserve"> </w:t>
      </w:r>
      <w:r w:rsidRPr="00382917">
        <w:t>and</w:t>
      </w:r>
      <w:r w:rsidR="00EE4FC3">
        <w:t xml:space="preserve"> </w:t>
      </w:r>
      <w:r w:rsidRPr="00382917">
        <w:t>useless.</w:t>
      </w:r>
    </w:p>
    <w:p w:rsidR="006E4F81" w:rsidRPr="00382917" w:rsidRDefault="006E4F81" w:rsidP="004C0EF8">
      <w:pPr>
        <w:pStyle w:val="Text"/>
      </w:pPr>
      <w:r w:rsidRPr="00382917">
        <w:t>Bahá</w:t>
      </w:r>
      <w:r w:rsidR="009C713D" w:rsidRPr="00382917">
        <w:t>’</w:t>
      </w:r>
      <w:r w:rsidRPr="00382917">
        <w:t>u</w:t>
      </w:r>
      <w:r w:rsidR="009C713D" w:rsidRPr="00382917">
        <w:t>’</w:t>
      </w:r>
      <w:r w:rsidRPr="00382917">
        <w:t>lláh</w:t>
      </w:r>
      <w:r w:rsidR="00EE4FC3">
        <w:t xml:space="preserve"> </w:t>
      </w:r>
      <w:r w:rsidRPr="00382917">
        <w:t>has</w:t>
      </w:r>
      <w:r w:rsidR="00EE4FC3">
        <w:t xml:space="preserve"> </w:t>
      </w:r>
      <w:r w:rsidRPr="00382917">
        <w:t>left</w:t>
      </w:r>
      <w:r w:rsidR="00EE4FC3">
        <w:t xml:space="preserve"> </w:t>
      </w:r>
      <w:r w:rsidRPr="00382917">
        <w:t>a</w:t>
      </w:r>
      <w:r w:rsidR="00EE4FC3">
        <w:t xml:space="preserve"> </w:t>
      </w:r>
      <w:r w:rsidRPr="00382917">
        <w:t>rich</w:t>
      </w:r>
      <w:r w:rsidR="00EE4FC3">
        <w:t xml:space="preserve"> </w:t>
      </w:r>
      <w:r w:rsidRPr="00382917">
        <w:t>legacy</w:t>
      </w:r>
      <w:r w:rsidR="00EE4FC3">
        <w:t xml:space="preserve"> </w:t>
      </w:r>
      <w:r w:rsidRPr="00382917">
        <w:t>of</w:t>
      </w:r>
      <w:r w:rsidR="00EE4FC3">
        <w:t xml:space="preserve"> </w:t>
      </w:r>
      <w:r w:rsidRPr="00382917">
        <w:t>beautiful,</w:t>
      </w:r>
      <w:r w:rsidR="00EE4FC3">
        <w:t xml:space="preserve"> </w:t>
      </w:r>
      <w:r w:rsidRPr="00382917">
        <w:t>uplifting</w:t>
      </w:r>
      <w:r w:rsidR="00EE4FC3">
        <w:t xml:space="preserve"> </w:t>
      </w:r>
      <w:r w:rsidRPr="00382917">
        <w:t>prayers</w:t>
      </w:r>
      <w:r w:rsidR="00552489">
        <w:t>.</w:t>
      </w:r>
      <w:r w:rsidR="00EE4FC3">
        <w:t xml:space="preserve">  </w:t>
      </w:r>
      <w:r w:rsidRPr="00382917">
        <w:t>However,</w:t>
      </w:r>
      <w:r w:rsidR="00EE4FC3">
        <w:t xml:space="preserve"> </w:t>
      </w:r>
      <w:r w:rsidRPr="00382917">
        <w:t>His</w:t>
      </w:r>
      <w:r w:rsidR="00EE4FC3">
        <w:t xml:space="preserve"> </w:t>
      </w:r>
      <w:r w:rsidRPr="00382917">
        <w:t>Faith</w:t>
      </w:r>
      <w:r w:rsidR="00EE4FC3">
        <w:t xml:space="preserve"> </w:t>
      </w:r>
      <w:r w:rsidRPr="00382917">
        <w:t>instructs</w:t>
      </w:r>
      <w:r w:rsidR="00EE4FC3">
        <w:t xml:space="preserve"> </w:t>
      </w:r>
      <w:r w:rsidRPr="00382917">
        <w:t>man</w:t>
      </w:r>
      <w:r w:rsidR="00EE4FC3">
        <w:t xml:space="preserve"> </w:t>
      </w:r>
      <w:r w:rsidRPr="00382917">
        <w:t>to</w:t>
      </w:r>
      <w:r w:rsidR="00EE4FC3">
        <w:t xml:space="preserve"> </w:t>
      </w:r>
      <w:r w:rsidRPr="00382917">
        <w:t>remember</w:t>
      </w:r>
      <w:r w:rsidR="00EE4FC3">
        <w:t xml:space="preserve"> </w:t>
      </w:r>
      <w:r w:rsidRPr="00382917">
        <w:t>that</w:t>
      </w:r>
      <w:r w:rsidR="00EE4FC3">
        <w:t xml:space="preserve"> </w:t>
      </w:r>
      <w:r w:rsidRPr="00382917">
        <w:t>prayer</w:t>
      </w:r>
      <w:r w:rsidR="00EE4FC3">
        <w:t xml:space="preserve"> </w:t>
      </w:r>
      <w:r w:rsidRPr="00382917">
        <w:t>is</w:t>
      </w:r>
      <w:r w:rsidR="00EE4FC3">
        <w:t xml:space="preserve"> </w:t>
      </w:r>
      <w:r w:rsidRPr="00382917">
        <w:t>by</w:t>
      </w:r>
      <w:r w:rsidR="00EE4FC3">
        <w:t xml:space="preserve"> </w:t>
      </w:r>
      <w:r w:rsidRPr="00382917">
        <w:t>no</w:t>
      </w:r>
      <w:r w:rsidR="00EE4FC3">
        <w:t xml:space="preserve"> </w:t>
      </w:r>
      <w:r w:rsidRPr="00382917">
        <w:t>means</w:t>
      </w:r>
      <w:r w:rsidR="00EE4FC3">
        <w:t xml:space="preserve"> </w:t>
      </w:r>
      <w:r w:rsidRPr="00382917">
        <w:t>limited</w:t>
      </w:r>
      <w:r w:rsidR="00EE4FC3">
        <w:t xml:space="preserve"> </w:t>
      </w:r>
      <w:r w:rsidRPr="00382917">
        <w:t>to</w:t>
      </w:r>
      <w:r w:rsidR="00EE4FC3">
        <w:t xml:space="preserve"> </w:t>
      </w:r>
      <w:r w:rsidRPr="00382917">
        <w:t>the</w:t>
      </w:r>
      <w:r w:rsidR="00EE4FC3">
        <w:t xml:space="preserve"> </w:t>
      </w:r>
      <w:r w:rsidRPr="00382917">
        <w:t>use</w:t>
      </w:r>
      <w:r w:rsidR="00EE4FC3">
        <w:t xml:space="preserve"> </w:t>
      </w:r>
      <w:r w:rsidRPr="00382917">
        <w:t>of</w:t>
      </w:r>
      <w:r w:rsidR="00EE4FC3">
        <w:t xml:space="preserve"> </w:t>
      </w:r>
      <w:r w:rsidRPr="00382917">
        <w:t>these</w:t>
      </w:r>
      <w:r w:rsidR="00EE4FC3">
        <w:t xml:space="preserve"> </w:t>
      </w:r>
      <w:r w:rsidRPr="00382917">
        <w:t>prayers</w:t>
      </w:r>
      <w:r w:rsidR="00552489">
        <w:t>.</w:t>
      </w:r>
      <w:r w:rsidR="00EE4FC3">
        <w:t xml:space="preserve">  </w:t>
      </w:r>
      <w:r w:rsidRPr="00382917">
        <w:t>Work</w:t>
      </w:r>
      <w:r w:rsidR="00EE4FC3">
        <w:t xml:space="preserve"> </w:t>
      </w:r>
      <w:r w:rsidRPr="00382917">
        <w:t>itself,</w:t>
      </w:r>
      <w:r w:rsidR="00EE4FC3">
        <w:t xml:space="preserve"> </w:t>
      </w:r>
      <w:r w:rsidRPr="00382917">
        <w:t>Bahá</w:t>
      </w:r>
      <w:r w:rsidR="009C713D" w:rsidRPr="00382917">
        <w:t>’</w:t>
      </w:r>
      <w:r w:rsidRPr="00382917">
        <w:t>u</w:t>
      </w:r>
      <w:r w:rsidR="009C713D" w:rsidRPr="00382917">
        <w:t>’</w:t>
      </w:r>
      <w:r w:rsidRPr="00382917">
        <w:t>lláh</w:t>
      </w:r>
      <w:r w:rsidR="00EE4FC3">
        <w:t xml:space="preserve"> </w:t>
      </w:r>
      <w:r w:rsidRPr="00382917">
        <w:t>says,</w:t>
      </w:r>
      <w:r w:rsidR="00EE4FC3">
        <w:t xml:space="preserve"> </w:t>
      </w:r>
      <w:r w:rsidRPr="00382917">
        <w:t>is</w:t>
      </w:r>
      <w:r w:rsidR="00EE4FC3">
        <w:t xml:space="preserve"> </w:t>
      </w:r>
      <w:r w:rsidRPr="00382917">
        <w:t>worship</w:t>
      </w:r>
      <w:r w:rsidR="00552489">
        <w:t>.</w:t>
      </w:r>
      <w:r w:rsidR="00EE4FC3">
        <w:t xml:space="preserve">  </w:t>
      </w:r>
      <w:r w:rsidRPr="00382917">
        <w:t>One</w:t>
      </w:r>
      <w:r w:rsidR="009C713D" w:rsidRPr="00382917">
        <w:t>’</w:t>
      </w:r>
      <w:r w:rsidRPr="00382917">
        <w:t>s</w:t>
      </w:r>
      <w:r w:rsidR="00EE4FC3">
        <w:t xml:space="preserve"> </w:t>
      </w:r>
      <w:r w:rsidRPr="00382917">
        <w:t>daily</w:t>
      </w:r>
      <w:r w:rsidR="00EE4FC3">
        <w:t xml:space="preserve"> </w:t>
      </w:r>
      <w:r w:rsidRPr="00382917">
        <w:t>work</w:t>
      </w:r>
      <w:r w:rsidR="00EE4FC3">
        <w:t xml:space="preserve"> </w:t>
      </w:r>
      <w:r w:rsidRPr="00382917">
        <w:t>when</w:t>
      </w:r>
      <w:r w:rsidR="00EE4FC3">
        <w:t xml:space="preserve"> </w:t>
      </w:r>
      <w:r w:rsidRPr="00382917">
        <w:t>done</w:t>
      </w:r>
      <w:r w:rsidR="00EE4FC3">
        <w:t xml:space="preserve"> </w:t>
      </w:r>
      <w:r w:rsidRPr="00382917">
        <w:t>in</w:t>
      </w:r>
      <w:r w:rsidR="00EE4FC3">
        <w:t xml:space="preserve"> </w:t>
      </w:r>
      <w:r w:rsidRPr="00382917">
        <w:t>the</w:t>
      </w:r>
      <w:r w:rsidR="00EE4FC3">
        <w:t xml:space="preserve"> </w:t>
      </w:r>
      <w:r w:rsidRPr="00382917">
        <w:t>spirit</w:t>
      </w:r>
      <w:r w:rsidR="00EE4FC3">
        <w:t xml:space="preserve"> </w:t>
      </w:r>
      <w:r w:rsidRPr="00382917">
        <w:t>of</w:t>
      </w:r>
      <w:r w:rsidR="00EE4FC3">
        <w:t xml:space="preserve"> </w:t>
      </w:r>
      <w:r w:rsidRPr="00382917">
        <w:t>service</w:t>
      </w:r>
      <w:r w:rsidR="00EE4FC3">
        <w:t xml:space="preserve"> </w:t>
      </w:r>
      <w:r w:rsidRPr="00382917">
        <w:t>to</w:t>
      </w:r>
      <w:r w:rsidR="00EE4FC3">
        <w:t xml:space="preserve"> </w:t>
      </w:r>
      <w:r w:rsidRPr="00382917">
        <w:t>mankind,</w:t>
      </w:r>
      <w:r w:rsidR="00EE4FC3">
        <w:t xml:space="preserve"> </w:t>
      </w:r>
      <w:r w:rsidRPr="00382917">
        <w:t>and</w:t>
      </w:r>
      <w:r w:rsidR="00EE4FC3">
        <w:t xml:space="preserve"> </w:t>
      </w:r>
      <w:r w:rsidRPr="00382917">
        <w:t>performed</w:t>
      </w:r>
      <w:r w:rsidR="00EE4FC3">
        <w:t xml:space="preserve"> </w:t>
      </w:r>
      <w:r w:rsidRPr="00382917">
        <w:t>to</w:t>
      </w:r>
      <w:r w:rsidR="00EE4FC3">
        <w:t xml:space="preserve"> </w:t>
      </w:r>
      <w:r w:rsidRPr="00382917">
        <w:t>the</w:t>
      </w:r>
      <w:r w:rsidR="00EE4FC3">
        <w:t xml:space="preserve"> </w:t>
      </w:r>
      <w:r w:rsidRPr="00382917">
        <w:t>best</w:t>
      </w:r>
      <w:r w:rsidR="00EE4FC3">
        <w:t xml:space="preserve"> </w:t>
      </w:r>
      <w:r w:rsidRPr="00382917">
        <w:t>of</w:t>
      </w:r>
      <w:r w:rsidR="00EE4FC3">
        <w:t xml:space="preserve"> </w:t>
      </w:r>
      <w:r w:rsidRPr="00382917">
        <w:t>one</w:t>
      </w:r>
      <w:r w:rsidR="009C713D" w:rsidRPr="00382917">
        <w:t>’</w:t>
      </w:r>
      <w:r w:rsidRPr="00382917">
        <w:t>s</w:t>
      </w:r>
      <w:r w:rsidR="00EE4FC3">
        <w:t xml:space="preserve"> </w:t>
      </w:r>
      <w:r w:rsidRPr="00382917">
        <w:t>ability,</w:t>
      </w:r>
      <w:r w:rsidR="00EE4FC3">
        <w:t xml:space="preserve"> </w:t>
      </w:r>
      <w:r w:rsidRPr="00382917">
        <w:t>is</w:t>
      </w:r>
      <w:r w:rsidR="00EE4FC3">
        <w:t xml:space="preserve"> </w:t>
      </w:r>
      <w:r w:rsidRPr="00382917">
        <w:t>prayer</w:t>
      </w:r>
      <w:r w:rsidR="00EE4FC3">
        <w:t xml:space="preserve"> </w:t>
      </w:r>
      <w:r w:rsidRPr="00382917">
        <w:t>of</w:t>
      </w:r>
      <w:r w:rsidR="00EE4FC3">
        <w:t xml:space="preserve"> </w:t>
      </w:r>
      <w:r w:rsidRPr="00382917">
        <w:t>the</w:t>
      </w:r>
      <w:r w:rsidR="00EE4FC3">
        <w:t xml:space="preserve"> </w:t>
      </w:r>
      <w:r w:rsidRPr="00382917">
        <w:t>finest</w:t>
      </w:r>
      <w:r w:rsidR="00EE4FC3">
        <w:t xml:space="preserve"> </w:t>
      </w:r>
      <w:r w:rsidRPr="00382917">
        <w:t>kind.</w:t>
      </w:r>
    </w:p>
    <w:p w:rsidR="006E4F81" w:rsidRPr="00382917" w:rsidRDefault="009C713D" w:rsidP="00E15D8C">
      <w:pPr>
        <w:pStyle w:val="Text"/>
      </w:pPr>
      <w:r w:rsidRPr="00382917">
        <w:t>“</w:t>
      </w:r>
      <w:r w:rsidR="006E4F81" w:rsidRPr="00382917">
        <w:t>We</w:t>
      </w:r>
      <w:r w:rsidR="00EE4FC3">
        <w:t xml:space="preserve"> </w:t>
      </w:r>
      <w:r w:rsidR="006E4F81" w:rsidRPr="00382917">
        <w:t>have</w:t>
      </w:r>
      <w:r w:rsidR="00EE4FC3">
        <w:t xml:space="preserve"> </w:t>
      </w:r>
      <w:r w:rsidR="006E4F81" w:rsidRPr="00382917">
        <w:t>made</w:t>
      </w:r>
      <w:r w:rsidR="00EE4FC3">
        <w:t xml:space="preserve"> </w:t>
      </w:r>
      <w:r w:rsidR="006E4F81" w:rsidRPr="00382917">
        <w:t>this—your</w:t>
      </w:r>
      <w:r w:rsidR="00EE4FC3">
        <w:t xml:space="preserve"> </w:t>
      </w:r>
      <w:r w:rsidR="006E4F81" w:rsidRPr="00382917">
        <w:t>occupation—identical</w:t>
      </w:r>
      <w:r w:rsidR="00EE4FC3">
        <w:t xml:space="preserve"> </w:t>
      </w:r>
      <w:r w:rsidR="006E4F81" w:rsidRPr="00382917">
        <w:t>with</w:t>
      </w:r>
      <w:r w:rsidR="00EE4FC3">
        <w:t xml:space="preserve"> </w:t>
      </w:r>
      <w:r w:rsidR="006E4F81" w:rsidRPr="00382917">
        <w:t>the</w:t>
      </w:r>
      <w:r w:rsidR="00EE4FC3">
        <w:t xml:space="preserve"> </w:t>
      </w:r>
      <w:r w:rsidR="006E4F81" w:rsidRPr="00382917">
        <w:t>worship</w:t>
      </w:r>
      <w:r w:rsidR="00EE4FC3">
        <w:t xml:space="preserve"> </w:t>
      </w:r>
      <w:r w:rsidR="006E4F81" w:rsidRPr="00382917">
        <w:t>of</w:t>
      </w:r>
      <w:r w:rsidR="00EE4FC3">
        <w:t xml:space="preserve"> </w:t>
      </w:r>
      <w:r w:rsidR="006E4F81" w:rsidRPr="00382917">
        <w:t>God,</w:t>
      </w:r>
      <w:r w:rsidRPr="00382917">
        <w:t>”</w:t>
      </w:r>
      <w:r w:rsidR="00EE4FC3">
        <w:t xml:space="preserve"> </w:t>
      </w:r>
      <w:r w:rsidR="006E4F81" w:rsidRPr="00382917">
        <w:t>Bahá</w:t>
      </w:r>
      <w:r w:rsidRPr="00382917">
        <w:t>’</w:t>
      </w:r>
      <w:r w:rsidR="006E4F81" w:rsidRPr="00382917">
        <w:t>u</w:t>
      </w:r>
      <w:r w:rsidRPr="00382917">
        <w:t>’</w:t>
      </w:r>
      <w:r w:rsidR="006E4F81" w:rsidRPr="00382917">
        <w:t>lláh</w:t>
      </w:r>
      <w:r w:rsidR="00EE4FC3">
        <w:t xml:space="preserve"> </w:t>
      </w:r>
      <w:r w:rsidR="006E4F81" w:rsidRPr="00382917">
        <w:t>has</w:t>
      </w:r>
      <w:r w:rsidR="00EE4FC3">
        <w:t xml:space="preserve"> </w:t>
      </w:r>
      <w:r w:rsidR="006E4F81" w:rsidRPr="00382917">
        <w:t>written.</w:t>
      </w:r>
      <w:r w:rsidR="00E15D8C">
        <w:rPr>
          <w:rStyle w:val="FootnoteReference"/>
        </w:rPr>
        <w:footnoteReference w:id="359"/>
      </w:r>
    </w:p>
    <w:p w:rsidR="006E4F81" w:rsidRPr="00382917" w:rsidRDefault="006E4F81" w:rsidP="004C0EF8">
      <w:pPr>
        <w:pStyle w:val="Text"/>
      </w:pPr>
      <w:r w:rsidRPr="00382917">
        <w:t>He</w:t>
      </w:r>
      <w:r w:rsidR="00EE4FC3">
        <w:t xml:space="preserve"> </w:t>
      </w:r>
      <w:r w:rsidRPr="00382917">
        <w:t>teaches</w:t>
      </w:r>
      <w:r w:rsidR="00EE4FC3">
        <w:t xml:space="preserve"> </w:t>
      </w:r>
      <w:r w:rsidRPr="00382917">
        <w:t>that</w:t>
      </w:r>
      <w:r w:rsidR="00EE4FC3">
        <w:t xml:space="preserve"> </w:t>
      </w:r>
      <w:r w:rsidRPr="00382917">
        <w:t>one</w:t>
      </w:r>
      <w:r w:rsidR="009C713D" w:rsidRPr="00382917">
        <w:t>’</w:t>
      </w:r>
      <w:r w:rsidRPr="00382917">
        <w:t>s</w:t>
      </w:r>
      <w:r w:rsidR="00EE4FC3">
        <w:t xml:space="preserve"> </w:t>
      </w:r>
      <w:r w:rsidRPr="00382917">
        <w:t>whole</w:t>
      </w:r>
      <w:r w:rsidR="00EE4FC3">
        <w:t xml:space="preserve"> </w:t>
      </w:r>
      <w:r w:rsidRPr="00382917">
        <w:t>life</w:t>
      </w:r>
      <w:r w:rsidR="00EE4FC3">
        <w:t xml:space="preserve"> </w:t>
      </w:r>
      <w:r w:rsidRPr="00382917">
        <w:t>should</w:t>
      </w:r>
      <w:r w:rsidR="00EE4FC3">
        <w:t xml:space="preserve"> </w:t>
      </w:r>
      <w:r w:rsidRPr="00382917">
        <w:t>be</w:t>
      </w:r>
      <w:r w:rsidR="00EE4FC3">
        <w:t xml:space="preserve"> </w:t>
      </w:r>
      <w:r w:rsidRPr="00382917">
        <w:t>a</w:t>
      </w:r>
      <w:r w:rsidR="00EE4FC3">
        <w:t xml:space="preserve"> </w:t>
      </w:r>
      <w:r w:rsidRPr="00382917">
        <w:t>prayer</w:t>
      </w:r>
      <w:r w:rsidR="00552489">
        <w:t>.</w:t>
      </w:r>
      <w:r w:rsidR="00EE4FC3">
        <w:t xml:space="preserve">  </w:t>
      </w:r>
      <w:r w:rsidRPr="00382917">
        <w:t>Every</w:t>
      </w:r>
      <w:r w:rsidR="00EE4FC3">
        <w:t xml:space="preserve"> </w:t>
      </w:r>
      <w:r w:rsidRPr="00382917">
        <w:t>thought,</w:t>
      </w:r>
      <w:r w:rsidR="00EE4FC3">
        <w:t xml:space="preserve"> </w:t>
      </w:r>
      <w:r w:rsidRPr="00382917">
        <w:t>word</w:t>
      </w:r>
      <w:r w:rsidR="00EE4FC3">
        <w:t xml:space="preserve"> </w:t>
      </w:r>
      <w:r w:rsidRPr="00382917">
        <w:t>or</w:t>
      </w:r>
      <w:r w:rsidR="00EE4FC3">
        <w:t xml:space="preserve"> </w:t>
      </w:r>
      <w:r w:rsidRPr="00382917">
        <w:t>deed</w:t>
      </w:r>
      <w:r w:rsidR="00EE4FC3">
        <w:t xml:space="preserve"> </w:t>
      </w:r>
      <w:r w:rsidRPr="00382917">
        <w:t>devoted</w:t>
      </w:r>
      <w:r w:rsidR="00EE4FC3">
        <w:t xml:space="preserve"> </w:t>
      </w:r>
      <w:r w:rsidRPr="00382917">
        <w:t>to</w:t>
      </w:r>
      <w:r w:rsidR="00EE4FC3">
        <w:t xml:space="preserve"> </w:t>
      </w:r>
      <w:r w:rsidRPr="00382917">
        <w:t>the</w:t>
      </w:r>
      <w:r w:rsidR="00EE4FC3">
        <w:t xml:space="preserve"> </w:t>
      </w:r>
      <w:r w:rsidRPr="00382917">
        <w:t>good</w:t>
      </w:r>
      <w:r w:rsidR="00EE4FC3">
        <w:t xml:space="preserve"> </w:t>
      </w:r>
      <w:r w:rsidRPr="00382917">
        <w:t>of</w:t>
      </w:r>
      <w:r w:rsidR="00EE4FC3">
        <w:t xml:space="preserve"> </w:t>
      </w:r>
      <w:r w:rsidRPr="00382917">
        <w:t>one</w:t>
      </w:r>
      <w:r w:rsidR="009C713D" w:rsidRPr="00382917">
        <w:t>’</w:t>
      </w:r>
      <w:r w:rsidRPr="00382917">
        <w:t>s</w:t>
      </w:r>
      <w:r w:rsidR="00EE4FC3">
        <w:t xml:space="preserve"> </w:t>
      </w:r>
      <w:r w:rsidRPr="00382917">
        <w:t>fellow-man</w:t>
      </w:r>
      <w:r w:rsidR="00EE4FC3">
        <w:t xml:space="preserve"> </w:t>
      </w:r>
      <w:r w:rsidRPr="00382917">
        <w:t>is</w:t>
      </w:r>
      <w:r w:rsidR="00EE4FC3">
        <w:t xml:space="preserve"> </w:t>
      </w:r>
      <w:r w:rsidRPr="00382917">
        <w:t>a</w:t>
      </w:r>
      <w:r w:rsidR="00EE4FC3">
        <w:t xml:space="preserve"> </w:t>
      </w:r>
      <w:r w:rsidRPr="00382917">
        <w:t>prayer</w:t>
      </w:r>
      <w:r w:rsidR="00EE4FC3">
        <w:t xml:space="preserve"> </w:t>
      </w:r>
      <w:r w:rsidRPr="00382917">
        <w:t>in</w:t>
      </w:r>
      <w:r w:rsidR="00EE4FC3">
        <w:t xml:space="preserve"> </w:t>
      </w:r>
      <w:r w:rsidRPr="00382917">
        <w:t>the</w:t>
      </w:r>
      <w:r w:rsidR="00EE4FC3">
        <w:t xml:space="preserve"> </w:t>
      </w:r>
      <w:r w:rsidRPr="00382917">
        <w:t>truest</w:t>
      </w:r>
      <w:r w:rsidR="00EE4FC3">
        <w:t xml:space="preserve"> </w:t>
      </w:r>
      <w:r w:rsidRPr="00382917">
        <w:t>sense</w:t>
      </w:r>
      <w:r w:rsidR="00EE4FC3">
        <w:t xml:space="preserve"> </w:t>
      </w:r>
      <w:r w:rsidRPr="00382917">
        <w:t>of</w:t>
      </w:r>
      <w:r w:rsidR="00EE4FC3">
        <w:t xml:space="preserve"> </w:t>
      </w:r>
      <w:r w:rsidRPr="00382917">
        <w:t>the</w:t>
      </w:r>
      <w:r w:rsidR="00EE4FC3">
        <w:t xml:space="preserve"> </w:t>
      </w:r>
      <w:r w:rsidRPr="00382917">
        <w:t>word.</w:t>
      </w:r>
    </w:p>
    <w:p w:rsidR="006E4F81" w:rsidRPr="00382917" w:rsidRDefault="006E4F81" w:rsidP="000325BE">
      <w:pPr>
        <w:pStyle w:val="Text"/>
      </w:pPr>
      <w:r w:rsidRPr="00382917">
        <w:t>By</w:t>
      </w:r>
      <w:r w:rsidR="00EE4FC3">
        <w:t xml:space="preserve"> </w:t>
      </w:r>
      <w:r w:rsidRPr="00382917">
        <w:t>means</w:t>
      </w:r>
      <w:r w:rsidR="00EE4FC3">
        <w:t xml:space="preserve"> </w:t>
      </w:r>
      <w:r w:rsidRPr="00382917">
        <w:t>of</w:t>
      </w:r>
      <w:r w:rsidR="00EE4FC3">
        <w:t xml:space="preserve"> </w:t>
      </w:r>
      <w:r w:rsidRPr="00382917">
        <w:t>these</w:t>
      </w:r>
      <w:r w:rsidR="00EE4FC3">
        <w:t xml:space="preserve"> </w:t>
      </w:r>
      <w:r w:rsidRPr="00382917">
        <w:t>principles</w:t>
      </w:r>
      <w:r w:rsidR="00EE4FC3">
        <w:t xml:space="preserve"> </w:t>
      </w:r>
      <w:r w:rsidRPr="00382917">
        <w:t>and</w:t>
      </w:r>
      <w:r w:rsidR="00EE4FC3">
        <w:t xml:space="preserve"> </w:t>
      </w:r>
      <w:r w:rsidRPr="00382917">
        <w:t>laws,</w:t>
      </w:r>
      <w:r w:rsidR="00EE4FC3">
        <w:t xml:space="preserve"> </w:t>
      </w:r>
      <w:r w:rsidRPr="00382917">
        <w:t>Bahá</w:t>
      </w:r>
      <w:r w:rsidR="009C713D" w:rsidRPr="00382917">
        <w:t>’</w:t>
      </w:r>
      <w:r w:rsidRPr="00382917">
        <w:t>u</w:t>
      </w:r>
      <w:r w:rsidR="009C713D" w:rsidRPr="00382917">
        <w:t>’</w:t>
      </w:r>
      <w:r w:rsidRPr="00382917">
        <w:t>lláh</w:t>
      </w:r>
      <w:r w:rsidR="00EE4FC3">
        <w:t xml:space="preserve"> </w:t>
      </w:r>
      <w:r w:rsidRPr="00382917">
        <w:t>has</w:t>
      </w:r>
      <w:r w:rsidR="00EE4FC3">
        <w:t xml:space="preserve"> </w:t>
      </w:r>
      <w:r w:rsidRPr="00382917">
        <w:t>laid</w:t>
      </w:r>
      <w:r w:rsidR="00EE4FC3">
        <w:t xml:space="preserve"> </w:t>
      </w:r>
      <w:r w:rsidRPr="00382917">
        <w:t>the</w:t>
      </w:r>
      <w:r w:rsidR="00EE4FC3">
        <w:t xml:space="preserve"> </w:t>
      </w:r>
      <w:r w:rsidRPr="00382917">
        <w:t>foundation</w:t>
      </w:r>
      <w:r w:rsidR="00EE4FC3">
        <w:t xml:space="preserve"> </w:t>
      </w:r>
      <w:r w:rsidRPr="00382917">
        <w:t>for</w:t>
      </w:r>
      <w:r w:rsidR="00EE4FC3">
        <w:t xml:space="preserve"> </w:t>
      </w:r>
      <w:r w:rsidRPr="00382917">
        <w:t>a</w:t>
      </w:r>
      <w:r w:rsidR="00EE4FC3">
        <w:t xml:space="preserve"> </w:t>
      </w:r>
      <w:r w:rsidRPr="00382917">
        <w:t>united</w:t>
      </w:r>
      <w:r w:rsidR="00EE4FC3">
        <w:t xml:space="preserve"> </w:t>
      </w:r>
      <w:r w:rsidRPr="00382917">
        <w:t>world,</w:t>
      </w:r>
      <w:r w:rsidR="00EE4FC3">
        <w:t xml:space="preserve"> </w:t>
      </w:r>
      <w:r w:rsidRPr="00382917">
        <w:t>so</w:t>
      </w:r>
      <w:r w:rsidR="00EE4FC3">
        <w:t xml:space="preserve"> </w:t>
      </w:r>
      <w:r w:rsidRPr="00382917">
        <w:t>that</w:t>
      </w:r>
      <w:r w:rsidR="00EE4FC3">
        <w:t xml:space="preserve"> </w:t>
      </w:r>
      <w:r w:rsidRPr="00382917">
        <w:t>the</w:t>
      </w:r>
      <w:r w:rsidR="00EE4FC3">
        <w:t xml:space="preserve"> </w:t>
      </w:r>
      <w:r w:rsidRPr="00382917">
        <w:t>prophecies</w:t>
      </w:r>
      <w:r w:rsidR="00EE4FC3">
        <w:t xml:space="preserve"> </w:t>
      </w:r>
      <w:r w:rsidRPr="00382917">
        <w:t>of</w:t>
      </w:r>
      <w:r w:rsidR="00EE4FC3">
        <w:t xml:space="preserve"> </w:t>
      </w:r>
      <w:r w:rsidRPr="00382917">
        <w:t>Scripture</w:t>
      </w:r>
      <w:r w:rsidR="00EE4FC3">
        <w:t xml:space="preserve"> </w:t>
      </w:r>
      <w:r w:rsidRPr="00382917">
        <w:t>might</w:t>
      </w:r>
      <w:r w:rsidR="00EE4FC3">
        <w:t xml:space="preserve"> </w:t>
      </w:r>
      <w:r w:rsidRPr="00382917">
        <w:t>be</w:t>
      </w:r>
      <w:r w:rsidR="00EE4FC3">
        <w:t xml:space="preserve"> </w:t>
      </w:r>
      <w:r w:rsidRPr="00382917">
        <w:t>fulfilled</w:t>
      </w:r>
      <w:r w:rsidR="00EE4FC3">
        <w:t xml:space="preserve"> </w:t>
      </w:r>
      <w:r w:rsidRPr="00382917">
        <w:t>and</w:t>
      </w:r>
      <w:r w:rsidR="00EE4FC3">
        <w:t xml:space="preserve"> </w:t>
      </w:r>
      <w:r w:rsidRPr="00382917">
        <w:t>there</w:t>
      </w:r>
      <w:r w:rsidR="00EE4FC3">
        <w:t xml:space="preserve"> </w:t>
      </w:r>
      <w:r w:rsidRPr="00382917">
        <w:t>might</w:t>
      </w:r>
      <w:r w:rsidR="00EE4FC3">
        <w:t xml:space="preserve"> </w:t>
      </w:r>
      <w:r w:rsidRPr="00382917">
        <w:t>come</w:t>
      </w:r>
      <w:r w:rsidR="00EE4FC3">
        <w:t xml:space="preserve"> </w:t>
      </w:r>
      <w:r w:rsidRPr="00382917">
        <w:t>that</w:t>
      </w:r>
      <w:r w:rsidR="00EE4FC3">
        <w:t xml:space="preserve"> </w:t>
      </w:r>
      <w:r w:rsidRPr="00382917">
        <w:t>promised</w:t>
      </w:r>
      <w:r w:rsidR="00EE4FC3">
        <w:t xml:space="preserve"> </w:t>
      </w:r>
      <w:r w:rsidRPr="00382917">
        <w:t>day</w:t>
      </w:r>
      <w:r w:rsidR="00EE4FC3">
        <w:t xml:space="preserve"> </w:t>
      </w:r>
      <w:r w:rsidRPr="00382917">
        <w:t>of</w:t>
      </w:r>
      <w:r w:rsidR="00EE4FC3">
        <w:t xml:space="preserve"> </w:t>
      </w:r>
      <w:r w:rsidR="009C713D" w:rsidRPr="00382917">
        <w:t>“</w:t>
      </w:r>
      <w:r w:rsidRPr="00382917">
        <w:t>one</w:t>
      </w:r>
      <w:r w:rsidR="00EE4FC3">
        <w:t xml:space="preserve"> </w:t>
      </w:r>
      <w:r w:rsidRPr="00382917">
        <w:t>fold</w:t>
      </w:r>
      <w:r w:rsidR="00EE4FC3">
        <w:t xml:space="preserve"> </w:t>
      </w:r>
      <w:r w:rsidRPr="00382917">
        <w:t>and</w:t>
      </w:r>
      <w:r w:rsidR="00EE4FC3">
        <w:t xml:space="preserve"> </w:t>
      </w:r>
      <w:r w:rsidRPr="00382917">
        <w:t>one</w:t>
      </w:r>
      <w:r w:rsidR="00EE4FC3">
        <w:t xml:space="preserve"> </w:t>
      </w:r>
      <w:r w:rsidRPr="00382917">
        <w:t>shepherd</w:t>
      </w:r>
      <w:r w:rsidR="009C713D" w:rsidRPr="00382917">
        <w:t>”</w:t>
      </w:r>
      <w:r w:rsidR="000325BE">
        <w:t>.</w:t>
      </w:r>
    </w:p>
    <w:p w:rsidR="006E4F81" w:rsidRPr="00382917" w:rsidRDefault="006E4F81" w:rsidP="004C0EF8">
      <w:pPr>
        <w:pStyle w:val="Text"/>
      </w:pPr>
      <w:r w:rsidRPr="00382917">
        <w:t>Nearly</w:t>
      </w:r>
      <w:r w:rsidR="00EE4FC3">
        <w:t xml:space="preserve"> </w:t>
      </w:r>
      <w:r w:rsidRPr="00382917">
        <w:t>a</w:t>
      </w:r>
      <w:r w:rsidR="00EE4FC3">
        <w:t xml:space="preserve"> </w:t>
      </w:r>
      <w:r w:rsidRPr="00382917">
        <w:t>century</w:t>
      </w:r>
      <w:r w:rsidR="00EE4FC3">
        <w:t xml:space="preserve"> </w:t>
      </w:r>
      <w:r w:rsidRPr="00382917">
        <w:t>ago,</w:t>
      </w:r>
      <w:r w:rsidR="00EE4FC3">
        <w:t xml:space="preserve"> </w:t>
      </w:r>
      <w:r w:rsidRPr="00382917">
        <w:t>Bahá</w:t>
      </w:r>
      <w:r w:rsidR="009C713D" w:rsidRPr="00382917">
        <w:t>’</w:t>
      </w:r>
      <w:r w:rsidRPr="00382917">
        <w:t>u</w:t>
      </w:r>
      <w:r w:rsidR="009C713D" w:rsidRPr="00382917">
        <w:t>’</w:t>
      </w:r>
      <w:r w:rsidRPr="00382917">
        <w:t>lláh</w:t>
      </w:r>
      <w:r w:rsidR="00EE4FC3">
        <w:t xml:space="preserve"> </w:t>
      </w:r>
      <w:r w:rsidRPr="00382917">
        <w:t>proclaimed</w:t>
      </w:r>
      <w:r w:rsidR="00EE4FC3">
        <w:t xml:space="preserve"> </w:t>
      </w:r>
      <w:r w:rsidRPr="00382917">
        <w:t>the</w:t>
      </w:r>
      <w:r w:rsidR="00EE4FC3">
        <w:t xml:space="preserve"> </w:t>
      </w:r>
      <w:r w:rsidRPr="00382917">
        <w:t>essential</w:t>
      </w:r>
      <w:r w:rsidR="00EE4FC3">
        <w:t xml:space="preserve"> </w:t>
      </w:r>
      <w:r w:rsidRPr="00382917">
        <w:t>need</w:t>
      </w:r>
      <w:r w:rsidR="00EE4FC3">
        <w:t xml:space="preserve"> </w:t>
      </w:r>
      <w:r w:rsidRPr="00382917">
        <w:t>for</w:t>
      </w:r>
      <w:r w:rsidR="00EE4FC3">
        <w:t xml:space="preserve"> </w:t>
      </w:r>
      <w:r w:rsidRPr="00382917">
        <w:t>the</w:t>
      </w:r>
      <w:r w:rsidR="00EE4FC3">
        <w:t xml:space="preserve"> </w:t>
      </w:r>
      <w:r w:rsidRPr="00382917">
        <w:t>establishment</w:t>
      </w:r>
      <w:r w:rsidR="00EE4FC3">
        <w:t xml:space="preserve"> </w:t>
      </w:r>
      <w:r w:rsidRPr="00382917">
        <w:t>of</w:t>
      </w:r>
      <w:r w:rsidR="00EE4FC3">
        <w:t xml:space="preserve"> </w:t>
      </w:r>
      <w:r w:rsidRPr="00382917">
        <w:t>a</w:t>
      </w:r>
      <w:r w:rsidR="00EE4FC3">
        <w:t xml:space="preserve"> </w:t>
      </w:r>
      <w:r w:rsidRPr="00382917">
        <w:t>universal</w:t>
      </w:r>
      <w:r w:rsidR="00EE4FC3">
        <w:t xml:space="preserve"> </w:t>
      </w:r>
      <w:r w:rsidRPr="00382917">
        <w:t>House</w:t>
      </w:r>
      <w:r w:rsidR="00EE4FC3">
        <w:t xml:space="preserve"> </w:t>
      </w:r>
      <w:r w:rsidRPr="00382917">
        <w:t>of</w:t>
      </w:r>
      <w:r w:rsidR="00EE4FC3">
        <w:t xml:space="preserve"> </w:t>
      </w:r>
      <w:r w:rsidRPr="00382917">
        <w:t>Justice</w:t>
      </w:r>
      <w:r w:rsidR="00EE4FC3">
        <w:t xml:space="preserve"> </w:t>
      </w:r>
      <w:r w:rsidRPr="00382917">
        <w:t>which</w:t>
      </w:r>
      <w:r w:rsidR="00EE4FC3">
        <w:t xml:space="preserve"> </w:t>
      </w:r>
      <w:r w:rsidRPr="00382917">
        <w:t>would</w:t>
      </w:r>
      <w:r w:rsidR="00EE4FC3">
        <w:t xml:space="preserve"> </w:t>
      </w:r>
      <w:r w:rsidRPr="00382917">
        <w:t>be</w:t>
      </w:r>
      <w:r w:rsidR="00EE4FC3">
        <w:t xml:space="preserve"> </w:t>
      </w:r>
      <w:r w:rsidRPr="00382917">
        <w:t>dedicated</w:t>
      </w:r>
      <w:r w:rsidR="00EE4FC3">
        <w:t xml:space="preserve"> </w:t>
      </w:r>
      <w:r w:rsidRPr="00382917">
        <w:t>to</w:t>
      </w:r>
      <w:r w:rsidR="00EE4FC3">
        <w:t xml:space="preserve"> </w:t>
      </w:r>
      <w:r w:rsidRPr="00382917">
        <w:t>preserving</w:t>
      </w:r>
      <w:r w:rsidR="00EE4FC3">
        <w:t xml:space="preserve"> </w:t>
      </w:r>
      <w:r w:rsidRPr="00382917">
        <w:t>the</w:t>
      </w:r>
      <w:r w:rsidR="00EE4FC3">
        <w:t xml:space="preserve"> </w:t>
      </w:r>
      <w:r w:rsidRPr="00382917">
        <w:t>welfare</w:t>
      </w:r>
      <w:r w:rsidR="00EE4FC3">
        <w:t xml:space="preserve"> </w:t>
      </w:r>
      <w:r w:rsidRPr="00382917">
        <w:t>of</w:t>
      </w:r>
      <w:r w:rsidR="00EE4FC3">
        <w:t xml:space="preserve"> </w:t>
      </w:r>
      <w:r w:rsidRPr="00382917">
        <w:t>all</w:t>
      </w:r>
      <w:r w:rsidR="00EE4FC3">
        <w:t xml:space="preserve"> </w:t>
      </w:r>
      <w:r w:rsidRPr="00382917">
        <w:t>men</w:t>
      </w:r>
      <w:r w:rsidR="00EE4FC3">
        <w:t xml:space="preserve"> </w:t>
      </w:r>
      <w:r w:rsidRPr="00382917">
        <w:t>upon</w:t>
      </w:r>
      <w:r w:rsidR="00EE4FC3">
        <w:t xml:space="preserve"> </w:t>
      </w:r>
      <w:r w:rsidRPr="00382917">
        <w:t>the</w:t>
      </w:r>
      <w:r w:rsidR="00EE4FC3">
        <w:t xml:space="preserve"> </w:t>
      </w:r>
      <w:r w:rsidRPr="00382917">
        <w:t>planet</w:t>
      </w:r>
      <w:r w:rsidR="00552489">
        <w:t>.</w:t>
      </w:r>
      <w:r w:rsidR="00EE4FC3">
        <w:t xml:space="preserve">  </w:t>
      </w:r>
      <w:r w:rsidRPr="00382917">
        <w:t>It</w:t>
      </w:r>
      <w:r w:rsidR="00EE4FC3">
        <w:t xml:space="preserve"> </w:t>
      </w:r>
      <w:r w:rsidRPr="00382917">
        <w:t>would</w:t>
      </w:r>
      <w:r w:rsidR="00EE4FC3">
        <w:t xml:space="preserve"> </w:t>
      </w:r>
      <w:r w:rsidRPr="00382917">
        <w:t>protect</w:t>
      </w:r>
      <w:r w:rsidR="00EE4FC3">
        <w:t xml:space="preserve"> </w:t>
      </w:r>
      <w:r w:rsidRPr="00382917">
        <w:t>both</w:t>
      </w:r>
      <w:r w:rsidR="00EE4FC3">
        <w:t xml:space="preserve"> </w:t>
      </w:r>
      <w:r w:rsidRPr="00382917">
        <w:t>great</w:t>
      </w:r>
      <w:r w:rsidR="00EE4FC3">
        <w:t xml:space="preserve"> </w:t>
      </w:r>
      <w:r w:rsidRPr="00382917">
        <w:t>and</w:t>
      </w:r>
      <w:r w:rsidR="00EE4FC3">
        <w:t xml:space="preserve"> </w:t>
      </w:r>
      <w:r w:rsidRPr="00382917">
        <w:t>small</w:t>
      </w:r>
      <w:r w:rsidR="00EE4FC3">
        <w:t xml:space="preserve"> </w:t>
      </w:r>
      <w:r w:rsidRPr="00382917">
        <w:t>nations</w:t>
      </w:r>
      <w:r w:rsidR="00552489">
        <w:t>.</w:t>
      </w:r>
      <w:r w:rsidR="00EE4FC3">
        <w:t xml:space="preserve">  </w:t>
      </w:r>
      <w:r w:rsidRPr="00382917">
        <w:t>It</w:t>
      </w:r>
      <w:r w:rsidR="00EE4FC3">
        <w:t xml:space="preserve"> </w:t>
      </w:r>
      <w:r w:rsidRPr="00382917">
        <w:t>would</w:t>
      </w:r>
      <w:r w:rsidR="00EE4FC3">
        <w:t xml:space="preserve"> </w:t>
      </w:r>
      <w:r w:rsidRPr="00382917">
        <w:t>guarantee</w:t>
      </w:r>
      <w:r w:rsidR="00EE4FC3">
        <w:t xml:space="preserve"> </w:t>
      </w:r>
      <w:r w:rsidRPr="00382917">
        <w:t>the</w:t>
      </w:r>
      <w:r w:rsidR="00EE4FC3">
        <w:t xml:space="preserve"> </w:t>
      </w:r>
      <w:r w:rsidRPr="00382917">
        <w:t>rights</w:t>
      </w:r>
      <w:r w:rsidR="00EE4FC3">
        <w:t xml:space="preserve"> </w:t>
      </w:r>
      <w:r w:rsidRPr="00382917">
        <w:t>of</w:t>
      </w:r>
      <w:r w:rsidR="00EE4FC3">
        <w:t xml:space="preserve"> </w:t>
      </w:r>
      <w:r w:rsidRPr="00382917">
        <w:t>individuals.</w:t>
      </w:r>
    </w:p>
    <w:p w:rsidR="004C0EF8" w:rsidRPr="00382917" w:rsidRDefault="004C0EF8">
      <w:pPr>
        <w:widowControl/>
        <w:kinsoku/>
        <w:overflowPunct/>
        <w:textAlignment w:val="auto"/>
      </w:pPr>
      <w:r w:rsidRPr="00382917">
        <w:br w:type="page"/>
      </w:r>
    </w:p>
    <w:p w:rsidR="006E4F81" w:rsidRPr="00382917" w:rsidRDefault="006E4F81" w:rsidP="004C0EF8">
      <w:pPr>
        <w:pStyle w:val="Text"/>
      </w:pPr>
      <w:r w:rsidRPr="00382917">
        <w:t>Bahá</w:t>
      </w:r>
      <w:r w:rsidR="009C713D" w:rsidRPr="00382917">
        <w:t>’</w:t>
      </w:r>
      <w:r w:rsidRPr="00382917">
        <w:t>u</w:t>
      </w:r>
      <w:r w:rsidR="009C713D" w:rsidRPr="00382917">
        <w:t>’</w:t>
      </w:r>
      <w:r w:rsidRPr="00382917">
        <w:t>lláh</w:t>
      </w:r>
      <w:r w:rsidR="00EE4FC3">
        <w:t xml:space="preserve"> </w:t>
      </w:r>
      <w:r w:rsidRPr="00382917">
        <w:t>addressed</w:t>
      </w:r>
      <w:r w:rsidR="00EE4FC3">
        <w:t xml:space="preserve"> </w:t>
      </w:r>
      <w:r w:rsidRPr="00382917">
        <w:t>the</w:t>
      </w:r>
      <w:r w:rsidR="00EE4FC3">
        <w:t xml:space="preserve"> </w:t>
      </w:r>
      <w:r w:rsidRPr="00382917">
        <w:t>Rulers</w:t>
      </w:r>
      <w:r w:rsidR="00EE4FC3">
        <w:t xml:space="preserve"> </w:t>
      </w:r>
      <w:r w:rsidRPr="00382917">
        <w:t>and</w:t>
      </w:r>
      <w:r w:rsidR="00EE4FC3">
        <w:t xml:space="preserve"> </w:t>
      </w:r>
      <w:r w:rsidRPr="00382917">
        <w:t>Kings</w:t>
      </w:r>
      <w:r w:rsidR="00EE4FC3">
        <w:t xml:space="preserve"> </w:t>
      </w:r>
      <w:r w:rsidRPr="00382917">
        <w:t>of</w:t>
      </w:r>
      <w:r w:rsidR="00EE4FC3">
        <w:t xml:space="preserve"> </w:t>
      </w:r>
      <w:r w:rsidRPr="00382917">
        <w:t>the</w:t>
      </w:r>
      <w:r w:rsidR="00EE4FC3">
        <w:t xml:space="preserve"> </w:t>
      </w:r>
      <w:r w:rsidRPr="00382917">
        <w:t>earth,</w:t>
      </w:r>
      <w:r w:rsidR="00EE4FC3">
        <w:t xml:space="preserve"> </w:t>
      </w:r>
      <w:r w:rsidRPr="00382917">
        <w:t>warning</w:t>
      </w:r>
      <w:r w:rsidR="00EE4FC3">
        <w:t xml:space="preserve"> </w:t>
      </w:r>
      <w:r w:rsidRPr="00382917">
        <w:t>them</w:t>
      </w:r>
      <w:r w:rsidR="00EE4FC3">
        <w:t xml:space="preserve"> </w:t>
      </w:r>
      <w:r w:rsidRPr="00382917">
        <w:t>of</w:t>
      </w:r>
      <w:r w:rsidR="00EE4FC3">
        <w:t xml:space="preserve"> </w:t>
      </w:r>
      <w:r w:rsidRPr="00382917">
        <w:t>the</w:t>
      </w:r>
      <w:r w:rsidR="00EE4FC3">
        <w:t xml:space="preserve"> </w:t>
      </w:r>
      <w:r w:rsidRPr="00382917">
        <w:t>dire</w:t>
      </w:r>
      <w:r w:rsidR="00EE4FC3">
        <w:t xml:space="preserve"> </w:t>
      </w:r>
      <w:r w:rsidRPr="00382917">
        <w:t>consequences</w:t>
      </w:r>
      <w:r w:rsidR="00EE4FC3">
        <w:t xml:space="preserve"> </w:t>
      </w:r>
      <w:r w:rsidRPr="00382917">
        <w:t>which</w:t>
      </w:r>
      <w:r w:rsidR="00EE4FC3">
        <w:t xml:space="preserve"> </w:t>
      </w:r>
      <w:r w:rsidRPr="00382917">
        <w:t>would</w:t>
      </w:r>
      <w:r w:rsidR="00EE4FC3">
        <w:t xml:space="preserve"> </w:t>
      </w:r>
      <w:r w:rsidRPr="00382917">
        <w:t>follow</w:t>
      </w:r>
      <w:r w:rsidR="00EE4FC3">
        <w:t xml:space="preserve"> </w:t>
      </w:r>
      <w:r w:rsidRPr="00382917">
        <w:t>if</w:t>
      </w:r>
      <w:r w:rsidR="00EE4FC3">
        <w:t xml:space="preserve"> </w:t>
      </w:r>
      <w:r w:rsidRPr="00382917">
        <w:t>they</w:t>
      </w:r>
      <w:r w:rsidR="00EE4FC3">
        <w:t xml:space="preserve"> </w:t>
      </w:r>
      <w:r w:rsidRPr="00382917">
        <w:t>failed</w:t>
      </w:r>
      <w:r w:rsidR="00EE4FC3">
        <w:t xml:space="preserve"> </w:t>
      </w:r>
      <w:r w:rsidRPr="00382917">
        <w:t>to</w:t>
      </w:r>
      <w:r w:rsidR="00EE4FC3">
        <w:t xml:space="preserve"> </w:t>
      </w:r>
      <w:proofErr w:type="gramStart"/>
      <w:r w:rsidRPr="00382917">
        <w:t>raise</w:t>
      </w:r>
      <w:proofErr w:type="gramEnd"/>
      <w:r w:rsidR="00EE4FC3">
        <w:t xml:space="preserve"> </w:t>
      </w:r>
      <w:r w:rsidRPr="00382917">
        <w:t>up</w:t>
      </w:r>
      <w:r w:rsidR="00EE4FC3">
        <w:t xml:space="preserve"> </w:t>
      </w:r>
      <w:r w:rsidRPr="00382917">
        <w:t>such</w:t>
      </w:r>
      <w:r w:rsidR="00EE4FC3">
        <w:t xml:space="preserve"> </w:t>
      </w:r>
      <w:r w:rsidRPr="00382917">
        <w:t>a</w:t>
      </w:r>
      <w:r w:rsidR="00EE4FC3">
        <w:t xml:space="preserve"> </w:t>
      </w:r>
      <w:r w:rsidRPr="00382917">
        <w:t>structure</w:t>
      </w:r>
      <w:r w:rsidR="00552489">
        <w:t>.</w:t>
      </w:r>
      <w:r w:rsidR="00EE4FC3">
        <w:t xml:space="preserve">  </w:t>
      </w:r>
      <w:r w:rsidRPr="00382917">
        <w:t>Without</w:t>
      </w:r>
      <w:r w:rsidR="00EE4FC3">
        <w:t xml:space="preserve"> </w:t>
      </w:r>
      <w:r w:rsidRPr="00382917">
        <w:t>it,</w:t>
      </w:r>
      <w:r w:rsidR="00EE4FC3">
        <w:t xml:space="preserve"> </w:t>
      </w:r>
      <w:r w:rsidRPr="00382917">
        <w:t>He</w:t>
      </w:r>
      <w:r w:rsidR="00EE4FC3">
        <w:t xml:space="preserve"> </w:t>
      </w:r>
      <w:r w:rsidRPr="00382917">
        <w:t>told</w:t>
      </w:r>
      <w:r w:rsidR="00EE4FC3">
        <w:t xml:space="preserve"> </w:t>
      </w:r>
      <w:r w:rsidRPr="00382917">
        <w:t>them,</w:t>
      </w:r>
      <w:r w:rsidR="00EE4FC3">
        <w:t xml:space="preserve"> </w:t>
      </w:r>
      <w:r w:rsidRPr="00382917">
        <w:t>disaster</w:t>
      </w:r>
      <w:r w:rsidR="00EE4FC3">
        <w:t xml:space="preserve"> </w:t>
      </w:r>
      <w:r w:rsidRPr="00382917">
        <w:t>would</w:t>
      </w:r>
      <w:r w:rsidR="00EE4FC3">
        <w:t xml:space="preserve"> </w:t>
      </w:r>
      <w:r w:rsidRPr="00382917">
        <w:t>come</w:t>
      </w:r>
      <w:r w:rsidR="00EE4FC3">
        <w:t xml:space="preserve"> </w:t>
      </w:r>
      <w:r w:rsidRPr="00382917">
        <w:t>upon</w:t>
      </w:r>
      <w:r w:rsidR="00EE4FC3">
        <w:t xml:space="preserve"> </w:t>
      </w:r>
      <w:r w:rsidRPr="00382917">
        <w:t>the</w:t>
      </w:r>
      <w:r w:rsidR="00EE4FC3">
        <w:t xml:space="preserve"> </w:t>
      </w:r>
      <w:r w:rsidRPr="00382917">
        <w:t>world.</w:t>
      </w:r>
    </w:p>
    <w:p w:rsidR="006E4F81" w:rsidRPr="00382917" w:rsidRDefault="006E4F81" w:rsidP="004C0EF8">
      <w:pPr>
        <w:pStyle w:val="Text"/>
      </w:pPr>
      <w:r w:rsidRPr="00382917">
        <w:t>This</w:t>
      </w:r>
      <w:r w:rsidR="00EE4FC3">
        <w:t xml:space="preserve"> </w:t>
      </w:r>
      <w:r w:rsidRPr="00382917">
        <w:t>world</w:t>
      </w:r>
      <w:r w:rsidR="00EE4FC3">
        <w:t xml:space="preserve"> </w:t>
      </w:r>
      <w:r w:rsidRPr="00382917">
        <w:t>organization</w:t>
      </w:r>
      <w:r w:rsidR="00EE4FC3">
        <w:t xml:space="preserve"> </w:t>
      </w:r>
      <w:r w:rsidRPr="00382917">
        <w:t>envisioned</w:t>
      </w:r>
      <w:r w:rsidR="00EE4FC3">
        <w:t xml:space="preserve"> </w:t>
      </w:r>
      <w:r w:rsidRPr="00382917">
        <w:t>by</w:t>
      </w:r>
      <w:r w:rsidR="00EE4FC3">
        <w:t xml:space="preserve"> </w:t>
      </w:r>
      <w:r w:rsidRPr="00382917">
        <w:t>Bahá</w:t>
      </w:r>
      <w:r w:rsidR="009C713D" w:rsidRPr="00382917">
        <w:t>’</w:t>
      </w:r>
      <w:r w:rsidRPr="00382917">
        <w:t>u</w:t>
      </w:r>
      <w:r w:rsidR="009C713D" w:rsidRPr="00382917">
        <w:t>’</w:t>
      </w:r>
      <w:r w:rsidRPr="00382917">
        <w:t>lláh</w:t>
      </w:r>
      <w:r w:rsidR="00EE4FC3">
        <w:t xml:space="preserve"> </w:t>
      </w:r>
      <w:r w:rsidRPr="00382917">
        <w:t>would</w:t>
      </w:r>
      <w:r w:rsidR="00EE4FC3">
        <w:t xml:space="preserve"> </w:t>
      </w:r>
      <w:r w:rsidRPr="00382917">
        <w:t>have</w:t>
      </w:r>
      <w:r w:rsidR="00EE4FC3">
        <w:t xml:space="preserve"> </w:t>
      </w:r>
      <w:r w:rsidRPr="00382917">
        <w:t>a</w:t>
      </w:r>
      <w:r w:rsidR="00EE4FC3">
        <w:t xml:space="preserve"> </w:t>
      </w:r>
      <w:r w:rsidRPr="00382917">
        <w:t>world</w:t>
      </w:r>
      <w:r w:rsidR="00EE4FC3">
        <w:t xml:space="preserve"> </w:t>
      </w:r>
      <w:r w:rsidRPr="00382917">
        <w:t>parliament</w:t>
      </w:r>
      <w:r w:rsidR="00EE4FC3">
        <w:t xml:space="preserve"> </w:t>
      </w:r>
      <w:r w:rsidRPr="00382917">
        <w:t>which</w:t>
      </w:r>
      <w:r w:rsidR="00EE4FC3">
        <w:t xml:space="preserve"> </w:t>
      </w:r>
      <w:r w:rsidRPr="00382917">
        <w:t>would</w:t>
      </w:r>
      <w:r w:rsidR="00EE4FC3">
        <w:t xml:space="preserve"> </w:t>
      </w:r>
      <w:r w:rsidRPr="00382917">
        <w:t>be</w:t>
      </w:r>
      <w:r w:rsidR="00EE4FC3">
        <w:t xml:space="preserve"> </w:t>
      </w:r>
      <w:r w:rsidRPr="00382917">
        <w:t>democratically</w:t>
      </w:r>
      <w:r w:rsidR="00EE4FC3">
        <w:t xml:space="preserve"> </w:t>
      </w:r>
      <w:r w:rsidRPr="00382917">
        <w:t>elected</w:t>
      </w:r>
      <w:r w:rsidR="00552489">
        <w:t>.</w:t>
      </w:r>
      <w:r w:rsidR="00EE4FC3">
        <w:t xml:space="preserve">  </w:t>
      </w:r>
      <w:r w:rsidRPr="00382917">
        <w:t>It</w:t>
      </w:r>
      <w:r w:rsidR="00EE4FC3">
        <w:t xml:space="preserve"> </w:t>
      </w:r>
      <w:r w:rsidRPr="00382917">
        <w:t>would</w:t>
      </w:r>
      <w:r w:rsidR="00EE4FC3">
        <w:t xml:space="preserve"> </w:t>
      </w:r>
      <w:r w:rsidRPr="00382917">
        <w:t>have</w:t>
      </w:r>
      <w:r w:rsidR="00EE4FC3">
        <w:t xml:space="preserve"> </w:t>
      </w:r>
      <w:r w:rsidRPr="00382917">
        <w:t>a</w:t>
      </w:r>
      <w:r w:rsidR="00EE4FC3">
        <w:t xml:space="preserve"> </w:t>
      </w:r>
      <w:r w:rsidRPr="00382917">
        <w:t>world</w:t>
      </w:r>
      <w:r w:rsidR="00EE4FC3">
        <w:t xml:space="preserve"> </w:t>
      </w:r>
      <w:r w:rsidRPr="00382917">
        <w:t>metropolis,</w:t>
      </w:r>
      <w:r w:rsidR="00EE4FC3">
        <w:t xml:space="preserve"> </w:t>
      </w:r>
      <w:r w:rsidRPr="00382917">
        <w:t>an</w:t>
      </w:r>
      <w:r w:rsidR="00EE4FC3">
        <w:t xml:space="preserve"> </w:t>
      </w:r>
      <w:r w:rsidRPr="00382917">
        <w:t>international</w:t>
      </w:r>
      <w:r w:rsidR="00EE4FC3">
        <w:t xml:space="preserve"> </w:t>
      </w:r>
      <w:r w:rsidRPr="00382917">
        <w:t>police</w:t>
      </w:r>
      <w:r w:rsidR="00EE4FC3">
        <w:t xml:space="preserve"> </w:t>
      </w:r>
      <w:r w:rsidRPr="00382917">
        <w:t>force,</w:t>
      </w:r>
      <w:r w:rsidR="00EE4FC3">
        <w:t xml:space="preserve"> </w:t>
      </w:r>
      <w:r w:rsidRPr="00382917">
        <w:t>and</w:t>
      </w:r>
      <w:r w:rsidR="00EE4FC3">
        <w:t xml:space="preserve"> </w:t>
      </w:r>
      <w:r w:rsidRPr="00382917">
        <w:t>a</w:t>
      </w:r>
      <w:r w:rsidR="00EE4FC3">
        <w:t xml:space="preserve"> </w:t>
      </w:r>
      <w:r w:rsidRPr="00382917">
        <w:t>world</w:t>
      </w:r>
      <w:r w:rsidR="00EE4FC3">
        <w:t xml:space="preserve"> </w:t>
      </w:r>
      <w:r w:rsidRPr="00382917">
        <w:t>tribunal</w:t>
      </w:r>
      <w:r w:rsidR="00EE4FC3">
        <w:t xml:space="preserve"> </w:t>
      </w:r>
      <w:r w:rsidRPr="00382917">
        <w:t>or</w:t>
      </w:r>
      <w:r w:rsidR="00EE4FC3">
        <w:t xml:space="preserve"> </w:t>
      </w:r>
      <w:r w:rsidRPr="00382917">
        <w:t>court.</w:t>
      </w:r>
    </w:p>
    <w:p w:rsidR="006E4F81" w:rsidRPr="00382917" w:rsidRDefault="006E4F81" w:rsidP="004C0EF8">
      <w:pPr>
        <w:pStyle w:val="Text"/>
      </w:pPr>
      <w:r w:rsidRPr="00382917">
        <w:t>It</w:t>
      </w:r>
      <w:r w:rsidR="00EE4FC3">
        <w:t xml:space="preserve"> </w:t>
      </w:r>
      <w:r w:rsidRPr="00382917">
        <w:t>would</w:t>
      </w:r>
      <w:r w:rsidR="00EE4FC3">
        <w:t xml:space="preserve"> </w:t>
      </w:r>
      <w:r w:rsidRPr="00382917">
        <w:t>not</w:t>
      </w:r>
      <w:r w:rsidR="00EE4FC3">
        <w:t xml:space="preserve"> </w:t>
      </w:r>
      <w:r w:rsidRPr="00382917">
        <w:t>be</w:t>
      </w:r>
      <w:r w:rsidR="00EE4FC3">
        <w:t xml:space="preserve"> </w:t>
      </w:r>
      <w:r w:rsidRPr="00382917">
        <w:t>dedicated</w:t>
      </w:r>
      <w:r w:rsidR="00EE4FC3">
        <w:t xml:space="preserve"> </w:t>
      </w:r>
      <w:r w:rsidRPr="00382917">
        <w:t>to</w:t>
      </w:r>
      <w:r w:rsidR="00EE4FC3">
        <w:t xml:space="preserve"> </w:t>
      </w:r>
      <w:r w:rsidRPr="00382917">
        <w:t>the</w:t>
      </w:r>
      <w:r w:rsidR="00EE4FC3">
        <w:t xml:space="preserve"> </w:t>
      </w:r>
      <w:r w:rsidRPr="00382917">
        <w:t>West</w:t>
      </w:r>
      <w:r w:rsidR="00EE4FC3">
        <w:t xml:space="preserve"> </w:t>
      </w:r>
      <w:r w:rsidRPr="00382917">
        <w:t>or</w:t>
      </w:r>
      <w:r w:rsidR="00EE4FC3">
        <w:t xml:space="preserve"> </w:t>
      </w:r>
      <w:r w:rsidRPr="00382917">
        <w:t>the</w:t>
      </w:r>
      <w:r w:rsidR="00EE4FC3">
        <w:t xml:space="preserve"> </w:t>
      </w:r>
      <w:r w:rsidRPr="00382917">
        <w:t>East;</w:t>
      </w:r>
      <w:r w:rsidR="00EE4FC3">
        <w:t xml:space="preserve"> </w:t>
      </w:r>
      <w:r w:rsidRPr="00382917">
        <w:t>it</w:t>
      </w:r>
      <w:r w:rsidR="00EE4FC3">
        <w:t xml:space="preserve"> </w:t>
      </w:r>
      <w:r w:rsidRPr="00382917">
        <w:t>would</w:t>
      </w:r>
      <w:r w:rsidR="00EE4FC3">
        <w:t xml:space="preserve"> </w:t>
      </w:r>
      <w:r w:rsidRPr="00382917">
        <w:t>not</w:t>
      </w:r>
      <w:r w:rsidR="00EE4FC3">
        <w:t xml:space="preserve"> </w:t>
      </w:r>
      <w:proofErr w:type="spellStart"/>
      <w:r w:rsidRPr="00382917">
        <w:t>favor</w:t>
      </w:r>
      <w:proofErr w:type="spellEnd"/>
      <w:r w:rsidR="00EE4FC3">
        <w:t xml:space="preserve"> </w:t>
      </w:r>
      <w:r w:rsidRPr="00382917">
        <w:t>the</w:t>
      </w:r>
      <w:r w:rsidR="00EE4FC3">
        <w:t xml:space="preserve"> </w:t>
      </w:r>
      <w:r w:rsidRPr="00382917">
        <w:t>light</w:t>
      </w:r>
      <w:r w:rsidR="00EE4FC3">
        <w:t xml:space="preserve"> </w:t>
      </w:r>
      <w:r w:rsidRPr="00382917">
        <w:t>or</w:t>
      </w:r>
      <w:r w:rsidR="00EE4FC3">
        <w:t xml:space="preserve"> </w:t>
      </w:r>
      <w:r w:rsidRPr="00382917">
        <w:t>the</w:t>
      </w:r>
      <w:r w:rsidR="00EE4FC3">
        <w:t xml:space="preserve"> </w:t>
      </w:r>
      <w:r w:rsidRPr="00382917">
        <w:t>dark;</w:t>
      </w:r>
      <w:r w:rsidR="00EE4FC3">
        <w:t xml:space="preserve"> </w:t>
      </w:r>
      <w:r w:rsidRPr="00382917">
        <w:t>it</w:t>
      </w:r>
      <w:r w:rsidR="00EE4FC3">
        <w:t xml:space="preserve"> </w:t>
      </w:r>
      <w:r w:rsidRPr="00382917">
        <w:t>would</w:t>
      </w:r>
      <w:r w:rsidR="00EE4FC3">
        <w:t xml:space="preserve"> </w:t>
      </w:r>
      <w:r w:rsidRPr="00382917">
        <w:t>not</w:t>
      </w:r>
      <w:r w:rsidR="00EE4FC3">
        <w:t xml:space="preserve"> </w:t>
      </w:r>
      <w:r w:rsidRPr="00382917">
        <w:t>prefer</w:t>
      </w:r>
      <w:r w:rsidR="00EE4FC3">
        <w:t xml:space="preserve"> </w:t>
      </w:r>
      <w:r w:rsidRPr="00382917">
        <w:t>the</w:t>
      </w:r>
      <w:r w:rsidR="00EE4FC3">
        <w:t xml:space="preserve"> </w:t>
      </w:r>
      <w:r w:rsidRPr="00382917">
        <w:t>Jew</w:t>
      </w:r>
      <w:r w:rsidR="00EE4FC3">
        <w:t xml:space="preserve"> </w:t>
      </w:r>
      <w:r w:rsidRPr="00382917">
        <w:t>or</w:t>
      </w:r>
      <w:r w:rsidR="00EE4FC3">
        <w:t xml:space="preserve"> </w:t>
      </w:r>
      <w:r w:rsidRPr="00382917">
        <w:t>the</w:t>
      </w:r>
      <w:r w:rsidR="00EE4FC3">
        <w:t xml:space="preserve"> </w:t>
      </w:r>
      <w:r w:rsidRPr="00382917">
        <w:t>Gentile</w:t>
      </w:r>
      <w:r w:rsidR="00552489">
        <w:t>.</w:t>
      </w:r>
      <w:r w:rsidR="00EE4FC3">
        <w:t xml:space="preserve">  </w:t>
      </w:r>
      <w:r w:rsidRPr="00382917">
        <w:t>This</w:t>
      </w:r>
      <w:r w:rsidR="00EE4FC3">
        <w:t xml:space="preserve"> </w:t>
      </w:r>
      <w:r w:rsidRPr="00382917">
        <w:t>world</w:t>
      </w:r>
      <w:r w:rsidR="00EE4FC3">
        <w:t xml:space="preserve"> </w:t>
      </w:r>
      <w:r w:rsidRPr="00382917">
        <w:t>organization</w:t>
      </w:r>
      <w:r w:rsidR="00EE4FC3">
        <w:t xml:space="preserve"> </w:t>
      </w:r>
      <w:r w:rsidRPr="00382917">
        <w:t>would</w:t>
      </w:r>
      <w:r w:rsidR="00EE4FC3">
        <w:t xml:space="preserve"> </w:t>
      </w:r>
      <w:r w:rsidRPr="00382917">
        <w:t>be</w:t>
      </w:r>
      <w:r w:rsidR="00EE4FC3">
        <w:t xml:space="preserve"> </w:t>
      </w:r>
      <w:r w:rsidRPr="00382917">
        <w:t>dedicated</w:t>
      </w:r>
      <w:r w:rsidR="00EE4FC3">
        <w:t xml:space="preserve"> </w:t>
      </w:r>
      <w:r w:rsidRPr="00382917">
        <w:t>to</w:t>
      </w:r>
      <w:r w:rsidR="00EE4FC3">
        <w:t xml:space="preserve"> </w:t>
      </w:r>
      <w:r w:rsidRPr="00382917">
        <w:t>one</w:t>
      </w:r>
      <w:r w:rsidR="00EE4FC3">
        <w:t xml:space="preserve"> </w:t>
      </w:r>
      <w:r w:rsidRPr="00382917">
        <w:t>purpose</w:t>
      </w:r>
      <w:r w:rsidR="00EE4FC3">
        <w:t xml:space="preserve"> </w:t>
      </w:r>
      <w:r w:rsidRPr="00382917">
        <w:t>only</w:t>
      </w:r>
      <w:r w:rsidR="00C03C91">
        <w:t>:</w:t>
      </w:r>
      <w:r w:rsidR="00EE4FC3">
        <w:t xml:space="preserve">  </w:t>
      </w:r>
      <w:r w:rsidRPr="00382917">
        <w:t>the</w:t>
      </w:r>
      <w:r w:rsidR="00EE4FC3">
        <w:t xml:space="preserve"> </w:t>
      </w:r>
      <w:r w:rsidRPr="00382917">
        <w:t>welfare</w:t>
      </w:r>
      <w:r w:rsidR="00EE4FC3">
        <w:t xml:space="preserve"> </w:t>
      </w:r>
      <w:r w:rsidRPr="00382917">
        <w:t>of</w:t>
      </w:r>
      <w:r w:rsidR="00EE4FC3">
        <w:t xml:space="preserve"> </w:t>
      </w:r>
      <w:r w:rsidRPr="00382917">
        <w:t>the</w:t>
      </w:r>
      <w:r w:rsidR="00EE4FC3">
        <w:t xml:space="preserve"> </w:t>
      </w:r>
      <w:r w:rsidRPr="00382917">
        <w:t>entire</w:t>
      </w:r>
      <w:r w:rsidR="00EE4FC3">
        <w:t xml:space="preserve"> </w:t>
      </w:r>
      <w:r w:rsidRPr="00382917">
        <w:t>human</w:t>
      </w:r>
      <w:r w:rsidR="00EE4FC3">
        <w:t xml:space="preserve"> </w:t>
      </w:r>
      <w:r w:rsidRPr="00382917">
        <w:t>race.</w:t>
      </w:r>
    </w:p>
    <w:p w:rsidR="006E4F81" w:rsidRPr="00382917" w:rsidRDefault="006E4F81" w:rsidP="004C0EF8">
      <w:pPr>
        <w:pStyle w:val="Text"/>
      </w:pPr>
      <w:r w:rsidRPr="00382917">
        <w:t>This</w:t>
      </w:r>
      <w:r w:rsidR="00EE4FC3">
        <w:t xml:space="preserve"> </w:t>
      </w:r>
      <w:r w:rsidRPr="00382917">
        <w:t>great</w:t>
      </w:r>
      <w:r w:rsidR="00EE4FC3">
        <w:t xml:space="preserve"> </w:t>
      </w:r>
      <w:r w:rsidRPr="00382917">
        <w:t>universal</w:t>
      </w:r>
      <w:r w:rsidR="00EE4FC3">
        <w:t xml:space="preserve"> </w:t>
      </w:r>
      <w:r w:rsidRPr="00382917">
        <w:t>body</w:t>
      </w:r>
      <w:r w:rsidR="00EE4FC3">
        <w:t xml:space="preserve"> </w:t>
      </w:r>
      <w:r w:rsidRPr="00382917">
        <w:t>would</w:t>
      </w:r>
      <w:r w:rsidR="00EE4FC3">
        <w:t xml:space="preserve"> </w:t>
      </w:r>
      <w:r w:rsidRPr="00382917">
        <w:t>establish</w:t>
      </w:r>
      <w:r w:rsidR="00EE4FC3">
        <w:t xml:space="preserve"> </w:t>
      </w:r>
      <w:r w:rsidRPr="00382917">
        <w:t>a</w:t>
      </w:r>
      <w:r w:rsidR="00EE4FC3">
        <w:t xml:space="preserve"> </w:t>
      </w:r>
      <w:r w:rsidRPr="00382917">
        <w:t>common</w:t>
      </w:r>
      <w:r w:rsidR="00EE4FC3">
        <w:t xml:space="preserve"> </w:t>
      </w:r>
      <w:r w:rsidRPr="00382917">
        <w:t>system</w:t>
      </w:r>
      <w:r w:rsidR="00EE4FC3">
        <w:t xml:space="preserve"> </w:t>
      </w:r>
      <w:r w:rsidRPr="00382917">
        <w:t>of</w:t>
      </w:r>
      <w:r w:rsidR="00EE4FC3">
        <w:t xml:space="preserve"> </w:t>
      </w:r>
      <w:r w:rsidRPr="00382917">
        <w:t>weights</w:t>
      </w:r>
      <w:r w:rsidR="00EE4FC3">
        <w:t xml:space="preserve"> </w:t>
      </w:r>
      <w:r w:rsidRPr="00382917">
        <w:t>and</w:t>
      </w:r>
      <w:r w:rsidR="00EE4FC3">
        <w:t xml:space="preserve"> </w:t>
      </w:r>
      <w:r w:rsidRPr="00382917">
        <w:t>measures</w:t>
      </w:r>
      <w:r w:rsidR="00EE4FC3">
        <w:t xml:space="preserve"> </w:t>
      </w:r>
      <w:r w:rsidRPr="00382917">
        <w:t>and</w:t>
      </w:r>
      <w:r w:rsidR="00EE4FC3">
        <w:t xml:space="preserve"> </w:t>
      </w:r>
      <w:r w:rsidRPr="00382917">
        <w:t>a</w:t>
      </w:r>
      <w:r w:rsidR="00EE4FC3">
        <w:t xml:space="preserve"> </w:t>
      </w:r>
      <w:r w:rsidRPr="00382917">
        <w:t>common</w:t>
      </w:r>
      <w:r w:rsidR="00EE4FC3">
        <w:t xml:space="preserve"> </w:t>
      </w:r>
      <w:r w:rsidRPr="00382917">
        <w:t>currency</w:t>
      </w:r>
      <w:r w:rsidR="00552489">
        <w:t>.</w:t>
      </w:r>
      <w:r w:rsidR="00EE4FC3">
        <w:t xml:space="preserve">  </w:t>
      </w:r>
      <w:r w:rsidRPr="00382917">
        <w:t>It</w:t>
      </w:r>
      <w:r w:rsidR="00EE4FC3">
        <w:t xml:space="preserve"> </w:t>
      </w:r>
      <w:r w:rsidRPr="00382917">
        <w:t>would</w:t>
      </w:r>
      <w:r w:rsidR="00EE4FC3">
        <w:t xml:space="preserve"> </w:t>
      </w:r>
      <w:r w:rsidRPr="00382917">
        <w:t>develop</w:t>
      </w:r>
      <w:r w:rsidR="00EE4FC3">
        <w:t xml:space="preserve"> </w:t>
      </w:r>
      <w:r w:rsidRPr="00382917">
        <w:t>all</w:t>
      </w:r>
      <w:r w:rsidR="00EE4FC3">
        <w:t xml:space="preserve"> </w:t>
      </w:r>
      <w:r w:rsidRPr="00382917">
        <w:t>of</w:t>
      </w:r>
      <w:r w:rsidR="00EE4FC3">
        <w:t xml:space="preserve"> </w:t>
      </w:r>
      <w:r w:rsidRPr="00382917">
        <w:t>the</w:t>
      </w:r>
      <w:r w:rsidR="00EE4FC3">
        <w:t xml:space="preserve"> </w:t>
      </w:r>
      <w:r w:rsidRPr="00382917">
        <w:t>world</w:t>
      </w:r>
      <w:r w:rsidR="009C713D" w:rsidRPr="00382917">
        <w:t>’</w:t>
      </w:r>
      <w:r w:rsidRPr="00382917">
        <w:t>s</w:t>
      </w:r>
      <w:r w:rsidR="00EE4FC3">
        <w:t xml:space="preserve"> </w:t>
      </w:r>
      <w:r w:rsidRPr="00382917">
        <w:t>natural</w:t>
      </w:r>
      <w:r w:rsidR="00EE4FC3">
        <w:t xml:space="preserve"> </w:t>
      </w:r>
      <w:r w:rsidRPr="00382917">
        <w:t>resources</w:t>
      </w:r>
      <w:r w:rsidR="00EE4FC3">
        <w:t xml:space="preserve"> </w:t>
      </w:r>
      <w:r w:rsidRPr="00382917">
        <w:t>and</w:t>
      </w:r>
      <w:r w:rsidR="00EE4FC3">
        <w:t xml:space="preserve"> </w:t>
      </w:r>
      <w:r w:rsidRPr="00382917">
        <w:t>would</w:t>
      </w:r>
      <w:r w:rsidR="00EE4FC3">
        <w:t xml:space="preserve"> </w:t>
      </w:r>
      <w:r w:rsidRPr="00382917">
        <w:t>regulate</w:t>
      </w:r>
      <w:r w:rsidR="00EE4FC3">
        <w:t xml:space="preserve"> </w:t>
      </w:r>
      <w:r w:rsidRPr="00382917">
        <w:t>markets</w:t>
      </w:r>
      <w:r w:rsidR="00EE4FC3">
        <w:t xml:space="preserve"> </w:t>
      </w:r>
      <w:r w:rsidRPr="00382917">
        <w:t>so</w:t>
      </w:r>
      <w:r w:rsidR="00EE4FC3">
        <w:t xml:space="preserve"> </w:t>
      </w:r>
      <w:r w:rsidRPr="00382917">
        <w:t>that</w:t>
      </w:r>
      <w:r w:rsidR="00EE4FC3">
        <w:t xml:space="preserve"> </w:t>
      </w:r>
      <w:r w:rsidR="009C713D" w:rsidRPr="00382917">
        <w:t>“</w:t>
      </w:r>
      <w:r w:rsidRPr="00382917">
        <w:t>have</w:t>
      </w:r>
      <w:r w:rsidR="00EE4FC3">
        <w:t xml:space="preserve"> </w:t>
      </w:r>
      <w:r w:rsidRPr="00382917">
        <w:t>not</w:t>
      </w:r>
      <w:r w:rsidR="009C713D" w:rsidRPr="00382917">
        <w:t>”</w:t>
      </w:r>
      <w:r w:rsidR="00EE4FC3">
        <w:t xml:space="preserve"> </w:t>
      </w:r>
      <w:r w:rsidRPr="00382917">
        <w:t>nations</w:t>
      </w:r>
      <w:r w:rsidR="00EE4FC3">
        <w:t xml:space="preserve"> </w:t>
      </w:r>
      <w:r w:rsidRPr="00382917">
        <w:t>would</w:t>
      </w:r>
      <w:r w:rsidR="00EE4FC3">
        <w:t xml:space="preserve"> </w:t>
      </w:r>
      <w:r w:rsidRPr="00382917">
        <w:t>no</w:t>
      </w:r>
      <w:r w:rsidR="00EE4FC3">
        <w:t xml:space="preserve"> </w:t>
      </w:r>
      <w:r w:rsidRPr="00382917">
        <w:t>longer</w:t>
      </w:r>
      <w:r w:rsidR="00EE4FC3">
        <w:t xml:space="preserve"> </w:t>
      </w:r>
      <w:r w:rsidRPr="00382917">
        <w:t>exist</w:t>
      </w:r>
      <w:r w:rsidR="00552489">
        <w:t>.</w:t>
      </w:r>
      <w:r w:rsidR="00EE4FC3">
        <w:t xml:space="preserve">  </w:t>
      </w:r>
      <w:r w:rsidRPr="00382917">
        <w:t>It</w:t>
      </w:r>
      <w:r w:rsidR="00EE4FC3">
        <w:t xml:space="preserve"> </w:t>
      </w:r>
      <w:r w:rsidRPr="00382917">
        <w:t>would</w:t>
      </w:r>
      <w:r w:rsidR="00EE4FC3">
        <w:t xml:space="preserve"> </w:t>
      </w:r>
      <w:r w:rsidRPr="00382917">
        <w:t>eliminate</w:t>
      </w:r>
      <w:r w:rsidR="00EE4FC3">
        <w:t xml:space="preserve"> </w:t>
      </w:r>
      <w:r w:rsidRPr="00382917">
        <w:t>the</w:t>
      </w:r>
      <w:r w:rsidR="00EE4FC3">
        <w:t xml:space="preserve"> </w:t>
      </w:r>
      <w:r w:rsidRPr="00382917">
        <w:t>extremes</w:t>
      </w:r>
      <w:r w:rsidR="00EE4FC3">
        <w:t xml:space="preserve"> </w:t>
      </w:r>
      <w:r w:rsidRPr="00382917">
        <w:t>of</w:t>
      </w:r>
      <w:r w:rsidR="00EE4FC3">
        <w:t xml:space="preserve"> </w:t>
      </w:r>
      <w:r w:rsidRPr="00382917">
        <w:t>poverty</w:t>
      </w:r>
      <w:r w:rsidR="00EE4FC3">
        <w:t xml:space="preserve"> </w:t>
      </w:r>
      <w:r w:rsidRPr="00382917">
        <w:t>and</w:t>
      </w:r>
      <w:r w:rsidR="00EE4FC3">
        <w:t xml:space="preserve"> </w:t>
      </w:r>
      <w:r w:rsidRPr="00382917">
        <w:t>wealth</w:t>
      </w:r>
      <w:r w:rsidR="00EE4FC3">
        <w:t xml:space="preserve"> </w:t>
      </w:r>
      <w:r w:rsidRPr="00382917">
        <w:t>without</w:t>
      </w:r>
      <w:r w:rsidR="00EE4FC3">
        <w:t xml:space="preserve"> </w:t>
      </w:r>
      <w:r w:rsidRPr="00382917">
        <w:t>destroying</w:t>
      </w:r>
      <w:r w:rsidR="00EE4FC3">
        <w:t xml:space="preserve"> </w:t>
      </w:r>
      <w:r w:rsidRPr="00382917">
        <w:t>the</w:t>
      </w:r>
      <w:r w:rsidR="00EE4FC3">
        <w:t xml:space="preserve"> </w:t>
      </w:r>
      <w:r w:rsidRPr="00382917">
        <w:t>natural</w:t>
      </w:r>
      <w:r w:rsidR="00EE4FC3">
        <w:t xml:space="preserve"> </w:t>
      </w:r>
      <w:r w:rsidRPr="00382917">
        <w:t>degrees</w:t>
      </w:r>
      <w:r w:rsidR="00EE4FC3">
        <w:t xml:space="preserve"> </w:t>
      </w:r>
      <w:r w:rsidRPr="00382917">
        <w:t>of</w:t>
      </w:r>
      <w:r w:rsidR="00EE4FC3">
        <w:t xml:space="preserve"> </w:t>
      </w:r>
      <w:r w:rsidRPr="00382917">
        <w:t>difference</w:t>
      </w:r>
      <w:r w:rsidR="00EE4FC3">
        <w:t xml:space="preserve"> </w:t>
      </w:r>
      <w:r w:rsidRPr="00382917">
        <w:t>which</w:t>
      </w:r>
      <w:r w:rsidR="00EE4FC3">
        <w:t xml:space="preserve"> </w:t>
      </w:r>
      <w:r w:rsidRPr="00382917">
        <w:t>talent</w:t>
      </w:r>
      <w:r w:rsidR="00EE4FC3">
        <w:t xml:space="preserve"> </w:t>
      </w:r>
      <w:r w:rsidRPr="00382917">
        <w:t>and</w:t>
      </w:r>
      <w:r w:rsidR="00EE4FC3">
        <w:t xml:space="preserve"> </w:t>
      </w:r>
      <w:r w:rsidRPr="00382917">
        <w:t>initiative</w:t>
      </w:r>
      <w:r w:rsidR="00EE4FC3">
        <w:t xml:space="preserve"> </w:t>
      </w:r>
      <w:r w:rsidRPr="00382917">
        <w:t>create</w:t>
      </w:r>
      <w:r w:rsidR="00552489">
        <w:t>.</w:t>
      </w:r>
      <w:r w:rsidR="00EE4FC3">
        <w:t xml:space="preserve">  </w:t>
      </w:r>
      <w:r w:rsidRPr="00382917">
        <w:t>It</w:t>
      </w:r>
      <w:r w:rsidR="00EE4FC3">
        <w:t xml:space="preserve"> </w:t>
      </w:r>
      <w:r w:rsidRPr="00382917">
        <w:t>would</w:t>
      </w:r>
      <w:r w:rsidR="00EE4FC3">
        <w:t xml:space="preserve"> </w:t>
      </w:r>
      <w:r w:rsidRPr="00382917">
        <w:t>harmonize</w:t>
      </w:r>
      <w:r w:rsidR="00EE4FC3">
        <w:t xml:space="preserve"> </w:t>
      </w:r>
      <w:r w:rsidRPr="00382917">
        <w:t>capital</w:t>
      </w:r>
      <w:r w:rsidR="00EE4FC3">
        <w:t xml:space="preserve"> </w:t>
      </w:r>
      <w:r w:rsidRPr="00382917">
        <w:t>and</w:t>
      </w:r>
      <w:r w:rsidR="00EE4FC3">
        <w:t xml:space="preserve"> </w:t>
      </w:r>
      <w:proofErr w:type="spellStart"/>
      <w:r w:rsidRPr="00382917">
        <w:t>labor</w:t>
      </w:r>
      <w:proofErr w:type="spellEnd"/>
      <w:r w:rsidRPr="00382917">
        <w:t>,</w:t>
      </w:r>
      <w:r w:rsidR="00EE4FC3">
        <w:t xml:space="preserve"> </w:t>
      </w:r>
      <w:r w:rsidRPr="00382917">
        <w:t>protecting</w:t>
      </w:r>
      <w:r w:rsidR="00EE4FC3">
        <w:t xml:space="preserve"> </w:t>
      </w:r>
      <w:r w:rsidRPr="00382917">
        <w:t>the</w:t>
      </w:r>
      <w:r w:rsidR="00EE4FC3">
        <w:t xml:space="preserve"> </w:t>
      </w:r>
      <w:r w:rsidRPr="00382917">
        <w:t>rights</w:t>
      </w:r>
      <w:r w:rsidR="00EE4FC3">
        <w:t xml:space="preserve"> </w:t>
      </w:r>
      <w:r w:rsidRPr="00382917">
        <w:t>of</w:t>
      </w:r>
      <w:r w:rsidR="00EE4FC3">
        <w:t xml:space="preserve"> </w:t>
      </w:r>
      <w:r w:rsidRPr="00382917">
        <w:t>the</w:t>
      </w:r>
      <w:r w:rsidR="00EE4FC3">
        <w:t xml:space="preserve"> </w:t>
      </w:r>
      <w:proofErr w:type="spellStart"/>
      <w:r w:rsidRPr="00382917">
        <w:t>laborer</w:t>
      </w:r>
      <w:proofErr w:type="spellEnd"/>
      <w:r w:rsidR="00EE4FC3">
        <w:t xml:space="preserve"> </w:t>
      </w:r>
      <w:r w:rsidRPr="00382917">
        <w:t>as</w:t>
      </w:r>
      <w:r w:rsidR="00EE4FC3">
        <w:t xml:space="preserve"> </w:t>
      </w:r>
      <w:r w:rsidRPr="00382917">
        <w:t>well</w:t>
      </w:r>
      <w:r w:rsidR="00EE4FC3">
        <w:t xml:space="preserve"> </w:t>
      </w:r>
      <w:r w:rsidRPr="00382917">
        <w:t>as</w:t>
      </w:r>
      <w:r w:rsidR="00EE4FC3">
        <w:t xml:space="preserve"> </w:t>
      </w:r>
      <w:r w:rsidRPr="00382917">
        <w:t>those</w:t>
      </w:r>
      <w:r w:rsidR="00EE4FC3">
        <w:t xml:space="preserve"> </w:t>
      </w:r>
      <w:r w:rsidRPr="00382917">
        <w:t>of</w:t>
      </w:r>
      <w:r w:rsidR="00EE4FC3">
        <w:t xml:space="preserve"> </w:t>
      </w:r>
      <w:r w:rsidRPr="00382917">
        <w:t>the</w:t>
      </w:r>
      <w:r w:rsidR="00EE4FC3">
        <w:t xml:space="preserve"> </w:t>
      </w:r>
      <w:r w:rsidRPr="00382917">
        <w:t>investor,</w:t>
      </w:r>
      <w:r w:rsidR="00EE4FC3">
        <w:t xml:space="preserve"> </w:t>
      </w:r>
      <w:r w:rsidRPr="00382917">
        <w:t>to</w:t>
      </w:r>
      <w:r w:rsidR="00EE4FC3">
        <w:t xml:space="preserve"> </w:t>
      </w:r>
      <w:r w:rsidRPr="00382917">
        <w:t>the</w:t>
      </w:r>
      <w:r w:rsidR="00EE4FC3">
        <w:t xml:space="preserve"> </w:t>
      </w:r>
      <w:r w:rsidRPr="00382917">
        <w:t>advantage</w:t>
      </w:r>
      <w:r w:rsidR="00EE4FC3">
        <w:t xml:space="preserve"> </w:t>
      </w:r>
      <w:r w:rsidRPr="00382917">
        <w:t>of</w:t>
      </w:r>
      <w:r w:rsidR="00EE4FC3">
        <w:t xml:space="preserve"> </w:t>
      </w:r>
      <w:r w:rsidRPr="00382917">
        <w:t>both</w:t>
      </w:r>
      <w:r w:rsidR="00552489">
        <w:t>.</w:t>
      </w:r>
      <w:r w:rsidR="00EE4FC3">
        <w:t xml:space="preserve">  </w:t>
      </w:r>
      <w:r w:rsidRPr="00382917">
        <w:t>It</w:t>
      </w:r>
      <w:r w:rsidR="00EE4FC3">
        <w:t xml:space="preserve"> </w:t>
      </w:r>
      <w:r w:rsidRPr="00382917">
        <w:t>would</w:t>
      </w:r>
      <w:r w:rsidR="00EE4FC3">
        <w:t xml:space="preserve"> </w:t>
      </w:r>
      <w:r w:rsidRPr="00382917">
        <w:t>foster</w:t>
      </w:r>
      <w:r w:rsidR="00EE4FC3">
        <w:t xml:space="preserve"> </w:t>
      </w:r>
      <w:r w:rsidRPr="00382917">
        <w:t>an</w:t>
      </w:r>
      <w:r w:rsidR="00EE4FC3">
        <w:t xml:space="preserve"> </w:t>
      </w:r>
      <w:r w:rsidRPr="00382917">
        <w:t>international</w:t>
      </w:r>
      <w:r w:rsidR="00EE4FC3">
        <w:t xml:space="preserve"> </w:t>
      </w:r>
      <w:r w:rsidRPr="00382917">
        <w:t>auxiliary</w:t>
      </w:r>
      <w:r w:rsidR="00EE4FC3">
        <w:t xml:space="preserve"> </w:t>
      </w:r>
      <w:r w:rsidRPr="00382917">
        <w:t>language</w:t>
      </w:r>
      <w:r w:rsidR="00552489">
        <w:t>.</w:t>
      </w:r>
      <w:r w:rsidR="00EE4FC3">
        <w:t xml:space="preserve">  </w:t>
      </w:r>
      <w:r w:rsidRPr="00382917">
        <w:t>In</w:t>
      </w:r>
      <w:r w:rsidR="00EE4FC3">
        <w:t xml:space="preserve"> </w:t>
      </w:r>
      <w:r w:rsidRPr="00382917">
        <w:t>short,</w:t>
      </w:r>
      <w:r w:rsidR="00EE4FC3">
        <w:t xml:space="preserve"> </w:t>
      </w:r>
      <w:r w:rsidRPr="00382917">
        <w:t>it</w:t>
      </w:r>
      <w:r w:rsidR="00EE4FC3">
        <w:t xml:space="preserve"> </w:t>
      </w:r>
      <w:r w:rsidRPr="00382917">
        <w:t>would</w:t>
      </w:r>
      <w:r w:rsidR="00EE4FC3">
        <w:t xml:space="preserve"> </w:t>
      </w:r>
      <w:r w:rsidRPr="00382917">
        <w:t>take</w:t>
      </w:r>
      <w:r w:rsidR="00EE4FC3">
        <w:t xml:space="preserve"> </w:t>
      </w:r>
      <w:r w:rsidRPr="00382917">
        <w:t>all</w:t>
      </w:r>
      <w:r w:rsidR="00EE4FC3">
        <w:t xml:space="preserve"> </w:t>
      </w:r>
      <w:r w:rsidRPr="00382917">
        <w:t>the</w:t>
      </w:r>
      <w:r w:rsidR="00EE4FC3">
        <w:t xml:space="preserve"> </w:t>
      </w:r>
      <w:r w:rsidRPr="00382917">
        <w:t>steps</w:t>
      </w:r>
      <w:r w:rsidR="00EE4FC3">
        <w:t xml:space="preserve"> </w:t>
      </w:r>
      <w:r w:rsidRPr="00382917">
        <w:t>necessary</w:t>
      </w:r>
      <w:r w:rsidR="00EE4FC3">
        <w:t xml:space="preserve"> </w:t>
      </w:r>
      <w:r w:rsidRPr="00382917">
        <w:t>to</w:t>
      </w:r>
      <w:r w:rsidR="00EE4FC3">
        <w:t xml:space="preserve"> </w:t>
      </w:r>
      <w:r w:rsidRPr="00382917">
        <w:t>bring</w:t>
      </w:r>
      <w:r w:rsidR="00EE4FC3">
        <w:t xml:space="preserve"> </w:t>
      </w:r>
      <w:r w:rsidRPr="00382917">
        <w:t>about</w:t>
      </w:r>
      <w:r w:rsidR="00EE4FC3">
        <w:t xml:space="preserve"> </w:t>
      </w:r>
      <w:r w:rsidRPr="00382917">
        <w:t>a</w:t>
      </w:r>
      <w:r w:rsidR="00EE4FC3">
        <w:t xml:space="preserve"> </w:t>
      </w:r>
      <w:r w:rsidRPr="00382917">
        <w:t>peace-loving,</w:t>
      </w:r>
      <w:r w:rsidR="00EE4FC3">
        <w:t xml:space="preserve"> </w:t>
      </w:r>
      <w:r w:rsidRPr="00382917">
        <w:t>progressive,</w:t>
      </w:r>
      <w:r w:rsidR="00EE4FC3">
        <w:t xml:space="preserve"> </w:t>
      </w:r>
      <w:r w:rsidRPr="00382917">
        <w:t>prosperous</w:t>
      </w:r>
      <w:r w:rsidR="00EE4FC3">
        <w:t xml:space="preserve"> </w:t>
      </w:r>
      <w:r w:rsidRPr="00382917">
        <w:t>human</w:t>
      </w:r>
      <w:r w:rsidR="00EE4FC3">
        <w:t xml:space="preserve"> </w:t>
      </w:r>
      <w:r w:rsidRPr="00382917">
        <w:t>family.</w:t>
      </w:r>
    </w:p>
    <w:p w:rsidR="006E4F81" w:rsidRPr="00382917" w:rsidRDefault="006E4F81" w:rsidP="004C0EF8">
      <w:pPr>
        <w:pStyle w:val="Text"/>
      </w:pPr>
      <w:r w:rsidRPr="00382917">
        <w:t>Professor</w:t>
      </w:r>
      <w:r w:rsidR="00EE4FC3">
        <w:t xml:space="preserve"> </w:t>
      </w:r>
      <w:r w:rsidRPr="00382917">
        <w:t>Edward</w:t>
      </w:r>
      <w:r w:rsidR="00EE4FC3">
        <w:t xml:space="preserve"> </w:t>
      </w:r>
      <w:r w:rsidRPr="00382917">
        <w:t>G.</w:t>
      </w:r>
      <w:r w:rsidR="00EE4FC3">
        <w:t xml:space="preserve"> </w:t>
      </w:r>
      <w:r w:rsidRPr="00382917">
        <w:t>Browne</w:t>
      </w:r>
      <w:r w:rsidR="00EE4FC3">
        <w:t xml:space="preserve"> </w:t>
      </w:r>
      <w:r w:rsidRPr="00382917">
        <w:t>of</w:t>
      </w:r>
      <w:r w:rsidR="00EE4FC3">
        <w:t xml:space="preserve"> </w:t>
      </w:r>
      <w:r w:rsidRPr="00382917">
        <w:t>the</w:t>
      </w:r>
      <w:r w:rsidR="00EE4FC3">
        <w:t xml:space="preserve"> </w:t>
      </w:r>
      <w:r w:rsidRPr="00382917">
        <w:t>University</w:t>
      </w:r>
      <w:r w:rsidR="00EE4FC3">
        <w:t xml:space="preserve"> </w:t>
      </w:r>
      <w:r w:rsidRPr="00382917">
        <w:t>of</w:t>
      </w:r>
      <w:r w:rsidR="00EE4FC3">
        <w:t xml:space="preserve"> </w:t>
      </w:r>
      <w:r w:rsidRPr="00382917">
        <w:t>Cambridge</w:t>
      </w:r>
      <w:r w:rsidR="00EE4FC3">
        <w:t xml:space="preserve"> </w:t>
      </w:r>
      <w:r w:rsidRPr="00382917">
        <w:t>visited</w:t>
      </w:r>
      <w:r w:rsidR="00EE4FC3">
        <w:t xml:space="preserve"> </w:t>
      </w:r>
      <w:r w:rsidRPr="00382917">
        <w:t>Bahá</w:t>
      </w:r>
      <w:r w:rsidR="009C713D" w:rsidRPr="00382917">
        <w:t>’</w:t>
      </w:r>
      <w:r w:rsidRPr="00382917">
        <w:t>u</w:t>
      </w:r>
      <w:r w:rsidR="009C713D" w:rsidRPr="00382917">
        <w:t>’</w:t>
      </w:r>
      <w:r w:rsidRPr="00382917">
        <w:t>lláh</w:t>
      </w:r>
      <w:r w:rsidR="00EE4FC3">
        <w:t xml:space="preserve"> </w:t>
      </w:r>
      <w:r w:rsidRPr="00382917">
        <w:t>in</w:t>
      </w:r>
      <w:r w:rsidR="00EE4FC3">
        <w:t xml:space="preserve"> </w:t>
      </w:r>
      <w:r w:rsidRPr="00382917">
        <w:t>1890</w:t>
      </w:r>
      <w:r w:rsidR="00552489">
        <w:t>.</w:t>
      </w:r>
      <w:r w:rsidR="00EE4FC3">
        <w:t xml:space="preserve">  </w:t>
      </w:r>
      <w:r w:rsidRPr="00382917">
        <w:t>He</w:t>
      </w:r>
      <w:r w:rsidR="00EE4FC3">
        <w:t xml:space="preserve"> </w:t>
      </w:r>
      <w:r w:rsidRPr="00382917">
        <w:t>wrote</w:t>
      </w:r>
      <w:r w:rsidR="00EE4FC3">
        <w:t xml:space="preserve"> </w:t>
      </w:r>
      <w:r w:rsidRPr="00382917">
        <w:t>of</w:t>
      </w:r>
      <w:r w:rsidR="00EE4FC3">
        <w:t xml:space="preserve"> </w:t>
      </w:r>
      <w:r w:rsidRPr="00382917">
        <w:t>that</w:t>
      </w:r>
      <w:r w:rsidR="00EE4FC3">
        <w:t xml:space="preserve"> </w:t>
      </w:r>
      <w:r w:rsidRPr="00382917">
        <w:t>moment</w:t>
      </w:r>
      <w:r w:rsidR="00EE4FC3">
        <w:t xml:space="preserve"> </w:t>
      </w:r>
      <w:r w:rsidRPr="00382917">
        <w:t>as</w:t>
      </w:r>
      <w:r w:rsidR="00EE4FC3">
        <w:t xml:space="preserve"> </w:t>
      </w:r>
      <w:r w:rsidRPr="00382917">
        <w:t>follows:</w:t>
      </w:r>
    </w:p>
    <w:p w:rsidR="006E4F81" w:rsidRPr="00382917" w:rsidRDefault="009C713D" w:rsidP="000325BE">
      <w:pPr>
        <w:pStyle w:val="Quote"/>
      </w:pPr>
      <w:r w:rsidRPr="00382917">
        <w:t>“</w:t>
      </w:r>
      <w:r w:rsidR="006E4F81" w:rsidRPr="00382917">
        <w:t>The</w:t>
      </w:r>
      <w:r w:rsidR="00EE4FC3">
        <w:t xml:space="preserve"> </w:t>
      </w:r>
      <w:r w:rsidR="006E4F81" w:rsidRPr="00382917">
        <w:t>face</w:t>
      </w:r>
      <w:r w:rsidR="00EE4FC3">
        <w:t xml:space="preserve"> </w:t>
      </w:r>
      <w:r w:rsidR="006E4F81" w:rsidRPr="00382917">
        <w:t>of</w:t>
      </w:r>
      <w:r w:rsidR="00EE4FC3">
        <w:t xml:space="preserve"> </w:t>
      </w:r>
      <w:r w:rsidR="006E4F81" w:rsidRPr="00382917">
        <w:t>him</w:t>
      </w:r>
      <w:r w:rsidR="00EE4FC3">
        <w:t xml:space="preserve"> </w:t>
      </w:r>
      <w:r w:rsidR="006E4F81" w:rsidRPr="00382917">
        <w:t>on</w:t>
      </w:r>
      <w:r w:rsidR="00EE4FC3">
        <w:t xml:space="preserve"> </w:t>
      </w:r>
      <w:r w:rsidR="006E4F81" w:rsidRPr="00382917">
        <w:t>whom</w:t>
      </w:r>
      <w:r w:rsidR="00EE4FC3">
        <w:t xml:space="preserve"> </w:t>
      </w:r>
      <w:r w:rsidR="006E4F81" w:rsidRPr="00382917">
        <w:t>I</w:t>
      </w:r>
      <w:r w:rsidR="00EE4FC3">
        <w:t xml:space="preserve"> </w:t>
      </w:r>
      <w:r w:rsidR="006E4F81" w:rsidRPr="00382917">
        <w:t>gazed</w:t>
      </w:r>
      <w:r w:rsidR="00EE4FC3">
        <w:t xml:space="preserve"> </w:t>
      </w:r>
      <w:r w:rsidR="006E4F81" w:rsidRPr="00382917">
        <w:t>I</w:t>
      </w:r>
      <w:r w:rsidR="00EE4FC3">
        <w:t xml:space="preserve"> </w:t>
      </w:r>
      <w:r w:rsidR="006E4F81" w:rsidRPr="00382917">
        <w:t>can</w:t>
      </w:r>
      <w:r w:rsidR="00EE4FC3">
        <w:t xml:space="preserve"> </w:t>
      </w:r>
      <w:r w:rsidR="006E4F81" w:rsidRPr="00382917">
        <w:t>never</w:t>
      </w:r>
      <w:r w:rsidR="00EE4FC3">
        <w:t xml:space="preserve"> </w:t>
      </w:r>
      <w:r w:rsidR="006E4F81" w:rsidRPr="00382917">
        <w:t>forget,</w:t>
      </w:r>
      <w:r w:rsidR="00EE4FC3">
        <w:t xml:space="preserve"> </w:t>
      </w:r>
      <w:r w:rsidR="006E4F81" w:rsidRPr="00382917">
        <w:t>though</w:t>
      </w:r>
      <w:r w:rsidR="00EE4FC3">
        <w:t xml:space="preserve"> </w:t>
      </w:r>
      <w:r w:rsidR="006E4F81" w:rsidRPr="00382917">
        <w:t>I</w:t>
      </w:r>
      <w:r w:rsidR="00EE4FC3">
        <w:t xml:space="preserve"> </w:t>
      </w:r>
      <w:r w:rsidR="006E4F81" w:rsidRPr="00382917">
        <w:t>cannot</w:t>
      </w:r>
      <w:r w:rsidR="00EE4FC3">
        <w:t xml:space="preserve"> </w:t>
      </w:r>
      <w:r w:rsidR="006E4F81" w:rsidRPr="00382917">
        <w:t>describe</w:t>
      </w:r>
      <w:r w:rsidR="00EE4FC3">
        <w:t xml:space="preserve"> </w:t>
      </w:r>
      <w:r w:rsidR="006E4F81" w:rsidRPr="00382917">
        <w:t>it</w:t>
      </w:r>
      <w:r w:rsidR="00552489">
        <w:t>.</w:t>
      </w:r>
      <w:r w:rsidR="00EE4FC3">
        <w:t xml:space="preserve">  </w:t>
      </w:r>
      <w:r w:rsidR="006E4F81" w:rsidRPr="00382917">
        <w:t>Those</w:t>
      </w:r>
      <w:r w:rsidR="00EE4FC3">
        <w:t xml:space="preserve"> </w:t>
      </w:r>
      <w:r w:rsidR="006E4F81" w:rsidRPr="00382917">
        <w:t>piercing</w:t>
      </w:r>
      <w:r w:rsidR="00EE4FC3">
        <w:t xml:space="preserve"> </w:t>
      </w:r>
      <w:r w:rsidR="006E4F81" w:rsidRPr="00382917">
        <w:t>eyes</w:t>
      </w:r>
      <w:r w:rsidR="00EE4FC3">
        <w:t xml:space="preserve"> </w:t>
      </w:r>
      <w:r w:rsidR="006E4F81" w:rsidRPr="00382917">
        <w:t>seemed</w:t>
      </w:r>
      <w:r w:rsidR="00EE4FC3">
        <w:t xml:space="preserve"> </w:t>
      </w:r>
      <w:r w:rsidR="006E4F81" w:rsidRPr="00382917">
        <w:t>to</w:t>
      </w:r>
      <w:r w:rsidR="00EE4FC3">
        <w:t xml:space="preserve"> </w:t>
      </w:r>
      <w:r w:rsidR="006E4F81" w:rsidRPr="00382917">
        <w:t>read</w:t>
      </w:r>
      <w:r w:rsidR="00EE4FC3">
        <w:t xml:space="preserve"> </w:t>
      </w:r>
      <w:r w:rsidR="006E4F81" w:rsidRPr="00382917">
        <w:t>one</w:t>
      </w:r>
      <w:r w:rsidRPr="00382917">
        <w:t>’</w:t>
      </w:r>
      <w:r w:rsidR="006E4F81" w:rsidRPr="00382917">
        <w:t>s</w:t>
      </w:r>
      <w:r w:rsidR="00EE4FC3">
        <w:t xml:space="preserve"> </w:t>
      </w:r>
      <w:r w:rsidR="006E4F81" w:rsidRPr="00382917">
        <w:t>very</w:t>
      </w:r>
      <w:r w:rsidR="00EE4FC3">
        <w:t xml:space="preserve"> </w:t>
      </w:r>
      <w:r w:rsidR="006E4F81" w:rsidRPr="00382917">
        <w:t>soul;</w:t>
      </w:r>
      <w:r w:rsidR="00EE4FC3">
        <w:t xml:space="preserve"> </w:t>
      </w:r>
      <w:r w:rsidR="006E4F81" w:rsidRPr="00382917">
        <w:t>power</w:t>
      </w:r>
      <w:r w:rsidR="00EE4FC3">
        <w:t xml:space="preserve"> </w:t>
      </w:r>
      <w:r w:rsidR="006E4F81" w:rsidRPr="00382917">
        <w:t>and</w:t>
      </w:r>
      <w:r w:rsidR="00EE4FC3">
        <w:t xml:space="preserve"> </w:t>
      </w:r>
      <w:r w:rsidR="006E4F81" w:rsidRPr="00382917">
        <w:t>authority</w:t>
      </w:r>
      <w:r w:rsidR="00EE4FC3">
        <w:t xml:space="preserve"> </w:t>
      </w:r>
      <w:r w:rsidR="006E4F81" w:rsidRPr="00382917">
        <w:t>sat</w:t>
      </w:r>
      <w:r w:rsidR="00EE4FC3">
        <w:t xml:space="preserve"> </w:t>
      </w:r>
      <w:r w:rsidR="006E4F81" w:rsidRPr="00382917">
        <w:t>on</w:t>
      </w:r>
      <w:r w:rsidR="00EE4FC3">
        <w:t xml:space="preserve"> </w:t>
      </w:r>
      <w:r w:rsidR="006E4F81" w:rsidRPr="00382917">
        <w:t>that</w:t>
      </w:r>
      <w:r w:rsidR="00EE4FC3">
        <w:t xml:space="preserve"> </w:t>
      </w:r>
      <w:r w:rsidR="006E4F81" w:rsidRPr="00382917">
        <w:t>ample</w:t>
      </w:r>
      <w:r w:rsidR="00EE4FC3">
        <w:t xml:space="preserve"> </w:t>
      </w:r>
      <w:r w:rsidR="006E4F81" w:rsidRPr="00382917">
        <w:t>brow</w:t>
      </w:r>
      <w:r w:rsidR="000325BE">
        <w:t xml:space="preserve"> </w:t>
      </w:r>
      <w:r w:rsidR="00F04416" w:rsidRPr="00382917">
        <w:t>…</w:t>
      </w:r>
      <w:r w:rsidR="00552489">
        <w:t>.</w:t>
      </w:r>
      <w:r w:rsidR="00EE4FC3">
        <w:t xml:space="preserve">  </w:t>
      </w:r>
      <w:r w:rsidR="006E4F81" w:rsidRPr="00382917">
        <w:t>No</w:t>
      </w:r>
      <w:r w:rsidR="00EE4FC3">
        <w:t xml:space="preserve"> </w:t>
      </w:r>
      <w:r w:rsidR="006E4F81" w:rsidRPr="00382917">
        <w:t>need</w:t>
      </w:r>
      <w:r w:rsidR="00EE4FC3">
        <w:t xml:space="preserve"> </w:t>
      </w:r>
      <w:r w:rsidR="006E4F81" w:rsidRPr="00382917">
        <w:t>to</w:t>
      </w:r>
      <w:r w:rsidR="00EE4FC3">
        <w:t xml:space="preserve"> </w:t>
      </w:r>
      <w:r w:rsidR="006E4F81" w:rsidRPr="00382917">
        <w:t>ask</w:t>
      </w:r>
      <w:r w:rsidR="00EE4FC3">
        <w:t xml:space="preserve"> </w:t>
      </w:r>
      <w:r w:rsidR="006E4F81" w:rsidRPr="00382917">
        <w:t>in</w:t>
      </w:r>
      <w:r w:rsidR="00EE4FC3">
        <w:t xml:space="preserve"> </w:t>
      </w:r>
      <w:r w:rsidR="006E4F81" w:rsidRPr="00382917">
        <w:t>whose</w:t>
      </w:r>
      <w:r w:rsidR="00EE4FC3">
        <w:t xml:space="preserve"> </w:t>
      </w:r>
      <w:r w:rsidR="006E4F81" w:rsidRPr="00382917">
        <w:t>presence</w:t>
      </w:r>
      <w:r w:rsidR="00EE4FC3">
        <w:t xml:space="preserve"> </w:t>
      </w:r>
      <w:r w:rsidR="006E4F81" w:rsidRPr="00382917">
        <w:t>I</w:t>
      </w:r>
      <w:r w:rsidR="00EE4FC3">
        <w:t xml:space="preserve"> </w:t>
      </w:r>
      <w:r w:rsidR="006E4F81" w:rsidRPr="00382917">
        <w:t>stood,</w:t>
      </w:r>
      <w:r w:rsidR="00EE4FC3">
        <w:t xml:space="preserve"> </w:t>
      </w:r>
      <w:r w:rsidR="006E4F81" w:rsidRPr="00382917">
        <w:t>as</w:t>
      </w:r>
      <w:r w:rsidR="00EE4FC3">
        <w:t xml:space="preserve"> </w:t>
      </w:r>
      <w:r w:rsidR="006E4F81" w:rsidRPr="00382917">
        <w:t>I</w:t>
      </w:r>
      <w:r w:rsidR="00EE4FC3">
        <w:t xml:space="preserve"> </w:t>
      </w:r>
      <w:r w:rsidR="006E4F81" w:rsidRPr="00382917">
        <w:t>bowed</w:t>
      </w:r>
      <w:r w:rsidR="00EE4FC3">
        <w:t xml:space="preserve"> </w:t>
      </w:r>
      <w:r w:rsidR="006E4F81" w:rsidRPr="00382917">
        <w:t>myself</w:t>
      </w:r>
      <w:r w:rsidR="00EE4FC3">
        <w:t xml:space="preserve"> </w:t>
      </w:r>
      <w:r w:rsidR="006E4F81" w:rsidRPr="00382917">
        <w:t>before</w:t>
      </w:r>
      <w:r w:rsidR="00EE4FC3">
        <w:t xml:space="preserve"> </w:t>
      </w:r>
      <w:r w:rsidR="006E4F81" w:rsidRPr="00382917">
        <w:t>one</w:t>
      </w:r>
      <w:r w:rsidR="00EE4FC3">
        <w:t xml:space="preserve"> </w:t>
      </w:r>
      <w:r w:rsidR="006E4F81" w:rsidRPr="00382917">
        <w:t>who</w:t>
      </w:r>
      <w:r w:rsidR="00EE4FC3">
        <w:t xml:space="preserve"> </w:t>
      </w:r>
      <w:r w:rsidR="006E4F81" w:rsidRPr="00382917">
        <w:t>is</w:t>
      </w:r>
      <w:r w:rsidR="00EE4FC3">
        <w:t xml:space="preserve"> </w:t>
      </w:r>
      <w:r w:rsidR="006E4F81" w:rsidRPr="00382917">
        <w:t>the</w:t>
      </w:r>
      <w:r w:rsidR="00EE4FC3">
        <w:t xml:space="preserve"> </w:t>
      </w:r>
      <w:r w:rsidR="006E4F81" w:rsidRPr="00382917">
        <w:t>object</w:t>
      </w:r>
      <w:r w:rsidR="00EE4FC3">
        <w:t xml:space="preserve"> </w:t>
      </w:r>
      <w:r w:rsidR="006E4F81" w:rsidRPr="00382917">
        <w:t>of</w:t>
      </w:r>
      <w:r w:rsidR="00EE4FC3">
        <w:t xml:space="preserve"> </w:t>
      </w:r>
      <w:proofErr w:type="gramStart"/>
      <w:r w:rsidR="006E4F81" w:rsidRPr="00382917">
        <w:t>a</w:t>
      </w:r>
      <w:r w:rsidR="00EE4FC3">
        <w:t xml:space="preserve"> </w:t>
      </w:r>
      <w:r w:rsidR="006E4F81" w:rsidRPr="00382917">
        <w:t>devotion</w:t>
      </w:r>
      <w:proofErr w:type="gramEnd"/>
      <w:r w:rsidR="00EE4FC3">
        <w:t xml:space="preserve"> </w:t>
      </w:r>
      <w:r w:rsidR="006E4F81" w:rsidRPr="00382917">
        <w:t>and</w:t>
      </w:r>
      <w:r w:rsidR="00EE4FC3">
        <w:t xml:space="preserve"> </w:t>
      </w:r>
      <w:r w:rsidR="006E4F81" w:rsidRPr="00382917">
        <w:t>love</w:t>
      </w:r>
      <w:r w:rsidR="00EE4FC3">
        <w:t xml:space="preserve"> </w:t>
      </w:r>
      <w:r w:rsidR="006E4F81" w:rsidRPr="00382917">
        <w:t>which</w:t>
      </w:r>
      <w:r w:rsidR="00EE4FC3">
        <w:t xml:space="preserve"> </w:t>
      </w:r>
      <w:r w:rsidR="006E4F81" w:rsidRPr="00382917">
        <w:t>kings</w:t>
      </w:r>
      <w:r w:rsidR="00EE4FC3">
        <w:t xml:space="preserve"> </w:t>
      </w:r>
      <w:r w:rsidR="006E4F81" w:rsidRPr="00382917">
        <w:t>might</w:t>
      </w:r>
      <w:r w:rsidR="00EE4FC3">
        <w:t xml:space="preserve"> </w:t>
      </w:r>
      <w:r w:rsidR="006E4F81" w:rsidRPr="00382917">
        <w:t>envy</w:t>
      </w:r>
      <w:r w:rsidR="00EE4FC3">
        <w:t xml:space="preserve"> </w:t>
      </w:r>
      <w:r w:rsidR="006E4F81" w:rsidRPr="00382917">
        <w:t>and</w:t>
      </w:r>
      <w:r w:rsidR="00EE4FC3">
        <w:t xml:space="preserve"> </w:t>
      </w:r>
      <w:r w:rsidR="006E4F81" w:rsidRPr="00382917">
        <w:t>emperors</w:t>
      </w:r>
      <w:r w:rsidR="00EE4FC3">
        <w:t xml:space="preserve"> </w:t>
      </w:r>
      <w:r w:rsidR="006E4F81" w:rsidRPr="00382917">
        <w:t>sigh</w:t>
      </w:r>
      <w:r w:rsidR="00EE4FC3">
        <w:t xml:space="preserve"> </w:t>
      </w:r>
      <w:r w:rsidR="006E4F81" w:rsidRPr="00382917">
        <w:t>for</w:t>
      </w:r>
      <w:r w:rsidR="00EE4FC3">
        <w:t xml:space="preserve"> </w:t>
      </w:r>
      <w:r w:rsidR="006E4F81" w:rsidRPr="00382917">
        <w:t>in</w:t>
      </w:r>
      <w:r w:rsidR="00EE4FC3">
        <w:t xml:space="preserve"> </w:t>
      </w:r>
      <w:r w:rsidR="006E4F81" w:rsidRPr="00382917">
        <w:t>vain!</w:t>
      </w:r>
    </w:p>
    <w:p w:rsidR="006E4F81" w:rsidRPr="00382917" w:rsidRDefault="009C713D" w:rsidP="007F4BA4">
      <w:pPr>
        <w:pStyle w:val="Quote"/>
      </w:pPr>
      <w:r w:rsidRPr="00382917">
        <w:t>“</w:t>
      </w:r>
      <w:r w:rsidR="006E4F81" w:rsidRPr="00382917">
        <w:t>A</w:t>
      </w:r>
      <w:r w:rsidR="00EE4FC3">
        <w:t xml:space="preserve"> </w:t>
      </w:r>
      <w:r w:rsidR="006E4F81" w:rsidRPr="00382917">
        <w:t>mild</w:t>
      </w:r>
      <w:r w:rsidR="00EE4FC3">
        <w:t xml:space="preserve"> </w:t>
      </w:r>
      <w:r w:rsidR="006E4F81" w:rsidRPr="00382917">
        <w:t>dignified</w:t>
      </w:r>
      <w:r w:rsidR="00EE4FC3">
        <w:t xml:space="preserve"> </w:t>
      </w:r>
      <w:r w:rsidR="006E4F81" w:rsidRPr="00382917">
        <w:t>voice</w:t>
      </w:r>
      <w:r w:rsidR="00EE4FC3">
        <w:t xml:space="preserve"> </w:t>
      </w:r>
      <w:r w:rsidR="006E4F81" w:rsidRPr="00382917">
        <w:t>bade</w:t>
      </w:r>
      <w:r w:rsidR="00EE4FC3">
        <w:t xml:space="preserve"> </w:t>
      </w:r>
      <w:r w:rsidR="006E4F81" w:rsidRPr="00382917">
        <w:t>me</w:t>
      </w:r>
      <w:r w:rsidR="00EE4FC3">
        <w:t xml:space="preserve"> </w:t>
      </w:r>
      <w:r w:rsidR="006E4F81" w:rsidRPr="00382917">
        <w:t>be</w:t>
      </w:r>
      <w:r w:rsidR="00EE4FC3">
        <w:t xml:space="preserve"> </w:t>
      </w:r>
      <w:r w:rsidR="006E4F81" w:rsidRPr="00382917">
        <w:t>seated,</w:t>
      </w:r>
      <w:r w:rsidR="00EE4FC3">
        <w:t xml:space="preserve"> </w:t>
      </w:r>
      <w:r w:rsidR="006E4F81" w:rsidRPr="00382917">
        <w:t>and</w:t>
      </w:r>
      <w:r w:rsidR="00EE4FC3">
        <w:t xml:space="preserve"> </w:t>
      </w:r>
      <w:r w:rsidR="006E4F81" w:rsidRPr="00382917">
        <w:t>then</w:t>
      </w:r>
      <w:r w:rsidR="00EE4FC3">
        <w:t xml:space="preserve"> </w:t>
      </w:r>
      <w:r w:rsidR="006E4F81" w:rsidRPr="00382917">
        <w:t>continued</w:t>
      </w:r>
      <w:r w:rsidR="00C03C91">
        <w:t>:</w:t>
      </w:r>
      <w:r w:rsidR="00EE4FC3">
        <w:t xml:space="preserve">  </w:t>
      </w:r>
      <w:r w:rsidRPr="00382917">
        <w:t>‘</w:t>
      </w:r>
      <w:proofErr w:type="gramStart"/>
      <w:r w:rsidR="000325BE">
        <w:t xml:space="preserve">… </w:t>
      </w:r>
      <w:proofErr w:type="gramEnd"/>
      <w:r w:rsidR="006E4F81" w:rsidRPr="00382917">
        <w:t>Thou</w:t>
      </w:r>
      <w:r w:rsidR="00EE4FC3">
        <w:t xml:space="preserve"> </w:t>
      </w:r>
      <w:r w:rsidR="006E4F81" w:rsidRPr="00382917">
        <w:t>hast</w:t>
      </w:r>
      <w:r w:rsidR="00EE4FC3">
        <w:t xml:space="preserve"> </w:t>
      </w:r>
      <w:r w:rsidR="006E4F81" w:rsidRPr="00382917">
        <w:t>come</w:t>
      </w:r>
      <w:r w:rsidR="00EE4FC3">
        <w:t xml:space="preserve"> </w:t>
      </w:r>
      <w:r w:rsidR="006E4F81" w:rsidRPr="00382917">
        <w:t>to</w:t>
      </w:r>
      <w:r w:rsidR="00EE4FC3">
        <w:t xml:space="preserve"> </w:t>
      </w:r>
      <w:r w:rsidR="006E4F81" w:rsidRPr="00382917">
        <w:t>see</w:t>
      </w:r>
      <w:r w:rsidR="00EE4FC3">
        <w:t xml:space="preserve"> </w:t>
      </w:r>
      <w:r w:rsidR="006E4F81" w:rsidRPr="00382917">
        <w:t>a</w:t>
      </w:r>
      <w:r w:rsidR="00EE4FC3">
        <w:t xml:space="preserve"> </w:t>
      </w:r>
      <w:r w:rsidR="006E4F81" w:rsidRPr="00382917">
        <w:t>prisoner</w:t>
      </w:r>
      <w:r w:rsidR="00EE4FC3">
        <w:t xml:space="preserve"> </w:t>
      </w:r>
      <w:r w:rsidR="006E4F81" w:rsidRPr="00382917">
        <w:t>and</w:t>
      </w:r>
      <w:r w:rsidR="00EE4FC3">
        <w:t xml:space="preserve"> </w:t>
      </w:r>
      <w:r w:rsidR="006E4F81" w:rsidRPr="00382917">
        <w:t>an</w:t>
      </w:r>
      <w:r w:rsidR="00EE4FC3">
        <w:t xml:space="preserve"> </w:t>
      </w:r>
      <w:r w:rsidR="006E4F81" w:rsidRPr="00382917">
        <w:t>exile</w:t>
      </w:r>
      <w:proofErr w:type="gramStart"/>
      <w:r w:rsidR="000325BE">
        <w:t xml:space="preserve">. </w:t>
      </w:r>
      <w:proofErr w:type="gramEnd"/>
      <w:r w:rsidR="00F04416" w:rsidRPr="00382917">
        <w:t>…</w:t>
      </w:r>
      <w:r w:rsidR="00EE4FC3">
        <w:t xml:space="preserve">  </w:t>
      </w:r>
      <w:r w:rsidR="006E4F81" w:rsidRPr="00382917">
        <w:t>We</w:t>
      </w:r>
      <w:r w:rsidR="00EE4FC3">
        <w:t xml:space="preserve"> </w:t>
      </w:r>
      <w:r w:rsidR="006E4F81" w:rsidRPr="00382917">
        <w:t>desire</w:t>
      </w:r>
      <w:r w:rsidR="00EE4FC3">
        <w:t xml:space="preserve"> </w:t>
      </w:r>
      <w:r w:rsidR="006E4F81" w:rsidRPr="00382917">
        <w:t>but</w:t>
      </w:r>
      <w:r w:rsidR="00EE4FC3">
        <w:t xml:space="preserve"> </w:t>
      </w:r>
      <w:r w:rsidR="006E4F81" w:rsidRPr="00382917">
        <w:t>the</w:t>
      </w:r>
      <w:r w:rsidR="00EE4FC3">
        <w:t xml:space="preserve"> </w:t>
      </w:r>
      <w:r w:rsidR="006E4F81" w:rsidRPr="00382917">
        <w:t>good</w:t>
      </w:r>
      <w:r w:rsidR="00EE4FC3">
        <w:t xml:space="preserve"> </w:t>
      </w:r>
      <w:r w:rsidR="006E4F81" w:rsidRPr="00382917">
        <w:t>of</w:t>
      </w:r>
      <w:r w:rsidR="00EE4FC3">
        <w:t xml:space="preserve"> </w:t>
      </w:r>
      <w:r w:rsidR="006E4F81" w:rsidRPr="00382917">
        <w:t>the</w:t>
      </w:r>
      <w:r w:rsidR="00EE4FC3">
        <w:t xml:space="preserve"> </w:t>
      </w:r>
      <w:r w:rsidR="006E4F81" w:rsidRPr="00382917">
        <w:t>world</w:t>
      </w:r>
      <w:r w:rsidR="00EE4FC3">
        <w:t xml:space="preserve"> </w:t>
      </w:r>
      <w:r w:rsidR="006E4F81" w:rsidRPr="00382917">
        <w:t>and</w:t>
      </w:r>
      <w:r w:rsidR="00EE4FC3">
        <w:t xml:space="preserve"> </w:t>
      </w:r>
      <w:r w:rsidR="006E4F81" w:rsidRPr="00382917">
        <w:t>the</w:t>
      </w:r>
      <w:r w:rsidR="00EE4FC3">
        <w:t xml:space="preserve"> </w:t>
      </w:r>
      <w:r w:rsidR="006E4F81" w:rsidRPr="00382917">
        <w:t>happiness</w:t>
      </w:r>
      <w:r w:rsidR="00EE4FC3">
        <w:t xml:space="preserve"> </w:t>
      </w:r>
      <w:r w:rsidR="006E4F81" w:rsidRPr="00382917">
        <w:t>of</w:t>
      </w:r>
      <w:r w:rsidR="00EE4FC3">
        <w:t xml:space="preserve"> </w:t>
      </w:r>
      <w:r w:rsidR="006E4F81" w:rsidRPr="00382917">
        <w:t>nations</w:t>
      </w:r>
      <w:proofErr w:type="gramStart"/>
      <w:r w:rsidR="000325BE">
        <w:t xml:space="preserve">. </w:t>
      </w:r>
      <w:proofErr w:type="gramEnd"/>
      <w:r w:rsidR="00F04416" w:rsidRPr="00382917">
        <w:t>…</w:t>
      </w:r>
      <w:r w:rsidR="00EE4FC3">
        <w:t xml:space="preserve">  </w:t>
      </w:r>
      <w:r w:rsidR="006E4F81" w:rsidRPr="00382917">
        <w:t>That</w:t>
      </w:r>
      <w:r w:rsidR="00EE4FC3">
        <w:t xml:space="preserve"> </w:t>
      </w:r>
      <w:r w:rsidR="006E4F81" w:rsidRPr="00382917">
        <w:t>all</w:t>
      </w:r>
      <w:r w:rsidR="00EE4FC3">
        <w:t xml:space="preserve"> </w:t>
      </w:r>
      <w:r w:rsidR="006E4F81" w:rsidRPr="00382917">
        <w:t>nations</w:t>
      </w:r>
      <w:r w:rsidR="00EE4FC3">
        <w:t xml:space="preserve"> </w:t>
      </w:r>
      <w:r w:rsidR="006E4F81" w:rsidRPr="00382917">
        <w:t>should</w:t>
      </w:r>
      <w:r w:rsidR="00EE4FC3">
        <w:t xml:space="preserve"> </w:t>
      </w:r>
      <w:r w:rsidR="006E4F81" w:rsidRPr="00382917">
        <w:t>become</w:t>
      </w:r>
      <w:r w:rsidR="00EE4FC3">
        <w:t xml:space="preserve"> </w:t>
      </w:r>
      <w:r w:rsidR="006E4F81" w:rsidRPr="00382917">
        <w:t>one</w:t>
      </w:r>
      <w:r w:rsidR="00EE4FC3">
        <w:t xml:space="preserve"> </w:t>
      </w:r>
      <w:r w:rsidR="006E4F81" w:rsidRPr="00382917">
        <w:t>in</w:t>
      </w:r>
      <w:r w:rsidR="00EE4FC3">
        <w:t xml:space="preserve"> </w:t>
      </w:r>
      <w:r w:rsidR="006E4F81" w:rsidRPr="00382917">
        <w:t>faith</w:t>
      </w:r>
      <w:r w:rsidR="00EE4FC3">
        <w:t xml:space="preserve"> </w:t>
      </w:r>
      <w:r w:rsidR="006E4F81" w:rsidRPr="00382917">
        <w:t>and</w:t>
      </w:r>
      <w:r w:rsidR="00EE4FC3">
        <w:t xml:space="preserve"> </w:t>
      </w:r>
      <w:r w:rsidR="006E4F81" w:rsidRPr="00382917">
        <w:t>all</w:t>
      </w:r>
      <w:r w:rsidR="00EE4FC3">
        <w:t xml:space="preserve"> </w:t>
      </w:r>
      <w:r w:rsidR="006E4F81" w:rsidRPr="00382917">
        <w:t>men</w:t>
      </w:r>
      <w:r w:rsidR="00EE4FC3">
        <w:t xml:space="preserve"> </w:t>
      </w:r>
      <w:r w:rsidR="006E4F81" w:rsidRPr="00382917">
        <w:t>as</w:t>
      </w:r>
      <w:r w:rsidR="00EE4FC3">
        <w:t xml:space="preserve"> </w:t>
      </w:r>
      <w:r w:rsidR="006E4F81" w:rsidRPr="00382917">
        <w:t>brothers;</w:t>
      </w:r>
      <w:r w:rsidR="00EE4FC3">
        <w:t xml:space="preserve"> </w:t>
      </w:r>
      <w:r w:rsidR="006E4F81" w:rsidRPr="00382917">
        <w:t>that</w:t>
      </w:r>
      <w:r w:rsidR="00EE4FC3">
        <w:t xml:space="preserve"> </w:t>
      </w:r>
      <w:r w:rsidR="006E4F81" w:rsidRPr="00382917">
        <w:t>the</w:t>
      </w:r>
      <w:r w:rsidR="00EE4FC3">
        <w:t xml:space="preserve"> </w:t>
      </w:r>
      <w:r w:rsidR="006E4F81" w:rsidRPr="00382917">
        <w:t>bonds</w:t>
      </w:r>
      <w:r w:rsidR="00EE4FC3">
        <w:t xml:space="preserve"> </w:t>
      </w:r>
      <w:r w:rsidR="006E4F81" w:rsidRPr="00382917">
        <w:t>of</w:t>
      </w:r>
      <w:r w:rsidR="00EE4FC3">
        <w:t xml:space="preserve"> </w:t>
      </w:r>
      <w:r w:rsidR="006E4F81" w:rsidRPr="00382917">
        <w:t>affection</w:t>
      </w:r>
      <w:r w:rsidR="00EE4FC3">
        <w:t xml:space="preserve"> </w:t>
      </w:r>
      <w:r w:rsidR="006E4F81" w:rsidRPr="00382917">
        <w:t>and</w:t>
      </w:r>
      <w:r w:rsidR="00EE4FC3">
        <w:t xml:space="preserve"> </w:t>
      </w:r>
      <w:r w:rsidR="006E4F81" w:rsidRPr="00382917">
        <w:t>unity</w:t>
      </w:r>
      <w:r w:rsidR="00EE4FC3">
        <w:t xml:space="preserve"> </w:t>
      </w:r>
      <w:r w:rsidR="006E4F81" w:rsidRPr="00382917">
        <w:t>between</w:t>
      </w:r>
      <w:r w:rsidR="00EE4FC3">
        <w:t xml:space="preserve"> </w:t>
      </w:r>
      <w:r w:rsidR="006E4F81" w:rsidRPr="00382917">
        <w:t>the</w:t>
      </w:r>
      <w:r w:rsidR="00EE4FC3">
        <w:t xml:space="preserve"> </w:t>
      </w:r>
      <w:r w:rsidR="006E4F81" w:rsidRPr="00382917">
        <w:t>sons</w:t>
      </w:r>
      <w:r w:rsidR="00EE4FC3">
        <w:t xml:space="preserve"> </w:t>
      </w:r>
      <w:r w:rsidR="006E4F81" w:rsidRPr="00382917">
        <w:t>of</w:t>
      </w:r>
      <w:r w:rsidR="00EE4FC3">
        <w:t xml:space="preserve"> </w:t>
      </w:r>
      <w:r w:rsidR="006E4F81" w:rsidRPr="00382917">
        <w:t>men</w:t>
      </w:r>
      <w:r w:rsidR="00EE4FC3">
        <w:t xml:space="preserve"> </w:t>
      </w:r>
      <w:r w:rsidR="006E4F81" w:rsidRPr="00382917">
        <w:t>should</w:t>
      </w:r>
      <w:r w:rsidR="00EE4FC3">
        <w:t xml:space="preserve"> </w:t>
      </w:r>
      <w:r w:rsidR="006E4F81" w:rsidRPr="00382917">
        <w:t>be</w:t>
      </w:r>
      <w:r w:rsidR="00EE4FC3">
        <w:t xml:space="preserve"> </w:t>
      </w:r>
      <w:r w:rsidR="006E4F81" w:rsidRPr="00382917">
        <w:t>strengthened;</w:t>
      </w:r>
      <w:r w:rsidR="00EE4FC3">
        <w:t xml:space="preserve"> </w:t>
      </w:r>
      <w:r w:rsidR="006E4F81" w:rsidRPr="00382917">
        <w:t>that</w:t>
      </w:r>
      <w:r w:rsidR="00EE4FC3">
        <w:t xml:space="preserve"> </w:t>
      </w:r>
      <w:r w:rsidR="006E4F81" w:rsidRPr="00382917">
        <w:t>diversity</w:t>
      </w:r>
      <w:r w:rsidR="00EE4FC3">
        <w:t xml:space="preserve"> </w:t>
      </w:r>
      <w:r w:rsidR="006E4F81" w:rsidRPr="00382917">
        <w:t>of</w:t>
      </w:r>
      <w:r w:rsidR="00EE4FC3">
        <w:t xml:space="preserve"> </w:t>
      </w:r>
      <w:r w:rsidR="006E4F81" w:rsidRPr="00382917">
        <w:t>religion</w:t>
      </w:r>
      <w:r w:rsidR="00EE4FC3">
        <w:t xml:space="preserve"> </w:t>
      </w:r>
      <w:r w:rsidR="006E4F81" w:rsidRPr="00382917">
        <w:t>should</w:t>
      </w:r>
      <w:r w:rsidR="00EE4FC3">
        <w:t xml:space="preserve"> </w:t>
      </w:r>
      <w:r w:rsidR="006E4F81" w:rsidRPr="00382917">
        <w:t>cease,</w:t>
      </w:r>
      <w:r w:rsidR="00EE4FC3">
        <w:t xml:space="preserve"> </w:t>
      </w:r>
      <w:r w:rsidR="006E4F81" w:rsidRPr="00382917">
        <w:t>and</w:t>
      </w:r>
      <w:r w:rsidR="00EE4FC3">
        <w:t xml:space="preserve"> </w:t>
      </w:r>
      <w:r w:rsidR="006E4F81" w:rsidRPr="00382917">
        <w:t>differences</w:t>
      </w:r>
      <w:r w:rsidR="00EE4FC3">
        <w:t xml:space="preserve"> </w:t>
      </w:r>
      <w:r w:rsidR="006E4F81" w:rsidRPr="00382917">
        <w:t>of</w:t>
      </w:r>
      <w:r w:rsidR="00EE4FC3">
        <w:t xml:space="preserve"> </w:t>
      </w:r>
      <w:r w:rsidR="006E4F81" w:rsidRPr="00382917">
        <w:t>race</w:t>
      </w:r>
      <w:r w:rsidR="00EE4FC3">
        <w:t xml:space="preserve"> </w:t>
      </w:r>
      <w:r w:rsidR="006E4F81" w:rsidRPr="00382917">
        <w:t>be</w:t>
      </w:r>
      <w:r w:rsidR="00EE4FC3">
        <w:t xml:space="preserve"> </w:t>
      </w:r>
      <w:r w:rsidR="006E4F81" w:rsidRPr="00382917">
        <w:t>annulled</w:t>
      </w:r>
      <w:proofErr w:type="gramStart"/>
      <w:r w:rsidR="007F4BA4">
        <w:t xml:space="preserve">. </w:t>
      </w:r>
      <w:proofErr w:type="gramEnd"/>
      <w:r w:rsidR="00F04416" w:rsidRPr="00382917">
        <w:t>…</w:t>
      </w:r>
      <w:r w:rsidR="00EE4FC3">
        <w:t xml:space="preserve">  </w:t>
      </w:r>
      <w:r w:rsidR="006E4F81" w:rsidRPr="00382917">
        <w:t>These</w:t>
      </w:r>
      <w:r w:rsidR="00EE4FC3">
        <w:t xml:space="preserve"> </w:t>
      </w:r>
      <w:proofErr w:type="spellStart"/>
      <w:r w:rsidR="006E4F81" w:rsidRPr="00382917">
        <w:t>strifes</w:t>
      </w:r>
      <w:proofErr w:type="spellEnd"/>
      <w:r w:rsidR="00EE4FC3">
        <w:t xml:space="preserve"> </w:t>
      </w:r>
      <w:r w:rsidR="006E4F81" w:rsidRPr="00382917">
        <w:t>and</w:t>
      </w:r>
      <w:r w:rsidR="00EE4FC3">
        <w:t xml:space="preserve"> </w:t>
      </w:r>
      <w:r w:rsidR="006E4F81" w:rsidRPr="00382917">
        <w:t>this</w:t>
      </w:r>
      <w:r w:rsidR="00EE4FC3">
        <w:t xml:space="preserve"> </w:t>
      </w:r>
      <w:r w:rsidR="006E4F81" w:rsidRPr="00382917">
        <w:t>bloodshed</w:t>
      </w:r>
      <w:r w:rsidR="00EE4FC3">
        <w:t xml:space="preserve"> </w:t>
      </w:r>
      <w:r w:rsidR="006E4F81" w:rsidRPr="00382917">
        <w:t>and</w:t>
      </w:r>
      <w:r w:rsidR="00EE4FC3">
        <w:t xml:space="preserve"> </w:t>
      </w:r>
      <w:r w:rsidR="006E4F81" w:rsidRPr="00382917">
        <w:t>discord</w:t>
      </w:r>
      <w:r w:rsidR="00EE4FC3">
        <w:t xml:space="preserve"> </w:t>
      </w:r>
      <w:r w:rsidR="006E4F81" w:rsidRPr="00382917">
        <w:t>must</w:t>
      </w:r>
      <w:r w:rsidR="00EE4FC3">
        <w:t xml:space="preserve"> </w:t>
      </w:r>
      <w:r w:rsidR="006E4F81" w:rsidRPr="00382917">
        <w:t>cease,</w:t>
      </w:r>
      <w:r w:rsidR="00EE4FC3">
        <w:t xml:space="preserve"> </w:t>
      </w:r>
      <w:r w:rsidR="006E4F81" w:rsidRPr="00382917">
        <w:t>and</w:t>
      </w:r>
      <w:r w:rsidR="00EE4FC3">
        <w:t xml:space="preserve"> </w:t>
      </w:r>
      <w:r w:rsidR="006E4F81" w:rsidRPr="00382917">
        <w:t>all</w:t>
      </w:r>
      <w:r w:rsidR="00EE4FC3">
        <w:t xml:space="preserve"> </w:t>
      </w:r>
      <w:r w:rsidR="006E4F81" w:rsidRPr="00382917">
        <w:t>men</w:t>
      </w:r>
      <w:r w:rsidR="00EE4FC3">
        <w:t xml:space="preserve"> </w:t>
      </w:r>
      <w:r w:rsidR="006E4F81" w:rsidRPr="00382917">
        <w:t>be</w:t>
      </w:r>
      <w:r w:rsidR="00EE4FC3">
        <w:t xml:space="preserve"> </w:t>
      </w:r>
      <w:r w:rsidR="006E4F81" w:rsidRPr="00382917">
        <w:t>as</w:t>
      </w:r>
      <w:r w:rsidR="00EE4FC3">
        <w:t xml:space="preserve"> </w:t>
      </w:r>
      <w:r w:rsidR="006E4F81" w:rsidRPr="00382917">
        <w:t>one</w:t>
      </w:r>
      <w:r w:rsidR="00EE4FC3">
        <w:t xml:space="preserve"> </w:t>
      </w:r>
      <w:r w:rsidR="006E4F81" w:rsidRPr="00382917">
        <w:t>kindred</w:t>
      </w:r>
      <w:r w:rsidR="00EE4FC3">
        <w:t xml:space="preserve"> </w:t>
      </w:r>
      <w:r w:rsidR="006E4F81" w:rsidRPr="00382917">
        <w:t>and</w:t>
      </w:r>
      <w:r w:rsidR="00EE4FC3">
        <w:t xml:space="preserve"> </w:t>
      </w:r>
      <w:r w:rsidR="006E4F81" w:rsidRPr="00382917">
        <w:t>one</w:t>
      </w:r>
      <w:r w:rsidR="00EE4FC3">
        <w:t xml:space="preserve"> </w:t>
      </w:r>
      <w:r w:rsidR="006E4F81" w:rsidRPr="00382917">
        <w:t>family</w:t>
      </w:r>
      <w:proofErr w:type="gramStart"/>
      <w:r w:rsidR="007F4BA4">
        <w:t xml:space="preserve">. </w:t>
      </w:r>
      <w:proofErr w:type="gramEnd"/>
      <w:r w:rsidR="00F04416" w:rsidRPr="00382917">
        <w:t>…</w:t>
      </w:r>
    </w:p>
    <w:p w:rsidR="004C0EF8" w:rsidRPr="00382917" w:rsidRDefault="004C0EF8">
      <w:pPr>
        <w:widowControl/>
        <w:kinsoku/>
        <w:overflowPunct/>
        <w:textAlignment w:val="auto"/>
      </w:pPr>
      <w:r w:rsidRPr="00382917">
        <w:br w:type="page"/>
      </w:r>
    </w:p>
    <w:p w:rsidR="006E4F81" w:rsidRPr="00382917" w:rsidRDefault="006E4F81" w:rsidP="007F4BA4">
      <w:pPr>
        <w:pStyle w:val="Quotects"/>
      </w:pPr>
      <w:r w:rsidRPr="00382917">
        <w:t>Let</w:t>
      </w:r>
      <w:r w:rsidR="00EE4FC3">
        <w:t xml:space="preserve"> </w:t>
      </w:r>
      <w:r w:rsidRPr="00382917">
        <w:t>not</w:t>
      </w:r>
      <w:r w:rsidR="00EE4FC3">
        <w:t xml:space="preserve"> </w:t>
      </w:r>
      <w:r w:rsidRPr="00382917">
        <w:t>a</w:t>
      </w:r>
      <w:r w:rsidR="00EE4FC3">
        <w:t xml:space="preserve"> </w:t>
      </w:r>
      <w:r w:rsidRPr="00382917">
        <w:t>man</w:t>
      </w:r>
      <w:r w:rsidR="00EE4FC3">
        <w:t xml:space="preserve"> </w:t>
      </w:r>
      <w:r w:rsidRPr="00382917">
        <w:t>glory</w:t>
      </w:r>
      <w:r w:rsidR="00EE4FC3">
        <w:t xml:space="preserve"> </w:t>
      </w:r>
      <w:r w:rsidRPr="00382917">
        <w:t>in</w:t>
      </w:r>
      <w:r w:rsidR="00EE4FC3">
        <w:t xml:space="preserve"> </w:t>
      </w:r>
      <w:r w:rsidRPr="00382917">
        <w:t>this,</w:t>
      </w:r>
      <w:r w:rsidR="00EE4FC3">
        <w:t xml:space="preserve"> </w:t>
      </w:r>
      <w:r w:rsidRPr="00382917">
        <w:t>that</w:t>
      </w:r>
      <w:r w:rsidR="00EE4FC3">
        <w:t xml:space="preserve"> </w:t>
      </w:r>
      <w:r w:rsidRPr="00382917">
        <w:t>he</w:t>
      </w:r>
      <w:r w:rsidR="00EE4FC3">
        <w:t xml:space="preserve"> </w:t>
      </w:r>
      <w:r w:rsidRPr="00382917">
        <w:t>loves</w:t>
      </w:r>
      <w:r w:rsidR="00EE4FC3">
        <w:t xml:space="preserve"> </w:t>
      </w:r>
      <w:r w:rsidRPr="00382917">
        <w:t>his</w:t>
      </w:r>
      <w:r w:rsidR="00EE4FC3">
        <w:t xml:space="preserve"> </w:t>
      </w:r>
      <w:r w:rsidRPr="00382917">
        <w:t>country;</w:t>
      </w:r>
      <w:r w:rsidR="00EE4FC3">
        <w:t xml:space="preserve"> </w:t>
      </w:r>
      <w:r w:rsidRPr="00382917">
        <w:t>let</w:t>
      </w:r>
      <w:r w:rsidR="00EE4FC3">
        <w:t xml:space="preserve"> </w:t>
      </w:r>
      <w:r w:rsidRPr="00382917">
        <w:t>him</w:t>
      </w:r>
      <w:r w:rsidR="00EE4FC3">
        <w:t xml:space="preserve"> </w:t>
      </w:r>
      <w:r w:rsidRPr="00382917">
        <w:t>rather</w:t>
      </w:r>
      <w:r w:rsidR="00EE4FC3">
        <w:t xml:space="preserve"> </w:t>
      </w:r>
      <w:r w:rsidRPr="00382917">
        <w:t>glory</w:t>
      </w:r>
      <w:r w:rsidR="00EE4FC3">
        <w:t xml:space="preserve"> </w:t>
      </w:r>
      <w:r w:rsidRPr="00382917">
        <w:t>in</w:t>
      </w:r>
      <w:r w:rsidR="00EE4FC3">
        <w:t xml:space="preserve"> </w:t>
      </w:r>
      <w:r w:rsidRPr="00382917">
        <w:t>this,</w:t>
      </w:r>
      <w:r w:rsidR="00EE4FC3">
        <w:t xml:space="preserve"> </w:t>
      </w:r>
      <w:r w:rsidRPr="00382917">
        <w:t>that</w:t>
      </w:r>
      <w:r w:rsidR="00EE4FC3">
        <w:t xml:space="preserve"> </w:t>
      </w:r>
      <w:r w:rsidRPr="00382917">
        <w:t>he</w:t>
      </w:r>
      <w:r w:rsidR="00EE4FC3">
        <w:t xml:space="preserve"> </w:t>
      </w:r>
      <w:r w:rsidRPr="00382917">
        <w:t>loves</w:t>
      </w:r>
      <w:r w:rsidR="00EE4FC3">
        <w:t xml:space="preserve"> </w:t>
      </w:r>
      <w:r w:rsidRPr="00382917">
        <w:t>his</w:t>
      </w:r>
      <w:r w:rsidR="00EE4FC3">
        <w:t xml:space="preserve"> </w:t>
      </w:r>
      <w:r w:rsidRPr="00382917">
        <w:t>kind</w:t>
      </w:r>
      <w:proofErr w:type="gramStart"/>
      <w:r w:rsidR="007F4BA4">
        <w:t xml:space="preserve">. </w:t>
      </w:r>
      <w:proofErr w:type="gramEnd"/>
      <w:r w:rsidR="00F04416" w:rsidRPr="00382917">
        <w:t>…</w:t>
      </w:r>
      <w:r w:rsidR="009C713D" w:rsidRPr="00382917">
        <w:t>’</w:t>
      </w:r>
    </w:p>
    <w:p w:rsidR="006E4F81" w:rsidRPr="00382917" w:rsidRDefault="009C713D" w:rsidP="007F4BA4">
      <w:pPr>
        <w:pStyle w:val="Quote"/>
      </w:pPr>
      <w:r w:rsidRPr="00382917">
        <w:t>“</w:t>
      </w:r>
      <w:r w:rsidR="006E4F81" w:rsidRPr="00382917">
        <w:t>Such,</w:t>
      </w:r>
      <w:r w:rsidR="00EE4FC3">
        <w:t xml:space="preserve"> </w:t>
      </w:r>
      <w:r w:rsidR="006E4F81" w:rsidRPr="00382917">
        <w:t>so</w:t>
      </w:r>
      <w:r w:rsidR="00EE4FC3">
        <w:t xml:space="preserve"> </w:t>
      </w:r>
      <w:r w:rsidR="006E4F81" w:rsidRPr="00382917">
        <w:t>far</w:t>
      </w:r>
      <w:r w:rsidR="00EE4FC3">
        <w:t xml:space="preserve"> </w:t>
      </w:r>
      <w:r w:rsidR="006E4F81" w:rsidRPr="00382917">
        <w:t>as</w:t>
      </w:r>
      <w:r w:rsidR="00EE4FC3">
        <w:t xml:space="preserve"> </w:t>
      </w:r>
      <w:r w:rsidR="006E4F81" w:rsidRPr="00382917">
        <w:t>I</w:t>
      </w:r>
      <w:r w:rsidR="00EE4FC3">
        <w:t xml:space="preserve"> </w:t>
      </w:r>
      <w:r w:rsidR="006E4F81" w:rsidRPr="00382917">
        <w:t>can</w:t>
      </w:r>
      <w:r w:rsidR="00EE4FC3">
        <w:t xml:space="preserve"> </w:t>
      </w:r>
      <w:r w:rsidR="006E4F81" w:rsidRPr="00382917">
        <w:t>recall</w:t>
      </w:r>
      <w:r w:rsidR="00EE4FC3">
        <w:t xml:space="preserve"> </w:t>
      </w:r>
      <w:r w:rsidR="006E4F81" w:rsidRPr="00382917">
        <w:t>them,</w:t>
      </w:r>
      <w:r w:rsidR="00EE4FC3">
        <w:t xml:space="preserve"> </w:t>
      </w:r>
      <w:r w:rsidR="006E4F81" w:rsidRPr="00382917">
        <w:t>were</w:t>
      </w:r>
      <w:r w:rsidR="00EE4FC3">
        <w:t xml:space="preserve"> </w:t>
      </w:r>
      <w:r w:rsidR="006E4F81" w:rsidRPr="00382917">
        <w:t>the</w:t>
      </w:r>
      <w:r w:rsidR="00EE4FC3">
        <w:t xml:space="preserve"> </w:t>
      </w:r>
      <w:r w:rsidR="006E4F81" w:rsidRPr="00382917">
        <w:t>words</w:t>
      </w:r>
      <w:r w:rsidR="00EE4FC3">
        <w:t xml:space="preserve"> </w:t>
      </w:r>
      <w:r w:rsidR="006E4F81" w:rsidRPr="00382917">
        <w:t>which,</w:t>
      </w:r>
      <w:r w:rsidR="00EE4FC3">
        <w:t xml:space="preserve"> </w:t>
      </w:r>
      <w:r w:rsidR="006E4F81" w:rsidRPr="00382917">
        <w:t>besides</w:t>
      </w:r>
      <w:r w:rsidR="00EE4FC3">
        <w:t xml:space="preserve"> </w:t>
      </w:r>
      <w:r w:rsidR="006E4F81" w:rsidRPr="00382917">
        <w:t>many</w:t>
      </w:r>
      <w:r w:rsidR="00EE4FC3">
        <w:t xml:space="preserve"> </w:t>
      </w:r>
      <w:r w:rsidR="006E4F81" w:rsidRPr="00382917">
        <w:t>others,</w:t>
      </w:r>
      <w:r w:rsidR="00EE4FC3">
        <w:t xml:space="preserve"> </w:t>
      </w:r>
      <w:r w:rsidR="006E4F81" w:rsidRPr="00382917">
        <w:t>I</w:t>
      </w:r>
      <w:r w:rsidR="00EE4FC3">
        <w:t xml:space="preserve"> </w:t>
      </w:r>
      <w:r w:rsidR="006E4F81" w:rsidRPr="00382917">
        <w:t>heard</w:t>
      </w:r>
      <w:r w:rsidR="00EE4FC3">
        <w:t xml:space="preserve"> </w:t>
      </w:r>
      <w:r w:rsidR="006E4F81" w:rsidRPr="00382917">
        <w:t>from</w:t>
      </w:r>
      <w:r w:rsidR="00EE4FC3">
        <w:t xml:space="preserve"> </w:t>
      </w:r>
      <w:r w:rsidR="006E4F81" w:rsidRPr="00382917">
        <w:t>Bahá</w:t>
      </w:r>
      <w:r w:rsidR="00552489">
        <w:t>.</w:t>
      </w:r>
      <w:r w:rsidR="00EE4FC3">
        <w:t xml:space="preserve">  </w:t>
      </w:r>
      <w:r w:rsidR="006E4F81" w:rsidRPr="00382917">
        <w:t>Let</w:t>
      </w:r>
      <w:r w:rsidR="00EE4FC3">
        <w:t xml:space="preserve"> </w:t>
      </w:r>
      <w:r w:rsidR="006E4F81" w:rsidRPr="00382917">
        <w:t>those</w:t>
      </w:r>
      <w:r w:rsidR="00EE4FC3">
        <w:t xml:space="preserve"> </w:t>
      </w:r>
      <w:r w:rsidR="006E4F81" w:rsidRPr="00382917">
        <w:t>who</w:t>
      </w:r>
      <w:r w:rsidR="00EE4FC3">
        <w:t xml:space="preserve"> </w:t>
      </w:r>
      <w:r w:rsidR="006E4F81" w:rsidRPr="00382917">
        <w:t>read</w:t>
      </w:r>
      <w:r w:rsidR="00EE4FC3">
        <w:t xml:space="preserve"> </w:t>
      </w:r>
      <w:r w:rsidR="006E4F81" w:rsidRPr="00382917">
        <w:t>them</w:t>
      </w:r>
      <w:r w:rsidR="00EE4FC3">
        <w:t xml:space="preserve"> </w:t>
      </w:r>
      <w:r w:rsidR="006E4F81" w:rsidRPr="00382917">
        <w:t>consider</w:t>
      </w:r>
      <w:r w:rsidR="00EE4FC3">
        <w:t xml:space="preserve"> </w:t>
      </w:r>
      <w:r w:rsidR="006E4F81" w:rsidRPr="00382917">
        <w:t>well</w:t>
      </w:r>
      <w:r w:rsidR="00EE4FC3">
        <w:t xml:space="preserve"> </w:t>
      </w:r>
      <w:r w:rsidR="006E4F81" w:rsidRPr="00382917">
        <w:t>with</w:t>
      </w:r>
      <w:r w:rsidR="00EE4FC3">
        <w:t xml:space="preserve"> </w:t>
      </w:r>
      <w:r w:rsidR="006E4F81" w:rsidRPr="00382917">
        <w:t>themselves</w:t>
      </w:r>
      <w:r w:rsidR="00EE4FC3">
        <w:t xml:space="preserve"> </w:t>
      </w:r>
      <w:r w:rsidR="006E4F81" w:rsidRPr="00382917">
        <w:t>whether</w:t>
      </w:r>
      <w:r w:rsidR="00EE4FC3">
        <w:t xml:space="preserve"> </w:t>
      </w:r>
      <w:r w:rsidR="006E4F81" w:rsidRPr="00382917">
        <w:t>such</w:t>
      </w:r>
      <w:r w:rsidR="00EE4FC3">
        <w:t xml:space="preserve"> </w:t>
      </w:r>
      <w:r w:rsidR="006E4F81" w:rsidRPr="00382917">
        <w:t>doctrines</w:t>
      </w:r>
      <w:r w:rsidR="00EE4FC3">
        <w:t xml:space="preserve"> </w:t>
      </w:r>
      <w:r w:rsidR="006E4F81" w:rsidRPr="00382917">
        <w:t>merit</w:t>
      </w:r>
      <w:r w:rsidR="00EE4FC3">
        <w:t xml:space="preserve"> </w:t>
      </w:r>
      <w:r w:rsidR="006E4F81" w:rsidRPr="00382917">
        <w:t>death</w:t>
      </w:r>
      <w:r w:rsidR="00EE4FC3">
        <w:t xml:space="preserve"> </w:t>
      </w:r>
      <w:r w:rsidR="006E4F81" w:rsidRPr="00382917">
        <w:t>and</w:t>
      </w:r>
      <w:r w:rsidR="00EE4FC3">
        <w:t xml:space="preserve"> </w:t>
      </w:r>
      <w:r w:rsidR="006E4F81" w:rsidRPr="00382917">
        <w:t>bonds,</w:t>
      </w:r>
      <w:r w:rsidR="00EE4FC3">
        <w:t xml:space="preserve"> </w:t>
      </w:r>
      <w:r w:rsidR="006E4F81" w:rsidRPr="00382917">
        <w:t>and</w:t>
      </w:r>
      <w:r w:rsidR="00EE4FC3">
        <w:t xml:space="preserve"> </w:t>
      </w:r>
      <w:r w:rsidR="006E4F81" w:rsidRPr="00382917">
        <w:t>whether</w:t>
      </w:r>
      <w:r w:rsidR="00EE4FC3">
        <w:t xml:space="preserve"> </w:t>
      </w:r>
      <w:r w:rsidR="006E4F81" w:rsidRPr="00382917">
        <w:t>the</w:t>
      </w:r>
      <w:r w:rsidR="00EE4FC3">
        <w:t xml:space="preserve"> </w:t>
      </w:r>
      <w:r w:rsidR="006E4F81" w:rsidRPr="00382917">
        <w:t>world</w:t>
      </w:r>
      <w:r w:rsidR="00EE4FC3">
        <w:t xml:space="preserve"> </w:t>
      </w:r>
      <w:r w:rsidR="006E4F81" w:rsidRPr="00382917">
        <w:t>is</w:t>
      </w:r>
      <w:r w:rsidR="00EE4FC3">
        <w:t xml:space="preserve"> </w:t>
      </w:r>
      <w:r w:rsidR="006E4F81" w:rsidRPr="00382917">
        <w:t>more</w:t>
      </w:r>
      <w:r w:rsidR="00EE4FC3">
        <w:t xml:space="preserve"> </w:t>
      </w:r>
      <w:r w:rsidR="006E4F81" w:rsidRPr="00382917">
        <w:t>likely</w:t>
      </w:r>
      <w:r w:rsidR="00EE4FC3">
        <w:t xml:space="preserve"> </w:t>
      </w:r>
      <w:r w:rsidR="006E4F81" w:rsidRPr="00382917">
        <w:t>to</w:t>
      </w:r>
      <w:r w:rsidR="00EE4FC3">
        <w:t xml:space="preserve"> </w:t>
      </w:r>
      <w:r w:rsidR="006E4F81" w:rsidRPr="00382917">
        <w:t>gain</w:t>
      </w:r>
      <w:r w:rsidR="00EE4FC3">
        <w:t xml:space="preserve"> </w:t>
      </w:r>
      <w:r w:rsidR="006E4F81" w:rsidRPr="00382917">
        <w:t>or</w:t>
      </w:r>
      <w:r w:rsidR="00EE4FC3">
        <w:t xml:space="preserve"> </w:t>
      </w:r>
      <w:r w:rsidR="006E4F81" w:rsidRPr="00382917">
        <w:t>lose</w:t>
      </w:r>
      <w:r w:rsidR="00EE4FC3">
        <w:t xml:space="preserve"> </w:t>
      </w:r>
      <w:r w:rsidR="006E4F81" w:rsidRPr="00382917">
        <w:t>by</w:t>
      </w:r>
      <w:r w:rsidR="00EE4FC3">
        <w:t xml:space="preserve"> </w:t>
      </w:r>
      <w:r w:rsidR="006E4F81" w:rsidRPr="00382917">
        <w:t>their</w:t>
      </w:r>
      <w:r w:rsidR="00EE4FC3">
        <w:t xml:space="preserve"> </w:t>
      </w:r>
      <w:r w:rsidR="006E4F81" w:rsidRPr="00382917">
        <w:t>diffusion.</w:t>
      </w:r>
      <w:r w:rsidRPr="00382917">
        <w:t>”</w:t>
      </w:r>
      <w:r w:rsidR="007F4BA4">
        <w:rPr>
          <w:rStyle w:val="FootnoteReference"/>
        </w:rPr>
        <w:footnoteReference w:id="360"/>
      </w:r>
    </w:p>
    <w:p w:rsidR="006E4F81" w:rsidRPr="00382917" w:rsidRDefault="006E4F81" w:rsidP="004C0EF8">
      <w:pPr>
        <w:pStyle w:val="Text"/>
      </w:pPr>
      <w:r w:rsidRPr="00382917">
        <w:t>These</w:t>
      </w:r>
      <w:r w:rsidR="00EE4FC3">
        <w:t xml:space="preserve"> </w:t>
      </w:r>
      <w:r w:rsidRPr="00382917">
        <w:t>are</w:t>
      </w:r>
      <w:r w:rsidR="00EE4FC3">
        <w:t xml:space="preserve"> </w:t>
      </w:r>
      <w:r w:rsidRPr="00382917">
        <w:t>some</w:t>
      </w:r>
      <w:r w:rsidR="00EE4FC3">
        <w:t xml:space="preserve"> </w:t>
      </w:r>
      <w:r w:rsidRPr="00382917">
        <w:t>of</w:t>
      </w:r>
      <w:r w:rsidR="00EE4FC3">
        <w:t xml:space="preserve"> </w:t>
      </w:r>
      <w:r w:rsidRPr="00382917">
        <w:t>the</w:t>
      </w:r>
      <w:r w:rsidR="00EE4FC3">
        <w:t xml:space="preserve"> </w:t>
      </w:r>
      <w:r w:rsidR="009C713D" w:rsidRPr="00382917">
        <w:t>“</w:t>
      </w:r>
      <w:r w:rsidRPr="00382917">
        <w:t>fruits</w:t>
      </w:r>
      <w:r w:rsidR="009C713D" w:rsidRPr="00382917">
        <w:t>”</w:t>
      </w:r>
      <w:r w:rsidR="00EE4FC3">
        <w:t xml:space="preserve"> </w:t>
      </w:r>
      <w:r w:rsidRPr="00382917">
        <w:t>from</w:t>
      </w:r>
      <w:r w:rsidR="00EE4FC3">
        <w:t xml:space="preserve"> </w:t>
      </w:r>
      <w:r w:rsidRPr="00382917">
        <w:t>the</w:t>
      </w:r>
      <w:r w:rsidR="00EE4FC3">
        <w:t xml:space="preserve"> </w:t>
      </w:r>
      <w:r w:rsidRPr="00382917">
        <w:t>tree</w:t>
      </w:r>
      <w:r w:rsidR="00EE4FC3">
        <w:t xml:space="preserve"> </w:t>
      </w:r>
      <w:r w:rsidRPr="00382917">
        <w:t>of</w:t>
      </w:r>
      <w:r w:rsidR="00EE4FC3">
        <w:t xml:space="preserve"> </w:t>
      </w:r>
      <w:r w:rsidRPr="00382917">
        <w:t>Bahá</w:t>
      </w:r>
      <w:r w:rsidR="009C713D" w:rsidRPr="00382917">
        <w:t>’</w:t>
      </w:r>
      <w:r w:rsidRPr="00382917">
        <w:t>u</w:t>
      </w:r>
      <w:r w:rsidR="009C713D" w:rsidRPr="00382917">
        <w:t>’</w:t>
      </w:r>
      <w:r w:rsidRPr="00382917">
        <w:t>lláh</w:t>
      </w:r>
      <w:r w:rsidR="00552489">
        <w:t>.</w:t>
      </w:r>
      <w:r w:rsidR="00EE4FC3">
        <w:t xml:space="preserve">  </w:t>
      </w:r>
      <w:r w:rsidRPr="00382917">
        <w:t>Christ</w:t>
      </w:r>
      <w:r w:rsidR="00EE4FC3">
        <w:t xml:space="preserve"> </w:t>
      </w:r>
      <w:r w:rsidRPr="00382917">
        <w:t>said</w:t>
      </w:r>
      <w:r w:rsidR="00C03C91">
        <w:t>:</w:t>
      </w:r>
      <w:r w:rsidR="00EE4FC3">
        <w:t xml:space="preserve">  </w:t>
      </w:r>
      <w:r w:rsidR="009C713D" w:rsidRPr="00382917">
        <w:t>“</w:t>
      </w:r>
      <w:r w:rsidRPr="00382917">
        <w:t>By</w:t>
      </w:r>
      <w:r w:rsidR="00EE4FC3">
        <w:t xml:space="preserve"> </w:t>
      </w:r>
      <w:r w:rsidRPr="00382917">
        <w:t>their</w:t>
      </w:r>
      <w:r w:rsidR="00EE4FC3">
        <w:t xml:space="preserve"> </w:t>
      </w:r>
      <w:r w:rsidRPr="00382917">
        <w:t>fruits</w:t>
      </w:r>
      <w:r w:rsidR="00EE4FC3">
        <w:t xml:space="preserve"> </w:t>
      </w:r>
      <w:r w:rsidRPr="00382917">
        <w:t>shall</w:t>
      </w:r>
      <w:r w:rsidR="00EE4FC3">
        <w:t xml:space="preserve"> </w:t>
      </w:r>
      <w:r w:rsidRPr="00382917">
        <w:t>ye</w:t>
      </w:r>
      <w:r w:rsidR="00EE4FC3">
        <w:t xml:space="preserve"> </w:t>
      </w:r>
      <w:r w:rsidRPr="00382917">
        <w:t>know</w:t>
      </w:r>
      <w:r w:rsidR="00EE4FC3">
        <w:t xml:space="preserve"> </w:t>
      </w:r>
      <w:r w:rsidRPr="00382917">
        <w:t>them.</w:t>
      </w:r>
      <w:r w:rsidR="009C713D" w:rsidRPr="00382917">
        <w:t>”</w:t>
      </w:r>
      <w:r w:rsidR="007F4BA4">
        <w:t xml:space="preserve"> </w:t>
      </w:r>
      <w:r w:rsidR="00EE4FC3">
        <w:t xml:space="preserve"> </w:t>
      </w:r>
      <w:r w:rsidRPr="00382917">
        <w:t>The</w:t>
      </w:r>
      <w:r w:rsidR="00EE4FC3">
        <w:t xml:space="preserve"> </w:t>
      </w:r>
      <w:r w:rsidRPr="00382917">
        <w:t>responsibility</w:t>
      </w:r>
      <w:r w:rsidR="00EE4FC3">
        <w:t xml:space="preserve"> </w:t>
      </w:r>
      <w:r w:rsidRPr="00382917">
        <w:t>of</w:t>
      </w:r>
      <w:r w:rsidR="00EE4FC3">
        <w:t xml:space="preserve"> </w:t>
      </w:r>
      <w:r w:rsidRPr="00382917">
        <w:t>deciding</w:t>
      </w:r>
      <w:r w:rsidR="00EE4FC3">
        <w:t xml:space="preserve"> </w:t>
      </w:r>
      <w:r w:rsidRPr="00382917">
        <w:t>whether</w:t>
      </w:r>
      <w:r w:rsidR="00EE4FC3">
        <w:t xml:space="preserve"> </w:t>
      </w:r>
      <w:r w:rsidRPr="00382917">
        <w:t>or</w:t>
      </w:r>
      <w:r w:rsidR="00EE4FC3">
        <w:t xml:space="preserve"> </w:t>
      </w:r>
      <w:r w:rsidRPr="00382917">
        <w:t>not</w:t>
      </w:r>
      <w:r w:rsidR="00EE4FC3">
        <w:t xml:space="preserve"> </w:t>
      </w:r>
      <w:r w:rsidRPr="00382917">
        <w:t>Bahá</w:t>
      </w:r>
      <w:r w:rsidR="009C713D" w:rsidRPr="00382917">
        <w:t>’</w:t>
      </w:r>
      <w:r w:rsidRPr="00382917">
        <w:t>u</w:t>
      </w:r>
      <w:r w:rsidR="009C713D" w:rsidRPr="00382917">
        <w:t>’</w:t>
      </w:r>
      <w:r w:rsidRPr="00382917">
        <w:t>lláh</w:t>
      </w:r>
      <w:r w:rsidR="00EE4FC3">
        <w:t xml:space="preserve"> </w:t>
      </w:r>
      <w:r w:rsidRPr="00382917">
        <w:t>is</w:t>
      </w:r>
      <w:r w:rsidR="00EE4FC3">
        <w:t xml:space="preserve"> </w:t>
      </w:r>
      <w:r w:rsidRPr="00382917">
        <w:t>a</w:t>
      </w:r>
      <w:r w:rsidR="00EE4FC3">
        <w:t xml:space="preserve"> </w:t>
      </w:r>
      <w:r w:rsidRPr="00382917">
        <w:t>true</w:t>
      </w:r>
      <w:r w:rsidR="00EE4FC3">
        <w:t xml:space="preserve"> </w:t>
      </w:r>
      <w:r w:rsidRPr="00382917">
        <w:t>prophet</w:t>
      </w:r>
      <w:r w:rsidR="00EE4FC3">
        <w:t xml:space="preserve"> </w:t>
      </w:r>
      <w:r w:rsidRPr="00382917">
        <w:t>now</w:t>
      </w:r>
      <w:r w:rsidR="00EE4FC3">
        <w:t xml:space="preserve"> </w:t>
      </w:r>
      <w:r w:rsidRPr="00382917">
        <w:t>rests</w:t>
      </w:r>
      <w:r w:rsidR="00EE4FC3">
        <w:t xml:space="preserve"> </w:t>
      </w:r>
      <w:r w:rsidRPr="00382917">
        <w:t>with</w:t>
      </w:r>
      <w:r w:rsidR="00EE4FC3">
        <w:t xml:space="preserve"> </w:t>
      </w:r>
      <w:r w:rsidRPr="00382917">
        <w:t>you.</w:t>
      </w:r>
      <w:r w:rsidR="007F4BA4" w:rsidRPr="00382917">
        <w:rPr>
          <w:sz w:val="12"/>
          <w:szCs w:val="12"/>
        </w:rPr>
        <w:fldChar w:fldCharType="begin"/>
      </w:r>
      <w:proofErr w:type="gramStart"/>
      <w:r w:rsidR="007F4BA4">
        <w:rPr>
          <w:sz w:val="12"/>
          <w:szCs w:val="12"/>
        </w:rPr>
        <w:instrText xml:space="preserve"> </w:instrText>
      </w:r>
      <w:proofErr w:type="gramEnd"/>
      <w:r w:rsidR="007F4BA4" w:rsidRPr="00382917">
        <w:rPr>
          <w:sz w:val="12"/>
          <w:szCs w:val="12"/>
        </w:rPr>
        <w:instrText>TC</w:instrText>
      </w:r>
      <w:r w:rsidR="007F4BA4">
        <w:rPr>
          <w:sz w:val="12"/>
          <w:szCs w:val="12"/>
        </w:rPr>
        <w:instrText xml:space="preserve">  </w:instrText>
      </w:r>
      <w:r w:rsidR="007F4BA4" w:rsidRPr="00382917">
        <w:rPr>
          <w:sz w:val="12"/>
          <w:szCs w:val="12"/>
        </w:rPr>
        <w:instrText>“</w:instrText>
      </w:r>
      <w:r w:rsidR="007F4BA4">
        <w:rPr>
          <w:sz w:val="12"/>
          <w:szCs w:val="12"/>
        </w:rPr>
        <w:instrText>Note 3</w:instrText>
      </w:r>
      <w:r w:rsidR="007F4BA4" w:rsidRPr="00382917">
        <w:rPr>
          <w:color w:val="FFFFFF" w:themeColor="background1"/>
          <w:sz w:val="12"/>
          <w:szCs w:val="12"/>
        </w:rPr>
        <w:instrText>..</w:instrText>
      </w:r>
      <w:r w:rsidR="007F4BA4" w:rsidRPr="00382917">
        <w:rPr>
          <w:sz w:val="12"/>
          <w:szCs w:val="12"/>
        </w:rPr>
        <w:tab/>
      </w:r>
      <w:r w:rsidR="007F4BA4" w:rsidRPr="00382917">
        <w:rPr>
          <w:color w:val="FFFFFF" w:themeColor="background1"/>
          <w:sz w:val="12"/>
          <w:szCs w:val="12"/>
        </w:rPr>
        <w:instrText>.</w:instrText>
      </w:r>
      <w:proofErr w:type="gramStart"/>
      <w:r w:rsidR="007F4BA4" w:rsidRPr="00382917">
        <w:rPr>
          <w:sz w:val="12"/>
          <w:szCs w:val="12"/>
        </w:rPr>
        <w:instrText>”</w:instrText>
      </w:r>
      <w:r w:rsidR="007F4BA4">
        <w:rPr>
          <w:sz w:val="12"/>
          <w:szCs w:val="12"/>
        </w:rPr>
        <w:instrText xml:space="preserve"> </w:instrText>
      </w:r>
      <w:proofErr w:type="gramEnd"/>
      <w:r w:rsidR="007F4BA4" w:rsidRPr="00382917">
        <w:rPr>
          <w:sz w:val="12"/>
          <w:szCs w:val="12"/>
        </w:rPr>
        <w:instrText>\l</w:instrText>
      </w:r>
      <w:r w:rsidR="007F4BA4">
        <w:rPr>
          <w:sz w:val="12"/>
          <w:szCs w:val="12"/>
        </w:rPr>
        <w:instrText xml:space="preserve"> 3 </w:instrText>
      </w:r>
      <w:r w:rsidR="007F4BA4" w:rsidRPr="00382917">
        <w:rPr>
          <w:sz w:val="12"/>
          <w:szCs w:val="12"/>
        </w:rPr>
        <w:fldChar w:fldCharType="end"/>
      </w:r>
    </w:p>
    <w:p w:rsidR="001D303F" w:rsidRDefault="001D303F" w:rsidP="001D303F"/>
    <w:p w:rsidR="001D303F" w:rsidRPr="001D303F" w:rsidRDefault="001D303F" w:rsidP="001D303F"/>
    <w:p w:rsidR="006E4F81" w:rsidRPr="00382917" w:rsidRDefault="006E4F81" w:rsidP="007F4BA4">
      <w:pPr>
        <w:pStyle w:val="Myheadc"/>
      </w:pPr>
      <w:r w:rsidRPr="00382917">
        <w:t>N</w:t>
      </w:r>
      <w:r w:rsidR="00417538" w:rsidRPr="00382917">
        <w:t>ote</w:t>
      </w:r>
      <w:r w:rsidR="00EE4FC3">
        <w:t xml:space="preserve"> </w:t>
      </w:r>
      <w:r w:rsidR="00417538">
        <w:t>3</w:t>
      </w:r>
    </w:p>
    <w:p w:rsidR="006E4F81" w:rsidRPr="00382917" w:rsidRDefault="006E4F81" w:rsidP="004C0EF8">
      <w:pPr>
        <w:pStyle w:val="Text"/>
      </w:pPr>
      <w:r w:rsidRPr="00382917">
        <w:t>It</w:t>
      </w:r>
      <w:r w:rsidR="00EE4FC3">
        <w:t xml:space="preserve"> </w:t>
      </w:r>
      <w:r w:rsidRPr="00382917">
        <w:t>is</w:t>
      </w:r>
      <w:r w:rsidR="00EE4FC3">
        <w:t xml:space="preserve"> </w:t>
      </w:r>
      <w:r w:rsidRPr="00382917">
        <w:t>said</w:t>
      </w:r>
      <w:r w:rsidR="00EE4FC3">
        <w:t xml:space="preserve"> </w:t>
      </w:r>
      <w:r w:rsidRPr="00382917">
        <w:t>in</w:t>
      </w:r>
      <w:r w:rsidR="00EE4FC3">
        <w:t xml:space="preserve"> </w:t>
      </w:r>
      <w:r w:rsidRPr="00382917">
        <w:t>Scripture</w:t>
      </w:r>
      <w:r w:rsidR="00EE4FC3">
        <w:t xml:space="preserve"> </w:t>
      </w:r>
      <w:r w:rsidRPr="00382917">
        <w:t>and</w:t>
      </w:r>
      <w:r w:rsidR="00EE4FC3">
        <w:t xml:space="preserve"> </w:t>
      </w:r>
      <w:r w:rsidRPr="00382917">
        <w:t>Tradition</w:t>
      </w:r>
      <w:r w:rsidR="00EE4FC3">
        <w:t xml:space="preserve"> </w:t>
      </w:r>
      <w:r w:rsidRPr="00382917">
        <w:t>that</w:t>
      </w:r>
      <w:r w:rsidR="00EE4FC3">
        <w:t xml:space="preserve"> </w:t>
      </w:r>
      <w:r w:rsidRPr="00382917">
        <w:t>at</w:t>
      </w:r>
      <w:r w:rsidR="00EE4FC3">
        <w:t xml:space="preserve"> </w:t>
      </w:r>
      <w:r w:rsidRPr="00382917">
        <w:t>the</w:t>
      </w:r>
      <w:r w:rsidR="00EE4FC3">
        <w:t xml:space="preserve"> </w:t>
      </w:r>
      <w:r w:rsidRPr="00382917">
        <w:t>time</w:t>
      </w:r>
      <w:r w:rsidR="00EE4FC3">
        <w:t xml:space="preserve"> </w:t>
      </w:r>
      <w:r w:rsidRPr="00382917">
        <w:t>of</w:t>
      </w:r>
      <w:r w:rsidR="00EE4FC3">
        <w:t xml:space="preserve"> </w:t>
      </w:r>
      <w:r w:rsidRPr="00382917">
        <w:t>the</w:t>
      </w:r>
      <w:r w:rsidR="00EE4FC3">
        <w:t xml:space="preserve"> </w:t>
      </w:r>
      <w:r w:rsidRPr="00382917">
        <w:t>birth</w:t>
      </w:r>
      <w:r w:rsidR="00EE4FC3">
        <w:t xml:space="preserve"> </w:t>
      </w:r>
      <w:r w:rsidRPr="00382917">
        <w:t>or</w:t>
      </w:r>
      <w:r w:rsidR="00EE4FC3">
        <w:t xml:space="preserve"> </w:t>
      </w:r>
      <w:r w:rsidRPr="00382917">
        <w:t>announcement</w:t>
      </w:r>
      <w:r w:rsidR="00EE4FC3">
        <w:t xml:space="preserve"> </w:t>
      </w:r>
      <w:r w:rsidRPr="00382917">
        <w:t>of</w:t>
      </w:r>
      <w:r w:rsidR="00EE4FC3">
        <w:t xml:space="preserve"> </w:t>
      </w:r>
      <w:r w:rsidRPr="00382917">
        <w:t>every</w:t>
      </w:r>
      <w:r w:rsidR="00EE4FC3">
        <w:t xml:space="preserve"> </w:t>
      </w:r>
      <w:r w:rsidRPr="00382917">
        <w:t>Messenger</w:t>
      </w:r>
      <w:r w:rsidR="00EE4FC3">
        <w:t xml:space="preserve"> </w:t>
      </w:r>
      <w:r w:rsidRPr="00382917">
        <w:t>of</w:t>
      </w:r>
      <w:r w:rsidR="00EE4FC3">
        <w:t xml:space="preserve"> </w:t>
      </w:r>
      <w:r w:rsidRPr="00382917">
        <w:t>God,</w:t>
      </w:r>
      <w:r w:rsidR="00EE4FC3">
        <w:t xml:space="preserve"> </w:t>
      </w:r>
      <w:r w:rsidRPr="00382917">
        <w:t>a</w:t>
      </w:r>
      <w:r w:rsidR="00EE4FC3">
        <w:t xml:space="preserve"> </w:t>
      </w:r>
      <w:r w:rsidRPr="00382917">
        <w:t>star</w:t>
      </w:r>
      <w:r w:rsidR="00EE4FC3">
        <w:t xml:space="preserve"> </w:t>
      </w:r>
      <w:r w:rsidRPr="00382917">
        <w:t>or</w:t>
      </w:r>
      <w:r w:rsidR="00EE4FC3">
        <w:t xml:space="preserve"> </w:t>
      </w:r>
      <w:r w:rsidRPr="00382917">
        <w:t>a</w:t>
      </w:r>
      <w:r w:rsidR="00EE4FC3">
        <w:t xml:space="preserve"> </w:t>
      </w:r>
      <w:r w:rsidRPr="00382917">
        <w:t>sign</w:t>
      </w:r>
      <w:r w:rsidR="00EE4FC3">
        <w:t xml:space="preserve"> </w:t>
      </w:r>
      <w:r w:rsidRPr="00382917">
        <w:t>appears</w:t>
      </w:r>
      <w:r w:rsidR="00EE4FC3">
        <w:t xml:space="preserve"> </w:t>
      </w:r>
      <w:r w:rsidRPr="00382917">
        <w:t>in</w:t>
      </w:r>
      <w:r w:rsidR="00EE4FC3">
        <w:t xml:space="preserve"> </w:t>
      </w:r>
      <w:r w:rsidRPr="00382917">
        <w:t>the</w:t>
      </w:r>
      <w:r w:rsidR="00EE4FC3">
        <w:t xml:space="preserve"> </w:t>
      </w:r>
      <w:r w:rsidRPr="00382917">
        <w:t>heavens.</w:t>
      </w:r>
    </w:p>
    <w:p w:rsidR="006E4F81" w:rsidRPr="00382917" w:rsidRDefault="006E4F81" w:rsidP="00935EC1">
      <w:pPr>
        <w:pStyle w:val="Text"/>
      </w:pPr>
      <w:r w:rsidRPr="00382917">
        <w:t>Nimrod</w:t>
      </w:r>
      <w:r w:rsidR="00EE4FC3">
        <w:t xml:space="preserve"> </w:t>
      </w:r>
      <w:r w:rsidRPr="00382917">
        <w:t>was</w:t>
      </w:r>
      <w:r w:rsidR="00EE4FC3">
        <w:t xml:space="preserve"> </w:t>
      </w:r>
      <w:r w:rsidRPr="00382917">
        <w:t>warned</w:t>
      </w:r>
      <w:r w:rsidR="00EE4FC3">
        <w:t xml:space="preserve"> </w:t>
      </w:r>
      <w:r w:rsidRPr="00382917">
        <w:t>of</w:t>
      </w:r>
      <w:r w:rsidR="00EE4FC3">
        <w:t xml:space="preserve"> </w:t>
      </w:r>
      <w:r w:rsidRPr="00382917">
        <w:t>the</w:t>
      </w:r>
      <w:r w:rsidR="00EE4FC3">
        <w:t xml:space="preserve"> </w:t>
      </w:r>
      <w:r w:rsidRPr="00382917">
        <w:t>star</w:t>
      </w:r>
      <w:r w:rsidR="00EE4FC3">
        <w:t xml:space="preserve"> </w:t>
      </w:r>
      <w:r w:rsidRPr="00382917">
        <w:t>that</w:t>
      </w:r>
      <w:r w:rsidR="00EE4FC3">
        <w:t xml:space="preserve"> </w:t>
      </w:r>
      <w:r w:rsidRPr="00382917">
        <w:t>told</w:t>
      </w:r>
      <w:r w:rsidR="00EE4FC3">
        <w:t xml:space="preserve"> </w:t>
      </w:r>
      <w:r w:rsidRPr="00382917">
        <w:t>of</w:t>
      </w:r>
      <w:r w:rsidR="00EE4FC3">
        <w:t xml:space="preserve"> </w:t>
      </w:r>
      <w:r w:rsidRPr="00382917">
        <w:t>the</w:t>
      </w:r>
      <w:r w:rsidR="00EE4FC3">
        <w:t xml:space="preserve"> </w:t>
      </w:r>
      <w:r w:rsidRPr="00382917">
        <w:t>coming</w:t>
      </w:r>
      <w:r w:rsidR="00EE4FC3">
        <w:t xml:space="preserve"> </w:t>
      </w:r>
      <w:r w:rsidRPr="00382917">
        <w:t>of</w:t>
      </w:r>
      <w:r w:rsidR="00EE4FC3">
        <w:t xml:space="preserve"> </w:t>
      </w:r>
      <w:r w:rsidRPr="00382917">
        <w:t>Abraham</w:t>
      </w:r>
      <w:r w:rsidR="00552489">
        <w:t>.</w:t>
      </w:r>
      <w:r w:rsidR="00EE4FC3">
        <w:t xml:space="preserve">  </w:t>
      </w:r>
      <w:r w:rsidRPr="00382917">
        <w:t>The</w:t>
      </w:r>
      <w:r w:rsidR="00EE4FC3">
        <w:t xml:space="preserve"> </w:t>
      </w:r>
      <w:r w:rsidRPr="00382917">
        <w:t>soothsayers</w:t>
      </w:r>
      <w:r w:rsidR="00EE4FC3">
        <w:t xml:space="preserve"> </w:t>
      </w:r>
      <w:r w:rsidRPr="00382917">
        <w:t>warned</w:t>
      </w:r>
      <w:r w:rsidR="00EE4FC3">
        <w:t xml:space="preserve"> </w:t>
      </w:r>
      <w:r w:rsidRPr="00382917">
        <w:t>Pharaoh</w:t>
      </w:r>
      <w:r w:rsidR="00EE4FC3">
        <w:t xml:space="preserve"> </w:t>
      </w:r>
      <w:r w:rsidRPr="00382917">
        <w:t>of</w:t>
      </w:r>
      <w:r w:rsidR="00EE4FC3">
        <w:t xml:space="preserve"> </w:t>
      </w:r>
      <w:r w:rsidRPr="00382917">
        <w:t>the</w:t>
      </w:r>
      <w:r w:rsidR="00EE4FC3">
        <w:t xml:space="preserve"> </w:t>
      </w:r>
      <w:r w:rsidRPr="00382917">
        <w:t>star</w:t>
      </w:r>
      <w:r w:rsidR="00EE4FC3">
        <w:t xml:space="preserve"> </w:t>
      </w:r>
      <w:r w:rsidRPr="00382917">
        <w:t>in</w:t>
      </w:r>
      <w:r w:rsidR="00EE4FC3">
        <w:t xml:space="preserve"> </w:t>
      </w:r>
      <w:r w:rsidRPr="00382917">
        <w:t>the</w:t>
      </w:r>
      <w:r w:rsidR="00EE4FC3">
        <w:t xml:space="preserve"> </w:t>
      </w:r>
      <w:r w:rsidRPr="00382917">
        <w:t>heavens</w:t>
      </w:r>
      <w:r w:rsidR="00EE4FC3">
        <w:t xml:space="preserve"> </w:t>
      </w:r>
      <w:r w:rsidRPr="00382917">
        <w:t>that</w:t>
      </w:r>
      <w:r w:rsidR="00EE4FC3">
        <w:t xml:space="preserve"> </w:t>
      </w:r>
      <w:r w:rsidRPr="00382917">
        <w:t>foretold</w:t>
      </w:r>
      <w:r w:rsidR="00EE4FC3">
        <w:t xml:space="preserve"> </w:t>
      </w:r>
      <w:r w:rsidRPr="00382917">
        <w:t>the</w:t>
      </w:r>
      <w:r w:rsidR="00EE4FC3">
        <w:t xml:space="preserve"> </w:t>
      </w:r>
      <w:r w:rsidRPr="00382917">
        <w:t>coming</w:t>
      </w:r>
      <w:r w:rsidR="00EE4FC3">
        <w:t xml:space="preserve"> </w:t>
      </w:r>
      <w:r w:rsidRPr="00382917">
        <w:t>of</w:t>
      </w:r>
      <w:r w:rsidR="00EE4FC3">
        <w:t xml:space="preserve"> </w:t>
      </w:r>
      <w:r w:rsidRPr="00382917">
        <w:t>Moses</w:t>
      </w:r>
      <w:r w:rsidR="00552489">
        <w:t>.</w:t>
      </w:r>
      <w:r w:rsidR="00EE4FC3">
        <w:t xml:space="preserve">  </w:t>
      </w:r>
      <w:r w:rsidRPr="00382917">
        <w:t>The</w:t>
      </w:r>
      <w:r w:rsidR="00EE4FC3">
        <w:t xml:space="preserve"> </w:t>
      </w:r>
      <w:r w:rsidRPr="00382917">
        <w:t>Magi</w:t>
      </w:r>
      <w:r w:rsidR="00EE4FC3">
        <w:t xml:space="preserve"> </w:t>
      </w:r>
      <w:r w:rsidRPr="00382917">
        <w:t>informed</w:t>
      </w:r>
      <w:r w:rsidR="00EE4FC3">
        <w:t xml:space="preserve"> </w:t>
      </w:r>
      <w:r w:rsidRPr="00382917">
        <w:t>Herod</w:t>
      </w:r>
      <w:r w:rsidR="00EE4FC3">
        <w:t xml:space="preserve"> </w:t>
      </w:r>
      <w:r w:rsidRPr="00382917">
        <w:t>of</w:t>
      </w:r>
      <w:r w:rsidR="00EE4FC3">
        <w:t xml:space="preserve"> </w:t>
      </w:r>
      <w:r w:rsidRPr="00382917">
        <w:t>the</w:t>
      </w:r>
      <w:r w:rsidR="00EE4FC3">
        <w:t xml:space="preserve"> </w:t>
      </w:r>
      <w:r w:rsidRPr="00382917">
        <w:t>new</w:t>
      </w:r>
      <w:r w:rsidR="00EE4FC3">
        <w:t xml:space="preserve"> </w:t>
      </w:r>
      <w:r w:rsidRPr="00382917">
        <w:t>star</w:t>
      </w:r>
      <w:r w:rsidR="00EE4FC3">
        <w:t xml:space="preserve"> </w:t>
      </w:r>
      <w:r w:rsidRPr="00382917">
        <w:t>that</w:t>
      </w:r>
      <w:r w:rsidR="00EE4FC3">
        <w:t xml:space="preserve"> </w:t>
      </w:r>
      <w:r w:rsidRPr="00382917">
        <w:t>guided</w:t>
      </w:r>
      <w:r w:rsidR="00EE4FC3">
        <w:t xml:space="preserve"> </w:t>
      </w:r>
      <w:r w:rsidRPr="00382917">
        <w:t>them</w:t>
      </w:r>
      <w:r w:rsidR="00EE4FC3">
        <w:t xml:space="preserve"> </w:t>
      </w:r>
      <w:r w:rsidRPr="00382917">
        <w:t>to</w:t>
      </w:r>
      <w:r w:rsidR="00EE4FC3">
        <w:t xml:space="preserve"> </w:t>
      </w:r>
      <w:r w:rsidRPr="00382917">
        <w:t>the</w:t>
      </w:r>
      <w:r w:rsidR="00EE4FC3">
        <w:t xml:space="preserve"> </w:t>
      </w:r>
      <w:r w:rsidRPr="00382917">
        <w:t>throne</w:t>
      </w:r>
      <w:r w:rsidR="00EE4FC3">
        <w:t xml:space="preserve"> </w:t>
      </w:r>
      <w:r w:rsidRPr="00382917">
        <w:t>of</w:t>
      </w:r>
      <w:r w:rsidR="00EE4FC3">
        <w:t xml:space="preserve"> </w:t>
      </w:r>
      <w:r w:rsidRPr="00382917">
        <w:t>the</w:t>
      </w:r>
      <w:r w:rsidR="00EE4FC3">
        <w:t xml:space="preserve"> </w:t>
      </w:r>
      <w:r w:rsidR="009C713D" w:rsidRPr="00382917">
        <w:t>“</w:t>
      </w:r>
      <w:r w:rsidRPr="00382917">
        <w:t>spiritual</w:t>
      </w:r>
      <w:r w:rsidR="00EE4FC3">
        <w:t xml:space="preserve"> </w:t>
      </w:r>
      <w:r w:rsidRPr="00382917">
        <w:t>king</w:t>
      </w:r>
      <w:r w:rsidR="009C713D" w:rsidRPr="00382917">
        <w:t>”</w:t>
      </w:r>
      <w:r w:rsidR="00935EC1">
        <w:t>,</w:t>
      </w:r>
      <w:r w:rsidR="00EE4FC3">
        <w:t xml:space="preserve"> </w:t>
      </w:r>
      <w:r w:rsidRPr="00382917">
        <w:t>Jesus</w:t>
      </w:r>
      <w:r w:rsidR="00552489">
        <w:t>.</w:t>
      </w:r>
      <w:r w:rsidR="00EE4FC3">
        <w:t xml:space="preserve">  </w:t>
      </w:r>
      <w:r w:rsidRPr="00382917">
        <w:t>The</w:t>
      </w:r>
      <w:r w:rsidR="00EE4FC3">
        <w:t xml:space="preserve"> </w:t>
      </w:r>
      <w:r w:rsidRPr="00382917">
        <w:t>same</w:t>
      </w:r>
      <w:r w:rsidR="00EE4FC3">
        <w:t xml:space="preserve"> </w:t>
      </w:r>
      <w:r w:rsidRPr="00382917">
        <w:t>legend</w:t>
      </w:r>
      <w:r w:rsidR="00EE4FC3">
        <w:t xml:space="preserve"> </w:t>
      </w:r>
      <w:r w:rsidRPr="00382917">
        <w:t>is</w:t>
      </w:r>
      <w:r w:rsidR="00EE4FC3">
        <w:t xml:space="preserve"> </w:t>
      </w:r>
      <w:r w:rsidRPr="00382917">
        <w:t>told</w:t>
      </w:r>
      <w:r w:rsidR="00EE4FC3">
        <w:t xml:space="preserve"> </w:t>
      </w:r>
      <w:r w:rsidRPr="00382917">
        <w:t>of</w:t>
      </w:r>
      <w:r w:rsidR="00EE4FC3">
        <w:t xml:space="preserve"> </w:t>
      </w:r>
      <w:r w:rsidRPr="00382917">
        <w:t>Buddha,</w:t>
      </w:r>
      <w:r w:rsidR="00EE4FC3">
        <w:t xml:space="preserve"> </w:t>
      </w:r>
      <w:r w:rsidRPr="00382917">
        <w:t>Zoroaster,</w:t>
      </w:r>
      <w:r w:rsidR="00EE4FC3">
        <w:t xml:space="preserve"> </w:t>
      </w:r>
      <w:r w:rsidR="0040329F" w:rsidRPr="00382917">
        <w:t>Mu</w:t>
      </w:r>
      <w:r w:rsidR="0040329F" w:rsidRPr="0040329F">
        <w:t>ḥ</w:t>
      </w:r>
      <w:r w:rsidR="0040329F" w:rsidRPr="00382917">
        <w:t>ammad</w:t>
      </w:r>
      <w:r w:rsidR="00EE4FC3">
        <w:t xml:space="preserve"> </w:t>
      </w:r>
      <w:r w:rsidRPr="00382917">
        <w:t>and</w:t>
      </w:r>
      <w:r w:rsidR="00EE4FC3">
        <w:t xml:space="preserve"> </w:t>
      </w:r>
      <w:r w:rsidRPr="00382917">
        <w:t>Krishna.</w:t>
      </w:r>
    </w:p>
    <w:p w:rsidR="006E4F81" w:rsidRPr="00382917" w:rsidRDefault="006E4F81" w:rsidP="004C0EF8">
      <w:pPr>
        <w:pStyle w:val="Text"/>
      </w:pPr>
      <w:r w:rsidRPr="00382917">
        <w:t>What</w:t>
      </w:r>
      <w:r w:rsidR="00EE4FC3">
        <w:t xml:space="preserve"> </w:t>
      </w:r>
      <w:r w:rsidRPr="00382917">
        <w:t>were</w:t>
      </w:r>
      <w:r w:rsidR="00EE4FC3">
        <w:t xml:space="preserve"> </w:t>
      </w:r>
      <w:r w:rsidRPr="00382917">
        <w:t>the</w:t>
      </w:r>
      <w:r w:rsidR="00EE4FC3">
        <w:t xml:space="preserve"> </w:t>
      </w:r>
      <w:r w:rsidRPr="00382917">
        <w:t>signs</w:t>
      </w:r>
      <w:r w:rsidR="00EE4FC3">
        <w:t xml:space="preserve"> </w:t>
      </w:r>
      <w:r w:rsidRPr="00382917">
        <w:t>in</w:t>
      </w:r>
      <w:r w:rsidR="00EE4FC3">
        <w:t xml:space="preserve"> </w:t>
      </w:r>
      <w:r w:rsidRPr="00382917">
        <w:t>the</w:t>
      </w:r>
      <w:r w:rsidR="00EE4FC3">
        <w:t xml:space="preserve"> </w:t>
      </w:r>
      <w:r w:rsidRPr="00382917">
        <w:t>heavens</w:t>
      </w:r>
      <w:r w:rsidR="00EE4FC3">
        <w:t xml:space="preserve"> </w:t>
      </w:r>
      <w:r w:rsidRPr="00382917">
        <w:t>during</w:t>
      </w:r>
      <w:r w:rsidR="00EE4FC3">
        <w:t xml:space="preserve"> </w:t>
      </w:r>
      <w:r w:rsidRPr="00382917">
        <w:t>the</w:t>
      </w:r>
      <w:r w:rsidR="00EE4FC3">
        <w:t xml:space="preserve"> </w:t>
      </w:r>
      <w:r w:rsidRPr="00382917">
        <w:t>appearance</w:t>
      </w:r>
      <w:r w:rsidR="00EE4FC3">
        <w:t xml:space="preserve"> </w:t>
      </w:r>
      <w:r w:rsidRPr="00382917">
        <w:t>of</w:t>
      </w:r>
      <w:r w:rsidR="00EE4FC3">
        <w:t xml:space="preserve"> </w:t>
      </w:r>
      <w:r w:rsidRPr="00382917">
        <w:t>the</w:t>
      </w:r>
      <w:r w:rsidR="00EE4FC3">
        <w:t xml:space="preserve"> </w:t>
      </w:r>
      <w:r w:rsidRPr="00382917">
        <w:t>Báb</w:t>
      </w:r>
      <w:r w:rsidR="00EE4FC3">
        <w:t xml:space="preserve"> </w:t>
      </w:r>
      <w:r w:rsidRPr="00382917">
        <w:t>and</w:t>
      </w:r>
      <w:r w:rsidR="00EE4FC3">
        <w:t xml:space="preserve"> </w:t>
      </w:r>
      <w:r w:rsidRPr="00382917">
        <w:t>Bahá</w:t>
      </w:r>
      <w:r w:rsidR="009C713D" w:rsidRPr="00382917">
        <w:t>’</w:t>
      </w:r>
      <w:r w:rsidRPr="00382917">
        <w:t>u</w:t>
      </w:r>
      <w:r w:rsidR="009C713D" w:rsidRPr="00382917">
        <w:t>’</w:t>
      </w:r>
      <w:r w:rsidRPr="00382917">
        <w:t>lláh</w:t>
      </w:r>
      <w:r w:rsidR="003C712C">
        <w:t xml:space="preserve">?  </w:t>
      </w:r>
      <w:r w:rsidRPr="00382917">
        <w:t>The</w:t>
      </w:r>
      <w:r w:rsidR="00EE4FC3">
        <w:t xml:space="preserve"> </w:t>
      </w:r>
      <w:proofErr w:type="gramStart"/>
      <w:r w:rsidRPr="00382917">
        <w:t>holy</w:t>
      </w:r>
      <w:proofErr w:type="gramEnd"/>
      <w:r w:rsidR="00EE4FC3">
        <w:t xml:space="preserve"> </w:t>
      </w:r>
      <w:r w:rsidRPr="00382917">
        <w:t>Scriptures</w:t>
      </w:r>
      <w:r w:rsidR="00EE4FC3">
        <w:t xml:space="preserve"> </w:t>
      </w:r>
      <w:r w:rsidRPr="00382917">
        <w:t>of</w:t>
      </w:r>
      <w:r w:rsidR="00EE4FC3">
        <w:t xml:space="preserve"> </w:t>
      </w:r>
      <w:r w:rsidRPr="00382917">
        <w:t>all</w:t>
      </w:r>
      <w:r w:rsidR="00EE4FC3">
        <w:t xml:space="preserve"> </w:t>
      </w:r>
      <w:r w:rsidRPr="00382917">
        <w:t>faiths</w:t>
      </w:r>
      <w:r w:rsidR="00EE4FC3">
        <w:t xml:space="preserve"> </w:t>
      </w:r>
      <w:r w:rsidRPr="00382917">
        <w:t>had</w:t>
      </w:r>
      <w:r w:rsidR="00EE4FC3">
        <w:t xml:space="preserve"> </w:t>
      </w:r>
      <w:r w:rsidRPr="00382917">
        <w:t>spoken</w:t>
      </w:r>
      <w:r w:rsidR="00EE4FC3">
        <w:t xml:space="preserve"> </w:t>
      </w:r>
      <w:r w:rsidRPr="00382917">
        <w:t>of</w:t>
      </w:r>
      <w:r w:rsidR="00EE4FC3">
        <w:t xml:space="preserve"> </w:t>
      </w:r>
      <w:r w:rsidRPr="00382917">
        <w:t>Twin-Revelations</w:t>
      </w:r>
      <w:r w:rsidR="00EE4FC3">
        <w:t xml:space="preserve"> </w:t>
      </w:r>
      <w:r w:rsidRPr="00382917">
        <w:t>that</w:t>
      </w:r>
      <w:r w:rsidR="00EE4FC3">
        <w:t xml:space="preserve"> </w:t>
      </w:r>
      <w:r w:rsidRPr="00382917">
        <w:t>would</w:t>
      </w:r>
      <w:r w:rsidR="00EE4FC3">
        <w:t xml:space="preserve"> </w:t>
      </w:r>
      <w:r w:rsidRPr="00382917">
        <w:t>appear</w:t>
      </w:r>
      <w:r w:rsidR="00EE4FC3">
        <w:t xml:space="preserve"> </w:t>
      </w:r>
      <w:r w:rsidRPr="00382917">
        <w:t>at</w:t>
      </w:r>
      <w:r w:rsidR="00EE4FC3">
        <w:t xml:space="preserve"> </w:t>
      </w:r>
      <w:r w:rsidRPr="00382917">
        <w:t>the</w:t>
      </w:r>
      <w:r w:rsidR="00EE4FC3">
        <w:t xml:space="preserve"> </w:t>
      </w:r>
      <w:r w:rsidR="009C713D" w:rsidRPr="00382917">
        <w:t>“</w:t>
      </w:r>
      <w:r w:rsidRPr="00382917">
        <w:t>time</w:t>
      </w:r>
      <w:r w:rsidR="00EE4FC3">
        <w:t xml:space="preserve"> </w:t>
      </w:r>
      <w:r w:rsidRPr="00382917">
        <w:t>of</w:t>
      </w:r>
      <w:r w:rsidR="00EE4FC3">
        <w:t xml:space="preserve"> </w:t>
      </w:r>
      <w:r w:rsidRPr="00382917">
        <w:t>the</w:t>
      </w:r>
      <w:r w:rsidR="00EE4FC3">
        <w:t xml:space="preserve"> </w:t>
      </w:r>
      <w:r w:rsidRPr="00382917">
        <w:t>end.</w:t>
      </w:r>
      <w:r w:rsidR="009C713D" w:rsidRPr="00382917">
        <w:t>”</w:t>
      </w:r>
      <w:r w:rsidR="00EE4FC3">
        <w:t xml:space="preserve"> </w:t>
      </w:r>
      <w:r w:rsidR="00935EC1">
        <w:t xml:space="preserve"> </w:t>
      </w:r>
      <w:r w:rsidRPr="00382917">
        <w:t>Now</w:t>
      </w:r>
      <w:r w:rsidR="00EE4FC3">
        <w:t xml:space="preserve"> </w:t>
      </w:r>
      <w:r w:rsidRPr="00382917">
        <w:t>that</w:t>
      </w:r>
      <w:r w:rsidR="00EE4FC3">
        <w:t xml:space="preserve"> </w:t>
      </w:r>
      <w:r w:rsidRPr="00382917">
        <w:t>the</w:t>
      </w:r>
      <w:r w:rsidR="00EE4FC3">
        <w:t xml:space="preserve"> </w:t>
      </w:r>
      <w:r w:rsidRPr="00382917">
        <w:t>Báb</w:t>
      </w:r>
      <w:r w:rsidR="00EE4FC3">
        <w:t xml:space="preserve"> </w:t>
      </w:r>
      <w:r w:rsidRPr="00382917">
        <w:t>and</w:t>
      </w:r>
      <w:r w:rsidR="00EE4FC3">
        <w:t xml:space="preserve"> </w:t>
      </w:r>
      <w:r w:rsidRPr="00382917">
        <w:t>Bahá</w:t>
      </w:r>
      <w:r w:rsidR="009C713D" w:rsidRPr="00382917">
        <w:t>’</w:t>
      </w:r>
      <w:r w:rsidRPr="00382917">
        <w:t>u</w:t>
      </w:r>
      <w:r w:rsidR="009C713D" w:rsidRPr="00382917">
        <w:t>’</w:t>
      </w:r>
      <w:r w:rsidRPr="00382917">
        <w:t>lláh</w:t>
      </w:r>
      <w:r w:rsidR="00EE4FC3">
        <w:t xml:space="preserve"> </w:t>
      </w:r>
      <w:r w:rsidRPr="00382917">
        <w:t>had</w:t>
      </w:r>
      <w:r w:rsidR="00EE4FC3">
        <w:t xml:space="preserve"> </w:t>
      </w:r>
      <w:r w:rsidRPr="00382917">
        <w:t>appeared,</w:t>
      </w:r>
      <w:r w:rsidR="00EE4FC3">
        <w:t xml:space="preserve"> </w:t>
      </w:r>
      <w:r w:rsidRPr="00382917">
        <w:t>fulfilling</w:t>
      </w:r>
      <w:r w:rsidR="00EE4FC3">
        <w:t xml:space="preserve"> </w:t>
      </w:r>
      <w:r w:rsidRPr="00382917">
        <w:t>these</w:t>
      </w:r>
      <w:r w:rsidR="00EE4FC3">
        <w:t xml:space="preserve"> </w:t>
      </w:r>
      <w:r w:rsidRPr="00382917">
        <w:t>prophecies,</w:t>
      </w:r>
      <w:r w:rsidR="00EE4FC3">
        <w:t xml:space="preserve"> </w:t>
      </w:r>
      <w:r w:rsidRPr="00382917">
        <w:t>what</w:t>
      </w:r>
      <w:r w:rsidR="00EE4FC3">
        <w:t xml:space="preserve"> </w:t>
      </w:r>
      <w:r w:rsidRPr="00382917">
        <w:t>were</w:t>
      </w:r>
      <w:r w:rsidR="00EE4FC3">
        <w:t xml:space="preserve"> </w:t>
      </w:r>
      <w:r w:rsidRPr="00382917">
        <w:t>the</w:t>
      </w:r>
      <w:r w:rsidR="00EE4FC3">
        <w:t xml:space="preserve"> </w:t>
      </w:r>
      <w:r w:rsidRPr="00382917">
        <w:t>signs</w:t>
      </w:r>
      <w:r w:rsidR="00EE4FC3">
        <w:t xml:space="preserve"> </w:t>
      </w:r>
      <w:r w:rsidRPr="00382917">
        <w:t>in</w:t>
      </w:r>
      <w:r w:rsidR="00EE4FC3">
        <w:t xml:space="preserve"> </w:t>
      </w:r>
      <w:r w:rsidRPr="00382917">
        <w:t>the</w:t>
      </w:r>
      <w:r w:rsidR="00EE4FC3">
        <w:t xml:space="preserve"> </w:t>
      </w:r>
      <w:r w:rsidRPr="00382917">
        <w:t>heavens</w:t>
      </w:r>
      <w:r w:rsidR="003C712C">
        <w:t xml:space="preserve">?  </w:t>
      </w:r>
      <w:proofErr w:type="gramStart"/>
      <w:r w:rsidRPr="00382917">
        <w:t>Signs,</w:t>
      </w:r>
      <w:r w:rsidR="00EE4FC3">
        <w:t xml:space="preserve"> </w:t>
      </w:r>
      <w:r w:rsidRPr="00382917">
        <w:t>not</w:t>
      </w:r>
      <w:r w:rsidR="00EE4FC3">
        <w:t xml:space="preserve"> </w:t>
      </w:r>
      <w:r w:rsidRPr="00382917">
        <w:t>for</w:t>
      </w:r>
      <w:r w:rsidR="00EE4FC3">
        <w:t xml:space="preserve"> </w:t>
      </w:r>
      <w:r w:rsidRPr="00382917">
        <w:t>one,</w:t>
      </w:r>
      <w:r w:rsidR="00EE4FC3">
        <w:t xml:space="preserve"> </w:t>
      </w:r>
      <w:r w:rsidRPr="00382917">
        <w:t>but</w:t>
      </w:r>
      <w:r w:rsidR="00EE4FC3">
        <w:t xml:space="preserve"> </w:t>
      </w:r>
      <w:r w:rsidRPr="00382917">
        <w:t>for</w:t>
      </w:r>
      <w:r w:rsidR="00EE4FC3">
        <w:t xml:space="preserve"> </w:t>
      </w:r>
      <w:r w:rsidRPr="00382917">
        <w:rPr>
          <w:i/>
          <w:iCs/>
        </w:rPr>
        <w:t>two</w:t>
      </w:r>
      <w:r w:rsidR="00EE4FC3">
        <w:t xml:space="preserve"> </w:t>
      </w:r>
      <w:r w:rsidRPr="00382917">
        <w:t>Messengers</w:t>
      </w:r>
      <w:r w:rsidR="00EE4FC3">
        <w:t xml:space="preserve"> </w:t>
      </w:r>
      <w:r w:rsidRPr="00382917">
        <w:t>of</w:t>
      </w:r>
      <w:r w:rsidR="00EE4FC3">
        <w:t xml:space="preserve"> </w:t>
      </w:r>
      <w:r w:rsidRPr="00382917">
        <w:t>God,</w:t>
      </w:r>
      <w:r w:rsidR="00EE4FC3">
        <w:t xml:space="preserve"> </w:t>
      </w:r>
      <w:r w:rsidRPr="00382917">
        <w:t>Who</w:t>
      </w:r>
      <w:r w:rsidR="00EE4FC3">
        <w:t xml:space="preserve"> </w:t>
      </w:r>
      <w:r w:rsidRPr="00382917">
        <w:t>would</w:t>
      </w:r>
      <w:r w:rsidR="00EE4FC3">
        <w:t xml:space="preserve"> </w:t>
      </w:r>
      <w:r w:rsidRPr="00382917">
        <w:t>appear</w:t>
      </w:r>
      <w:r w:rsidR="00EE4FC3">
        <w:t xml:space="preserve"> </w:t>
      </w:r>
      <w:r w:rsidRPr="00382917">
        <w:t>almost</w:t>
      </w:r>
      <w:r w:rsidR="00EE4FC3">
        <w:t xml:space="preserve"> </w:t>
      </w:r>
      <w:r w:rsidRPr="00382917">
        <w:t>simultaneously?</w:t>
      </w:r>
      <w:proofErr w:type="gramEnd"/>
    </w:p>
    <w:p w:rsidR="006E4F81" w:rsidRPr="00382917" w:rsidRDefault="006E4F81" w:rsidP="004C0EF8">
      <w:pPr>
        <w:pStyle w:val="Text"/>
      </w:pPr>
      <w:r w:rsidRPr="00382917">
        <w:t>Some</w:t>
      </w:r>
      <w:r w:rsidR="00EE4FC3">
        <w:t xml:space="preserve"> </w:t>
      </w:r>
      <w:r w:rsidRPr="00382917">
        <w:t>of</w:t>
      </w:r>
      <w:r w:rsidR="00EE4FC3">
        <w:t xml:space="preserve"> </w:t>
      </w:r>
      <w:r w:rsidRPr="00382917">
        <w:t>us</w:t>
      </w:r>
      <w:r w:rsidR="00EE4FC3">
        <w:t xml:space="preserve"> </w:t>
      </w:r>
      <w:r w:rsidRPr="00382917">
        <w:t>know</w:t>
      </w:r>
      <w:r w:rsidR="00EE4FC3">
        <w:t xml:space="preserve"> </w:t>
      </w:r>
      <w:r w:rsidRPr="00382917">
        <w:t>the</w:t>
      </w:r>
      <w:r w:rsidR="00EE4FC3">
        <w:t xml:space="preserve"> </w:t>
      </w:r>
      <w:r w:rsidRPr="00382917">
        <w:t>story</w:t>
      </w:r>
      <w:r w:rsidR="00EE4FC3">
        <w:t xml:space="preserve"> </w:t>
      </w:r>
      <w:r w:rsidRPr="00382917">
        <w:t>of</w:t>
      </w:r>
      <w:r w:rsidR="00EE4FC3">
        <w:t xml:space="preserve"> </w:t>
      </w:r>
      <w:r w:rsidRPr="00382917">
        <w:t>the</w:t>
      </w:r>
      <w:r w:rsidR="00EE4FC3">
        <w:t xml:space="preserve"> </w:t>
      </w:r>
      <w:r w:rsidRPr="00382917">
        <w:t>great</w:t>
      </w:r>
      <w:r w:rsidR="00EE4FC3">
        <w:t xml:space="preserve"> </w:t>
      </w:r>
      <w:r w:rsidRPr="00382917">
        <w:t>comet</w:t>
      </w:r>
      <w:r w:rsidR="00EE4FC3">
        <w:t xml:space="preserve"> </w:t>
      </w:r>
      <w:r w:rsidRPr="00382917">
        <w:t>of</w:t>
      </w:r>
      <w:r w:rsidR="00EE4FC3">
        <w:t xml:space="preserve"> </w:t>
      </w:r>
      <w:r w:rsidRPr="00382917">
        <w:t>1843</w:t>
      </w:r>
      <w:r w:rsidR="00EE4FC3">
        <w:t xml:space="preserve"> </w:t>
      </w:r>
      <w:r w:rsidRPr="00382917">
        <w:t>which</w:t>
      </w:r>
      <w:r w:rsidR="00EE4FC3">
        <w:t xml:space="preserve"> </w:t>
      </w:r>
      <w:r w:rsidRPr="00382917">
        <w:t>foreshadowed</w:t>
      </w:r>
      <w:r w:rsidR="00EE4FC3">
        <w:t xml:space="preserve"> </w:t>
      </w:r>
      <w:r w:rsidRPr="00382917">
        <w:t>the</w:t>
      </w:r>
      <w:r w:rsidR="00EE4FC3">
        <w:t xml:space="preserve"> </w:t>
      </w:r>
      <w:r w:rsidRPr="00382917">
        <w:t>coming</w:t>
      </w:r>
      <w:r w:rsidR="00EE4FC3">
        <w:t xml:space="preserve"> </w:t>
      </w:r>
      <w:r w:rsidRPr="00382917">
        <w:t>of</w:t>
      </w:r>
      <w:r w:rsidR="00EE4FC3">
        <w:t xml:space="preserve"> </w:t>
      </w:r>
      <w:r w:rsidRPr="00382917">
        <w:t>the</w:t>
      </w:r>
      <w:r w:rsidR="00EE4FC3">
        <w:t xml:space="preserve"> </w:t>
      </w:r>
      <w:r w:rsidRPr="00382917">
        <w:t>Báb.</w:t>
      </w:r>
    </w:p>
    <w:p w:rsidR="006E4F81" w:rsidRPr="00382917" w:rsidRDefault="006E4F81" w:rsidP="00977A0A">
      <w:pPr>
        <w:pStyle w:val="Text"/>
      </w:pPr>
      <w:r w:rsidRPr="00382917">
        <w:t>Sir</w:t>
      </w:r>
      <w:r w:rsidR="00EE4FC3">
        <w:t xml:space="preserve"> </w:t>
      </w:r>
      <w:r w:rsidRPr="00382917">
        <w:t>James</w:t>
      </w:r>
      <w:r w:rsidR="00EE4FC3">
        <w:t xml:space="preserve"> </w:t>
      </w:r>
      <w:r w:rsidRPr="00382917">
        <w:t>Jeans,</w:t>
      </w:r>
      <w:r w:rsidR="00EE4FC3">
        <w:t xml:space="preserve"> </w:t>
      </w:r>
      <w:r w:rsidRPr="00382917">
        <w:t>late</w:t>
      </w:r>
      <w:r w:rsidR="00EE4FC3">
        <w:t xml:space="preserve"> </w:t>
      </w:r>
      <w:r w:rsidRPr="00382917">
        <w:t>British</w:t>
      </w:r>
      <w:r w:rsidR="00EE4FC3">
        <w:t xml:space="preserve"> </w:t>
      </w:r>
      <w:r w:rsidRPr="00382917">
        <w:t>astronomer</w:t>
      </w:r>
      <w:r w:rsidR="00EE4FC3">
        <w:t xml:space="preserve"> </w:t>
      </w:r>
      <w:r w:rsidRPr="00382917">
        <w:t>and</w:t>
      </w:r>
      <w:r w:rsidR="00EE4FC3">
        <w:t xml:space="preserve"> </w:t>
      </w:r>
      <w:r w:rsidRPr="00382917">
        <w:t>mathematician,</w:t>
      </w:r>
      <w:r w:rsidR="00EE4FC3">
        <w:t xml:space="preserve"> </w:t>
      </w:r>
      <w:r w:rsidRPr="00382917">
        <w:t>stated</w:t>
      </w:r>
      <w:r w:rsidR="00EE4FC3">
        <w:t xml:space="preserve"> </w:t>
      </w:r>
      <w:r w:rsidRPr="00382917">
        <w:t>in</w:t>
      </w:r>
      <w:r w:rsidR="00EE4FC3">
        <w:t xml:space="preserve"> </w:t>
      </w:r>
      <w:r w:rsidRPr="00382917">
        <w:t>his</w:t>
      </w:r>
      <w:r w:rsidR="00EE4FC3">
        <w:t xml:space="preserve"> </w:t>
      </w:r>
      <w:r w:rsidRPr="00382917">
        <w:t>book</w:t>
      </w:r>
      <w:r w:rsidR="00EE4FC3">
        <w:t xml:space="preserve"> </w:t>
      </w:r>
      <w:r w:rsidRPr="00382917">
        <w:rPr>
          <w:i/>
          <w:iCs/>
        </w:rPr>
        <w:t>Through</w:t>
      </w:r>
      <w:r w:rsidR="00EE4FC3">
        <w:rPr>
          <w:i/>
          <w:iCs/>
        </w:rPr>
        <w:t xml:space="preserve"> </w:t>
      </w:r>
      <w:r w:rsidRPr="00382917">
        <w:rPr>
          <w:i/>
          <w:iCs/>
        </w:rPr>
        <w:t>Space</w:t>
      </w:r>
      <w:r w:rsidR="00EE4FC3">
        <w:rPr>
          <w:i/>
          <w:iCs/>
        </w:rPr>
        <w:t xml:space="preserve"> </w:t>
      </w:r>
      <w:r w:rsidRPr="00382917">
        <w:rPr>
          <w:i/>
          <w:iCs/>
        </w:rPr>
        <w:t>and</w:t>
      </w:r>
      <w:r w:rsidR="00EE4FC3">
        <w:rPr>
          <w:i/>
          <w:iCs/>
        </w:rPr>
        <w:t xml:space="preserve"> </w:t>
      </w:r>
      <w:r w:rsidRPr="00382917">
        <w:rPr>
          <w:i/>
          <w:iCs/>
        </w:rPr>
        <w:t>Time</w:t>
      </w:r>
      <w:r w:rsidRPr="00382917">
        <w:t>,</w:t>
      </w:r>
      <w:r w:rsidR="00EE4FC3">
        <w:t xml:space="preserve"> </w:t>
      </w:r>
      <w:r w:rsidR="009C713D" w:rsidRPr="00382917">
        <w:t>“</w:t>
      </w:r>
      <w:r w:rsidRPr="00382917">
        <w:t>oddly</w:t>
      </w:r>
      <w:r w:rsidR="00EE4FC3">
        <w:t xml:space="preserve"> </w:t>
      </w:r>
      <w:r w:rsidRPr="00382917">
        <w:t>enough,</w:t>
      </w:r>
      <w:r w:rsidR="00EE4FC3">
        <w:t xml:space="preserve"> </w:t>
      </w:r>
      <w:r w:rsidRPr="00382917">
        <w:t>many</w:t>
      </w:r>
      <w:r w:rsidR="00EE4FC3">
        <w:t xml:space="preserve"> </w:t>
      </w:r>
      <w:r w:rsidRPr="00382917">
        <w:t>of</w:t>
      </w:r>
      <w:r w:rsidR="00EE4FC3">
        <w:t xml:space="preserve"> </w:t>
      </w:r>
      <w:r w:rsidRPr="00382917">
        <w:t>the</w:t>
      </w:r>
      <w:r w:rsidR="00EE4FC3">
        <w:t xml:space="preserve"> </w:t>
      </w:r>
      <w:r w:rsidRPr="00382917">
        <w:t>most</w:t>
      </w:r>
      <w:r w:rsidR="00EE4FC3">
        <w:t xml:space="preserve"> </w:t>
      </w:r>
      <w:r w:rsidRPr="00382917">
        <w:t>conspicuous</w:t>
      </w:r>
      <w:r w:rsidR="00EE4FC3">
        <w:t xml:space="preserve"> </w:t>
      </w:r>
      <w:r w:rsidRPr="00382917">
        <w:t>appearances</w:t>
      </w:r>
      <w:r w:rsidR="00EE4FC3">
        <w:t xml:space="preserve"> </w:t>
      </w:r>
      <w:r w:rsidRPr="00382917">
        <w:t>of</w:t>
      </w:r>
      <w:r w:rsidR="00EE4FC3">
        <w:t xml:space="preserve"> </w:t>
      </w:r>
      <w:r w:rsidRPr="00382917">
        <w:t>comets</w:t>
      </w:r>
      <w:r w:rsidR="00EE4FC3">
        <w:t xml:space="preserve"> </w:t>
      </w:r>
      <w:r w:rsidRPr="00382917">
        <w:t>seem</w:t>
      </w:r>
      <w:r w:rsidR="00EE4FC3">
        <w:t xml:space="preserve"> </w:t>
      </w:r>
      <w:r w:rsidRPr="00382917">
        <w:t>to</w:t>
      </w:r>
      <w:r w:rsidR="00EE4FC3">
        <w:t xml:space="preserve"> </w:t>
      </w:r>
      <w:r w:rsidRPr="00382917">
        <w:t>have</w:t>
      </w:r>
      <w:r w:rsidR="00EE4FC3">
        <w:t xml:space="preserve"> </w:t>
      </w:r>
      <w:r w:rsidRPr="00382917">
        <w:t>coincided</w:t>
      </w:r>
      <w:r w:rsidR="00EE4FC3">
        <w:t xml:space="preserve"> </w:t>
      </w:r>
      <w:r w:rsidRPr="00382917">
        <w:t>with,</w:t>
      </w:r>
      <w:r w:rsidR="00EE4FC3">
        <w:t xml:space="preserve"> </w:t>
      </w:r>
      <w:r w:rsidRPr="00382917">
        <w:t>or</w:t>
      </w:r>
      <w:r w:rsidR="00EE4FC3">
        <w:t xml:space="preserve"> </w:t>
      </w:r>
      <w:r w:rsidRPr="00382917">
        <w:t>perhaps</w:t>
      </w:r>
      <w:r w:rsidR="00EE4FC3">
        <w:t xml:space="preserve"> </w:t>
      </w:r>
      <w:r w:rsidRPr="00382917">
        <w:t>just</w:t>
      </w:r>
      <w:r w:rsidR="00EE4FC3">
        <w:t xml:space="preserve"> </w:t>
      </w:r>
      <w:r w:rsidRPr="00382917">
        <w:t>anticipated,</w:t>
      </w:r>
      <w:r w:rsidR="00EE4FC3">
        <w:t xml:space="preserve"> </w:t>
      </w:r>
      <w:r w:rsidRPr="00382917">
        <w:t>important</w:t>
      </w:r>
      <w:r w:rsidR="00EE4FC3">
        <w:t xml:space="preserve"> </w:t>
      </w:r>
      <w:r w:rsidRPr="00382917">
        <w:t>events</w:t>
      </w:r>
      <w:r w:rsidR="00EE4FC3">
        <w:t xml:space="preserve"> </w:t>
      </w:r>
      <w:r w:rsidRPr="00382917">
        <w:t>in</w:t>
      </w:r>
      <w:r w:rsidR="00EE4FC3">
        <w:t xml:space="preserve"> </w:t>
      </w:r>
      <w:r w:rsidRPr="00382917">
        <w:t>history.</w:t>
      </w:r>
      <w:r w:rsidR="009C713D" w:rsidRPr="00382917">
        <w:t>”</w:t>
      </w:r>
      <w:r w:rsidR="00977A0A">
        <w:rPr>
          <w:rStyle w:val="FootnoteReference"/>
        </w:rPr>
        <w:footnoteReference w:id="361"/>
      </w:r>
    </w:p>
    <w:p w:rsidR="006E4F81" w:rsidRPr="00382917" w:rsidRDefault="006E4F81" w:rsidP="004C0EF8">
      <w:pPr>
        <w:pStyle w:val="Text"/>
      </w:pPr>
      <w:r w:rsidRPr="00382917">
        <w:t>One</w:t>
      </w:r>
      <w:r w:rsidR="00EE4FC3">
        <w:t xml:space="preserve"> </w:t>
      </w:r>
      <w:r w:rsidRPr="00382917">
        <w:t>of</w:t>
      </w:r>
      <w:r w:rsidR="00EE4FC3">
        <w:t xml:space="preserve"> </w:t>
      </w:r>
      <w:r w:rsidRPr="00382917">
        <w:t>the</w:t>
      </w:r>
      <w:r w:rsidR="00EE4FC3">
        <w:t xml:space="preserve"> </w:t>
      </w:r>
      <w:r w:rsidRPr="00382917">
        <w:t>most</w:t>
      </w:r>
      <w:r w:rsidR="00EE4FC3">
        <w:t xml:space="preserve"> </w:t>
      </w:r>
      <w:r w:rsidRPr="00382917">
        <w:t>unique</w:t>
      </w:r>
      <w:r w:rsidR="00EE4FC3">
        <w:t xml:space="preserve"> </w:t>
      </w:r>
      <w:r w:rsidRPr="00382917">
        <w:t>stories</w:t>
      </w:r>
      <w:r w:rsidR="00EE4FC3">
        <w:t xml:space="preserve"> </w:t>
      </w:r>
      <w:r w:rsidRPr="00382917">
        <w:t>of</w:t>
      </w:r>
      <w:r w:rsidR="00EE4FC3">
        <w:t xml:space="preserve"> </w:t>
      </w:r>
      <w:r w:rsidRPr="00382917">
        <w:t>a</w:t>
      </w:r>
      <w:r w:rsidR="00EE4FC3">
        <w:t xml:space="preserve"> </w:t>
      </w:r>
      <w:r w:rsidRPr="00382917">
        <w:t>comet</w:t>
      </w:r>
      <w:r w:rsidR="00EE4FC3">
        <w:t xml:space="preserve"> </w:t>
      </w:r>
      <w:r w:rsidRPr="00382917">
        <w:t>is</w:t>
      </w:r>
      <w:r w:rsidR="00EE4FC3">
        <w:t xml:space="preserve"> </w:t>
      </w:r>
      <w:r w:rsidRPr="00382917">
        <w:t>that</w:t>
      </w:r>
      <w:r w:rsidR="00EE4FC3">
        <w:t xml:space="preserve"> </w:t>
      </w:r>
      <w:r w:rsidRPr="00382917">
        <w:t>told</w:t>
      </w:r>
      <w:r w:rsidR="00EE4FC3">
        <w:t xml:space="preserve"> </w:t>
      </w:r>
      <w:r w:rsidRPr="00382917">
        <w:t>of</w:t>
      </w:r>
      <w:r w:rsidR="00EE4FC3">
        <w:t xml:space="preserve"> </w:t>
      </w:r>
      <w:r w:rsidRPr="00382917">
        <w:t>the</w:t>
      </w:r>
    </w:p>
    <w:p w:rsidR="004C0EF8" w:rsidRPr="00382917" w:rsidRDefault="004C0EF8">
      <w:pPr>
        <w:widowControl/>
        <w:kinsoku/>
        <w:overflowPunct/>
        <w:textAlignment w:val="auto"/>
      </w:pPr>
      <w:r w:rsidRPr="00382917">
        <w:br w:type="page"/>
      </w:r>
    </w:p>
    <w:p w:rsidR="006E4F81" w:rsidRPr="00382917" w:rsidRDefault="006E4F81" w:rsidP="004C0EF8">
      <w:pPr>
        <w:pStyle w:val="Textcts"/>
      </w:pPr>
      <w:proofErr w:type="gramStart"/>
      <w:r w:rsidRPr="00382917">
        <w:t>period</w:t>
      </w:r>
      <w:proofErr w:type="gramEnd"/>
      <w:r w:rsidR="00EE4FC3">
        <w:t xml:space="preserve"> </w:t>
      </w:r>
      <w:r w:rsidRPr="00382917">
        <w:t>during</w:t>
      </w:r>
      <w:r w:rsidR="00EE4FC3">
        <w:t xml:space="preserve"> </w:t>
      </w:r>
      <w:r w:rsidRPr="00382917">
        <w:t>which</w:t>
      </w:r>
      <w:r w:rsidR="00EE4FC3">
        <w:t xml:space="preserve"> </w:t>
      </w:r>
      <w:r w:rsidRPr="00382917">
        <w:t>the</w:t>
      </w:r>
      <w:r w:rsidR="00EE4FC3">
        <w:t xml:space="preserve"> </w:t>
      </w:r>
      <w:r w:rsidRPr="00382917">
        <w:t>Báb</w:t>
      </w:r>
      <w:r w:rsidR="00EE4FC3">
        <w:t xml:space="preserve"> </w:t>
      </w:r>
      <w:r w:rsidRPr="00382917">
        <w:t>and</w:t>
      </w:r>
      <w:r w:rsidR="00EE4FC3">
        <w:t xml:space="preserve"> </w:t>
      </w:r>
      <w:r w:rsidRPr="00382917">
        <w:t>Bahá</w:t>
      </w:r>
      <w:r w:rsidR="009C713D" w:rsidRPr="00382917">
        <w:t>’</w:t>
      </w:r>
      <w:r w:rsidRPr="00382917">
        <w:t>u</w:t>
      </w:r>
      <w:r w:rsidR="009C713D" w:rsidRPr="00382917">
        <w:t>’</w:t>
      </w:r>
      <w:r w:rsidRPr="00382917">
        <w:t>lláh</w:t>
      </w:r>
      <w:r w:rsidR="00EE4FC3">
        <w:t xml:space="preserve"> </w:t>
      </w:r>
      <w:r w:rsidRPr="00382917">
        <w:t>were</w:t>
      </w:r>
      <w:r w:rsidR="00EE4FC3">
        <w:t xml:space="preserve"> </w:t>
      </w:r>
      <w:r w:rsidRPr="00382917">
        <w:t>exchanging</w:t>
      </w:r>
      <w:r w:rsidR="00EE4FC3">
        <w:t xml:space="preserve"> </w:t>
      </w:r>
      <w:r w:rsidRPr="00382917">
        <w:t>correspondence,</w:t>
      </w:r>
      <w:r w:rsidR="00EE4FC3">
        <w:t xml:space="preserve"> </w:t>
      </w:r>
      <w:r w:rsidRPr="00382917">
        <w:t>and</w:t>
      </w:r>
      <w:r w:rsidR="00EE4FC3">
        <w:t xml:space="preserve"> </w:t>
      </w:r>
      <w:r w:rsidRPr="00382917">
        <w:t>during</w:t>
      </w:r>
      <w:r w:rsidR="00EE4FC3">
        <w:t xml:space="preserve"> </w:t>
      </w:r>
      <w:r w:rsidRPr="00382917">
        <w:t>which</w:t>
      </w:r>
      <w:r w:rsidR="00EE4FC3">
        <w:t xml:space="preserve"> </w:t>
      </w:r>
      <w:r w:rsidRPr="00382917">
        <w:t>the</w:t>
      </w:r>
      <w:r w:rsidR="00EE4FC3">
        <w:t xml:space="preserve"> </w:t>
      </w:r>
      <w:r w:rsidRPr="00382917">
        <w:t>Báb</w:t>
      </w:r>
      <w:r w:rsidR="00EE4FC3">
        <w:t xml:space="preserve"> </w:t>
      </w:r>
      <w:r w:rsidRPr="00382917">
        <w:t>was</w:t>
      </w:r>
      <w:r w:rsidR="00EE4FC3">
        <w:t xml:space="preserve"> </w:t>
      </w:r>
      <w:r w:rsidRPr="00382917">
        <w:t>preparing</w:t>
      </w:r>
      <w:r w:rsidR="00EE4FC3">
        <w:t xml:space="preserve"> </w:t>
      </w:r>
      <w:r w:rsidRPr="00382917">
        <w:t>His</w:t>
      </w:r>
      <w:r w:rsidR="00EE4FC3">
        <w:t xml:space="preserve"> </w:t>
      </w:r>
      <w:r w:rsidRPr="00382917">
        <w:t>followers</w:t>
      </w:r>
      <w:r w:rsidR="00EE4FC3">
        <w:t xml:space="preserve"> </w:t>
      </w:r>
      <w:r w:rsidRPr="00382917">
        <w:t>for</w:t>
      </w:r>
      <w:r w:rsidR="00EE4FC3">
        <w:t xml:space="preserve"> </w:t>
      </w:r>
      <w:r w:rsidRPr="00382917">
        <w:t>the</w:t>
      </w:r>
      <w:r w:rsidR="00EE4FC3">
        <w:t xml:space="preserve"> </w:t>
      </w:r>
      <w:r w:rsidRPr="00382917">
        <w:t>appearance</w:t>
      </w:r>
      <w:r w:rsidR="00EE4FC3">
        <w:t xml:space="preserve"> </w:t>
      </w:r>
      <w:r w:rsidRPr="00382917">
        <w:t>of</w:t>
      </w:r>
      <w:r w:rsidR="00EE4FC3">
        <w:t xml:space="preserve"> </w:t>
      </w:r>
      <w:r w:rsidRPr="00382917">
        <w:t>Bahá</w:t>
      </w:r>
      <w:r w:rsidR="009C713D" w:rsidRPr="00382917">
        <w:t>’</w:t>
      </w:r>
      <w:r w:rsidRPr="00382917">
        <w:t>u</w:t>
      </w:r>
      <w:r w:rsidR="009C713D" w:rsidRPr="00382917">
        <w:t>’</w:t>
      </w:r>
      <w:r w:rsidRPr="00382917">
        <w:t>lláh</w:t>
      </w:r>
      <w:r w:rsidR="00552489">
        <w:t>.</w:t>
      </w:r>
      <w:r w:rsidR="00EE4FC3">
        <w:t xml:space="preserve">  </w:t>
      </w:r>
      <w:r w:rsidRPr="00382917">
        <w:t>This</w:t>
      </w:r>
      <w:r w:rsidR="00EE4FC3">
        <w:t xml:space="preserve"> </w:t>
      </w:r>
      <w:r w:rsidRPr="00382917">
        <w:t>story</w:t>
      </w:r>
      <w:r w:rsidR="00EE4FC3">
        <w:t xml:space="preserve"> </w:t>
      </w:r>
      <w:r w:rsidRPr="00382917">
        <w:t>was</w:t>
      </w:r>
      <w:r w:rsidR="00EE4FC3">
        <w:t xml:space="preserve"> </w:t>
      </w:r>
      <w:r w:rsidRPr="00382917">
        <w:t>told</w:t>
      </w:r>
      <w:r w:rsidR="00EE4FC3">
        <w:t xml:space="preserve"> </w:t>
      </w:r>
      <w:r w:rsidRPr="00382917">
        <w:t>in</w:t>
      </w:r>
      <w:r w:rsidR="00EE4FC3">
        <w:t xml:space="preserve"> </w:t>
      </w:r>
      <w:r w:rsidRPr="00382917">
        <w:t>the</w:t>
      </w:r>
      <w:r w:rsidR="00EE4FC3">
        <w:t xml:space="preserve"> </w:t>
      </w:r>
      <w:r w:rsidRPr="00382917">
        <w:t>stars</w:t>
      </w:r>
      <w:r w:rsidR="00EE4FC3">
        <w:t xml:space="preserve"> </w:t>
      </w:r>
      <w:r w:rsidRPr="00382917">
        <w:t>as</w:t>
      </w:r>
      <w:r w:rsidR="00EE4FC3">
        <w:t xml:space="preserve"> </w:t>
      </w:r>
      <w:r w:rsidRPr="00382917">
        <w:t>well</w:t>
      </w:r>
      <w:r w:rsidR="00EE4FC3">
        <w:t xml:space="preserve"> </w:t>
      </w:r>
      <w:r w:rsidRPr="00382917">
        <w:t>as</w:t>
      </w:r>
      <w:r w:rsidR="00EE4FC3">
        <w:t xml:space="preserve"> </w:t>
      </w:r>
      <w:r w:rsidRPr="00382917">
        <w:t>on</w:t>
      </w:r>
      <w:r w:rsidR="00EE4FC3">
        <w:t xml:space="preserve"> </w:t>
      </w:r>
      <w:r w:rsidRPr="00382917">
        <w:t>the</w:t>
      </w:r>
      <w:r w:rsidR="00EE4FC3">
        <w:t xml:space="preserve"> </w:t>
      </w:r>
      <w:r w:rsidRPr="00382917">
        <w:t>earth.</w:t>
      </w:r>
    </w:p>
    <w:p w:rsidR="006E4F81" w:rsidRPr="00382917" w:rsidRDefault="006E4F81" w:rsidP="004C0EF8">
      <w:pPr>
        <w:pStyle w:val="Text"/>
      </w:pPr>
      <w:r w:rsidRPr="00382917">
        <w:t>In</w:t>
      </w:r>
      <w:r w:rsidR="00EE4FC3">
        <w:t xml:space="preserve"> </w:t>
      </w:r>
      <w:r w:rsidRPr="00382917">
        <w:t>1845</w:t>
      </w:r>
      <w:r w:rsidR="00EE4FC3">
        <w:t xml:space="preserve"> </w:t>
      </w:r>
      <w:r w:rsidRPr="00382917">
        <w:t>a</w:t>
      </w:r>
      <w:r w:rsidR="00EE4FC3">
        <w:t xml:space="preserve"> </w:t>
      </w:r>
      <w:r w:rsidRPr="00382917">
        <w:t>comet</w:t>
      </w:r>
      <w:r w:rsidR="00EE4FC3">
        <w:t xml:space="preserve"> </w:t>
      </w:r>
      <w:r w:rsidRPr="00382917">
        <w:t>appeared</w:t>
      </w:r>
      <w:r w:rsidR="00EE4FC3">
        <w:t xml:space="preserve"> </w:t>
      </w:r>
      <w:r w:rsidRPr="00382917">
        <w:t>soon</w:t>
      </w:r>
      <w:r w:rsidR="00EE4FC3">
        <w:t xml:space="preserve"> </w:t>
      </w:r>
      <w:r w:rsidRPr="00382917">
        <w:t>after</w:t>
      </w:r>
      <w:r w:rsidR="00EE4FC3">
        <w:t xml:space="preserve"> </w:t>
      </w:r>
      <w:r w:rsidRPr="00382917">
        <w:t>the</w:t>
      </w:r>
      <w:r w:rsidR="00EE4FC3">
        <w:t xml:space="preserve"> </w:t>
      </w:r>
      <w:r w:rsidRPr="00382917">
        <w:t>one</w:t>
      </w:r>
      <w:r w:rsidR="00EE4FC3">
        <w:t xml:space="preserve"> </w:t>
      </w:r>
      <w:r w:rsidRPr="00382917">
        <w:t>in</w:t>
      </w:r>
      <w:r w:rsidR="00EE4FC3">
        <w:t xml:space="preserve"> </w:t>
      </w:r>
      <w:r w:rsidRPr="00382917">
        <w:t>1843</w:t>
      </w:r>
      <w:r w:rsidR="00552489">
        <w:t>.</w:t>
      </w:r>
      <w:r w:rsidR="00EE4FC3">
        <w:t xml:space="preserve">  </w:t>
      </w:r>
      <w:r w:rsidRPr="00382917">
        <w:t>It</w:t>
      </w:r>
      <w:r w:rsidR="00EE4FC3">
        <w:t xml:space="preserve"> </w:t>
      </w:r>
      <w:r w:rsidRPr="00382917">
        <w:t>was</w:t>
      </w:r>
      <w:r w:rsidR="00EE4FC3">
        <w:t xml:space="preserve"> </w:t>
      </w:r>
      <w:r w:rsidRPr="00382917">
        <w:t>called</w:t>
      </w:r>
      <w:r w:rsidR="00EE4FC3">
        <w:t xml:space="preserve"> </w:t>
      </w:r>
      <w:r w:rsidRPr="00382917">
        <w:t>Biela</w:t>
      </w:r>
      <w:r w:rsidR="009C713D" w:rsidRPr="00382917">
        <w:t>’</w:t>
      </w:r>
      <w:r w:rsidRPr="00382917">
        <w:t>s</w:t>
      </w:r>
      <w:r w:rsidR="00EE4FC3">
        <w:t xml:space="preserve"> </w:t>
      </w:r>
      <w:r w:rsidRPr="00382917">
        <w:t>comet</w:t>
      </w:r>
      <w:r w:rsidR="00552489">
        <w:t>.</w:t>
      </w:r>
      <w:r w:rsidR="00EE4FC3">
        <w:t xml:space="preserve">  </w:t>
      </w:r>
      <w:r w:rsidRPr="00382917">
        <w:t>It</w:t>
      </w:r>
      <w:r w:rsidR="00EE4FC3">
        <w:t xml:space="preserve"> </w:t>
      </w:r>
      <w:r w:rsidRPr="00382917">
        <w:t>seemed</w:t>
      </w:r>
      <w:r w:rsidR="00EE4FC3">
        <w:t xml:space="preserve"> </w:t>
      </w:r>
      <w:r w:rsidRPr="00382917">
        <w:t>to</w:t>
      </w:r>
      <w:r w:rsidR="00EE4FC3">
        <w:t xml:space="preserve"> </w:t>
      </w:r>
      <w:r w:rsidRPr="00382917">
        <w:t>be</w:t>
      </w:r>
      <w:r w:rsidR="00EE4FC3">
        <w:t xml:space="preserve"> </w:t>
      </w:r>
      <w:r w:rsidRPr="00382917">
        <w:t>an</w:t>
      </w:r>
      <w:r w:rsidR="00EE4FC3">
        <w:t xml:space="preserve"> </w:t>
      </w:r>
      <w:r w:rsidRPr="00382917">
        <w:t>ordinary</w:t>
      </w:r>
      <w:r w:rsidR="00EE4FC3">
        <w:t xml:space="preserve"> </w:t>
      </w:r>
      <w:r w:rsidRPr="00382917">
        <w:t>comet,</w:t>
      </w:r>
      <w:r w:rsidR="00EE4FC3">
        <w:t xml:space="preserve"> </w:t>
      </w:r>
      <w:r w:rsidRPr="00382917">
        <w:t>in</w:t>
      </w:r>
      <w:r w:rsidR="00EE4FC3">
        <w:t xml:space="preserve"> </w:t>
      </w:r>
      <w:r w:rsidRPr="00382917">
        <w:t>a</w:t>
      </w:r>
      <w:r w:rsidR="00EE4FC3">
        <w:t xml:space="preserve"> </w:t>
      </w:r>
      <w:r w:rsidRPr="00382917">
        <w:t>year</w:t>
      </w:r>
      <w:r w:rsidR="00EE4FC3">
        <w:t xml:space="preserve"> </w:t>
      </w:r>
      <w:r w:rsidRPr="00382917">
        <w:t>in</w:t>
      </w:r>
      <w:r w:rsidR="00EE4FC3">
        <w:t xml:space="preserve"> </w:t>
      </w:r>
      <w:r w:rsidRPr="00382917">
        <w:t>which</w:t>
      </w:r>
      <w:r w:rsidR="00EE4FC3">
        <w:t xml:space="preserve"> </w:t>
      </w:r>
      <w:r w:rsidRPr="00382917">
        <w:t>some</w:t>
      </w:r>
      <w:r w:rsidR="00EE4FC3">
        <w:t xml:space="preserve"> </w:t>
      </w:r>
      <w:r w:rsidRPr="00382917">
        <w:t>300</w:t>
      </w:r>
      <w:r w:rsidR="00EE4FC3">
        <w:t xml:space="preserve"> </w:t>
      </w:r>
      <w:r w:rsidRPr="00382917">
        <w:t>comets</w:t>
      </w:r>
      <w:r w:rsidR="00EE4FC3">
        <w:t xml:space="preserve"> </w:t>
      </w:r>
      <w:r w:rsidRPr="00382917">
        <w:t>had</w:t>
      </w:r>
      <w:r w:rsidR="00EE4FC3">
        <w:t xml:space="preserve"> </w:t>
      </w:r>
      <w:r w:rsidRPr="00382917">
        <w:t>appeared,</w:t>
      </w:r>
      <w:r w:rsidR="00EE4FC3">
        <w:t xml:space="preserve"> </w:t>
      </w:r>
      <w:r w:rsidRPr="00382917">
        <w:t>and</w:t>
      </w:r>
      <w:r w:rsidR="00EE4FC3">
        <w:t xml:space="preserve"> </w:t>
      </w:r>
      <w:r w:rsidRPr="00382917">
        <w:t>it</w:t>
      </w:r>
      <w:r w:rsidR="00EE4FC3">
        <w:t xml:space="preserve"> </w:t>
      </w:r>
      <w:r w:rsidRPr="00382917">
        <w:t>had</w:t>
      </w:r>
      <w:r w:rsidR="00EE4FC3">
        <w:t xml:space="preserve"> </w:t>
      </w:r>
      <w:r w:rsidRPr="00382917">
        <w:t>appeared</w:t>
      </w:r>
      <w:r w:rsidR="00EE4FC3">
        <w:t xml:space="preserve"> </w:t>
      </w:r>
      <w:r w:rsidRPr="00382917">
        <w:t>before</w:t>
      </w:r>
      <w:r w:rsidR="00EE4FC3">
        <w:t xml:space="preserve"> </w:t>
      </w:r>
      <w:r w:rsidRPr="00382917">
        <w:t>many</w:t>
      </w:r>
      <w:r w:rsidR="00EE4FC3">
        <w:t xml:space="preserve"> </w:t>
      </w:r>
      <w:r w:rsidRPr="00382917">
        <w:t>times</w:t>
      </w:r>
      <w:r w:rsidR="00EE4FC3">
        <w:t xml:space="preserve"> </w:t>
      </w:r>
      <w:r w:rsidRPr="00382917">
        <w:t>in</w:t>
      </w:r>
      <w:r w:rsidR="00EE4FC3">
        <w:t xml:space="preserve"> </w:t>
      </w:r>
      <w:r w:rsidRPr="00382917">
        <w:t>the</w:t>
      </w:r>
      <w:r w:rsidR="00EE4FC3">
        <w:t xml:space="preserve"> </w:t>
      </w:r>
      <w:r w:rsidRPr="00382917">
        <w:t>past</w:t>
      </w:r>
      <w:r w:rsidR="00552489">
        <w:t>.</w:t>
      </w:r>
      <w:r w:rsidR="00EE4FC3">
        <w:t xml:space="preserve">  </w:t>
      </w:r>
      <w:r w:rsidRPr="00382917">
        <w:t>In</w:t>
      </w:r>
      <w:r w:rsidR="00EE4FC3">
        <w:t xml:space="preserve"> </w:t>
      </w:r>
      <w:r w:rsidRPr="00382917">
        <w:t>1846</w:t>
      </w:r>
      <w:r w:rsidR="00EE4FC3">
        <w:t xml:space="preserve"> </w:t>
      </w:r>
      <w:r w:rsidRPr="00382917">
        <w:t>it</w:t>
      </w:r>
      <w:r w:rsidR="00EE4FC3">
        <w:t xml:space="preserve"> </w:t>
      </w:r>
      <w:r w:rsidRPr="00382917">
        <w:t>was</w:t>
      </w:r>
      <w:r w:rsidR="00EE4FC3">
        <w:t xml:space="preserve"> </w:t>
      </w:r>
      <w:r w:rsidRPr="00382917">
        <w:t>still</w:t>
      </w:r>
      <w:r w:rsidR="00EE4FC3">
        <w:t xml:space="preserve"> </w:t>
      </w:r>
      <w:r w:rsidRPr="00382917">
        <w:t>visible</w:t>
      </w:r>
      <w:r w:rsidR="00552489">
        <w:t>.</w:t>
      </w:r>
      <w:r w:rsidR="00EE4FC3">
        <w:t xml:space="preserve">  </w:t>
      </w:r>
      <w:r w:rsidRPr="00382917">
        <w:t>At</w:t>
      </w:r>
      <w:r w:rsidR="00EE4FC3">
        <w:t xml:space="preserve"> </w:t>
      </w:r>
      <w:r w:rsidRPr="00382917">
        <w:t>this</w:t>
      </w:r>
      <w:r w:rsidR="00EE4FC3">
        <w:t xml:space="preserve"> </w:t>
      </w:r>
      <w:r w:rsidRPr="00382917">
        <w:t>period</w:t>
      </w:r>
      <w:r w:rsidR="00EE4FC3">
        <w:t xml:space="preserve"> </w:t>
      </w:r>
      <w:r w:rsidRPr="00382917">
        <w:t>in</w:t>
      </w:r>
      <w:r w:rsidR="00EE4FC3">
        <w:t xml:space="preserve"> </w:t>
      </w:r>
      <w:r w:rsidRPr="00382917">
        <w:t>its</w:t>
      </w:r>
      <w:r w:rsidR="00EE4FC3">
        <w:t xml:space="preserve"> </w:t>
      </w:r>
      <w:r w:rsidRPr="00382917">
        <w:t>history,</w:t>
      </w:r>
      <w:r w:rsidR="00EE4FC3">
        <w:t xml:space="preserve"> </w:t>
      </w:r>
      <w:r w:rsidRPr="00382917">
        <w:t>it</w:t>
      </w:r>
      <w:r w:rsidR="00EE4FC3">
        <w:t xml:space="preserve"> </w:t>
      </w:r>
      <w:r w:rsidRPr="00382917">
        <w:t>became</w:t>
      </w:r>
      <w:r w:rsidR="00EE4FC3">
        <w:t xml:space="preserve"> </w:t>
      </w:r>
      <w:r w:rsidRPr="00382917">
        <w:t>one</w:t>
      </w:r>
      <w:r w:rsidR="00EE4FC3">
        <w:t xml:space="preserve"> </w:t>
      </w:r>
      <w:r w:rsidRPr="00382917">
        <w:t>of</w:t>
      </w:r>
      <w:r w:rsidR="00EE4FC3">
        <w:t xml:space="preserve"> </w:t>
      </w:r>
      <w:r w:rsidRPr="00382917">
        <w:t>the</w:t>
      </w:r>
      <w:r w:rsidR="00EE4FC3">
        <w:t xml:space="preserve"> </w:t>
      </w:r>
      <w:r w:rsidRPr="00382917">
        <w:t>unique</w:t>
      </w:r>
      <w:r w:rsidR="00EE4FC3">
        <w:t xml:space="preserve"> </w:t>
      </w:r>
      <w:r w:rsidRPr="00382917">
        <w:t>comets</w:t>
      </w:r>
      <w:r w:rsidR="00EE4FC3">
        <w:t xml:space="preserve"> </w:t>
      </w:r>
      <w:r w:rsidRPr="00382917">
        <w:t>of</w:t>
      </w:r>
      <w:r w:rsidR="00EE4FC3">
        <w:t xml:space="preserve"> </w:t>
      </w:r>
      <w:r w:rsidRPr="00382917">
        <w:t>all</w:t>
      </w:r>
      <w:r w:rsidR="00EE4FC3">
        <w:t xml:space="preserve"> </w:t>
      </w:r>
      <w:r w:rsidRPr="00382917">
        <w:t>time</w:t>
      </w:r>
      <w:r w:rsidR="00552489">
        <w:t>.</w:t>
      </w:r>
      <w:r w:rsidR="00EE4FC3">
        <w:t xml:space="preserve">  </w:t>
      </w:r>
      <w:r w:rsidRPr="00382917">
        <w:t>It</w:t>
      </w:r>
      <w:r w:rsidR="00EE4FC3">
        <w:t xml:space="preserve"> </w:t>
      </w:r>
      <w:r w:rsidRPr="00382917">
        <w:t>was</w:t>
      </w:r>
      <w:r w:rsidR="00EE4FC3">
        <w:t xml:space="preserve"> </w:t>
      </w:r>
      <w:r w:rsidRPr="00382917">
        <w:t>now</w:t>
      </w:r>
      <w:r w:rsidR="00EE4FC3">
        <w:t xml:space="preserve"> </w:t>
      </w:r>
      <w:r w:rsidRPr="00382917">
        <w:t>entering</w:t>
      </w:r>
      <w:r w:rsidR="00EE4FC3">
        <w:t xml:space="preserve"> </w:t>
      </w:r>
      <w:r w:rsidRPr="00382917">
        <w:t>into</w:t>
      </w:r>
      <w:r w:rsidR="00EE4FC3">
        <w:t xml:space="preserve"> </w:t>
      </w:r>
      <w:r w:rsidRPr="00382917">
        <w:t>the</w:t>
      </w:r>
      <w:r w:rsidR="00EE4FC3">
        <w:t xml:space="preserve"> </w:t>
      </w:r>
      <w:r w:rsidRPr="00382917">
        <w:t>last</w:t>
      </w:r>
      <w:r w:rsidR="00EE4FC3">
        <w:t xml:space="preserve"> </w:t>
      </w:r>
      <w:r w:rsidRPr="00382917">
        <w:t>dramatic</w:t>
      </w:r>
      <w:r w:rsidR="00EE4FC3">
        <w:t xml:space="preserve"> </w:t>
      </w:r>
      <w:r w:rsidRPr="00382917">
        <w:t>moments</w:t>
      </w:r>
      <w:r w:rsidR="00EE4FC3">
        <w:t xml:space="preserve"> </w:t>
      </w:r>
      <w:r w:rsidRPr="00382917">
        <w:t>of</w:t>
      </w:r>
      <w:r w:rsidR="00EE4FC3">
        <w:t xml:space="preserve"> </w:t>
      </w:r>
      <w:r w:rsidRPr="00382917">
        <w:t>its</w:t>
      </w:r>
      <w:r w:rsidR="00EE4FC3">
        <w:t xml:space="preserve"> </w:t>
      </w:r>
      <w:r w:rsidRPr="00382917">
        <w:t>life.</w:t>
      </w:r>
    </w:p>
    <w:p w:rsidR="006E4F81" w:rsidRPr="00382917" w:rsidRDefault="006E4F81" w:rsidP="004C0EF8">
      <w:pPr>
        <w:pStyle w:val="Text"/>
      </w:pPr>
      <w:r w:rsidRPr="00382917">
        <w:t>The</w:t>
      </w:r>
      <w:r w:rsidR="00EE4FC3">
        <w:t xml:space="preserve"> </w:t>
      </w:r>
      <w:proofErr w:type="spellStart"/>
      <w:r w:rsidRPr="00935EC1">
        <w:rPr>
          <w:i/>
          <w:iCs/>
        </w:rPr>
        <w:t>Encyclopedia</w:t>
      </w:r>
      <w:proofErr w:type="spellEnd"/>
      <w:r w:rsidR="00EE4FC3" w:rsidRPr="00935EC1">
        <w:rPr>
          <w:i/>
          <w:iCs/>
        </w:rPr>
        <w:t xml:space="preserve"> </w:t>
      </w:r>
      <w:r w:rsidRPr="00935EC1">
        <w:rPr>
          <w:i/>
          <w:iCs/>
        </w:rPr>
        <w:t>Americana</w:t>
      </w:r>
      <w:r w:rsidR="00EE4FC3">
        <w:t xml:space="preserve"> </w:t>
      </w:r>
      <w:r w:rsidRPr="00382917">
        <w:t>gives</w:t>
      </w:r>
      <w:r w:rsidR="00EE4FC3">
        <w:t xml:space="preserve"> </w:t>
      </w:r>
      <w:r w:rsidRPr="00382917">
        <w:t>the</w:t>
      </w:r>
      <w:r w:rsidR="00EE4FC3">
        <w:t xml:space="preserve"> </w:t>
      </w:r>
      <w:r w:rsidRPr="00382917">
        <w:t>following</w:t>
      </w:r>
      <w:r w:rsidR="00EE4FC3">
        <w:t xml:space="preserve"> </w:t>
      </w:r>
      <w:r w:rsidRPr="00382917">
        <w:t>account</w:t>
      </w:r>
      <w:r w:rsidR="00EE4FC3">
        <w:t xml:space="preserve"> </w:t>
      </w:r>
      <w:r w:rsidRPr="00382917">
        <w:t>of</w:t>
      </w:r>
      <w:r w:rsidR="00EE4FC3">
        <w:t xml:space="preserve"> </w:t>
      </w:r>
      <w:r w:rsidRPr="00382917">
        <w:t>this</w:t>
      </w:r>
      <w:r w:rsidR="00EE4FC3">
        <w:t xml:space="preserve"> </w:t>
      </w:r>
      <w:r w:rsidRPr="00382917">
        <w:t>event:</w:t>
      </w:r>
    </w:p>
    <w:p w:rsidR="006E4F81" w:rsidRPr="00382917" w:rsidRDefault="009C713D" w:rsidP="00935EC1">
      <w:pPr>
        <w:pStyle w:val="Quote"/>
      </w:pPr>
      <w:r w:rsidRPr="00382917">
        <w:t>“</w:t>
      </w:r>
      <w:r w:rsidR="006E4F81" w:rsidRPr="00382917">
        <w:t>It</w:t>
      </w:r>
      <w:r w:rsidR="00EE4FC3">
        <w:t xml:space="preserve"> </w:t>
      </w:r>
      <w:r w:rsidR="006E4F81" w:rsidRPr="00382917">
        <w:t>was</w:t>
      </w:r>
      <w:r w:rsidR="00EE4FC3">
        <w:t xml:space="preserve"> </w:t>
      </w:r>
      <w:r w:rsidR="006E4F81" w:rsidRPr="00382917">
        <w:t>found</w:t>
      </w:r>
      <w:r w:rsidR="00EE4FC3">
        <w:t xml:space="preserve"> </w:t>
      </w:r>
      <w:r w:rsidR="006E4F81" w:rsidRPr="00382917">
        <w:t>again</w:t>
      </w:r>
      <w:r w:rsidR="00EE4FC3">
        <w:t xml:space="preserve"> </w:t>
      </w:r>
      <w:r w:rsidR="006E4F81" w:rsidRPr="00382917">
        <w:t>late</w:t>
      </w:r>
      <w:r w:rsidR="00EE4FC3">
        <w:t xml:space="preserve"> </w:t>
      </w:r>
      <w:r w:rsidR="006E4F81" w:rsidRPr="00382917">
        <w:t>in</w:t>
      </w:r>
      <w:r w:rsidR="00EE4FC3">
        <w:t xml:space="preserve"> </w:t>
      </w:r>
      <w:r w:rsidR="006E4F81" w:rsidRPr="00382917">
        <w:t>November</w:t>
      </w:r>
      <w:r w:rsidR="00EE4FC3">
        <w:t xml:space="preserve"> </w:t>
      </w:r>
      <w:r w:rsidR="006E4F81" w:rsidRPr="00382917">
        <w:t>1845,</w:t>
      </w:r>
      <w:r w:rsidR="00EE4FC3">
        <w:t xml:space="preserve"> </w:t>
      </w:r>
      <w:r w:rsidR="006E4F81" w:rsidRPr="00382917">
        <w:t>and</w:t>
      </w:r>
      <w:r w:rsidR="00EE4FC3">
        <w:t xml:space="preserve"> </w:t>
      </w:r>
      <w:r w:rsidR="006E4F81" w:rsidRPr="00382917">
        <w:t>in</w:t>
      </w:r>
      <w:r w:rsidR="00EE4FC3">
        <w:t xml:space="preserve"> </w:t>
      </w:r>
      <w:r w:rsidR="006E4F81" w:rsidRPr="00382917">
        <w:t>the</w:t>
      </w:r>
      <w:r w:rsidR="00EE4FC3">
        <w:t xml:space="preserve"> </w:t>
      </w:r>
      <w:r w:rsidR="006E4F81" w:rsidRPr="00382917">
        <w:t>following</w:t>
      </w:r>
      <w:r w:rsidR="00EE4FC3">
        <w:t xml:space="preserve"> </w:t>
      </w:r>
      <w:r w:rsidR="006E4F81" w:rsidRPr="00382917">
        <w:t>month</w:t>
      </w:r>
      <w:r w:rsidR="00EE4FC3">
        <w:t xml:space="preserve"> </w:t>
      </w:r>
      <w:r w:rsidR="006E4F81" w:rsidRPr="00382917">
        <w:t>an</w:t>
      </w:r>
      <w:r w:rsidR="00EE4FC3">
        <w:t xml:space="preserve"> </w:t>
      </w:r>
      <w:r w:rsidR="006E4F81" w:rsidRPr="00382917">
        <w:t>observation</w:t>
      </w:r>
      <w:r w:rsidR="00EE4FC3">
        <w:t xml:space="preserve"> </w:t>
      </w:r>
      <w:r w:rsidR="006E4F81" w:rsidRPr="00382917">
        <w:t>was</w:t>
      </w:r>
      <w:r w:rsidR="00EE4FC3">
        <w:t xml:space="preserve"> </w:t>
      </w:r>
      <w:r w:rsidR="006E4F81" w:rsidRPr="00382917">
        <w:t>made</w:t>
      </w:r>
      <w:r w:rsidR="00EE4FC3">
        <w:t xml:space="preserve"> </w:t>
      </w:r>
      <w:r w:rsidR="006E4F81" w:rsidRPr="00382917">
        <w:t>of</w:t>
      </w:r>
      <w:r w:rsidR="00EE4FC3">
        <w:t xml:space="preserve"> </w:t>
      </w:r>
      <w:r w:rsidR="006E4F81" w:rsidRPr="00382917">
        <w:t>one</w:t>
      </w:r>
      <w:r w:rsidR="00EE4FC3">
        <w:t xml:space="preserve"> </w:t>
      </w:r>
      <w:r w:rsidR="006E4F81" w:rsidRPr="00382917">
        <w:t>of</w:t>
      </w:r>
      <w:r w:rsidR="00EE4FC3">
        <w:t xml:space="preserve"> </w:t>
      </w:r>
      <w:r w:rsidR="006E4F81" w:rsidRPr="00382917">
        <w:t>the</w:t>
      </w:r>
      <w:r w:rsidR="00EE4FC3">
        <w:t xml:space="preserve"> </w:t>
      </w:r>
      <w:r w:rsidR="006E4F81" w:rsidRPr="00382917">
        <w:t>most</w:t>
      </w:r>
      <w:r w:rsidR="00EE4FC3">
        <w:t xml:space="preserve"> </w:t>
      </w:r>
      <w:r w:rsidR="006E4F81" w:rsidRPr="00382917">
        <w:t>remarkable</w:t>
      </w:r>
      <w:r w:rsidR="00EE4FC3">
        <w:t xml:space="preserve"> </w:t>
      </w:r>
      <w:r w:rsidR="006E4F81" w:rsidRPr="00382917">
        <w:t>phenomena</w:t>
      </w:r>
      <w:r w:rsidR="00EE4FC3">
        <w:t xml:space="preserve"> </w:t>
      </w:r>
      <w:r w:rsidR="006E4F81" w:rsidRPr="00382917">
        <w:t>in</w:t>
      </w:r>
      <w:r w:rsidR="00EE4FC3">
        <w:t xml:space="preserve"> </w:t>
      </w:r>
      <w:r w:rsidR="006E4F81" w:rsidRPr="00382917">
        <w:t>astronomical</w:t>
      </w:r>
      <w:r w:rsidR="00EE4FC3">
        <w:t xml:space="preserve"> </w:t>
      </w:r>
      <w:r w:rsidR="006E4F81" w:rsidRPr="00382917">
        <w:t>records,</w:t>
      </w:r>
      <w:r w:rsidR="00EE4FC3">
        <w:t xml:space="preserve"> </w:t>
      </w:r>
      <w:r w:rsidR="006E4F81" w:rsidRPr="00382917">
        <w:t>the</w:t>
      </w:r>
      <w:r w:rsidR="00EE4FC3">
        <w:t xml:space="preserve"> </w:t>
      </w:r>
      <w:r w:rsidR="006E4F81" w:rsidRPr="00382917">
        <w:t>division</w:t>
      </w:r>
      <w:r w:rsidR="00EE4FC3">
        <w:t xml:space="preserve"> </w:t>
      </w:r>
      <w:r w:rsidR="006E4F81" w:rsidRPr="00382917">
        <w:t>of</w:t>
      </w:r>
      <w:r w:rsidR="00EE4FC3">
        <w:t xml:space="preserve"> </w:t>
      </w:r>
      <w:r w:rsidR="006E4F81" w:rsidRPr="00382917">
        <w:t>the</w:t>
      </w:r>
      <w:r w:rsidR="00EE4FC3">
        <w:t xml:space="preserve"> </w:t>
      </w:r>
      <w:r w:rsidR="006E4F81" w:rsidRPr="00382917">
        <w:t>comet</w:t>
      </w:r>
      <w:r w:rsidR="00552489">
        <w:t>.</w:t>
      </w:r>
      <w:r w:rsidR="00EE4FC3">
        <w:t xml:space="preserve">  </w:t>
      </w:r>
      <w:r w:rsidR="006E4F81" w:rsidRPr="00382917">
        <w:t>It</w:t>
      </w:r>
      <w:r w:rsidR="00EE4FC3">
        <w:t xml:space="preserve"> </w:t>
      </w:r>
      <w:r w:rsidR="006E4F81" w:rsidRPr="00382917">
        <w:t>put</w:t>
      </w:r>
      <w:r w:rsidR="00EE4FC3">
        <w:t xml:space="preserve"> </w:t>
      </w:r>
      <w:r w:rsidR="006E4F81" w:rsidRPr="00382917">
        <w:t>forth</w:t>
      </w:r>
      <w:r w:rsidR="00EE4FC3">
        <w:t xml:space="preserve"> </w:t>
      </w:r>
      <w:r w:rsidR="006E4F81" w:rsidRPr="00382917">
        <w:t>no</w:t>
      </w:r>
      <w:r w:rsidR="00EE4FC3">
        <w:t xml:space="preserve"> </w:t>
      </w:r>
      <w:r w:rsidR="006E4F81" w:rsidRPr="00382917">
        <w:t>tail</w:t>
      </w:r>
      <w:r w:rsidR="00EE4FC3">
        <w:t xml:space="preserve"> </w:t>
      </w:r>
      <w:r w:rsidR="006E4F81" w:rsidRPr="00382917">
        <w:t>while</w:t>
      </w:r>
      <w:r w:rsidR="00EE4FC3">
        <w:t xml:space="preserve"> </w:t>
      </w:r>
      <w:r w:rsidR="006E4F81" w:rsidRPr="00382917">
        <w:t>this</w:t>
      </w:r>
      <w:r w:rsidR="00EE4FC3">
        <w:t xml:space="preserve"> </w:t>
      </w:r>
      <w:r w:rsidR="006E4F81" w:rsidRPr="00382917">
        <w:t>alteration</w:t>
      </w:r>
      <w:r w:rsidR="00EE4FC3">
        <w:t xml:space="preserve"> </w:t>
      </w:r>
      <w:r w:rsidR="006E4F81" w:rsidRPr="00382917">
        <w:t>was</w:t>
      </w:r>
      <w:r w:rsidR="00EE4FC3">
        <w:t xml:space="preserve"> </w:t>
      </w:r>
      <w:r w:rsidR="006E4F81" w:rsidRPr="00382917">
        <w:t>going</w:t>
      </w:r>
      <w:r w:rsidR="00EE4FC3">
        <w:t xml:space="preserve"> </w:t>
      </w:r>
      <w:r w:rsidR="006E4F81" w:rsidRPr="00382917">
        <w:t>on</w:t>
      </w:r>
      <w:r w:rsidR="00552489">
        <w:t>.</w:t>
      </w:r>
      <w:r w:rsidR="00EE4FC3">
        <w:t xml:space="preserve">  </w:t>
      </w:r>
      <w:r w:rsidR="006E4F81" w:rsidRPr="00382917">
        <w:t>Professor</w:t>
      </w:r>
      <w:r w:rsidR="00EE4FC3">
        <w:t xml:space="preserve"> </w:t>
      </w:r>
      <w:r w:rsidR="006E4F81" w:rsidRPr="00382917">
        <w:t>Challis,</w:t>
      </w:r>
      <w:r w:rsidR="00EE4FC3">
        <w:t xml:space="preserve"> </w:t>
      </w:r>
      <w:r w:rsidR="006E4F81" w:rsidRPr="00382917">
        <w:t>using</w:t>
      </w:r>
      <w:r w:rsidR="00EE4FC3">
        <w:t xml:space="preserve"> </w:t>
      </w:r>
      <w:r w:rsidR="006E4F81" w:rsidRPr="00382917">
        <w:t>the</w:t>
      </w:r>
      <w:r w:rsidR="00EE4FC3">
        <w:t xml:space="preserve"> </w:t>
      </w:r>
      <w:r w:rsidR="006E4F81" w:rsidRPr="00382917">
        <w:t>Northumberland</w:t>
      </w:r>
      <w:r w:rsidR="00EE4FC3">
        <w:t xml:space="preserve"> </w:t>
      </w:r>
      <w:r w:rsidR="006E4F81" w:rsidRPr="00382917">
        <w:t>telescope</w:t>
      </w:r>
      <w:r w:rsidR="00EE4FC3">
        <w:t xml:space="preserve"> </w:t>
      </w:r>
      <w:r w:rsidR="006E4F81" w:rsidRPr="00382917">
        <w:t>at</w:t>
      </w:r>
      <w:r w:rsidR="00EE4FC3">
        <w:t xml:space="preserve"> </w:t>
      </w:r>
      <w:r w:rsidR="006E4F81" w:rsidRPr="00382917">
        <w:t>Cambridge,</w:t>
      </w:r>
      <w:r w:rsidR="00EE4FC3">
        <w:t xml:space="preserve"> </w:t>
      </w:r>
      <w:r w:rsidR="006E4F81" w:rsidRPr="00382917">
        <w:t>on</w:t>
      </w:r>
      <w:r w:rsidR="00EE4FC3">
        <w:t xml:space="preserve"> </w:t>
      </w:r>
      <w:r w:rsidR="006E4F81" w:rsidRPr="00382917">
        <w:t>15</w:t>
      </w:r>
      <w:r w:rsidR="00EE4FC3">
        <w:t xml:space="preserve"> </w:t>
      </w:r>
      <w:r w:rsidR="006E4F81" w:rsidRPr="00382917">
        <w:t>Jan</w:t>
      </w:r>
      <w:r w:rsidR="00552489">
        <w:t>.</w:t>
      </w:r>
      <w:r w:rsidR="00EE4FC3">
        <w:t xml:space="preserve"> </w:t>
      </w:r>
      <w:r w:rsidR="006E4F81" w:rsidRPr="00382917">
        <w:t>1846,</w:t>
      </w:r>
      <w:r w:rsidR="00EE4FC3">
        <w:t xml:space="preserve"> </w:t>
      </w:r>
      <w:r w:rsidR="006E4F81" w:rsidRPr="00382917">
        <w:t>was</w:t>
      </w:r>
      <w:r w:rsidR="00EE4FC3">
        <w:t xml:space="preserve"> </w:t>
      </w:r>
      <w:r w:rsidR="006E4F81" w:rsidRPr="00382917">
        <w:t>inclined</w:t>
      </w:r>
      <w:r w:rsidR="00EE4FC3">
        <w:t xml:space="preserve"> </w:t>
      </w:r>
      <w:r w:rsidR="006E4F81" w:rsidRPr="00382917">
        <w:t>to</w:t>
      </w:r>
      <w:r w:rsidR="00EE4FC3">
        <w:t xml:space="preserve"> </w:t>
      </w:r>
      <w:r w:rsidR="006E4F81" w:rsidRPr="00382917">
        <w:t>distrust</w:t>
      </w:r>
      <w:r w:rsidR="00EE4FC3">
        <w:t xml:space="preserve"> </w:t>
      </w:r>
      <w:r w:rsidR="006E4F81" w:rsidRPr="00382917">
        <w:t>his</w:t>
      </w:r>
      <w:r w:rsidR="00EE4FC3">
        <w:t xml:space="preserve"> </w:t>
      </w:r>
      <w:r w:rsidR="006E4F81" w:rsidRPr="00382917">
        <w:t>eyes</w:t>
      </w:r>
      <w:r w:rsidR="00EE4FC3">
        <w:t xml:space="preserve"> </w:t>
      </w:r>
      <w:r w:rsidR="006E4F81" w:rsidRPr="00382917">
        <w:t>or</w:t>
      </w:r>
      <w:r w:rsidR="00EE4FC3">
        <w:t xml:space="preserve"> </w:t>
      </w:r>
      <w:r w:rsidR="006E4F81" w:rsidRPr="00382917">
        <w:t>his</w:t>
      </w:r>
      <w:r w:rsidR="00EE4FC3">
        <w:t xml:space="preserve"> </w:t>
      </w:r>
      <w:r w:rsidR="006E4F81" w:rsidRPr="00382917">
        <w:t>glass</w:t>
      </w:r>
      <w:r w:rsidR="00EE4FC3">
        <w:t xml:space="preserve"> </w:t>
      </w:r>
      <w:r w:rsidR="006E4F81" w:rsidRPr="00382917">
        <w:t>when</w:t>
      </w:r>
      <w:r w:rsidR="00EE4FC3">
        <w:t xml:space="preserve"> </w:t>
      </w:r>
      <w:r w:rsidR="006E4F81" w:rsidRPr="00382917">
        <w:t>he</w:t>
      </w:r>
      <w:r w:rsidR="00EE4FC3">
        <w:t xml:space="preserve"> </w:t>
      </w:r>
      <w:r w:rsidR="006E4F81" w:rsidRPr="00382917">
        <w:t>beheld</w:t>
      </w:r>
      <w:r w:rsidR="00EE4FC3">
        <w:t xml:space="preserve"> </w:t>
      </w:r>
      <w:r w:rsidR="006E4F81" w:rsidRPr="00382917">
        <w:t>two</w:t>
      </w:r>
      <w:r w:rsidR="00EE4FC3">
        <w:t xml:space="preserve"> </w:t>
      </w:r>
      <w:r w:rsidR="006E4F81" w:rsidRPr="00382917">
        <w:t>comets</w:t>
      </w:r>
      <w:r w:rsidR="00EE4FC3">
        <w:t xml:space="preserve"> </w:t>
      </w:r>
      <w:r w:rsidR="006E4F81" w:rsidRPr="00382917">
        <w:t>where</w:t>
      </w:r>
      <w:r w:rsidR="00EE4FC3">
        <w:t xml:space="preserve"> </w:t>
      </w:r>
      <w:r w:rsidR="006E4F81" w:rsidRPr="00382917">
        <w:t>but</w:t>
      </w:r>
      <w:r w:rsidR="00EE4FC3">
        <w:t xml:space="preserve"> </w:t>
      </w:r>
      <w:r w:rsidR="006E4F81" w:rsidRPr="00382917">
        <w:t>one</w:t>
      </w:r>
      <w:r w:rsidR="00EE4FC3">
        <w:t xml:space="preserve"> </w:t>
      </w:r>
      <w:r w:rsidR="006E4F81" w:rsidRPr="00382917">
        <w:t>had</w:t>
      </w:r>
      <w:r w:rsidR="00EE4FC3">
        <w:t xml:space="preserve"> </w:t>
      </w:r>
      <w:r w:rsidR="006E4F81" w:rsidRPr="00382917">
        <w:t>been</w:t>
      </w:r>
      <w:r w:rsidR="00EE4FC3">
        <w:t xml:space="preserve"> </w:t>
      </w:r>
      <w:r w:rsidR="006E4F81" w:rsidRPr="00382917">
        <w:t>before</w:t>
      </w:r>
      <w:r w:rsidR="00552489">
        <w:t>.</w:t>
      </w:r>
      <w:r w:rsidR="00EE4FC3">
        <w:t xml:space="preserve">  </w:t>
      </w:r>
      <w:r w:rsidR="006E4F81" w:rsidRPr="00382917">
        <w:t>He</w:t>
      </w:r>
      <w:r w:rsidR="00EE4FC3">
        <w:t xml:space="preserve"> </w:t>
      </w:r>
      <w:r w:rsidR="006E4F81" w:rsidRPr="00382917">
        <w:t>would</w:t>
      </w:r>
      <w:r w:rsidR="00EE4FC3">
        <w:t xml:space="preserve"> </w:t>
      </w:r>
      <w:r w:rsidR="006E4F81" w:rsidRPr="00382917">
        <w:t>call</w:t>
      </w:r>
      <w:r w:rsidR="00EE4FC3">
        <w:t xml:space="preserve"> </w:t>
      </w:r>
      <w:r w:rsidR="006E4F81" w:rsidRPr="00382917">
        <w:t>it,</w:t>
      </w:r>
      <w:r w:rsidR="00EE4FC3">
        <w:t xml:space="preserve"> </w:t>
      </w:r>
      <w:r w:rsidR="006E4F81" w:rsidRPr="00382917">
        <w:t>he</w:t>
      </w:r>
      <w:r w:rsidR="00EE4FC3">
        <w:t xml:space="preserve"> </w:t>
      </w:r>
      <w:r w:rsidR="006E4F81" w:rsidRPr="00382917">
        <w:t>said,</w:t>
      </w:r>
      <w:r w:rsidR="00EE4FC3">
        <w:t xml:space="preserve"> </w:t>
      </w:r>
      <w:r w:rsidR="006E4F81" w:rsidRPr="00382917">
        <w:t>a</w:t>
      </w:r>
      <w:r w:rsidR="00EE4FC3">
        <w:t xml:space="preserve"> </w:t>
      </w:r>
      <w:r w:rsidR="006E4F81" w:rsidRPr="00382917">
        <w:t>binary</w:t>
      </w:r>
      <w:r w:rsidR="00EE4FC3">
        <w:t xml:space="preserve"> </w:t>
      </w:r>
      <w:r w:rsidR="006E4F81" w:rsidRPr="00382917">
        <w:t>(twin)</w:t>
      </w:r>
      <w:r w:rsidR="00EE4FC3">
        <w:t xml:space="preserve"> </w:t>
      </w:r>
      <w:r w:rsidR="006E4F81" w:rsidRPr="00382917">
        <w:t>comet</w:t>
      </w:r>
      <w:r w:rsidR="00EE4FC3">
        <w:t xml:space="preserve"> </w:t>
      </w:r>
      <w:r w:rsidR="006E4F81" w:rsidRPr="00382917">
        <w:t>if</w:t>
      </w:r>
      <w:r w:rsidR="00EE4FC3">
        <w:t xml:space="preserve"> </w:t>
      </w:r>
      <w:r w:rsidR="006E4F81" w:rsidRPr="00382917">
        <w:t>such</w:t>
      </w:r>
      <w:r w:rsidR="00EE4FC3">
        <w:t xml:space="preserve"> </w:t>
      </w:r>
      <w:r w:rsidR="006E4F81" w:rsidRPr="00382917">
        <w:t>a</w:t>
      </w:r>
      <w:r w:rsidR="00EE4FC3">
        <w:t xml:space="preserve"> </w:t>
      </w:r>
      <w:r w:rsidR="006E4F81" w:rsidRPr="00382917">
        <w:t>thing</w:t>
      </w:r>
      <w:r w:rsidR="00EE4FC3">
        <w:t xml:space="preserve"> </w:t>
      </w:r>
      <w:r w:rsidR="006E4F81" w:rsidRPr="00382917">
        <w:t>had</w:t>
      </w:r>
      <w:r w:rsidR="00EE4FC3">
        <w:t xml:space="preserve"> </w:t>
      </w:r>
      <w:r w:rsidR="006E4F81" w:rsidRPr="00382917">
        <w:t>ever</w:t>
      </w:r>
      <w:r w:rsidR="00EE4FC3">
        <w:t xml:space="preserve"> </w:t>
      </w:r>
      <w:r w:rsidR="006E4F81" w:rsidRPr="00382917">
        <w:t>been</w:t>
      </w:r>
      <w:r w:rsidR="00EE4FC3">
        <w:t xml:space="preserve"> </w:t>
      </w:r>
      <w:r w:rsidR="006E4F81" w:rsidRPr="00382917">
        <w:t>heard</w:t>
      </w:r>
      <w:r w:rsidR="00EE4FC3">
        <w:t xml:space="preserve"> </w:t>
      </w:r>
      <w:r w:rsidR="006E4F81" w:rsidRPr="00382917">
        <w:t>of</w:t>
      </w:r>
      <w:r w:rsidR="00EE4FC3">
        <w:t xml:space="preserve"> </w:t>
      </w:r>
      <w:r w:rsidR="006E4F81" w:rsidRPr="00382917">
        <w:t>before</w:t>
      </w:r>
      <w:r w:rsidR="00552489">
        <w:t>.</w:t>
      </w:r>
      <w:r w:rsidR="00EE4FC3">
        <w:t xml:space="preserve">  </w:t>
      </w:r>
      <w:r w:rsidR="006E4F81" w:rsidRPr="00382917">
        <w:t>His</w:t>
      </w:r>
      <w:r w:rsidR="00EE4FC3">
        <w:t xml:space="preserve"> </w:t>
      </w:r>
      <w:r w:rsidR="006E4F81" w:rsidRPr="00382917">
        <w:t>observations</w:t>
      </w:r>
      <w:r w:rsidR="00EE4FC3">
        <w:t xml:space="preserve"> </w:t>
      </w:r>
      <w:r w:rsidR="006E4F81" w:rsidRPr="00382917">
        <w:t>were</w:t>
      </w:r>
      <w:r w:rsidR="00EE4FC3">
        <w:t xml:space="preserve"> </w:t>
      </w:r>
      <w:r w:rsidR="006E4F81" w:rsidRPr="00382917">
        <w:t>soon</w:t>
      </w:r>
      <w:r w:rsidR="00EE4FC3">
        <w:t xml:space="preserve"> </w:t>
      </w:r>
      <w:r w:rsidR="006E4F81" w:rsidRPr="00382917">
        <w:t>verified,</w:t>
      </w:r>
      <w:r w:rsidR="00EE4FC3">
        <w:t xml:space="preserve"> </w:t>
      </w:r>
      <w:r w:rsidR="006E4F81" w:rsidRPr="00382917">
        <w:t>however.</w:t>
      </w:r>
      <w:r w:rsidRPr="00382917">
        <w:t>”</w:t>
      </w:r>
      <w:r w:rsidR="00935EC1">
        <w:rPr>
          <w:rStyle w:val="FootnoteReference"/>
        </w:rPr>
        <w:footnoteReference w:id="362"/>
      </w:r>
    </w:p>
    <w:p w:rsidR="006E4F81" w:rsidRPr="00382917" w:rsidRDefault="006E4F81" w:rsidP="00935EC1">
      <w:pPr>
        <w:pStyle w:val="Text"/>
      </w:pPr>
      <w:r w:rsidRPr="00382917">
        <w:t>History</w:t>
      </w:r>
      <w:r w:rsidR="00EE4FC3">
        <w:t xml:space="preserve"> </w:t>
      </w:r>
      <w:r w:rsidRPr="00382917">
        <w:t>shows</w:t>
      </w:r>
      <w:r w:rsidR="00EE4FC3">
        <w:t xml:space="preserve"> </w:t>
      </w:r>
      <w:r w:rsidRPr="00382917">
        <w:t>that</w:t>
      </w:r>
      <w:r w:rsidR="00EE4FC3">
        <w:t xml:space="preserve"> </w:t>
      </w:r>
      <w:r w:rsidRPr="00382917">
        <w:t>there</w:t>
      </w:r>
      <w:r w:rsidR="00EE4FC3">
        <w:t xml:space="preserve"> </w:t>
      </w:r>
      <w:r w:rsidRPr="00382917">
        <w:t>had</w:t>
      </w:r>
      <w:r w:rsidR="00EE4FC3">
        <w:t xml:space="preserve"> </w:t>
      </w:r>
      <w:r w:rsidRPr="00382917">
        <w:t>been</w:t>
      </w:r>
      <w:r w:rsidR="00EE4FC3">
        <w:t xml:space="preserve"> </w:t>
      </w:r>
      <w:r w:rsidRPr="00382917">
        <w:t>other</w:t>
      </w:r>
      <w:r w:rsidR="00EE4FC3">
        <w:t xml:space="preserve"> </w:t>
      </w:r>
      <w:r w:rsidRPr="00382917">
        <w:t>binary</w:t>
      </w:r>
      <w:r w:rsidR="00EE4FC3">
        <w:t xml:space="preserve"> </w:t>
      </w:r>
      <w:r w:rsidRPr="00382917">
        <w:t>(twin</w:t>
      </w:r>
      <w:r w:rsidR="00EE4FC3">
        <w:t xml:space="preserve"> </w:t>
      </w:r>
      <w:r w:rsidRPr="00382917">
        <w:t>comets)</w:t>
      </w:r>
      <w:r w:rsidR="00EE4FC3">
        <w:t xml:space="preserve"> </w:t>
      </w:r>
      <w:r w:rsidRPr="00382917">
        <w:t>but</w:t>
      </w:r>
      <w:r w:rsidR="00EE4FC3">
        <w:t xml:space="preserve"> </w:t>
      </w:r>
      <w:r w:rsidRPr="00382917">
        <w:t>Biela</w:t>
      </w:r>
      <w:r w:rsidR="009C713D" w:rsidRPr="00382917">
        <w:t>’</w:t>
      </w:r>
      <w:r w:rsidRPr="00382917">
        <w:t>s</w:t>
      </w:r>
      <w:r w:rsidR="00EE4FC3">
        <w:t xml:space="preserve"> </w:t>
      </w:r>
      <w:r w:rsidRPr="00382917">
        <w:t>was</w:t>
      </w:r>
      <w:r w:rsidR="00EE4FC3">
        <w:t xml:space="preserve"> </w:t>
      </w:r>
      <w:r w:rsidRPr="00382917">
        <w:t>one</w:t>
      </w:r>
      <w:r w:rsidR="00EE4FC3">
        <w:t xml:space="preserve"> </w:t>
      </w:r>
      <w:r w:rsidRPr="00382917">
        <w:t>of</w:t>
      </w:r>
      <w:r w:rsidR="00EE4FC3">
        <w:t xml:space="preserve"> </w:t>
      </w:r>
      <w:r w:rsidRPr="00382917">
        <w:t>the</w:t>
      </w:r>
      <w:r w:rsidR="00EE4FC3">
        <w:t xml:space="preserve"> </w:t>
      </w:r>
      <w:r w:rsidRPr="00382917">
        <w:t>most</w:t>
      </w:r>
      <w:r w:rsidR="00EE4FC3">
        <w:t xml:space="preserve"> </w:t>
      </w:r>
      <w:r w:rsidRPr="00382917">
        <w:t>unusual</w:t>
      </w:r>
      <w:r w:rsidR="00552489">
        <w:t>.</w:t>
      </w:r>
      <w:r w:rsidR="00EE4FC3">
        <w:t xml:space="preserve">  </w:t>
      </w:r>
      <w:r w:rsidRPr="00382917">
        <w:t>Sir</w:t>
      </w:r>
      <w:r w:rsidR="00EE4FC3">
        <w:t xml:space="preserve"> </w:t>
      </w:r>
      <w:r w:rsidRPr="00382917">
        <w:t>James</w:t>
      </w:r>
      <w:r w:rsidR="00EE4FC3">
        <w:t xml:space="preserve"> </w:t>
      </w:r>
      <w:r w:rsidRPr="00382917">
        <w:t>Jeans</w:t>
      </w:r>
      <w:r w:rsidR="00EE4FC3">
        <w:t xml:space="preserve"> </w:t>
      </w:r>
      <w:r w:rsidRPr="00382917">
        <w:t>wrote</w:t>
      </w:r>
      <w:r w:rsidR="00EE4FC3">
        <w:t xml:space="preserve"> </w:t>
      </w:r>
      <w:r w:rsidRPr="00382917">
        <w:t>of</w:t>
      </w:r>
      <w:r w:rsidR="00EE4FC3">
        <w:t xml:space="preserve"> </w:t>
      </w:r>
      <w:r w:rsidRPr="00382917">
        <w:t>this</w:t>
      </w:r>
      <w:r w:rsidR="00EE4FC3">
        <w:t xml:space="preserve"> </w:t>
      </w:r>
      <w:r w:rsidRPr="00382917">
        <w:t>same</w:t>
      </w:r>
      <w:r w:rsidR="00EE4FC3">
        <w:t xml:space="preserve"> </w:t>
      </w:r>
      <w:r w:rsidRPr="00382917">
        <w:t>comet,</w:t>
      </w:r>
      <w:r w:rsidR="00EE4FC3">
        <w:t xml:space="preserve"> </w:t>
      </w:r>
      <w:r w:rsidRPr="00382917">
        <w:t>saying</w:t>
      </w:r>
      <w:r w:rsidR="00C03C91">
        <w:t>:</w:t>
      </w:r>
      <w:r w:rsidR="00EE4FC3">
        <w:t xml:space="preserve">  </w:t>
      </w:r>
      <w:r w:rsidR="009C713D" w:rsidRPr="00382917">
        <w:t>“</w:t>
      </w:r>
      <w:r w:rsidRPr="00382917">
        <w:t>The</w:t>
      </w:r>
      <w:r w:rsidR="00EE4FC3">
        <w:t xml:space="preserve"> </w:t>
      </w:r>
      <w:r w:rsidRPr="00382917">
        <w:t>most</w:t>
      </w:r>
      <w:r w:rsidR="00EE4FC3">
        <w:t xml:space="preserve"> </w:t>
      </w:r>
      <w:r w:rsidRPr="00382917">
        <w:t>interesting</w:t>
      </w:r>
      <w:r w:rsidR="00EE4FC3">
        <w:t xml:space="preserve"> </w:t>
      </w:r>
      <w:r w:rsidRPr="00382917">
        <w:t>story</w:t>
      </w:r>
      <w:r w:rsidR="00EE4FC3">
        <w:t xml:space="preserve"> </w:t>
      </w:r>
      <w:r w:rsidRPr="00382917">
        <w:t>is</w:t>
      </w:r>
      <w:r w:rsidR="00EE4FC3">
        <w:t xml:space="preserve"> </w:t>
      </w:r>
      <w:r w:rsidRPr="00382917">
        <w:t>that</w:t>
      </w:r>
      <w:r w:rsidR="00EE4FC3">
        <w:t xml:space="preserve"> </w:t>
      </w:r>
      <w:r w:rsidRPr="00382917">
        <w:t>of</w:t>
      </w:r>
      <w:r w:rsidR="00EE4FC3">
        <w:t xml:space="preserve"> </w:t>
      </w:r>
      <w:r w:rsidRPr="00382917">
        <w:t>Biela</w:t>
      </w:r>
      <w:r w:rsidR="009C713D" w:rsidRPr="00382917">
        <w:t>’</w:t>
      </w:r>
      <w:r w:rsidRPr="00382917">
        <w:t>s</w:t>
      </w:r>
      <w:r w:rsidR="00EE4FC3">
        <w:t xml:space="preserve"> </w:t>
      </w:r>
      <w:r w:rsidRPr="00382917">
        <w:t>comet</w:t>
      </w:r>
      <w:r w:rsidR="00EE4FC3">
        <w:t xml:space="preserve"> </w:t>
      </w:r>
      <w:r w:rsidRPr="00382917">
        <w:t>which</w:t>
      </w:r>
      <w:r w:rsidR="00EE4FC3">
        <w:t xml:space="preserve"> </w:t>
      </w:r>
      <w:r w:rsidRPr="00382917">
        <w:t>broke</w:t>
      </w:r>
      <w:r w:rsidR="00EE4FC3">
        <w:t xml:space="preserve"> </w:t>
      </w:r>
      <w:r w:rsidRPr="00382917">
        <w:t>in</w:t>
      </w:r>
      <w:r w:rsidR="00EE4FC3">
        <w:t xml:space="preserve"> </w:t>
      </w:r>
      <w:r w:rsidRPr="00382917">
        <w:t>two</w:t>
      </w:r>
      <w:r w:rsidR="00EE4FC3">
        <w:t xml:space="preserve"> </w:t>
      </w:r>
      <w:r w:rsidRPr="00382917">
        <w:t>while</w:t>
      </w:r>
      <w:r w:rsidR="00EE4FC3">
        <w:t xml:space="preserve"> </w:t>
      </w:r>
      <w:r w:rsidRPr="00382917">
        <w:t>under</w:t>
      </w:r>
      <w:r w:rsidR="00EE4FC3">
        <w:t xml:space="preserve"> </w:t>
      </w:r>
      <w:r w:rsidRPr="00382917">
        <w:t>observation</w:t>
      </w:r>
      <w:r w:rsidR="00EE4FC3">
        <w:t xml:space="preserve"> </w:t>
      </w:r>
      <w:r w:rsidRPr="00382917">
        <w:t>in</w:t>
      </w:r>
      <w:r w:rsidR="00EE4FC3">
        <w:t xml:space="preserve"> </w:t>
      </w:r>
      <w:r w:rsidRPr="00382917">
        <w:t>1846.</w:t>
      </w:r>
      <w:r w:rsidR="009C713D" w:rsidRPr="00382917">
        <w:t>”</w:t>
      </w:r>
    </w:p>
    <w:p w:rsidR="006E4F81" w:rsidRPr="00382917" w:rsidRDefault="006E4F81" w:rsidP="00307488">
      <w:pPr>
        <w:pStyle w:val="Text"/>
      </w:pPr>
      <w:r w:rsidRPr="00382917">
        <w:t>The</w:t>
      </w:r>
      <w:r w:rsidR="00EE4FC3">
        <w:t xml:space="preserve"> </w:t>
      </w:r>
      <w:r w:rsidRPr="00382917">
        <w:t>comet</w:t>
      </w:r>
      <w:r w:rsidR="00EE4FC3">
        <w:t xml:space="preserve"> </w:t>
      </w:r>
      <w:r w:rsidRPr="00382917">
        <w:t>then</w:t>
      </w:r>
      <w:r w:rsidR="00EE4FC3">
        <w:t xml:space="preserve"> </w:t>
      </w:r>
      <w:r w:rsidRPr="00382917">
        <w:t>disappeared</w:t>
      </w:r>
      <w:r w:rsidR="00552489">
        <w:t>.</w:t>
      </w:r>
      <w:r w:rsidR="00EE4FC3">
        <w:t xml:space="preserve">  </w:t>
      </w:r>
      <w:r w:rsidRPr="00382917">
        <w:t>It</w:t>
      </w:r>
      <w:r w:rsidR="00EE4FC3">
        <w:t xml:space="preserve"> </w:t>
      </w:r>
      <w:r w:rsidRPr="00382917">
        <w:t>returned</w:t>
      </w:r>
      <w:r w:rsidR="00EE4FC3">
        <w:t xml:space="preserve"> </w:t>
      </w:r>
      <w:r w:rsidRPr="00382917">
        <w:t>in</w:t>
      </w:r>
      <w:r w:rsidR="00EE4FC3">
        <w:t xml:space="preserve"> </w:t>
      </w:r>
      <w:r w:rsidRPr="00382917">
        <w:t>August</w:t>
      </w:r>
      <w:r w:rsidR="00EE4FC3">
        <w:t xml:space="preserve"> </w:t>
      </w:r>
      <w:r w:rsidRPr="00382917">
        <w:t>1852</w:t>
      </w:r>
      <w:r w:rsidR="00552489">
        <w:t>.</w:t>
      </w:r>
      <w:r w:rsidR="00EE4FC3">
        <w:t xml:space="preserve">  </w:t>
      </w:r>
      <w:r w:rsidRPr="00382917">
        <w:t>This</w:t>
      </w:r>
      <w:r w:rsidR="00EE4FC3">
        <w:t xml:space="preserve"> </w:t>
      </w:r>
      <w:r w:rsidRPr="00382917">
        <w:t>was</w:t>
      </w:r>
      <w:r w:rsidR="00EE4FC3">
        <w:t xml:space="preserve"> </w:t>
      </w:r>
      <w:r w:rsidRPr="00382917">
        <w:t>the</w:t>
      </w:r>
      <w:r w:rsidR="00EE4FC3">
        <w:t xml:space="preserve"> </w:t>
      </w:r>
      <w:r w:rsidRPr="00382917">
        <w:t>very</w:t>
      </w:r>
      <w:r w:rsidR="00EE4FC3">
        <w:t xml:space="preserve"> </w:t>
      </w:r>
      <w:r w:rsidRPr="00382917">
        <w:t>month</w:t>
      </w:r>
      <w:r w:rsidR="00EE4FC3">
        <w:t xml:space="preserve"> </w:t>
      </w:r>
      <w:r w:rsidRPr="00382917">
        <w:t>and</w:t>
      </w:r>
      <w:r w:rsidR="00EE4FC3">
        <w:t xml:space="preserve"> </w:t>
      </w:r>
      <w:r w:rsidRPr="00382917">
        <w:t>the</w:t>
      </w:r>
      <w:r w:rsidR="00EE4FC3">
        <w:t xml:space="preserve"> </w:t>
      </w:r>
      <w:r w:rsidRPr="00382917">
        <w:t>very</w:t>
      </w:r>
      <w:r w:rsidR="00EE4FC3">
        <w:t xml:space="preserve"> </w:t>
      </w:r>
      <w:r w:rsidRPr="00382917">
        <w:t>year</w:t>
      </w:r>
      <w:r w:rsidR="00EE4FC3">
        <w:t xml:space="preserve"> </w:t>
      </w:r>
      <w:r w:rsidRPr="00382917">
        <w:t>in</w:t>
      </w:r>
      <w:r w:rsidR="00EE4FC3">
        <w:t xml:space="preserve"> </w:t>
      </w:r>
      <w:r w:rsidRPr="00382917">
        <w:t>which</w:t>
      </w:r>
      <w:r w:rsidR="00EE4FC3">
        <w:t xml:space="preserve"> </w:t>
      </w:r>
      <w:r w:rsidRPr="00382917">
        <w:t>Bahá</w:t>
      </w:r>
      <w:r w:rsidR="009C713D" w:rsidRPr="00382917">
        <w:t>’</w:t>
      </w:r>
      <w:r w:rsidRPr="00382917">
        <w:t>u</w:t>
      </w:r>
      <w:r w:rsidR="009C713D" w:rsidRPr="00382917">
        <w:t>’</w:t>
      </w:r>
      <w:r w:rsidRPr="00382917">
        <w:t>lláh</w:t>
      </w:r>
      <w:r w:rsidR="00EE4FC3">
        <w:t xml:space="preserve"> </w:t>
      </w:r>
      <w:r w:rsidRPr="00382917">
        <w:t>was</w:t>
      </w:r>
      <w:r w:rsidR="00EE4FC3">
        <w:t xml:space="preserve"> </w:t>
      </w:r>
      <w:r w:rsidRPr="00382917">
        <w:t>cast</w:t>
      </w:r>
      <w:r w:rsidR="00EE4FC3">
        <w:t xml:space="preserve"> </w:t>
      </w:r>
      <w:r w:rsidRPr="00382917">
        <w:t>into</w:t>
      </w:r>
      <w:r w:rsidR="00EE4FC3">
        <w:t xml:space="preserve"> </w:t>
      </w:r>
      <w:r w:rsidRPr="00382917">
        <w:t>an</w:t>
      </w:r>
      <w:r w:rsidR="00EE4FC3">
        <w:t xml:space="preserve"> </w:t>
      </w:r>
      <w:r w:rsidRPr="00382917">
        <w:t>underground</w:t>
      </w:r>
      <w:r w:rsidR="00EE4FC3">
        <w:t xml:space="preserve"> </w:t>
      </w:r>
      <w:r w:rsidRPr="00382917">
        <w:t>prison</w:t>
      </w:r>
      <w:r w:rsidR="00EE4FC3">
        <w:t xml:space="preserve"> </w:t>
      </w:r>
      <w:r w:rsidRPr="00382917">
        <w:t>in</w:t>
      </w:r>
      <w:r w:rsidR="00EE4FC3">
        <w:t xml:space="preserve"> </w:t>
      </w:r>
      <w:r w:rsidRPr="00382917">
        <w:t>Ṭihrán.</w:t>
      </w:r>
    </w:p>
    <w:p w:rsidR="006E4F81" w:rsidRPr="00382917" w:rsidRDefault="006E4F81" w:rsidP="004C0EF8">
      <w:pPr>
        <w:pStyle w:val="Text"/>
      </w:pPr>
      <w:r w:rsidRPr="00382917">
        <w:t>This</w:t>
      </w:r>
      <w:r w:rsidR="00EE4FC3">
        <w:t xml:space="preserve"> </w:t>
      </w:r>
      <w:r w:rsidRPr="00382917">
        <w:t>was</w:t>
      </w:r>
      <w:r w:rsidR="00EE4FC3">
        <w:t xml:space="preserve"> </w:t>
      </w:r>
      <w:r w:rsidRPr="00382917">
        <w:t>the</w:t>
      </w:r>
      <w:r w:rsidR="00EE4FC3">
        <w:t xml:space="preserve"> </w:t>
      </w:r>
      <w:r w:rsidRPr="00382917">
        <w:t>year</w:t>
      </w:r>
      <w:r w:rsidR="00EE4FC3">
        <w:t xml:space="preserve"> </w:t>
      </w:r>
      <w:r w:rsidRPr="00382917">
        <w:t>1269</w:t>
      </w:r>
      <w:r w:rsidR="00EE4FC3">
        <w:t xml:space="preserve"> </w:t>
      </w:r>
      <w:r w:rsidRPr="00382917">
        <w:t>of</w:t>
      </w:r>
      <w:r w:rsidR="00EE4FC3">
        <w:t xml:space="preserve"> </w:t>
      </w:r>
      <w:r w:rsidRPr="00382917">
        <w:t>the</w:t>
      </w:r>
      <w:r w:rsidR="00EE4FC3">
        <w:t xml:space="preserve"> </w:t>
      </w:r>
      <w:r w:rsidRPr="00382917">
        <w:t>calendar</w:t>
      </w:r>
      <w:r w:rsidR="00EE4FC3">
        <w:t xml:space="preserve"> </w:t>
      </w:r>
      <w:r w:rsidRPr="00382917">
        <w:t>of</w:t>
      </w:r>
      <w:r w:rsidR="00EE4FC3">
        <w:t xml:space="preserve"> </w:t>
      </w:r>
      <w:r w:rsidR="0040329F" w:rsidRPr="00382917">
        <w:t>Isl</w:t>
      </w:r>
      <w:r w:rsidR="0040329F" w:rsidRPr="0040329F">
        <w:t>á</w:t>
      </w:r>
      <w:r w:rsidR="0040329F" w:rsidRPr="00382917">
        <w:t>m</w:t>
      </w:r>
      <w:r w:rsidR="00552489">
        <w:t>.</w:t>
      </w:r>
      <w:r w:rsidR="00EE4FC3">
        <w:t xml:space="preserve">  </w:t>
      </w:r>
      <w:r w:rsidRPr="00382917">
        <w:t>It</w:t>
      </w:r>
      <w:r w:rsidR="00EE4FC3">
        <w:t xml:space="preserve"> </w:t>
      </w:r>
      <w:r w:rsidRPr="00382917">
        <w:t>was</w:t>
      </w:r>
      <w:r w:rsidR="00EE4FC3">
        <w:t xml:space="preserve"> </w:t>
      </w:r>
      <w:r w:rsidRPr="00382917">
        <w:t>also</w:t>
      </w:r>
      <w:r w:rsidR="00EE4FC3">
        <w:t xml:space="preserve"> </w:t>
      </w:r>
      <w:r w:rsidRPr="00382917">
        <w:t>exactly</w:t>
      </w:r>
      <w:r w:rsidR="00EE4FC3">
        <w:t xml:space="preserve"> </w:t>
      </w:r>
      <w:r w:rsidRPr="00382917">
        <w:t>the</w:t>
      </w:r>
      <w:r w:rsidR="00EE4FC3">
        <w:t xml:space="preserve"> </w:t>
      </w:r>
      <w:r w:rsidRPr="00382917">
        <w:t>ninth</w:t>
      </w:r>
      <w:r w:rsidR="00EE4FC3">
        <w:t xml:space="preserve"> </w:t>
      </w:r>
      <w:r w:rsidRPr="00382917">
        <w:t>year</w:t>
      </w:r>
      <w:r w:rsidR="00EE4FC3">
        <w:t xml:space="preserve"> </w:t>
      </w:r>
      <w:r w:rsidRPr="00382917">
        <w:t>after</w:t>
      </w:r>
      <w:r w:rsidR="00EE4FC3">
        <w:t xml:space="preserve"> </w:t>
      </w:r>
      <w:r w:rsidRPr="00382917">
        <w:t>the</w:t>
      </w:r>
      <w:r w:rsidR="00EE4FC3">
        <w:t xml:space="preserve"> </w:t>
      </w:r>
      <w:r w:rsidRPr="00382917">
        <w:t>Báb</w:t>
      </w:r>
      <w:r w:rsidR="009C713D" w:rsidRPr="00382917">
        <w:t>’</w:t>
      </w:r>
      <w:r w:rsidRPr="00382917">
        <w:t>s</w:t>
      </w:r>
      <w:r w:rsidR="00EE4FC3">
        <w:t xml:space="preserve"> </w:t>
      </w:r>
      <w:r w:rsidRPr="00382917">
        <w:t>Declaration</w:t>
      </w:r>
      <w:r w:rsidR="00EE4FC3">
        <w:t xml:space="preserve"> </w:t>
      </w:r>
      <w:r w:rsidRPr="00382917">
        <w:t>to</w:t>
      </w:r>
      <w:r w:rsidR="00EE4FC3">
        <w:t xml:space="preserve"> </w:t>
      </w:r>
      <w:r w:rsidRPr="00382917">
        <w:t>Mullá</w:t>
      </w:r>
      <w:r w:rsidR="00EE4FC3">
        <w:t xml:space="preserve"> </w:t>
      </w:r>
      <w:r w:rsidR="00964C11" w:rsidRPr="00382917">
        <w:t>Ḥusayn</w:t>
      </w:r>
      <w:r w:rsidR="00EE4FC3">
        <w:t xml:space="preserve"> </w:t>
      </w:r>
      <w:r w:rsidRPr="00382917">
        <w:t>in</w:t>
      </w:r>
      <w:r w:rsidR="00EE4FC3">
        <w:t xml:space="preserve"> </w:t>
      </w:r>
      <w:r w:rsidRPr="00382917">
        <w:t>the</w:t>
      </w:r>
      <w:r w:rsidR="00EE4FC3">
        <w:t xml:space="preserve"> </w:t>
      </w:r>
      <w:r w:rsidRPr="00382917">
        <w:t>year</w:t>
      </w:r>
      <w:r w:rsidR="00EE4FC3">
        <w:t xml:space="preserve"> </w:t>
      </w:r>
      <w:r w:rsidRPr="00382917">
        <w:t>1260</w:t>
      </w:r>
      <w:r w:rsidR="00552489">
        <w:t>.</w:t>
      </w:r>
      <w:r w:rsidR="00EE4FC3">
        <w:t xml:space="preserve">  </w:t>
      </w:r>
      <w:r w:rsidRPr="00382917">
        <w:t>The</w:t>
      </w:r>
      <w:r w:rsidR="00EE4FC3">
        <w:t xml:space="preserve"> </w:t>
      </w:r>
      <w:r w:rsidRPr="00382917">
        <w:t>Báb</w:t>
      </w:r>
      <w:r w:rsidR="00EE4FC3">
        <w:t xml:space="preserve"> </w:t>
      </w:r>
      <w:r w:rsidRPr="00382917">
        <w:t>had</w:t>
      </w:r>
      <w:r w:rsidR="00EE4FC3">
        <w:t xml:space="preserve"> </w:t>
      </w:r>
      <w:r w:rsidRPr="00382917">
        <w:t>prophesied</w:t>
      </w:r>
      <w:r w:rsidR="00C03C91">
        <w:t>:</w:t>
      </w:r>
      <w:r w:rsidR="00EE4FC3">
        <w:t xml:space="preserve">  </w:t>
      </w:r>
      <w:r w:rsidR="009C713D" w:rsidRPr="00382917">
        <w:t>“</w:t>
      </w:r>
      <w:r w:rsidRPr="00382917">
        <w:t>Ere</w:t>
      </w:r>
      <w:r w:rsidR="00EE4FC3">
        <w:t xml:space="preserve"> </w:t>
      </w:r>
      <w:r w:rsidRPr="00382917">
        <w:t>nine</w:t>
      </w:r>
      <w:r w:rsidR="00EE4FC3">
        <w:t xml:space="preserve"> </w:t>
      </w:r>
      <w:r w:rsidRPr="00382917">
        <w:t>years</w:t>
      </w:r>
      <w:r w:rsidR="00EE4FC3">
        <w:t xml:space="preserve"> </w:t>
      </w:r>
      <w:r w:rsidRPr="00382917">
        <w:t>have</w:t>
      </w:r>
      <w:r w:rsidR="00EE4FC3">
        <w:t xml:space="preserve"> </w:t>
      </w:r>
      <w:r w:rsidRPr="00382917">
        <w:t>elapsed</w:t>
      </w:r>
      <w:r w:rsidR="009C713D" w:rsidRPr="00382917">
        <w:t>”</w:t>
      </w:r>
      <w:r w:rsidR="00EE4FC3">
        <w:t xml:space="preserve"> </w:t>
      </w:r>
      <w:r w:rsidRPr="00382917">
        <w:t>the</w:t>
      </w:r>
      <w:r w:rsidR="00EE4FC3">
        <w:t xml:space="preserve"> </w:t>
      </w:r>
      <w:r w:rsidRPr="00382917">
        <w:t>Promised</w:t>
      </w:r>
      <w:r w:rsidR="00EE4FC3">
        <w:t xml:space="preserve"> </w:t>
      </w:r>
      <w:proofErr w:type="gramStart"/>
      <w:r w:rsidRPr="00382917">
        <w:t>One</w:t>
      </w:r>
      <w:proofErr w:type="gramEnd"/>
      <w:r w:rsidR="00EE4FC3">
        <w:t xml:space="preserve"> </w:t>
      </w:r>
      <w:r w:rsidRPr="00382917">
        <w:t>of</w:t>
      </w:r>
      <w:r w:rsidR="00EE4FC3">
        <w:t xml:space="preserve"> </w:t>
      </w:r>
      <w:r w:rsidRPr="00382917">
        <w:t>all</w:t>
      </w:r>
      <w:r w:rsidR="00EE4FC3">
        <w:t xml:space="preserve"> </w:t>
      </w:r>
      <w:r w:rsidRPr="00382917">
        <w:t>ages</w:t>
      </w:r>
      <w:r w:rsidR="00EE4FC3">
        <w:t xml:space="preserve"> </w:t>
      </w:r>
      <w:r w:rsidRPr="00382917">
        <w:t>and</w:t>
      </w:r>
      <w:r w:rsidR="00EE4FC3">
        <w:t xml:space="preserve"> </w:t>
      </w:r>
      <w:r w:rsidRPr="00382917">
        <w:t>religions</w:t>
      </w:r>
      <w:r w:rsidR="00EE4FC3">
        <w:t xml:space="preserve"> </w:t>
      </w:r>
      <w:r w:rsidRPr="00382917">
        <w:t>will</w:t>
      </w:r>
      <w:r w:rsidR="00EE4FC3">
        <w:t xml:space="preserve"> </w:t>
      </w:r>
      <w:r w:rsidRPr="00382917">
        <w:t>come.</w:t>
      </w:r>
    </w:p>
    <w:p w:rsidR="006E4F81" w:rsidRPr="00382917" w:rsidRDefault="006E4F81" w:rsidP="004C0EF8">
      <w:pPr>
        <w:pStyle w:val="Text"/>
      </w:pPr>
      <w:r w:rsidRPr="00382917">
        <w:t>It</w:t>
      </w:r>
      <w:r w:rsidR="00EE4FC3">
        <w:t xml:space="preserve"> </w:t>
      </w:r>
      <w:r w:rsidRPr="00382917">
        <w:t>was</w:t>
      </w:r>
      <w:r w:rsidR="00EE4FC3">
        <w:t xml:space="preserve"> </w:t>
      </w:r>
      <w:r w:rsidRPr="00382917">
        <w:t>but</w:t>
      </w:r>
      <w:r w:rsidR="00EE4FC3">
        <w:t xml:space="preserve"> </w:t>
      </w:r>
      <w:r w:rsidRPr="00382917">
        <w:t>a</w:t>
      </w:r>
      <w:r w:rsidR="00EE4FC3">
        <w:t xml:space="preserve"> </w:t>
      </w:r>
      <w:r w:rsidRPr="00382917">
        <w:t>few</w:t>
      </w:r>
      <w:r w:rsidR="00EE4FC3">
        <w:t xml:space="preserve"> </w:t>
      </w:r>
      <w:r w:rsidRPr="00382917">
        <w:t>weeks</w:t>
      </w:r>
      <w:r w:rsidR="00EE4FC3">
        <w:t xml:space="preserve"> </w:t>
      </w:r>
      <w:r w:rsidRPr="00382917">
        <w:t>later,</w:t>
      </w:r>
      <w:r w:rsidR="00EE4FC3">
        <w:t xml:space="preserve"> </w:t>
      </w:r>
      <w:r w:rsidRPr="00382917">
        <w:t>in</w:t>
      </w:r>
      <w:r w:rsidR="00EE4FC3">
        <w:t xml:space="preserve"> </w:t>
      </w:r>
      <w:r w:rsidRPr="00382917">
        <w:t>that</w:t>
      </w:r>
      <w:r w:rsidR="00EE4FC3">
        <w:t xml:space="preserve"> </w:t>
      </w:r>
      <w:r w:rsidRPr="00382917">
        <w:t>same</w:t>
      </w:r>
      <w:r w:rsidR="00EE4FC3">
        <w:t xml:space="preserve"> </w:t>
      </w:r>
      <w:r w:rsidRPr="00382917">
        <w:t>prison,</w:t>
      </w:r>
      <w:r w:rsidR="00EE4FC3">
        <w:t xml:space="preserve"> </w:t>
      </w:r>
      <w:r w:rsidRPr="00382917">
        <w:t>that</w:t>
      </w:r>
      <w:r w:rsidR="00EE4FC3">
        <w:t xml:space="preserve"> </w:t>
      </w:r>
      <w:r w:rsidRPr="00382917">
        <w:t>Bahá</w:t>
      </w:r>
      <w:r w:rsidR="009C713D" w:rsidRPr="00382917">
        <w:t>’</w:t>
      </w:r>
      <w:r w:rsidRPr="00382917">
        <w:t>u</w:t>
      </w:r>
      <w:r w:rsidR="009C713D" w:rsidRPr="00382917">
        <w:t>’</w:t>
      </w:r>
      <w:r w:rsidRPr="00382917">
        <w:t>lláh</w:t>
      </w:r>
      <w:r w:rsidR="009C713D" w:rsidRPr="00382917">
        <w:t>’</w:t>
      </w:r>
      <w:r w:rsidRPr="00382917">
        <w:t>s</w:t>
      </w:r>
      <w:r w:rsidR="00EE4FC3">
        <w:t xml:space="preserve"> </w:t>
      </w:r>
      <w:r w:rsidRPr="00382917">
        <w:t>Mission</w:t>
      </w:r>
      <w:r w:rsidR="00EE4FC3">
        <w:t xml:space="preserve"> </w:t>
      </w:r>
      <w:r w:rsidRPr="00382917">
        <w:t>began.</w:t>
      </w:r>
    </w:p>
    <w:p w:rsidR="006E4F81" w:rsidRPr="00382917" w:rsidRDefault="006E4F81" w:rsidP="00307488">
      <w:pPr>
        <w:pStyle w:val="Text"/>
      </w:pPr>
      <w:r w:rsidRPr="00382917">
        <w:t>August</w:t>
      </w:r>
      <w:r w:rsidR="00EE4FC3">
        <w:t xml:space="preserve"> </w:t>
      </w:r>
      <w:r w:rsidRPr="00382917">
        <w:t>1852,</w:t>
      </w:r>
      <w:r w:rsidR="00EE4FC3">
        <w:t xml:space="preserve"> </w:t>
      </w:r>
      <w:r w:rsidRPr="00382917">
        <w:t>was</w:t>
      </w:r>
      <w:r w:rsidR="00EE4FC3">
        <w:t xml:space="preserve"> </w:t>
      </w:r>
      <w:r w:rsidRPr="00382917">
        <w:t>the</w:t>
      </w:r>
      <w:r w:rsidR="00EE4FC3">
        <w:t xml:space="preserve"> </w:t>
      </w:r>
      <w:r w:rsidRPr="00382917">
        <w:t>hour</w:t>
      </w:r>
      <w:r w:rsidR="00EE4FC3">
        <w:t xml:space="preserve"> </w:t>
      </w:r>
      <w:r w:rsidRPr="00382917">
        <w:t>of</w:t>
      </w:r>
      <w:r w:rsidR="00EE4FC3">
        <w:t xml:space="preserve"> </w:t>
      </w:r>
      <w:r w:rsidRPr="00382917">
        <w:t>the</w:t>
      </w:r>
      <w:r w:rsidR="00EE4FC3">
        <w:t xml:space="preserve"> </w:t>
      </w:r>
      <w:r w:rsidRPr="00382917">
        <w:t>reappearance</w:t>
      </w:r>
      <w:r w:rsidR="00EE4FC3">
        <w:t xml:space="preserve"> </w:t>
      </w:r>
      <w:r w:rsidRPr="00382917">
        <w:t>of</w:t>
      </w:r>
      <w:r w:rsidR="00EE4FC3">
        <w:t xml:space="preserve"> </w:t>
      </w:r>
      <w:r w:rsidRPr="00382917">
        <w:t>the</w:t>
      </w:r>
      <w:r w:rsidR="00EE4FC3">
        <w:t xml:space="preserve"> </w:t>
      </w:r>
      <w:r w:rsidRPr="00382917">
        <w:t>comet,</w:t>
      </w:r>
      <w:r w:rsidR="00EE4FC3">
        <w:t xml:space="preserve"> </w:t>
      </w:r>
      <w:r w:rsidRPr="00382917">
        <w:t>the</w:t>
      </w:r>
      <w:r w:rsidR="00EE4FC3">
        <w:t xml:space="preserve"> </w:t>
      </w:r>
      <w:r w:rsidRPr="00382917">
        <w:t>comet</w:t>
      </w:r>
      <w:r w:rsidR="00EE4FC3">
        <w:t xml:space="preserve"> </w:t>
      </w:r>
      <w:r w:rsidRPr="00382917">
        <w:t>that</w:t>
      </w:r>
      <w:r w:rsidR="00EE4FC3">
        <w:t xml:space="preserve"> </w:t>
      </w:r>
      <w:r w:rsidRPr="00382917">
        <w:t>had</w:t>
      </w:r>
      <w:r w:rsidR="00EE4FC3">
        <w:t xml:space="preserve"> </w:t>
      </w:r>
      <w:r w:rsidRPr="00382917">
        <w:t>split</w:t>
      </w:r>
      <w:r w:rsidR="00EE4FC3">
        <w:t xml:space="preserve"> </w:t>
      </w:r>
      <w:r w:rsidRPr="00382917">
        <w:t>in</w:t>
      </w:r>
      <w:r w:rsidR="00EE4FC3">
        <w:t xml:space="preserve"> </w:t>
      </w:r>
      <w:r w:rsidRPr="00382917">
        <w:t>two</w:t>
      </w:r>
      <w:r w:rsidR="00EE4FC3">
        <w:t xml:space="preserve"> </w:t>
      </w:r>
      <w:r w:rsidRPr="00382917">
        <w:t>to</w:t>
      </w:r>
      <w:r w:rsidR="00EE4FC3">
        <w:t xml:space="preserve"> </w:t>
      </w:r>
      <w:r w:rsidRPr="00382917">
        <w:t>become</w:t>
      </w:r>
      <w:r w:rsidR="00EE4FC3">
        <w:t xml:space="preserve"> </w:t>
      </w:r>
      <w:r w:rsidRPr="00382917">
        <w:t>twin-comets</w:t>
      </w:r>
      <w:r w:rsidR="00552489">
        <w:t>.</w:t>
      </w:r>
      <w:r w:rsidR="00EE4FC3">
        <w:t xml:space="preserve">  </w:t>
      </w:r>
      <w:r w:rsidRPr="00382917">
        <w:t>Strangely</w:t>
      </w:r>
      <w:r w:rsidR="00EE4FC3">
        <w:t xml:space="preserve"> </w:t>
      </w:r>
      <w:r w:rsidRPr="00382917">
        <w:t>enough,</w:t>
      </w:r>
      <w:r w:rsidR="00EE4FC3">
        <w:t xml:space="preserve"> </w:t>
      </w:r>
      <w:r w:rsidRPr="00382917">
        <w:t>at</w:t>
      </w:r>
      <w:r w:rsidR="00EE4FC3">
        <w:t xml:space="preserve"> </w:t>
      </w:r>
      <w:r w:rsidRPr="00382917">
        <w:t>the</w:t>
      </w:r>
      <w:r w:rsidR="00EE4FC3">
        <w:t xml:space="preserve"> </w:t>
      </w:r>
      <w:r w:rsidRPr="00382917">
        <w:t>time</w:t>
      </w:r>
      <w:r w:rsidR="00EE4FC3">
        <w:t xml:space="preserve"> </w:t>
      </w:r>
      <w:r w:rsidRPr="00382917">
        <w:t>of</w:t>
      </w:r>
      <w:r w:rsidR="00EE4FC3">
        <w:t xml:space="preserve"> </w:t>
      </w:r>
      <w:r w:rsidRPr="00382917">
        <w:t>the</w:t>
      </w:r>
      <w:r w:rsidR="00EE4FC3">
        <w:t xml:space="preserve"> </w:t>
      </w:r>
      <w:r w:rsidRPr="00382917">
        <w:t>reappearance</w:t>
      </w:r>
      <w:r w:rsidR="00EE4FC3">
        <w:t xml:space="preserve"> </w:t>
      </w:r>
      <w:r w:rsidRPr="00382917">
        <w:t>of</w:t>
      </w:r>
      <w:r w:rsidR="00EE4FC3">
        <w:t xml:space="preserve"> </w:t>
      </w:r>
      <w:r w:rsidRPr="00382917">
        <w:t>the</w:t>
      </w:r>
      <w:r w:rsidR="00EE4FC3">
        <w:t xml:space="preserve"> </w:t>
      </w:r>
      <w:r w:rsidRPr="00382917">
        <w:t>twin-comets</w:t>
      </w:r>
      <w:r w:rsidR="00EE4FC3">
        <w:t xml:space="preserve"> </w:t>
      </w:r>
      <w:r w:rsidRPr="00382917">
        <w:t>in</w:t>
      </w:r>
      <w:r w:rsidR="00EE4FC3">
        <w:t xml:space="preserve"> </w:t>
      </w:r>
      <w:r w:rsidRPr="00382917">
        <w:t>1852,</w:t>
      </w:r>
      <w:r w:rsidR="00EE4FC3">
        <w:t xml:space="preserve"> </w:t>
      </w:r>
      <w:r w:rsidRPr="00382917">
        <w:t>one</w:t>
      </w:r>
      <w:r w:rsidR="00EE4FC3">
        <w:t xml:space="preserve"> </w:t>
      </w:r>
      <w:r w:rsidRPr="00382917">
        <w:t>half</w:t>
      </w:r>
      <w:r w:rsidR="00EE4FC3">
        <w:t xml:space="preserve"> </w:t>
      </w:r>
      <w:r w:rsidRPr="00382917">
        <w:t>had</w:t>
      </w:r>
      <w:r w:rsidR="00EE4FC3">
        <w:t xml:space="preserve"> </w:t>
      </w:r>
      <w:r w:rsidRPr="00382917">
        <w:t>receded</w:t>
      </w:r>
      <w:r w:rsidR="00EE4FC3">
        <w:t xml:space="preserve"> </w:t>
      </w:r>
      <w:r w:rsidRPr="00382917">
        <w:t>far</w:t>
      </w:r>
      <w:r w:rsidR="00EE4FC3">
        <w:t xml:space="preserve"> </w:t>
      </w:r>
      <w:r w:rsidRPr="00382917">
        <w:t>into</w:t>
      </w:r>
      <w:r w:rsidR="00EE4FC3">
        <w:t xml:space="preserve"> </w:t>
      </w:r>
      <w:r w:rsidRPr="00382917">
        <w:t>the</w:t>
      </w:r>
      <w:r w:rsidR="00EE4FC3">
        <w:t xml:space="preserve"> </w:t>
      </w:r>
      <w:r w:rsidRPr="00382917">
        <w:t>background</w:t>
      </w:r>
      <w:r w:rsidR="00552489">
        <w:t>.</w:t>
      </w:r>
      <w:r w:rsidR="00EE4FC3">
        <w:t xml:space="preserve">  </w:t>
      </w:r>
      <w:r w:rsidRPr="00382917">
        <w:t>The</w:t>
      </w:r>
      <w:r w:rsidR="00EE4FC3">
        <w:t xml:space="preserve"> </w:t>
      </w:r>
      <w:r w:rsidRPr="00382917">
        <w:t>other</w:t>
      </w:r>
      <w:r w:rsidR="00EE4FC3">
        <w:t xml:space="preserve"> </w:t>
      </w:r>
      <w:r w:rsidRPr="00382917">
        <w:t>half,</w:t>
      </w:r>
      <w:r w:rsidR="00EE4FC3">
        <w:t xml:space="preserve"> </w:t>
      </w:r>
      <w:r w:rsidRPr="00382917">
        <w:t>though</w:t>
      </w:r>
      <w:r w:rsidR="00EE4FC3">
        <w:t xml:space="preserve"> </w:t>
      </w:r>
      <w:r w:rsidRPr="00382917">
        <w:t>in</w:t>
      </w:r>
      <w:r w:rsidR="00EE4FC3">
        <w:t xml:space="preserve"> </w:t>
      </w:r>
      <w:r w:rsidRPr="00382917">
        <w:t>a</w:t>
      </w:r>
      <w:r w:rsidR="00EE4FC3">
        <w:t xml:space="preserve"> </w:t>
      </w:r>
      <w:r w:rsidRPr="00382917">
        <w:t>parallel</w:t>
      </w:r>
      <w:r w:rsidR="00EE4FC3">
        <w:t xml:space="preserve"> </w:t>
      </w:r>
      <w:r w:rsidRPr="00382917">
        <w:t>orbit,</w:t>
      </w:r>
      <w:r w:rsidR="00EE4FC3">
        <w:t xml:space="preserve"> </w:t>
      </w:r>
      <w:r w:rsidRPr="00382917">
        <w:t>now</w:t>
      </w:r>
      <w:r w:rsidR="00EE4FC3">
        <w:t xml:space="preserve"> </w:t>
      </w:r>
      <w:r w:rsidRPr="00382917">
        <w:t>dominated</w:t>
      </w:r>
      <w:r w:rsidR="00EE4FC3">
        <w:t xml:space="preserve"> </w:t>
      </w:r>
      <w:r w:rsidRPr="00382917">
        <w:t>the</w:t>
      </w:r>
      <w:r w:rsidR="00EE4FC3">
        <w:t xml:space="preserve"> </w:t>
      </w:r>
      <w:r w:rsidRPr="00382917">
        <w:t>scene</w:t>
      </w:r>
      <w:r w:rsidR="00552489">
        <w:t>.</w:t>
      </w:r>
      <w:r w:rsidR="00EE4FC3">
        <w:t xml:space="preserve">  </w:t>
      </w:r>
      <w:r w:rsidRPr="00382917">
        <w:t>Just</w:t>
      </w:r>
      <w:r w:rsidR="00EE4FC3">
        <w:t xml:space="preserve"> </w:t>
      </w:r>
      <w:r w:rsidRPr="00382917">
        <w:t>so</w:t>
      </w:r>
      <w:r w:rsidR="00EE4FC3">
        <w:t xml:space="preserve"> </w:t>
      </w:r>
      <w:r w:rsidRPr="00382917">
        <w:t>had</w:t>
      </w:r>
      <w:r w:rsidR="00EE4FC3">
        <w:t xml:space="preserve"> </w:t>
      </w:r>
      <w:r w:rsidRPr="00382917">
        <w:t>the</w:t>
      </w:r>
      <w:r w:rsidR="00EE4FC3">
        <w:t xml:space="preserve"> </w:t>
      </w:r>
      <w:r w:rsidRPr="00382917">
        <w:t>Báb,</w:t>
      </w:r>
      <w:r w:rsidR="00EE4FC3">
        <w:t xml:space="preserve"> </w:t>
      </w:r>
      <w:r w:rsidRPr="00382917">
        <w:t>the</w:t>
      </w:r>
      <w:r w:rsidR="00EE4FC3">
        <w:t xml:space="preserve"> </w:t>
      </w:r>
      <w:r w:rsidRPr="00382917">
        <w:t>Herald</w:t>
      </w:r>
      <w:r w:rsidR="00EE4FC3">
        <w:t xml:space="preserve"> </w:t>
      </w:r>
      <w:r w:rsidRPr="00382917">
        <w:t>of</w:t>
      </w:r>
      <w:r w:rsidR="00EE4FC3">
        <w:t xml:space="preserve"> </w:t>
      </w:r>
      <w:r w:rsidRPr="00382917">
        <w:t>the</w:t>
      </w:r>
      <w:r w:rsidR="00EE4FC3">
        <w:t xml:space="preserve"> </w:t>
      </w:r>
      <w:r w:rsidRPr="00382917">
        <w:t>Bahá</w:t>
      </w:r>
      <w:r w:rsidR="009C713D" w:rsidRPr="00382917">
        <w:t>’</w:t>
      </w:r>
      <w:r w:rsidRPr="00382917">
        <w:t>í</w:t>
      </w:r>
      <w:r w:rsidR="00EE4FC3">
        <w:t xml:space="preserve"> </w:t>
      </w:r>
      <w:r w:rsidRPr="00382917">
        <w:t>Faith,</w:t>
      </w:r>
      <w:r w:rsidR="00EE4FC3">
        <w:t xml:space="preserve"> </w:t>
      </w:r>
      <w:r w:rsidRPr="00382917">
        <w:t>passed</w:t>
      </w:r>
      <w:r w:rsidR="00EE4FC3">
        <w:t xml:space="preserve"> </w:t>
      </w:r>
      <w:r w:rsidRPr="00382917">
        <w:t>into</w:t>
      </w:r>
      <w:r w:rsidR="00EE4FC3">
        <w:t xml:space="preserve"> </w:t>
      </w:r>
      <w:r w:rsidRPr="00382917">
        <w:t>history,</w:t>
      </w:r>
      <w:r w:rsidR="00EE4FC3">
        <w:t xml:space="preserve"> </w:t>
      </w:r>
      <w:r w:rsidRPr="00382917">
        <w:t>and</w:t>
      </w:r>
      <w:r w:rsidR="00EE4FC3">
        <w:t xml:space="preserve"> </w:t>
      </w:r>
      <w:r w:rsidRPr="00382917">
        <w:t>the</w:t>
      </w:r>
    </w:p>
    <w:p w:rsidR="004C0EF8" w:rsidRPr="00382917" w:rsidRDefault="004C0EF8">
      <w:pPr>
        <w:widowControl/>
        <w:kinsoku/>
        <w:overflowPunct/>
        <w:textAlignment w:val="auto"/>
      </w:pPr>
      <w:r w:rsidRPr="00382917">
        <w:br w:type="page"/>
      </w:r>
    </w:p>
    <w:p w:rsidR="006E4F81" w:rsidRPr="00382917" w:rsidRDefault="006E4F81" w:rsidP="004C0EF8">
      <w:pPr>
        <w:pStyle w:val="Textcts"/>
      </w:pPr>
      <w:r w:rsidRPr="00382917">
        <w:t>One</w:t>
      </w:r>
      <w:r w:rsidR="00EE4FC3">
        <w:t xml:space="preserve"> </w:t>
      </w:r>
      <w:proofErr w:type="gramStart"/>
      <w:r w:rsidRPr="00382917">
        <w:t>Whose</w:t>
      </w:r>
      <w:proofErr w:type="gramEnd"/>
      <w:r w:rsidR="00EE4FC3">
        <w:t xml:space="preserve"> </w:t>
      </w:r>
      <w:r w:rsidRPr="00382917">
        <w:t>coming</w:t>
      </w:r>
      <w:r w:rsidR="00EE4FC3">
        <w:t xml:space="preserve"> </w:t>
      </w:r>
      <w:r w:rsidRPr="00382917">
        <w:t>He</w:t>
      </w:r>
      <w:r w:rsidR="00EE4FC3">
        <w:t xml:space="preserve"> </w:t>
      </w:r>
      <w:r w:rsidRPr="00382917">
        <w:t>had</w:t>
      </w:r>
      <w:r w:rsidR="00EE4FC3">
        <w:t xml:space="preserve"> </w:t>
      </w:r>
      <w:r w:rsidRPr="00382917">
        <w:t>foretold,</w:t>
      </w:r>
      <w:r w:rsidR="00EE4FC3">
        <w:t xml:space="preserve"> </w:t>
      </w:r>
      <w:r w:rsidRPr="00382917">
        <w:t>Bahá</w:t>
      </w:r>
      <w:r w:rsidR="009C713D" w:rsidRPr="00382917">
        <w:t>’</w:t>
      </w:r>
      <w:r w:rsidRPr="00382917">
        <w:t>u</w:t>
      </w:r>
      <w:r w:rsidR="009C713D" w:rsidRPr="00382917">
        <w:t>’</w:t>
      </w:r>
      <w:r w:rsidRPr="00382917">
        <w:t>lláh,</w:t>
      </w:r>
      <w:r w:rsidR="00EE4FC3">
        <w:t xml:space="preserve"> </w:t>
      </w:r>
      <w:r w:rsidRPr="00382917">
        <w:t>had</w:t>
      </w:r>
      <w:r w:rsidR="00EE4FC3">
        <w:t xml:space="preserve"> </w:t>
      </w:r>
      <w:r w:rsidRPr="00382917">
        <w:t>assumed</w:t>
      </w:r>
      <w:r w:rsidR="00EE4FC3">
        <w:t xml:space="preserve"> </w:t>
      </w:r>
      <w:r w:rsidRPr="00382917">
        <w:t>His</w:t>
      </w:r>
      <w:r w:rsidR="00EE4FC3">
        <w:t xml:space="preserve"> </w:t>
      </w:r>
      <w:r w:rsidRPr="00382917">
        <w:t>Mission.</w:t>
      </w:r>
    </w:p>
    <w:p w:rsidR="006E4F81" w:rsidRPr="00382917" w:rsidRDefault="006E4F81" w:rsidP="004C0EF8">
      <w:pPr>
        <w:pStyle w:val="Text"/>
      </w:pPr>
      <w:r w:rsidRPr="00382917">
        <w:t>The</w:t>
      </w:r>
      <w:r w:rsidR="00EE4FC3">
        <w:t xml:space="preserve"> </w:t>
      </w:r>
      <w:r w:rsidRPr="00382917">
        <w:t>Americana</w:t>
      </w:r>
      <w:r w:rsidR="00EE4FC3">
        <w:t xml:space="preserve"> </w:t>
      </w:r>
      <w:r w:rsidRPr="00382917">
        <w:t>record</w:t>
      </w:r>
      <w:r w:rsidR="00EE4FC3">
        <w:t xml:space="preserve"> </w:t>
      </w:r>
      <w:r w:rsidRPr="00382917">
        <w:t>of</w:t>
      </w:r>
      <w:r w:rsidR="00EE4FC3">
        <w:t xml:space="preserve"> </w:t>
      </w:r>
      <w:r w:rsidRPr="00382917">
        <w:t>this</w:t>
      </w:r>
      <w:r w:rsidR="00EE4FC3">
        <w:t xml:space="preserve"> </w:t>
      </w:r>
      <w:r w:rsidRPr="00382917">
        <w:t>astronomical</w:t>
      </w:r>
      <w:r w:rsidR="00EE4FC3">
        <w:t xml:space="preserve"> </w:t>
      </w:r>
      <w:r w:rsidRPr="00382917">
        <w:t>event</w:t>
      </w:r>
      <w:r w:rsidR="00EE4FC3">
        <w:t xml:space="preserve"> </w:t>
      </w:r>
      <w:r w:rsidRPr="00382917">
        <w:t>states</w:t>
      </w:r>
      <w:r w:rsidR="00C03C91">
        <w:t>:</w:t>
      </w:r>
      <w:r w:rsidR="00EE4FC3">
        <w:t xml:space="preserve">  </w:t>
      </w:r>
      <w:r w:rsidR="009C713D" w:rsidRPr="00382917">
        <w:t>“</w:t>
      </w:r>
      <w:r w:rsidRPr="00382917">
        <w:t>Late</w:t>
      </w:r>
      <w:r w:rsidR="00EE4FC3">
        <w:t xml:space="preserve"> </w:t>
      </w:r>
      <w:r w:rsidRPr="00382917">
        <w:t>in</w:t>
      </w:r>
      <w:r w:rsidR="00EE4FC3">
        <w:t xml:space="preserve"> </w:t>
      </w:r>
      <w:r w:rsidRPr="00382917">
        <w:t>August,</w:t>
      </w:r>
      <w:r w:rsidR="00EE4FC3">
        <w:t xml:space="preserve"> </w:t>
      </w:r>
      <w:r w:rsidRPr="00382917">
        <w:t>1852,</w:t>
      </w:r>
      <w:r w:rsidR="00EE4FC3">
        <w:t xml:space="preserve"> </w:t>
      </w:r>
      <w:r w:rsidRPr="00382917">
        <w:t>the</w:t>
      </w:r>
      <w:r w:rsidR="00EE4FC3">
        <w:t xml:space="preserve"> </w:t>
      </w:r>
      <w:r w:rsidRPr="00382917">
        <w:t>larger</w:t>
      </w:r>
      <w:r w:rsidR="00EE4FC3">
        <w:t xml:space="preserve"> </w:t>
      </w:r>
      <w:r w:rsidRPr="00382917">
        <w:t>portion</w:t>
      </w:r>
      <w:r w:rsidR="00EE4FC3">
        <w:t xml:space="preserve"> </w:t>
      </w:r>
      <w:r w:rsidRPr="00382917">
        <w:t>again</w:t>
      </w:r>
      <w:r w:rsidR="00EE4FC3">
        <w:t xml:space="preserve"> </w:t>
      </w:r>
      <w:r w:rsidRPr="00382917">
        <w:t>came</w:t>
      </w:r>
      <w:r w:rsidR="00EE4FC3">
        <w:t xml:space="preserve"> </w:t>
      </w:r>
      <w:r w:rsidRPr="00382917">
        <w:t>into</w:t>
      </w:r>
      <w:r w:rsidR="00EE4FC3">
        <w:t xml:space="preserve"> </w:t>
      </w:r>
      <w:r w:rsidRPr="00382917">
        <w:t>view;</w:t>
      </w:r>
      <w:r w:rsidR="00EE4FC3">
        <w:t xml:space="preserve"> </w:t>
      </w:r>
      <w:r w:rsidRPr="00382917">
        <w:t>and</w:t>
      </w:r>
      <w:r w:rsidR="00EE4FC3">
        <w:t xml:space="preserve"> </w:t>
      </w:r>
      <w:r w:rsidRPr="00382917">
        <w:t>three</w:t>
      </w:r>
      <w:r w:rsidR="00EE4FC3">
        <w:t xml:space="preserve"> </w:t>
      </w:r>
      <w:r w:rsidRPr="00382917">
        <w:t>weeks</w:t>
      </w:r>
      <w:r w:rsidR="00EE4FC3">
        <w:t xml:space="preserve"> </w:t>
      </w:r>
      <w:r w:rsidRPr="00382917">
        <w:t>later</w:t>
      </w:r>
      <w:r w:rsidR="00EE4FC3">
        <w:t xml:space="preserve"> </w:t>
      </w:r>
      <w:r w:rsidRPr="00382917">
        <w:t>the</w:t>
      </w:r>
      <w:r w:rsidR="00EE4FC3">
        <w:t xml:space="preserve"> </w:t>
      </w:r>
      <w:r w:rsidRPr="00382917">
        <w:t>smaller</w:t>
      </w:r>
      <w:r w:rsidR="00EE4FC3">
        <w:t xml:space="preserve"> </w:t>
      </w:r>
      <w:r w:rsidRPr="00382917">
        <w:t>one,</w:t>
      </w:r>
      <w:r w:rsidR="00EE4FC3">
        <w:t xml:space="preserve"> </w:t>
      </w:r>
      <w:r w:rsidRPr="00382917">
        <w:t>now</w:t>
      </w:r>
      <w:r w:rsidR="00EE4FC3">
        <w:t xml:space="preserve"> </w:t>
      </w:r>
      <w:r w:rsidRPr="00382917">
        <w:t>much</w:t>
      </w:r>
      <w:r w:rsidR="00EE4FC3">
        <w:t xml:space="preserve"> </w:t>
      </w:r>
      <w:r w:rsidRPr="00382917">
        <w:t>fainter</w:t>
      </w:r>
      <w:r w:rsidR="00EE4FC3">
        <w:t xml:space="preserve"> </w:t>
      </w:r>
      <w:r w:rsidRPr="00382917">
        <w:t>than</w:t>
      </w:r>
      <w:r w:rsidR="00EE4FC3">
        <w:t xml:space="preserve"> </w:t>
      </w:r>
      <w:r w:rsidRPr="00382917">
        <w:t>its</w:t>
      </w:r>
      <w:r w:rsidR="00EE4FC3">
        <w:t xml:space="preserve"> </w:t>
      </w:r>
      <w:r w:rsidRPr="00382917">
        <w:t>former</w:t>
      </w:r>
      <w:r w:rsidR="00EE4FC3">
        <w:t xml:space="preserve"> </w:t>
      </w:r>
      <w:r w:rsidRPr="00382917">
        <w:t>companion</w:t>
      </w:r>
      <w:r w:rsidR="00EE4FC3">
        <w:t xml:space="preserve"> </w:t>
      </w:r>
      <w:r w:rsidRPr="00382917">
        <w:t>was</w:t>
      </w:r>
      <w:r w:rsidR="00EE4FC3">
        <w:t xml:space="preserve"> </w:t>
      </w:r>
      <w:r w:rsidRPr="00382917">
        <w:t>seen</w:t>
      </w:r>
      <w:r w:rsidR="00EE4FC3">
        <w:t xml:space="preserve"> </w:t>
      </w:r>
      <w:r w:rsidRPr="00382917">
        <w:t>about</w:t>
      </w:r>
      <w:r w:rsidR="00EE4FC3">
        <w:t xml:space="preserve"> </w:t>
      </w:r>
      <w:r w:rsidRPr="00382917">
        <w:t>1,500,000</w:t>
      </w:r>
      <w:r w:rsidR="00EE4FC3">
        <w:t xml:space="preserve"> </w:t>
      </w:r>
      <w:r w:rsidRPr="00382917">
        <w:t>miles</w:t>
      </w:r>
      <w:r w:rsidR="00EE4FC3">
        <w:t xml:space="preserve"> </w:t>
      </w:r>
      <w:r w:rsidRPr="00382917">
        <w:t>in</w:t>
      </w:r>
      <w:r w:rsidR="00EE4FC3">
        <w:t xml:space="preserve"> </w:t>
      </w:r>
      <w:r w:rsidRPr="00382917">
        <w:t>the</w:t>
      </w:r>
      <w:r w:rsidR="00EE4FC3">
        <w:t xml:space="preserve"> </w:t>
      </w:r>
      <w:r w:rsidRPr="00382917">
        <w:t>lead.</w:t>
      </w:r>
      <w:r w:rsidR="009C713D" w:rsidRPr="00382917">
        <w:t>”</w:t>
      </w:r>
      <w:r w:rsidR="00EE4FC3">
        <w:t xml:space="preserve"> </w:t>
      </w:r>
      <w:r w:rsidR="00307488">
        <w:t xml:space="preserve"> </w:t>
      </w:r>
      <w:r w:rsidRPr="00382917">
        <w:t>Sir</w:t>
      </w:r>
      <w:r w:rsidR="00EE4FC3">
        <w:t xml:space="preserve"> </w:t>
      </w:r>
      <w:r w:rsidRPr="00382917">
        <w:t>James</w:t>
      </w:r>
      <w:r w:rsidR="00EE4FC3">
        <w:t xml:space="preserve"> </w:t>
      </w:r>
      <w:r w:rsidRPr="00382917">
        <w:t>Jeans</w:t>
      </w:r>
      <w:r w:rsidR="00EE4FC3">
        <w:t xml:space="preserve"> </w:t>
      </w:r>
      <w:r w:rsidRPr="00382917">
        <w:t>confirms</w:t>
      </w:r>
      <w:r w:rsidR="00EE4FC3">
        <w:t xml:space="preserve"> </w:t>
      </w:r>
      <w:r w:rsidRPr="00382917">
        <w:t>this</w:t>
      </w:r>
      <w:r w:rsidR="00C03C91">
        <w:t>:</w:t>
      </w:r>
      <w:r w:rsidR="00EE4FC3">
        <w:t xml:space="preserve">  </w:t>
      </w:r>
      <w:r w:rsidR="009C713D" w:rsidRPr="00382917">
        <w:t>“</w:t>
      </w:r>
      <w:r w:rsidRPr="00382917">
        <w:t>Six</w:t>
      </w:r>
      <w:r w:rsidR="00EE4FC3">
        <w:t xml:space="preserve"> </w:t>
      </w:r>
      <w:r w:rsidRPr="00382917">
        <w:t>years</w:t>
      </w:r>
      <w:r w:rsidR="00EE4FC3">
        <w:t xml:space="preserve"> </w:t>
      </w:r>
      <w:r w:rsidRPr="00382917">
        <w:t>later</w:t>
      </w:r>
      <w:r w:rsidR="00EE4FC3">
        <w:t xml:space="preserve"> </w:t>
      </w:r>
      <w:r w:rsidRPr="00382917">
        <w:t>[1852],</w:t>
      </w:r>
      <w:r w:rsidR="00EE4FC3">
        <w:t xml:space="preserve"> </w:t>
      </w:r>
      <w:r w:rsidRPr="00382917">
        <w:t>when</w:t>
      </w:r>
      <w:r w:rsidR="00EE4FC3">
        <w:t xml:space="preserve"> </w:t>
      </w:r>
      <w:r w:rsidRPr="00382917">
        <w:t>the</w:t>
      </w:r>
      <w:r w:rsidR="00EE4FC3">
        <w:t xml:space="preserve"> </w:t>
      </w:r>
      <w:r w:rsidRPr="00382917">
        <w:t>comet</w:t>
      </w:r>
      <w:r w:rsidR="009C713D" w:rsidRPr="00382917">
        <w:t>’</w:t>
      </w:r>
      <w:r w:rsidRPr="00382917">
        <w:t>s</w:t>
      </w:r>
      <w:r w:rsidR="00EE4FC3">
        <w:t xml:space="preserve"> </w:t>
      </w:r>
      <w:r w:rsidRPr="00382917">
        <w:t>orbit</w:t>
      </w:r>
      <w:r w:rsidR="00EE4FC3">
        <w:t xml:space="preserve"> </w:t>
      </w:r>
      <w:r w:rsidRPr="00382917">
        <w:t>again</w:t>
      </w:r>
      <w:r w:rsidR="00EE4FC3">
        <w:t xml:space="preserve"> </w:t>
      </w:r>
      <w:r w:rsidRPr="00382917">
        <w:t>brought</w:t>
      </w:r>
      <w:r w:rsidR="00EE4FC3">
        <w:t xml:space="preserve"> </w:t>
      </w:r>
      <w:r w:rsidRPr="00382917">
        <w:t>it</w:t>
      </w:r>
      <w:r w:rsidR="00EE4FC3">
        <w:t xml:space="preserve"> </w:t>
      </w:r>
      <w:r w:rsidRPr="00382917">
        <w:t>near</w:t>
      </w:r>
      <w:r w:rsidR="00EE4FC3">
        <w:t xml:space="preserve"> </w:t>
      </w:r>
      <w:r w:rsidRPr="00382917">
        <w:t>to</w:t>
      </w:r>
      <w:r w:rsidR="00EE4FC3">
        <w:t xml:space="preserve"> </w:t>
      </w:r>
      <w:r w:rsidRPr="00382917">
        <w:t>the</w:t>
      </w:r>
      <w:r w:rsidR="00EE4FC3">
        <w:t xml:space="preserve"> </w:t>
      </w:r>
      <w:r w:rsidRPr="00382917">
        <w:t>sun,</w:t>
      </w:r>
      <w:r w:rsidR="00EE4FC3">
        <w:t xml:space="preserve"> </w:t>
      </w:r>
      <w:r w:rsidRPr="00382917">
        <w:t>two</w:t>
      </w:r>
      <w:r w:rsidR="00EE4FC3">
        <w:t xml:space="preserve"> </w:t>
      </w:r>
      <w:r w:rsidRPr="00382917">
        <w:t>pieces</w:t>
      </w:r>
      <w:r w:rsidR="00EE4FC3">
        <w:t xml:space="preserve"> </w:t>
      </w:r>
      <w:r w:rsidRPr="00382917">
        <w:t>were</w:t>
      </w:r>
      <w:r w:rsidR="00EE4FC3">
        <w:t xml:space="preserve"> </w:t>
      </w:r>
      <w:r w:rsidRPr="00382917">
        <w:t>observed</w:t>
      </w:r>
      <w:r w:rsidR="00EE4FC3">
        <w:t xml:space="preserve"> </w:t>
      </w:r>
      <w:r w:rsidRPr="00382917">
        <w:t>to</w:t>
      </w:r>
      <w:r w:rsidR="00EE4FC3">
        <w:t xml:space="preserve"> </w:t>
      </w:r>
      <w:r w:rsidRPr="00382917">
        <w:t>be</w:t>
      </w:r>
      <w:r w:rsidR="00EE4FC3">
        <w:t xml:space="preserve"> </w:t>
      </w:r>
      <w:r w:rsidRPr="00382917">
        <w:t>one</w:t>
      </w:r>
      <w:r w:rsidR="00EE4FC3">
        <w:t xml:space="preserve"> </w:t>
      </w:r>
      <w:r w:rsidRPr="00382917">
        <w:t>and</w:t>
      </w:r>
      <w:r w:rsidR="00EE4FC3">
        <w:t xml:space="preserve"> </w:t>
      </w:r>
      <w:r w:rsidRPr="00382917">
        <w:t>a</w:t>
      </w:r>
      <w:r w:rsidR="00EE4FC3">
        <w:t xml:space="preserve"> </w:t>
      </w:r>
      <w:r w:rsidRPr="00382917">
        <w:t>half</w:t>
      </w:r>
      <w:r w:rsidR="00EE4FC3">
        <w:t xml:space="preserve"> </w:t>
      </w:r>
      <w:r w:rsidRPr="00382917">
        <w:t>million</w:t>
      </w:r>
      <w:r w:rsidR="00EE4FC3">
        <w:t xml:space="preserve"> </w:t>
      </w:r>
      <w:r w:rsidRPr="00382917">
        <w:t>miles</w:t>
      </w:r>
      <w:r w:rsidR="00EE4FC3">
        <w:t xml:space="preserve"> </w:t>
      </w:r>
      <w:r w:rsidRPr="00382917">
        <w:t>apart.</w:t>
      </w:r>
      <w:r w:rsidR="009C713D" w:rsidRPr="00382917">
        <w:t>”</w:t>
      </w:r>
    </w:p>
    <w:p w:rsidR="006E4F81" w:rsidRPr="00382917" w:rsidRDefault="006E4F81" w:rsidP="00307488">
      <w:pPr>
        <w:pStyle w:val="Text"/>
      </w:pPr>
      <w:r w:rsidRPr="00382917">
        <w:t>Of</w:t>
      </w:r>
      <w:r w:rsidR="00EE4FC3">
        <w:t xml:space="preserve"> </w:t>
      </w:r>
      <w:r w:rsidRPr="00382917">
        <w:t>that</w:t>
      </w:r>
      <w:r w:rsidR="00EE4FC3">
        <w:t xml:space="preserve"> </w:t>
      </w:r>
      <w:r w:rsidRPr="00382917">
        <w:t>hour</w:t>
      </w:r>
      <w:r w:rsidR="00EE4FC3">
        <w:t xml:space="preserve"> </w:t>
      </w:r>
      <w:r w:rsidRPr="00382917">
        <w:t>when</w:t>
      </w:r>
      <w:r w:rsidR="00EE4FC3">
        <w:t xml:space="preserve"> </w:t>
      </w:r>
      <w:r w:rsidRPr="00382917">
        <w:t>the</w:t>
      </w:r>
      <w:r w:rsidR="00EE4FC3">
        <w:t xml:space="preserve"> </w:t>
      </w:r>
      <w:r w:rsidRPr="00382917">
        <w:t>twin-comets</w:t>
      </w:r>
      <w:r w:rsidR="00EE4FC3">
        <w:t xml:space="preserve"> </w:t>
      </w:r>
      <w:r w:rsidRPr="00382917">
        <w:t>rode</w:t>
      </w:r>
      <w:r w:rsidR="00EE4FC3">
        <w:t xml:space="preserve"> </w:t>
      </w:r>
      <w:r w:rsidRPr="00382917">
        <w:t>the</w:t>
      </w:r>
      <w:r w:rsidR="00EE4FC3">
        <w:t xml:space="preserve"> </w:t>
      </w:r>
      <w:r w:rsidRPr="00382917">
        <w:t>skies</w:t>
      </w:r>
      <w:r w:rsidR="00EE4FC3">
        <w:t xml:space="preserve"> </w:t>
      </w:r>
      <w:r w:rsidRPr="00382917">
        <w:t>above</w:t>
      </w:r>
      <w:r w:rsidR="00EE4FC3">
        <w:t xml:space="preserve"> </w:t>
      </w:r>
      <w:r w:rsidRPr="00382917">
        <w:t>His</w:t>
      </w:r>
      <w:r w:rsidR="00EE4FC3">
        <w:t xml:space="preserve"> </w:t>
      </w:r>
      <w:r w:rsidRPr="00382917">
        <w:t>prison,</w:t>
      </w:r>
      <w:r w:rsidR="00EE4FC3">
        <w:t xml:space="preserve"> </w:t>
      </w:r>
      <w:r w:rsidRPr="00382917">
        <w:t>Bahá</w:t>
      </w:r>
      <w:r w:rsidR="009C713D" w:rsidRPr="00382917">
        <w:t>’</w:t>
      </w:r>
      <w:r w:rsidRPr="00382917">
        <w:t>u</w:t>
      </w:r>
      <w:r w:rsidR="009C713D" w:rsidRPr="00382917">
        <w:t>’</w:t>
      </w:r>
      <w:r w:rsidRPr="00382917">
        <w:t>lláh</w:t>
      </w:r>
      <w:r w:rsidR="00EE4FC3">
        <w:t xml:space="preserve"> </w:t>
      </w:r>
      <w:r w:rsidRPr="00382917">
        <w:t>has</w:t>
      </w:r>
      <w:r w:rsidR="00EE4FC3">
        <w:t xml:space="preserve"> </w:t>
      </w:r>
      <w:r w:rsidRPr="00382917">
        <w:t>written</w:t>
      </w:r>
      <w:r w:rsidR="00C03C91">
        <w:t>:</w:t>
      </w:r>
      <w:r w:rsidR="00EE4FC3">
        <w:t xml:space="preserve">  </w:t>
      </w:r>
      <w:r w:rsidR="009C713D" w:rsidRPr="00382917">
        <w:t>“</w:t>
      </w:r>
      <w:r w:rsidRPr="00382917">
        <w:t>I</w:t>
      </w:r>
      <w:r w:rsidR="00EE4FC3">
        <w:t xml:space="preserve"> </w:t>
      </w:r>
      <w:r w:rsidRPr="00382917">
        <w:t>was</w:t>
      </w:r>
      <w:r w:rsidR="00EE4FC3">
        <w:t xml:space="preserve"> </w:t>
      </w:r>
      <w:r w:rsidRPr="00382917">
        <w:t>but</w:t>
      </w:r>
      <w:r w:rsidR="00EE4FC3">
        <w:t xml:space="preserve"> </w:t>
      </w:r>
      <w:r w:rsidRPr="00382917">
        <w:t>a</w:t>
      </w:r>
      <w:r w:rsidR="00EE4FC3">
        <w:t xml:space="preserve"> </w:t>
      </w:r>
      <w:r w:rsidRPr="00382917">
        <w:t>man</w:t>
      </w:r>
      <w:r w:rsidR="00EE4FC3">
        <w:t xml:space="preserve"> </w:t>
      </w:r>
      <w:r w:rsidRPr="00382917">
        <w:t>like</w:t>
      </w:r>
      <w:r w:rsidR="00EE4FC3">
        <w:t xml:space="preserve"> </w:t>
      </w:r>
      <w:r w:rsidRPr="00382917">
        <w:t>others,</w:t>
      </w:r>
      <w:r w:rsidR="00EE4FC3">
        <w:t xml:space="preserve"> </w:t>
      </w:r>
      <w:r w:rsidRPr="00382917">
        <w:t>asleep</w:t>
      </w:r>
      <w:r w:rsidR="00EE4FC3">
        <w:t xml:space="preserve"> </w:t>
      </w:r>
      <w:r w:rsidRPr="00382917">
        <w:t>upon</w:t>
      </w:r>
      <w:r w:rsidR="00EE4FC3">
        <w:t xml:space="preserve"> </w:t>
      </w:r>
      <w:r w:rsidRPr="00382917">
        <w:t>my</w:t>
      </w:r>
      <w:r w:rsidR="00EE4FC3">
        <w:t xml:space="preserve"> </w:t>
      </w:r>
      <w:r w:rsidRPr="00382917">
        <w:t>couch,</w:t>
      </w:r>
      <w:r w:rsidR="00EE4FC3">
        <w:t xml:space="preserve"> </w:t>
      </w:r>
      <w:r w:rsidRPr="00382917">
        <w:t>when</w:t>
      </w:r>
      <w:r w:rsidR="00EE4FC3">
        <w:t xml:space="preserve"> </w:t>
      </w:r>
      <w:r w:rsidRPr="00382917">
        <w:t>lo,</w:t>
      </w:r>
      <w:r w:rsidR="00EE4FC3">
        <w:t xml:space="preserve"> </w:t>
      </w:r>
      <w:r w:rsidRPr="00382917">
        <w:t>the</w:t>
      </w:r>
      <w:r w:rsidR="00EE4FC3">
        <w:t xml:space="preserve"> </w:t>
      </w:r>
      <w:r w:rsidRPr="00382917">
        <w:t>breezes</w:t>
      </w:r>
      <w:r w:rsidR="00EE4FC3">
        <w:t xml:space="preserve"> </w:t>
      </w:r>
      <w:r w:rsidRPr="00382917">
        <w:t>of</w:t>
      </w:r>
      <w:r w:rsidR="00EE4FC3">
        <w:t xml:space="preserve"> </w:t>
      </w:r>
      <w:r w:rsidRPr="00382917">
        <w:t>the</w:t>
      </w:r>
      <w:r w:rsidR="00EE4FC3">
        <w:t xml:space="preserve"> </w:t>
      </w:r>
      <w:r w:rsidRPr="00382917">
        <w:t>All</w:t>
      </w:r>
      <w:r w:rsidR="00EE4FC3">
        <w:t xml:space="preserve"> </w:t>
      </w:r>
      <w:r w:rsidRPr="00382917">
        <w:t>Glorious</w:t>
      </w:r>
      <w:r w:rsidR="00EE4FC3">
        <w:t xml:space="preserve"> </w:t>
      </w:r>
      <w:r w:rsidRPr="00382917">
        <w:t>[God]</w:t>
      </w:r>
      <w:r w:rsidR="00EE4FC3">
        <w:t xml:space="preserve"> </w:t>
      </w:r>
      <w:r w:rsidRPr="00382917">
        <w:t>were</w:t>
      </w:r>
      <w:r w:rsidR="00EE4FC3">
        <w:t xml:space="preserve"> </w:t>
      </w:r>
      <w:r w:rsidRPr="00382917">
        <w:t>wafted</w:t>
      </w:r>
      <w:r w:rsidR="00EE4FC3">
        <w:t xml:space="preserve"> </w:t>
      </w:r>
      <w:r w:rsidRPr="00382917">
        <w:t>over</w:t>
      </w:r>
      <w:r w:rsidR="00EE4FC3">
        <w:t xml:space="preserve"> </w:t>
      </w:r>
      <w:proofErr w:type="gramStart"/>
      <w:r w:rsidRPr="00382917">
        <w:t>Me</w:t>
      </w:r>
      <w:proofErr w:type="gramEnd"/>
      <w:r w:rsidR="00EE4FC3">
        <w:t xml:space="preserve"> </w:t>
      </w:r>
      <w:r w:rsidRPr="00382917">
        <w:t>and</w:t>
      </w:r>
      <w:r w:rsidR="00EE4FC3">
        <w:t xml:space="preserve"> </w:t>
      </w:r>
      <w:r w:rsidRPr="00382917">
        <w:t>taught</w:t>
      </w:r>
      <w:r w:rsidR="00EE4FC3">
        <w:t xml:space="preserve"> </w:t>
      </w:r>
      <w:r w:rsidRPr="00382917">
        <w:t>Me</w:t>
      </w:r>
      <w:r w:rsidR="00EE4FC3">
        <w:t xml:space="preserve"> </w:t>
      </w:r>
      <w:r w:rsidRPr="00382917">
        <w:t>the</w:t>
      </w:r>
      <w:r w:rsidR="00EE4FC3">
        <w:t xml:space="preserve"> </w:t>
      </w:r>
      <w:r w:rsidRPr="00382917">
        <w:t>knowledge</w:t>
      </w:r>
      <w:r w:rsidR="00EE4FC3">
        <w:t xml:space="preserve"> </w:t>
      </w:r>
      <w:r w:rsidRPr="00382917">
        <w:t>of</w:t>
      </w:r>
      <w:r w:rsidR="00EE4FC3">
        <w:t xml:space="preserve"> </w:t>
      </w:r>
      <w:r w:rsidRPr="00382917">
        <w:t>all</w:t>
      </w:r>
      <w:r w:rsidR="00EE4FC3">
        <w:t xml:space="preserve"> </w:t>
      </w:r>
      <w:r w:rsidRPr="00382917">
        <w:t>that</w:t>
      </w:r>
      <w:r w:rsidR="00EE4FC3">
        <w:t xml:space="preserve"> </w:t>
      </w:r>
      <w:r w:rsidRPr="00382917">
        <w:t>hath</w:t>
      </w:r>
      <w:r w:rsidR="00EE4FC3">
        <w:t xml:space="preserve"> </w:t>
      </w:r>
      <w:r w:rsidRPr="00382917">
        <w:t>been</w:t>
      </w:r>
      <w:r w:rsidR="00552489">
        <w:t>.</w:t>
      </w:r>
      <w:r w:rsidR="00EE4FC3">
        <w:t xml:space="preserve">  </w:t>
      </w:r>
      <w:r w:rsidRPr="00382917">
        <w:t>This</w:t>
      </w:r>
      <w:r w:rsidR="00EE4FC3">
        <w:t xml:space="preserve"> </w:t>
      </w:r>
      <w:r w:rsidRPr="00382917">
        <w:t>is</w:t>
      </w:r>
      <w:r w:rsidR="00EE4FC3">
        <w:t xml:space="preserve"> </w:t>
      </w:r>
      <w:r w:rsidRPr="00382917">
        <w:t>not</w:t>
      </w:r>
      <w:r w:rsidR="00EE4FC3">
        <w:t xml:space="preserve"> </w:t>
      </w:r>
      <w:r w:rsidRPr="00382917">
        <w:t>from</w:t>
      </w:r>
      <w:r w:rsidR="00EE4FC3">
        <w:t xml:space="preserve"> </w:t>
      </w:r>
      <w:proofErr w:type="gramStart"/>
      <w:r w:rsidRPr="00382917">
        <w:t>Me</w:t>
      </w:r>
      <w:proofErr w:type="gramEnd"/>
      <w:r w:rsidRPr="00382917">
        <w:t>,</w:t>
      </w:r>
      <w:r w:rsidR="00EE4FC3">
        <w:t xml:space="preserve"> </w:t>
      </w:r>
      <w:r w:rsidRPr="00382917">
        <w:t>but</w:t>
      </w:r>
      <w:r w:rsidR="00EE4FC3">
        <w:t xml:space="preserve"> </w:t>
      </w:r>
      <w:r w:rsidRPr="00382917">
        <w:t>from</w:t>
      </w:r>
      <w:r w:rsidR="00EE4FC3">
        <w:t xml:space="preserve"> </w:t>
      </w:r>
      <w:r w:rsidRPr="00382917">
        <w:t>One</w:t>
      </w:r>
      <w:r w:rsidR="00EE4FC3">
        <w:t xml:space="preserve"> </w:t>
      </w:r>
      <w:r w:rsidRPr="00382917">
        <w:t>Who</w:t>
      </w:r>
      <w:r w:rsidR="00EE4FC3">
        <w:t xml:space="preserve"> </w:t>
      </w:r>
      <w:r w:rsidRPr="00382917">
        <w:t>is</w:t>
      </w:r>
      <w:r w:rsidR="00EE4FC3">
        <w:t xml:space="preserve"> </w:t>
      </w:r>
      <w:r w:rsidRPr="00382917">
        <w:t>Almighty</w:t>
      </w:r>
      <w:r w:rsidR="00EE4FC3">
        <w:t xml:space="preserve"> </w:t>
      </w:r>
      <w:r w:rsidRPr="00382917">
        <w:t>and</w:t>
      </w:r>
      <w:r w:rsidR="00EE4FC3">
        <w:t xml:space="preserve"> </w:t>
      </w:r>
      <w:r w:rsidRPr="00382917">
        <w:t>All-knowing.</w:t>
      </w:r>
      <w:r w:rsidR="009C713D" w:rsidRPr="00382917">
        <w:t>”</w:t>
      </w:r>
      <w:r w:rsidR="00307488">
        <w:rPr>
          <w:rStyle w:val="FootnoteReference"/>
        </w:rPr>
        <w:footnoteReference w:id="363"/>
      </w:r>
    </w:p>
    <w:p w:rsidR="006E4F81" w:rsidRPr="00382917" w:rsidRDefault="006E4F81" w:rsidP="004C0EF8">
      <w:pPr>
        <w:pStyle w:val="Text"/>
      </w:pPr>
      <w:r w:rsidRPr="00382917">
        <w:t>Following</w:t>
      </w:r>
      <w:r w:rsidR="00EE4FC3">
        <w:t xml:space="preserve"> </w:t>
      </w:r>
      <w:r w:rsidRPr="00382917">
        <w:t>this</w:t>
      </w:r>
      <w:r w:rsidR="00EE4FC3">
        <w:t xml:space="preserve"> </w:t>
      </w:r>
      <w:r w:rsidRPr="00382917">
        <w:t>twin-appearance,</w:t>
      </w:r>
      <w:r w:rsidR="00EE4FC3">
        <w:t xml:space="preserve"> </w:t>
      </w:r>
      <w:r w:rsidRPr="00382917">
        <w:t>Sir</w:t>
      </w:r>
      <w:r w:rsidR="00EE4FC3">
        <w:t xml:space="preserve"> </w:t>
      </w:r>
      <w:r w:rsidRPr="00382917">
        <w:t>James</w:t>
      </w:r>
      <w:r w:rsidR="00EE4FC3">
        <w:t xml:space="preserve"> </w:t>
      </w:r>
      <w:proofErr w:type="gramStart"/>
      <w:r w:rsidRPr="00382917">
        <w:t>Jeans</w:t>
      </w:r>
      <w:proofErr w:type="gramEnd"/>
      <w:r w:rsidR="00EE4FC3">
        <w:t xml:space="preserve"> </w:t>
      </w:r>
      <w:r w:rsidRPr="00382917">
        <w:t>states,</w:t>
      </w:r>
      <w:r w:rsidR="00EE4FC3">
        <w:t xml:space="preserve"> </w:t>
      </w:r>
      <w:r w:rsidR="009C713D" w:rsidRPr="00382917">
        <w:t>“</w:t>
      </w:r>
      <w:r w:rsidRPr="00382917">
        <w:t>neither</w:t>
      </w:r>
      <w:r w:rsidR="00EE4FC3">
        <w:t xml:space="preserve"> </w:t>
      </w:r>
      <w:r w:rsidRPr="00382917">
        <w:t>of</w:t>
      </w:r>
      <w:r w:rsidR="00EE4FC3">
        <w:t xml:space="preserve"> </w:t>
      </w:r>
      <w:r w:rsidRPr="00382917">
        <w:t>them</w:t>
      </w:r>
      <w:r w:rsidR="00EE4FC3">
        <w:t xml:space="preserve"> </w:t>
      </w:r>
      <w:r w:rsidRPr="00382917">
        <w:t>has</w:t>
      </w:r>
      <w:r w:rsidR="00EE4FC3">
        <w:t xml:space="preserve"> </w:t>
      </w:r>
      <w:r w:rsidRPr="00382917">
        <w:t>been</w:t>
      </w:r>
      <w:r w:rsidR="00EE4FC3">
        <w:t xml:space="preserve"> </w:t>
      </w:r>
      <w:r w:rsidRPr="00382917">
        <w:t>seen</w:t>
      </w:r>
      <w:r w:rsidR="00EE4FC3">
        <w:t xml:space="preserve"> </w:t>
      </w:r>
      <w:r w:rsidRPr="00382917">
        <w:t>in</w:t>
      </w:r>
      <w:r w:rsidR="00EE4FC3">
        <w:t xml:space="preserve"> </w:t>
      </w:r>
      <w:r w:rsidRPr="00382917">
        <w:t>cometary</w:t>
      </w:r>
      <w:r w:rsidR="00EE4FC3">
        <w:t xml:space="preserve"> </w:t>
      </w:r>
      <w:r w:rsidRPr="00382917">
        <w:t>form,</w:t>
      </w:r>
      <w:r w:rsidR="00EE4FC3">
        <w:t xml:space="preserve"> </w:t>
      </w:r>
      <w:r w:rsidRPr="00382917">
        <w:t>but</w:t>
      </w:r>
      <w:r w:rsidR="00EE4FC3">
        <w:t xml:space="preserve"> </w:t>
      </w:r>
      <w:r w:rsidRPr="00382917">
        <w:t>the</w:t>
      </w:r>
      <w:r w:rsidR="00EE4FC3">
        <w:t xml:space="preserve"> </w:t>
      </w:r>
      <w:r w:rsidRPr="00382917">
        <w:t>place</w:t>
      </w:r>
      <w:r w:rsidR="00EE4FC3">
        <w:t xml:space="preserve"> </w:t>
      </w:r>
      <w:r w:rsidRPr="00382917">
        <w:t>where</w:t>
      </w:r>
      <w:r w:rsidR="00EE4FC3">
        <w:t xml:space="preserve"> </w:t>
      </w:r>
      <w:r w:rsidRPr="00382917">
        <w:t>they</w:t>
      </w:r>
      <w:r w:rsidR="00EE4FC3">
        <w:t xml:space="preserve"> </w:t>
      </w:r>
      <w:r w:rsidRPr="00382917">
        <w:t>ought</w:t>
      </w:r>
      <w:r w:rsidR="00EE4FC3">
        <w:t xml:space="preserve"> </w:t>
      </w:r>
      <w:r w:rsidRPr="00382917">
        <w:t>to</w:t>
      </w:r>
      <w:r w:rsidR="00EE4FC3">
        <w:t xml:space="preserve"> </w:t>
      </w:r>
      <w:r w:rsidRPr="00382917">
        <w:t>be</w:t>
      </w:r>
      <w:r w:rsidR="00EE4FC3">
        <w:t xml:space="preserve"> </w:t>
      </w:r>
      <w:r w:rsidRPr="00382917">
        <w:t>is</w:t>
      </w:r>
      <w:r w:rsidR="00EE4FC3">
        <w:t xml:space="preserve"> </w:t>
      </w:r>
      <w:r w:rsidRPr="00382917">
        <w:t>occupied</w:t>
      </w:r>
      <w:r w:rsidR="00EE4FC3">
        <w:t xml:space="preserve"> </w:t>
      </w:r>
      <w:r w:rsidRPr="00382917">
        <w:t>by</w:t>
      </w:r>
      <w:r w:rsidR="00EE4FC3">
        <w:t xml:space="preserve"> </w:t>
      </w:r>
      <w:r w:rsidRPr="00382917">
        <w:t>a</w:t>
      </w:r>
      <w:r w:rsidR="00EE4FC3">
        <w:t xml:space="preserve"> </w:t>
      </w:r>
      <w:r w:rsidRPr="00382917">
        <w:t>swarm</w:t>
      </w:r>
      <w:r w:rsidR="00EE4FC3">
        <w:t xml:space="preserve"> </w:t>
      </w:r>
      <w:r w:rsidRPr="00382917">
        <w:t>of</w:t>
      </w:r>
      <w:r w:rsidR="00EE4FC3">
        <w:t xml:space="preserve"> </w:t>
      </w:r>
      <w:r w:rsidRPr="00382917">
        <w:t>millions</w:t>
      </w:r>
      <w:r w:rsidR="00EE4FC3">
        <w:t xml:space="preserve"> </w:t>
      </w:r>
      <w:r w:rsidRPr="00382917">
        <w:t>of</w:t>
      </w:r>
      <w:r w:rsidR="00EE4FC3">
        <w:t xml:space="preserve"> </w:t>
      </w:r>
      <w:r w:rsidRPr="00382917">
        <w:t>meteors,</w:t>
      </w:r>
      <w:r w:rsidR="00EE4FC3">
        <w:t xml:space="preserve"> </w:t>
      </w:r>
      <w:r w:rsidRPr="00382917">
        <w:t>known</w:t>
      </w:r>
      <w:r w:rsidR="00EE4FC3">
        <w:t xml:space="preserve"> </w:t>
      </w:r>
      <w:r w:rsidRPr="00382917">
        <w:t>as</w:t>
      </w:r>
      <w:r w:rsidR="00EE4FC3">
        <w:t xml:space="preserve"> </w:t>
      </w:r>
      <w:r w:rsidRPr="00382917">
        <w:t>the</w:t>
      </w:r>
      <w:r w:rsidR="00EE4FC3">
        <w:t xml:space="preserve"> </w:t>
      </w:r>
      <w:r w:rsidRPr="00382917">
        <w:t>Andromedid</w:t>
      </w:r>
      <w:r w:rsidR="00EE4FC3">
        <w:t xml:space="preserve"> </w:t>
      </w:r>
      <w:r w:rsidRPr="00382917">
        <w:t>meteors</w:t>
      </w:r>
      <w:r w:rsidR="00552489">
        <w:t>.</w:t>
      </w:r>
      <w:r w:rsidR="00EE4FC3">
        <w:t xml:space="preserve">  </w:t>
      </w:r>
      <w:r w:rsidRPr="00382917">
        <w:t>Occasionally</w:t>
      </w:r>
      <w:r w:rsidR="00EE4FC3">
        <w:t xml:space="preserve"> </w:t>
      </w:r>
      <w:r w:rsidRPr="00382917">
        <w:t>these</w:t>
      </w:r>
      <w:r w:rsidR="00EE4FC3">
        <w:t xml:space="preserve"> </w:t>
      </w:r>
      <w:r w:rsidRPr="00382917">
        <w:t>meet</w:t>
      </w:r>
      <w:r w:rsidR="00EE4FC3">
        <w:t xml:space="preserve"> </w:t>
      </w:r>
      <w:r w:rsidRPr="00382917">
        <w:t>the</w:t>
      </w:r>
      <w:r w:rsidR="00EE4FC3">
        <w:t xml:space="preserve"> </w:t>
      </w:r>
      <w:r w:rsidRPr="00382917">
        <w:t>earth</w:t>
      </w:r>
      <w:r w:rsidR="00EE4FC3">
        <w:t xml:space="preserve"> </w:t>
      </w:r>
      <w:r w:rsidRPr="00382917">
        <w:t>in</w:t>
      </w:r>
      <w:r w:rsidR="00EE4FC3">
        <w:t xml:space="preserve"> </w:t>
      </w:r>
      <w:r w:rsidRPr="00382917">
        <w:t>its</w:t>
      </w:r>
      <w:r w:rsidR="00EE4FC3">
        <w:t xml:space="preserve"> </w:t>
      </w:r>
      <w:r w:rsidRPr="00382917">
        <w:t>orbit,</w:t>
      </w:r>
      <w:r w:rsidR="00EE4FC3">
        <w:t xml:space="preserve"> </w:t>
      </w:r>
      <w:r w:rsidRPr="00382917">
        <w:t>and</w:t>
      </w:r>
      <w:r w:rsidR="00EE4FC3">
        <w:t xml:space="preserve"> </w:t>
      </w:r>
      <w:r w:rsidRPr="00382917">
        <w:t>make</w:t>
      </w:r>
      <w:r w:rsidR="00EE4FC3">
        <w:t xml:space="preserve"> </w:t>
      </w:r>
      <w:r w:rsidRPr="00382917">
        <w:t>a</w:t>
      </w:r>
      <w:r w:rsidR="00EE4FC3">
        <w:t xml:space="preserve"> </w:t>
      </w:r>
      <w:r w:rsidRPr="00382917">
        <w:t>grand</w:t>
      </w:r>
      <w:r w:rsidR="00EE4FC3">
        <w:t xml:space="preserve"> </w:t>
      </w:r>
      <w:r w:rsidRPr="00382917">
        <w:t>meteoric</w:t>
      </w:r>
      <w:r w:rsidR="00EE4FC3">
        <w:t xml:space="preserve"> </w:t>
      </w:r>
      <w:r w:rsidRPr="00382917">
        <w:t>display.</w:t>
      </w:r>
      <w:r w:rsidR="009C713D" w:rsidRPr="00382917">
        <w:t>”</w:t>
      </w:r>
    </w:p>
    <w:p w:rsidR="006E4F81" w:rsidRPr="00382917" w:rsidRDefault="006E4F81" w:rsidP="004C0EF8">
      <w:pPr>
        <w:pStyle w:val="Text"/>
      </w:pPr>
      <w:r w:rsidRPr="00382917">
        <w:t>The</w:t>
      </w:r>
      <w:r w:rsidR="00EE4FC3">
        <w:t xml:space="preserve"> </w:t>
      </w:r>
      <w:r w:rsidRPr="00382917">
        <w:t>two</w:t>
      </w:r>
      <w:r w:rsidR="00EE4FC3">
        <w:t xml:space="preserve"> </w:t>
      </w:r>
      <w:r w:rsidRPr="00382917">
        <w:t>comets</w:t>
      </w:r>
      <w:r w:rsidR="00EE4FC3">
        <w:t xml:space="preserve"> </w:t>
      </w:r>
      <w:r w:rsidRPr="00382917">
        <w:t>were</w:t>
      </w:r>
      <w:r w:rsidR="00EE4FC3">
        <w:t xml:space="preserve"> </w:t>
      </w:r>
      <w:r w:rsidRPr="00382917">
        <w:t>no</w:t>
      </w:r>
      <w:r w:rsidR="00EE4FC3">
        <w:t xml:space="preserve"> </w:t>
      </w:r>
      <w:r w:rsidRPr="00382917">
        <w:t>longer</w:t>
      </w:r>
      <w:r w:rsidR="00EE4FC3">
        <w:t xml:space="preserve"> </w:t>
      </w:r>
      <w:r w:rsidRPr="00382917">
        <w:t>separate</w:t>
      </w:r>
      <w:r w:rsidR="00EE4FC3">
        <w:t xml:space="preserve"> </w:t>
      </w:r>
      <w:r w:rsidRPr="00382917">
        <w:t>comets,</w:t>
      </w:r>
      <w:r w:rsidR="00EE4FC3">
        <w:t xml:space="preserve"> </w:t>
      </w:r>
      <w:r w:rsidRPr="00382917">
        <w:t>but</w:t>
      </w:r>
      <w:r w:rsidR="00EE4FC3">
        <w:t xml:space="preserve"> </w:t>
      </w:r>
      <w:r w:rsidRPr="00382917">
        <w:t>were</w:t>
      </w:r>
      <w:r w:rsidR="00EE4FC3">
        <w:t xml:space="preserve"> </w:t>
      </w:r>
      <w:r w:rsidRPr="00382917">
        <w:t>mingled</w:t>
      </w:r>
      <w:r w:rsidR="00EE4FC3">
        <w:t xml:space="preserve"> </w:t>
      </w:r>
      <w:r w:rsidRPr="00382917">
        <w:t>in</w:t>
      </w:r>
      <w:r w:rsidR="00EE4FC3">
        <w:t xml:space="preserve"> </w:t>
      </w:r>
      <w:r w:rsidRPr="00382917">
        <w:t>one</w:t>
      </w:r>
      <w:r w:rsidR="00EE4FC3">
        <w:t xml:space="preserve"> </w:t>
      </w:r>
      <w:r w:rsidRPr="00382917">
        <w:t>great</w:t>
      </w:r>
      <w:r w:rsidR="00EE4FC3">
        <w:t xml:space="preserve"> </w:t>
      </w:r>
      <w:r w:rsidRPr="00382917">
        <w:t>shower</w:t>
      </w:r>
      <w:r w:rsidR="00EE4FC3">
        <w:t xml:space="preserve"> </w:t>
      </w:r>
      <w:r w:rsidRPr="00382917">
        <w:t>of</w:t>
      </w:r>
      <w:r w:rsidR="00EE4FC3">
        <w:t xml:space="preserve"> </w:t>
      </w:r>
      <w:r w:rsidRPr="00382917">
        <w:t>light,</w:t>
      </w:r>
      <w:r w:rsidR="00EE4FC3">
        <w:t xml:space="preserve"> </w:t>
      </w:r>
      <w:r w:rsidRPr="00382917">
        <w:t>just</w:t>
      </w:r>
      <w:r w:rsidR="00EE4FC3">
        <w:t xml:space="preserve"> </w:t>
      </w:r>
      <w:r w:rsidRPr="00382917">
        <w:t>as</w:t>
      </w:r>
      <w:r w:rsidR="00EE4FC3">
        <w:t xml:space="preserve"> </w:t>
      </w:r>
      <w:r w:rsidRPr="00382917">
        <w:t>the</w:t>
      </w:r>
      <w:r w:rsidR="00EE4FC3">
        <w:t xml:space="preserve"> </w:t>
      </w:r>
      <w:r w:rsidRPr="00382917">
        <w:t>Faith</w:t>
      </w:r>
      <w:r w:rsidR="00EE4FC3">
        <w:t xml:space="preserve"> </w:t>
      </w:r>
      <w:r w:rsidRPr="00382917">
        <w:t>of</w:t>
      </w:r>
      <w:r w:rsidR="00EE4FC3">
        <w:t xml:space="preserve"> </w:t>
      </w:r>
      <w:r w:rsidRPr="00382917">
        <w:t>the</w:t>
      </w:r>
      <w:r w:rsidR="00EE4FC3">
        <w:t xml:space="preserve"> </w:t>
      </w:r>
      <w:r w:rsidRPr="00382917">
        <w:t>Báb</w:t>
      </w:r>
      <w:r w:rsidR="00EE4FC3">
        <w:t xml:space="preserve"> </w:t>
      </w:r>
      <w:r w:rsidRPr="00382917">
        <w:t>and</w:t>
      </w:r>
      <w:r w:rsidR="00EE4FC3">
        <w:t xml:space="preserve"> </w:t>
      </w:r>
      <w:r w:rsidRPr="00382917">
        <w:t>Bahá</w:t>
      </w:r>
      <w:r w:rsidR="009C713D" w:rsidRPr="00382917">
        <w:t>’</w:t>
      </w:r>
      <w:r w:rsidRPr="00382917">
        <w:t>u</w:t>
      </w:r>
      <w:r w:rsidR="009C713D" w:rsidRPr="00382917">
        <w:t>’</w:t>
      </w:r>
      <w:r w:rsidRPr="00382917">
        <w:t>lláh</w:t>
      </w:r>
      <w:r w:rsidR="00EE4FC3">
        <w:t xml:space="preserve"> </w:t>
      </w:r>
      <w:r w:rsidRPr="00382917">
        <w:t>are</w:t>
      </w:r>
      <w:r w:rsidR="00EE4FC3">
        <w:t xml:space="preserve"> </w:t>
      </w:r>
      <w:r w:rsidRPr="00382917">
        <w:t>not</w:t>
      </w:r>
      <w:r w:rsidR="00EE4FC3">
        <w:t xml:space="preserve"> </w:t>
      </w:r>
      <w:r w:rsidRPr="00382917">
        <w:t>separate</w:t>
      </w:r>
      <w:r w:rsidR="00EE4FC3">
        <w:t xml:space="preserve"> </w:t>
      </w:r>
      <w:r w:rsidRPr="00382917">
        <w:t>but</w:t>
      </w:r>
      <w:r w:rsidR="00EE4FC3">
        <w:t xml:space="preserve"> </w:t>
      </w:r>
      <w:r w:rsidRPr="00382917">
        <w:t>one</w:t>
      </w:r>
      <w:r w:rsidR="00EE4FC3">
        <w:t xml:space="preserve"> </w:t>
      </w:r>
      <w:r w:rsidRPr="00382917">
        <w:t>in</w:t>
      </w:r>
      <w:r w:rsidR="00EE4FC3">
        <w:t xml:space="preserve"> </w:t>
      </w:r>
      <w:r w:rsidRPr="00382917">
        <w:t>the</w:t>
      </w:r>
      <w:r w:rsidR="00EE4FC3">
        <w:t xml:space="preserve"> </w:t>
      </w:r>
      <w:r w:rsidRPr="00382917">
        <w:t>light</w:t>
      </w:r>
      <w:r w:rsidR="00EE4FC3">
        <w:t xml:space="preserve"> </w:t>
      </w:r>
      <w:r w:rsidRPr="00382917">
        <w:t>which</w:t>
      </w:r>
      <w:r w:rsidR="00EE4FC3">
        <w:t xml:space="preserve"> </w:t>
      </w:r>
      <w:r w:rsidRPr="00382917">
        <w:t>they</w:t>
      </w:r>
      <w:r w:rsidR="00EE4FC3">
        <w:t xml:space="preserve"> </w:t>
      </w:r>
      <w:r w:rsidRPr="00382917">
        <w:t>shed</w:t>
      </w:r>
      <w:r w:rsidR="00EE4FC3">
        <w:t xml:space="preserve"> </w:t>
      </w:r>
      <w:r w:rsidRPr="00382917">
        <w:t>upon</w:t>
      </w:r>
      <w:r w:rsidR="00EE4FC3">
        <w:t xml:space="preserve"> </w:t>
      </w:r>
      <w:r w:rsidRPr="00382917">
        <w:t>the</w:t>
      </w:r>
      <w:r w:rsidR="00EE4FC3">
        <w:t xml:space="preserve"> </w:t>
      </w:r>
      <w:r w:rsidRPr="00382917">
        <w:t>earth.</w:t>
      </w:r>
      <w:r w:rsidR="00307488" w:rsidRPr="00382917">
        <w:rPr>
          <w:sz w:val="12"/>
          <w:szCs w:val="12"/>
        </w:rPr>
        <w:fldChar w:fldCharType="begin"/>
      </w:r>
      <w:proofErr w:type="gramStart"/>
      <w:r w:rsidR="00307488">
        <w:rPr>
          <w:sz w:val="12"/>
          <w:szCs w:val="12"/>
        </w:rPr>
        <w:instrText xml:space="preserve"> </w:instrText>
      </w:r>
      <w:proofErr w:type="gramEnd"/>
      <w:r w:rsidR="00307488" w:rsidRPr="00382917">
        <w:rPr>
          <w:sz w:val="12"/>
          <w:szCs w:val="12"/>
        </w:rPr>
        <w:instrText>TC</w:instrText>
      </w:r>
      <w:r w:rsidR="00307488">
        <w:rPr>
          <w:sz w:val="12"/>
          <w:szCs w:val="12"/>
        </w:rPr>
        <w:instrText xml:space="preserve">  </w:instrText>
      </w:r>
      <w:r w:rsidR="00307488" w:rsidRPr="00382917">
        <w:rPr>
          <w:sz w:val="12"/>
          <w:szCs w:val="12"/>
        </w:rPr>
        <w:instrText>“</w:instrText>
      </w:r>
      <w:bookmarkStart w:id="26" w:name="_Toc206658622"/>
      <w:r w:rsidR="00307488">
        <w:rPr>
          <w:sz w:val="12"/>
          <w:szCs w:val="12"/>
        </w:rPr>
        <w:instrText>Note 5</w:instrText>
      </w:r>
      <w:r w:rsidR="00307488" w:rsidRPr="00382917">
        <w:rPr>
          <w:color w:val="FFFFFF" w:themeColor="background1"/>
          <w:sz w:val="12"/>
          <w:szCs w:val="12"/>
        </w:rPr>
        <w:instrText>..</w:instrText>
      </w:r>
      <w:r w:rsidR="00307488" w:rsidRPr="00382917">
        <w:rPr>
          <w:sz w:val="12"/>
          <w:szCs w:val="12"/>
        </w:rPr>
        <w:tab/>
      </w:r>
      <w:r w:rsidR="00307488" w:rsidRPr="00382917">
        <w:rPr>
          <w:color w:val="FFFFFF" w:themeColor="background1"/>
          <w:sz w:val="12"/>
          <w:szCs w:val="12"/>
        </w:rPr>
        <w:instrText>.</w:instrText>
      </w:r>
      <w:bookmarkEnd w:id="26"/>
      <w:proofErr w:type="gramStart"/>
      <w:r w:rsidR="00307488" w:rsidRPr="00382917">
        <w:rPr>
          <w:sz w:val="12"/>
          <w:szCs w:val="12"/>
        </w:rPr>
        <w:instrText>”</w:instrText>
      </w:r>
      <w:r w:rsidR="00307488">
        <w:rPr>
          <w:sz w:val="12"/>
          <w:szCs w:val="12"/>
        </w:rPr>
        <w:instrText xml:space="preserve"> </w:instrText>
      </w:r>
      <w:proofErr w:type="gramEnd"/>
      <w:r w:rsidR="00307488" w:rsidRPr="00382917">
        <w:rPr>
          <w:sz w:val="12"/>
          <w:szCs w:val="12"/>
        </w:rPr>
        <w:instrText>\l</w:instrText>
      </w:r>
      <w:r w:rsidR="00307488">
        <w:rPr>
          <w:sz w:val="12"/>
          <w:szCs w:val="12"/>
        </w:rPr>
        <w:instrText xml:space="preserve"> 3 </w:instrText>
      </w:r>
      <w:r w:rsidR="00307488" w:rsidRPr="00382917">
        <w:rPr>
          <w:sz w:val="12"/>
          <w:szCs w:val="12"/>
        </w:rPr>
        <w:fldChar w:fldCharType="end"/>
      </w:r>
    </w:p>
    <w:p w:rsidR="001D303F" w:rsidRDefault="001D303F" w:rsidP="001D303F"/>
    <w:p w:rsidR="001D303F" w:rsidRPr="001D303F" w:rsidRDefault="001D303F" w:rsidP="001D303F"/>
    <w:p w:rsidR="006E4F81" w:rsidRPr="00382917" w:rsidRDefault="006E4F81" w:rsidP="00307488">
      <w:pPr>
        <w:pStyle w:val="Myheadc"/>
      </w:pPr>
      <w:r w:rsidRPr="00382917">
        <w:t>N</w:t>
      </w:r>
      <w:r w:rsidR="00417538" w:rsidRPr="00382917">
        <w:t>ote</w:t>
      </w:r>
      <w:r w:rsidR="00EE4FC3">
        <w:t xml:space="preserve"> </w:t>
      </w:r>
      <w:r w:rsidR="00417538">
        <w:t>4</w:t>
      </w:r>
    </w:p>
    <w:p w:rsidR="006E4F81" w:rsidRPr="00382917" w:rsidRDefault="006E4F81" w:rsidP="00307488">
      <w:pPr>
        <w:pStyle w:val="Text"/>
      </w:pPr>
      <w:r w:rsidRPr="00382917">
        <w:t>The</w:t>
      </w:r>
      <w:r w:rsidR="00EE4FC3">
        <w:t xml:space="preserve"> </w:t>
      </w:r>
      <w:r w:rsidRPr="00382917">
        <w:t>Báb</w:t>
      </w:r>
      <w:r w:rsidR="00EE4FC3">
        <w:t xml:space="preserve"> </w:t>
      </w:r>
      <w:r w:rsidRPr="00382917">
        <w:t>was</w:t>
      </w:r>
      <w:r w:rsidR="00EE4FC3">
        <w:t xml:space="preserve"> </w:t>
      </w:r>
      <w:r w:rsidRPr="00382917">
        <w:t>from</w:t>
      </w:r>
      <w:r w:rsidR="00EE4FC3">
        <w:t xml:space="preserve"> </w:t>
      </w:r>
      <w:r w:rsidRPr="00382917">
        <w:t>the</w:t>
      </w:r>
      <w:r w:rsidR="00EE4FC3">
        <w:t xml:space="preserve"> </w:t>
      </w:r>
      <w:r w:rsidRPr="00382917">
        <w:t>line</w:t>
      </w:r>
      <w:r w:rsidR="00EE4FC3">
        <w:t xml:space="preserve"> </w:t>
      </w:r>
      <w:r w:rsidRPr="00382917">
        <w:t>of</w:t>
      </w:r>
      <w:r w:rsidR="00EE4FC3">
        <w:t xml:space="preserve"> </w:t>
      </w:r>
      <w:r w:rsidRPr="00382917">
        <w:t>Ban</w:t>
      </w:r>
      <w:r w:rsidR="00307488" w:rsidRPr="00307488">
        <w:t>í</w:t>
      </w:r>
      <w:r w:rsidRPr="00382917">
        <w:t>-</w:t>
      </w:r>
      <w:r w:rsidR="00552489" w:rsidRPr="00382917">
        <w:t>Há</w:t>
      </w:r>
      <w:r w:rsidR="00552489" w:rsidRPr="00552489">
        <w:rPr>
          <w:u w:val="single"/>
        </w:rPr>
        <w:t>sh</w:t>
      </w:r>
      <w:r w:rsidR="00552489" w:rsidRPr="00382917">
        <w:t>im</w:t>
      </w:r>
      <w:r w:rsidR="00552489">
        <w:t>.</w:t>
      </w:r>
      <w:r w:rsidR="00EE4FC3">
        <w:t xml:space="preserve">  </w:t>
      </w:r>
      <w:r w:rsidR="00552489" w:rsidRPr="00382917">
        <w:t>Há</w:t>
      </w:r>
      <w:r w:rsidR="00552489" w:rsidRPr="00552489">
        <w:rPr>
          <w:u w:val="single"/>
        </w:rPr>
        <w:t>sh</w:t>
      </w:r>
      <w:r w:rsidR="00552489" w:rsidRPr="00382917">
        <w:t>im</w:t>
      </w:r>
      <w:r w:rsidR="00EE4FC3">
        <w:t xml:space="preserve"> </w:t>
      </w:r>
      <w:r w:rsidRPr="00382917">
        <w:t>was</w:t>
      </w:r>
      <w:r w:rsidR="00EE4FC3">
        <w:t xml:space="preserve"> </w:t>
      </w:r>
      <w:r w:rsidRPr="00382917">
        <w:t>the</w:t>
      </w:r>
      <w:r w:rsidR="00EE4FC3">
        <w:t xml:space="preserve"> </w:t>
      </w:r>
      <w:r w:rsidRPr="00382917">
        <w:t>great-grandfather</w:t>
      </w:r>
      <w:r w:rsidR="00EE4FC3">
        <w:t xml:space="preserve"> </w:t>
      </w:r>
      <w:r w:rsidRPr="00382917">
        <w:t>of</w:t>
      </w:r>
      <w:r w:rsidR="00EE4FC3">
        <w:t xml:space="preserve"> </w:t>
      </w:r>
      <w:r w:rsidR="0040329F" w:rsidRPr="00382917">
        <w:t>Mu</w:t>
      </w:r>
      <w:r w:rsidR="0040329F" w:rsidRPr="0040329F">
        <w:t>ḥ</w:t>
      </w:r>
      <w:r w:rsidR="0040329F" w:rsidRPr="00382917">
        <w:t>ammad</w:t>
      </w:r>
      <w:r w:rsidRPr="00382917">
        <w:t>.</w:t>
      </w:r>
      <w:r w:rsidR="00307488">
        <w:rPr>
          <w:rStyle w:val="FootnoteReference"/>
        </w:rPr>
        <w:footnoteReference w:id="364"/>
      </w:r>
    </w:p>
    <w:p w:rsidR="006E4F81" w:rsidRPr="00382917" w:rsidRDefault="006E4F81" w:rsidP="00D15050">
      <w:pPr>
        <w:pStyle w:val="Text"/>
      </w:pPr>
      <w:r w:rsidRPr="00382917">
        <w:t>The</w:t>
      </w:r>
      <w:r w:rsidR="00EE4FC3">
        <w:t xml:space="preserve"> </w:t>
      </w:r>
      <w:r w:rsidRPr="00382917">
        <w:t>Báb</w:t>
      </w:r>
      <w:r w:rsidR="00EE4FC3">
        <w:t xml:space="preserve"> </w:t>
      </w:r>
      <w:r w:rsidRPr="00382917">
        <w:t>was</w:t>
      </w:r>
      <w:r w:rsidR="00EE4FC3">
        <w:t xml:space="preserve"> </w:t>
      </w:r>
      <w:r w:rsidRPr="00382917">
        <w:t>also</w:t>
      </w:r>
      <w:r w:rsidR="00EE4FC3">
        <w:t xml:space="preserve"> </w:t>
      </w:r>
      <w:r w:rsidRPr="00382917">
        <w:t>a</w:t>
      </w:r>
      <w:r w:rsidR="00EE4FC3">
        <w:t xml:space="preserve"> </w:t>
      </w:r>
      <w:r w:rsidRPr="00382917">
        <w:t>descendant</w:t>
      </w:r>
      <w:r w:rsidR="00EE4FC3">
        <w:t xml:space="preserve"> </w:t>
      </w:r>
      <w:r w:rsidRPr="00382917">
        <w:t>of</w:t>
      </w:r>
      <w:r w:rsidR="00EE4FC3">
        <w:t xml:space="preserve"> </w:t>
      </w:r>
      <w:r w:rsidRPr="00382917">
        <w:t>Abraham</w:t>
      </w:r>
      <w:r w:rsidR="00EE4FC3">
        <w:t xml:space="preserve"> </w:t>
      </w:r>
      <w:r w:rsidRPr="00382917">
        <w:t>through</w:t>
      </w:r>
      <w:r w:rsidR="00EE4FC3">
        <w:t xml:space="preserve"> </w:t>
      </w:r>
      <w:r w:rsidRPr="00382917">
        <w:t>Abraham</w:t>
      </w:r>
      <w:r w:rsidR="009C713D" w:rsidRPr="00382917">
        <w:t>’</w:t>
      </w:r>
      <w:r w:rsidRPr="00382917">
        <w:t>s</w:t>
      </w:r>
      <w:r w:rsidR="00EE4FC3">
        <w:t xml:space="preserve"> </w:t>
      </w:r>
      <w:r w:rsidRPr="00382917">
        <w:t>second</w:t>
      </w:r>
      <w:r w:rsidR="00EE4FC3">
        <w:t xml:space="preserve"> </w:t>
      </w:r>
      <w:r w:rsidRPr="00382917">
        <w:t>wife,</w:t>
      </w:r>
      <w:r w:rsidR="00EE4FC3">
        <w:t xml:space="preserve"> </w:t>
      </w:r>
      <w:r w:rsidRPr="00382917">
        <w:t>Hagar</w:t>
      </w:r>
      <w:r w:rsidR="00552489">
        <w:t>.</w:t>
      </w:r>
      <w:r w:rsidR="00EE4FC3">
        <w:t xml:space="preserve">  </w:t>
      </w:r>
      <w:r w:rsidRPr="00382917">
        <w:t>The</w:t>
      </w:r>
      <w:r w:rsidR="00EE4FC3">
        <w:t xml:space="preserve"> </w:t>
      </w:r>
      <w:r w:rsidRPr="00382917">
        <w:t>Báb</w:t>
      </w:r>
      <w:r w:rsidR="00EE4FC3">
        <w:t xml:space="preserve"> </w:t>
      </w:r>
      <w:r w:rsidRPr="00382917">
        <w:t>was</w:t>
      </w:r>
      <w:r w:rsidR="00EE4FC3">
        <w:t xml:space="preserve"> </w:t>
      </w:r>
      <w:r w:rsidRPr="00382917">
        <w:t>of</w:t>
      </w:r>
      <w:r w:rsidR="00EE4FC3">
        <w:t xml:space="preserve"> </w:t>
      </w:r>
      <w:r w:rsidRPr="00382917">
        <w:t>the</w:t>
      </w:r>
      <w:r w:rsidR="00EE4FC3">
        <w:t xml:space="preserve"> </w:t>
      </w:r>
      <w:r w:rsidRPr="00382917">
        <w:t>seed</w:t>
      </w:r>
      <w:r w:rsidR="00EE4FC3">
        <w:t xml:space="preserve"> </w:t>
      </w:r>
      <w:r w:rsidRPr="00382917">
        <w:t>of</w:t>
      </w:r>
      <w:r w:rsidR="00EE4FC3">
        <w:t xml:space="preserve"> </w:t>
      </w:r>
      <w:r w:rsidRPr="00382917">
        <w:t>[Ismá</w:t>
      </w:r>
      <w:r w:rsidR="009C713D" w:rsidRPr="00382917">
        <w:t>‘</w:t>
      </w:r>
      <w:r w:rsidRPr="00382917">
        <w:t>íl],</w:t>
      </w:r>
      <w:r w:rsidR="00EE4FC3">
        <w:t xml:space="preserve"> </w:t>
      </w:r>
      <w:r w:rsidRPr="00382917">
        <w:t>and</w:t>
      </w:r>
      <w:r w:rsidR="00EE4FC3">
        <w:t xml:space="preserve"> </w:t>
      </w:r>
      <w:r w:rsidRPr="00382917">
        <w:t>through</w:t>
      </w:r>
      <w:r w:rsidR="00EE4FC3">
        <w:t xml:space="preserve"> </w:t>
      </w:r>
      <w:r w:rsidRPr="00382917">
        <w:t>him</w:t>
      </w:r>
      <w:r w:rsidR="00EE4FC3">
        <w:t xml:space="preserve"> </w:t>
      </w:r>
      <w:r w:rsidRPr="00382917">
        <w:t>of</w:t>
      </w:r>
      <w:r w:rsidR="00EE4FC3">
        <w:t xml:space="preserve"> </w:t>
      </w:r>
      <w:r w:rsidRPr="00382917">
        <w:t>the</w:t>
      </w:r>
      <w:r w:rsidR="00EE4FC3">
        <w:t xml:space="preserve"> </w:t>
      </w:r>
      <w:r w:rsidR="009C713D" w:rsidRPr="00382917">
        <w:t>“</w:t>
      </w:r>
      <w:r w:rsidRPr="00382917">
        <w:t>seed</w:t>
      </w:r>
      <w:r w:rsidR="00EE4FC3">
        <w:t xml:space="preserve"> </w:t>
      </w:r>
      <w:r w:rsidRPr="00382917">
        <w:t>of</w:t>
      </w:r>
      <w:r w:rsidR="00EE4FC3">
        <w:t xml:space="preserve"> </w:t>
      </w:r>
      <w:r w:rsidRPr="00382917">
        <w:t>Abraham</w:t>
      </w:r>
      <w:r w:rsidR="009C713D" w:rsidRPr="00382917">
        <w:t>”</w:t>
      </w:r>
      <w:r w:rsidR="00D15050">
        <w:t>.</w:t>
      </w:r>
    </w:p>
    <w:p w:rsidR="006E4F81" w:rsidRPr="00382917" w:rsidRDefault="006E4F81" w:rsidP="00E63D4E">
      <w:pPr>
        <w:pStyle w:val="Text"/>
      </w:pPr>
      <w:r w:rsidRPr="00382917">
        <w:t>When</w:t>
      </w:r>
      <w:r w:rsidR="00EE4FC3">
        <w:t xml:space="preserve"> </w:t>
      </w:r>
      <w:r w:rsidRPr="00382917">
        <w:t>Abraham,</w:t>
      </w:r>
      <w:r w:rsidR="00EE4FC3">
        <w:t xml:space="preserve"> </w:t>
      </w:r>
      <w:r w:rsidRPr="00382917">
        <w:t>as</w:t>
      </w:r>
      <w:r w:rsidR="00EE4FC3">
        <w:t xml:space="preserve"> </w:t>
      </w:r>
      <w:r w:rsidRPr="00382917">
        <w:t>is</w:t>
      </w:r>
      <w:r w:rsidR="00EE4FC3">
        <w:t xml:space="preserve"> </w:t>
      </w:r>
      <w:r w:rsidRPr="00382917">
        <w:t>related</w:t>
      </w:r>
      <w:r w:rsidR="00EE4FC3">
        <w:t xml:space="preserve"> </w:t>
      </w:r>
      <w:r w:rsidRPr="00382917">
        <w:t>in</w:t>
      </w:r>
      <w:r w:rsidR="00EE4FC3">
        <w:t xml:space="preserve"> </w:t>
      </w:r>
      <w:r w:rsidRPr="00382917">
        <w:t>the</w:t>
      </w:r>
      <w:r w:rsidR="00EE4FC3">
        <w:t xml:space="preserve"> </w:t>
      </w:r>
      <w:r w:rsidRPr="00382917">
        <w:t>book</w:t>
      </w:r>
      <w:r w:rsidR="00EE4FC3">
        <w:t xml:space="preserve"> </w:t>
      </w:r>
      <w:r w:rsidRPr="00382917">
        <w:t>of</w:t>
      </w:r>
      <w:r w:rsidR="00EE4FC3">
        <w:t xml:space="preserve"> </w:t>
      </w:r>
      <w:r w:rsidRPr="00382917">
        <w:t>Genesis,</w:t>
      </w:r>
      <w:r w:rsidR="00EE4FC3">
        <w:t xml:space="preserve"> </w:t>
      </w:r>
      <w:r w:rsidRPr="00382917">
        <w:t>said</w:t>
      </w:r>
      <w:r w:rsidR="00EE4FC3">
        <w:t xml:space="preserve"> </w:t>
      </w:r>
      <w:r w:rsidRPr="00382917">
        <w:t>unto</w:t>
      </w:r>
      <w:r w:rsidR="00EE4FC3">
        <w:t xml:space="preserve"> </w:t>
      </w:r>
      <w:r w:rsidRPr="00382917">
        <w:t>God</w:t>
      </w:r>
      <w:r w:rsidR="00C03C91">
        <w:t>:</w:t>
      </w:r>
      <w:r w:rsidR="00EE4FC3">
        <w:t xml:space="preserve">  </w:t>
      </w:r>
      <w:r w:rsidR="009C713D" w:rsidRPr="00382917">
        <w:t>“</w:t>
      </w:r>
      <w:r w:rsidR="00D15050">
        <w:t>O</w:t>
      </w:r>
      <w:r w:rsidR="00EE4FC3">
        <w:t xml:space="preserve"> </w:t>
      </w:r>
      <w:r w:rsidRPr="00382917">
        <w:t>that</w:t>
      </w:r>
      <w:r w:rsidR="00EE4FC3">
        <w:t xml:space="preserve"> </w:t>
      </w:r>
      <w:r w:rsidRPr="00382917">
        <w:t>Ishmael</w:t>
      </w:r>
      <w:r w:rsidR="00EE4FC3">
        <w:t xml:space="preserve"> </w:t>
      </w:r>
      <w:r w:rsidRPr="00382917">
        <w:t>might</w:t>
      </w:r>
      <w:r w:rsidR="00EE4FC3">
        <w:t xml:space="preserve"> </w:t>
      </w:r>
      <w:r w:rsidRPr="00382917">
        <w:t>live</w:t>
      </w:r>
      <w:r w:rsidR="00EE4FC3">
        <w:t xml:space="preserve"> </w:t>
      </w:r>
      <w:r w:rsidRPr="00382917">
        <w:t>before</w:t>
      </w:r>
      <w:r w:rsidR="00EE4FC3">
        <w:t xml:space="preserve"> </w:t>
      </w:r>
      <w:r w:rsidRPr="00382917">
        <w:t>Thee</w:t>
      </w:r>
      <w:r w:rsidR="00E63D4E">
        <w:t>.</w:t>
      </w:r>
      <w:r w:rsidR="009C713D" w:rsidRPr="00382917">
        <w:t>”</w:t>
      </w:r>
      <w:r w:rsidR="00EE4FC3">
        <w:t xml:space="preserve"> </w:t>
      </w:r>
      <w:r w:rsidR="00E63D4E">
        <w:t xml:space="preserve"> </w:t>
      </w:r>
      <w:r w:rsidRPr="00382917">
        <w:t>God</w:t>
      </w:r>
      <w:r w:rsidR="00EE4FC3">
        <w:t xml:space="preserve"> </w:t>
      </w:r>
      <w:r w:rsidRPr="00382917">
        <w:t>replied</w:t>
      </w:r>
      <w:r w:rsidR="00C03C91">
        <w:t>:</w:t>
      </w:r>
      <w:r w:rsidR="00EE4FC3">
        <w:t xml:space="preserve">  </w:t>
      </w:r>
      <w:r w:rsidR="009C713D" w:rsidRPr="00382917">
        <w:t>“</w:t>
      </w:r>
      <w:r w:rsidRPr="00382917">
        <w:t>And</w:t>
      </w:r>
      <w:r w:rsidR="00EE4FC3">
        <w:t xml:space="preserve"> </w:t>
      </w:r>
      <w:r w:rsidRPr="00382917">
        <w:t>as</w:t>
      </w:r>
      <w:r w:rsidR="00EE4FC3">
        <w:t xml:space="preserve"> </w:t>
      </w:r>
      <w:r w:rsidRPr="00382917">
        <w:t>for</w:t>
      </w:r>
      <w:r w:rsidR="00EE4FC3">
        <w:t xml:space="preserve"> </w:t>
      </w:r>
      <w:r w:rsidRPr="00382917">
        <w:t>Ishmael,</w:t>
      </w:r>
      <w:r w:rsidR="00EE4FC3">
        <w:t xml:space="preserve"> </w:t>
      </w:r>
      <w:r w:rsidRPr="00382917">
        <w:t>I</w:t>
      </w:r>
      <w:r w:rsidR="00EE4FC3">
        <w:t xml:space="preserve"> </w:t>
      </w:r>
      <w:r w:rsidRPr="00382917">
        <w:t>have</w:t>
      </w:r>
      <w:r w:rsidR="00EE4FC3">
        <w:t xml:space="preserve"> </w:t>
      </w:r>
      <w:r w:rsidRPr="00382917">
        <w:t>heard</w:t>
      </w:r>
      <w:r w:rsidR="00EE4FC3">
        <w:t xml:space="preserve"> </w:t>
      </w:r>
      <w:r w:rsidRPr="00382917">
        <w:t>thee</w:t>
      </w:r>
      <w:r w:rsidR="00C03C91">
        <w:t>:</w:t>
      </w:r>
      <w:r w:rsidR="00EE4FC3">
        <w:t xml:space="preserve">  </w:t>
      </w:r>
      <w:r w:rsidRPr="00382917">
        <w:t>Behold,</w:t>
      </w:r>
      <w:r w:rsidR="00EE4FC3">
        <w:t xml:space="preserve"> </w:t>
      </w:r>
      <w:r w:rsidRPr="00382917">
        <w:t>I</w:t>
      </w:r>
      <w:r w:rsidR="00EE4FC3">
        <w:t xml:space="preserve"> </w:t>
      </w:r>
      <w:r w:rsidRPr="00382917">
        <w:t>have</w:t>
      </w:r>
      <w:r w:rsidR="00EE4FC3">
        <w:t xml:space="preserve"> </w:t>
      </w:r>
      <w:r w:rsidRPr="00382917">
        <w:t>blessed</w:t>
      </w:r>
      <w:r w:rsidR="00EE4FC3">
        <w:t xml:space="preserve"> </w:t>
      </w:r>
      <w:r w:rsidRPr="00382917">
        <w:t>him,</w:t>
      </w:r>
      <w:r w:rsidR="00EE4FC3">
        <w:t xml:space="preserve"> </w:t>
      </w:r>
      <w:r w:rsidRPr="00382917">
        <w:t>and</w:t>
      </w:r>
      <w:r w:rsidR="00EE4FC3">
        <w:t xml:space="preserve"> </w:t>
      </w:r>
      <w:r w:rsidRPr="00382917">
        <w:t>will</w:t>
      </w:r>
      <w:r w:rsidR="00EE4FC3">
        <w:t xml:space="preserve"> </w:t>
      </w:r>
      <w:r w:rsidRPr="00382917">
        <w:t>make</w:t>
      </w:r>
      <w:r w:rsidR="00EE4FC3">
        <w:t xml:space="preserve"> </w:t>
      </w:r>
      <w:r w:rsidRPr="00382917">
        <w:t>him</w:t>
      </w:r>
      <w:r w:rsidR="00EE4FC3">
        <w:t xml:space="preserve"> </w:t>
      </w:r>
      <w:r w:rsidRPr="00382917">
        <w:t>fruitful,</w:t>
      </w:r>
      <w:r w:rsidR="00EE4FC3">
        <w:t xml:space="preserve"> </w:t>
      </w:r>
      <w:r w:rsidRPr="00382917">
        <w:t>and</w:t>
      </w:r>
      <w:r w:rsidR="00EE4FC3">
        <w:t xml:space="preserve"> </w:t>
      </w:r>
      <w:r w:rsidRPr="00382917">
        <w:t>will</w:t>
      </w:r>
      <w:r w:rsidR="00EE4FC3">
        <w:t xml:space="preserve"> </w:t>
      </w:r>
      <w:r w:rsidRPr="00382917">
        <w:t>multiply</w:t>
      </w:r>
      <w:r w:rsidR="00EE4FC3">
        <w:t xml:space="preserve"> </w:t>
      </w:r>
      <w:r w:rsidRPr="00382917">
        <w:t>him</w:t>
      </w:r>
      <w:r w:rsidR="00EE4FC3">
        <w:t xml:space="preserve"> </w:t>
      </w:r>
      <w:r w:rsidRPr="00382917">
        <w:t>exceedingly;</w:t>
      </w:r>
      <w:r w:rsidR="00EE4FC3">
        <w:t xml:space="preserve"> </w:t>
      </w:r>
      <w:r w:rsidRPr="00382917">
        <w:t>twelve</w:t>
      </w:r>
      <w:r w:rsidR="00EE4FC3">
        <w:t xml:space="preserve"> </w:t>
      </w:r>
      <w:r w:rsidRPr="00382917">
        <w:t>princes</w:t>
      </w:r>
      <w:r w:rsidR="00EE4FC3">
        <w:t xml:space="preserve"> </w:t>
      </w:r>
      <w:r w:rsidRPr="00382917">
        <w:t>shall</w:t>
      </w:r>
      <w:r w:rsidR="00EE4FC3">
        <w:t xml:space="preserve"> </w:t>
      </w:r>
      <w:r w:rsidRPr="00382917">
        <w:t>he</w:t>
      </w:r>
      <w:r w:rsidR="00EE4FC3">
        <w:t xml:space="preserve"> </w:t>
      </w:r>
      <w:r w:rsidRPr="00382917">
        <w:t>beget,</w:t>
      </w:r>
      <w:r w:rsidR="00EE4FC3">
        <w:t xml:space="preserve"> </w:t>
      </w:r>
      <w:r w:rsidRPr="00382917">
        <w:t>and</w:t>
      </w:r>
      <w:r w:rsidR="00EE4FC3">
        <w:t xml:space="preserve"> </w:t>
      </w:r>
      <w:r w:rsidRPr="00382917">
        <w:t>I</w:t>
      </w:r>
      <w:r w:rsidR="00EE4FC3">
        <w:t xml:space="preserve"> </w:t>
      </w:r>
      <w:r w:rsidRPr="00382917">
        <w:t>will</w:t>
      </w:r>
      <w:r w:rsidR="00EE4FC3">
        <w:t xml:space="preserve"> </w:t>
      </w:r>
      <w:r w:rsidRPr="00382917">
        <w:t>make</w:t>
      </w:r>
      <w:r w:rsidR="00EE4FC3">
        <w:t xml:space="preserve"> </w:t>
      </w:r>
      <w:r w:rsidRPr="00382917">
        <w:t>of</w:t>
      </w:r>
      <w:r w:rsidR="00EE4FC3">
        <w:t xml:space="preserve"> </w:t>
      </w:r>
      <w:r w:rsidRPr="00382917">
        <w:t>him</w:t>
      </w:r>
      <w:r w:rsidR="00EE4FC3">
        <w:t xml:space="preserve"> </w:t>
      </w:r>
      <w:r w:rsidRPr="00382917">
        <w:t>a</w:t>
      </w:r>
      <w:r w:rsidR="00EE4FC3">
        <w:t xml:space="preserve"> </w:t>
      </w:r>
      <w:r w:rsidRPr="00382917">
        <w:t>great</w:t>
      </w:r>
      <w:r w:rsidR="00EE4FC3">
        <w:t xml:space="preserve"> </w:t>
      </w:r>
      <w:r w:rsidRPr="00382917">
        <w:t>nation.</w:t>
      </w:r>
      <w:r w:rsidR="009C713D" w:rsidRPr="00382917">
        <w:t>”</w:t>
      </w:r>
      <w:r w:rsidR="00E63D4E">
        <w:rPr>
          <w:rStyle w:val="FootnoteReference"/>
        </w:rPr>
        <w:footnoteReference w:id="365"/>
      </w:r>
    </w:p>
    <w:p w:rsidR="004C0EF8" w:rsidRPr="00382917" w:rsidRDefault="004C0EF8">
      <w:pPr>
        <w:widowControl/>
        <w:kinsoku/>
        <w:overflowPunct/>
        <w:textAlignment w:val="auto"/>
      </w:pPr>
      <w:r w:rsidRPr="00382917">
        <w:br w:type="page"/>
      </w:r>
    </w:p>
    <w:p w:rsidR="006E4F81" w:rsidRPr="00382917" w:rsidRDefault="006E4F81" w:rsidP="00A17F27">
      <w:pPr>
        <w:pStyle w:val="Text"/>
      </w:pPr>
      <w:r w:rsidRPr="00382917">
        <w:t>Mu</w:t>
      </w:r>
      <w:r w:rsidR="004C0EF8" w:rsidRPr="00382917">
        <w:t>ḥ</w:t>
      </w:r>
      <w:r w:rsidRPr="00382917">
        <w:t>ammad</w:t>
      </w:r>
      <w:r w:rsidR="00EE4FC3">
        <w:t xml:space="preserve"> </w:t>
      </w:r>
      <w:r w:rsidRPr="00382917">
        <w:t>was</w:t>
      </w:r>
      <w:r w:rsidR="00EE4FC3">
        <w:t xml:space="preserve"> </w:t>
      </w:r>
      <w:r w:rsidRPr="00382917">
        <w:t>a</w:t>
      </w:r>
      <w:r w:rsidR="00EE4FC3">
        <w:t xml:space="preserve"> </w:t>
      </w:r>
      <w:r w:rsidRPr="00382917">
        <w:t>descendant</w:t>
      </w:r>
      <w:r w:rsidR="00EE4FC3">
        <w:t xml:space="preserve"> </w:t>
      </w:r>
      <w:r w:rsidRPr="00382917">
        <w:t>of</w:t>
      </w:r>
      <w:r w:rsidR="00EE4FC3">
        <w:t xml:space="preserve"> </w:t>
      </w:r>
      <w:r w:rsidRPr="00382917">
        <w:t>Ismá</w:t>
      </w:r>
      <w:r w:rsidR="009C713D" w:rsidRPr="00382917">
        <w:t>‘</w:t>
      </w:r>
      <w:r w:rsidR="00552489" w:rsidRPr="00552489">
        <w:t>í</w:t>
      </w:r>
      <w:r w:rsidRPr="00382917">
        <w:t>l</w:t>
      </w:r>
      <w:r w:rsidR="00552489">
        <w:t>.</w:t>
      </w:r>
      <w:r w:rsidR="00EE4FC3">
        <w:t xml:space="preserve">  </w:t>
      </w:r>
      <w:r w:rsidRPr="00382917">
        <w:t>Through</w:t>
      </w:r>
      <w:r w:rsidR="00EE4FC3">
        <w:t xml:space="preserve"> </w:t>
      </w:r>
      <w:r w:rsidRPr="00382917">
        <w:t>Muḥammad</w:t>
      </w:r>
      <w:r w:rsidR="00EE4FC3">
        <w:t xml:space="preserve"> </w:t>
      </w:r>
      <w:r w:rsidRPr="00382917">
        <w:t>the</w:t>
      </w:r>
      <w:r w:rsidR="00EE4FC3">
        <w:t xml:space="preserve"> </w:t>
      </w:r>
      <w:r w:rsidRPr="00382917">
        <w:t>first</w:t>
      </w:r>
      <w:r w:rsidR="00EE4FC3">
        <w:t xml:space="preserve"> </w:t>
      </w:r>
      <w:r w:rsidRPr="00382917">
        <w:t>concept</w:t>
      </w:r>
      <w:r w:rsidR="00EE4FC3">
        <w:t xml:space="preserve"> </w:t>
      </w:r>
      <w:r w:rsidRPr="00382917">
        <w:t>of</w:t>
      </w:r>
      <w:r w:rsidR="00EE4FC3">
        <w:t xml:space="preserve"> </w:t>
      </w:r>
      <w:r w:rsidRPr="00382917">
        <w:t>nationhood</w:t>
      </w:r>
      <w:r w:rsidR="00EE4FC3">
        <w:t xml:space="preserve"> </w:t>
      </w:r>
      <w:r w:rsidRPr="00382917">
        <w:t>came</w:t>
      </w:r>
      <w:r w:rsidR="00EE4FC3">
        <w:t xml:space="preserve"> </w:t>
      </w:r>
      <w:r w:rsidRPr="00382917">
        <w:t>into</w:t>
      </w:r>
      <w:r w:rsidR="00EE4FC3">
        <w:t xml:space="preserve"> </w:t>
      </w:r>
      <w:r w:rsidRPr="00382917">
        <w:t>being</w:t>
      </w:r>
      <w:r w:rsidR="00552489">
        <w:t>.</w:t>
      </w:r>
      <w:r w:rsidR="00EE4FC3">
        <w:t xml:space="preserve">  </w:t>
      </w:r>
      <w:r w:rsidRPr="00382917">
        <w:t>The</w:t>
      </w:r>
      <w:r w:rsidR="00EE4FC3">
        <w:t xml:space="preserve"> </w:t>
      </w:r>
      <w:r w:rsidRPr="00382917">
        <w:t>first</w:t>
      </w:r>
      <w:r w:rsidR="00EE4FC3">
        <w:t xml:space="preserve"> </w:t>
      </w:r>
      <w:r w:rsidRPr="00382917">
        <w:t>great</w:t>
      </w:r>
      <w:r w:rsidR="00EE4FC3">
        <w:t xml:space="preserve"> </w:t>
      </w:r>
      <w:r w:rsidR="009C713D" w:rsidRPr="00382917">
        <w:t>“</w:t>
      </w:r>
      <w:r w:rsidRPr="00382917">
        <w:t>nation</w:t>
      </w:r>
      <w:r w:rsidR="009C713D" w:rsidRPr="00382917">
        <w:t>”</w:t>
      </w:r>
      <w:r w:rsidR="00EE4FC3">
        <w:t xml:space="preserve"> </w:t>
      </w:r>
      <w:r w:rsidRPr="00382917">
        <w:t>was</w:t>
      </w:r>
      <w:r w:rsidR="00EE4FC3">
        <w:t xml:space="preserve"> </w:t>
      </w:r>
      <w:r w:rsidRPr="00382917">
        <w:t>built</w:t>
      </w:r>
      <w:r w:rsidR="00EE4FC3">
        <w:t xml:space="preserve"> </w:t>
      </w:r>
      <w:r w:rsidRPr="00382917">
        <w:t>upon</w:t>
      </w:r>
      <w:r w:rsidR="00EE4FC3">
        <w:t xml:space="preserve"> </w:t>
      </w:r>
      <w:r w:rsidRPr="00382917">
        <w:t>His</w:t>
      </w:r>
      <w:r w:rsidR="00EE4FC3">
        <w:t xml:space="preserve"> </w:t>
      </w:r>
      <w:r w:rsidRPr="00382917">
        <w:t>teachings</w:t>
      </w:r>
      <w:r w:rsidR="00552489">
        <w:t>.</w:t>
      </w:r>
      <w:r w:rsidR="00EE4FC3">
        <w:t xml:space="preserve">  </w:t>
      </w:r>
      <w:r w:rsidRPr="00382917">
        <w:t>God</w:t>
      </w:r>
      <w:r w:rsidR="009C713D" w:rsidRPr="00382917">
        <w:t>’</w:t>
      </w:r>
      <w:r w:rsidRPr="00382917">
        <w:t>s</w:t>
      </w:r>
      <w:r w:rsidR="00EE4FC3">
        <w:t xml:space="preserve"> </w:t>
      </w:r>
      <w:r w:rsidRPr="00382917">
        <w:t>promise</w:t>
      </w:r>
      <w:r w:rsidR="00EE4FC3">
        <w:t xml:space="preserve"> </w:t>
      </w:r>
      <w:r w:rsidRPr="00382917">
        <w:t>of</w:t>
      </w:r>
      <w:r w:rsidR="00EE4FC3">
        <w:t xml:space="preserve"> </w:t>
      </w:r>
      <w:r w:rsidRPr="00382917">
        <w:t>Abraham</w:t>
      </w:r>
      <w:r w:rsidR="00EE4FC3">
        <w:t xml:space="preserve"> </w:t>
      </w:r>
      <w:r w:rsidRPr="00382917">
        <w:t>that</w:t>
      </w:r>
      <w:r w:rsidR="00EE4FC3">
        <w:t xml:space="preserve"> </w:t>
      </w:r>
      <w:r w:rsidR="00552489" w:rsidRPr="00382917">
        <w:t>Ismá‘</w:t>
      </w:r>
      <w:r w:rsidR="00552489" w:rsidRPr="00552489">
        <w:t>í</w:t>
      </w:r>
      <w:r w:rsidR="00552489" w:rsidRPr="00382917">
        <w:t>l</w:t>
      </w:r>
      <w:r w:rsidR="00EE4FC3">
        <w:t xml:space="preserve"> </w:t>
      </w:r>
      <w:r w:rsidRPr="00382917">
        <w:t>would</w:t>
      </w:r>
      <w:r w:rsidR="00EE4FC3">
        <w:t xml:space="preserve"> </w:t>
      </w:r>
      <w:r w:rsidRPr="00382917">
        <w:t>beget</w:t>
      </w:r>
      <w:r w:rsidR="00EE4FC3">
        <w:t xml:space="preserve"> </w:t>
      </w:r>
      <w:r w:rsidRPr="00382917">
        <w:t>twelve</w:t>
      </w:r>
      <w:r w:rsidR="00EE4FC3">
        <w:t xml:space="preserve"> </w:t>
      </w:r>
      <w:r w:rsidRPr="00382917">
        <w:t>princes</w:t>
      </w:r>
      <w:r w:rsidR="00EE4FC3">
        <w:t xml:space="preserve"> </w:t>
      </w:r>
      <w:r w:rsidRPr="00382917">
        <w:t>was</w:t>
      </w:r>
      <w:r w:rsidR="00EE4FC3">
        <w:t xml:space="preserve"> </w:t>
      </w:r>
      <w:r w:rsidRPr="00382917">
        <w:t>also</w:t>
      </w:r>
      <w:r w:rsidR="00EE4FC3">
        <w:t xml:space="preserve"> </w:t>
      </w:r>
      <w:r w:rsidRPr="00382917">
        <w:t>fulfilled</w:t>
      </w:r>
      <w:r w:rsidR="00EE4FC3">
        <w:t xml:space="preserve"> </w:t>
      </w:r>
      <w:r w:rsidRPr="00382917">
        <w:t>through</w:t>
      </w:r>
      <w:r w:rsidR="00EE4FC3">
        <w:t xml:space="preserve"> </w:t>
      </w:r>
      <w:r w:rsidR="0040329F" w:rsidRPr="00382917">
        <w:t>Mu</w:t>
      </w:r>
      <w:r w:rsidR="0040329F" w:rsidRPr="0040329F">
        <w:t>ḥ</w:t>
      </w:r>
      <w:r w:rsidR="0040329F" w:rsidRPr="00382917">
        <w:t>ammad</w:t>
      </w:r>
      <w:r w:rsidR="00552489">
        <w:t>.</w:t>
      </w:r>
      <w:r w:rsidR="00EE4FC3">
        <w:t xml:space="preserve">  </w:t>
      </w:r>
      <w:r w:rsidRPr="00382917">
        <w:t>These</w:t>
      </w:r>
      <w:r w:rsidR="00EE4FC3">
        <w:t xml:space="preserve"> </w:t>
      </w:r>
      <w:r w:rsidRPr="00382917">
        <w:t>twelve</w:t>
      </w:r>
      <w:r w:rsidR="00EE4FC3">
        <w:t xml:space="preserve"> </w:t>
      </w:r>
      <w:r w:rsidRPr="00382917">
        <w:t>princes</w:t>
      </w:r>
      <w:r w:rsidR="00EE4FC3">
        <w:t xml:space="preserve"> </w:t>
      </w:r>
      <w:r w:rsidRPr="00382917">
        <w:t>were</w:t>
      </w:r>
      <w:r w:rsidR="00EE4FC3">
        <w:t xml:space="preserve"> </w:t>
      </w:r>
      <w:r w:rsidRPr="00382917">
        <w:t>the</w:t>
      </w:r>
      <w:r w:rsidR="00EE4FC3">
        <w:t xml:space="preserve"> </w:t>
      </w:r>
      <w:r w:rsidRPr="00382917">
        <w:t>twelve</w:t>
      </w:r>
      <w:r w:rsidR="00EE4FC3">
        <w:t xml:space="preserve"> </w:t>
      </w:r>
      <w:r w:rsidRPr="00382917">
        <w:t>Im</w:t>
      </w:r>
      <w:r w:rsidR="00A17F27">
        <w:t>a</w:t>
      </w:r>
      <w:r w:rsidRPr="00382917">
        <w:t>ms,</w:t>
      </w:r>
      <w:r w:rsidR="00EE4FC3">
        <w:t xml:space="preserve"> </w:t>
      </w:r>
      <w:r w:rsidRPr="00382917">
        <w:t>the</w:t>
      </w:r>
      <w:r w:rsidR="00EE4FC3">
        <w:t xml:space="preserve"> </w:t>
      </w:r>
      <w:r w:rsidRPr="00382917">
        <w:t>spiritual</w:t>
      </w:r>
      <w:r w:rsidR="00EE4FC3">
        <w:t xml:space="preserve"> </w:t>
      </w:r>
      <w:r w:rsidRPr="00382917">
        <w:t>leaders</w:t>
      </w:r>
      <w:r w:rsidR="00EE4FC3">
        <w:t xml:space="preserve"> </w:t>
      </w:r>
      <w:r w:rsidRPr="00382917">
        <w:t>of</w:t>
      </w:r>
      <w:r w:rsidR="00EE4FC3">
        <w:t xml:space="preserve"> </w:t>
      </w:r>
      <w:proofErr w:type="spellStart"/>
      <w:r w:rsidR="0040329F" w:rsidRPr="0040329F">
        <w:rPr>
          <w:u w:val="single"/>
        </w:rPr>
        <w:t>Sh</w:t>
      </w:r>
      <w:r w:rsidR="0040329F" w:rsidRPr="00382917">
        <w:t>í‘ah</w:t>
      </w:r>
      <w:proofErr w:type="spellEnd"/>
      <w:r w:rsidR="00EE4FC3">
        <w:t xml:space="preserve"> </w:t>
      </w:r>
      <w:r w:rsidRPr="00382917">
        <w:t>Islám.</w:t>
      </w:r>
    </w:p>
    <w:p w:rsidR="006E4F81" w:rsidRPr="00382917" w:rsidRDefault="006E4F81" w:rsidP="00552489">
      <w:pPr>
        <w:pStyle w:val="Text"/>
      </w:pPr>
      <w:r w:rsidRPr="00382917">
        <w:t>In</w:t>
      </w:r>
      <w:r w:rsidR="00EE4FC3">
        <w:t xml:space="preserve"> </w:t>
      </w:r>
      <w:r w:rsidRPr="00382917">
        <w:t>the</w:t>
      </w:r>
      <w:r w:rsidR="00EE4FC3">
        <w:t xml:space="preserve"> </w:t>
      </w:r>
      <w:r w:rsidRPr="00382917">
        <w:t>holy</w:t>
      </w:r>
      <w:r w:rsidR="00EE4FC3">
        <w:t xml:space="preserve"> </w:t>
      </w:r>
      <w:r w:rsidRPr="00382917">
        <w:t>traditions</w:t>
      </w:r>
      <w:r w:rsidR="00EE4FC3">
        <w:t xml:space="preserve"> </w:t>
      </w:r>
      <w:r w:rsidRPr="00382917">
        <w:t>of</w:t>
      </w:r>
      <w:r w:rsidR="00EE4FC3">
        <w:t xml:space="preserve"> </w:t>
      </w:r>
      <w:r w:rsidR="0040329F" w:rsidRPr="00382917">
        <w:t>Isl</w:t>
      </w:r>
      <w:r w:rsidR="0040329F" w:rsidRPr="0040329F">
        <w:t>á</w:t>
      </w:r>
      <w:r w:rsidR="0040329F" w:rsidRPr="00382917">
        <w:t>m</w:t>
      </w:r>
      <w:r w:rsidR="00EE4FC3">
        <w:t xml:space="preserve"> </w:t>
      </w:r>
      <w:r w:rsidRPr="00382917">
        <w:t>there</w:t>
      </w:r>
      <w:r w:rsidR="00EE4FC3">
        <w:t xml:space="preserve"> </w:t>
      </w:r>
      <w:r w:rsidRPr="00382917">
        <w:t>is</w:t>
      </w:r>
      <w:r w:rsidR="00EE4FC3">
        <w:t xml:space="preserve"> </w:t>
      </w:r>
      <w:r w:rsidRPr="00382917">
        <w:t>a</w:t>
      </w:r>
      <w:r w:rsidR="00EE4FC3">
        <w:t xml:space="preserve"> </w:t>
      </w:r>
      <w:r w:rsidRPr="00382917">
        <w:t>prophecy</w:t>
      </w:r>
      <w:r w:rsidR="00EE4FC3">
        <w:t xml:space="preserve"> </w:t>
      </w:r>
      <w:r w:rsidRPr="00382917">
        <w:t>which</w:t>
      </w:r>
      <w:r w:rsidR="00EE4FC3">
        <w:t xml:space="preserve"> </w:t>
      </w:r>
      <w:r w:rsidRPr="00382917">
        <w:t>states</w:t>
      </w:r>
      <w:r w:rsidR="00EE4FC3">
        <w:t xml:space="preserve"> </w:t>
      </w:r>
      <w:r w:rsidRPr="00382917">
        <w:t>that</w:t>
      </w:r>
      <w:r w:rsidR="00EE4FC3">
        <w:t xml:space="preserve"> </w:t>
      </w:r>
      <w:r w:rsidRPr="00382917">
        <w:t>the</w:t>
      </w:r>
      <w:r w:rsidR="00EE4FC3">
        <w:t xml:space="preserve"> </w:t>
      </w:r>
      <w:r w:rsidRPr="00382917">
        <w:t>twelfth</w:t>
      </w:r>
      <w:r w:rsidR="00EE4FC3">
        <w:t xml:space="preserve"> </w:t>
      </w:r>
      <w:r w:rsidRPr="00382917">
        <w:t>of</w:t>
      </w:r>
      <w:r w:rsidR="00EE4FC3">
        <w:t xml:space="preserve"> </w:t>
      </w:r>
      <w:r w:rsidRPr="00382917">
        <w:t>these</w:t>
      </w:r>
      <w:r w:rsidR="00EE4FC3">
        <w:t xml:space="preserve"> </w:t>
      </w:r>
      <w:r w:rsidRPr="00382917">
        <w:t>princes</w:t>
      </w:r>
      <w:r w:rsidR="00EE4FC3">
        <w:t xml:space="preserve"> </w:t>
      </w:r>
      <w:r w:rsidRPr="00382917">
        <w:t>(Im</w:t>
      </w:r>
      <w:r w:rsidR="00552489">
        <w:t>a</w:t>
      </w:r>
      <w:r w:rsidRPr="00382917">
        <w:t>ms)</w:t>
      </w:r>
      <w:r w:rsidR="00EE4FC3">
        <w:t xml:space="preserve"> </w:t>
      </w:r>
      <w:r w:rsidRPr="00382917">
        <w:t>disappeared</w:t>
      </w:r>
      <w:r w:rsidR="00EE4FC3">
        <w:t xml:space="preserve"> </w:t>
      </w:r>
      <w:r w:rsidRPr="00382917">
        <w:t>in</w:t>
      </w:r>
      <w:r w:rsidR="00EE4FC3">
        <w:t xml:space="preserve"> </w:t>
      </w:r>
      <w:r w:rsidRPr="00382917">
        <w:t>the</w:t>
      </w:r>
      <w:r w:rsidR="00EE4FC3">
        <w:t xml:space="preserve"> </w:t>
      </w:r>
      <w:r w:rsidRPr="00382917">
        <w:t>year</w:t>
      </w:r>
      <w:r w:rsidR="00EE4FC3">
        <w:t xml:space="preserve"> </w:t>
      </w:r>
      <w:r w:rsidRPr="00382917">
        <w:t>260,</w:t>
      </w:r>
      <w:r w:rsidR="00EE4FC3">
        <w:t xml:space="preserve"> </w:t>
      </w:r>
      <w:r w:rsidRPr="00382917">
        <w:t>and</w:t>
      </w:r>
      <w:r w:rsidR="00EE4FC3">
        <w:t xml:space="preserve"> </w:t>
      </w:r>
      <w:r w:rsidRPr="00382917">
        <w:t>that</w:t>
      </w:r>
      <w:r w:rsidR="00EE4FC3">
        <w:t xml:space="preserve"> </w:t>
      </w:r>
      <w:r w:rsidRPr="00382917">
        <w:t>he</w:t>
      </w:r>
      <w:r w:rsidR="00EE4FC3">
        <w:t xml:space="preserve"> </w:t>
      </w:r>
      <w:r w:rsidRPr="00382917">
        <w:t>would</w:t>
      </w:r>
      <w:r w:rsidR="00EE4FC3">
        <w:t xml:space="preserve"> </w:t>
      </w:r>
      <w:r w:rsidRPr="00382917">
        <w:t>reappear</w:t>
      </w:r>
      <w:r w:rsidR="00EE4FC3">
        <w:t xml:space="preserve"> </w:t>
      </w:r>
      <w:r w:rsidRPr="00382917">
        <w:t>in</w:t>
      </w:r>
      <w:r w:rsidR="00EE4FC3">
        <w:t xml:space="preserve"> </w:t>
      </w:r>
      <w:r w:rsidRPr="00382917">
        <w:t>a</w:t>
      </w:r>
      <w:r w:rsidR="00EE4FC3">
        <w:t xml:space="preserve"> </w:t>
      </w:r>
      <w:r w:rsidRPr="00382917">
        <w:t>thousand</w:t>
      </w:r>
      <w:r w:rsidR="00EE4FC3">
        <w:t xml:space="preserve"> </w:t>
      </w:r>
      <w:r w:rsidRPr="00382917">
        <w:t>years—in</w:t>
      </w:r>
      <w:r w:rsidR="00EE4FC3">
        <w:t xml:space="preserve"> </w:t>
      </w:r>
      <w:r w:rsidRPr="00382917">
        <w:t>the</w:t>
      </w:r>
      <w:r w:rsidR="00EE4FC3">
        <w:t xml:space="preserve"> </w:t>
      </w:r>
      <w:r w:rsidRPr="00382917">
        <w:t>year</w:t>
      </w:r>
      <w:r w:rsidR="00EE4FC3">
        <w:t xml:space="preserve"> </w:t>
      </w:r>
      <w:r w:rsidRPr="00382917">
        <w:t>1260</w:t>
      </w:r>
      <w:r w:rsidR="00EE4FC3">
        <w:t xml:space="preserve"> </w:t>
      </w:r>
      <w:r w:rsidRPr="00382917">
        <w:t>(1844)</w:t>
      </w:r>
      <w:r w:rsidR="00552489">
        <w:t>.</w:t>
      </w:r>
      <w:r w:rsidR="00EE4FC3">
        <w:t xml:space="preserve">  </w:t>
      </w:r>
      <w:r w:rsidRPr="00382917">
        <w:t>This</w:t>
      </w:r>
      <w:r w:rsidR="00EE4FC3">
        <w:t xml:space="preserve"> </w:t>
      </w:r>
      <w:r w:rsidRPr="00382917">
        <w:t>is</w:t>
      </w:r>
      <w:r w:rsidR="00EE4FC3">
        <w:t xml:space="preserve"> </w:t>
      </w:r>
      <w:r w:rsidRPr="00382917">
        <w:t>the</w:t>
      </w:r>
      <w:r w:rsidR="00EE4FC3">
        <w:t xml:space="preserve"> </w:t>
      </w:r>
      <w:r w:rsidRPr="00382917">
        <w:t>very</w:t>
      </w:r>
      <w:r w:rsidR="00EE4FC3">
        <w:t xml:space="preserve"> </w:t>
      </w:r>
      <w:r w:rsidRPr="00382917">
        <w:t>year</w:t>
      </w:r>
      <w:r w:rsidR="00EE4FC3">
        <w:t xml:space="preserve"> </w:t>
      </w:r>
      <w:r w:rsidRPr="00382917">
        <w:t>of</w:t>
      </w:r>
      <w:r w:rsidR="00EE4FC3">
        <w:t xml:space="preserve"> </w:t>
      </w:r>
      <w:r w:rsidRPr="00382917">
        <w:t>the</w:t>
      </w:r>
      <w:r w:rsidR="00EE4FC3">
        <w:t xml:space="preserve"> </w:t>
      </w:r>
      <w:r w:rsidRPr="00382917">
        <w:t>Báb</w:t>
      </w:r>
      <w:r w:rsidR="009C713D" w:rsidRPr="00382917">
        <w:t>’</w:t>
      </w:r>
      <w:r w:rsidRPr="00382917">
        <w:t>s</w:t>
      </w:r>
      <w:r w:rsidR="00EE4FC3">
        <w:t xml:space="preserve"> </w:t>
      </w:r>
      <w:r w:rsidRPr="00382917">
        <w:t>announcement</w:t>
      </w:r>
      <w:r w:rsidR="00EE4FC3">
        <w:t xml:space="preserve"> </w:t>
      </w:r>
      <w:r w:rsidRPr="00382917">
        <w:t>of</w:t>
      </w:r>
      <w:r w:rsidR="00EE4FC3">
        <w:t xml:space="preserve"> </w:t>
      </w:r>
      <w:r w:rsidRPr="00382917">
        <w:t>His</w:t>
      </w:r>
      <w:r w:rsidR="00EE4FC3">
        <w:t xml:space="preserve"> </w:t>
      </w:r>
      <w:r w:rsidRPr="00382917">
        <w:t>Mission.</w:t>
      </w:r>
    </w:p>
    <w:p w:rsidR="006E4F81" w:rsidRPr="00382917" w:rsidRDefault="006E4F81" w:rsidP="00A17F27">
      <w:pPr>
        <w:pStyle w:val="Text"/>
      </w:pPr>
      <w:r w:rsidRPr="00382917">
        <w:t>Bahá</w:t>
      </w:r>
      <w:r w:rsidR="009C713D" w:rsidRPr="00382917">
        <w:t>’</w:t>
      </w:r>
      <w:r w:rsidRPr="00382917">
        <w:t>u</w:t>
      </w:r>
      <w:r w:rsidR="009C713D" w:rsidRPr="00382917">
        <w:t>’</w:t>
      </w:r>
      <w:r w:rsidRPr="00382917">
        <w:t>lláh</w:t>
      </w:r>
      <w:r w:rsidR="00EE4FC3">
        <w:t xml:space="preserve"> </w:t>
      </w:r>
      <w:r w:rsidRPr="00382917">
        <w:t>also</w:t>
      </w:r>
      <w:r w:rsidR="00EE4FC3">
        <w:t xml:space="preserve"> </w:t>
      </w:r>
      <w:r w:rsidRPr="00382917">
        <w:t>was</w:t>
      </w:r>
      <w:r w:rsidR="00EE4FC3">
        <w:t xml:space="preserve"> </w:t>
      </w:r>
      <w:r w:rsidRPr="00382917">
        <w:t>descended</w:t>
      </w:r>
      <w:r w:rsidR="00EE4FC3">
        <w:t xml:space="preserve"> </w:t>
      </w:r>
      <w:r w:rsidRPr="00382917">
        <w:t>from</w:t>
      </w:r>
      <w:r w:rsidR="00EE4FC3">
        <w:t xml:space="preserve"> </w:t>
      </w:r>
      <w:r w:rsidRPr="00382917">
        <w:t>Abraham,</w:t>
      </w:r>
      <w:r w:rsidR="00EE4FC3">
        <w:t xml:space="preserve"> </w:t>
      </w:r>
      <w:r w:rsidRPr="00382917">
        <w:t>through</w:t>
      </w:r>
      <w:r w:rsidR="00EE4FC3">
        <w:t xml:space="preserve"> </w:t>
      </w:r>
      <w:r w:rsidRPr="00382917">
        <w:t>Abraham</w:t>
      </w:r>
      <w:r w:rsidR="009C713D" w:rsidRPr="00382917">
        <w:t>’</w:t>
      </w:r>
      <w:r w:rsidRPr="00382917">
        <w:t>s</w:t>
      </w:r>
      <w:r w:rsidR="00EE4FC3">
        <w:t xml:space="preserve"> </w:t>
      </w:r>
      <w:r w:rsidRPr="00382917">
        <w:t>third</w:t>
      </w:r>
      <w:r w:rsidR="00EE4FC3">
        <w:t xml:space="preserve"> </w:t>
      </w:r>
      <w:r w:rsidRPr="00382917">
        <w:t>wife,</w:t>
      </w:r>
      <w:r w:rsidR="00EE4FC3">
        <w:t xml:space="preserve"> </w:t>
      </w:r>
      <w:r w:rsidRPr="00382917">
        <w:t>Katurah</w:t>
      </w:r>
      <w:r w:rsidR="00552489">
        <w:t>.</w:t>
      </w:r>
      <w:r w:rsidR="00EE4FC3">
        <w:t xml:space="preserve">  </w:t>
      </w:r>
      <w:r w:rsidRPr="00382917">
        <w:t>That</w:t>
      </w:r>
      <w:r w:rsidR="00EE4FC3">
        <w:t xml:space="preserve"> </w:t>
      </w:r>
      <w:r w:rsidRPr="00382917">
        <w:t>historical</w:t>
      </w:r>
      <w:r w:rsidR="00EE4FC3">
        <w:t xml:space="preserve"> </w:t>
      </w:r>
      <w:r w:rsidRPr="00382917">
        <w:t>record</w:t>
      </w:r>
      <w:r w:rsidR="00EE4FC3">
        <w:t xml:space="preserve"> </w:t>
      </w:r>
      <w:r w:rsidRPr="00382917">
        <w:t>of</w:t>
      </w:r>
      <w:r w:rsidR="00EE4FC3">
        <w:t xml:space="preserve"> </w:t>
      </w:r>
      <w:r w:rsidRPr="00382917">
        <w:t>the</w:t>
      </w:r>
      <w:r w:rsidR="00EE4FC3">
        <w:t xml:space="preserve"> </w:t>
      </w:r>
      <w:r w:rsidRPr="00382917">
        <w:t>Bahá</w:t>
      </w:r>
      <w:r w:rsidR="009C713D" w:rsidRPr="00382917">
        <w:t>’</w:t>
      </w:r>
      <w:r w:rsidRPr="00382917">
        <w:t>í</w:t>
      </w:r>
      <w:r w:rsidR="00EE4FC3">
        <w:t xml:space="preserve"> </w:t>
      </w:r>
      <w:r w:rsidRPr="00382917">
        <w:t>Faith,</w:t>
      </w:r>
      <w:r w:rsidR="00EE4FC3">
        <w:t xml:space="preserve"> </w:t>
      </w:r>
      <w:r w:rsidR="001713B3" w:rsidRPr="001713B3">
        <w:rPr>
          <w:i/>
          <w:iCs/>
        </w:rPr>
        <w:t>God</w:t>
      </w:r>
      <w:r w:rsidR="00EE4FC3">
        <w:rPr>
          <w:i/>
          <w:iCs/>
        </w:rPr>
        <w:t xml:space="preserve"> </w:t>
      </w:r>
      <w:r w:rsidR="001713B3" w:rsidRPr="001713B3">
        <w:rPr>
          <w:i/>
          <w:iCs/>
        </w:rPr>
        <w:t>Passes</w:t>
      </w:r>
      <w:r w:rsidR="00EE4FC3">
        <w:rPr>
          <w:i/>
          <w:iCs/>
        </w:rPr>
        <w:t xml:space="preserve"> </w:t>
      </w:r>
      <w:r w:rsidR="001713B3" w:rsidRPr="001713B3">
        <w:rPr>
          <w:i/>
          <w:iCs/>
        </w:rPr>
        <w:t>By</w:t>
      </w:r>
      <w:r w:rsidRPr="00382917">
        <w:t>,</w:t>
      </w:r>
      <w:r w:rsidR="00EE4FC3">
        <w:t xml:space="preserve"> </w:t>
      </w:r>
      <w:r w:rsidRPr="00382917">
        <w:t>states</w:t>
      </w:r>
      <w:r w:rsidR="00C03C91">
        <w:t>:</w:t>
      </w:r>
      <w:r w:rsidR="00EE4FC3">
        <w:t xml:space="preserve">  </w:t>
      </w:r>
      <w:r w:rsidR="009C713D" w:rsidRPr="00382917">
        <w:t>“</w:t>
      </w:r>
      <w:r w:rsidRPr="00382917">
        <w:t>He</w:t>
      </w:r>
      <w:r w:rsidR="00EE4FC3">
        <w:t xml:space="preserve"> </w:t>
      </w:r>
      <w:r w:rsidRPr="00382917">
        <w:t>[Bahá</w:t>
      </w:r>
      <w:r w:rsidR="009C713D" w:rsidRPr="00382917">
        <w:t>’</w:t>
      </w:r>
      <w:r w:rsidRPr="00382917">
        <w:t>u</w:t>
      </w:r>
      <w:r w:rsidR="009C713D" w:rsidRPr="00382917">
        <w:t>’</w:t>
      </w:r>
      <w:r w:rsidRPr="00382917">
        <w:t>lláh]</w:t>
      </w:r>
      <w:r w:rsidR="00EE4FC3">
        <w:t xml:space="preserve"> </w:t>
      </w:r>
      <w:r w:rsidRPr="00382917">
        <w:t>derived</w:t>
      </w:r>
      <w:r w:rsidR="00EE4FC3">
        <w:t xml:space="preserve"> </w:t>
      </w:r>
      <w:r w:rsidRPr="00382917">
        <w:t>His</w:t>
      </w:r>
      <w:r w:rsidR="00EE4FC3">
        <w:t xml:space="preserve"> </w:t>
      </w:r>
      <w:r w:rsidRPr="00382917">
        <w:t>descent</w:t>
      </w:r>
      <w:r w:rsidR="00EE4FC3">
        <w:t xml:space="preserve"> </w:t>
      </w:r>
      <w:r w:rsidR="00F04416" w:rsidRPr="00382917">
        <w:t>…</w:t>
      </w:r>
      <w:r w:rsidR="00EE4FC3">
        <w:t xml:space="preserve"> </w:t>
      </w:r>
      <w:r w:rsidRPr="00382917">
        <w:t>from</w:t>
      </w:r>
      <w:r w:rsidR="00EE4FC3">
        <w:t xml:space="preserve"> </w:t>
      </w:r>
      <w:r w:rsidRPr="00382917">
        <w:t>Abraham</w:t>
      </w:r>
      <w:r w:rsidR="00EE4FC3">
        <w:t xml:space="preserve"> </w:t>
      </w:r>
      <w:r w:rsidRPr="00382917">
        <w:t>(the</w:t>
      </w:r>
      <w:r w:rsidR="00EE4FC3">
        <w:t xml:space="preserve"> </w:t>
      </w:r>
      <w:r w:rsidRPr="00382917">
        <w:t>Father</w:t>
      </w:r>
      <w:r w:rsidR="00EE4FC3">
        <w:t xml:space="preserve"> </w:t>
      </w:r>
      <w:r w:rsidRPr="00382917">
        <w:t>of</w:t>
      </w:r>
      <w:r w:rsidR="00EE4FC3">
        <w:t xml:space="preserve"> </w:t>
      </w:r>
      <w:r w:rsidRPr="00382917">
        <w:t>the</w:t>
      </w:r>
      <w:r w:rsidR="00EE4FC3">
        <w:t xml:space="preserve"> </w:t>
      </w:r>
      <w:r w:rsidRPr="00382917">
        <w:t>Faithful)</w:t>
      </w:r>
      <w:r w:rsidR="00EE4FC3">
        <w:t xml:space="preserve"> </w:t>
      </w:r>
      <w:r w:rsidRPr="00382917">
        <w:t>through</w:t>
      </w:r>
      <w:r w:rsidR="00EE4FC3">
        <w:t xml:space="preserve"> </w:t>
      </w:r>
      <w:r w:rsidRPr="00382917">
        <w:t>his</w:t>
      </w:r>
      <w:r w:rsidR="00EE4FC3">
        <w:t xml:space="preserve"> </w:t>
      </w:r>
      <w:r w:rsidRPr="00382917">
        <w:t>wife</w:t>
      </w:r>
      <w:r w:rsidR="00EE4FC3">
        <w:t xml:space="preserve"> </w:t>
      </w:r>
      <w:r w:rsidRPr="00382917">
        <w:t>Katurah</w:t>
      </w:r>
      <w:r w:rsidR="00A17F27">
        <w:t xml:space="preserve"> </w:t>
      </w:r>
      <w:r w:rsidR="00F04416" w:rsidRPr="00382917">
        <w:t>…</w:t>
      </w:r>
      <w:r w:rsidRPr="00382917">
        <w:t>.</w:t>
      </w:r>
      <w:r w:rsidR="009C713D" w:rsidRPr="00382917">
        <w:t>”</w:t>
      </w:r>
      <w:r w:rsidR="00A17F27">
        <w:rPr>
          <w:rStyle w:val="FootnoteReference"/>
        </w:rPr>
        <w:footnoteReference w:id="366"/>
      </w:r>
    </w:p>
    <w:p w:rsidR="006E4F81" w:rsidRPr="00382917" w:rsidRDefault="006E4F81" w:rsidP="004C0EF8">
      <w:pPr>
        <w:pStyle w:val="Text"/>
      </w:pPr>
      <w:r w:rsidRPr="00382917">
        <w:t>Bahá</w:t>
      </w:r>
      <w:r w:rsidR="009C713D" w:rsidRPr="00382917">
        <w:t>’</w:t>
      </w:r>
      <w:r w:rsidRPr="00382917">
        <w:t>u</w:t>
      </w:r>
      <w:r w:rsidR="009C713D" w:rsidRPr="00382917">
        <w:t>’</w:t>
      </w:r>
      <w:r w:rsidRPr="00382917">
        <w:t>lláh</w:t>
      </w:r>
      <w:r w:rsidR="00EE4FC3">
        <w:t xml:space="preserve"> </w:t>
      </w:r>
      <w:r w:rsidRPr="00382917">
        <w:t>was</w:t>
      </w:r>
      <w:r w:rsidR="00EE4FC3">
        <w:t xml:space="preserve"> </w:t>
      </w:r>
      <w:r w:rsidRPr="00382917">
        <w:t>also</w:t>
      </w:r>
      <w:r w:rsidR="00EE4FC3">
        <w:t xml:space="preserve"> </w:t>
      </w:r>
      <w:r w:rsidRPr="00382917">
        <w:t>descended</w:t>
      </w:r>
      <w:r w:rsidR="00EE4FC3">
        <w:t xml:space="preserve"> </w:t>
      </w:r>
      <w:r w:rsidRPr="00382917">
        <w:t>from</w:t>
      </w:r>
      <w:r w:rsidR="00EE4FC3">
        <w:t xml:space="preserve"> </w:t>
      </w:r>
      <w:r w:rsidRPr="00382917">
        <w:t>the</w:t>
      </w:r>
      <w:r w:rsidR="00EE4FC3">
        <w:t xml:space="preserve"> </w:t>
      </w:r>
      <w:r w:rsidRPr="00382917">
        <w:t>great</w:t>
      </w:r>
      <w:r w:rsidR="00EE4FC3">
        <w:t xml:space="preserve"> </w:t>
      </w:r>
      <w:r w:rsidRPr="00382917">
        <w:t>Prophet</w:t>
      </w:r>
      <w:r w:rsidR="00EE4FC3">
        <w:t xml:space="preserve"> </w:t>
      </w:r>
      <w:r w:rsidRPr="00382917">
        <w:t>of</w:t>
      </w:r>
      <w:r w:rsidR="00EE4FC3">
        <w:t xml:space="preserve"> </w:t>
      </w:r>
      <w:r w:rsidRPr="00382917">
        <w:t>Írán,</w:t>
      </w:r>
      <w:r w:rsidR="00EE4FC3">
        <w:t xml:space="preserve"> </w:t>
      </w:r>
      <w:r w:rsidRPr="00382917">
        <w:t>Zoroaster,</w:t>
      </w:r>
      <w:r w:rsidR="00EE4FC3">
        <w:t xml:space="preserve"> </w:t>
      </w:r>
      <w:r w:rsidRPr="00382917">
        <w:t>and</w:t>
      </w:r>
      <w:r w:rsidR="00EE4FC3">
        <w:t xml:space="preserve"> </w:t>
      </w:r>
      <w:r w:rsidRPr="00382917">
        <w:t>in</w:t>
      </w:r>
      <w:r w:rsidR="00EE4FC3">
        <w:t xml:space="preserve"> </w:t>
      </w:r>
      <w:r w:rsidRPr="00382917">
        <w:t>addition</w:t>
      </w:r>
      <w:r w:rsidR="00EE4FC3">
        <w:t xml:space="preserve"> </w:t>
      </w:r>
      <w:r w:rsidRPr="00382917">
        <w:t>to</w:t>
      </w:r>
      <w:r w:rsidR="00EE4FC3">
        <w:t xml:space="preserve"> </w:t>
      </w:r>
      <w:r w:rsidRPr="00382917">
        <w:t>the</w:t>
      </w:r>
      <w:r w:rsidR="00EE4FC3">
        <w:t xml:space="preserve"> </w:t>
      </w:r>
      <w:r w:rsidRPr="00382917">
        <w:t>two</w:t>
      </w:r>
      <w:r w:rsidR="00EE4FC3">
        <w:t xml:space="preserve"> </w:t>
      </w:r>
      <w:r w:rsidRPr="00382917">
        <w:t>Branches</w:t>
      </w:r>
      <w:r w:rsidR="00EE4FC3">
        <w:t xml:space="preserve"> </w:t>
      </w:r>
      <w:r w:rsidRPr="00382917">
        <w:t>of</w:t>
      </w:r>
      <w:r w:rsidR="00EE4FC3">
        <w:t xml:space="preserve"> </w:t>
      </w:r>
      <w:r w:rsidRPr="00382917">
        <w:t>Holiness</w:t>
      </w:r>
      <w:r w:rsidR="00EE4FC3">
        <w:t xml:space="preserve"> </w:t>
      </w:r>
      <w:r w:rsidRPr="00382917">
        <w:t>mentioned</w:t>
      </w:r>
      <w:r w:rsidR="00EE4FC3">
        <w:t xml:space="preserve"> </w:t>
      </w:r>
      <w:r w:rsidRPr="00382917">
        <w:t>above,</w:t>
      </w:r>
      <w:r w:rsidR="00EE4FC3">
        <w:t xml:space="preserve"> </w:t>
      </w:r>
      <w:r w:rsidRPr="00382917">
        <w:t>Bahá</w:t>
      </w:r>
      <w:r w:rsidR="009C713D" w:rsidRPr="00382917">
        <w:t>’</w:t>
      </w:r>
      <w:r w:rsidRPr="00382917">
        <w:t>u</w:t>
      </w:r>
      <w:r w:rsidR="009C713D" w:rsidRPr="00382917">
        <w:t>’</w:t>
      </w:r>
      <w:r w:rsidRPr="00382917">
        <w:t>lláh</w:t>
      </w:r>
      <w:r w:rsidR="00EE4FC3">
        <w:t xml:space="preserve"> </w:t>
      </w:r>
      <w:r w:rsidRPr="00382917">
        <w:t>was</w:t>
      </w:r>
      <w:r w:rsidR="00EE4FC3">
        <w:t xml:space="preserve"> </w:t>
      </w:r>
      <w:r w:rsidRPr="00382917">
        <w:t>also</w:t>
      </w:r>
      <w:r w:rsidR="00EE4FC3">
        <w:t xml:space="preserve"> </w:t>
      </w:r>
      <w:r w:rsidRPr="00382917">
        <w:t>a</w:t>
      </w:r>
      <w:r w:rsidR="00EE4FC3">
        <w:t xml:space="preserve"> </w:t>
      </w:r>
      <w:r w:rsidRPr="00382917">
        <w:t>descendant</w:t>
      </w:r>
      <w:r w:rsidR="00EE4FC3">
        <w:t xml:space="preserve"> </w:t>
      </w:r>
      <w:r w:rsidRPr="00382917">
        <w:t>of</w:t>
      </w:r>
      <w:r w:rsidR="00EE4FC3">
        <w:t xml:space="preserve"> </w:t>
      </w:r>
      <w:r w:rsidRPr="00382917">
        <w:t>Jesse</w:t>
      </w:r>
      <w:r w:rsidR="00F267E4">
        <w:t>.</w:t>
      </w:r>
      <w:r w:rsidR="00EE4FC3">
        <w:t xml:space="preserve">  </w:t>
      </w:r>
      <w:r w:rsidRPr="00382917">
        <w:t>He</w:t>
      </w:r>
      <w:r w:rsidR="00EE4FC3">
        <w:t xml:space="preserve"> </w:t>
      </w:r>
      <w:r w:rsidRPr="00382917">
        <w:t>is</w:t>
      </w:r>
      <w:r w:rsidR="00EE4FC3">
        <w:t xml:space="preserve"> </w:t>
      </w:r>
      <w:r w:rsidRPr="00382917">
        <w:t>the</w:t>
      </w:r>
      <w:r w:rsidR="00EE4FC3">
        <w:t xml:space="preserve"> </w:t>
      </w:r>
      <w:r w:rsidR="009C713D" w:rsidRPr="00382917">
        <w:t>“</w:t>
      </w:r>
      <w:r w:rsidRPr="00382917">
        <w:t>Branch</w:t>
      </w:r>
      <w:r w:rsidR="009C713D" w:rsidRPr="00382917">
        <w:t>”</w:t>
      </w:r>
      <w:r w:rsidR="00EE4FC3">
        <w:t xml:space="preserve"> </w:t>
      </w:r>
      <w:r w:rsidRPr="00382917">
        <w:t>that</w:t>
      </w:r>
      <w:r w:rsidR="00EE4FC3">
        <w:t xml:space="preserve"> </w:t>
      </w:r>
      <w:r w:rsidR="009C713D" w:rsidRPr="00382917">
        <w:t>“</w:t>
      </w:r>
      <w:r w:rsidRPr="00382917">
        <w:t>shall</w:t>
      </w:r>
      <w:r w:rsidR="00EE4FC3">
        <w:t xml:space="preserve"> </w:t>
      </w:r>
      <w:r w:rsidRPr="00382917">
        <w:t>grow</w:t>
      </w:r>
      <w:r w:rsidR="00EE4FC3">
        <w:t xml:space="preserve"> </w:t>
      </w:r>
      <w:r w:rsidRPr="00382917">
        <w:t>out</w:t>
      </w:r>
      <w:r w:rsidR="00EE4FC3">
        <w:t xml:space="preserve"> </w:t>
      </w:r>
      <w:r w:rsidRPr="00382917">
        <w:t>of</w:t>
      </w:r>
      <w:r w:rsidR="00EE4FC3">
        <w:t xml:space="preserve"> </w:t>
      </w:r>
      <w:r w:rsidRPr="00382917">
        <w:t>his</w:t>
      </w:r>
      <w:r w:rsidR="00EE4FC3">
        <w:t xml:space="preserve"> </w:t>
      </w:r>
      <w:r w:rsidRPr="00382917">
        <w:t>roots</w:t>
      </w:r>
      <w:r w:rsidR="009C713D" w:rsidRPr="00382917">
        <w:t>”</w:t>
      </w:r>
      <w:r w:rsidR="00EE4FC3">
        <w:t xml:space="preserve"> </w:t>
      </w:r>
      <w:r w:rsidRPr="00382917">
        <w:t>as</w:t>
      </w:r>
      <w:r w:rsidR="00EE4FC3">
        <w:t xml:space="preserve"> </w:t>
      </w:r>
      <w:r w:rsidRPr="00382917">
        <w:t>promised</w:t>
      </w:r>
      <w:r w:rsidR="00EE4FC3">
        <w:t xml:space="preserve"> </w:t>
      </w:r>
      <w:r w:rsidRPr="00382917">
        <w:t>by</w:t>
      </w:r>
      <w:r w:rsidR="00EE4FC3">
        <w:t xml:space="preserve"> </w:t>
      </w:r>
      <w:r w:rsidRPr="00382917">
        <w:t>Isaiah</w:t>
      </w:r>
      <w:r w:rsidR="00F267E4">
        <w:t>.</w:t>
      </w:r>
      <w:r w:rsidR="00EE4FC3">
        <w:t xml:space="preserve">  </w:t>
      </w:r>
      <w:r w:rsidRPr="00382917">
        <w:t>Likewise,</w:t>
      </w:r>
      <w:r w:rsidR="00EE4FC3">
        <w:t xml:space="preserve"> </w:t>
      </w:r>
      <w:r w:rsidRPr="00382917">
        <w:t>He</w:t>
      </w:r>
      <w:r w:rsidR="00EE4FC3">
        <w:t xml:space="preserve"> </w:t>
      </w:r>
      <w:r w:rsidRPr="00382917">
        <w:t>is</w:t>
      </w:r>
      <w:r w:rsidR="00EE4FC3">
        <w:t xml:space="preserve"> </w:t>
      </w:r>
      <w:r w:rsidRPr="00382917">
        <w:t>the</w:t>
      </w:r>
      <w:r w:rsidR="00EE4FC3">
        <w:t xml:space="preserve"> </w:t>
      </w:r>
      <w:r w:rsidR="009C713D" w:rsidRPr="00382917">
        <w:t>“</w:t>
      </w:r>
      <w:r w:rsidRPr="00382917">
        <w:t>rod</w:t>
      </w:r>
      <w:r w:rsidR="009C713D" w:rsidRPr="00382917">
        <w:t>”</w:t>
      </w:r>
      <w:r w:rsidR="00EE4FC3">
        <w:t xml:space="preserve"> </w:t>
      </w:r>
      <w:r w:rsidRPr="00382917">
        <w:t>and</w:t>
      </w:r>
      <w:r w:rsidR="00EE4FC3">
        <w:t xml:space="preserve"> </w:t>
      </w:r>
      <w:r w:rsidRPr="00382917">
        <w:t>the</w:t>
      </w:r>
      <w:r w:rsidR="00EE4FC3">
        <w:t xml:space="preserve"> </w:t>
      </w:r>
      <w:r w:rsidR="009C713D" w:rsidRPr="00382917">
        <w:t>“</w:t>
      </w:r>
      <w:r w:rsidRPr="00382917">
        <w:t>ensign</w:t>
      </w:r>
      <w:r w:rsidR="009C713D" w:rsidRPr="00382917">
        <w:t>”</w:t>
      </w:r>
      <w:r w:rsidRPr="00382917">
        <w:t>.</w:t>
      </w:r>
    </w:p>
    <w:p w:rsidR="006E4F81" w:rsidRPr="00382917" w:rsidRDefault="009C713D" w:rsidP="00A17F27">
      <w:pPr>
        <w:pStyle w:val="Text"/>
      </w:pPr>
      <w:r w:rsidRPr="00382917">
        <w:t>“</w:t>
      </w:r>
      <w:r w:rsidR="006E4F81" w:rsidRPr="00382917">
        <w:t>In</w:t>
      </w:r>
      <w:r w:rsidR="00EE4FC3">
        <w:t xml:space="preserve"> </w:t>
      </w:r>
      <w:r w:rsidR="006E4F81" w:rsidRPr="00382917">
        <w:t>that</w:t>
      </w:r>
      <w:r w:rsidR="00EE4FC3">
        <w:t xml:space="preserve"> </w:t>
      </w:r>
      <w:r w:rsidR="006E4F81" w:rsidRPr="00382917">
        <w:t>day</w:t>
      </w:r>
      <w:r w:rsidR="00EE4FC3">
        <w:t xml:space="preserve"> </w:t>
      </w:r>
      <w:r w:rsidR="006E4F81" w:rsidRPr="00382917">
        <w:t>there</w:t>
      </w:r>
      <w:r w:rsidR="00EE4FC3">
        <w:t xml:space="preserve"> </w:t>
      </w:r>
      <w:r w:rsidR="006E4F81" w:rsidRPr="00382917">
        <w:t>shall</w:t>
      </w:r>
      <w:r w:rsidR="00EE4FC3">
        <w:t xml:space="preserve"> </w:t>
      </w:r>
      <w:r w:rsidR="006E4F81" w:rsidRPr="00382917">
        <w:t>be</w:t>
      </w:r>
      <w:r w:rsidR="00EE4FC3">
        <w:t xml:space="preserve"> </w:t>
      </w:r>
      <w:r w:rsidR="006E4F81" w:rsidRPr="00382917">
        <w:t>a</w:t>
      </w:r>
      <w:r w:rsidR="00EE4FC3">
        <w:t xml:space="preserve"> </w:t>
      </w:r>
      <w:r w:rsidR="006E4F81" w:rsidRPr="00382917">
        <w:t>root</w:t>
      </w:r>
      <w:r w:rsidR="00EE4FC3">
        <w:t xml:space="preserve"> </w:t>
      </w:r>
      <w:r w:rsidR="006E4F81" w:rsidRPr="00382917">
        <w:t>of</w:t>
      </w:r>
      <w:r w:rsidR="00EE4FC3">
        <w:t xml:space="preserve"> </w:t>
      </w:r>
      <w:r w:rsidR="006E4F81" w:rsidRPr="00382917">
        <w:t>Jesse,</w:t>
      </w:r>
      <w:r w:rsidR="00EE4FC3">
        <w:t xml:space="preserve"> </w:t>
      </w:r>
      <w:r w:rsidR="006E4F81" w:rsidRPr="00382917">
        <w:t>which</w:t>
      </w:r>
      <w:r w:rsidR="00EE4FC3">
        <w:t xml:space="preserve"> </w:t>
      </w:r>
      <w:r w:rsidR="006E4F81" w:rsidRPr="00382917">
        <w:t>shall</w:t>
      </w:r>
      <w:r w:rsidR="00EE4FC3">
        <w:t xml:space="preserve"> </w:t>
      </w:r>
      <w:r w:rsidR="006E4F81" w:rsidRPr="00382917">
        <w:t>stand</w:t>
      </w:r>
      <w:r w:rsidR="00EE4FC3">
        <w:t xml:space="preserve"> </w:t>
      </w:r>
      <w:r w:rsidR="006E4F81" w:rsidRPr="00382917">
        <w:t>for</w:t>
      </w:r>
      <w:r w:rsidR="00EE4FC3">
        <w:t xml:space="preserve"> </w:t>
      </w:r>
      <w:r w:rsidR="006E4F81" w:rsidRPr="00382917">
        <w:t>an</w:t>
      </w:r>
      <w:r w:rsidR="00EE4FC3">
        <w:t xml:space="preserve"> </w:t>
      </w:r>
      <w:r w:rsidR="006E4F81" w:rsidRPr="00382917">
        <w:t>ensign</w:t>
      </w:r>
      <w:r w:rsidR="00EE4FC3">
        <w:t xml:space="preserve"> </w:t>
      </w:r>
      <w:r w:rsidR="006E4F81" w:rsidRPr="00382917">
        <w:t>of</w:t>
      </w:r>
      <w:r w:rsidR="00EE4FC3">
        <w:t xml:space="preserve"> </w:t>
      </w:r>
      <w:r w:rsidR="006E4F81" w:rsidRPr="00382917">
        <w:t>the</w:t>
      </w:r>
      <w:r w:rsidR="00EE4FC3">
        <w:t xml:space="preserve"> </w:t>
      </w:r>
      <w:r w:rsidR="006E4F81" w:rsidRPr="00382917">
        <w:t>people;</w:t>
      </w:r>
      <w:r w:rsidR="00EE4FC3">
        <w:t xml:space="preserve"> </w:t>
      </w:r>
      <w:r w:rsidR="006E4F81" w:rsidRPr="00382917">
        <w:t>to</w:t>
      </w:r>
      <w:r w:rsidR="00EE4FC3">
        <w:t xml:space="preserve"> </w:t>
      </w:r>
      <w:r w:rsidR="006E4F81" w:rsidRPr="00382917">
        <w:t>it</w:t>
      </w:r>
      <w:r w:rsidR="00EE4FC3">
        <w:t xml:space="preserve"> </w:t>
      </w:r>
      <w:r w:rsidR="006E4F81" w:rsidRPr="00382917">
        <w:t>shall</w:t>
      </w:r>
      <w:r w:rsidR="00EE4FC3">
        <w:t xml:space="preserve"> </w:t>
      </w:r>
      <w:r w:rsidR="006E4F81" w:rsidRPr="00382917">
        <w:t>the</w:t>
      </w:r>
      <w:r w:rsidR="00EE4FC3">
        <w:t xml:space="preserve"> </w:t>
      </w:r>
      <w:r w:rsidR="006E4F81" w:rsidRPr="00382917">
        <w:t>Gentiles</w:t>
      </w:r>
      <w:r w:rsidR="00EE4FC3">
        <w:t xml:space="preserve"> </w:t>
      </w:r>
      <w:r w:rsidR="006E4F81" w:rsidRPr="00382917">
        <w:t>seek</w:t>
      </w:r>
      <w:r w:rsidR="00C03C91">
        <w:t>:</w:t>
      </w:r>
      <w:r w:rsidR="00EE4FC3">
        <w:t xml:space="preserve">  </w:t>
      </w:r>
      <w:r w:rsidR="006E4F81" w:rsidRPr="00382917">
        <w:t>and</w:t>
      </w:r>
      <w:r w:rsidR="00EE4FC3">
        <w:t xml:space="preserve"> </w:t>
      </w:r>
      <w:r w:rsidR="006E4F81" w:rsidRPr="00382917">
        <w:t>his</w:t>
      </w:r>
      <w:r w:rsidR="00EE4FC3">
        <w:t xml:space="preserve"> </w:t>
      </w:r>
      <w:r w:rsidR="006E4F81" w:rsidRPr="00382917">
        <w:t>rest</w:t>
      </w:r>
      <w:r w:rsidR="00EE4FC3">
        <w:t xml:space="preserve"> </w:t>
      </w:r>
      <w:r w:rsidR="006E4F81" w:rsidRPr="00382917">
        <w:t>shall</w:t>
      </w:r>
      <w:r w:rsidR="00EE4FC3">
        <w:t xml:space="preserve"> </w:t>
      </w:r>
      <w:r w:rsidR="006E4F81" w:rsidRPr="00382917">
        <w:t>be</w:t>
      </w:r>
      <w:r w:rsidR="00EE4FC3">
        <w:t xml:space="preserve"> </w:t>
      </w:r>
      <w:r w:rsidR="006E4F81" w:rsidRPr="00382917">
        <w:t>glorious</w:t>
      </w:r>
      <w:proofErr w:type="gramStart"/>
      <w:r w:rsidR="00A17F27">
        <w:t xml:space="preserve">. </w:t>
      </w:r>
      <w:proofErr w:type="gramEnd"/>
      <w:r w:rsidR="00F04416" w:rsidRPr="00382917">
        <w:t>…</w:t>
      </w:r>
      <w:r w:rsidR="00EE4FC3">
        <w:t xml:space="preserve">  </w:t>
      </w:r>
      <w:r w:rsidR="006E4F81" w:rsidRPr="00382917">
        <w:t>And</w:t>
      </w:r>
      <w:r w:rsidR="00EE4FC3">
        <w:t xml:space="preserve"> </w:t>
      </w:r>
      <w:r w:rsidR="006E4F81" w:rsidRPr="00382917">
        <w:t>he</w:t>
      </w:r>
      <w:r w:rsidR="00EE4FC3">
        <w:t xml:space="preserve"> </w:t>
      </w:r>
      <w:r w:rsidR="006E4F81" w:rsidRPr="00382917">
        <w:t>shall</w:t>
      </w:r>
      <w:r w:rsidR="00EE4FC3">
        <w:t xml:space="preserve"> </w:t>
      </w:r>
      <w:r w:rsidR="006E4F81" w:rsidRPr="00382917">
        <w:t>set</w:t>
      </w:r>
      <w:r w:rsidR="00EE4FC3">
        <w:t xml:space="preserve"> </w:t>
      </w:r>
      <w:r w:rsidR="006E4F81" w:rsidRPr="00382917">
        <w:t>up</w:t>
      </w:r>
      <w:r w:rsidR="00EE4FC3">
        <w:t xml:space="preserve"> </w:t>
      </w:r>
      <w:r w:rsidR="006E4F81" w:rsidRPr="00382917">
        <w:t>an</w:t>
      </w:r>
      <w:r w:rsidR="00EE4FC3">
        <w:t xml:space="preserve"> </w:t>
      </w:r>
      <w:r w:rsidR="006E4F81" w:rsidRPr="00382917">
        <w:t>ensign</w:t>
      </w:r>
      <w:r w:rsidR="00EE4FC3">
        <w:t xml:space="preserve"> </w:t>
      </w:r>
      <w:r w:rsidR="006E4F81" w:rsidRPr="00382917">
        <w:t>for</w:t>
      </w:r>
      <w:r w:rsidR="00EE4FC3">
        <w:t xml:space="preserve"> </w:t>
      </w:r>
      <w:r w:rsidR="006E4F81" w:rsidRPr="00382917">
        <w:t>the</w:t>
      </w:r>
      <w:r w:rsidR="00EE4FC3">
        <w:t xml:space="preserve"> </w:t>
      </w:r>
      <w:r w:rsidR="006E4F81" w:rsidRPr="00382917">
        <w:t>nations</w:t>
      </w:r>
      <w:r w:rsidR="00EE4FC3">
        <w:t xml:space="preserve"> </w:t>
      </w:r>
      <w:r w:rsidR="006E4F81" w:rsidRPr="00382917">
        <w:t>and</w:t>
      </w:r>
      <w:r w:rsidR="00EE4FC3">
        <w:t xml:space="preserve"> </w:t>
      </w:r>
      <w:r w:rsidR="006E4F81" w:rsidRPr="00382917">
        <w:t>shall</w:t>
      </w:r>
      <w:r w:rsidR="00EE4FC3">
        <w:t xml:space="preserve"> </w:t>
      </w:r>
      <w:r w:rsidR="006E4F81" w:rsidRPr="00382917">
        <w:t>assemble</w:t>
      </w:r>
      <w:r w:rsidR="00EE4FC3">
        <w:t xml:space="preserve"> </w:t>
      </w:r>
      <w:r w:rsidR="006E4F81" w:rsidRPr="00382917">
        <w:t>the</w:t>
      </w:r>
      <w:r w:rsidR="00EE4FC3">
        <w:t xml:space="preserve"> </w:t>
      </w:r>
      <w:r w:rsidR="006E4F81" w:rsidRPr="00382917">
        <w:t>outcasts</w:t>
      </w:r>
      <w:r w:rsidR="00EE4FC3">
        <w:t xml:space="preserve"> </w:t>
      </w:r>
      <w:r w:rsidR="006E4F81" w:rsidRPr="00382917">
        <w:t>of</w:t>
      </w:r>
      <w:r w:rsidR="00EE4FC3">
        <w:t xml:space="preserve"> </w:t>
      </w:r>
      <w:r w:rsidR="006E4F81" w:rsidRPr="00382917">
        <w:t>Israel,</w:t>
      </w:r>
      <w:r w:rsidR="00EE4FC3">
        <w:t xml:space="preserve"> </w:t>
      </w:r>
      <w:r w:rsidR="006E4F81" w:rsidRPr="00382917">
        <w:t>and</w:t>
      </w:r>
      <w:r w:rsidR="00EE4FC3">
        <w:t xml:space="preserve"> </w:t>
      </w:r>
      <w:r w:rsidR="006E4F81" w:rsidRPr="00382917">
        <w:t>gather</w:t>
      </w:r>
      <w:r w:rsidR="00EE4FC3">
        <w:t xml:space="preserve"> </w:t>
      </w:r>
      <w:r w:rsidR="006E4F81" w:rsidRPr="00382917">
        <w:t>together</w:t>
      </w:r>
      <w:r w:rsidR="00EE4FC3">
        <w:t xml:space="preserve"> </w:t>
      </w:r>
      <w:r w:rsidR="006E4F81" w:rsidRPr="00382917">
        <w:t>the</w:t>
      </w:r>
      <w:r w:rsidR="00EE4FC3">
        <w:t xml:space="preserve"> </w:t>
      </w:r>
      <w:r w:rsidR="006E4F81" w:rsidRPr="00382917">
        <w:t>dispersed</w:t>
      </w:r>
      <w:r w:rsidR="00EE4FC3">
        <w:t xml:space="preserve"> </w:t>
      </w:r>
      <w:r w:rsidR="006E4F81" w:rsidRPr="00382917">
        <w:t>of</w:t>
      </w:r>
      <w:r w:rsidR="00EE4FC3">
        <w:t xml:space="preserve"> </w:t>
      </w:r>
      <w:r w:rsidR="006E4F81" w:rsidRPr="00382917">
        <w:t>Judah</w:t>
      </w:r>
      <w:r w:rsidR="00EE4FC3">
        <w:t xml:space="preserve"> </w:t>
      </w:r>
      <w:r w:rsidR="006E4F81" w:rsidRPr="00382917">
        <w:t>from</w:t>
      </w:r>
      <w:r w:rsidR="00EE4FC3">
        <w:t xml:space="preserve"> </w:t>
      </w:r>
      <w:r w:rsidR="006E4F81" w:rsidRPr="00382917">
        <w:t>the</w:t>
      </w:r>
      <w:r w:rsidR="00EE4FC3">
        <w:t xml:space="preserve"> </w:t>
      </w:r>
      <w:r w:rsidR="006E4F81" w:rsidRPr="00382917">
        <w:t>four</w:t>
      </w:r>
      <w:r w:rsidR="00EE4FC3">
        <w:t xml:space="preserve"> </w:t>
      </w:r>
      <w:r w:rsidR="006E4F81" w:rsidRPr="00382917">
        <w:t>corners</w:t>
      </w:r>
      <w:r w:rsidR="00EE4FC3">
        <w:t xml:space="preserve"> </w:t>
      </w:r>
      <w:r w:rsidR="006E4F81" w:rsidRPr="00382917">
        <w:t>of</w:t>
      </w:r>
      <w:r w:rsidR="00EE4FC3">
        <w:t xml:space="preserve"> </w:t>
      </w:r>
      <w:r w:rsidR="006E4F81" w:rsidRPr="00382917">
        <w:t>the</w:t>
      </w:r>
      <w:r w:rsidR="00EE4FC3">
        <w:t xml:space="preserve"> </w:t>
      </w:r>
      <w:r w:rsidR="006E4F81" w:rsidRPr="00382917">
        <w:t>earth.</w:t>
      </w:r>
      <w:r w:rsidRPr="00382917">
        <w:t>”</w:t>
      </w:r>
      <w:r w:rsidR="00A17F27">
        <w:rPr>
          <w:rStyle w:val="FootnoteReference"/>
        </w:rPr>
        <w:footnoteReference w:id="367"/>
      </w:r>
    </w:p>
    <w:p w:rsidR="006E4F81" w:rsidRPr="00382917" w:rsidRDefault="006E4F81" w:rsidP="004C0EF8">
      <w:pPr>
        <w:pStyle w:val="Text"/>
      </w:pPr>
      <w:r w:rsidRPr="00382917">
        <w:t>This</w:t>
      </w:r>
      <w:r w:rsidR="00EE4FC3">
        <w:t xml:space="preserve"> </w:t>
      </w:r>
      <w:r w:rsidRPr="00382917">
        <w:t>chapter</w:t>
      </w:r>
      <w:r w:rsidR="00EE4FC3">
        <w:t xml:space="preserve"> </w:t>
      </w:r>
      <w:r w:rsidRPr="00382917">
        <w:t>of</w:t>
      </w:r>
      <w:r w:rsidR="00EE4FC3">
        <w:t xml:space="preserve"> </w:t>
      </w:r>
      <w:r w:rsidRPr="00382917">
        <w:t>Isaiah</w:t>
      </w:r>
      <w:r w:rsidR="00EE4FC3">
        <w:t xml:space="preserve"> </w:t>
      </w:r>
      <w:r w:rsidRPr="00382917">
        <w:t>refers</w:t>
      </w:r>
      <w:r w:rsidR="00EE4FC3">
        <w:t xml:space="preserve"> </w:t>
      </w:r>
      <w:r w:rsidRPr="00382917">
        <w:t>to</w:t>
      </w:r>
      <w:r w:rsidR="00EE4FC3">
        <w:t xml:space="preserve"> </w:t>
      </w:r>
      <w:r w:rsidRPr="00382917">
        <w:t>Bahá</w:t>
      </w:r>
      <w:r w:rsidR="009C713D" w:rsidRPr="00382917">
        <w:t>’</w:t>
      </w:r>
      <w:r w:rsidRPr="00382917">
        <w:t>u</w:t>
      </w:r>
      <w:r w:rsidR="009C713D" w:rsidRPr="00382917">
        <w:t>’</w:t>
      </w:r>
      <w:r w:rsidRPr="00382917">
        <w:t>lláh</w:t>
      </w:r>
      <w:r w:rsidR="00F267E4">
        <w:t>.</w:t>
      </w:r>
      <w:r w:rsidR="00EE4FC3">
        <w:t xml:space="preserve">  </w:t>
      </w:r>
      <w:r w:rsidRPr="00382917">
        <w:t>He</w:t>
      </w:r>
      <w:r w:rsidR="00EE4FC3">
        <w:t xml:space="preserve"> </w:t>
      </w:r>
      <w:r w:rsidRPr="00382917">
        <w:t>is</w:t>
      </w:r>
      <w:r w:rsidR="00EE4FC3">
        <w:t xml:space="preserve"> </w:t>
      </w:r>
      <w:r w:rsidRPr="00382917">
        <w:t>the</w:t>
      </w:r>
      <w:r w:rsidR="00EE4FC3">
        <w:t xml:space="preserve"> </w:t>
      </w:r>
      <w:r w:rsidR="009C713D" w:rsidRPr="00382917">
        <w:t>“</w:t>
      </w:r>
      <w:r w:rsidRPr="00382917">
        <w:t>Branch</w:t>
      </w:r>
      <w:r w:rsidR="009C713D" w:rsidRPr="00382917">
        <w:t>”</w:t>
      </w:r>
      <w:r w:rsidR="00EE4FC3">
        <w:t xml:space="preserve"> </w:t>
      </w:r>
      <w:r w:rsidRPr="00382917">
        <w:t>of</w:t>
      </w:r>
      <w:r w:rsidR="00EE4FC3">
        <w:t xml:space="preserve"> </w:t>
      </w:r>
      <w:r w:rsidRPr="00382917">
        <w:t>Jesse</w:t>
      </w:r>
      <w:r w:rsidR="00EE4FC3">
        <w:t xml:space="preserve"> </w:t>
      </w:r>
      <w:r w:rsidRPr="00382917">
        <w:t>who</w:t>
      </w:r>
      <w:r w:rsidR="00EE4FC3">
        <w:t xml:space="preserve"> </w:t>
      </w:r>
      <w:r w:rsidRPr="00382917">
        <w:t>will</w:t>
      </w:r>
      <w:r w:rsidR="00EE4FC3">
        <w:t xml:space="preserve"> </w:t>
      </w:r>
      <w:r w:rsidRPr="00382917">
        <w:t>assemble</w:t>
      </w:r>
      <w:r w:rsidR="00EE4FC3">
        <w:t xml:space="preserve"> </w:t>
      </w:r>
      <w:r w:rsidRPr="00382917">
        <w:t>the</w:t>
      </w:r>
      <w:r w:rsidR="00EE4FC3">
        <w:t xml:space="preserve"> </w:t>
      </w:r>
      <w:r w:rsidRPr="00382917">
        <w:t>outcasts</w:t>
      </w:r>
      <w:r w:rsidR="00EE4FC3">
        <w:t xml:space="preserve"> </w:t>
      </w:r>
      <w:r w:rsidRPr="00382917">
        <w:t>of</w:t>
      </w:r>
      <w:r w:rsidR="00EE4FC3">
        <w:t xml:space="preserve"> </w:t>
      </w:r>
      <w:r w:rsidRPr="00382917">
        <w:t>Israel</w:t>
      </w:r>
      <w:r w:rsidR="00F267E4">
        <w:t>.</w:t>
      </w:r>
      <w:r w:rsidR="00EE4FC3">
        <w:t xml:space="preserve">  </w:t>
      </w:r>
      <w:r w:rsidRPr="00382917">
        <w:t>The</w:t>
      </w:r>
      <w:r w:rsidR="00EE4FC3">
        <w:t xml:space="preserve"> </w:t>
      </w:r>
      <w:r w:rsidRPr="00382917">
        <w:t>Jews</w:t>
      </w:r>
      <w:r w:rsidR="00EE4FC3">
        <w:t xml:space="preserve"> </w:t>
      </w:r>
      <w:r w:rsidRPr="00382917">
        <w:t>were</w:t>
      </w:r>
      <w:r w:rsidR="00EE4FC3">
        <w:t xml:space="preserve"> </w:t>
      </w:r>
      <w:r w:rsidRPr="00382917">
        <w:t>not</w:t>
      </w:r>
      <w:r w:rsidR="00EE4FC3">
        <w:t xml:space="preserve"> </w:t>
      </w:r>
      <w:r w:rsidRPr="00382917">
        <w:t>dispersed</w:t>
      </w:r>
      <w:r w:rsidR="00EE4FC3">
        <w:t xml:space="preserve"> </w:t>
      </w:r>
      <w:r w:rsidRPr="00382917">
        <w:t>until</w:t>
      </w:r>
      <w:r w:rsidR="00EE4FC3">
        <w:t xml:space="preserve"> </w:t>
      </w:r>
      <w:r w:rsidRPr="00382917">
        <w:t>after</w:t>
      </w:r>
      <w:r w:rsidR="00EE4FC3">
        <w:t xml:space="preserve"> </w:t>
      </w:r>
      <w:r w:rsidRPr="00382917">
        <w:t>the</w:t>
      </w:r>
      <w:r w:rsidR="00EE4FC3">
        <w:t xml:space="preserve"> </w:t>
      </w:r>
      <w:r w:rsidRPr="00382917">
        <w:t>time</w:t>
      </w:r>
      <w:r w:rsidR="00EE4FC3">
        <w:t xml:space="preserve"> </w:t>
      </w:r>
      <w:r w:rsidRPr="00382917">
        <w:t>of</w:t>
      </w:r>
      <w:r w:rsidR="00EE4FC3">
        <w:t xml:space="preserve"> </w:t>
      </w:r>
      <w:r w:rsidRPr="00382917">
        <w:t>Christ;</w:t>
      </w:r>
      <w:r w:rsidR="00EE4FC3">
        <w:t xml:space="preserve"> </w:t>
      </w:r>
      <w:r w:rsidRPr="00382917">
        <w:t>they</w:t>
      </w:r>
      <w:r w:rsidR="00EE4FC3">
        <w:t xml:space="preserve"> </w:t>
      </w:r>
      <w:r w:rsidRPr="00382917">
        <w:t>were</w:t>
      </w:r>
      <w:r w:rsidR="00EE4FC3">
        <w:t xml:space="preserve"> </w:t>
      </w:r>
      <w:r w:rsidRPr="00382917">
        <w:t>in</w:t>
      </w:r>
      <w:r w:rsidR="00EE4FC3">
        <w:t xml:space="preserve"> </w:t>
      </w:r>
      <w:r w:rsidRPr="00382917">
        <w:t>his</w:t>
      </w:r>
      <w:r w:rsidR="00EE4FC3">
        <w:t xml:space="preserve"> </w:t>
      </w:r>
      <w:r w:rsidRPr="00382917">
        <w:t>life</w:t>
      </w:r>
      <w:r w:rsidR="00EE4FC3">
        <w:t xml:space="preserve"> </w:t>
      </w:r>
      <w:r w:rsidRPr="00382917">
        <w:t>still</w:t>
      </w:r>
      <w:r w:rsidR="00EE4FC3">
        <w:t xml:space="preserve"> </w:t>
      </w:r>
      <w:r w:rsidRPr="00382917">
        <w:t>assembled</w:t>
      </w:r>
      <w:r w:rsidR="00EE4FC3">
        <w:t xml:space="preserve"> </w:t>
      </w:r>
      <w:r w:rsidRPr="00382917">
        <w:t>in</w:t>
      </w:r>
      <w:r w:rsidR="00EE4FC3">
        <w:t xml:space="preserve"> </w:t>
      </w:r>
      <w:r w:rsidRPr="00382917">
        <w:t>the</w:t>
      </w:r>
      <w:r w:rsidR="00EE4FC3">
        <w:t xml:space="preserve"> </w:t>
      </w:r>
      <w:r w:rsidRPr="00382917">
        <w:t>Holy</w:t>
      </w:r>
      <w:r w:rsidR="00EE4FC3">
        <w:t xml:space="preserve"> </w:t>
      </w:r>
      <w:r w:rsidRPr="00382917">
        <w:t>Land</w:t>
      </w:r>
      <w:r w:rsidR="00F267E4">
        <w:t>.</w:t>
      </w:r>
      <w:r w:rsidR="00EE4FC3">
        <w:t xml:space="preserve">  </w:t>
      </w:r>
      <w:r w:rsidRPr="00382917">
        <w:t>They</w:t>
      </w:r>
      <w:r w:rsidR="00EE4FC3">
        <w:t xml:space="preserve"> </w:t>
      </w:r>
      <w:r w:rsidRPr="00382917">
        <w:t>had</w:t>
      </w:r>
      <w:r w:rsidR="00EE4FC3">
        <w:t xml:space="preserve"> </w:t>
      </w:r>
      <w:r w:rsidRPr="00382917">
        <w:t>not</w:t>
      </w:r>
      <w:r w:rsidR="00EE4FC3">
        <w:t xml:space="preserve"> </w:t>
      </w:r>
      <w:r w:rsidRPr="00382917">
        <w:t>yet</w:t>
      </w:r>
      <w:r w:rsidR="00EE4FC3">
        <w:t xml:space="preserve"> </w:t>
      </w:r>
      <w:r w:rsidRPr="00382917">
        <w:t>been</w:t>
      </w:r>
      <w:r w:rsidR="00EE4FC3">
        <w:t xml:space="preserve"> </w:t>
      </w:r>
      <w:r w:rsidRPr="00382917">
        <w:t>banished</w:t>
      </w:r>
      <w:r w:rsidR="00EE4FC3">
        <w:t xml:space="preserve"> </w:t>
      </w:r>
      <w:r w:rsidRPr="00382917">
        <w:t>to</w:t>
      </w:r>
      <w:r w:rsidR="00EE4FC3">
        <w:t xml:space="preserve"> </w:t>
      </w:r>
      <w:r w:rsidRPr="00382917">
        <w:t>the</w:t>
      </w:r>
      <w:r w:rsidR="00EE4FC3">
        <w:t xml:space="preserve"> </w:t>
      </w:r>
      <w:r w:rsidRPr="00382917">
        <w:t>four</w:t>
      </w:r>
      <w:r w:rsidR="00EE4FC3">
        <w:t xml:space="preserve"> </w:t>
      </w:r>
      <w:r w:rsidRPr="00382917">
        <w:t>corners</w:t>
      </w:r>
      <w:r w:rsidR="00EE4FC3">
        <w:t xml:space="preserve"> </w:t>
      </w:r>
      <w:r w:rsidRPr="00382917">
        <w:t>of</w:t>
      </w:r>
      <w:r w:rsidR="00EE4FC3">
        <w:t xml:space="preserve"> </w:t>
      </w:r>
      <w:r w:rsidRPr="00382917">
        <w:t>the</w:t>
      </w:r>
      <w:r w:rsidR="00EE4FC3">
        <w:t xml:space="preserve"> </w:t>
      </w:r>
      <w:r w:rsidRPr="00382917">
        <w:t>earth.</w:t>
      </w:r>
    </w:p>
    <w:p w:rsidR="006E4F81" w:rsidRPr="00382917" w:rsidRDefault="006E4F81" w:rsidP="004C0EF8">
      <w:pPr>
        <w:pStyle w:val="Text"/>
      </w:pPr>
      <w:r w:rsidRPr="00382917">
        <w:t>At</w:t>
      </w:r>
      <w:r w:rsidR="00EE4FC3">
        <w:t xml:space="preserve"> </w:t>
      </w:r>
      <w:r w:rsidRPr="00382917">
        <w:t>the</w:t>
      </w:r>
      <w:r w:rsidR="00EE4FC3">
        <w:t xml:space="preserve"> </w:t>
      </w:r>
      <w:r w:rsidRPr="00382917">
        <w:t>present</w:t>
      </w:r>
      <w:r w:rsidR="00EE4FC3">
        <w:t xml:space="preserve"> </w:t>
      </w:r>
      <w:r w:rsidRPr="00382917">
        <w:t>time,</w:t>
      </w:r>
      <w:r w:rsidR="00EE4FC3">
        <w:t xml:space="preserve"> </w:t>
      </w:r>
      <w:r w:rsidRPr="00382917">
        <w:t>however,</w:t>
      </w:r>
      <w:r w:rsidR="00EE4FC3">
        <w:t xml:space="preserve"> </w:t>
      </w:r>
      <w:r w:rsidRPr="00382917">
        <w:t>the</w:t>
      </w:r>
      <w:r w:rsidR="00EE4FC3">
        <w:t xml:space="preserve"> </w:t>
      </w:r>
      <w:r w:rsidRPr="00382917">
        <w:t>Jews</w:t>
      </w:r>
      <w:r w:rsidR="00EE4FC3">
        <w:t xml:space="preserve"> </w:t>
      </w:r>
      <w:r w:rsidRPr="00382917">
        <w:t>have</w:t>
      </w:r>
      <w:r w:rsidR="00EE4FC3">
        <w:t xml:space="preserve"> </w:t>
      </w:r>
      <w:r w:rsidRPr="00382917">
        <w:t>been</w:t>
      </w:r>
      <w:r w:rsidR="00EE4FC3">
        <w:t xml:space="preserve"> </w:t>
      </w:r>
      <w:r w:rsidRPr="00382917">
        <w:t>returning</w:t>
      </w:r>
      <w:r w:rsidR="00EE4FC3">
        <w:t xml:space="preserve"> </w:t>
      </w:r>
      <w:r w:rsidRPr="00382917">
        <w:t>from</w:t>
      </w:r>
      <w:r w:rsidR="00EE4FC3">
        <w:t xml:space="preserve"> </w:t>
      </w:r>
      <w:r w:rsidRPr="00382917">
        <w:t>all</w:t>
      </w:r>
      <w:r w:rsidR="00EE4FC3">
        <w:t xml:space="preserve"> </w:t>
      </w:r>
      <w:r w:rsidRPr="00382917">
        <w:t>parts</w:t>
      </w:r>
      <w:r w:rsidR="00EE4FC3">
        <w:t xml:space="preserve"> </w:t>
      </w:r>
      <w:r w:rsidRPr="00382917">
        <w:t>of</w:t>
      </w:r>
      <w:r w:rsidR="00EE4FC3">
        <w:t xml:space="preserve"> </w:t>
      </w:r>
      <w:r w:rsidRPr="00382917">
        <w:t>the</w:t>
      </w:r>
      <w:r w:rsidR="00EE4FC3">
        <w:t xml:space="preserve"> </w:t>
      </w:r>
      <w:r w:rsidRPr="00382917">
        <w:t>earth</w:t>
      </w:r>
      <w:r w:rsidR="00EE4FC3">
        <w:t xml:space="preserve"> </w:t>
      </w:r>
      <w:r w:rsidRPr="00382917">
        <w:t>to</w:t>
      </w:r>
      <w:r w:rsidR="00EE4FC3">
        <w:t xml:space="preserve"> </w:t>
      </w:r>
      <w:r w:rsidRPr="00382917">
        <w:t>Israel</w:t>
      </w:r>
      <w:r w:rsidR="00F267E4">
        <w:t>.</w:t>
      </w:r>
      <w:r w:rsidR="00EE4FC3">
        <w:t xml:space="preserve">  </w:t>
      </w:r>
      <w:r w:rsidRPr="00382917">
        <w:t>On</w:t>
      </w:r>
      <w:r w:rsidR="00EE4FC3">
        <w:t xml:space="preserve"> </w:t>
      </w:r>
      <w:r w:rsidRPr="00382917">
        <w:t>the</w:t>
      </w:r>
      <w:r w:rsidR="00EE4FC3">
        <w:t xml:space="preserve"> </w:t>
      </w:r>
      <w:r w:rsidRPr="00382917">
        <w:t>sides</w:t>
      </w:r>
      <w:r w:rsidR="00EE4FC3">
        <w:t xml:space="preserve"> </w:t>
      </w:r>
      <w:r w:rsidRPr="00382917">
        <w:t>of</w:t>
      </w:r>
      <w:r w:rsidR="00EE4FC3">
        <w:t xml:space="preserve"> </w:t>
      </w:r>
      <w:r w:rsidRPr="00382917">
        <w:t>Mount</w:t>
      </w:r>
      <w:r w:rsidR="00EE4FC3">
        <w:t xml:space="preserve"> </w:t>
      </w:r>
      <w:r w:rsidRPr="00382917">
        <w:t>Carmel,</w:t>
      </w:r>
      <w:r w:rsidR="00EE4FC3">
        <w:t xml:space="preserve"> </w:t>
      </w:r>
      <w:r w:rsidRPr="00382917">
        <w:t>the</w:t>
      </w:r>
      <w:r w:rsidR="00EE4FC3">
        <w:t xml:space="preserve"> </w:t>
      </w:r>
      <w:r w:rsidRPr="00382917">
        <w:t>Bahá</w:t>
      </w:r>
      <w:r w:rsidR="009C713D" w:rsidRPr="00382917">
        <w:t>’</w:t>
      </w:r>
      <w:r w:rsidRPr="00382917">
        <w:t>í</w:t>
      </w:r>
      <w:r w:rsidR="00EE4FC3">
        <w:t xml:space="preserve"> </w:t>
      </w:r>
      <w:r w:rsidRPr="00382917">
        <w:t>Shrines</w:t>
      </w:r>
      <w:r w:rsidR="00EE4FC3">
        <w:t xml:space="preserve"> </w:t>
      </w:r>
      <w:r w:rsidRPr="00382917">
        <w:t>and</w:t>
      </w:r>
      <w:r w:rsidR="00EE4FC3">
        <w:t xml:space="preserve"> </w:t>
      </w:r>
      <w:r w:rsidRPr="00382917">
        <w:t>holy</w:t>
      </w:r>
      <w:r w:rsidR="00EE4FC3">
        <w:t xml:space="preserve"> </w:t>
      </w:r>
      <w:r w:rsidRPr="00382917">
        <w:t>places</w:t>
      </w:r>
      <w:r w:rsidR="00EE4FC3">
        <w:t xml:space="preserve"> </w:t>
      </w:r>
      <w:r w:rsidRPr="00382917">
        <w:t>can</w:t>
      </w:r>
      <w:r w:rsidR="00EE4FC3">
        <w:t xml:space="preserve"> </w:t>
      </w:r>
      <w:r w:rsidRPr="00382917">
        <w:t>be</w:t>
      </w:r>
      <w:r w:rsidR="00EE4FC3">
        <w:t xml:space="preserve"> </w:t>
      </w:r>
      <w:r w:rsidRPr="00382917">
        <w:t>seen</w:t>
      </w:r>
      <w:r w:rsidR="00EE4FC3">
        <w:t xml:space="preserve"> </w:t>
      </w:r>
      <w:r w:rsidRPr="00382917">
        <w:t>from</w:t>
      </w:r>
      <w:r w:rsidR="00EE4FC3">
        <w:t xml:space="preserve"> </w:t>
      </w:r>
      <w:r w:rsidRPr="00382917">
        <w:t>the</w:t>
      </w:r>
      <w:r w:rsidR="00EE4FC3">
        <w:t xml:space="preserve"> </w:t>
      </w:r>
      <w:r w:rsidRPr="00382917">
        <w:t>sea</w:t>
      </w:r>
      <w:r w:rsidR="00EE4FC3">
        <w:t xml:space="preserve"> </w:t>
      </w:r>
      <w:r w:rsidRPr="00382917">
        <w:t>for</w:t>
      </w:r>
      <w:r w:rsidR="00EE4FC3">
        <w:t xml:space="preserve"> </w:t>
      </w:r>
      <w:r w:rsidRPr="00382917">
        <w:t>miles</w:t>
      </w:r>
      <w:r w:rsidR="00F267E4">
        <w:t>.</w:t>
      </w:r>
      <w:r w:rsidR="00EE4FC3">
        <w:t xml:space="preserve">  </w:t>
      </w:r>
      <w:r w:rsidRPr="00382917">
        <w:t>They</w:t>
      </w:r>
      <w:r w:rsidR="00EE4FC3">
        <w:t xml:space="preserve"> </w:t>
      </w:r>
      <w:r w:rsidRPr="00382917">
        <w:t>stand</w:t>
      </w:r>
      <w:r w:rsidR="00EE4FC3">
        <w:t xml:space="preserve"> </w:t>
      </w:r>
      <w:r w:rsidRPr="00382917">
        <w:t>within</w:t>
      </w:r>
      <w:r w:rsidR="00EE4FC3">
        <w:t xml:space="preserve"> </w:t>
      </w:r>
      <w:r w:rsidRPr="00382917">
        <w:t>the</w:t>
      </w:r>
      <w:r w:rsidR="00EE4FC3">
        <w:t xml:space="preserve"> </w:t>
      </w:r>
      <w:r w:rsidRPr="00382917">
        <w:t>shadow</w:t>
      </w:r>
      <w:r w:rsidR="00EE4FC3">
        <w:t xml:space="preserve"> </w:t>
      </w:r>
      <w:r w:rsidRPr="00382917">
        <w:t>of</w:t>
      </w:r>
      <w:r w:rsidR="00EE4FC3">
        <w:t xml:space="preserve"> </w:t>
      </w:r>
      <w:r w:rsidRPr="00382917">
        <w:t>the</w:t>
      </w:r>
      <w:r w:rsidR="00EE4FC3">
        <w:t xml:space="preserve"> </w:t>
      </w:r>
      <w:r w:rsidRPr="00382917">
        <w:t>cave</w:t>
      </w:r>
      <w:r w:rsidR="00EE4FC3">
        <w:t xml:space="preserve"> </w:t>
      </w:r>
      <w:r w:rsidRPr="00382917">
        <w:t>of</w:t>
      </w:r>
      <w:r w:rsidR="00EE4FC3">
        <w:t xml:space="preserve"> </w:t>
      </w:r>
      <w:r w:rsidRPr="00382917">
        <w:t>Elijah</w:t>
      </w:r>
      <w:r w:rsidR="00EE4FC3">
        <w:t xml:space="preserve"> </w:t>
      </w:r>
      <w:r w:rsidRPr="00382917">
        <w:t>where</w:t>
      </w:r>
      <w:r w:rsidR="00EE4FC3">
        <w:t xml:space="preserve"> </w:t>
      </w:r>
      <w:r w:rsidRPr="00382917">
        <w:t>the</w:t>
      </w:r>
      <w:r w:rsidR="00EE4FC3">
        <w:t xml:space="preserve"> </w:t>
      </w:r>
      <w:r w:rsidRPr="00382917">
        <w:t>feet</w:t>
      </w:r>
      <w:r w:rsidR="00EE4FC3">
        <w:t xml:space="preserve"> </w:t>
      </w:r>
      <w:r w:rsidRPr="00382917">
        <w:t>of</w:t>
      </w:r>
      <w:r w:rsidR="00EE4FC3">
        <w:t xml:space="preserve"> </w:t>
      </w:r>
      <w:r w:rsidRPr="00382917">
        <w:t>Bahá</w:t>
      </w:r>
      <w:r w:rsidR="009C713D" w:rsidRPr="00382917">
        <w:t>’</w:t>
      </w:r>
      <w:r w:rsidRPr="00382917">
        <w:t>u</w:t>
      </w:r>
      <w:r w:rsidR="009C713D" w:rsidRPr="00382917">
        <w:t>’</w:t>
      </w:r>
      <w:r w:rsidRPr="00382917">
        <w:t>lláh,</w:t>
      </w:r>
      <w:r w:rsidR="00EE4FC3">
        <w:t xml:space="preserve"> </w:t>
      </w:r>
      <w:r w:rsidRPr="00382917">
        <w:t>of</w:t>
      </w:r>
      <w:r w:rsidR="00EE4FC3">
        <w:t xml:space="preserve"> </w:t>
      </w:r>
      <w:r w:rsidRPr="00382917">
        <w:t>Christ,</w:t>
      </w:r>
      <w:r w:rsidR="00EE4FC3">
        <w:t xml:space="preserve"> </w:t>
      </w:r>
      <w:r w:rsidRPr="00382917">
        <w:t>and</w:t>
      </w:r>
      <w:r w:rsidR="00EE4FC3">
        <w:t xml:space="preserve"> </w:t>
      </w:r>
      <w:r w:rsidRPr="00382917">
        <w:t>of</w:t>
      </w:r>
      <w:r w:rsidR="00EE4FC3">
        <w:t xml:space="preserve"> </w:t>
      </w:r>
      <w:r w:rsidRPr="00382917">
        <w:t>the</w:t>
      </w:r>
      <w:r w:rsidR="00EE4FC3">
        <w:t xml:space="preserve"> </w:t>
      </w:r>
      <w:r w:rsidRPr="00382917">
        <w:t>Prophets</w:t>
      </w:r>
      <w:r w:rsidR="00EE4FC3">
        <w:t xml:space="preserve"> </w:t>
      </w:r>
      <w:r w:rsidRPr="00382917">
        <w:t>of</w:t>
      </w:r>
      <w:r w:rsidR="00EE4FC3">
        <w:t xml:space="preserve"> </w:t>
      </w:r>
      <w:r w:rsidRPr="00382917">
        <w:t>old</w:t>
      </w:r>
      <w:r w:rsidR="00EE4FC3">
        <w:t xml:space="preserve"> </w:t>
      </w:r>
      <w:r w:rsidRPr="00382917">
        <w:t>once</w:t>
      </w:r>
      <w:r w:rsidR="00EE4FC3">
        <w:t xml:space="preserve"> </w:t>
      </w:r>
      <w:r w:rsidRPr="00382917">
        <w:t>walked</w:t>
      </w:r>
      <w:r w:rsidR="00F267E4">
        <w:t>.</w:t>
      </w:r>
      <w:r w:rsidR="00EE4FC3">
        <w:t xml:space="preserve">  </w:t>
      </w:r>
      <w:r w:rsidRPr="00382917">
        <w:t>From</w:t>
      </w:r>
      <w:r w:rsidR="00EE4FC3">
        <w:t xml:space="preserve"> </w:t>
      </w:r>
      <w:r w:rsidRPr="00382917">
        <w:t>the</w:t>
      </w:r>
      <w:r w:rsidR="00EE4FC3">
        <w:t xml:space="preserve"> </w:t>
      </w:r>
      <w:r w:rsidRPr="00382917">
        <w:t>arid</w:t>
      </w:r>
      <w:r w:rsidR="00EE4FC3">
        <w:t xml:space="preserve"> </w:t>
      </w:r>
      <w:r w:rsidRPr="00382917">
        <w:t>waste</w:t>
      </w:r>
      <w:r w:rsidR="00EE4FC3">
        <w:t xml:space="preserve"> </w:t>
      </w:r>
      <w:r w:rsidRPr="00382917">
        <w:t>of</w:t>
      </w:r>
      <w:r w:rsidR="00EE4FC3">
        <w:t xml:space="preserve"> </w:t>
      </w:r>
      <w:r w:rsidRPr="00382917">
        <w:t>this</w:t>
      </w:r>
      <w:r w:rsidR="00EE4FC3">
        <w:t xml:space="preserve"> </w:t>
      </w:r>
      <w:r w:rsidRPr="00382917">
        <w:t>mountain</w:t>
      </w:r>
      <w:r w:rsidR="00EE4FC3">
        <w:t xml:space="preserve"> </w:t>
      </w:r>
      <w:r w:rsidRPr="00382917">
        <w:t>of</w:t>
      </w:r>
      <w:r w:rsidR="00EE4FC3">
        <w:t xml:space="preserve"> </w:t>
      </w:r>
      <w:r w:rsidRPr="00382917">
        <w:t>rock</w:t>
      </w:r>
      <w:r w:rsidR="00EE4FC3">
        <w:t xml:space="preserve"> </w:t>
      </w:r>
      <w:r w:rsidRPr="00382917">
        <w:t>has</w:t>
      </w:r>
      <w:r w:rsidR="00EE4FC3">
        <w:t xml:space="preserve"> </w:t>
      </w:r>
      <w:r w:rsidRPr="00382917">
        <w:t>been</w:t>
      </w:r>
      <w:r w:rsidR="00EE4FC3">
        <w:t xml:space="preserve"> </w:t>
      </w:r>
      <w:r w:rsidRPr="00382917">
        <w:t>carved</w:t>
      </w:r>
      <w:r w:rsidR="00EE4FC3">
        <w:t xml:space="preserve"> </w:t>
      </w:r>
      <w:r w:rsidRPr="00382917">
        <w:t>a</w:t>
      </w:r>
      <w:r w:rsidR="00EE4FC3">
        <w:t xml:space="preserve"> </w:t>
      </w:r>
      <w:r w:rsidRPr="00382917">
        <w:t>beautiful</w:t>
      </w:r>
      <w:r w:rsidR="00EE4FC3">
        <w:t xml:space="preserve"> </w:t>
      </w:r>
      <w:r w:rsidRPr="00382917">
        <w:t>garden</w:t>
      </w:r>
      <w:r w:rsidR="00EE4FC3">
        <w:t xml:space="preserve"> </w:t>
      </w:r>
      <w:r w:rsidRPr="00382917">
        <w:t>of</w:t>
      </w:r>
      <w:r w:rsidR="00EE4FC3">
        <w:t xml:space="preserve"> </w:t>
      </w:r>
      <w:r w:rsidRPr="00382917">
        <w:t>paths,</w:t>
      </w:r>
      <w:r w:rsidR="00EE4FC3">
        <w:t xml:space="preserve"> </w:t>
      </w:r>
      <w:r w:rsidRPr="00382917">
        <w:t>flowers,</w:t>
      </w:r>
      <w:r w:rsidR="00EE4FC3">
        <w:t xml:space="preserve"> </w:t>
      </w:r>
      <w:r w:rsidRPr="00382917">
        <w:t>trees—indeed</w:t>
      </w:r>
      <w:r w:rsidR="00EE4FC3">
        <w:t xml:space="preserve"> </w:t>
      </w:r>
      <w:r w:rsidRPr="00382917">
        <w:t>as</w:t>
      </w:r>
      <w:r w:rsidR="00EE4FC3">
        <w:t xml:space="preserve"> </w:t>
      </w:r>
      <w:r w:rsidRPr="00382917">
        <w:t>Isaiah</w:t>
      </w:r>
      <w:r w:rsidR="00EE4FC3">
        <w:t xml:space="preserve"> </w:t>
      </w:r>
      <w:r w:rsidRPr="00382917">
        <w:t>had</w:t>
      </w:r>
      <w:r w:rsidR="00EE4FC3">
        <w:t xml:space="preserve"> </w:t>
      </w:r>
      <w:r w:rsidRPr="00382917">
        <w:t>promised,</w:t>
      </w:r>
      <w:r w:rsidR="00EE4FC3">
        <w:t xml:space="preserve"> </w:t>
      </w:r>
      <w:r w:rsidRPr="00382917">
        <w:t>the</w:t>
      </w:r>
      <w:r w:rsidR="00EE4FC3">
        <w:t xml:space="preserve"> </w:t>
      </w:r>
      <w:r w:rsidRPr="00382917">
        <w:t>place</w:t>
      </w:r>
      <w:r w:rsidR="00EE4FC3">
        <w:t xml:space="preserve"> </w:t>
      </w:r>
      <w:r w:rsidRPr="00382917">
        <w:t>of</w:t>
      </w:r>
      <w:r w:rsidR="00EE4FC3">
        <w:t xml:space="preserve"> </w:t>
      </w:r>
      <w:r w:rsidR="009C713D" w:rsidRPr="00382917">
        <w:t>“</w:t>
      </w:r>
      <w:r w:rsidRPr="00382917">
        <w:t>his</w:t>
      </w:r>
      <w:r w:rsidR="00EE4FC3">
        <w:t xml:space="preserve"> </w:t>
      </w:r>
      <w:r w:rsidRPr="00382917">
        <w:t>rest</w:t>
      </w:r>
      <w:r w:rsidR="00EE4FC3">
        <w:t xml:space="preserve"> </w:t>
      </w:r>
      <w:r w:rsidRPr="00382917">
        <w:t>shall</w:t>
      </w:r>
      <w:r w:rsidR="00EE4FC3">
        <w:t xml:space="preserve"> </w:t>
      </w:r>
      <w:r w:rsidRPr="00382917">
        <w:t>be</w:t>
      </w:r>
      <w:r w:rsidR="00EE4FC3">
        <w:t xml:space="preserve"> </w:t>
      </w:r>
      <w:r w:rsidRPr="00382917">
        <w:t>glorious.</w:t>
      </w:r>
      <w:r w:rsidR="009C713D" w:rsidRPr="00382917">
        <w:t>”</w:t>
      </w:r>
    </w:p>
    <w:p w:rsidR="006E4F81" w:rsidRPr="00382917" w:rsidRDefault="006E4F81" w:rsidP="00A17F27">
      <w:pPr>
        <w:pStyle w:val="Text"/>
      </w:pPr>
      <w:r w:rsidRPr="00382917">
        <w:t>The</w:t>
      </w:r>
      <w:r w:rsidR="00EE4FC3">
        <w:t xml:space="preserve"> </w:t>
      </w:r>
      <w:r w:rsidRPr="00382917">
        <w:t>story</w:t>
      </w:r>
      <w:r w:rsidR="00EE4FC3">
        <w:t xml:space="preserve"> </w:t>
      </w:r>
      <w:r w:rsidRPr="00382917">
        <w:t>in</w:t>
      </w:r>
      <w:r w:rsidR="00EE4FC3">
        <w:t xml:space="preserve"> </w:t>
      </w:r>
      <w:r w:rsidRPr="00382917">
        <w:t>the</w:t>
      </w:r>
      <w:r w:rsidR="00EE4FC3">
        <w:t xml:space="preserve"> </w:t>
      </w:r>
      <w:r w:rsidRPr="00382917">
        <w:t>Bible</w:t>
      </w:r>
      <w:r w:rsidR="00EE4FC3">
        <w:t xml:space="preserve"> </w:t>
      </w:r>
      <w:r w:rsidRPr="00382917">
        <w:t>of</w:t>
      </w:r>
      <w:r w:rsidR="00EE4FC3">
        <w:t xml:space="preserve"> </w:t>
      </w:r>
      <w:r w:rsidRPr="00382917">
        <w:t>the</w:t>
      </w:r>
      <w:r w:rsidR="00EE4FC3">
        <w:t xml:space="preserve"> </w:t>
      </w:r>
      <w:r w:rsidRPr="00382917">
        <w:t>oneness</w:t>
      </w:r>
      <w:r w:rsidR="00EE4FC3">
        <w:t xml:space="preserve"> </w:t>
      </w:r>
      <w:r w:rsidRPr="00382917">
        <w:t>of</w:t>
      </w:r>
      <w:r w:rsidR="00EE4FC3">
        <w:t xml:space="preserve"> </w:t>
      </w:r>
      <w:r w:rsidRPr="00382917">
        <w:t>God</w:t>
      </w:r>
      <w:r w:rsidR="00EE4FC3">
        <w:t xml:space="preserve"> </w:t>
      </w:r>
      <w:r w:rsidRPr="00382917">
        <w:t>began</w:t>
      </w:r>
      <w:r w:rsidR="00EE4FC3">
        <w:t xml:space="preserve"> </w:t>
      </w:r>
      <w:r w:rsidRPr="00382917">
        <w:t>with</w:t>
      </w:r>
      <w:r w:rsidR="00EE4FC3">
        <w:t xml:space="preserve"> </w:t>
      </w:r>
      <w:proofErr w:type="spellStart"/>
      <w:r w:rsidRPr="00382917">
        <w:t>Abra</w:t>
      </w:r>
      <w:proofErr w:type="spellEnd"/>
      <w:r w:rsidRPr="00382917">
        <w:t>-</w:t>
      </w:r>
    </w:p>
    <w:p w:rsidR="004C0EF8" w:rsidRPr="00382917" w:rsidRDefault="004C0EF8">
      <w:pPr>
        <w:widowControl/>
        <w:kinsoku/>
        <w:overflowPunct/>
        <w:textAlignment w:val="auto"/>
      </w:pPr>
      <w:r w:rsidRPr="00382917">
        <w:br w:type="page"/>
      </w:r>
    </w:p>
    <w:p w:rsidR="006E4F81" w:rsidRPr="00382917" w:rsidRDefault="006E4F81" w:rsidP="004C0EF8">
      <w:pPr>
        <w:pStyle w:val="Textcts"/>
      </w:pPr>
      <w:proofErr w:type="gramStart"/>
      <w:r w:rsidRPr="00382917">
        <w:t>ham</w:t>
      </w:r>
      <w:proofErr w:type="gramEnd"/>
      <w:r w:rsidRPr="00382917">
        <w:t>,</w:t>
      </w:r>
      <w:r w:rsidR="00EE4FC3">
        <w:t xml:space="preserve"> </w:t>
      </w:r>
      <w:r w:rsidRPr="00382917">
        <w:t>Father</w:t>
      </w:r>
      <w:r w:rsidR="00EE4FC3">
        <w:t xml:space="preserve"> </w:t>
      </w:r>
      <w:r w:rsidRPr="00382917">
        <w:t>of</w:t>
      </w:r>
      <w:r w:rsidR="00EE4FC3">
        <w:t xml:space="preserve"> </w:t>
      </w:r>
      <w:r w:rsidRPr="00382917">
        <w:t>the</w:t>
      </w:r>
      <w:r w:rsidR="00EE4FC3">
        <w:t xml:space="preserve"> </w:t>
      </w:r>
      <w:r w:rsidRPr="00382917">
        <w:t>Faithful</w:t>
      </w:r>
      <w:r w:rsidR="00F267E4">
        <w:t>.</w:t>
      </w:r>
      <w:r w:rsidR="00EE4FC3">
        <w:t xml:space="preserve">  </w:t>
      </w:r>
      <w:r w:rsidRPr="00382917">
        <w:t>Through</w:t>
      </w:r>
      <w:r w:rsidR="00EE4FC3">
        <w:t xml:space="preserve"> </w:t>
      </w:r>
      <w:r w:rsidRPr="00382917">
        <w:t>the</w:t>
      </w:r>
      <w:r w:rsidR="00EE4FC3">
        <w:t xml:space="preserve"> </w:t>
      </w:r>
      <w:r w:rsidRPr="00382917">
        <w:t>seed</w:t>
      </w:r>
      <w:r w:rsidR="00EE4FC3">
        <w:t xml:space="preserve"> </w:t>
      </w:r>
      <w:r w:rsidRPr="00382917">
        <w:t>of</w:t>
      </w:r>
      <w:r w:rsidR="00EE4FC3">
        <w:t xml:space="preserve"> </w:t>
      </w:r>
      <w:r w:rsidRPr="00382917">
        <w:t>Ismá</w:t>
      </w:r>
      <w:r w:rsidR="009C713D" w:rsidRPr="00382917">
        <w:t>‘</w:t>
      </w:r>
      <w:r w:rsidRPr="00382917">
        <w:t>íl</w:t>
      </w:r>
      <w:r w:rsidR="00EE4FC3">
        <w:t xml:space="preserve"> </w:t>
      </w:r>
      <w:r w:rsidRPr="00382917">
        <w:t>came</w:t>
      </w:r>
      <w:r w:rsidR="00EE4FC3">
        <w:t xml:space="preserve"> </w:t>
      </w:r>
      <w:r w:rsidRPr="00382917">
        <w:t>the</w:t>
      </w:r>
      <w:r w:rsidR="00EE4FC3">
        <w:t xml:space="preserve"> </w:t>
      </w:r>
      <w:r w:rsidRPr="00382917">
        <w:t>religion</w:t>
      </w:r>
      <w:r w:rsidR="00EE4FC3">
        <w:t xml:space="preserve"> </w:t>
      </w:r>
      <w:r w:rsidRPr="00382917">
        <w:t>of</w:t>
      </w:r>
      <w:r w:rsidR="00EE4FC3">
        <w:t xml:space="preserve"> </w:t>
      </w:r>
      <w:r w:rsidRPr="00382917">
        <w:t>Muḥammad</w:t>
      </w:r>
      <w:r w:rsidR="00EE4FC3">
        <w:t xml:space="preserve"> </w:t>
      </w:r>
      <w:r w:rsidRPr="00382917">
        <w:t>and</w:t>
      </w:r>
      <w:r w:rsidR="00EE4FC3">
        <w:t xml:space="preserve"> </w:t>
      </w:r>
      <w:r w:rsidRPr="00382917">
        <w:t>of</w:t>
      </w:r>
      <w:r w:rsidR="00EE4FC3">
        <w:t xml:space="preserve"> </w:t>
      </w:r>
      <w:r w:rsidRPr="00382917">
        <w:t>the</w:t>
      </w:r>
      <w:r w:rsidR="00EE4FC3">
        <w:t xml:space="preserve"> </w:t>
      </w:r>
      <w:r w:rsidRPr="00382917">
        <w:t>Báb</w:t>
      </w:r>
      <w:r w:rsidR="00F267E4">
        <w:t>.</w:t>
      </w:r>
      <w:r w:rsidR="00EE4FC3">
        <w:t xml:space="preserve">  </w:t>
      </w:r>
      <w:r w:rsidRPr="00382917">
        <w:t>Through</w:t>
      </w:r>
      <w:r w:rsidR="00EE4FC3">
        <w:t xml:space="preserve"> </w:t>
      </w:r>
      <w:r w:rsidRPr="00382917">
        <w:t>the</w:t>
      </w:r>
      <w:r w:rsidR="00EE4FC3">
        <w:t xml:space="preserve"> </w:t>
      </w:r>
      <w:r w:rsidRPr="00382917">
        <w:t>seed</w:t>
      </w:r>
      <w:r w:rsidR="00EE4FC3">
        <w:t xml:space="preserve"> </w:t>
      </w:r>
      <w:r w:rsidRPr="00382917">
        <w:t>of</w:t>
      </w:r>
      <w:r w:rsidR="00EE4FC3">
        <w:t xml:space="preserve"> </w:t>
      </w:r>
      <w:r w:rsidRPr="00382917">
        <w:t>Isaac</w:t>
      </w:r>
      <w:r w:rsidR="00EE4FC3">
        <w:t xml:space="preserve"> </w:t>
      </w:r>
      <w:r w:rsidRPr="00382917">
        <w:t>came</w:t>
      </w:r>
      <w:r w:rsidR="00EE4FC3">
        <w:t xml:space="preserve"> </w:t>
      </w:r>
      <w:r w:rsidRPr="00382917">
        <w:t>the</w:t>
      </w:r>
      <w:r w:rsidR="00EE4FC3">
        <w:t xml:space="preserve"> </w:t>
      </w:r>
      <w:r w:rsidRPr="00382917">
        <w:t>religion</w:t>
      </w:r>
      <w:r w:rsidR="00EE4FC3">
        <w:t xml:space="preserve"> </w:t>
      </w:r>
      <w:r w:rsidRPr="00382917">
        <w:t>of</w:t>
      </w:r>
      <w:r w:rsidR="00EE4FC3">
        <w:t xml:space="preserve"> </w:t>
      </w:r>
      <w:r w:rsidRPr="00382917">
        <w:t>Moses</w:t>
      </w:r>
      <w:r w:rsidR="00EE4FC3">
        <w:t xml:space="preserve"> </w:t>
      </w:r>
      <w:r w:rsidRPr="00382917">
        <w:t>and</w:t>
      </w:r>
      <w:r w:rsidR="00EE4FC3">
        <w:t xml:space="preserve"> </w:t>
      </w:r>
      <w:r w:rsidRPr="00382917">
        <w:t>of</w:t>
      </w:r>
      <w:r w:rsidR="00EE4FC3">
        <w:t xml:space="preserve"> </w:t>
      </w:r>
      <w:r w:rsidRPr="00382917">
        <w:t>Jesus.</w:t>
      </w:r>
    </w:p>
    <w:p w:rsidR="006E4F81" w:rsidRPr="00382917" w:rsidRDefault="006E4F81" w:rsidP="004C0EF8">
      <w:pPr>
        <w:pStyle w:val="Text"/>
      </w:pPr>
      <w:r w:rsidRPr="00382917">
        <w:t>Abraham</w:t>
      </w:r>
      <w:r w:rsidR="00EE4FC3">
        <w:t xml:space="preserve"> </w:t>
      </w:r>
      <w:r w:rsidRPr="00382917">
        <w:t>talked</w:t>
      </w:r>
      <w:r w:rsidR="00EE4FC3">
        <w:t xml:space="preserve"> </w:t>
      </w:r>
      <w:r w:rsidRPr="00382917">
        <w:t>with</w:t>
      </w:r>
      <w:r w:rsidR="00EE4FC3">
        <w:t xml:space="preserve"> </w:t>
      </w:r>
      <w:r w:rsidRPr="00382917">
        <w:t>God</w:t>
      </w:r>
      <w:r w:rsidR="00EE4FC3">
        <w:t xml:space="preserve"> </w:t>
      </w:r>
      <w:r w:rsidRPr="00382917">
        <w:t>in</w:t>
      </w:r>
      <w:r w:rsidR="00EE4FC3">
        <w:t xml:space="preserve"> </w:t>
      </w:r>
      <w:r w:rsidRPr="00382917">
        <w:t>the</w:t>
      </w:r>
      <w:r w:rsidR="00EE4FC3">
        <w:t xml:space="preserve"> </w:t>
      </w:r>
      <w:r w:rsidRPr="00382917">
        <w:t>land</w:t>
      </w:r>
      <w:r w:rsidR="00EE4FC3">
        <w:t xml:space="preserve"> </w:t>
      </w:r>
      <w:r w:rsidRPr="00382917">
        <w:t>of</w:t>
      </w:r>
      <w:r w:rsidR="00EE4FC3">
        <w:t xml:space="preserve"> </w:t>
      </w:r>
      <w:r w:rsidRPr="00382917">
        <w:t>Ur</w:t>
      </w:r>
      <w:r w:rsidR="00EE4FC3">
        <w:t xml:space="preserve"> </w:t>
      </w:r>
      <w:r w:rsidRPr="00382917">
        <w:t>in</w:t>
      </w:r>
      <w:r w:rsidR="00EE4FC3">
        <w:t xml:space="preserve"> </w:t>
      </w:r>
      <w:r w:rsidRPr="00382917">
        <w:t>the</w:t>
      </w:r>
      <w:r w:rsidR="00EE4FC3">
        <w:t xml:space="preserve"> </w:t>
      </w:r>
      <w:r w:rsidRPr="00382917">
        <w:t>Chaldees</w:t>
      </w:r>
      <w:r w:rsidR="00EE4FC3">
        <w:t xml:space="preserve"> </w:t>
      </w:r>
      <w:r w:rsidRPr="00382917">
        <w:t>in</w:t>
      </w:r>
      <w:r w:rsidR="00EE4FC3">
        <w:t xml:space="preserve"> </w:t>
      </w:r>
      <w:r w:rsidRPr="00382917">
        <w:t>the</w:t>
      </w:r>
      <w:r w:rsidR="00EE4FC3">
        <w:t xml:space="preserve"> </w:t>
      </w:r>
      <w:r w:rsidRPr="00382917">
        <w:t>valley</w:t>
      </w:r>
      <w:r w:rsidR="00EE4FC3">
        <w:t xml:space="preserve"> </w:t>
      </w:r>
      <w:r w:rsidRPr="00382917">
        <w:t>of</w:t>
      </w:r>
      <w:r w:rsidR="00EE4FC3">
        <w:t xml:space="preserve"> </w:t>
      </w:r>
      <w:r w:rsidRPr="00382917">
        <w:t>the</w:t>
      </w:r>
      <w:r w:rsidR="00EE4FC3">
        <w:t xml:space="preserve"> </w:t>
      </w:r>
      <w:r w:rsidRPr="00382917">
        <w:t>Tigris</w:t>
      </w:r>
      <w:r w:rsidR="00EE4FC3">
        <w:t xml:space="preserve"> </w:t>
      </w:r>
      <w:r w:rsidRPr="00382917">
        <w:t>and</w:t>
      </w:r>
      <w:r w:rsidR="00EE4FC3">
        <w:t xml:space="preserve"> </w:t>
      </w:r>
      <w:r w:rsidRPr="00382917">
        <w:t>Euphrates</w:t>
      </w:r>
      <w:r w:rsidR="00EE4FC3">
        <w:t xml:space="preserve"> </w:t>
      </w:r>
      <w:r w:rsidRPr="00382917">
        <w:t>rivers</w:t>
      </w:r>
      <w:r w:rsidR="00F267E4">
        <w:t>.</w:t>
      </w:r>
      <w:r w:rsidR="00EE4FC3">
        <w:t xml:space="preserve">  </w:t>
      </w:r>
      <w:r w:rsidRPr="00382917">
        <w:t>He</w:t>
      </w:r>
      <w:r w:rsidR="00EE4FC3">
        <w:t xml:space="preserve"> </w:t>
      </w:r>
      <w:r w:rsidRPr="00382917">
        <w:t>was</w:t>
      </w:r>
      <w:r w:rsidR="00EE4FC3">
        <w:t xml:space="preserve"> </w:t>
      </w:r>
      <w:r w:rsidRPr="00382917">
        <w:t>then</w:t>
      </w:r>
      <w:r w:rsidR="00EE4FC3">
        <w:t xml:space="preserve"> </w:t>
      </w:r>
      <w:r w:rsidRPr="00382917">
        <w:t>exiled</w:t>
      </w:r>
      <w:r w:rsidR="00EE4FC3">
        <w:t xml:space="preserve"> </w:t>
      </w:r>
      <w:r w:rsidRPr="00382917">
        <w:t>to</w:t>
      </w:r>
      <w:r w:rsidR="00EE4FC3">
        <w:t xml:space="preserve"> </w:t>
      </w:r>
      <w:r w:rsidRPr="00382917">
        <w:t>Syria</w:t>
      </w:r>
      <w:r w:rsidR="00F267E4">
        <w:t>.</w:t>
      </w:r>
      <w:r w:rsidR="00EE4FC3">
        <w:t xml:space="preserve">  </w:t>
      </w:r>
      <w:r w:rsidRPr="00382917">
        <w:t>Bahá</w:t>
      </w:r>
      <w:r w:rsidR="009C713D" w:rsidRPr="00382917">
        <w:t>’</w:t>
      </w:r>
      <w:r w:rsidRPr="00382917">
        <w:t>u</w:t>
      </w:r>
      <w:r w:rsidR="009C713D" w:rsidRPr="00382917">
        <w:t>’</w:t>
      </w:r>
      <w:r w:rsidRPr="00382917">
        <w:t>lláh,</w:t>
      </w:r>
      <w:r w:rsidR="00EE4FC3">
        <w:t xml:space="preserve"> </w:t>
      </w:r>
      <w:r w:rsidRPr="00382917">
        <w:t>of</w:t>
      </w:r>
      <w:r w:rsidR="00EE4FC3">
        <w:t xml:space="preserve"> </w:t>
      </w:r>
      <w:r w:rsidRPr="00382917">
        <w:t>the</w:t>
      </w:r>
      <w:r w:rsidR="00EE4FC3">
        <w:t xml:space="preserve"> </w:t>
      </w:r>
      <w:r w:rsidRPr="00382917">
        <w:t>seed</w:t>
      </w:r>
      <w:r w:rsidR="00EE4FC3">
        <w:t xml:space="preserve"> </w:t>
      </w:r>
      <w:r w:rsidRPr="00382917">
        <w:t>of</w:t>
      </w:r>
      <w:r w:rsidR="00EE4FC3">
        <w:t xml:space="preserve"> </w:t>
      </w:r>
      <w:r w:rsidRPr="00382917">
        <w:t>Abraham,</w:t>
      </w:r>
      <w:r w:rsidR="00EE4FC3">
        <w:t xml:space="preserve"> </w:t>
      </w:r>
      <w:r w:rsidRPr="00382917">
        <w:t>made</w:t>
      </w:r>
      <w:r w:rsidR="00EE4FC3">
        <w:t xml:space="preserve"> </w:t>
      </w:r>
      <w:r w:rsidRPr="00382917">
        <w:t>His</w:t>
      </w:r>
      <w:r w:rsidR="00EE4FC3">
        <w:t xml:space="preserve"> </w:t>
      </w:r>
      <w:r w:rsidRPr="00382917">
        <w:t>open</w:t>
      </w:r>
      <w:r w:rsidR="00EE4FC3">
        <w:t xml:space="preserve"> </w:t>
      </w:r>
      <w:r w:rsidRPr="00382917">
        <w:t>declaration</w:t>
      </w:r>
      <w:r w:rsidR="00EE4FC3">
        <w:t xml:space="preserve"> </w:t>
      </w:r>
      <w:r w:rsidRPr="00382917">
        <w:t>to</w:t>
      </w:r>
      <w:r w:rsidR="00EE4FC3">
        <w:t xml:space="preserve"> </w:t>
      </w:r>
      <w:r w:rsidRPr="00382917">
        <w:t>the</w:t>
      </w:r>
      <w:r w:rsidR="00EE4FC3">
        <w:t xml:space="preserve"> </w:t>
      </w:r>
      <w:r w:rsidRPr="00382917">
        <w:t>world</w:t>
      </w:r>
      <w:r w:rsidR="00EE4FC3">
        <w:t xml:space="preserve"> </w:t>
      </w:r>
      <w:r w:rsidRPr="00382917">
        <w:t>that</w:t>
      </w:r>
      <w:r w:rsidR="00EE4FC3">
        <w:t xml:space="preserve"> </w:t>
      </w:r>
      <w:r w:rsidRPr="00382917">
        <w:t>He</w:t>
      </w:r>
      <w:r w:rsidR="00EE4FC3">
        <w:t xml:space="preserve"> </w:t>
      </w:r>
      <w:r w:rsidRPr="00382917">
        <w:t>was</w:t>
      </w:r>
      <w:r w:rsidR="00EE4FC3">
        <w:t xml:space="preserve"> </w:t>
      </w:r>
      <w:r w:rsidRPr="00382917">
        <w:t>the</w:t>
      </w:r>
      <w:r w:rsidR="00EE4FC3">
        <w:t xml:space="preserve"> </w:t>
      </w:r>
      <w:r w:rsidRPr="00382917">
        <w:t>Promised</w:t>
      </w:r>
      <w:r w:rsidR="00EE4FC3">
        <w:t xml:space="preserve"> </w:t>
      </w:r>
      <w:r w:rsidRPr="00382917">
        <w:t>One</w:t>
      </w:r>
      <w:r w:rsidR="00EE4FC3">
        <w:t xml:space="preserve"> </w:t>
      </w:r>
      <w:r w:rsidRPr="00382917">
        <w:t>of</w:t>
      </w:r>
      <w:r w:rsidR="00EE4FC3">
        <w:t xml:space="preserve"> </w:t>
      </w:r>
      <w:r w:rsidRPr="00382917">
        <w:t>all</w:t>
      </w:r>
      <w:r w:rsidR="00EE4FC3">
        <w:t xml:space="preserve"> </w:t>
      </w:r>
      <w:r w:rsidRPr="00382917">
        <w:t>religions</w:t>
      </w:r>
      <w:r w:rsidR="00EE4FC3">
        <w:t xml:space="preserve"> </w:t>
      </w:r>
      <w:r w:rsidRPr="00382917">
        <w:t>in</w:t>
      </w:r>
      <w:r w:rsidR="00EE4FC3">
        <w:t xml:space="preserve"> </w:t>
      </w:r>
      <w:r w:rsidRPr="00382917">
        <w:t>this</w:t>
      </w:r>
      <w:r w:rsidR="00EE4FC3">
        <w:t xml:space="preserve"> </w:t>
      </w:r>
      <w:r w:rsidRPr="00382917">
        <w:t>same</w:t>
      </w:r>
      <w:r w:rsidR="00EE4FC3">
        <w:t xml:space="preserve"> </w:t>
      </w:r>
      <w:r w:rsidRPr="00382917">
        <w:t>valley</w:t>
      </w:r>
      <w:r w:rsidR="00EE4FC3">
        <w:t xml:space="preserve"> </w:t>
      </w:r>
      <w:r w:rsidRPr="00382917">
        <w:t>of</w:t>
      </w:r>
      <w:r w:rsidR="00EE4FC3">
        <w:t xml:space="preserve"> </w:t>
      </w:r>
      <w:r w:rsidRPr="00382917">
        <w:t>the</w:t>
      </w:r>
      <w:r w:rsidR="00EE4FC3">
        <w:t xml:space="preserve"> </w:t>
      </w:r>
      <w:r w:rsidRPr="00382917">
        <w:t>Tigris</w:t>
      </w:r>
      <w:r w:rsidR="00EE4FC3">
        <w:t xml:space="preserve"> </w:t>
      </w:r>
      <w:r w:rsidRPr="00382917">
        <w:t>and</w:t>
      </w:r>
      <w:r w:rsidR="00EE4FC3">
        <w:t xml:space="preserve"> </w:t>
      </w:r>
      <w:r w:rsidRPr="00382917">
        <w:t>Euphrates</w:t>
      </w:r>
      <w:r w:rsidR="00EE4FC3">
        <w:t xml:space="preserve"> </w:t>
      </w:r>
      <w:r w:rsidRPr="00382917">
        <w:t>rivers</w:t>
      </w:r>
      <w:r w:rsidR="00F267E4">
        <w:t>.</w:t>
      </w:r>
      <w:r w:rsidR="00EE4FC3">
        <w:t xml:space="preserve">  </w:t>
      </w:r>
      <w:r w:rsidRPr="00382917">
        <w:t>He,</w:t>
      </w:r>
      <w:r w:rsidR="00EE4FC3">
        <w:t xml:space="preserve"> </w:t>
      </w:r>
      <w:r w:rsidRPr="00382917">
        <w:t>too,</w:t>
      </w:r>
      <w:r w:rsidR="00EE4FC3">
        <w:t xml:space="preserve"> </w:t>
      </w:r>
      <w:r w:rsidRPr="00382917">
        <w:t>was</w:t>
      </w:r>
      <w:r w:rsidR="00EE4FC3">
        <w:t xml:space="preserve"> </w:t>
      </w:r>
      <w:r w:rsidRPr="00382917">
        <w:t>then</w:t>
      </w:r>
      <w:r w:rsidR="00EE4FC3">
        <w:t xml:space="preserve"> </w:t>
      </w:r>
      <w:r w:rsidRPr="00382917">
        <w:t>exiled</w:t>
      </w:r>
      <w:r w:rsidR="00EE4FC3">
        <w:t xml:space="preserve"> </w:t>
      </w:r>
      <w:r w:rsidRPr="00382917">
        <w:t>to</w:t>
      </w:r>
      <w:r w:rsidR="00EE4FC3">
        <w:t xml:space="preserve"> </w:t>
      </w:r>
      <w:r w:rsidRPr="00382917">
        <w:t>Syria.</w:t>
      </w:r>
    </w:p>
    <w:p w:rsidR="006E4F81" w:rsidRPr="00382917" w:rsidRDefault="006E4F81" w:rsidP="004C0EF8">
      <w:pPr>
        <w:pStyle w:val="Text"/>
      </w:pPr>
      <w:r w:rsidRPr="00382917">
        <w:t>Descended</w:t>
      </w:r>
      <w:r w:rsidR="00EE4FC3">
        <w:t xml:space="preserve"> </w:t>
      </w:r>
      <w:r w:rsidRPr="00382917">
        <w:t>from</w:t>
      </w:r>
      <w:r w:rsidR="00EE4FC3">
        <w:t xml:space="preserve"> </w:t>
      </w:r>
      <w:r w:rsidRPr="00382917">
        <w:t>Abraham</w:t>
      </w:r>
      <w:r w:rsidR="00EE4FC3">
        <w:t xml:space="preserve"> </w:t>
      </w:r>
      <w:r w:rsidRPr="00382917">
        <w:t>through</w:t>
      </w:r>
      <w:r w:rsidR="00EE4FC3">
        <w:t xml:space="preserve"> </w:t>
      </w:r>
      <w:r w:rsidRPr="00382917">
        <w:t>his</w:t>
      </w:r>
      <w:r w:rsidR="00EE4FC3">
        <w:t xml:space="preserve"> </w:t>
      </w:r>
      <w:r w:rsidRPr="00382917">
        <w:t>third</w:t>
      </w:r>
      <w:r w:rsidR="00EE4FC3">
        <w:t xml:space="preserve"> </w:t>
      </w:r>
      <w:r w:rsidRPr="00382917">
        <w:t>wife,</w:t>
      </w:r>
      <w:r w:rsidR="00EE4FC3">
        <w:t xml:space="preserve"> </w:t>
      </w:r>
      <w:r w:rsidRPr="00382917">
        <w:t>Katurah,</w:t>
      </w:r>
      <w:r w:rsidR="00EE4FC3">
        <w:t xml:space="preserve"> </w:t>
      </w:r>
      <w:r w:rsidRPr="00382917">
        <w:t>Bahá</w:t>
      </w:r>
      <w:r w:rsidR="009C713D" w:rsidRPr="00382917">
        <w:t>’</w:t>
      </w:r>
      <w:r w:rsidRPr="00382917">
        <w:t>u</w:t>
      </w:r>
      <w:r w:rsidR="009C713D" w:rsidRPr="00382917">
        <w:t>’</w:t>
      </w:r>
      <w:r w:rsidRPr="00382917">
        <w:t>lláh</w:t>
      </w:r>
      <w:r w:rsidR="00EE4FC3">
        <w:t xml:space="preserve"> </w:t>
      </w:r>
      <w:r w:rsidRPr="00382917">
        <w:t>extended</w:t>
      </w:r>
      <w:r w:rsidR="00EE4FC3">
        <w:t xml:space="preserve"> </w:t>
      </w:r>
      <w:r w:rsidRPr="00382917">
        <w:t>one</w:t>
      </w:r>
      <w:r w:rsidR="00EE4FC3">
        <w:t xml:space="preserve"> </w:t>
      </w:r>
      <w:r w:rsidRPr="00382917">
        <w:t>hand</w:t>
      </w:r>
      <w:r w:rsidR="00EE4FC3">
        <w:t xml:space="preserve"> </w:t>
      </w:r>
      <w:r w:rsidRPr="00382917">
        <w:t>to</w:t>
      </w:r>
      <w:r w:rsidR="00EE4FC3">
        <w:t xml:space="preserve"> </w:t>
      </w:r>
      <w:r w:rsidRPr="00382917">
        <w:t>the</w:t>
      </w:r>
      <w:r w:rsidR="00EE4FC3">
        <w:t xml:space="preserve"> </w:t>
      </w:r>
      <w:r w:rsidRPr="00382917">
        <w:t>followers</w:t>
      </w:r>
      <w:r w:rsidR="00EE4FC3">
        <w:t xml:space="preserve"> </w:t>
      </w:r>
      <w:r w:rsidRPr="00382917">
        <w:t>of</w:t>
      </w:r>
      <w:r w:rsidR="00EE4FC3">
        <w:t xml:space="preserve"> </w:t>
      </w:r>
      <w:r w:rsidRPr="00382917">
        <w:t>Muḥammad</w:t>
      </w:r>
      <w:r w:rsidR="00EE4FC3">
        <w:t xml:space="preserve"> </w:t>
      </w:r>
      <w:r w:rsidRPr="00382917">
        <w:t>and</w:t>
      </w:r>
      <w:r w:rsidR="00EE4FC3">
        <w:t xml:space="preserve"> </w:t>
      </w:r>
      <w:r w:rsidRPr="00382917">
        <w:t>the</w:t>
      </w:r>
      <w:r w:rsidR="00EE4FC3">
        <w:t xml:space="preserve"> </w:t>
      </w:r>
      <w:r w:rsidRPr="00382917">
        <w:t>Báb,</w:t>
      </w:r>
      <w:r w:rsidR="00EE4FC3">
        <w:t xml:space="preserve"> </w:t>
      </w:r>
      <w:r w:rsidRPr="00382917">
        <w:t>and</w:t>
      </w:r>
      <w:r w:rsidR="00EE4FC3">
        <w:t xml:space="preserve"> </w:t>
      </w:r>
      <w:r w:rsidRPr="00382917">
        <w:t>the</w:t>
      </w:r>
      <w:r w:rsidR="00EE4FC3">
        <w:t xml:space="preserve"> </w:t>
      </w:r>
      <w:r w:rsidRPr="00382917">
        <w:t>other</w:t>
      </w:r>
      <w:r w:rsidR="00EE4FC3">
        <w:t xml:space="preserve"> </w:t>
      </w:r>
      <w:r w:rsidRPr="00382917">
        <w:t>hand</w:t>
      </w:r>
      <w:r w:rsidR="00EE4FC3">
        <w:t xml:space="preserve"> </w:t>
      </w:r>
      <w:r w:rsidRPr="00382917">
        <w:t>to</w:t>
      </w:r>
      <w:r w:rsidR="00EE4FC3">
        <w:t xml:space="preserve"> </w:t>
      </w:r>
      <w:r w:rsidRPr="00382917">
        <w:t>the</w:t>
      </w:r>
      <w:r w:rsidR="00EE4FC3">
        <w:t xml:space="preserve"> </w:t>
      </w:r>
      <w:r w:rsidRPr="00382917">
        <w:t>followers</w:t>
      </w:r>
      <w:r w:rsidR="00EE4FC3">
        <w:t xml:space="preserve"> </w:t>
      </w:r>
      <w:r w:rsidRPr="00382917">
        <w:t>of</w:t>
      </w:r>
      <w:r w:rsidR="00EE4FC3">
        <w:t xml:space="preserve"> </w:t>
      </w:r>
      <w:r w:rsidRPr="00382917">
        <w:t>Moses</w:t>
      </w:r>
      <w:r w:rsidR="00EE4FC3">
        <w:t xml:space="preserve"> </w:t>
      </w:r>
      <w:r w:rsidRPr="00382917">
        <w:t>and</w:t>
      </w:r>
      <w:r w:rsidR="00EE4FC3">
        <w:t xml:space="preserve"> </w:t>
      </w:r>
      <w:r w:rsidRPr="00382917">
        <w:t>Christ</w:t>
      </w:r>
      <w:r w:rsidR="00EE4FC3">
        <w:t xml:space="preserve"> </w:t>
      </w:r>
      <w:r w:rsidRPr="00382917">
        <w:t>and</w:t>
      </w:r>
      <w:r w:rsidR="00EE4FC3">
        <w:t xml:space="preserve"> </w:t>
      </w:r>
      <w:r w:rsidRPr="00382917">
        <w:t>brought</w:t>
      </w:r>
      <w:r w:rsidR="00EE4FC3">
        <w:t xml:space="preserve"> </w:t>
      </w:r>
      <w:r w:rsidRPr="00382917">
        <w:t>them</w:t>
      </w:r>
      <w:r w:rsidR="00EE4FC3">
        <w:t xml:space="preserve"> </w:t>
      </w:r>
      <w:r w:rsidRPr="00382917">
        <w:t>together</w:t>
      </w:r>
      <w:r w:rsidR="00EE4FC3">
        <w:t xml:space="preserve"> </w:t>
      </w:r>
      <w:r w:rsidRPr="00382917">
        <w:t>again</w:t>
      </w:r>
      <w:r w:rsidR="00EE4FC3">
        <w:t xml:space="preserve"> </w:t>
      </w:r>
      <w:r w:rsidRPr="00382917">
        <w:t>as</w:t>
      </w:r>
      <w:r w:rsidR="00EE4FC3">
        <w:t xml:space="preserve"> </w:t>
      </w:r>
      <w:r w:rsidRPr="00382917">
        <w:t>foretold</w:t>
      </w:r>
      <w:r w:rsidR="00EE4FC3">
        <w:t xml:space="preserve"> </w:t>
      </w:r>
      <w:r w:rsidRPr="00382917">
        <w:t>for</w:t>
      </w:r>
      <w:r w:rsidR="00EE4FC3">
        <w:t xml:space="preserve"> </w:t>
      </w:r>
      <w:r w:rsidRPr="00382917">
        <w:t>the</w:t>
      </w:r>
      <w:r w:rsidR="00EE4FC3">
        <w:t xml:space="preserve"> </w:t>
      </w:r>
      <w:r w:rsidRPr="00382917">
        <w:t>day</w:t>
      </w:r>
      <w:r w:rsidR="00EE4FC3">
        <w:t xml:space="preserve"> </w:t>
      </w:r>
      <w:r w:rsidRPr="00382917">
        <w:t>of</w:t>
      </w:r>
      <w:r w:rsidR="00EE4FC3">
        <w:t xml:space="preserve"> </w:t>
      </w:r>
      <w:r w:rsidRPr="00382917">
        <w:t>the</w:t>
      </w:r>
      <w:r w:rsidR="00EE4FC3">
        <w:t xml:space="preserve"> </w:t>
      </w:r>
      <w:r w:rsidR="009C713D" w:rsidRPr="00382917">
        <w:t>“</w:t>
      </w:r>
      <w:r w:rsidRPr="00382917">
        <w:t>one</w:t>
      </w:r>
      <w:r w:rsidR="00EE4FC3">
        <w:t xml:space="preserve"> </w:t>
      </w:r>
      <w:r w:rsidRPr="00382917">
        <w:t>fold</w:t>
      </w:r>
      <w:r w:rsidR="00EE4FC3">
        <w:t xml:space="preserve"> </w:t>
      </w:r>
      <w:r w:rsidRPr="00382917">
        <w:t>and</w:t>
      </w:r>
      <w:r w:rsidR="00EE4FC3">
        <w:t xml:space="preserve"> </w:t>
      </w:r>
      <w:r w:rsidRPr="00382917">
        <w:t>one</w:t>
      </w:r>
      <w:r w:rsidR="00EE4FC3">
        <w:t xml:space="preserve"> </w:t>
      </w:r>
      <w:r w:rsidRPr="00382917">
        <w:t>shepherd.</w:t>
      </w:r>
      <w:r w:rsidR="009C713D" w:rsidRPr="00382917">
        <w:t>”</w:t>
      </w:r>
    </w:p>
    <w:p w:rsidR="006E4F81" w:rsidRPr="00382917" w:rsidRDefault="006E4F81" w:rsidP="004C0EF8">
      <w:pPr>
        <w:pStyle w:val="Text"/>
      </w:pPr>
      <w:r w:rsidRPr="00382917">
        <w:t>Thus</w:t>
      </w:r>
      <w:r w:rsidR="00EE4FC3">
        <w:t xml:space="preserve"> </w:t>
      </w:r>
      <w:r w:rsidRPr="00382917">
        <w:t>Bahá</w:t>
      </w:r>
      <w:r w:rsidR="009C713D" w:rsidRPr="00382917">
        <w:t>’</w:t>
      </w:r>
      <w:r w:rsidRPr="00382917">
        <w:t>u</w:t>
      </w:r>
      <w:r w:rsidR="009C713D" w:rsidRPr="00382917">
        <w:t>’</w:t>
      </w:r>
      <w:r w:rsidRPr="00382917">
        <w:t>lláh</w:t>
      </w:r>
      <w:r w:rsidR="00EE4FC3">
        <w:t xml:space="preserve"> </w:t>
      </w:r>
      <w:r w:rsidRPr="00382917">
        <w:t>fulfilled</w:t>
      </w:r>
      <w:r w:rsidR="00EE4FC3">
        <w:t xml:space="preserve"> </w:t>
      </w:r>
      <w:r w:rsidRPr="00382917">
        <w:t>the</w:t>
      </w:r>
      <w:r w:rsidR="00EE4FC3">
        <w:t xml:space="preserve"> </w:t>
      </w:r>
      <w:r w:rsidRPr="00382917">
        <w:t>words</w:t>
      </w:r>
      <w:r w:rsidR="00EE4FC3">
        <w:t xml:space="preserve"> </w:t>
      </w:r>
      <w:r w:rsidRPr="00382917">
        <w:t>of</w:t>
      </w:r>
      <w:r w:rsidR="00EE4FC3">
        <w:t xml:space="preserve"> </w:t>
      </w:r>
      <w:r w:rsidRPr="00382917">
        <w:t>Isaiah:</w:t>
      </w:r>
    </w:p>
    <w:p w:rsidR="006E4F81" w:rsidRPr="00382917" w:rsidRDefault="009C713D" w:rsidP="00A17F27">
      <w:pPr>
        <w:pStyle w:val="Quote"/>
      </w:pPr>
      <w:r w:rsidRPr="00382917">
        <w:t>“</w:t>
      </w:r>
      <w:r w:rsidR="006E4F81" w:rsidRPr="00382917">
        <w:t>And</w:t>
      </w:r>
      <w:r w:rsidR="00EE4FC3">
        <w:t xml:space="preserve"> </w:t>
      </w:r>
      <w:r w:rsidR="006E4F81" w:rsidRPr="00382917">
        <w:t>it</w:t>
      </w:r>
      <w:r w:rsidR="00EE4FC3">
        <w:t xml:space="preserve"> </w:t>
      </w:r>
      <w:r w:rsidR="006E4F81" w:rsidRPr="00382917">
        <w:t>shall</w:t>
      </w:r>
      <w:r w:rsidR="00EE4FC3">
        <w:t xml:space="preserve"> </w:t>
      </w:r>
      <w:r w:rsidR="006E4F81" w:rsidRPr="00382917">
        <w:t>come</w:t>
      </w:r>
      <w:r w:rsidR="00EE4FC3">
        <w:t xml:space="preserve"> </w:t>
      </w:r>
      <w:r w:rsidR="006E4F81" w:rsidRPr="00382917">
        <w:t>to</w:t>
      </w:r>
      <w:r w:rsidR="00EE4FC3">
        <w:t xml:space="preserve"> </w:t>
      </w:r>
      <w:r w:rsidR="006E4F81" w:rsidRPr="00382917">
        <w:t>pass</w:t>
      </w:r>
      <w:r w:rsidR="00EE4FC3">
        <w:t xml:space="preserve"> </w:t>
      </w:r>
      <w:r w:rsidR="006E4F81" w:rsidRPr="00382917">
        <w:t>in</w:t>
      </w:r>
      <w:r w:rsidR="00EE4FC3">
        <w:t xml:space="preserve"> </w:t>
      </w:r>
      <w:r w:rsidR="006E4F81" w:rsidRPr="00382917">
        <w:t>that</w:t>
      </w:r>
      <w:r w:rsidR="00EE4FC3">
        <w:t xml:space="preserve"> </w:t>
      </w:r>
      <w:r w:rsidR="006E4F81" w:rsidRPr="00382917">
        <w:t>day,</w:t>
      </w:r>
      <w:r w:rsidR="00EE4FC3">
        <w:t xml:space="preserve"> </w:t>
      </w:r>
      <w:r w:rsidR="006E4F81" w:rsidRPr="00382917">
        <w:t>that</w:t>
      </w:r>
      <w:r w:rsidR="00EE4FC3">
        <w:t xml:space="preserve"> </w:t>
      </w:r>
      <w:r w:rsidR="006E4F81" w:rsidRPr="00382917">
        <w:t>the</w:t>
      </w:r>
      <w:r w:rsidR="00EE4FC3">
        <w:t xml:space="preserve"> </w:t>
      </w:r>
      <w:r w:rsidR="006E4F81" w:rsidRPr="00382917">
        <w:t>Lord</w:t>
      </w:r>
      <w:r w:rsidR="00EE4FC3">
        <w:t xml:space="preserve"> </w:t>
      </w:r>
      <w:r w:rsidR="006E4F81" w:rsidRPr="00382917">
        <w:t>shall</w:t>
      </w:r>
      <w:r w:rsidR="00EE4FC3">
        <w:t xml:space="preserve"> </w:t>
      </w:r>
      <w:r w:rsidR="006E4F81" w:rsidRPr="00382917">
        <w:t>set</w:t>
      </w:r>
      <w:r w:rsidR="00EE4FC3">
        <w:t xml:space="preserve"> </w:t>
      </w:r>
      <w:r w:rsidR="006E4F81" w:rsidRPr="00382917">
        <w:t>his</w:t>
      </w:r>
      <w:r w:rsidR="00EE4FC3">
        <w:t xml:space="preserve"> </w:t>
      </w:r>
      <w:r w:rsidR="006E4F81" w:rsidRPr="00382917">
        <w:t>hand</w:t>
      </w:r>
      <w:r w:rsidR="00EE4FC3">
        <w:t xml:space="preserve"> </w:t>
      </w:r>
      <w:r w:rsidR="006E4F81" w:rsidRPr="00382917">
        <w:t>again</w:t>
      </w:r>
      <w:r w:rsidR="00EE4FC3">
        <w:t xml:space="preserve"> </w:t>
      </w:r>
      <w:r w:rsidR="006E4F81" w:rsidRPr="00382917">
        <w:t>the</w:t>
      </w:r>
      <w:r w:rsidR="00EE4FC3">
        <w:t xml:space="preserve"> </w:t>
      </w:r>
      <w:r w:rsidR="006E4F81" w:rsidRPr="00382917">
        <w:t>second</w:t>
      </w:r>
      <w:r w:rsidR="00EE4FC3">
        <w:t xml:space="preserve"> </w:t>
      </w:r>
      <w:r w:rsidR="006E4F81" w:rsidRPr="00382917">
        <w:t>time</w:t>
      </w:r>
      <w:r w:rsidR="00EE4FC3">
        <w:t xml:space="preserve"> </w:t>
      </w:r>
      <w:r w:rsidR="006E4F81" w:rsidRPr="00382917">
        <w:t>to</w:t>
      </w:r>
      <w:r w:rsidR="00EE4FC3">
        <w:t xml:space="preserve"> </w:t>
      </w:r>
      <w:r w:rsidR="006E4F81" w:rsidRPr="00382917">
        <w:t>recover</w:t>
      </w:r>
      <w:r w:rsidR="00EE4FC3">
        <w:t xml:space="preserve"> </w:t>
      </w:r>
      <w:r w:rsidR="006E4F81" w:rsidRPr="00382917">
        <w:t>the</w:t>
      </w:r>
      <w:r w:rsidR="00EE4FC3">
        <w:t xml:space="preserve"> </w:t>
      </w:r>
      <w:r w:rsidR="006E4F81" w:rsidRPr="00382917">
        <w:t>remnant</w:t>
      </w:r>
      <w:r w:rsidR="00EE4FC3">
        <w:t xml:space="preserve"> </w:t>
      </w:r>
      <w:r w:rsidR="006E4F81" w:rsidRPr="00382917">
        <w:t>of</w:t>
      </w:r>
      <w:r w:rsidR="00EE4FC3">
        <w:t xml:space="preserve"> </w:t>
      </w:r>
      <w:r w:rsidR="006E4F81" w:rsidRPr="00382917">
        <w:t>his</w:t>
      </w:r>
      <w:r w:rsidR="00EE4FC3">
        <w:t xml:space="preserve"> </w:t>
      </w:r>
      <w:r w:rsidR="006E4F81" w:rsidRPr="00382917">
        <w:t>people</w:t>
      </w:r>
      <w:r w:rsidR="00A17F27">
        <w:t xml:space="preserve"> </w:t>
      </w:r>
      <w:r w:rsidR="00F04416" w:rsidRPr="00382917">
        <w:t>…</w:t>
      </w:r>
      <w:r w:rsidR="006E4F81" w:rsidRPr="00382917">
        <w:t>.</w:t>
      </w:r>
      <w:r w:rsidRPr="00382917">
        <w:t>”</w:t>
      </w:r>
      <w:r w:rsidR="00A17F27">
        <w:rPr>
          <w:rStyle w:val="FootnoteReference"/>
        </w:rPr>
        <w:footnoteReference w:id="368"/>
      </w:r>
      <w:r w:rsidR="00A17F27" w:rsidRPr="00382917">
        <w:rPr>
          <w:sz w:val="12"/>
          <w:szCs w:val="12"/>
        </w:rPr>
        <w:fldChar w:fldCharType="begin"/>
      </w:r>
      <w:proofErr w:type="gramStart"/>
      <w:r w:rsidR="00A17F27">
        <w:rPr>
          <w:sz w:val="12"/>
          <w:szCs w:val="12"/>
        </w:rPr>
        <w:instrText xml:space="preserve"> </w:instrText>
      </w:r>
      <w:proofErr w:type="gramEnd"/>
      <w:r w:rsidR="00A17F27" w:rsidRPr="00382917">
        <w:rPr>
          <w:sz w:val="12"/>
          <w:szCs w:val="12"/>
        </w:rPr>
        <w:instrText>TC</w:instrText>
      </w:r>
      <w:r w:rsidR="00A17F27">
        <w:rPr>
          <w:sz w:val="12"/>
          <w:szCs w:val="12"/>
        </w:rPr>
        <w:instrText xml:space="preserve">  </w:instrText>
      </w:r>
      <w:r w:rsidR="00A17F27" w:rsidRPr="00382917">
        <w:rPr>
          <w:sz w:val="12"/>
          <w:szCs w:val="12"/>
        </w:rPr>
        <w:instrText>“</w:instrText>
      </w:r>
      <w:bookmarkStart w:id="27" w:name="_Toc206658623"/>
      <w:r w:rsidR="00A17F27">
        <w:rPr>
          <w:sz w:val="12"/>
          <w:szCs w:val="12"/>
        </w:rPr>
        <w:instrText>Note 5</w:instrText>
      </w:r>
      <w:r w:rsidR="00A17F27" w:rsidRPr="00382917">
        <w:rPr>
          <w:color w:val="FFFFFF" w:themeColor="background1"/>
          <w:sz w:val="12"/>
          <w:szCs w:val="12"/>
        </w:rPr>
        <w:instrText>..</w:instrText>
      </w:r>
      <w:r w:rsidR="00A17F27" w:rsidRPr="00382917">
        <w:rPr>
          <w:sz w:val="12"/>
          <w:szCs w:val="12"/>
        </w:rPr>
        <w:tab/>
      </w:r>
      <w:r w:rsidR="00A17F27" w:rsidRPr="00382917">
        <w:rPr>
          <w:color w:val="FFFFFF" w:themeColor="background1"/>
          <w:sz w:val="12"/>
          <w:szCs w:val="12"/>
        </w:rPr>
        <w:instrText>.</w:instrText>
      </w:r>
      <w:bookmarkEnd w:id="27"/>
      <w:proofErr w:type="gramStart"/>
      <w:r w:rsidR="00A17F27" w:rsidRPr="00382917">
        <w:rPr>
          <w:sz w:val="12"/>
          <w:szCs w:val="12"/>
        </w:rPr>
        <w:instrText>”</w:instrText>
      </w:r>
      <w:r w:rsidR="00A17F27">
        <w:rPr>
          <w:sz w:val="12"/>
          <w:szCs w:val="12"/>
        </w:rPr>
        <w:instrText xml:space="preserve"> </w:instrText>
      </w:r>
      <w:proofErr w:type="gramEnd"/>
      <w:r w:rsidR="00A17F27" w:rsidRPr="00382917">
        <w:rPr>
          <w:sz w:val="12"/>
          <w:szCs w:val="12"/>
        </w:rPr>
        <w:instrText>\l</w:instrText>
      </w:r>
      <w:r w:rsidR="00A17F27">
        <w:rPr>
          <w:sz w:val="12"/>
          <w:szCs w:val="12"/>
        </w:rPr>
        <w:instrText xml:space="preserve"> 3 </w:instrText>
      </w:r>
      <w:r w:rsidR="00A17F27" w:rsidRPr="00382917">
        <w:rPr>
          <w:sz w:val="12"/>
          <w:szCs w:val="12"/>
        </w:rPr>
        <w:fldChar w:fldCharType="end"/>
      </w:r>
    </w:p>
    <w:p w:rsidR="001D303F" w:rsidRDefault="001D303F" w:rsidP="001D303F"/>
    <w:p w:rsidR="001D303F" w:rsidRPr="001D303F" w:rsidRDefault="001D303F" w:rsidP="001D303F"/>
    <w:p w:rsidR="006E4F81" w:rsidRPr="00382917" w:rsidRDefault="006E4F81" w:rsidP="00A17F27">
      <w:pPr>
        <w:pStyle w:val="Myheadc"/>
      </w:pPr>
      <w:r w:rsidRPr="00382917">
        <w:t>N</w:t>
      </w:r>
      <w:r w:rsidR="00417538" w:rsidRPr="00382917">
        <w:t>ote</w:t>
      </w:r>
      <w:r w:rsidR="00EE4FC3">
        <w:t xml:space="preserve"> </w:t>
      </w:r>
      <w:r w:rsidR="00417538">
        <w:t>5</w:t>
      </w:r>
    </w:p>
    <w:p w:rsidR="006E4F81" w:rsidRPr="00382917" w:rsidRDefault="006E4F81" w:rsidP="004C0EF8">
      <w:pPr>
        <w:pStyle w:val="Text"/>
      </w:pPr>
      <w:r w:rsidRPr="00382917">
        <w:t>The</w:t>
      </w:r>
      <w:r w:rsidR="00EE4FC3">
        <w:t xml:space="preserve"> </w:t>
      </w:r>
      <w:r w:rsidRPr="00382917">
        <w:t>remains</w:t>
      </w:r>
      <w:r w:rsidR="00EE4FC3">
        <w:t xml:space="preserve"> </w:t>
      </w:r>
      <w:r w:rsidRPr="00382917">
        <w:t>of</w:t>
      </w:r>
      <w:r w:rsidR="00EE4FC3">
        <w:t xml:space="preserve"> </w:t>
      </w:r>
      <w:r w:rsidRPr="00382917">
        <w:t>the</w:t>
      </w:r>
      <w:r w:rsidR="00EE4FC3">
        <w:t xml:space="preserve"> </w:t>
      </w:r>
      <w:r w:rsidRPr="00382917">
        <w:t>Báb</w:t>
      </w:r>
      <w:r w:rsidR="00EE4FC3">
        <w:t xml:space="preserve"> </w:t>
      </w:r>
      <w:r w:rsidRPr="00382917">
        <w:t>were</w:t>
      </w:r>
      <w:r w:rsidR="00EE4FC3">
        <w:t xml:space="preserve"> </w:t>
      </w:r>
      <w:r w:rsidRPr="00382917">
        <w:t>destined</w:t>
      </w:r>
      <w:r w:rsidR="00EE4FC3">
        <w:t xml:space="preserve"> </w:t>
      </w:r>
      <w:r w:rsidRPr="00382917">
        <w:t>to</w:t>
      </w:r>
      <w:r w:rsidR="00EE4FC3">
        <w:t xml:space="preserve"> </w:t>
      </w:r>
      <w:r w:rsidRPr="00382917">
        <w:t>rest</w:t>
      </w:r>
      <w:r w:rsidR="00EE4FC3">
        <w:t xml:space="preserve"> </w:t>
      </w:r>
      <w:r w:rsidRPr="00382917">
        <w:t>eternally</w:t>
      </w:r>
      <w:r w:rsidR="00EE4FC3">
        <w:t xml:space="preserve"> </w:t>
      </w:r>
      <w:r w:rsidRPr="00382917">
        <w:t>within</w:t>
      </w:r>
      <w:r w:rsidR="00EE4FC3">
        <w:t xml:space="preserve"> </w:t>
      </w:r>
      <w:r w:rsidRPr="00382917">
        <w:t>the</w:t>
      </w:r>
      <w:r w:rsidR="00EE4FC3">
        <w:t xml:space="preserve"> </w:t>
      </w:r>
      <w:r w:rsidRPr="00382917">
        <w:t>shadow</w:t>
      </w:r>
      <w:r w:rsidR="00EE4FC3">
        <w:t xml:space="preserve"> </w:t>
      </w:r>
      <w:r w:rsidRPr="00382917">
        <w:t>of</w:t>
      </w:r>
      <w:r w:rsidR="00EE4FC3">
        <w:t xml:space="preserve"> </w:t>
      </w:r>
      <w:r w:rsidRPr="00382917">
        <w:t>His</w:t>
      </w:r>
      <w:r w:rsidR="00EE4FC3">
        <w:t xml:space="preserve"> </w:t>
      </w:r>
      <w:r w:rsidRPr="00382917">
        <w:t>Beloved,</w:t>
      </w:r>
      <w:r w:rsidR="00EE4FC3">
        <w:t xml:space="preserve"> </w:t>
      </w:r>
      <w:r w:rsidRPr="00382917">
        <w:t>Bahá</w:t>
      </w:r>
      <w:r w:rsidR="009C713D" w:rsidRPr="00382917">
        <w:t>’</w:t>
      </w:r>
      <w:r w:rsidRPr="00382917">
        <w:t>u</w:t>
      </w:r>
      <w:r w:rsidR="009C713D" w:rsidRPr="00382917">
        <w:t>’</w:t>
      </w:r>
      <w:r w:rsidRPr="00382917">
        <w:t>lláh.</w:t>
      </w:r>
    </w:p>
    <w:p w:rsidR="006E4F81" w:rsidRPr="00382917" w:rsidRDefault="006E4F81" w:rsidP="004C0EF8">
      <w:pPr>
        <w:pStyle w:val="Text"/>
      </w:pPr>
      <w:r w:rsidRPr="00382917">
        <w:t>Bahá</w:t>
      </w:r>
      <w:r w:rsidR="009C713D" w:rsidRPr="00382917">
        <w:t>’</w:t>
      </w:r>
      <w:r w:rsidRPr="00382917">
        <w:t>u</w:t>
      </w:r>
      <w:r w:rsidR="009C713D" w:rsidRPr="00382917">
        <w:t>’</w:t>
      </w:r>
      <w:r w:rsidRPr="00382917">
        <w:t>lláh</w:t>
      </w:r>
      <w:r w:rsidR="00EE4FC3">
        <w:t xml:space="preserve"> </w:t>
      </w:r>
      <w:r w:rsidRPr="00382917">
        <w:t>was</w:t>
      </w:r>
      <w:r w:rsidR="00EE4FC3">
        <w:t xml:space="preserve"> </w:t>
      </w:r>
      <w:r w:rsidRPr="00382917">
        <w:t>driven</w:t>
      </w:r>
      <w:r w:rsidR="00EE4FC3">
        <w:t xml:space="preserve"> </w:t>
      </w:r>
      <w:r w:rsidRPr="00382917">
        <w:t>into</w:t>
      </w:r>
      <w:r w:rsidR="00EE4FC3">
        <w:t xml:space="preserve"> </w:t>
      </w:r>
      <w:r w:rsidRPr="00382917">
        <w:t>exile</w:t>
      </w:r>
      <w:r w:rsidR="00EE4FC3">
        <w:t xml:space="preserve"> </w:t>
      </w:r>
      <w:r w:rsidRPr="00382917">
        <w:t>far</w:t>
      </w:r>
      <w:r w:rsidR="00EE4FC3">
        <w:t xml:space="preserve"> </w:t>
      </w:r>
      <w:r w:rsidRPr="00382917">
        <w:t>from</w:t>
      </w:r>
      <w:r w:rsidR="00EE4FC3">
        <w:t xml:space="preserve"> </w:t>
      </w:r>
      <w:r w:rsidRPr="00382917">
        <w:t>His</w:t>
      </w:r>
      <w:r w:rsidR="00EE4FC3">
        <w:t xml:space="preserve"> </w:t>
      </w:r>
      <w:r w:rsidRPr="00382917">
        <w:t>native</w:t>
      </w:r>
      <w:r w:rsidR="00EE4FC3">
        <w:t xml:space="preserve"> </w:t>
      </w:r>
      <w:r w:rsidRPr="00382917">
        <w:t>land</w:t>
      </w:r>
      <w:r w:rsidR="00EE4FC3">
        <w:t xml:space="preserve"> </w:t>
      </w:r>
      <w:r w:rsidRPr="00382917">
        <w:t>of</w:t>
      </w:r>
      <w:r w:rsidR="00EE4FC3">
        <w:t xml:space="preserve"> </w:t>
      </w:r>
      <w:r w:rsidRPr="00382917">
        <w:t>Iran</w:t>
      </w:r>
      <w:r w:rsidR="00F267E4">
        <w:t>.</w:t>
      </w:r>
      <w:r w:rsidR="00EE4FC3">
        <w:t xml:space="preserve">  </w:t>
      </w:r>
      <w:r w:rsidRPr="00382917">
        <w:t>He</w:t>
      </w:r>
      <w:r w:rsidR="00EE4FC3">
        <w:t xml:space="preserve"> </w:t>
      </w:r>
      <w:r w:rsidRPr="00382917">
        <w:t>was</w:t>
      </w:r>
      <w:r w:rsidR="00EE4FC3">
        <w:t xml:space="preserve"> </w:t>
      </w:r>
      <w:r w:rsidRPr="00382917">
        <w:t>sent</w:t>
      </w:r>
      <w:r w:rsidR="00EE4FC3">
        <w:t xml:space="preserve"> </w:t>
      </w:r>
      <w:r w:rsidRPr="00382917">
        <w:t>to</w:t>
      </w:r>
      <w:r w:rsidR="00EE4FC3">
        <w:t xml:space="preserve"> </w:t>
      </w:r>
      <w:r w:rsidR="00664069" w:rsidRPr="00382917">
        <w:t>Ba</w:t>
      </w:r>
      <w:r w:rsidR="00664069" w:rsidRPr="00664069">
        <w:rPr>
          <w:u w:val="single"/>
        </w:rPr>
        <w:t>gh</w:t>
      </w:r>
      <w:r w:rsidR="00664069" w:rsidRPr="00382917">
        <w:t>d</w:t>
      </w:r>
      <w:r w:rsidR="00664069" w:rsidRPr="00664069">
        <w:t>á</w:t>
      </w:r>
      <w:r w:rsidR="00664069" w:rsidRPr="00382917">
        <w:t>d</w:t>
      </w:r>
      <w:r w:rsidRPr="00382917">
        <w:t>,</w:t>
      </w:r>
      <w:r w:rsidR="00EE4FC3">
        <w:t xml:space="preserve"> </w:t>
      </w:r>
      <w:r w:rsidRPr="00382917">
        <w:t>Constantinople,</w:t>
      </w:r>
      <w:r w:rsidR="00EE4FC3">
        <w:t xml:space="preserve"> </w:t>
      </w:r>
      <w:r w:rsidRPr="00382917">
        <w:t>Adrianople,</w:t>
      </w:r>
      <w:r w:rsidR="00EE4FC3">
        <w:t xml:space="preserve"> </w:t>
      </w:r>
      <w:r w:rsidRPr="00382917">
        <w:t>and</w:t>
      </w:r>
      <w:r w:rsidR="00EE4FC3">
        <w:t xml:space="preserve"> </w:t>
      </w:r>
      <w:r w:rsidRPr="00382917">
        <w:t>finally</w:t>
      </w:r>
      <w:r w:rsidR="00EE4FC3">
        <w:t xml:space="preserve"> </w:t>
      </w:r>
      <w:r w:rsidRPr="00382917">
        <w:t>He</w:t>
      </w:r>
      <w:r w:rsidR="00EE4FC3">
        <w:t xml:space="preserve"> </w:t>
      </w:r>
      <w:r w:rsidRPr="00382917">
        <w:t>was</w:t>
      </w:r>
      <w:r w:rsidR="00EE4FC3">
        <w:t xml:space="preserve"> </w:t>
      </w:r>
      <w:r w:rsidRPr="00382917">
        <w:t>banished</w:t>
      </w:r>
      <w:r w:rsidR="00EE4FC3">
        <w:t xml:space="preserve"> </w:t>
      </w:r>
      <w:r w:rsidRPr="00382917">
        <w:t>to</w:t>
      </w:r>
      <w:r w:rsidR="00EE4FC3">
        <w:t xml:space="preserve"> </w:t>
      </w:r>
      <w:r w:rsidRPr="00382917">
        <w:t>the</w:t>
      </w:r>
      <w:r w:rsidR="00EE4FC3">
        <w:t xml:space="preserve"> </w:t>
      </w:r>
      <w:r w:rsidRPr="00382917">
        <w:t>prison-city</w:t>
      </w:r>
      <w:r w:rsidR="00EE4FC3">
        <w:t xml:space="preserve"> </w:t>
      </w:r>
      <w:r w:rsidRPr="00382917">
        <w:t>of</w:t>
      </w:r>
      <w:r w:rsidR="00EE4FC3">
        <w:t xml:space="preserve"> </w:t>
      </w:r>
      <w:r w:rsidR="009C713D" w:rsidRPr="00382917">
        <w:t>‘</w:t>
      </w:r>
      <w:r w:rsidRPr="00382917">
        <w:t>Akká</w:t>
      </w:r>
      <w:r w:rsidR="00EE4FC3">
        <w:t xml:space="preserve"> </w:t>
      </w:r>
      <w:r w:rsidRPr="00382917">
        <w:t>across</w:t>
      </w:r>
      <w:r w:rsidR="00EE4FC3">
        <w:t xml:space="preserve"> </w:t>
      </w:r>
      <w:r w:rsidRPr="00382917">
        <w:t>the</w:t>
      </w:r>
      <w:r w:rsidR="00EE4FC3">
        <w:t xml:space="preserve"> </w:t>
      </w:r>
      <w:r w:rsidRPr="00382917">
        <w:t>bay</w:t>
      </w:r>
      <w:r w:rsidR="00EE4FC3">
        <w:t xml:space="preserve"> </w:t>
      </w:r>
      <w:r w:rsidRPr="00382917">
        <w:t>of</w:t>
      </w:r>
      <w:r w:rsidR="00EE4FC3">
        <w:t xml:space="preserve"> </w:t>
      </w:r>
      <w:r w:rsidRPr="00382917">
        <w:t>Haifa</w:t>
      </w:r>
      <w:r w:rsidR="00EE4FC3">
        <w:t xml:space="preserve"> </w:t>
      </w:r>
      <w:r w:rsidRPr="00382917">
        <w:t>from</w:t>
      </w:r>
      <w:r w:rsidR="00EE4FC3">
        <w:t xml:space="preserve"> </w:t>
      </w:r>
      <w:r w:rsidRPr="00382917">
        <w:t>Mount</w:t>
      </w:r>
      <w:r w:rsidR="00EE4FC3">
        <w:t xml:space="preserve"> </w:t>
      </w:r>
      <w:r w:rsidRPr="00382917">
        <w:t>Carmel.</w:t>
      </w:r>
    </w:p>
    <w:p w:rsidR="006E4F81" w:rsidRPr="00382917" w:rsidRDefault="006E4F81" w:rsidP="004C0EF8">
      <w:pPr>
        <w:pStyle w:val="Text"/>
      </w:pPr>
      <w:r w:rsidRPr="00382917">
        <w:t>One</w:t>
      </w:r>
      <w:r w:rsidR="00EE4FC3">
        <w:t xml:space="preserve"> </w:t>
      </w:r>
      <w:r w:rsidRPr="00382917">
        <w:t>day</w:t>
      </w:r>
      <w:r w:rsidR="00EE4FC3">
        <w:t xml:space="preserve"> </w:t>
      </w:r>
      <w:r w:rsidRPr="00382917">
        <w:t>while</w:t>
      </w:r>
      <w:r w:rsidR="00EE4FC3">
        <w:t xml:space="preserve"> </w:t>
      </w:r>
      <w:r w:rsidRPr="00382917">
        <w:t>resting</w:t>
      </w:r>
      <w:r w:rsidR="00EE4FC3">
        <w:t xml:space="preserve"> </w:t>
      </w:r>
      <w:r w:rsidRPr="00382917">
        <w:t>on</w:t>
      </w:r>
      <w:r w:rsidR="00EE4FC3">
        <w:t xml:space="preserve"> </w:t>
      </w:r>
      <w:r w:rsidRPr="00382917">
        <w:t>the</w:t>
      </w:r>
      <w:r w:rsidR="00EE4FC3">
        <w:t xml:space="preserve"> </w:t>
      </w:r>
      <w:r w:rsidRPr="00382917">
        <w:t>side</w:t>
      </w:r>
      <w:r w:rsidR="00EE4FC3">
        <w:t xml:space="preserve"> </w:t>
      </w:r>
      <w:r w:rsidRPr="00382917">
        <w:t>of</w:t>
      </w:r>
      <w:r w:rsidR="00EE4FC3">
        <w:t xml:space="preserve"> </w:t>
      </w:r>
      <w:r w:rsidRPr="00382917">
        <w:t>this</w:t>
      </w:r>
      <w:r w:rsidR="00EE4FC3">
        <w:t xml:space="preserve"> </w:t>
      </w:r>
      <w:r w:rsidRPr="00382917">
        <w:t>holy</w:t>
      </w:r>
      <w:r w:rsidR="00EE4FC3">
        <w:t xml:space="preserve"> </w:t>
      </w:r>
      <w:r w:rsidRPr="00382917">
        <w:t>mountain,</w:t>
      </w:r>
      <w:r w:rsidR="00EE4FC3">
        <w:t xml:space="preserve"> </w:t>
      </w:r>
      <w:r w:rsidRPr="00382917">
        <w:t>Bahá</w:t>
      </w:r>
      <w:r w:rsidR="009C713D" w:rsidRPr="00382917">
        <w:t>’</w:t>
      </w:r>
      <w:r w:rsidRPr="00382917">
        <w:t>u</w:t>
      </w:r>
      <w:r w:rsidR="009C713D" w:rsidRPr="00382917">
        <w:t>’</w:t>
      </w:r>
      <w:r w:rsidRPr="00382917">
        <w:t>lláh</w:t>
      </w:r>
      <w:r w:rsidR="00EE4FC3">
        <w:t xml:space="preserve"> </w:t>
      </w:r>
      <w:r w:rsidRPr="00382917">
        <w:t>pointed</w:t>
      </w:r>
      <w:r w:rsidR="00EE4FC3">
        <w:t xml:space="preserve"> </w:t>
      </w:r>
      <w:r w:rsidRPr="00382917">
        <w:t>out</w:t>
      </w:r>
      <w:r w:rsidR="00EE4FC3">
        <w:t xml:space="preserve"> </w:t>
      </w:r>
      <w:r w:rsidRPr="00382917">
        <w:t>to</w:t>
      </w:r>
      <w:r w:rsidR="00EE4FC3">
        <w:t xml:space="preserve"> </w:t>
      </w:r>
      <w:r w:rsidRPr="00382917">
        <w:t>His</w:t>
      </w:r>
      <w:r w:rsidR="00EE4FC3">
        <w:t xml:space="preserve"> </w:t>
      </w:r>
      <w:r w:rsidRPr="00382917">
        <w:t>son,</w:t>
      </w:r>
      <w:r w:rsidR="00EE4FC3">
        <w:t xml:space="preserve"> </w:t>
      </w:r>
      <w:r w:rsidR="009C713D" w:rsidRPr="00382917">
        <w:t>‘</w:t>
      </w:r>
      <w:r w:rsidRPr="00382917">
        <w:t>Abdul-Bahá,</w:t>
      </w:r>
      <w:r w:rsidR="00EE4FC3">
        <w:t xml:space="preserve"> </w:t>
      </w:r>
      <w:r w:rsidRPr="00382917">
        <w:t>the</w:t>
      </w:r>
      <w:r w:rsidR="00EE4FC3">
        <w:t xml:space="preserve"> </w:t>
      </w:r>
      <w:r w:rsidRPr="00382917">
        <w:t>exact</w:t>
      </w:r>
      <w:r w:rsidR="00EE4FC3">
        <w:t xml:space="preserve"> </w:t>
      </w:r>
      <w:r w:rsidRPr="00382917">
        <w:t>spot</w:t>
      </w:r>
      <w:r w:rsidR="00EE4FC3">
        <w:t xml:space="preserve"> </w:t>
      </w:r>
      <w:r w:rsidRPr="00382917">
        <w:t>where</w:t>
      </w:r>
      <w:r w:rsidR="00EE4FC3">
        <w:t xml:space="preserve"> </w:t>
      </w:r>
      <w:r w:rsidRPr="00382917">
        <w:t>a</w:t>
      </w:r>
      <w:r w:rsidR="00EE4FC3">
        <w:t xml:space="preserve"> </w:t>
      </w:r>
      <w:r w:rsidRPr="00382917">
        <w:t>Shrine</w:t>
      </w:r>
      <w:r w:rsidR="00EE4FC3">
        <w:t xml:space="preserve"> </w:t>
      </w:r>
      <w:r w:rsidRPr="00382917">
        <w:t>should</w:t>
      </w:r>
      <w:r w:rsidR="00EE4FC3">
        <w:t xml:space="preserve"> </w:t>
      </w:r>
      <w:r w:rsidRPr="00382917">
        <w:t>be</w:t>
      </w:r>
      <w:r w:rsidR="00EE4FC3">
        <w:t xml:space="preserve"> </w:t>
      </w:r>
      <w:r w:rsidRPr="00382917">
        <w:t>built</w:t>
      </w:r>
      <w:r w:rsidR="00EE4FC3">
        <w:t xml:space="preserve"> </w:t>
      </w:r>
      <w:r w:rsidRPr="00382917">
        <w:t>and</w:t>
      </w:r>
      <w:r w:rsidR="00EE4FC3">
        <w:t xml:space="preserve"> </w:t>
      </w:r>
      <w:r w:rsidRPr="00382917">
        <w:t>where</w:t>
      </w:r>
      <w:r w:rsidR="00EE4FC3">
        <w:t xml:space="preserve"> </w:t>
      </w:r>
      <w:r w:rsidRPr="00382917">
        <w:t>the</w:t>
      </w:r>
      <w:r w:rsidR="00EE4FC3">
        <w:t xml:space="preserve"> </w:t>
      </w:r>
      <w:r w:rsidRPr="00382917">
        <w:t>sacred</w:t>
      </w:r>
      <w:r w:rsidR="00EE4FC3">
        <w:t xml:space="preserve"> </w:t>
      </w:r>
      <w:r w:rsidRPr="00382917">
        <w:t>remains</w:t>
      </w:r>
      <w:r w:rsidR="00EE4FC3">
        <w:t xml:space="preserve"> </w:t>
      </w:r>
      <w:r w:rsidRPr="00382917">
        <w:t>of</w:t>
      </w:r>
      <w:r w:rsidR="00EE4FC3">
        <w:t xml:space="preserve"> </w:t>
      </w:r>
      <w:r w:rsidRPr="00382917">
        <w:t>the</w:t>
      </w:r>
      <w:r w:rsidR="00EE4FC3">
        <w:t xml:space="preserve"> </w:t>
      </w:r>
      <w:r w:rsidRPr="00382917">
        <w:t>Báb</w:t>
      </w:r>
      <w:r w:rsidR="00EE4FC3">
        <w:t xml:space="preserve"> </w:t>
      </w:r>
      <w:r w:rsidRPr="00382917">
        <w:t>should</w:t>
      </w:r>
      <w:r w:rsidR="00EE4FC3">
        <w:t xml:space="preserve"> </w:t>
      </w:r>
      <w:r w:rsidRPr="00382917">
        <w:t>be</w:t>
      </w:r>
      <w:r w:rsidR="00EE4FC3">
        <w:t xml:space="preserve"> </w:t>
      </w:r>
      <w:r w:rsidRPr="00382917">
        <w:t>entombed</w:t>
      </w:r>
      <w:r w:rsidR="00EE4FC3">
        <w:t xml:space="preserve"> </w:t>
      </w:r>
      <w:r w:rsidRPr="00382917">
        <w:t>forever.</w:t>
      </w:r>
    </w:p>
    <w:p w:rsidR="006E4F81" w:rsidRPr="00382917" w:rsidRDefault="006E4F81" w:rsidP="00A17F27">
      <w:pPr>
        <w:pStyle w:val="Text"/>
      </w:pPr>
      <w:r w:rsidRPr="00382917">
        <w:t>Those</w:t>
      </w:r>
      <w:r w:rsidR="00EE4FC3">
        <w:t xml:space="preserve"> </w:t>
      </w:r>
      <w:r w:rsidRPr="00382917">
        <w:t>precious</w:t>
      </w:r>
      <w:r w:rsidR="00EE4FC3">
        <w:t xml:space="preserve"> </w:t>
      </w:r>
      <w:r w:rsidRPr="00382917">
        <w:t>mangled</w:t>
      </w:r>
      <w:r w:rsidR="00EE4FC3">
        <w:t xml:space="preserve"> </w:t>
      </w:r>
      <w:r w:rsidRPr="00382917">
        <w:t>bodies</w:t>
      </w:r>
      <w:r w:rsidR="00EE4FC3">
        <w:t xml:space="preserve"> </w:t>
      </w:r>
      <w:r w:rsidRPr="00382917">
        <w:t>of</w:t>
      </w:r>
      <w:r w:rsidR="00EE4FC3">
        <w:t xml:space="preserve"> </w:t>
      </w:r>
      <w:r w:rsidRPr="00382917">
        <w:t>the</w:t>
      </w:r>
      <w:r w:rsidR="00EE4FC3">
        <w:t xml:space="preserve"> </w:t>
      </w:r>
      <w:r w:rsidRPr="00382917">
        <w:t>Báb</w:t>
      </w:r>
      <w:r w:rsidR="00EE4FC3">
        <w:t xml:space="preserve"> </w:t>
      </w:r>
      <w:r w:rsidRPr="00382917">
        <w:t>and</w:t>
      </w:r>
      <w:r w:rsidR="00EE4FC3">
        <w:t xml:space="preserve"> </w:t>
      </w:r>
      <w:r w:rsidRPr="00382917">
        <w:t>His</w:t>
      </w:r>
      <w:r w:rsidR="00EE4FC3">
        <w:t xml:space="preserve"> </w:t>
      </w:r>
      <w:r w:rsidRPr="00382917">
        <w:t>fellow-martyr</w:t>
      </w:r>
      <w:r w:rsidR="00EE4FC3">
        <w:t xml:space="preserve"> </w:t>
      </w:r>
      <w:r w:rsidRPr="00382917">
        <w:t>were</w:t>
      </w:r>
      <w:r w:rsidR="00EE4FC3">
        <w:t xml:space="preserve"> </w:t>
      </w:r>
      <w:r w:rsidRPr="00382917">
        <w:t>rescued</w:t>
      </w:r>
      <w:r w:rsidR="00EE4FC3">
        <w:t xml:space="preserve"> </w:t>
      </w:r>
      <w:r w:rsidRPr="00382917">
        <w:t>from</w:t>
      </w:r>
      <w:r w:rsidR="00EE4FC3">
        <w:t xml:space="preserve"> </w:t>
      </w:r>
      <w:r w:rsidRPr="00382917">
        <w:t>the</w:t>
      </w:r>
      <w:r w:rsidR="00EE4FC3">
        <w:t xml:space="preserve"> </w:t>
      </w:r>
      <w:r w:rsidRPr="00382917">
        <w:t>moat</w:t>
      </w:r>
      <w:r w:rsidR="00EE4FC3">
        <w:t xml:space="preserve"> </w:t>
      </w:r>
      <w:r w:rsidRPr="00382917">
        <w:t>outside</w:t>
      </w:r>
      <w:r w:rsidR="00EE4FC3">
        <w:t xml:space="preserve"> </w:t>
      </w:r>
      <w:r w:rsidRPr="00382917">
        <w:t>the</w:t>
      </w:r>
      <w:r w:rsidR="00EE4FC3">
        <w:t xml:space="preserve"> </w:t>
      </w:r>
      <w:r w:rsidRPr="00382917">
        <w:t>city</w:t>
      </w:r>
      <w:r w:rsidR="00EE4FC3">
        <w:t xml:space="preserve"> </w:t>
      </w:r>
      <w:r w:rsidRPr="00382917">
        <w:t>of</w:t>
      </w:r>
      <w:r w:rsidR="00EE4FC3">
        <w:t xml:space="preserve"> </w:t>
      </w:r>
      <w:r w:rsidR="00B24C41">
        <w:t>Tabríz</w:t>
      </w:r>
      <w:r w:rsidR="00EE4FC3">
        <w:t xml:space="preserve"> </w:t>
      </w:r>
      <w:r w:rsidRPr="00382917">
        <w:t>by</w:t>
      </w:r>
      <w:r w:rsidR="00EE4FC3">
        <w:t xml:space="preserve"> </w:t>
      </w:r>
      <w:r w:rsidRPr="00382917">
        <w:t>Ḥájí</w:t>
      </w:r>
      <w:r w:rsidR="00EE4FC3">
        <w:t xml:space="preserve"> </w:t>
      </w:r>
      <w:r w:rsidRPr="00382917">
        <w:t>Sulaymán</w:t>
      </w:r>
      <w:r w:rsidR="00EE4FC3">
        <w:t xml:space="preserve"> </w:t>
      </w:r>
      <w:r w:rsidR="0040329F" w:rsidRPr="0040329F">
        <w:rPr>
          <w:u w:val="single"/>
        </w:rPr>
        <w:t>Kh</w:t>
      </w:r>
      <w:r w:rsidR="0040329F" w:rsidRPr="00382917">
        <w:t>án</w:t>
      </w:r>
      <w:r w:rsidR="00EE4FC3">
        <w:t xml:space="preserve"> </w:t>
      </w:r>
      <w:r w:rsidRPr="00382917">
        <w:t>and</w:t>
      </w:r>
      <w:r w:rsidR="00EE4FC3">
        <w:t xml:space="preserve"> </w:t>
      </w:r>
      <w:r w:rsidRPr="00382917">
        <w:t>were</w:t>
      </w:r>
      <w:r w:rsidR="00EE4FC3">
        <w:t xml:space="preserve"> </w:t>
      </w:r>
      <w:r w:rsidRPr="00382917">
        <w:t>brought</w:t>
      </w:r>
      <w:r w:rsidR="00EE4FC3">
        <w:t xml:space="preserve"> </w:t>
      </w:r>
      <w:r w:rsidRPr="00382917">
        <w:t>to</w:t>
      </w:r>
      <w:r w:rsidR="00EE4FC3">
        <w:t xml:space="preserve"> </w:t>
      </w:r>
      <w:r w:rsidRPr="00382917">
        <w:t>a</w:t>
      </w:r>
      <w:r w:rsidR="00EE4FC3">
        <w:t xml:space="preserve"> </w:t>
      </w:r>
      <w:r w:rsidRPr="00382917">
        <w:t>silk</w:t>
      </w:r>
      <w:r w:rsidR="00EE4FC3">
        <w:t xml:space="preserve"> </w:t>
      </w:r>
      <w:r w:rsidRPr="00382917">
        <w:t>factory</w:t>
      </w:r>
      <w:r w:rsidR="00EE4FC3">
        <w:t xml:space="preserve"> </w:t>
      </w:r>
      <w:r w:rsidRPr="00382917">
        <w:t>owned</w:t>
      </w:r>
      <w:r w:rsidR="00EE4FC3">
        <w:t xml:space="preserve"> </w:t>
      </w:r>
      <w:r w:rsidRPr="00382917">
        <w:t>by</w:t>
      </w:r>
      <w:r w:rsidR="00EE4FC3">
        <w:t xml:space="preserve"> </w:t>
      </w:r>
      <w:r w:rsidRPr="00382917">
        <w:t>one</w:t>
      </w:r>
      <w:r w:rsidR="00EE4FC3">
        <w:t xml:space="preserve"> </w:t>
      </w:r>
      <w:r w:rsidRPr="00382917">
        <w:t>of</w:t>
      </w:r>
      <w:r w:rsidR="00EE4FC3">
        <w:t xml:space="preserve"> </w:t>
      </w:r>
      <w:r w:rsidRPr="00382917">
        <w:t>the</w:t>
      </w:r>
      <w:r w:rsidR="00EE4FC3">
        <w:t xml:space="preserve"> </w:t>
      </w:r>
      <w:r w:rsidRPr="00382917">
        <w:t>believers</w:t>
      </w:r>
      <w:r w:rsidR="00EE4FC3">
        <w:t xml:space="preserve"> </w:t>
      </w:r>
      <w:r w:rsidRPr="00382917">
        <w:t>of</w:t>
      </w:r>
      <w:r w:rsidR="00EE4FC3">
        <w:t xml:space="preserve"> </w:t>
      </w:r>
      <w:r w:rsidRPr="00382917">
        <w:t>Milan</w:t>
      </w:r>
      <w:r w:rsidR="00F267E4">
        <w:t>.</w:t>
      </w:r>
      <w:r w:rsidR="00EE4FC3">
        <w:t xml:space="preserve">  </w:t>
      </w:r>
      <w:r w:rsidRPr="00382917">
        <w:t>The</w:t>
      </w:r>
      <w:r w:rsidR="00EE4FC3">
        <w:t xml:space="preserve"> </w:t>
      </w:r>
      <w:r w:rsidRPr="00382917">
        <w:t>next</w:t>
      </w:r>
      <w:r w:rsidR="00EE4FC3">
        <w:t xml:space="preserve"> </w:t>
      </w:r>
      <w:r w:rsidRPr="00382917">
        <w:t>day</w:t>
      </w:r>
      <w:r w:rsidR="00EE4FC3">
        <w:t xml:space="preserve"> </w:t>
      </w:r>
      <w:r w:rsidRPr="00382917">
        <w:t>they</w:t>
      </w:r>
      <w:r w:rsidR="00EE4FC3">
        <w:t xml:space="preserve"> </w:t>
      </w:r>
      <w:r w:rsidRPr="00382917">
        <w:t>were</w:t>
      </w:r>
      <w:r w:rsidR="00EE4FC3">
        <w:t xml:space="preserve"> </w:t>
      </w:r>
      <w:r w:rsidRPr="00382917">
        <w:t>laid</w:t>
      </w:r>
      <w:r w:rsidR="00EE4FC3">
        <w:t xml:space="preserve"> </w:t>
      </w:r>
      <w:r w:rsidRPr="00382917">
        <w:t>in</w:t>
      </w:r>
      <w:r w:rsidR="00EE4FC3">
        <w:t xml:space="preserve"> </w:t>
      </w:r>
      <w:r w:rsidRPr="00382917">
        <w:t>a</w:t>
      </w:r>
      <w:r w:rsidR="00EE4FC3">
        <w:t xml:space="preserve"> </w:t>
      </w:r>
      <w:r w:rsidRPr="00382917">
        <w:t>wooden</w:t>
      </w:r>
      <w:r w:rsidR="00EE4FC3">
        <w:t xml:space="preserve"> </w:t>
      </w:r>
      <w:r w:rsidRPr="00382917">
        <w:t>casket</w:t>
      </w:r>
      <w:r w:rsidR="00EE4FC3">
        <w:t xml:space="preserve"> </w:t>
      </w:r>
      <w:r w:rsidRPr="00382917">
        <w:t>and</w:t>
      </w:r>
      <w:r w:rsidR="00EE4FC3">
        <w:t xml:space="preserve"> </w:t>
      </w:r>
      <w:r w:rsidRPr="00382917">
        <w:t>carried</w:t>
      </w:r>
      <w:r w:rsidR="00EE4FC3">
        <w:t xml:space="preserve"> </w:t>
      </w:r>
      <w:r w:rsidRPr="00382917">
        <w:t>to</w:t>
      </w:r>
      <w:r w:rsidR="00EE4FC3">
        <w:t xml:space="preserve"> </w:t>
      </w:r>
      <w:r w:rsidRPr="00382917">
        <w:t>a</w:t>
      </w:r>
      <w:r w:rsidR="00EE4FC3">
        <w:t xml:space="preserve"> </w:t>
      </w:r>
      <w:r w:rsidRPr="00382917">
        <w:t>place</w:t>
      </w:r>
      <w:r w:rsidR="00EE4FC3">
        <w:t xml:space="preserve"> </w:t>
      </w:r>
      <w:r w:rsidRPr="00382917">
        <w:t>of</w:t>
      </w:r>
      <w:r w:rsidR="00EE4FC3">
        <w:t xml:space="preserve"> </w:t>
      </w:r>
      <w:r w:rsidRPr="00382917">
        <w:t>safety</w:t>
      </w:r>
      <w:r w:rsidR="00F267E4">
        <w:t>.</w:t>
      </w:r>
      <w:r w:rsidR="00EE4FC3">
        <w:t xml:space="preserve">  </w:t>
      </w:r>
      <w:r w:rsidRPr="00382917">
        <w:t>Bahá</w:t>
      </w:r>
      <w:r w:rsidR="009C713D" w:rsidRPr="00382917">
        <w:t>’</w:t>
      </w:r>
      <w:r w:rsidRPr="00382917">
        <w:t>u</w:t>
      </w:r>
      <w:r w:rsidR="009C713D" w:rsidRPr="00382917">
        <w:t>’</w:t>
      </w:r>
      <w:r w:rsidRPr="00382917">
        <w:t>lláh</w:t>
      </w:r>
      <w:r w:rsidR="00EE4FC3">
        <w:t xml:space="preserve"> </w:t>
      </w:r>
      <w:r w:rsidRPr="00382917">
        <w:t>instructed</w:t>
      </w:r>
      <w:r w:rsidR="00EE4FC3">
        <w:t xml:space="preserve"> </w:t>
      </w:r>
      <w:r w:rsidRPr="00382917">
        <w:t>that</w:t>
      </w:r>
      <w:r w:rsidR="00EE4FC3">
        <w:t xml:space="preserve"> </w:t>
      </w:r>
      <w:r w:rsidRPr="00382917">
        <w:t>they</w:t>
      </w:r>
      <w:r w:rsidR="00EE4FC3">
        <w:t xml:space="preserve"> </w:t>
      </w:r>
      <w:r w:rsidRPr="00382917">
        <w:t>be</w:t>
      </w:r>
      <w:r w:rsidR="00EE4FC3">
        <w:t xml:space="preserve"> </w:t>
      </w:r>
      <w:r w:rsidRPr="00382917">
        <w:t>brought</w:t>
      </w:r>
      <w:r w:rsidR="00EE4FC3">
        <w:t xml:space="preserve"> </w:t>
      </w:r>
      <w:r w:rsidRPr="00382917">
        <w:t>to</w:t>
      </w:r>
      <w:r w:rsidR="00EE4FC3">
        <w:t xml:space="preserve"> </w:t>
      </w:r>
      <w:r w:rsidRPr="00382917">
        <w:t>Ṭihrán</w:t>
      </w:r>
      <w:r w:rsidR="00EE4FC3">
        <w:t xml:space="preserve"> </w:t>
      </w:r>
      <w:r w:rsidRPr="00382917">
        <w:t>and</w:t>
      </w:r>
      <w:r w:rsidR="00EE4FC3">
        <w:t xml:space="preserve"> </w:t>
      </w:r>
      <w:r w:rsidRPr="00382917">
        <w:t>be</w:t>
      </w:r>
      <w:r w:rsidR="00EE4FC3">
        <w:t xml:space="preserve"> </w:t>
      </w:r>
      <w:r w:rsidRPr="00382917">
        <w:t>placed</w:t>
      </w:r>
      <w:r w:rsidR="00EE4FC3">
        <w:t xml:space="preserve"> </w:t>
      </w:r>
      <w:r w:rsidRPr="00382917">
        <w:t>in</w:t>
      </w:r>
      <w:r w:rsidR="00EE4FC3">
        <w:t xml:space="preserve"> </w:t>
      </w:r>
      <w:r w:rsidRPr="00382917">
        <w:t>the</w:t>
      </w:r>
      <w:r w:rsidR="00EE4FC3">
        <w:t xml:space="preserve"> </w:t>
      </w:r>
      <w:r w:rsidRPr="00382917">
        <w:t>shrine</w:t>
      </w:r>
      <w:r w:rsidR="00EE4FC3">
        <w:t xml:space="preserve"> </w:t>
      </w:r>
      <w:r w:rsidRPr="00382917">
        <w:t>of</w:t>
      </w:r>
      <w:r w:rsidR="00EE4FC3">
        <w:t xml:space="preserve"> </w:t>
      </w:r>
      <w:r w:rsidRPr="00382917">
        <w:t>the</w:t>
      </w:r>
      <w:r w:rsidR="00EE4FC3">
        <w:t xml:space="preserve"> </w:t>
      </w:r>
      <w:r w:rsidRPr="00382917">
        <w:t>Imám-</w:t>
      </w:r>
    </w:p>
    <w:p w:rsidR="004C0EF8" w:rsidRPr="00382917" w:rsidRDefault="004C0EF8">
      <w:pPr>
        <w:widowControl/>
        <w:kinsoku/>
        <w:overflowPunct/>
        <w:textAlignment w:val="auto"/>
      </w:pPr>
      <w:r w:rsidRPr="00382917">
        <w:br w:type="page"/>
      </w:r>
    </w:p>
    <w:p w:rsidR="006E4F81" w:rsidRPr="00382917" w:rsidRDefault="006E4F81" w:rsidP="004C0EF8">
      <w:pPr>
        <w:pStyle w:val="Textcts"/>
      </w:pPr>
      <w:r w:rsidRPr="00382917">
        <w:t>Zádih</w:t>
      </w:r>
      <w:r w:rsidR="00EE4FC3">
        <w:t xml:space="preserve"> </w:t>
      </w:r>
      <w:r w:rsidRPr="00382917">
        <w:t>Ḥasan,</w:t>
      </w:r>
      <w:r w:rsidR="00EE4FC3">
        <w:t xml:space="preserve"> </w:t>
      </w:r>
      <w:r w:rsidRPr="00382917">
        <w:t>where</w:t>
      </w:r>
      <w:r w:rsidR="00EE4FC3">
        <w:t xml:space="preserve"> </w:t>
      </w:r>
      <w:proofErr w:type="gramStart"/>
      <w:r w:rsidRPr="00382917">
        <w:t>They</w:t>
      </w:r>
      <w:proofErr w:type="gramEnd"/>
      <w:r w:rsidR="00EE4FC3">
        <w:t xml:space="preserve"> </w:t>
      </w:r>
      <w:r w:rsidRPr="00382917">
        <w:t>would</w:t>
      </w:r>
      <w:r w:rsidR="00EE4FC3">
        <w:t xml:space="preserve"> </w:t>
      </w:r>
      <w:r w:rsidRPr="00382917">
        <w:t>be,</w:t>
      </w:r>
      <w:r w:rsidR="00EE4FC3">
        <w:t xml:space="preserve"> </w:t>
      </w:r>
      <w:r w:rsidRPr="00382917">
        <w:t>as</w:t>
      </w:r>
      <w:r w:rsidR="00EE4FC3">
        <w:t xml:space="preserve"> </w:t>
      </w:r>
      <w:r w:rsidRPr="00382917">
        <w:t>the</w:t>
      </w:r>
      <w:r w:rsidR="00EE4FC3">
        <w:t xml:space="preserve"> </w:t>
      </w:r>
      <w:r w:rsidRPr="00382917">
        <w:t>Báb</w:t>
      </w:r>
      <w:r w:rsidR="00EE4FC3">
        <w:t xml:space="preserve"> </w:t>
      </w:r>
      <w:r w:rsidRPr="00382917">
        <w:t>Himself</w:t>
      </w:r>
      <w:r w:rsidR="00EE4FC3">
        <w:t xml:space="preserve"> </w:t>
      </w:r>
      <w:r w:rsidRPr="00382917">
        <w:t>requested,</w:t>
      </w:r>
      <w:r w:rsidR="00EE4FC3">
        <w:t xml:space="preserve"> </w:t>
      </w:r>
      <w:r w:rsidR="009C713D" w:rsidRPr="00382917">
        <w:t>“</w:t>
      </w:r>
      <w:r w:rsidRPr="00382917">
        <w:t>within</w:t>
      </w:r>
      <w:r w:rsidR="00EE4FC3">
        <w:t xml:space="preserve"> </w:t>
      </w:r>
      <w:r w:rsidRPr="00382917">
        <w:t>the</w:t>
      </w:r>
      <w:r w:rsidR="00EE4FC3">
        <w:t xml:space="preserve"> </w:t>
      </w:r>
      <w:r w:rsidRPr="00382917">
        <w:t>shadow</w:t>
      </w:r>
      <w:r w:rsidR="00EE4FC3">
        <w:t xml:space="preserve"> </w:t>
      </w:r>
      <w:r w:rsidRPr="00382917">
        <w:t>of</w:t>
      </w:r>
      <w:r w:rsidR="00EE4FC3">
        <w:t xml:space="preserve"> </w:t>
      </w:r>
      <w:r w:rsidRPr="00382917">
        <w:t>His</w:t>
      </w:r>
      <w:r w:rsidR="00EE4FC3">
        <w:t xml:space="preserve"> </w:t>
      </w:r>
      <w:r w:rsidRPr="00382917">
        <w:t>Beloved.</w:t>
      </w:r>
      <w:r w:rsidR="009C713D" w:rsidRPr="00382917">
        <w:t>”</w:t>
      </w:r>
    </w:p>
    <w:p w:rsidR="006E4F81" w:rsidRPr="00382917" w:rsidRDefault="006E4F81" w:rsidP="00A17F27">
      <w:pPr>
        <w:pStyle w:val="Text"/>
      </w:pPr>
      <w:r w:rsidRPr="00382917">
        <w:t>But,</w:t>
      </w:r>
      <w:r w:rsidR="00EE4FC3">
        <w:t xml:space="preserve"> </w:t>
      </w:r>
      <w:r w:rsidRPr="00382917">
        <w:t>Bahá</w:t>
      </w:r>
      <w:r w:rsidR="009C713D" w:rsidRPr="00382917">
        <w:t>’</w:t>
      </w:r>
      <w:r w:rsidRPr="00382917">
        <w:t>u</w:t>
      </w:r>
      <w:r w:rsidR="009C713D" w:rsidRPr="00382917">
        <w:t>’</w:t>
      </w:r>
      <w:r w:rsidRPr="00382917">
        <w:t>lláh</w:t>
      </w:r>
      <w:r w:rsidR="00EE4FC3">
        <w:t xml:space="preserve"> </w:t>
      </w:r>
      <w:r w:rsidRPr="00382917">
        <w:t>was</w:t>
      </w:r>
      <w:r w:rsidR="00EE4FC3">
        <w:t xml:space="preserve"> </w:t>
      </w:r>
      <w:r w:rsidRPr="00382917">
        <w:t>stoned,</w:t>
      </w:r>
      <w:r w:rsidR="00EE4FC3">
        <w:t xml:space="preserve"> </w:t>
      </w:r>
      <w:r w:rsidRPr="00382917">
        <w:t>imprisoned</w:t>
      </w:r>
      <w:r w:rsidR="00EE4FC3">
        <w:t xml:space="preserve"> </w:t>
      </w:r>
      <w:r w:rsidRPr="00382917">
        <w:t>and</w:t>
      </w:r>
      <w:r w:rsidR="00EE4FC3">
        <w:t xml:space="preserve"> </w:t>
      </w:r>
      <w:r w:rsidRPr="00382917">
        <w:t>finally</w:t>
      </w:r>
      <w:r w:rsidR="00EE4FC3">
        <w:t xml:space="preserve"> </w:t>
      </w:r>
      <w:r w:rsidRPr="00382917">
        <w:t>banished</w:t>
      </w:r>
      <w:r w:rsidR="00EE4FC3">
        <w:t xml:space="preserve"> </w:t>
      </w:r>
      <w:r w:rsidRPr="00382917">
        <w:t>from</w:t>
      </w:r>
      <w:r w:rsidR="00EE4FC3">
        <w:t xml:space="preserve"> </w:t>
      </w:r>
      <w:r w:rsidR="00A17F27" w:rsidRPr="00A17F27">
        <w:t>Ṭ</w:t>
      </w:r>
      <w:r w:rsidRPr="00382917">
        <w:t>ihrán,</w:t>
      </w:r>
      <w:r w:rsidR="00EE4FC3">
        <w:t xml:space="preserve"> </w:t>
      </w:r>
      <w:r w:rsidRPr="00382917">
        <w:t>and</w:t>
      </w:r>
      <w:r w:rsidR="00EE4FC3">
        <w:t xml:space="preserve"> </w:t>
      </w:r>
      <w:r w:rsidRPr="00382917">
        <w:t>those</w:t>
      </w:r>
      <w:r w:rsidR="00EE4FC3">
        <w:t xml:space="preserve"> </w:t>
      </w:r>
      <w:r w:rsidRPr="00382917">
        <w:t>sacred</w:t>
      </w:r>
      <w:r w:rsidR="00EE4FC3">
        <w:t xml:space="preserve"> </w:t>
      </w:r>
      <w:r w:rsidRPr="00382917">
        <w:t>remains</w:t>
      </w:r>
      <w:r w:rsidR="00EE4FC3">
        <w:t xml:space="preserve"> </w:t>
      </w:r>
      <w:r w:rsidRPr="00382917">
        <w:t>of</w:t>
      </w:r>
      <w:r w:rsidR="00EE4FC3">
        <w:t xml:space="preserve"> </w:t>
      </w:r>
      <w:r w:rsidRPr="00382917">
        <w:t>the</w:t>
      </w:r>
      <w:r w:rsidR="00EE4FC3">
        <w:t xml:space="preserve"> </w:t>
      </w:r>
      <w:r w:rsidRPr="00382917">
        <w:t>Báb</w:t>
      </w:r>
      <w:r w:rsidR="00EE4FC3">
        <w:t xml:space="preserve"> </w:t>
      </w:r>
      <w:r w:rsidRPr="00382917">
        <w:t>were</w:t>
      </w:r>
      <w:r w:rsidR="00EE4FC3">
        <w:t xml:space="preserve"> </w:t>
      </w:r>
      <w:r w:rsidRPr="00382917">
        <w:t>no</w:t>
      </w:r>
      <w:r w:rsidR="00EE4FC3">
        <w:t xml:space="preserve"> </w:t>
      </w:r>
      <w:r w:rsidRPr="00382917">
        <w:t>longer</w:t>
      </w:r>
      <w:r w:rsidR="00EE4FC3">
        <w:t xml:space="preserve"> </w:t>
      </w:r>
      <w:r w:rsidRPr="00382917">
        <w:t>within</w:t>
      </w:r>
      <w:r w:rsidR="00EE4FC3">
        <w:t xml:space="preserve"> </w:t>
      </w:r>
      <w:r w:rsidRPr="00382917">
        <w:t>the</w:t>
      </w:r>
      <w:r w:rsidR="00EE4FC3">
        <w:t xml:space="preserve"> </w:t>
      </w:r>
      <w:r w:rsidRPr="00382917">
        <w:t>shadow</w:t>
      </w:r>
      <w:r w:rsidR="00EE4FC3">
        <w:t xml:space="preserve"> </w:t>
      </w:r>
      <w:r w:rsidRPr="00382917">
        <w:t>of</w:t>
      </w:r>
      <w:r w:rsidR="00EE4FC3">
        <w:t xml:space="preserve"> </w:t>
      </w:r>
      <w:r w:rsidRPr="00382917">
        <w:t>Bahá</w:t>
      </w:r>
      <w:r w:rsidR="009C713D" w:rsidRPr="00382917">
        <w:t>’</w:t>
      </w:r>
      <w:r w:rsidRPr="00382917">
        <w:t>u</w:t>
      </w:r>
      <w:r w:rsidR="009C713D" w:rsidRPr="00382917">
        <w:t>’</w:t>
      </w:r>
      <w:r w:rsidRPr="00382917">
        <w:t>lláh,</w:t>
      </w:r>
      <w:r w:rsidR="00EE4FC3">
        <w:t xml:space="preserve"> </w:t>
      </w:r>
      <w:r w:rsidRPr="00382917">
        <w:t>the</w:t>
      </w:r>
      <w:r w:rsidR="00EE4FC3">
        <w:t xml:space="preserve"> </w:t>
      </w:r>
      <w:r w:rsidRPr="00382917">
        <w:t>One</w:t>
      </w:r>
      <w:r w:rsidR="00EE4FC3">
        <w:t xml:space="preserve"> </w:t>
      </w:r>
      <w:r w:rsidRPr="00382917">
        <w:t>He</w:t>
      </w:r>
      <w:r w:rsidR="00EE4FC3">
        <w:t xml:space="preserve"> </w:t>
      </w:r>
      <w:r w:rsidRPr="00382917">
        <w:t>loved.</w:t>
      </w:r>
    </w:p>
    <w:p w:rsidR="006E4F81" w:rsidRPr="00382917" w:rsidRDefault="006E4F81" w:rsidP="004C0EF8">
      <w:pPr>
        <w:pStyle w:val="Text"/>
      </w:pPr>
      <w:r w:rsidRPr="00382917">
        <w:t>Throughout</w:t>
      </w:r>
      <w:r w:rsidR="00EE4FC3">
        <w:t xml:space="preserve"> </w:t>
      </w:r>
      <w:r w:rsidRPr="00382917">
        <w:t>every</w:t>
      </w:r>
      <w:r w:rsidR="00EE4FC3">
        <w:t xml:space="preserve"> </w:t>
      </w:r>
      <w:r w:rsidRPr="00382917">
        <w:t>step</w:t>
      </w:r>
      <w:r w:rsidR="00EE4FC3">
        <w:t xml:space="preserve"> </w:t>
      </w:r>
      <w:r w:rsidRPr="00382917">
        <w:t>of</w:t>
      </w:r>
      <w:r w:rsidR="00EE4FC3">
        <w:t xml:space="preserve"> </w:t>
      </w:r>
      <w:r w:rsidRPr="00382917">
        <w:t>His</w:t>
      </w:r>
      <w:r w:rsidR="00EE4FC3">
        <w:t xml:space="preserve"> </w:t>
      </w:r>
      <w:r w:rsidRPr="00382917">
        <w:t>enforced</w:t>
      </w:r>
      <w:r w:rsidR="00EE4FC3">
        <w:t xml:space="preserve"> </w:t>
      </w:r>
      <w:r w:rsidRPr="00382917">
        <w:t>exile,</w:t>
      </w:r>
      <w:r w:rsidR="00EE4FC3">
        <w:t xml:space="preserve"> </w:t>
      </w:r>
      <w:r w:rsidRPr="00382917">
        <w:t>Bahá</w:t>
      </w:r>
      <w:r w:rsidR="009C713D" w:rsidRPr="00382917">
        <w:t>’</w:t>
      </w:r>
      <w:r w:rsidRPr="00382917">
        <w:t>u</w:t>
      </w:r>
      <w:r w:rsidR="009C713D" w:rsidRPr="00382917">
        <w:t>’</w:t>
      </w:r>
      <w:r w:rsidRPr="00382917">
        <w:t>lláh</w:t>
      </w:r>
      <w:r w:rsidR="00EE4FC3">
        <w:t xml:space="preserve"> </w:t>
      </w:r>
      <w:r w:rsidRPr="00382917">
        <w:t>knew</w:t>
      </w:r>
      <w:r w:rsidR="00EE4FC3">
        <w:t xml:space="preserve"> </w:t>
      </w:r>
      <w:r w:rsidRPr="00382917">
        <w:t>the</w:t>
      </w:r>
      <w:r w:rsidR="00EE4FC3">
        <w:t xml:space="preserve"> </w:t>
      </w:r>
      <w:r w:rsidRPr="00382917">
        <w:t>exact</w:t>
      </w:r>
      <w:r w:rsidR="00EE4FC3">
        <w:t xml:space="preserve"> </w:t>
      </w:r>
      <w:r w:rsidRPr="00382917">
        <w:t>spot</w:t>
      </w:r>
      <w:r w:rsidR="00EE4FC3">
        <w:t xml:space="preserve"> </w:t>
      </w:r>
      <w:r w:rsidRPr="00382917">
        <w:t>which</w:t>
      </w:r>
      <w:r w:rsidR="00EE4FC3">
        <w:t xml:space="preserve"> </w:t>
      </w:r>
      <w:r w:rsidRPr="00382917">
        <w:t>held</w:t>
      </w:r>
      <w:r w:rsidR="00EE4FC3">
        <w:t xml:space="preserve"> </w:t>
      </w:r>
      <w:r w:rsidRPr="00382917">
        <w:t>those</w:t>
      </w:r>
      <w:r w:rsidR="00EE4FC3">
        <w:t xml:space="preserve"> </w:t>
      </w:r>
      <w:r w:rsidRPr="00382917">
        <w:t>holy</w:t>
      </w:r>
      <w:r w:rsidR="00EE4FC3">
        <w:t xml:space="preserve"> </w:t>
      </w:r>
      <w:r w:rsidRPr="00382917">
        <w:t>remains.</w:t>
      </w:r>
    </w:p>
    <w:p w:rsidR="006E4F81" w:rsidRPr="00382917" w:rsidRDefault="006E4F81" w:rsidP="00A17F27">
      <w:pPr>
        <w:pStyle w:val="Text"/>
      </w:pPr>
      <w:r w:rsidRPr="00382917">
        <w:t>They</w:t>
      </w:r>
      <w:r w:rsidR="00EE4FC3">
        <w:t xml:space="preserve"> </w:t>
      </w:r>
      <w:r w:rsidRPr="00382917">
        <w:t>were</w:t>
      </w:r>
      <w:r w:rsidR="00EE4FC3">
        <w:t xml:space="preserve"> </w:t>
      </w:r>
      <w:r w:rsidRPr="00382917">
        <w:t>later</w:t>
      </w:r>
      <w:r w:rsidR="00EE4FC3">
        <w:t xml:space="preserve"> </w:t>
      </w:r>
      <w:r w:rsidRPr="00382917">
        <w:t>removed</w:t>
      </w:r>
      <w:r w:rsidR="00EE4FC3">
        <w:t xml:space="preserve"> </w:t>
      </w:r>
      <w:r w:rsidRPr="00382917">
        <w:t>from</w:t>
      </w:r>
      <w:r w:rsidR="00EE4FC3">
        <w:t xml:space="preserve"> </w:t>
      </w:r>
      <w:r w:rsidRPr="00382917">
        <w:t>the</w:t>
      </w:r>
      <w:r w:rsidR="00EE4FC3">
        <w:t xml:space="preserve"> </w:t>
      </w:r>
      <w:r w:rsidRPr="00382917">
        <w:t>shrine</w:t>
      </w:r>
      <w:r w:rsidR="00EE4FC3">
        <w:t xml:space="preserve"> </w:t>
      </w:r>
      <w:r w:rsidRPr="00382917">
        <w:t>to</w:t>
      </w:r>
      <w:r w:rsidR="00EE4FC3">
        <w:t xml:space="preserve"> </w:t>
      </w:r>
      <w:r w:rsidRPr="00382917">
        <w:t>the</w:t>
      </w:r>
      <w:r w:rsidR="00EE4FC3">
        <w:t xml:space="preserve"> </w:t>
      </w:r>
      <w:r w:rsidRPr="00382917">
        <w:t>house</w:t>
      </w:r>
      <w:r w:rsidR="00EE4FC3">
        <w:t xml:space="preserve"> </w:t>
      </w:r>
      <w:r w:rsidRPr="00382917">
        <w:t>of</w:t>
      </w:r>
      <w:r w:rsidR="00EE4FC3">
        <w:t xml:space="preserve"> </w:t>
      </w:r>
      <w:r w:rsidRPr="00382917">
        <w:t>Ḥájí</w:t>
      </w:r>
      <w:r w:rsidR="00EE4FC3">
        <w:t xml:space="preserve"> </w:t>
      </w:r>
      <w:r w:rsidRPr="00382917">
        <w:t>Sulaymán</w:t>
      </w:r>
      <w:r w:rsidR="00EE4FC3">
        <w:t xml:space="preserve"> </w:t>
      </w:r>
      <w:r w:rsidR="0040329F" w:rsidRPr="0040329F">
        <w:rPr>
          <w:u w:val="single"/>
        </w:rPr>
        <w:t>Kh</w:t>
      </w:r>
      <w:r w:rsidR="0040329F" w:rsidRPr="00382917">
        <w:t>án</w:t>
      </w:r>
      <w:r w:rsidR="00EE4FC3">
        <w:t xml:space="preserve"> </w:t>
      </w:r>
      <w:r w:rsidRPr="00382917">
        <w:t>in</w:t>
      </w:r>
      <w:r w:rsidR="00EE4FC3">
        <w:t xml:space="preserve"> </w:t>
      </w:r>
      <w:r w:rsidRPr="00382917">
        <w:t>the</w:t>
      </w:r>
      <w:r w:rsidR="00EE4FC3">
        <w:t xml:space="preserve"> </w:t>
      </w:r>
      <w:proofErr w:type="spellStart"/>
      <w:r w:rsidRPr="00382917">
        <w:t>Sar-</w:t>
      </w:r>
      <w:r w:rsidRPr="00A17F27">
        <w:rPr>
          <w:u w:val="single"/>
        </w:rPr>
        <w:t>Ch</w:t>
      </w:r>
      <w:r w:rsidRPr="00382917">
        <w:t>a</w:t>
      </w:r>
      <w:r w:rsidRPr="00A17F27">
        <w:rPr>
          <w:u w:val="single"/>
        </w:rPr>
        <w:t>sh</w:t>
      </w:r>
      <w:r w:rsidRPr="00382917">
        <w:t>m</w:t>
      </w:r>
      <w:r w:rsidR="00A17F27">
        <w:t>a</w:t>
      </w:r>
      <w:r w:rsidRPr="00382917">
        <w:t>h</w:t>
      </w:r>
      <w:proofErr w:type="spellEnd"/>
      <w:r w:rsidR="00EE4FC3">
        <w:t xml:space="preserve"> </w:t>
      </w:r>
      <w:r w:rsidRPr="00382917">
        <w:t>quarter</w:t>
      </w:r>
      <w:r w:rsidR="00EE4FC3">
        <w:t xml:space="preserve"> </w:t>
      </w:r>
      <w:r w:rsidRPr="00382917">
        <w:t>of</w:t>
      </w:r>
      <w:r w:rsidR="00EE4FC3">
        <w:t xml:space="preserve"> </w:t>
      </w:r>
      <w:r w:rsidRPr="00382917">
        <w:t>Ṭihrán</w:t>
      </w:r>
      <w:r w:rsidR="00F267E4">
        <w:t>.</w:t>
      </w:r>
      <w:r w:rsidR="00EE4FC3">
        <w:t xml:space="preserve">  </w:t>
      </w:r>
      <w:r w:rsidRPr="00382917">
        <w:t>They</w:t>
      </w:r>
      <w:r w:rsidR="00EE4FC3">
        <w:t xml:space="preserve"> </w:t>
      </w:r>
      <w:r w:rsidRPr="00382917">
        <w:t>were</w:t>
      </w:r>
      <w:r w:rsidR="00EE4FC3">
        <w:t xml:space="preserve"> </w:t>
      </w:r>
      <w:r w:rsidRPr="00382917">
        <w:t>then</w:t>
      </w:r>
      <w:r w:rsidR="00EE4FC3">
        <w:t xml:space="preserve"> </w:t>
      </w:r>
      <w:r w:rsidRPr="00382917">
        <w:t>taken</w:t>
      </w:r>
      <w:r w:rsidR="00EE4FC3">
        <w:t xml:space="preserve"> </w:t>
      </w:r>
      <w:r w:rsidRPr="00382917">
        <w:t>to</w:t>
      </w:r>
      <w:r w:rsidR="00EE4FC3">
        <w:t xml:space="preserve"> </w:t>
      </w:r>
      <w:r w:rsidRPr="00382917">
        <w:t>the</w:t>
      </w:r>
      <w:r w:rsidR="00EE4FC3">
        <w:t xml:space="preserve"> </w:t>
      </w:r>
      <w:r w:rsidRPr="00382917">
        <w:t>shrine</w:t>
      </w:r>
      <w:r w:rsidR="00EE4FC3">
        <w:t xml:space="preserve"> </w:t>
      </w:r>
      <w:r w:rsidRPr="00382917">
        <w:t>of</w:t>
      </w:r>
      <w:r w:rsidR="00EE4FC3">
        <w:t xml:space="preserve"> </w:t>
      </w:r>
      <w:r w:rsidRPr="00382917">
        <w:t>Imám-Zádih</w:t>
      </w:r>
      <w:r w:rsidR="00EE4FC3">
        <w:t xml:space="preserve"> </w:t>
      </w:r>
      <w:r w:rsidRPr="00382917">
        <w:t>Ma</w:t>
      </w:r>
      <w:r w:rsidR="009C713D" w:rsidRPr="00382917">
        <w:t>‘</w:t>
      </w:r>
      <w:r w:rsidRPr="00382917">
        <w:t>ṣúm,</w:t>
      </w:r>
      <w:r w:rsidR="00EE4FC3">
        <w:t xml:space="preserve"> </w:t>
      </w:r>
      <w:r w:rsidRPr="00382917">
        <w:t>where</w:t>
      </w:r>
      <w:r w:rsidR="00EE4FC3">
        <w:t xml:space="preserve"> </w:t>
      </w:r>
      <w:r w:rsidRPr="00382917">
        <w:t>they</w:t>
      </w:r>
      <w:r w:rsidR="00EE4FC3">
        <w:t xml:space="preserve"> </w:t>
      </w:r>
      <w:r w:rsidRPr="00382917">
        <w:t>remained</w:t>
      </w:r>
      <w:r w:rsidR="00EE4FC3">
        <w:t xml:space="preserve"> </w:t>
      </w:r>
      <w:r w:rsidRPr="00382917">
        <w:t>concealed</w:t>
      </w:r>
      <w:r w:rsidR="00EE4FC3">
        <w:t xml:space="preserve"> </w:t>
      </w:r>
      <w:r w:rsidRPr="00382917">
        <w:t>until</w:t>
      </w:r>
      <w:r w:rsidR="00EE4FC3">
        <w:t xml:space="preserve"> </w:t>
      </w:r>
      <w:r w:rsidRPr="00382917">
        <w:t>the</w:t>
      </w:r>
      <w:r w:rsidR="00EE4FC3">
        <w:t xml:space="preserve"> </w:t>
      </w:r>
      <w:r w:rsidRPr="00382917">
        <w:t>year</w:t>
      </w:r>
      <w:r w:rsidR="00EE4FC3">
        <w:t xml:space="preserve"> </w:t>
      </w:r>
      <w:r w:rsidRPr="00382917">
        <w:t>1867</w:t>
      </w:r>
      <w:r w:rsidR="00F825CC">
        <w:t>–</w:t>
      </w:r>
      <w:r w:rsidRPr="00382917">
        <w:t>1868</w:t>
      </w:r>
      <w:r w:rsidR="00F267E4">
        <w:t>.</w:t>
      </w:r>
      <w:r w:rsidR="00EE4FC3">
        <w:t xml:space="preserve">  </w:t>
      </w:r>
      <w:r w:rsidRPr="00382917">
        <w:t>A</w:t>
      </w:r>
      <w:r w:rsidR="00EE4FC3">
        <w:t xml:space="preserve"> </w:t>
      </w:r>
      <w:r w:rsidRPr="00382917">
        <w:t>letter</w:t>
      </w:r>
      <w:r w:rsidR="00EE4FC3">
        <w:t xml:space="preserve"> </w:t>
      </w:r>
      <w:r w:rsidRPr="00382917">
        <w:t>was</w:t>
      </w:r>
      <w:r w:rsidR="00EE4FC3">
        <w:t xml:space="preserve"> </w:t>
      </w:r>
      <w:r w:rsidRPr="00382917">
        <w:t>received</w:t>
      </w:r>
      <w:r w:rsidR="00EE4FC3">
        <w:t xml:space="preserve"> </w:t>
      </w:r>
      <w:r w:rsidRPr="00382917">
        <w:t>from</w:t>
      </w:r>
      <w:r w:rsidR="00EE4FC3">
        <w:t xml:space="preserve"> </w:t>
      </w:r>
      <w:r w:rsidRPr="00382917">
        <w:t>Bahá</w:t>
      </w:r>
      <w:r w:rsidR="009C713D" w:rsidRPr="00382917">
        <w:t>’</w:t>
      </w:r>
      <w:r w:rsidRPr="00382917">
        <w:t>u</w:t>
      </w:r>
      <w:r w:rsidR="009C713D" w:rsidRPr="00382917">
        <w:t>’</w:t>
      </w:r>
      <w:r w:rsidRPr="00382917">
        <w:t>lláh</w:t>
      </w:r>
      <w:r w:rsidR="00EE4FC3">
        <w:t xml:space="preserve"> </w:t>
      </w:r>
      <w:r w:rsidRPr="00382917">
        <w:t>in</w:t>
      </w:r>
      <w:r w:rsidR="00EE4FC3">
        <w:t xml:space="preserve"> </w:t>
      </w:r>
      <w:r w:rsidRPr="00382917">
        <w:t>exile</w:t>
      </w:r>
      <w:r w:rsidR="00EE4FC3">
        <w:t xml:space="preserve"> </w:t>
      </w:r>
      <w:r w:rsidRPr="00382917">
        <w:t>directing</w:t>
      </w:r>
      <w:r w:rsidR="00EE4FC3">
        <w:t xml:space="preserve"> </w:t>
      </w:r>
      <w:r w:rsidRPr="00382917">
        <w:t>the</w:t>
      </w:r>
      <w:r w:rsidR="00EE4FC3">
        <w:t xml:space="preserve"> </w:t>
      </w:r>
      <w:r w:rsidRPr="00382917">
        <w:t>friends</w:t>
      </w:r>
      <w:r w:rsidR="00EE4FC3">
        <w:t xml:space="preserve"> </w:t>
      </w:r>
      <w:r w:rsidRPr="00382917">
        <w:t>to</w:t>
      </w:r>
      <w:r w:rsidR="00EE4FC3">
        <w:t xml:space="preserve"> </w:t>
      </w:r>
      <w:r w:rsidRPr="00382917">
        <w:t>transfer</w:t>
      </w:r>
      <w:r w:rsidR="00EE4FC3">
        <w:t xml:space="preserve"> </w:t>
      </w:r>
      <w:r w:rsidRPr="00382917">
        <w:t>them</w:t>
      </w:r>
      <w:r w:rsidR="00EE4FC3">
        <w:t xml:space="preserve"> </w:t>
      </w:r>
      <w:r w:rsidRPr="00382917">
        <w:t>without</w:t>
      </w:r>
      <w:r w:rsidR="00EE4FC3">
        <w:t xml:space="preserve"> </w:t>
      </w:r>
      <w:r w:rsidRPr="00382917">
        <w:t>delay</w:t>
      </w:r>
      <w:r w:rsidR="00EE4FC3">
        <w:t xml:space="preserve"> </w:t>
      </w:r>
      <w:r w:rsidRPr="00382917">
        <w:t>to</w:t>
      </w:r>
      <w:r w:rsidR="00EE4FC3">
        <w:t xml:space="preserve"> </w:t>
      </w:r>
      <w:r w:rsidRPr="00382917">
        <w:t>another</w:t>
      </w:r>
      <w:r w:rsidR="00EE4FC3">
        <w:t xml:space="preserve"> </w:t>
      </w:r>
      <w:r w:rsidRPr="00382917">
        <w:t>spot</w:t>
      </w:r>
      <w:r w:rsidR="00F267E4">
        <w:t>.</w:t>
      </w:r>
      <w:r w:rsidR="00EE4FC3">
        <w:t xml:space="preserve">  </w:t>
      </w:r>
      <w:r w:rsidRPr="00382917">
        <w:t>This</w:t>
      </w:r>
      <w:r w:rsidR="00EE4FC3">
        <w:t xml:space="preserve"> </w:t>
      </w:r>
      <w:r w:rsidRPr="00382917">
        <w:t>was</w:t>
      </w:r>
      <w:r w:rsidR="00EE4FC3">
        <w:t xml:space="preserve"> </w:t>
      </w:r>
      <w:r w:rsidRPr="00382917">
        <w:t>done</w:t>
      </w:r>
      <w:r w:rsidR="00EE4FC3">
        <w:t xml:space="preserve"> </w:t>
      </w:r>
      <w:r w:rsidRPr="00382917">
        <w:t>immediately,</w:t>
      </w:r>
      <w:r w:rsidR="00EE4FC3">
        <w:t xml:space="preserve"> </w:t>
      </w:r>
      <w:r w:rsidRPr="00382917">
        <w:t>and</w:t>
      </w:r>
      <w:r w:rsidR="00EE4FC3">
        <w:t xml:space="preserve"> </w:t>
      </w:r>
      <w:r w:rsidRPr="00382917">
        <w:t>proved</w:t>
      </w:r>
      <w:r w:rsidR="00EE4FC3">
        <w:t xml:space="preserve"> </w:t>
      </w:r>
      <w:r w:rsidRPr="00382917">
        <w:t>to</w:t>
      </w:r>
      <w:r w:rsidR="00EE4FC3">
        <w:t xml:space="preserve"> </w:t>
      </w:r>
      <w:r w:rsidRPr="00382917">
        <w:t>be</w:t>
      </w:r>
      <w:r w:rsidR="00EE4FC3">
        <w:t xml:space="preserve"> </w:t>
      </w:r>
      <w:r w:rsidRPr="00382917">
        <w:t>providential</w:t>
      </w:r>
      <w:r w:rsidR="00EE4FC3">
        <w:t xml:space="preserve"> </w:t>
      </w:r>
      <w:r w:rsidRPr="00382917">
        <w:t>as</w:t>
      </w:r>
      <w:r w:rsidR="00EE4FC3">
        <w:t xml:space="preserve"> </w:t>
      </w:r>
      <w:r w:rsidRPr="00382917">
        <w:t>shortly</w:t>
      </w:r>
      <w:r w:rsidR="00EE4FC3">
        <w:t xml:space="preserve"> </w:t>
      </w:r>
      <w:r w:rsidRPr="00382917">
        <w:t>after</w:t>
      </w:r>
      <w:r w:rsidR="00EE4FC3">
        <w:t xml:space="preserve"> </w:t>
      </w:r>
      <w:r w:rsidRPr="00382917">
        <w:t>this</w:t>
      </w:r>
      <w:r w:rsidR="00EE4FC3">
        <w:t xml:space="preserve"> </w:t>
      </w:r>
      <w:r w:rsidRPr="00382917">
        <w:t>the</w:t>
      </w:r>
      <w:r w:rsidR="00EE4FC3">
        <w:t xml:space="preserve"> </w:t>
      </w:r>
      <w:r w:rsidRPr="00382917">
        <w:t>shrine</w:t>
      </w:r>
      <w:r w:rsidR="00EE4FC3">
        <w:t xml:space="preserve"> </w:t>
      </w:r>
      <w:r w:rsidRPr="00382917">
        <w:t>was</w:t>
      </w:r>
      <w:r w:rsidR="00EE4FC3">
        <w:t xml:space="preserve"> </w:t>
      </w:r>
      <w:r w:rsidRPr="00382917">
        <w:t>reconstructed.</w:t>
      </w:r>
    </w:p>
    <w:p w:rsidR="006E4F81" w:rsidRPr="00382917" w:rsidRDefault="006E4F81" w:rsidP="00A17F27">
      <w:pPr>
        <w:pStyle w:val="Text"/>
      </w:pPr>
      <w:r w:rsidRPr="00382917">
        <w:t>Two</w:t>
      </w:r>
      <w:r w:rsidR="00EE4FC3">
        <w:t xml:space="preserve"> </w:t>
      </w:r>
      <w:r w:rsidRPr="00382917">
        <w:t>followers</w:t>
      </w:r>
      <w:r w:rsidR="00EE4FC3">
        <w:t xml:space="preserve"> </w:t>
      </w:r>
      <w:r w:rsidRPr="00382917">
        <w:t>of</w:t>
      </w:r>
      <w:r w:rsidR="00EE4FC3">
        <w:t xml:space="preserve"> </w:t>
      </w:r>
      <w:r w:rsidRPr="00382917">
        <w:t>Bahá</w:t>
      </w:r>
      <w:r w:rsidR="009C713D" w:rsidRPr="00382917">
        <w:t>’</w:t>
      </w:r>
      <w:r w:rsidRPr="00382917">
        <w:t>u</w:t>
      </w:r>
      <w:r w:rsidR="009C713D" w:rsidRPr="00382917">
        <w:t>’</w:t>
      </w:r>
      <w:r w:rsidRPr="00382917">
        <w:t>lláh</w:t>
      </w:r>
      <w:r w:rsidR="00EE4FC3">
        <w:t xml:space="preserve"> </w:t>
      </w:r>
      <w:r w:rsidRPr="00382917">
        <w:t>continued</w:t>
      </w:r>
      <w:r w:rsidR="00EE4FC3">
        <w:t xml:space="preserve"> </w:t>
      </w:r>
      <w:r w:rsidRPr="00382917">
        <w:t>to</w:t>
      </w:r>
      <w:r w:rsidR="00EE4FC3">
        <w:t xml:space="preserve"> </w:t>
      </w:r>
      <w:r w:rsidRPr="00382917">
        <w:t>search</w:t>
      </w:r>
      <w:r w:rsidR="00EE4FC3">
        <w:t xml:space="preserve"> </w:t>
      </w:r>
      <w:r w:rsidRPr="00382917">
        <w:t>for</w:t>
      </w:r>
      <w:r w:rsidR="00EE4FC3">
        <w:t xml:space="preserve"> </w:t>
      </w:r>
      <w:r w:rsidRPr="00382917">
        <w:t>a</w:t>
      </w:r>
      <w:r w:rsidR="00EE4FC3">
        <w:t xml:space="preserve"> </w:t>
      </w:r>
      <w:r w:rsidRPr="00382917">
        <w:t>safe</w:t>
      </w:r>
      <w:r w:rsidR="00EE4FC3">
        <w:t xml:space="preserve"> </w:t>
      </w:r>
      <w:r w:rsidRPr="00382917">
        <w:t>suitable</w:t>
      </w:r>
      <w:r w:rsidR="00EE4FC3">
        <w:t xml:space="preserve"> </w:t>
      </w:r>
      <w:r w:rsidRPr="00382917">
        <w:t>place</w:t>
      </w:r>
      <w:r w:rsidR="00F267E4">
        <w:t>.</w:t>
      </w:r>
      <w:r w:rsidR="00EE4FC3">
        <w:t xml:space="preserve">  </w:t>
      </w:r>
      <w:proofErr w:type="gramStart"/>
      <w:r w:rsidRPr="00382917">
        <w:t>While</w:t>
      </w:r>
      <w:r w:rsidR="00EE4FC3">
        <w:t xml:space="preserve"> </w:t>
      </w:r>
      <w:r w:rsidRPr="00382917">
        <w:t>they</w:t>
      </w:r>
      <w:r w:rsidR="00EE4FC3">
        <w:t xml:space="preserve"> </w:t>
      </w:r>
      <w:r w:rsidRPr="00382917">
        <w:t>were</w:t>
      </w:r>
      <w:r w:rsidR="00EE4FC3">
        <w:t xml:space="preserve"> </w:t>
      </w:r>
      <w:r w:rsidRPr="00382917">
        <w:t>on</w:t>
      </w:r>
      <w:r w:rsidR="00EE4FC3">
        <w:t xml:space="preserve"> </w:t>
      </w:r>
      <w:r w:rsidRPr="00382917">
        <w:t>the</w:t>
      </w:r>
      <w:r w:rsidR="00EE4FC3">
        <w:t xml:space="preserve"> </w:t>
      </w:r>
      <w:r w:rsidRPr="00382917">
        <w:t>road</w:t>
      </w:r>
      <w:r w:rsidR="00EE4FC3">
        <w:t xml:space="preserve"> </w:t>
      </w:r>
      <w:r w:rsidRPr="00382917">
        <w:t>leading</w:t>
      </w:r>
      <w:r w:rsidR="00EE4FC3">
        <w:t xml:space="preserve"> </w:t>
      </w:r>
      <w:r w:rsidRPr="00382917">
        <w:t>to</w:t>
      </w:r>
      <w:r w:rsidR="00EE4FC3">
        <w:t xml:space="preserve"> </w:t>
      </w:r>
      <w:proofErr w:type="spellStart"/>
      <w:r w:rsidRPr="00A17F27">
        <w:rPr>
          <w:u w:val="single"/>
        </w:rPr>
        <w:t>Ch</w:t>
      </w:r>
      <w:r w:rsidRPr="00382917">
        <w:t>a</w:t>
      </w:r>
      <w:r w:rsidRPr="00A17F27">
        <w:rPr>
          <w:u w:val="single"/>
        </w:rPr>
        <w:t>sh</w:t>
      </w:r>
      <w:r w:rsidRPr="00382917">
        <w:t>m</w:t>
      </w:r>
      <w:r w:rsidR="00A17F27">
        <w:t>a</w:t>
      </w:r>
      <w:r w:rsidRPr="00382917">
        <w:t>h</w:t>
      </w:r>
      <w:proofErr w:type="spellEnd"/>
      <w:r w:rsidR="009C713D" w:rsidRPr="00382917">
        <w:t>-‘</w:t>
      </w:r>
      <w:r w:rsidRPr="00382917">
        <w:t>Alí,</w:t>
      </w:r>
      <w:r w:rsidR="00EE4FC3">
        <w:t xml:space="preserve"> </w:t>
      </w:r>
      <w:r w:rsidRPr="00382917">
        <w:t>they</w:t>
      </w:r>
      <w:r w:rsidR="00EE4FC3">
        <w:t xml:space="preserve"> </w:t>
      </w:r>
      <w:r w:rsidRPr="00382917">
        <w:t>came</w:t>
      </w:r>
      <w:r w:rsidR="00EE4FC3">
        <w:t xml:space="preserve"> </w:t>
      </w:r>
      <w:r w:rsidRPr="00382917">
        <w:t>upon</w:t>
      </w:r>
      <w:r w:rsidR="00EE4FC3">
        <w:t xml:space="preserve"> </w:t>
      </w:r>
      <w:r w:rsidRPr="00382917">
        <w:t>an</w:t>
      </w:r>
      <w:r w:rsidR="00EE4FC3">
        <w:t xml:space="preserve"> </w:t>
      </w:r>
      <w:r w:rsidRPr="00382917">
        <w:t>abandoned</w:t>
      </w:r>
      <w:r w:rsidR="00EE4FC3">
        <w:t xml:space="preserve"> </w:t>
      </w:r>
      <w:r w:rsidRPr="00382917">
        <w:t>and</w:t>
      </w:r>
      <w:r w:rsidR="00EE4FC3">
        <w:t xml:space="preserve"> </w:t>
      </w:r>
      <w:r w:rsidRPr="00382917">
        <w:t>dilapidated</w:t>
      </w:r>
      <w:r w:rsidR="00EE4FC3">
        <w:t xml:space="preserve"> </w:t>
      </w:r>
      <w:r w:rsidRPr="00382917">
        <w:t>school</w:t>
      </w:r>
      <w:r w:rsidR="00F267E4">
        <w:t>.</w:t>
      </w:r>
      <w:proofErr w:type="gramEnd"/>
      <w:r w:rsidR="00EE4FC3">
        <w:t xml:space="preserve">  </w:t>
      </w:r>
      <w:r w:rsidRPr="00382917">
        <w:t>That</w:t>
      </w:r>
      <w:r w:rsidR="00EE4FC3">
        <w:t xml:space="preserve"> </w:t>
      </w:r>
      <w:r w:rsidRPr="00382917">
        <w:t>evening</w:t>
      </w:r>
      <w:r w:rsidR="00EE4FC3">
        <w:t xml:space="preserve"> </w:t>
      </w:r>
      <w:r w:rsidRPr="00382917">
        <w:t>after</w:t>
      </w:r>
      <w:r w:rsidR="00EE4FC3">
        <w:t xml:space="preserve"> </w:t>
      </w:r>
      <w:r w:rsidRPr="00382917">
        <w:t>dark</w:t>
      </w:r>
      <w:r w:rsidR="00EE4FC3">
        <w:t xml:space="preserve"> </w:t>
      </w:r>
      <w:r w:rsidRPr="00382917">
        <w:t>they</w:t>
      </w:r>
      <w:r w:rsidR="00EE4FC3">
        <w:t xml:space="preserve"> </w:t>
      </w:r>
      <w:r w:rsidRPr="00382917">
        <w:t>deposited</w:t>
      </w:r>
      <w:r w:rsidR="00EE4FC3">
        <w:t xml:space="preserve"> </w:t>
      </w:r>
      <w:r w:rsidRPr="00382917">
        <w:t>their</w:t>
      </w:r>
      <w:r w:rsidR="00EE4FC3">
        <w:t xml:space="preserve"> </w:t>
      </w:r>
      <w:r w:rsidRPr="00382917">
        <w:t>precious</w:t>
      </w:r>
      <w:r w:rsidR="00EE4FC3">
        <w:t xml:space="preserve"> </w:t>
      </w:r>
      <w:r w:rsidRPr="00382917">
        <w:t>burden</w:t>
      </w:r>
      <w:r w:rsidR="00EE4FC3">
        <w:t xml:space="preserve"> </w:t>
      </w:r>
      <w:r w:rsidRPr="00382917">
        <w:t>within</w:t>
      </w:r>
      <w:r w:rsidR="00EE4FC3">
        <w:t xml:space="preserve"> </w:t>
      </w:r>
      <w:r w:rsidRPr="00382917">
        <w:t>one</w:t>
      </w:r>
      <w:r w:rsidR="00EE4FC3">
        <w:t xml:space="preserve"> </w:t>
      </w:r>
      <w:r w:rsidRPr="00382917">
        <w:t>of</w:t>
      </w:r>
      <w:r w:rsidR="00EE4FC3">
        <w:t xml:space="preserve"> </w:t>
      </w:r>
      <w:r w:rsidRPr="00382917">
        <w:t>its</w:t>
      </w:r>
      <w:r w:rsidR="00EE4FC3">
        <w:t xml:space="preserve"> </w:t>
      </w:r>
      <w:r w:rsidRPr="00382917">
        <w:t>walls,</w:t>
      </w:r>
      <w:r w:rsidR="00EE4FC3">
        <w:t xml:space="preserve"> </w:t>
      </w:r>
      <w:r w:rsidRPr="00382917">
        <w:t>having</w:t>
      </w:r>
      <w:r w:rsidR="00EE4FC3">
        <w:t xml:space="preserve"> </w:t>
      </w:r>
      <w:r w:rsidRPr="00382917">
        <w:t>first</w:t>
      </w:r>
      <w:r w:rsidR="00EE4FC3">
        <w:t xml:space="preserve"> </w:t>
      </w:r>
      <w:r w:rsidRPr="00382917">
        <w:t>re-wrapt</w:t>
      </w:r>
      <w:r w:rsidR="00EE4FC3">
        <w:t xml:space="preserve"> </w:t>
      </w:r>
      <w:r w:rsidRPr="00382917">
        <w:t>the</w:t>
      </w:r>
      <w:r w:rsidR="00EE4FC3">
        <w:t xml:space="preserve"> </w:t>
      </w:r>
      <w:r w:rsidRPr="00382917">
        <w:t>remains</w:t>
      </w:r>
      <w:r w:rsidR="00EE4FC3">
        <w:t xml:space="preserve"> </w:t>
      </w:r>
      <w:r w:rsidRPr="00382917">
        <w:t>in</w:t>
      </w:r>
      <w:r w:rsidR="00EE4FC3">
        <w:t xml:space="preserve"> </w:t>
      </w:r>
      <w:r w:rsidRPr="00382917">
        <w:t>a</w:t>
      </w:r>
      <w:r w:rsidR="00EE4FC3">
        <w:t xml:space="preserve"> </w:t>
      </w:r>
      <w:r w:rsidRPr="00382917">
        <w:t>silken</w:t>
      </w:r>
      <w:r w:rsidR="00EE4FC3">
        <w:t xml:space="preserve"> </w:t>
      </w:r>
      <w:r w:rsidRPr="00382917">
        <w:t>shroud</w:t>
      </w:r>
      <w:r w:rsidR="00EE4FC3">
        <w:t xml:space="preserve"> </w:t>
      </w:r>
      <w:r w:rsidRPr="00382917">
        <w:t>brought</w:t>
      </w:r>
      <w:r w:rsidR="00EE4FC3">
        <w:t xml:space="preserve"> </w:t>
      </w:r>
      <w:r w:rsidRPr="00382917">
        <w:t>by</w:t>
      </w:r>
      <w:r w:rsidR="00EE4FC3">
        <w:t xml:space="preserve"> </w:t>
      </w:r>
      <w:r w:rsidRPr="00382917">
        <w:t>them</w:t>
      </w:r>
      <w:r w:rsidR="00EE4FC3">
        <w:t xml:space="preserve"> </w:t>
      </w:r>
      <w:r w:rsidRPr="00382917">
        <w:t>for</w:t>
      </w:r>
      <w:r w:rsidR="00EE4FC3">
        <w:t xml:space="preserve"> </w:t>
      </w:r>
      <w:r w:rsidRPr="00382917">
        <w:t>that</w:t>
      </w:r>
      <w:r w:rsidR="00EE4FC3">
        <w:t xml:space="preserve"> </w:t>
      </w:r>
      <w:r w:rsidRPr="00382917">
        <w:t>purpose.</w:t>
      </w:r>
    </w:p>
    <w:p w:rsidR="006E4F81" w:rsidRPr="00382917" w:rsidRDefault="006E4F81" w:rsidP="00F267E4">
      <w:pPr>
        <w:pStyle w:val="Text"/>
      </w:pPr>
      <w:r w:rsidRPr="00382917">
        <w:t>The</w:t>
      </w:r>
      <w:r w:rsidR="00EE4FC3">
        <w:t xml:space="preserve"> </w:t>
      </w:r>
      <w:r w:rsidRPr="00382917">
        <w:t>next</w:t>
      </w:r>
      <w:r w:rsidR="00EE4FC3">
        <w:t xml:space="preserve"> </w:t>
      </w:r>
      <w:r w:rsidRPr="00382917">
        <w:t>day</w:t>
      </w:r>
      <w:r w:rsidR="00EE4FC3">
        <w:t xml:space="preserve"> </w:t>
      </w:r>
      <w:r w:rsidRPr="00382917">
        <w:t>they</w:t>
      </w:r>
      <w:r w:rsidR="00EE4FC3">
        <w:t xml:space="preserve"> </w:t>
      </w:r>
      <w:r w:rsidRPr="00382917">
        <w:t>were</w:t>
      </w:r>
      <w:r w:rsidR="00EE4FC3">
        <w:t xml:space="preserve"> </w:t>
      </w:r>
      <w:r w:rsidRPr="00382917">
        <w:t>alarmed</w:t>
      </w:r>
      <w:r w:rsidR="00EE4FC3">
        <w:t xml:space="preserve"> </w:t>
      </w:r>
      <w:r w:rsidRPr="00382917">
        <w:t>to</w:t>
      </w:r>
      <w:r w:rsidR="00EE4FC3">
        <w:t xml:space="preserve"> </w:t>
      </w:r>
      <w:r w:rsidRPr="00382917">
        <w:t>discover</w:t>
      </w:r>
      <w:r w:rsidR="00EE4FC3">
        <w:t xml:space="preserve"> </w:t>
      </w:r>
      <w:r w:rsidRPr="00382917">
        <w:t>that</w:t>
      </w:r>
      <w:r w:rsidR="00EE4FC3">
        <w:t xml:space="preserve"> </w:t>
      </w:r>
      <w:r w:rsidRPr="00382917">
        <w:t>their</w:t>
      </w:r>
      <w:r w:rsidR="00EE4FC3">
        <w:t xml:space="preserve"> </w:t>
      </w:r>
      <w:r w:rsidRPr="00382917">
        <w:t>hiding</w:t>
      </w:r>
      <w:r w:rsidR="00EE4FC3">
        <w:t xml:space="preserve"> </w:t>
      </w:r>
      <w:r w:rsidRPr="00382917">
        <w:t>place</w:t>
      </w:r>
      <w:r w:rsidR="00EE4FC3">
        <w:t xml:space="preserve"> </w:t>
      </w:r>
      <w:r w:rsidRPr="00382917">
        <w:t>had</w:t>
      </w:r>
      <w:r w:rsidR="00EE4FC3">
        <w:t xml:space="preserve"> </w:t>
      </w:r>
      <w:r w:rsidRPr="00382917">
        <w:t>been</w:t>
      </w:r>
      <w:r w:rsidR="00EE4FC3">
        <w:t xml:space="preserve"> </w:t>
      </w:r>
      <w:r w:rsidRPr="00382917">
        <w:t>discovered</w:t>
      </w:r>
      <w:r w:rsidR="00F267E4">
        <w:t>.</w:t>
      </w:r>
      <w:r w:rsidR="00EE4FC3">
        <w:t xml:space="preserve">  </w:t>
      </w:r>
      <w:r w:rsidRPr="00382917">
        <w:t>They</w:t>
      </w:r>
      <w:r w:rsidR="00EE4FC3">
        <w:t xml:space="preserve"> </w:t>
      </w:r>
      <w:r w:rsidRPr="00382917">
        <w:t>were</w:t>
      </w:r>
      <w:r w:rsidR="00EE4FC3">
        <w:t xml:space="preserve"> </w:t>
      </w:r>
      <w:r w:rsidRPr="00382917">
        <w:t>afraid</w:t>
      </w:r>
      <w:r w:rsidR="00EE4FC3">
        <w:t xml:space="preserve"> </w:t>
      </w:r>
      <w:r w:rsidRPr="00382917">
        <w:t>that</w:t>
      </w:r>
      <w:r w:rsidR="00EE4FC3">
        <w:t xml:space="preserve"> </w:t>
      </w:r>
      <w:r w:rsidRPr="00382917">
        <w:t>their</w:t>
      </w:r>
      <w:r w:rsidR="00EE4FC3">
        <w:t xml:space="preserve"> </w:t>
      </w:r>
      <w:r w:rsidRPr="00382917">
        <w:t>sacred</w:t>
      </w:r>
      <w:r w:rsidR="00EE4FC3">
        <w:t xml:space="preserve"> </w:t>
      </w:r>
      <w:r w:rsidRPr="00382917">
        <w:t>charge</w:t>
      </w:r>
      <w:r w:rsidR="00EE4FC3">
        <w:t xml:space="preserve"> </w:t>
      </w:r>
      <w:r w:rsidRPr="00382917">
        <w:t>might</w:t>
      </w:r>
      <w:r w:rsidR="00EE4FC3">
        <w:t xml:space="preserve"> </w:t>
      </w:r>
      <w:r w:rsidRPr="00382917">
        <w:t>fall</w:t>
      </w:r>
      <w:r w:rsidR="00EE4FC3">
        <w:t xml:space="preserve"> </w:t>
      </w:r>
      <w:r w:rsidRPr="00382917">
        <w:t>into</w:t>
      </w:r>
      <w:r w:rsidR="00EE4FC3">
        <w:t xml:space="preserve"> </w:t>
      </w:r>
      <w:r w:rsidRPr="00382917">
        <w:t>the</w:t>
      </w:r>
      <w:r w:rsidR="00EE4FC3">
        <w:t xml:space="preserve"> </w:t>
      </w:r>
      <w:r w:rsidRPr="00382917">
        <w:t>hands</w:t>
      </w:r>
      <w:r w:rsidR="00EE4FC3">
        <w:t xml:space="preserve"> </w:t>
      </w:r>
      <w:r w:rsidRPr="00382917">
        <w:t>of</w:t>
      </w:r>
      <w:r w:rsidR="00EE4FC3">
        <w:t xml:space="preserve"> </w:t>
      </w:r>
      <w:r w:rsidRPr="00382917">
        <w:t>enemies,</w:t>
      </w:r>
      <w:r w:rsidR="00EE4FC3">
        <w:t xml:space="preserve"> </w:t>
      </w:r>
      <w:r w:rsidRPr="00382917">
        <w:t>so</w:t>
      </w:r>
      <w:r w:rsidR="00EE4FC3">
        <w:t xml:space="preserve"> </w:t>
      </w:r>
      <w:r w:rsidRPr="00382917">
        <w:t>they</w:t>
      </w:r>
      <w:r w:rsidR="00EE4FC3">
        <w:t xml:space="preserve"> </w:t>
      </w:r>
      <w:r w:rsidRPr="00382917">
        <w:t>carried</w:t>
      </w:r>
      <w:r w:rsidR="00EE4FC3">
        <w:t xml:space="preserve"> </w:t>
      </w:r>
      <w:r w:rsidRPr="00382917">
        <w:t>the</w:t>
      </w:r>
      <w:r w:rsidR="00EE4FC3">
        <w:t xml:space="preserve"> </w:t>
      </w:r>
      <w:r w:rsidRPr="00382917">
        <w:t>casket</w:t>
      </w:r>
      <w:r w:rsidR="00EE4FC3">
        <w:t xml:space="preserve"> </w:t>
      </w:r>
      <w:r w:rsidRPr="00382917">
        <w:t>secretly</w:t>
      </w:r>
      <w:r w:rsidR="00EE4FC3">
        <w:t xml:space="preserve"> </w:t>
      </w:r>
      <w:r w:rsidRPr="00382917">
        <w:t>through</w:t>
      </w:r>
      <w:r w:rsidR="00EE4FC3">
        <w:t xml:space="preserve"> </w:t>
      </w:r>
      <w:r w:rsidRPr="00382917">
        <w:t>the</w:t>
      </w:r>
      <w:r w:rsidR="00EE4FC3">
        <w:t xml:space="preserve"> </w:t>
      </w:r>
      <w:r w:rsidRPr="00382917">
        <w:t>gate</w:t>
      </w:r>
      <w:r w:rsidR="00EE4FC3">
        <w:t xml:space="preserve"> </w:t>
      </w:r>
      <w:r w:rsidRPr="00382917">
        <w:t>of</w:t>
      </w:r>
      <w:r w:rsidR="00EE4FC3">
        <w:t xml:space="preserve"> </w:t>
      </w:r>
      <w:r w:rsidRPr="00382917">
        <w:t>the</w:t>
      </w:r>
      <w:r w:rsidR="00EE4FC3">
        <w:t xml:space="preserve"> </w:t>
      </w:r>
      <w:r w:rsidRPr="00382917">
        <w:t>city</w:t>
      </w:r>
      <w:r w:rsidR="00EE4FC3">
        <w:t xml:space="preserve"> </w:t>
      </w:r>
      <w:r w:rsidRPr="00382917">
        <w:t>of</w:t>
      </w:r>
      <w:r w:rsidR="00EE4FC3">
        <w:t xml:space="preserve"> </w:t>
      </w:r>
      <w:r w:rsidR="00F267E4" w:rsidRPr="00F267E4">
        <w:t>Ṭ</w:t>
      </w:r>
      <w:r w:rsidRPr="00382917">
        <w:t>ihrán</w:t>
      </w:r>
      <w:r w:rsidR="00EE4FC3">
        <w:t xml:space="preserve"> </w:t>
      </w:r>
      <w:r w:rsidRPr="00382917">
        <w:t>to</w:t>
      </w:r>
      <w:r w:rsidR="00EE4FC3">
        <w:t xml:space="preserve"> </w:t>
      </w:r>
      <w:r w:rsidRPr="00382917">
        <w:t>the</w:t>
      </w:r>
      <w:r w:rsidR="00EE4FC3">
        <w:t xml:space="preserve"> </w:t>
      </w:r>
      <w:r w:rsidRPr="00382917">
        <w:t>house</w:t>
      </w:r>
      <w:r w:rsidR="00EE4FC3">
        <w:t xml:space="preserve"> </w:t>
      </w:r>
      <w:r w:rsidRPr="00382917">
        <w:t>of</w:t>
      </w:r>
      <w:r w:rsidR="00EE4FC3">
        <w:t xml:space="preserve"> </w:t>
      </w:r>
      <w:r w:rsidRPr="00382917">
        <w:t>a</w:t>
      </w:r>
      <w:r w:rsidR="00EE4FC3">
        <w:t xml:space="preserve"> </w:t>
      </w:r>
      <w:r w:rsidRPr="00382917">
        <w:t>friend,</w:t>
      </w:r>
      <w:r w:rsidR="00EE4FC3">
        <w:t xml:space="preserve"> </w:t>
      </w:r>
      <w:r w:rsidRPr="00382917">
        <w:t>where</w:t>
      </w:r>
      <w:r w:rsidR="00EE4FC3">
        <w:t xml:space="preserve"> </w:t>
      </w:r>
      <w:r w:rsidRPr="00382917">
        <w:t>it</w:t>
      </w:r>
      <w:r w:rsidR="00EE4FC3">
        <w:t xml:space="preserve"> </w:t>
      </w:r>
      <w:r w:rsidRPr="00382917">
        <w:t>remained</w:t>
      </w:r>
      <w:r w:rsidR="00EE4FC3">
        <w:t xml:space="preserve"> </w:t>
      </w:r>
      <w:r w:rsidRPr="00382917">
        <w:t>for</w:t>
      </w:r>
      <w:r w:rsidR="00EE4FC3">
        <w:t xml:space="preserve"> </w:t>
      </w:r>
      <w:r w:rsidRPr="00382917">
        <w:t>fourteen</w:t>
      </w:r>
      <w:r w:rsidR="00EE4FC3">
        <w:t xml:space="preserve"> </w:t>
      </w:r>
      <w:r w:rsidRPr="00382917">
        <w:t>months.</w:t>
      </w:r>
    </w:p>
    <w:p w:rsidR="006E4F81" w:rsidRPr="00382917" w:rsidRDefault="006E4F81" w:rsidP="004C0EF8">
      <w:pPr>
        <w:pStyle w:val="Text"/>
      </w:pPr>
      <w:r w:rsidRPr="00382917">
        <w:t>The</w:t>
      </w:r>
      <w:r w:rsidR="00EE4FC3">
        <w:t xml:space="preserve"> </w:t>
      </w:r>
      <w:r w:rsidRPr="00382917">
        <w:t>long-guarded</w:t>
      </w:r>
      <w:r w:rsidR="00EE4FC3">
        <w:t xml:space="preserve"> </w:t>
      </w:r>
      <w:r w:rsidRPr="00382917">
        <w:t>secret</w:t>
      </w:r>
      <w:r w:rsidR="00EE4FC3">
        <w:t xml:space="preserve"> </w:t>
      </w:r>
      <w:r w:rsidRPr="00382917">
        <w:t>of</w:t>
      </w:r>
      <w:r w:rsidR="00EE4FC3">
        <w:t xml:space="preserve"> </w:t>
      </w:r>
      <w:r w:rsidRPr="00382917">
        <w:t>its</w:t>
      </w:r>
      <w:r w:rsidR="00EE4FC3">
        <w:t xml:space="preserve"> </w:t>
      </w:r>
      <w:r w:rsidRPr="00382917">
        <w:t>whereabouts</w:t>
      </w:r>
      <w:r w:rsidR="00EE4FC3">
        <w:t xml:space="preserve"> </w:t>
      </w:r>
      <w:r w:rsidRPr="00382917">
        <w:t>became</w:t>
      </w:r>
      <w:r w:rsidR="00EE4FC3">
        <w:t xml:space="preserve"> </w:t>
      </w:r>
      <w:r w:rsidRPr="00382917">
        <w:t>known</w:t>
      </w:r>
      <w:r w:rsidR="00EE4FC3">
        <w:t xml:space="preserve"> </w:t>
      </w:r>
      <w:r w:rsidRPr="00382917">
        <w:t>to</w:t>
      </w:r>
      <w:r w:rsidR="00EE4FC3">
        <w:t xml:space="preserve"> </w:t>
      </w:r>
      <w:r w:rsidRPr="00382917">
        <w:t>the</w:t>
      </w:r>
      <w:r w:rsidR="00EE4FC3">
        <w:t xml:space="preserve"> </w:t>
      </w:r>
      <w:r w:rsidRPr="00382917">
        <w:t>believers,</w:t>
      </w:r>
      <w:r w:rsidR="00EE4FC3">
        <w:t xml:space="preserve"> </w:t>
      </w:r>
      <w:r w:rsidRPr="00382917">
        <w:t>and</w:t>
      </w:r>
      <w:r w:rsidR="00EE4FC3">
        <w:t xml:space="preserve"> </w:t>
      </w:r>
      <w:r w:rsidRPr="00382917">
        <w:t>soon</w:t>
      </w:r>
      <w:r w:rsidR="00EE4FC3">
        <w:t xml:space="preserve"> </w:t>
      </w:r>
      <w:r w:rsidRPr="00382917">
        <w:t>they</w:t>
      </w:r>
      <w:r w:rsidR="00EE4FC3">
        <w:t xml:space="preserve"> </w:t>
      </w:r>
      <w:r w:rsidRPr="00382917">
        <w:t>began</w:t>
      </w:r>
      <w:r w:rsidR="00EE4FC3">
        <w:t xml:space="preserve"> </w:t>
      </w:r>
      <w:r w:rsidRPr="00382917">
        <w:t>to</w:t>
      </w:r>
      <w:r w:rsidR="00EE4FC3">
        <w:t xml:space="preserve"> </w:t>
      </w:r>
      <w:r w:rsidRPr="00382917">
        <w:t>visit</w:t>
      </w:r>
      <w:r w:rsidR="00EE4FC3">
        <w:t xml:space="preserve"> </w:t>
      </w:r>
      <w:r w:rsidRPr="00382917">
        <w:t>the</w:t>
      </w:r>
      <w:r w:rsidR="00EE4FC3">
        <w:t xml:space="preserve"> </w:t>
      </w:r>
      <w:r w:rsidRPr="00382917">
        <w:t>house</w:t>
      </w:r>
      <w:r w:rsidR="00EE4FC3">
        <w:t xml:space="preserve"> </w:t>
      </w:r>
      <w:r w:rsidRPr="00382917">
        <w:t>in</w:t>
      </w:r>
      <w:r w:rsidR="00EE4FC3">
        <w:t xml:space="preserve"> </w:t>
      </w:r>
      <w:r w:rsidRPr="00382917">
        <w:t>large</w:t>
      </w:r>
      <w:r w:rsidR="00EE4FC3">
        <w:t xml:space="preserve"> </w:t>
      </w:r>
      <w:r w:rsidRPr="00382917">
        <w:t>numbers</w:t>
      </w:r>
      <w:r w:rsidR="00F267E4">
        <w:t>.</w:t>
      </w:r>
      <w:r w:rsidR="00EE4FC3">
        <w:t xml:space="preserve">  </w:t>
      </w:r>
      <w:r w:rsidRPr="00382917">
        <w:t>A</w:t>
      </w:r>
      <w:r w:rsidR="00EE4FC3">
        <w:t xml:space="preserve"> </w:t>
      </w:r>
      <w:r w:rsidRPr="00382917">
        <w:t>letter</w:t>
      </w:r>
      <w:r w:rsidR="00EE4FC3">
        <w:t xml:space="preserve"> </w:t>
      </w:r>
      <w:r w:rsidRPr="00382917">
        <w:t>was</w:t>
      </w:r>
      <w:r w:rsidR="00EE4FC3">
        <w:t xml:space="preserve"> </w:t>
      </w:r>
      <w:r w:rsidRPr="00382917">
        <w:t>sent</w:t>
      </w:r>
      <w:r w:rsidR="00EE4FC3">
        <w:t xml:space="preserve"> </w:t>
      </w:r>
      <w:r w:rsidRPr="00382917">
        <w:t>to</w:t>
      </w:r>
      <w:r w:rsidR="00EE4FC3">
        <w:t xml:space="preserve"> </w:t>
      </w:r>
      <w:r w:rsidRPr="00382917">
        <w:t>Bahá</w:t>
      </w:r>
      <w:r w:rsidR="009C713D" w:rsidRPr="00382917">
        <w:t>’</w:t>
      </w:r>
      <w:r w:rsidRPr="00382917">
        <w:t>u</w:t>
      </w:r>
      <w:r w:rsidR="009C713D" w:rsidRPr="00382917">
        <w:t>’</w:t>
      </w:r>
      <w:r w:rsidRPr="00382917">
        <w:t>lláh</w:t>
      </w:r>
      <w:r w:rsidR="00EE4FC3">
        <w:t xml:space="preserve"> </w:t>
      </w:r>
      <w:r w:rsidRPr="00382917">
        <w:t>begging</w:t>
      </w:r>
      <w:r w:rsidR="00EE4FC3">
        <w:t xml:space="preserve"> </w:t>
      </w:r>
      <w:r w:rsidRPr="00382917">
        <w:t>for</w:t>
      </w:r>
      <w:r w:rsidR="00EE4FC3">
        <w:t xml:space="preserve"> </w:t>
      </w:r>
      <w:r w:rsidRPr="00382917">
        <w:t>guidance</w:t>
      </w:r>
      <w:r w:rsidR="00F267E4">
        <w:t>.</w:t>
      </w:r>
      <w:r w:rsidR="00EE4FC3">
        <w:t xml:space="preserve">  </w:t>
      </w:r>
      <w:r w:rsidRPr="00382917">
        <w:t>Word</w:t>
      </w:r>
      <w:r w:rsidR="00EE4FC3">
        <w:t xml:space="preserve"> </w:t>
      </w:r>
      <w:r w:rsidRPr="00382917">
        <w:t>came</w:t>
      </w:r>
      <w:r w:rsidR="00EE4FC3">
        <w:t xml:space="preserve"> </w:t>
      </w:r>
      <w:r w:rsidRPr="00382917">
        <w:t>instructing</w:t>
      </w:r>
      <w:r w:rsidR="00EE4FC3">
        <w:t xml:space="preserve"> </w:t>
      </w:r>
      <w:r w:rsidRPr="00382917">
        <w:t>one</w:t>
      </w:r>
      <w:r w:rsidR="00EE4FC3">
        <w:t xml:space="preserve"> </w:t>
      </w:r>
      <w:r w:rsidRPr="00382917">
        <w:t>of</w:t>
      </w:r>
      <w:r w:rsidR="00EE4FC3">
        <w:t xml:space="preserve"> </w:t>
      </w:r>
      <w:r w:rsidRPr="00382917">
        <w:t>the</w:t>
      </w:r>
      <w:r w:rsidR="00EE4FC3">
        <w:t xml:space="preserve"> </w:t>
      </w:r>
      <w:r w:rsidRPr="00382917">
        <w:t>followers</w:t>
      </w:r>
      <w:r w:rsidR="00EE4FC3">
        <w:t xml:space="preserve"> </w:t>
      </w:r>
      <w:r w:rsidRPr="00382917">
        <w:t>to</w:t>
      </w:r>
      <w:r w:rsidR="00EE4FC3">
        <w:t xml:space="preserve"> </w:t>
      </w:r>
      <w:r w:rsidRPr="00382917">
        <w:t>accept</w:t>
      </w:r>
      <w:r w:rsidR="00EE4FC3">
        <w:t xml:space="preserve"> </w:t>
      </w:r>
      <w:r w:rsidRPr="00382917">
        <w:t>the</w:t>
      </w:r>
      <w:r w:rsidR="00EE4FC3">
        <w:t xml:space="preserve"> </w:t>
      </w:r>
      <w:r w:rsidRPr="00382917">
        <w:t>Trust</w:t>
      </w:r>
      <w:r w:rsidR="00EE4FC3">
        <w:t xml:space="preserve"> </w:t>
      </w:r>
      <w:r w:rsidRPr="00382917">
        <w:t>and</w:t>
      </w:r>
      <w:r w:rsidR="00EE4FC3">
        <w:t xml:space="preserve"> </w:t>
      </w:r>
      <w:r w:rsidRPr="00382917">
        <w:t>to</w:t>
      </w:r>
      <w:r w:rsidR="00EE4FC3">
        <w:t xml:space="preserve"> </w:t>
      </w:r>
      <w:r w:rsidRPr="00382917">
        <w:t>exercise</w:t>
      </w:r>
      <w:r w:rsidR="00EE4FC3">
        <w:t xml:space="preserve"> </w:t>
      </w:r>
      <w:r w:rsidRPr="00382917">
        <w:t>the</w:t>
      </w:r>
      <w:r w:rsidR="00EE4FC3">
        <w:t xml:space="preserve"> </w:t>
      </w:r>
      <w:r w:rsidRPr="00382917">
        <w:t>utmost</w:t>
      </w:r>
      <w:r w:rsidR="00EE4FC3">
        <w:t xml:space="preserve"> </w:t>
      </w:r>
      <w:r w:rsidRPr="00382917">
        <w:t>secrecy</w:t>
      </w:r>
      <w:r w:rsidR="00EE4FC3">
        <w:t xml:space="preserve"> </w:t>
      </w:r>
      <w:r w:rsidRPr="00382917">
        <w:t>as</w:t>
      </w:r>
      <w:r w:rsidR="00EE4FC3">
        <w:t xml:space="preserve"> </w:t>
      </w:r>
      <w:r w:rsidRPr="00382917">
        <w:t>to</w:t>
      </w:r>
      <w:r w:rsidR="00EE4FC3">
        <w:t xml:space="preserve"> </w:t>
      </w:r>
      <w:r w:rsidRPr="00382917">
        <w:t>its</w:t>
      </w:r>
      <w:r w:rsidR="00EE4FC3">
        <w:t xml:space="preserve"> </w:t>
      </w:r>
      <w:r w:rsidRPr="00382917">
        <w:t>disposal.</w:t>
      </w:r>
    </w:p>
    <w:p w:rsidR="006E4F81" w:rsidRPr="00382917" w:rsidRDefault="006E4F81" w:rsidP="004C0EF8">
      <w:pPr>
        <w:pStyle w:val="Text"/>
      </w:pPr>
      <w:r w:rsidRPr="00382917">
        <w:t>The</w:t>
      </w:r>
      <w:r w:rsidR="00EE4FC3">
        <w:t xml:space="preserve"> </w:t>
      </w:r>
      <w:r w:rsidRPr="00382917">
        <w:t>casket</w:t>
      </w:r>
      <w:r w:rsidR="00EE4FC3">
        <w:t xml:space="preserve"> </w:t>
      </w:r>
      <w:r w:rsidRPr="00382917">
        <w:t>containing</w:t>
      </w:r>
      <w:r w:rsidR="00EE4FC3">
        <w:t xml:space="preserve"> </w:t>
      </w:r>
      <w:r w:rsidRPr="00382917">
        <w:t>the</w:t>
      </w:r>
      <w:r w:rsidR="00EE4FC3">
        <w:t xml:space="preserve"> </w:t>
      </w:r>
      <w:r w:rsidRPr="00382917">
        <w:t>remains</w:t>
      </w:r>
      <w:r w:rsidR="00EE4FC3">
        <w:t xml:space="preserve"> </w:t>
      </w:r>
      <w:r w:rsidRPr="00382917">
        <w:t>was</w:t>
      </w:r>
      <w:r w:rsidR="00EE4FC3">
        <w:t xml:space="preserve"> </w:t>
      </w:r>
      <w:r w:rsidRPr="00382917">
        <w:t>buried</w:t>
      </w:r>
      <w:r w:rsidR="00EE4FC3">
        <w:t xml:space="preserve"> </w:t>
      </w:r>
      <w:r w:rsidRPr="00382917">
        <w:t>beneath</w:t>
      </w:r>
      <w:r w:rsidR="00EE4FC3">
        <w:t xml:space="preserve"> </w:t>
      </w:r>
      <w:r w:rsidRPr="00382917">
        <w:t>the</w:t>
      </w:r>
      <w:r w:rsidR="00EE4FC3">
        <w:t xml:space="preserve"> </w:t>
      </w:r>
      <w:r w:rsidRPr="00382917">
        <w:t>floor</w:t>
      </w:r>
      <w:r w:rsidR="00EE4FC3">
        <w:t xml:space="preserve"> </w:t>
      </w:r>
      <w:r w:rsidRPr="00382917">
        <w:t>of</w:t>
      </w:r>
      <w:r w:rsidR="00EE4FC3">
        <w:t xml:space="preserve"> </w:t>
      </w:r>
      <w:r w:rsidRPr="00382917">
        <w:t>the</w:t>
      </w:r>
      <w:r w:rsidR="00EE4FC3">
        <w:t xml:space="preserve"> </w:t>
      </w:r>
      <w:r w:rsidRPr="00382917">
        <w:t>inner</w:t>
      </w:r>
      <w:r w:rsidR="00EE4FC3">
        <w:t xml:space="preserve"> </w:t>
      </w:r>
      <w:r w:rsidRPr="00382917">
        <w:t>sanctuary</w:t>
      </w:r>
      <w:r w:rsidR="00EE4FC3">
        <w:t xml:space="preserve"> </w:t>
      </w:r>
      <w:r w:rsidRPr="00382917">
        <w:t>of</w:t>
      </w:r>
      <w:r w:rsidR="00EE4FC3">
        <w:t xml:space="preserve"> </w:t>
      </w:r>
      <w:r w:rsidRPr="00382917">
        <w:t>the</w:t>
      </w:r>
      <w:r w:rsidR="00EE4FC3">
        <w:t xml:space="preserve"> </w:t>
      </w:r>
      <w:r w:rsidRPr="00382917">
        <w:t>shrine</w:t>
      </w:r>
      <w:r w:rsidR="00EE4FC3">
        <w:t xml:space="preserve"> </w:t>
      </w:r>
      <w:r w:rsidRPr="00382917">
        <w:t>of</w:t>
      </w:r>
      <w:r w:rsidR="00EE4FC3">
        <w:t xml:space="preserve"> </w:t>
      </w:r>
      <w:r w:rsidRPr="00382917">
        <w:t>Imám-Zádih</w:t>
      </w:r>
      <w:r w:rsidR="00EE4FC3">
        <w:t xml:space="preserve"> </w:t>
      </w:r>
      <w:r w:rsidRPr="00382917">
        <w:t>Zayd</w:t>
      </w:r>
      <w:r w:rsidR="00F267E4">
        <w:t>.</w:t>
      </w:r>
      <w:r w:rsidR="00EE4FC3">
        <w:t xml:space="preserve">  </w:t>
      </w:r>
      <w:r w:rsidRPr="00382917">
        <w:t>It</w:t>
      </w:r>
      <w:r w:rsidR="00EE4FC3">
        <w:t xml:space="preserve"> </w:t>
      </w:r>
      <w:r w:rsidRPr="00382917">
        <w:t>remained</w:t>
      </w:r>
      <w:r w:rsidR="00EE4FC3">
        <w:t xml:space="preserve"> </w:t>
      </w:r>
      <w:r w:rsidRPr="00382917">
        <w:t>there,</w:t>
      </w:r>
      <w:r w:rsidR="00EE4FC3">
        <w:t xml:space="preserve"> </w:t>
      </w:r>
      <w:r w:rsidRPr="00382917">
        <w:t>undetected,</w:t>
      </w:r>
      <w:r w:rsidR="00EE4FC3">
        <w:t xml:space="preserve"> </w:t>
      </w:r>
      <w:r w:rsidRPr="00382917">
        <w:t>until</w:t>
      </w:r>
      <w:r w:rsidR="00EE4FC3">
        <w:t xml:space="preserve"> </w:t>
      </w:r>
      <w:r w:rsidRPr="00382917">
        <w:t>it</w:t>
      </w:r>
      <w:r w:rsidR="00EE4FC3">
        <w:t xml:space="preserve"> </w:t>
      </w:r>
      <w:r w:rsidRPr="00382917">
        <w:t>was</w:t>
      </w:r>
      <w:r w:rsidR="00EE4FC3">
        <w:t xml:space="preserve"> </w:t>
      </w:r>
      <w:r w:rsidRPr="00382917">
        <w:t>necessary</w:t>
      </w:r>
      <w:r w:rsidR="00EE4FC3">
        <w:t xml:space="preserve"> </w:t>
      </w:r>
      <w:r w:rsidRPr="00382917">
        <w:t>to</w:t>
      </w:r>
      <w:r w:rsidR="00EE4FC3">
        <w:t xml:space="preserve"> </w:t>
      </w:r>
      <w:r w:rsidRPr="00382917">
        <w:t>move</w:t>
      </w:r>
      <w:r w:rsidR="00EE4FC3">
        <w:t xml:space="preserve"> </w:t>
      </w:r>
      <w:r w:rsidRPr="00382917">
        <w:t>it</w:t>
      </w:r>
      <w:r w:rsidR="00EE4FC3">
        <w:t xml:space="preserve"> </w:t>
      </w:r>
      <w:r w:rsidRPr="00382917">
        <w:t>again</w:t>
      </w:r>
      <w:r w:rsidR="00F267E4">
        <w:t>.</w:t>
      </w:r>
      <w:r w:rsidR="00EE4FC3">
        <w:t xml:space="preserve">  </w:t>
      </w:r>
      <w:r w:rsidRPr="00382917">
        <w:t>The</w:t>
      </w:r>
      <w:r w:rsidR="00EE4FC3">
        <w:t xml:space="preserve"> </w:t>
      </w:r>
      <w:r w:rsidRPr="00382917">
        <w:t>friend</w:t>
      </w:r>
      <w:r w:rsidR="00EE4FC3">
        <w:t xml:space="preserve"> </w:t>
      </w:r>
      <w:r w:rsidRPr="00382917">
        <w:t>commissioned</w:t>
      </w:r>
      <w:r w:rsidR="00EE4FC3">
        <w:t xml:space="preserve"> </w:t>
      </w:r>
      <w:r w:rsidRPr="00382917">
        <w:t>to</w:t>
      </w:r>
      <w:r w:rsidR="00EE4FC3">
        <w:t xml:space="preserve"> </w:t>
      </w:r>
      <w:r w:rsidRPr="00382917">
        <w:t>undertake</w:t>
      </w:r>
      <w:r w:rsidR="00EE4FC3">
        <w:t xml:space="preserve"> </w:t>
      </w:r>
      <w:r w:rsidRPr="00382917">
        <w:t>this</w:t>
      </w:r>
      <w:r w:rsidR="00EE4FC3">
        <w:t xml:space="preserve"> </w:t>
      </w:r>
      <w:r w:rsidRPr="00382917">
        <w:t>task</w:t>
      </w:r>
      <w:r w:rsidR="00EE4FC3">
        <w:t xml:space="preserve"> </w:t>
      </w:r>
      <w:r w:rsidRPr="00382917">
        <w:t>was</w:t>
      </w:r>
      <w:r w:rsidR="00EE4FC3">
        <w:t xml:space="preserve"> </w:t>
      </w:r>
      <w:r w:rsidRPr="00382917">
        <w:t>informed</w:t>
      </w:r>
      <w:r w:rsidR="00EE4FC3">
        <w:t xml:space="preserve"> </w:t>
      </w:r>
      <w:r w:rsidRPr="00382917">
        <w:t>of</w:t>
      </w:r>
      <w:r w:rsidR="00EE4FC3">
        <w:t xml:space="preserve"> </w:t>
      </w:r>
      <w:r w:rsidRPr="00382917">
        <w:t>the</w:t>
      </w:r>
      <w:r w:rsidR="00EE4FC3">
        <w:t xml:space="preserve"> </w:t>
      </w:r>
      <w:r w:rsidRPr="00382917">
        <w:t>exact</w:t>
      </w:r>
      <w:r w:rsidR="00EE4FC3">
        <w:t xml:space="preserve"> </w:t>
      </w:r>
      <w:r w:rsidRPr="00382917">
        <w:t>location</w:t>
      </w:r>
      <w:r w:rsidR="00EE4FC3">
        <w:t xml:space="preserve"> </w:t>
      </w:r>
      <w:r w:rsidRPr="00382917">
        <w:t>through</w:t>
      </w:r>
      <w:r w:rsidR="00EE4FC3">
        <w:t xml:space="preserve"> </w:t>
      </w:r>
      <w:r w:rsidRPr="00382917">
        <w:t>a</w:t>
      </w:r>
      <w:r w:rsidR="00EE4FC3">
        <w:t xml:space="preserve"> </w:t>
      </w:r>
      <w:r w:rsidRPr="00382917">
        <w:t>chart</w:t>
      </w:r>
      <w:r w:rsidR="00EE4FC3">
        <w:t xml:space="preserve"> </w:t>
      </w:r>
      <w:r w:rsidRPr="00382917">
        <w:t>forwarded</w:t>
      </w:r>
      <w:r w:rsidR="00EE4FC3">
        <w:t xml:space="preserve"> </w:t>
      </w:r>
      <w:r w:rsidRPr="00382917">
        <w:t>to</w:t>
      </w:r>
      <w:r w:rsidR="00EE4FC3">
        <w:t xml:space="preserve"> </w:t>
      </w:r>
      <w:r w:rsidRPr="00382917">
        <w:t>him</w:t>
      </w:r>
      <w:r w:rsidR="00EE4FC3">
        <w:t xml:space="preserve"> </w:t>
      </w:r>
      <w:r w:rsidRPr="00382917">
        <w:t>by</w:t>
      </w:r>
      <w:r w:rsidR="00EE4FC3">
        <w:t xml:space="preserve"> </w:t>
      </w:r>
      <w:r w:rsidRPr="00382917">
        <w:t>Bahá</w:t>
      </w:r>
      <w:r w:rsidR="009C713D" w:rsidRPr="00382917">
        <w:t>’</w:t>
      </w:r>
      <w:r w:rsidRPr="00382917">
        <w:t>u</w:t>
      </w:r>
      <w:r w:rsidR="009C713D" w:rsidRPr="00382917">
        <w:t>’</w:t>
      </w:r>
      <w:r w:rsidRPr="00382917">
        <w:t>lláh.</w:t>
      </w:r>
    </w:p>
    <w:p w:rsidR="006E4F81" w:rsidRPr="00382917" w:rsidRDefault="006E4F81" w:rsidP="004C0EF8">
      <w:pPr>
        <w:pStyle w:val="Text"/>
      </w:pPr>
      <w:r w:rsidRPr="00382917">
        <w:t>Under</w:t>
      </w:r>
      <w:r w:rsidR="00EE4FC3">
        <w:t xml:space="preserve"> </w:t>
      </w:r>
      <w:r w:rsidRPr="00382917">
        <w:t>the</w:t>
      </w:r>
      <w:r w:rsidR="00EE4FC3">
        <w:t xml:space="preserve"> </w:t>
      </w:r>
      <w:r w:rsidRPr="00382917">
        <w:t>instruction</w:t>
      </w:r>
      <w:r w:rsidR="00EE4FC3">
        <w:t xml:space="preserve"> </w:t>
      </w:r>
      <w:r w:rsidRPr="00382917">
        <w:t>left</w:t>
      </w:r>
      <w:r w:rsidR="00EE4FC3">
        <w:t xml:space="preserve"> </w:t>
      </w:r>
      <w:r w:rsidRPr="00382917">
        <w:t>by</w:t>
      </w:r>
      <w:r w:rsidR="00EE4FC3">
        <w:t xml:space="preserve"> </w:t>
      </w:r>
      <w:r w:rsidRPr="00382917">
        <w:t>Bahá</w:t>
      </w:r>
      <w:r w:rsidR="009C713D" w:rsidRPr="00382917">
        <w:t>’</w:t>
      </w:r>
      <w:r w:rsidRPr="00382917">
        <w:t>u</w:t>
      </w:r>
      <w:r w:rsidR="009C713D" w:rsidRPr="00382917">
        <w:t>’</w:t>
      </w:r>
      <w:r w:rsidRPr="00382917">
        <w:t>lláh,</w:t>
      </w:r>
      <w:r w:rsidR="00EE4FC3">
        <w:t xml:space="preserve"> </w:t>
      </w:r>
      <w:r w:rsidRPr="00382917">
        <w:t>those</w:t>
      </w:r>
      <w:r w:rsidR="00EE4FC3">
        <w:t xml:space="preserve"> </w:t>
      </w:r>
      <w:r w:rsidRPr="00382917">
        <w:t>precious</w:t>
      </w:r>
      <w:r w:rsidR="00EE4FC3">
        <w:t xml:space="preserve"> </w:t>
      </w:r>
      <w:r w:rsidRPr="00382917">
        <w:t>remains</w:t>
      </w:r>
      <w:r w:rsidR="00EE4FC3">
        <w:t xml:space="preserve"> </w:t>
      </w:r>
      <w:r w:rsidRPr="00382917">
        <w:t>were</w:t>
      </w:r>
      <w:r w:rsidR="00EE4FC3">
        <w:t xml:space="preserve"> </w:t>
      </w:r>
      <w:r w:rsidRPr="00382917">
        <w:t>moved</w:t>
      </w:r>
      <w:r w:rsidR="00EE4FC3">
        <w:t xml:space="preserve"> </w:t>
      </w:r>
      <w:r w:rsidRPr="00382917">
        <w:t>from</w:t>
      </w:r>
      <w:r w:rsidR="00EE4FC3">
        <w:t xml:space="preserve"> </w:t>
      </w:r>
      <w:r w:rsidRPr="00382917">
        <w:t>house</w:t>
      </w:r>
      <w:r w:rsidR="00EE4FC3">
        <w:t xml:space="preserve"> </w:t>
      </w:r>
      <w:r w:rsidRPr="00382917">
        <w:t>to</w:t>
      </w:r>
      <w:r w:rsidR="00EE4FC3">
        <w:t xml:space="preserve"> </w:t>
      </w:r>
      <w:r w:rsidRPr="00382917">
        <w:t>house,</w:t>
      </w:r>
      <w:r w:rsidR="00EE4FC3">
        <w:t xml:space="preserve"> </w:t>
      </w:r>
      <w:r w:rsidRPr="00382917">
        <w:t>from</w:t>
      </w:r>
      <w:r w:rsidR="00EE4FC3">
        <w:t xml:space="preserve"> </w:t>
      </w:r>
      <w:r w:rsidRPr="00382917">
        <w:t>hiding-place</w:t>
      </w:r>
      <w:r w:rsidR="00EE4FC3">
        <w:t xml:space="preserve"> </w:t>
      </w:r>
      <w:r w:rsidRPr="00382917">
        <w:t>to</w:t>
      </w:r>
      <w:r w:rsidR="00EE4FC3">
        <w:t xml:space="preserve"> </w:t>
      </w:r>
      <w:r w:rsidRPr="00382917">
        <w:t>hiding-place</w:t>
      </w:r>
      <w:r w:rsidR="00EE4FC3">
        <w:t xml:space="preserve"> </w:t>
      </w:r>
      <w:r w:rsidRPr="00382917">
        <w:t>until</w:t>
      </w:r>
      <w:r w:rsidR="00EE4FC3">
        <w:t xml:space="preserve"> </w:t>
      </w:r>
      <w:r w:rsidRPr="00382917">
        <w:t>the</w:t>
      </w:r>
      <w:r w:rsidR="00EE4FC3">
        <w:t xml:space="preserve"> </w:t>
      </w:r>
      <w:r w:rsidRPr="00382917">
        <w:t>year</w:t>
      </w:r>
      <w:r w:rsidR="00EE4FC3">
        <w:t xml:space="preserve"> </w:t>
      </w:r>
      <w:r w:rsidRPr="00382917">
        <w:t>1899.</w:t>
      </w:r>
    </w:p>
    <w:p w:rsidR="006E4F81" w:rsidRPr="00382917" w:rsidRDefault="006E4F81" w:rsidP="004C0EF8">
      <w:pPr>
        <w:pStyle w:val="Text"/>
      </w:pPr>
      <w:r w:rsidRPr="00382917">
        <w:t>In</w:t>
      </w:r>
      <w:r w:rsidR="00EE4FC3">
        <w:t xml:space="preserve"> </w:t>
      </w:r>
      <w:r w:rsidRPr="00382917">
        <w:t>that</w:t>
      </w:r>
      <w:r w:rsidR="00EE4FC3">
        <w:t xml:space="preserve"> </w:t>
      </w:r>
      <w:r w:rsidRPr="00382917">
        <w:t>year,</w:t>
      </w:r>
      <w:r w:rsidR="00EE4FC3">
        <w:t xml:space="preserve"> </w:t>
      </w:r>
      <w:r w:rsidR="009C713D" w:rsidRPr="00382917">
        <w:t>‘</w:t>
      </w:r>
      <w:r w:rsidRPr="00382917">
        <w:t>Abdul-Bahá</w:t>
      </w:r>
      <w:r w:rsidR="00EE4FC3">
        <w:t xml:space="preserve"> </w:t>
      </w:r>
      <w:r w:rsidRPr="00382917">
        <w:t>instructed</w:t>
      </w:r>
      <w:r w:rsidR="00EE4FC3">
        <w:t xml:space="preserve"> </w:t>
      </w:r>
      <w:r w:rsidRPr="00382917">
        <w:t>Mírzá</w:t>
      </w:r>
      <w:r w:rsidR="00EE4FC3">
        <w:t xml:space="preserve"> </w:t>
      </w:r>
      <w:r w:rsidRPr="00382917">
        <w:t>Asadu</w:t>
      </w:r>
      <w:r w:rsidR="009C713D" w:rsidRPr="00382917">
        <w:t>’</w:t>
      </w:r>
      <w:r w:rsidRPr="00382917">
        <w:t>lláh,</w:t>
      </w:r>
      <w:r w:rsidR="00EE4FC3">
        <w:t xml:space="preserve"> </w:t>
      </w:r>
      <w:r w:rsidRPr="00382917">
        <w:t>together</w:t>
      </w:r>
    </w:p>
    <w:p w:rsidR="004C0EF8" w:rsidRPr="00382917" w:rsidRDefault="004C0EF8">
      <w:pPr>
        <w:widowControl/>
        <w:kinsoku/>
        <w:overflowPunct/>
        <w:textAlignment w:val="auto"/>
      </w:pPr>
      <w:r w:rsidRPr="00382917">
        <w:br w:type="page"/>
      </w:r>
    </w:p>
    <w:p w:rsidR="006E4F81" w:rsidRPr="00382917" w:rsidRDefault="006E4F81" w:rsidP="00A17F27">
      <w:pPr>
        <w:pStyle w:val="Textcts"/>
      </w:pPr>
      <w:proofErr w:type="gramStart"/>
      <w:r w:rsidRPr="00382917">
        <w:t>with</w:t>
      </w:r>
      <w:proofErr w:type="gramEnd"/>
      <w:r w:rsidR="00EE4FC3">
        <w:t xml:space="preserve"> </w:t>
      </w:r>
      <w:r w:rsidRPr="00382917">
        <w:t>a</w:t>
      </w:r>
      <w:r w:rsidR="00EE4FC3">
        <w:t xml:space="preserve"> </w:t>
      </w:r>
      <w:r w:rsidRPr="00382917">
        <w:t>number</w:t>
      </w:r>
      <w:r w:rsidR="00EE4FC3">
        <w:t xml:space="preserve"> </w:t>
      </w:r>
      <w:r w:rsidRPr="00382917">
        <w:t>of</w:t>
      </w:r>
      <w:r w:rsidR="00EE4FC3">
        <w:t xml:space="preserve"> </w:t>
      </w:r>
      <w:r w:rsidRPr="00382917">
        <w:t>other</w:t>
      </w:r>
      <w:r w:rsidR="00EE4FC3">
        <w:t xml:space="preserve"> </w:t>
      </w:r>
      <w:r w:rsidRPr="00382917">
        <w:t>believers,</w:t>
      </w:r>
      <w:r w:rsidR="00EE4FC3">
        <w:t xml:space="preserve"> </w:t>
      </w:r>
      <w:r w:rsidRPr="00382917">
        <w:t>to</w:t>
      </w:r>
      <w:r w:rsidR="00EE4FC3">
        <w:t xml:space="preserve"> </w:t>
      </w:r>
      <w:r w:rsidRPr="00382917">
        <w:t>transport</w:t>
      </w:r>
      <w:r w:rsidR="00EE4FC3">
        <w:t xml:space="preserve"> </w:t>
      </w:r>
      <w:r w:rsidRPr="00382917">
        <w:t>them</w:t>
      </w:r>
      <w:r w:rsidR="00EE4FC3">
        <w:t xml:space="preserve"> </w:t>
      </w:r>
      <w:r w:rsidRPr="00382917">
        <w:t>by</w:t>
      </w:r>
      <w:r w:rsidR="00EE4FC3">
        <w:t xml:space="preserve"> </w:t>
      </w:r>
      <w:r w:rsidRPr="00382917">
        <w:t>way</w:t>
      </w:r>
      <w:r w:rsidR="00EE4FC3">
        <w:t xml:space="preserve"> </w:t>
      </w:r>
      <w:r w:rsidRPr="00382917">
        <w:t>of</w:t>
      </w:r>
      <w:r w:rsidR="00EE4FC3">
        <w:t xml:space="preserve"> </w:t>
      </w:r>
      <w:r w:rsidRPr="00382917">
        <w:t>Iṣfahán,</w:t>
      </w:r>
      <w:r w:rsidR="00EE4FC3">
        <w:t xml:space="preserve"> </w:t>
      </w:r>
      <w:r w:rsidR="00C471FA" w:rsidRPr="00382917">
        <w:t>Kirmán</w:t>
      </w:r>
      <w:r w:rsidR="00C471FA" w:rsidRPr="00C471FA">
        <w:rPr>
          <w:u w:val="single"/>
        </w:rPr>
        <w:t>sh</w:t>
      </w:r>
      <w:r w:rsidR="00C471FA" w:rsidRPr="00382917">
        <w:t>áh</w:t>
      </w:r>
      <w:r w:rsidRPr="00382917">
        <w:t>,</w:t>
      </w:r>
      <w:r w:rsidR="00EE4FC3">
        <w:t xml:space="preserve"> </w:t>
      </w:r>
      <w:r w:rsidR="00664069" w:rsidRPr="00382917">
        <w:t>Ba</w:t>
      </w:r>
      <w:r w:rsidR="00664069" w:rsidRPr="00664069">
        <w:rPr>
          <w:u w:val="single"/>
        </w:rPr>
        <w:t>gh</w:t>
      </w:r>
      <w:r w:rsidR="00664069" w:rsidRPr="00382917">
        <w:t>d</w:t>
      </w:r>
      <w:r w:rsidR="00664069" w:rsidRPr="00664069">
        <w:t>á</w:t>
      </w:r>
      <w:r w:rsidR="00664069" w:rsidRPr="00382917">
        <w:t>d</w:t>
      </w:r>
      <w:r w:rsidR="00EE4FC3">
        <w:t xml:space="preserve"> </w:t>
      </w:r>
      <w:r w:rsidRPr="00382917">
        <w:t>and</w:t>
      </w:r>
      <w:r w:rsidR="00EE4FC3">
        <w:t xml:space="preserve"> </w:t>
      </w:r>
      <w:r w:rsidRPr="00382917">
        <w:t>Damascus,</w:t>
      </w:r>
      <w:r w:rsidR="00EE4FC3">
        <w:t xml:space="preserve"> </w:t>
      </w:r>
      <w:r w:rsidRPr="00382917">
        <w:t>to</w:t>
      </w:r>
      <w:r w:rsidR="00EE4FC3">
        <w:t xml:space="preserve"> </w:t>
      </w:r>
      <w:r w:rsidRPr="00382917">
        <w:t>Beirut</w:t>
      </w:r>
      <w:r w:rsidR="00F267E4">
        <w:t>.</w:t>
      </w:r>
      <w:r w:rsidR="00EE4FC3">
        <w:t xml:space="preserve">  </w:t>
      </w:r>
      <w:r w:rsidRPr="00382917">
        <w:t>From</w:t>
      </w:r>
      <w:r w:rsidR="00EE4FC3">
        <w:t xml:space="preserve"> </w:t>
      </w:r>
      <w:r w:rsidRPr="00382917">
        <w:t>there</w:t>
      </w:r>
      <w:r w:rsidR="00EE4FC3">
        <w:t xml:space="preserve"> </w:t>
      </w:r>
      <w:r w:rsidRPr="00382917">
        <w:t>they</w:t>
      </w:r>
      <w:r w:rsidR="00EE4FC3">
        <w:t xml:space="preserve"> </w:t>
      </w:r>
      <w:r w:rsidRPr="00382917">
        <w:t>came</w:t>
      </w:r>
      <w:r w:rsidR="00EE4FC3">
        <w:t xml:space="preserve"> </w:t>
      </w:r>
      <w:r w:rsidRPr="00382917">
        <w:t>by</w:t>
      </w:r>
      <w:r w:rsidR="00EE4FC3">
        <w:t xml:space="preserve"> </w:t>
      </w:r>
      <w:r w:rsidRPr="00382917">
        <w:t>sea</w:t>
      </w:r>
      <w:r w:rsidR="00EE4FC3">
        <w:t xml:space="preserve"> </w:t>
      </w:r>
      <w:r w:rsidRPr="00382917">
        <w:t>to</w:t>
      </w:r>
      <w:r w:rsidR="00EE4FC3">
        <w:t xml:space="preserve"> </w:t>
      </w:r>
      <w:r w:rsidR="009C713D" w:rsidRPr="00382917">
        <w:t>‘</w:t>
      </w:r>
      <w:r w:rsidRPr="00382917">
        <w:t>Akká,</w:t>
      </w:r>
      <w:r w:rsidR="00EE4FC3">
        <w:t xml:space="preserve"> </w:t>
      </w:r>
      <w:r w:rsidRPr="00382917">
        <w:t>arriving</w:t>
      </w:r>
      <w:r w:rsidR="00EE4FC3">
        <w:t xml:space="preserve"> </w:t>
      </w:r>
      <w:r w:rsidRPr="00382917">
        <w:t>at</w:t>
      </w:r>
      <w:r w:rsidR="00EE4FC3">
        <w:t xml:space="preserve"> </w:t>
      </w:r>
      <w:r w:rsidRPr="00382917">
        <w:t>their</w:t>
      </w:r>
      <w:r w:rsidR="00EE4FC3">
        <w:t xml:space="preserve"> </w:t>
      </w:r>
      <w:r w:rsidRPr="00382917">
        <w:t>destination</w:t>
      </w:r>
      <w:r w:rsidR="00EE4FC3">
        <w:t xml:space="preserve"> </w:t>
      </w:r>
      <w:r w:rsidRPr="00382917">
        <w:t>on</w:t>
      </w:r>
      <w:r w:rsidR="00EE4FC3">
        <w:t xml:space="preserve"> </w:t>
      </w:r>
      <w:r w:rsidR="00F267E4">
        <w:t>31</w:t>
      </w:r>
      <w:r w:rsidR="00EE4FC3">
        <w:t xml:space="preserve"> </w:t>
      </w:r>
      <w:r w:rsidRPr="00382917">
        <w:t>January</w:t>
      </w:r>
      <w:r w:rsidR="00EE4FC3">
        <w:t xml:space="preserve"> </w:t>
      </w:r>
      <w:r w:rsidRPr="00382917">
        <w:t>1899.</w:t>
      </w:r>
      <w:r w:rsidR="00A17F27">
        <w:rPr>
          <w:rStyle w:val="FootnoteReference"/>
        </w:rPr>
        <w:footnoteReference w:id="369"/>
      </w:r>
      <w:r w:rsidR="00EE4FC3">
        <w:t xml:space="preserve">  </w:t>
      </w:r>
      <w:r w:rsidRPr="00382917">
        <w:t>Finally,</w:t>
      </w:r>
      <w:r w:rsidR="00EE4FC3">
        <w:t xml:space="preserve"> </w:t>
      </w:r>
      <w:r w:rsidRPr="00382917">
        <w:t>in</w:t>
      </w:r>
      <w:r w:rsidR="00EE4FC3">
        <w:t xml:space="preserve"> </w:t>
      </w:r>
      <w:r w:rsidRPr="00382917">
        <w:t>the</w:t>
      </w:r>
      <w:r w:rsidR="00EE4FC3">
        <w:t xml:space="preserve"> </w:t>
      </w:r>
      <w:r w:rsidRPr="00382917">
        <w:t>year</w:t>
      </w:r>
      <w:r w:rsidR="00EE4FC3">
        <w:t xml:space="preserve"> </w:t>
      </w:r>
      <w:r w:rsidRPr="00382917">
        <w:t>1909,</w:t>
      </w:r>
      <w:r w:rsidR="00EE4FC3">
        <w:t xml:space="preserve"> </w:t>
      </w:r>
      <w:r w:rsidRPr="00382917">
        <w:t>the</w:t>
      </w:r>
      <w:r w:rsidR="00EE4FC3">
        <w:t xml:space="preserve"> </w:t>
      </w:r>
      <w:r w:rsidRPr="00382917">
        <w:t>Tomb</w:t>
      </w:r>
      <w:r w:rsidR="00EE4FC3">
        <w:t xml:space="preserve"> </w:t>
      </w:r>
      <w:r w:rsidRPr="00382917">
        <w:t>of</w:t>
      </w:r>
      <w:r w:rsidR="00EE4FC3">
        <w:t xml:space="preserve"> </w:t>
      </w:r>
      <w:r w:rsidRPr="00382917">
        <w:t>the</w:t>
      </w:r>
      <w:r w:rsidR="00EE4FC3">
        <w:t xml:space="preserve"> </w:t>
      </w:r>
      <w:r w:rsidRPr="00382917">
        <w:t>Báb</w:t>
      </w:r>
      <w:r w:rsidR="00EE4FC3">
        <w:t xml:space="preserve"> </w:t>
      </w:r>
      <w:r w:rsidRPr="00382917">
        <w:t>on</w:t>
      </w:r>
      <w:r w:rsidR="00EE4FC3">
        <w:t xml:space="preserve"> </w:t>
      </w:r>
      <w:r w:rsidRPr="00382917">
        <w:t>the</w:t>
      </w:r>
      <w:r w:rsidR="00EE4FC3">
        <w:t xml:space="preserve"> </w:t>
      </w:r>
      <w:r w:rsidRPr="00382917">
        <w:t>side</w:t>
      </w:r>
      <w:r w:rsidR="00EE4FC3">
        <w:t xml:space="preserve"> </w:t>
      </w:r>
      <w:r w:rsidRPr="00382917">
        <w:t>of</w:t>
      </w:r>
      <w:r w:rsidR="00EE4FC3">
        <w:t xml:space="preserve"> </w:t>
      </w:r>
      <w:r w:rsidRPr="00382917">
        <w:t>Mount</w:t>
      </w:r>
      <w:r w:rsidR="00EE4FC3">
        <w:t xml:space="preserve"> </w:t>
      </w:r>
      <w:r w:rsidRPr="00382917">
        <w:t>Carmel</w:t>
      </w:r>
      <w:r w:rsidR="00EE4FC3">
        <w:t xml:space="preserve"> </w:t>
      </w:r>
      <w:r w:rsidRPr="00382917">
        <w:t>was</w:t>
      </w:r>
      <w:r w:rsidR="00EE4FC3">
        <w:t xml:space="preserve"> </w:t>
      </w:r>
      <w:r w:rsidRPr="00382917">
        <w:t>completed</w:t>
      </w:r>
      <w:r w:rsidR="00F267E4">
        <w:t>.</w:t>
      </w:r>
      <w:r w:rsidR="00EE4FC3">
        <w:t xml:space="preserve">  </w:t>
      </w:r>
      <w:r w:rsidR="009C713D" w:rsidRPr="00382917">
        <w:t>‘</w:t>
      </w:r>
      <w:r w:rsidRPr="00382917">
        <w:t>Abdul-Bahá,</w:t>
      </w:r>
      <w:r w:rsidR="00EE4FC3">
        <w:t xml:space="preserve"> </w:t>
      </w:r>
      <w:r w:rsidRPr="00382917">
        <w:t>following</w:t>
      </w:r>
      <w:r w:rsidR="00EE4FC3">
        <w:t xml:space="preserve"> </w:t>
      </w:r>
      <w:r w:rsidRPr="00382917">
        <w:t>the</w:t>
      </w:r>
      <w:r w:rsidR="00EE4FC3">
        <w:t xml:space="preserve"> </w:t>
      </w:r>
      <w:r w:rsidRPr="00382917">
        <w:t>instructions</w:t>
      </w:r>
      <w:r w:rsidR="00EE4FC3">
        <w:t xml:space="preserve"> </w:t>
      </w:r>
      <w:r w:rsidRPr="00382917">
        <w:t>of</w:t>
      </w:r>
      <w:r w:rsidR="00EE4FC3">
        <w:t xml:space="preserve"> </w:t>
      </w:r>
      <w:r w:rsidRPr="00382917">
        <w:t>Bahá</w:t>
      </w:r>
      <w:r w:rsidR="009C713D" w:rsidRPr="00382917">
        <w:t>’</w:t>
      </w:r>
      <w:r w:rsidRPr="00382917">
        <w:t>u</w:t>
      </w:r>
      <w:r w:rsidR="009C713D" w:rsidRPr="00382917">
        <w:t>’</w:t>
      </w:r>
      <w:r w:rsidRPr="00382917">
        <w:t>lláh,</w:t>
      </w:r>
      <w:r w:rsidR="00EE4FC3">
        <w:t xml:space="preserve"> </w:t>
      </w:r>
      <w:r w:rsidRPr="00382917">
        <w:t>deposited,</w:t>
      </w:r>
      <w:r w:rsidR="00EE4FC3">
        <w:t xml:space="preserve"> </w:t>
      </w:r>
      <w:r w:rsidRPr="00382917">
        <w:t>with</w:t>
      </w:r>
      <w:r w:rsidR="00EE4FC3">
        <w:t xml:space="preserve"> </w:t>
      </w:r>
      <w:r w:rsidRPr="00382917">
        <w:t>His</w:t>
      </w:r>
      <w:r w:rsidR="00EE4FC3">
        <w:t xml:space="preserve"> </w:t>
      </w:r>
      <w:r w:rsidRPr="00382917">
        <w:t>own</w:t>
      </w:r>
      <w:r w:rsidR="00EE4FC3">
        <w:t xml:space="preserve"> </w:t>
      </w:r>
      <w:r w:rsidRPr="00382917">
        <w:t>hands,</w:t>
      </w:r>
      <w:r w:rsidR="00EE4FC3">
        <w:t xml:space="preserve"> </w:t>
      </w:r>
      <w:r w:rsidRPr="00382917">
        <w:t>the</w:t>
      </w:r>
      <w:r w:rsidR="00EE4FC3">
        <w:t xml:space="preserve"> </w:t>
      </w:r>
      <w:r w:rsidRPr="00382917">
        <w:t>wooden</w:t>
      </w:r>
      <w:r w:rsidR="00EE4FC3">
        <w:t xml:space="preserve"> </w:t>
      </w:r>
      <w:r w:rsidRPr="00382917">
        <w:t>casket</w:t>
      </w:r>
      <w:r w:rsidR="00EE4FC3">
        <w:t xml:space="preserve"> </w:t>
      </w:r>
      <w:r w:rsidRPr="00382917">
        <w:t>containing</w:t>
      </w:r>
      <w:r w:rsidR="00EE4FC3">
        <w:t xml:space="preserve"> </w:t>
      </w:r>
      <w:r w:rsidRPr="00382917">
        <w:t>the</w:t>
      </w:r>
      <w:r w:rsidR="00EE4FC3">
        <w:t xml:space="preserve"> </w:t>
      </w:r>
      <w:r w:rsidRPr="00382917">
        <w:t>sacred</w:t>
      </w:r>
      <w:r w:rsidR="00EE4FC3">
        <w:t xml:space="preserve"> </w:t>
      </w:r>
      <w:r w:rsidRPr="00382917">
        <w:t>remains</w:t>
      </w:r>
      <w:r w:rsidR="00EE4FC3">
        <w:t xml:space="preserve"> </w:t>
      </w:r>
      <w:r w:rsidRPr="00382917">
        <w:t>of</w:t>
      </w:r>
      <w:r w:rsidR="00EE4FC3">
        <w:t xml:space="preserve"> </w:t>
      </w:r>
      <w:r w:rsidRPr="00382917">
        <w:t>the</w:t>
      </w:r>
      <w:r w:rsidR="00EE4FC3">
        <w:t xml:space="preserve"> </w:t>
      </w:r>
      <w:r w:rsidRPr="00382917">
        <w:t>Báb</w:t>
      </w:r>
      <w:r w:rsidR="00EE4FC3">
        <w:t xml:space="preserve"> </w:t>
      </w:r>
      <w:r w:rsidRPr="00382917">
        <w:t>and</w:t>
      </w:r>
      <w:r w:rsidR="00EE4FC3">
        <w:t xml:space="preserve"> </w:t>
      </w:r>
      <w:r w:rsidRPr="00382917">
        <w:t>His</w:t>
      </w:r>
      <w:r w:rsidR="00EE4FC3">
        <w:t xml:space="preserve"> </w:t>
      </w:r>
      <w:r w:rsidRPr="00382917">
        <w:t>companion</w:t>
      </w:r>
      <w:r w:rsidR="00EE4FC3">
        <w:t xml:space="preserve"> </w:t>
      </w:r>
      <w:r w:rsidRPr="00382917">
        <w:t>within</w:t>
      </w:r>
      <w:r w:rsidR="00EE4FC3">
        <w:t xml:space="preserve"> </w:t>
      </w:r>
      <w:r w:rsidRPr="00382917">
        <w:t>a</w:t>
      </w:r>
      <w:r w:rsidR="00EE4FC3">
        <w:t xml:space="preserve"> </w:t>
      </w:r>
      <w:r w:rsidRPr="00382917">
        <w:t>waiting</w:t>
      </w:r>
      <w:r w:rsidR="00EE4FC3">
        <w:t xml:space="preserve"> </w:t>
      </w:r>
      <w:r w:rsidRPr="00382917">
        <w:t>marble</w:t>
      </w:r>
      <w:r w:rsidR="00EE4FC3">
        <w:t xml:space="preserve"> </w:t>
      </w:r>
      <w:r w:rsidRPr="00382917">
        <w:t>sarcophagus</w:t>
      </w:r>
      <w:r w:rsidR="00EE4FC3">
        <w:t xml:space="preserve"> </w:t>
      </w:r>
      <w:r w:rsidRPr="00382917">
        <w:t>in</w:t>
      </w:r>
      <w:r w:rsidR="00EE4FC3">
        <w:t xml:space="preserve"> </w:t>
      </w:r>
      <w:r w:rsidRPr="00382917">
        <w:t>the</w:t>
      </w:r>
      <w:r w:rsidR="00EE4FC3">
        <w:t xml:space="preserve"> </w:t>
      </w:r>
      <w:r w:rsidRPr="00382917">
        <w:t>floor</w:t>
      </w:r>
      <w:r w:rsidR="00EE4FC3">
        <w:t xml:space="preserve"> </w:t>
      </w:r>
      <w:r w:rsidRPr="00382917">
        <w:t>vault</w:t>
      </w:r>
      <w:r w:rsidR="00EE4FC3">
        <w:t xml:space="preserve"> </w:t>
      </w:r>
      <w:r w:rsidRPr="00382917">
        <w:t>of</w:t>
      </w:r>
      <w:r w:rsidR="00EE4FC3">
        <w:t xml:space="preserve"> </w:t>
      </w:r>
      <w:r w:rsidRPr="00382917">
        <w:t>this</w:t>
      </w:r>
      <w:r w:rsidR="00EE4FC3">
        <w:t xml:space="preserve"> </w:t>
      </w:r>
      <w:r w:rsidRPr="00382917">
        <w:t>Shrine.</w:t>
      </w:r>
    </w:p>
    <w:p w:rsidR="006E4F81" w:rsidRPr="00382917" w:rsidRDefault="009C713D" w:rsidP="00A17F27">
      <w:pPr>
        <w:pStyle w:val="Text"/>
      </w:pPr>
      <w:r w:rsidRPr="00382917">
        <w:t>‘</w:t>
      </w:r>
      <w:r w:rsidR="006E4F81" w:rsidRPr="00382917">
        <w:t>Abdul-Bahá</w:t>
      </w:r>
      <w:r w:rsidR="00EE4FC3">
        <w:t xml:space="preserve"> </w:t>
      </w:r>
      <w:r w:rsidR="006E4F81" w:rsidRPr="00382917">
        <w:t>announced</w:t>
      </w:r>
      <w:r w:rsidR="00EE4FC3">
        <w:t xml:space="preserve"> </w:t>
      </w:r>
      <w:r w:rsidR="006E4F81" w:rsidRPr="00382917">
        <w:t>the</w:t>
      </w:r>
      <w:r w:rsidR="00EE4FC3">
        <w:t xml:space="preserve"> </w:t>
      </w:r>
      <w:r w:rsidR="006E4F81" w:rsidRPr="00382917">
        <w:t>news</w:t>
      </w:r>
      <w:r w:rsidR="00EE4FC3">
        <w:t xml:space="preserve"> </w:t>
      </w:r>
      <w:r w:rsidR="006E4F81" w:rsidRPr="00382917">
        <w:t>of</w:t>
      </w:r>
      <w:r w:rsidR="00EE4FC3">
        <w:t xml:space="preserve"> </w:t>
      </w:r>
      <w:r w:rsidR="006E4F81" w:rsidRPr="00382917">
        <w:t>this</w:t>
      </w:r>
      <w:r w:rsidR="00EE4FC3">
        <w:t xml:space="preserve"> </w:t>
      </w:r>
      <w:r w:rsidR="006E4F81" w:rsidRPr="00382917">
        <w:t>glorious</w:t>
      </w:r>
      <w:r w:rsidR="00EE4FC3">
        <w:t xml:space="preserve"> </w:t>
      </w:r>
      <w:r w:rsidR="006E4F81" w:rsidRPr="00382917">
        <w:t>victory</w:t>
      </w:r>
      <w:r w:rsidR="00EE4FC3">
        <w:t xml:space="preserve"> </w:t>
      </w:r>
      <w:r w:rsidR="006E4F81" w:rsidRPr="00382917">
        <w:t>to</w:t>
      </w:r>
      <w:r w:rsidR="00EE4FC3">
        <w:t xml:space="preserve"> </w:t>
      </w:r>
      <w:r w:rsidR="006E4F81" w:rsidRPr="00382917">
        <w:t>the</w:t>
      </w:r>
      <w:r w:rsidR="00EE4FC3">
        <w:t xml:space="preserve"> </w:t>
      </w:r>
      <w:r w:rsidR="006E4F81" w:rsidRPr="00382917">
        <w:t>followers</w:t>
      </w:r>
      <w:r w:rsidR="00EE4FC3">
        <w:t xml:space="preserve"> </w:t>
      </w:r>
      <w:r w:rsidR="006E4F81" w:rsidRPr="00382917">
        <w:t>of</w:t>
      </w:r>
      <w:r w:rsidR="00EE4FC3">
        <w:t xml:space="preserve"> </w:t>
      </w:r>
      <w:r w:rsidR="006E4F81" w:rsidRPr="00382917">
        <w:t>Bahá</w:t>
      </w:r>
      <w:r w:rsidRPr="00382917">
        <w:t>’</w:t>
      </w:r>
      <w:r w:rsidR="006E4F81" w:rsidRPr="00382917">
        <w:t>u</w:t>
      </w:r>
      <w:r w:rsidRPr="00382917">
        <w:t>’</w:t>
      </w:r>
      <w:r w:rsidR="006E4F81" w:rsidRPr="00382917">
        <w:t>lláh:</w:t>
      </w:r>
    </w:p>
    <w:p w:rsidR="006E4F81" w:rsidRPr="00382917" w:rsidRDefault="009C713D" w:rsidP="00A17F27">
      <w:pPr>
        <w:pStyle w:val="Quote"/>
      </w:pPr>
      <w:r w:rsidRPr="00382917">
        <w:t>“</w:t>
      </w:r>
      <w:r w:rsidR="006E4F81" w:rsidRPr="00382917">
        <w:t>The</w:t>
      </w:r>
      <w:r w:rsidR="00EE4FC3">
        <w:t xml:space="preserve"> </w:t>
      </w:r>
      <w:r w:rsidR="006E4F81" w:rsidRPr="00382917">
        <w:t>most</w:t>
      </w:r>
      <w:r w:rsidR="00EE4FC3">
        <w:t xml:space="preserve"> </w:t>
      </w:r>
      <w:r w:rsidR="006E4F81" w:rsidRPr="00382917">
        <w:t>joyful</w:t>
      </w:r>
      <w:r w:rsidR="00EE4FC3">
        <w:t xml:space="preserve"> </w:t>
      </w:r>
      <w:r w:rsidR="006E4F81" w:rsidRPr="00382917">
        <w:t>tidings</w:t>
      </w:r>
      <w:r w:rsidR="00EE4FC3">
        <w:t xml:space="preserve"> </w:t>
      </w:r>
      <w:r w:rsidR="006E4F81" w:rsidRPr="00382917">
        <w:t>is</w:t>
      </w:r>
      <w:r w:rsidR="00EE4FC3">
        <w:t xml:space="preserve"> </w:t>
      </w:r>
      <w:r w:rsidR="006E4F81" w:rsidRPr="00382917">
        <w:t>this,</w:t>
      </w:r>
      <w:r w:rsidR="00EE4FC3">
        <w:t xml:space="preserve"> </w:t>
      </w:r>
      <w:r w:rsidR="006E4F81" w:rsidRPr="00382917">
        <w:t>that</w:t>
      </w:r>
      <w:r w:rsidR="00EE4FC3">
        <w:t xml:space="preserve"> </w:t>
      </w:r>
      <w:r w:rsidR="006E4F81" w:rsidRPr="00382917">
        <w:t>the</w:t>
      </w:r>
      <w:r w:rsidR="00EE4FC3">
        <w:t xml:space="preserve"> </w:t>
      </w:r>
      <w:r w:rsidR="006E4F81" w:rsidRPr="00382917">
        <w:t>holy,</w:t>
      </w:r>
      <w:r w:rsidR="00EE4FC3">
        <w:t xml:space="preserve"> </w:t>
      </w:r>
      <w:r w:rsidR="006E4F81" w:rsidRPr="00382917">
        <w:t>the</w:t>
      </w:r>
      <w:r w:rsidR="00EE4FC3">
        <w:t xml:space="preserve"> </w:t>
      </w:r>
      <w:r w:rsidR="006E4F81" w:rsidRPr="00382917">
        <w:t>luminous</w:t>
      </w:r>
      <w:r w:rsidR="00EE4FC3">
        <w:t xml:space="preserve"> </w:t>
      </w:r>
      <w:r w:rsidR="006E4F81" w:rsidRPr="00382917">
        <w:t>body</w:t>
      </w:r>
      <w:r w:rsidR="00EE4FC3">
        <w:t xml:space="preserve"> </w:t>
      </w:r>
      <w:r w:rsidR="006E4F81" w:rsidRPr="00382917">
        <w:t>of</w:t>
      </w:r>
      <w:r w:rsidR="00EE4FC3">
        <w:t xml:space="preserve"> </w:t>
      </w:r>
      <w:r w:rsidR="006E4F81" w:rsidRPr="00382917">
        <w:t>the</w:t>
      </w:r>
      <w:r w:rsidR="00EE4FC3">
        <w:t xml:space="preserve"> </w:t>
      </w:r>
      <w:r w:rsidR="006E4F81" w:rsidRPr="00382917">
        <w:t>Báb</w:t>
      </w:r>
      <w:r w:rsidR="00EE4FC3">
        <w:t xml:space="preserve"> </w:t>
      </w:r>
      <w:r w:rsidR="00F04416" w:rsidRPr="00382917">
        <w:t>…</w:t>
      </w:r>
      <w:r w:rsidR="00EE4FC3">
        <w:t xml:space="preserve"> </w:t>
      </w:r>
      <w:r w:rsidR="006E4F81" w:rsidRPr="00382917">
        <w:t>after</w:t>
      </w:r>
      <w:r w:rsidR="00EE4FC3">
        <w:t xml:space="preserve"> </w:t>
      </w:r>
      <w:r w:rsidR="006E4F81" w:rsidRPr="00382917">
        <w:t>having</w:t>
      </w:r>
      <w:r w:rsidR="00EE4FC3">
        <w:t xml:space="preserve"> </w:t>
      </w:r>
      <w:r w:rsidR="006E4F81" w:rsidRPr="00382917">
        <w:t>for</w:t>
      </w:r>
      <w:r w:rsidR="00EE4FC3">
        <w:t xml:space="preserve"> </w:t>
      </w:r>
      <w:r w:rsidR="006E4F81" w:rsidRPr="00382917">
        <w:t>sixty</w:t>
      </w:r>
      <w:r w:rsidR="00EE4FC3">
        <w:t xml:space="preserve"> </w:t>
      </w:r>
      <w:r w:rsidR="006E4F81" w:rsidRPr="00382917">
        <w:t>years</w:t>
      </w:r>
      <w:r w:rsidR="00EE4FC3">
        <w:t xml:space="preserve"> </w:t>
      </w:r>
      <w:r w:rsidR="006E4F81" w:rsidRPr="00382917">
        <w:t>been</w:t>
      </w:r>
      <w:r w:rsidR="00EE4FC3">
        <w:t xml:space="preserve"> </w:t>
      </w:r>
      <w:r w:rsidR="006E4F81" w:rsidRPr="00382917">
        <w:t>transferred</w:t>
      </w:r>
      <w:r w:rsidR="00EE4FC3">
        <w:t xml:space="preserve"> </w:t>
      </w:r>
      <w:r w:rsidR="006E4F81" w:rsidRPr="00382917">
        <w:t>from</w:t>
      </w:r>
      <w:r w:rsidR="00EE4FC3">
        <w:t xml:space="preserve"> </w:t>
      </w:r>
      <w:r w:rsidR="006E4F81" w:rsidRPr="00382917">
        <w:t>place</w:t>
      </w:r>
      <w:r w:rsidR="00EE4FC3">
        <w:t xml:space="preserve"> </w:t>
      </w:r>
      <w:r w:rsidR="006E4F81" w:rsidRPr="00382917">
        <w:t>to</w:t>
      </w:r>
      <w:r w:rsidR="00EE4FC3">
        <w:t xml:space="preserve"> </w:t>
      </w:r>
      <w:r w:rsidR="006E4F81" w:rsidRPr="00382917">
        <w:t>place</w:t>
      </w:r>
      <w:r w:rsidR="00EE4FC3">
        <w:t xml:space="preserve"> </w:t>
      </w:r>
      <w:r w:rsidR="00F04416" w:rsidRPr="00382917">
        <w:t>…</w:t>
      </w:r>
      <w:r w:rsidR="00EE4FC3">
        <w:t xml:space="preserve"> </w:t>
      </w:r>
      <w:r w:rsidR="006E4F81" w:rsidRPr="00382917">
        <w:t>and</w:t>
      </w:r>
      <w:r w:rsidR="00EE4FC3">
        <w:t xml:space="preserve"> </w:t>
      </w:r>
      <w:r w:rsidR="006E4F81" w:rsidRPr="00382917">
        <w:t>having</w:t>
      </w:r>
      <w:r w:rsidR="00EE4FC3">
        <w:t xml:space="preserve"> </w:t>
      </w:r>
      <w:r w:rsidR="006E4F81" w:rsidRPr="00382917">
        <w:t>known</w:t>
      </w:r>
      <w:r w:rsidR="00EE4FC3">
        <w:t xml:space="preserve"> </w:t>
      </w:r>
      <w:r w:rsidR="006E4F81" w:rsidRPr="00382917">
        <w:t>neither</w:t>
      </w:r>
      <w:r w:rsidR="00EE4FC3">
        <w:t xml:space="preserve"> </w:t>
      </w:r>
      <w:r w:rsidR="006E4F81" w:rsidRPr="00382917">
        <w:t>rest</w:t>
      </w:r>
      <w:r w:rsidR="00EE4FC3">
        <w:t xml:space="preserve"> </w:t>
      </w:r>
      <w:r w:rsidR="006E4F81" w:rsidRPr="00382917">
        <w:t>nor</w:t>
      </w:r>
      <w:r w:rsidR="00EE4FC3">
        <w:t xml:space="preserve"> </w:t>
      </w:r>
      <w:proofErr w:type="spellStart"/>
      <w:r w:rsidR="006E4F81" w:rsidRPr="00382917">
        <w:t>tranquility</w:t>
      </w:r>
      <w:proofErr w:type="spellEnd"/>
      <w:r w:rsidR="00EE4FC3">
        <w:t xml:space="preserve"> </w:t>
      </w:r>
      <w:r w:rsidR="006E4F81" w:rsidRPr="00382917">
        <w:t>has,</w:t>
      </w:r>
      <w:r w:rsidR="00EE4FC3">
        <w:t xml:space="preserve"> </w:t>
      </w:r>
      <w:r w:rsidR="006E4F81" w:rsidRPr="00382917">
        <w:t>through</w:t>
      </w:r>
      <w:r w:rsidR="00EE4FC3">
        <w:t xml:space="preserve"> </w:t>
      </w:r>
      <w:r w:rsidR="006E4F81" w:rsidRPr="00382917">
        <w:t>the</w:t>
      </w:r>
      <w:r w:rsidR="00EE4FC3">
        <w:t xml:space="preserve"> </w:t>
      </w:r>
      <w:r w:rsidR="006E4F81" w:rsidRPr="00382917">
        <w:t>mercy</w:t>
      </w:r>
      <w:r w:rsidR="00EE4FC3">
        <w:t xml:space="preserve"> </w:t>
      </w:r>
      <w:r w:rsidR="006E4F81" w:rsidRPr="00382917">
        <w:t>of</w:t>
      </w:r>
      <w:r w:rsidR="00EE4FC3">
        <w:t xml:space="preserve"> </w:t>
      </w:r>
      <w:r w:rsidR="006E4F81" w:rsidRPr="00382917">
        <w:t>the</w:t>
      </w:r>
      <w:r w:rsidR="00EE4FC3">
        <w:t xml:space="preserve"> </w:t>
      </w:r>
      <w:r w:rsidR="006E4F81" w:rsidRPr="00382917">
        <w:t>Abhá</w:t>
      </w:r>
      <w:r w:rsidR="00EE4FC3">
        <w:t xml:space="preserve"> </w:t>
      </w:r>
      <w:r w:rsidR="006E4F81" w:rsidRPr="00382917">
        <w:t>Beauty,</w:t>
      </w:r>
      <w:r w:rsidR="00EE4FC3">
        <w:t xml:space="preserve"> </w:t>
      </w:r>
      <w:r w:rsidR="006E4F81" w:rsidRPr="00382917">
        <w:t>been</w:t>
      </w:r>
      <w:r w:rsidR="00EE4FC3">
        <w:t xml:space="preserve"> </w:t>
      </w:r>
      <w:r w:rsidR="006E4F81" w:rsidRPr="00382917">
        <w:t>ceremoniously</w:t>
      </w:r>
      <w:r w:rsidR="00EE4FC3">
        <w:t xml:space="preserve"> </w:t>
      </w:r>
      <w:r w:rsidR="006E4F81" w:rsidRPr="00382917">
        <w:t>deposited</w:t>
      </w:r>
      <w:r w:rsidR="00EE4FC3">
        <w:t xml:space="preserve"> </w:t>
      </w:r>
      <w:r w:rsidR="006E4F81" w:rsidRPr="00382917">
        <w:t>on</w:t>
      </w:r>
      <w:r w:rsidR="00EE4FC3">
        <w:t xml:space="preserve"> </w:t>
      </w:r>
      <w:r w:rsidR="006E4F81" w:rsidRPr="00382917">
        <w:t>the</w:t>
      </w:r>
      <w:r w:rsidR="00EE4FC3">
        <w:t xml:space="preserve"> </w:t>
      </w:r>
      <w:r w:rsidR="006E4F81" w:rsidRPr="00382917">
        <w:t>day</w:t>
      </w:r>
      <w:r w:rsidR="00EE4FC3">
        <w:t xml:space="preserve"> </w:t>
      </w:r>
      <w:r w:rsidR="006E4F81" w:rsidRPr="00382917">
        <w:t>of</w:t>
      </w:r>
      <w:r w:rsidR="00EE4FC3">
        <w:t xml:space="preserve"> </w:t>
      </w:r>
      <w:r w:rsidR="006E4F81" w:rsidRPr="00382917">
        <w:t>Naw-Rúz</w:t>
      </w:r>
      <w:r w:rsidR="00EE4FC3">
        <w:t xml:space="preserve"> </w:t>
      </w:r>
      <w:r w:rsidR="006E4F81" w:rsidRPr="00382917">
        <w:t>[New</w:t>
      </w:r>
      <w:r w:rsidR="00EE4FC3">
        <w:t xml:space="preserve"> </w:t>
      </w:r>
      <w:r w:rsidR="006E4F81" w:rsidRPr="00382917">
        <w:t>Year],</w:t>
      </w:r>
      <w:r w:rsidR="00EE4FC3">
        <w:t xml:space="preserve"> </w:t>
      </w:r>
      <w:r w:rsidR="006E4F81" w:rsidRPr="00382917">
        <w:t>within</w:t>
      </w:r>
      <w:r w:rsidR="00EE4FC3">
        <w:t xml:space="preserve"> </w:t>
      </w:r>
      <w:r w:rsidR="006E4F81" w:rsidRPr="00382917">
        <w:t>the</w:t>
      </w:r>
      <w:r w:rsidR="00EE4FC3">
        <w:t xml:space="preserve"> </w:t>
      </w:r>
      <w:r w:rsidR="006E4F81" w:rsidRPr="00382917">
        <w:t>sacred</w:t>
      </w:r>
      <w:r w:rsidR="00EE4FC3">
        <w:t xml:space="preserve"> </w:t>
      </w:r>
      <w:r w:rsidR="006E4F81" w:rsidRPr="00382917">
        <w:t>casket,</w:t>
      </w:r>
      <w:r w:rsidR="00EE4FC3">
        <w:t xml:space="preserve"> </w:t>
      </w:r>
      <w:r w:rsidR="006E4F81" w:rsidRPr="00382917">
        <w:t>in</w:t>
      </w:r>
      <w:r w:rsidR="00EE4FC3">
        <w:t xml:space="preserve"> </w:t>
      </w:r>
      <w:r w:rsidR="006E4F81" w:rsidRPr="00382917">
        <w:t>the</w:t>
      </w:r>
      <w:r w:rsidR="00EE4FC3">
        <w:t xml:space="preserve"> </w:t>
      </w:r>
      <w:r w:rsidR="006E4F81" w:rsidRPr="00382917">
        <w:t>exalted</w:t>
      </w:r>
      <w:r w:rsidR="00EE4FC3">
        <w:t xml:space="preserve"> </w:t>
      </w:r>
      <w:r w:rsidR="006E4F81" w:rsidRPr="00382917">
        <w:t>Shrine</w:t>
      </w:r>
      <w:r w:rsidR="00EE4FC3">
        <w:t xml:space="preserve"> </w:t>
      </w:r>
      <w:r w:rsidR="006E4F81" w:rsidRPr="00382917">
        <w:t>on</w:t>
      </w:r>
      <w:r w:rsidR="00EE4FC3">
        <w:t xml:space="preserve"> </w:t>
      </w:r>
      <w:r w:rsidR="006E4F81" w:rsidRPr="00382917">
        <w:t>Mount</w:t>
      </w:r>
      <w:r w:rsidR="00EE4FC3">
        <w:t xml:space="preserve"> </w:t>
      </w:r>
      <w:r w:rsidR="006E4F81" w:rsidRPr="00382917">
        <w:t>Carmel.</w:t>
      </w:r>
      <w:r w:rsidRPr="00382917">
        <w:t>”</w:t>
      </w:r>
      <w:r w:rsidR="00A17F27">
        <w:rPr>
          <w:rStyle w:val="FootnoteReference"/>
        </w:rPr>
        <w:footnoteReference w:id="370"/>
      </w:r>
    </w:p>
    <w:p w:rsidR="006E4F81" w:rsidRPr="00382917" w:rsidRDefault="006E4F81" w:rsidP="004C0EF8">
      <w:pPr>
        <w:pStyle w:val="Text"/>
      </w:pPr>
      <w:r w:rsidRPr="00382917">
        <w:t>Today</w:t>
      </w:r>
      <w:r w:rsidR="00EE4FC3">
        <w:t xml:space="preserve"> </w:t>
      </w:r>
      <w:r w:rsidRPr="00382917">
        <w:t>His</w:t>
      </w:r>
      <w:r w:rsidR="00EE4FC3">
        <w:t xml:space="preserve"> </w:t>
      </w:r>
      <w:r w:rsidRPr="00382917">
        <w:t>beautiful</w:t>
      </w:r>
      <w:r w:rsidR="00EE4FC3">
        <w:t xml:space="preserve"> </w:t>
      </w:r>
      <w:r w:rsidRPr="00382917">
        <w:t>Shrine</w:t>
      </w:r>
      <w:r w:rsidR="00EE4FC3">
        <w:t xml:space="preserve"> </w:t>
      </w:r>
      <w:r w:rsidRPr="00382917">
        <w:t>and</w:t>
      </w:r>
      <w:r w:rsidR="00EE4FC3">
        <w:t xml:space="preserve"> </w:t>
      </w:r>
      <w:r w:rsidRPr="00382917">
        <w:t>the</w:t>
      </w:r>
      <w:r w:rsidR="00EE4FC3">
        <w:t xml:space="preserve"> </w:t>
      </w:r>
      <w:r w:rsidRPr="00382917">
        <w:t>terraces</w:t>
      </w:r>
      <w:r w:rsidR="00EE4FC3">
        <w:t xml:space="preserve"> </w:t>
      </w:r>
      <w:r w:rsidRPr="00382917">
        <w:t>leading</w:t>
      </w:r>
      <w:r w:rsidR="00EE4FC3">
        <w:t xml:space="preserve"> </w:t>
      </w:r>
      <w:r w:rsidRPr="00382917">
        <w:t>to</w:t>
      </w:r>
      <w:r w:rsidR="00EE4FC3">
        <w:t xml:space="preserve"> </w:t>
      </w:r>
      <w:r w:rsidRPr="00382917">
        <w:t>it</w:t>
      </w:r>
      <w:r w:rsidR="00EE4FC3">
        <w:t xml:space="preserve"> </w:t>
      </w:r>
      <w:r w:rsidRPr="00382917">
        <w:t>are</w:t>
      </w:r>
      <w:r w:rsidR="00EE4FC3">
        <w:t xml:space="preserve"> </w:t>
      </w:r>
      <w:r w:rsidRPr="00382917">
        <w:t>illumined</w:t>
      </w:r>
      <w:r w:rsidR="00EE4FC3">
        <w:t xml:space="preserve"> </w:t>
      </w:r>
      <w:r w:rsidRPr="00382917">
        <w:t>at</w:t>
      </w:r>
      <w:r w:rsidR="00EE4FC3">
        <w:t xml:space="preserve"> </w:t>
      </w:r>
      <w:r w:rsidRPr="00382917">
        <w:t>night</w:t>
      </w:r>
      <w:r w:rsidR="00EE4FC3">
        <w:t xml:space="preserve"> </w:t>
      </w:r>
      <w:r w:rsidRPr="00382917">
        <w:t>and</w:t>
      </w:r>
      <w:r w:rsidR="00EE4FC3">
        <w:t xml:space="preserve"> </w:t>
      </w:r>
      <w:r w:rsidRPr="00382917">
        <w:t>can</w:t>
      </w:r>
      <w:r w:rsidR="00EE4FC3">
        <w:t xml:space="preserve"> </w:t>
      </w:r>
      <w:r w:rsidRPr="00382917">
        <w:t>be</w:t>
      </w:r>
      <w:r w:rsidR="00EE4FC3">
        <w:t xml:space="preserve"> </w:t>
      </w:r>
      <w:r w:rsidRPr="00382917">
        <w:t>seen</w:t>
      </w:r>
      <w:r w:rsidR="00EE4FC3">
        <w:t xml:space="preserve"> </w:t>
      </w:r>
      <w:r w:rsidRPr="00382917">
        <w:t>for</w:t>
      </w:r>
      <w:r w:rsidR="00EE4FC3">
        <w:t xml:space="preserve"> </w:t>
      </w:r>
      <w:r w:rsidRPr="00382917">
        <w:t>miles</w:t>
      </w:r>
      <w:r w:rsidR="00F267E4">
        <w:t>.</w:t>
      </w:r>
      <w:r w:rsidR="00EE4FC3">
        <w:t xml:space="preserve">  </w:t>
      </w:r>
      <w:r w:rsidRPr="00382917">
        <w:t>The</w:t>
      </w:r>
      <w:r w:rsidR="00EE4FC3">
        <w:t xml:space="preserve"> </w:t>
      </w:r>
      <w:r w:rsidRPr="00382917">
        <w:t>Báb</w:t>
      </w:r>
      <w:r w:rsidR="00EE4FC3">
        <w:t xml:space="preserve"> </w:t>
      </w:r>
      <w:r w:rsidRPr="00382917">
        <w:t>was</w:t>
      </w:r>
      <w:r w:rsidR="00EE4FC3">
        <w:t xml:space="preserve"> </w:t>
      </w:r>
      <w:r w:rsidRPr="00382917">
        <w:t>denied</w:t>
      </w:r>
      <w:r w:rsidR="00EE4FC3">
        <w:t xml:space="preserve"> </w:t>
      </w:r>
      <w:r w:rsidRPr="00382917">
        <w:t>even</w:t>
      </w:r>
      <w:r w:rsidR="00EE4FC3">
        <w:t xml:space="preserve"> </w:t>
      </w:r>
      <w:r w:rsidRPr="00382917">
        <w:t>a</w:t>
      </w:r>
      <w:r w:rsidR="00EE4FC3">
        <w:t xml:space="preserve"> </w:t>
      </w:r>
      <w:r w:rsidRPr="00382917">
        <w:t>candle</w:t>
      </w:r>
      <w:r w:rsidR="00EE4FC3">
        <w:t xml:space="preserve"> </w:t>
      </w:r>
      <w:r w:rsidRPr="00382917">
        <w:t>in</w:t>
      </w:r>
      <w:r w:rsidR="00EE4FC3">
        <w:t xml:space="preserve"> </w:t>
      </w:r>
      <w:r w:rsidRPr="00382917">
        <w:t>the</w:t>
      </w:r>
      <w:r w:rsidR="00EE4FC3">
        <w:t xml:space="preserve"> </w:t>
      </w:r>
      <w:r w:rsidRPr="00382917">
        <w:t>Mountain</w:t>
      </w:r>
      <w:r w:rsidR="00EE4FC3">
        <w:t xml:space="preserve"> </w:t>
      </w:r>
      <w:r w:rsidRPr="00382917">
        <w:t>of</w:t>
      </w:r>
      <w:r w:rsidR="00EE4FC3">
        <w:t xml:space="preserve"> </w:t>
      </w:r>
      <w:r w:rsidRPr="00382917">
        <w:t>Máh-Kú;</w:t>
      </w:r>
      <w:r w:rsidR="00EE4FC3">
        <w:t xml:space="preserve"> </w:t>
      </w:r>
      <w:r w:rsidRPr="00382917">
        <w:t>now</w:t>
      </w:r>
      <w:r w:rsidR="00EE4FC3">
        <w:t xml:space="preserve"> </w:t>
      </w:r>
      <w:r w:rsidRPr="00382917">
        <w:t>His</w:t>
      </w:r>
      <w:r w:rsidR="00EE4FC3">
        <w:t xml:space="preserve"> </w:t>
      </w:r>
      <w:r w:rsidRPr="00382917">
        <w:t>Shrine</w:t>
      </w:r>
      <w:r w:rsidR="00EE4FC3">
        <w:t xml:space="preserve"> </w:t>
      </w:r>
      <w:r w:rsidRPr="00382917">
        <w:t>of</w:t>
      </w:r>
      <w:r w:rsidR="00EE4FC3">
        <w:t xml:space="preserve"> </w:t>
      </w:r>
      <w:r w:rsidRPr="00382917">
        <w:t>shining</w:t>
      </w:r>
      <w:r w:rsidR="00EE4FC3">
        <w:t xml:space="preserve"> </w:t>
      </w:r>
      <w:r w:rsidRPr="00382917">
        <w:t>white,</w:t>
      </w:r>
      <w:r w:rsidR="00EE4FC3">
        <w:t xml:space="preserve"> </w:t>
      </w:r>
      <w:r w:rsidRPr="00382917">
        <w:t>crowned</w:t>
      </w:r>
      <w:r w:rsidR="00EE4FC3">
        <w:t xml:space="preserve"> </w:t>
      </w:r>
      <w:r w:rsidRPr="00382917">
        <w:t>with</w:t>
      </w:r>
      <w:r w:rsidR="00EE4FC3">
        <w:t xml:space="preserve"> </w:t>
      </w:r>
      <w:r w:rsidRPr="00382917">
        <w:t>a</w:t>
      </w:r>
      <w:r w:rsidR="00EE4FC3">
        <w:t xml:space="preserve"> </w:t>
      </w:r>
      <w:r w:rsidRPr="00382917">
        <w:t>dome</w:t>
      </w:r>
      <w:r w:rsidR="00EE4FC3">
        <w:t xml:space="preserve"> </w:t>
      </w:r>
      <w:r w:rsidRPr="00382917">
        <w:t>of</w:t>
      </w:r>
      <w:r w:rsidR="00EE4FC3">
        <w:t xml:space="preserve"> </w:t>
      </w:r>
      <w:r w:rsidRPr="00382917">
        <w:t>gold,</w:t>
      </w:r>
      <w:r w:rsidR="00EE4FC3">
        <w:t xml:space="preserve"> </w:t>
      </w:r>
      <w:r w:rsidRPr="00382917">
        <w:t>on</w:t>
      </w:r>
      <w:r w:rsidR="00EE4FC3">
        <w:t xml:space="preserve"> </w:t>
      </w:r>
      <w:r w:rsidRPr="00382917">
        <w:t>the</w:t>
      </w:r>
      <w:r w:rsidR="00EE4FC3">
        <w:t xml:space="preserve"> </w:t>
      </w:r>
      <w:r w:rsidRPr="00382917">
        <w:t>side</w:t>
      </w:r>
      <w:r w:rsidR="00EE4FC3">
        <w:t xml:space="preserve"> </w:t>
      </w:r>
      <w:r w:rsidRPr="00382917">
        <w:t>of</w:t>
      </w:r>
      <w:r w:rsidR="00EE4FC3">
        <w:t xml:space="preserve"> </w:t>
      </w:r>
      <w:r w:rsidRPr="00382917">
        <w:t>its</w:t>
      </w:r>
      <w:r w:rsidR="00EE4FC3">
        <w:t xml:space="preserve"> </w:t>
      </w:r>
      <w:r w:rsidRPr="00382917">
        <w:t>green</w:t>
      </w:r>
      <w:r w:rsidR="00EE4FC3">
        <w:t xml:space="preserve"> </w:t>
      </w:r>
      <w:r w:rsidRPr="00382917">
        <w:t>throne</w:t>
      </w:r>
      <w:r w:rsidR="00EE4FC3">
        <w:t xml:space="preserve"> </w:t>
      </w:r>
      <w:r w:rsidRPr="00382917">
        <w:t>on</w:t>
      </w:r>
      <w:r w:rsidR="00EE4FC3">
        <w:t xml:space="preserve"> </w:t>
      </w:r>
      <w:r w:rsidRPr="00382917">
        <w:t>Mount</w:t>
      </w:r>
      <w:r w:rsidR="00EE4FC3">
        <w:t xml:space="preserve"> </w:t>
      </w:r>
      <w:r w:rsidRPr="00382917">
        <w:t>Carmel,</w:t>
      </w:r>
      <w:r w:rsidR="00EE4FC3">
        <w:t xml:space="preserve"> </w:t>
      </w:r>
      <w:r w:rsidRPr="00382917">
        <w:t>is</w:t>
      </w:r>
      <w:r w:rsidR="00EE4FC3">
        <w:t xml:space="preserve"> </w:t>
      </w:r>
      <w:r w:rsidRPr="00382917">
        <w:t>a</w:t>
      </w:r>
      <w:r w:rsidR="00EE4FC3">
        <w:t xml:space="preserve"> </w:t>
      </w:r>
      <w:r w:rsidRPr="00382917">
        <w:t>blaze</w:t>
      </w:r>
      <w:r w:rsidR="00EE4FC3">
        <w:t xml:space="preserve"> </w:t>
      </w:r>
      <w:r w:rsidRPr="00382917">
        <w:t>of</w:t>
      </w:r>
      <w:r w:rsidR="00EE4FC3">
        <w:t xml:space="preserve"> </w:t>
      </w:r>
      <w:r w:rsidRPr="00382917">
        <w:t>light.</w:t>
      </w:r>
    </w:p>
    <w:p w:rsidR="006E4F81" w:rsidRPr="00382917" w:rsidRDefault="006E4F81" w:rsidP="004C0EF8">
      <w:pPr>
        <w:pStyle w:val="Text"/>
      </w:pPr>
      <w:r w:rsidRPr="00382917">
        <w:t>When</w:t>
      </w:r>
      <w:r w:rsidR="00EE4FC3">
        <w:t xml:space="preserve"> </w:t>
      </w:r>
      <w:r w:rsidRPr="00382917">
        <w:t>the</w:t>
      </w:r>
      <w:r w:rsidR="00EE4FC3">
        <w:t xml:space="preserve"> </w:t>
      </w:r>
      <w:r w:rsidRPr="00382917">
        <w:t>famed</w:t>
      </w:r>
      <w:r w:rsidR="00EE4FC3">
        <w:t xml:space="preserve"> </w:t>
      </w:r>
      <w:r w:rsidRPr="00382917">
        <w:t>Orientalist,</w:t>
      </w:r>
      <w:r w:rsidR="00EE4FC3">
        <w:t xml:space="preserve"> </w:t>
      </w:r>
      <w:r w:rsidRPr="00382917">
        <w:t>A.</w:t>
      </w:r>
      <w:r w:rsidR="00EE4FC3">
        <w:t xml:space="preserve"> </w:t>
      </w:r>
      <w:r w:rsidRPr="00382917">
        <w:t>L.</w:t>
      </w:r>
      <w:r w:rsidR="00EE4FC3">
        <w:t xml:space="preserve"> </w:t>
      </w:r>
      <w:r w:rsidRPr="00382917">
        <w:t>M.</w:t>
      </w:r>
      <w:r w:rsidR="00EE4FC3">
        <w:t xml:space="preserve"> </w:t>
      </w:r>
      <w:r w:rsidRPr="00382917">
        <w:t>Nicolas,</w:t>
      </w:r>
      <w:r w:rsidR="00EE4FC3">
        <w:t xml:space="preserve"> </w:t>
      </w:r>
      <w:r w:rsidRPr="00382917">
        <w:t>heard</w:t>
      </w:r>
      <w:r w:rsidR="00EE4FC3">
        <w:t xml:space="preserve"> </w:t>
      </w:r>
      <w:r w:rsidRPr="00382917">
        <w:t>that</w:t>
      </w:r>
      <w:r w:rsidR="00EE4FC3">
        <w:t xml:space="preserve"> </w:t>
      </w:r>
      <w:r w:rsidRPr="00382917">
        <w:t>a</w:t>
      </w:r>
      <w:r w:rsidR="00EE4FC3">
        <w:t xml:space="preserve"> </w:t>
      </w:r>
      <w:r w:rsidRPr="00382917">
        <w:t>Shrine</w:t>
      </w:r>
      <w:r w:rsidR="00EE4FC3">
        <w:t xml:space="preserve"> </w:t>
      </w:r>
      <w:r w:rsidRPr="00382917">
        <w:t>had</w:t>
      </w:r>
      <w:r w:rsidR="00EE4FC3">
        <w:t xml:space="preserve"> </w:t>
      </w:r>
      <w:r w:rsidRPr="00382917">
        <w:t>been</w:t>
      </w:r>
      <w:r w:rsidR="00EE4FC3">
        <w:t xml:space="preserve"> </w:t>
      </w:r>
      <w:r w:rsidRPr="00382917">
        <w:t>raised</w:t>
      </w:r>
      <w:r w:rsidR="00EE4FC3">
        <w:t xml:space="preserve"> </w:t>
      </w:r>
      <w:r w:rsidRPr="00382917">
        <w:t>to</w:t>
      </w:r>
      <w:r w:rsidR="00EE4FC3">
        <w:t xml:space="preserve"> </w:t>
      </w:r>
      <w:r w:rsidRPr="00382917">
        <w:t>the</w:t>
      </w:r>
      <w:r w:rsidR="00EE4FC3">
        <w:t xml:space="preserve"> </w:t>
      </w:r>
      <w:r w:rsidRPr="00382917">
        <w:t>glory</w:t>
      </w:r>
      <w:r w:rsidR="00EE4FC3">
        <w:t xml:space="preserve"> </w:t>
      </w:r>
      <w:r w:rsidRPr="00382917">
        <w:t>of</w:t>
      </w:r>
      <w:r w:rsidR="00EE4FC3">
        <w:t xml:space="preserve"> </w:t>
      </w:r>
      <w:r w:rsidRPr="00382917">
        <w:t>the</w:t>
      </w:r>
      <w:r w:rsidR="00EE4FC3">
        <w:t xml:space="preserve"> </w:t>
      </w:r>
      <w:r w:rsidRPr="00382917">
        <w:t>Báb,</w:t>
      </w:r>
      <w:r w:rsidR="00EE4FC3">
        <w:t xml:space="preserve"> </w:t>
      </w:r>
      <w:r w:rsidRPr="00382917">
        <w:t>he</w:t>
      </w:r>
      <w:r w:rsidR="00EE4FC3">
        <w:t xml:space="preserve"> </w:t>
      </w:r>
      <w:r w:rsidRPr="00382917">
        <w:t>longed</w:t>
      </w:r>
      <w:r w:rsidR="00EE4FC3">
        <w:t xml:space="preserve"> </w:t>
      </w:r>
      <w:r w:rsidRPr="00382917">
        <w:t>to</w:t>
      </w:r>
      <w:r w:rsidR="00EE4FC3">
        <w:t xml:space="preserve"> </w:t>
      </w:r>
      <w:r w:rsidRPr="00382917">
        <w:t>see</w:t>
      </w:r>
      <w:r w:rsidR="00EE4FC3">
        <w:t xml:space="preserve"> </w:t>
      </w:r>
      <w:r w:rsidRPr="00382917">
        <w:t>it</w:t>
      </w:r>
      <w:r w:rsidR="00F267E4">
        <w:t>.</w:t>
      </w:r>
      <w:r w:rsidR="00EE4FC3">
        <w:t xml:space="preserve">  </w:t>
      </w:r>
      <w:r w:rsidRPr="00382917">
        <w:t>He</w:t>
      </w:r>
      <w:r w:rsidR="00EE4FC3">
        <w:t xml:space="preserve"> </w:t>
      </w:r>
      <w:r w:rsidRPr="00382917">
        <w:t>had</w:t>
      </w:r>
      <w:r w:rsidR="00EE4FC3">
        <w:t xml:space="preserve"> </w:t>
      </w:r>
      <w:r w:rsidRPr="00382917">
        <w:t>been</w:t>
      </w:r>
      <w:r w:rsidR="00EE4FC3">
        <w:t xml:space="preserve"> </w:t>
      </w:r>
      <w:r w:rsidRPr="00382917">
        <w:t>very</w:t>
      </w:r>
      <w:r w:rsidR="00EE4FC3">
        <w:t xml:space="preserve"> </w:t>
      </w:r>
      <w:r w:rsidRPr="00382917">
        <w:t>touched</w:t>
      </w:r>
      <w:r w:rsidR="00EE4FC3">
        <w:t xml:space="preserve"> </w:t>
      </w:r>
      <w:r w:rsidRPr="00382917">
        <w:t>by</w:t>
      </w:r>
      <w:r w:rsidR="00EE4FC3">
        <w:t xml:space="preserve"> </w:t>
      </w:r>
      <w:r w:rsidRPr="00382917">
        <w:t>the</w:t>
      </w:r>
      <w:r w:rsidR="00EE4FC3">
        <w:t xml:space="preserve"> </w:t>
      </w:r>
      <w:r w:rsidRPr="00382917">
        <w:t>Christ</w:t>
      </w:r>
      <w:r w:rsidR="001D303F">
        <w:t>-</w:t>
      </w:r>
      <w:r w:rsidRPr="00382917">
        <w:t>like</w:t>
      </w:r>
      <w:r w:rsidR="00EE4FC3">
        <w:t xml:space="preserve"> </w:t>
      </w:r>
      <w:r w:rsidRPr="00382917">
        <w:t>life</w:t>
      </w:r>
      <w:r w:rsidR="00EE4FC3">
        <w:t xml:space="preserve"> </w:t>
      </w:r>
      <w:r w:rsidRPr="00382917">
        <w:t>of</w:t>
      </w:r>
      <w:r w:rsidR="00EE4FC3">
        <w:t xml:space="preserve"> </w:t>
      </w:r>
      <w:r w:rsidRPr="00382917">
        <w:t>the</w:t>
      </w:r>
      <w:r w:rsidR="00EE4FC3">
        <w:t xml:space="preserve"> </w:t>
      </w:r>
      <w:r w:rsidRPr="00382917">
        <w:t>Báb</w:t>
      </w:r>
      <w:r w:rsidR="00EE4FC3">
        <w:t xml:space="preserve"> </w:t>
      </w:r>
      <w:r w:rsidRPr="00382917">
        <w:t>about</w:t>
      </w:r>
      <w:r w:rsidR="00EE4FC3">
        <w:t xml:space="preserve"> </w:t>
      </w:r>
      <w:proofErr w:type="gramStart"/>
      <w:r w:rsidRPr="00382917">
        <w:t>Whom</w:t>
      </w:r>
      <w:proofErr w:type="gramEnd"/>
      <w:r w:rsidR="00EE4FC3">
        <w:t xml:space="preserve"> </w:t>
      </w:r>
      <w:r w:rsidRPr="00382917">
        <w:t>he</w:t>
      </w:r>
      <w:r w:rsidR="00EE4FC3">
        <w:t xml:space="preserve"> </w:t>
      </w:r>
      <w:r w:rsidRPr="00382917">
        <w:t>had</w:t>
      </w:r>
      <w:r w:rsidR="00EE4FC3">
        <w:t xml:space="preserve"> </w:t>
      </w:r>
      <w:r w:rsidRPr="00382917">
        <w:t>written</w:t>
      </w:r>
      <w:r w:rsidR="00EE4FC3">
        <w:t xml:space="preserve"> </w:t>
      </w:r>
      <w:r w:rsidRPr="00382917">
        <w:t>so</w:t>
      </w:r>
      <w:r w:rsidR="00EE4FC3">
        <w:t xml:space="preserve"> </w:t>
      </w:r>
      <w:r w:rsidRPr="00382917">
        <w:t>glowingly.</w:t>
      </w:r>
    </w:p>
    <w:p w:rsidR="006E4F81" w:rsidRPr="00382917" w:rsidRDefault="006E4F81" w:rsidP="001D303F">
      <w:pPr>
        <w:pStyle w:val="Text"/>
      </w:pPr>
      <w:r w:rsidRPr="00382917">
        <w:t>Shoghi</w:t>
      </w:r>
      <w:r w:rsidR="00EE4FC3">
        <w:t xml:space="preserve"> </w:t>
      </w:r>
      <w:r w:rsidRPr="00382917">
        <w:t>Effendi</w:t>
      </w:r>
      <w:r w:rsidR="00EE4FC3">
        <w:t xml:space="preserve"> </w:t>
      </w:r>
      <w:r w:rsidRPr="00382917">
        <w:t>Rabbani,</w:t>
      </w:r>
      <w:r w:rsidR="00EE4FC3">
        <w:t xml:space="preserve"> </w:t>
      </w:r>
      <w:r w:rsidRPr="00382917">
        <w:t>the</w:t>
      </w:r>
      <w:r w:rsidR="00EE4FC3">
        <w:t xml:space="preserve"> </w:t>
      </w:r>
      <w:r w:rsidRPr="00382917">
        <w:t>late</w:t>
      </w:r>
      <w:r w:rsidR="00EE4FC3">
        <w:t xml:space="preserve"> </w:t>
      </w:r>
      <w:r w:rsidRPr="00382917">
        <w:t>Guardian</w:t>
      </w:r>
      <w:r w:rsidR="00EE4FC3">
        <w:t xml:space="preserve"> </w:t>
      </w:r>
      <w:r w:rsidRPr="00382917">
        <w:t>of</w:t>
      </w:r>
      <w:r w:rsidR="00EE4FC3">
        <w:t xml:space="preserve"> </w:t>
      </w:r>
      <w:r w:rsidRPr="00382917">
        <w:t>the</w:t>
      </w:r>
      <w:r w:rsidR="00EE4FC3">
        <w:t xml:space="preserve"> </w:t>
      </w:r>
      <w:r w:rsidRPr="00382917">
        <w:t>Bahá</w:t>
      </w:r>
      <w:r w:rsidR="009C713D" w:rsidRPr="00382917">
        <w:t>’</w:t>
      </w:r>
      <w:r w:rsidRPr="00382917">
        <w:t>í</w:t>
      </w:r>
      <w:r w:rsidR="00EE4FC3">
        <w:t xml:space="preserve"> </w:t>
      </w:r>
      <w:r w:rsidRPr="00382917">
        <w:t>Faith,</w:t>
      </w:r>
      <w:r w:rsidR="00EE4FC3">
        <w:t xml:space="preserve"> </w:t>
      </w:r>
      <w:r w:rsidRPr="00382917">
        <w:t>sent</w:t>
      </w:r>
      <w:r w:rsidR="00EE4FC3">
        <w:t xml:space="preserve"> </w:t>
      </w:r>
      <w:r w:rsidRPr="00382917">
        <w:t>M.</w:t>
      </w:r>
      <w:r w:rsidR="00EE4FC3">
        <w:t xml:space="preserve"> </w:t>
      </w:r>
      <w:r w:rsidRPr="00382917">
        <w:t>Nicolas</w:t>
      </w:r>
      <w:r w:rsidR="00EE4FC3">
        <w:t xml:space="preserve"> </w:t>
      </w:r>
      <w:r w:rsidRPr="00382917">
        <w:t>an</w:t>
      </w:r>
      <w:r w:rsidR="00EE4FC3">
        <w:t xml:space="preserve"> </w:t>
      </w:r>
      <w:r w:rsidRPr="00382917">
        <w:t>artist</w:t>
      </w:r>
      <w:r w:rsidR="009C713D" w:rsidRPr="00382917">
        <w:t>’</w:t>
      </w:r>
      <w:r w:rsidRPr="00382917">
        <w:t>s</w:t>
      </w:r>
      <w:r w:rsidR="00EE4FC3">
        <w:t xml:space="preserve"> </w:t>
      </w:r>
      <w:r w:rsidRPr="00382917">
        <w:t>drawing</w:t>
      </w:r>
      <w:r w:rsidR="00EE4FC3">
        <w:t xml:space="preserve"> </w:t>
      </w:r>
      <w:r w:rsidRPr="00382917">
        <w:t>of</w:t>
      </w:r>
      <w:r w:rsidR="00EE4FC3">
        <w:t xml:space="preserve"> </w:t>
      </w:r>
      <w:r w:rsidRPr="00382917">
        <w:t>the</w:t>
      </w:r>
      <w:r w:rsidR="00EE4FC3">
        <w:t xml:space="preserve"> </w:t>
      </w:r>
      <w:r w:rsidRPr="00382917">
        <w:t>Shrine</w:t>
      </w:r>
      <w:r w:rsidR="00EE4FC3">
        <w:t xml:space="preserve"> </w:t>
      </w:r>
      <w:r w:rsidRPr="00382917">
        <w:t>as</w:t>
      </w:r>
      <w:r w:rsidR="00EE4FC3">
        <w:t xml:space="preserve"> </w:t>
      </w:r>
      <w:r w:rsidRPr="00382917">
        <w:t>well</w:t>
      </w:r>
      <w:r w:rsidR="00EE4FC3">
        <w:t xml:space="preserve"> </w:t>
      </w:r>
      <w:r w:rsidRPr="00382917">
        <w:t>as</w:t>
      </w:r>
      <w:r w:rsidR="00EE4FC3">
        <w:t xml:space="preserve"> </w:t>
      </w:r>
      <w:r w:rsidRPr="00382917">
        <w:t>a</w:t>
      </w:r>
      <w:r w:rsidR="00EE4FC3">
        <w:t xml:space="preserve"> </w:t>
      </w:r>
      <w:r w:rsidRPr="00382917">
        <w:t>copy</w:t>
      </w:r>
      <w:r w:rsidR="00EE4FC3">
        <w:t xml:space="preserve"> </w:t>
      </w:r>
      <w:r w:rsidRPr="00382917">
        <w:t>of</w:t>
      </w:r>
      <w:r w:rsidR="00EE4FC3">
        <w:t xml:space="preserve"> </w:t>
      </w:r>
      <w:r w:rsidR="008A073E" w:rsidRPr="00382917">
        <w:rPr>
          <w:i/>
          <w:iCs/>
        </w:rPr>
        <w:t>The</w:t>
      </w:r>
      <w:r w:rsidR="00EE4FC3">
        <w:rPr>
          <w:i/>
          <w:iCs/>
        </w:rPr>
        <w:t xml:space="preserve"> </w:t>
      </w:r>
      <w:r w:rsidR="008A073E" w:rsidRPr="00382917">
        <w:rPr>
          <w:i/>
          <w:iCs/>
        </w:rPr>
        <w:t>Dawn-Breakers</w:t>
      </w:r>
      <w:r w:rsidRPr="00382917">
        <w:t>,</w:t>
      </w:r>
      <w:r w:rsidR="00EE4FC3">
        <w:t xml:space="preserve"> </w:t>
      </w:r>
      <w:proofErr w:type="spellStart"/>
      <w:r w:rsidRPr="00382917">
        <w:t>Nabíl</w:t>
      </w:r>
      <w:r w:rsidR="009C713D" w:rsidRPr="00382917">
        <w:t>’</w:t>
      </w:r>
      <w:r w:rsidRPr="00382917">
        <w:t>s</w:t>
      </w:r>
      <w:proofErr w:type="spellEnd"/>
      <w:r w:rsidR="00EE4FC3">
        <w:t xml:space="preserve"> </w:t>
      </w:r>
      <w:r w:rsidRPr="00382917">
        <w:t>history</w:t>
      </w:r>
      <w:r w:rsidR="00EE4FC3">
        <w:t xml:space="preserve"> </w:t>
      </w:r>
      <w:r w:rsidRPr="00382917">
        <w:t>of</w:t>
      </w:r>
      <w:r w:rsidR="00EE4FC3">
        <w:t xml:space="preserve"> </w:t>
      </w:r>
      <w:r w:rsidRPr="00382917">
        <w:t>those</w:t>
      </w:r>
      <w:r w:rsidR="00EE4FC3">
        <w:t xml:space="preserve"> </w:t>
      </w:r>
      <w:r w:rsidRPr="00382917">
        <w:t>early</w:t>
      </w:r>
      <w:r w:rsidR="00EE4FC3">
        <w:t xml:space="preserve"> </w:t>
      </w:r>
      <w:r w:rsidRPr="00382917">
        <w:t>days</w:t>
      </w:r>
      <w:r w:rsidR="00F267E4">
        <w:t>.</w:t>
      </w:r>
      <w:r w:rsidR="00EE4FC3">
        <w:t xml:space="preserve">  </w:t>
      </w:r>
      <w:r w:rsidRPr="00382917">
        <w:t>Nicolas</w:t>
      </w:r>
      <w:r w:rsidR="00EE4FC3">
        <w:t xml:space="preserve"> </w:t>
      </w:r>
      <w:r w:rsidRPr="00382917">
        <w:t>was</w:t>
      </w:r>
      <w:r w:rsidR="00EE4FC3">
        <w:t xml:space="preserve"> </w:t>
      </w:r>
      <w:r w:rsidRPr="00382917">
        <w:t>so</w:t>
      </w:r>
      <w:r w:rsidR="00EE4FC3">
        <w:t xml:space="preserve"> </w:t>
      </w:r>
      <w:r w:rsidRPr="00382917">
        <w:t>deeply</w:t>
      </w:r>
      <w:r w:rsidR="00EE4FC3">
        <w:t xml:space="preserve"> </w:t>
      </w:r>
      <w:r w:rsidR="001D303F">
        <w:t>“</w:t>
      </w:r>
      <w:r w:rsidRPr="00382917">
        <w:t>moved</w:t>
      </w:r>
      <w:r w:rsidR="00EE4FC3">
        <w:t xml:space="preserve"> </w:t>
      </w:r>
      <w:r w:rsidRPr="00382917">
        <w:t>that</w:t>
      </w:r>
      <w:r w:rsidR="00EE4FC3">
        <w:t xml:space="preserve"> </w:t>
      </w:r>
      <w:r w:rsidRPr="00382917">
        <w:t>he</w:t>
      </w:r>
      <w:r w:rsidR="00EE4FC3">
        <w:t xml:space="preserve"> </w:t>
      </w:r>
      <w:r w:rsidRPr="00382917">
        <w:t>kissed</w:t>
      </w:r>
      <w:r w:rsidR="00EE4FC3">
        <w:t xml:space="preserve"> </w:t>
      </w:r>
      <w:r w:rsidRPr="00382917">
        <w:t>the</w:t>
      </w:r>
      <w:r w:rsidR="00EE4FC3">
        <w:t xml:space="preserve"> </w:t>
      </w:r>
      <w:r w:rsidRPr="00382917">
        <w:t>bearer</w:t>
      </w:r>
      <w:r w:rsidR="009C713D" w:rsidRPr="00382917">
        <w:t>’</w:t>
      </w:r>
      <w:r w:rsidRPr="00382917">
        <w:t>s</w:t>
      </w:r>
      <w:r w:rsidR="00EE4FC3">
        <w:t xml:space="preserve"> </w:t>
      </w:r>
      <w:r w:rsidRPr="00382917">
        <w:t>hand.</w:t>
      </w:r>
      <w:r w:rsidR="001D303F">
        <w:t>”</w:t>
      </w:r>
      <w:r w:rsidR="001D303F">
        <w:rPr>
          <w:rStyle w:val="FootnoteReference"/>
        </w:rPr>
        <w:footnoteReference w:id="371"/>
      </w:r>
    </w:p>
    <w:p w:rsidR="006E4F81" w:rsidRPr="00382917" w:rsidRDefault="006E4F81" w:rsidP="004C0EF8">
      <w:pPr>
        <w:pStyle w:val="Text"/>
      </w:pPr>
      <w:r w:rsidRPr="00382917">
        <w:t>Thus,</w:t>
      </w:r>
      <w:r w:rsidR="00EE4FC3">
        <w:t xml:space="preserve"> </w:t>
      </w:r>
      <w:r w:rsidRPr="00382917">
        <w:t>at</w:t>
      </w:r>
      <w:r w:rsidR="00EE4FC3">
        <w:t xml:space="preserve"> </w:t>
      </w:r>
      <w:r w:rsidRPr="00382917">
        <w:t>last,</w:t>
      </w:r>
      <w:r w:rsidR="00EE4FC3">
        <w:t xml:space="preserve"> </w:t>
      </w:r>
      <w:r w:rsidRPr="00382917">
        <w:t>the</w:t>
      </w:r>
      <w:r w:rsidR="00EE4FC3">
        <w:t xml:space="preserve"> </w:t>
      </w:r>
      <w:r w:rsidRPr="00382917">
        <w:t>remains</w:t>
      </w:r>
      <w:r w:rsidR="00EE4FC3">
        <w:t xml:space="preserve"> </w:t>
      </w:r>
      <w:r w:rsidRPr="00382917">
        <w:t>of</w:t>
      </w:r>
      <w:r w:rsidR="00EE4FC3">
        <w:t xml:space="preserve"> </w:t>
      </w:r>
      <w:r w:rsidRPr="00382917">
        <w:t>the</w:t>
      </w:r>
      <w:r w:rsidR="00EE4FC3">
        <w:t xml:space="preserve"> </w:t>
      </w:r>
      <w:r w:rsidRPr="00382917">
        <w:t>Báb</w:t>
      </w:r>
      <w:r w:rsidR="00EE4FC3">
        <w:t xml:space="preserve"> </w:t>
      </w:r>
      <w:r w:rsidRPr="00382917">
        <w:t>were</w:t>
      </w:r>
      <w:r w:rsidR="00EE4FC3">
        <w:t xml:space="preserve"> </w:t>
      </w:r>
      <w:r w:rsidRPr="00382917">
        <w:t>interred</w:t>
      </w:r>
      <w:r w:rsidR="00EE4FC3">
        <w:t xml:space="preserve"> </w:t>
      </w:r>
      <w:r w:rsidRPr="00382917">
        <w:t>in</w:t>
      </w:r>
      <w:r w:rsidR="00EE4FC3">
        <w:t xml:space="preserve"> </w:t>
      </w:r>
      <w:r w:rsidRPr="00382917">
        <w:t>Mount</w:t>
      </w:r>
      <w:r w:rsidR="00EE4FC3">
        <w:t xml:space="preserve"> </w:t>
      </w:r>
      <w:r w:rsidRPr="00382917">
        <w:t>Carmel,</w:t>
      </w:r>
      <w:r w:rsidR="00EE4FC3">
        <w:t xml:space="preserve"> </w:t>
      </w:r>
      <w:r w:rsidRPr="00382917">
        <w:t>the</w:t>
      </w:r>
      <w:r w:rsidR="00EE4FC3">
        <w:t xml:space="preserve"> </w:t>
      </w:r>
      <w:r w:rsidR="009C713D" w:rsidRPr="00382917">
        <w:t>“</w:t>
      </w:r>
      <w:r w:rsidRPr="00382917">
        <w:t>vineyard</w:t>
      </w:r>
      <w:r w:rsidR="00EE4FC3">
        <w:t xml:space="preserve"> </w:t>
      </w:r>
      <w:r w:rsidRPr="00382917">
        <w:t>of</w:t>
      </w:r>
      <w:r w:rsidR="00EE4FC3">
        <w:t xml:space="preserve"> </w:t>
      </w:r>
      <w:r w:rsidRPr="00382917">
        <w:t>God,</w:t>
      </w:r>
      <w:r w:rsidR="009C713D" w:rsidRPr="00382917">
        <w:t>”</w:t>
      </w:r>
      <w:r w:rsidR="00EE4FC3">
        <w:t xml:space="preserve"> </w:t>
      </w:r>
      <w:r w:rsidRPr="00382917">
        <w:t>according</w:t>
      </w:r>
      <w:r w:rsidR="00EE4FC3">
        <w:t xml:space="preserve"> </w:t>
      </w:r>
      <w:r w:rsidRPr="00382917">
        <w:t>to</w:t>
      </w:r>
      <w:r w:rsidR="00EE4FC3">
        <w:t xml:space="preserve"> </w:t>
      </w:r>
      <w:r w:rsidRPr="00382917">
        <w:t>the</w:t>
      </w:r>
      <w:r w:rsidR="00EE4FC3">
        <w:t xml:space="preserve"> </w:t>
      </w:r>
      <w:r w:rsidRPr="00382917">
        <w:t>direct</w:t>
      </w:r>
      <w:r w:rsidR="00EE4FC3">
        <w:t xml:space="preserve"> </w:t>
      </w:r>
      <w:r w:rsidRPr="00382917">
        <w:t>instructions</w:t>
      </w:r>
      <w:r w:rsidR="00EE4FC3">
        <w:t xml:space="preserve"> </w:t>
      </w:r>
      <w:r w:rsidRPr="00382917">
        <w:t>of</w:t>
      </w:r>
      <w:r w:rsidR="00EE4FC3">
        <w:t xml:space="preserve"> </w:t>
      </w:r>
      <w:r w:rsidRPr="00382917">
        <w:t>Bahá</w:t>
      </w:r>
      <w:r w:rsidR="009C713D" w:rsidRPr="00382917">
        <w:t>’</w:t>
      </w:r>
      <w:r w:rsidRPr="00382917">
        <w:t>u</w:t>
      </w:r>
      <w:r w:rsidR="009C713D" w:rsidRPr="00382917">
        <w:t>’</w:t>
      </w:r>
      <w:r w:rsidRPr="00382917">
        <w:t>lláh</w:t>
      </w:r>
      <w:r w:rsidR="00F267E4">
        <w:t>.</w:t>
      </w:r>
      <w:r w:rsidR="00EE4FC3">
        <w:t xml:space="preserve">  </w:t>
      </w:r>
      <w:r w:rsidRPr="00382917">
        <w:t>They</w:t>
      </w:r>
      <w:r w:rsidR="00EE4FC3">
        <w:t xml:space="preserve"> </w:t>
      </w:r>
      <w:r w:rsidRPr="00382917">
        <w:t>rest</w:t>
      </w:r>
      <w:r w:rsidR="00EE4FC3">
        <w:t xml:space="preserve"> </w:t>
      </w:r>
      <w:r w:rsidRPr="00382917">
        <w:t>near</w:t>
      </w:r>
      <w:r w:rsidR="00EE4FC3">
        <w:t xml:space="preserve"> </w:t>
      </w:r>
      <w:r w:rsidRPr="00382917">
        <w:t>the</w:t>
      </w:r>
      <w:r w:rsidR="00EE4FC3">
        <w:t xml:space="preserve"> </w:t>
      </w:r>
      <w:r w:rsidRPr="00382917">
        <w:t>cave</w:t>
      </w:r>
      <w:r w:rsidR="00EE4FC3">
        <w:t xml:space="preserve"> </w:t>
      </w:r>
      <w:r w:rsidRPr="00382917">
        <w:t>of</w:t>
      </w:r>
      <w:r w:rsidR="00EE4FC3">
        <w:t xml:space="preserve"> </w:t>
      </w:r>
      <w:r w:rsidRPr="00382917">
        <w:t>Elijah</w:t>
      </w:r>
      <w:r w:rsidR="00EE4FC3">
        <w:t xml:space="preserve"> </w:t>
      </w:r>
      <w:proofErr w:type="gramStart"/>
      <w:r w:rsidRPr="00382917">
        <w:t>whose</w:t>
      </w:r>
      <w:proofErr w:type="gramEnd"/>
      <w:r w:rsidR="00EE4FC3">
        <w:t xml:space="preserve"> </w:t>
      </w:r>
      <w:r w:rsidRPr="00382917">
        <w:t>promised</w:t>
      </w:r>
      <w:r w:rsidR="00EE4FC3">
        <w:t xml:space="preserve"> </w:t>
      </w:r>
      <w:r w:rsidRPr="00382917">
        <w:t>coming</w:t>
      </w:r>
      <w:r w:rsidR="00EE4FC3">
        <w:t xml:space="preserve"> </w:t>
      </w:r>
      <w:r w:rsidRPr="00382917">
        <w:t>the</w:t>
      </w:r>
      <w:r w:rsidR="00EE4FC3">
        <w:t xml:space="preserve"> </w:t>
      </w:r>
      <w:r w:rsidRPr="00382917">
        <w:t>Báb</w:t>
      </w:r>
      <w:r w:rsidR="00EE4FC3">
        <w:t xml:space="preserve"> </w:t>
      </w:r>
      <w:r w:rsidRPr="00382917">
        <w:t>fulfilled,</w:t>
      </w:r>
      <w:r w:rsidR="00EE4FC3">
        <w:t xml:space="preserve"> </w:t>
      </w:r>
      <w:r w:rsidRPr="00382917">
        <w:t>there</w:t>
      </w:r>
      <w:r w:rsidR="00EE4FC3">
        <w:t xml:space="preserve"> </w:t>
      </w:r>
      <w:r w:rsidRPr="00382917">
        <w:t>on</w:t>
      </w:r>
      <w:r w:rsidR="00EE4FC3">
        <w:t xml:space="preserve"> </w:t>
      </w:r>
      <w:r w:rsidRPr="00382917">
        <w:t>the</w:t>
      </w:r>
      <w:r w:rsidR="00EE4FC3">
        <w:t xml:space="preserve"> </w:t>
      </w:r>
      <w:r w:rsidRPr="00382917">
        <w:t>side</w:t>
      </w:r>
      <w:r w:rsidR="00EE4FC3">
        <w:t xml:space="preserve"> </w:t>
      </w:r>
      <w:r w:rsidRPr="00382917">
        <w:t>of</w:t>
      </w:r>
      <w:r w:rsidR="00EE4FC3">
        <w:t xml:space="preserve"> </w:t>
      </w:r>
      <w:r w:rsidRPr="00382917">
        <w:t>God</w:t>
      </w:r>
      <w:r w:rsidR="009C713D" w:rsidRPr="00382917">
        <w:t>’</w:t>
      </w:r>
      <w:r w:rsidRPr="00382917">
        <w:t>s</w:t>
      </w:r>
      <w:r w:rsidR="00EE4FC3">
        <w:t xml:space="preserve"> </w:t>
      </w:r>
      <w:r w:rsidRPr="00382917">
        <w:t>holy</w:t>
      </w:r>
      <w:r w:rsidR="00EE4FC3">
        <w:t xml:space="preserve"> </w:t>
      </w:r>
      <w:r w:rsidRPr="00382917">
        <w:t>mountain</w:t>
      </w:r>
      <w:r w:rsidR="00EE4FC3">
        <w:t xml:space="preserve"> </w:t>
      </w:r>
      <w:r w:rsidRPr="00382917">
        <w:t>called</w:t>
      </w:r>
      <w:r w:rsidR="00EE4FC3">
        <w:t xml:space="preserve"> </w:t>
      </w:r>
      <w:r w:rsidRPr="00382917">
        <w:t>the</w:t>
      </w:r>
      <w:r w:rsidR="00EE4FC3">
        <w:t xml:space="preserve"> </w:t>
      </w:r>
      <w:r w:rsidR="009C713D" w:rsidRPr="00382917">
        <w:t>“</w:t>
      </w:r>
      <w:r w:rsidRPr="00382917">
        <w:t>nest</w:t>
      </w:r>
      <w:r w:rsidR="00EE4FC3">
        <w:t xml:space="preserve"> </w:t>
      </w:r>
      <w:r w:rsidRPr="00382917">
        <w:t>of</w:t>
      </w:r>
      <w:r w:rsidR="00EE4FC3">
        <w:t xml:space="preserve"> </w:t>
      </w:r>
      <w:r w:rsidRPr="00382917">
        <w:t>the</w:t>
      </w:r>
      <w:r w:rsidR="00EE4FC3">
        <w:t xml:space="preserve"> </w:t>
      </w:r>
      <w:r w:rsidRPr="00382917">
        <w:t>prophets</w:t>
      </w:r>
      <w:r w:rsidR="009C713D" w:rsidRPr="00382917">
        <w:t>”</w:t>
      </w:r>
      <w:r w:rsidR="00F267E4">
        <w:t>.</w:t>
      </w:r>
      <w:r w:rsidR="00EE4FC3">
        <w:t xml:space="preserve">  </w:t>
      </w:r>
      <w:r w:rsidRPr="00382917">
        <w:t>The</w:t>
      </w:r>
      <w:r w:rsidR="00EE4FC3">
        <w:t xml:space="preserve"> </w:t>
      </w:r>
      <w:r w:rsidRPr="00382917">
        <w:t>Shrine</w:t>
      </w:r>
      <w:r w:rsidR="00EE4FC3">
        <w:t xml:space="preserve"> </w:t>
      </w:r>
      <w:r w:rsidRPr="00382917">
        <w:t>of</w:t>
      </w:r>
      <w:r w:rsidR="00EE4FC3">
        <w:t xml:space="preserve"> </w:t>
      </w:r>
      <w:r w:rsidRPr="00382917">
        <w:t>the</w:t>
      </w:r>
      <w:r w:rsidR="00EE4FC3">
        <w:t xml:space="preserve"> </w:t>
      </w:r>
      <w:r w:rsidRPr="00382917">
        <w:t>Báb</w:t>
      </w:r>
      <w:r w:rsidR="00EE4FC3">
        <w:t xml:space="preserve"> </w:t>
      </w:r>
      <w:r w:rsidRPr="00382917">
        <w:t>faces</w:t>
      </w:r>
      <w:r w:rsidR="00EE4FC3">
        <w:t xml:space="preserve"> </w:t>
      </w:r>
      <w:r w:rsidRPr="00382917">
        <w:t>directly</w:t>
      </w:r>
      <w:r w:rsidR="00EE4FC3">
        <w:t xml:space="preserve"> </w:t>
      </w:r>
      <w:r w:rsidRPr="00382917">
        <w:t>toward</w:t>
      </w:r>
      <w:r w:rsidR="00EE4FC3">
        <w:t xml:space="preserve"> </w:t>
      </w:r>
      <w:r w:rsidRPr="00382917">
        <w:t>the</w:t>
      </w:r>
      <w:r w:rsidR="00EE4FC3">
        <w:t xml:space="preserve"> </w:t>
      </w:r>
      <w:r w:rsidRPr="00382917">
        <w:t>silver-city</w:t>
      </w:r>
      <w:r w:rsidR="00EE4FC3">
        <w:t xml:space="preserve"> </w:t>
      </w:r>
      <w:r w:rsidRPr="00382917">
        <w:t>of</w:t>
      </w:r>
      <w:r w:rsidR="00EE4FC3">
        <w:t xml:space="preserve"> </w:t>
      </w:r>
      <w:r w:rsidR="009C713D" w:rsidRPr="00382917">
        <w:t>‘</w:t>
      </w:r>
      <w:r w:rsidRPr="00382917">
        <w:t>Akká</w:t>
      </w:r>
      <w:r w:rsidR="00EE4FC3">
        <w:t xml:space="preserve"> </w:t>
      </w:r>
      <w:r w:rsidRPr="00382917">
        <w:t>and</w:t>
      </w:r>
      <w:r w:rsidR="00EE4FC3">
        <w:t xml:space="preserve"> </w:t>
      </w:r>
      <w:r w:rsidRPr="00382917">
        <w:t>toward</w:t>
      </w:r>
      <w:r w:rsidR="00EE4FC3">
        <w:t xml:space="preserve"> </w:t>
      </w:r>
      <w:r w:rsidRPr="00382917">
        <w:t>the</w:t>
      </w:r>
      <w:r w:rsidR="00EE4FC3">
        <w:t xml:space="preserve"> </w:t>
      </w:r>
      <w:r w:rsidRPr="00382917">
        <w:t>spot</w:t>
      </w:r>
      <w:r w:rsidR="00EE4FC3">
        <w:t xml:space="preserve"> </w:t>
      </w:r>
      <w:r w:rsidRPr="00382917">
        <w:t>where</w:t>
      </w:r>
      <w:r w:rsidR="00EE4FC3">
        <w:t xml:space="preserve"> </w:t>
      </w:r>
      <w:r w:rsidRPr="00382917">
        <w:t>Bahá</w:t>
      </w:r>
      <w:r w:rsidR="009C713D" w:rsidRPr="00382917">
        <w:t>’</w:t>
      </w:r>
      <w:r w:rsidRPr="00382917">
        <w:t>u</w:t>
      </w:r>
      <w:r w:rsidR="009C713D" w:rsidRPr="00382917">
        <w:t>’</w:t>
      </w:r>
      <w:r w:rsidRPr="00382917">
        <w:t>lláh</w:t>
      </w:r>
      <w:r w:rsidR="00EE4FC3">
        <w:t xml:space="preserve"> </w:t>
      </w:r>
      <w:r w:rsidRPr="00382917">
        <w:t>Himself</w:t>
      </w:r>
      <w:r w:rsidR="00EE4FC3">
        <w:t xml:space="preserve"> </w:t>
      </w:r>
      <w:r w:rsidRPr="00382917">
        <w:t>is</w:t>
      </w:r>
      <w:r w:rsidR="00EE4FC3">
        <w:t xml:space="preserve"> </w:t>
      </w:r>
      <w:r w:rsidRPr="00382917">
        <w:t>enshrined.</w:t>
      </w:r>
    </w:p>
    <w:p w:rsidR="006E4F81" w:rsidRPr="00382917" w:rsidRDefault="006E4F81" w:rsidP="004C0EF8">
      <w:pPr>
        <w:pStyle w:val="Text"/>
      </w:pPr>
      <w:r w:rsidRPr="00382917">
        <w:t>Once</w:t>
      </w:r>
      <w:r w:rsidR="00EE4FC3">
        <w:t xml:space="preserve"> </w:t>
      </w:r>
      <w:r w:rsidRPr="00382917">
        <w:t>again,</w:t>
      </w:r>
      <w:r w:rsidR="00EE4FC3">
        <w:t xml:space="preserve"> </w:t>
      </w:r>
      <w:r w:rsidRPr="00382917">
        <w:t>and</w:t>
      </w:r>
      <w:r w:rsidR="00EE4FC3">
        <w:t xml:space="preserve"> </w:t>
      </w:r>
      <w:r w:rsidRPr="00382917">
        <w:t>this</w:t>
      </w:r>
      <w:r w:rsidR="00EE4FC3">
        <w:t xml:space="preserve"> </w:t>
      </w:r>
      <w:r w:rsidRPr="00382917">
        <w:t>time</w:t>
      </w:r>
      <w:r w:rsidR="00EE4FC3">
        <w:t xml:space="preserve"> </w:t>
      </w:r>
      <w:r w:rsidRPr="00382917">
        <w:t>forever,</w:t>
      </w:r>
      <w:r w:rsidR="00EE4FC3">
        <w:t xml:space="preserve"> </w:t>
      </w:r>
      <w:r w:rsidRPr="00382917">
        <w:t>the</w:t>
      </w:r>
      <w:r w:rsidR="00EE4FC3">
        <w:t xml:space="preserve"> </w:t>
      </w:r>
      <w:r w:rsidRPr="00382917">
        <w:t>Báb</w:t>
      </w:r>
      <w:r w:rsidR="00EE4FC3">
        <w:t xml:space="preserve"> </w:t>
      </w:r>
      <w:r w:rsidRPr="00382917">
        <w:t>was</w:t>
      </w:r>
      <w:r w:rsidR="00EE4FC3">
        <w:t xml:space="preserve"> </w:t>
      </w:r>
      <w:r w:rsidR="009C713D" w:rsidRPr="00382917">
        <w:t>“</w:t>
      </w:r>
      <w:r w:rsidRPr="00382917">
        <w:t>within</w:t>
      </w:r>
      <w:r w:rsidR="00EE4FC3">
        <w:t xml:space="preserve"> </w:t>
      </w:r>
      <w:r w:rsidRPr="00382917">
        <w:t>the</w:t>
      </w:r>
      <w:r w:rsidR="00EE4FC3">
        <w:t xml:space="preserve"> </w:t>
      </w:r>
      <w:r w:rsidRPr="00382917">
        <w:t>shadow</w:t>
      </w:r>
      <w:r w:rsidR="00EE4FC3">
        <w:t xml:space="preserve"> </w:t>
      </w:r>
      <w:r w:rsidRPr="00382917">
        <w:t>of</w:t>
      </w:r>
      <w:r w:rsidR="00EE4FC3">
        <w:t xml:space="preserve"> </w:t>
      </w:r>
      <w:r w:rsidRPr="00382917">
        <w:t>His</w:t>
      </w:r>
      <w:r w:rsidR="00EE4FC3">
        <w:t xml:space="preserve"> </w:t>
      </w:r>
      <w:r w:rsidRPr="00382917">
        <w:t>Beloved.</w:t>
      </w:r>
      <w:r w:rsidR="009C713D" w:rsidRPr="00382917">
        <w:t>”</w:t>
      </w:r>
    </w:p>
    <w:p w:rsidR="004C0EF8" w:rsidRPr="00382917" w:rsidRDefault="004C0EF8">
      <w:pPr>
        <w:widowControl/>
        <w:kinsoku/>
        <w:overflowPunct/>
        <w:textAlignment w:val="auto"/>
      </w:pPr>
      <w:r w:rsidRPr="00382917">
        <w:br w:type="page"/>
      </w:r>
    </w:p>
    <w:p w:rsidR="00417538" w:rsidRDefault="00417538" w:rsidP="00417538">
      <w:r w:rsidRPr="00382917">
        <w:rPr>
          <w:sz w:val="12"/>
          <w:szCs w:val="12"/>
        </w:rPr>
        <w:fldChar w:fldCharType="begin"/>
      </w:r>
      <w:r w:rsidR="00EE4FC3">
        <w:rPr>
          <w:sz w:val="12"/>
          <w:szCs w:val="12"/>
        </w:rPr>
        <w:instrText xml:space="preserve"> </w:instrText>
      </w:r>
      <w:r w:rsidRPr="00382917">
        <w:rPr>
          <w:sz w:val="12"/>
          <w:szCs w:val="12"/>
        </w:rPr>
        <w:instrText>TC</w:instrText>
      </w:r>
      <w:r w:rsidR="00EE4FC3">
        <w:rPr>
          <w:sz w:val="12"/>
          <w:szCs w:val="12"/>
        </w:rPr>
        <w:instrText xml:space="preserve">  </w:instrText>
      </w:r>
      <w:r w:rsidRPr="00382917">
        <w:rPr>
          <w:sz w:val="12"/>
          <w:szCs w:val="12"/>
        </w:rPr>
        <w:instrText>“</w:instrText>
      </w:r>
      <w:bookmarkStart w:id="28" w:name="_Toc206658624"/>
      <w:r>
        <w:rPr>
          <w:sz w:val="12"/>
          <w:szCs w:val="12"/>
        </w:rPr>
        <w:instrText>Note</w:instrText>
      </w:r>
      <w:r w:rsidR="00EE4FC3">
        <w:rPr>
          <w:sz w:val="12"/>
          <w:szCs w:val="12"/>
        </w:rPr>
        <w:instrText xml:space="preserve"> </w:instrText>
      </w:r>
      <w:r>
        <w:rPr>
          <w:sz w:val="12"/>
          <w:szCs w:val="12"/>
        </w:rPr>
        <w:instrText>6</w:instrText>
      </w:r>
      <w:r w:rsidRPr="00382917">
        <w:rPr>
          <w:color w:val="FFFFFF" w:themeColor="background1"/>
          <w:sz w:val="12"/>
          <w:szCs w:val="12"/>
        </w:rPr>
        <w:instrText>..</w:instrText>
      </w:r>
      <w:r w:rsidRPr="00382917">
        <w:rPr>
          <w:sz w:val="12"/>
          <w:szCs w:val="12"/>
        </w:rPr>
        <w:tab/>
      </w:r>
      <w:r w:rsidRPr="00382917">
        <w:rPr>
          <w:color w:val="FFFFFF" w:themeColor="background1"/>
          <w:sz w:val="12"/>
          <w:szCs w:val="12"/>
        </w:rPr>
        <w:instrText>.</w:instrText>
      </w:r>
      <w:bookmarkEnd w:id="28"/>
      <w:proofErr w:type="gramStart"/>
      <w:r w:rsidRPr="00382917">
        <w:rPr>
          <w:sz w:val="12"/>
          <w:szCs w:val="12"/>
        </w:rPr>
        <w:instrText>”</w:instrText>
      </w:r>
      <w:r w:rsidR="00EE4FC3">
        <w:rPr>
          <w:sz w:val="12"/>
          <w:szCs w:val="12"/>
        </w:rPr>
        <w:instrText xml:space="preserve"> </w:instrText>
      </w:r>
      <w:proofErr w:type="gramEnd"/>
      <w:r w:rsidRPr="00382917">
        <w:rPr>
          <w:sz w:val="12"/>
          <w:szCs w:val="12"/>
        </w:rPr>
        <w:instrText>\l</w:instrText>
      </w:r>
      <w:r w:rsidR="00EE4FC3">
        <w:rPr>
          <w:sz w:val="12"/>
          <w:szCs w:val="12"/>
        </w:rPr>
        <w:instrText xml:space="preserve"> </w:instrText>
      </w:r>
      <w:r>
        <w:rPr>
          <w:sz w:val="12"/>
          <w:szCs w:val="12"/>
        </w:rPr>
        <w:instrText>3</w:instrText>
      </w:r>
      <w:r w:rsidR="00EE4FC3">
        <w:rPr>
          <w:sz w:val="12"/>
          <w:szCs w:val="12"/>
        </w:rPr>
        <w:instrText xml:space="preserve"> </w:instrText>
      </w:r>
      <w:r w:rsidRPr="00382917">
        <w:rPr>
          <w:sz w:val="12"/>
          <w:szCs w:val="12"/>
        </w:rPr>
        <w:fldChar w:fldCharType="end"/>
      </w:r>
    </w:p>
    <w:p w:rsidR="00417538" w:rsidRDefault="00417538" w:rsidP="00B568B6"/>
    <w:p w:rsidR="00B568B6" w:rsidRPr="00382917" w:rsidRDefault="00B568B6" w:rsidP="001D303F">
      <w:pPr>
        <w:pStyle w:val="Myheadc"/>
      </w:pPr>
      <w:r w:rsidRPr="00382917">
        <w:t>Note</w:t>
      </w:r>
      <w:r w:rsidR="00EE4FC3">
        <w:t xml:space="preserve"> </w:t>
      </w:r>
      <w:r w:rsidRPr="00382917">
        <w:t>6</w:t>
      </w:r>
    </w:p>
    <w:p w:rsidR="00B568B6" w:rsidRPr="00382917" w:rsidRDefault="00B568B6" w:rsidP="00B568B6">
      <w:pPr>
        <w:pStyle w:val="Text"/>
      </w:pPr>
      <w:r w:rsidRPr="00382917">
        <w:t>One</w:t>
      </w:r>
      <w:r w:rsidR="00EE4FC3">
        <w:t xml:space="preserve"> </w:t>
      </w:r>
      <w:r w:rsidRPr="00382917">
        <w:t>of</w:t>
      </w:r>
      <w:r w:rsidR="00EE4FC3">
        <w:t xml:space="preserve"> </w:t>
      </w:r>
      <w:r w:rsidRPr="00382917">
        <w:t>the</w:t>
      </w:r>
      <w:r w:rsidR="00EE4FC3">
        <w:t xml:space="preserve"> </w:t>
      </w:r>
      <w:r w:rsidRPr="00382917">
        <w:t>most</w:t>
      </w:r>
      <w:r w:rsidR="00EE4FC3">
        <w:t xml:space="preserve"> </w:t>
      </w:r>
      <w:r w:rsidRPr="00382917">
        <w:t>dramatic</w:t>
      </w:r>
      <w:r w:rsidR="00EE4FC3">
        <w:t xml:space="preserve"> </w:t>
      </w:r>
      <w:r w:rsidRPr="00382917">
        <w:t>stories</w:t>
      </w:r>
      <w:r w:rsidR="00EE4FC3">
        <w:t xml:space="preserve"> </w:t>
      </w:r>
      <w:r w:rsidRPr="00382917">
        <w:t>of</w:t>
      </w:r>
      <w:r w:rsidR="00EE4FC3">
        <w:t xml:space="preserve"> </w:t>
      </w:r>
      <w:r w:rsidRPr="00382917">
        <w:t>the</w:t>
      </w:r>
      <w:r w:rsidR="00EE4FC3">
        <w:t xml:space="preserve"> </w:t>
      </w:r>
      <w:r w:rsidRPr="00382917">
        <w:t>coming</w:t>
      </w:r>
      <w:r w:rsidR="00EE4FC3">
        <w:t xml:space="preserve"> </w:t>
      </w:r>
      <w:r w:rsidRPr="00382917">
        <w:t>of</w:t>
      </w:r>
      <w:r w:rsidR="00EE4FC3">
        <w:t xml:space="preserve"> </w:t>
      </w:r>
      <w:r w:rsidRPr="00382917">
        <w:t>Bahá</w:t>
      </w:r>
      <w:r w:rsidR="009C713D" w:rsidRPr="00382917">
        <w:t>’</w:t>
      </w:r>
      <w:r w:rsidRPr="00382917">
        <w:t>u</w:t>
      </w:r>
      <w:r w:rsidR="009C713D" w:rsidRPr="00382917">
        <w:t>’</w:t>
      </w:r>
      <w:r w:rsidRPr="00382917">
        <w:t>lláh,</w:t>
      </w:r>
      <w:r w:rsidR="00EE4FC3">
        <w:t xml:space="preserve"> </w:t>
      </w:r>
      <w:r w:rsidRPr="00382917">
        <w:t>and</w:t>
      </w:r>
      <w:r w:rsidR="00EE4FC3">
        <w:t xml:space="preserve"> </w:t>
      </w:r>
      <w:r w:rsidRPr="00382917">
        <w:t>His</w:t>
      </w:r>
      <w:r w:rsidR="00EE4FC3">
        <w:t xml:space="preserve"> </w:t>
      </w:r>
      <w:proofErr w:type="spellStart"/>
      <w:r w:rsidRPr="00382917">
        <w:t>fulfillment</w:t>
      </w:r>
      <w:proofErr w:type="spellEnd"/>
      <w:r w:rsidR="00EE4FC3">
        <w:t xml:space="preserve"> </w:t>
      </w:r>
      <w:r w:rsidRPr="00382917">
        <w:t>of</w:t>
      </w:r>
      <w:r w:rsidR="00EE4FC3">
        <w:t xml:space="preserve"> </w:t>
      </w:r>
      <w:r w:rsidRPr="00382917">
        <w:t>prophecy,</w:t>
      </w:r>
      <w:r w:rsidR="00EE4FC3">
        <w:t xml:space="preserve"> </w:t>
      </w:r>
      <w:r w:rsidRPr="00382917">
        <w:t>is</w:t>
      </w:r>
      <w:r w:rsidR="00EE4FC3">
        <w:t xml:space="preserve"> </w:t>
      </w:r>
      <w:r w:rsidRPr="00382917">
        <w:t>that</w:t>
      </w:r>
      <w:r w:rsidR="00EE4FC3">
        <w:t xml:space="preserve"> </w:t>
      </w:r>
      <w:r w:rsidRPr="00382917">
        <w:t>told</w:t>
      </w:r>
      <w:r w:rsidR="00EE4FC3">
        <w:t xml:space="preserve"> </w:t>
      </w:r>
      <w:r w:rsidRPr="00382917">
        <w:t>in</w:t>
      </w:r>
      <w:r w:rsidR="00EE4FC3">
        <w:t xml:space="preserve"> </w:t>
      </w:r>
      <w:r w:rsidRPr="00382917">
        <w:t>the</w:t>
      </w:r>
      <w:r w:rsidR="00EE4FC3">
        <w:t xml:space="preserve"> </w:t>
      </w:r>
      <w:r w:rsidRPr="00382917">
        <w:t>Book</w:t>
      </w:r>
      <w:r w:rsidR="00EE4FC3">
        <w:t xml:space="preserve"> </w:t>
      </w:r>
      <w:r w:rsidRPr="00382917">
        <w:t>of</w:t>
      </w:r>
      <w:r w:rsidR="00EE4FC3">
        <w:t xml:space="preserve"> </w:t>
      </w:r>
      <w:r w:rsidRPr="00382917">
        <w:t>Micah</w:t>
      </w:r>
      <w:r w:rsidR="00F267E4">
        <w:t>.</w:t>
      </w:r>
      <w:r w:rsidR="00EE4FC3">
        <w:t xml:space="preserve">  </w:t>
      </w:r>
      <w:r w:rsidRPr="00382917">
        <w:t>Micah</w:t>
      </w:r>
      <w:r w:rsidR="00EE4FC3">
        <w:t xml:space="preserve"> </w:t>
      </w:r>
      <w:r w:rsidRPr="00382917">
        <w:t>foretold</w:t>
      </w:r>
      <w:r w:rsidR="00C03C91">
        <w:t>:</w:t>
      </w:r>
      <w:r w:rsidR="00EE4FC3">
        <w:t xml:space="preserve">  </w:t>
      </w:r>
      <w:r w:rsidRPr="00382917">
        <w:t>first,</w:t>
      </w:r>
      <w:r w:rsidR="00EE4FC3">
        <w:t xml:space="preserve"> </w:t>
      </w:r>
      <w:r w:rsidRPr="00382917">
        <w:t>that</w:t>
      </w:r>
      <w:r w:rsidR="00EE4FC3">
        <w:t xml:space="preserve"> </w:t>
      </w:r>
      <w:r w:rsidRPr="00382917">
        <w:t>the</w:t>
      </w:r>
      <w:r w:rsidR="00EE4FC3">
        <w:t xml:space="preserve"> </w:t>
      </w:r>
      <w:r w:rsidRPr="00382917">
        <w:t>world</w:t>
      </w:r>
      <w:r w:rsidR="00EE4FC3">
        <w:t xml:space="preserve"> </w:t>
      </w:r>
      <w:r w:rsidRPr="00382917">
        <w:t>would</w:t>
      </w:r>
      <w:r w:rsidR="00EE4FC3">
        <w:t xml:space="preserve"> </w:t>
      </w:r>
      <w:r w:rsidRPr="00382917">
        <w:t>be</w:t>
      </w:r>
      <w:r w:rsidR="00EE4FC3">
        <w:t xml:space="preserve"> </w:t>
      </w:r>
      <w:r w:rsidRPr="00382917">
        <w:t>disillusioned</w:t>
      </w:r>
      <w:r w:rsidR="00EE4FC3">
        <w:t xml:space="preserve"> </w:t>
      </w:r>
      <w:r w:rsidRPr="00382917">
        <w:t>in</w:t>
      </w:r>
      <w:r w:rsidR="00EE4FC3">
        <w:t xml:space="preserve"> </w:t>
      </w:r>
      <w:r w:rsidRPr="00382917">
        <w:t>that</w:t>
      </w:r>
      <w:r w:rsidR="00EE4FC3">
        <w:t xml:space="preserve"> </w:t>
      </w:r>
      <w:r w:rsidRPr="00382917">
        <w:t>day,</w:t>
      </w:r>
      <w:r w:rsidR="00EE4FC3">
        <w:t xml:space="preserve"> </w:t>
      </w:r>
      <w:r w:rsidRPr="00382917">
        <w:t>and</w:t>
      </w:r>
      <w:r w:rsidR="00EE4FC3">
        <w:t xml:space="preserve"> </w:t>
      </w:r>
      <w:r w:rsidRPr="00382917">
        <w:t>that</w:t>
      </w:r>
      <w:r w:rsidR="00EE4FC3">
        <w:t xml:space="preserve"> </w:t>
      </w:r>
      <w:r w:rsidRPr="00382917">
        <w:t>its</w:t>
      </w:r>
      <w:r w:rsidR="00EE4FC3">
        <w:t xml:space="preserve"> </w:t>
      </w:r>
      <w:r w:rsidRPr="00382917">
        <w:t>only</w:t>
      </w:r>
      <w:r w:rsidR="00EE4FC3">
        <w:t xml:space="preserve"> </w:t>
      </w:r>
      <w:r w:rsidRPr="00382917">
        <w:t>hope</w:t>
      </w:r>
      <w:r w:rsidR="00EE4FC3">
        <w:t xml:space="preserve"> </w:t>
      </w:r>
      <w:r w:rsidRPr="00382917">
        <w:t>would</w:t>
      </w:r>
      <w:r w:rsidR="00EE4FC3">
        <w:t xml:space="preserve"> </w:t>
      </w:r>
      <w:r w:rsidRPr="00382917">
        <w:t>be</w:t>
      </w:r>
      <w:r w:rsidR="00EE4FC3">
        <w:t xml:space="preserve"> </w:t>
      </w:r>
      <w:r w:rsidRPr="00382917">
        <w:t>to</w:t>
      </w:r>
      <w:r w:rsidR="00EE4FC3">
        <w:t xml:space="preserve"> </w:t>
      </w:r>
      <w:r w:rsidRPr="00382917">
        <w:t>await</w:t>
      </w:r>
      <w:r w:rsidR="00EE4FC3">
        <w:t xml:space="preserve"> </w:t>
      </w:r>
      <w:r w:rsidRPr="00382917">
        <w:t>the</w:t>
      </w:r>
      <w:r w:rsidR="00EE4FC3">
        <w:t xml:space="preserve"> </w:t>
      </w:r>
      <w:r w:rsidRPr="00382917">
        <w:t>coming</w:t>
      </w:r>
      <w:r w:rsidR="00EE4FC3">
        <w:t xml:space="preserve"> </w:t>
      </w:r>
      <w:r w:rsidRPr="00382917">
        <w:t>of</w:t>
      </w:r>
      <w:r w:rsidR="00EE4FC3">
        <w:t xml:space="preserve"> </w:t>
      </w:r>
      <w:r w:rsidRPr="00382917">
        <w:t>God</w:t>
      </w:r>
      <w:r w:rsidR="009C713D" w:rsidRPr="00382917">
        <w:t>’</w:t>
      </w:r>
      <w:r w:rsidRPr="00382917">
        <w:t>s</w:t>
      </w:r>
      <w:r w:rsidR="00EE4FC3">
        <w:t xml:space="preserve"> </w:t>
      </w:r>
      <w:r w:rsidRPr="00382917">
        <w:t>Messenger;</w:t>
      </w:r>
      <w:r w:rsidR="00EE4FC3">
        <w:t xml:space="preserve"> </w:t>
      </w:r>
      <w:r w:rsidRPr="00382917">
        <w:t>second,</w:t>
      </w:r>
      <w:r w:rsidR="00EE4FC3">
        <w:t xml:space="preserve"> </w:t>
      </w:r>
      <w:r w:rsidRPr="00382917">
        <w:t>that</w:t>
      </w:r>
      <w:r w:rsidR="00EE4FC3">
        <w:t xml:space="preserve"> </w:t>
      </w:r>
      <w:r w:rsidRPr="00382917">
        <w:t>He</w:t>
      </w:r>
      <w:r w:rsidR="00EE4FC3">
        <w:t xml:space="preserve"> </w:t>
      </w:r>
      <w:r w:rsidRPr="00382917">
        <w:t>would</w:t>
      </w:r>
      <w:r w:rsidR="00EE4FC3">
        <w:t xml:space="preserve"> </w:t>
      </w:r>
      <w:r w:rsidRPr="00382917">
        <w:t>come</w:t>
      </w:r>
      <w:r w:rsidR="00EE4FC3">
        <w:t xml:space="preserve"> </w:t>
      </w:r>
      <w:r w:rsidRPr="00382917">
        <w:t>from</w:t>
      </w:r>
      <w:r w:rsidR="00EE4FC3">
        <w:t xml:space="preserve"> </w:t>
      </w:r>
      <w:r w:rsidRPr="00382917">
        <w:t>Babylon</w:t>
      </w:r>
      <w:r w:rsidR="00EE4FC3">
        <w:t xml:space="preserve"> </w:t>
      </w:r>
      <w:r w:rsidRPr="00382917">
        <w:t>in</w:t>
      </w:r>
      <w:r w:rsidR="00EE4FC3">
        <w:t xml:space="preserve"> </w:t>
      </w:r>
      <w:r w:rsidRPr="00382917">
        <w:t>the</w:t>
      </w:r>
      <w:r w:rsidR="00EE4FC3">
        <w:t xml:space="preserve"> </w:t>
      </w:r>
      <w:r w:rsidRPr="00382917">
        <w:t>valley</w:t>
      </w:r>
      <w:r w:rsidR="00EE4FC3">
        <w:t xml:space="preserve"> </w:t>
      </w:r>
      <w:r w:rsidRPr="00382917">
        <w:t>of</w:t>
      </w:r>
      <w:r w:rsidR="00EE4FC3">
        <w:t xml:space="preserve"> </w:t>
      </w:r>
      <w:r w:rsidRPr="00382917">
        <w:t>the</w:t>
      </w:r>
      <w:r w:rsidR="00EE4FC3">
        <w:t xml:space="preserve"> </w:t>
      </w:r>
      <w:r w:rsidRPr="00382917">
        <w:t>Tigris</w:t>
      </w:r>
      <w:r w:rsidR="00EE4FC3">
        <w:t xml:space="preserve"> </w:t>
      </w:r>
      <w:r w:rsidRPr="00382917">
        <w:t>and</w:t>
      </w:r>
      <w:r w:rsidR="00EE4FC3">
        <w:t xml:space="preserve"> </w:t>
      </w:r>
      <w:r w:rsidRPr="00382917">
        <w:t>Euphrates;</w:t>
      </w:r>
      <w:r w:rsidR="00EE4FC3">
        <w:t xml:space="preserve"> </w:t>
      </w:r>
      <w:r w:rsidRPr="00382917">
        <w:t>third,</w:t>
      </w:r>
      <w:r w:rsidR="00EE4FC3">
        <w:t xml:space="preserve"> </w:t>
      </w:r>
      <w:r w:rsidRPr="00382917">
        <w:t>that</w:t>
      </w:r>
      <w:r w:rsidR="00EE4FC3">
        <w:t xml:space="preserve"> </w:t>
      </w:r>
      <w:r w:rsidRPr="00382917">
        <w:t>He</w:t>
      </w:r>
      <w:r w:rsidR="00EE4FC3">
        <w:t xml:space="preserve"> </w:t>
      </w:r>
      <w:r w:rsidRPr="00382917">
        <w:t>would</w:t>
      </w:r>
      <w:r w:rsidR="00EE4FC3">
        <w:t xml:space="preserve"> </w:t>
      </w:r>
      <w:r w:rsidRPr="00382917">
        <w:t>come</w:t>
      </w:r>
      <w:r w:rsidR="00EE4FC3">
        <w:t xml:space="preserve"> </w:t>
      </w:r>
      <w:r w:rsidRPr="00382917">
        <w:t>to</w:t>
      </w:r>
      <w:r w:rsidR="00EE4FC3">
        <w:t xml:space="preserve"> </w:t>
      </w:r>
      <w:r w:rsidRPr="00382917">
        <w:t>Israel</w:t>
      </w:r>
      <w:r w:rsidR="00EE4FC3">
        <w:t xml:space="preserve"> </w:t>
      </w:r>
      <w:r w:rsidRPr="00382917">
        <w:t>and</w:t>
      </w:r>
      <w:r w:rsidR="00EE4FC3">
        <w:t xml:space="preserve"> </w:t>
      </w:r>
      <w:r w:rsidRPr="00382917">
        <w:t>dwell</w:t>
      </w:r>
      <w:r w:rsidR="00EE4FC3">
        <w:t xml:space="preserve"> </w:t>
      </w:r>
      <w:r w:rsidRPr="00382917">
        <w:t>in</w:t>
      </w:r>
      <w:r w:rsidR="00EE4FC3">
        <w:t xml:space="preserve"> </w:t>
      </w:r>
      <w:r w:rsidRPr="00382917">
        <w:t>the</w:t>
      </w:r>
      <w:r w:rsidR="00EE4FC3">
        <w:t xml:space="preserve"> </w:t>
      </w:r>
      <w:r w:rsidRPr="00382917">
        <w:t>midst</w:t>
      </w:r>
      <w:r w:rsidR="00EE4FC3">
        <w:t xml:space="preserve"> </w:t>
      </w:r>
      <w:r w:rsidRPr="00382917">
        <w:t>of</w:t>
      </w:r>
      <w:r w:rsidR="00EE4FC3">
        <w:t xml:space="preserve"> </w:t>
      </w:r>
      <w:r w:rsidRPr="00382917">
        <w:t>Carmel;</w:t>
      </w:r>
      <w:r w:rsidR="00EE4FC3">
        <w:t xml:space="preserve"> </w:t>
      </w:r>
      <w:r w:rsidRPr="00382917">
        <w:t>and</w:t>
      </w:r>
      <w:r w:rsidR="00EE4FC3">
        <w:t xml:space="preserve"> </w:t>
      </w:r>
      <w:r w:rsidRPr="00382917">
        <w:t>fourth,</w:t>
      </w:r>
      <w:r w:rsidR="00EE4FC3">
        <w:t xml:space="preserve"> </w:t>
      </w:r>
      <w:r w:rsidRPr="00382917">
        <w:t>that</w:t>
      </w:r>
      <w:r w:rsidR="00EE4FC3">
        <w:t xml:space="preserve"> </w:t>
      </w:r>
      <w:r w:rsidRPr="00382917">
        <w:t>He</w:t>
      </w:r>
      <w:r w:rsidR="00EE4FC3">
        <w:t xml:space="preserve"> </w:t>
      </w:r>
      <w:r w:rsidRPr="00382917">
        <w:t>would</w:t>
      </w:r>
      <w:r w:rsidR="00EE4FC3">
        <w:t xml:space="preserve"> </w:t>
      </w:r>
      <w:proofErr w:type="spellStart"/>
      <w:r w:rsidRPr="00382917">
        <w:t>fulfill</w:t>
      </w:r>
      <w:proofErr w:type="spellEnd"/>
      <w:r w:rsidR="00EE4FC3">
        <w:t xml:space="preserve"> </w:t>
      </w:r>
      <w:r w:rsidRPr="00382917">
        <w:t>specific</w:t>
      </w:r>
      <w:r w:rsidR="00EE4FC3">
        <w:t xml:space="preserve"> </w:t>
      </w:r>
      <w:r w:rsidRPr="00382917">
        <w:t>prophecies</w:t>
      </w:r>
      <w:r w:rsidR="00EE4FC3">
        <w:t xml:space="preserve"> </w:t>
      </w:r>
      <w:r w:rsidRPr="00382917">
        <w:t>on</w:t>
      </w:r>
      <w:r w:rsidR="00EE4FC3">
        <w:t xml:space="preserve"> </w:t>
      </w:r>
      <w:r w:rsidRPr="00382917">
        <w:t>His</w:t>
      </w:r>
      <w:r w:rsidR="00EE4FC3">
        <w:t xml:space="preserve"> </w:t>
      </w:r>
      <w:r w:rsidRPr="00382917">
        <w:t>journey</w:t>
      </w:r>
      <w:r w:rsidR="00EE4FC3">
        <w:t xml:space="preserve"> </w:t>
      </w:r>
      <w:r w:rsidRPr="00382917">
        <w:t>to</w:t>
      </w:r>
      <w:r w:rsidR="00EE4FC3">
        <w:t xml:space="preserve"> </w:t>
      </w:r>
      <w:r w:rsidRPr="00382917">
        <w:t>the</w:t>
      </w:r>
      <w:r w:rsidR="00EE4FC3">
        <w:t xml:space="preserve"> </w:t>
      </w:r>
      <w:r w:rsidRPr="00382917">
        <w:t>Holy</w:t>
      </w:r>
      <w:r w:rsidR="00EE4FC3">
        <w:t xml:space="preserve"> </w:t>
      </w:r>
      <w:r w:rsidRPr="00382917">
        <w:t>Land.</w:t>
      </w:r>
    </w:p>
    <w:p w:rsidR="00B568B6" w:rsidRPr="00382917" w:rsidRDefault="00B568B6" w:rsidP="00B568B6">
      <w:pPr>
        <w:pStyle w:val="Text"/>
      </w:pPr>
      <w:r w:rsidRPr="00382917">
        <w:t>Of</w:t>
      </w:r>
      <w:r w:rsidR="00EE4FC3">
        <w:t xml:space="preserve"> </w:t>
      </w:r>
      <w:r w:rsidRPr="00382917">
        <w:t>the</w:t>
      </w:r>
      <w:r w:rsidR="00EE4FC3">
        <w:t xml:space="preserve"> </w:t>
      </w:r>
      <w:r w:rsidRPr="00382917">
        <w:t>condition</w:t>
      </w:r>
      <w:r w:rsidR="00EE4FC3">
        <w:t xml:space="preserve"> </w:t>
      </w:r>
      <w:r w:rsidRPr="00382917">
        <w:t>of</w:t>
      </w:r>
      <w:r w:rsidR="00EE4FC3">
        <w:t xml:space="preserve"> </w:t>
      </w:r>
      <w:r w:rsidRPr="00382917">
        <w:t>the</w:t>
      </w:r>
      <w:r w:rsidR="00EE4FC3">
        <w:t xml:space="preserve"> </w:t>
      </w:r>
      <w:r w:rsidRPr="00382917">
        <w:t>world,</w:t>
      </w:r>
      <w:r w:rsidR="00EE4FC3">
        <w:t xml:space="preserve"> </w:t>
      </w:r>
      <w:r w:rsidRPr="00382917">
        <w:t>Micah</w:t>
      </w:r>
      <w:r w:rsidR="00EE4FC3">
        <w:t xml:space="preserve"> </w:t>
      </w:r>
      <w:r w:rsidRPr="00382917">
        <w:t>said:</w:t>
      </w:r>
    </w:p>
    <w:p w:rsidR="00B568B6" w:rsidRPr="00382917" w:rsidRDefault="009C713D" w:rsidP="00123017">
      <w:pPr>
        <w:pStyle w:val="Quote"/>
      </w:pPr>
      <w:r w:rsidRPr="00382917">
        <w:t>“</w:t>
      </w:r>
      <w:r w:rsidR="00B568B6" w:rsidRPr="00382917">
        <w:t>The</w:t>
      </w:r>
      <w:r w:rsidR="00EE4FC3">
        <w:t xml:space="preserve"> </w:t>
      </w:r>
      <w:r w:rsidR="00B568B6" w:rsidRPr="00382917">
        <w:t>good</w:t>
      </w:r>
      <w:r w:rsidR="00EE4FC3">
        <w:t xml:space="preserve"> </w:t>
      </w:r>
      <w:r w:rsidR="00B568B6" w:rsidRPr="00382917">
        <w:t>man</w:t>
      </w:r>
      <w:r w:rsidR="00EE4FC3">
        <w:t xml:space="preserve"> </w:t>
      </w:r>
      <w:r w:rsidR="00B568B6" w:rsidRPr="00382917">
        <w:t>is</w:t>
      </w:r>
      <w:r w:rsidR="00EE4FC3">
        <w:t xml:space="preserve"> </w:t>
      </w:r>
      <w:r w:rsidR="00B568B6" w:rsidRPr="00382917">
        <w:t>perished</w:t>
      </w:r>
      <w:r w:rsidR="00EE4FC3">
        <w:t xml:space="preserve"> </w:t>
      </w:r>
      <w:r w:rsidR="00B568B6" w:rsidRPr="00382917">
        <w:t>out</w:t>
      </w:r>
      <w:r w:rsidR="00EE4FC3">
        <w:t xml:space="preserve"> </w:t>
      </w:r>
      <w:r w:rsidR="00B568B6" w:rsidRPr="00382917">
        <w:t>of</w:t>
      </w:r>
      <w:r w:rsidR="00EE4FC3">
        <w:t xml:space="preserve"> </w:t>
      </w:r>
      <w:r w:rsidR="00B568B6" w:rsidRPr="00382917">
        <w:t>the</w:t>
      </w:r>
      <w:r w:rsidR="00EE4FC3">
        <w:t xml:space="preserve"> </w:t>
      </w:r>
      <w:r w:rsidR="00B568B6" w:rsidRPr="00382917">
        <w:t>earth;</w:t>
      </w:r>
      <w:r w:rsidR="00EE4FC3">
        <w:t xml:space="preserve"> </w:t>
      </w:r>
      <w:r w:rsidR="00B568B6" w:rsidRPr="00382917">
        <w:t>and</w:t>
      </w:r>
      <w:r w:rsidR="00EE4FC3">
        <w:t xml:space="preserve"> </w:t>
      </w:r>
      <w:r w:rsidR="00B568B6" w:rsidRPr="00382917">
        <w:t>there</w:t>
      </w:r>
      <w:r w:rsidR="00EE4FC3">
        <w:t xml:space="preserve"> </w:t>
      </w:r>
      <w:r w:rsidR="00B568B6" w:rsidRPr="00382917">
        <w:t>is</w:t>
      </w:r>
      <w:r w:rsidR="00EE4FC3">
        <w:t xml:space="preserve"> </w:t>
      </w:r>
      <w:r w:rsidR="00B568B6" w:rsidRPr="00382917">
        <w:t>none</w:t>
      </w:r>
      <w:r w:rsidR="00EE4FC3">
        <w:t xml:space="preserve"> </w:t>
      </w:r>
      <w:r w:rsidR="00B568B6" w:rsidRPr="00382917">
        <w:t>upright</w:t>
      </w:r>
      <w:r w:rsidR="00EE4FC3">
        <w:t xml:space="preserve"> </w:t>
      </w:r>
      <w:r w:rsidR="00B568B6" w:rsidRPr="00382917">
        <w:t>among</w:t>
      </w:r>
      <w:r w:rsidR="00EE4FC3">
        <w:t xml:space="preserve"> </w:t>
      </w:r>
      <w:r w:rsidR="00B568B6" w:rsidRPr="00382917">
        <w:t>them</w:t>
      </w:r>
      <w:r w:rsidR="00C03C91">
        <w:t>:</w:t>
      </w:r>
      <w:r w:rsidR="00EE4FC3">
        <w:t xml:space="preserve">  </w:t>
      </w:r>
      <w:r w:rsidR="00B568B6" w:rsidRPr="00382917">
        <w:t>they</w:t>
      </w:r>
      <w:r w:rsidR="00EE4FC3">
        <w:t xml:space="preserve"> </w:t>
      </w:r>
      <w:r w:rsidR="00B568B6" w:rsidRPr="00382917">
        <w:t>all</w:t>
      </w:r>
      <w:r w:rsidR="00EE4FC3">
        <w:t xml:space="preserve"> </w:t>
      </w:r>
      <w:r w:rsidR="00B568B6" w:rsidRPr="00382917">
        <w:t>lie</w:t>
      </w:r>
      <w:r w:rsidR="00EE4FC3">
        <w:t xml:space="preserve"> </w:t>
      </w:r>
      <w:r w:rsidR="00B568B6" w:rsidRPr="00382917">
        <w:t>in</w:t>
      </w:r>
      <w:r w:rsidR="00EE4FC3">
        <w:t xml:space="preserve"> </w:t>
      </w:r>
      <w:r w:rsidR="00B568B6" w:rsidRPr="00382917">
        <w:t>wait</w:t>
      </w:r>
      <w:r w:rsidR="00EE4FC3">
        <w:t xml:space="preserve"> </w:t>
      </w:r>
      <w:r w:rsidR="00B568B6" w:rsidRPr="00382917">
        <w:t>for</w:t>
      </w:r>
      <w:r w:rsidR="00EE4FC3">
        <w:t xml:space="preserve"> </w:t>
      </w:r>
      <w:r w:rsidR="00B568B6" w:rsidRPr="00382917">
        <w:t>blood;</w:t>
      </w:r>
      <w:r w:rsidR="00EE4FC3">
        <w:t xml:space="preserve"> </w:t>
      </w:r>
      <w:r w:rsidR="00B568B6" w:rsidRPr="00382917">
        <w:t>they</w:t>
      </w:r>
      <w:r w:rsidR="00EE4FC3">
        <w:t xml:space="preserve"> </w:t>
      </w:r>
      <w:r w:rsidR="00B568B6" w:rsidRPr="00382917">
        <w:t>hunt</w:t>
      </w:r>
      <w:r w:rsidR="00EE4FC3">
        <w:t xml:space="preserve"> </w:t>
      </w:r>
      <w:r w:rsidR="00B568B6" w:rsidRPr="00382917">
        <w:t>every</w:t>
      </w:r>
      <w:r w:rsidR="00EE4FC3">
        <w:t xml:space="preserve"> </w:t>
      </w:r>
      <w:r w:rsidR="00B568B6" w:rsidRPr="00382917">
        <w:t>man</w:t>
      </w:r>
      <w:r w:rsidR="00EE4FC3">
        <w:t xml:space="preserve"> </w:t>
      </w:r>
      <w:r w:rsidR="00B568B6" w:rsidRPr="00382917">
        <w:t>his</w:t>
      </w:r>
      <w:r w:rsidR="00EE4FC3">
        <w:t xml:space="preserve"> </w:t>
      </w:r>
      <w:r w:rsidR="00B568B6" w:rsidRPr="00382917">
        <w:t>brother</w:t>
      </w:r>
      <w:r w:rsidR="00EE4FC3">
        <w:t xml:space="preserve"> </w:t>
      </w:r>
      <w:r w:rsidR="00B568B6" w:rsidRPr="00382917">
        <w:t>with</w:t>
      </w:r>
      <w:r w:rsidR="00EE4FC3">
        <w:t xml:space="preserve"> </w:t>
      </w:r>
      <w:r w:rsidR="00B568B6" w:rsidRPr="00382917">
        <w:t>a</w:t>
      </w:r>
      <w:r w:rsidR="00EE4FC3">
        <w:t xml:space="preserve"> </w:t>
      </w:r>
      <w:r w:rsidR="00B568B6" w:rsidRPr="00382917">
        <w:t>net</w:t>
      </w:r>
      <w:proofErr w:type="gramStart"/>
      <w:r w:rsidR="00FC417A">
        <w:t>.</w:t>
      </w:r>
      <w:r w:rsidR="00EE4FC3">
        <w:t xml:space="preserve"> </w:t>
      </w:r>
      <w:r w:rsidR="00F04416" w:rsidRPr="00382917">
        <w:t>…</w:t>
      </w:r>
      <w:r w:rsidR="00EE4FC3">
        <w:t xml:space="preserve"> </w:t>
      </w:r>
      <w:r w:rsidR="00FC417A">
        <w:t xml:space="preserve"> </w:t>
      </w:r>
      <w:r w:rsidR="00B568B6" w:rsidRPr="00382917">
        <w:t>they</w:t>
      </w:r>
      <w:proofErr w:type="gramEnd"/>
      <w:r w:rsidR="00EE4FC3">
        <w:t xml:space="preserve"> </w:t>
      </w:r>
      <w:r w:rsidR="00B568B6" w:rsidRPr="00382917">
        <w:t>do</w:t>
      </w:r>
      <w:r w:rsidR="00EE4FC3">
        <w:t xml:space="preserve"> </w:t>
      </w:r>
      <w:r w:rsidR="00B568B6" w:rsidRPr="00382917">
        <w:t>evil</w:t>
      </w:r>
      <w:r w:rsidR="00EE4FC3">
        <w:t xml:space="preserve"> </w:t>
      </w:r>
      <w:r w:rsidR="00B568B6" w:rsidRPr="00382917">
        <w:t>with</w:t>
      </w:r>
      <w:r w:rsidR="00EE4FC3">
        <w:t xml:space="preserve"> </w:t>
      </w:r>
      <w:r w:rsidR="00B568B6" w:rsidRPr="00382917">
        <w:t>both</w:t>
      </w:r>
      <w:r w:rsidR="00EE4FC3">
        <w:t xml:space="preserve"> </w:t>
      </w:r>
      <w:r w:rsidR="00B568B6" w:rsidRPr="00382917">
        <w:t>hands</w:t>
      </w:r>
      <w:r w:rsidR="00FC417A">
        <w:t xml:space="preserve"> </w:t>
      </w:r>
      <w:r w:rsidR="00F04416" w:rsidRPr="00382917">
        <w:t>…</w:t>
      </w:r>
      <w:r w:rsidR="00F267E4">
        <w:t>.</w:t>
      </w:r>
      <w:r w:rsidR="00EE4FC3">
        <w:t xml:space="preserve">  </w:t>
      </w:r>
      <w:proofErr w:type="gramStart"/>
      <w:r w:rsidR="00B568B6" w:rsidRPr="00382917">
        <w:t>the</w:t>
      </w:r>
      <w:proofErr w:type="gramEnd"/>
      <w:r w:rsidR="00EE4FC3">
        <w:t xml:space="preserve"> </w:t>
      </w:r>
      <w:r w:rsidR="00B568B6" w:rsidRPr="00382917">
        <w:t>best</w:t>
      </w:r>
      <w:r w:rsidR="00EE4FC3">
        <w:t xml:space="preserve"> </w:t>
      </w:r>
      <w:r w:rsidR="00B568B6" w:rsidRPr="00382917">
        <w:t>of</w:t>
      </w:r>
      <w:r w:rsidR="00EE4FC3">
        <w:t xml:space="preserve"> </w:t>
      </w:r>
      <w:r w:rsidR="00B568B6" w:rsidRPr="00382917">
        <w:t>them</w:t>
      </w:r>
      <w:r w:rsidR="00EE4FC3">
        <w:t xml:space="preserve"> </w:t>
      </w:r>
      <w:r w:rsidR="00B568B6" w:rsidRPr="00382917">
        <w:t>is</w:t>
      </w:r>
      <w:r w:rsidR="00EE4FC3">
        <w:t xml:space="preserve"> </w:t>
      </w:r>
      <w:r w:rsidR="00B568B6" w:rsidRPr="00382917">
        <w:t>a</w:t>
      </w:r>
      <w:r w:rsidR="00EE4FC3">
        <w:t xml:space="preserve"> </w:t>
      </w:r>
      <w:r w:rsidR="00B568B6" w:rsidRPr="00382917">
        <w:t>brier;</w:t>
      </w:r>
      <w:r w:rsidR="00EE4FC3">
        <w:t xml:space="preserve"> </w:t>
      </w:r>
      <w:r w:rsidR="00B568B6" w:rsidRPr="00382917">
        <w:t>the</w:t>
      </w:r>
      <w:r w:rsidR="00EE4FC3">
        <w:t xml:space="preserve"> </w:t>
      </w:r>
      <w:r w:rsidR="00B568B6" w:rsidRPr="00382917">
        <w:t>most</w:t>
      </w:r>
      <w:r w:rsidR="00EE4FC3">
        <w:t xml:space="preserve"> </w:t>
      </w:r>
      <w:r w:rsidR="00B568B6" w:rsidRPr="00382917">
        <w:t>upright</w:t>
      </w:r>
      <w:r w:rsidR="00EE4FC3">
        <w:t xml:space="preserve"> </w:t>
      </w:r>
      <w:r w:rsidR="00B568B6" w:rsidRPr="00382917">
        <w:t>is</w:t>
      </w:r>
      <w:r w:rsidR="00EE4FC3">
        <w:t xml:space="preserve"> </w:t>
      </w:r>
      <w:r w:rsidR="00B568B6" w:rsidRPr="00382917">
        <w:t>sharper</w:t>
      </w:r>
      <w:r w:rsidR="00EE4FC3">
        <w:t xml:space="preserve"> </w:t>
      </w:r>
      <w:r w:rsidR="00B568B6" w:rsidRPr="00382917">
        <w:t>than</w:t>
      </w:r>
      <w:r w:rsidR="00EE4FC3">
        <w:t xml:space="preserve"> </w:t>
      </w:r>
      <w:r w:rsidR="00B568B6" w:rsidRPr="00382917">
        <w:t>a</w:t>
      </w:r>
      <w:r w:rsidR="00EE4FC3">
        <w:t xml:space="preserve"> </w:t>
      </w:r>
      <w:r w:rsidR="00B568B6" w:rsidRPr="00382917">
        <w:t>thorn</w:t>
      </w:r>
      <w:r w:rsidR="00EE4FC3">
        <w:t xml:space="preserve"> </w:t>
      </w:r>
      <w:r w:rsidR="00B568B6" w:rsidRPr="00382917">
        <w:t>hedge</w:t>
      </w:r>
      <w:r w:rsidR="00FC417A">
        <w:t xml:space="preserve"> </w:t>
      </w:r>
      <w:r w:rsidR="00F04416" w:rsidRPr="00382917">
        <w:t>…</w:t>
      </w:r>
      <w:r w:rsidR="00B568B6" w:rsidRPr="00382917">
        <w:t>.</w:t>
      </w:r>
      <w:r w:rsidRPr="00382917">
        <w:t>”</w:t>
      </w:r>
      <w:r w:rsidR="00123017">
        <w:rPr>
          <w:rStyle w:val="FootnoteReference"/>
        </w:rPr>
        <w:footnoteReference w:id="372"/>
      </w:r>
    </w:p>
    <w:p w:rsidR="00B568B6" w:rsidRPr="00382917" w:rsidRDefault="00B568B6" w:rsidP="00B568B6">
      <w:pPr>
        <w:pStyle w:val="Text"/>
      </w:pPr>
      <w:r w:rsidRPr="00382917">
        <w:t>That</w:t>
      </w:r>
      <w:r w:rsidR="00EE4FC3">
        <w:t xml:space="preserve"> </w:t>
      </w:r>
      <w:r w:rsidRPr="00382917">
        <w:t>man</w:t>
      </w:r>
      <w:r w:rsidR="009C713D" w:rsidRPr="00382917">
        <w:t>’</w:t>
      </w:r>
      <w:r w:rsidRPr="00382917">
        <w:t>s</w:t>
      </w:r>
      <w:r w:rsidR="00EE4FC3">
        <w:t xml:space="preserve"> </w:t>
      </w:r>
      <w:r w:rsidRPr="00382917">
        <w:t>hope</w:t>
      </w:r>
      <w:r w:rsidR="00EE4FC3">
        <w:t xml:space="preserve"> </w:t>
      </w:r>
      <w:r w:rsidRPr="00382917">
        <w:t>would</w:t>
      </w:r>
      <w:r w:rsidR="00EE4FC3">
        <w:t xml:space="preserve"> </w:t>
      </w:r>
      <w:r w:rsidRPr="00382917">
        <w:t>lie</w:t>
      </w:r>
      <w:r w:rsidR="00EE4FC3">
        <w:t xml:space="preserve"> </w:t>
      </w:r>
      <w:r w:rsidRPr="00382917">
        <w:t>in</w:t>
      </w:r>
      <w:r w:rsidR="00EE4FC3">
        <w:t xml:space="preserve"> </w:t>
      </w:r>
      <w:r w:rsidRPr="00382917">
        <w:t>the</w:t>
      </w:r>
      <w:r w:rsidR="00EE4FC3">
        <w:t xml:space="preserve"> </w:t>
      </w:r>
      <w:r w:rsidRPr="00382917">
        <w:t>coming</w:t>
      </w:r>
      <w:r w:rsidR="00EE4FC3">
        <w:t xml:space="preserve"> </w:t>
      </w:r>
      <w:r w:rsidRPr="00382917">
        <w:t>of</w:t>
      </w:r>
      <w:r w:rsidR="00EE4FC3">
        <w:t xml:space="preserve"> </w:t>
      </w:r>
      <w:r w:rsidRPr="00382917">
        <w:t>God</w:t>
      </w:r>
      <w:r w:rsidR="009C713D" w:rsidRPr="00382917">
        <w:t>’</w:t>
      </w:r>
      <w:r w:rsidRPr="00382917">
        <w:t>s</w:t>
      </w:r>
      <w:r w:rsidR="00EE4FC3">
        <w:t xml:space="preserve"> </w:t>
      </w:r>
      <w:r w:rsidRPr="00382917">
        <w:t>Messenger,</w:t>
      </w:r>
      <w:r w:rsidR="00EE4FC3">
        <w:t xml:space="preserve"> </w:t>
      </w:r>
      <w:r w:rsidRPr="00382917">
        <w:t>he</w:t>
      </w:r>
      <w:r w:rsidR="00EE4FC3">
        <w:t xml:space="preserve"> </w:t>
      </w:r>
      <w:r w:rsidRPr="00382917">
        <w:t>expressed</w:t>
      </w:r>
      <w:r w:rsidR="00EE4FC3">
        <w:t xml:space="preserve"> </w:t>
      </w:r>
      <w:r w:rsidRPr="00382917">
        <w:t>in</w:t>
      </w:r>
      <w:r w:rsidR="00EE4FC3">
        <w:t xml:space="preserve"> </w:t>
      </w:r>
      <w:r w:rsidRPr="00382917">
        <w:t>these</w:t>
      </w:r>
      <w:r w:rsidR="00EE4FC3">
        <w:t xml:space="preserve"> </w:t>
      </w:r>
      <w:r w:rsidRPr="00382917">
        <w:t>words:</w:t>
      </w:r>
    </w:p>
    <w:p w:rsidR="00B568B6" w:rsidRPr="00382917" w:rsidRDefault="009C713D" w:rsidP="00FC417A">
      <w:pPr>
        <w:pStyle w:val="Quote"/>
      </w:pPr>
      <w:r w:rsidRPr="00382917">
        <w:t>“</w:t>
      </w:r>
      <w:r w:rsidR="00B568B6" w:rsidRPr="00382917">
        <w:t>Therefore</w:t>
      </w:r>
      <w:r w:rsidR="00EE4FC3">
        <w:t xml:space="preserve"> </w:t>
      </w:r>
      <w:r w:rsidR="00B568B6" w:rsidRPr="00382917">
        <w:t>I</w:t>
      </w:r>
      <w:r w:rsidR="00EE4FC3">
        <w:t xml:space="preserve"> </w:t>
      </w:r>
      <w:r w:rsidR="00B568B6" w:rsidRPr="00382917">
        <w:t>will</w:t>
      </w:r>
      <w:r w:rsidR="00EE4FC3">
        <w:t xml:space="preserve"> </w:t>
      </w:r>
      <w:r w:rsidR="00B568B6" w:rsidRPr="00382917">
        <w:t>look</w:t>
      </w:r>
      <w:r w:rsidR="00EE4FC3">
        <w:t xml:space="preserve"> </w:t>
      </w:r>
      <w:r w:rsidR="00B568B6" w:rsidRPr="00382917">
        <w:t>unto</w:t>
      </w:r>
      <w:r w:rsidR="00EE4FC3">
        <w:t xml:space="preserve"> </w:t>
      </w:r>
      <w:r w:rsidR="00B568B6" w:rsidRPr="00382917">
        <w:t>the</w:t>
      </w:r>
      <w:r w:rsidR="00EE4FC3">
        <w:t xml:space="preserve"> </w:t>
      </w:r>
      <w:r w:rsidR="00B568B6" w:rsidRPr="00382917">
        <w:t>Lord;</w:t>
      </w:r>
      <w:r w:rsidR="00EE4FC3">
        <w:t xml:space="preserve"> </w:t>
      </w:r>
      <w:r w:rsidR="00B568B6" w:rsidRPr="00382917">
        <w:t>I</w:t>
      </w:r>
      <w:r w:rsidR="00EE4FC3">
        <w:t xml:space="preserve"> </w:t>
      </w:r>
      <w:r w:rsidR="00B568B6" w:rsidRPr="00382917">
        <w:t>will</w:t>
      </w:r>
      <w:r w:rsidR="00EE4FC3">
        <w:t xml:space="preserve"> </w:t>
      </w:r>
      <w:r w:rsidR="00B568B6" w:rsidRPr="00382917">
        <w:t>wait</w:t>
      </w:r>
      <w:r w:rsidR="00EE4FC3">
        <w:t xml:space="preserve"> </w:t>
      </w:r>
      <w:r w:rsidR="00B568B6" w:rsidRPr="00382917">
        <w:t>for</w:t>
      </w:r>
      <w:r w:rsidR="00EE4FC3">
        <w:t xml:space="preserve"> </w:t>
      </w:r>
      <w:r w:rsidR="00B568B6" w:rsidRPr="00382917">
        <w:t>the</w:t>
      </w:r>
      <w:r w:rsidR="00EE4FC3">
        <w:t xml:space="preserve"> </w:t>
      </w:r>
      <w:r w:rsidR="00B568B6" w:rsidRPr="00382917">
        <w:t>God</w:t>
      </w:r>
      <w:r w:rsidR="00EE4FC3">
        <w:t xml:space="preserve"> </w:t>
      </w:r>
      <w:r w:rsidR="00B568B6" w:rsidRPr="00382917">
        <w:t>of</w:t>
      </w:r>
      <w:r w:rsidR="00EE4FC3">
        <w:t xml:space="preserve"> </w:t>
      </w:r>
      <w:r w:rsidR="00B568B6" w:rsidRPr="00382917">
        <w:t>my</w:t>
      </w:r>
      <w:r w:rsidR="00EE4FC3">
        <w:t xml:space="preserve"> </w:t>
      </w:r>
      <w:r w:rsidR="00B568B6" w:rsidRPr="00382917">
        <w:t>salvation</w:t>
      </w:r>
      <w:r w:rsidR="00C03C91">
        <w:t>:</w:t>
      </w:r>
      <w:r w:rsidR="00EE4FC3">
        <w:t xml:space="preserve">  </w:t>
      </w:r>
      <w:r w:rsidR="00B568B6" w:rsidRPr="00382917">
        <w:t>my</w:t>
      </w:r>
      <w:r w:rsidR="00EE4FC3">
        <w:t xml:space="preserve"> </w:t>
      </w:r>
      <w:r w:rsidR="00B568B6" w:rsidRPr="00382917">
        <w:t>God</w:t>
      </w:r>
      <w:r w:rsidR="00EE4FC3">
        <w:t xml:space="preserve"> </w:t>
      </w:r>
      <w:r w:rsidR="00B568B6" w:rsidRPr="00382917">
        <w:t>will</w:t>
      </w:r>
      <w:r w:rsidR="00EE4FC3">
        <w:t xml:space="preserve"> </w:t>
      </w:r>
      <w:r w:rsidR="00B568B6" w:rsidRPr="00382917">
        <w:t>hear</w:t>
      </w:r>
      <w:r w:rsidR="00EE4FC3">
        <w:t xml:space="preserve"> </w:t>
      </w:r>
      <w:r w:rsidR="00B568B6" w:rsidRPr="00382917">
        <w:t>me</w:t>
      </w:r>
      <w:proofErr w:type="gramStart"/>
      <w:r w:rsidR="00FC417A">
        <w:t xml:space="preserve">. </w:t>
      </w:r>
      <w:proofErr w:type="gramEnd"/>
      <w:r w:rsidR="00F04416" w:rsidRPr="00382917">
        <w:t>…</w:t>
      </w:r>
      <w:r w:rsidR="00EE4FC3">
        <w:t xml:space="preserve">  </w:t>
      </w:r>
      <w:r w:rsidR="00B568B6" w:rsidRPr="00382917">
        <w:t>Then</w:t>
      </w:r>
      <w:r w:rsidR="00EE4FC3">
        <w:t xml:space="preserve"> </w:t>
      </w:r>
      <w:r w:rsidR="00B568B6" w:rsidRPr="00382917">
        <w:t>she</w:t>
      </w:r>
      <w:r w:rsidR="00EE4FC3">
        <w:t xml:space="preserve"> </w:t>
      </w:r>
      <w:r w:rsidR="00B568B6" w:rsidRPr="00382917">
        <w:t>that</w:t>
      </w:r>
      <w:r w:rsidR="00EE4FC3">
        <w:t xml:space="preserve"> </w:t>
      </w:r>
      <w:r w:rsidR="00B568B6" w:rsidRPr="00382917">
        <w:t>is</w:t>
      </w:r>
      <w:r w:rsidR="00EE4FC3">
        <w:t xml:space="preserve"> </w:t>
      </w:r>
      <w:r w:rsidR="00B568B6" w:rsidRPr="00382917">
        <w:t>my</w:t>
      </w:r>
      <w:r w:rsidR="00EE4FC3">
        <w:t xml:space="preserve"> </w:t>
      </w:r>
      <w:r w:rsidR="00B568B6" w:rsidRPr="00382917">
        <w:t>enemy</w:t>
      </w:r>
      <w:r w:rsidR="00EE4FC3">
        <w:t xml:space="preserve"> </w:t>
      </w:r>
      <w:r w:rsidR="00B568B6" w:rsidRPr="00382917">
        <w:t>shall</w:t>
      </w:r>
      <w:r w:rsidR="00EE4FC3">
        <w:t xml:space="preserve"> </w:t>
      </w:r>
      <w:r w:rsidR="00B568B6" w:rsidRPr="00382917">
        <w:t>see</w:t>
      </w:r>
      <w:r w:rsidR="00EE4FC3">
        <w:t xml:space="preserve"> </w:t>
      </w:r>
      <w:r w:rsidR="00B568B6" w:rsidRPr="00382917">
        <w:t>it,</w:t>
      </w:r>
      <w:r w:rsidR="00EE4FC3">
        <w:t xml:space="preserve"> </w:t>
      </w:r>
      <w:r w:rsidR="00B568B6" w:rsidRPr="00382917">
        <w:t>and</w:t>
      </w:r>
      <w:r w:rsidR="00EE4FC3">
        <w:t xml:space="preserve"> </w:t>
      </w:r>
      <w:r w:rsidR="00B568B6" w:rsidRPr="00382917">
        <w:t>shame</w:t>
      </w:r>
      <w:r w:rsidR="00EE4FC3">
        <w:t xml:space="preserve"> </w:t>
      </w:r>
      <w:r w:rsidR="00B568B6" w:rsidRPr="00382917">
        <w:t>shall</w:t>
      </w:r>
      <w:r w:rsidR="00EE4FC3">
        <w:t xml:space="preserve"> </w:t>
      </w:r>
      <w:r w:rsidR="00B568B6" w:rsidRPr="00382917">
        <w:t>cover</w:t>
      </w:r>
      <w:r w:rsidR="00EE4FC3">
        <w:t xml:space="preserve"> </w:t>
      </w:r>
      <w:r w:rsidR="00B568B6" w:rsidRPr="00382917">
        <w:t>her</w:t>
      </w:r>
      <w:r w:rsidR="00EE4FC3">
        <w:t xml:space="preserve"> </w:t>
      </w:r>
      <w:r w:rsidR="00B568B6" w:rsidRPr="00382917">
        <w:t>which</w:t>
      </w:r>
      <w:r w:rsidR="00EE4FC3">
        <w:t xml:space="preserve"> </w:t>
      </w:r>
      <w:r w:rsidR="00B568B6" w:rsidRPr="00382917">
        <w:t>said</w:t>
      </w:r>
      <w:r w:rsidR="00EE4FC3">
        <w:t xml:space="preserve"> </w:t>
      </w:r>
      <w:r w:rsidR="00B568B6" w:rsidRPr="00382917">
        <w:t>unto</w:t>
      </w:r>
      <w:r w:rsidR="00EE4FC3">
        <w:t xml:space="preserve"> </w:t>
      </w:r>
      <w:r w:rsidR="00B568B6" w:rsidRPr="00382917">
        <w:t>me,</w:t>
      </w:r>
      <w:r w:rsidR="00EE4FC3">
        <w:t xml:space="preserve"> </w:t>
      </w:r>
      <w:r w:rsidR="00B568B6" w:rsidRPr="00382917">
        <w:t>Where</w:t>
      </w:r>
      <w:r w:rsidR="00EE4FC3">
        <w:t xml:space="preserve"> </w:t>
      </w:r>
      <w:r w:rsidR="00B568B6" w:rsidRPr="00382917">
        <w:t>is</w:t>
      </w:r>
      <w:r w:rsidR="00EE4FC3">
        <w:t xml:space="preserve"> </w:t>
      </w:r>
      <w:r w:rsidR="00B568B6" w:rsidRPr="00382917">
        <w:t>the</w:t>
      </w:r>
      <w:r w:rsidR="00EE4FC3">
        <w:t xml:space="preserve"> </w:t>
      </w:r>
      <w:r w:rsidR="00B568B6" w:rsidRPr="00382917">
        <w:t>Lord</w:t>
      </w:r>
      <w:r w:rsidR="00EE4FC3">
        <w:t xml:space="preserve"> </w:t>
      </w:r>
      <w:r w:rsidR="00B568B6" w:rsidRPr="00382917">
        <w:t>thy</w:t>
      </w:r>
      <w:r w:rsidR="00EE4FC3">
        <w:t xml:space="preserve"> </w:t>
      </w:r>
      <w:r w:rsidR="00B568B6" w:rsidRPr="00382917">
        <w:t>God?</w:t>
      </w:r>
      <w:r w:rsidRPr="00382917">
        <w:t>”</w:t>
      </w:r>
      <w:r w:rsidR="00EE4FC3">
        <w:t xml:space="preserve"> </w:t>
      </w:r>
      <w:proofErr w:type="gramStart"/>
      <w:r w:rsidR="00F04416" w:rsidRPr="00382917">
        <w:t>…</w:t>
      </w:r>
      <w:r w:rsidR="00EE4FC3">
        <w:t xml:space="preserve"> </w:t>
      </w:r>
      <w:proofErr w:type="gramEnd"/>
      <w:r w:rsidR="00B568B6" w:rsidRPr="00382917">
        <w:t>He</w:t>
      </w:r>
      <w:r w:rsidR="00EE4FC3">
        <w:t xml:space="preserve"> </w:t>
      </w:r>
      <w:r w:rsidR="00B568B6" w:rsidRPr="00382917">
        <w:t>will</w:t>
      </w:r>
      <w:r w:rsidR="00EE4FC3">
        <w:t xml:space="preserve"> </w:t>
      </w:r>
      <w:r w:rsidR="00B568B6" w:rsidRPr="00382917">
        <w:t>bring</w:t>
      </w:r>
      <w:r w:rsidR="00EE4FC3">
        <w:t xml:space="preserve"> </w:t>
      </w:r>
      <w:r w:rsidR="00B568B6" w:rsidRPr="00382917">
        <w:t>me</w:t>
      </w:r>
      <w:r w:rsidR="00EE4FC3">
        <w:t xml:space="preserve"> </w:t>
      </w:r>
      <w:r w:rsidR="00B568B6" w:rsidRPr="00382917">
        <w:t>forth</w:t>
      </w:r>
      <w:r w:rsidR="00EE4FC3">
        <w:t xml:space="preserve"> </w:t>
      </w:r>
      <w:r w:rsidR="00B568B6" w:rsidRPr="00382917">
        <w:t>to</w:t>
      </w:r>
      <w:r w:rsidR="00EE4FC3">
        <w:t xml:space="preserve"> </w:t>
      </w:r>
      <w:r w:rsidR="00B568B6" w:rsidRPr="00382917">
        <w:t>the</w:t>
      </w:r>
      <w:r w:rsidR="00EE4FC3">
        <w:t xml:space="preserve"> </w:t>
      </w:r>
      <w:r w:rsidR="00B568B6" w:rsidRPr="00382917">
        <w:t>light,</w:t>
      </w:r>
      <w:r w:rsidR="00EE4FC3">
        <w:t xml:space="preserve"> </w:t>
      </w:r>
      <w:r w:rsidR="00B568B6" w:rsidRPr="00382917">
        <w:t>and</w:t>
      </w:r>
      <w:r w:rsidR="00EE4FC3">
        <w:t xml:space="preserve"> </w:t>
      </w:r>
      <w:r w:rsidR="00B568B6" w:rsidRPr="00382917">
        <w:t>I</w:t>
      </w:r>
      <w:r w:rsidR="00EE4FC3">
        <w:t xml:space="preserve"> </w:t>
      </w:r>
      <w:r w:rsidR="00B568B6" w:rsidRPr="00382917">
        <w:t>shall</w:t>
      </w:r>
      <w:r w:rsidR="00EE4FC3">
        <w:t xml:space="preserve"> </w:t>
      </w:r>
      <w:r w:rsidR="00B568B6" w:rsidRPr="00382917">
        <w:t>behold</w:t>
      </w:r>
      <w:r w:rsidR="00EE4FC3">
        <w:t xml:space="preserve"> </w:t>
      </w:r>
      <w:r w:rsidR="00B568B6" w:rsidRPr="00382917">
        <w:t>His</w:t>
      </w:r>
      <w:r w:rsidR="00EE4FC3">
        <w:t xml:space="preserve"> </w:t>
      </w:r>
      <w:r w:rsidR="00B568B6" w:rsidRPr="00382917">
        <w:t>righteousness.</w:t>
      </w:r>
      <w:r w:rsidRPr="00382917">
        <w:t>”</w:t>
      </w:r>
      <w:r w:rsidR="00FC417A">
        <w:rPr>
          <w:rStyle w:val="FootnoteReference"/>
        </w:rPr>
        <w:footnoteReference w:id="373"/>
      </w:r>
    </w:p>
    <w:p w:rsidR="00B568B6" w:rsidRPr="00382917" w:rsidRDefault="00B568B6" w:rsidP="00B568B6">
      <w:pPr>
        <w:pStyle w:val="Text"/>
      </w:pPr>
      <w:r w:rsidRPr="00382917">
        <w:t>Of</w:t>
      </w:r>
      <w:r w:rsidR="00EE4FC3">
        <w:t xml:space="preserve"> </w:t>
      </w:r>
      <w:r w:rsidRPr="00382917">
        <w:t>the</w:t>
      </w:r>
      <w:r w:rsidR="00EE4FC3">
        <w:t xml:space="preserve"> </w:t>
      </w:r>
      <w:r w:rsidRPr="00382917">
        <w:t>birth</w:t>
      </w:r>
      <w:r w:rsidR="00EE4FC3">
        <w:t xml:space="preserve"> </w:t>
      </w:r>
      <w:r w:rsidRPr="00382917">
        <w:t>of</w:t>
      </w:r>
      <w:r w:rsidR="00EE4FC3">
        <w:t xml:space="preserve"> </w:t>
      </w:r>
      <w:r w:rsidRPr="00382917">
        <w:t>the</w:t>
      </w:r>
      <w:r w:rsidR="00EE4FC3">
        <w:t xml:space="preserve"> </w:t>
      </w:r>
      <w:r w:rsidRPr="00382917">
        <w:t>Mission</w:t>
      </w:r>
      <w:r w:rsidR="00EE4FC3">
        <w:t xml:space="preserve"> </w:t>
      </w:r>
      <w:r w:rsidRPr="00382917">
        <w:t>of</w:t>
      </w:r>
      <w:r w:rsidR="00EE4FC3">
        <w:t xml:space="preserve"> </w:t>
      </w:r>
      <w:r w:rsidRPr="00382917">
        <w:t>the</w:t>
      </w:r>
      <w:r w:rsidR="00EE4FC3">
        <w:t xml:space="preserve"> </w:t>
      </w:r>
      <w:r w:rsidRPr="00382917">
        <w:t>Messiah</w:t>
      </w:r>
      <w:r w:rsidR="00EE4FC3">
        <w:t xml:space="preserve"> </w:t>
      </w:r>
      <w:r w:rsidRPr="00382917">
        <w:t>in</w:t>
      </w:r>
      <w:r w:rsidR="00EE4FC3">
        <w:t xml:space="preserve"> </w:t>
      </w:r>
      <w:r w:rsidRPr="00382917">
        <w:t>Babylon,</w:t>
      </w:r>
      <w:r w:rsidR="00EE4FC3">
        <w:t xml:space="preserve"> </w:t>
      </w:r>
      <w:r w:rsidRPr="00382917">
        <w:t>Micah</w:t>
      </w:r>
      <w:r w:rsidR="00EE4FC3">
        <w:t xml:space="preserve"> </w:t>
      </w:r>
      <w:r w:rsidRPr="00382917">
        <w:t>said:</w:t>
      </w:r>
    </w:p>
    <w:p w:rsidR="00B568B6" w:rsidRPr="00382917" w:rsidRDefault="009C713D" w:rsidP="00FC417A">
      <w:pPr>
        <w:pStyle w:val="Quote"/>
      </w:pPr>
      <w:r w:rsidRPr="00382917">
        <w:t>“</w:t>
      </w:r>
      <w:r w:rsidR="00B568B6" w:rsidRPr="00382917">
        <w:t>Be</w:t>
      </w:r>
      <w:r w:rsidR="00EE4FC3">
        <w:t xml:space="preserve"> </w:t>
      </w:r>
      <w:r w:rsidR="00B568B6" w:rsidRPr="00382917">
        <w:t>in</w:t>
      </w:r>
      <w:r w:rsidR="00EE4FC3">
        <w:t xml:space="preserve"> </w:t>
      </w:r>
      <w:r w:rsidR="00B568B6" w:rsidRPr="00382917">
        <w:t>pain,</w:t>
      </w:r>
      <w:r w:rsidR="00EE4FC3">
        <w:t xml:space="preserve"> </w:t>
      </w:r>
      <w:r w:rsidR="00B568B6" w:rsidRPr="00382917">
        <w:t>and</w:t>
      </w:r>
      <w:r w:rsidR="00EE4FC3">
        <w:t xml:space="preserve"> </w:t>
      </w:r>
      <w:proofErr w:type="spellStart"/>
      <w:r w:rsidR="00B568B6" w:rsidRPr="00382917">
        <w:t>labor</w:t>
      </w:r>
      <w:proofErr w:type="spellEnd"/>
      <w:r w:rsidR="00EE4FC3">
        <w:t xml:space="preserve"> </w:t>
      </w:r>
      <w:r w:rsidR="00B568B6" w:rsidRPr="00382917">
        <w:t>to</w:t>
      </w:r>
      <w:r w:rsidR="00EE4FC3">
        <w:t xml:space="preserve"> </w:t>
      </w:r>
      <w:r w:rsidR="00B568B6" w:rsidRPr="00382917">
        <w:t>bring</w:t>
      </w:r>
      <w:r w:rsidR="00EE4FC3">
        <w:t xml:space="preserve"> </w:t>
      </w:r>
      <w:r w:rsidR="00B568B6" w:rsidRPr="00382917">
        <w:t>forth,</w:t>
      </w:r>
      <w:r w:rsidR="00EE4FC3">
        <w:t xml:space="preserve"> </w:t>
      </w:r>
      <w:r w:rsidR="00B568B6" w:rsidRPr="00382917">
        <w:t>0</w:t>
      </w:r>
      <w:r w:rsidR="00EE4FC3">
        <w:t xml:space="preserve"> </w:t>
      </w:r>
      <w:r w:rsidR="00B568B6" w:rsidRPr="00382917">
        <w:t>daughter</w:t>
      </w:r>
      <w:r w:rsidR="00EE4FC3">
        <w:t xml:space="preserve"> </w:t>
      </w:r>
      <w:r w:rsidR="00B568B6" w:rsidRPr="00382917">
        <w:t>of</w:t>
      </w:r>
      <w:r w:rsidR="00EE4FC3">
        <w:t xml:space="preserve"> </w:t>
      </w:r>
      <w:r w:rsidR="00B568B6" w:rsidRPr="00382917">
        <w:t>Zion,</w:t>
      </w:r>
      <w:r w:rsidR="00EE4FC3">
        <w:t xml:space="preserve"> </w:t>
      </w:r>
      <w:r w:rsidR="00B568B6" w:rsidRPr="00382917">
        <w:t>like</w:t>
      </w:r>
      <w:r w:rsidR="00EE4FC3">
        <w:t xml:space="preserve"> </w:t>
      </w:r>
      <w:r w:rsidR="00B568B6" w:rsidRPr="00382917">
        <w:t>a</w:t>
      </w:r>
      <w:r w:rsidR="00EE4FC3">
        <w:t xml:space="preserve"> </w:t>
      </w:r>
      <w:r w:rsidR="00B568B6" w:rsidRPr="00382917">
        <w:t>woman</w:t>
      </w:r>
      <w:r w:rsidR="00EE4FC3">
        <w:t xml:space="preserve"> </w:t>
      </w:r>
      <w:r w:rsidR="00B568B6" w:rsidRPr="00382917">
        <w:t>in</w:t>
      </w:r>
      <w:r w:rsidR="00EE4FC3">
        <w:t xml:space="preserve"> </w:t>
      </w:r>
      <w:r w:rsidR="00B568B6" w:rsidRPr="00382917">
        <w:t>travail</w:t>
      </w:r>
      <w:r w:rsidR="00C03C91">
        <w:t>:</w:t>
      </w:r>
      <w:r w:rsidR="00EE4FC3">
        <w:t xml:space="preserve">  </w:t>
      </w:r>
      <w:r w:rsidR="00B568B6" w:rsidRPr="00382917">
        <w:t>for</w:t>
      </w:r>
      <w:r w:rsidR="00EE4FC3">
        <w:t xml:space="preserve"> </w:t>
      </w:r>
      <w:r w:rsidR="00B568B6" w:rsidRPr="00382917">
        <w:t>now</w:t>
      </w:r>
      <w:r w:rsidR="00EE4FC3">
        <w:t xml:space="preserve"> </w:t>
      </w:r>
      <w:r w:rsidR="00B568B6" w:rsidRPr="00382917">
        <w:t>shalt</w:t>
      </w:r>
      <w:r w:rsidR="00EE4FC3">
        <w:t xml:space="preserve"> </w:t>
      </w:r>
      <w:r w:rsidR="00B568B6" w:rsidRPr="00382917">
        <w:t>thou</w:t>
      </w:r>
      <w:r w:rsidR="00EE4FC3">
        <w:t xml:space="preserve"> </w:t>
      </w:r>
      <w:r w:rsidR="00B568B6" w:rsidRPr="00382917">
        <w:t>go</w:t>
      </w:r>
      <w:r w:rsidR="00EE4FC3">
        <w:t xml:space="preserve"> </w:t>
      </w:r>
      <w:r w:rsidR="00B568B6" w:rsidRPr="00382917">
        <w:t>forth</w:t>
      </w:r>
      <w:r w:rsidR="00EE4FC3">
        <w:t xml:space="preserve"> </w:t>
      </w:r>
      <w:r w:rsidR="00B568B6" w:rsidRPr="00382917">
        <w:t>out</w:t>
      </w:r>
      <w:r w:rsidR="00EE4FC3">
        <w:t xml:space="preserve"> </w:t>
      </w:r>
      <w:r w:rsidR="00B568B6" w:rsidRPr="00382917">
        <w:t>of</w:t>
      </w:r>
      <w:r w:rsidR="00EE4FC3">
        <w:t xml:space="preserve"> </w:t>
      </w:r>
      <w:r w:rsidR="00B568B6" w:rsidRPr="00382917">
        <w:t>the</w:t>
      </w:r>
      <w:r w:rsidR="00EE4FC3">
        <w:t xml:space="preserve"> </w:t>
      </w:r>
      <w:r w:rsidR="00B568B6" w:rsidRPr="00382917">
        <w:t>city,</w:t>
      </w:r>
      <w:r w:rsidR="00EE4FC3">
        <w:t xml:space="preserve"> </w:t>
      </w:r>
      <w:r w:rsidR="00B568B6" w:rsidRPr="00382917">
        <w:t>and</w:t>
      </w:r>
      <w:r w:rsidR="00EE4FC3">
        <w:t xml:space="preserve"> </w:t>
      </w:r>
      <w:r w:rsidR="00B568B6" w:rsidRPr="00382917">
        <w:t>thou</w:t>
      </w:r>
      <w:r w:rsidR="00EE4FC3">
        <w:t xml:space="preserve"> </w:t>
      </w:r>
      <w:r w:rsidR="00B568B6" w:rsidRPr="00382917">
        <w:t>shalt</w:t>
      </w:r>
      <w:r w:rsidR="00EE4FC3">
        <w:t xml:space="preserve"> </w:t>
      </w:r>
      <w:r w:rsidR="00B568B6" w:rsidRPr="00382917">
        <w:t>dwell</w:t>
      </w:r>
      <w:r w:rsidR="00EE4FC3">
        <w:t xml:space="preserve"> </w:t>
      </w:r>
      <w:r w:rsidR="00B568B6" w:rsidRPr="00382917">
        <w:t>in</w:t>
      </w:r>
      <w:r w:rsidR="00EE4FC3">
        <w:t xml:space="preserve"> </w:t>
      </w:r>
      <w:r w:rsidR="00B568B6" w:rsidRPr="00382917">
        <w:t>the</w:t>
      </w:r>
      <w:r w:rsidR="00EE4FC3">
        <w:t xml:space="preserve"> </w:t>
      </w:r>
      <w:r w:rsidR="00B568B6" w:rsidRPr="00382917">
        <w:t>field,</w:t>
      </w:r>
      <w:r w:rsidR="00EE4FC3">
        <w:t xml:space="preserve"> </w:t>
      </w:r>
      <w:r w:rsidR="00B568B6" w:rsidRPr="00382917">
        <w:t>and</w:t>
      </w:r>
      <w:r w:rsidR="00EE4FC3">
        <w:t xml:space="preserve"> </w:t>
      </w:r>
      <w:r w:rsidR="00B568B6" w:rsidRPr="00382917">
        <w:t>thou</w:t>
      </w:r>
      <w:r w:rsidR="00EE4FC3">
        <w:t xml:space="preserve"> </w:t>
      </w:r>
      <w:r w:rsidR="00B568B6" w:rsidRPr="00382917">
        <w:t>shalt</w:t>
      </w:r>
      <w:r w:rsidR="00EE4FC3">
        <w:t xml:space="preserve"> </w:t>
      </w:r>
      <w:r w:rsidR="00B568B6" w:rsidRPr="00382917">
        <w:t>go</w:t>
      </w:r>
      <w:r w:rsidR="00EE4FC3">
        <w:t xml:space="preserve"> </w:t>
      </w:r>
      <w:r w:rsidR="00B568B6" w:rsidRPr="00382917">
        <w:t>even</w:t>
      </w:r>
      <w:r w:rsidR="00EE4FC3">
        <w:t xml:space="preserve"> </w:t>
      </w:r>
      <w:r w:rsidR="00B568B6" w:rsidRPr="00382917">
        <w:t>to</w:t>
      </w:r>
      <w:r w:rsidR="00EE4FC3">
        <w:t xml:space="preserve"> </w:t>
      </w:r>
      <w:r w:rsidR="00B568B6" w:rsidRPr="00382917">
        <w:t>Babylon,</w:t>
      </w:r>
      <w:r w:rsidR="00EE4FC3">
        <w:t xml:space="preserve"> </w:t>
      </w:r>
      <w:r w:rsidR="00B568B6" w:rsidRPr="00382917">
        <w:t>there</w:t>
      </w:r>
      <w:r w:rsidR="00EE4FC3">
        <w:t xml:space="preserve"> </w:t>
      </w:r>
      <w:r w:rsidR="00B568B6" w:rsidRPr="00382917">
        <w:t>shalt</w:t>
      </w:r>
      <w:r w:rsidR="00EE4FC3">
        <w:t xml:space="preserve"> </w:t>
      </w:r>
      <w:r w:rsidR="00B568B6" w:rsidRPr="00382917">
        <w:t>thou</w:t>
      </w:r>
      <w:r w:rsidR="00EE4FC3">
        <w:t xml:space="preserve"> </w:t>
      </w:r>
      <w:r w:rsidR="00B568B6" w:rsidRPr="00382917">
        <w:t>be</w:t>
      </w:r>
      <w:r w:rsidR="00EE4FC3">
        <w:t xml:space="preserve"> </w:t>
      </w:r>
      <w:r w:rsidR="00B568B6" w:rsidRPr="00382917">
        <w:t>delivered;</w:t>
      </w:r>
      <w:r w:rsidR="00EE4FC3">
        <w:t xml:space="preserve"> </w:t>
      </w:r>
      <w:r w:rsidR="00B568B6" w:rsidRPr="00382917">
        <w:t>there</w:t>
      </w:r>
      <w:r w:rsidR="00EE4FC3">
        <w:t xml:space="preserve"> </w:t>
      </w:r>
      <w:r w:rsidR="00B568B6" w:rsidRPr="00382917">
        <w:t>the</w:t>
      </w:r>
      <w:r w:rsidR="00EE4FC3">
        <w:t xml:space="preserve"> </w:t>
      </w:r>
      <w:r w:rsidR="00B568B6" w:rsidRPr="00382917">
        <w:t>Lord</w:t>
      </w:r>
      <w:r w:rsidR="00EE4FC3">
        <w:t xml:space="preserve"> </w:t>
      </w:r>
      <w:r w:rsidR="00B568B6" w:rsidRPr="00382917">
        <w:t>shall</w:t>
      </w:r>
      <w:r w:rsidR="00EE4FC3">
        <w:t xml:space="preserve"> </w:t>
      </w:r>
      <w:r w:rsidR="00B568B6" w:rsidRPr="00382917">
        <w:t>redeem</w:t>
      </w:r>
      <w:r w:rsidR="00EE4FC3">
        <w:t xml:space="preserve"> </w:t>
      </w:r>
      <w:r w:rsidR="00B568B6" w:rsidRPr="00382917">
        <w:t>thee</w:t>
      </w:r>
      <w:r w:rsidR="00EE4FC3">
        <w:t xml:space="preserve"> </w:t>
      </w:r>
      <w:r w:rsidR="00B568B6" w:rsidRPr="00382917">
        <w:t>from</w:t>
      </w:r>
      <w:r w:rsidR="00EE4FC3">
        <w:t xml:space="preserve"> </w:t>
      </w:r>
      <w:r w:rsidR="00B568B6" w:rsidRPr="00382917">
        <w:t>the</w:t>
      </w:r>
      <w:r w:rsidR="00EE4FC3">
        <w:t xml:space="preserve"> </w:t>
      </w:r>
      <w:r w:rsidR="00B568B6" w:rsidRPr="00382917">
        <w:t>hand</w:t>
      </w:r>
      <w:r w:rsidR="00EE4FC3">
        <w:t xml:space="preserve"> </w:t>
      </w:r>
      <w:r w:rsidR="00B568B6" w:rsidRPr="00382917">
        <w:t>of</w:t>
      </w:r>
      <w:r w:rsidR="00EE4FC3">
        <w:t xml:space="preserve"> </w:t>
      </w:r>
      <w:r w:rsidR="00B568B6" w:rsidRPr="00382917">
        <w:t>thine</w:t>
      </w:r>
      <w:r w:rsidR="00EE4FC3">
        <w:t xml:space="preserve"> </w:t>
      </w:r>
      <w:r w:rsidR="00B568B6" w:rsidRPr="00382917">
        <w:t>enemies.</w:t>
      </w:r>
      <w:r w:rsidRPr="00382917">
        <w:t>”</w:t>
      </w:r>
      <w:r w:rsidR="00FC417A">
        <w:rPr>
          <w:rStyle w:val="FootnoteReference"/>
        </w:rPr>
        <w:footnoteReference w:id="374"/>
      </w:r>
    </w:p>
    <w:p w:rsidR="00B568B6" w:rsidRPr="00382917" w:rsidRDefault="00B568B6" w:rsidP="00B568B6">
      <w:pPr>
        <w:pStyle w:val="Text"/>
      </w:pPr>
      <w:r w:rsidRPr="00382917">
        <w:t>That</w:t>
      </w:r>
      <w:r w:rsidR="00EE4FC3">
        <w:t xml:space="preserve"> </w:t>
      </w:r>
      <w:r w:rsidRPr="00382917">
        <w:t>the</w:t>
      </w:r>
      <w:r w:rsidR="00EE4FC3">
        <w:t xml:space="preserve"> </w:t>
      </w:r>
      <w:r w:rsidRPr="00382917">
        <w:t>promised</w:t>
      </w:r>
      <w:r w:rsidR="00EE4FC3">
        <w:t xml:space="preserve"> </w:t>
      </w:r>
      <w:r w:rsidRPr="00382917">
        <w:t>Redeemer</w:t>
      </w:r>
      <w:r w:rsidR="00EE4FC3">
        <w:t xml:space="preserve"> </w:t>
      </w:r>
      <w:r w:rsidRPr="00382917">
        <w:t>would</w:t>
      </w:r>
      <w:r w:rsidR="00EE4FC3">
        <w:t xml:space="preserve"> </w:t>
      </w:r>
      <w:r w:rsidRPr="00382917">
        <w:t>come</w:t>
      </w:r>
      <w:r w:rsidR="00EE4FC3">
        <w:t xml:space="preserve"> </w:t>
      </w:r>
      <w:r w:rsidRPr="00382917">
        <w:t>and</w:t>
      </w:r>
      <w:r w:rsidR="00EE4FC3">
        <w:t xml:space="preserve"> </w:t>
      </w:r>
      <w:r w:rsidRPr="00382917">
        <w:t>dwell</w:t>
      </w:r>
      <w:r w:rsidR="00EE4FC3">
        <w:t xml:space="preserve"> </w:t>
      </w:r>
      <w:r w:rsidRPr="00382917">
        <w:t>in</w:t>
      </w:r>
      <w:r w:rsidR="00EE4FC3">
        <w:t xml:space="preserve"> </w:t>
      </w:r>
      <w:r w:rsidRPr="00382917">
        <w:t>Israel</w:t>
      </w:r>
      <w:r w:rsidR="00EE4FC3">
        <w:t xml:space="preserve"> </w:t>
      </w:r>
      <w:r w:rsidRPr="00382917">
        <w:t>in</w:t>
      </w:r>
      <w:r w:rsidR="00EE4FC3">
        <w:t xml:space="preserve"> </w:t>
      </w:r>
      <w:r w:rsidRPr="00382917">
        <w:t>the</w:t>
      </w:r>
      <w:r w:rsidR="00EE4FC3">
        <w:t xml:space="preserve"> </w:t>
      </w:r>
      <w:r w:rsidR="009C713D" w:rsidRPr="00382917">
        <w:t>“</w:t>
      </w:r>
      <w:r w:rsidRPr="00382917">
        <w:t>last</w:t>
      </w:r>
      <w:r w:rsidR="00EE4FC3">
        <w:t xml:space="preserve"> </w:t>
      </w:r>
      <w:r w:rsidRPr="00382917">
        <w:t>days</w:t>
      </w:r>
      <w:r w:rsidR="009C713D" w:rsidRPr="00382917">
        <w:t>”</w:t>
      </w:r>
      <w:r w:rsidR="00EE4FC3">
        <w:t xml:space="preserve"> </w:t>
      </w:r>
      <w:r w:rsidRPr="00382917">
        <w:t>and</w:t>
      </w:r>
      <w:r w:rsidR="00EE4FC3">
        <w:t xml:space="preserve"> </w:t>
      </w:r>
      <w:r w:rsidRPr="00382917">
        <w:t>nourish</w:t>
      </w:r>
      <w:r w:rsidR="00EE4FC3">
        <w:t xml:space="preserve"> </w:t>
      </w:r>
      <w:r w:rsidRPr="00382917">
        <w:t>humanity</w:t>
      </w:r>
      <w:r w:rsidR="00EE4FC3">
        <w:t xml:space="preserve"> </w:t>
      </w:r>
      <w:r w:rsidRPr="00382917">
        <w:t>with</w:t>
      </w:r>
      <w:r w:rsidR="00EE4FC3">
        <w:t xml:space="preserve"> </w:t>
      </w:r>
      <w:r w:rsidRPr="00382917">
        <w:t>His</w:t>
      </w:r>
      <w:r w:rsidR="00EE4FC3">
        <w:t xml:space="preserve"> </w:t>
      </w:r>
      <w:r w:rsidRPr="00382917">
        <w:t>teachings,</w:t>
      </w:r>
      <w:r w:rsidR="00EE4FC3">
        <w:t xml:space="preserve"> </w:t>
      </w:r>
      <w:r w:rsidRPr="00382917">
        <w:t>is</w:t>
      </w:r>
      <w:r w:rsidR="00EE4FC3">
        <w:t xml:space="preserve"> </w:t>
      </w:r>
      <w:r w:rsidRPr="00382917">
        <w:t>promised</w:t>
      </w:r>
      <w:r w:rsidR="00EE4FC3">
        <w:t xml:space="preserve"> </w:t>
      </w:r>
      <w:r w:rsidRPr="00382917">
        <w:t>in</w:t>
      </w:r>
      <w:r w:rsidR="00EE4FC3">
        <w:t xml:space="preserve"> </w:t>
      </w:r>
      <w:r w:rsidRPr="00382917">
        <w:t>these</w:t>
      </w:r>
      <w:r w:rsidR="00EE4FC3">
        <w:t xml:space="preserve"> </w:t>
      </w:r>
      <w:r w:rsidRPr="00382917">
        <w:t>words</w:t>
      </w:r>
      <w:r w:rsidR="00EE4FC3">
        <w:t xml:space="preserve"> </w:t>
      </w:r>
      <w:r w:rsidRPr="00382917">
        <w:t>of</w:t>
      </w:r>
      <w:r w:rsidR="00EE4FC3">
        <w:t xml:space="preserve"> </w:t>
      </w:r>
      <w:r w:rsidRPr="00382917">
        <w:t>Micah:</w:t>
      </w:r>
    </w:p>
    <w:p w:rsidR="00B568B6" w:rsidRPr="00382917" w:rsidRDefault="009C713D" w:rsidP="00844A5E">
      <w:pPr>
        <w:pStyle w:val="Quote"/>
      </w:pPr>
      <w:r w:rsidRPr="00382917">
        <w:t>“</w:t>
      </w:r>
      <w:r w:rsidR="00B568B6" w:rsidRPr="00382917">
        <w:t>Feed</w:t>
      </w:r>
      <w:r w:rsidR="00EE4FC3">
        <w:t xml:space="preserve"> </w:t>
      </w:r>
      <w:r w:rsidR="00B568B6" w:rsidRPr="00382917">
        <w:t>thy</w:t>
      </w:r>
      <w:r w:rsidR="00EE4FC3">
        <w:t xml:space="preserve"> </w:t>
      </w:r>
      <w:r w:rsidR="00B568B6" w:rsidRPr="00382917">
        <w:t>people</w:t>
      </w:r>
      <w:r w:rsidR="00EE4FC3">
        <w:t xml:space="preserve"> </w:t>
      </w:r>
      <w:r w:rsidR="00B568B6" w:rsidRPr="00382917">
        <w:t>with</w:t>
      </w:r>
      <w:r w:rsidR="00EE4FC3">
        <w:t xml:space="preserve"> </w:t>
      </w:r>
      <w:r w:rsidR="00B568B6" w:rsidRPr="00382917">
        <w:t>thy</w:t>
      </w:r>
      <w:r w:rsidR="00EE4FC3">
        <w:t xml:space="preserve"> </w:t>
      </w:r>
      <w:r w:rsidR="00B568B6" w:rsidRPr="00382917">
        <w:t>rod,</w:t>
      </w:r>
      <w:r w:rsidR="00EE4FC3">
        <w:t xml:space="preserve"> </w:t>
      </w:r>
      <w:r w:rsidR="00B568B6" w:rsidRPr="00382917">
        <w:t>the</w:t>
      </w:r>
      <w:r w:rsidR="00EE4FC3">
        <w:t xml:space="preserve"> </w:t>
      </w:r>
      <w:r w:rsidR="00B568B6" w:rsidRPr="00382917">
        <w:t>flock</w:t>
      </w:r>
      <w:r w:rsidR="00EE4FC3">
        <w:t xml:space="preserve"> </w:t>
      </w:r>
      <w:r w:rsidR="00B568B6" w:rsidRPr="00382917">
        <w:t>of</w:t>
      </w:r>
      <w:r w:rsidR="00EE4FC3">
        <w:t xml:space="preserve"> </w:t>
      </w:r>
      <w:r w:rsidR="00B568B6" w:rsidRPr="00382917">
        <w:t>thine</w:t>
      </w:r>
      <w:r w:rsidR="00EE4FC3">
        <w:t xml:space="preserve"> </w:t>
      </w:r>
      <w:r w:rsidR="00B568B6" w:rsidRPr="00382917">
        <w:t>heritage,</w:t>
      </w:r>
      <w:r w:rsidR="00EE4FC3">
        <w:t xml:space="preserve"> </w:t>
      </w:r>
      <w:r w:rsidR="00B568B6" w:rsidRPr="00382917">
        <w:t>which</w:t>
      </w:r>
      <w:r w:rsidR="00EE4FC3">
        <w:t xml:space="preserve"> </w:t>
      </w:r>
      <w:r w:rsidR="00B568B6" w:rsidRPr="00382917">
        <w:t>dwell</w:t>
      </w:r>
      <w:r w:rsidR="00EE4FC3">
        <w:t xml:space="preserve"> </w:t>
      </w:r>
      <w:r w:rsidR="00B568B6" w:rsidRPr="00382917">
        <w:t>solitarily</w:t>
      </w:r>
      <w:r w:rsidR="00EE4FC3">
        <w:t xml:space="preserve"> </w:t>
      </w:r>
      <w:r w:rsidR="00B568B6" w:rsidRPr="00382917">
        <w:t>in</w:t>
      </w:r>
      <w:r w:rsidR="00EE4FC3">
        <w:t xml:space="preserve"> </w:t>
      </w:r>
      <w:r w:rsidR="00B568B6" w:rsidRPr="00382917">
        <w:t>the</w:t>
      </w:r>
      <w:r w:rsidR="00EE4FC3">
        <w:t xml:space="preserve"> </w:t>
      </w:r>
      <w:r w:rsidR="00B568B6" w:rsidRPr="00382917">
        <w:t>wood</w:t>
      </w:r>
      <w:r w:rsidR="00EE4FC3">
        <w:t xml:space="preserve"> </w:t>
      </w:r>
      <w:r w:rsidR="00B568B6" w:rsidRPr="00382917">
        <w:t>in</w:t>
      </w:r>
      <w:r w:rsidR="00EE4FC3">
        <w:t xml:space="preserve"> </w:t>
      </w:r>
      <w:r w:rsidR="00B568B6" w:rsidRPr="00382917">
        <w:t>the</w:t>
      </w:r>
      <w:r w:rsidR="00EE4FC3">
        <w:t xml:space="preserve"> </w:t>
      </w:r>
      <w:r w:rsidR="00B568B6" w:rsidRPr="00382917">
        <w:t>midst</w:t>
      </w:r>
      <w:r w:rsidR="00EE4FC3">
        <w:t xml:space="preserve"> </w:t>
      </w:r>
      <w:r w:rsidR="00B568B6" w:rsidRPr="00382917">
        <w:t>of</w:t>
      </w:r>
      <w:r w:rsidR="00EE4FC3">
        <w:t xml:space="preserve"> </w:t>
      </w:r>
      <w:r w:rsidR="00B568B6" w:rsidRPr="00382917">
        <w:t>Ca</w:t>
      </w:r>
      <w:r w:rsidR="00844A5E">
        <w:t>rm</w:t>
      </w:r>
      <w:r w:rsidR="00B568B6" w:rsidRPr="00382917">
        <w:t>el.</w:t>
      </w:r>
      <w:r w:rsidRPr="00382917">
        <w:t>”</w:t>
      </w:r>
      <w:r w:rsidR="00844A5E">
        <w:rPr>
          <w:rStyle w:val="FootnoteReference"/>
        </w:rPr>
        <w:footnoteReference w:id="375"/>
      </w:r>
    </w:p>
    <w:p w:rsidR="00B568B6" w:rsidRPr="00382917" w:rsidRDefault="00B568B6" w:rsidP="00B568B6">
      <w:pPr>
        <w:pStyle w:val="Text"/>
      </w:pPr>
      <w:r w:rsidRPr="00382917">
        <w:t>The</w:t>
      </w:r>
      <w:r w:rsidR="00EE4FC3">
        <w:t xml:space="preserve"> </w:t>
      </w:r>
      <w:r w:rsidRPr="00382917">
        <w:t>manner</w:t>
      </w:r>
      <w:r w:rsidR="00EE4FC3">
        <w:t xml:space="preserve"> </w:t>
      </w:r>
      <w:r w:rsidRPr="00382917">
        <w:t>of</w:t>
      </w:r>
      <w:r w:rsidR="00EE4FC3">
        <w:t xml:space="preserve"> </w:t>
      </w:r>
      <w:r w:rsidRPr="00382917">
        <w:t>His</w:t>
      </w:r>
      <w:r w:rsidR="00EE4FC3">
        <w:t xml:space="preserve"> </w:t>
      </w:r>
      <w:r w:rsidRPr="00382917">
        <w:t>coming,</w:t>
      </w:r>
      <w:r w:rsidR="00EE4FC3">
        <w:t xml:space="preserve"> </w:t>
      </w:r>
      <w:r w:rsidRPr="00382917">
        <w:t>and</w:t>
      </w:r>
      <w:r w:rsidR="00EE4FC3">
        <w:t xml:space="preserve"> </w:t>
      </w:r>
      <w:r w:rsidRPr="00382917">
        <w:t>each</w:t>
      </w:r>
      <w:r w:rsidR="00EE4FC3">
        <w:t xml:space="preserve"> </w:t>
      </w:r>
      <w:r w:rsidRPr="00382917">
        <w:t>step</w:t>
      </w:r>
      <w:r w:rsidR="00EE4FC3">
        <w:t xml:space="preserve"> </w:t>
      </w:r>
      <w:r w:rsidRPr="00382917">
        <w:t>along</w:t>
      </w:r>
      <w:r w:rsidR="00EE4FC3">
        <w:t xml:space="preserve"> </w:t>
      </w:r>
      <w:r w:rsidRPr="00382917">
        <w:t>His</w:t>
      </w:r>
      <w:r w:rsidR="00EE4FC3">
        <w:t xml:space="preserve"> </w:t>
      </w:r>
      <w:r w:rsidRPr="00382917">
        <w:t>path</w:t>
      </w:r>
      <w:r w:rsidR="00EE4FC3">
        <w:t xml:space="preserve"> </w:t>
      </w:r>
      <w:r w:rsidRPr="00382917">
        <w:t>to</w:t>
      </w:r>
      <w:r w:rsidR="00EE4FC3">
        <w:t xml:space="preserve"> </w:t>
      </w:r>
      <w:r w:rsidRPr="00382917">
        <w:t>Israel,</w:t>
      </w:r>
      <w:r w:rsidR="00EE4FC3">
        <w:t xml:space="preserve"> </w:t>
      </w:r>
      <w:r w:rsidRPr="00382917">
        <w:t>was</w:t>
      </w:r>
      <w:r w:rsidR="00EE4FC3">
        <w:t xml:space="preserve"> </w:t>
      </w:r>
      <w:r w:rsidRPr="00382917">
        <w:t>set</w:t>
      </w:r>
      <w:r w:rsidR="00EE4FC3">
        <w:t xml:space="preserve"> </w:t>
      </w:r>
      <w:r w:rsidRPr="00382917">
        <w:t>down</w:t>
      </w:r>
      <w:r w:rsidR="00EE4FC3">
        <w:t xml:space="preserve"> </w:t>
      </w:r>
      <w:r w:rsidRPr="00382917">
        <w:t>in</w:t>
      </w:r>
      <w:r w:rsidR="00EE4FC3">
        <w:t xml:space="preserve"> </w:t>
      </w:r>
      <w:r w:rsidRPr="00382917">
        <w:t>detail</w:t>
      </w:r>
      <w:r w:rsidR="00EE4FC3">
        <w:t xml:space="preserve"> </w:t>
      </w:r>
      <w:r w:rsidRPr="00382917">
        <w:t>by</w:t>
      </w:r>
      <w:r w:rsidR="00EE4FC3">
        <w:t xml:space="preserve"> </w:t>
      </w:r>
      <w:r w:rsidRPr="00382917">
        <w:t>Micah</w:t>
      </w:r>
      <w:r w:rsidR="00EE4FC3">
        <w:t xml:space="preserve"> </w:t>
      </w:r>
      <w:r w:rsidRPr="00382917">
        <w:t>in</w:t>
      </w:r>
      <w:r w:rsidR="00EE4FC3">
        <w:t xml:space="preserve"> </w:t>
      </w:r>
      <w:r w:rsidRPr="00382917">
        <w:t>the</w:t>
      </w:r>
      <w:r w:rsidR="00EE4FC3">
        <w:t xml:space="preserve"> </w:t>
      </w:r>
      <w:r w:rsidRPr="00382917">
        <w:t>same</w:t>
      </w:r>
      <w:r w:rsidR="00EE4FC3">
        <w:t xml:space="preserve"> </w:t>
      </w:r>
      <w:r w:rsidRPr="00382917">
        <w:t>chapter:</w:t>
      </w:r>
    </w:p>
    <w:p w:rsidR="00B568B6" w:rsidRPr="00382917" w:rsidRDefault="00B568B6">
      <w:pPr>
        <w:widowControl/>
        <w:kinsoku/>
        <w:overflowPunct/>
        <w:textAlignment w:val="auto"/>
      </w:pPr>
      <w:r w:rsidRPr="00382917">
        <w:br w:type="page"/>
      </w:r>
    </w:p>
    <w:p w:rsidR="00B568B6" w:rsidRPr="00382917" w:rsidRDefault="009C713D" w:rsidP="00844A5E">
      <w:pPr>
        <w:pStyle w:val="Quote"/>
      </w:pPr>
      <w:r w:rsidRPr="00382917">
        <w:t>“</w:t>
      </w:r>
      <w:r w:rsidR="00B568B6" w:rsidRPr="00382917">
        <w:t>In</w:t>
      </w:r>
      <w:r w:rsidR="00EE4FC3">
        <w:t xml:space="preserve"> </w:t>
      </w:r>
      <w:r w:rsidR="00B568B6" w:rsidRPr="00382917">
        <w:t>that</w:t>
      </w:r>
      <w:r w:rsidR="00EE4FC3">
        <w:t xml:space="preserve"> </w:t>
      </w:r>
      <w:r w:rsidR="00B568B6" w:rsidRPr="00382917">
        <w:t>day</w:t>
      </w:r>
      <w:r w:rsidR="00EE4FC3">
        <w:t xml:space="preserve"> </w:t>
      </w:r>
      <w:r w:rsidR="00B568B6" w:rsidRPr="00382917">
        <w:t>also</w:t>
      </w:r>
      <w:r w:rsidR="00EE4FC3">
        <w:t xml:space="preserve"> </w:t>
      </w:r>
      <w:r w:rsidR="00B568B6" w:rsidRPr="00382917">
        <w:t>he</w:t>
      </w:r>
      <w:r w:rsidR="00EE4FC3">
        <w:t xml:space="preserve"> </w:t>
      </w:r>
      <w:r w:rsidR="00B568B6" w:rsidRPr="00382917">
        <w:t>shall</w:t>
      </w:r>
      <w:r w:rsidR="00EE4FC3">
        <w:t xml:space="preserve"> </w:t>
      </w:r>
      <w:r w:rsidR="00B568B6" w:rsidRPr="00382917">
        <w:t>come</w:t>
      </w:r>
      <w:r w:rsidR="00EE4FC3">
        <w:t xml:space="preserve"> </w:t>
      </w:r>
      <w:r w:rsidR="00B568B6" w:rsidRPr="00382917">
        <w:t>even</w:t>
      </w:r>
      <w:r w:rsidR="00EE4FC3">
        <w:t xml:space="preserve"> </w:t>
      </w:r>
      <w:r w:rsidR="00B568B6" w:rsidRPr="00382917">
        <w:t>to</w:t>
      </w:r>
      <w:r w:rsidR="00EE4FC3">
        <w:t xml:space="preserve"> </w:t>
      </w:r>
      <w:r w:rsidR="00B568B6" w:rsidRPr="00382917">
        <w:t>thee</w:t>
      </w:r>
      <w:r w:rsidR="00EE4FC3">
        <w:t xml:space="preserve"> </w:t>
      </w:r>
      <w:r w:rsidR="00B568B6" w:rsidRPr="00382917">
        <w:t>from</w:t>
      </w:r>
      <w:r w:rsidR="00EE4FC3">
        <w:t xml:space="preserve"> </w:t>
      </w:r>
      <w:r w:rsidR="00B568B6" w:rsidRPr="00382917">
        <w:t>Assyria,</w:t>
      </w:r>
      <w:r w:rsidR="00EE4FC3">
        <w:t xml:space="preserve"> </w:t>
      </w:r>
      <w:r w:rsidR="00B568B6" w:rsidRPr="00382917">
        <w:t>and</w:t>
      </w:r>
      <w:r w:rsidR="00EE4FC3">
        <w:t xml:space="preserve"> </w:t>
      </w:r>
      <w:r w:rsidR="00B568B6" w:rsidRPr="00382917">
        <w:t>from</w:t>
      </w:r>
      <w:r w:rsidR="00EE4FC3">
        <w:t xml:space="preserve"> </w:t>
      </w:r>
      <w:r w:rsidR="00B568B6" w:rsidRPr="00382917">
        <w:t>the</w:t>
      </w:r>
      <w:r w:rsidR="00EE4FC3">
        <w:t xml:space="preserve"> </w:t>
      </w:r>
      <w:r w:rsidR="00B568B6" w:rsidRPr="00382917">
        <w:t>fortified</w:t>
      </w:r>
      <w:r w:rsidR="00EE4FC3">
        <w:t xml:space="preserve"> </w:t>
      </w:r>
      <w:r w:rsidR="00B568B6" w:rsidRPr="00382917">
        <w:t>cities,</w:t>
      </w:r>
      <w:r w:rsidR="00EE4FC3">
        <w:t xml:space="preserve"> </w:t>
      </w:r>
      <w:r w:rsidR="00B568B6" w:rsidRPr="00382917">
        <w:t>and</w:t>
      </w:r>
      <w:r w:rsidR="00EE4FC3">
        <w:t xml:space="preserve"> </w:t>
      </w:r>
      <w:r w:rsidR="00B568B6" w:rsidRPr="00382917">
        <w:t>from</w:t>
      </w:r>
      <w:r w:rsidR="00EE4FC3">
        <w:t xml:space="preserve"> </w:t>
      </w:r>
      <w:r w:rsidR="00B568B6" w:rsidRPr="00382917">
        <w:t>the</w:t>
      </w:r>
      <w:r w:rsidR="00EE4FC3">
        <w:t xml:space="preserve"> </w:t>
      </w:r>
      <w:r w:rsidR="00B568B6" w:rsidRPr="00382917">
        <w:t>fortress</w:t>
      </w:r>
      <w:r w:rsidR="00EE4FC3">
        <w:t xml:space="preserve"> </w:t>
      </w:r>
      <w:r w:rsidR="00B568B6" w:rsidRPr="00382917">
        <w:t>to</w:t>
      </w:r>
      <w:r w:rsidR="00EE4FC3">
        <w:t xml:space="preserve"> </w:t>
      </w:r>
      <w:r w:rsidR="00B568B6" w:rsidRPr="00382917">
        <w:t>the</w:t>
      </w:r>
      <w:r w:rsidR="00EE4FC3">
        <w:t xml:space="preserve"> </w:t>
      </w:r>
      <w:r w:rsidR="00B568B6" w:rsidRPr="00382917">
        <w:t>river,</w:t>
      </w:r>
      <w:r w:rsidR="00EE4FC3">
        <w:t xml:space="preserve"> </w:t>
      </w:r>
      <w:r w:rsidR="00B568B6" w:rsidRPr="00382917">
        <w:t>and</w:t>
      </w:r>
      <w:r w:rsidR="00EE4FC3">
        <w:t xml:space="preserve"> </w:t>
      </w:r>
      <w:r w:rsidR="00B568B6" w:rsidRPr="00382917">
        <w:t>from</w:t>
      </w:r>
      <w:r w:rsidR="00EE4FC3">
        <w:t xml:space="preserve"> </w:t>
      </w:r>
      <w:r w:rsidR="00B568B6" w:rsidRPr="00382917">
        <w:t>sea</w:t>
      </w:r>
      <w:r w:rsidR="00EE4FC3">
        <w:t xml:space="preserve"> </w:t>
      </w:r>
      <w:r w:rsidR="00B568B6" w:rsidRPr="00382917">
        <w:t>to</w:t>
      </w:r>
      <w:r w:rsidR="00EE4FC3">
        <w:t xml:space="preserve"> </w:t>
      </w:r>
      <w:r w:rsidR="00B568B6" w:rsidRPr="00382917">
        <w:t>sea,</w:t>
      </w:r>
      <w:r w:rsidR="00EE4FC3">
        <w:t xml:space="preserve"> </w:t>
      </w:r>
      <w:r w:rsidR="00B568B6" w:rsidRPr="00382917">
        <w:t>and</w:t>
      </w:r>
      <w:r w:rsidR="00EE4FC3">
        <w:t xml:space="preserve"> </w:t>
      </w:r>
      <w:r w:rsidR="00B568B6" w:rsidRPr="00382917">
        <w:t>from</w:t>
      </w:r>
      <w:r w:rsidR="00EE4FC3">
        <w:t xml:space="preserve"> </w:t>
      </w:r>
      <w:r w:rsidR="00B568B6" w:rsidRPr="00382917">
        <w:t>mountain</w:t>
      </w:r>
      <w:r w:rsidR="00EE4FC3">
        <w:t xml:space="preserve"> </w:t>
      </w:r>
      <w:r w:rsidR="00B568B6" w:rsidRPr="00382917">
        <w:t>to</w:t>
      </w:r>
      <w:r w:rsidR="00EE4FC3">
        <w:t xml:space="preserve"> </w:t>
      </w:r>
      <w:r w:rsidR="00B568B6" w:rsidRPr="00382917">
        <w:t>mountain.</w:t>
      </w:r>
      <w:r w:rsidRPr="00382917">
        <w:t>”</w:t>
      </w:r>
      <w:r w:rsidR="00844A5E">
        <w:rPr>
          <w:rStyle w:val="FootnoteReference"/>
        </w:rPr>
        <w:footnoteReference w:id="376"/>
      </w:r>
    </w:p>
    <w:p w:rsidR="00B568B6" w:rsidRPr="00382917" w:rsidRDefault="00B568B6" w:rsidP="00B568B6">
      <w:pPr>
        <w:pStyle w:val="Text"/>
      </w:pPr>
      <w:r w:rsidRPr="00382917">
        <w:t>The</w:t>
      </w:r>
      <w:r w:rsidR="00EE4FC3">
        <w:t xml:space="preserve"> </w:t>
      </w:r>
      <w:r w:rsidRPr="00382917">
        <w:t>exact</w:t>
      </w:r>
      <w:r w:rsidR="00EE4FC3">
        <w:t xml:space="preserve"> </w:t>
      </w:r>
      <w:r w:rsidRPr="00382917">
        <w:t>number</w:t>
      </w:r>
      <w:r w:rsidR="00EE4FC3">
        <w:t xml:space="preserve"> </w:t>
      </w:r>
      <w:r w:rsidRPr="00382917">
        <w:t>of</w:t>
      </w:r>
      <w:r w:rsidR="00EE4FC3">
        <w:t xml:space="preserve"> </w:t>
      </w:r>
      <w:r w:rsidRPr="00382917">
        <w:t>years</w:t>
      </w:r>
      <w:r w:rsidR="00EE4FC3">
        <w:t xml:space="preserve"> </w:t>
      </w:r>
      <w:r w:rsidRPr="00382917">
        <w:t>during</w:t>
      </w:r>
      <w:r w:rsidR="00EE4FC3">
        <w:t xml:space="preserve"> </w:t>
      </w:r>
      <w:r w:rsidRPr="00382917">
        <w:t>which</w:t>
      </w:r>
      <w:r w:rsidR="00EE4FC3">
        <w:t xml:space="preserve"> </w:t>
      </w:r>
      <w:r w:rsidRPr="00382917">
        <w:t>the</w:t>
      </w:r>
      <w:r w:rsidR="00EE4FC3">
        <w:t xml:space="preserve"> </w:t>
      </w:r>
      <w:r w:rsidRPr="00382917">
        <w:t>Mission</w:t>
      </w:r>
      <w:r w:rsidR="00EE4FC3">
        <w:t xml:space="preserve"> </w:t>
      </w:r>
      <w:r w:rsidRPr="00382917">
        <w:t>of</w:t>
      </w:r>
      <w:r w:rsidR="00EE4FC3">
        <w:t xml:space="preserve"> </w:t>
      </w:r>
      <w:r w:rsidRPr="00382917">
        <w:t>the</w:t>
      </w:r>
      <w:r w:rsidR="00EE4FC3">
        <w:t xml:space="preserve"> </w:t>
      </w:r>
      <w:r w:rsidRPr="00382917">
        <w:t>promised</w:t>
      </w:r>
      <w:r w:rsidR="00EE4FC3">
        <w:t xml:space="preserve"> </w:t>
      </w:r>
      <w:r w:rsidRPr="00382917">
        <w:t>Messiah</w:t>
      </w:r>
      <w:r w:rsidR="00EE4FC3">
        <w:t xml:space="preserve"> </w:t>
      </w:r>
      <w:r w:rsidRPr="00382917">
        <w:t>would</w:t>
      </w:r>
      <w:r w:rsidR="00EE4FC3">
        <w:t xml:space="preserve"> </w:t>
      </w:r>
      <w:r w:rsidRPr="00382917">
        <w:t>last</w:t>
      </w:r>
      <w:r w:rsidR="00EE4FC3">
        <w:t xml:space="preserve"> </w:t>
      </w:r>
      <w:r w:rsidRPr="00382917">
        <w:t>are</w:t>
      </w:r>
      <w:r w:rsidR="00EE4FC3">
        <w:t xml:space="preserve"> </w:t>
      </w:r>
      <w:r w:rsidRPr="00382917">
        <w:t>also</w:t>
      </w:r>
      <w:r w:rsidR="00EE4FC3">
        <w:t xml:space="preserve"> </w:t>
      </w:r>
      <w:r w:rsidRPr="00382917">
        <w:t>foretold</w:t>
      </w:r>
      <w:r w:rsidR="00EE4FC3">
        <w:t xml:space="preserve"> </w:t>
      </w:r>
      <w:r w:rsidRPr="00382917">
        <w:t>by</w:t>
      </w:r>
      <w:r w:rsidR="00EE4FC3">
        <w:t xml:space="preserve"> </w:t>
      </w:r>
      <w:r w:rsidRPr="00382917">
        <w:t>Micah:</w:t>
      </w:r>
    </w:p>
    <w:p w:rsidR="00B568B6" w:rsidRPr="00382917" w:rsidRDefault="009C713D" w:rsidP="00844A5E">
      <w:pPr>
        <w:pStyle w:val="Quote"/>
      </w:pPr>
      <w:proofErr w:type="gramStart"/>
      <w:r w:rsidRPr="00382917">
        <w:t>“</w:t>
      </w:r>
      <w:r w:rsidR="00B568B6" w:rsidRPr="00382917">
        <w:t>According</w:t>
      </w:r>
      <w:r w:rsidR="00EE4FC3">
        <w:t xml:space="preserve"> </w:t>
      </w:r>
      <w:r w:rsidR="00B568B6" w:rsidRPr="00382917">
        <w:t>to</w:t>
      </w:r>
      <w:r w:rsidR="00EE4FC3">
        <w:t xml:space="preserve"> </w:t>
      </w:r>
      <w:r w:rsidR="00B568B6" w:rsidRPr="00382917">
        <w:t>the</w:t>
      </w:r>
      <w:r w:rsidR="00EE4FC3">
        <w:t xml:space="preserve"> </w:t>
      </w:r>
      <w:r w:rsidR="00B568B6" w:rsidRPr="00382917">
        <w:t>days</w:t>
      </w:r>
      <w:r w:rsidR="00EE4FC3">
        <w:t xml:space="preserve"> </w:t>
      </w:r>
      <w:r w:rsidR="00B568B6" w:rsidRPr="00382917">
        <w:t>of</w:t>
      </w:r>
      <w:r w:rsidR="00EE4FC3">
        <w:t xml:space="preserve"> </w:t>
      </w:r>
      <w:r w:rsidR="00B568B6" w:rsidRPr="00382917">
        <w:t>thy</w:t>
      </w:r>
      <w:r w:rsidR="00EE4FC3">
        <w:t xml:space="preserve"> </w:t>
      </w:r>
      <w:r w:rsidR="00B568B6" w:rsidRPr="00382917">
        <w:t>coming</w:t>
      </w:r>
      <w:r w:rsidR="00EE4FC3">
        <w:t xml:space="preserve"> </w:t>
      </w:r>
      <w:r w:rsidR="00B568B6" w:rsidRPr="00382917">
        <w:t>out</w:t>
      </w:r>
      <w:r w:rsidR="00EE4FC3">
        <w:t xml:space="preserve"> </w:t>
      </w:r>
      <w:r w:rsidR="00B568B6" w:rsidRPr="00382917">
        <w:t>of</w:t>
      </w:r>
      <w:r w:rsidR="00EE4FC3">
        <w:t xml:space="preserve"> </w:t>
      </w:r>
      <w:r w:rsidR="00B568B6" w:rsidRPr="00382917">
        <w:t>the</w:t>
      </w:r>
      <w:r w:rsidR="00EE4FC3">
        <w:t xml:space="preserve"> </w:t>
      </w:r>
      <w:r w:rsidR="00B568B6" w:rsidRPr="00382917">
        <w:t>land</w:t>
      </w:r>
      <w:r w:rsidR="00EE4FC3">
        <w:t xml:space="preserve"> </w:t>
      </w:r>
      <w:r w:rsidR="00B568B6" w:rsidRPr="00382917">
        <w:t>of</w:t>
      </w:r>
      <w:r w:rsidR="00EE4FC3">
        <w:t xml:space="preserve"> </w:t>
      </w:r>
      <w:r w:rsidR="00B568B6" w:rsidRPr="00382917">
        <w:t>Egypt</w:t>
      </w:r>
      <w:r w:rsidR="00EE4FC3">
        <w:t xml:space="preserve"> </w:t>
      </w:r>
      <w:r w:rsidR="00B568B6" w:rsidRPr="00382917">
        <w:t>will</w:t>
      </w:r>
      <w:r w:rsidR="00EE4FC3">
        <w:t xml:space="preserve"> </w:t>
      </w:r>
      <w:r w:rsidR="00B568B6" w:rsidRPr="00382917">
        <w:t>I</w:t>
      </w:r>
      <w:r w:rsidR="00EE4FC3">
        <w:t xml:space="preserve"> </w:t>
      </w:r>
      <w:r w:rsidR="00B568B6" w:rsidRPr="00382917">
        <w:t>shew</w:t>
      </w:r>
      <w:r w:rsidR="00EE4FC3">
        <w:t xml:space="preserve"> </w:t>
      </w:r>
      <w:r w:rsidR="00B568B6" w:rsidRPr="00382917">
        <w:t>Him</w:t>
      </w:r>
      <w:r w:rsidR="00EE4FC3">
        <w:t xml:space="preserve"> </w:t>
      </w:r>
      <w:proofErr w:type="spellStart"/>
      <w:r w:rsidR="00B568B6" w:rsidRPr="00382917">
        <w:t>marvelous</w:t>
      </w:r>
      <w:proofErr w:type="spellEnd"/>
      <w:r w:rsidR="00EE4FC3">
        <w:t xml:space="preserve"> </w:t>
      </w:r>
      <w:r w:rsidR="00B568B6" w:rsidRPr="00382917">
        <w:t>things.</w:t>
      </w:r>
      <w:r w:rsidRPr="00382917">
        <w:t>”</w:t>
      </w:r>
      <w:proofErr w:type="gramEnd"/>
      <w:r w:rsidR="00844A5E">
        <w:rPr>
          <w:rStyle w:val="FootnoteReference"/>
        </w:rPr>
        <w:footnoteReference w:id="377"/>
      </w:r>
    </w:p>
    <w:p w:rsidR="00B568B6" w:rsidRPr="00382917" w:rsidRDefault="00B568B6" w:rsidP="00B568B6">
      <w:pPr>
        <w:pStyle w:val="Text"/>
      </w:pPr>
      <w:r w:rsidRPr="00382917">
        <w:t>These</w:t>
      </w:r>
      <w:r w:rsidR="00EE4FC3">
        <w:t xml:space="preserve"> </w:t>
      </w:r>
      <w:r w:rsidRPr="00382917">
        <w:t>startling</w:t>
      </w:r>
      <w:r w:rsidR="00EE4FC3">
        <w:t xml:space="preserve"> </w:t>
      </w:r>
      <w:r w:rsidRPr="00382917">
        <w:t>and</w:t>
      </w:r>
      <w:r w:rsidR="00EE4FC3">
        <w:t xml:space="preserve"> </w:t>
      </w:r>
      <w:r w:rsidRPr="00382917">
        <w:t>prophetic</w:t>
      </w:r>
      <w:r w:rsidR="00EE4FC3">
        <w:t xml:space="preserve"> </w:t>
      </w:r>
      <w:r w:rsidRPr="00382917">
        <w:t>words</w:t>
      </w:r>
      <w:r w:rsidR="00EE4FC3">
        <w:t xml:space="preserve"> </w:t>
      </w:r>
      <w:r w:rsidRPr="00382917">
        <w:t>were</w:t>
      </w:r>
      <w:r w:rsidR="00EE4FC3">
        <w:t xml:space="preserve"> </w:t>
      </w:r>
      <w:r w:rsidRPr="00382917">
        <w:t>all</w:t>
      </w:r>
      <w:r w:rsidR="00EE4FC3">
        <w:t xml:space="preserve"> </w:t>
      </w:r>
      <w:r w:rsidRPr="00382917">
        <w:t>fulfilled</w:t>
      </w:r>
      <w:r w:rsidR="00EE4FC3">
        <w:t xml:space="preserve"> </w:t>
      </w:r>
      <w:r w:rsidRPr="00382917">
        <w:t>by</w:t>
      </w:r>
      <w:r w:rsidR="00EE4FC3">
        <w:t xml:space="preserve"> </w:t>
      </w:r>
      <w:r w:rsidRPr="00382917">
        <w:t>Bahá</w:t>
      </w:r>
      <w:r w:rsidR="009C713D" w:rsidRPr="00382917">
        <w:t>’</w:t>
      </w:r>
      <w:r w:rsidRPr="00382917">
        <w:t>u</w:t>
      </w:r>
      <w:r w:rsidR="009C713D" w:rsidRPr="00382917">
        <w:t>’</w:t>
      </w:r>
      <w:r w:rsidRPr="00382917">
        <w:t>lláh</w:t>
      </w:r>
      <w:r w:rsidR="00EE4FC3">
        <w:t xml:space="preserve"> </w:t>
      </w:r>
      <w:r w:rsidRPr="00382917">
        <w:t>in</w:t>
      </w:r>
      <w:r w:rsidR="00EE4FC3">
        <w:t xml:space="preserve"> </w:t>
      </w:r>
      <w:r w:rsidRPr="00382917">
        <w:t>the</w:t>
      </w:r>
      <w:r w:rsidR="00EE4FC3">
        <w:t xml:space="preserve"> </w:t>
      </w:r>
      <w:r w:rsidRPr="00382917">
        <w:t>following</w:t>
      </w:r>
      <w:r w:rsidR="00EE4FC3">
        <w:t xml:space="preserve"> </w:t>
      </w:r>
      <w:r w:rsidRPr="00382917">
        <w:t>manner:</w:t>
      </w:r>
    </w:p>
    <w:p w:rsidR="00B568B6" w:rsidRPr="00382917" w:rsidRDefault="00844A5E" w:rsidP="00443994">
      <w:pPr>
        <w:pStyle w:val="Bullet2"/>
      </w:pPr>
      <w:r>
        <w:t>1.</w:t>
      </w:r>
      <w:r>
        <w:tab/>
      </w:r>
      <w:r w:rsidR="00B568B6" w:rsidRPr="00382917">
        <w:t>He</w:t>
      </w:r>
      <w:r w:rsidR="00EE4FC3">
        <w:t xml:space="preserve"> </w:t>
      </w:r>
      <w:r w:rsidR="00B568B6" w:rsidRPr="00382917">
        <w:t>was</w:t>
      </w:r>
      <w:r w:rsidR="00EE4FC3">
        <w:t xml:space="preserve"> </w:t>
      </w:r>
      <w:r w:rsidR="00B568B6" w:rsidRPr="00382917">
        <w:t>born</w:t>
      </w:r>
      <w:r w:rsidR="00EE4FC3">
        <w:t xml:space="preserve"> </w:t>
      </w:r>
      <w:r w:rsidR="00B568B6" w:rsidRPr="00382917">
        <w:t>in</w:t>
      </w:r>
      <w:r w:rsidR="00EE4FC3">
        <w:t xml:space="preserve"> </w:t>
      </w:r>
      <w:r w:rsidR="00B568B6" w:rsidRPr="00382917">
        <w:t>Persia,</w:t>
      </w:r>
      <w:r w:rsidR="00EE4FC3">
        <w:t xml:space="preserve"> </w:t>
      </w:r>
      <w:r w:rsidR="00B568B6" w:rsidRPr="00382917">
        <w:t>once</w:t>
      </w:r>
      <w:r w:rsidR="00EE4FC3">
        <w:t xml:space="preserve"> </w:t>
      </w:r>
      <w:r w:rsidR="00B568B6" w:rsidRPr="00382917">
        <w:t>part</w:t>
      </w:r>
      <w:r w:rsidR="00EE4FC3">
        <w:t xml:space="preserve"> </w:t>
      </w:r>
      <w:r w:rsidR="00B568B6" w:rsidRPr="00382917">
        <w:t>of</w:t>
      </w:r>
      <w:r w:rsidR="00EE4FC3">
        <w:t xml:space="preserve"> </w:t>
      </w:r>
      <w:r w:rsidR="00B568B6" w:rsidRPr="00382917">
        <w:t>the</w:t>
      </w:r>
      <w:r w:rsidR="00EE4FC3">
        <w:t xml:space="preserve"> </w:t>
      </w:r>
      <w:r w:rsidR="00B568B6" w:rsidRPr="00382917">
        <w:t>ancient</w:t>
      </w:r>
      <w:r w:rsidR="00EE4FC3">
        <w:t xml:space="preserve"> </w:t>
      </w:r>
      <w:r w:rsidR="00B568B6" w:rsidRPr="00382917">
        <w:t>kingdom</w:t>
      </w:r>
      <w:r w:rsidR="00EE4FC3">
        <w:t xml:space="preserve"> </w:t>
      </w:r>
      <w:r w:rsidR="00B568B6" w:rsidRPr="00382917">
        <w:t>of</w:t>
      </w:r>
      <w:r w:rsidR="00EE4FC3">
        <w:t xml:space="preserve"> </w:t>
      </w:r>
      <w:r w:rsidR="00B568B6" w:rsidRPr="00382917">
        <w:t>Assyria;</w:t>
      </w:r>
      <w:r w:rsidR="00EE4FC3">
        <w:t xml:space="preserve"> </w:t>
      </w:r>
      <w:r w:rsidR="00B568B6" w:rsidRPr="00382917">
        <w:t>thus</w:t>
      </w:r>
      <w:r w:rsidR="00EE4FC3">
        <w:t xml:space="preserve"> </w:t>
      </w:r>
      <w:r w:rsidR="00B568B6" w:rsidRPr="00382917">
        <w:t>He</w:t>
      </w:r>
      <w:r w:rsidR="00EE4FC3">
        <w:t xml:space="preserve"> </w:t>
      </w:r>
      <w:r w:rsidR="00B568B6" w:rsidRPr="00382917">
        <w:t>came</w:t>
      </w:r>
      <w:r w:rsidR="00EE4FC3">
        <w:t xml:space="preserve"> </w:t>
      </w:r>
      <w:r w:rsidR="00B568B6" w:rsidRPr="00382917">
        <w:t>from</w:t>
      </w:r>
      <w:r w:rsidR="00EE4FC3">
        <w:t xml:space="preserve"> </w:t>
      </w:r>
      <w:r w:rsidR="00B568B6" w:rsidRPr="00382917">
        <w:t>Assyria.</w:t>
      </w:r>
    </w:p>
    <w:p w:rsidR="00B568B6" w:rsidRPr="00382917" w:rsidRDefault="00844A5E" w:rsidP="00443994">
      <w:pPr>
        <w:pStyle w:val="Bullet2ct"/>
      </w:pPr>
      <w:r>
        <w:t>2.</w:t>
      </w:r>
      <w:r>
        <w:tab/>
      </w:r>
      <w:r w:rsidR="00B568B6" w:rsidRPr="00382917">
        <w:t>He</w:t>
      </w:r>
      <w:r w:rsidR="00EE4FC3">
        <w:t xml:space="preserve"> </w:t>
      </w:r>
      <w:r w:rsidR="00B568B6" w:rsidRPr="00382917">
        <w:t>was</w:t>
      </w:r>
      <w:r w:rsidR="00EE4FC3">
        <w:t xml:space="preserve"> </w:t>
      </w:r>
      <w:r w:rsidR="00B568B6" w:rsidRPr="00382917">
        <w:t>driven</w:t>
      </w:r>
      <w:r w:rsidR="00EE4FC3">
        <w:t xml:space="preserve"> </w:t>
      </w:r>
      <w:r w:rsidR="00B568B6" w:rsidRPr="00382917">
        <w:t>in</w:t>
      </w:r>
      <w:r w:rsidR="00EE4FC3">
        <w:t xml:space="preserve"> </w:t>
      </w:r>
      <w:r w:rsidR="00B568B6" w:rsidRPr="00382917">
        <w:t>exile</w:t>
      </w:r>
      <w:r w:rsidR="00EE4FC3">
        <w:t xml:space="preserve"> </w:t>
      </w:r>
      <w:r w:rsidR="00B568B6" w:rsidRPr="00382917">
        <w:t>to</w:t>
      </w:r>
      <w:r w:rsidR="00EE4FC3">
        <w:t xml:space="preserve"> </w:t>
      </w:r>
      <w:r w:rsidR="00664069" w:rsidRPr="00382917">
        <w:t>Ba</w:t>
      </w:r>
      <w:r w:rsidR="00664069" w:rsidRPr="00664069">
        <w:rPr>
          <w:u w:val="single"/>
        </w:rPr>
        <w:t>gh</w:t>
      </w:r>
      <w:r w:rsidR="00664069" w:rsidRPr="00382917">
        <w:t>d</w:t>
      </w:r>
      <w:r w:rsidR="00664069" w:rsidRPr="00664069">
        <w:t>á</w:t>
      </w:r>
      <w:r w:rsidR="00664069" w:rsidRPr="00382917">
        <w:t>d</w:t>
      </w:r>
      <w:r w:rsidR="00B568B6" w:rsidRPr="00382917">
        <w:t>,</w:t>
      </w:r>
      <w:r w:rsidR="00EE4FC3">
        <w:t xml:space="preserve"> </w:t>
      </w:r>
      <w:r w:rsidR="00B568B6" w:rsidRPr="00382917">
        <w:t>modern</w:t>
      </w:r>
      <w:r w:rsidR="00EE4FC3">
        <w:t xml:space="preserve"> </w:t>
      </w:r>
      <w:r w:rsidR="00B568B6" w:rsidRPr="00382917">
        <w:t>metropolis</w:t>
      </w:r>
      <w:r w:rsidR="00EE4FC3">
        <w:t xml:space="preserve"> </w:t>
      </w:r>
      <w:r w:rsidR="00B568B6" w:rsidRPr="00382917">
        <w:t>of</w:t>
      </w:r>
      <w:r w:rsidR="00EE4FC3">
        <w:t xml:space="preserve"> </w:t>
      </w:r>
      <w:r w:rsidR="00B568B6" w:rsidRPr="00382917">
        <w:t>Mesopotamia</w:t>
      </w:r>
      <w:r w:rsidR="00F267E4">
        <w:t>.</w:t>
      </w:r>
      <w:r w:rsidR="00EE4FC3">
        <w:t xml:space="preserve">  </w:t>
      </w:r>
      <w:r w:rsidR="00B568B6" w:rsidRPr="00382917">
        <w:t>It</w:t>
      </w:r>
      <w:r w:rsidR="00EE4FC3">
        <w:t xml:space="preserve"> </w:t>
      </w:r>
      <w:r w:rsidR="00B568B6" w:rsidRPr="00382917">
        <w:t>is</w:t>
      </w:r>
      <w:r w:rsidR="00EE4FC3">
        <w:t xml:space="preserve"> </w:t>
      </w:r>
      <w:r w:rsidR="00B568B6" w:rsidRPr="00382917">
        <w:t>near</w:t>
      </w:r>
      <w:r w:rsidR="00EE4FC3">
        <w:t xml:space="preserve"> </w:t>
      </w:r>
      <w:r w:rsidR="00B568B6" w:rsidRPr="00382917">
        <w:t>the</w:t>
      </w:r>
      <w:r w:rsidR="00EE4FC3">
        <w:t xml:space="preserve"> </w:t>
      </w:r>
      <w:r w:rsidR="00B568B6" w:rsidRPr="00382917">
        <w:t>site</w:t>
      </w:r>
      <w:r w:rsidR="00EE4FC3">
        <w:t xml:space="preserve"> </w:t>
      </w:r>
      <w:r w:rsidR="00B568B6" w:rsidRPr="00382917">
        <w:t>of</w:t>
      </w:r>
      <w:r w:rsidR="00EE4FC3">
        <w:t xml:space="preserve"> </w:t>
      </w:r>
      <w:r w:rsidR="00B568B6" w:rsidRPr="00382917">
        <w:t>the</w:t>
      </w:r>
      <w:r w:rsidR="00EE4FC3">
        <w:t xml:space="preserve"> </w:t>
      </w:r>
      <w:r w:rsidR="00B568B6" w:rsidRPr="00382917">
        <w:t>ancient</w:t>
      </w:r>
      <w:r w:rsidR="00EE4FC3">
        <w:t xml:space="preserve"> </w:t>
      </w:r>
      <w:r w:rsidR="00B568B6" w:rsidRPr="00382917">
        <w:t>capital,</w:t>
      </w:r>
      <w:r w:rsidR="00EE4FC3">
        <w:t xml:space="preserve"> </w:t>
      </w:r>
      <w:r w:rsidR="00B568B6" w:rsidRPr="00382917">
        <w:t>Babylon,</w:t>
      </w:r>
      <w:r w:rsidR="00EE4FC3">
        <w:t xml:space="preserve"> </w:t>
      </w:r>
      <w:r w:rsidR="00B568B6" w:rsidRPr="00382917">
        <w:t>which</w:t>
      </w:r>
      <w:r w:rsidR="00EE4FC3">
        <w:t xml:space="preserve"> </w:t>
      </w:r>
      <w:r w:rsidR="00B568B6" w:rsidRPr="00382917">
        <w:t>was</w:t>
      </w:r>
      <w:r w:rsidR="00EE4FC3">
        <w:t xml:space="preserve"> </w:t>
      </w:r>
      <w:r w:rsidR="00B568B6" w:rsidRPr="00382917">
        <w:t>queen</w:t>
      </w:r>
      <w:r w:rsidR="00EE4FC3">
        <w:t xml:space="preserve"> </w:t>
      </w:r>
      <w:r w:rsidR="00B568B6" w:rsidRPr="00382917">
        <w:t>of</w:t>
      </w:r>
      <w:r w:rsidR="00EE4FC3">
        <w:t xml:space="preserve"> </w:t>
      </w:r>
      <w:r w:rsidR="00B568B6" w:rsidRPr="00382917">
        <w:t>the</w:t>
      </w:r>
      <w:r w:rsidR="00EE4FC3">
        <w:t xml:space="preserve"> </w:t>
      </w:r>
      <w:r w:rsidR="00B568B6" w:rsidRPr="00382917">
        <w:t>region</w:t>
      </w:r>
      <w:r w:rsidR="00EE4FC3">
        <w:t xml:space="preserve"> </w:t>
      </w:r>
      <w:r w:rsidR="00B568B6" w:rsidRPr="00382917">
        <w:t>in</w:t>
      </w:r>
      <w:r w:rsidR="00EE4FC3">
        <w:t xml:space="preserve"> </w:t>
      </w:r>
      <w:r w:rsidR="00B568B6" w:rsidRPr="00382917">
        <w:t>Biblical</w:t>
      </w:r>
      <w:r w:rsidR="00EE4FC3">
        <w:t xml:space="preserve"> </w:t>
      </w:r>
      <w:r w:rsidR="00B568B6" w:rsidRPr="00382917">
        <w:t>times.</w:t>
      </w:r>
    </w:p>
    <w:p w:rsidR="00B568B6" w:rsidRPr="00382917" w:rsidRDefault="00844A5E" w:rsidP="00443994">
      <w:pPr>
        <w:pStyle w:val="Bullet2ct"/>
      </w:pPr>
      <w:r>
        <w:t>3.</w:t>
      </w:r>
      <w:r>
        <w:tab/>
      </w:r>
      <w:r w:rsidR="00B568B6" w:rsidRPr="00382917">
        <w:t>Bahá</w:t>
      </w:r>
      <w:r w:rsidR="009C713D" w:rsidRPr="00382917">
        <w:t>’</w:t>
      </w:r>
      <w:r w:rsidR="00B568B6" w:rsidRPr="00382917">
        <w:t>u</w:t>
      </w:r>
      <w:r w:rsidR="009C713D" w:rsidRPr="00382917">
        <w:t>’</w:t>
      </w:r>
      <w:r w:rsidR="00B568B6" w:rsidRPr="00382917">
        <w:t>lláh</w:t>
      </w:r>
      <w:r w:rsidR="00EE4FC3">
        <w:t xml:space="preserve"> </w:t>
      </w:r>
      <w:r w:rsidR="00B568B6" w:rsidRPr="00382917">
        <w:t>withdrew</w:t>
      </w:r>
      <w:r w:rsidR="00EE4FC3">
        <w:t xml:space="preserve"> </w:t>
      </w:r>
      <w:r w:rsidR="00B568B6" w:rsidRPr="00382917">
        <w:t>out</w:t>
      </w:r>
      <w:r w:rsidR="00EE4FC3">
        <w:t xml:space="preserve"> </w:t>
      </w:r>
      <w:r w:rsidR="00B568B6" w:rsidRPr="00382917">
        <w:t>of</w:t>
      </w:r>
      <w:r w:rsidR="00EE4FC3">
        <w:t xml:space="preserve"> </w:t>
      </w:r>
      <w:r w:rsidR="00B568B6" w:rsidRPr="00382917">
        <w:t>the</w:t>
      </w:r>
      <w:r w:rsidR="00EE4FC3">
        <w:t xml:space="preserve"> </w:t>
      </w:r>
      <w:r w:rsidR="00B568B6" w:rsidRPr="00382917">
        <w:t>city</w:t>
      </w:r>
      <w:r w:rsidR="00EE4FC3">
        <w:t xml:space="preserve"> </w:t>
      </w:r>
      <w:r w:rsidR="00B568B6" w:rsidRPr="00382917">
        <w:t>into</w:t>
      </w:r>
      <w:r w:rsidR="00EE4FC3">
        <w:t xml:space="preserve"> </w:t>
      </w:r>
      <w:r w:rsidR="00B568B6" w:rsidRPr="00382917">
        <w:t>the</w:t>
      </w:r>
      <w:r w:rsidR="00EE4FC3">
        <w:t xml:space="preserve"> </w:t>
      </w:r>
      <w:r w:rsidR="00B568B6" w:rsidRPr="00382917">
        <w:t>fields</w:t>
      </w:r>
      <w:r w:rsidR="00EE4FC3">
        <w:t xml:space="preserve"> </w:t>
      </w:r>
      <w:r w:rsidR="00B568B6" w:rsidRPr="00382917">
        <w:t>and</w:t>
      </w:r>
      <w:r w:rsidR="00EE4FC3">
        <w:t xml:space="preserve"> </w:t>
      </w:r>
      <w:r w:rsidR="00B568B6" w:rsidRPr="00382917">
        <w:t>mountains,</w:t>
      </w:r>
      <w:r w:rsidR="00EE4FC3">
        <w:t xml:space="preserve"> </w:t>
      </w:r>
      <w:r w:rsidR="00B568B6" w:rsidRPr="00382917">
        <w:t>as</w:t>
      </w:r>
      <w:r w:rsidR="00EE4FC3">
        <w:t xml:space="preserve"> </w:t>
      </w:r>
      <w:r w:rsidR="00B568B6" w:rsidRPr="00382917">
        <w:t>Christ</w:t>
      </w:r>
      <w:r w:rsidR="00EE4FC3">
        <w:t xml:space="preserve"> </w:t>
      </w:r>
      <w:r w:rsidR="00B568B6" w:rsidRPr="00382917">
        <w:t>had</w:t>
      </w:r>
      <w:r w:rsidR="00EE4FC3">
        <w:t xml:space="preserve"> </w:t>
      </w:r>
      <w:r w:rsidR="00B568B6" w:rsidRPr="00382917">
        <w:t>gone</w:t>
      </w:r>
      <w:r w:rsidR="00EE4FC3">
        <w:t xml:space="preserve"> </w:t>
      </w:r>
      <w:r w:rsidR="00B568B6" w:rsidRPr="00382917">
        <w:t>into</w:t>
      </w:r>
      <w:r w:rsidR="00EE4FC3">
        <w:t xml:space="preserve"> </w:t>
      </w:r>
      <w:r w:rsidR="00B568B6" w:rsidRPr="00382917">
        <w:t>the</w:t>
      </w:r>
      <w:r w:rsidR="00EE4FC3">
        <w:t xml:space="preserve"> </w:t>
      </w:r>
      <w:r w:rsidR="00B568B6" w:rsidRPr="00382917">
        <w:t>desert</w:t>
      </w:r>
      <w:r w:rsidR="00F267E4">
        <w:t>.</w:t>
      </w:r>
      <w:r w:rsidR="00EE4FC3">
        <w:t xml:space="preserve">  </w:t>
      </w:r>
      <w:r w:rsidR="00B568B6" w:rsidRPr="00382917">
        <w:t>After</w:t>
      </w:r>
      <w:r w:rsidR="00EE4FC3">
        <w:t xml:space="preserve"> </w:t>
      </w:r>
      <w:r w:rsidR="00B568B6" w:rsidRPr="00382917">
        <w:t>a</w:t>
      </w:r>
      <w:r w:rsidR="00EE4FC3">
        <w:t xml:space="preserve"> </w:t>
      </w:r>
      <w:r w:rsidR="00B568B6" w:rsidRPr="00382917">
        <w:t>period</w:t>
      </w:r>
      <w:r w:rsidR="00EE4FC3">
        <w:t xml:space="preserve"> </w:t>
      </w:r>
      <w:r w:rsidR="00B568B6" w:rsidRPr="00382917">
        <w:t>of</w:t>
      </w:r>
      <w:r w:rsidR="00EE4FC3">
        <w:t xml:space="preserve"> </w:t>
      </w:r>
      <w:r w:rsidR="00B568B6" w:rsidRPr="00382917">
        <w:t>prayer</w:t>
      </w:r>
      <w:r w:rsidR="00EE4FC3">
        <w:t xml:space="preserve"> </w:t>
      </w:r>
      <w:r w:rsidR="00B568B6" w:rsidRPr="00382917">
        <w:t>and</w:t>
      </w:r>
      <w:r w:rsidR="00EE4FC3">
        <w:t xml:space="preserve"> </w:t>
      </w:r>
      <w:r w:rsidR="00B568B6" w:rsidRPr="00382917">
        <w:t>meditation,</w:t>
      </w:r>
      <w:r w:rsidR="00EE4FC3">
        <w:t xml:space="preserve"> </w:t>
      </w:r>
      <w:r w:rsidR="00B568B6" w:rsidRPr="00382917">
        <w:t>He</w:t>
      </w:r>
      <w:r w:rsidR="00EE4FC3">
        <w:t xml:space="preserve"> </w:t>
      </w:r>
      <w:r w:rsidR="00B568B6" w:rsidRPr="00382917">
        <w:t>returned</w:t>
      </w:r>
      <w:r w:rsidR="00EE4FC3">
        <w:t xml:space="preserve"> </w:t>
      </w:r>
      <w:r w:rsidR="00B568B6" w:rsidRPr="00382917">
        <w:t>to</w:t>
      </w:r>
      <w:r w:rsidR="00EE4FC3">
        <w:t xml:space="preserve"> </w:t>
      </w:r>
      <w:r w:rsidR="00664069" w:rsidRPr="00382917">
        <w:t>Ba</w:t>
      </w:r>
      <w:r w:rsidR="00664069" w:rsidRPr="00664069">
        <w:rPr>
          <w:u w:val="single"/>
        </w:rPr>
        <w:t>gh</w:t>
      </w:r>
      <w:r w:rsidR="00664069" w:rsidRPr="00382917">
        <w:t>d</w:t>
      </w:r>
      <w:r w:rsidR="00664069" w:rsidRPr="00664069">
        <w:t>á</w:t>
      </w:r>
      <w:r w:rsidR="00664069" w:rsidRPr="00382917">
        <w:t>d</w:t>
      </w:r>
      <w:r w:rsidR="00EE4FC3">
        <w:t xml:space="preserve"> </w:t>
      </w:r>
      <w:r w:rsidR="00B568B6" w:rsidRPr="00382917">
        <w:t>(successor</w:t>
      </w:r>
      <w:r w:rsidR="00EE4FC3">
        <w:t xml:space="preserve"> </w:t>
      </w:r>
      <w:r w:rsidR="00B568B6" w:rsidRPr="00382917">
        <w:t>of</w:t>
      </w:r>
      <w:r w:rsidR="00EE4FC3">
        <w:t xml:space="preserve"> </w:t>
      </w:r>
      <w:r w:rsidR="00B568B6" w:rsidRPr="00382917">
        <w:t>Babylon)</w:t>
      </w:r>
      <w:r w:rsidR="00EE4FC3">
        <w:t xml:space="preserve"> </w:t>
      </w:r>
      <w:r w:rsidR="00B568B6" w:rsidRPr="00382917">
        <w:t>to</w:t>
      </w:r>
      <w:r w:rsidR="00EE4FC3">
        <w:t xml:space="preserve"> </w:t>
      </w:r>
      <w:r w:rsidR="00B568B6" w:rsidRPr="00382917">
        <w:t>make</w:t>
      </w:r>
      <w:r w:rsidR="00EE4FC3">
        <w:t xml:space="preserve"> </w:t>
      </w:r>
      <w:r w:rsidR="00B568B6" w:rsidRPr="00382917">
        <w:t>His</w:t>
      </w:r>
      <w:r w:rsidR="00EE4FC3">
        <w:t xml:space="preserve"> </w:t>
      </w:r>
      <w:r w:rsidR="00B568B6" w:rsidRPr="00382917">
        <w:t>declaration</w:t>
      </w:r>
      <w:r w:rsidR="00EE4FC3">
        <w:t xml:space="preserve"> </w:t>
      </w:r>
      <w:r w:rsidR="00B568B6" w:rsidRPr="00382917">
        <w:t>that</w:t>
      </w:r>
      <w:r w:rsidR="00EE4FC3">
        <w:t xml:space="preserve"> </w:t>
      </w:r>
      <w:r w:rsidR="00B568B6" w:rsidRPr="00382917">
        <w:t>He</w:t>
      </w:r>
      <w:r w:rsidR="00EE4FC3">
        <w:t xml:space="preserve"> </w:t>
      </w:r>
      <w:r w:rsidR="00B568B6" w:rsidRPr="00382917">
        <w:t>was</w:t>
      </w:r>
      <w:r w:rsidR="00EE4FC3">
        <w:t xml:space="preserve"> </w:t>
      </w:r>
      <w:r w:rsidR="00B568B6" w:rsidRPr="00382917">
        <w:t>the</w:t>
      </w:r>
      <w:r w:rsidR="00EE4FC3">
        <w:t xml:space="preserve"> </w:t>
      </w:r>
      <w:r w:rsidR="00B568B6" w:rsidRPr="00382917">
        <w:t>promised</w:t>
      </w:r>
      <w:r w:rsidR="00EE4FC3">
        <w:t xml:space="preserve"> </w:t>
      </w:r>
      <w:r w:rsidR="00B568B6" w:rsidRPr="00382917">
        <w:t>Redeemer</w:t>
      </w:r>
      <w:r w:rsidR="00EE4FC3">
        <w:t xml:space="preserve"> </w:t>
      </w:r>
      <w:r w:rsidR="00B568B6" w:rsidRPr="00382917">
        <w:t>of</w:t>
      </w:r>
      <w:r w:rsidR="00EE4FC3">
        <w:t xml:space="preserve"> </w:t>
      </w:r>
      <w:r w:rsidR="00B568B6" w:rsidRPr="00382917">
        <w:t>mankind.</w:t>
      </w:r>
    </w:p>
    <w:p w:rsidR="00B568B6" w:rsidRPr="00382917" w:rsidRDefault="00443994" w:rsidP="00443994">
      <w:pPr>
        <w:pStyle w:val="Bullet2ct"/>
      </w:pPr>
      <w:r>
        <w:t>4.</w:t>
      </w:r>
      <w:r>
        <w:tab/>
      </w:r>
      <w:r w:rsidR="00B568B6" w:rsidRPr="00382917">
        <w:t>He</w:t>
      </w:r>
      <w:r w:rsidR="00EE4FC3">
        <w:t xml:space="preserve"> </w:t>
      </w:r>
      <w:r w:rsidR="00B568B6" w:rsidRPr="00382917">
        <w:t>came</w:t>
      </w:r>
      <w:r w:rsidR="00EE4FC3">
        <w:t xml:space="preserve"> </w:t>
      </w:r>
      <w:r w:rsidR="00B568B6" w:rsidRPr="00382917">
        <w:t>to</w:t>
      </w:r>
      <w:r w:rsidR="00EE4FC3">
        <w:t xml:space="preserve"> </w:t>
      </w:r>
      <w:r w:rsidR="00B568B6" w:rsidRPr="00382917">
        <w:t>the</w:t>
      </w:r>
      <w:r w:rsidR="00EE4FC3">
        <w:t xml:space="preserve"> </w:t>
      </w:r>
      <w:r w:rsidR="00B568B6" w:rsidRPr="00382917">
        <w:t>Holy</w:t>
      </w:r>
      <w:r w:rsidR="00EE4FC3">
        <w:t xml:space="preserve"> </w:t>
      </w:r>
      <w:r w:rsidR="00B568B6" w:rsidRPr="00382917">
        <w:t>Land</w:t>
      </w:r>
      <w:r w:rsidR="00EE4FC3">
        <w:t xml:space="preserve"> </w:t>
      </w:r>
      <w:r w:rsidR="00B568B6" w:rsidRPr="00382917">
        <w:t>and</w:t>
      </w:r>
      <w:r w:rsidR="00EE4FC3">
        <w:t xml:space="preserve"> </w:t>
      </w:r>
      <w:r w:rsidR="00B568B6" w:rsidRPr="00382917">
        <w:t>dwelt</w:t>
      </w:r>
      <w:r w:rsidR="00EE4FC3">
        <w:t xml:space="preserve"> </w:t>
      </w:r>
      <w:r w:rsidR="00B568B6" w:rsidRPr="00382917">
        <w:t>in</w:t>
      </w:r>
      <w:r w:rsidR="00EE4FC3">
        <w:t xml:space="preserve"> </w:t>
      </w:r>
      <w:r w:rsidR="00B568B6" w:rsidRPr="00382917">
        <w:t>the</w:t>
      </w:r>
      <w:r w:rsidR="00EE4FC3">
        <w:t xml:space="preserve"> </w:t>
      </w:r>
      <w:r w:rsidR="00B568B6" w:rsidRPr="00382917">
        <w:t>midst</w:t>
      </w:r>
      <w:r w:rsidR="00EE4FC3">
        <w:t xml:space="preserve"> </w:t>
      </w:r>
      <w:r w:rsidR="00B568B6" w:rsidRPr="00382917">
        <w:t>of</w:t>
      </w:r>
      <w:r w:rsidR="00EE4FC3">
        <w:t xml:space="preserve"> </w:t>
      </w:r>
      <w:r w:rsidR="00B568B6" w:rsidRPr="00382917">
        <w:t>Carmel;</w:t>
      </w:r>
      <w:r w:rsidR="00EE4FC3">
        <w:t xml:space="preserve"> </w:t>
      </w:r>
      <w:r w:rsidR="00B568B6" w:rsidRPr="00382917">
        <w:t>from</w:t>
      </w:r>
      <w:r w:rsidR="00EE4FC3">
        <w:t xml:space="preserve"> </w:t>
      </w:r>
      <w:r w:rsidR="00B568B6" w:rsidRPr="00382917">
        <w:t>there</w:t>
      </w:r>
      <w:r w:rsidR="00EE4FC3">
        <w:t xml:space="preserve"> </w:t>
      </w:r>
      <w:r w:rsidR="00B568B6" w:rsidRPr="00382917">
        <w:t>His</w:t>
      </w:r>
      <w:r w:rsidR="00EE4FC3">
        <w:t xml:space="preserve"> </w:t>
      </w:r>
      <w:r w:rsidR="00B568B6" w:rsidRPr="00382917">
        <w:t>flock</w:t>
      </w:r>
      <w:r w:rsidR="00EE4FC3">
        <w:t xml:space="preserve"> </w:t>
      </w:r>
      <w:r w:rsidR="00B568B6" w:rsidRPr="00382917">
        <w:t>was</w:t>
      </w:r>
      <w:r w:rsidR="00EE4FC3">
        <w:t xml:space="preserve"> </w:t>
      </w:r>
      <w:r w:rsidR="00B568B6" w:rsidRPr="00382917">
        <w:t>fed</w:t>
      </w:r>
      <w:r w:rsidR="00EE4FC3">
        <w:t xml:space="preserve"> </w:t>
      </w:r>
      <w:r w:rsidR="00B568B6" w:rsidRPr="00382917">
        <w:t>by</w:t>
      </w:r>
      <w:r w:rsidR="00EE4FC3">
        <w:t xml:space="preserve"> </w:t>
      </w:r>
      <w:r w:rsidR="00B568B6" w:rsidRPr="00382917">
        <w:t>the</w:t>
      </w:r>
      <w:r w:rsidR="00EE4FC3">
        <w:t xml:space="preserve"> </w:t>
      </w:r>
      <w:r w:rsidR="00B568B6" w:rsidRPr="00382917">
        <w:t>rod</w:t>
      </w:r>
      <w:r w:rsidR="00EE4FC3">
        <w:t xml:space="preserve"> </w:t>
      </w:r>
      <w:r w:rsidR="00B568B6" w:rsidRPr="00382917">
        <w:t>of</w:t>
      </w:r>
      <w:r w:rsidR="00EE4FC3">
        <w:t xml:space="preserve"> </w:t>
      </w:r>
      <w:r w:rsidR="00B568B6" w:rsidRPr="00382917">
        <w:t>His</w:t>
      </w:r>
      <w:r w:rsidR="00EE4FC3">
        <w:t xml:space="preserve"> </w:t>
      </w:r>
      <w:r w:rsidR="00B568B6" w:rsidRPr="00382917">
        <w:t>teachings,</w:t>
      </w:r>
      <w:r w:rsidR="00EE4FC3">
        <w:t xml:space="preserve"> </w:t>
      </w:r>
      <w:r w:rsidR="00B568B6" w:rsidRPr="00382917">
        <w:t>for</w:t>
      </w:r>
      <w:r w:rsidR="00EE4FC3">
        <w:t xml:space="preserve"> </w:t>
      </w:r>
      <w:r w:rsidR="00B568B6" w:rsidRPr="00382917">
        <w:t>Mount</w:t>
      </w:r>
      <w:r w:rsidR="00EE4FC3">
        <w:t xml:space="preserve"> </w:t>
      </w:r>
      <w:r w:rsidR="00B568B6" w:rsidRPr="00382917">
        <w:t>Carmel</w:t>
      </w:r>
      <w:r w:rsidR="00EE4FC3">
        <w:t xml:space="preserve"> </w:t>
      </w:r>
      <w:r w:rsidR="00B568B6" w:rsidRPr="00382917">
        <w:t>is</w:t>
      </w:r>
      <w:r w:rsidR="00EE4FC3">
        <w:t xml:space="preserve"> </w:t>
      </w:r>
      <w:r w:rsidR="00B568B6" w:rsidRPr="00382917">
        <w:t>the</w:t>
      </w:r>
      <w:r w:rsidR="00EE4FC3">
        <w:t xml:space="preserve"> </w:t>
      </w:r>
      <w:r w:rsidR="00B568B6" w:rsidRPr="00382917">
        <w:t>world</w:t>
      </w:r>
      <w:r w:rsidR="00EE4FC3">
        <w:t xml:space="preserve"> </w:t>
      </w:r>
      <w:proofErr w:type="spellStart"/>
      <w:r w:rsidR="00B568B6" w:rsidRPr="00382917">
        <w:t>center</w:t>
      </w:r>
      <w:proofErr w:type="spellEnd"/>
      <w:r w:rsidR="00EE4FC3">
        <w:t xml:space="preserve"> </w:t>
      </w:r>
      <w:r w:rsidR="00B568B6" w:rsidRPr="00382917">
        <w:t>of</w:t>
      </w:r>
      <w:r w:rsidR="00EE4FC3">
        <w:t xml:space="preserve"> </w:t>
      </w:r>
      <w:r w:rsidR="00B568B6" w:rsidRPr="00382917">
        <w:t>His</w:t>
      </w:r>
      <w:r w:rsidR="00EE4FC3">
        <w:t xml:space="preserve"> </w:t>
      </w:r>
      <w:r w:rsidR="00B568B6" w:rsidRPr="00382917">
        <w:t>Faith,</w:t>
      </w:r>
      <w:r w:rsidR="00EE4FC3">
        <w:t xml:space="preserve"> </w:t>
      </w:r>
      <w:r w:rsidR="00B568B6" w:rsidRPr="00382917">
        <w:t>and</w:t>
      </w:r>
      <w:r w:rsidR="00EE4FC3">
        <w:t xml:space="preserve"> </w:t>
      </w:r>
      <w:r w:rsidR="00B568B6" w:rsidRPr="00382917">
        <w:t>the</w:t>
      </w:r>
      <w:r w:rsidR="00EE4FC3">
        <w:t xml:space="preserve"> </w:t>
      </w:r>
      <w:r w:rsidR="00B568B6" w:rsidRPr="00382917">
        <w:t>site</w:t>
      </w:r>
      <w:r w:rsidR="00EE4FC3">
        <w:t xml:space="preserve"> </w:t>
      </w:r>
      <w:r w:rsidR="00B568B6" w:rsidRPr="00382917">
        <w:t>of</w:t>
      </w:r>
      <w:r w:rsidR="00EE4FC3">
        <w:t xml:space="preserve"> </w:t>
      </w:r>
      <w:r w:rsidR="00B568B6" w:rsidRPr="00382917">
        <w:t>many</w:t>
      </w:r>
      <w:r w:rsidR="00EE4FC3">
        <w:t xml:space="preserve"> </w:t>
      </w:r>
      <w:r w:rsidR="00B568B6" w:rsidRPr="00382917">
        <w:t>of</w:t>
      </w:r>
      <w:r w:rsidR="00EE4FC3">
        <w:t xml:space="preserve"> </w:t>
      </w:r>
      <w:r w:rsidR="00B568B6" w:rsidRPr="00382917">
        <w:t>its</w:t>
      </w:r>
      <w:r w:rsidR="00EE4FC3">
        <w:t xml:space="preserve"> </w:t>
      </w:r>
      <w:r w:rsidR="00B568B6" w:rsidRPr="00382917">
        <w:t>holy</w:t>
      </w:r>
      <w:r w:rsidR="00EE4FC3">
        <w:t xml:space="preserve"> </w:t>
      </w:r>
      <w:r w:rsidR="00B568B6" w:rsidRPr="00382917">
        <w:t>places.</w:t>
      </w:r>
    </w:p>
    <w:p w:rsidR="00B568B6" w:rsidRPr="00382917" w:rsidRDefault="00443994" w:rsidP="00443994">
      <w:pPr>
        <w:pStyle w:val="Bullet2ct"/>
      </w:pPr>
      <w:r>
        <w:t>5.</w:t>
      </w:r>
      <w:r>
        <w:tab/>
      </w:r>
      <w:r w:rsidR="00B568B6" w:rsidRPr="00382917">
        <w:t>Bahá</w:t>
      </w:r>
      <w:r w:rsidR="009C713D" w:rsidRPr="00382917">
        <w:t>’</w:t>
      </w:r>
      <w:r w:rsidR="00B568B6" w:rsidRPr="00382917">
        <w:t>u</w:t>
      </w:r>
      <w:r w:rsidR="009C713D" w:rsidRPr="00382917">
        <w:t>’</w:t>
      </w:r>
      <w:r w:rsidR="00B568B6" w:rsidRPr="00382917">
        <w:t>lláh</w:t>
      </w:r>
      <w:r w:rsidR="00EE4FC3">
        <w:t xml:space="preserve"> </w:t>
      </w:r>
      <w:r w:rsidR="00B568B6" w:rsidRPr="00382917">
        <w:t>came</w:t>
      </w:r>
      <w:r w:rsidR="00EE4FC3">
        <w:t xml:space="preserve"> </w:t>
      </w:r>
      <w:r w:rsidR="00B568B6" w:rsidRPr="00382917">
        <w:t>from</w:t>
      </w:r>
      <w:r w:rsidR="00EE4FC3">
        <w:t xml:space="preserve"> </w:t>
      </w:r>
      <w:r w:rsidR="00B568B6" w:rsidRPr="00382917">
        <w:t>Assyria</w:t>
      </w:r>
      <w:r w:rsidR="00EE4FC3">
        <w:t xml:space="preserve"> </w:t>
      </w:r>
      <w:r w:rsidR="00B568B6" w:rsidRPr="00382917">
        <w:t>to</w:t>
      </w:r>
      <w:r w:rsidR="00EE4FC3">
        <w:t xml:space="preserve"> </w:t>
      </w:r>
      <w:r w:rsidR="00B568B6" w:rsidRPr="00382917">
        <w:t>Babylon</w:t>
      </w:r>
      <w:r w:rsidR="00F267E4">
        <w:t>.</w:t>
      </w:r>
      <w:r w:rsidR="00EE4FC3">
        <w:t xml:space="preserve">  </w:t>
      </w:r>
      <w:r w:rsidR="00B568B6" w:rsidRPr="00382917">
        <w:t>He</w:t>
      </w:r>
      <w:r w:rsidR="00EE4FC3">
        <w:t xml:space="preserve"> </w:t>
      </w:r>
      <w:r w:rsidR="00B568B6" w:rsidRPr="00382917">
        <w:t>was</w:t>
      </w:r>
      <w:r w:rsidR="00EE4FC3">
        <w:t xml:space="preserve"> </w:t>
      </w:r>
      <w:r w:rsidR="00B568B6" w:rsidRPr="00382917">
        <w:t>then</w:t>
      </w:r>
      <w:r w:rsidR="00EE4FC3">
        <w:t xml:space="preserve"> </w:t>
      </w:r>
      <w:r w:rsidR="00B568B6" w:rsidRPr="00382917">
        <w:t>marched</w:t>
      </w:r>
      <w:r w:rsidR="00EE4FC3">
        <w:t xml:space="preserve"> </w:t>
      </w:r>
      <w:r w:rsidR="00B568B6" w:rsidRPr="00382917">
        <w:t>over</w:t>
      </w:r>
      <w:r w:rsidR="00EE4FC3">
        <w:t xml:space="preserve"> </w:t>
      </w:r>
      <w:r w:rsidR="00B568B6" w:rsidRPr="00382917">
        <w:t>land</w:t>
      </w:r>
      <w:r w:rsidR="00EE4FC3">
        <w:t xml:space="preserve"> </w:t>
      </w:r>
      <w:r w:rsidR="00B568B6" w:rsidRPr="00382917">
        <w:t>as</w:t>
      </w:r>
      <w:r w:rsidR="00EE4FC3">
        <w:t xml:space="preserve"> </w:t>
      </w:r>
      <w:r w:rsidR="00B568B6" w:rsidRPr="00382917">
        <w:t>a</w:t>
      </w:r>
      <w:r w:rsidR="00EE4FC3">
        <w:t xml:space="preserve"> </w:t>
      </w:r>
      <w:r w:rsidR="00B568B6" w:rsidRPr="00382917">
        <w:t>prisoner,</w:t>
      </w:r>
      <w:r w:rsidR="00EE4FC3">
        <w:t xml:space="preserve"> </w:t>
      </w:r>
      <w:r w:rsidR="00B568B6" w:rsidRPr="00382917">
        <w:t>and</w:t>
      </w:r>
      <w:r w:rsidR="00EE4FC3">
        <w:t xml:space="preserve"> </w:t>
      </w:r>
      <w:r w:rsidR="00B568B6" w:rsidRPr="00382917">
        <w:t>finally</w:t>
      </w:r>
      <w:r w:rsidR="00EE4FC3">
        <w:t xml:space="preserve"> </w:t>
      </w:r>
      <w:r w:rsidR="00B568B6" w:rsidRPr="00382917">
        <w:t>shipped</w:t>
      </w:r>
      <w:r w:rsidR="00EE4FC3">
        <w:t xml:space="preserve"> </w:t>
      </w:r>
      <w:r w:rsidR="00B568B6" w:rsidRPr="00382917">
        <w:t>by</w:t>
      </w:r>
      <w:r w:rsidR="00EE4FC3">
        <w:t xml:space="preserve"> </w:t>
      </w:r>
      <w:r w:rsidR="00B568B6" w:rsidRPr="00382917">
        <w:t>sea</w:t>
      </w:r>
      <w:r w:rsidR="00EE4FC3">
        <w:t xml:space="preserve"> </w:t>
      </w:r>
      <w:r w:rsidR="00B568B6" w:rsidRPr="00382917">
        <w:t>to</w:t>
      </w:r>
      <w:r w:rsidR="00EE4FC3">
        <w:t xml:space="preserve"> </w:t>
      </w:r>
      <w:r w:rsidR="00B568B6" w:rsidRPr="00382917">
        <w:t>the</w:t>
      </w:r>
      <w:r w:rsidR="00EE4FC3">
        <w:t xml:space="preserve"> </w:t>
      </w:r>
      <w:r w:rsidR="00B568B6" w:rsidRPr="00382917">
        <w:t>fortified</w:t>
      </w:r>
      <w:r w:rsidR="00EE4FC3">
        <w:t xml:space="preserve"> </w:t>
      </w:r>
      <w:r w:rsidR="00B568B6" w:rsidRPr="00382917">
        <w:t>city</w:t>
      </w:r>
      <w:r w:rsidR="00EE4FC3">
        <w:t xml:space="preserve"> </w:t>
      </w:r>
      <w:r w:rsidR="00B568B6" w:rsidRPr="00382917">
        <w:t>of</w:t>
      </w:r>
      <w:r w:rsidR="00EE4FC3">
        <w:t xml:space="preserve"> </w:t>
      </w:r>
      <w:r w:rsidR="00B568B6" w:rsidRPr="00382917">
        <w:t>Constantinople</w:t>
      </w:r>
      <w:r w:rsidR="00F267E4">
        <w:t>.</w:t>
      </w:r>
      <w:r w:rsidR="00EE4FC3">
        <w:t xml:space="preserve">  </w:t>
      </w:r>
      <w:r w:rsidR="00B568B6" w:rsidRPr="00382917">
        <w:t>He</w:t>
      </w:r>
      <w:r w:rsidR="00EE4FC3">
        <w:t xml:space="preserve"> </w:t>
      </w:r>
      <w:r w:rsidR="00B568B6" w:rsidRPr="00382917">
        <w:t>was</w:t>
      </w:r>
      <w:r w:rsidR="00EE4FC3">
        <w:t xml:space="preserve"> </w:t>
      </w:r>
      <w:r w:rsidR="00B568B6" w:rsidRPr="00382917">
        <w:t>later</w:t>
      </w:r>
      <w:r w:rsidR="00EE4FC3">
        <w:t xml:space="preserve"> </w:t>
      </w:r>
      <w:r w:rsidR="00B568B6" w:rsidRPr="00382917">
        <w:t>exiled</w:t>
      </w:r>
      <w:r w:rsidR="00EE4FC3">
        <w:t xml:space="preserve"> </w:t>
      </w:r>
      <w:r w:rsidR="00B568B6" w:rsidRPr="00382917">
        <w:t>further,</w:t>
      </w:r>
      <w:r w:rsidR="00EE4FC3">
        <w:t xml:space="preserve"> </w:t>
      </w:r>
      <w:r w:rsidR="00B568B6" w:rsidRPr="00382917">
        <w:t>and</w:t>
      </w:r>
      <w:r w:rsidR="00EE4FC3">
        <w:t xml:space="preserve"> </w:t>
      </w:r>
      <w:r w:rsidR="00B568B6" w:rsidRPr="00382917">
        <w:t>came</w:t>
      </w:r>
      <w:r w:rsidR="00EE4FC3">
        <w:t xml:space="preserve"> </w:t>
      </w:r>
      <w:r w:rsidR="00B568B6" w:rsidRPr="00382917">
        <w:t>by</w:t>
      </w:r>
      <w:r w:rsidR="00EE4FC3">
        <w:t xml:space="preserve"> </w:t>
      </w:r>
      <w:r w:rsidR="00B568B6" w:rsidRPr="00382917">
        <w:t>sea</w:t>
      </w:r>
      <w:r w:rsidR="00EE4FC3">
        <w:t xml:space="preserve"> </w:t>
      </w:r>
      <w:r w:rsidR="00B568B6" w:rsidRPr="00382917">
        <w:t>to</w:t>
      </w:r>
      <w:r w:rsidR="00EE4FC3">
        <w:t xml:space="preserve"> </w:t>
      </w:r>
      <w:r w:rsidR="00B568B6" w:rsidRPr="00382917">
        <w:t>the</w:t>
      </w:r>
      <w:r w:rsidR="00EE4FC3">
        <w:t xml:space="preserve"> </w:t>
      </w:r>
      <w:r w:rsidR="00B568B6" w:rsidRPr="00382917">
        <w:t>fortified</w:t>
      </w:r>
      <w:r w:rsidR="00EE4FC3">
        <w:t xml:space="preserve"> </w:t>
      </w:r>
      <w:r w:rsidR="00B568B6" w:rsidRPr="00382917">
        <w:t>city</w:t>
      </w:r>
      <w:r w:rsidR="00EE4FC3">
        <w:t xml:space="preserve"> </w:t>
      </w:r>
      <w:r w:rsidR="00B568B6" w:rsidRPr="00382917">
        <w:t>of</w:t>
      </w:r>
      <w:r w:rsidR="00EE4FC3">
        <w:t xml:space="preserve"> </w:t>
      </w:r>
      <w:r w:rsidR="009C713D" w:rsidRPr="00382917">
        <w:t>‘</w:t>
      </w:r>
      <w:r w:rsidR="00B568B6" w:rsidRPr="00382917">
        <w:t>Akká</w:t>
      </w:r>
      <w:r w:rsidR="00F267E4">
        <w:t>.</w:t>
      </w:r>
      <w:r w:rsidR="00EE4FC3">
        <w:t xml:space="preserve">  </w:t>
      </w:r>
      <w:r w:rsidR="00B568B6" w:rsidRPr="00382917">
        <w:t>For</w:t>
      </w:r>
      <w:r w:rsidR="00EE4FC3">
        <w:t xml:space="preserve"> </w:t>
      </w:r>
      <w:r w:rsidR="00B568B6" w:rsidRPr="00382917">
        <w:t>two</w:t>
      </w:r>
      <w:r w:rsidR="00EE4FC3">
        <w:t xml:space="preserve"> </w:t>
      </w:r>
      <w:r w:rsidR="00B568B6" w:rsidRPr="00382917">
        <w:t>years</w:t>
      </w:r>
      <w:r w:rsidR="00EE4FC3">
        <w:t xml:space="preserve"> </w:t>
      </w:r>
      <w:r w:rsidR="00B568B6" w:rsidRPr="00382917">
        <w:t>He</w:t>
      </w:r>
      <w:r w:rsidR="00EE4FC3">
        <w:t xml:space="preserve"> </w:t>
      </w:r>
      <w:r w:rsidR="00B568B6" w:rsidRPr="00382917">
        <w:t>was</w:t>
      </w:r>
      <w:r w:rsidR="00EE4FC3">
        <w:t xml:space="preserve"> </w:t>
      </w:r>
      <w:r w:rsidR="00B568B6" w:rsidRPr="00382917">
        <w:t>confined</w:t>
      </w:r>
      <w:r w:rsidR="00EE4FC3">
        <w:t xml:space="preserve"> </w:t>
      </w:r>
      <w:r w:rsidR="00B568B6" w:rsidRPr="00382917">
        <w:t>in</w:t>
      </w:r>
      <w:r w:rsidR="00EE4FC3">
        <w:t xml:space="preserve"> </w:t>
      </w:r>
      <w:r w:rsidR="00B568B6" w:rsidRPr="00382917">
        <w:t>a</w:t>
      </w:r>
      <w:r w:rsidR="00EE4FC3">
        <w:t xml:space="preserve"> </w:t>
      </w:r>
      <w:r w:rsidR="00B568B6" w:rsidRPr="00382917">
        <w:t>cell</w:t>
      </w:r>
      <w:r w:rsidR="00EE4FC3">
        <w:t xml:space="preserve"> </w:t>
      </w:r>
      <w:r w:rsidR="00B568B6" w:rsidRPr="00382917">
        <w:t>in</w:t>
      </w:r>
      <w:r w:rsidR="00EE4FC3">
        <w:t xml:space="preserve"> </w:t>
      </w:r>
      <w:r w:rsidR="00B568B6" w:rsidRPr="00382917">
        <w:t>the</w:t>
      </w:r>
      <w:r w:rsidR="00EE4FC3">
        <w:t xml:space="preserve"> </w:t>
      </w:r>
      <w:r w:rsidR="00B568B6" w:rsidRPr="00382917">
        <w:t>fortress</w:t>
      </w:r>
      <w:r w:rsidR="00EE4FC3">
        <w:t xml:space="preserve"> </w:t>
      </w:r>
      <w:r w:rsidR="00B568B6" w:rsidRPr="00382917">
        <w:t>prison</w:t>
      </w:r>
      <w:r w:rsidR="00F267E4">
        <w:t>.</w:t>
      </w:r>
      <w:r w:rsidR="00EE4FC3">
        <w:t xml:space="preserve">  </w:t>
      </w:r>
      <w:r w:rsidR="00B568B6" w:rsidRPr="00382917">
        <w:t>After</w:t>
      </w:r>
      <w:r w:rsidR="00EE4FC3">
        <w:t xml:space="preserve"> </w:t>
      </w:r>
      <w:r w:rsidR="00B568B6" w:rsidRPr="00382917">
        <w:t>nine</w:t>
      </w:r>
      <w:r w:rsidR="00EE4FC3">
        <w:t xml:space="preserve"> </w:t>
      </w:r>
      <w:r w:rsidR="00B568B6" w:rsidRPr="00382917">
        <w:t>years</w:t>
      </w:r>
      <w:r w:rsidR="00EE4FC3">
        <w:t xml:space="preserve"> </w:t>
      </w:r>
      <w:r w:rsidR="00B568B6" w:rsidRPr="00382917">
        <w:t>within</w:t>
      </w:r>
      <w:r w:rsidR="00EE4FC3">
        <w:t xml:space="preserve"> </w:t>
      </w:r>
      <w:r w:rsidR="00B568B6" w:rsidRPr="00382917">
        <w:t>the</w:t>
      </w:r>
      <w:r w:rsidR="00EE4FC3">
        <w:t xml:space="preserve"> </w:t>
      </w:r>
      <w:r w:rsidR="00B568B6" w:rsidRPr="00382917">
        <w:t>prison</w:t>
      </w:r>
      <w:r w:rsidR="00EE4FC3">
        <w:t xml:space="preserve"> </w:t>
      </w:r>
      <w:r w:rsidR="00B568B6" w:rsidRPr="00382917">
        <w:t>walls</w:t>
      </w:r>
      <w:r w:rsidR="00EE4FC3">
        <w:t xml:space="preserve"> </w:t>
      </w:r>
      <w:r w:rsidR="00B568B6" w:rsidRPr="00382917">
        <w:t>of</w:t>
      </w:r>
      <w:r w:rsidR="00EE4FC3">
        <w:t xml:space="preserve"> </w:t>
      </w:r>
      <w:r w:rsidR="009C713D" w:rsidRPr="00382917">
        <w:t>‘</w:t>
      </w:r>
      <w:r w:rsidR="00B568B6" w:rsidRPr="00382917">
        <w:t>Akká,</w:t>
      </w:r>
      <w:r w:rsidR="00EE4FC3">
        <w:t xml:space="preserve"> </w:t>
      </w:r>
      <w:r w:rsidR="00B568B6" w:rsidRPr="00382917">
        <w:t>Bahá</w:t>
      </w:r>
      <w:r w:rsidR="009C713D" w:rsidRPr="00382917">
        <w:t>’</w:t>
      </w:r>
      <w:r w:rsidR="00B568B6" w:rsidRPr="00382917">
        <w:t>u</w:t>
      </w:r>
      <w:r w:rsidR="009C713D" w:rsidRPr="00382917">
        <w:t>’</w:t>
      </w:r>
      <w:r w:rsidR="00B568B6" w:rsidRPr="00382917">
        <w:t>lláh</w:t>
      </w:r>
      <w:r w:rsidR="00EE4FC3">
        <w:t xml:space="preserve"> </w:t>
      </w:r>
      <w:r w:rsidR="00B568B6" w:rsidRPr="00382917">
        <w:t>was</w:t>
      </w:r>
      <w:r w:rsidR="00EE4FC3">
        <w:t xml:space="preserve"> </w:t>
      </w:r>
      <w:r w:rsidR="00B568B6" w:rsidRPr="00382917">
        <w:t>at</w:t>
      </w:r>
      <w:r w:rsidR="00EE4FC3">
        <w:t xml:space="preserve"> </w:t>
      </w:r>
      <w:r w:rsidR="00B568B6" w:rsidRPr="00382917">
        <w:t>last</w:t>
      </w:r>
      <w:r w:rsidR="00EE4FC3">
        <w:t xml:space="preserve"> </w:t>
      </w:r>
      <w:r w:rsidR="00B568B6" w:rsidRPr="00382917">
        <w:t>permitted</w:t>
      </w:r>
      <w:r w:rsidR="00EE4FC3">
        <w:t xml:space="preserve"> </w:t>
      </w:r>
      <w:r w:rsidR="00B568B6" w:rsidRPr="00382917">
        <w:t>to</w:t>
      </w:r>
      <w:r w:rsidR="00EE4FC3">
        <w:t xml:space="preserve"> </w:t>
      </w:r>
      <w:r w:rsidR="00B568B6" w:rsidRPr="00382917">
        <w:t>leave</w:t>
      </w:r>
      <w:r w:rsidR="00EE4FC3">
        <w:t xml:space="preserve"> </w:t>
      </w:r>
      <w:r w:rsidR="00B568B6" w:rsidRPr="00382917">
        <w:t>the</w:t>
      </w:r>
      <w:r w:rsidR="00EE4FC3">
        <w:t xml:space="preserve"> </w:t>
      </w:r>
      <w:r w:rsidR="00B568B6" w:rsidRPr="00382917">
        <w:t>shadow</w:t>
      </w:r>
      <w:r w:rsidR="00EE4FC3">
        <w:t xml:space="preserve"> </w:t>
      </w:r>
      <w:r w:rsidR="00B568B6" w:rsidRPr="00382917">
        <w:t>of</w:t>
      </w:r>
      <w:r w:rsidR="00EE4FC3">
        <w:t xml:space="preserve"> </w:t>
      </w:r>
      <w:r w:rsidR="00B568B6" w:rsidRPr="00382917">
        <w:t>the</w:t>
      </w:r>
      <w:r w:rsidR="00EE4FC3">
        <w:t xml:space="preserve"> </w:t>
      </w:r>
      <w:r w:rsidR="00B568B6" w:rsidRPr="00382917">
        <w:t>fortress</w:t>
      </w:r>
      <w:r w:rsidR="00EE4FC3">
        <w:t xml:space="preserve"> </w:t>
      </w:r>
      <w:r w:rsidR="00B568B6" w:rsidRPr="00382917">
        <w:t>and</w:t>
      </w:r>
      <w:r w:rsidR="00EE4FC3">
        <w:t xml:space="preserve"> </w:t>
      </w:r>
      <w:r w:rsidR="00B568B6" w:rsidRPr="00382917">
        <w:t>go</w:t>
      </w:r>
      <w:r w:rsidR="00EE4FC3">
        <w:t xml:space="preserve"> </w:t>
      </w:r>
      <w:r w:rsidR="00B568B6" w:rsidRPr="00382917">
        <w:t>out</w:t>
      </w:r>
      <w:r w:rsidR="00EE4FC3">
        <w:t xml:space="preserve"> </w:t>
      </w:r>
      <w:r w:rsidR="00B568B6" w:rsidRPr="00382917">
        <w:t>to</w:t>
      </w:r>
      <w:r w:rsidR="00EE4FC3">
        <w:t xml:space="preserve"> </w:t>
      </w:r>
      <w:r w:rsidR="00B568B6" w:rsidRPr="00382917">
        <w:t>the</w:t>
      </w:r>
      <w:r w:rsidR="00EE4FC3">
        <w:t xml:space="preserve"> </w:t>
      </w:r>
      <w:r w:rsidR="00B568B6" w:rsidRPr="00382917">
        <w:t>river</w:t>
      </w:r>
      <w:r w:rsidR="00EE4FC3">
        <w:t xml:space="preserve"> </w:t>
      </w:r>
      <w:r w:rsidR="00B568B6" w:rsidRPr="00382917">
        <w:t>which</w:t>
      </w:r>
      <w:r w:rsidR="00EE4FC3">
        <w:t xml:space="preserve"> </w:t>
      </w:r>
      <w:r w:rsidR="00B568B6" w:rsidRPr="00382917">
        <w:t>flowed</w:t>
      </w:r>
      <w:r w:rsidR="00EE4FC3">
        <w:t xml:space="preserve"> </w:t>
      </w:r>
      <w:r w:rsidR="00B568B6" w:rsidRPr="00382917">
        <w:t>around</w:t>
      </w:r>
      <w:r w:rsidR="00EE4FC3">
        <w:t xml:space="preserve"> </w:t>
      </w:r>
      <w:r w:rsidR="00B568B6" w:rsidRPr="00382917">
        <w:t>an</w:t>
      </w:r>
      <w:r w:rsidR="00EE4FC3">
        <w:t xml:space="preserve"> </w:t>
      </w:r>
      <w:r w:rsidR="00B568B6" w:rsidRPr="00382917">
        <w:t>island</w:t>
      </w:r>
      <w:r w:rsidR="00EE4FC3">
        <w:t xml:space="preserve"> </w:t>
      </w:r>
      <w:r w:rsidR="00B568B6" w:rsidRPr="00382917">
        <w:t>in</w:t>
      </w:r>
      <w:r w:rsidR="00EE4FC3">
        <w:t xml:space="preserve"> </w:t>
      </w:r>
      <w:r w:rsidR="00B568B6" w:rsidRPr="00382917">
        <w:t>the</w:t>
      </w:r>
      <w:r w:rsidR="00EE4FC3">
        <w:t xml:space="preserve"> </w:t>
      </w:r>
      <w:r w:rsidR="00B568B6" w:rsidRPr="00382917">
        <w:t>garden</w:t>
      </w:r>
      <w:r w:rsidR="00EE4FC3">
        <w:t xml:space="preserve"> </w:t>
      </w:r>
      <w:r w:rsidR="00B568B6" w:rsidRPr="00382917">
        <w:t>of</w:t>
      </w:r>
      <w:r w:rsidR="00EE4FC3">
        <w:t xml:space="preserve"> </w:t>
      </w:r>
      <w:r w:rsidR="00B568B6" w:rsidRPr="00382917">
        <w:t>Ri</w:t>
      </w:r>
      <w:r w:rsidR="00F267E4" w:rsidRPr="00F267E4">
        <w:t>ḍ</w:t>
      </w:r>
      <w:r w:rsidR="00B568B6" w:rsidRPr="00382917">
        <w:t>ván</w:t>
      </w:r>
      <w:r w:rsidR="00F267E4">
        <w:t>.</w:t>
      </w:r>
      <w:r w:rsidR="00EE4FC3">
        <w:t xml:space="preserve">  </w:t>
      </w:r>
      <w:r w:rsidR="00B568B6" w:rsidRPr="00382917">
        <w:t>As</w:t>
      </w:r>
      <w:r w:rsidR="00EE4FC3">
        <w:t xml:space="preserve"> </w:t>
      </w:r>
      <w:r w:rsidR="00B568B6" w:rsidRPr="00382917">
        <w:t>a</w:t>
      </w:r>
      <w:r w:rsidR="00EE4FC3">
        <w:t xml:space="preserve"> </w:t>
      </w:r>
      <w:r w:rsidR="00B568B6" w:rsidRPr="00382917">
        <w:t>prisoner,</w:t>
      </w:r>
      <w:r w:rsidR="00EE4FC3">
        <w:t xml:space="preserve"> </w:t>
      </w:r>
      <w:r w:rsidR="00B568B6" w:rsidRPr="00382917">
        <w:t>he</w:t>
      </w:r>
      <w:r w:rsidR="00EE4FC3">
        <w:t xml:space="preserve"> </w:t>
      </w:r>
      <w:r w:rsidR="00B568B6" w:rsidRPr="00382917">
        <w:t>was</w:t>
      </w:r>
      <w:r w:rsidR="00EE4FC3">
        <w:t xml:space="preserve"> </w:t>
      </w:r>
      <w:r w:rsidR="00B568B6" w:rsidRPr="00382917">
        <w:t>shipped</w:t>
      </w:r>
      <w:r w:rsidR="00EE4FC3">
        <w:t xml:space="preserve"> </w:t>
      </w:r>
      <w:r w:rsidR="00B568B6" w:rsidRPr="00382917">
        <w:t>across</w:t>
      </w:r>
      <w:r w:rsidR="00EE4FC3">
        <w:t xml:space="preserve"> </w:t>
      </w:r>
      <w:r w:rsidR="00B568B6" w:rsidRPr="00382917">
        <w:t>the</w:t>
      </w:r>
      <w:r w:rsidR="00EE4FC3">
        <w:t xml:space="preserve"> </w:t>
      </w:r>
      <w:r w:rsidR="00B568B6" w:rsidRPr="00382917">
        <w:t>Black</w:t>
      </w:r>
      <w:r w:rsidR="00EE4FC3">
        <w:t xml:space="preserve"> </w:t>
      </w:r>
      <w:r w:rsidR="00B568B6" w:rsidRPr="00382917">
        <w:t>Sea</w:t>
      </w:r>
      <w:r w:rsidR="00EE4FC3">
        <w:t xml:space="preserve"> </w:t>
      </w:r>
      <w:r w:rsidR="00B568B6" w:rsidRPr="00382917">
        <w:t>to</w:t>
      </w:r>
      <w:r w:rsidR="00EE4FC3">
        <w:t xml:space="preserve"> </w:t>
      </w:r>
      <w:r w:rsidR="00B568B6" w:rsidRPr="00382917">
        <w:t>Constantinople,</w:t>
      </w:r>
      <w:r w:rsidR="00EE4FC3">
        <w:t xml:space="preserve"> </w:t>
      </w:r>
      <w:r w:rsidR="00B568B6" w:rsidRPr="00382917">
        <w:t>and</w:t>
      </w:r>
      <w:r w:rsidR="00EE4FC3">
        <w:t xml:space="preserve"> </w:t>
      </w:r>
      <w:r w:rsidR="00B568B6" w:rsidRPr="00382917">
        <w:t>via</w:t>
      </w:r>
      <w:r w:rsidR="00EE4FC3">
        <w:t xml:space="preserve"> </w:t>
      </w:r>
      <w:r w:rsidR="00B568B6" w:rsidRPr="00382917">
        <w:t>the</w:t>
      </w:r>
      <w:r w:rsidR="00EE4FC3">
        <w:t xml:space="preserve"> </w:t>
      </w:r>
      <w:r w:rsidR="00B568B6" w:rsidRPr="00382917">
        <w:t>Mediterranean</w:t>
      </w:r>
      <w:r w:rsidR="00EE4FC3">
        <w:t xml:space="preserve"> </w:t>
      </w:r>
      <w:r w:rsidR="00B568B6" w:rsidRPr="00382917">
        <w:t>Sea</w:t>
      </w:r>
      <w:r w:rsidR="00EE4FC3">
        <w:t xml:space="preserve"> </w:t>
      </w:r>
      <w:r w:rsidR="00B568B6" w:rsidRPr="00382917">
        <w:t>to</w:t>
      </w:r>
      <w:r w:rsidR="00EE4FC3">
        <w:t xml:space="preserve"> </w:t>
      </w:r>
      <w:r w:rsidR="00B568B6" w:rsidRPr="00382917">
        <w:t>Haifa</w:t>
      </w:r>
      <w:r w:rsidR="00EE4FC3">
        <w:t xml:space="preserve"> </w:t>
      </w:r>
      <w:r w:rsidR="00B568B6" w:rsidRPr="00382917">
        <w:t>and</w:t>
      </w:r>
      <w:r w:rsidR="00EE4FC3">
        <w:t xml:space="preserve"> </w:t>
      </w:r>
      <w:r w:rsidR="009C713D" w:rsidRPr="00382917">
        <w:t>‘</w:t>
      </w:r>
      <w:r w:rsidR="00B568B6" w:rsidRPr="00382917">
        <w:t>Akká</w:t>
      </w:r>
      <w:r w:rsidR="00F267E4">
        <w:t>.</w:t>
      </w:r>
      <w:r w:rsidR="00EE4FC3">
        <w:t xml:space="preserve">  </w:t>
      </w:r>
      <w:r w:rsidR="00B568B6" w:rsidRPr="00382917">
        <w:t>Bahá</w:t>
      </w:r>
      <w:r w:rsidR="009C713D" w:rsidRPr="00382917">
        <w:t>’</w:t>
      </w:r>
      <w:r w:rsidR="00B568B6" w:rsidRPr="00382917">
        <w:t>u</w:t>
      </w:r>
      <w:r w:rsidR="009C713D" w:rsidRPr="00382917">
        <w:t>’</w:t>
      </w:r>
      <w:r w:rsidR="00B568B6" w:rsidRPr="00382917">
        <w:t>lláh</w:t>
      </w:r>
      <w:r w:rsidR="00EE4FC3">
        <w:t xml:space="preserve"> </w:t>
      </w:r>
      <w:r w:rsidR="00B568B6" w:rsidRPr="00382917">
        <w:t>withdrew</w:t>
      </w:r>
      <w:r w:rsidR="00EE4FC3">
        <w:t xml:space="preserve"> </w:t>
      </w:r>
      <w:r w:rsidR="00B568B6" w:rsidRPr="00382917">
        <w:t>into</w:t>
      </w:r>
      <w:r w:rsidR="00EE4FC3">
        <w:t xml:space="preserve"> </w:t>
      </w:r>
      <w:r w:rsidR="00B568B6" w:rsidRPr="00382917">
        <w:t>the</w:t>
      </w:r>
      <w:r w:rsidR="00EE4FC3">
        <w:t xml:space="preserve"> </w:t>
      </w:r>
      <w:r w:rsidR="00B568B6" w:rsidRPr="00382917">
        <w:t>mountain</w:t>
      </w:r>
      <w:r w:rsidR="00EE4FC3">
        <w:t xml:space="preserve"> </w:t>
      </w:r>
      <w:r w:rsidR="00B568B6" w:rsidRPr="00382917">
        <w:t>of</w:t>
      </w:r>
      <w:r w:rsidR="00EE4FC3">
        <w:t xml:space="preserve"> </w:t>
      </w:r>
      <w:r w:rsidR="00B568B6" w:rsidRPr="00382917">
        <w:t>Sar</w:t>
      </w:r>
      <w:r>
        <w:t>-</w:t>
      </w:r>
      <w:r w:rsidR="00B568B6" w:rsidRPr="00382917">
        <w:t>Gal</w:t>
      </w:r>
      <w:r w:rsidRPr="00443994">
        <w:t>ú</w:t>
      </w:r>
      <w:r w:rsidR="00EE4FC3">
        <w:t xml:space="preserve"> </w:t>
      </w:r>
      <w:r w:rsidR="00B568B6" w:rsidRPr="00382917">
        <w:t>outside</w:t>
      </w:r>
      <w:r w:rsidR="00EE4FC3">
        <w:t xml:space="preserve"> </w:t>
      </w:r>
      <w:r w:rsidR="00B568B6" w:rsidRPr="00382917">
        <w:t>of</w:t>
      </w:r>
      <w:r w:rsidR="00EE4FC3">
        <w:t xml:space="preserve"> </w:t>
      </w:r>
      <w:r w:rsidR="00664069" w:rsidRPr="00382917">
        <w:t>Ba</w:t>
      </w:r>
      <w:r w:rsidR="00664069" w:rsidRPr="00664069">
        <w:rPr>
          <w:u w:val="single"/>
        </w:rPr>
        <w:t>gh</w:t>
      </w:r>
      <w:r w:rsidR="00664069" w:rsidRPr="00382917">
        <w:t>d</w:t>
      </w:r>
      <w:r w:rsidR="00664069" w:rsidRPr="00664069">
        <w:t>á</w:t>
      </w:r>
      <w:r w:rsidR="00664069" w:rsidRPr="00382917">
        <w:t>d</w:t>
      </w:r>
      <w:r w:rsidR="00EE4FC3">
        <w:t xml:space="preserve"> </w:t>
      </w:r>
      <w:r w:rsidR="00B568B6" w:rsidRPr="00382917">
        <w:t>to</w:t>
      </w:r>
      <w:r w:rsidR="00EE4FC3">
        <w:t xml:space="preserve"> </w:t>
      </w:r>
      <w:r w:rsidR="00B568B6" w:rsidRPr="00382917">
        <w:t>pray</w:t>
      </w:r>
      <w:r w:rsidR="00EE4FC3">
        <w:t xml:space="preserve"> </w:t>
      </w:r>
      <w:r w:rsidR="00B568B6" w:rsidRPr="00382917">
        <w:t>before</w:t>
      </w:r>
      <w:r w:rsidR="00EE4FC3">
        <w:t xml:space="preserve"> </w:t>
      </w:r>
      <w:r w:rsidR="00B568B6" w:rsidRPr="00382917">
        <w:t>announcing</w:t>
      </w:r>
      <w:r w:rsidR="00EE4FC3">
        <w:t xml:space="preserve"> </w:t>
      </w:r>
      <w:r w:rsidR="00B568B6" w:rsidRPr="00382917">
        <w:t>His</w:t>
      </w:r>
      <w:r w:rsidR="00EE4FC3">
        <w:t xml:space="preserve"> </w:t>
      </w:r>
      <w:r w:rsidR="00B568B6" w:rsidRPr="00382917">
        <w:t>Mission,</w:t>
      </w:r>
      <w:r w:rsidR="00EE4FC3">
        <w:t xml:space="preserve"> </w:t>
      </w:r>
      <w:r w:rsidR="00B568B6" w:rsidRPr="00382917">
        <w:t>and</w:t>
      </w:r>
      <w:r w:rsidR="00EE4FC3">
        <w:t xml:space="preserve"> </w:t>
      </w:r>
      <w:r w:rsidR="00B568B6" w:rsidRPr="00382917">
        <w:t>in</w:t>
      </w:r>
      <w:r w:rsidR="00EE4FC3">
        <w:t xml:space="preserve"> </w:t>
      </w:r>
      <w:r w:rsidR="00B568B6" w:rsidRPr="00382917">
        <w:t>the</w:t>
      </w:r>
      <w:r w:rsidR="00EE4FC3">
        <w:t xml:space="preserve"> </w:t>
      </w:r>
      <w:r w:rsidR="00B568B6" w:rsidRPr="00382917">
        <w:t>last</w:t>
      </w:r>
      <w:r w:rsidR="00EE4FC3">
        <w:t xml:space="preserve"> </w:t>
      </w:r>
      <w:r w:rsidR="00B568B6" w:rsidRPr="00382917">
        <w:t>years</w:t>
      </w:r>
      <w:r w:rsidR="00EE4FC3">
        <w:t xml:space="preserve"> </w:t>
      </w:r>
      <w:r w:rsidR="00B568B6" w:rsidRPr="00382917">
        <w:t>of</w:t>
      </w:r>
      <w:r w:rsidR="00EE4FC3">
        <w:t xml:space="preserve"> </w:t>
      </w:r>
      <w:r w:rsidR="00B568B6" w:rsidRPr="00382917">
        <w:t>His</w:t>
      </w:r>
      <w:r w:rsidR="00EE4FC3">
        <w:t xml:space="preserve"> </w:t>
      </w:r>
      <w:r w:rsidR="00B568B6" w:rsidRPr="00382917">
        <w:t>life,</w:t>
      </w:r>
      <w:r w:rsidR="00EE4FC3">
        <w:t xml:space="preserve"> </w:t>
      </w:r>
      <w:r w:rsidR="00B568B6" w:rsidRPr="00382917">
        <w:t>He</w:t>
      </w:r>
      <w:r w:rsidR="00EE4FC3">
        <w:t xml:space="preserve"> </w:t>
      </w:r>
      <w:r w:rsidR="00B568B6" w:rsidRPr="00382917">
        <w:t>pitched</w:t>
      </w:r>
      <w:r w:rsidR="00EE4FC3">
        <w:t xml:space="preserve"> </w:t>
      </w:r>
      <w:r w:rsidR="00B568B6" w:rsidRPr="00382917">
        <w:t>His</w:t>
      </w:r>
      <w:r w:rsidR="00EE4FC3">
        <w:t xml:space="preserve"> </w:t>
      </w:r>
      <w:r w:rsidR="00B568B6" w:rsidRPr="00382917">
        <w:t>tent</w:t>
      </w:r>
      <w:r w:rsidR="00EE4FC3">
        <w:t xml:space="preserve"> </w:t>
      </w:r>
      <w:r w:rsidR="00B568B6" w:rsidRPr="00382917">
        <w:t>on</w:t>
      </w:r>
      <w:r w:rsidR="00EE4FC3">
        <w:t xml:space="preserve"> </w:t>
      </w:r>
      <w:r w:rsidR="00B568B6" w:rsidRPr="00382917">
        <w:t>the</w:t>
      </w:r>
      <w:r w:rsidR="00EE4FC3">
        <w:t xml:space="preserve"> </w:t>
      </w:r>
      <w:r w:rsidR="00B568B6" w:rsidRPr="00382917">
        <w:t>side</w:t>
      </w:r>
      <w:r w:rsidR="00EE4FC3">
        <w:t xml:space="preserve"> </w:t>
      </w:r>
      <w:r w:rsidR="00B568B6" w:rsidRPr="00382917">
        <w:t>of</w:t>
      </w:r>
      <w:r w:rsidR="00EE4FC3">
        <w:t xml:space="preserve"> </w:t>
      </w:r>
      <w:r w:rsidR="00B568B6" w:rsidRPr="00382917">
        <w:t>Mount</w:t>
      </w:r>
      <w:r w:rsidR="00EE4FC3">
        <w:t xml:space="preserve"> </w:t>
      </w:r>
      <w:r w:rsidR="00B568B6" w:rsidRPr="00382917">
        <w:t>Carmel,</w:t>
      </w:r>
      <w:r w:rsidR="00EE4FC3">
        <w:t xml:space="preserve"> </w:t>
      </w:r>
      <w:r w:rsidR="00B568B6" w:rsidRPr="00382917">
        <w:t>called</w:t>
      </w:r>
      <w:r w:rsidR="00EE4FC3">
        <w:t xml:space="preserve"> </w:t>
      </w:r>
      <w:r w:rsidR="00B568B6" w:rsidRPr="00382917">
        <w:t>by</w:t>
      </w:r>
      <w:r w:rsidR="00EE4FC3">
        <w:t xml:space="preserve"> </w:t>
      </w:r>
      <w:r w:rsidR="00B568B6" w:rsidRPr="00382917">
        <w:t>Isaiah</w:t>
      </w:r>
      <w:r w:rsidR="00EE4FC3">
        <w:t xml:space="preserve"> </w:t>
      </w:r>
      <w:r w:rsidR="00B568B6" w:rsidRPr="00382917">
        <w:t>the</w:t>
      </w:r>
      <w:r w:rsidR="00EE4FC3">
        <w:t xml:space="preserve"> </w:t>
      </w:r>
      <w:r w:rsidR="009C713D" w:rsidRPr="00382917">
        <w:t>“</w:t>
      </w:r>
      <w:r w:rsidR="00B568B6" w:rsidRPr="00382917">
        <w:t>mountain</w:t>
      </w:r>
      <w:r w:rsidR="00EE4FC3">
        <w:t xml:space="preserve"> </w:t>
      </w:r>
      <w:r w:rsidR="00B568B6" w:rsidRPr="00382917">
        <w:t>of</w:t>
      </w:r>
      <w:r w:rsidR="00EE4FC3">
        <w:t xml:space="preserve"> </w:t>
      </w:r>
      <w:r w:rsidR="00B568B6" w:rsidRPr="00382917">
        <w:t>God.</w:t>
      </w:r>
      <w:r w:rsidR="009C713D" w:rsidRPr="00382917">
        <w:t>”</w:t>
      </w:r>
    </w:p>
    <w:p w:rsidR="00B568B6" w:rsidRPr="00382917" w:rsidRDefault="00443994" w:rsidP="00443994">
      <w:pPr>
        <w:pStyle w:val="Bullet2ct"/>
      </w:pPr>
      <w:r>
        <w:t>6.</w:t>
      </w:r>
      <w:r>
        <w:tab/>
      </w:r>
      <w:r w:rsidR="00B568B6" w:rsidRPr="00382917">
        <w:t>From</w:t>
      </w:r>
      <w:r w:rsidR="00EE4FC3">
        <w:t xml:space="preserve"> </w:t>
      </w:r>
      <w:r w:rsidR="00B568B6" w:rsidRPr="00382917">
        <w:t>the</w:t>
      </w:r>
      <w:r w:rsidR="00EE4FC3">
        <w:t xml:space="preserve"> </w:t>
      </w:r>
      <w:r w:rsidR="00B568B6" w:rsidRPr="00382917">
        <w:t>time</w:t>
      </w:r>
      <w:r w:rsidR="00EE4FC3">
        <w:t xml:space="preserve"> </w:t>
      </w:r>
      <w:r w:rsidR="00B568B6" w:rsidRPr="00382917">
        <w:t>Bahá</w:t>
      </w:r>
      <w:r w:rsidR="009C713D" w:rsidRPr="00382917">
        <w:t>’</w:t>
      </w:r>
      <w:r w:rsidR="00B568B6" w:rsidRPr="00382917">
        <w:t>u</w:t>
      </w:r>
      <w:r w:rsidR="009C713D" w:rsidRPr="00382917">
        <w:t>’</w:t>
      </w:r>
      <w:r w:rsidR="00B568B6" w:rsidRPr="00382917">
        <w:t>lláh</w:t>
      </w:r>
      <w:r w:rsidR="009C713D" w:rsidRPr="00382917">
        <w:t>’</w:t>
      </w:r>
      <w:r w:rsidR="00B568B6" w:rsidRPr="00382917">
        <w:t>s</w:t>
      </w:r>
      <w:r w:rsidR="00EE4FC3">
        <w:t xml:space="preserve"> </w:t>
      </w:r>
      <w:r w:rsidR="00B568B6" w:rsidRPr="00382917">
        <w:t>Mission</w:t>
      </w:r>
      <w:r w:rsidR="00EE4FC3">
        <w:t xml:space="preserve"> </w:t>
      </w:r>
      <w:r w:rsidR="00B568B6" w:rsidRPr="00382917">
        <w:t>began,</w:t>
      </w:r>
      <w:r w:rsidR="00EE4FC3">
        <w:t xml:space="preserve"> </w:t>
      </w:r>
      <w:r w:rsidR="00B568B6" w:rsidRPr="00382917">
        <w:t>until</w:t>
      </w:r>
      <w:r w:rsidR="00EE4FC3">
        <w:t xml:space="preserve"> </w:t>
      </w:r>
      <w:r w:rsidR="00B568B6" w:rsidRPr="00382917">
        <w:t>the</w:t>
      </w:r>
      <w:r w:rsidR="00EE4FC3">
        <w:t xml:space="preserve"> </w:t>
      </w:r>
      <w:r w:rsidR="00B568B6" w:rsidRPr="00382917">
        <w:t>day</w:t>
      </w:r>
      <w:r w:rsidR="00EE4FC3">
        <w:t xml:space="preserve"> </w:t>
      </w:r>
      <w:r w:rsidR="00B568B6" w:rsidRPr="00382917">
        <w:t>of</w:t>
      </w:r>
      <w:r w:rsidR="00EE4FC3">
        <w:t xml:space="preserve"> </w:t>
      </w:r>
      <w:r w:rsidR="00B568B6" w:rsidRPr="00382917">
        <w:t>His</w:t>
      </w:r>
      <w:r w:rsidR="00EE4FC3">
        <w:t xml:space="preserve"> </w:t>
      </w:r>
      <w:r w:rsidR="00B568B6" w:rsidRPr="00382917">
        <w:t>death</w:t>
      </w:r>
      <w:r w:rsidR="00EE4FC3">
        <w:t xml:space="preserve"> </w:t>
      </w:r>
      <w:r w:rsidR="00B568B6" w:rsidRPr="00382917">
        <w:t>in</w:t>
      </w:r>
      <w:r w:rsidR="00EE4FC3">
        <w:t xml:space="preserve"> </w:t>
      </w:r>
      <w:r w:rsidR="00B568B6" w:rsidRPr="00382917">
        <w:t>the</w:t>
      </w:r>
      <w:r w:rsidR="00EE4FC3">
        <w:t xml:space="preserve"> </w:t>
      </w:r>
      <w:r w:rsidR="00B568B6" w:rsidRPr="00382917">
        <w:t>Holy</w:t>
      </w:r>
      <w:r w:rsidR="00EE4FC3">
        <w:t xml:space="preserve"> </w:t>
      </w:r>
      <w:r w:rsidR="00B568B6" w:rsidRPr="00382917">
        <w:t>Land,</w:t>
      </w:r>
      <w:r w:rsidR="00EE4FC3">
        <w:t xml:space="preserve"> </w:t>
      </w:r>
      <w:r w:rsidR="00B568B6" w:rsidRPr="00382917">
        <w:t>exactly</w:t>
      </w:r>
      <w:r w:rsidR="00EE4FC3">
        <w:t xml:space="preserve"> </w:t>
      </w:r>
      <w:r w:rsidR="00B568B6" w:rsidRPr="00382917">
        <w:t>forty</w:t>
      </w:r>
      <w:r w:rsidR="00EE4FC3">
        <w:t xml:space="preserve"> </w:t>
      </w:r>
      <w:r w:rsidR="00B568B6" w:rsidRPr="00382917">
        <w:t>years</w:t>
      </w:r>
      <w:r w:rsidR="00EE4FC3">
        <w:t xml:space="preserve"> </w:t>
      </w:r>
      <w:r w:rsidR="00B568B6" w:rsidRPr="00382917">
        <w:t>elapsed,</w:t>
      </w:r>
      <w:r w:rsidR="00EE4FC3">
        <w:t xml:space="preserve"> </w:t>
      </w:r>
      <w:r w:rsidR="00B568B6" w:rsidRPr="00382917">
        <w:t>which</w:t>
      </w:r>
      <w:r w:rsidR="00EE4FC3">
        <w:t xml:space="preserve"> </w:t>
      </w:r>
      <w:r w:rsidR="00B568B6" w:rsidRPr="00382917">
        <w:t>was</w:t>
      </w:r>
      <w:r w:rsidR="00EE4FC3">
        <w:t xml:space="preserve"> </w:t>
      </w:r>
      <w:r w:rsidR="00B568B6" w:rsidRPr="00382917">
        <w:t>precisely</w:t>
      </w:r>
      <w:r w:rsidR="00EE4FC3">
        <w:t xml:space="preserve"> </w:t>
      </w:r>
      <w:r w:rsidR="009C713D" w:rsidRPr="00382917">
        <w:t>“</w:t>
      </w:r>
      <w:r w:rsidR="00B568B6" w:rsidRPr="00382917">
        <w:t>according</w:t>
      </w:r>
      <w:r w:rsidR="00EE4FC3">
        <w:t xml:space="preserve"> </w:t>
      </w:r>
      <w:r w:rsidR="00B568B6" w:rsidRPr="00382917">
        <w:t>to</w:t>
      </w:r>
      <w:r w:rsidR="00EE4FC3">
        <w:t xml:space="preserve"> </w:t>
      </w:r>
      <w:r w:rsidR="00B568B6" w:rsidRPr="00382917">
        <w:t>the</w:t>
      </w:r>
      <w:r w:rsidR="00EE4FC3">
        <w:t xml:space="preserve"> </w:t>
      </w:r>
      <w:r w:rsidR="00B568B6" w:rsidRPr="00382917">
        <w:t>days</w:t>
      </w:r>
      <w:r w:rsidR="00EE4FC3">
        <w:t xml:space="preserve"> </w:t>
      </w:r>
      <w:r w:rsidR="00B568B6" w:rsidRPr="00382917">
        <w:t>of</w:t>
      </w:r>
      <w:r w:rsidR="00EE4FC3">
        <w:t xml:space="preserve"> </w:t>
      </w:r>
      <w:r w:rsidR="00B568B6" w:rsidRPr="00382917">
        <w:t>thy</w:t>
      </w:r>
      <w:r w:rsidR="00EE4FC3">
        <w:t xml:space="preserve"> </w:t>
      </w:r>
      <w:r w:rsidR="00B568B6" w:rsidRPr="00382917">
        <w:t>[the</w:t>
      </w:r>
      <w:r w:rsidR="00EE4FC3">
        <w:t xml:space="preserve"> </w:t>
      </w:r>
      <w:r w:rsidR="00B568B6" w:rsidRPr="00382917">
        <w:t>Jews]</w:t>
      </w:r>
      <w:r w:rsidR="00EE4FC3">
        <w:t xml:space="preserve"> </w:t>
      </w:r>
      <w:r w:rsidR="00B568B6" w:rsidRPr="00382917">
        <w:t>coming</w:t>
      </w:r>
      <w:r w:rsidR="00EE4FC3">
        <w:t xml:space="preserve"> </w:t>
      </w:r>
      <w:r w:rsidR="00B568B6" w:rsidRPr="00382917">
        <w:t>out</w:t>
      </w:r>
      <w:r w:rsidR="00EE4FC3">
        <w:t xml:space="preserve"> </w:t>
      </w:r>
      <w:r w:rsidR="00B568B6" w:rsidRPr="00382917">
        <w:t>of</w:t>
      </w:r>
      <w:r w:rsidR="00EE4FC3">
        <w:t xml:space="preserve"> </w:t>
      </w:r>
      <w:r w:rsidR="00B568B6" w:rsidRPr="00382917">
        <w:t>the</w:t>
      </w:r>
      <w:r w:rsidR="00EE4FC3">
        <w:t xml:space="preserve"> </w:t>
      </w:r>
      <w:r w:rsidR="00B568B6" w:rsidRPr="00382917">
        <w:t>land</w:t>
      </w:r>
      <w:r w:rsidR="00EE4FC3">
        <w:t xml:space="preserve"> </w:t>
      </w:r>
      <w:r w:rsidR="00B568B6" w:rsidRPr="00382917">
        <w:t>of</w:t>
      </w:r>
      <w:r w:rsidR="00EE4FC3">
        <w:t xml:space="preserve"> </w:t>
      </w:r>
      <w:r w:rsidR="00B568B6" w:rsidRPr="00382917">
        <w:t>Egypt</w:t>
      </w:r>
      <w:r w:rsidR="009C713D" w:rsidRPr="00382917">
        <w:t>”</w:t>
      </w:r>
      <w:r w:rsidR="00B568B6" w:rsidRPr="00382917">
        <w:t>;</w:t>
      </w:r>
      <w:r w:rsidR="00EE4FC3">
        <w:t xml:space="preserve"> </w:t>
      </w:r>
      <w:r w:rsidR="00B568B6" w:rsidRPr="00382917">
        <w:t>during</w:t>
      </w:r>
      <w:r w:rsidR="00EE4FC3">
        <w:t xml:space="preserve"> </w:t>
      </w:r>
      <w:r w:rsidR="00B568B6" w:rsidRPr="00382917">
        <w:t>these</w:t>
      </w:r>
      <w:r w:rsidR="00EE4FC3">
        <w:t xml:space="preserve"> </w:t>
      </w:r>
      <w:r w:rsidR="00B568B6" w:rsidRPr="00382917">
        <w:t>forty</w:t>
      </w:r>
      <w:r w:rsidR="00EE4FC3">
        <w:t xml:space="preserve"> </w:t>
      </w:r>
      <w:r w:rsidR="00B568B6" w:rsidRPr="00382917">
        <w:t>years</w:t>
      </w:r>
      <w:r w:rsidR="00EE4FC3">
        <w:t xml:space="preserve"> </w:t>
      </w:r>
      <w:r w:rsidR="00B568B6" w:rsidRPr="00382917">
        <w:t>Bahá</w:t>
      </w:r>
      <w:r w:rsidR="009C713D" w:rsidRPr="00382917">
        <w:t>’</w:t>
      </w:r>
      <w:r w:rsidR="00B568B6" w:rsidRPr="00382917">
        <w:t>u</w:t>
      </w:r>
      <w:r w:rsidR="009C713D" w:rsidRPr="00382917">
        <w:t>’</w:t>
      </w:r>
      <w:r w:rsidR="00B568B6" w:rsidRPr="00382917">
        <w:t>lláh</w:t>
      </w:r>
      <w:r w:rsidR="00EE4FC3">
        <w:t xml:space="preserve"> </w:t>
      </w:r>
      <w:r w:rsidR="00B568B6" w:rsidRPr="00382917">
        <w:t>poured</w:t>
      </w:r>
      <w:r w:rsidR="00EE4FC3">
        <w:t xml:space="preserve"> </w:t>
      </w:r>
      <w:r w:rsidR="00B568B6" w:rsidRPr="00382917">
        <w:t>out</w:t>
      </w:r>
      <w:r w:rsidR="00EE4FC3">
        <w:t xml:space="preserve"> </w:t>
      </w:r>
      <w:r w:rsidR="00B568B6" w:rsidRPr="00382917">
        <w:t>His</w:t>
      </w:r>
      <w:r w:rsidR="00EE4FC3">
        <w:t xml:space="preserve"> </w:t>
      </w:r>
      <w:r w:rsidR="00B568B6" w:rsidRPr="00382917">
        <w:t>teaching</w:t>
      </w:r>
      <w:r w:rsidR="00EE4FC3">
        <w:t xml:space="preserve"> </w:t>
      </w:r>
      <w:r w:rsidR="00B568B6" w:rsidRPr="00382917">
        <w:t>as</w:t>
      </w:r>
      <w:r w:rsidR="00EE4FC3">
        <w:t xml:space="preserve"> </w:t>
      </w:r>
      <w:r w:rsidR="00B568B6" w:rsidRPr="00382917">
        <w:t>Almighty</w:t>
      </w:r>
      <w:r w:rsidR="00EE4FC3">
        <w:t xml:space="preserve"> </w:t>
      </w:r>
      <w:r w:rsidR="00B568B6" w:rsidRPr="00382917">
        <w:t>God</w:t>
      </w:r>
      <w:r w:rsidR="00EE4FC3">
        <w:t xml:space="preserve"> </w:t>
      </w:r>
      <w:r w:rsidR="009C713D" w:rsidRPr="00382917">
        <w:t>“</w:t>
      </w:r>
      <w:r w:rsidR="00B568B6" w:rsidRPr="00382917">
        <w:t>shewed</w:t>
      </w:r>
      <w:r w:rsidR="00EE4FC3">
        <w:t xml:space="preserve"> </w:t>
      </w:r>
      <w:r w:rsidR="00B568B6" w:rsidRPr="00382917">
        <w:t>Him</w:t>
      </w:r>
      <w:r w:rsidR="00EE4FC3">
        <w:t xml:space="preserve"> </w:t>
      </w:r>
      <w:proofErr w:type="spellStart"/>
      <w:r w:rsidR="00B568B6" w:rsidRPr="00382917">
        <w:t>marvelous</w:t>
      </w:r>
      <w:proofErr w:type="spellEnd"/>
      <w:r w:rsidR="00EE4FC3">
        <w:t xml:space="preserve"> </w:t>
      </w:r>
      <w:r w:rsidR="00B568B6" w:rsidRPr="00382917">
        <w:t>things</w:t>
      </w:r>
      <w:r w:rsidR="009C713D" w:rsidRPr="00382917">
        <w:t>”</w:t>
      </w:r>
      <w:r>
        <w:t>.</w:t>
      </w:r>
    </w:p>
    <w:p w:rsidR="00B568B6" w:rsidRPr="00382917" w:rsidRDefault="00B568B6" w:rsidP="00B568B6">
      <w:pPr>
        <w:pStyle w:val="Text"/>
      </w:pPr>
      <w:r w:rsidRPr="00382917">
        <w:t>Bahá</w:t>
      </w:r>
      <w:r w:rsidR="009C713D" w:rsidRPr="00382917">
        <w:t>’</w:t>
      </w:r>
      <w:r w:rsidRPr="00382917">
        <w:t>u</w:t>
      </w:r>
      <w:r w:rsidR="009C713D" w:rsidRPr="00382917">
        <w:t>’</w:t>
      </w:r>
      <w:r w:rsidRPr="00382917">
        <w:t>lláh</w:t>
      </w:r>
      <w:r w:rsidR="00EE4FC3">
        <w:t xml:space="preserve"> </w:t>
      </w:r>
      <w:r w:rsidRPr="00382917">
        <w:t>had</w:t>
      </w:r>
      <w:r w:rsidR="00EE4FC3">
        <w:t xml:space="preserve"> </w:t>
      </w:r>
      <w:r w:rsidRPr="00382917">
        <w:t>come</w:t>
      </w:r>
      <w:r w:rsidR="00EE4FC3">
        <w:t xml:space="preserve"> </w:t>
      </w:r>
      <w:r w:rsidRPr="00382917">
        <w:t>to</w:t>
      </w:r>
      <w:r w:rsidR="00EE4FC3">
        <w:t xml:space="preserve"> </w:t>
      </w:r>
      <w:r w:rsidRPr="00382917">
        <w:t>Israel</w:t>
      </w:r>
      <w:r w:rsidR="00EE4FC3">
        <w:t xml:space="preserve"> </w:t>
      </w:r>
      <w:r w:rsidR="009C713D" w:rsidRPr="00382917">
        <w:t>“</w:t>
      </w:r>
      <w:r w:rsidRPr="00382917">
        <w:t>by</w:t>
      </w:r>
      <w:r w:rsidR="00EE4FC3">
        <w:t xml:space="preserve"> </w:t>
      </w:r>
      <w:r w:rsidRPr="00382917">
        <w:t>way</w:t>
      </w:r>
      <w:r w:rsidR="00EE4FC3">
        <w:t xml:space="preserve"> </w:t>
      </w:r>
      <w:r w:rsidRPr="00382917">
        <w:t>of</w:t>
      </w:r>
      <w:r w:rsidR="00EE4FC3">
        <w:t xml:space="preserve"> </w:t>
      </w:r>
      <w:r w:rsidRPr="00382917">
        <w:t>the</w:t>
      </w:r>
      <w:r w:rsidR="00EE4FC3">
        <w:t xml:space="preserve"> </w:t>
      </w:r>
      <w:r w:rsidRPr="00382917">
        <w:t>sea</w:t>
      </w:r>
      <w:r w:rsidR="009C713D" w:rsidRPr="00382917">
        <w:t>”</w:t>
      </w:r>
      <w:r w:rsidR="00EE4FC3">
        <w:t xml:space="preserve"> </w:t>
      </w:r>
      <w:r w:rsidRPr="00382917">
        <w:t>as</w:t>
      </w:r>
      <w:r w:rsidR="00EE4FC3">
        <w:t xml:space="preserve"> </w:t>
      </w:r>
      <w:r w:rsidRPr="00382917">
        <w:t>prophesied</w:t>
      </w:r>
      <w:r w:rsidR="00EE4FC3">
        <w:t xml:space="preserve"> </w:t>
      </w:r>
      <w:r w:rsidRPr="00382917">
        <w:t>by</w:t>
      </w:r>
      <w:r w:rsidR="00EE4FC3">
        <w:t xml:space="preserve"> </w:t>
      </w:r>
      <w:r w:rsidRPr="00382917">
        <w:t>Isaiah</w:t>
      </w:r>
      <w:r w:rsidR="00F267E4">
        <w:t>.</w:t>
      </w:r>
      <w:r w:rsidR="00EE4FC3">
        <w:t xml:space="preserve">  </w:t>
      </w:r>
      <w:r w:rsidRPr="00382917">
        <w:t>He</w:t>
      </w:r>
      <w:r w:rsidR="00EE4FC3">
        <w:t xml:space="preserve"> </w:t>
      </w:r>
      <w:r w:rsidRPr="00382917">
        <w:t>was</w:t>
      </w:r>
      <w:r w:rsidR="00EE4FC3">
        <w:t xml:space="preserve"> </w:t>
      </w:r>
      <w:r w:rsidRPr="00382917">
        <w:t>sent</w:t>
      </w:r>
      <w:r w:rsidR="00EE4FC3">
        <w:t xml:space="preserve"> </w:t>
      </w:r>
      <w:r w:rsidRPr="00382917">
        <w:t>as</w:t>
      </w:r>
      <w:r w:rsidR="00EE4FC3">
        <w:t xml:space="preserve"> </w:t>
      </w:r>
      <w:r w:rsidRPr="00382917">
        <w:t>a</w:t>
      </w:r>
      <w:r w:rsidR="00EE4FC3">
        <w:t xml:space="preserve"> </w:t>
      </w:r>
      <w:r w:rsidRPr="00382917">
        <w:t>prisoner</w:t>
      </w:r>
      <w:r w:rsidR="00EE4FC3">
        <w:t xml:space="preserve"> </w:t>
      </w:r>
      <w:r w:rsidRPr="00382917">
        <w:t>to</w:t>
      </w:r>
      <w:r w:rsidR="00EE4FC3">
        <w:t xml:space="preserve"> </w:t>
      </w:r>
      <w:r w:rsidRPr="00382917">
        <w:t>the</w:t>
      </w:r>
      <w:r w:rsidR="00EE4FC3">
        <w:t xml:space="preserve"> </w:t>
      </w:r>
      <w:r w:rsidRPr="00382917">
        <w:t>great</w:t>
      </w:r>
      <w:r w:rsidR="00EE4FC3">
        <w:t xml:space="preserve"> </w:t>
      </w:r>
      <w:r w:rsidRPr="00382917">
        <w:t>stone</w:t>
      </w:r>
      <w:r w:rsidR="00EE4FC3">
        <w:t xml:space="preserve"> </w:t>
      </w:r>
      <w:r w:rsidRPr="00382917">
        <w:t>fortress</w:t>
      </w:r>
      <w:r w:rsidR="00EE4FC3">
        <w:t xml:space="preserve"> </w:t>
      </w:r>
      <w:r w:rsidRPr="00382917">
        <w:t>in</w:t>
      </w:r>
    </w:p>
    <w:p w:rsidR="00B568B6" w:rsidRPr="00382917" w:rsidRDefault="00B568B6">
      <w:pPr>
        <w:widowControl/>
        <w:kinsoku/>
        <w:overflowPunct/>
        <w:textAlignment w:val="auto"/>
      </w:pPr>
      <w:r w:rsidRPr="00382917">
        <w:br w:type="page"/>
      </w:r>
    </w:p>
    <w:p w:rsidR="00B568B6" w:rsidRPr="00382917" w:rsidRDefault="00B568B6" w:rsidP="00B568B6">
      <w:pPr>
        <w:pStyle w:val="Textcts"/>
      </w:pPr>
      <w:proofErr w:type="gramStart"/>
      <w:r w:rsidRPr="00382917">
        <w:t>the</w:t>
      </w:r>
      <w:proofErr w:type="gramEnd"/>
      <w:r w:rsidR="00EE4FC3">
        <w:t xml:space="preserve"> </w:t>
      </w:r>
      <w:r w:rsidRPr="00382917">
        <w:t>valley</w:t>
      </w:r>
      <w:r w:rsidR="00EE4FC3">
        <w:t xml:space="preserve"> </w:t>
      </w:r>
      <w:r w:rsidRPr="00382917">
        <w:t>of</w:t>
      </w:r>
      <w:r w:rsidR="00EE4FC3">
        <w:t xml:space="preserve"> </w:t>
      </w:r>
      <w:proofErr w:type="spellStart"/>
      <w:r w:rsidRPr="00382917">
        <w:t>Achor</w:t>
      </w:r>
      <w:proofErr w:type="spellEnd"/>
      <w:r w:rsidRPr="00382917">
        <w:t>,</w:t>
      </w:r>
      <w:r w:rsidR="00EE4FC3">
        <w:t xml:space="preserve"> </w:t>
      </w:r>
      <w:r w:rsidRPr="00382917">
        <w:t>now</w:t>
      </w:r>
      <w:r w:rsidR="00EE4FC3">
        <w:t xml:space="preserve"> </w:t>
      </w:r>
      <w:r w:rsidRPr="00382917">
        <w:t>called</w:t>
      </w:r>
      <w:r w:rsidR="00EE4FC3">
        <w:t xml:space="preserve"> </w:t>
      </w:r>
      <w:r w:rsidR="009C713D" w:rsidRPr="00382917">
        <w:t>‘</w:t>
      </w:r>
      <w:r w:rsidRPr="00382917">
        <w:t>Akká,</w:t>
      </w:r>
      <w:r w:rsidR="00EE4FC3">
        <w:t xml:space="preserve"> </w:t>
      </w:r>
      <w:r w:rsidRPr="00382917">
        <w:t>as</w:t>
      </w:r>
      <w:r w:rsidR="00EE4FC3">
        <w:t xml:space="preserve"> </w:t>
      </w:r>
      <w:r w:rsidRPr="00382917">
        <w:t>foretold</w:t>
      </w:r>
      <w:r w:rsidR="00EE4FC3">
        <w:t xml:space="preserve"> </w:t>
      </w:r>
      <w:r w:rsidRPr="00382917">
        <w:t>by</w:t>
      </w:r>
      <w:r w:rsidR="00EE4FC3">
        <w:t xml:space="preserve"> </w:t>
      </w:r>
      <w:r w:rsidRPr="00382917">
        <w:t>the</w:t>
      </w:r>
      <w:r w:rsidR="00EE4FC3">
        <w:t xml:space="preserve"> </w:t>
      </w:r>
      <w:r w:rsidRPr="00382917">
        <w:t>Book</w:t>
      </w:r>
      <w:r w:rsidR="00EE4FC3">
        <w:t xml:space="preserve"> </w:t>
      </w:r>
      <w:r w:rsidRPr="00382917">
        <w:t>of</w:t>
      </w:r>
      <w:r w:rsidR="00EE4FC3">
        <w:t xml:space="preserve"> </w:t>
      </w:r>
      <w:r w:rsidRPr="00382917">
        <w:t>Hosea:</w:t>
      </w:r>
    </w:p>
    <w:p w:rsidR="00B568B6" w:rsidRPr="00382917" w:rsidRDefault="009C713D" w:rsidP="00B86D70">
      <w:pPr>
        <w:pStyle w:val="Quote"/>
      </w:pPr>
      <w:r w:rsidRPr="00382917">
        <w:t>“</w:t>
      </w:r>
      <w:r w:rsidR="00B568B6" w:rsidRPr="00382917">
        <w:t>And</w:t>
      </w:r>
      <w:r w:rsidR="00EE4FC3">
        <w:t xml:space="preserve"> </w:t>
      </w:r>
      <w:r w:rsidR="00B568B6" w:rsidRPr="00382917">
        <w:t>I</w:t>
      </w:r>
      <w:r w:rsidR="00EE4FC3">
        <w:t xml:space="preserve"> </w:t>
      </w:r>
      <w:r w:rsidR="00B568B6" w:rsidRPr="00382917">
        <w:t>will</w:t>
      </w:r>
      <w:r w:rsidR="00EE4FC3">
        <w:t xml:space="preserve"> </w:t>
      </w:r>
      <w:r w:rsidR="00B568B6" w:rsidRPr="00382917">
        <w:t>give</w:t>
      </w:r>
      <w:r w:rsidR="00EE4FC3">
        <w:t xml:space="preserve"> </w:t>
      </w:r>
      <w:r w:rsidR="00B568B6" w:rsidRPr="00382917">
        <w:t>her</w:t>
      </w:r>
      <w:r w:rsidR="00EE4FC3">
        <w:t xml:space="preserve"> </w:t>
      </w:r>
      <w:r w:rsidR="00B568B6" w:rsidRPr="00382917">
        <w:t>vineyard</w:t>
      </w:r>
      <w:r w:rsidR="00EE4FC3">
        <w:t xml:space="preserve"> </w:t>
      </w:r>
      <w:r w:rsidR="00B568B6" w:rsidRPr="00382917">
        <w:t>from</w:t>
      </w:r>
      <w:r w:rsidR="00EE4FC3">
        <w:t xml:space="preserve"> </w:t>
      </w:r>
      <w:r w:rsidR="00B568B6" w:rsidRPr="00382917">
        <w:t>thence,</w:t>
      </w:r>
      <w:r w:rsidR="00EE4FC3">
        <w:t xml:space="preserve"> </w:t>
      </w:r>
      <w:r w:rsidR="00B568B6" w:rsidRPr="00382917">
        <w:t>and</w:t>
      </w:r>
      <w:r w:rsidR="00EE4FC3">
        <w:t xml:space="preserve"> </w:t>
      </w:r>
      <w:r w:rsidR="00B568B6" w:rsidRPr="00382917">
        <w:t>the</w:t>
      </w:r>
      <w:r w:rsidR="00EE4FC3">
        <w:t xml:space="preserve"> </w:t>
      </w:r>
      <w:r w:rsidR="00B568B6" w:rsidRPr="00382917">
        <w:t>valley</w:t>
      </w:r>
      <w:r w:rsidR="00EE4FC3">
        <w:t xml:space="preserve"> </w:t>
      </w:r>
      <w:r w:rsidR="00B568B6" w:rsidRPr="00382917">
        <w:t>of</w:t>
      </w:r>
      <w:r w:rsidR="00EE4FC3">
        <w:t xml:space="preserve"> </w:t>
      </w:r>
      <w:proofErr w:type="spellStart"/>
      <w:r w:rsidR="00B568B6" w:rsidRPr="00382917">
        <w:t>Achor</w:t>
      </w:r>
      <w:proofErr w:type="spellEnd"/>
      <w:r w:rsidR="00EE4FC3">
        <w:t xml:space="preserve"> </w:t>
      </w:r>
      <w:r w:rsidR="00B568B6" w:rsidRPr="00382917">
        <w:t>for</w:t>
      </w:r>
      <w:r w:rsidR="00EE4FC3">
        <w:t xml:space="preserve"> </w:t>
      </w:r>
      <w:r w:rsidR="00B568B6" w:rsidRPr="00382917">
        <w:t>a</w:t>
      </w:r>
      <w:r w:rsidR="00EE4FC3">
        <w:t xml:space="preserve"> </w:t>
      </w:r>
      <w:r w:rsidR="00B568B6" w:rsidRPr="00382917">
        <w:t>door</w:t>
      </w:r>
      <w:r w:rsidR="00EE4FC3">
        <w:t xml:space="preserve"> </w:t>
      </w:r>
      <w:r w:rsidR="00B568B6" w:rsidRPr="00382917">
        <w:t>of</w:t>
      </w:r>
      <w:r w:rsidR="00EE4FC3">
        <w:t xml:space="preserve"> </w:t>
      </w:r>
      <w:r w:rsidR="00B568B6" w:rsidRPr="00382917">
        <w:t>hope</w:t>
      </w:r>
      <w:r w:rsidR="00C03C91">
        <w:t>:</w:t>
      </w:r>
      <w:r w:rsidR="00EE4FC3">
        <w:t xml:space="preserve">  </w:t>
      </w:r>
      <w:r w:rsidR="00B568B6" w:rsidRPr="00382917">
        <w:t>and</w:t>
      </w:r>
      <w:r w:rsidR="00EE4FC3">
        <w:t xml:space="preserve"> </w:t>
      </w:r>
      <w:r w:rsidR="00B568B6" w:rsidRPr="00382917">
        <w:t>she</w:t>
      </w:r>
      <w:r w:rsidR="00EE4FC3">
        <w:t xml:space="preserve"> </w:t>
      </w:r>
      <w:r w:rsidR="00B568B6" w:rsidRPr="00382917">
        <w:t>shall</w:t>
      </w:r>
      <w:r w:rsidR="00EE4FC3">
        <w:t xml:space="preserve"> </w:t>
      </w:r>
      <w:r w:rsidR="00B568B6" w:rsidRPr="00382917">
        <w:t>sing</w:t>
      </w:r>
      <w:r w:rsidR="00EE4FC3">
        <w:t xml:space="preserve"> </w:t>
      </w:r>
      <w:r w:rsidR="00B568B6" w:rsidRPr="00382917">
        <w:t>there</w:t>
      </w:r>
      <w:r w:rsidR="00EE4FC3">
        <w:t xml:space="preserve"> </w:t>
      </w:r>
      <w:r w:rsidR="00B568B6" w:rsidRPr="00382917">
        <w:t>as</w:t>
      </w:r>
      <w:r w:rsidR="00EE4FC3">
        <w:t xml:space="preserve"> </w:t>
      </w:r>
      <w:r w:rsidR="00B568B6" w:rsidRPr="00382917">
        <w:t>in</w:t>
      </w:r>
      <w:r w:rsidR="00EE4FC3">
        <w:t xml:space="preserve"> </w:t>
      </w:r>
      <w:r w:rsidR="00B568B6" w:rsidRPr="00382917">
        <w:t>the</w:t>
      </w:r>
      <w:r w:rsidR="00EE4FC3">
        <w:t xml:space="preserve"> </w:t>
      </w:r>
      <w:r w:rsidR="00B568B6" w:rsidRPr="00382917">
        <w:t>days</w:t>
      </w:r>
      <w:r w:rsidR="00EE4FC3">
        <w:t xml:space="preserve"> </w:t>
      </w:r>
      <w:r w:rsidR="00B568B6" w:rsidRPr="00382917">
        <w:t>of</w:t>
      </w:r>
      <w:r w:rsidR="00EE4FC3">
        <w:t xml:space="preserve"> </w:t>
      </w:r>
      <w:r w:rsidR="00B568B6" w:rsidRPr="00382917">
        <w:t>her</w:t>
      </w:r>
      <w:r w:rsidR="00EE4FC3">
        <w:t xml:space="preserve"> </w:t>
      </w:r>
      <w:r w:rsidR="00B568B6" w:rsidRPr="00382917">
        <w:t>youth,</w:t>
      </w:r>
      <w:r w:rsidR="00EE4FC3">
        <w:t xml:space="preserve"> </w:t>
      </w:r>
      <w:r w:rsidR="00B568B6" w:rsidRPr="00382917">
        <w:t>and</w:t>
      </w:r>
      <w:r w:rsidR="00EE4FC3">
        <w:t xml:space="preserve"> </w:t>
      </w:r>
      <w:r w:rsidR="00B568B6" w:rsidRPr="00382917">
        <w:t>as</w:t>
      </w:r>
      <w:r w:rsidR="00EE4FC3">
        <w:t xml:space="preserve"> </w:t>
      </w:r>
      <w:r w:rsidR="00B568B6" w:rsidRPr="00382917">
        <w:t>in</w:t>
      </w:r>
      <w:r w:rsidR="00EE4FC3">
        <w:t xml:space="preserve"> </w:t>
      </w:r>
      <w:r w:rsidR="00B568B6" w:rsidRPr="00382917">
        <w:t>the</w:t>
      </w:r>
      <w:r w:rsidR="00EE4FC3">
        <w:t xml:space="preserve"> </w:t>
      </w:r>
      <w:r w:rsidR="00B568B6" w:rsidRPr="00382917">
        <w:t>day</w:t>
      </w:r>
      <w:r w:rsidR="00EE4FC3">
        <w:t xml:space="preserve"> </w:t>
      </w:r>
      <w:r w:rsidR="00B568B6" w:rsidRPr="00382917">
        <w:t>when</w:t>
      </w:r>
      <w:r w:rsidR="00EE4FC3">
        <w:t xml:space="preserve"> </w:t>
      </w:r>
      <w:r w:rsidR="00B568B6" w:rsidRPr="00382917">
        <w:t>she</w:t>
      </w:r>
      <w:r w:rsidR="00EE4FC3">
        <w:t xml:space="preserve"> </w:t>
      </w:r>
      <w:r w:rsidR="00B568B6" w:rsidRPr="00382917">
        <w:t>came</w:t>
      </w:r>
      <w:r w:rsidR="00EE4FC3">
        <w:t xml:space="preserve"> </w:t>
      </w:r>
      <w:r w:rsidR="00B568B6" w:rsidRPr="00382917">
        <w:t>up</w:t>
      </w:r>
      <w:r w:rsidR="00EE4FC3">
        <w:t xml:space="preserve"> </w:t>
      </w:r>
      <w:r w:rsidR="00B568B6" w:rsidRPr="00382917">
        <w:t>out</w:t>
      </w:r>
      <w:r w:rsidR="00EE4FC3">
        <w:t xml:space="preserve"> </w:t>
      </w:r>
      <w:r w:rsidR="00B568B6" w:rsidRPr="00382917">
        <w:t>of</w:t>
      </w:r>
      <w:r w:rsidR="00EE4FC3">
        <w:t xml:space="preserve"> </w:t>
      </w:r>
      <w:r w:rsidR="00B568B6" w:rsidRPr="00382917">
        <w:t>the</w:t>
      </w:r>
      <w:r w:rsidR="00EE4FC3">
        <w:t xml:space="preserve"> </w:t>
      </w:r>
      <w:r w:rsidR="00B568B6" w:rsidRPr="00382917">
        <w:t>land</w:t>
      </w:r>
      <w:r w:rsidR="00EE4FC3">
        <w:t xml:space="preserve"> </w:t>
      </w:r>
      <w:r w:rsidR="00B568B6" w:rsidRPr="00382917">
        <w:t>of</w:t>
      </w:r>
      <w:r w:rsidR="00EE4FC3">
        <w:t xml:space="preserve"> </w:t>
      </w:r>
      <w:r w:rsidR="00B568B6" w:rsidRPr="00382917">
        <w:t>Egypt.</w:t>
      </w:r>
      <w:r w:rsidRPr="00382917">
        <w:t>”</w:t>
      </w:r>
      <w:r w:rsidR="00E23F13">
        <w:rPr>
          <w:rStyle w:val="FootnoteReference"/>
        </w:rPr>
        <w:footnoteReference w:id="378"/>
      </w:r>
    </w:p>
    <w:p w:rsidR="00B568B6" w:rsidRPr="00382917" w:rsidRDefault="00B568B6" w:rsidP="00B568B6">
      <w:pPr>
        <w:pStyle w:val="Text"/>
      </w:pPr>
      <w:r w:rsidRPr="00382917">
        <w:t>The</w:t>
      </w:r>
      <w:r w:rsidR="00EE4FC3">
        <w:t xml:space="preserve"> </w:t>
      </w:r>
      <w:r w:rsidRPr="00382917">
        <w:t>Bahá</w:t>
      </w:r>
      <w:r w:rsidR="009C713D" w:rsidRPr="00382917">
        <w:t>’</w:t>
      </w:r>
      <w:r w:rsidRPr="00382917">
        <w:t>í</w:t>
      </w:r>
      <w:r w:rsidR="00EE4FC3">
        <w:t xml:space="preserve"> </w:t>
      </w:r>
      <w:r w:rsidRPr="00382917">
        <w:t>House</w:t>
      </w:r>
      <w:r w:rsidR="00EE4FC3">
        <w:t xml:space="preserve"> </w:t>
      </w:r>
      <w:r w:rsidRPr="00382917">
        <w:t>of</w:t>
      </w:r>
      <w:r w:rsidR="00EE4FC3">
        <w:t xml:space="preserve"> </w:t>
      </w:r>
      <w:r w:rsidRPr="00382917">
        <w:t>Worship</w:t>
      </w:r>
      <w:r w:rsidR="00EE4FC3">
        <w:t xml:space="preserve"> </w:t>
      </w:r>
      <w:r w:rsidRPr="00382917">
        <w:t>to</w:t>
      </w:r>
      <w:r w:rsidR="00EE4FC3">
        <w:t xml:space="preserve"> </w:t>
      </w:r>
      <w:r w:rsidRPr="00382917">
        <w:t>be</w:t>
      </w:r>
      <w:r w:rsidR="00EE4FC3">
        <w:t xml:space="preserve"> </w:t>
      </w:r>
      <w:r w:rsidRPr="00382917">
        <w:t>built</w:t>
      </w:r>
      <w:r w:rsidR="00EE4FC3">
        <w:t xml:space="preserve"> </w:t>
      </w:r>
      <w:r w:rsidRPr="00382917">
        <w:t>upon</w:t>
      </w:r>
      <w:r w:rsidR="00EE4FC3">
        <w:t xml:space="preserve"> </w:t>
      </w:r>
      <w:r w:rsidRPr="00382917">
        <w:t>Mount</w:t>
      </w:r>
      <w:r w:rsidR="00EE4FC3">
        <w:t xml:space="preserve"> </w:t>
      </w:r>
      <w:r w:rsidRPr="00382917">
        <w:t>Cannel,</w:t>
      </w:r>
      <w:r w:rsidR="00EE4FC3">
        <w:t xml:space="preserve"> </w:t>
      </w:r>
      <w:r w:rsidRPr="00382917">
        <w:t>and</w:t>
      </w:r>
      <w:r w:rsidR="00EE4FC3">
        <w:t xml:space="preserve"> </w:t>
      </w:r>
      <w:r w:rsidRPr="00382917">
        <w:t>which</w:t>
      </w:r>
      <w:r w:rsidR="00EE4FC3">
        <w:t xml:space="preserve"> </w:t>
      </w:r>
      <w:r w:rsidRPr="00382917">
        <w:t>will</w:t>
      </w:r>
      <w:r w:rsidR="00EE4FC3">
        <w:t xml:space="preserve"> </w:t>
      </w:r>
      <w:r w:rsidRPr="00382917">
        <w:t>be</w:t>
      </w:r>
      <w:r w:rsidR="00EE4FC3">
        <w:t xml:space="preserve"> </w:t>
      </w:r>
      <w:r w:rsidRPr="00382917">
        <w:t>open</w:t>
      </w:r>
      <w:r w:rsidR="00EE4FC3">
        <w:t xml:space="preserve"> </w:t>
      </w:r>
      <w:r w:rsidRPr="00382917">
        <w:t>to</w:t>
      </w:r>
      <w:r w:rsidR="00EE4FC3">
        <w:t xml:space="preserve"> </w:t>
      </w:r>
      <w:r w:rsidRPr="00382917">
        <w:t>the</w:t>
      </w:r>
      <w:r w:rsidR="00EE4FC3">
        <w:t xml:space="preserve"> </w:t>
      </w:r>
      <w:r w:rsidRPr="00382917">
        <w:t>people</w:t>
      </w:r>
      <w:r w:rsidR="00EE4FC3">
        <w:t xml:space="preserve"> </w:t>
      </w:r>
      <w:r w:rsidRPr="00382917">
        <w:t>of</w:t>
      </w:r>
      <w:r w:rsidR="00EE4FC3">
        <w:t xml:space="preserve"> </w:t>
      </w:r>
      <w:r w:rsidRPr="00382917">
        <w:t>all</w:t>
      </w:r>
      <w:r w:rsidR="00EE4FC3">
        <w:t xml:space="preserve"> </w:t>
      </w:r>
      <w:r w:rsidRPr="00382917">
        <w:t>nations</w:t>
      </w:r>
      <w:r w:rsidR="00EE4FC3">
        <w:t xml:space="preserve"> </w:t>
      </w:r>
      <w:r w:rsidRPr="00382917">
        <w:t>and</w:t>
      </w:r>
      <w:r w:rsidR="00EE4FC3">
        <w:t xml:space="preserve"> </w:t>
      </w:r>
      <w:r w:rsidRPr="00382917">
        <w:t>faiths,</w:t>
      </w:r>
      <w:r w:rsidR="00EE4FC3">
        <w:t xml:space="preserve"> </w:t>
      </w:r>
      <w:r w:rsidRPr="00382917">
        <w:t>will</w:t>
      </w:r>
      <w:r w:rsidR="00EE4FC3">
        <w:t xml:space="preserve"> </w:t>
      </w:r>
      <w:r w:rsidRPr="00382917">
        <w:t>look</w:t>
      </w:r>
      <w:r w:rsidR="00EE4FC3">
        <w:t xml:space="preserve"> </w:t>
      </w:r>
      <w:r w:rsidRPr="00382917">
        <w:t>down</w:t>
      </w:r>
      <w:r w:rsidR="00EE4FC3">
        <w:t xml:space="preserve"> </w:t>
      </w:r>
      <w:r w:rsidRPr="00382917">
        <w:t>upon</w:t>
      </w:r>
      <w:r w:rsidR="00EE4FC3">
        <w:t xml:space="preserve"> </w:t>
      </w:r>
      <w:r w:rsidRPr="00382917">
        <w:t>both</w:t>
      </w:r>
      <w:r w:rsidR="00EE4FC3">
        <w:t xml:space="preserve"> </w:t>
      </w:r>
      <w:r w:rsidRPr="00382917">
        <w:t>the</w:t>
      </w:r>
      <w:r w:rsidR="00EE4FC3">
        <w:t xml:space="preserve"> </w:t>
      </w:r>
      <w:r w:rsidRPr="00382917">
        <w:t>plain</w:t>
      </w:r>
      <w:r w:rsidR="00EE4FC3">
        <w:t xml:space="preserve"> </w:t>
      </w:r>
      <w:r w:rsidRPr="00382917">
        <w:t>of</w:t>
      </w:r>
      <w:r w:rsidR="00EE4FC3">
        <w:t xml:space="preserve"> </w:t>
      </w:r>
      <w:r w:rsidRPr="00382917">
        <w:t>Sharon</w:t>
      </w:r>
      <w:r w:rsidR="00EE4FC3">
        <w:t xml:space="preserve"> </w:t>
      </w:r>
      <w:r w:rsidRPr="00382917">
        <w:t>and</w:t>
      </w:r>
      <w:r w:rsidR="00EE4FC3">
        <w:t xml:space="preserve"> </w:t>
      </w:r>
      <w:r w:rsidRPr="00382917">
        <w:t>the</w:t>
      </w:r>
      <w:r w:rsidR="00EE4FC3">
        <w:t xml:space="preserve"> </w:t>
      </w:r>
      <w:r w:rsidRPr="00382917">
        <w:t>valley</w:t>
      </w:r>
      <w:r w:rsidR="00EE4FC3">
        <w:t xml:space="preserve"> </w:t>
      </w:r>
      <w:r w:rsidRPr="00382917">
        <w:t>of</w:t>
      </w:r>
      <w:r w:rsidR="00EE4FC3">
        <w:t xml:space="preserve"> </w:t>
      </w:r>
      <w:r w:rsidR="009C713D" w:rsidRPr="00382917">
        <w:t>‘</w:t>
      </w:r>
      <w:r w:rsidRPr="00382917">
        <w:t>Akká</w:t>
      </w:r>
      <w:r w:rsidR="00EE4FC3">
        <w:t xml:space="preserve"> </w:t>
      </w:r>
      <w:r w:rsidRPr="00382917">
        <w:t>[</w:t>
      </w:r>
      <w:proofErr w:type="spellStart"/>
      <w:r w:rsidRPr="00382917">
        <w:t>Achor</w:t>
      </w:r>
      <w:proofErr w:type="spellEnd"/>
      <w:r w:rsidRPr="00382917">
        <w:t>],</w:t>
      </w:r>
      <w:r w:rsidR="00EE4FC3">
        <w:t xml:space="preserve"> </w:t>
      </w:r>
      <w:r w:rsidRPr="00382917">
        <w:t>as</w:t>
      </w:r>
      <w:r w:rsidR="00EE4FC3">
        <w:t xml:space="preserve"> </w:t>
      </w:r>
      <w:r w:rsidRPr="00382917">
        <w:t>foreshadowed</w:t>
      </w:r>
      <w:r w:rsidR="00EE4FC3">
        <w:t xml:space="preserve"> </w:t>
      </w:r>
      <w:r w:rsidRPr="00382917">
        <w:t>by</w:t>
      </w:r>
      <w:r w:rsidR="00EE4FC3">
        <w:t xml:space="preserve"> </w:t>
      </w:r>
      <w:r w:rsidRPr="00382917">
        <w:t>the</w:t>
      </w:r>
      <w:r w:rsidR="00EE4FC3">
        <w:t xml:space="preserve"> </w:t>
      </w:r>
      <w:r w:rsidRPr="00382917">
        <w:t>prophet</w:t>
      </w:r>
      <w:r w:rsidR="00EE4FC3">
        <w:t xml:space="preserve"> </w:t>
      </w:r>
      <w:r w:rsidRPr="00382917">
        <w:t>Isaiah:</w:t>
      </w:r>
    </w:p>
    <w:p w:rsidR="00B568B6" w:rsidRPr="00382917" w:rsidRDefault="009C713D" w:rsidP="00B86D70">
      <w:pPr>
        <w:pStyle w:val="Quote"/>
      </w:pPr>
      <w:r w:rsidRPr="00382917">
        <w:t>“</w:t>
      </w:r>
      <w:r w:rsidR="00B568B6" w:rsidRPr="00382917">
        <w:t>Sharon</w:t>
      </w:r>
      <w:r w:rsidR="00EE4FC3">
        <w:t xml:space="preserve"> </w:t>
      </w:r>
      <w:r w:rsidR="00B568B6" w:rsidRPr="00382917">
        <w:t>shall</w:t>
      </w:r>
      <w:r w:rsidR="00EE4FC3">
        <w:t xml:space="preserve"> </w:t>
      </w:r>
      <w:r w:rsidR="00B568B6" w:rsidRPr="00382917">
        <w:t>be</w:t>
      </w:r>
      <w:r w:rsidR="00EE4FC3">
        <w:t xml:space="preserve"> </w:t>
      </w:r>
      <w:r w:rsidR="00B568B6" w:rsidRPr="00382917">
        <w:t>a</w:t>
      </w:r>
      <w:r w:rsidR="00EE4FC3">
        <w:t xml:space="preserve"> </w:t>
      </w:r>
      <w:r w:rsidR="00B568B6" w:rsidRPr="00382917">
        <w:t>fold</w:t>
      </w:r>
      <w:r w:rsidR="00EE4FC3">
        <w:t xml:space="preserve"> </w:t>
      </w:r>
      <w:r w:rsidR="00B568B6" w:rsidRPr="00382917">
        <w:t>of</w:t>
      </w:r>
      <w:r w:rsidR="00EE4FC3">
        <w:t xml:space="preserve"> </w:t>
      </w:r>
      <w:r w:rsidR="00B568B6" w:rsidRPr="00382917">
        <w:t>flocks,</w:t>
      </w:r>
      <w:r w:rsidR="00EE4FC3">
        <w:t xml:space="preserve"> </w:t>
      </w:r>
      <w:r w:rsidR="00B568B6" w:rsidRPr="00382917">
        <w:t>and</w:t>
      </w:r>
      <w:r w:rsidR="00EE4FC3">
        <w:t xml:space="preserve"> </w:t>
      </w:r>
      <w:r w:rsidR="00B568B6" w:rsidRPr="00382917">
        <w:t>the</w:t>
      </w:r>
      <w:r w:rsidR="00EE4FC3">
        <w:t xml:space="preserve"> </w:t>
      </w:r>
      <w:r w:rsidR="00B568B6" w:rsidRPr="00382917">
        <w:t>valley</w:t>
      </w:r>
      <w:r w:rsidR="00EE4FC3">
        <w:t xml:space="preserve"> </w:t>
      </w:r>
      <w:r w:rsidR="00B568B6" w:rsidRPr="00382917">
        <w:t>of</w:t>
      </w:r>
      <w:r w:rsidR="00EE4FC3">
        <w:t xml:space="preserve"> </w:t>
      </w:r>
      <w:proofErr w:type="spellStart"/>
      <w:r w:rsidR="00B568B6" w:rsidRPr="00382917">
        <w:t>Achor</w:t>
      </w:r>
      <w:proofErr w:type="spellEnd"/>
      <w:r w:rsidR="00EE4FC3">
        <w:t xml:space="preserve"> </w:t>
      </w:r>
      <w:r w:rsidR="00B568B6" w:rsidRPr="00382917">
        <w:t>a</w:t>
      </w:r>
      <w:r w:rsidR="00EE4FC3">
        <w:t xml:space="preserve"> </w:t>
      </w:r>
      <w:r w:rsidR="00B568B6" w:rsidRPr="00382917">
        <w:t>place</w:t>
      </w:r>
      <w:r w:rsidR="00EE4FC3">
        <w:t xml:space="preserve"> </w:t>
      </w:r>
      <w:r w:rsidR="00B568B6" w:rsidRPr="00382917">
        <w:t>for</w:t>
      </w:r>
      <w:r w:rsidR="00EE4FC3">
        <w:t xml:space="preserve"> </w:t>
      </w:r>
      <w:r w:rsidR="00B568B6" w:rsidRPr="00382917">
        <w:t>the</w:t>
      </w:r>
      <w:r w:rsidR="00EE4FC3">
        <w:t xml:space="preserve"> </w:t>
      </w:r>
      <w:r w:rsidR="00B568B6" w:rsidRPr="00382917">
        <w:t>herds</w:t>
      </w:r>
      <w:r w:rsidR="00EE4FC3">
        <w:t xml:space="preserve"> </w:t>
      </w:r>
      <w:r w:rsidR="00B568B6" w:rsidRPr="00382917">
        <w:t>to</w:t>
      </w:r>
      <w:r w:rsidR="00EE4FC3">
        <w:t xml:space="preserve"> </w:t>
      </w:r>
      <w:r w:rsidR="00B568B6" w:rsidRPr="00382917">
        <w:t>lie</w:t>
      </w:r>
      <w:r w:rsidR="00EE4FC3">
        <w:t xml:space="preserve"> </w:t>
      </w:r>
      <w:r w:rsidR="00B568B6" w:rsidRPr="00382917">
        <w:t>down</w:t>
      </w:r>
      <w:r w:rsidR="00EE4FC3">
        <w:t xml:space="preserve"> </w:t>
      </w:r>
      <w:r w:rsidR="00B568B6" w:rsidRPr="00382917">
        <w:t>in,</w:t>
      </w:r>
      <w:r w:rsidR="00EE4FC3">
        <w:t xml:space="preserve"> </w:t>
      </w:r>
      <w:r w:rsidR="00B568B6" w:rsidRPr="00382917">
        <w:t>for</w:t>
      </w:r>
      <w:r w:rsidR="00EE4FC3">
        <w:t xml:space="preserve"> </w:t>
      </w:r>
      <w:r w:rsidR="00B568B6" w:rsidRPr="00382917">
        <w:t>my</w:t>
      </w:r>
      <w:r w:rsidR="00EE4FC3">
        <w:t xml:space="preserve"> </w:t>
      </w:r>
      <w:r w:rsidR="00B568B6" w:rsidRPr="00382917">
        <w:t>people</w:t>
      </w:r>
      <w:r w:rsidR="00EE4FC3">
        <w:t xml:space="preserve"> </w:t>
      </w:r>
      <w:r w:rsidR="00B568B6" w:rsidRPr="00382917">
        <w:t>who</w:t>
      </w:r>
      <w:r w:rsidR="00EE4FC3">
        <w:t xml:space="preserve"> </w:t>
      </w:r>
      <w:r w:rsidR="00B568B6" w:rsidRPr="00382917">
        <w:t>have</w:t>
      </w:r>
      <w:r w:rsidR="00EE4FC3">
        <w:t xml:space="preserve"> </w:t>
      </w:r>
      <w:r w:rsidR="00B568B6" w:rsidRPr="00382917">
        <w:t>sought</w:t>
      </w:r>
      <w:r w:rsidR="00EE4FC3">
        <w:t xml:space="preserve"> </w:t>
      </w:r>
      <w:r w:rsidR="00B568B6" w:rsidRPr="00382917">
        <w:t>me.</w:t>
      </w:r>
      <w:r w:rsidRPr="00382917">
        <w:t>”</w:t>
      </w:r>
      <w:r w:rsidR="00B86D70">
        <w:rPr>
          <w:rStyle w:val="FootnoteReference"/>
        </w:rPr>
        <w:footnoteReference w:id="379"/>
      </w:r>
    </w:p>
    <w:p w:rsidR="00B568B6" w:rsidRPr="00382917" w:rsidRDefault="00B568B6" w:rsidP="00B568B6">
      <w:pPr>
        <w:pStyle w:val="Text"/>
      </w:pPr>
      <w:r w:rsidRPr="00382917">
        <w:t>Bahá</w:t>
      </w:r>
      <w:r w:rsidR="009C713D" w:rsidRPr="00382917">
        <w:t>’</w:t>
      </w:r>
      <w:r w:rsidRPr="00382917">
        <w:t>u</w:t>
      </w:r>
      <w:r w:rsidR="009C713D" w:rsidRPr="00382917">
        <w:t>’</w:t>
      </w:r>
      <w:r w:rsidRPr="00382917">
        <w:t>lláh</w:t>
      </w:r>
      <w:r w:rsidR="00EE4FC3">
        <w:t xml:space="preserve"> </w:t>
      </w:r>
      <w:r w:rsidRPr="00382917">
        <w:t>had</w:t>
      </w:r>
      <w:r w:rsidR="00EE4FC3">
        <w:t xml:space="preserve"> </w:t>
      </w:r>
      <w:r w:rsidRPr="00382917">
        <w:t>been</w:t>
      </w:r>
      <w:r w:rsidR="00EE4FC3">
        <w:t xml:space="preserve"> </w:t>
      </w:r>
      <w:r w:rsidRPr="00382917">
        <w:t>sent</w:t>
      </w:r>
      <w:r w:rsidR="00EE4FC3">
        <w:t xml:space="preserve"> </w:t>
      </w:r>
      <w:r w:rsidRPr="00382917">
        <w:t>to</w:t>
      </w:r>
      <w:r w:rsidR="00EE4FC3">
        <w:t xml:space="preserve"> </w:t>
      </w:r>
      <w:r w:rsidRPr="00382917">
        <w:t>the</w:t>
      </w:r>
      <w:r w:rsidR="00EE4FC3">
        <w:t xml:space="preserve"> </w:t>
      </w:r>
      <w:r w:rsidRPr="00382917">
        <w:t>prison</w:t>
      </w:r>
      <w:r w:rsidR="00EE4FC3">
        <w:t xml:space="preserve"> </w:t>
      </w:r>
      <w:r w:rsidRPr="00382917">
        <w:t>of</w:t>
      </w:r>
      <w:r w:rsidR="00EE4FC3">
        <w:t xml:space="preserve"> </w:t>
      </w:r>
      <w:r w:rsidR="009C713D" w:rsidRPr="00382917">
        <w:t>‘</w:t>
      </w:r>
      <w:r w:rsidRPr="00382917">
        <w:t>Akká</w:t>
      </w:r>
      <w:r w:rsidR="00EE4FC3">
        <w:t xml:space="preserve"> </w:t>
      </w:r>
      <w:r w:rsidRPr="00382917">
        <w:t>because</w:t>
      </w:r>
      <w:r w:rsidR="00EE4FC3">
        <w:t xml:space="preserve"> </w:t>
      </w:r>
      <w:r w:rsidRPr="00382917">
        <w:t>it</w:t>
      </w:r>
      <w:r w:rsidR="00EE4FC3">
        <w:t xml:space="preserve"> </w:t>
      </w:r>
      <w:r w:rsidRPr="00382917">
        <w:t>was</w:t>
      </w:r>
      <w:r w:rsidR="00EE4FC3">
        <w:t xml:space="preserve"> </w:t>
      </w:r>
      <w:r w:rsidRPr="00382917">
        <w:t>believed</w:t>
      </w:r>
      <w:r w:rsidR="00EE4FC3">
        <w:t xml:space="preserve"> </w:t>
      </w:r>
      <w:r w:rsidRPr="00382917">
        <w:t>by</w:t>
      </w:r>
      <w:r w:rsidR="00EE4FC3">
        <w:t xml:space="preserve"> </w:t>
      </w:r>
      <w:r w:rsidRPr="00382917">
        <w:t>the</w:t>
      </w:r>
      <w:r w:rsidR="00EE4FC3">
        <w:t xml:space="preserve"> </w:t>
      </w:r>
      <w:r w:rsidRPr="00382917">
        <w:t>religious</w:t>
      </w:r>
      <w:r w:rsidR="00EE4FC3">
        <w:t xml:space="preserve"> </w:t>
      </w:r>
      <w:r w:rsidRPr="00382917">
        <w:t>leaders</w:t>
      </w:r>
      <w:r w:rsidR="00EE4FC3">
        <w:t xml:space="preserve"> </w:t>
      </w:r>
      <w:r w:rsidRPr="00382917">
        <w:t>of</w:t>
      </w:r>
      <w:r w:rsidR="00EE4FC3">
        <w:t xml:space="preserve"> </w:t>
      </w:r>
      <w:r w:rsidRPr="00382917">
        <w:t>Persia</w:t>
      </w:r>
      <w:r w:rsidR="00EE4FC3">
        <w:t xml:space="preserve"> </w:t>
      </w:r>
      <w:r w:rsidRPr="00382917">
        <w:t>and</w:t>
      </w:r>
      <w:r w:rsidR="00EE4FC3">
        <w:t xml:space="preserve"> </w:t>
      </w:r>
      <w:r w:rsidRPr="00382917">
        <w:t>Turkey</w:t>
      </w:r>
      <w:r w:rsidR="00EE4FC3">
        <w:t xml:space="preserve"> </w:t>
      </w:r>
      <w:r w:rsidRPr="00382917">
        <w:t>that</w:t>
      </w:r>
      <w:r w:rsidR="00EE4FC3">
        <w:t xml:space="preserve"> </w:t>
      </w:r>
      <w:r w:rsidRPr="00382917">
        <w:t>He</w:t>
      </w:r>
      <w:r w:rsidR="00EE4FC3">
        <w:t xml:space="preserve"> </w:t>
      </w:r>
      <w:r w:rsidRPr="00382917">
        <w:t>would</w:t>
      </w:r>
      <w:r w:rsidR="00EE4FC3">
        <w:t xml:space="preserve"> </w:t>
      </w:r>
      <w:r w:rsidRPr="00382917">
        <w:t>die</w:t>
      </w:r>
      <w:r w:rsidR="00EE4FC3">
        <w:t xml:space="preserve"> </w:t>
      </w:r>
      <w:r w:rsidRPr="00382917">
        <w:t>there</w:t>
      </w:r>
      <w:r w:rsidR="00EE4FC3">
        <w:t xml:space="preserve"> </w:t>
      </w:r>
      <w:r w:rsidRPr="00382917">
        <w:t>and</w:t>
      </w:r>
      <w:r w:rsidR="00EE4FC3">
        <w:t xml:space="preserve"> </w:t>
      </w:r>
      <w:r w:rsidRPr="00382917">
        <w:t>be</w:t>
      </w:r>
      <w:r w:rsidR="00EE4FC3">
        <w:t xml:space="preserve"> </w:t>
      </w:r>
      <w:r w:rsidRPr="00382917">
        <w:t>forgotten</w:t>
      </w:r>
      <w:r w:rsidR="00F267E4">
        <w:t>.</w:t>
      </w:r>
      <w:r w:rsidR="00EE4FC3">
        <w:t xml:space="preserve">  </w:t>
      </w:r>
      <w:r w:rsidRPr="00382917">
        <w:t>The</w:t>
      </w:r>
      <w:r w:rsidR="00EE4FC3">
        <w:t xml:space="preserve"> </w:t>
      </w:r>
      <w:r w:rsidRPr="00382917">
        <w:t>atmosphere</w:t>
      </w:r>
      <w:r w:rsidR="00EE4FC3">
        <w:t xml:space="preserve"> </w:t>
      </w:r>
      <w:r w:rsidRPr="00382917">
        <w:t>was</w:t>
      </w:r>
      <w:r w:rsidR="00EE4FC3">
        <w:t xml:space="preserve"> </w:t>
      </w:r>
      <w:r w:rsidRPr="00382917">
        <w:t>so</w:t>
      </w:r>
      <w:r w:rsidR="00EE4FC3">
        <w:t xml:space="preserve"> </w:t>
      </w:r>
      <w:r w:rsidRPr="00382917">
        <w:t>foul</w:t>
      </w:r>
      <w:r w:rsidR="00EE4FC3">
        <w:t xml:space="preserve"> </w:t>
      </w:r>
      <w:r w:rsidRPr="00382917">
        <w:t>that</w:t>
      </w:r>
      <w:r w:rsidR="00EE4FC3">
        <w:t xml:space="preserve"> </w:t>
      </w:r>
      <w:r w:rsidRPr="00382917">
        <w:t>a</w:t>
      </w:r>
      <w:r w:rsidR="00EE4FC3">
        <w:t xml:space="preserve"> </w:t>
      </w:r>
      <w:r w:rsidRPr="00382917">
        <w:t>proverb</w:t>
      </w:r>
      <w:r w:rsidR="00EE4FC3">
        <w:t xml:space="preserve"> </w:t>
      </w:r>
      <w:r w:rsidRPr="00382917">
        <w:t>said</w:t>
      </w:r>
      <w:r w:rsidR="00EE4FC3">
        <w:t xml:space="preserve"> </w:t>
      </w:r>
      <w:r w:rsidRPr="00382917">
        <w:t>of</w:t>
      </w:r>
      <w:r w:rsidR="00EE4FC3">
        <w:t xml:space="preserve"> </w:t>
      </w:r>
      <w:r w:rsidRPr="00382917">
        <w:t>the</w:t>
      </w:r>
      <w:r w:rsidR="00EE4FC3">
        <w:t xml:space="preserve"> </w:t>
      </w:r>
      <w:r w:rsidRPr="00382917">
        <w:t>spot</w:t>
      </w:r>
      <w:r w:rsidR="00C03C91">
        <w:t>:</w:t>
      </w:r>
      <w:r w:rsidR="00EE4FC3">
        <w:t xml:space="preserve">  </w:t>
      </w:r>
      <w:r w:rsidR="009C713D" w:rsidRPr="00382917">
        <w:t>“</w:t>
      </w:r>
      <w:r w:rsidRPr="00382917">
        <w:t>If</w:t>
      </w:r>
      <w:r w:rsidR="00EE4FC3">
        <w:t xml:space="preserve"> </w:t>
      </w:r>
      <w:r w:rsidRPr="00382917">
        <w:t>a</w:t>
      </w:r>
      <w:r w:rsidR="00EE4FC3">
        <w:t xml:space="preserve"> </w:t>
      </w:r>
      <w:r w:rsidRPr="00382917">
        <w:t>bird</w:t>
      </w:r>
      <w:r w:rsidR="00EE4FC3">
        <w:t xml:space="preserve"> </w:t>
      </w:r>
      <w:r w:rsidRPr="00382917">
        <w:t>flies</w:t>
      </w:r>
      <w:r w:rsidR="00EE4FC3">
        <w:t xml:space="preserve"> </w:t>
      </w:r>
      <w:r w:rsidRPr="00382917">
        <w:t>over</w:t>
      </w:r>
      <w:r w:rsidR="00EE4FC3">
        <w:t xml:space="preserve"> </w:t>
      </w:r>
      <w:r w:rsidR="009C713D" w:rsidRPr="00382917">
        <w:t>‘</w:t>
      </w:r>
      <w:r w:rsidRPr="00382917">
        <w:t>Akká,</w:t>
      </w:r>
      <w:r w:rsidR="00EE4FC3">
        <w:t xml:space="preserve"> </w:t>
      </w:r>
      <w:r w:rsidRPr="00382917">
        <w:t>it</w:t>
      </w:r>
      <w:r w:rsidR="00EE4FC3">
        <w:t xml:space="preserve"> </w:t>
      </w:r>
      <w:r w:rsidRPr="00382917">
        <w:t>dies!</w:t>
      </w:r>
      <w:r w:rsidR="009C713D" w:rsidRPr="00382917">
        <w:t>”</w:t>
      </w:r>
      <w:r w:rsidR="003D4A6B">
        <w:t xml:space="preserve"> </w:t>
      </w:r>
      <w:r w:rsidR="00EE4FC3">
        <w:t xml:space="preserve"> </w:t>
      </w:r>
      <w:r w:rsidRPr="00382917">
        <w:t>His</w:t>
      </w:r>
      <w:r w:rsidR="00EE4FC3">
        <w:t xml:space="preserve"> </w:t>
      </w:r>
      <w:r w:rsidRPr="00382917">
        <w:t>enemies</w:t>
      </w:r>
      <w:r w:rsidR="00EE4FC3">
        <w:t xml:space="preserve"> </w:t>
      </w:r>
      <w:r w:rsidRPr="00382917">
        <w:t>did</w:t>
      </w:r>
      <w:r w:rsidR="00EE4FC3">
        <w:t xml:space="preserve"> </w:t>
      </w:r>
      <w:r w:rsidRPr="00382917">
        <w:t>not</w:t>
      </w:r>
      <w:r w:rsidR="00EE4FC3">
        <w:t xml:space="preserve"> </w:t>
      </w:r>
      <w:r w:rsidRPr="00382917">
        <w:t>realize</w:t>
      </w:r>
      <w:r w:rsidR="00EE4FC3">
        <w:t xml:space="preserve"> </w:t>
      </w:r>
      <w:r w:rsidRPr="00382917">
        <w:t>that</w:t>
      </w:r>
      <w:r w:rsidR="00EE4FC3">
        <w:t xml:space="preserve"> </w:t>
      </w:r>
      <w:r w:rsidRPr="00382917">
        <w:t>by</w:t>
      </w:r>
      <w:r w:rsidR="00EE4FC3">
        <w:t xml:space="preserve"> </w:t>
      </w:r>
      <w:r w:rsidRPr="00382917">
        <w:t>driving</w:t>
      </w:r>
      <w:r w:rsidR="00EE4FC3">
        <w:t xml:space="preserve"> </w:t>
      </w:r>
      <w:r w:rsidRPr="00382917">
        <w:t>Him</w:t>
      </w:r>
      <w:r w:rsidR="00EE4FC3">
        <w:t xml:space="preserve"> </w:t>
      </w:r>
      <w:r w:rsidRPr="00382917">
        <w:t>there</w:t>
      </w:r>
      <w:r w:rsidR="00EE4FC3">
        <w:t xml:space="preserve"> </w:t>
      </w:r>
      <w:r w:rsidRPr="00382917">
        <w:t>in</w:t>
      </w:r>
      <w:r w:rsidR="00EE4FC3">
        <w:t xml:space="preserve"> </w:t>
      </w:r>
      <w:r w:rsidRPr="00382917">
        <w:t>exile,</w:t>
      </w:r>
      <w:r w:rsidR="00EE4FC3">
        <w:t xml:space="preserve"> </w:t>
      </w:r>
      <w:r w:rsidRPr="00382917">
        <w:t>they</w:t>
      </w:r>
      <w:r w:rsidR="00EE4FC3">
        <w:t xml:space="preserve"> </w:t>
      </w:r>
      <w:r w:rsidRPr="00382917">
        <w:t>were</w:t>
      </w:r>
      <w:r w:rsidR="00EE4FC3">
        <w:t xml:space="preserve"> </w:t>
      </w:r>
      <w:r w:rsidRPr="00382917">
        <w:t>fulfilling</w:t>
      </w:r>
      <w:r w:rsidR="00EE4FC3">
        <w:t xml:space="preserve"> </w:t>
      </w:r>
      <w:r w:rsidRPr="00382917">
        <w:t>the</w:t>
      </w:r>
      <w:r w:rsidR="00EE4FC3">
        <w:t xml:space="preserve"> </w:t>
      </w:r>
      <w:r w:rsidRPr="00382917">
        <w:t>prophecies</w:t>
      </w:r>
      <w:r w:rsidR="00EE4FC3">
        <w:t xml:space="preserve"> </w:t>
      </w:r>
      <w:r w:rsidRPr="00382917">
        <w:t>of</w:t>
      </w:r>
      <w:r w:rsidR="00EE4FC3">
        <w:t xml:space="preserve"> </w:t>
      </w:r>
      <w:r w:rsidRPr="00382917">
        <w:t>sacred</w:t>
      </w:r>
      <w:r w:rsidR="00EE4FC3">
        <w:t xml:space="preserve"> </w:t>
      </w:r>
      <w:r w:rsidRPr="00382917">
        <w:t>Scripture.</w:t>
      </w:r>
    </w:p>
    <w:p w:rsidR="00B568B6" w:rsidRPr="00382917" w:rsidRDefault="00B568B6" w:rsidP="00B568B6">
      <w:pPr>
        <w:pStyle w:val="Text"/>
      </w:pPr>
      <w:r w:rsidRPr="00382917">
        <w:t>Soon</w:t>
      </w:r>
      <w:r w:rsidR="00EE4FC3">
        <w:t xml:space="preserve"> </w:t>
      </w:r>
      <w:r w:rsidRPr="00382917">
        <w:t>the</w:t>
      </w:r>
      <w:r w:rsidR="00EE4FC3">
        <w:t xml:space="preserve"> </w:t>
      </w:r>
      <w:r w:rsidRPr="00382917">
        <w:t>followers</w:t>
      </w:r>
      <w:r w:rsidR="00EE4FC3">
        <w:t xml:space="preserve"> </w:t>
      </w:r>
      <w:r w:rsidRPr="00382917">
        <w:t>of</w:t>
      </w:r>
      <w:r w:rsidR="00EE4FC3">
        <w:t xml:space="preserve"> </w:t>
      </w:r>
      <w:r w:rsidRPr="00382917">
        <w:t>Bahá</w:t>
      </w:r>
      <w:r w:rsidR="009C713D" w:rsidRPr="00382917">
        <w:t>’</w:t>
      </w:r>
      <w:r w:rsidRPr="00382917">
        <w:t>u</w:t>
      </w:r>
      <w:r w:rsidR="009C713D" w:rsidRPr="00382917">
        <w:t>’</w:t>
      </w:r>
      <w:r w:rsidRPr="00382917">
        <w:t>lláh</w:t>
      </w:r>
      <w:r w:rsidR="00EE4FC3">
        <w:t xml:space="preserve"> </w:t>
      </w:r>
      <w:r w:rsidRPr="00382917">
        <w:t>came</w:t>
      </w:r>
      <w:r w:rsidR="00EE4FC3">
        <w:t xml:space="preserve"> </w:t>
      </w:r>
      <w:r w:rsidRPr="00382917">
        <w:t>to</w:t>
      </w:r>
      <w:r w:rsidR="00EE4FC3">
        <w:t xml:space="preserve"> </w:t>
      </w:r>
      <w:r w:rsidRPr="00382917">
        <w:t>this</w:t>
      </w:r>
      <w:r w:rsidR="00EE4FC3">
        <w:t xml:space="preserve"> </w:t>
      </w:r>
      <w:r w:rsidRPr="00382917">
        <w:t>arid,</w:t>
      </w:r>
      <w:r w:rsidR="00EE4FC3">
        <w:t xml:space="preserve"> </w:t>
      </w:r>
      <w:r w:rsidRPr="00382917">
        <w:t>desert</w:t>
      </w:r>
      <w:r w:rsidR="00EE4FC3">
        <w:t xml:space="preserve"> </w:t>
      </w:r>
      <w:r w:rsidRPr="00382917">
        <w:t>land</w:t>
      </w:r>
      <w:r w:rsidR="00EE4FC3">
        <w:t xml:space="preserve"> </w:t>
      </w:r>
      <w:r w:rsidRPr="00382917">
        <w:t>from</w:t>
      </w:r>
      <w:r w:rsidR="00EE4FC3">
        <w:t xml:space="preserve"> </w:t>
      </w:r>
      <w:r w:rsidRPr="00382917">
        <w:t>far</w:t>
      </w:r>
      <w:r w:rsidR="00EE4FC3">
        <w:t xml:space="preserve"> </w:t>
      </w:r>
      <w:r w:rsidRPr="00382917">
        <w:t>off</w:t>
      </w:r>
      <w:r w:rsidR="00EE4FC3">
        <w:t xml:space="preserve"> </w:t>
      </w:r>
      <w:r w:rsidRPr="00382917">
        <w:t>places</w:t>
      </w:r>
      <w:r w:rsidR="00F267E4">
        <w:t>.</w:t>
      </w:r>
      <w:r w:rsidR="00EE4FC3">
        <w:t xml:space="preserve">  </w:t>
      </w:r>
      <w:r w:rsidRPr="00382917">
        <w:t>They</w:t>
      </w:r>
      <w:r w:rsidR="00EE4FC3">
        <w:t xml:space="preserve"> </w:t>
      </w:r>
      <w:r w:rsidRPr="00382917">
        <w:t>brought</w:t>
      </w:r>
      <w:r w:rsidR="00EE4FC3">
        <w:t xml:space="preserve"> </w:t>
      </w:r>
      <w:r w:rsidRPr="00382917">
        <w:t>with</w:t>
      </w:r>
      <w:r w:rsidR="00EE4FC3">
        <w:t xml:space="preserve"> </w:t>
      </w:r>
      <w:r w:rsidRPr="00382917">
        <w:t>them</w:t>
      </w:r>
      <w:r w:rsidR="00EE4FC3">
        <w:t xml:space="preserve"> </w:t>
      </w:r>
      <w:r w:rsidRPr="00382917">
        <w:t>roses</w:t>
      </w:r>
      <w:r w:rsidR="00EE4FC3">
        <w:t xml:space="preserve"> </w:t>
      </w:r>
      <w:r w:rsidRPr="00382917">
        <w:t>of</w:t>
      </w:r>
      <w:r w:rsidR="00EE4FC3">
        <w:t xml:space="preserve"> </w:t>
      </w:r>
      <w:r w:rsidRPr="00382917">
        <w:t>every</w:t>
      </w:r>
      <w:r w:rsidR="00EE4FC3">
        <w:t xml:space="preserve"> </w:t>
      </w:r>
      <w:r w:rsidRPr="00382917">
        <w:t>hue,</w:t>
      </w:r>
      <w:r w:rsidR="00EE4FC3">
        <w:t xml:space="preserve"> </w:t>
      </w:r>
      <w:r w:rsidRPr="00382917">
        <w:t>flowers,</w:t>
      </w:r>
      <w:r w:rsidR="00EE4FC3">
        <w:t xml:space="preserve"> </w:t>
      </w:r>
      <w:r w:rsidRPr="00382917">
        <w:t>plants,</w:t>
      </w:r>
      <w:r w:rsidR="00EE4FC3">
        <w:t xml:space="preserve"> </w:t>
      </w:r>
      <w:r w:rsidRPr="00382917">
        <w:t>and</w:t>
      </w:r>
      <w:r w:rsidR="00EE4FC3">
        <w:t xml:space="preserve"> </w:t>
      </w:r>
      <w:r w:rsidRPr="00382917">
        <w:t>fruit</w:t>
      </w:r>
      <w:r w:rsidR="00EE4FC3">
        <w:t xml:space="preserve"> </w:t>
      </w:r>
      <w:r w:rsidRPr="00382917">
        <w:t>trees</w:t>
      </w:r>
      <w:r w:rsidR="00F267E4">
        <w:t>.</w:t>
      </w:r>
      <w:r w:rsidR="00EE4FC3">
        <w:t xml:space="preserve">  </w:t>
      </w:r>
      <w:r w:rsidRPr="00382917">
        <w:t>It</w:t>
      </w:r>
      <w:r w:rsidR="00EE4FC3">
        <w:t xml:space="preserve"> </w:t>
      </w:r>
      <w:r w:rsidRPr="00382917">
        <w:t>became</w:t>
      </w:r>
      <w:r w:rsidR="00EE4FC3">
        <w:t xml:space="preserve"> </w:t>
      </w:r>
      <w:r w:rsidRPr="00382917">
        <w:t>a</w:t>
      </w:r>
      <w:r w:rsidR="00EE4FC3">
        <w:t xml:space="preserve"> </w:t>
      </w:r>
      <w:r w:rsidRPr="00382917">
        <w:t>garden</w:t>
      </w:r>
      <w:r w:rsidR="00EE4FC3">
        <w:t xml:space="preserve"> </w:t>
      </w:r>
      <w:r w:rsidRPr="00382917">
        <w:t>as</w:t>
      </w:r>
      <w:r w:rsidR="00EE4FC3">
        <w:t xml:space="preserve"> </w:t>
      </w:r>
      <w:r w:rsidRPr="00382917">
        <w:t>the</w:t>
      </w:r>
      <w:r w:rsidR="00EE4FC3">
        <w:t xml:space="preserve"> </w:t>
      </w:r>
      <w:r w:rsidRPr="00382917">
        <w:t>years</w:t>
      </w:r>
      <w:r w:rsidR="00EE4FC3">
        <w:t xml:space="preserve"> </w:t>
      </w:r>
      <w:r w:rsidRPr="00382917">
        <w:t>passed,</w:t>
      </w:r>
      <w:r w:rsidR="00EE4FC3">
        <w:t xml:space="preserve"> </w:t>
      </w:r>
      <w:r w:rsidRPr="00382917">
        <w:t>filled</w:t>
      </w:r>
      <w:r w:rsidR="00EE4FC3">
        <w:t xml:space="preserve"> </w:t>
      </w:r>
      <w:r w:rsidRPr="00382917">
        <w:t>with</w:t>
      </w:r>
      <w:r w:rsidR="00EE4FC3">
        <w:t xml:space="preserve"> </w:t>
      </w:r>
      <w:proofErr w:type="spellStart"/>
      <w:r w:rsidRPr="00382917">
        <w:t>colorful</w:t>
      </w:r>
      <w:proofErr w:type="spellEnd"/>
      <w:r w:rsidR="00EE4FC3">
        <w:t xml:space="preserve"> </w:t>
      </w:r>
      <w:r w:rsidRPr="00382917">
        <w:t>blossoms,</w:t>
      </w:r>
      <w:r w:rsidR="00EE4FC3">
        <w:t xml:space="preserve"> </w:t>
      </w:r>
      <w:r w:rsidRPr="00382917">
        <w:t>the</w:t>
      </w:r>
      <w:r w:rsidR="00EE4FC3">
        <w:t xml:space="preserve"> </w:t>
      </w:r>
      <w:r w:rsidRPr="00382917">
        <w:t>fragrance</w:t>
      </w:r>
      <w:r w:rsidR="00EE4FC3">
        <w:t xml:space="preserve"> </w:t>
      </w:r>
      <w:r w:rsidRPr="00382917">
        <w:t>of</w:t>
      </w:r>
      <w:r w:rsidR="00EE4FC3">
        <w:t xml:space="preserve"> </w:t>
      </w:r>
      <w:r w:rsidRPr="00382917">
        <w:t>orange</w:t>
      </w:r>
      <w:r w:rsidR="00EE4FC3">
        <w:t xml:space="preserve"> </w:t>
      </w:r>
      <w:r w:rsidRPr="00382917">
        <w:t>and</w:t>
      </w:r>
      <w:r w:rsidR="00EE4FC3">
        <w:t xml:space="preserve"> </w:t>
      </w:r>
      <w:r w:rsidRPr="00382917">
        <w:t>lemon</w:t>
      </w:r>
      <w:r w:rsidR="00EE4FC3">
        <w:t xml:space="preserve"> </w:t>
      </w:r>
      <w:r w:rsidRPr="00382917">
        <w:t>trees,</w:t>
      </w:r>
      <w:r w:rsidR="00EE4FC3">
        <w:t xml:space="preserve"> </w:t>
      </w:r>
      <w:r w:rsidRPr="00382917">
        <w:t>with</w:t>
      </w:r>
      <w:r w:rsidR="00EE4FC3">
        <w:t xml:space="preserve"> </w:t>
      </w:r>
      <w:r w:rsidRPr="00382917">
        <w:t>the</w:t>
      </w:r>
      <w:r w:rsidR="00EE4FC3">
        <w:t xml:space="preserve"> </w:t>
      </w:r>
      <w:r w:rsidRPr="00382917">
        <w:t>brilliance</w:t>
      </w:r>
      <w:r w:rsidR="00EE4FC3">
        <w:t xml:space="preserve"> </w:t>
      </w:r>
      <w:r w:rsidRPr="00382917">
        <w:t>of</w:t>
      </w:r>
      <w:r w:rsidR="00EE4FC3">
        <w:t xml:space="preserve"> </w:t>
      </w:r>
      <w:r w:rsidRPr="00382917">
        <w:t>the</w:t>
      </w:r>
      <w:r w:rsidR="00EE4FC3">
        <w:t xml:space="preserve"> </w:t>
      </w:r>
      <w:r w:rsidRPr="00382917">
        <w:t>flaming</w:t>
      </w:r>
      <w:r w:rsidR="00EE4FC3">
        <w:t xml:space="preserve"> </w:t>
      </w:r>
      <w:r w:rsidRPr="00382917">
        <w:t>pomegranate</w:t>
      </w:r>
      <w:r w:rsidR="00F267E4">
        <w:t>.</w:t>
      </w:r>
      <w:r w:rsidR="00EE4FC3">
        <w:t xml:space="preserve">  </w:t>
      </w:r>
      <w:r w:rsidRPr="00382917">
        <w:t>Even</w:t>
      </w:r>
      <w:r w:rsidR="00EE4FC3">
        <w:t xml:space="preserve"> </w:t>
      </w:r>
      <w:r w:rsidRPr="00382917">
        <w:t>as</w:t>
      </w:r>
      <w:r w:rsidR="00EE4FC3">
        <w:t xml:space="preserve"> </w:t>
      </w:r>
      <w:r w:rsidRPr="00382917">
        <w:t>Isaiah</w:t>
      </w:r>
      <w:r w:rsidR="00EE4FC3">
        <w:t xml:space="preserve"> </w:t>
      </w:r>
      <w:r w:rsidRPr="00382917">
        <w:t>had</w:t>
      </w:r>
      <w:r w:rsidR="00EE4FC3">
        <w:t xml:space="preserve"> </w:t>
      </w:r>
      <w:r w:rsidRPr="00382917">
        <w:t>visualized:</w:t>
      </w:r>
    </w:p>
    <w:p w:rsidR="00B568B6" w:rsidRPr="00382917" w:rsidRDefault="009C713D" w:rsidP="003D4A6B">
      <w:pPr>
        <w:pStyle w:val="Quote"/>
      </w:pPr>
      <w:r w:rsidRPr="00382917">
        <w:t>“</w:t>
      </w:r>
      <w:r w:rsidR="00B568B6" w:rsidRPr="00382917">
        <w:t>It</w:t>
      </w:r>
      <w:r w:rsidR="00EE4FC3">
        <w:t xml:space="preserve"> </w:t>
      </w:r>
      <w:r w:rsidR="00B568B6" w:rsidRPr="00382917">
        <w:t>shall</w:t>
      </w:r>
      <w:r w:rsidR="00EE4FC3">
        <w:t xml:space="preserve"> </w:t>
      </w:r>
      <w:r w:rsidR="00B568B6" w:rsidRPr="00382917">
        <w:t>blossom</w:t>
      </w:r>
      <w:r w:rsidR="00EE4FC3">
        <w:t xml:space="preserve"> </w:t>
      </w:r>
      <w:r w:rsidR="00B568B6" w:rsidRPr="00382917">
        <w:t>abundantly</w:t>
      </w:r>
      <w:r w:rsidR="00EE4FC3">
        <w:t xml:space="preserve"> </w:t>
      </w:r>
      <w:r w:rsidR="00B568B6" w:rsidRPr="00382917">
        <w:t>and</w:t>
      </w:r>
      <w:r w:rsidR="00EE4FC3">
        <w:t xml:space="preserve"> </w:t>
      </w:r>
      <w:r w:rsidR="00B568B6" w:rsidRPr="00382917">
        <w:t>rejoice</w:t>
      </w:r>
      <w:r w:rsidR="00EE4FC3">
        <w:t xml:space="preserve"> </w:t>
      </w:r>
      <w:r w:rsidR="00B568B6" w:rsidRPr="00382917">
        <w:t>even</w:t>
      </w:r>
      <w:r w:rsidR="00EE4FC3">
        <w:t xml:space="preserve"> </w:t>
      </w:r>
      <w:r w:rsidR="00B568B6" w:rsidRPr="00382917">
        <w:t>with</w:t>
      </w:r>
      <w:r w:rsidR="00EE4FC3">
        <w:t xml:space="preserve"> </w:t>
      </w:r>
      <w:r w:rsidR="00B568B6" w:rsidRPr="00382917">
        <w:t>joy</w:t>
      </w:r>
      <w:r w:rsidR="00EE4FC3">
        <w:t xml:space="preserve"> </w:t>
      </w:r>
      <w:r w:rsidR="00B568B6" w:rsidRPr="00382917">
        <w:t>and</w:t>
      </w:r>
      <w:r w:rsidR="00EE4FC3">
        <w:t xml:space="preserve"> </w:t>
      </w:r>
      <w:r w:rsidR="00B568B6" w:rsidRPr="00382917">
        <w:t>singing</w:t>
      </w:r>
      <w:r w:rsidR="00C03C91">
        <w:t>:</w:t>
      </w:r>
      <w:r w:rsidR="00EE4FC3">
        <w:t xml:space="preserve">  </w:t>
      </w:r>
      <w:r w:rsidR="00B568B6" w:rsidRPr="00382917">
        <w:t>the</w:t>
      </w:r>
      <w:r w:rsidR="00EE4FC3">
        <w:t xml:space="preserve"> </w:t>
      </w:r>
      <w:r w:rsidR="00B568B6" w:rsidRPr="00382917">
        <w:t>glory</w:t>
      </w:r>
      <w:r w:rsidR="00EE4FC3">
        <w:t xml:space="preserve"> </w:t>
      </w:r>
      <w:r w:rsidR="00B568B6" w:rsidRPr="00382917">
        <w:t>of</w:t>
      </w:r>
      <w:r w:rsidR="00EE4FC3">
        <w:t xml:space="preserve"> </w:t>
      </w:r>
      <w:r w:rsidR="00B568B6" w:rsidRPr="00382917">
        <w:t>Lebanon</w:t>
      </w:r>
      <w:r w:rsidR="00EE4FC3">
        <w:t xml:space="preserve"> </w:t>
      </w:r>
      <w:r w:rsidR="00B568B6" w:rsidRPr="00382917">
        <w:t>shall</w:t>
      </w:r>
      <w:r w:rsidR="00EE4FC3">
        <w:t xml:space="preserve"> </w:t>
      </w:r>
      <w:r w:rsidR="00B568B6" w:rsidRPr="00382917">
        <w:t>be</w:t>
      </w:r>
      <w:r w:rsidR="00EE4FC3">
        <w:t xml:space="preserve"> </w:t>
      </w:r>
      <w:r w:rsidR="00B568B6" w:rsidRPr="00382917">
        <w:t>given</w:t>
      </w:r>
      <w:r w:rsidR="00EE4FC3">
        <w:t xml:space="preserve"> </w:t>
      </w:r>
      <w:r w:rsidR="00B568B6" w:rsidRPr="00382917">
        <w:t>unto</w:t>
      </w:r>
      <w:r w:rsidR="00EE4FC3">
        <w:t xml:space="preserve"> </w:t>
      </w:r>
      <w:r w:rsidR="00B568B6" w:rsidRPr="00382917">
        <w:t>it,</w:t>
      </w:r>
      <w:r w:rsidR="00EE4FC3">
        <w:t xml:space="preserve"> </w:t>
      </w:r>
      <w:r w:rsidR="00B568B6" w:rsidRPr="00382917">
        <w:t>the</w:t>
      </w:r>
      <w:r w:rsidR="00EE4FC3">
        <w:t xml:space="preserve"> </w:t>
      </w:r>
      <w:proofErr w:type="gramStart"/>
      <w:r w:rsidR="00B568B6" w:rsidRPr="00382917">
        <w:t>excellency</w:t>
      </w:r>
      <w:proofErr w:type="gramEnd"/>
      <w:r w:rsidR="00EE4FC3">
        <w:t xml:space="preserve"> </w:t>
      </w:r>
      <w:r w:rsidR="00B568B6" w:rsidRPr="00382917">
        <w:t>of</w:t>
      </w:r>
      <w:r w:rsidR="00EE4FC3">
        <w:t xml:space="preserve"> </w:t>
      </w:r>
      <w:r w:rsidR="00B568B6" w:rsidRPr="00382917">
        <w:t>Carmel</w:t>
      </w:r>
      <w:r w:rsidR="00EE4FC3">
        <w:t xml:space="preserve"> </w:t>
      </w:r>
      <w:r w:rsidR="00B568B6" w:rsidRPr="00382917">
        <w:t>and</w:t>
      </w:r>
      <w:r w:rsidR="00EE4FC3">
        <w:t xml:space="preserve"> </w:t>
      </w:r>
      <w:r w:rsidR="00B568B6" w:rsidRPr="00382917">
        <w:t>Sharon,</w:t>
      </w:r>
      <w:r w:rsidR="00EE4FC3">
        <w:t xml:space="preserve"> </w:t>
      </w:r>
      <w:r w:rsidR="00B568B6" w:rsidRPr="00382917">
        <w:t>they</w:t>
      </w:r>
      <w:r w:rsidR="00EE4FC3">
        <w:t xml:space="preserve"> </w:t>
      </w:r>
      <w:r w:rsidR="00B568B6" w:rsidRPr="00382917">
        <w:t>shall</w:t>
      </w:r>
      <w:r w:rsidR="00EE4FC3">
        <w:t xml:space="preserve"> </w:t>
      </w:r>
      <w:r w:rsidR="00B568B6" w:rsidRPr="00382917">
        <w:t>see</w:t>
      </w:r>
      <w:r w:rsidR="00EE4FC3">
        <w:t xml:space="preserve"> </w:t>
      </w:r>
      <w:r w:rsidR="00B568B6" w:rsidRPr="00382917">
        <w:t>the</w:t>
      </w:r>
      <w:r w:rsidR="00EE4FC3">
        <w:t xml:space="preserve"> </w:t>
      </w:r>
      <w:r w:rsidR="00B568B6" w:rsidRPr="00382917">
        <w:t>glory</w:t>
      </w:r>
      <w:r w:rsidR="00EE4FC3">
        <w:t xml:space="preserve"> </w:t>
      </w:r>
      <w:r w:rsidR="00B568B6" w:rsidRPr="00382917">
        <w:t>of</w:t>
      </w:r>
      <w:r w:rsidR="00EE4FC3">
        <w:t xml:space="preserve"> </w:t>
      </w:r>
      <w:r w:rsidR="00B568B6" w:rsidRPr="00382917">
        <w:t>the</w:t>
      </w:r>
      <w:r w:rsidR="00EE4FC3">
        <w:t xml:space="preserve"> </w:t>
      </w:r>
      <w:r w:rsidR="00B568B6" w:rsidRPr="00382917">
        <w:t>Lord,</w:t>
      </w:r>
      <w:r w:rsidR="00EE4FC3">
        <w:t xml:space="preserve"> </w:t>
      </w:r>
      <w:r w:rsidR="00B568B6" w:rsidRPr="00382917">
        <w:t>and</w:t>
      </w:r>
      <w:r w:rsidR="00EE4FC3">
        <w:t xml:space="preserve"> </w:t>
      </w:r>
      <w:r w:rsidR="00B568B6" w:rsidRPr="00382917">
        <w:t>the</w:t>
      </w:r>
      <w:r w:rsidR="00EE4FC3">
        <w:t xml:space="preserve"> </w:t>
      </w:r>
      <w:r w:rsidR="00B568B6" w:rsidRPr="00382917">
        <w:t>excellency</w:t>
      </w:r>
      <w:r w:rsidR="00EE4FC3">
        <w:t xml:space="preserve"> </w:t>
      </w:r>
      <w:r w:rsidR="00B568B6" w:rsidRPr="00382917">
        <w:t>of</w:t>
      </w:r>
      <w:r w:rsidR="00EE4FC3">
        <w:t xml:space="preserve"> </w:t>
      </w:r>
      <w:r w:rsidR="00B568B6" w:rsidRPr="00382917">
        <w:t>our</w:t>
      </w:r>
      <w:r w:rsidR="00EE4FC3">
        <w:t xml:space="preserve"> </w:t>
      </w:r>
      <w:r w:rsidR="00B568B6" w:rsidRPr="00382917">
        <w:t>God.</w:t>
      </w:r>
      <w:r w:rsidRPr="00382917">
        <w:t>”</w:t>
      </w:r>
      <w:r w:rsidR="003D4A6B">
        <w:rPr>
          <w:rStyle w:val="FootnoteReference"/>
        </w:rPr>
        <w:footnoteReference w:id="380"/>
      </w:r>
    </w:p>
    <w:p w:rsidR="00B568B6" w:rsidRPr="00382917" w:rsidRDefault="00B568B6" w:rsidP="00B568B6">
      <w:pPr>
        <w:pStyle w:val="Text"/>
      </w:pPr>
      <w:r w:rsidRPr="00382917">
        <w:t>Thousands</w:t>
      </w:r>
      <w:r w:rsidR="00EE4FC3">
        <w:t xml:space="preserve"> </w:t>
      </w:r>
      <w:r w:rsidRPr="00382917">
        <w:t>of</w:t>
      </w:r>
      <w:r w:rsidR="00EE4FC3">
        <w:t xml:space="preserve"> </w:t>
      </w:r>
      <w:r w:rsidRPr="00382917">
        <w:t>visitors</w:t>
      </w:r>
      <w:r w:rsidR="00EE4FC3">
        <w:t xml:space="preserve"> </w:t>
      </w:r>
      <w:r w:rsidRPr="00382917">
        <w:t>from</w:t>
      </w:r>
      <w:r w:rsidR="00EE4FC3">
        <w:t xml:space="preserve"> </w:t>
      </w:r>
      <w:r w:rsidRPr="00382917">
        <w:t>all</w:t>
      </w:r>
      <w:r w:rsidR="00EE4FC3">
        <w:t xml:space="preserve"> </w:t>
      </w:r>
      <w:r w:rsidRPr="00382917">
        <w:t>parts</w:t>
      </w:r>
      <w:r w:rsidR="00EE4FC3">
        <w:t xml:space="preserve"> </w:t>
      </w:r>
      <w:r w:rsidRPr="00382917">
        <w:t>of</w:t>
      </w:r>
      <w:r w:rsidR="00EE4FC3">
        <w:t xml:space="preserve"> </w:t>
      </w:r>
      <w:r w:rsidRPr="00382917">
        <w:t>the</w:t>
      </w:r>
      <w:r w:rsidR="00EE4FC3">
        <w:t xml:space="preserve"> </w:t>
      </w:r>
      <w:r w:rsidRPr="00382917">
        <w:t>world</w:t>
      </w:r>
      <w:r w:rsidR="00EE4FC3">
        <w:t xml:space="preserve"> </w:t>
      </w:r>
      <w:r w:rsidRPr="00382917">
        <w:t>now</w:t>
      </w:r>
      <w:r w:rsidR="00EE4FC3">
        <w:t xml:space="preserve"> </w:t>
      </w:r>
      <w:r w:rsidRPr="00382917">
        <w:t>visit</w:t>
      </w:r>
      <w:r w:rsidR="00EE4FC3">
        <w:t xml:space="preserve"> </w:t>
      </w:r>
      <w:r w:rsidRPr="00382917">
        <w:t>the</w:t>
      </w:r>
      <w:r w:rsidR="00EE4FC3">
        <w:t xml:space="preserve"> </w:t>
      </w:r>
      <w:r w:rsidRPr="00382917">
        <w:t>magnificent</w:t>
      </w:r>
      <w:r w:rsidR="00EE4FC3">
        <w:t xml:space="preserve"> </w:t>
      </w:r>
      <w:r w:rsidRPr="00382917">
        <w:t>Bahá</w:t>
      </w:r>
      <w:r w:rsidR="009C713D" w:rsidRPr="00382917">
        <w:t>’</w:t>
      </w:r>
      <w:r w:rsidRPr="00382917">
        <w:t>í</w:t>
      </w:r>
      <w:r w:rsidR="00EE4FC3">
        <w:t xml:space="preserve"> </w:t>
      </w:r>
      <w:r w:rsidRPr="00382917">
        <w:t>gardens</w:t>
      </w:r>
      <w:r w:rsidR="00EE4FC3">
        <w:t xml:space="preserve"> </w:t>
      </w:r>
      <w:r w:rsidRPr="00382917">
        <w:t>on</w:t>
      </w:r>
      <w:r w:rsidR="00EE4FC3">
        <w:t xml:space="preserve"> </w:t>
      </w:r>
      <w:r w:rsidRPr="00382917">
        <w:t>the</w:t>
      </w:r>
      <w:r w:rsidR="00EE4FC3">
        <w:t xml:space="preserve"> </w:t>
      </w:r>
      <w:r w:rsidRPr="00382917">
        <w:t>side</w:t>
      </w:r>
      <w:r w:rsidR="00EE4FC3">
        <w:t xml:space="preserve"> </w:t>
      </w:r>
      <w:r w:rsidRPr="00382917">
        <w:t>of</w:t>
      </w:r>
      <w:r w:rsidR="00EE4FC3">
        <w:t xml:space="preserve"> </w:t>
      </w:r>
      <w:r w:rsidRPr="00382917">
        <w:t>Mount</w:t>
      </w:r>
      <w:r w:rsidR="00EE4FC3">
        <w:t xml:space="preserve"> </w:t>
      </w:r>
      <w:r w:rsidRPr="00382917">
        <w:t>Carmel</w:t>
      </w:r>
      <w:r w:rsidR="00EE4FC3">
        <w:t xml:space="preserve"> </w:t>
      </w:r>
      <w:r w:rsidRPr="00382917">
        <w:t>and</w:t>
      </w:r>
      <w:r w:rsidR="00EE4FC3">
        <w:t xml:space="preserve"> </w:t>
      </w:r>
      <w:r w:rsidRPr="00382917">
        <w:t>on</w:t>
      </w:r>
      <w:r w:rsidR="00EE4FC3">
        <w:t xml:space="preserve"> </w:t>
      </w:r>
      <w:r w:rsidRPr="00382917">
        <w:t>the</w:t>
      </w:r>
      <w:r w:rsidR="00EE4FC3">
        <w:t xml:space="preserve"> </w:t>
      </w:r>
      <w:r w:rsidRPr="00382917">
        <w:t>plain</w:t>
      </w:r>
      <w:r w:rsidR="00EE4FC3">
        <w:t xml:space="preserve"> </w:t>
      </w:r>
      <w:r w:rsidRPr="00382917">
        <w:t>of</w:t>
      </w:r>
      <w:r w:rsidR="00EE4FC3">
        <w:t xml:space="preserve"> </w:t>
      </w:r>
      <w:r w:rsidR="009C713D" w:rsidRPr="00382917">
        <w:t>‘</w:t>
      </w:r>
      <w:r w:rsidRPr="00382917">
        <w:t>Akká</w:t>
      </w:r>
      <w:r w:rsidR="00F267E4">
        <w:t>.</w:t>
      </w:r>
      <w:r w:rsidR="00EE4FC3">
        <w:t xml:space="preserve">  </w:t>
      </w:r>
      <w:r w:rsidRPr="00382917">
        <w:t>Wherever</w:t>
      </w:r>
      <w:r w:rsidR="00EE4FC3">
        <w:t xml:space="preserve"> </w:t>
      </w:r>
      <w:r w:rsidRPr="00382917">
        <w:t>the</w:t>
      </w:r>
      <w:r w:rsidR="00EE4FC3">
        <w:t xml:space="preserve"> </w:t>
      </w:r>
      <w:r w:rsidRPr="00382917">
        <w:t>feet</w:t>
      </w:r>
      <w:r w:rsidR="00EE4FC3">
        <w:t xml:space="preserve"> </w:t>
      </w:r>
      <w:r w:rsidRPr="00382917">
        <w:t>of</w:t>
      </w:r>
      <w:r w:rsidR="00EE4FC3">
        <w:t xml:space="preserve"> </w:t>
      </w:r>
      <w:r w:rsidRPr="00382917">
        <w:t>Bahá</w:t>
      </w:r>
      <w:r w:rsidR="009C713D" w:rsidRPr="00382917">
        <w:t>’</w:t>
      </w:r>
      <w:r w:rsidRPr="00382917">
        <w:t>u</w:t>
      </w:r>
      <w:r w:rsidR="009C713D" w:rsidRPr="00382917">
        <w:t>’</w:t>
      </w:r>
      <w:r w:rsidRPr="00382917">
        <w:t>lláh</w:t>
      </w:r>
      <w:r w:rsidR="00EE4FC3">
        <w:t xml:space="preserve"> </w:t>
      </w:r>
      <w:r w:rsidRPr="00382917">
        <w:t>walked,</w:t>
      </w:r>
      <w:r w:rsidR="00EE4FC3">
        <w:t xml:space="preserve"> </w:t>
      </w:r>
      <w:r w:rsidRPr="00382917">
        <w:t>there</w:t>
      </w:r>
      <w:r w:rsidR="00EE4FC3">
        <w:t xml:space="preserve"> </w:t>
      </w:r>
      <w:r w:rsidRPr="00382917">
        <w:t>are</w:t>
      </w:r>
      <w:r w:rsidR="00EE4FC3">
        <w:t xml:space="preserve"> </w:t>
      </w:r>
      <w:r w:rsidRPr="00382917">
        <w:t>now</w:t>
      </w:r>
      <w:r w:rsidR="00EE4FC3">
        <w:t xml:space="preserve"> </w:t>
      </w:r>
      <w:r w:rsidRPr="00382917">
        <w:t>lovely</w:t>
      </w:r>
      <w:r w:rsidR="00EE4FC3">
        <w:t xml:space="preserve"> </w:t>
      </w:r>
      <w:r w:rsidRPr="00382917">
        <w:t>gardens</w:t>
      </w:r>
      <w:r w:rsidR="00EE4FC3">
        <w:t xml:space="preserve"> </w:t>
      </w:r>
      <w:r w:rsidRPr="00382917">
        <w:t>and</w:t>
      </w:r>
      <w:r w:rsidR="00EE4FC3">
        <w:t xml:space="preserve"> </w:t>
      </w:r>
      <w:r w:rsidRPr="00382917">
        <w:t>paths</w:t>
      </w:r>
      <w:r w:rsidR="00F267E4">
        <w:t>.</w:t>
      </w:r>
      <w:r w:rsidR="00EE4FC3">
        <w:t xml:space="preserve">  </w:t>
      </w:r>
      <w:r w:rsidRPr="00382917">
        <w:t>Roses</w:t>
      </w:r>
      <w:r w:rsidR="00EE4FC3">
        <w:t xml:space="preserve"> </w:t>
      </w:r>
      <w:r w:rsidRPr="00382917">
        <w:t>of</w:t>
      </w:r>
      <w:r w:rsidR="00EE4FC3">
        <w:t xml:space="preserve"> </w:t>
      </w:r>
      <w:r w:rsidRPr="00382917">
        <w:t>every</w:t>
      </w:r>
      <w:r w:rsidR="00EE4FC3">
        <w:t xml:space="preserve"> </w:t>
      </w:r>
      <w:r w:rsidRPr="00382917">
        <w:t>hue</w:t>
      </w:r>
      <w:r w:rsidR="00EE4FC3">
        <w:t xml:space="preserve"> </w:t>
      </w:r>
      <w:r w:rsidRPr="00382917">
        <w:t>and</w:t>
      </w:r>
      <w:r w:rsidR="00EE4FC3">
        <w:t xml:space="preserve"> </w:t>
      </w:r>
      <w:r w:rsidRPr="00382917">
        <w:t>description</w:t>
      </w:r>
      <w:r w:rsidR="00EE4FC3">
        <w:t xml:space="preserve"> </w:t>
      </w:r>
      <w:r w:rsidRPr="00382917">
        <w:t>can</w:t>
      </w:r>
      <w:r w:rsidR="00EE4FC3">
        <w:t xml:space="preserve"> </w:t>
      </w:r>
      <w:r w:rsidRPr="00382917">
        <w:t>be</w:t>
      </w:r>
      <w:r w:rsidR="00EE4FC3">
        <w:t xml:space="preserve"> </w:t>
      </w:r>
      <w:r w:rsidRPr="00382917">
        <w:t>seen</w:t>
      </w:r>
      <w:r w:rsidR="00F267E4">
        <w:t>.</w:t>
      </w:r>
      <w:r w:rsidR="00EE4FC3">
        <w:t xml:space="preserve">  </w:t>
      </w:r>
      <w:r w:rsidRPr="00382917">
        <w:t>White</w:t>
      </w:r>
      <w:r w:rsidR="00EE4FC3">
        <w:t xml:space="preserve"> </w:t>
      </w:r>
      <w:r w:rsidRPr="00382917">
        <w:t>and</w:t>
      </w:r>
      <w:r w:rsidR="00EE4FC3">
        <w:t xml:space="preserve"> </w:t>
      </w:r>
      <w:r w:rsidRPr="00382917">
        <w:t>red</w:t>
      </w:r>
      <w:r w:rsidR="00EE4FC3">
        <w:t xml:space="preserve"> </w:t>
      </w:r>
      <w:r w:rsidRPr="00382917">
        <w:t>stone</w:t>
      </w:r>
      <w:r w:rsidR="00EE4FC3">
        <w:t xml:space="preserve"> </w:t>
      </w:r>
      <w:r w:rsidRPr="00382917">
        <w:t>paths</w:t>
      </w:r>
      <w:r w:rsidR="00EE4FC3">
        <w:t xml:space="preserve"> </w:t>
      </w:r>
      <w:r w:rsidRPr="00382917">
        <w:t>wind</w:t>
      </w:r>
      <w:r w:rsidR="00EE4FC3">
        <w:t xml:space="preserve"> </w:t>
      </w:r>
      <w:r w:rsidRPr="00382917">
        <w:t>through</w:t>
      </w:r>
      <w:r w:rsidR="00EE4FC3">
        <w:t xml:space="preserve"> </w:t>
      </w:r>
      <w:r w:rsidRPr="00382917">
        <w:t>beds</w:t>
      </w:r>
      <w:r w:rsidR="00EE4FC3">
        <w:t xml:space="preserve"> </w:t>
      </w:r>
      <w:r w:rsidRPr="00382917">
        <w:t>of</w:t>
      </w:r>
      <w:r w:rsidR="00EE4FC3">
        <w:t xml:space="preserve"> </w:t>
      </w:r>
      <w:r w:rsidRPr="00382917">
        <w:t>many-colored</w:t>
      </w:r>
      <w:r w:rsidR="00EE4FC3">
        <w:t xml:space="preserve"> </w:t>
      </w:r>
      <w:r w:rsidRPr="00382917">
        <w:t>flowers</w:t>
      </w:r>
      <w:r w:rsidR="00EE4FC3">
        <w:t xml:space="preserve"> </w:t>
      </w:r>
      <w:r w:rsidRPr="00382917">
        <w:t>of</w:t>
      </w:r>
      <w:r w:rsidR="00EE4FC3">
        <w:t xml:space="preserve"> </w:t>
      </w:r>
      <w:r w:rsidRPr="00382917">
        <w:t>all</w:t>
      </w:r>
      <w:r w:rsidR="00EE4FC3">
        <w:t xml:space="preserve"> </w:t>
      </w:r>
      <w:r w:rsidRPr="00382917">
        <w:t>shapes</w:t>
      </w:r>
      <w:r w:rsidR="00EE4FC3">
        <w:t xml:space="preserve"> </w:t>
      </w:r>
      <w:r w:rsidRPr="00382917">
        <w:t>and</w:t>
      </w:r>
      <w:r w:rsidR="00EE4FC3">
        <w:t xml:space="preserve"> </w:t>
      </w:r>
      <w:r w:rsidRPr="00382917">
        <w:t>shades</w:t>
      </w:r>
      <w:r w:rsidR="00F267E4">
        <w:t>.</w:t>
      </w:r>
      <w:r w:rsidR="00EE4FC3">
        <w:t xml:space="preserve">  </w:t>
      </w:r>
      <w:r w:rsidRPr="00382917">
        <w:t>The</w:t>
      </w:r>
      <w:r w:rsidR="00EE4FC3">
        <w:t xml:space="preserve"> </w:t>
      </w:r>
      <w:r w:rsidRPr="00382917">
        <w:t>rocky</w:t>
      </w:r>
      <w:r w:rsidR="00EE4FC3">
        <w:t xml:space="preserve"> </w:t>
      </w:r>
      <w:r w:rsidRPr="00382917">
        <w:t>desolate</w:t>
      </w:r>
      <w:r w:rsidR="00EE4FC3">
        <w:t xml:space="preserve"> </w:t>
      </w:r>
      <w:r w:rsidRPr="00382917">
        <w:t>side</w:t>
      </w:r>
      <w:r w:rsidR="00EE4FC3">
        <w:t xml:space="preserve"> </w:t>
      </w:r>
      <w:r w:rsidRPr="00382917">
        <w:t>of</w:t>
      </w:r>
      <w:r w:rsidR="00EE4FC3">
        <w:t xml:space="preserve"> </w:t>
      </w:r>
      <w:r w:rsidRPr="00382917">
        <w:t>Mount</w:t>
      </w:r>
      <w:r w:rsidR="00EE4FC3">
        <w:t xml:space="preserve"> </w:t>
      </w:r>
      <w:r w:rsidRPr="00382917">
        <w:t>Carmel</w:t>
      </w:r>
      <w:r w:rsidR="00EE4FC3">
        <w:t xml:space="preserve"> </w:t>
      </w:r>
      <w:r w:rsidRPr="00382917">
        <w:t>and</w:t>
      </w:r>
      <w:r w:rsidR="00EE4FC3">
        <w:t xml:space="preserve"> </w:t>
      </w:r>
      <w:r w:rsidRPr="00382917">
        <w:t>the</w:t>
      </w:r>
      <w:r w:rsidR="00EE4FC3">
        <w:t xml:space="preserve"> </w:t>
      </w:r>
      <w:r w:rsidRPr="00382917">
        <w:t>desert</w:t>
      </w:r>
      <w:r w:rsidR="00EE4FC3">
        <w:t xml:space="preserve"> </w:t>
      </w:r>
      <w:r w:rsidRPr="00382917">
        <w:t>sand</w:t>
      </w:r>
      <w:r w:rsidR="00EE4FC3">
        <w:t xml:space="preserve"> </w:t>
      </w:r>
      <w:r w:rsidRPr="00382917">
        <w:t>of</w:t>
      </w:r>
      <w:r w:rsidR="00EE4FC3">
        <w:t xml:space="preserve"> </w:t>
      </w:r>
      <w:r w:rsidR="009C713D" w:rsidRPr="00382917">
        <w:t>‘</w:t>
      </w:r>
      <w:r w:rsidRPr="00382917">
        <w:t>Akká</w:t>
      </w:r>
      <w:r w:rsidR="00EE4FC3">
        <w:t xml:space="preserve"> </w:t>
      </w:r>
      <w:r w:rsidRPr="00382917">
        <w:t>have</w:t>
      </w:r>
      <w:r w:rsidR="00EE4FC3">
        <w:t xml:space="preserve"> </w:t>
      </w:r>
      <w:r w:rsidRPr="00382917">
        <w:t>been</w:t>
      </w:r>
      <w:r w:rsidR="00EE4FC3">
        <w:t xml:space="preserve"> </w:t>
      </w:r>
      <w:r w:rsidRPr="00382917">
        <w:t>transformed</w:t>
      </w:r>
      <w:r w:rsidR="00EE4FC3">
        <w:t xml:space="preserve"> </w:t>
      </w:r>
      <w:r w:rsidRPr="00382917">
        <w:t>into</w:t>
      </w:r>
      <w:r w:rsidR="00EE4FC3">
        <w:t xml:space="preserve"> </w:t>
      </w:r>
      <w:r w:rsidRPr="00382917">
        <w:t>green</w:t>
      </w:r>
      <w:r w:rsidR="00EE4FC3">
        <w:t xml:space="preserve"> </w:t>
      </w:r>
      <w:r w:rsidRPr="00382917">
        <w:t>lanes</w:t>
      </w:r>
      <w:r w:rsidR="00EE4FC3">
        <w:t xml:space="preserve"> </w:t>
      </w:r>
      <w:r w:rsidRPr="00382917">
        <w:t>shaded</w:t>
      </w:r>
      <w:r w:rsidR="00EE4FC3">
        <w:t xml:space="preserve"> </w:t>
      </w:r>
      <w:r w:rsidRPr="00382917">
        <w:t>by</w:t>
      </w:r>
      <w:r w:rsidR="00EE4FC3">
        <w:t xml:space="preserve"> </w:t>
      </w:r>
      <w:r w:rsidRPr="00382917">
        <w:t>dark</w:t>
      </w:r>
      <w:r w:rsidR="00EE4FC3">
        <w:t xml:space="preserve"> </w:t>
      </w:r>
      <w:r w:rsidRPr="00382917">
        <w:t>cedars</w:t>
      </w:r>
      <w:r w:rsidR="00EE4FC3">
        <w:t xml:space="preserve"> </w:t>
      </w:r>
      <w:r w:rsidRPr="00382917">
        <w:t>of</w:t>
      </w:r>
      <w:r w:rsidR="00EE4FC3">
        <w:t xml:space="preserve"> </w:t>
      </w:r>
      <w:r w:rsidRPr="00382917">
        <w:t>Lebanon,</w:t>
      </w:r>
      <w:r w:rsidR="00EE4FC3">
        <w:t xml:space="preserve"> </w:t>
      </w:r>
      <w:r w:rsidRPr="00382917">
        <w:t>fir</w:t>
      </w:r>
      <w:r w:rsidR="00EE4FC3">
        <w:t xml:space="preserve"> </w:t>
      </w:r>
      <w:r w:rsidRPr="00382917">
        <w:t>trees,</w:t>
      </w:r>
      <w:r w:rsidR="00EE4FC3">
        <w:t xml:space="preserve"> </w:t>
      </w:r>
      <w:r w:rsidRPr="00382917">
        <w:t>pine</w:t>
      </w:r>
      <w:r w:rsidR="00EE4FC3">
        <w:t xml:space="preserve"> </w:t>
      </w:r>
      <w:r w:rsidRPr="00382917">
        <w:t>trees,</w:t>
      </w:r>
      <w:r w:rsidR="00EE4FC3">
        <w:t xml:space="preserve"> </w:t>
      </w:r>
      <w:r w:rsidRPr="00382917">
        <w:t>box</w:t>
      </w:r>
      <w:r w:rsidR="00EE4FC3">
        <w:t xml:space="preserve"> </w:t>
      </w:r>
      <w:r w:rsidRPr="00382917">
        <w:t>trees,</w:t>
      </w:r>
      <w:r w:rsidR="00EE4FC3">
        <w:t xml:space="preserve"> </w:t>
      </w:r>
      <w:r w:rsidRPr="00382917">
        <w:t>towering</w:t>
      </w:r>
      <w:r w:rsidR="00EE4FC3">
        <w:t xml:space="preserve"> </w:t>
      </w:r>
      <w:r w:rsidRPr="00382917">
        <w:t>mulberry</w:t>
      </w:r>
      <w:r w:rsidR="00EE4FC3">
        <w:t xml:space="preserve"> </w:t>
      </w:r>
      <w:r w:rsidRPr="00382917">
        <w:t>trees,</w:t>
      </w:r>
      <w:r w:rsidR="00EE4FC3">
        <w:t xml:space="preserve"> </w:t>
      </w:r>
      <w:r w:rsidRPr="00382917">
        <w:t>and</w:t>
      </w:r>
      <w:r w:rsidR="00EE4FC3">
        <w:t xml:space="preserve"> </w:t>
      </w:r>
      <w:r w:rsidRPr="00382917">
        <w:t>fruit</w:t>
      </w:r>
      <w:r w:rsidR="00EE4FC3">
        <w:t xml:space="preserve"> </w:t>
      </w:r>
      <w:r w:rsidRPr="00382917">
        <w:t>trees</w:t>
      </w:r>
      <w:r w:rsidR="00EE4FC3">
        <w:t xml:space="preserve"> </w:t>
      </w:r>
      <w:r w:rsidRPr="00382917">
        <w:t>of</w:t>
      </w:r>
      <w:r w:rsidR="00EE4FC3">
        <w:t xml:space="preserve"> </w:t>
      </w:r>
      <w:r w:rsidRPr="00382917">
        <w:t>all</w:t>
      </w:r>
      <w:r w:rsidR="00EE4FC3">
        <w:t xml:space="preserve"> </w:t>
      </w:r>
      <w:r w:rsidRPr="00382917">
        <w:t>varieties;</w:t>
      </w:r>
      <w:r w:rsidR="00EE4FC3">
        <w:t xml:space="preserve"> </w:t>
      </w:r>
      <w:r w:rsidRPr="00382917">
        <w:t>it</w:t>
      </w:r>
      <w:r w:rsidR="00EE4FC3">
        <w:t xml:space="preserve"> </w:t>
      </w:r>
      <w:r w:rsidRPr="00382917">
        <w:t>is</w:t>
      </w:r>
      <w:r w:rsidR="00EE4FC3">
        <w:t xml:space="preserve"> </w:t>
      </w:r>
      <w:r w:rsidRPr="00382917">
        <w:t>a</w:t>
      </w:r>
      <w:r w:rsidR="00EE4FC3">
        <w:t xml:space="preserve"> </w:t>
      </w:r>
      <w:r w:rsidRPr="00382917">
        <w:t>pageant</w:t>
      </w:r>
      <w:r w:rsidR="00EE4FC3">
        <w:t xml:space="preserve"> </w:t>
      </w:r>
      <w:r w:rsidRPr="00382917">
        <w:t>of</w:t>
      </w:r>
      <w:r w:rsidR="00EE4FC3">
        <w:t xml:space="preserve"> </w:t>
      </w:r>
      <w:r w:rsidRPr="00382917">
        <w:t>beauty</w:t>
      </w:r>
      <w:r w:rsidR="00F267E4">
        <w:t>.</w:t>
      </w:r>
      <w:r w:rsidR="00EE4FC3">
        <w:t xml:space="preserve">  </w:t>
      </w:r>
      <w:r w:rsidRPr="00382917">
        <w:t>The</w:t>
      </w:r>
      <w:r w:rsidR="00EE4FC3">
        <w:t xml:space="preserve"> </w:t>
      </w:r>
      <w:r w:rsidRPr="00382917">
        <w:t>words</w:t>
      </w:r>
      <w:r w:rsidR="00EE4FC3">
        <w:t xml:space="preserve"> </w:t>
      </w:r>
      <w:r w:rsidRPr="00382917">
        <w:t>of</w:t>
      </w:r>
      <w:r w:rsidR="00EE4FC3">
        <w:t xml:space="preserve"> </w:t>
      </w:r>
      <w:r w:rsidRPr="00382917">
        <w:t>Isaiah</w:t>
      </w:r>
      <w:r w:rsidR="00EE4FC3">
        <w:t xml:space="preserve"> </w:t>
      </w:r>
      <w:r w:rsidRPr="00382917">
        <w:t>echo</w:t>
      </w:r>
      <w:r w:rsidR="00EE4FC3">
        <w:t xml:space="preserve"> </w:t>
      </w:r>
      <w:r w:rsidRPr="00382917">
        <w:t>like</w:t>
      </w:r>
      <w:r w:rsidR="00EE4FC3">
        <w:t xml:space="preserve"> </w:t>
      </w:r>
      <w:r w:rsidRPr="00382917">
        <w:t>a</w:t>
      </w:r>
      <w:r w:rsidR="00EE4FC3">
        <w:t xml:space="preserve"> </w:t>
      </w:r>
      <w:r w:rsidRPr="00382917">
        <w:t>chorus</w:t>
      </w:r>
      <w:r w:rsidR="00EE4FC3">
        <w:t xml:space="preserve"> </w:t>
      </w:r>
      <w:r w:rsidRPr="00382917">
        <w:t>through</w:t>
      </w:r>
      <w:r w:rsidR="00EE4FC3">
        <w:t xml:space="preserve"> </w:t>
      </w:r>
      <w:r w:rsidRPr="00382917">
        <w:t>the</w:t>
      </w:r>
      <w:r w:rsidR="00EE4FC3">
        <w:t xml:space="preserve"> </w:t>
      </w:r>
      <w:r w:rsidRPr="00382917">
        <w:t>mountainside:</w:t>
      </w:r>
    </w:p>
    <w:p w:rsidR="00B568B6" w:rsidRPr="00382917" w:rsidRDefault="00B568B6">
      <w:pPr>
        <w:widowControl/>
        <w:kinsoku/>
        <w:overflowPunct/>
        <w:textAlignment w:val="auto"/>
      </w:pPr>
      <w:r w:rsidRPr="00382917">
        <w:br w:type="page"/>
      </w:r>
    </w:p>
    <w:p w:rsidR="00B568B6" w:rsidRPr="00382917" w:rsidRDefault="00B568B6" w:rsidP="003D4A6B">
      <w:pPr>
        <w:pStyle w:val="Bullet2"/>
      </w:pPr>
      <w:r w:rsidRPr="00382917">
        <w:t>1</w:t>
      </w:r>
      <w:r w:rsidR="00F267E4">
        <w:t>.</w:t>
      </w:r>
      <w:r w:rsidR="003D4A6B">
        <w:tab/>
      </w:r>
      <w:r w:rsidR="009C713D" w:rsidRPr="00382917">
        <w:t>“</w:t>
      </w:r>
      <w:r w:rsidRPr="00382917">
        <w:t>The</w:t>
      </w:r>
      <w:r w:rsidR="00EE4FC3">
        <w:t xml:space="preserve"> </w:t>
      </w:r>
      <w:r w:rsidRPr="00382917">
        <w:t>wilderness</w:t>
      </w:r>
      <w:r w:rsidR="00EE4FC3">
        <w:t xml:space="preserve"> </w:t>
      </w:r>
      <w:r w:rsidRPr="00382917">
        <w:t>and</w:t>
      </w:r>
      <w:r w:rsidR="00EE4FC3">
        <w:t xml:space="preserve"> </w:t>
      </w:r>
      <w:r w:rsidRPr="00382917">
        <w:t>the</w:t>
      </w:r>
      <w:r w:rsidR="00EE4FC3">
        <w:t xml:space="preserve"> </w:t>
      </w:r>
      <w:r w:rsidRPr="00382917">
        <w:t>solitary</w:t>
      </w:r>
      <w:r w:rsidR="00EE4FC3">
        <w:t xml:space="preserve"> </w:t>
      </w:r>
      <w:r w:rsidRPr="00382917">
        <w:t>place</w:t>
      </w:r>
      <w:r w:rsidR="00EE4FC3">
        <w:t xml:space="preserve"> </w:t>
      </w:r>
      <w:r w:rsidRPr="00382917">
        <w:t>shall</w:t>
      </w:r>
      <w:r w:rsidR="00EE4FC3">
        <w:t xml:space="preserve"> </w:t>
      </w:r>
      <w:r w:rsidRPr="00382917">
        <w:t>be</w:t>
      </w:r>
      <w:r w:rsidR="00EE4FC3">
        <w:t xml:space="preserve"> </w:t>
      </w:r>
      <w:r w:rsidRPr="00382917">
        <w:t>glad</w:t>
      </w:r>
      <w:r w:rsidR="00EE4FC3">
        <w:t xml:space="preserve"> </w:t>
      </w:r>
      <w:r w:rsidRPr="00382917">
        <w:t>for</w:t>
      </w:r>
      <w:r w:rsidR="00EE4FC3">
        <w:t xml:space="preserve"> </w:t>
      </w:r>
      <w:r w:rsidRPr="00382917">
        <w:t>them;</w:t>
      </w:r>
      <w:r w:rsidR="00EE4FC3">
        <w:t xml:space="preserve"> </w:t>
      </w:r>
      <w:r w:rsidRPr="00382917">
        <w:t>and</w:t>
      </w:r>
      <w:r w:rsidR="00EE4FC3">
        <w:t xml:space="preserve"> </w:t>
      </w:r>
      <w:r w:rsidRPr="00382917">
        <w:t>the</w:t>
      </w:r>
      <w:r w:rsidR="00EE4FC3">
        <w:t xml:space="preserve"> </w:t>
      </w:r>
      <w:r w:rsidRPr="00382917">
        <w:t>desert</w:t>
      </w:r>
      <w:r w:rsidR="00EE4FC3">
        <w:t xml:space="preserve"> </w:t>
      </w:r>
      <w:r w:rsidRPr="00382917">
        <w:t>shall</w:t>
      </w:r>
      <w:r w:rsidR="00EE4FC3">
        <w:t xml:space="preserve"> </w:t>
      </w:r>
      <w:r w:rsidRPr="00382917">
        <w:t>blossom</w:t>
      </w:r>
      <w:r w:rsidR="00EE4FC3">
        <w:t xml:space="preserve"> </w:t>
      </w:r>
      <w:r w:rsidRPr="00382917">
        <w:t>as</w:t>
      </w:r>
      <w:r w:rsidR="00EE4FC3">
        <w:t xml:space="preserve"> </w:t>
      </w:r>
      <w:r w:rsidRPr="00382917">
        <w:t>the</w:t>
      </w:r>
      <w:r w:rsidR="00EE4FC3">
        <w:t xml:space="preserve"> </w:t>
      </w:r>
      <w:r w:rsidRPr="00382917">
        <w:t>rose.</w:t>
      </w:r>
      <w:r w:rsidR="009C713D" w:rsidRPr="00382917">
        <w:t>”</w:t>
      </w:r>
      <w:r w:rsidR="003D4A6B">
        <w:rPr>
          <w:rStyle w:val="FootnoteReference"/>
        </w:rPr>
        <w:footnoteReference w:id="381"/>
      </w:r>
    </w:p>
    <w:p w:rsidR="00B568B6" w:rsidRPr="00382917" w:rsidRDefault="00B568B6" w:rsidP="003D4A6B">
      <w:pPr>
        <w:pStyle w:val="Bullet2ct"/>
      </w:pPr>
      <w:r w:rsidRPr="00382917">
        <w:t>2</w:t>
      </w:r>
      <w:r w:rsidR="00F267E4">
        <w:t>.</w:t>
      </w:r>
      <w:r w:rsidR="003D4A6B">
        <w:tab/>
      </w:r>
      <w:r w:rsidR="009C713D" w:rsidRPr="00382917">
        <w:t>“</w:t>
      </w:r>
      <w:r w:rsidRPr="00382917">
        <w:t>The</w:t>
      </w:r>
      <w:r w:rsidR="00EE4FC3">
        <w:t xml:space="preserve"> </w:t>
      </w:r>
      <w:r w:rsidRPr="00382917">
        <w:t>glory</w:t>
      </w:r>
      <w:r w:rsidR="00EE4FC3">
        <w:t xml:space="preserve"> </w:t>
      </w:r>
      <w:r w:rsidRPr="00382917">
        <w:t>of</w:t>
      </w:r>
      <w:r w:rsidR="00EE4FC3">
        <w:t xml:space="preserve"> </w:t>
      </w:r>
      <w:r w:rsidRPr="00382917">
        <w:t>Lebanon</w:t>
      </w:r>
      <w:r w:rsidR="00EE4FC3">
        <w:t xml:space="preserve"> </w:t>
      </w:r>
      <w:r w:rsidRPr="00382917">
        <w:t>shall</w:t>
      </w:r>
      <w:r w:rsidR="00EE4FC3">
        <w:t xml:space="preserve"> </w:t>
      </w:r>
      <w:r w:rsidRPr="00382917">
        <w:t>come</w:t>
      </w:r>
      <w:r w:rsidR="00EE4FC3">
        <w:t xml:space="preserve"> </w:t>
      </w:r>
      <w:r w:rsidRPr="00382917">
        <w:t>unto</w:t>
      </w:r>
      <w:r w:rsidR="00EE4FC3">
        <w:t xml:space="preserve"> </w:t>
      </w:r>
      <w:r w:rsidRPr="00382917">
        <w:t>thee,</w:t>
      </w:r>
      <w:r w:rsidR="00EE4FC3">
        <w:t xml:space="preserve"> </w:t>
      </w:r>
      <w:r w:rsidRPr="00382917">
        <w:t>the</w:t>
      </w:r>
      <w:r w:rsidR="00EE4FC3">
        <w:t xml:space="preserve"> </w:t>
      </w:r>
      <w:r w:rsidRPr="00382917">
        <w:t>fir</w:t>
      </w:r>
      <w:r w:rsidR="00EE4FC3">
        <w:t xml:space="preserve"> </w:t>
      </w:r>
      <w:r w:rsidRPr="00382917">
        <w:t>tree,</w:t>
      </w:r>
      <w:r w:rsidR="00EE4FC3">
        <w:t xml:space="preserve"> </w:t>
      </w:r>
      <w:r w:rsidRPr="00382917">
        <w:t>the</w:t>
      </w:r>
      <w:r w:rsidR="00EE4FC3">
        <w:t xml:space="preserve"> </w:t>
      </w:r>
      <w:r w:rsidRPr="00382917">
        <w:t>pine</w:t>
      </w:r>
      <w:r w:rsidR="00EE4FC3">
        <w:t xml:space="preserve"> </w:t>
      </w:r>
      <w:r w:rsidRPr="00382917">
        <w:t>tree,</w:t>
      </w:r>
      <w:r w:rsidR="00EE4FC3">
        <w:t xml:space="preserve"> </w:t>
      </w:r>
      <w:r w:rsidRPr="00382917">
        <w:t>and</w:t>
      </w:r>
      <w:r w:rsidR="00EE4FC3">
        <w:t xml:space="preserve"> </w:t>
      </w:r>
      <w:r w:rsidRPr="00382917">
        <w:t>the</w:t>
      </w:r>
      <w:r w:rsidR="00EE4FC3">
        <w:t xml:space="preserve"> </w:t>
      </w:r>
      <w:r w:rsidRPr="00382917">
        <w:t>box</w:t>
      </w:r>
      <w:r w:rsidR="00EE4FC3">
        <w:t xml:space="preserve"> </w:t>
      </w:r>
      <w:r w:rsidRPr="00382917">
        <w:t>together</w:t>
      </w:r>
      <w:r w:rsidR="00EE4FC3">
        <w:t xml:space="preserve"> </w:t>
      </w:r>
      <w:r w:rsidRPr="00382917">
        <w:t>to</w:t>
      </w:r>
      <w:r w:rsidR="00EE4FC3">
        <w:t xml:space="preserve"> </w:t>
      </w:r>
      <w:r w:rsidRPr="00382917">
        <w:t>beautify</w:t>
      </w:r>
      <w:r w:rsidR="00EE4FC3">
        <w:t xml:space="preserve"> </w:t>
      </w:r>
      <w:r w:rsidRPr="00382917">
        <w:t>the</w:t>
      </w:r>
      <w:r w:rsidR="00EE4FC3">
        <w:t xml:space="preserve"> </w:t>
      </w:r>
      <w:r w:rsidRPr="00382917">
        <w:t>place</w:t>
      </w:r>
      <w:r w:rsidR="00EE4FC3">
        <w:t xml:space="preserve"> </w:t>
      </w:r>
      <w:r w:rsidRPr="00382917">
        <w:t>of</w:t>
      </w:r>
      <w:r w:rsidR="00EE4FC3">
        <w:t xml:space="preserve"> </w:t>
      </w:r>
      <w:r w:rsidRPr="00382917">
        <w:t>my</w:t>
      </w:r>
      <w:r w:rsidR="00EE4FC3">
        <w:t xml:space="preserve"> </w:t>
      </w:r>
      <w:r w:rsidRPr="00382917">
        <w:t>sanctuary;</w:t>
      </w:r>
      <w:r w:rsidR="00EE4FC3">
        <w:t xml:space="preserve"> </w:t>
      </w:r>
      <w:r w:rsidRPr="00382917">
        <w:t>and</w:t>
      </w:r>
      <w:r w:rsidR="00EE4FC3">
        <w:t xml:space="preserve"> </w:t>
      </w:r>
      <w:r w:rsidRPr="00382917">
        <w:t>I</w:t>
      </w:r>
      <w:r w:rsidR="00EE4FC3">
        <w:t xml:space="preserve"> </w:t>
      </w:r>
      <w:r w:rsidRPr="00382917">
        <w:t>will</w:t>
      </w:r>
      <w:r w:rsidR="00EE4FC3">
        <w:t xml:space="preserve"> </w:t>
      </w:r>
      <w:r w:rsidRPr="00382917">
        <w:t>make</w:t>
      </w:r>
      <w:r w:rsidR="00EE4FC3">
        <w:t xml:space="preserve"> </w:t>
      </w:r>
      <w:r w:rsidRPr="00382917">
        <w:t>the</w:t>
      </w:r>
      <w:r w:rsidR="00EE4FC3">
        <w:t xml:space="preserve"> </w:t>
      </w:r>
      <w:r w:rsidRPr="00382917">
        <w:t>place</w:t>
      </w:r>
      <w:r w:rsidR="00EE4FC3">
        <w:t xml:space="preserve"> </w:t>
      </w:r>
      <w:r w:rsidRPr="00382917">
        <w:t>of</w:t>
      </w:r>
      <w:r w:rsidR="00EE4FC3">
        <w:t xml:space="preserve"> </w:t>
      </w:r>
      <w:r w:rsidRPr="00382917">
        <w:t>my</w:t>
      </w:r>
      <w:r w:rsidR="00EE4FC3">
        <w:t xml:space="preserve"> </w:t>
      </w:r>
      <w:r w:rsidRPr="00382917">
        <w:t>feet</w:t>
      </w:r>
      <w:r w:rsidR="00EE4FC3">
        <w:t xml:space="preserve"> </w:t>
      </w:r>
      <w:r w:rsidRPr="00382917">
        <w:t>glorious.</w:t>
      </w:r>
      <w:r w:rsidR="009C713D" w:rsidRPr="00382917">
        <w:t>”</w:t>
      </w:r>
      <w:r w:rsidR="003D4A6B">
        <w:rPr>
          <w:rStyle w:val="FootnoteReference"/>
        </w:rPr>
        <w:footnoteReference w:id="382"/>
      </w:r>
    </w:p>
    <w:p w:rsidR="00B568B6" w:rsidRPr="00382917" w:rsidRDefault="00B568B6" w:rsidP="00B568B6">
      <w:pPr>
        <w:pStyle w:val="Text"/>
      </w:pPr>
      <w:r w:rsidRPr="00382917">
        <w:t>These</w:t>
      </w:r>
      <w:r w:rsidR="00EE4FC3">
        <w:t xml:space="preserve"> </w:t>
      </w:r>
      <w:r w:rsidRPr="00382917">
        <w:t>beautiful</w:t>
      </w:r>
      <w:r w:rsidR="00EE4FC3">
        <w:t xml:space="preserve"> </w:t>
      </w:r>
      <w:r w:rsidRPr="00382917">
        <w:t>gardens</w:t>
      </w:r>
      <w:r w:rsidR="00EE4FC3">
        <w:t xml:space="preserve"> </w:t>
      </w:r>
      <w:r w:rsidRPr="00382917">
        <w:t>and</w:t>
      </w:r>
      <w:r w:rsidR="00EE4FC3">
        <w:t xml:space="preserve"> </w:t>
      </w:r>
      <w:r w:rsidRPr="00382917">
        <w:t>holy</w:t>
      </w:r>
      <w:r w:rsidR="00EE4FC3">
        <w:t xml:space="preserve"> </w:t>
      </w:r>
      <w:r w:rsidRPr="00382917">
        <w:t>places</w:t>
      </w:r>
      <w:r w:rsidR="00EE4FC3">
        <w:t xml:space="preserve"> </w:t>
      </w:r>
      <w:r w:rsidRPr="00382917">
        <w:t>which</w:t>
      </w:r>
      <w:r w:rsidR="00EE4FC3">
        <w:t xml:space="preserve"> </w:t>
      </w:r>
      <w:r w:rsidRPr="00382917">
        <w:t>were</w:t>
      </w:r>
      <w:r w:rsidR="00EE4FC3">
        <w:t xml:space="preserve"> </w:t>
      </w:r>
      <w:r w:rsidRPr="00382917">
        <w:t>raised</w:t>
      </w:r>
      <w:r w:rsidR="00EE4FC3">
        <w:t xml:space="preserve"> </w:t>
      </w:r>
      <w:r w:rsidRPr="00382917">
        <w:t>up</w:t>
      </w:r>
      <w:r w:rsidR="00EE4FC3">
        <w:t xml:space="preserve"> </w:t>
      </w:r>
      <w:r w:rsidRPr="00382917">
        <w:t>by</w:t>
      </w:r>
      <w:r w:rsidR="00EE4FC3">
        <w:t xml:space="preserve"> </w:t>
      </w:r>
      <w:r w:rsidRPr="00382917">
        <w:t>the</w:t>
      </w:r>
      <w:r w:rsidR="00EE4FC3">
        <w:t xml:space="preserve"> </w:t>
      </w:r>
      <w:r w:rsidRPr="00382917">
        <w:t>pen</w:t>
      </w:r>
      <w:r w:rsidR="00EE4FC3">
        <w:t xml:space="preserve"> </w:t>
      </w:r>
      <w:r w:rsidRPr="00382917">
        <w:t>of</w:t>
      </w:r>
      <w:r w:rsidR="00EE4FC3">
        <w:t xml:space="preserve"> </w:t>
      </w:r>
      <w:r w:rsidRPr="00382917">
        <w:t>Bahá</w:t>
      </w:r>
      <w:r w:rsidR="009C713D" w:rsidRPr="00382917">
        <w:t>’</w:t>
      </w:r>
      <w:r w:rsidRPr="00382917">
        <w:t>u</w:t>
      </w:r>
      <w:r w:rsidR="009C713D" w:rsidRPr="00382917">
        <w:t>’</w:t>
      </w:r>
      <w:r w:rsidRPr="00382917">
        <w:t>lláh</w:t>
      </w:r>
      <w:r w:rsidR="00EE4FC3">
        <w:t xml:space="preserve"> </w:t>
      </w:r>
      <w:r w:rsidRPr="00382917">
        <w:t>lie</w:t>
      </w:r>
      <w:r w:rsidR="00EE4FC3">
        <w:t xml:space="preserve"> </w:t>
      </w:r>
      <w:r w:rsidRPr="00382917">
        <w:t>on</w:t>
      </w:r>
      <w:r w:rsidR="00EE4FC3">
        <w:t xml:space="preserve"> </w:t>
      </w:r>
      <w:r w:rsidRPr="00382917">
        <w:t>the</w:t>
      </w:r>
      <w:r w:rsidR="00EE4FC3">
        <w:t xml:space="preserve"> </w:t>
      </w:r>
      <w:r w:rsidRPr="00382917">
        <w:t>north</w:t>
      </w:r>
      <w:r w:rsidR="00EE4FC3">
        <w:t xml:space="preserve"> </w:t>
      </w:r>
      <w:r w:rsidRPr="00382917">
        <w:t>side</w:t>
      </w:r>
      <w:r w:rsidR="00EE4FC3">
        <w:t xml:space="preserve"> </w:t>
      </w:r>
      <w:r w:rsidRPr="00382917">
        <w:t>of</w:t>
      </w:r>
      <w:r w:rsidR="00EE4FC3">
        <w:t xml:space="preserve"> </w:t>
      </w:r>
      <w:r w:rsidRPr="00382917">
        <w:t>Mount</w:t>
      </w:r>
      <w:r w:rsidR="00EE4FC3">
        <w:t xml:space="preserve"> </w:t>
      </w:r>
      <w:r w:rsidRPr="00382917">
        <w:t>Carmel,</w:t>
      </w:r>
      <w:r w:rsidR="00EE4FC3">
        <w:t xml:space="preserve"> </w:t>
      </w:r>
      <w:r w:rsidRPr="00382917">
        <w:t>looking</w:t>
      </w:r>
      <w:r w:rsidR="00EE4FC3">
        <w:t xml:space="preserve"> </w:t>
      </w:r>
      <w:r w:rsidRPr="00382917">
        <w:t>across</w:t>
      </w:r>
      <w:r w:rsidR="00EE4FC3">
        <w:t xml:space="preserve"> </w:t>
      </w:r>
      <w:r w:rsidRPr="00382917">
        <w:t>the</w:t>
      </w:r>
      <w:r w:rsidR="00EE4FC3">
        <w:t xml:space="preserve"> </w:t>
      </w:r>
      <w:r w:rsidRPr="00382917">
        <w:t>Bay</w:t>
      </w:r>
      <w:r w:rsidR="00EE4FC3">
        <w:t xml:space="preserve"> </w:t>
      </w:r>
      <w:r w:rsidRPr="00382917">
        <w:t>of</w:t>
      </w:r>
      <w:r w:rsidR="00EE4FC3">
        <w:t xml:space="preserve"> </w:t>
      </w:r>
      <w:r w:rsidRPr="00382917">
        <w:t>Haifa</w:t>
      </w:r>
      <w:r w:rsidR="00EE4FC3">
        <w:t xml:space="preserve"> </w:t>
      </w:r>
      <w:r w:rsidRPr="00382917">
        <w:t>toward</w:t>
      </w:r>
      <w:r w:rsidR="00EE4FC3">
        <w:t xml:space="preserve"> </w:t>
      </w:r>
      <w:r w:rsidRPr="00382917">
        <w:t>the</w:t>
      </w:r>
      <w:r w:rsidR="00EE4FC3">
        <w:t xml:space="preserve"> </w:t>
      </w:r>
      <w:r w:rsidRPr="00382917">
        <w:t>white</w:t>
      </w:r>
      <w:r w:rsidR="00EE4FC3">
        <w:t xml:space="preserve"> </w:t>
      </w:r>
      <w:r w:rsidRPr="00382917">
        <w:t>sands</w:t>
      </w:r>
      <w:r w:rsidR="00EE4FC3">
        <w:t xml:space="preserve"> </w:t>
      </w:r>
      <w:r w:rsidRPr="00382917">
        <w:t>of</w:t>
      </w:r>
      <w:r w:rsidR="00EE4FC3">
        <w:t xml:space="preserve"> </w:t>
      </w:r>
      <w:r w:rsidR="009C713D" w:rsidRPr="00382917">
        <w:t>‘</w:t>
      </w:r>
      <w:r w:rsidRPr="00382917">
        <w:t>Akká</w:t>
      </w:r>
      <w:r w:rsidR="00F267E4">
        <w:t>.</w:t>
      </w:r>
      <w:r w:rsidR="00EE4FC3">
        <w:t xml:space="preserve">  </w:t>
      </w:r>
      <w:r w:rsidRPr="00382917">
        <w:t>Here</w:t>
      </w:r>
      <w:r w:rsidR="00EE4FC3">
        <w:t xml:space="preserve"> </w:t>
      </w:r>
      <w:r w:rsidRPr="00382917">
        <w:t>on</w:t>
      </w:r>
      <w:r w:rsidR="00EE4FC3">
        <w:t xml:space="preserve"> </w:t>
      </w:r>
      <w:r w:rsidRPr="00382917">
        <w:t>the</w:t>
      </w:r>
      <w:r w:rsidR="00EE4FC3">
        <w:t xml:space="preserve"> </w:t>
      </w:r>
      <w:r w:rsidRPr="00382917">
        <w:t>north</w:t>
      </w:r>
      <w:r w:rsidR="00EE4FC3">
        <w:t xml:space="preserve"> </w:t>
      </w:r>
      <w:r w:rsidRPr="00382917">
        <w:t>side</w:t>
      </w:r>
      <w:r w:rsidR="00EE4FC3">
        <w:t xml:space="preserve"> </w:t>
      </w:r>
      <w:r w:rsidRPr="00382917">
        <w:t>of</w:t>
      </w:r>
      <w:r w:rsidR="00EE4FC3">
        <w:t xml:space="preserve"> </w:t>
      </w:r>
      <w:r w:rsidRPr="00382917">
        <w:t>the</w:t>
      </w:r>
      <w:r w:rsidR="00EE4FC3">
        <w:t xml:space="preserve"> </w:t>
      </w:r>
      <w:r w:rsidRPr="00382917">
        <w:t>mountain</w:t>
      </w:r>
      <w:r w:rsidR="00EE4FC3">
        <w:t xml:space="preserve"> </w:t>
      </w:r>
      <w:r w:rsidRPr="00382917">
        <w:t>is</w:t>
      </w:r>
      <w:r w:rsidR="00EE4FC3">
        <w:t xml:space="preserve"> </w:t>
      </w:r>
      <w:r w:rsidRPr="00382917">
        <w:t>being</w:t>
      </w:r>
      <w:r w:rsidR="00EE4FC3">
        <w:t xml:space="preserve"> </w:t>
      </w:r>
      <w:r w:rsidRPr="00382917">
        <w:t>built</w:t>
      </w:r>
      <w:r w:rsidR="00EE4FC3">
        <w:t xml:space="preserve"> </w:t>
      </w:r>
      <w:r w:rsidRPr="00382917">
        <w:t>all</w:t>
      </w:r>
      <w:r w:rsidR="00EE4FC3">
        <w:t xml:space="preserve"> </w:t>
      </w:r>
      <w:r w:rsidRPr="00382917">
        <w:t>the</w:t>
      </w:r>
      <w:r w:rsidR="00EE4FC3">
        <w:t xml:space="preserve"> </w:t>
      </w:r>
      <w:r w:rsidRPr="00382917">
        <w:t>future</w:t>
      </w:r>
      <w:r w:rsidR="00EE4FC3">
        <w:t xml:space="preserve"> </w:t>
      </w:r>
      <w:r w:rsidRPr="00382917">
        <w:t>institutions</w:t>
      </w:r>
      <w:r w:rsidR="00EE4FC3">
        <w:t xml:space="preserve"> </w:t>
      </w:r>
      <w:r w:rsidRPr="00382917">
        <w:t>of</w:t>
      </w:r>
      <w:r w:rsidR="00EE4FC3">
        <w:t xml:space="preserve"> </w:t>
      </w:r>
      <w:r w:rsidRPr="00382917">
        <w:t>the</w:t>
      </w:r>
      <w:r w:rsidR="00EE4FC3">
        <w:t xml:space="preserve"> </w:t>
      </w:r>
      <w:r w:rsidRPr="00382917">
        <w:t>Bahá</w:t>
      </w:r>
      <w:r w:rsidR="009C713D" w:rsidRPr="00382917">
        <w:t>’</w:t>
      </w:r>
      <w:r w:rsidRPr="00382917">
        <w:t>í</w:t>
      </w:r>
      <w:r w:rsidR="00EE4FC3">
        <w:t xml:space="preserve"> </w:t>
      </w:r>
      <w:r w:rsidRPr="00382917">
        <w:t>Faith</w:t>
      </w:r>
      <w:r w:rsidR="00EE4FC3">
        <w:t xml:space="preserve"> </w:t>
      </w:r>
      <w:r w:rsidRPr="00382917">
        <w:t>at</w:t>
      </w:r>
      <w:r w:rsidR="00EE4FC3">
        <w:t xml:space="preserve"> </w:t>
      </w:r>
      <w:r w:rsidRPr="00382917">
        <w:t>its</w:t>
      </w:r>
      <w:r w:rsidR="00EE4FC3">
        <w:t xml:space="preserve"> </w:t>
      </w:r>
      <w:r w:rsidRPr="00382917">
        <w:t>world</w:t>
      </w:r>
      <w:r w:rsidR="00EE4FC3">
        <w:t xml:space="preserve"> </w:t>
      </w:r>
      <w:proofErr w:type="spellStart"/>
      <w:r w:rsidRPr="00382917">
        <w:t>center</w:t>
      </w:r>
      <w:proofErr w:type="spellEnd"/>
      <w:r w:rsidR="00F267E4">
        <w:t>.</w:t>
      </w:r>
      <w:r w:rsidR="00EE4FC3">
        <w:t xml:space="preserve">  </w:t>
      </w:r>
      <w:r w:rsidRPr="00382917">
        <w:t>This</w:t>
      </w:r>
      <w:r w:rsidR="00EE4FC3">
        <w:t xml:space="preserve"> </w:t>
      </w:r>
      <w:r w:rsidRPr="00382917">
        <w:t>is</w:t>
      </w:r>
      <w:r w:rsidR="00EE4FC3">
        <w:t xml:space="preserve"> </w:t>
      </w:r>
      <w:r w:rsidRPr="00382917">
        <w:t>the</w:t>
      </w:r>
      <w:r w:rsidR="00EE4FC3">
        <w:t xml:space="preserve"> </w:t>
      </w:r>
      <w:r w:rsidRPr="00382917">
        <w:t>day</w:t>
      </w:r>
      <w:r w:rsidR="00EE4FC3">
        <w:t xml:space="preserve"> </w:t>
      </w:r>
      <w:r w:rsidRPr="00382917">
        <w:t>and</w:t>
      </w:r>
      <w:r w:rsidR="00EE4FC3">
        <w:t xml:space="preserve"> </w:t>
      </w:r>
      <w:r w:rsidRPr="00382917">
        <w:t>the</w:t>
      </w:r>
      <w:r w:rsidR="00EE4FC3">
        <w:t xml:space="preserve"> </w:t>
      </w:r>
      <w:r w:rsidRPr="00382917">
        <w:t>place</w:t>
      </w:r>
      <w:r w:rsidR="00EE4FC3">
        <w:t xml:space="preserve"> </w:t>
      </w:r>
      <w:r w:rsidRPr="00382917">
        <w:t>which</w:t>
      </w:r>
      <w:r w:rsidR="00EE4FC3">
        <w:t xml:space="preserve"> </w:t>
      </w:r>
      <w:r w:rsidRPr="00382917">
        <w:t>David</w:t>
      </w:r>
      <w:r w:rsidR="00EE4FC3">
        <w:t xml:space="preserve"> </w:t>
      </w:r>
      <w:r w:rsidRPr="00382917">
        <w:t>promised</w:t>
      </w:r>
      <w:r w:rsidR="00EE4FC3">
        <w:t xml:space="preserve"> </w:t>
      </w:r>
      <w:r w:rsidRPr="00382917">
        <w:t>in</w:t>
      </w:r>
      <w:r w:rsidR="00EE4FC3">
        <w:t xml:space="preserve"> </w:t>
      </w:r>
      <w:r w:rsidRPr="00382917">
        <w:t>his</w:t>
      </w:r>
      <w:r w:rsidR="00EE4FC3">
        <w:t xml:space="preserve"> </w:t>
      </w:r>
      <w:r w:rsidRPr="00382917">
        <w:t>Psalms</w:t>
      </w:r>
      <w:r w:rsidR="00EE4FC3">
        <w:t xml:space="preserve"> </w:t>
      </w:r>
      <w:r w:rsidRPr="00382917">
        <w:t>when</w:t>
      </w:r>
      <w:r w:rsidR="00EE4FC3">
        <w:t xml:space="preserve"> </w:t>
      </w:r>
      <w:r w:rsidRPr="00382917">
        <w:t>he</w:t>
      </w:r>
      <w:r w:rsidR="00EE4FC3">
        <w:t xml:space="preserve"> </w:t>
      </w:r>
      <w:r w:rsidRPr="00382917">
        <w:t>spoke</w:t>
      </w:r>
      <w:r w:rsidR="00EE4FC3">
        <w:t xml:space="preserve"> </w:t>
      </w:r>
      <w:r w:rsidRPr="00382917">
        <w:t>of</w:t>
      </w:r>
      <w:r w:rsidR="00EE4FC3">
        <w:t xml:space="preserve"> </w:t>
      </w:r>
      <w:r w:rsidRPr="00382917">
        <w:t>the</w:t>
      </w:r>
      <w:r w:rsidR="00EE4FC3">
        <w:t xml:space="preserve"> </w:t>
      </w:r>
      <w:r w:rsidRPr="00382917">
        <w:t>mountain</w:t>
      </w:r>
      <w:r w:rsidR="00EE4FC3">
        <w:t xml:space="preserve"> </w:t>
      </w:r>
      <w:r w:rsidRPr="00382917">
        <w:t>of</w:t>
      </w:r>
      <w:r w:rsidR="00EE4FC3">
        <w:t xml:space="preserve"> </w:t>
      </w:r>
      <w:r w:rsidRPr="00382917">
        <w:t>God:</w:t>
      </w:r>
    </w:p>
    <w:p w:rsidR="00B568B6" w:rsidRPr="00382917" w:rsidRDefault="009C713D" w:rsidP="003D4A6B">
      <w:pPr>
        <w:pStyle w:val="Quote"/>
      </w:pPr>
      <w:r w:rsidRPr="00382917">
        <w:t>“</w:t>
      </w:r>
      <w:r w:rsidR="00F04416" w:rsidRPr="00382917">
        <w:t>…</w:t>
      </w:r>
      <w:r w:rsidR="00EE4FC3">
        <w:t xml:space="preserve"> </w:t>
      </w:r>
      <w:proofErr w:type="gramStart"/>
      <w:r w:rsidR="00B568B6" w:rsidRPr="00382917">
        <w:t>on</w:t>
      </w:r>
      <w:proofErr w:type="gramEnd"/>
      <w:r w:rsidR="00EE4FC3">
        <w:t xml:space="preserve"> </w:t>
      </w:r>
      <w:r w:rsidR="00B568B6" w:rsidRPr="00382917">
        <w:t>the</w:t>
      </w:r>
      <w:r w:rsidR="00EE4FC3">
        <w:t xml:space="preserve"> </w:t>
      </w:r>
      <w:r w:rsidR="00B568B6" w:rsidRPr="00382917">
        <w:t>sides</w:t>
      </w:r>
      <w:r w:rsidR="00EE4FC3">
        <w:t xml:space="preserve"> </w:t>
      </w:r>
      <w:r w:rsidR="00B568B6" w:rsidRPr="00382917">
        <w:t>of</w:t>
      </w:r>
      <w:r w:rsidR="00EE4FC3">
        <w:t xml:space="preserve"> </w:t>
      </w:r>
      <w:r w:rsidR="00B568B6" w:rsidRPr="00382917">
        <w:t>the</w:t>
      </w:r>
      <w:r w:rsidR="00EE4FC3">
        <w:t xml:space="preserve"> </w:t>
      </w:r>
      <w:r w:rsidR="00B568B6" w:rsidRPr="00382917">
        <w:t>north,</w:t>
      </w:r>
      <w:r w:rsidR="00EE4FC3">
        <w:t xml:space="preserve"> </w:t>
      </w:r>
      <w:r w:rsidR="00B568B6" w:rsidRPr="00382917">
        <w:t>the</w:t>
      </w:r>
      <w:r w:rsidR="00EE4FC3">
        <w:t xml:space="preserve"> </w:t>
      </w:r>
      <w:r w:rsidR="00B568B6" w:rsidRPr="00382917">
        <w:t>city</w:t>
      </w:r>
      <w:r w:rsidR="00EE4FC3">
        <w:t xml:space="preserve"> </w:t>
      </w:r>
      <w:r w:rsidR="00B568B6" w:rsidRPr="00382917">
        <w:t>of</w:t>
      </w:r>
      <w:r w:rsidR="00EE4FC3">
        <w:t xml:space="preserve"> </w:t>
      </w:r>
      <w:r w:rsidR="00B568B6" w:rsidRPr="00382917">
        <w:t>the</w:t>
      </w:r>
      <w:r w:rsidR="00EE4FC3">
        <w:t xml:space="preserve"> </w:t>
      </w:r>
      <w:r w:rsidR="00B568B6" w:rsidRPr="00382917">
        <w:t>great</w:t>
      </w:r>
      <w:r w:rsidR="00EE4FC3">
        <w:t xml:space="preserve"> </w:t>
      </w:r>
      <w:r w:rsidR="00B568B6" w:rsidRPr="00382917">
        <w:t>King.</w:t>
      </w:r>
      <w:r w:rsidRPr="00382917">
        <w:t>”</w:t>
      </w:r>
      <w:r w:rsidR="003D4A6B">
        <w:rPr>
          <w:rStyle w:val="FootnoteReference"/>
        </w:rPr>
        <w:footnoteReference w:id="383"/>
      </w:r>
    </w:p>
    <w:p w:rsidR="00B568B6" w:rsidRPr="00382917" w:rsidRDefault="00B568B6" w:rsidP="00B568B6">
      <w:pPr>
        <w:pStyle w:val="Text"/>
      </w:pPr>
      <w:r w:rsidRPr="00382917">
        <w:t>Ezekiel</w:t>
      </w:r>
      <w:r w:rsidR="00EE4FC3">
        <w:t xml:space="preserve"> </w:t>
      </w:r>
      <w:r w:rsidRPr="00382917">
        <w:t>echoes</w:t>
      </w:r>
      <w:r w:rsidR="00EE4FC3">
        <w:t xml:space="preserve"> </w:t>
      </w:r>
      <w:r w:rsidRPr="00382917">
        <w:t>the</w:t>
      </w:r>
      <w:r w:rsidR="00EE4FC3">
        <w:t xml:space="preserve"> </w:t>
      </w:r>
      <w:r w:rsidRPr="00382917">
        <w:t>same</w:t>
      </w:r>
      <w:r w:rsidR="00EE4FC3">
        <w:t xml:space="preserve"> </w:t>
      </w:r>
      <w:r w:rsidRPr="00382917">
        <w:t>promise</w:t>
      </w:r>
      <w:r w:rsidR="00EE4FC3">
        <w:t xml:space="preserve"> </w:t>
      </w:r>
      <w:r w:rsidRPr="00382917">
        <w:t>given</w:t>
      </w:r>
      <w:r w:rsidR="00EE4FC3">
        <w:t xml:space="preserve"> </w:t>
      </w:r>
      <w:r w:rsidRPr="00382917">
        <w:t>by</w:t>
      </w:r>
      <w:r w:rsidR="00EE4FC3">
        <w:t xml:space="preserve"> </w:t>
      </w:r>
      <w:r w:rsidRPr="00382917">
        <w:t>Isaiah,</w:t>
      </w:r>
      <w:r w:rsidR="00EE4FC3">
        <w:t xml:space="preserve"> </w:t>
      </w:r>
      <w:r w:rsidRPr="00382917">
        <w:t>Hosea,</w:t>
      </w:r>
      <w:r w:rsidR="00EE4FC3">
        <w:t xml:space="preserve"> </w:t>
      </w:r>
      <w:r w:rsidRPr="00382917">
        <w:t>Micah,</w:t>
      </w:r>
      <w:r w:rsidR="00EE4FC3">
        <w:t xml:space="preserve"> </w:t>
      </w:r>
      <w:r w:rsidRPr="00382917">
        <w:t>Daniel,</w:t>
      </w:r>
      <w:r w:rsidR="00EE4FC3">
        <w:t xml:space="preserve"> </w:t>
      </w:r>
      <w:r w:rsidRPr="00382917">
        <w:t>Jeremiah,</w:t>
      </w:r>
      <w:r w:rsidR="00EE4FC3">
        <w:t xml:space="preserve"> </w:t>
      </w:r>
      <w:r w:rsidRPr="00382917">
        <w:t>Zephaniah,</w:t>
      </w:r>
      <w:r w:rsidR="00EE4FC3">
        <w:t xml:space="preserve"> </w:t>
      </w:r>
      <w:r w:rsidRPr="00382917">
        <w:t>Zechariah</w:t>
      </w:r>
      <w:r w:rsidR="00EE4FC3">
        <w:t xml:space="preserve"> </w:t>
      </w:r>
      <w:r w:rsidRPr="00382917">
        <w:t>and</w:t>
      </w:r>
      <w:r w:rsidR="00EE4FC3">
        <w:t xml:space="preserve"> </w:t>
      </w:r>
      <w:proofErr w:type="spellStart"/>
      <w:r w:rsidRPr="00382917">
        <w:t>Malachai</w:t>
      </w:r>
      <w:proofErr w:type="spellEnd"/>
      <w:r w:rsidRPr="00382917">
        <w:t>:</w:t>
      </w:r>
    </w:p>
    <w:p w:rsidR="00B568B6" w:rsidRPr="00382917" w:rsidRDefault="009C713D" w:rsidP="003D4A6B">
      <w:pPr>
        <w:pStyle w:val="Quote"/>
      </w:pPr>
      <w:r w:rsidRPr="00382917">
        <w:t>“</w:t>
      </w:r>
      <w:r w:rsidR="00B568B6" w:rsidRPr="00382917">
        <w:t>And,</w:t>
      </w:r>
      <w:r w:rsidR="00EE4FC3">
        <w:t xml:space="preserve"> </w:t>
      </w:r>
      <w:r w:rsidR="00B568B6" w:rsidRPr="00382917">
        <w:t>behold,</w:t>
      </w:r>
      <w:r w:rsidR="00EE4FC3">
        <w:t xml:space="preserve"> </w:t>
      </w:r>
      <w:r w:rsidR="00B568B6" w:rsidRPr="00382917">
        <w:t>the</w:t>
      </w:r>
      <w:r w:rsidR="00EE4FC3">
        <w:t xml:space="preserve"> </w:t>
      </w:r>
      <w:r w:rsidR="00B568B6" w:rsidRPr="00382917">
        <w:t>glory</w:t>
      </w:r>
      <w:r w:rsidR="00EE4FC3">
        <w:t xml:space="preserve"> </w:t>
      </w:r>
      <w:r w:rsidR="00B568B6" w:rsidRPr="00382917">
        <w:t>of</w:t>
      </w:r>
      <w:r w:rsidR="00EE4FC3">
        <w:t xml:space="preserve"> </w:t>
      </w:r>
      <w:r w:rsidR="00B568B6" w:rsidRPr="00382917">
        <w:t>the</w:t>
      </w:r>
      <w:r w:rsidR="00EE4FC3">
        <w:t xml:space="preserve"> </w:t>
      </w:r>
      <w:r w:rsidR="00B568B6" w:rsidRPr="00382917">
        <w:t>God</w:t>
      </w:r>
      <w:r w:rsidR="00EE4FC3">
        <w:t xml:space="preserve"> </w:t>
      </w:r>
      <w:r w:rsidR="00B568B6" w:rsidRPr="00382917">
        <w:t>of</w:t>
      </w:r>
      <w:r w:rsidR="00EE4FC3">
        <w:t xml:space="preserve"> </w:t>
      </w:r>
      <w:r w:rsidR="00B568B6" w:rsidRPr="00382917">
        <w:t>Israel</w:t>
      </w:r>
      <w:r w:rsidR="00EE4FC3">
        <w:t xml:space="preserve"> </w:t>
      </w:r>
      <w:r w:rsidR="00B568B6" w:rsidRPr="00382917">
        <w:t>came</w:t>
      </w:r>
      <w:r w:rsidR="00EE4FC3">
        <w:t xml:space="preserve"> </w:t>
      </w:r>
      <w:r w:rsidR="00B568B6" w:rsidRPr="00382917">
        <w:t>from</w:t>
      </w:r>
      <w:r w:rsidR="00EE4FC3">
        <w:t xml:space="preserve"> </w:t>
      </w:r>
      <w:r w:rsidR="00B568B6" w:rsidRPr="00382917">
        <w:t>the</w:t>
      </w:r>
      <w:r w:rsidR="00EE4FC3">
        <w:t xml:space="preserve"> </w:t>
      </w:r>
      <w:r w:rsidR="00B568B6" w:rsidRPr="00382917">
        <w:t>way</w:t>
      </w:r>
      <w:r w:rsidR="00EE4FC3">
        <w:t xml:space="preserve"> </w:t>
      </w:r>
      <w:r w:rsidR="00B568B6" w:rsidRPr="00382917">
        <w:t>of</w:t>
      </w:r>
      <w:r w:rsidR="00EE4FC3">
        <w:t xml:space="preserve"> </w:t>
      </w:r>
      <w:r w:rsidR="00B568B6" w:rsidRPr="00382917">
        <w:t>the</w:t>
      </w:r>
      <w:r w:rsidR="00EE4FC3">
        <w:t xml:space="preserve"> </w:t>
      </w:r>
      <w:r w:rsidR="00B568B6" w:rsidRPr="00382917">
        <w:t>east</w:t>
      </w:r>
      <w:r w:rsidR="00C03C91">
        <w:t>:</w:t>
      </w:r>
      <w:r w:rsidR="00EE4FC3">
        <w:t xml:space="preserve">  </w:t>
      </w:r>
      <w:r w:rsidR="00B568B6" w:rsidRPr="00382917">
        <w:t>and</w:t>
      </w:r>
      <w:r w:rsidR="00EE4FC3">
        <w:t xml:space="preserve"> </w:t>
      </w:r>
      <w:r w:rsidR="00B568B6" w:rsidRPr="00382917">
        <w:t>his</w:t>
      </w:r>
      <w:r w:rsidR="00EE4FC3">
        <w:t xml:space="preserve"> </w:t>
      </w:r>
      <w:r w:rsidR="00B568B6" w:rsidRPr="00382917">
        <w:t>voice</w:t>
      </w:r>
      <w:r w:rsidR="00EE4FC3">
        <w:t xml:space="preserve"> </w:t>
      </w:r>
      <w:r w:rsidR="00B568B6" w:rsidRPr="00382917">
        <w:t>was</w:t>
      </w:r>
      <w:r w:rsidR="00EE4FC3">
        <w:t xml:space="preserve"> </w:t>
      </w:r>
      <w:r w:rsidR="00B568B6" w:rsidRPr="00382917">
        <w:t>like</w:t>
      </w:r>
      <w:r w:rsidR="00EE4FC3">
        <w:t xml:space="preserve"> </w:t>
      </w:r>
      <w:r w:rsidR="00B568B6" w:rsidRPr="00382917">
        <w:t>the</w:t>
      </w:r>
      <w:r w:rsidR="00EE4FC3">
        <w:t xml:space="preserve"> </w:t>
      </w:r>
      <w:r w:rsidR="00B568B6" w:rsidRPr="00382917">
        <w:t>noise</w:t>
      </w:r>
      <w:r w:rsidR="00EE4FC3">
        <w:t xml:space="preserve"> </w:t>
      </w:r>
      <w:r w:rsidR="00B568B6" w:rsidRPr="00382917">
        <w:t>of</w:t>
      </w:r>
      <w:r w:rsidR="00EE4FC3">
        <w:t xml:space="preserve"> </w:t>
      </w:r>
      <w:r w:rsidR="00B568B6" w:rsidRPr="00382917">
        <w:t>many</w:t>
      </w:r>
      <w:r w:rsidR="00EE4FC3">
        <w:t xml:space="preserve"> </w:t>
      </w:r>
      <w:r w:rsidR="00B568B6" w:rsidRPr="00382917">
        <w:t>waters</w:t>
      </w:r>
      <w:r w:rsidR="00C03C91">
        <w:t>:</w:t>
      </w:r>
      <w:r w:rsidR="00EE4FC3">
        <w:t xml:space="preserve">  </w:t>
      </w:r>
      <w:r w:rsidR="00B568B6" w:rsidRPr="00382917">
        <w:t>and</w:t>
      </w:r>
      <w:r w:rsidR="00EE4FC3">
        <w:t xml:space="preserve"> </w:t>
      </w:r>
      <w:r w:rsidR="00B568B6" w:rsidRPr="00382917">
        <w:t>the</w:t>
      </w:r>
      <w:r w:rsidR="00EE4FC3">
        <w:t xml:space="preserve"> </w:t>
      </w:r>
      <w:r w:rsidR="00B568B6" w:rsidRPr="00382917">
        <w:t>earth</w:t>
      </w:r>
      <w:r w:rsidR="00EE4FC3">
        <w:t xml:space="preserve"> </w:t>
      </w:r>
      <w:r w:rsidR="00B568B6" w:rsidRPr="00382917">
        <w:t>shined</w:t>
      </w:r>
      <w:r w:rsidR="00EE4FC3">
        <w:t xml:space="preserve"> </w:t>
      </w:r>
      <w:r w:rsidR="00B568B6" w:rsidRPr="00382917">
        <w:t>with</w:t>
      </w:r>
      <w:r w:rsidR="00EE4FC3">
        <w:t xml:space="preserve"> </w:t>
      </w:r>
      <w:r w:rsidR="00B568B6" w:rsidRPr="00382917">
        <w:t>his</w:t>
      </w:r>
      <w:r w:rsidR="00EE4FC3">
        <w:t xml:space="preserve"> </w:t>
      </w:r>
      <w:r w:rsidR="00B568B6" w:rsidRPr="00382917">
        <w:t>glory</w:t>
      </w:r>
      <w:proofErr w:type="gramStart"/>
      <w:r w:rsidR="003D4A6B">
        <w:t xml:space="preserve">. </w:t>
      </w:r>
      <w:proofErr w:type="gramEnd"/>
      <w:r w:rsidR="00F04416" w:rsidRPr="00382917">
        <w:t>…</w:t>
      </w:r>
      <w:r w:rsidR="00EE4FC3">
        <w:t xml:space="preserve">  </w:t>
      </w:r>
      <w:r w:rsidR="00B568B6" w:rsidRPr="00382917">
        <w:t>And</w:t>
      </w:r>
      <w:r w:rsidR="00EE4FC3">
        <w:t xml:space="preserve"> </w:t>
      </w:r>
      <w:r w:rsidR="00B568B6" w:rsidRPr="00382917">
        <w:t>the</w:t>
      </w:r>
      <w:r w:rsidR="00EE4FC3">
        <w:t xml:space="preserve"> </w:t>
      </w:r>
      <w:r w:rsidR="00B568B6" w:rsidRPr="00382917">
        <w:t>glory</w:t>
      </w:r>
      <w:r w:rsidR="00EE4FC3">
        <w:t xml:space="preserve"> </w:t>
      </w:r>
      <w:r w:rsidR="00B568B6" w:rsidRPr="00382917">
        <w:t>of</w:t>
      </w:r>
      <w:r w:rsidR="00EE4FC3">
        <w:t xml:space="preserve"> </w:t>
      </w:r>
      <w:r w:rsidR="00B568B6" w:rsidRPr="00382917">
        <w:t>the</w:t>
      </w:r>
      <w:r w:rsidR="00EE4FC3">
        <w:t xml:space="preserve"> </w:t>
      </w:r>
      <w:r w:rsidR="00B568B6" w:rsidRPr="00382917">
        <w:t>Lord</w:t>
      </w:r>
      <w:r w:rsidR="00EE4FC3">
        <w:t xml:space="preserve"> </w:t>
      </w:r>
      <w:r w:rsidR="00B568B6" w:rsidRPr="00382917">
        <w:t>came</w:t>
      </w:r>
      <w:r w:rsidR="00EE4FC3">
        <w:t xml:space="preserve"> </w:t>
      </w:r>
      <w:r w:rsidR="00B568B6" w:rsidRPr="00382917">
        <w:t>into</w:t>
      </w:r>
      <w:r w:rsidR="00EE4FC3">
        <w:t xml:space="preserve"> </w:t>
      </w:r>
      <w:r w:rsidR="00B568B6" w:rsidRPr="00382917">
        <w:t>the</w:t>
      </w:r>
      <w:r w:rsidR="00EE4FC3">
        <w:t xml:space="preserve"> </w:t>
      </w:r>
      <w:r w:rsidR="00B568B6" w:rsidRPr="00382917">
        <w:t>house</w:t>
      </w:r>
      <w:r w:rsidR="00EE4FC3">
        <w:t xml:space="preserve"> </w:t>
      </w:r>
      <w:r w:rsidR="00B568B6" w:rsidRPr="00382917">
        <w:t>by</w:t>
      </w:r>
      <w:r w:rsidR="00EE4FC3">
        <w:t xml:space="preserve"> </w:t>
      </w:r>
      <w:r w:rsidR="00B568B6" w:rsidRPr="00382917">
        <w:t>way</w:t>
      </w:r>
      <w:r w:rsidR="00EE4FC3">
        <w:t xml:space="preserve"> </w:t>
      </w:r>
      <w:r w:rsidR="00B568B6" w:rsidRPr="00382917">
        <w:t>of</w:t>
      </w:r>
      <w:r w:rsidR="00EE4FC3">
        <w:t xml:space="preserve"> </w:t>
      </w:r>
      <w:r w:rsidR="00B568B6" w:rsidRPr="00382917">
        <w:t>the</w:t>
      </w:r>
      <w:r w:rsidR="00EE4FC3">
        <w:t xml:space="preserve"> </w:t>
      </w:r>
      <w:r w:rsidR="00B568B6" w:rsidRPr="00382917">
        <w:t>gate</w:t>
      </w:r>
      <w:r w:rsidR="00EE4FC3">
        <w:t xml:space="preserve"> </w:t>
      </w:r>
      <w:r w:rsidR="00B568B6" w:rsidRPr="00382917">
        <w:t>whose</w:t>
      </w:r>
      <w:r w:rsidR="00EE4FC3">
        <w:t xml:space="preserve"> </w:t>
      </w:r>
      <w:r w:rsidR="00B568B6" w:rsidRPr="00382917">
        <w:t>prospect</w:t>
      </w:r>
      <w:r w:rsidR="00EE4FC3">
        <w:t xml:space="preserve"> </w:t>
      </w:r>
      <w:r w:rsidR="00B568B6" w:rsidRPr="00382917">
        <w:t>is</w:t>
      </w:r>
      <w:r w:rsidR="00EE4FC3">
        <w:t xml:space="preserve"> </w:t>
      </w:r>
      <w:r w:rsidR="00B568B6" w:rsidRPr="00382917">
        <w:t>toward</w:t>
      </w:r>
      <w:r w:rsidR="00EE4FC3">
        <w:t xml:space="preserve"> </w:t>
      </w:r>
      <w:r w:rsidR="00B568B6" w:rsidRPr="00382917">
        <w:t>the</w:t>
      </w:r>
      <w:r w:rsidR="00EE4FC3">
        <w:t xml:space="preserve"> </w:t>
      </w:r>
      <w:r w:rsidR="00B568B6" w:rsidRPr="00382917">
        <w:t>east.</w:t>
      </w:r>
      <w:r w:rsidRPr="00382917">
        <w:t>”</w:t>
      </w:r>
      <w:r w:rsidR="003D4A6B">
        <w:rPr>
          <w:rStyle w:val="FootnoteReference"/>
        </w:rPr>
        <w:footnoteReference w:id="384"/>
      </w:r>
    </w:p>
    <w:p w:rsidR="00B568B6" w:rsidRPr="00382917" w:rsidRDefault="00B568B6" w:rsidP="00B568B6">
      <w:pPr>
        <w:pStyle w:val="Text"/>
      </w:pPr>
      <w:r w:rsidRPr="00382917">
        <w:t>Bahá</w:t>
      </w:r>
      <w:r w:rsidR="009C713D" w:rsidRPr="00382917">
        <w:t>’</w:t>
      </w:r>
      <w:r w:rsidRPr="00382917">
        <w:t>u</w:t>
      </w:r>
      <w:r w:rsidR="009C713D" w:rsidRPr="00382917">
        <w:t>’</w:t>
      </w:r>
      <w:r w:rsidRPr="00382917">
        <w:t>lláh,</w:t>
      </w:r>
      <w:r w:rsidR="00EE4FC3">
        <w:t xml:space="preserve"> </w:t>
      </w:r>
      <w:r w:rsidRPr="00382917">
        <w:t>Whose</w:t>
      </w:r>
      <w:r w:rsidR="00EE4FC3">
        <w:t xml:space="preserve"> </w:t>
      </w:r>
      <w:r w:rsidRPr="00382917">
        <w:t>name</w:t>
      </w:r>
      <w:r w:rsidR="00EE4FC3">
        <w:t xml:space="preserve"> </w:t>
      </w:r>
      <w:r w:rsidRPr="00382917">
        <w:t>means</w:t>
      </w:r>
      <w:r w:rsidR="00EE4FC3">
        <w:t xml:space="preserve"> </w:t>
      </w:r>
      <w:r w:rsidRPr="00382917">
        <w:t>the</w:t>
      </w:r>
      <w:r w:rsidR="00EE4FC3">
        <w:t xml:space="preserve"> </w:t>
      </w:r>
      <w:r w:rsidR="003D4A6B">
        <w:t>“</w:t>
      </w:r>
      <w:r w:rsidRPr="00382917">
        <w:t>Glory</w:t>
      </w:r>
      <w:r w:rsidR="00EE4FC3">
        <w:t xml:space="preserve"> </w:t>
      </w:r>
      <w:r w:rsidRPr="00382917">
        <w:t>of</w:t>
      </w:r>
      <w:r w:rsidR="00EE4FC3">
        <w:t xml:space="preserve"> </w:t>
      </w:r>
      <w:r w:rsidRPr="00382917">
        <w:t>the</w:t>
      </w:r>
      <w:r w:rsidR="00EE4FC3">
        <w:t xml:space="preserve"> </w:t>
      </w:r>
      <w:r w:rsidRPr="00382917">
        <w:t>Lord</w:t>
      </w:r>
      <w:r w:rsidR="003D4A6B">
        <w:t>”</w:t>
      </w:r>
      <w:r w:rsidRPr="00382917">
        <w:t>,</w:t>
      </w:r>
      <w:r w:rsidR="00EE4FC3">
        <w:t xml:space="preserve"> </w:t>
      </w:r>
      <w:r w:rsidRPr="00382917">
        <w:t>or</w:t>
      </w:r>
      <w:r w:rsidR="00EE4FC3">
        <w:t xml:space="preserve"> </w:t>
      </w:r>
      <w:r w:rsidRPr="00382917">
        <w:t>the</w:t>
      </w:r>
      <w:r w:rsidR="00EE4FC3">
        <w:t xml:space="preserve"> </w:t>
      </w:r>
      <w:r w:rsidR="003D4A6B">
        <w:t>“</w:t>
      </w:r>
      <w:r w:rsidRPr="00382917">
        <w:t>Glory</w:t>
      </w:r>
      <w:r w:rsidR="00EE4FC3">
        <w:t xml:space="preserve"> </w:t>
      </w:r>
      <w:r w:rsidRPr="00382917">
        <w:t>of</w:t>
      </w:r>
      <w:r w:rsidR="00EE4FC3">
        <w:t xml:space="preserve"> </w:t>
      </w:r>
      <w:r w:rsidRPr="00382917">
        <w:t>God</w:t>
      </w:r>
      <w:r w:rsidR="003D4A6B">
        <w:t>”</w:t>
      </w:r>
      <w:r w:rsidRPr="00382917">
        <w:t>,</w:t>
      </w:r>
      <w:r w:rsidR="00EE4FC3">
        <w:t xml:space="preserve"> </w:t>
      </w:r>
      <w:r w:rsidRPr="00382917">
        <w:t>came</w:t>
      </w:r>
      <w:r w:rsidR="00EE4FC3">
        <w:t xml:space="preserve"> </w:t>
      </w:r>
      <w:r w:rsidRPr="00382917">
        <w:t>to</w:t>
      </w:r>
      <w:r w:rsidR="00EE4FC3">
        <w:t xml:space="preserve"> </w:t>
      </w:r>
      <w:r w:rsidRPr="00382917">
        <w:t>Israel</w:t>
      </w:r>
      <w:r w:rsidR="00EE4FC3">
        <w:t xml:space="preserve"> </w:t>
      </w:r>
      <w:r w:rsidRPr="00382917">
        <w:t>from</w:t>
      </w:r>
      <w:r w:rsidR="00EE4FC3">
        <w:t xml:space="preserve"> </w:t>
      </w:r>
      <w:r w:rsidRPr="00382917">
        <w:t>His</w:t>
      </w:r>
      <w:r w:rsidR="00EE4FC3">
        <w:t xml:space="preserve"> </w:t>
      </w:r>
      <w:r w:rsidRPr="00382917">
        <w:t>homeland,</w:t>
      </w:r>
      <w:r w:rsidR="00EE4FC3">
        <w:t xml:space="preserve"> </w:t>
      </w:r>
      <w:r w:rsidRPr="00382917">
        <w:t>Persia,</w:t>
      </w:r>
      <w:r w:rsidR="00EE4FC3">
        <w:t xml:space="preserve"> </w:t>
      </w:r>
      <w:r w:rsidRPr="00382917">
        <w:t>which</w:t>
      </w:r>
      <w:r w:rsidR="00EE4FC3">
        <w:t xml:space="preserve"> </w:t>
      </w:r>
      <w:r w:rsidRPr="00382917">
        <w:t>lies</w:t>
      </w:r>
      <w:r w:rsidR="00EE4FC3">
        <w:t xml:space="preserve"> </w:t>
      </w:r>
      <w:r w:rsidRPr="00382917">
        <w:t>directly</w:t>
      </w:r>
      <w:r w:rsidR="00EE4FC3">
        <w:t xml:space="preserve"> </w:t>
      </w:r>
      <w:r w:rsidRPr="00382917">
        <w:t>east</w:t>
      </w:r>
      <w:r w:rsidR="00EE4FC3">
        <w:t xml:space="preserve"> </w:t>
      </w:r>
      <w:r w:rsidRPr="00382917">
        <w:t>of</w:t>
      </w:r>
      <w:r w:rsidR="00EE4FC3">
        <w:t xml:space="preserve"> </w:t>
      </w:r>
      <w:r w:rsidRPr="00382917">
        <w:t>the</w:t>
      </w:r>
      <w:r w:rsidR="00EE4FC3">
        <w:t xml:space="preserve"> </w:t>
      </w:r>
      <w:r w:rsidRPr="00382917">
        <w:t>Holy</w:t>
      </w:r>
      <w:r w:rsidR="00EE4FC3">
        <w:t xml:space="preserve"> </w:t>
      </w:r>
      <w:r w:rsidRPr="00382917">
        <w:t>Land</w:t>
      </w:r>
      <w:r w:rsidR="00F267E4">
        <w:t>.</w:t>
      </w:r>
      <w:r w:rsidR="00EE4FC3">
        <w:t xml:space="preserve">  </w:t>
      </w:r>
      <w:r w:rsidRPr="00382917">
        <w:t>His</w:t>
      </w:r>
      <w:r w:rsidR="00EE4FC3">
        <w:t xml:space="preserve"> </w:t>
      </w:r>
      <w:r w:rsidRPr="00382917">
        <w:t>Herald,</w:t>
      </w:r>
      <w:r w:rsidR="00EE4FC3">
        <w:t xml:space="preserve"> </w:t>
      </w:r>
      <w:r w:rsidRPr="00382917">
        <w:t>the</w:t>
      </w:r>
      <w:r w:rsidR="00EE4FC3">
        <w:t xml:space="preserve"> </w:t>
      </w:r>
      <w:r w:rsidRPr="00382917">
        <w:t>Báb,</w:t>
      </w:r>
      <w:r w:rsidR="00EE4FC3">
        <w:t xml:space="preserve"> </w:t>
      </w:r>
      <w:r w:rsidRPr="00382917">
        <w:t>foretold</w:t>
      </w:r>
      <w:r w:rsidR="00EE4FC3">
        <w:t xml:space="preserve"> </w:t>
      </w:r>
      <w:r w:rsidRPr="00382917">
        <w:t>His</w:t>
      </w:r>
      <w:r w:rsidR="00EE4FC3">
        <w:t xml:space="preserve"> </w:t>
      </w:r>
      <w:r w:rsidRPr="00382917">
        <w:t>coming</w:t>
      </w:r>
      <w:r w:rsidR="00EE4FC3">
        <w:t xml:space="preserve"> </w:t>
      </w:r>
      <w:r w:rsidRPr="00382917">
        <w:t>and</w:t>
      </w:r>
      <w:r w:rsidR="00EE4FC3">
        <w:t xml:space="preserve"> </w:t>
      </w:r>
      <w:r w:rsidRPr="00382917">
        <w:t>prepared</w:t>
      </w:r>
      <w:r w:rsidR="00EE4FC3">
        <w:t xml:space="preserve"> </w:t>
      </w:r>
      <w:r w:rsidRPr="00382917">
        <w:t>the</w:t>
      </w:r>
      <w:r w:rsidR="00EE4FC3">
        <w:t xml:space="preserve"> </w:t>
      </w:r>
      <w:r w:rsidRPr="00382917">
        <w:t>way</w:t>
      </w:r>
      <w:r w:rsidR="00EE4FC3">
        <w:t xml:space="preserve"> </w:t>
      </w:r>
      <w:r w:rsidRPr="00382917">
        <w:t>for</w:t>
      </w:r>
      <w:r w:rsidR="00EE4FC3">
        <w:t xml:space="preserve"> </w:t>
      </w:r>
      <w:r w:rsidRPr="00382917">
        <w:t>Him</w:t>
      </w:r>
      <w:r w:rsidR="00F267E4">
        <w:t>.</w:t>
      </w:r>
      <w:r w:rsidR="00EE4FC3">
        <w:t xml:space="preserve">  </w:t>
      </w:r>
      <w:r w:rsidRPr="00382917">
        <w:t>Báb</w:t>
      </w:r>
      <w:r w:rsidR="00EE4FC3">
        <w:t xml:space="preserve"> </w:t>
      </w:r>
      <w:r w:rsidRPr="00382917">
        <w:t>is</w:t>
      </w:r>
      <w:r w:rsidR="00EE4FC3">
        <w:t xml:space="preserve"> </w:t>
      </w:r>
      <w:r w:rsidRPr="00382917">
        <w:t>a</w:t>
      </w:r>
      <w:r w:rsidR="00EE4FC3">
        <w:t xml:space="preserve"> </w:t>
      </w:r>
      <w:r w:rsidRPr="00382917">
        <w:t>word</w:t>
      </w:r>
      <w:r w:rsidR="00EE4FC3">
        <w:t xml:space="preserve"> </w:t>
      </w:r>
      <w:r w:rsidRPr="00382917">
        <w:t>which</w:t>
      </w:r>
      <w:r w:rsidR="00EE4FC3">
        <w:t xml:space="preserve"> </w:t>
      </w:r>
      <w:r w:rsidRPr="00382917">
        <w:t>means</w:t>
      </w:r>
      <w:r w:rsidR="00EE4FC3">
        <w:t xml:space="preserve"> </w:t>
      </w:r>
      <w:r w:rsidR="00AE0F8C">
        <w:t>“</w:t>
      </w:r>
      <w:r w:rsidRPr="00382917">
        <w:t>the</w:t>
      </w:r>
      <w:r w:rsidR="00EE4FC3">
        <w:t xml:space="preserve"> </w:t>
      </w:r>
      <w:r w:rsidRPr="00382917">
        <w:t>Gate</w:t>
      </w:r>
      <w:r w:rsidR="00AE0F8C">
        <w:t>”</w:t>
      </w:r>
      <w:r w:rsidRPr="00382917">
        <w:t>.</w:t>
      </w:r>
    </w:p>
    <w:p w:rsidR="00B568B6" w:rsidRPr="00382917" w:rsidRDefault="00B568B6" w:rsidP="00B568B6">
      <w:pPr>
        <w:pStyle w:val="Text"/>
      </w:pPr>
      <w:r w:rsidRPr="00382917">
        <w:t>When</w:t>
      </w:r>
      <w:r w:rsidR="00EE4FC3">
        <w:t xml:space="preserve"> </w:t>
      </w:r>
      <w:r w:rsidRPr="00382917">
        <w:t>Ezekiel</w:t>
      </w:r>
      <w:r w:rsidR="00EE4FC3">
        <w:t xml:space="preserve"> </w:t>
      </w:r>
      <w:r w:rsidRPr="00382917">
        <w:t>had</w:t>
      </w:r>
      <w:r w:rsidR="00EE4FC3">
        <w:t xml:space="preserve"> </w:t>
      </w:r>
      <w:r w:rsidRPr="00382917">
        <w:t>this</w:t>
      </w:r>
      <w:r w:rsidR="00EE4FC3">
        <w:t xml:space="preserve"> </w:t>
      </w:r>
      <w:r w:rsidRPr="00382917">
        <w:t>vision</w:t>
      </w:r>
      <w:r w:rsidR="00EE4FC3">
        <w:t xml:space="preserve"> </w:t>
      </w:r>
      <w:r w:rsidRPr="00382917">
        <w:t>of</w:t>
      </w:r>
      <w:r w:rsidR="00EE4FC3">
        <w:t xml:space="preserve"> </w:t>
      </w:r>
      <w:r w:rsidRPr="00382917">
        <w:t>the</w:t>
      </w:r>
      <w:r w:rsidR="00EE4FC3">
        <w:t xml:space="preserve"> </w:t>
      </w:r>
      <w:r w:rsidRPr="00382917">
        <w:t>last</w:t>
      </w:r>
      <w:r w:rsidR="00EE4FC3">
        <w:t xml:space="preserve"> </w:t>
      </w:r>
      <w:r w:rsidRPr="00382917">
        <w:t>days,</w:t>
      </w:r>
      <w:r w:rsidR="00EE4FC3">
        <w:t xml:space="preserve"> </w:t>
      </w:r>
      <w:r w:rsidRPr="00382917">
        <w:t>he</w:t>
      </w:r>
      <w:r w:rsidR="00EE4FC3">
        <w:t xml:space="preserve"> </w:t>
      </w:r>
      <w:r w:rsidRPr="00382917">
        <w:t>said:</w:t>
      </w:r>
    </w:p>
    <w:p w:rsidR="00B568B6" w:rsidRPr="00382917" w:rsidRDefault="009C713D" w:rsidP="003D4A6B">
      <w:pPr>
        <w:pStyle w:val="Quote"/>
      </w:pPr>
      <w:r w:rsidRPr="00382917">
        <w:t>“</w:t>
      </w:r>
      <w:r w:rsidR="00B568B6" w:rsidRPr="00382917">
        <w:t>I</w:t>
      </w:r>
      <w:r w:rsidR="00EE4FC3">
        <w:t xml:space="preserve"> </w:t>
      </w:r>
      <w:r w:rsidR="00B568B6" w:rsidRPr="00382917">
        <w:t>saw</w:t>
      </w:r>
      <w:r w:rsidR="00EE4FC3">
        <w:t xml:space="preserve"> </w:t>
      </w:r>
      <w:r w:rsidR="00B568B6" w:rsidRPr="00382917">
        <w:t>it</w:t>
      </w:r>
      <w:r w:rsidR="00EE4FC3">
        <w:t xml:space="preserve"> </w:t>
      </w:r>
      <w:r w:rsidR="00B568B6" w:rsidRPr="00382917">
        <w:t>were</w:t>
      </w:r>
      <w:r w:rsidR="00EE4FC3">
        <w:t xml:space="preserve"> </w:t>
      </w:r>
      <w:r w:rsidR="00B568B6" w:rsidRPr="00382917">
        <w:t>the</w:t>
      </w:r>
      <w:r w:rsidR="00EE4FC3">
        <w:t xml:space="preserve"> </w:t>
      </w:r>
      <w:r w:rsidR="00B568B6" w:rsidRPr="00382917">
        <w:t>appearance</w:t>
      </w:r>
      <w:r w:rsidR="00EE4FC3">
        <w:t xml:space="preserve"> </w:t>
      </w:r>
      <w:r w:rsidR="00B568B6" w:rsidRPr="00382917">
        <w:t>of</w:t>
      </w:r>
      <w:r w:rsidR="00EE4FC3">
        <w:t xml:space="preserve"> </w:t>
      </w:r>
      <w:r w:rsidR="00B568B6" w:rsidRPr="00382917">
        <w:t>fire</w:t>
      </w:r>
      <w:r w:rsidR="003D4A6B">
        <w:t xml:space="preserve"> </w:t>
      </w:r>
      <w:r w:rsidR="00F04416" w:rsidRPr="00382917">
        <w:t>…</w:t>
      </w:r>
      <w:r w:rsidR="00F267E4">
        <w:t>.</w:t>
      </w:r>
      <w:r w:rsidR="00EE4FC3">
        <w:t xml:space="preserve">  </w:t>
      </w:r>
      <w:r w:rsidR="00B568B6" w:rsidRPr="00382917">
        <w:t>This</w:t>
      </w:r>
      <w:r w:rsidR="00EE4FC3">
        <w:t xml:space="preserve"> </w:t>
      </w:r>
      <w:r w:rsidR="00B568B6" w:rsidRPr="00382917">
        <w:t>was</w:t>
      </w:r>
      <w:r w:rsidR="00EE4FC3">
        <w:t xml:space="preserve"> </w:t>
      </w:r>
      <w:r w:rsidR="00B568B6" w:rsidRPr="00382917">
        <w:t>the</w:t>
      </w:r>
      <w:r w:rsidR="00EE4FC3">
        <w:t xml:space="preserve"> </w:t>
      </w:r>
      <w:r w:rsidR="00B568B6" w:rsidRPr="00382917">
        <w:t>appearance</w:t>
      </w:r>
      <w:r w:rsidR="00EE4FC3">
        <w:t xml:space="preserve"> </w:t>
      </w:r>
      <w:r w:rsidR="00B568B6" w:rsidRPr="00382917">
        <w:t>of</w:t>
      </w:r>
      <w:r w:rsidR="00EE4FC3">
        <w:t xml:space="preserve"> </w:t>
      </w:r>
      <w:r w:rsidR="00B568B6" w:rsidRPr="00382917">
        <w:t>the</w:t>
      </w:r>
      <w:r w:rsidR="00EE4FC3">
        <w:t xml:space="preserve"> </w:t>
      </w:r>
      <w:r w:rsidR="00B568B6" w:rsidRPr="00382917">
        <w:t>likeness</w:t>
      </w:r>
      <w:r w:rsidR="00EE4FC3">
        <w:t xml:space="preserve"> </w:t>
      </w:r>
      <w:r w:rsidR="00B568B6" w:rsidRPr="00382917">
        <w:t>of</w:t>
      </w:r>
      <w:r w:rsidR="00EE4FC3">
        <w:t xml:space="preserve"> </w:t>
      </w:r>
      <w:r w:rsidR="00B568B6" w:rsidRPr="00382917">
        <w:t>the</w:t>
      </w:r>
      <w:r w:rsidR="00EE4FC3">
        <w:t xml:space="preserve"> </w:t>
      </w:r>
      <w:r w:rsidR="00B568B6" w:rsidRPr="00382917">
        <w:t>glory</w:t>
      </w:r>
      <w:r w:rsidR="00EE4FC3">
        <w:t xml:space="preserve"> </w:t>
      </w:r>
      <w:r w:rsidR="00B568B6" w:rsidRPr="00382917">
        <w:t>of</w:t>
      </w:r>
      <w:r w:rsidR="00EE4FC3">
        <w:t xml:space="preserve"> </w:t>
      </w:r>
      <w:r w:rsidR="00B568B6" w:rsidRPr="00382917">
        <w:t>the</w:t>
      </w:r>
      <w:r w:rsidR="00EE4FC3">
        <w:t xml:space="preserve"> </w:t>
      </w:r>
      <w:r w:rsidR="00B568B6" w:rsidRPr="00382917">
        <w:t>Lord</w:t>
      </w:r>
      <w:r w:rsidR="00F267E4">
        <w:t>.</w:t>
      </w:r>
      <w:r w:rsidR="00EE4FC3">
        <w:t xml:space="preserve">  </w:t>
      </w:r>
      <w:r w:rsidR="00B568B6" w:rsidRPr="00382917">
        <w:t>And</w:t>
      </w:r>
      <w:r w:rsidR="00EE4FC3">
        <w:t xml:space="preserve"> </w:t>
      </w:r>
      <w:r w:rsidR="00B568B6" w:rsidRPr="00382917">
        <w:t>when</w:t>
      </w:r>
      <w:r w:rsidR="00EE4FC3">
        <w:t xml:space="preserve"> </w:t>
      </w:r>
      <w:r w:rsidR="00B568B6" w:rsidRPr="00382917">
        <w:t>I</w:t>
      </w:r>
      <w:r w:rsidR="00EE4FC3">
        <w:t xml:space="preserve"> </w:t>
      </w:r>
      <w:r w:rsidR="00B568B6" w:rsidRPr="00382917">
        <w:t>saw</w:t>
      </w:r>
      <w:r w:rsidR="00EE4FC3">
        <w:t xml:space="preserve"> </w:t>
      </w:r>
      <w:r w:rsidR="00B568B6" w:rsidRPr="00382917">
        <w:t>it,</w:t>
      </w:r>
      <w:r w:rsidR="00EE4FC3">
        <w:t xml:space="preserve"> </w:t>
      </w:r>
      <w:r w:rsidR="00B568B6" w:rsidRPr="00382917">
        <w:t>I</w:t>
      </w:r>
      <w:r w:rsidR="00EE4FC3">
        <w:t xml:space="preserve"> </w:t>
      </w:r>
      <w:r w:rsidR="00B568B6" w:rsidRPr="00382917">
        <w:t>fell</w:t>
      </w:r>
      <w:r w:rsidR="00EE4FC3">
        <w:t xml:space="preserve"> </w:t>
      </w:r>
      <w:r w:rsidR="00B568B6" w:rsidRPr="00382917">
        <w:t>upon</w:t>
      </w:r>
      <w:r w:rsidR="00EE4FC3">
        <w:t xml:space="preserve"> </w:t>
      </w:r>
      <w:r w:rsidR="00B568B6" w:rsidRPr="00382917">
        <w:t>my</w:t>
      </w:r>
      <w:r w:rsidR="00EE4FC3">
        <w:t xml:space="preserve"> </w:t>
      </w:r>
      <w:r w:rsidR="00B568B6" w:rsidRPr="00382917">
        <w:t>face</w:t>
      </w:r>
      <w:r w:rsidR="00EE4FC3">
        <w:t xml:space="preserve"> </w:t>
      </w:r>
      <w:r w:rsidR="00F04416" w:rsidRPr="00382917">
        <w:t>…</w:t>
      </w:r>
      <w:r w:rsidR="003D4A6B">
        <w:t>.</w:t>
      </w:r>
      <w:r w:rsidRPr="00382917">
        <w:t>”</w:t>
      </w:r>
      <w:r w:rsidR="003D4A6B">
        <w:rPr>
          <w:rStyle w:val="FootnoteReference"/>
        </w:rPr>
        <w:footnoteReference w:id="385"/>
      </w:r>
    </w:p>
    <w:p w:rsidR="00B568B6" w:rsidRPr="00382917" w:rsidRDefault="00B568B6" w:rsidP="00B568B6">
      <w:pPr>
        <w:pStyle w:val="Text"/>
      </w:pPr>
      <w:r w:rsidRPr="00382917">
        <w:t>The</w:t>
      </w:r>
      <w:r w:rsidR="00EE4FC3">
        <w:t xml:space="preserve"> </w:t>
      </w:r>
      <w:r w:rsidRPr="00382917">
        <w:t>people</w:t>
      </w:r>
      <w:r w:rsidR="00EE4FC3">
        <w:t xml:space="preserve"> </w:t>
      </w:r>
      <w:r w:rsidRPr="00382917">
        <w:t>at</w:t>
      </w:r>
      <w:r w:rsidR="00EE4FC3">
        <w:t xml:space="preserve"> </w:t>
      </w:r>
      <w:r w:rsidRPr="00382917">
        <w:t>the</w:t>
      </w:r>
      <w:r w:rsidR="00EE4FC3">
        <w:t xml:space="preserve"> </w:t>
      </w:r>
      <w:r w:rsidRPr="00382917">
        <w:t>time</w:t>
      </w:r>
      <w:r w:rsidR="00EE4FC3">
        <w:t xml:space="preserve"> </w:t>
      </w:r>
      <w:r w:rsidRPr="00382917">
        <w:t>of</w:t>
      </w:r>
      <w:r w:rsidR="00EE4FC3">
        <w:t xml:space="preserve"> </w:t>
      </w:r>
      <w:r w:rsidRPr="00382917">
        <w:t>Christ</w:t>
      </w:r>
      <w:r w:rsidR="00EE4FC3">
        <w:t xml:space="preserve"> </w:t>
      </w:r>
      <w:r w:rsidRPr="00382917">
        <w:t>denied</w:t>
      </w:r>
      <w:r w:rsidR="00EE4FC3">
        <w:t xml:space="preserve"> </w:t>
      </w:r>
      <w:r w:rsidRPr="00382917">
        <w:t>Jesus</w:t>
      </w:r>
      <w:r w:rsidR="00EE4FC3">
        <w:t xml:space="preserve"> </w:t>
      </w:r>
      <w:r w:rsidRPr="00382917">
        <w:t>because</w:t>
      </w:r>
      <w:r w:rsidR="00EE4FC3">
        <w:t xml:space="preserve"> </w:t>
      </w:r>
      <w:r w:rsidRPr="00382917">
        <w:t>they</w:t>
      </w:r>
      <w:r w:rsidR="00EE4FC3">
        <w:t xml:space="preserve"> </w:t>
      </w:r>
      <w:r w:rsidRPr="00382917">
        <w:t>said</w:t>
      </w:r>
      <w:r w:rsidR="00EE4FC3">
        <w:t xml:space="preserve"> </w:t>
      </w:r>
      <w:r w:rsidRPr="00382917">
        <w:t>that</w:t>
      </w:r>
      <w:r w:rsidR="00EE4FC3">
        <w:t xml:space="preserve"> </w:t>
      </w:r>
      <w:r w:rsidRPr="00382917">
        <w:t>Moses</w:t>
      </w:r>
      <w:r w:rsidR="00EE4FC3">
        <w:t xml:space="preserve"> </w:t>
      </w:r>
      <w:r w:rsidRPr="00382917">
        <w:t>had</w:t>
      </w:r>
      <w:r w:rsidR="00EE4FC3">
        <w:t xml:space="preserve"> </w:t>
      </w:r>
      <w:r w:rsidRPr="00382917">
        <w:t>talked</w:t>
      </w:r>
      <w:r w:rsidR="00EE4FC3">
        <w:t xml:space="preserve"> </w:t>
      </w:r>
      <w:r w:rsidRPr="00382917">
        <w:t>with</w:t>
      </w:r>
      <w:r w:rsidR="00EE4FC3">
        <w:t xml:space="preserve"> </w:t>
      </w:r>
      <w:r w:rsidRPr="00382917">
        <w:t>God</w:t>
      </w:r>
      <w:r w:rsidR="00F267E4">
        <w:t>.</w:t>
      </w:r>
      <w:r w:rsidR="00EE4FC3">
        <w:t xml:space="preserve">  </w:t>
      </w:r>
      <w:r w:rsidRPr="00382917">
        <w:t>Christ</w:t>
      </w:r>
      <w:r w:rsidR="00EE4FC3">
        <w:t xml:space="preserve"> </w:t>
      </w:r>
      <w:r w:rsidRPr="00382917">
        <w:t>was</w:t>
      </w:r>
      <w:r w:rsidR="00EE4FC3">
        <w:t xml:space="preserve"> </w:t>
      </w:r>
      <w:r w:rsidRPr="00382917">
        <w:t>plainly</w:t>
      </w:r>
      <w:r w:rsidR="00EE4FC3">
        <w:t xml:space="preserve"> </w:t>
      </w:r>
      <w:r w:rsidRPr="00382917">
        <w:t>inferior</w:t>
      </w:r>
      <w:r w:rsidR="00F267E4">
        <w:t>.</w:t>
      </w:r>
      <w:r w:rsidR="00EE4FC3">
        <w:t xml:space="preserve">  </w:t>
      </w:r>
      <w:r w:rsidRPr="00382917">
        <w:t>No</w:t>
      </w:r>
      <w:r w:rsidR="00EE4FC3">
        <w:t xml:space="preserve"> </w:t>
      </w:r>
      <w:r w:rsidRPr="00382917">
        <w:t>station</w:t>
      </w:r>
      <w:r w:rsidR="00EE4FC3">
        <w:t xml:space="preserve"> </w:t>
      </w:r>
      <w:r w:rsidRPr="00382917">
        <w:t>could</w:t>
      </w:r>
      <w:r w:rsidR="00EE4FC3">
        <w:t xml:space="preserve"> </w:t>
      </w:r>
      <w:r w:rsidRPr="00382917">
        <w:t>equal</w:t>
      </w:r>
      <w:r w:rsidR="00EE4FC3">
        <w:t xml:space="preserve"> </w:t>
      </w:r>
      <w:r w:rsidRPr="00382917">
        <w:t>that</w:t>
      </w:r>
      <w:r w:rsidR="00EE4FC3">
        <w:t xml:space="preserve"> </w:t>
      </w:r>
      <w:r w:rsidRPr="00382917">
        <w:t>of</w:t>
      </w:r>
      <w:r w:rsidR="00EE4FC3">
        <w:t xml:space="preserve"> </w:t>
      </w:r>
      <w:r w:rsidRPr="00382917">
        <w:t>the</w:t>
      </w:r>
      <w:r w:rsidR="00EE4FC3">
        <w:t xml:space="preserve"> </w:t>
      </w:r>
      <w:r w:rsidRPr="00382917">
        <w:t>Interlocutor</w:t>
      </w:r>
      <w:r w:rsidR="00C03C91">
        <w:t>:</w:t>
      </w:r>
      <w:r w:rsidR="00EE4FC3">
        <w:t xml:space="preserve">  </w:t>
      </w:r>
      <w:r w:rsidRPr="00382917">
        <w:t>He</w:t>
      </w:r>
      <w:r w:rsidR="00EE4FC3">
        <w:t xml:space="preserve"> </w:t>
      </w:r>
      <w:r w:rsidRPr="00382917">
        <w:t>Who</w:t>
      </w:r>
      <w:r w:rsidR="00EE4FC3">
        <w:t xml:space="preserve"> </w:t>
      </w:r>
      <w:r w:rsidRPr="00382917">
        <w:t>talked</w:t>
      </w:r>
      <w:r w:rsidR="00EE4FC3">
        <w:t xml:space="preserve"> </w:t>
      </w:r>
      <w:r w:rsidRPr="00382917">
        <w:t>with</w:t>
      </w:r>
      <w:r w:rsidR="00EE4FC3">
        <w:t xml:space="preserve"> </w:t>
      </w:r>
      <w:r w:rsidRPr="00382917">
        <w:t>God</w:t>
      </w:r>
      <w:r w:rsidR="00F267E4">
        <w:t>.</w:t>
      </w:r>
      <w:r w:rsidR="00EE4FC3">
        <w:t xml:space="preserve">  </w:t>
      </w:r>
      <w:r w:rsidRPr="00382917">
        <w:t>Now</w:t>
      </w:r>
      <w:r w:rsidR="00EE4FC3">
        <w:t xml:space="preserve"> </w:t>
      </w:r>
      <w:r w:rsidRPr="00382917">
        <w:t>in</w:t>
      </w:r>
      <w:r w:rsidR="00EE4FC3">
        <w:t xml:space="preserve"> </w:t>
      </w:r>
      <w:r w:rsidRPr="00382917">
        <w:t>the</w:t>
      </w:r>
      <w:r w:rsidR="00EE4FC3">
        <w:t xml:space="preserve"> </w:t>
      </w:r>
      <w:r w:rsidRPr="00382917">
        <w:t>time</w:t>
      </w:r>
      <w:r w:rsidR="00EE4FC3">
        <w:t xml:space="preserve"> </w:t>
      </w:r>
      <w:r w:rsidRPr="00382917">
        <w:t>of</w:t>
      </w:r>
      <w:r w:rsidR="00EE4FC3">
        <w:t xml:space="preserve"> </w:t>
      </w:r>
      <w:r w:rsidRPr="00382917">
        <w:t>Bahá</w:t>
      </w:r>
      <w:r w:rsidR="009C713D" w:rsidRPr="00382917">
        <w:t>’</w:t>
      </w:r>
      <w:r w:rsidRPr="00382917">
        <w:t>u</w:t>
      </w:r>
      <w:r w:rsidR="009C713D" w:rsidRPr="00382917">
        <w:t>’</w:t>
      </w:r>
      <w:r w:rsidRPr="00382917">
        <w:t>lláh,</w:t>
      </w:r>
      <w:r w:rsidR="00EE4FC3">
        <w:t xml:space="preserve"> </w:t>
      </w:r>
      <w:r w:rsidRPr="00382917">
        <w:t>the</w:t>
      </w:r>
      <w:r w:rsidR="00EE4FC3">
        <w:t xml:space="preserve"> </w:t>
      </w:r>
      <w:r w:rsidRPr="00382917">
        <w:t>people</w:t>
      </w:r>
      <w:r w:rsidR="00EE4FC3">
        <w:t xml:space="preserve"> </w:t>
      </w:r>
      <w:r w:rsidRPr="00382917">
        <w:t>deny</w:t>
      </w:r>
      <w:r w:rsidR="00EE4FC3">
        <w:t xml:space="preserve"> </w:t>
      </w:r>
      <w:r w:rsidRPr="00382917">
        <w:t>Him,</w:t>
      </w:r>
      <w:r w:rsidR="00EE4FC3">
        <w:t xml:space="preserve"> </w:t>
      </w:r>
      <w:r w:rsidRPr="00382917">
        <w:t>saying</w:t>
      </w:r>
      <w:r w:rsidR="00C03C91">
        <w:t>:</w:t>
      </w:r>
      <w:r w:rsidR="00EE4FC3">
        <w:t xml:space="preserve">  </w:t>
      </w:r>
      <w:r w:rsidRPr="00382917">
        <w:t>Christ</w:t>
      </w:r>
      <w:r w:rsidR="00EE4FC3">
        <w:t xml:space="preserve"> </w:t>
      </w:r>
      <w:r w:rsidRPr="00382917">
        <w:t>is</w:t>
      </w:r>
      <w:r w:rsidR="00EE4FC3">
        <w:t xml:space="preserve"> </w:t>
      </w:r>
      <w:r w:rsidRPr="00382917">
        <w:t>the</w:t>
      </w:r>
      <w:r w:rsidR="00EE4FC3">
        <w:t xml:space="preserve"> </w:t>
      </w:r>
      <w:r w:rsidRPr="00382917">
        <w:t>Son</w:t>
      </w:r>
      <w:r w:rsidR="00EE4FC3">
        <w:t xml:space="preserve"> </w:t>
      </w:r>
      <w:r w:rsidRPr="00382917">
        <w:t>of</w:t>
      </w:r>
      <w:r w:rsidR="00EE4FC3">
        <w:t xml:space="preserve"> </w:t>
      </w:r>
      <w:r w:rsidRPr="00382917">
        <w:t>God</w:t>
      </w:r>
      <w:r w:rsidR="00F267E4">
        <w:t>.</w:t>
      </w:r>
      <w:r w:rsidR="00EE4FC3">
        <w:t xml:space="preserve">  </w:t>
      </w:r>
      <w:r w:rsidRPr="00382917">
        <w:t>Bahá</w:t>
      </w:r>
      <w:r w:rsidR="009C713D" w:rsidRPr="00382917">
        <w:t>’</w:t>
      </w:r>
      <w:r w:rsidRPr="00382917">
        <w:t>u</w:t>
      </w:r>
      <w:r w:rsidR="009C713D" w:rsidRPr="00382917">
        <w:t>’</w:t>
      </w:r>
      <w:r w:rsidRPr="00382917">
        <w:t>lláh</w:t>
      </w:r>
      <w:r w:rsidR="00EE4FC3">
        <w:t xml:space="preserve"> </w:t>
      </w:r>
      <w:r w:rsidRPr="00382917">
        <w:t>is</w:t>
      </w:r>
      <w:r w:rsidR="00EE4FC3">
        <w:t xml:space="preserve"> </w:t>
      </w:r>
      <w:r w:rsidRPr="00382917">
        <w:t>plainly</w:t>
      </w:r>
      <w:r w:rsidR="00EE4FC3">
        <w:t xml:space="preserve"> </w:t>
      </w:r>
      <w:r w:rsidRPr="00382917">
        <w:t>inferior</w:t>
      </w:r>
      <w:r w:rsidR="00F267E4">
        <w:t>.</w:t>
      </w:r>
      <w:r w:rsidR="00EE4FC3">
        <w:t xml:space="preserve">  </w:t>
      </w:r>
      <w:r w:rsidRPr="00382917">
        <w:t>Nothing</w:t>
      </w:r>
      <w:r w:rsidR="00EE4FC3">
        <w:t xml:space="preserve"> </w:t>
      </w:r>
      <w:r w:rsidRPr="00382917">
        <w:t>could</w:t>
      </w:r>
      <w:r w:rsidR="00EE4FC3">
        <w:t xml:space="preserve"> </w:t>
      </w:r>
      <w:r w:rsidRPr="00382917">
        <w:t>equal</w:t>
      </w:r>
      <w:r w:rsidR="00EE4FC3">
        <w:t xml:space="preserve"> </w:t>
      </w:r>
      <w:r w:rsidRPr="00382917">
        <w:t>the</w:t>
      </w:r>
      <w:r w:rsidR="00EE4FC3">
        <w:t xml:space="preserve"> </w:t>
      </w:r>
      <w:r w:rsidRPr="00382917">
        <w:t>station</w:t>
      </w:r>
      <w:r w:rsidR="00EE4FC3">
        <w:t xml:space="preserve"> </w:t>
      </w:r>
      <w:r w:rsidRPr="00382917">
        <w:t>of</w:t>
      </w:r>
      <w:r w:rsidR="00EE4FC3">
        <w:t xml:space="preserve"> </w:t>
      </w:r>
      <w:r w:rsidRPr="00382917">
        <w:t>the</w:t>
      </w:r>
      <w:r w:rsidR="00EE4FC3">
        <w:t xml:space="preserve"> </w:t>
      </w:r>
      <w:r w:rsidRPr="00382917">
        <w:t>Son</w:t>
      </w:r>
      <w:r w:rsidR="00EE4FC3">
        <w:t xml:space="preserve"> </w:t>
      </w:r>
      <w:r w:rsidRPr="00382917">
        <w:t>of</w:t>
      </w:r>
      <w:r w:rsidR="00EE4FC3">
        <w:t xml:space="preserve"> </w:t>
      </w:r>
      <w:r w:rsidRPr="00382917">
        <w:t>God.</w:t>
      </w:r>
    </w:p>
    <w:p w:rsidR="00B568B6" w:rsidRPr="00382917" w:rsidRDefault="00B568B6" w:rsidP="00464C7B">
      <w:pPr>
        <w:pStyle w:val="Text"/>
      </w:pPr>
      <w:r w:rsidRPr="00382917">
        <w:t>George</w:t>
      </w:r>
      <w:r w:rsidR="00EE4FC3">
        <w:t xml:space="preserve"> </w:t>
      </w:r>
      <w:r w:rsidRPr="00382917">
        <w:t>Townshend,</w:t>
      </w:r>
      <w:r w:rsidR="00EE4FC3">
        <w:t xml:space="preserve"> </w:t>
      </w:r>
      <w:r w:rsidRPr="00382917">
        <w:t>sometime</w:t>
      </w:r>
      <w:r w:rsidR="00EE4FC3">
        <w:t xml:space="preserve"> </w:t>
      </w:r>
      <w:r w:rsidRPr="00382917">
        <w:t>Canon</w:t>
      </w:r>
      <w:r w:rsidR="00EE4FC3">
        <w:t xml:space="preserve"> </w:t>
      </w:r>
      <w:r w:rsidRPr="00382917">
        <w:t>of</w:t>
      </w:r>
      <w:r w:rsidR="00EE4FC3">
        <w:t xml:space="preserve"> </w:t>
      </w:r>
      <w:r w:rsidRPr="00382917">
        <w:t>St.</w:t>
      </w:r>
      <w:r w:rsidR="00EE4FC3">
        <w:t xml:space="preserve"> </w:t>
      </w:r>
      <w:r w:rsidRPr="00382917">
        <w:t>Patrick</w:t>
      </w:r>
      <w:r w:rsidR="009C713D" w:rsidRPr="00382917">
        <w:t>’</w:t>
      </w:r>
      <w:r w:rsidRPr="00382917">
        <w:t>s</w:t>
      </w:r>
      <w:r w:rsidR="00EE4FC3">
        <w:t xml:space="preserve"> </w:t>
      </w:r>
      <w:r w:rsidRPr="00382917">
        <w:t>Cathedral,</w:t>
      </w:r>
      <w:r w:rsidR="00EE4FC3">
        <w:t xml:space="preserve"> </w:t>
      </w:r>
      <w:r w:rsidRPr="00382917">
        <w:t>Dublin,</w:t>
      </w:r>
      <w:r w:rsidR="00EE4FC3">
        <w:t xml:space="preserve"> </w:t>
      </w:r>
      <w:r w:rsidRPr="00382917">
        <w:t>late</w:t>
      </w:r>
      <w:r w:rsidR="00EE4FC3">
        <w:t xml:space="preserve"> </w:t>
      </w:r>
      <w:r w:rsidRPr="00382917">
        <w:t>Archdeacon</w:t>
      </w:r>
      <w:r w:rsidR="00EE4FC3">
        <w:t xml:space="preserve"> </w:t>
      </w:r>
      <w:r w:rsidRPr="00382917">
        <w:t>of</w:t>
      </w:r>
      <w:r w:rsidR="00EE4FC3">
        <w:t xml:space="preserve"> </w:t>
      </w:r>
      <w:proofErr w:type="spellStart"/>
      <w:r w:rsidRPr="00382917">
        <w:t>Clonfert</w:t>
      </w:r>
      <w:proofErr w:type="spellEnd"/>
      <w:r w:rsidRPr="00382917">
        <w:t>,</w:t>
      </w:r>
      <w:r w:rsidR="00EE4FC3">
        <w:t xml:space="preserve"> </w:t>
      </w:r>
      <w:r w:rsidRPr="00382917">
        <w:t>wrote</w:t>
      </w:r>
      <w:r w:rsidR="00EE4FC3">
        <w:t xml:space="preserve"> </w:t>
      </w:r>
      <w:r w:rsidRPr="00382917">
        <w:t>in</w:t>
      </w:r>
      <w:r w:rsidR="00EE4FC3">
        <w:t xml:space="preserve"> </w:t>
      </w:r>
      <w:r w:rsidRPr="00382917">
        <w:t>this</w:t>
      </w:r>
      <w:r w:rsidR="00EE4FC3">
        <w:t xml:space="preserve"> </w:t>
      </w:r>
      <w:r w:rsidRPr="00382917">
        <w:t>book,</w:t>
      </w:r>
      <w:r w:rsidR="00EE4FC3">
        <w:t xml:space="preserve"> </w:t>
      </w:r>
      <w:r w:rsidRPr="00464C7B">
        <w:rPr>
          <w:i/>
          <w:iCs/>
        </w:rPr>
        <w:t>Christ</w:t>
      </w:r>
      <w:r w:rsidR="00EE4FC3" w:rsidRPr="00464C7B">
        <w:rPr>
          <w:i/>
          <w:iCs/>
        </w:rPr>
        <w:t xml:space="preserve"> </w:t>
      </w:r>
      <w:r w:rsidRPr="00464C7B">
        <w:rPr>
          <w:i/>
          <w:iCs/>
        </w:rPr>
        <w:t>and</w:t>
      </w:r>
      <w:r w:rsidR="00EE4FC3" w:rsidRPr="00464C7B">
        <w:rPr>
          <w:i/>
          <w:iCs/>
        </w:rPr>
        <w:t xml:space="preserve"> </w:t>
      </w:r>
      <w:r w:rsidRPr="00464C7B">
        <w:rPr>
          <w:i/>
          <w:iCs/>
        </w:rPr>
        <w:t>Bahá</w:t>
      </w:r>
      <w:r w:rsidR="009C713D" w:rsidRPr="00464C7B">
        <w:rPr>
          <w:i/>
          <w:iCs/>
        </w:rPr>
        <w:t>’</w:t>
      </w:r>
      <w:r w:rsidRPr="00464C7B">
        <w:rPr>
          <w:i/>
          <w:iCs/>
        </w:rPr>
        <w:t>u</w:t>
      </w:r>
      <w:r w:rsidR="009C713D" w:rsidRPr="00464C7B">
        <w:rPr>
          <w:i/>
          <w:iCs/>
        </w:rPr>
        <w:t>’</w:t>
      </w:r>
      <w:r w:rsidRPr="00464C7B">
        <w:rPr>
          <w:i/>
          <w:iCs/>
        </w:rPr>
        <w:t>lláh</w:t>
      </w:r>
      <w:r w:rsidRPr="00382917">
        <w:t>:</w:t>
      </w:r>
    </w:p>
    <w:p w:rsidR="00B568B6" w:rsidRPr="00382917" w:rsidRDefault="009C713D" w:rsidP="00464C7B">
      <w:pPr>
        <w:pStyle w:val="Quote"/>
      </w:pPr>
      <w:r w:rsidRPr="00382917">
        <w:t>“</w:t>
      </w:r>
      <w:r w:rsidR="00B568B6" w:rsidRPr="00382917">
        <w:t>It</w:t>
      </w:r>
      <w:r w:rsidR="00EE4FC3">
        <w:t xml:space="preserve"> </w:t>
      </w:r>
      <w:r w:rsidR="00B568B6" w:rsidRPr="00382917">
        <w:t>has</w:t>
      </w:r>
      <w:r w:rsidR="00EE4FC3">
        <w:t xml:space="preserve"> </w:t>
      </w:r>
      <w:r w:rsidR="00B568B6" w:rsidRPr="00382917">
        <w:t>long</w:t>
      </w:r>
      <w:r w:rsidR="00EE4FC3">
        <w:t xml:space="preserve"> </w:t>
      </w:r>
      <w:r w:rsidR="00B568B6" w:rsidRPr="00382917">
        <w:t>been</w:t>
      </w:r>
      <w:r w:rsidR="00EE4FC3">
        <w:t xml:space="preserve"> </w:t>
      </w:r>
      <w:r w:rsidR="00B568B6" w:rsidRPr="00382917">
        <w:t>generally</w:t>
      </w:r>
      <w:r w:rsidR="00EE4FC3">
        <w:t xml:space="preserve"> </w:t>
      </w:r>
      <w:r w:rsidR="00B568B6" w:rsidRPr="00382917">
        <w:t>believed</w:t>
      </w:r>
      <w:r w:rsidR="00EE4FC3">
        <w:t xml:space="preserve"> </w:t>
      </w:r>
      <w:r w:rsidR="00B568B6" w:rsidRPr="00382917">
        <w:t>that</w:t>
      </w:r>
      <w:r w:rsidR="00EE4FC3">
        <w:t xml:space="preserve"> </w:t>
      </w:r>
      <w:r w:rsidR="00B568B6" w:rsidRPr="00382917">
        <w:t>Jesus</w:t>
      </w:r>
      <w:r w:rsidR="00EE4FC3">
        <w:t xml:space="preserve"> </w:t>
      </w:r>
      <w:r w:rsidR="00B568B6" w:rsidRPr="00382917">
        <w:t>Christ</w:t>
      </w:r>
      <w:r w:rsidR="00EE4FC3">
        <w:t xml:space="preserve"> </w:t>
      </w:r>
      <w:r w:rsidR="00B568B6" w:rsidRPr="00382917">
        <w:t>was</w:t>
      </w:r>
      <w:r w:rsidR="00EE4FC3">
        <w:t xml:space="preserve"> </w:t>
      </w:r>
      <w:r w:rsidR="00B568B6" w:rsidRPr="00382917">
        <w:t>a</w:t>
      </w:r>
    </w:p>
    <w:p w:rsidR="00B568B6" w:rsidRPr="00382917" w:rsidRDefault="00B568B6">
      <w:pPr>
        <w:widowControl/>
        <w:kinsoku/>
        <w:overflowPunct/>
        <w:textAlignment w:val="auto"/>
      </w:pPr>
      <w:r w:rsidRPr="00382917">
        <w:br w:type="page"/>
      </w:r>
    </w:p>
    <w:p w:rsidR="00B568B6" w:rsidRPr="00382917" w:rsidRDefault="00B568B6" w:rsidP="00464C7B">
      <w:pPr>
        <w:pStyle w:val="Quotects"/>
      </w:pPr>
      <w:proofErr w:type="gramStart"/>
      <w:r w:rsidRPr="00382917">
        <w:t>unique</w:t>
      </w:r>
      <w:proofErr w:type="gramEnd"/>
      <w:r w:rsidR="00EE4FC3">
        <w:t xml:space="preserve"> </w:t>
      </w:r>
      <w:r w:rsidRPr="00382917">
        <w:t>incarnation</w:t>
      </w:r>
      <w:r w:rsidR="00EE4FC3">
        <w:t xml:space="preserve"> </w:t>
      </w:r>
      <w:r w:rsidRPr="00382917">
        <w:t>of</w:t>
      </w:r>
      <w:r w:rsidR="00EE4FC3">
        <w:t xml:space="preserve"> </w:t>
      </w:r>
      <w:r w:rsidRPr="00382917">
        <w:t>God</w:t>
      </w:r>
      <w:r w:rsidR="00EE4FC3">
        <w:t xml:space="preserve"> </w:t>
      </w:r>
      <w:r w:rsidRPr="00382917">
        <w:t>such</w:t>
      </w:r>
      <w:r w:rsidR="00EE4FC3">
        <w:t xml:space="preserve"> </w:t>
      </w:r>
      <w:r w:rsidRPr="00382917">
        <w:t>as</w:t>
      </w:r>
      <w:r w:rsidR="00EE4FC3">
        <w:t xml:space="preserve"> </w:t>
      </w:r>
      <w:r w:rsidRPr="00382917">
        <w:t>had</w:t>
      </w:r>
      <w:r w:rsidR="00EE4FC3">
        <w:t xml:space="preserve"> </w:t>
      </w:r>
      <w:r w:rsidRPr="00382917">
        <w:t>never</w:t>
      </w:r>
      <w:r w:rsidR="00EE4FC3">
        <w:t xml:space="preserve"> </w:t>
      </w:r>
      <w:r w:rsidRPr="00382917">
        <w:t>before</w:t>
      </w:r>
      <w:r w:rsidR="00EE4FC3">
        <w:t xml:space="preserve"> </w:t>
      </w:r>
      <w:r w:rsidRPr="00382917">
        <w:t>appeared</w:t>
      </w:r>
      <w:r w:rsidR="00EE4FC3">
        <w:t xml:space="preserve"> </w:t>
      </w:r>
      <w:r w:rsidRPr="00382917">
        <w:t>in</w:t>
      </w:r>
      <w:r w:rsidR="00EE4FC3">
        <w:t xml:space="preserve"> </w:t>
      </w:r>
      <w:r w:rsidRPr="00382917">
        <w:t>the</w:t>
      </w:r>
      <w:r w:rsidR="00EE4FC3">
        <w:t xml:space="preserve"> </w:t>
      </w:r>
      <w:r w:rsidRPr="00382917">
        <w:t>religious</w:t>
      </w:r>
      <w:r w:rsidR="00EE4FC3">
        <w:t xml:space="preserve"> </w:t>
      </w:r>
      <w:r w:rsidRPr="00382917">
        <w:t>history</w:t>
      </w:r>
      <w:r w:rsidR="00464C7B">
        <w:t xml:space="preserve"> </w:t>
      </w:r>
      <w:r w:rsidR="00F04416" w:rsidRPr="00382917">
        <w:t>…</w:t>
      </w:r>
      <w:r w:rsidR="00F267E4">
        <w:t>.</w:t>
      </w:r>
      <w:r w:rsidR="00EE4FC3">
        <w:t xml:space="preserve">  </w:t>
      </w:r>
      <w:r w:rsidRPr="00382917">
        <w:t>This</w:t>
      </w:r>
      <w:r w:rsidR="00EE4FC3">
        <w:t xml:space="preserve"> </w:t>
      </w:r>
      <w:r w:rsidRPr="00382917">
        <w:t>tenet</w:t>
      </w:r>
      <w:r w:rsidR="00EE4FC3">
        <w:t xml:space="preserve"> </w:t>
      </w:r>
      <w:r w:rsidRPr="00382917">
        <w:t>made</w:t>
      </w:r>
      <w:r w:rsidR="00EE4FC3">
        <w:t xml:space="preserve"> </w:t>
      </w:r>
      <w:r w:rsidRPr="00382917">
        <w:t>the</w:t>
      </w:r>
      <w:r w:rsidR="00EE4FC3">
        <w:t xml:space="preserve"> </w:t>
      </w:r>
      <w:r w:rsidRPr="00382917">
        <w:t>acceptance</w:t>
      </w:r>
      <w:r w:rsidR="00EE4FC3">
        <w:t xml:space="preserve"> </w:t>
      </w:r>
      <w:r w:rsidRPr="00382917">
        <w:t>of</w:t>
      </w:r>
      <w:r w:rsidR="00EE4FC3">
        <w:t xml:space="preserve"> </w:t>
      </w:r>
      <w:r w:rsidRPr="00382917">
        <w:t>any</w:t>
      </w:r>
      <w:r w:rsidR="00EE4FC3">
        <w:t xml:space="preserve"> </w:t>
      </w:r>
      <w:r w:rsidRPr="00382917">
        <w:t>later</w:t>
      </w:r>
      <w:r w:rsidR="00EE4FC3">
        <w:t xml:space="preserve"> </w:t>
      </w:r>
      <w:r w:rsidRPr="00382917">
        <w:t>Prophet</w:t>
      </w:r>
      <w:r w:rsidR="00EE4FC3">
        <w:t xml:space="preserve"> </w:t>
      </w:r>
      <w:r w:rsidRPr="00382917">
        <w:t>impossible,</w:t>
      </w:r>
      <w:r w:rsidR="00EE4FC3">
        <w:t xml:space="preserve"> </w:t>
      </w:r>
      <w:r w:rsidRPr="00382917">
        <w:t>to</w:t>
      </w:r>
      <w:r w:rsidR="00EE4FC3">
        <w:t xml:space="preserve"> </w:t>
      </w:r>
      <w:r w:rsidRPr="00382917">
        <w:t>a</w:t>
      </w:r>
      <w:r w:rsidR="00EE4FC3">
        <w:t xml:space="preserve"> </w:t>
      </w:r>
      <w:r w:rsidRPr="00382917">
        <w:t>Christian</w:t>
      </w:r>
      <w:r w:rsidR="00F267E4">
        <w:t>.</w:t>
      </w:r>
      <w:r w:rsidR="00EE4FC3">
        <w:t xml:space="preserve">  </w:t>
      </w:r>
      <w:r w:rsidRPr="00382917">
        <w:t>Yet</w:t>
      </w:r>
      <w:r w:rsidR="00EE4FC3">
        <w:t xml:space="preserve"> </w:t>
      </w:r>
      <w:r w:rsidRPr="00382917">
        <w:t>there</w:t>
      </w:r>
      <w:r w:rsidR="00EE4FC3">
        <w:t xml:space="preserve"> </w:t>
      </w:r>
      <w:r w:rsidRPr="00382917">
        <w:t>is</w:t>
      </w:r>
      <w:r w:rsidR="00EE4FC3">
        <w:t xml:space="preserve"> </w:t>
      </w:r>
      <w:r w:rsidRPr="00382917">
        <w:t>nothing</w:t>
      </w:r>
      <w:r w:rsidR="00EE4FC3">
        <w:t xml:space="preserve"> </w:t>
      </w:r>
      <w:r w:rsidRPr="00382917">
        <w:t>in</w:t>
      </w:r>
      <w:r w:rsidR="00EE4FC3">
        <w:t xml:space="preserve"> </w:t>
      </w:r>
      <w:r w:rsidRPr="00382917">
        <w:t>Christ</w:t>
      </w:r>
      <w:r w:rsidR="009C713D" w:rsidRPr="00382917">
        <w:t>’</w:t>
      </w:r>
      <w:r w:rsidRPr="00382917">
        <w:t>s</w:t>
      </w:r>
      <w:r w:rsidR="00EE4FC3">
        <w:t xml:space="preserve"> </w:t>
      </w:r>
      <w:r w:rsidRPr="00382917">
        <w:t>own</w:t>
      </w:r>
      <w:r w:rsidR="00EE4FC3">
        <w:t xml:space="preserve"> </w:t>
      </w:r>
      <w:r w:rsidRPr="00382917">
        <w:t>statements,</w:t>
      </w:r>
      <w:r w:rsidR="00EE4FC3">
        <w:t xml:space="preserve"> </w:t>
      </w:r>
      <w:r w:rsidRPr="00382917">
        <w:t>as</w:t>
      </w:r>
      <w:r w:rsidR="00EE4FC3">
        <w:t xml:space="preserve"> </w:t>
      </w:r>
      <w:r w:rsidRPr="00382917">
        <w:t>recorded</w:t>
      </w:r>
      <w:r w:rsidR="00EE4FC3">
        <w:t xml:space="preserve"> </w:t>
      </w:r>
      <w:r w:rsidRPr="00382917">
        <w:t>in</w:t>
      </w:r>
      <w:r w:rsidR="00EE4FC3">
        <w:t xml:space="preserve"> </w:t>
      </w:r>
      <w:r w:rsidRPr="00382917">
        <w:t>the</w:t>
      </w:r>
      <w:r w:rsidR="00EE4FC3">
        <w:t xml:space="preserve"> </w:t>
      </w:r>
      <w:r w:rsidRPr="00382917">
        <w:t>Gospel,</w:t>
      </w:r>
      <w:r w:rsidR="00EE4FC3">
        <w:t xml:space="preserve"> </w:t>
      </w:r>
      <w:r w:rsidRPr="00382917">
        <w:t>to</w:t>
      </w:r>
      <w:r w:rsidR="00EE4FC3">
        <w:t xml:space="preserve"> </w:t>
      </w:r>
      <w:r w:rsidRPr="00382917">
        <w:t>support</w:t>
      </w:r>
      <w:r w:rsidR="00EE4FC3">
        <w:t xml:space="preserve"> </w:t>
      </w:r>
      <w:r w:rsidRPr="00382917">
        <w:t>this</w:t>
      </w:r>
      <w:r w:rsidR="00EE4FC3">
        <w:t xml:space="preserve"> </w:t>
      </w:r>
      <w:r w:rsidRPr="00382917">
        <w:t>view,</w:t>
      </w:r>
      <w:r w:rsidR="00EE4FC3">
        <w:t xml:space="preserve"> </w:t>
      </w:r>
      <w:r w:rsidRPr="00382917">
        <w:t>and</w:t>
      </w:r>
      <w:r w:rsidR="00EE4FC3">
        <w:t xml:space="preserve"> </w:t>
      </w:r>
      <w:r w:rsidRPr="00382917">
        <w:t>it</w:t>
      </w:r>
      <w:r w:rsidR="00EE4FC3">
        <w:t xml:space="preserve"> </w:t>
      </w:r>
      <w:r w:rsidRPr="00382917">
        <w:t>was</w:t>
      </w:r>
      <w:r w:rsidR="00EE4FC3">
        <w:t xml:space="preserve"> </w:t>
      </w:r>
      <w:r w:rsidRPr="00382917">
        <w:t>not</w:t>
      </w:r>
      <w:r w:rsidR="00EE4FC3">
        <w:t xml:space="preserve"> </w:t>
      </w:r>
      <w:r w:rsidRPr="00382917">
        <w:t>generally</w:t>
      </w:r>
      <w:r w:rsidR="00EE4FC3">
        <w:t xml:space="preserve"> </w:t>
      </w:r>
      <w:r w:rsidRPr="00382917">
        <w:t>held</w:t>
      </w:r>
      <w:r w:rsidR="00EE4FC3">
        <w:t xml:space="preserve"> </w:t>
      </w:r>
      <w:r w:rsidRPr="00382917">
        <w:t>during</w:t>
      </w:r>
      <w:r w:rsidR="00EE4FC3">
        <w:t xml:space="preserve"> </w:t>
      </w:r>
      <w:r w:rsidRPr="00382917">
        <w:t>His</w:t>
      </w:r>
      <w:r w:rsidR="00EE4FC3">
        <w:t xml:space="preserve"> </w:t>
      </w:r>
      <w:r w:rsidRPr="00382917">
        <w:t>lifetime</w:t>
      </w:r>
      <w:r w:rsidR="00464C7B">
        <w:t>.</w:t>
      </w:r>
      <w:r w:rsidR="00464C7B">
        <w:rPr>
          <w:rStyle w:val="FootnoteReference"/>
        </w:rPr>
        <w:footnoteReference w:id="386"/>
      </w:r>
    </w:p>
    <w:p w:rsidR="00B568B6" w:rsidRPr="00382917" w:rsidRDefault="009C713D" w:rsidP="00464C7B">
      <w:pPr>
        <w:pStyle w:val="Quote"/>
      </w:pPr>
      <w:r w:rsidRPr="00382917">
        <w:t>“</w:t>
      </w:r>
      <w:r w:rsidR="00B568B6" w:rsidRPr="00382917">
        <w:t>In</w:t>
      </w:r>
      <w:r w:rsidR="00EE4FC3">
        <w:t xml:space="preserve"> </w:t>
      </w:r>
      <w:r w:rsidR="00B568B6" w:rsidRPr="00382917">
        <w:t>spite</w:t>
      </w:r>
      <w:r w:rsidR="00EE4FC3">
        <w:t xml:space="preserve"> </w:t>
      </w:r>
      <w:r w:rsidR="00B568B6" w:rsidRPr="00382917">
        <w:t>of</w:t>
      </w:r>
      <w:r w:rsidR="00EE4FC3">
        <w:t xml:space="preserve"> </w:t>
      </w:r>
      <w:r w:rsidR="00B568B6" w:rsidRPr="00382917">
        <w:t>Christ</w:t>
      </w:r>
      <w:r w:rsidRPr="00382917">
        <w:t>’</w:t>
      </w:r>
      <w:r w:rsidR="00B568B6" w:rsidRPr="00382917">
        <w:t>s</w:t>
      </w:r>
      <w:r w:rsidR="00EE4FC3">
        <w:t xml:space="preserve"> </w:t>
      </w:r>
      <w:r w:rsidR="00B568B6" w:rsidRPr="00382917">
        <w:t>promise</w:t>
      </w:r>
      <w:r w:rsidR="00EE4FC3">
        <w:t xml:space="preserve"> </w:t>
      </w:r>
      <w:r w:rsidR="00B568B6" w:rsidRPr="00382917">
        <w:t>of</w:t>
      </w:r>
      <w:r w:rsidR="00EE4FC3">
        <w:t xml:space="preserve"> </w:t>
      </w:r>
      <w:r w:rsidR="00B568B6" w:rsidRPr="00382917">
        <w:t>further</w:t>
      </w:r>
      <w:r w:rsidR="00EE4FC3">
        <w:t xml:space="preserve"> </w:t>
      </w:r>
      <w:r w:rsidR="00B568B6" w:rsidRPr="00382917">
        <w:t>revelation</w:t>
      </w:r>
      <w:r w:rsidR="00EE4FC3">
        <w:t xml:space="preserve"> </w:t>
      </w:r>
      <w:r w:rsidR="00B568B6" w:rsidRPr="00382917">
        <w:t>of</w:t>
      </w:r>
      <w:r w:rsidR="00EE4FC3">
        <w:t xml:space="preserve"> </w:t>
      </w:r>
      <w:r w:rsidR="00B568B6" w:rsidRPr="00382917">
        <w:t>Truth,</w:t>
      </w:r>
      <w:r w:rsidR="00EE4FC3">
        <w:t xml:space="preserve"> </w:t>
      </w:r>
      <w:r w:rsidR="00B568B6" w:rsidRPr="00382917">
        <w:t>through</w:t>
      </w:r>
      <w:r w:rsidR="00EE4FC3">
        <w:t xml:space="preserve"> </w:t>
      </w:r>
      <w:r w:rsidR="00B568B6" w:rsidRPr="00382917">
        <w:t>the</w:t>
      </w:r>
      <w:r w:rsidR="00EE4FC3">
        <w:t xml:space="preserve"> </w:t>
      </w:r>
      <w:r w:rsidR="00B568B6" w:rsidRPr="00382917">
        <w:t>Comforter,</w:t>
      </w:r>
      <w:r w:rsidR="00EE4FC3">
        <w:t xml:space="preserve"> </w:t>
      </w:r>
      <w:r w:rsidR="00B568B6" w:rsidRPr="00382917">
        <w:t>through</w:t>
      </w:r>
      <w:r w:rsidR="00EE4FC3">
        <w:t xml:space="preserve"> </w:t>
      </w:r>
      <w:r w:rsidR="00B568B6" w:rsidRPr="00382917">
        <w:t>His</w:t>
      </w:r>
      <w:r w:rsidR="00EE4FC3">
        <w:t xml:space="preserve"> </w:t>
      </w:r>
      <w:r w:rsidR="00B568B6" w:rsidRPr="00382917">
        <w:t>own</w:t>
      </w:r>
      <w:r w:rsidR="00EE4FC3">
        <w:t xml:space="preserve"> </w:t>
      </w:r>
      <w:r w:rsidR="00B568B6" w:rsidRPr="00382917">
        <w:t>return,</w:t>
      </w:r>
      <w:r w:rsidR="00EE4FC3">
        <w:t xml:space="preserve"> </w:t>
      </w:r>
      <w:r w:rsidR="00B568B6" w:rsidRPr="00382917">
        <w:t>through</w:t>
      </w:r>
      <w:r w:rsidR="00EE4FC3">
        <w:t xml:space="preserve"> </w:t>
      </w:r>
      <w:r w:rsidR="00B568B6" w:rsidRPr="00382917">
        <w:t>the</w:t>
      </w:r>
      <w:r w:rsidR="00EE4FC3">
        <w:t xml:space="preserve"> </w:t>
      </w:r>
      <w:r w:rsidR="00B568B6" w:rsidRPr="00382917">
        <w:t>Spirit</w:t>
      </w:r>
      <w:r w:rsidR="00EE4FC3">
        <w:t xml:space="preserve"> </w:t>
      </w:r>
      <w:r w:rsidR="00B568B6" w:rsidRPr="00382917">
        <w:t>of</w:t>
      </w:r>
      <w:r w:rsidR="00EE4FC3">
        <w:t xml:space="preserve"> </w:t>
      </w:r>
      <w:r w:rsidR="00B568B6" w:rsidRPr="00382917">
        <w:t>Truth,</w:t>
      </w:r>
      <w:r w:rsidR="00EE4FC3">
        <w:t xml:space="preserve"> </w:t>
      </w:r>
      <w:r w:rsidR="00B568B6" w:rsidRPr="00382917">
        <w:t>the</w:t>
      </w:r>
      <w:r w:rsidR="00EE4FC3">
        <w:t xml:space="preserve"> </w:t>
      </w:r>
      <w:r w:rsidR="00B568B6" w:rsidRPr="00382917">
        <w:t>Christian</w:t>
      </w:r>
      <w:r w:rsidR="00EE4FC3">
        <w:t xml:space="preserve"> </w:t>
      </w:r>
      <w:r w:rsidR="00B568B6" w:rsidRPr="00382917">
        <w:t>church</w:t>
      </w:r>
      <w:r w:rsidR="00EE4FC3">
        <w:t xml:space="preserve"> </w:t>
      </w:r>
      <w:r w:rsidR="00B568B6" w:rsidRPr="00382917">
        <w:t>regards</w:t>
      </w:r>
      <w:r w:rsidR="00EE4FC3">
        <w:t xml:space="preserve"> </w:t>
      </w:r>
      <w:r w:rsidR="00B568B6" w:rsidRPr="00382917">
        <w:t>His</w:t>
      </w:r>
      <w:r w:rsidR="00EE4FC3">
        <w:t xml:space="preserve"> </w:t>
      </w:r>
      <w:r w:rsidR="00B568B6" w:rsidRPr="00382917">
        <w:t>revelation</w:t>
      </w:r>
      <w:r w:rsidR="00EE4FC3">
        <w:t xml:space="preserve"> </w:t>
      </w:r>
      <w:r w:rsidR="00B568B6" w:rsidRPr="00382917">
        <w:t>as</w:t>
      </w:r>
      <w:r w:rsidR="00EE4FC3">
        <w:t xml:space="preserve"> </w:t>
      </w:r>
      <w:r w:rsidR="00B568B6" w:rsidRPr="00382917">
        <w:t>final,</w:t>
      </w:r>
      <w:r w:rsidR="00EE4FC3">
        <w:t xml:space="preserve"> </w:t>
      </w:r>
      <w:r w:rsidR="00B568B6" w:rsidRPr="00382917">
        <w:t>and</w:t>
      </w:r>
      <w:r w:rsidR="00EE4FC3">
        <w:t xml:space="preserve"> </w:t>
      </w:r>
      <w:r w:rsidR="00B568B6" w:rsidRPr="00382917">
        <w:t>itself</w:t>
      </w:r>
      <w:r w:rsidR="00EE4FC3">
        <w:t xml:space="preserve"> </w:t>
      </w:r>
      <w:r w:rsidR="00B568B6" w:rsidRPr="00382917">
        <w:t>as</w:t>
      </w:r>
      <w:r w:rsidR="00EE4FC3">
        <w:t xml:space="preserve"> </w:t>
      </w:r>
      <w:r w:rsidR="00B568B6" w:rsidRPr="00382917">
        <w:t>the</w:t>
      </w:r>
      <w:r w:rsidR="00EE4FC3">
        <w:t xml:space="preserve"> </w:t>
      </w:r>
      <w:r w:rsidR="00B568B6" w:rsidRPr="00382917">
        <w:t>sole</w:t>
      </w:r>
      <w:r w:rsidR="00EE4FC3">
        <w:t xml:space="preserve"> </w:t>
      </w:r>
      <w:r w:rsidR="00B568B6" w:rsidRPr="00382917">
        <w:t>trustee</w:t>
      </w:r>
      <w:r w:rsidR="00EE4FC3">
        <w:t xml:space="preserve"> </w:t>
      </w:r>
      <w:r w:rsidR="00B568B6" w:rsidRPr="00382917">
        <w:t>of</w:t>
      </w:r>
      <w:r w:rsidR="00EE4FC3">
        <w:t xml:space="preserve"> </w:t>
      </w:r>
      <w:r w:rsidR="00B568B6" w:rsidRPr="00382917">
        <w:t>this</w:t>
      </w:r>
      <w:r w:rsidR="00EE4FC3">
        <w:t xml:space="preserve"> </w:t>
      </w:r>
      <w:r w:rsidR="00B568B6" w:rsidRPr="00382917">
        <w:t>religion</w:t>
      </w:r>
      <w:r w:rsidR="00F267E4">
        <w:t>.</w:t>
      </w:r>
      <w:r w:rsidR="00EE4FC3">
        <w:t xml:space="preserve">  </w:t>
      </w:r>
      <w:r w:rsidR="00B568B6" w:rsidRPr="00382917">
        <w:t>There</w:t>
      </w:r>
      <w:r w:rsidR="00EE4FC3">
        <w:t xml:space="preserve"> </w:t>
      </w:r>
      <w:r w:rsidR="00B568B6" w:rsidRPr="00382917">
        <w:t>is</w:t>
      </w:r>
      <w:r w:rsidR="00EE4FC3">
        <w:t xml:space="preserve"> </w:t>
      </w:r>
      <w:r w:rsidR="00B568B6" w:rsidRPr="00382917">
        <w:t>no</w:t>
      </w:r>
      <w:r w:rsidR="00EE4FC3">
        <w:t xml:space="preserve"> </w:t>
      </w:r>
      <w:r w:rsidR="00B568B6" w:rsidRPr="00382917">
        <w:t>room</w:t>
      </w:r>
      <w:r w:rsidR="00EE4FC3">
        <w:t xml:space="preserve"> </w:t>
      </w:r>
      <w:r w:rsidR="00B568B6" w:rsidRPr="00382917">
        <w:t>for</w:t>
      </w:r>
      <w:r w:rsidR="00EE4FC3">
        <w:t xml:space="preserve"> </w:t>
      </w:r>
      <w:r w:rsidR="00B568B6" w:rsidRPr="00382917">
        <w:t>the</w:t>
      </w:r>
      <w:r w:rsidR="00EE4FC3">
        <w:t xml:space="preserve"> </w:t>
      </w:r>
      <w:r w:rsidR="00B568B6" w:rsidRPr="00382917">
        <w:t>Supreme</w:t>
      </w:r>
      <w:r w:rsidR="00EE4FC3">
        <w:t xml:space="preserve"> </w:t>
      </w:r>
      <w:r w:rsidR="00B568B6" w:rsidRPr="00382917">
        <w:t>Redeemer</w:t>
      </w:r>
      <w:r w:rsidR="00EE4FC3">
        <w:t xml:space="preserve"> </w:t>
      </w:r>
      <w:r w:rsidR="00B568B6" w:rsidRPr="00382917">
        <w:t>of</w:t>
      </w:r>
      <w:r w:rsidR="00EE4FC3">
        <w:t xml:space="preserve"> </w:t>
      </w:r>
      <w:r w:rsidR="00B568B6" w:rsidRPr="00382917">
        <w:t>the</w:t>
      </w:r>
      <w:r w:rsidR="00EE4FC3">
        <w:t xml:space="preserve"> </w:t>
      </w:r>
      <w:r w:rsidR="00B568B6" w:rsidRPr="00382917">
        <w:t>Bible</w:t>
      </w:r>
      <w:r w:rsidR="00EE4FC3">
        <w:t xml:space="preserve"> </w:t>
      </w:r>
      <w:r w:rsidR="00B568B6" w:rsidRPr="00382917">
        <w:t>to</w:t>
      </w:r>
      <w:r w:rsidR="00EE4FC3">
        <w:t xml:space="preserve"> </w:t>
      </w:r>
      <w:r w:rsidR="00B568B6" w:rsidRPr="00382917">
        <w:t>bring</w:t>
      </w:r>
      <w:r w:rsidR="00EE4FC3">
        <w:t xml:space="preserve"> </w:t>
      </w:r>
      <w:r w:rsidR="00B568B6" w:rsidRPr="00382917">
        <w:t>in</w:t>
      </w:r>
      <w:r w:rsidR="00EE4FC3">
        <w:t xml:space="preserve"> </w:t>
      </w:r>
      <w:r w:rsidR="00B568B6" w:rsidRPr="00382917">
        <w:t>great</w:t>
      </w:r>
      <w:r w:rsidR="00EE4FC3">
        <w:t xml:space="preserve"> </w:t>
      </w:r>
      <w:r w:rsidR="00B568B6" w:rsidRPr="00382917">
        <w:t>changes</w:t>
      </w:r>
      <w:r w:rsidR="00EE4FC3">
        <w:t xml:space="preserve"> </w:t>
      </w:r>
      <w:r w:rsidR="00B568B6" w:rsidRPr="00382917">
        <w:t>for</w:t>
      </w:r>
      <w:r w:rsidR="00EE4FC3">
        <w:t xml:space="preserve"> </w:t>
      </w:r>
      <w:r w:rsidR="00B568B6" w:rsidRPr="00382917">
        <w:t>the</w:t>
      </w:r>
      <w:r w:rsidR="00EE4FC3">
        <w:t xml:space="preserve"> </w:t>
      </w:r>
      <w:r w:rsidR="00B568B6" w:rsidRPr="00382917">
        <w:t>establishment</w:t>
      </w:r>
      <w:r w:rsidR="00EE4FC3">
        <w:t xml:space="preserve"> </w:t>
      </w:r>
      <w:r w:rsidR="00B568B6" w:rsidRPr="00382917">
        <w:t>of</w:t>
      </w:r>
      <w:r w:rsidR="00EE4FC3">
        <w:t xml:space="preserve"> </w:t>
      </w:r>
      <w:r w:rsidR="00B568B6" w:rsidRPr="00382917">
        <w:t>the</w:t>
      </w:r>
      <w:r w:rsidR="00EE4FC3">
        <w:t xml:space="preserve"> </w:t>
      </w:r>
      <w:r w:rsidR="00B568B6" w:rsidRPr="00382917">
        <w:t>Kingdom</w:t>
      </w:r>
      <w:r w:rsidR="00EE4FC3">
        <w:t xml:space="preserve"> </w:t>
      </w:r>
      <w:r w:rsidR="00B568B6" w:rsidRPr="00382917">
        <w:t>of</w:t>
      </w:r>
      <w:r w:rsidR="00EE4FC3">
        <w:t xml:space="preserve"> </w:t>
      </w:r>
      <w:r w:rsidR="00B568B6" w:rsidRPr="00382917">
        <w:t>God.</w:t>
      </w:r>
      <w:r w:rsidR="00464C7B">
        <w:rPr>
          <w:rStyle w:val="FootnoteReference"/>
        </w:rPr>
        <w:footnoteReference w:id="387"/>
      </w:r>
    </w:p>
    <w:p w:rsidR="00B568B6" w:rsidRPr="00382917" w:rsidRDefault="009C713D" w:rsidP="00464C7B">
      <w:pPr>
        <w:pStyle w:val="Quote"/>
      </w:pPr>
      <w:r w:rsidRPr="00382917">
        <w:t>“</w:t>
      </w:r>
      <w:r w:rsidR="00B568B6" w:rsidRPr="00382917">
        <w:t>Well</w:t>
      </w:r>
      <w:r w:rsidR="00EE4FC3">
        <w:t xml:space="preserve"> </w:t>
      </w:r>
      <w:r w:rsidR="00B568B6" w:rsidRPr="00382917">
        <w:t>might</w:t>
      </w:r>
      <w:r w:rsidR="00EE4FC3">
        <w:t xml:space="preserve"> </w:t>
      </w:r>
      <w:r w:rsidR="00B568B6" w:rsidRPr="00382917">
        <w:t>Christ</w:t>
      </w:r>
      <w:r w:rsidR="00EE4FC3">
        <w:t xml:space="preserve"> </w:t>
      </w:r>
      <w:r w:rsidR="00B568B6" w:rsidRPr="00382917">
        <w:t>warn</w:t>
      </w:r>
      <w:r w:rsidR="00EE4FC3">
        <w:t xml:space="preserve"> </w:t>
      </w:r>
      <w:r w:rsidR="00B568B6" w:rsidRPr="00382917">
        <w:t>His</w:t>
      </w:r>
      <w:r w:rsidR="00EE4FC3">
        <w:t xml:space="preserve"> </w:t>
      </w:r>
      <w:r w:rsidR="00B568B6" w:rsidRPr="00382917">
        <w:t>followers</w:t>
      </w:r>
      <w:r w:rsidR="00EE4FC3">
        <w:t xml:space="preserve"> </w:t>
      </w:r>
      <w:r w:rsidR="00B568B6" w:rsidRPr="00382917">
        <w:t>that</w:t>
      </w:r>
      <w:r w:rsidR="00EE4FC3">
        <w:t xml:space="preserve"> </w:t>
      </w:r>
      <w:r w:rsidR="00B568B6" w:rsidRPr="00382917">
        <w:t>false</w:t>
      </w:r>
      <w:r w:rsidR="00EE4FC3">
        <w:t xml:space="preserve"> </w:t>
      </w:r>
      <w:r w:rsidR="00B568B6" w:rsidRPr="00382917">
        <w:t>prophets</w:t>
      </w:r>
      <w:r w:rsidR="00EE4FC3">
        <w:t xml:space="preserve"> </w:t>
      </w:r>
      <w:r w:rsidR="00B568B6" w:rsidRPr="00382917">
        <w:t>would</w:t>
      </w:r>
      <w:r w:rsidR="00EE4FC3">
        <w:t xml:space="preserve"> </w:t>
      </w:r>
      <w:r w:rsidR="00B568B6" w:rsidRPr="00382917">
        <w:t>arise</w:t>
      </w:r>
      <w:r w:rsidR="00EE4FC3">
        <w:t xml:space="preserve"> </w:t>
      </w:r>
      <w:r w:rsidR="00B568B6" w:rsidRPr="00382917">
        <w:t>and</w:t>
      </w:r>
      <w:r w:rsidR="00EE4FC3">
        <w:t xml:space="preserve"> </w:t>
      </w:r>
      <w:r w:rsidR="00B568B6" w:rsidRPr="00382917">
        <w:t>misinterpret</w:t>
      </w:r>
      <w:r w:rsidR="00EE4FC3">
        <w:t xml:space="preserve"> </w:t>
      </w:r>
      <w:r w:rsidR="00B568B6" w:rsidRPr="00382917">
        <w:t>His</w:t>
      </w:r>
      <w:r w:rsidR="00EE4FC3">
        <w:t xml:space="preserve"> </w:t>
      </w:r>
      <w:r w:rsidR="00B568B6" w:rsidRPr="00382917">
        <w:t>teachings</w:t>
      </w:r>
      <w:r w:rsidR="00EE4FC3">
        <w:t xml:space="preserve"> </w:t>
      </w:r>
      <w:r w:rsidR="00B568B6" w:rsidRPr="00382917">
        <w:t>so</w:t>
      </w:r>
      <w:r w:rsidR="00EE4FC3">
        <w:t xml:space="preserve"> </w:t>
      </w:r>
      <w:r w:rsidR="00B568B6" w:rsidRPr="00382917">
        <w:t>as</w:t>
      </w:r>
      <w:r w:rsidR="00EE4FC3">
        <w:t xml:space="preserve"> </w:t>
      </w:r>
      <w:r w:rsidR="00B568B6" w:rsidRPr="00382917">
        <w:t>to</w:t>
      </w:r>
      <w:r w:rsidR="00EE4FC3">
        <w:t xml:space="preserve"> </w:t>
      </w:r>
      <w:r w:rsidR="00B568B6" w:rsidRPr="00382917">
        <w:t>delude</w:t>
      </w:r>
      <w:r w:rsidR="00EE4FC3">
        <w:t xml:space="preserve"> </w:t>
      </w:r>
      <w:r w:rsidR="00B568B6" w:rsidRPr="00382917">
        <w:t>even</w:t>
      </w:r>
      <w:r w:rsidR="00EE4FC3">
        <w:t xml:space="preserve"> </w:t>
      </w:r>
      <w:r w:rsidR="00B568B6" w:rsidRPr="00382917">
        <w:t>the</w:t>
      </w:r>
      <w:r w:rsidR="00EE4FC3">
        <w:t xml:space="preserve"> </w:t>
      </w:r>
      <w:r w:rsidR="00B568B6" w:rsidRPr="00382917">
        <w:t>most</w:t>
      </w:r>
      <w:r w:rsidR="00EE4FC3">
        <w:t xml:space="preserve"> </w:t>
      </w:r>
      <w:r w:rsidR="00B568B6" w:rsidRPr="00382917">
        <w:t>earnest</w:t>
      </w:r>
      <w:r w:rsidR="00EE4FC3">
        <w:t xml:space="preserve"> </w:t>
      </w:r>
      <w:r w:rsidR="00B568B6" w:rsidRPr="00382917">
        <w:t>and</w:t>
      </w:r>
      <w:r w:rsidR="00EE4FC3">
        <w:t xml:space="preserve"> </w:t>
      </w:r>
      <w:r w:rsidR="00B568B6" w:rsidRPr="00382917">
        <w:t>intelligent</w:t>
      </w:r>
      <w:r w:rsidR="00EE4FC3">
        <w:t xml:space="preserve"> </w:t>
      </w:r>
      <w:r w:rsidR="00B568B6" w:rsidRPr="00382917">
        <w:t>of</w:t>
      </w:r>
      <w:r w:rsidR="00EE4FC3">
        <w:t xml:space="preserve"> </w:t>
      </w:r>
      <w:r w:rsidR="00B568B6" w:rsidRPr="00382917">
        <w:t>His</w:t>
      </w:r>
      <w:r w:rsidR="00EE4FC3">
        <w:t xml:space="preserve"> </w:t>
      </w:r>
      <w:r w:rsidR="00B568B6" w:rsidRPr="00382917">
        <w:t>believers</w:t>
      </w:r>
      <w:r w:rsidR="00C03C91">
        <w:t>:</w:t>
      </w:r>
      <w:r w:rsidR="00EE4FC3">
        <w:t xml:space="preserve">  </w:t>
      </w:r>
      <w:r w:rsidR="00B568B6" w:rsidRPr="00382917">
        <w:t>from</w:t>
      </w:r>
      <w:r w:rsidR="00EE4FC3">
        <w:t xml:space="preserve"> </w:t>
      </w:r>
      <w:r w:rsidR="00B568B6" w:rsidRPr="00382917">
        <w:t>early</w:t>
      </w:r>
      <w:r w:rsidR="00EE4FC3">
        <w:t xml:space="preserve"> </w:t>
      </w:r>
      <w:r w:rsidR="00B568B6" w:rsidRPr="00382917">
        <w:t>times</w:t>
      </w:r>
      <w:r w:rsidR="00EE4FC3">
        <w:t xml:space="preserve"> </w:t>
      </w:r>
      <w:r w:rsidR="00B568B6" w:rsidRPr="00382917">
        <w:t>the</w:t>
      </w:r>
      <w:r w:rsidR="00EE4FC3">
        <w:t xml:space="preserve"> </w:t>
      </w:r>
      <w:r w:rsidR="00B568B6" w:rsidRPr="00382917">
        <w:t>Christians</w:t>
      </w:r>
      <w:r w:rsidR="00EE4FC3">
        <w:t xml:space="preserve"> </w:t>
      </w:r>
      <w:r w:rsidR="00B568B6" w:rsidRPr="00382917">
        <w:t>have</w:t>
      </w:r>
      <w:r w:rsidR="00EE4FC3">
        <w:t xml:space="preserve"> </w:t>
      </w:r>
      <w:r w:rsidR="00B568B6" w:rsidRPr="00382917">
        <w:t>disputed</w:t>
      </w:r>
      <w:r w:rsidR="00EE4FC3">
        <w:t xml:space="preserve"> </w:t>
      </w:r>
      <w:r w:rsidR="00B568B6" w:rsidRPr="00382917">
        <w:t>about</w:t>
      </w:r>
      <w:r w:rsidR="00EE4FC3">
        <w:t xml:space="preserve"> </w:t>
      </w:r>
      <w:r w:rsidR="00B568B6" w:rsidRPr="00382917">
        <w:t>Christian</w:t>
      </w:r>
      <w:r w:rsidR="00EE4FC3">
        <w:t xml:space="preserve"> </w:t>
      </w:r>
      <w:r w:rsidR="00B568B6" w:rsidRPr="00382917">
        <w:t>truth</w:t>
      </w:r>
      <w:r w:rsidR="00EE4FC3">
        <w:t xml:space="preserve"> </w:t>
      </w:r>
      <w:r w:rsidR="00B568B6" w:rsidRPr="00382917">
        <w:t>in</w:t>
      </w:r>
      <w:r w:rsidR="00EE4FC3">
        <w:t xml:space="preserve"> </w:t>
      </w:r>
      <w:r w:rsidR="00B568B6" w:rsidRPr="00382917">
        <w:t>councils,</w:t>
      </w:r>
      <w:r w:rsidR="00EE4FC3">
        <w:t xml:space="preserve"> </w:t>
      </w:r>
      <w:r w:rsidR="00B568B6" w:rsidRPr="00382917">
        <w:t>in</w:t>
      </w:r>
      <w:r w:rsidR="00EE4FC3">
        <w:t xml:space="preserve"> </w:t>
      </w:r>
      <w:r w:rsidR="00B568B6" w:rsidRPr="00382917">
        <w:t>sects,</w:t>
      </w:r>
      <w:r w:rsidR="00EE4FC3">
        <w:t xml:space="preserve"> </w:t>
      </w:r>
      <w:r w:rsidR="00B568B6" w:rsidRPr="00382917">
        <w:t>in</w:t>
      </w:r>
      <w:r w:rsidR="00EE4FC3">
        <w:t xml:space="preserve"> </w:t>
      </w:r>
      <w:proofErr w:type="gramStart"/>
      <w:r w:rsidR="00B568B6" w:rsidRPr="00382917">
        <w:t>wars.</w:t>
      </w:r>
      <w:proofErr w:type="gramEnd"/>
      <w:r w:rsidR="00464C7B">
        <w:t>”</w:t>
      </w:r>
      <w:r w:rsidR="00464C7B">
        <w:rPr>
          <w:rStyle w:val="FootnoteReference"/>
        </w:rPr>
        <w:footnoteReference w:id="388"/>
      </w:r>
    </w:p>
    <w:p w:rsidR="00B568B6" w:rsidRPr="00382917" w:rsidRDefault="00B568B6" w:rsidP="00B568B6">
      <w:pPr>
        <w:pStyle w:val="Text"/>
      </w:pPr>
      <w:r w:rsidRPr="00382917">
        <w:t>Will</w:t>
      </w:r>
      <w:r w:rsidR="00EE4FC3">
        <w:t xml:space="preserve"> </w:t>
      </w:r>
      <w:r w:rsidRPr="00382917">
        <w:t>Durant</w:t>
      </w:r>
      <w:r w:rsidR="00EE4FC3">
        <w:t xml:space="preserve"> </w:t>
      </w:r>
      <w:r w:rsidRPr="00382917">
        <w:t>in</w:t>
      </w:r>
      <w:r w:rsidR="00EE4FC3">
        <w:t xml:space="preserve"> </w:t>
      </w:r>
      <w:r w:rsidRPr="00464C7B">
        <w:rPr>
          <w:i/>
          <w:iCs/>
        </w:rPr>
        <w:t>The</w:t>
      </w:r>
      <w:r w:rsidR="00EE4FC3" w:rsidRPr="00464C7B">
        <w:rPr>
          <w:i/>
          <w:iCs/>
        </w:rPr>
        <w:t xml:space="preserve"> </w:t>
      </w:r>
      <w:r w:rsidRPr="00464C7B">
        <w:rPr>
          <w:i/>
          <w:iCs/>
        </w:rPr>
        <w:t>Age</w:t>
      </w:r>
      <w:r w:rsidR="00EE4FC3" w:rsidRPr="00464C7B">
        <w:rPr>
          <w:i/>
          <w:iCs/>
        </w:rPr>
        <w:t xml:space="preserve"> </w:t>
      </w:r>
      <w:r w:rsidRPr="00464C7B">
        <w:rPr>
          <w:i/>
          <w:iCs/>
        </w:rPr>
        <w:t>of</w:t>
      </w:r>
      <w:r w:rsidR="00EE4FC3" w:rsidRPr="00464C7B">
        <w:rPr>
          <w:i/>
          <w:iCs/>
        </w:rPr>
        <w:t xml:space="preserve"> </w:t>
      </w:r>
      <w:r w:rsidRPr="00464C7B">
        <w:rPr>
          <w:i/>
          <w:iCs/>
        </w:rPr>
        <w:t>Faith</w:t>
      </w:r>
      <w:r w:rsidR="00EE4FC3">
        <w:t xml:space="preserve"> </w:t>
      </w:r>
      <w:r w:rsidRPr="00382917">
        <w:t>states</w:t>
      </w:r>
      <w:r w:rsidR="00EE4FC3">
        <w:t xml:space="preserve"> </w:t>
      </w:r>
      <w:r w:rsidRPr="00382917">
        <w:t>that</w:t>
      </w:r>
      <w:r w:rsidR="00EE4FC3">
        <w:t xml:space="preserve"> </w:t>
      </w:r>
      <w:r w:rsidRPr="00382917">
        <w:t>more</w:t>
      </w:r>
      <w:r w:rsidR="00EE4FC3">
        <w:t xml:space="preserve"> </w:t>
      </w:r>
      <w:r w:rsidRPr="00382917">
        <w:t>Christians</w:t>
      </w:r>
      <w:r w:rsidR="00EE4FC3">
        <w:t xml:space="preserve"> </w:t>
      </w:r>
      <w:r w:rsidRPr="00382917">
        <w:t>were</w:t>
      </w:r>
      <w:r w:rsidR="00EE4FC3">
        <w:t xml:space="preserve"> </w:t>
      </w:r>
      <w:r w:rsidRPr="00382917">
        <w:t>killed</w:t>
      </w:r>
      <w:r w:rsidR="00EE4FC3">
        <w:t xml:space="preserve"> </w:t>
      </w:r>
      <w:r w:rsidRPr="00382917">
        <w:t>by</w:t>
      </w:r>
      <w:r w:rsidR="00EE4FC3">
        <w:t xml:space="preserve"> </w:t>
      </w:r>
      <w:r w:rsidRPr="00382917">
        <w:t>their</w:t>
      </w:r>
      <w:r w:rsidR="00EE4FC3">
        <w:t xml:space="preserve"> </w:t>
      </w:r>
      <w:r w:rsidRPr="00382917">
        <w:t>fellow</w:t>
      </w:r>
      <w:r w:rsidR="00EE4FC3">
        <w:t xml:space="preserve"> </w:t>
      </w:r>
      <w:r w:rsidRPr="00382917">
        <w:t>Christians</w:t>
      </w:r>
      <w:r w:rsidR="00EE4FC3">
        <w:t xml:space="preserve"> </w:t>
      </w:r>
      <w:r w:rsidRPr="00382917">
        <w:t>during</w:t>
      </w:r>
      <w:r w:rsidR="00EE4FC3">
        <w:t xml:space="preserve"> </w:t>
      </w:r>
      <w:r w:rsidRPr="00382917">
        <w:t>the</w:t>
      </w:r>
      <w:r w:rsidR="00EE4FC3">
        <w:t xml:space="preserve"> </w:t>
      </w:r>
      <w:r w:rsidRPr="00382917">
        <w:t>dispute</w:t>
      </w:r>
      <w:r w:rsidR="00EE4FC3">
        <w:t xml:space="preserve"> </w:t>
      </w:r>
      <w:r w:rsidRPr="00382917">
        <w:t>over</w:t>
      </w:r>
      <w:r w:rsidR="00EE4FC3">
        <w:t xml:space="preserve"> </w:t>
      </w:r>
      <w:r w:rsidRPr="00382917">
        <w:t>the</w:t>
      </w:r>
      <w:r w:rsidR="00EE4FC3">
        <w:t xml:space="preserve"> </w:t>
      </w:r>
      <w:r w:rsidRPr="00382917">
        <w:t>meaning</w:t>
      </w:r>
      <w:r w:rsidR="00EE4FC3">
        <w:t xml:space="preserve"> </w:t>
      </w:r>
      <w:r w:rsidRPr="00382917">
        <w:t>of</w:t>
      </w:r>
      <w:r w:rsidR="00EE4FC3">
        <w:t xml:space="preserve"> </w:t>
      </w:r>
      <w:r w:rsidRPr="00382917">
        <w:t>the</w:t>
      </w:r>
      <w:r w:rsidR="00EE4FC3">
        <w:t xml:space="preserve"> </w:t>
      </w:r>
      <w:r w:rsidRPr="00382917">
        <w:t>Trinity</w:t>
      </w:r>
      <w:r w:rsidR="00EE4FC3">
        <w:t xml:space="preserve"> </w:t>
      </w:r>
      <w:r w:rsidRPr="00382917">
        <w:t>than</w:t>
      </w:r>
      <w:r w:rsidR="00EE4FC3">
        <w:t xml:space="preserve"> </w:t>
      </w:r>
      <w:r w:rsidRPr="00382917">
        <w:t>were</w:t>
      </w:r>
      <w:r w:rsidR="00EE4FC3">
        <w:t xml:space="preserve"> </w:t>
      </w:r>
      <w:r w:rsidRPr="00382917">
        <w:t>slain</w:t>
      </w:r>
      <w:r w:rsidR="00EE4FC3">
        <w:t xml:space="preserve"> </w:t>
      </w:r>
      <w:r w:rsidRPr="00382917">
        <w:t>during</w:t>
      </w:r>
      <w:r w:rsidR="00EE4FC3">
        <w:t xml:space="preserve"> </w:t>
      </w:r>
      <w:r w:rsidRPr="00382917">
        <w:t>all</w:t>
      </w:r>
      <w:r w:rsidR="00EE4FC3">
        <w:t xml:space="preserve"> </w:t>
      </w:r>
      <w:r w:rsidRPr="00382917">
        <w:t>the</w:t>
      </w:r>
      <w:r w:rsidR="00EE4FC3">
        <w:t xml:space="preserve"> </w:t>
      </w:r>
      <w:r w:rsidRPr="00382917">
        <w:t>martyrdoms</w:t>
      </w:r>
      <w:r w:rsidR="00EE4FC3">
        <w:t xml:space="preserve"> </w:t>
      </w:r>
      <w:r w:rsidRPr="00382917">
        <w:t>of</w:t>
      </w:r>
      <w:r w:rsidR="00EE4FC3">
        <w:t xml:space="preserve"> </w:t>
      </w:r>
      <w:r w:rsidRPr="00382917">
        <w:t>Pagan</w:t>
      </w:r>
      <w:r w:rsidR="00EE4FC3">
        <w:t xml:space="preserve"> </w:t>
      </w:r>
      <w:r w:rsidRPr="00382917">
        <w:t>Rome.</w:t>
      </w:r>
    </w:p>
    <w:p w:rsidR="00B568B6" w:rsidRPr="00382917" w:rsidRDefault="00B568B6" w:rsidP="00B568B6">
      <w:pPr>
        <w:pStyle w:val="Text"/>
      </w:pPr>
      <w:r w:rsidRPr="00382917">
        <w:t>Bahá</w:t>
      </w:r>
      <w:r w:rsidR="009C713D" w:rsidRPr="00382917">
        <w:t>’</w:t>
      </w:r>
      <w:r w:rsidRPr="00382917">
        <w:t>u</w:t>
      </w:r>
      <w:r w:rsidR="009C713D" w:rsidRPr="00382917">
        <w:t>’</w:t>
      </w:r>
      <w:r w:rsidRPr="00382917">
        <w:t>lláh</w:t>
      </w:r>
      <w:r w:rsidR="00EE4FC3">
        <w:t xml:space="preserve"> </w:t>
      </w:r>
      <w:r w:rsidRPr="00382917">
        <w:t>pointed</w:t>
      </w:r>
      <w:r w:rsidR="00EE4FC3">
        <w:t xml:space="preserve"> </w:t>
      </w:r>
      <w:r w:rsidRPr="00382917">
        <w:t>to</w:t>
      </w:r>
      <w:r w:rsidR="00EE4FC3">
        <w:t xml:space="preserve"> </w:t>
      </w:r>
      <w:r w:rsidRPr="00382917">
        <w:t>the</w:t>
      </w:r>
      <w:r w:rsidR="00EE4FC3">
        <w:t xml:space="preserve"> </w:t>
      </w:r>
      <w:r w:rsidRPr="00382917">
        <w:t>words</w:t>
      </w:r>
      <w:r w:rsidR="00EE4FC3">
        <w:t xml:space="preserve"> </w:t>
      </w:r>
      <w:r w:rsidRPr="00382917">
        <w:t>of</w:t>
      </w:r>
      <w:r w:rsidR="00EE4FC3">
        <w:t xml:space="preserve"> </w:t>
      </w:r>
      <w:r w:rsidRPr="00382917">
        <w:t>Christ:</w:t>
      </w:r>
    </w:p>
    <w:p w:rsidR="00B568B6" w:rsidRPr="00382917" w:rsidRDefault="009C713D" w:rsidP="00AE0F8C">
      <w:pPr>
        <w:pStyle w:val="Quote"/>
      </w:pPr>
      <w:r w:rsidRPr="00382917">
        <w:t>“</w:t>
      </w:r>
      <w:r w:rsidR="00B568B6" w:rsidRPr="00382917">
        <w:t>For</w:t>
      </w:r>
      <w:r w:rsidR="00EE4FC3">
        <w:t xml:space="preserve"> </w:t>
      </w:r>
      <w:r w:rsidR="00B568B6" w:rsidRPr="00382917">
        <w:t>the</w:t>
      </w:r>
      <w:r w:rsidR="00EE4FC3">
        <w:t xml:space="preserve"> </w:t>
      </w:r>
      <w:r w:rsidR="00B568B6" w:rsidRPr="00382917">
        <w:t>Son</w:t>
      </w:r>
      <w:r w:rsidR="00EE4FC3">
        <w:t xml:space="preserve"> </w:t>
      </w:r>
      <w:r w:rsidR="00B568B6" w:rsidRPr="00382917">
        <w:t>of</w:t>
      </w:r>
      <w:r w:rsidR="00EE4FC3">
        <w:t xml:space="preserve"> </w:t>
      </w:r>
      <w:r w:rsidR="00B568B6" w:rsidRPr="00382917">
        <w:t>Man</w:t>
      </w:r>
      <w:r w:rsidR="00EE4FC3">
        <w:t xml:space="preserve"> </w:t>
      </w:r>
      <w:r w:rsidR="00B568B6" w:rsidRPr="00382917">
        <w:t>shall</w:t>
      </w:r>
      <w:r w:rsidR="00EE4FC3">
        <w:t xml:space="preserve"> </w:t>
      </w:r>
      <w:r w:rsidR="00B568B6" w:rsidRPr="00382917">
        <w:t>come</w:t>
      </w:r>
      <w:r w:rsidR="00EE4FC3">
        <w:t xml:space="preserve"> </w:t>
      </w:r>
      <w:r w:rsidR="00B568B6" w:rsidRPr="00382917">
        <w:t>in</w:t>
      </w:r>
      <w:r w:rsidR="00EE4FC3">
        <w:t xml:space="preserve"> </w:t>
      </w:r>
      <w:r w:rsidR="00B568B6" w:rsidRPr="00382917">
        <w:t>the</w:t>
      </w:r>
      <w:r w:rsidR="00EE4FC3">
        <w:t xml:space="preserve"> </w:t>
      </w:r>
      <w:r w:rsidR="00B568B6" w:rsidRPr="00382917">
        <w:t>glory</w:t>
      </w:r>
      <w:r w:rsidR="00EE4FC3">
        <w:t xml:space="preserve"> </w:t>
      </w:r>
      <w:r w:rsidR="00B568B6" w:rsidRPr="00382917">
        <w:t>of</w:t>
      </w:r>
      <w:r w:rsidR="00EE4FC3">
        <w:t xml:space="preserve"> </w:t>
      </w:r>
      <w:r w:rsidR="00B568B6" w:rsidRPr="00382917">
        <w:t>His</w:t>
      </w:r>
      <w:r w:rsidR="00EE4FC3">
        <w:t xml:space="preserve"> </w:t>
      </w:r>
      <w:r w:rsidR="00B568B6" w:rsidRPr="00382917">
        <w:t>Father.</w:t>
      </w:r>
      <w:r w:rsidRPr="00382917">
        <w:t>”</w:t>
      </w:r>
      <w:r w:rsidR="00AE0F8C">
        <w:rPr>
          <w:rStyle w:val="FootnoteReference"/>
        </w:rPr>
        <w:footnoteReference w:id="389"/>
      </w:r>
    </w:p>
    <w:p w:rsidR="00B568B6" w:rsidRPr="00382917" w:rsidRDefault="00B568B6" w:rsidP="00B568B6">
      <w:pPr>
        <w:pStyle w:val="Text"/>
      </w:pPr>
      <w:r w:rsidRPr="00382917">
        <w:t>The</w:t>
      </w:r>
      <w:r w:rsidR="00EE4FC3">
        <w:t xml:space="preserve"> </w:t>
      </w:r>
      <w:r w:rsidRPr="00382917">
        <w:t>meaning</w:t>
      </w:r>
      <w:r w:rsidR="00EE4FC3">
        <w:t xml:space="preserve"> </w:t>
      </w:r>
      <w:r w:rsidRPr="00382917">
        <w:t>of</w:t>
      </w:r>
      <w:r w:rsidR="00EE4FC3">
        <w:t xml:space="preserve"> </w:t>
      </w:r>
      <w:r w:rsidRPr="00382917">
        <w:t>the</w:t>
      </w:r>
      <w:r w:rsidR="00EE4FC3">
        <w:t xml:space="preserve"> </w:t>
      </w:r>
      <w:r w:rsidRPr="00382917">
        <w:t>station</w:t>
      </w:r>
      <w:r w:rsidR="00EE4FC3">
        <w:t xml:space="preserve"> </w:t>
      </w:r>
      <w:r w:rsidRPr="00382917">
        <w:t>of</w:t>
      </w:r>
      <w:r w:rsidR="00EE4FC3">
        <w:t xml:space="preserve"> </w:t>
      </w:r>
      <w:r w:rsidRPr="00382917">
        <w:t>the</w:t>
      </w:r>
      <w:r w:rsidR="00EE4FC3">
        <w:t xml:space="preserve"> </w:t>
      </w:r>
      <w:r w:rsidR="009C713D" w:rsidRPr="00382917">
        <w:t>“</w:t>
      </w:r>
      <w:r w:rsidRPr="00382917">
        <w:t>Son</w:t>
      </w:r>
      <w:r w:rsidR="009C713D" w:rsidRPr="00382917">
        <w:t>”</w:t>
      </w:r>
      <w:r w:rsidR="00EE4FC3">
        <w:t xml:space="preserve"> </w:t>
      </w:r>
      <w:r w:rsidRPr="00382917">
        <w:t>and</w:t>
      </w:r>
      <w:r w:rsidR="00EE4FC3">
        <w:t xml:space="preserve"> </w:t>
      </w:r>
      <w:r w:rsidRPr="00382917">
        <w:t>that</w:t>
      </w:r>
      <w:r w:rsidR="00EE4FC3">
        <w:t xml:space="preserve"> </w:t>
      </w:r>
      <w:r w:rsidRPr="00382917">
        <w:t>of</w:t>
      </w:r>
      <w:r w:rsidR="00EE4FC3">
        <w:t xml:space="preserve"> </w:t>
      </w:r>
      <w:r w:rsidRPr="00382917">
        <w:t>the</w:t>
      </w:r>
      <w:r w:rsidR="00EE4FC3">
        <w:t xml:space="preserve"> </w:t>
      </w:r>
      <w:r w:rsidR="009C713D" w:rsidRPr="00382917">
        <w:t>“</w:t>
      </w:r>
      <w:r w:rsidRPr="00382917">
        <w:t>Father</w:t>
      </w:r>
      <w:r w:rsidR="009C713D" w:rsidRPr="00382917">
        <w:t>”</w:t>
      </w:r>
      <w:r w:rsidR="00EE4FC3">
        <w:t xml:space="preserve"> </w:t>
      </w:r>
      <w:r w:rsidRPr="00382917">
        <w:t>was</w:t>
      </w:r>
      <w:r w:rsidR="00EE4FC3">
        <w:t xml:space="preserve"> </w:t>
      </w:r>
      <w:r w:rsidRPr="00382917">
        <w:t>explained</w:t>
      </w:r>
      <w:r w:rsidR="00EE4FC3">
        <w:t xml:space="preserve"> </w:t>
      </w:r>
      <w:r w:rsidRPr="00382917">
        <w:t>by</w:t>
      </w:r>
      <w:r w:rsidR="00EE4FC3">
        <w:t xml:space="preserve"> </w:t>
      </w:r>
      <w:r w:rsidRPr="00382917">
        <w:t>Christ</w:t>
      </w:r>
      <w:r w:rsidR="00EE4FC3">
        <w:t xml:space="preserve"> </w:t>
      </w:r>
      <w:r w:rsidRPr="00382917">
        <w:t>Himself</w:t>
      </w:r>
      <w:r w:rsidR="00EE4FC3">
        <w:t xml:space="preserve"> </w:t>
      </w:r>
      <w:r w:rsidRPr="00382917">
        <w:t>in</w:t>
      </w:r>
      <w:r w:rsidR="00EE4FC3">
        <w:t xml:space="preserve"> </w:t>
      </w:r>
      <w:r w:rsidRPr="00382917">
        <w:t>beautiful</w:t>
      </w:r>
      <w:r w:rsidR="00EE4FC3">
        <w:t xml:space="preserve"> </w:t>
      </w:r>
      <w:r w:rsidRPr="00382917">
        <w:t>and</w:t>
      </w:r>
      <w:r w:rsidR="00EE4FC3">
        <w:t xml:space="preserve"> </w:t>
      </w:r>
      <w:r w:rsidRPr="00382917">
        <w:t>simple</w:t>
      </w:r>
      <w:r w:rsidR="00EE4FC3">
        <w:t xml:space="preserve"> </w:t>
      </w:r>
      <w:r w:rsidRPr="00382917">
        <w:t>language</w:t>
      </w:r>
      <w:r w:rsidR="00EE4FC3">
        <w:t xml:space="preserve"> </w:t>
      </w:r>
      <w:r w:rsidRPr="00382917">
        <w:t>in</w:t>
      </w:r>
      <w:r w:rsidR="00EE4FC3">
        <w:t xml:space="preserve"> </w:t>
      </w:r>
      <w:r w:rsidRPr="00382917">
        <w:t>His</w:t>
      </w:r>
      <w:r w:rsidR="00EE4FC3">
        <w:t xml:space="preserve"> </w:t>
      </w:r>
      <w:r w:rsidRPr="00382917">
        <w:t>parable</w:t>
      </w:r>
      <w:r w:rsidR="00EE4FC3">
        <w:t xml:space="preserve"> </w:t>
      </w:r>
      <w:r w:rsidRPr="00382917">
        <w:t>of</w:t>
      </w:r>
      <w:r w:rsidR="00EE4FC3">
        <w:t xml:space="preserve"> </w:t>
      </w:r>
      <w:r w:rsidRPr="00382917">
        <w:t>the</w:t>
      </w:r>
      <w:r w:rsidR="00EE4FC3">
        <w:t xml:space="preserve"> </w:t>
      </w:r>
      <w:r w:rsidRPr="00382917">
        <w:t>Vineyard</w:t>
      </w:r>
      <w:r w:rsidR="00F267E4">
        <w:t>.</w:t>
      </w:r>
      <w:r w:rsidR="00EE4FC3">
        <w:t xml:space="preserve">  </w:t>
      </w:r>
      <w:r w:rsidRPr="00382917">
        <w:t>In</w:t>
      </w:r>
      <w:r w:rsidR="00EE4FC3">
        <w:t xml:space="preserve"> </w:t>
      </w:r>
      <w:r w:rsidRPr="00382917">
        <w:t>fact,</w:t>
      </w:r>
      <w:r w:rsidR="00EE4FC3">
        <w:t xml:space="preserve"> </w:t>
      </w:r>
      <w:r w:rsidRPr="00382917">
        <w:t>the</w:t>
      </w:r>
      <w:r w:rsidR="00EE4FC3">
        <w:t xml:space="preserve"> </w:t>
      </w:r>
      <w:r w:rsidRPr="00382917">
        <w:t>whole</w:t>
      </w:r>
      <w:r w:rsidR="00EE4FC3">
        <w:t xml:space="preserve"> </w:t>
      </w:r>
      <w:r w:rsidRPr="00382917">
        <w:t>history</w:t>
      </w:r>
      <w:r w:rsidR="00EE4FC3">
        <w:t xml:space="preserve"> </w:t>
      </w:r>
      <w:r w:rsidRPr="00382917">
        <w:t>of</w:t>
      </w:r>
      <w:r w:rsidR="00EE4FC3">
        <w:t xml:space="preserve"> </w:t>
      </w:r>
      <w:r w:rsidRPr="00382917">
        <w:t>religion,</w:t>
      </w:r>
      <w:r w:rsidR="00EE4FC3">
        <w:t xml:space="preserve"> </w:t>
      </w:r>
      <w:r w:rsidRPr="00382917">
        <w:t>Bahá</w:t>
      </w:r>
      <w:r w:rsidR="009C713D" w:rsidRPr="00382917">
        <w:t>’</w:t>
      </w:r>
      <w:r w:rsidRPr="00382917">
        <w:t>u</w:t>
      </w:r>
      <w:r w:rsidR="009C713D" w:rsidRPr="00382917">
        <w:t>’</w:t>
      </w:r>
      <w:r w:rsidRPr="00382917">
        <w:t>lláh</w:t>
      </w:r>
      <w:r w:rsidR="009C713D" w:rsidRPr="00382917">
        <w:t>’</w:t>
      </w:r>
      <w:r w:rsidRPr="00382917">
        <w:t>s</w:t>
      </w:r>
      <w:r w:rsidR="00EE4FC3">
        <w:t xml:space="preserve"> </w:t>
      </w:r>
      <w:r w:rsidRPr="00382917">
        <w:t>Teachings</w:t>
      </w:r>
      <w:r w:rsidR="00EE4FC3">
        <w:t xml:space="preserve"> </w:t>
      </w:r>
      <w:r w:rsidRPr="00382917">
        <w:t>tell</w:t>
      </w:r>
      <w:r w:rsidR="00EE4FC3">
        <w:t xml:space="preserve"> </w:t>
      </w:r>
      <w:r w:rsidRPr="00382917">
        <w:t>us,</w:t>
      </w:r>
      <w:r w:rsidR="00EE4FC3">
        <w:t xml:space="preserve"> </w:t>
      </w:r>
      <w:r w:rsidRPr="00382917">
        <w:t>can</w:t>
      </w:r>
      <w:r w:rsidR="00EE4FC3">
        <w:t xml:space="preserve"> </w:t>
      </w:r>
      <w:r w:rsidRPr="00382917">
        <w:t>be</w:t>
      </w:r>
      <w:r w:rsidR="00EE4FC3">
        <w:t xml:space="preserve"> </w:t>
      </w:r>
      <w:r w:rsidRPr="00382917">
        <w:t>found</w:t>
      </w:r>
      <w:r w:rsidR="00EE4FC3">
        <w:t xml:space="preserve"> </w:t>
      </w:r>
      <w:r w:rsidRPr="00382917">
        <w:t>in</w:t>
      </w:r>
      <w:r w:rsidR="00EE4FC3">
        <w:t xml:space="preserve"> </w:t>
      </w:r>
      <w:r w:rsidRPr="00382917">
        <w:t>this</w:t>
      </w:r>
      <w:r w:rsidR="00EE4FC3">
        <w:t xml:space="preserve"> </w:t>
      </w:r>
      <w:r w:rsidRPr="00382917">
        <w:t>one</w:t>
      </w:r>
      <w:r w:rsidR="00EE4FC3">
        <w:t xml:space="preserve"> </w:t>
      </w:r>
      <w:r w:rsidRPr="00382917">
        <w:t>parable:</w:t>
      </w:r>
    </w:p>
    <w:p w:rsidR="00B568B6" w:rsidRPr="00382917" w:rsidRDefault="009C713D" w:rsidP="00AE0F8C">
      <w:pPr>
        <w:pStyle w:val="Quote"/>
      </w:pPr>
      <w:r w:rsidRPr="00382917">
        <w:t>“</w:t>
      </w:r>
      <w:r w:rsidR="00B568B6" w:rsidRPr="00382917">
        <w:t>A</w:t>
      </w:r>
      <w:r w:rsidR="00EE4FC3">
        <w:t xml:space="preserve"> </w:t>
      </w:r>
      <w:r w:rsidR="00B568B6" w:rsidRPr="00382917">
        <w:t>certain</w:t>
      </w:r>
      <w:r w:rsidR="00EE4FC3">
        <w:t xml:space="preserve"> </w:t>
      </w:r>
      <w:r w:rsidR="00B568B6" w:rsidRPr="00382917">
        <w:t>man</w:t>
      </w:r>
      <w:r w:rsidR="00EE4FC3">
        <w:t xml:space="preserve"> </w:t>
      </w:r>
      <w:r w:rsidR="00B568B6" w:rsidRPr="00382917">
        <w:t>planted</w:t>
      </w:r>
      <w:r w:rsidR="00EE4FC3">
        <w:t xml:space="preserve"> </w:t>
      </w:r>
      <w:r w:rsidR="00B568B6" w:rsidRPr="00382917">
        <w:t>a</w:t>
      </w:r>
      <w:r w:rsidR="00EE4FC3">
        <w:t xml:space="preserve"> </w:t>
      </w:r>
      <w:r w:rsidR="00B568B6" w:rsidRPr="00382917">
        <w:t>vineyard,</w:t>
      </w:r>
      <w:r w:rsidR="00EE4FC3">
        <w:t xml:space="preserve"> </w:t>
      </w:r>
      <w:r w:rsidR="00B568B6" w:rsidRPr="00382917">
        <w:t>and</w:t>
      </w:r>
      <w:r w:rsidR="00EE4FC3">
        <w:t xml:space="preserve"> </w:t>
      </w:r>
      <w:r w:rsidR="00B568B6" w:rsidRPr="00382917">
        <w:t>set</w:t>
      </w:r>
      <w:r w:rsidR="00EE4FC3">
        <w:t xml:space="preserve"> </w:t>
      </w:r>
      <w:r w:rsidR="00B568B6" w:rsidRPr="00382917">
        <w:t>a</w:t>
      </w:r>
      <w:r w:rsidR="00EE4FC3">
        <w:t xml:space="preserve"> </w:t>
      </w:r>
      <w:r w:rsidR="00B568B6" w:rsidRPr="00382917">
        <w:t>hedge</w:t>
      </w:r>
      <w:r w:rsidR="00EE4FC3">
        <w:t xml:space="preserve"> </w:t>
      </w:r>
      <w:r w:rsidR="00B568B6" w:rsidRPr="00382917">
        <w:t>about</w:t>
      </w:r>
      <w:r w:rsidR="00EE4FC3">
        <w:t xml:space="preserve"> </w:t>
      </w:r>
      <w:r w:rsidR="00B568B6" w:rsidRPr="00382917">
        <w:t>it,</w:t>
      </w:r>
      <w:r w:rsidR="00EE4FC3">
        <w:t xml:space="preserve"> </w:t>
      </w:r>
      <w:r w:rsidR="00B568B6" w:rsidRPr="00382917">
        <w:t>and</w:t>
      </w:r>
      <w:r w:rsidR="00EE4FC3">
        <w:t xml:space="preserve"> </w:t>
      </w:r>
      <w:proofErr w:type="spellStart"/>
      <w:r w:rsidR="00B568B6" w:rsidRPr="00382917">
        <w:t>digged</w:t>
      </w:r>
      <w:proofErr w:type="spellEnd"/>
      <w:r w:rsidR="00EE4FC3">
        <w:t xml:space="preserve"> </w:t>
      </w:r>
      <w:r w:rsidR="00B568B6" w:rsidRPr="00382917">
        <w:t>a</w:t>
      </w:r>
      <w:r w:rsidR="00EE4FC3">
        <w:t xml:space="preserve"> </w:t>
      </w:r>
      <w:r w:rsidR="00B568B6" w:rsidRPr="00382917">
        <w:t>place</w:t>
      </w:r>
      <w:r w:rsidR="00EE4FC3">
        <w:t xml:space="preserve"> </w:t>
      </w:r>
      <w:r w:rsidR="00B568B6" w:rsidRPr="00382917">
        <w:t>for</w:t>
      </w:r>
      <w:r w:rsidR="00EE4FC3">
        <w:t xml:space="preserve"> </w:t>
      </w:r>
      <w:r w:rsidR="00B568B6" w:rsidRPr="00382917">
        <w:t>the</w:t>
      </w:r>
      <w:r w:rsidR="00EE4FC3">
        <w:t xml:space="preserve"> </w:t>
      </w:r>
      <w:proofErr w:type="spellStart"/>
      <w:r w:rsidR="00B568B6" w:rsidRPr="00382917">
        <w:t>winefat</w:t>
      </w:r>
      <w:proofErr w:type="spellEnd"/>
      <w:r w:rsidR="00B568B6" w:rsidRPr="00382917">
        <w:t>,</w:t>
      </w:r>
      <w:r w:rsidR="00EE4FC3">
        <w:t xml:space="preserve"> </w:t>
      </w:r>
      <w:r w:rsidR="00B568B6" w:rsidRPr="00382917">
        <w:t>and</w:t>
      </w:r>
      <w:r w:rsidR="00EE4FC3">
        <w:t xml:space="preserve"> </w:t>
      </w:r>
      <w:r w:rsidR="00B568B6" w:rsidRPr="00382917">
        <w:t>built</w:t>
      </w:r>
      <w:r w:rsidR="00EE4FC3">
        <w:t xml:space="preserve"> </w:t>
      </w:r>
      <w:r w:rsidR="00B568B6" w:rsidRPr="00382917">
        <w:t>a</w:t>
      </w:r>
      <w:r w:rsidR="00EE4FC3">
        <w:t xml:space="preserve"> </w:t>
      </w:r>
      <w:r w:rsidR="00B568B6" w:rsidRPr="00382917">
        <w:t>tower,</w:t>
      </w:r>
      <w:r w:rsidR="00EE4FC3">
        <w:t xml:space="preserve"> </w:t>
      </w:r>
      <w:r w:rsidR="00B568B6" w:rsidRPr="00382917">
        <w:t>and</w:t>
      </w:r>
      <w:r w:rsidR="00EE4FC3">
        <w:t xml:space="preserve"> </w:t>
      </w:r>
      <w:r w:rsidR="00B568B6" w:rsidRPr="00382917">
        <w:t>let</w:t>
      </w:r>
      <w:r w:rsidR="00EE4FC3">
        <w:t xml:space="preserve"> </w:t>
      </w:r>
      <w:r w:rsidR="00B568B6" w:rsidRPr="00382917">
        <w:t>it</w:t>
      </w:r>
      <w:r w:rsidR="00EE4FC3">
        <w:t xml:space="preserve"> </w:t>
      </w:r>
      <w:r w:rsidR="00B568B6" w:rsidRPr="00382917">
        <w:t>out</w:t>
      </w:r>
      <w:r w:rsidR="00EE4FC3">
        <w:t xml:space="preserve"> </w:t>
      </w:r>
      <w:r w:rsidR="00B568B6" w:rsidRPr="00382917">
        <w:t>to</w:t>
      </w:r>
      <w:r w:rsidR="00EE4FC3">
        <w:t xml:space="preserve"> </w:t>
      </w:r>
      <w:r w:rsidR="00B568B6" w:rsidRPr="00382917">
        <w:t>husbandmen,</w:t>
      </w:r>
      <w:r w:rsidR="00EE4FC3">
        <w:t xml:space="preserve"> </w:t>
      </w:r>
      <w:r w:rsidR="00B568B6" w:rsidRPr="00382917">
        <w:t>and</w:t>
      </w:r>
      <w:r w:rsidR="00EE4FC3">
        <w:t xml:space="preserve"> </w:t>
      </w:r>
      <w:r w:rsidR="00B568B6" w:rsidRPr="00382917">
        <w:t>went</w:t>
      </w:r>
      <w:r w:rsidR="00EE4FC3">
        <w:t xml:space="preserve"> </w:t>
      </w:r>
      <w:r w:rsidR="00B568B6" w:rsidRPr="00382917">
        <w:t>into</w:t>
      </w:r>
      <w:r w:rsidR="00EE4FC3">
        <w:t xml:space="preserve"> </w:t>
      </w:r>
      <w:r w:rsidR="00B568B6" w:rsidRPr="00382917">
        <w:t>a</w:t>
      </w:r>
      <w:r w:rsidR="00EE4FC3">
        <w:t xml:space="preserve"> </w:t>
      </w:r>
      <w:r w:rsidR="00B568B6" w:rsidRPr="00382917">
        <w:t>far</w:t>
      </w:r>
      <w:r w:rsidR="00EE4FC3">
        <w:t xml:space="preserve"> </w:t>
      </w:r>
      <w:r w:rsidR="00B568B6" w:rsidRPr="00382917">
        <w:t>country.</w:t>
      </w:r>
    </w:p>
    <w:p w:rsidR="00B568B6" w:rsidRPr="00382917" w:rsidRDefault="00B568B6" w:rsidP="00AE0F8C">
      <w:pPr>
        <w:pStyle w:val="Quote"/>
      </w:pPr>
      <w:r w:rsidRPr="00382917">
        <w:t>And</w:t>
      </w:r>
      <w:r w:rsidR="00EE4FC3">
        <w:t xml:space="preserve"> </w:t>
      </w:r>
      <w:r w:rsidRPr="00382917">
        <w:t>at</w:t>
      </w:r>
      <w:r w:rsidR="00EE4FC3">
        <w:t xml:space="preserve"> </w:t>
      </w:r>
      <w:r w:rsidRPr="00382917">
        <w:t>the</w:t>
      </w:r>
      <w:r w:rsidR="00EE4FC3">
        <w:t xml:space="preserve"> </w:t>
      </w:r>
      <w:r w:rsidRPr="00382917">
        <w:t>season</w:t>
      </w:r>
      <w:r w:rsidR="00EE4FC3">
        <w:t xml:space="preserve"> </w:t>
      </w:r>
      <w:r w:rsidRPr="00382917">
        <w:t>he</w:t>
      </w:r>
      <w:r w:rsidR="00EE4FC3">
        <w:t xml:space="preserve"> </w:t>
      </w:r>
      <w:r w:rsidRPr="00382917">
        <w:t>sent</w:t>
      </w:r>
      <w:r w:rsidR="00EE4FC3">
        <w:t xml:space="preserve"> </w:t>
      </w:r>
      <w:r w:rsidRPr="00382917">
        <w:t>to</w:t>
      </w:r>
      <w:r w:rsidR="00EE4FC3">
        <w:t xml:space="preserve"> </w:t>
      </w:r>
      <w:r w:rsidRPr="00382917">
        <w:t>the</w:t>
      </w:r>
      <w:r w:rsidR="00EE4FC3">
        <w:t xml:space="preserve"> </w:t>
      </w:r>
      <w:r w:rsidRPr="00382917">
        <w:t>husbandmen</w:t>
      </w:r>
      <w:r w:rsidR="00EE4FC3">
        <w:t xml:space="preserve"> </w:t>
      </w:r>
      <w:r w:rsidRPr="00382917">
        <w:t>a</w:t>
      </w:r>
      <w:r w:rsidR="00EE4FC3">
        <w:t xml:space="preserve"> </w:t>
      </w:r>
      <w:proofErr w:type="gramStart"/>
      <w:r w:rsidRPr="00382917">
        <w:t>servant,</w:t>
      </w:r>
      <w:r w:rsidR="00EE4FC3">
        <w:t xml:space="preserve"> </w:t>
      </w:r>
      <w:r w:rsidRPr="00382917">
        <w:t>that</w:t>
      </w:r>
      <w:proofErr w:type="gramEnd"/>
      <w:r w:rsidR="00EE4FC3">
        <w:t xml:space="preserve"> </w:t>
      </w:r>
      <w:r w:rsidRPr="00382917">
        <w:t>he</w:t>
      </w:r>
      <w:r w:rsidR="00EE4FC3">
        <w:t xml:space="preserve"> </w:t>
      </w:r>
      <w:r w:rsidRPr="00382917">
        <w:t>might</w:t>
      </w:r>
      <w:r w:rsidR="00EE4FC3">
        <w:t xml:space="preserve"> </w:t>
      </w:r>
      <w:r w:rsidRPr="00382917">
        <w:t>receive</w:t>
      </w:r>
      <w:r w:rsidR="00EE4FC3">
        <w:t xml:space="preserve"> </w:t>
      </w:r>
      <w:r w:rsidRPr="00382917">
        <w:t>from</w:t>
      </w:r>
      <w:r w:rsidR="00EE4FC3">
        <w:t xml:space="preserve"> </w:t>
      </w:r>
      <w:r w:rsidRPr="00382917">
        <w:t>the</w:t>
      </w:r>
      <w:r w:rsidR="00EE4FC3">
        <w:t xml:space="preserve"> </w:t>
      </w:r>
      <w:r w:rsidRPr="00382917">
        <w:t>husbandmen</w:t>
      </w:r>
      <w:r w:rsidR="00EE4FC3">
        <w:t xml:space="preserve"> </w:t>
      </w:r>
      <w:r w:rsidRPr="00382917">
        <w:t>of</w:t>
      </w:r>
      <w:r w:rsidR="00EE4FC3">
        <w:t xml:space="preserve"> </w:t>
      </w:r>
      <w:r w:rsidRPr="00382917">
        <w:t>the</w:t>
      </w:r>
      <w:r w:rsidR="00EE4FC3">
        <w:t xml:space="preserve"> </w:t>
      </w:r>
      <w:r w:rsidRPr="00382917">
        <w:t>fruit</w:t>
      </w:r>
      <w:r w:rsidR="00EE4FC3">
        <w:t xml:space="preserve"> </w:t>
      </w:r>
      <w:r w:rsidRPr="00382917">
        <w:t>of</w:t>
      </w:r>
      <w:r w:rsidR="00EE4FC3">
        <w:t xml:space="preserve"> </w:t>
      </w:r>
      <w:r w:rsidRPr="00382917">
        <w:t>the</w:t>
      </w:r>
      <w:r w:rsidR="00EE4FC3">
        <w:t xml:space="preserve"> </w:t>
      </w:r>
      <w:r w:rsidRPr="00382917">
        <w:t>vineyard.</w:t>
      </w:r>
    </w:p>
    <w:p w:rsidR="00B568B6" w:rsidRPr="00382917" w:rsidRDefault="00B568B6" w:rsidP="00AE0F8C">
      <w:pPr>
        <w:pStyle w:val="Quote"/>
      </w:pPr>
      <w:r w:rsidRPr="00382917">
        <w:t>And</w:t>
      </w:r>
      <w:r w:rsidR="00EE4FC3">
        <w:t xml:space="preserve"> </w:t>
      </w:r>
      <w:r w:rsidRPr="00382917">
        <w:t>they</w:t>
      </w:r>
      <w:r w:rsidR="00EE4FC3">
        <w:t xml:space="preserve"> </w:t>
      </w:r>
      <w:r w:rsidRPr="00382917">
        <w:t>caught</w:t>
      </w:r>
      <w:r w:rsidR="00EE4FC3">
        <w:t xml:space="preserve"> </w:t>
      </w:r>
      <w:r w:rsidRPr="00382917">
        <w:t>him,</w:t>
      </w:r>
      <w:r w:rsidR="00EE4FC3">
        <w:t xml:space="preserve"> </w:t>
      </w:r>
      <w:r w:rsidRPr="00382917">
        <w:t>and</w:t>
      </w:r>
      <w:r w:rsidR="00EE4FC3">
        <w:t xml:space="preserve"> </w:t>
      </w:r>
      <w:r w:rsidRPr="00382917">
        <w:t>beat</w:t>
      </w:r>
      <w:r w:rsidR="00EE4FC3">
        <w:t xml:space="preserve"> </w:t>
      </w:r>
      <w:r w:rsidRPr="00382917">
        <w:t>him,</w:t>
      </w:r>
      <w:r w:rsidR="00EE4FC3">
        <w:t xml:space="preserve"> </w:t>
      </w:r>
      <w:r w:rsidRPr="00382917">
        <w:t>and</w:t>
      </w:r>
      <w:r w:rsidR="00EE4FC3">
        <w:t xml:space="preserve"> </w:t>
      </w:r>
      <w:r w:rsidRPr="00382917">
        <w:t>sent</w:t>
      </w:r>
      <w:r w:rsidR="00EE4FC3">
        <w:t xml:space="preserve"> </w:t>
      </w:r>
      <w:r w:rsidRPr="00382917">
        <w:t>him</w:t>
      </w:r>
      <w:r w:rsidR="00EE4FC3">
        <w:t xml:space="preserve"> </w:t>
      </w:r>
      <w:r w:rsidRPr="00382917">
        <w:t>away</w:t>
      </w:r>
      <w:r w:rsidR="00EE4FC3">
        <w:t xml:space="preserve"> </w:t>
      </w:r>
      <w:r w:rsidRPr="00382917">
        <w:t>empty.</w:t>
      </w:r>
    </w:p>
    <w:p w:rsidR="00B568B6" w:rsidRPr="00382917" w:rsidRDefault="00B568B6" w:rsidP="00AE0F8C">
      <w:pPr>
        <w:pStyle w:val="Quote"/>
      </w:pPr>
      <w:r w:rsidRPr="00382917">
        <w:t>And</w:t>
      </w:r>
      <w:r w:rsidR="00EE4FC3">
        <w:t xml:space="preserve"> </w:t>
      </w:r>
      <w:r w:rsidRPr="00382917">
        <w:t>again</w:t>
      </w:r>
      <w:r w:rsidR="00EE4FC3">
        <w:t xml:space="preserve"> </w:t>
      </w:r>
      <w:r w:rsidRPr="00382917">
        <w:t>he</w:t>
      </w:r>
      <w:r w:rsidR="00EE4FC3">
        <w:t xml:space="preserve"> </w:t>
      </w:r>
      <w:r w:rsidRPr="00382917">
        <w:t>sent</w:t>
      </w:r>
      <w:r w:rsidR="00EE4FC3">
        <w:t xml:space="preserve"> </w:t>
      </w:r>
      <w:r w:rsidRPr="00382917">
        <w:t>unto</w:t>
      </w:r>
      <w:r w:rsidR="00EE4FC3">
        <w:t xml:space="preserve"> </w:t>
      </w:r>
      <w:r w:rsidRPr="00382917">
        <w:t>them</w:t>
      </w:r>
      <w:r w:rsidR="00EE4FC3">
        <w:t xml:space="preserve"> </w:t>
      </w:r>
      <w:r w:rsidRPr="00382917">
        <w:t>another</w:t>
      </w:r>
      <w:r w:rsidR="00EE4FC3">
        <w:t xml:space="preserve"> </w:t>
      </w:r>
      <w:r w:rsidRPr="00382917">
        <w:t>servant;</w:t>
      </w:r>
      <w:r w:rsidR="00EE4FC3">
        <w:t xml:space="preserve"> </w:t>
      </w:r>
      <w:r w:rsidRPr="00382917">
        <w:t>and</w:t>
      </w:r>
      <w:r w:rsidR="00EE4FC3">
        <w:t xml:space="preserve"> </w:t>
      </w:r>
      <w:r w:rsidRPr="00382917">
        <w:t>at</w:t>
      </w:r>
      <w:r w:rsidR="00EE4FC3">
        <w:t xml:space="preserve"> </w:t>
      </w:r>
      <w:r w:rsidRPr="00382917">
        <w:t>him</w:t>
      </w:r>
      <w:r w:rsidR="00EE4FC3">
        <w:t xml:space="preserve"> </w:t>
      </w:r>
      <w:r w:rsidRPr="00382917">
        <w:t>they</w:t>
      </w:r>
      <w:r w:rsidR="00EE4FC3">
        <w:t xml:space="preserve"> </w:t>
      </w:r>
      <w:r w:rsidRPr="00382917">
        <w:t>cast</w:t>
      </w:r>
      <w:r w:rsidR="00EE4FC3">
        <w:t xml:space="preserve"> </w:t>
      </w:r>
      <w:r w:rsidRPr="00382917">
        <w:t>stones,</w:t>
      </w:r>
      <w:r w:rsidR="00EE4FC3">
        <w:t xml:space="preserve"> </w:t>
      </w:r>
      <w:r w:rsidRPr="00382917">
        <w:t>and</w:t>
      </w:r>
      <w:r w:rsidR="00EE4FC3">
        <w:t xml:space="preserve"> </w:t>
      </w:r>
      <w:r w:rsidRPr="00382917">
        <w:t>wounded</w:t>
      </w:r>
      <w:r w:rsidR="00EE4FC3">
        <w:t xml:space="preserve"> </w:t>
      </w:r>
      <w:r w:rsidRPr="00382917">
        <w:t>him</w:t>
      </w:r>
      <w:r w:rsidR="00EE4FC3">
        <w:t xml:space="preserve"> </w:t>
      </w:r>
      <w:r w:rsidRPr="00382917">
        <w:t>in</w:t>
      </w:r>
      <w:r w:rsidR="00EE4FC3">
        <w:t xml:space="preserve"> </w:t>
      </w:r>
      <w:r w:rsidRPr="00382917">
        <w:t>the</w:t>
      </w:r>
      <w:r w:rsidR="00EE4FC3">
        <w:t xml:space="preserve"> </w:t>
      </w:r>
      <w:r w:rsidRPr="00382917">
        <w:t>head,</w:t>
      </w:r>
      <w:r w:rsidR="00EE4FC3">
        <w:t xml:space="preserve"> </w:t>
      </w:r>
      <w:r w:rsidRPr="00382917">
        <w:t>and</w:t>
      </w:r>
      <w:r w:rsidR="00EE4FC3">
        <w:t xml:space="preserve"> </w:t>
      </w:r>
      <w:r w:rsidRPr="00382917">
        <w:t>sent</w:t>
      </w:r>
      <w:r w:rsidR="00EE4FC3">
        <w:t xml:space="preserve"> </w:t>
      </w:r>
      <w:r w:rsidRPr="00382917">
        <w:t>him</w:t>
      </w:r>
      <w:r w:rsidR="00EE4FC3">
        <w:t xml:space="preserve"> </w:t>
      </w:r>
      <w:r w:rsidRPr="00382917">
        <w:t>away</w:t>
      </w:r>
      <w:r w:rsidR="00EE4FC3">
        <w:t xml:space="preserve"> </w:t>
      </w:r>
      <w:r w:rsidRPr="00382917">
        <w:t>shamefully</w:t>
      </w:r>
      <w:r w:rsidR="00EE4FC3">
        <w:t xml:space="preserve"> </w:t>
      </w:r>
      <w:r w:rsidRPr="00382917">
        <w:t>handled.</w:t>
      </w:r>
    </w:p>
    <w:p w:rsidR="00B568B6" w:rsidRPr="00382917" w:rsidRDefault="00B568B6" w:rsidP="00AE0F8C">
      <w:pPr>
        <w:pStyle w:val="Quote"/>
      </w:pPr>
      <w:r w:rsidRPr="00382917">
        <w:t>And</w:t>
      </w:r>
      <w:r w:rsidR="00EE4FC3">
        <w:t xml:space="preserve"> </w:t>
      </w:r>
      <w:r w:rsidRPr="00382917">
        <w:t>again</w:t>
      </w:r>
      <w:r w:rsidR="00EE4FC3">
        <w:t xml:space="preserve"> </w:t>
      </w:r>
      <w:r w:rsidRPr="00382917">
        <w:t>he</w:t>
      </w:r>
      <w:r w:rsidR="00EE4FC3">
        <w:t xml:space="preserve"> </w:t>
      </w:r>
      <w:r w:rsidRPr="00382917">
        <w:t>sent</w:t>
      </w:r>
      <w:r w:rsidR="00EE4FC3">
        <w:t xml:space="preserve"> </w:t>
      </w:r>
      <w:r w:rsidRPr="00382917">
        <w:t>another;</w:t>
      </w:r>
      <w:r w:rsidR="00EE4FC3">
        <w:t xml:space="preserve"> </w:t>
      </w:r>
      <w:r w:rsidRPr="00382917">
        <w:t>and</w:t>
      </w:r>
      <w:r w:rsidR="00EE4FC3">
        <w:t xml:space="preserve"> </w:t>
      </w:r>
      <w:r w:rsidRPr="00382917">
        <w:t>him</w:t>
      </w:r>
      <w:r w:rsidR="00EE4FC3">
        <w:t xml:space="preserve"> </w:t>
      </w:r>
      <w:r w:rsidRPr="00382917">
        <w:t>they</w:t>
      </w:r>
      <w:r w:rsidR="00EE4FC3">
        <w:t xml:space="preserve"> </w:t>
      </w:r>
      <w:r w:rsidRPr="00382917">
        <w:t>killed</w:t>
      </w:r>
      <w:r w:rsidR="00EE4FC3">
        <w:t xml:space="preserve"> </w:t>
      </w:r>
      <w:r w:rsidRPr="00382917">
        <w:t>and</w:t>
      </w:r>
      <w:r w:rsidR="00EE4FC3">
        <w:t xml:space="preserve"> </w:t>
      </w:r>
      <w:r w:rsidRPr="00382917">
        <w:t>many</w:t>
      </w:r>
      <w:r w:rsidR="00EE4FC3">
        <w:t xml:space="preserve"> </w:t>
      </w:r>
      <w:r w:rsidRPr="00382917">
        <w:t>others;</w:t>
      </w:r>
      <w:r w:rsidR="00EE4FC3">
        <w:t xml:space="preserve"> </w:t>
      </w:r>
      <w:r w:rsidRPr="00382917">
        <w:t>beating</w:t>
      </w:r>
      <w:r w:rsidR="00EE4FC3">
        <w:t xml:space="preserve"> </w:t>
      </w:r>
      <w:r w:rsidRPr="00382917">
        <w:t>some,</w:t>
      </w:r>
      <w:r w:rsidR="00EE4FC3">
        <w:t xml:space="preserve"> </w:t>
      </w:r>
      <w:r w:rsidRPr="00382917">
        <w:t>and</w:t>
      </w:r>
      <w:r w:rsidR="00EE4FC3">
        <w:t xml:space="preserve"> </w:t>
      </w:r>
      <w:r w:rsidRPr="00382917">
        <w:t>killing</w:t>
      </w:r>
      <w:r w:rsidR="00EE4FC3">
        <w:t xml:space="preserve"> </w:t>
      </w:r>
      <w:r w:rsidRPr="00382917">
        <w:t>some.</w:t>
      </w:r>
    </w:p>
    <w:p w:rsidR="00B568B6" w:rsidRPr="00382917" w:rsidRDefault="00B568B6" w:rsidP="00AE0F8C">
      <w:pPr>
        <w:pStyle w:val="Quote"/>
      </w:pPr>
      <w:r w:rsidRPr="00382917">
        <w:t>Having</w:t>
      </w:r>
      <w:r w:rsidR="00EE4FC3">
        <w:t xml:space="preserve"> </w:t>
      </w:r>
      <w:r w:rsidRPr="00382917">
        <w:t>yet</w:t>
      </w:r>
      <w:r w:rsidR="00EE4FC3">
        <w:t xml:space="preserve"> </w:t>
      </w:r>
      <w:r w:rsidRPr="00382917">
        <w:t>therefore</w:t>
      </w:r>
      <w:r w:rsidR="00EE4FC3">
        <w:t xml:space="preserve"> </w:t>
      </w:r>
      <w:r w:rsidRPr="00382917">
        <w:t>one</w:t>
      </w:r>
      <w:r w:rsidR="00EE4FC3">
        <w:t xml:space="preserve"> </w:t>
      </w:r>
      <w:r w:rsidRPr="00382917">
        <w:t>son,</w:t>
      </w:r>
      <w:r w:rsidR="00EE4FC3">
        <w:t xml:space="preserve"> </w:t>
      </w:r>
      <w:r w:rsidRPr="00382917">
        <w:t>his</w:t>
      </w:r>
      <w:r w:rsidR="00EE4FC3">
        <w:t xml:space="preserve"> </w:t>
      </w:r>
      <w:r w:rsidRPr="00382917">
        <w:t>well-beloved,</w:t>
      </w:r>
      <w:r w:rsidR="00EE4FC3">
        <w:t xml:space="preserve"> </w:t>
      </w:r>
      <w:r w:rsidRPr="00382917">
        <w:t>he</w:t>
      </w:r>
      <w:r w:rsidR="00EE4FC3">
        <w:t xml:space="preserve"> </w:t>
      </w:r>
      <w:r w:rsidRPr="00382917">
        <w:t>sent</w:t>
      </w:r>
      <w:r w:rsidR="00EE4FC3">
        <w:t xml:space="preserve"> </w:t>
      </w:r>
      <w:r w:rsidRPr="00382917">
        <w:t>him</w:t>
      </w:r>
      <w:r w:rsidR="00EE4FC3">
        <w:t xml:space="preserve"> </w:t>
      </w:r>
      <w:r w:rsidRPr="00382917">
        <w:t>also</w:t>
      </w:r>
      <w:r w:rsidR="00EE4FC3">
        <w:t xml:space="preserve"> </w:t>
      </w:r>
      <w:r w:rsidRPr="00382917">
        <w:t>last</w:t>
      </w:r>
      <w:r w:rsidR="00EE4FC3">
        <w:t xml:space="preserve"> </w:t>
      </w:r>
      <w:r w:rsidRPr="00382917">
        <w:t>unto</w:t>
      </w:r>
      <w:r w:rsidR="00EE4FC3">
        <w:t xml:space="preserve"> </w:t>
      </w:r>
      <w:r w:rsidRPr="00382917">
        <w:t>them,</w:t>
      </w:r>
      <w:r w:rsidR="00EE4FC3">
        <w:t xml:space="preserve"> </w:t>
      </w:r>
      <w:r w:rsidRPr="00382917">
        <w:t>saying,</w:t>
      </w:r>
      <w:r w:rsidR="00EE4FC3">
        <w:t xml:space="preserve"> </w:t>
      </w:r>
      <w:proofErr w:type="gramStart"/>
      <w:r w:rsidRPr="00382917">
        <w:t>They</w:t>
      </w:r>
      <w:proofErr w:type="gramEnd"/>
      <w:r w:rsidR="00EE4FC3">
        <w:t xml:space="preserve"> </w:t>
      </w:r>
      <w:r w:rsidRPr="00382917">
        <w:t>will</w:t>
      </w:r>
      <w:r w:rsidR="00EE4FC3">
        <w:t xml:space="preserve"> </w:t>
      </w:r>
      <w:r w:rsidRPr="00382917">
        <w:t>reverence</w:t>
      </w:r>
      <w:r w:rsidR="00EE4FC3">
        <w:t xml:space="preserve"> </w:t>
      </w:r>
      <w:r w:rsidRPr="00382917">
        <w:t>my</w:t>
      </w:r>
      <w:r w:rsidR="00EE4FC3">
        <w:t xml:space="preserve"> </w:t>
      </w:r>
      <w:r w:rsidRPr="00382917">
        <w:t>son.</w:t>
      </w:r>
    </w:p>
    <w:p w:rsidR="00B568B6" w:rsidRPr="00382917" w:rsidRDefault="00B568B6" w:rsidP="00AE0F8C">
      <w:pPr>
        <w:pStyle w:val="Quote"/>
      </w:pPr>
      <w:r w:rsidRPr="00382917">
        <w:t>But</w:t>
      </w:r>
      <w:r w:rsidR="00EE4FC3">
        <w:t xml:space="preserve"> </w:t>
      </w:r>
      <w:r w:rsidRPr="00382917">
        <w:t>those</w:t>
      </w:r>
      <w:r w:rsidR="00EE4FC3">
        <w:t xml:space="preserve"> </w:t>
      </w:r>
      <w:r w:rsidRPr="00382917">
        <w:t>husbandmen</w:t>
      </w:r>
      <w:r w:rsidR="00EE4FC3">
        <w:t xml:space="preserve"> </w:t>
      </w:r>
      <w:r w:rsidRPr="00382917">
        <w:t>said</w:t>
      </w:r>
      <w:r w:rsidR="00EE4FC3">
        <w:t xml:space="preserve"> </w:t>
      </w:r>
      <w:r w:rsidRPr="00382917">
        <w:t>among</w:t>
      </w:r>
      <w:r w:rsidR="00EE4FC3">
        <w:t xml:space="preserve"> </w:t>
      </w:r>
      <w:r w:rsidRPr="00382917">
        <w:t>themselves,</w:t>
      </w:r>
      <w:r w:rsidR="00EE4FC3">
        <w:t xml:space="preserve"> </w:t>
      </w:r>
      <w:proofErr w:type="gramStart"/>
      <w:r w:rsidRPr="00382917">
        <w:t>This</w:t>
      </w:r>
      <w:proofErr w:type="gramEnd"/>
      <w:r w:rsidR="00EE4FC3">
        <w:t xml:space="preserve"> </w:t>
      </w:r>
      <w:r w:rsidRPr="00382917">
        <w:t>is</w:t>
      </w:r>
      <w:r w:rsidR="00EE4FC3">
        <w:t xml:space="preserve"> </w:t>
      </w:r>
      <w:r w:rsidRPr="00382917">
        <w:t>the</w:t>
      </w:r>
      <w:r w:rsidR="00EE4FC3">
        <w:t xml:space="preserve"> </w:t>
      </w:r>
      <w:r w:rsidRPr="00382917">
        <w:t>heir;</w:t>
      </w:r>
      <w:r w:rsidR="00EE4FC3">
        <w:t xml:space="preserve"> </w:t>
      </w:r>
      <w:r w:rsidRPr="00382917">
        <w:t>let</w:t>
      </w:r>
      <w:r w:rsidR="00EE4FC3">
        <w:t xml:space="preserve"> </w:t>
      </w:r>
      <w:r w:rsidRPr="00382917">
        <w:t>us</w:t>
      </w:r>
      <w:r w:rsidR="00EE4FC3">
        <w:t xml:space="preserve"> </w:t>
      </w:r>
      <w:r w:rsidRPr="00382917">
        <w:t>kill</w:t>
      </w:r>
      <w:r w:rsidR="00EE4FC3">
        <w:t xml:space="preserve"> </w:t>
      </w:r>
      <w:r w:rsidRPr="00382917">
        <w:t>him,</w:t>
      </w:r>
      <w:r w:rsidR="00EE4FC3">
        <w:t xml:space="preserve"> </w:t>
      </w:r>
      <w:r w:rsidRPr="00382917">
        <w:t>and</w:t>
      </w:r>
      <w:r w:rsidR="00EE4FC3">
        <w:t xml:space="preserve"> </w:t>
      </w:r>
      <w:r w:rsidRPr="00382917">
        <w:t>the</w:t>
      </w:r>
      <w:r w:rsidR="00EE4FC3">
        <w:t xml:space="preserve"> </w:t>
      </w:r>
      <w:r w:rsidRPr="00382917">
        <w:t>inheritance</w:t>
      </w:r>
      <w:r w:rsidR="00EE4FC3">
        <w:t xml:space="preserve"> </w:t>
      </w:r>
      <w:r w:rsidRPr="00382917">
        <w:t>shall</w:t>
      </w:r>
      <w:r w:rsidR="00EE4FC3">
        <w:t xml:space="preserve"> </w:t>
      </w:r>
      <w:r w:rsidRPr="00382917">
        <w:t>be</w:t>
      </w:r>
      <w:r w:rsidR="00EE4FC3">
        <w:t xml:space="preserve"> </w:t>
      </w:r>
      <w:r w:rsidRPr="00382917">
        <w:t>ours.</w:t>
      </w:r>
    </w:p>
    <w:p w:rsidR="00B568B6" w:rsidRPr="00382917" w:rsidRDefault="00B568B6">
      <w:pPr>
        <w:widowControl/>
        <w:kinsoku/>
        <w:overflowPunct/>
        <w:textAlignment w:val="auto"/>
      </w:pPr>
      <w:r w:rsidRPr="00382917">
        <w:br w:type="page"/>
      </w:r>
    </w:p>
    <w:p w:rsidR="00B568B6" w:rsidRPr="00382917" w:rsidRDefault="00B568B6" w:rsidP="009073C7">
      <w:pPr>
        <w:pStyle w:val="Quote"/>
      </w:pPr>
      <w:r w:rsidRPr="00382917">
        <w:t>And</w:t>
      </w:r>
      <w:r w:rsidR="00EE4FC3">
        <w:t xml:space="preserve"> </w:t>
      </w:r>
      <w:r w:rsidRPr="00382917">
        <w:t>they</w:t>
      </w:r>
      <w:r w:rsidR="00EE4FC3">
        <w:t xml:space="preserve"> </w:t>
      </w:r>
      <w:r w:rsidRPr="00382917">
        <w:t>took</w:t>
      </w:r>
      <w:r w:rsidR="00EE4FC3">
        <w:t xml:space="preserve"> </w:t>
      </w:r>
      <w:r w:rsidRPr="00382917">
        <w:t>him</w:t>
      </w:r>
      <w:r w:rsidR="00EE4FC3">
        <w:t xml:space="preserve"> </w:t>
      </w:r>
      <w:r w:rsidRPr="00382917">
        <w:t>and</w:t>
      </w:r>
      <w:r w:rsidR="00EE4FC3">
        <w:t xml:space="preserve"> </w:t>
      </w:r>
      <w:r w:rsidRPr="00382917">
        <w:t>killed</w:t>
      </w:r>
      <w:r w:rsidR="00EE4FC3">
        <w:t xml:space="preserve"> </w:t>
      </w:r>
      <w:r w:rsidRPr="00382917">
        <w:t>him,</w:t>
      </w:r>
      <w:r w:rsidR="00EE4FC3">
        <w:t xml:space="preserve"> </w:t>
      </w:r>
      <w:r w:rsidRPr="00382917">
        <w:t>and</w:t>
      </w:r>
      <w:r w:rsidR="00EE4FC3">
        <w:t xml:space="preserve"> </w:t>
      </w:r>
      <w:r w:rsidRPr="00382917">
        <w:t>cast</w:t>
      </w:r>
      <w:r w:rsidR="00EE4FC3">
        <w:t xml:space="preserve"> </w:t>
      </w:r>
      <w:r w:rsidRPr="00382917">
        <w:t>him</w:t>
      </w:r>
      <w:r w:rsidR="00EE4FC3">
        <w:t xml:space="preserve"> </w:t>
      </w:r>
      <w:r w:rsidRPr="00382917">
        <w:t>out</w:t>
      </w:r>
      <w:r w:rsidR="00EE4FC3">
        <w:t xml:space="preserve"> </w:t>
      </w:r>
      <w:r w:rsidRPr="00382917">
        <w:t>of</w:t>
      </w:r>
      <w:r w:rsidR="00EE4FC3">
        <w:t xml:space="preserve"> </w:t>
      </w:r>
      <w:r w:rsidRPr="00382917">
        <w:t>the</w:t>
      </w:r>
      <w:r w:rsidR="00EE4FC3">
        <w:t xml:space="preserve"> </w:t>
      </w:r>
      <w:r w:rsidRPr="00382917">
        <w:t>vineyard</w:t>
      </w:r>
      <w:r w:rsidR="00F267E4">
        <w:t>.</w:t>
      </w:r>
      <w:r w:rsidR="00EE4FC3">
        <w:t xml:space="preserve">  </w:t>
      </w:r>
      <w:r w:rsidRPr="00382917">
        <w:t>What</w:t>
      </w:r>
      <w:r w:rsidR="00EE4FC3">
        <w:t xml:space="preserve"> </w:t>
      </w:r>
      <w:r w:rsidRPr="00382917">
        <w:t>shall</w:t>
      </w:r>
      <w:r w:rsidR="00EE4FC3">
        <w:t xml:space="preserve"> </w:t>
      </w:r>
      <w:r w:rsidRPr="00382917">
        <w:t>therefore</w:t>
      </w:r>
      <w:r w:rsidR="00EE4FC3">
        <w:t xml:space="preserve"> </w:t>
      </w:r>
      <w:r w:rsidRPr="00382917">
        <w:t>the</w:t>
      </w:r>
      <w:r w:rsidR="00EE4FC3">
        <w:t xml:space="preserve"> </w:t>
      </w:r>
      <w:r w:rsidRPr="00382917">
        <w:t>lord</w:t>
      </w:r>
      <w:r w:rsidR="00EE4FC3">
        <w:t xml:space="preserve"> </w:t>
      </w:r>
      <w:r w:rsidRPr="00382917">
        <w:t>of</w:t>
      </w:r>
      <w:r w:rsidR="00EE4FC3">
        <w:t xml:space="preserve"> </w:t>
      </w:r>
      <w:r w:rsidRPr="00382917">
        <w:t>the</w:t>
      </w:r>
      <w:r w:rsidR="00EE4FC3">
        <w:t xml:space="preserve"> </w:t>
      </w:r>
      <w:r w:rsidRPr="00382917">
        <w:t>vineyard</w:t>
      </w:r>
      <w:r w:rsidR="00EE4FC3">
        <w:t xml:space="preserve"> </w:t>
      </w:r>
      <w:r w:rsidRPr="00382917">
        <w:t>do</w:t>
      </w:r>
      <w:r w:rsidR="003C712C">
        <w:t xml:space="preserve">?  </w:t>
      </w:r>
      <w:r w:rsidRPr="00382917">
        <w:t>He</w:t>
      </w:r>
      <w:r w:rsidR="00EE4FC3">
        <w:t xml:space="preserve"> </w:t>
      </w:r>
      <w:r w:rsidRPr="00382917">
        <w:t>will</w:t>
      </w:r>
      <w:r w:rsidR="00EE4FC3">
        <w:t xml:space="preserve"> </w:t>
      </w:r>
      <w:r w:rsidRPr="00382917">
        <w:t>come</w:t>
      </w:r>
      <w:r w:rsidR="00EE4FC3">
        <w:t xml:space="preserve"> </w:t>
      </w:r>
      <w:r w:rsidRPr="00382917">
        <w:t>and</w:t>
      </w:r>
      <w:r w:rsidR="00EE4FC3">
        <w:t xml:space="preserve"> </w:t>
      </w:r>
      <w:r w:rsidRPr="00382917">
        <w:t>destroy</w:t>
      </w:r>
      <w:r w:rsidR="00EE4FC3">
        <w:t xml:space="preserve"> </w:t>
      </w:r>
      <w:r w:rsidRPr="00382917">
        <w:t>the</w:t>
      </w:r>
      <w:r w:rsidR="00EE4FC3">
        <w:t xml:space="preserve"> </w:t>
      </w:r>
      <w:r w:rsidRPr="00382917">
        <w:t>husbandmen,</w:t>
      </w:r>
      <w:r w:rsidR="00EE4FC3">
        <w:t xml:space="preserve"> </w:t>
      </w:r>
      <w:r w:rsidRPr="00382917">
        <w:t>and</w:t>
      </w:r>
      <w:r w:rsidR="00EE4FC3">
        <w:t xml:space="preserve"> </w:t>
      </w:r>
      <w:r w:rsidRPr="00382917">
        <w:t>will</w:t>
      </w:r>
      <w:r w:rsidR="00EE4FC3">
        <w:t xml:space="preserve"> </w:t>
      </w:r>
      <w:r w:rsidRPr="00382917">
        <w:t>give</w:t>
      </w:r>
      <w:r w:rsidR="00EE4FC3">
        <w:t xml:space="preserve"> </w:t>
      </w:r>
      <w:r w:rsidRPr="00382917">
        <w:t>the</w:t>
      </w:r>
      <w:r w:rsidR="00EE4FC3">
        <w:t xml:space="preserve"> </w:t>
      </w:r>
      <w:r w:rsidRPr="00382917">
        <w:t>vineyard</w:t>
      </w:r>
      <w:r w:rsidR="00EE4FC3">
        <w:t xml:space="preserve"> </w:t>
      </w:r>
      <w:r w:rsidRPr="00382917">
        <w:t>unto</w:t>
      </w:r>
      <w:r w:rsidR="00EE4FC3">
        <w:t xml:space="preserve"> </w:t>
      </w:r>
      <w:r w:rsidRPr="00382917">
        <w:t>others.</w:t>
      </w:r>
      <w:r w:rsidR="009C713D" w:rsidRPr="00382917">
        <w:t>”</w:t>
      </w:r>
      <w:r w:rsidR="009073C7">
        <w:rPr>
          <w:rStyle w:val="FootnoteReference"/>
        </w:rPr>
        <w:footnoteReference w:id="390"/>
      </w:r>
    </w:p>
    <w:p w:rsidR="00B568B6" w:rsidRPr="00382917" w:rsidRDefault="00B568B6" w:rsidP="00B568B6">
      <w:pPr>
        <w:pStyle w:val="Text"/>
      </w:pPr>
      <w:r w:rsidRPr="00382917">
        <w:t>The</w:t>
      </w:r>
      <w:r w:rsidR="00EE4FC3">
        <w:t xml:space="preserve"> </w:t>
      </w:r>
      <w:r w:rsidRPr="00382917">
        <w:t>meaning</w:t>
      </w:r>
      <w:r w:rsidR="00EE4FC3">
        <w:t xml:space="preserve"> </w:t>
      </w:r>
      <w:r w:rsidRPr="00382917">
        <w:t>is</w:t>
      </w:r>
      <w:r w:rsidR="00EE4FC3">
        <w:t xml:space="preserve"> </w:t>
      </w:r>
      <w:r w:rsidRPr="00382917">
        <w:t>this</w:t>
      </w:r>
      <w:r w:rsidR="00C03C91">
        <w:t>:</w:t>
      </w:r>
      <w:r w:rsidR="00EE4FC3">
        <w:t xml:space="preserve">  </w:t>
      </w:r>
      <w:r w:rsidRPr="00382917">
        <w:t>The</w:t>
      </w:r>
      <w:r w:rsidR="00EE4FC3">
        <w:t xml:space="preserve"> </w:t>
      </w:r>
      <w:r w:rsidRPr="00382917">
        <w:t>vineyard</w:t>
      </w:r>
      <w:r w:rsidR="00EE4FC3">
        <w:t xml:space="preserve"> </w:t>
      </w:r>
      <w:r w:rsidRPr="00382917">
        <w:t>is</w:t>
      </w:r>
      <w:r w:rsidR="00EE4FC3">
        <w:t xml:space="preserve"> </w:t>
      </w:r>
      <w:r w:rsidRPr="00382917">
        <w:t>the</w:t>
      </w:r>
      <w:r w:rsidR="00EE4FC3">
        <w:t xml:space="preserve"> </w:t>
      </w:r>
      <w:r w:rsidRPr="00382917">
        <w:t>earth,</w:t>
      </w:r>
      <w:r w:rsidR="00EE4FC3">
        <w:t xml:space="preserve"> </w:t>
      </w:r>
      <w:r w:rsidRPr="00382917">
        <w:t>the</w:t>
      </w:r>
      <w:r w:rsidR="00EE4FC3">
        <w:t xml:space="preserve"> </w:t>
      </w:r>
      <w:r w:rsidRPr="00382917">
        <w:t>man</w:t>
      </w:r>
      <w:r w:rsidR="00EE4FC3">
        <w:t xml:space="preserve"> </w:t>
      </w:r>
      <w:r w:rsidRPr="00382917">
        <w:t>who</w:t>
      </w:r>
      <w:r w:rsidR="00EE4FC3">
        <w:t xml:space="preserve"> </w:t>
      </w:r>
      <w:r w:rsidRPr="00382917">
        <w:t>planted</w:t>
      </w:r>
      <w:r w:rsidR="00EE4FC3">
        <w:t xml:space="preserve"> </w:t>
      </w:r>
      <w:r w:rsidRPr="00382917">
        <w:t>it</w:t>
      </w:r>
      <w:r w:rsidR="00EE4FC3">
        <w:t xml:space="preserve"> </w:t>
      </w:r>
      <w:r w:rsidRPr="00382917">
        <w:t>is</w:t>
      </w:r>
      <w:r w:rsidR="00EE4FC3">
        <w:t xml:space="preserve"> </w:t>
      </w:r>
      <w:r w:rsidRPr="00382917">
        <w:t>God,</w:t>
      </w:r>
      <w:r w:rsidR="00EE4FC3">
        <w:t xml:space="preserve"> </w:t>
      </w:r>
      <w:r w:rsidRPr="00382917">
        <w:t>and</w:t>
      </w:r>
      <w:r w:rsidR="00EE4FC3">
        <w:t xml:space="preserve"> </w:t>
      </w:r>
      <w:r w:rsidRPr="00382917">
        <w:t>the</w:t>
      </w:r>
      <w:r w:rsidR="00EE4FC3">
        <w:t xml:space="preserve"> </w:t>
      </w:r>
      <w:r w:rsidRPr="00382917">
        <w:t>husbandmen</w:t>
      </w:r>
      <w:r w:rsidR="00EE4FC3">
        <w:t xml:space="preserve"> </w:t>
      </w:r>
      <w:r w:rsidRPr="00382917">
        <w:t>to</w:t>
      </w:r>
      <w:r w:rsidR="00EE4FC3">
        <w:t xml:space="preserve"> </w:t>
      </w:r>
      <w:r w:rsidRPr="00382917">
        <w:t>whom</w:t>
      </w:r>
      <w:r w:rsidR="00EE4FC3">
        <w:t xml:space="preserve"> </w:t>
      </w:r>
      <w:r w:rsidRPr="00382917">
        <w:t>it</w:t>
      </w:r>
      <w:r w:rsidR="00EE4FC3">
        <w:t xml:space="preserve"> </w:t>
      </w:r>
      <w:r w:rsidRPr="00382917">
        <w:t>was</w:t>
      </w:r>
      <w:r w:rsidR="00EE4FC3">
        <w:t xml:space="preserve"> </w:t>
      </w:r>
      <w:r w:rsidRPr="00382917">
        <w:t>let</w:t>
      </w:r>
      <w:r w:rsidR="00EE4FC3">
        <w:t xml:space="preserve"> </w:t>
      </w:r>
      <w:r w:rsidRPr="00382917">
        <w:t>out</w:t>
      </w:r>
      <w:r w:rsidR="00EE4FC3">
        <w:t xml:space="preserve"> </w:t>
      </w:r>
      <w:r w:rsidRPr="00382917">
        <w:t>are</w:t>
      </w:r>
      <w:r w:rsidR="00EE4FC3">
        <w:t xml:space="preserve"> </w:t>
      </w:r>
      <w:r w:rsidRPr="00382917">
        <w:t>the</w:t>
      </w:r>
      <w:r w:rsidR="00EE4FC3">
        <w:t xml:space="preserve"> </w:t>
      </w:r>
      <w:r w:rsidRPr="00382917">
        <w:t>people</w:t>
      </w:r>
      <w:r w:rsidR="00EE4FC3">
        <w:t xml:space="preserve"> </w:t>
      </w:r>
      <w:r w:rsidRPr="00382917">
        <w:t>of</w:t>
      </w:r>
      <w:r w:rsidR="00EE4FC3">
        <w:t xml:space="preserve"> </w:t>
      </w:r>
      <w:r w:rsidRPr="00382917">
        <w:t>the</w:t>
      </w:r>
      <w:r w:rsidR="00EE4FC3">
        <w:t xml:space="preserve"> </w:t>
      </w:r>
      <w:r w:rsidRPr="00382917">
        <w:t>earth,</w:t>
      </w:r>
      <w:r w:rsidR="00EE4FC3">
        <w:t xml:space="preserve"> </w:t>
      </w:r>
      <w:r w:rsidRPr="00382917">
        <w:t>especially</w:t>
      </w:r>
      <w:r w:rsidR="00EE4FC3">
        <w:t xml:space="preserve"> </w:t>
      </w:r>
      <w:r w:rsidRPr="00382917">
        <w:t>their</w:t>
      </w:r>
      <w:r w:rsidR="00EE4FC3">
        <w:t xml:space="preserve"> </w:t>
      </w:r>
      <w:r w:rsidRPr="00382917">
        <w:t>leaders.</w:t>
      </w:r>
    </w:p>
    <w:p w:rsidR="00B568B6" w:rsidRPr="00382917" w:rsidRDefault="00B568B6" w:rsidP="00B568B6">
      <w:pPr>
        <w:pStyle w:val="Text"/>
      </w:pPr>
      <w:r w:rsidRPr="00382917">
        <w:t>The</w:t>
      </w:r>
      <w:r w:rsidR="00EE4FC3">
        <w:t xml:space="preserve"> </w:t>
      </w:r>
      <w:r w:rsidRPr="00382917">
        <w:t>servant</w:t>
      </w:r>
      <w:r w:rsidR="00EE4FC3">
        <w:t xml:space="preserve"> </w:t>
      </w:r>
      <w:r w:rsidRPr="00382917">
        <w:t>who</w:t>
      </w:r>
      <w:r w:rsidR="00EE4FC3">
        <w:t xml:space="preserve"> </w:t>
      </w:r>
      <w:r w:rsidRPr="00382917">
        <w:t>was</w:t>
      </w:r>
      <w:r w:rsidR="00EE4FC3">
        <w:t xml:space="preserve"> </w:t>
      </w:r>
      <w:r w:rsidRPr="00382917">
        <w:t>sent</w:t>
      </w:r>
      <w:r w:rsidR="00EE4FC3">
        <w:t xml:space="preserve"> </w:t>
      </w:r>
      <w:r w:rsidRPr="00382917">
        <w:t>by</w:t>
      </w:r>
      <w:r w:rsidR="00EE4FC3">
        <w:t xml:space="preserve"> </w:t>
      </w:r>
      <w:r w:rsidRPr="00382917">
        <w:t>God</w:t>
      </w:r>
      <w:r w:rsidR="00EE4FC3">
        <w:t xml:space="preserve"> </w:t>
      </w:r>
      <w:r w:rsidRPr="00382917">
        <w:t>to</w:t>
      </w:r>
      <w:r w:rsidR="00EE4FC3">
        <w:t xml:space="preserve"> </w:t>
      </w:r>
      <w:r w:rsidRPr="00382917">
        <w:t>claim</w:t>
      </w:r>
      <w:r w:rsidR="00EE4FC3">
        <w:t xml:space="preserve"> </w:t>
      </w:r>
      <w:r w:rsidRPr="00382917">
        <w:t>the</w:t>
      </w:r>
      <w:r w:rsidR="00EE4FC3">
        <w:t xml:space="preserve"> </w:t>
      </w:r>
      <w:r w:rsidRPr="00382917">
        <w:t>fruit</w:t>
      </w:r>
      <w:r w:rsidR="00EE4FC3">
        <w:t xml:space="preserve"> </w:t>
      </w:r>
      <w:r w:rsidRPr="00382917">
        <w:t>was</w:t>
      </w:r>
      <w:r w:rsidR="00EE4FC3">
        <w:t xml:space="preserve"> </w:t>
      </w:r>
      <w:r w:rsidRPr="00382917">
        <w:t>a</w:t>
      </w:r>
      <w:r w:rsidR="00EE4FC3">
        <w:t xml:space="preserve"> </w:t>
      </w:r>
      <w:r w:rsidRPr="00382917">
        <w:t>Messenger</w:t>
      </w:r>
      <w:r w:rsidR="00EE4FC3">
        <w:t xml:space="preserve"> </w:t>
      </w:r>
      <w:r w:rsidRPr="00382917">
        <w:t>or</w:t>
      </w:r>
      <w:r w:rsidR="00EE4FC3">
        <w:t xml:space="preserve"> </w:t>
      </w:r>
      <w:r w:rsidRPr="00382917">
        <w:t>Prophet</w:t>
      </w:r>
      <w:r w:rsidR="00EE4FC3">
        <w:t xml:space="preserve"> </w:t>
      </w:r>
      <w:r w:rsidRPr="00382917">
        <w:t>of</w:t>
      </w:r>
      <w:r w:rsidR="00EE4FC3">
        <w:t xml:space="preserve"> </w:t>
      </w:r>
      <w:r w:rsidRPr="00382917">
        <w:t>God</w:t>
      </w:r>
      <w:r w:rsidR="00F267E4">
        <w:t>.</w:t>
      </w:r>
      <w:r w:rsidR="00EE4FC3">
        <w:t xml:space="preserve">  </w:t>
      </w:r>
      <w:r w:rsidRPr="00382917">
        <w:t>The</w:t>
      </w:r>
      <w:r w:rsidR="00EE4FC3">
        <w:t xml:space="preserve"> </w:t>
      </w:r>
      <w:r w:rsidRPr="00382917">
        <w:t>fruit</w:t>
      </w:r>
      <w:r w:rsidR="00EE4FC3">
        <w:t xml:space="preserve"> </w:t>
      </w:r>
      <w:r w:rsidRPr="00382917">
        <w:t>He</w:t>
      </w:r>
      <w:r w:rsidR="00EE4FC3">
        <w:t xml:space="preserve"> </w:t>
      </w:r>
      <w:r w:rsidRPr="00382917">
        <w:t>came</w:t>
      </w:r>
      <w:r w:rsidR="00EE4FC3">
        <w:t xml:space="preserve"> </w:t>
      </w:r>
      <w:r w:rsidRPr="00382917">
        <w:t>to</w:t>
      </w:r>
      <w:r w:rsidR="00EE4FC3">
        <w:t xml:space="preserve"> </w:t>
      </w:r>
      <w:r w:rsidRPr="00382917">
        <w:t>gather</w:t>
      </w:r>
      <w:r w:rsidR="00EE4FC3">
        <w:t xml:space="preserve"> </w:t>
      </w:r>
      <w:r w:rsidRPr="00382917">
        <w:t>was</w:t>
      </w:r>
      <w:r w:rsidR="00EE4FC3">
        <w:t xml:space="preserve"> </w:t>
      </w:r>
      <w:r w:rsidRPr="00382917">
        <w:t>the</w:t>
      </w:r>
      <w:r w:rsidR="00EE4FC3">
        <w:t xml:space="preserve"> </w:t>
      </w:r>
      <w:r w:rsidRPr="00382917">
        <w:t>hearts</w:t>
      </w:r>
      <w:r w:rsidR="00EE4FC3">
        <w:t xml:space="preserve"> </w:t>
      </w:r>
      <w:r w:rsidRPr="00382917">
        <w:t>of</w:t>
      </w:r>
      <w:r w:rsidR="00EE4FC3">
        <w:t xml:space="preserve"> </w:t>
      </w:r>
      <w:r w:rsidRPr="00382917">
        <w:t>the</w:t>
      </w:r>
      <w:r w:rsidR="00EE4FC3">
        <w:t xml:space="preserve"> </w:t>
      </w:r>
      <w:r w:rsidRPr="00382917">
        <w:t>people</w:t>
      </w:r>
      <w:r w:rsidR="00EE4FC3">
        <w:t xml:space="preserve"> </w:t>
      </w:r>
      <w:r w:rsidRPr="00382917">
        <w:t>given</w:t>
      </w:r>
      <w:r w:rsidR="00EE4FC3">
        <w:t xml:space="preserve"> </w:t>
      </w:r>
      <w:r w:rsidRPr="00382917">
        <w:t>in</w:t>
      </w:r>
      <w:r w:rsidR="00EE4FC3">
        <w:t xml:space="preserve"> </w:t>
      </w:r>
      <w:r w:rsidRPr="00382917">
        <w:t>love</w:t>
      </w:r>
      <w:r w:rsidR="00EE4FC3">
        <w:t xml:space="preserve"> </w:t>
      </w:r>
      <w:r w:rsidRPr="00382917">
        <w:t>for</w:t>
      </w:r>
      <w:r w:rsidR="00EE4FC3">
        <w:t xml:space="preserve"> </w:t>
      </w:r>
      <w:r w:rsidRPr="00382917">
        <w:t>God</w:t>
      </w:r>
      <w:r w:rsidR="00EE4FC3">
        <w:t xml:space="preserve"> </w:t>
      </w:r>
      <w:r w:rsidRPr="00382917">
        <w:t>and</w:t>
      </w:r>
      <w:r w:rsidR="00EE4FC3">
        <w:t xml:space="preserve"> </w:t>
      </w:r>
      <w:r w:rsidRPr="00382917">
        <w:t>for</w:t>
      </w:r>
      <w:r w:rsidR="00EE4FC3">
        <w:t xml:space="preserve"> </w:t>
      </w:r>
      <w:r w:rsidRPr="00382917">
        <w:t>their</w:t>
      </w:r>
      <w:r w:rsidR="00EE4FC3">
        <w:t xml:space="preserve"> </w:t>
      </w:r>
      <w:r w:rsidRPr="00382917">
        <w:t>fellowman.</w:t>
      </w:r>
    </w:p>
    <w:p w:rsidR="00B568B6" w:rsidRPr="00382917" w:rsidRDefault="00B568B6" w:rsidP="00B568B6">
      <w:pPr>
        <w:pStyle w:val="Text"/>
      </w:pPr>
      <w:r w:rsidRPr="00382917">
        <w:t>They</w:t>
      </w:r>
      <w:r w:rsidR="00EE4FC3">
        <w:t xml:space="preserve"> </w:t>
      </w:r>
      <w:r w:rsidRPr="00382917">
        <w:t>beat</w:t>
      </w:r>
      <w:r w:rsidR="00EE4FC3">
        <w:t xml:space="preserve"> </w:t>
      </w:r>
      <w:r w:rsidRPr="00382917">
        <w:t>the</w:t>
      </w:r>
      <w:r w:rsidR="00EE4FC3">
        <w:t xml:space="preserve"> </w:t>
      </w:r>
      <w:r w:rsidRPr="00382917">
        <w:t>Prophet</w:t>
      </w:r>
      <w:r w:rsidR="00EE4FC3">
        <w:t xml:space="preserve"> </w:t>
      </w:r>
      <w:r w:rsidRPr="00382917">
        <w:t>(servant)</w:t>
      </w:r>
      <w:r w:rsidR="00EE4FC3">
        <w:t xml:space="preserve"> </w:t>
      </w:r>
      <w:r w:rsidRPr="00382917">
        <w:t>and</w:t>
      </w:r>
      <w:r w:rsidR="00EE4FC3">
        <w:t xml:space="preserve"> </w:t>
      </w:r>
      <w:r w:rsidRPr="00382917">
        <w:t>drove</w:t>
      </w:r>
      <w:r w:rsidR="00EE4FC3">
        <w:t xml:space="preserve"> </w:t>
      </w:r>
      <w:r w:rsidRPr="00382917">
        <w:t>Him</w:t>
      </w:r>
      <w:r w:rsidR="00EE4FC3">
        <w:t xml:space="preserve"> </w:t>
      </w:r>
      <w:r w:rsidRPr="00382917">
        <w:t>off</w:t>
      </w:r>
      <w:r w:rsidR="00F267E4">
        <w:t>.</w:t>
      </w:r>
      <w:r w:rsidR="00EE4FC3">
        <w:t xml:space="preserve">  </w:t>
      </w:r>
      <w:r w:rsidRPr="00382917">
        <w:t>So</w:t>
      </w:r>
      <w:r w:rsidR="00EE4FC3">
        <w:t xml:space="preserve"> </w:t>
      </w:r>
      <w:r w:rsidRPr="00382917">
        <w:t>God</w:t>
      </w:r>
      <w:r w:rsidR="00EE4FC3">
        <w:t xml:space="preserve"> </w:t>
      </w:r>
      <w:r w:rsidRPr="00382917">
        <w:t>sent</w:t>
      </w:r>
      <w:r w:rsidR="00EE4FC3">
        <w:t xml:space="preserve"> </w:t>
      </w:r>
      <w:r w:rsidRPr="00382917">
        <w:t>another</w:t>
      </w:r>
      <w:r w:rsidR="00EE4FC3">
        <w:t xml:space="preserve"> </w:t>
      </w:r>
      <w:r w:rsidRPr="00382917">
        <w:t>Prophet</w:t>
      </w:r>
      <w:r w:rsidR="00EE4FC3">
        <w:t xml:space="preserve"> </w:t>
      </w:r>
      <w:r w:rsidRPr="00382917">
        <w:t>(servant)</w:t>
      </w:r>
      <w:r w:rsidR="00EE4FC3">
        <w:t xml:space="preserve"> </w:t>
      </w:r>
      <w:r w:rsidRPr="00382917">
        <w:t>unto</w:t>
      </w:r>
      <w:r w:rsidR="00EE4FC3">
        <w:t xml:space="preserve"> </w:t>
      </w:r>
      <w:r w:rsidRPr="00382917">
        <w:t>the</w:t>
      </w:r>
      <w:r w:rsidR="00EE4FC3">
        <w:t xml:space="preserve"> </w:t>
      </w:r>
      <w:r w:rsidRPr="00382917">
        <w:t>world</w:t>
      </w:r>
      <w:r w:rsidR="00EE4FC3">
        <w:t xml:space="preserve"> </w:t>
      </w:r>
      <w:r w:rsidRPr="00382917">
        <w:t>(vineyard)</w:t>
      </w:r>
      <w:r w:rsidR="00EE4FC3">
        <w:t xml:space="preserve"> </w:t>
      </w:r>
      <w:r w:rsidRPr="00382917">
        <w:t>to</w:t>
      </w:r>
      <w:r w:rsidR="00EE4FC3">
        <w:t xml:space="preserve"> </w:t>
      </w:r>
      <w:r w:rsidRPr="00382917">
        <w:t>claim</w:t>
      </w:r>
      <w:r w:rsidR="00EE4FC3">
        <w:t xml:space="preserve"> </w:t>
      </w:r>
      <w:r w:rsidRPr="00382917">
        <w:t>His</w:t>
      </w:r>
      <w:r w:rsidR="00EE4FC3">
        <w:t xml:space="preserve"> </w:t>
      </w:r>
      <w:r w:rsidRPr="00382917">
        <w:t>right</w:t>
      </w:r>
      <w:r w:rsidR="00EE4FC3">
        <w:t xml:space="preserve"> </w:t>
      </w:r>
      <w:r w:rsidRPr="00382917">
        <w:t>from</w:t>
      </w:r>
      <w:r w:rsidR="00EE4FC3">
        <w:t xml:space="preserve"> </w:t>
      </w:r>
      <w:r w:rsidRPr="00382917">
        <w:t>His</w:t>
      </w:r>
      <w:r w:rsidR="00EE4FC3">
        <w:t xml:space="preserve"> </w:t>
      </w:r>
      <w:r w:rsidRPr="00382917">
        <w:t>creation</w:t>
      </w:r>
      <w:r w:rsidR="00F267E4">
        <w:t>.</w:t>
      </w:r>
      <w:r w:rsidR="00EE4FC3">
        <w:t xml:space="preserve">  </w:t>
      </w:r>
      <w:r w:rsidRPr="00382917">
        <w:t>But</w:t>
      </w:r>
      <w:r w:rsidR="00EE4FC3">
        <w:t xml:space="preserve"> </w:t>
      </w:r>
      <w:r w:rsidRPr="00382917">
        <w:t>the</w:t>
      </w:r>
      <w:r w:rsidR="00EE4FC3">
        <w:t xml:space="preserve"> </w:t>
      </w:r>
      <w:r w:rsidRPr="00382917">
        <w:t>people</w:t>
      </w:r>
      <w:r w:rsidR="00EE4FC3">
        <w:t xml:space="preserve"> </w:t>
      </w:r>
      <w:r w:rsidRPr="00382917">
        <w:t>(husbandmen)</w:t>
      </w:r>
      <w:r w:rsidR="00EE4FC3">
        <w:t xml:space="preserve"> </w:t>
      </w:r>
      <w:r w:rsidRPr="00382917">
        <w:t>stoned</w:t>
      </w:r>
      <w:r w:rsidR="00EE4FC3">
        <w:t xml:space="preserve"> </w:t>
      </w:r>
      <w:r w:rsidRPr="00382917">
        <w:t>them,</w:t>
      </w:r>
      <w:r w:rsidR="00EE4FC3">
        <w:t xml:space="preserve"> </w:t>
      </w:r>
      <w:r w:rsidRPr="00382917">
        <w:t>beat</w:t>
      </w:r>
      <w:r w:rsidR="00EE4FC3">
        <w:t xml:space="preserve"> </w:t>
      </w:r>
      <w:r w:rsidRPr="00382917">
        <w:t>them,</w:t>
      </w:r>
      <w:r w:rsidR="00EE4FC3">
        <w:t xml:space="preserve"> </w:t>
      </w:r>
      <w:r w:rsidRPr="00382917">
        <w:t>and</w:t>
      </w:r>
      <w:r w:rsidR="00EE4FC3">
        <w:t xml:space="preserve"> </w:t>
      </w:r>
      <w:r w:rsidRPr="00382917">
        <w:t>killed</w:t>
      </w:r>
      <w:r w:rsidR="00EE4FC3">
        <w:t xml:space="preserve"> </w:t>
      </w:r>
      <w:r w:rsidRPr="00382917">
        <w:t>them</w:t>
      </w:r>
      <w:r w:rsidR="00F267E4">
        <w:t>.</w:t>
      </w:r>
      <w:r w:rsidR="00EE4FC3">
        <w:t xml:space="preserve">  </w:t>
      </w:r>
      <w:r w:rsidRPr="00382917">
        <w:t>Always</w:t>
      </w:r>
      <w:r w:rsidR="00EE4FC3">
        <w:t xml:space="preserve"> </w:t>
      </w:r>
      <w:r w:rsidRPr="00382917">
        <w:t>dealing</w:t>
      </w:r>
      <w:r w:rsidR="00EE4FC3">
        <w:t xml:space="preserve"> </w:t>
      </w:r>
      <w:r w:rsidRPr="00382917">
        <w:t>thus</w:t>
      </w:r>
      <w:r w:rsidR="00EE4FC3">
        <w:t xml:space="preserve"> </w:t>
      </w:r>
      <w:r w:rsidRPr="00382917">
        <w:t>with</w:t>
      </w:r>
      <w:r w:rsidR="00EE4FC3">
        <w:t xml:space="preserve"> </w:t>
      </w:r>
      <w:r w:rsidRPr="00382917">
        <w:t>God</w:t>
      </w:r>
      <w:r w:rsidR="009C713D" w:rsidRPr="00382917">
        <w:t>’</w:t>
      </w:r>
      <w:r w:rsidRPr="00382917">
        <w:t>s</w:t>
      </w:r>
      <w:r w:rsidR="00EE4FC3">
        <w:t xml:space="preserve"> </w:t>
      </w:r>
      <w:r w:rsidRPr="00382917">
        <w:t>Messengers.</w:t>
      </w:r>
    </w:p>
    <w:p w:rsidR="00B568B6" w:rsidRPr="00382917" w:rsidRDefault="00B568B6" w:rsidP="00B568B6">
      <w:pPr>
        <w:pStyle w:val="Text"/>
      </w:pPr>
      <w:r w:rsidRPr="00382917">
        <w:t>Finally</w:t>
      </w:r>
      <w:r w:rsidR="00EE4FC3">
        <w:t xml:space="preserve"> </w:t>
      </w:r>
      <w:r w:rsidRPr="00382917">
        <w:t>the</w:t>
      </w:r>
      <w:r w:rsidR="00EE4FC3">
        <w:t xml:space="preserve"> </w:t>
      </w:r>
      <w:r w:rsidRPr="00382917">
        <w:t>owner</w:t>
      </w:r>
      <w:r w:rsidR="00EE4FC3">
        <w:t xml:space="preserve"> </w:t>
      </w:r>
      <w:r w:rsidRPr="00382917">
        <w:t>(God)</w:t>
      </w:r>
      <w:r w:rsidR="00EE4FC3">
        <w:t xml:space="preserve"> </w:t>
      </w:r>
      <w:r w:rsidRPr="00382917">
        <w:t>sent</w:t>
      </w:r>
      <w:r w:rsidR="00EE4FC3">
        <w:t xml:space="preserve"> </w:t>
      </w:r>
      <w:r w:rsidRPr="00382917">
        <w:t>his</w:t>
      </w:r>
      <w:r w:rsidR="00EE4FC3">
        <w:t xml:space="preserve"> </w:t>
      </w:r>
      <w:r w:rsidRPr="00382917">
        <w:t>son</w:t>
      </w:r>
      <w:r w:rsidR="00EE4FC3">
        <w:t xml:space="preserve"> </w:t>
      </w:r>
      <w:r w:rsidRPr="00382917">
        <w:t>(Christ)</w:t>
      </w:r>
      <w:r w:rsidR="00EE4FC3">
        <w:t xml:space="preserve"> </w:t>
      </w:r>
      <w:r w:rsidRPr="00382917">
        <w:t>into</w:t>
      </w:r>
      <w:r w:rsidR="00EE4FC3">
        <w:t xml:space="preserve"> </w:t>
      </w:r>
      <w:r w:rsidRPr="00382917">
        <w:t>the</w:t>
      </w:r>
      <w:r w:rsidR="00EE4FC3">
        <w:t xml:space="preserve"> </w:t>
      </w:r>
      <w:r w:rsidRPr="00382917">
        <w:t>vineyard</w:t>
      </w:r>
      <w:r w:rsidR="00EE4FC3">
        <w:t xml:space="preserve"> </w:t>
      </w:r>
      <w:r w:rsidRPr="00382917">
        <w:t>(earth)</w:t>
      </w:r>
      <w:r w:rsidR="00EE4FC3">
        <w:t xml:space="preserve"> </w:t>
      </w:r>
      <w:r w:rsidRPr="00382917">
        <w:t>thinking</w:t>
      </w:r>
      <w:r w:rsidR="00EE4FC3">
        <w:t xml:space="preserve"> </w:t>
      </w:r>
      <w:r w:rsidRPr="00382917">
        <w:t>surely</w:t>
      </w:r>
      <w:r w:rsidR="00EE4FC3">
        <w:t xml:space="preserve"> </w:t>
      </w:r>
      <w:r w:rsidRPr="00382917">
        <w:t>they</w:t>
      </w:r>
      <w:r w:rsidR="00EE4FC3">
        <w:t xml:space="preserve"> </w:t>
      </w:r>
      <w:r w:rsidRPr="00382917">
        <w:t>will</w:t>
      </w:r>
      <w:r w:rsidR="00EE4FC3">
        <w:t xml:space="preserve"> </w:t>
      </w:r>
      <w:proofErr w:type="spellStart"/>
      <w:r w:rsidRPr="00382917">
        <w:t>honor</w:t>
      </w:r>
      <w:proofErr w:type="spellEnd"/>
      <w:r w:rsidR="00EE4FC3">
        <w:t xml:space="preserve"> </w:t>
      </w:r>
      <w:r w:rsidRPr="00382917">
        <w:t>Him</w:t>
      </w:r>
      <w:r w:rsidR="00EE4FC3">
        <w:t xml:space="preserve"> </w:t>
      </w:r>
      <w:r w:rsidRPr="00382917">
        <w:t>and</w:t>
      </w:r>
      <w:r w:rsidR="00EE4FC3">
        <w:t xml:space="preserve"> </w:t>
      </w:r>
      <w:r w:rsidRPr="00382917">
        <w:t>at</w:t>
      </w:r>
      <w:r w:rsidR="00EE4FC3">
        <w:t xml:space="preserve"> </w:t>
      </w:r>
      <w:r w:rsidRPr="00382917">
        <w:t>last</w:t>
      </w:r>
      <w:r w:rsidR="00EE4FC3">
        <w:t xml:space="preserve"> </w:t>
      </w:r>
      <w:r w:rsidRPr="00382917">
        <w:t>know</w:t>
      </w:r>
      <w:r w:rsidR="00EE4FC3">
        <w:t xml:space="preserve"> </w:t>
      </w:r>
      <w:r w:rsidRPr="00382917">
        <w:t>the</w:t>
      </w:r>
      <w:r w:rsidR="00EE4FC3">
        <w:t xml:space="preserve"> </w:t>
      </w:r>
      <w:r w:rsidRPr="00382917">
        <w:t>truth</w:t>
      </w:r>
      <w:r w:rsidR="00F267E4">
        <w:t>.</w:t>
      </w:r>
      <w:r w:rsidR="00EE4FC3">
        <w:t xml:space="preserve">  </w:t>
      </w:r>
      <w:r w:rsidRPr="00382917">
        <w:t>But</w:t>
      </w:r>
      <w:r w:rsidR="00EE4FC3">
        <w:t xml:space="preserve"> </w:t>
      </w:r>
      <w:r w:rsidRPr="00382917">
        <w:t>they</w:t>
      </w:r>
      <w:r w:rsidR="00EE4FC3">
        <w:t xml:space="preserve"> </w:t>
      </w:r>
      <w:r w:rsidRPr="00382917">
        <w:t>crucified</w:t>
      </w:r>
      <w:r w:rsidR="00EE4FC3">
        <w:t xml:space="preserve"> </w:t>
      </w:r>
      <w:r w:rsidRPr="00382917">
        <w:t>Him.</w:t>
      </w:r>
    </w:p>
    <w:p w:rsidR="00B568B6" w:rsidRPr="00382917" w:rsidRDefault="00B568B6" w:rsidP="00B568B6">
      <w:pPr>
        <w:pStyle w:val="Text"/>
      </w:pPr>
      <w:r w:rsidRPr="00382917">
        <w:t>Thereupon</w:t>
      </w:r>
      <w:r w:rsidR="00EE4FC3">
        <w:t xml:space="preserve"> </w:t>
      </w:r>
      <w:r w:rsidRPr="00382917">
        <w:t>the</w:t>
      </w:r>
      <w:r w:rsidR="00EE4FC3">
        <w:t xml:space="preserve"> </w:t>
      </w:r>
      <w:r w:rsidRPr="00382917">
        <w:t>owner</w:t>
      </w:r>
      <w:r w:rsidR="00EE4FC3">
        <w:t xml:space="preserve"> </w:t>
      </w:r>
      <w:r w:rsidRPr="00382917">
        <w:t>(God)</w:t>
      </w:r>
      <w:r w:rsidR="00EE4FC3">
        <w:t xml:space="preserve"> </w:t>
      </w:r>
      <w:r w:rsidRPr="00382917">
        <w:t>sent</w:t>
      </w:r>
      <w:r w:rsidR="00EE4FC3">
        <w:t xml:space="preserve"> </w:t>
      </w:r>
      <w:r w:rsidRPr="00382917">
        <w:t>the</w:t>
      </w:r>
      <w:r w:rsidR="00EE4FC3">
        <w:t xml:space="preserve"> </w:t>
      </w:r>
      <w:r w:rsidRPr="00382917">
        <w:t>Lord</w:t>
      </w:r>
      <w:r w:rsidR="00EE4FC3">
        <w:t xml:space="preserve"> </w:t>
      </w:r>
      <w:r w:rsidRPr="00382917">
        <w:t>of</w:t>
      </w:r>
      <w:r w:rsidR="00EE4FC3">
        <w:t xml:space="preserve"> </w:t>
      </w:r>
      <w:r w:rsidRPr="00382917">
        <w:t>the</w:t>
      </w:r>
      <w:r w:rsidR="00EE4FC3">
        <w:t xml:space="preserve"> </w:t>
      </w:r>
      <w:r w:rsidRPr="00382917">
        <w:t>vineyard</w:t>
      </w:r>
      <w:r w:rsidR="00EE4FC3">
        <w:t xml:space="preserve"> </w:t>
      </w:r>
      <w:r w:rsidRPr="00382917">
        <w:t>(Bahá</w:t>
      </w:r>
      <w:r w:rsidR="009C713D" w:rsidRPr="00382917">
        <w:t>’</w:t>
      </w:r>
      <w:r w:rsidRPr="00382917">
        <w:t>u</w:t>
      </w:r>
      <w:r w:rsidR="009C713D" w:rsidRPr="00382917">
        <w:t>’</w:t>
      </w:r>
      <w:r w:rsidRPr="00382917">
        <w:t>lláh),</w:t>
      </w:r>
      <w:r w:rsidR="00EE4FC3">
        <w:t xml:space="preserve"> </w:t>
      </w:r>
      <w:r w:rsidRPr="00382917">
        <w:t>representing</w:t>
      </w:r>
      <w:r w:rsidR="00EE4FC3">
        <w:t xml:space="preserve"> </w:t>
      </w:r>
      <w:r w:rsidRPr="00382917">
        <w:t>the</w:t>
      </w:r>
      <w:r w:rsidR="00EE4FC3">
        <w:t xml:space="preserve"> </w:t>
      </w:r>
      <w:r w:rsidRPr="00382917">
        <w:t>Father</w:t>
      </w:r>
      <w:r w:rsidR="00EE4FC3">
        <w:t xml:space="preserve"> </w:t>
      </w:r>
      <w:r w:rsidRPr="00382917">
        <w:t>Himself</w:t>
      </w:r>
      <w:r w:rsidR="00EE4FC3">
        <w:t xml:space="preserve"> </w:t>
      </w:r>
      <w:r w:rsidRPr="00382917">
        <w:t>into</w:t>
      </w:r>
      <w:r w:rsidR="00EE4FC3">
        <w:t xml:space="preserve"> </w:t>
      </w:r>
      <w:r w:rsidRPr="00382917">
        <w:t>the</w:t>
      </w:r>
      <w:r w:rsidR="00EE4FC3">
        <w:t xml:space="preserve"> </w:t>
      </w:r>
      <w:r w:rsidRPr="00382917">
        <w:t>vineyard</w:t>
      </w:r>
      <w:r w:rsidR="00EE4FC3">
        <w:t xml:space="preserve"> </w:t>
      </w:r>
      <w:r w:rsidRPr="00382917">
        <w:t>(earth).</w:t>
      </w:r>
    </w:p>
    <w:p w:rsidR="00B568B6" w:rsidRPr="00382917" w:rsidRDefault="00B568B6" w:rsidP="00B568B6">
      <w:pPr>
        <w:pStyle w:val="Text"/>
      </w:pPr>
      <w:r w:rsidRPr="00382917">
        <w:t>His</w:t>
      </w:r>
      <w:r w:rsidR="00EE4FC3">
        <w:t xml:space="preserve"> </w:t>
      </w:r>
      <w:r w:rsidRPr="00382917">
        <w:t>Mission</w:t>
      </w:r>
      <w:r w:rsidR="00EE4FC3">
        <w:t xml:space="preserve"> </w:t>
      </w:r>
      <w:r w:rsidRPr="00382917">
        <w:t>was</w:t>
      </w:r>
      <w:r w:rsidR="00EE4FC3">
        <w:t xml:space="preserve"> </w:t>
      </w:r>
      <w:r w:rsidRPr="00382917">
        <w:t>to</w:t>
      </w:r>
      <w:r w:rsidR="00EE4FC3">
        <w:t xml:space="preserve"> </w:t>
      </w:r>
      <w:r w:rsidRPr="00382917">
        <w:t>destroy</w:t>
      </w:r>
      <w:r w:rsidR="00EE4FC3">
        <w:t xml:space="preserve"> </w:t>
      </w:r>
      <w:r w:rsidRPr="00382917">
        <w:t>the</w:t>
      </w:r>
      <w:r w:rsidR="00EE4FC3">
        <w:t xml:space="preserve"> </w:t>
      </w:r>
      <w:r w:rsidRPr="00382917">
        <w:t>wicked</w:t>
      </w:r>
      <w:r w:rsidR="00EE4FC3">
        <w:t xml:space="preserve"> </w:t>
      </w:r>
      <w:r w:rsidRPr="00382917">
        <w:t>husbandmen</w:t>
      </w:r>
      <w:r w:rsidR="00EE4FC3">
        <w:t xml:space="preserve"> </w:t>
      </w:r>
      <w:r w:rsidRPr="00382917">
        <w:t>who</w:t>
      </w:r>
      <w:r w:rsidR="00EE4FC3">
        <w:t xml:space="preserve"> </w:t>
      </w:r>
      <w:r w:rsidRPr="00382917">
        <w:t>did</w:t>
      </w:r>
      <w:r w:rsidR="00EE4FC3">
        <w:t xml:space="preserve"> </w:t>
      </w:r>
      <w:r w:rsidRPr="00382917">
        <w:t>not</w:t>
      </w:r>
      <w:r w:rsidR="00EE4FC3">
        <w:t xml:space="preserve"> </w:t>
      </w:r>
      <w:r w:rsidRPr="00382917">
        <w:t>acknowledge</w:t>
      </w:r>
      <w:r w:rsidR="00EE4FC3">
        <w:t xml:space="preserve"> </w:t>
      </w:r>
      <w:r w:rsidRPr="00382917">
        <w:t>and</w:t>
      </w:r>
      <w:r w:rsidR="00EE4FC3">
        <w:t xml:space="preserve"> </w:t>
      </w:r>
      <w:r w:rsidRPr="00382917">
        <w:t>serve</w:t>
      </w:r>
      <w:r w:rsidR="00EE4FC3">
        <w:t xml:space="preserve"> </w:t>
      </w:r>
      <w:r w:rsidRPr="00382917">
        <w:t>God,</w:t>
      </w:r>
      <w:r w:rsidR="00EE4FC3">
        <w:t xml:space="preserve"> </w:t>
      </w:r>
      <w:r w:rsidRPr="00382917">
        <w:t>and</w:t>
      </w:r>
      <w:r w:rsidR="00EE4FC3">
        <w:t xml:space="preserve"> </w:t>
      </w:r>
      <w:r w:rsidRPr="00382917">
        <w:t>to</w:t>
      </w:r>
      <w:r w:rsidR="00EE4FC3">
        <w:t xml:space="preserve"> </w:t>
      </w:r>
      <w:r w:rsidRPr="00382917">
        <w:t>give</w:t>
      </w:r>
      <w:r w:rsidR="00EE4FC3">
        <w:t xml:space="preserve"> </w:t>
      </w:r>
      <w:r w:rsidRPr="00382917">
        <w:t>the</w:t>
      </w:r>
      <w:r w:rsidR="00EE4FC3">
        <w:t xml:space="preserve"> </w:t>
      </w:r>
      <w:r w:rsidRPr="00382917">
        <w:t>vineyard</w:t>
      </w:r>
      <w:r w:rsidR="00EE4FC3">
        <w:t xml:space="preserve"> </w:t>
      </w:r>
      <w:r w:rsidRPr="00382917">
        <w:t>(earth)</w:t>
      </w:r>
      <w:r w:rsidR="00EE4FC3">
        <w:t xml:space="preserve"> </w:t>
      </w:r>
      <w:r w:rsidRPr="00382917">
        <w:t>out</w:t>
      </w:r>
      <w:r w:rsidR="00EE4FC3">
        <w:t xml:space="preserve"> </w:t>
      </w:r>
      <w:r w:rsidRPr="00382917">
        <w:t>to</w:t>
      </w:r>
      <w:r w:rsidR="00EE4FC3">
        <w:t xml:space="preserve"> </w:t>
      </w:r>
      <w:r w:rsidRPr="00382917">
        <w:t>those</w:t>
      </w:r>
      <w:r w:rsidR="00EE4FC3">
        <w:t xml:space="preserve"> </w:t>
      </w:r>
      <w:r w:rsidRPr="00382917">
        <w:t>who</w:t>
      </w:r>
      <w:r w:rsidR="00EE4FC3">
        <w:t xml:space="preserve"> </w:t>
      </w:r>
      <w:r w:rsidRPr="00382917">
        <w:t>were</w:t>
      </w:r>
      <w:r w:rsidR="00EE4FC3">
        <w:t xml:space="preserve"> </w:t>
      </w:r>
      <w:r w:rsidRPr="00382917">
        <w:t>worthy</w:t>
      </w:r>
      <w:r w:rsidR="00EE4FC3">
        <w:t xml:space="preserve"> </w:t>
      </w:r>
      <w:r w:rsidRPr="00382917">
        <w:t>of</w:t>
      </w:r>
      <w:r w:rsidR="00EE4FC3">
        <w:t xml:space="preserve"> </w:t>
      </w:r>
      <w:r w:rsidRPr="00382917">
        <w:t>the</w:t>
      </w:r>
      <w:r w:rsidR="00EE4FC3">
        <w:t xml:space="preserve"> </w:t>
      </w:r>
      <w:r w:rsidRPr="00382917">
        <w:t>Truth</w:t>
      </w:r>
      <w:r w:rsidR="00EE4FC3">
        <w:t xml:space="preserve"> </w:t>
      </w:r>
      <w:r w:rsidRPr="00382917">
        <w:t>of</w:t>
      </w:r>
      <w:r w:rsidR="00EE4FC3">
        <w:t xml:space="preserve"> </w:t>
      </w:r>
      <w:r w:rsidRPr="00382917">
        <w:t>God.</w:t>
      </w:r>
    </w:p>
    <w:p w:rsidR="00B568B6" w:rsidRPr="00382917" w:rsidRDefault="00B568B6" w:rsidP="009073C7">
      <w:pPr>
        <w:pStyle w:val="Text"/>
      </w:pPr>
      <w:r w:rsidRPr="00382917">
        <w:t>This</w:t>
      </w:r>
      <w:r w:rsidR="00EE4FC3">
        <w:t xml:space="preserve"> </w:t>
      </w:r>
      <w:r w:rsidRPr="00382917">
        <w:t>is</w:t>
      </w:r>
      <w:r w:rsidR="00EE4FC3">
        <w:t xml:space="preserve"> </w:t>
      </w:r>
      <w:r w:rsidRPr="00382917">
        <w:t>the</w:t>
      </w:r>
      <w:r w:rsidR="00EE4FC3">
        <w:t xml:space="preserve"> </w:t>
      </w:r>
      <w:r w:rsidRPr="00382917">
        <w:t>outward</w:t>
      </w:r>
      <w:r w:rsidR="00EE4FC3">
        <w:t xml:space="preserve"> </w:t>
      </w:r>
      <w:r w:rsidRPr="00382917">
        <w:t>symbol</w:t>
      </w:r>
      <w:r w:rsidR="00EE4FC3">
        <w:t xml:space="preserve"> </w:t>
      </w:r>
      <w:r w:rsidRPr="00382917">
        <w:t>of</w:t>
      </w:r>
      <w:r w:rsidR="00EE4FC3">
        <w:t xml:space="preserve"> </w:t>
      </w:r>
      <w:r w:rsidRPr="00382917">
        <w:t>the</w:t>
      </w:r>
      <w:r w:rsidR="00EE4FC3">
        <w:t xml:space="preserve"> </w:t>
      </w:r>
      <w:r w:rsidRPr="00382917">
        <w:t>inward</w:t>
      </w:r>
      <w:r w:rsidR="00EE4FC3">
        <w:t xml:space="preserve"> </w:t>
      </w:r>
      <w:r w:rsidRPr="00382917">
        <w:t>truth</w:t>
      </w:r>
      <w:r w:rsidR="00EE4FC3">
        <w:t xml:space="preserve"> </w:t>
      </w:r>
      <w:r w:rsidRPr="00382917">
        <w:t>explaining</w:t>
      </w:r>
      <w:r w:rsidR="00EE4FC3">
        <w:t xml:space="preserve"> </w:t>
      </w:r>
      <w:r w:rsidRPr="00382917">
        <w:t>the</w:t>
      </w:r>
      <w:r w:rsidR="00EE4FC3">
        <w:t xml:space="preserve"> </w:t>
      </w:r>
      <w:r w:rsidRPr="00382917">
        <w:t>meaning</w:t>
      </w:r>
      <w:r w:rsidR="00EE4FC3">
        <w:t xml:space="preserve"> </w:t>
      </w:r>
      <w:r w:rsidRPr="00382917">
        <w:t>of</w:t>
      </w:r>
      <w:r w:rsidR="00EE4FC3">
        <w:t xml:space="preserve"> </w:t>
      </w:r>
      <w:r w:rsidRPr="00382917">
        <w:t>a</w:t>
      </w:r>
      <w:r w:rsidR="00EE4FC3">
        <w:t xml:space="preserve"> </w:t>
      </w:r>
      <w:r w:rsidRPr="00382917">
        <w:t>gradually</w:t>
      </w:r>
      <w:r w:rsidR="00EE4FC3">
        <w:t xml:space="preserve"> </w:t>
      </w:r>
      <w:r w:rsidRPr="00382917">
        <w:t>unfolding</w:t>
      </w:r>
      <w:r w:rsidR="00EE4FC3">
        <w:t xml:space="preserve"> </w:t>
      </w:r>
      <w:r w:rsidRPr="00382917">
        <w:t>religion,</w:t>
      </w:r>
      <w:r w:rsidR="00EE4FC3">
        <w:t xml:space="preserve"> </w:t>
      </w:r>
      <w:r w:rsidRPr="00382917">
        <w:t>and</w:t>
      </w:r>
      <w:r w:rsidR="00EE4FC3">
        <w:t xml:space="preserve"> </w:t>
      </w:r>
      <w:r w:rsidRPr="00382917">
        <w:t>of</w:t>
      </w:r>
      <w:r w:rsidR="00EE4FC3">
        <w:t xml:space="preserve"> </w:t>
      </w:r>
      <w:r w:rsidRPr="00382917">
        <w:t>the</w:t>
      </w:r>
      <w:r w:rsidR="00EE4FC3">
        <w:t xml:space="preserve"> </w:t>
      </w:r>
      <w:r w:rsidRPr="00382917">
        <w:t>station</w:t>
      </w:r>
      <w:r w:rsidR="00EE4FC3">
        <w:t xml:space="preserve"> </w:t>
      </w:r>
      <w:r w:rsidRPr="00382917">
        <w:t>of</w:t>
      </w:r>
      <w:r w:rsidR="00EE4FC3">
        <w:t xml:space="preserve"> </w:t>
      </w:r>
      <w:r w:rsidRPr="00382917">
        <w:t>the</w:t>
      </w:r>
      <w:r w:rsidR="00EE4FC3">
        <w:t xml:space="preserve"> </w:t>
      </w:r>
      <w:r w:rsidRPr="00382917">
        <w:t>Son</w:t>
      </w:r>
      <w:r w:rsidR="00EE4FC3">
        <w:t xml:space="preserve"> </w:t>
      </w:r>
      <w:r w:rsidRPr="00382917">
        <w:t>(Christ)</w:t>
      </w:r>
      <w:r w:rsidR="00EE4FC3">
        <w:t xml:space="preserve"> </w:t>
      </w:r>
      <w:r w:rsidRPr="00382917">
        <w:t>and</w:t>
      </w:r>
      <w:r w:rsidR="00EE4FC3">
        <w:t xml:space="preserve"> </w:t>
      </w:r>
      <w:r w:rsidRPr="00382917">
        <w:t>the</w:t>
      </w:r>
      <w:r w:rsidR="00EE4FC3">
        <w:t xml:space="preserve"> </w:t>
      </w:r>
      <w:r w:rsidRPr="00382917">
        <w:t>Father</w:t>
      </w:r>
      <w:r w:rsidR="00EE4FC3">
        <w:t xml:space="preserve"> </w:t>
      </w:r>
      <w:r w:rsidRPr="00382917">
        <w:t>(Bahá</w:t>
      </w:r>
      <w:r w:rsidR="009C713D" w:rsidRPr="00382917">
        <w:t>’</w:t>
      </w:r>
      <w:r w:rsidRPr="00382917">
        <w:t>u</w:t>
      </w:r>
      <w:r w:rsidR="009C713D" w:rsidRPr="00382917">
        <w:t>’</w:t>
      </w:r>
      <w:r w:rsidRPr="00382917">
        <w:t>lláh)</w:t>
      </w:r>
      <w:r w:rsidR="00F267E4">
        <w:t>.</w:t>
      </w:r>
      <w:r w:rsidR="00EE4FC3">
        <w:t xml:space="preserve">  </w:t>
      </w:r>
      <w:r w:rsidRPr="00382917">
        <w:t>One</w:t>
      </w:r>
      <w:r w:rsidR="00EE4FC3">
        <w:t xml:space="preserve"> </w:t>
      </w:r>
      <w:r w:rsidRPr="00382917">
        <w:t>is</w:t>
      </w:r>
      <w:r w:rsidR="00EE4FC3">
        <w:t xml:space="preserve"> </w:t>
      </w:r>
      <w:r w:rsidRPr="00382917">
        <w:t>not</w:t>
      </w:r>
      <w:r w:rsidR="00EE4FC3">
        <w:t xml:space="preserve"> </w:t>
      </w:r>
      <w:r w:rsidRPr="00382917">
        <w:t>greater</w:t>
      </w:r>
      <w:r w:rsidR="00EE4FC3">
        <w:t xml:space="preserve"> </w:t>
      </w:r>
      <w:r w:rsidRPr="00382917">
        <w:t>than</w:t>
      </w:r>
      <w:r w:rsidR="00EE4FC3">
        <w:t xml:space="preserve"> </w:t>
      </w:r>
      <w:r w:rsidRPr="00382917">
        <w:t>the</w:t>
      </w:r>
      <w:r w:rsidR="00EE4FC3">
        <w:t xml:space="preserve"> </w:t>
      </w:r>
      <w:proofErr w:type="gramStart"/>
      <w:r w:rsidRPr="00382917">
        <w:t>Other</w:t>
      </w:r>
      <w:proofErr w:type="gramEnd"/>
      <w:r w:rsidR="00F267E4">
        <w:t>.</w:t>
      </w:r>
      <w:r w:rsidR="00EE4FC3">
        <w:t xml:space="preserve">  </w:t>
      </w:r>
      <w:r w:rsidRPr="00382917">
        <w:t>Both</w:t>
      </w:r>
      <w:r w:rsidR="00EE4FC3">
        <w:t xml:space="preserve"> </w:t>
      </w:r>
      <w:r w:rsidRPr="00382917">
        <w:t>are</w:t>
      </w:r>
      <w:r w:rsidR="00EE4FC3">
        <w:t xml:space="preserve"> </w:t>
      </w:r>
      <w:r w:rsidRPr="00382917">
        <w:t>equal</w:t>
      </w:r>
      <w:r w:rsidR="00F267E4">
        <w:t>.</w:t>
      </w:r>
      <w:r w:rsidR="00EE4FC3">
        <w:t xml:space="preserve">  </w:t>
      </w:r>
      <w:r w:rsidRPr="00382917">
        <w:t>The</w:t>
      </w:r>
      <w:r w:rsidR="00EE4FC3">
        <w:t xml:space="preserve"> </w:t>
      </w:r>
      <w:r w:rsidRPr="00382917">
        <w:t>fullness</w:t>
      </w:r>
      <w:r w:rsidR="00EE4FC3">
        <w:t xml:space="preserve"> </w:t>
      </w:r>
      <w:r w:rsidRPr="00382917">
        <w:t>of</w:t>
      </w:r>
      <w:r w:rsidR="00EE4FC3">
        <w:t xml:space="preserve"> </w:t>
      </w:r>
      <w:r w:rsidRPr="00382917">
        <w:t>Their</w:t>
      </w:r>
      <w:r w:rsidR="00EE4FC3">
        <w:t xml:space="preserve"> </w:t>
      </w:r>
      <w:r w:rsidRPr="00382917">
        <w:t>Message</w:t>
      </w:r>
      <w:r w:rsidR="00EE4FC3">
        <w:t xml:space="preserve"> </w:t>
      </w:r>
      <w:r w:rsidRPr="00382917">
        <w:t>depends</w:t>
      </w:r>
      <w:r w:rsidR="00EE4FC3">
        <w:t xml:space="preserve"> </w:t>
      </w:r>
      <w:r w:rsidRPr="00382917">
        <w:t>upon</w:t>
      </w:r>
      <w:r w:rsidR="00EE4FC3">
        <w:t xml:space="preserve"> </w:t>
      </w:r>
      <w:r w:rsidRPr="00382917">
        <w:t>the</w:t>
      </w:r>
      <w:r w:rsidR="00EE4FC3">
        <w:t xml:space="preserve"> </w:t>
      </w:r>
      <w:r w:rsidRPr="00382917">
        <w:t>age</w:t>
      </w:r>
      <w:r w:rsidR="00EE4FC3">
        <w:t xml:space="preserve"> </w:t>
      </w:r>
      <w:r w:rsidRPr="00382917">
        <w:t>and</w:t>
      </w:r>
      <w:r w:rsidR="00EE4FC3">
        <w:t xml:space="preserve"> </w:t>
      </w:r>
      <w:r w:rsidRPr="00382917">
        <w:t>the</w:t>
      </w:r>
      <w:r w:rsidR="00EE4FC3">
        <w:t xml:space="preserve"> </w:t>
      </w:r>
      <w:r w:rsidRPr="00382917">
        <w:t>receptivity</w:t>
      </w:r>
      <w:r w:rsidR="00EE4FC3">
        <w:t xml:space="preserve"> </w:t>
      </w:r>
      <w:r w:rsidRPr="00382917">
        <w:t>of</w:t>
      </w:r>
      <w:r w:rsidR="00EE4FC3">
        <w:t xml:space="preserve"> </w:t>
      </w:r>
      <w:r w:rsidRPr="00382917">
        <w:t>the</w:t>
      </w:r>
      <w:r w:rsidR="00EE4FC3">
        <w:t xml:space="preserve"> </w:t>
      </w:r>
      <w:r w:rsidRPr="00382917">
        <w:t>people</w:t>
      </w:r>
      <w:r w:rsidR="00EE4FC3">
        <w:t xml:space="preserve"> </w:t>
      </w:r>
      <w:r w:rsidRPr="00382917">
        <w:t>to</w:t>
      </w:r>
      <w:r w:rsidR="00EE4FC3">
        <w:t xml:space="preserve"> </w:t>
      </w:r>
      <w:r w:rsidRPr="00382917">
        <w:t>whom</w:t>
      </w:r>
      <w:r w:rsidR="00EE4FC3">
        <w:t xml:space="preserve"> </w:t>
      </w:r>
      <w:proofErr w:type="gramStart"/>
      <w:r w:rsidRPr="00382917">
        <w:t>They</w:t>
      </w:r>
      <w:proofErr w:type="gramEnd"/>
      <w:r w:rsidR="00EE4FC3">
        <w:t xml:space="preserve"> </w:t>
      </w:r>
      <w:r w:rsidRPr="00382917">
        <w:t>appear</w:t>
      </w:r>
      <w:r w:rsidR="00F267E4">
        <w:t>.</w:t>
      </w:r>
      <w:r w:rsidR="00EE4FC3">
        <w:t xml:space="preserve">  </w:t>
      </w:r>
      <w:r w:rsidRPr="00382917">
        <w:t>Their</w:t>
      </w:r>
      <w:r w:rsidR="00EE4FC3">
        <w:t xml:space="preserve"> </w:t>
      </w:r>
      <w:r w:rsidRPr="00382917">
        <w:t>purpose</w:t>
      </w:r>
      <w:r w:rsidR="00EE4FC3">
        <w:t xml:space="preserve"> </w:t>
      </w:r>
      <w:r w:rsidRPr="00382917">
        <w:t>and</w:t>
      </w:r>
      <w:r w:rsidR="00EE4FC3">
        <w:t xml:space="preserve"> </w:t>
      </w:r>
      <w:r w:rsidRPr="00382917">
        <w:t>spirit</w:t>
      </w:r>
      <w:r w:rsidR="00EE4FC3">
        <w:t xml:space="preserve"> </w:t>
      </w:r>
      <w:r w:rsidRPr="00382917">
        <w:t>is</w:t>
      </w:r>
      <w:r w:rsidR="00EE4FC3">
        <w:t xml:space="preserve"> </w:t>
      </w:r>
      <w:r w:rsidRPr="00382917">
        <w:t>one</w:t>
      </w:r>
      <w:r w:rsidR="009073C7">
        <w:t xml:space="preserve">. </w:t>
      </w:r>
      <w:r w:rsidR="00EE4FC3">
        <w:t xml:space="preserve"> </w:t>
      </w:r>
      <w:proofErr w:type="gramStart"/>
      <w:r w:rsidRPr="00382917">
        <w:t>Their</w:t>
      </w:r>
      <w:r w:rsidR="00EE4FC3">
        <w:t xml:space="preserve"> </w:t>
      </w:r>
      <w:r w:rsidRPr="00382917">
        <w:t>love</w:t>
      </w:r>
      <w:r w:rsidR="00EE4FC3">
        <w:t xml:space="preserve"> </w:t>
      </w:r>
      <w:r w:rsidRPr="00382917">
        <w:t>for</w:t>
      </w:r>
      <w:r w:rsidR="00EE4FC3">
        <w:t xml:space="preserve"> </w:t>
      </w:r>
      <w:r w:rsidRPr="00382917">
        <w:t>Each</w:t>
      </w:r>
      <w:r w:rsidR="00EE4FC3">
        <w:t xml:space="preserve"> </w:t>
      </w:r>
      <w:r w:rsidRPr="00382917">
        <w:t>other</w:t>
      </w:r>
      <w:r w:rsidR="00EE4FC3">
        <w:t xml:space="preserve"> </w:t>
      </w:r>
      <w:r w:rsidRPr="00382917">
        <w:t>great.</w:t>
      </w:r>
      <w:proofErr w:type="gramEnd"/>
    </w:p>
    <w:p w:rsidR="00B568B6" w:rsidRPr="00382917" w:rsidRDefault="00B568B6" w:rsidP="00B568B6">
      <w:pPr>
        <w:pStyle w:val="Text"/>
      </w:pPr>
      <w:r w:rsidRPr="00382917">
        <w:t>Bahá</w:t>
      </w:r>
      <w:r w:rsidR="009C713D" w:rsidRPr="00382917">
        <w:t>’</w:t>
      </w:r>
      <w:r w:rsidRPr="00382917">
        <w:t>u</w:t>
      </w:r>
      <w:r w:rsidR="009C713D" w:rsidRPr="00382917">
        <w:t>’</w:t>
      </w:r>
      <w:r w:rsidRPr="00382917">
        <w:t>lláh</w:t>
      </w:r>
      <w:r w:rsidR="00EE4FC3">
        <w:t xml:space="preserve"> </w:t>
      </w:r>
      <w:r w:rsidRPr="00382917">
        <w:t>has</w:t>
      </w:r>
      <w:r w:rsidR="00EE4FC3">
        <w:t xml:space="preserve"> </w:t>
      </w:r>
      <w:r w:rsidRPr="00382917">
        <w:t>written:</w:t>
      </w:r>
    </w:p>
    <w:p w:rsidR="00B568B6" w:rsidRPr="00382917" w:rsidRDefault="009C713D" w:rsidP="007E3A63">
      <w:pPr>
        <w:pStyle w:val="Quote"/>
      </w:pPr>
      <w:r w:rsidRPr="00382917">
        <w:t>“</w:t>
      </w:r>
      <w:r w:rsidR="00B568B6" w:rsidRPr="00382917">
        <w:t>Bethlehem</w:t>
      </w:r>
      <w:r w:rsidR="00EE4FC3">
        <w:t xml:space="preserve"> </w:t>
      </w:r>
      <w:r w:rsidR="00B568B6" w:rsidRPr="00382917">
        <w:t>is</w:t>
      </w:r>
      <w:r w:rsidR="00EE4FC3">
        <w:t xml:space="preserve"> </w:t>
      </w:r>
      <w:r w:rsidR="00B568B6" w:rsidRPr="00382917">
        <w:t>astir</w:t>
      </w:r>
      <w:r w:rsidR="00EE4FC3">
        <w:t xml:space="preserve"> </w:t>
      </w:r>
      <w:r w:rsidR="00B568B6" w:rsidRPr="00382917">
        <w:t>with</w:t>
      </w:r>
      <w:r w:rsidR="00EE4FC3">
        <w:t xml:space="preserve"> </w:t>
      </w:r>
      <w:r w:rsidR="00B568B6" w:rsidRPr="00382917">
        <w:t>the</w:t>
      </w:r>
      <w:r w:rsidR="00EE4FC3">
        <w:t xml:space="preserve"> </w:t>
      </w:r>
      <w:r w:rsidR="00B568B6" w:rsidRPr="00382917">
        <w:t>Breeze</w:t>
      </w:r>
      <w:r w:rsidR="00EE4FC3">
        <w:t xml:space="preserve"> </w:t>
      </w:r>
      <w:r w:rsidR="00B568B6" w:rsidRPr="00382917">
        <w:t>of</w:t>
      </w:r>
      <w:r w:rsidR="00EE4FC3">
        <w:t xml:space="preserve"> </w:t>
      </w:r>
      <w:r w:rsidR="00B568B6" w:rsidRPr="00382917">
        <w:t>God</w:t>
      </w:r>
      <w:r w:rsidR="00F267E4">
        <w:t>.</w:t>
      </w:r>
      <w:r w:rsidR="00EE4FC3">
        <w:t xml:space="preserve">  </w:t>
      </w:r>
      <w:r w:rsidR="00B568B6" w:rsidRPr="00382917">
        <w:t>We</w:t>
      </w:r>
      <w:r w:rsidR="00EE4FC3">
        <w:t xml:space="preserve"> </w:t>
      </w:r>
      <w:r w:rsidR="00B568B6" w:rsidRPr="00382917">
        <w:t>hear</w:t>
      </w:r>
      <w:r w:rsidR="00EE4FC3">
        <w:t xml:space="preserve"> </w:t>
      </w:r>
      <w:r w:rsidR="00B568B6" w:rsidRPr="00382917">
        <w:t>her</w:t>
      </w:r>
      <w:r w:rsidR="00EE4FC3">
        <w:t xml:space="preserve"> </w:t>
      </w:r>
      <w:r w:rsidR="00B568B6" w:rsidRPr="00382917">
        <w:t>voice</w:t>
      </w:r>
      <w:r w:rsidR="00EE4FC3">
        <w:t xml:space="preserve"> </w:t>
      </w:r>
      <w:r w:rsidR="00B568B6" w:rsidRPr="00382917">
        <w:t>saying</w:t>
      </w:r>
      <w:r w:rsidR="00C03C91">
        <w:t>:</w:t>
      </w:r>
      <w:r w:rsidR="00EE4FC3">
        <w:t xml:space="preserve">  </w:t>
      </w:r>
      <w:r w:rsidRPr="00382917">
        <w:t>‘</w:t>
      </w:r>
      <w:r w:rsidR="00B568B6" w:rsidRPr="00382917">
        <w:t>O</w:t>
      </w:r>
      <w:r w:rsidR="00EE4FC3">
        <w:t xml:space="preserve"> </w:t>
      </w:r>
      <w:r w:rsidR="00B568B6" w:rsidRPr="00382917">
        <w:t>most</w:t>
      </w:r>
      <w:r w:rsidR="00EE4FC3">
        <w:t xml:space="preserve"> </w:t>
      </w:r>
      <w:r w:rsidR="00B568B6" w:rsidRPr="00382917">
        <w:t>generous</w:t>
      </w:r>
      <w:r w:rsidR="00EE4FC3">
        <w:t xml:space="preserve"> </w:t>
      </w:r>
      <w:r w:rsidR="00B568B6" w:rsidRPr="00382917">
        <w:t>Lord</w:t>
      </w:r>
      <w:proofErr w:type="gramStart"/>
      <w:r w:rsidR="00B568B6" w:rsidRPr="00382917">
        <w:t>!</w:t>
      </w:r>
      <w:r w:rsidR="00EE4FC3">
        <w:t xml:space="preserve"> </w:t>
      </w:r>
      <w:proofErr w:type="gramEnd"/>
      <w:r w:rsidR="00F04416" w:rsidRPr="00382917">
        <w:t>…</w:t>
      </w:r>
      <w:r w:rsidR="007E3A63">
        <w:t xml:space="preserve"> </w:t>
      </w:r>
      <w:r w:rsidR="00EE4FC3">
        <w:t xml:space="preserve"> </w:t>
      </w:r>
      <w:r w:rsidR="00B568B6" w:rsidRPr="00382917">
        <w:t>The</w:t>
      </w:r>
      <w:r w:rsidR="00EE4FC3">
        <w:t xml:space="preserve"> </w:t>
      </w:r>
      <w:r w:rsidR="00B568B6" w:rsidRPr="00382917">
        <w:t>sweet</w:t>
      </w:r>
      <w:r w:rsidR="00EE4FC3">
        <w:t xml:space="preserve"> </w:t>
      </w:r>
      <w:proofErr w:type="spellStart"/>
      <w:r w:rsidR="00B568B6" w:rsidRPr="00382917">
        <w:t>savors</w:t>
      </w:r>
      <w:proofErr w:type="spellEnd"/>
      <w:r w:rsidR="00EE4FC3">
        <w:t xml:space="preserve"> </w:t>
      </w:r>
      <w:r w:rsidR="00B568B6" w:rsidRPr="00382917">
        <w:t>of</w:t>
      </w:r>
      <w:r w:rsidR="00EE4FC3">
        <w:t xml:space="preserve"> </w:t>
      </w:r>
      <w:r w:rsidR="00B568B6" w:rsidRPr="00382917">
        <w:t>Thy</w:t>
      </w:r>
      <w:r w:rsidR="00EE4FC3">
        <w:t xml:space="preserve"> </w:t>
      </w:r>
      <w:r w:rsidR="00B568B6" w:rsidRPr="00382917">
        <w:t>presence</w:t>
      </w:r>
      <w:r w:rsidR="00EE4FC3">
        <w:t xml:space="preserve"> </w:t>
      </w:r>
      <w:r w:rsidR="00B568B6" w:rsidRPr="00382917">
        <w:t>have</w:t>
      </w:r>
      <w:r w:rsidR="00EE4FC3">
        <w:t xml:space="preserve"> </w:t>
      </w:r>
      <w:r w:rsidR="00B568B6" w:rsidRPr="00382917">
        <w:t>quickened</w:t>
      </w:r>
      <w:r w:rsidR="00EE4FC3">
        <w:t xml:space="preserve"> </w:t>
      </w:r>
      <w:r w:rsidR="00B568B6" w:rsidRPr="00382917">
        <w:t>me,</w:t>
      </w:r>
      <w:r w:rsidR="00EE4FC3">
        <w:t xml:space="preserve"> </w:t>
      </w:r>
      <w:r w:rsidR="00B568B6" w:rsidRPr="00382917">
        <w:t>after</w:t>
      </w:r>
      <w:r w:rsidR="00EE4FC3">
        <w:t xml:space="preserve"> </w:t>
      </w:r>
      <w:r w:rsidR="00B568B6" w:rsidRPr="00382917">
        <w:t>I</w:t>
      </w:r>
      <w:r w:rsidR="00EE4FC3">
        <w:t xml:space="preserve"> </w:t>
      </w:r>
      <w:r w:rsidR="00B568B6" w:rsidRPr="00382917">
        <w:t>had</w:t>
      </w:r>
      <w:r w:rsidR="00EE4FC3">
        <w:t xml:space="preserve"> </w:t>
      </w:r>
      <w:r w:rsidR="00B568B6" w:rsidRPr="00382917">
        <w:t>melted</w:t>
      </w:r>
      <w:r w:rsidR="00EE4FC3">
        <w:t xml:space="preserve"> </w:t>
      </w:r>
      <w:r w:rsidR="00B568B6" w:rsidRPr="00382917">
        <w:t>in</w:t>
      </w:r>
      <w:r w:rsidR="00EE4FC3">
        <w:t xml:space="preserve"> </w:t>
      </w:r>
      <w:r w:rsidR="00B568B6" w:rsidRPr="00382917">
        <w:t>my</w:t>
      </w:r>
      <w:r w:rsidR="00EE4FC3">
        <w:t xml:space="preserve"> </w:t>
      </w:r>
      <w:r w:rsidR="00B568B6" w:rsidRPr="00382917">
        <w:t>separation</w:t>
      </w:r>
      <w:r w:rsidR="00EE4FC3">
        <w:t xml:space="preserve"> </w:t>
      </w:r>
      <w:r w:rsidR="00B568B6" w:rsidRPr="00382917">
        <w:t>from</w:t>
      </w:r>
      <w:r w:rsidR="00EE4FC3">
        <w:t xml:space="preserve"> </w:t>
      </w:r>
      <w:r w:rsidR="00B568B6" w:rsidRPr="00382917">
        <w:t>Thee</w:t>
      </w:r>
      <w:r w:rsidR="00F267E4">
        <w:t>.</w:t>
      </w:r>
      <w:r w:rsidR="00EE4FC3">
        <w:t xml:space="preserve">  </w:t>
      </w:r>
      <w:r w:rsidR="00B568B6" w:rsidRPr="00382917">
        <w:t>Praised</w:t>
      </w:r>
      <w:r w:rsidR="00EE4FC3">
        <w:t xml:space="preserve"> </w:t>
      </w:r>
      <w:r w:rsidR="00B568B6" w:rsidRPr="00382917">
        <w:t>be</w:t>
      </w:r>
      <w:r w:rsidR="00EE4FC3">
        <w:t xml:space="preserve"> </w:t>
      </w:r>
      <w:r w:rsidR="00B568B6" w:rsidRPr="00382917">
        <w:t>Thou</w:t>
      </w:r>
      <w:r w:rsidR="00EE4FC3">
        <w:t xml:space="preserve"> </w:t>
      </w:r>
      <w:r w:rsidR="00B568B6" w:rsidRPr="00382917">
        <w:t>in</w:t>
      </w:r>
      <w:r w:rsidR="00EE4FC3">
        <w:t xml:space="preserve"> </w:t>
      </w:r>
      <w:r w:rsidR="00B568B6" w:rsidRPr="00382917">
        <w:t>that</w:t>
      </w:r>
      <w:r w:rsidR="00EE4FC3">
        <w:t xml:space="preserve"> </w:t>
      </w:r>
      <w:r w:rsidR="00B568B6" w:rsidRPr="00382917">
        <w:t>Thou</w:t>
      </w:r>
      <w:r w:rsidR="00EE4FC3">
        <w:t xml:space="preserve"> </w:t>
      </w:r>
      <w:r w:rsidR="00B568B6" w:rsidRPr="00382917">
        <w:t>hast</w:t>
      </w:r>
      <w:r w:rsidR="00EE4FC3">
        <w:t xml:space="preserve"> </w:t>
      </w:r>
      <w:r w:rsidR="00B568B6" w:rsidRPr="00382917">
        <w:t>raised</w:t>
      </w:r>
      <w:r w:rsidR="00EE4FC3">
        <w:t xml:space="preserve"> </w:t>
      </w:r>
      <w:r w:rsidR="00B568B6" w:rsidRPr="00382917">
        <w:t>the</w:t>
      </w:r>
      <w:r w:rsidR="00EE4FC3">
        <w:t xml:space="preserve"> </w:t>
      </w:r>
      <w:r w:rsidR="00B568B6" w:rsidRPr="00382917">
        <w:t>veils,</w:t>
      </w:r>
      <w:r w:rsidR="00EE4FC3">
        <w:t xml:space="preserve"> </w:t>
      </w:r>
      <w:r w:rsidR="00B568B6" w:rsidRPr="00382917">
        <w:t>and</w:t>
      </w:r>
      <w:r w:rsidR="00EE4FC3">
        <w:t xml:space="preserve"> </w:t>
      </w:r>
      <w:r w:rsidR="00B568B6" w:rsidRPr="00382917">
        <w:t>come</w:t>
      </w:r>
      <w:r w:rsidR="00EE4FC3">
        <w:t xml:space="preserve"> </w:t>
      </w:r>
      <w:r w:rsidR="00B568B6" w:rsidRPr="00382917">
        <w:t>with</w:t>
      </w:r>
      <w:r w:rsidR="00EE4FC3">
        <w:t xml:space="preserve"> </w:t>
      </w:r>
      <w:r w:rsidR="00B568B6" w:rsidRPr="00382917">
        <w:t>power</w:t>
      </w:r>
      <w:r w:rsidR="00EE4FC3">
        <w:t xml:space="preserve"> </w:t>
      </w:r>
      <w:r w:rsidR="00B568B6" w:rsidRPr="00382917">
        <w:t>in</w:t>
      </w:r>
      <w:r w:rsidR="00EE4FC3">
        <w:t xml:space="preserve"> </w:t>
      </w:r>
      <w:r w:rsidR="00B568B6" w:rsidRPr="00382917">
        <w:t>evident</w:t>
      </w:r>
      <w:r w:rsidR="00EE4FC3">
        <w:t xml:space="preserve"> </w:t>
      </w:r>
      <w:r w:rsidR="00B568B6" w:rsidRPr="00382917">
        <w:t>glory.</w:t>
      </w:r>
      <w:r w:rsidRPr="00382917">
        <w:t>’”</w:t>
      </w:r>
      <w:r w:rsidR="007E3A63">
        <w:rPr>
          <w:rStyle w:val="FootnoteReference"/>
        </w:rPr>
        <w:footnoteReference w:id="391"/>
      </w:r>
    </w:p>
    <w:p w:rsidR="00B568B6" w:rsidRPr="00382917" w:rsidRDefault="00B568B6" w:rsidP="00583718">
      <w:pPr>
        <w:pStyle w:val="Text"/>
      </w:pPr>
      <w:r w:rsidRPr="00382917">
        <w:t>Bahá</w:t>
      </w:r>
      <w:r w:rsidR="009C713D" w:rsidRPr="00382917">
        <w:t>’</w:t>
      </w:r>
      <w:r w:rsidRPr="00382917">
        <w:t>u</w:t>
      </w:r>
      <w:r w:rsidR="009C713D" w:rsidRPr="00382917">
        <w:t>’</w:t>
      </w:r>
      <w:r w:rsidRPr="00382917">
        <w:t>lláh</w:t>
      </w:r>
      <w:r w:rsidR="00EE4FC3">
        <w:t xml:space="preserve"> </w:t>
      </w:r>
      <w:r w:rsidRPr="00382917">
        <w:t>was</w:t>
      </w:r>
      <w:r w:rsidR="00EE4FC3">
        <w:t xml:space="preserve"> </w:t>
      </w:r>
      <w:r w:rsidRPr="00382917">
        <w:t>twice</w:t>
      </w:r>
      <w:r w:rsidR="00EE4FC3">
        <w:t xml:space="preserve"> </w:t>
      </w:r>
      <w:r w:rsidRPr="00382917">
        <w:t>imprisoned</w:t>
      </w:r>
      <w:r w:rsidR="00EE4FC3">
        <w:t xml:space="preserve"> </w:t>
      </w:r>
      <w:r w:rsidRPr="00382917">
        <w:t>in</w:t>
      </w:r>
      <w:r w:rsidR="00EE4FC3">
        <w:t xml:space="preserve"> </w:t>
      </w:r>
      <w:r w:rsidRPr="00382917">
        <w:t>the</w:t>
      </w:r>
      <w:r w:rsidR="00EE4FC3">
        <w:t xml:space="preserve"> </w:t>
      </w:r>
      <w:r w:rsidRPr="00382917">
        <w:t>land</w:t>
      </w:r>
      <w:r w:rsidR="00EE4FC3">
        <w:t xml:space="preserve"> </w:t>
      </w:r>
      <w:r w:rsidRPr="00382917">
        <w:t>of</w:t>
      </w:r>
      <w:r w:rsidR="00EE4FC3">
        <w:t xml:space="preserve"> </w:t>
      </w:r>
      <w:r w:rsidRPr="00382917">
        <w:t>His</w:t>
      </w:r>
      <w:r w:rsidR="00EE4FC3">
        <w:t xml:space="preserve"> </w:t>
      </w:r>
      <w:r w:rsidRPr="00382917">
        <w:t>birth,</w:t>
      </w:r>
      <w:r w:rsidR="00EE4FC3">
        <w:t xml:space="preserve"> </w:t>
      </w:r>
      <w:r w:rsidRPr="00382917">
        <w:t>Persia</w:t>
      </w:r>
      <w:r w:rsidR="00F267E4">
        <w:t>.</w:t>
      </w:r>
      <w:r w:rsidR="00EE4FC3">
        <w:t xml:space="preserve">  </w:t>
      </w:r>
      <w:r w:rsidRPr="00382917">
        <w:t>He</w:t>
      </w:r>
      <w:r w:rsidR="00EE4FC3">
        <w:t xml:space="preserve"> </w:t>
      </w:r>
      <w:r w:rsidRPr="00382917">
        <w:t>was</w:t>
      </w:r>
      <w:r w:rsidR="00EE4FC3">
        <w:t xml:space="preserve"> </w:t>
      </w:r>
      <w:r w:rsidRPr="00382917">
        <w:t>scourged</w:t>
      </w:r>
      <w:r w:rsidR="00EE4FC3">
        <w:t xml:space="preserve"> </w:t>
      </w:r>
      <w:r w:rsidRPr="00382917">
        <w:t>by</w:t>
      </w:r>
      <w:r w:rsidR="00EE4FC3">
        <w:t xml:space="preserve"> </w:t>
      </w:r>
      <w:r w:rsidRPr="00382917">
        <w:t>the</w:t>
      </w:r>
      <w:r w:rsidR="00EE4FC3">
        <w:t xml:space="preserve"> </w:t>
      </w:r>
      <w:r w:rsidRPr="00382917">
        <w:t>priests</w:t>
      </w:r>
      <w:r w:rsidR="00EE4FC3">
        <w:t xml:space="preserve"> </w:t>
      </w:r>
      <w:r w:rsidRPr="00382917">
        <w:t>in</w:t>
      </w:r>
      <w:r w:rsidR="00EE4FC3">
        <w:t xml:space="preserve"> </w:t>
      </w:r>
      <w:r w:rsidRPr="00382917">
        <w:t>the</w:t>
      </w:r>
      <w:r w:rsidR="00EE4FC3">
        <w:t xml:space="preserve"> </w:t>
      </w:r>
      <w:r w:rsidRPr="00382917">
        <w:t>prayer-house</w:t>
      </w:r>
      <w:r w:rsidR="00EE4FC3">
        <w:t xml:space="preserve"> </w:t>
      </w:r>
      <w:r w:rsidRPr="00382917">
        <w:t>at</w:t>
      </w:r>
      <w:r w:rsidR="00EE4FC3">
        <w:t xml:space="preserve"> </w:t>
      </w:r>
      <w:r w:rsidR="00583718" w:rsidRPr="00583718">
        <w:t>Á</w:t>
      </w:r>
      <w:r w:rsidRPr="00382917">
        <w:t>mul</w:t>
      </w:r>
      <w:r w:rsidR="00F267E4">
        <w:t>.</w:t>
      </w:r>
      <w:r w:rsidR="00EE4FC3">
        <w:t xml:space="preserve">  </w:t>
      </w:r>
      <w:r w:rsidRPr="00382917">
        <w:t>He</w:t>
      </w:r>
      <w:r w:rsidR="00EE4FC3">
        <w:t xml:space="preserve"> </w:t>
      </w:r>
      <w:r w:rsidRPr="00382917">
        <w:t>was</w:t>
      </w:r>
      <w:r w:rsidR="00EE4FC3">
        <w:t xml:space="preserve"> </w:t>
      </w:r>
      <w:r w:rsidRPr="00382917">
        <w:t>poisoned</w:t>
      </w:r>
      <w:r w:rsidR="00EE4FC3">
        <w:t xml:space="preserve"> </w:t>
      </w:r>
      <w:r w:rsidRPr="00382917">
        <w:t>in</w:t>
      </w:r>
      <w:r w:rsidR="00EE4FC3">
        <w:t xml:space="preserve"> </w:t>
      </w:r>
      <w:r w:rsidRPr="00382917">
        <w:t>the</w:t>
      </w:r>
      <w:r w:rsidR="00EE4FC3">
        <w:t xml:space="preserve"> </w:t>
      </w:r>
      <w:r w:rsidRPr="00382917">
        <w:t>Black-pit</w:t>
      </w:r>
      <w:r w:rsidR="00EE4FC3">
        <w:t xml:space="preserve"> </w:t>
      </w:r>
      <w:r w:rsidRPr="00382917">
        <w:t>prison</w:t>
      </w:r>
      <w:r w:rsidR="00EE4FC3">
        <w:t xml:space="preserve"> </w:t>
      </w:r>
      <w:r w:rsidRPr="00382917">
        <w:t>in</w:t>
      </w:r>
      <w:r w:rsidR="00EE4FC3">
        <w:t xml:space="preserve"> </w:t>
      </w:r>
      <w:r w:rsidRPr="00382917">
        <w:t>Ṭihrán,</w:t>
      </w:r>
      <w:r w:rsidR="00EE4FC3">
        <w:t xml:space="preserve"> </w:t>
      </w:r>
      <w:r w:rsidRPr="00382917">
        <w:t>into</w:t>
      </w:r>
      <w:r w:rsidR="00EE4FC3">
        <w:t xml:space="preserve"> </w:t>
      </w:r>
      <w:r w:rsidRPr="00382917">
        <w:t>which</w:t>
      </w:r>
      <w:r w:rsidR="00EE4FC3">
        <w:t xml:space="preserve"> </w:t>
      </w:r>
      <w:r w:rsidRPr="00382917">
        <w:t>He</w:t>
      </w:r>
      <w:r w:rsidR="00EE4FC3">
        <w:t xml:space="preserve"> </w:t>
      </w:r>
      <w:r w:rsidRPr="00382917">
        <w:t>was</w:t>
      </w:r>
      <w:r w:rsidR="00EE4FC3">
        <w:t xml:space="preserve"> </w:t>
      </w:r>
      <w:r w:rsidRPr="00382917">
        <w:t>hurled</w:t>
      </w:r>
      <w:r w:rsidR="00F267E4">
        <w:t>.</w:t>
      </w:r>
      <w:r w:rsidR="00EE4FC3">
        <w:t xml:space="preserve">  </w:t>
      </w:r>
      <w:r w:rsidRPr="00382917">
        <w:t>He</w:t>
      </w:r>
      <w:r w:rsidR="00EE4FC3">
        <w:t xml:space="preserve"> </w:t>
      </w:r>
      <w:r w:rsidRPr="00382917">
        <w:t>was</w:t>
      </w:r>
      <w:r w:rsidR="00EE4FC3">
        <w:t xml:space="preserve"> </w:t>
      </w:r>
      <w:r w:rsidRPr="00382917">
        <w:t>stoned</w:t>
      </w:r>
      <w:r w:rsidR="00EE4FC3">
        <w:t xml:space="preserve"> </w:t>
      </w:r>
      <w:r w:rsidRPr="00382917">
        <w:t>on</w:t>
      </w:r>
      <w:r w:rsidR="00EE4FC3">
        <w:t xml:space="preserve"> </w:t>
      </w:r>
      <w:r w:rsidRPr="00382917">
        <w:t>two</w:t>
      </w:r>
      <w:r w:rsidR="00EE4FC3">
        <w:t xml:space="preserve"> </w:t>
      </w:r>
      <w:r w:rsidRPr="00382917">
        <w:t>separate</w:t>
      </w:r>
      <w:r w:rsidR="00EE4FC3">
        <w:t xml:space="preserve"> </w:t>
      </w:r>
      <w:r w:rsidRPr="00382917">
        <w:t>occasions</w:t>
      </w:r>
      <w:r w:rsidR="00F267E4">
        <w:t>.</w:t>
      </w:r>
      <w:r w:rsidR="00EE4FC3">
        <w:t xml:space="preserve">  </w:t>
      </w:r>
      <w:r w:rsidRPr="00382917">
        <w:t>His</w:t>
      </w:r>
      <w:r w:rsidR="00EE4FC3">
        <w:t xml:space="preserve"> </w:t>
      </w:r>
      <w:r w:rsidRPr="00382917">
        <w:t>shoulders</w:t>
      </w:r>
    </w:p>
    <w:p w:rsidR="00B568B6" w:rsidRPr="00382917" w:rsidRDefault="00B568B6">
      <w:pPr>
        <w:widowControl/>
        <w:kinsoku/>
        <w:overflowPunct/>
        <w:textAlignment w:val="auto"/>
      </w:pPr>
      <w:r w:rsidRPr="00382917">
        <w:br w:type="page"/>
      </w:r>
    </w:p>
    <w:p w:rsidR="00B568B6" w:rsidRPr="00382917" w:rsidRDefault="00B568B6" w:rsidP="00B568B6">
      <w:pPr>
        <w:pStyle w:val="Textcts"/>
      </w:pPr>
      <w:proofErr w:type="gramStart"/>
      <w:r w:rsidRPr="00382917">
        <w:t>were</w:t>
      </w:r>
      <w:proofErr w:type="gramEnd"/>
      <w:r w:rsidR="00EE4FC3">
        <w:t xml:space="preserve"> </w:t>
      </w:r>
      <w:r w:rsidRPr="00382917">
        <w:t>lacerated</w:t>
      </w:r>
      <w:r w:rsidR="00EE4FC3">
        <w:t xml:space="preserve"> </w:t>
      </w:r>
      <w:r w:rsidRPr="00382917">
        <w:t>by</w:t>
      </w:r>
      <w:r w:rsidR="00EE4FC3">
        <w:t xml:space="preserve"> </w:t>
      </w:r>
      <w:r w:rsidRPr="00382917">
        <w:t>two</w:t>
      </w:r>
      <w:r w:rsidR="00EE4FC3">
        <w:t xml:space="preserve"> </w:t>
      </w:r>
      <w:r w:rsidRPr="00382917">
        <w:t>hundred-pound</w:t>
      </w:r>
      <w:r w:rsidR="00EE4FC3">
        <w:t xml:space="preserve"> </w:t>
      </w:r>
      <w:r w:rsidRPr="00382917">
        <w:t>chains</w:t>
      </w:r>
      <w:r w:rsidR="00F267E4">
        <w:t>.</w:t>
      </w:r>
      <w:r w:rsidR="00EE4FC3">
        <w:t xml:space="preserve">  </w:t>
      </w:r>
      <w:r w:rsidRPr="00382917">
        <w:t>He</w:t>
      </w:r>
      <w:r w:rsidR="00EE4FC3">
        <w:t xml:space="preserve"> </w:t>
      </w:r>
      <w:r w:rsidRPr="00382917">
        <w:t>was</w:t>
      </w:r>
      <w:r w:rsidR="00EE4FC3">
        <w:t xml:space="preserve"> </w:t>
      </w:r>
      <w:r w:rsidRPr="00382917">
        <w:t>driven</w:t>
      </w:r>
      <w:r w:rsidR="00EE4FC3">
        <w:t xml:space="preserve"> </w:t>
      </w:r>
      <w:r w:rsidRPr="00382917">
        <w:t>into</w:t>
      </w:r>
      <w:r w:rsidR="00EE4FC3">
        <w:t xml:space="preserve"> </w:t>
      </w:r>
      <w:r w:rsidRPr="00382917">
        <w:t>exile</w:t>
      </w:r>
      <w:r w:rsidR="00EE4FC3">
        <w:t xml:space="preserve"> </w:t>
      </w:r>
      <w:r w:rsidRPr="00382917">
        <w:t>to</w:t>
      </w:r>
      <w:r w:rsidR="00EE4FC3">
        <w:t xml:space="preserve"> </w:t>
      </w:r>
      <w:r w:rsidR="00664069" w:rsidRPr="00382917">
        <w:t>Ba</w:t>
      </w:r>
      <w:r w:rsidR="00664069" w:rsidRPr="00664069">
        <w:rPr>
          <w:u w:val="single"/>
        </w:rPr>
        <w:t>gh</w:t>
      </w:r>
      <w:r w:rsidR="00664069" w:rsidRPr="00382917">
        <w:t>d</w:t>
      </w:r>
      <w:r w:rsidR="00664069" w:rsidRPr="00664069">
        <w:t>á</w:t>
      </w:r>
      <w:r w:rsidR="00664069" w:rsidRPr="00382917">
        <w:t>d</w:t>
      </w:r>
      <w:r w:rsidRPr="00382917">
        <w:t>,</w:t>
      </w:r>
      <w:r w:rsidR="00EE4FC3">
        <w:t xml:space="preserve"> </w:t>
      </w:r>
      <w:r w:rsidRPr="00382917">
        <w:t>across</w:t>
      </w:r>
      <w:r w:rsidR="00EE4FC3">
        <w:t xml:space="preserve"> </w:t>
      </w:r>
      <w:r w:rsidRPr="00382917">
        <w:t>the</w:t>
      </w:r>
      <w:r w:rsidR="00EE4FC3">
        <w:t xml:space="preserve"> </w:t>
      </w:r>
      <w:r w:rsidRPr="00382917">
        <w:t>icy</w:t>
      </w:r>
      <w:r w:rsidR="00EE4FC3">
        <w:t xml:space="preserve"> </w:t>
      </w:r>
      <w:r w:rsidRPr="00382917">
        <w:t>mountains</w:t>
      </w:r>
      <w:r w:rsidR="00EE4FC3">
        <w:t xml:space="preserve"> </w:t>
      </w:r>
      <w:r w:rsidRPr="00382917">
        <w:t>in</w:t>
      </w:r>
      <w:r w:rsidR="00EE4FC3">
        <w:t xml:space="preserve"> </w:t>
      </w:r>
      <w:r w:rsidRPr="00382917">
        <w:t>the</w:t>
      </w:r>
      <w:r w:rsidR="00EE4FC3">
        <w:t xml:space="preserve"> </w:t>
      </w:r>
      <w:r w:rsidRPr="00382917">
        <w:t>midst</w:t>
      </w:r>
      <w:r w:rsidR="00EE4FC3">
        <w:t xml:space="preserve"> </w:t>
      </w:r>
      <w:r w:rsidRPr="00382917">
        <w:t>of</w:t>
      </w:r>
      <w:r w:rsidR="00EE4FC3">
        <w:t xml:space="preserve"> </w:t>
      </w:r>
      <w:r w:rsidRPr="00382917">
        <w:t>winter,</w:t>
      </w:r>
      <w:r w:rsidR="00EE4FC3">
        <w:t xml:space="preserve"> </w:t>
      </w:r>
      <w:proofErr w:type="spellStart"/>
      <w:r w:rsidRPr="00382917">
        <w:t>possessionless</w:t>
      </w:r>
      <w:proofErr w:type="spellEnd"/>
      <w:r w:rsidRPr="00382917">
        <w:t>,</w:t>
      </w:r>
      <w:r w:rsidR="00EE4FC3">
        <w:t xml:space="preserve"> </w:t>
      </w:r>
      <w:r w:rsidRPr="00382917">
        <w:t>without</w:t>
      </w:r>
      <w:r w:rsidR="00EE4FC3">
        <w:t xml:space="preserve"> </w:t>
      </w:r>
      <w:r w:rsidRPr="00382917">
        <w:t>proper</w:t>
      </w:r>
      <w:r w:rsidR="00EE4FC3">
        <w:t xml:space="preserve"> </w:t>
      </w:r>
      <w:r w:rsidRPr="00382917">
        <w:t>food</w:t>
      </w:r>
      <w:r w:rsidR="00EE4FC3">
        <w:t xml:space="preserve"> </w:t>
      </w:r>
      <w:r w:rsidRPr="00382917">
        <w:t>or</w:t>
      </w:r>
      <w:r w:rsidR="00EE4FC3">
        <w:t xml:space="preserve"> </w:t>
      </w:r>
      <w:r w:rsidRPr="00382917">
        <w:t>clothes</w:t>
      </w:r>
      <w:r w:rsidR="00F267E4">
        <w:t>.</w:t>
      </w:r>
      <w:r w:rsidR="00EE4FC3">
        <w:t xml:space="preserve">  </w:t>
      </w:r>
      <w:r w:rsidRPr="00382917">
        <w:t>There,</w:t>
      </w:r>
      <w:r w:rsidR="00EE4FC3">
        <w:t xml:space="preserve"> </w:t>
      </w:r>
      <w:r w:rsidRPr="00382917">
        <w:t>another</w:t>
      </w:r>
      <w:r w:rsidR="00EE4FC3">
        <w:t xml:space="preserve"> </w:t>
      </w:r>
      <w:r w:rsidRPr="00382917">
        <w:t>attempt</w:t>
      </w:r>
      <w:r w:rsidR="00EE4FC3">
        <w:t xml:space="preserve"> </w:t>
      </w:r>
      <w:r w:rsidRPr="00382917">
        <w:t>was</w:t>
      </w:r>
      <w:r w:rsidR="00EE4FC3">
        <w:t xml:space="preserve"> </w:t>
      </w:r>
      <w:r w:rsidRPr="00382917">
        <w:t>made</w:t>
      </w:r>
      <w:r w:rsidR="00EE4FC3">
        <w:t xml:space="preserve"> </w:t>
      </w:r>
      <w:r w:rsidRPr="00382917">
        <w:t>on</w:t>
      </w:r>
      <w:r w:rsidR="00EE4FC3">
        <w:t xml:space="preserve"> </w:t>
      </w:r>
      <w:r w:rsidRPr="00382917">
        <w:t>His</w:t>
      </w:r>
      <w:r w:rsidR="00EE4FC3">
        <w:t xml:space="preserve"> </w:t>
      </w:r>
      <w:r w:rsidRPr="00382917">
        <w:t>life</w:t>
      </w:r>
      <w:r w:rsidR="00F267E4">
        <w:t>.</w:t>
      </w:r>
      <w:r w:rsidR="00EE4FC3">
        <w:t xml:space="preserve">  </w:t>
      </w:r>
      <w:r w:rsidRPr="00382917">
        <w:t>He</w:t>
      </w:r>
      <w:r w:rsidR="00EE4FC3">
        <w:t xml:space="preserve"> </w:t>
      </w:r>
      <w:r w:rsidRPr="00382917">
        <w:t>was</w:t>
      </w:r>
      <w:r w:rsidR="00EE4FC3">
        <w:t xml:space="preserve"> </w:t>
      </w:r>
      <w:r w:rsidRPr="00382917">
        <w:t>cruelly</w:t>
      </w:r>
      <w:r w:rsidR="00EE4FC3">
        <w:t xml:space="preserve"> </w:t>
      </w:r>
      <w:r w:rsidRPr="00382917">
        <w:t>persecuted</w:t>
      </w:r>
      <w:r w:rsidR="00EE4FC3">
        <w:t xml:space="preserve"> </w:t>
      </w:r>
      <w:r w:rsidRPr="00382917">
        <w:t>during</w:t>
      </w:r>
      <w:r w:rsidR="00EE4FC3">
        <w:t xml:space="preserve"> </w:t>
      </w:r>
      <w:r w:rsidRPr="00382917">
        <w:t>His</w:t>
      </w:r>
      <w:r w:rsidR="00EE4FC3">
        <w:t xml:space="preserve"> </w:t>
      </w:r>
      <w:r w:rsidRPr="00382917">
        <w:t>further</w:t>
      </w:r>
      <w:r w:rsidR="00EE4FC3">
        <w:t xml:space="preserve"> </w:t>
      </w:r>
      <w:r w:rsidRPr="00382917">
        <w:t>banishment</w:t>
      </w:r>
      <w:r w:rsidR="00EE4FC3">
        <w:t xml:space="preserve"> </w:t>
      </w:r>
      <w:r w:rsidRPr="00382917">
        <w:t>to</w:t>
      </w:r>
      <w:r w:rsidR="00EE4FC3">
        <w:t xml:space="preserve"> </w:t>
      </w:r>
      <w:r w:rsidRPr="00382917">
        <w:t>Constantinople</w:t>
      </w:r>
      <w:r w:rsidR="00EE4FC3">
        <w:t xml:space="preserve"> </w:t>
      </w:r>
      <w:r w:rsidRPr="00382917">
        <w:t>and</w:t>
      </w:r>
      <w:r w:rsidR="00EE4FC3">
        <w:t xml:space="preserve"> </w:t>
      </w:r>
      <w:r w:rsidRPr="00382917">
        <w:t>Adrianople</w:t>
      </w:r>
      <w:r w:rsidR="00F267E4">
        <w:t>.</w:t>
      </w:r>
      <w:r w:rsidR="00EE4FC3">
        <w:t xml:space="preserve">  </w:t>
      </w:r>
      <w:r w:rsidRPr="00382917">
        <w:t>In</w:t>
      </w:r>
      <w:r w:rsidR="00EE4FC3">
        <w:t xml:space="preserve"> </w:t>
      </w:r>
      <w:r w:rsidRPr="00382917">
        <w:t>the</w:t>
      </w:r>
      <w:r w:rsidR="00EE4FC3">
        <w:t xml:space="preserve"> </w:t>
      </w:r>
      <w:r w:rsidRPr="00382917">
        <w:t>latter</w:t>
      </w:r>
      <w:r w:rsidR="00EE4FC3">
        <w:t xml:space="preserve"> </w:t>
      </w:r>
      <w:r w:rsidRPr="00382917">
        <w:t>city</w:t>
      </w:r>
      <w:r w:rsidR="00EE4FC3">
        <w:t xml:space="preserve"> </w:t>
      </w:r>
      <w:r w:rsidRPr="00382917">
        <w:t>He</w:t>
      </w:r>
      <w:r w:rsidR="00EE4FC3">
        <w:t xml:space="preserve"> </w:t>
      </w:r>
      <w:r w:rsidRPr="00382917">
        <w:t>was</w:t>
      </w:r>
      <w:r w:rsidR="00EE4FC3">
        <w:t xml:space="preserve"> </w:t>
      </w:r>
      <w:r w:rsidRPr="00382917">
        <w:t>twice</w:t>
      </w:r>
      <w:r w:rsidR="00EE4FC3">
        <w:t xml:space="preserve"> </w:t>
      </w:r>
      <w:r w:rsidRPr="00382917">
        <w:t>poisoned</w:t>
      </w:r>
      <w:r w:rsidR="00F267E4">
        <w:t>.</w:t>
      </w:r>
      <w:r w:rsidR="00EE4FC3">
        <w:t xml:space="preserve">  </w:t>
      </w:r>
      <w:r w:rsidRPr="00382917">
        <w:t>Shipped</w:t>
      </w:r>
      <w:r w:rsidR="00EE4FC3">
        <w:t xml:space="preserve"> </w:t>
      </w:r>
      <w:r w:rsidRPr="00382917">
        <w:t>in</w:t>
      </w:r>
      <w:r w:rsidR="00EE4FC3">
        <w:t xml:space="preserve"> </w:t>
      </w:r>
      <w:r w:rsidRPr="00382917">
        <w:t>bondage</w:t>
      </w:r>
      <w:r w:rsidR="00EE4FC3">
        <w:t xml:space="preserve"> </w:t>
      </w:r>
      <w:r w:rsidRPr="00382917">
        <w:t>to</w:t>
      </w:r>
      <w:r w:rsidR="00EE4FC3">
        <w:t xml:space="preserve"> </w:t>
      </w:r>
      <w:r w:rsidR="009C713D" w:rsidRPr="00382917">
        <w:t>‘</w:t>
      </w:r>
      <w:r w:rsidRPr="00382917">
        <w:t>Akká,</w:t>
      </w:r>
      <w:r w:rsidR="00EE4FC3">
        <w:t xml:space="preserve"> </w:t>
      </w:r>
      <w:r w:rsidRPr="00382917">
        <w:t>He</w:t>
      </w:r>
      <w:r w:rsidR="00EE4FC3">
        <w:t xml:space="preserve"> </w:t>
      </w:r>
      <w:r w:rsidRPr="00382917">
        <w:t>was</w:t>
      </w:r>
      <w:r w:rsidR="00EE4FC3">
        <w:t xml:space="preserve"> </w:t>
      </w:r>
      <w:r w:rsidRPr="00382917">
        <w:t>cast</w:t>
      </w:r>
      <w:r w:rsidR="00EE4FC3">
        <w:t xml:space="preserve"> </w:t>
      </w:r>
      <w:r w:rsidRPr="00382917">
        <w:t>into</w:t>
      </w:r>
      <w:r w:rsidR="00EE4FC3">
        <w:t xml:space="preserve"> </w:t>
      </w:r>
      <w:r w:rsidRPr="00382917">
        <w:t>a</w:t>
      </w:r>
      <w:r w:rsidR="00EE4FC3">
        <w:t xml:space="preserve"> </w:t>
      </w:r>
      <w:r w:rsidRPr="00382917">
        <w:t>cell.</w:t>
      </w:r>
    </w:p>
    <w:p w:rsidR="00B568B6" w:rsidRPr="00382917" w:rsidRDefault="00B568B6" w:rsidP="00B568B6">
      <w:pPr>
        <w:pStyle w:val="Text"/>
      </w:pPr>
      <w:r w:rsidRPr="00382917">
        <w:t>At</w:t>
      </w:r>
      <w:r w:rsidR="00EE4FC3">
        <w:t xml:space="preserve"> </w:t>
      </w:r>
      <w:r w:rsidRPr="00382917">
        <w:t>last</w:t>
      </w:r>
      <w:r w:rsidR="00EE4FC3">
        <w:t xml:space="preserve"> </w:t>
      </w:r>
      <w:r w:rsidRPr="00382917">
        <w:t>Bahá</w:t>
      </w:r>
      <w:r w:rsidR="009C713D" w:rsidRPr="00382917">
        <w:t>’</w:t>
      </w:r>
      <w:r w:rsidRPr="00382917">
        <w:t>u</w:t>
      </w:r>
      <w:r w:rsidR="009C713D" w:rsidRPr="00382917">
        <w:t>’</w:t>
      </w:r>
      <w:r w:rsidRPr="00382917">
        <w:t>lláh</w:t>
      </w:r>
      <w:r w:rsidR="00EE4FC3">
        <w:t xml:space="preserve"> </w:t>
      </w:r>
      <w:r w:rsidRPr="00382917">
        <w:t>reached</w:t>
      </w:r>
      <w:r w:rsidR="00EE4FC3">
        <w:t xml:space="preserve"> </w:t>
      </w:r>
      <w:r w:rsidRPr="00382917">
        <w:t>the</w:t>
      </w:r>
      <w:r w:rsidR="00EE4FC3">
        <w:t xml:space="preserve"> </w:t>
      </w:r>
      <w:r w:rsidRPr="00382917">
        <w:t>Holy</w:t>
      </w:r>
      <w:r w:rsidR="00EE4FC3">
        <w:t xml:space="preserve"> </w:t>
      </w:r>
      <w:r w:rsidRPr="00382917">
        <w:t>Land</w:t>
      </w:r>
      <w:r w:rsidR="00EE4FC3">
        <w:t xml:space="preserve"> </w:t>
      </w:r>
      <w:r w:rsidRPr="00382917">
        <w:t>and</w:t>
      </w:r>
      <w:r w:rsidR="00EE4FC3">
        <w:t xml:space="preserve"> </w:t>
      </w:r>
      <w:r w:rsidRPr="00382917">
        <w:t>walked</w:t>
      </w:r>
      <w:r w:rsidR="00EE4FC3">
        <w:t xml:space="preserve"> </w:t>
      </w:r>
      <w:r w:rsidRPr="00382917">
        <w:t>where</w:t>
      </w:r>
      <w:r w:rsidR="00EE4FC3">
        <w:t xml:space="preserve"> </w:t>
      </w:r>
      <w:r w:rsidRPr="00382917">
        <w:t>the</w:t>
      </w:r>
      <w:r w:rsidR="00EE4FC3">
        <w:t xml:space="preserve"> </w:t>
      </w:r>
      <w:r w:rsidRPr="00382917">
        <w:t>feet</w:t>
      </w:r>
      <w:r w:rsidR="00EE4FC3">
        <w:t xml:space="preserve"> </w:t>
      </w:r>
      <w:r w:rsidRPr="00382917">
        <w:t>of</w:t>
      </w:r>
      <w:r w:rsidR="00EE4FC3">
        <w:t xml:space="preserve"> </w:t>
      </w:r>
      <w:r w:rsidRPr="00382917">
        <w:t>Christ</w:t>
      </w:r>
      <w:r w:rsidR="00EE4FC3">
        <w:t xml:space="preserve"> </w:t>
      </w:r>
      <w:r w:rsidRPr="00382917">
        <w:t>had</w:t>
      </w:r>
      <w:r w:rsidR="00EE4FC3">
        <w:t xml:space="preserve"> </w:t>
      </w:r>
      <w:r w:rsidRPr="00382917">
        <w:t>walked.</w:t>
      </w:r>
      <w:r w:rsidR="00583718" w:rsidRPr="00382917">
        <w:rPr>
          <w:sz w:val="12"/>
          <w:szCs w:val="12"/>
        </w:rPr>
        <w:fldChar w:fldCharType="begin"/>
      </w:r>
      <w:proofErr w:type="gramStart"/>
      <w:r w:rsidR="00583718">
        <w:rPr>
          <w:sz w:val="12"/>
          <w:szCs w:val="12"/>
        </w:rPr>
        <w:instrText xml:space="preserve"> </w:instrText>
      </w:r>
      <w:proofErr w:type="gramEnd"/>
      <w:r w:rsidR="00583718" w:rsidRPr="00382917">
        <w:rPr>
          <w:sz w:val="12"/>
          <w:szCs w:val="12"/>
        </w:rPr>
        <w:instrText>TC</w:instrText>
      </w:r>
      <w:r w:rsidR="00583718">
        <w:rPr>
          <w:sz w:val="12"/>
          <w:szCs w:val="12"/>
        </w:rPr>
        <w:instrText xml:space="preserve">  </w:instrText>
      </w:r>
      <w:r w:rsidR="00583718" w:rsidRPr="00382917">
        <w:rPr>
          <w:sz w:val="12"/>
          <w:szCs w:val="12"/>
        </w:rPr>
        <w:instrText>“</w:instrText>
      </w:r>
      <w:r w:rsidR="00583718">
        <w:rPr>
          <w:sz w:val="12"/>
          <w:szCs w:val="12"/>
        </w:rPr>
        <w:instrText>Note 7</w:instrText>
      </w:r>
      <w:r w:rsidR="00583718" w:rsidRPr="00382917">
        <w:rPr>
          <w:color w:val="FFFFFF" w:themeColor="background1"/>
          <w:sz w:val="12"/>
          <w:szCs w:val="12"/>
        </w:rPr>
        <w:instrText>..</w:instrText>
      </w:r>
      <w:r w:rsidR="00583718" w:rsidRPr="00382917">
        <w:rPr>
          <w:sz w:val="12"/>
          <w:szCs w:val="12"/>
        </w:rPr>
        <w:tab/>
      </w:r>
      <w:r w:rsidR="00583718" w:rsidRPr="00382917">
        <w:rPr>
          <w:color w:val="FFFFFF" w:themeColor="background1"/>
          <w:sz w:val="12"/>
          <w:szCs w:val="12"/>
        </w:rPr>
        <w:instrText>.</w:instrText>
      </w:r>
      <w:proofErr w:type="gramStart"/>
      <w:r w:rsidR="00583718" w:rsidRPr="00382917">
        <w:rPr>
          <w:sz w:val="12"/>
          <w:szCs w:val="12"/>
        </w:rPr>
        <w:instrText>”</w:instrText>
      </w:r>
      <w:r w:rsidR="00583718">
        <w:rPr>
          <w:sz w:val="12"/>
          <w:szCs w:val="12"/>
        </w:rPr>
        <w:instrText xml:space="preserve"> </w:instrText>
      </w:r>
      <w:proofErr w:type="gramEnd"/>
      <w:r w:rsidR="00583718" w:rsidRPr="00382917">
        <w:rPr>
          <w:sz w:val="12"/>
          <w:szCs w:val="12"/>
        </w:rPr>
        <w:instrText>\l</w:instrText>
      </w:r>
      <w:r w:rsidR="00583718">
        <w:rPr>
          <w:sz w:val="12"/>
          <w:szCs w:val="12"/>
        </w:rPr>
        <w:instrText xml:space="preserve"> 3 </w:instrText>
      </w:r>
      <w:r w:rsidR="00583718" w:rsidRPr="00382917">
        <w:rPr>
          <w:sz w:val="12"/>
          <w:szCs w:val="12"/>
        </w:rPr>
        <w:fldChar w:fldCharType="end"/>
      </w:r>
    </w:p>
    <w:p w:rsidR="00417538" w:rsidRDefault="00417538" w:rsidP="00417538"/>
    <w:p w:rsidR="00583718" w:rsidRPr="00417538" w:rsidRDefault="00583718" w:rsidP="00417538"/>
    <w:p w:rsidR="00B568B6" w:rsidRPr="00382917" w:rsidRDefault="00B568B6" w:rsidP="00583718">
      <w:pPr>
        <w:pStyle w:val="Myheadc"/>
      </w:pPr>
      <w:r w:rsidRPr="00382917">
        <w:t>N</w:t>
      </w:r>
      <w:r w:rsidR="00417538" w:rsidRPr="00382917">
        <w:t>ote</w:t>
      </w:r>
      <w:r w:rsidR="00EE4FC3">
        <w:t xml:space="preserve"> </w:t>
      </w:r>
      <w:r w:rsidR="00417538">
        <w:t>7</w:t>
      </w:r>
    </w:p>
    <w:p w:rsidR="00B568B6" w:rsidRPr="00382917" w:rsidRDefault="00B568B6" w:rsidP="00583718">
      <w:pPr>
        <w:pStyle w:val="Text"/>
      </w:pPr>
      <w:r w:rsidRPr="00382917">
        <w:t>All</w:t>
      </w:r>
      <w:r w:rsidR="00EE4FC3">
        <w:t xml:space="preserve"> </w:t>
      </w:r>
      <w:r w:rsidRPr="00382917">
        <w:t>the</w:t>
      </w:r>
      <w:r w:rsidR="00EE4FC3">
        <w:t xml:space="preserve"> </w:t>
      </w:r>
      <w:r w:rsidRPr="00382917">
        <w:t>Faiths</w:t>
      </w:r>
      <w:r w:rsidR="00EE4FC3">
        <w:t xml:space="preserve"> </w:t>
      </w:r>
      <w:r w:rsidRPr="00382917">
        <w:t>of</w:t>
      </w:r>
      <w:r w:rsidR="00EE4FC3">
        <w:t xml:space="preserve"> </w:t>
      </w:r>
      <w:r w:rsidRPr="00382917">
        <w:t>the</w:t>
      </w:r>
      <w:r w:rsidR="00EE4FC3">
        <w:t xml:space="preserve"> </w:t>
      </w:r>
      <w:r w:rsidRPr="00382917">
        <w:t>world</w:t>
      </w:r>
      <w:r w:rsidR="00EE4FC3">
        <w:t xml:space="preserve"> </w:t>
      </w:r>
      <w:r w:rsidRPr="00382917">
        <w:t>speak</w:t>
      </w:r>
      <w:r w:rsidR="00EE4FC3">
        <w:t xml:space="preserve"> </w:t>
      </w:r>
      <w:r w:rsidRPr="00382917">
        <w:t>of</w:t>
      </w:r>
      <w:r w:rsidR="00EE4FC3">
        <w:t xml:space="preserve"> </w:t>
      </w:r>
      <w:r w:rsidRPr="00382917">
        <w:t>a</w:t>
      </w:r>
      <w:r w:rsidR="00EE4FC3">
        <w:t xml:space="preserve"> </w:t>
      </w:r>
      <w:r w:rsidRPr="00382917">
        <w:t>great</w:t>
      </w:r>
      <w:r w:rsidR="00EE4FC3">
        <w:t xml:space="preserve"> </w:t>
      </w:r>
      <w:r w:rsidR="009C713D" w:rsidRPr="00382917">
        <w:t>“</w:t>
      </w:r>
      <w:r w:rsidRPr="00382917">
        <w:t>last</w:t>
      </w:r>
      <w:r w:rsidR="00EE4FC3">
        <w:t xml:space="preserve"> </w:t>
      </w:r>
      <w:r w:rsidRPr="00382917">
        <w:t>day</w:t>
      </w:r>
      <w:r w:rsidR="009C713D" w:rsidRPr="00382917">
        <w:t>”</w:t>
      </w:r>
      <w:r w:rsidR="00EE4FC3">
        <w:t xml:space="preserve"> </w:t>
      </w:r>
      <w:r w:rsidRPr="00382917">
        <w:t>when</w:t>
      </w:r>
      <w:r w:rsidR="00EE4FC3">
        <w:t xml:space="preserve"> </w:t>
      </w:r>
      <w:r w:rsidRPr="00382917">
        <w:t>God</w:t>
      </w:r>
      <w:r w:rsidR="00EE4FC3">
        <w:t xml:space="preserve"> </w:t>
      </w:r>
      <w:r w:rsidRPr="00382917">
        <w:t>will</w:t>
      </w:r>
      <w:r w:rsidR="00EE4FC3">
        <w:t xml:space="preserve"> </w:t>
      </w:r>
      <w:r w:rsidRPr="00382917">
        <w:t>rule</w:t>
      </w:r>
      <w:r w:rsidR="00EE4FC3">
        <w:t xml:space="preserve"> </w:t>
      </w:r>
      <w:r w:rsidRPr="00382917">
        <w:t>the</w:t>
      </w:r>
      <w:r w:rsidR="00EE4FC3">
        <w:t xml:space="preserve"> </w:t>
      </w:r>
      <w:r w:rsidRPr="00382917">
        <w:t>earth</w:t>
      </w:r>
      <w:r w:rsidR="00EE4FC3">
        <w:t xml:space="preserve"> </w:t>
      </w:r>
      <w:r w:rsidRPr="00382917">
        <w:t>and</w:t>
      </w:r>
      <w:r w:rsidR="00EE4FC3">
        <w:t xml:space="preserve"> </w:t>
      </w:r>
      <w:r w:rsidRPr="00382917">
        <w:t>all</w:t>
      </w:r>
      <w:r w:rsidR="00EE4FC3">
        <w:t xml:space="preserve"> </w:t>
      </w:r>
      <w:r w:rsidRPr="00382917">
        <w:t>the</w:t>
      </w:r>
      <w:r w:rsidR="00EE4FC3">
        <w:t xml:space="preserve"> </w:t>
      </w:r>
      <w:r w:rsidRPr="00382917">
        <w:t>sheep</w:t>
      </w:r>
      <w:r w:rsidR="00EE4FC3">
        <w:t xml:space="preserve"> </w:t>
      </w:r>
      <w:r w:rsidRPr="00382917">
        <w:t>will</w:t>
      </w:r>
      <w:r w:rsidR="00EE4FC3">
        <w:t xml:space="preserve"> </w:t>
      </w:r>
      <w:r w:rsidRPr="00382917">
        <w:t>be</w:t>
      </w:r>
      <w:r w:rsidR="00EE4FC3">
        <w:t xml:space="preserve"> </w:t>
      </w:r>
      <w:r w:rsidRPr="00382917">
        <w:t>gathered</w:t>
      </w:r>
      <w:r w:rsidR="00EE4FC3">
        <w:t xml:space="preserve"> </w:t>
      </w:r>
      <w:r w:rsidRPr="00382917">
        <w:t>together</w:t>
      </w:r>
      <w:r w:rsidR="00EE4FC3">
        <w:t xml:space="preserve"> </w:t>
      </w:r>
      <w:r w:rsidRPr="00382917">
        <w:t>into</w:t>
      </w:r>
      <w:r w:rsidR="00EE4FC3">
        <w:t xml:space="preserve"> </w:t>
      </w:r>
      <w:r w:rsidRPr="00382917">
        <w:t>one</w:t>
      </w:r>
      <w:r w:rsidR="00EE4FC3">
        <w:t xml:space="preserve"> </w:t>
      </w:r>
      <w:r w:rsidRPr="00382917">
        <w:t>flock</w:t>
      </w:r>
      <w:r w:rsidR="00F267E4">
        <w:t>.</w:t>
      </w:r>
      <w:r w:rsidR="00EE4FC3">
        <w:t xml:space="preserve">  </w:t>
      </w:r>
      <w:r w:rsidRPr="00382917">
        <w:t>Christ</w:t>
      </w:r>
      <w:r w:rsidR="00EE4FC3">
        <w:t xml:space="preserve"> </w:t>
      </w:r>
      <w:r w:rsidRPr="00382917">
        <w:t>Himself</w:t>
      </w:r>
      <w:r w:rsidR="00EE4FC3">
        <w:t xml:space="preserve"> </w:t>
      </w:r>
      <w:r w:rsidRPr="00382917">
        <w:t>said</w:t>
      </w:r>
      <w:r w:rsidR="00C03C91">
        <w:t>:</w:t>
      </w:r>
      <w:r w:rsidR="00EE4FC3">
        <w:t xml:space="preserve">  </w:t>
      </w:r>
      <w:r w:rsidR="009C713D" w:rsidRPr="00382917">
        <w:t>“</w:t>
      </w:r>
      <w:r w:rsidRPr="00382917">
        <w:t>And</w:t>
      </w:r>
      <w:r w:rsidR="00EE4FC3">
        <w:t xml:space="preserve"> </w:t>
      </w:r>
      <w:r w:rsidRPr="00382917">
        <w:t>other</w:t>
      </w:r>
      <w:r w:rsidR="00EE4FC3">
        <w:t xml:space="preserve"> </w:t>
      </w:r>
      <w:r w:rsidRPr="00382917">
        <w:t>sheep</w:t>
      </w:r>
      <w:r w:rsidR="00EE4FC3">
        <w:t xml:space="preserve"> </w:t>
      </w:r>
      <w:r w:rsidRPr="00382917">
        <w:t>I</w:t>
      </w:r>
      <w:r w:rsidR="00EE4FC3">
        <w:t xml:space="preserve"> </w:t>
      </w:r>
      <w:r w:rsidRPr="00382917">
        <w:t>have,</w:t>
      </w:r>
      <w:r w:rsidR="00EE4FC3">
        <w:t xml:space="preserve"> </w:t>
      </w:r>
      <w:r w:rsidRPr="00382917">
        <w:t>which</w:t>
      </w:r>
      <w:r w:rsidR="00EE4FC3">
        <w:t xml:space="preserve"> </w:t>
      </w:r>
      <w:r w:rsidRPr="00382917">
        <w:t>are</w:t>
      </w:r>
      <w:r w:rsidR="00EE4FC3">
        <w:t xml:space="preserve"> </w:t>
      </w:r>
      <w:r w:rsidRPr="00382917">
        <w:t>not</w:t>
      </w:r>
      <w:r w:rsidR="00EE4FC3">
        <w:t xml:space="preserve"> </w:t>
      </w:r>
      <w:r w:rsidRPr="00382917">
        <w:t>of</w:t>
      </w:r>
      <w:r w:rsidR="00EE4FC3">
        <w:t xml:space="preserve"> </w:t>
      </w:r>
      <w:r w:rsidRPr="00382917">
        <w:t>this</w:t>
      </w:r>
      <w:r w:rsidR="00EE4FC3">
        <w:t xml:space="preserve"> </w:t>
      </w:r>
      <w:r w:rsidRPr="00382917">
        <w:t>fold</w:t>
      </w:r>
      <w:r w:rsidR="00C03C91">
        <w:t>:</w:t>
      </w:r>
      <w:r w:rsidR="00EE4FC3">
        <w:t xml:space="preserve">  </w:t>
      </w:r>
      <w:r w:rsidRPr="00382917">
        <w:t>them</w:t>
      </w:r>
      <w:r w:rsidR="00EE4FC3">
        <w:t xml:space="preserve"> </w:t>
      </w:r>
      <w:r w:rsidRPr="00382917">
        <w:t>also</w:t>
      </w:r>
      <w:r w:rsidR="00EE4FC3">
        <w:t xml:space="preserve"> </w:t>
      </w:r>
      <w:r w:rsidRPr="00382917">
        <w:t>I</w:t>
      </w:r>
      <w:r w:rsidR="00EE4FC3">
        <w:t xml:space="preserve"> </w:t>
      </w:r>
      <w:r w:rsidRPr="00382917">
        <w:t>must</w:t>
      </w:r>
      <w:r w:rsidR="00EE4FC3">
        <w:t xml:space="preserve"> </w:t>
      </w:r>
      <w:r w:rsidRPr="00382917">
        <w:t>bring,</w:t>
      </w:r>
      <w:r w:rsidR="00EE4FC3">
        <w:t xml:space="preserve"> </w:t>
      </w:r>
      <w:r w:rsidRPr="00382917">
        <w:t>and</w:t>
      </w:r>
      <w:r w:rsidR="00EE4FC3">
        <w:t xml:space="preserve"> </w:t>
      </w:r>
      <w:r w:rsidRPr="00382917">
        <w:t>they</w:t>
      </w:r>
      <w:r w:rsidR="00EE4FC3">
        <w:t xml:space="preserve"> </w:t>
      </w:r>
      <w:r w:rsidRPr="00382917">
        <w:t>shall</w:t>
      </w:r>
      <w:r w:rsidR="00EE4FC3">
        <w:t xml:space="preserve"> </w:t>
      </w:r>
      <w:r w:rsidRPr="00382917">
        <w:t>hear</w:t>
      </w:r>
      <w:r w:rsidR="00EE4FC3">
        <w:t xml:space="preserve"> </w:t>
      </w:r>
      <w:r w:rsidRPr="00382917">
        <w:t>my</w:t>
      </w:r>
      <w:r w:rsidR="00EE4FC3">
        <w:t xml:space="preserve"> </w:t>
      </w:r>
      <w:r w:rsidRPr="00382917">
        <w:t>voice;</w:t>
      </w:r>
      <w:r w:rsidR="00EE4FC3">
        <w:t xml:space="preserve"> </w:t>
      </w:r>
      <w:r w:rsidRPr="00382917">
        <w:t>and</w:t>
      </w:r>
      <w:r w:rsidR="00EE4FC3">
        <w:t xml:space="preserve"> </w:t>
      </w:r>
      <w:r w:rsidRPr="00382917">
        <w:t>there</w:t>
      </w:r>
      <w:r w:rsidR="00EE4FC3">
        <w:t xml:space="preserve"> </w:t>
      </w:r>
      <w:r w:rsidRPr="00382917">
        <w:t>shall</w:t>
      </w:r>
      <w:r w:rsidR="00EE4FC3">
        <w:t xml:space="preserve"> </w:t>
      </w:r>
      <w:r w:rsidRPr="00382917">
        <w:t>be</w:t>
      </w:r>
      <w:r w:rsidR="00EE4FC3">
        <w:t xml:space="preserve"> </w:t>
      </w:r>
      <w:r w:rsidRPr="00382917">
        <w:t>one</w:t>
      </w:r>
      <w:r w:rsidR="00EE4FC3">
        <w:t xml:space="preserve"> </w:t>
      </w:r>
      <w:r w:rsidRPr="00382917">
        <w:t>fold</w:t>
      </w:r>
      <w:r w:rsidR="00EE4FC3">
        <w:t xml:space="preserve"> </w:t>
      </w:r>
      <w:r w:rsidRPr="00382917">
        <w:t>and</w:t>
      </w:r>
      <w:r w:rsidR="00EE4FC3">
        <w:t xml:space="preserve"> </w:t>
      </w:r>
      <w:r w:rsidRPr="00382917">
        <w:t>one</w:t>
      </w:r>
      <w:r w:rsidR="00EE4FC3">
        <w:t xml:space="preserve"> </w:t>
      </w:r>
      <w:r w:rsidRPr="00382917">
        <w:t>shepherd.</w:t>
      </w:r>
      <w:r w:rsidR="009C713D" w:rsidRPr="00382917">
        <w:t>”</w:t>
      </w:r>
      <w:r w:rsidR="00583718">
        <w:rPr>
          <w:rStyle w:val="FootnoteReference"/>
        </w:rPr>
        <w:footnoteReference w:id="392"/>
      </w:r>
    </w:p>
    <w:p w:rsidR="00B568B6" w:rsidRPr="00382917" w:rsidRDefault="00B568B6" w:rsidP="00B568B6">
      <w:pPr>
        <w:pStyle w:val="Text"/>
      </w:pPr>
      <w:r w:rsidRPr="00382917">
        <w:t>In</w:t>
      </w:r>
      <w:r w:rsidR="00EE4FC3">
        <w:t xml:space="preserve"> </w:t>
      </w:r>
      <w:r w:rsidRPr="00382917">
        <w:t>the</w:t>
      </w:r>
      <w:r w:rsidR="00EE4FC3">
        <w:t xml:space="preserve"> </w:t>
      </w:r>
      <w:r w:rsidRPr="00382917">
        <w:t>Book</w:t>
      </w:r>
      <w:r w:rsidR="00EE4FC3">
        <w:t xml:space="preserve"> </w:t>
      </w:r>
      <w:r w:rsidRPr="00382917">
        <w:t>of</w:t>
      </w:r>
      <w:r w:rsidR="00EE4FC3">
        <w:t xml:space="preserve"> </w:t>
      </w:r>
      <w:r w:rsidRPr="00382917">
        <w:t>Zechariah</w:t>
      </w:r>
      <w:r w:rsidR="00EE4FC3">
        <w:t xml:space="preserve"> </w:t>
      </w:r>
      <w:r w:rsidRPr="00382917">
        <w:t>it</w:t>
      </w:r>
      <w:r w:rsidR="00EE4FC3">
        <w:t xml:space="preserve"> </w:t>
      </w:r>
      <w:r w:rsidRPr="00382917">
        <w:t>is</w:t>
      </w:r>
      <w:r w:rsidR="00EE4FC3">
        <w:t xml:space="preserve"> </w:t>
      </w:r>
      <w:r w:rsidRPr="00382917">
        <w:t>expressed</w:t>
      </w:r>
      <w:r w:rsidR="00EE4FC3">
        <w:t xml:space="preserve"> </w:t>
      </w:r>
      <w:r w:rsidRPr="00382917">
        <w:t>in</w:t>
      </w:r>
      <w:r w:rsidR="00EE4FC3">
        <w:t xml:space="preserve"> </w:t>
      </w:r>
      <w:r w:rsidRPr="00382917">
        <w:t>yet</w:t>
      </w:r>
      <w:r w:rsidR="00EE4FC3">
        <w:t xml:space="preserve"> </w:t>
      </w:r>
      <w:r w:rsidRPr="00382917">
        <w:t>another</w:t>
      </w:r>
      <w:r w:rsidR="00EE4FC3">
        <w:t xml:space="preserve"> </w:t>
      </w:r>
      <w:r w:rsidRPr="00382917">
        <w:t>way:</w:t>
      </w:r>
    </w:p>
    <w:p w:rsidR="00B568B6" w:rsidRPr="00382917" w:rsidRDefault="009C713D" w:rsidP="00583718">
      <w:pPr>
        <w:pStyle w:val="Quote"/>
      </w:pPr>
      <w:r w:rsidRPr="00382917">
        <w:t>“</w:t>
      </w:r>
      <w:r w:rsidR="00B568B6" w:rsidRPr="00382917">
        <w:t>And</w:t>
      </w:r>
      <w:r w:rsidR="00EE4FC3">
        <w:t xml:space="preserve"> </w:t>
      </w:r>
      <w:r w:rsidR="00B568B6" w:rsidRPr="00382917">
        <w:t>the</w:t>
      </w:r>
      <w:r w:rsidR="00EE4FC3">
        <w:t xml:space="preserve"> </w:t>
      </w:r>
      <w:r w:rsidR="00B568B6" w:rsidRPr="00382917">
        <w:t>Lord</w:t>
      </w:r>
      <w:r w:rsidR="00EE4FC3">
        <w:t xml:space="preserve"> </w:t>
      </w:r>
      <w:r w:rsidR="00B568B6" w:rsidRPr="00382917">
        <w:t>shall</w:t>
      </w:r>
      <w:r w:rsidR="00EE4FC3">
        <w:t xml:space="preserve"> </w:t>
      </w:r>
      <w:r w:rsidR="00B568B6" w:rsidRPr="00382917">
        <w:t>be</w:t>
      </w:r>
      <w:r w:rsidR="00EE4FC3">
        <w:t xml:space="preserve"> </w:t>
      </w:r>
      <w:r w:rsidR="00B568B6" w:rsidRPr="00382917">
        <w:t>king</w:t>
      </w:r>
      <w:r w:rsidR="00EE4FC3">
        <w:t xml:space="preserve"> </w:t>
      </w:r>
      <w:r w:rsidR="00B568B6" w:rsidRPr="00382917">
        <w:t>over</w:t>
      </w:r>
      <w:r w:rsidR="00EE4FC3">
        <w:t xml:space="preserve"> </w:t>
      </w:r>
      <w:r w:rsidR="00B568B6" w:rsidRPr="00382917">
        <w:t>all</w:t>
      </w:r>
      <w:r w:rsidR="00EE4FC3">
        <w:t xml:space="preserve"> </w:t>
      </w:r>
      <w:r w:rsidR="00B568B6" w:rsidRPr="00382917">
        <w:t>the</w:t>
      </w:r>
      <w:r w:rsidR="00EE4FC3">
        <w:t xml:space="preserve"> </w:t>
      </w:r>
      <w:r w:rsidR="00B568B6" w:rsidRPr="00382917">
        <w:t>earth</w:t>
      </w:r>
      <w:r w:rsidR="00C03C91">
        <w:t>:</w:t>
      </w:r>
      <w:r w:rsidR="00EE4FC3">
        <w:t xml:space="preserve">  </w:t>
      </w:r>
      <w:r w:rsidR="00B568B6" w:rsidRPr="00382917">
        <w:t>in</w:t>
      </w:r>
      <w:r w:rsidR="00EE4FC3">
        <w:t xml:space="preserve"> </w:t>
      </w:r>
      <w:r w:rsidR="00B568B6" w:rsidRPr="00382917">
        <w:t>that</w:t>
      </w:r>
      <w:r w:rsidR="00EE4FC3">
        <w:t xml:space="preserve"> </w:t>
      </w:r>
      <w:r w:rsidR="00B568B6" w:rsidRPr="00382917">
        <w:t>day</w:t>
      </w:r>
      <w:r w:rsidR="00EE4FC3">
        <w:t xml:space="preserve"> </w:t>
      </w:r>
      <w:r w:rsidR="00B568B6" w:rsidRPr="00382917">
        <w:t>there</w:t>
      </w:r>
      <w:r w:rsidR="00EE4FC3">
        <w:t xml:space="preserve"> </w:t>
      </w:r>
      <w:r w:rsidR="00B568B6" w:rsidRPr="00382917">
        <w:t>shall</w:t>
      </w:r>
      <w:r w:rsidR="00EE4FC3">
        <w:t xml:space="preserve"> </w:t>
      </w:r>
      <w:r w:rsidR="00B568B6" w:rsidRPr="00382917">
        <w:t>be</w:t>
      </w:r>
      <w:r w:rsidR="00EE4FC3">
        <w:t xml:space="preserve"> </w:t>
      </w:r>
      <w:r w:rsidR="00B568B6" w:rsidRPr="00382917">
        <w:t>one</w:t>
      </w:r>
      <w:r w:rsidR="00EE4FC3">
        <w:t xml:space="preserve"> </w:t>
      </w:r>
      <w:r w:rsidR="00B568B6" w:rsidRPr="00382917">
        <w:t>Lord,</w:t>
      </w:r>
      <w:r w:rsidR="00EE4FC3">
        <w:t xml:space="preserve"> </w:t>
      </w:r>
      <w:r w:rsidR="00B568B6" w:rsidRPr="00382917">
        <w:t>and</w:t>
      </w:r>
      <w:r w:rsidR="00EE4FC3">
        <w:t xml:space="preserve"> </w:t>
      </w:r>
      <w:r w:rsidR="00B568B6" w:rsidRPr="00382917">
        <w:t>his</w:t>
      </w:r>
      <w:r w:rsidR="00EE4FC3">
        <w:t xml:space="preserve"> </w:t>
      </w:r>
      <w:r w:rsidR="00B568B6" w:rsidRPr="00382917">
        <w:t>name</w:t>
      </w:r>
      <w:r w:rsidR="00EE4FC3">
        <w:t xml:space="preserve"> </w:t>
      </w:r>
      <w:r w:rsidR="00B568B6" w:rsidRPr="00382917">
        <w:t>one.</w:t>
      </w:r>
      <w:r w:rsidRPr="00382917">
        <w:t>”</w:t>
      </w:r>
      <w:r w:rsidR="00583718">
        <w:rPr>
          <w:rStyle w:val="FootnoteReference"/>
        </w:rPr>
        <w:footnoteReference w:id="393"/>
      </w:r>
    </w:p>
    <w:p w:rsidR="00B568B6" w:rsidRPr="00382917" w:rsidRDefault="00B568B6" w:rsidP="00B568B6">
      <w:pPr>
        <w:pStyle w:val="Text"/>
      </w:pPr>
      <w:r w:rsidRPr="00382917">
        <w:t>Although</w:t>
      </w:r>
      <w:r w:rsidR="00EE4FC3">
        <w:t xml:space="preserve"> </w:t>
      </w:r>
      <w:r w:rsidRPr="00382917">
        <w:t>the</w:t>
      </w:r>
      <w:r w:rsidR="00EE4FC3">
        <w:t xml:space="preserve"> </w:t>
      </w:r>
      <w:r w:rsidRPr="00382917">
        <w:t>name</w:t>
      </w:r>
      <w:r w:rsidR="00EE4FC3">
        <w:t xml:space="preserve"> </w:t>
      </w:r>
      <w:r w:rsidRPr="00382917">
        <w:t>of</w:t>
      </w:r>
      <w:r w:rsidR="00EE4FC3">
        <w:t xml:space="preserve"> </w:t>
      </w:r>
      <w:r w:rsidRPr="00382917">
        <w:t>every</w:t>
      </w:r>
      <w:r w:rsidR="00EE4FC3">
        <w:t xml:space="preserve"> </w:t>
      </w:r>
      <w:r w:rsidRPr="00382917">
        <w:t>prophet</w:t>
      </w:r>
      <w:r w:rsidR="00EE4FC3">
        <w:t xml:space="preserve"> </w:t>
      </w:r>
      <w:r w:rsidRPr="00382917">
        <w:t>up</w:t>
      </w:r>
      <w:r w:rsidR="00EE4FC3">
        <w:t xml:space="preserve"> </w:t>
      </w:r>
      <w:r w:rsidRPr="00382917">
        <w:t>until</w:t>
      </w:r>
      <w:r w:rsidR="00EE4FC3">
        <w:t xml:space="preserve"> </w:t>
      </w:r>
      <w:r w:rsidRPr="00382917">
        <w:t>the</w:t>
      </w:r>
      <w:r w:rsidR="00EE4FC3">
        <w:t xml:space="preserve"> </w:t>
      </w:r>
      <w:r w:rsidRPr="00382917">
        <w:t>present</w:t>
      </w:r>
      <w:r w:rsidR="00EE4FC3">
        <w:t xml:space="preserve"> </w:t>
      </w:r>
      <w:r w:rsidRPr="00382917">
        <w:t>time</w:t>
      </w:r>
      <w:r w:rsidR="00EE4FC3">
        <w:t xml:space="preserve"> </w:t>
      </w:r>
      <w:r w:rsidRPr="00382917">
        <w:t>has</w:t>
      </w:r>
      <w:r w:rsidR="00EE4FC3">
        <w:t xml:space="preserve"> </w:t>
      </w:r>
      <w:r w:rsidRPr="00382917">
        <w:t>appeared</w:t>
      </w:r>
      <w:r w:rsidR="00EE4FC3">
        <w:t xml:space="preserve"> </w:t>
      </w:r>
      <w:r w:rsidRPr="00382917">
        <w:t>in</w:t>
      </w:r>
      <w:r w:rsidR="00EE4FC3">
        <w:t xml:space="preserve"> </w:t>
      </w:r>
      <w:r w:rsidRPr="00382917">
        <w:t>various</w:t>
      </w:r>
      <w:r w:rsidR="00EE4FC3">
        <w:t xml:space="preserve"> </w:t>
      </w:r>
      <w:r w:rsidRPr="00382917">
        <w:t>forms</w:t>
      </w:r>
      <w:r w:rsidR="00EE4FC3">
        <w:t xml:space="preserve"> </w:t>
      </w:r>
      <w:r w:rsidRPr="00382917">
        <w:t>in</w:t>
      </w:r>
      <w:r w:rsidR="00EE4FC3">
        <w:t xml:space="preserve"> </w:t>
      </w:r>
      <w:r w:rsidRPr="00382917">
        <w:t>the</w:t>
      </w:r>
      <w:r w:rsidR="00EE4FC3">
        <w:t xml:space="preserve"> </w:t>
      </w:r>
      <w:r w:rsidRPr="00382917">
        <w:t>different</w:t>
      </w:r>
      <w:r w:rsidR="00EE4FC3">
        <w:t xml:space="preserve"> </w:t>
      </w:r>
      <w:r w:rsidRPr="00382917">
        <w:t>languages</w:t>
      </w:r>
      <w:r w:rsidR="00EE4FC3">
        <w:t xml:space="preserve"> </w:t>
      </w:r>
      <w:r w:rsidRPr="00382917">
        <w:t>of</w:t>
      </w:r>
      <w:r w:rsidR="00EE4FC3">
        <w:t xml:space="preserve"> </w:t>
      </w:r>
      <w:r w:rsidRPr="00382917">
        <w:t>the</w:t>
      </w:r>
      <w:r w:rsidR="00EE4FC3">
        <w:t xml:space="preserve"> </w:t>
      </w:r>
      <w:r w:rsidRPr="00382917">
        <w:t>world,</w:t>
      </w:r>
      <w:r w:rsidR="00EE4FC3">
        <w:t xml:space="preserve"> </w:t>
      </w:r>
      <w:r w:rsidRPr="00382917">
        <w:t>the</w:t>
      </w:r>
      <w:r w:rsidR="00EE4FC3">
        <w:t xml:space="preserve"> </w:t>
      </w:r>
      <w:r w:rsidRPr="00382917">
        <w:t>name</w:t>
      </w:r>
      <w:r w:rsidR="00EE4FC3">
        <w:t xml:space="preserve"> </w:t>
      </w:r>
      <w:r w:rsidRPr="00382917">
        <w:t>Bahá</w:t>
      </w:r>
      <w:r w:rsidR="009C713D" w:rsidRPr="00382917">
        <w:t>’</w:t>
      </w:r>
      <w:r w:rsidRPr="00382917">
        <w:t>u</w:t>
      </w:r>
      <w:r w:rsidR="009C713D" w:rsidRPr="00382917">
        <w:t>’</w:t>
      </w:r>
      <w:r w:rsidRPr="00382917">
        <w:t>lláh</w:t>
      </w:r>
      <w:r w:rsidR="00EE4FC3">
        <w:t xml:space="preserve"> </w:t>
      </w:r>
      <w:r w:rsidRPr="00382917">
        <w:t>is</w:t>
      </w:r>
      <w:r w:rsidR="00EE4FC3">
        <w:t xml:space="preserve"> </w:t>
      </w:r>
      <w:r w:rsidRPr="00382917">
        <w:t>never</w:t>
      </w:r>
      <w:r w:rsidR="00EE4FC3">
        <w:t xml:space="preserve"> </w:t>
      </w:r>
      <w:r w:rsidRPr="00382917">
        <w:t>spoken</w:t>
      </w:r>
      <w:r w:rsidR="00EE4FC3">
        <w:t xml:space="preserve"> </w:t>
      </w:r>
      <w:r w:rsidRPr="00382917">
        <w:t>other</w:t>
      </w:r>
      <w:r w:rsidR="00EE4FC3">
        <w:t xml:space="preserve"> </w:t>
      </w:r>
      <w:r w:rsidRPr="00382917">
        <w:t>than</w:t>
      </w:r>
      <w:r w:rsidR="00EE4FC3">
        <w:t xml:space="preserve"> </w:t>
      </w:r>
      <w:r w:rsidRPr="00382917">
        <w:t>in</w:t>
      </w:r>
      <w:r w:rsidR="00EE4FC3">
        <w:t xml:space="preserve"> </w:t>
      </w:r>
      <w:r w:rsidRPr="00382917">
        <w:t>this</w:t>
      </w:r>
      <w:r w:rsidR="00EE4FC3">
        <w:t xml:space="preserve"> </w:t>
      </w:r>
      <w:r w:rsidRPr="00382917">
        <w:t>one</w:t>
      </w:r>
      <w:r w:rsidR="00EE4FC3">
        <w:t xml:space="preserve"> </w:t>
      </w:r>
      <w:r w:rsidRPr="00382917">
        <w:t>form</w:t>
      </w:r>
      <w:r w:rsidR="00EE4FC3">
        <w:t xml:space="preserve"> </w:t>
      </w:r>
      <w:r w:rsidRPr="00382917">
        <w:t>which</w:t>
      </w:r>
      <w:r w:rsidR="00EE4FC3">
        <w:t xml:space="preserve"> </w:t>
      </w:r>
      <w:r w:rsidRPr="00382917">
        <w:t>is</w:t>
      </w:r>
      <w:r w:rsidR="00EE4FC3">
        <w:t xml:space="preserve"> </w:t>
      </w:r>
      <w:r w:rsidRPr="00382917">
        <w:t>used</w:t>
      </w:r>
      <w:r w:rsidR="00EE4FC3">
        <w:t xml:space="preserve"> </w:t>
      </w:r>
      <w:r w:rsidRPr="00382917">
        <w:t>throughout</w:t>
      </w:r>
      <w:r w:rsidR="00EE4FC3">
        <w:t xml:space="preserve"> </w:t>
      </w:r>
      <w:r w:rsidRPr="00382917">
        <w:t>the</w:t>
      </w:r>
      <w:r w:rsidR="00EE4FC3">
        <w:t xml:space="preserve"> </w:t>
      </w:r>
      <w:r w:rsidRPr="00382917">
        <w:t>earth.</w:t>
      </w:r>
    </w:p>
    <w:p w:rsidR="00B568B6" w:rsidRPr="00382917" w:rsidRDefault="00B568B6" w:rsidP="00B568B6">
      <w:pPr>
        <w:pStyle w:val="Text"/>
      </w:pPr>
      <w:r w:rsidRPr="00382917">
        <w:t>In</w:t>
      </w:r>
      <w:r w:rsidR="00EE4FC3">
        <w:t xml:space="preserve"> </w:t>
      </w:r>
      <w:r w:rsidRPr="00382917">
        <w:t>speaking</w:t>
      </w:r>
      <w:r w:rsidR="00EE4FC3">
        <w:t xml:space="preserve"> </w:t>
      </w:r>
      <w:r w:rsidRPr="00382917">
        <w:t>of</w:t>
      </w:r>
      <w:r w:rsidR="00EE4FC3">
        <w:t xml:space="preserve"> </w:t>
      </w:r>
      <w:r w:rsidRPr="00382917">
        <w:t>the</w:t>
      </w:r>
      <w:r w:rsidR="00EE4FC3">
        <w:t xml:space="preserve"> </w:t>
      </w:r>
      <w:r w:rsidRPr="00382917">
        <w:t>last</w:t>
      </w:r>
      <w:r w:rsidR="00EE4FC3">
        <w:t xml:space="preserve"> </w:t>
      </w:r>
      <w:r w:rsidRPr="00382917">
        <w:t>day,</w:t>
      </w:r>
      <w:r w:rsidR="00EE4FC3">
        <w:t xml:space="preserve"> </w:t>
      </w:r>
      <w:r w:rsidRPr="00382917">
        <w:t>the</w:t>
      </w:r>
      <w:r w:rsidR="00EE4FC3">
        <w:t xml:space="preserve"> </w:t>
      </w:r>
      <w:r w:rsidRPr="00382917">
        <w:t>Book</w:t>
      </w:r>
      <w:r w:rsidR="00EE4FC3">
        <w:t xml:space="preserve"> </w:t>
      </w:r>
      <w:r w:rsidRPr="00382917">
        <w:t>of</w:t>
      </w:r>
      <w:r w:rsidR="00EE4FC3">
        <w:t xml:space="preserve"> </w:t>
      </w:r>
      <w:proofErr w:type="spellStart"/>
      <w:r w:rsidRPr="00382917">
        <w:t>Habbakuk</w:t>
      </w:r>
      <w:proofErr w:type="spellEnd"/>
      <w:r w:rsidR="00EE4FC3">
        <w:t xml:space="preserve"> </w:t>
      </w:r>
      <w:r w:rsidRPr="00382917">
        <w:t>states:</w:t>
      </w:r>
    </w:p>
    <w:p w:rsidR="00B568B6" w:rsidRPr="00382917" w:rsidRDefault="009C713D" w:rsidP="00583718">
      <w:pPr>
        <w:pStyle w:val="Quote"/>
      </w:pPr>
      <w:r w:rsidRPr="00382917">
        <w:t>“</w:t>
      </w:r>
      <w:r w:rsidR="00B568B6" w:rsidRPr="00382917">
        <w:t>For</w:t>
      </w:r>
      <w:r w:rsidR="00EE4FC3">
        <w:t xml:space="preserve"> </w:t>
      </w:r>
      <w:r w:rsidR="00B568B6" w:rsidRPr="00382917">
        <w:t>the</w:t>
      </w:r>
      <w:r w:rsidR="00EE4FC3">
        <w:t xml:space="preserve"> </w:t>
      </w:r>
      <w:r w:rsidR="00B568B6" w:rsidRPr="00382917">
        <w:t>earth</w:t>
      </w:r>
      <w:r w:rsidR="00EE4FC3">
        <w:t xml:space="preserve"> </w:t>
      </w:r>
      <w:r w:rsidR="00B568B6" w:rsidRPr="00382917">
        <w:t>shall</w:t>
      </w:r>
      <w:r w:rsidR="00EE4FC3">
        <w:t xml:space="preserve"> </w:t>
      </w:r>
      <w:r w:rsidR="00B568B6" w:rsidRPr="00382917">
        <w:t>be</w:t>
      </w:r>
      <w:r w:rsidR="00EE4FC3">
        <w:t xml:space="preserve"> </w:t>
      </w:r>
      <w:r w:rsidR="00B568B6" w:rsidRPr="00382917">
        <w:t>filled</w:t>
      </w:r>
      <w:r w:rsidR="00EE4FC3">
        <w:t xml:space="preserve"> </w:t>
      </w:r>
      <w:r w:rsidR="00B568B6" w:rsidRPr="00382917">
        <w:t>with</w:t>
      </w:r>
      <w:r w:rsidR="00EE4FC3">
        <w:t xml:space="preserve"> </w:t>
      </w:r>
      <w:r w:rsidR="00B568B6" w:rsidRPr="00382917">
        <w:t>the</w:t>
      </w:r>
      <w:r w:rsidR="00EE4FC3">
        <w:t xml:space="preserve"> </w:t>
      </w:r>
      <w:r w:rsidR="00B568B6" w:rsidRPr="00382917">
        <w:t>knowledge</w:t>
      </w:r>
      <w:r w:rsidR="00EE4FC3">
        <w:t xml:space="preserve"> </w:t>
      </w:r>
      <w:r w:rsidR="00B568B6" w:rsidRPr="00382917">
        <w:t>of</w:t>
      </w:r>
      <w:r w:rsidR="00EE4FC3">
        <w:t xml:space="preserve"> </w:t>
      </w:r>
      <w:r w:rsidR="00B568B6" w:rsidRPr="00382917">
        <w:t>the</w:t>
      </w:r>
      <w:r w:rsidR="00EE4FC3">
        <w:t xml:space="preserve"> </w:t>
      </w:r>
      <w:r w:rsidR="00B568B6" w:rsidRPr="00382917">
        <w:t>glory</w:t>
      </w:r>
      <w:r w:rsidR="00EE4FC3">
        <w:t xml:space="preserve"> </w:t>
      </w:r>
      <w:r w:rsidR="00B568B6" w:rsidRPr="00382917">
        <w:t>of</w:t>
      </w:r>
      <w:r w:rsidR="00EE4FC3">
        <w:t xml:space="preserve"> </w:t>
      </w:r>
      <w:r w:rsidR="00B568B6" w:rsidRPr="00382917">
        <w:t>the</w:t>
      </w:r>
      <w:r w:rsidR="00EE4FC3">
        <w:t xml:space="preserve"> </w:t>
      </w:r>
      <w:r w:rsidR="00B568B6" w:rsidRPr="00382917">
        <w:t>Lord,</w:t>
      </w:r>
      <w:r w:rsidR="00EE4FC3">
        <w:t xml:space="preserve"> </w:t>
      </w:r>
      <w:r w:rsidR="00B568B6" w:rsidRPr="00382917">
        <w:t>as</w:t>
      </w:r>
      <w:r w:rsidR="00EE4FC3">
        <w:t xml:space="preserve"> </w:t>
      </w:r>
      <w:r w:rsidR="00B568B6" w:rsidRPr="00382917">
        <w:t>the</w:t>
      </w:r>
      <w:r w:rsidR="00EE4FC3">
        <w:t xml:space="preserve"> </w:t>
      </w:r>
      <w:r w:rsidR="00B568B6" w:rsidRPr="00382917">
        <w:t>waters</w:t>
      </w:r>
      <w:r w:rsidR="00EE4FC3">
        <w:t xml:space="preserve"> </w:t>
      </w:r>
      <w:r w:rsidR="00B568B6" w:rsidRPr="00382917">
        <w:t>cover</w:t>
      </w:r>
      <w:r w:rsidR="00EE4FC3">
        <w:t xml:space="preserve"> </w:t>
      </w:r>
      <w:r w:rsidR="00B568B6" w:rsidRPr="00382917">
        <w:t>the</w:t>
      </w:r>
      <w:r w:rsidR="00EE4FC3">
        <w:t xml:space="preserve"> </w:t>
      </w:r>
      <w:r w:rsidR="00B568B6" w:rsidRPr="00382917">
        <w:t>sea.</w:t>
      </w:r>
      <w:r w:rsidRPr="00382917">
        <w:t>”</w:t>
      </w:r>
      <w:r w:rsidR="00583718">
        <w:rPr>
          <w:rStyle w:val="FootnoteReference"/>
        </w:rPr>
        <w:footnoteReference w:id="394"/>
      </w:r>
    </w:p>
    <w:p w:rsidR="00B568B6" w:rsidRPr="00382917" w:rsidRDefault="00B568B6" w:rsidP="00B568B6">
      <w:pPr>
        <w:pStyle w:val="Text"/>
      </w:pPr>
      <w:r w:rsidRPr="00382917">
        <w:t>The</w:t>
      </w:r>
      <w:r w:rsidR="00EE4FC3">
        <w:t xml:space="preserve"> </w:t>
      </w:r>
      <w:r w:rsidRPr="00382917">
        <w:t>great</w:t>
      </w:r>
      <w:r w:rsidR="00EE4FC3">
        <w:t xml:space="preserve"> </w:t>
      </w:r>
      <w:r w:rsidRPr="00382917">
        <w:t>American</w:t>
      </w:r>
      <w:r w:rsidR="00EE4FC3">
        <w:t xml:space="preserve"> </w:t>
      </w:r>
      <w:r w:rsidRPr="00382917">
        <w:t>Negro</w:t>
      </w:r>
      <w:r w:rsidR="00EE4FC3">
        <w:t xml:space="preserve"> </w:t>
      </w:r>
      <w:r w:rsidRPr="00382917">
        <w:t>educator,</w:t>
      </w:r>
      <w:r w:rsidR="00EE4FC3">
        <w:t xml:space="preserve"> </w:t>
      </w:r>
      <w:r w:rsidRPr="00382917">
        <w:t>George</w:t>
      </w:r>
      <w:r w:rsidR="00EE4FC3">
        <w:t xml:space="preserve"> </w:t>
      </w:r>
      <w:r w:rsidRPr="00382917">
        <w:t>Washington</w:t>
      </w:r>
      <w:r w:rsidR="00EE4FC3">
        <w:t xml:space="preserve"> </w:t>
      </w:r>
      <w:r w:rsidRPr="00382917">
        <w:t>Carver,</w:t>
      </w:r>
      <w:r w:rsidR="00EE4FC3">
        <w:t xml:space="preserve"> </w:t>
      </w:r>
      <w:r w:rsidRPr="00382917">
        <w:t>said</w:t>
      </w:r>
      <w:r w:rsidR="00EE4FC3">
        <w:t xml:space="preserve"> </w:t>
      </w:r>
      <w:r w:rsidRPr="00382917">
        <w:t>that</w:t>
      </w:r>
      <w:r w:rsidR="00EE4FC3">
        <w:t xml:space="preserve"> </w:t>
      </w:r>
      <w:r w:rsidRPr="00382917">
        <w:t>he</w:t>
      </w:r>
      <w:r w:rsidR="00EE4FC3">
        <w:t xml:space="preserve"> </w:t>
      </w:r>
      <w:r w:rsidRPr="00382917">
        <w:t>believed</w:t>
      </w:r>
      <w:r w:rsidR="00EE4FC3">
        <w:t xml:space="preserve"> </w:t>
      </w:r>
      <w:r w:rsidRPr="00382917">
        <w:t>that</w:t>
      </w:r>
      <w:r w:rsidR="00EE4FC3">
        <w:t xml:space="preserve"> </w:t>
      </w:r>
      <w:r w:rsidRPr="00382917">
        <w:t>it</w:t>
      </w:r>
      <w:r w:rsidR="00EE4FC3">
        <w:t xml:space="preserve"> </w:t>
      </w:r>
      <w:r w:rsidRPr="00382917">
        <w:t>was</w:t>
      </w:r>
      <w:r w:rsidR="00EE4FC3">
        <w:t xml:space="preserve"> </w:t>
      </w:r>
      <w:r w:rsidRPr="00382917">
        <w:t>Bahá</w:t>
      </w:r>
      <w:r w:rsidR="009C713D" w:rsidRPr="00382917">
        <w:t>’</w:t>
      </w:r>
      <w:r w:rsidRPr="00382917">
        <w:t>u</w:t>
      </w:r>
      <w:r w:rsidR="009C713D" w:rsidRPr="00382917">
        <w:t>’</w:t>
      </w:r>
      <w:r w:rsidRPr="00382917">
        <w:t>lláh</w:t>
      </w:r>
      <w:r w:rsidR="00EE4FC3">
        <w:t xml:space="preserve"> </w:t>
      </w:r>
      <w:r w:rsidRPr="00382917">
        <w:t>of</w:t>
      </w:r>
      <w:r w:rsidR="00EE4FC3">
        <w:t xml:space="preserve"> </w:t>
      </w:r>
      <w:r w:rsidRPr="00382917">
        <w:t>Whom</w:t>
      </w:r>
      <w:r w:rsidR="00EE4FC3">
        <w:t xml:space="preserve"> </w:t>
      </w:r>
      <w:proofErr w:type="spellStart"/>
      <w:r w:rsidRPr="00382917">
        <w:t>Habbakuk</w:t>
      </w:r>
      <w:proofErr w:type="spellEnd"/>
      <w:r w:rsidR="00EE4FC3">
        <w:t xml:space="preserve"> </w:t>
      </w:r>
      <w:r w:rsidRPr="00382917">
        <w:t>spoke</w:t>
      </w:r>
      <w:r w:rsidR="00EE4FC3">
        <w:t xml:space="preserve"> </w:t>
      </w:r>
      <w:r w:rsidRPr="00382917">
        <w:t>when</w:t>
      </w:r>
      <w:r w:rsidR="00EE4FC3">
        <w:t xml:space="preserve"> </w:t>
      </w:r>
      <w:r w:rsidRPr="00382917">
        <w:t>he</w:t>
      </w:r>
      <w:r w:rsidR="00EE4FC3">
        <w:t xml:space="preserve"> </w:t>
      </w:r>
      <w:r w:rsidRPr="00382917">
        <w:t>uttered</w:t>
      </w:r>
      <w:r w:rsidR="00EE4FC3">
        <w:t xml:space="preserve"> </w:t>
      </w:r>
      <w:r w:rsidRPr="00382917">
        <w:t>these</w:t>
      </w:r>
      <w:r w:rsidR="00EE4FC3">
        <w:t xml:space="preserve"> </w:t>
      </w:r>
      <w:r w:rsidRPr="00382917">
        <w:t>prophetic</w:t>
      </w:r>
      <w:r w:rsidR="00EE4FC3">
        <w:t xml:space="preserve"> </w:t>
      </w:r>
      <w:r w:rsidRPr="00382917">
        <w:t>words.</w:t>
      </w:r>
    </w:p>
    <w:p w:rsidR="00B568B6" w:rsidRPr="00382917" w:rsidRDefault="00B568B6" w:rsidP="00583718">
      <w:pPr>
        <w:pStyle w:val="Text"/>
      </w:pPr>
      <w:r w:rsidRPr="00382917">
        <w:t>In</w:t>
      </w:r>
      <w:r w:rsidR="00EE4FC3">
        <w:t xml:space="preserve"> </w:t>
      </w:r>
      <w:r w:rsidRPr="00382917">
        <w:t>N</w:t>
      </w:r>
      <w:r w:rsidR="00417538" w:rsidRPr="00382917">
        <w:t>ote</w:t>
      </w:r>
      <w:r w:rsidR="00EE4FC3">
        <w:t xml:space="preserve"> </w:t>
      </w:r>
      <w:r w:rsidR="00417538">
        <w:t>1</w:t>
      </w:r>
      <w:r w:rsidR="00EE4FC3">
        <w:t xml:space="preserve"> </w:t>
      </w:r>
      <w:r w:rsidRPr="00382917">
        <w:t>of</w:t>
      </w:r>
      <w:r w:rsidR="00EE4FC3">
        <w:t xml:space="preserve"> </w:t>
      </w:r>
      <w:r w:rsidRPr="00382917">
        <w:t>this</w:t>
      </w:r>
      <w:r w:rsidR="00EE4FC3">
        <w:t xml:space="preserve"> </w:t>
      </w:r>
      <w:r w:rsidRPr="00382917">
        <w:t>A</w:t>
      </w:r>
      <w:r w:rsidR="00417538" w:rsidRPr="00382917">
        <w:t>ppendix</w:t>
      </w:r>
      <w:r w:rsidRPr="00382917">
        <w:t>,</w:t>
      </w:r>
      <w:r w:rsidR="00EE4FC3">
        <w:t xml:space="preserve"> </w:t>
      </w:r>
      <w:r w:rsidRPr="00382917">
        <w:t>we</w:t>
      </w:r>
      <w:r w:rsidR="00EE4FC3">
        <w:t xml:space="preserve"> </w:t>
      </w:r>
      <w:r w:rsidRPr="00382917">
        <w:t>mentioned</w:t>
      </w:r>
      <w:r w:rsidR="00EE4FC3">
        <w:t xml:space="preserve"> </w:t>
      </w:r>
      <w:r w:rsidRPr="00382917">
        <w:t>Leonard</w:t>
      </w:r>
      <w:r w:rsidR="00EE4FC3">
        <w:t xml:space="preserve"> </w:t>
      </w:r>
      <w:r w:rsidRPr="00382917">
        <w:t>H</w:t>
      </w:r>
      <w:r w:rsidR="00F267E4">
        <w:t>.</w:t>
      </w:r>
      <w:r w:rsidR="00EE4FC3">
        <w:t xml:space="preserve"> </w:t>
      </w:r>
      <w:proofErr w:type="spellStart"/>
      <w:r w:rsidRPr="00382917">
        <w:t>Kelber</w:t>
      </w:r>
      <w:proofErr w:type="spellEnd"/>
      <w:r w:rsidR="00EE4FC3">
        <w:t xml:space="preserve"> </w:t>
      </w:r>
      <w:r w:rsidRPr="00382917">
        <w:t>of</w:t>
      </w:r>
      <w:r w:rsidR="00EE4FC3">
        <w:t xml:space="preserve"> </w:t>
      </w:r>
      <w:r w:rsidRPr="00382917">
        <w:t>Stuttgart,</w:t>
      </w:r>
      <w:r w:rsidR="00EE4FC3">
        <w:t xml:space="preserve"> </w:t>
      </w:r>
      <w:r w:rsidRPr="00382917">
        <w:t>Germany</w:t>
      </w:r>
      <w:r w:rsidR="00F267E4">
        <w:t>.</w:t>
      </w:r>
      <w:r w:rsidR="00EE4FC3">
        <w:t xml:space="preserve">  </w:t>
      </w:r>
      <w:r w:rsidRPr="00382917">
        <w:t>He</w:t>
      </w:r>
      <w:r w:rsidR="00EE4FC3">
        <w:t xml:space="preserve"> </w:t>
      </w:r>
      <w:r w:rsidRPr="00382917">
        <w:t>and</w:t>
      </w:r>
      <w:r w:rsidR="00EE4FC3">
        <w:t xml:space="preserve"> </w:t>
      </w:r>
      <w:r w:rsidRPr="00382917">
        <w:t>his</w:t>
      </w:r>
      <w:r w:rsidR="00EE4FC3">
        <w:t xml:space="preserve"> </w:t>
      </w:r>
      <w:r w:rsidRPr="00382917">
        <w:t>followers</w:t>
      </w:r>
      <w:r w:rsidR="00EE4FC3">
        <w:t xml:space="preserve"> </w:t>
      </w:r>
      <w:r w:rsidRPr="00382917">
        <w:t>awaited</w:t>
      </w:r>
      <w:r w:rsidR="00EE4FC3">
        <w:t xml:space="preserve"> </w:t>
      </w:r>
      <w:r w:rsidRPr="00382917">
        <w:t>Christ</w:t>
      </w:r>
      <w:r w:rsidR="009C713D" w:rsidRPr="00382917">
        <w:t>’</w:t>
      </w:r>
      <w:r w:rsidRPr="00382917">
        <w:t>s</w:t>
      </w:r>
      <w:r w:rsidR="00EE4FC3">
        <w:t xml:space="preserve"> </w:t>
      </w:r>
      <w:r w:rsidRPr="00382917">
        <w:t>return</w:t>
      </w:r>
      <w:r w:rsidR="00EE4FC3">
        <w:t xml:space="preserve"> </w:t>
      </w:r>
      <w:r w:rsidRPr="00382917">
        <w:t>in</w:t>
      </w:r>
      <w:r w:rsidR="00EE4FC3">
        <w:t xml:space="preserve"> </w:t>
      </w:r>
      <w:r w:rsidRPr="00382917">
        <w:t>those</w:t>
      </w:r>
      <w:r w:rsidR="00EE4FC3">
        <w:t xml:space="preserve"> </w:t>
      </w:r>
      <w:r w:rsidRPr="00382917">
        <w:t>fateful</w:t>
      </w:r>
      <w:r w:rsidR="00EE4FC3">
        <w:t xml:space="preserve"> </w:t>
      </w:r>
      <w:r w:rsidRPr="00382917">
        <w:t>years</w:t>
      </w:r>
      <w:r w:rsidR="00EE4FC3">
        <w:t xml:space="preserve"> </w:t>
      </w:r>
      <w:proofErr w:type="gramStart"/>
      <w:r w:rsidRPr="00382917">
        <w:t>between</w:t>
      </w:r>
      <w:r w:rsidR="00EE4FC3">
        <w:t xml:space="preserve"> </w:t>
      </w:r>
      <w:r w:rsidRPr="00382917">
        <w:t>1843</w:t>
      </w:r>
      <w:r w:rsidR="00F825CC">
        <w:t>–</w:t>
      </w:r>
      <w:r w:rsidRPr="00382917">
        <w:t>1845</w:t>
      </w:r>
      <w:proofErr w:type="gramEnd"/>
      <w:r w:rsidR="00F267E4">
        <w:t>.</w:t>
      </w:r>
      <w:r w:rsidR="00EE4FC3">
        <w:t xml:space="preserve">  </w:t>
      </w:r>
      <w:r w:rsidRPr="00382917">
        <w:t>When</w:t>
      </w:r>
      <w:r w:rsidR="00EE4FC3">
        <w:t xml:space="preserve"> </w:t>
      </w:r>
      <w:r w:rsidRPr="00382917">
        <w:t>Christ</w:t>
      </w:r>
      <w:r w:rsidR="00EE4FC3">
        <w:t xml:space="preserve"> </w:t>
      </w:r>
      <w:r w:rsidRPr="00382917">
        <w:t>did</w:t>
      </w:r>
      <w:r w:rsidR="00EE4FC3">
        <w:t xml:space="preserve"> </w:t>
      </w:r>
      <w:r w:rsidRPr="00382917">
        <w:t>not</w:t>
      </w:r>
      <w:r w:rsidR="00EE4FC3">
        <w:t xml:space="preserve"> </w:t>
      </w:r>
      <w:r w:rsidRPr="00382917">
        <w:t>appear</w:t>
      </w:r>
      <w:r w:rsidR="00EE4FC3">
        <w:t xml:space="preserve"> </w:t>
      </w:r>
      <w:r w:rsidRPr="00382917">
        <w:t>as</w:t>
      </w:r>
      <w:r w:rsidR="00EE4FC3">
        <w:t xml:space="preserve"> </w:t>
      </w:r>
      <w:r w:rsidRPr="00382917">
        <w:t>they</w:t>
      </w:r>
      <w:r w:rsidR="00EE4FC3">
        <w:t xml:space="preserve"> </w:t>
      </w:r>
      <w:r w:rsidRPr="00382917">
        <w:t>expected,</w:t>
      </w:r>
      <w:r w:rsidR="00EE4FC3">
        <w:t xml:space="preserve"> </w:t>
      </w:r>
      <w:proofErr w:type="spellStart"/>
      <w:r w:rsidRPr="00382917">
        <w:t>Kelber</w:t>
      </w:r>
      <w:proofErr w:type="spellEnd"/>
      <w:r w:rsidR="00EE4FC3">
        <w:t xml:space="preserve"> </w:t>
      </w:r>
      <w:r w:rsidRPr="00382917">
        <w:t>and</w:t>
      </w:r>
      <w:r w:rsidR="00EE4FC3">
        <w:t xml:space="preserve"> </w:t>
      </w:r>
      <w:r w:rsidRPr="00382917">
        <w:t>his</w:t>
      </w:r>
      <w:r w:rsidR="00EE4FC3">
        <w:t xml:space="preserve"> </w:t>
      </w:r>
      <w:r w:rsidRPr="00382917">
        <w:t>followers</w:t>
      </w:r>
      <w:r w:rsidR="00EE4FC3">
        <w:t xml:space="preserve"> </w:t>
      </w:r>
      <w:r w:rsidRPr="00382917">
        <w:t>sold</w:t>
      </w:r>
      <w:r w:rsidR="00EE4FC3">
        <w:t xml:space="preserve"> </w:t>
      </w:r>
      <w:r w:rsidRPr="00382917">
        <w:t>their</w:t>
      </w:r>
      <w:r w:rsidR="00EE4FC3">
        <w:t xml:space="preserve"> </w:t>
      </w:r>
      <w:r w:rsidRPr="00382917">
        <w:t>possessions,</w:t>
      </w:r>
      <w:r w:rsidR="00EE4FC3">
        <w:t xml:space="preserve"> </w:t>
      </w:r>
      <w:r w:rsidRPr="00382917">
        <w:t>chartered</w:t>
      </w:r>
      <w:r w:rsidR="00EE4FC3">
        <w:t xml:space="preserve"> </w:t>
      </w:r>
      <w:r w:rsidRPr="00382917">
        <w:t>a</w:t>
      </w:r>
      <w:r w:rsidR="00EE4FC3">
        <w:t xml:space="preserve"> </w:t>
      </w:r>
      <w:r w:rsidRPr="00382917">
        <w:t>boat,</w:t>
      </w:r>
      <w:r w:rsidR="00EE4FC3">
        <w:t xml:space="preserve"> </w:t>
      </w:r>
      <w:r w:rsidRPr="00382917">
        <w:t>and</w:t>
      </w:r>
      <w:r w:rsidR="00EE4FC3">
        <w:t xml:space="preserve"> </w:t>
      </w:r>
      <w:r w:rsidRPr="00382917">
        <w:t>sailed</w:t>
      </w:r>
      <w:r w:rsidR="00EE4FC3">
        <w:t xml:space="preserve"> </w:t>
      </w:r>
      <w:r w:rsidRPr="00382917">
        <w:t>to</w:t>
      </w:r>
      <w:r w:rsidR="00EE4FC3">
        <w:t xml:space="preserve"> </w:t>
      </w:r>
      <w:r w:rsidRPr="00382917">
        <w:t>the</w:t>
      </w:r>
      <w:r w:rsidR="00EE4FC3">
        <w:t xml:space="preserve"> </w:t>
      </w:r>
      <w:r w:rsidRPr="00382917">
        <w:t>Holy</w:t>
      </w:r>
      <w:r w:rsidR="00EE4FC3">
        <w:t xml:space="preserve"> </w:t>
      </w:r>
      <w:r w:rsidRPr="00382917">
        <w:t>Land</w:t>
      </w:r>
      <w:r w:rsidR="00F267E4">
        <w:t>.</w:t>
      </w:r>
      <w:r w:rsidR="00EE4FC3">
        <w:t xml:space="preserve">  </w:t>
      </w:r>
      <w:r w:rsidRPr="00382917">
        <w:t>This</w:t>
      </w:r>
      <w:r w:rsidR="00EE4FC3">
        <w:t xml:space="preserve"> </w:t>
      </w:r>
      <w:r w:rsidRPr="00382917">
        <w:t>colony</w:t>
      </w:r>
      <w:r w:rsidR="00EE4FC3">
        <w:t xml:space="preserve"> </w:t>
      </w:r>
      <w:r w:rsidRPr="00382917">
        <w:t>of</w:t>
      </w:r>
      <w:r w:rsidR="00EE4FC3">
        <w:t xml:space="preserve"> </w:t>
      </w:r>
      <w:r w:rsidRPr="00382917">
        <w:t>Christians,</w:t>
      </w:r>
      <w:r w:rsidR="00EE4FC3">
        <w:t xml:space="preserve"> </w:t>
      </w:r>
      <w:r w:rsidRPr="00382917">
        <w:t>German</w:t>
      </w:r>
      <w:r w:rsidR="00EE4FC3">
        <w:t xml:space="preserve"> </w:t>
      </w:r>
      <w:r w:rsidRPr="00382917">
        <w:t>Templars,</w:t>
      </w:r>
      <w:r w:rsidR="00EE4FC3">
        <w:t xml:space="preserve"> </w:t>
      </w:r>
      <w:r w:rsidRPr="00382917">
        <w:t>settled</w:t>
      </w:r>
      <w:r w:rsidR="00EE4FC3">
        <w:t xml:space="preserve"> </w:t>
      </w:r>
      <w:r w:rsidRPr="00382917">
        <w:t>at</w:t>
      </w:r>
      <w:r w:rsidR="00EE4FC3">
        <w:t xml:space="preserve"> </w:t>
      </w:r>
      <w:r w:rsidRPr="00382917">
        <w:t>the</w:t>
      </w:r>
      <w:r w:rsidR="00EE4FC3">
        <w:t xml:space="preserve"> </w:t>
      </w:r>
      <w:r w:rsidRPr="00382917">
        <w:t>foot</w:t>
      </w:r>
      <w:r w:rsidR="00EE4FC3">
        <w:t xml:space="preserve"> </w:t>
      </w:r>
      <w:r w:rsidRPr="00382917">
        <w:t>of</w:t>
      </w:r>
      <w:r w:rsidR="00EE4FC3">
        <w:t xml:space="preserve"> </w:t>
      </w:r>
      <w:r w:rsidRPr="00382917">
        <w:t>Mount</w:t>
      </w:r>
      <w:r w:rsidR="00EE4FC3">
        <w:t xml:space="preserve"> </w:t>
      </w:r>
      <w:r w:rsidRPr="00382917">
        <w:t>Car-</w:t>
      </w:r>
    </w:p>
    <w:p w:rsidR="00B568B6" w:rsidRPr="00382917" w:rsidRDefault="00B568B6">
      <w:pPr>
        <w:widowControl/>
        <w:kinsoku/>
        <w:overflowPunct/>
        <w:textAlignment w:val="auto"/>
      </w:pPr>
      <w:r w:rsidRPr="00382917">
        <w:br w:type="page"/>
      </w:r>
    </w:p>
    <w:p w:rsidR="00B568B6" w:rsidRPr="00382917" w:rsidRDefault="00B568B6" w:rsidP="00B568B6">
      <w:pPr>
        <w:pStyle w:val="Textcts"/>
      </w:pPr>
      <w:proofErr w:type="spellStart"/>
      <w:proofErr w:type="gramStart"/>
      <w:r w:rsidRPr="00382917">
        <w:t>mel</w:t>
      </w:r>
      <w:proofErr w:type="spellEnd"/>
      <w:proofErr w:type="gramEnd"/>
      <w:r w:rsidR="00F267E4">
        <w:t>.</w:t>
      </w:r>
      <w:r w:rsidR="00EE4FC3">
        <w:t xml:space="preserve">  </w:t>
      </w:r>
      <w:r w:rsidRPr="00382917">
        <w:t>They</w:t>
      </w:r>
      <w:r w:rsidR="00EE4FC3">
        <w:t xml:space="preserve"> </w:t>
      </w:r>
      <w:r w:rsidRPr="00382917">
        <w:t>were</w:t>
      </w:r>
      <w:r w:rsidR="00EE4FC3">
        <w:t xml:space="preserve"> </w:t>
      </w:r>
      <w:r w:rsidRPr="00382917">
        <w:t>convinced</w:t>
      </w:r>
      <w:r w:rsidR="00EE4FC3">
        <w:t xml:space="preserve"> </w:t>
      </w:r>
      <w:r w:rsidRPr="00382917">
        <w:t>from</w:t>
      </w:r>
      <w:r w:rsidR="00EE4FC3">
        <w:t xml:space="preserve"> </w:t>
      </w:r>
      <w:r w:rsidRPr="00382917">
        <w:t>their</w:t>
      </w:r>
      <w:r w:rsidR="00EE4FC3">
        <w:t xml:space="preserve"> </w:t>
      </w:r>
      <w:r w:rsidRPr="00382917">
        <w:t>study</w:t>
      </w:r>
      <w:r w:rsidR="00EE4FC3">
        <w:t xml:space="preserve"> </w:t>
      </w:r>
      <w:r w:rsidRPr="00382917">
        <w:t>of</w:t>
      </w:r>
      <w:r w:rsidR="00EE4FC3">
        <w:t xml:space="preserve"> </w:t>
      </w:r>
      <w:r w:rsidRPr="00382917">
        <w:t>the</w:t>
      </w:r>
      <w:r w:rsidR="00EE4FC3">
        <w:t xml:space="preserve"> </w:t>
      </w:r>
      <w:r w:rsidRPr="00382917">
        <w:t>Scriptures</w:t>
      </w:r>
      <w:r w:rsidR="00EE4FC3">
        <w:t xml:space="preserve"> </w:t>
      </w:r>
      <w:r w:rsidRPr="00382917">
        <w:t>that</w:t>
      </w:r>
      <w:r w:rsidR="00EE4FC3">
        <w:t xml:space="preserve"> </w:t>
      </w:r>
      <w:r w:rsidRPr="00382917">
        <w:t>the</w:t>
      </w:r>
      <w:r w:rsidR="00EE4FC3">
        <w:t xml:space="preserve"> </w:t>
      </w:r>
      <w:r w:rsidR="009C713D" w:rsidRPr="00382917">
        <w:t>“</w:t>
      </w:r>
      <w:r w:rsidRPr="00382917">
        <w:t>Glory</w:t>
      </w:r>
      <w:r w:rsidR="00EE4FC3">
        <w:t xml:space="preserve"> </w:t>
      </w:r>
      <w:r w:rsidRPr="00382917">
        <w:t>of</w:t>
      </w:r>
      <w:r w:rsidR="00EE4FC3">
        <w:t xml:space="preserve"> </w:t>
      </w:r>
      <w:r w:rsidRPr="00382917">
        <w:t>God</w:t>
      </w:r>
      <w:r w:rsidR="009C713D" w:rsidRPr="00382917">
        <w:t>”</w:t>
      </w:r>
      <w:r w:rsidR="00EE4FC3">
        <w:t xml:space="preserve"> </w:t>
      </w:r>
      <w:r w:rsidRPr="00382917">
        <w:t>would</w:t>
      </w:r>
      <w:r w:rsidR="00EE4FC3">
        <w:t xml:space="preserve"> </w:t>
      </w:r>
      <w:r w:rsidRPr="00382917">
        <w:t>appear</w:t>
      </w:r>
      <w:r w:rsidR="00EE4FC3">
        <w:t xml:space="preserve"> </w:t>
      </w:r>
      <w:r w:rsidRPr="00382917">
        <w:t>on</w:t>
      </w:r>
      <w:r w:rsidR="00EE4FC3">
        <w:t xml:space="preserve"> </w:t>
      </w:r>
      <w:r w:rsidRPr="00382917">
        <w:t>the</w:t>
      </w:r>
      <w:r w:rsidR="00EE4FC3">
        <w:t xml:space="preserve"> </w:t>
      </w:r>
      <w:r w:rsidRPr="00382917">
        <w:t>side</w:t>
      </w:r>
      <w:r w:rsidR="00EE4FC3">
        <w:t xml:space="preserve"> </w:t>
      </w:r>
      <w:r w:rsidRPr="00382917">
        <w:t>of</w:t>
      </w:r>
      <w:r w:rsidR="00EE4FC3">
        <w:t xml:space="preserve"> </w:t>
      </w:r>
      <w:r w:rsidRPr="00382917">
        <w:t>Mount</w:t>
      </w:r>
      <w:r w:rsidR="00EE4FC3">
        <w:t xml:space="preserve"> </w:t>
      </w:r>
      <w:r w:rsidRPr="00382917">
        <w:t>Carmel</w:t>
      </w:r>
      <w:r w:rsidR="00EE4FC3">
        <w:t xml:space="preserve"> </w:t>
      </w:r>
      <w:r w:rsidRPr="00382917">
        <w:t>in</w:t>
      </w:r>
      <w:r w:rsidR="00EE4FC3">
        <w:t xml:space="preserve"> </w:t>
      </w:r>
      <w:r w:rsidRPr="00382917">
        <w:t>the</w:t>
      </w:r>
      <w:r w:rsidR="00EE4FC3">
        <w:t xml:space="preserve"> </w:t>
      </w:r>
      <w:r w:rsidRPr="00382917">
        <w:t>last</w:t>
      </w:r>
      <w:r w:rsidR="00EE4FC3">
        <w:t xml:space="preserve"> </w:t>
      </w:r>
      <w:r w:rsidRPr="00382917">
        <w:t>days</w:t>
      </w:r>
      <w:r w:rsidR="00F267E4">
        <w:t>.</w:t>
      </w:r>
      <w:r w:rsidR="00EE4FC3">
        <w:t xml:space="preserve">  </w:t>
      </w:r>
      <w:r w:rsidRPr="00382917">
        <w:t>In</w:t>
      </w:r>
      <w:r w:rsidR="00EE4FC3">
        <w:t xml:space="preserve"> </w:t>
      </w:r>
      <w:r w:rsidRPr="00382917">
        <w:t>the</w:t>
      </w:r>
      <w:r w:rsidR="00EE4FC3">
        <w:t xml:space="preserve"> </w:t>
      </w:r>
      <w:r w:rsidRPr="00382917">
        <w:t>stones</w:t>
      </w:r>
      <w:r w:rsidR="00EE4FC3">
        <w:t xml:space="preserve"> </w:t>
      </w:r>
      <w:r w:rsidRPr="00382917">
        <w:t>above</w:t>
      </w:r>
      <w:r w:rsidR="00EE4FC3">
        <w:t xml:space="preserve"> </w:t>
      </w:r>
      <w:r w:rsidRPr="00382917">
        <w:t>their</w:t>
      </w:r>
      <w:r w:rsidR="00EE4FC3">
        <w:t xml:space="preserve"> </w:t>
      </w:r>
      <w:r w:rsidRPr="00382917">
        <w:t>doorways</w:t>
      </w:r>
      <w:r w:rsidR="00EE4FC3">
        <w:t xml:space="preserve"> </w:t>
      </w:r>
      <w:r w:rsidRPr="00382917">
        <w:t>they</w:t>
      </w:r>
      <w:r w:rsidR="00EE4FC3">
        <w:t xml:space="preserve"> </w:t>
      </w:r>
      <w:r w:rsidRPr="00382917">
        <w:t>carved</w:t>
      </w:r>
      <w:r w:rsidR="00EE4FC3">
        <w:t xml:space="preserve"> </w:t>
      </w:r>
      <w:r w:rsidRPr="00382917">
        <w:t>the</w:t>
      </w:r>
      <w:r w:rsidR="00EE4FC3">
        <w:t xml:space="preserve"> </w:t>
      </w:r>
      <w:r w:rsidRPr="00382917">
        <w:t>words</w:t>
      </w:r>
      <w:r w:rsidR="00C03C91">
        <w:t>:</w:t>
      </w:r>
      <w:r w:rsidR="00EE4FC3">
        <w:t xml:space="preserve">  </w:t>
      </w:r>
      <w:r w:rsidR="009C713D" w:rsidRPr="00382917">
        <w:t>“</w:t>
      </w:r>
      <w:r w:rsidRPr="00583718">
        <w:rPr>
          <w:i/>
          <w:iCs/>
        </w:rPr>
        <w:t>Der</w:t>
      </w:r>
      <w:r w:rsidR="00EE4FC3" w:rsidRPr="00583718">
        <w:rPr>
          <w:i/>
          <w:iCs/>
        </w:rPr>
        <w:t xml:space="preserve"> </w:t>
      </w:r>
      <w:r w:rsidRPr="00583718">
        <w:rPr>
          <w:i/>
          <w:iCs/>
        </w:rPr>
        <w:t>Herr</w:t>
      </w:r>
      <w:r w:rsidR="00EE4FC3" w:rsidRPr="00583718">
        <w:rPr>
          <w:i/>
          <w:iCs/>
        </w:rPr>
        <w:t xml:space="preserve"> </w:t>
      </w:r>
      <w:proofErr w:type="spellStart"/>
      <w:proofErr w:type="gramStart"/>
      <w:r w:rsidRPr="00583718">
        <w:rPr>
          <w:i/>
          <w:iCs/>
        </w:rPr>
        <w:t>ist</w:t>
      </w:r>
      <w:proofErr w:type="spellEnd"/>
      <w:proofErr w:type="gramEnd"/>
      <w:r w:rsidR="00EE4FC3" w:rsidRPr="00583718">
        <w:rPr>
          <w:i/>
          <w:iCs/>
        </w:rPr>
        <w:t xml:space="preserve"> </w:t>
      </w:r>
      <w:proofErr w:type="spellStart"/>
      <w:r w:rsidRPr="00583718">
        <w:rPr>
          <w:i/>
          <w:iCs/>
        </w:rPr>
        <w:t>Nahe</w:t>
      </w:r>
      <w:proofErr w:type="spellEnd"/>
      <w:r w:rsidR="00C03C91">
        <w:t>:</w:t>
      </w:r>
      <w:r w:rsidR="00EE4FC3">
        <w:t xml:space="preserve">  </w:t>
      </w:r>
      <w:r w:rsidRPr="00382917">
        <w:t>The</w:t>
      </w:r>
      <w:r w:rsidR="00EE4FC3">
        <w:t xml:space="preserve"> </w:t>
      </w:r>
      <w:r w:rsidRPr="00382917">
        <w:t>Lord</w:t>
      </w:r>
      <w:r w:rsidR="00EE4FC3">
        <w:t xml:space="preserve"> </w:t>
      </w:r>
      <w:r w:rsidRPr="00382917">
        <w:t>is</w:t>
      </w:r>
      <w:r w:rsidR="00EE4FC3">
        <w:t xml:space="preserve"> </w:t>
      </w:r>
      <w:r w:rsidRPr="00382917">
        <w:t>near</w:t>
      </w:r>
      <w:r w:rsidR="009C713D" w:rsidRPr="00382917">
        <w:t>”</w:t>
      </w:r>
      <w:r w:rsidRPr="00382917">
        <w:t>.</w:t>
      </w:r>
    </w:p>
    <w:p w:rsidR="00B568B6" w:rsidRPr="00382917" w:rsidRDefault="00B568B6" w:rsidP="00583718">
      <w:pPr>
        <w:pStyle w:val="Text"/>
      </w:pPr>
      <w:r w:rsidRPr="00382917">
        <w:t>They</w:t>
      </w:r>
      <w:r w:rsidR="00EE4FC3">
        <w:t xml:space="preserve"> </w:t>
      </w:r>
      <w:r w:rsidRPr="00382917">
        <w:t>arrived</w:t>
      </w:r>
      <w:r w:rsidR="00EE4FC3">
        <w:t xml:space="preserve"> </w:t>
      </w:r>
      <w:r w:rsidRPr="00382917">
        <w:t>in</w:t>
      </w:r>
      <w:r w:rsidR="00EE4FC3">
        <w:t xml:space="preserve"> </w:t>
      </w:r>
      <w:r w:rsidRPr="00382917">
        <w:t>1863,</w:t>
      </w:r>
      <w:r w:rsidR="00EE4FC3">
        <w:t xml:space="preserve"> </w:t>
      </w:r>
      <w:r w:rsidRPr="00382917">
        <w:t>the</w:t>
      </w:r>
      <w:r w:rsidR="00EE4FC3">
        <w:t xml:space="preserve"> </w:t>
      </w:r>
      <w:r w:rsidRPr="00382917">
        <w:t>very</w:t>
      </w:r>
      <w:r w:rsidR="00EE4FC3">
        <w:t xml:space="preserve"> </w:t>
      </w:r>
      <w:r w:rsidRPr="00382917">
        <w:t>year</w:t>
      </w:r>
      <w:r w:rsidR="00EE4FC3">
        <w:t xml:space="preserve"> </w:t>
      </w:r>
      <w:r w:rsidRPr="00382917">
        <w:t>when</w:t>
      </w:r>
      <w:r w:rsidR="00EE4FC3">
        <w:t xml:space="preserve"> </w:t>
      </w:r>
      <w:r w:rsidRPr="00382917">
        <w:t>in</w:t>
      </w:r>
      <w:r w:rsidR="00EE4FC3">
        <w:t xml:space="preserve"> </w:t>
      </w:r>
      <w:r w:rsidRPr="00382917">
        <w:t>far</w:t>
      </w:r>
      <w:r w:rsidR="00EE4FC3">
        <w:t xml:space="preserve"> </w:t>
      </w:r>
      <w:r w:rsidRPr="00382917">
        <w:t>off</w:t>
      </w:r>
      <w:r w:rsidR="00EE4FC3">
        <w:t xml:space="preserve"> </w:t>
      </w:r>
      <w:r w:rsidR="00664069" w:rsidRPr="00382917">
        <w:t>Ba</w:t>
      </w:r>
      <w:r w:rsidR="00664069" w:rsidRPr="00664069">
        <w:rPr>
          <w:u w:val="single"/>
        </w:rPr>
        <w:t>gh</w:t>
      </w:r>
      <w:r w:rsidR="00664069" w:rsidRPr="00382917">
        <w:t>d</w:t>
      </w:r>
      <w:r w:rsidR="00664069" w:rsidRPr="00664069">
        <w:t>á</w:t>
      </w:r>
      <w:r w:rsidR="00664069" w:rsidRPr="00382917">
        <w:t>d</w:t>
      </w:r>
      <w:r w:rsidRPr="00382917">
        <w:t>,</w:t>
      </w:r>
      <w:r w:rsidR="00EE4FC3">
        <w:t xml:space="preserve"> </w:t>
      </w:r>
      <w:r w:rsidRPr="00382917">
        <w:t>Bahá</w:t>
      </w:r>
      <w:r w:rsidR="009C713D" w:rsidRPr="00382917">
        <w:t>’</w:t>
      </w:r>
      <w:r w:rsidRPr="00382917">
        <w:t>u</w:t>
      </w:r>
      <w:r w:rsidR="009C713D" w:rsidRPr="00382917">
        <w:t>’</w:t>
      </w:r>
      <w:r w:rsidRPr="00382917">
        <w:t>lláh</w:t>
      </w:r>
      <w:r w:rsidR="00EE4FC3">
        <w:t xml:space="preserve"> </w:t>
      </w:r>
      <w:r w:rsidRPr="00382917">
        <w:t>made</w:t>
      </w:r>
      <w:r w:rsidR="00EE4FC3">
        <w:t xml:space="preserve"> </w:t>
      </w:r>
      <w:r w:rsidRPr="00382917">
        <w:t>His</w:t>
      </w:r>
      <w:r w:rsidR="00EE4FC3">
        <w:t xml:space="preserve"> </w:t>
      </w:r>
      <w:r w:rsidRPr="00382917">
        <w:t>public</w:t>
      </w:r>
      <w:r w:rsidR="00EE4FC3">
        <w:t xml:space="preserve"> </w:t>
      </w:r>
      <w:r w:rsidRPr="00382917">
        <w:t>declaration</w:t>
      </w:r>
      <w:r w:rsidR="00EE4FC3">
        <w:t xml:space="preserve"> </w:t>
      </w:r>
      <w:r w:rsidRPr="00382917">
        <w:t>to</w:t>
      </w:r>
      <w:r w:rsidR="00EE4FC3">
        <w:t xml:space="preserve"> </w:t>
      </w:r>
      <w:r w:rsidRPr="00382917">
        <w:t>the</w:t>
      </w:r>
      <w:r w:rsidR="00EE4FC3">
        <w:t xml:space="preserve"> </w:t>
      </w:r>
      <w:r w:rsidRPr="00382917">
        <w:t>world</w:t>
      </w:r>
      <w:r w:rsidR="00EE4FC3">
        <w:t xml:space="preserve"> </w:t>
      </w:r>
      <w:r w:rsidRPr="00382917">
        <w:t>that</w:t>
      </w:r>
      <w:r w:rsidR="00EE4FC3">
        <w:t xml:space="preserve"> </w:t>
      </w:r>
      <w:r w:rsidRPr="00382917">
        <w:t>He</w:t>
      </w:r>
      <w:r w:rsidR="00EE4FC3">
        <w:t xml:space="preserve"> </w:t>
      </w:r>
      <w:r w:rsidRPr="00382917">
        <w:t>was</w:t>
      </w:r>
      <w:r w:rsidR="00EE4FC3">
        <w:t xml:space="preserve"> </w:t>
      </w:r>
      <w:r w:rsidRPr="00382917">
        <w:t>the</w:t>
      </w:r>
      <w:r w:rsidR="00EE4FC3">
        <w:t xml:space="preserve"> </w:t>
      </w:r>
      <w:r w:rsidRPr="00382917">
        <w:t>Promised</w:t>
      </w:r>
      <w:r w:rsidR="00EE4FC3">
        <w:t xml:space="preserve"> </w:t>
      </w:r>
      <w:r w:rsidRPr="00382917">
        <w:t>One</w:t>
      </w:r>
      <w:r w:rsidR="00EE4FC3">
        <w:t xml:space="preserve"> </w:t>
      </w:r>
      <w:r w:rsidRPr="00382917">
        <w:t>of</w:t>
      </w:r>
      <w:r w:rsidR="00EE4FC3">
        <w:t xml:space="preserve"> </w:t>
      </w:r>
      <w:r w:rsidRPr="00382917">
        <w:t>all</w:t>
      </w:r>
      <w:r w:rsidR="00EE4FC3">
        <w:t xml:space="preserve"> </w:t>
      </w:r>
      <w:r w:rsidRPr="00382917">
        <w:t>Ages,</w:t>
      </w:r>
      <w:r w:rsidR="00EE4FC3">
        <w:t xml:space="preserve"> </w:t>
      </w:r>
      <w:r w:rsidRPr="00382917">
        <w:t>the</w:t>
      </w:r>
      <w:r w:rsidR="00EE4FC3">
        <w:t xml:space="preserve"> </w:t>
      </w:r>
      <w:r w:rsidR="009C713D" w:rsidRPr="00382917">
        <w:t>“</w:t>
      </w:r>
      <w:r w:rsidRPr="00382917">
        <w:t>Father</w:t>
      </w:r>
      <w:r w:rsidR="009C713D" w:rsidRPr="00382917">
        <w:t>”</w:t>
      </w:r>
      <w:r w:rsidR="00EE4FC3">
        <w:t xml:space="preserve"> </w:t>
      </w:r>
      <w:r w:rsidRPr="00382917">
        <w:t>foretold</w:t>
      </w:r>
      <w:r w:rsidR="00EE4FC3">
        <w:t xml:space="preserve"> </w:t>
      </w:r>
      <w:r w:rsidRPr="00382917">
        <w:t>for</w:t>
      </w:r>
      <w:r w:rsidR="00EE4FC3">
        <w:t xml:space="preserve"> </w:t>
      </w:r>
      <w:r w:rsidRPr="00382917">
        <w:t>the</w:t>
      </w:r>
      <w:r w:rsidR="00EE4FC3">
        <w:t xml:space="preserve"> </w:t>
      </w:r>
      <w:r w:rsidRPr="00382917">
        <w:t>time</w:t>
      </w:r>
      <w:r w:rsidR="00EE4FC3">
        <w:t xml:space="preserve"> </w:t>
      </w:r>
      <w:r w:rsidRPr="00382917">
        <w:t>of</w:t>
      </w:r>
      <w:r w:rsidR="00EE4FC3">
        <w:t xml:space="preserve"> </w:t>
      </w:r>
      <w:r w:rsidRPr="00382917">
        <w:t>the</w:t>
      </w:r>
      <w:r w:rsidR="00EE4FC3">
        <w:t xml:space="preserve"> </w:t>
      </w:r>
      <w:r w:rsidRPr="00382917">
        <w:t>end</w:t>
      </w:r>
      <w:r w:rsidR="00F267E4">
        <w:t>.</w:t>
      </w:r>
      <w:r w:rsidR="00EE4FC3">
        <w:t xml:space="preserve">  </w:t>
      </w:r>
      <w:r w:rsidRPr="00382917">
        <w:t>Bahá</w:t>
      </w:r>
      <w:r w:rsidR="009C713D" w:rsidRPr="00382917">
        <w:t>’</w:t>
      </w:r>
      <w:r w:rsidRPr="00382917">
        <w:t>u</w:t>
      </w:r>
      <w:r w:rsidR="009C713D" w:rsidRPr="00382917">
        <w:t>’</w:t>
      </w:r>
      <w:r w:rsidRPr="00382917">
        <w:t>lláh</w:t>
      </w:r>
      <w:r w:rsidR="00EE4FC3">
        <w:t xml:space="preserve"> </w:t>
      </w:r>
      <w:r w:rsidRPr="00382917">
        <w:t>was</w:t>
      </w:r>
      <w:r w:rsidR="00EE4FC3">
        <w:t xml:space="preserve"> </w:t>
      </w:r>
      <w:r w:rsidRPr="00382917">
        <w:t>driven</w:t>
      </w:r>
      <w:r w:rsidR="00EE4FC3">
        <w:t xml:space="preserve"> </w:t>
      </w:r>
      <w:r w:rsidRPr="00382917">
        <w:t>into</w:t>
      </w:r>
      <w:r w:rsidR="00EE4FC3">
        <w:t xml:space="preserve"> </w:t>
      </w:r>
      <w:r w:rsidRPr="00382917">
        <w:t>exile</w:t>
      </w:r>
      <w:r w:rsidR="00EE4FC3">
        <w:t xml:space="preserve"> </w:t>
      </w:r>
      <w:r w:rsidRPr="00382917">
        <w:t>until</w:t>
      </w:r>
      <w:r w:rsidR="00EE4FC3">
        <w:t xml:space="preserve"> </w:t>
      </w:r>
      <w:r w:rsidRPr="00382917">
        <w:t>He</w:t>
      </w:r>
      <w:r w:rsidR="00EE4FC3">
        <w:t xml:space="preserve"> </w:t>
      </w:r>
      <w:r w:rsidRPr="00382917">
        <w:t>reached</w:t>
      </w:r>
      <w:r w:rsidR="00EE4FC3">
        <w:t xml:space="preserve"> </w:t>
      </w:r>
      <w:r w:rsidRPr="00382917">
        <w:t>the</w:t>
      </w:r>
      <w:r w:rsidR="00EE4FC3">
        <w:t xml:space="preserve"> </w:t>
      </w:r>
      <w:r w:rsidRPr="00382917">
        <w:t>prison</w:t>
      </w:r>
      <w:r w:rsidR="00EE4FC3">
        <w:t xml:space="preserve"> </w:t>
      </w:r>
      <w:r w:rsidRPr="00382917">
        <w:t>of</w:t>
      </w:r>
      <w:r w:rsidR="00EE4FC3">
        <w:t xml:space="preserve"> </w:t>
      </w:r>
      <w:r w:rsidR="009C713D" w:rsidRPr="00382917">
        <w:t>‘</w:t>
      </w:r>
      <w:r w:rsidRPr="00382917">
        <w:t>Akká,</w:t>
      </w:r>
      <w:r w:rsidR="00EE4FC3">
        <w:t xml:space="preserve"> </w:t>
      </w:r>
      <w:r w:rsidRPr="00382917">
        <w:t>and</w:t>
      </w:r>
      <w:r w:rsidR="00EE4FC3">
        <w:t xml:space="preserve"> </w:t>
      </w:r>
      <w:r w:rsidRPr="00382917">
        <w:t>in</w:t>
      </w:r>
      <w:r w:rsidR="00EE4FC3">
        <w:t xml:space="preserve"> </w:t>
      </w:r>
      <w:r w:rsidRPr="00382917">
        <w:t>the</w:t>
      </w:r>
      <w:r w:rsidR="00EE4FC3">
        <w:t xml:space="preserve"> </w:t>
      </w:r>
      <w:r w:rsidRPr="00382917">
        <w:t>last</w:t>
      </w:r>
      <w:r w:rsidR="00EE4FC3">
        <w:t xml:space="preserve"> </w:t>
      </w:r>
      <w:r w:rsidRPr="00382917">
        <w:t>years</w:t>
      </w:r>
      <w:r w:rsidR="00EE4FC3">
        <w:t xml:space="preserve"> </w:t>
      </w:r>
      <w:r w:rsidRPr="00382917">
        <w:t>of</w:t>
      </w:r>
      <w:r w:rsidR="00EE4FC3">
        <w:t xml:space="preserve"> </w:t>
      </w:r>
      <w:r w:rsidRPr="00382917">
        <w:t>His</w:t>
      </w:r>
      <w:r w:rsidR="00EE4FC3">
        <w:t xml:space="preserve"> </w:t>
      </w:r>
      <w:r w:rsidRPr="00382917">
        <w:t>life</w:t>
      </w:r>
      <w:r w:rsidR="00EE4FC3">
        <w:t xml:space="preserve"> </w:t>
      </w:r>
      <w:r w:rsidRPr="00382917">
        <w:t>He</w:t>
      </w:r>
      <w:r w:rsidR="00EE4FC3">
        <w:t xml:space="preserve"> </w:t>
      </w:r>
      <w:r w:rsidRPr="00382917">
        <w:t>walked</w:t>
      </w:r>
      <w:r w:rsidR="00EE4FC3">
        <w:t xml:space="preserve"> </w:t>
      </w:r>
      <w:r w:rsidRPr="00382917">
        <w:t>on</w:t>
      </w:r>
      <w:r w:rsidR="00EE4FC3">
        <w:t xml:space="preserve"> </w:t>
      </w:r>
      <w:r w:rsidRPr="00382917">
        <w:t>the</w:t>
      </w:r>
      <w:r w:rsidR="00EE4FC3">
        <w:t xml:space="preserve"> </w:t>
      </w:r>
      <w:r w:rsidRPr="00382917">
        <w:t>side</w:t>
      </w:r>
      <w:r w:rsidR="00EE4FC3">
        <w:t xml:space="preserve"> </w:t>
      </w:r>
      <w:r w:rsidRPr="00382917">
        <w:t>of</w:t>
      </w:r>
      <w:r w:rsidR="00EE4FC3">
        <w:t xml:space="preserve"> </w:t>
      </w:r>
      <w:r w:rsidRPr="00382917">
        <w:t>Mount</w:t>
      </w:r>
      <w:r w:rsidR="00EE4FC3">
        <w:t xml:space="preserve"> </w:t>
      </w:r>
      <w:r w:rsidRPr="00382917">
        <w:t>Carmel</w:t>
      </w:r>
      <w:r w:rsidR="00F267E4">
        <w:t>.</w:t>
      </w:r>
      <w:r w:rsidR="00EE4FC3">
        <w:t xml:space="preserve">  </w:t>
      </w:r>
      <w:r w:rsidRPr="00382917">
        <w:t>He</w:t>
      </w:r>
      <w:r w:rsidR="00EE4FC3">
        <w:t xml:space="preserve"> </w:t>
      </w:r>
      <w:r w:rsidRPr="00382917">
        <w:t>looked</w:t>
      </w:r>
      <w:r w:rsidR="00EE4FC3">
        <w:t xml:space="preserve"> </w:t>
      </w:r>
      <w:r w:rsidRPr="00382917">
        <w:t>down</w:t>
      </w:r>
      <w:r w:rsidR="00EE4FC3">
        <w:t xml:space="preserve"> </w:t>
      </w:r>
      <w:r w:rsidRPr="00382917">
        <w:t>upon</w:t>
      </w:r>
      <w:r w:rsidR="00EE4FC3">
        <w:t xml:space="preserve"> </w:t>
      </w:r>
      <w:r w:rsidRPr="00382917">
        <w:t>that</w:t>
      </w:r>
      <w:r w:rsidR="00EE4FC3">
        <w:t xml:space="preserve"> </w:t>
      </w:r>
      <w:r w:rsidRPr="00382917">
        <w:t>colony</w:t>
      </w:r>
      <w:r w:rsidR="00EE4FC3">
        <w:t xml:space="preserve"> </w:t>
      </w:r>
      <w:r w:rsidRPr="00382917">
        <w:t>of</w:t>
      </w:r>
      <w:r w:rsidR="00EE4FC3">
        <w:t xml:space="preserve"> </w:t>
      </w:r>
      <w:r w:rsidRPr="00382917">
        <w:t>Christians</w:t>
      </w:r>
      <w:r w:rsidR="00EE4FC3">
        <w:t xml:space="preserve"> </w:t>
      </w:r>
      <w:r w:rsidRPr="00382917">
        <w:t>who</w:t>
      </w:r>
      <w:r w:rsidR="00EE4FC3">
        <w:t xml:space="preserve"> </w:t>
      </w:r>
      <w:r w:rsidRPr="00382917">
        <w:t>were</w:t>
      </w:r>
      <w:r w:rsidR="00EE4FC3">
        <w:t xml:space="preserve"> </w:t>
      </w:r>
      <w:r w:rsidRPr="00382917">
        <w:t>waiting</w:t>
      </w:r>
      <w:r w:rsidR="00EE4FC3">
        <w:t xml:space="preserve"> </w:t>
      </w:r>
      <w:r w:rsidRPr="00382917">
        <w:t>for</w:t>
      </w:r>
      <w:r w:rsidR="00EE4FC3">
        <w:t xml:space="preserve"> </w:t>
      </w:r>
      <w:r w:rsidRPr="00382917">
        <w:t>the</w:t>
      </w:r>
      <w:r w:rsidR="00EE4FC3">
        <w:t xml:space="preserve"> </w:t>
      </w:r>
      <w:r w:rsidRPr="00382917">
        <w:t>appearance</w:t>
      </w:r>
      <w:r w:rsidR="00EE4FC3">
        <w:t xml:space="preserve"> </w:t>
      </w:r>
      <w:r w:rsidRPr="00382917">
        <w:t>of</w:t>
      </w:r>
      <w:r w:rsidR="00EE4FC3">
        <w:t xml:space="preserve"> </w:t>
      </w:r>
      <w:r w:rsidRPr="00382917">
        <w:t>the</w:t>
      </w:r>
      <w:r w:rsidR="00EE4FC3">
        <w:t xml:space="preserve"> </w:t>
      </w:r>
      <w:r w:rsidR="009C713D" w:rsidRPr="00382917">
        <w:t>“</w:t>
      </w:r>
      <w:r w:rsidRPr="00382917">
        <w:t>Glory</w:t>
      </w:r>
      <w:r w:rsidR="00EE4FC3">
        <w:t xml:space="preserve"> </w:t>
      </w:r>
      <w:r w:rsidRPr="00382917">
        <w:t>of</w:t>
      </w:r>
      <w:r w:rsidR="00EE4FC3">
        <w:t xml:space="preserve"> </w:t>
      </w:r>
      <w:r w:rsidRPr="00382917">
        <w:t>God</w:t>
      </w:r>
      <w:r w:rsidR="009C713D" w:rsidRPr="00382917">
        <w:t>”</w:t>
      </w:r>
      <w:r w:rsidR="00583718">
        <w:t>.</w:t>
      </w:r>
    </w:p>
    <w:p w:rsidR="00B568B6" w:rsidRPr="00382917" w:rsidRDefault="00B568B6" w:rsidP="00583718">
      <w:pPr>
        <w:pStyle w:val="Text"/>
      </w:pPr>
      <w:r w:rsidRPr="00382917">
        <w:t>His</w:t>
      </w:r>
      <w:r w:rsidR="00EE4FC3">
        <w:t xml:space="preserve"> </w:t>
      </w:r>
      <w:r w:rsidRPr="00382917">
        <w:t>name,</w:t>
      </w:r>
      <w:r w:rsidR="00EE4FC3">
        <w:t xml:space="preserve"> </w:t>
      </w:r>
      <w:r w:rsidRPr="00382917">
        <w:t>Bahá</w:t>
      </w:r>
      <w:r w:rsidR="009C713D" w:rsidRPr="00382917">
        <w:t>’</w:t>
      </w:r>
      <w:r w:rsidRPr="00382917">
        <w:t>u</w:t>
      </w:r>
      <w:r w:rsidR="009C713D" w:rsidRPr="00382917">
        <w:t>’</w:t>
      </w:r>
      <w:r w:rsidRPr="00382917">
        <w:t>lláh,</w:t>
      </w:r>
      <w:r w:rsidR="00EE4FC3">
        <w:t xml:space="preserve"> </w:t>
      </w:r>
      <w:r w:rsidRPr="00382917">
        <w:t>when</w:t>
      </w:r>
      <w:r w:rsidR="00EE4FC3">
        <w:t xml:space="preserve"> </w:t>
      </w:r>
      <w:r w:rsidRPr="00382917">
        <w:t>translated</w:t>
      </w:r>
      <w:r w:rsidR="00EE4FC3">
        <w:t xml:space="preserve"> </w:t>
      </w:r>
      <w:r w:rsidRPr="00382917">
        <w:t>into</w:t>
      </w:r>
      <w:r w:rsidR="00EE4FC3">
        <w:t xml:space="preserve"> </w:t>
      </w:r>
      <w:r w:rsidRPr="00382917">
        <w:t>English,</w:t>
      </w:r>
      <w:r w:rsidR="00EE4FC3">
        <w:t xml:space="preserve"> </w:t>
      </w:r>
      <w:r w:rsidRPr="00382917">
        <w:t>means</w:t>
      </w:r>
      <w:r w:rsidR="00EE4FC3">
        <w:t xml:space="preserve"> </w:t>
      </w:r>
      <w:r w:rsidR="009C713D" w:rsidRPr="00382917">
        <w:t>“</w:t>
      </w:r>
      <w:r w:rsidRPr="00382917">
        <w:t>The</w:t>
      </w:r>
      <w:r w:rsidR="00EE4FC3">
        <w:t xml:space="preserve"> </w:t>
      </w:r>
      <w:r w:rsidRPr="00382917">
        <w:t>Glory</w:t>
      </w:r>
      <w:r w:rsidR="00EE4FC3">
        <w:t xml:space="preserve"> </w:t>
      </w:r>
      <w:r w:rsidRPr="00382917">
        <w:t>of</w:t>
      </w:r>
      <w:r w:rsidR="00EE4FC3">
        <w:t xml:space="preserve"> </w:t>
      </w:r>
      <w:r w:rsidRPr="00382917">
        <w:t>God</w:t>
      </w:r>
      <w:r w:rsidR="009C713D" w:rsidRPr="00382917">
        <w:t>”</w:t>
      </w:r>
      <w:r w:rsidR="00583718">
        <w:t>.</w:t>
      </w:r>
    </w:p>
    <w:p w:rsidR="00B568B6" w:rsidRPr="00382917" w:rsidRDefault="00B568B6" w:rsidP="00B568B6">
      <w:pPr>
        <w:pStyle w:val="Text"/>
      </w:pPr>
      <w:r w:rsidRPr="00382917">
        <w:t>In</w:t>
      </w:r>
      <w:r w:rsidR="00EE4FC3">
        <w:t xml:space="preserve"> </w:t>
      </w:r>
      <w:r w:rsidRPr="00382917">
        <w:t>the</w:t>
      </w:r>
      <w:r w:rsidR="00EE4FC3">
        <w:t xml:space="preserve"> </w:t>
      </w:r>
      <w:r w:rsidRPr="00382917">
        <w:t>Revelation</w:t>
      </w:r>
      <w:r w:rsidR="00EE4FC3">
        <w:t xml:space="preserve"> </w:t>
      </w:r>
      <w:r w:rsidRPr="00382917">
        <w:t>of</w:t>
      </w:r>
      <w:r w:rsidR="00EE4FC3">
        <w:t xml:space="preserve"> </w:t>
      </w:r>
      <w:r w:rsidRPr="00382917">
        <w:t>St.</w:t>
      </w:r>
      <w:r w:rsidR="00EE4FC3">
        <w:t xml:space="preserve"> </w:t>
      </w:r>
      <w:r w:rsidRPr="00382917">
        <w:t>John</w:t>
      </w:r>
      <w:r w:rsidR="00EE4FC3">
        <w:t xml:space="preserve"> </w:t>
      </w:r>
      <w:r w:rsidRPr="00382917">
        <w:t>the</w:t>
      </w:r>
      <w:r w:rsidR="00EE4FC3">
        <w:t xml:space="preserve"> </w:t>
      </w:r>
      <w:r w:rsidRPr="00382917">
        <w:t>Divine,</w:t>
      </w:r>
      <w:r w:rsidR="00EE4FC3">
        <w:t xml:space="preserve"> </w:t>
      </w:r>
      <w:r w:rsidRPr="00382917">
        <w:t>that</w:t>
      </w:r>
      <w:r w:rsidR="00EE4FC3">
        <w:t xml:space="preserve"> </w:t>
      </w:r>
      <w:r w:rsidRPr="00382917">
        <w:t>disciple</w:t>
      </w:r>
      <w:r w:rsidR="00EE4FC3">
        <w:t xml:space="preserve"> </w:t>
      </w:r>
      <w:r w:rsidRPr="00382917">
        <w:t>associated</w:t>
      </w:r>
      <w:r w:rsidR="00EE4FC3">
        <w:t xml:space="preserve"> </w:t>
      </w:r>
      <w:r w:rsidRPr="00382917">
        <w:t>the</w:t>
      </w:r>
      <w:r w:rsidR="00EE4FC3">
        <w:t xml:space="preserve"> </w:t>
      </w:r>
      <w:r w:rsidRPr="00382917">
        <w:t>Glory</w:t>
      </w:r>
      <w:r w:rsidR="00EE4FC3">
        <w:t xml:space="preserve"> </w:t>
      </w:r>
      <w:r w:rsidRPr="00382917">
        <w:t>of</w:t>
      </w:r>
      <w:r w:rsidR="00EE4FC3">
        <w:t xml:space="preserve"> </w:t>
      </w:r>
      <w:r w:rsidRPr="00382917">
        <w:t>God</w:t>
      </w:r>
      <w:r w:rsidR="00EE4FC3">
        <w:t xml:space="preserve"> </w:t>
      </w:r>
      <w:r w:rsidRPr="00382917">
        <w:t>with</w:t>
      </w:r>
      <w:r w:rsidR="00EE4FC3">
        <w:t xml:space="preserve"> </w:t>
      </w:r>
      <w:r w:rsidRPr="00382917">
        <w:t>the</w:t>
      </w:r>
      <w:r w:rsidR="00EE4FC3">
        <w:t xml:space="preserve"> </w:t>
      </w:r>
      <w:proofErr w:type="gramStart"/>
      <w:r w:rsidRPr="00382917">
        <w:t>new</w:t>
      </w:r>
      <w:proofErr w:type="gramEnd"/>
      <w:r w:rsidR="00EE4FC3">
        <w:t xml:space="preserve"> </w:t>
      </w:r>
      <w:r w:rsidRPr="00382917">
        <w:t>Jerusalem,</w:t>
      </w:r>
      <w:r w:rsidR="00EE4FC3">
        <w:t xml:space="preserve"> </w:t>
      </w:r>
      <w:r w:rsidRPr="00382917">
        <w:t>saying:</w:t>
      </w:r>
    </w:p>
    <w:p w:rsidR="00B568B6" w:rsidRPr="00382917" w:rsidRDefault="009C713D" w:rsidP="00583718">
      <w:pPr>
        <w:pStyle w:val="Quote"/>
      </w:pPr>
      <w:r w:rsidRPr="00382917">
        <w:t>“</w:t>
      </w:r>
      <w:r w:rsidR="00B568B6" w:rsidRPr="00382917">
        <w:t>And</w:t>
      </w:r>
      <w:r w:rsidR="00EE4FC3">
        <w:t xml:space="preserve"> </w:t>
      </w:r>
      <w:r w:rsidR="00B568B6" w:rsidRPr="00382917">
        <w:t>I</w:t>
      </w:r>
      <w:r w:rsidR="00EE4FC3">
        <w:t xml:space="preserve"> </w:t>
      </w:r>
      <w:r w:rsidR="00B568B6" w:rsidRPr="00382917">
        <w:t>John</w:t>
      </w:r>
      <w:r w:rsidR="00EE4FC3">
        <w:t xml:space="preserve"> </w:t>
      </w:r>
      <w:r w:rsidR="00B568B6" w:rsidRPr="00382917">
        <w:t>saw</w:t>
      </w:r>
      <w:r w:rsidR="00EE4FC3">
        <w:t xml:space="preserve"> </w:t>
      </w:r>
      <w:r w:rsidR="00B568B6" w:rsidRPr="00382917">
        <w:t>the</w:t>
      </w:r>
      <w:r w:rsidR="00EE4FC3">
        <w:t xml:space="preserve"> </w:t>
      </w:r>
      <w:r w:rsidR="00B568B6" w:rsidRPr="00382917">
        <w:t>holy</w:t>
      </w:r>
      <w:r w:rsidR="00EE4FC3">
        <w:t xml:space="preserve"> </w:t>
      </w:r>
      <w:r w:rsidR="00B568B6" w:rsidRPr="00382917">
        <w:t>city,</w:t>
      </w:r>
      <w:r w:rsidR="00EE4FC3">
        <w:t xml:space="preserve"> </w:t>
      </w:r>
      <w:r w:rsidR="00B568B6" w:rsidRPr="00382917">
        <w:t>new</w:t>
      </w:r>
      <w:r w:rsidR="00EE4FC3">
        <w:t xml:space="preserve"> </w:t>
      </w:r>
      <w:r w:rsidR="00B568B6" w:rsidRPr="00382917">
        <w:t>Jerusalem</w:t>
      </w:r>
      <w:proofErr w:type="gramStart"/>
      <w:r w:rsidR="00B568B6" w:rsidRPr="00382917">
        <w:t>.</w:t>
      </w:r>
      <w:r w:rsidR="00EE4FC3">
        <w:t xml:space="preserve"> </w:t>
      </w:r>
      <w:r w:rsidR="00F04416" w:rsidRPr="00382917">
        <w:t>…</w:t>
      </w:r>
      <w:r w:rsidR="00EE4FC3">
        <w:t xml:space="preserve"> </w:t>
      </w:r>
      <w:proofErr w:type="gramEnd"/>
      <w:r w:rsidR="00B568B6" w:rsidRPr="00382917">
        <w:t>And</w:t>
      </w:r>
      <w:r w:rsidR="00EE4FC3">
        <w:t xml:space="preserve"> </w:t>
      </w:r>
      <w:r w:rsidR="00B568B6" w:rsidRPr="00382917">
        <w:t>the</w:t>
      </w:r>
      <w:r w:rsidR="00EE4FC3">
        <w:t xml:space="preserve"> </w:t>
      </w:r>
      <w:r w:rsidR="00B568B6" w:rsidRPr="00382917">
        <w:t>city</w:t>
      </w:r>
      <w:r w:rsidR="00EE4FC3">
        <w:t xml:space="preserve"> </w:t>
      </w:r>
      <w:r w:rsidR="00B568B6" w:rsidRPr="00382917">
        <w:t>had</w:t>
      </w:r>
      <w:r w:rsidR="00EE4FC3">
        <w:t xml:space="preserve"> </w:t>
      </w:r>
      <w:r w:rsidR="00B568B6" w:rsidRPr="00382917">
        <w:t>no</w:t>
      </w:r>
      <w:r w:rsidR="00EE4FC3">
        <w:t xml:space="preserve"> </w:t>
      </w:r>
      <w:r w:rsidR="00B568B6" w:rsidRPr="00382917">
        <w:t>need</w:t>
      </w:r>
      <w:r w:rsidR="00EE4FC3">
        <w:t xml:space="preserve"> </w:t>
      </w:r>
      <w:r w:rsidR="00B568B6" w:rsidRPr="00382917">
        <w:t>of</w:t>
      </w:r>
      <w:r w:rsidR="00EE4FC3">
        <w:t xml:space="preserve"> </w:t>
      </w:r>
      <w:r w:rsidR="00B568B6" w:rsidRPr="00382917">
        <w:t>the</w:t>
      </w:r>
      <w:r w:rsidR="00EE4FC3">
        <w:t xml:space="preserve"> </w:t>
      </w:r>
      <w:r w:rsidR="00B568B6" w:rsidRPr="00382917">
        <w:t>sun</w:t>
      </w:r>
      <w:r w:rsidR="00EE4FC3">
        <w:t xml:space="preserve"> </w:t>
      </w:r>
      <w:r w:rsidR="00F04416" w:rsidRPr="00382917">
        <w:t>…</w:t>
      </w:r>
      <w:r w:rsidR="00EE4FC3">
        <w:t xml:space="preserve"> </w:t>
      </w:r>
      <w:r w:rsidR="00B568B6" w:rsidRPr="00382917">
        <w:t>for</w:t>
      </w:r>
      <w:r w:rsidR="00EE4FC3">
        <w:t xml:space="preserve"> </w:t>
      </w:r>
      <w:r w:rsidR="00B568B6" w:rsidRPr="00382917">
        <w:t>the</w:t>
      </w:r>
      <w:r w:rsidR="00EE4FC3">
        <w:t xml:space="preserve"> </w:t>
      </w:r>
      <w:r w:rsidR="00B568B6" w:rsidRPr="00382917">
        <w:t>Glory</w:t>
      </w:r>
      <w:r w:rsidR="00EE4FC3">
        <w:t xml:space="preserve"> </w:t>
      </w:r>
      <w:r w:rsidR="00B568B6" w:rsidRPr="00382917">
        <w:t>of</w:t>
      </w:r>
      <w:r w:rsidR="00EE4FC3">
        <w:t xml:space="preserve"> </w:t>
      </w:r>
      <w:r w:rsidR="00B568B6" w:rsidRPr="00382917">
        <w:t>God</w:t>
      </w:r>
      <w:r w:rsidR="00EE4FC3">
        <w:t xml:space="preserve"> </w:t>
      </w:r>
      <w:r w:rsidR="00B568B6" w:rsidRPr="00382917">
        <w:t>did</w:t>
      </w:r>
      <w:r w:rsidR="00EE4FC3">
        <w:t xml:space="preserve"> </w:t>
      </w:r>
      <w:r w:rsidR="00B568B6" w:rsidRPr="00382917">
        <w:t>lighten</w:t>
      </w:r>
      <w:r w:rsidR="00EE4FC3">
        <w:t xml:space="preserve"> </w:t>
      </w:r>
      <w:r w:rsidR="00B568B6" w:rsidRPr="00382917">
        <w:t>it.</w:t>
      </w:r>
      <w:r w:rsidRPr="00382917">
        <w:t>”</w:t>
      </w:r>
      <w:r w:rsidR="00583718">
        <w:rPr>
          <w:rStyle w:val="FootnoteReference"/>
        </w:rPr>
        <w:footnoteReference w:id="395"/>
      </w:r>
    </w:p>
    <w:p w:rsidR="00B568B6" w:rsidRPr="00382917" w:rsidRDefault="00B568B6" w:rsidP="00B568B6">
      <w:pPr>
        <w:pStyle w:val="Text"/>
      </w:pPr>
      <w:r w:rsidRPr="00382917">
        <w:t>At</w:t>
      </w:r>
      <w:r w:rsidR="00EE4FC3">
        <w:t xml:space="preserve"> </w:t>
      </w:r>
      <w:r w:rsidRPr="00382917">
        <w:t>the</w:t>
      </w:r>
      <w:r w:rsidR="00EE4FC3">
        <w:t xml:space="preserve"> </w:t>
      </w:r>
      <w:r w:rsidRPr="00382917">
        <w:t>time</w:t>
      </w:r>
      <w:r w:rsidR="00EE4FC3">
        <w:t xml:space="preserve"> </w:t>
      </w:r>
      <w:r w:rsidRPr="00382917">
        <w:t>of</w:t>
      </w:r>
      <w:r w:rsidR="00EE4FC3">
        <w:t xml:space="preserve"> </w:t>
      </w:r>
      <w:r w:rsidRPr="00382917">
        <w:t>the</w:t>
      </w:r>
      <w:r w:rsidR="00EE4FC3">
        <w:t xml:space="preserve"> </w:t>
      </w:r>
      <w:r w:rsidRPr="00382917">
        <w:t>coming</w:t>
      </w:r>
      <w:r w:rsidR="00EE4FC3">
        <w:t xml:space="preserve"> </w:t>
      </w:r>
      <w:r w:rsidRPr="00382917">
        <w:t>of</w:t>
      </w:r>
      <w:r w:rsidR="00EE4FC3">
        <w:t xml:space="preserve"> </w:t>
      </w:r>
      <w:r w:rsidRPr="00382917">
        <w:t>the</w:t>
      </w:r>
      <w:r w:rsidR="00EE4FC3">
        <w:t xml:space="preserve"> </w:t>
      </w:r>
      <w:r w:rsidRPr="00382917">
        <w:t>Bahá</w:t>
      </w:r>
      <w:r w:rsidR="009C713D" w:rsidRPr="00382917">
        <w:t>’</w:t>
      </w:r>
      <w:r w:rsidRPr="00382917">
        <w:t>í</w:t>
      </w:r>
      <w:r w:rsidR="00EE4FC3">
        <w:t xml:space="preserve"> </w:t>
      </w:r>
      <w:r w:rsidRPr="00382917">
        <w:t>Faith,</w:t>
      </w:r>
      <w:r w:rsidR="00EE4FC3">
        <w:t xml:space="preserve"> </w:t>
      </w:r>
      <w:r w:rsidRPr="00382917">
        <w:t>there</w:t>
      </w:r>
      <w:r w:rsidR="00EE4FC3">
        <w:t xml:space="preserve"> </w:t>
      </w:r>
      <w:r w:rsidRPr="00382917">
        <w:t>were</w:t>
      </w:r>
      <w:r w:rsidR="00EE4FC3">
        <w:t xml:space="preserve"> </w:t>
      </w:r>
      <w:r w:rsidRPr="00382917">
        <w:t>seven</w:t>
      </w:r>
      <w:r w:rsidR="00EE4FC3">
        <w:t xml:space="preserve"> </w:t>
      </w:r>
      <w:r w:rsidRPr="00382917">
        <w:t>of</w:t>
      </w:r>
      <w:r w:rsidR="00EE4FC3">
        <w:t xml:space="preserve"> </w:t>
      </w:r>
      <w:r w:rsidRPr="00382917">
        <w:t>the</w:t>
      </w:r>
      <w:r w:rsidR="00EE4FC3">
        <w:t xml:space="preserve"> </w:t>
      </w:r>
      <w:r w:rsidRPr="00382917">
        <w:t>old</w:t>
      </w:r>
      <w:r w:rsidR="00EE4FC3">
        <w:t xml:space="preserve"> </w:t>
      </w:r>
      <w:r w:rsidRPr="00382917">
        <w:t>revealed</w:t>
      </w:r>
      <w:r w:rsidR="00EE4FC3">
        <w:t xml:space="preserve"> </w:t>
      </w:r>
      <w:r w:rsidRPr="00382917">
        <w:t>religions</w:t>
      </w:r>
      <w:r w:rsidR="00EE4FC3">
        <w:t xml:space="preserve"> </w:t>
      </w:r>
      <w:r w:rsidRPr="00382917">
        <w:t>extant,</w:t>
      </w:r>
      <w:r w:rsidR="00EE4FC3">
        <w:t xml:space="preserve"> </w:t>
      </w:r>
      <w:r w:rsidRPr="00382917">
        <w:t>with</w:t>
      </w:r>
      <w:r w:rsidR="00EE4FC3">
        <w:t xml:space="preserve"> </w:t>
      </w:r>
      <w:r w:rsidRPr="00382917">
        <w:t>followers</w:t>
      </w:r>
      <w:r w:rsidR="00EE4FC3">
        <w:t xml:space="preserve"> </w:t>
      </w:r>
      <w:r w:rsidRPr="00382917">
        <w:t>supporting</w:t>
      </w:r>
      <w:r w:rsidR="00EE4FC3">
        <w:t xml:space="preserve"> </w:t>
      </w:r>
      <w:r w:rsidRPr="00382917">
        <w:t>them</w:t>
      </w:r>
      <w:r w:rsidR="00F267E4">
        <w:t>.</w:t>
      </w:r>
      <w:r w:rsidR="00EE4FC3">
        <w:t xml:space="preserve">  </w:t>
      </w:r>
      <w:r w:rsidRPr="00382917">
        <w:t>This</w:t>
      </w:r>
      <w:r w:rsidR="00EE4FC3">
        <w:t xml:space="preserve"> </w:t>
      </w:r>
      <w:r w:rsidRPr="00382917">
        <w:t>does</w:t>
      </w:r>
      <w:r w:rsidR="00EE4FC3">
        <w:t xml:space="preserve"> </w:t>
      </w:r>
      <w:r w:rsidRPr="00382917">
        <w:t>not</w:t>
      </w:r>
      <w:r w:rsidR="00EE4FC3">
        <w:t xml:space="preserve"> </w:t>
      </w:r>
      <w:r w:rsidRPr="00382917">
        <w:t>count</w:t>
      </w:r>
      <w:r w:rsidR="00EE4FC3">
        <w:t xml:space="preserve"> </w:t>
      </w:r>
      <w:r w:rsidRPr="00382917">
        <w:t>philosophies</w:t>
      </w:r>
      <w:r w:rsidR="00EE4FC3">
        <w:t xml:space="preserve"> </w:t>
      </w:r>
      <w:r w:rsidRPr="00382917">
        <w:t>and</w:t>
      </w:r>
      <w:r w:rsidR="00EE4FC3">
        <w:t xml:space="preserve"> </w:t>
      </w:r>
      <w:r w:rsidRPr="00382917">
        <w:t>sects</w:t>
      </w:r>
      <w:r w:rsidR="00EE4FC3">
        <w:t xml:space="preserve"> </w:t>
      </w:r>
      <w:r w:rsidRPr="00382917">
        <w:t>separately,</w:t>
      </w:r>
      <w:r w:rsidR="00EE4FC3">
        <w:t xml:space="preserve"> </w:t>
      </w:r>
      <w:r w:rsidRPr="00382917">
        <w:t>such</w:t>
      </w:r>
      <w:r w:rsidR="00EE4FC3">
        <w:t xml:space="preserve"> </w:t>
      </w:r>
      <w:r w:rsidRPr="00382917">
        <w:t>as</w:t>
      </w:r>
      <w:r w:rsidR="00EE4FC3">
        <w:t xml:space="preserve"> </w:t>
      </w:r>
      <w:r w:rsidRPr="00382917">
        <w:t>were</w:t>
      </w:r>
      <w:r w:rsidR="00EE4FC3">
        <w:t xml:space="preserve"> </w:t>
      </w:r>
      <w:r w:rsidRPr="00382917">
        <w:t>established</w:t>
      </w:r>
      <w:r w:rsidR="00EE4FC3">
        <w:t xml:space="preserve"> </w:t>
      </w:r>
      <w:r w:rsidRPr="00382917">
        <w:t>by</w:t>
      </w:r>
      <w:r w:rsidR="00EE4FC3">
        <w:t xml:space="preserve"> </w:t>
      </w:r>
      <w:r w:rsidRPr="00382917">
        <w:t>great</w:t>
      </w:r>
      <w:r w:rsidR="00EE4FC3">
        <w:t xml:space="preserve"> </w:t>
      </w:r>
      <w:r w:rsidRPr="00382917">
        <w:t>reformers</w:t>
      </w:r>
      <w:r w:rsidR="00EE4FC3">
        <w:t xml:space="preserve"> </w:t>
      </w:r>
      <w:r w:rsidRPr="00382917">
        <w:t>like</w:t>
      </w:r>
      <w:r w:rsidR="00EE4FC3">
        <w:t xml:space="preserve"> </w:t>
      </w:r>
      <w:r w:rsidRPr="00382917">
        <w:t>Confucius</w:t>
      </w:r>
      <w:r w:rsidR="00EE4FC3">
        <w:t xml:space="preserve"> </w:t>
      </w:r>
      <w:r w:rsidRPr="00382917">
        <w:t>and</w:t>
      </w:r>
      <w:r w:rsidR="00EE4FC3">
        <w:t xml:space="preserve"> </w:t>
      </w:r>
      <w:r w:rsidRPr="00382917">
        <w:t>Luther</w:t>
      </w:r>
      <w:r w:rsidR="00F267E4">
        <w:t>.</w:t>
      </w:r>
      <w:r w:rsidR="00EE4FC3">
        <w:t xml:space="preserve">  </w:t>
      </w:r>
      <w:r w:rsidRPr="00382917">
        <w:t>These</w:t>
      </w:r>
      <w:r w:rsidR="00EE4FC3">
        <w:t xml:space="preserve"> </w:t>
      </w:r>
      <w:r w:rsidRPr="00382917">
        <w:t>seven</w:t>
      </w:r>
      <w:r w:rsidR="00EE4FC3">
        <w:t xml:space="preserve"> </w:t>
      </w:r>
      <w:r w:rsidRPr="00382917">
        <w:t>great</w:t>
      </w:r>
      <w:r w:rsidR="00EE4FC3">
        <w:t xml:space="preserve"> </w:t>
      </w:r>
      <w:r w:rsidRPr="00382917">
        <w:t>historical</w:t>
      </w:r>
      <w:r w:rsidR="00EE4FC3">
        <w:t xml:space="preserve"> </w:t>
      </w:r>
      <w:r w:rsidRPr="00382917">
        <w:t>religions</w:t>
      </w:r>
      <w:r w:rsidR="00EE4FC3">
        <w:t xml:space="preserve"> </w:t>
      </w:r>
      <w:r w:rsidRPr="00382917">
        <w:t>are</w:t>
      </w:r>
      <w:r w:rsidR="00EE4FC3">
        <w:t xml:space="preserve"> </w:t>
      </w:r>
      <w:r w:rsidRPr="00382917">
        <w:t>those</w:t>
      </w:r>
      <w:r w:rsidR="00EE4FC3">
        <w:t xml:space="preserve"> </w:t>
      </w:r>
      <w:r w:rsidRPr="00382917">
        <w:t>with</w:t>
      </w:r>
      <w:r w:rsidR="00EE4FC3">
        <w:t xml:space="preserve"> </w:t>
      </w:r>
      <w:r w:rsidRPr="00382917">
        <w:t>a</w:t>
      </w:r>
      <w:r w:rsidR="00EE4FC3">
        <w:t xml:space="preserve"> </w:t>
      </w:r>
      <w:r w:rsidRPr="00382917">
        <w:t>Book,</w:t>
      </w:r>
      <w:r w:rsidR="00EE4FC3">
        <w:t xml:space="preserve"> </w:t>
      </w:r>
      <w:r w:rsidRPr="00382917">
        <w:t>a</w:t>
      </w:r>
      <w:r w:rsidR="00EE4FC3">
        <w:t xml:space="preserve"> </w:t>
      </w:r>
      <w:r w:rsidRPr="00382917">
        <w:t>Prophet,</w:t>
      </w:r>
      <w:r w:rsidR="00EE4FC3">
        <w:t xml:space="preserve"> </w:t>
      </w:r>
      <w:r w:rsidRPr="00382917">
        <w:t>and</w:t>
      </w:r>
      <w:r w:rsidR="00EE4FC3">
        <w:t xml:space="preserve"> </w:t>
      </w:r>
      <w:r w:rsidRPr="00382917">
        <w:t>an</w:t>
      </w:r>
      <w:r w:rsidR="00EE4FC3">
        <w:t xml:space="preserve"> </w:t>
      </w:r>
      <w:r w:rsidRPr="00382917">
        <w:t>historical</w:t>
      </w:r>
      <w:r w:rsidR="00EE4FC3">
        <w:t xml:space="preserve"> </w:t>
      </w:r>
      <w:r w:rsidRPr="00382917">
        <w:t>civilization</w:t>
      </w:r>
      <w:r w:rsidR="00F267E4">
        <w:t>.</w:t>
      </w:r>
      <w:r w:rsidR="00EE4FC3">
        <w:t xml:space="preserve">  </w:t>
      </w:r>
      <w:r w:rsidRPr="00382917">
        <w:t>They</w:t>
      </w:r>
      <w:r w:rsidR="00EE4FC3">
        <w:t xml:space="preserve"> </w:t>
      </w:r>
      <w:r w:rsidRPr="00382917">
        <w:t>were</w:t>
      </w:r>
      <w:r w:rsidR="00EE4FC3">
        <w:t xml:space="preserve"> </w:t>
      </w:r>
      <w:r w:rsidRPr="00382917">
        <w:t>as</w:t>
      </w:r>
      <w:r w:rsidR="00EE4FC3">
        <w:t xml:space="preserve"> </w:t>
      </w:r>
      <w:r w:rsidRPr="00382917">
        <w:t>follows:</w:t>
      </w:r>
    </w:p>
    <w:p w:rsidR="00B568B6" w:rsidRPr="00A065EA" w:rsidRDefault="00A065EA" w:rsidP="00065EF5">
      <w:pPr>
        <w:pStyle w:val="Bullet2"/>
      </w:pPr>
      <w:r w:rsidRPr="00A065EA">
        <w:t>1.</w:t>
      </w:r>
      <w:r w:rsidRPr="00A065EA">
        <w:tab/>
      </w:r>
      <w:r w:rsidR="00B568B6" w:rsidRPr="00A065EA">
        <w:t>Sabean</w:t>
      </w:r>
      <w:r w:rsidR="00C03C91" w:rsidRPr="00A065EA">
        <w:t>:</w:t>
      </w:r>
      <w:r w:rsidR="00EE4FC3" w:rsidRPr="00A065EA">
        <w:t xml:space="preserve">  </w:t>
      </w:r>
      <w:r w:rsidR="00B568B6" w:rsidRPr="00A065EA">
        <w:t>Prophet,</w:t>
      </w:r>
      <w:r w:rsidR="00EE4FC3" w:rsidRPr="00A065EA">
        <w:t xml:space="preserve"> </w:t>
      </w:r>
      <w:r w:rsidR="00B568B6" w:rsidRPr="00A065EA">
        <w:t>unknown</w:t>
      </w:r>
      <w:r w:rsidR="00F267E4" w:rsidRPr="00A065EA">
        <w:t>.</w:t>
      </w:r>
      <w:r w:rsidR="00EE4FC3" w:rsidRPr="00A065EA">
        <w:t xml:space="preserve">  </w:t>
      </w:r>
      <w:r w:rsidR="00B568B6" w:rsidRPr="00A065EA">
        <w:t>Date</w:t>
      </w:r>
      <w:r>
        <w:t xml:space="preserve"> </w:t>
      </w:r>
      <w:r w:rsidR="00B568B6" w:rsidRPr="00A065EA">
        <w:t>5000</w:t>
      </w:r>
      <w:r w:rsidR="00EE4FC3" w:rsidRPr="00A065EA">
        <w:t xml:space="preserve"> </w:t>
      </w:r>
      <w:r w:rsidR="00B568B6" w:rsidRPr="00A065EA">
        <w:t>BCE.</w:t>
      </w:r>
    </w:p>
    <w:p w:rsidR="00B568B6" w:rsidRPr="00A065EA" w:rsidRDefault="00A065EA" w:rsidP="00065EF5">
      <w:pPr>
        <w:pStyle w:val="Bullet2ct"/>
      </w:pPr>
      <w:r w:rsidRPr="00A065EA">
        <w:t>2.</w:t>
      </w:r>
      <w:r w:rsidRPr="00A065EA">
        <w:tab/>
      </w:r>
      <w:r w:rsidR="00B568B6" w:rsidRPr="00A065EA">
        <w:t>Hindu</w:t>
      </w:r>
      <w:r w:rsidR="00C03C91" w:rsidRPr="00A065EA">
        <w:t>:</w:t>
      </w:r>
      <w:r w:rsidR="00EE4FC3" w:rsidRPr="00A065EA">
        <w:t xml:space="preserve">  </w:t>
      </w:r>
      <w:r w:rsidR="00B568B6" w:rsidRPr="00A065EA">
        <w:t>Prophet,</w:t>
      </w:r>
      <w:r w:rsidR="00EE4FC3" w:rsidRPr="00A065EA">
        <w:t xml:space="preserve"> </w:t>
      </w:r>
      <w:r w:rsidR="00B568B6" w:rsidRPr="00A065EA">
        <w:t>Krishna</w:t>
      </w:r>
      <w:r w:rsidR="00F267E4" w:rsidRPr="00A065EA">
        <w:t>.</w:t>
      </w:r>
      <w:r w:rsidR="00EE4FC3" w:rsidRPr="00A065EA">
        <w:t xml:space="preserve">  </w:t>
      </w:r>
      <w:proofErr w:type="gramStart"/>
      <w:r w:rsidR="00B568B6" w:rsidRPr="00A065EA">
        <w:t>Date</w:t>
      </w:r>
      <w:r>
        <w:t xml:space="preserve"> </w:t>
      </w:r>
      <w:r w:rsidR="00B568B6" w:rsidRPr="00A065EA">
        <w:t>2000</w:t>
      </w:r>
      <w:r w:rsidR="00EE4FC3" w:rsidRPr="00A065EA">
        <w:t xml:space="preserve"> </w:t>
      </w:r>
      <w:r w:rsidR="00B568B6" w:rsidRPr="00A065EA">
        <w:t>BCE.*</w:t>
      </w:r>
      <w:proofErr w:type="gramEnd"/>
    </w:p>
    <w:p w:rsidR="00B568B6" w:rsidRPr="00A065EA" w:rsidRDefault="00A065EA" w:rsidP="00A065EA">
      <w:pPr>
        <w:pStyle w:val="Bullet2ct"/>
      </w:pPr>
      <w:r w:rsidRPr="00A065EA">
        <w:t>3.</w:t>
      </w:r>
      <w:r w:rsidRPr="00A065EA">
        <w:tab/>
      </w:r>
      <w:r w:rsidR="00B568B6" w:rsidRPr="00A065EA">
        <w:t>Jewish</w:t>
      </w:r>
      <w:r w:rsidR="00C03C91" w:rsidRPr="00A065EA">
        <w:t>:</w:t>
      </w:r>
      <w:r w:rsidR="00EE4FC3" w:rsidRPr="00A065EA">
        <w:t xml:space="preserve">  </w:t>
      </w:r>
      <w:r w:rsidR="00B568B6" w:rsidRPr="00A065EA">
        <w:t>Prophet,</w:t>
      </w:r>
      <w:r w:rsidR="00EE4FC3" w:rsidRPr="00A065EA">
        <w:t xml:space="preserve"> </w:t>
      </w:r>
      <w:r w:rsidR="00B568B6" w:rsidRPr="00A065EA">
        <w:t>Moses</w:t>
      </w:r>
      <w:r w:rsidR="00F267E4" w:rsidRPr="00A065EA">
        <w:t>.</w:t>
      </w:r>
      <w:r w:rsidR="00EE4FC3" w:rsidRPr="00A065EA">
        <w:t xml:space="preserve">  </w:t>
      </w:r>
      <w:r w:rsidR="00B568B6" w:rsidRPr="00A065EA">
        <w:t>Date</w:t>
      </w:r>
      <w:r>
        <w:t xml:space="preserve"> </w:t>
      </w:r>
      <w:r w:rsidR="00B568B6" w:rsidRPr="00A065EA">
        <w:t>1330</w:t>
      </w:r>
      <w:r w:rsidR="00EE4FC3" w:rsidRPr="00A065EA">
        <w:t xml:space="preserve"> </w:t>
      </w:r>
      <w:r w:rsidR="00B568B6" w:rsidRPr="00A065EA">
        <w:t>BCE.</w:t>
      </w:r>
    </w:p>
    <w:p w:rsidR="00B568B6" w:rsidRPr="00A065EA" w:rsidRDefault="00A065EA" w:rsidP="00065EF5">
      <w:pPr>
        <w:pStyle w:val="Bullet2ct"/>
      </w:pPr>
      <w:r w:rsidRPr="00A065EA">
        <w:t>4.</w:t>
      </w:r>
      <w:r w:rsidRPr="00A065EA">
        <w:tab/>
      </w:r>
      <w:r w:rsidR="00B568B6" w:rsidRPr="00A065EA">
        <w:t>Zoroastrian</w:t>
      </w:r>
      <w:r w:rsidR="00C03C91" w:rsidRPr="00A065EA">
        <w:t>:</w:t>
      </w:r>
      <w:r w:rsidR="00EE4FC3" w:rsidRPr="00A065EA">
        <w:t xml:space="preserve">  </w:t>
      </w:r>
      <w:r w:rsidR="00B568B6" w:rsidRPr="00A065EA">
        <w:t>Prophet,</w:t>
      </w:r>
      <w:r w:rsidR="00EE4FC3" w:rsidRPr="00A065EA">
        <w:t xml:space="preserve"> </w:t>
      </w:r>
      <w:r w:rsidR="00B568B6" w:rsidRPr="00A065EA">
        <w:t>Zoroaster</w:t>
      </w:r>
      <w:r w:rsidR="00F267E4" w:rsidRPr="00A065EA">
        <w:t>.</w:t>
      </w:r>
      <w:r w:rsidR="00EE4FC3" w:rsidRPr="00A065EA">
        <w:t xml:space="preserve">  </w:t>
      </w:r>
      <w:proofErr w:type="gramStart"/>
      <w:r w:rsidR="00B568B6" w:rsidRPr="00A065EA">
        <w:t>Date</w:t>
      </w:r>
      <w:r>
        <w:t xml:space="preserve"> </w:t>
      </w:r>
      <w:r w:rsidR="00B568B6" w:rsidRPr="00A065EA">
        <w:t>1000</w:t>
      </w:r>
      <w:r w:rsidR="00EE4FC3" w:rsidRPr="00A065EA">
        <w:t xml:space="preserve"> </w:t>
      </w:r>
      <w:r w:rsidR="00B568B6" w:rsidRPr="00A065EA">
        <w:t>BCE.*</w:t>
      </w:r>
      <w:proofErr w:type="gramEnd"/>
      <w:r w:rsidRPr="00A065EA">
        <w:rPr>
          <w:rStyle w:val="FootnoteReference"/>
          <w:color w:val="FFFFFF" w:themeColor="background1"/>
        </w:rPr>
        <w:footnoteReference w:customMarkFollows="1" w:id="396"/>
        <w:t>*</w:t>
      </w:r>
    </w:p>
    <w:p w:rsidR="00B568B6" w:rsidRPr="002622C4" w:rsidRDefault="00A065EA" w:rsidP="00A065EA">
      <w:pPr>
        <w:pStyle w:val="Bullet2ct"/>
        <w:rPr>
          <w:lang w:val="en-AU"/>
        </w:rPr>
      </w:pPr>
      <w:r w:rsidRPr="00A065EA">
        <w:t>5.</w:t>
      </w:r>
      <w:r w:rsidRPr="00A065EA">
        <w:tab/>
      </w:r>
      <w:r w:rsidR="00B568B6" w:rsidRPr="00A065EA">
        <w:t>Buddhist</w:t>
      </w:r>
      <w:r w:rsidR="00C03C91" w:rsidRPr="00A065EA">
        <w:t>:</w:t>
      </w:r>
      <w:r w:rsidR="00EE4FC3" w:rsidRPr="00A065EA">
        <w:t xml:space="preserve">  </w:t>
      </w:r>
      <w:r w:rsidR="00B568B6" w:rsidRPr="00A065EA">
        <w:t>Prophet,</w:t>
      </w:r>
      <w:r w:rsidR="00EE4FC3" w:rsidRPr="00A065EA">
        <w:t xml:space="preserve"> </w:t>
      </w:r>
      <w:r w:rsidR="00B568B6" w:rsidRPr="00A065EA">
        <w:t>Buddha</w:t>
      </w:r>
      <w:r w:rsidR="00F267E4" w:rsidRPr="00A065EA">
        <w:t>.</w:t>
      </w:r>
      <w:r w:rsidR="00EE4FC3" w:rsidRPr="00A065EA">
        <w:t xml:space="preserve">  </w:t>
      </w:r>
      <w:r w:rsidR="00B568B6" w:rsidRPr="002622C4">
        <w:rPr>
          <w:lang w:val="en-AU"/>
        </w:rPr>
        <w:t>Date</w:t>
      </w:r>
      <w:r w:rsidRPr="002622C4">
        <w:rPr>
          <w:lang w:val="en-AU"/>
        </w:rPr>
        <w:t xml:space="preserve"> </w:t>
      </w:r>
      <w:r w:rsidR="00B568B6" w:rsidRPr="002622C4">
        <w:rPr>
          <w:lang w:val="en-AU"/>
        </w:rPr>
        <w:t>560</w:t>
      </w:r>
      <w:r w:rsidR="00EE4FC3" w:rsidRPr="002622C4">
        <w:rPr>
          <w:lang w:val="en-AU"/>
        </w:rPr>
        <w:t xml:space="preserve"> </w:t>
      </w:r>
      <w:r w:rsidR="00B568B6" w:rsidRPr="002622C4">
        <w:rPr>
          <w:lang w:val="en-AU"/>
        </w:rPr>
        <w:t>BCE.</w:t>
      </w:r>
    </w:p>
    <w:p w:rsidR="00B568B6" w:rsidRPr="00473693" w:rsidRDefault="00A065EA" w:rsidP="00A065EA">
      <w:pPr>
        <w:pStyle w:val="Bullet2ct"/>
        <w:rPr>
          <w:lang w:val="fr-FR"/>
        </w:rPr>
      </w:pPr>
      <w:r w:rsidRPr="00473693">
        <w:rPr>
          <w:lang w:val="fr-FR"/>
        </w:rPr>
        <w:t>6.</w:t>
      </w:r>
      <w:r w:rsidRPr="00473693">
        <w:rPr>
          <w:lang w:val="fr-FR"/>
        </w:rPr>
        <w:tab/>
      </w:r>
      <w:r w:rsidR="00B568B6" w:rsidRPr="00473693">
        <w:rPr>
          <w:lang w:val="fr-FR"/>
        </w:rPr>
        <w:t>Christian</w:t>
      </w:r>
      <w:proofErr w:type="gramStart"/>
      <w:r w:rsidR="00C03C91" w:rsidRPr="00473693">
        <w:rPr>
          <w:lang w:val="fr-FR"/>
        </w:rPr>
        <w:t>:</w:t>
      </w:r>
      <w:r w:rsidR="00EE4FC3" w:rsidRPr="00473693">
        <w:rPr>
          <w:lang w:val="fr-FR"/>
        </w:rPr>
        <w:t xml:space="preserve">  </w:t>
      </w:r>
      <w:proofErr w:type="spellStart"/>
      <w:r w:rsidR="00B568B6" w:rsidRPr="00473693">
        <w:rPr>
          <w:lang w:val="fr-FR"/>
        </w:rPr>
        <w:t>Prophet</w:t>
      </w:r>
      <w:proofErr w:type="spellEnd"/>
      <w:proofErr w:type="gramEnd"/>
      <w:r w:rsidR="00B568B6" w:rsidRPr="00473693">
        <w:rPr>
          <w:lang w:val="fr-FR"/>
        </w:rPr>
        <w:t>,</w:t>
      </w:r>
      <w:r w:rsidR="00EE4FC3" w:rsidRPr="00473693">
        <w:rPr>
          <w:lang w:val="fr-FR"/>
        </w:rPr>
        <w:t xml:space="preserve"> </w:t>
      </w:r>
      <w:r w:rsidR="00B568B6" w:rsidRPr="00473693">
        <w:rPr>
          <w:lang w:val="fr-FR"/>
        </w:rPr>
        <w:t>Christ</w:t>
      </w:r>
      <w:r w:rsidR="00F267E4" w:rsidRPr="00473693">
        <w:rPr>
          <w:lang w:val="fr-FR"/>
        </w:rPr>
        <w:t>.</w:t>
      </w:r>
      <w:r w:rsidR="00EE4FC3" w:rsidRPr="00473693">
        <w:rPr>
          <w:lang w:val="fr-FR"/>
        </w:rPr>
        <w:t xml:space="preserve">  </w:t>
      </w:r>
      <w:r w:rsidR="00B568B6" w:rsidRPr="00473693">
        <w:rPr>
          <w:lang w:val="fr-FR"/>
        </w:rPr>
        <w:t>Date</w:t>
      </w:r>
      <w:r w:rsidRPr="00473693">
        <w:rPr>
          <w:lang w:val="fr-FR"/>
        </w:rPr>
        <w:t xml:space="preserve"> </w:t>
      </w:r>
      <w:r w:rsidR="00B568B6" w:rsidRPr="00473693">
        <w:rPr>
          <w:lang w:val="fr-FR"/>
        </w:rPr>
        <w:t>CE</w:t>
      </w:r>
      <w:r w:rsidR="00EE4FC3" w:rsidRPr="00473693">
        <w:rPr>
          <w:lang w:val="fr-FR"/>
        </w:rPr>
        <w:t xml:space="preserve"> </w:t>
      </w:r>
      <w:r w:rsidR="00B568B6" w:rsidRPr="00473693">
        <w:rPr>
          <w:lang w:val="fr-FR"/>
        </w:rPr>
        <w:t>1.</w:t>
      </w:r>
    </w:p>
    <w:p w:rsidR="00B568B6" w:rsidRPr="00473693" w:rsidRDefault="00A065EA" w:rsidP="00A065EA">
      <w:pPr>
        <w:pStyle w:val="Bullet2ct"/>
        <w:rPr>
          <w:lang w:val="fr-FR"/>
        </w:rPr>
      </w:pPr>
      <w:r w:rsidRPr="00473693">
        <w:rPr>
          <w:lang w:val="fr-FR"/>
        </w:rPr>
        <w:t>7.</w:t>
      </w:r>
      <w:r w:rsidRPr="00473693">
        <w:rPr>
          <w:lang w:val="fr-FR"/>
        </w:rPr>
        <w:tab/>
      </w:r>
      <w:r w:rsidR="00B568B6" w:rsidRPr="00473693">
        <w:rPr>
          <w:lang w:val="fr-FR"/>
        </w:rPr>
        <w:t>Islamic</w:t>
      </w:r>
      <w:proofErr w:type="gramStart"/>
      <w:r w:rsidR="00C03C91" w:rsidRPr="00473693">
        <w:rPr>
          <w:lang w:val="fr-FR"/>
        </w:rPr>
        <w:t>:</w:t>
      </w:r>
      <w:r w:rsidR="00EE4FC3" w:rsidRPr="00473693">
        <w:rPr>
          <w:lang w:val="fr-FR"/>
        </w:rPr>
        <w:t xml:space="preserve">  </w:t>
      </w:r>
      <w:proofErr w:type="spellStart"/>
      <w:r w:rsidR="00B568B6" w:rsidRPr="00473693">
        <w:rPr>
          <w:lang w:val="fr-FR"/>
        </w:rPr>
        <w:t>Prophet</w:t>
      </w:r>
      <w:proofErr w:type="spellEnd"/>
      <w:proofErr w:type="gramEnd"/>
      <w:r w:rsidR="00B568B6" w:rsidRPr="00473693">
        <w:rPr>
          <w:lang w:val="fr-FR"/>
        </w:rPr>
        <w:t>,</w:t>
      </w:r>
      <w:r w:rsidR="00EE4FC3" w:rsidRPr="00473693">
        <w:rPr>
          <w:lang w:val="fr-FR"/>
        </w:rPr>
        <w:t xml:space="preserve"> </w:t>
      </w:r>
      <w:r w:rsidR="0040329F" w:rsidRPr="00473693">
        <w:rPr>
          <w:lang w:val="fr-FR"/>
        </w:rPr>
        <w:t>Muḥammad</w:t>
      </w:r>
      <w:r w:rsidR="00F267E4" w:rsidRPr="00473693">
        <w:rPr>
          <w:lang w:val="fr-FR"/>
        </w:rPr>
        <w:t>.</w:t>
      </w:r>
      <w:r w:rsidR="00EE4FC3" w:rsidRPr="00473693">
        <w:rPr>
          <w:lang w:val="fr-FR"/>
        </w:rPr>
        <w:t xml:space="preserve">  </w:t>
      </w:r>
      <w:r w:rsidR="00B568B6" w:rsidRPr="00473693">
        <w:rPr>
          <w:lang w:val="fr-FR"/>
        </w:rPr>
        <w:t>Date</w:t>
      </w:r>
      <w:r w:rsidRPr="00473693">
        <w:rPr>
          <w:lang w:val="fr-FR"/>
        </w:rPr>
        <w:t xml:space="preserve"> </w:t>
      </w:r>
      <w:r w:rsidR="00B568B6" w:rsidRPr="00473693">
        <w:rPr>
          <w:lang w:val="fr-FR"/>
        </w:rPr>
        <w:t>CE</w:t>
      </w:r>
      <w:r w:rsidR="00EE4FC3" w:rsidRPr="00473693">
        <w:rPr>
          <w:lang w:val="fr-FR"/>
        </w:rPr>
        <w:t xml:space="preserve"> </w:t>
      </w:r>
      <w:r w:rsidR="00B568B6" w:rsidRPr="00473693">
        <w:rPr>
          <w:lang w:val="fr-FR"/>
        </w:rPr>
        <w:t>622.</w:t>
      </w:r>
    </w:p>
    <w:p w:rsidR="00B568B6" w:rsidRPr="00382917" w:rsidRDefault="00B568B6" w:rsidP="00B568B6">
      <w:pPr>
        <w:pStyle w:val="Text"/>
      </w:pPr>
      <w:r w:rsidRPr="00382917">
        <w:t>From</w:t>
      </w:r>
      <w:r w:rsidR="00EE4FC3">
        <w:t xml:space="preserve"> </w:t>
      </w:r>
      <w:r w:rsidRPr="00382917">
        <w:t>the</w:t>
      </w:r>
      <w:r w:rsidR="00EE4FC3">
        <w:t xml:space="preserve"> </w:t>
      </w:r>
      <w:r w:rsidRPr="00382917">
        <w:t>first</w:t>
      </w:r>
      <w:r w:rsidR="00EE4FC3">
        <w:t xml:space="preserve"> </w:t>
      </w:r>
      <w:r w:rsidRPr="00382917">
        <w:t>of</w:t>
      </w:r>
      <w:r w:rsidR="00EE4FC3">
        <w:t xml:space="preserve"> </w:t>
      </w:r>
      <w:r w:rsidRPr="00382917">
        <w:t>these</w:t>
      </w:r>
      <w:r w:rsidR="00EE4FC3">
        <w:t xml:space="preserve"> </w:t>
      </w:r>
      <w:r w:rsidRPr="00382917">
        <w:t>great</w:t>
      </w:r>
      <w:r w:rsidR="00EE4FC3">
        <w:t xml:space="preserve"> </w:t>
      </w:r>
      <w:r w:rsidRPr="00382917">
        <w:t>religions,</w:t>
      </w:r>
      <w:r w:rsidR="00EE4FC3">
        <w:t xml:space="preserve"> </w:t>
      </w:r>
      <w:r w:rsidRPr="00382917">
        <w:t>Sabeanism,</w:t>
      </w:r>
      <w:r w:rsidR="00EE4FC3">
        <w:t xml:space="preserve"> </w:t>
      </w:r>
      <w:r w:rsidRPr="00382917">
        <w:t>to</w:t>
      </w:r>
      <w:r w:rsidR="00EE4FC3">
        <w:t xml:space="preserve"> </w:t>
      </w:r>
      <w:r w:rsidRPr="00382917">
        <w:t>the</w:t>
      </w:r>
      <w:r w:rsidR="00EE4FC3">
        <w:t xml:space="preserve"> </w:t>
      </w:r>
      <w:r w:rsidRPr="00382917">
        <w:t>last,</w:t>
      </w:r>
      <w:r w:rsidR="00EE4FC3">
        <w:t xml:space="preserve"> </w:t>
      </w:r>
      <w:r w:rsidR="0040329F" w:rsidRPr="00382917">
        <w:t>Isl</w:t>
      </w:r>
      <w:r w:rsidR="0040329F" w:rsidRPr="0040329F">
        <w:t>á</w:t>
      </w:r>
      <w:r w:rsidR="0040329F" w:rsidRPr="00382917">
        <w:t>m</w:t>
      </w:r>
      <w:r w:rsidRPr="00382917">
        <w:t>,</w:t>
      </w:r>
      <w:r w:rsidR="00EE4FC3">
        <w:t xml:space="preserve"> </w:t>
      </w:r>
      <w:r w:rsidRPr="00382917">
        <w:t>there</w:t>
      </w:r>
      <w:r w:rsidR="00EE4FC3">
        <w:t xml:space="preserve"> </w:t>
      </w:r>
      <w:r w:rsidRPr="00382917">
        <w:t>was</w:t>
      </w:r>
      <w:r w:rsidR="00EE4FC3">
        <w:t xml:space="preserve"> </w:t>
      </w:r>
      <w:r w:rsidRPr="00382917">
        <w:t>a</w:t>
      </w:r>
      <w:r w:rsidR="00EE4FC3">
        <w:t xml:space="preserve"> </w:t>
      </w:r>
      <w:r w:rsidRPr="00382917">
        <w:t>cycle</w:t>
      </w:r>
      <w:r w:rsidR="00EE4FC3">
        <w:t xml:space="preserve"> </w:t>
      </w:r>
      <w:r w:rsidRPr="00382917">
        <w:t>of</w:t>
      </w:r>
      <w:r w:rsidR="00EE4FC3">
        <w:t xml:space="preserve"> </w:t>
      </w:r>
      <w:r w:rsidRPr="00382917">
        <w:t>5,000</w:t>
      </w:r>
      <w:r w:rsidR="00EE4FC3">
        <w:t xml:space="preserve"> </w:t>
      </w:r>
      <w:r w:rsidRPr="00382917">
        <w:t>years</w:t>
      </w:r>
      <w:r w:rsidR="00F267E4">
        <w:t>.</w:t>
      </w:r>
      <w:r w:rsidR="00EE4FC3">
        <w:t xml:space="preserve">  </w:t>
      </w:r>
      <w:r w:rsidRPr="00382917">
        <w:t>During</w:t>
      </w:r>
      <w:r w:rsidR="00EE4FC3">
        <w:t xml:space="preserve"> </w:t>
      </w:r>
      <w:r w:rsidRPr="00382917">
        <w:t>this</w:t>
      </w:r>
      <w:r w:rsidR="00EE4FC3">
        <w:t xml:space="preserve"> </w:t>
      </w:r>
      <w:r w:rsidRPr="00382917">
        <w:t>period,</w:t>
      </w:r>
      <w:r w:rsidR="00EE4FC3">
        <w:t xml:space="preserve"> </w:t>
      </w:r>
      <w:r w:rsidRPr="00382917">
        <w:t>each</w:t>
      </w:r>
      <w:r w:rsidR="00EE4FC3">
        <w:t xml:space="preserve"> </w:t>
      </w:r>
      <w:r w:rsidRPr="00382917">
        <w:t>of</w:t>
      </w:r>
      <w:r w:rsidR="00EE4FC3">
        <w:t xml:space="preserve"> </w:t>
      </w:r>
      <w:r w:rsidRPr="00382917">
        <w:t>these</w:t>
      </w:r>
      <w:r w:rsidR="00EE4FC3">
        <w:t xml:space="preserve"> </w:t>
      </w:r>
      <w:r w:rsidRPr="00382917">
        <w:t>religions</w:t>
      </w:r>
      <w:r w:rsidR="00EE4FC3">
        <w:t xml:space="preserve"> </w:t>
      </w:r>
      <w:r w:rsidRPr="00382917">
        <w:t>looked</w:t>
      </w:r>
      <w:r w:rsidR="00EE4FC3">
        <w:t xml:space="preserve"> </w:t>
      </w:r>
      <w:r w:rsidRPr="00382917">
        <w:t>forward</w:t>
      </w:r>
      <w:r w:rsidR="00EE4FC3">
        <w:t xml:space="preserve"> </w:t>
      </w:r>
      <w:r w:rsidRPr="00382917">
        <w:t>to</w:t>
      </w:r>
      <w:r w:rsidR="00EE4FC3">
        <w:t xml:space="preserve"> </w:t>
      </w:r>
      <w:r w:rsidRPr="00382917">
        <w:t>the</w:t>
      </w:r>
      <w:r w:rsidR="00EE4FC3">
        <w:t xml:space="preserve"> </w:t>
      </w:r>
      <w:r w:rsidR="009C713D" w:rsidRPr="00382917">
        <w:t>“</w:t>
      </w:r>
      <w:r w:rsidRPr="00382917">
        <w:t>last</w:t>
      </w:r>
      <w:r w:rsidR="00EE4FC3">
        <w:t xml:space="preserve"> </w:t>
      </w:r>
      <w:r w:rsidRPr="00382917">
        <w:t>days</w:t>
      </w:r>
      <w:r w:rsidR="009C713D" w:rsidRPr="00382917">
        <w:t>”</w:t>
      </w:r>
      <w:r w:rsidRPr="00382917">
        <w:t>,</w:t>
      </w:r>
      <w:r w:rsidR="00EE4FC3">
        <w:t xml:space="preserve"> </w:t>
      </w:r>
      <w:r w:rsidRPr="00382917">
        <w:t>or</w:t>
      </w:r>
      <w:r w:rsidR="00EE4FC3">
        <w:t xml:space="preserve"> </w:t>
      </w:r>
      <w:r w:rsidR="009C713D" w:rsidRPr="00382917">
        <w:t>“</w:t>
      </w:r>
      <w:r w:rsidRPr="00382917">
        <w:t>day</w:t>
      </w:r>
      <w:r w:rsidR="009C713D" w:rsidRPr="00382917">
        <w:t>”</w:t>
      </w:r>
      <w:r w:rsidRPr="00382917">
        <w:t>,</w:t>
      </w:r>
      <w:r w:rsidR="00EE4FC3">
        <w:t xml:space="preserve"> </w:t>
      </w:r>
      <w:r w:rsidRPr="00382917">
        <w:t>when</w:t>
      </w:r>
      <w:r w:rsidR="00EE4FC3">
        <w:t xml:space="preserve"> </w:t>
      </w:r>
      <w:r w:rsidRPr="00382917">
        <w:t>their</w:t>
      </w:r>
      <w:r w:rsidR="00EE4FC3">
        <w:t xml:space="preserve"> </w:t>
      </w:r>
      <w:r w:rsidRPr="00382917">
        <w:t>own</w:t>
      </w:r>
      <w:r w:rsidR="00EE4FC3">
        <w:t xml:space="preserve"> </w:t>
      </w:r>
      <w:r w:rsidRPr="00382917">
        <w:t>Faith</w:t>
      </w:r>
      <w:r w:rsidR="00EE4FC3">
        <w:t xml:space="preserve"> </w:t>
      </w:r>
      <w:r w:rsidRPr="00382917">
        <w:t>would</w:t>
      </w:r>
      <w:r w:rsidR="00EE4FC3">
        <w:t xml:space="preserve"> </w:t>
      </w:r>
      <w:r w:rsidRPr="00382917">
        <w:t>have</w:t>
      </w:r>
      <w:r w:rsidR="00EE4FC3">
        <w:t xml:space="preserve"> </w:t>
      </w:r>
      <w:r w:rsidRPr="00382917">
        <w:t>its</w:t>
      </w:r>
      <w:r w:rsidR="00EE4FC3">
        <w:t xml:space="preserve"> </w:t>
      </w:r>
      <w:r w:rsidRPr="00382917">
        <w:t>final</w:t>
      </w:r>
      <w:r w:rsidR="00EE4FC3">
        <w:t xml:space="preserve"> </w:t>
      </w:r>
      <w:proofErr w:type="spellStart"/>
      <w:r w:rsidRPr="00382917">
        <w:t>fulfillment</w:t>
      </w:r>
      <w:proofErr w:type="spellEnd"/>
      <w:r w:rsidR="00F267E4">
        <w:t>.</w:t>
      </w:r>
      <w:r w:rsidR="00EE4FC3">
        <w:t xml:space="preserve">  </w:t>
      </w:r>
      <w:r w:rsidRPr="00382917">
        <w:t>Each</w:t>
      </w:r>
      <w:r w:rsidR="00EE4FC3">
        <w:t xml:space="preserve"> </w:t>
      </w:r>
      <w:r w:rsidRPr="00382917">
        <w:t>of</w:t>
      </w:r>
      <w:r w:rsidR="00EE4FC3">
        <w:t xml:space="preserve"> </w:t>
      </w:r>
      <w:r w:rsidRPr="00382917">
        <w:t>these</w:t>
      </w:r>
      <w:r w:rsidR="00EE4FC3">
        <w:t xml:space="preserve"> </w:t>
      </w:r>
      <w:r w:rsidRPr="00382917">
        <w:t>pure</w:t>
      </w:r>
      <w:r w:rsidR="00EE4FC3">
        <w:t xml:space="preserve"> </w:t>
      </w:r>
      <w:r w:rsidRPr="00382917">
        <w:t>and</w:t>
      </w:r>
      <w:r w:rsidR="00EE4FC3">
        <w:t xml:space="preserve"> </w:t>
      </w:r>
      <w:r w:rsidRPr="00382917">
        <w:t>holy</w:t>
      </w:r>
      <w:r w:rsidR="00EE4FC3">
        <w:t xml:space="preserve"> </w:t>
      </w:r>
      <w:r w:rsidRPr="00382917">
        <w:t>religions</w:t>
      </w:r>
      <w:r w:rsidR="00EE4FC3">
        <w:t xml:space="preserve"> </w:t>
      </w:r>
      <w:r w:rsidRPr="00382917">
        <w:t>was</w:t>
      </w:r>
      <w:r w:rsidR="00EE4FC3">
        <w:t xml:space="preserve"> </w:t>
      </w:r>
      <w:r w:rsidRPr="00382917">
        <w:t>a</w:t>
      </w:r>
      <w:r w:rsidR="00EE4FC3">
        <w:t xml:space="preserve"> </w:t>
      </w:r>
      <w:r w:rsidRPr="00382917">
        <w:t>step</w:t>
      </w:r>
      <w:r w:rsidR="00EE4FC3">
        <w:t xml:space="preserve"> </w:t>
      </w:r>
      <w:r w:rsidRPr="00382917">
        <w:t>in</w:t>
      </w:r>
      <w:r w:rsidR="00EE4FC3">
        <w:t xml:space="preserve"> </w:t>
      </w:r>
      <w:r w:rsidRPr="00382917">
        <w:t>the</w:t>
      </w:r>
      <w:r w:rsidR="00EE4FC3">
        <w:t xml:space="preserve"> </w:t>
      </w:r>
      <w:r w:rsidRPr="00382917">
        <w:t>progressive</w:t>
      </w:r>
      <w:r w:rsidR="00EE4FC3">
        <w:t xml:space="preserve"> </w:t>
      </w:r>
      <w:r w:rsidRPr="00382917">
        <w:t>unfolding</w:t>
      </w:r>
      <w:r w:rsidR="00EE4FC3">
        <w:t xml:space="preserve"> </w:t>
      </w:r>
      <w:r w:rsidRPr="00382917">
        <w:t>of</w:t>
      </w:r>
      <w:r w:rsidR="00EE4FC3">
        <w:t xml:space="preserve"> </w:t>
      </w:r>
      <w:r w:rsidRPr="00382917">
        <w:t>the</w:t>
      </w:r>
      <w:r w:rsidR="00EE4FC3">
        <w:t xml:space="preserve"> </w:t>
      </w:r>
      <w:r w:rsidRPr="00382917">
        <w:t>one</w:t>
      </w:r>
      <w:r w:rsidR="00EE4FC3">
        <w:t xml:space="preserve"> </w:t>
      </w:r>
      <w:r w:rsidRPr="00382917">
        <w:t>great</w:t>
      </w:r>
      <w:r w:rsidR="00EE4FC3">
        <w:t xml:space="preserve"> </w:t>
      </w:r>
      <w:r w:rsidRPr="00382917">
        <w:t>religion</w:t>
      </w:r>
      <w:r w:rsidR="00EE4FC3">
        <w:t xml:space="preserve"> </w:t>
      </w:r>
      <w:r w:rsidRPr="00382917">
        <w:t>of</w:t>
      </w:r>
      <w:r w:rsidR="00EE4FC3">
        <w:t xml:space="preserve"> </w:t>
      </w:r>
      <w:r w:rsidRPr="00382917">
        <w:t>God,</w:t>
      </w:r>
      <w:r w:rsidR="00EE4FC3">
        <w:t xml:space="preserve"> </w:t>
      </w:r>
      <w:r w:rsidRPr="00382917">
        <w:t>divine</w:t>
      </w:r>
      <w:r w:rsidR="00EE4FC3">
        <w:t xml:space="preserve"> </w:t>
      </w:r>
      <w:r w:rsidRPr="00382917">
        <w:t>and</w:t>
      </w:r>
      <w:r w:rsidR="00EE4FC3">
        <w:t xml:space="preserve"> </w:t>
      </w:r>
      <w:r w:rsidRPr="00382917">
        <w:t>indivisible.</w:t>
      </w:r>
    </w:p>
    <w:p w:rsidR="00B568B6" w:rsidRPr="00382917" w:rsidRDefault="00B568B6">
      <w:pPr>
        <w:widowControl/>
        <w:kinsoku/>
        <w:overflowPunct/>
        <w:textAlignment w:val="auto"/>
      </w:pPr>
      <w:r w:rsidRPr="00382917">
        <w:br w:type="page"/>
      </w:r>
    </w:p>
    <w:p w:rsidR="00B568B6" w:rsidRPr="00382917" w:rsidRDefault="00B568B6" w:rsidP="009F0DBA">
      <w:pPr>
        <w:pStyle w:val="Text"/>
      </w:pPr>
      <w:r w:rsidRPr="00382917">
        <w:t>These</w:t>
      </w:r>
      <w:r w:rsidR="00EE4FC3">
        <w:t xml:space="preserve"> </w:t>
      </w:r>
      <w:r w:rsidRPr="00382917">
        <w:t>seven</w:t>
      </w:r>
      <w:r w:rsidR="00EE4FC3">
        <w:t xml:space="preserve"> </w:t>
      </w:r>
      <w:r w:rsidRPr="00382917">
        <w:t>religions</w:t>
      </w:r>
      <w:r w:rsidR="00EE4FC3">
        <w:t xml:space="preserve"> </w:t>
      </w:r>
      <w:r w:rsidRPr="00382917">
        <w:t>were</w:t>
      </w:r>
      <w:r w:rsidR="00EE4FC3">
        <w:t xml:space="preserve"> </w:t>
      </w:r>
      <w:r w:rsidRPr="00382917">
        <w:t>spoken</w:t>
      </w:r>
      <w:r w:rsidR="00EE4FC3">
        <w:t xml:space="preserve"> </w:t>
      </w:r>
      <w:r w:rsidRPr="00382917">
        <w:t>of</w:t>
      </w:r>
      <w:r w:rsidR="00EE4FC3">
        <w:t xml:space="preserve"> </w:t>
      </w:r>
      <w:r w:rsidRPr="00382917">
        <w:t>by</w:t>
      </w:r>
      <w:r w:rsidR="00EE4FC3">
        <w:t xml:space="preserve"> </w:t>
      </w:r>
      <w:r w:rsidRPr="00382917">
        <w:t>Isaiah</w:t>
      </w:r>
      <w:r w:rsidR="00EE4FC3">
        <w:t xml:space="preserve"> </w:t>
      </w:r>
      <w:r w:rsidRPr="00382917">
        <w:t>in</w:t>
      </w:r>
      <w:r w:rsidR="00EE4FC3">
        <w:t xml:space="preserve"> </w:t>
      </w:r>
      <w:r w:rsidRPr="00382917">
        <w:t>one</w:t>
      </w:r>
      <w:r w:rsidR="00EE4FC3">
        <w:t xml:space="preserve"> </w:t>
      </w:r>
      <w:r w:rsidRPr="00382917">
        <w:t>of</w:t>
      </w:r>
      <w:r w:rsidR="00EE4FC3">
        <w:t xml:space="preserve"> </w:t>
      </w:r>
      <w:r w:rsidRPr="00382917">
        <w:t>his</w:t>
      </w:r>
      <w:r w:rsidR="00EE4FC3">
        <w:t xml:space="preserve"> </w:t>
      </w:r>
      <w:r w:rsidRPr="00382917">
        <w:t>prophecies,</w:t>
      </w:r>
      <w:r w:rsidR="00EE4FC3">
        <w:t xml:space="preserve"> </w:t>
      </w:r>
      <w:r w:rsidRPr="00382917">
        <w:t>which</w:t>
      </w:r>
      <w:r w:rsidR="00EE4FC3">
        <w:t xml:space="preserve"> </w:t>
      </w:r>
      <w:r w:rsidRPr="00382917">
        <w:t>was</w:t>
      </w:r>
      <w:r w:rsidR="00EE4FC3">
        <w:t xml:space="preserve"> </w:t>
      </w:r>
      <w:r w:rsidRPr="00382917">
        <w:t>to</w:t>
      </w:r>
      <w:r w:rsidR="00EE4FC3">
        <w:t xml:space="preserve"> </w:t>
      </w:r>
      <w:r w:rsidRPr="00382917">
        <w:t>be</w:t>
      </w:r>
      <w:r w:rsidR="00EE4FC3">
        <w:t xml:space="preserve"> </w:t>
      </w:r>
      <w:r w:rsidRPr="00382917">
        <w:t>fulfilled</w:t>
      </w:r>
      <w:r w:rsidR="00EE4FC3">
        <w:t xml:space="preserve"> </w:t>
      </w:r>
      <w:r w:rsidRPr="00382917">
        <w:t>in</w:t>
      </w:r>
      <w:r w:rsidR="00EE4FC3">
        <w:t xml:space="preserve"> </w:t>
      </w:r>
      <w:r w:rsidRPr="00382917">
        <w:t>the</w:t>
      </w:r>
      <w:r w:rsidR="00EE4FC3">
        <w:t xml:space="preserve"> </w:t>
      </w:r>
      <w:r w:rsidRPr="00382917">
        <w:t>day</w:t>
      </w:r>
      <w:r w:rsidR="00EE4FC3">
        <w:t xml:space="preserve"> </w:t>
      </w:r>
      <w:r w:rsidRPr="00382917">
        <w:t>of</w:t>
      </w:r>
      <w:r w:rsidR="00EE4FC3">
        <w:t xml:space="preserve"> </w:t>
      </w:r>
      <w:r w:rsidRPr="00382917">
        <w:t>the</w:t>
      </w:r>
      <w:r w:rsidR="00EE4FC3">
        <w:t xml:space="preserve"> </w:t>
      </w:r>
      <w:r w:rsidR="009C713D" w:rsidRPr="00382917">
        <w:t>“</w:t>
      </w:r>
      <w:r w:rsidRPr="00382917">
        <w:t>one</w:t>
      </w:r>
      <w:r w:rsidR="00EE4FC3">
        <w:t xml:space="preserve"> </w:t>
      </w:r>
      <w:r w:rsidRPr="00382917">
        <w:t>fold</w:t>
      </w:r>
      <w:r w:rsidR="00EE4FC3">
        <w:t xml:space="preserve"> </w:t>
      </w:r>
      <w:r w:rsidRPr="00382917">
        <w:t>and</w:t>
      </w:r>
      <w:r w:rsidR="00EE4FC3">
        <w:t xml:space="preserve"> </w:t>
      </w:r>
      <w:r w:rsidRPr="00382917">
        <w:t>one</w:t>
      </w:r>
      <w:r w:rsidR="00EE4FC3">
        <w:t xml:space="preserve"> </w:t>
      </w:r>
      <w:r w:rsidRPr="00382917">
        <w:t>shepherd</w:t>
      </w:r>
      <w:r w:rsidR="009C713D" w:rsidRPr="00382917">
        <w:t>”</w:t>
      </w:r>
      <w:r w:rsidR="009F0DBA">
        <w:t>.</w:t>
      </w:r>
      <w:r w:rsidR="00065EF5">
        <w:t xml:space="preserve"> </w:t>
      </w:r>
      <w:r w:rsidR="00EE4FC3">
        <w:t xml:space="preserve"> </w:t>
      </w:r>
      <w:r w:rsidRPr="00382917">
        <w:t>Isaiah</w:t>
      </w:r>
      <w:r w:rsidR="00EE4FC3">
        <w:t xml:space="preserve"> </w:t>
      </w:r>
      <w:r w:rsidRPr="00382917">
        <w:t>wrote:</w:t>
      </w:r>
    </w:p>
    <w:p w:rsidR="00B568B6" w:rsidRPr="00382917" w:rsidRDefault="009C713D" w:rsidP="009F0DBA">
      <w:pPr>
        <w:pStyle w:val="Quote"/>
      </w:pPr>
      <w:r w:rsidRPr="00382917">
        <w:t>“</w:t>
      </w:r>
      <w:r w:rsidR="00B568B6" w:rsidRPr="00382917">
        <w:t>And</w:t>
      </w:r>
      <w:r w:rsidR="00EE4FC3">
        <w:t xml:space="preserve"> </w:t>
      </w:r>
      <w:r w:rsidR="00B568B6" w:rsidRPr="00382917">
        <w:t>in</w:t>
      </w:r>
      <w:r w:rsidR="00EE4FC3">
        <w:t xml:space="preserve"> </w:t>
      </w:r>
      <w:r w:rsidR="00B568B6" w:rsidRPr="00382917">
        <w:t>that</w:t>
      </w:r>
      <w:r w:rsidR="00EE4FC3">
        <w:t xml:space="preserve"> </w:t>
      </w:r>
      <w:r w:rsidR="00B568B6" w:rsidRPr="00382917">
        <w:t>day</w:t>
      </w:r>
      <w:r w:rsidR="00EE4FC3">
        <w:t xml:space="preserve"> </w:t>
      </w:r>
      <w:r w:rsidR="00B568B6" w:rsidRPr="00382917">
        <w:t>seven</w:t>
      </w:r>
      <w:r w:rsidR="00EE4FC3">
        <w:t xml:space="preserve"> </w:t>
      </w:r>
      <w:r w:rsidR="00B568B6" w:rsidRPr="00382917">
        <w:t>women</w:t>
      </w:r>
      <w:r w:rsidR="00EE4FC3">
        <w:t xml:space="preserve"> </w:t>
      </w:r>
      <w:r w:rsidR="00B568B6" w:rsidRPr="00382917">
        <w:t>shall</w:t>
      </w:r>
      <w:r w:rsidR="00EE4FC3">
        <w:t xml:space="preserve"> </w:t>
      </w:r>
      <w:r w:rsidR="00B568B6" w:rsidRPr="00382917">
        <w:t>take</w:t>
      </w:r>
      <w:r w:rsidR="00EE4FC3">
        <w:t xml:space="preserve"> </w:t>
      </w:r>
      <w:r w:rsidR="00B568B6" w:rsidRPr="00382917">
        <w:t>hold</w:t>
      </w:r>
      <w:r w:rsidR="00EE4FC3">
        <w:t xml:space="preserve"> </w:t>
      </w:r>
      <w:r w:rsidR="00B568B6" w:rsidRPr="00382917">
        <w:t>of</w:t>
      </w:r>
      <w:r w:rsidR="00EE4FC3">
        <w:t xml:space="preserve"> </w:t>
      </w:r>
      <w:r w:rsidR="00B568B6" w:rsidRPr="00382917">
        <w:t>one</w:t>
      </w:r>
      <w:r w:rsidR="00EE4FC3">
        <w:t xml:space="preserve"> </w:t>
      </w:r>
      <w:r w:rsidR="00B568B6" w:rsidRPr="00382917">
        <w:t>man,</w:t>
      </w:r>
      <w:r w:rsidR="00EE4FC3">
        <w:t xml:space="preserve"> </w:t>
      </w:r>
      <w:r w:rsidR="00B568B6" w:rsidRPr="00382917">
        <w:t>saying,</w:t>
      </w:r>
      <w:r w:rsidR="00EE4FC3">
        <w:t xml:space="preserve"> </w:t>
      </w:r>
      <w:proofErr w:type="gramStart"/>
      <w:r w:rsidR="00B568B6" w:rsidRPr="00382917">
        <w:t>We</w:t>
      </w:r>
      <w:proofErr w:type="gramEnd"/>
      <w:r w:rsidR="00EE4FC3">
        <w:t xml:space="preserve"> </w:t>
      </w:r>
      <w:r w:rsidR="00B568B6" w:rsidRPr="00382917">
        <w:t>will</w:t>
      </w:r>
      <w:r w:rsidR="00EE4FC3">
        <w:t xml:space="preserve"> </w:t>
      </w:r>
      <w:r w:rsidR="00B568B6" w:rsidRPr="00382917">
        <w:t>eat</w:t>
      </w:r>
      <w:r w:rsidR="00EE4FC3">
        <w:t xml:space="preserve"> </w:t>
      </w:r>
      <w:r w:rsidR="00B568B6" w:rsidRPr="00382917">
        <w:t>our</w:t>
      </w:r>
      <w:r w:rsidR="00EE4FC3">
        <w:t xml:space="preserve"> </w:t>
      </w:r>
      <w:r w:rsidR="00B568B6" w:rsidRPr="00382917">
        <w:t>own</w:t>
      </w:r>
      <w:r w:rsidR="00EE4FC3">
        <w:t xml:space="preserve"> </w:t>
      </w:r>
      <w:r w:rsidR="00B568B6" w:rsidRPr="00382917">
        <w:t>bread,</w:t>
      </w:r>
      <w:r w:rsidR="00EE4FC3">
        <w:t xml:space="preserve"> </w:t>
      </w:r>
      <w:r w:rsidR="00B568B6" w:rsidRPr="00382917">
        <w:t>and</w:t>
      </w:r>
      <w:r w:rsidR="00EE4FC3">
        <w:t xml:space="preserve"> </w:t>
      </w:r>
      <w:r w:rsidR="00B568B6" w:rsidRPr="00382917">
        <w:t>wear</w:t>
      </w:r>
      <w:r w:rsidR="00EE4FC3">
        <w:t xml:space="preserve"> </w:t>
      </w:r>
      <w:r w:rsidR="00B568B6" w:rsidRPr="00382917">
        <w:t>our</w:t>
      </w:r>
      <w:r w:rsidR="00EE4FC3">
        <w:t xml:space="preserve"> </w:t>
      </w:r>
      <w:r w:rsidR="00B568B6" w:rsidRPr="00382917">
        <w:t>own</w:t>
      </w:r>
      <w:r w:rsidR="00EE4FC3">
        <w:t xml:space="preserve"> </w:t>
      </w:r>
      <w:r w:rsidR="00B568B6" w:rsidRPr="00382917">
        <w:t>apparel</w:t>
      </w:r>
      <w:r w:rsidR="00C03C91">
        <w:t>:</w:t>
      </w:r>
      <w:r w:rsidR="00EE4FC3">
        <w:t xml:space="preserve">  </w:t>
      </w:r>
      <w:r w:rsidR="00B568B6" w:rsidRPr="00382917">
        <w:t>only</w:t>
      </w:r>
      <w:r w:rsidR="00EE4FC3">
        <w:t xml:space="preserve"> </w:t>
      </w:r>
      <w:r w:rsidR="00B568B6" w:rsidRPr="00382917">
        <w:t>let</w:t>
      </w:r>
      <w:r w:rsidR="00EE4FC3">
        <w:t xml:space="preserve"> </w:t>
      </w:r>
      <w:r w:rsidR="00B568B6" w:rsidRPr="00382917">
        <w:t>us</w:t>
      </w:r>
      <w:r w:rsidR="00EE4FC3">
        <w:t xml:space="preserve"> </w:t>
      </w:r>
      <w:r w:rsidR="00B568B6" w:rsidRPr="00382917">
        <w:t>be</w:t>
      </w:r>
      <w:r w:rsidR="00EE4FC3">
        <w:t xml:space="preserve"> </w:t>
      </w:r>
      <w:r w:rsidR="00B568B6" w:rsidRPr="00382917">
        <w:t>called</w:t>
      </w:r>
      <w:r w:rsidR="00EE4FC3">
        <w:t xml:space="preserve"> </w:t>
      </w:r>
      <w:r w:rsidR="00B568B6" w:rsidRPr="00382917">
        <w:t>by</w:t>
      </w:r>
      <w:r w:rsidR="00EE4FC3">
        <w:t xml:space="preserve"> </w:t>
      </w:r>
      <w:r w:rsidR="00B568B6" w:rsidRPr="00382917">
        <w:t>thy</w:t>
      </w:r>
      <w:r w:rsidR="00EE4FC3">
        <w:t xml:space="preserve"> </w:t>
      </w:r>
      <w:r w:rsidR="00B568B6" w:rsidRPr="00382917">
        <w:t>name,</w:t>
      </w:r>
      <w:r w:rsidR="00EE4FC3">
        <w:t xml:space="preserve"> </w:t>
      </w:r>
      <w:r w:rsidR="00B568B6" w:rsidRPr="00382917">
        <w:t>to</w:t>
      </w:r>
      <w:r w:rsidR="00EE4FC3">
        <w:t xml:space="preserve"> </w:t>
      </w:r>
      <w:r w:rsidR="00B568B6" w:rsidRPr="00382917">
        <w:t>take</w:t>
      </w:r>
      <w:r w:rsidR="00EE4FC3">
        <w:t xml:space="preserve"> </w:t>
      </w:r>
      <w:r w:rsidR="00B568B6" w:rsidRPr="00382917">
        <w:t>away</w:t>
      </w:r>
      <w:r w:rsidR="00EE4FC3">
        <w:t xml:space="preserve"> </w:t>
      </w:r>
      <w:r w:rsidR="00B568B6" w:rsidRPr="00382917">
        <w:t>our</w:t>
      </w:r>
      <w:r w:rsidR="00EE4FC3">
        <w:t xml:space="preserve"> </w:t>
      </w:r>
      <w:r w:rsidR="00B568B6" w:rsidRPr="00382917">
        <w:t>reproach.</w:t>
      </w:r>
      <w:r w:rsidRPr="00382917">
        <w:t>”</w:t>
      </w:r>
      <w:r w:rsidR="009F0DBA">
        <w:rPr>
          <w:rStyle w:val="FootnoteReference"/>
        </w:rPr>
        <w:footnoteReference w:id="397"/>
      </w:r>
    </w:p>
    <w:p w:rsidR="00B568B6" w:rsidRPr="00382917" w:rsidRDefault="00B568B6" w:rsidP="00B568B6">
      <w:pPr>
        <w:pStyle w:val="Text"/>
      </w:pPr>
      <w:r w:rsidRPr="00382917">
        <w:t>With</w:t>
      </w:r>
      <w:r w:rsidR="00EE4FC3">
        <w:t xml:space="preserve"> </w:t>
      </w:r>
      <w:r w:rsidRPr="00382917">
        <w:t>the</w:t>
      </w:r>
      <w:r w:rsidR="00EE4FC3">
        <w:t xml:space="preserve"> </w:t>
      </w:r>
      <w:r w:rsidRPr="00382917">
        <w:t>coming</w:t>
      </w:r>
      <w:r w:rsidR="00EE4FC3">
        <w:t xml:space="preserve"> </w:t>
      </w:r>
      <w:r w:rsidRPr="00382917">
        <w:t>of</w:t>
      </w:r>
      <w:r w:rsidR="00EE4FC3">
        <w:t xml:space="preserve"> </w:t>
      </w:r>
      <w:r w:rsidRPr="00382917">
        <w:t>Bahá</w:t>
      </w:r>
      <w:r w:rsidR="009C713D" w:rsidRPr="00382917">
        <w:t>’</w:t>
      </w:r>
      <w:r w:rsidRPr="00382917">
        <w:t>u</w:t>
      </w:r>
      <w:r w:rsidR="009C713D" w:rsidRPr="00382917">
        <w:t>’</w:t>
      </w:r>
      <w:r w:rsidRPr="00382917">
        <w:t>lláh,</w:t>
      </w:r>
      <w:r w:rsidR="00EE4FC3">
        <w:t xml:space="preserve"> </w:t>
      </w:r>
      <w:r w:rsidRPr="00382917">
        <w:t>each</w:t>
      </w:r>
      <w:r w:rsidR="00EE4FC3">
        <w:t xml:space="preserve"> </w:t>
      </w:r>
      <w:r w:rsidRPr="00382917">
        <w:t>of</w:t>
      </w:r>
      <w:r w:rsidR="00EE4FC3">
        <w:t xml:space="preserve"> </w:t>
      </w:r>
      <w:r w:rsidRPr="00382917">
        <w:t>these</w:t>
      </w:r>
      <w:r w:rsidR="00EE4FC3">
        <w:t xml:space="preserve"> </w:t>
      </w:r>
      <w:r w:rsidRPr="00382917">
        <w:t>seven</w:t>
      </w:r>
      <w:r w:rsidR="00EE4FC3">
        <w:t xml:space="preserve"> </w:t>
      </w:r>
      <w:r w:rsidRPr="00382917">
        <w:t>women</w:t>
      </w:r>
      <w:r w:rsidR="00EE4FC3">
        <w:t xml:space="preserve"> </w:t>
      </w:r>
      <w:r w:rsidRPr="00382917">
        <w:t>(religions)</w:t>
      </w:r>
      <w:r w:rsidR="00EE4FC3">
        <w:t xml:space="preserve"> </w:t>
      </w:r>
      <w:r w:rsidRPr="00382917">
        <w:t>do</w:t>
      </w:r>
      <w:r w:rsidR="00EE4FC3">
        <w:t xml:space="preserve"> </w:t>
      </w:r>
      <w:r w:rsidRPr="00382917">
        <w:t>eat</w:t>
      </w:r>
      <w:r w:rsidR="00EE4FC3">
        <w:t xml:space="preserve"> </w:t>
      </w:r>
      <w:r w:rsidRPr="00382917">
        <w:t>of</w:t>
      </w:r>
      <w:r w:rsidR="00EE4FC3">
        <w:t xml:space="preserve"> </w:t>
      </w:r>
      <w:r w:rsidRPr="00382917">
        <w:t>their</w:t>
      </w:r>
      <w:r w:rsidR="00EE4FC3">
        <w:t xml:space="preserve"> </w:t>
      </w:r>
      <w:r w:rsidRPr="00382917">
        <w:t>own</w:t>
      </w:r>
      <w:r w:rsidR="00EE4FC3">
        <w:t xml:space="preserve"> </w:t>
      </w:r>
      <w:r w:rsidRPr="00382917">
        <w:t>bread</w:t>
      </w:r>
      <w:r w:rsidR="00EE4FC3">
        <w:t xml:space="preserve"> </w:t>
      </w:r>
      <w:r w:rsidRPr="00382917">
        <w:t>and</w:t>
      </w:r>
      <w:r w:rsidR="00EE4FC3">
        <w:t xml:space="preserve"> </w:t>
      </w:r>
      <w:r w:rsidRPr="00382917">
        <w:t>wear</w:t>
      </w:r>
      <w:r w:rsidR="00EE4FC3">
        <w:t xml:space="preserve"> </w:t>
      </w:r>
      <w:r w:rsidRPr="00382917">
        <w:t>their</w:t>
      </w:r>
      <w:r w:rsidR="00EE4FC3">
        <w:t xml:space="preserve"> </w:t>
      </w:r>
      <w:r w:rsidRPr="00382917">
        <w:t>own</w:t>
      </w:r>
      <w:r w:rsidR="00EE4FC3">
        <w:t xml:space="preserve"> </w:t>
      </w:r>
      <w:r w:rsidRPr="00382917">
        <w:t>apparel</w:t>
      </w:r>
      <w:r w:rsidR="00F267E4">
        <w:t>.</w:t>
      </w:r>
      <w:r w:rsidR="00EE4FC3">
        <w:t xml:space="preserve">  </w:t>
      </w:r>
      <w:r w:rsidRPr="00382917">
        <w:t>It</w:t>
      </w:r>
      <w:r w:rsidR="00EE4FC3">
        <w:t xml:space="preserve"> </w:t>
      </w:r>
      <w:r w:rsidRPr="00382917">
        <w:t>is</w:t>
      </w:r>
      <w:r w:rsidR="00EE4FC3">
        <w:t xml:space="preserve"> </w:t>
      </w:r>
      <w:r w:rsidRPr="00382917">
        <w:t>one</w:t>
      </w:r>
      <w:r w:rsidR="00EE4FC3">
        <w:t xml:space="preserve"> </w:t>
      </w:r>
      <w:r w:rsidRPr="00382917">
        <w:t>of</w:t>
      </w:r>
      <w:r w:rsidR="00EE4FC3">
        <w:t xml:space="preserve"> </w:t>
      </w:r>
      <w:r w:rsidRPr="00382917">
        <w:t>the</w:t>
      </w:r>
      <w:r w:rsidR="00EE4FC3">
        <w:t xml:space="preserve"> </w:t>
      </w:r>
      <w:r w:rsidRPr="00382917">
        <w:t>basic</w:t>
      </w:r>
      <w:r w:rsidR="00EE4FC3">
        <w:t xml:space="preserve"> </w:t>
      </w:r>
      <w:r w:rsidRPr="00382917">
        <w:t>principles</w:t>
      </w:r>
      <w:r w:rsidR="00EE4FC3">
        <w:t xml:space="preserve"> </w:t>
      </w:r>
      <w:r w:rsidRPr="00382917">
        <w:t>of</w:t>
      </w:r>
      <w:r w:rsidR="00EE4FC3">
        <w:t xml:space="preserve"> </w:t>
      </w:r>
      <w:r w:rsidRPr="00382917">
        <w:t>the</w:t>
      </w:r>
      <w:r w:rsidR="00EE4FC3">
        <w:t xml:space="preserve"> </w:t>
      </w:r>
      <w:r w:rsidRPr="00382917">
        <w:t>Bahá</w:t>
      </w:r>
      <w:r w:rsidR="009C713D" w:rsidRPr="00382917">
        <w:t>’</w:t>
      </w:r>
      <w:r w:rsidRPr="00382917">
        <w:t>í</w:t>
      </w:r>
      <w:r w:rsidR="00EE4FC3">
        <w:t xml:space="preserve"> </w:t>
      </w:r>
      <w:r w:rsidRPr="00382917">
        <w:t>Faith</w:t>
      </w:r>
      <w:r w:rsidR="00EE4FC3">
        <w:t xml:space="preserve"> </w:t>
      </w:r>
      <w:r w:rsidRPr="00382917">
        <w:t>that</w:t>
      </w:r>
      <w:r w:rsidR="00EE4FC3">
        <w:t xml:space="preserve"> </w:t>
      </w:r>
      <w:r w:rsidRPr="00382917">
        <w:t>the</w:t>
      </w:r>
      <w:r w:rsidR="00EE4FC3">
        <w:t xml:space="preserve"> </w:t>
      </w:r>
      <w:r w:rsidRPr="00382917">
        <w:t>spiritual,</w:t>
      </w:r>
      <w:r w:rsidR="00EE4FC3">
        <w:t xml:space="preserve"> </w:t>
      </w:r>
      <w:r w:rsidRPr="00382917">
        <w:t>or</w:t>
      </w:r>
      <w:r w:rsidR="00EE4FC3">
        <w:t xml:space="preserve"> </w:t>
      </w:r>
      <w:r w:rsidRPr="00382917">
        <w:t>underlying</w:t>
      </w:r>
      <w:r w:rsidR="00EE4FC3">
        <w:t xml:space="preserve"> </w:t>
      </w:r>
      <w:r w:rsidRPr="00382917">
        <w:t>truths,</w:t>
      </w:r>
      <w:r w:rsidR="00EE4FC3">
        <w:t xml:space="preserve"> </w:t>
      </w:r>
      <w:r w:rsidRPr="00382917">
        <w:t>(</w:t>
      </w:r>
      <w:r w:rsidR="009C713D" w:rsidRPr="00382917">
        <w:t>“</w:t>
      </w:r>
      <w:r w:rsidRPr="00382917">
        <w:t>food</w:t>
      </w:r>
      <w:r w:rsidR="009C713D" w:rsidRPr="00382917">
        <w:t>”</w:t>
      </w:r>
      <w:r w:rsidR="00EE4FC3">
        <w:t xml:space="preserve"> </w:t>
      </w:r>
      <w:r w:rsidRPr="00382917">
        <w:t>and</w:t>
      </w:r>
      <w:r w:rsidR="00EE4FC3">
        <w:t xml:space="preserve"> </w:t>
      </w:r>
      <w:r w:rsidR="009C713D" w:rsidRPr="00382917">
        <w:t>“</w:t>
      </w:r>
      <w:r w:rsidRPr="00382917">
        <w:t>apparel</w:t>
      </w:r>
      <w:r w:rsidR="009C713D" w:rsidRPr="00382917">
        <w:t>”</w:t>
      </w:r>
      <w:r w:rsidRPr="00382917">
        <w:t>)</w:t>
      </w:r>
      <w:r w:rsidR="00EE4FC3">
        <w:t xml:space="preserve"> </w:t>
      </w:r>
      <w:r w:rsidRPr="00382917">
        <w:t>are</w:t>
      </w:r>
      <w:r w:rsidR="00EE4FC3">
        <w:t xml:space="preserve"> </w:t>
      </w:r>
      <w:r w:rsidRPr="00382917">
        <w:t>the</w:t>
      </w:r>
      <w:r w:rsidR="00EE4FC3">
        <w:t xml:space="preserve"> </w:t>
      </w:r>
      <w:r w:rsidRPr="00382917">
        <w:t>same</w:t>
      </w:r>
      <w:r w:rsidR="00EE4FC3">
        <w:t xml:space="preserve"> </w:t>
      </w:r>
      <w:r w:rsidRPr="00382917">
        <w:t>in</w:t>
      </w:r>
      <w:r w:rsidR="00EE4FC3">
        <w:t xml:space="preserve"> </w:t>
      </w:r>
      <w:r w:rsidRPr="00382917">
        <w:t>every</w:t>
      </w:r>
      <w:r w:rsidR="00EE4FC3">
        <w:t xml:space="preserve"> </w:t>
      </w:r>
      <w:r w:rsidRPr="00382917">
        <w:t>religion</w:t>
      </w:r>
      <w:r w:rsidR="00F267E4">
        <w:t>.</w:t>
      </w:r>
      <w:r w:rsidR="00EE4FC3">
        <w:t xml:space="preserve">  </w:t>
      </w:r>
      <w:r w:rsidRPr="00382917">
        <w:t>These</w:t>
      </w:r>
      <w:r w:rsidR="00EE4FC3">
        <w:t xml:space="preserve"> </w:t>
      </w:r>
      <w:r w:rsidRPr="00382917">
        <w:t>inner</w:t>
      </w:r>
      <w:r w:rsidR="00EE4FC3">
        <w:t xml:space="preserve"> </w:t>
      </w:r>
      <w:r w:rsidRPr="00382917">
        <w:t>truths</w:t>
      </w:r>
      <w:r w:rsidR="00EE4FC3">
        <w:t xml:space="preserve"> </w:t>
      </w:r>
      <w:r w:rsidRPr="00382917">
        <w:t>are</w:t>
      </w:r>
      <w:r w:rsidR="00EE4FC3">
        <w:t xml:space="preserve"> </w:t>
      </w:r>
      <w:r w:rsidRPr="00382917">
        <w:t>not</w:t>
      </w:r>
      <w:r w:rsidR="00EE4FC3">
        <w:t xml:space="preserve"> </w:t>
      </w:r>
      <w:r w:rsidRPr="00382917">
        <w:t>altered</w:t>
      </w:r>
      <w:r w:rsidR="00F267E4">
        <w:t>.</w:t>
      </w:r>
      <w:r w:rsidR="00EE4FC3">
        <w:t xml:space="preserve">  </w:t>
      </w:r>
      <w:r w:rsidRPr="00382917">
        <w:t>It</w:t>
      </w:r>
      <w:r w:rsidR="00EE4FC3">
        <w:t xml:space="preserve"> </w:t>
      </w:r>
      <w:r w:rsidRPr="00382917">
        <w:t>is</w:t>
      </w:r>
      <w:r w:rsidR="00EE4FC3">
        <w:t xml:space="preserve"> </w:t>
      </w:r>
      <w:r w:rsidRPr="00382917">
        <w:t>only</w:t>
      </w:r>
      <w:r w:rsidR="00EE4FC3">
        <w:t xml:space="preserve"> </w:t>
      </w:r>
      <w:r w:rsidRPr="00382917">
        <w:t>the</w:t>
      </w:r>
      <w:r w:rsidR="00EE4FC3">
        <w:t xml:space="preserve"> </w:t>
      </w:r>
      <w:r w:rsidRPr="00382917">
        <w:t>outer</w:t>
      </w:r>
      <w:r w:rsidR="00EE4FC3">
        <w:t xml:space="preserve"> </w:t>
      </w:r>
      <w:r w:rsidRPr="00382917">
        <w:t>teachings</w:t>
      </w:r>
      <w:r w:rsidR="00EE4FC3">
        <w:t xml:space="preserve"> </w:t>
      </w:r>
      <w:r w:rsidRPr="00382917">
        <w:t>which</w:t>
      </w:r>
      <w:r w:rsidR="00EE4FC3">
        <w:t xml:space="preserve"> </w:t>
      </w:r>
      <w:r w:rsidRPr="00382917">
        <w:t>are</w:t>
      </w:r>
      <w:r w:rsidR="00EE4FC3">
        <w:t xml:space="preserve"> </w:t>
      </w:r>
      <w:r w:rsidRPr="00382917">
        <w:t>changed</w:t>
      </w:r>
      <w:r w:rsidR="00EE4FC3">
        <w:t xml:space="preserve"> </w:t>
      </w:r>
      <w:r w:rsidRPr="00382917">
        <w:t>according</w:t>
      </w:r>
      <w:r w:rsidR="00EE4FC3">
        <w:t xml:space="preserve"> </w:t>
      </w:r>
      <w:r w:rsidRPr="00382917">
        <w:t>to</w:t>
      </w:r>
      <w:r w:rsidR="00EE4FC3">
        <w:t xml:space="preserve"> </w:t>
      </w:r>
      <w:r w:rsidRPr="00382917">
        <w:t>the</w:t>
      </w:r>
      <w:r w:rsidR="00EE4FC3">
        <w:t xml:space="preserve"> </w:t>
      </w:r>
      <w:r w:rsidRPr="00382917">
        <w:t>needs</w:t>
      </w:r>
      <w:r w:rsidR="00EE4FC3">
        <w:t xml:space="preserve"> </w:t>
      </w:r>
      <w:r w:rsidRPr="00382917">
        <w:t>of</w:t>
      </w:r>
      <w:r w:rsidR="00EE4FC3">
        <w:t xml:space="preserve"> </w:t>
      </w:r>
      <w:r w:rsidRPr="00382917">
        <w:t>the</w:t>
      </w:r>
      <w:r w:rsidR="00EE4FC3">
        <w:t xml:space="preserve"> </w:t>
      </w:r>
      <w:r w:rsidRPr="00382917">
        <w:t>people</w:t>
      </w:r>
      <w:r w:rsidR="00EE4FC3">
        <w:t xml:space="preserve"> </w:t>
      </w:r>
      <w:r w:rsidRPr="00382917">
        <w:t>in</w:t>
      </w:r>
      <w:r w:rsidR="00EE4FC3">
        <w:t xml:space="preserve"> </w:t>
      </w:r>
      <w:r w:rsidRPr="00382917">
        <w:t>the</w:t>
      </w:r>
      <w:r w:rsidR="00EE4FC3">
        <w:t xml:space="preserve"> </w:t>
      </w:r>
      <w:r w:rsidRPr="00382917">
        <w:t>day</w:t>
      </w:r>
      <w:r w:rsidR="00EE4FC3">
        <w:t xml:space="preserve"> </w:t>
      </w:r>
      <w:r w:rsidRPr="00382917">
        <w:t>in</w:t>
      </w:r>
      <w:r w:rsidR="00EE4FC3">
        <w:t xml:space="preserve"> </w:t>
      </w:r>
      <w:r w:rsidRPr="00382917">
        <w:t>which</w:t>
      </w:r>
      <w:r w:rsidR="00EE4FC3">
        <w:t xml:space="preserve"> </w:t>
      </w:r>
      <w:r w:rsidRPr="00382917">
        <w:t>each</w:t>
      </w:r>
      <w:r w:rsidR="00EE4FC3">
        <w:t xml:space="preserve"> </w:t>
      </w:r>
      <w:r w:rsidRPr="00382917">
        <w:t>new</w:t>
      </w:r>
      <w:r w:rsidR="00EE4FC3">
        <w:t xml:space="preserve"> </w:t>
      </w:r>
      <w:r w:rsidRPr="00382917">
        <w:t>prophet</w:t>
      </w:r>
      <w:r w:rsidR="00EE4FC3">
        <w:t xml:space="preserve"> </w:t>
      </w:r>
      <w:r w:rsidRPr="00382917">
        <w:t>appears.</w:t>
      </w:r>
    </w:p>
    <w:p w:rsidR="00B568B6" w:rsidRPr="00382917" w:rsidRDefault="00B568B6" w:rsidP="00B568B6">
      <w:pPr>
        <w:pStyle w:val="Text"/>
      </w:pPr>
      <w:r w:rsidRPr="00382917">
        <w:t>A</w:t>
      </w:r>
      <w:r w:rsidR="00EE4FC3">
        <w:t xml:space="preserve"> </w:t>
      </w:r>
      <w:r w:rsidRPr="00382917">
        <w:t>basic</w:t>
      </w:r>
      <w:r w:rsidR="00EE4FC3">
        <w:t xml:space="preserve"> </w:t>
      </w:r>
      <w:r w:rsidRPr="00382917">
        <w:t>teaching</w:t>
      </w:r>
      <w:r w:rsidR="00EE4FC3">
        <w:t xml:space="preserve"> </w:t>
      </w:r>
      <w:r w:rsidRPr="00382917">
        <w:t>of</w:t>
      </w:r>
      <w:r w:rsidR="00EE4FC3">
        <w:t xml:space="preserve"> </w:t>
      </w:r>
      <w:r w:rsidRPr="00382917">
        <w:t>Bahá</w:t>
      </w:r>
      <w:r w:rsidR="009C713D" w:rsidRPr="00382917">
        <w:t>’</w:t>
      </w:r>
      <w:r w:rsidRPr="00382917">
        <w:t>u</w:t>
      </w:r>
      <w:r w:rsidR="009C713D" w:rsidRPr="00382917">
        <w:t>’</w:t>
      </w:r>
      <w:r w:rsidRPr="00382917">
        <w:t>lláh</w:t>
      </w:r>
      <w:r w:rsidR="00EE4FC3">
        <w:t xml:space="preserve"> </w:t>
      </w:r>
      <w:r w:rsidRPr="00382917">
        <w:t>is</w:t>
      </w:r>
      <w:r w:rsidR="00EE4FC3">
        <w:t xml:space="preserve"> </w:t>
      </w:r>
      <w:r w:rsidRPr="00382917">
        <w:t>that</w:t>
      </w:r>
      <w:r w:rsidR="00EE4FC3">
        <w:t xml:space="preserve"> </w:t>
      </w:r>
      <w:r w:rsidRPr="00382917">
        <w:t>the</w:t>
      </w:r>
      <w:r w:rsidR="00EE4FC3">
        <w:t xml:space="preserve"> </w:t>
      </w:r>
      <w:r w:rsidRPr="00382917">
        <w:t>foundation</w:t>
      </w:r>
      <w:r w:rsidR="00EE4FC3">
        <w:t xml:space="preserve"> </w:t>
      </w:r>
      <w:r w:rsidRPr="00382917">
        <w:t>of</w:t>
      </w:r>
      <w:r w:rsidR="00EE4FC3">
        <w:t xml:space="preserve"> </w:t>
      </w:r>
      <w:r w:rsidRPr="00382917">
        <w:t>all</w:t>
      </w:r>
      <w:r w:rsidR="00EE4FC3">
        <w:t xml:space="preserve"> </w:t>
      </w:r>
      <w:r w:rsidRPr="00382917">
        <w:t>religions</w:t>
      </w:r>
      <w:r w:rsidR="00EE4FC3">
        <w:t xml:space="preserve"> </w:t>
      </w:r>
      <w:r w:rsidRPr="00382917">
        <w:t>is</w:t>
      </w:r>
      <w:r w:rsidR="00EE4FC3">
        <w:t xml:space="preserve"> </w:t>
      </w:r>
      <w:r w:rsidRPr="00382917">
        <w:t>one</w:t>
      </w:r>
      <w:r w:rsidR="00F267E4">
        <w:t>.</w:t>
      </w:r>
      <w:r w:rsidR="00EE4FC3">
        <w:t xml:space="preserve">  </w:t>
      </w:r>
      <w:r w:rsidRPr="00382917">
        <w:t>These</w:t>
      </w:r>
      <w:r w:rsidR="00EE4FC3">
        <w:t xml:space="preserve"> </w:t>
      </w:r>
      <w:r w:rsidR="009C713D" w:rsidRPr="00382917">
        <w:t>“</w:t>
      </w:r>
      <w:r w:rsidRPr="00382917">
        <w:t>seven</w:t>
      </w:r>
      <w:r w:rsidR="00EE4FC3">
        <w:t xml:space="preserve"> </w:t>
      </w:r>
      <w:r w:rsidRPr="00382917">
        <w:t>women</w:t>
      </w:r>
      <w:r w:rsidR="009C713D" w:rsidRPr="00382917">
        <w:t>”</w:t>
      </w:r>
      <w:r w:rsidR="00EE4FC3">
        <w:t xml:space="preserve"> </w:t>
      </w:r>
      <w:r w:rsidRPr="00382917">
        <w:t>(religions)</w:t>
      </w:r>
      <w:r w:rsidR="00EE4FC3">
        <w:t xml:space="preserve"> </w:t>
      </w:r>
      <w:r w:rsidRPr="00382917">
        <w:t>can</w:t>
      </w:r>
      <w:r w:rsidR="00EE4FC3">
        <w:t xml:space="preserve"> </w:t>
      </w:r>
      <w:r w:rsidRPr="00382917">
        <w:t>take</w:t>
      </w:r>
      <w:r w:rsidR="00EE4FC3">
        <w:t xml:space="preserve"> </w:t>
      </w:r>
      <w:r w:rsidRPr="00382917">
        <w:t>hold</w:t>
      </w:r>
      <w:r w:rsidR="00EE4FC3">
        <w:t xml:space="preserve"> </w:t>
      </w:r>
      <w:r w:rsidRPr="00382917">
        <w:t>of</w:t>
      </w:r>
      <w:r w:rsidR="00EE4FC3">
        <w:t xml:space="preserve"> </w:t>
      </w:r>
      <w:r w:rsidR="009C713D" w:rsidRPr="00382917">
        <w:t>“</w:t>
      </w:r>
      <w:r w:rsidRPr="00382917">
        <w:t>one</w:t>
      </w:r>
      <w:r w:rsidR="00EE4FC3">
        <w:t xml:space="preserve"> </w:t>
      </w:r>
      <w:r w:rsidRPr="00382917">
        <w:t>man</w:t>
      </w:r>
      <w:r w:rsidR="009C713D" w:rsidRPr="00382917">
        <w:t>”</w:t>
      </w:r>
      <w:r w:rsidR="00EE4FC3">
        <w:t xml:space="preserve"> </w:t>
      </w:r>
      <w:r w:rsidRPr="00382917">
        <w:t>(Bahá</w:t>
      </w:r>
      <w:r w:rsidR="009C713D" w:rsidRPr="00382917">
        <w:t>’</w:t>
      </w:r>
      <w:r w:rsidRPr="00382917">
        <w:t>u</w:t>
      </w:r>
      <w:r w:rsidR="009C713D" w:rsidRPr="00382917">
        <w:t>’</w:t>
      </w:r>
      <w:r w:rsidRPr="00382917">
        <w:t>lláh)</w:t>
      </w:r>
      <w:r w:rsidR="00EE4FC3">
        <w:t xml:space="preserve"> </w:t>
      </w:r>
      <w:r w:rsidRPr="00382917">
        <w:t>and</w:t>
      </w:r>
      <w:r w:rsidR="00EE4FC3">
        <w:t xml:space="preserve"> </w:t>
      </w:r>
      <w:r w:rsidRPr="00382917">
        <w:t>accept</w:t>
      </w:r>
      <w:r w:rsidR="00EE4FC3">
        <w:t xml:space="preserve"> </w:t>
      </w:r>
      <w:r w:rsidRPr="00382917">
        <w:t>Him,</w:t>
      </w:r>
      <w:r w:rsidR="00EE4FC3">
        <w:t xml:space="preserve"> </w:t>
      </w:r>
      <w:r w:rsidRPr="00382917">
        <w:t>confident</w:t>
      </w:r>
      <w:r w:rsidR="00EE4FC3">
        <w:t xml:space="preserve"> </w:t>
      </w:r>
      <w:r w:rsidRPr="00382917">
        <w:t>that</w:t>
      </w:r>
      <w:r w:rsidR="00EE4FC3">
        <w:t xml:space="preserve"> </w:t>
      </w:r>
      <w:r w:rsidRPr="00382917">
        <w:t>they</w:t>
      </w:r>
      <w:r w:rsidR="00EE4FC3">
        <w:t xml:space="preserve"> </w:t>
      </w:r>
      <w:r w:rsidRPr="00382917">
        <w:t>are</w:t>
      </w:r>
      <w:r w:rsidR="00EE4FC3">
        <w:t xml:space="preserve"> </w:t>
      </w:r>
      <w:r w:rsidRPr="00382917">
        <w:t>losing</w:t>
      </w:r>
      <w:r w:rsidR="00EE4FC3">
        <w:t xml:space="preserve"> </w:t>
      </w:r>
      <w:r w:rsidRPr="00382917">
        <w:t>none</w:t>
      </w:r>
      <w:r w:rsidR="00EE4FC3">
        <w:t xml:space="preserve"> </w:t>
      </w:r>
      <w:r w:rsidRPr="00382917">
        <w:t>of</w:t>
      </w:r>
      <w:r w:rsidR="00EE4FC3">
        <w:t xml:space="preserve"> </w:t>
      </w:r>
      <w:r w:rsidRPr="00382917">
        <w:t>the</w:t>
      </w:r>
      <w:r w:rsidR="00EE4FC3">
        <w:t xml:space="preserve"> </w:t>
      </w:r>
      <w:r w:rsidRPr="00382917">
        <w:t>pure,</w:t>
      </w:r>
      <w:r w:rsidR="00EE4FC3">
        <w:t xml:space="preserve"> </w:t>
      </w:r>
      <w:r w:rsidRPr="00382917">
        <w:t>beautiful</w:t>
      </w:r>
      <w:r w:rsidR="00EE4FC3">
        <w:t xml:space="preserve"> </w:t>
      </w:r>
      <w:r w:rsidRPr="00382917">
        <w:t>truths</w:t>
      </w:r>
      <w:r w:rsidR="00EE4FC3">
        <w:t xml:space="preserve"> </w:t>
      </w:r>
      <w:r w:rsidRPr="00382917">
        <w:t>upon</w:t>
      </w:r>
      <w:r w:rsidR="00EE4FC3">
        <w:t xml:space="preserve"> </w:t>
      </w:r>
      <w:r w:rsidRPr="00382917">
        <w:t>which</w:t>
      </w:r>
      <w:r w:rsidR="00EE4FC3">
        <w:t xml:space="preserve"> </w:t>
      </w:r>
      <w:r w:rsidRPr="00382917">
        <w:t>they</w:t>
      </w:r>
      <w:r w:rsidR="00EE4FC3">
        <w:t xml:space="preserve"> </w:t>
      </w:r>
      <w:r w:rsidRPr="00382917">
        <w:t>were</w:t>
      </w:r>
      <w:r w:rsidR="00EE4FC3">
        <w:t xml:space="preserve"> </w:t>
      </w:r>
      <w:r w:rsidRPr="00382917">
        <w:t>founded.</w:t>
      </w:r>
    </w:p>
    <w:p w:rsidR="00B568B6" w:rsidRPr="00382917" w:rsidRDefault="00B568B6" w:rsidP="009F0DBA">
      <w:pPr>
        <w:pStyle w:val="Text"/>
      </w:pPr>
      <w:r w:rsidRPr="00382917">
        <w:t>This</w:t>
      </w:r>
      <w:r w:rsidR="00EE4FC3">
        <w:t xml:space="preserve"> </w:t>
      </w:r>
      <w:r w:rsidRPr="00382917">
        <w:t>same</w:t>
      </w:r>
      <w:r w:rsidR="00EE4FC3">
        <w:t xml:space="preserve"> </w:t>
      </w:r>
      <w:r w:rsidRPr="00382917">
        <w:t>remarkable</w:t>
      </w:r>
      <w:r w:rsidR="00EE4FC3">
        <w:t xml:space="preserve"> </w:t>
      </w:r>
      <w:r w:rsidRPr="00382917">
        <w:t>prophecy</w:t>
      </w:r>
      <w:r w:rsidR="00EE4FC3">
        <w:t xml:space="preserve"> </w:t>
      </w:r>
      <w:r w:rsidRPr="00382917">
        <w:t>of</w:t>
      </w:r>
      <w:r w:rsidR="00EE4FC3">
        <w:t xml:space="preserve"> </w:t>
      </w:r>
      <w:r w:rsidRPr="00382917">
        <w:t>Isaiah,</w:t>
      </w:r>
      <w:r w:rsidR="00EE4FC3">
        <w:t xml:space="preserve"> </w:t>
      </w:r>
      <w:r w:rsidRPr="00382917">
        <w:t>which</w:t>
      </w:r>
      <w:r w:rsidR="00EE4FC3">
        <w:t xml:space="preserve"> </w:t>
      </w:r>
      <w:r w:rsidRPr="00382917">
        <w:t>foretells</w:t>
      </w:r>
      <w:r w:rsidR="00EE4FC3">
        <w:t xml:space="preserve"> </w:t>
      </w:r>
      <w:r w:rsidRPr="00382917">
        <w:t>the</w:t>
      </w:r>
      <w:r w:rsidR="00EE4FC3">
        <w:t xml:space="preserve"> </w:t>
      </w:r>
      <w:r w:rsidRPr="00382917">
        <w:t>unity</w:t>
      </w:r>
      <w:r w:rsidR="00EE4FC3">
        <w:t xml:space="preserve"> </w:t>
      </w:r>
      <w:r w:rsidRPr="00382917">
        <w:t>of</w:t>
      </w:r>
      <w:r w:rsidR="00EE4FC3">
        <w:t xml:space="preserve"> </w:t>
      </w:r>
      <w:r w:rsidRPr="00382917">
        <w:t>all</w:t>
      </w:r>
      <w:r w:rsidR="00EE4FC3">
        <w:t xml:space="preserve"> </w:t>
      </w:r>
      <w:r w:rsidRPr="00382917">
        <w:t>the</w:t>
      </w:r>
      <w:r w:rsidR="00EE4FC3">
        <w:t xml:space="preserve"> </w:t>
      </w:r>
      <w:r w:rsidRPr="00382917">
        <w:t>great</w:t>
      </w:r>
      <w:r w:rsidR="00EE4FC3">
        <w:t xml:space="preserve"> </w:t>
      </w:r>
      <w:r w:rsidRPr="00382917">
        <w:t>religions</w:t>
      </w:r>
      <w:r w:rsidR="00EE4FC3">
        <w:t xml:space="preserve"> </w:t>
      </w:r>
      <w:r w:rsidRPr="00382917">
        <w:t>in</w:t>
      </w:r>
      <w:r w:rsidR="00EE4FC3">
        <w:t xml:space="preserve"> </w:t>
      </w:r>
      <w:r w:rsidRPr="00382917">
        <w:t>the</w:t>
      </w:r>
      <w:r w:rsidR="00EE4FC3">
        <w:t xml:space="preserve"> </w:t>
      </w:r>
      <w:r w:rsidR="009C713D" w:rsidRPr="00382917">
        <w:t>“</w:t>
      </w:r>
      <w:r w:rsidRPr="00382917">
        <w:t>last</w:t>
      </w:r>
      <w:r w:rsidR="00EE4FC3">
        <w:t xml:space="preserve"> </w:t>
      </w:r>
      <w:r w:rsidRPr="00382917">
        <w:t>days</w:t>
      </w:r>
      <w:r w:rsidR="009C713D" w:rsidRPr="00382917">
        <w:t>”</w:t>
      </w:r>
      <w:r w:rsidR="009F0DBA">
        <w:t>,</w:t>
      </w:r>
      <w:r w:rsidR="00EE4FC3">
        <w:t xml:space="preserve"> </w:t>
      </w:r>
      <w:r w:rsidRPr="00382917">
        <w:t>also</w:t>
      </w:r>
      <w:r w:rsidR="00EE4FC3">
        <w:t xml:space="preserve"> </w:t>
      </w:r>
      <w:r w:rsidRPr="00382917">
        <w:t>gives</w:t>
      </w:r>
      <w:r w:rsidR="00EE4FC3">
        <w:t xml:space="preserve"> </w:t>
      </w:r>
      <w:r w:rsidRPr="00382917">
        <w:t>the</w:t>
      </w:r>
      <w:r w:rsidR="00EE4FC3">
        <w:t xml:space="preserve"> </w:t>
      </w:r>
      <w:r w:rsidRPr="00382917">
        <w:t>promise</w:t>
      </w:r>
      <w:r w:rsidR="00EE4FC3">
        <w:t xml:space="preserve"> </w:t>
      </w:r>
      <w:r w:rsidRPr="00382917">
        <w:t>of</w:t>
      </w:r>
      <w:r w:rsidR="00EE4FC3">
        <w:t xml:space="preserve"> </w:t>
      </w:r>
      <w:r w:rsidRPr="00382917">
        <w:t>a</w:t>
      </w:r>
      <w:r w:rsidR="00EE4FC3">
        <w:t xml:space="preserve"> </w:t>
      </w:r>
      <w:r w:rsidRPr="00382917">
        <w:t>new</w:t>
      </w:r>
      <w:r w:rsidR="00EE4FC3">
        <w:t xml:space="preserve"> </w:t>
      </w:r>
      <w:r w:rsidRPr="00382917">
        <w:t>name</w:t>
      </w:r>
      <w:r w:rsidR="00EE4FC3">
        <w:t xml:space="preserve"> </w:t>
      </w:r>
      <w:r w:rsidRPr="00382917">
        <w:t>by</w:t>
      </w:r>
      <w:r w:rsidR="00EE4FC3">
        <w:t xml:space="preserve"> </w:t>
      </w:r>
      <w:r w:rsidRPr="00382917">
        <w:t>which</w:t>
      </w:r>
      <w:r w:rsidR="00EE4FC3">
        <w:t xml:space="preserve"> </w:t>
      </w:r>
      <w:r w:rsidRPr="00382917">
        <w:t>God</w:t>
      </w:r>
      <w:r w:rsidR="009C713D" w:rsidRPr="00382917">
        <w:t>’</w:t>
      </w:r>
      <w:r w:rsidRPr="00382917">
        <w:t>s</w:t>
      </w:r>
      <w:r w:rsidR="00EE4FC3">
        <w:t xml:space="preserve"> </w:t>
      </w:r>
      <w:r w:rsidRPr="00382917">
        <w:t>Faith</w:t>
      </w:r>
      <w:r w:rsidR="00EE4FC3">
        <w:t xml:space="preserve"> </w:t>
      </w:r>
      <w:r w:rsidRPr="00382917">
        <w:t>will</w:t>
      </w:r>
      <w:r w:rsidR="00EE4FC3">
        <w:t xml:space="preserve"> </w:t>
      </w:r>
      <w:r w:rsidRPr="00382917">
        <w:t>be</w:t>
      </w:r>
      <w:r w:rsidR="00EE4FC3">
        <w:t xml:space="preserve"> </w:t>
      </w:r>
      <w:r w:rsidRPr="00382917">
        <w:t>known</w:t>
      </w:r>
      <w:r w:rsidR="00F267E4">
        <w:t>.</w:t>
      </w:r>
      <w:r w:rsidR="00EE4FC3">
        <w:t xml:space="preserve">  </w:t>
      </w:r>
      <w:r w:rsidRPr="00382917">
        <w:t>The</w:t>
      </w:r>
      <w:r w:rsidR="00EE4FC3">
        <w:t xml:space="preserve"> </w:t>
      </w:r>
      <w:r w:rsidRPr="00382917">
        <w:t>prophecy</w:t>
      </w:r>
      <w:r w:rsidR="00EE4FC3">
        <w:t xml:space="preserve"> </w:t>
      </w:r>
      <w:r w:rsidRPr="00382917">
        <w:t>says</w:t>
      </w:r>
      <w:r w:rsidR="00C03C91">
        <w:t>:</w:t>
      </w:r>
      <w:r w:rsidR="00EE4FC3">
        <w:t xml:space="preserve">  </w:t>
      </w:r>
      <w:r w:rsidR="009C713D" w:rsidRPr="00382917">
        <w:t>“</w:t>
      </w:r>
      <w:r w:rsidRPr="00382917">
        <w:t>Let</w:t>
      </w:r>
      <w:r w:rsidR="00EE4FC3">
        <w:t xml:space="preserve"> </w:t>
      </w:r>
      <w:r w:rsidRPr="00382917">
        <w:t>us</w:t>
      </w:r>
      <w:r w:rsidR="00EE4FC3">
        <w:t xml:space="preserve"> </w:t>
      </w:r>
      <w:r w:rsidRPr="00382917">
        <w:t>be</w:t>
      </w:r>
      <w:r w:rsidR="00EE4FC3">
        <w:t xml:space="preserve"> </w:t>
      </w:r>
      <w:r w:rsidRPr="00382917">
        <w:t>called</w:t>
      </w:r>
      <w:r w:rsidR="00EE4FC3">
        <w:t xml:space="preserve"> </w:t>
      </w:r>
      <w:r w:rsidRPr="00382917">
        <w:t>by</w:t>
      </w:r>
      <w:r w:rsidR="00EE4FC3">
        <w:t xml:space="preserve"> </w:t>
      </w:r>
      <w:r w:rsidRPr="00382917">
        <w:t>thy</w:t>
      </w:r>
      <w:r w:rsidR="00EE4FC3">
        <w:t xml:space="preserve"> </w:t>
      </w:r>
      <w:r w:rsidRPr="00382917">
        <w:t>name</w:t>
      </w:r>
      <w:r w:rsidR="009C713D" w:rsidRPr="00382917">
        <w:t>”</w:t>
      </w:r>
      <w:r w:rsidR="009F0DBA">
        <w:t>,</w:t>
      </w:r>
      <w:r w:rsidR="00EE4FC3">
        <w:t xml:space="preserve"> </w:t>
      </w:r>
      <w:r w:rsidRPr="00382917">
        <w:t>meaning</w:t>
      </w:r>
      <w:r w:rsidR="00EE4FC3">
        <w:t xml:space="preserve"> </w:t>
      </w:r>
      <w:r w:rsidRPr="00382917">
        <w:t>the</w:t>
      </w:r>
      <w:r w:rsidR="00EE4FC3">
        <w:t xml:space="preserve"> </w:t>
      </w:r>
      <w:r w:rsidRPr="00382917">
        <w:t>name</w:t>
      </w:r>
      <w:r w:rsidR="00EE4FC3">
        <w:t xml:space="preserve"> </w:t>
      </w:r>
      <w:r w:rsidRPr="00382917">
        <w:t>of</w:t>
      </w:r>
      <w:r w:rsidR="00EE4FC3">
        <w:t xml:space="preserve"> </w:t>
      </w:r>
      <w:r w:rsidRPr="00382917">
        <w:t>the</w:t>
      </w:r>
      <w:r w:rsidR="00EE4FC3">
        <w:t xml:space="preserve"> </w:t>
      </w:r>
      <w:r w:rsidRPr="00382917">
        <w:t>new</w:t>
      </w:r>
      <w:r w:rsidR="00EE4FC3">
        <w:t xml:space="preserve"> </w:t>
      </w:r>
      <w:r w:rsidRPr="00382917">
        <w:t>Prophet</w:t>
      </w:r>
      <w:r w:rsidR="00F267E4">
        <w:t>.</w:t>
      </w:r>
      <w:r w:rsidR="00EE4FC3">
        <w:t xml:space="preserve">  </w:t>
      </w:r>
      <w:r w:rsidRPr="00382917">
        <w:t>Bahá</w:t>
      </w:r>
      <w:r w:rsidR="009C713D" w:rsidRPr="00382917">
        <w:t>’</w:t>
      </w:r>
      <w:r w:rsidRPr="00382917">
        <w:t>u</w:t>
      </w:r>
      <w:r w:rsidR="009C713D" w:rsidRPr="00382917">
        <w:t>’</w:t>
      </w:r>
      <w:r w:rsidRPr="00382917">
        <w:t>lláh</w:t>
      </w:r>
      <w:r w:rsidR="00EE4FC3">
        <w:t xml:space="preserve"> </w:t>
      </w:r>
      <w:r w:rsidRPr="00382917">
        <w:t>is</w:t>
      </w:r>
      <w:r w:rsidR="00EE4FC3">
        <w:t xml:space="preserve"> </w:t>
      </w:r>
      <w:r w:rsidRPr="00382917">
        <w:t>the</w:t>
      </w:r>
      <w:r w:rsidR="00EE4FC3">
        <w:t xml:space="preserve"> </w:t>
      </w:r>
      <w:r w:rsidRPr="00382917">
        <w:t>name</w:t>
      </w:r>
      <w:r w:rsidR="00EE4FC3">
        <w:t xml:space="preserve"> </w:t>
      </w:r>
      <w:r w:rsidRPr="00382917">
        <w:t>of</w:t>
      </w:r>
      <w:r w:rsidR="00EE4FC3">
        <w:t xml:space="preserve"> </w:t>
      </w:r>
      <w:r w:rsidRPr="00382917">
        <w:t>the</w:t>
      </w:r>
      <w:r w:rsidR="00EE4FC3">
        <w:t xml:space="preserve"> </w:t>
      </w:r>
      <w:r w:rsidRPr="00382917">
        <w:t>Prophet</w:t>
      </w:r>
      <w:r w:rsidR="00F267E4">
        <w:t>.</w:t>
      </w:r>
      <w:r w:rsidR="00EE4FC3">
        <w:t xml:space="preserve">  </w:t>
      </w:r>
      <w:r w:rsidRPr="00382917">
        <w:t>His</w:t>
      </w:r>
      <w:r w:rsidR="00EE4FC3">
        <w:t xml:space="preserve"> </w:t>
      </w:r>
      <w:r w:rsidRPr="00382917">
        <w:t>followers</w:t>
      </w:r>
      <w:r w:rsidR="00EE4FC3">
        <w:t xml:space="preserve"> </w:t>
      </w:r>
      <w:r w:rsidRPr="00382917">
        <w:t>are</w:t>
      </w:r>
      <w:r w:rsidR="00EE4FC3">
        <w:t xml:space="preserve"> </w:t>
      </w:r>
      <w:r w:rsidRPr="00382917">
        <w:t>called</w:t>
      </w:r>
      <w:r w:rsidR="00EE4FC3">
        <w:t xml:space="preserve"> </w:t>
      </w:r>
      <w:proofErr w:type="gramStart"/>
      <w:r w:rsidRPr="00382917">
        <w:t>Ba</w:t>
      </w:r>
      <w:r w:rsidR="0040329F">
        <w:t>h</w:t>
      </w:r>
      <w:r w:rsidRPr="00382917">
        <w:t>á</w:t>
      </w:r>
      <w:r w:rsidR="009C713D" w:rsidRPr="00382917">
        <w:t>’</w:t>
      </w:r>
      <w:r w:rsidR="0040329F" w:rsidRPr="0040329F">
        <w:t>í</w:t>
      </w:r>
      <w:r w:rsidRPr="00382917">
        <w:t>s,</w:t>
      </w:r>
      <w:r w:rsidR="00EE4FC3">
        <w:t xml:space="preserve"> </w:t>
      </w:r>
      <w:r w:rsidRPr="00382917">
        <w:t>meaning</w:t>
      </w:r>
      <w:r w:rsidR="00EE4FC3">
        <w:t xml:space="preserve"> </w:t>
      </w:r>
      <w:r w:rsidRPr="00382917">
        <w:t>followers</w:t>
      </w:r>
      <w:proofErr w:type="gramEnd"/>
      <w:r w:rsidR="00EE4FC3">
        <w:t xml:space="preserve"> </w:t>
      </w:r>
      <w:r w:rsidRPr="00382917">
        <w:t>of</w:t>
      </w:r>
      <w:r w:rsidR="00EE4FC3">
        <w:t xml:space="preserve"> </w:t>
      </w:r>
      <w:r w:rsidRPr="00382917">
        <w:t>Bahá</w:t>
      </w:r>
      <w:r w:rsidR="009C713D" w:rsidRPr="00382917">
        <w:t>’</w:t>
      </w:r>
      <w:r w:rsidRPr="00382917">
        <w:t>u</w:t>
      </w:r>
      <w:r w:rsidR="009C713D" w:rsidRPr="00382917">
        <w:t>’</w:t>
      </w:r>
      <w:r w:rsidRPr="00382917">
        <w:t>lláh,</w:t>
      </w:r>
      <w:r w:rsidR="00EE4FC3">
        <w:t xml:space="preserve"> </w:t>
      </w:r>
      <w:r w:rsidRPr="00382917">
        <w:t>the</w:t>
      </w:r>
      <w:r w:rsidR="00EE4FC3">
        <w:t xml:space="preserve"> </w:t>
      </w:r>
      <w:r w:rsidR="009C713D" w:rsidRPr="00382917">
        <w:t>“</w:t>
      </w:r>
      <w:r w:rsidRPr="00382917">
        <w:t>Glory</w:t>
      </w:r>
      <w:r w:rsidR="00EE4FC3">
        <w:t xml:space="preserve"> </w:t>
      </w:r>
      <w:r w:rsidRPr="00382917">
        <w:t>of</w:t>
      </w:r>
      <w:r w:rsidR="00EE4FC3">
        <w:t xml:space="preserve"> </w:t>
      </w:r>
      <w:r w:rsidRPr="00382917">
        <w:t>God</w:t>
      </w:r>
      <w:r w:rsidR="009C713D" w:rsidRPr="00382917">
        <w:t>”</w:t>
      </w:r>
      <w:r w:rsidRPr="00382917">
        <w:t>.</w:t>
      </w:r>
    </w:p>
    <w:p w:rsidR="00B568B6" w:rsidRPr="00382917" w:rsidRDefault="00B568B6" w:rsidP="009F0DBA">
      <w:pPr>
        <w:pStyle w:val="Text"/>
      </w:pPr>
      <w:r w:rsidRPr="00382917">
        <w:t>Bahá</w:t>
      </w:r>
      <w:r w:rsidR="009C713D" w:rsidRPr="00382917">
        <w:t>’</w:t>
      </w:r>
      <w:r w:rsidRPr="00382917">
        <w:t>u</w:t>
      </w:r>
      <w:r w:rsidR="009C713D" w:rsidRPr="00382917">
        <w:t>’</w:t>
      </w:r>
      <w:r w:rsidRPr="00382917">
        <w:t>lláh</w:t>
      </w:r>
      <w:r w:rsidR="00EE4FC3">
        <w:t xml:space="preserve"> </w:t>
      </w:r>
      <w:r w:rsidRPr="00382917">
        <w:t>is</w:t>
      </w:r>
      <w:r w:rsidR="00EE4FC3">
        <w:t xml:space="preserve"> </w:t>
      </w:r>
      <w:r w:rsidRPr="00382917">
        <w:t>the</w:t>
      </w:r>
      <w:r w:rsidR="00EE4FC3">
        <w:t xml:space="preserve"> </w:t>
      </w:r>
      <w:r w:rsidRPr="00382917">
        <w:t>Promised</w:t>
      </w:r>
      <w:r w:rsidR="00EE4FC3">
        <w:t xml:space="preserve"> </w:t>
      </w:r>
      <w:r w:rsidRPr="00382917">
        <w:t>One</w:t>
      </w:r>
      <w:r w:rsidR="00EE4FC3">
        <w:t xml:space="preserve"> </w:t>
      </w:r>
      <w:r w:rsidRPr="00382917">
        <w:t>of</w:t>
      </w:r>
      <w:r w:rsidR="00EE4FC3">
        <w:t xml:space="preserve"> </w:t>
      </w:r>
      <w:r w:rsidRPr="00382917">
        <w:t>all</w:t>
      </w:r>
      <w:r w:rsidR="00EE4FC3">
        <w:t xml:space="preserve"> </w:t>
      </w:r>
      <w:r w:rsidRPr="00382917">
        <w:t>religions</w:t>
      </w:r>
      <w:r w:rsidR="00F267E4">
        <w:t>.</w:t>
      </w:r>
      <w:r w:rsidR="00EE4FC3">
        <w:t xml:space="preserve">  </w:t>
      </w:r>
      <w:r w:rsidRPr="00382917">
        <w:t>He</w:t>
      </w:r>
      <w:r w:rsidR="00EE4FC3">
        <w:t xml:space="preserve"> </w:t>
      </w:r>
      <w:r w:rsidRPr="00382917">
        <w:t>fulfilled</w:t>
      </w:r>
      <w:r w:rsidR="00EE4FC3">
        <w:t xml:space="preserve"> </w:t>
      </w:r>
      <w:r w:rsidRPr="00382917">
        <w:t>by</w:t>
      </w:r>
      <w:r w:rsidR="00EE4FC3">
        <w:t xml:space="preserve"> </w:t>
      </w:r>
      <w:r w:rsidRPr="00382917">
        <w:t>His</w:t>
      </w:r>
      <w:r w:rsidR="00EE4FC3">
        <w:t xml:space="preserve"> </w:t>
      </w:r>
      <w:r w:rsidRPr="00382917">
        <w:t>coming</w:t>
      </w:r>
      <w:r w:rsidR="00EE4FC3">
        <w:t xml:space="preserve"> </w:t>
      </w:r>
      <w:r w:rsidRPr="00382917">
        <w:t>the</w:t>
      </w:r>
      <w:r w:rsidR="00EE4FC3">
        <w:t xml:space="preserve"> </w:t>
      </w:r>
      <w:r w:rsidRPr="00382917">
        <w:t>promise</w:t>
      </w:r>
      <w:r w:rsidR="00EE4FC3">
        <w:t xml:space="preserve"> </w:t>
      </w:r>
      <w:r w:rsidRPr="00382917">
        <w:t>given</w:t>
      </w:r>
      <w:r w:rsidR="00EE4FC3">
        <w:t xml:space="preserve"> </w:t>
      </w:r>
      <w:r w:rsidRPr="00382917">
        <w:t>to</w:t>
      </w:r>
      <w:r w:rsidR="00EE4FC3">
        <w:t xml:space="preserve"> </w:t>
      </w:r>
      <w:r w:rsidRPr="00382917">
        <w:t>each</w:t>
      </w:r>
      <w:r w:rsidR="00EE4FC3">
        <w:t xml:space="preserve"> </w:t>
      </w:r>
      <w:r w:rsidRPr="00382917">
        <w:t>of</w:t>
      </w:r>
      <w:r w:rsidR="00EE4FC3">
        <w:t xml:space="preserve"> </w:t>
      </w:r>
      <w:r w:rsidRPr="00382917">
        <w:t>these</w:t>
      </w:r>
      <w:r w:rsidR="00EE4FC3">
        <w:t xml:space="preserve"> </w:t>
      </w:r>
      <w:r w:rsidRPr="00382917">
        <w:t>Faiths</w:t>
      </w:r>
      <w:r w:rsidR="00EE4FC3">
        <w:t xml:space="preserve"> </w:t>
      </w:r>
      <w:r w:rsidRPr="00382917">
        <w:t>in</w:t>
      </w:r>
      <w:r w:rsidR="00EE4FC3">
        <w:t xml:space="preserve"> </w:t>
      </w:r>
      <w:r w:rsidRPr="00382917">
        <w:t>their</w:t>
      </w:r>
      <w:r w:rsidR="00EE4FC3">
        <w:t xml:space="preserve"> </w:t>
      </w:r>
      <w:r w:rsidRPr="00382917">
        <w:t>own</w:t>
      </w:r>
      <w:r w:rsidR="00EE4FC3">
        <w:t xml:space="preserve"> </w:t>
      </w:r>
      <w:r w:rsidRPr="00382917">
        <w:t>sacred</w:t>
      </w:r>
      <w:r w:rsidR="00EE4FC3">
        <w:t xml:space="preserve"> </w:t>
      </w:r>
      <w:r w:rsidRPr="00382917">
        <w:t>Scripture</w:t>
      </w:r>
      <w:r w:rsidR="00C03C91">
        <w:t>:</w:t>
      </w:r>
    </w:p>
    <w:p w:rsidR="00B568B6" w:rsidRPr="00382917" w:rsidRDefault="009C713D" w:rsidP="009F0DBA">
      <w:pPr>
        <w:pStyle w:val="Quote"/>
      </w:pPr>
      <w:r w:rsidRPr="00382917">
        <w:t>“</w:t>
      </w:r>
      <w:r w:rsidR="00B568B6" w:rsidRPr="00382917">
        <w:t>To</w:t>
      </w:r>
      <w:r w:rsidR="00EE4FC3">
        <w:t xml:space="preserve"> </w:t>
      </w:r>
      <w:r w:rsidR="00B568B6" w:rsidRPr="00382917">
        <w:t>Israel</w:t>
      </w:r>
      <w:r w:rsidR="00EE4FC3">
        <w:t xml:space="preserve"> </w:t>
      </w:r>
      <w:r w:rsidR="00B568B6" w:rsidRPr="00382917">
        <w:t>He</w:t>
      </w:r>
      <w:r w:rsidR="00EE4FC3">
        <w:t xml:space="preserve"> </w:t>
      </w:r>
      <w:r w:rsidR="00B568B6" w:rsidRPr="00382917">
        <w:t>was</w:t>
      </w:r>
      <w:r w:rsidR="00EE4FC3">
        <w:t xml:space="preserve"> </w:t>
      </w:r>
      <w:r w:rsidR="00B568B6" w:rsidRPr="00382917">
        <w:t>neither</w:t>
      </w:r>
      <w:r w:rsidR="00EE4FC3">
        <w:t xml:space="preserve"> </w:t>
      </w:r>
      <w:r w:rsidR="00B568B6" w:rsidRPr="00382917">
        <w:t>more</w:t>
      </w:r>
      <w:r w:rsidR="00EE4FC3">
        <w:t xml:space="preserve"> </w:t>
      </w:r>
      <w:r w:rsidR="00B568B6" w:rsidRPr="00382917">
        <w:t>nor</w:t>
      </w:r>
      <w:r w:rsidR="00EE4FC3">
        <w:t xml:space="preserve"> </w:t>
      </w:r>
      <w:r w:rsidR="00B568B6" w:rsidRPr="00382917">
        <w:t>less</w:t>
      </w:r>
      <w:r w:rsidR="00EE4FC3">
        <w:t xml:space="preserve"> </w:t>
      </w:r>
      <w:r w:rsidR="00B568B6" w:rsidRPr="00382917">
        <w:t>than</w:t>
      </w:r>
      <w:r w:rsidR="00EE4FC3">
        <w:t xml:space="preserve"> </w:t>
      </w:r>
      <w:r w:rsidR="00B568B6" w:rsidRPr="00382917">
        <w:t>the</w:t>
      </w:r>
      <w:r w:rsidR="00EE4FC3">
        <w:t xml:space="preserve"> </w:t>
      </w:r>
      <w:r w:rsidR="00B568B6" w:rsidRPr="00382917">
        <w:t>incarnation</w:t>
      </w:r>
      <w:r w:rsidR="00EE4FC3">
        <w:t xml:space="preserve"> </w:t>
      </w:r>
      <w:r w:rsidR="00B568B6" w:rsidRPr="00382917">
        <w:t>of</w:t>
      </w:r>
      <w:r w:rsidR="00EE4FC3">
        <w:t xml:space="preserve"> </w:t>
      </w:r>
      <w:r w:rsidR="00B568B6" w:rsidRPr="00382917">
        <w:t>the</w:t>
      </w:r>
      <w:r w:rsidR="00EE4FC3">
        <w:t xml:space="preserve"> </w:t>
      </w:r>
      <w:r w:rsidRPr="00382917">
        <w:t>‘</w:t>
      </w:r>
      <w:r w:rsidR="00B568B6" w:rsidRPr="00382917">
        <w:t>Everlasting</w:t>
      </w:r>
      <w:r w:rsidR="00EE4FC3">
        <w:t xml:space="preserve"> </w:t>
      </w:r>
      <w:r w:rsidR="00B568B6" w:rsidRPr="00382917">
        <w:t>Father</w:t>
      </w:r>
      <w:r w:rsidRPr="00382917">
        <w:t>’</w:t>
      </w:r>
      <w:r w:rsidR="00B568B6" w:rsidRPr="00382917">
        <w:t>,</w:t>
      </w:r>
      <w:r w:rsidR="00EE4FC3">
        <w:t xml:space="preserve"> </w:t>
      </w:r>
      <w:r w:rsidR="00B568B6" w:rsidRPr="00382917">
        <w:t>the</w:t>
      </w:r>
      <w:r w:rsidR="00EE4FC3">
        <w:t xml:space="preserve"> </w:t>
      </w:r>
      <w:r w:rsidRPr="00382917">
        <w:t>‘</w:t>
      </w:r>
      <w:r w:rsidR="00B568B6" w:rsidRPr="00382917">
        <w:t>Lord</w:t>
      </w:r>
      <w:r w:rsidR="00EE4FC3">
        <w:t xml:space="preserve"> </w:t>
      </w:r>
      <w:r w:rsidR="00B568B6" w:rsidRPr="00382917">
        <w:t>of</w:t>
      </w:r>
      <w:r w:rsidR="00EE4FC3">
        <w:t xml:space="preserve"> </w:t>
      </w:r>
      <w:r w:rsidR="00B568B6" w:rsidRPr="00382917">
        <w:t>Hosts</w:t>
      </w:r>
      <w:r w:rsidRPr="00382917">
        <w:t>’</w:t>
      </w:r>
      <w:r w:rsidR="00EE4FC3">
        <w:t xml:space="preserve"> </w:t>
      </w:r>
      <w:r w:rsidR="00B568B6" w:rsidRPr="00382917">
        <w:t>come</w:t>
      </w:r>
      <w:r w:rsidR="00EE4FC3">
        <w:t xml:space="preserve"> </w:t>
      </w:r>
      <w:r w:rsidR="00B568B6" w:rsidRPr="00382917">
        <w:t>down</w:t>
      </w:r>
      <w:r w:rsidR="00EE4FC3">
        <w:t xml:space="preserve"> </w:t>
      </w:r>
      <w:r w:rsidRPr="00382917">
        <w:t>‘</w:t>
      </w:r>
      <w:r w:rsidR="00B568B6" w:rsidRPr="00382917">
        <w:t>with</w:t>
      </w:r>
      <w:r w:rsidR="00EE4FC3">
        <w:t xml:space="preserve"> </w:t>
      </w:r>
      <w:r w:rsidR="00B568B6" w:rsidRPr="00382917">
        <w:t>ten</w:t>
      </w:r>
      <w:r w:rsidR="00EE4FC3">
        <w:t xml:space="preserve"> </w:t>
      </w:r>
      <w:r w:rsidR="00B568B6" w:rsidRPr="00382917">
        <w:t>thousand</w:t>
      </w:r>
      <w:r w:rsidR="00EE4FC3">
        <w:t xml:space="preserve"> </w:t>
      </w:r>
      <w:r w:rsidR="00B568B6" w:rsidRPr="00382917">
        <w:t>saints</w:t>
      </w:r>
      <w:r w:rsidRPr="00382917">
        <w:t>’</w:t>
      </w:r>
      <w:r w:rsidR="00B568B6" w:rsidRPr="00382917">
        <w:t>;</w:t>
      </w:r>
      <w:r w:rsidR="00EE4FC3">
        <w:t xml:space="preserve"> </w:t>
      </w:r>
      <w:r w:rsidR="00B568B6" w:rsidRPr="00382917">
        <w:t>to</w:t>
      </w:r>
      <w:r w:rsidR="00EE4FC3">
        <w:t xml:space="preserve"> </w:t>
      </w:r>
      <w:r w:rsidR="00B568B6" w:rsidRPr="00382917">
        <w:t>Christendom,</w:t>
      </w:r>
      <w:r w:rsidR="00EE4FC3">
        <w:t xml:space="preserve"> </w:t>
      </w:r>
      <w:r w:rsidR="00B568B6" w:rsidRPr="00382917">
        <w:t>Christ</w:t>
      </w:r>
      <w:r w:rsidR="00EE4FC3">
        <w:t xml:space="preserve"> </w:t>
      </w:r>
      <w:r w:rsidR="00B568B6" w:rsidRPr="00382917">
        <w:t>returned</w:t>
      </w:r>
      <w:r w:rsidR="00EE4FC3">
        <w:t xml:space="preserve"> </w:t>
      </w:r>
      <w:r w:rsidRPr="00382917">
        <w:t>‘</w:t>
      </w:r>
      <w:r w:rsidR="00B568B6" w:rsidRPr="00382917">
        <w:t>in</w:t>
      </w:r>
      <w:r w:rsidR="00EE4FC3">
        <w:t xml:space="preserve"> </w:t>
      </w:r>
      <w:r w:rsidR="00B568B6" w:rsidRPr="00382917">
        <w:t>the</w:t>
      </w:r>
      <w:r w:rsidR="00EE4FC3">
        <w:t xml:space="preserve"> </w:t>
      </w:r>
      <w:r w:rsidR="00B568B6" w:rsidRPr="00382917">
        <w:t>glory</w:t>
      </w:r>
      <w:r w:rsidR="00EE4FC3">
        <w:t xml:space="preserve"> </w:t>
      </w:r>
      <w:r w:rsidR="00B568B6" w:rsidRPr="00382917">
        <w:t>of</w:t>
      </w:r>
      <w:r w:rsidR="00EE4FC3">
        <w:t xml:space="preserve"> </w:t>
      </w:r>
      <w:r w:rsidR="00B568B6" w:rsidRPr="00382917">
        <w:t>the</w:t>
      </w:r>
      <w:r w:rsidR="00EE4FC3">
        <w:t xml:space="preserve"> </w:t>
      </w:r>
      <w:r w:rsidR="00B568B6" w:rsidRPr="00382917">
        <w:t>Father</w:t>
      </w:r>
      <w:r w:rsidRPr="00382917">
        <w:t>’</w:t>
      </w:r>
      <w:r w:rsidR="00B568B6" w:rsidRPr="00382917">
        <w:t>;</w:t>
      </w:r>
      <w:r w:rsidR="00EE4FC3">
        <w:t xml:space="preserve"> </w:t>
      </w:r>
      <w:r w:rsidR="00B568B6" w:rsidRPr="00382917">
        <w:t>to</w:t>
      </w:r>
      <w:r w:rsidR="00EE4FC3">
        <w:t xml:space="preserve"> </w:t>
      </w:r>
      <w:proofErr w:type="spellStart"/>
      <w:r w:rsidR="0040329F" w:rsidRPr="0040329F">
        <w:rPr>
          <w:u w:val="single"/>
        </w:rPr>
        <w:t>Sh</w:t>
      </w:r>
      <w:r w:rsidR="0040329F" w:rsidRPr="00382917">
        <w:t>í‘ah</w:t>
      </w:r>
      <w:proofErr w:type="spellEnd"/>
      <w:r w:rsidR="00EE4FC3">
        <w:t xml:space="preserve"> </w:t>
      </w:r>
      <w:r w:rsidR="00B568B6" w:rsidRPr="00382917">
        <w:t>Isl</w:t>
      </w:r>
      <w:r w:rsidR="0040329F" w:rsidRPr="0040329F">
        <w:t>á</w:t>
      </w:r>
      <w:r w:rsidR="00B568B6" w:rsidRPr="00382917">
        <w:t>m,</w:t>
      </w:r>
      <w:r w:rsidR="00EE4FC3">
        <w:t xml:space="preserve"> </w:t>
      </w:r>
      <w:r w:rsidR="00B568B6" w:rsidRPr="00382917">
        <w:t>the</w:t>
      </w:r>
      <w:r w:rsidR="00EE4FC3">
        <w:t xml:space="preserve"> </w:t>
      </w:r>
      <w:r w:rsidR="00B568B6" w:rsidRPr="00382917">
        <w:t>return</w:t>
      </w:r>
      <w:r w:rsidR="00EE4FC3">
        <w:t xml:space="preserve"> </w:t>
      </w:r>
      <w:r w:rsidR="00B568B6" w:rsidRPr="00382917">
        <w:t>of</w:t>
      </w:r>
      <w:r w:rsidR="00EE4FC3">
        <w:t xml:space="preserve"> </w:t>
      </w:r>
      <w:r w:rsidR="00B568B6" w:rsidRPr="00382917">
        <w:t>the</w:t>
      </w:r>
      <w:r w:rsidR="00EE4FC3">
        <w:t xml:space="preserve"> </w:t>
      </w:r>
      <w:r w:rsidR="00B568B6" w:rsidRPr="00382917">
        <w:t>Imám</w:t>
      </w:r>
      <w:r w:rsidR="00EE4FC3">
        <w:t xml:space="preserve"> </w:t>
      </w:r>
      <w:r w:rsidR="00964C11" w:rsidRPr="00382917">
        <w:t>Ḥusayn</w:t>
      </w:r>
      <w:r w:rsidR="00B568B6" w:rsidRPr="00382917">
        <w:t>;</w:t>
      </w:r>
      <w:r w:rsidR="00EE4FC3">
        <w:t xml:space="preserve"> </w:t>
      </w:r>
      <w:r w:rsidR="00B568B6" w:rsidRPr="00382917">
        <w:t>to</w:t>
      </w:r>
      <w:r w:rsidR="00EE4FC3">
        <w:t xml:space="preserve"> </w:t>
      </w:r>
      <w:r w:rsidR="00B568B6" w:rsidRPr="00382917">
        <w:t>Sunní</w:t>
      </w:r>
      <w:r w:rsidR="00EE4FC3">
        <w:t xml:space="preserve"> </w:t>
      </w:r>
      <w:r w:rsidR="0040329F" w:rsidRPr="00382917">
        <w:t>Isl</w:t>
      </w:r>
      <w:r w:rsidR="0040329F" w:rsidRPr="0040329F">
        <w:t>á</w:t>
      </w:r>
      <w:r w:rsidR="0040329F" w:rsidRPr="00382917">
        <w:t>m</w:t>
      </w:r>
      <w:r w:rsidR="00B568B6" w:rsidRPr="00382917">
        <w:t>,</w:t>
      </w:r>
      <w:r w:rsidR="00EE4FC3">
        <w:t xml:space="preserve"> </w:t>
      </w:r>
      <w:r w:rsidR="00B568B6" w:rsidRPr="00382917">
        <w:t>the</w:t>
      </w:r>
      <w:r w:rsidR="00EE4FC3">
        <w:t xml:space="preserve"> </w:t>
      </w:r>
      <w:r w:rsidR="00B568B6" w:rsidRPr="00382917">
        <w:t>descent</w:t>
      </w:r>
      <w:r w:rsidR="00EE4FC3">
        <w:t xml:space="preserve"> </w:t>
      </w:r>
      <w:r w:rsidR="00B568B6" w:rsidRPr="00382917">
        <w:t>of</w:t>
      </w:r>
      <w:r w:rsidR="00EE4FC3">
        <w:t xml:space="preserve"> </w:t>
      </w:r>
      <w:r w:rsidR="00B568B6" w:rsidRPr="00382917">
        <w:t>the</w:t>
      </w:r>
      <w:r w:rsidR="00EE4FC3">
        <w:t xml:space="preserve"> </w:t>
      </w:r>
      <w:r w:rsidRPr="00382917">
        <w:t>‘</w:t>
      </w:r>
      <w:r w:rsidR="00B568B6" w:rsidRPr="00382917">
        <w:t>Spirit</w:t>
      </w:r>
      <w:r w:rsidR="00EE4FC3">
        <w:t xml:space="preserve"> </w:t>
      </w:r>
      <w:r w:rsidR="00B568B6" w:rsidRPr="00382917">
        <w:t>of</w:t>
      </w:r>
      <w:r w:rsidR="00EE4FC3">
        <w:t xml:space="preserve"> </w:t>
      </w:r>
      <w:r w:rsidR="00B568B6" w:rsidRPr="00382917">
        <w:t>God</w:t>
      </w:r>
      <w:r w:rsidRPr="00382917">
        <w:t>’</w:t>
      </w:r>
      <w:r w:rsidR="00EE4FC3">
        <w:t xml:space="preserve"> </w:t>
      </w:r>
      <w:r w:rsidR="00B568B6" w:rsidRPr="00382917">
        <w:t>(Jesus</w:t>
      </w:r>
      <w:r w:rsidR="00EE4FC3">
        <w:t xml:space="preserve"> </w:t>
      </w:r>
      <w:r w:rsidR="00B568B6" w:rsidRPr="00382917">
        <w:t>Christ);</w:t>
      </w:r>
      <w:r w:rsidR="00EE4FC3">
        <w:t xml:space="preserve"> </w:t>
      </w:r>
      <w:r w:rsidR="00B568B6" w:rsidRPr="00382917">
        <w:t>to</w:t>
      </w:r>
      <w:r w:rsidR="00EE4FC3">
        <w:t xml:space="preserve"> </w:t>
      </w:r>
      <w:r w:rsidR="00B568B6" w:rsidRPr="00382917">
        <w:t>the</w:t>
      </w:r>
      <w:r w:rsidR="00EE4FC3">
        <w:t xml:space="preserve"> </w:t>
      </w:r>
      <w:r w:rsidR="00B568B6" w:rsidRPr="00382917">
        <w:t>Zoroastrians,</w:t>
      </w:r>
      <w:r w:rsidR="00EE4FC3">
        <w:t xml:space="preserve"> </w:t>
      </w:r>
      <w:r w:rsidR="00B568B6" w:rsidRPr="00382917">
        <w:t>the</w:t>
      </w:r>
      <w:r w:rsidR="00EE4FC3">
        <w:t xml:space="preserve"> </w:t>
      </w:r>
      <w:r w:rsidR="00B568B6" w:rsidRPr="00382917">
        <w:t>promised</w:t>
      </w:r>
      <w:r w:rsidR="00EE4FC3">
        <w:t xml:space="preserve"> </w:t>
      </w:r>
      <w:r w:rsidR="004F6339" w:rsidRPr="004F6339">
        <w:rPr>
          <w:u w:val="single"/>
        </w:rPr>
        <w:t>Sh</w:t>
      </w:r>
      <w:r w:rsidR="004F6339" w:rsidRPr="00382917">
        <w:t>áh</w:t>
      </w:r>
      <w:r w:rsidR="00B568B6" w:rsidRPr="00382917">
        <w:t>-Bahrám;</w:t>
      </w:r>
      <w:r w:rsidR="00EE4FC3">
        <w:t xml:space="preserve"> </w:t>
      </w:r>
      <w:r w:rsidR="00B568B6" w:rsidRPr="00382917">
        <w:t>to</w:t>
      </w:r>
      <w:r w:rsidR="00EE4FC3">
        <w:t xml:space="preserve"> </w:t>
      </w:r>
      <w:r w:rsidR="00B568B6" w:rsidRPr="00382917">
        <w:t>the</w:t>
      </w:r>
      <w:r w:rsidR="00EE4FC3">
        <w:t xml:space="preserve"> </w:t>
      </w:r>
      <w:r w:rsidR="00B568B6" w:rsidRPr="00382917">
        <w:t>Hindus,</w:t>
      </w:r>
      <w:r w:rsidR="00EE4FC3">
        <w:t xml:space="preserve"> </w:t>
      </w:r>
      <w:r w:rsidR="00B568B6" w:rsidRPr="00382917">
        <w:t>the</w:t>
      </w:r>
      <w:r w:rsidR="00EE4FC3">
        <w:t xml:space="preserve"> </w:t>
      </w:r>
      <w:r w:rsidR="00B568B6" w:rsidRPr="00382917">
        <w:t>reincarnation</w:t>
      </w:r>
      <w:r w:rsidR="00EE4FC3">
        <w:t xml:space="preserve"> </w:t>
      </w:r>
      <w:r w:rsidR="00B568B6" w:rsidRPr="00382917">
        <w:t>of</w:t>
      </w:r>
      <w:r w:rsidR="00EE4FC3">
        <w:t xml:space="preserve"> </w:t>
      </w:r>
      <w:r w:rsidR="00B568B6" w:rsidRPr="00382917">
        <w:t>Krishna;</w:t>
      </w:r>
      <w:r w:rsidR="00EE4FC3">
        <w:t xml:space="preserve"> </w:t>
      </w:r>
      <w:r w:rsidR="00B568B6" w:rsidRPr="00382917">
        <w:t>to</w:t>
      </w:r>
      <w:r w:rsidR="00EE4FC3">
        <w:t xml:space="preserve"> </w:t>
      </w:r>
      <w:r w:rsidR="00B568B6" w:rsidRPr="00382917">
        <w:t>the</w:t>
      </w:r>
      <w:r w:rsidR="00EE4FC3">
        <w:t xml:space="preserve"> </w:t>
      </w:r>
      <w:r w:rsidR="00B568B6" w:rsidRPr="00382917">
        <w:t>Buddhists,</w:t>
      </w:r>
      <w:r w:rsidR="00EE4FC3">
        <w:t xml:space="preserve"> </w:t>
      </w:r>
      <w:r w:rsidR="00B568B6" w:rsidRPr="00382917">
        <w:t>the</w:t>
      </w:r>
      <w:r w:rsidR="00EE4FC3">
        <w:t xml:space="preserve"> </w:t>
      </w:r>
      <w:r w:rsidR="00B568B6" w:rsidRPr="00382917">
        <w:t>fifth</w:t>
      </w:r>
      <w:r w:rsidR="00EE4FC3">
        <w:t xml:space="preserve"> </w:t>
      </w:r>
      <w:r w:rsidR="00B568B6" w:rsidRPr="00382917">
        <w:t>Buddha.</w:t>
      </w:r>
      <w:r w:rsidRPr="00382917">
        <w:t>”</w:t>
      </w:r>
      <w:r w:rsidR="009F0DBA">
        <w:rPr>
          <w:rStyle w:val="FootnoteReference"/>
        </w:rPr>
        <w:footnoteReference w:id="398"/>
      </w:r>
    </w:p>
    <w:p w:rsidR="00B568B6" w:rsidRPr="00382917" w:rsidRDefault="00B568B6" w:rsidP="00B568B6">
      <w:pPr>
        <w:pStyle w:val="Text"/>
      </w:pPr>
      <w:r w:rsidRPr="00382917">
        <w:t>Isaiah</w:t>
      </w:r>
      <w:r w:rsidR="00EE4FC3">
        <w:t xml:space="preserve"> </w:t>
      </w:r>
      <w:r w:rsidRPr="00382917">
        <w:t>referred</w:t>
      </w:r>
      <w:r w:rsidR="00EE4FC3">
        <w:t xml:space="preserve"> </w:t>
      </w:r>
      <w:r w:rsidRPr="00382917">
        <w:t>to</w:t>
      </w:r>
      <w:r w:rsidR="00EE4FC3">
        <w:t xml:space="preserve"> </w:t>
      </w:r>
      <w:r w:rsidRPr="00382917">
        <w:t>Bahá</w:t>
      </w:r>
      <w:r w:rsidR="009C713D" w:rsidRPr="00382917">
        <w:t>’</w:t>
      </w:r>
      <w:r w:rsidRPr="00382917">
        <w:t>u</w:t>
      </w:r>
      <w:r w:rsidR="009C713D" w:rsidRPr="00382917">
        <w:t>’</w:t>
      </w:r>
      <w:r w:rsidRPr="00382917">
        <w:t>lláh</w:t>
      </w:r>
      <w:r w:rsidR="00EE4FC3">
        <w:t xml:space="preserve"> </w:t>
      </w:r>
      <w:r w:rsidRPr="00382917">
        <w:t>as</w:t>
      </w:r>
      <w:r w:rsidR="00C03C91">
        <w:t>:</w:t>
      </w:r>
      <w:r w:rsidR="00EE4FC3">
        <w:t xml:space="preserve">  </w:t>
      </w:r>
      <w:r w:rsidRPr="00382917">
        <w:t>The</w:t>
      </w:r>
      <w:r w:rsidR="00EE4FC3">
        <w:t xml:space="preserve"> </w:t>
      </w:r>
      <w:r w:rsidR="009C713D" w:rsidRPr="00382917">
        <w:t>“</w:t>
      </w:r>
      <w:r w:rsidRPr="00382917">
        <w:t>Glory</w:t>
      </w:r>
      <w:r w:rsidR="00EE4FC3">
        <w:t xml:space="preserve"> </w:t>
      </w:r>
      <w:r w:rsidRPr="00382917">
        <w:t>of</w:t>
      </w:r>
      <w:r w:rsidR="00EE4FC3">
        <w:t xml:space="preserve"> </w:t>
      </w:r>
      <w:r w:rsidRPr="00382917">
        <w:t>the</w:t>
      </w:r>
      <w:r w:rsidR="00EE4FC3">
        <w:t xml:space="preserve"> </w:t>
      </w:r>
      <w:r w:rsidRPr="00382917">
        <w:t>Lord</w:t>
      </w:r>
      <w:r w:rsidR="009C713D" w:rsidRPr="00382917">
        <w:t>”</w:t>
      </w:r>
      <w:r w:rsidRPr="00382917">
        <w:t>,</w:t>
      </w:r>
      <w:r w:rsidR="00EE4FC3">
        <w:t xml:space="preserve"> </w:t>
      </w:r>
      <w:r w:rsidRPr="00382917">
        <w:t>the</w:t>
      </w:r>
      <w:r w:rsidR="00EE4FC3">
        <w:t xml:space="preserve"> </w:t>
      </w:r>
      <w:r w:rsidR="009C713D" w:rsidRPr="00382917">
        <w:t>“</w:t>
      </w:r>
      <w:r w:rsidRPr="00382917">
        <w:t>Everlasting</w:t>
      </w:r>
      <w:r w:rsidR="00EE4FC3">
        <w:t xml:space="preserve"> </w:t>
      </w:r>
      <w:r w:rsidRPr="00382917">
        <w:t>Father</w:t>
      </w:r>
      <w:r w:rsidR="009C713D" w:rsidRPr="00382917">
        <w:t>”</w:t>
      </w:r>
      <w:r w:rsidRPr="00382917">
        <w:t>,</w:t>
      </w:r>
      <w:r w:rsidR="00EE4FC3">
        <w:t xml:space="preserve"> </w:t>
      </w:r>
      <w:r w:rsidRPr="00382917">
        <w:t>the</w:t>
      </w:r>
      <w:r w:rsidR="00EE4FC3">
        <w:t xml:space="preserve"> </w:t>
      </w:r>
      <w:r w:rsidR="009C713D" w:rsidRPr="00382917">
        <w:t>“</w:t>
      </w:r>
      <w:r w:rsidRPr="00382917">
        <w:t>Prince</w:t>
      </w:r>
      <w:r w:rsidR="00EE4FC3">
        <w:t xml:space="preserve"> </w:t>
      </w:r>
      <w:r w:rsidRPr="00382917">
        <w:t>of</w:t>
      </w:r>
      <w:r w:rsidR="00EE4FC3">
        <w:t xml:space="preserve"> </w:t>
      </w:r>
      <w:r w:rsidRPr="00382917">
        <w:t>Peace</w:t>
      </w:r>
      <w:r w:rsidR="009C713D" w:rsidRPr="00382917">
        <w:t>”</w:t>
      </w:r>
      <w:r w:rsidRPr="00382917">
        <w:t>,</w:t>
      </w:r>
      <w:r w:rsidR="00EE4FC3">
        <w:t xml:space="preserve"> </w:t>
      </w:r>
      <w:r w:rsidRPr="00382917">
        <w:t>the</w:t>
      </w:r>
      <w:r w:rsidR="00EE4FC3">
        <w:t xml:space="preserve"> </w:t>
      </w:r>
      <w:r w:rsidR="009C713D" w:rsidRPr="00382917">
        <w:t>“</w:t>
      </w:r>
      <w:r w:rsidRPr="00382917">
        <w:t>Rod</w:t>
      </w:r>
      <w:r w:rsidR="00EE4FC3">
        <w:t xml:space="preserve"> </w:t>
      </w:r>
      <w:r w:rsidRPr="00382917">
        <w:t>come</w:t>
      </w:r>
      <w:r w:rsidR="00EE4FC3">
        <w:t xml:space="preserve"> </w:t>
      </w:r>
      <w:r w:rsidRPr="00382917">
        <w:t>forth</w:t>
      </w:r>
      <w:r w:rsidR="00EE4FC3">
        <w:t xml:space="preserve"> </w:t>
      </w:r>
      <w:r w:rsidRPr="00382917">
        <w:t>out</w:t>
      </w:r>
      <w:r w:rsidR="00EE4FC3">
        <w:t xml:space="preserve"> </w:t>
      </w:r>
      <w:r w:rsidRPr="00382917">
        <w:t>of</w:t>
      </w:r>
      <w:r w:rsidR="00EE4FC3">
        <w:t xml:space="preserve"> </w:t>
      </w:r>
      <w:r w:rsidRPr="00382917">
        <w:t>the</w:t>
      </w:r>
      <w:r w:rsidR="00EE4FC3">
        <w:t xml:space="preserve"> </w:t>
      </w:r>
      <w:r w:rsidRPr="00382917">
        <w:t>stem</w:t>
      </w:r>
      <w:r w:rsidR="00EE4FC3">
        <w:t xml:space="preserve"> </w:t>
      </w:r>
      <w:r w:rsidRPr="00382917">
        <w:t>of</w:t>
      </w:r>
      <w:r w:rsidR="00EE4FC3">
        <w:t xml:space="preserve"> </w:t>
      </w:r>
      <w:r w:rsidRPr="00382917">
        <w:t>Jesse</w:t>
      </w:r>
      <w:r w:rsidR="009C713D" w:rsidRPr="00382917">
        <w:t>”</w:t>
      </w:r>
      <w:r w:rsidRPr="00382917">
        <w:t>,</w:t>
      </w:r>
      <w:r w:rsidR="00EE4FC3">
        <w:t xml:space="preserve"> </w:t>
      </w:r>
      <w:proofErr w:type="gramStart"/>
      <w:r w:rsidRPr="00382917">
        <w:t>Who</w:t>
      </w:r>
      <w:proofErr w:type="gramEnd"/>
      <w:r w:rsidR="00EE4FC3">
        <w:t xml:space="preserve"> </w:t>
      </w:r>
      <w:r w:rsidR="009C713D" w:rsidRPr="00382917">
        <w:t>“</w:t>
      </w:r>
      <w:r w:rsidRPr="00382917">
        <w:t>shall</w:t>
      </w:r>
      <w:r w:rsidR="00EE4FC3">
        <w:t xml:space="preserve"> </w:t>
      </w:r>
      <w:r w:rsidRPr="00382917">
        <w:t>judge</w:t>
      </w:r>
      <w:r w:rsidR="00EE4FC3">
        <w:t xml:space="preserve"> </w:t>
      </w:r>
      <w:r w:rsidRPr="00382917">
        <w:t>among</w:t>
      </w:r>
      <w:r w:rsidR="00EE4FC3">
        <w:t xml:space="preserve"> </w:t>
      </w:r>
      <w:r w:rsidRPr="00382917">
        <w:t>the</w:t>
      </w:r>
      <w:r w:rsidR="00EE4FC3">
        <w:t xml:space="preserve"> </w:t>
      </w:r>
      <w:r w:rsidRPr="00382917">
        <w:t>nations</w:t>
      </w:r>
      <w:r w:rsidR="009C713D" w:rsidRPr="00382917">
        <w:t>”</w:t>
      </w:r>
      <w:r w:rsidRPr="00382917">
        <w:t>,</w:t>
      </w:r>
      <w:r w:rsidR="00EE4FC3">
        <w:t xml:space="preserve"> </w:t>
      </w:r>
      <w:r w:rsidRPr="00382917">
        <w:t>Who</w:t>
      </w:r>
      <w:r w:rsidR="00EE4FC3">
        <w:t xml:space="preserve"> </w:t>
      </w:r>
      <w:r w:rsidR="009C713D" w:rsidRPr="00382917">
        <w:t>“</w:t>
      </w:r>
      <w:r w:rsidRPr="00382917">
        <w:t>shall</w:t>
      </w:r>
      <w:r w:rsidR="00EE4FC3">
        <w:t xml:space="preserve"> </w:t>
      </w:r>
      <w:r w:rsidRPr="00382917">
        <w:t>assemble</w:t>
      </w:r>
      <w:r w:rsidR="00EE4FC3">
        <w:t xml:space="preserve"> </w:t>
      </w:r>
      <w:r w:rsidRPr="00382917">
        <w:t>the</w:t>
      </w:r>
      <w:r w:rsidR="00EE4FC3">
        <w:t xml:space="preserve"> </w:t>
      </w:r>
      <w:r w:rsidRPr="00382917">
        <w:t>outcasts</w:t>
      </w:r>
      <w:r w:rsidR="00EE4FC3">
        <w:t xml:space="preserve"> </w:t>
      </w:r>
      <w:r w:rsidRPr="00382917">
        <w:t>of</w:t>
      </w:r>
      <w:r w:rsidR="00EE4FC3">
        <w:t xml:space="preserve"> </w:t>
      </w:r>
      <w:r w:rsidRPr="00382917">
        <w:t>Israel</w:t>
      </w:r>
      <w:r w:rsidR="009C713D" w:rsidRPr="00382917">
        <w:t>”</w:t>
      </w:r>
      <w:r w:rsidRPr="00382917">
        <w:t>.</w:t>
      </w:r>
    </w:p>
    <w:p w:rsidR="00B568B6" w:rsidRPr="00382917" w:rsidRDefault="00B568B6">
      <w:pPr>
        <w:widowControl/>
        <w:kinsoku/>
        <w:overflowPunct/>
        <w:textAlignment w:val="auto"/>
      </w:pPr>
      <w:r w:rsidRPr="00382917">
        <w:br w:type="page"/>
      </w:r>
    </w:p>
    <w:p w:rsidR="00B568B6" w:rsidRPr="00382917" w:rsidRDefault="00B568B6" w:rsidP="009F0DBA">
      <w:pPr>
        <w:pStyle w:val="Text"/>
      </w:pPr>
      <w:r w:rsidRPr="00382917">
        <w:t>David</w:t>
      </w:r>
      <w:r w:rsidR="00EE4FC3">
        <w:t xml:space="preserve"> </w:t>
      </w:r>
      <w:r w:rsidRPr="00382917">
        <w:t>sang</w:t>
      </w:r>
      <w:r w:rsidR="00EE4FC3">
        <w:t xml:space="preserve"> </w:t>
      </w:r>
      <w:r w:rsidRPr="00382917">
        <w:t>of</w:t>
      </w:r>
      <w:r w:rsidR="00EE4FC3">
        <w:t xml:space="preserve"> </w:t>
      </w:r>
      <w:r w:rsidRPr="00382917">
        <w:t>Bahá</w:t>
      </w:r>
      <w:r w:rsidR="009C713D" w:rsidRPr="00382917">
        <w:t>’</w:t>
      </w:r>
      <w:r w:rsidRPr="00382917">
        <w:t>u</w:t>
      </w:r>
      <w:r w:rsidR="009C713D" w:rsidRPr="00382917">
        <w:t>’</w:t>
      </w:r>
      <w:r w:rsidRPr="00382917">
        <w:t>lláh</w:t>
      </w:r>
      <w:r w:rsidR="00EE4FC3">
        <w:t xml:space="preserve"> </w:t>
      </w:r>
      <w:r w:rsidRPr="00382917">
        <w:t>as</w:t>
      </w:r>
      <w:r w:rsidR="00EE4FC3">
        <w:t xml:space="preserve"> </w:t>
      </w:r>
      <w:r w:rsidRPr="00382917">
        <w:t>the</w:t>
      </w:r>
      <w:r w:rsidR="00EE4FC3">
        <w:t xml:space="preserve"> </w:t>
      </w:r>
      <w:r w:rsidR="009C713D" w:rsidRPr="00382917">
        <w:t>“</w:t>
      </w:r>
      <w:r w:rsidRPr="00382917">
        <w:t>Lord</w:t>
      </w:r>
      <w:r w:rsidR="00EE4FC3">
        <w:t xml:space="preserve"> </w:t>
      </w:r>
      <w:r w:rsidRPr="00382917">
        <w:t>of</w:t>
      </w:r>
      <w:r w:rsidR="00EE4FC3">
        <w:t xml:space="preserve"> </w:t>
      </w:r>
      <w:r w:rsidRPr="00382917">
        <w:t>Hosts</w:t>
      </w:r>
      <w:r w:rsidR="009C713D" w:rsidRPr="00382917">
        <w:t>”</w:t>
      </w:r>
      <w:r w:rsidR="00EE4FC3">
        <w:t xml:space="preserve"> </w:t>
      </w:r>
      <w:r w:rsidRPr="00382917">
        <w:t>and</w:t>
      </w:r>
      <w:r w:rsidR="00EE4FC3">
        <w:t xml:space="preserve"> </w:t>
      </w:r>
      <w:r w:rsidRPr="00382917">
        <w:t>the</w:t>
      </w:r>
      <w:r w:rsidR="00EE4FC3">
        <w:t xml:space="preserve"> </w:t>
      </w:r>
      <w:r w:rsidR="009C713D" w:rsidRPr="00382917">
        <w:t>“</w:t>
      </w:r>
      <w:r w:rsidRPr="00382917">
        <w:t>King</w:t>
      </w:r>
      <w:r w:rsidR="00EE4FC3">
        <w:t xml:space="preserve"> </w:t>
      </w:r>
      <w:r w:rsidRPr="00382917">
        <w:t>of</w:t>
      </w:r>
      <w:r w:rsidR="00EE4FC3">
        <w:t xml:space="preserve"> </w:t>
      </w:r>
      <w:r w:rsidRPr="00382917">
        <w:t>Glory</w:t>
      </w:r>
      <w:r w:rsidR="009C713D" w:rsidRPr="00382917">
        <w:t>”</w:t>
      </w:r>
      <w:r w:rsidRPr="00382917">
        <w:t>.</w:t>
      </w:r>
    </w:p>
    <w:p w:rsidR="00B568B6" w:rsidRPr="00382917" w:rsidRDefault="00B568B6" w:rsidP="00B568B6">
      <w:r w:rsidRPr="00382917">
        <w:t>Daniel</w:t>
      </w:r>
      <w:r w:rsidR="00EE4FC3">
        <w:t xml:space="preserve"> </w:t>
      </w:r>
      <w:r w:rsidRPr="00382917">
        <w:t>proclaimed</w:t>
      </w:r>
      <w:r w:rsidR="00EE4FC3">
        <w:t xml:space="preserve"> </w:t>
      </w:r>
      <w:r w:rsidRPr="00382917">
        <w:t>His</w:t>
      </w:r>
      <w:r w:rsidR="00EE4FC3">
        <w:t xml:space="preserve"> </w:t>
      </w:r>
      <w:r w:rsidRPr="00382917">
        <w:t>appearance</w:t>
      </w:r>
      <w:r w:rsidR="00EE4FC3">
        <w:t xml:space="preserve"> </w:t>
      </w:r>
      <w:r w:rsidRPr="00382917">
        <w:t>as</w:t>
      </w:r>
      <w:r w:rsidR="00EE4FC3">
        <w:t xml:space="preserve"> </w:t>
      </w:r>
      <w:r w:rsidRPr="00382917">
        <w:t>the</w:t>
      </w:r>
      <w:r w:rsidR="00EE4FC3">
        <w:t xml:space="preserve"> </w:t>
      </w:r>
      <w:r w:rsidR="009C713D" w:rsidRPr="00382917">
        <w:t>“</w:t>
      </w:r>
      <w:r w:rsidRPr="00382917">
        <w:t>Day</w:t>
      </w:r>
      <w:r w:rsidR="00EE4FC3">
        <w:t xml:space="preserve"> </w:t>
      </w:r>
      <w:r w:rsidRPr="00382917">
        <w:t>of</w:t>
      </w:r>
      <w:r w:rsidR="00EE4FC3">
        <w:t xml:space="preserve"> </w:t>
      </w:r>
      <w:r w:rsidRPr="00382917">
        <w:t>the</w:t>
      </w:r>
      <w:r w:rsidR="00EE4FC3">
        <w:t xml:space="preserve"> </w:t>
      </w:r>
      <w:r w:rsidRPr="00382917">
        <w:t>Lord</w:t>
      </w:r>
      <w:r w:rsidR="009C713D" w:rsidRPr="00382917">
        <w:t>”</w:t>
      </w:r>
      <w:r w:rsidR="00F267E4">
        <w:t>.</w:t>
      </w:r>
      <w:r w:rsidR="00EE4FC3">
        <w:t xml:space="preserve">  </w:t>
      </w:r>
      <w:r w:rsidRPr="00382917">
        <w:t>Malachi</w:t>
      </w:r>
      <w:r w:rsidR="00EE4FC3">
        <w:t xml:space="preserve"> </w:t>
      </w:r>
      <w:r w:rsidRPr="00382917">
        <w:t>described</w:t>
      </w:r>
      <w:r w:rsidR="00EE4FC3">
        <w:t xml:space="preserve"> </w:t>
      </w:r>
      <w:r w:rsidRPr="00382917">
        <w:t>it</w:t>
      </w:r>
      <w:r w:rsidR="00EE4FC3">
        <w:t xml:space="preserve"> </w:t>
      </w:r>
      <w:r w:rsidRPr="00382917">
        <w:t>as</w:t>
      </w:r>
      <w:r w:rsidR="00EE4FC3">
        <w:t xml:space="preserve"> </w:t>
      </w:r>
      <w:r w:rsidR="009C713D" w:rsidRPr="00382917">
        <w:t>“</w:t>
      </w:r>
      <w:r w:rsidRPr="00382917">
        <w:t>the</w:t>
      </w:r>
      <w:r w:rsidR="00EE4FC3">
        <w:t xml:space="preserve"> </w:t>
      </w:r>
      <w:r w:rsidRPr="00382917">
        <w:t>great</w:t>
      </w:r>
      <w:r w:rsidR="00EE4FC3">
        <w:t xml:space="preserve"> </w:t>
      </w:r>
      <w:r w:rsidRPr="00382917">
        <w:t>and</w:t>
      </w:r>
      <w:r w:rsidR="00EE4FC3">
        <w:t xml:space="preserve"> </w:t>
      </w:r>
      <w:r w:rsidRPr="00382917">
        <w:t>dreadful</w:t>
      </w:r>
      <w:r w:rsidR="00EE4FC3">
        <w:t xml:space="preserve"> </w:t>
      </w:r>
      <w:r w:rsidRPr="00382917">
        <w:t>day</w:t>
      </w:r>
      <w:r w:rsidR="00EE4FC3">
        <w:t xml:space="preserve"> </w:t>
      </w:r>
      <w:r w:rsidRPr="00382917">
        <w:t>of</w:t>
      </w:r>
      <w:r w:rsidR="00EE4FC3">
        <w:t xml:space="preserve"> </w:t>
      </w:r>
      <w:r w:rsidRPr="00382917">
        <w:t>the</w:t>
      </w:r>
      <w:r w:rsidR="00EE4FC3">
        <w:t xml:space="preserve"> </w:t>
      </w:r>
      <w:r w:rsidRPr="00382917">
        <w:t>Lord</w:t>
      </w:r>
      <w:r w:rsidR="009C713D" w:rsidRPr="00382917">
        <w:t>”</w:t>
      </w:r>
      <w:r w:rsidR="00EE4FC3">
        <w:t xml:space="preserve"> </w:t>
      </w:r>
      <w:r w:rsidRPr="00382917">
        <w:t>when</w:t>
      </w:r>
      <w:r w:rsidR="00EE4FC3">
        <w:t xml:space="preserve"> </w:t>
      </w:r>
      <w:r w:rsidR="009C713D" w:rsidRPr="00382917">
        <w:t>“</w:t>
      </w:r>
      <w:r w:rsidRPr="00382917">
        <w:t>the</w:t>
      </w:r>
      <w:r w:rsidR="00EE4FC3">
        <w:t xml:space="preserve"> </w:t>
      </w:r>
      <w:r w:rsidRPr="00382917">
        <w:t>Sun</w:t>
      </w:r>
      <w:r w:rsidR="00EE4FC3">
        <w:t xml:space="preserve"> </w:t>
      </w:r>
      <w:r w:rsidRPr="00382917">
        <w:t>of</w:t>
      </w:r>
      <w:r w:rsidR="00EE4FC3">
        <w:t xml:space="preserve"> </w:t>
      </w:r>
      <w:r w:rsidRPr="00382917">
        <w:t>Righteousness</w:t>
      </w:r>
      <w:r w:rsidR="009C713D" w:rsidRPr="00382917">
        <w:t>”</w:t>
      </w:r>
      <w:r w:rsidR="00EE4FC3">
        <w:t xml:space="preserve"> </w:t>
      </w:r>
      <w:r w:rsidRPr="00382917">
        <w:t>will</w:t>
      </w:r>
      <w:r w:rsidR="00EE4FC3">
        <w:t xml:space="preserve"> </w:t>
      </w:r>
      <w:r w:rsidR="009C713D" w:rsidRPr="00382917">
        <w:t>“</w:t>
      </w:r>
      <w:r w:rsidRPr="00382917">
        <w:t>arise,</w:t>
      </w:r>
      <w:r w:rsidR="00EE4FC3">
        <w:t xml:space="preserve"> </w:t>
      </w:r>
      <w:r w:rsidRPr="00382917">
        <w:t>with</w:t>
      </w:r>
      <w:r w:rsidR="00EE4FC3">
        <w:t xml:space="preserve"> </w:t>
      </w:r>
      <w:r w:rsidRPr="00382917">
        <w:t>healing</w:t>
      </w:r>
      <w:r w:rsidR="00EE4FC3">
        <w:t xml:space="preserve"> </w:t>
      </w:r>
      <w:r w:rsidRPr="00382917">
        <w:t>in</w:t>
      </w:r>
      <w:r w:rsidR="00EE4FC3">
        <w:t xml:space="preserve"> </w:t>
      </w:r>
      <w:r w:rsidRPr="00382917">
        <w:t>His</w:t>
      </w:r>
      <w:r w:rsidR="00EE4FC3">
        <w:t xml:space="preserve"> </w:t>
      </w:r>
      <w:r w:rsidRPr="00382917">
        <w:t>wings</w:t>
      </w:r>
      <w:r w:rsidR="009F0DBA">
        <w:t>”</w:t>
      </w:r>
      <w:r w:rsidRPr="00382917">
        <w:t>.</w:t>
      </w:r>
    </w:p>
    <w:p w:rsidR="00B568B6" w:rsidRPr="00382917" w:rsidRDefault="00B568B6" w:rsidP="00B568B6">
      <w:pPr>
        <w:pStyle w:val="Text"/>
      </w:pPr>
      <w:r w:rsidRPr="00382917">
        <w:t>To</w:t>
      </w:r>
      <w:r w:rsidR="00EE4FC3">
        <w:t xml:space="preserve"> </w:t>
      </w:r>
      <w:r w:rsidRPr="00382917">
        <w:t>Bahá</w:t>
      </w:r>
      <w:r w:rsidR="009C713D" w:rsidRPr="00382917">
        <w:t>’</w:t>
      </w:r>
      <w:r w:rsidRPr="00382917">
        <w:t>u</w:t>
      </w:r>
      <w:r w:rsidR="009C713D" w:rsidRPr="00382917">
        <w:t>’</w:t>
      </w:r>
      <w:r w:rsidRPr="00382917">
        <w:t>lláh</w:t>
      </w:r>
      <w:r w:rsidR="009C713D" w:rsidRPr="00382917">
        <w:t>’</w:t>
      </w:r>
      <w:r w:rsidRPr="00382917">
        <w:t>s</w:t>
      </w:r>
      <w:r w:rsidR="00EE4FC3">
        <w:t xml:space="preserve"> </w:t>
      </w:r>
      <w:r w:rsidRPr="00382917">
        <w:t>coming,</w:t>
      </w:r>
      <w:r w:rsidR="00EE4FC3">
        <w:t xml:space="preserve"> </w:t>
      </w:r>
      <w:r w:rsidRPr="00382917">
        <w:t>Zoroaster</w:t>
      </w:r>
      <w:r w:rsidR="00EE4FC3">
        <w:t xml:space="preserve"> </w:t>
      </w:r>
      <w:r w:rsidRPr="00382917">
        <w:t>must</w:t>
      </w:r>
      <w:r w:rsidR="00EE4FC3">
        <w:t xml:space="preserve"> </w:t>
      </w:r>
      <w:r w:rsidRPr="00382917">
        <w:t>have</w:t>
      </w:r>
      <w:r w:rsidR="00EE4FC3">
        <w:t xml:space="preserve"> </w:t>
      </w:r>
      <w:r w:rsidRPr="00382917">
        <w:t>referred</w:t>
      </w:r>
      <w:r w:rsidR="00EE4FC3">
        <w:t xml:space="preserve"> </w:t>
      </w:r>
      <w:r w:rsidRPr="00382917">
        <w:t>when</w:t>
      </w:r>
      <w:r w:rsidR="00EE4FC3">
        <w:t xml:space="preserve"> </w:t>
      </w:r>
      <w:r w:rsidRPr="00382917">
        <w:t>He</w:t>
      </w:r>
      <w:r w:rsidR="00EE4FC3">
        <w:t xml:space="preserve"> </w:t>
      </w:r>
      <w:r w:rsidRPr="00382917">
        <w:t>foretold</w:t>
      </w:r>
      <w:r w:rsidR="00EE4FC3">
        <w:t xml:space="preserve"> </w:t>
      </w:r>
      <w:r w:rsidRPr="00382917">
        <w:t>a</w:t>
      </w:r>
      <w:r w:rsidR="00EE4FC3">
        <w:t xml:space="preserve"> </w:t>
      </w:r>
      <w:r w:rsidRPr="00382917">
        <w:t>period</w:t>
      </w:r>
      <w:r w:rsidR="00EE4FC3">
        <w:t xml:space="preserve"> </w:t>
      </w:r>
      <w:r w:rsidRPr="00382917">
        <w:t>of</w:t>
      </w:r>
      <w:r w:rsidR="00EE4FC3">
        <w:t xml:space="preserve"> </w:t>
      </w:r>
      <w:r w:rsidRPr="00382917">
        <w:t>three</w:t>
      </w:r>
      <w:r w:rsidR="00EE4FC3">
        <w:t xml:space="preserve"> </w:t>
      </w:r>
      <w:r w:rsidRPr="00382917">
        <w:t>thousand</w:t>
      </w:r>
      <w:r w:rsidR="00EE4FC3">
        <w:t xml:space="preserve"> </w:t>
      </w:r>
      <w:r w:rsidRPr="00382917">
        <w:t>years</w:t>
      </w:r>
      <w:r w:rsidR="00EE4FC3">
        <w:t xml:space="preserve"> </w:t>
      </w:r>
      <w:r w:rsidRPr="00382917">
        <w:t>of</w:t>
      </w:r>
      <w:r w:rsidR="00EE4FC3">
        <w:t xml:space="preserve"> </w:t>
      </w:r>
      <w:r w:rsidRPr="00382917">
        <w:t>conflict</w:t>
      </w:r>
      <w:r w:rsidR="00EE4FC3">
        <w:t xml:space="preserve"> </w:t>
      </w:r>
      <w:r w:rsidRPr="00382917">
        <w:t>which</w:t>
      </w:r>
      <w:r w:rsidR="00EE4FC3">
        <w:t xml:space="preserve"> </w:t>
      </w:r>
      <w:r w:rsidRPr="00382917">
        <w:t>must</w:t>
      </w:r>
      <w:r w:rsidR="00EE4FC3">
        <w:t xml:space="preserve"> </w:t>
      </w:r>
      <w:r w:rsidRPr="00382917">
        <w:t>precede</w:t>
      </w:r>
      <w:r w:rsidR="00EE4FC3">
        <w:t xml:space="preserve"> </w:t>
      </w:r>
      <w:r w:rsidRPr="00382917">
        <w:t>the</w:t>
      </w:r>
      <w:r w:rsidR="00EE4FC3">
        <w:t xml:space="preserve"> </w:t>
      </w:r>
      <w:r w:rsidRPr="00382917">
        <w:t>advent</w:t>
      </w:r>
      <w:r w:rsidR="00EE4FC3">
        <w:t xml:space="preserve"> </w:t>
      </w:r>
      <w:r w:rsidRPr="00382917">
        <w:t>of</w:t>
      </w:r>
      <w:r w:rsidR="00EE4FC3">
        <w:t xml:space="preserve"> </w:t>
      </w:r>
      <w:r w:rsidRPr="00382917">
        <w:t>the</w:t>
      </w:r>
      <w:r w:rsidR="00EE4FC3">
        <w:t xml:space="preserve"> </w:t>
      </w:r>
      <w:r w:rsidRPr="00382917">
        <w:t>World-Saviour,</w:t>
      </w:r>
      <w:r w:rsidR="00EE4FC3">
        <w:t xml:space="preserve"> </w:t>
      </w:r>
      <w:r w:rsidR="004F6339" w:rsidRPr="004F6339">
        <w:rPr>
          <w:u w:val="single"/>
        </w:rPr>
        <w:t>Sh</w:t>
      </w:r>
      <w:r w:rsidR="004F6339" w:rsidRPr="00382917">
        <w:t>áh</w:t>
      </w:r>
      <w:r w:rsidRPr="00382917">
        <w:t>-Bahrám,</w:t>
      </w:r>
      <w:r w:rsidR="00EE4FC3">
        <w:t xml:space="preserve"> </w:t>
      </w:r>
      <w:r w:rsidRPr="00382917">
        <w:t>Who</w:t>
      </w:r>
      <w:r w:rsidR="00EE4FC3">
        <w:t xml:space="preserve"> </w:t>
      </w:r>
      <w:r w:rsidRPr="00382917">
        <w:t>would</w:t>
      </w:r>
      <w:r w:rsidR="00EE4FC3">
        <w:t xml:space="preserve"> </w:t>
      </w:r>
      <w:r w:rsidR="009C713D" w:rsidRPr="00382917">
        <w:t>“</w:t>
      </w:r>
      <w:r w:rsidRPr="00382917">
        <w:t>usher</w:t>
      </w:r>
      <w:r w:rsidR="00EE4FC3">
        <w:t xml:space="preserve"> </w:t>
      </w:r>
      <w:r w:rsidRPr="00382917">
        <w:t>in</w:t>
      </w:r>
      <w:r w:rsidR="00EE4FC3">
        <w:t xml:space="preserve"> </w:t>
      </w:r>
      <w:r w:rsidRPr="00382917">
        <w:t>an</w:t>
      </w:r>
      <w:r w:rsidR="00EE4FC3">
        <w:t xml:space="preserve"> </w:t>
      </w:r>
      <w:r w:rsidRPr="00382917">
        <w:t>era</w:t>
      </w:r>
      <w:r w:rsidR="00EE4FC3">
        <w:t xml:space="preserve"> </w:t>
      </w:r>
      <w:r w:rsidRPr="00382917">
        <w:t>of</w:t>
      </w:r>
      <w:r w:rsidR="00EE4FC3">
        <w:t xml:space="preserve"> </w:t>
      </w:r>
      <w:r w:rsidRPr="00382917">
        <w:t>blessedness</w:t>
      </w:r>
      <w:r w:rsidR="00EE4FC3">
        <w:t xml:space="preserve"> </w:t>
      </w:r>
      <w:r w:rsidRPr="00382917">
        <w:t>and</w:t>
      </w:r>
      <w:r w:rsidR="00EE4FC3">
        <w:t xml:space="preserve"> </w:t>
      </w:r>
      <w:r w:rsidRPr="00382917">
        <w:t>peace.</w:t>
      </w:r>
      <w:r w:rsidR="009C713D" w:rsidRPr="00382917">
        <w:t>”</w:t>
      </w:r>
    </w:p>
    <w:p w:rsidR="00B568B6" w:rsidRPr="00382917" w:rsidRDefault="00B568B6" w:rsidP="009F0DBA">
      <w:pPr>
        <w:pStyle w:val="Text"/>
      </w:pPr>
      <w:r w:rsidRPr="00382917">
        <w:t>Bahá</w:t>
      </w:r>
      <w:r w:rsidR="009C713D" w:rsidRPr="00382917">
        <w:t>’</w:t>
      </w:r>
      <w:r w:rsidRPr="00382917">
        <w:t>u</w:t>
      </w:r>
      <w:r w:rsidR="009C713D" w:rsidRPr="00382917">
        <w:t>’</w:t>
      </w:r>
      <w:r w:rsidRPr="00382917">
        <w:t>lláh</w:t>
      </w:r>
      <w:r w:rsidR="00EE4FC3">
        <w:t xml:space="preserve"> </w:t>
      </w:r>
      <w:r w:rsidRPr="00382917">
        <w:t>alone</w:t>
      </w:r>
      <w:r w:rsidR="00EE4FC3">
        <w:t xml:space="preserve"> </w:t>
      </w:r>
      <w:r w:rsidRPr="00382917">
        <w:t>is</w:t>
      </w:r>
      <w:r w:rsidR="00EE4FC3">
        <w:t xml:space="preserve"> </w:t>
      </w:r>
      <w:r w:rsidRPr="00382917">
        <w:t>meant</w:t>
      </w:r>
      <w:r w:rsidR="00EE4FC3">
        <w:t xml:space="preserve"> </w:t>
      </w:r>
      <w:r w:rsidRPr="00382917">
        <w:t>by</w:t>
      </w:r>
      <w:r w:rsidR="00EE4FC3">
        <w:t xml:space="preserve"> </w:t>
      </w:r>
      <w:r w:rsidRPr="00382917">
        <w:t>the</w:t>
      </w:r>
      <w:r w:rsidR="00EE4FC3">
        <w:t xml:space="preserve"> </w:t>
      </w:r>
      <w:r w:rsidRPr="00382917">
        <w:t>prophecy</w:t>
      </w:r>
      <w:r w:rsidR="00EE4FC3">
        <w:t xml:space="preserve"> </w:t>
      </w:r>
      <w:r w:rsidR="009C713D" w:rsidRPr="00382917">
        <w:t>“</w:t>
      </w:r>
      <w:r w:rsidRPr="00382917">
        <w:t>attributed</w:t>
      </w:r>
      <w:r w:rsidR="00EE4FC3">
        <w:t xml:space="preserve"> </w:t>
      </w:r>
      <w:r w:rsidRPr="00382917">
        <w:t>to</w:t>
      </w:r>
      <w:r w:rsidR="00EE4FC3">
        <w:t xml:space="preserve"> </w:t>
      </w:r>
      <w:r w:rsidRPr="00382917">
        <w:t>Gautama</w:t>
      </w:r>
      <w:r w:rsidR="00EE4FC3">
        <w:t xml:space="preserve"> </w:t>
      </w:r>
      <w:r w:rsidRPr="00382917">
        <w:t>Buddha,</w:t>
      </w:r>
      <w:r w:rsidR="00EE4FC3">
        <w:t xml:space="preserve"> </w:t>
      </w:r>
      <w:r w:rsidRPr="00382917">
        <w:t>Himself,</w:t>
      </w:r>
      <w:r w:rsidR="00EE4FC3">
        <w:t xml:space="preserve"> </w:t>
      </w:r>
      <w:r w:rsidRPr="00382917">
        <w:t>that</w:t>
      </w:r>
      <w:r w:rsidR="00EE4FC3">
        <w:t xml:space="preserve"> </w:t>
      </w:r>
      <w:r w:rsidR="009C713D" w:rsidRPr="00382917">
        <w:t>‘</w:t>
      </w:r>
      <w:r w:rsidRPr="00382917">
        <w:t>a</w:t>
      </w:r>
      <w:r w:rsidR="00EE4FC3">
        <w:t xml:space="preserve"> </w:t>
      </w:r>
      <w:r w:rsidRPr="00382917">
        <w:t>Buddha</w:t>
      </w:r>
      <w:r w:rsidR="00EE4FC3">
        <w:t xml:space="preserve"> </w:t>
      </w:r>
      <w:r w:rsidRPr="00382917">
        <w:t>named</w:t>
      </w:r>
      <w:r w:rsidR="00EE4FC3">
        <w:t xml:space="preserve"> </w:t>
      </w:r>
      <w:proofErr w:type="spellStart"/>
      <w:r w:rsidRPr="00382917">
        <w:t>Maitreye</w:t>
      </w:r>
      <w:proofErr w:type="spellEnd"/>
      <w:r w:rsidRPr="00382917">
        <w:t>,</w:t>
      </w:r>
      <w:r w:rsidR="00EE4FC3">
        <w:t xml:space="preserve"> </w:t>
      </w:r>
      <w:r w:rsidRPr="00382917">
        <w:t>the</w:t>
      </w:r>
      <w:r w:rsidR="00EE4FC3">
        <w:t xml:space="preserve"> </w:t>
      </w:r>
      <w:r w:rsidRPr="00382917">
        <w:t>Buddha</w:t>
      </w:r>
      <w:r w:rsidR="00EE4FC3">
        <w:t xml:space="preserve"> </w:t>
      </w:r>
      <w:r w:rsidRPr="00382917">
        <w:t>of</w:t>
      </w:r>
      <w:r w:rsidR="00EE4FC3">
        <w:t xml:space="preserve"> </w:t>
      </w:r>
      <w:r w:rsidRPr="00382917">
        <w:t>universal</w:t>
      </w:r>
      <w:r w:rsidR="00EE4FC3">
        <w:t xml:space="preserve"> </w:t>
      </w:r>
      <w:r w:rsidRPr="00382917">
        <w:t>fellowship</w:t>
      </w:r>
      <w:r w:rsidR="009C713D" w:rsidRPr="00382917">
        <w:t>’</w:t>
      </w:r>
      <w:r w:rsidR="00EE4FC3">
        <w:t xml:space="preserve"> </w:t>
      </w:r>
      <w:r w:rsidRPr="00382917">
        <w:t>should,</w:t>
      </w:r>
      <w:r w:rsidR="00EE4FC3">
        <w:t xml:space="preserve"> </w:t>
      </w:r>
      <w:r w:rsidRPr="00382917">
        <w:t>in</w:t>
      </w:r>
      <w:r w:rsidR="00EE4FC3">
        <w:t xml:space="preserve"> </w:t>
      </w:r>
      <w:r w:rsidRPr="00382917">
        <w:t>the</w:t>
      </w:r>
      <w:r w:rsidR="00EE4FC3">
        <w:t xml:space="preserve"> </w:t>
      </w:r>
      <w:r w:rsidRPr="00382917">
        <w:t>fullness</w:t>
      </w:r>
      <w:r w:rsidR="00EE4FC3">
        <w:t xml:space="preserve"> </w:t>
      </w:r>
      <w:r w:rsidRPr="00382917">
        <w:t>of</w:t>
      </w:r>
      <w:r w:rsidR="00EE4FC3">
        <w:t xml:space="preserve"> </w:t>
      </w:r>
      <w:r w:rsidRPr="00382917">
        <w:t>time,</w:t>
      </w:r>
      <w:r w:rsidR="00EE4FC3">
        <w:t xml:space="preserve"> </w:t>
      </w:r>
      <w:r w:rsidRPr="00382917">
        <w:t>arise</w:t>
      </w:r>
      <w:r w:rsidR="00EE4FC3">
        <w:t xml:space="preserve"> </w:t>
      </w:r>
      <w:r w:rsidRPr="00382917">
        <w:t>and</w:t>
      </w:r>
      <w:r w:rsidR="00EE4FC3">
        <w:t xml:space="preserve"> </w:t>
      </w:r>
      <w:r w:rsidRPr="00382917">
        <w:t>reveal</w:t>
      </w:r>
      <w:r w:rsidR="00EE4FC3">
        <w:t xml:space="preserve"> </w:t>
      </w:r>
      <w:r w:rsidR="009C713D" w:rsidRPr="00382917">
        <w:t>‘</w:t>
      </w:r>
      <w:r w:rsidRPr="00382917">
        <w:t>His</w:t>
      </w:r>
      <w:r w:rsidR="00EE4FC3">
        <w:t xml:space="preserve"> </w:t>
      </w:r>
      <w:r w:rsidRPr="00382917">
        <w:t>boundless</w:t>
      </w:r>
      <w:r w:rsidR="00EE4FC3">
        <w:t xml:space="preserve"> </w:t>
      </w:r>
      <w:r w:rsidRPr="00382917">
        <w:t>glory</w:t>
      </w:r>
      <w:r w:rsidR="009F0DBA">
        <w:t>’</w:t>
      </w:r>
      <w:r w:rsidRPr="00382917">
        <w:t>.</w:t>
      </w:r>
      <w:r w:rsidR="009F0DBA">
        <w:t>”</w:t>
      </w:r>
    </w:p>
    <w:p w:rsidR="00B568B6" w:rsidRPr="00382917" w:rsidRDefault="00B568B6" w:rsidP="009F0DBA">
      <w:pPr>
        <w:pStyle w:val="Text"/>
      </w:pPr>
      <w:r w:rsidRPr="00382917">
        <w:t>To</w:t>
      </w:r>
      <w:r w:rsidR="00EE4FC3">
        <w:t xml:space="preserve"> </w:t>
      </w:r>
      <w:r w:rsidRPr="00382917">
        <w:t>Bahá</w:t>
      </w:r>
      <w:r w:rsidR="009C713D" w:rsidRPr="00382917">
        <w:t>’</w:t>
      </w:r>
      <w:r w:rsidRPr="00382917">
        <w:t>u</w:t>
      </w:r>
      <w:r w:rsidR="009C713D" w:rsidRPr="00382917">
        <w:t>’</w:t>
      </w:r>
      <w:r w:rsidRPr="00382917">
        <w:t>lláh</w:t>
      </w:r>
      <w:r w:rsidR="00EE4FC3">
        <w:t xml:space="preserve"> </w:t>
      </w:r>
      <w:r w:rsidRPr="00382917">
        <w:t>the</w:t>
      </w:r>
      <w:r w:rsidR="00EE4FC3">
        <w:t xml:space="preserve"> </w:t>
      </w:r>
      <w:r w:rsidRPr="00382917">
        <w:t>Bhagavad-Gita</w:t>
      </w:r>
      <w:r w:rsidR="00EE4FC3">
        <w:t xml:space="preserve"> </w:t>
      </w:r>
      <w:r w:rsidRPr="00382917">
        <w:t>of</w:t>
      </w:r>
      <w:r w:rsidR="00EE4FC3">
        <w:t xml:space="preserve"> </w:t>
      </w:r>
      <w:r w:rsidRPr="00382917">
        <w:t>the</w:t>
      </w:r>
      <w:r w:rsidR="00EE4FC3">
        <w:t xml:space="preserve"> </w:t>
      </w:r>
      <w:r w:rsidRPr="00382917">
        <w:t>Hindus</w:t>
      </w:r>
      <w:r w:rsidR="00EE4FC3">
        <w:t xml:space="preserve"> </w:t>
      </w:r>
      <w:r w:rsidRPr="00382917">
        <w:t>referred,</w:t>
      </w:r>
      <w:r w:rsidR="00EE4FC3">
        <w:t xml:space="preserve"> </w:t>
      </w:r>
      <w:r w:rsidRPr="00382917">
        <w:t>calling</w:t>
      </w:r>
      <w:r w:rsidR="00EE4FC3">
        <w:t xml:space="preserve"> </w:t>
      </w:r>
      <w:r w:rsidRPr="00382917">
        <w:t>Him</w:t>
      </w:r>
      <w:r w:rsidR="00EE4FC3">
        <w:t xml:space="preserve"> </w:t>
      </w:r>
      <w:r w:rsidRPr="00382917">
        <w:t>the</w:t>
      </w:r>
      <w:r w:rsidR="00EE4FC3">
        <w:t xml:space="preserve"> </w:t>
      </w:r>
      <w:r w:rsidR="009C713D" w:rsidRPr="00382917">
        <w:t>“</w:t>
      </w:r>
      <w:r w:rsidRPr="00382917">
        <w:t>Most</w:t>
      </w:r>
      <w:r w:rsidR="00EE4FC3">
        <w:t xml:space="preserve"> </w:t>
      </w:r>
      <w:r w:rsidRPr="00382917">
        <w:t>Great</w:t>
      </w:r>
      <w:r w:rsidR="00EE4FC3">
        <w:t xml:space="preserve"> </w:t>
      </w:r>
      <w:r w:rsidRPr="00382917">
        <w:t>Spirit</w:t>
      </w:r>
      <w:r w:rsidR="009C713D" w:rsidRPr="00382917">
        <w:t>”</w:t>
      </w:r>
      <w:r w:rsidR="009F0DBA">
        <w:t>,</w:t>
      </w:r>
      <w:r w:rsidR="00EE4FC3">
        <w:t xml:space="preserve"> </w:t>
      </w:r>
      <w:r w:rsidRPr="00382917">
        <w:t>the</w:t>
      </w:r>
      <w:r w:rsidR="00EE4FC3">
        <w:t xml:space="preserve"> </w:t>
      </w:r>
      <w:r w:rsidR="009C713D" w:rsidRPr="00382917">
        <w:t>“</w:t>
      </w:r>
      <w:r w:rsidRPr="00382917">
        <w:t>Tenth</w:t>
      </w:r>
      <w:r w:rsidR="00EE4FC3">
        <w:t xml:space="preserve"> </w:t>
      </w:r>
      <w:r w:rsidRPr="00382917">
        <w:t>Avatar</w:t>
      </w:r>
      <w:r w:rsidR="009C713D" w:rsidRPr="00382917">
        <w:t>”</w:t>
      </w:r>
      <w:r w:rsidR="009F0DBA">
        <w:t>,</w:t>
      </w:r>
      <w:r w:rsidR="00EE4FC3">
        <w:t xml:space="preserve"> </w:t>
      </w:r>
      <w:r w:rsidRPr="00382917">
        <w:t>the</w:t>
      </w:r>
      <w:r w:rsidR="00EE4FC3">
        <w:t xml:space="preserve"> </w:t>
      </w:r>
      <w:r w:rsidR="009C713D" w:rsidRPr="00382917">
        <w:t>“</w:t>
      </w:r>
      <w:r w:rsidRPr="00382917">
        <w:t>Immaculate</w:t>
      </w:r>
      <w:r w:rsidR="00EE4FC3">
        <w:t xml:space="preserve"> </w:t>
      </w:r>
      <w:r w:rsidRPr="00382917">
        <w:t>Manifestation</w:t>
      </w:r>
      <w:r w:rsidR="00EE4FC3">
        <w:t xml:space="preserve"> </w:t>
      </w:r>
      <w:r w:rsidRPr="00382917">
        <w:t>of</w:t>
      </w:r>
      <w:r w:rsidR="00EE4FC3">
        <w:t xml:space="preserve"> </w:t>
      </w:r>
      <w:r w:rsidRPr="00382917">
        <w:t>Krishna</w:t>
      </w:r>
      <w:r w:rsidR="009C713D" w:rsidRPr="00382917">
        <w:t>”</w:t>
      </w:r>
      <w:r w:rsidR="009F0DBA">
        <w:t>.</w:t>
      </w:r>
    </w:p>
    <w:p w:rsidR="00B568B6" w:rsidRPr="00382917" w:rsidRDefault="00B568B6" w:rsidP="009F0DBA">
      <w:pPr>
        <w:pStyle w:val="Text"/>
      </w:pPr>
      <w:r w:rsidRPr="00382917">
        <w:t>To</w:t>
      </w:r>
      <w:r w:rsidR="00EE4FC3">
        <w:t xml:space="preserve"> </w:t>
      </w:r>
      <w:r w:rsidRPr="00382917">
        <w:t>Bahá</w:t>
      </w:r>
      <w:r w:rsidR="009C713D" w:rsidRPr="00382917">
        <w:t>’</w:t>
      </w:r>
      <w:r w:rsidRPr="00382917">
        <w:t>u</w:t>
      </w:r>
      <w:r w:rsidR="009C713D" w:rsidRPr="00382917">
        <w:t>’</w:t>
      </w:r>
      <w:r w:rsidRPr="00382917">
        <w:t>lláh,</w:t>
      </w:r>
      <w:r w:rsidR="00EE4FC3">
        <w:t xml:space="preserve"> </w:t>
      </w:r>
      <w:r w:rsidRPr="00382917">
        <w:t>Jesus,</w:t>
      </w:r>
      <w:r w:rsidR="00EE4FC3">
        <w:t xml:space="preserve"> </w:t>
      </w:r>
      <w:r w:rsidRPr="00382917">
        <w:t>the</w:t>
      </w:r>
      <w:r w:rsidR="00EE4FC3">
        <w:t xml:space="preserve"> </w:t>
      </w:r>
      <w:r w:rsidRPr="00382917">
        <w:t>Christ,</w:t>
      </w:r>
      <w:r w:rsidR="00EE4FC3">
        <w:t xml:space="preserve"> </w:t>
      </w:r>
      <w:r w:rsidRPr="00382917">
        <w:t>referred</w:t>
      </w:r>
      <w:r w:rsidR="00EE4FC3">
        <w:t xml:space="preserve"> </w:t>
      </w:r>
      <w:r w:rsidRPr="00382917">
        <w:t>as</w:t>
      </w:r>
      <w:r w:rsidR="00EE4FC3">
        <w:t xml:space="preserve"> </w:t>
      </w:r>
      <w:r w:rsidRPr="00382917">
        <w:t>the</w:t>
      </w:r>
      <w:r w:rsidR="00EE4FC3">
        <w:t xml:space="preserve"> </w:t>
      </w:r>
      <w:r w:rsidR="009C713D" w:rsidRPr="00382917">
        <w:t>“</w:t>
      </w:r>
      <w:r w:rsidRPr="00382917">
        <w:t>Prince</w:t>
      </w:r>
      <w:r w:rsidR="00EE4FC3">
        <w:t xml:space="preserve"> </w:t>
      </w:r>
      <w:r w:rsidRPr="00382917">
        <w:t>of</w:t>
      </w:r>
      <w:r w:rsidR="00EE4FC3">
        <w:t xml:space="preserve"> </w:t>
      </w:r>
      <w:r w:rsidRPr="00382917">
        <w:t>this</w:t>
      </w:r>
      <w:r w:rsidR="00EE4FC3">
        <w:t xml:space="preserve"> </w:t>
      </w:r>
      <w:r w:rsidRPr="00382917">
        <w:t>world</w:t>
      </w:r>
      <w:r w:rsidR="009C713D" w:rsidRPr="00382917">
        <w:t>”</w:t>
      </w:r>
      <w:r w:rsidR="009F0DBA">
        <w:t>,</w:t>
      </w:r>
      <w:r w:rsidR="00EE4FC3">
        <w:t xml:space="preserve"> </w:t>
      </w:r>
      <w:r w:rsidRPr="00382917">
        <w:t>the</w:t>
      </w:r>
      <w:r w:rsidR="00EE4FC3">
        <w:t xml:space="preserve"> </w:t>
      </w:r>
      <w:r w:rsidR="009C713D" w:rsidRPr="00382917">
        <w:t>“</w:t>
      </w:r>
      <w:r w:rsidRPr="00382917">
        <w:t>Comforter</w:t>
      </w:r>
      <w:r w:rsidR="009C713D" w:rsidRPr="00382917">
        <w:t>”</w:t>
      </w:r>
      <w:r w:rsidR="00EE4FC3">
        <w:t xml:space="preserve"> </w:t>
      </w:r>
      <w:r w:rsidRPr="00382917">
        <w:t>Who</w:t>
      </w:r>
      <w:r w:rsidR="00EE4FC3">
        <w:t xml:space="preserve"> </w:t>
      </w:r>
      <w:r w:rsidRPr="00382917">
        <w:t>will</w:t>
      </w:r>
      <w:r w:rsidR="00EE4FC3">
        <w:t xml:space="preserve"> </w:t>
      </w:r>
      <w:r w:rsidR="009C713D" w:rsidRPr="00382917">
        <w:t>“</w:t>
      </w:r>
      <w:r w:rsidRPr="00382917">
        <w:t>reprove</w:t>
      </w:r>
      <w:r w:rsidR="00EE4FC3">
        <w:t xml:space="preserve"> </w:t>
      </w:r>
      <w:r w:rsidRPr="00382917">
        <w:t>the</w:t>
      </w:r>
      <w:r w:rsidR="00EE4FC3">
        <w:t xml:space="preserve"> </w:t>
      </w:r>
      <w:r w:rsidRPr="00382917">
        <w:t>world</w:t>
      </w:r>
      <w:r w:rsidR="00EE4FC3">
        <w:t xml:space="preserve"> </w:t>
      </w:r>
      <w:r w:rsidRPr="00382917">
        <w:t>of</w:t>
      </w:r>
      <w:r w:rsidR="00EE4FC3">
        <w:t xml:space="preserve"> </w:t>
      </w:r>
      <w:r w:rsidRPr="00382917">
        <w:t>sin,</w:t>
      </w:r>
      <w:r w:rsidR="00EE4FC3">
        <w:t xml:space="preserve"> </w:t>
      </w:r>
      <w:r w:rsidRPr="00382917">
        <w:t>and</w:t>
      </w:r>
      <w:r w:rsidR="00EE4FC3">
        <w:t xml:space="preserve"> </w:t>
      </w:r>
      <w:r w:rsidRPr="00382917">
        <w:t>of</w:t>
      </w:r>
      <w:r w:rsidR="00EE4FC3">
        <w:t xml:space="preserve"> </w:t>
      </w:r>
      <w:r w:rsidRPr="00382917">
        <w:t>righteousness,</w:t>
      </w:r>
      <w:r w:rsidR="00EE4FC3">
        <w:t xml:space="preserve"> </w:t>
      </w:r>
      <w:r w:rsidRPr="00382917">
        <w:t>and</w:t>
      </w:r>
      <w:r w:rsidR="00EE4FC3">
        <w:t xml:space="preserve"> </w:t>
      </w:r>
      <w:r w:rsidRPr="00382917">
        <w:t>of</w:t>
      </w:r>
      <w:r w:rsidR="00EE4FC3">
        <w:t xml:space="preserve"> </w:t>
      </w:r>
      <w:r w:rsidRPr="00382917">
        <w:t>judgement</w:t>
      </w:r>
      <w:r w:rsidR="009C713D" w:rsidRPr="00382917">
        <w:t>”</w:t>
      </w:r>
      <w:r w:rsidR="009F0DBA">
        <w:t>,</w:t>
      </w:r>
      <w:r w:rsidR="00EE4FC3">
        <w:t xml:space="preserve"> </w:t>
      </w:r>
      <w:r w:rsidRPr="00382917">
        <w:t>the</w:t>
      </w:r>
      <w:r w:rsidR="00EE4FC3">
        <w:t xml:space="preserve"> </w:t>
      </w:r>
      <w:r w:rsidR="009C713D" w:rsidRPr="00382917">
        <w:t>“</w:t>
      </w:r>
      <w:r w:rsidRPr="00382917">
        <w:t>Son</w:t>
      </w:r>
      <w:r w:rsidR="00EE4FC3">
        <w:t xml:space="preserve"> </w:t>
      </w:r>
      <w:r w:rsidRPr="00382917">
        <w:t>of</w:t>
      </w:r>
      <w:r w:rsidR="00EE4FC3">
        <w:t xml:space="preserve"> </w:t>
      </w:r>
      <w:r w:rsidRPr="00382917">
        <w:t>Man</w:t>
      </w:r>
      <w:r w:rsidR="009C713D" w:rsidRPr="00382917">
        <w:t>”</w:t>
      </w:r>
      <w:r w:rsidR="00EE4FC3">
        <w:t xml:space="preserve"> </w:t>
      </w:r>
      <w:r w:rsidRPr="00382917">
        <w:t>Who</w:t>
      </w:r>
      <w:r w:rsidR="00EE4FC3">
        <w:t xml:space="preserve"> </w:t>
      </w:r>
      <w:r w:rsidR="009C713D" w:rsidRPr="00382917">
        <w:t>“</w:t>
      </w:r>
      <w:r w:rsidRPr="00382917">
        <w:t>shall</w:t>
      </w:r>
      <w:r w:rsidR="00EE4FC3">
        <w:t xml:space="preserve"> </w:t>
      </w:r>
      <w:r w:rsidRPr="00382917">
        <w:t>come</w:t>
      </w:r>
      <w:r w:rsidR="00EE4FC3">
        <w:t xml:space="preserve"> </w:t>
      </w:r>
      <w:r w:rsidRPr="00382917">
        <w:t>in</w:t>
      </w:r>
      <w:r w:rsidR="00EE4FC3">
        <w:t xml:space="preserve"> </w:t>
      </w:r>
      <w:r w:rsidRPr="00382917">
        <w:t>the</w:t>
      </w:r>
      <w:r w:rsidR="00EE4FC3">
        <w:t xml:space="preserve"> </w:t>
      </w:r>
      <w:r w:rsidRPr="00382917">
        <w:t>glory</w:t>
      </w:r>
      <w:r w:rsidR="00EE4FC3">
        <w:t xml:space="preserve"> </w:t>
      </w:r>
      <w:r w:rsidRPr="00382917">
        <w:t>of</w:t>
      </w:r>
      <w:r w:rsidR="00EE4FC3">
        <w:t xml:space="preserve"> </w:t>
      </w:r>
      <w:r w:rsidRPr="00382917">
        <w:t>His</w:t>
      </w:r>
      <w:r w:rsidR="00EE4FC3">
        <w:t xml:space="preserve"> </w:t>
      </w:r>
      <w:r w:rsidRPr="00382917">
        <w:t>Father</w:t>
      </w:r>
      <w:r w:rsidR="009C713D" w:rsidRPr="00382917">
        <w:t>”</w:t>
      </w:r>
      <w:r w:rsidR="009F0DBA">
        <w:t>,</w:t>
      </w:r>
      <w:r w:rsidR="00EE4FC3">
        <w:t xml:space="preserve"> </w:t>
      </w:r>
      <w:r w:rsidRPr="00382917">
        <w:t>the</w:t>
      </w:r>
      <w:r w:rsidR="00EE4FC3">
        <w:t xml:space="preserve"> </w:t>
      </w:r>
      <w:r w:rsidR="009C713D" w:rsidRPr="00382917">
        <w:t>“</w:t>
      </w:r>
      <w:r w:rsidRPr="00382917">
        <w:t>Lord</w:t>
      </w:r>
      <w:r w:rsidR="00EE4FC3">
        <w:t xml:space="preserve"> </w:t>
      </w:r>
      <w:r w:rsidRPr="00382917">
        <w:t>of</w:t>
      </w:r>
      <w:r w:rsidR="00EE4FC3">
        <w:t xml:space="preserve"> </w:t>
      </w:r>
      <w:r w:rsidRPr="00382917">
        <w:t>the</w:t>
      </w:r>
      <w:r w:rsidR="00EE4FC3">
        <w:t xml:space="preserve"> </w:t>
      </w:r>
      <w:r w:rsidRPr="00382917">
        <w:t>Vineyard</w:t>
      </w:r>
      <w:r w:rsidR="009F0DBA">
        <w:t>”,</w:t>
      </w:r>
      <w:r w:rsidR="00EE4FC3">
        <w:t xml:space="preserve"> </w:t>
      </w:r>
      <w:r w:rsidRPr="00382917">
        <w:t>the</w:t>
      </w:r>
      <w:r w:rsidR="00EE4FC3">
        <w:t xml:space="preserve"> </w:t>
      </w:r>
      <w:r w:rsidR="009C713D" w:rsidRPr="00382917">
        <w:t>“</w:t>
      </w:r>
      <w:r w:rsidRPr="00382917">
        <w:t>Spirit</w:t>
      </w:r>
      <w:r w:rsidR="00EE4FC3">
        <w:t xml:space="preserve"> </w:t>
      </w:r>
      <w:r w:rsidRPr="00382917">
        <w:t>of</w:t>
      </w:r>
      <w:r w:rsidR="00EE4FC3">
        <w:t xml:space="preserve"> </w:t>
      </w:r>
      <w:r w:rsidRPr="00382917">
        <w:t>Truth</w:t>
      </w:r>
      <w:r w:rsidR="009C713D" w:rsidRPr="00382917">
        <w:t>”</w:t>
      </w:r>
      <w:r w:rsidR="009F0DBA">
        <w:t>,</w:t>
      </w:r>
      <w:r w:rsidR="00EE4FC3">
        <w:t xml:space="preserve"> </w:t>
      </w:r>
      <w:proofErr w:type="gramStart"/>
      <w:r w:rsidRPr="00382917">
        <w:t>Who</w:t>
      </w:r>
      <w:proofErr w:type="gramEnd"/>
      <w:r w:rsidR="00EE4FC3">
        <w:t xml:space="preserve"> </w:t>
      </w:r>
      <w:r w:rsidR="009C713D" w:rsidRPr="00382917">
        <w:t>“</w:t>
      </w:r>
      <w:r w:rsidRPr="00382917">
        <w:t>will</w:t>
      </w:r>
      <w:r w:rsidR="00EE4FC3">
        <w:t xml:space="preserve"> </w:t>
      </w:r>
      <w:r w:rsidRPr="00382917">
        <w:t>guide</w:t>
      </w:r>
      <w:r w:rsidR="00EE4FC3">
        <w:t xml:space="preserve"> </w:t>
      </w:r>
      <w:r w:rsidRPr="00382917">
        <w:t>you</w:t>
      </w:r>
      <w:r w:rsidR="00EE4FC3">
        <w:t xml:space="preserve"> </w:t>
      </w:r>
      <w:r w:rsidRPr="00382917">
        <w:t>to</w:t>
      </w:r>
      <w:r w:rsidR="00EE4FC3">
        <w:t xml:space="preserve"> </w:t>
      </w:r>
      <w:r w:rsidRPr="00382917">
        <w:t>all</w:t>
      </w:r>
      <w:r w:rsidR="00EE4FC3">
        <w:t xml:space="preserve"> </w:t>
      </w:r>
      <w:r w:rsidRPr="00382917">
        <w:t>truth</w:t>
      </w:r>
      <w:r w:rsidR="009C713D" w:rsidRPr="00382917">
        <w:t>”</w:t>
      </w:r>
      <w:r w:rsidR="009F0DBA">
        <w:t>.</w:t>
      </w:r>
    </w:p>
    <w:p w:rsidR="00B568B6" w:rsidRPr="00382917" w:rsidRDefault="00B568B6" w:rsidP="009F0DBA">
      <w:pPr>
        <w:pStyle w:val="Text"/>
      </w:pPr>
      <w:r w:rsidRPr="00382917">
        <w:t>To</w:t>
      </w:r>
      <w:r w:rsidR="00EE4FC3">
        <w:t xml:space="preserve"> </w:t>
      </w:r>
      <w:r w:rsidRPr="00382917">
        <w:t>Bahá</w:t>
      </w:r>
      <w:r w:rsidR="009C713D" w:rsidRPr="00382917">
        <w:t>’</w:t>
      </w:r>
      <w:r w:rsidRPr="00382917">
        <w:t>u</w:t>
      </w:r>
      <w:r w:rsidR="009C713D" w:rsidRPr="00382917">
        <w:t>’</w:t>
      </w:r>
      <w:r w:rsidRPr="00382917">
        <w:t>lláh,</w:t>
      </w:r>
      <w:r w:rsidR="00EE4FC3">
        <w:t xml:space="preserve"> </w:t>
      </w:r>
      <w:r w:rsidR="0040329F" w:rsidRPr="00382917">
        <w:t>Mu</w:t>
      </w:r>
      <w:r w:rsidR="0040329F" w:rsidRPr="0040329F">
        <w:t>ḥ</w:t>
      </w:r>
      <w:r w:rsidR="0040329F" w:rsidRPr="00382917">
        <w:t>ammad</w:t>
      </w:r>
      <w:r w:rsidR="00EE4FC3">
        <w:t xml:space="preserve"> </w:t>
      </w:r>
      <w:r w:rsidRPr="00382917">
        <w:t>alluded</w:t>
      </w:r>
      <w:r w:rsidR="00EE4FC3">
        <w:t xml:space="preserve"> </w:t>
      </w:r>
      <w:r w:rsidRPr="00382917">
        <w:t>in</w:t>
      </w:r>
      <w:r w:rsidR="00EE4FC3">
        <w:t xml:space="preserve"> </w:t>
      </w:r>
      <w:r w:rsidRPr="00382917">
        <w:t>His</w:t>
      </w:r>
      <w:r w:rsidR="00EE4FC3">
        <w:t xml:space="preserve"> </w:t>
      </w:r>
      <w:r w:rsidRPr="00382917">
        <w:t>Book</w:t>
      </w:r>
      <w:r w:rsidR="00EE4FC3">
        <w:t xml:space="preserve"> </w:t>
      </w:r>
      <w:r w:rsidRPr="00382917">
        <w:t>as</w:t>
      </w:r>
      <w:r w:rsidR="00EE4FC3">
        <w:t xml:space="preserve"> </w:t>
      </w:r>
      <w:r w:rsidRPr="00382917">
        <w:t>the</w:t>
      </w:r>
      <w:r w:rsidR="00EE4FC3">
        <w:t xml:space="preserve"> </w:t>
      </w:r>
      <w:r w:rsidR="009C713D" w:rsidRPr="00382917">
        <w:t>“</w:t>
      </w:r>
      <w:r w:rsidRPr="00382917">
        <w:t>Great</w:t>
      </w:r>
      <w:r w:rsidR="00EE4FC3">
        <w:t xml:space="preserve"> </w:t>
      </w:r>
      <w:r w:rsidRPr="00382917">
        <w:t>Announcement</w:t>
      </w:r>
      <w:r w:rsidR="009C713D" w:rsidRPr="00382917">
        <w:t>”</w:t>
      </w:r>
      <w:r w:rsidR="009F0DBA">
        <w:t xml:space="preserve">. </w:t>
      </w:r>
      <w:r w:rsidR="00EE4FC3">
        <w:t xml:space="preserve"> </w:t>
      </w:r>
      <w:r w:rsidRPr="00382917">
        <w:t>He</w:t>
      </w:r>
      <w:r w:rsidR="00EE4FC3">
        <w:t xml:space="preserve"> </w:t>
      </w:r>
      <w:r w:rsidRPr="00382917">
        <w:t>declared</w:t>
      </w:r>
      <w:r w:rsidR="00EE4FC3">
        <w:t xml:space="preserve"> </w:t>
      </w:r>
      <w:r w:rsidRPr="00382917">
        <w:t>the</w:t>
      </w:r>
      <w:r w:rsidR="00EE4FC3">
        <w:t xml:space="preserve"> </w:t>
      </w:r>
      <w:r w:rsidRPr="00382917">
        <w:t>Day</w:t>
      </w:r>
      <w:r w:rsidR="00EE4FC3">
        <w:t xml:space="preserve"> </w:t>
      </w:r>
      <w:r w:rsidRPr="00382917">
        <w:t>of</w:t>
      </w:r>
      <w:r w:rsidR="00EE4FC3">
        <w:t xml:space="preserve"> </w:t>
      </w:r>
      <w:r w:rsidRPr="00382917">
        <w:t>Bahá</w:t>
      </w:r>
      <w:r w:rsidR="009C713D" w:rsidRPr="00382917">
        <w:t>’</w:t>
      </w:r>
      <w:r w:rsidRPr="00382917">
        <w:t>u</w:t>
      </w:r>
      <w:r w:rsidR="009C713D" w:rsidRPr="00382917">
        <w:t>’</w:t>
      </w:r>
      <w:r w:rsidRPr="00382917">
        <w:t>lláh</w:t>
      </w:r>
      <w:r w:rsidR="00EE4FC3">
        <w:t xml:space="preserve"> </w:t>
      </w:r>
      <w:r w:rsidRPr="00382917">
        <w:t>to</w:t>
      </w:r>
      <w:r w:rsidR="00EE4FC3">
        <w:t xml:space="preserve"> </w:t>
      </w:r>
      <w:r w:rsidRPr="00382917">
        <w:t>be</w:t>
      </w:r>
      <w:r w:rsidR="00EE4FC3">
        <w:t xml:space="preserve"> </w:t>
      </w:r>
      <w:r w:rsidRPr="00382917">
        <w:t>the</w:t>
      </w:r>
      <w:r w:rsidR="00EE4FC3">
        <w:t xml:space="preserve"> </w:t>
      </w:r>
      <w:r w:rsidRPr="00382917">
        <w:t>Day</w:t>
      </w:r>
      <w:r w:rsidR="00EE4FC3">
        <w:t xml:space="preserve"> </w:t>
      </w:r>
      <w:r w:rsidRPr="00382917">
        <w:t>whereon</w:t>
      </w:r>
      <w:r w:rsidR="00EE4FC3">
        <w:t xml:space="preserve"> </w:t>
      </w:r>
      <w:r w:rsidR="009C713D" w:rsidRPr="00382917">
        <w:t>“</w:t>
      </w:r>
      <w:r w:rsidRPr="00382917">
        <w:t>God</w:t>
      </w:r>
      <w:r w:rsidR="009C713D" w:rsidRPr="00382917">
        <w:t>”</w:t>
      </w:r>
      <w:r w:rsidR="00EE4FC3">
        <w:t xml:space="preserve"> </w:t>
      </w:r>
      <w:r w:rsidRPr="00382917">
        <w:t>will</w:t>
      </w:r>
      <w:r w:rsidR="00EE4FC3">
        <w:t xml:space="preserve"> </w:t>
      </w:r>
      <w:r w:rsidR="009C713D" w:rsidRPr="00382917">
        <w:t>“</w:t>
      </w:r>
      <w:r w:rsidRPr="00382917">
        <w:t>come</w:t>
      </w:r>
      <w:r w:rsidR="00EE4FC3">
        <w:t xml:space="preserve"> </w:t>
      </w:r>
      <w:r w:rsidRPr="00382917">
        <w:t>down</w:t>
      </w:r>
      <w:r w:rsidR="009C713D" w:rsidRPr="00382917">
        <w:t>”</w:t>
      </w:r>
      <w:r w:rsidR="00EE4FC3">
        <w:t xml:space="preserve"> </w:t>
      </w:r>
      <w:r w:rsidR="009C713D" w:rsidRPr="00382917">
        <w:t>“</w:t>
      </w:r>
      <w:r w:rsidRPr="00382917">
        <w:t>overshadowed</w:t>
      </w:r>
      <w:r w:rsidR="00EE4FC3">
        <w:t xml:space="preserve"> </w:t>
      </w:r>
      <w:r w:rsidRPr="00382917">
        <w:t>with</w:t>
      </w:r>
      <w:r w:rsidR="00EE4FC3">
        <w:t xml:space="preserve"> </w:t>
      </w:r>
      <w:r w:rsidRPr="00382917">
        <w:t>clouds</w:t>
      </w:r>
      <w:r w:rsidR="009C713D" w:rsidRPr="00382917">
        <w:t>”</w:t>
      </w:r>
      <w:r w:rsidR="00AE4713">
        <w:t>,</w:t>
      </w:r>
      <w:r w:rsidR="00EE4FC3">
        <w:t xml:space="preserve"> </w:t>
      </w:r>
      <w:r w:rsidRPr="00382917">
        <w:t>the</w:t>
      </w:r>
      <w:r w:rsidR="00EE4FC3">
        <w:t xml:space="preserve"> </w:t>
      </w:r>
      <w:r w:rsidR="009C713D" w:rsidRPr="00382917">
        <w:t>“</w:t>
      </w:r>
      <w:r w:rsidRPr="00382917">
        <w:t>Great</w:t>
      </w:r>
      <w:r w:rsidR="00EE4FC3">
        <w:t xml:space="preserve"> </w:t>
      </w:r>
      <w:r w:rsidRPr="00382917">
        <w:t>Day</w:t>
      </w:r>
      <w:r w:rsidR="009C713D" w:rsidRPr="00382917">
        <w:t>”</w:t>
      </w:r>
      <w:r w:rsidR="00AE4713">
        <w:t>,</w:t>
      </w:r>
      <w:r w:rsidR="00EE4FC3">
        <w:t xml:space="preserve"> </w:t>
      </w:r>
      <w:r w:rsidRPr="00382917">
        <w:t>the</w:t>
      </w:r>
      <w:r w:rsidR="00EE4FC3">
        <w:t xml:space="preserve"> </w:t>
      </w:r>
      <w:r w:rsidR="009C713D" w:rsidRPr="00382917">
        <w:t>“</w:t>
      </w:r>
      <w:r w:rsidRPr="00382917">
        <w:t>Last</w:t>
      </w:r>
      <w:r w:rsidR="00EE4FC3">
        <w:t xml:space="preserve"> </w:t>
      </w:r>
      <w:r w:rsidRPr="00382917">
        <w:t>Day</w:t>
      </w:r>
      <w:r w:rsidR="009C713D" w:rsidRPr="00382917">
        <w:t>”</w:t>
      </w:r>
      <w:r w:rsidR="00AE4713">
        <w:t>,</w:t>
      </w:r>
      <w:r w:rsidR="00EE4FC3">
        <w:t xml:space="preserve"> </w:t>
      </w:r>
      <w:r w:rsidRPr="00382917">
        <w:t>the</w:t>
      </w:r>
      <w:r w:rsidR="00EE4FC3">
        <w:t xml:space="preserve"> </w:t>
      </w:r>
      <w:r w:rsidRPr="00382917">
        <w:t>day</w:t>
      </w:r>
      <w:r w:rsidR="00EE4FC3">
        <w:t xml:space="preserve"> </w:t>
      </w:r>
      <w:r w:rsidR="009C713D" w:rsidRPr="00382917">
        <w:t>“</w:t>
      </w:r>
      <w:r w:rsidRPr="00382917">
        <w:t>when</w:t>
      </w:r>
      <w:r w:rsidR="00EE4FC3">
        <w:t xml:space="preserve"> </w:t>
      </w:r>
      <w:r w:rsidRPr="00382917">
        <w:t>the</w:t>
      </w:r>
      <w:r w:rsidR="00EE4FC3">
        <w:t xml:space="preserve"> </w:t>
      </w:r>
      <w:r w:rsidRPr="00382917">
        <w:t>earth</w:t>
      </w:r>
      <w:r w:rsidR="00EE4FC3">
        <w:t xml:space="preserve"> </w:t>
      </w:r>
      <w:r w:rsidRPr="00382917">
        <w:t>shall</w:t>
      </w:r>
      <w:r w:rsidR="00EE4FC3">
        <w:t xml:space="preserve"> </w:t>
      </w:r>
      <w:r w:rsidRPr="00382917">
        <w:t>shine</w:t>
      </w:r>
      <w:r w:rsidR="00EE4FC3">
        <w:t xml:space="preserve"> </w:t>
      </w:r>
      <w:r w:rsidRPr="00382917">
        <w:t>with</w:t>
      </w:r>
      <w:r w:rsidR="00EE4FC3">
        <w:t xml:space="preserve"> </w:t>
      </w:r>
      <w:r w:rsidRPr="00382917">
        <w:t>the</w:t>
      </w:r>
      <w:r w:rsidR="00EE4FC3">
        <w:t xml:space="preserve"> </w:t>
      </w:r>
      <w:r w:rsidRPr="00382917">
        <w:t>light</w:t>
      </w:r>
      <w:r w:rsidR="00EE4FC3">
        <w:t xml:space="preserve"> </w:t>
      </w:r>
      <w:r w:rsidRPr="00382917">
        <w:t>of</w:t>
      </w:r>
      <w:r w:rsidR="00EE4FC3">
        <w:t xml:space="preserve"> </w:t>
      </w:r>
      <w:r w:rsidRPr="00382917">
        <w:t>her</w:t>
      </w:r>
      <w:r w:rsidR="00EE4FC3">
        <w:t xml:space="preserve"> </w:t>
      </w:r>
      <w:r w:rsidRPr="00382917">
        <w:t>Lord.</w:t>
      </w:r>
      <w:r w:rsidR="009C713D" w:rsidRPr="00382917">
        <w:t>”</w:t>
      </w:r>
    </w:p>
    <w:p w:rsidR="00B568B6" w:rsidRPr="00382917" w:rsidRDefault="00B568B6" w:rsidP="00AE4713">
      <w:pPr>
        <w:pStyle w:val="Text"/>
      </w:pPr>
      <w:r w:rsidRPr="00382917">
        <w:t>The</w:t>
      </w:r>
      <w:r w:rsidR="00EE4FC3">
        <w:t xml:space="preserve"> </w:t>
      </w:r>
      <w:r w:rsidRPr="00382917">
        <w:t>Book</w:t>
      </w:r>
      <w:r w:rsidR="00EE4FC3">
        <w:t xml:space="preserve"> </w:t>
      </w:r>
      <w:r w:rsidRPr="00382917">
        <w:t>of</w:t>
      </w:r>
      <w:r w:rsidR="00EE4FC3">
        <w:t xml:space="preserve"> </w:t>
      </w:r>
      <w:r w:rsidRPr="00382917">
        <w:t>Revelation</w:t>
      </w:r>
      <w:r w:rsidR="00EE4FC3">
        <w:t xml:space="preserve"> </w:t>
      </w:r>
      <w:r w:rsidRPr="00382917">
        <w:t>referred</w:t>
      </w:r>
      <w:r w:rsidR="00EE4FC3">
        <w:t xml:space="preserve"> </w:t>
      </w:r>
      <w:r w:rsidRPr="00382917">
        <w:t>to</w:t>
      </w:r>
      <w:r w:rsidR="00EE4FC3">
        <w:t xml:space="preserve"> </w:t>
      </w:r>
      <w:r w:rsidRPr="00382917">
        <w:t>Bahá</w:t>
      </w:r>
      <w:r w:rsidR="009C713D" w:rsidRPr="00382917">
        <w:t>’</w:t>
      </w:r>
      <w:r w:rsidRPr="00382917">
        <w:t>u</w:t>
      </w:r>
      <w:r w:rsidR="009C713D" w:rsidRPr="00382917">
        <w:t>’</w:t>
      </w:r>
      <w:r w:rsidRPr="00382917">
        <w:t>lláh</w:t>
      </w:r>
      <w:r w:rsidR="00EE4FC3">
        <w:t xml:space="preserve"> </w:t>
      </w:r>
      <w:r w:rsidRPr="00382917">
        <w:t>as</w:t>
      </w:r>
      <w:r w:rsidR="00EE4FC3">
        <w:t xml:space="preserve"> </w:t>
      </w:r>
      <w:r w:rsidRPr="00382917">
        <w:t>the</w:t>
      </w:r>
      <w:r w:rsidR="00EE4FC3">
        <w:t xml:space="preserve"> </w:t>
      </w:r>
      <w:r w:rsidR="009C713D" w:rsidRPr="00382917">
        <w:t>“</w:t>
      </w:r>
      <w:r w:rsidRPr="00382917">
        <w:t>Glory</w:t>
      </w:r>
      <w:r w:rsidR="00EE4FC3">
        <w:t xml:space="preserve"> </w:t>
      </w:r>
      <w:r w:rsidRPr="00382917">
        <w:t>of</w:t>
      </w:r>
      <w:r w:rsidR="00EE4FC3">
        <w:t xml:space="preserve"> </w:t>
      </w:r>
      <w:r w:rsidRPr="00382917">
        <w:t>God</w:t>
      </w:r>
      <w:r w:rsidR="009C713D" w:rsidRPr="00382917">
        <w:t>”</w:t>
      </w:r>
      <w:r w:rsidR="00AE4713">
        <w:t>,</w:t>
      </w:r>
      <w:r w:rsidR="00EE4FC3">
        <w:t xml:space="preserve"> </w:t>
      </w:r>
      <w:r w:rsidRPr="00382917">
        <w:t>as</w:t>
      </w:r>
      <w:r w:rsidR="00EE4FC3">
        <w:t xml:space="preserve"> </w:t>
      </w:r>
      <w:r w:rsidR="009C713D" w:rsidRPr="00382917">
        <w:t>“</w:t>
      </w:r>
      <w:r w:rsidRPr="00382917">
        <w:t>Alpha</w:t>
      </w:r>
      <w:r w:rsidR="00EE4FC3">
        <w:t xml:space="preserve"> </w:t>
      </w:r>
      <w:r w:rsidRPr="00382917">
        <w:t>and</w:t>
      </w:r>
      <w:r w:rsidR="00EE4FC3">
        <w:t xml:space="preserve"> </w:t>
      </w:r>
      <w:r w:rsidRPr="00382917">
        <w:t>Omega</w:t>
      </w:r>
      <w:r w:rsidR="009C713D" w:rsidRPr="00382917">
        <w:t>”</w:t>
      </w:r>
      <w:r w:rsidR="00AE4713">
        <w:t>,</w:t>
      </w:r>
      <w:r w:rsidR="00EE4FC3">
        <w:t xml:space="preserve"> </w:t>
      </w:r>
      <w:r w:rsidR="009C713D" w:rsidRPr="00382917">
        <w:t>“</w:t>
      </w:r>
      <w:r w:rsidRPr="00382917">
        <w:t>the</w:t>
      </w:r>
      <w:r w:rsidR="00EE4FC3">
        <w:t xml:space="preserve"> </w:t>
      </w:r>
      <w:r w:rsidRPr="00382917">
        <w:t>Beginning</w:t>
      </w:r>
      <w:r w:rsidR="00EE4FC3">
        <w:t xml:space="preserve"> </w:t>
      </w:r>
      <w:r w:rsidRPr="00382917">
        <w:t>and</w:t>
      </w:r>
      <w:r w:rsidR="00EE4FC3">
        <w:t xml:space="preserve"> </w:t>
      </w:r>
      <w:r w:rsidRPr="00382917">
        <w:t>the</w:t>
      </w:r>
      <w:r w:rsidR="00EE4FC3">
        <w:t xml:space="preserve"> </w:t>
      </w:r>
      <w:r w:rsidRPr="00382917">
        <w:t>End</w:t>
      </w:r>
      <w:r w:rsidR="009C713D" w:rsidRPr="00382917">
        <w:t>”</w:t>
      </w:r>
      <w:r w:rsidR="00AE4713">
        <w:t>,</w:t>
      </w:r>
      <w:r w:rsidR="00EE4FC3">
        <w:t xml:space="preserve"> </w:t>
      </w:r>
      <w:r w:rsidR="009C713D" w:rsidRPr="00382917">
        <w:t>“</w:t>
      </w:r>
      <w:r w:rsidRPr="00382917">
        <w:t>the</w:t>
      </w:r>
      <w:r w:rsidR="00EE4FC3">
        <w:t xml:space="preserve"> </w:t>
      </w:r>
      <w:r w:rsidRPr="00382917">
        <w:t>First</w:t>
      </w:r>
      <w:r w:rsidR="00EE4FC3">
        <w:t xml:space="preserve"> </w:t>
      </w:r>
      <w:r w:rsidRPr="00382917">
        <w:t>and</w:t>
      </w:r>
      <w:r w:rsidR="00EE4FC3">
        <w:t xml:space="preserve"> </w:t>
      </w:r>
      <w:r w:rsidRPr="00382917">
        <w:t>the</w:t>
      </w:r>
      <w:r w:rsidR="00EE4FC3">
        <w:t xml:space="preserve"> </w:t>
      </w:r>
      <w:r w:rsidRPr="00382917">
        <w:t>Last</w:t>
      </w:r>
      <w:r w:rsidR="009C713D" w:rsidRPr="00382917">
        <w:t>”</w:t>
      </w:r>
      <w:r w:rsidR="00AE4713">
        <w:t>.</w:t>
      </w:r>
    </w:p>
    <w:p w:rsidR="00B568B6" w:rsidRPr="00382917" w:rsidRDefault="00B568B6" w:rsidP="00A73735">
      <w:pPr>
        <w:pStyle w:val="Text"/>
      </w:pPr>
      <w:r w:rsidRPr="00382917">
        <w:t>To</w:t>
      </w:r>
      <w:r w:rsidR="00EE4FC3">
        <w:t xml:space="preserve"> </w:t>
      </w:r>
      <w:r w:rsidRPr="00382917">
        <w:t>the</w:t>
      </w:r>
      <w:r w:rsidR="00EE4FC3">
        <w:t xml:space="preserve"> </w:t>
      </w:r>
      <w:r w:rsidRPr="00382917">
        <w:t>hour</w:t>
      </w:r>
      <w:r w:rsidR="00EE4FC3">
        <w:t xml:space="preserve"> </w:t>
      </w:r>
      <w:r w:rsidRPr="00382917">
        <w:t>of</w:t>
      </w:r>
      <w:r w:rsidR="00EE4FC3">
        <w:t xml:space="preserve"> </w:t>
      </w:r>
      <w:r w:rsidRPr="00382917">
        <w:t>Bahá</w:t>
      </w:r>
      <w:r w:rsidR="009C713D" w:rsidRPr="00382917">
        <w:t>’</w:t>
      </w:r>
      <w:r w:rsidRPr="00382917">
        <w:t>u</w:t>
      </w:r>
      <w:r w:rsidR="009C713D" w:rsidRPr="00382917">
        <w:t>’</w:t>
      </w:r>
      <w:r w:rsidRPr="00382917">
        <w:t>lláh</w:t>
      </w:r>
      <w:r w:rsidR="009C713D" w:rsidRPr="00382917">
        <w:t>’</w:t>
      </w:r>
      <w:r w:rsidRPr="00382917">
        <w:t>s</w:t>
      </w:r>
      <w:r w:rsidR="00EE4FC3">
        <w:t xml:space="preserve"> </w:t>
      </w:r>
      <w:r w:rsidRPr="00382917">
        <w:t>appearance,</w:t>
      </w:r>
      <w:r w:rsidR="00EE4FC3">
        <w:t xml:space="preserve"> </w:t>
      </w:r>
      <w:r w:rsidRPr="00382917">
        <w:t>St.</w:t>
      </w:r>
      <w:r w:rsidR="00EE4FC3">
        <w:t xml:space="preserve"> </w:t>
      </w:r>
      <w:r w:rsidRPr="00382917">
        <w:t>Paul</w:t>
      </w:r>
      <w:r w:rsidR="00EE4FC3">
        <w:t xml:space="preserve"> </w:t>
      </w:r>
      <w:r w:rsidRPr="00382917">
        <w:t>alluded</w:t>
      </w:r>
      <w:r w:rsidR="00EE4FC3">
        <w:t xml:space="preserve"> </w:t>
      </w:r>
      <w:r w:rsidRPr="00382917">
        <w:t>as</w:t>
      </w:r>
      <w:r w:rsidR="00EE4FC3">
        <w:t xml:space="preserve"> </w:t>
      </w:r>
      <w:r w:rsidRPr="00382917">
        <w:t>the</w:t>
      </w:r>
      <w:r w:rsidR="00EE4FC3">
        <w:t xml:space="preserve"> </w:t>
      </w:r>
      <w:r w:rsidRPr="00382917">
        <w:t>hour</w:t>
      </w:r>
      <w:r w:rsidR="00EE4FC3">
        <w:t xml:space="preserve"> </w:t>
      </w:r>
      <w:r w:rsidRPr="00382917">
        <w:t>of</w:t>
      </w:r>
      <w:r w:rsidR="00EE4FC3">
        <w:t xml:space="preserve"> </w:t>
      </w:r>
      <w:r w:rsidRPr="00382917">
        <w:t>the</w:t>
      </w:r>
      <w:r w:rsidR="00EE4FC3">
        <w:t xml:space="preserve"> </w:t>
      </w:r>
      <w:r w:rsidR="009C713D" w:rsidRPr="00382917">
        <w:t>“</w:t>
      </w:r>
      <w:r w:rsidRPr="00382917">
        <w:t>last</w:t>
      </w:r>
      <w:r w:rsidR="00EE4FC3">
        <w:t xml:space="preserve"> </w:t>
      </w:r>
      <w:r w:rsidRPr="00382917">
        <w:t>trump</w:t>
      </w:r>
      <w:r w:rsidR="009C713D" w:rsidRPr="00382917">
        <w:t>”</w:t>
      </w:r>
      <w:r w:rsidR="00A73735">
        <w:t>,</w:t>
      </w:r>
      <w:r w:rsidR="00EE4FC3">
        <w:t xml:space="preserve"> </w:t>
      </w:r>
      <w:r w:rsidRPr="00382917">
        <w:t>the</w:t>
      </w:r>
      <w:r w:rsidR="00EE4FC3">
        <w:t xml:space="preserve"> </w:t>
      </w:r>
      <w:r w:rsidR="009C713D" w:rsidRPr="00382917">
        <w:t>“</w:t>
      </w:r>
      <w:r w:rsidRPr="00382917">
        <w:t>trump</w:t>
      </w:r>
      <w:r w:rsidR="00EE4FC3">
        <w:t xml:space="preserve"> </w:t>
      </w:r>
      <w:r w:rsidRPr="00382917">
        <w:t>of</w:t>
      </w:r>
      <w:r w:rsidR="00EE4FC3">
        <w:t xml:space="preserve"> </w:t>
      </w:r>
      <w:r w:rsidRPr="00382917">
        <w:t>God</w:t>
      </w:r>
      <w:r w:rsidR="009C713D" w:rsidRPr="00382917">
        <w:t>”</w:t>
      </w:r>
      <w:r w:rsidR="00A73735">
        <w:t>.</w:t>
      </w:r>
    </w:p>
    <w:p w:rsidR="00B568B6" w:rsidRPr="00382917" w:rsidRDefault="00B568B6" w:rsidP="00A73735">
      <w:pPr>
        <w:pStyle w:val="Text"/>
      </w:pPr>
      <w:r w:rsidRPr="00382917">
        <w:t>St.</w:t>
      </w:r>
      <w:r w:rsidR="00EE4FC3">
        <w:t xml:space="preserve"> </w:t>
      </w:r>
      <w:r w:rsidRPr="00382917">
        <w:t>Peter</w:t>
      </w:r>
      <w:r w:rsidR="00EE4FC3">
        <w:t xml:space="preserve"> </w:t>
      </w:r>
      <w:r w:rsidRPr="00382917">
        <w:t>spoke</w:t>
      </w:r>
      <w:r w:rsidR="00EE4FC3">
        <w:t xml:space="preserve"> </w:t>
      </w:r>
      <w:r w:rsidRPr="00382917">
        <w:t>of</w:t>
      </w:r>
      <w:r w:rsidR="00EE4FC3">
        <w:t xml:space="preserve"> </w:t>
      </w:r>
      <w:r w:rsidRPr="00382917">
        <w:t>Bahá</w:t>
      </w:r>
      <w:r w:rsidR="009C713D" w:rsidRPr="00382917">
        <w:t>’</w:t>
      </w:r>
      <w:r w:rsidRPr="00382917">
        <w:t>u</w:t>
      </w:r>
      <w:r w:rsidR="009C713D" w:rsidRPr="00382917">
        <w:t>’</w:t>
      </w:r>
      <w:r w:rsidRPr="00382917">
        <w:t>lláh</w:t>
      </w:r>
      <w:r w:rsidR="009C713D" w:rsidRPr="00382917">
        <w:t>’</w:t>
      </w:r>
      <w:r w:rsidRPr="00382917">
        <w:t>s</w:t>
      </w:r>
      <w:r w:rsidR="00EE4FC3">
        <w:t xml:space="preserve"> </w:t>
      </w:r>
      <w:r w:rsidRPr="00382917">
        <w:t>day</w:t>
      </w:r>
      <w:r w:rsidR="00EE4FC3">
        <w:t xml:space="preserve"> </w:t>
      </w:r>
      <w:r w:rsidRPr="00382917">
        <w:t>as</w:t>
      </w:r>
      <w:r w:rsidR="00EE4FC3">
        <w:t xml:space="preserve"> </w:t>
      </w:r>
      <w:r w:rsidR="009C713D" w:rsidRPr="00382917">
        <w:t>“</w:t>
      </w:r>
      <w:r w:rsidRPr="00382917">
        <w:t>the</w:t>
      </w:r>
      <w:r w:rsidR="00EE4FC3">
        <w:t xml:space="preserve"> </w:t>
      </w:r>
      <w:r w:rsidRPr="00382917">
        <w:t>times</w:t>
      </w:r>
      <w:r w:rsidR="00EE4FC3">
        <w:t xml:space="preserve"> </w:t>
      </w:r>
      <w:r w:rsidRPr="00382917">
        <w:t>of</w:t>
      </w:r>
      <w:r w:rsidR="00EE4FC3">
        <w:t xml:space="preserve"> </w:t>
      </w:r>
      <w:r w:rsidRPr="00382917">
        <w:t>refreshing</w:t>
      </w:r>
      <w:r w:rsidR="009C713D" w:rsidRPr="00382917">
        <w:t>”</w:t>
      </w:r>
      <w:r w:rsidR="00A73735">
        <w:t>,</w:t>
      </w:r>
      <w:r w:rsidR="00EE4FC3">
        <w:t xml:space="preserve"> </w:t>
      </w:r>
      <w:r w:rsidRPr="00382917">
        <w:t>the</w:t>
      </w:r>
      <w:r w:rsidR="00EE4FC3">
        <w:t xml:space="preserve"> </w:t>
      </w:r>
      <w:r w:rsidR="009C713D" w:rsidRPr="00382917">
        <w:t>“</w:t>
      </w:r>
      <w:r w:rsidRPr="00382917">
        <w:t>times</w:t>
      </w:r>
      <w:r w:rsidR="00EE4FC3">
        <w:t xml:space="preserve"> </w:t>
      </w:r>
      <w:r w:rsidRPr="00382917">
        <w:t>of</w:t>
      </w:r>
      <w:r w:rsidR="00EE4FC3">
        <w:t xml:space="preserve"> </w:t>
      </w:r>
      <w:r w:rsidRPr="00382917">
        <w:t>restitution</w:t>
      </w:r>
      <w:r w:rsidR="00EE4FC3">
        <w:t xml:space="preserve"> </w:t>
      </w:r>
      <w:r w:rsidRPr="00382917">
        <w:t>of</w:t>
      </w:r>
      <w:r w:rsidR="00EE4FC3">
        <w:t xml:space="preserve"> </w:t>
      </w:r>
      <w:r w:rsidRPr="00382917">
        <w:t>all</w:t>
      </w:r>
      <w:r w:rsidR="00EE4FC3">
        <w:t xml:space="preserve"> </w:t>
      </w:r>
      <w:r w:rsidRPr="00382917">
        <w:t>things,</w:t>
      </w:r>
      <w:r w:rsidR="00EE4FC3">
        <w:t xml:space="preserve"> </w:t>
      </w:r>
      <w:r w:rsidRPr="00382917">
        <w:t>which</w:t>
      </w:r>
      <w:r w:rsidR="00EE4FC3">
        <w:t xml:space="preserve"> </w:t>
      </w:r>
      <w:r w:rsidRPr="00382917">
        <w:t>God</w:t>
      </w:r>
      <w:r w:rsidR="00EE4FC3">
        <w:t xml:space="preserve"> </w:t>
      </w:r>
      <w:r w:rsidR="005B2C36" w:rsidRPr="00382917">
        <w:t>h</w:t>
      </w:r>
      <w:r w:rsidRPr="00382917">
        <w:t>ath</w:t>
      </w:r>
      <w:r w:rsidR="00EE4FC3">
        <w:t xml:space="preserve"> </w:t>
      </w:r>
      <w:r w:rsidRPr="00382917">
        <w:t>spoken</w:t>
      </w:r>
      <w:r w:rsidR="00EE4FC3">
        <w:t xml:space="preserve"> </w:t>
      </w:r>
      <w:r w:rsidRPr="00382917">
        <w:t>by</w:t>
      </w:r>
      <w:r w:rsidR="00EE4FC3">
        <w:t xml:space="preserve"> </w:t>
      </w:r>
      <w:r w:rsidRPr="00382917">
        <w:t>the</w:t>
      </w:r>
      <w:r w:rsidR="00EE4FC3">
        <w:t xml:space="preserve"> </w:t>
      </w:r>
      <w:r w:rsidRPr="00382917">
        <w:t>mouth</w:t>
      </w:r>
      <w:r w:rsidR="00EE4FC3">
        <w:t xml:space="preserve"> </w:t>
      </w:r>
      <w:r w:rsidRPr="00382917">
        <w:t>of</w:t>
      </w:r>
      <w:r w:rsidR="00EE4FC3">
        <w:t xml:space="preserve"> </w:t>
      </w:r>
      <w:r w:rsidRPr="00382917">
        <w:t>all</w:t>
      </w:r>
      <w:r w:rsidR="00EE4FC3">
        <w:t xml:space="preserve"> </w:t>
      </w:r>
      <w:r w:rsidRPr="00382917">
        <w:t>His</w:t>
      </w:r>
      <w:r w:rsidR="00EE4FC3">
        <w:t xml:space="preserve"> </w:t>
      </w:r>
      <w:r w:rsidRPr="00382917">
        <w:t>holy</w:t>
      </w:r>
      <w:r w:rsidR="00EE4FC3">
        <w:t xml:space="preserve"> </w:t>
      </w:r>
      <w:r w:rsidRPr="00382917">
        <w:t>Prophets</w:t>
      </w:r>
      <w:r w:rsidR="00EE4FC3">
        <w:t xml:space="preserve"> </w:t>
      </w:r>
      <w:r w:rsidRPr="00382917">
        <w:t>since</w:t>
      </w:r>
      <w:r w:rsidR="00EE4FC3">
        <w:t xml:space="preserve"> </w:t>
      </w:r>
      <w:r w:rsidRPr="00382917">
        <w:t>the</w:t>
      </w:r>
      <w:r w:rsidR="00EE4FC3">
        <w:t xml:space="preserve"> </w:t>
      </w:r>
      <w:r w:rsidRPr="00382917">
        <w:t>world</w:t>
      </w:r>
      <w:r w:rsidR="00EE4FC3">
        <w:t xml:space="preserve"> </w:t>
      </w:r>
      <w:r w:rsidRPr="00382917">
        <w:t>began.</w:t>
      </w:r>
      <w:r w:rsidR="009C713D" w:rsidRPr="00382917">
        <w:t>”</w:t>
      </w:r>
    </w:p>
    <w:p w:rsidR="00B568B6" w:rsidRPr="00382917" w:rsidRDefault="00B568B6" w:rsidP="00A73735">
      <w:pPr>
        <w:pStyle w:val="Text"/>
      </w:pPr>
      <w:r w:rsidRPr="00382917">
        <w:t>The</w:t>
      </w:r>
      <w:r w:rsidR="00EE4FC3">
        <w:t xml:space="preserve"> </w:t>
      </w:r>
      <w:r w:rsidRPr="00382917">
        <w:t>Báb</w:t>
      </w:r>
      <w:r w:rsidR="00EE4FC3">
        <w:t xml:space="preserve"> </w:t>
      </w:r>
      <w:r w:rsidRPr="00382917">
        <w:t>extolled</w:t>
      </w:r>
      <w:r w:rsidR="00EE4FC3">
        <w:t xml:space="preserve"> </w:t>
      </w:r>
      <w:r w:rsidRPr="00382917">
        <w:t>Bahá</w:t>
      </w:r>
      <w:r w:rsidR="009C713D" w:rsidRPr="00382917">
        <w:t>’</w:t>
      </w:r>
      <w:r w:rsidRPr="00382917">
        <w:t>u</w:t>
      </w:r>
      <w:r w:rsidR="009C713D" w:rsidRPr="00382917">
        <w:t>’</w:t>
      </w:r>
      <w:r w:rsidRPr="00382917">
        <w:t>lláh</w:t>
      </w:r>
      <w:r w:rsidR="00EE4FC3">
        <w:t xml:space="preserve"> </w:t>
      </w:r>
      <w:r w:rsidRPr="00382917">
        <w:t>as</w:t>
      </w:r>
      <w:r w:rsidR="00EE4FC3">
        <w:t xml:space="preserve"> </w:t>
      </w:r>
      <w:r w:rsidRPr="00382917">
        <w:t>the</w:t>
      </w:r>
      <w:r w:rsidR="00EE4FC3">
        <w:t xml:space="preserve"> </w:t>
      </w:r>
      <w:r w:rsidR="009C713D" w:rsidRPr="00382917">
        <w:t>“</w:t>
      </w:r>
      <w:r w:rsidRPr="00382917">
        <w:t>Lord</w:t>
      </w:r>
      <w:r w:rsidR="00EE4FC3">
        <w:t xml:space="preserve"> </w:t>
      </w:r>
      <w:r w:rsidRPr="00382917">
        <w:t>of</w:t>
      </w:r>
      <w:r w:rsidR="00EE4FC3">
        <w:t xml:space="preserve"> </w:t>
      </w:r>
      <w:r w:rsidRPr="00382917">
        <w:t>the</w:t>
      </w:r>
      <w:r w:rsidR="00EE4FC3">
        <w:t xml:space="preserve"> </w:t>
      </w:r>
      <w:r w:rsidRPr="00382917">
        <w:t>visible</w:t>
      </w:r>
      <w:r w:rsidR="00EE4FC3">
        <w:t xml:space="preserve"> </w:t>
      </w:r>
      <w:r w:rsidRPr="00382917">
        <w:t>and</w:t>
      </w:r>
      <w:r w:rsidR="00EE4FC3">
        <w:t xml:space="preserve"> </w:t>
      </w:r>
      <w:r w:rsidRPr="00382917">
        <w:t>invisible</w:t>
      </w:r>
      <w:r w:rsidR="009C713D" w:rsidRPr="00382917">
        <w:t>”</w:t>
      </w:r>
      <w:r w:rsidR="00A73735">
        <w:t>,</w:t>
      </w:r>
      <w:r w:rsidR="00EE4FC3">
        <w:t xml:space="preserve"> </w:t>
      </w:r>
      <w:r w:rsidR="009C713D" w:rsidRPr="00382917">
        <w:t>“</w:t>
      </w:r>
      <w:r w:rsidRPr="00382917">
        <w:t>the</w:t>
      </w:r>
      <w:r w:rsidR="00EE4FC3">
        <w:t xml:space="preserve"> </w:t>
      </w:r>
      <w:r w:rsidRPr="00382917">
        <w:t>Omnipotent</w:t>
      </w:r>
      <w:r w:rsidR="00EE4FC3">
        <w:t xml:space="preserve"> </w:t>
      </w:r>
      <w:r w:rsidRPr="00382917">
        <w:t>Master</w:t>
      </w:r>
      <w:r w:rsidR="009C713D" w:rsidRPr="00382917">
        <w:t>”</w:t>
      </w:r>
      <w:r w:rsidR="00A73735">
        <w:t>,</w:t>
      </w:r>
      <w:r w:rsidR="00EE4FC3">
        <w:t xml:space="preserve"> </w:t>
      </w:r>
      <w:r w:rsidRPr="00382917">
        <w:t>the</w:t>
      </w:r>
      <w:r w:rsidR="00EE4FC3">
        <w:t xml:space="preserve"> </w:t>
      </w:r>
      <w:r w:rsidR="009C713D" w:rsidRPr="00382917">
        <w:t>“</w:t>
      </w:r>
      <w:r w:rsidRPr="00382917">
        <w:t>Essence</w:t>
      </w:r>
      <w:r w:rsidR="00EE4FC3">
        <w:t xml:space="preserve"> </w:t>
      </w:r>
      <w:r w:rsidRPr="00382917">
        <w:t>of</w:t>
      </w:r>
      <w:r w:rsidR="00EE4FC3">
        <w:t xml:space="preserve"> </w:t>
      </w:r>
      <w:r w:rsidRPr="00382917">
        <w:t>Being</w:t>
      </w:r>
      <w:r w:rsidR="009C713D" w:rsidRPr="00382917">
        <w:t>”</w:t>
      </w:r>
      <w:r w:rsidR="00A73735">
        <w:t>,</w:t>
      </w:r>
      <w:r w:rsidR="00EE4FC3">
        <w:t xml:space="preserve"> </w:t>
      </w:r>
      <w:r w:rsidRPr="00382917">
        <w:t>the</w:t>
      </w:r>
      <w:r w:rsidR="00EE4FC3">
        <w:t xml:space="preserve"> </w:t>
      </w:r>
      <w:r w:rsidR="009C713D" w:rsidRPr="00382917">
        <w:t>“</w:t>
      </w:r>
      <w:r w:rsidRPr="00382917">
        <w:t>sole</w:t>
      </w:r>
      <w:r w:rsidR="00EE4FC3">
        <w:t xml:space="preserve"> </w:t>
      </w:r>
      <w:r w:rsidRPr="00382917">
        <w:t>Object</w:t>
      </w:r>
      <w:r w:rsidR="00EE4FC3">
        <w:t xml:space="preserve"> </w:t>
      </w:r>
      <w:r w:rsidRPr="00382917">
        <w:t>of</w:t>
      </w:r>
      <w:r w:rsidR="00EE4FC3">
        <w:t xml:space="preserve"> </w:t>
      </w:r>
      <w:r w:rsidRPr="00382917">
        <w:t>all</w:t>
      </w:r>
      <w:r w:rsidR="00EE4FC3">
        <w:t xml:space="preserve"> </w:t>
      </w:r>
      <w:r w:rsidRPr="00382917">
        <w:t>previous</w:t>
      </w:r>
      <w:r w:rsidR="00EE4FC3">
        <w:t xml:space="preserve"> </w:t>
      </w:r>
      <w:r w:rsidRPr="00382917">
        <w:t>Revelations,</w:t>
      </w:r>
      <w:r w:rsidR="00EE4FC3">
        <w:t xml:space="preserve"> </w:t>
      </w:r>
      <w:r w:rsidRPr="00382917">
        <w:t>including</w:t>
      </w:r>
      <w:r w:rsidR="00EE4FC3">
        <w:t xml:space="preserve"> </w:t>
      </w:r>
      <w:r w:rsidRPr="00382917">
        <w:t>the</w:t>
      </w:r>
      <w:r w:rsidR="00EE4FC3">
        <w:t xml:space="preserve"> </w:t>
      </w:r>
      <w:r w:rsidRPr="00382917">
        <w:t>Revelation</w:t>
      </w:r>
      <w:r w:rsidR="00EE4FC3">
        <w:t xml:space="preserve"> </w:t>
      </w:r>
      <w:r w:rsidRPr="00382917">
        <w:t>of</w:t>
      </w:r>
      <w:r w:rsidR="00EE4FC3">
        <w:t xml:space="preserve"> </w:t>
      </w:r>
      <w:r w:rsidRPr="00382917">
        <w:t>the</w:t>
      </w:r>
      <w:r w:rsidR="00EE4FC3">
        <w:t xml:space="preserve"> </w:t>
      </w:r>
      <w:r w:rsidRPr="00382917">
        <w:t>Qá</w:t>
      </w:r>
      <w:r w:rsidR="009C713D" w:rsidRPr="00382917">
        <w:t>’</w:t>
      </w:r>
      <w:r w:rsidRPr="00382917">
        <w:t>im</w:t>
      </w:r>
      <w:r w:rsidR="00EE4FC3">
        <w:t xml:space="preserve"> </w:t>
      </w:r>
      <w:r w:rsidRPr="00382917">
        <w:t>[the</w:t>
      </w:r>
      <w:r w:rsidR="00EE4FC3">
        <w:t xml:space="preserve"> </w:t>
      </w:r>
      <w:r w:rsidRPr="00382917">
        <w:t>Báb]</w:t>
      </w:r>
      <w:r w:rsidR="00EE4FC3">
        <w:t xml:space="preserve"> </w:t>
      </w:r>
      <w:r w:rsidRPr="00382917">
        <w:t>Himself.</w:t>
      </w:r>
      <w:r w:rsidR="009C713D" w:rsidRPr="00382917">
        <w:t>”</w:t>
      </w:r>
    </w:p>
    <w:p w:rsidR="00B568B6" w:rsidRPr="00382917" w:rsidRDefault="00B568B6" w:rsidP="00A73735">
      <w:pPr>
        <w:pStyle w:val="Text"/>
      </w:pPr>
      <w:r w:rsidRPr="00382917">
        <w:t>Bahá</w:t>
      </w:r>
      <w:r w:rsidR="009C713D" w:rsidRPr="00382917">
        <w:t>’</w:t>
      </w:r>
      <w:r w:rsidRPr="00382917">
        <w:t>u</w:t>
      </w:r>
      <w:r w:rsidR="009C713D" w:rsidRPr="00382917">
        <w:t>’</w:t>
      </w:r>
      <w:r w:rsidRPr="00382917">
        <w:t>lláh</w:t>
      </w:r>
      <w:r w:rsidR="00EE4FC3">
        <w:t xml:space="preserve"> </w:t>
      </w:r>
      <w:r w:rsidRPr="00382917">
        <w:t>is</w:t>
      </w:r>
      <w:r w:rsidR="00EE4FC3">
        <w:t xml:space="preserve"> </w:t>
      </w:r>
      <w:r w:rsidRPr="00382917">
        <w:t>the</w:t>
      </w:r>
      <w:r w:rsidR="00EE4FC3">
        <w:t xml:space="preserve"> </w:t>
      </w:r>
      <w:r w:rsidRPr="00382917">
        <w:t>source</w:t>
      </w:r>
      <w:r w:rsidR="00EE4FC3">
        <w:t xml:space="preserve"> </w:t>
      </w:r>
      <w:r w:rsidRPr="00382917">
        <w:t>of</w:t>
      </w:r>
      <w:r w:rsidR="00EE4FC3">
        <w:t xml:space="preserve"> </w:t>
      </w:r>
      <w:r w:rsidRPr="00382917">
        <w:t>joy</w:t>
      </w:r>
      <w:r w:rsidR="00EE4FC3">
        <w:t xml:space="preserve"> </w:t>
      </w:r>
      <w:r w:rsidRPr="00382917">
        <w:t>and</w:t>
      </w:r>
      <w:r w:rsidR="00EE4FC3">
        <w:t xml:space="preserve"> </w:t>
      </w:r>
      <w:r w:rsidRPr="00382917">
        <w:t>thanksgiving</w:t>
      </w:r>
      <w:r w:rsidR="00EE4FC3">
        <w:t xml:space="preserve"> </w:t>
      </w:r>
      <w:r w:rsidRPr="00382917">
        <w:t>to</w:t>
      </w:r>
      <w:r w:rsidR="00EE4FC3">
        <w:t xml:space="preserve"> </w:t>
      </w:r>
      <w:r w:rsidRPr="00382917">
        <w:t>all</w:t>
      </w:r>
      <w:r w:rsidR="00EE4FC3">
        <w:t xml:space="preserve"> </w:t>
      </w:r>
      <w:r w:rsidRPr="00382917">
        <w:t>the</w:t>
      </w:r>
      <w:r w:rsidR="00EE4FC3">
        <w:t xml:space="preserve"> </w:t>
      </w:r>
      <w:proofErr w:type="spellStart"/>
      <w:r w:rsidRPr="00382917">
        <w:t>reli</w:t>
      </w:r>
      <w:proofErr w:type="spellEnd"/>
      <w:r w:rsidRPr="00382917">
        <w:t>-</w:t>
      </w:r>
    </w:p>
    <w:p w:rsidR="00B568B6" w:rsidRPr="00382917" w:rsidRDefault="00B568B6">
      <w:pPr>
        <w:widowControl/>
        <w:kinsoku/>
        <w:overflowPunct/>
        <w:textAlignment w:val="auto"/>
      </w:pPr>
      <w:r w:rsidRPr="00382917">
        <w:br w:type="page"/>
      </w:r>
    </w:p>
    <w:p w:rsidR="00B568B6" w:rsidRPr="00382917" w:rsidRDefault="00B568B6" w:rsidP="00A73735">
      <w:pPr>
        <w:pStyle w:val="Textcts"/>
      </w:pPr>
      <w:proofErr w:type="spellStart"/>
      <w:proofErr w:type="gramStart"/>
      <w:r w:rsidRPr="00382917">
        <w:t>gions</w:t>
      </w:r>
      <w:proofErr w:type="spellEnd"/>
      <w:proofErr w:type="gramEnd"/>
      <w:r w:rsidR="00EE4FC3">
        <w:t xml:space="preserve"> </w:t>
      </w:r>
      <w:r w:rsidRPr="00382917">
        <w:t>and</w:t>
      </w:r>
      <w:r w:rsidR="00EE4FC3">
        <w:t xml:space="preserve"> </w:t>
      </w:r>
      <w:r w:rsidRPr="00382917">
        <w:t>Prophets</w:t>
      </w:r>
      <w:r w:rsidR="00EE4FC3">
        <w:t xml:space="preserve"> </w:t>
      </w:r>
      <w:r w:rsidRPr="00382917">
        <w:t>who</w:t>
      </w:r>
      <w:r w:rsidR="00EE4FC3">
        <w:t xml:space="preserve"> </w:t>
      </w:r>
      <w:r w:rsidRPr="00382917">
        <w:t>preceded</w:t>
      </w:r>
      <w:r w:rsidR="00EE4FC3">
        <w:t xml:space="preserve"> </w:t>
      </w:r>
      <w:r w:rsidRPr="00382917">
        <w:t>Him</w:t>
      </w:r>
      <w:r w:rsidR="00F267E4">
        <w:t>.</w:t>
      </w:r>
      <w:r w:rsidR="00EE4FC3">
        <w:t xml:space="preserve">  </w:t>
      </w:r>
      <w:r w:rsidRPr="00382917">
        <w:t>He</w:t>
      </w:r>
      <w:r w:rsidR="00EE4FC3">
        <w:t xml:space="preserve"> </w:t>
      </w:r>
      <w:r w:rsidRPr="00382917">
        <w:t>is</w:t>
      </w:r>
      <w:r w:rsidR="00EE4FC3">
        <w:t xml:space="preserve"> </w:t>
      </w:r>
      <w:r w:rsidRPr="00382917">
        <w:t>the</w:t>
      </w:r>
      <w:r w:rsidR="00EE4FC3">
        <w:t xml:space="preserve"> </w:t>
      </w:r>
      <w:r w:rsidRPr="00382917">
        <w:t>seal</w:t>
      </w:r>
      <w:r w:rsidR="00EE4FC3">
        <w:t xml:space="preserve"> </w:t>
      </w:r>
      <w:r w:rsidRPr="00382917">
        <w:t>of</w:t>
      </w:r>
      <w:r w:rsidR="00EE4FC3">
        <w:t xml:space="preserve"> </w:t>
      </w:r>
      <w:r w:rsidRPr="00382917">
        <w:t>their</w:t>
      </w:r>
      <w:r w:rsidR="00EE4FC3">
        <w:t xml:space="preserve"> </w:t>
      </w:r>
      <w:proofErr w:type="spellStart"/>
      <w:r w:rsidRPr="00382917">
        <w:t>labor</w:t>
      </w:r>
      <w:proofErr w:type="spellEnd"/>
      <w:r w:rsidRPr="00382917">
        <w:t>,</w:t>
      </w:r>
      <w:r w:rsidR="00EE4FC3">
        <w:t xml:space="preserve"> </w:t>
      </w:r>
      <w:r w:rsidRPr="00382917">
        <w:t>the</w:t>
      </w:r>
      <w:r w:rsidR="00EE4FC3">
        <w:t xml:space="preserve"> </w:t>
      </w:r>
      <w:r w:rsidRPr="00382917">
        <w:t>fulfiller</w:t>
      </w:r>
      <w:r w:rsidR="00EE4FC3">
        <w:t xml:space="preserve"> </w:t>
      </w:r>
      <w:r w:rsidRPr="00382917">
        <w:t>of</w:t>
      </w:r>
      <w:r w:rsidR="00EE4FC3">
        <w:t xml:space="preserve"> </w:t>
      </w:r>
      <w:r w:rsidRPr="00382917">
        <w:t>their</w:t>
      </w:r>
      <w:r w:rsidR="00EE4FC3">
        <w:t xml:space="preserve"> </w:t>
      </w:r>
      <w:r w:rsidRPr="00382917">
        <w:t>promises,</w:t>
      </w:r>
      <w:r w:rsidR="00EE4FC3">
        <w:t xml:space="preserve"> </w:t>
      </w:r>
      <w:proofErr w:type="gramStart"/>
      <w:r w:rsidRPr="00382917">
        <w:t>the</w:t>
      </w:r>
      <w:proofErr w:type="gramEnd"/>
      <w:r w:rsidR="00EE4FC3">
        <w:t xml:space="preserve"> </w:t>
      </w:r>
      <w:r w:rsidRPr="00382917">
        <w:t>blessed</w:t>
      </w:r>
      <w:r w:rsidR="00EE4FC3">
        <w:t xml:space="preserve"> </w:t>
      </w:r>
      <w:r w:rsidRPr="00382917">
        <w:t>object</w:t>
      </w:r>
      <w:r w:rsidR="00EE4FC3">
        <w:t xml:space="preserve"> </w:t>
      </w:r>
      <w:r w:rsidRPr="00382917">
        <w:t>of</w:t>
      </w:r>
      <w:r w:rsidR="00EE4FC3">
        <w:t xml:space="preserve"> </w:t>
      </w:r>
      <w:r w:rsidRPr="00382917">
        <w:t>all</w:t>
      </w:r>
      <w:r w:rsidR="00EE4FC3">
        <w:t xml:space="preserve"> </w:t>
      </w:r>
      <w:r w:rsidRPr="00382917">
        <w:t>their</w:t>
      </w:r>
      <w:r w:rsidR="00EE4FC3">
        <w:t xml:space="preserve"> </w:t>
      </w:r>
      <w:r w:rsidRPr="00382917">
        <w:t>hopes</w:t>
      </w:r>
      <w:r w:rsidR="00F267E4">
        <w:t>.</w:t>
      </w:r>
      <w:r w:rsidR="00EE4FC3">
        <w:t xml:space="preserve">  </w:t>
      </w:r>
      <w:r w:rsidRPr="00382917">
        <w:t>He</w:t>
      </w:r>
      <w:r w:rsidR="00EE4FC3">
        <w:t xml:space="preserve"> </w:t>
      </w:r>
      <w:r w:rsidRPr="00382917">
        <w:t>was</w:t>
      </w:r>
      <w:r w:rsidR="00EE4FC3">
        <w:t xml:space="preserve"> </w:t>
      </w:r>
      <w:r w:rsidRPr="00382917">
        <w:t>indeed</w:t>
      </w:r>
      <w:r w:rsidR="00EE4FC3">
        <w:t xml:space="preserve"> </w:t>
      </w:r>
      <w:r w:rsidRPr="00382917">
        <w:t>destined</w:t>
      </w:r>
      <w:r w:rsidR="00EE4FC3">
        <w:t xml:space="preserve"> </w:t>
      </w:r>
      <w:r w:rsidRPr="00382917">
        <w:t>by</w:t>
      </w:r>
      <w:r w:rsidR="00EE4FC3">
        <w:t xml:space="preserve"> </w:t>
      </w:r>
      <w:r w:rsidRPr="00382917">
        <w:t>the</w:t>
      </w:r>
      <w:r w:rsidR="00EE4FC3">
        <w:t xml:space="preserve"> </w:t>
      </w:r>
      <w:r w:rsidRPr="00382917">
        <w:t>finger</w:t>
      </w:r>
      <w:r w:rsidR="00EE4FC3">
        <w:t xml:space="preserve"> </w:t>
      </w:r>
      <w:r w:rsidRPr="00382917">
        <w:t>of</w:t>
      </w:r>
      <w:r w:rsidR="00EE4FC3">
        <w:t xml:space="preserve"> </w:t>
      </w:r>
      <w:r w:rsidRPr="00382917">
        <w:t>God,</w:t>
      </w:r>
      <w:r w:rsidR="00EE4FC3">
        <w:t xml:space="preserve"> </w:t>
      </w:r>
      <w:r w:rsidRPr="00382917">
        <w:t>to</w:t>
      </w:r>
      <w:r w:rsidR="00EE4FC3">
        <w:t xml:space="preserve"> </w:t>
      </w:r>
      <w:r w:rsidRPr="00382917">
        <w:t>be</w:t>
      </w:r>
      <w:r w:rsidR="00EE4FC3">
        <w:t xml:space="preserve"> </w:t>
      </w:r>
      <w:r w:rsidRPr="00382917">
        <w:t>the</w:t>
      </w:r>
      <w:r w:rsidR="00EE4FC3">
        <w:t xml:space="preserve"> </w:t>
      </w:r>
      <w:r w:rsidRPr="00382917">
        <w:t>Author</w:t>
      </w:r>
      <w:r w:rsidR="00EE4FC3">
        <w:t xml:space="preserve"> </w:t>
      </w:r>
      <w:r w:rsidRPr="00382917">
        <w:t>of</w:t>
      </w:r>
      <w:r w:rsidR="00EE4FC3">
        <w:t xml:space="preserve"> </w:t>
      </w:r>
      <w:r w:rsidRPr="00382917">
        <w:t>the</w:t>
      </w:r>
      <w:r w:rsidR="00EE4FC3">
        <w:t xml:space="preserve"> </w:t>
      </w:r>
      <w:r w:rsidRPr="00382917">
        <w:t>day</w:t>
      </w:r>
      <w:r w:rsidR="00EE4FC3">
        <w:t xml:space="preserve"> </w:t>
      </w:r>
      <w:r w:rsidRPr="00382917">
        <w:t>of</w:t>
      </w:r>
      <w:r w:rsidR="00EE4FC3">
        <w:t xml:space="preserve"> </w:t>
      </w:r>
      <w:r w:rsidRPr="00382917">
        <w:t>the</w:t>
      </w:r>
      <w:r w:rsidR="00EE4FC3">
        <w:t xml:space="preserve"> </w:t>
      </w:r>
      <w:r w:rsidR="009C713D" w:rsidRPr="00382917">
        <w:t>“</w:t>
      </w:r>
      <w:r w:rsidRPr="00382917">
        <w:t>one</w:t>
      </w:r>
      <w:r w:rsidR="00EE4FC3">
        <w:t xml:space="preserve"> </w:t>
      </w:r>
      <w:r w:rsidRPr="00382917">
        <w:t>fold</w:t>
      </w:r>
      <w:r w:rsidR="00EE4FC3">
        <w:t xml:space="preserve"> </w:t>
      </w:r>
      <w:r w:rsidRPr="00382917">
        <w:t>and</w:t>
      </w:r>
      <w:r w:rsidR="00EE4FC3">
        <w:t xml:space="preserve"> </w:t>
      </w:r>
      <w:r w:rsidRPr="00382917">
        <w:t>one</w:t>
      </w:r>
      <w:r w:rsidR="00EE4FC3">
        <w:t xml:space="preserve"> </w:t>
      </w:r>
      <w:r w:rsidRPr="00382917">
        <w:t>shepherd</w:t>
      </w:r>
      <w:r w:rsidR="009C713D" w:rsidRPr="00382917">
        <w:t>”</w:t>
      </w:r>
      <w:r w:rsidR="00A73735">
        <w:t>.</w:t>
      </w:r>
    </w:p>
    <w:p w:rsidR="00B568B6" w:rsidRPr="00382917" w:rsidRDefault="00B568B6" w:rsidP="00B568B6">
      <w:pPr>
        <w:pStyle w:val="Text"/>
      </w:pPr>
      <w:r w:rsidRPr="00382917">
        <w:t>All</w:t>
      </w:r>
      <w:r w:rsidR="00EE4FC3">
        <w:t xml:space="preserve"> </w:t>
      </w:r>
      <w:r w:rsidRPr="00382917">
        <w:t>the</w:t>
      </w:r>
      <w:r w:rsidR="00EE4FC3">
        <w:t xml:space="preserve"> </w:t>
      </w:r>
      <w:r w:rsidRPr="00382917">
        <w:t>Books</w:t>
      </w:r>
      <w:r w:rsidR="00EE4FC3">
        <w:t xml:space="preserve"> </w:t>
      </w:r>
      <w:r w:rsidRPr="00382917">
        <w:t>of</w:t>
      </w:r>
      <w:r w:rsidR="00EE4FC3">
        <w:t xml:space="preserve"> </w:t>
      </w:r>
      <w:r w:rsidRPr="00382917">
        <w:t>the</w:t>
      </w:r>
      <w:r w:rsidR="00EE4FC3">
        <w:t xml:space="preserve"> </w:t>
      </w:r>
      <w:r w:rsidRPr="00382917">
        <w:t>past</w:t>
      </w:r>
      <w:r w:rsidR="00EE4FC3">
        <w:t xml:space="preserve"> </w:t>
      </w:r>
      <w:r w:rsidRPr="00382917">
        <w:t>which</w:t>
      </w:r>
      <w:r w:rsidR="00EE4FC3">
        <w:t xml:space="preserve"> </w:t>
      </w:r>
      <w:r w:rsidRPr="00382917">
        <w:t>had</w:t>
      </w:r>
      <w:r w:rsidR="00EE4FC3">
        <w:t xml:space="preserve"> </w:t>
      </w:r>
      <w:r w:rsidRPr="00382917">
        <w:t>been</w:t>
      </w:r>
      <w:r w:rsidR="00EE4FC3">
        <w:t xml:space="preserve"> </w:t>
      </w:r>
      <w:r w:rsidRPr="00382917">
        <w:t>sealed</w:t>
      </w:r>
      <w:r w:rsidR="00EE4FC3">
        <w:t xml:space="preserve"> </w:t>
      </w:r>
      <w:r w:rsidRPr="00382917">
        <w:t>were</w:t>
      </w:r>
      <w:r w:rsidR="00EE4FC3">
        <w:t xml:space="preserve"> </w:t>
      </w:r>
      <w:r w:rsidRPr="00382917">
        <w:t>opened</w:t>
      </w:r>
      <w:r w:rsidR="00EE4FC3">
        <w:t xml:space="preserve"> </w:t>
      </w:r>
      <w:r w:rsidRPr="00382917">
        <w:t>by</w:t>
      </w:r>
      <w:r w:rsidR="00EE4FC3">
        <w:t xml:space="preserve"> </w:t>
      </w:r>
      <w:r w:rsidRPr="00382917">
        <w:t>Him,</w:t>
      </w:r>
      <w:r w:rsidR="00EE4FC3">
        <w:t xml:space="preserve"> </w:t>
      </w:r>
      <w:r w:rsidRPr="00382917">
        <w:t>and</w:t>
      </w:r>
      <w:r w:rsidR="00EE4FC3">
        <w:t xml:space="preserve"> </w:t>
      </w:r>
      <w:r w:rsidRPr="00382917">
        <w:t>their</w:t>
      </w:r>
      <w:r w:rsidR="00EE4FC3">
        <w:t xml:space="preserve"> </w:t>
      </w:r>
      <w:r w:rsidRPr="00382917">
        <w:t>truth</w:t>
      </w:r>
      <w:r w:rsidR="00EE4FC3">
        <w:t xml:space="preserve"> </w:t>
      </w:r>
      <w:r w:rsidRPr="00382917">
        <w:t>made</w:t>
      </w:r>
      <w:r w:rsidR="00EE4FC3">
        <w:t xml:space="preserve"> </w:t>
      </w:r>
      <w:r w:rsidRPr="00382917">
        <w:t>clear</w:t>
      </w:r>
      <w:r w:rsidR="00EE4FC3">
        <w:t xml:space="preserve"> </w:t>
      </w:r>
      <w:r w:rsidRPr="00382917">
        <w:t>to</w:t>
      </w:r>
      <w:r w:rsidR="00EE4FC3">
        <w:t xml:space="preserve"> </w:t>
      </w:r>
      <w:r w:rsidRPr="00382917">
        <w:t>men</w:t>
      </w:r>
      <w:r w:rsidR="00F267E4">
        <w:t>.</w:t>
      </w:r>
      <w:r w:rsidR="00EE4FC3">
        <w:t xml:space="preserve">  </w:t>
      </w:r>
      <w:r w:rsidRPr="00382917">
        <w:t>In</w:t>
      </w:r>
      <w:r w:rsidR="00EE4FC3">
        <w:t xml:space="preserve"> </w:t>
      </w:r>
      <w:r w:rsidRPr="00382917">
        <w:t>that</w:t>
      </w:r>
      <w:r w:rsidR="00EE4FC3">
        <w:t xml:space="preserve"> </w:t>
      </w:r>
      <w:r w:rsidRPr="00382917">
        <w:t>historical</w:t>
      </w:r>
      <w:r w:rsidR="00EE4FC3">
        <w:t xml:space="preserve"> </w:t>
      </w:r>
      <w:r w:rsidRPr="00382917">
        <w:t>record</w:t>
      </w:r>
      <w:r w:rsidR="00EE4FC3">
        <w:t xml:space="preserve"> </w:t>
      </w:r>
      <w:r w:rsidRPr="00382917">
        <w:t>of</w:t>
      </w:r>
      <w:r w:rsidR="00EE4FC3">
        <w:t xml:space="preserve"> </w:t>
      </w:r>
      <w:r w:rsidRPr="00382917">
        <w:t>the</w:t>
      </w:r>
      <w:r w:rsidR="00EE4FC3">
        <w:t xml:space="preserve"> </w:t>
      </w:r>
      <w:proofErr w:type="gramStart"/>
      <w:r w:rsidRPr="00382917">
        <w:t>Bahá</w:t>
      </w:r>
      <w:r w:rsidR="009C713D" w:rsidRPr="00382917">
        <w:t>’</w:t>
      </w:r>
      <w:r w:rsidRPr="00382917">
        <w:t>í</w:t>
      </w:r>
      <w:r w:rsidR="00EE4FC3">
        <w:t xml:space="preserve"> </w:t>
      </w:r>
      <w:r w:rsidRPr="00382917">
        <w:t>Faith,</w:t>
      </w:r>
      <w:r w:rsidR="00EE4FC3">
        <w:t xml:space="preserve"> </w:t>
      </w:r>
      <w:r w:rsidR="001713B3" w:rsidRPr="001713B3">
        <w:rPr>
          <w:i/>
          <w:iCs/>
        </w:rPr>
        <w:t>God</w:t>
      </w:r>
      <w:r w:rsidR="00EE4FC3">
        <w:rPr>
          <w:i/>
          <w:iCs/>
        </w:rPr>
        <w:t xml:space="preserve"> </w:t>
      </w:r>
      <w:r w:rsidR="001713B3" w:rsidRPr="001713B3">
        <w:rPr>
          <w:i/>
          <w:iCs/>
        </w:rPr>
        <w:t>Passes</w:t>
      </w:r>
      <w:r w:rsidR="00EE4FC3">
        <w:rPr>
          <w:i/>
          <w:iCs/>
        </w:rPr>
        <w:t xml:space="preserve"> </w:t>
      </w:r>
      <w:r w:rsidR="001713B3" w:rsidRPr="001713B3">
        <w:rPr>
          <w:i/>
          <w:iCs/>
        </w:rPr>
        <w:t>By</w:t>
      </w:r>
      <w:r w:rsidRPr="00382917">
        <w:t>,</w:t>
      </w:r>
      <w:r w:rsidR="00EE4FC3">
        <w:t xml:space="preserve"> </w:t>
      </w:r>
      <w:r w:rsidRPr="00382917">
        <w:t>written</w:t>
      </w:r>
      <w:r w:rsidR="00EE4FC3">
        <w:t xml:space="preserve"> </w:t>
      </w:r>
      <w:r w:rsidRPr="00382917">
        <w:t>by</w:t>
      </w:r>
      <w:r w:rsidR="00EE4FC3">
        <w:t xml:space="preserve"> </w:t>
      </w:r>
      <w:r w:rsidRPr="00382917">
        <w:t>Shoghi</w:t>
      </w:r>
      <w:r w:rsidR="00EE4FC3">
        <w:t xml:space="preserve"> </w:t>
      </w:r>
      <w:r w:rsidRPr="00382917">
        <w:t>Effendi,</w:t>
      </w:r>
      <w:r w:rsidR="00EE4FC3">
        <w:t xml:space="preserve"> </w:t>
      </w:r>
      <w:r w:rsidRPr="00382917">
        <w:t>the</w:t>
      </w:r>
      <w:r w:rsidR="00EE4FC3">
        <w:t xml:space="preserve"> </w:t>
      </w:r>
      <w:r w:rsidRPr="00382917">
        <w:t>first</w:t>
      </w:r>
      <w:r w:rsidR="00EE4FC3">
        <w:t xml:space="preserve"> </w:t>
      </w:r>
      <w:r w:rsidRPr="00382917">
        <w:t>Guardian</w:t>
      </w:r>
      <w:r w:rsidR="00EE4FC3">
        <w:t xml:space="preserve"> </w:t>
      </w:r>
      <w:r w:rsidRPr="00382917">
        <w:t>of</w:t>
      </w:r>
      <w:r w:rsidR="00EE4FC3">
        <w:t xml:space="preserve"> </w:t>
      </w:r>
      <w:r w:rsidRPr="00382917">
        <w:t>the</w:t>
      </w:r>
      <w:r w:rsidR="00EE4FC3">
        <w:t xml:space="preserve"> </w:t>
      </w:r>
      <w:r w:rsidRPr="00382917">
        <w:t>Bahá</w:t>
      </w:r>
      <w:r w:rsidR="009C713D" w:rsidRPr="00382917">
        <w:t>’</w:t>
      </w:r>
      <w:r w:rsidRPr="00382917">
        <w:t>í</w:t>
      </w:r>
      <w:r w:rsidR="00EE4FC3">
        <w:t xml:space="preserve"> </w:t>
      </w:r>
      <w:r w:rsidRPr="00382917">
        <w:t>Faith,</w:t>
      </w:r>
      <w:proofErr w:type="gramEnd"/>
      <w:r w:rsidR="00EE4FC3">
        <w:t xml:space="preserve"> </w:t>
      </w:r>
      <w:r w:rsidRPr="00382917">
        <w:t>and</w:t>
      </w:r>
      <w:r w:rsidR="00EE4FC3">
        <w:t xml:space="preserve"> </w:t>
      </w:r>
      <w:r w:rsidRPr="00382917">
        <w:t>great-grandson</w:t>
      </w:r>
      <w:r w:rsidR="00EE4FC3">
        <w:t xml:space="preserve"> </w:t>
      </w:r>
      <w:r w:rsidRPr="00382917">
        <w:t>of</w:t>
      </w:r>
      <w:r w:rsidR="00EE4FC3">
        <w:t xml:space="preserve"> </w:t>
      </w:r>
      <w:r w:rsidRPr="00382917">
        <w:t>Bahá</w:t>
      </w:r>
      <w:r w:rsidR="009C713D" w:rsidRPr="00382917">
        <w:t>’</w:t>
      </w:r>
      <w:r w:rsidRPr="00382917">
        <w:t>u</w:t>
      </w:r>
      <w:r w:rsidR="009C713D" w:rsidRPr="00382917">
        <w:t>’</w:t>
      </w:r>
      <w:r w:rsidRPr="00382917">
        <w:t>lláh,</w:t>
      </w:r>
      <w:r w:rsidR="00EE4FC3">
        <w:t xml:space="preserve"> </w:t>
      </w:r>
      <w:r w:rsidRPr="00382917">
        <w:t>it</w:t>
      </w:r>
      <w:r w:rsidR="00EE4FC3">
        <w:t xml:space="preserve"> </w:t>
      </w:r>
      <w:r w:rsidRPr="00382917">
        <w:t>is</w:t>
      </w:r>
      <w:r w:rsidR="00EE4FC3">
        <w:t xml:space="preserve"> </w:t>
      </w:r>
      <w:r w:rsidRPr="00382917">
        <w:t>stated:</w:t>
      </w:r>
    </w:p>
    <w:p w:rsidR="00B568B6" w:rsidRPr="00382917" w:rsidRDefault="009C713D" w:rsidP="00A73735">
      <w:pPr>
        <w:pStyle w:val="Quote"/>
      </w:pPr>
      <w:r w:rsidRPr="00382917">
        <w:t>“</w:t>
      </w:r>
      <w:r w:rsidR="00B568B6" w:rsidRPr="00382917">
        <w:t>Foremost</w:t>
      </w:r>
      <w:r w:rsidR="00EE4FC3">
        <w:t xml:space="preserve"> </w:t>
      </w:r>
      <w:r w:rsidR="00B568B6" w:rsidRPr="00382917">
        <w:t>among</w:t>
      </w:r>
      <w:r w:rsidR="00EE4FC3">
        <w:t xml:space="preserve"> </w:t>
      </w:r>
      <w:r w:rsidR="00B568B6" w:rsidRPr="00382917">
        <w:t>the</w:t>
      </w:r>
      <w:r w:rsidR="00EE4FC3">
        <w:t xml:space="preserve"> </w:t>
      </w:r>
      <w:r w:rsidR="00B568B6" w:rsidRPr="00382917">
        <w:t>priceless</w:t>
      </w:r>
      <w:r w:rsidR="00EE4FC3">
        <w:t xml:space="preserve"> </w:t>
      </w:r>
      <w:r w:rsidR="00B568B6" w:rsidRPr="00382917">
        <w:t>treasures</w:t>
      </w:r>
      <w:r w:rsidR="00EE4FC3">
        <w:t xml:space="preserve"> </w:t>
      </w:r>
      <w:r w:rsidR="00B568B6" w:rsidRPr="00382917">
        <w:t>cast</w:t>
      </w:r>
      <w:r w:rsidR="00EE4FC3">
        <w:t xml:space="preserve"> </w:t>
      </w:r>
      <w:r w:rsidR="00B568B6" w:rsidRPr="00382917">
        <w:t>forth</w:t>
      </w:r>
      <w:r w:rsidR="00EE4FC3">
        <w:t xml:space="preserve"> </w:t>
      </w:r>
      <w:r w:rsidR="00B568B6" w:rsidRPr="00382917">
        <w:t>from</w:t>
      </w:r>
      <w:r w:rsidR="00EE4FC3">
        <w:t xml:space="preserve"> </w:t>
      </w:r>
      <w:r w:rsidR="00B568B6" w:rsidRPr="00382917">
        <w:t>the</w:t>
      </w:r>
      <w:r w:rsidR="00EE4FC3">
        <w:t xml:space="preserve"> </w:t>
      </w:r>
      <w:r w:rsidR="00B568B6" w:rsidRPr="00382917">
        <w:t>billowing</w:t>
      </w:r>
      <w:r w:rsidR="00EE4FC3">
        <w:t xml:space="preserve"> </w:t>
      </w:r>
      <w:r w:rsidR="00B568B6" w:rsidRPr="00382917">
        <w:t>ocean</w:t>
      </w:r>
      <w:r w:rsidR="00EE4FC3">
        <w:t xml:space="preserve"> </w:t>
      </w:r>
      <w:r w:rsidR="00B568B6" w:rsidRPr="00382917">
        <w:t>of</w:t>
      </w:r>
      <w:r w:rsidR="00EE4FC3">
        <w:t xml:space="preserve"> </w:t>
      </w:r>
      <w:r w:rsidR="00B568B6" w:rsidRPr="00382917">
        <w:t>Bahá</w:t>
      </w:r>
      <w:r w:rsidRPr="00382917">
        <w:t>’</w:t>
      </w:r>
      <w:r w:rsidR="00B568B6" w:rsidRPr="00382917">
        <w:t>u</w:t>
      </w:r>
      <w:r w:rsidRPr="00382917">
        <w:t>’</w:t>
      </w:r>
      <w:r w:rsidR="00B568B6" w:rsidRPr="00382917">
        <w:t>lláh</w:t>
      </w:r>
      <w:r w:rsidRPr="00382917">
        <w:t>’</w:t>
      </w:r>
      <w:r w:rsidR="00B568B6" w:rsidRPr="00382917">
        <w:t>s</w:t>
      </w:r>
      <w:r w:rsidR="00EE4FC3">
        <w:t xml:space="preserve"> </w:t>
      </w:r>
      <w:r w:rsidR="00B568B6" w:rsidRPr="00382917">
        <w:t>Revelation</w:t>
      </w:r>
      <w:r w:rsidR="00EE4FC3">
        <w:t xml:space="preserve"> </w:t>
      </w:r>
      <w:r w:rsidR="00B568B6" w:rsidRPr="00382917">
        <w:t>ranks</w:t>
      </w:r>
      <w:r w:rsidR="00EE4FC3">
        <w:t xml:space="preserve"> </w:t>
      </w:r>
      <w:r w:rsidR="00B568B6" w:rsidRPr="00382917">
        <w:t>the</w:t>
      </w:r>
      <w:r w:rsidR="00EE4FC3">
        <w:t xml:space="preserve"> </w:t>
      </w:r>
      <w:r w:rsidR="00B568B6" w:rsidRPr="00382917">
        <w:t>Kitáb-i-Íqán</w:t>
      </w:r>
      <w:r w:rsidR="00EE4FC3">
        <w:t xml:space="preserve"> </w:t>
      </w:r>
      <w:r w:rsidR="00B568B6" w:rsidRPr="00382917">
        <w:t>(Book</w:t>
      </w:r>
      <w:r w:rsidR="00EE4FC3">
        <w:t xml:space="preserve"> </w:t>
      </w:r>
      <w:r w:rsidR="00B568B6" w:rsidRPr="00382917">
        <w:t>of</w:t>
      </w:r>
      <w:r w:rsidR="00EE4FC3">
        <w:t xml:space="preserve"> </w:t>
      </w:r>
      <w:r w:rsidR="00B568B6" w:rsidRPr="00382917">
        <w:t>Certitude),</w:t>
      </w:r>
      <w:r w:rsidR="00EE4FC3">
        <w:t xml:space="preserve"> </w:t>
      </w:r>
      <w:r w:rsidR="00B568B6" w:rsidRPr="00382917">
        <w:t>revealed</w:t>
      </w:r>
      <w:r w:rsidR="00EE4FC3">
        <w:t xml:space="preserve"> </w:t>
      </w:r>
      <w:r w:rsidR="00B568B6" w:rsidRPr="00382917">
        <w:t>within</w:t>
      </w:r>
      <w:r w:rsidR="00EE4FC3">
        <w:t xml:space="preserve"> </w:t>
      </w:r>
      <w:r w:rsidR="00B568B6" w:rsidRPr="00382917">
        <w:t>the</w:t>
      </w:r>
      <w:r w:rsidR="00EE4FC3">
        <w:t xml:space="preserve"> </w:t>
      </w:r>
      <w:r w:rsidR="00B568B6" w:rsidRPr="00382917">
        <w:t>space</w:t>
      </w:r>
      <w:r w:rsidR="00EE4FC3">
        <w:t xml:space="preserve"> </w:t>
      </w:r>
      <w:r w:rsidR="00B568B6" w:rsidRPr="00382917">
        <w:t>of</w:t>
      </w:r>
      <w:r w:rsidR="00EE4FC3">
        <w:t xml:space="preserve"> </w:t>
      </w:r>
      <w:r w:rsidR="00B568B6" w:rsidRPr="00382917">
        <w:t>two</w:t>
      </w:r>
      <w:r w:rsidR="00EE4FC3">
        <w:t xml:space="preserve"> </w:t>
      </w:r>
      <w:r w:rsidR="00B568B6" w:rsidRPr="00382917">
        <w:t>days</w:t>
      </w:r>
      <w:r w:rsidR="00EE4FC3">
        <w:t xml:space="preserve"> </w:t>
      </w:r>
      <w:r w:rsidR="00B568B6" w:rsidRPr="00382917">
        <w:t>and</w:t>
      </w:r>
      <w:r w:rsidR="00EE4FC3">
        <w:t xml:space="preserve"> </w:t>
      </w:r>
      <w:r w:rsidR="00B568B6" w:rsidRPr="00382917">
        <w:t>two</w:t>
      </w:r>
      <w:r w:rsidR="00EE4FC3">
        <w:t xml:space="preserve"> </w:t>
      </w:r>
      <w:r w:rsidR="00B568B6" w:rsidRPr="00382917">
        <w:t>nights</w:t>
      </w:r>
      <w:r w:rsidR="00A73735">
        <w:t xml:space="preserve"> </w:t>
      </w:r>
      <w:r w:rsidR="00F04416" w:rsidRPr="00382917">
        <w:t>…</w:t>
      </w:r>
      <w:r w:rsidR="00B568B6" w:rsidRPr="00382917">
        <w:t>.</w:t>
      </w:r>
      <w:r w:rsidR="00EE4FC3">
        <w:t xml:space="preserve"> </w:t>
      </w:r>
      <w:r w:rsidR="00A73735">
        <w:t xml:space="preserve"> </w:t>
      </w:r>
      <w:r w:rsidR="00B568B6" w:rsidRPr="00382917">
        <w:t>[</w:t>
      </w:r>
      <w:proofErr w:type="gramStart"/>
      <w:r w:rsidR="00B568B6" w:rsidRPr="00382917">
        <w:t>it</w:t>
      </w:r>
      <w:proofErr w:type="gramEnd"/>
      <w:r w:rsidR="00B568B6" w:rsidRPr="00382917">
        <w:t>]</w:t>
      </w:r>
      <w:r w:rsidR="00EE4FC3">
        <w:t xml:space="preserve"> </w:t>
      </w:r>
      <w:r w:rsidR="00B568B6" w:rsidRPr="00382917">
        <w:t>broke</w:t>
      </w:r>
      <w:r w:rsidR="00EE4FC3">
        <w:t xml:space="preserve"> </w:t>
      </w:r>
      <w:r w:rsidR="00B568B6" w:rsidRPr="00382917">
        <w:t>the</w:t>
      </w:r>
      <w:r w:rsidR="00EE4FC3">
        <w:t xml:space="preserve"> </w:t>
      </w:r>
      <w:r w:rsidRPr="00382917">
        <w:t>‘</w:t>
      </w:r>
      <w:r w:rsidR="00B568B6" w:rsidRPr="00382917">
        <w:t>seals</w:t>
      </w:r>
      <w:r w:rsidRPr="00382917">
        <w:t>’</w:t>
      </w:r>
      <w:r w:rsidR="00EE4FC3">
        <w:t xml:space="preserve"> </w:t>
      </w:r>
      <w:r w:rsidR="00B568B6" w:rsidRPr="00382917">
        <w:t>of</w:t>
      </w:r>
      <w:r w:rsidR="00EE4FC3">
        <w:t xml:space="preserve"> </w:t>
      </w:r>
      <w:r w:rsidR="00B568B6" w:rsidRPr="00382917">
        <w:t>the</w:t>
      </w:r>
      <w:r w:rsidR="00EE4FC3">
        <w:t xml:space="preserve"> </w:t>
      </w:r>
      <w:r w:rsidRPr="00382917">
        <w:t>‘</w:t>
      </w:r>
      <w:r w:rsidR="00B568B6" w:rsidRPr="00382917">
        <w:t>Book</w:t>
      </w:r>
      <w:r w:rsidRPr="00382917">
        <w:t>’</w:t>
      </w:r>
      <w:r w:rsidR="00EE4FC3">
        <w:t xml:space="preserve"> </w:t>
      </w:r>
      <w:r w:rsidR="00B568B6" w:rsidRPr="00382917">
        <w:t>referred</w:t>
      </w:r>
      <w:r w:rsidR="00EE4FC3">
        <w:t xml:space="preserve"> </w:t>
      </w:r>
      <w:r w:rsidR="00B568B6" w:rsidRPr="00382917">
        <w:t>to</w:t>
      </w:r>
      <w:r w:rsidR="00EE4FC3">
        <w:t xml:space="preserve"> </w:t>
      </w:r>
      <w:r w:rsidR="00B568B6" w:rsidRPr="00382917">
        <w:t>by</w:t>
      </w:r>
      <w:r w:rsidR="00EE4FC3">
        <w:t xml:space="preserve"> </w:t>
      </w:r>
      <w:r w:rsidR="00B568B6" w:rsidRPr="00382917">
        <w:t>Daniel,</w:t>
      </w:r>
      <w:r w:rsidR="00EE4FC3">
        <w:t xml:space="preserve"> </w:t>
      </w:r>
      <w:r w:rsidR="00B568B6" w:rsidRPr="00382917">
        <w:t>and</w:t>
      </w:r>
      <w:r w:rsidR="00EE4FC3">
        <w:t xml:space="preserve"> </w:t>
      </w:r>
      <w:r w:rsidR="00B568B6" w:rsidRPr="00382917">
        <w:t>disclosed</w:t>
      </w:r>
      <w:r w:rsidR="00EE4FC3">
        <w:t xml:space="preserve"> </w:t>
      </w:r>
      <w:r w:rsidR="00B568B6" w:rsidRPr="00382917">
        <w:t>the</w:t>
      </w:r>
      <w:r w:rsidR="00EE4FC3">
        <w:t xml:space="preserve"> </w:t>
      </w:r>
      <w:r w:rsidR="00B568B6" w:rsidRPr="00382917">
        <w:t>meaning</w:t>
      </w:r>
      <w:r w:rsidR="00EE4FC3">
        <w:t xml:space="preserve"> </w:t>
      </w:r>
      <w:r w:rsidR="00B568B6" w:rsidRPr="00382917">
        <w:t>of</w:t>
      </w:r>
      <w:r w:rsidR="00EE4FC3">
        <w:t xml:space="preserve"> </w:t>
      </w:r>
      <w:r w:rsidR="00B568B6" w:rsidRPr="00382917">
        <w:t>the</w:t>
      </w:r>
      <w:r w:rsidR="00EE4FC3">
        <w:t xml:space="preserve"> </w:t>
      </w:r>
      <w:r w:rsidRPr="00382917">
        <w:t>‘</w:t>
      </w:r>
      <w:r w:rsidR="00B568B6" w:rsidRPr="00382917">
        <w:t>words</w:t>
      </w:r>
      <w:r w:rsidRPr="00382917">
        <w:t>’</w:t>
      </w:r>
      <w:r w:rsidR="00EE4FC3">
        <w:t xml:space="preserve"> </w:t>
      </w:r>
      <w:r w:rsidR="00B568B6" w:rsidRPr="00382917">
        <w:t>destined</w:t>
      </w:r>
      <w:r w:rsidR="00EE4FC3">
        <w:t xml:space="preserve"> </w:t>
      </w:r>
      <w:r w:rsidR="00B568B6" w:rsidRPr="00382917">
        <w:t>to</w:t>
      </w:r>
      <w:r w:rsidR="00EE4FC3">
        <w:t xml:space="preserve"> </w:t>
      </w:r>
      <w:r w:rsidR="00B568B6" w:rsidRPr="00382917">
        <w:t>remain</w:t>
      </w:r>
      <w:r w:rsidR="00EE4FC3">
        <w:t xml:space="preserve"> </w:t>
      </w:r>
      <w:r w:rsidRPr="00382917">
        <w:t>‘</w:t>
      </w:r>
      <w:r w:rsidR="00B568B6" w:rsidRPr="00382917">
        <w:t>closed</w:t>
      </w:r>
      <w:r w:rsidR="00EE4FC3">
        <w:t xml:space="preserve"> </w:t>
      </w:r>
      <w:r w:rsidR="00B568B6" w:rsidRPr="00382917">
        <w:t>up</w:t>
      </w:r>
      <w:r w:rsidRPr="00382917">
        <w:t>’</w:t>
      </w:r>
      <w:r w:rsidR="00EE4FC3">
        <w:t xml:space="preserve"> </w:t>
      </w:r>
      <w:r w:rsidR="00B568B6" w:rsidRPr="00382917">
        <w:t>till</w:t>
      </w:r>
      <w:r w:rsidR="00EE4FC3">
        <w:t xml:space="preserve"> </w:t>
      </w:r>
      <w:r w:rsidR="00B568B6" w:rsidRPr="00382917">
        <w:t>the</w:t>
      </w:r>
      <w:r w:rsidR="00EE4FC3">
        <w:t xml:space="preserve"> </w:t>
      </w:r>
      <w:r w:rsidRPr="00382917">
        <w:t>‘</w:t>
      </w:r>
      <w:r w:rsidR="00B568B6" w:rsidRPr="00382917">
        <w:t>time</w:t>
      </w:r>
      <w:r w:rsidR="00EE4FC3">
        <w:t xml:space="preserve"> </w:t>
      </w:r>
      <w:r w:rsidR="00B568B6" w:rsidRPr="00382917">
        <w:t>of</w:t>
      </w:r>
      <w:r w:rsidR="00EE4FC3">
        <w:t xml:space="preserve"> </w:t>
      </w:r>
      <w:r w:rsidR="00B568B6" w:rsidRPr="00382917">
        <w:t>the</w:t>
      </w:r>
      <w:r w:rsidR="00EE4FC3">
        <w:t xml:space="preserve"> </w:t>
      </w:r>
      <w:r w:rsidR="00B568B6" w:rsidRPr="00382917">
        <w:t>end.</w:t>
      </w:r>
      <w:r w:rsidRPr="00382917">
        <w:t>’”</w:t>
      </w:r>
      <w:r w:rsidR="00A73735">
        <w:rPr>
          <w:rStyle w:val="FootnoteReference"/>
        </w:rPr>
        <w:footnoteReference w:id="399"/>
      </w:r>
    </w:p>
    <w:p w:rsidR="00B568B6" w:rsidRPr="00382917" w:rsidRDefault="009C713D" w:rsidP="00A73735">
      <w:pPr>
        <w:pStyle w:val="Quote"/>
      </w:pPr>
      <w:r w:rsidRPr="00382917">
        <w:t>“</w:t>
      </w:r>
      <w:r w:rsidR="00B568B6" w:rsidRPr="00382917">
        <w:t>The</w:t>
      </w:r>
      <w:r w:rsidR="00EE4FC3">
        <w:t xml:space="preserve"> </w:t>
      </w:r>
      <w:r w:rsidR="00B568B6" w:rsidRPr="00382917">
        <w:t>Word</w:t>
      </w:r>
      <w:r w:rsidR="00EE4FC3">
        <w:t xml:space="preserve"> </w:t>
      </w:r>
      <w:r w:rsidR="00B568B6" w:rsidRPr="00382917">
        <w:t>of</w:t>
      </w:r>
      <w:r w:rsidR="00EE4FC3">
        <w:t xml:space="preserve"> </w:t>
      </w:r>
      <w:r w:rsidR="00B568B6" w:rsidRPr="00382917">
        <w:t>God</w:t>
      </w:r>
      <w:r w:rsidR="00EE4FC3">
        <w:t xml:space="preserve"> </w:t>
      </w:r>
      <w:r w:rsidR="005B2C36" w:rsidRPr="00382917">
        <w:t>h</w:t>
      </w:r>
      <w:r w:rsidR="00B568B6" w:rsidRPr="00382917">
        <w:t>ath</w:t>
      </w:r>
      <w:r w:rsidR="00EE4FC3">
        <w:t xml:space="preserve"> </w:t>
      </w:r>
      <w:r w:rsidR="00B568B6" w:rsidRPr="00382917">
        <w:t>set</w:t>
      </w:r>
      <w:r w:rsidR="00EE4FC3">
        <w:t xml:space="preserve"> </w:t>
      </w:r>
      <w:r w:rsidR="00B568B6" w:rsidRPr="00382917">
        <w:t>the</w:t>
      </w:r>
      <w:r w:rsidR="00EE4FC3">
        <w:t xml:space="preserve"> </w:t>
      </w:r>
      <w:r w:rsidR="00B568B6" w:rsidRPr="00382917">
        <w:t>heart</w:t>
      </w:r>
      <w:r w:rsidR="00EE4FC3">
        <w:t xml:space="preserve"> </w:t>
      </w:r>
      <w:r w:rsidR="00B568B6" w:rsidRPr="00382917">
        <w:t>of</w:t>
      </w:r>
      <w:r w:rsidR="00EE4FC3">
        <w:t xml:space="preserve"> </w:t>
      </w:r>
      <w:r w:rsidR="00B568B6" w:rsidRPr="00382917">
        <w:t>the</w:t>
      </w:r>
      <w:r w:rsidR="00EE4FC3">
        <w:t xml:space="preserve"> </w:t>
      </w:r>
      <w:r w:rsidR="00B568B6" w:rsidRPr="00382917">
        <w:t>world</w:t>
      </w:r>
      <w:r w:rsidR="00EE4FC3">
        <w:t xml:space="preserve"> </w:t>
      </w:r>
      <w:r w:rsidR="00B568B6" w:rsidRPr="00382917">
        <w:t>afire</w:t>
      </w:r>
      <w:r w:rsidR="00A73735">
        <w:t>;</w:t>
      </w:r>
      <w:r w:rsidRPr="00382917">
        <w:t>”</w:t>
      </w:r>
      <w:r w:rsidR="00EE4FC3">
        <w:t xml:space="preserve"> </w:t>
      </w:r>
      <w:r w:rsidR="00B568B6" w:rsidRPr="00382917">
        <w:t>Bahá</w:t>
      </w:r>
      <w:r w:rsidRPr="00382917">
        <w:t>’</w:t>
      </w:r>
      <w:r w:rsidR="00B568B6" w:rsidRPr="00382917">
        <w:t>u</w:t>
      </w:r>
      <w:r w:rsidRPr="00382917">
        <w:t>’</w:t>
      </w:r>
      <w:r w:rsidR="00B568B6" w:rsidRPr="00382917">
        <w:t>lláh</w:t>
      </w:r>
      <w:r w:rsidR="00EE4FC3">
        <w:t xml:space="preserve"> </w:t>
      </w:r>
      <w:r w:rsidR="00B568B6" w:rsidRPr="00382917">
        <w:t>proclaims;</w:t>
      </w:r>
      <w:r w:rsidR="00EE4FC3">
        <w:t xml:space="preserve"> </w:t>
      </w:r>
      <w:r w:rsidRPr="00382917">
        <w:t>“</w:t>
      </w:r>
      <w:r w:rsidR="00B568B6" w:rsidRPr="00382917">
        <w:t>how</w:t>
      </w:r>
      <w:r w:rsidR="00EE4FC3">
        <w:t xml:space="preserve"> </w:t>
      </w:r>
      <w:r w:rsidR="00B568B6" w:rsidRPr="00382917">
        <w:t>regrettable</w:t>
      </w:r>
      <w:r w:rsidR="00EE4FC3">
        <w:t xml:space="preserve"> </w:t>
      </w:r>
      <w:r w:rsidR="00B568B6" w:rsidRPr="00382917">
        <w:t>if</w:t>
      </w:r>
      <w:r w:rsidR="00EE4FC3">
        <w:t xml:space="preserve"> </w:t>
      </w:r>
      <w:r w:rsidR="00B568B6" w:rsidRPr="00382917">
        <w:t>ye</w:t>
      </w:r>
      <w:r w:rsidR="00EE4FC3">
        <w:t xml:space="preserve"> </w:t>
      </w:r>
      <w:r w:rsidR="00B568B6" w:rsidRPr="00382917">
        <w:t>fail</w:t>
      </w:r>
      <w:r w:rsidR="00EE4FC3">
        <w:t xml:space="preserve"> </w:t>
      </w:r>
      <w:r w:rsidR="00B568B6" w:rsidRPr="00382917">
        <w:t>to</w:t>
      </w:r>
      <w:r w:rsidR="00EE4FC3">
        <w:t xml:space="preserve"> </w:t>
      </w:r>
      <w:r w:rsidR="00B568B6" w:rsidRPr="00382917">
        <w:t>be</w:t>
      </w:r>
      <w:r w:rsidR="00EE4FC3">
        <w:t xml:space="preserve"> </w:t>
      </w:r>
      <w:r w:rsidR="00B568B6" w:rsidRPr="00382917">
        <w:t>enkindled</w:t>
      </w:r>
      <w:r w:rsidR="00EE4FC3">
        <w:t xml:space="preserve"> </w:t>
      </w:r>
      <w:r w:rsidR="00B568B6" w:rsidRPr="00382917">
        <w:t>with</w:t>
      </w:r>
      <w:r w:rsidR="00EE4FC3">
        <w:t xml:space="preserve"> </w:t>
      </w:r>
      <w:r w:rsidR="00B568B6" w:rsidRPr="00382917">
        <w:t>its</w:t>
      </w:r>
      <w:r w:rsidR="00EE4FC3">
        <w:t xml:space="preserve"> </w:t>
      </w:r>
      <w:r w:rsidR="00B568B6" w:rsidRPr="00382917">
        <w:t>flame!</w:t>
      </w:r>
      <w:r w:rsidRPr="00382917">
        <w:t>”</w:t>
      </w:r>
      <w:r w:rsidR="00A73735">
        <w:rPr>
          <w:rStyle w:val="FootnoteReference"/>
        </w:rPr>
        <w:footnoteReference w:id="400"/>
      </w:r>
    </w:p>
    <w:p w:rsidR="00B568B6" w:rsidRPr="00382917" w:rsidRDefault="00B568B6" w:rsidP="00A73735">
      <w:pPr>
        <w:pStyle w:val="Text"/>
      </w:pPr>
      <w:r w:rsidRPr="00382917">
        <w:t>Linking</w:t>
      </w:r>
      <w:r w:rsidR="00EE4FC3">
        <w:t xml:space="preserve"> </w:t>
      </w:r>
      <w:r w:rsidRPr="00382917">
        <w:t>His</w:t>
      </w:r>
      <w:r w:rsidR="00EE4FC3">
        <w:t xml:space="preserve"> </w:t>
      </w:r>
      <w:r w:rsidRPr="00382917">
        <w:t>own</w:t>
      </w:r>
      <w:r w:rsidR="00EE4FC3">
        <w:t xml:space="preserve"> </w:t>
      </w:r>
      <w:r w:rsidRPr="00382917">
        <w:t>Faith</w:t>
      </w:r>
      <w:r w:rsidR="00EE4FC3">
        <w:t xml:space="preserve"> </w:t>
      </w:r>
      <w:r w:rsidRPr="00382917">
        <w:t>forever</w:t>
      </w:r>
      <w:r w:rsidR="00EE4FC3">
        <w:t xml:space="preserve"> </w:t>
      </w:r>
      <w:r w:rsidRPr="00382917">
        <w:t>with</w:t>
      </w:r>
      <w:r w:rsidR="00EE4FC3">
        <w:t xml:space="preserve"> </w:t>
      </w:r>
      <w:r w:rsidRPr="00382917">
        <w:t>that</w:t>
      </w:r>
      <w:r w:rsidR="00EE4FC3">
        <w:t xml:space="preserve"> </w:t>
      </w:r>
      <w:r w:rsidRPr="00382917">
        <w:t>of</w:t>
      </w:r>
      <w:r w:rsidR="00EE4FC3">
        <w:t xml:space="preserve"> </w:t>
      </w:r>
      <w:r w:rsidRPr="00382917">
        <w:t>Christ,</w:t>
      </w:r>
      <w:r w:rsidR="00EE4FC3">
        <w:t xml:space="preserve"> </w:t>
      </w:r>
      <w:r w:rsidRPr="00382917">
        <w:t>Bahá</w:t>
      </w:r>
      <w:r w:rsidR="009C713D" w:rsidRPr="00382917">
        <w:t>’</w:t>
      </w:r>
      <w:r w:rsidRPr="00382917">
        <w:t>u</w:t>
      </w:r>
      <w:r w:rsidR="009C713D" w:rsidRPr="00382917">
        <w:t>’</w:t>
      </w:r>
      <w:r w:rsidRPr="00382917">
        <w:t>lláh</w:t>
      </w:r>
      <w:r w:rsidR="00EE4FC3">
        <w:t xml:space="preserve"> </w:t>
      </w:r>
      <w:r w:rsidRPr="00382917">
        <w:t>wrote</w:t>
      </w:r>
      <w:r w:rsidR="00EE4FC3">
        <w:t xml:space="preserve"> </w:t>
      </w:r>
      <w:r w:rsidRPr="00382917">
        <w:t>movingly</w:t>
      </w:r>
      <w:r w:rsidR="00C03C91">
        <w:t>:</w:t>
      </w:r>
      <w:r w:rsidR="00EE4FC3">
        <w:t xml:space="preserve">  </w:t>
      </w:r>
      <w:r w:rsidR="009C713D" w:rsidRPr="00382917">
        <w:t>“</w:t>
      </w:r>
      <w:r w:rsidRPr="00382917">
        <w:t>O</w:t>
      </w:r>
      <w:r w:rsidR="00EE4FC3">
        <w:t xml:space="preserve"> </w:t>
      </w:r>
      <w:r w:rsidRPr="00382917">
        <w:t>Bethlehem</w:t>
      </w:r>
      <w:proofErr w:type="gramStart"/>
      <w:r w:rsidRPr="00382917">
        <w:t>!</w:t>
      </w:r>
      <w:r w:rsidR="00EE4FC3">
        <w:t xml:space="preserve"> </w:t>
      </w:r>
      <w:proofErr w:type="gramEnd"/>
      <w:r w:rsidR="00F04416" w:rsidRPr="00382917">
        <w:t>…</w:t>
      </w:r>
      <w:r w:rsidR="00A73735">
        <w:t xml:space="preserve"> </w:t>
      </w:r>
      <w:r w:rsidR="00EE4FC3">
        <w:t xml:space="preserve"> </w:t>
      </w:r>
      <w:r w:rsidRPr="00382917">
        <w:t>Tell</w:t>
      </w:r>
      <w:r w:rsidR="00EE4FC3">
        <w:t xml:space="preserve"> </w:t>
      </w:r>
      <w:r w:rsidRPr="00382917">
        <w:t>Me</w:t>
      </w:r>
      <w:r w:rsidR="00EE4FC3">
        <w:t xml:space="preserve"> </w:t>
      </w:r>
      <w:r w:rsidRPr="00382917">
        <w:t>then</w:t>
      </w:r>
      <w:r w:rsidR="00C03C91">
        <w:t>:</w:t>
      </w:r>
      <w:r w:rsidR="00EE4FC3">
        <w:t xml:space="preserve">  </w:t>
      </w:r>
      <w:r w:rsidRPr="00382917">
        <w:t>Do</w:t>
      </w:r>
      <w:r w:rsidR="00EE4FC3">
        <w:t xml:space="preserve"> </w:t>
      </w:r>
      <w:r w:rsidRPr="00382917">
        <w:t>the</w:t>
      </w:r>
      <w:r w:rsidR="00EE4FC3">
        <w:t xml:space="preserve"> </w:t>
      </w:r>
      <w:r w:rsidRPr="00382917">
        <w:t>sons</w:t>
      </w:r>
      <w:r w:rsidR="00EE4FC3">
        <w:t xml:space="preserve"> </w:t>
      </w:r>
      <w:r w:rsidRPr="00382917">
        <w:t>recognize</w:t>
      </w:r>
      <w:r w:rsidR="00EE4FC3">
        <w:t xml:space="preserve"> </w:t>
      </w:r>
      <w:r w:rsidRPr="00382917">
        <w:t>the</w:t>
      </w:r>
      <w:r w:rsidR="00EE4FC3">
        <w:t xml:space="preserve"> </w:t>
      </w:r>
      <w:r w:rsidRPr="00382917">
        <w:t>Father,</w:t>
      </w:r>
      <w:r w:rsidR="00EE4FC3">
        <w:t xml:space="preserve"> </w:t>
      </w:r>
      <w:r w:rsidRPr="00382917">
        <w:t>and</w:t>
      </w:r>
      <w:r w:rsidR="00EE4FC3">
        <w:t xml:space="preserve"> </w:t>
      </w:r>
      <w:r w:rsidRPr="00382917">
        <w:t>acknowledge</w:t>
      </w:r>
      <w:r w:rsidR="00EE4FC3">
        <w:t xml:space="preserve"> </w:t>
      </w:r>
      <w:r w:rsidRPr="00382917">
        <w:t>Him,</w:t>
      </w:r>
      <w:r w:rsidR="00EE4FC3">
        <w:t xml:space="preserve"> </w:t>
      </w:r>
      <w:r w:rsidRPr="00382917">
        <w:t>or</w:t>
      </w:r>
      <w:r w:rsidR="00EE4FC3">
        <w:t xml:space="preserve"> </w:t>
      </w:r>
      <w:r w:rsidRPr="00382917">
        <w:t>do</w:t>
      </w:r>
      <w:r w:rsidR="00EE4FC3">
        <w:t xml:space="preserve"> </w:t>
      </w:r>
      <w:r w:rsidRPr="00382917">
        <w:t>they</w:t>
      </w:r>
      <w:r w:rsidR="00EE4FC3">
        <w:t xml:space="preserve"> </w:t>
      </w:r>
      <w:r w:rsidRPr="00382917">
        <w:t>deny</w:t>
      </w:r>
      <w:r w:rsidR="00EE4FC3">
        <w:t xml:space="preserve"> </w:t>
      </w:r>
      <w:r w:rsidRPr="00382917">
        <w:t>Him,</w:t>
      </w:r>
      <w:r w:rsidR="00EE4FC3">
        <w:t xml:space="preserve"> </w:t>
      </w:r>
      <w:r w:rsidRPr="00382917">
        <w:t>even</w:t>
      </w:r>
      <w:r w:rsidR="00EE4FC3">
        <w:t xml:space="preserve"> </w:t>
      </w:r>
      <w:r w:rsidRPr="00382917">
        <w:t>as</w:t>
      </w:r>
      <w:r w:rsidR="00EE4FC3">
        <w:t xml:space="preserve"> </w:t>
      </w:r>
      <w:r w:rsidRPr="00382917">
        <w:t>the</w:t>
      </w:r>
      <w:r w:rsidR="00EE4FC3">
        <w:t xml:space="preserve"> </w:t>
      </w:r>
      <w:r w:rsidRPr="00382917">
        <w:t>people</w:t>
      </w:r>
      <w:r w:rsidR="00EE4FC3">
        <w:t xml:space="preserve"> </w:t>
      </w:r>
      <w:proofErr w:type="spellStart"/>
      <w:r w:rsidRPr="00382917">
        <w:t>aforetime</w:t>
      </w:r>
      <w:proofErr w:type="spellEnd"/>
      <w:r w:rsidR="00EE4FC3">
        <w:t xml:space="preserve"> </w:t>
      </w:r>
      <w:r w:rsidRPr="00382917">
        <w:t>denied</w:t>
      </w:r>
      <w:r w:rsidR="00EE4FC3">
        <w:t xml:space="preserve"> </w:t>
      </w:r>
      <w:r w:rsidRPr="00382917">
        <w:t>Him</w:t>
      </w:r>
      <w:r w:rsidR="00EE4FC3">
        <w:t xml:space="preserve"> </w:t>
      </w:r>
      <w:r w:rsidRPr="00382917">
        <w:t>(Jesus)?</w:t>
      </w:r>
      <w:r w:rsidR="009C713D" w:rsidRPr="00382917">
        <w:t>”</w:t>
      </w:r>
      <w:r w:rsidR="00A73735">
        <w:rPr>
          <w:rStyle w:val="FootnoteReference"/>
        </w:rPr>
        <w:footnoteReference w:id="401"/>
      </w:r>
    </w:p>
    <w:p w:rsidR="00B568B6" w:rsidRPr="00382917" w:rsidRDefault="00B568B6" w:rsidP="00EC284C">
      <w:pPr>
        <w:pStyle w:val="Text"/>
      </w:pPr>
      <w:r w:rsidRPr="00382917">
        <w:t>The</w:t>
      </w:r>
      <w:r w:rsidR="00EE4FC3">
        <w:t xml:space="preserve"> </w:t>
      </w:r>
      <w:r w:rsidRPr="00382917">
        <w:t>Pen</w:t>
      </w:r>
      <w:r w:rsidR="00EE4FC3">
        <w:t xml:space="preserve"> </w:t>
      </w:r>
      <w:r w:rsidRPr="00382917">
        <w:t>of</w:t>
      </w:r>
      <w:r w:rsidR="00EE4FC3">
        <w:t xml:space="preserve"> </w:t>
      </w:r>
      <w:r w:rsidRPr="00382917">
        <w:t>Bahá</w:t>
      </w:r>
      <w:r w:rsidR="009C713D" w:rsidRPr="00382917">
        <w:t>’</w:t>
      </w:r>
      <w:r w:rsidRPr="00382917">
        <w:t>u</w:t>
      </w:r>
      <w:r w:rsidR="009C713D" w:rsidRPr="00382917">
        <w:t>’</w:t>
      </w:r>
      <w:r w:rsidRPr="00382917">
        <w:t>lláh</w:t>
      </w:r>
      <w:r w:rsidR="00EE4FC3">
        <w:t xml:space="preserve"> </w:t>
      </w:r>
      <w:r w:rsidRPr="00382917">
        <w:t>has</w:t>
      </w:r>
      <w:r w:rsidR="00EE4FC3">
        <w:t xml:space="preserve"> </w:t>
      </w:r>
      <w:r w:rsidRPr="00382917">
        <w:t>called</w:t>
      </w:r>
      <w:r w:rsidR="00EE4FC3">
        <w:t xml:space="preserve"> </w:t>
      </w:r>
      <w:r w:rsidRPr="00382917">
        <w:t>out</w:t>
      </w:r>
      <w:r w:rsidR="00EE4FC3">
        <w:t xml:space="preserve"> </w:t>
      </w:r>
      <w:r w:rsidRPr="00382917">
        <w:t>to</w:t>
      </w:r>
      <w:r w:rsidR="00EE4FC3">
        <w:t xml:space="preserve"> </w:t>
      </w:r>
      <w:r w:rsidRPr="00382917">
        <w:t>all</w:t>
      </w:r>
      <w:r w:rsidR="00EE4FC3">
        <w:t xml:space="preserve"> </w:t>
      </w:r>
      <w:r w:rsidRPr="00382917">
        <w:t>mankind</w:t>
      </w:r>
      <w:r w:rsidR="00EE4FC3">
        <w:t xml:space="preserve"> </w:t>
      </w:r>
      <w:r w:rsidRPr="00382917">
        <w:t>to</w:t>
      </w:r>
      <w:r w:rsidR="00EE4FC3">
        <w:t xml:space="preserve"> </w:t>
      </w:r>
      <w:r w:rsidRPr="00382917">
        <w:t>have</w:t>
      </w:r>
      <w:r w:rsidR="00EE4FC3">
        <w:t xml:space="preserve"> </w:t>
      </w:r>
      <w:r w:rsidR="009C713D" w:rsidRPr="00382917">
        <w:t>“</w:t>
      </w:r>
      <w:r w:rsidRPr="00382917">
        <w:t>eyes</w:t>
      </w:r>
      <w:r w:rsidR="00EE4FC3">
        <w:t xml:space="preserve"> </w:t>
      </w:r>
      <w:r w:rsidRPr="00382917">
        <w:t>that</w:t>
      </w:r>
      <w:r w:rsidR="00EE4FC3">
        <w:t xml:space="preserve"> </w:t>
      </w:r>
      <w:r w:rsidRPr="00382917">
        <w:t>will</w:t>
      </w:r>
      <w:r w:rsidR="00EE4FC3">
        <w:t xml:space="preserve"> </w:t>
      </w:r>
      <w:r w:rsidRPr="00382917">
        <w:t>see</w:t>
      </w:r>
      <w:r w:rsidR="009C713D" w:rsidRPr="00382917">
        <w:t>”</w:t>
      </w:r>
      <w:r w:rsidR="00EE4FC3">
        <w:t xml:space="preserve"> </w:t>
      </w:r>
      <w:r w:rsidRPr="00382917">
        <w:t>and</w:t>
      </w:r>
      <w:r w:rsidR="00EE4FC3">
        <w:t xml:space="preserve"> </w:t>
      </w:r>
      <w:r w:rsidR="009C713D" w:rsidRPr="00382917">
        <w:t>“</w:t>
      </w:r>
      <w:r w:rsidRPr="00382917">
        <w:t>ears</w:t>
      </w:r>
      <w:r w:rsidR="00EE4FC3">
        <w:t xml:space="preserve"> </w:t>
      </w:r>
      <w:r w:rsidRPr="00382917">
        <w:t>that</w:t>
      </w:r>
      <w:r w:rsidR="00EE4FC3">
        <w:t xml:space="preserve"> </w:t>
      </w:r>
      <w:r w:rsidRPr="00382917">
        <w:t>will</w:t>
      </w:r>
      <w:r w:rsidR="00EE4FC3">
        <w:t xml:space="preserve"> </w:t>
      </w:r>
      <w:r w:rsidRPr="00382917">
        <w:t>hear</w:t>
      </w:r>
      <w:r w:rsidR="009C713D" w:rsidRPr="00382917">
        <w:t>”</w:t>
      </w:r>
      <w:r w:rsidR="00EE4FC3">
        <w:t xml:space="preserve"> </w:t>
      </w:r>
      <w:r w:rsidRPr="00382917">
        <w:t>in</w:t>
      </w:r>
      <w:r w:rsidR="00EE4FC3">
        <w:t xml:space="preserve"> </w:t>
      </w:r>
      <w:r w:rsidRPr="00382917">
        <w:t>this</w:t>
      </w:r>
      <w:r w:rsidR="00EE4FC3">
        <w:t xml:space="preserve"> </w:t>
      </w:r>
      <w:r w:rsidRPr="00382917">
        <w:t>day</w:t>
      </w:r>
      <w:r w:rsidR="00F267E4">
        <w:t>.</w:t>
      </w:r>
      <w:r w:rsidR="00EE4FC3">
        <w:t xml:space="preserve">  </w:t>
      </w:r>
      <w:r w:rsidRPr="00382917">
        <w:t>To</w:t>
      </w:r>
      <w:r w:rsidR="00EE4FC3">
        <w:t xml:space="preserve"> </w:t>
      </w:r>
      <w:r w:rsidRPr="00382917">
        <w:t>the</w:t>
      </w:r>
      <w:r w:rsidR="00EE4FC3">
        <w:t xml:space="preserve"> </w:t>
      </w:r>
      <w:r w:rsidRPr="00382917">
        <w:t>question</w:t>
      </w:r>
      <w:r w:rsidR="00C03C91">
        <w:t>:</w:t>
      </w:r>
      <w:r w:rsidR="00EE4FC3">
        <w:t xml:space="preserve">  </w:t>
      </w:r>
      <w:r w:rsidR="009C713D" w:rsidRPr="00382917">
        <w:t>“</w:t>
      </w:r>
      <w:r w:rsidRPr="00382917">
        <w:t>Have</w:t>
      </w:r>
      <w:r w:rsidR="00EE4FC3">
        <w:t xml:space="preserve"> </w:t>
      </w:r>
      <w:r w:rsidRPr="00382917">
        <w:t>the</w:t>
      </w:r>
      <w:r w:rsidR="00EE4FC3">
        <w:t xml:space="preserve"> </w:t>
      </w:r>
      <w:r w:rsidRPr="00382917">
        <w:t>verses</w:t>
      </w:r>
      <w:r w:rsidR="00EE4FC3">
        <w:t xml:space="preserve"> </w:t>
      </w:r>
      <w:r w:rsidRPr="00382917">
        <w:t>been</w:t>
      </w:r>
      <w:r w:rsidR="00EE4FC3">
        <w:t xml:space="preserve"> </w:t>
      </w:r>
      <w:r w:rsidRPr="00382917">
        <w:t>sent</w:t>
      </w:r>
      <w:r w:rsidR="00EE4FC3">
        <w:t xml:space="preserve"> </w:t>
      </w:r>
      <w:r w:rsidRPr="00382917">
        <w:t>down?</w:t>
      </w:r>
      <w:r w:rsidR="009C713D" w:rsidRPr="00382917">
        <w:t>”</w:t>
      </w:r>
      <w:r w:rsidR="00EE4FC3">
        <w:t xml:space="preserve"> </w:t>
      </w:r>
      <w:r w:rsidR="00AE4713">
        <w:t xml:space="preserve"> </w:t>
      </w:r>
      <w:r w:rsidRPr="00382917">
        <w:t>He</w:t>
      </w:r>
      <w:r w:rsidR="00EE4FC3">
        <w:t xml:space="preserve"> </w:t>
      </w:r>
      <w:r w:rsidRPr="00382917">
        <w:t>answers,</w:t>
      </w:r>
      <w:r w:rsidR="00EE4FC3">
        <w:t xml:space="preserve"> </w:t>
      </w:r>
      <w:r w:rsidR="009C713D" w:rsidRPr="00382917">
        <w:t>“</w:t>
      </w:r>
      <w:r w:rsidRPr="00382917">
        <w:t>Say</w:t>
      </w:r>
      <w:r w:rsidR="00C03C91">
        <w:t>:</w:t>
      </w:r>
      <w:r w:rsidR="00EE4FC3">
        <w:t xml:space="preserve">  </w:t>
      </w:r>
      <w:r w:rsidR="009C713D" w:rsidRPr="00382917">
        <w:t>‘</w:t>
      </w:r>
      <w:r w:rsidRPr="00382917">
        <w:t>Yea,</w:t>
      </w:r>
      <w:r w:rsidR="00EE4FC3">
        <w:t xml:space="preserve"> </w:t>
      </w:r>
      <w:r w:rsidRPr="00382917">
        <w:t>by</w:t>
      </w:r>
      <w:r w:rsidR="00EE4FC3">
        <w:t xml:space="preserve"> </w:t>
      </w:r>
      <w:r w:rsidRPr="00382917">
        <w:t>Him</w:t>
      </w:r>
      <w:r w:rsidR="00EE4FC3">
        <w:t xml:space="preserve"> </w:t>
      </w:r>
      <w:r w:rsidRPr="00382917">
        <w:t>Who</w:t>
      </w:r>
      <w:r w:rsidR="00EE4FC3">
        <w:t xml:space="preserve"> </w:t>
      </w:r>
      <w:r w:rsidRPr="00382917">
        <w:t>is</w:t>
      </w:r>
      <w:r w:rsidR="00EE4FC3">
        <w:t xml:space="preserve"> </w:t>
      </w:r>
      <w:r w:rsidRPr="00382917">
        <w:t>the</w:t>
      </w:r>
      <w:r w:rsidR="00EE4FC3">
        <w:t xml:space="preserve"> </w:t>
      </w:r>
      <w:r w:rsidRPr="00382917">
        <w:t>Lord</w:t>
      </w:r>
      <w:r w:rsidR="00EE4FC3">
        <w:t xml:space="preserve"> </w:t>
      </w:r>
      <w:r w:rsidRPr="00382917">
        <w:t>of</w:t>
      </w:r>
      <w:r w:rsidR="00EE4FC3">
        <w:t xml:space="preserve"> </w:t>
      </w:r>
      <w:r w:rsidRPr="00382917">
        <w:t>the</w:t>
      </w:r>
      <w:r w:rsidR="00EE4FC3">
        <w:t xml:space="preserve"> </w:t>
      </w:r>
      <w:r w:rsidRPr="00382917">
        <w:t>heavens!</w:t>
      </w:r>
      <w:r w:rsidR="009C713D" w:rsidRPr="00382917">
        <w:t>’</w:t>
      </w:r>
      <w:r w:rsidR="00AE4713">
        <w:t xml:space="preserve"> </w:t>
      </w:r>
      <w:r w:rsidR="00EE4FC3">
        <w:t xml:space="preserve"> </w:t>
      </w:r>
      <w:proofErr w:type="gramStart"/>
      <w:r w:rsidR="009C713D" w:rsidRPr="00382917">
        <w:t>‘</w:t>
      </w:r>
      <w:proofErr w:type="gramEnd"/>
      <w:r w:rsidRPr="00382917">
        <w:t>Hath</w:t>
      </w:r>
      <w:r w:rsidR="00EE4FC3">
        <w:t xml:space="preserve"> </w:t>
      </w:r>
      <w:r w:rsidRPr="00382917">
        <w:t>the</w:t>
      </w:r>
      <w:r w:rsidR="00EE4FC3">
        <w:t xml:space="preserve"> </w:t>
      </w:r>
      <w:r w:rsidRPr="00382917">
        <w:t>Hour</w:t>
      </w:r>
      <w:r w:rsidR="00EE4FC3">
        <w:t xml:space="preserve"> </w:t>
      </w:r>
      <w:r w:rsidRPr="00382917">
        <w:t>come?</w:t>
      </w:r>
      <w:r w:rsidR="009C713D" w:rsidRPr="00382917">
        <w:t>’</w:t>
      </w:r>
      <w:r w:rsidR="00EE4FC3">
        <w:t xml:space="preserve"> </w:t>
      </w:r>
      <w:r w:rsidR="00AE4713">
        <w:t xml:space="preserve"> </w:t>
      </w:r>
      <w:r w:rsidR="009C713D" w:rsidRPr="00382917">
        <w:t>‘</w:t>
      </w:r>
      <w:r w:rsidRPr="00382917">
        <w:t>Nay,</w:t>
      </w:r>
      <w:r w:rsidR="00EE4FC3">
        <w:t xml:space="preserve"> </w:t>
      </w:r>
      <w:r w:rsidRPr="00382917">
        <w:t>more;</w:t>
      </w:r>
      <w:r w:rsidR="00EE4FC3">
        <w:t xml:space="preserve"> </w:t>
      </w:r>
      <w:r w:rsidRPr="00382917">
        <w:t>it</w:t>
      </w:r>
      <w:r w:rsidR="00EE4FC3">
        <w:t xml:space="preserve"> </w:t>
      </w:r>
      <w:r w:rsidRPr="00382917">
        <w:t>hath</w:t>
      </w:r>
      <w:r w:rsidR="00EE4FC3">
        <w:t xml:space="preserve"> </w:t>
      </w:r>
      <w:r w:rsidRPr="00382917">
        <w:t>passed</w:t>
      </w:r>
      <w:r w:rsidR="00A73735">
        <w:t xml:space="preserve"> </w:t>
      </w:r>
      <w:r w:rsidR="00F04416" w:rsidRPr="00382917">
        <w:t>…</w:t>
      </w:r>
      <w:r w:rsidR="00F267E4">
        <w:t>.</w:t>
      </w:r>
      <w:r w:rsidR="00EE4FC3">
        <w:t xml:space="preserve">  </w:t>
      </w:r>
      <w:r w:rsidRPr="00382917">
        <w:t>He,</w:t>
      </w:r>
      <w:r w:rsidR="00EE4FC3">
        <w:t xml:space="preserve"> </w:t>
      </w:r>
      <w:r w:rsidRPr="00382917">
        <w:t>the</w:t>
      </w:r>
      <w:r w:rsidR="00EE4FC3">
        <w:t xml:space="preserve"> </w:t>
      </w:r>
      <w:r w:rsidRPr="00382917">
        <w:t>True</w:t>
      </w:r>
      <w:r w:rsidR="00EE4FC3">
        <w:t xml:space="preserve"> </w:t>
      </w:r>
      <w:r w:rsidRPr="00382917">
        <w:t>One,</w:t>
      </w:r>
      <w:r w:rsidR="00EE4FC3">
        <w:t xml:space="preserve"> </w:t>
      </w:r>
      <w:r w:rsidRPr="00382917">
        <w:t>hath</w:t>
      </w:r>
      <w:r w:rsidR="00EE4FC3">
        <w:t xml:space="preserve"> </w:t>
      </w:r>
      <w:r w:rsidRPr="00382917">
        <w:t>appeared</w:t>
      </w:r>
      <w:r w:rsidR="00EE4FC3">
        <w:t xml:space="preserve"> </w:t>
      </w:r>
      <w:r w:rsidRPr="00382917">
        <w:t>with</w:t>
      </w:r>
      <w:r w:rsidR="00EE4FC3">
        <w:t xml:space="preserve"> </w:t>
      </w:r>
      <w:r w:rsidRPr="00382917">
        <w:t>proof</w:t>
      </w:r>
      <w:r w:rsidR="00EE4FC3">
        <w:t xml:space="preserve"> </w:t>
      </w:r>
      <w:r w:rsidRPr="00382917">
        <w:t>and</w:t>
      </w:r>
      <w:r w:rsidR="00EE4FC3">
        <w:t xml:space="preserve"> </w:t>
      </w:r>
      <w:r w:rsidRPr="00382917">
        <w:t>testimony</w:t>
      </w:r>
      <w:proofErr w:type="gramStart"/>
      <w:r w:rsidR="00EC284C">
        <w:t xml:space="preserve">. </w:t>
      </w:r>
      <w:proofErr w:type="gramEnd"/>
      <w:r w:rsidR="00F04416" w:rsidRPr="00382917">
        <w:t>…</w:t>
      </w:r>
      <w:r w:rsidR="00A73735" w:rsidRPr="00EC284C">
        <w:t>’</w:t>
      </w:r>
      <w:r w:rsidR="009C713D" w:rsidRPr="00EC284C">
        <w:t>”</w:t>
      </w:r>
      <w:r w:rsidR="00A73735" w:rsidRPr="00EC284C">
        <w:rPr>
          <w:rStyle w:val="FootnoteReference"/>
        </w:rPr>
        <w:footnoteReference w:id="402"/>
      </w:r>
    </w:p>
    <w:p w:rsidR="00B568B6" w:rsidRPr="00382917" w:rsidRDefault="009C713D" w:rsidP="00A73735">
      <w:pPr>
        <w:pStyle w:val="Quote"/>
      </w:pPr>
      <w:r w:rsidRPr="00382917">
        <w:t>“</w:t>
      </w:r>
      <w:r w:rsidR="00B568B6" w:rsidRPr="00382917">
        <w:t>We,</w:t>
      </w:r>
      <w:r w:rsidR="00EE4FC3">
        <w:t xml:space="preserve"> </w:t>
      </w:r>
      <w:r w:rsidR="00B568B6" w:rsidRPr="00382917">
        <w:t>in</w:t>
      </w:r>
      <w:r w:rsidR="00EE4FC3">
        <w:t xml:space="preserve"> </w:t>
      </w:r>
      <w:r w:rsidR="00B568B6" w:rsidRPr="00382917">
        <w:t>truth,</w:t>
      </w:r>
      <w:r w:rsidR="00EE4FC3">
        <w:t xml:space="preserve"> </w:t>
      </w:r>
      <w:r w:rsidR="00B568B6" w:rsidRPr="00382917">
        <w:t>have</w:t>
      </w:r>
      <w:r w:rsidR="00EE4FC3">
        <w:t xml:space="preserve"> </w:t>
      </w:r>
      <w:r w:rsidR="00B568B6" w:rsidRPr="00382917">
        <w:t>opened</w:t>
      </w:r>
      <w:r w:rsidR="00EE4FC3">
        <w:t xml:space="preserve"> </w:t>
      </w:r>
      <w:r w:rsidR="00B568B6" w:rsidRPr="00382917">
        <w:t>unto</w:t>
      </w:r>
      <w:r w:rsidR="00EE4FC3">
        <w:t xml:space="preserve"> </w:t>
      </w:r>
      <w:r w:rsidR="00B568B6" w:rsidRPr="00382917">
        <w:t>you</w:t>
      </w:r>
      <w:r w:rsidR="00EE4FC3">
        <w:t xml:space="preserve"> </w:t>
      </w:r>
      <w:r w:rsidR="00B568B6" w:rsidRPr="00382917">
        <w:t>the</w:t>
      </w:r>
      <w:r w:rsidR="00EE4FC3">
        <w:t xml:space="preserve"> </w:t>
      </w:r>
      <w:r w:rsidR="00B568B6" w:rsidRPr="00382917">
        <w:t>gates</w:t>
      </w:r>
      <w:r w:rsidR="00EE4FC3">
        <w:t xml:space="preserve"> </w:t>
      </w:r>
      <w:r w:rsidR="00B568B6" w:rsidRPr="00382917">
        <w:t>of</w:t>
      </w:r>
      <w:r w:rsidR="00EE4FC3">
        <w:t xml:space="preserve"> </w:t>
      </w:r>
      <w:r w:rsidR="00B568B6" w:rsidRPr="00382917">
        <w:t>the</w:t>
      </w:r>
      <w:r w:rsidR="00EE4FC3">
        <w:t xml:space="preserve"> </w:t>
      </w:r>
      <w:r w:rsidR="00B568B6" w:rsidRPr="00382917">
        <w:t>Kingdom,</w:t>
      </w:r>
      <w:r w:rsidRPr="00382917">
        <w:t>”</w:t>
      </w:r>
      <w:r w:rsidR="00EE4FC3">
        <w:t xml:space="preserve"> </w:t>
      </w:r>
      <w:r w:rsidR="00B568B6" w:rsidRPr="00382917">
        <w:t>Bahá</w:t>
      </w:r>
      <w:r w:rsidRPr="00382917">
        <w:t>’</w:t>
      </w:r>
      <w:r w:rsidR="00B568B6" w:rsidRPr="00382917">
        <w:t>u</w:t>
      </w:r>
      <w:r w:rsidRPr="00382917">
        <w:t>’</w:t>
      </w:r>
      <w:r w:rsidR="00B568B6" w:rsidRPr="00382917">
        <w:t>lláh</w:t>
      </w:r>
      <w:r w:rsidR="00EE4FC3">
        <w:t xml:space="preserve"> </w:t>
      </w:r>
      <w:r w:rsidR="00B568B6" w:rsidRPr="00382917">
        <w:t>calls</w:t>
      </w:r>
      <w:r w:rsidR="00EE4FC3">
        <w:t xml:space="preserve"> </w:t>
      </w:r>
      <w:r w:rsidR="00B568B6" w:rsidRPr="00382917">
        <w:t>out</w:t>
      </w:r>
      <w:r w:rsidR="00F267E4">
        <w:t>.</w:t>
      </w:r>
      <w:r w:rsidR="00EE4FC3">
        <w:t xml:space="preserve">  </w:t>
      </w:r>
      <w:r w:rsidRPr="00382917">
        <w:t>“</w:t>
      </w:r>
      <w:r w:rsidR="00B568B6" w:rsidRPr="00382917">
        <w:t>Will</w:t>
      </w:r>
      <w:r w:rsidR="00EE4FC3">
        <w:t xml:space="preserve"> </w:t>
      </w:r>
      <w:r w:rsidR="00B568B6" w:rsidRPr="00382917">
        <w:t>ye</w:t>
      </w:r>
      <w:r w:rsidR="00EE4FC3">
        <w:t xml:space="preserve"> </w:t>
      </w:r>
      <w:r w:rsidR="00B568B6" w:rsidRPr="00382917">
        <w:t>bar</w:t>
      </w:r>
      <w:r w:rsidR="00EE4FC3">
        <w:t xml:space="preserve"> </w:t>
      </w:r>
      <w:r w:rsidR="00B568B6" w:rsidRPr="00382917">
        <w:t>the</w:t>
      </w:r>
      <w:r w:rsidR="00EE4FC3">
        <w:t xml:space="preserve"> </w:t>
      </w:r>
      <w:r w:rsidR="00B568B6" w:rsidRPr="00382917">
        <w:t>doors</w:t>
      </w:r>
      <w:r w:rsidR="00EE4FC3">
        <w:t xml:space="preserve"> </w:t>
      </w:r>
      <w:r w:rsidR="00B568B6" w:rsidRPr="00382917">
        <w:t>of</w:t>
      </w:r>
      <w:r w:rsidR="00EE4FC3">
        <w:t xml:space="preserve"> </w:t>
      </w:r>
      <w:r w:rsidR="00B568B6" w:rsidRPr="00382917">
        <w:t>your</w:t>
      </w:r>
      <w:r w:rsidR="00EE4FC3">
        <w:t xml:space="preserve"> </w:t>
      </w:r>
      <w:r w:rsidR="00B568B6" w:rsidRPr="00382917">
        <w:t>houses</w:t>
      </w:r>
      <w:r w:rsidR="00EE4FC3">
        <w:t xml:space="preserve"> </w:t>
      </w:r>
      <w:r w:rsidR="00B568B6" w:rsidRPr="00382917">
        <w:t>in</w:t>
      </w:r>
      <w:r w:rsidR="00EE4FC3">
        <w:t xml:space="preserve"> </w:t>
      </w:r>
      <w:proofErr w:type="gramStart"/>
      <w:r w:rsidR="00B568B6" w:rsidRPr="00382917">
        <w:t>My</w:t>
      </w:r>
      <w:proofErr w:type="gramEnd"/>
      <w:r w:rsidR="00EE4FC3">
        <w:t xml:space="preserve"> </w:t>
      </w:r>
      <w:r w:rsidR="00B568B6" w:rsidRPr="00382917">
        <w:t>face?</w:t>
      </w:r>
      <w:r w:rsidRPr="00382917">
        <w:t>”</w:t>
      </w:r>
      <w:r w:rsidR="00A73735">
        <w:rPr>
          <w:rStyle w:val="FootnoteReference"/>
        </w:rPr>
        <w:footnoteReference w:id="403"/>
      </w:r>
    </w:p>
    <w:p w:rsidR="00B568B6" w:rsidRPr="00382917" w:rsidRDefault="00B568B6" w:rsidP="00B568B6">
      <w:pPr>
        <w:pStyle w:val="Text"/>
      </w:pPr>
      <w:r w:rsidRPr="00382917">
        <w:t>Bahá</w:t>
      </w:r>
      <w:r w:rsidR="009C713D" w:rsidRPr="00382917">
        <w:t>’</w:t>
      </w:r>
      <w:r w:rsidRPr="00382917">
        <w:t>u</w:t>
      </w:r>
      <w:r w:rsidR="009C713D" w:rsidRPr="00382917">
        <w:t>’</w:t>
      </w:r>
      <w:r w:rsidRPr="00382917">
        <w:t>lláh</w:t>
      </w:r>
      <w:r w:rsidR="00EE4FC3">
        <w:t xml:space="preserve"> </w:t>
      </w:r>
      <w:r w:rsidRPr="00382917">
        <w:t>calls</w:t>
      </w:r>
      <w:r w:rsidR="00EE4FC3">
        <w:t xml:space="preserve"> </w:t>
      </w:r>
      <w:r w:rsidRPr="00382917">
        <w:t>to</w:t>
      </w:r>
      <w:r w:rsidR="00EE4FC3">
        <w:t xml:space="preserve"> </w:t>
      </w:r>
      <w:r w:rsidRPr="00382917">
        <w:t>the</w:t>
      </w:r>
      <w:r w:rsidR="00EE4FC3">
        <w:t xml:space="preserve"> </w:t>
      </w:r>
      <w:r w:rsidR="009C713D" w:rsidRPr="00382917">
        <w:t>“</w:t>
      </w:r>
      <w:r w:rsidRPr="00382917">
        <w:t>pure</w:t>
      </w:r>
      <w:r w:rsidR="00EE4FC3">
        <w:t xml:space="preserve"> </w:t>
      </w:r>
      <w:r w:rsidRPr="00382917">
        <w:t>in</w:t>
      </w:r>
      <w:r w:rsidR="00EE4FC3">
        <w:t xml:space="preserve"> </w:t>
      </w:r>
      <w:r w:rsidRPr="00382917">
        <w:t>heart</w:t>
      </w:r>
      <w:r w:rsidR="009C713D" w:rsidRPr="00382917">
        <w:t>”</w:t>
      </w:r>
      <w:r w:rsidR="00EE4FC3">
        <w:t xml:space="preserve"> </w:t>
      </w:r>
      <w:r w:rsidRPr="00382917">
        <w:t>who</w:t>
      </w:r>
      <w:r w:rsidR="00EE4FC3">
        <w:t xml:space="preserve"> </w:t>
      </w:r>
      <w:r w:rsidRPr="00382917">
        <w:t>are</w:t>
      </w:r>
      <w:r w:rsidR="00EE4FC3">
        <w:t xml:space="preserve"> </w:t>
      </w:r>
      <w:r w:rsidRPr="00382917">
        <w:t>seeking</w:t>
      </w:r>
      <w:r w:rsidR="00EE4FC3">
        <w:t xml:space="preserve"> </w:t>
      </w:r>
      <w:r w:rsidRPr="00382917">
        <w:t>for</w:t>
      </w:r>
      <w:r w:rsidR="00EE4FC3">
        <w:t xml:space="preserve"> </w:t>
      </w:r>
      <w:r w:rsidRPr="00382917">
        <w:t>the</w:t>
      </w:r>
      <w:r w:rsidR="00EE4FC3">
        <w:t xml:space="preserve"> </w:t>
      </w:r>
      <w:r w:rsidRPr="00382917">
        <w:t>healing</w:t>
      </w:r>
      <w:r w:rsidR="00EE4FC3">
        <w:t xml:space="preserve"> </w:t>
      </w:r>
      <w:r w:rsidRPr="00382917">
        <w:t>Word</w:t>
      </w:r>
      <w:r w:rsidR="00EE4FC3">
        <w:t xml:space="preserve"> </w:t>
      </w:r>
      <w:r w:rsidRPr="00382917">
        <w:t>of</w:t>
      </w:r>
      <w:r w:rsidR="00EE4FC3">
        <w:t xml:space="preserve"> </w:t>
      </w:r>
      <w:r w:rsidRPr="00382917">
        <w:t>God:</w:t>
      </w:r>
    </w:p>
    <w:p w:rsidR="00B568B6" w:rsidRPr="00382917" w:rsidRDefault="009C713D" w:rsidP="00A73735">
      <w:pPr>
        <w:pStyle w:val="Quote"/>
      </w:pPr>
      <w:r w:rsidRPr="00382917">
        <w:t>“</w:t>
      </w:r>
      <w:r w:rsidR="00B568B6" w:rsidRPr="00382917">
        <w:t>I</w:t>
      </w:r>
      <w:r w:rsidR="00EE4FC3">
        <w:t xml:space="preserve"> </w:t>
      </w:r>
      <w:r w:rsidR="00B568B6" w:rsidRPr="00382917">
        <w:t>bear</w:t>
      </w:r>
      <w:r w:rsidR="00EE4FC3">
        <w:t xml:space="preserve"> </w:t>
      </w:r>
      <w:r w:rsidR="00B568B6" w:rsidRPr="00382917">
        <w:t>witness,</w:t>
      </w:r>
      <w:r w:rsidR="00EE4FC3">
        <w:t xml:space="preserve"> </w:t>
      </w:r>
      <w:r w:rsidR="00B568B6" w:rsidRPr="00382917">
        <w:t>O</w:t>
      </w:r>
      <w:r w:rsidR="00EE4FC3">
        <w:t xml:space="preserve"> </w:t>
      </w:r>
      <w:r w:rsidR="00B568B6" w:rsidRPr="00382917">
        <w:t>friends</w:t>
      </w:r>
      <w:proofErr w:type="gramStart"/>
      <w:r w:rsidR="00B568B6" w:rsidRPr="00382917">
        <w:t>!</w:t>
      </w:r>
      <w:r w:rsidR="00EE4FC3">
        <w:t xml:space="preserve"> </w:t>
      </w:r>
      <w:r w:rsidR="00B568B6" w:rsidRPr="00382917">
        <w:t>that</w:t>
      </w:r>
      <w:proofErr w:type="gramEnd"/>
      <w:r w:rsidR="00EE4FC3">
        <w:t xml:space="preserve"> </w:t>
      </w:r>
      <w:r w:rsidR="00B568B6" w:rsidRPr="00382917">
        <w:t>the</w:t>
      </w:r>
      <w:r w:rsidR="00EE4FC3">
        <w:t xml:space="preserve"> </w:t>
      </w:r>
      <w:proofErr w:type="spellStart"/>
      <w:r w:rsidR="00B568B6" w:rsidRPr="00382917">
        <w:t>favor</w:t>
      </w:r>
      <w:proofErr w:type="spellEnd"/>
      <w:r w:rsidR="00EE4FC3">
        <w:t xml:space="preserve"> </w:t>
      </w:r>
      <w:r w:rsidR="00B568B6" w:rsidRPr="00382917">
        <w:t>is</w:t>
      </w:r>
      <w:r w:rsidR="00EE4FC3">
        <w:t xml:space="preserve"> </w:t>
      </w:r>
      <w:r w:rsidR="00B568B6" w:rsidRPr="00382917">
        <w:t>complete,</w:t>
      </w:r>
      <w:r w:rsidR="00EE4FC3">
        <w:t xml:space="preserve"> </w:t>
      </w:r>
      <w:r w:rsidR="00B568B6" w:rsidRPr="00382917">
        <w:t>the</w:t>
      </w:r>
      <w:r w:rsidR="00EE4FC3">
        <w:t xml:space="preserve"> </w:t>
      </w:r>
      <w:r w:rsidR="00B568B6" w:rsidRPr="00382917">
        <w:t>argument</w:t>
      </w:r>
      <w:r w:rsidR="00EE4FC3">
        <w:t xml:space="preserve"> </w:t>
      </w:r>
      <w:r w:rsidR="00B568B6" w:rsidRPr="00382917">
        <w:t>fulfilled,</w:t>
      </w:r>
      <w:r w:rsidR="00EE4FC3">
        <w:t xml:space="preserve"> </w:t>
      </w:r>
      <w:r w:rsidR="00B568B6" w:rsidRPr="00382917">
        <w:t>the</w:t>
      </w:r>
      <w:r w:rsidR="00EE4FC3">
        <w:t xml:space="preserve"> </w:t>
      </w:r>
      <w:r w:rsidR="00B568B6" w:rsidRPr="00382917">
        <w:t>proof</w:t>
      </w:r>
      <w:r w:rsidR="00EE4FC3">
        <w:t xml:space="preserve"> </w:t>
      </w:r>
      <w:r w:rsidR="00B568B6" w:rsidRPr="00382917">
        <w:t>manifest</w:t>
      </w:r>
      <w:r w:rsidR="00EE4FC3">
        <w:t xml:space="preserve"> </w:t>
      </w:r>
      <w:r w:rsidR="00B568B6" w:rsidRPr="00382917">
        <w:t>and</w:t>
      </w:r>
      <w:r w:rsidR="00EE4FC3">
        <w:t xml:space="preserve"> </w:t>
      </w:r>
      <w:r w:rsidR="00B568B6" w:rsidRPr="00382917">
        <w:t>the</w:t>
      </w:r>
      <w:r w:rsidR="00EE4FC3">
        <w:t xml:space="preserve"> </w:t>
      </w:r>
      <w:r w:rsidR="00B568B6" w:rsidRPr="00382917">
        <w:t>evidence</w:t>
      </w:r>
      <w:r w:rsidR="00EE4FC3">
        <w:t xml:space="preserve"> </w:t>
      </w:r>
      <w:r w:rsidR="00B568B6" w:rsidRPr="00382917">
        <w:t>established</w:t>
      </w:r>
      <w:r w:rsidR="00F267E4">
        <w:t>.</w:t>
      </w:r>
      <w:r w:rsidR="00EE4FC3">
        <w:t xml:space="preserve">  </w:t>
      </w:r>
      <w:r w:rsidR="00B568B6" w:rsidRPr="00382917">
        <w:t>Let</w:t>
      </w:r>
      <w:r w:rsidR="00EE4FC3">
        <w:t xml:space="preserve"> </w:t>
      </w:r>
      <w:r w:rsidR="00B568B6" w:rsidRPr="00382917">
        <w:t>it</w:t>
      </w:r>
      <w:r w:rsidR="00EE4FC3">
        <w:t xml:space="preserve"> </w:t>
      </w:r>
      <w:r w:rsidR="00B568B6" w:rsidRPr="00382917">
        <w:t>now</w:t>
      </w:r>
      <w:r w:rsidR="00EE4FC3">
        <w:t xml:space="preserve"> </w:t>
      </w:r>
      <w:r w:rsidR="00B568B6" w:rsidRPr="00382917">
        <w:t>be</w:t>
      </w:r>
      <w:r w:rsidR="00EE4FC3">
        <w:t xml:space="preserve"> </w:t>
      </w:r>
      <w:r w:rsidR="00B568B6" w:rsidRPr="00382917">
        <w:t>seen</w:t>
      </w:r>
      <w:r w:rsidR="00EE4FC3">
        <w:t xml:space="preserve"> </w:t>
      </w:r>
      <w:r w:rsidR="00B568B6" w:rsidRPr="00382917">
        <w:t>what</w:t>
      </w:r>
      <w:r w:rsidR="00EE4FC3">
        <w:t xml:space="preserve"> </w:t>
      </w:r>
      <w:r w:rsidR="00B568B6" w:rsidRPr="00382917">
        <w:t>your</w:t>
      </w:r>
      <w:r w:rsidR="00EE4FC3">
        <w:t xml:space="preserve"> </w:t>
      </w:r>
      <w:proofErr w:type="spellStart"/>
      <w:r w:rsidR="00B568B6" w:rsidRPr="00382917">
        <w:t>endeavors</w:t>
      </w:r>
      <w:proofErr w:type="spellEnd"/>
      <w:r w:rsidR="00EE4FC3">
        <w:t xml:space="preserve"> </w:t>
      </w:r>
      <w:r w:rsidR="00B568B6" w:rsidRPr="00382917">
        <w:t>in</w:t>
      </w:r>
      <w:r w:rsidR="00EE4FC3">
        <w:t xml:space="preserve"> </w:t>
      </w:r>
      <w:r w:rsidR="00B568B6" w:rsidRPr="00382917">
        <w:t>the</w:t>
      </w:r>
      <w:r w:rsidR="00EE4FC3">
        <w:t xml:space="preserve"> </w:t>
      </w:r>
      <w:r w:rsidR="00B568B6" w:rsidRPr="00382917">
        <w:t>path</w:t>
      </w:r>
      <w:r w:rsidR="00EE4FC3">
        <w:t xml:space="preserve"> </w:t>
      </w:r>
      <w:r w:rsidR="00B568B6" w:rsidRPr="00382917">
        <w:t>of</w:t>
      </w:r>
      <w:r w:rsidR="00EE4FC3">
        <w:t xml:space="preserve"> </w:t>
      </w:r>
      <w:r w:rsidR="00B568B6" w:rsidRPr="00382917">
        <w:t>detachment</w:t>
      </w:r>
      <w:r w:rsidR="00EE4FC3">
        <w:t xml:space="preserve"> </w:t>
      </w:r>
      <w:r w:rsidR="00B568B6" w:rsidRPr="00382917">
        <w:t>will</w:t>
      </w:r>
      <w:r w:rsidR="00EE4FC3">
        <w:t xml:space="preserve"> </w:t>
      </w:r>
      <w:r w:rsidR="00B568B6" w:rsidRPr="00382917">
        <w:t>reveal.</w:t>
      </w:r>
      <w:r w:rsidRPr="00382917">
        <w:t>”</w:t>
      </w:r>
      <w:r w:rsidR="00A73735">
        <w:rPr>
          <w:rStyle w:val="FootnoteReference"/>
        </w:rPr>
        <w:footnoteReference w:id="404"/>
      </w:r>
    </w:p>
    <w:p w:rsidR="00B568B6" w:rsidRPr="00382917" w:rsidRDefault="009C713D" w:rsidP="00402DA0">
      <w:pPr>
        <w:pStyle w:val="Quote"/>
      </w:pPr>
      <w:r w:rsidRPr="00382917">
        <w:t>“</w:t>
      </w:r>
      <w:r w:rsidR="00B568B6" w:rsidRPr="00382917">
        <w:t>He</w:t>
      </w:r>
      <w:r w:rsidR="00EE4FC3">
        <w:t xml:space="preserve"> </w:t>
      </w:r>
      <w:r w:rsidR="00B568B6" w:rsidRPr="00382917">
        <w:t>that</w:t>
      </w:r>
      <w:r w:rsidR="00EE4FC3">
        <w:t xml:space="preserve"> </w:t>
      </w:r>
      <w:r w:rsidR="00B568B6" w:rsidRPr="00382917">
        <w:t>hath</w:t>
      </w:r>
      <w:r w:rsidR="00EE4FC3">
        <w:t xml:space="preserve"> </w:t>
      </w:r>
      <w:r w:rsidR="00B568B6" w:rsidRPr="00382917">
        <w:t>ear</w:t>
      </w:r>
      <w:r w:rsidR="00402DA0">
        <w:t>s</w:t>
      </w:r>
      <w:r w:rsidR="00EE4FC3">
        <w:t xml:space="preserve"> </w:t>
      </w:r>
      <w:r w:rsidR="00B568B6" w:rsidRPr="00382917">
        <w:t>to</w:t>
      </w:r>
      <w:r w:rsidR="00EE4FC3">
        <w:t xml:space="preserve"> </w:t>
      </w:r>
      <w:proofErr w:type="gramStart"/>
      <w:r w:rsidR="00B568B6" w:rsidRPr="00382917">
        <w:t>hear,</w:t>
      </w:r>
      <w:proofErr w:type="gramEnd"/>
      <w:r w:rsidR="00EE4FC3">
        <w:t xml:space="preserve"> </w:t>
      </w:r>
      <w:r w:rsidR="00B568B6" w:rsidRPr="00382917">
        <w:t>let</w:t>
      </w:r>
      <w:r w:rsidR="00EE4FC3">
        <w:t xml:space="preserve"> </w:t>
      </w:r>
      <w:r w:rsidR="00B568B6" w:rsidRPr="00382917">
        <w:t>him</w:t>
      </w:r>
      <w:r w:rsidR="00EE4FC3">
        <w:t xml:space="preserve"> </w:t>
      </w:r>
      <w:r w:rsidR="00B568B6" w:rsidRPr="00382917">
        <w:t>hear.</w:t>
      </w:r>
      <w:r w:rsidRPr="00382917">
        <w:t>”</w:t>
      </w:r>
      <w:r w:rsidR="00402DA0">
        <w:rPr>
          <w:rStyle w:val="FootnoteReference"/>
        </w:rPr>
        <w:footnoteReference w:id="405"/>
      </w:r>
    </w:p>
    <w:p w:rsidR="00B568B6" w:rsidRPr="00382917" w:rsidRDefault="00B568B6" w:rsidP="00B568B6"/>
    <w:p w:rsidR="00B568B6" w:rsidRPr="00382917" w:rsidRDefault="00B568B6" w:rsidP="00B568B6">
      <w:pPr>
        <w:sectPr w:rsidR="00B568B6" w:rsidRPr="00382917" w:rsidSect="009073C7">
          <w:footnotePr>
            <w:numRestart w:val="eachPage"/>
          </w:footnotePr>
          <w:type w:val="oddPage"/>
          <w:pgSz w:w="8618" w:h="12984" w:code="188"/>
          <w:pgMar w:top="720" w:right="720" w:bottom="720" w:left="720" w:header="720" w:footer="567" w:gutter="357"/>
          <w:cols w:space="708"/>
          <w:noEndnote/>
          <w:titlePg/>
          <w:docGrid w:linePitch="272"/>
        </w:sectPr>
      </w:pPr>
    </w:p>
    <w:p w:rsidR="00B568B6" w:rsidRPr="00382917" w:rsidRDefault="00417538" w:rsidP="00417538">
      <w:r w:rsidRPr="00382917">
        <w:rPr>
          <w:sz w:val="12"/>
          <w:szCs w:val="12"/>
        </w:rPr>
        <w:fldChar w:fldCharType="begin"/>
      </w:r>
      <w:r w:rsidR="00EE4FC3">
        <w:rPr>
          <w:sz w:val="12"/>
          <w:szCs w:val="12"/>
        </w:rPr>
        <w:instrText xml:space="preserve"> </w:instrText>
      </w:r>
      <w:r w:rsidRPr="00382917">
        <w:rPr>
          <w:sz w:val="12"/>
          <w:szCs w:val="12"/>
        </w:rPr>
        <w:instrText>TC</w:instrText>
      </w:r>
      <w:r w:rsidR="00EE4FC3">
        <w:rPr>
          <w:sz w:val="12"/>
          <w:szCs w:val="12"/>
        </w:rPr>
        <w:instrText xml:space="preserve">  </w:instrText>
      </w:r>
      <w:r w:rsidRPr="00382917">
        <w:rPr>
          <w:sz w:val="12"/>
          <w:szCs w:val="12"/>
        </w:rPr>
        <w:instrText>“</w:instrText>
      </w:r>
      <w:bookmarkStart w:id="29" w:name="_Toc206658626"/>
      <w:r>
        <w:rPr>
          <w:sz w:val="12"/>
          <w:szCs w:val="12"/>
        </w:rPr>
        <w:instrText>Epilogue</w:instrText>
      </w:r>
      <w:r w:rsidRPr="00382917">
        <w:rPr>
          <w:color w:val="FFFFFF" w:themeColor="background1"/>
          <w:sz w:val="12"/>
          <w:szCs w:val="12"/>
        </w:rPr>
        <w:instrText>..</w:instrText>
      </w:r>
      <w:r w:rsidRPr="00382917">
        <w:rPr>
          <w:sz w:val="12"/>
          <w:szCs w:val="12"/>
        </w:rPr>
        <w:tab/>
      </w:r>
      <w:r w:rsidRPr="00382917">
        <w:rPr>
          <w:color w:val="FFFFFF" w:themeColor="background1"/>
          <w:sz w:val="12"/>
          <w:szCs w:val="12"/>
        </w:rPr>
        <w:instrText>.</w:instrText>
      </w:r>
      <w:bookmarkEnd w:id="29"/>
      <w:proofErr w:type="gramStart"/>
      <w:r w:rsidRPr="00382917">
        <w:rPr>
          <w:sz w:val="12"/>
          <w:szCs w:val="12"/>
        </w:rPr>
        <w:instrText>”</w:instrText>
      </w:r>
      <w:r w:rsidR="00EE4FC3">
        <w:rPr>
          <w:sz w:val="12"/>
          <w:szCs w:val="12"/>
        </w:rPr>
        <w:instrText xml:space="preserve"> </w:instrText>
      </w:r>
      <w:proofErr w:type="gramEnd"/>
      <w:r w:rsidRPr="00382917">
        <w:rPr>
          <w:sz w:val="12"/>
          <w:szCs w:val="12"/>
        </w:rPr>
        <w:instrText>\l</w:instrText>
      </w:r>
      <w:r w:rsidR="00EE4FC3">
        <w:rPr>
          <w:sz w:val="12"/>
          <w:szCs w:val="12"/>
        </w:rPr>
        <w:instrText xml:space="preserve"> </w:instrText>
      </w:r>
      <w:r>
        <w:rPr>
          <w:sz w:val="12"/>
          <w:szCs w:val="12"/>
        </w:rPr>
        <w:instrText>1</w:instrText>
      </w:r>
      <w:r w:rsidR="00EE4FC3">
        <w:rPr>
          <w:sz w:val="12"/>
          <w:szCs w:val="12"/>
        </w:rPr>
        <w:instrText xml:space="preserve"> </w:instrText>
      </w:r>
      <w:r w:rsidRPr="00382917">
        <w:rPr>
          <w:sz w:val="12"/>
          <w:szCs w:val="12"/>
        </w:rPr>
        <w:fldChar w:fldCharType="end"/>
      </w:r>
    </w:p>
    <w:p w:rsidR="00B568B6" w:rsidRPr="00382917" w:rsidRDefault="00B568B6" w:rsidP="00B568B6"/>
    <w:p w:rsidR="00B568B6" w:rsidRPr="00382917" w:rsidRDefault="00B568B6" w:rsidP="00B568B6">
      <w:pPr>
        <w:pStyle w:val="Myheadc"/>
        <w:rPr>
          <w:sz w:val="20"/>
          <w:szCs w:val="20"/>
        </w:rPr>
      </w:pPr>
      <w:r w:rsidRPr="00382917">
        <w:t>Epilogue</w:t>
      </w:r>
    </w:p>
    <w:p w:rsidR="00B568B6" w:rsidRPr="00382917" w:rsidRDefault="00402DA0" w:rsidP="00402DA0">
      <w:pPr>
        <w:pStyle w:val="Quote"/>
      </w:pPr>
      <w:r>
        <w:t>“</w:t>
      </w:r>
      <w:r w:rsidR="00B568B6" w:rsidRPr="00382917">
        <w:t>Let</w:t>
      </w:r>
      <w:r w:rsidR="00EE4FC3">
        <w:t xml:space="preserve"> </w:t>
      </w:r>
      <w:r w:rsidR="00B568B6" w:rsidRPr="00382917">
        <w:t>no</w:t>
      </w:r>
      <w:r w:rsidR="00EE4FC3">
        <w:t xml:space="preserve"> </w:t>
      </w:r>
      <w:r w:rsidR="00B568B6" w:rsidRPr="00382917">
        <w:t>one,</w:t>
      </w:r>
      <w:r w:rsidR="00EE4FC3">
        <w:t xml:space="preserve"> </w:t>
      </w:r>
      <w:r w:rsidR="00B568B6" w:rsidRPr="00382917">
        <w:t>while</w:t>
      </w:r>
      <w:r w:rsidR="00EE4FC3">
        <w:t xml:space="preserve"> </w:t>
      </w:r>
      <w:r w:rsidR="00B568B6" w:rsidRPr="00382917">
        <w:t>this</w:t>
      </w:r>
      <w:r w:rsidR="00EE4FC3">
        <w:t xml:space="preserve"> </w:t>
      </w:r>
      <w:r>
        <w:t>S</w:t>
      </w:r>
      <w:r w:rsidR="00B568B6" w:rsidRPr="00382917">
        <w:t>ystem</w:t>
      </w:r>
      <w:r w:rsidR="00EE4FC3">
        <w:t xml:space="preserve"> </w:t>
      </w:r>
      <w:r w:rsidR="00B568B6" w:rsidRPr="00382917">
        <w:t>is</w:t>
      </w:r>
      <w:r w:rsidR="00EE4FC3">
        <w:t xml:space="preserve"> </w:t>
      </w:r>
      <w:r w:rsidR="00B568B6" w:rsidRPr="00382917">
        <w:t>still</w:t>
      </w:r>
      <w:r w:rsidR="00EE4FC3">
        <w:t xml:space="preserve"> </w:t>
      </w:r>
      <w:r w:rsidR="00B568B6" w:rsidRPr="00382917">
        <w:t>in</w:t>
      </w:r>
      <w:r w:rsidR="00EE4FC3">
        <w:t xml:space="preserve"> </w:t>
      </w:r>
      <w:r w:rsidR="00B568B6" w:rsidRPr="00382917">
        <w:t>its</w:t>
      </w:r>
      <w:r w:rsidR="00EE4FC3">
        <w:t xml:space="preserve"> </w:t>
      </w:r>
      <w:r w:rsidR="00B568B6" w:rsidRPr="00382917">
        <w:t>infancy,</w:t>
      </w:r>
      <w:r w:rsidR="00EE4FC3">
        <w:t xml:space="preserve"> </w:t>
      </w:r>
      <w:r w:rsidR="00B568B6" w:rsidRPr="00382917">
        <w:t>misconceive</w:t>
      </w:r>
      <w:r w:rsidR="00EE4FC3">
        <w:t xml:space="preserve"> </w:t>
      </w:r>
      <w:r w:rsidR="00B568B6" w:rsidRPr="00382917">
        <w:t>its</w:t>
      </w:r>
      <w:r w:rsidR="00EE4FC3">
        <w:t xml:space="preserve"> </w:t>
      </w:r>
      <w:r w:rsidR="00B568B6" w:rsidRPr="00382917">
        <w:t>character,</w:t>
      </w:r>
      <w:r w:rsidR="00EE4FC3">
        <w:t xml:space="preserve"> </w:t>
      </w:r>
      <w:r w:rsidR="00B568B6" w:rsidRPr="00382917">
        <w:t>belittle</w:t>
      </w:r>
      <w:r w:rsidR="00EE4FC3">
        <w:t xml:space="preserve"> </w:t>
      </w:r>
      <w:r w:rsidR="00B568B6" w:rsidRPr="00382917">
        <w:t>its</w:t>
      </w:r>
      <w:r w:rsidR="00EE4FC3">
        <w:t xml:space="preserve"> </w:t>
      </w:r>
      <w:r w:rsidR="00B568B6" w:rsidRPr="00382917">
        <w:t>significance</w:t>
      </w:r>
      <w:r w:rsidR="00EE4FC3">
        <w:t xml:space="preserve"> </w:t>
      </w:r>
      <w:r w:rsidR="00B568B6" w:rsidRPr="00382917">
        <w:t>or</w:t>
      </w:r>
      <w:r w:rsidR="00EE4FC3">
        <w:t xml:space="preserve"> </w:t>
      </w:r>
      <w:r w:rsidR="00B568B6" w:rsidRPr="00382917">
        <w:t>misrepresent</w:t>
      </w:r>
      <w:r w:rsidR="00EE4FC3">
        <w:t xml:space="preserve"> </w:t>
      </w:r>
      <w:r w:rsidR="00B568B6" w:rsidRPr="00382917">
        <w:t>its</w:t>
      </w:r>
      <w:r w:rsidR="00EE4FC3">
        <w:t xml:space="preserve"> </w:t>
      </w:r>
      <w:r w:rsidR="00B568B6" w:rsidRPr="00382917">
        <w:t>purpose</w:t>
      </w:r>
      <w:proofErr w:type="gramStart"/>
      <w:r>
        <w:t xml:space="preserve">. </w:t>
      </w:r>
      <w:proofErr w:type="gramEnd"/>
      <w:r w:rsidR="00F04416" w:rsidRPr="00382917">
        <w:t>…</w:t>
      </w:r>
      <w:r w:rsidR="00EE4FC3">
        <w:t xml:space="preserve">  </w:t>
      </w:r>
      <w:r w:rsidR="00B568B6" w:rsidRPr="00382917">
        <w:t>The</w:t>
      </w:r>
      <w:r w:rsidR="00EE4FC3">
        <w:t xml:space="preserve"> </w:t>
      </w:r>
      <w:r>
        <w:t>S</w:t>
      </w:r>
      <w:r w:rsidR="00B568B6" w:rsidRPr="00382917">
        <w:t>ource</w:t>
      </w:r>
      <w:r w:rsidR="00EE4FC3">
        <w:t xml:space="preserve"> </w:t>
      </w:r>
      <w:r w:rsidR="00B568B6" w:rsidRPr="00382917">
        <w:t>from</w:t>
      </w:r>
      <w:r w:rsidR="00EE4FC3">
        <w:t xml:space="preserve"> </w:t>
      </w:r>
      <w:r w:rsidR="00B568B6" w:rsidRPr="00382917">
        <w:t>which</w:t>
      </w:r>
      <w:r w:rsidR="00EE4FC3">
        <w:t xml:space="preserve"> </w:t>
      </w:r>
      <w:r w:rsidR="00B568B6" w:rsidRPr="00382917">
        <w:t>it</w:t>
      </w:r>
      <w:r w:rsidR="00EE4FC3">
        <w:t xml:space="preserve"> </w:t>
      </w:r>
      <w:r w:rsidR="00B568B6" w:rsidRPr="00382917">
        <w:t>derives</w:t>
      </w:r>
      <w:r w:rsidR="00EE4FC3">
        <w:t xml:space="preserve"> </w:t>
      </w:r>
      <w:r w:rsidR="00B568B6" w:rsidRPr="00382917">
        <w:t>its</w:t>
      </w:r>
      <w:r w:rsidR="00EE4FC3">
        <w:t xml:space="preserve"> </w:t>
      </w:r>
      <w:r w:rsidR="00B568B6" w:rsidRPr="00382917">
        <w:t>inspiration</w:t>
      </w:r>
      <w:r w:rsidR="00EE4FC3">
        <w:t xml:space="preserve"> </w:t>
      </w:r>
      <w:r w:rsidR="00B568B6" w:rsidRPr="00382917">
        <w:t>is</w:t>
      </w:r>
      <w:r w:rsidR="00EE4FC3">
        <w:t xml:space="preserve"> </w:t>
      </w:r>
      <w:r w:rsidR="00B568B6" w:rsidRPr="00382917">
        <w:t>no</w:t>
      </w:r>
      <w:r w:rsidR="00EE4FC3">
        <w:t xml:space="preserve"> </w:t>
      </w:r>
      <w:r w:rsidR="00B568B6" w:rsidRPr="00382917">
        <w:t>one</w:t>
      </w:r>
      <w:r w:rsidR="00EE4FC3">
        <w:t xml:space="preserve"> </w:t>
      </w:r>
      <w:r w:rsidR="00B568B6" w:rsidRPr="00382917">
        <w:t>less</w:t>
      </w:r>
      <w:r w:rsidR="00EE4FC3">
        <w:t xml:space="preserve"> </w:t>
      </w:r>
      <w:r w:rsidR="00B568B6" w:rsidRPr="00382917">
        <w:t>than</w:t>
      </w:r>
      <w:r w:rsidR="00EE4FC3">
        <w:t xml:space="preserve"> </w:t>
      </w:r>
      <w:r w:rsidR="00B568B6" w:rsidRPr="00382917">
        <w:t>Bahá</w:t>
      </w:r>
      <w:r w:rsidR="009C713D" w:rsidRPr="00382917">
        <w:t>’</w:t>
      </w:r>
      <w:r w:rsidR="00B568B6" w:rsidRPr="00382917">
        <w:t>u</w:t>
      </w:r>
      <w:r w:rsidR="009C713D" w:rsidRPr="00382917">
        <w:t>’</w:t>
      </w:r>
      <w:r w:rsidR="00B568B6" w:rsidRPr="00382917">
        <w:t>lláh</w:t>
      </w:r>
      <w:r w:rsidR="00EE4FC3">
        <w:t xml:space="preserve"> </w:t>
      </w:r>
      <w:r w:rsidR="00B568B6" w:rsidRPr="00382917">
        <w:t>Himself</w:t>
      </w:r>
      <w:r w:rsidR="00EE4FC3">
        <w:t xml:space="preserve"> </w:t>
      </w:r>
      <w:r w:rsidR="00B568B6" w:rsidRPr="00382917">
        <w:t>[God</w:t>
      </w:r>
      <w:r w:rsidR="009C713D" w:rsidRPr="00382917">
        <w:t>’</w:t>
      </w:r>
      <w:r w:rsidR="00B568B6" w:rsidRPr="00382917">
        <w:t>s</w:t>
      </w:r>
      <w:r w:rsidR="00EE4FC3">
        <w:t xml:space="preserve"> </w:t>
      </w:r>
      <w:r w:rsidR="00B568B6" w:rsidRPr="00382917">
        <w:t>Messenger</w:t>
      </w:r>
      <w:r w:rsidR="00EE4FC3">
        <w:t xml:space="preserve"> </w:t>
      </w:r>
      <w:r w:rsidR="00B568B6" w:rsidRPr="00382917">
        <w:t>for</w:t>
      </w:r>
      <w:r w:rsidR="00EE4FC3">
        <w:t xml:space="preserve"> </w:t>
      </w:r>
      <w:r w:rsidR="00B568B6" w:rsidRPr="00382917">
        <w:t>this</w:t>
      </w:r>
      <w:r w:rsidR="00EE4FC3">
        <w:t xml:space="preserve"> </w:t>
      </w:r>
      <w:r w:rsidR="00B568B6" w:rsidRPr="00382917">
        <w:t>day]</w:t>
      </w:r>
      <w:proofErr w:type="gramStart"/>
      <w:r>
        <w:t xml:space="preserve">. </w:t>
      </w:r>
      <w:proofErr w:type="gramEnd"/>
      <w:r w:rsidR="00F04416" w:rsidRPr="00382917">
        <w:t>…</w:t>
      </w:r>
      <w:r w:rsidR="00EE4FC3">
        <w:t xml:space="preserve">  </w:t>
      </w:r>
      <w:r w:rsidR="00B568B6" w:rsidRPr="00382917">
        <w:t>Its</w:t>
      </w:r>
      <w:r w:rsidR="00EE4FC3">
        <w:t xml:space="preserve"> </w:t>
      </w:r>
      <w:r w:rsidR="00B568B6" w:rsidRPr="00382917">
        <w:t>seed</w:t>
      </w:r>
      <w:r w:rsidR="00EE4FC3">
        <w:t xml:space="preserve"> </w:t>
      </w:r>
      <w:r w:rsidR="00B568B6" w:rsidRPr="00382917">
        <w:t>is</w:t>
      </w:r>
      <w:r w:rsidR="00EE4FC3">
        <w:t xml:space="preserve"> </w:t>
      </w:r>
      <w:r w:rsidR="00B568B6" w:rsidRPr="00382917">
        <w:t>the</w:t>
      </w:r>
      <w:r w:rsidR="00EE4FC3">
        <w:t xml:space="preserve"> </w:t>
      </w:r>
      <w:r w:rsidR="00B568B6" w:rsidRPr="00382917">
        <w:t>blood</w:t>
      </w:r>
      <w:r w:rsidR="00EE4FC3">
        <w:t xml:space="preserve"> </w:t>
      </w:r>
      <w:r w:rsidR="00B568B6" w:rsidRPr="00382917">
        <w:t>of</w:t>
      </w:r>
      <w:r w:rsidR="00EE4FC3">
        <w:t xml:space="preserve"> </w:t>
      </w:r>
      <w:r w:rsidR="00B568B6" w:rsidRPr="00382917">
        <w:t>no</w:t>
      </w:r>
      <w:r w:rsidR="00EE4FC3">
        <w:t xml:space="preserve"> </w:t>
      </w:r>
      <w:r w:rsidR="00B568B6" w:rsidRPr="00382917">
        <w:t>less</w:t>
      </w:r>
      <w:r w:rsidR="00EE4FC3">
        <w:t xml:space="preserve"> </w:t>
      </w:r>
      <w:r w:rsidR="00B568B6" w:rsidRPr="00382917">
        <w:t>than</w:t>
      </w:r>
      <w:r w:rsidR="00EE4FC3">
        <w:t xml:space="preserve"> </w:t>
      </w:r>
      <w:r w:rsidR="00B568B6" w:rsidRPr="00382917">
        <w:t>twenty</w:t>
      </w:r>
      <w:r w:rsidR="00EE4FC3">
        <w:t xml:space="preserve"> </w:t>
      </w:r>
      <w:r w:rsidR="00B568B6" w:rsidRPr="00382917">
        <w:t>thousand</w:t>
      </w:r>
      <w:r w:rsidR="00EE4FC3">
        <w:t xml:space="preserve"> </w:t>
      </w:r>
      <w:r w:rsidR="00B568B6" w:rsidRPr="00382917">
        <w:t>martyrs</w:t>
      </w:r>
      <w:r w:rsidR="00EE4FC3">
        <w:t xml:space="preserve"> </w:t>
      </w:r>
      <w:r w:rsidR="00B568B6" w:rsidRPr="00382917">
        <w:t>who</w:t>
      </w:r>
      <w:r w:rsidR="00EE4FC3">
        <w:t xml:space="preserve"> </w:t>
      </w:r>
      <w:r w:rsidR="00B568B6" w:rsidRPr="00382917">
        <w:t>have</w:t>
      </w:r>
      <w:r w:rsidR="00EE4FC3">
        <w:t xml:space="preserve"> </w:t>
      </w:r>
      <w:r w:rsidR="00B568B6" w:rsidRPr="00382917">
        <w:t>offered</w:t>
      </w:r>
      <w:r w:rsidR="00EE4FC3">
        <w:t xml:space="preserve"> </w:t>
      </w:r>
      <w:r w:rsidR="00B568B6" w:rsidRPr="00382917">
        <w:t>up</w:t>
      </w:r>
      <w:r w:rsidR="00EE4FC3">
        <w:t xml:space="preserve"> </w:t>
      </w:r>
      <w:r w:rsidR="00B568B6" w:rsidRPr="00382917">
        <w:t>their</w:t>
      </w:r>
      <w:r w:rsidR="00EE4FC3">
        <w:t xml:space="preserve"> </w:t>
      </w:r>
      <w:r w:rsidR="00B568B6" w:rsidRPr="00382917">
        <w:t>lives</w:t>
      </w:r>
      <w:r w:rsidR="00EE4FC3">
        <w:t xml:space="preserve"> </w:t>
      </w:r>
      <w:r w:rsidR="00B568B6" w:rsidRPr="00382917">
        <w:t>that</w:t>
      </w:r>
      <w:r w:rsidR="00EE4FC3">
        <w:t xml:space="preserve"> </w:t>
      </w:r>
      <w:r w:rsidR="00B568B6" w:rsidRPr="00382917">
        <w:t>it</w:t>
      </w:r>
      <w:r w:rsidR="00EE4FC3">
        <w:t xml:space="preserve"> </w:t>
      </w:r>
      <w:r w:rsidR="00B568B6" w:rsidRPr="00382917">
        <w:t>may</w:t>
      </w:r>
      <w:r w:rsidR="00EE4FC3">
        <w:t xml:space="preserve"> </w:t>
      </w:r>
      <w:r w:rsidR="00B568B6" w:rsidRPr="00382917">
        <w:t>be</w:t>
      </w:r>
      <w:r w:rsidR="00EE4FC3">
        <w:t xml:space="preserve"> </w:t>
      </w:r>
      <w:r w:rsidR="00B568B6" w:rsidRPr="00382917">
        <w:t>born</w:t>
      </w:r>
      <w:r w:rsidR="00EE4FC3">
        <w:t xml:space="preserve"> </w:t>
      </w:r>
      <w:r w:rsidR="00B568B6" w:rsidRPr="00382917">
        <w:t>and</w:t>
      </w:r>
      <w:r w:rsidR="00EE4FC3">
        <w:t xml:space="preserve"> </w:t>
      </w:r>
      <w:r w:rsidR="00B568B6" w:rsidRPr="00382917">
        <w:t>flourish.</w:t>
      </w:r>
      <w:r w:rsidR="009C713D" w:rsidRPr="00382917">
        <w:t>”</w:t>
      </w:r>
      <w:r>
        <w:rPr>
          <w:rStyle w:val="FootnoteReference"/>
        </w:rPr>
        <w:footnoteReference w:id="406"/>
      </w:r>
    </w:p>
    <w:p w:rsidR="00402DA0" w:rsidRDefault="00402DA0" w:rsidP="00365349">
      <w:pPr>
        <w:pStyle w:val="Quote"/>
      </w:pPr>
      <w:r>
        <w:t>Unlike the Dispensation of Christ, unlike the Dispensation of Mu</w:t>
      </w:r>
      <w:r w:rsidR="00365349" w:rsidRPr="00365349">
        <w:t>ḥ</w:t>
      </w:r>
      <w:r>
        <w:t>ammad, unlike all the Dispensations of the past, the apostles of Bahá</w:t>
      </w:r>
      <w:r w:rsidR="00365349">
        <w:t>’</w:t>
      </w:r>
      <w:r>
        <w:t>u</w:t>
      </w:r>
      <w:r w:rsidR="00365349">
        <w:t>’</w:t>
      </w:r>
      <w:r>
        <w:t xml:space="preserve">lláh in every land, wherever they </w:t>
      </w:r>
      <w:proofErr w:type="spellStart"/>
      <w:r>
        <w:t>labor</w:t>
      </w:r>
      <w:proofErr w:type="spellEnd"/>
      <w:r>
        <w:t xml:space="preserve"> and toil, have before them in clear, in unequivocal and emphatic language, all the laws, the regulations, the principles, the institutions, the guidance, they require for the prosecution and consummation of their task</w:t>
      </w:r>
      <w:proofErr w:type="gramStart"/>
      <w:r>
        <w:t xml:space="preserve">. </w:t>
      </w:r>
      <w:proofErr w:type="gramEnd"/>
      <w:r w:rsidR="00365349">
        <w:t xml:space="preserve">…  </w:t>
      </w:r>
      <w:r>
        <w:t>Therein lies the distinguishing feature of the Bahá'í Revelation</w:t>
      </w:r>
      <w:proofErr w:type="gramStart"/>
      <w:r>
        <w:t xml:space="preserve">. </w:t>
      </w:r>
      <w:proofErr w:type="gramEnd"/>
      <w:r>
        <w:t xml:space="preserve">Therein lies the strength of the unity of the </w:t>
      </w:r>
      <w:r w:rsidR="00365349">
        <w:t xml:space="preserve">[Bahá’í] </w:t>
      </w:r>
      <w:r>
        <w:t xml:space="preserve">Faith, of the validity of a Revelation that claims not to destroy or belittle previous Revelations, but to connect, unify, and </w:t>
      </w:r>
      <w:proofErr w:type="spellStart"/>
      <w:r>
        <w:t>fulfill</w:t>
      </w:r>
      <w:proofErr w:type="spellEnd"/>
      <w:r>
        <w:t xml:space="preserve"> them.</w:t>
      </w:r>
      <w:r w:rsidR="00365349">
        <w:rPr>
          <w:rStyle w:val="FootnoteReference"/>
        </w:rPr>
        <w:footnoteReference w:id="407"/>
      </w:r>
    </w:p>
    <w:p w:rsidR="00B568B6" w:rsidRPr="00382917" w:rsidRDefault="009C713D" w:rsidP="00473693">
      <w:pPr>
        <w:pStyle w:val="Quote"/>
      </w:pPr>
      <w:r w:rsidRPr="00382917">
        <w:t>“</w:t>
      </w:r>
      <w:r w:rsidR="00B568B6" w:rsidRPr="00382917">
        <w:t>The</w:t>
      </w:r>
      <w:r w:rsidR="00EE4FC3">
        <w:t xml:space="preserve"> </w:t>
      </w:r>
      <w:r w:rsidR="00B568B6" w:rsidRPr="00382917">
        <w:t>Call</w:t>
      </w:r>
      <w:r w:rsidR="00EE4FC3">
        <w:t xml:space="preserve"> </w:t>
      </w:r>
      <w:r w:rsidR="00B568B6" w:rsidRPr="00382917">
        <w:t>of</w:t>
      </w:r>
      <w:r w:rsidR="00EE4FC3">
        <w:t xml:space="preserve"> </w:t>
      </w:r>
      <w:r w:rsidR="00B568B6" w:rsidRPr="00382917">
        <w:t>God</w:t>
      </w:r>
      <w:r w:rsidR="00EE4FC3">
        <w:t xml:space="preserve"> </w:t>
      </w:r>
      <w:r w:rsidR="00B568B6" w:rsidRPr="00382917">
        <w:t>when</w:t>
      </w:r>
      <w:r w:rsidR="00EE4FC3">
        <w:t xml:space="preserve"> </w:t>
      </w:r>
      <w:r w:rsidR="00B568B6" w:rsidRPr="00382917">
        <w:t>raised,</w:t>
      </w:r>
      <w:r w:rsidR="00EE4FC3">
        <w:t xml:space="preserve"> </w:t>
      </w:r>
      <w:r w:rsidR="00B568B6" w:rsidRPr="00382917">
        <w:t>breathed</w:t>
      </w:r>
      <w:r w:rsidR="00EE4FC3">
        <w:t xml:space="preserve"> </w:t>
      </w:r>
      <w:r w:rsidR="00B568B6" w:rsidRPr="00382917">
        <w:t>a</w:t>
      </w:r>
      <w:r w:rsidR="00EE4FC3">
        <w:t xml:space="preserve"> </w:t>
      </w:r>
      <w:r w:rsidR="00B568B6" w:rsidRPr="00382917">
        <w:t>new</w:t>
      </w:r>
      <w:r w:rsidR="00EE4FC3">
        <w:t xml:space="preserve"> </w:t>
      </w:r>
      <w:r w:rsidR="00B568B6" w:rsidRPr="00382917">
        <w:t>life</w:t>
      </w:r>
      <w:r w:rsidR="00EE4FC3">
        <w:t xml:space="preserve"> </w:t>
      </w:r>
      <w:r w:rsidR="00B568B6" w:rsidRPr="00382917">
        <w:t>into</w:t>
      </w:r>
      <w:r w:rsidR="00EE4FC3">
        <w:t xml:space="preserve"> </w:t>
      </w:r>
      <w:r w:rsidR="00B568B6" w:rsidRPr="00382917">
        <w:t>the</w:t>
      </w:r>
      <w:r w:rsidR="00EE4FC3">
        <w:t xml:space="preserve"> </w:t>
      </w:r>
      <w:r w:rsidR="00B568B6" w:rsidRPr="00382917">
        <w:t>body</w:t>
      </w:r>
      <w:r w:rsidR="00EE4FC3">
        <w:t xml:space="preserve"> </w:t>
      </w:r>
      <w:r w:rsidR="00B568B6" w:rsidRPr="00382917">
        <w:t>of</w:t>
      </w:r>
      <w:r w:rsidR="00EE4FC3">
        <w:t xml:space="preserve"> </w:t>
      </w:r>
      <w:r w:rsidR="00B568B6" w:rsidRPr="00382917">
        <w:t>mankind,</w:t>
      </w:r>
      <w:r w:rsidRPr="00382917">
        <w:t>”</w:t>
      </w:r>
      <w:r w:rsidR="00EE4FC3">
        <w:t xml:space="preserve"> </w:t>
      </w:r>
      <w:r w:rsidR="00B568B6" w:rsidRPr="00382917">
        <w:t>said</w:t>
      </w:r>
      <w:r w:rsidR="00EE4FC3">
        <w:t xml:space="preserve"> </w:t>
      </w:r>
      <w:r w:rsidR="00417538">
        <w:t>‘</w:t>
      </w:r>
      <w:r w:rsidR="00B568B6" w:rsidRPr="00382917">
        <w:t>Abdu</w:t>
      </w:r>
      <w:r w:rsidRPr="00382917">
        <w:t>’</w:t>
      </w:r>
      <w:r w:rsidR="00B568B6" w:rsidRPr="00382917">
        <w:t>l-Bahá,</w:t>
      </w:r>
      <w:r w:rsidR="00EE4FC3">
        <w:t xml:space="preserve"> </w:t>
      </w:r>
      <w:r w:rsidRPr="00382917">
        <w:t>“</w:t>
      </w:r>
      <w:r w:rsidR="00B568B6" w:rsidRPr="00382917">
        <w:t>and</w:t>
      </w:r>
      <w:r w:rsidR="00EE4FC3">
        <w:t xml:space="preserve"> </w:t>
      </w:r>
      <w:r w:rsidR="00B568B6" w:rsidRPr="00382917">
        <w:t>infused</w:t>
      </w:r>
      <w:r w:rsidR="00EE4FC3">
        <w:t xml:space="preserve"> </w:t>
      </w:r>
      <w:r w:rsidR="00B568B6" w:rsidRPr="00382917">
        <w:t>a</w:t>
      </w:r>
      <w:r w:rsidR="00EE4FC3">
        <w:t xml:space="preserve"> </w:t>
      </w:r>
      <w:r w:rsidR="00B568B6" w:rsidRPr="00382917">
        <w:t>new</w:t>
      </w:r>
      <w:r w:rsidR="00EE4FC3">
        <w:t xml:space="preserve"> </w:t>
      </w:r>
      <w:r w:rsidR="00B568B6" w:rsidRPr="00382917">
        <w:t>spirit</w:t>
      </w:r>
      <w:r w:rsidR="00EE4FC3">
        <w:t xml:space="preserve"> </w:t>
      </w:r>
      <w:r w:rsidR="00B568B6" w:rsidRPr="00382917">
        <w:t>into</w:t>
      </w:r>
      <w:r w:rsidR="00EE4FC3">
        <w:t xml:space="preserve"> </w:t>
      </w:r>
      <w:r w:rsidR="00B568B6" w:rsidRPr="00382917">
        <w:t>the</w:t>
      </w:r>
      <w:r w:rsidR="00EE4FC3">
        <w:t xml:space="preserve"> </w:t>
      </w:r>
      <w:r w:rsidR="00B568B6" w:rsidRPr="00382917">
        <w:t>whole</w:t>
      </w:r>
      <w:r w:rsidR="00EE4FC3">
        <w:t xml:space="preserve"> </w:t>
      </w:r>
      <w:r w:rsidR="00B568B6" w:rsidRPr="00382917">
        <w:t>creation</w:t>
      </w:r>
      <w:r w:rsidR="00F267E4">
        <w:t>.</w:t>
      </w:r>
      <w:r w:rsidR="00EE4FC3">
        <w:t xml:space="preserve">  </w:t>
      </w:r>
      <w:r w:rsidR="00B568B6" w:rsidRPr="00382917">
        <w:t>It</w:t>
      </w:r>
      <w:r w:rsidR="00EE4FC3">
        <w:t xml:space="preserve"> </w:t>
      </w:r>
      <w:r w:rsidR="00B568B6" w:rsidRPr="00382917">
        <w:t>is</w:t>
      </w:r>
      <w:r w:rsidR="00EE4FC3">
        <w:t xml:space="preserve"> </w:t>
      </w:r>
      <w:r w:rsidR="00B568B6" w:rsidRPr="00382917">
        <w:t>for</w:t>
      </w:r>
      <w:r w:rsidR="00EE4FC3">
        <w:t xml:space="preserve"> </w:t>
      </w:r>
      <w:r w:rsidR="00B568B6" w:rsidRPr="00382917">
        <w:t>this</w:t>
      </w:r>
      <w:r w:rsidR="00EE4FC3">
        <w:t xml:space="preserve"> </w:t>
      </w:r>
      <w:r w:rsidR="00B568B6" w:rsidRPr="00382917">
        <w:t>reason</w:t>
      </w:r>
      <w:r w:rsidR="00EE4FC3">
        <w:t xml:space="preserve"> </w:t>
      </w:r>
      <w:r w:rsidR="00B568B6" w:rsidRPr="00382917">
        <w:t>that</w:t>
      </w:r>
      <w:r w:rsidR="00EE4FC3">
        <w:t xml:space="preserve"> </w:t>
      </w:r>
      <w:r w:rsidR="00B568B6" w:rsidRPr="00382917">
        <w:t>the</w:t>
      </w:r>
      <w:r w:rsidR="00EE4FC3">
        <w:t xml:space="preserve"> </w:t>
      </w:r>
      <w:r w:rsidR="00B568B6" w:rsidRPr="00382917">
        <w:t>world</w:t>
      </w:r>
      <w:r w:rsidR="00EE4FC3">
        <w:t xml:space="preserve"> </w:t>
      </w:r>
      <w:r w:rsidR="00B568B6" w:rsidRPr="00382917">
        <w:t>hath</w:t>
      </w:r>
      <w:r w:rsidR="00EE4FC3">
        <w:t xml:space="preserve"> </w:t>
      </w:r>
      <w:r w:rsidR="00B568B6" w:rsidRPr="00382917">
        <w:t>been</w:t>
      </w:r>
      <w:r w:rsidR="00EE4FC3">
        <w:t xml:space="preserve"> </w:t>
      </w:r>
      <w:r w:rsidR="00B568B6" w:rsidRPr="00382917">
        <w:t>moved</w:t>
      </w:r>
      <w:r w:rsidR="00EE4FC3">
        <w:t xml:space="preserve"> </w:t>
      </w:r>
      <w:r w:rsidR="00B568B6" w:rsidRPr="00382917">
        <w:t>to</w:t>
      </w:r>
      <w:r w:rsidR="00EE4FC3">
        <w:t xml:space="preserve"> </w:t>
      </w:r>
      <w:r w:rsidR="00B568B6" w:rsidRPr="00382917">
        <w:t>its</w:t>
      </w:r>
      <w:r w:rsidR="00EE4FC3">
        <w:t xml:space="preserve"> </w:t>
      </w:r>
      <w:r w:rsidR="00B568B6" w:rsidRPr="00382917">
        <w:t>depths,</w:t>
      </w:r>
      <w:r w:rsidR="00EE4FC3">
        <w:t xml:space="preserve"> </w:t>
      </w:r>
      <w:r w:rsidR="00B568B6" w:rsidRPr="00382917">
        <w:t>and</w:t>
      </w:r>
      <w:r w:rsidR="00EE4FC3">
        <w:t xml:space="preserve"> </w:t>
      </w:r>
      <w:r w:rsidR="00B568B6" w:rsidRPr="00382917">
        <w:t>the</w:t>
      </w:r>
      <w:r w:rsidR="00EE4FC3">
        <w:t xml:space="preserve"> </w:t>
      </w:r>
      <w:r w:rsidR="00B568B6" w:rsidRPr="00382917">
        <w:t>hearts</w:t>
      </w:r>
      <w:r w:rsidR="00EE4FC3">
        <w:t xml:space="preserve"> </w:t>
      </w:r>
      <w:r w:rsidR="00B568B6" w:rsidRPr="00382917">
        <w:t>and</w:t>
      </w:r>
      <w:r w:rsidR="00EE4FC3">
        <w:t xml:space="preserve"> </w:t>
      </w:r>
      <w:r w:rsidR="00B568B6" w:rsidRPr="00382917">
        <w:t>consciences</w:t>
      </w:r>
      <w:r w:rsidR="00EE4FC3">
        <w:t xml:space="preserve"> </w:t>
      </w:r>
      <w:r w:rsidR="00B568B6" w:rsidRPr="00382917">
        <w:t>of</w:t>
      </w:r>
      <w:r w:rsidR="00EE4FC3">
        <w:t xml:space="preserve"> </w:t>
      </w:r>
      <w:r w:rsidR="00B568B6" w:rsidRPr="00382917">
        <w:t>men</w:t>
      </w:r>
      <w:r w:rsidR="00EE4FC3">
        <w:t xml:space="preserve"> </w:t>
      </w:r>
      <w:r w:rsidR="00B568B6" w:rsidRPr="00382917">
        <w:t>been</w:t>
      </w:r>
      <w:r w:rsidR="00EE4FC3">
        <w:t xml:space="preserve"> </w:t>
      </w:r>
      <w:r w:rsidR="00B568B6" w:rsidRPr="00382917">
        <w:t>quickened</w:t>
      </w:r>
      <w:r w:rsidR="00F267E4">
        <w:t>.</w:t>
      </w:r>
      <w:r w:rsidR="00EE4FC3">
        <w:t xml:space="preserve">  </w:t>
      </w:r>
      <w:r w:rsidR="00B568B6" w:rsidRPr="00382917">
        <w:t>Erelong</w:t>
      </w:r>
      <w:r w:rsidR="00EE4FC3">
        <w:t xml:space="preserve"> </w:t>
      </w:r>
      <w:r w:rsidR="00B568B6" w:rsidRPr="00382917">
        <w:t>the</w:t>
      </w:r>
      <w:r w:rsidR="00EE4FC3">
        <w:t xml:space="preserve"> </w:t>
      </w:r>
      <w:r w:rsidR="00B568B6" w:rsidRPr="00382917">
        <w:t>evidences</w:t>
      </w:r>
      <w:r w:rsidR="00EE4FC3">
        <w:t xml:space="preserve"> </w:t>
      </w:r>
      <w:r w:rsidR="00B568B6" w:rsidRPr="00382917">
        <w:t>of</w:t>
      </w:r>
      <w:r w:rsidR="00EE4FC3">
        <w:t xml:space="preserve"> </w:t>
      </w:r>
      <w:r w:rsidR="00B568B6" w:rsidRPr="00382917">
        <w:t>this</w:t>
      </w:r>
      <w:r w:rsidR="00EE4FC3">
        <w:t xml:space="preserve"> </w:t>
      </w:r>
      <w:r w:rsidR="00B568B6" w:rsidRPr="00382917">
        <w:t>regeneration</w:t>
      </w:r>
      <w:r w:rsidR="00EE4FC3">
        <w:t xml:space="preserve"> </w:t>
      </w:r>
      <w:r w:rsidR="00B568B6" w:rsidRPr="00382917">
        <w:t>will</w:t>
      </w:r>
      <w:r w:rsidR="00EE4FC3">
        <w:t xml:space="preserve"> </w:t>
      </w:r>
      <w:r w:rsidR="00B568B6" w:rsidRPr="00382917">
        <w:t>be</w:t>
      </w:r>
      <w:r w:rsidR="00EE4FC3">
        <w:t xml:space="preserve"> </w:t>
      </w:r>
      <w:r w:rsidR="00B568B6" w:rsidRPr="00382917">
        <w:t>revealed,</w:t>
      </w:r>
      <w:r w:rsidR="00EE4FC3">
        <w:t xml:space="preserve"> </w:t>
      </w:r>
      <w:r w:rsidR="00B568B6" w:rsidRPr="00382917">
        <w:t>and</w:t>
      </w:r>
      <w:r w:rsidR="00EE4FC3">
        <w:t xml:space="preserve"> </w:t>
      </w:r>
      <w:r w:rsidR="00B568B6" w:rsidRPr="00382917">
        <w:t>the</w:t>
      </w:r>
      <w:r w:rsidR="00EE4FC3">
        <w:t xml:space="preserve"> </w:t>
      </w:r>
      <w:r w:rsidR="00B568B6" w:rsidRPr="00382917">
        <w:t>fast</w:t>
      </w:r>
      <w:r w:rsidR="00EE4FC3">
        <w:t xml:space="preserve"> </w:t>
      </w:r>
      <w:r w:rsidR="00B568B6" w:rsidRPr="00382917">
        <w:t>asleep</w:t>
      </w:r>
      <w:r w:rsidR="00EE4FC3">
        <w:t xml:space="preserve"> </w:t>
      </w:r>
      <w:r w:rsidR="00B568B6" w:rsidRPr="00382917">
        <w:t>will</w:t>
      </w:r>
      <w:r w:rsidR="00EE4FC3">
        <w:t xml:space="preserve"> </w:t>
      </w:r>
      <w:r w:rsidR="00B568B6" w:rsidRPr="00382917">
        <w:t>be</w:t>
      </w:r>
      <w:r w:rsidR="00EE4FC3">
        <w:t xml:space="preserve"> </w:t>
      </w:r>
      <w:r w:rsidR="00B568B6" w:rsidRPr="00382917">
        <w:t>awakened.</w:t>
      </w:r>
      <w:r w:rsidRPr="00382917">
        <w:t>”</w:t>
      </w:r>
      <w:r w:rsidR="00473693">
        <w:rPr>
          <w:rStyle w:val="FootnoteReference"/>
        </w:rPr>
        <w:footnoteReference w:id="408"/>
      </w:r>
    </w:p>
    <w:p w:rsidR="00B568B6" w:rsidRPr="00382917" w:rsidRDefault="00B568B6" w:rsidP="00B568B6">
      <w:pPr>
        <w:pStyle w:val="Text"/>
      </w:pPr>
      <w:r w:rsidRPr="00382917">
        <w:t>Since</w:t>
      </w:r>
      <w:r w:rsidR="00EE4FC3">
        <w:t xml:space="preserve"> </w:t>
      </w:r>
      <w:r w:rsidRPr="00382917">
        <w:t>the</w:t>
      </w:r>
      <w:r w:rsidR="00EE4FC3">
        <w:t xml:space="preserve"> </w:t>
      </w:r>
      <w:r w:rsidRPr="00382917">
        <w:t>day</w:t>
      </w:r>
      <w:r w:rsidR="00EE4FC3">
        <w:t xml:space="preserve"> </w:t>
      </w:r>
      <w:r w:rsidRPr="00382917">
        <w:t>that</w:t>
      </w:r>
      <w:r w:rsidR="00EE4FC3">
        <w:t xml:space="preserve"> </w:t>
      </w:r>
      <w:r w:rsidR="00417538">
        <w:t>‘</w:t>
      </w:r>
      <w:r w:rsidRPr="00382917">
        <w:t>Abdu</w:t>
      </w:r>
      <w:r w:rsidR="009C713D" w:rsidRPr="00382917">
        <w:t>’</w:t>
      </w:r>
      <w:r w:rsidRPr="00382917">
        <w:t>l-Bahá,</w:t>
      </w:r>
      <w:r w:rsidR="00EE4FC3">
        <w:t xml:space="preserve"> </w:t>
      </w:r>
      <w:r w:rsidRPr="00382917">
        <w:t>the</w:t>
      </w:r>
      <w:r w:rsidR="00EE4FC3">
        <w:t xml:space="preserve"> </w:t>
      </w:r>
      <w:r w:rsidRPr="00382917">
        <w:t>son</w:t>
      </w:r>
      <w:r w:rsidR="00EE4FC3">
        <w:t xml:space="preserve"> </w:t>
      </w:r>
      <w:r w:rsidRPr="00382917">
        <w:t>of</w:t>
      </w:r>
      <w:r w:rsidR="00EE4FC3">
        <w:t xml:space="preserve"> </w:t>
      </w:r>
      <w:r w:rsidRPr="00382917">
        <w:t>Bahá</w:t>
      </w:r>
      <w:r w:rsidR="009C713D" w:rsidRPr="00382917">
        <w:t>’</w:t>
      </w:r>
      <w:r w:rsidRPr="00382917">
        <w:t>u</w:t>
      </w:r>
      <w:r w:rsidR="009C713D" w:rsidRPr="00382917">
        <w:t>’</w:t>
      </w:r>
      <w:r w:rsidRPr="00382917">
        <w:t>lláh,</w:t>
      </w:r>
      <w:r w:rsidR="00EE4FC3">
        <w:t xml:space="preserve"> </w:t>
      </w:r>
      <w:r w:rsidRPr="00382917">
        <w:t>spoke</w:t>
      </w:r>
      <w:r w:rsidR="00EE4FC3">
        <w:t xml:space="preserve"> </w:t>
      </w:r>
      <w:r w:rsidRPr="00382917">
        <w:t>these</w:t>
      </w:r>
      <w:r w:rsidR="00EE4FC3">
        <w:t xml:space="preserve"> </w:t>
      </w:r>
      <w:r w:rsidRPr="00382917">
        <w:t>words,</w:t>
      </w:r>
      <w:r w:rsidR="00EE4FC3">
        <w:t xml:space="preserve"> </w:t>
      </w:r>
      <w:r w:rsidRPr="00382917">
        <w:t>Shoghi</w:t>
      </w:r>
      <w:r w:rsidR="00EE4FC3">
        <w:t xml:space="preserve"> </w:t>
      </w:r>
      <w:r w:rsidRPr="00382917">
        <w:t>Effendi,</w:t>
      </w:r>
      <w:r w:rsidR="00EE4FC3">
        <w:t xml:space="preserve"> </w:t>
      </w:r>
      <w:r w:rsidRPr="00382917">
        <w:t>the</w:t>
      </w:r>
      <w:r w:rsidR="00EE4FC3">
        <w:t xml:space="preserve"> </w:t>
      </w:r>
      <w:r w:rsidRPr="00382917">
        <w:t>Guardian</w:t>
      </w:r>
      <w:r w:rsidR="00EE4FC3">
        <w:t xml:space="preserve"> </w:t>
      </w:r>
      <w:r w:rsidRPr="00382917">
        <w:t>of</w:t>
      </w:r>
      <w:r w:rsidR="00EE4FC3">
        <w:t xml:space="preserve"> </w:t>
      </w:r>
      <w:r w:rsidRPr="00382917">
        <w:t>the</w:t>
      </w:r>
      <w:r w:rsidR="00EE4FC3">
        <w:t xml:space="preserve"> </w:t>
      </w:r>
      <w:r w:rsidRPr="00382917">
        <w:t>Faith,</w:t>
      </w:r>
      <w:r w:rsidR="00EE4FC3">
        <w:t xml:space="preserve"> </w:t>
      </w:r>
      <w:r w:rsidRPr="00382917">
        <w:t>executed</w:t>
      </w:r>
    </w:p>
    <w:p w:rsidR="00B568B6" w:rsidRPr="00382917" w:rsidRDefault="00B568B6">
      <w:pPr>
        <w:widowControl/>
        <w:kinsoku/>
        <w:overflowPunct/>
        <w:textAlignment w:val="auto"/>
      </w:pPr>
      <w:r w:rsidRPr="00382917">
        <w:br w:type="page"/>
      </w:r>
    </w:p>
    <w:p w:rsidR="00B568B6" w:rsidRPr="00382917" w:rsidRDefault="00B568B6" w:rsidP="00B568B6">
      <w:pPr>
        <w:pStyle w:val="Textcts"/>
      </w:pPr>
      <w:proofErr w:type="gramStart"/>
      <w:r w:rsidRPr="00382917">
        <w:t>and</w:t>
      </w:r>
      <w:proofErr w:type="gramEnd"/>
      <w:r w:rsidR="00EE4FC3">
        <w:t xml:space="preserve"> </w:t>
      </w:r>
      <w:r w:rsidRPr="00382917">
        <w:t>carried</w:t>
      </w:r>
      <w:r w:rsidR="00EE4FC3">
        <w:t xml:space="preserve"> </w:t>
      </w:r>
      <w:r w:rsidRPr="00382917">
        <w:t>out</w:t>
      </w:r>
      <w:r w:rsidR="00EE4FC3">
        <w:t xml:space="preserve"> </w:t>
      </w:r>
      <w:r w:rsidRPr="00382917">
        <w:t>a</w:t>
      </w:r>
      <w:r w:rsidR="00EE4FC3">
        <w:t xml:space="preserve"> </w:t>
      </w:r>
      <w:r w:rsidRPr="00382917">
        <w:t>world-wide</w:t>
      </w:r>
      <w:r w:rsidR="00EE4FC3">
        <w:t xml:space="preserve"> </w:t>
      </w:r>
      <w:r w:rsidRPr="00382917">
        <w:t>teaching</w:t>
      </w:r>
      <w:r w:rsidR="00EE4FC3">
        <w:t xml:space="preserve"> </w:t>
      </w:r>
      <w:r w:rsidRPr="00382917">
        <w:t>plan</w:t>
      </w:r>
      <w:r w:rsidR="00EE4FC3">
        <w:t xml:space="preserve"> </w:t>
      </w:r>
      <w:r w:rsidRPr="00382917">
        <w:t>during</w:t>
      </w:r>
      <w:r w:rsidR="00EE4FC3">
        <w:t xml:space="preserve"> </w:t>
      </w:r>
      <w:r w:rsidRPr="00382917">
        <w:t>which,</w:t>
      </w:r>
      <w:r w:rsidR="00EE4FC3">
        <w:t xml:space="preserve"> </w:t>
      </w:r>
      <w:r w:rsidRPr="00382917">
        <w:t>up</w:t>
      </w:r>
      <w:r w:rsidR="00EE4FC3">
        <w:t xml:space="preserve"> </w:t>
      </w:r>
      <w:r w:rsidRPr="00382917">
        <w:t>to</w:t>
      </w:r>
      <w:r w:rsidR="00EE4FC3">
        <w:t xml:space="preserve"> </w:t>
      </w:r>
      <w:r w:rsidRPr="00382917">
        <w:t>1959,</w:t>
      </w:r>
      <w:r w:rsidR="00EE4FC3">
        <w:t xml:space="preserve"> </w:t>
      </w:r>
      <w:r w:rsidRPr="00382917">
        <w:t>Bahá</w:t>
      </w:r>
      <w:r w:rsidR="009C713D" w:rsidRPr="00382917">
        <w:t>’</w:t>
      </w:r>
      <w:r w:rsidRPr="00382917">
        <w:t>í</w:t>
      </w:r>
      <w:r w:rsidR="00EE4FC3">
        <w:t xml:space="preserve"> </w:t>
      </w:r>
      <w:r w:rsidRPr="00382917">
        <w:t>literature</w:t>
      </w:r>
      <w:r w:rsidR="00EE4FC3">
        <w:t xml:space="preserve"> </w:t>
      </w:r>
      <w:r w:rsidRPr="00382917">
        <w:t>was</w:t>
      </w:r>
      <w:r w:rsidR="00EE4FC3">
        <w:t xml:space="preserve"> </w:t>
      </w:r>
      <w:r w:rsidRPr="00382917">
        <w:t>translated</w:t>
      </w:r>
      <w:r w:rsidR="00EE4FC3">
        <w:t xml:space="preserve"> </w:t>
      </w:r>
      <w:r w:rsidRPr="00382917">
        <w:t>into</w:t>
      </w:r>
      <w:r w:rsidR="00EE4FC3">
        <w:t xml:space="preserve"> </w:t>
      </w:r>
      <w:r w:rsidRPr="00382917">
        <w:t>two</w:t>
      </w:r>
      <w:r w:rsidR="00EE4FC3">
        <w:t xml:space="preserve"> </w:t>
      </w:r>
      <w:r w:rsidRPr="00382917">
        <w:t>hundred</w:t>
      </w:r>
      <w:r w:rsidR="00EE4FC3">
        <w:t xml:space="preserve"> </w:t>
      </w:r>
      <w:r w:rsidRPr="00382917">
        <w:t>and</w:t>
      </w:r>
      <w:r w:rsidR="00EE4FC3">
        <w:t xml:space="preserve"> </w:t>
      </w:r>
      <w:r w:rsidRPr="00382917">
        <w:t>forty-four</w:t>
      </w:r>
      <w:r w:rsidR="00EE4FC3">
        <w:t xml:space="preserve"> </w:t>
      </w:r>
      <w:r w:rsidRPr="00382917">
        <w:t>languages</w:t>
      </w:r>
      <w:r w:rsidR="00F267E4">
        <w:t>.</w:t>
      </w:r>
      <w:r w:rsidR="00EE4FC3">
        <w:t xml:space="preserve">  </w:t>
      </w:r>
      <w:r w:rsidRPr="00382917">
        <w:t>Bahá</w:t>
      </w:r>
      <w:r w:rsidR="009C713D" w:rsidRPr="00382917">
        <w:t>’</w:t>
      </w:r>
      <w:r w:rsidRPr="00382917">
        <w:t>í</w:t>
      </w:r>
      <w:r w:rsidR="00EE4FC3">
        <w:t xml:space="preserve"> </w:t>
      </w:r>
      <w:r w:rsidRPr="00382917">
        <w:t>schools,</w:t>
      </w:r>
      <w:r w:rsidR="00EE4FC3">
        <w:t xml:space="preserve"> </w:t>
      </w:r>
      <w:r w:rsidRPr="00382917">
        <w:t>National</w:t>
      </w:r>
      <w:r w:rsidR="00EE4FC3">
        <w:t xml:space="preserve"> </w:t>
      </w:r>
      <w:r w:rsidRPr="00382917">
        <w:t>Headquarters,</w:t>
      </w:r>
      <w:r w:rsidR="00EE4FC3">
        <w:t xml:space="preserve"> </w:t>
      </w:r>
      <w:r w:rsidRPr="00382917">
        <w:t>and</w:t>
      </w:r>
      <w:r w:rsidR="00EE4FC3">
        <w:t xml:space="preserve"> </w:t>
      </w:r>
      <w:r w:rsidRPr="00382917">
        <w:t>properties</w:t>
      </w:r>
      <w:r w:rsidR="00EE4FC3">
        <w:t xml:space="preserve"> </w:t>
      </w:r>
      <w:r w:rsidRPr="00382917">
        <w:t>are</w:t>
      </w:r>
      <w:r w:rsidR="00EE4FC3">
        <w:t xml:space="preserve"> </w:t>
      </w:r>
      <w:r w:rsidRPr="00382917">
        <w:t>to</w:t>
      </w:r>
      <w:r w:rsidR="00EE4FC3">
        <w:t xml:space="preserve"> </w:t>
      </w:r>
      <w:r w:rsidRPr="00382917">
        <w:t>be</w:t>
      </w:r>
      <w:r w:rsidR="00EE4FC3">
        <w:t xml:space="preserve"> </w:t>
      </w:r>
      <w:r w:rsidRPr="00382917">
        <w:t>found</w:t>
      </w:r>
      <w:r w:rsidR="00EE4FC3">
        <w:t xml:space="preserve"> </w:t>
      </w:r>
      <w:r w:rsidRPr="00382917">
        <w:t>in</w:t>
      </w:r>
      <w:r w:rsidR="00EE4FC3">
        <w:t xml:space="preserve"> </w:t>
      </w:r>
      <w:r w:rsidRPr="00382917">
        <w:t>every</w:t>
      </w:r>
      <w:r w:rsidR="00EE4FC3">
        <w:t xml:space="preserve"> </w:t>
      </w:r>
      <w:r w:rsidRPr="00382917">
        <w:t>continent.</w:t>
      </w:r>
    </w:p>
    <w:p w:rsidR="00B568B6" w:rsidRPr="00382917" w:rsidRDefault="00B568B6" w:rsidP="00B568B6">
      <w:pPr>
        <w:pStyle w:val="Text"/>
      </w:pPr>
      <w:r w:rsidRPr="00382917">
        <w:t>The</w:t>
      </w:r>
      <w:r w:rsidR="00EE4FC3">
        <w:t xml:space="preserve"> </w:t>
      </w:r>
      <w:r w:rsidRPr="00382917">
        <w:t>National</w:t>
      </w:r>
      <w:r w:rsidR="00EE4FC3">
        <w:t xml:space="preserve"> </w:t>
      </w:r>
      <w:r w:rsidRPr="00382917">
        <w:t>Assemblies</w:t>
      </w:r>
      <w:r w:rsidR="00EE4FC3">
        <w:t xml:space="preserve"> </w:t>
      </w:r>
      <w:r w:rsidRPr="00382917">
        <w:t>of</w:t>
      </w:r>
      <w:r w:rsidR="00EE4FC3">
        <w:t xml:space="preserve"> </w:t>
      </w:r>
      <w:r w:rsidRPr="00382917">
        <w:t>the</w:t>
      </w:r>
      <w:r w:rsidR="00EE4FC3">
        <w:t xml:space="preserve"> </w:t>
      </w:r>
      <w:r w:rsidRPr="00382917">
        <w:t>Bahá</w:t>
      </w:r>
      <w:r w:rsidR="009C713D" w:rsidRPr="00382917">
        <w:t>’</w:t>
      </w:r>
      <w:r w:rsidRPr="00382917">
        <w:t>í</w:t>
      </w:r>
      <w:r w:rsidR="00EE4FC3">
        <w:t xml:space="preserve"> </w:t>
      </w:r>
      <w:r w:rsidRPr="00382917">
        <w:t>Faith</w:t>
      </w:r>
      <w:r w:rsidR="00EE4FC3">
        <w:t xml:space="preserve"> </w:t>
      </w:r>
      <w:r w:rsidRPr="00382917">
        <w:t>have</w:t>
      </w:r>
      <w:r w:rsidR="00EE4FC3">
        <w:t xml:space="preserve"> </w:t>
      </w:r>
      <w:r w:rsidRPr="00382917">
        <w:t>been</w:t>
      </w:r>
      <w:r w:rsidR="00EE4FC3">
        <w:t xml:space="preserve"> </w:t>
      </w:r>
      <w:r w:rsidRPr="00382917">
        <w:t>given</w:t>
      </w:r>
      <w:r w:rsidR="00EE4FC3">
        <w:t xml:space="preserve"> </w:t>
      </w:r>
      <w:r w:rsidRPr="00382917">
        <w:t>legal</w:t>
      </w:r>
      <w:r w:rsidR="00EE4FC3">
        <w:t xml:space="preserve"> </w:t>
      </w:r>
      <w:r w:rsidRPr="00382917">
        <w:t>recognition</w:t>
      </w:r>
      <w:r w:rsidR="00EE4FC3">
        <w:t xml:space="preserve"> </w:t>
      </w:r>
      <w:r w:rsidRPr="00382917">
        <w:t>by</w:t>
      </w:r>
      <w:r w:rsidR="00EE4FC3">
        <w:t xml:space="preserve"> </w:t>
      </w:r>
      <w:r w:rsidRPr="00382917">
        <w:t>the</w:t>
      </w:r>
      <w:r w:rsidR="00EE4FC3">
        <w:t xml:space="preserve"> </w:t>
      </w:r>
      <w:r w:rsidRPr="00382917">
        <w:t>leading</w:t>
      </w:r>
      <w:r w:rsidR="00EE4FC3">
        <w:t xml:space="preserve"> </w:t>
      </w:r>
      <w:r w:rsidRPr="00382917">
        <w:t>countries</w:t>
      </w:r>
      <w:r w:rsidR="00EE4FC3">
        <w:t xml:space="preserve"> </w:t>
      </w:r>
      <w:r w:rsidRPr="00382917">
        <w:t>of</w:t>
      </w:r>
      <w:r w:rsidR="00EE4FC3">
        <w:t xml:space="preserve"> </w:t>
      </w:r>
      <w:r w:rsidRPr="00382917">
        <w:t>the</w:t>
      </w:r>
      <w:r w:rsidR="00EE4FC3">
        <w:t xml:space="preserve"> </w:t>
      </w:r>
      <w:r w:rsidRPr="00382917">
        <w:t>world</w:t>
      </w:r>
      <w:r w:rsidR="00F267E4">
        <w:t>.</w:t>
      </w:r>
      <w:r w:rsidR="00EE4FC3">
        <w:t xml:space="preserve">  </w:t>
      </w:r>
      <w:r w:rsidRPr="00382917">
        <w:t>The</w:t>
      </w:r>
      <w:r w:rsidR="00EE4FC3">
        <w:t xml:space="preserve"> </w:t>
      </w:r>
      <w:r w:rsidRPr="00382917">
        <w:t>Bahá</w:t>
      </w:r>
      <w:r w:rsidR="009C713D" w:rsidRPr="00382917">
        <w:t>’</w:t>
      </w:r>
      <w:r w:rsidRPr="00382917">
        <w:t>í</w:t>
      </w:r>
      <w:r w:rsidR="00EE4FC3">
        <w:t xml:space="preserve"> </w:t>
      </w:r>
      <w:r w:rsidRPr="00382917">
        <w:t>Faith</w:t>
      </w:r>
      <w:r w:rsidR="00EE4FC3">
        <w:t xml:space="preserve"> </w:t>
      </w:r>
      <w:r w:rsidRPr="00382917">
        <w:t>has</w:t>
      </w:r>
      <w:r w:rsidR="00EE4FC3">
        <w:t xml:space="preserve"> </w:t>
      </w:r>
      <w:r w:rsidRPr="00382917">
        <w:t>been</w:t>
      </w:r>
      <w:r w:rsidR="00EE4FC3">
        <w:t xml:space="preserve"> </w:t>
      </w:r>
      <w:r w:rsidRPr="00382917">
        <w:t>recognized</w:t>
      </w:r>
      <w:r w:rsidR="00EE4FC3">
        <w:t xml:space="preserve"> </w:t>
      </w:r>
      <w:r w:rsidRPr="00382917">
        <w:t>as</w:t>
      </w:r>
      <w:r w:rsidR="00EE4FC3">
        <w:t xml:space="preserve"> </w:t>
      </w:r>
      <w:r w:rsidRPr="00382917">
        <w:t>one</w:t>
      </w:r>
      <w:r w:rsidR="00EE4FC3">
        <w:t xml:space="preserve"> </w:t>
      </w:r>
      <w:r w:rsidRPr="00382917">
        <w:t>of</w:t>
      </w:r>
      <w:r w:rsidR="00EE4FC3">
        <w:t xml:space="preserve"> </w:t>
      </w:r>
      <w:r w:rsidRPr="00382917">
        <w:t>the</w:t>
      </w:r>
      <w:r w:rsidR="00EE4FC3">
        <w:t xml:space="preserve"> </w:t>
      </w:r>
      <w:r w:rsidRPr="00382917">
        <w:t>non-governmental</w:t>
      </w:r>
      <w:r w:rsidR="00EE4FC3">
        <w:t xml:space="preserve"> </w:t>
      </w:r>
      <w:r w:rsidRPr="00382917">
        <w:t>agencies</w:t>
      </w:r>
      <w:r w:rsidR="00EE4FC3">
        <w:t xml:space="preserve"> </w:t>
      </w:r>
      <w:r w:rsidRPr="00382917">
        <w:t>attached</w:t>
      </w:r>
      <w:r w:rsidR="00EE4FC3">
        <w:t xml:space="preserve"> </w:t>
      </w:r>
      <w:r w:rsidRPr="00382917">
        <w:t>to</w:t>
      </w:r>
      <w:r w:rsidR="00EE4FC3">
        <w:t xml:space="preserve"> </w:t>
      </w:r>
      <w:r w:rsidRPr="00382917">
        <w:t>the</w:t>
      </w:r>
      <w:r w:rsidR="00EE4FC3">
        <w:t xml:space="preserve"> </w:t>
      </w:r>
      <w:r w:rsidRPr="00382917">
        <w:t>United</w:t>
      </w:r>
      <w:r w:rsidR="00EE4FC3">
        <w:t xml:space="preserve"> </w:t>
      </w:r>
      <w:r w:rsidRPr="00382917">
        <w:t>Nations.</w:t>
      </w:r>
    </w:p>
    <w:p w:rsidR="00B568B6" w:rsidRDefault="00B568B6" w:rsidP="00EF37F1">
      <w:pPr>
        <w:pStyle w:val="Text"/>
      </w:pPr>
      <w:r w:rsidRPr="00382917">
        <w:t>The</w:t>
      </w:r>
      <w:r w:rsidR="00EE4FC3">
        <w:t xml:space="preserve"> </w:t>
      </w:r>
      <w:r w:rsidRPr="00382917">
        <w:t>world</w:t>
      </w:r>
      <w:r w:rsidR="00EE4FC3">
        <w:t xml:space="preserve"> </w:t>
      </w:r>
      <w:proofErr w:type="spellStart"/>
      <w:r w:rsidRPr="00382917">
        <w:t>center</w:t>
      </w:r>
      <w:proofErr w:type="spellEnd"/>
      <w:r w:rsidR="00EE4FC3">
        <w:t xml:space="preserve"> </w:t>
      </w:r>
      <w:r w:rsidRPr="00382917">
        <w:t>of</w:t>
      </w:r>
      <w:r w:rsidR="00EE4FC3">
        <w:t xml:space="preserve"> </w:t>
      </w:r>
      <w:r w:rsidRPr="00382917">
        <w:t>the</w:t>
      </w:r>
      <w:r w:rsidR="00EE4FC3">
        <w:t xml:space="preserve"> </w:t>
      </w:r>
      <w:r w:rsidRPr="00382917">
        <w:t>Bahá</w:t>
      </w:r>
      <w:r w:rsidR="009C713D" w:rsidRPr="00382917">
        <w:t>’</w:t>
      </w:r>
      <w:r w:rsidRPr="00382917">
        <w:t>í</w:t>
      </w:r>
      <w:r w:rsidR="00EE4FC3">
        <w:t xml:space="preserve"> </w:t>
      </w:r>
      <w:r w:rsidRPr="00382917">
        <w:t>Faith</w:t>
      </w:r>
      <w:r w:rsidR="00EE4FC3">
        <w:t xml:space="preserve"> </w:t>
      </w:r>
      <w:r w:rsidRPr="00382917">
        <w:t>is</w:t>
      </w:r>
      <w:r w:rsidR="00EE4FC3">
        <w:t xml:space="preserve"> </w:t>
      </w:r>
      <w:r w:rsidRPr="00382917">
        <w:t>in</w:t>
      </w:r>
      <w:r w:rsidR="00EE4FC3">
        <w:t xml:space="preserve"> </w:t>
      </w:r>
      <w:r w:rsidRPr="00382917">
        <w:t>Haifa,</w:t>
      </w:r>
      <w:r w:rsidR="00EE4FC3">
        <w:t xml:space="preserve"> </w:t>
      </w:r>
      <w:r w:rsidRPr="00382917">
        <w:t>Israel,</w:t>
      </w:r>
      <w:r w:rsidR="00EE4FC3">
        <w:t xml:space="preserve"> </w:t>
      </w:r>
      <w:r w:rsidRPr="00382917">
        <w:t>on</w:t>
      </w:r>
      <w:r w:rsidR="00EE4FC3">
        <w:t xml:space="preserve"> </w:t>
      </w:r>
      <w:r w:rsidRPr="00382917">
        <w:t>the</w:t>
      </w:r>
      <w:r w:rsidR="00EE4FC3">
        <w:t xml:space="preserve"> </w:t>
      </w:r>
      <w:r w:rsidRPr="00382917">
        <w:t>side</w:t>
      </w:r>
      <w:r w:rsidR="00EE4FC3">
        <w:t xml:space="preserve"> </w:t>
      </w:r>
      <w:r w:rsidRPr="00382917">
        <w:t>of</w:t>
      </w:r>
      <w:r w:rsidR="00EE4FC3">
        <w:t xml:space="preserve"> </w:t>
      </w:r>
      <w:r w:rsidRPr="00382917">
        <w:t>Mount</w:t>
      </w:r>
      <w:r w:rsidR="00EE4FC3">
        <w:t xml:space="preserve"> </w:t>
      </w:r>
      <w:r w:rsidRPr="00382917">
        <w:t>Carmel,</w:t>
      </w:r>
      <w:r w:rsidR="00EE4FC3">
        <w:t xml:space="preserve"> </w:t>
      </w:r>
      <w:r w:rsidRPr="00382917">
        <w:t>the</w:t>
      </w:r>
      <w:r w:rsidR="00EE4FC3">
        <w:t xml:space="preserve"> </w:t>
      </w:r>
      <w:r w:rsidR="009C713D" w:rsidRPr="00382917">
        <w:t>“</w:t>
      </w:r>
      <w:r w:rsidRPr="00382917">
        <w:t>mountain</w:t>
      </w:r>
      <w:r w:rsidR="00EE4FC3">
        <w:t xml:space="preserve"> </w:t>
      </w:r>
      <w:r w:rsidRPr="00382917">
        <w:t>of</w:t>
      </w:r>
      <w:r w:rsidR="00EE4FC3">
        <w:t xml:space="preserve"> </w:t>
      </w:r>
      <w:r w:rsidRPr="00382917">
        <w:t>God</w:t>
      </w:r>
      <w:r w:rsidR="009C713D" w:rsidRPr="00382917">
        <w:t>”</w:t>
      </w:r>
      <w:r w:rsidR="00473693">
        <w:t>.</w:t>
      </w:r>
      <w:r w:rsidR="00EE4FC3">
        <w:t xml:space="preserve"> </w:t>
      </w:r>
      <w:r w:rsidR="00AE4713">
        <w:t xml:space="preserve"> </w:t>
      </w:r>
      <w:r w:rsidRPr="00382917">
        <w:t>Professor</w:t>
      </w:r>
      <w:r w:rsidR="00EE4FC3">
        <w:t xml:space="preserve"> </w:t>
      </w:r>
      <w:r w:rsidRPr="00382917">
        <w:t>Norman</w:t>
      </w:r>
      <w:r w:rsidR="00EE4FC3">
        <w:t xml:space="preserve"> </w:t>
      </w:r>
      <w:proofErr w:type="spellStart"/>
      <w:r w:rsidRPr="00382917">
        <w:t>Bentwich</w:t>
      </w:r>
      <w:proofErr w:type="spellEnd"/>
      <w:r w:rsidR="00EE4FC3">
        <w:t xml:space="preserve"> </w:t>
      </w:r>
      <w:r w:rsidRPr="00382917">
        <w:t>in</w:t>
      </w:r>
      <w:r w:rsidR="00EE4FC3">
        <w:t xml:space="preserve"> </w:t>
      </w:r>
      <w:r w:rsidRPr="00382917">
        <w:t>his</w:t>
      </w:r>
      <w:r w:rsidR="00EE4FC3">
        <w:t xml:space="preserve"> </w:t>
      </w:r>
      <w:r w:rsidRPr="00382917">
        <w:t>article</w:t>
      </w:r>
      <w:r w:rsidR="00EE4FC3">
        <w:t xml:space="preserve"> </w:t>
      </w:r>
      <w:r w:rsidRPr="00382917">
        <w:t>on</w:t>
      </w:r>
      <w:r w:rsidR="00EE4FC3">
        <w:t xml:space="preserve"> </w:t>
      </w:r>
      <w:r w:rsidRPr="00382917">
        <w:t>Palestine,</w:t>
      </w:r>
      <w:r w:rsidR="00EE4FC3">
        <w:t xml:space="preserve"> </w:t>
      </w:r>
      <w:r w:rsidRPr="00382917">
        <w:t>said</w:t>
      </w:r>
      <w:r w:rsidR="00EE4FC3">
        <w:t xml:space="preserve"> </w:t>
      </w:r>
      <w:r w:rsidRPr="00382917">
        <w:t>of</w:t>
      </w:r>
      <w:r w:rsidR="00EE4FC3">
        <w:t xml:space="preserve"> </w:t>
      </w:r>
      <w:r w:rsidRPr="00382917">
        <w:t>the</w:t>
      </w:r>
      <w:r w:rsidR="00EE4FC3">
        <w:t xml:space="preserve"> </w:t>
      </w:r>
      <w:r w:rsidRPr="00382917">
        <w:t>Bahá</w:t>
      </w:r>
      <w:r w:rsidR="009C713D" w:rsidRPr="00382917">
        <w:t>’</w:t>
      </w:r>
      <w:r w:rsidRPr="00382917">
        <w:t>í</w:t>
      </w:r>
      <w:r w:rsidR="00EE4FC3">
        <w:t xml:space="preserve"> </w:t>
      </w:r>
      <w:r w:rsidRPr="00382917">
        <w:t>Faith,</w:t>
      </w:r>
      <w:r w:rsidR="00EE4FC3">
        <w:t xml:space="preserve"> </w:t>
      </w:r>
      <w:r w:rsidR="009C713D" w:rsidRPr="00382917">
        <w:t>“</w:t>
      </w:r>
      <w:r w:rsidRPr="00382917">
        <w:t>Palestine</w:t>
      </w:r>
      <w:r w:rsidR="00EE4FC3">
        <w:t xml:space="preserve"> </w:t>
      </w:r>
      <w:r w:rsidRPr="00382917">
        <w:t>[now,</w:t>
      </w:r>
      <w:r w:rsidR="00EE4FC3">
        <w:t xml:space="preserve"> </w:t>
      </w:r>
      <w:r w:rsidRPr="00382917">
        <w:t>Israel]</w:t>
      </w:r>
      <w:r w:rsidR="00EE4FC3">
        <w:t xml:space="preserve"> </w:t>
      </w:r>
      <w:r w:rsidRPr="00382917">
        <w:t>may</w:t>
      </w:r>
      <w:r w:rsidR="00EE4FC3">
        <w:t xml:space="preserve"> </w:t>
      </w:r>
      <w:r w:rsidRPr="00382917">
        <w:t>indeed</w:t>
      </w:r>
      <w:r w:rsidR="00EE4FC3">
        <w:t xml:space="preserve"> </w:t>
      </w:r>
      <w:r w:rsidRPr="00382917">
        <w:t>be</w:t>
      </w:r>
      <w:r w:rsidR="00EE4FC3">
        <w:t xml:space="preserve"> </w:t>
      </w:r>
      <w:r w:rsidRPr="00382917">
        <w:t>now</w:t>
      </w:r>
      <w:r w:rsidR="00EE4FC3">
        <w:t xml:space="preserve"> </w:t>
      </w:r>
      <w:r w:rsidRPr="00382917">
        <w:t>regarded</w:t>
      </w:r>
      <w:r w:rsidR="00EE4FC3">
        <w:t xml:space="preserve"> </w:t>
      </w:r>
      <w:r w:rsidRPr="00382917">
        <w:t>as</w:t>
      </w:r>
      <w:r w:rsidR="00EE4FC3">
        <w:t xml:space="preserve"> </w:t>
      </w:r>
      <w:r w:rsidRPr="00382917">
        <w:t>the</w:t>
      </w:r>
      <w:r w:rsidR="00EE4FC3">
        <w:t xml:space="preserve"> </w:t>
      </w:r>
      <w:r w:rsidRPr="00382917">
        <w:t>land</w:t>
      </w:r>
      <w:r w:rsidR="00EE4FC3">
        <w:t xml:space="preserve"> </w:t>
      </w:r>
      <w:r w:rsidRPr="00382917">
        <w:t>of</w:t>
      </w:r>
      <w:r w:rsidR="00EE4FC3">
        <w:t xml:space="preserve"> </w:t>
      </w:r>
      <w:r w:rsidRPr="00382917">
        <w:t>not</w:t>
      </w:r>
      <w:r w:rsidR="00EE4FC3">
        <w:t xml:space="preserve"> </w:t>
      </w:r>
      <w:r w:rsidRPr="00382917">
        <w:t>three</w:t>
      </w:r>
      <w:r w:rsidR="00EE4FC3">
        <w:t xml:space="preserve"> </w:t>
      </w:r>
      <w:r w:rsidRPr="00382917">
        <w:t>but</w:t>
      </w:r>
      <w:r w:rsidR="00EE4FC3">
        <w:t xml:space="preserve"> </w:t>
      </w:r>
      <w:r w:rsidRPr="00382917">
        <w:t>four</w:t>
      </w:r>
      <w:r w:rsidR="00EE4FC3">
        <w:t xml:space="preserve"> </w:t>
      </w:r>
      <w:r w:rsidRPr="00382917">
        <w:t>faiths,</w:t>
      </w:r>
      <w:r w:rsidR="00EE4FC3">
        <w:t xml:space="preserve"> </w:t>
      </w:r>
      <w:r w:rsidRPr="00382917">
        <w:t>because</w:t>
      </w:r>
      <w:r w:rsidR="00EE4FC3">
        <w:t xml:space="preserve"> </w:t>
      </w:r>
      <w:r w:rsidRPr="00382917">
        <w:t>the</w:t>
      </w:r>
      <w:r w:rsidR="00EE4FC3">
        <w:t xml:space="preserve"> </w:t>
      </w:r>
      <w:proofErr w:type="spellStart"/>
      <w:r w:rsidRPr="00382917">
        <w:t>Bah</w:t>
      </w:r>
      <w:r w:rsidR="00EF37F1">
        <w:t>ai</w:t>
      </w:r>
      <w:proofErr w:type="spellEnd"/>
      <w:r w:rsidR="00EE4FC3">
        <w:t xml:space="preserve"> </w:t>
      </w:r>
      <w:r w:rsidRPr="00382917">
        <w:t>creed,</w:t>
      </w:r>
      <w:r w:rsidR="00EE4FC3">
        <w:t xml:space="preserve"> </w:t>
      </w:r>
      <w:r w:rsidRPr="00382917">
        <w:t>which</w:t>
      </w:r>
      <w:r w:rsidR="00EE4FC3">
        <w:t xml:space="preserve"> </w:t>
      </w:r>
      <w:r w:rsidRPr="00382917">
        <w:t>has</w:t>
      </w:r>
      <w:r w:rsidR="00EE4FC3">
        <w:t xml:space="preserve"> </w:t>
      </w:r>
      <w:r w:rsidRPr="00382917">
        <w:t>its</w:t>
      </w:r>
      <w:r w:rsidR="00EE4FC3">
        <w:t xml:space="preserve"> </w:t>
      </w:r>
      <w:proofErr w:type="spellStart"/>
      <w:r w:rsidRPr="00382917">
        <w:t>center</w:t>
      </w:r>
      <w:proofErr w:type="spellEnd"/>
      <w:r w:rsidR="00EE4FC3">
        <w:t xml:space="preserve"> </w:t>
      </w:r>
      <w:r w:rsidRPr="00382917">
        <w:t>of</w:t>
      </w:r>
      <w:r w:rsidR="00EE4FC3">
        <w:t xml:space="preserve"> </w:t>
      </w:r>
      <w:r w:rsidRPr="00382917">
        <w:t>faith</w:t>
      </w:r>
      <w:r w:rsidR="00EF37F1">
        <w:t xml:space="preserve"> and pilgrimage</w:t>
      </w:r>
      <w:r w:rsidR="00EE4FC3">
        <w:t xml:space="preserve"> </w:t>
      </w:r>
      <w:r w:rsidRPr="00382917">
        <w:t>in</w:t>
      </w:r>
      <w:r w:rsidR="00EE4FC3">
        <w:t xml:space="preserve"> </w:t>
      </w:r>
      <w:r w:rsidR="00EF37F1">
        <w:t>Acre</w:t>
      </w:r>
      <w:r w:rsidR="00EE4FC3">
        <w:t xml:space="preserve"> </w:t>
      </w:r>
      <w:r w:rsidRPr="00382917">
        <w:t>and</w:t>
      </w:r>
      <w:r w:rsidR="00EE4FC3">
        <w:t xml:space="preserve"> </w:t>
      </w:r>
      <w:r w:rsidRPr="00382917">
        <w:t>Haifa,</w:t>
      </w:r>
      <w:r w:rsidR="00EE4FC3">
        <w:t xml:space="preserve"> </w:t>
      </w:r>
      <w:r w:rsidRPr="00382917">
        <w:t>is</w:t>
      </w:r>
      <w:r w:rsidR="00EE4FC3">
        <w:t xml:space="preserve"> </w:t>
      </w:r>
      <w:r w:rsidRPr="00382917">
        <w:t>attaining</w:t>
      </w:r>
      <w:r w:rsidR="00EE4FC3">
        <w:t xml:space="preserve"> </w:t>
      </w:r>
      <w:r w:rsidRPr="00382917">
        <w:t>to</w:t>
      </w:r>
      <w:r w:rsidR="00EE4FC3">
        <w:t xml:space="preserve"> </w:t>
      </w:r>
      <w:r w:rsidRPr="00382917">
        <w:t>the</w:t>
      </w:r>
      <w:r w:rsidR="00EE4FC3">
        <w:t xml:space="preserve"> </w:t>
      </w:r>
      <w:r w:rsidRPr="00382917">
        <w:t>character</w:t>
      </w:r>
      <w:r w:rsidR="00EE4FC3">
        <w:t xml:space="preserve"> </w:t>
      </w:r>
      <w:r w:rsidRPr="00382917">
        <w:t>of</w:t>
      </w:r>
      <w:r w:rsidR="00EE4FC3">
        <w:t xml:space="preserve"> </w:t>
      </w:r>
      <w:r w:rsidRPr="00382917">
        <w:t>a</w:t>
      </w:r>
      <w:r w:rsidR="00EE4FC3">
        <w:t xml:space="preserve"> </w:t>
      </w:r>
      <w:r w:rsidRPr="00382917">
        <w:t>world</w:t>
      </w:r>
      <w:r w:rsidR="00EF37F1">
        <w:t>-</w:t>
      </w:r>
      <w:r w:rsidRPr="00382917">
        <w:t>religion.</w:t>
      </w:r>
      <w:r w:rsidR="00EE4FC3">
        <w:t xml:space="preserve"> </w:t>
      </w:r>
      <w:r w:rsidR="00EF37F1" w:rsidRPr="00EF37F1">
        <w:t xml:space="preserve"> So far as its influence goes in the land, it is a factor making for international and interreligious understanding.</w:t>
      </w:r>
      <w:r w:rsidR="009C713D" w:rsidRPr="00382917">
        <w:t>”</w:t>
      </w:r>
      <w:r w:rsidR="00EF37F1">
        <w:rPr>
          <w:rStyle w:val="FootnoteReference"/>
        </w:rPr>
        <w:footnoteReference w:id="409"/>
      </w:r>
    </w:p>
    <w:p w:rsidR="00B568B6" w:rsidRPr="00382917" w:rsidRDefault="00B568B6" w:rsidP="00B568B6">
      <w:pPr>
        <w:pStyle w:val="Text"/>
      </w:pPr>
      <w:r w:rsidRPr="00382917">
        <w:t>The</w:t>
      </w:r>
      <w:r w:rsidR="00EE4FC3">
        <w:t xml:space="preserve"> </w:t>
      </w:r>
      <w:r w:rsidRPr="00382917">
        <w:t>magnificent</w:t>
      </w:r>
      <w:r w:rsidR="00EE4FC3">
        <w:t xml:space="preserve"> </w:t>
      </w:r>
      <w:r w:rsidRPr="00382917">
        <w:t>Bahá</w:t>
      </w:r>
      <w:r w:rsidR="009C713D" w:rsidRPr="00382917">
        <w:t>’</w:t>
      </w:r>
      <w:r w:rsidRPr="00382917">
        <w:t>í</w:t>
      </w:r>
      <w:r w:rsidR="00EE4FC3">
        <w:t xml:space="preserve"> </w:t>
      </w:r>
      <w:r w:rsidRPr="00382917">
        <w:t>gardens,</w:t>
      </w:r>
      <w:r w:rsidR="00EE4FC3">
        <w:t xml:space="preserve"> </w:t>
      </w:r>
      <w:r w:rsidRPr="00382917">
        <w:t>Shrines</w:t>
      </w:r>
      <w:r w:rsidR="00EE4FC3">
        <w:t xml:space="preserve"> </w:t>
      </w:r>
      <w:r w:rsidRPr="00382917">
        <w:t>and</w:t>
      </w:r>
      <w:r w:rsidR="00EE4FC3">
        <w:t xml:space="preserve"> </w:t>
      </w:r>
      <w:r w:rsidRPr="00382917">
        <w:t>holy</w:t>
      </w:r>
      <w:r w:rsidR="00EE4FC3">
        <w:t xml:space="preserve"> </w:t>
      </w:r>
      <w:r w:rsidRPr="00382917">
        <w:t>places</w:t>
      </w:r>
      <w:r w:rsidR="00EE4FC3">
        <w:t xml:space="preserve"> </w:t>
      </w:r>
      <w:r w:rsidRPr="00382917">
        <w:t>are</w:t>
      </w:r>
      <w:r w:rsidR="00EE4FC3">
        <w:t xml:space="preserve"> </w:t>
      </w:r>
      <w:r w:rsidRPr="00382917">
        <w:t>a</w:t>
      </w:r>
      <w:r w:rsidR="00EE4FC3">
        <w:t xml:space="preserve"> </w:t>
      </w:r>
      <w:proofErr w:type="spellStart"/>
      <w:r w:rsidRPr="00382917">
        <w:t>center</w:t>
      </w:r>
      <w:proofErr w:type="spellEnd"/>
      <w:r w:rsidR="00EE4FC3">
        <w:t xml:space="preserve"> </w:t>
      </w:r>
      <w:r w:rsidRPr="00382917">
        <w:t>of</w:t>
      </w:r>
      <w:r w:rsidR="00EE4FC3">
        <w:t xml:space="preserve"> </w:t>
      </w:r>
      <w:r w:rsidRPr="00382917">
        <w:t>beauty</w:t>
      </w:r>
      <w:r w:rsidR="00EE4FC3">
        <w:t xml:space="preserve"> </w:t>
      </w:r>
      <w:r w:rsidRPr="00382917">
        <w:t>and</w:t>
      </w:r>
      <w:r w:rsidR="00EE4FC3">
        <w:t xml:space="preserve"> </w:t>
      </w:r>
      <w:r w:rsidRPr="00382917">
        <w:t>pilgrimage</w:t>
      </w:r>
      <w:r w:rsidR="00EE4FC3">
        <w:t xml:space="preserve"> </w:t>
      </w:r>
      <w:r w:rsidRPr="00382917">
        <w:t>which</w:t>
      </w:r>
      <w:r w:rsidR="00EE4FC3">
        <w:t xml:space="preserve"> </w:t>
      </w:r>
      <w:r w:rsidRPr="00382917">
        <w:t>attract</w:t>
      </w:r>
      <w:r w:rsidR="00EE4FC3">
        <w:t xml:space="preserve"> </w:t>
      </w:r>
      <w:r w:rsidRPr="00382917">
        <w:t>Bahá</w:t>
      </w:r>
      <w:r w:rsidR="009C713D" w:rsidRPr="00382917">
        <w:t>’</w:t>
      </w:r>
      <w:r w:rsidRPr="00382917">
        <w:t>ís</w:t>
      </w:r>
      <w:r w:rsidR="00EE4FC3">
        <w:t xml:space="preserve"> </w:t>
      </w:r>
      <w:r w:rsidRPr="00382917">
        <w:t>and</w:t>
      </w:r>
      <w:r w:rsidR="00EE4FC3">
        <w:t xml:space="preserve"> </w:t>
      </w:r>
      <w:r w:rsidRPr="00382917">
        <w:t>visitors</w:t>
      </w:r>
      <w:r w:rsidR="00EE4FC3">
        <w:t xml:space="preserve"> </w:t>
      </w:r>
      <w:r w:rsidRPr="00382917">
        <w:t>from</w:t>
      </w:r>
      <w:r w:rsidR="00EE4FC3">
        <w:t xml:space="preserve"> </w:t>
      </w:r>
      <w:r w:rsidRPr="00382917">
        <w:t>all</w:t>
      </w:r>
      <w:r w:rsidR="00EE4FC3">
        <w:t xml:space="preserve"> </w:t>
      </w:r>
      <w:r w:rsidRPr="00382917">
        <w:t>parts</w:t>
      </w:r>
      <w:r w:rsidR="00EE4FC3">
        <w:t xml:space="preserve"> </w:t>
      </w:r>
      <w:r w:rsidRPr="00382917">
        <w:t>of</w:t>
      </w:r>
      <w:r w:rsidR="00EE4FC3">
        <w:t xml:space="preserve"> </w:t>
      </w:r>
      <w:r w:rsidRPr="00382917">
        <w:t>the</w:t>
      </w:r>
      <w:r w:rsidR="00EE4FC3">
        <w:t xml:space="preserve"> </w:t>
      </w:r>
      <w:r w:rsidRPr="00382917">
        <w:t>earth.</w:t>
      </w:r>
    </w:p>
    <w:p w:rsidR="00B568B6" w:rsidRPr="00382917" w:rsidRDefault="00B568B6" w:rsidP="00B568B6">
      <w:pPr>
        <w:pStyle w:val="Text"/>
      </w:pPr>
      <w:r w:rsidRPr="00382917">
        <w:t>Bahá</w:t>
      </w:r>
      <w:r w:rsidR="009C713D" w:rsidRPr="00382917">
        <w:t>’</w:t>
      </w:r>
      <w:r w:rsidRPr="00382917">
        <w:t>í</w:t>
      </w:r>
      <w:r w:rsidR="00EE4FC3">
        <w:t xml:space="preserve"> </w:t>
      </w:r>
      <w:r w:rsidRPr="00382917">
        <w:t>Temples</w:t>
      </w:r>
      <w:r w:rsidR="00EE4FC3">
        <w:t xml:space="preserve"> </w:t>
      </w:r>
      <w:r w:rsidRPr="00382917">
        <w:t>are</w:t>
      </w:r>
      <w:r w:rsidR="00EE4FC3">
        <w:t xml:space="preserve"> </w:t>
      </w:r>
      <w:r w:rsidRPr="00382917">
        <w:t>being</w:t>
      </w:r>
      <w:r w:rsidR="00EE4FC3">
        <w:t xml:space="preserve"> </w:t>
      </w:r>
      <w:r w:rsidRPr="00382917">
        <w:t>erected</w:t>
      </w:r>
      <w:r w:rsidR="00EE4FC3">
        <w:t xml:space="preserve"> </w:t>
      </w:r>
      <w:r w:rsidRPr="00382917">
        <w:t>in</w:t>
      </w:r>
      <w:r w:rsidR="00EE4FC3">
        <w:t xml:space="preserve"> </w:t>
      </w:r>
      <w:r w:rsidRPr="00382917">
        <w:t>Africa,</w:t>
      </w:r>
      <w:r w:rsidR="00EE4FC3">
        <w:t xml:space="preserve"> </w:t>
      </w:r>
      <w:r w:rsidRPr="00382917">
        <w:t>Australia</w:t>
      </w:r>
      <w:r w:rsidR="00EE4FC3">
        <w:t xml:space="preserve"> </w:t>
      </w:r>
      <w:r w:rsidRPr="00382917">
        <w:t>and</w:t>
      </w:r>
      <w:r w:rsidR="00EE4FC3">
        <w:t xml:space="preserve"> </w:t>
      </w:r>
      <w:r w:rsidRPr="00382917">
        <w:t>Europe</w:t>
      </w:r>
      <w:r w:rsidR="00F267E4">
        <w:t>.</w:t>
      </w:r>
      <w:r w:rsidR="00EE4FC3">
        <w:t xml:space="preserve">  </w:t>
      </w:r>
      <w:r w:rsidRPr="00382917">
        <w:t>They</w:t>
      </w:r>
      <w:r w:rsidR="00EE4FC3">
        <w:t xml:space="preserve"> </w:t>
      </w:r>
      <w:r w:rsidRPr="00382917">
        <w:t>already</w:t>
      </w:r>
      <w:r w:rsidR="00EE4FC3">
        <w:t xml:space="preserve"> </w:t>
      </w:r>
      <w:r w:rsidRPr="00382917">
        <w:t>have</w:t>
      </w:r>
      <w:r w:rsidR="00EE4FC3">
        <w:t xml:space="preserve"> </w:t>
      </w:r>
      <w:r w:rsidRPr="00382917">
        <w:t>been</w:t>
      </w:r>
      <w:r w:rsidR="00EE4FC3">
        <w:t xml:space="preserve"> </w:t>
      </w:r>
      <w:r w:rsidRPr="00382917">
        <w:t>raised</w:t>
      </w:r>
      <w:r w:rsidR="00EE4FC3">
        <w:t xml:space="preserve"> </w:t>
      </w:r>
      <w:r w:rsidRPr="00382917">
        <w:t>up</w:t>
      </w:r>
      <w:r w:rsidR="00EE4FC3">
        <w:t xml:space="preserve"> </w:t>
      </w:r>
      <w:r w:rsidRPr="00382917">
        <w:t>in</w:t>
      </w:r>
      <w:r w:rsidR="00EE4FC3">
        <w:t xml:space="preserve"> </w:t>
      </w:r>
      <w:r w:rsidRPr="00382917">
        <w:t>Asia</w:t>
      </w:r>
      <w:r w:rsidR="00EE4FC3">
        <w:t xml:space="preserve"> </w:t>
      </w:r>
      <w:r w:rsidRPr="00382917">
        <w:t>and</w:t>
      </w:r>
      <w:r w:rsidR="00EE4FC3">
        <w:t xml:space="preserve"> </w:t>
      </w:r>
      <w:r w:rsidRPr="00382917">
        <w:t>America</w:t>
      </w:r>
      <w:r w:rsidR="00F267E4">
        <w:t>.</w:t>
      </w:r>
      <w:r w:rsidR="00EE4FC3">
        <w:t xml:space="preserve">  </w:t>
      </w:r>
      <w:r w:rsidRPr="00382917">
        <w:t>The</w:t>
      </w:r>
      <w:r w:rsidR="00EE4FC3">
        <w:t xml:space="preserve"> </w:t>
      </w:r>
      <w:r w:rsidRPr="00382917">
        <w:t>beautiful</w:t>
      </w:r>
      <w:r w:rsidR="00EE4FC3">
        <w:t xml:space="preserve"> </w:t>
      </w:r>
      <w:r w:rsidRPr="00382917">
        <w:t>Bahá</w:t>
      </w:r>
      <w:r w:rsidR="009C713D" w:rsidRPr="00382917">
        <w:t>’</w:t>
      </w:r>
      <w:r w:rsidRPr="00382917">
        <w:t>í</w:t>
      </w:r>
      <w:r w:rsidR="00EE4FC3">
        <w:t xml:space="preserve"> </w:t>
      </w:r>
      <w:r w:rsidRPr="00382917">
        <w:t>House</w:t>
      </w:r>
      <w:r w:rsidR="00EE4FC3">
        <w:t xml:space="preserve"> </w:t>
      </w:r>
      <w:r w:rsidRPr="00382917">
        <w:t>of</w:t>
      </w:r>
      <w:r w:rsidR="00EE4FC3">
        <w:t xml:space="preserve"> </w:t>
      </w:r>
      <w:r w:rsidRPr="00382917">
        <w:t>Worship</w:t>
      </w:r>
      <w:r w:rsidR="00EE4FC3">
        <w:t xml:space="preserve"> </w:t>
      </w:r>
      <w:r w:rsidRPr="00382917">
        <w:t>in</w:t>
      </w:r>
      <w:r w:rsidR="00EE4FC3">
        <w:t xml:space="preserve"> </w:t>
      </w:r>
      <w:r w:rsidRPr="00382917">
        <w:t>the</w:t>
      </w:r>
      <w:r w:rsidR="00EE4FC3">
        <w:t xml:space="preserve"> </w:t>
      </w:r>
      <w:r w:rsidRPr="00382917">
        <w:t>United</w:t>
      </w:r>
      <w:r w:rsidR="00EE4FC3">
        <w:t xml:space="preserve"> </w:t>
      </w:r>
      <w:r w:rsidRPr="00382917">
        <w:t>States</w:t>
      </w:r>
      <w:r w:rsidR="00EE4FC3">
        <w:t xml:space="preserve"> </w:t>
      </w:r>
      <w:r w:rsidRPr="00382917">
        <w:t>of</w:t>
      </w:r>
      <w:r w:rsidR="00EE4FC3">
        <w:t xml:space="preserve"> </w:t>
      </w:r>
      <w:r w:rsidRPr="00382917">
        <w:t>America</w:t>
      </w:r>
      <w:r w:rsidR="00EE4FC3">
        <w:t xml:space="preserve"> </w:t>
      </w:r>
      <w:r w:rsidRPr="00382917">
        <w:t>has</w:t>
      </w:r>
      <w:r w:rsidR="00EE4FC3">
        <w:t xml:space="preserve"> </w:t>
      </w:r>
      <w:r w:rsidRPr="00382917">
        <w:t>been</w:t>
      </w:r>
      <w:r w:rsidR="00EE4FC3">
        <w:t xml:space="preserve"> </w:t>
      </w:r>
      <w:r w:rsidRPr="00382917">
        <w:t>called</w:t>
      </w:r>
      <w:r w:rsidR="00EE4FC3">
        <w:t xml:space="preserve"> </w:t>
      </w:r>
      <w:r w:rsidR="009C713D" w:rsidRPr="00382917">
        <w:t>“</w:t>
      </w:r>
      <w:r w:rsidRPr="00382917">
        <w:t>the</w:t>
      </w:r>
      <w:r w:rsidR="00EE4FC3">
        <w:t xml:space="preserve"> </w:t>
      </w:r>
      <w:r w:rsidRPr="00382917">
        <w:t>first</w:t>
      </w:r>
      <w:r w:rsidR="00EE4FC3">
        <w:t xml:space="preserve"> </w:t>
      </w:r>
      <w:r w:rsidRPr="00382917">
        <w:t>new</w:t>
      </w:r>
      <w:r w:rsidR="00EE4FC3">
        <w:t xml:space="preserve"> </w:t>
      </w:r>
      <w:r w:rsidRPr="00382917">
        <w:t>idea</w:t>
      </w:r>
      <w:r w:rsidR="00EE4FC3">
        <w:t xml:space="preserve"> </w:t>
      </w:r>
      <w:r w:rsidRPr="00382917">
        <w:t>in</w:t>
      </w:r>
      <w:r w:rsidR="00EE4FC3">
        <w:t xml:space="preserve"> </w:t>
      </w:r>
      <w:r w:rsidRPr="00382917">
        <w:t>architecture</w:t>
      </w:r>
      <w:r w:rsidR="00EE4FC3">
        <w:t xml:space="preserve"> </w:t>
      </w:r>
      <w:r w:rsidRPr="00382917">
        <w:t>since</w:t>
      </w:r>
      <w:r w:rsidR="00EE4FC3">
        <w:t xml:space="preserve"> </w:t>
      </w:r>
      <w:r w:rsidRPr="00382917">
        <w:t>the</w:t>
      </w:r>
      <w:r w:rsidR="00EE4FC3">
        <w:t xml:space="preserve"> </w:t>
      </w:r>
      <w:r w:rsidRPr="00382917">
        <w:t>thirteenth</w:t>
      </w:r>
      <w:r w:rsidR="00EE4FC3">
        <w:t xml:space="preserve"> </w:t>
      </w:r>
      <w:r w:rsidRPr="00382917">
        <w:t>century.</w:t>
      </w:r>
      <w:r w:rsidR="009C713D" w:rsidRPr="00382917">
        <w:t>”</w:t>
      </w:r>
    </w:p>
    <w:p w:rsidR="00B568B6" w:rsidRPr="00382917" w:rsidRDefault="00B568B6" w:rsidP="00B568B6">
      <w:pPr>
        <w:pStyle w:val="Text"/>
      </w:pPr>
      <w:r w:rsidRPr="00382917">
        <w:t>There</w:t>
      </w:r>
      <w:r w:rsidR="00EE4FC3">
        <w:t xml:space="preserve"> </w:t>
      </w:r>
      <w:r w:rsidRPr="00382917">
        <w:t>is</w:t>
      </w:r>
      <w:r w:rsidR="00EE4FC3">
        <w:t xml:space="preserve"> </w:t>
      </w:r>
      <w:r w:rsidRPr="00382917">
        <w:t>hardly</w:t>
      </w:r>
      <w:r w:rsidR="00EE4FC3">
        <w:t xml:space="preserve"> </w:t>
      </w:r>
      <w:r w:rsidRPr="00382917">
        <w:t>a</w:t>
      </w:r>
      <w:r w:rsidR="00EE4FC3">
        <w:t xml:space="preserve"> </w:t>
      </w:r>
      <w:r w:rsidRPr="00382917">
        <w:t>country,</w:t>
      </w:r>
      <w:r w:rsidR="00EE4FC3">
        <w:t xml:space="preserve"> </w:t>
      </w:r>
      <w:r w:rsidRPr="00382917">
        <w:t>territory</w:t>
      </w:r>
      <w:r w:rsidR="00EE4FC3">
        <w:t xml:space="preserve"> </w:t>
      </w:r>
      <w:r w:rsidRPr="00382917">
        <w:t>or</w:t>
      </w:r>
      <w:r w:rsidR="00EE4FC3">
        <w:t xml:space="preserve"> </w:t>
      </w:r>
      <w:r w:rsidRPr="00382917">
        <w:t>island</w:t>
      </w:r>
      <w:r w:rsidR="00EE4FC3">
        <w:t xml:space="preserve"> </w:t>
      </w:r>
      <w:r w:rsidRPr="00382917">
        <w:t>of</w:t>
      </w:r>
      <w:r w:rsidR="00EE4FC3">
        <w:t xml:space="preserve"> </w:t>
      </w:r>
      <w:r w:rsidRPr="00382917">
        <w:t>the</w:t>
      </w:r>
      <w:r w:rsidR="00EE4FC3">
        <w:t xml:space="preserve"> </w:t>
      </w:r>
      <w:r w:rsidRPr="00382917">
        <w:t>sea</w:t>
      </w:r>
      <w:r w:rsidR="00EE4FC3">
        <w:t xml:space="preserve"> </w:t>
      </w:r>
      <w:r w:rsidRPr="00382917">
        <w:t>where</w:t>
      </w:r>
      <w:r w:rsidR="00EE4FC3">
        <w:t xml:space="preserve"> </w:t>
      </w:r>
      <w:r w:rsidRPr="00382917">
        <w:t>the</w:t>
      </w:r>
      <w:r w:rsidR="00EE4FC3">
        <w:t xml:space="preserve"> </w:t>
      </w:r>
      <w:r w:rsidRPr="00382917">
        <w:t>Word</w:t>
      </w:r>
      <w:r w:rsidR="00EE4FC3">
        <w:t xml:space="preserve"> </w:t>
      </w:r>
      <w:r w:rsidRPr="00382917">
        <w:t>of</w:t>
      </w:r>
      <w:r w:rsidR="00EE4FC3">
        <w:t xml:space="preserve"> </w:t>
      </w:r>
      <w:r w:rsidRPr="00382917">
        <w:t>Bahá</w:t>
      </w:r>
      <w:r w:rsidR="009C713D" w:rsidRPr="00382917">
        <w:t>’</w:t>
      </w:r>
      <w:r w:rsidRPr="00382917">
        <w:t>u</w:t>
      </w:r>
      <w:r w:rsidR="009C713D" w:rsidRPr="00382917">
        <w:t>’</w:t>
      </w:r>
      <w:r w:rsidRPr="00382917">
        <w:t>lláh</w:t>
      </w:r>
      <w:r w:rsidR="00EE4FC3">
        <w:t xml:space="preserve"> </w:t>
      </w:r>
      <w:r w:rsidRPr="00382917">
        <w:t>has</w:t>
      </w:r>
      <w:r w:rsidR="00EE4FC3">
        <w:t xml:space="preserve"> </w:t>
      </w:r>
      <w:r w:rsidRPr="00382917">
        <w:t>not</w:t>
      </w:r>
      <w:r w:rsidR="00EE4FC3">
        <w:t xml:space="preserve"> </w:t>
      </w:r>
      <w:r w:rsidRPr="00382917">
        <w:t>been</w:t>
      </w:r>
      <w:r w:rsidR="00EE4FC3">
        <w:t xml:space="preserve"> </w:t>
      </w:r>
      <w:r w:rsidRPr="00382917">
        <w:t>taught</w:t>
      </w:r>
      <w:r w:rsidR="00F267E4">
        <w:t>.</w:t>
      </w:r>
      <w:r w:rsidR="00EE4FC3">
        <w:t xml:space="preserve">  </w:t>
      </w:r>
      <w:r w:rsidRPr="00382917">
        <w:t>Like</w:t>
      </w:r>
      <w:r w:rsidR="00EE4FC3">
        <w:t xml:space="preserve"> </w:t>
      </w:r>
      <w:r w:rsidRPr="00382917">
        <w:t>a</w:t>
      </w:r>
      <w:r w:rsidR="00EE4FC3">
        <w:t xml:space="preserve"> </w:t>
      </w:r>
      <w:r w:rsidRPr="00382917">
        <w:t>mighty</w:t>
      </w:r>
      <w:r w:rsidR="00EE4FC3">
        <w:t xml:space="preserve"> </w:t>
      </w:r>
      <w:r w:rsidRPr="00382917">
        <w:t>wind</w:t>
      </w:r>
      <w:r w:rsidR="00EE4FC3">
        <w:t xml:space="preserve"> </w:t>
      </w:r>
      <w:r w:rsidRPr="00382917">
        <w:t>of</w:t>
      </w:r>
      <w:r w:rsidR="00EE4FC3">
        <w:t xml:space="preserve"> </w:t>
      </w:r>
      <w:r w:rsidRPr="00382917">
        <w:t>God,</w:t>
      </w:r>
      <w:r w:rsidR="00EE4FC3">
        <w:t xml:space="preserve"> </w:t>
      </w:r>
      <w:r w:rsidRPr="00382917">
        <w:t>this</w:t>
      </w:r>
      <w:r w:rsidR="00EE4FC3">
        <w:t xml:space="preserve"> </w:t>
      </w:r>
      <w:r w:rsidRPr="00382917">
        <w:t>Faith</w:t>
      </w:r>
      <w:r w:rsidR="00EE4FC3">
        <w:t xml:space="preserve"> </w:t>
      </w:r>
      <w:r w:rsidRPr="00382917">
        <w:t>has</w:t>
      </w:r>
      <w:r w:rsidR="00EE4FC3">
        <w:t xml:space="preserve"> </w:t>
      </w:r>
      <w:r w:rsidRPr="00382917">
        <w:t>swept</w:t>
      </w:r>
      <w:r w:rsidR="00EE4FC3">
        <w:t xml:space="preserve"> </w:t>
      </w:r>
      <w:r w:rsidRPr="00382917">
        <w:t>across</w:t>
      </w:r>
      <w:r w:rsidR="00EE4FC3">
        <w:t xml:space="preserve"> </w:t>
      </w:r>
      <w:r w:rsidRPr="00382917">
        <w:t>the</w:t>
      </w:r>
      <w:r w:rsidR="00EE4FC3">
        <w:t xml:space="preserve"> </w:t>
      </w:r>
      <w:r w:rsidRPr="00382917">
        <w:t>face</w:t>
      </w:r>
      <w:r w:rsidR="00EE4FC3">
        <w:t xml:space="preserve"> </w:t>
      </w:r>
      <w:r w:rsidRPr="00382917">
        <w:t>of</w:t>
      </w:r>
      <w:r w:rsidR="00EE4FC3">
        <w:t xml:space="preserve"> </w:t>
      </w:r>
      <w:r w:rsidRPr="00382917">
        <w:t>the</w:t>
      </w:r>
      <w:r w:rsidR="00EE4FC3">
        <w:t xml:space="preserve"> </w:t>
      </w:r>
      <w:r w:rsidRPr="00382917">
        <w:t>planet</w:t>
      </w:r>
      <w:r w:rsidR="00F267E4">
        <w:t>.</w:t>
      </w:r>
      <w:r w:rsidR="00EE4FC3">
        <w:t xml:space="preserve">  </w:t>
      </w:r>
      <w:r w:rsidRPr="00382917">
        <w:t>It</w:t>
      </w:r>
      <w:r w:rsidR="00EE4FC3">
        <w:t xml:space="preserve"> </w:t>
      </w:r>
      <w:r w:rsidRPr="00382917">
        <w:t>began</w:t>
      </w:r>
      <w:r w:rsidR="00EE4FC3">
        <w:t xml:space="preserve"> </w:t>
      </w:r>
      <w:r w:rsidRPr="00382917">
        <w:t>on</w:t>
      </w:r>
      <w:r w:rsidR="00EE4FC3">
        <w:t xml:space="preserve"> </w:t>
      </w:r>
      <w:r w:rsidRPr="00382917">
        <w:t>23</w:t>
      </w:r>
      <w:r w:rsidR="00EE4FC3">
        <w:t xml:space="preserve"> </w:t>
      </w:r>
      <w:r w:rsidRPr="00382917">
        <w:t>May</w:t>
      </w:r>
      <w:r w:rsidR="00EE4FC3">
        <w:t xml:space="preserve"> </w:t>
      </w:r>
      <w:r w:rsidRPr="00382917">
        <w:t>1844</w:t>
      </w:r>
      <w:r w:rsidR="00F267E4">
        <w:t>.</w:t>
      </w:r>
      <w:r w:rsidR="00EE4FC3">
        <w:t xml:space="preserve">  </w:t>
      </w:r>
      <w:r w:rsidRPr="00382917">
        <w:t>In</w:t>
      </w:r>
      <w:r w:rsidR="00EE4FC3">
        <w:t xml:space="preserve"> </w:t>
      </w:r>
      <w:r w:rsidRPr="00382917">
        <w:t>a</w:t>
      </w:r>
      <w:r w:rsidR="00EE4FC3">
        <w:t xml:space="preserve"> </w:t>
      </w:r>
      <w:r w:rsidRPr="00382917">
        <w:t>little</w:t>
      </w:r>
      <w:r w:rsidR="00EE4FC3">
        <w:t xml:space="preserve"> </w:t>
      </w:r>
      <w:r w:rsidRPr="00382917">
        <w:t>over</w:t>
      </w:r>
      <w:r w:rsidR="00EE4FC3">
        <w:t xml:space="preserve"> </w:t>
      </w:r>
      <w:r w:rsidRPr="00382917">
        <w:t>a</w:t>
      </w:r>
      <w:r w:rsidR="00EE4FC3">
        <w:t xml:space="preserve"> </w:t>
      </w:r>
      <w:r w:rsidRPr="00382917">
        <w:t>hundred</w:t>
      </w:r>
      <w:r w:rsidR="00EE4FC3">
        <w:t xml:space="preserve"> </w:t>
      </w:r>
      <w:r w:rsidRPr="00382917">
        <w:t>years,</w:t>
      </w:r>
      <w:r w:rsidR="00EE4FC3">
        <w:t xml:space="preserve"> </w:t>
      </w:r>
      <w:r w:rsidRPr="00382917">
        <w:t>it</w:t>
      </w:r>
      <w:r w:rsidR="00EE4FC3">
        <w:t xml:space="preserve"> </w:t>
      </w:r>
      <w:r w:rsidRPr="00382917">
        <w:t>has</w:t>
      </w:r>
      <w:r w:rsidR="00EE4FC3">
        <w:t xml:space="preserve"> </w:t>
      </w:r>
      <w:r w:rsidRPr="00382917">
        <w:t>spread</w:t>
      </w:r>
      <w:r w:rsidR="00EE4FC3">
        <w:t xml:space="preserve"> </w:t>
      </w:r>
      <w:r w:rsidRPr="00382917">
        <w:t>to</w:t>
      </w:r>
      <w:r w:rsidR="00EE4FC3">
        <w:t xml:space="preserve"> </w:t>
      </w:r>
      <w:r w:rsidRPr="00382917">
        <w:t>over</w:t>
      </w:r>
      <w:r w:rsidR="00EE4FC3">
        <w:t xml:space="preserve"> </w:t>
      </w:r>
      <w:r w:rsidRPr="00382917">
        <w:t>five</w:t>
      </w:r>
      <w:r w:rsidR="00EE4FC3">
        <w:t xml:space="preserve"> </w:t>
      </w:r>
      <w:r w:rsidRPr="00382917">
        <w:t>thousand</w:t>
      </w:r>
      <w:r w:rsidR="00EE4FC3">
        <w:t xml:space="preserve"> </w:t>
      </w:r>
      <w:proofErr w:type="spellStart"/>
      <w:r w:rsidRPr="00382917">
        <w:t>centers</w:t>
      </w:r>
      <w:proofErr w:type="spellEnd"/>
      <w:r w:rsidR="00EE4FC3">
        <w:t xml:space="preserve"> </w:t>
      </w:r>
      <w:r w:rsidRPr="00382917">
        <w:t>in</w:t>
      </w:r>
      <w:r w:rsidR="00EE4FC3">
        <w:t xml:space="preserve"> </w:t>
      </w:r>
      <w:r w:rsidRPr="00382917">
        <w:t>every</w:t>
      </w:r>
      <w:r w:rsidR="00EE4FC3">
        <w:t xml:space="preserve"> </w:t>
      </w:r>
      <w:r w:rsidRPr="00382917">
        <w:t>corner</w:t>
      </w:r>
      <w:r w:rsidR="00EE4FC3">
        <w:t xml:space="preserve"> </w:t>
      </w:r>
      <w:r w:rsidRPr="00382917">
        <w:t>of</w:t>
      </w:r>
      <w:r w:rsidR="00EE4FC3">
        <w:t xml:space="preserve"> </w:t>
      </w:r>
      <w:r w:rsidRPr="00382917">
        <w:t>the</w:t>
      </w:r>
      <w:r w:rsidR="00EE4FC3">
        <w:t xml:space="preserve"> </w:t>
      </w:r>
      <w:r w:rsidRPr="00382917">
        <w:t>earth,</w:t>
      </w:r>
      <w:r w:rsidR="00EE4FC3">
        <w:t xml:space="preserve"> </w:t>
      </w:r>
      <w:r w:rsidRPr="00382917">
        <w:t>fulfilling</w:t>
      </w:r>
      <w:r w:rsidR="00EE4FC3">
        <w:t xml:space="preserve"> </w:t>
      </w:r>
      <w:r w:rsidRPr="00382917">
        <w:t>the</w:t>
      </w:r>
      <w:r w:rsidR="00EE4FC3">
        <w:t xml:space="preserve"> </w:t>
      </w:r>
      <w:r w:rsidRPr="00382917">
        <w:t>prophecy</w:t>
      </w:r>
      <w:r w:rsidR="00EE4FC3">
        <w:t xml:space="preserve"> </w:t>
      </w:r>
      <w:r w:rsidRPr="00382917">
        <w:t>of</w:t>
      </w:r>
      <w:r w:rsidR="00EE4FC3">
        <w:t xml:space="preserve"> </w:t>
      </w:r>
      <w:proofErr w:type="spellStart"/>
      <w:r w:rsidRPr="00382917">
        <w:t>Habbakuk</w:t>
      </w:r>
      <w:proofErr w:type="spellEnd"/>
      <w:r w:rsidR="00EE4FC3">
        <w:t xml:space="preserve"> </w:t>
      </w:r>
      <w:r w:rsidRPr="00382917">
        <w:t>for</w:t>
      </w:r>
      <w:r w:rsidR="00EE4FC3">
        <w:t xml:space="preserve"> </w:t>
      </w:r>
      <w:r w:rsidRPr="00382917">
        <w:t>the</w:t>
      </w:r>
      <w:r w:rsidR="00EE4FC3">
        <w:t xml:space="preserve"> </w:t>
      </w:r>
      <w:r w:rsidRPr="00382917">
        <w:t>last</w:t>
      </w:r>
      <w:r w:rsidR="00EE4FC3">
        <w:t xml:space="preserve"> </w:t>
      </w:r>
      <w:r w:rsidRPr="00382917">
        <w:t>days.</w:t>
      </w:r>
    </w:p>
    <w:p w:rsidR="00B568B6" w:rsidRPr="00382917" w:rsidRDefault="009C713D" w:rsidP="00EF37F1">
      <w:pPr>
        <w:pStyle w:val="Quote"/>
      </w:pPr>
      <w:r w:rsidRPr="00382917">
        <w:t>“</w:t>
      </w:r>
      <w:r w:rsidR="00B568B6" w:rsidRPr="00382917">
        <w:t>For</w:t>
      </w:r>
      <w:r w:rsidR="00EE4FC3">
        <w:t xml:space="preserve"> </w:t>
      </w:r>
      <w:r w:rsidR="00B568B6" w:rsidRPr="00382917">
        <w:t>the</w:t>
      </w:r>
      <w:r w:rsidR="00EE4FC3">
        <w:t xml:space="preserve"> </w:t>
      </w:r>
      <w:r w:rsidR="00B568B6" w:rsidRPr="00382917">
        <w:t>earth</w:t>
      </w:r>
      <w:r w:rsidR="00EE4FC3">
        <w:t xml:space="preserve"> </w:t>
      </w:r>
      <w:r w:rsidR="00B568B6" w:rsidRPr="00382917">
        <w:t>shall</w:t>
      </w:r>
      <w:r w:rsidR="00EE4FC3">
        <w:t xml:space="preserve"> </w:t>
      </w:r>
      <w:r w:rsidR="00B568B6" w:rsidRPr="00382917">
        <w:t>be</w:t>
      </w:r>
      <w:r w:rsidR="00EE4FC3">
        <w:t xml:space="preserve"> </w:t>
      </w:r>
      <w:r w:rsidR="00B568B6" w:rsidRPr="00382917">
        <w:t>filled</w:t>
      </w:r>
      <w:r w:rsidR="00EE4FC3">
        <w:t xml:space="preserve"> </w:t>
      </w:r>
      <w:r w:rsidR="00B568B6" w:rsidRPr="00382917">
        <w:t>with</w:t>
      </w:r>
      <w:r w:rsidR="00EE4FC3">
        <w:t xml:space="preserve"> </w:t>
      </w:r>
      <w:r w:rsidR="00B568B6" w:rsidRPr="00382917">
        <w:t>the</w:t>
      </w:r>
      <w:r w:rsidR="00EE4FC3">
        <w:t xml:space="preserve"> </w:t>
      </w:r>
      <w:r w:rsidR="00B568B6" w:rsidRPr="00382917">
        <w:t>knowledge</w:t>
      </w:r>
      <w:r w:rsidR="00EE4FC3">
        <w:t xml:space="preserve"> </w:t>
      </w:r>
      <w:r w:rsidR="00B568B6" w:rsidRPr="00382917">
        <w:t>of</w:t>
      </w:r>
      <w:r w:rsidR="00EE4FC3">
        <w:t xml:space="preserve"> </w:t>
      </w:r>
      <w:r w:rsidR="00B568B6" w:rsidRPr="00382917">
        <w:t>the</w:t>
      </w:r>
      <w:r w:rsidR="00EE4FC3">
        <w:t xml:space="preserve"> </w:t>
      </w:r>
      <w:r w:rsidR="00B568B6" w:rsidRPr="00382917">
        <w:t>glory</w:t>
      </w:r>
      <w:r w:rsidR="00EE4FC3">
        <w:t xml:space="preserve"> </w:t>
      </w:r>
      <w:r w:rsidR="00B568B6" w:rsidRPr="00382917">
        <w:t>of</w:t>
      </w:r>
      <w:r w:rsidR="00EE4FC3">
        <w:t xml:space="preserve"> </w:t>
      </w:r>
      <w:r w:rsidR="00B568B6" w:rsidRPr="00382917">
        <w:t>the</w:t>
      </w:r>
      <w:r w:rsidR="00EE4FC3">
        <w:t xml:space="preserve"> </w:t>
      </w:r>
      <w:r w:rsidR="00B568B6" w:rsidRPr="00382917">
        <w:t>Lord</w:t>
      </w:r>
      <w:r w:rsidR="00EE4FC3">
        <w:t xml:space="preserve"> </w:t>
      </w:r>
      <w:r w:rsidR="00B568B6" w:rsidRPr="00382917">
        <w:t>[Bahá</w:t>
      </w:r>
      <w:r w:rsidRPr="00382917">
        <w:t>’</w:t>
      </w:r>
      <w:r w:rsidR="00B568B6" w:rsidRPr="00382917">
        <w:t>u</w:t>
      </w:r>
      <w:r w:rsidRPr="00382917">
        <w:t>’</w:t>
      </w:r>
      <w:r w:rsidR="00B568B6" w:rsidRPr="00382917">
        <w:t>lláh</w:t>
      </w:r>
      <w:r w:rsidR="00EF37F1">
        <w:t>]</w:t>
      </w:r>
      <w:r w:rsidR="00B568B6" w:rsidRPr="00382917">
        <w:t>,</w:t>
      </w:r>
      <w:r w:rsidR="00EE4FC3">
        <w:t xml:space="preserve"> </w:t>
      </w:r>
      <w:r w:rsidR="00B568B6" w:rsidRPr="00382917">
        <w:t>as</w:t>
      </w:r>
      <w:r w:rsidR="00EE4FC3">
        <w:t xml:space="preserve"> </w:t>
      </w:r>
      <w:r w:rsidR="00B568B6" w:rsidRPr="00382917">
        <w:t>the</w:t>
      </w:r>
      <w:r w:rsidR="00EE4FC3">
        <w:t xml:space="preserve"> </w:t>
      </w:r>
      <w:r w:rsidR="00B568B6" w:rsidRPr="00382917">
        <w:t>waters</w:t>
      </w:r>
      <w:r w:rsidR="00EE4FC3">
        <w:t xml:space="preserve"> </w:t>
      </w:r>
      <w:r w:rsidR="00B568B6" w:rsidRPr="00382917">
        <w:t>cover</w:t>
      </w:r>
      <w:r w:rsidR="00EE4FC3">
        <w:t xml:space="preserve"> </w:t>
      </w:r>
      <w:r w:rsidR="00B568B6" w:rsidRPr="00382917">
        <w:t>the</w:t>
      </w:r>
      <w:r w:rsidR="00EE4FC3">
        <w:t xml:space="preserve"> </w:t>
      </w:r>
      <w:r w:rsidR="00B568B6" w:rsidRPr="00382917">
        <w:t>sea.</w:t>
      </w:r>
      <w:r w:rsidRPr="00382917">
        <w:t>”</w:t>
      </w:r>
      <w:r w:rsidR="00EF37F1">
        <w:rPr>
          <w:rStyle w:val="FootnoteReference"/>
        </w:rPr>
        <w:footnoteReference w:id="410"/>
      </w:r>
    </w:p>
    <w:p w:rsidR="00B568B6" w:rsidRPr="00382917" w:rsidRDefault="00B568B6" w:rsidP="00B568B6">
      <w:pPr>
        <w:pStyle w:val="Text"/>
      </w:pPr>
      <w:r w:rsidRPr="00382917">
        <w:t>Great</w:t>
      </w:r>
      <w:r w:rsidR="00EE4FC3">
        <w:t xml:space="preserve"> </w:t>
      </w:r>
      <w:r w:rsidRPr="00382917">
        <w:t>figures</w:t>
      </w:r>
      <w:r w:rsidR="00EE4FC3">
        <w:t xml:space="preserve"> </w:t>
      </w:r>
      <w:r w:rsidRPr="00382917">
        <w:t>from</w:t>
      </w:r>
      <w:r w:rsidR="00EE4FC3">
        <w:t xml:space="preserve"> </w:t>
      </w:r>
      <w:r w:rsidRPr="00382917">
        <w:t>all</w:t>
      </w:r>
      <w:r w:rsidR="00EE4FC3">
        <w:t xml:space="preserve"> </w:t>
      </w:r>
      <w:r w:rsidRPr="00382917">
        <w:t>walks</w:t>
      </w:r>
      <w:r w:rsidR="00EE4FC3">
        <w:t xml:space="preserve"> </w:t>
      </w:r>
      <w:r w:rsidRPr="00382917">
        <w:t>of</w:t>
      </w:r>
      <w:r w:rsidR="00EE4FC3">
        <w:t xml:space="preserve"> </w:t>
      </w:r>
      <w:r w:rsidRPr="00382917">
        <w:t>life</w:t>
      </w:r>
      <w:r w:rsidR="00EE4FC3">
        <w:t xml:space="preserve"> </w:t>
      </w:r>
      <w:r w:rsidRPr="00382917">
        <w:t>have</w:t>
      </w:r>
      <w:r w:rsidR="00EE4FC3">
        <w:t xml:space="preserve"> </w:t>
      </w:r>
      <w:r w:rsidRPr="00382917">
        <w:t>paid</w:t>
      </w:r>
      <w:r w:rsidR="00EE4FC3">
        <w:t xml:space="preserve"> </w:t>
      </w:r>
      <w:r w:rsidRPr="00382917">
        <w:t>tribute</w:t>
      </w:r>
      <w:r w:rsidR="00EE4FC3">
        <w:t xml:space="preserve"> </w:t>
      </w:r>
      <w:r w:rsidRPr="00382917">
        <w:t>to</w:t>
      </w:r>
      <w:r w:rsidR="00EE4FC3">
        <w:t xml:space="preserve"> </w:t>
      </w:r>
      <w:r w:rsidRPr="00382917">
        <w:t>this</w:t>
      </w:r>
      <w:r w:rsidR="00EE4FC3">
        <w:t xml:space="preserve"> </w:t>
      </w:r>
      <w:r w:rsidRPr="00382917">
        <w:t>young,</w:t>
      </w:r>
      <w:r w:rsidR="00EE4FC3">
        <w:t xml:space="preserve"> </w:t>
      </w:r>
      <w:r w:rsidRPr="00382917">
        <w:t>encouraging,</w:t>
      </w:r>
      <w:r w:rsidR="00EE4FC3">
        <w:t xml:space="preserve"> </w:t>
      </w:r>
      <w:r w:rsidRPr="00382917">
        <w:t>uplifting</w:t>
      </w:r>
      <w:r w:rsidR="00EE4FC3">
        <w:t xml:space="preserve"> </w:t>
      </w:r>
      <w:r w:rsidRPr="00382917">
        <w:t>religion.</w:t>
      </w:r>
    </w:p>
    <w:p w:rsidR="00B568B6" w:rsidRPr="00382917" w:rsidRDefault="00B568B6" w:rsidP="00853187">
      <w:pPr>
        <w:pStyle w:val="Bullet2"/>
      </w:pPr>
      <w:r w:rsidRPr="00382917">
        <w:t>1</w:t>
      </w:r>
      <w:r w:rsidR="00F267E4">
        <w:t>.</w:t>
      </w:r>
      <w:r w:rsidR="00853187">
        <w:tab/>
      </w:r>
      <w:r w:rsidR="009C713D" w:rsidRPr="00382917">
        <w:t>“</w:t>
      </w:r>
      <w:r w:rsidRPr="00382917">
        <w:t>If</w:t>
      </w:r>
      <w:r w:rsidR="00EE4FC3">
        <w:t xml:space="preserve"> </w:t>
      </w:r>
      <w:r w:rsidRPr="00382917">
        <w:t>there</w:t>
      </w:r>
      <w:r w:rsidR="00EE4FC3">
        <w:t xml:space="preserve"> </w:t>
      </w:r>
      <w:r w:rsidRPr="00382917">
        <w:t>has</w:t>
      </w:r>
      <w:r w:rsidR="00EE4FC3">
        <w:t xml:space="preserve"> </w:t>
      </w:r>
      <w:r w:rsidRPr="00382917">
        <w:t>been</w:t>
      </w:r>
      <w:r w:rsidR="00EE4FC3">
        <w:t xml:space="preserve"> </w:t>
      </w:r>
      <w:r w:rsidRPr="00382917">
        <w:t>any</w:t>
      </w:r>
      <w:r w:rsidR="00EE4FC3">
        <w:t xml:space="preserve"> </w:t>
      </w:r>
      <w:r w:rsidRPr="00382917">
        <w:t>prophet</w:t>
      </w:r>
      <w:r w:rsidR="00EE4FC3">
        <w:t xml:space="preserve"> </w:t>
      </w:r>
      <w:r w:rsidRPr="00382917">
        <w:t>in</w:t>
      </w:r>
      <w:r w:rsidR="00EE4FC3">
        <w:t xml:space="preserve"> </w:t>
      </w:r>
      <w:r w:rsidRPr="00382917">
        <w:t>recent</w:t>
      </w:r>
      <w:r w:rsidR="00EE4FC3">
        <w:t xml:space="preserve"> </w:t>
      </w:r>
      <w:r w:rsidRPr="00382917">
        <w:t>times,</w:t>
      </w:r>
      <w:r w:rsidR="00EE4FC3">
        <w:t xml:space="preserve"> </w:t>
      </w:r>
      <w:r w:rsidRPr="00382917">
        <w:t>it</w:t>
      </w:r>
      <w:r w:rsidR="00EE4FC3">
        <w:t xml:space="preserve"> </w:t>
      </w:r>
      <w:r w:rsidRPr="00382917">
        <w:t>is</w:t>
      </w:r>
      <w:r w:rsidR="00EE4FC3">
        <w:t xml:space="preserve"> </w:t>
      </w:r>
      <w:r w:rsidRPr="00382917">
        <w:t>to</w:t>
      </w:r>
      <w:r w:rsidR="00EE4FC3">
        <w:t xml:space="preserve"> </w:t>
      </w:r>
      <w:r w:rsidRPr="00382917">
        <w:t>Bahá</w:t>
      </w:r>
      <w:r w:rsidR="009C713D" w:rsidRPr="00382917">
        <w:t>’</w:t>
      </w:r>
      <w:r w:rsidRPr="00382917">
        <w:t>u</w:t>
      </w:r>
      <w:r w:rsidR="009C713D" w:rsidRPr="00382917">
        <w:t>’</w:t>
      </w:r>
      <w:r w:rsidRPr="00382917">
        <w:t>lláh</w:t>
      </w:r>
      <w:r w:rsidR="00EE4FC3">
        <w:t xml:space="preserve"> </w:t>
      </w:r>
      <w:r w:rsidRPr="00382917">
        <w:t>that</w:t>
      </w:r>
      <w:r w:rsidR="00EE4FC3">
        <w:t xml:space="preserve"> </w:t>
      </w:r>
      <w:r w:rsidRPr="00382917">
        <w:t>we</w:t>
      </w:r>
      <w:r w:rsidR="00EE4FC3">
        <w:t xml:space="preserve"> </w:t>
      </w:r>
      <w:r w:rsidRPr="00382917">
        <w:t>must</w:t>
      </w:r>
      <w:r w:rsidR="00EE4FC3">
        <w:t xml:space="preserve"> </w:t>
      </w:r>
      <w:r w:rsidRPr="00382917">
        <w:t>go.</w:t>
      </w:r>
      <w:proofErr w:type="gramStart"/>
      <w:r w:rsidR="009C713D" w:rsidRPr="00382917">
        <w:t>”</w:t>
      </w:r>
      <w:r w:rsidR="00853187">
        <w:t xml:space="preserve"> </w:t>
      </w:r>
      <w:proofErr w:type="gramEnd"/>
      <w:r w:rsidRPr="00382917">
        <w:t>(</w:t>
      </w:r>
      <w:proofErr w:type="gramStart"/>
      <w:r w:rsidRPr="00382917">
        <w:t>the</w:t>
      </w:r>
      <w:proofErr w:type="gramEnd"/>
      <w:r w:rsidR="00EE4FC3">
        <w:t xml:space="preserve"> </w:t>
      </w:r>
      <w:r w:rsidRPr="00382917">
        <w:t>Rev.</w:t>
      </w:r>
      <w:r w:rsidR="00EE4FC3">
        <w:t xml:space="preserve"> </w:t>
      </w:r>
      <w:r w:rsidRPr="00382917">
        <w:t>T.</w:t>
      </w:r>
      <w:r w:rsidR="00EE4FC3">
        <w:t xml:space="preserve"> </w:t>
      </w:r>
      <w:r w:rsidRPr="00382917">
        <w:t>K.</w:t>
      </w:r>
      <w:r w:rsidR="00EE4FC3">
        <w:t xml:space="preserve"> </w:t>
      </w:r>
      <w:r w:rsidRPr="00382917">
        <w:t>Cheyne,</w:t>
      </w:r>
      <w:r w:rsidR="00EE4FC3">
        <w:t xml:space="preserve"> </w:t>
      </w:r>
      <w:r w:rsidRPr="00382917">
        <w:t>British</w:t>
      </w:r>
      <w:r w:rsidR="00EE4FC3">
        <w:t xml:space="preserve"> </w:t>
      </w:r>
      <w:r w:rsidRPr="00382917">
        <w:t>Clergyman</w:t>
      </w:r>
      <w:r w:rsidR="00935EC1">
        <w:t>)</w:t>
      </w:r>
    </w:p>
    <w:p w:rsidR="00B568B6" w:rsidRPr="00382917" w:rsidRDefault="00B568B6">
      <w:pPr>
        <w:widowControl/>
        <w:kinsoku/>
        <w:overflowPunct/>
        <w:textAlignment w:val="auto"/>
      </w:pPr>
      <w:r w:rsidRPr="00382917">
        <w:br w:type="page"/>
      </w:r>
    </w:p>
    <w:p w:rsidR="00B568B6" w:rsidRPr="00382917" w:rsidRDefault="00853187" w:rsidP="00853187">
      <w:pPr>
        <w:pStyle w:val="Bullet2ct"/>
      </w:pPr>
      <w:r>
        <w:t>2.</w:t>
      </w:r>
      <w:r>
        <w:tab/>
      </w:r>
      <w:r w:rsidR="009C713D" w:rsidRPr="00382917">
        <w:t>“</w:t>
      </w:r>
      <w:r w:rsidR="00B568B6" w:rsidRPr="00382917">
        <w:t>The</w:t>
      </w:r>
      <w:r w:rsidR="00EE4FC3">
        <w:t xml:space="preserve"> </w:t>
      </w:r>
      <w:r w:rsidR="00B568B6" w:rsidRPr="00382917">
        <w:t>Bahá</w:t>
      </w:r>
      <w:r w:rsidR="009C713D" w:rsidRPr="00382917">
        <w:t>’</w:t>
      </w:r>
      <w:r w:rsidR="00B568B6" w:rsidRPr="00382917">
        <w:t>í</w:t>
      </w:r>
      <w:r w:rsidR="00EE4FC3">
        <w:t xml:space="preserve"> </w:t>
      </w:r>
      <w:r w:rsidR="00B568B6" w:rsidRPr="00382917">
        <w:t>Cause</w:t>
      </w:r>
      <w:r w:rsidR="00EE4FC3">
        <w:t xml:space="preserve"> </w:t>
      </w:r>
      <w:r w:rsidR="00B568B6" w:rsidRPr="00382917">
        <w:t>is</w:t>
      </w:r>
      <w:r w:rsidR="00EE4FC3">
        <w:t xml:space="preserve"> </w:t>
      </w:r>
      <w:r w:rsidR="00B568B6" w:rsidRPr="00382917">
        <w:t>one</w:t>
      </w:r>
      <w:r w:rsidR="00EE4FC3">
        <w:t xml:space="preserve"> </w:t>
      </w:r>
      <w:r w:rsidR="00B568B6" w:rsidRPr="00382917">
        <w:t>of</w:t>
      </w:r>
      <w:r w:rsidR="00EE4FC3">
        <w:t xml:space="preserve"> </w:t>
      </w:r>
      <w:r w:rsidR="00B568B6" w:rsidRPr="00382917">
        <w:t>the</w:t>
      </w:r>
      <w:r w:rsidR="00EE4FC3">
        <w:t xml:space="preserve"> </w:t>
      </w:r>
      <w:r w:rsidR="00B568B6" w:rsidRPr="00382917">
        <w:t>great</w:t>
      </w:r>
      <w:r w:rsidR="00EE4FC3">
        <w:t xml:space="preserve"> </w:t>
      </w:r>
      <w:r w:rsidR="00B568B6" w:rsidRPr="00382917">
        <w:t>moral</w:t>
      </w:r>
      <w:r w:rsidR="00EE4FC3">
        <w:t xml:space="preserve"> </w:t>
      </w:r>
      <w:r w:rsidR="00B568B6" w:rsidRPr="00382917">
        <w:t>and</w:t>
      </w:r>
      <w:r w:rsidR="00EE4FC3">
        <w:t xml:space="preserve"> </w:t>
      </w:r>
      <w:r w:rsidR="00B568B6" w:rsidRPr="00382917">
        <w:t>social</w:t>
      </w:r>
      <w:r w:rsidR="00EE4FC3">
        <w:t xml:space="preserve"> </w:t>
      </w:r>
      <w:r w:rsidR="00B568B6" w:rsidRPr="00382917">
        <w:t>forces</w:t>
      </w:r>
      <w:r w:rsidR="00EE4FC3">
        <w:t xml:space="preserve"> </w:t>
      </w:r>
      <w:r w:rsidR="00B568B6" w:rsidRPr="00382917">
        <w:t>in</w:t>
      </w:r>
      <w:r w:rsidR="00EE4FC3">
        <w:t xml:space="preserve"> </w:t>
      </w:r>
      <w:r w:rsidR="00B568B6" w:rsidRPr="00382917">
        <w:t>all</w:t>
      </w:r>
      <w:r w:rsidR="00EE4FC3">
        <w:t xml:space="preserve"> </w:t>
      </w:r>
      <w:r w:rsidR="00B568B6" w:rsidRPr="00382917">
        <w:t>the</w:t>
      </w:r>
      <w:r w:rsidR="00EE4FC3">
        <w:t xml:space="preserve"> </w:t>
      </w:r>
      <w:r w:rsidR="00B568B6" w:rsidRPr="00382917">
        <w:t>world</w:t>
      </w:r>
      <w:r w:rsidR="00EE4FC3">
        <w:t xml:space="preserve"> </w:t>
      </w:r>
      <w:r w:rsidR="00B568B6" w:rsidRPr="00382917">
        <w:t>today.</w:t>
      </w:r>
      <w:proofErr w:type="gramStart"/>
      <w:r w:rsidR="009C713D" w:rsidRPr="00382917">
        <w:t>”</w:t>
      </w:r>
      <w:r>
        <w:t xml:space="preserve"> </w:t>
      </w:r>
      <w:proofErr w:type="gramEnd"/>
      <w:r>
        <w:t>(</w:t>
      </w:r>
      <w:r w:rsidR="00B568B6" w:rsidRPr="00382917">
        <w:t>Eduard</w:t>
      </w:r>
      <w:r w:rsidR="00EE4FC3">
        <w:t xml:space="preserve"> </w:t>
      </w:r>
      <w:proofErr w:type="spellStart"/>
      <w:r w:rsidR="00B568B6" w:rsidRPr="00382917">
        <w:t>Beneš</w:t>
      </w:r>
      <w:proofErr w:type="spellEnd"/>
      <w:r w:rsidR="00B568B6" w:rsidRPr="00382917">
        <w:t>,</w:t>
      </w:r>
      <w:r w:rsidR="00EE4FC3">
        <w:t xml:space="preserve"> </w:t>
      </w:r>
      <w:r w:rsidR="00B568B6" w:rsidRPr="00382917">
        <w:t>former</w:t>
      </w:r>
      <w:r w:rsidR="00EE4FC3">
        <w:t xml:space="preserve"> </w:t>
      </w:r>
      <w:r w:rsidR="00B568B6" w:rsidRPr="00382917">
        <w:t>President</w:t>
      </w:r>
      <w:r w:rsidR="00EE4FC3">
        <w:t xml:space="preserve"> </w:t>
      </w:r>
      <w:r w:rsidR="00B568B6" w:rsidRPr="00382917">
        <w:t>of</w:t>
      </w:r>
      <w:r w:rsidR="00EE4FC3">
        <w:t xml:space="preserve"> </w:t>
      </w:r>
      <w:r w:rsidR="00B568B6" w:rsidRPr="00382917">
        <w:t>Czechoslovakia)</w:t>
      </w:r>
    </w:p>
    <w:p w:rsidR="00B568B6" w:rsidRPr="00382917" w:rsidRDefault="00853187" w:rsidP="00853187">
      <w:pPr>
        <w:pStyle w:val="Bullet2ct"/>
      </w:pPr>
      <w:r>
        <w:t>3.</w:t>
      </w:r>
      <w:r>
        <w:tab/>
      </w:r>
      <w:r w:rsidR="009C713D" w:rsidRPr="00382917">
        <w:t>“</w:t>
      </w:r>
      <w:r w:rsidR="00B568B6" w:rsidRPr="00382917">
        <w:t>Not</w:t>
      </w:r>
      <w:r w:rsidR="00EE4FC3">
        <w:t xml:space="preserve"> </w:t>
      </w:r>
      <w:r w:rsidR="00B568B6" w:rsidRPr="00382917">
        <w:t>alone</w:t>
      </w:r>
      <w:r w:rsidR="00EE4FC3">
        <w:t xml:space="preserve"> </w:t>
      </w:r>
      <w:r w:rsidR="00B568B6" w:rsidRPr="00382917">
        <w:t>China,</w:t>
      </w:r>
      <w:r w:rsidR="00EE4FC3">
        <w:t xml:space="preserve"> </w:t>
      </w:r>
      <w:r w:rsidR="00B568B6" w:rsidRPr="00382917">
        <w:t>but</w:t>
      </w:r>
      <w:r w:rsidR="00EE4FC3">
        <w:t xml:space="preserve"> </w:t>
      </w:r>
      <w:r w:rsidR="00B568B6" w:rsidRPr="00382917">
        <w:t>the</w:t>
      </w:r>
      <w:r w:rsidR="00EE4FC3">
        <w:t xml:space="preserve"> </w:t>
      </w:r>
      <w:r w:rsidR="00B568B6" w:rsidRPr="00382917">
        <w:t>whole</w:t>
      </w:r>
      <w:r w:rsidR="00EE4FC3">
        <w:t xml:space="preserve"> </w:t>
      </w:r>
      <w:r w:rsidR="00B568B6" w:rsidRPr="00382917">
        <w:t>world</w:t>
      </w:r>
      <w:r w:rsidR="00EE4FC3">
        <w:t xml:space="preserve"> </w:t>
      </w:r>
      <w:r w:rsidR="00B568B6" w:rsidRPr="00382917">
        <w:t>needs</w:t>
      </w:r>
      <w:r w:rsidR="00EE4FC3">
        <w:t xml:space="preserve"> </w:t>
      </w:r>
      <w:r w:rsidR="00B568B6" w:rsidRPr="00382917">
        <w:t>these</w:t>
      </w:r>
      <w:r w:rsidR="00EE4FC3">
        <w:t xml:space="preserve"> </w:t>
      </w:r>
      <w:r w:rsidR="00B568B6" w:rsidRPr="00382917">
        <w:t>Teachings.</w:t>
      </w:r>
      <w:proofErr w:type="gramStart"/>
      <w:r w:rsidR="009C713D" w:rsidRPr="00382917">
        <w:t>”</w:t>
      </w:r>
      <w:r>
        <w:t xml:space="preserve"> </w:t>
      </w:r>
      <w:proofErr w:type="gramEnd"/>
      <w:r w:rsidR="00B568B6" w:rsidRPr="00382917">
        <w:t>(Y.</w:t>
      </w:r>
      <w:r w:rsidR="00EE4FC3">
        <w:t xml:space="preserve"> </w:t>
      </w:r>
      <w:r w:rsidR="00B568B6" w:rsidRPr="00382917">
        <w:t>S.</w:t>
      </w:r>
      <w:r w:rsidR="00EE4FC3">
        <w:t xml:space="preserve"> </w:t>
      </w:r>
      <w:proofErr w:type="spellStart"/>
      <w:r w:rsidR="00B568B6" w:rsidRPr="00382917">
        <w:t>Tsao</w:t>
      </w:r>
      <w:proofErr w:type="spellEnd"/>
      <w:r w:rsidR="00B568B6" w:rsidRPr="00382917">
        <w:t>,</w:t>
      </w:r>
      <w:r w:rsidR="00EE4FC3">
        <w:t xml:space="preserve"> </w:t>
      </w:r>
      <w:r w:rsidR="00B568B6" w:rsidRPr="00382917">
        <w:t>former</w:t>
      </w:r>
      <w:r w:rsidR="00EE4FC3">
        <w:t xml:space="preserve"> </w:t>
      </w:r>
      <w:r w:rsidR="00B568B6" w:rsidRPr="00382917">
        <w:t>President</w:t>
      </w:r>
      <w:r w:rsidR="00EE4FC3">
        <w:t xml:space="preserve"> </w:t>
      </w:r>
      <w:r w:rsidR="00B568B6" w:rsidRPr="00382917">
        <w:t>of</w:t>
      </w:r>
      <w:r w:rsidR="00EE4FC3">
        <w:t xml:space="preserve"> </w:t>
      </w:r>
      <w:r w:rsidR="00B568B6" w:rsidRPr="00382917">
        <w:t>the</w:t>
      </w:r>
      <w:r w:rsidR="00EE4FC3">
        <w:t xml:space="preserve"> </w:t>
      </w:r>
      <w:r w:rsidR="00B568B6" w:rsidRPr="00382917">
        <w:t>University</w:t>
      </w:r>
      <w:r w:rsidR="00EE4FC3">
        <w:t xml:space="preserve"> </w:t>
      </w:r>
      <w:r w:rsidR="00B568B6" w:rsidRPr="00382917">
        <w:t>of</w:t>
      </w:r>
      <w:r w:rsidR="00EE4FC3">
        <w:t xml:space="preserve"> </w:t>
      </w:r>
      <w:r w:rsidR="00B568B6" w:rsidRPr="00382917">
        <w:t>Shanghai)</w:t>
      </w:r>
    </w:p>
    <w:p w:rsidR="00B568B6" w:rsidRPr="00382917" w:rsidRDefault="00853187" w:rsidP="00853187">
      <w:pPr>
        <w:pStyle w:val="Bullet2"/>
      </w:pPr>
      <w:r>
        <w:t>4.</w:t>
      </w:r>
      <w:r>
        <w:tab/>
      </w:r>
      <w:r w:rsidR="009C713D" w:rsidRPr="00382917">
        <w:t>“</w:t>
      </w:r>
      <w:r w:rsidR="00B568B6" w:rsidRPr="00382917">
        <w:t>I</w:t>
      </w:r>
      <w:r w:rsidR="00EE4FC3">
        <w:t xml:space="preserve"> </w:t>
      </w:r>
      <w:r w:rsidR="00B568B6" w:rsidRPr="00382917">
        <w:t>regard</w:t>
      </w:r>
      <w:r w:rsidR="00EE4FC3">
        <w:t xml:space="preserve"> </w:t>
      </w:r>
      <w:r w:rsidR="00B568B6" w:rsidRPr="00382917">
        <w:t>it</w:t>
      </w:r>
      <w:r w:rsidR="00EE4FC3">
        <w:t xml:space="preserve"> </w:t>
      </w:r>
      <w:r w:rsidR="00B568B6" w:rsidRPr="00382917">
        <w:t>as</w:t>
      </w:r>
      <w:r w:rsidR="00EE4FC3">
        <w:t xml:space="preserve"> </w:t>
      </w:r>
      <w:r w:rsidR="00B568B6" w:rsidRPr="00382917">
        <w:t>one</w:t>
      </w:r>
      <w:r w:rsidR="00EE4FC3">
        <w:t xml:space="preserve"> </w:t>
      </w:r>
      <w:r w:rsidR="00B568B6" w:rsidRPr="00382917">
        <w:t>of</w:t>
      </w:r>
      <w:r w:rsidR="00EE4FC3">
        <w:t xml:space="preserve"> </w:t>
      </w:r>
      <w:r w:rsidR="00B568B6" w:rsidRPr="00382917">
        <w:t>the</w:t>
      </w:r>
      <w:r w:rsidR="00EE4FC3">
        <w:t xml:space="preserve"> </w:t>
      </w:r>
      <w:r w:rsidR="00B568B6" w:rsidRPr="00382917">
        <w:t>noblest</w:t>
      </w:r>
      <w:r w:rsidR="00EE4FC3">
        <w:t xml:space="preserve"> </w:t>
      </w:r>
      <w:r w:rsidR="00B568B6" w:rsidRPr="00382917">
        <w:t>of</w:t>
      </w:r>
      <w:r w:rsidR="00EE4FC3">
        <w:t xml:space="preserve"> </w:t>
      </w:r>
      <w:r w:rsidR="00B568B6" w:rsidRPr="00382917">
        <w:t>the</w:t>
      </w:r>
      <w:r w:rsidR="00EE4FC3">
        <w:t xml:space="preserve"> </w:t>
      </w:r>
      <w:r w:rsidR="00B568B6" w:rsidRPr="00382917">
        <w:t>world</w:t>
      </w:r>
      <w:r w:rsidR="009C713D" w:rsidRPr="00382917">
        <w:t>’</w:t>
      </w:r>
      <w:r w:rsidR="00B568B6" w:rsidRPr="00382917">
        <w:t>s</w:t>
      </w:r>
      <w:r w:rsidR="00EE4FC3">
        <w:t xml:space="preserve"> </w:t>
      </w:r>
      <w:r w:rsidR="00B568B6" w:rsidRPr="00382917">
        <w:t>religions.</w:t>
      </w:r>
      <w:proofErr w:type="gramStart"/>
      <w:r w:rsidR="009C713D" w:rsidRPr="00382917">
        <w:t>”</w:t>
      </w:r>
      <w:r w:rsidR="00EE4FC3">
        <w:t xml:space="preserve"> </w:t>
      </w:r>
      <w:proofErr w:type="gramEnd"/>
      <w:r w:rsidR="00B568B6" w:rsidRPr="00382917">
        <w:t>(</w:t>
      </w:r>
      <w:r w:rsidR="00F267E4">
        <w:t>Dr</w:t>
      </w:r>
      <w:r w:rsidR="00EE4FC3">
        <w:t xml:space="preserve"> </w:t>
      </w:r>
      <w:r w:rsidR="00B568B6" w:rsidRPr="00382917">
        <w:t>R.</w:t>
      </w:r>
      <w:r w:rsidR="00EE4FC3">
        <w:t xml:space="preserve"> </w:t>
      </w:r>
      <w:r w:rsidR="00B568B6" w:rsidRPr="00382917">
        <w:t>F.</w:t>
      </w:r>
      <w:r w:rsidR="00EE4FC3">
        <w:t xml:space="preserve"> </w:t>
      </w:r>
      <w:r w:rsidR="00B568B6" w:rsidRPr="00382917">
        <w:t>Piper,</w:t>
      </w:r>
      <w:r w:rsidR="00EE4FC3">
        <w:t xml:space="preserve"> </w:t>
      </w:r>
      <w:r w:rsidR="00B568B6" w:rsidRPr="00382917">
        <w:t>Philosophy</w:t>
      </w:r>
      <w:r w:rsidR="00EE4FC3">
        <w:t xml:space="preserve"> </w:t>
      </w:r>
      <w:r w:rsidR="00B568B6" w:rsidRPr="00382917">
        <w:t>Dept.,</w:t>
      </w:r>
      <w:r w:rsidR="00EE4FC3">
        <w:t xml:space="preserve"> </w:t>
      </w:r>
      <w:r w:rsidR="00B568B6" w:rsidRPr="00382917">
        <w:t>Syracuse</w:t>
      </w:r>
      <w:r w:rsidR="00EE4FC3">
        <w:t xml:space="preserve"> </w:t>
      </w:r>
      <w:r w:rsidR="00B568B6" w:rsidRPr="00382917">
        <w:t>University)</w:t>
      </w:r>
    </w:p>
    <w:p w:rsidR="00B568B6" w:rsidRPr="00382917" w:rsidRDefault="00853187" w:rsidP="00853187">
      <w:pPr>
        <w:pStyle w:val="Bullet2"/>
      </w:pPr>
      <w:r>
        <w:t>5.</w:t>
      </w:r>
      <w:r>
        <w:tab/>
      </w:r>
      <w:r w:rsidR="009C713D" w:rsidRPr="00382917">
        <w:t>“</w:t>
      </w:r>
      <w:r w:rsidR="00B568B6" w:rsidRPr="00382917">
        <w:t>The</w:t>
      </w:r>
      <w:r w:rsidR="00EE4FC3">
        <w:t xml:space="preserve"> </w:t>
      </w:r>
      <w:r w:rsidR="00B568B6" w:rsidRPr="00382917">
        <w:t>Bahá</w:t>
      </w:r>
      <w:r w:rsidR="009C713D" w:rsidRPr="00382917">
        <w:t>’</w:t>
      </w:r>
      <w:r w:rsidR="00B568B6" w:rsidRPr="00382917">
        <w:t>í</w:t>
      </w:r>
      <w:r w:rsidR="00EE4FC3">
        <w:t xml:space="preserve"> </w:t>
      </w:r>
      <w:r w:rsidR="00B568B6" w:rsidRPr="00382917">
        <w:t>Faith</w:t>
      </w:r>
      <w:r w:rsidR="00F04416" w:rsidRPr="00382917">
        <w:t>…</w:t>
      </w:r>
      <w:r w:rsidR="00EE4FC3">
        <w:t xml:space="preserve"> </w:t>
      </w:r>
      <w:r w:rsidR="00B568B6" w:rsidRPr="00382917">
        <w:t>accepts</w:t>
      </w:r>
      <w:r w:rsidR="00EE4FC3">
        <w:t xml:space="preserve"> </w:t>
      </w:r>
      <w:r w:rsidR="00B568B6" w:rsidRPr="00382917">
        <w:t>all</w:t>
      </w:r>
      <w:r w:rsidR="00EE4FC3">
        <w:t xml:space="preserve"> </w:t>
      </w:r>
      <w:r w:rsidR="00B568B6" w:rsidRPr="00382917">
        <w:t>great</w:t>
      </w:r>
      <w:r w:rsidR="00EE4FC3">
        <w:t xml:space="preserve"> </w:t>
      </w:r>
      <w:r w:rsidR="00B568B6" w:rsidRPr="00382917">
        <w:t>Prophets</w:t>
      </w:r>
      <w:r w:rsidR="00EE4FC3">
        <w:t xml:space="preserve"> </w:t>
      </w:r>
      <w:r w:rsidR="00B568B6" w:rsidRPr="00382917">
        <w:t>gone</w:t>
      </w:r>
      <w:r w:rsidR="00EE4FC3">
        <w:t xml:space="preserve"> </w:t>
      </w:r>
      <w:r w:rsidR="00B568B6" w:rsidRPr="00382917">
        <w:t>before,</w:t>
      </w:r>
      <w:r w:rsidR="00EE4FC3">
        <w:t xml:space="preserve"> </w:t>
      </w:r>
      <w:r w:rsidR="00B568B6" w:rsidRPr="00382917">
        <w:t>it</w:t>
      </w:r>
      <w:r w:rsidR="00EE4FC3">
        <w:t xml:space="preserve"> </w:t>
      </w:r>
      <w:r w:rsidR="00B568B6" w:rsidRPr="00382917">
        <w:t>destroys</w:t>
      </w:r>
      <w:r w:rsidR="00EE4FC3">
        <w:t xml:space="preserve"> </w:t>
      </w:r>
      <w:r w:rsidR="00B568B6" w:rsidRPr="00382917">
        <w:t>no</w:t>
      </w:r>
      <w:r w:rsidR="00EE4FC3">
        <w:t xml:space="preserve"> </w:t>
      </w:r>
      <w:r w:rsidR="00B568B6" w:rsidRPr="00382917">
        <w:t>other</w:t>
      </w:r>
      <w:r w:rsidR="00EE4FC3">
        <w:t xml:space="preserve"> </w:t>
      </w:r>
      <w:r w:rsidR="00B568B6" w:rsidRPr="00382917">
        <w:t>creeds</w:t>
      </w:r>
      <w:r w:rsidR="00EE4FC3">
        <w:t xml:space="preserve"> </w:t>
      </w:r>
      <w:r w:rsidR="00B568B6" w:rsidRPr="00382917">
        <w:t>and</w:t>
      </w:r>
      <w:r w:rsidR="00EE4FC3">
        <w:t xml:space="preserve"> </w:t>
      </w:r>
      <w:r w:rsidR="00B568B6" w:rsidRPr="00382917">
        <w:t>leaves</w:t>
      </w:r>
      <w:r w:rsidR="00EE4FC3">
        <w:t xml:space="preserve"> </w:t>
      </w:r>
      <w:r w:rsidR="00B568B6" w:rsidRPr="00382917">
        <w:t>all</w:t>
      </w:r>
      <w:r w:rsidR="00EE4FC3">
        <w:t xml:space="preserve"> </w:t>
      </w:r>
      <w:r w:rsidR="00B568B6" w:rsidRPr="00382917">
        <w:t>doors</w:t>
      </w:r>
      <w:r w:rsidR="00EE4FC3">
        <w:t xml:space="preserve"> </w:t>
      </w:r>
      <w:r w:rsidR="00B568B6" w:rsidRPr="00382917">
        <w:t>open.</w:t>
      </w:r>
      <w:proofErr w:type="gramStart"/>
      <w:r w:rsidR="009C713D" w:rsidRPr="00382917">
        <w:t>”</w:t>
      </w:r>
      <w:r>
        <w:t xml:space="preserve"> </w:t>
      </w:r>
      <w:proofErr w:type="gramEnd"/>
      <w:r w:rsidR="00B568B6" w:rsidRPr="00382917">
        <w:t>(Dowager</w:t>
      </w:r>
      <w:r w:rsidR="00EE4FC3">
        <w:t xml:space="preserve"> </w:t>
      </w:r>
      <w:r w:rsidR="00B568B6" w:rsidRPr="00382917">
        <w:t>Marie</w:t>
      </w:r>
      <w:r w:rsidR="00EE4FC3">
        <w:t xml:space="preserve"> </w:t>
      </w:r>
      <w:r w:rsidR="00B568B6" w:rsidRPr="00382917">
        <w:t>of</w:t>
      </w:r>
      <w:r w:rsidR="00EE4FC3">
        <w:t xml:space="preserve"> </w:t>
      </w:r>
      <w:r w:rsidR="00B568B6" w:rsidRPr="00382917">
        <w:t>Rumania)</w:t>
      </w:r>
    </w:p>
    <w:p w:rsidR="00B568B6" w:rsidRPr="00382917" w:rsidRDefault="00853187" w:rsidP="00853187">
      <w:pPr>
        <w:pStyle w:val="Bullet2ct"/>
      </w:pPr>
      <w:r>
        <w:t>6.</w:t>
      </w:r>
      <w:r>
        <w:tab/>
      </w:r>
      <w:r w:rsidR="009C713D" w:rsidRPr="00382917">
        <w:t>“</w:t>
      </w:r>
      <w:r w:rsidR="00B568B6" w:rsidRPr="00382917">
        <w:t>They</w:t>
      </w:r>
      <w:r w:rsidR="00EE4FC3">
        <w:t xml:space="preserve"> </w:t>
      </w:r>
      <w:r w:rsidR="00B568B6" w:rsidRPr="00382917">
        <w:t>[the</w:t>
      </w:r>
      <w:r w:rsidR="00EE4FC3">
        <w:t xml:space="preserve"> </w:t>
      </w:r>
      <w:r w:rsidR="00B568B6" w:rsidRPr="00382917">
        <w:t>Bahá</w:t>
      </w:r>
      <w:r w:rsidR="009C713D" w:rsidRPr="00382917">
        <w:t>’</w:t>
      </w:r>
      <w:r w:rsidR="00B568B6" w:rsidRPr="00382917">
        <w:t>ís]</w:t>
      </w:r>
      <w:r w:rsidR="00EE4FC3">
        <w:t xml:space="preserve"> </w:t>
      </w:r>
      <w:r w:rsidR="00B568B6" w:rsidRPr="00382917">
        <w:t>have</w:t>
      </w:r>
      <w:r w:rsidR="00EE4FC3">
        <w:t xml:space="preserve"> </w:t>
      </w:r>
      <w:r w:rsidR="00B568B6" w:rsidRPr="00382917">
        <w:t>done</w:t>
      </w:r>
      <w:r w:rsidR="00EE4FC3">
        <w:t xml:space="preserve"> </w:t>
      </w:r>
      <w:r w:rsidR="00B568B6" w:rsidRPr="00382917">
        <w:t>more</w:t>
      </w:r>
      <w:r w:rsidR="00EE4FC3">
        <w:t xml:space="preserve"> </w:t>
      </w:r>
      <w:r w:rsidR="00B568B6" w:rsidRPr="00382917">
        <w:t>to</w:t>
      </w:r>
      <w:r w:rsidR="00EE4FC3">
        <w:t xml:space="preserve"> </w:t>
      </w:r>
      <w:r w:rsidR="00B568B6" w:rsidRPr="00382917">
        <w:t>bring</w:t>
      </w:r>
      <w:r w:rsidR="00EE4FC3">
        <w:t xml:space="preserve"> </w:t>
      </w:r>
      <w:r w:rsidR="00B568B6" w:rsidRPr="00382917">
        <w:t>interreligious</w:t>
      </w:r>
      <w:r w:rsidR="00EE4FC3">
        <w:t xml:space="preserve"> </w:t>
      </w:r>
      <w:r w:rsidR="00B568B6" w:rsidRPr="00382917">
        <w:t>understanding</w:t>
      </w:r>
      <w:r w:rsidR="00EE4FC3">
        <w:t xml:space="preserve"> </w:t>
      </w:r>
      <w:r w:rsidR="00B568B6" w:rsidRPr="00382917">
        <w:t>to</w:t>
      </w:r>
      <w:r w:rsidR="00EE4FC3">
        <w:t xml:space="preserve"> </w:t>
      </w:r>
      <w:r w:rsidR="00B568B6" w:rsidRPr="00382917">
        <w:t>the</w:t>
      </w:r>
      <w:r w:rsidR="00EE4FC3">
        <w:t xml:space="preserve"> </w:t>
      </w:r>
      <w:r w:rsidR="00B568B6" w:rsidRPr="00382917">
        <w:t>world</w:t>
      </w:r>
      <w:r w:rsidR="00EE4FC3">
        <w:t xml:space="preserve"> </w:t>
      </w:r>
      <w:r w:rsidR="00B568B6" w:rsidRPr="00382917">
        <w:t>than</w:t>
      </w:r>
      <w:r w:rsidR="00EE4FC3">
        <w:t xml:space="preserve"> </w:t>
      </w:r>
      <w:r w:rsidR="00B568B6" w:rsidRPr="00382917">
        <w:t>any</w:t>
      </w:r>
      <w:r w:rsidR="00EE4FC3">
        <w:t xml:space="preserve"> </w:t>
      </w:r>
      <w:r w:rsidR="00B568B6" w:rsidRPr="00382917">
        <w:t>other</w:t>
      </w:r>
      <w:r w:rsidR="00EE4FC3">
        <w:t xml:space="preserve"> </w:t>
      </w:r>
      <w:r w:rsidR="00B568B6" w:rsidRPr="00382917">
        <w:t>religious</w:t>
      </w:r>
      <w:r w:rsidR="00EE4FC3">
        <w:t xml:space="preserve"> </w:t>
      </w:r>
      <w:r w:rsidR="00B568B6" w:rsidRPr="00382917">
        <w:t>group.</w:t>
      </w:r>
      <w:proofErr w:type="gramStart"/>
      <w:r w:rsidR="009C713D" w:rsidRPr="00382917">
        <w:t>”</w:t>
      </w:r>
      <w:r w:rsidR="00EE4FC3">
        <w:t xml:space="preserve"> </w:t>
      </w:r>
      <w:proofErr w:type="gramEnd"/>
      <w:r w:rsidR="00B568B6" w:rsidRPr="00382917">
        <w:t>(Dr</w:t>
      </w:r>
      <w:r w:rsidR="00EE4FC3">
        <w:t xml:space="preserve"> </w:t>
      </w:r>
      <w:r w:rsidR="00B568B6" w:rsidRPr="00382917">
        <w:t>Paul</w:t>
      </w:r>
      <w:r w:rsidR="00EE4FC3">
        <w:t xml:space="preserve"> </w:t>
      </w:r>
      <w:r w:rsidR="00B568B6" w:rsidRPr="00382917">
        <w:t>Anderson,</w:t>
      </w:r>
      <w:r w:rsidR="00EE4FC3">
        <w:t xml:space="preserve"> </w:t>
      </w:r>
      <w:r w:rsidR="00B568B6" w:rsidRPr="00382917">
        <w:t>President</w:t>
      </w:r>
      <w:r w:rsidR="00EE4FC3">
        <w:t xml:space="preserve"> </w:t>
      </w:r>
      <w:r w:rsidR="00B568B6" w:rsidRPr="00382917">
        <w:t>of</w:t>
      </w:r>
      <w:r w:rsidR="00EE4FC3">
        <w:t xml:space="preserve"> </w:t>
      </w:r>
      <w:r w:rsidR="00B568B6" w:rsidRPr="00382917">
        <w:t>the</w:t>
      </w:r>
      <w:r w:rsidR="00EE4FC3">
        <w:t xml:space="preserve"> </w:t>
      </w:r>
      <w:r w:rsidR="00B568B6" w:rsidRPr="00382917">
        <w:t>Pennsylvania</w:t>
      </w:r>
      <w:r w:rsidR="00EE4FC3">
        <w:t xml:space="preserve"> </w:t>
      </w:r>
      <w:r w:rsidR="00B568B6" w:rsidRPr="00382917">
        <w:t>College</w:t>
      </w:r>
      <w:r w:rsidR="00EE4FC3">
        <w:t xml:space="preserve"> </w:t>
      </w:r>
      <w:r w:rsidR="00B568B6" w:rsidRPr="00382917">
        <w:t>for</w:t>
      </w:r>
      <w:r w:rsidR="00EE4FC3">
        <w:t xml:space="preserve"> </w:t>
      </w:r>
      <w:r w:rsidR="00B568B6" w:rsidRPr="00382917">
        <w:t>Women)</w:t>
      </w:r>
    </w:p>
    <w:p w:rsidR="00B568B6" w:rsidRPr="00382917" w:rsidRDefault="00853187" w:rsidP="00853187">
      <w:pPr>
        <w:pStyle w:val="Bullet2ct"/>
      </w:pPr>
      <w:r>
        <w:t>7.</w:t>
      </w:r>
      <w:r>
        <w:tab/>
      </w:r>
      <w:r w:rsidR="00B568B6" w:rsidRPr="00382917">
        <w:t>Dr</w:t>
      </w:r>
      <w:r w:rsidR="00EE4FC3">
        <w:t xml:space="preserve"> </w:t>
      </w:r>
      <w:proofErr w:type="spellStart"/>
      <w:r w:rsidR="00B568B6" w:rsidRPr="00382917">
        <w:t>Pitrim</w:t>
      </w:r>
      <w:proofErr w:type="spellEnd"/>
      <w:r w:rsidR="00EE4FC3">
        <w:t xml:space="preserve"> </w:t>
      </w:r>
      <w:r w:rsidR="00B568B6" w:rsidRPr="00382917">
        <w:t>A.</w:t>
      </w:r>
      <w:r w:rsidR="00EE4FC3">
        <w:t xml:space="preserve"> </w:t>
      </w:r>
      <w:r w:rsidR="00B568B6" w:rsidRPr="00382917">
        <w:t>Sorokin</w:t>
      </w:r>
      <w:r w:rsidR="00EE4FC3">
        <w:t xml:space="preserve"> </w:t>
      </w:r>
      <w:r w:rsidR="00B568B6" w:rsidRPr="00382917">
        <w:t>of</w:t>
      </w:r>
      <w:r w:rsidR="00EE4FC3">
        <w:t xml:space="preserve"> </w:t>
      </w:r>
      <w:r w:rsidR="00B568B6" w:rsidRPr="00382917">
        <w:t>Harvard</w:t>
      </w:r>
      <w:r w:rsidR="00EE4FC3">
        <w:t xml:space="preserve"> </w:t>
      </w:r>
      <w:r w:rsidR="00B568B6" w:rsidRPr="00382917">
        <w:t>University</w:t>
      </w:r>
      <w:r w:rsidR="00EE4FC3">
        <w:t xml:space="preserve"> </w:t>
      </w:r>
      <w:r w:rsidR="00B568B6" w:rsidRPr="00382917">
        <w:t>has</w:t>
      </w:r>
      <w:r w:rsidR="00EE4FC3">
        <w:t xml:space="preserve"> </w:t>
      </w:r>
      <w:r w:rsidR="00B568B6" w:rsidRPr="00382917">
        <w:t>called</w:t>
      </w:r>
      <w:r w:rsidR="00EE4FC3">
        <w:t xml:space="preserve"> </w:t>
      </w:r>
      <w:r w:rsidR="00B568B6" w:rsidRPr="00382917">
        <w:t>the</w:t>
      </w:r>
      <w:r w:rsidR="00EE4FC3">
        <w:t xml:space="preserve"> </w:t>
      </w:r>
      <w:r w:rsidR="00B568B6" w:rsidRPr="00382917">
        <w:t>Bahá</w:t>
      </w:r>
      <w:r w:rsidR="009C713D" w:rsidRPr="00382917">
        <w:t>’</w:t>
      </w:r>
      <w:r w:rsidR="00B568B6" w:rsidRPr="00382917">
        <w:t>í</w:t>
      </w:r>
      <w:r w:rsidR="00EE4FC3">
        <w:t xml:space="preserve"> </w:t>
      </w:r>
      <w:r w:rsidR="00B568B6" w:rsidRPr="00382917">
        <w:t>Faith</w:t>
      </w:r>
      <w:r w:rsidR="00C03C91">
        <w:t>:</w:t>
      </w:r>
      <w:r w:rsidR="00EE4FC3">
        <w:t xml:space="preserve">  </w:t>
      </w:r>
      <w:r w:rsidR="009C713D" w:rsidRPr="00382917">
        <w:t>“</w:t>
      </w:r>
      <w:r w:rsidR="00F04416" w:rsidRPr="00382917">
        <w:t>…</w:t>
      </w:r>
      <w:r w:rsidR="00EE4FC3">
        <w:t xml:space="preserve"> </w:t>
      </w:r>
      <w:r w:rsidR="00B568B6" w:rsidRPr="00382917">
        <w:t>this</w:t>
      </w:r>
      <w:r w:rsidR="00EE4FC3">
        <w:t xml:space="preserve"> </w:t>
      </w:r>
      <w:r w:rsidR="00B568B6" w:rsidRPr="00382917">
        <w:t>highly</w:t>
      </w:r>
      <w:r w:rsidR="00EE4FC3">
        <w:t xml:space="preserve"> </w:t>
      </w:r>
      <w:r w:rsidR="00B568B6" w:rsidRPr="00382917">
        <w:t>spiritual</w:t>
      </w:r>
      <w:r w:rsidR="00EE4FC3">
        <w:t xml:space="preserve"> </w:t>
      </w:r>
      <w:r w:rsidR="00B568B6" w:rsidRPr="00382917">
        <w:t>and</w:t>
      </w:r>
      <w:r w:rsidR="00EE4FC3">
        <w:t xml:space="preserve"> </w:t>
      </w:r>
      <w:r w:rsidR="00B568B6" w:rsidRPr="00382917">
        <w:t>moral</w:t>
      </w:r>
      <w:r w:rsidR="00EE4FC3">
        <w:t xml:space="preserve"> </w:t>
      </w:r>
      <w:r w:rsidR="00B568B6" w:rsidRPr="00382917">
        <w:t>religion.</w:t>
      </w:r>
      <w:r w:rsidR="009C713D" w:rsidRPr="00382917">
        <w:t>”</w:t>
      </w:r>
    </w:p>
    <w:p w:rsidR="00B568B6" w:rsidRPr="00382917" w:rsidRDefault="00853187" w:rsidP="00853187">
      <w:pPr>
        <w:pStyle w:val="Bullet2ct"/>
      </w:pPr>
      <w:r>
        <w:t>8.</w:t>
      </w:r>
      <w:r>
        <w:tab/>
      </w:r>
      <w:r w:rsidR="00B568B6" w:rsidRPr="00382917">
        <w:t>Dr</w:t>
      </w:r>
      <w:r w:rsidR="00EE4FC3">
        <w:t xml:space="preserve"> </w:t>
      </w:r>
      <w:r w:rsidR="00B568B6" w:rsidRPr="00382917">
        <w:t>Herbert</w:t>
      </w:r>
      <w:r w:rsidR="00EE4FC3">
        <w:t xml:space="preserve"> </w:t>
      </w:r>
      <w:r w:rsidR="00B568B6" w:rsidRPr="00382917">
        <w:t>Adams</w:t>
      </w:r>
      <w:r w:rsidR="00EE4FC3">
        <w:t xml:space="preserve"> </w:t>
      </w:r>
      <w:r w:rsidR="00B568B6" w:rsidRPr="00382917">
        <w:t>Gibbons,</w:t>
      </w:r>
      <w:r w:rsidR="00EE4FC3">
        <w:t xml:space="preserve"> </w:t>
      </w:r>
      <w:r w:rsidR="00B568B6" w:rsidRPr="00382917">
        <w:t>American</w:t>
      </w:r>
      <w:r w:rsidR="00EE4FC3">
        <w:t xml:space="preserve"> </w:t>
      </w:r>
      <w:r w:rsidR="00B568B6" w:rsidRPr="00382917">
        <w:t>historian,</w:t>
      </w:r>
      <w:r w:rsidR="00EE4FC3">
        <w:t xml:space="preserve"> </w:t>
      </w:r>
      <w:r w:rsidR="00B568B6" w:rsidRPr="00382917">
        <w:t>writes</w:t>
      </w:r>
      <w:r w:rsidR="00EE4FC3">
        <w:t xml:space="preserve"> </w:t>
      </w:r>
      <w:r w:rsidR="00B568B6" w:rsidRPr="00382917">
        <w:t>of</w:t>
      </w:r>
      <w:r w:rsidR="00EE4FC3">
        <w:t xml:space="preserve"> </w:t>
      </w:r>
      <w:r w:rsidR="00B568B6" w:rsidRPr="00382917">
        <w:t>the</w:t>
      </w:r>
      <w:r w:rsidR="00EE4FC3">
        <w:t xml:space="preserve"> </w:t>
      </w:r>
      <w:r w:rsidR="00B568B6" w:rsidRPr="00382917">
        <w:t>Bahá</w:t>
      </w:r>
      <w:r w:rsidR="009C713D" w:rsidRPr="00382917">
        <w:t>’</w:t>
      </w:r>
      <w:r w:rsidR="00B568B6" w:rsidRPr="00382917">
        <w:t>í</w:t>
      </w:r>
      <w:r w:rsidR="00EE4FC3">
        <w:t xml:space="preserve"> </w:t>
      </w:r>
      <w:r w:rsidR="00B568B6" w:rsidRPr="00382917">
        <w:t>teachings</w:t>
      </w:r>
      <w:r w:rsidR="00C03C91">
        <w:t>:</w:t>
      </w:r>
      <w:r w:rsidR="00EE4FC3">
        <w:t xml:space="preserve">  </w:t>
      </w:r>
      <w:r w:rsidR="009C713D" w:rsidRPr="00382917">
        <w:t>“</w:t>
      </w:r>
      <w:r w:rsidR="00F04416" w:rsidRPr="00382917">
        <w:t>…</w:t>
      </w:r>
      <w:r w:rsidR="00EE4FC3">
        <w:t xml:space="preserve"> </w:t>
      </w:r>
      <w:r w:rsidR="00B568B6" w:rsidRPr="00382917">
        <w:t>they</w:t>
      </w:r>
      <w:r w:rsidR="00EE4FC3">
        <w:t xml:space="preserve"> </w:t>
      </w:r>
      <w:r w:rsidR="00B568B6" w:rsidRPr="00382917">
        <w:t>form</w:t>
      </w:r>
      <w:r w:rsidR="00EE4FC3">
        <w:t xml:space="preserve"> </w:t>
      </w:r>
      <w:r w:rsidR="00B568B6" w:rsidRPr="00382917">
        <w:t>an</w:t>
      </w:r>
      <w:r w:rsidR="00EE4FC3">
        <w:t xml:space="preserve"> </w:t>
      </w:r>
      <w:r w:rsidR="00B568B6" w:rsidRPr="00382917">
        <w:t>unanswerable</w:t>
      </w:r>
      <w:r w:rsidR="00EE4FC3">
        <w:t xml:space="preserve"> </w:t>
      </w:r>
      <w:r w:rsidR="00B568B6" w:rsidRPr="00382917">
        <w:t>argument</w:t>
      </w:r>
      <w:r w:rsidR="00EE4FC3">
        <w:t xml:space="preserve"> </w:t>
      </w:r>
      <w:r w:rsidR="00B568B6" w:rsidRPr="00382917">
        <w:t>and</w:t>
      </w:r>
      <w:r w:rsidR="00EE4FC3">
        <w:t xml:space="preserve"> </w:t>
      </w:r>
      <w:r w:rsidR="00B568B6" w:rsidRPr="00382917">
        <w:t>plea</w:t>
      </w:r>
      <w:r w:rsidR="00EE4FC3">
        <w:t xml:space="preserve"> </w:t>
      </w:r>
      <w:r w:rsidR="00B568B6" w:rsidRPr="00382917">
        <w:t>for</w:t>
      </w:r>
      <w:r w:rsidR="00EE4FC3">
        <w:t xml:space="preserve"> </w:t>
      </w:r>
      <w:r w:rsidR="00B568B6" w:rsidRPr="00382917">
        <w:t>the</w:t>
      </w:r>
      <w:r w:rsidR="00EE4FC3">
        <w:t xml:space="preserve"> </w:t>
      </w:r>
      <w:r w:rsidR="00B568B6" w:rsidRPr="00382917">
        <w:t>only</w:t>
      </w:r>
      <w:r w:rsidR="00EE4FC3">
        <w:t xml:space="preserve"> </w:t>
      </w:r>
      <w:r w:rsidR="00B568B6" w:rsidRPr="00382917">
        <w:t>way</w:t>
      </w:r>
      <w:r w:rsidR="00EE4FC3">
        <w:t xml:space="preserve"> </w:t>
      </w:r>
      <w:r w:rsidR="00B568B6" w:rsidRPr="00382917">
        <w:t>that</w:t>
      </w:r>
      <w:r w:rsidR="00EE4FC3">
        <w:t xml:space="preserve"> </w:t>
      </w:r>
      <w:r w:rsidR="00B568B6" w:rsidRPr="00382917">
        <w:t>the</w:t>
      </w:r>
      <w:r w:rsidR="00EE4FC3">
        <w:t xml:space="preserve"> </w:t>
      </w:r>
      <w:r w:rsidR="00B568B6" w:rsidRPr="00382917">
        <w:t>world</w:t>
      </w:r>
      <w:r w:rsidR="00EE4FC3">
        <w:t xml:space="preserve"> </w:t>
      </w:r>
      <w:r w:rsidR="00B568B6" w:rsidRPr="00382917">
        <w:t>can</w:t>
      </w:r>
      <w:r w:rsidR="00EE4FC3">
        <w:t xml:space="preserve"> </w:t>
      </w:r>
      <w:r w:rsidR="00B568B6" w:rsidRPr="00382917">
        <w:t>be</w:t>
      </w:r>
      <w:r w:rsidR="00EE4FC3">
        <w:t xml:space="preserve"> </w:t>
      </w:r>
      <w:r w:rsidR="00B568B6" w:rsidRPr="00382917">
        <w:t>made</w:t>
      </w:r>
      <w:r w:rsidR="00EE4FC3">
        <w:t xml:space="preserve"> </w:t>
      </w:r>
      <w:r w:rsidR="00B568B6" w:rsidRPr="00382917">
        <w:t>over</w:t>
      </w:r>
      <w:r w:rsidR="00F267E4">
        <w:t>.</w:t>
      </w:r>
      <w:r w:rsidR="00EE4FC3">
        <w:t xml:space="preserve">  </w:t>
      </w:r>
      <w:r w:rsidR="00B568B6" w:rsidRPr="00382917">
        <w:t>If</w:t>
      </w:r>
      <w:r w:rsidR="00EE4FC3">
        <w:t xml:space="preserve"> </w:t>
      </w:r>
      <w:r w:rsidR="00B568B6" w:rsidRPr="00382917">
        <w:t>we</w:t>
      </w:r>
      <w:r w:rsidR="00EE4FC3">
        <w:t xml:space="preserve"> </w:t>
      </w:r>
      <w:r w:rsidR="00B568B6" w:rsidRPr="00382917">
        <w:t>could</w:t>
      </w:r>
      <w:r w:rsidR="00EE4FC3">
        <w:t xml:space="preserve"> </w:t>
      </w:r>
      <w:r w:rsidR="00B568B6" w:rsidRPr="00382917">
        <w:t>put</w:t>
      </w:r>
      <w:r w:rsidR="00EE4FC3">
        <w:t xml:space="preserve"> </w:t>
      </w:r>
      <w:r w:rsidR="00B568B6" w:rsidRPr="00382917">
        <w:t>into</w:t>
      </w:r>
      <w:r w:rsidR="00EE4FC3">
        <w:t xml:space="preserve"> </w:t>
      </w:r>
      <w:r w:rsidR="00B568B6" w:rsidRPr="00382917">
        <w:t>effect</w:t>
      </w:r>
      <w:r w:rsidR="00EE4FC3">
        <w:t xml:space="preserve"> </w:t>
      </w:r>
      <w:r w:rsidR="00B568B6" w:rsidRPr="00382917">
        <w:t>this</w:t>
      </w:r>
      <w:r w:rsidR="00EE4FC3">
        <w:t xml:space="preserve"> </w:t>
      </w:r>
      <w:r w:rsidR="00B568B6" w:rsidRPr="00382917">
        <w:t>program,</w:t>
      </w:r>
      <w:r w:rsidR="00EE4FC3">
        <w:t xml:space="preserve"> </w:t>
      </w:r>
      <w:r w:rsidR="00B568B6" w:rsidRPr="00382917">
        <w:t>we</w:t>
      </w:r>
      <w:r w:rsidR="00EE4FC3">
        <w:t xml:space="preserve"> </w:t>
      </w:r>
      <w:r w:rsidR="00B568B6" w:rsidRPr="00382917">
        <w:t>should</w:t>
      </w:r>
      <w:r w:rsidR="00EE4FC3">
        <w:t xml:space="preserve"> </w:t>
      </w:r>
      <w:r w:rsidR="00B568B6" w:rsidRPr="00382917">
        <w:t>indeed</w:t>
      </w:r>
      <w:r w:rsidR="00EE4FC3">
        <w:t xml:space="preserve"> </w:t>
      </w:r>
      <w:r w:rsidR="00B568B6" w:rsidRPr="00382917">
        <w:t>have</w:t>
      </w:r>
      <w:r w:rsidR="00EE4FC3">
        <w:t xml:space="preserve"> </w:t>
      </w:r>
      <w:r w:rsidR="00B568B6" w:rsidRPr="00382917">
        <w:t>a</w:t>
      </w:r>
      <w:r w:rsidR="00EE4FC3">
        <w:t xml:space="preserve"> </w:t>
      </w:r>
      <w:r w:rsidR="00B568B6" w:rsidRPr="00382917">
        <w:t>new</w:t>
      </w:r>
      <w:r w:rsidR="00EE4FC3">
        <w:t xml:space="preserve"> </w:t>
      </w:r>
      <w:r w:rsidR="00B568B6" w:rsidRPr="00382917">
        <w:t>world</w:t>
      </w:r>
      <w:r w:rsidR="00EE4FC3">
        <w:t xml:space="preserve"> </w:t>
      </w:r>
      <w:r w:rsidR="00B568B6" w:rsidRPr="00382917">
        <w:t>order.</w:t>
      </w:r>
      <w:r w:rsidR="009C713D" w:rsidRPr="00382917">
        <w:t>”</w:t>
      </w:r>
    </w:p>
    <w:p w:rsidR="00B568B6" w:rsidRPr="00382917" w:rsidRDefault="00853187" w:rsidP="00853187">
      <w:pPr>
        <w:pStyle w:val="Bullet2ct"/>
      </w:pPr>
      <w:r>
        <w:t>9.</w:t>
      </w:r>
      <w:r>
        <w:tab/>
      </w:r>
      <w:r w:rsidR="00B568B6" w:rsidRPr="00382917">
        <w:t>D.</w:t>
      </w:r>
      <w:r w:rsidR="00EE4FC3">
        <w:t xml:space="preserve"> </w:t>
      </w:r>
      <w:r w:rsidR="00B568B6" w:rsidRPr="00382917">
        <w:t>V.</w:t>
      </w:r>
      <w:r w:rsidR="00EE4FC3">
        <w:t xml:space="preserve"> </w:t>
      </w:r>
      <w:proofErr w:type="spellStart"/>
      <w:r w:rsidR="00B568B6" w:rsidRPr="00382917">
        <w:t>Lesney</w:t>
      </w:r>
      <w:proofErr w:type="spellEnd"/>
      <w:r w:rsidR="00B568B6" w:rsidRPr="00382917">
        <w:t>,</w:t>
      </w:r>
      <w:r w:rsidR="00EE4FC3">
        <w:t xml:space="preserve"> </w:t>
      </w:r>
      <w:r w:rsidR="00B568B6" w:rsidRPr="00382917">
        <w:t>famous</w:t>
      </w:r>
      <w:r w:rsidR="00EE4FC3">
        <w:t xml:space="preserve"> </w:t>
      </w:r>
      <w:r w:rsidR="00B568B6" w:rsidRPr="00382917">
        <w:t>scholar</w:t>
      </w:r>
      <w:r w:rsidR="00C03C91">
        <w:t>:</w:t>
      </w:r>
      <w:r w:rsidR="00EE4FC3">
        <w:t xml:space="preserve">  </w:t>
      </w:r>
      <w:r w:rsidR="009C713D" w:rsidRPr="00382917">
        <w:t>“</w:t>
      </w:r>
      <w:r w:rsidR="00B568B6" w:rsidRPr="00382917">
        <w:t>Bahá</w:t>
      </w:r>
      <w:r w:rsidR="009C713D" w:rsidRPr="00382917">
        <w:t>’</w:t>
      </w:r>
      <w:r w:rsidR="00B568B6" w:rsidRPr="00382917">
        <w:t>u</w:t>
      </w:r>
      <w:r w:rsidR="009C713D" w:rsidRPr="00382917">
        <w:t>’</w:t>
      </w:r>
      <w:r w:rsidR="00B568B6" w:rsidRPr="00382917">
        <w:t>lláh</w:t>
      </w:r>
      <w:r w:rsidR="00EE4FC3">
        <w:t xml:space="preserve"> </w:t>
      </w:r>
      <w:r w:rsidR="00B568B6" w:rsidRPr="00382917">
        <w:t>is</w:t>
      </w:r>
      <w:r w:rsidR="00EE4FC3">
        <w:t xml:space="preserve"> </w:t>
      </w:r>
      <w:r w:rsidR="00B568B6" w:rsidRPr="00382917">
        <w:t>a</w:t>
      </w:r>
      <w:r w:rsidR="00EE4FC3">
        <w:t xml:space="preserve"> </w:t>
      </w:r>
      <w:proofErr w:type="spellStart"/>
      <w:r w:rsidR="00B568B6" w:rsidRPr="00382917">
        <w:t>Savior</w:t>
      </w:r>
      <w:proofErr w:type="spellEnd"/>
      <w:r w:rsidR="00EE4FC3">
        <w:t xml:space="preserve"> </w:t>
      </w:r>
      <w:r w:rsidR="00B568B6" w:rsidRPr="00382917">
        <w:t>of</w:t>
      </w:r>
      <w:r w:rsidR="00EE4FC3">
        <w:t xml:space="preserve"> </w:t>
      </w:r>
      <w:r w:rsidR="00B568B6" w:rsidRPr="00382917">
        <w:t>the</w:t>
      </w:r>
      <w:r w:rsidR="00EE4FC3">
        <w:t xml:space="preserve"> </w:t>
      </w:r>
      <w:r w:rsidR="00B568B6" w:rsidRPr="00382917">
        <w:t>Twentieth</w:t>
      </w:r>
      <w:r w:rsidR="00EE4FC3">
        <w:t xml:space="preserve"> </w:t>
      </w:r>
      <w:r w:rsidR="00B568B6" w:rsidRPr="00382917">
        <w:t>Century.</w:t>
      </w:r>
      <w:r w:rsidR="009C713D" w:rsidRPr="00382917">
        <w:t>”</w:t>
      </w:r>
    </w:p>
    <w:p w:rsidR="00B568B6" w:rsidRPr="00382917" w:rsidRDefault="009C713D" w:rsidP="00216B5C">
      <w:pPr>
        <w:pStyle w:val="Quote"/>
      </w:pPr>
      <w:r w:rsidRPr="00382917">
        <w:t>“</w:t>
      </w:r>
      <w:r w:rsidR="00B568B6" w:rsidRPr="00382917">
        <w:t>The</w:t>
      </w:r>
      <w:r w:rsidR="00EE4FC3">
        <w:t xml:space="preserve"> </w:t>
      </w:r>
      <w:r w:rsidR="00B568B6" w:rsidRPr="00382917">
        <w:t>time</w:t>
      </w:r>
      <w:r w:rsidR="00EE4FC3">
        <w:t xml:space="preserve"> </w:t>
      </w:r>
      <w:proofErr w:type="spellStart"/>
      <w:r w:rsidR="00B568B6" w:rsidRPr="00382917">
        <w:t>fore</w:t>
      </w:r>
      <w:proofErr w:type="spellEnd"/>
      <w:r w:rsidR="00B568B6" w:rsidRPr="00382917">
        <w:t>-ordained</w:t>
      </w:r>
      <w:r w:rsidR="00EE4FC3">
        <w:t xml:space="preserve"> </w:t>
      </w:r>
      <w:r w:rsidR="00B568B6" w:rsidRPr="00382917">
        <w:t>unto</w:t>
      </w:r>
      <w:r w:rsidR="00EE4FC3">
        <w:t xml:space="preserve"> </w:t>
      </w:r>
      <w:r w:rsidR="00B568B6" w:rsidRPr="00382917">
        <w:t>the</w:t>
      </w:r>
      <w:r w:rsidR="00EE4FC3">
        <w:t xml:space="preserve"> </w:t>
      </w:r>
      <w:r w:rsidR="00B568B6" w:rsidRPr="00382917">
        <w:t>peoples</w:t>
      </w:r>
      <w:r w:rsidR="00EE4FC3">
        <w:t xml:space="preserve"> </w:t>
      </w:r>
      <w:r w:rsidR="00B568B6" w:rsidRPr="00382917">
        <w:t>and</w:t>
      </w:r>
      <w:r w:rsidR="00EE4FC3">
        <w:t xml:space="preserve"> </w:t>
      </w:r>
      <w:proofErr w:type="spellStart"/>
      <w:r w:rsidR="00B568B6" w:rsidRPr="00382917">
        <w:t>kindreds</w:t>
      </w:r>
      <w:proofErr w:type="spellEnd"/>
      <w:r w:rsidR="00EE4FC3">
        <w:t xml:space="preserve"> </w:t>
      </w:r>
      <w:r w:rsidR="00B568B6" w:rsidRPr="00382917">
        <w:t>of</w:t>
      </w:r>
      <w:r w:rsidR="00EE4FC3">
        <w:t xml:space="preserve"> </w:t>
      </w:r>
      <w:r w:rsidR="00B568B6" w:rsidRPr="00382917">
        <w:t>the</w:t>
      </w:r>
      <w:r w:rsidR="00EE4FC3">
        <w:t xml:space="preserve"> </w:t>
      </w:r>
      <w:r w:rsidR="00B568B6" w:rsidRPr="00382917">
        <w:t>earth</w:t>
      </w:r>
      <w:r w:rsidR="00EE4FC3">
        <w:t xml:space="preserve"> </w:t>
      </w:r>
      <w:r w:rsidR="00B568B6" w:rsidRPr="00382917">
        <w:t>is</w:t>
      </w:r>
      <w:r w:rsidR="00EE4FC3">
        <w:t xml:space="preserve"> </w:t>
      </w:r>
      <w:r w:rsidR="00B568B6" w:rsidRPr="00382917">
        <w:t>now</w:t>
      </w:r>
      <w:r w:rsidR="00EE4FC3">
        <w:t xml:space="preserve"> </w:t>
      </w:r>
      <w:r w:rsidR="00B568B6" w:rsidRPr="00382917">
        <w:t>come</w:t>
      </w:r>
      <w:r w:rsidR="00F267E4">
        <w:t>.</w:t>
      </w:r>
      <w:r w:rsidR="00EE4FC3">
        <w:t xml:space="preserve">  </w:t>
      </w:r>
      <w:r w:rsidR="00B568B6" w:rsidRPr="00382917">
        <w:t>The</w:t>
      </w:r>
      <w:r w:rsidR="00EE4FC3">
        <w:t xml:space="preserve"> </w:t>
      </w:r>
      <w:r w:rsidR="00B568B6" w:rsidRPr="00382917">
        <w:t>promises</w:t>
      </w:r>
      <w:r w:rsidR="00EE4FC3">
        <w:t xml:space="preserve"> </w:t>
      </w:r>
      <w:r w:rsidR="00B568B6" w:rsidRPr="00382917">
        <w:t>of</w:t>
      </w:r>
      <w:r w:rsidR="00EE4FC3">
        <w:t xml:space="preserve"> </w:t>
      </w:r>
      <w:r w:rsidR="00B568B6" w:rsidRPr="00382917">
        <w:t>God,</w:t>
      </w:r>
      <w:r w:rsidR="00EE4FC3">
        <w:t xml:space="preserve"> </w:t>
      </w:r>
      <w:r w:rsidR="00B568B6" w:rsidRPr="00382917">
        <w:t>as</w:t>
      </w:r>
      <w:r w:rsidR="00EE4FC3">
        <w:t xml:space="preserve"> </w:t>
      </w:r>
      <w:r w:rsidR="00B568B6" w:rsidRPr="00382917">
        <w:t>recorded</w:t>
      </w:r>
      <w:r w:rsidR="00EE4FC3">
        <w:t xml:space="preserve"> </w:t>
      </w:r>
      <w:r w:rsidR="00B568B6" w:rsidRPr="00382917">
        <w:t>in</w:t>
      </w:r>
      <w:r w:rsidR="00EE4FC3">
        <w:t xml:space="preserve"> </w:t>
      </w:r>
      <w:r w:rsidR="00B568B6" w:rsidRPr="00382917">
        <w:t>the</w:t>
      </w:r>
      <w:r w:rsidR="00EE4FC3">
        <w:t xml:space="preserve"> </w:t>
      </w:r>
      <w:r w:rsidR="00B568B6" w:rsidRPr="00382917">
        <w:t>holy</w:t>
      </w:r>
      <w:r w:rsidR="00EE4FC3">
        <w:t xml:space="preserve"> </w:t>
      </w:r>
      <w:r w:rsidR="00B568B6" w:rsidRPr="00382917">
        <w:t>Scriptures,</w:t>
      </w:r>
      <w:r w:rsidR="00EE4FC3">
        <w:t xml:space="preserve"> </w:t>
      </w:r>
      <w:r w:rsidR="00B568B6" w:rsidRPr="00382917">
        <w:t>have</w:t>
      </w:r>
      <w:r w:rsidR="00EE4FC3">
        <w:t xml:space="preserve"> </w:t>
      </w:r>
      <w:r w:rsidR="00B568B6" w:rsidRPr="00382917">
        <w:t>all</w:t>
      </w:r>
      <w:r w:rsidR="00EE4FC3">
        <w:t xml:space="preserve"> </w:t>
      </w:r>
      <w:r w:rsidR="00B568B6" w:rsidRPr="00382917">
        <w:t>been</w:t>
      </w:r>
      <w:r w:rsidR="00EE4FC3">
        <w:t xml:space="preserve"> </w:t>
      </w:r>
      <w:r w:rsidR="00B568B6" w:rsidRPr="00382917">
        <w:t>fulfilled.</w:t>
      </w:r>
      <w:r w:rsidRPr="00382917">
        <w:t>”</w:t>
      </w:r>
      <w:r w:rsidR="00853187">
        <w:t xml:space="preserve"> </w:t>
      </w:r>
      <w:r w:rsidR="00EE4FC3">
        <w:t xml:space="preserve"> </w:t>
      </w:r>
      <w:proofErr w:type="gramStart"/>
      <w:r w:rsidRPr="00382917">
        <w:t>“</w:t>
      </w:r>
      <w:proofErr w:type="gramEnd"/>
      <w:r w:rsidR="00B568B6" w:rsidRPr="00382917">
        <w:t>The</w:t>
      </w:r>
      <w:r w:rsidR="00EE4FC3">
        <w:t xml:space="preserve"> </w:t>
      </w:r>
      <w:r w:rsidR="00B568B6" w:rsidRPr="00382917">
        <w:t>Lord</w:t>
      </w:r>
      <w:r w:rsidR="00EE4FC3">
        <w:t xml:space="preserve"> </w:t>
      </w:r>
      <w:r w:rsidR="00B568B6" w:rsidRPr="00382917">
        <w:t>is</w:t>
      </w:r>
      <w:r w:rsidR="00EE4FC3">
        <w:t xml:space="preserve"> </w:t>
      </w:r>
      <w:r w:rsidR="00B568B6" w:rsidRPr="00382917">
        <w:t>come</w:t>
      </w:r>
      <w:r w:rsidR="00EE4FC3">
        <w:t xml:space="preserve"> </w:t>
      </w:r>
      <w:r w:rsidR="00B568B6" w:rsidRPr="00382917">
        <w:t>in</w:t>
      </w:r>
      <w:r w:rsidR="00EE4FC3">
        <w:t xml:space="preserve"> </w:t>
      </w:r>
      <w:r w:rsidR="00B568B6" w:rsidRPr="00382917">
        <w:t>His</w:t>
      </w:r>
      <w:r w:rsidR="00EE4FC3">
        <w:t xml:space="preserve"> </w:t>
      </w:r>
      <w:r w:rsidR="00B568B6" w:rsidRPr="00382917">
        <w:t>great</w:t>
      </w:r>
      <w:r w:rsidR="00EE4FC3">
        <w:t xml:space="preserve"> </w:t>
      </w:r>
      <w:r w:rsidR="00B568B6" w:rsidRPr="00382917">
        <w:t>glory!</w:t>
      </w:r>
      <w:r w:rsidRPr="00382917">
        <w:t>”</w:t>
      </w:r>
      <w:r w:rsidR="00AE4713">
        <w:t xml:space="preserve"> </w:t>
      </w:r>
      <w:r w:rsidR="00EE4FC3">
        <w:t xml:space="preserve"> </w:t>
      </w:r>
      <w:proofErr w:type="gramStart"/>
      <w:r w:rsidRPr="00382917">
        <w:t>“</w:t>
      </w:r>
      <w:proofErr w:type="gramEnd"/>
      <w:r w:rsidR="00B568B6" w:rsidRPr="00382917">
        <w:t>He,</w:t>
      </w:r>
      <w:r w:rsidR="00EE4FC3">
        <w:t xml:space="preserve"> </w:t>
      </w:r>
      <w:r w:rsidR="00B568B6" w:rsidRPr="00382917">
        <w:t>verily,</w:t>
      </w:r>
      <w:r w:rsidR="00EE4FC3">
        <w:t xml:space="preserve"> </w:t>
      </w:r>
      <w:r w:rsidR="00B568B6" w:rsidRPr="00382917">
        <w:t>is</w:t>
      </w:r>
      <w:r w:rsidR="00EE4FC3">
        <w:t xml:space="preserve"> </w:t>
      </w:r>
      <w:r w:rsidR="00B568B6" w:rsidRPr="00382917">
        <w:t>the</w:t>
      </w:r>
      <w:r w:rsidR="00EE4FC3">
        <w:t xml:space="preserve"> </w:t>
      </w:r>
      <w:r w:rsidR="00B568B6" w:rsidRPr="00382917">
        <w:t>One</w:t>
      </w:r>
      <w:r w:rsidR="00EE4FC3">
        <w:t xml:space="preserve"> </w:t>
      </w:r>
      <w:r w:rsidR="00B568B6" w:rsidRPr="00382917">
        <w:t>Whom</w:t>
      </w:r>
      <w:r w:rsidR="00EE4FC3">
        <w:t xml:space="preserve"> </w:t>
      </w:r>
      <w:r w:rsidR="00B568B6" w:rsidRPr="00382917">
        <w:t>ye</w:t>
      </w:r>
      <w:r w:rsidR="00EE4FC3">
        <w:t xml:space="preserve"> </w:t>
      </w:r>
      <w:r w:rsidR="00B568B6" w:rsidRPr="00382917">
        <w:t>were</w:t>
      </w:r>
      <w:r w:rsidR="00EE4FC3">
        <w:t xml:space="preserve"> </w:t>
      </w:r>
      <w:r w:rsidR="00B568B6" w:rsidRPr="00382917">
        <w:t>promised</w:t>
      </w:r>
      <w:r w:rsidR="00EE4FC3">
        <w:t xml:space="preserve"> </w:t>
      </w:r>
      <w:r w:rsidR="00B568B6" w:rsidRPr="00382917">
        <w:t>in</w:t>
      </w:r>
      <w:r w:rsidR="00EE4FC3">
        <w:t xml:space="preserve"> </w:t>
      </w:r>
      <w:r w:rsidR="00B568B6" w:rsidRPr="00382917">
        <w:t>the</w:t>
      </w:r>
      <w:r w:rsidR="00EE4FC3">
        <w:t xml:space="preserve"> </w:t>
      </w:r>
      <w:r w:rsidR="00B568B6" w:rsidRPr="00382917">
        <w:t>Books</w:t>
      </w:r>
      <w:r w:rsidR="00EE4FC3">
        <w:t xml:space="preserve"> </w:t>
      </w:r>
      <w:r w:rsidR="00B568B6" w:rsidRPr="00382917">
        <w:t>of</w:t>
      </w:r>
      <w:r w:rsidR="00EE4FC3">
        <w:t xml:space="preserve"> </w:t>
      </w:r>
      <w:r w:rsidR="00B568B6" w:rsidRPr="00382917">
        <w:t>God</w:t>
      </w:r>
      <w:r w:rsidR="00216B5C">
        <w:t xml:space="preserve"> …</w:t>
      </w:r>
      <w:r w:rsidR="00F267E4">
        <w:t>.</w:t>
      </w:r>
      <w:r w:rsidR="00EE4FC3">
        <w:t xml:space="preserve">  </w:t>
      </w:r>
      <w:r w:rsidR="00B568B6" w:rsidRPr="00382917">
        <w:t>How</w:t>
      </w:r>
      <w:r w:rsidR="00EE4FC3">
        <w:t xml:space="preserve"> </w:t>
      </w:r>
      <w:r w:rsidR="00B568B6" w:rsidRPr="00382917">
        <w:t>long</w:t>
      </w:r>
      <w:r w:rsidR="00EE4FC3">
        <w:t xml:space="preserve"> </w:t>
      </w:r>
      <w:r w:rsidR="00B568B6" w:rsidRPr="00382917">
        <w:t>will</w:t>
      </w:r>
      <w:r w:rsidR="00EE4FC3">
        <w:t xml:space="preserve"> </w:t>
      </w:r>
      <w:r w:rsidR="00B568B6" w:rsidRPr="00382917">
        <w:t>ye</w:t>
      </w:r>
      <w:r w:rsidR="00EE4FC3">
        <w:t xml:space="preserve"> </w:t>
      </w:r>
      <w:r w:rsidR="00B568B6" w:rsidRPr="00382917">
        <w:t>wander</w:t>
      </w:r>
      <w:r w:rsidR="00EE4FC3">
        <w:t xml:space="preserve"> </w:t>
      </w:r>
      <w:r w:rsidR="00B568B6" w:rsidRPr="00382917">
        <w:t>in</w:t>
      </w:r>
      <w:r w:rsidR="00EE4FC3">
        <w:t xml:space="preserve"> </w:t>
      </w:r>
      <w:r w:rsidR="00B568B6" w:rsidRPr="00382917">
        <w:t>the</w:t>
      </w:r>
      <w:r w:rsidR="00EE4FC3">
        <w:t xml:space="preserve"> </w:t>
      </w:r>
      <w:r w:rsidR="00B568B6" w:rsidRPr="00382917">
        <w:t>wilderness</w:t>
      </w:r>
      <w:r w:rsidR="00EE4FC3">
        <w:t xml:space="preserve"> </w:t>
      </w:r>
      <w:r w:rsidR="00B568B6" w:rsidRPr="00382917">
        <w:t>of</w:t>
      </w:r>
      <w:r w:rsidR="00EE4FC3">
        <w:t xml:space="preserve"> </w:t>
      </w:r>
      <w:r w:rsidR="00B568B6" w:rsidRPr="00382917">
        <w:t>heedlessness</w:t>
      </w:r>
      <w:r w:rsidR="00EE4FC3">
        <w:t xml:space="preserve"> </w:t>
      </w:r>
      <w:r w:rsidR="00B568B6" w:rsidRPr="00382917">
        <w:t>and</w:t>
      </w:r>
      <w:r w:rsidR="00EE4FC3">
        <w:t xml:space="preserve"> </w:t>
      </w:r>
      <w:r w:rsidR="00B568B6" w:rsidRPr="00382917">
        <w:t>superstition</w:t>
      </w:r>
      <w:r w:rsidR="00216B5C">
        <w:t>?</w:t>
      </w:r>
      <w:r w:rsidR="00EE4FC3">
        <w:t xml:space="preserve">  </w:t>
      </w:r>
      <w:r w:rsidR="00B568B6" w:rsidRPr="00382917">
        <w:t>Turn</w:t>
      </w:r>
      <w:r w:rsidR="00EE4FC3">
        <w:t xml:space="preserve"> </w:t>
      </w:r>
      <w:r w:rsidR="00B568B6" w:rsidRPr="00382917">
        <w:t>your</w:t>
      </w:r>
      <w:r w:rsidR="00EE4FC3">
        <w:t xml:space="preserve"> </w:t>
      </w:r>
      <w:r w:rsidR="00B568B6" w:rsidRPr="00382917">
        <w:t>hearts</w:t>
      </w:r>
      <w:r w:rsidR="00EE4FC3">
        <w:t xml:space="preserve"> </w:t>
      </w:r>
      <w:r w:rsidR="00B568B6" w:rsidRPr="00382917">
        <w:t>in</w:t>
      </w:r>
      <w:r w:rsidR="00EE4FC3">
        <w:t xml:space="preserve"> </w:t>
      </w:r>
      <w:r w:rsidR="00B568B6" w:rsidRPr="00382917">
        <w:t>the</w:t>
      </w:r>
      <w:r w:rsidR="00EE4FC3">
        <w:t xml:space="preserve"> </w:t>
      </w:r>
      <w:r w:rsidR="00B568B6" w:rsidRPr="00382917">
        <w:t>direction</w:t>
      </w:r>
      <w:r w:rsidR="00EE4FC3">
        <w:t xml:space="preserve"> </w:t>
      </w:r>
      <w:r w:rsidR="00B568B6" w:rsidRPr="00382917">
        <w:t>of</w:t>
      </w:r>
      <w:r w:rsidR="00EE4FC3">
        <w:t xml:space="preserve"> </w:t>
      </w:r>
      <w:r w:rsidR="00B568B6" w:rsidRPr="00382917">
        <w:t>your</w:t>
      </w:r>
      <w:r w:rsidR="00EE4FC3">
        <w:t xml:space="preserve"> </w:t>
      </w:r>
      <w:r w:rsidR="00B568B6" w:rsidRPr="00382917">
        <w:t>Lord,</w:t>
      </w:r>
      <w:r w:rsidR="00EE4FC3">
        <w:t xml:space="preserve"> </w:t>
      </w:r>
      <w:r w:rsidR="00B568B6" w:rsidRPr="00382917">
        <w:t>the</w:t>
      </w:r>
      <w:r w:rsidR="00EE4FC3">
        <w:t xml:space="preserve"> </w:t>
      </w:r>
      <w:r w:rsidR="00B568B6" w:rsidRPr="00382917">
        <w:t>Forgiving,</w:t>
      </w:r>
      <w:r w:rsidR="00EE4FC3">
        <w:t xml:space="preserve"> </w:t>
      </w:r>
      <w:proofErr w:type="gramStart"/>
      <w:r w:rsidR="00B568B6" w:rsidRPr="00382917">
        <w:t>the</w:t>
      </w:r>
      <w:proofErr w:type="gramEnd"/>
      <w:r w:rsidR="00EE4FC3">
        <w:t xml:space="preserve"> </w:t>
      </w:r>
      <w:r w:rsidR="00B568B6" w:rsidRPr="00382917">
        <w:t>Generous.</w:t>
      </w:r>
      <w:r w:rsidRPr="00382917">
        <w:t>”</w:t>
      </w:r>
      <w:r w:rsidR="00216B5C">
        <w:rPr>
          <w:rStyle w:val="FootnoteReference"/>
        </w:rPr>
        <w:footnoteReference w:id="411"/>
      </w:r>
    </w:p>
    <w:p w:rsidR="00B568B6" w:rsidRPr="00382917" w:rsidRDefault="009C713D" w:rsidP="00216B5C">
      <w:pPr>
        <w:pStyle w:val="Quote"/>
      </w:pPr>
      <w:r w:rsidRPr="00382917">
        <w:t>“</w:t>
      </w:r>
      <w:r w:rsidR="00B568B6" w:rsidRPr="00382917">
        <w:t>Every</w:t>
      </w:r>
      <w:r w:rsidR="00EE4FC3">
        <w:t xml:space="preserve"> </w:t>
      </w:r>
      <w:r w:rsidR="00B568B6" w:rsidRPr="00382917">
        <w:t>Prophet</w:t>
      </w:r>
      <w:r w:rsidR="00EE4FC3">
        <w:t xml:space="preserve"> </w:t>
      </w:r>
      <w:r w:rsidR="00B568B6" w:rsidRPr="00382917">
        <w:t>hath</w:t>
      </w:r>
      <w:r w:rsidR="00EE4FC3">
        <w:t xml:space="preserve"> </w:t>
      </w:r>
      <w:r w:rsidR="00B568B6" w:rsidRPr="00382917">
        <w:t>announced</w:t>
      </w:r>
      <w:r w:rsidR="00EE4FC3">
        <w:t xml:space="preserve"> </w:t>
      </w:r>
      <w:r w:rsidR="00B568B6" w:rsidRPr="00382917">
        <w:t>the</w:t>
      </w:r>
      <w:r w:rsidR="00EE4FC3">
        <w:t xml:space="preserve"> </w:t>
      </w:r>
      <w:r w:rsidR="00B568B6" w:rsidRPr="00382917">
        <w:t>coming</w:t>
      </w:r>
      <w:r w:rsidR="00EE4FC3">
        <w:t xml:space="preserve"> </w:t>
      </w:r>
      <w:r w:rsidR="00B568B6" w:rsidRPr="00382917">
        <w:t>of</w:t>
      </w:r>
      <w:r w:rsidR="00EE4FC3">
        <w:t xml:space="preserve"> </w:t>
      </w:r>
      <w:r w:rsidR="00B568B6" w:rsidRPr="00382917">
        <w:t>this</w:t>
      </w:r>
      <w:r w:rsidR="00EE4FC3">
        <w:t xml:space="preserve"> </w:t>
      </w:r>
      <w:r w:rsidR="00B568B6" w:rsidRPr="00382917">
        <w:t>day</w:t>
      </w:r>
      <w:r w:rsidR="00EE4FC3">
        <w:t xml:space="preserve"> </w:t>
      </w:r>
      <w:r w:rsidR="00F04416" w:rsidRPr="00382917">
        <w:t>…</w:t>
      </w:r>
      <w:r w:rsidR="00216B5C">
        <w:t xml:space="preserve">. </w:t>
      </w:r>
      <w:r w:rsidR="00EE4FC3">
        <w:t xml:space="preserve"> </w:t>
      </w:r>
      <w:r w:rsidRPr="00382917">
        <w:t>“</w:t>
      </w:r>
      <w:r w:rsidR="00B568B6" w:rsidRPr="00382917">
        <w:t>This</w:t>
      </w:r>
      <w:r w:rsidR="00EE4FC3">
        <w:t xml:space="preserve"> </w:t>
      </w:r>
      <w:r w:rsidR="00B568B6" w:rsidRPr="00382917">
        <w:t>Day</w:t>
      </w:r>
      <w:r w:rsidR="00EE4FC3">
        <w:t xml:space="preserve"> </w:t>
      </w:r>
      <w:r w:rsidR="00B568B6" w:rsidRPr="00382917">
        <w:t>is</w:t>
      </w:r>
      <w:r w:rsidR="00EE4FC3">
        <w:t xml:space="preserve"> </w:t>
      </w:r>
      <w:r w:rsidR="00B568B6" w:rsidRPr="00382917">
        <w:t>God</w:t>
      </w:r>
      <w:r w:rsidRPr="00382917">
        <w:t>’</w:t>
      </w:r>
      <w:r w:rsidR="00B568B6" w:rsidRPr="00382917">
        <w:t>s</w:t>
      </w:r>
      <w:r w:rsidR="00EE4FC3">
        <w:t xml:space="preserve"> </w:t>
      </w:r>
      <w:r w:rsidR="00B568B6" w:rsidRPr="00382917">
        <w:t>Day</w:t>
      </w:r>
      <w:r w:rsidR="00EE4FC3">
        <w:t xml:space="preserve"> </w:t>
      </w:r>
      <w:r w:rsidR="00F04416" w:rsidRPr="00382917">
        <w:t>…</w:t>
      </w:r>
      <w:r w:rsidR="00216B5C">
        <w:t xml:space="preserve">. </w:t>
      </w:r>
      <w:r w:rsidR="00EE4FC3">
        <w:t xml:space="preserve"> </w:t>
      </w:r>
      <w:r w:rsidR="00B568B6" w:rsidRPr="00382917">
        <w:t>Happy</w:t>
      </w:r>
      <w:r w:rsidR="00EE4FC3">
        <w:t xml:space="preserve"> </w:t>
      </w:r>
      <w:r w:rsidR="00B568B6" w:rsidRPr="00382917">
        <w:t>is</w:t>
      </w:r>
      <w:r w:rsidR="00EE4FC3">
        <w:t xml:space="preserve"> </w:t>
      </w:r>
      <w:r w:rsidR="00B568B6" w:rsidRPr="00382917">
        <w:t>he</w:t>
      </w:r>
      <w:r w:rsidR="00EE4FC3">
        <w:t xml:space="preserve"> </w:t>
      </w:r>
      <w:r w:rsidR="00B568B6" w:rsidRPr="00382917">
        <w:t>who</w:t>
      </w:r>
      <w:r w:rsidR="00EE4FC3">
        <w:t xml:space="preserve"> </w:t>
      </w:r>
      <w:r w:rsidR="00B568B6" w:rsidRPr="00382917">
        <w:t>hath</w:t>
      </w:r>
      <w:r w:rsidR="00EE4FC3">
        <w:t xml:space="preserve"> </w:t>
      </w:r>
      <w:r w:rsidR="00B568B6" w:rsidRPr="00382917">
        <w:t>renounced</w:t>
      </w:r>
      <w:r w:rsidR="00EE4FC3">
        <w:t xml:space="preserve"> </w:t>
      </w:r>
      <w:r w:rsidR="00B568B6" w:rsidRPr="00382917">
        <w:t>this</w:t>
      </w:r>
      <w:r w:rsidR="00EE4FC3">
        <w:t xml:space="preserve"> </w:t>
      </w:r>
      <w:r w:rsidR="00B568B6" w:rsidRPr="00382917">
        <w:t>world,</w:t>
      </w:r>
      <w:r w:rsidR="00EE4FC3">
        <w:t xml:space="preserve"> </w:t>
      </w:r>
      <w:r w:rsidR="00B568B6" w:rsidRPr="00382917">
        <w:t>and</w:t>
      </w:r>
      <w:r w:rsidR="00EE4FC3">
        <w:t xml:space="preserve"> </w:t>
      </w:r>
      <w:r w:rsidR="00B568B6" w:rsidRPr="00382917">
        <w:t>clung</w:t>
      </w:r>
      <w:r w:rsidR="00EE4FC3">
        <w:t xml:space="preserve"> </w:t>
      </w:r>
      <w:r w:rsidR="00B568B6" w:rsidRPr="00382917">
        <w:t>to</w:t>
      </w:r>
      <w:r w:rsidR="00EE4FC3">
        <w:t xml:space="preserve"> </w:t>
      </w:r>
      <w:r w:rsidR="00B568B6" w:rsidRPr="00382917">
        <w:t>Him</w:t>
      </w:r>
      <w:r w:rsidR="00216B5C">
        <w:t xml:space="preserve"> </w:t>
      </w:r>
      <w:r w:rsidR="00F04416" w:rsidRPr="00382917">
        <w:t>…</w:t>
      </w:r>
      <w:r w:rsidR="00B568B6" w:rsidRPr="00382917">
        <w:t>.</w:t>
      </w:r>
      <w:r w:rsidRPr="00382917">
        <w:t>”</w:t>
      </w:r>
      <w:r w:rsidR="00216B5C">
        <w:rPr>
          <w:rStyle w:val="FootnoteReference"/>
        </w:rPr>
        <w:footnoteReference w:id="412"/>
      </w:r>
    </w:p>
    <w:p w:rsidR="00B568B6" w:rsidRPr="00382917" w:rsidRDefault="009C713D" w:rsidP="00216B5C">
      <w:pPr>
        <w:pStyle w:val="Quote"/>
      </w:pPr>
      <w:r w:rsidRPr="00382917">
        <w:t>“</w:t>
      </w:r>
      <w:r w:rsidR="00B568B6" w:rsidRPr="00382917">
        <w:t>Bestir</w:t>
      </w:r>
      <w:r w:rsidR="00EE4FC3">
        <w:t xml:space="preserve"> </w:t>
      </w:r>
      <w:r w:rsidR="00B568B6" w:rsidRPr="00382917">
        <w:t>yourselves,</w:t>
      </w:r>
      <w:r w:rsidR="00EE4FC3">
        <w:t xml:space="preserve"> </w:t>
      </w:r>
      <w:r w:rsidR="00B568B6" w:rsidRPr="00382917">
        <w:t>O</w:t>
      </w:r>
      <w:r w:rsidR="00EE4FC3">
        <w:t xml:space="preserve"> </w:t>
      </w:r>
      <w:proofErr w:type="gramStart"/>
      <w:r w:rsidR="00B568B6" w:rsidRPr="00382917">
        <w:t>people,</w:t>
      </w:r>
      <w:r w:rsidR="00EE4FC3">
        <w:t xml:space="preserve"> </w:t>
      </w:r>
      <w:r w:rsidR="00F04416" w:rsidRPr="00382917">
        <w:t>…</w:t>
      </w:r>
      <w:proofErr w:type="gramEnd"/>
      <w:r w:rsidR="00EE4FC3">
        <w:t xml:space="preserve"> </w:t>
      </w:r>
      <w:r w:rsidR="00B568B6" w:rsidRPr="00382917">
        <w:t>for</w:t>
      </w:r>
      <w:r w:rsidR="00EE4FC3">
        <w:t xml:space="preserve"> </w:t>
      </w:r>
      <w:r w:rsidR="00B568B6" w:rsidRPr="00382917">
        <w:t>the</w:t>
      </w:r>
      <w:r w:rsidR="00EE4FC3">
        <w:t xml:space="preserve"> </w:t>
      </w:r>
      <w:r w:rsidR="00B568B6" w:rsidRPr="00382917">
        <w:t>promised</w:t>
      </w:r>
      <w:r w:rsidR="00EE4FC3">
        <w:t xml:space="preserve"> </w:t>
      </w:r>
      <w:r w:rsidR="00B568B6" w:rsidRPr="00382917">
        <w:t>hour</w:t>
      </w:r>
      <w:r w:rsidR="00EE4FC3">
        <w:t xml:space="preserve"> </w:t>
      </w:r>
      <w:r w:rsidR="00B568B6" w:rsidRPr="00382917">
        <w:t>is</w:t>
      </w:r>
      <w:r w:rsidR="00EE4FC3">
        <w:t xml:space="preserve"> </w:t>
      </w:r>
      <w:r w:rsidR="00B568B6" w:rsidRPr="00382917">
        <w:t>now</w:t>
      </w:r>
      <w:r w:rsidR="00EE4FC3">
        <w:t xml:space="preserve"> </w:t>
      </w:r>
      <w:r w:rsidR="00B568B6" w:rsidRPr="00382917">
        <w:t>come</w:t>
      </w:r>
      <w:r w:rsidR="00F267E4">
        <w:t>.</w:t>
      </w:r>
      <w:r w:rsidR="00EE4FC3">
        <w:t xml:space="preserve">  </w:t>
      </w:r>
      <w:r w:rsidR="00B568B6" w:rsidRPr="00382917">
        <w:t>Beware</w:t>
      </w:r>
      <w:r w:rsidR="00EE4FC3">
        <w:t xml:space="preserve"> </w:t>
      </w:r>
      <w:r w:rsidR="00B568B6" w:rsidRPr="00382917">
        <w:t>lest</w:t>
      </w:r>
      <w:r w:rsidR="00EE4FC3">
        <w:t xml:space="preserve"> </w:t>
      </w:r>
      <w:r w:rsidR="00B568B6" w:rsidRPr="00382917">
        <w:t>ye</w:t>
      </w:r>
      <w:r w:rsidR="00EE4FC3">
        <w:t xml:space="preserve"> </w:t>
      </w:r>
      <w:r w:rsidR="00B568B6" w:rsidRPr="00382917">
        <w:t>fail</w:t>
      </w:r>
      <w:r w:rsidR="00EE4FC3">
        <w:t xml:space="preserve"> </w:t>
      </w:r>
      <w:r w:rsidR="00B568B6" w:rsidRPr="00382917">
        <w:t>to</w:t>
      </w:r>
      <w:r w:rsidR="00EE4FC3">
        <w:t xml:space="preserve"> </w:t>
      </w:r>
      <w:r w:rsidR="00B568B6" w:rsidRPr="00382917">
        <w:t>apprehend</w:t>
      </w:r>
      <w:r w:rsidR="00EE4FC3">
        <w:t xml:space="preserve"> </w:t>
      </w:r>
      <w:r w:rsidR="00B568B6" w:rsidRPr="00382917">
        <w:t>its</w:t>
      </w:r>
      <w:r w:rsidR="00EE4FC3">
        <w:t xml:space="preserve"> </w:t>
      </w:r>
      <w:r w:rsidR="00B568B6" w:rsidRPr="00382917">
        <w:t>import</w:t>
      </w:r>
      <w:r w:rsidR="00F04416" w:rsidRPr="00382917">
        <w:t>…</w:t>
      </w:r>
      <w:r w:rsidR="00B568B6" w:rsidRPr="00382917">
        <w:t>.</w:t>
      </w:r>
      <w:r w:rsidRPr="00382917">
        <w:t>”</w:t>
      </w:r>
      <w:r w:rsidR="00216B5C">
        <w:rPr>
          <w:rStyle w:val="FootnoteReference"/>
        </w:rPr>
        <w:footnoteReference w:id="413"/>
      </w:r>
    </w:p>
    <w:p w:rsidR="00B568B6" w:rsidRPr="00382917" w:rsidRDefault="009C713D" w:rsidP="00216B5C">
      <w:pPr>
        <w:pStyle w:val="Quote"/>
      </w:pPr>
      <w:r w:rsidRPr="00382917">
        <w:t>“</w:t>
      </w:r>
      <w:r w:rsidR="00B568B6" w:rsidRPr="00382917">
        <w:t>Night</w:t>
      </w:r>
      <w:r w:rsidR="00EE4FC3">
        <w:t xml:space="preserve"> </w:t>
      </w:r>
      <w:r w:rsidR="005B2C36" w:rsidRPr="00382917">
        <w:t>h</w:t>
      </w:r>
      <w:r w:rsidR="00B568B6" w:rsidRPr="00382917">
        <w:t>ath</w:t>
      </w:r>
      <w:r w:rsidR="00EE4FC3">
        <w:t xml:space="preserve"> </w:t>
      </w:r>
      <w:r w:rsidR="00B568B6" w:rsidRPr="00382917">
        <w:t>succeeded</w:t>
      </w:r>
      <w:r w:rsidR="00EE4FC3">
        <w:t xml:space="preserve"> </w:t>
      </w:r>
      <w:r w:rsidR="00B568B6" w:rsidRPr="00382917">
        <w:t>day,</w:t>
      </w:r>
      <w:r w:rsidR="00EE4FC3">
        <w:t xml:space="preserve"> </w:t>
      </w:r>
      <w:r w:rsidR="00B568B6" w:rsidRPr="00382917">
        <w:t>and</w:t>
      </w:r>
      <w:r w:rsidR="00EE4FC3">
        <w:t xml:space="preserve"> </w:t>
      </w:r>
      <w:r w:rsidR="00B568B6" w:rsidRPr="00382917">
        <w:t>day</w:t>
      </w:r>
      <w:r w:rsidR="00EE4FC3">
        <w:t xml:space="preserve"> </w:t>
      </w:r>
      <w:r w:rsidR="00B568B6" w:rsidRPr="00382917">
        <w:t>hath</w:t>
      </w:r>
      <w:r w:rsidR="00EE4FC3">
        <w:t xml:space="preserve"> </w:t>
      </w:r>
      <w:r w:rsidR="00B568B6" w:rsidRPr="00382917">
        <w:t>succeeded</w:t>
      </w:r>
      <w:r w:rsidR="00EE4FC3">
        <w:t xml:space="preserve"> </w:t>
      </w:r>
      <w:r w:rsidR="00B568B6" w:rsidRPr="00382917">
        <w:t>night,</w:t>
      </w:r>
      <w:r w:rsidR="00EE4FC3">
        <w:t xml:space="preserve"> </w:t>
      </w:r>
      <w:r w:rsidR="00B568B6" w:rsidRPr="00382917">
        <w:t>and</w:t>
      </w:r>
      <w:r w:rsidR="00EE4FC3">
        <w:t xml:space="preserve"> </w:t>
      </w:r>
      <w:r w:rsidR="00B568B6" w:rsidRPr="00382917">
        <w:t>the</w:t>
      </w:r>
      <w:r w:rsidR="00EE4FC3">
        <w:t xml:space="preserve"> </w:t>
      </w:r>
      <w:r w:rsidR="00B568B6" w:rsidRPr="00382917">
        <w:t>hours</w:t>
      </w:r>
      <w:r w:rsidR="00EE4FC3">
        <w:t xml:space="preserve"> </w:t>
      </w:r>
      <w:r w:rsidR="00B568B6" w:rsidRPr="00382917">
        <w:t>and</w:t>
      </w:r>
      <w:r w:rsidR="00EE4FC3">
        <w:t xml:space="preserve"> </w:t>
      </w:r>
      <w:r w:rsidR="00B568B6" w:rsidRPr="00382917">
        <w:t>moments</w:t>
      </w:r>
      <w:r w:rsidR="00EE4FC3">
        <w:t xml:space="preserve"> </w:t>
      </w:r>
      <w:r w:rsidR="00B568B6" w:rsidRPr="00382917">
        <w:t>of</w:t>
      </w:r>
      <w:r w:rsidR="00EE4FC3">
        <w:t xml:space="preserve"> </w:t>
      </w:r>
      <w:r w:rsidR="00B568B6" w:rsidRPr="00382917">
        <w:t>your</w:t>
      </w:r>
      <w:r w:rsidR="00EE4FC3">
        <w:t xml:space="preserve"> </w:t>
      </w:r>
      <w:r w:rsidR="00B568B6" w:rsidRPr="00382917">
        <w:t>lives</w:t>
      </w:r>
      <w:r w:rsidR="00EE4FC3">
        <w:t xml:space="preserve"> </w:t>
      </w:r>
      <w:r w:rsidR="00B568B6" w:rsidRPr="00382917">
        <w:t>have</w:t>
      </w:r>
      <w:r w:rsidR="00EE4FC3">
        <w:t xml:space="preserve"> </w:t>
      </w:r>
      <w:r w:rsidR="00B568B6" w:rsidRPr="00382917">
        <w:t>come</w:t>
      </w:r>
      <w:r w:rsidR="00EE4FC3">
        <w:t xml:space="preserve"> </w:t>
      </w:r>
      <w:r w:rsidR="00B568B6" w:rsidRPr="00382917">
        <w:t>and</w:t>
      </w:r>
      <w:r w:rsidR="00EE4FC3">
        <w:t xml:space="preserve"> </w:t>
      </w:r>
      <w:r w:rsidR="00B568B6" w:rsidRPr="00382917">
        <w:t>gone,</w:t>
      </w:r>
      <w:r w:rsidR="00EE4FC3">
        <w:t xml:space="preserve"> </w:t>
      </w:r>
      <w:r w:rsidR="00B568B6" w:rsidRPr="00382917">
        <w:t>yet</w:t>
      </w:r>
      <w:r w:rsidR="00EE4FC3">
        <w:t xml:space="preserve"> </w:t>
      </w:r>
      <w:r w:rsidR="00B568B6" w:rsidRPr="00382917">
        <w:t>none</w:t>
      </w:r>
      <w:r w:rsidR="00EE4FC3">
        <w:t xml:space="preserve"> </w:t>
      </w:r>
      <w:r w:rsidR="00B568B6" w:rsidRPr="00382917">
        <w:t>of</w:t>
      </w:r>
      <w:r w:rsidR="00EE4FC3">
        <w:t xml:space="preserve"> </w:t>
      </w:r>
      <w:r w:rsidR="00B568B6" w:rsidRPr="00382917">
        <w:t>you</w:t>
      </w:r>
      <w:r w:rsidR="00EE4FC3">
        <w:t xml:space="preserve"> </w:t>
      </w:r>
      <w:r w:rsidR="00B568B6" w:rsidRPr="00382917">
        <w:t>hath,</w:t>
      </w:r>
      <w:r w:rsidR="00EE4FC3">
        <w:t xml:space="preserve"> </w:t>
      </w:r>
      <w:r w:rsidR="00B568B6" w:rsidRPr="00382917">
        <w:t>for</w:t>
      </w:r>
      <w:r w:rsidR="00EE4FC3">
        <w:t xml:space="preserve"> </w:t>
      </w:r>
      <w:r w:rsidR="00B568B6" w:rsidRPr="00382917">
        <w:t>one</w:t>
      </w:r>
      <w:r w:rsidR="00EE4FC3">
        <w:t xml:space="preserve"> </w:t>
      </w:r>
      <w:r w:rsidR="00B568B6" w:rsidRPr="00382917">
        <w:t>instant,</w:t>
      </w:r>
      <w:r w:rsidR="00EE4FC3">
        <w:t xml:space="preserve"> </w:t>
      </w:r>
      <w:r w:rsidR="00B568B6" w:rsidRPr="00382917">
        <w:t>consented</w:t>
      </w:r>
      <w:r w:rsidR="00EE4FC3">
        <w:t xml:space="preserve"> </w:t>
      </w:r>
      <w:r w:rsidR="00B568B6" w:rsidRPr="00382917">
        <w:t>to</w:t>
      </w:r>
      <w:r w:rsidR="00EE4FC3">
        <w:t xml:space="preserve"> </w:t>
      </w:r>
      <w:r w:rsidR="00B568B6" w:rsidRPr="00382917">
        <w:t>detach</w:t>
      </w:r>
      <w:r w:rsidR="00EE4FC3">
        <w:t xml:space="preserve"> </w:t>
      </w:r>
      <w:r w:rsidR="00B568B6" w:rsidRPr="00382917">
        <w:t>yourself</w:t>
      </w:r>
      <w:r w:rsidR="00EE4FC3">
        <w:t xml:space="preserve"> </w:t>
      </w:r>
      <w:r w:rsidR="00B568B6" w:rsidRPr="00382917">
        <w:t>from</w:t>
      </w:r>
      <w:r w:rsidR="00EE4FC3">
        <w:t xml:space="preserve"> </w:t>
      </w:r>
      <w:r w:rsidR="00B568B6" w:rsidRPr="00382917">
        <w:t>that</w:t>
      </w:r>
      <w:r w:rsidR="00EE4FC3">
        <w:t xml:space="preserve"> </w:t>
      </w:r>
      <w:r w:rsidR="00B568B6" w:rsidRPr="00382917">
        <w:t>which</w:t>
      </w:r>
      <w:r w:rsidR="00EE4FC3">
        <w:t xml:space="preserve"> </w:t>
      </w:r>
      <w:proofErr w:type="spellStart"/>
      <w:r w:rsidR="00B568B6" w:rsidRPr="00382917">
        <w:t>perisheth</w:t>
      </w:r>
      <w:proofErr w:type="spellEnd"/>
      <w:r w:rsidR="00F267E4">
        <w:t>.</w:t>
      </w:r>
      <w:r w:rsidR="00EE4FC3">
        <w:t xml:space="preserve">  </w:t>
      </w:r>
      <w:r w:rsidR="00B568B6" w:rsidRPr="00382917">
        <w:t>Bestir</w:t>
      </w:r>
      <w:r w:rsidR="00EE4FC3">
        <w:t xml:space="preserve"> </w:t>
      </w:r>
      <w:r w:rsidR="00B568B6" w:rsidRPr="00382917">
        <w:t>yourselves,</w:t>
      </w:r>
      <w:r w:rsidR="00EE4FC3">
        <w:t xml:space="preserve"> </w:t>
      </w:r>
      <w:r w:rsidR="00B568B6" w:rsidRPr="00382917">
        <w:t>that</w:t>
      </w:r>
      <w:r w:rsidR="00EE4FC3">
        <w:t xml:space="preserve"> </w:t>
      </w:r>
      <w:r w:rsidR="00B568B6" w:rsidRPr="00382917">
        <w:t>the</w:t>
      </w:r>
      <w:r w:rsidR="00EE4FC3">
        <w:t xml:space="preserve"> </w:t>
      </w:r>
      <w:r w:rsidR="00B568B6" w:rsidRPr="00382917">
        <w:t>brief</w:t>
      </w:r>
      <w:r w:rsidR="00EE4FC3">
        <w:t xml:space="preserve"> </w:t>
      </w:r>
      <w:r w:rsidR="00B568B6" w:rsidRPr="00382917">
        <w:t>moments</w:t>
      </w:r>
      <w:r w:rsidR="00EE4FC3">
        <w:t xml:space="preserve"> </w:t>
      </w:r>
      <w:r w:rsidR="00B568B6" w:rsidRPr="00382917">
        <w:t>that</w:t>
      </w:r>
      <w:r w:rsidR="00EE4FC3">
        <w:t xml:space="preserve"> </w:t>
      </w:r>
      <w:r w:rsidR="00B568B6" w:rsidRPr="00382917">
        <w:t>are</w:t>
      </w:r>
      <w:r w:rsidR="00EE4FC3">
        <w:t xml:space="preserve"> </w:t>
      </w:r>
      <w:r w:rsidR="00B568B6" w:rsidRPr="00382917">
        <w:t>still</w:t>
      </w:r>
      <w:r w:rsidR="00EE4FC3">
        <w:t xml:space="preserve"> </w:t>
      </w:r>
      <w:r w:rsidR="00B568B6" w:rsidRPr="00382917">
        <w:t>yours</w:t>
      </w:r>
      <w:r w:rsidR="00EE4FC3">
        <w:t xml:space="preserve"> </w:t>
      </w:r>
      <w:r w:rsidR="00B568B6" w:rsidRPr="00382917">
        <w:t>may</w:t>
      </w:r>
      <w:r w:rsidR="00EE4FC3">
        <w:t xml:space="preserve"> </w:t>
      </w:r>
      <w:r w:rsidR="00B568B6" w:rsidRPr="00382917">
        <w:t>not</w:t>
      </w:r>
      <w:r w:rsidR="00EE4FC3">
        <w:t xml:space="preserve"> </w:t>
      </w:r>
      <w:r w:rsidR="00B568B6" w:rsidRPr="00382917">
        <w:t>be</w:t>
      </w:r>
      <w:r w:rsidR="00EE4FC3">
        <w:t xml:space="preserve"> </w:t>
      </w:r>
      <w:r w:rsidR="00B568B6" w:rsidRPr="00382917">
        <w:t>dissipated</w:t>
      </w:r>
      <w:r w:rsidR="00EE4FC3">
        <w:t xml:space="preserve"> </w:t>
      </w:r>
      <w:r w:rsidR="00B568B6" w:rsidRPr="00382917">
        <w:t>and</w:t>
      </w:r>
      <w:r w:rsidR="00EE4FC3">
        <w:t xml:space="preserve"> </w:t>
      </w:r>
      <w:r w:rsidR="00B568B6" w:rsidRPr="00382917">
        <w:t>lost</w:t>
      </w:r>
      <w:r w:rsidR="00F267E4">
        <w:t>.</w:t>
      </w:r>
      <w:r w:rsidR="00EE4FC3">
        <w:t xml:space="preserve">  </w:t>
      </w:r>
      <w:r w:rsidR="00B568B6" w:rsidRPr="00382917">
        <w:t>Even</w:t>
      </w:r>
      <w:r w:rsidR="00EE4FC3">
        <w:t xml:space="preserve"> </w:t>
      </w:r>
      <w:r w:rsidR="00B568B6" w:rsidRPr="00382917">
        <w:t>as</w:t>
      </w:r>
      <w:r w:rsidR="00EE4FC3">
        <w:t xml:space="preserve"> </w:t>
      </w:r>
      <w:r w:rsidR="00B568B6" w:rsidRPr="00382917">
        <w:t>the</w:t>
      </w:r>
      <w:r w:rsidR="00EE4FC3">
        <w:t xml:space="preserve"> </w:t>
      </w:r>
      <w:r w:rsidR="00B568B6" w:rsidRPr="00382917">
        <w:t>swiftness</w:t>
      </w:r>
      <w:r w:rsidR="00EE4FC3">
        <w:t xml:space="preserve"> </w:t>
      </w:r>
      <w:r w:rsidR="00B568B6" w:rsidRPr="00382917">
        <w:t>of</w:t>
      </w:r>
      <w:r w:rsidR="00EE4FC3">
        <w:t xml:space="preserve"> </w:t>
      </w:r>
      <w:r w:rsidR="00B568B6" w:rsidRPr="00382917">
        <w:t>lightning</w:t>
      </w:r>
      <w:r w:rsidR="00EE4FC3">
        <w:t xml:space="preserve"> </w:t>
      </w:r>
      <w:r w:rsidR="00B568B6" w:rsidRPr="00382917">
        <w:t>your</w:t>
      </w:r>
      <w:r w:rsidR="00EE4FC3">
        <w:t xml:space="preserve"> </w:t>
      </w:r>
      <w:r w:rsidR="00B568B6" w:rsidRPr="00382917">
        <w:t>days</w:t>
      </w:r>
      <w:r w:rsidR="00EE4FC3">
        <w:t xml:space="preserve"> </w:t>
      </w:r>
      <w:r w:rsidR="00B568B6" w:rsidRPr="00382917">
        <w:t>shall</w:t>
      </w:r>
      <w:r w:rsidR="00EE4FC3">
        <w:t xml:space="preserve"> </w:t>
      </w:r>
      <w:r w:rsidR="00B568B6" w:rsidRPr="00382917">
        <w:t>pass,</w:t>
      </w:r>
      <w:r w:rsidR="00EE4FC3">
        <w:t xml:space="preserve"> </w:t>
      </w:r>
      <w:r w:rsidR="00B568B6" w:rsidRPr="00382917">
        <w:t>and</w:t>
      </w:r>
      <w:r w:rsidR="00EE4FC3">
        <w:t xml:space="preserve"> </w:t>
      </w:r>
      <w:r w:rsidR="00B568B6" w:rsidRPr="00382917">
        <w:t>your</w:t>
      </w:r>
      <w:r w:rsidR="00EE4FC3">
        <w:t xml:space="preserve"> </w:t>
      </w:r>
      <w:r w:rsidR="00B568B6" w:rsidRPr="00382917">
        <w:t>bodies</w:t>
      </w:r>
    </w:p>
    <w:p w:rsidR="00B568B6" w:rsidRPr="00382917" w:rsidRDefault="00B568B6">
      <w:pPr>
        <w:widowControl/>
        <w:kinsoku/>
        <w:overflowPunct/>
        <w:textAlignment w:val="auto"/>
      </w:pPr>
      <w:r w:rsidRPr="00382917">
        <w:br w:type="page"/>
      </w:r>
    </w:p>
    <w:p w:rsidR="00B568B6" w:rsidRPr="00382917" w:rsidRDefault="00B568B6" w:rsidP="00216B5C">
      <w:pPr>
        <w:pStyle w:val="Quotects"/>
      </w:pPr>
      <w:proofErr w:type="gramStart"/>
      <w:r w:rsidRPr="00382917">
        <w:t>shall</w:t>
      </w:r>
      <w:proofErr w:type="gramEnd"/>
      <w:r w:rsidR="00EE4FC3">
        <w:t xml:space="preserve"> </w:t>
      </w:r>
      <w:r w:rsidRPr="00382917">
        <w:t>be</w:t>
      </w:r>
      <w:r w:rsidR="00EE4FC3">
        <w:t xml:space="preserve"> </w:t>
      </w:r>
      <w:r w:rsidRPr="00382917">
        <w:t>laid</w:t>
      </w:r>
      <w:r w:rsidR="00EE4FC3">
        <w:t xml:space="preserve"> </w:t>
      </w:r>
      <w:r w:rsidRPr="00382917">
        <w:t>to</w:t>
      </w:r>
      <w:r w:rsidR="00EE4FC3">
        <w:t xml:space="preserve"> </w:t>
      </w:r>
      <w:r w:rsidRPr="00382917">
        <w:t>rest</w:t>
      </w:r>
      <w:r w:rsidR="00EE4FC3">
        <w:t xml:space="preserve"> </w:t>
      </w:r>
      <w:r w:rsidRPr="00382917">
        <w:t>beneath</w:t>
      </w:r>
      <w:r w:rsidR="00EE4FC3">
        <w:t xml:space="preserve"> </w:t>
      </w:r>
      <w:r w:rsidRPr="00382917">
        <w:t>a</w:t>
      </w:r>
      <w:r w:rsidR="00EE4FC3">
        <w:t xml:space="preserve"> </w:t>
      </w:r>
      <w:r w:rsidRPr="00382917">
        <w:t>canopy</w:t>
      </w:r>
      <w:r w:rsidR="00EE4FC3">
        <w:t xml:space="preserve"> </w:t>
      </w:r>
      <w:r w:rsidRPr="00382917">
        <w:t>of</w:t>
      </w:r>
      <w:r w:rsidR="00EE4FC3">
        <w:t xml:space="preserve"> </w:t>
      </w:r>
      <w:r w:rsidRPr="00382917">
        <w:t>dust</w:t>
      </w:r>
      <w:r w:rsidR="00F267E4">
        <w:t>.</w:t>
      </w:r>
      <w:r w:rsidR="00EE4FC3">
        <w:t xml:space="preserve">  </w:t>
      </w:r>
      <w:r w:rsidRPr="00382917">
        <w:t>What</w:t>
      </w:r>
      <w:r w:rsidR="00EE4FC3">
        <w:t xml:space="preserve"> </w:t>
      </w:r>
      <w:r w:rsidRPr="00382917">
        <w:t>can</w:t>
      </w:r>
      <w:r w:rsidR="00EE4FC3">
        <w:t xml:space="preserve"> </w:t>
      </w:r>
      <w:r w:rsidRPr="00382917">
        <w:t>ye</w:t>
      </w:r>
      <w:r w:rsidR="00EE4FC3">
        <w:t xml:space="preserve"> </w:t>
      </w:r>
      <w:r w:rsidRPr="00382917">
        <w:t>then</w:t>
      </w:r>
      <w:r w:rsidR="00EE4FC3">
        <w:t xml:space="preserve"> </w:t>
      </w:r>
      <w:r w:rsidRPr="00382917">
        <w:t>achieve</w:t>
      </w:r>
      <w:r w:rsidR="003C712C">
        <w:t xml:space="preserve">?  </w:t>
      </w:r>
      <w:r w:rsidRPr="00382917">
        <w:t>How</w:t>
      </w:r>
      <w:r w:rsidR="00EE4FC3">
        <w:t xml:space="preserve"> </w:t>
      </w:r>
      <w:r w:rsidRPr="00382917">
        <w:t>can</w:t>
      </w:r>
      <w:r w:rsidR="00EE4FC3">
        <w:t xml:space="preserve"> </w:t>
      </w:r>
      <w:r w:rsidRPr="00382917">
        <w:t>ye</w:t>
      </w:r>
      <w:r w:rsidR="00EE4FC3">
        <w:t xml:space="preserve"> </w:t>
      </w:r>
      <w:r w:rsidRPr="00382917">
        <w:t>atone</w:t>
      </w:r>
      <w:r w:rsidR="00EE4FC3">
        <w:t xml:space="preserve"> </w:t>
      </w:r>
      <w:r w:rsidRPr="00382917">
        <w:t>for</w:t>
      </w:r>
      <w:r w:rsidR="00EE4FC3">
        <w:t xml:space="preserve"> </w:t>
      </w:r>
      <w:r w:rsidRPr="00382917">
        <w:t>your</w:t>
      </w:r>
      <w:r w:rsidR="00EE4FC3">
        <w:t xml:space="preserve"> </w:t>
      </w:r>
      <w:r w:rsidRPr="00382917">
        <w:t>past</w:t>
      </w:r>
      <w:r w:rsidR="00EE4FC3">
        <w:t xml:space="preserve"> </w:t>
      </w:r>
      <w:r w:rsidRPr="00382917">
        <w:t>failure?</w:t>
      </w:r>
      <w:r w:rsidR="009C713D" w:rsidRPr="00382917">
        <w:t>”</w:t>
      </w:r>
      <w:r w:rsidR="00216B5C">
        <w:rPr>
          <w:rStyle w:val="FootnoteReference"/>
        </w:rPr>
        <w:footnoteReference w:id="414"/>
      </w:r>
    </w:p>
    <w:p w:rsidR="00B568B6" w:rsidRPr="00382917" w:rsidRDefault="009C713D" w:rsidP="00181562">
      <w:pPr>
        <w:pStyle w:val="Text"/>
      </w:pPr>
      <w:proofErr w:type="gramStart"/>
      <w:r w:rsidRPr="00382917">
        <w:t>“</w:t>
      </w:r>
      <w:r w:rsidR="00181562">
        <w:t xml:space="preserve">… </w:t>
      </w:r>
      <w:proofErr w:type="gramEnd"/>
      <w:r w:rsidR="00B568B6" w:rsidRPr="00382917">
        <w:t>He</w:t>
      </w:r>
      <w:r w:rsidR="00EE4FC3">
        <w:t xml:space="preserve"> </w:t>
      </w:r>
      <w:proofErr w:type="gramStart"/>
      <w:r w:rsidR="00B568B6" w:rsidRPr="00382917">
        <w:t>Who</w:t>
      </w:r>
      <w:proofErr w:type="gramEnd"/>
      <w:r w:rsidR="00EE4FC3">
        <w:t xml:space="preserve"> </w:t>
      </w:r>
      <w:r w:rsidR="00B568B6" w:rsidRPr="00382917">
        <w:t>is</w:t>
      </w:r>
      <w:r w:rsidR="00EE4FC3">
        <w:t xml:space="preserve"> </w:t>
      </w:r>
      <w:r w:rsidR="00B568B6" w:rsidRPr="00382917">
        <w:t>the</w:t>
      </w:r>
      <w:r w:rsidR="00EE4FC3">
        <w:t xml:space="preserve"> </w:t>
      </w:r>
      <w:r w:rsidR="00B568B6" w:rsidRPr="00382917">
        <w:t>Everlasting</w:t>
      </w:r>
      <w:r w:rsidR="00EE4FC3">
        <w:t xml:space="preserve"> </w:t>
      </w:r>
      <w:r w:rsidR="00B568B6" w:rsidRPr="00382917">
        <w:t>Father</w:t>
      </w:r>
      <w:r w:rsidR="00EE4FC3">
        <w:t xml:space="preserve"> </w:t>
      </w:r>
      <w:proofErr w:type="spellStart"/>
      <w:r w:rsidR="00B568B6" w:rsidRPr="00382917">
        <w:t>calleth</w:t>
      </w:r>
      <w:proofErr w:type="spellEnd"/>
      <w:r w:rsidR="00EE4FC3">
        <w:t xml:space="preserve"> </w:t>
      </w:r>
      <w:r w:rsidR="00B568B6" w:rsidRPr="00382917">
        <w:t>aloud</w:t>
      </w:r>
      <w:r w:rsidR="00EE4FC3">
        <w:t xml:space="preserve"> </w:t>
      </w:r>
      <w:r w:rsidR="00B568B6" w:rsidRPr="00382917">
        <w:t>between</w:t>
      </w:r>
      <w:r w:rsidR="00EE4FC3">
        <w:t xml:space="preserve"> </w:t>
      </w:r>
      <w:r w:rsidR="00B568B6" w:rsidRPr="00382917">
        <w:t>earth</w:t>
      </w:r>
      <w:r w:rsidR="00EE4FC3">
        <w:t xml:space="preserve"> </w:t>
      </w:r>
      <w:r w:rsidR="00B568B6" w:rsidRPr="00382917">
        <w:t>and</w:t>
      </w:r>
      <w:r w:rsidR="00EE4FC3">
        <w:t xml:space="preserve"> </w:t>
      </w:r>
      <w:r w:rsidR="00B568B6" w:rsidRPr="00382917">
        <w:t>heaven</w:t>
      </w:r>
      <w:r w:rsidR="00F267E4">
        <w:t>.</w:t>
      </w:r>
      <w:r w:rsidR="00EE4FC3">
        <w:t xml:space="preserve">  </w:t>
      </w:r>
      <w:r w:rsidR="00B568B6" w:rsidRPr="00382917">
        <w:t>Blessed</w:t>
      </w:r>
      <w:r w:rsidR="00EE4FC3">
        <w:t xml:space="preserve"> </w:t>
      </w:r>
      <w:r w:rsidR="00B568B6" w:rsidRPr="00382917">
        <w:t>the</w:t>
      </w:r>
      <w:r w:rsidR="00EE4FC3">
        <w:t xml:space="preserve"> </w:t>
      </w:r>
      <w:r w:rsidR="00B568B6" w:rsidRPr="00382917">
        <w:t>ear</w:t>
      </w:r>
      <w:r w:rsidR="00EE4FC3">
        <w:t xml:space="preserve"> </w:t>
      </w:r>
      <w:r w:rsidR="00B568B6" w:rsidRPr="00382917">
        <w:t>that</w:t>
      </w:r>
      <w:r w:rsidR="00EE4FC3">
        <w:t xml:space="preserve"> </w:t>
      </w:r>
      <w:r w:rsidR="00B568B6" w:rsidRPr="00382917">
        <w:t>hath</w:t>
      </w:r>
      <w:r w:rsidR="00EE4FC3">
        <w:t xml:space="preserve"> </w:t>
      </w:r>
      <w:r w:rsidR="00B568B6" w:rsidRPr="00382917">
        <w:t>heard,</w:t>
      </w:r>
      <w:r w:rsidR="00EE4FC3">
        <w:t xml:space="preserve"> </w:t>
      </w:r>
      <w:r w:rsidR="00B568B6" w:rsidRPr="00382917">
        <w:t>and</w:t>
      </w:r>
      <w:r w:rsidR="00EE4FC3">
        <w:t xml:space="preserve"> </w:t>
      </w:r>
      <w:r w:rsidR="00B568B6" w:rsidRPr="00382917">
        <w:t>the</w:t>
      </w:r>
      <w:r w:rsidR="00EE4FC3">
        <w:t xml:space="preserve"> </w:t>
      </w:r>
      <w:r w:rsidR="00B568B6" w:rsidRPr="00382917">
        <w:t>eye</w:t>
      </w:r>
      <w:r w:rsidR="00EE4FC3">
        <w:t xml:space="preserve"> </w:t>
      </w:r>
      <w:r w:rsidR="00B568B6" w:rsidRPr="00382917">
        <w:t>that</w:t>
      </w:r>
      <w:r w:rsidR="00EE4FC3">
        <w:t xml:space="preserve"> </w:t>
      </w:r>
      <w:r w:rsidR="00B568B6" w:rsidRPr="00382917">
        <w:t>hath</w:t>
      </w:r>
      <w:r w:rsidR="00EE4FC3">
        <w:t xml:space="preserve"> </w:t>
      </w:r>
      <w:r w:rsidR="00B568B6" w:rsidRPr="00382917">
        <w:t>seen,</w:t>
      </w:r>
      <w:r w:rsidR="00EE4FC3">
        <w:t xml:space="preserve"> </w:t>
      </w:r>
      <w:r w:rsidR="00B568B6" w:rsidRPr="00382917">
        <w:t>and</w:t>
      </w:r>
      <w:r w:rsidR="00EE4FC3">
        <w:t xml:space="preserve"> </w:t>
      </w:r>
      <w:r w:rsidR="00B568B6" w:rsidRPr="00382917">
        <w:t>the</w:t>
      </w:r>
      <w:r w:rsidR="00EE4FC3">
        <w:t xml:space="preserve"> </w:t>
      </w:r>
      <w:r w:rsidR="00B568B6" w:rsidRPr="00382917">
        <w:t>heart</w:t>
      </w:r>
      <w:r w:rsidR="00EE4FC3">
        <w:t xml:space="preserve"> </w:t>
      </w:r>
      <w:r w:rsidR="00B568B6" w:rsidRPr="00382917">
        <w:t>that</w:t>
      </w:r>
      <w:r w:rsidR="00EE4FC3">
        <w:t xml:space="preserve"> </w:t>
      </w:r>
      <w:r w:rsidR="005B2C36" w:rsidRPr="00382917">
        <w:t>h</w:t>
      </w:r>
      <w:r w:rsidR="00B568B6" w:rsidRPr="00382917">
        <w:t>ath</w:t>
      </w:r>
      <w:r w:rsidR="00EE4FC3">
        <w:t xml:space="preserve"> </w:t>
      </w:r>
      <w:r w:rsidR="00B568B6" w:rsidRPr="00382917">
        <w:t>turned</w:t>
      </w:r>
      <w:r w:rsidR="00EE4FC3">
        <w:t xml:space="preserve"> </w:t>
      </w:r>
      <w:r w:rsidR="00B568B6" w:rsidRPr="00382917">
        <w:t>unto</w:t>
      </w:r>
      <w:r w:rsidR="00EE4FC3">
        <w:t xml:space="preserve"> </w:t>
      </w:r>
      <w:r w:rsidR="00B568B6" w:rsidRPr="00382917">
        <w:t>Him</w:t>
      </w:r>
      <w:r w:rsidR="00EE4FC3">
        <w:t xml:space="preserve"> </w:t>
      </w:r>
      <w:r w:rsidR="00F04416" w:rsidRPr="00382917">
        <w:t>…</w:t>
      </w:r>
      <w:r w:rsidR="00181562">
        <w:t xml:space="preserve">. </w:t>
      </w:r>
      <w:r w:rsidR="00EE4FC3">
        <w:t xml:space="preserve"> </w:t>
      </w:r>
      <w:r w:rsidRPr="00382917">
        <w:t>“</w:t>
      </w:r>
      <w:r w:rsidR="00B568B6" w:rsidRPr="00382917">
        <w:t>This</w:t>
      </w:r>
      <w:r w:rsidR="00EE4FC3">
        <w:t xml:space="preserve"> </w:t>
      </w:r>
      <w:r w:rsidR="00B568B6" w:rsidRPr="00382917">
        <w:t>is</w:t>
      </w:r>
      <w:r w:rsidR="00EE4FC3">
        <w:t xml:space="preserve"> </w:t>
      </w:r>
      <w:r w:rsidR="00B568B6" w:rsidRPr="00382917">
        <w:t>that</w:t>
      </w:r>
      <w:r w:rsidR="00EE4FC3">
        <w:t xml:space="preserve"> </w:t>
      </w:r>
      <w:r w:rsidR="00B568B6" w:rsidRPr="00382917">
        <w:t>which</w:t>
      </w:r>
      <w:r w:rsidR="00EE4FC3">
        <w:t xml:space="preserve"> </w:t>
      </w:r>
      <w:r w:rsidR="00B568B6" w:rsidRPr="00382917">
        <w:t>the</w:t>
      </w:r>
      <w:r w:rsidR="00EE4FC3">
        <w:t xml:space="preserve"> </w:t>
      </w:r>
      <w:r w:rsidR="00B568B6" w:rsidRPr="00382917">
        <w:t>Son</w:t>
      </w:r>
      <w:r w:rsidR="00EE4FC3">
        <w:t xml:space="preserve"> </w:t>
      </w:r>
      <w:r w:rsidR="00B568B6" w:rsidRPr="00382917">
        <w:t>(Jesus)</w:t>
      </w:r>
      <w:r w:rsidR="00EE4FC3">
        <w:t xml:space="preserve"> </w:t>
      </w:r>
      <w:r w:rsidR="00B568B6" w:rsidRPr="00382917">
        <w:t>hath</w:t>
      </w:r>
      <w:r w:rsidR="00EE4FC3">
        <w:t xml:space="preserve"> </w:t>
      </w:r>
      <w:r w:rsidR="00B568B6" w:rsidRPr="00382917">
        <w:t>decreed.</w:t>
      </w:r>
      <w:r w:rsidRPr="00382917">
        <w:t>”</w:t>
      </w:r>
      <w:r w:rsidR="00181562">
        <w:rPr>
          <w:rStyle w:val="FootnoteReference"/>
        </w:rPr>
        <w:footnoteReference w:id="415"/>
      </w:r>
    </w:p>
    <w:p w:rsidR="00B568B6" w:rsidRPr="00382917" w:rsidRDefault="00B568B6" w:rsidP="00B568B6"/>
    <w:p w:rsidR="00B568B6" w:rsidRPr="00382917" w:rsidRDefault="00B568B6" w:rsidP="00F1111D">
      <w:pPr>
        <w:sectPr w:rsidR="00B568B6" w:rsidRPr="00382917" w:rsidSect="009073C7">
          <w:footnotePr>
            <w:numRestart w:val="eachPage"/>
          </w:footnotePr>
          <w:type w:val="oddPage"/>
          <w:pgSz w:w="8618" w:h="12984" w:code="188"/>
          <w:pgMar w:top="720" w:right="720" w:bottom="720" w:left="720" w:header="720" w:footer="567" w:gutter="357"/>
          <w:cols w:space="708"/>
          <w:noEndnote/>
          <w:titlePg/>
          <w:docGrid w:linePitch="272"/>
        </w:sectPr>
      </w:pPr>
    </w:p>
    <w:p w:rsidR="005D475D" w:rsidRPr="00382917" w:rsidRDefault="00665A64" w:rsidP="00665A64">
      <w:pPr>
        <w:pStyle w:val="Myheadc"/>
      </w:pPr>
      <w:r w:rsidRPr="00382917">
        <w:t>References</w:t>
      </w:r>
    </w:p>
    <w:p w:rsidR="005D475D" w:rsidRPr="00382917" w:rsidRDefault="005D475D" w:rsidP="005D475D"/>
    <w:p w:rsidR="00224851" w:rsidRPr="00224851" w:rsidRDefault="00224851" w:rsidP="00B92F1D">
      <w:r w:rsidRPr="00224851">
        <w:rPr>
          <w:b/>
          <w:bCs/>
        </w:rPr>
        <w:t>Internet</w:t>
      </w:r>
      <w:r w:rsidR="00EE4FC3">
        <w:rPr>
          <w:b/>
          <w:bCs/>
        </w:rPr>
        <w:t xml:space="preserve"> </w:t>
      </w:r>
      <w:r w:rsidRPr="00224851">
        <w:rPr>
          <w:b/>
          <w:bCs/>
        </w:rPr>
        <w:t>Archive</w:t>
      </w:r>
      <w:r w:rsidR="00EE4FC3">
        <w:rPr>
          <w:b/>
          <w:bCs/>
        </w:rPr>
        <w:t xml:space="preserve"> </w:t>
      </w:r>
      <w:r w:rsidRPr="00224851">
        <w:rPr>
          <w:b/>
          <w:bCs/>
        </w:rPr>
        <w:t>scan</w:t>
      </w:r>
      <w:r w:rsidR="00EE4FC3">
        <w:rPr>
          <w:b/>
          <w:bCs/>
        </w:rPr>
        <w:t xml:space="preserve"> </w:t>
      </w:r>
      <w:r w:rsidRPr="00224851">
        <w:rPr>
          <w:b/>
          <w:bCs/>
        </w:rPr>
        <w:t>of</w:t>
      </w:r>
      <w:r w:rsidR="00EE4FC3">
        <w:rPr>
          <w:b/>
          <w:bCs/>
        </w:rPr>
        <w:t xml:space="preserve"> </w:t>
      </w:r>
      <w:r w:rsidRPr="00224851">
        <w:rPr>
          <w:b/>
          <w:bCs/>
        </w:rPr>
        <w:t>the</w:t>
      </w:r>
      <w:r w:rsidR="00EE4FC3">
        <w:rPr>
          <w:b/>
          <w:bCs/>
        </w:rPr>
        <w:t xml:space="preserve"> </w:t>
      </w:r>
      <w:r w:rsidRPr="00224851">
        <w:rPr>
          <w:b/>
          <w:bCs/>
        </w:rPr>
        <w:t>Journal</w:t>
      </w:r>
      <w:r w:rsidR="00EE4FC3">
        <w:rPr>
          <w:b/>
          <w:bCs/>
        </w:rPr>
        <w:t xml:space="preserve"> </w:t>
      </w:r>
      <w:r w:rsidRPr="00224851">
        <w:rPr>
          <w:b/>
          <w:bCs/>
        </w:rPr>
        <w:t>of</w:t>
      </w:r>
      <w:r w:rsidR="00EE4FC3">
        <w:rPr>
          <w:b/>
          <w:bCs/>
        </w:rPr>
        <w:t xml:space="preserve"> </w:t>
      </w:r>
      <w:r w:rsidRPr="00224851">
        <w:rPr>
          <w:b/>
          <w:bCs/>
        </w:rPr>
        <w:t>the</w:t>
      </w:r>
      <w:r w:rsidR="00EE4FC3">
        <w:rPr>
          <w:b/>
          <w:bCs/>
        </w:rPr>
        <w:t xml:space="preserve"> </w:t>
      </w:r>
      <w:r w:rsidRPr="00224851">
        <w:rPr>
          <w:b/>
          <w:bCs/>
        </w:rPr>
        <w:t>Royal</w:t>
      </w:r>
      <w:r w:rsidR="00EE4FC3">
        <w:rPr>
          <w:b/>
          <w:bCs/>
        </w:rPr>
        <w:t xml:space="preserve"> </w:t>
      </w:r>
      <w:r w:rsidRPr="00224851">
        <w:rPr>
          <w:b/>
          <w:bCs/>
        </w:rPr>
        <w:t>Asiatic</w:t>
      </w:r>
      <w:r w:rsidR="00EE4FC3">
        <w:rPr>
          <w:b/>
          <w:bCs/>
        </w:rPr>
        <w:t xml:space="preserve"> </w:t>
      </w:r>
      <w:r w:rsidRPr="00224851">
        <w:rPr>
          <w:b/>
          <w:bCs/>
        </w:rPr>
        <w:t>Society,</w:t>
      </w:r>
      <w:r w:rsidR="00EE4FC3">
        <w:rPr>
          <w:b/>
          <w:bCs/>
        </w:rPr>
        <w:t xml:space="preserve"> </w:t>
      </w:r>
      <w:r w:rsidRPr="00224851">
        <w:rPr>
          <w:b/>
          <w:bCs/>
        </w:rPr>
        <w:t>1899</w:t>
      </w:r>
      <w:r w:rsidR="00EE4FC3">
        <w:t xml:space="preserve"> </w:t>
      </w:r>
      <w:r w:rsidRPr="00224851">
        <w:t>(archive.org/download/journalofroyalas3018roya/journalofroyalas3018roya.pdf)</w:t>
      </w:r>
      <w:r w:rsidR="00EE4FC3">
        <w:t xml:space="preserve"> </w:t>
      </w:r>
      <w:r w:rsidRPr="00224851">
        <w:t>does</w:t>
      </w:r>
      <w:r w:rsidR="00EE4FC3">
        <w:t xml:space="preserve"> </w:t>
      </w:r>
      <w:r w:rsidRPr="00224851">
        <w:t>not</w:t>
      </w:r>
      <w:r w:rsidR="00EE4FC3">
        <w:t xml:space="preserve"> </w:t>
      </w:r>
      <w:r w:rsidRPr="00224851">
        <w:t>include</w:t>
      </w:r>
      <w:r w:rsidR="00EE4FC3">
        <w:t xml:space="preserve"> </w:t>
      </w:r>
      <w:r w:rsidRPr="00224851">
        <w:t>E.</w:t>
      </w:r>
      <w:r w:rsidR="00EE4FC3">
        <w:t xml:space="preserve"> </w:t>
      </w:r>
      <w:r w:rsidRPr="00224851">
        <w:t>G.</w:t>
      </w:r>
      <w:r w:rsidR="00EE4FC3">
        <w:t xml:space="preserve"> </w:t>
      </w:r>
      <w:r w:rsidRPr="00224851">
        <w:t>Browne’s</w:t>
      </w:r>
      <w:r w:rsidR="00EE4FC3">
        <w:t xml:space="preserve"> </w:t>
      </w:r>
      <w:r w:rsidRPr="00224851">
        <w:t>article</w:t>
      </w:r>
      <w:r w:rsidR="00EE4FC3">
        <w:t xml:space="preserve"> </w:t>
      </w:r>
      <w:r w:rsidR="00B92F1D">
        <w:t>“</w:t>
      </w:r>
      <w:r w:rsidRPr="00224851">
        <w:t>The</w:t>
      </w:r>
      <w:r w:rsidR="00EE4FC3">
        <w:t xml:space="preserve"> </w:t>
      </w:r>
      <w:r w:rsidRPr="00224851">
        <w:t>Babis</w:t>
      </w:r>
      <w:r w:rsidR="00EE4FC3">
        <w:t xml:space="preserve"> </w:t>
      </w:r>
      <w:r w:rsidRPr="00224851">
        <w:t>of</w:t>
      </w:r>
      <w:r w:rsidR="00EE4FC3">
        <w:t xml:space="preserve"> </w:t>
      </w:r>
      <w:r w:rsidRPr="00224851">
        <w:t>Persia</w:t>
      </w:r>
      <w:r w:rsidR="00B92F1D">
        <w:t>”.</w:t>
      </w:r>
    </w:p>
    <w:p w:rsidR="00224851" w:rsidRPr="00224851" w:rsidRDefault="00224851" w:rsidP="00224851">
      <w:pPr>
        <w:rPr>
          <w:b/>
          <w:bCs/>
        </w:rPr>
      </w:pPr>
      <w:proofErr w:type="gramStart"/>
      <w:r w:rsidRPr="00224851">
        <w:rPr>
          <w:b/>
          <w:bCs/>
        </w:rPr>
        <w:t>full</w:t>
      </w:r>
      <w:proofErr w:type="gramEnd"/>
      <w:r w:rsidR="00EE4FC3">
        <w:rPr>
          <w:b/>
          <w:bCs/>
        </w:rPr>
        <w:t xml:space="preserve"> </w:t>
      </w:r>
      <w:r w:rsidRPr="00224851">
        <w:rPr>
          <w:b/>
          <w:bCs/>
        </w:rPr>
        <w:t>text</w:t>
      </w:r>
      <w:r w:rsidR="00EE4FC3">
        <w:rPr>
          <w:b/>
          <w:bCs/>
        </w:rPr>
        <w:t xml:space="preserve"> </w:t>
      </w:r>
      <w:r w:rsidRPr="00224851">
        <w:rPr>
          <w:b/>
          <w:bCs/>
        </w:rPr>
        <w:t>and</w:t>
      </w:r>
      <w:r w:rsidR="00EE4FC3">
        <w:rPr>
          <w:b/>
          <w:bCs/>
        </w:rPr>
        <w:t xml:space="preserve"> </w:t>
      </w:r>
      <w:r w:rsidRPr="00224851">
        <w:rPr>
          <w:b/>
          <w:bCs/>
        </w:rPr>
        <w:t>a</w:t>
      </w:r>
      <w:r w:rsidR="00EE4FC3">
        <w:rPr>
          <w:b/>
          <w:bCs/>
        </w:rPr>
        <w:t xml:space="preserve"> </w:t>
      </w:r>
      <w:r w:rsidRPr="00224851">
        <w:rPr>
          <w:b/>
          <w:bCs/>
        </w:rPr>
        <w:t>direct</w:t>
      </w:r>
      <w:r w:rsidR="00EE4FC3">
        <w:rPr>
          <w:b/>
          <w:bCs/>
        </w:rPr>
        <w:t xml:space="preserve"> </w:t>
      </w:r>
      <w:r w:rsidRPr="00224851">
        <w:rPr>
          <w:b/>
          <w:bCs/>
        </w:rPr>
        <w:t>PDF</w:t>
      </w:r>
      <w:r w:rsidR="00EE4FC3">
        <w:rPr>
          <w:b/>
          <w:bCs/>
        </w:rPr>
        <w:t xml:space="preserve"> </w:t>
      </w:r>
      <w:r w:rsidRPr="00224851">
        <w:rPr>
          <w:b/>
          <w:bCs/>
        </w:rPr>
        <w:t>of</w:t>
      </w:r>
      <w:r w:rsidR="00EE4FC3">
        <w:rPr>
          <w:b/>
          <w:bCs/>
        </w:rPr>
        <w:t xml:space="preserve"> </w:t>
      </w:r>
      <w:r w:rsidRPr="00224851">
        <w:rPr>
          <w:b/>
          <w:bCs/>
        </w:rPr>
        <w:t>Browne’s</w:t>
      </w:r>
      <w:r w:rsidR="00EE4FC3">
        <w:rPr>
          <w:b/>
          <w:bCs/>
        </w:rPr>
        <w:t xml:space="preserve"> </w:t>
      </w:r>
      <w:r w:rsidRPr="00224851">
        <w:rPr>
          <w:b/>
          <w:bCs/>
        </w:rPr>
        <w:t>article</w:t>
      </w:r>
      <w:r w:rsidR="00EE4FC3">
        <w:rPr>
          <w:b/>
          <w:bCs/>
        </w:rPr>
        <w:t xml:space="preserve"> </w:t>
      </w:r>
      <w:r w:rsidRPr="00224851">
        <w:rPr>
          <w:b/>
          <w:bCs/>
        </w:rPr>
        <w:t>is</w:t>
      </w:r>
      <w:r w:rsidR="00EE4FC3">
        <w:rPr>
          <w:b/>
          <w:bCs/>
        </w:rPr>
        <w:t xml:space="preserve"> </w:t>
      </w:r>
      <w:r w:rsidRPr="00224851">
        <w:rPr>
          <w:b/>
          <w:bCs/>
        </w:rPr>
        <w:t>the</w:t>
      </w:r>
      <w:r w:rsidR="00EE4FC3">
        <w:rPr>
          <w:b/>
          <w:bCs/>
        </w:rPr>
        <w:t xml:space="preserve"> </w:t>
      </w:r>
      <w:r w:rsidRPr="00224851">
        <w:rPr>
          <w:b/>
          <w:bCs/>
        </w:rPr>
        <w:t>Bahá’í</w:t>
      </w:r>
      <w:r w:rsidR="00EE4FC3">
        <w:rPr>
          <w:b/>
          <w:bCs/>
        </w:rPr>
        <w:t xml:space="preserve"> </w:t>
      </w:r>
      <w:r w:rsidRPr="00224851">
        <w:rPr>
          <w:b/>
          <w:bCs/>
        </w:rPr>
        <w:t>Library</w:t>
      </w:r>
      <w:r w:rsidR="00EE4FC3">
        <w:rPr>
          <w:b/>
          <w:bCs/>
        </w:rPr>
        <w:t xml:space="preserve"> </w:t>
      </w:r>
      <w:r w:rsidRPr="00224851">
        <w:rPr>
          <w:b/>
          <w:bCs/>
        </w:rPr>
        <w:t>Online:</w:t>
      </w:r>
    </w:p>
    <w:p w:rsidR="00224851" w:rsidRPr="00224851" w:rsidRDefault="00224851" w:rsidP="00224851">
      <w:r w:rsidRPr="00224851">
        <w:t>[Bahá’í</w:t>
      </w:r>
      <w:r w:rsidR="00EE4FC3">
        <w:t xml:space="preserve"> </w:t>
      </w:r>
      <w:r w:rsidRPr="00224851">
        <w:t>Library:</w:t>
      </w:r>
      <w:r w:rsidR="00EE4FC3">
        <w:t xml:space="preserve"> </w:t>
      </w:r>
      <w:r w:rsidRPr="00224851">
        <w:t>browne_babis_persia_history.pdf]</w:t>
      </w:r>
    </w:p>
    <w:p w:rsidR="00224851" w:rsidRPr="00224851" w:rsidRDefault="00224851" w:rsidP="00224851">
      <w:r w:rsidRPr="00224851">
        <w:t>It</w:t>
      </w:r>
      <w:r w:rsidR="00EE4FC3">
        <w:t xml:space="preserve"> </w:t>
      </w:r>
      <w:r w:rsidRPr="00224851">
        <w:t>matches</w:t>
      </w:r>
      <w:r w:rsidR="00EE4FC3">
        <w:t xml:space="preserve"> </w:t>
      </w:r>
      <w:r w:rsidRPr="00224851">
        <w:t>the</w:t>
      </w:r>
      <w:r w:rsidR="00EE4FC3">
        <w:t xml:space="preserve"> </w:t>
      </w:r>
      <w:r w:rsidRPr="00224851">
        <w:t>original</w:t>
      </w:r>
      <w:r w:rsidR="00EE4FC3">
        <w:t xml:space="preserve"> </w:t>
      </w:r>
      <w:r w:rsidRPr="00224851">
        <w:t>journal</w:t>
      </w:r>
      <w:r w:rsidR="00EE4FC3">
        <w:t xml:space="preserve"> </w:t>
      </w:r>
      <w:r w:rsidRPr="00224851">
        <w:t>publication</w:t>
      </w:r>
      <w:r w:rsidR="00EE4FC3">
        <w:t xml:space="preserve"> </w:t>
      </w:r>
      <w:r w:rsidRPr="00224851">
        <w:t>(Journal</w:t>
      </w:r>
      <w:r w:rsidR="00EE4FC3">
        <w:t xml:space="preserve"> </w:t>
      </w:r>
      <w:r w:rsidRPr="00224851">
        <w:t>of</w:t>
      </w:r>
      <w:r w:rsidR="00EE4FC3">
        <w:t xml:space="preserve"> </w:t>
      </w:r>
      <w:r w:rsidRPr="00224851">
        <w:t>the</w:t>
      </w:r>
      <w:r w:rsidR="00EE4FC3">
        <w:t xml:space="preserve"> </w:t>
      </w:r>
      <w:r w:rsidRPr="00224851">
        <w:t>Royal</w:t>
      </w:r>
      <w:r w:rsidR="00EE4FC3">
        <w:t xml:space="preserve"> </w:t>
      </w:r>
      <w:r w:rsidRPr="00224851">
        <w:t>Asiatic</w:t>
      </w:r>
      <w:r w:rsidR="00EE4FC3">
        <w:t xml:space="preserve"> </w:t>
      </w:r>
      <w:r w:rsidRPr="00224851">
        <w:t>Society,</w:t>
      </w:r>
      <w:r w:rsidR="00EE4FC3">
        <w:t xml:space="preserve"> </w:t>
      </w:r>
      <w:r w:rsidRPr="00224851">
        <w:t>1899,</w:t>
      </w:r>
      <w:r w:rsidR="00EE4FC3">
        <w:t xml:space="preserve"> </w:t>
      </w:r>
      <w:r w:rsidRPr="00224851">
        <w:t>vol.</w:t>
      </w:r>
      <w:r w:rsidR="00EE4FC3">
        <w:t xml:space="preserve"> </w:t>
      </w:r>
      <w:r w:rsidRPr="00224851">
        <w:t>21,</w:t>
      </w:r>
      <w:r w:rsidR="00EE4FC3">
        <w:t xml:space="preserve"> </w:t>
      </w:r>
      <w:r w:rsidRPr="00224851">
        <w:t>no.</w:t>
      </w:r>
      <w:r w:rsidR="00EE4FC3">
        <w:t xml:space="preserve"> </w:t>
      </w:r>
      <w:r w:rsidRPr="00224851">
        <w:t>3,</w:t>
      </w:r>
      <w:r w:rsidR="00EE4FC3">
        <w:t xml:space="preserve"> </w:t>
      </w:r>
      <w:r w:rsidRPr="00224851">
        <w:t>pp.</w:t>
      </w:r>
      <w:r w:rsidR="00EE4FC3">
        <w:t xml:space="preserve"> </w:t>
      </w:r>
      <w:r w:rsidRPr="00224851">
        <w:t>485–526).</w:t>
      </w:r>
    </w:p>
    <w:p w:rsidR="00F1111D" w:rsidRPr="00B92F1D" w:rsidRDefault="00F1111D" w:rsidP="00581CF7"/>
    <w:sectPr w:rsidR="00F1111D" w:rsidRPr="00B92F1D" w:rsidSect="009073C7">
      <w:footnotePr>
        <w:numRestart w:val="eachPage"/>
      </w:footnotePr>
      <w:type w:val="oddPage"/>
      <w:pgSz w:w="8618" w:h="12984" w:code="188"/>
      <w:pgMar w:top="720" w:right="720" w:bottom="720" w:left="720" w:header="720" w:footer="567" w:gutter="357"/>
      <w:cols w:space="708"/>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15E8" w:rsidRDefault="001C15E8" w:rsidP="00E41271">
      <w:r>
        <w:separator/>
      </w:r>
    </w:p>
  </w:endnote>
  <w:endnote w:type="continuationSeparator" w:id="0">
    <w:p w:rsidR="001C15E8" w:rsidRDefault="001C15E8" w:rsidP="00E412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Gentium Book Basic">
    <w:altName w:val="Times New Roman"/>
    <w:charset w:val="00"/>
    <w:family w:val="auto"/>
    <w:pitch w:val="variable"/>
    <w:sig w:usb0="00000001" w:usb1="5000204A" w:usb2="00000000" w:usb3="00000000" w:csb0="00000013"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15E8" w:rsidRDefault="001C15E8" w:rsidP="00FE4EDA">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3900413"/>
      <w:docPartObj>
        <w:docPartGallery w:val="Page Numbers (Bottom of Page)"/>
        <w:docPartUnique/>
      </w:docPartObj>
    </w:sdtPr>
    <w:sdtEndPr>
      <w:rPr>
        <w:noProof/>
      </w:rPr>
    </w:sdtEndPr>
    <w:sdtContent>
      <w:p w:rsidR="001C15E8" w:rsidRDefault="001C15E8">
        <w:pPr>
          <w:pStyle w:val="Footer"/>
          <w:jc w:val="center"/>
        </w:pPr>
        <w:r>
          <w:fldChar w:fldCharType="begin"/>
        </w:r>
        <w:r>
          <w:instrText xml:space="preserve"> PAGE   \* MERGEFORMAT </w:instrText>
        </w:r>
        <w:r>
          <w:fldChar w:fldCharType="separate"/>
        </w:r>
        <w:r w:rsidR="007A504D">
          <w:rPr>
            <w:noProof/>
          </w:rPr>
          <w:t>187</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15E8" w:rsidRDefault="001C15E8" w:rsidP="00FE4EDA">
    <w:pPr>
      <w:pStyle w:val="Footer"/>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03721"/>
      <w:docPartObj>
        <w:docPartGallery w:val="Page Numbers (Bottom of Page)"/>
        <w:docPartUnique/>
      </w:docPartObj>
    </w:sdtPr>
    <w:sdtEndPr>
      <w:rPr>
        <w:noProof/>
      </w:rPr>
    </w:sdtEndPr>
    <w:sdtContent>
      <w:p w:rsidR="001C15E8" w:rsidRDefault="001C15E8">
        <w:pPr>
          <w:pStyle w:val="Footer"/>
          <w:jc w:val="center"/>
        </w:pPr>
        <w:r>
          <w:fldChar w:fldCharType="begin"/>
        </w:r>
        <w:r>
          <w:instrText xml:space="preserve"> PAGE   \* MERGEFORMAT </w:instrText>
        </w:r>
        <w:r>
          <w:fldChar w:fldCharType="separate"/>
        </w:r>
        <w:r w:rsidR="007A504D">
          <w:rPr>
            <w:noProof/>
          </w:rPr>
          <w:t>iii</w:t>
        </w:r>
        <w:r>
          <w:rPr>
            <w:noProof/>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65353689"/>
      <w:docPartObj>
        <w:docPartGallery w:val="Page Numbers (Bottom of Page)"/>
        <w:docPartUnique/>
      </w:docPartObj>
    </w:sdtPr>
    <w:sdtEndPr>
      <w:rPr>
        <w:noProof/>
      </w:rPr>
    </w:sdtEndPr>
    <w:sdtContent>
      <w:p w:rsidR="001C15E8" w:rsidRDefault="001C15E8">
        <w:pPr>
          <w:pStyle w:val="Footer"/>
          <w:jc w:val="center"/>
        </w:pPr>
        <w:r>
          <w:fldChar w:fldCharType="begin"/>
        </w:r>
        <w:r>
          <w:instrText xml:space="preserve"> PAGE   \* MERGEFORMAT </w:instrText>
        </w:r>
        <w:r>
          <w:fldChar w:fldCharType="separate"/>
        </w:r>
        <w:r w:rsidR="007A504D">
          <w:rPr>
            <w:noProof/>
          </w:rPr>
          <w:t>v</w:t>
        </w:r>
        <w:r>
          <w:rPr>
            <w:noProof/>
          </w:rP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63335056"/>
      <w:docPartObj>
        <w:docPartGallery w:val="Page Numbers (Bottom of Page)"/>
        <w:docPartUnique/>
      </w:docPartObj>
    </w:sdtPr>
    <w:sdtEndPr>
      <w:rPr>
        <w:noProof/>
      </w:rPr>
    </w:sdtEndPr>
    <w:sdtContent>
      <w:p w:rsidR="001C15E8" w:rsidRDefault="001C15E8">
        <w:pPr>
          <w:pStyle w:val="Footer"/>
          <w:jc w:val="center"/>
        </w:pPr>
        <w:r>
          <w:fldChar w:fldCharType="begin"/>
        </w:r>
        <w:r>
          <w:instrText xml:space="preserve"> PAGE   \* MERGEFORMAT </w:instrText>
        </w:r>
        <w:r>
          <w:fldChar w:fldCharType="separate"/>
        </w:r>
        <w:r w:rsidR="007A504D">
          <w:rPr>
            <w:noProof/>
          </w:rPr>
          <w:t>1</w:t>
        </w:r>
        <w:r>
          <w:rPr>
            <w:noProof/>
          </w:rPr>
          <w:fldChar w:fldCharType="end"/>
        </w:r>
      </w:p>
    </w:sdtContent>
  </w:sdt>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4815091"/>
      <w:docPartObj>
        <w:docPartGallery w:val="Page Numbers (Bottom of Page)"/>
        <w:docPartUnique/>
      </w:docPartObj>
    </w:sdtPr>
    <w:sdtEndPr>
      <w:rPr>
        <w:noProof/>
      </w:rPr>
    </w:sdtEndPr>
    <w:sdtContent>
      <w:p w:rsidR="001C15E8" w:rsidRDefault="001C15E8">
        <w:pPr>
          <w:pStyle w:val="Footer"/>
          <w:jc w:val="center"/>
        </w:pPr>
        <w:r>
          <w:fldChar w:fldCharType="begin"/>
        </w:r>
        <w:r>
          <w:instrText xml:space="preserve"> PAGE   \* MERGEFORMAT </w:instrText>
        </w:r>
        <w:r>
          <w:fldChar w:fldCharType="separate"/>
        </w:r>
        <w:r w:rsidR="007A504D">
          <w:rPr>
            <w:noProof/>
          </w:rPr>
          <w:t>239</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15E8" w:rsidRDefault="001C15E8" w:rsidP="00E41271">
      <w:r>
        <w:separator/>
      </w:r>
    </w:p>
  </w:footnote>
  <w:footnote w:type="continuationSeparator" w:id="0">
    <w:p w:rsidR="001C15E8" w:rsidRDefault="001C15E8" w:rsidP="00E41271">
      <w:r>
        <w:continuationSeparator/>
      </w:r>
    </w:p>
  </w:footnote>
  <w:footnote w:id="1">
    <w:p w:rsidR="001C15E8" w:rsidRPr="00DD6267" w:rsidRDefault="001C15E8" w:rsidP="004E57FC">
      <w:pPr>
        <w:pStyle w:val="FootnoteText"/>
      </w:pPr>
      <w:r w:rsidRPr="00DD6267">
        <w:rPr>
          <w:rStyle w:val="FootnoteReference"/>
        </w:rPr>
        <w:footnoteRef/>
      </w:r>
      <w:r w:rsidRPr="00DD6267">
        <w:tab/>
        <w:t>E.</w:t>
      </w:r>
      <w:r>
        <w:t xml:space="preserve"> </w:t>
      </w:r>
      <w:r w:rsidRPr="00DD6267">
        <w:t>G.</w:t>
      </w:r>
      <w:r>
        <w:t xml:space="preserve"> </w:t>
      </w:r>
      <w:r w:rsidRPr="00DD6267">
        <w:t>Browne,</w:t>
      </w:r>
      <w:r>
        <w:t xml:space="preserve"> </w:t>
      </w:r>
      <w:r w:rsidRPr="00DD6267">
        <w:t>Preface</w:t>
      </w:r>
      <w:r>
        <w:t xml:space="preserve"> </w:t>
      </w:r>
      <w:r w:rsidRPr="00DD6267">
        <w:t>to</w:t>
      </w:r>
      <w:r>
        <w:t xml:space="preserve"> </w:t>
      </w:r>
      <w:r w:rsidRPr="00DD6267">
        <w:t>Lady</w:t>
      </w:r>
      <w:r>
        <w:t xml:space="preserve"> </w:t>
      </w:r>
      <w:r w:rsidRPr="00DD6267">
        <w:t>Bloomfield,</w:t>
      </w:r>
      <w:r>
        <w:t xml:space="preserve"> </w:t>
      </w:r>
      <w:r w:rsidRPr="00DD6267">
        <w:rPr>
          <w:i/>
          <w:iCs/>
        </w:rPr>
        <w:t>The</w:t>
      </w:r>
      <w:r>
        <w:rPr>
          <w:i/>
          <w:iCs/>
        </w:rPr>
        <w:t xml:space="preserve"> </w:t>
      </w:r>
      <w:r w:rsidRPr="00DD6267">
        <w:rPr>
          <w:i/>
          <w:iCs/>
        </w:rPr>
        <w:t>Chosen</w:t>
      </w:r>
      <w:r>
        <w:rPr>
          <w:i/>
          <w:iCs/>
        </w:rPr>
        <w:t xml:space="preserve"> </w:t>
      </w:r>
      <w:r w:rsidRPr="00DD6267">
        <w:rPr>
          <w:i/>
          <w:iCs/>
        </w:rPr>
        <w:t>Highway</w:t>
      </w:r>
      <w:r w:rsidRPr="00DD6267">
        <w:t>,</w:t>
      </w:r>
      <w:r>
        <w:t xml:space="preserve"> </w:t>
      </w:r>
      <w:r w:rsidRPr="00DD6267">
        <w:t>pp.</w:t>
      </w:r>
      <w:r>
        <w:t xml:space="preserve"> </w:t>
      </w:r>
      <w:r w:rsidRPr="00DD6267">
        <w:t>v–vi.</w:t>
      </w:r>
    </w:p>
  </w:footnote>
  <w:footnote w:id="2">
    <w:p w:rsidR="001C15E8" w:rsidRPr="00224851" w:rsidRDefault="001C15E8">
      <w:pPr>
        <w:pStyle w:val="FootnoteText"/>
        <w:rPr>
          <w:lang w:val="fr-FR"/>
        </w:rPr>
      </w:pPr>
      <w:r w:rsidRPr="00DD6267">
        <w:rPr>
          <w:rStyle w:val="FootnoteReference"/>
        </w:rPr>
        <w:footnoteRef/>
      </w:r>
      <w:r w:rsidRPr="00224851">
        <w:rPr>
          <w:lang w:val="fr-FR"/>
        </w:rPr>
        <w:tab/>
        <w:t>Comte</w:t>
      </w:r>
      <w:r>
        <w:rPr>
          <w:lang w:val="fr-FR"/>
        </w:rPr>
        <w:t xml:space="preserve"> </w:t>
      </w:r>
      <w:r w:rsidRPr="00224851">
        <w:rPr>
          <w:lang w:val="fr-FR"/>
        </w:rPr>
        <w:t>de</w:t>
      </w:r>
      <w:r>
        <w:rPr>
          <w:lang w:val="fr-FR"/>
        </w:rPr>
        <w:t xml:space="preserve"> </w:t>
      </w:r>
      <w:r w:rsidRPr="00224851">
        <w:rPr>
          <w:lang w:val="fr-FR"/>
        </w:rPr>
        <w:t>Gobineau,</w:t>
      </w:r>
      <w:r>
        <w:rPr>
          <w:lang w:val="fr-FR"/>
        </w:rPr>
        <w:t xml:space="preserve"> </w:t>
      </w:r>
      <w:r w:rsidRPr="00224851">
        <w:rPr>
          <w:i/>
          <w:iCs/>
          <w:lang w:val="fr-FR"/>
        </w:rPr>
        <w:t>Les</w:t>
      </w:r>
      <w:r>
        <w:rPr>
          <w:i/>
          <w:iCs/>
          <w:lang w:val="fr-FR"/>
        </w:rPr>
        <w:t xml:space="preserve"> </w:t>
      </w:r>
      <w:r w:rsidRPr="00224851">
        <w:rPr>
          <w:i/>
          <w:iCs/>
          <w:lang w:val="fr-FR"/>
        </w:rPr>
        <w:t>Religions</w:t>
      </w:r>
      <w:r>
        <w:rPr>
          <w:i/>
          <w:iCs/>
          <w:lang w:val="fr-FR"/>
        </w:rPr>
        <w:t xml:space="preserve"> </w:t>
      </w:r>
      <w:r w:rsidRPr="00224851">
        <w:rPr>
          <w:i/>
          <w:iCs/>
          <w:lang w:val="fr-FR"/>
        </w:rPr>
        <w:t>et</w:t>
      </w:r>
      <w:r>
        <w:rPr>
          <w:i/>
          <w:iCs/>
          <w:lang w:val="fr-FR"/>
        </w:rPr>
        <w:t xml:space="preserve"> </w:t>
      </w:r>
      <w:r w:rsidRPr="00224851">
        <w:rPr>
          <w:i/>
          <w:iCs/>
          <w:lang w:val="fr-FR"/>
        </w:rPr>
        <w:t>les</w:t>
      </w:r>
      <w:r>
        <w:rPr>
          <w:i/>
          <w:iCs/>
          <w:lang w:val="fr-FR"/>
        </w:rPr>
        <w:t xml:space="preserve"> </w:t>
      </w:r>
      <w:r w:rsidRPr="00224851">
        <w:rPr>
          <w:i/>
          <w:iCs/>
          <w:lang w:val="fr-FR"/>
        </w:rPr>
        <w:t>Philosophies</w:t>
      </w:r>
      <w:r>
        <w:rPr>
          <w:i/>
          <w:iCs/>
          <w:lang w:val="fr-FR"/>
        </w:rPr>
        <w:t xml:space="preserve"> </w:t>
      </w:r>
      <w:r w:rsidRPr="00224851">
        <w:rPr>
          <w:i/>
          <w:iCs/>
          <w:lang w:val="fr-FR"/>
        </w:rPr>
        <w:t>dans</w:t>
      </w:r>
      <w:r>
        <w:rPr>
          <w:i/>
          <w:iCs/>
          <w:lang w:val="fr-FR"/>
        </w:rPr>
        <w:t xml:space="preserve"> </w:t>
      </w:r>
      <w:r w:rsidRPr="00224851">
        <w:rPr>
          <w:i/>
          <w:iCs/>
          <w:lang w:val="fr-FR"/>
        </w:rPr>
        <w:t>l’Asie</w:t>
      </w:r>
      <w:r>
        <w:rPr>
          <w:i/>
          <w:iCs/>
          <w:lang w:val="fr-FR"/>
        </w:rPr>
        <w:t xml:space="preserve"> </w:t>
      </w:r>
      <w:r w:rsidRPr="00224851">
        <w:rPr>
          <w:i/>
          <w:iCs/>
          <w:lang w:val="fr-FR"/>
        </w:rPr>
        <w:t>Centrale</w:t>
      </w:r>
      <w:r w:rsidRPr="00224851">
        <w:rPr>
          <w:lang w:val="fr-FR"/>
        </w:rPr>
        <w:t>,</w:t>
      </w:r>
      <w:r>
        <w:rPr>
          <w:lang w:val="fr-FR"/>
        </w:rPr>
        <w:t xml:space="preserve"> </w:t>
      </w:r>
      <w:r w:rsidRPr="00224851">
        <w:rPr>
          <w:lang w:val="fr-FR"/>
        </w:rPr>
        <w:t>p.</w:t>
      </w:r>
      <w:r>
        <w:rPr>
          <w:lang w:val="fr-FR"/>
        </w:rPr>
        <w:t xml:space="preserve"> </w:t>
      </w:r>
      <w:r w:rsidRPr="00224851">
        <w:rPr>
          <w:lang w:val="fr-FR"/>
        </w:rPr>
        <w:t>220.</w:t>
      </w:r>
    </w:p>
  </w:footnote>
  <w:footnote w:id="3">
    <w:p w:rsidR="001C15E8" w:rsidRPr="00DD6267" w:rsidRDefault="001C15E8" w:rsidP="00BD53F0">
      <w:pPr>
        <w:pStyle w:val="FootnoteText"/>
      </w:pPr>
      <w:r w:rsidRPr="00DD6267">
        <w:rPr>
          <w:rStyle w:val="FootnoteReference"/>
        </w:rPr>
        <w:footnoteRef/>
      </w:r>
      <w:r w:rsidRPr="00DD6267">
        <w:tab/>
        <w:t>James</w:t>
      </w:r>
      <w:r>
        <w:t xml:space="preserve"> </w:t>
      </w:r>
      <w:r w:rsidRPr="00DD6267">
        <w:t>Henry</w:t>
      </w:r>
      <w:r>
        <w:t xml:space="preserve"> </w:t>
      </w:r>
      <w:r w:rsidRPr="00DD6267">
        <w:t>Foreman,</w:t>
      </w:r>
      <w:r>
        <w:t xml:space="preserve"> </w:t>
      </w:r>
      <w:r w:rsidRPr="00DD6267">
        <w:rPr>
          <w:i/>
          <w:iCs/>
        </w:rPr>
        <w:t>Story</w:t>
      </w:r>
      <w:r>
        <w:rPr>
          <w:i/>
          <w:iCs/>
        </w:rPr>
        <w:t xml:space="preserve"> </w:t>
      </w:r>
      <w:r w:rsidRPr="00DD6267">
        <w:rPr>
          <w:i/>
          <w:iCs/>
        </w:rPr>
        <w:t>of</w:t>
      </w:r>
      <w:r>
        <w:rPr>
          <w:i/>
          <w:iCs/>
        </w:rPr>
        <w:t xml:space="preserve"> </w:t>
      </w:r>
      <w:r w:rsidRPr="00DD6267">
        <w:rPr>
          <w:i/>
          <w:iCs/>
        </w:rPr>
        <w:t>Prophecy</w:t>
      </w:r>
      <w:r w:rsidRPr="00DD6267">
        <w:t>,</w:t>
      </w:r>
      <w:r>
        <w:t xml:space="preserve"> </w:t>
      </w:r>
      <w:r w:rsidRPr="00DD6267">
        <w:t>pp.</w:t>
      </w:r>
      <w:r>
        <w:t xml:space="preserve"> </w:t>
      </w:r>
      <w:r w:rsidRPr="00DD6267">
        <w:t>310</w:t>
      </w:r>
      <w:r>
        <w:t>–</w:t>
      </w:r>
      <w:r w:rsidRPr="00DD6267">
        <w:t>311.</w:t>
      </w:r>
      <w:r>
        <w:t xml:space="preserve">  </w:t>
      </w:r>
      <w:r w:rsidRPr="00DD6267">
        <w:t>See</w:t>
      </w:r>
      <w:r>
        <w:t xml:space="preserve"> </w:t>
      </w:r>
      <w:r w:rsidRPr="00DD6267">
        <w:t>Appendix,</w:t>
      </w:r>
      <w:r>
        <w:t xml:space="preserve"> </w:t>
      </w:r>
      <w:r w:rsidRPr="00DD6267">
        <w:t>Note</w:t>
      </w:r>
      <w:r>
        <w:t xml:space="preserve"> </w:t>
      </w:r>
      <w:r w:rsidRPr="00DD6267">
        <w:t>1.</w:t>
      </w:r>
    </w:p>
  </w:footnote>
  <w:footnote w:id="4">
    <w:p w:rsidR="001C15E8" w:rsidRPr="00DD6267" w:rsidRDefault="001C15E8" w:rsidP="00DD6267">
      <w:pPr>
        <w:pStyle w:val="FootnoteText"/>
      </w:pPr>
      <w:r w:rsidRPr="00DD6267">
        <w:rPr>
          <w:rStyle w:val="FootnoteReference"/>
        </w:rPr>
        <w:footnoteRef/>
      </w:r>
      <w:r w:rsidRPr="00DD6267">
        <w:tab/>
      </w:r>
      <w:proofErr w:type="gramStart"/>
      <w:r w:rsidRPr="00DD6267">
        <w:t>Nabíl-i-Akbar,</w:t>
      </w:r>
      <w:r>
        <w:t xml:space="preserve"> </w:t>
      </w:r>
      <w:r w:rsidRPr="00DD6267">
        <w:rPr>
          <w:i/>
          <w:iCs/>
        </w:rPr>
        <w:t>The</w:t>
      </w:r>
      <w:r>
        <w:rPr>
          <w:i/>
          <w:iCs/>
        </w:rPr>
        <w:t xml:space="preserve"> </w:t>
      </w:r>
      <w:r w:rsidRPr="00DD6267">
        <w:rPr>
          <w:i/>
          <w:iCs/>
        </w:rPr>
        <w:t>Dawn-Breakers</w:t>
      </w:r>
      <w:r w:rsidRPr="00DD6267">
        <w:t>,</w:t>
      </w:r>
      <w:r>
        <w:t xml:space="preserve"> </w:t>
      </w:r>
      <w:r w:rsidRPr="00DD6267">
        <w:t>pp.</w:t>
      </w:r>
      <w:r>
        <w:t xml:space="preserve"> </w:t>
      </w:r>
      <w:r w:rsidRPr="00DD6267">
        <w:t>9–10,</w:t>
      </w:r>
      <w:r>
        <w:t xml:space="preserve"> </w:t>
      </w:r>
      <w:r w:rsidRPr="00DD6267">
        <w:t>footnote</w:t>
      </w:r>
      <w:r>
        <w:t xml:space="preserve"> </w:t>
      </w:r>
      <w:r w:rsidRPr="00DD6267">
        <w:t>3;</w:t>
      </w:r>
      <w:r>
        <w:t xml:space="preserve"> </w:t>
      </w:r>
      <w:r w:rsidRPr="00DD6267">
        <w:t>pp.</w:t>
      </w:r>
      <w:r>
        <w:t xml:space="preserve"> </w:t>
      </w:r>
      <w:r w:rsidRPr="00DD6267">
        <w:t>17–18,</w:t>
      </w:r>
      <w:r>
        <w:t xml:space="preserve"> </w:t>
      </w:r>
      <w:r w:rsidRPr="00DD6267">
        <w:t>footnote</w:t>
      </w:r>
      <w:r>
        <w:t xml:space="preserve"> </w:t>
      </w:r>
      <w:r w:rsidRPr="00DD6267">
        <w:t>2.</w:t>
      </w:r>
      <w:proofErr w:type="gramEnd"/>
    </w:p>
  </w:footnote>
  <w:footnote w:id="5">
    <w:p w:rsidR="001C15E8" w:rsidRPr="00DD6267" w:rsidRDefault="001C15E8" w:rsidP="00DD6267">
      <w:pPr>
        <w:pStyle w:val="FootnoteText"/>
      </w:pPr>
      <w:r w:rsidRPr="00DD6267">
        <w:rPr>
          <w:rStyle w:val="FootnoteReference"/>
        </w:rPr>
        <w:footnoteRef/>
      </w:r>
      <w:r w:rsidRPr="00DD6267">
        <w:tab/>
      </w:r>
      <w:proofErr w:type="gramStart"/>
      <w:r w:rsidRPr="00DD6267">
        <w:t>idem</w:t>
      </w:r>
      <w:proofErr w:type="gramEnd"/>
      <w:r w:rsidRPr="00DD6267">
        <w:t>,</w:t>
      </w:r>
      <w:r>
        <w:t xml:space="preserve"> </w:t>
      </w:r>
      <w:r w:rsidRPr="00DD6267">
        <w:t>pp.</w:t>
      </w:r>
      <w:r>
        <w:t xml:space="preserve"> </w:t>
      </w:r>
      <w:r w:rsidRPr="00DD6267">
        <w:t>4,</w:t>
      </w:r>
      <w:r>
        <w:t xml:space="preserve"> </w:t>
      </w:r>
      <w:r w:rsidRPr="00DD6267">
        <w:t>9–10,</w:t>
      </w:r>
      <w:r>
        <w:t xml:space="preserve"> </w:t>
      </w:r>
      <w:r w:rsidRPr="00DD6267">
        <w:t>16.</w:t>
      </w:r>
    </w:p>
  </w:footnote>
  <w:footnote w:id="6">
    <w:p w:rsidR="001C15E8" w:rsidRPr="00DD6267" w:rsidRDefault="001C15E8" w:rsidP="00C467AB">
      <w:pPr>
        <w:pStyle w:val="FootnoteText"/>
      </w:pPr>
      <w:r w:rsidRPr="00DD6267">
        <w:rPr>
          <w:rStyle w:val="FootnoteReference"/>
        </w:rPr>
        <w:footnoteRef/>
      </w:r>
      <w:r w:rsidRPr="00DD6267">
        <w:tab/>
      </w:r>
      <w:proofErr w:type="gramStart"/>
      <w:r w:rsidRPr="00DD6267">
        <w:t>idem</w:t>
      </w:r>
      <w:proofErr w:type="gramEnd"/>
      <w:r w:rsidRPr="00DD6267">
        <w:t>,</w:t>
      </w:r>
      <w:r>
        <w:t xml:space="preserve"> </w:t>
      </w:r>
      <w:r w:rsidRPr="00DD6267">
        <w:t>p.</w:t>
      </w:r>
      <w:r>
        <w:t xml:space="preserve"> </w:t>
      </w:r>
      <w:r w:rsidRPr="00DD6267">
        <w:t>59</w:t>
      </w:r>
      <w:r>
        <w:t xml:space="preserve"> </w:t>
      </w:r>
      <w:r w:rsidRPr="00DD6267">
        <w:t>and</w:t>
      </w:r>
      <w:r>
        <w:t xml:space="preserve"> </w:t>
      </w:r>
      <w:r w:rsidRPr="00DD6267">
        <w:t>footnote.</w:t>
      </w:r>
    </w:p>
  </w:footnote>
  <w:footnote w:id="7">
    <w:p w:rsidR="001C15E8" w:rsidRPr="007A504D" w:rsidRDefault="001C15E8">
      <w:pPr>
        <w:pStyle w:val="FootnoteText"/>
        <w:rPr>
          <w:lang w:val="en-AU"/>
        </w:rPr>
      </w:pPr>
      <w:r w:rsidRPr="00DD6267">
        <w:rPr>
          <w:rStyle w:val="FootnoteReference"/>
        </w:rPr>
        <w:footnoteRef/>
      </w:r>
      <w:r w:rsidRPr="007A504D">
        <w:rPr>
          <w:lang w:val="en-AU"/>
        </w:rPr>
        <w:tab/>
      </w:r>
      <w:proofErr w:type="gramStart"/>
      <w:r w:rsidRPr="007A504D">
        <w:rPr>
          <w:lang w:val="en-AU"/>
        </w:rPr>
        <w:t>idem</w:t>
      </w:r>
      <w:proofErr w:type="gramEnd"/>
      <w:r w:rsidRPr="007A504D">
        <w:rPr>
          <w:lang w:val="en-AU"/>
        </w:rPr>
        <w:t>, pp. 25–30; 40–46.</w:t>
      </w:r>
    </w:p>
  </w:footnote>
  <w:footnote w:id="8">
    <w:p w:rsidR="001C15E8" w:rsidRPr="007A504D" w:rsidRDefault="001C15E8">
      <w:pPr>
        <w:pStyle w:val="FootnoteText"/>
        <w:rPr>
          <w:lang w:val="en-AU"/>
        </w:rPr>
      </w:pPr>
      <w:r w:rsidRPr="00DD6267">
        <w:rPr>
          <w:rStyle w:val="FootnoteReference"/>
        </w:rPr>
        <w:footnoteRef/>
      </w:r>
      <w:r w:rsidRPr="007A504D">
        <w:rPr>
          <w:lang w:val="en-AU"/>
        </w:rPr>
        <w:tab/>
        <w:t>Revelation 11:4.</w:t>
      </w:r>
    </w:p>
  </w:footnote>
  <w:footnote w:id="9">
    <w:p w:rsidR="001C15E8" w:rsidRPr="007A504D" w:rsidRDefault="001C15E8">
      <w:pPr>
        <w:pStyle w:val="FootnoteText"/>
        <w:rPr>
          <w:lang w:val="en-AU"/>
        </w:rPr>
      </w:pPr>
      <w:r w:rsidRPr="00DD6267">
        <w:rPr>
          <w:rStyle w:val="FootnoteReference"/>
        </w:rPr>
        <w:footnoteRef/>
      </w:r>
      <w:r w:rsidRPr="007A504D">
        <w:rPr>
          <w:lang w:val="en-AU"/>
        </w:rPr>
        <w:tab/>
      </w:r>
      <w:proofErr w:type="gramStart"/>
      <w:r w:rsidRPr="007A504D">
        <w:rPr>
          <w:lang w:val="en-AU"/>
        </w:rPr>
        <w:t>Qur’án</w:t>
      </w:r>
      <w:proofErr w:type="gramEnd"/>
      <w:r w:rsidRPr="007A504D">
        <w:rPr>
          <w:lang w:val="en-AU"/>
        </w:rPr>
        <w:t xml:space="preserve"> 39:68.</w:t>
      </w:r>
    </w:p>
  </w:footnote>
  <w:footnote w:id="10">
    <w:p w:rsidR="001C15E8" w:rsidRPr="00DD6267" w:rsidRDefault="001C15E8">
      <w:pPr>
        <w:pStyle w:val="FootnoteText"/>
      </w:pPr>
      <w:r w:rsidRPr="00DD6267">
        <w:rPr>
          <w:rStyle w:val="FootnoteReference"/>
        </w:rPr>
        <w:footnoteRef/>
      </w:r>
      <w:r w:rsidRPr="007A504D">
        <w:rPr>
          <w:lang w:val="en-AU"/>
        </w:rPr>
        <w:tab/>
      </w:r>
      <w:proofErr w:type="gramStart"/>
      <w:r w:rsidRPr="007A504D">
        <w:rPr>
          <w:lang w:val="en-AU"/>
        </w:rPr>
        <w:t>idem</w:t>
      </w:r>
      <w:proofErr w:type="gramEnd"/>
      <w:r w:rsidRPr="007A504D">
        <w:rPr>
          <w:lang w:val="en-AU"/>
        </w:rPr>
        <w:t xml:space="preserve">, p. 50.  </w:t>
      </w:r>
      <w:r w:rsidRPr="00DD6267">
        <w:rPr>
          <w:szCs w:val="18"/>
        </w:rPr>
        <w:t>The</w:t>
      </w:r>
      <w:r>
        <w:rPr>
          <w:szCs w:val="18"/>
        </w:rPr>
        <w:t xml:space="preserve"> </w:t>
      </w:r>
      <w:r w:rsidRPr="00DD6267">
        <w:rPr>
          <w:szCs w:val="18"/>
        </w:rPr>
        <w:t>year</w:t>
      </w:r>
      <w:r>
        <w:rPr>
          <w:szCs w:val="18"/>
        </w:rPr>
        <w:t xml:space="preserve"> </w:t>
      </w:r>
      <w:r w:rsidRPr="00DD6267">
        <w:rPr>
          <w:szCs w:val="18"/>
        </w:rPr>
        <w:t>1260</w:t>
      </w:r>
      <w:r>
        <w:rPr>
          <w:szCs w:val="18"/>
        </w:rPr>
        <w:t xml:space="preserve"> </w:t>
      </w:r>
      <w:r w:rsidRPr="00DD6267">
        <w:rPr>
          <w:szCs w:val="18"/>
        </w:rPr>
        <w:t>in</w:t>
      </w:r>
      <w:r>
        <w:rPr>
          <w:szCs w:val="18"/>
        </w:rPr>
        <w:t xml:space="preserve"> </w:t>
      </w:r>
      <w:r w:rsidRPr="00DD6267">
        <w:rPr>
          <w:szCs w:val="18"/>
        </w:rPr>
        <w:t>the</w:t>
      </w:r>
      <w:r>
        <w:rPr>
          <w:szCs w:val="18"/>
        </w:rPr>
        <w:t xml:space="preserve"> </w:t>
      </w:r>
      <w:r w:rsidRPr="00DD6267">
        <w:rPr>
          <w:szCs w:val="18"/>
        </w:rPr>
        <w:t>calendar</w:t>
      </w:r>
      <w:r>
        <w:rPr>
          <w:szCs w:val="18"/>
        </w:rPr>
        <w:t xml:space="preserve"> </w:t>
      </w:r>
      <w:r w:rsidRPr="00DD6267">
        <w:rPr>
          <w:szCs w:val="18"/>
        </w:rPr>
        <w:t>of</w:t>
      </w:r>
      <w:r>
        <w:rPr>
          <w:szCs w:val="18"/>
        </w:rPr>
        <w:t xml:space="preserve"> </w:t>
      </w:r>
      <w:r w:rsidRPr="00DD6267">
        <w:rPr>
          <w:szCs w:val="18"/>
        </w:rPr>
        <w:t>Islám</w:t>
      </w:r>
      <w:r>
        <w:rPr>
          <w:szCs w:val="18"/>
        </w:rPr>
        <w:t xml:space="preserve"> </w:t>
      </w:r>
      <w:r w:rsidRPr="00DD6267">
        <w:rPr>
          <w:szCs w:val="18"/>
        </w:rPr>
        <w:t>is</w:t>
      </w:r>
      <w:r>
        <w:rPr>
          <w:szCs w:val="18"/>
        </w:rPr>
        <w:t xml:space="preserve"> </w:t>
      </w:r>
      <w:r w:rsidRPr="00DD6267">
        <w:rPr>
          <w:szCs w:val="18"/>
        </w:rPr>
        <w:t>the</w:t>
      </w:r>
      <w:r>
        <w:rPr>
          <w:szCs w:val="18"/>
        </w:rPr>
        <w:t xml:space="preserve"> </w:t>
      </w:r>
      <w:r w:rsidRPr="00DD6267">
        <w:rPr>
          <w:szCs w:val="18"/>
        </w:rPr>
        <w:t>year</w:t>
      </w:r>
      <w:r>
        <w:rPr>
          <w:szCs w:val="18"/>
        </w:rPr>
        <w:t xml:space="preserve"> </w:t>
      </w:r>
      <w:r w:rsidRPr="00DD6267">
        <w:rPr>
          <w:szCs w:val="18"/>
        </w:rPr>
        <w:t>1844</w:t>
      </w:r>
      <w:r>
        <w:rPr>
          <w:szCs w:val="18"/>
        </w:rPr>
        <w:t xml:space="preserve"> </w:t>
      </w:r>
      <w:r w:rsidRPr="00DD6267">
        <w:rPr>
          <w:szCs w:val="18"/>
        </w:rPr>
        <w:t>of</w:t>
      </w:r>
      <w:r>
        <w:rPr>
          <w:szCs w:val="18"/>
        </w:rPr>
        <w:t xml:space="preserve"> </w:t>
      </w:r>
      <w:r w:rsidRPr="00DD6267">
        <w:rPr>
          <w:szCs w:val="18"/>
        </w:rPr>
        <w:t>the</w:t>
      </w:r>
      <w:r>
        <w:rPr>
          <w:szCs w:val="18"/>
        </w:rPr>
        <w:t xml:space="preserve"> </w:t>
      </w:r>
      <w:r w:rsidRPr="00DD6267">
        <w:rPr>
          <w:szCs w:val="18"/>
        </w:rPr>
        <w:t>Christian</w:t>
      </w:r>
      <w:r>
        <w:rPr>
          <w:szCs w:val="18"/>
        </w:rPr>
        <w:t xml:space="preserve"> </w:t>
      </w:r>
      <w:r w:rsidRPr="00DD6267">
        <w:rPr>
          <w:szCs w:val="18"/>
        </w:rPr>
        <w:t>calendar.</w:t>
      </w:r>
      <w:r>
        <w:rPr>
          <w:szCs w:val="18"/>
        </w:rPr>
        <w:t xml:space="preserve">  </w:t>
      </w:r>
      <w:r w:rsidRPr="00DD6267">
        <w:rPr>
          <w:szCs w:val="18"/>
        </w:rPr>
        <w:t>1270</w:t>
      </w:r>
      <w:r>
        <w:rPr>
          <w:szCs w:val="18"/>
        </w:rPr>
        <w:t xml:space="preserve"> </w:t>
      </w:r>
      <w:r w:rsidRPr="00DD6267">
        <w:rPr>
          <w:szCs w:val="18"/>
        </w:rPr>
        <w:t>is</w:t>
      </w:r>
      <w:r>
        <w:rPr>
          <w:szCs w:val="18"/>
        </w:rPr>
        <w:t xml:space="preserve"> </w:t>
      </w:r>
      <w:r w:rsidRPr="00DD6267">
        <w:rPr>
          <w:szCs w:val="18"/>
        </w:rPr>
        <w:t>equivalent</w:t>
      </w:r>
      <w:r>
        <w:rPr>
          <w:szCs w:val="18"/>
        </w:rPr>
        <w:t xml:space="preserve"> </w:t>
      </w:r>
      <w:r w:rsidRPr="00DD6267">
        <w:rPr>
          <w:szCs w:val="18"/>
        </w:rPr>
        <w:t>to</w:t>
      </w:r>
      <w:r>
        <w:rPr>
          <w:szCs w:val="18"/>
        </w:rPr>
        <w:t xml:space="preserve"> </w:t>
      </w:r>
      <w:r w:rsidRPr="00DD6267">
        <w:rPr>
          <w:szCs w:val="18"/>
        </w:rPr>
        <w:t>1853.</w:t>
      </w:r>
    </w:p>
  </w:footnote>
  <w:footnote w:id="11">
    <w:p w:rsidR="001C15E8" w:rsidRPr="00DD6267" w:rsidRDefault="001C15E8">
      <w:pPr>
        <w:pStyle w:val="FootnoteText"/>
      </w:pPr>
      <w:r w:rsidRPr="00DD6267">
        <w:rPr>
          <w:rStyle w:val="FootnoteReference"/>
        </w:rPr>
        <w:footnoteRef/>
      </w:r>
      <w:r w:rsidRPr="00DD6267">
        <w:tab/>
        <w:t>Nabíl,</w:t>
      </w:r>
      <w:r>
        <w:t xml:space="preserve"> </w:t>
      </w:r>
      <w:proofErr w:type="gramStart"/>
      <w:r w:rsidRPr="00DD6267">
        <w:rPr>
          <w:i/>
          <w:iCs/>
        </w:rPr>
        <w:t>The</w:t>
      </w:r>
      <w:proofErr w:type="gramEnd"/>
      <w:r>
        <w:rPr>
          <w:i/>
          <w:iCs/>
        </w:rPr>
        <w:t xml:space="preserve"> </w:t>
      </w:r>
      <w:r w:rsidRPr="00DD6267">
        <w:rPr>
          <w:i/>
          <w:iCs/>
        </w:rPr>
        <w:t>Dawn-Breakers</w:t>
      </w:r>
      <w:r w:rsidRPr="00DD6267">
        <w:t>,</w:t>
      </w:r>
      <w:r>
        <w:t xml:space="preserve"> </w:t>
      </w:r>
      <w:r w:rsidRPr="00DD6267">
        <w:t>pp.</w:t>
      </w:r>
      <w:r>
        <w:t xml:space="preserve"> </w:t>
      </w:r>
      <w:r w:rsidRPr="00DD6267">
        <w:t>22–23.</w:t>
      </w:r>
    </w:p>
  </w:footnote>
  <w:footnote w:id="12">
    <w:p w:rsidR="001C15E8" w:rsidRPr="007A504D" w:rsidRDefault="001C15E8">
      <w:pPr>
        <w:pStyle w:val="FootnoteText"/>
        <w:rPr>
          <w:lang w:val="fr-FR"/>
        </w:rPr>
      </w:pPr>
      <w:r w:rsidRPr="00DD6267">
        <w:rPr>
          <w:rStyle w:val="FootnoteReference"/>
        </w:rPr>
        <w:footnoteRef/>
      </w:r>
      <w:r w:rsidRPr="007A504D">
        <w:rPr>
          <w:lang w:val="fr-FR"/>
        </w:rPr>
        <w:tab/>
      </w:r>
      <w:proofErr w:type="gramStart"/>
      <w:r w:rsidRPr="007A504D">
        <w:rPr>
          <w:lang w:val="fr-FR"/>
        </w:rPr>
        <w:t>idem</w:t>
      </w:r>
      <w:proofErr w:type="gramEnd"/>
      <w:r w:rsidRPr="007A504D">
        <w:rPr>
          <w:lang w:val="fr-FR"/>
        </w:rPr>
        <w:t>, pp. 47–61.</w:t>
      </w:r>
    </w:p>
  </w:footnote>
  <w:footnote w:id="13">
    <w:p w:rsidR="001C15E8" w:rsidRPr="00224851" w:rsidRDefault="001C15E8">
      <w:pPr>
        <w:pStyle w:val="FootnoteText"/>
        <w:rPr>
          <w:lang w:val="fr-FR"/>
        </w:rPr>
      </w:pPr>
      <w:r w:rsidRPr="00DD6267">
        <w:rPr>
          <w:rStyle w:val="FootnoteReference"/>
        </w:rPr>
        <w:footnoteRef/>
      </w:r>
      <w:r w:rsidRPr="00224851">
        <w:rPr>
          <w:lang w:val="fr-FR"/>
        </w:rPr>
        <w:tab/>
        <w:t>Comte</w:t>
      </w:r>
      <w:r>
        <w:rPr>
          <w:lang w:val="fr-FR"/>
        </w:rPr>
        <w:t xml:space="preserve"> </w:t>
      </w:r>
      <w:r w:rsidRPr="00224851">
        <w:rPr>
          <w:lang w:val="fr-FR"/>
        </w:rPr>
        <w:t>de</w:t>
      </w:r>
      <w:r>
        <w:rPr>
          <w:lang w:val="fr-FR"/>
        </w:rPr>
        <w:t xml:space="preserve"> </w:t>
      </w:r>
      <w:r w:rsidRPr="00224851">
        <w:rPr>
          <w:lang w:val="fr-FR"/>
        </w:rPr>
        <w:t>Gobineau,</w:t>
      </w:r>
      <w:r>
        <w:rPr>
          <w:lang w:val="fr-FR"/>
        </w:rPr>
        <w:t xml:space="preserve"> </w:t>
      </w:r>
      <w:r w:rsidRPr="00224851">
        <w:rPr>
          <w:i/>
          <w:iCs/>
          <w:lang w:val="fr-FR"/>
        </w:rPr>
        <w:t>Les</w:t>
      </w:r>
      <w:r>
        <w:rPr>
          <w:i/>
          <w:iCs/>
          <w:lang w:val="fr-FR"/>
        </w:rPr>
        <w:t xml:space="preserve"> </w:t>
      </w:r>
      <w:r w:rsidRPr="00224851">
        <w:rPr>
          <w:i/>
          <w:iCs/>
          <w:lang w:val="fr-FR"/>
        </w:rPr>
        <w:t>Religions</w:t>
      </w:r>
      <w:r>
        <w:rPr>
          <w:i/>
          <w:iCs/>
          <w:lang w:val="fr-FR"/>
        </w:rPr>
        <w:t xml:space="preserve"> </w:t>
      </w:r>
      <w:r w:rsidRPr="00224851">
        <w:rPr>
          <w:i/>
          <w:iCs/>
          <w:lang w:val="fr-FR"/>
        </w:rPr>
        <w:t>et</w:t>
      </w:r>
      <w:r>
        <w:rPr>
          <w:i/>
          <w:iCs/>
          <w:lang w:val="fr-FR"/>
        </w:rPr>
        <w:t xml:space="preserve"> </w:t>
      </w:r>
      <w:r w:rsidRPr="00224851">
        <w:rPr>
          <w:i/>
          <w:iCs/>
          <w:lang w:val="fr-FR"/>
        </w:rPr>
        <w:t>les</w:t>
      </w:r>
      <w:r>
        <w:rPr>
          <w:i/>
          <w:iCs/>
          <w:lang w:val="fr-FR"/>
        </w:rPr>
        <w:t xml:space="preserve"> </w:t>
      </w:r>
      <w:r w:rsidRPr="00224851">
        <w:rPr>
          <w:i/>
          <w:iCs/>
          <w:lang w:val="fr-FR"/>
        </w:rPr>
        <w:t>Philosophies</w:t>
      </w:r>
      <w:r>
        <w:rPr>
          <w:i/>
          <w:iCs/>
          <w:lang w:val="fr-FR"/>
        </w:rPr>
        <w:t xml:space="preserve"> </w:t>
      </w:r>
      <w:r w:rsidRPr="00224851">
        <w:rPr>
          <w:i/>
          <w:iCs/>
          <w:lang w:val="fr-FR"/>
        </w:rPr>
        <w:t>dans</w:t>
      </w:r>
      <w:r>
        <w:rPr>
          <w:i/>
          <w:iCs/>
          <w:lang w:val="fr-FR"/>
        </w:rPr>
        <w:t xml:space="preserve"> </w:t>
      </w:r>
      <w:r w:rsidRPr="00224851">
        <w:rPr>
          <w:i/>
          <w:iCs/>
          <w:lang w:val="fr-FR"/>
        </w:rPr>
        <w:t>l’Asie</w:t>
      </w:r>
      <w:r>
        <w:rPr>
          <w:i/>
          <w:iCs/>
          <w:lang w:val="fr-FR"/>
        </w:rPr>
        <w:t xml:space="preserve"> </w:t>
      </w:r>
      <w:r w:rsidRPr="00224851">
        <w:rPr>
          <w:i/>
          <w:iCs/>
          <w:lang w:val="fr-FR"/>
        </w:rPr>
        <w:t>Centrale</w:t>
      </w:r>
      <w:r w:rsidRPr="00224851">
        <w:rPr>
          <w:lang w:val="fr-FR"/>
        </w:rPr>
        <w:t>,</w:t>
      </w:r>
      <w:r>
        <w:rPr>
          <w:lang w:val="fr-FR"/>
        </w:rPr>
        <w:t xml:space="preserve"> </w:t>
      </w:r>
      <w:r w:rsidRPr="00224851">
        <w:rPr>
          <w:lang w:val="fr-FR"/>
        </w:rPr>
        <w:t>p.</w:t>
      </w:r>
      <w:r>
        <w:rPr>
          <w:lang w:val="fr-FR"/>
        </w:rPr>
        <w:t xml:space="preserve"> </w:t>
      </w:r>
      <w:r w:rsidRPr="00224851">
        <w:rPr>
          <w:lang w:val="fr-FR"/>
        </w:rPr>
        <w:t>120.</w:t>
      </w:r>
    </w:p>
  </w:footnote>
  <w:footnote w:id="14">
    <w:p w:rsidR="001C15E8" w:rsidRPr="00DD6267" w:rsidRDefault="001C15E8">
      <w:pPr>
        <w:pStyle w:val="FootnoteText"/>
      </w:pPr>
      <w:r w:rsidRPr="00DD6267">
        <w:rPr>
          <w:rStyle w:val="FootnoteReference"/>
        </w:rPr>
        <w:footnoteRef/>
      </w:r>
      <w:r w:rsidRPr="00DD6267">
        <w:tab/>
        <w:t>Nabíl,</w:t>
      </w:r>
      <w:r>
        <w:t xml:space="preserve"> </w:t>
      </w:r>
      <w:proofErr w:type="gramStart"/>
      <w:r w:rsidRPr="00DD6267">
        <w:rPr>
          <w:i/>
          <w:iCs/>
        </w:rPr>
        <w:t>The</w:t>
      </w:r>
      <w:proofErr w:type="gramEnd"/>
      <w:r>
        <w:rPr>
          <w:i/>
          <w:iCs/>
        </w:rPr>
        <w:t xml:space="preserve"> </w:t>
      </w:r>
      <w:r w:rsidRPr="00DD6267">
        <w:rPr>
          <w:i/>
          <w:iCs/>
        </w:rPr>
        <w:t>Dawn-Breakers</w:t>
      </w:r>
      <w:r w:rsidRPr="00DD6267">
        <w:t>,</w:t>
      </w:r>
      <w:r>
        <w:t xml:space="preserve"> </w:t>
      </w:r>
      <w:r w:rsidRPr="00DD6267">
        <w:t>p.</w:t>
      </w:r>
      <w:r>
        <w:t xml:space="preserve"> </w:t>
      </w:r>
      <w:r w:rsidRPr="00DD6267">
        <w:t>61.</w:t>
      </w:r>
    </w:p>
  </w:footnote>
  <w:footnote w:id="15">
    <w:p w:rsidR="001C15E8" w:rsidRPr="00DD6267" w:rsidRDefault="001C15E8">
      <w:pPr>
        <w:pStyle w:val="FootnoteText"/>
      </w:pPr>
      <w:r w:rsidRPr="00DD6267">
        <w:rPr>
          <w:rStyle w:val="FootnoteReference"/>
        </w:rPr>
        <w:footnoteRef/>
      </w:r>
      <w:r w:rsidRPr="00DD6267">
        <w:tab/>
        <w:t>Nabíl,</w:t>
      </w:r>
      <w:r>
        <w:t xml:space="preserve"> </w:t>
      </w:r>
      <w:proofErr w:type="gramStart"/>
      <w:r w:rsidRPr="00DD6267">
        <w:rPr>
          <w:i/>
          <w:iCs/>
        </w:rPr>
        <w:t>The</w:t>
      </w:r>
      <w:proofErr w:type="gramEnd"/>
      <w:r>
        <w:rPr>
          <w:i/>
          <w:iCs/>
        </w:rPr>
        <w:t xml:space="preserve"> </w:t>
      </w:r>
      <w:r w:rsidRPr="00DD6267">
        <w:rPr>
          <w:i/>
          <w:iCs/>
        </w:rPr>
        <w:t>Dawn-Breakers</w:t>
      </w:r>
      <w:r w:rsidRPr="00DD6267">
        <w:t>,</w:t>
      </w:r>
      <w:r>
        <w:t xml:space="preserve"> </w:t>
      </w:r>
      <w:r w:rsidRPr="00DD6267">
        <w:t>pp.</w:t>
      </w:r>
      <w:r>
        <w:t xml:space="preserve"> </w:t>
      </w:r>
      <w:r w:rsidRPr="00DD6267">
        <w:t>65–66.</w:t>
      </w:r>
    </w:p>
  </w:footnote>
  <w:footnote w:id="16">
    <w:p w:rsidR="001C15E8" w:rsidRPr="00224851" w:rsidRDefault="001C15E8">
      <w:pPr>
        <w:pStyle w:val="FootnoteText"/>
        <w:rPr>
          <w:lang w:val="pl-PL"/>
        </w:rPr>
      </w:pPr>
      <w:r w:rsidRPr="00DD6267">
        <w:rPr>
          <w:rStyle w:val="FootnoteReference"/>
        </w:rPr>
        <w:footnoteRef/>
      </w:r>
      <w:r w:rsidRPr="00224851">
        <w:rPr>
          <w:lang w:val="pl-PL"/>
        </w:rPr>
        <w:tab/>
      </w:r>
      <w:r w:rsidRPr="00224851">
        <w:rPr>
          <w:lang w:val="pl-PL"/>
        </w:rPr>
        <w:t>idem,</w:t>
      </w:r>
      <w:r>
        <w:rPr>
          <w:lang w:val="pl-PL"/>
        </w:rPr>
        <w:t xml:space="preserve"> </w:t>
      </w:r>
      <w:r w:rsidRPr="00224851">
        <w:rPr>
          <w:lang w:val="pl-PL"/>
        </w:rPr>
        <w:t>pp.</w:t>
      </w:r>
      <w:r>
        <w:rPr>
          <w:lang w:val="pl-PL"/>
        </w:rPr>
        <w:t xml:space="preserve"> </w:t>
      </w:r>
      <w:r w:rsidRPr="00224851">
        <w:rPr>
          <w:lang w:val="pl-PL"/>
        </w:rPr>
        <w:t>67–69.</w:t>
      </w:r>
    </w:p>
  </w:footnote>
  <w:footnote w:id="17">
    <w:p w:rsidR="001C15E8" w:rsidRPr="00224851" w:rsidRDefault="001C15E8">
      <w:pPr>
        <w:pStyle w:val="FootnoteText"/>
        <w:rPr>
          <w:lang w:val="pl-PL"/>
        </w:rPr>
      </w:pPr>
      <w:r w:rsidRPr="00DD6267">
        <w:rPr>
          <w:rStyle w:val="FootnoteReference"/>
        </w:rPr>
        <w:footnoteRef/>
      </w:r>
      <w:r w:rsidRPr="00224851">
        <w:rPr>
          <w:lang w:val="pl-PL"/>
        </w:rPr>
        <w:tab/>
        <w:t>idem,</w:t>
      </w:r>
      <w:r>
        <w:rPr>
          <w:lang w:val="pl-PL"/>
        </w:rPr>
        <w:t xml:space="preserve"> </w:t>
      </w:r>
      <w:r w:rsidRPr="00224851">
        <w:rPr>
          <w:lang w:val="pl-PL"/>
        </w:rPr>
        <w:t>p.</w:t>
      </w:r>
      <w:r>
        <w:rPr>
          <w:lang w:val="pl-PL"/>
        </w:rPr>
        <w:t xml:space="preserve"> </w:t>
      </w:r>
      <w:r w:rsidRPr="00224851">
        <w:rPr>
          <w:lang w:val="pl-PL"/>
        </w:rPr>
        <w:t>70.</w:t>
      </w:r>
    </w:p>
  </w:footnote>
  <w:footnote w:id="18">
    <w:p w:rsidR="001C15E8" w:rsidRPr="00224851" w:rsidRDefault="001C15E8">
      <w:pPr>
        <w:pStyle w:val="FootnoteText"/>
        <w:rPr>
          <w:lang w:val="pl-PL"/>
        </w:rPr>
      </w:pPr>
      <w:r w:rsidRPr="00DD6267">
        <w:rPr>
          <w:rStyle w:val="FootnoteReference"/>
        </w:rPr>
        <w:footnoteRef/>
      </w:r>
      <w:r w:rsidRPr="00224851">
        <w:rPr>
          <w:lang w:val="pl-PL"/>
        </w:rPr>
        <w:tab/>
      </w:r>
      <w:r w:rsidRPr="00224851">
        <w:rPr>
          <w:lang w:val="pl-PL"/>
        </w:rPr>
        <w:t>idem,</w:t>
      </w:r>
      <w:r>
        <w:rPr>
          <w:lang w:val="pl-PL"/>
        </w:rPr>
        <w:t xml:space="preserve"> </w:t>
      </w:r>
      <w:r w:rsidRPr="00224851">
        <w:rPr>
          <w:lang w:val="pl-PL"/>
        </w:rPr>
        <w:t>p.</w:t>
      </w:r>
      <w:r>
        <w:rPr>
          <w:lang w:val="pl-PL"/>
        </w:rPr>
        <w:t xml:space="preserve"> </w:t>
      </w:r>
      <w:r w:rsidRPr="00224851">
        <w:rPr>
          <w:lang w:val="pl-PL"/>
        </w:rPr>
        <w:t>85.</w:t>
      </w:r>
    </w:p>
  </w:footnote>
  <w:footnote w:id="19">
    <w:p w:rsidR="001C15E8" w:rsidRPr="00DD6267" w:rsidRDefault="001C15E8">
      <w:pPr>
        <w:pStyle w:val="FootnoteText"/>
      </w:pPr>
      <w:r w:rsidRPr="00DD6267">
        <w:rPr>
          <w:rStyle w:val="FootnoteReference"/>
        </w:rPr>
        <w:footnoteRef/>
      </w:r>
      <w:r w:rsidRPr="00DD6267">
        <w:tab/>
      </w:r>
      <w:proofErr w:type="gramStart"/>
      <w:r w:rsidRPr="00DD6267">
        <w:t>idem</w:t>
      </w:r>
      <w:proofErr w:type="gramEnd"/>
      <w:r w:rsidRPr="00DD6267">
        <w:t>,</w:t>
      </w:r>
      <w:r>
        <w:t xml:space="preserve"> </w:t>
      </w:r>
      <w:r w:rsidRPr="00DD6267">
        <w:t>pp.</w:t>
      </w:r>
      <w:r>
        <w:t xml:space="preserve"> </w:t>
      </w:r>
      <w:r w:rsidRPr="00DD6267">
        <w:t>87–91;</w:t>
      </w:r>
      <w:r>
        <w:t xml:space="preserve"> </w:t>
      </w:r>
      <w:r w:rsidRPr="00DD6267">
        <w:t>p.</w:t>
      </w:r>
      <w:r>
        <w:t xml:space="preserve"> </w:t>
      </w:r>
      <w:r w:rsidRPr="00DD6267">
        <w:t>82,</w:t>
      </w:r>
      <w:r>
        <w:t xml:space="preserve"> </w:t>
      </w:r>
      <w:r w:rsidRPr="00DD6267">
        <w:t>footnote</w:t>
      </w:r>
      <w:r>
        <w:t xml:space="preserve"> </w:t>
      </w:r>
      <w:r w:rsidRPr="00DD6267">
        <w:t>1.</w:t>
      </w:r>
    </w:p>
  </w:footnote>
  <w:footnote w:id="20">
    <w:p w:rsidR="001C15E8" w:rsidRPr="00DD6267" w:rsidRDefault="001C15E8">
      <w:pPr>
        <w:pStyle w:val="FootnoteText"/>
      </w:pPr>
      <w:r w:rsidRPr="00DD6267">
        <w:rPr>
          <w:rStyle w:val="FootnoteReference"/>
        </w:rPr>
        <w:footnoteRef/>
      </w:r>
      <w:r w:rsidRPr="00DD6267">
        <w:tab/>
      </w:r>
      <w:proofErr w:type="gramStart"/>
      <w:r w:rsidRPr="00DD6267">
        <w:t>idem</w:t>
      </w:r>
      <w:proofErr w:type="gramEnd"/>
      <w:r w:rsidRPr="00DD6267">
        <w:t>,</w:t>
      </w:r>
      <w:r>
        <w:t xml:space="preserve"> </w:t>
      </w:r>
      <w:r w:rsidRPr="00DD6267">
        <w:t>pp.</w:t>
      </w:r>
      <w:r>
        <w:t xml:space="preserve"> </w:t>
      </w:r>
      <w:r w:rsidRPr="00DD6267">
        <w:t>92–94.</w:t>
      </w:r>
    </w:p>
  </w:footnote>
  <w:footnote w:id="21">
    <w:p w:rsidR="001C15E8" w:rsidRPr="00DD6267" w:rsidRDefault="001C15E8">
      <w:pPr>
        <w:pStyle w:val="FootnoteText"/>
      </w:pPr>
      <w:r w:rsidRPr="00DD6267">
        <w:rPr>
          <w:rStyle w:val="FootnoteReference"/>
        </w:rPr>
        <w:footnoteRef/>
      </w:r>
      <w:r w:rsidRPr="00DD6267">
        <w:tab/>
        <w:t>Nabíl,</w:t>
      </w:r>
      <w:r>
        <w:t xml:space="preserve"> </w:t>
      </w:r>
      <w:proofErr w:type="gramStart"/>
      <w:r w:rsidRPr="00DD6267">
        <w:rPr>
          <w:i/>
          <w:iCs/>
        </w:rPr>
        <w:t>The</w:t>
      </w:r>
      <w:proofErr w:type="gramEnd"/>
      <w:r>
        <w:rPr>
          <w:i/>
          <w:iCs/>
        </w:rPr>
        <w:t xml:space="preserve"> </w:t>
      </w:r>
      <w:r w:rsidRPr="00DD6267">
        <w:rPr>
          <w:i/>
          <w:iCs/>
        </w:rPr>
        <w:t>Dawn-Breakers</w:t>
      </w:r>
      <w:r w:rsidRPr="00DD6267">
        <w:t>,</w:t>
      </w:r>
      <w:r>
        <w:t xml:space="preserve"> </w:t>
      </w:r>
      <w:r w:rsidRPr="00DD6267">
        <w:t>p.</w:t>
      </w:r>
      <w:r>
        <w:t xml:space="preserve"> </w:t>
      </w:r>
      <w:r w:rsidRPr="00DD6267">
        <w:t>96.</w:t>
      </w:r>
    </w:p>
  </w:footnote>
  <w:footnote w:id="22">
    <w:p w:rsidR="001C15E8" w:rsidRPr="00224851" w:rsidRDefault="001C15E8">
      <w:pPr>
        <w:pStyle w:val="FootnoteText"/>
        <w:rPr>
          <w:lang w:val="pl-PL"/>
        </w:rPr>
      </w:pPr>
      <w:r w:rsidRPr="00DD6267">
        <w:rPr>
          <w:rStyle w:val="FootnoteReference"/>
        </w:rPr>
        <w:footnoteRef/>
      </w:r>
      <w:r w:rsidRPr="00224851">
        <w:rPr>
          <w:lang w:val="pl-PL"/>
        </w:rPr>
        <w:tab/>
      </w:r>
      <w:r w:rsidRPr="00224851">
        <w:rPr>
          <w:lang w:val="pl-PL"/>
        </w:rPr>
        <w:t>idem,</w:t>
      </w:r>
      <w:r>
        <w:rPr>
          <w:lang w:val="pl-PL"/>
        </w:rPr>
        <w:t xml:space="preserve"> </w:t>
      </w:r>
      <w:r w:rsidRPr="00224851">
        <w:rPr>
          <w:lang w:val="pl-PL"/>
        </w:rPr>
        <w:t>pp.</w:t>
      </w:r>
      <w:r>
        <w:rPr>
          <w:lang w:val="pl-PL"/>
        </w:rPr>
        <w:t xml:space="preserve"> </w:t>
      </w:r>
      <w:r w:rsidRPr="00224851">
        <w:rPr>
          <w:lang w:val="pl-PL"/>
        </w:rPr>
        <w:t>129–130.</w:t>
      </w:r>
    </w:p>
  </w:footnote>
  <w:footnote w:id="23">
    <w:p w:rsidR="001C15E8" w:rsidRPr="00224851" w:rsidRDefault="001C15E8">
      <w:pPr>
        <w:pStyle w:val="FootnoteText"/>
        <w:rPr>
          <w:lang w:val="pl-PL"/>
        </w:rPr>
      </w:pPr>
      <w:r w:rsidRPr="00DD6267">
        <w:rPr>
          <w:rStyle w:val="FootnoteReference"/>
        </w:rPr>
        <w:footnoteRef/>
      </w:r>
      <w:r w:rsidRPr="00224851">
        <w:rPr>
          <w:lang w:val="pl-PL"/>
        </w:rPr>
        <w:tab/>
        <w:t>idem,</w:t>
      </w:r>
      <w:r>
        <w:rPr>
          <w:lang w:val="pl-PL"/>
        </w:rPr>
        <w:t xml:space="preserve"> </w:t>
      </w:r>
      <w:r w:rsidRPr="00224851">
        <w:rPr>
          <w:lang w:val="pl-PL"/>
        </w:rPr>
        <w:t>pp.</w:t>
      </w:r>
      <w:r>
        <w:rPr>
          <w:lang w:val="pl-PL"/>
        </w:rPr>
        <w:t xml:space="preserve"> </w:t>
      </w:r>
      <w:r w:rsidRPr="00224851">
        <w:rPr>
          <w:lang w:val="pl-PL"/>
        </w:rPr>
        <w:t>136–137.</w:t>
      </w:r>
    </w:p>
  </w:footnote>
  <w:footnote w:id="24">
    <w:p w:rsidR="001C15E8" w:rsidRPr="00224851" w:rsidRDefault="001C15E8">
      <w:pPr>
        <w:pStyle w:val="FootnoteText"/>
        <w:rPr>
          <w:lang w:val="pl-PL"/>
        </w:rPr>
      </w:pPr>
      <w:r>
        <w:rPr>
          <w:rStyle w:val="FootnoteReference"/>
        </w:rPr>
        <w:footnoteRef/>
      </w:r>
      <w:r w:rsidRPr="00224851">
        <w:rPr>
          <w:lang w:val="pl-PL"/>
        </w:rPr>
        <w:tab/>
      </w:r>
      <w:r w:rsidRPr="00224851">
        <w:rPr>
          <w:u w:val="single"/>
          <w:lang w:val="pl-PL"/>
        </w:rPr>
        <w:t>Sh</w:t>
      </w:r>
      <w:r w:rsidRPr="00224851">
        <w:rPr>
          <w:lang w:val="pl-PL"/>
        </w:rPr>
        <w:t>aríf.</w:t>
      </w:r>
    </w:p>
  </w:footnote>
  <w:footnote w:id="25">
    <w:p w:rsidR="001C15E8" w:rsidRPr="00570E88" w:rsidRDefault="001C15E8">
      <w:pPr>
        <w:pStyle w:val="FootnoteText"/>
        <w:rPr>
          <w:lang w:val="pl-PL"/>
        </w:rPr>
      </w:pPr>
      <w:r w:rsidRPr="00DD6267">
        <w:rPr>
          <w:rStyle w:val="FootnoteReference"/>
        </w:rPr>
        <w:footnoteRef/>
      </w:r>
      <w:r w:rsidRPr="00570E88">
        <w:rPr>
          <w:lang w:val="pl-PL"/>
        </w:rPr>
        <w:tab/>
      </w:r>
      <w:r w:rsidRPr="00570E88">
        <w:rPr>
          <w:lang w:val="pl-PL"/>
        </w:rPr>
        <w:t>idem, p. 138.</w:t>
      </w:r>
    </w:p>
  </w:footnote>
  <w:footnote w:id="26">
    <w:p w:rsidR="001C15E8" w:rsidRPr="00570E88" w:rsidRDefault="001C15E8">
      <w:pPr>
        <w:pStyle w:val="FootnoteText"/>
        <w:rPr>
          <w:lang w:val="pl-PL"/>
        </w:rPr>
      </w:pPr>
      <w:r w:rsidRPr="00DD6267">
        <w:rPr>
          <w:rStyle w:val="FootnoteReference"/>
        </w:rPr>
        <w:footnoteRef/>
      </w:r>
      <w:r w:rsidRPr="00570E88">
        <w:rPr>
          <w:lang w:val="pl-PL"/>
        </w:rPr>
        <w:tab/>
        <w:t xml:space="preserve">Luke </w:t>
      </w:r>
      <w:r w:rsidRPr="00570E88">
        <w:rPr>
          <w:lang w:val="pl-PL"/>
        </w:rPr>
        <w:t>11:52.</w:t>
      </w:r>
    </w:p>
  </w:footnote>
  <w:footnote w:id="27">
    <w:p w:rsidR="001C15E8" w:rsidRPr="00DD6267" w:rsidRDefault="001C15E8" w:rsidP="00593FC8">
      <w:pPr>
        <w:pStyle w:val="FootnoteText"/>
      </w:pPr>
      <w:r w:rsidRPr="00DD6267">
        <w:rPr>
          <w:rStyle w:val="FootnoteReference"/>
        </w:rPr>
        <w:footnoteRef/>
      </w:r>
      <w:r w:rsidRPr="00DD6267">
        <w:tab/>
        <w:t>A.</w:t>
      </w:r>
      <w:r>
        <w:t xml:space="preserve"> </w:t>
      </w:r>
      <w:r w:rsidRPr="00DD6267">
        <w:t>L.</w:t>
      </w:r>
      <w:r>
        <w:t xml:space="preserve"> </w:t>
      </w:r>
      <w:r w:rsidRPr="00DD6267">
        <w:t>M.</w:t>
      </w:r>
      <w:r>
        <w:t xml:space="preserve"> </w:t>
      </w:r>
      <w:r w:rsidRPr="00DD6267">
        <w:t>Nicolas,</w:t>
      </w:r>
      <w:r>
        <w:t xml:space="preserve"> </w:t>
      </w:r>
      <w:r w:rsidRPr="00DD6267">
        <w:t>Introduction</w:t>
      </w:r>
      <w:r>
        <w:t xml:space="preserve"> </w:t>
      </w:r>
      <w:r w:rsidRPr="00DD6267">
        <w:t>to</w:t>
      </w:r>
      <w:r>
        <w:t xml:space="preserve"> </w:t>
      </w:r>
      <w:r w:rsidRPr="00DD6267">
        <w:rPr>
          <w:i/>
          <w:iCs/>
        </w:rPr>
        <w:t>Le</w:t>
      </w:r>
      <w:r>
        <w:rPr>
          <w:i/>
          <w:iCs/>
        </w:rPr>
        <w:t xml:space="preserve"> </w:t>
      </w:r>
      <w:r w:rsidRPr="00DD6267">
        <w:rPr>
          <w:i/>
          <w:iCs/>
        </w:rPr>
        <w:t>Bayán</w:t>
      </w:r>
      <w:r>
        <w:rPr>
          <w:i/>
          <w:iCs/>
        </w:rPr>
        <w:t xml:space="preserve"> </w:t>
      </w:r>
      <w:proofErr w:type="spellStart"/>
      <w:r w:rsidRPr="00DD6267">
        <w:rPr>
          <w:i/>
          <w:iCs/>
        </w:rPr>
        <w:t>Persan</w:t>
      </w:r>
      <w:proofErr w:type="spellEnd"/>
      <w:r w:rsidRPr="00DD6267">
        <w:t>,</w:t>
      </w:r>
      <w:r>
        <w:t xml:space="preserve"> </w:t>
      </w:r>
      <w:r w:rsidRPr="00DD6267">
        <w:t>Vol</w:t>
      </w:r>
      <w:proofErr w:type="gramStart"/>
      <w:r w:rsidRPr="00DD6267">
        <w:t>.</w:t>
      </w:r>
      <w:r>
        <w:t xml:space="preserve"> </w:t>
      </w:r>
      <w:proofErr w:type="gramEnd"/>
      <w:r w:rsidRPr="00DD6267">
        <w:t>I,</w:t>
      </w:r>
      <w:r>
        <w:t xml:space="preserve"> </w:t>
      </w:r>
      <w:r w:rsidRPr="00DD6267">
        <w:t>pp.</w:t>
      </w:r>
      <w:r>
        <w:t xml:space="preserve"> </w:t>
      </w:r>
      <w:r w:rsidRPr="00DD6267">
        <w:t>3–5.</w:t>
      </w:r>
    </w:p>
  </w:footnote>
  <w:footnote w:id="28">
    <w:p w:rsidR="001C15E8" w:rsidRPr="00DD6267" w:rsidRDefault="001C15E8">
      <w:pPr>
        <w:pStyle w:val="FootnoteText"/>
      </w:pPr>
      <w:r w:rsidRPr="00DD6267">
        <w:rPr>
          <w:rStyle w:val="FootnoteReference"/>
        </w:rPr>
        <w:footnoteRef/>
      </w:r>
      <w:r w:rsidRPr="00DD6267">
        <w:tab/>
        <w:t>Nabíl,</w:t>
      </w:r>
      <w:r>
        <w:t xml:space="preserve"> </w:t>
      </w:r>
      <w:proofErr w:type="gramStart"/>
      <w:r w:rsidRPr="00DD6267">
        <w:rPr>
          <w:i/>
          <w:iCs/>
        </w:rPr>
        <w:t>The</w:t>
      </w:r>
      <w:proofErr w:type="gramEnd"/>
      <w:r>
        <w:rPr>
          <w:i/>
          <w:iCs/>
        </w:rPr>
        <w:t xml:space="preserve"> </w:t>
      </w:r>
      <w:r w:rsidRPr="00DD6267">
        <w:rPr>
          <w:i/>
          <w:iCs/>
        </w:rPr>
        <w:t>Dawn-Breakers</w:t>
      </w:r>
      <w:r w:rsidRPr="00DD6267">
        <w:t>,</w:t>
      </w:r>
      <w:r>
        <w:t xml:space="preserve"> </w:t>
      </w:r>
      <w:r w:rsidRPr="00DD6267">
        <w:t>pp.</w:t>
      </w:r>
      <w:r>
        <w:t xml:space="preserve"> </w:t>
      </w:r>
      <w:r w:rsidRPr="00DD6267">
        <w:t>140–141.</w:t>
      </w:r>
    </w:p>
  </w:footnote>
  <w:footnote w:id="29">
    <w:p w:rsidR="001C15E8" w:rsidRPr="00CA305C" w:rsidRDefault="001C15E8">
      <w:pPr>
        <w:pStyle w:val="FootnoteText"/>
        <w:rPr>
          <w:lang w:val="en-US"/>
        </w:rPr>
      </w:pPr>
      <w:r>
        <w:rPr>
          <w:rStyle w:val="FootnoteReference"/>
        </w:rPr>
        <w:footnoteRef/>
      </w:r>
      <w:r>
        <w:tab/>
      </w:r>
      <w:r w:rsidRPr="00382917">
        <w:t>Nabíl,</w:t>
      </w:r>
      <w:r>
        <w:t xml:space="preserve"> </w:t>
      </w:r>
      <w:proofErr w:type="gramStart"/>
      <w:r w:rsidRPr="00382917">
        <w:rPr>
          <w:i/>
          <w:iCs/>
        </w:rPr>
        <w:t>The</w:t>
      </w:r>
      <w:proofErr w:type="gramEnd"/>
      <w:r>
        <w:rPr>
          <w:i/>
          <w:iCs/>
        </w:rPr>
        <w:t xml:space="preserve"> </w:t>
      </w:r>
      <w:r w:rsidRPr="00382917">
        <w:rPr>
          <w:i/>
          <w:iCs/>
        </w:rPr>
        <w:t>Dawn-Breakers</w:t>
      </w:r>
      <w:r w:rsidRPr="00382917">
        <w:t>,</w:t>
      </w:r>
      <w:r>
        <w:t xml:space="preserve"> </w:t>
      </w:r>
      <w:r w:rsidRPr="00382917">
        <w:t>pp.</w:t>
      </w:r>
      <w:r>
        <w:t xml:space="preserve"> </w:t>
      </w:r>
      <w:r w:rsidRPr="00382917">
        <w:t>142–143.</w:t>
      </w:r>
    </w:p>
  </w:footnote>
  <w:footnote w:id="30">
    <w:p w:rsidR="001C15E8" w:rsidRPr="004F6339" w:rsidRDefault="001C15E8">
      <w:pPr>
        <w:pStyle w:val="FootnoteText"/>
        <w:rPr>
          <w:lang w:val="en-US"/>
        </w:rPr>
      </w:pPr>
      <w:r>
        <w:rPr>
          <w:rStyle w:val="FootnoteReference"/>
        </w:rPr>
        <w:footnoteRef/>
      </w:r>
      <w:r>
        <w:tab/>
      </w:r>
      <w:proofErr w:type="gramStart"/>
      <w:r>
        <w:t>idem</w:t>
      </w:r>
      <w:proofErr w:type="gramEnd"/>
      <w:r w:rsidRPr="00382917">
        <w:t>,</w:t>
      </w:r>
      <w:r>
        <w:t xml:space="preserve"> </w:t>
      </w:r>
      <w:r w:rsidRPr="00382917">
        <w:t>pp.</w:t>
      </w:r>
      <w:r>
        <w:t xml:space="preserve"> </w:t>
      </w:r>
      <w:r w:rsidRPr="00382917">
        <w:t>144–148.</w:t>
      </w:r>
    </w:p>
  </w:footnote>
  <w:footnote w:id="31">
    <w:p w:rsidR="001C15E8" w:rsidRPr="005B7FB6" w:rsidRDefault="001C15E8">
      <w:pPr>
        <w:pStyle w:val="FootnoteText"/>
        <w:rPr>
          <w:lang w:val="en-US"/>
        </w:rPr>
      </w:pPr>
      <w:r>
        <w:rPr>
          <w:rStyle w:val="FootnoteReference"/>
        </w:rPr>
        <w:footnoteRef/>
      </w:r>
      <w:r>
        <w:tab/>
      </w:r>
      <w:r w:rsidRPr="00382917">
        <w:t>Nabíl,</w:t>
      </w:r>
      <w:r>
        <w:t xml:space="preserve"> </w:t>
      </w:r>
      <w:proofErr w:type="gramStart"/>
      <w:r w:rsidRPr="00382917">
        <w:rPr>
          <w:i/>
          <w:iCs/>
        </w:rPr>
        <w:t>The</w:t>
      </w:r>
      <w:proofErr w:type="gramEnd"/>
      <w:r>
        <w:rPr>
          <w:i/>
          <w:iCs/>
        </w:rPr>
        <w:t xml:space="preserve"> </w:t>
      </w:r>
      <w:r w:rsidRPr="00382917">
        <w:rPr>
          <w:i/>
          <w:iCs/>
        </w:rPr>
        <w:t>Dawn-Breakers</w:t>
      </w:r>
      <w:r w:rsidRPr="00382917">
        <w:t>,</w:t>
      </w:r>
      <w:r>
        <w:t xml:space="preserve"> </w:t>
      </w:r>
      <w:r w:rsidRPr="00382917">
        <w:t>pp.</w:t>
      </w:r>
      <w:r>
        <w:t xml:space="preserve"> </w:t>
      </w:r>
      <w:r w:rsidRPr="00382917">
        <w:t>149–150.</w:t>
      </w:r>
    </w:p>
  </w:footnote>
  <w:footnote w:id="32">
    <w:p w:rsidR="001C15E8" w:rsidRPr="00ED2737" w:rsidRDefault="001C15E8" w:rsidP="00EE4FC3">
      <w:pPr>
        <w:pStyle w:val="FootnoteText"/>
        <w:rPr>
          <w:lang w:val="fr-FR"/>
        </w:rPr>
      </w:pPr>
      <w:r>
        <w:rPr>
          <w:rStyle w:val="FootnoteReference"/>
        </w:rPr>
        <w:footnoteRef/>
      </w:r>
      <w:r>
        <w:tab/>
      </w:r>
      <w:r w:rsidRPr="00382917">
        <w:t>(1)</w:t>
      </w:r>
      <w:r>
        <w:t xml:space="preserve">  </w:t>
      </w:r>
      <w:r w:rsidRPr="00382917">
        <w:t>A.</w:t>
      </w:r>
      <w:r>
        <w:t xml:space="preserve"> </w:t>
      </w:r>
      <w:r w:rsidRPr="00382917">
        <w:t>L.</w:t>
      </w:r>
      <w:r>
        <w:t xml:space="preserve"> </w:t>
      </w:r>
      <w:r w:rsidRPr="00382917">
        <w:t>M.</w:t>
      </w:r>
      <w:r>
        <w:t xml:space="preserve"> </w:t>
      </w:r>
      <w:r w:rsidRPr="00382917">
        <w:t>Nicolas,</w:t>
      </w:r>
      <w:r>
        <w:rPr>
          <w:i/>
          <w:iCs/>
        </w:rPr>
        <w:t xml:space="preserve"> </w:t>
      </w:r>
      <w:r w:rsidRPr="001713B3">
        <w:rPr>
          <w:i/>
          <w:iCs/>
          <w:lang w:val="en-US"/>
        </w:rPr>
        <w:t>Siyyid</w:t>
      </w:r>
      <w:r>
        <w:rPr>
          <w:i/>
          <w:iCs/>
          <w:lang w:val="en-US"/>
        </w:rPr>
        <w:t xml:space="preserve"> </w:t>
      </w:r>
      <w:r w:rsidRPr="001713B3">
        <w:rPr>
          <w:i/>
          <w:iCs/>
          <w:lang w:val="en-US"/>
        </w:rPr>
        <w:t>‘Alí-Muḥammad</w:t>
      </w:r>
      <w:r>
        <w:rPr>
          <w:i/>
          <w:iCs/>
          <w:lang w:val="en-US"/>
        </w:rPr>
        <w:t xml:space="preserve"> </w:t>
      </w:r>
      <w:proofErr w:type="spellStart"/>
      <w:r w:rsidRPr="001713B3">
        <w:rPr>
          <w:i/>
          <w:iCs/>
          <w:lang w:val="en-US"/>
        </w:rPr>
        <w:t>dit</w:t>
      </w:r>
      <w:proofErr w:type="spellEnd"/>
      <w:r>
        <w:rPr>
          <w:i/>
          <w:iCs/>
          <w:lang w:val="en-US"/>
        </w:rPr>
        <w:t xml:space="preserve"> </w:t>
      </w:r>
      <w:r w:rsidRPr="001713B3">
        <w:rPr>
          <w:i/>
          <w:iCs/>
          <w:lang w:val="en-US"/>
        </w:rPr>
        <w:t>le</w:t>
      </w:r>
      <w:r>
        <w:rPr>
          <w:i/>
          <w:iCs/>
          <w:lang w:val="en-US"/>
        </w:rPr>
        <w:t xml:space="preserve"> </w:t>
      </w:r>
      <w:r w:rsidRPr="001713B3">
        <w:rPr>
          <w:i/>
          <w:iCs/>
          <w:lang w:val="en-US"/>
        </w:rPr>
        <w:t>Báb</w:t>
      </w:r>
      <w:r w:rsidRPr="00382917">
        <w:t>,</w:t>
      </w:r>
      <w:r>
        <w:t xml:space="preserve"> </w:t>
      </w:r>
      <w:r w:rsidRPr="00382917">
        <w:t>pp.</w:t>
      </w:r>
      <w:r>
        <w:t xml:space="preserve"> </w:t>
      </w:r>
      <w:r w:rsidRPr="00382917">
        <w:t>203–207;</w:t>
      </w:r>
      <w:r>
        <w:t xml:space="preserve"> </w:t>
      </w:r>
      <w:r w:rsidRPr="00382917">
        <w:t>229–231.</w:t>
      </w:r>
      <w:r>
        <w:t xml:space="preserve">  </w:t>
      </w:r>
      <w:r w:rsidRPr="00030BA2">
        <w:rPr>
          <w:lang w:val="fr-FR"/>
        </w:rPr>
        <w:t>(2)</w:t>
      </w:r>
      <w:r>
        <w:rPr>
          <w:lang w:val="fr-FR"/>
        </w:rPr>
        <w:t xml:space="preserve">  </w:t>
      </w:r>
      <w:r w:rsidRPr="00ED2737">
        <w:rPr>
          <w:i/>
          <w:iCs/>
          <w:lang w:val="fr-FR"/>
        </w:rPr>
        <w:t>Les</w:t>
      </w:r>
      <w:r>
        <w:rPr>
          <w:i/>
          <w:iCs/>
          <w:lang w:val="fr-FR"/>
        </w:rPr>
        <w:t xml:space="preserve"> </w:t>
      </w:r>
      <w:r w:rsidRPr="00ED2737">
        <w:rPr>
          <w:i/>
          <w:iCs/>
          <w:lang w:val="fr-FR"/>
        </w:rPr>
        <w:t>Livre</w:t>
      </w:r>
      <w:r>
        <w:rPr>
          <w:i/>
          <w:iCs/>
          <w:lang w:val="fr-FR"/>
        </w:rPr>
        <w:t xml:space="preserve"> </w:t>
      </w:r>
      <w:r w:rsidRPr="00ED2737">
        <w:rPr>
          <w:i/>
          <w:iCs/>
          <w:lang w:val="fr-FR"/>
        </w:rPr>
        <w:t>des</w:t>
      </w:r>
      <w:r>
        <w:rPr>
          <w:i/>
          <w:iCs/>
          <w:lang w:val="fr-FR"/>
        </w:rPr>
        <w:t xml:space="preserve"> </w:t>
      </w:r>
      <w:r w:rsidRPr="00ED2737">
        <w:rPr>
          <w:i/>
          <w:iCs/>
          <w:lang w:val="fr-FR"/>
        </w:rPr>
        <w:t>Sept</w:t>
      </w:r>
      <w:r>
        <w:rPr>
          <w:i/>
          <w:iCs/>
          <w:lang w:val="fr-FR"/>
        </w:rPr>
        <w:t xml:space="preserve"> </w:t>
      </w:r>
      <w:r w:rsidRPr="00ED2737">
        <w:rPr>
          <w:i/>
          <w:iCs/>
          <w:lang w:val="fr-FR"/>
        </w:rPr>
        <w:t>Preuves</w:t>
      </w:r>
      <w:r w:rsidRPr="00030BA2">
        <w:rPr>
          <w:lang w:val="fr-FR"/>
        </w:rPr>
        <w:t>,</w:t>
      </w:r>
      <w:r>
        <w:rPr>
          <w:lang w:val="fr-FR"/>
        </w:rPr>
        <w:t xml:space="preserve"> </w:t>
      </w:r>
      <w:r w:rsidRPr="00224851">
        <w:rPr>
          <w:lang w:val="fr-FR"/>
        </w:rPr>
        <w:t>tr</w:t>
      </w:r>
      <w:r>
        <w:rPr>
          <w:lang w:val="fr-FR"/>
        </w:rPr>
        <w:t xml:space="preserve">. </w:t>
      </w:r>
      <w:r w:rsidRPr="00224851">
        <w:rPr>
          <w:lang w:val="fr-FR"/>
        </w:rPr>
        <w:t>A.</w:t>
      </w:r>
      <w:r>
        <w:rPr>
          <w:lang w:val="fr-FR"/>
        </w:rPr>
        <w:t xml:space="preserve"> </w:t>
      </w:r>
      <w:r w:rsidRPr="00030BA2">
        <w:rPr>
          <w:lang w:val="fr-FR"/>
        </w:rPr>
        <w:t>L.</w:t>
      </w:r>
      <w:r>
        <w:rPr>
          <w:lang w:val="fr-FR"/>
        </w:rPr>
        <w:t xml:space="preserve"> </w:t>
      </w:r>
      <w:r w:rsidRPr="00030BA2">
        <w:rPr>
          <w:lang w:val="fr-FR"/>
        </w:rPr>
        <w:t>M.</w:t>
      </w:r>
      <w:r>
        <w:rPr>
          <w:lang w:val="fr-FR"/>
        </w:rPr>
        <w:t xml:space="preserve"> </w:t>
      </w:r>
      <w:r w:rsidRPr="00030BA2">
        <w:rPr>
          <w:lang w:val="fr-FR"/>
        </w:rPr>
        <w:t>Nicolas,</w:t>
      </w:r>
      <w:r>
        <w:rPr>
          <w:lang w:val="fr-FR"/>
        </w:rPr>
        <w:t xml:space="preserve"> </w:t>
      </w:r>
      <w:r w:rsidRPr="00030BA2">
        <w:rPr>
          <w:lang w:val="fr-FR"/>
        </w:rPr>
        <w:t>pp.</w:t>
      </w:r>
      <w:r>
        <w:rPr>
          <w:lang w:val="fr-FR"/>
        </w:rPr>
        <w:t xml:space="preserve"> </w:t>
      </w:r>
      <w:r w:rsidRPr="00030BA2">
        <w:rPr>
          <w:lang w:val="fr-FR"/>
        </w:rPr>
        <w:t>64–65.</w:t>
      </w:r>
    </w:p>
  </w:footnote>
  <w:footnote w:id="33">
    <w:p w:rsidR="001C15E8" w:rsidRPr="00ED2737" w:rsidRDefault="001C15E8">
      <w:pPr>
        <w:pStyle w:val="FootnoteText"/>
        <w:rPr>
          <w:lang w:val="en-US"/>
        </w:rPr>
      </w:pPr>
      <w:r>
        <w:rPr>
          <w:rStyle w:val="FootnoteReference"/>
        </w:rPr>
        <w:footnoteRef/>
      </w:r>
      <w:r>
        <w:tab/>
      </w:r>
      <w:r w:rsidRPr="00382917">
        <w:t>Nabil,</w:t>
      </w:r>
      <w:r>
        <w:t xml:space="preserve"> </w:t>
      </w:r>
      <w:proofErr w:type="gramStart"/>
      <w:r w:rsidRPr="00382917">
        <w:rPr>
          <w:i/>
          <w:iCs/>
        </w:rPr>
        <w:t>The</w:t>
      </w:r>
      <w:proofErr w:type="gramEnd"/>
      <w:r>
        <w:rPr>
          <w:i/>
          <w:iCs/>
        </w:rPr>
        <w:t xml:space="preserve"> </w:t>
      </w:r>
      <w:r w:rsidRPr="00382917">
        <w:rPr>
          <w:i/>
          <w:iCs/>
        </w:rPr>
        <w:t>Dawn-Breakers</w:t>
      </w:r>
      <w:r w:rsidRPr="00382917">
        <w:t>,</w:t>
      </w:r>
      <w:r>
        <w:t xml:space="preserve"> </w:t>
      </w:r>
      <w:r w:rsidRPr="00382917">
        <w:t>pp.</w:t>
      </w:r>
      <w:r>
        <w:t xml:space="preserve"> </w:t>
      </w:r>
      <w:r w:rsidRPr="00382917">
        <w:t>162–168.</w:t>
      </w:r>
    </w:p>
  </w:footnote>
  <w:footnote w:id="34">
    <w:p w:rsidR="001C15E8" w:rsidRPr="00135C7F" w:rsidRDefault="001C15E8">
      <w:pPr>
        <w:pStyle w:val="FootnoteText"/>
        <w:rPr>
          <w:lang w:val="fr-FR"/>
        </w:rPr>
      </w:pPr>
      <w:r>
        <w:rPr>
          <w:rStyle w:val="FootnoteReference"/>
        </w:rPr>
        <w:footnoteRef/>
      </w:r>
      <w:r w:rsidRPr="00135C7F">
        <w:rPr>
          <w:lang w:val="fr-FR"/>
        </w:rPr>
        <w:tab/>
      </w:r>
      <w:r w:rsidRPr="00030BA2">
        <w:rPr>
          <w:lang w:val="fr-FR"/>
        </w:rPr>
        <w:t>Comte</w:t>
      </w:r>
      <w:r>
        <w:rPr>
          <w:lang w:val="fr-FR"/>
        </w:rPr>
        <w:t xml:space="preserve"> </w:t>
      </w:r>
      <w:r w:rsidRPr="00030BA2">
        <w:rPr>
          <w:lang w:val="fr-FR"/>
        </w:rPr>
        <w:t>de</w:t>
      </w:r>
      <w:r>
        <w:rPr>
          <w:lang w:val="fr-FR"/>
        </w:rPr>
        <w:t xml:space="preserve"> </w:t>
      </w:r>
      <w:r w:rsidRPr="00030BA2">
        <w:rPr>
          <w:lang w:val="fr-FR"/>
        </w:rPr>
        <w:t>Gobineau,</w:t>
      </w:r>
      <w:r>
        <w:rPr>
          <w:lang w:val="fr-FR"/>
        </w:rPr>
        <w:t xml:space="preserve"> </w:t>
      </w:r>
      <w:r w:rsidRPr="00BC0CAD">
        <w:rPr>
          <w:i/>
          <w:iCs/>
          <w:lang w:val="fr-FR"/>
        </w:rPr>
        <w:t>Les</w:t>
      </w:r>
      <w:r>
        <w:rPr>
          <w:i/>
          <w:iCs/>
          <w:lang w:val="fr-FR"/>
        </w:rPr>
        <w:t xml:space="preserve"> </w:t>
      </w:r>
      <w:r w:rsidRPr="00BC0CAD">
        <w:rPr>
          <w:i/>
          <w:iCs/>
          <w:lang w:val="fr-FR"/>
        </w:rPr>
        <w:t>Religions</w:t>
      </w:r>
      <w:r>
        <w:rPr>
          <w:i/>
          <w:iCs/>
          <w:lang w:val="fr-FR"/>
        </w:rPr>
        <w:t xml:space="preserve"> </w:t>
      </w:r>
      <w:r w:rsidRPr="00BC0CAD">
        <w:rPr>
          <w:i/>
          <w:iCs/>
          <w:lang w:val="fr-FR"/>
        </w:rPr>
        <w:t>et</w:t>
      </w:r>
      <w:r>
        <w:rPr>
          <w:i/>
          <w:iCs/>
          <w:lang w:val="fr-FR"/>
        </w:rPr>
        <w:t xml:space="preserve"> </w:t>
      </w:r>
      <w:r w:rsidRPr="00BC0CAD">
        <w:rPr>
          <w:i/>
          <w:iCs/>
          <w:lang w:val="fr-FR"/>
        </w:rPr>
        <w:t>les</w:t>
      </w:r>
      <w:r>
        <w:rPr>
          <w:i/>
          <w:iCs/>
          <w:lang w:val="fr-FR"/>
        </w:rPr>
        <w:t xml:space="preserve"> </w:t>
      </w:r>
      <w:r w:rsidRPr="00BC0CAD">
        <w:rPr>
          <w:i/>
          <w:iCs/>
          <w:lang w:val="fr-FR"/>
        </w:rPr>
        <w:t>Philosophies</w:t>
      </w:r>
      <w:r>
        <w:rPr>
          <w:i/>
          <w:iCs/>
          <w:lang w:val="fr-FR"/>
        </w:rPr>
        <w:t xml:space="preserve"> </w:t>
      </w:r>
      <w:r w:rsidRPr="00BC0CAD">
        <w:rPr>
          <w:i/>
          <w:iCs/>
          <w:lang w:val="fr-FR"/>
        </w:rPr>
        <w:t>dans</w:t>
      </w:r>
      <w:r>
        <w:rPr>
          <w:i/>
          <w:iCs/>
          <w:lang w:val="fr-FR"/>
        </w:rPr>
        <w:t xml:space="preserve"> </w:t>
      </w:r>
      <w:r w:rsidRPr="00BC0CAD">
        <w:rPr>
          <w:i/>
          <w:iCs/>
          <w:lang w:val="fr-FR"/>
        </w:rPr>
        <w:t>l’Asie</w:t>
      </w:r>
      <w:r>
        <w:rPr>
          <w:i/>
          <w:iCs/>
          <w:lang w:val="fr-FR"/>
        </w:rPr>
        <w:t xml:space="preserve"> </w:t>
      </w:r>
      <w:r w:rsidRPr="00BC0CAD">
        <w:rPr>
          <w:i/>
          <w:iCs/>
          <w:lang w:val="fr-FR"/>
        </w:rPr>
        <w:t>Centrale</w:t>
      </w:r>
      <w:r w:rsidRPr="00030BA2">
        <w:rPr>
          <w:lang w:val="fr-FR"/>
        </w:rPr>
        <w:t>,</w:t>
      </w:r>
      <w:r>
        <w:rPr>
          <w:lang w:val="fr-FR"/>
        </w:rPr>
        <w:t xml:space="preserve"> </w:t>
      </w:r>
      <w:r w:rsidRPr="00030BA2">
        <w:rPr>
          <w:lang w:val="fr-FR"/>
        </w:rPr>
        <w:t>p.</w:t>
      </w:r>
      <w:r>
        <w:rPr>
          <w:lang w:val="fr-FR"/>
        </w:rPr>
        <w:t xml:space="preserve"> </w:t>
      </w:r>
      <w:r w:rsidRPr="00030BA2">
        <w:rPr>
          <w:lang w:val="fr-FR"/>
        </w:rPr>
        <w:t>122.</w:t>
      </w:r>
    </w:p>
  </w:footnote>
  <w:footnote w:id="35">
    <w:p w:rsidR="001C15E8" w:rsidRPr="00CA5B9E" w:rsidRDefault="001C15E8">
      <w:pPr>
        <w:pStyle w:val="FootnoteText"/>
        <w:rPr>
          <w:lang w:val="en-US"/>
        </w:rPr>
      </w:pPr>
      <w:r>
        <w:rPr>
          <w:rStyle w:val="FootnoteReference"/>
        </w:rPr>
        <w:footnoteRef/>
      </w:r>
      <w:r>
        <w:tab/>
      </w:r>
      <w:proofErr w:type="gramStart"/>
      <w:r>
        <w:t>idem</w:t>
      </w:r>
      <w:proofErr w:type="gramEnd"/>
      <w:r w:rsidRPr="00382917">
        <w:t>,</w:t>
      </w:r>
      <w:r>
        <w:t xml:space="preserve"> </w:t>
      </w:r>
      <w:r w:rsidRPr="00382917">
        <w:t>p.</w:t>
      </w:r>
      <w:r>
        <w:t xml:space="preserve"> </w:t>
      </w:r>
      <w:r w:rsidRPr="00382917">
        <w:t>120.</w:t>
      </w:r>
    </w:p>
  </w:footnote>
  <w:footnote w:id="36">
    <w:p w:rsidR="001C15E8" w:rsidRPr="00FA566C" w:rsidRDefault="001C15E8">
      <w:pPr>
        <w:pStyle w:val="FootnoteText"/>
        <w:rPr>
          <w:lang w:val="en-US"/>
        </w:rPr>
      </w:pPr>
      <w:r>
        <w:rPr>
          <w:rStyle w:val="FootnoteReference"/>
        </w:rPr>
        <w:footnoteRef/>
      </w:r>
      <w:r>
        <w:tab/>
      </w:r>
      <w:proofErr w:type="gramStart"/>
      <w:r>
        <w:t>idem</w:t>
      </w:r>
      <w:proofErr w:type="gramEnd"/>
      <w:r w:rsidRPr="00382917">
        <w:t>,</w:t>
      </w:r>
      <w:r>
        <w:t xml:space="preserve"> </w:t>
      </w:r>
      <w:r w:rsidRPr="00382917">
        <w:t>p.</w:t>
      </w:r>
      <w:r>
        <w:t xml:space="preserve"> </w:t>
      </w:r>
      <w:r w:rsidRPr="00382917">
        <w:t>118.</w:t>
      </w:r>
    </w:p>
  </w:footnote>
  <w:footnote w:id="37">
    <w:p w:rsidR="001C15E8" w:rsidRPr="00BA11F7" w:rsidRDefault="001C15E8">
      <w:pPr>
        <w:pStyle w:val="FootnoteText"/>
        <w:rPr>
          <w:lang w:val="en-US"/>
        </w:rPr>
      </w:pPr>
      <w:r>
        <w:rPr>
          <w:rStyle w:val="FootnoteReference"/>
        </w:rPr>
        <w:footnoteRef/>
      </w:r>
      <w:r>
        <w:tab/>
      </w:r>
      <w:r w:rsidRPr="00382917">
        <w:t>Sir</w:t>
      </w:r>
      <w:r>
        <w:t xml:space="preserve"> </w:t>
      </w:r>
      <w:r w:rsidRPr="00382917">
        <w:t>Francis</w:t>
      </w:r>
      <w:r>
        <w:t xml:space="preserve"> </w:t>
      </w:r>
      <w:proofErr w:type="spellStart"/>
      <w:r w:rsidRPr="00382917">
        <w:t>Younghusband</w:t>
      </w:r>
      <w:proofErr w:type="spellEnd"/>
      <w:r w:rsidRPr="00382917">
        <w:t>,</w:t>
      </w:r>
      <w:r>
        <w:t xml:space="preserve"> </w:t>
      </w:r>
      <w:proofErr w:type="gramStart"/>
      <w:r w:rsidRPr="00BA11F7">
        <w:rPr>
          <w:i/>
          <w:iCs/>
        </w:rPr>
        <w:t>The</w:t>
      </w:r>
      <w:proofErr w:type="gramEnd"/>
      <w:r>
        <w:rPr>
          <w:i/>
          <w:iCs/>
        </w:rPr>
        <w:t xml:space="preserve"> </w:t>
      </w:r>
      <w:r w:rsidRPr="00BA11F7">
        <w:rPr>
          <w:i/>
          <w:iCs/>
        </w:rPr>
        <w:t>Gleam</w:t>
      </w:r>
      <w:r w:rsidRPr="00382917">
        <w:t>,</w:t>
      </w:r>
      <w:r>
        <w:t xml:space="preserve"> </w:t>
      </w:r>
      <w:r w:rsidRPr="00382917">
        <w:t>p.</w:t>
      </w:r>
      <w:r>
        <w:t xml:space="preserve"> </w:t>
      </w:r>
      <w:r w:rsidRPr="00382917">
        <w:t>194.</w:t>
      </w:r>
    </w:p>
  </w:footnote>
  <w:footnote w:id="38">
    <w:p w:rsidR="001C15E8" w:rsidRPr="00400FC3" w:rsidRDefault="001C15E8">
      <w:pPr>
        <w:pStyle w:val="FootnoteText"/>
        <w:rPr>
          <w:lang w:val="fr-FR"/>
        </w:rPr>
      </w:pPr>
      <w:r>
        <w:rPr>
          <w:rStyle w:val="FootnoteReference"/>
        </w:rPr>
        <w:footnoteRef/>
      </w:r>
      <w:r w:rsidRPr="00400FC3">
        <w:rPr>
          <w:lang w:val="fr-FR"/>
        </w:rPr>
        <w:tab/>
      </w:r>
      <w:r w:rsidRPr="000910FF">
        <w:rPr>
          <w:i/>
          <w:iCs/>
          <w:lang w:val="fr-FR"/>
        </w:rPr>
        <w:t>Journal</w:t>
      </w:r>
      <w:r>
        <w:rPr>
          <w:i/>
          <w:iCs/>
          <w:lang w:val="fr-FR"/>
        </w:rPr>
        <w:t xml:space="preserve"> </w:t>
      </w:r>
      <w:r w:rsidRPr="000910FF">
        <w:rPr>
          <w:i/>
          <w:iCs/>
          <w:lang w:val="fr-FR"/>
        </w:rPr>
        <w:t>Asiatique</w:t>
      </w:r>
      <w:r w:rsidRPr="00030BA2">
        <w:rPr>
          <w:lang w:val="fr-FR"/>
        </w:rPr>
        <w:t>,</w:t>
      </w:r>
      <w:r>
        <w:rPr>
          <w:lang w:val="fr-FR"/>
        </w:rPr>
        <w:t xml:space="preserve"> </w:t>
      </w:r>
      <w:r w:rsidRPr="00030BA2">
        <w:rPr>
          <w:lang w:val="fr-FR"/>
        </w:rPr>
        <w:t>1866,</w:t>
      </w:r>
      <w:r>
        <w:rPr>
          <w:lang w:val="fr-FR"/>
        </w:rPr>
        <w:t xml:space="preserve"> </w:t>
      </w:r>
      <w:r w:rsidRPr="00030BA2">
        <w:rPr>
          <w:lang w:val="fr-FR"/>
        </w:rPr>
        <w:t>tome</w:t>
      </w:r>
      <w:r>
        <w:rPr>
          <w:lang w:val="fr-FR"/>
        </w:rPr>
        <w:t xml:space="preserve"> </w:t>
      </w:r>
      <w:r w:rsidRPr="00030BA2">
        <w:rPr>
          <w:lang w:val="fr-FR"/>
        </w:rPr>
        <w:t>7,</w:t>
      </w:r>
      <w:r>
        <w:rPr>
          <w:lang w:val="fr-FR"/>
        </w:rPr>
        <w:t xml:space="preserve"> </w:t>
      </w:r>
      <w:r w:rsidRPr="00030BA2">
        <w:rPr>
          <w:lang w:val="fr-FR"/>
        </w:rPr>
        <w:t>p.</w:t>
      </w:r>
      <w:r>
        <w:rPr>
          <w:lang w:val="fr-FR"/>
        </w:rPr>
        <w:t xml:space="preserve"> </w:t>
      </w:r>
      <w:r w:rsidRPr="00030BA2">
        <w:rPr>
          <w:lang w:val="fr-FR"/>
        </w:rPr>
        <w:t>341.</w:t>
      </w:r>
    </w:p>
  </w:footnote>
  <w:footnote w:id="39">
    <w:p w:rsidR="001C15E8" w:rsidRPr="00400FC3" w:rsidRDefault="001C15E8">
      <w:pPr>
        <w:pStyle w:val="FootnoteText"/>
        <w:rPr>
          <w:lang w:val="fr-FR"/>
        </w:rPr>
      </w:pPr>
      <w:r>
        <w:rPr>
          <w:rStyle w:val="FootnoteReference"/>
        </w:rPr>
        <w:footnoteRef/>
      </w:r>
      <w:r w:rsidRPr="00400FC3">
        <w:rPr>
          <w:lang w:val="fr-FR"/>
        </w:rPr>
        <w:tab/>
      </w:r>
      <w:r w:rsidRPr="00030BA2">
        <w:rPr>
          <w:lang w:val="fr-FR"/>
        </w:rPr>
        <w:t>Comte</w:t>
      </w:r>
      <w:r>
        <w:rPr>
          <w:lang w:val="fr-FR"/>
        </w:rPr>
        <w:t xml:space="preserve"> </w:t>
      </w:r>
      <w:r w:rsidRPr="00030BA2">
        <w:rPr>
          <w:lang w:val="fr-FR"/>
        </w:rPr>
        <w:t>de</w:t>
      </w:r>
      <w:r>
        <w:rPr>
          <w:lang w:val="fr-FR"/>
        </w:rPr>
        <w:t xml:space="preserve"> </w:t>
      </w:r>
      <w:r w:rsidRPr="00030BA2">
        <w:rPr>
          <w:lang w:val="fr-FR"/>
        </w:rPr>
        <w:t>Gobineau,</w:t>
      </w:r>
      <w:r>
        <w:rPr>
          <w:lang w:val="fr-FR"/>
        </w:rPr>
        <w:t xml:space="preserve"> </w:t>
      </w:r>
      <w:r w:rsidRPr="007946F8">
        <w:rPr>
          <w:i/>
          <w:iCs/>
          <w:lang w:val="fr-FR"/>
        </w:rPr>
        <w:t>Les</w:t>
      </w:r>
      <w:r>
        <w:rPr>
          <w:i/>
          <w:iCs/>
          <w:lang w:val="fr-FR"/>
        </w:rPr>
        <w:t xml:space="preserve"> </w:t>
      </w:r>
      <w:r w:rsidRPr="007946F8">
        <w:rPr>
          <w:i/>
          <w:iCs/>
          <w:lang w:val="fr-FR"/>
        </w:rPr>
        <w:t>Religions</w:t>
      </w:r>
      <w:r>
        <w:rPr>
          <w:i/>
          <w:iCs/>
          <w:lang w:val="fr-FR"/>
        </w:rPr>
        <w:t xml:space="preserve"> </w:t>
      </w:r>
      <w:r w:rsidRPr="007946F8">
        <w:rPr>
          <w:i/>
          <w:iCs/>
          <w:lang w:val="fr-FR"/>
        </w:rPr>
        <w:t>et</w:t>
      </w:r>
      <w:r>
        <w:rPr>
          <w:i/>
          <w:iCs/>
          <w:lang w:val="fr-FR"/>
        </w:rPr>
        <w:t xml:space="preserve"> </w:t>
      </w:r>
      <w:r w:rsidRPr="007946F8">
        <w:rPr>
          <w:i/>
          <w:iCs/>
          <w:lang w:val="fr-FR"/>
        </w:rPr>
        <w:t>les</w:t>
      </w:r>
      <w:r>
        <w:rPr>
          <w:i/>
          <w:iCs/>
          <w:lang w:val="fr-FR"/>
        </w:rPr>
        <w:t xml:space="preserve"> </w:t>
      </w:r>
      <w:r w:rsidRPr="007946F8">
        <w:rPr>
          <w:i/>
          <w:iCs/>
          <w:lang w:val="fr-FR"/>
        </w:rPr>
        <w:t>Philosophies</w:t>
      </w:r>
      <w:r>
        <w:rPr>
          <w:i/>
          <w:iCs/>
          <w:lang w:val="fr-FR"/>
        </w:rPr>
        <w:t xml:space="preserve"> </w:t>
      </w:r>
      <w:r w:rsidRPr="007946F8">
        <w:rPr>
          <w:i/>
          <w:iCs/>
          <w:lang w:val="fr-FR"/>
        </w:rPr>
        <w:t>dans</w:t>
      </w:r>
      <w:r>
        <w:rPr>
          <w:i/>
          <w:iCs/>
          <w:lang w:val="fr-FR"/>
        </w:rPr>
        <w:t xml:space="preserve"> </w:t>
      </w:r>
      <w:r w:rsidRPr="007946F8">
        <w:rPr>
          <w:i/>
          <w:iCs/>
          <w:lang w:val="fr-FR"/>
        </w:rPr>
        <w:t>l’Asie</w:t>
      </w:r>
      <w:r>
        <w:rPr>
          <w:i/>
          <w:iCs/>
          <w:lang w:val="fr-FR"/>
        </w:rPr>
        <w:t xml:space="preserve"> </w:t>
      </w:r>
      <w:r w:rsidRPr="007946F8">
        <w:rPr>
          <w:i/>
          <w:iCs/>
          <w:lang w:val="fr-FR"/>
        </w:rPr>
        <w:t>Centrale</w:t>
      </w:r>
      <w:r w:rsidRPr="00030BA2">
        <w:rPr>
          <w:lang w:val="fr-FR"/>
        </w:rPr>
        <w:t>,</w:t>
      </w:r>
      <w:r>
        <w:rPr>
          <w:lang w:val="fr-FR"/>
        </w:rPr>
        <w:t xml:space="preserve"> </w:t>
      </w:r>
      <w:r w:rsidRPr="00030BA2">
        <w:rPr>
          <w:lang w:val="fr-FR"/>
        </w:rPr>
        <w:t>pp.</w:t>
      </w:r>
      <w:r>
        <w:rPr>
          <w:lang w:val="fr-FR"/>
        </w:rPr>
        <w:t xml:space="preserve"> </w:t>
      </w:r>
      <w:r w:rsidRPr="00030BA2">
        <w:rPr>
          <w:lang w:val="fr-FR"/>
        </w:rPr>
        <w:t>120–122.</w:t>
      </w:r>
    </w:p>
  </w:footnote>
  <w:footnote w:id="40">
    <w:p w:rsidR="001C15E8" w:rsidRPr="00400FC3" w:rsidRDefault="001C15E8">
      <w:pPr>
        <w:pStyle w:val="FootnoteText"/>
        <w:rPr>
          <w:lang w:val="en-US"/>
        </w:rPr>
      </w:pPr>
      <w:r>
        <w:rPr>
          <w:rStyle w:val="FootnoteReference"/>
        </w:rPr>
        <w:footnoteRef/>
      </w:r>
      <w:r>
        <w:tab/>
      </w:r>
      <w:r w:rsidRPr="001713B3">
        <w:rPr>
          <w:i/>
          <w:iCs/>
        </w:rPr>
        <w:t>Journal</w:t>
      </w:r>
      <w:r>
        <w:rPr>
          <w:i/>
          <w:iCs/>
        </w:rPr>
        <w:t xml:space="preserve"> </w:t>
      </w:r>
      <w:proofErr w:type="spellStart"/>
      <w:r w:rsidRPr="001713B3">
        <w:rPr>
          <w:i/>
          <w:iCs/>
        </w:rPr>
        <w:t>Asiatique</w:t>
      </w:r>
      <w:proofErr w:type="spellEnd"/>
      <w:r w:rsidRPr="00382917">
        <w:t>,</w:t>
      </w:r>
      <w:r>
        <w:t xml:space="preserve"> </w:t>
      </w:r>
      <w:r w:rsidRPr="00382917">
        <w:t>1866,</w:t>
      </w:r>
      <w:r>
        <w:t xml:space="preserve"> </w:t>
      </w:r>
      <w:r w:rsidRPr="00382917">
        <w:t>tome</w:t>
      </w:r>
      <w:r>
        <w:t xml:space="preserve"> </w:t>
      </w:r>
      <w:r w:rsidRPr="00382917">
        <w:t>8,</w:t>
      </w:r>
      <w:r>
        <w:t xml:space="preserve"> </w:t>
      </w:r>
      <w:r w:rsidRPr="00382917">
        <w:t>p.</w:t>
      </w:r>
      <w:r>
        <w:t xml:space="preserve"> </w:t>
      </w:r>
      <w:r w:rsidRPr="00382917">
        <w:t>251.</w:t>
      </w:r>
    </w:p>
  </w:footnote>
  <w:footnote w:id="41">
    <w:p w:rsidR="001C15E8" w:rsidRPr="00050B87" w:rsidRDefault="001C15E8" w:rsidP="00B92F1D">
      <w:pPr>
        <w:pStyle w:val="FootnoteText"/>
        <w:rPr>
          <w:lang w:val="en-AU"/>
        </w:rPr>
      </w:pPr>
      <w:r>
        <w:rPr>
          <w:rStyle w:val="FootnoteReference"/>
        </w:rPr>
        <w:footnoteRef/>
      </w:r>
      <w:r>
        <w:tab/>
      </w:r>
      <w:r w:rsidRPr="00050B87">
        <w:rPr>
          <w:lang w:val="en-AU"/>
        </w:rPr>
        <w:t>Siyyid</w:t>
      </w:r>
      <w:r>
        <w:rPr>
          <w:lang w:val="en-AU"/>
        </w:rPr>
        <w:t xml:space="preserve"> </w:t>
      </w:r>
      <w:proofErr w:type="spellStart"/>
      <w:r w:rsidRPr="00050B87">
        <w:rPr>
          <w:lang w:val="en-AU"/>
        </w:rPr>
        <w:t>Ya</w:t>
      </w:r>
      <w:proofErr w:type="spellEnd"/>
      <w:r w:rsidRPr="00B92F1D">
        <w:t>ḥ</w:t>
      </w:r>
      <w:proofErr w:type="spellStart"/>
      <w:r w:rsidRPr="00050B87">
        <w:rPr>
          <w:lang w:val="en-AU"/>
        </w:rPr>
        <w:t>yáy</w:t>
      </w:r>
      <w:proofErr w:type="spellEnd"/>
      <w:r w:rsidRPr="00050B87">
        <w:rPr>
          <w:lang w:val="en-AU"/>
        </w:rPr>
        <w:t>-</w:t>
      </w:r>
      <w:proofErr w:type="spellStart"/>
      <w:r w:rsidRPr="00050B87">
        <w:rPr>
          <w:lang w:val="en-AU"/>
        </w:rPr>
        <w:t>i</w:t>
      </w:r>
      <w:proofErr w:type="spellEnd"/>
      <w:r w:rsidRPr="00050B87">
        <w:rPr>
          <w:lang w:val="en-AU"/>
        </w:rPr>
        <w:t>-</w:t>
      </w:r>
      <w:proofErr w:type="gramStart"/>
      <w:r w:rsidRPr="00050B87">
        <w:rPr>
          <w:lang w:val="en-AU"/>
        </w:rPr>
        <w:t>Dárábí,</w:t>
      </w:r>
      <w:proofErr w:type="gramEnd"/>
      <w:r>
        <w:rPr>
          <w:lang w:val="en-AU"/>
        </w:rPr>
        <w:t xml:space="preserve"> </w:t>
      </w:r>
      <w:r w:rsidRPr="00050B87">
        <w:rPr>
          <w:lang w:val="en-AU"/>
        </w:rPr>
        <w:t>surnamed</w:t>
      </w:r>
      <w:r>
        <w:rPr>
          <w:lang w:val="en-AU"/>
        </w:rPr>
        <w:t xml:space="preserve"> </w:t>
      </w:r>
      <w:r w:rsidRPr="00050B87">
        <w:rPr>
          <w:lang w:val="en-AU"/>
        </w:rPr>
        <w:t>Vaḥíd.</w:t>
      </w:r>
    </w:p>
  </w:footnote>
  <w:footnote w:id="42">
    <w:p w:rsidR="001C15E8" w:rsidRPr="00050B87" w:rsidRDefault="001C15E8" w:rsidP="00EE4FC3">
      <w:pPr>
        <w:pStyle w:val="FootnoteText"/>
        <w:rPr>
          <w:lang w:val="en-US"/>
        </w:rPr>
      </w:pPr>
      <w:r>
        <w:rPr>
          <w:rStyle w:val="FootnoteReference"/>
        </w:rPr>
        <w:footnoteRef/>
      </w:r>
      <w:r w:rsidRPr="00224851">
        <w:rPr>
          <w:lang w:val="es-ES"/>
        </w:rPr>
        <w:tab/>
        <w:t>(1)</w:t>
      </w:r>
      <w:r>
        <w:rPr>
          <w:lang w:val="es-ES"/>
        </w:rPr>
        <w:t xml:space="preserve">  </w:t>
      </w:r>
      <w:r w:rsidRPr="00224851">
        <w:rPr>
          <w:lang w:val="es-ES"/>
        </w:rPr>
        <w:t>A.</w:t>
      </w:r>
      <w:r>
        <w:rPr>
          <w:lang w:val="es-ES"/>
        </w:rPr>
        <w:t xml:space="preserve"> </w:t>
      </w:r>
      <w:r w:rsidRPr="00224851">
        <w:rPr>
          <w:lang w:val="es-ES"/>
        </w:rPr>
        <w:t>L.</w:t>
      </w:r>
      <w:r>
        <w:rPr>
          <w:lang w:val="es-ES"/>
        </w:rPr>
        <w:t xml:space="preserve"> </w:t>
      </w:r>
      <w:r w:rsidRPr="00224851">
        <w:rPr>
          <w:lang w:val="es-ES"/>
        </w:rPr>
        <w:t>M.</w:t>
      </w:r>
      <w:r>
        <w:rPr>
          <w:lang w:val="es-ES"/>
        </w:rPr>
        <w:t xml:space="preserve"> </w:t>
      </w:r>
      <w:proofErr w:type="spellStart"/>
      <w:r w:rsidRPr="00224851">
        <w:rPr>
          <w:lang w:val="es-ES"/>
        </w:rPr>
        <w:t>Nicolas</w:t>
      </w:r>
      <w:proofErr w:type="spellEnd"/>
      <w:r w:rsidRPr="00224851">
        <w:rPr>
          <w:lang w:val="es-ES"/>
        </w:rPr>
        <w:t>,</w:t>
      </w:r>
      <w:r>
        <w:rPr>
          <w:lang w:val="es-ES"/>
        </w:rPr>
        <w:t xml:space="preserve"> </w:t>
      </w:r>
      <w:r w:rsidRPr="00224851">
        <w:rPr>
          <w:i/>
          <w:iCs/>
          <w:lang w:val="es-ES"/>
        </w:rPr>
        <w:t>Siyyid</w:t>
      </w:r>
      <w:r>
        <w:rPr>
          <w:i/>
          <w:iCs/>
          <w:lang w:val="es-ES"/>
        </w:rPr>
        <w:t xml:space="preserve"> </w:t>
      </w:r>
      <w:r w:rsidRPr="00224851">
        <w:rPr>
          <w:i/>
          <w:iCs/>
          <w:lang w:val="es-ES"/>
        </w:rPr>
        <w:t>‘Alí-Muhammad</w:t>
      </w:r>
      <w:r>
        <w:rPr>
          <w:i/>
          <w:iCs/>
          <w:lang w:val="es-ES"/>
        </w:rPr>
        <w:t xml:space="preserve"> </w:t>
      </w:r>
      <w:proofErr w:type="spellStart"/>
      <w:r w:rsidRPr="00224851">
        <w:rPr>
          <w:i/>
          <w:iCs/>
          <w:lang w:val="es-ES"/>
        </w:rPr>
        <w:t>dit</w:t>
      </w:r>
      <w:proofErr w:type="spellEnd"/>
      <w:r>
        <w:rPr>
          <w:i/>
          <w:iCs/>
          <w:lang w:val="es-ES"/>
        </w:rPr>
        <w:t xml:space="preserve"> </w:t>
      </w:r>
      <w:r w:rsidRPr="00224851">
        <w:rPr>
          <w:i/>
          <w:iCs/>
          <w:lang w:val="es-ES"/>
        </w:rPr>
        <w:t>le</w:t>
      </w:r>
      <w:r>
        <w:rPr>
          <w:i/>
          <w:iCs/>
          <w:lang w:val="es-ES"/>
        </w:rPr>
        <w:t xml:space="preserve"> </w:t>
      </w:r>
      <w:r w:rsidRPr="00224851">
        <w:rPr>
          <w:i/>
          <w:iCs/>
          <w:lang w:val="es-ES"/>
        </w:rPr>
        <w:t>Báb</w:t>
      </w:r>
      <w:r w:rsidRPr="00224851">
        <w:rPr>
          <w:lang w:val="es-ES"/>
        </w:rPr>
        <w:t>,</w:t>
      </w:r>
      <w:r>
        <w:rPr>
          <w:lang w:val="es-ES"/>
        </w:rPr>
        <w:t xml:space="preserve"> </w:t>
      </w:r>
      <w:r w:rsidRPr="00224851">
        <w:rPr>
          <w:lang w:val="es-ES"/>
        </w:rPr>
        <w:t>p.</w:t>
      </w:r>
      <w:r>
        <w:rPr>
          <w:lang w:val="es-ES"/>
        </w:rPr>
        <w:t xml:space="preserve"> </w:t>
      </w:r>
      <w:r w:rsidRPr="00224851">
        <w:rPr>
          <w:lang w:val="es-ES"/>
        </w:rPr>
        <w:t>273.</w:t>
      </w:r>
      <w:r>
        <w:rPr>
          <w:lang w:val="es-ES"/>
        </w:rPr>
        <w:t xml:space="preserve">  </w:t>
      </w:r>
      <w:r w:rsidRPr="00382917">
        <w:t>(2)</w:t>
      </w:r>
      <w:r>
        <w:t xml:space="preserve">  </w:t>
      </w:r>
      <w:r w:rsidRPr="00382917">
        <w:t>Nabil,</w:t>
      </w:r>
      <w:r>
        <w:t xml:space="preserve"> </w:t>
      </w:r>
      <w:proofErr w:type="gramStart"/>
      <w:r w:rsidRPr="00382917">
        <w:rPr>
          <w:i/>
          <w:iCs/>
        </w:rPr>
        <w:t>The</w:t>
      </w:r>
      <w:proofErr w:type="gramEnd"/>
      <w:r>
        <w:rPr>
          <w:i/>
          <w:iCs/>
        </w:rPr>
        <w:t xml:space="preserve"> </w:t>
      </w:r>
      <w:r w:rsidRPr="00382917">
        <w:rPr>
          <w:i/>
          <w:iCs/>
        </w:rPr>
        <w:t>Dawn-Breakers</w:t>
      </w:r>
      <w:r w:rsidRPr="00382917">
        <w:t>,</w:t>
      </w:r>
      <w:r>
        <w:t xml:space="preserve"> </w:t>
      </w:r>
      <w:r w:rsidRPr="00382917">
        <w:t>p.</w:t>
      </w:r>
      <w:r>
        <w:t xml:space="preserve"> </w:t>
      </w:r>
      <w:r w:rsidRPr="00382917">
        <w:t>171.</w:t>
      </w:r>
    </w:p>
  </w:footnote>
  <w:footnote w:id="43">
    <w:p w:rsidR="001C15E8" w:rsidRPr="004F2077" w:rsidRDefault="001C15E8" w:rsidP="00EE4FC3">
      <w:pPr>
        <w:pStyle w:val="FootnoteText"/>
        <w:rPr>
          <w:lang w:val="en-US"/>
        </w:rPr>
      </w:pPr>
      <w:r>
        <w:rPr>
          <w:rStyle w:val="FootnoteReference"/>
        </w:rPr>
        <w:footnoteRef/>
      </w:r>
      <w:r>
        <w:tab/>
      </w:r>
      <w:r w:rsidRPr="004F2077">
        <w:rPr>
          <w:i/>
          <w:iCs/>
        </w:rPr>
        <w:t>Le</w:t>
      </w:r>
      <w:r>
        <w:rPr>
          <w:i/>
          <w:iCs/>
        </w:rPr>
        <w:t xml:space="preserve"> </w:t>
      </w:r>
      <w:r w:rsidRPr="004F2077">
        <w:rPr>
          <w:i/>
          <w:iCs/>
        </w:rPr>
        <w:t>Bayán</w:t>
      </w:r>
      <w:r>
        <w:rPr>
          <w:i/>
          <w:iCs/>
        </w:rPr>
        <w:t xml:space="preserve"> </w:t>
      </w:r>
      <w:proofErr w:type="spellStart"/>
      <w:r w:rsidRPr="004F2077">
        <w:rPr>
          <w:i/>
          <w:iCs/>
        </w:rPr>
        <w:t>Persan</w:t>
      </w:r>
      <w:proofErr w:type="spellEnd"/>
      <w:r w:rsidRPr="00382917">
        <w:t>,</w:t>
      </w:r>
      <w:r>
        <w:t xml:space="preserve"> </w:t>
      </w:r>
      <w:r w:rsidRPr="00382917">
        <w:t>tr</w:t>
      </w:r>
      <w:r>
        <w:t xml:space="preserve">. </w:t>
      </w:r>
      <w:r w:rsidRPr="00382917">
        <w:t>Nicolas,</w:t>
      </w:r>
      <w:r>
        <w:t xml:space="preserve"> </w:t>
      </w:r>
      <w:r w:rsidRPr="00382917">
        <w:t>vol.</w:t>
      </w:r>
      <w:r>
        <w:t xml:space="preserve"> </w:t>
      </w:r>
      <w:r w:rsidRPr="00382917">
        <w:t>1,</w:t>
      </w:r>
      <w:r>
        <w:t xml:space="preserve"> </w:t>
      </w:r>
      <w:r w:rsidRPr="00382917">
        <w:t>p.</w:t>
      </w:r>
      <w:r>
        <w:t xml:space="preserve"> </w:t>
      </w:r>
      <w:r w:rsidRPr="00382917">
        <w:t>43.</w:t>
      </w:r>
    </w:p>
  </w:footnote>
  <w:footnote w:id="44">
    <w:p w:rsidR="001C15E8" w:rsidRPr="00B0573F" w:rsidRDefault="001C15E8">
      <w:pPr>
        <w:pStyle w:val="FootnoteText"/>
        <w:rPr>
          <w:lang w:val="es-ES"/>
        </w:rPr>
      </w:pPr>
      <w:r>
        <w:rPr>
          <w:rStyle w:val="FootnoteReference"/>
        </w:rPr>
        <w:footnoteRef/>
      </w:r>
      <w:r w:rsidRPr="00B0573F">
        <w:rPr>
          <w:lang w:val="es-ES"/>
        </w:rPr>
        <w:tab/>
        <w:t>A.</w:t>
      </w:r>
      <w:r>
        <w:rPr>
          <w:lang w:val="es-ES"/>
        </w:rPr>
        <w:t xml:space="preserve"> </w:t>
      </w:r>
      <w:r w:rsidRPr="00B0573F">
        <w:rPr>
          <w:lang w:val="es-ES"/>
        </w:rPr>
        <w:t>L.</w:t>
      </w:r>
      <w:r>
        <w:rPr>
          <w:lang w:val="es-ES"/>
        </w:rPr>
        <w:t xml:space="preserve"> </w:t>
      </w:r>
      <w:r w:rsidRPr="00B0573F">
        <w:rPr>
          <w:lang w:val="es-ES"/>
        </w:rPr>
        <w:t>M.</w:t>
      </w:r>
      <w:r>
        <w:rPr>
          <w:lang w:val="es-ES"/>
        </w:rPr>
        <w:t xml:space="preserve"> </w:t>
      </w:r>
      <w:proofErr w:type="spellStart"/>
      <w:r w:rsidRPr="00B0573F">
        <w:rPr>
          <w:lang w:val="es-ES"/>
        </w:rPr>
        <w:t>Nicolas</w:t>
      </w:r>
      <w:proofErr w:type="spellEnd"/>
      <w:r w:rsidRPr="00B0573F">
        <w:rPr>
          <w:lang w:val="es-ES"/>
        </w:rPr>
        <w:t>,</w:t>
      </w:r>
      <w:r>
        <w:rPr>
          <w:lang w:val="es-ES"/>
        </w:rPr>
        <w:t xml:space="preserve"> </w:t>
      </w:r>
      <w:r w:rsidRPr="001713B3">
        <w:rPr>
          <w:i/>
          <w:iCs/>
          <w:lang w:val="es-ES"/>
        </w:rPr>
        <w:t>Siyyid</w:t>
      </w:r>
      <w:r>
        <w:rPr>
          <w:i/>
          <w:iCs/>
          <w:lang w:val="es-ES"/>
        </w:rPr>
        <w:t xml:space="preserve"> </w:t>
      </w:r>
      <w:r w:rsidRPr="001713B3">
        <w:rPr>
          <w:i/>
          <w:iCs/>
          <w:lang w:val="es-ES"/>
        </w:rPr>
        <w:t>‘Alí-Muḥammad</w:t>
      </w:r>
      <w:r>
        <w:rPr>
          <w:i/>
          <w:iCs/>
          <w:lang w:val="es-ES"/>
        </w:rPr>
        <w:t xml:space="preserve"> </w:t>
      </w:r>
      <w:proofErr w:type="spellStart"/>
      <w:r w:rsidRPr="001713B3">
        <w:rPr>
          <w:i/>
          <w:iCs/>
          <w:lang w:val="es-ES"/>
        </w:rPr>
        <w:t>dit</w:t>
      </w:r>
      <w:proofErr w:type="spellEnd"/>
      <w:r>
        <w:rPr>
          <w:i/>
          <w:iCs/>
          <w:lang w:val="es-ES"/>
        </w:rPr>
        <w:t xml:space="preserve"> </w:t>
      </w:r>
      <w:r w:rsidRPr="001713B3">
        <w:rPr>
          <w:i/>
          <w:iCs/>
          <w:lang w:val="es-ES"/>
        </w:rPr>
        <w:t>le</w:t>
      </w:r>
      <w:r>
        <w:rPr>
          <w:i/>
          <w:iCs/>
          <w:lang w:val="es-ES"/>
        </w:rPr>
        <w:t xml:space="preserve"> </w:t>
      </w:r>
      <w:r w:rsidRPr="001713B3">
        <w:rPr>
          <w:i/>
          <w:iCs/>
          <w:lang w:val="es-ES"/>
        </w:rPr>
        <w:t>Báb</w:t>
      </w:r>
      <w:r w:rsidRPr="00B0573F">
        <w:rPr>
          <w:lang w:val="es-ES"/>
        </w:rPr>
        <w:t>,</w:t>
      </w:r>
      <w:r>
        <w:rPr>
          <w:lang w:val="es-ES"/>
        </w:rPr>
        <w:t xml:space="preserve"> </w:t>
      </w:r>
      <w:r w:rsidRPr="00B0573F">
        <w:rPr>
          <w:lang w:val="es-ES"/>
        </w:rPr>
        <w:t>p.</w:t>
      </w:r>
      <w:r>
        <w:rPr>
          <w:lang w:val="es-ES"/>
        </w:rPr>
        <w:t xml:space="preserve"> </w:t>
      </w:r>
      <w:r w:rsidRPr="00B0573F">
        <w:rPr>
          <w:lang w:val="es-ES"/>
        </w:rPr>
        <w:t>234.</w:t>
      </w:r>
    </w:p>
  </w:footnote>
  <w:footnote w:id="45">
    <w:p w:rsidR="001C15E8" w:rsidRPr="00B0573F" w:rsidRDefault="001C15E8">
      <w:pPr>
        <w:pStyle w:val="FootnoteText"/>
        <w:rPr>
          <w:lang w:val="en-US"/>
        </w:rPr>
      </w:pPr>
      <w:r>
        <w:rPr>
          <w:rStyle w:val="FootnoteReference"/>
        </w:rPr>
        <w:footnoteRef/>
      </w:r>
      <w:r>
        <w:tab/>
      </w:r>
      <w:proofErr w:type="gramStart"/>
      <w:r w:rsidRPr="001713B3">
        <w:rPr>
          <w:i/>
          <w:iCs/>
        </w:rPr>
        <w:t>A</w:t>
      </w:r>
      <w:r>
        <w:rPr>
          <w:i/>
          <w:iCs/>
        </w:rPr>
        <w:t xml:space="preserve"> </w:t>
      </w:r>
      <w:r w:rsidRPr="001713B3">
        <w:rPr>
          <w:i/>
          <w:iCs/>
        </w:rPr>
        <w:t>Traveller’s</w:t>
      </w:r>
      <w:r>
        <w:rPr>
          <w:i/>
          <w:iCs/>
        </w:rPr>
        <w:t xml:space="preserve"> </w:t>
      </w:r>
      <w:r w:rsidRPr="001713B3">
        <w:rPr>
          <w:i/>
          <w:iCs/>
        </w:rPr>
        <w:t>Narrative</w:t>
      </w:r>
      <w:r w:rsidRPr="00382917">
        <w:t>,</w:t>
      </w:r>
      <w:r>
        <w:t xml:space="preserve"> tr. </w:t>
      </w:r>
      <w:r w:rsidRPr="00382917">
        <w:t>E.</w:t>
      </w:r>
      <w:r>
        <w:t xml:space="preserve"> </w:t>
      </w:r>
      <w:r w:rsidRPr="00382917">
        <w:t>G.</w:t>
      </w:r>
      <w:r>
        <w:t xml:space="preserve"> </w:t>
      </w:r>
      <w:r w:rsidRPr="00382917">
        <w:t>Browne,</w:t>
      </w:r>
      <w:r>
        <w:t xml:space="preserve"> </w:t>
      </w:r>
      <w:r w:rsidRPr="00382917">
        <w:t>p.</w:t>
      </w:r>
      <w:r>
        <w:t xml:space="preserve"> </w:t>
      </w:r>
      <w:r w:rsidRPr="00382917">
        <w:t>8.</w:t>
      </w:r>
      <w:proofErr w:type="gramEnd"/>
    </w:p>
  </w:footnote>
  <w:footnote w:id="46">
    <w:p w:rsidR="001C15E8" w:rsidRPr="008F2DBE" w:rsidRDefault="001C15E8">
      <w:pPr>
        <w:pStyle w:val="FootnoteText"/>
        <w:rPr>
          <w:lang w:val="en-US"/>
        </w:rPr>
      </w:pPr>
      <w:r>
        <w:rPr>
          <w:rStyle w:val="FootnoteReference"/>
        </w:rPr>
        <w:footnoteRef/>
      </w:r>
      <w:r>
        <w:tab/>
      </w:r>
      <w:r w:rsidRPr="00382917">
        <w:t>Nabíl,</w:t>
      </w:r>
      <w:r>
        <w:t xml:space="preserve"> </w:t>
      </w:r>
      <w:proofErr w:type="gramStart"/>
      <w:r w:rsidRPr="00382917">
        <w:rPr>
          <w:i/>
          <w:iCs/>
        </w:rPr>
        <w:t>The</w:t>
      </w:r>
      <w:proofErr w:type="gramEnd"/>
      <w:r>
        <w:rPr>
          <w:i/>
          <w:iCs/>
        </w:rPr>
        <w:t xml:space="preserve"> </w:t>
      </w:r>
      <w:r w:rsidRPr="00382917">
        <w:rPr>
          <w:i/>
          <w:iCs/>
        </w:rPr>
        <w:t>Dawn-Breakers</w:t>
      </w:r>
      <w:r w:rsidRPr="00382917">
        <w:t>,</w:t>
      </w:r>
      <w:r>
        <w:t xml:space="preserve"> </w:t>
      </w:r>
      <w:r w:rsidRPr="00382917">
        <w:t>pp.</w:t>
      </w:r>
      <w:r>
        <w:t xml:space="preserve"> </w:t>
      </w:r>
      <w:r w:rsidRPr="00382917">
        <w:t>172–177.</w:t>
      </w:r>
    </w:p>
  </w:footnote>
  <w:footnote w:id="47">
    <w:p w:rsidR="001C15E8" w:rsidRPr="00341A07" w:rsidRDefault="001C15E8">
      <w:pPr>
        <w:pStyle w:val="FootnoteText"/>
        <w:rPr>
          <w:lang w:val="en-US"/>
        </w:rPr>
      </w:pPr>
      <w:r>
        <w:rPr>
          <w:rStyle w:val="FootnoteReference"/>
        </w:rPr>
        <w:footnoteRef/>
      </w:r>
      <w:r>
        <w:tab/>
      </w:r>
      <w:proofErr w:type="gramStart"/>
      <w:r>
        <w:t>idem</w:t>
      </w:r>
      <w:proofErr w:type="gramEnd"/>
      <w:r w:rsidRPr="00382917">
        <w:t>,</w:t>
      </w:r>
      <w:r>
        <w:t xml:space="preserve"> </w:t>
      </w:r>
      <w:r w:rsidRPr="00382917">
        <w:t>pp.</w:t>
      </w:r>
      <w:r>
        <w:t xml:space="preserve"> </w:t>
      </w:r>
      <w:r w:rsidRPr="00382917">
        <w:t>188–189.</w:t>
      </w:r>
    </w:p>
  </w:footnote>
  <w:footnote w:id="48">
    <w:p w:rsidR="001C15E8" w:rsidRPr="000B584D" w:rsidRDefault="001C15E8">
      <w:pPr>
        <w:pStyle w:val="FootnoteText"/>
        <w:rPr>
          <w:lang w:val="en-US"/>
        </w:rPr>
      </w:pPr>
      <w:r>
        <w:rPr>
          <w:rStyle w:val="FootnoteReference"/>
        </w:rPr>
        <w:footnoteRef/>
      </w:r>
      <w:r>
        <w:tab/>
      </w:r>
      <w:r w:rsidRPr="00382917">
        <w:t>Nabíl,</w:t>
      </w:r>
      <w:r>
        <w:t xml:space="preserve"> </w:t>
      </w:r>
      <w:proofErr w:type="gramStart"/>
      <w:r w:rsidRPr="00382917">
        <w:rPr>
          <w:i/>
          <w:iCs/>
        </w:rPr>
        <w:t>The</w:t>
      </w:r>
      <w:proofErr w:type="gramEnd"/>
      <w:r>
        <w:rPr>
          <w:i/>
          <w:iCs/>
        </w:rPr>
        <w:t xml:space="preserve"> </w:t>
      </w:r>
      <w:r w:rsidRPr="00382917">
        <w:rPr>
          <w:i/>
          <w:iCs/>
        </w:rPr>
        <w:t>Dawn-Breakers</w:t>
      </w:r>
      <w:r w:rsidRPr="00382917">
        <w:t>,</w:t>
      </w:r>
      <w:r>
        <w:t xml:space="preserve"> </w:t>
      </w:r>
      <w:r w:rsidRPr="00382917">
        <w:t>pp.</w:t>
      </w:r>
      <w:r>
        <w:t xml:space="preserve"> </w:t>
      </w:r>
      <w:r w:rsidRPr="00382917">
        <w:t>75–76.</w:t>
      </w:r>
    </w:p>
  </w:footnote>
  <w:footnote w:id="49">
    <w:p w:rsidR="001C15E8" w:rsidRPr="00A23C7C" w:rsidRDefault="001C15E8">
      <w:pPr>
        <w:pStyle w:val="FootnoteText"/>
        <w:rPr>
          <w:lang w:val="en-US"/>
        </w:rPr>
      </w:pPr>
      <w:r>
        <w:rPr>
          <w:rStyle w:val="FootnoteReference"/>
        </w:rPr>
        <w:footnoteRef/>
      </w:r>
      <w:r>
        <w:tab/>
      </w:r>
      <w:proofErr w:type="gramStart"/>
      <w:r w:rsidRPr="00A23C7C">
        <w:rPr>
          <w:i/>
          <w:iCs/>
        </w:rPr>
        <w:t>Star</w:t>
      </w:r>
      <w:r>
        <w:rPr>
          <w:i/>
          <w:iCs/>
        </w:rPr>
        <w:t xml:space="preserve"> </w:t>
      </w:r>
      <w:r w:rsidRPr="00A23C7C">
        <w:rPr>
          <w:i/>
          <w:iCs/>
        </w:rPr>
        <w:t>of</w:t>
      </w:r>
      <w:r>
        <w:rPr>
          <w:i/>
          <w:iCs/>
        </w:rPr>
        <w:t xml:space="preserve"> </w:t>
      </w:r>
      <w:r w:rsidRPr="00A23C7C">
        <w:rPr>
          <w:i/>
          <w:iCs/>
        </w:rPr>
        <w:t>the</w:t>
      </w:r>
      <w:r>
        <w:rPr>
          <w:i/>
          <w:iCs/>
        </w:rPr>
        <w:t xml:space="preserve"> </w:t>
      </w:r>
      <w:r w:rsidRPr="00A23C7C">
        <w:rPr>
          <w:i/>
          <w:iCs/>
        </w:rPr>
        <w:t>West</w:t>
      </w:r>
      <w:r w:rsidRPr="00382917">
        <w:t>,</w:t>
      </w:r>
      <w:r>
        <w:t xml:space="preserve"> </w:t>
      </w:r>
      <w:r w:rsidRPr="00A23C7C">
        <w:rPr>
          <w:i/>
          <w:iCs/>
        </w:rPr>
        <w:t>The</w:t>
      </w:r>
      <w:r>
        <w:rPr>
          <w:i/>
          <w:iCs/>
        </w:rPr>
        <w:t xml:space="preserve"> </w:t>
      </w:r>
      <w:r w:rsidRPr="00A23C7C">
        <w:rPr>
          <w:i/>
          <w:iCs/>
        </w:rPr>
        <w:t>Bahá’í</w:t>
      </w:r>
      <w:r>
        <w:rPr>
          <w:i/>
          <w:iCs/>
        </w:rPr>
        <w:t xml:space="preserve"> </w:t>
      </w:r>
      <w:r w:rsidRPr="00A23C7C">
        <w:rPr>
          <w:i/>
          <w:iCs/>
        </w:rPr>
        <w:t>Magazine</w:t>
      </w:r>
      <w:r w:rsidRPr="00382917">
        <w:t>,</w:t>
      </w:r>
      <w:r>
        <w:t xml:space="preserve"> </w:t>
      </w:r>
      <w:r w:rsidRPr="00382917">
        <w:t>vol.</w:t>
      </w:r>
      <w:r>
        <w:t xml:space="preserve"> </w:t>
      </w:r>
      <w:r w:rsidRPr="00382917">
        <w:t>XIV,</w:t>
      </w:r>
      <w:r>
        <w:t xml:space="preserve"> </w:t>
      </w:r>
      <w:r w:rsidRPr="00382917">
        <w:t>p.</w:t>
      </w:r>
      <w:r>
        <w:t xml:space="preserve"> </w:t>
      </w:r>
      <w:r w:rsidRPr="00382917">
        <w:t>271</w:t>
      </w:r>
      <w:r>
        <w:t xml:space="preserve"> </w:t>
      </w:r>
      <w:r w:rsidRPr="00382917">
        <w:t>(Article</w:t>
      </w:r>
      <w:r>
        <w:t xml:space="preserve"> </w:t>
      </w:r>
      <w:r w:rsidRPr="00382917">
        <w:t>by</w:t>
      </w:r>
      <w:r>
        <w:t xml:space="preserve"> </w:t>
      </w:r>
      <w:r w:rsidRPr="00382917">
        <w:t>Jináb-</w:t>
      </w:r>
      <w:proofErr w:type="spellStart"/>
      <w:r w:rsidRPr="00382917">
        <w:t>i</w:t>
      </w:r>
      <w:proofErr w:type="spellEnd"/>
      <w:r w:rsidRPr="00382917">
        <w:t>-</w:t>
      </w:r>
      <w:proofErr w:type="spellStart"/>
      <w:r w:rsidRPr="00382917">
        <w:t>Avárih</w:t>
      </w:r>
      <w:proofErr w:type="spellEnd"/>
      <w:r w:rsidRPr="00382917">
        <w:t>).</w:t>
      </w:r>
      <w:proofErr w:type="gramEnd"/>
    </w:p>
  </w:footnote>
  <w:footnote w:id="50">
    <w:p w:rsidR="001C15E8" w:rsidRPr="00A23C7C" w:rsidRDefault="001C15E8">
      <w:pPr>
        <w:pStyle w:val="FootnoteText"/>
        <w:rPr>
          <w:lang w:val="en-US"/>
        </w:rPr>
      </w:pPr>
      <w:r>
        <w:rPr>
          <w:rStyle w:val="FootnoteReference"/>
        </w:rPr>
        <w:footnoteRef/>
      </w:r>
      <w:r>
        <w:tab/>
      </w:r>
      <w:r w:rsidRPr="00382917">
        <w:t>Nabíl,</w:t>
      </w:r>
      <w:r>
        <w:t xml:space="preserve"> </w:t>
      </w:r>
      <w:proofErr w:type="gramStart"/>
      <w:r w:rsidRPr="00382917">
        <w:rPr>
          <w:i/>
          <w:iCs/>
        </w:rPr>
        <w:t>The</w:t>
      </w:r>
      <w:proofErr w:type="gramEnd"/>
      <w:r>
        <w:rPr>
          <w:i/>
          <w:iCs/>
        </w:rPr>
        <w:t xml:space="preserve"> </w:t>
      </w:r>
      <w:r w:rsidRPr="00382917">
        <w:rPr>
          <w:i/>
          <w:iCs/>
        </w:rPr>
        <w:t>Dawn-Breakers</w:t>
      </w:r>
      <w:r w:rsidRPr="00382917">
        <w:t>,</w:t>
      </w:r>
      <w:r>
        <w:t xml:space="preserve"> </w:t>
      </w:r>
      <w:r w:rsidRPr="00382917">
        <w:t>pp.</w:t>
      </w:r>
      <w:r>
        <w:t xml:space="preserve"> </w:t>
      </w:r>
      <w:r w:rsidRPr="00382917">
        <w:t>79–80.</w:t>
      </w:r>
    </w:p>
  </w:footnote>
  <w:footnote w:id="51">
    <w:p w:rsidR="001C15E8" w:rsidRPr="00A23C7C" w:rsidRDefault="001C15E8">
      <w:pPr>
        <w:pStyle w:val="FootnoteText"/>
        <w:rPr>
          <w:lang w:val="pl-PL"/>
        </w:rPr>
      </w:pPr>
      <w:r>
        <w:rPr>
          <w:rStyle w:val="FootnoteReference"/>
        </w:rPr>
        <w:footnoteRef/>
      </w:r>
      <w:r w:rsidRPr="00A23C7C">
        <w:rPr>
          <w:lang w:val="pl-PL"/>
        </w:rPr>
        <w:tab/>
      </w:r>
      <w:r>
        <w:rPr>
          <w:lang w:val="pl-PL"/>
        </w:rPr>
        <w:t>idem</w:t>
      </w:r>
      <w:r w:rsidRPr="00030BA2">
        <w:rPr>
          <w:lang w:val="pl-PL"/>
        </w:rPr>
        <w:t>,</w:t>
      </w:r>
      <w:r>
        <w:rPr>
          <w:lang w:val="pl-PL"/>
        </w:rPr>
        <w:t xml:space="preserve"> </w:t>
      </w:r>
      <w:r w:rsidRPr="00030BA2">
        <w:rPr>
          <w:lang w:val="pl-PL"/>
        </w:rPr>
        <w:t>p.</w:t>
      </w:r>
      <w:r>
        <w:rPr>
          <w:lang w:val="pl-PL"/>
        </w:rPr>
        <w:t xml:space="preserve"> </w:t>
      </w:r>
      <w:r w:rsidRPr="00030BA2">
        <w:rPr>
          <w:lang w:val="pl-PL"/>
        </w:rPr>
        <w:t>77.</w:t>
      </w:r>
    </w:p>
  </w:footnote>
  <w:footnote w:id="52">
    <w:p w:rsidR="001C15E8" w:rsidRPr="00A23C7C" w:rsidRDefault="001C15E8">
      <w:pPr>
        <w:pStyle w:val="FootnoteText"/>
        <w:rPr>
          <w:lang w:val="pl-PL"/>
        </w:rPr>
      </w:pPr>
      <w:r>
        <w:rPr>
          <w:rStyle w:val="FootnoteReference"/>
        </w:rPr>
        <w:footnoteRef/>
      </w:r>
      <w:r w:rsidRPr="00A23C7C">
        <w:rPr>
          <w:lang w:val="pl-PL"/>
        </w:rPr>
        <w:tab/>
      </w:r>
      <w:r>
        <w:rPr>
          <w:lang w:val="pl-PL"/>
        </w:rPr>
        <w:t>idem</w:t>
      </w:r>
      <w:r w:rsidRPr="00030BA2">
        <w:rPr>
          <w:lang w:val="pl-PL"/>
        </w:rPr>
        <w:t>,</w:t>
      </w:r>
      <w:r>
        <w:rPr>
          <w:lang w:val="pl-PL"/>
        </w:rPr>
        <w:t xml:space="preserve"> </w:t>
      </w:r>
      <w:r w:rsidRPr="00030BA2">
        <w:rPr>
          <w:lang w:val="pl-PL"/>
        </w:rPr>
        <w:t>p.</w:t>
      </w:r>
      <w:r>
        <w:rPr>
          <w:lang w:val="pl-PL"/>
        </w:rPr>
        <w:t xml:space="preserve"> </w:t>
      </w:r>
      <w:r w:rsidRPr="00030BA2">
        <w:rPr>
          <w:lang w:val="pl-PL"/>
        </w:rPr>
        <w:t>192.</w:t>
      </w:r>
    </w:p>
  </w:footnote>
  <w:footnote w:id="53">
    <w:p w:rsidR="001C15E8" w:rsidRPr="00A23C7C" w:rsidRDefault="001C15E8">
      <w:pPr>
        <w:pStyle w:val="FootnoteText"/>
        <w:rPr>
          <w:lang w:val="pl-PL"/>
        </w:rPr>
      </w:pPr>
      <w:r>
        <w:rPr>
          <w:rStyle w:val="FootnoteReference"/>
        </w:rPr>
        <w:footnoteRef/>
      </w:r>
      <w:r w:rsidRPr="00A23C7C">
        <w:rPr>
          <w:lang w:val="pl-PL"/>
        </w:rPr>
        <w:tab/>
      </w:r>
      <w:r>
        <w:rPr>
          <w:lang w:val="pl-PL"/>
        </w:rPr>
        <w:t>idem</w:t>
      </w:r>
      <w:r w:rsidRPr="00030BA2">
        <w:rPr>
          <w:lang w:val="pl-PL"/>
        </w:rPr>
        <w:t>,</w:t>
      </w:r>
      <w:r>
        <w:rPr>
          <w:lang w:val="pl-PL"/>
        </w:rPr>
        <w:t xml:space="preserve"> </w:t>
      </w:r>
      <w:r w:rsidRPr="00030BA2">
        <w:rPr>
          <w:lang w:val="pl-PL"/>
        </w:rPr>
        <w:t>p.</w:t>
      </w:r>
      <w:r>
        <w:rPr>
          <w:lang w:val="pl-PL"/>
        </w:rPr>
        <w:t xml:space="preserve"> </w:t>
      </w:r>
      <w:r w:rsidRPr="00030BA2">
        <w:rPr>
          <w:lang w:val="pl-PL"/>
        </w:rPr>
        <w:t>235.</w:t>
      </w:r>
    </w:p>
  </w:footnote>
  <w:footnote w:id="54">
    <w:p w:rsidR="001C15E8" w:rsidRPr="00A23C7C" w:rsidRDefault="001C15E8">
      <w:pPr>
        <w:pStyle w:val="FootnoteText"/>
        <w:rPr>
          <w:lang w:val="es-ES"/>
        </w:rPr>
      </w:pPr>
      <w:r>
        <w:rPr>
          <w:rStyle w:val="FootnoteReference"/>
        </w:rPr>
        <w:footnoteRef/>
      </w:r>
      <w:r w:rsidRPr="00A23C7C">
        <w:rPr>
          <w:lang w:val="es-ES"/>
        </w:rPr>
        <w:tab/>
      </w:r>
      <w:r w:rsidRPr="00030BA2">
        <w:rPr>
          <w:lang w:val="es-ES"/>
        </w:rPr>
        <w:t>A.</w:t>
      </w:r>
      <w:r>
        <w:rPr>
          <w:lang w:val="es-ES"/>
        </w:rPr>
        <w:t xml:space="preserve"> </w:t>
      </w:r>
      <w:r w:rsidRPr="00030BA2">
        <w:rPr>
          <w:lang w:val="es-ES"/>
        </w:rPr>
        <w:t>L.</w:t>
      </w:r>
      <w:r>
        <w:rPr>
          <w:lang w:val="es-ES"/>
        </w:rPr>
        <w:t xml:space="preserve"> </w:t>
      </w:r>
      <w:r w:rsidRPr="00030BA2">
        <w:rPr>
          <w:lang w:val="es-ES"/>
        </w:rPr>
        <w:t>M.</w:t>
      </w:r>
      <w:r>
        <w:rPr>
          <w:lang w:val="es-ES"/>
        </w:rPr>
        <w:t xml:space="preserve"> </w:t>
      </w:r>
      <w:proofErr w:type="spellStart"/>
      <w:r w:rsidRPr="00030BA2">
        <w:rPr>
          <w:lang w:val="es-ES"/>
        </w:rPr>
        <w:t>Nicolas</w:t>
      </w:r>
      <w:proofErr w:type="spellEnd"/>
      <w:r w:rsidRPr="00030BA2">
        <w:rPr>
          <w:lang w:val="es-ES"/>
        </w:rPr>
        <w:t>,</w:t>
      </w:r>
      <w:r>
        <w:rPr>
          <w:lang w:val="es-ES"/>
        </w:rPr>
        <w:t xml:space="preserve"> </w:t>
      </w:r>
      <w:r w:rsidRPr="001713B3">
        <w:rPr>
          <w:i/>
          <w:iCs/>
          <w:lang w:val="es-ES"/>
        </w:rPr>
        <w:t>Siyyid</w:t>
      </w:r>
      <w:r>
        <w:rPr>
          <w:i/>
          <w:iCs/>
          <w:lang w:val="es-ES"/>
        </w:rPr>
        <w:t xml:space="preserve"> </w:t>
      </w:r>
      <w:r w:rsidRPr="001713B3">
        <w:rPr>
          <w:i/>
          <w:iCs/>
          <w:lang w:val="es-ES"/>
        </w:rPr>
        <w:t>‘Alí-Muḥammad</w:t>
      </w:r>
      <w:r>
        <w:rPr>
          <w:i/>
          <w:iCs/>
          <w:lang w:val="es-ES"/>
        </w:rPr>
        <w:t xml:space="preserve"> </w:t>
      </w:r>
      <w:proofErr w:type="spellStart"/>
      <w:r w:rsidRPr="001713B3">
        <w:rPr>
          <w:i/>
          <w:iCs/>
          <w:lang w:val="es-ES"/>
        </w:rPr>
        <w:t>dit</w:t>
      </w:r>
      <w:proofErr w:type="spellEnd"/>
      <w:r>
        <w:rPr>
          <w:i/>
          <w:iCs/>
          <w:lang w:val="es-ES"/>
        </w:rPr>
        <w:t xml:space="preserve"> </w:t>
      </w:r>
      <w:r w:rsidRPr="001713B3">
        <w:rPr>
          <w:i/>
          <w:iCs/>
          <w:lang w:val="es-ES"/>
        </w:rPr>
        <w:t>le</w:t>
      </w:r>
      <w:r>
        <w:rPr>
          <w:i/>
          <w:iCs/>
          <w:lang w:val="es-ES"/>
        </w:rPr>
        <w:t xml:space="preserve"> </w:t>
      </w:r>
      <w:r w:rsidRPr="001713B3">
        <w:rPr>
          <w:i/>
          <w:iCs/>
          <w:lang w:val="es-ES"/>
        </w:rPr>
        <w:t>Báb</w:t>
      </w:r>
      <w:r w:rsidRPr="00030BA2">
        <w:rPr>
          <w:lang w:val="es-ES"/>
        </w:rPr>
        <w:t>,</w:t>
      </w:r>
      <w:r>
        <w:rPr>
          <w:lang w:val="es-ES"/>
        </w:rPr>
        <w:t xml:space="preserve"> </w:t>
      </w:r>
      <w:r w:rsidRPr="00030BA2">
        <w:rPr>
          <w:lang w:val="es-ES"/>
        </w:rPr>
        <w:t>p.</w:t>
      </w:r>
      <w:r>
        <w:rPr>
          <w:lang w:val="es-ES"/>
        </w:rPr>
        <w:t xml:space="preserve"> </w:t>
      </w:r>
      <w:r w:rsidRPr="00030BA2">
        <w:rPr>
          <w:lang w:val="es-ES"/>
        </w:rPr>
        <w:t>255.</w:t>
      </w:r>
    </w:p>
  </w:footnote>
  <w:footnote w:id="55">
    <w:p w:rsidR="001C15E8" w:rsidRPr="00C3002D" w:rsidRDefault="001C15E8">
      <w:pPr>
        <w:pStyle w:val="FootnoteText"/>
        <w:rPr>
          <w:lang w:val="en-US"/>
        </w:rPr>
      </w:pPr>
      <w:r>
        <w:rPr>
          <w:rStyle w:val="FootnoteReference"/>
        </w:rPr>
        <w:footnoteRef/>
      </w:r>
      <w:r>
        <w:tab/>
      </w:r>
      <w:r w:rsidRPr="00382917">
        <w:t>Nabíl,</w:t>
      </w:r>
      <w:r>
        <w:t xml:space="preserve"> </w:t>
      </w:r>
      <w:proofErr w:type="gramStart"/>
      <w:r w:rsidRPr="00382917">
        <w:rPr>
          <w:i/>
          <w:iCs/>
        </w:rPr>
        <w:t>The</w:t>
      </w:r>
      <w:proofErr w:type="gramEnd"/>
      <w:r>
        <w:rPr>
          <w:i/>
          <w:iCs/>
        </w:rPr>
        <w:t xml:space="preserve"> </w:t>
      </w:r>
      <w:r w:rsidRPr="00382917">
        <w:rPr>
          <w:i/>
          <w:iCs/>
        </w:rPr>
        <w:t>Dawn-Breakers</w:t>
      </w:r>
      <w:r w:rsidRPr="00382917">
        <w:t>,</w:t>
      </w:r>
      <w:r>
        <w:t xml:space="preserve"> </w:t>
      </w:r>
      <w:r w:rsidRPr="00382917">
        <w:t>pp.</w:t>
      </w:r>
      <w:r>
        <w:t xml:space="preserve"> </w:t>
      </w:r>
      <w:r w:rsidRPr="00382917">
        <w:t>194–197.</w:t>
      </w:r>
    </w:p>
  </w:footnote>
  <w:footnote w:id="56">
    <w:p w:rsidR="001C15E8" w:rsidRPr="00C3002D" w:rsidRDefault="001C15E8">
      <w:pPr>
        <w:pStyle w:val="FootnoteText"/>
        <w:rPr>
          <w:lang w:val="en-US"/>
        </w:rPr>
      </w:pPr>
      <w:r>
        <w:rPr>
          <w:rStyle w:val="FootnoteReference"/>
        </w:rPr>
        <w:footnoteRef/>
      </w:r>
      <w:r>
        <w:tab/>
      </w:r>
      <w:proofErr w:type="gramStart"/>
      <w:r w:rsidRPr="001713B3">
        <w:rPr>
          <w:i/>
          <w:iCs/>
        </w:rPr>
        <w:t>A</w:t>
      </w:r>
      <w:r>
        <w:rPr>
          <w:i/>
          <w:iCs/>
        </w:rPr>
        <w:t xml:space="preserve"> </w:t>
      </w:r>
      <w:r w:rsidRPr="001713B3">
        <w:rPr>
          <w:i/>
          <w:iCs/>
        </w:rPr>
        <w:t>Traveller’s</w:t>
      </w:r>
      <w:r>
        <w:rPr>
          <w:i/>
          <w:iCs/>
        </w:rPr>
        <w:t xml:space="preserve"> </w:t>
      </w:r>
      <w:r w:rsidRPr="001713B3">
        <w:rPr>
          <w:i/>
          <w:iCs/>
        </w:rPr>
        <w:t>Narrative</w:t>
      </w:r>
      <w:r w:rsidRPr="00382917">
        <w:t>,</w:t>
      </w:r>
      <w:r>
        <w:t xml:space="preserve"> </w:t>
      </w:r>
      <w:r w:rsidRPr="00382917">
        <w:t>p.</w:t>
      </w:r>
      <w:r>
        <w:t xml:space="preserve"> </w:t>
      </w:r>
      <w:r w:rsidRPr="00382917">
        <w:t>11.</w:t>
      </w:r>
      <w:proofErr w:type="gramEnd"/>
    </w:p>
  </w:footnote>
  <w:footnote w:id="57">
    <w:p w:rsidR="001C15E8" w:rsidRPr="00C3002D" w:rsidRDefault="001C15E8">
      <w:pPr>
        <w:pStyle w:val="FootnoteText"/>
        <w:rPr>
          <w:lang w:val="en-US"/>
        </w:rPr>
      </w:pPr>
      <w:r>
        <w:rPr>
          <w:rStyle w:val="FootnoteReference"/>
        </w:rPr>
        <w:footnoteRef/>
      </w:r>
      <w:r>
        <w:tab/>
      </w:r>
      <w:r w:rsidRPr="00382917">
        <w:t>A.</w:t>
      </w:r>
      <w:r>
        <w:t xml:space="preserve"> </w:t>
      </w:r>
      <w:r w:rsidRPr="00382917">
        <w:t>L.</w:t>
      </w:r>
      <w:r>
        <w:t xml:space="preserve"> </w:t>
      </w:r>
      <w:r w:rsidRPr="00382917">
        <w:t>M.</w:t>
      </w:r>
      <w:r>
        <w:t xml:space="preserve"> </w:t>
      </w:r>
      <w:r w:rsidRPr="00382917">
        <w:t>Nicolas,</w:t>
      </w:r>
      <w:r>
        <w:t xml:space="preserve"> </w:t>
      </w:r>
      <w:r w:rsidRPr="001713B3">
        <w:rPr>
          <w:i/>
          <w:iCs/>
          <w:lang w:val="en-US"/>
        </w:rPr>
        <w:t>Siyyid</w:t>
      </w:r>
      <w:r>
        <w:rPr>
          <w:i/>
          <w:iCs/>
          <w:lang w:val="en-US"/>
        </w:rPr>
        <w:t xml:space="preserve"> </w:t>
      </w:r>
      <w:r w:rsidRPr="001713B3">
        <w:rPr>
          <w:i/>
          <w:iCs/>
          <w:lang w:val="en-US"/>
        </w:rPr>
        <w:t>‘Alí-Muḥammad</w:t>
      </w:r>
      <w:r>
        <w:rPr>
          <w:i/>
          <w:iCs/>
          <w:lang w:val="en-US"/>
        </w:rPr>
        <w:t xml:space="preserve"> </w:t>
      </w:r>
      <w:proofErr w:type="spellStart"/>
      <w:r w:rsidRPr="001713B3">
        <w:rPr>
          <w:i/>
          <w:iCs/>
          <w:lang w:val="en-US"/>
        </w:rPr>
        <w:t>dit</w:t>
      </w:r>
      <w:proofErr w:type="spellEnd"/>
      <w:r>
        <w:rPr>
          <w:i/>
          <w:iCs/>
          <w:lang w:val="en-US"/>
        </w:rPr>
        <w:t xml:space="preserve"> </w:t>
      </w:r>
      <w:r w:rsidRPr="001713B3">
        <w:rPr>
          <w:i/>
          <w:iCs/>
          <w:lang w:val="en-US"/>
        </w:rPr>
        <w:t>le</w:t>
      </w:r>
      <w:r>
        <w:rPr>
          <w:i/>
          <w:iCs/>
          <w:lang w:val="en-US"/>
        </w:rPr>
        <w:t xml:space="preserve"> </w:t>
      </w:r>
      <w:r w:rsidRPr="001713B3">
        <w:rPr>
          <w:i/>
          <w:iCs/>
          <w:lang w:val="en-US"/>
        </w:rPr>
        <w:t>Báb</w:t>
      </w:r>
      <w:r w:rsidRPr="00382917">
        <w:t>,</w:t>
      </w:r>
      <w:r>
        <w:t xml:space="preserve"> </w:t>
      </w:r>
      <w:r w:rsidRPr="00382917">
        <w:t>pp.</w:t>
      </w:r>
      <w:r>
        <w:t xml:space="preserve"> </w:t>
      </w:r>
      <w:r w:rsidRPr="00382917">
        <w:t>367–373.</w:t>
      </w:r>
    </w:p>
  </w:footnote>
  <w:footnote w:id="58">
    <w:p w:rsidR="001C15E8" w:rsidRPr="00873465" w:rsidRDefault="001C15E8">
      <w:pPr>
        <w:pStyle w:val="FootnoteText"/>
        <w:rPr>
          <w:lang w:val="en-US"/>
        </w:rPr>
      </w:pPr>
      <w:r>
        <w:rPr>
          <w:rStyle w:val="FootnoteReference"/>
        </w:rPr>
        <w:footnoteRef/>
      </w:r>
      <w:r>
        <w:tab/>
      </w:r>
      <w:r w:rsidRPr="00382917">
        <w:t>Nabíl,</w:t>
      </w:r>
      <w:r>
        <w:t xml:space="preserve"> </w:t>
      </w:r>
      <w:proofErr w:type="gramStart"/>
      <w:r w:rsidRPr="00382917">
        <w:rPr>
          <w:i/>
          <w:iCs/>
        </w:rPr>
        <w:t>The</w:t>
      </w:r>
      <w:proofErr w:type="gramEnd"/>
      <w:r>
        <w:rPr>
          <w:i/>
          <w:iCs/>
        </w:rPr>
        <w:t xml:space="preserve"> </w:t>
      </w:r>
      <w:r w:rsidRPr="00382917">
        <w:rPr>
          <w:i/>
          <w:iCs/>
        </w:rPr>
        <w:t>Dawn-Breakers</w:t>
      </w:r>
      <w:r w:rsidRPr="00382917">
        <w:t>,</w:t>
      </w:r>
      <w:r>
        <w:t xml:space="preserve"> </w:t>
      </w:r>
      <w:r w:rsidRPr="00382917">
        <w:t>p.</w:t>
      </w:r>
      <w:r>
        <w:t xml:space="preserve"> </w:t>
      </w:r>
      <w:r w:rsidRPr="00382917">
        <w:t>198.</w:t>
      </w:r>
    </w:p>
  </w:footnote>
  <w:footnote w:id="59">
    <w:p w:rsidR="001C15E8" w:rsidRPr="00873465" w:rsidRDefault="001C15E8">
      <w:pPr>
        <w:pStyle w:val="FootnoteText"/>
        <w:rPr>
          <w:lang w:val="en-US"/>
        </w:rPr>
      </w:pPr>
      <w:r>
        <w:rPr>
          <w:rStyle w:val="FootnoteReference"/>
        </w:rPr>
        <w:footnoteRef/>
      </w:r>
      <w:r>
        <w:tab/>
      </w:r>
      <w:proofErr w:type="gramStart"/>
      <w:r w:rsidRPr="00382917">
        <w:t>Nabíl,</w:t>
      </w:r>
      <w:r>
        <w:t xml:space="preserve"> </w:t>
      </w:r>
      <w:r w:rsidRPr="00382917">
        <w:rPr>
          <w:i/>
          <w:iCs/>
        </w:rPr>
        <w:t>The</w:t>
      </w:r>
      <w:r>
        <w:rPr>
          <w:i/>
          <w:iCs/>
        </w:rPr>
        <w:t xml:space="preserve"> </w:t>
      </w:r>
      <w:r w:rsidRPr="00382917">
        <w:rPr>
          <w:i/>
          <w:iCs/>
        </w:rPr>
        <w:t>Dawn-Breakers</w:t>
      </w:r>
      <w:r w:rsidRPr="00382917">
        <w:t>,</w:t>
      </w:r>
      <w:r>
        <w:t xml:space="preserve"> </w:t>
      </w:r>
      <w:r w:rsidRPr="00382917">
        <w:t>p.</w:t>
      </w:r>
      <w:r>
        <w:t xml:space="preserve"> </w:t>
      </w:r>
      <w:r w:rsidRPr="00382917">
        <w:t>99;</w:t>
      </w:r>
      <w:r>
        <w:t xml:space="preserve"> </w:t>
      </w:r>
      <w:r w:rsidRPr="00382917">
        <w:t>footnote,</w:t>
      </w:r>
      <w:r>
        <w:t xml:space="preserve"> </w:t>
      </w:r>
      <w:r w:rsidRPr="00873465">
        <w:rPr>
          <w:i/>
          <w:iCs/>
        </w:rPr>
        <w:t>Le</w:t>
      </w:r>
      <w:r>
        <w:rPr>
          <w:i/>
          <w:iCs/>
        </w:rPr>
        <w:t xml:space="preserve"> </w:t>
      </w:r>
      <w:r w:rsidRPr="00873465">
        <w:rPr>
          <w:i/>
          <w:iCs/>
        </w:rPr>
        <w:t>Bayán</w:t>
      </w:r>
      <w:r>
        <w:rPr>
          <w:i/>
          <w:iCs/>
        </w:rPr>
        <w:t xml:space="preserve"> </w:t>
      </w:r>
      <w:proofErr w:type="spellStart"/>
      <w:r w:rsidRPr="00873465">
        <w:rPr>
          <w:i/>
          <w:iCs/>
        </w:rPr>
        <w:t>Persan</w:t>
      </w:r>
      <w:proofErr w:type="spellEnd"/>
      <w:r w:rsidRPr="00382917">
        <w:t>.</w:t>
      </w:r>
      <w:proofErr w:type="gramEnd"/>
    </w:p>
  </w:footnote>
  <w:footnote w:id="60">
    <w:p w:rsidR="001C15E8" w:rsidRPr="00873465" w:rsidRDefault="001C15E8">
      <w:pPr>
        <w:pStyle w:val="FootnoteText"/>
        <w:rPr>
          <w:lang w:val="en-US"/>
        </w:rPr>
      </w:pPr>
      <w:r>
        <w:rPr>
          <w:rStyle w:val="FootnoteReference"/>
        </w:rPr>
        <w:footnoteRef/>
      </w:r>
      <w:r>
        <w:tab/>
      </w:r>
      <w:r w:rsidRPr="00873465">
        <w:rPr>
          <w:i/>
          <w:iCs/>
        </w:rPr>
        <w:t>The</w:t>
      </w:r>
      <w:r>
        <w:rPr>
          <w:i/>
          <w:iCs/>
        </w:rPr>
        <w:t xml:space="preserve"> </w:t>
      </w:r>
      <w:r w:rsidRPr="00873465">
        <w:rPr>
          <w:i/>
          <w:iCs/>
        </w:rPr>
        <w:t>Tárí</w:t>
      </w:r>
      <w:r w:rsidRPr="00025FF2">
        <w:rPr>
          <w:i/>
          <w:iCs/>
          <w:u w:val="single"/>
        </w:rPr>
        <w:t>kh</w:t>
      </w:r>
      <w:r w:rsidRPr="00873465">
        <w:rPr>
          <w:i/>
          <w:iCs/>
        </w:rPr>
        <w:t>-i-Jadíd</w:t>
      </w:r>
      <w:r w:rsidRPr="00382917">
        <w:t>,</w:t>
      </w:r>
      <w:r>
        <w:t xml:space="preserve"> tr. </w:t>
      </w:r>
      <w:r w:rsidRPr="00382917">
        <w:t>E.</w:t>
      </w:r>
      <w:r>
        <w:t xml:space="preserve"> </w:t>
      </w:r>
      <w:r w:rsidRPr="00382917">
        <w:t>G.</w:t>
      </w:r>
      <w:r>
        <w:t xml:space="preserve"> </w:t>
      </w:r>
      <w:r w:rsidRPr="00382917">
        <w:t>Browne,</w:t>
      </w:r>
      <w:r>
        <w:t xml:space="preserve"> </w:t>
      </w:r>
      <w:r w:rsidRPr="00382917">
        <w:t>pp.</w:t>
      </w:r>
      <w:r>
        <w:t xml:space="preserve"> </w:t>
      </w:r>
      <w:r w:rsidRPr="00382917">
        <w:t>220–221.</w:t>
      </w:r>
    </w:p>
  </w:footnote>
  <w:footnote w:id="61">
    <w:p w:rsidR="001C15E8" w:rsidRPr="00E43E78" w:rsidRDefault="001C15E8">
      <w:pPr>
        <w:pStyle w:val="FootnoteText"/>
        <w:rPr>
          <w:lang w:val="en-US"/>
        </w:rPr>
      </w:pPr>
      <w:r>
        <w:rPr>
          <w:rStyle w:val="FootnoteReference"/>
        </w:rPr>
        <w:footnoteRef/>
      </w:r>
      <w:r>
        <w:tab/>
      </w:r>
      <w:r w:rsidRPr="00382917">
        <w:t>Nabíl,</w:t>
      </w:r>
      <w:r>
        <w:t xml:space="preserve"> </w:t>
      </w:r>
      <w:proofErr w:type="gramStart"/>
      <w:r w:rsidRPr="00382917">
        <w:rPr>
          <w:i/>
          <w:iCs/>
        </w:rPr>
        <w:t>The</w:t>
      </w:r>
      <w:proofErr w:type="gramEnd"/>
      <w:r>
        <w:rPr>
          <w:i/>
          <w:iCs/>
        </w:rPr>
        <w:t xml:space="preserve"> </w:t>
      </w:r>
      <w:r w:rsidRPr="00382917">
        <w:rPr>
          <w:i/>
          <w:iCs/>
        </w:rPr>
        <w:t>Dawn-Breakers</w:t>
      </w:r>
      <w:r w:rsidRPr="00382917">
        <w:t>,</w:t>
      </w:r>
      <w:r>
        <w:t xml:space="preserve"> </w:t>
      </w:r>
      <w:r w:rsidRPr="00382917">
        <w:t>p.</w:t>
      </w:r>
      <w:r>
        <w:t xml:space="preserve"> </w:t>
      </w:r>
      <w:r w:rsidRPr="00382917">
        <w:t>203–215.</w:t>
      </w:r>
    </w:p>
  </w:footnote>
  <w:footnote w:id="62">
    <w:p w:rsidR="001C15E8" w:rsidRPr="004E50EF" w:rsidRDefault="001C15E8">
      <w:pPr>
        <w:pStyle w:val="FootnoteText"/>
        <w:rPr>
          <w:lang w:val="es-ES"/>
        </w:rPr>
      </w:pPr>
      <w:r>
        <w:rPr>
          <w:rStyle w:val="FootnoteReference"/>
        </w:rPr>
        <w:footnoteRef/>
      </w:r>
      <w:r w:rsidRPr="004E50EF">
        <w:rPr>
          <w:lang w:val="es-ES"/>
        </w:rPr>
        <w:tab/>
        <w:t>A.</w:t>
      </w:r>
      <w:r>
        <w:rPr>
          <w:lang w:val="es-ES"/>
        </w:rPr>
        <w:t xml:space="preserve"> </w:t>
      </w:r>
      <w:r w:rsidRPr="004E50EF">
        <w:rPr>
          <w:lang w:val="es-ES"/>
        </w:rPr>
        <w:t>L.</w:t>
      </w:r>
      <w:r>
        <w:rPr>
          <w:lang w:val="es-ES"/>
        </w:rPr>
        <w:t xml:space="preserve"> </w:t>
      </w:r>
      <w:r w:rsidRPr="004E50EF">
        <w:rPr>
          <w:lang w:val="es-ES"/>
        </w:rPr>
        <w:t>M.</w:t>
      </w:r>
      <w:r>
        <w:rPr>
          <w:lang w:val="es-ES"/>
        </w:rPr>
        <w:t xml:space="preserve"> </w:t>
      </w:r>
      <w:proofErr w:type="spellStart"/>
      <w:r w:rsidRPr="004E50EF">
        <w:rPr>
          <w:lang w:val="es-ES"/>
        </w:rPr>
        <w:t>Nicolas</w:t>
      </w:r>
      <w:proofErr w:type="spellEnd"/>
      <w:r w:rsidRPr="004E50EF">
        <w:rPr>
          <w:lang w:val="es-ES"/>
        </w:rPr>
        <w:t>,</w:t>
      </w:r>
      <w:r>
        <w:rPr>
          <w:lang w:val="es-ES"/>
        </w:rPr>
        <w:t xml:space="preserve"> </w:t>
      </w:r>
      <w:r w:rsidRPr="001713B3">
        <w:rPr>
          <w:i/>
          <w:iCs/>
          <w:lang w:val="es-ES"/>
        </w:rPr>
        <w:t>Siyyid</w:t>
      </w:r>
      <w:r>
        <w:rPr>
          <w:i/>
          <w:iCs/>
          <w:lang w:val="es-ES"/>
        </w:rPr>
        <w:t xml:space="preserve"> </w:t>
      </w:r>
      <w:r w:rsidRPr="001713B3">
        <w:rPr>
          <w:i/>
          <w:iCs/>
          <w:lang w:val="es-ES"/>
        </w:rPr>
        <w:t>‘Alí-Muḥammad</w:t>
      </w:r>
      <w:r>
        <w:rPr>
          <w:i/>
          <w:iCs/>
          <w:lang w:val="es-ES"/>
        </w:rPr>
        <w:t xml:space="preserve"> </w:t>
      </w:r>
      <w:proofErr w:type="spellStart"/>
      <w:r w:rsidRPr="001713B3">
        <w:rPr>
          <w:i/>
          <w:iCs/>
          <w:lang w:val="es-ES"/>
        </w:rPr>
        <w:t>dit</w:t>
      </w:r>
      <w:proofErr w:type="spellEnd"/>
      <w:r>
        <w:rPr>
          <w:i/>
          <w:iCs/>
          <w:lang w:val="es-ES"/>
        </w:rPr>
        <w:t xml:space="preserve"> </w:t>
      </w:r>
      <w:r w:rsidRPr="001713B3">
        <w:rPr>
          <w:i/>
          <w:iCs/>
          <w:lang w:val="es-ES"/>
        </w:rPr>
        <w:t>le</w:t>
      </w:r>
      <w:r>
        <w:rPr>
          <w:i/>
          <w:iCs/>
          <w:lang w:val="es-ES"/>
        </w:rPr>
        <w:t xml:space="preserve"> </w:t>
      </w:r>
      <w:r w:rsidRPr="001713B3">
        <w:rPr>
          <w:i/>
          <w:iCs/>
          <w:lang w:val="es-ES"/>
        </w:rPr>
        <w:t>Báb</w:t>
      </w:r>
      <w:r w:rsidRPr="004E50EF">
        <w:rPr>
          <w:lang w:val="es-ES"/>
        </w:rPr>
        <w:t>,</w:t>
      </w:r>
      <w:r>
        <w:rPr>
          <w:lang w:val="es-ES"/>
        </w:rPr>
        <w:t xml:space="preserve"> </w:t>
      </w:r>
      <w:r w:rsidRPr="004E50EF">
        <w:rPr>
          <w:lang w:val="es-ES"/>
        </w:rPr>
        <w:t>p.</w:t>
      </w:r>
      <w:r>
        <w:rPr>
          <w:lang w:val="es-ES"/>
        </w:rPr>
        <w:t xml:space="preserve"> </w:t>
      </w:r>
      <w:r w:rsidRPr="004E50EF">
        <w:rPr>
          <w:lang w:val="es-ES"/>
        </w:rPr>
        <w:t>242.</w:t>
      </w:r>
    </w:p>
  </w:footnote>
  <w:footnote w:id="63">
    <w:p w:rsidR="001C15E8" w:rsidRPr="00DD6267" w:rsidRDefault="001C15E8" w:rsidP="0040329F">
      <w:pPr>
        <w:pStyle w:val="FootnoteText"/>
      </w:pPr>
      <w:r w:rsidRPr="00DD6267">
        <w:rPr>
          <w:rStyle w:val="FootnoteReference"/>
        </w:rPr>
        <w:footnoteRef/>
      </w:r>
      <w:r w:rsidRPr="00DD6267">
        <w:tab/>
        <w:t>The</w:t>
      </w:r>
      <w:r>
        <w:t xml:space="preserve"> </w:t>
      </w:r>
      <w:r w:rsidRPr="00DD6267">
        <w:t>revolt</w:t>
      </w:r>
      <w:r>
        <w:t xml:space="preserve"> </w:t>
      </w:r>
      <w:r w:rsidRPr="00DD6267">
        <w:t>or</w:t>
      </w:r>
      <w:r>
        <w:t xml:space="preserve"> </w:t>
      </w:r>
      <w:r w:rsidRPr="00DD6267">
        <w:t>def</w:t>
      </w:r>
      <w:r w:rsidRPr="00DD6267">
        <w:rPr>
          <w:szCs w:val="18"/>
        </w:rPr>
        <w:t>iance</w:t>
      </w:r>
      <w:r>
        <w:rPr>
          <w:szCs w:val="18"/>
        </w:rPr>
        <w:t xml:space="preserve"> </w:t>
      </w:r>
      <w:r w:rsidRPr="00DD6267">
        <w:rPr>
          <w:szCs w:val="18"/>
        </w:rPr>
        <w:t>by</w:t>
      </w:r>
      <w:r>
        <w:rPr>
          <w:szCs w:val="18"/>
        </w:rPr>
        <w:t xml:space="preserve"> </w:t>
      </w:r>
      <w:r w:rsidRPr="00DD6267">
        <w:rPr>
          <w:szCs w:val="18"/>
        </w:rPr>
        <w:t>Ḥasan-‘Alí</w:t>
      </w:r>
      <w:r>
        <w:rPr>
          <w:szCs w:val="18"/>
        </w:rPr>
        <w:t xml:space="preserve"> </w:t>
      </w:r>
      <w:r w:rsidRPr="00DD6267">
        <w:rPr>
          <w:szCs w:val="18"/>
          <w:u w:val="single"/>
        </w:rPr>
        <w:t>Kh</w:t>
      </w:r>
      <w:r w:rsidRPr="00DD6267">
        <w:rPr>
          <w:szCs w:val="18"/>
        </w:rPr>
        <w:t>án,</w:t>
      </w:r>
      <w:r>
        <w:rPr>
          <w:szCs w:val="18"/>
        </w:rPr>
        <w:t xml:space="preserve"> </w:t>
      </w:r>
      <w:r w:rsidRPr="00DD6267">
        <w:rPr>
          <w:szCs w:val="18"/>
        </w:rPr>
        <w:t>Áqá</w:t>
      </w:r>
      <w:r>
        <w:rPr>
          <w:szCs w:val="18"/>
        </w:rPr>
        <w:t xml:space="preserve"> </w:t>
      </w:r>
      <w:r w:rsidRPr="00DD6267">
        <w:rPr>
          <w:szCs w:val="18"/>
          <w:u w:val="single"/>
        </w:rPr>
        <w:t>Kh</w:t>
      </w:r>
      <w:r w:rsidRPr="00DD6267">
        <w:rPr>
          <w:szCs w:val="18"/>
        </w:rPr>
        <w:t>án</w:t>
      </w:r>
      <w:r>
        <w:rPr>
          <w:szCs w:val="18"/>
        </w:rPr>
        <w:t xml:space="preserve"> </w:t>
      </w:r>
      <w:r w:rsidRPr="00DD6267">
        <w:rPr>
          <w:szCs w:val="18"/>
        </w:rPr>
        <w:t>I,</w:t>
      </w:r>
      <w:r>
        <w:rPr>
          <w:szCs w:val="18"/>
        </w:rPr>
        <w:t xml:space="preserve"> </w:t>
      </w:r>
      <w:r w:rsidRPr="00DD6267">
        <w:rPr>
          <w:szCs w:val="18"/>
        </w:rPr>
        <w:t>in</w:t>
      </w:r>
      <w:r>
        <w:rPr>
          <w:szCs w:val="18"/>
        </w:rPr>
        <w:t xml:space="preserve"> </w:t>
      </w:r>
      <w:r w:rsidRPr="00DD6267">
        <w:rPr>
          <w:szCs w:val="18"/>
        </w:rPr>
        <w:t>1840–1841</w:t>
      </w:r>
      <w:r>
        <w:rPr>
          <w:szCs w:val="18"/>
        </w:rPr>
        <w:t xml:space="preserve"> </w:t>
      </w:r>
      <w:r w:rsidRPr="00DD6267">
        <w:rPr>
          <w:szCs w:val="18"/>
        </w:rPr>
        <w:t>occurred</w:t>
      </w:r>
      <w:r>
        <w:rPr>
          <w:szCs w:val="18"/>
        </w:rPr>
        <w:t xml:space="preserve"> </w:t>
      </w:r>
      <w:r w:rsidRPr="00DD6267">
        <w:rPr>
          <w:szCs w:val="18"/>
        </w:rPr>
        <w:t>in</w:t>
      </w:r>
      <w:r>
        <w:rPr>
          <w:szCs w:val="18"/>
        </w:rPr>
        <w:t xml:space="preserve"> </w:t>
      </w:r>
      <w:r w:rsidRPr="00DD6267">
        <w:rPr>
          <w:szCs w:val="18"/>
        </w:rPr>
        <w:t>the</w:t>
      </w:r>
      <w:r>
        <w:rPr>
          <w:szCs w:val="18"/>
        </w:rPr>
        <w:t xml:space="preserve"> </w:t>
      </w:r>
      <w:r w:rsidRPr="00DD6267">
        <w:rPr>
          <w:szCs w:val="18"/>
        </w:rPr>
        <w:t>region</w:t>
      </w:r>
      <w:r>
        <w:rPr>
          <w:szCs w:val="18"/>
        </w:rPr>
        <w:t xml:space="preserve"> </w:t>
      </w:r>
      <w:r w:rsidRPr="00DD6267">
        <w:rPr>
          <w:szCs w:val="18"/>
        </w:rPr>
        <w:t>between</w:t>
      </w:r>
      <w:r>
        <w:rPr>
          <w:szCs w:val="18"/>
        </w:rPr>
        <w:t xml:space="preserve"> </w:t>
      </w:r>
      <w:proofErr w:type="spellStart"/>
      <w:r w:rsidRPr="00DD6267">
        <w:rPr>
          <w:szCs w:val="18"/>
        </w:rPr>
        <w:t>Maḥallát</w:t>
      </w:r>
      <w:proofErr w:type="spellEnd"/>
      <w:r w:rsidRPr="00DD6267">
        <w:rPr>
          <w:szCs w:val="18"/>
        </w:rPr>
        <w:t>,</w:t>
      </w:r>
      <w:r>
        <w:rPr>
          <w:szCs w:val="18"/>
        </w:rPr>
        <w:t xml:space="preserve"> </w:t>
      </w:r>
      <w:r w:rsidRPr="00DD6267">
        <w:rPr>
          <w:szCs w:val="18"/>
        </w:rPr>
        <w:t>Yazd,</w:t>
      </w:r>
      <w:r>
        <w:rPr>
          <w:szCs w:val="18"/>
        </w:rPr>
        <w:t xml:space="preserve"> </w:t>
      </w:r>
      <w:proofErr w:type="spellStart"/>
      <w:r w:rsidRPr="00DD6267">
        <w:rPr>
          <w:szCs w:val="18"/>
          <w:u w:val="single"/>
        </w:rPr>
        <w:t>Sh</w:t>
      </w:r>
      <w:r w:rsidRPr="00DD6267">
        <w:rPr>
          <w:szCs w:val="18"/>
        </w:rPr>
        <w:t>ahr-i-Bába</w:t>
      </w:r>
      <w:r w:rsidRPr="00DD6267">
        <w:t>k</w:t>
      </w:r>
      <w:proofErr w:type="spellEnd"/>
      <w:r>
        <w:t xml:space="preserve"> </w:t>
      </w:r>
      <w:r w:rsidRPr="00DD6267">
        <w:t>and</w:t>
      </w:r>
      <w:r>
        <w:t xml:space="preserve"> </w:t>
      </w:r>
      <w:r w:rsidRPr="00DD6267">
        <w:t>Bam,</w:t>
      </w:r>
      <w:r>
        <w:t xml:space="preserve"> </w:t>
      </w:r>
      <w:r w:rsidRPr="00DD6267">
        <w:t>east</w:t>
      </w:r>
      <w:r>
        <w:t xml:space="preserve"> </w:t>
      </w:r>
      <w:r w:rsidRPr="00DD6267">
        <w:t>and</w:t>
      </w:r>
      <w:r>
        <w:t xml:space="preserve"> </w:t>
      </w:r>
      <w:r w:rsidRPr="00DD6267">
        <w:t>south</w:t>
      </w:r>
      <w:r>
        <w:t xml:space="preserve"> </w:t>
      </w:r>
      <w:r w:rsidRPr="00DD6267">
        <w:t>of</w:t>
      </w:r>
      <w:r>
        <w:t xml:space="preserve"> </w:t>
      </w:r>
      <w:r w:rsidRPr="00DD6267">
        <w:t>the</w:t>
      </w:r>
      <w:r>
        <w:t xml:space="preserve"> </w:t>
      </w:r>
      <w:r w:rsidRPr="00DD6267">
        <w:t>city</w:t>
      </w:r>
      <w:r>
        <w:t xml:space="preserve"> </w:t>
      </w:r>
      <w:r w:rsidRPr="00DD6267">
        <w:t>of</w:t>
      </w:r>
      <w:r>
        <w:t xml:space="preserve"> </w:t>
      </w:r>
      <w:r w:rsidRPr="00DD6267">
        <w:t>Kirmán.</w:t>
      </w:r>
      <w:r>
        <w:t xml:space="preserve">  </w:t>
      </w:r>
      <w:r w:rsidRPr="00DD6267">
        <w:t>The</w:t>
      </w:r>
      <w:r>
        <w:t xml:space="preserve"> </w:t>
      </w:r>
      <w:r w:rsidRPr="00DD6267">
        <w:t>1847–1850</w:t>
      </w:r>
      <w:r>
        <w:t xml:space="preserve"> </w:t>
      </w:r>
      <w:r w:rsidRPr="00DD6267">
        <w:t>rebellion</w:t>
      </w:r>
      <w:r>
        <w:t xml:space="preserve"> </w:t>
      </w:r>
      <w:r w:rsidRPr="00DD6267">
        <w:t>of</w:t>
      </w:r>
      <w:r>
        <w:t xml:space="preserve"> </w:t>
      </w:r>
      <w:r w:rsidRPr="00DD6267">
        <w:t>Muḥammad-Ḥasan</w:t>
      </w:r>
      <w:r>
        <w:t xml:space="preserve"> </w:t>
      </w:r>
      <w:r w:rsidRPr="00DD6267">
        <w:rPr>
          <w:u w:val="single"/>
        </w:rPr>
        <w:t>Kh</w:t>
      </w:r>
      <w:r w:rsidRPr="00DD6267">
        <w:t>án,</w:t>
      </w:r>
      <w:r>
        <w:t xml:space="preserve"> </w:t>
      </w:r>
      <w:r w:rsidRPr="00DD6267">
        <w:t>the</w:t>
      </w:r>
      <w:r>
        <w:t xml:space="preserve"> </w:t>
      </w:r>
      <w:r w:rsidRPr="00DD6267">
        <w:t>Sálár,</w:t>
      </w:r>
      <w:r>
        <w:t xml:space="preserve"> </w:t>
      </w:r>
      <w:r w:rsidRPr="00DD6267">
        <w:t>occurred</w:t>
      </w:r>
      <w:r>
        <w:t xml:space="preserve"> </w:t>
      </w:r>
      <w:r w:rsidRPr="00DD6267">
        <w:t>in</w:t>
      </w:r>
      <w:r>
        <w:t xml:space="preserve"> </w:t>
      </w:r>
      <w:r w:rsidRPr="006225E8">
        <w:rPr>
          <w:u w:val="single"/>
        </w:rPr>
        <w:t>Kh</w:t>
      </w:r>
      <w:r w:rsidRPr="00382917">
        <w:t>urásán</w:t>
      </w:r>
      <w:r>
        <w:t xml:space="preserve"> </w:t>
      </w:r>
      <w:r w:rsidRPr="00DD6267">
        <w:t>Province.</w:t>
      </w:r>
    </w:p>
  </w:footnote>
  <w:footnote w:id="64">
    <w:p w:rsidR="001C15E8" w:rsidRPr="00C26B14" w:rsidRDefault="001C15E8">
      <w:pPr>
        <w:pStyle w:val="FootnoteText"/>
        <w:rPr>
          <w:lang w:val="fr-FR"/>
        </w:rPr>
      </w:pPr>
      <w:r>
        <w:rPr>
          <w:rStyle w:val="FootnoteReference"/>
        </w:rPr>
        <w:footnoteRef/>
      </w:r>
      <w:r w:rsidRPr="00C26B14">
        <w:rPr>
          <w:lang w:val="fr-FR"/>
        </w:rPr>
        <w:tab/>
      </w:r>
      <w:r w:rsidRPr="00030BA2">
        <w:rPr>
          <w:lang w:val="fr-FR"/>
        </w:rPr>
        <w:t>Comte</w:t>
      </w:r>
      <w:r>
        <w:rPr>
          <w:lang w:val="fr-FR"/>
        </w:rPr>
        <w:t xml:space="preserve"> </w:t>
      </w:r>
      <w:r w:rsidRPr="00030BA2">
        <w:rPr>
          <w:lang w:val="fr-FR"/>
        </w:rPr>
        <w:t>de</w:t>
      </w:r>
      <w:r>
        <w:rPr>
          <w:lang w:val="fr-FR"/>
        </w:rPr>
        <w:t xml:space="preserve"> </w:t>
      </w:r>
      <w:r w:rsidRPr="00030BA2">
        <w:rPr>
          <w:lang w:val="fr-FR"/>
        </w:rPr>
        <w:t>Gobineau,</w:t>
      </w:r>
      <w:r>
        <w:rPr>
          <w:lang w:val="fr-FR"/>
        </w:rPr>
        <w:t xml:space="preserve"> </w:t>
      </w:r>
      <w:r w:rsidRPr="004E50EF">
        <w:rPr>
          <w:i/>
          <w:iCs/>
          <w:lang w:val="fr-FR"/>
        </w:rPr>
        <w:t>Les</w:t>
      </w:r>
      <w:r>
        <w:rPr>
          <w:i/>
          <w:iCs/>
          <w:lang w:val="fr-FR"/>
        </w:rPr>
        <w:t xml:space="preserve"> </w:t>
      </w:r>
      <w:r w:rsidRPr="004E50EF">
        <w:rPr>
          <w:i/>
          <w:iCs/>
          <w:lang w:val="fr-FR"/>
        </w:rPr>
        <w:t>Religions</w:t>
      </w:r>
      <w:r>
        <w:rPr>
          <w:i/>
          <w:iCs/>
          <w:lang w:val="fr-FR"/>
        </w:rPr>
        <w:t xml:space="preserve"> </w:t>
      </w:r>
      <w:r w:rsidRPr="004E50EF">
        <w:rPr>
          <w:i/>
          <w:iCs/>
          <w:lang w:val="fr-FR"/>
        </w:rPr>
        <w:t>et</w:t>
      </w:r>
      <w:r>
        <w:rPr>
          <w:i/>
          <w:iCs/>
          <w:lang w:val="fr-FR"/>
        </w:rPr>
        <w:t xml:space="preserve"> </w:t>
      </w:r>
      <w:r w:rsidRPr="004E50EF">
        <w:rPr>
          <w:i/>
          <w:iCs/>
          <w:lang w:val="fr-FR"/>
        </w:rPr>
        <w:t>les</w:t>
      </w:r>
      <w:r>
        <w:rPr>
          <w:i/>
          <w:iCs/>
          <w:lang w:val="fr-FR"/>
        </w:rPr>
        <w:t xml:space="preserve"> </w:t>
      </w:r>
      <w:r w:rsidRPr="004E50EF">
        <w:rPr>
          <w:i/>
          <w:iCs/>
          <w:lang w:val="fr-FR"/>
        </w:rPr>
        <w:t>Philosophies</w:t>
      </w:r>
      <w:r>
        <w:rPr>
          <w:i/>
          <w:iCs/>
          <w:lang w:val="fr-FR"/>
        </w:rPr>
        <w:t xml:space="preserve"> </w:t>
      </w:r>
      <w:r w:rsidRPr="004E50EF">
        <w:rPr>
          <w:i/>
          <w:iCs/>
          <w:lang w:val="fr-FR"/>
        </w:rPr>
        <w:t>dans</w:t>
      </w:r>
      <w:r>
        <w:rPr>
          <w:i/>
          <w:iCs/>
          <w:lang w:val="fr-FR"/>
        </w:rPr>
        <w:t xml:space="preserve"> </w:t>
      </w:r>
      <w:r w:rsidRPr="004E50EF">
        <w:rPr>
          <w:i/>
          <w:iCs/>
          <w:lang w:val="fr-FR"/>
        </w:rPr>
        <w:t>l’Asie</w:t>
      </w:r>
      <w:r>
        <w:rPr>
          <w:i/>
          <w:iCs/>
          <w:lang w:val="fr-FR"/>
        </w:rPr>
        <w:t xml:space="preserve"> </w:t>
      </w:r>
      <w:r w:rsidRPr="004E50EF">
        <w:rPr>
          <w:i/>
          <w:iCs/>
          <w:lang w:val="fr-FR"/>
        </w:rPr>
        <w:t>Centrale</w:t>
      </w:r>
      <w:r w:rsidRPr="00030BA2">
        <w:rPr>
          <w:lang w:val="fr-FR"/>
        </w:rPr>
        <w:t>,</w:t>
      </w:r>
      <w:r>
        <w:rPr>
          <w:lang w:val="fr-FR"/>
        </w:rPr>
        <w:t xml:space="preserve"> </w:t>
      </w:r>
      <w:r w:rsidRPr="00030BA2">
        <w:rPr>
          <w:lang w:val="fr-FR"/>
        </w:rPr>
        <w:t>pp.</w:t>
      </w:r>
      <w:r>
        <w:rPr>
          <w:lang w:val="fr-FR"/>
        </w:rPr>
        <w:t xml:space="preserve"> </w:t>
      </w:r>
      <w:r w:rsidRPr="00030BA2">
        <w:rPr>
          <w:lang w:val="fr-FR"/>
        </w:rPr>
        <w:t>131–132.</w:t>
      </w:r>
    </w:p>
  </w:footnote>
  <w:footnote w:id="65">
    <w:p w:rsidR="001C15E8" w:rsidRPr="00B24C41" w:rsidRDefault="001C15E8">
      <w:pPr>
        <w:pStyle w:val="FootnoteText"/>
        <w:rPr>
          <w:lang w:val="fr-FR"/>
        </w:rPr>
      </w:pPr>
      <w:r>
        <w:rPr>
          <w:rStyle w:val="FootnoteReference"/>
        </w:rPr>
        <w:footnoteRef/>
      </w:r>
      <w:r w:rsidRPr="00B24C41">
        <w:rPr>
          <w:lang w:val="fr-FR"/>
        </w:rPr>
        <w:tab/>
      </w:r>
      <w:r w:rsidRPr="000910FF">
        <w:rPr>
          <w:i/>
          <w:iCs/>
          <w:lang w:val="fr-FR"/>
        </w:rPr>
        <w:t>Journal</w:t>
      </w:r>
      <w:r>
        <w:rPr>
          <w:i/>
          <w:iCs/>
          <w:lang w:val="fr-FR"/>
        </w:rPr>
        <w:t xml:space="preserve"> </w:t>
      </w:r>
      <w:r w:rsidRPr="000910FF">
        <w:rPr>
          <w:i/>
          <w:iCs/>
          <w:lang w:val="fr-FR"/>
        </w:rPr>
        <w:t>Asiatique</w:t>
      </w:r>
      <w:r w:rsidRPr="00030BA2">
        <w:rPr>
          <w:lang w:val="fr-FR"/>
        </w:rPr>
        <w:t>,</w:t>
      </w:r>
      <w:r>
        <w:rPr>
          <w:lang w:val="fr-FR"/>
        </w:rPr>
        <w:t xml:space="preserve"> </w:t>
      </w:r>
      <w:r w:rsidRPr="00030BA2">
        <w:rPr>
          <w:lang w:val="fr-FR"/>
        </w:rPr>
        <w:t>1866,</w:t>
      </w:r>
      <w:r>
        <w:rPr>
          <w:lang w:val="fr-FR"/>
        </w:rPr>
        <w:t xml:space="preserve"> </w:t>
      </w:r>
      <w:r w:rsidRPr="00030BA2">
        <w:rPr>
          <w:lang w:val="fr-FR"/>
        </w:rPr>
        <w:t>tome</w:t>
      </w:r>
      <w:r>
        <w:rPr>
          <w:lang w:val="fr-FR"/>
        </w:rPr>
        <w:t xml:space="preserve"> </w:t>
      </w:r>
      <w:r w:rsidRPr="00030BA2">
        <w:rPr>
          <w:lang w:val="fr-FR"/>
        </w:rPr>
        <w:t>7,</w:t>
      </w:r>
      <w:r>
        <w:rPr>
          <w:lang w:val="fr-FR"/>
        </w:rPr>
        <w:t xml:space="preserve"> </w:t>
      </w:r>
      <w:r w:rsidRPr="00030BA2">
        <w:rPr>
          <w:lang w:val="fr-FR"/>
        </w:rPr>
        <w:t>pp.</w:t>
      </w:r>
      <w:r>
        <w:rPr>
          <w:lang w:val="fr-FR"/>
        </w:rPr>
        <w:t xml:space="preserve"> </w:t>
      </w:r>
      <w:r w:rsidRPr="00030BA2">
        <w:rPr>
          <w:lang w:val="fr-FR"/>
        </w:rPr>
        <w:t>367–368.</w:t>
      </w:r>
    </w:p>
  </w:footnote>
  <w:footnote w:id="66">
    <w:p w:rsidR="001C15E8" w:rsidRPr="00B24C41" w:rsidRDefault="001C15E8">
      <w:pPr>
        <w:pStyle w:val="FootnoteText"/>
        <w:rPr>
          <w:lang w:val="fr-FR"/>
        </w:rPr>
      </w:pPr>
      <w:r>
        <w:rPr>
          <w:rStyle w:val="FootnoteReference"/>
        </w:rPr>
        <w:footnoteRef/>
      </w:r>
      <w:r w:rsidRPr="00B24C41">
        <w:rPr>
          <w:lang w:val="fr-FR"/>
        </w:rPr>
        <w:tab/>
        <w:t>Nabíl,</w:t>
      </w:r>
      <w:r>
        <w:rPr>
          <w:lang w:val="fr-FR"/>
        </w:rPr>
        <w:t xml:space="preserve"> </w:t>
      </w:r>
      <w:r w:rsidRPr="00B24C41">
        <w:rPr>
          <w:i/>
          <w:iCs/>
          <w:lang w:val="fr-FR"/>
        </w:rPr>
        <w:t>The</w:t>
      </w:r>
      <w:r>
        <w:rPr>
          <w:i/>
          <w:iCs/>
          <w:lang w:val="fr-FR"/>
        </w:rPr>
        <w:t xml:space="preserve"> </w:t>
      </w:r>
      <w:r w:rsidRPr="00B24C41">
        <w:rPr>
          <w:i/>
          <w:iCs/>
          <w:lang w:val="fr-FR"/>
        </w:rPr>
        <w:t>Dawn-Breakers</w:t>
      </w:r>
      <w:r w:rsidRPr="00B24C41">
        <w:rPr>
          <w:lang w:val="fr-FR"/>
        </w:rPr>
        <w:t>,</w:t>
      </w:r>
      <w:r>
        <w:rPr>
          <w:lang w:val="fr-FR"/>
        </w:rPr>
        <w:t xml:space="preserve"> </w:t>
      </w:r>
      <w:r w:rsidRPr="00B24C41">
        <w:rPr>
          <w:lang w:val="fr-FR"/>
        </w:rPr>
        <w:t>p.</w:t>
      </w:r>
      <w:r>
        <w:rPr>
          <w:lang w:val="fr-FR"/>
        </w:rPr>
        <w:t xml:space="preserve"> </w:t>
      </w:r>
      <w:r w:rsidRPr="00B24C41">
        <w:rPr>
          <w:lang w:val="fr-FR"/>
        </w:rPr>
        <w:t>232,</w:t>
      </w:r>
      <w:r>
        <w:rPr>
          <w:lang w:val="fr-FR"/>
        </w:rPr>
        <w:t xml:space="preserve"> </w:t>
      </w:r>
      <w:proofErr w:type="spellStart"/>
      <w:r w:rsidRPr="00B24C41">
        <w:rPr>
          <w:lang w:val="fr-FR"/>
        </w:rPr>
        <w:t>footnote</w:t>
      </w:r>
      <w:proofErr w:type="spellEnd"/>
      <w:r>
        <w:rPr>
          <w:lang w:val="fr-FR"/>
        </w:rPr>
        <w:t xml:space="preserve"> </w:t>
      </w:r>
      <w:r w:rsidRPr="00B24C41">
        <w:rPr>
          <w:lang w:val="fr-FR"/>
        </w:rPr>
        <w:t>(Ḥájí</w:t>
      </w:r>
      <w:r>
        <w:rPr>
          <w:lang w:val="fr-FR"/>
        </w:rPr>
        <w:t xml:space="preserve"> </w:t>
      </w:r>
      <w:proofErr w:type="spellStart"/>
      <w:r w:rsidRPr="00B24C41">
        <w:rPr>
          <w:lang w:val="fr-FR"/>
        </w:rPr>
        <w:t>Mu‘ínu’s-Salṭanih’s</w:t>
      </w:r>
      <w:proofErr w:type="spellEnd"/>
      <w:r>
        <w:rPr>
          <w:lang w:val="fr-FR"/>
        </w:rPr>
        <w:t xml:space="preserve"> </w:t>
      </w:r>
      <w:r w:rsidRPr="00B24C41">
        <w:rPr>
          <w:lang w:val="fr-FR"/>
        </w:rPr>
        <w:t>narrative,</w:t>
      </w:r>
      <w:r>
        <w:rPr>
          <w:lang w:val="fr-FR"/>
        </w:rPr>
        <w:t xml:space="preserve"> </w:t>
      </w:r>
      <w:r w:rsidRPr="00B24C41">
        <w:rPr>
          <w:lang w:val="fr-FR"/>
        </w:rPr>
        <w:t>p.</w:t>
      </w:r>
      <w:r>
        <w:rPr>
          <w:lang w:val="fr-FR"/>
        </w:rPr>
        <w:t xml:space="preserve"> </w:t>
      </w:r>
      <w:r w:rsidRPr="00B24C41">
        <w:rPr>
          <w:lang w:val="fr-FR"/>
        </w:rPr>
        <w:t>129).</w:t>
      </w:r>
    </w:p>
  </w:footnote>
  <w:footnote w:id="67">
    <w:p w:rsidR="001C15E8" w:rsidRPr="00B24C41" w:rsidRDefault="001C15E8">
      <w:pPr>
        <w:pStyle w:val="FootnoteText"/>
        <w:rPr>
          <w:lang w:val="fr-FR"/>
        </w:rPr>
      </w:pPr>
      <w:r>
        <w:rPr>
          <w:rStyle w:val="FootnoteReference"/>
        </w:rPr>
        <w:footnoteRef/>
      </w:r>
      <w:r w:rsidRPr="00B24C41">
        <w:rPr>
          <w:lang w:val="fr-FR"/>
        </w:rPr>
        <w:tab/>
      </w:r>
      <w:proofErr w:type="gramStart"/>
      <w:r>
        <w:rPr>
          <w:lang w:val="fr-FR"/>
        </w:rPr>
        <w:t>idem</w:t>
      </w:r>
      <w:proofErr w:type="gramEnd"/>
      <w:r w:rsidRPr="00030BA2">
        <w:rPr>
          <w:lang w:val="fr-FR"/>
        </w:rPr>
        <w:t>,</w:t>
      </w:r>
      <w:r>
        <w:rPr>
          <w:lang w:val="fr-FR"/>
        </w:rPr>
        <w:t xml:space="preserve"> </w:t>
      </w:r>
      <w:r w:rsidRPr="00030BA2">
        <w:rPr>
          <w:lang w:val="fr-FR"/>
        </w:rPr>
        <w:t>pp.</w:t>
      </w:r>
      <w:r>
        <w:rPr>
          <w:lang w:val="fr-FR"/>
        </w:rPr>
        <w:t xml:space="preserve"> </w:t>
      </w:r>
      <w:r w:rsidRPr="00030BA2">
        <w:rPr>
          <w:lang w:val="fr-FR"/>
        </w:rPr>
        <w:t>230–231.</w:t>
      </w:r>
    </w:p>
  </w:footnote>
  <w:footnote w:id="68">
    <w:p w:rsidR="001C15E8" w:rsidRPr="00A178DE" w:rsidRDefault="001C15E8">
      <w:pPr>
        <w:pStyle w:val="FootnoteText"/>
        <w:rPr>
          <w:lang w:val="fr-FR"/>
        </w:rPr>
      </w:pPr>
      <w:r>
        <w:rPr>
          <w:rStyle w:val="FootnoteReference"/>
        </w:rPr>
        <w:footnoteRef/>
      </w:r>
      <w:r w:rsidRPr="00A178DE">
        <w:rPr>
          <w:lang w:val="fr-FR"/>
        </w:rPr>
        <w:tab/>
      </w:r>
      <w:r w:rsidRPr="00030BA2">
        <w:rPr>
          <w:lang w:val="fr-FR"/>
        </w:rPr>
        <w:t>Comte</w:t>
      </w:r>
      <w:r>
        <w:rPr>
          <w:lang w:val="fr-FR"/>
        </w:rPr>
        <w:t xml:space="preserve"> </w:t>
      </w:r>
      <w:r w:rsidRPr="00030BA2">
        <w:rPr>
          <w:lang w:val="fr-FR"/>
        </w:rPr>
        <w:t>de</w:t>
      </w:r>
      <w:r>
        <w:rPr>
          <w:lang w:val="fr-FR"/>
        </w:rPr>
        <w:t xml:space="preserve"> </w:t>
      </w:r>
      <w:r w:rsidRPr="00030BA2">
        <w:rPr>
          <w:lang w:val="fr-FR"/>
        </w:rPr>
        <w:t>Gobineau,</w:t>
      </w:r>
      <w:r>
        <w:rPr>
          <w:lang w:val="fr-FR"/>
        </w:rPr>
        <w:t xml:space="preserve"> </w:t>
      </w:r>
      <w:r w:rsidRPr="00A178DE">
        <w:rPr>
          <w:i/>
          <w:iCs/>
          <w:lang w:val="fr-FR"/>
        </w:rPr>
        <w:t>Les</w:t>
      </w:r>
      <w:r>
        <w:rPr>
          <w:i/>
          <w:iCs/>
          <w:lang w:val="fr-FR"/>
        </w:rPr>
        <w:t xml:space="preserve"> </w:t>
      </w:r>
      <w:r w:rsidRPr="00A178DE">
        <w:rPr>
          <w:i/>
          <w:iCs/>
          <w:lang w:val="fr-FR"/>
        </w:rPr>
        <w:t>Religions</w:t>
      </w:r>
      <w:r>
        <w:rPr>
          <w:i/>
          <w:iCs/>
          <w:lang w:val="fr-FR"/>
        </w:rPr>
        <w:t xml:space="preserve"> </w:t>
      </w:r>
      <w:r w:rsidRPr="00A178DE">
        <w:rPr>
          <w:i/>
          <w:iCs/>
          <w:lang w:val="fr-FR"/>
        </w:rPr>
        <w:t>et</w:t>
      </w:r>
      <w:r>
        <w:rPr>
          <w:i/>
          <w:iCs/>
          <w:lang w:val="fr-FR"/>
        </w:rPr>
        <w:t xml:space="preserve"> </w:t>
      </w:r>
      <w:r w:rsidRPr="00A178DE">
        <w:rPr>
          <w:i/>
          <w:iCs/>
          <w:lang w:val="fr-FR"/>
        </w:rPr>
        <w:t>les</w:t>
      </w:r>
      <w:r>
        <w:rPr>
          <w:i/>
          <w:iCs/>
          <w:lang w:val="fr-FR"/>
        </w:rPr>
        <w:t xml:space="preserve"> </w:t>
      </w:r>
      <w:r w:rsidRPr="00A178DE">
        <w:rPr>
          <w:i/>
          <w:iCs/>
          <w:lang w:val="fr-FR"/>
        </w:rPr>
        <w:t>Philosophies</w:t>
      </w:r>
      <w:r>
        <w:rPr>
          <w:i/>
          <w:iCs/>
          <w:lang w:val="fr-FR"/>
        </w:rPr>
        <w:t xml:space="preserve"> </w:t>
      </w:r>
      <w:r w:rsidRPr="00A178DE">
        <w:rPr>
          <w:i/>
          <w:iCs/>
          <w:lang w:val="fr-FR"/>
        </w:rPr>
        <w:t>dans</w:t>
      </w:r>
      <w:r>
        <w:rPr>
          <w:i/>
          <w:iCs/>
          <w:lang w:val="fr-FR"/>
        </w:rPr>
        <w:t xml:space="preserve"> </w:t>
      </w:r>
      <w:r w:rsidRPr="00A178DE">
        <w:rPr>
          <w:i/>
          <w:iCs/>
          <w:lang w:val="fr-FR"/>
        </w:rPr>
        <w:t>l’Asie</w:t>
      </w:r>
      <w:r>
        <w:rPr>
          <w:i/>
          <w:iCs/>
          <w:lang w:val="fr-FR"/>
        </w:rPr>
        <w:t xml:space="preserve"> </w:t>
      </w:r>
      <w:r w:rsidRPr="00A178DE">
        <w:rPr>
          <w:i/>
          <w:iCs/>
          <w:lang w:val="fr-FR"/>
        </w:rPr>
        <w:t>Centrale</w:t>
      </w:r>
      <w:r w:rsidRPr="00030BA2">
        <w:rPr>
          <w:lang w:val="fr-FR"/>
        </w:rPr>
        <w:t>,</w:t>
      </w:r>
      <w:r>
        <w:rPr>
          <w:lang w:val="fr-FR"/>
        </w:rPr>
        <w:t xml:space="preserve"> </w:t>
      </w:r>
      <w:r w:rsidRPr="00030BA2">
        <w:rPr>
          <w:lang w:val="fr-FR"/>
        </w:rPr>
        <w:t>p.</w:t>
      </w:r>
      <w:r>
        <w:rPr>
          <w:lang w:val="fr-FR"/>
        </w:rPr>
        <w:t xml:space="preserve"> </w:t>
      </w:r>
      <w:r w:rsidRPr="00030BA2">
        <w:rPr>
          <w:lang w:val="fr-FR"/>
        </w:rPr>
        <w:t>124.</w:t>
      </w:r>
    </w:p>
  </w:footnote>
  <w:footnote w:id="69">
    <w:p w:rsidR="001C15E8" w:rsidRPr="00A178DE" w:rsidRDefault="001C15E8">
      <w:pPr>
        <w:pStyle w:val="FootnoteText"/>
        <w:rPr>
          <w:lang w:val="en-US"/>
        </w:rPr>
      </w:pPr>
      <w:r>
        <w:rPr>
          <w:rStyle w:val="FootnoteReference"/>
        </w:rPr>
        <w:footnoteRef/>
      </w:r>
      <w:r>
        <w:tab/>
      </w:r>
      <w:proofErr w:type="gramStart"/>
      <w:r w:rsidRPr="001713B3">
        <w:rPr>
          <w:i/>
          <w:iCs/>
        </w:rPr>
        <w:t>A</w:t>
      </w:r>
      <w:r>
        <w:rPr>
          <w:i/>
          <w:iCs/>
        </w:rPr>
        <w:t xml:space="preserve"> </w:t>
      </w:r>
      <w:r w:rsidRPr="001713B3">
        <w:rPr>
          <w:i/>
          <w:iCs/>
        </w:rPr>
        <w:t>Traveller’s</w:t>
      </w:r>
      <w:r>
        <w:rPr>
          <w:i/>
          <w:iCs/>
        </w:rPr>
        <w:t xml:space="preserve"> </w:t>
      </w:r>
      <w:r w:rsidRPr="001713B3">
        <w:rPr>
          <w:i/>
          <w:iCs/>
        </w:rPr>
        <w:t>Narrative</w:t>
      </w:r>
      <w:r w:rsidRPr="000910FF">
        <w:rPr>
          <w:lang w:val="en-AU"/>
        </w:rPr>
        <w:t>,</w:t>
      </w:r>
      <w:r>
        <w:rPr>
          <w:lang w:val="en-AU"/>
        </w:rPr>
        <w:t xml:space="preserve"> </w:t>
      </w:r>
      <w:r w:rsidRPr="000910FF">
        <w:rPr>
          <w:lang w:val="en-AU"/>
        </w:rPr>
        <w:t>p.</w:t>
      </w:r>
      <w:r>
        <w:rPr>
          <w:lang w:val="en-AU"/>
        </w:rPr>
        <w:t xml:space="preserve"> </w:t>
      </w:r>
      <w:r w:rsidRPr="000910FF">
        <w:rPr>
          <w:lang w:val="en-AU"/>
        </w:rPr>
        <w:t>16.</w:t>
      </w:r>
      <w:proofErr w:type="gramEnd"/>
    </w:p>
  </w:footnote>
  <w:footnote w:id="70">
    <w:p w:rsidR="001C15E8" w:rsidRPr="00B24C41" w:rsidRDefault="001C15E8">
      <w:pPr>
        <w:pStyle w:val="FootnoteText"/>
        <w:rPr>
          <w:lang w:val="en-US"/>
        </w:rPr>
      </w:pPr>
      <w:r>
        <w:rPr>
          <w:rStyle w:val="FootnoteReference"/>
        </w:rPr>
        <w:footnoteRef/>
      </w:r>
      <w:r>
        <w:tab/>
      </w:r>
      <w:r w:rsidRPr="00382917">
        <w:t>Nabíl,</w:t>
      </w:r>
      <w:r>
        <w:t xml:space="preserve"> </w:t>
      </w:r>
      <w:proofErr w:type="gramStart"/>
      <w:r w:rsidRPr="00382917">
        <w:rPr>
          <w:i/>
          <w:iCs/>
        </w:rPr>
        <w:t>The</w:t>
      </w:r>
      <w:proofErr w:type="gramEnd"/>
      <w:r>
        <w:rPr>
          <w:i/>
          <w:iCs/>
        </w:rPr>
        <w:t xml:space="preserve"> </w:t>
      </w:r>
      <w:r w:rsidRPr="00382917">
        <w:rPr>
          <w:i/>
          <w:iCs/>
        </w:rPr>
        <w:t>Dawn-Breakers</w:t>
      </w:r>
      <w:r w:rsidRPr="00382917">
        <w:t>,</w:t>
      </w:r>
      <w:r>
        <w:t xml:space="preserve"> </w:t>
      </w:r>
      <w:r w:rsidRPr="00382917">
        <w:t>pp.</w:t>
      </w:r>
      <w:r>
        <w:t xml:space="preserve"> </w:t>
      </w:r>
      <w:r w:rsidRPr="00382917">
        <w:t>237–241,</w:t>
      </w:r>
      <w:r>
        <w:t xml:space="preserve"> </w:t>
      </w:r>
      <w:r w:rsidRPr="00382917">
        <w:t>243.</w:t>
      </w:r>
    </w:p>
  </w:footnote>
  <w:footnote w:id="71">
    <w:p w:rsidR="001C15E8" w:rsidRPr="001713B3" w:rsidRDefault="001C15E8" w:rsidP="00EE4FC3">
      <w:pPr>
        <w:pStyle w:val="FootnoteText"/>
        <w:rPr>
          <w:lang w:val="en-US"/>
        </w:rPr>
      </w:pPr>
      <w:r>
        <w:rPr>
          <w:rStyle w:val="FootnoteReference"/>
        </w:rPr>
        <w:footnoteRef/>
      </w:r>
      <w:r>
        <w:tab/>
      </w:r>
      <w:r w:rsidRPr="00382917">
        <w:t>(1)</w:t>
      </w:r>
      <w:r>
        <w:t xml:space="preserve">  </w:t>
      </w:r>
      <w:proofErr w:type="gramStart"/>
      <w:r>
        <w:t>idem</w:t>
      </w:r>
      <w:proofErr w:type="gramEnd"/>
      <w:r w:rsidRPr="00382917">
        <w:t>,</w:t>
      </w:r>
      <w:r>
        <w:t xml:space="preserve"> </w:t>
      </w:r>
      <w:r w:rsidRPr="00382917">
        <w:t>p.</w:t>
      </w:r>
      <w:r>
        <w:t xml:space="preserve"> </w:t>
      </w:r>
      <w:r w:rsidRPr="00382917">
        <w:t>239.</w:t>
      </w:r>
      <w:r>
        <w:t xml:space="preserve">  </w:t>
      </w:r>
      <w:r w:rsidRPr="001713B3">
        <w:rPr>
          <w:lang w:val="en-US"/>
        </w:rPr>
        <w:t>(2)</w:t>
      </w:r>
      <w:r>
        <w:rPr>
          <w:lang w:val="en-US"/>
        </w:rPr>
        <w:t xml:space="preserve">  </w:t>
      </w:r>
      <w:r w:rsidRPr="001713B3">
        <w:rPr>
          <w:lang w:val="en-US"/>
        </w:rPr>
        <w:t>A.</w:t>
      </w:r>
      <w:r>
        <w:rPr>
          <w:lang w:val="en-US"/>
        </w:rPr>
        <w:t xml:space="preserve"> </w:t>
      </w:r>
      <w:r w:rsidRPr="001713B3">
        <w:rPr>
          <w:lang w:val="en-US"/>
        </w:rPr>
        <w:t>L.</w:t>
      </w:r>
      <w:r>
        <w:rPr>
          <w:lang w:val="en-US"/>
        </w:rPr>
        <w:t xml:space="preserve"> </w:t>
      </w:r>
      <w:r w:rsidRPr="001713B3">
        <w:rPr>
          <w:lang w:val="en-US"/>
        </w:rPr>
        <w:t>M.</w:t>
      </w:r>
      <w:r>
        <w:rPr>
          <w:lang w:val="en-US"/>
        </w:rPr>
        <w:t xml:space="preserve"> </w:t>
      </w:r>
      <w:r w:rsidRPr="001713B3">
        <w:rPr>
          <w:lang w:val="en-US"/>
        </w:rPr>
        <w:t>Nicolas,</w:t>
      </w:r>
      <w:r>
        <w:rPr>
          <w:lang w:val="en-US"/>
        </w:rPr>
        <w:t xml:space="preserve"> </w:t>
      </w:r>
      <w:r w:rsidRPr="001713B3">
        <w:rPr>
          <w:i/>
          <w:iCs/>
          <w:lang w:val="en-US"/>
        </w:rPr>
        <w:t>Siyyid</w:t>
      </w:r>
      <w:r>
        <w:rPr>
          <w:i/>
          <w:iCs/>
          <w:lang w:val="en-US"/>
        </w:rPr>
        <w:t xml:space="preserve"> </w:t>
      </w:r>
      <w:r w:rsidRPr="001713B3">
        <w:rPr>
          <w:i/>
          <w:iCs/>
          <w:lang w:val="en-US"/>
        </w:rPr>
        <w:t>‘Alí-Muḥammad</w:t>
      </w:r>
      <w:r>
        <w:rPr>
          <w:i/>
          <w:iCs/>
          <w:lang w:val="en-US"/>
        </w:rPr>
        <w:t xml:space="preserve"> </w:t>
      </w:r>
      <w:proofErr w:type="spellStart"/>
      <w:r w:rsidRPr="001713B3">
        <w:rPr>
          <w:i/>
          <w:iCs/>
          <w:lang w:val="en-US"/>
        </w:rPr>
        <w:t>dit</w:t>
      </w:r>
      <w:proofErr w:type="spellEnd"/>
      <w:r>
        <w:rPr>
          <w:i/>
          <w:iCs/>
          <w:lang w:val="en-US"/>
        </w:rPr>
        <w:t xml:space="preserve"> </w:t>
      </w:r>
      <w:r w:rsidRPr="001713B3">
        <w:rPr>
          <w:i/>
          <w:iCs/>
          <w:lang w:val="en-US"/>
        </w:rPr>
        <w:t>le</w:t>
      </w:r>
      <w:r>
        <w:rPr>
          <w:i/>
          <w:iCs/>
          <w:lang w:val="en-US"/>
        </w:rPr>
        <w:t xml:space="preserve"> </w:t>
      </w:r>
      <w:r w:rsidRPr="001713B3">
        <w:rPr>
          <w:i/>
          <w:iCs/>
          <w:lang w:val="en-US"/>
        </w:rPr>
        <w:t>Báb</w:t>
      </w:r>
      <w:r w:rsidRPr="001713B3">
        <w:rPr>
          <w:lang w:val="en-US"/>
        </w:rPr>
        <w:t>,</w:t>
      </w:r>
      <w:r>
        <w:rPr>
          <w:lang w:val="en-US"/>
        </w:rPr>
        <w:t xml:space="preserve"> </w:t>
      </w:r>
      <w:r w:rsidRPr="001713B3">
        <w:rPr>
          <w:lang w:val="en-US"/>
        </w:rPr>
        <w:t>p.</w:t>
      </w:r>
      <w:r>
        <w:rPr>
          <w:lang w:val="en-US"/>
        </w:rPr>
        <w:t xml:space="preserve"> </w:t>
      </w:r>
      <w:r w:rsidRPr="001713B3">
        <w:rPr>
          <w:lang w:val="en-US"/>
        </w:rPr>
        <w:t>375.</w:t>
      </w:r>
    </w:p>
  </w:footnote>
  <w:footnote w:id="72">
    <w:p w:rsidR="001C15E8" w:rsidRPr="00C72263" w:rsidRDefault="001C15E8">
      <w:pPr>
        <w:pStyle w:val="FootnoteText"/>
        <w:rPr>
          <w:lang w:val="en-US"/>
        </w:rPr>
      </w:pPr>
      <w:r>
        <w:rPr>
          <w:rStyle w:val="FootnoteReference"/>
        </w:rPr>
        <w:footnoteRef/>
      </w:r>
      <w:r>
        <w:tab/>
      </w:r>
      <w:r w:rsidRPr="001713B3">
        <w:rPr>
          <w:i/>
          <w:iCs/>
        </w:rPr>
        <w:t>Journal</w:t>
      </w:r>
      <w:r>
        <w:rPr>
          <w:i/>
          <w:iCs/>
        </w:rPr>
        <w:t xml:space="preserve"> </w:t>
      </w:r>
      <w:proofErr w:type="spellStart"/>
      <w:r w:rsidRPr="001713B3">
        <w:rPr>
          <w:i/>
          <w:iCs/>
        </w:rPr>
        <w:t>Asiatique</w:t>
      </w:r>
      <w:proofErr w:type="spellEnd"/>
      <w:r w:rsidRPr="00382917">
        <w:t>,</w:t>
      </w:r>
      <w:r>
        <w:t xml:space="preserve"> </w:t>
      </w:r>
      <w:r w:rsidRPr="00382917">
        <w:t>1866,</w:t>
      </w:r>
      <w:r>
        <w:t xml:space="preserve"> </w:t>
      </w:r>
      <w:r w:rsidRPr="00382917">
        <w:t>tome</w:t>
      </w:r>
      <w:r>
        <w:t xml:space="preserve"> </w:t>
      </w:r>
      <w:r w:rsidRPr="00382917">
        <w:t>7,</w:t>
      </w:r>
      <w:r>
        <w:t xml:space="preserve"> </w:t>
      </w:r>
      <w:r w:rsidRPr="00382917">
        <w:t>p.</w:t>
      </w:r>
      <w:r>
        <w:t xml:space="preserve"> </w:t>
      </w:r>
      <w:r w:rsidRPr="00382917">
        <w:t>356.</w:t>
      </w:r>
    </w:p>
  </w:footnote>
  <w:footnote w:id="73">
    <w:p w:rsidR="001C15E8" w:rsidRPr="00A30AE4" w:rsidRDefault="001C15E8">
      <w:pPr>
        <w:pStyle w:val="FootnoteText"/>
        <w:rPr>
          <w:lang w:val="en-US"/>
        </w:rPr>
      </w:pPr>
      <w:r>
        <w:rPr>
          <w:rStyle w:val="FootnoteReference"/>
        </w:rPr>
        <w:footnoteRef/>
      </w:r>
      <w:r>
        <w:tab/>
      </w:r>
      <w:r w:rsidRPr="00382917">
        <w:t>Nabil,</w:t>
      </w:r>
      <w:r>
        <w:t xml:space="preserve"> </w:t>
      </w:r>
      <w:proofErr w:type="gramStart"/>
      <w:r w:rsidRPr="00382917">
        <w:rPr>
          <w:i/>
          <w:iCs/>
        </w:rPr>
        <w:t>The</w:t>
      </w:r>
      <w:proofErr w:type="gramEnd"/>
      <w:r>
        <w:rPr>
          <w:i/>
          <w:iCs/>
        </w:rPr>
        <w:t xml:space="preserve"> </w:t>
      </w:r>
      <w:r w:rsidRPr="00382917">
        <w:rPr>
          <w:i/>
          <w:iCs/>
        </w:rPr>
        <w:t>Dawn-Breakers</w:t>
      </w:r>
      <w:r w:rsidRPr="00382917">
        <w:t>,</w:t>
      </w:r>
      <w:r>
        <w:t xml:space="preserve"> </w:t>
      </w:r>
      <w:r w:rsidRPr="00382917">
        <w:t>p.</w:t>
      </w:r>
      <w:r>
        <w:t xml:space="preserve"> </w:t>
      </w:r>
      <w:r w:rsidRPr="00382917">
        <w:t>249.</w:t>
      </w:r>
    </w:p>
  </w:footnote>
  <w:footnote w:id="74">
    <w:p w:rsidR="001C15E8" w:rsidRPr="004D0B68" w:rsidRDefault="001C15E8">
      <w:pPr>
        <w:pStyle w:val="FootnoteText"/>
        <w:rPr>
          <w:lang w:val="en-US"/>
        </w:rPr>
      </w:pPr>
      <w:r>
        <w:rPr>
          <w:rStyle w:val="FootnoteReference"/>
        </w:rPr>
        <w:footnoteRef/>
      </w:r>
      <w:r>
        <w:tab/>
      </w:r>
      <w:r w:rsidRPr="00382917">
        <w:t>A.</w:t>
      </w:r>
      <w:r>
        <w:t xml:space="preserve"> </w:t>
      </w:r>
      <w:r w:rsidRPr="00382917">
        <w:t>L.</w:t>
      </w:r>
      <w:r>
        <w:t xml:space="preserve"> </w:t>
      </w:r>
      <w:r w:rsidRPr="00382917">
        <w:t>M.</w:t>
      </w:r>
      <w:r>
        <w:t xml:space="preserve"> </w:t>
      </w:r>
      <w:r w:rsidRPr="00382917">
        <w:t>Nicolas,</w:t>
      </w:r>
      <w:r>
        <w:t xml:space="preserve"> </w:t>
      </w:r>
      <w:r w:rsidRPr="001713B3">
        <w:rPr>
          <w:i/>
          <w:iCs/>
          <w:lang w:val="en-US"/>
        </w:rPr>
        <w:t>Siyyid</w:t>
      </w:r>
      <w:r>
        <w:rPr>
          <w:i/>
          <w:iCs/>
          <w:lang w:val="en-US"/>
        </w:rPr>
        <w:t xml:space="preserve"> </w:t>
      </w:r>
      <w:r w:rsidRPr="001713B3">
        <w:rPr>
          <w:i/>
          <w:iCs/>
          <w:lang w:val="en-US"/>
        </w:rPr>
        <w:t>‘Alí-Muḥammad</w:t>
      </w:r>
      <w:r>
        <w:rPr>
          <w:i/>
          <w:iCs/>
          <w:lang w:val="en-US"/>
        </w:rPr>
        <w:t xml:space="preserve"> </w:t>
      </w:r>
      <w:proofErr w:type="spellStart"/>
      <w:r w:rsidRPr="001713B3">
        <w:rPr>
          <w:i/>
          <w:iCs/>
          <w:lang w:val="en-US"/>
        </w:rPr>
        <w:t>dit</w:t>
      </w:r>
      <w:proofErr w:type="spellEnd"/>
      <w:r>
        <w:rPr>
          <w:i/>
          <w:iCs/>
          <w:lang w:val="en-US"/>
        </w:rPr>
        <w:t xml:space="preserve"> </w:t>
      </w:r>
      <w:r w:rsidRPr="001713B3">
        <w:rPr>
          <w:i/>
          <w:iCs/>
          <w:lang w:val="en-US"/>
        </w:rPr>
        <w:t>le</w:t>
      </w:r>
      <w:r>
        <w:rPr>
          <w:i/>
          <w:iCs/>
          <w:lang w:val="en-US"/>
        </w:rPr>
        <w:t xml:space="preserve"> </w:t>
      </w:r>
      <w:r w:rsidRPr="001713B3">
        <w:rPr>
          <w:i/>
          <w:iCs/>
          <w:lang w:val="en-US"/>
        </w:rPr>
        <w:t>Báb</w:t>
      </w:r>
      <w:r w:rsidRPr="00382917">
        <w:t>,</w:t>
      </w:r>
      <w:r>
        <w:t xml:space="preserve"> </w:t>
      </w:r>
      <w:r w:rsidRPr="00382917">
        <w:t>pp.</w:t>
      </w:r>
      <w:r>
        <w:t xml:space="preserve"> </w:t>
      </w:r>
      <w:r w:rsidRPr="00382917">
        <w:t>365–366.</w:t>
      </w:r>
    </w:p>
  </w:footnote>
  <w:footnote w:id="75">
    <w:p w:rsidR="001C15E8" w:rsidRPr="0087474B" w:rsidRDefault="001C15E8" w:rsidP="00EE4FC3">
      <w:pPr>
        <w:pStyle w:val="FootnoteText"/>
        <w:rPr>
          <w:lang w:val="en-US"/>
        </w:rPr>
      </w:pPr>
      <w:r>
        <w:rPr>
          <w:rStyle w:val="FootnoteReference"/>
        </w:rPr>
        <w:footnoteRef/>
      </w:r>
      <w:r>
        <w:tab/>
      </w:r>
      <w:r w:rsidRPr="00382917">
        <w:t>(1)</w:t>
      </w:r>
      <w:r>
        <w:t xml:space="preserve">  </w:t>
      </w:r>
      <w:r w:rsidRPr="0087474B">
        <w:rPr>
          <w:i/>
          <w:iCs/>
        </w:rPr>
        <w:t>Tárí</w:t>
      </w:r>
      <w:r w:rsidRPr="0087474B">
        <w:rPr>
          <w:i/>
          <w:iCs/>
          <w:u w:val="single"/>
        </w:rPr>
        <w:t>kh</w:t>
      </w:r>
      <w:r w:rsidRPr="0087474B">
        <w:rPr>
          <w:i/>
          <w:iCs/>
        </w:rPr>
        <w:t>-i-Jadíd</w:t>
      </w:r>
      <w:r w:rsidRPr="00382917">
        <w:t>,</w:t>
      </w:r>
      <w:r>
        <w:t xml:space="preserve"> </w:t>
      </w:r>
      <w:r w:rsidRPr="00382917">
        <w:t>p.</w:t>
      </w:r>
      <w:r>
        <w:t xml:space="preserve"> </w:t>
      </w:r>
      <w:r w:rsidRPr="00382917">
        <w:t>238.</w:t>
      </w:r>
      <w:r>
        <w:t xml:space="preserve">  </w:t>
      </w:r>
      <w:r w:rsidRPr="00382917">
        <w:t>(2)</w:t>
      </w:r>
      <w:r>
        <w:t xml:space="preserve">  </w:t>
      </w:r>
      <w:r w:rsidRPr="00382917">
        <w:t>Nabíl,</w:t>
      </w:r>
      <w:r>
        <w:t xml:space="preserve"> </w:t>
      </w:r>
      <w:r w:rsidRPr="00382917">
        <w:rPr>
          <w:i/>
          <w:iCs/>
        </w:rPr>
        <w:t>The</w:t>
      </w:r>
      <w:r>
        <w:rPr>
          <w:i/>
          <w:iCs/>
        </w:rPr>
        <w:t xml:space="preserve"> </w:t>
      </w:r>
      <w:r w:rsidRPr="00382917">
        <w:rPr>
          <w:i/>
          <w:iCs/>
        </w:rPr>
        <w:t>Dawn-Breakers</w:t>
      </w:r>
      <w:r w:rsidRPr="00382917">
        <w:t>,</w:t>
      </w:r>
      <w:r>
        <w:t xml:space="preserve"> </w:t>
      </w:r>
      <w:r w:rsidRPr="00382917">
        <w:t>p.</w:t>
      </w:r>
      <w:r>
        <w:t xml:space="preserve"> </w:t>
      </w:r>
      <w:r w:rsidRPr="00382917">
        <w:t>248,</w:t>
      </w:r>
      <w:r>
        <w:t xml:space="preserve"> </w:t>
      </w:r>
      <w:proofErr w:type="gramStart"/>
      <w:r w:rsidRPr="00382917">
        <w:t>footnote</w:t>
      </w:r>
      <w:proofErr w:type="gramEnd"/>
      <w:r>
        <w:t xml:space="preserve"> </w:t>
      </w:r>
      <w:r w:rsidRPr="00382917">
        <w:t>1.</w:t>
      </w:r>
    </w:p>
  </w:footnote>
  <w:footnote w:id="76">
    <w:p w:rsidR="001C15E8" w:rsidRPr="0087474B" w:rsidRDefault="001C15E8">
      <w:pPr>
        <w:pStyle w:val="FootnoteText"/>
        <w:rPr>
          <w:lang w:val="en-US"/>
        </w:rPr>
      </w:pPr>
      <w:r>
        <w:rPr>
          <w:rStyle w:val="FootnoteReference"/>
        </w:rPr>
        <w:footnoteRef/>
      </w:r>
      <w:r>
        <w:tab/>
      </w:r>
      <w:proofErr w:type="gramStart"/>
      <w:r w:rsidRPr="001713B3">
        <w:rPr>
          <w:i/>
          <w:iCs/>
        </w:rPr>
        <w:t>A</w:t>
      </w:r>
      <w:r>
        <w:rPr>
          <w:i/>
          <w:iCs/>
        </w:rPr>
        <w:t xml:space="preserve"> </w:t>
      </w:r>
      <w:r w:rsidRPr="001713B3">
        <w:rPr>
          <w:i/>
          <w:iCs/>
        </w:rPr>
        <w:t>Traveller’s</w:t>
      </w:r>
      <w:r>
        <w:rPr>
          <w:i/>
          <w:iCs/>
        </w:rPr>
        <w:t xml:space="preserve"> </w:t>
      </w:r>
      <w:r w:rsidRPr="001713B3">
        <w:rPr>
          <w:i/>
          <w:iCs/>
        </w:rPr>
        <w:t>Narrative</w:t>
      </w:r>
      <w:r w:rsidRPr="00382917">
        <w:t>,</w:t>
      </w:r>
      <w:r>
        <w:t xml:space="preserve"> </w:t>
      </w:r>
      <w:r w:rsidRPr="00382917">
        <w:t>Note</w:t>
      </w:r>
      <w:r>
        <w:t xml:space="preserve"> </w:t>
      </w:r>
      <w:r w:rsidRPr="00382917">
        <w:t>V,</w:t>
      </w:r>
      <w:r>
        <w:t xml:space="preserve"> </w:t>
      </w:r>
      <w:r w:rsidRPr="00382917">
        <w:t>p.</w:t>
      </w:r>
      <w:r>
        <w:t xml:space="preserve"> </w:t>
      </w:r>
      <w:r w:rsidRPr="00382917">
        <w:t>349.</w:t>
      </w:r>
      <w:proofErr w:type="gramEnd"/>
    </w:p>
  </w:footnote>
  <w:footnote w:id="77">
    <w:p w:rsidR="001C15E8" w:rsidRPr="009F0917" w:rsidRDefault="001C15E8">
      <w:pPr>
        <w:pStyle w:val="FootnoteText"/>
        <w:rPr>
          <w:lang w:val="en-US"/>
        </w:rPr>
      </w:pPr>
      <w:r>
        <w:rPr>
          <w:rStyle w:val="FootnoteReference"/>
        </w:rPr>
        <w:footnoteRef/>
      </w:r>
      <w:r>
        <w:tab/>
      </w:r>
      <w:proofErr w:type="gramStart"/>
      <w:r w:rsidRPr="00382917">
        <w:t>Shoghi</w:t>
      </w:r>
      <w:r>
        <w:t xml:space="preserve"> </w:t>
      </w:r>
      <w:r w:rsidRPr="00382917">
        <w:t>Effendi,</w:t>
      </w:r>
      <w:r>
        <w:t xml:space="preserve"> </w:t>
      </w:r>
      <w:r w:rsidRPr="009F0917">
        <w:rPr>
          <w:i/>
          <w:iCs/>
        </w:rPr>
        <w:t>The</w:t>
      </w:r>
      <w:r>
        <w:rPr>
          <w:i/>
          <w:iCs/>
        </w:rPr>
        <w:t xml:space="preserve"> </w:t>
      </w:r>
      <w:r w:rsidRPr="009F0917">
        <w:rPr>
          <w:i/>
          <w:iCs/>
        </w:rPr>
        <w:t>World</w:t>
      </w:r>
      <w:r>
        <w:rPr>
          <w:i/>
          <w:iCs/>
        </w:rPr>
        <w:t xml:space="preserve"> </w:t>
      </w:r>
      <w:r w:rsidRPr="009F0917">
        <w:rPr>
          <w:i/>
          <w:iCs/>
        </w:rPr>
        <w:t>Order</w:t>
      </w:r>
      <w:r>
        <w:rPr>
          <w:i/>
          <w:iCs/>
        </w:rPr>
        <w:t xml:space="preserve"> </w:t>
      </w:r>
      <w:r w:rsidRPr="009F0917">
        <w:rPr>
          <w:i/>
          <w:iCs/>
        </w:rPr>
        <w:t>of</w:t>
      </w:r>
      <w:r>
        <w:rPr>
          <w:i/>
          <w:iCs/>
        </w:rPr>
        <w:t xml:space="preserve"> </w:t>
      </w:r>
      <w:r w:rsidRPr="009F0917">
        <w:rPr>
          <w:i/>
          <w:iCs/>
        </w:rPr>
        <w:t>Bahá’u’lláh</w:t>
      </w:r>
      <w:r w:rsidRPr="00382917">
        <w:t>,</w:t>
      </w:r>
      <w:r>
        <w:t xml:space="preserve"> </w:t>
      </w:r>
      <w:r w:rsidRPr="00382917">
        <w:t>p.</w:t>
      </w:r>
      <w:r>
        <w:t xml:space="preserve"> </w:t>
      </w:r>
      <w:r w:rsidRPr="00382917">
        <w:t>100.</w:t>
      </w:r>
      <w:proofErr w:type="gramEnd"/>
    </w:p>
  </w:footnote>
  <w:footnote w:id="78">
    <w:p w:rsidR="001C15E8" w:rsidRPr="000910FF" w:rsidRDefault="001C15E8">
      <w:pPr>
        <w:pStyle w:val="FootnoteText"/>
        <w:rPr>
          <w:lang w:val="fr-FR"/>
        </w:rPr>
      </w:pPr>
      <w:r>
        <w:rPr>
          <w:rStyle w:val="FootnoteReference"/>
        </w:rPr>
        <w:footnoteRef/>
      </w:r>
      <w:r w:rsidRPr="000910FF">
        <w:rPr>
          <w:lang w:val="fr-FR"/>
        </w:rPr>
        <w:tab/>
      </w:r>
      <w:r w:rsidRPr="00030BA2">
        <w:rPr>
          <w:lang w:val="fr-FR"/>
        </w:rPr>
        <w:t>Matthew</w:t>
      </w:r>
      <w:r>
        <w:rPr>
          <w:lang w:val="fr-FR"/>
        </w:rPr>
        <w:t xml:space="preserve"> </w:t>
      </w:r>
      <w:r w:rsidRPr="00030BA2">
        <w:rPr>
          <w:lang w:val="fr-FR"/>
        </w:rPr>
        <w:t>24:42.</w:t>
      </w:r>
    </w:p>
  </w:footnote>
  <w:footnote w:id="79">
    <w:p w:rsidR="001C15E8" w:rsidRPr="00BD53F0" w:rsidRDefault="001C15E8">
      <w:pPr>
        <w:pStyle w:val="FootnoteText"/>
        <w:rPr>
          <w:lang w:val="en-AU"/>
        </w:rPr>
      </w:pPr>
      <w:r>
        <w:rPr>
          <w:rStyle w:val="FootnoteReference"/>
        </w:rPr>
        <w:footnoteRef/>
      </w:r>
      <w:r w:rsidRPr="00D26EF2">
        <w:rPr>
          <w:lang w:val="fr-FR"/>
        </w:rPr>
        <w:tab/>
      </w:r>
      <w:r w:rsidRPr="00647B4C">
        <w:rPr>
          <w:i/>
          <w:iCs/>
          <w:lang w:val="fr-FR"/>
        </w:rPr>
        <w:t>Les</w:t>
      </w:r>
      <w:r>
        <w:rPr>
          <w:i/>
          <w:iCs/>
          <w:lang w:val="fr-FR"/>
        </w:rPr>
        <w:t xml:space="preserve"> </w:t>
      </w:r>
      <w:r w:rsidRPr="00647B4C">
        <w:rPr>
          <w:i/>
          <w:iCs/>
          <w:lang w:val="fr-FR"/>
        </w:rPr>
        <w:t>Livre</w:t>
      </w:r>
      <w:r>
        <w:rPr>
          <w:i/>
          <w:iCs/>
          <w:lang w:val="fr-FR"/>
        </w:rPr>
        <w:t xml:space="preserve"> </w:t>
      </w:r>
      <w:r w:rsidRPr="00647B4C">
        <w:rPr>
          <w:i/>
          <w:iCs/>
          <w:lang w:val="fr-FR"/>
        </w:rPr>
        <w:t>des</w:t>
      </w:r>
      <w:r>
        <w:rPr>
          <w:i/>
          <w:iCs/>
          <w:lang w:val="fr-FR"/>
        </w:rPr>
        <w:t xml:space="preserve"> </w:t>
      </w:r>
      <w:r w:rsidRPr="00647B4C">
        <w:rPr>
          <w:i/>
          <w:iCs/>
          <w:lang w:val="fr-FR"/>
        </w:rPr>
        <w:t>Sept</w:t>
      </w:r>
      <w:r>
        <w:rPr>
          <w:i/>
          <w:iCs/>
          <w:lang w:val="fr-FR"/>
        </w:rPr>
        <w:t xml:space="preserve"> </w:t>
      </w:r>
      <w:r w:rsidRPr="00647B4C">
        <w:rPr>
          <w:i/>
          <w:iCs/>
          <w:lang w:val="fr-FR"/>
        </w:rPr>
        <w:t>Preuves</w:t>
      </w:r>
      <w:r w:rsidRPr="00030BA2">
        <w:rPr>
          <w:lang w:val="fr-FR"/>
        </w:rPr>
        <w:t>,</w:t>
      </w:r>
      <w:r>
        <w:rPr>
          <w:lang w:val="fr-FR"/>
        </w:rPr>
        <w:t xml:space="preserve"> tr. </w:t>
      </w:r>
      <w:r w:rsidRPr="00BD53F0">
        <w:rPr>
          <w:lang w:val="en-AU"/>
        </w:rPr>
        <w:t>Nicolas, pp. 64–65.</w:t>
      </w:r>
    </w:p>
  </w:footnote>
  <w:footnote w:id="80">
    <w:p w:rsidR="001C15E8" w:rsidRPr="00D26EF2" w:rsidRDefault="001C15E8" w:rsidP="00EE4FC3">
      <w:pPr>
        <w:pStyle w:val="FootnoteText"/>
        <w:rPr>
          <w:lang w:val="en-US"/>
        </w:rPr>
      </w:pPr>
      <w:r>
        <w:rPr>
          <w:rStyle w:val="FootnoteReference"/>
        </w:rPr>
        <w:footnoteRef/>
      </w:r>
      <w:r>
        <w:tab/>
      </w:r>
      <w:r w:rsidRPr="00382917">
        <w:t>(1)</w:t>
      </w:r>
      <w:r>
        <w:t xml:space="preserve">  </w:t>
      </w:r>
      <w:proofErr w:type="gramStart"/>
      <w:r>
        <w:t>idem</w:t>
      </w:r>
      <w:proofErr w:type="gramEnd"/>
      <w:r w:rsidRPr="00382917">
        <w:t>,</w:t>
      </w:r>
      <w:r>
        <w:t xml:space="preserve"> </w:t>
      </w:r>
      <w:r w:rsidRPr="00382917">
        <w:t>pp.</w:t>
      </w:r>
      <w:r>
        <w:t xml:space="preserve"> </w:t>
      </w:r>
      <w:r w:rsidRPr="00382917">
        <w:t>64–65.</w:t>
      </w:r>
      <w:r>
        <w:t xml:space="preserve">  </w:t>
      </w:r>
      <w:r w:rsidRPr="00382917">
        <w:t>(2)</w:t>
      </w:r>
      <w:r>
        <w:t xml:space="preserve">  </w:t>
      </w:r>
      <w:r w:rsidRPr="00382917">
        <w:t>Nabíl,</w:t>
      </w:r>
      <w:r>
        <w:t xml:space="preserve"> </w:t>
      </w:r>
      <w:r w:rsidRPr="00382917">
        <w:rPr>
          <w:i/>
          <w:iCs/>
        </w:rPr>
        <w:t>The</w:t>
      </w:r>
      <w:r>
        <w:rPr>
          <w:i/>
          <w:iCs/>
        </w:rPr>
        <w:t xml:space="preserve"> </w:t>
      </w:r>
      <w:r w:rsidRPr="00382917">
        <w:rPr>
          <w:i/>
          <w:iCs/>
        </w:rPr>
        <w:t>Dawn-Breakers</w:t>
      </w:r>
      <w:r w:rsidRPr="00382917">
        <w:t>,</w:t>
      </w:r>
      <w:r>
        <w:t xml:space="preserve"> </w:t>
      </w:r>
      <w:r w:rsidRPr="00382917">
        <w:t>p.</w:t>
      </w:r>
      <w:r>
        <w:t xml:space="preserve"> </w:t>
      </w:r>
      <w:r w:rsidRPr="00382917">
        <w:t>249,</w:t>
      </w:r>
      <w:r>
        <w:t xml:space="preserve"> </w:t>
      </w:r>
      <w:proofErr w:type="gramStart"/>
      <w:r w:rsidRPr="00382917">
        <w:t>footnote</w:t>
      </w:r>
      <w:proofErr w:type="gramEnd"/>
      <w:r>
        <w:t xml:space="preserve"> </w:t>
      </w:r>
      <w:r w:rsidRPr="00382917">
        <w:t>1.</w:t>
      </w:r>
    </w:p>
  </w:footnote>
  <w:footnote w:id="81">
    <w:p w:rsidR="001C15E8" w:rsidRPr="004D387C" w:rsidRDefault="001C15E8">
      <w:pPr>
        <w:pStyle w:val="FootnoteText"/>
        <w:rPr>
          <w:lang w:val="en-US"/>
        </w:rPr>
      </w:pPr>
      <w:r>
        <w:rPr>
          <w:rStyle w:val="FootnoteReference"/>
        </w:rPr>
        <w:footnoteRef/>
      </w:r>
      <w:r>
        <w:tab/>
      </w:r>
      <w:r w:rsidRPr="00382917">
        <w:t>A.</w:t>
      </w:r>
      <w:r>
        <w:t xml:space="preserve"> </w:t>
      </w:r>
      <w:r w:rsidRPr="00382917">
        <w:t>L.</w:t>
      </w:r>
      <w:r>
        <w:t xml:space="preserve"> </w:t>
      </w:r>
      <w:r w:rsidRPr="00382917">
        <w:t>M.</w:t>
      </w:r>
      <w:r>
        <w:t xml:space="preserve"> </w:t>
      </w:r>
      <w:r w:rsidRPr="00382917">
        <w:t>Nicolas,</w:t>
      </w:r>
      <w:r>
        <w:t xml:space="preserve"> </w:t>
      </w:r>
      <w:r w:rsidRPr="001713B3">
        <w:rPr>
          <w:i/>
          <w:iCs/>
          <w:lang w:val="en-US"/>
        </w:rPr>
        <w:t>Siyyid</w:t>
      </w:r>
      <w:r>
        <w:rPr>
          <w:i/>
          <w:iCs/>
          <w:lang w:val="en-US"/>
        </w:rPr>
        <w:t xml:space="preserve"> </w:t>
      </w:r>
      <w:r w:rsidRPr="001713B3">
        <w:rPr>
          <w:i/>
          <w:iCs/>
          <w:lang w:val="en-US"/>
        </w:rPr>
        <w:t>‘Alí-Muḥammad</w:t>
      </w:r>
      <w:r>
        <w:rPr>
          <w:i/>
          <w:iCs/>
          <w:lang w:val="en-US"/>
        </w:rPr>
        <w:t xml:space="preserve"> </w:t>
      </w:r>
      <w:proofErr w:type="spellStart"/>
      <w:r w:rsidRPr="001713B3">
        <w:rPr>
          <w:i/>
          <w:iCs/>
          <w:lang w:val="en-US"/>
        </w:rPr>
        <w:t>dit</w:t>
      </w:r>
      <w:proofErr w:type="spellEnd"/>
      <w:r>
        <w:rPr>
          <w:i/>
          <w:iCs/>
          <w:lang w:val="en-US"/>
        </w:rPr>
        <w:t xml:space="preserve"> </w:t>
      </w:r>
      <w:r w:rsidRPr="001713B3">
        <w:rPr>
          <w:i/>
          <w:iCs/>
          <w:lang w:val="en-US"/>
        </w:rPr>
        <w:t>le</w:t>
      </w:r>
      <w:r>
        <w:rPr>
          <w:i/>
          <w:iCs/>
          <w:lang w:val="en-US"/>
        </w:rPr>
        <w:t xml:space="preserve"> </w:t>
      </w:r>
      <w:r w:rsidRPr="001713B3">
        <w:rPr>
          <w:i/>
          <w:iCs/>
          <w:lang w:val="en-US"/>
        </w:rPr>
        <w:t>Báb</w:t>
      </w:r>
      <w:r w:rsidRPr="00382917">
        <w:t>,</w:t>
      </w:r>
      <w:r>
        <w:t xml:space="preserve"> </w:t>
      </w:r>
      <w:r w:rsidRPr="00382917">
        <w:t>pp.</w:t>
      </w:r>
      <w:r>
        <w:t xml:space="preserve"> </w:t>
      </w:r>
      <w:r w:rsidRPr="00382917">
        <w:t>365–367.</w:t>
      </w:r>
    </w:p>
  </w:footnote>
  <w:footnote w:id="82">
    <w:p w:rsidR="001C15E8" w:rsidRPr="00D05F02" w:rsidRDefault="001C15E8">
      <w:pPr>
        <w:pStyle w:val="FootnoteText"/>
        <w:rPr>
          <w:lang w:val="en-US"/>
        </w:rPr>
      </w:pPr>
      <w:r>
        <w:rPr>
          <w:rStyle w:val="FootnoteReference"/>
        </w:rPr>
        <w:footnoteRef/>
      </w:r>
      <w:r>
        <w:tab/>
      </w:r>
      <w:proofErr w:type="gramStart"/>
      <w:r w:rsidRPr="00382917">
        <w:t>Shoghi</w:t>
      </w:r>
      <w:r>
        <w:t xml:space="preserve"> </w:t>
      </w:r>
      <w:r w:rsidRPr="00382917">
        <w:t>Effendi,</w:t>
      </w:r>
      <w:r>
        <w:t xml:space="preserve"> </w:t>
      </w:r>
      <w:r w:rsidRPr="00A51D01">
        <w:rPr>
          <w:i/>
          <w:iCs/>
        </w:rPr>
        <w:t>The</w:t>
      </w:r>
      <w:r>
        <w:rPr>
          <w:i/>
          <w:iCs/>
        </w:rPr>
        <w:t xml:space="preserve"> </w:t>
      </w:r>
      <w:r w:rsidRPr="00A51D01">
        <w:rPr>
          <w:i/>
          <w:iCs/>
        </w:rPr>
        <w:t>World</w:t>
      </w:r>
      <w:r>
        <w:rPr>
          <w:i/>
          <w:iCs/>
        </w:rPr>
        <w:t xml:space="preserve"> </w:t>
      </w:r>
      <w:r w:rsidRPr="00A51D01">
        <w:rPr>
          <w:i/>
          <w:iCs/>
        </w:rPr>
        <w:t>Order</w:t>
      </w:r>
      <w:r>
        <w:rPr>
          <w:i/>
          <w:iCs/>
        </w:rPr>
        <w:t xml:space="preserve"> </w:t>
      </w:r>
      <w:r w:rsidRPr="00A51D01">
        <w:rPr>
          <w:i/>
          <w:iCs/>
        </w:rPr>
        <w:t>of</w:t>
      </w:r>
      <w:r>
        <w:rPr>
          <w:i/>
          <w:iCs/>
        </w:rPr>
        <w:t xml:space="preserve"> </w:t>
      </w:r>
      <w:r w:rsidRPr="00A51D01">
        <w:rPr>
          <w:i/>
          <w:iCs/>
        </w:rPr>
        <w:t>Bahá’u’lláh</w:t>
      </w:r>
      <w:r w:rsidRPr="00382917">
        <w:t>,</w:t>
      </w:r>
      <w:r>
        <w:t xml:space="preserve"> </w:t>
      </w:r>
      <w:r w:rsidRPr="00382917">
        <w:t>p.</w:t>
      </w:r>
      <w:r>
        <w:t xml:space="preserve"> </w:t>
      </w:r>
      <w:r w:rsidRPr="00382917">
        <w:t>100.</w:t>
      </w:r>
      <w:proofErr w:type="gramEnd"/>
    </w:p>
  </w:footnote>
  <w:footnote w:id="83">
    <w:p w:rsidR="001C15E8" w:rsidRPr="00A51D01" w:rsidRDefault="001C15E8">
      <w:pPr>
        <w:pStyle w:val="FootnoteText"/>
        <w:rPr>
          <w:lang w:val="en-US"/>
        </w:rPr>
      </w:pPr>
      <w:r>
        <w:rPr>
          <w:rStyle w:val="FootnoteReference"/>
        </w:rPr>
        <w:footnoteRef/>
      </w:r>
      <w:r>
        <w:tab/>
      </w:r>
      <w:proofErr w:type="gramStart"/>
      <w:r w:rsidRPr="00382917">
        <w:t>Bahá’u’lláh,</w:t>
      </w:r>
      <w:r>
        <w:t xml:space="preserve"> </w:t>
      </w:r>
      <w:r w:rsidRPr="000332C6">
        <w:rPr>
          <w:i/>
          <w:iCs/>
        </w:rPr>
        <w:t>Epistle</w:t>
      </w:r>
      <w:r>
        <w:rPr>
          <w:i/>
          <w:iCs/>
        </w:rPr>
        <w:t xml:space="preserve"> </w:t>
      </w:r>
      <w:r w:rsidRPr="000332C6">
        <w:rPr>
          <w:i/>
          <w:iCs/>
        </w:rPr>
        <w:t>to</w:t>
      </w:r>
      <w:r>
        <w:rPr>
          <w:i/>
          <w:iCs/>
        </w:rPr>
        <w:t xml:space="preserve"> </w:t>
      </w:r>
      <w:r w:rsidRPr="000332C6">
        <w:rPr>
          <w:i/>
          <w:iCs/>
        </w:rPr>
        <w:t>the</w:t>
      </w:r>
      <w:r>
        <w:rPr>
          <w:i/>
          <w:iCs/>
        </w:rPr>
        <w:t xml:space="preserve"> </w:t>
      </w:r>
      <w:r w:rsidRPr="000332C6">
        <w:rPr>
          <w:i/>
          <w:iCs/>
        </w:rPr>
        <w:t>Son</w:t>
      </w:r>
      <w:r>
        <w:rPr>
          <w:i/>
          <w:iCs/>
        </w:rPr>
        <w:t xml:space="preserve"> </w:t>
      </w:r>
      <w:r w:rsidRPr="000332C6">
        <w:rPr>
          <w:i/>
          <w:iCs/>
        </w:rPr>
        <w:t>of</w:t>
      </w:r>
      <w:r>
        <w:rPr>
          <w:i/>
          <w:iCs/>
        </w:rPr>
        <w:t xml:space="preserve"> </w:t>
      </w:r>
      <w:r w:rsidRPr="000332C6">
        <w:rPr>
          <w:i/>
          <w:iCs/>
        </w:rPr>
        <w:t>the</w:t>
      </w:r>
      <w:r>
        <w:rPr>
          <w:i/>
          <w:iCs/>
        </w:rPr>
        <w:t xml:space="preserve"> </w:t>
      </w:r>
      <w:r w:rsidRPr="000332C6">
        <w:rPr>
          <w:i/>
          <w:iCs/>
        </w:rPr>
        <w:t>Wolf</w:t>
      </w:r>
      <w:r w:rsidRPr="00382917">
        <w:t>,</w:t>
      </w:r>
      <w:r>
        <w:t xml:space="preserve"> </w:t>
      </w:r>
      <w:r w:rsidRPr="00382917">
        <w:t>p.</w:t>
      </w:r>
      <w:r>
        <w:t xml:space="preserve"> </w:t>
      </w:r>
      <w:r w:rsidRPr="00382917">
        <w:t>171.</w:t>
      </w:r>
      <w:proofErr w:type="gramEnd"/>
    </w:p>
  </w:footnote>
  <w:footnote w:id="84">
    <w:p w:rsidR="001C15E8" w:rsidRPr="000332C6" w:rsidRDefault="001C15E8">
      <w:pPr>
        <w:pStyle w:val="FootnoteText"/>
        <w:rPr>
          <w:lang w:val="en-US"/>
        </w:rPr>
      </w:pPr>
      <w:r>
        <w:rPr>
          <w:rStyle w:val="FootnoteReference"/>
        </w:rPr>
        <w:footnoteRef/>
      </w:r>
      <w:r w:rsidRPr="00EE4FC3">
        <w:rPr>
          <w:lang w:val="fr-FR"/>
        </w:rPr>
        <w:tab/>
      </w:r>
      <w:proofErr w:type="spellStart"/>
      <w:r w:rsidRPr="00EE4FC3">
        <w:rPr>
          <w:lang w:val="fr-FR"/>
        </w:rPr>
        <w:t>Preface</w:t>
      </w:r>
      <w:proofErr w:type="spellEnd"/>
      <w:r>
        <w:rPr>
          <w:lang w:val="fr-FR"/>
        </w:rPr>
        <w:t xml:space="preserve"> </w:t>
      </w:r>
      <w:r w:rsidRPr="00EE4FC3">
        <w:rPr>
          <w:lang w:val="fr-FR"/>
        </w:rPr>
        <w:t>to</w:t>
      </w:r>
      <w:r>
        <w:rPr>
          <w:lang w:val="fr-FR"/>
        </w:rPr>
        <w:t xml:space="preserve"> </w:t>
      </w:r>
      <w:r w:rsidRPr="00EE4FC3">
        <w:rPr>
          <w:i/>
          <w:iCs/>
          <w:lang w:val="fr-FR"/>
        </w:rPr>
        <w:t>Les</w:t>
      </w:r>
      <w:r>
        <w:rPr>
          <w:i/>
          <w:iCs/>
          <w:lang w:val="fr-FR"/>
        </w:rPr>
        <w:t xml:space="preserve"> </w:t>
      </w:r>
      <w:r w:rsidRPr="00EE4FC3">
        <w:rPr>
          <w:i/>
          <w:iCs/>
          <w:lang w:val="fr-FR"/>
        </w:rPr>
        <w:t>Livre</w:t>
      </w:r>
      <w:r>
        <w:rPr>
          <w:i/>
          <w:iCs/>
          <w:lang w:val="fr-FR"/>
        </w:rPr>
        <w:t xml:space="preserve"> </w:t>
      </w:r>
      <w:r w:rsidRPr="00EE4FC3">
        <w:rPr>
          <w:i/>
          <w:iCs/>
          <w:lang w:val="fr-FR"/>
        </w:rPr>
        <w:t>des</w:t>
      </w:r>
      <w:r>
        <w:rPr>
          <w:i/>
          <w:iCs/>
          <w:lang w:val="fr-FR"/>
        </w:rPr>
        <w:t xml:space="preserve"> </w:t>
      </w:r>
      <w:r w:rsidRPr="00EE4FC3">
        <w:rPr>
          <w:i/>
          <w:iCs/>
          <w:lang w:val="fr-FR"/>
        </w:rPr>
        <w:t>Sept</w:t>
      </w:r>
      <w:r>
        <w:rPr>
          <w:i/>
          <w:iCs/>
          <w:lang w:val="fr-FR"/>
        </w:rPr>
        <w:t xml:space="preserve"> </w:t>
      </w:r>
      <w:r w:rsidRPr="00EE4FC3">
        <w:rPr>
          <w:i/>
          <w:iCs/>
          <w:lang w:val="fr-FR"/>
        </w:rPr>
        <w:t>Preuves</w:t>
      </w:r>
      <w:r w:rsidRPr="00EE4FC3">
        <w:rPr>
          <w:lang w:val="fr-FR"/>
        </w:rPr>
        <w:t>,</w:t>
      </w:r>
      <w:r>
        <w:rPr>
          <w:lang w:val="fr-FR"/>
        </w:rPr>
        <w:t xml:space="preserve"> </w:t>
      </w:r>
      <w:r w:rsidRPr="00EE4FC3">
        <w:rPr>
          <w:lang w:val="fr-FR"/>
        </w:rPr>
        <w:t>tr.</w:t>
      </w:r>
      <w:r>
        <w:rPr>
          <w:lang w:val="fr-FR"/>
        </w:rPr>
        <w:t xml:space="preserve"> </w:t>
      </w:r>
      <w:r w:rsidRPr="00382917">
        <w:t>Nicolas,</w:t>
      </w:r>
      <w:r>
        <w:t xml:space="preserve"> </w:t>
      </w:r>
      <w:r w:rsidRPr="00382917">
        <w:t>pp.</w:t>
      </w:r>
      <w:r>
        <w:t xml:space="preserve"> </w:t>
      </w:r>
      <w:r w:rsidRPr="00382917">
        <w:t>12–13.</w:t>
      </w:r>
    </w:p>
  </w:footnote>
  <w:footnote w:id="85">
    <w:p w:rsidR="001C15E8" w:rsidRPr="001357CC" w:rsidRDefault="001C15E8">
      <w:pPr>
        <w:pStyle w:val="FootnoteText"/>
        <w:rPr>
          <w:lang w:val="en-US"/>
        </w:rPr>
      </w:pPr>
      <w:r>
        <w:rPr>
          <w:rStyle w:val="FootnoteReference"/>
        </w:rPr>
        <w:footnoteRef/>
      </w:r>
      <w:r>
        <w:tab/>
      </w:r>
      <w:r w:rsidRPr="00382917">
        <w:t>Nabíl,</w:t>
      </w:r>
      <w:r>
        <w:t xml:space="preserve"> </w:t>
      </w:r>
      <w:proofErr w:type="gramStart"/>
      <w:r w:rsidRPr="00382917">
        <w:rPr>
          <w:i/>
          <w:iCs/>
        </w:rPr>
        <w:t>The</w:t>
      </w:r>
      <w:proofErr w:type="gramEnd"/>
      <w:r>
        <w:rPr>
          <w:i/>
          <w:iCs/>
        </w:rPr>
        <w:t xml:space="preserve"> </w:t>
      </w:r>
      <w:r w:rsidRPr="00382917">
        <w:rPr>
          <w:i/>
          <w:iCs/>
        </w:rPr>
        <w:t>Dawn-Breakers</w:t>
      </w:r>
      <w:r w:rsidRPr="00382917">
        <w:t>,</w:t>
      </w:r>
      <w:r>
        <w:t xml:space="preserve"> </w:t>
      </w:r>
      <w:r w:rsidRPr="00382917">
        <w:t>pp.</w:t>
      </w:r>
      <w:r>
        <w:t xml:space="preserve"> </w:t>
      </w:r>
      <w:r w:rsidRPr="00382917">
        <w:t>254–260.</w:t>
      </w:r>
    </w:p>
  </w:footnote>
  <w:footnote w:id="86">
    <w:p w:rsidR="001C15E8" w:rsidRPr="000910FF" w:rsidRDefault="001C15E8">
      <w:pPr>
        <w:pStyle w:val="FootnoteText"/>
        <w:rPr>
          <w:lang w:val="en-US"/>
        </w:rPr>
      </w:pPr>
      <w:r>
        <w:rPr>
          <w:rStyle w:val="FootnoteReference"/>
        </w:rPr>
        <w:footnoteRef/>
      </w:r>
      <w:r>
        <w:tab/>
      </w:r>
      <w:proofErr w:type="gramStart"/>
      <w:r w:rsidRPr="00382917">
        <w:t>Nabíl,</w:t>
      </w:r>
      <w:r>
        <w:t xml:space="preserve"> </w:t>
      </w:r>
      <w:r w:rsidRPr="00382917">
        <w:rPr>
          <w:i/>
          <w:iCs/>
        </w:rPr>
        <w:t>The</w:t>
      </w:r>
      <w:r>
        <w:rPr>
          <w:i/>
          <w:iCs/>
        </w:rPr>
        <w:t xml:space="preserve"> </w:t>
      </w:r>
      <w:r w:rsidRPr="00382917">
        <w:rPr>
          <w:i/>
          <w:iCs/>
        </w:rPr>
        <w:t>Dawn-Breakers</w:t>
      </w:r>
      <w:r w:rsidRPr="00382917">
        <w:t>,</w:t>
      </w:r>
      <w:r>
        <w:t xml:space="preserve"> </w:t>
      </w:r>
      <w:r w:rsidRPr="00382917">
        <w:t>Introduction</w:t>
      </w:r>
      <w:r>
        <w:t xml:space="preserve"> </w:t>
      </w:r>
      <w:r w:rsidRPr="00382917">
        <w:t>by</w:t>
      </w:r>
      <w:r>
        <w:t xml:space="preserve"> </w:t>
      </w:r>
      <w:r w:rsidRPr="00382917">
        <w:t>Shoghi</w:t>
      </w:r>
      <w:r>
        <w:t xml:space="preserve"> </w:t>
      </w:r>
      <w:r w:rsidRPr="00382917">
        <w:t>Effendi,</w:t>
      </w:r>
      <w:r>
        <w:t xml:space="preserve"> </w:t>
      </w:r>
      <w:r w:rsidRPr="00382917">
        <w:t>p.</w:t>
      </w:r>
      <w:r>
        <w:t xml:space="preserve"> </w:t>
      </w:r>
      <w:r w:rsidRPr="00382917">
        <w:t>xxxiii.</w:t>
      </w:r>
      <w:proofErr w:type="gramEnd"/>
    </w:p>
  </w:footnote>
  <w:footnote w:id="87">
    <w:p w:rsidR="001C15E8" w:rsidRPr="000910FF" w:rsidRDefault="001C15E8">
      <w:pPr>
        <w:pStyle w:val="FootnoteText"/>
        <w:rPr>
          <w:lang w:val="en-US"/>
        </w:rPr>
      </w:pPr>
      <w:r>
        <w:rPr>
          <w:rStyle w:val="FootnoteReference"/>
        </w:rPr>
        <w:footnoteRef/>
      </w:r>
      <w:r>
        <w:tab/>
      </w:r>
      <w:r w:rsidRPr="001713B3">
        <w:rPr>
          <w:i/>
          <w:iCs/>
        </w:rPr>
        <w:t>Journal</w:t>
      </w:r>
      <w:r>
        <w:rPr>
          <w:i/>
          <w:iCs/>
        </w:rPr>
        <w:t xml:space="preserve"> </w:t>
      </w:r>
      <w:proofErr w:type="spellStart"/>
      <w:r w:rsidRPr="001713B3">
        <w:rPr>
          <w:i/>
          <w:iCs/>
        </w:rPr>
        <w:t>Asiatique</w:t>
      </w:r>
      <w:proofErr w:type="spellEnd"/>
      <w:r w:rsidRPr="00382917">
        <w:t>,</w:t>
      </w:r>
      <w:r>
        <w:t xml:space="preserve"> </w:t>
      </w:r>
      <w:r w:rsidRPr="00382917">
        <w:t>tome</w:t>
      </w:r>
      <w:r>
        <w:t xml:space="preserve"> </w:t>
      </w:r>
      <w:r w:rsidRPr="00382917">
        <w:t>7,</w:t>
      </w:r>
      <w:r>
        <w:t xml:space="preserve"> </w:t>
      </w:r>
      <w:r w:rsidRPr="00382917">
        <w:t>p.</w:t>
      </w:r>
      <w:r>
        <w:t xml:space="preserve"> </w:t>
      </w:r>
      <w:r w:rsidRPr="00382917">
        <w:t>371.</w:t>
      </w:r>
    </w:p>
  </w:footnote>
  <w:footnote w:id="88">
    <w:p w:rsidR="001C15E8" w:rsidRPr="000910FF" w:rsidRDefault="001C15E8">
      <w:pPr>
        <w:pStyle w:val="FootnoteText"/>
        <w:rPr>
          <w:lang w:val="en-US"/>
        </w:rPr>
      </w:pPr>
      <w:r>
        <w:rPr>
          <w:rStyle w:val="FootnoteReference"/>
        </w:rPr>
        <w:footnoteRef/>
      </w:r>
      <w:r>
        <w:tab/>
      </w:r>
      <w:r w:rsidRPr="00382917">
        <w:t>Nabíl,</w:t>
      </w:r>
      <w:r>
        <w:t xml:space="preserve"> </w:t>
      </w:r>
      <w:proofErr w:type="gramStart"/>
      <w:r w:rsidRPr="00382917">
        <w:rPr>
          <w:i/>
          <w:iCs/>
        </w:rPr>
        <w:t>The</w:t>
      </w:r>
      <w:proofErr w:type="gramEnd"/>
      <w:r>
        <w:rPr>
          <w:i/>
          <w:iCs/>
        </w:rPr>
        <w:t xml:space="preserve"> </w:t>
      </w:r>
      <w:r w:rsidRPr="00382917">
        <w:rPr>
          <w:i/>
          <w:iCs/>
        </w:rPr>
        <w:t>Dawn-Breakers</w:t>
      </w:r>
      <w:r w:rsidRPr="00382917">
        <w:t>,</w:t>
      </w:r>
      <w:r>
        <w:t xml:space="preserve"> </w:t>
      </w:r>
      <w:r w:rsidRPr="00382917">
        <w:t>p.</w:t>
      </w:r>
      <w:r>
        <w:t xml:space="preserve"> </w:t>
      </w:r>
      <w:r w:rsidRPr="00382917">
        <w:t>303.</w:t>
      </w:r>
    </w:p>
  </w:footnote>
  <w:footnote w:id="89">
    <w:p w:rsidR="001C15E8" w:rsidRPr="00F50B47" w:rsidRDefault="001C15E8">
      <w:pPr>
        <w:pStyle w:val="FootnoteText"/>
        <w:rPr>
          <w:lang w:val="pl-PL"/>
        </w:rPr>
      </w:pPr>
      <w:r>
        <w:rPr>
          <w:rStyle w:val="FootnoteReference"/>
        </w:rPr>
        <w:footnoteRef/>
      </w:r>
      <w:r w:rsidRPr="00F50B47">
        <w:rPr>
          <w:lang w:val="pl-PL"/>
        </w:rPr>
        <w:tab/>
      </w:r>
      <w:r>
        <w:rPr>
          <w:lang w:val="pl-PL"/>
        </w:rPr>
        <w:t>idem</w:t>
      </w:r>
      <w:r w:rsidRPr="00030BA2">
        <w:rPr>
          <w:lang w:val="pl-PL"/>
        </w:rPr>
        <w:t>,</w:t>
      </w:r>
      <w:r>
        <w:rPr>
          <w:lang w:val="pl-PL"/>
        </w:rPr>
        <w:t xml:space="preserve"> </w:t>
      </w:r>
      <w:r w:rsidRPr="00030BA2">
        <w:rPr>
          <w:lang w:val="pl-PL"/>
        </w:rPr>
        <w:t>p.</w:t>
      </w:r>
      <w:r>
        <w:rPr>
          <w:lang w:val="pl-PL"/>
        </w:rPr>
        <w:t xml:space="preserve"> </w:t>
      </w:r>
      <w:r w:rsidRPr="00030BA2">
        <w:rPr>
          <w:lang w:val="pl-PL"/>
        </w:rPr>
        <w:t>70.</w:t>
      </w:r>
    </w:p>
  </w:footnote>
  <w:footnote w:id="90">
    <w:p w:rsidR="001C15E8" w:rsidRPr="00F50B47" w:rsidRDefault="001C15E8">
      <w:pPr>
        <w:pStyle w:val="FootnoteText"/>
        <w:rPr>
          <w:lang w:val="pl-PL"/>
        </w:rPr>
      </w:pPr>
      <w:r>
        <w:rPr>
          <w:rStyle w:val="FootnoteReference"/>
        </w:rPr>
        <w:footnoteRef/>
      </w:r>
      <w:r w:rsidRPr="00F50B47">
        <w:rPr>
          <w:lang w:val="pl-PL"/>
        </w:rPr>
        <w:tab/>
      </w:r>
      <w:r>
        <w:rPr>
          <w:lang w:val="pl-PL"/>
        </w:rPr>
        <w:t>idem</w:t>
      </w:r>
      <w:r w:rsidRPr="00030BA2">
        <w:rPr>
          <w:lang w:val="pl-PL"/>
        </w:rPr>
        <w:t>,</w:t>
      </w:r>
      <w:r>
        <w:rPr>
          <w:lang w:val="pl-PL"/>
        </w:rPr>
        <w:t xml:space="preserve"> </w:t>
      </w:r>
      <w:r w:rsidRPr="00030BA2">
        <w:rPr>
          <w:lang w:val="pl-PL"/>
        </w:rPr>
        <w:t>pp.</w:t>
      </w:r>
      <w:r>
        <w:rPr>
          <w:lang w:val="pl-PL"/>
        </w:rPr>
        <w:t xml:space="preserve"> </w:t>
      </w:r>
      <w:r w:rsidRPr="00030BA2">
        <w:rPr>
          <w:lang w:val="pl-PL"/>
        </w:rPr>
        <w:t>309–311.</w:t>
      </w:r>
    </w:p>
  </w:footnote>
  <w:footnote w:id="91">
    <w:p w:rsidR="001C15E8" w:rsidRPr="00F50B47" w:rsidRDefault="001C15E8">
      <w:pPr>
        <w:pStyle w:val="FootnoteText"/>
        <w:rPr>
          <w:lang w:val="pl-PL"/>
        </w:rPr>
      </w:pPr>
      <w:r>
        <w:rPr>
          <w:rStyle w:val="FootnoteReference"/>
        </w:rPr>
        <w:footnoteRef/>
      </w:r>
      <w:r w:rsidRPr="00F50B47">
        <w:rPr>
          <w:lang w:val="pl-PL"/>
        </w:rPr>
        <w:tab/>
      </w:r>
      <w:r w:rsidRPr="00030BA2">
        <w:rPr>
          <w:lang w:val="pl-PL"/>
        </w:rPr>
        <w:t>Luke</w:t>
      </w:r>
      <w:r>
        <w:rPr>
          <w:lang w:val="pl-PL"/>
        </w:rPr>
        <w:t xml:space="preserve"> </w:t>
      </w:r>
      <w:r w:rsidRPr="00030BA2">
        <w:rPr>
          <w:lang w:val="pl-PL"/>
        </w:rPr>
        <w:t>17:7.</w:t>
      </w:r>
    </w:p>
  </w:footnote>
  <w:footnote w:id="92">
    <w:p w:rsidR="001C15E8" w:rsidRPr="00BB4D48" w:rsidRDefault="001C15E8">
      <w:pPr>
        <w:pStyle w:val="FootnoteText"/>
        <w:rPr>
          <w:lang w:val="en-US"/>
        </w:rPr>
      </w:pPr>
      <w:r>
        <w:rPr>
          <w:rStyle w:val="FootnoteReference"/>
        </w:rPr>
        <w:footnoteRef/>
      </w:r>
      <w:r>
        <w:tab/>
      </w:r>
      <w:r w:rsidRPr="00382917">
        <w:t>Nabíl,</w:t>
      </w:r>
      <w:r>
        <w:t xml:space="preserve"> </w:t>
      </w:r>
      <w:proofErr w:type="gramStart"/>
      <w:r w:rsidRPr="00382917">
        <w:rPr>
          <w:i/>
          <w:iCs/>
        </w:rPr>
        <w:t>The</w:t>
      </w:r>
      <w:proofErr w:type="gramEnd"/>
      <w:r>
        <w:rPr>
          <w:i/>
          <w:iCs/>
        </w:rPr>
        <w:t xml:space="preserve"> </w:t>
      </w:r>
      <w:r w:rsidRPr="00382917">
        <w:rPr>
          <w:i/>
          <w:iCs/>
        </w:rPr>
        <w:t>Dawn-Breakers</w:t>
      </w:r>
      <w:r w:rsidRPr="00382917">
        <w:t>,</w:t>
      </w:r>
      <w:r>
        <w:t xml:space="preserve"> </w:t>
      </w:r>
      <w:r w:rsidRPr="00382917">
        <w:t>p.</w:t>
      </w:r>
      <w:r>
        <w:t xml:space="preserve"> </w:t>
      </w:r>
      <w:r w:rsidRPr="00382917">
        <w:t>313–322.</w:t>
      </w:r>
    </w:p>
  </w:footnote>
  <w:footnote w:id="93">
    <w:p w:rsidR="001C15E8" w:rsidRPr="00385555" w:rsidRDefault="001C15E8">
      <w:pPr>
        <w:pStyle w:val="FootnoteText"/>
        <w:rPr>
          <w:lang w:val="en-US"/>
        </w:rPr>
      </w:pPr>
      <w:r>
        <w:rPr>
          <w:rStyle w:val="FootnoteReference"/>
        </w:rPr>
        <w:footnoteRef/>
      </w:r>
      <w:r>
        <w:tab/>
      </w:r>
      <w:r w:rsidRPr="00382917">
        <w:t>Mark</w:t>
      </w:r>
      <w:r>
        <w:t xml:space="preserve"> </w:t>
      </w:r>
      <w:r w:rsidRPr="00382917">
        <w:t>14:62.</w:t>
      </w:r>
    </w:p>
  </w:footnote>
  <w:footnote w:id="94">
    <w:p w:rsidR="001C15E8" w:rsidRPr="00385555" w:rsidRDefault="001C15E8">
      <w:pPr>
        <w:pStyle w:val="FootnoteText"/>
        <w:rPr>
          <w:lang w:val="en-US"/>
        </w:rPr>
      </w:pPr>
      <w:r>
        <w:rPr>
          <w:rStyle w:val="FootnoteReference"/>
        </w:rPr>
        <w:footnoteRef/>
      </w:r>
      <w:r>
        <w:tab/>
      </w:r>
      <w:r w:rsidRPr="00382917">
        <w:t>Dr</w:t>
      </w:r>
      <w:r>
        <w:t xml:space="preserve"> </w:t>
      </w:r>
      <w:r w:rsidRPr="00382917">
        <w:t>T.</w:t>
      </w:r>
      <w:r>
        <w:t xml:space="preserve"> </w:t>
      </w:r>
      <w:r w:rsidRPr="00382917">
        <w:t>K.</w:t>
      </w:r>
      <w:r>
        <w:t xml:space="preserve"> </w:t>
      </w:r>
      <w:r w:rsidRPr="00382917">
        <w:t>Cheyne,</w:t>
      </w:r>
      <w:r>
        <w:t xml:space="preserve"> </w:t>
      </w:r>
      <w:proofErr w:type="gramStart"/>
      <w:r w:rsidRPr="001713B3">
        <w:rPr>
          <w:i/>
          <w:iCs/>
        </w:rPr>
        <w:t>The</w:t>
      </w:r>
      <w:proofErr w:type="gramEnd"/>
      <w:r>
        <w:rPr>
          <w:i/>
          <w:iCs/>
        </w:rPr>
        <w:t xml:space="preserve"> </w:t>
      </w:r>
      <w:r w:rsidRPr="001713B3">
        <w:rPr>
          <w:i/>
          <w:iCs/>
        </w:rPr>
        <w:t>Reconciliation</w:t>
      </w:r>
      <w:r>
        <w:rPr>
          <w:i/>
          <w:iCs/>
        </w:rPr>
        <w:t xml:space="preserve"> </w:t>
      </w:r>
      <w:r w:rsidRPr="001713B3">
        <w:rPr>
          <w:i/>
          <w:iCs/>
        </w:rPr>
        <w:t>of</w:t>
      </w:r>
      <w:r>
        <w:rPr>
          <w:i/>
          <w:iCs/>
        </w:rPr>
        <w:t xml:space="preserve"> </w:t>
      </w:r>
      <w:r w:rsidRPr="001713B3">
        <w:rPr>
          <w:i/>
          <w:iCs/>
        </w:rPr>
        <w:t>Races</w:t>
      </w:r>
      <w:r>
        <w:rPr>
          <w:i/>
          <w:iCs/>
        </w:rPr>
        <w:t xml:space="preserve"> </w:t>
      </w:r>
      <w:r w:rsidRPr="001713B3">
        <w:rPr>
          <w:i/>
          <w:iCs/>
        </w:rPr>
        <w:t>and</w:t>
      </w:r>
      <w:r>
        <w:rPr>
          <w:i/>
          <w:iCs/>
        </w:rPr>
        <w:t xml:space="preserve"> </w:t>
      </w:r>
      <w:r w:rsidRPr="001713B3">
        <w:rPr>
          <w:i/>
          <w:iCs/>
        </w:rPr>
        <w:t>Religions</w:t>
      </w:r>
      <w:r w:rsidRPr="00382917">
        <w:t>,</w:t>
      </w:r>
      <w:r>
        <w:t xml:space="preserve"> </w:t>
      </w:r>
      <w:r w:rsidRPr="00382917">
        <w:t>p.</w:t>
      </w:r>
      <w:r>
        <w:t xml:space="preserve"> </w:t>
      </w:r>
      <w:r w:rsidRPr="00382917">
        <w:t>62.</w:t>
      </w:r>
    </w:p>
  </w:footnote>
  <w:footnote w:id="95">
    <w:p w:rsidR="001C15E8" w:rsidRPr="00F50B47" w:rsidRDefault="001C15E8">
      <w:pPr>
        <w:pStyle w:val="FootnoteText"/>
        <w:rPr>
          <w:lang w:val="fr-FR"/>
        </w:rPr>
      </w:pPr>
      <w:r>
        <w:rPr>
          <w:rStyle w:val="FootnoteReference"/>
        </w:rPr>
        <w:footnoteRef/>
      </w:r>
      <w:r w:rsidRPr="00F50B47">
        <w:rPr>
          <w:lang w:val="fr-FR"/>
        </w:rPr>
        <w:tab/>
      </w:r>
      <w:r w:rsidRPr="00330AF7">
        <w:rPr>
          <w:i/>
          <w:iCs/>
          <w:lang w:val="fr-FR"/>
        </w:rPr>
        <w:t>A</w:t>
      </w:r>
      <w:r>
        <w:rPr>
          <w:i/>
          <w:iCs/>
          <w:lang w:val="fr-FR"/>
        </w:rPr>
        <w:t xml:space="preserve"> </w:t>
      </w:r>
      <w:r w:rsidRPr="00330AF7">
        <w:rPr>
          <w:i/>
          <w:iCs/>
          <w:lang w:val="fr-FR"/>
        </w:rPr>
        <w:t>Traveller’s</w:t>
      </w:r>
      <w:r>
        <w:rPr>
          <w:i/>
          <w:iCs/>
          <w:lang w:val="fr-FR"/>
        </w:rPr>
        <w:t xml:space="preserve"> </w:t>
      </w:r>
      <w:r w:rsidRPr="00330AF7">
        <w:rPr>
          <w:i/>
          <w:iCs/>
          <w:lang w:val="fr-FR"/>
        </w:rPr>
        <w:t>Narrative</w:t>
      </w:r>
      <w:r w:rsidRPr="00030BA2">
        <w:rPr>
          <w:lang w:val="fr-FR"/>
        </w:rPr>
        <w:t>,</w:t>
      </w:r>
      <w:r>
        <w:rPr>
          <w:lang w:val="fr-FR"/>
        </w:rPr>
        <w:t xml:space="preserve"> </w:t>
      </w:r>
      <w:r w:rsidRPr="00030BA2">
        <w:rPr>
          <w:lang w:val="fr-FR"/>
        </w:rPr>
        <w:t>Note</w:t>
      </w:r>
      <w:r>
        <w:rPr>
          <w:lang w:val="fr-FR"/>
        </w:rPr>
        <w:t xml:space="preserve"> </w:t>
      </w:r>
      <w:r w:rsidRPr="00030BA2">
        <w:rPr>
          <w:lang w:val="fr-FR"/>
        </w:rPr>
        <w:t>M,</w:t>
      </w:r>
      <w:r>
        <w:rPr>
          <w:lang w:val="fr-FR"/>
        </w:rPr>
        <w:t xml:space="preserve"> </w:t>
      </w:r>
      <w:r w:rsidRPr="00030BA2">
        <w:rPr>
          <w:lang w:val="fr-FR"/>
        </w:rPr>
        <w:t>p.</w:t>
      </w:r>
      <w:r>
        <w:rPr>
          <w:lang w:val="fr-FR"/>
        </w:rPr>
        <w:t xml:space="preserve"> </w:t>
      </w:r>
      <w:r w:rsidRPr="00030BA2">
        <w:rPr>
          <w:lang w:val="fr-FR"/>
        </w:rPr>
        <w:t>290.</w:t>
      </w:r>
    </w:p>
  </w:footnote>
  <w:footnote w:id="96">
    <w:p w:rsidR="001C15E8" w:rsidRPr="00F50B47" w:rsidRDefault="001C15E8">
      <w:pPr>
        <w:pStyle w:val="FootnoteText"/>
        <w:rPr>
          <w:lang w:val="fr-FR"/>
        </w:rPr>
      </w:pPr>
      <w:r>
        <w:rPr>
          <w:rStyle w:val="FootnoteReference"/>
        </w:rPr>
        <w:footnoteRef/>
      </w:r>
      <w:r w:rsidRPr="00F50B47">
        <w:rPr>
          <w:lang w:val="fr-FR"/>
        </w:rPr>
        <w:tab/>
        <w:t>A.</w:t>
      </w:r>
      <w:r>
        <w:rPr>
          <w:lang w:val="fr-FR"/>
        </w:rPr>
        <w:t xml:space="preserve"> </w:t>
      </w:r>
      <w:r w:rsidRPr="00F50B47">
        <w:rPr>
          <w:lang w:val="fr-FR"/>
        </w:rPr>
        <w:t>L.</w:t>
      </w:r>
      <w:r>
        <w:rPr>
          <w:lang w:val="fr-FR"/>
        </w:rPr>
        <w:t xml:space="preserve"> </w:t>
      </w:r>
      <w:r w:rsidRPr="00F50B47">
        <w:rPr>
          <w:lang w:val="fr-FR"/>
        </w:rPr>
        <w:t>M.</w:t>
      </w:r>
      <w:r>
        <w:rPr>
          <w:lang w:val="fr-FR"/>
        </w:rPr>
        <w:t xml:space="preserve"> </w:t>
      </w:r>
      <w:r w:rsidRPr="00F50B47">
        <w:rPr>
          <w:lang w:val="fr-FR"/>
        </w:rPr>
        <w:t>Nicolas,</w:t>
      </w:r>
      <w:r>
        <w:rPr>
          <w:lang w:val="fr-FR"/>
        </w:rPr>
        <w:t xml:space="preserve"> </w:t>
      </w:r>
      <w:r w:rsidRPr="00F50B47">
        <w:rPr>
          <w:i/>
          <w:iCs/>
          <w:lang w:val="fr-FR"/>
        </w:rPr>
        <w:t>Siyyid</w:t>
      </w:r>
      <w:r>
        <w:rPr>
          <w:i/>
          <w:iCs/>
          <w:lang w:val="fr-FR"/>
        </w:rPr>
        <w:t xml:space="preserve"> </w:t>
      </w:r>
      <w:r w:rsidRPr="00F50B47">
        <w:rPr>
          <w:i/>
          <w:iCs/>
          <w:lang w:val="fr-FR"/>
        </w:rPr>
        <w:t>‘Alí-Muḥammad</w:t>
      </w:r>
      <w:r>
        <w:rPr>
          <w:i/>
          <w:iCs/>
          <w:lang w:val="fr-FR"/>
        </w:rPr>
        <w:t xml:space="preserve"> </w:t>
      </w:r>
      <w:r w:rsidRPr="00F50B47">
        <w:rPr>
          <w:i/>
          <w:iCs/>
          <w:lang w:val="fr-FR"/>
        </w:rPr>
        <w:t>dit</w:t>
      </w:r>
      <w:r>
        <w:rPr>
          <w:i/>
          <w:iCs/>
          <w:lang w:val="fr-FR"/>
        </w:rPr>
        <w:t xml:space="preserve"> </w:t>
      </w:r>
      <w:r w:rsidRPr="00F50B47">
        <w:rPr>
          <w:i/>
          <w:iCs/>
          <w:lang w:val="fr-FR"/>
        </w:rPr>
        <w:t>le</w:t>
      </w:r>
      <w:r>
        <w:rPr>
          <w:i/>
          <w:iCs/>
          <w:lang w:val="fr-FR"/>
        </w:rPr>
        <w:t xml:space="preserve"> </w:t>
      </w:r>
      <w:r w:rsidRPr="00F50B47">
        <w:rPr>
          <w:i/>
          <w:iCs/>
          <w:lang w:val="fr-FR"/>
        </w:rPr>
        <w:t>Báb</w:t>
      </w:r>
      <w:r w:rsidRPr="00F50B47">
        <w:rPr>
          <w:lang w:val="fr-FR"/>
        </w:rPr>
        <w:t>,</w:t>
      </w:r>
      <w:r>
        <w:rPr>
          <w:lang w:val="fr-FR"/>
        </w:rPr>
        <w:t xml:space="preserve"> </w:t>
      </w:r>
      <w:r w:rsidRPr="00F50B47">
        <w:rPr>
          <w:lang w:val="fr-FR"/>
        </w:rPr>
        <w:t>pp.</w:t>
      </w:r>
      <w:r>
        <w:rPr>
          <w:lang w:val="fr-FR"/>
        </w:rPr>
        <w:t xml:space="preserve"> </w:t>
      </w:r>
      <w:r w:rsidRPr="00F50B47">
        <w:rPr>
          <w:lang w:val="fr-FR"/>
        </w:rPr>
        <w:t>239–240.</w:t>
      </w:r>
    </w:p>
  </w:footnote>
  <w:footnote w:id="97">
    <w:p w:rsidR="001C15E8" w:rsidRPr="00F3619A" w:rsidRDefault="001C15E8">
      <w:pPr>
        <w:pStyle w:val="FootnoteText"/>
        <w:rPr>
          <w:lang w:val="en-US"/>
        </w:rPr>
      </w:pPr>
      <w:r>
        <w:rPr>
          <w:rStyle w:val="FootnoteReference"/>
        </w:rPr>
        <w:footnoteRef/>
      </w:r>
      <w:r>
        <w:tab/>
      </w:r>
      <w:r w:rsidRPr="00382917">
        <w:t>Nabíl,</w:t>
      </w:r>
      <w:r>
        <w:t xml:space="preserve"> </w:t>
      </w:r>
      <w:r w:rsidRPr="00382917">
        <w:rPr>
          <w:i/>
          <w:iCs/>
        </w:rPr>
        <w:t>The</w:t>
      </w:r>
      <w:r>
        <w:rPr>
          <w:i/>
          <w:iCs/>
        </w:rPr>
        <w:t xml:space="preserve"> </w:t>
      </w:r>
      <w:r w:rsidRPr="00382917">
        <w:rPr>
          <w:i/>
          <w:iCs/>
        </w:rPr>
        <w:t>Dawn-Breakers</w:t>
      </w:r>
      <w:r w:rsidRPr="00382917">
        <w:t>,</w:t>
      </w:r>
      <w:r>
        <w:t xml:space="preserve"> </w:t>
      </w:r>
      <w:r w:rsidRPr="00382917">
        <w:t>pp.</w:t>
      </w:r>
      <w:r>
        <w:t xml:space="preserve"> </w:t>
      </w:r>
      <w:r w:rsidRPr="00382917">
        <w:t>321–322,</w:t>
      </w:r>
      <w:r>
        <w:t xml:space="preserve"> </w:t>
      </w:r>
      <w:r w:rsidRPr="00382917">
        <w:t>footnote</w:t>
      </w:r>
      <w:r>
        <w:t xml:space="preserve"> </w:t>
      </w:r>
      <w:r w:rsidRPr="00382917">
        <w:t>1.</w:t>
      </w:r>
    </w:p>
  </w:footnote>
  <w:footnote w:id="98">
    <w:p w:rsidR="001C15E8" w:rsidRPr="00210A1B" w:rsidRDefault="001C15E8">
      <w:pPr>
        <w:pStyle w:val="FootnoteText"/>
        <w:rPr>
          <w:lang w:val="en-US"/>
        </w:rPr>
      </w:pPr>
      <w:r>
        <w:rPr>
          <w:rStyle w:val="FootnoteReference"/>
        </w:rPr>
        <w:footnoteRef/>
      </w:r>
      <w:r>
        <w:tab/>
      </w:r>
      <w:proofErr w:type="gramStart"/>
      <w:r>
        <w:t>idem</w:t>
      </w:r>
      <w:proofErr w:type="gramEnd"/>
      <w:r w:rsidRPr="00382917">
        <w:t>,</w:t>
      </w:r>
      <w:r>
        <w:t xml:space="preserve"> </w:t>
      </w:r>
      <w:r w:rsidRPr="00382917">
        <w:t>p.</w:t>
      </w:r>
      <w:r>
        <w:t xml:space="preserve"> </w:t>
      </w:r>
      <w:r w:rsidRPr="00382917">
        <w:t>323.</w:t>
      </w:r>
    </w:p>
  </w:footnote>
  <w:footnote w:id="99">
    <w:p w:rsidR="001C15E8" w:rsidRPr="00CC5BA7" w:rsidRDefault="001C15E8">
      <w:pPr>
        <w:pStyle w:val="FootnoteText"/>
        <w:rPr>
          <w:lang w:val="en-US"/>
        </w:rPr>
      </w:pPr>
      <w:r>
        <w:rPr>
          <w:rStyle w:val="FootnoteReference"/>
        </w:rPr>
        <w:footnoteRef/>
      </w:r>
      <w:r>
        <w:tab/>
      </w:r>
      <w:r w:rsidRPr="00382917">
        <w:t>Shoghi</w:t>
      </w:r>
      <w:r>
        <w:t xml:space="preserve"> </w:t>
      </w:r>
      <w:r w:rsidRPr="00382917">
        <w:t>Effendi,</w:t>
      </w:r>
      <w:r>
        <w:t xml:space="preserve"> </w:t>
      </w:r>
      <w:r w:rsidRPr="001713B3">
        <w:rPr>
          <w:i/>
          <w:iCs/>
        </w:rPr>
        <w:t>God</w:t>
      </w:r>
      <w:r>
        <w:rPr>
          <w:i/>
          <w:iCs/>
        </w:rPr>
        <w:t xml:space="preserve"> </w:t>
      </w:r>
      <w:r w:rsidRPr="001713B3">
        <w:rPr>
          <w:i/>
          <w:iCs/>
        </w:rPr>
        <w:t>Passes</w:t>
      </w:r>
      <w:r>
        <w:rPr>
          <w:i/>
          <w:iCs/>
        </w:rPr>
        <w:t xml:space="preserve"> </w:t>
      </w:r>
      <w:r w:rsidRPr="001713B3">
        <w:rPr>
          <w:i/>
          <w:iCs/>
        </w:rPr>
        <w:t>By</w:t>
      </w:r>
      <w:r w:rsidRPr="00382917">
        <w:t>,</w:t>
      </w:r>
      <w:r>
        <w:t xml:space="preserve"> </w:t>
      </w:r>
      <w:r w:rsidRPr="00382917">
        <w:t>pp.</w:t>
      </w:r>
      <w:r>
        <w:t xml:space="preserve"> </w:t>
      </w:r>
      <w:r w:rsidRPr="00382917">
        <w:t>81–82.</w:t>
      </w:r>
    </w:p>
  </w:footnote>
  <w:footnote w:id="100">
    <w:p w:rsidR="001C15E8" w:rsidRPr="006E4D16" w:rsidRDefault="001C15E8">
      <w:pPr>
        <w:pStyle w:val="FootnoteText"/>
        <w:rPr>
          <w:lang w:val="en-US"/>
        </w:rPr>
      </w:pPr>
      <w:r>
        <w:rPr>
          <w:rStyle w:val="FootnoteReference"/>
        </w:rPr>
        <w:footnoteRef/>
      </w:r>
      <w:r>
        <w:tab/>
      </w:r>
      <w:r w:rsidRPr="00382917">
        <w:t>Nabíl,</w:t>
      </w:r>
      <w:r>
        <w:t xml:space="preserve"> </w:t>
      </w:r>
      <w:proofErr w:type="gramStart"/>
      <w:r w:rsidRPr="00382917">
        <w:rPr>
          <w:i/>
          <w:iCs/>
        </w:rPr>
        <w:t>The</w:t>
      </w:r>
      <w:proofErr w:type="gramEnd"/>
      <w:r>
        <w:rPr>
          <w:i/>
          <w:iCs/>
        </w:rPr>
        <w:t xml:space="preserve"> </w:t>
      </w:r>
      <w:r w:rsidRPr="00382917">
        <w:rPr>
          <w:i/>
          <w:iCs/>
        </w:rPr>
        <w:t>Dawn-Breakers</w:t>
      </w:r>
      <w:r w:rsidRPr="00382917">
        <w:t>,</w:t>
      </w:r>
      <w:r>
        <w:t xml:space="preserve"> </w:t>
      </w:r>
      <w:r w:rsidRPr="00382917">
        <w:t>p.</w:t>
      </w:r>
      <w:r>
        <w:t xml:space="preserve"> </w:t>
      </w:r>
      <w:r w:rsidRPr="00382917">
        <w:t>321.</w:t>
      </w:r>
    </w:p>
  </w:footnote>
  <w:footnote w:id="101">
    <w:p w:rsidR="001C15E8" w:rsidRPr="00A30C52" w:rsidRDefault="001C15E8">
      <w:pPr>
        <w:pStyle w:val="FootnoteText"/>
        <w:rPr>
          <w:lang w:val="en-US"/>
        </w:rPr>
      </w:pPr>
      <w:r>
        <w:rPr>
          <w:rStyle w:val="FootnoteReference"/>
        </w:rPr>
        <w:footnoteRef/>
      </w:r>
      <w:r>
        <w:tab/>
      </w:r>
      <w:r w:rsidRPr="00382917">
        <w:t>C.</w:t>
      </w:r>
      <w:r>
        <w:t xml:space="preserve"> </w:t>
      </w:r>
      <w:r w:rsidRPr="00382917">
        <w:t>R.</w:t>
      </w:r>
      <w:r>
        <w:t xml:space="preserve"> </w:t>
      </w:r>
      <w:r w:rsidRPr="00382917">
        <w:t>Markham,</w:t>
      </w:r>
      <w:r>
        <w:t xml:space="preserve"> </w:t>
      </w:r>
      <w:proofErr w:type="gramStart"/>
      <w:r w:rsidRPr="001713B3">
        <w:rPr>
          <w:i/>
          <w:iCs/>
        </w:rPr>
        <w:t>A</w:t>
      </w:r>
      <w:proofErr w:type="gramEnd"/>
      <w:r>
        <w:rPr>
          <w:i/>
          <w:iCs/>
        </w:rPr>
        <w:t xml:space="preserve"> </w:t>
      </w:r>
      <w:r w:rsidRPr="001713B3">
        <w:rPr>
          <w:i/>
          <w:iCs/>
        </w:rPr>
        <w:t>General</w:t>
      </w:r>
      <w:r>
        <w:rPr>
          <w:i/>
          <w:iCs/>
        </w:rPr>
        <w:t xml:space="preserve"> </w:t>
      </w:r>
      <w:r w:rsidRPr="001713B3">
        <w:rPr>
          <w:i/>
          <w:iCs/>
        </w:rPr>
        <w:t>Sketch</w:t>
      </w:r>
      <w:r>
        <w:rPr>
          <w:i/>
          <w:iCs/>
        </w:rPr>
        <w:t xml:space="preserve"> </w:t>
      </w:r>
      <w:r w:rsidRPr="001713B3">
        <w:rPr>
          <w:i/>
          <w:iCs/>
        </w:rPr>
        <w:t>of</w:t>
      </w:r>
      <w:r>
        <w:rPr>
          <w:i/>
          <w:iCs/>
        </w:rPr>
        <w:t xml:space="preserve"> </w:t>
      </w:r>
      <w:r w:rsidRPr="001713B3">
        <w:rPr>
          <w:i/>
          <w:iCs/>
        </w:rPr>
        <w:t>the</w:t>
      </w:r>
      <w:r>
        <w:rPr>
          <w:i/>
          <w:iCs/>
        </w:rPr>
        <w:t xml:space="preserve"> </w:t>
      </w:r>
      <w:r w:rsidRPr="001713B3">
        <w:rPr>
          <w:i/>
          <w:iCs/>
        </w:rPr>
        <w:t>History</w:t>
      </w:r>
      <w:r>
        <w:rPr>
          <w:i/>
          <w:iCs/>
        </w:rPr>
        <w:t xml:space="preserve"> </w:t>
      </w:r>
      <w:r w:rsidRPr="001713B3">
        <w:rPr>
          <w:i/>
          <w:iCs/>
        </w:rPr>
        <w:t>of</w:t>
      </w:r>
      <w:r>
        <w:rPr>
          <w:i/>
          <w:iCs/>
        </w:rPr>
        <w:t xml:space="preserve"> </w:t>
      </w:r>
      <w:r w:rsidRPr="001713B3">
        <w:rPr>
          <w:i/>
          <w:iCs/>
        </w:rPr>
        <w:t>Persia</w:t>
      </w:r>
      <w:r w:rsidRPr="00382917">
        <w:t>,</w:t>
      </w:r>
      <w:r>
        <w:t xml:space="preserve"> </w:t>
      </w:r>
      <w:r w:rsidRPr="00382917">
        <w:t>pp.</w:t>
      </w:r>
      <w:r>
        <w:t xml:space="preserve"> </w:t>
      </w:r>
      <w:r w:rsidRPr="00382917">
        <w:t>486–487.</w:t>
      </w:r>
    </w:p>
  </w:footnote>
  <w:footnote w:id="102">
    <w:p w:rsidR="001C15E8" w:rsidRPr="00383C7E" w:rsidRDefault="001C15E8" w:rsidP="006225E8">
      <w:pPr>
        <w:pStyle w:val="FootnoteText"/>
        <w:rPr>
          <w:lang w:val="en-US"/>
        </w:rPr>
      </w:pPr>
      <w:r>
        <w:rPr>
          <w:rStyle w:val="FootnoteReference"/>
        </w:rPr>
        <w:footnoteRef/>
      </w:r>
      <w:r>
        <w:tab/>
      </w:r>
      <w:r w:rsidRPr="001713B3">
        <w:rPr>
          <w:i/>
          <w:iCs/>
        </w:rPr>
        <w:t>Journal</w:t>
      </w:r>
      <w:r>
        <w:rPr>
          <w:i/>
          <w:iCs/>
        </w:rPr>
        <w:t xml:space="preserve"> </w:t>
      </w:r>
      <w:proofErr w:type="spellStart"/>
      <w:r w:rsidRPr="001713B3">
        <w:rPr>
          <w:i/>
          <w:iCs/>
        </w:rPr>
        <w:t>Asiatique</w:t>
      </w:r>
      <w:proofErr w:type="spellEnd"/>
      <w:r w:rsidRPr="00382917">
        <w:t>,</w:t>
      </w:r>
      <w:r>
        <w:t xml:space="preserve"> </w:t>
      </w:r>
      <w:r w:rsidRPr="00382917">
        <w:t>1866,</w:t>
      </w:r>
      <w:r>
        <w:t xml:space="preserve"> </w:t>
      </w:r>
      <w:r w:rsidRPr="00382917">
        <w:t>tome</w:t>
      </w:r>
      <w:r>
        <w:t xml:space="preserve"> </w:t>
      </w:r>
      <w:r w:rsidRPr="00382917">
        <w:t>7,</w:t>
      </w:r>
      <w:r>
        <w:t xml:space="preserve"> </w:t>
      </w:r>
      <w:r w:rsidRPr="00382917">
        <w:t>pp.</w:t>
      </w:r>
      <w:r>
        <w:t xml:space="preserve"> </w:t>
      </w:r>
      <w:r w:rsidRPr="00382917">
        <w:t>367–368.</w:t>
      </w:r>
    </w:p>
  </w:footnote>
  <w:footnote w:id="103">
    <w:p w:rsidR="001C15E8" w:rsidRPr="00C81C23" w:rsidRDefault="001C15E8">
      <w:pPr>
        <w:pStyle w:val="FootnoteText"/>
        <w:rPr>
          <w:lang w:val="en-US"/>
        </w:rPr>
      </w:pPr>
      <w:r>
        <w:rPr>
          <w:rStyle w:val="FootnoteReference"/>
        </w:rPr>
        <w:footnoteRef/>
      </w:r>
      <w:r>
        <w:tab/>
      </w:r>
      <w:r w:rsidRPr="00382917">
        <w:t>Nabíl,</w:t>
      </w:r>
      <w:r>
        <w:t xml:space="preserve"> </w:t>
      </w:r>
      <w:proofErr w:type="gramStart"/>
      <w:r w:rsidRPr="00382917">
        <w:rPr>
          <w:i/>
          <w:iCs/>
        </w:rPr>
        <w:t>The</w:t>
      </w:r>
      <w:proofErr w:type="gramEnd"/>
      <w:r>
        <w:rPr>
          <w:i/>
          <w:iCs/>
        </w:rPr>
        <w:t xml:space="preserve"> </w:t>
      </w:r>
      <w:r w:rsidRPr="00382917">
        <w:rPr>
          <w:i/>
          <w:iCs/>
        </w:rPr>
        <w:t>Dawn-Breakers</w:t>
      </w:r>
      <w:r w:rsidRPr="00382917">
        <w:t>,</w:t>
      </w:r>
      <w:r>
        <w:t xml:space="preserve"> </w:t>
      </w:r>
      <w:r w:rsidRPr="00382917">
        <w:t>p.</w:t>
      </w:r>
      <w:r>
        <w:t xml:space="preserve"> </w:t>
      </w:r>
      <w:r w:rsidRPr="00382917">
        <w:t>525.</w:t>
      </w:r>
    </w:p>
  </w:footnote>
  <w:footnote w:id="104">
    <w:p w:rsidR="001C15E8" w:rsidRPr="00160DAE" w:rsidRDefault="001C15E8">
      <w:pPr>
        <w:pStyle w:val="FootnoteText"/>
        <w:rPr>
          <w:lang w:val="en-US"/>
        </w:rPr>
      </w:pPr>
      <w:r>
        <w:rPr>
          <w:rStyle w:val="FootnoteReference"/>
        </w:rPr>
        <w:footnoteRef/>
      </w:r>
      <w:r>
        <w:tab/>
      </w:r>
      <w:r w:rsidRPr="00382917">
        <w:t>Nabíl,</w:t>
      </w:r>
      <w:r>
        <w:t xml:space="preserve"> </w:t>
      </w:r>
      <w:proofErr w:type="gramStart"/>
      <w:r w:rsidRPr="00382917">
        <w:rPr>
          <w:i/>
          <w:iCs/>
        </w:rPr>
        <w:t>The</w:t>
      </w:r>
      <w:proofErr w:type="gramEnd"/>
      <w:r>
        <w:rPr>
          <w:i/>
          <w:iCs/>
        </w:rPr>
        <w:t xml:space="preserve"> </w:t>
      </w:r>
      <w:r w:rsidRPr="00382917">
        <w:rPr>
          <w:i/>
          <w:iCs/>
        </w:rPr>
        <w:t>Dawn-Breakers</w:t>
      </w:r>
      <w:r w:rsidRPr="00382917">
        <w:t>,</w:t>
      </w:r>
      <w:r>
        <w:t xml:space="preserve"> </w:t>
      </w:r>
      <w:r w:rsidRPr="00382917">
        <w:t>pp.</w:t>
      </w:r>
      <w:r>
        <w:t xml:space="preserve"> </w:t>
      </w:r>
      <w:r w:rsidRPr="00382917">
        <w:t>324–329,</w:t>
      </w:r>
      <w:r>
        <w:t xml:space="preserve"> </w:t>
      </w:r>
      <w:r w:rsidRPr="00382917">
        <w:t>351.</w:t>
      </w:r>
    </w:p>
  </w:footnote>
  <w:footnote w:id="105">
    <w:p w:rsidR="001C15E8" w:rsidRPr="00815ECE" w:rsidRDefault="001C15E8">
      <w:pPr>
        <w:pStyle w:val="FootnoteText"/>
        <w:rPr>
          <w:lang w:val="en-US"/>
        </w:rPr>
      </w:pPr>
      <w:r>
        <w:rPr>
          <w:rStyle w:val="FootnoteReference"/>
        </w:rPr>
        <w:footnoteRef/>
      </w:r>
      <w:r>
        <w:tab/>
      </w:r>
      <w:r w:rsidRPr="00382917">
        <w:t>A.</w:t>
      </w:r>
      <w:r>
        <w:t xml:space="preserve"> </w:t>
      </w:r>
      <w:r w:rsidRPr="00382917">
        <w:t>L.</w:t>
      </w:r>
      <w:r>
        <w:t xml:space="preserve"> </w:t>
      </w:r>
      <w:r w:rsidRPr="00382917">
        <w:t>M.</w:t>
      </w:r>
      <w:r>
        <w:t xml:space="preserve"> </w:t>
      </w:r>
      <w:r w:rsidRPr="00382917">
        <w:t>Nicolas,</w:t>
      </w:r>
      <w:r>
        <w:t xml:space="preserve"> </w:t>
      </w:r>
      <w:r w:rsidRPr="00330AF7">
        <w:rPr>
          <w:i/>
          <w:iCs/>
        </w:rPr>
        <w:t>Siyyid</w:t>
      </w:r>
      <w:r>
        <w:rPr>
          <w:i/>
          <w:iCs/>
        </w:rPr>
        <w:t xml:space="preserve"> </w:t>
      </w:r>
      <w:r w:rsidRPr="00330AF7">
        <w:rPr>
          <w:i/>
          <w:iCs/>
        </w:rPr>
        <w:t>‘Alí-Muḥammad</w:t>
      </w:r>
      <w:r>
        <w:rPr>
          <w:i/>
          <w:iCs/>
        </w:rPr>
        <w:t xml:space="preserve"> </w:t>
      </w:r>
      <w:proofErr w:type="spellStart"/>
      <w:r w:rsidRPr="00330AF7">
        <w:rPr>
          <w:i/>
          <w:iCs/>
        </w:rPr>
        <w:t>dit</w:t>
      </w:r>
      <w:proofErr w:type="spellEnd"/>
      <w:r>
        <w:rPr>
          <w:i/>
          <w:iCs/>
        </w:rPr>
        <w:t xml:space="preserve"> </w:t>
      </w:r>
      <w:r w:rsidRPr="00330AF7">
        <w:rPr>
          <w:i/>
          <w:iCs/>
        </w:rPr>
        <w:t>le</w:t>
      </w:r>
      <w:r>
        <w:rPr>
          <w:i/>
          <w:iCs/>
        </w:rPr>
        <w:t xml:space="preserve"> </w:t>
      </w:r>
      <w:r w:rsidRPr="00330AF7">
        <w:rPr>
          <w:i/>
          <w:iCs/>
        </w:rPr>
        <w:t>Báb</w:t>
      </w:r>
      <w:r w:rsidRPr="00382917">
        <w:t>,</w:t>
      </w:r>
      <w:r>
        <w:t xml:space="preserve"> </w:t>
      </w:r>
      <w:r w:rsidRPr="00382917">
        <w:t>pp.</w:t>
      </w:r>
      <w:r>
        <w:t xml:space="preserve"> </w:t>
      </w:r>
      <w:r w:rsidRPr="00382917">
        <w:t>296–297.</w:t>
      </w:r>
    </w:p>
  </w:footnote>
  <w:footnote w:id="106">
    <w:p w:rsidR="001C15E8" w:rsidRPr="00D230DC" w:rsidRDefault="001C15E8">
      <w:pPr>
        <w:pStyle w:val="FootnoteText"/>
        <w:rPr>
          <w:lang w:val="en-US"/>
        </w:rPr>
      </w:pPr>
      <w:r>
        <w:rPr>
          <w:rStyle w:val="FootnoteReference"/>
        </w:rPr>
        <w:footnoteRef/>
      </w:r>
      <w:r>
        <w:tab/>
      </w:r>
      <w:proofErr w:type="gramStart"/>
      <w:r w:rsidRPr="001713B3">
        <w:rPr>
          <w:i/>
          <w:iCs/>
        </w:rPr>
        <w:t>A</w:t>
      </w:r>
      <w:r>
        <w:rPr>
          <w:i/>
          <w:iCs/>
        </w:rPr>
        <w:t xml:space="preserve"> </w:t>
      </w:r>
      <w:r w:rsidRPr="001713B3">
        <w:rPr>
          <w:i/>
          <w:iCs/>
        </w:rPr>
        <w:t>Traveller’s</w:t>
      </w:r>
      <w:r>
        <w:rPr>
          <w:i/>
          <w:iCs/>
        </w:rPr>
        <w:t xml:space="preserve"> </w:t>
      </w:r>
      <w:r w:rsidRPr="001713B3">
        <w:rPr>
          <w:i/>
          <w:iCs/>
        </w:rPr>
        <w:t>Narrative</w:t>
      </w:r>
      <w:r w:rsidRPr="00382917">
        <w:t>,</w:t>
      </w:r>
      <w:r>
        <w:t xml:space="preserve"> </w:t>
      </w:r>
      <w:r w:rsidRPr="00382917">
        <w:t>pp.</w:t>
      </w:r>
      <w:r>
        <w:t xml:space="preserve"> </w:t>
      </w:r>
      <w:r w:rsidRPr="00382917">
        <w:t>34–35.</w:t>
      </w:r>
      <w:proofErr w:type="gramEnd"/>
    </w:p>
  </w:footnote>
  <w:footnote w:id="107">
    <w:p w:rsidR="001C15E8" w:rsidRPr="00F50B47" w:rsidRDefault="001C15E8">
      <w:pPr>
        <w:pStyle w:val="FootnoteText"/>
        <w:rPr>
          <w:lang w:val="en-US"/>
        </w:rPr>
      </w:pPr>
      <w:r>
        <w:rPr>
          <w:rStyle w:val="FootnoteReference"/>
        </w:rPr>
        <w:footnoteRef/>
      </w:r>
      <w:r>
        <w:tab/>
      </w:r>
      <w:r w:rsidRPr="00382917">
        <w:t>Nabíl,</w:t>
      </w:r>
      <w:r>
        <w:t xml:space="preserve"> </w:t>
      </w:r>
      <w:r w:rsidRPr="00382917">
        <w:rPr>
          <w:i/>
          <w:iCs/>
        </w:rPr>
        <w:t>The</w:t>
      </w:r>
      <w:r>
        <w:rPr>
          <w:i/>
          <w:iCs/>
        </w:rPr>
        <w:t xml:space="preserve"> </w:t>
      </w:r>
      <w:r w:rsidRPr="00382917">
        <w:rPr>
          <w:i/>
          <w:iCs/>
        </w:rPr>
        <w:t>Dawn-Breakers</w:t>
      </w:r>
      <w:r w:rsidRPr="00382917">
        <w:t>,</w:t>
      </w:r>
      <w:r>
        <w:t xml:space="preserve"> </w:t>
      </w:r>
      <w:r w:rsidRPr="00382917">
        <w:t>Introduction</w:t>
      </w:r>
      <w:r>
        <w:t xml:space="preserve"> </w:t>
      </w:r>
      <w:r w:rsidRPr="00382917">
        <w:t>p.</w:t>
      </w:r>
      <w:r>
        <w:t xml:space="preserve"> </w:t>
      </w:r>
      <w:r w:rsidRPr="00382917">
        <w:t>xxxiv.</w:t>
      </w:r>
    </w:p>
  </w:footnote>
  <w:footnote w:id="108">
    <w:p w:rsidR="001C15E8" w:rsidRPr="00D35066" w:rsidRDefault="001C15E8">
      <w:pPr>
        <w:pStyle w:val="FootnoteText"/>
        <w:rPr>
          <w:lang w:val="en-US"/>
        </w:rPr>
      </w:pPr>
      <w:r>
        <w:rPr>
          <w:rStyle w:val="FootnoteReference"/>
        </w:rPr>
        <w:footnoteRef/>
      </w:r>
      <w:r>
        <w:tab/>
      </w:r>
      <w:r w:rsidRPr="00382917">
        <w:t>E.</w:t>
      </w:r>
      <w:r>
        <w:t xml:space="preserve"> </w:t>
      </w:r>
      <w:r w:rsidRPr="00382917">
        <w:t>G.</w:t>
      </w:r>
      <w:r>
        <w:t xml:space="preserve"> </w:t>
      </w:r>
      <w:r w:rsidRPr="00382917">
        <w:t>Browne,</w:t>
      </w:r>
      <w:r>
        <w:t xml:space="preserve"> </w:t>
      </w:r>
      <w:proofErr w:type="gramStart"/>
      <w:r w:rsidRPr="00D35066">
        <w:rPr>
          <w:i/>
          <w:iCs/>
        </w:rPr>
        <w:t>A</w:t>
      </w:r>
      <w:proofErr w:type="gramEnd"/>
      <w:r>
        <w:rPr>
          <w:i/>
          <w:iCs/>
        </w:rPr>
        <w:t xml:space="preserve"> </w:t>
      </w:r>
      <w:r w:rsidRPr="00D35066">
        <w:rPr>
          <w:i/>
          <w:iCs/>
        </w:rPr>
        <w:t>Year</w:t>
      </w:r>
      <w:r>
        <w:rPr>
          <w:i/>
          <w:iCs/>
        </w:rPr>
        <w:t xml:space="preserve"> </w:t>
      </w:r>
      <w:r w:rsidRPr="00D35066">
        <w:rPr>
          <w:i/>
          <w:iCs/>
        </w:rPr>
        <w:t>Among</w:t>
      </w:r>
      <w:r>
        <w:rPr>
          <w:i/>
          <w:iCs/>
        </w:rPr>
        <w:t xml:space="preserve"> </w:t>
      </w:r>
      <w:r w:rsidRPr="00D35066">
        <w:rPr>
          <w:i/>
          <w:iCs/>
        </w:rPr>
        <w:t>the</w:t>
      </w:r>
      <w:r>
        <w:rPr>
          <w:i/>
          <w:iCs/>
        </w:rPr>
        <w:t xml:space="preserve"> </w:t>
      </w:r>
      <w:r w:rsidRPr="00D35066">
        <w:rPr>
          <w:i/>
          <w:iCs/>
        </w:rPr>
        <w:t>Persians</w:t>
      </w:r>
      <w:r w:rsidRPr="00382917">
        <w:t>,</w:t>
      </w:r>
      <w:r>
        <w:t xml:space="preserve"> </w:t>
      </w:r>
      <w:r w:rsidRPr="00382917">
        <w:t>p.</w:t>
      </w:r>
      <w:r>
        <w:t xml:space="preserve"> </w:t>
      </w:r>
      <w:r w:rsidRPr="00382917">
        <w:t>74.</w:t>
      </w:r>
    </w:p>
  </w:footnote>
  <w:footnote w:id="109">
    <w:p w:rsidR="001C15E8" w:rsidRPr="00814CFC" w:rsidRDefault="001C15E8">
      <w:pPr>
        <w:pStyle w:val="FootnoteText"/>
        <w:rPr>
          <w:lang w:val="en-US"/>
        </w:rPr>
      </w:pPr>
      <w:r>
        <w:rPr>
          <w:rStyle w:val="FootnoteReference"/>
        </w:rPr>
        <w:footnoteRef/>
      </w:r>
      <w:r>
        <w:tab/>
      </w:r>
      <w:proofErr w:type="gramStart"/>
      <w:r w:rsidRPr="001713B3">
        <w:rPr>
          <w:i/>
          <w:iCs/>
        </w:rPr>
        <w:t>A</w:t>
      </w:r>
      <w:r>
        <w:rPr>
          <w:i/>
          <w:iCs/>
        </w:rPr>
        <w:t xml:space="preserve"> </w:t>
      </w:r>
      <w:r w:rsidRPr="001713B3">
        <w:rPr>
          <w:i/>
          <w:iCs/>
        </w:rPr>
        <w:t>Traveller’s</w:t>
      </w:r>
      <w:r>
        <w:rPr>
          <w:i/>
          <w:iCs/>
        </w:rPr>
        <w:t xml:space="preserve"> </w:t>
      </w:r>
      <w:r w:rsidRPr="001713B3">
        <w:rPr>
          <w:i/>
          <w:iCs/>
        </w:rPr>
        <w:t>Narrative</w:t>
      </w:r>
      <w:r w:rsidRPr="00382917">
        <w:t>,</w:t>
      </w:r>
      <w:r>
        <w:t xml:space="preserve"> </w:t>
      </w:r>
      <w:r w:rsidRPr="00382917">
        <w:t>pp.</w:t>
      </w:r>
      <w:r>
        <w:t xml:space="preserve"> </w:t>
      </w:r>
      <w:r w:rsidRPr="00382917">
        <w:t>34–35.</w:t>
      </w:r>
      <w:proofErr w:type="gramEnd"/>
    </w:p>
  </w:footnote>
  <w:footnote w:id="110">
    <w:p w:rsidR="001C15E8" w:rsidRPr="00814CFC" w:rsidRDefault="001C15E8">
      <w:pPr>
        <w:pStyle w:val="FootnoteText"/>
        <w:rPr>
          <w:lang w:val="en-US"/>
        </w:rPr>
      </w:pPr>
      <w:r>
        <w:rPr>
          <w:rStyle w:val="FootnoteReference"/>
        </w:rPr>
        <w:footnoteRef/>
      </w:r>
      <w:r>
        <w:tab/>
      </w:r>
      <w:r w:rsidRPr="00814CFC">
        <w:rPr>
          <w:i/>
          <w:iCs/>
        </w:rPr>
        <w:t>Journal</w:t>
      </w:r>
      <w:r>
        <w:rPr>
          <w:i/>
          <w:iCs/>
        </w:rPr>
        <w:t xml:space="preserve"> </w:t>
      </w:r>
      <w:r w:rsidRPr="00814CFC">
        <w:rPr>
          <w:i/>
          <w:iCs/>
        </w:rPr>
        <w:t>of</w:t>
      </w:r>
      <w:r>
        <w:rPr>
          <w:i/>
          <w:iCs/>
        </w:rPr>
        <w:t xml:space="preserve"> </w:t>
      </w:r>
      <w:r w:rsidRPr="00814CFC">
        <w:rPr>
          <w:i/>
          <w:iCs/>
        </w:rPr>
        <w:t>the</w:t>
      </w:r>
      <w:r>
        <w:rPr>
          <w:i/>
          <w:iCs/>
        </w:rPr>
        <w:t xml:space="preserve"> </w:t>
      </w:r>
      <w:r w:rsidRPr="00814CFC">
        <w:rPr>
          <w:i/>
          <w:iCs/>
        </w:rPr>
        <w:t>Royal</w:t>
      </w:r>
      <w:r>
        <w:rPr>
          <w:i/>
          <w:iCs/>
        </w:rPr>
        <w:t xml:space="preserve"> </w:t>
      </w:r>
      <w:r w:rsidRPr="00814CFC">
        <w:rPr>
          <w:i/>
          <w:iCs/>
        </w:rPr>
        <w:t>Asiatic</w:t>
      </w:r>
      <w:r>
        <w:rPr>
          <w:i/>
          <w:iCs/>
        </w:rPr>
        <w:t xml:space="preserve"> </w:t>
      </w:r>
      <w:r w:rsidRPr="00814CFC">
        <w:rPr>
          <w:i/>
          <w:iCs/>
        </w:rPr>
        <w:t>Society</w:t>
      </w:r>
      <w:r w:rsidRPr="00382917">
        <w:t>,</w:t>
      </w:r>
      <w:r>
        <w:t xml:space="preserve"> </w:t>
      </w:r>
      <w:r w:rsidRPr="00382917">
        <w:t>October</w:t>
      </w:r>
      <w:r>
        <w:t xml:space="preserve"> </w:t>
      </w:r>
      <w:r w:rsidRPr="00382917">
        <w:t>1889,</w:t>
      </w:r>
      <w:r>
        <w:t xml:space="preserve"> </w:t>
      </w:r>
      <w:r w:rsidRPr="00382917">
        <w:t>Art</w:t>
      </w:r>
      <w:proofErr w:type="gramStart"/>
      <w:r w:rsidRPr="00382917">
        <w:t>.</w:t>
      </w:r>
      <w:r>
        <w:t xml:space="preserve"> </w:t>
      </w:r>
      <w:proofErr w:type="gramEnd"/>
      <w:r w:rsidRPr="00382917">
        <w:t>12,</w:t>
      </w:r>
      <w:r>
        <w:t xml:space="preserve"> </w:t>
      </w:r>
      <w:r w:rsidRPr="00382917">
        <w:t>pp.</w:t>
      </w:r>
      <w:r>
        <w:t xml:space="preserve"> </w:t>
      </w:r>
      <w:r w:rsidRPr="00382917">
        <w:t>927–928.</w:t>
      </w:r>
    </w:p>
  </w:footnote>
  <w:footnote w:id="111">
    <w:p w:rsidR="001C15E8" w:rsidRPr="00E11498" w:rsidRDefault="001C15E8">
      <w:pPr>
        <w:pStyle w:val="FootnoteText"/>
        <w:rPr>
          <w:lang w:val="en-US"/>
        </w:rPr>
      </w:pPr>
      <w:r>
        <w:rPr>
          <w:rStyle w:val="FootnoteReference"/>
        </w:rPr>
        <w:footnoteRef/>
      </w:r>
      <w:r>
        <w:tab/>
      </w:r>
      <w:r w:rsidRPr="00382917">
        <w:t>A.</w:t>
      </w:r>
      <w:r>
        <w:t xml:space="preserve"> </w:t>
      </w:r>
      <w:r w:rsidRPr="00382917">
        <w:t>L.</w:t>
      </w:r>
      <w:r>
        <w:t xml:space="preserve"> </w:t>
      </w:r>
      <w:r w:rsidRPr="00382917">
        <w:t>M.</w:t>
      </w:r>
      <w:r>
        <w:t xml:space="preserve"> </w:t>
      </w:r>
      <w:r w:rsidRPr="00382917">
        <w:t>Nicolas,</w:t>
      </w:r>
      <w:r>
        <w:t xml:space="preserve"> </w:t>
      </w:r>
      <w:r w:rsidRPr="001713B3">
        <w:rPr>
          <w:i/>
          <w:iCs/>
        </w:rPr>
        <w:t>Siyyid</w:t>
      </w:r>
      <w:r>
        <w:rPr>
          <w:i/>
          <w:iCs/>
        </w:rPr>
        <w:t xml:space="preserve"> </w:t>
      </w:r>
      <w:r w:rsidRPr="001713B3">
        <w:rPr>
          <w:i/>
          <w:iCs/>
        </w:rPr>
        <w:t>‘Alí-Muḥammad</w:t>
      </w:r>
      <w:r>
        <w:rPr>
          <w:i/>
          <w:iCs/>
        </w:rPr>
        <w:t xml:space="preserve"> </w:t>
      </w:r>
      <w:proofErr w:type="spellStart"/>
      <w:r w:rsidRPr="001713B3">
        <w:rPr>
          <w:i/>
          <w:iCs/>
        </w:rPr>
        <w:t>dit</w:t>
      </w:r>
      <w:proofErr w:type="spellEnd"/>
      <w:r>
        <w:rPr>
          <w:i/>
          <w:iCs/>
        </w:rPr>
        <w:t xml:space="preserve"> </w:t>
      </w:r>
      <w:r w:rsidRPr="001713B3">
        <w:rPr>
          <w:i/>
          <w:iCs/>
        </w:rPr>
        <w:t>le</w:t>
      </w:r>
      <w:r>
        <w:rPr>
          <w:i/>
          <w:iCs/>
        </w:rPr>
        <w:t xml:space="preserve"> </w:t>
      </w:r>
      <w:r w:rsidRPr="001713B3">
        <w:rPr>
          <w:i/>
          <w:iCs/>
        </w:rPr>
        <w:t>Báb</w:t>
      </w:r>
      <w:r w:rsidRPr="00382917">
        <w:t>,</w:t>
      </w:r>
      <w:r>
        <w:t xml:space="preserve"> </w:t>
      </w:r>
      <w:r w:rsidRPr="00382917">
        <w:t>pp.</w:t>
      </w:r>
      <w:r>
        <w:t xml:space="preserve"> </w:t>
      </w:r>
      <w:r w:rsidRPr="00382917">
        <w:t>295–296.</w:t>
      </w:r>
    </w:p>
  </w:footnote>
  <w:footnote w:id="112">
    <w:p w:rsidR="001C15E8" w:rsidRPr="00967B78" w:rsidRDefault="001C15E8">
      <w:pPr>
        <w:pStyle w:val="FootnoteText"/>
        <w:rPr>
          <w:lang w:val="en-US"/>
        </w:rPr>
      </w:pPr>
      <w:r>
        <w:rPr>
          <w:rStyle w:val="FootnoteReference"/>
        </w:rPr>
        <w:footnoteRef/>
      </w:r>
      <w:r>
        <w:tab/>
      </w:r>
      <w:r w:rsidRPr="00967B78">
        <w:rPr>
          <w:i/>
          <w:iCs/>
        </w:rPr>
        <w:t>The</w:t>
      </w:r>
      <w:r>
        <w:rPr>
          <w:i/>
          <w:iCs/>
        </w:rPr>
        <w:t xml:space="preserve"> </w:t>
      </w:r>
      <w:r w:rsidRPr="00967B78">
        <w:rPr>
          <w:i/>
          <w:iCs/>
        </w:rPr>
        <w:t>Tárí</w:t>
      </w:r>
      <w:r w:rsidRPr="00967B78">
        <w:rPr>
          <w:i/>
          <w:iCs/>
          <w:u w:val="single"/>
        </w:rPr>
        <w:t>kh</w:t>
      </w:r>
      <w:r w:rsidRPr="00967B78">
        <w:rPr>
          <w:i/>
          <w:iCs/>
        </w:rPr>
        <w:t>-i-Jadíd</w:t>
      </w:r>
      <w:r w:rsidRPr="00382917">
        <w:t>,</w:t>
      </w:r>
      <w:r>
        <w:t xml:space="preserve"> </w:t>
      </w:r>
      <w:r w:rsidRPr="00382917">
        <w:t>pp.</w:t>
      </w:r>
      <w:r>
        <w:t xml:space="preserve"> </w:t>
      </w:r>
      <w:r w:rsidRPr="00382917">
        <w:t>49,</w:t>
      </w:r>
      <w:r>
        <w:t xml:space="preserve"> </w:t>
      </w:r>
      <w:r w:rsidRPr="00382917">
        <w:t>107–108.</w:t>
      </w:r>
    </w:p>
  </w:footnote>
  <w:footnote w:id="113">
    <w:p w:rsidR="001C15E8" w:rsidRPr="009C18CA" w:rsidRDefault="001C15E8">
      <w:pPr>
        <w:pStyle w:val="FootnoteText"/>
        <w:rPr>
          <w:lang w:val="en-US"/>
        </w:rPr>
      </w:pPr>
      <w:r>
        <w:rPr>
          <w:rStyle w:val="FootnoteReference"/>
        </w:rPr>
        <w:footnoteRef/>
      </w:r>
      <w:r>
        <w:tab/>
      </w:r>
      <w:r w:rsidRPr="00382917">
        <w:t>E.</w:t>
      </w:r>
      <w:r>
        <w:t xml:space="preserve"> </w:t>
      </w:r>
      <w:r w:rsidRPr="00382917">
        <w:t>G.</w:t>
      </w:r>
      <w:r>
        <w:t xml:space="preserve"> </w:t>
      </w:r>
      <w:r w:rsidRPr="00382917">
        <w:t>Browne,</w:t>
      </w:r>
      <w:r>
        <w:t xml:space="preserve"> </w:t>
      </w:r>
      <w:proofErr w:type="gramStart"/>
      <w:r w:rsidRPr="009C18CA">
        <w:rPr>
          <w:i/>
          <w:iCs/>
        </w:rPr>
        <w:t>A</w:t>
      </w:r>
      <w:proofErr w:type="gramEnd"/>
      <w:r>
        <w:rPr>
          <w:i/>
          <w:iCs/>
        </w:rPr>
        <w:t xml:space="preserve"> </w:t>
      </w:r>
      <w:r w:rsidRPr="009C18CA">
        <w:rPr>
          <w:i/>
          <w:iCs/>
        </w:rPr>
        <w:t>History</w:t>
      </w:r>
      <w:r>
        <w:rPr>
          <w:i/>
          <w:iCs/>
        </w:rPr>
        <w:t xml:space="preserve"> </w:t>
      </w:r>
      <w:r w:rsidRPr="009C18CA">
        <w:rPr>
          <w:i/>
          <w:iCs/>
        </w:rPr>
        <w:t>of</w:t>
      </w:r>
      <w:r>
        <w:rPr>
          <w:i/>
          <w:iCs/>
        </w:rPr>
        <w:t xml:space="preserve"> </w:t>
      </w:r>
      <w:r w:rsidRPr="009C18CA">
        <w:rPr>
          <w:i/>
          <w:iCs/>
        </w:rPr>
        <w:t>Persian</w:t>
      </w:r>
      <w:r>
        <w:rPr>
          <w:i/>
          <w:iCs/>
        </w:rPr>
        <w:t xml:space="preserve"> </w:t>
      </w:r>
      <w:r w:rsidRPr="009C18CA">
        <w:rPr>
          <w:i/>
          <w:iCs/>
        </w:rPr>
        <w:t>Literature</w:t>
      </w:r>
      <w:r>
        <w:rPr>
          <w:i/>
          <w:iCs/>
        </w:rPr>
        <w:t xml:space="preserve"> </w:t>
      </w:r>
      <w:r w:rsidRPr="009C18CA">
        <w:rPr>
          <w:i/>
          <w:iCs/>
        </w:rPr>
        <w:t>in</w:t>
      </w:r>
      <w:r>
        <w:rPr>
          <w:i/>
          <w:iCs/>
        </w:rPr>
        <w:t xml:space="preserve"> </w:t>
      </w:r>
      <w:r w:rsidRPr="009C18CA">
        <w:rPr>
          <w:i/>
          <w:iCs/>
        </w:rPr>
        <w:t>Modern</w:t>
      </w:r>
      <w:r>
        <w:rPr>
          <w:i/>
          <w:iCs/>
        </w:rPr>
        <w:t xml:space="preserve"> </w:t>
      </w:r>
      <w:r w:rsidRPr="009C18CA">
        <w:rPr>
          <w:i/>
          <w:iCs/>
        </w:rPr>
        <w:t>Times</w:t>
      </w:r>
      <w:r w:rsidRPr="00382917">
        <w:t>,</w:t>
      </w:r>
      <w:r>
        <w:t xml:space="preserve"> </w:t>
      </w:r>
      <w:r w:rsidRPr="00382917">
        <w:t>(</w:t>
      </w:r>
      <w:r>
        <w:t xml:space="preserve">CE </w:t>
      </w:r>
      <w:r w:rsidRPr="00382917">
        <w:t>1500–1922),</w:t>
      </w:r>
      <w:r>
        <w:t xml:space="preserve"> </w:t>
      </w:r>
      <w:r w:rsidRPr="00382917">
        <w:t>p.</w:t>
      </w:r>
      <w:r>
        <w:t xml:space="preserve"> </w:t>
      </w:r>
      <w:r w:rsidRPr="00382917">
        <w:t>399.</w:t>
      </w:r>
    </w:p>
  </w:footnote>
  <w:footnote w:id="114">
    <w:p w:rsidR="001C15E8" w:rsidRPr="005049E7" w:rsidRDefault="001C15E8">
      <w:pPr>
        <w:pStyle w:val="FootnoteText"/>
        <w:rPr>
          <w:lang w:val="en-US"/>
        </w:rPr>
      </w:pPr>
      <w:r>
        <w:rPr>
          <w:rStyle w:val="FootnoteReference"/>
        </w:rPr>
        <w:footnoteRef/>
      </w:r>
      <w:r>
        <w:tab/>
      </w:r>
      <w:r w:rsidRPr="00382917">
        <w:t>Nabíl,</w:t>
      </w:r>
      <w:r>
        <w:t xml:space="preserve"> </w:t>
      </w:r>
      <w:proofErr w:type="gramStart"/>
      <w:r w:rsidRPr="00382917">
        <w:rPr>
          <w:i/>
          <w:iCs/>
        </w:rPr>
        <w:t>The</w:t>
      </w:r>
      <w:proofErr w:type="gramEnd"/>
      <w:r>
        <w:rPr>
          <w:i/>
          <w:iCs/>
        </w:rPr>
        <w:t xml:space="preserve"> </w:t>
      </w:r>
      <w:r w:rsidRPr="00382917">
        <w:rPr>
          <w:i/>
          <w:iCs/>
        </w:rPr>
        <w:t>Dawn-Breakers</w:t>
      </w:r>
      <w:r w:rsidRPr="00382917">
        <w:t>,</w:t>
      </w:r>
      <w:r>
        <w:t xml:space="preserve"> </w:t>
      </w:r>
      <w:r w:rsidRPr="00382917">
        <w:t>pp.</w:t>
      </w:r>
      <w:r>
        <w:t xml:space="preserve"> </w:t>
      </w:r>
      <w:r w:rsidRPr="00382917">
        <w:t>358–359.</w:t>
      </w:r>
    </w:p>
  </w:footnote>
  <w:footnote w:id="115">
    <w:p w:rsidR="001C15E8" w:rsidRPr="007961F3" w:rsidRDefault="001C15E8">
      <w:pPr>
        <w:pStyle w:val="FootnoteText"/>
        <w:rPr>
          <w:lang w:val="en-US"/>
        </w:rPr>
      </w:pPr>
      <w:r>
        <w:rPr>
          <w:rStyle w:val="FootnoteReference"/>
        </w:rPr>
        <w:footnoteRef/>
      </w:r>
      <w:r>
        <w:tab/>
      </w:r>
      <w:r w:rsidRPr="009C18CA">
        <w:rPr>
          <w:i/>
          <w:iCs/>
        </w:rPr>
        <w:t>The</w:t>
      </w:r>
      <w:r>
        <w:rPr>
          <w:i/>
          <w:iCs/>
        </w:rPr>
        <w:t xml:space="preserve"> </w:t>
      </w:r>
      <w:r w:rsidRPr="009C18CA">
        <w:rPr>
          <w:i/>
          <w:iCs/>
        </w:rPr>
        <w:t>Tárí</w:t>
      </w:r>
      <w:r w:rsidRPr="009C18CA">
        <w:rPr>
          <w:i/>
          <w:iCs/>
          <w:u w:val="single"/>
        </w:rPr>
        <w:t>kh</w:t>
      </w:r>
      <w:r w:rsidRPr="009C18CA">
        <w:rPr>
          <w:i/>
          <w:iCs/>
        </w:rPr>
        <w:t>-i-Jadíd</w:t>
      </w:r>
      <w:r w:rsidRPr="00382917">
        <w:t>,</w:t>
      </w:r>
      <w:r>
        <w:t xml:space="preserve"> </w:t>
      </w:r>
      <w:r w:rsidRPr="00382917">
        <w:t>pp.</w:t>
      </w:r>
      <w:r>
        <w:t xml:space="preserve"> </w:t>
      </w:r>
      <w:r w:rsidRPr="00382917">
        <w:t>106–109.</w:t>
      </w:r>
    </w:p>
  </w:footnote>
  <w:footnote w:id="116">
    <w:p w:rsidR="001C15E8" w:rsidRPr="00661C86" w:rsidRDefault="001C15E8">
      <w:pPr>
        <w:pStyle w:val="FootnoteText"/>
        <w:rPr>
          <w:lang w:val="en-US"/>
        </w:rPr>
      </w:pPr>
      <w:r>
        <w:rPr>
          <w:rStyle w:val="FootnoteReference"/>
        </w:rPr>
        <w:footnoteRef/>
      </w:r>
      <w:r>
        <w:tab/>
      </w:r>
      <w:r w:rsidRPr="00382917">
        <w:t>Nabíl,</w:t>
      </w:r>
      <w:r>
        <w:t xml:space="preserve"> </w:t>
      </w:r>
      <w:proofErr w:type="gramStart"/>
      <w:r w:rsidRPr="00382917">
        <w:rPr>
          <w:i/>
          <w:iCs/>
        </w:rPr>
        <w:t>The</w:t>
      </w:r>
      <w:proofErr w:type="gramEnd"/>
      <w:r>
        <w:rPr>
          <w:i/>
          <w:iCs/>
        </w:rPr>
        <w:t xml:space="preserve"> </w:t>
      </w:r>
      <w:r w:rsidRPr="00382917">
        <w:rPr>
          <w:i/>
          <w:iCs/>
        </w:rPr>
        <w:t>Dawn-Breakers</w:t>
      </w:r>
      <w:r w:rsidRPr="00382917">
        <w:t>,</w:t>
      </w:r>
      <w:r>
        <w:t xml:space="preserve"> </w:t>
      </w:r>
      <w:r w:rsidRPr="00382917">
        <w:t>pp.</w:t>
      </w:r>
      <w:r>
        <w:t xml:space="preserve"> </w:t>
      </w:r>
      <w:r w:rsidRPr="00382917">
        <w:t>379–383.</w:t>
      </w:r>
    </w:p>
  </w:footnote>
  <w:footnote w:id="117">
    <w:p w:rsidR="001C15E8" w:rsidRPr="00BD53F0" w:rsidRDefault="001C15E8">
      <w:pPr>
        <w:pStyle w:val="FootnoteText"/>
        <w:rPr>
          <w:lang w:val="fr-FR"/>
        </w:rPr>
      </w:pPr>
      <w:r>
        <w:rPr>
          <w:rStyle w:val="FootnoteReference"/>
        </w:rPr>
        <w:footnoteRef/>
      </w:r>
      <w:r w:rsidRPr="00BD53F0">
        <w:rPr>
          <w:lang w:val="fr-FR"/>
        </w:rPr>
        <w:tab/>
      </w:r>
      <w:r w:rsidRPr="000910FF">
        <w:rPr>
          <w:i/>
          <w:iCs/>
          <w:lang w:val="fr-FR"/>
        </w:rPr>
        <w:t>A</w:t>
      </w:r>
      <w:r>
        <w:rPr>
          <w:i/>
          <w:iCs/>
          <w:lang w:val="fr-FR"/>
        </w:rPr>
        <w:t xml:space="preserve"> </w:t>
      </w:r>
      <w:r w:rsidRPr="000910FF">
        <w:rPr>
          <w:i/>
          <w:iCs/>
          <w:lang w:val="fr-FR"/>
        </w:rPr>
        <w:t>Traveller’s</w:t>
      </w:r>
      <w:r>
        <w:rPr>
          <w:i/>
          <w:iCs/>
          <w:lang w:val="fr-FR"/>
        </w:rPr>
        <w:t xml:space="preserve"> </w:t>
      </w:r>
      <w:r w:rsidRPr="000910FF">
        <w:rPr>
          <w:i/>
          <w:iCs/>
          <w:lang w:val="fr-FR"/>
        </w:rPr>
        <w:t>Narrative</w:t>
      </w:r>
      <w:r w:rsidRPr="00030BA2">
        <w:rPr>
          <w:lang w:val="fr-FR"/>
        </w:rPr>
        <w:t>,</w:t>
      </w:r>
      <w:r>
        <w:rPr>
          <w:lang w:val="fr-FR"/>
        </w:rPr>
        <w:t xml:space="preserve"> </w:t>
      </w:r>
      <w:r w:rsidRPr="00030BA2">
        <w:rPr>
          <w:lang w:val="fr-FR"/>
        </w:rPr>
        <w:t>Note</w:t>
      </w:r>
      <w:r>
        <w:rPr>
          <w:lang w:val="fr-FR"/>
        </w:rPr>
        <w:t xml:space="preserve"> </w:t>
      </w:r>
      <w:r w:rsidRPr="00030BA2">
        <w:rPr>
          <w:lang w:val="fr-FR"/>
        </w:rPr>
        <w:t>F,</w:t>
      </w:r>
      <w:r>
        <w:rPr>
          <w:lang w:val="fr-FR"/>
        </w:rPr>
        <w:t xml:space="preserve"> </w:t>
      </w:r>
      <w:r w:rsidRPr="00030BA2">
        <w:rPr>
          <w:lang w:val="fr-FR"/>
        </w:rPr>
        <w:t>p.</w:t>
      </w:r>
      <w:r>
        <w:rPr>
          <w:lang w:val="fr-FR"/>
        </w:rPr>
        <w:t xml:space="preserve"> </w:t>
      </w:r>
      <w:r w:rsidRPr="00030BA2">
        <w:rPr>
          <w:lang w:val="fr-FR"/>
        </w:rPr>
        <w:t>245.</w:t>
      </w:r>
    </w:p>
  </w:footnote>
  <w:footnote w:id="118">
    <w:p w:rsidR="001C15E8" w:rsidRPr="004E032E" w:rsidRDefault="001C15E8">
      <w:pPr>
        <w:pStyle w:val="FootnoteText"/>
        <w:rPr>
          <w:lang w:val="fr-FR"/>
        </w:rPr>
      </w:pPr>
      <w:r>
        <w:rPr>
          <w:rStyle w:val="FootnoteReference"/>
        </w:rPr>
        <w:footnoteRef/>
      </w:r>
      <w:r w:rsidRPr="004E032E">
        <w:rPr>
          <w:lang w:val="fr-FR"/>
        </w:rPr>
        <w:tab/>
      </w:r>
      <w:r w:rsidRPr="00030BA2">
        <w:rPr>
          <w:lang w:val="fr-FR"/>
        </w:rPr>
        <w:t>Comte</w:t>
      </w:r>
      <w:r>
        <w:rPr>
          <w:lang w:val="fr-FR"/>
        </w:rPr>
        <w:t xml:space="preserve"> </w:t>
      </w:r>
      <w:r w:rsidRPr="00030BA2">
        <w:rPr>
          <w:lang w:val="fr-FR"/>
        </w:rPr>
        <w:t>de</w:t>
      </w:r>
      <w:r>
        <w:rPr>
          <w:lang w:val="fr-FR"/>
        </w:rPr>
        <w:t xml:space="preserve"> </w:t>
      </w:r>
      <w:r w:rsidRPr="00030BA2">
        <w:rPr>
          <w:lang w:val="fr-FR"/>
        </w:rPr>
        <w:t>Gobineau,</w:t>
      </w:r>
      <w:r>
        <w:rPr>
          <w:lang w:val="fr-FR"/>
        </w:rPr>
        <w:t xml:space="preserve"> </w:t>
      </w:r>
      <w:r w:rsidRPr="009C18CA">
        <w:rPr>
          <w:i/>
          <w:iCs/>
          <w:lang w:val="fr-FR"/>
        </w:rPr>
        <w:t>Les</w:t>
      </w:r>
      <w:r>
        <w:rPr>
          <w:i/>
          <w:iCs/>
          <w:lang w:val="fr-FR"/>
        </w:rPr>
        <w:t xml:space="preserve"> </w:t>
      </w:r>
      <w:r w:rsidRPr="009C18CA">
        <w:rPr>
          <w:i/>
          <w:iCs/>
          <w:lang w:val="fr-FR"/>
        </w:rPr>
        <w:t>Religions</w:t>
      </w:r>
      <w:r>
        <w:rPr>
          <w:i/>
          <w:iCs/>
          <w:lang w:val="fr-FR"/>
        </w:rPr>
        <w:t xml:space="preserve"> </w:t>
      </w:r>
      <w:r w:rsidRPr="009C18CA">
        <w:rPr>
          <w:i/>
          <w:iCs/>
          <w:lang w:val="fr-FR"/>
        </w:rPr>
        <w:t>et</w:t>
      </w:r>
      <w:r>
        <w:rPr>
          <w:i/>
          <w:iCs/>
          <w:lang w:val="fr-FR"/>
        </w:rPr>
        <w:t xml:space="preserve"> </w:t>
      </w:r>
      <w:r w:rsidRPr="009C18CA">
        <w:rPr>
          <w:i/>
          <w:iCs/>
          <w:lang w:val="fr-FR"/>
        </w:rPr>
        <w:t>les</w:t>
      </w:r>
      <w:r>
        <w:rPr>
          <w:i/>
          <w:iCs/>
          <w:lang w:val="fr-FR"/>
        </w:rPr>
        <w:t xml:space="preserve"> </w:t>
      </w:r>
      <w:r w:rsidRPr="009C18CA">
        <w:rPr>
          <w:i/>
          <w:iCs/>
          <w:lang w:val="fr-FR"/>
        </w:rPr>
        <w:t>Philosophies</w:t>
      </w:r>
      <w:r>
        <w:rPr>
          <w:i/>
          <w:iCs/>
          <w:lang w:val="fr-FR"/>
        </w:rPr>
        <w:t xml:space="preserve"> </w:t>
      </w:r>
      <w:r w:rsidRPr="009C18CA">
        <w:rPr>
          <w:i/>
          <w:iCs/>
          <w:lang w:val="fr-FR"/>
        </w:rPr>
        <w:t>dans</w:t>
      </w:r>
      <w:r>
        <w:rPr>
          <w:i/>
          <w:iCs/>
          <w:lang w:val="fr-FR"/>
        </w:rPr>
        <w:t xml:space="preserve"> </w:t>
      </w:r>
      <w:r w:rsidRPr="009C18CA">
        <w:rPr>
          <w:i/>
          <w:iCs/>
          <w:lang w:val="fr-FR"/>
        </w:rPr>
        <w:t>l’Asie</w:t>
      </w:r>
      <w:r>
        <w:rPr>
          <w:i/>
          <w:iCs/>
          <w:lang w:val="fr-FR"/>
        </w:rPr>
        <w:t xml:space="preserve"> </w:t>
      </w:r>
      <w:r w:rsidRPr="009C18CA">
        <w:rPr>
          <w:i/>
          <w:iCs/>
          <w:lang w:val="fr-FR"/>
        </w:rPr>
        <w:t>Centrale</w:t>
      </w:r>
      <w:r w:rsidRPr="00030BA2">
        <w:rPr>
          <w:lang w:val="fr-FR"/>
        </w:rPr>
        <w:t>,</w:t>
      </w:r>
      <w:r>
        <w:rPr>
          <w:lang w:val="fr-FR"/>
        </w:rPr>
        <w:t xml:space="preserve"> </w:t>
      </w:r>
      <w:r w:rsidRPr="00030BA2">
        <w:rPr>
          <w:lang w:val="fr-FR"/>
        </w:rPr>
        <w:t>p.</w:t>
      </w:r>
      <w:r>
        <w:rPr>
          <w:lang w:val="fr-FR"/>
        </w:rPr>
        <w:t xml:space="preserve"> </w:t>
      </w:r>
      <w:r w:rsidRPr="00030BA2">
        <w:rPr>
          <w:lang w:val="fr-FR"/>
        </w:rPr>
        <w:t>176.</w:t>
      </w:r>
    </w:p>
  </w:footnote>
  <w:footnote w:id="119">
    <w:p w:rsidR="001C15E8" w:rsidRPr="004E032E" w:rsidRDefault="001C15E8">
      <w:pPr>
        <w:pStyle w:val="FootnoteText"/>
        <w:rPr>
          <w:lang w:val="en-US"/>
        </w:rPr>
      </w:pPr>
      <w:r>
        <w:rPr>
          <w:rStyle w:val="FootnoteReference"/>
        </w:rPr>
        <w:footnoteRef/>
      </w:r>
      <w:r>
        <w:tab/>
      </w:r>
      <w:r w:rsidRPr="00382917">
        <w:t>T.</w:t>
      </w:r>
      <w:r>
        <w:t xml:space="preserve"> </w:t>
      </w:r>
      <w:r w:rsidRPr="00382917">
        <w:t>K.</w:t>
      </w:r>
      <w:r>
        <w:t xml:space="preserve"> </w:t>
      </w:r>
      <w:r w:rsidRPr="00382917">
        <w:t>Cheyne,</w:t>
      </w:r>
      <w:r>
        <w:t xml:space="preserve"> </w:t>
      </w:r>
      <w:r w:rsidRPr="009C18CA">
        <w:rPr>
          <w:i/>
          <w:iCs/>
        </w:rPr>
        <w:t>Reconciliation</w:t>
      </w:r>
      <w:r>
        <w:rPr>
          <w:i/>
          <w:iCs/>
        </w:rPr>
        <w:t xml:space="preserve"> </w:t>
      </w:r>
      <w:r w:rsidRPr="009C18CA">
        <w:rPr>
          <w:i/>
          <w:iCs/>
        </w:rPr>
        <w:t>of</w:t>
      </w:r>
      <w:r>
        <w:rPr>
          <w:i/>
          <w:iCs/>
        </w:rPr>
        <w:t xml:space="preserve"> </w:t>
      </w:r>
      <w:r w:rsidRPr="009C18CA">
        <w:rPr>
          <w:i/>
          <w:iCs/>
        </w:rPr>
        <w:t>Races</w:t>
      </w:r>
      <w:r>
        <w:rPr>
          <w:i/>
          <w:iCs/>
        </w:rPr>
        <w:t xml:space="preserve"> </w:t>
      </w:r>
      <w:r w:rsidRPr="009C18CA">
        <w:rPr>
          <w:i/>
          <w:iCs/>
        </w:rPr>
        <w:t>and</w:t>
      </w:r>
      <w:r>
        <w:rPr>
          <w:i/>
          <w:iCs/>
        </w:rPr>
        <w:t xml:space="preserve"> </w:t>
      </w:r>
      <w:r w:rsidRPr="009C18CA">
        <w:rPr>
          <w:i/>
          <w:iCs/>
        </w:rPr>
        <w:t>Religions</w:t>
      </w:r>
      <w:r w:rsidRPr="00382917">
        <w:t>,</w:t>
      </w:r>
      <w:r>
        <w:t xml:space="preserve"> </w:t>
      </w:r>
      <w:r w:rsidRPr="00382917">
        <w:t>p.</w:t>
      </w:r>
      <w:r>
        <w:t xml:space="preserve"> </w:t>
      </w:r>
      <w:r w:rsidRPr="00382917">
        <w:t>83.</w:t>
      </w:r>
    </w:p>
  </w:footnote>
  <w:footnote w:id="120">
    <w:p w:rsidR="001C15E8" w:rsidRPr="00EF1F66" w:rsidRDefault="001C15E8">
      <w:pPr>
        <w:pStyle w:val="FootnoteText"/>
        <w:rPr>
          <w:lang w:val="en-US"/>
        </w:rPr>
      </w:pPr>
      <w:r>
        <w:rPr>
          <w:rStyle w:val="FootnoteReference"/>
        </w:rPr>
        <w:footnoteRef/>
      </w:r>
      <w:r>
        <w:tab/>
      </w:r>
      <w:r w:rsidRPr="00382917">
        <w:t>Nabíl,</w:t>
      </w:r>
      <w:r>
        <w:t xml:space="preserve"> </w:t>
      </w:r>
      <w:proofErr w:type="gramStart"/>
      <w:r w:rsidRPr="00382917">
        <w:rPr>
          <w:i/>
          <w:iCs/>
        </w:rPr>
        <w:t>The</w:t>
      </w:r>
      <w:proofErr w:type="gramEnd"/>
      <w:r>
        <w:rPr>
          <w:i/>
          <w:iCs/>
        </w:rPr>
        <w:t xml:space="preserve"> </w:t>
      </w:r>
      <w:r w:rsidRPr="00382917">
        <w:rPr>
          <w:i/>
          <w:iCs/>
        </w:rPr>
        <w:t>Dawn-Breakers</w:t>
      </w:r>
      <w:r w:rsidRPr="00382917">
        <w:t>,</w:t>
      </w:r>
      <w:r>
        <w:t xml:space="preserve"> </w:t>
      </w:r>
      <w:r w:rsidRPr="00382917">
        <w:t>p.</w:t>
      </w:r>
      <w:r>
        <w:t xml:space="preserve"> </w:t>
      </w:r>
      <w:r w:rsidRPr="00382917">
        <w:t>416.</w:t>
      </w:r>
    </w:p>
  </w:footnote>
  <w:footnote w:id="121">
    <w:p w:rsidR="001C15E8" w:rsidRPr="00962DC1" w:rsidRDefault="001C15E8">
      <w:pPr>
        <w:pStyle w:val="FootnoteText"/>
        <w:rPr>
          <w:lang w:val="fr-FR"/>
        </w:rPr>
      </w:pPr>
      <w:r>
        <w:rPr>
          <w:rStyle w:val="FootnoteReference"/>
        </w:rPr>
        <w:footnoteRef/>
      </w:r>
      <w:r w:rsidRPr="00962DC1">
        <w:rPr>
          <w:lang w:val="fr-FR"/>
        </w:rPr>
        <w:tab/>
      </w:r>
      <w:r w:rsidRPr="00030BA2">
        <w:rPr>
          <w:lang w:val="fr-FR"/>
        </w:rPr>
        <w:t>Comte</w:t>
      </w:r>
      <w:r>
        <w:rPr>
          <w:lang w:val="fr-FR"/>
        </w:rPr>
        <w:t xml:space="preserve"> </w:t>
      </w:r>
      <w:r w:rsidRPr="00030BA2">
        <w:rPr>
          <w:lang w:val="fr-FR"/>
        </w:rPr>
        <w:t>de</w:t>
      </w:r>
      <w:r>
        <w:rPr>
          <w:lang w:val="fr-FR"/>
        </w:rPr>
        <w:t xml:space="preserve"> </w:t>
      </w:r>
      <w:r w:rsidRPr="00030BA2">
        <w:rPr>
          <w:lang w:val="fr-FR"/>
        </w:rPr>
        <w:t>Gobineau,</w:t>
      </w:r>
      <w:r>
        <w:rPr>
          <w:lang w:val="fr-FR"/>
        </w:rPr>
        <w:t xml:space="preserve"> </w:t>
      </w:r>
      <w:r w:rsidRPr="009C18CA">
        <w:rPr>
          <w:i/>
          <w:iCs/>
          <w:lang w:val="fr-FR"/>
        </w:rPr>
        <w:t>Les</w:t>
      </w:r>
      <w:r>
        <w:rPr>
          <w:i/>
          <w:iCs/>
          <w:lang w:val="fr-FR"/>
        </w:rPr>
        <w:t xml:space="preserve"> </w:t>
      </w:r>
      <w:r w:rsidRPr="009C18CA">
        <w:rPr>
          <w:i/>
          <w:iCs/>
          <w:lang w:val="fr-FR"/>
        </w:rPr>
        <w:t>Religions</w:t>
      </w:r>
      <w:r>
        <w:rPr>
          <w:i/>
          <w:iCs/>
          <w:lang w:val="fr-FR"/>
        </w:rPr>
        <w:t xml:space="preserve"> </w:t>
      </w:r>
      <w:r w:rsidRPr="009C18CA">
        <w:rPr>
          <w:i/>
          <w:iCs/>
          <w:lang w:val="fr-FR"/>
        </w:rPr>
        <w:t>et</w:t>
      </w:r>
      <w:r>
        <w:rPr>
          <w:i/>
          <w:iCs/>
          <w:lang w:val="fr-FR"/>
        </w:rPr>
        <w:t xml:space="preserve"> </w:t>
      </w:r>
      <w:r w:rsidRPr="009C18CA">
        <w:rPr>
          <w:i/>
          <w:iCs/>
          <w:lang w:val="fr-FR"/>
        </w:rPr>
        <w:t>les</w:t>
      </w:r>
      <w:r>
        <w:rPr>
          <w:i/>
          <w:iCs/>
          <w:lang w:val="fr-FR"/>
        </w:rPr>
        <w:t xml:space="preserve"> </w:t>
      </w:r>
      <w:r w:rsidRPr="009C18CA">
        <w:rPr>
          <w:i/>
          <w:iCs/>
          <w:lang w:val="fr-FR"/>
        </w:rPr>
        <w:t>Philosophies</w:t>
      </w:r>
      <w:r>
        <w:rPr>
          <w:i/>
          <w:iCs/>
          <w:lang w:val="fr-FR"/>
        </w:rPr>
        <w:t xml:space="preserve"> </w:t>
      </w:r>
      <w:r w:rsidRPr="009C18CA">
        <w:rPr>
          <w:i/>
          <w:iCs/>
          <w:lang w:val="fr-FR"/>
        </w:rPr>
        <w:t>dans</w:t>
      </w:r>
      <w:r>
        <w:rPr>
          <w:i/>
          <w:iCs/>
          <w:lang w:val="fr-FR"/>
        </w:rPr>
        <w:t xml:space="preserve"> </w:t>
      </w:r>
      <w:r w:rsidRPr="009C18CA">
        <w:rPr>
          <w:i/>
          <w:iCs/>
          <w:lang w:val="fr-FR"/>
        </w:rPr>
        <w:t>l’Asie</w:t>
      </w:r>
      <w:r>
        <w:rPr>
          <w:i/>
          <w:iCs/>
          <w:lang w:val="fr-FR"/>
        </w:rPr>
        <w:t xml:space="preserve"> </w:t>
      </w:r>
      <w:r w:rsidRPr="009C18CA">
        <w:rPr>
          <w:i/>
          <w:iCs/>
          <w:lang w:val="fr-FR"/>
        </w:rPr>
        <w:t>Centrale</w:t>
      </w:r>
      <w:r w:rsidRPr="00030BA2">
        <w:rPr>
          <w:lang w:val="fr-FR"/>
        </w:rPr>
        <w:t>,</w:t>
      </w:r>
      <w:r>
        <w:rPr>
          <w:lang w:val="fr-FR"/>
        </w:rPr>
        <w:t xml:space="preserve"> </w:t>
      </w:r>
      <w:r w:rsidRPr="00030BA2">
        <w:rPr>
          <w:lang w:val="fr-FR"/>
        </w:rPr>
        <w:t>p.</w:t>
      </w:r>
      <w:r>
        <w:rPr>
          <w:lang w:val="fr-FR"/>
        </w:rPr>
        <w:t xml:space="preserve"> </w:t>
      </w:r>
      <w:r w:rsidRPr="00030BA2">
        <w:rPr>
          <w:lang w:val="fr-FR"/>
        </w:rPr>
        <w:t>181.</w:t>
      </w:r>
    </w:p>
  </w:footnote>
  <w:footnote w:id="122">
    <w:p w:rsidR="001C15E8" w:rsidRPr="00962DC1" w:rsidRDefault="001C15E8">
      <w:pPr>
        <w:pStyle w:val="FootnoteText"/>
        <w:rPr>
          <w:lang w:val="en-US"/>
        </w:rPr>
      </w:pPr>
      <w:r>
        <w:rPr>
          <w:rStyle w:val="FootnoteReference"/>
        </w:rPr>
        <w:footnoteRef/>
      </w:r>
      <w:r>
        <w:tab/>
      </w:r>
      <w:r w:rsidRPr="009C18CA">
        <w:rPr>
          <w:i/>
          <w:iCs/>
        </w:rPr>
        <w:t>The</w:t>
      </w:r>
      <w:r>
        <w:rPr>
          <w:i/>
          <w:iCs/>
        </w:rPr>
        <w:t xml:space="preserve"> </w:t>
      </w:r>
      <w:r w:rsidRPr="009C18CA">
        <w:rPr>
          <w:i/>
          <w:iCs/>
        </w:rPr>
        <w:t>Tárí</w:t>
      </w:r>
      <w:r w:rsidRPr="009C18CA">
        <w:rPr>
          <w:i/>
          <w:iCs/>
          <w:u w:val="single"/>
        </w:rPr>
        <w:t>kh</w:t>
      </w:r>
      <w:r w:rsidRPr="009C18CA">
        <w:rPr>
          <w:i/>
          <w:iCs/>
        </w:rPr>
        <w:t>-i-Jadíd</w:t>
      </w:r>
      <w:r w:rsidRPr="00382917">
        <w:t>,</w:t>
      </w:r>
      <w:r>
        <w:t xml:space="preserve"> </w:t>
      </w:r>
      <w:r w:rsidRPr="00382917">
        <w:t>pp.</w:t>
      </w:r>
      <w:r>
        <w:t xml:space="preserve"> </w:t>
      </w:r>
      <w:r w:rsidRPr="00382917">
        <w:t>81–83.</w:t>
      </w:r>
    </w:p>
  </w:footnote>
  <w:footnote w:id="123">
    <w:p w:rsidR="001C15E8" w:rsidRPr="00306C86" w:rsidRDefault="001C15E8">
      <w:pPr>
        <w:pStyle w:val="FootnoteText"/>
        <w:rPr>
          <w:lang w:val="fr-FR"/>
        </w:rPr>
      </w:pPr>
      <w:r>
        <w:rPr>
          <w:rStyle w:val="FootnoteReference"/>
        </w:rPr>
        <w:footnoteRef/>
      </w:r>
      <w:r w:rsidRPr="00306C86">
        <w:rPr>
          <w:lang w:val="fr-FR"/>
        </w:rPr>
        <w:tab/>
      </w:r>
      <w:r w:rsidRPr="00030BA2">
        <w:rPr>
          <w:lang w:val="fr-FR"/>
        </w:rPr>
        <w:t>Comte</w:t>
      </w:r>
      <w:r>
        <w:rPr>
          <w:lang w:val="fr-FR"/>
        </w:rPr>
        <w:t xml:space="preserve"> </w:t>
      </w:r>
      <w:r w:rsidRPr="00030BA2">
        <w:rPr>
          <w:lang w:val="fr-FR"/>
        </w:rPr>
        <w:t>de</w:t>
      </w:r>
      <w:r>
        <w:rPr>
          <w:lang w:val="fr-FR"/>
        </w:rPr>
        <w:t xml:space="preserve"> </w:t>
      </w:r>
      <w:r w:rsidRPr="00030BA2">
        <w:rPr>
          <w:lang w:val="fr-FR"/>
        </w:rPr>
        <w:t>Gobineau,</w:t>
      </w:r>
      <w:r>
        <w:rPr>
          <w:lang w:val="fr-FR"/>
        </w:rPr>
        <w:t xml:space="preserve"> </w:t>
      </w:r>
      <w:r w:rsidRPr="009C18CA">
        <w:rPr>
          <w:i/>
          <w:iCs/>
          <w:lang w:val="fr-FR"/>
        </w:rPr>
        <w:t>Les</w:t>
      </w:r>
      <w:r>
        <w:rPr>
          <w:i/>
          <w:iCs/>
          <w:lang w:val="fr-FR"/>
        </w:rPr>
        <w:t xml:space="preserve"> </w:t>
      </w:r>
      <w:r w:rsidRPr="009C18CA">
        <w:rPr>
          <w:i/>
          <w:iCs/>
          <w:lang w:val="fr-FR"/>
        </w:rPr>
        <w:t>Religions</w:t>
      </w:r>
      <w:r>
        <w:rPr>
          <w:i/>
          <w:iCs/>
          <w:lang w:val="fr-FR"/>
        </w:rPr>
        <w:t xml:space="preserve"> </w:t>
      </w:r>
      <w:r w:rsidRPr="009C18CA">
        <w:rPr>
          <w:i/>
          <w:iCs/>
          <w:lang w:val="fr-FR"/>
        </w:rPr>
        <w:t>et</w:t>
      </w:r>
      <w:r>
        <w:rPr>
          <w:i/>
          <w:iCs/>
          <w:lang w:val="fr-FR"/>
        </w:rPr>
        <w:t xml:space="preserve"> </w:t>
      </w:r>
      <w:r w:rsidRPr="009C18CA">
        <w:rPr>
          <w:i/>
          <w:iCs/>
          <w:lang w:val="fr-FR"/>
        </w:rPr>
        <w:t>les</w:t>
      </w:r>
      <w:r>
        <w:rPr>
          <w:i/>
          <w:iCs/>
          <w:lang w:val="fr-FR"/>
        </w:rPr>
        <w:t xml:space="preserve"> </w:t>
      </w:r>
      <w:r w:rsidRPr="009C18CA">
        <w:rPr>
          <w:i/>
          <w:iCs/>
          <w:lang w:val="fr-FR"/>
        </w:rPr>
        <w:t>Philosophies</w:t>
      </w:r>
      <w:r>
        <w:rPr>
          <w:i/>
          <w:iCs/>
          <w:lang w:val="fr-FR"/>
        </w:rPr>
        <w:t xml:space="preserve"> </w:t>
      </w:r>
      <w:r w:rsidRPr="009C18CA">
        <w:rPr>
          <w:i/>
          <w:iCs/>
          <w:lang w:val="fr-FR"/>
        </w:rPr>
        <w:t>dans</w:t>
      </w:r>
      <w:r>
        <w:rPr>
          <w:i/>
          <w:iCs/>
          <w:lang w:val="fr-FR"/>
        </w:rPr>
        <w:t xml:space="preserve"> </w:t>
      </w:r>
      <w:r w:rsidRPr="009C18CA">
        <w:rPr>
          <w:i/>
          <w:iCs/>
          <w:lang w:val="fr-FR"/>
        </w:rPr>
        <w:t>l’Asie</w:t>
      </w:r>
      <w:r>
        <w:rPr>
          <w:i/>
          <w:iCs/>
          <w:lang w:val="fr-FR"/>
        </w:rPr>
        <w:t xml:space="preserve"> </w:t>
      </w:r>
      <w:r w:rsidRPr="009C18CA">
        <w:rPr>
          <w:i/>
          <w:iCs/>
          <w:lang w:val="fr-FR"/>
        </w:rPr>
        <w:t>Centrale</w:t>
      </w:r>
      <w:r w:rsidRPr="00030BA2">
        <w:rPr>
          <w:lang w:val="fr-FR"/>
        </w:rPr>
        <w:t>,</w:t>
      </w:r>
      <w:r>
        <w:rPr>
          <w:lang w:val="fr-FR"/>
        </w:rPr>
        <w:t xml:space="preserve"> </w:t>
      </w:r>
      <w:r w:rsidRPr="00030BA2">
        <w:rPr>
          <w:lang w:val="fr-FR"/>
        </w:rPr>
        <w:t>pp.</w:t>
      </w:r>
      <w:r>
        <w:rPr>
          <w:lang w:val="fr-FR"/>
        </w:rPr>
        <w:t xml:space="preserve"> </w:t>
      </w:r>
      <w:r w:rsidRPr="00030BA2">
        <w:rPr>
          <w:lang w:val="fr-FR"/>
        </w:rPr>
        <w:t>181–182.</w:t>
      </w:r>
    </w:p>
  </w:footnote>
  <w:footnote w:id="124">
    <w:p w:rsidR="001C15E8" w:rsidRPr="00306C86" w:rsidRDefault="001C15E8">
      <w:pPr>
        <w:pStyle w:val="FootnoteText"/>
        <w:rPr>
          <w:lang w:val="en-US"/>
        </w:rPr>
      </w:pPr>
      <w:r>
        <w:rPr>
          <w:rStyle w:val="FootnoteReference"/>
        </w:rPr>
        <w:footnoteRef/>
      </w:r>
      <w:r>
        <w:tab/>
      </w:r>
      <w:r w:rsidRPr="009C18CA">
        <w:rPr>
          <w:i/>
          <w:iCs/>
        </w:rPr>
        <w:t>The</w:t>
      </w:r>
      <w:r>
        <w:rPr>
          <w:i/>
          <w:iCs/>
        </w:rPr>
        <w:t xml:space="preserve"> </w:t>
      </w:r>
      <w:r w:rsidRPr="009C18CA">
        <w:rPr>
          <w:i/>
          <w:iCs/>
        </w:rPr>
        <w:t>Tárí</w:t>
      </w:r>
      <w:r w:rsidRPr="009C18CA">
        <w:rPr>
          <w:i/>
          <w:iCs/>
          <w:u w:val="single"/>
        </w:rPr>
        <w:t>kh</w:t>
      </w:r>
      <w:r w:rsidRPr="009C18CA">
        <w:rPr>
          <w:i/>
          <w:iCs/>
        </w:rPr>
        <w:t>-i-Jadíd</w:t>
      </w:r>
      <w:r w:rsidRPr="00382917">
        <w:t>,</w:t>
      </w:r>
      <w:r>
        <w:t xml:space="preserve"> </w:t>
      </w:r>
      <w:r w:rsidRPr="00382917">
        <w:t>pp.</w:t>
      </w:r>
      <w:r>
        <w:t xml:space="preserve"> </w:t>
      </w:r>
      <w:r w:rsidRPr="00382917">
        <w:t>79–80.</w:t>
      </w:r>
    </w:p>
  </w:footnote>
  <w:footnote w:id="125">
    <w:p w:rsidR="001C15E8" w:rsidRPr="00507DC4" w:rsidRDefault="001C15E8">
      <w:pPr>
        <w:pStyle w:val="FootnoteText"/>
        <w:rPr>
          <w:lang w:val="en-US"/>
        </w:rPr>
      </w:pPr>
      <w:r>
        <w:rPr>
          <w:rStyle w:val="FootnoteReference"/>
        </w:rPr>
        <w:footnoteRef/>
      </w:r>
      <w:r>
        <w:tab/>
      </w:r>
      <w:proofErr w:type="gramStart"/>
      <w:r>
        <w:t>idem</w:t>
      </w:r>
      <w:proofErr w:type="gramEnd"/>
      <w:r w:rsidRPr="00382917">
        <w:t>,</w:t>
      </w:r>
      <w:r>
        <w:t xml:space="preserve"> </w:t>
      </w:r>
      <w:r w:rsidRPr="00382917">
        <w:t>pp.</w:t>
      </w:r>
      <w:r>
        <w:t xml:space="preserve"> </w:t>
      </w:r>
      <w:r w:rsidRPr="00382917">
        <w:t>106–109.</w:t>
      </w:r>
    </w:p>
  </w:footnote>
  <w:footnote w:id="126">
    <w:p w:rsidR="001C15E8" w:rsidRPr="00E640CB" w:rsidRDefault="001C15E8" w:rsidP="00BD53F0">
      <w:pPr>
        <w:pStyle w:val="FootnoteText"/>
        <w:rPr>
          <w:lang w:val="en-US"/>
        </w:rPr>
      </w:pPr>
      <w:r>
        <w:rPr>
          <w:rStyle w:val="FootnoteReference"/>
        </w:rPr>
        <w:footnoteRef/>
      </w:r>
      <w:r>
        <w:tab/>
      </w:r>
      <w:proofErr w:type="gramStart"/>
      <w:r w:rsidRPr="00382917">
        <w:t>Bahá’u’lláh,</w:t>
      </w:r>
      <w:r>
        <w:t xml:space="preserve"> </w:t>
      </w:r>
      <w:r w:rsidRPr="00E640CB">
        <w:rPr>
          <w:i/>
          <w:iCs/>
        </w:rPr>
        <w:t>The</w:t>
      </w:r>
      <w:r>
        <w:rPr>
          <w:i/>
          <w:iCs/>
        </w:rPr>
        <w:t xml:space="preserve"> </w:t>
      </w:r>
      <w:r w:rsidRPr="00E640CB">
        <w:rPr>
          <w:i/>
          <w:iCs/>
        </w:rPr>
        <w:t>Kitáb-i-Íqán</w:t>
      </w:r>
      <w:r w:rsidRPr="00382917">
        <w:t>,</w:t>
      </w:r>
      <w:r>
        <w:t xml:space="preserve"> </w:t>
      </w:r>
      <w:r w:rsidRPr="00382917">
        <w:t>pp.</w:t>
      </w:r>
      <w:r>
        <w:t xml:space="preserve"> </w:t>
      </w:r>
      <w:r w:rsidRPr="00382917">
        <w:t>224</w:t>
      </w:r>
      <w:r>
        <w:t>–</w:t>
      </w:r>
      <w:r w:rsidRPr="00382917">
        <w:t>225.</w:t>
      </w:r>
      <w:proofErr w:type="gramEnd"/>
    </w:p>
  </w:footnote>
  <w:footnote w:id="127">
    <w:p w:rsidR="001C15E8" w:rsidRPr="002A56F9" w:rsidRDefault="001C15E8">
      <w:pPr>
        <w:pStyle w:val="FootnoteText"/>
        <w:rPr>
          <w:lang w:val="en-US"/>
        </w:rPr>
      </w:pPr>
      <w:r>
        <w:rPr>
          <w:rStyle w:val="FootnoteReference"/>
        </w:rPr>
        <w:footnoteRef/>
      </w:r>
      <w:r>
        <w:tab/>
      </w:r>
      <w:r w:rsidRPr="00382917">
        <w:t>Nabíl,</w:t>
      </w:r>
      <w:r>
        <w:t xml:space="preserve"> </w:t>
      </w:r>
      <w:proofErr w:type="gramStart"/>
      <w:r w:rsidRPr="00382917">
        <w:rPr>
          <w:i/>
          <w:iCs/>
        </w:rPr>
        <w:t>The</w:t>
      </w:r>
      <w:proofErr w:type="gramEnd"/>
      <w:r>
        <w:rPr>
          <w:i/>
          <w:iCs/>
        </w:rPr>
        <w:t xml:space="preserve"> </w:t>
      </w:r>
      <w:r w:rsidRPr="00382917">
        <w:rPr>
          <w:i/>
          <w:iCs/>
        </w:rPr>
        <w:t>Dawn-Breakers</w:t>
      </w:r>
      <w:r w:rsidRPr="00382917">
        <w:t>,</w:t>
      </w:r>
      <w:r>
        <w:t xml:space="preserve"> </w:t>
      </w:r>
      <w:r w:rsidRPr="00382917">
        <w:t>p.</w:t>
      </w:r>
      <w:r>
        <w:t xml:space="preserve"> </w:t>
      </w:r>
      <w:r w:rsidRPr="00382917">
        <w:t>429.</w:t>
      </w:r>
    </w:p>
  </w:footnote>
  <w:footnote w:id="128">
    <w:p w:rsidR="001C15E8" w:rsidRPr="006D7320" w:rsidRDefault="001C15E8">
      <w:pPr>
        <w:pStyle w:val="FootnoteText"/>
        <w:rPr>
          <w:lang w:val="es-ES"/>
        </w:rPr>
      </w:pPr>
      <w:r>
        <w:rPr>
          <w:rStyle w:val="FootnoteReference"/>
        </w:rPr>
        <w:footnoteRef/>
      </w:r>
      <w:r w:rsidRPr="006D7320">
        <w:rPr>
          <w:lang w:val="es-ES"/>
        </w:rPr>
        <w:tab/>
      </w:r>
      <w:r w:rsidRPr="00030BA2">
        <w:rPr>
          <w:lang w:val="es-ES"/>
        </w:rPr>
        <w:t>A.</w:t>
      </w:r>
      <w:r>
        <w:rPr>
          <w:lang w:val="es-ES"/>
        </w:rPr>
        <w:t xml:space="preserve"> </w:t>
      </w:r>
      <w:r w:rsidRPr="00030BA2">
        <w:rPr>
          <w:lang w:val="es-ES"/>
        </w:rPr>
        <w:t>L.</w:t>
      </w:r>
      <w:r>
        <w:rPr>
          <w:lang w:val="es-ES"/>
        </w:rPr>
        <w:t xml:space="preserve"> </w:t>
      </w:r>
      <w:r w:rsidRPr="00030BA2">
        <w:rPr>
          <w:lang w:val="es-ES"/>
        </w:rPr>
        <w:t>M.</w:t>
      </w:r>
      <w:r>
        <w:rPr>
          <w:lang w:val="es-ES"/>
        </w:rPr>
        <w:t xml:space="preserve"> </w:t>
      </w:r>
      <w:proofErr w:type="spellStart"/>
      <w:r w:rsidRPr="00030BA2">
        <w:rPr>
          <w:lang w:val="es-ES"/>
        </w:rPr>
        <w:t>Nicolas</w:t>
      </w:r>
      <w:proofErr w:type="spellEnd"/>
      <w:r w:rsidRPr="00030BA2">
        <w:rPr>
          <w:lang w:val="es-ES"/>
        </w:rPr>
        <w:t>,</w:t>
      </w:r>
      <w:r>
        <w:rPr>
          <w:lang w:val="es-ES"/>
        </w:rPr>
        <w:t xml:space="preserve"> </w:t>
      </w:r>
      <w:r w:rsidRPr="00BD53F0">
        <w:rPr>
          <w:i/>
          <w:iCs/>
          <w:lang w:val="es-ES"/>
        </w:rPr>
        <w:t xml:space="preserve">Siyyid ‘Alí-Muḥammad </w:t>
      </w:r>
      <w:proofErr w:type="spellStart"/>
      <w:r w:rsidRPr="00BD53F0">
        <w:rPr>
          <w:i/>
          <w:iCs/>
          <w:lang w:val="es-ES"/>
        </w:rPr>
        <w:t>dit</w:t>
      </w:r>
      <w:proofErr w:type="spellEnd"/>
      <w:r w:rsidRPr="00BD53F0">
        <w:rPr>
          <w:i/>
          <w:iCs/>
          <w:lang w:val="es-ES"/>
        </w:rPr>
        <w:t xml:space="preserve"> le Báb</w:t>
      </w:r>
      <w:r w:rsidRPr="00030BA2">
        <w:rPr>
          <w:lang w:val="es-ES"/>
        </w:rPr>
        <w:t>,</w:t>
      </w:r>
      <w:r>
        <w:rPr>
          <w:lang w:val="es-ES"/>
        </w:rPr>
        <w:t xml:space="preserve"> </w:t>
      </w:r>
      <w:r w:rsidRPr="00030BA2">
        <w:rPr>
          <w:lang w:val="es-ES"/>
        </w:rPr>
        <w:t>p.</w:t>
      </w:r>
      <w:r>
        <w:rPr>
          <w:lang w:val="es-ES"/>
        </w:rPr>
        <w:t xml:space="preserve"> </w:t>
      </w:r>
      <w:r w:rsidRPr="00030BA2">
        <w:rPr>
          <w:lang w:val="es-ES"/>
        </w:rPr>
        <w:t>330.</w:t>
      </w:r>
    </w:p>
  </w:footnote>
  <w:footnote w:id="129">
    <w:p w:rsidR="001C15E8" w:rsidRPr="006D7320" w:rsidRDefault="001C15E8">
      <w:pPr>
        <w:pStyle w:val="FootnoteText"/>
        <w:rPr>
          <w:lang w:val="en-US"/>
        </w:rPr>
      </w:pPr>
      <w:r>
        <w:rPr>
          <w:rStyle w:val="FootnoteReference"/>
        </w:rPr>
        <w:footnoteRef/>
      </w:r>
      <w:r>
        <w:tab/>
      </w:r>
      <w:r w:rsidRPr="00382917">
        <w:t>Nabíl,</w:t>
      </w:r>
      <w:r>
        <w:t xml:space="preserve"> </w:t>
      </w:r>
      <w:proofErr w:type="gramStart"/>
      <w:r w:rsidRPr="00382917">
        <w:rPr>
          <w:i/>
          <w:iCs/>
        </w:rPr>
        <w:t>The</w:t>
      </w:r>
      <w:proofErr w:type="gramEnd"/>
      <w:r>
        <w:rPr>
          <w:i/>
          <w:iCs/>
        </w:rPr>
        <w:t xml:space="preserve"> </w:t>
      </w:r>
      <w:r w:rsidRPr="00382917">
        <w:rPr>
          <w:i/>
          <w:iCs/>
        </w:rPr>
        <w:t>Dawn-Breakers</w:t>
      </w:r>
      <w:r w:rsidRPr="00382917">
        <w:t>,</w:t>
      </w:r>
      <w:r>
        <w:t xml:space="preserve"> </w:t>
      </w:r>
      <w:r w:rsidRPr="00382917">
        <w:t>pp.</w:t>
      </w:r>
      <w:r>
        <w:t xml:space="preserve"> </w:t>
      </w:r>
      <w:r w:rsidRPr="00382917">
        <w:t>430</w:t>
      </w:r>
      <w:r>
        <w:t>–</w:t>
      </w:r>
      <w:r w:rsidRPr="00382917">
        <w:t>432.</w:t>
      </w:r>
    </w:p>
  </w:footnote>
  <w:footnote w:id="130">
    <w:p w:rsidR="001C15E8" w:rsidRPr="00B65346" w:rsidRDefault="001C15E8">
      <w:pPr>
        <w:pStyle w:val="FootnoteText"/>
        <w:rPr>
          <w:lang w:val="en-US"/>
        </w:rPr>
      </w:pPr>
      <w:r>
        <w:rPr>
          <w:rStyle w:val="FootnoteReference"/>
        </w:rPr>
        <w:footnoteRef/>
      </w:r>
      <w:r>
        <w:tab/>
      </w:r>
      <w:r w:rsidRPr="00B65346">
        <w:rPr>
          <w:i/>
          <w:iCs/>
        </w:rPr>
        <w:t>Memorials</w:t>
      </w:r>
      <w:r>
        <w:rPr>
          <w:i/>
          <w:iCs/>
        </w:rPr>
        <w:t xml:space="preserve"> </w:t>
      </w:r>
      <w:r w:rsidRPr="00B65346">
        <w:rPr>
          <w:i/>
          <w:iCs/>
        </w:rPr>
        <w:t>of</w:t>
      </w:r>
      <w:r>
        <w:rPr>
          <w:i/>
          <w:iCs/>
        </w:rPr>
        <w:t xml:space="preserve"> </w:t>
      </w:r>
      <w:r w:rsidRPr="00B65346">
        <w:rPr>
          <w:i/>
          <w:iCs/>
        </w:rPr>
        <w:t>the</w:t>
      </w:r>
      <w:r>
        <w:rPr>
          <w:i/>
          <w:iCs/>
        </w:rPr>
        <w:t xml:space="preserve"> </w:t>
      </w:r>
      <w:r w:rsidRPr="00B65346">
        <w:rPr>
          <w:i/>
          <w:iCs/>
        </w:rPr>
        <w:t>Faithful</w:t>
      </w:r>
      <w:r w:rsidRPr="00382917">
        <w:t>,</w:t>
      </w:r>
      <w:r>
        <w:t xml:space="preserve"> </w:t>
      </w:r>
      <w:r w:rsidRPr="00382917">
        <w:t>pp.</w:t>
      </w:r>
      <w:r>
        <w:t xml:space="preserve"> </w:t>
      </w:r>
      <w:r w:rsidRPr="00382917">
        <w:t>291</w:t>
      </w:r>
      <w:r>
        <w:t>–</w:t>
      </w:r>
      <w:r w:rsidRPr="00382917">
        <w:t>298.</w:t>
      </w:r>
    </w:p>
  </w:footnote>
  <w:footnote w:id="131">
    <w:p w:rsidR="001C15E8" w:rsidRPr="00E95592" w:rsidRDefault="001C15E8" w:rsidP="00BD53F0">
      <w:pPr>
        <w:pStyle w:val="FootnoteText"/>
        <w:rPr>
          <w:lang w:val="en-US"/>
        </w:rPr>
      </w:pPr>
      <w:r>
        <w:rPr>
          <w:rStyle w:val="FootnoteReference"/>
        </w:rPr>
        <w:footnoteRef/>
      </w:r>
      <w:r>
        <w:tab/>
      </w:r>
      <w:r w:rsidRPr="00382917">
        <w:t>A.</w:t>
      </w:r>
      <w:r>
        <w:t xml:space="preserve"> </w:t>
      </w:r>
      <w:r w:rsidRPr="00382917">
        <w:t>L.</w:t>
      </w:r>
      <w:r>
        <w:t xml:space="preserve"> </w:t>
      </w:r>
      <w:r w:rsidRPr="00382917">
        <w:t>M.</w:t>
      </w:r>
      <w:r>
        <w:t xml:space="preserve"> </w:t>
      </w:r>
      <w:r w:rsidRPr="00382917">
        <w:t>Nicolas,</w:t>
      </w:r>
      <w:r>
        <w:t xml:space="preserve"> </w:t>
      </w:r>
      <w:r w:rsidRPr="001713B3">
        <w:rPr>
          <w:i/>
          <w:iCs/>
        </w:rPr>
        <w:t>Siyyid</w:t>
      </w:r>
      <w:r>
        <w:rPr>
          <w:i/>
          <w:iCs/>
        </w:rPr>
        <w:t xml:space="preserve"> </w:t>
      </w:r>
      <w:r w:rsidRPr="001713B3">
        <w:rPr>
          <w:i/>
          <w:iCs/>
        </w:rPr>
        <w:t>‘Alí-Muḥammad</w:t>
      </w:r>
      <w:r>
        <w:rPr>
          <w:i/>
          <w:iCs/>
        </w:rPr>
        <w:t xml:space="preserve"> </w:t>
      </w:r>
      <w:proofErr w:type="spellStart"/>
      <w:r w:rsidRPr="001713B3">
        <w:rPr>
          <w:i/>
          <w:iCs/>
        </w:rPr>
        <w:t>dit</w:t>
      </w:r>
      <w:proofErr w:type="spellEnd"/>
      <w:r>
        <w:rPr>
          <w:i/>
          <w:iCs/>
        </w:rPr>
        <w:t xml:space="preserve"> </w:t>
      </w:r>
      <w:r w:rsidRPr="001713B3">
        <w:rPr>
          <w:i/>
          <w:iCs/>
        </w:rPr>
        <w:t>le</w:t>
      </w:r>
      <w:r>
        <w:rPr>
          <w:i/>
          <w:iCs/>
        </w:rPr>
        <w:t xml:space="preserve"> </w:t>
      </w:r>
      <w:r w:rsidRPr="001713B3">
        <w:rPr>
          <w:i/>
          <w:iCs/>
        </w:rPr>
        <w:t>Báb</w:t>
      </w:r>
      <w:r w:rsidRPr="00382917">
        <w:t>,</w:t>
      </w:r>
      <w:r>
        <w:t xml:space="preserve"> </w:t>
      </w:r>
      <w:r w:rsidRPr="00382917">
        <w:t>pp.</w:t>
      </w:r>
      <w:r>
        <w:t xml:space="preserve"> </w:t>
      </w:r>
      <w:r w:rsidRPr="00382917">
        <w:t>273</w:t>
      </w:r>
      <w:r>
        <w:t>–</w:t>
      </w:r>
      <w:r w:rsidRPr="00382917">
        <w:t>274.</w:t>
      </w:r>
    </w:p>
  </w:footnote>
  <w:footnote w:id="132">
    <w:p w:rsidR="001C15E8" w:rsidRPr="00667FB4" w:rsidRDefault="001C15E8">
      <w:pPr>
        <w:pStyle w:val="FootnoteText"/>
        <w:rPr>
          <w:lang w:val="en-US"/>
        </w:rPr>
      </w:pPr>
      <w:r>
        <w:rPr>
          <w:rStyle w:val="FootnoteReference"/>
        </w:rPr>
        <w:footnoteRef/>
      </w:r>
      <w:r>
        <w:tab/>
      </w:r>
      <w:r w:rsidRPr="00382917">
        <w:t>Martha</w:t>
      </w:r>
      <w:r>
        <w:t xml:space="preserve"> </w:t>
      </w:r>
      <w:r w:rsidRPr="00382917">
        <w:t>L.</w:t>
      </w:r>
      <w:r>
        <w:t xml:space="preserve"> </w:t>
      </w:r>
      <w:r w:rsidRPr="00382917">
        <w:t>Root,</w:t>
      </w:r>
      <w:r>
        <w:t xml:space="preserve"> </w:t>
      </w:r>
      <w:r w:rsidRPr="009B4DE1">
        <w:rPr>
          <w:i/>
          <w:iCs/>
        </w:rPr>
        <w:t>Ṭáhirih</w:t>
      </w:r>
      <w:r>
        <w:rPr>
          <w:i/>
          <w:iCs/>
        </w:rPr>
        <w:t xml:space="preserve"> </w:t>
      </w:r>
      <w:r w:rsidRPr="009B4DE1">
        <w:rPr>
          <w:i/>
          <w:iCs/>
        </w:rPr>
        <w:t>the</w:t>
      </w:r>
      <w:r>
        <w:rPr>
          <w:i/>
          <w:iCs/>
        </w:rPr>
        <w:t xml:space="preserve"> </w:t>
      </w:r>
      <w:r w:rsidRPr="009B4DE1">
        <w:rPr>
          <w:i/>
          <w:iCs/>
        </w:rPr>
        <w:t>Pure</w:t>
      </w:r>
      <w:r w:rsidRPr="00382917">
        <w:t>,</w:t>
      </w:r>
      <w:r>
        <w:t xml:space="preserve"> </w:t>
      </w:r>
      <w:r w:rsidRPr="00382917">
        <w:t>p.</w:t>
      </w:r>
      <w:r>
        <w:t xml:space="preserve"> </w:t>
      </w:r>
      <w:r w:rsidRPr="00382917">
        <w:t>22.</w:t>
      </w:r>
    </w:p>
  </w:footnote>
  <w:footnote w:id="133">
    <w:p w:rsidR="001C15E8" w:rsidRPr="00FF2ABC" w:rsidRDefault="001C15E8">
      <w:pPr>
        <w:pStyle w:val="FootnoteText"/>
        <w:rPr>
          <w:lang w:val="en-US"/>
        </w:rPr>
      </w:pPr>
      <w:r>
        <w:rPr>
          <w:rStyle w:val="FootnoteReference"/>
        </w:rPr>
        <w:footnoteRef/>
      </w:r>
      <w:r>
        <w:tab/>
      </w:r>
      <w:r w:rsidRPr="00382917">
        <w:t>(1)</w:t>
      </w:r>
      <w:r>
        <w:t xml:space="preserve">  </w:t>
      </w:r>
      <w:r w:rsidRPr="00382917">
        <w:t>Nabíl,</w:t>
      </w:r>
      <w:r>
        <w:t xml:space="preserve"> </w:t>
      </w:r>
      <w:proofErr w:type="gramStart"/>
      <w:r w:rsidRPr="00382917">
        <w:rPr>
          <w:i/>
          <w:iCs/>
        </w:rPr>
        <w:t>The</w:t>
      </w:r>
      <w:proofErr w:type="gramEnd"/>
      <w:r>
        <w:rPr>
          <w:i/>
          <w:iCs/>
        </w:rPr>
        <w:t xml:space="preserve"> </w:t>
      </w:r>
      <w:r w:rsidRPr="00382917">
        <w:rPr>
          <w:i/>
          <w:iCs/>
        </w:rPr>
        <w:t>Dawn-Breakers</w:t>
      </w:r>
      <w:r w:rsidRPr="00382917">
        <w:t>,</w:t>
      </w:r>
      <w:r>
        <w:t xml:space="preserve"> </w:t>
      </w:r>
      <w:r w:rsidRPr="00382917">
        <w:t>pp.</w:t>
      </w:r>
      <w:r>
        <w:t xml:space="preserve"> </w:t>
      </w:r>
      <w:r w:rsidRPr="00382917">
        <w:t>81</w:t>
      </w:r>
      <w:r>
        <w:t>–</w:t>
      </w:r>
      <w:r w:rsidRPr="00382917">
        <w:t>82.</w:t>
      </w:r>
      <w:r>
        <w:t xml:space="preserve">  </w:t>
      </w:r>
      <w:r w:rsidRPr="00382917">
        <w:t>(2)</w:t>
      </w:r>
      <w:r>
        <w:t xml:space="preserve">  </w:t>
      </w:r>
      <w:r w:rsidRPr="00F825CC">
        <w:rPr>
          <w:i/>
          <w:iCs/>
        </w:rPr>
        <w:t>Memorials</w:t>
      </w:r>
      <w:r>
        <w:rPr>
          <w:i/>
          <w:iCs/>
        </w:rPr>
        <w:t xml:space="preserve"> </w:t>
      </w:r>
      <w:r w:rsidRPr="00F825CC">
        <w:rPr>
          <w:i/>
          <w:iCs/>
        </w:rPr>
        <w:t>of</w:t>
      </w:r>
      <w:r>
        <w:rPr>
          <w:i/>
          <w:iCs/>
        </w:rPr>
        <w:t xml:space="preserve"> </w:t>
      </w:r>
      <w:r w:rsidRPr="00F825CC">
        <w:rPr>
          <w:i/>
          <w:iCs/>
        </w:rPr>
        <w:t>the</w:t>
      </w:r>
      <w:r>
        <w:rPr>
          <w:i/>
          <w:iCs/>
        </w:rPr>
        <w:t xml:space="preserve"> </w:t>
      </w:r>
      <w:r w:rsidRPr="00F825CC">
        <w:rPr>
          <w:i/>
          <w:iCs/>
        </w:rPr>
        <w:t>Faithful</w:t>
      </w:r>
      <w:r w:rsidRPr="00382917">
        <w:t>,</w:t>
      </w:r>
      <w:r>
        <w:t xml:space="preserve"> </w:t>
      </w:r>
      <w:r w:rsidRPr="00382917">
        <w:t>pp.</w:t>
      </w:r>
      <w:r>
        <w:t xml:space="preserve"> </w:t>
      </w:r>
      <w:r w:rsidRPr="00382917">
        <w:t>291</w:t>
      </w:r>
      <w:r>
        <w:t>–</w:t>
      </w:r>
      <w:r w:rsidRPr="00382917">
        <w:t>298.</w:t>
      </w:r>
    </w:p>
  </w:footnote>
  <w:footnote w:id="134">
    <w:p w:rsidR="001C15E8" w:rsidRPr="00F825CC" w:rsidRDefault="001C15E8">
      <w:pPr>
        <w:pStyle w:val="FootnoteText"/>
        <w:rPr>
          <w:lang w:val="en-US"/>
        </w:rPr>
      </w:pPr>
      <w:r>
        <w:rPr>
          <w:rStyle w:val="FootnoteReference"/>
        </w:rPr>
        <w:footnoteRef/>
      </w:r>
      <w:r>
        <w:tab/>
      </w:r>
      <w:r w:rsidRPr="00382917">
        <w:t>Nabíl,</w:t>
      </w:r>
      <w:r>
        <w:t xml:space="preserve"> </w:t>
      </w:r>
      <w:proofErr w:type="gramStart"/>
      <w:r w:rsidRPr="00382917">
        <w:rPr>
          <w:i/>
          <w:iCs/>
        </w:rPr>
        <w:t>The</w:t>
      </w:r>
      <w:proofErr w:type="gramEnd"/>
      <w:r>
        <w:rPr>
          <w:i/>
          <w:iCs/>
        </w:rPr>
        <w:t xml:space="preserve"> </w:t>
      </w:r>
      <w:r w:rsidRPr="00382917">
        <w:rPr>
          <w:i/>
          <w:iCs/>
        </w:rPr>
        <w:t>Dawn-Breakers</w:t>
      </w:r>
      <w:r w:rsidRPr="00382917">
        <w:t>,</w:t>
      </w:r>
      <w:r>
        <w:t xml:space="preserve"> </w:t>
      </w:r>
      <w:r w:rsidRPr="00382917">
        <w:t>pp.</w:t>
      </w:r>
      <w:r>
        <w:t xml:space="preserve"> </w:t>
      </w:r>
      <w:r w:rsidRPr="00382917">
        <w:t>269</w:t>
      </w:r>
      <w:r>
        <w:t>–</w:t>
      </w:r>
      <w:r w:rsidRPr="00382917">
        <w:t>271.</w:t>
      </w:r>
    </w:p>
  </w:footnote>
  <w:footnote w:id="135">
    <w:p w:rsidR="001C15E8" w:rsidRPr="00B57D7F" w:rsidRDefault="001C15E8">
      <w:pPr>
        <w:pStyle w:val="FootnoteText"/>
        <w:rPr>
          <w:lang w:val="en-US"/>
        </w:rPr>
      </w:pPr>
      <w:r>
        <w:rPr>
          <w:rStyle w:val="FootnoteReference"/>
        </w:rPr>
        <w:footnoteRef/>
      </w:r>
      <w:r>
        <w:tab/>
      </w:r>
      <w:proofErr w:type="gramStart"/>
      <w:r w:rsidRPr="00382917">
        <w:t>Samandar</w:t>
      </w:r>
      <w:r>
        <w:t xml:space="preserve"> </w:t>
      </w:r>
      <w:r w:rsidRPr="00382917">
        <w:t>manuscript,</w:t>
      </w:r>
      <w:r>
        <w:t xml:space="preserve"> </w:t>
      </w:r>
      <w:r w:rsidRPr="00382917">
        <w:t>p.</w:t>
      </w:r>
      <w:r>
        <w:t xml:space="preserve"> </w:t>
      </w:r>
      <w:r w:rsidRPr="00382917">
        <w:t>9.</w:t>
      </w:r>
      <w:proofErr w:type="gramEnd"/>
    </w:p>
  </w:footnote>
  <w:footnote w:id="136">
    <w:p w:rsidR="001C15E8" w:rsidRPr="002B02FA" w:rsidRDefault="001C15E8" w:rsidP="002833CA">
      <w:pPr>
        <w:pStyle w:val="FootnoteText"/>
        <w:rPr>
          <w:lang w:val="en-US"/>
        </w:rPr>
      </w:pPr>
      <w:r>
        <w:rPr>
          <w:rStyle w:val="FootnoteReference"/>
        </w:rPr>
        <w:footnoteRef/>
      </w:r>
      <w:r>
        <w:tab/>
        <w:t xml:space="preserve">Martha L. Root, </w:t>
      </w:r>
      <w:r w:rsidRPr="009B4DE1">
        <w:rPr>
          <w:i/>
          <w:iCs/>
        </w:rPr>
        <w:t>Ṭáhirih</w:t>
      </w:r>
      <w:r>
        <w:rPr>
          <w:i/>
          <w:iCs/>
        </w:rPr>
        <w:t xml:space="preserve"> </w:t>
      </w:r>
      <w:r w:rsidRPr="009B4DE1">
        <w:rPr>
          <w:i/>
          <w:iCs/>
        </w:rPr>
        <w:t>the</w:t>
      </w:r>
      <w:r>
        <w:rPr>
          <w:i/>
          <w:iCs/>
        </w:rPr>
        <w:t xml:space="preserve"> </w:t>
      </w:r>
      <w:r w:rsidRPr="009B4DE1">
        <w:rPr>
          <w:i/>
          <w:iCs/>
        </w:rPr>
        <w:t>Pure</w:t>
      </w:r>
      <w:r>
        <w:t>, pp. 300–1.</w:t>
      </w:r>
    </w:p>
  </w:footnote>
  <w:footnote w:id="137">
    <w:p w:rsidR="001C15E8" w:rsidRPr="00E17990" w:rsidRDefault="001C15E8">
      <w:pPr>
        <w:pStyle w:val="FootnoteText"/>
        <w:rPr>
          <w:lang w:val="en-US"/>
        </w:rPr>
      </w:pPr>
      <w:r>
        <w:rPr>
          <w:rStyle w:val="FootnoteReference"/>
        </w:rPr>
        <w:footnoteRef/>
      </w:r>
      <w:r>
        <w:tab/>
      </w:r>
      <w:r w:rsidRPr="00382917">
        <w:t>Shoghi</w:t>
      </w:r>
      <w:r>
        <w:t xml:space="preserve"> </w:t>
      </w:r>
      <w:r w:rsidRPr="00382917">
        <w:t>Effendi,</w:t>
      </w:r>
      <w:r>
        <w:t xml:space="preserve"> </w:t>
      </w:r>
      <w:r w:rsidRPr="001713B3">
        <w:rPr>
          <w:i/>
          <w:iCs/>
        </w:rPr>
        <w:t>God</w:t>
      </w:r>
      <w:r>
        <w:rPr>
          <w:i/>
          <w:iCs/>
        </w:rPr>
        <w:t xml:space="preserve"> </w:t>
      </w:r>
      <w:r w:rsidRPr="001713B3">
        <w:rPr>
          <w:i/>
          <w:iCs/>
        </w:rPr>
        <w:t>Passes</w:t>
      </w:r>
      <w:r>
        <w:rPr>
          <w:i/>
          <w:iCs/>
        </w:rPr>
        <w:t xml:space="preserve"> </w:t>
      </w:r>
      <w:r w:rsidRPr="001713B3">
        <w:rPr>
          <w:i/>
          <w:iCs/>
        </w:rPr>
        <w:t>By</w:t>
      </w:r>
      <w:r w:rsidRPr="00382917">
        <w:t>,</w:t>
      </w:r>
      <w:r>
        <w:t xml:space="preserve"> </w:t>
      </w:r>
      <w:r w:rsidRPr="00382917">
        <w:t>p.</w:t>
      </w:r>
      <w:r>
        <w:t xml:space="preserve"> </w:t>
      </w:r>
      <w:r w:rsidRPr="00382917">
        <w:t>73.</w:t>
      </w:r>
    </w:p>
  </w:footnote>
  <w:footnote w:id="138">
    <w:p w:rsidR="001C15E8" w:rsidRPr="002833CA" w:rsidRDefault="001C15E8">
      <w:pPr>
        <w:pStyle w:val="FootnoteText"/>
        <w:rPr>
          <w:lang w:val="en-US"/>
        </w:rPr>
      </w:pPr>
      <w:r>
        <w:rPr>
          <w:rStyle w:val="FootnoteReference"/>
        </w:rPr>
        <w:footnoteRef/>
      </w:r>
      <w:r>
        <w:tab/>
      </w:r>
      <w:r w:rsidRPr="00382917">
        <w:t>Martha</w:t>
      </w:r>
      <w:r>
        <w:t xml:space="preserve"> </w:t>
      </w:r>
      <w:r w:rsidRPr="00382917">
        <w:t>L.</w:t>
      </w:r>
      <w:r>
        <w:t xml:space="preserve"> </w:t>
      </w:r>
      <w:r w:rsidRPr="00382917">
        <w:t>Root,</w:t>
      </w:r>
      <w:r>
        <w:t xml:space="preserve"> </w:t>
      </w:r>
      <w:r w:rsidRPr="009B4DE1">
        <w:rPr>
          <w:i/>
          <w:iCs/>
        </w:rPr>
        <w:t>Ṭáhirih</w:t>
      </w:r>
      <w:r>
        <w:rPr>
          <w:i/>
          <w:iCs/>
        </w:rPr>
        <w:t xml:space="preserve"> </w:t>
      </w:r>
      <w:r w:rsidRPr="009B4DE1">
        <w:rPr>
          <w:i/>
          <w:iCs/>
        </w:rPr>
        <w:t>the</w:t>
      </w:r>
      <w:r>
        <w:rPr>
          <w:i/>
          <w:iCs/>
        </w:rPr>
        <w:t xml:space="preserve"> </w:t>
      </w:r>
      <w:r w:rsidRPr="009B4DE1">
        <w:rPr>
          <w:i/>
          <w:iCs/>
        </w:rPr>
        <w:t>Pure</w:t>
      </w:r>
      <w:r w:rsidRPr="00382917">
        <w:t>,</w:t>
      </w:r>
      <w:r>
        <w:t xml:space="preserve"> </w:t>
      </w:r>
      <w:r w:rsidRPr="00382917">
        <w:t>pp.</w:t>
      </w:r>
      <w:r>
        <w:t xml:space="preserve"> </w:t>
      </w:r>
      <w:r w:rsidRPr="00382917">
        <w:t>24</w:t>
      </w:r>
      <w:r>
        <w:t>–</w:t>
      </w:r>
      <w:r w:rsidRPr="00382917">
        <w:t>25.</w:t>
      </w:r>
    </w:p>
  </w:footnote>
  <w:footnote w:id="139">
    <w:p w:rsidR="001C15E8" w:rsidRPr="007838C0" w:rsidRDefault="001C15E8" w:rsidP="008E6528">
      <w:pPr>
        <w:pStyle w:val="FootnoteText"/>
        <w:rPr>
          <w:lang w:val="en-US"/>
        </w:rPr>
      </w:pPr>
      <w:r>
        <w:rPr>
          <w:rStyle w:val="FootnoteReference"/>
        </w:rPr>
        <w:footnoteRef/>
      </w:r>
      <w:r>
        <w:tab/>
      </w:r>
      <w:r w:rsidRPr="00382917">
        <w:t>(1)</w:t>
      </w:r>
      <w:r>
        <w:t xml:space="preserve">  </w:t>
      </w:r>
      <w:r w:rsidRPr="00382917">
        <w:t>Nabíl,</w:t>
      </w:r>
      <w:r>
        <w:t xml:space="preserve"> </w:t>
      </w:r>
      <w:proofErr w:type="gramStart"/>
      <w:r w:rsidRPr="00382917">
        <w:rPr>
          <w:i/>
          <w:iCs/>
        </w:rPr>
        <w:t>The</w:t>
      </w:r>
      <w:proofErr w:type="gramEnd"/>
      <w:r>
        <w:rPr>
          <w:i/>
          <w:iCs/>
        </w:rPr>
        <w:t xml:space="preserve"> </w:t>
      </w:r>
      <w:r w:rsidRPr="00382917">
        <w:rPr>
          <w:i/>
          <w:iCs/>
        </w:rPr>
        <w:t>Dawn-Breakers</w:t>
      </w:r>
      <w:r w:rsidRPr="00382917">
        <w:t>,</w:t>
      </w:r>
      <w:r>
        <w:t xml:space="preserve"> </w:t>
      </w:r>
      <w:r w:rsidRPr="00382917">
        <w:t>p.</w:t>
      </w:r>
      <w:r>
        <w:t xml:space="preserve"> </w:t>
      </w:r>
      <w:r w:rsidRPr="00382917">
        <w:t>272.</w:t>
      </w:r>
      <w:r>
        <w:t xml:space="preserve">  </w:t>
      </w:r>
      <w:r w:rsidRPr="00382917">
        <w:t>(2)</w:t>
      </w:r>
      <w:r>
        <w:t xml:space="preserve">  </w:t>
      </w:r>
      <w:proofErr w:type="gramStart"/>
      <w:r>
        <w:t>idem</w:t>
      </w:r>
      <w:proofErr w:type="gramEnd"/>
      <w:r w:rsidRPr="00382917">
        <w:t>,</w:t>
      </w:r>
      <w:r>
        <w:t xml:space="preserve"> </w:t>
      </w:r>
      <w:r w:rsidRPr="00382917">
        <w:t>footnote</w:t>
      </w:r>
      <w:r>
        <w:t xml:space="preserve"> </w:t>
      </w:r>
      <w:r w:rsidRPr="00382917">
        <w:t>1.</w:t>
      </w:r>
    </w:p>
  </w:footnote>
  <w:footnote w:id="140">
    <w:p w:rsidR="001C15E8" w:rsidRPr="00BD53F0" w:rsidRDefault="001C15E8">
      <w:pPr>
        <w:pStyle w:val="FootnoteText"/>
        <w:rPr>
          <w:lang w:val="en-AU"/>
        </w:rPr>
      </w:pPr>
      <w:r>
        <w:rPr>
          <w:rStyle w:val="FootnoteReference"/>
        </w:rPr>
        <w:footnoteRef/>
      </w:r>
      <w:r w:rsidRPr="00BD53F0">
        <w:rPr>
          <w:lang w:val="en-AU"/>
        </w:rPr>
        <w:tab/>
      </w:r>
      <w:proofErr w:type="gramStart"/>
      <w:r w:rsidRPr="00BD53F0">
        <w:rPr>
          <w:i/>
          <w:iCs/>
          <w:lang w:val="en-AU"/>
        </w:rPr>
        <w:t>A Traveller’s Narrative</w:t>
      </w:r>
      <w:r w:rsidRPr="00BD53F0">
        <w:rPr>
          <w:lang w:val="en-AU"/>
        </w:rPr>
        <w:t>, Note Q, pp. 214–215 (or 310).</w:t>
      </w:r>
      <w:proofErr w:type="gramEnd"/>
    </w:p>
  </w:footnote>
  <w:footnote w:id="141">
    <w:p w:rsidR="001C15E8" w:rsidRPr="00192E17" w:rsidRDefault="001C15E8">
      <w:pPr>
        <w:pStyle w:val="FootnoteText"/>
        <w:rPr>
          <w:lang w:val="en-US"/>
        </w:rPr>
      </w:pPr>
      <w:r>
        <w:rPr>
          <w:rStyle w:val="FootnoteReference"/>
        </w:rPr>
        <w:footnoteRef/>
      </w:r>
      <w:r>
        <w:tab/>
      </w:r>
      <w:r w:rsidRPr="00382917">
        <w:t>Nabíl,</w:t>
      </w:r>
      <w:r>
        <w:t xml:space="preserve"> </w:t>
      </w:r>
      <w:r w:rsidRPr="00382917">
        <w:rPr>
          <w:i/>
          <w:iCs/>
        </w:rPr>
        <w:t>The</w:t>
      </w:r>
      <w:r>
        <w:rPr>
          <w:i/>
          <w:iCs/>
        </w:rPr>
        <w:t xml:space="preserve"> </w:t>
      </w:r>
      <w:r w:rsidRPr="00382917">
        <w:rPr>
          <w:i/>
          <w:iCs/>
        </w:rPr>
        <w:t>Dawn-Breakers</w:t>
      </w:r>
      <w:r w:rsidRPr="00382917">
        <w:t>,</w:t>
      </w:r>
      <w:r>
        <w:t xml:space="preserve"> </w:t>
      </w:r>
      <w:r w:rsidRPr="00382917">
        <w:t>p.</w:t>
      </w:r>
      <w:r>
        <w:t xml:space="preserve"> </w:t>
      </w:r>
      <w:r w:rsidRPr="00382917">
        <w:t>272,</w:t>
      </w:r>
      <w:r>
        <w:t xml:space="preserve"> </w:t>
      </w:r>
      <w:r w:rsidRPr="00382917">
        <w:t>footnote</w:t>
      </w:r>
      <w:r>
        <w:t xml:space="preserve"> </w:t>
      </w:r>
      <w:r w:rsidRPr="00382917">
        <w:t>1.</w:t>
      </w:r>
    </w:p>
  </w:footnote>
  <w:footnote w:id="142">
    <w:p w:rsidR="001C15E8" w:rsidRPr="00E719B4" w:rsidRDefault="001C15E8">
      <w:pPr>
        <w:pStyle w:val="FootnoteText"/>
        <w:rPr>
          <w:lang w:val="en-US"/>
        </w:rPr>
      </w:pPr>
      <w:r>
        <w:rPr>
          <w:rStyle w:val="FootnoteReference"/>
        </w:rPr>
        <w:footnoteRef/>
      </w:r>
      <w:r>
        <w:tab/>
      </w:r>
      <w:r w:rsidRPr="00382917">
        <w:t>Martha</w:t>
      </w:r>
      <w:r>
        <w:t xml:space="preserve"> </w:t>
      </w:r>
      <w:r w:rsidRPr="00382917">
        <w:t>L.</w:t>
      </w:r>
      <w:r>
        <w:t xml:space="preserve"> </w:t>
      </w:r>
      <w:r w:rsidRPr="00382917">
        <w:t>Root,</w:t>
      </w:r>
      <w:r>
        <w:t xml:space="preserve"> </w:t>
      </w:r>
      <w:r w:rsidRPr="009B4DE1">
        <w:rPr>
          <w:i/>
          <w:iCs/>
        </w:rPr>
        <w:t>Ṭáhirih</w:t>
      </w:r>
      <w:r>
        <w:rPr>
          <w:i/>
          <w:iCs/>
        </w:rPr>
        <w:t xml:space="preserve"> </w:t>
      </w:r>
      <w:r w:rsidRPr="009B4DE1">
        <w:rPr>
          <w:i/>
          <w:iCs/>
        </w:rPr>
        <w:t>the</w:t>
      </w:r>
      <w:r>
        <w:rPr>
          <w:i/>
          <w:iCs/>
        </w:rPr>
        <w:t xml:space="preserve"> </w:t>
      </w:r>
      <w:r w:rsidRPr="009B4DE1">
        <w:rPr>
          <w:i/>
          <w:iCs/>
        </w:rPr>
        <w:t>Pure</w:t>
      </w:r>
      <w:r w:rsidRPr="00382917">
        <w:t>,</w:t>
      </w:r>
      <w:r>
        <w:t xml:space="preserve"> </w:t>
      </w:r>
      <w:r w:rsidRPr="00382917">
        <w:t>pp.</w:t>
      </w:r>
      <w:r>
        <w:t xml:space="preserve"> </w:t>
      </w:r>
      <w:r w:rsidRPr="00382917">
        <w:t>25</w:t>
      </w:r>
      <w:r>
        <w:t>–</w:t>
      </w:r>
      <w:r w:rsidRPr="00382917">
        <w:t>26.</w:t>
      </w:r>
    </w:p>
  </w:footnote>
  <w:footnote w:id="143">
    <w:p w:rsidR="001C15E8" w:rsidRPr="000D1705" w:rsidRDefault="001C15E8">
      <w:pPr>
        <w:pStyle w:val="FootnoteText"/>
        <w:rPr>
          <w:lang w:val="en-US"/>
        </w:rPr>
      </w:pPr>
      <w:r>
        <w:rPr>
          <w:rStyle w:val="FootnoteReference"/>
        </w:rPr>
        <w:footnoteRef/>
      </w:r>
      <w:r>
        <w:tab/>
      </w:r>
      <w:r w:rsidRPr="00382917">
        <w:t>Nabíl,</w:t>
      </w:r>
      <w:r>
        <w:t xml:space="preserve"> </w:t>
      </w:r>
      <w:r w:rsidRPr="00382917">
        <w:rPr>
          <w:i/>
          <w:iCs/>
        </w:rPr>
        <w:t>The</w:t>
      </w:r>
      <w:r>
        <w:rPr>
          <w:i/>
          <w:iCs/>
        </w:rPr>
        <w:t xml:space="preserve"> </w:t>
      </w:r>
      <w:r w:rsidRPr="00382917">
        <w:rPr>
          <w:i/>
          <w:iCs/>
        </w:rPr>
        <w:t>Dawn-Breakers</w:t>
      </w:r>
      <w:r w:rsidRPr="00382917">
        <w:t>,</w:t>
      </w:r>
      <w:r>
        <w:t xml:space="preserve"> </w:t>
      </w:r>
      <w:r w:rsidRPr="00382917">
        <w:t>p.</w:t>
      </w:r>
      <w:r>
        <w:t xml:space="preserve"> </w:t>
      </w:r>
      <w:r w:rsidRPr="00382917">
        <w:t>272,</w:t>
      </w:r>
      <w:r>
        <w:t xml:space="preserve"> </w:t>
      </w:r>
      <w:r w:rsidRPr="00382917">
        <w:t>footnote</w:t>
      </w:r>
      <w:r>
        <w:t xml:space="preserve"> </w:t>
      </w:r>
      <w:r w:rsidRPr="00382917">
        <w:t>2.</w:t>
      </w:r>
    </w:p>
  </w:footnote>
  <w:footnote w:id="144">
    <w:p w:rsidR="001C15E8" w:rsidRPr="00AE3ECC" w:rsidRDefault="001C15E8">
      <w:pPr>
        <w:pStyle w:val="FootnoteText"/>
        <w:rPr>
          <w:lang w:val="en-US"/>
        </w:rPr>
      </w:pPr>
      <w:r>
        <w:rPr>
          <w:rStyle w:val="FootnoteReference"/>
        </w:rPr>
        <w:footnoteRef/>
      </w:r>
      <w:r>
        <w:tab/>
      </w:r>
      <w:proofErr w:type="gramStart"/>
      <w:r>
        <w:t>idem</w:t>
      </w:r>
      <w:proofErr w:type="gramEnd"/>
      <w:r w:rsidRPr="00382917">
        <w:t>,</w:t>
      </w:r>
      <w:r>
        <w:t xml:space="preserve"> </w:t>
      </w:r>
      <w:r w:rsidRPr="00382917">
        <w:t>footnote</w:t>
      </w:r>
      <w:r>
        <w:t xml:space="preserve"> </w:t>
      </w:r>
      <w:r w:rsidRPr="00382917">
        <w:t>3.</w:t>
      </w:r>
    </w:p>
  </w:footnote>
  <w:footnote w:id="145">
    <w:p w:rsidR="001C15E8" w:rsidRPr="00C471FA" w:rsidRDefault="001C15E8">
      <w:pPr>
        <w:pStyle w:val="FootnoteText"/>
        <w:rPr>
          <w:lang w:val="en-US"/>
        </w:rPr>
      </w:pPr>
      <w:r>
        <w:rPr>
          <w:rStyle w:val="FootnoteReference"/>
        </w:rPr>
        <w:footnoteRef/>
      </w:r>
      <w:r>
        <w:tab/>
      </w:r>
      <w:r w:rsidRPr="00382917">
        <w:t>Martha</w:t>
      </w:r>
      <w:r>
        <w:t xml:space="preserve"> </w:t>
      </w:r>
      <w:r w:rsidRPr="00382917">
        <w:t>L.</w:t>
      </w:r>
      <w:r>
        <w:t xml:space="preserve"> </w:t>
      </w:r>
      <w:r w:rsidRPr="00382917">
        <w:t>Root,</w:t>
      </w:r>
      <w:r>
        <w:t xml:space="preserve"> </w:t>
      </w:r>
      <w:r w:rsidRPr="009B4DE1">
        <w:rPr>
          <w:i/>
          <w:iCs/>
        </w:rPr>
        <w:t>Ṭáhirih</w:t>
      </w:r>
      <w:r>
        <w:rPr>
          <w:i/>
          <w:iCs/>
        </w:rPr>
        <w:t xml:space="preserve"> </w:t>
      </w:r>
      <w:r w:rsidRPr="009B4DE1">
        <w:rPr>
          <w:i/>
          <w:iCs/>
        </w:rPr>
        <w:t>the</w:t>
      </w:r>
      <w:r>
        <w:rPr>
          <w:i/>
          <w:iCs/>
        </w:rPr>
        <w:t xml:space="preserve"> </w:t>
      </w:r>
      <w:r w:rsidRPr="009B4DE1">
        <w:rPr>
          <w:i/>
          <w:iCs/>
        </w:rPr>
        <w:t>Pure</w:t>
      </w:r>
      <w:r w:rsidRPr="00382917">
        <w:t>,</w:t>
      </w:r>
      <w:r>
        <w:t xml:space="preserve"> </w:t>
      </w:r>
      <w:r w:rsidRPr="00382917">
        <w:t>pp.</w:t>
      </w:r>
      <w:r>
        <w:t xml:space="preserve"> </w:t>
      </w:r>
      <w:r w:rsidRPr="00382917">
        <w:t>30</w:t>
      </w:r>
      <w:r>
        <w:t>–</w:t>
      </w:r>
      <w:r w:rsidRPr="00382917">
        <w:t>31.</w:t>
      </w:r>
    </w:p>
  </w:footnote>
  <w:footnote w:id="146">
    <w:p w:rsidR="001C15E8" w:rsidRPr="009B4DE1" w:rsidRDefault="001C15E8" w:rsidP="009B4DE1">
      <w:pPr>
        <w:pStyle w:val="FootnoteText"/>
        <w:rPr>
          <w:lang w:val="en-US"/>
        </w:rPr>
      </w:pPr>
      <w:r>
        <w:rPr>
          <w:rStyle w:val="FootnoteReference"/>
        </w:rPr>
        <w:footnoteRef/>
      </w:r>
      <w:r>
        <w:tab/>
      </w:r>
      <w:r w:rsidRPr="00382917">
        <w:t>(1)</w:t>
      </w:r>
      <w:r>
        <w:t xml:space="preserve">  </w:t>
      </w:r>
      <w:proofErr w:type="gramStart"/>
      <w:r>
        <w:t>idem</w:t>
      </w:r>
      <w:proofErr w:type="gramEnd"/>
      <w:r w:rsidRPr="00382917">
        <w:t>,</w:t>
      </w:r>
      <w:r>
        <w:t xml:space="preserve"> </w:t>
      </w:r>
      <w:r w:rsidRPr="00382917">
        <w:t>pp.</w:t>
      </w:r>
      <w:r>
        <w:t xml:space="preserve"> </w:t>
      </w:r>
      <w:r w:rsidRPr="00382917">
        <w:t>32</w:t>
      </w:r>
      <w:r>
        <w:t>–</w:t>
      </w:r>
      <w:r w:rsidRPr="00382917">
        <w:t>34.</w:t>
      </w:r>
      <w:r>
        <w:t xml:space="preserve">  </w:t>
      </w:r>
      <w:r w:rsidRPr="00382917">
        <w:t>(2)</w:t>
      </w:r>
      <w:r>
        <w:t xml:space="preserve">  </w:t>
      </w:r>
      <w:r w:rsidRPr="00382917">
        <w:t>Nabíl,</w:t>
      </w:r>
      <w:r>
        <w:t xml:space="preserve"> </w:t>
      </w:r>
      <w:proofErr w:type="gramStart"/>
      <w:r w:rsidRPr="00382917">
        <w:rPr>
          <w:i/>
          <w:iCs/>
        </w:rPr>
        <w:t>The</w:t>
      </w:r>
      <w:proofErr w:type="gramEnd"/>
      <w:r>
        <w:rPr>
          <w:i/>
          <w:iCs/>
        </w:rPr>
        <w:t xml:space="preserve"> </w:t>
      </w:r>
      <w:r w:rsidRPr="00382917">
        <w:rPr>
          <w:i/>
          <w:iCs/>
        </w:rPr>
        <w:t>Dawn-Breakers</w:t>
      </w:r>
      <w:r w:rsidRPr="00382917">
        <w:t>,</w:t>
      </w:r>
      <w:r>
        <w:t xml:space="preserve"> </w:t>
      </w:r>
      <w:r w:rsidRPr="00382917">
        <w:t>pp.</w:t>
      </w:r>
      <w:r>
        <w:t xml:space="preserve"> </w:t>
      </w:r>
      <w:r w:rsidRPr="00382917">
        <w:t>273</w:t>
      </w:r>
      <w:r>
        <w:t>–</w:t>
      </w:r>
      <w:r w:rsidRPr="00382917">
        <w:t>275.</w:t>
      </w:r>
    </w:p>
  </w:footnote>
  <w:footnote w:id="147">
    <w:p w:rsidR="001C15E8" w:rsidRPr="009B4DE1" w:rsidRDefault="001C15E8">
      <w:pPr>
        <w:pStyle w:val="FootnoteText"/>
        <w:rPr>
          <w:lang w:val="en-US"/>
        </w:rPr>
      </w:pPr>
      <w:r>
        <w:rPr>
          <w:rStyle w:val="FootnoteReference"/>
        </w:rPr>
        <w:footnoteRef/>
      </w:r>
      <w:r>
        <w:tab/>
      </w:r>
      <w:r w:rsidRPr="00382917">
        <w:t>Martha</w:t>
      </w:r>
      <w:r>
        <w:t xml:space="preserve"> </w:t>
      </w:r>
      <w:r w:rsidRPr="00382917">
        <w:t>L.</w:t>
      </w:r>
      <w:r>
        <w:t xml:space="preserve"> </w:t>
      </w:r>
      <w:r w:rsidRPr="00382917">
        <w:t>Root,</w:t>
      </w:r>
      <w:r>
        <w:t xml:space="preserve"> </w:t>
      </w:r>
      <w:r w:rsidRPr="009B4DE1">
        <w:rPr>
          <w:i/>
          <w:iCs/>
        </w:rPr>
        <w:t>Ṭáhirih</w:t>
      </w:r>
      <w:r>
        <w:rPr>
          <w:i/>
          <w:iCs/>
        </w:rPr>
        <w:t xml:space="preserve"> </w:t>
      </w:r>
      <w:r w:rsidRPr="009B4DE1">
        <w:rPr>
          <w:i/>
          <w:iCs/>
        </w:rPr>
        <w:t>the</w:t>
      </w:r>
      <w:r>
        <w:rPr>
          <w:i/>
          <w:iCs/>
        </w:rPr>
        <w:t xml:space="preserve"> </w:t>
      </w:r>
      <w:r w:rsidRPr="009B4DE1">
        <w:rPr>
          <w:i/>
          <w:iCs/>
        </w:rPr>
        <w:t>Pure</w:t>
      </w:r>
      <w:r w:rsidRPr="00382917">
        <w:t>,</w:t>
      </w:r>
      <w:r>
        <w:t xml:space="preserve"> </w:t>
      </w:r>
      <w:r w:rsidRPr="00382917">
        <w:t>p.</w:t>
      </w:r>
      <w:r>
        <w:t xml:space="preserve"> </w:t>
      </w:r>
      <w:r w:rsidRPr="00382917">
        <w:t>7.</w:t>
      </w:r>
    </w:p>
  </w:footnote>
  <w:footnote w:id="148">
    <w:p w:rsidR="001C15E8" w:rsidRPr="00FB0B3D" w:rsidRDefault="001C15E8">
      <w:pPr>
        <w:pStyle w:val="FootnoteText"/>
        <w:rPr>
          <w:lang w:val="en-US"/>
        </w:rPr>
      </w:pPr>
      <w:r>
        <w:rPr>
          <w:rStyle w:val="FootnoteReference"/>
        </w:rPr>
        <w:footnoteRef/>
      </w:r>
      <w:r>
        <w:tab/>
      </w:r>
      <w:proofErr w:type="gramStart"/>
      <w:r>
        <w:t>idem</w:t>
      </w:r>
      <w:proofErr w:type="gramEnd"/>
      <w:r w:rsidRPr="00382917">
        <w:t>,</w:t>
      </w:r>
      <w:r>
        <w:t xml:space="preserve"> </w:t>
      </w:r>
      <w:r w:rsidRPr="00382917">
        <w:t>pp.</w:t>
      </w:r>
      <w:r>
        <w:t xml:space="preserve"> </w:t>
      </w:r>
      <w:r w:rsidRPr="00382917">
        <w:t>37</w:t>
      </w:r>
      <w:r>
        <w:t>–</w:t>
      </w:r>
      <w:r w:rsidRPr="00382917">
        <w:t>38.</w:t>
      </w:r>
    </w:p>
  </w:footnote>
  <w:footnote w:id="149">
    <w:p w:rsidR="001C15E8" w:rsidRPr="00DC1E1B" w:rsidRDefault="001C15E8">
      <w:pPr>
        <w:pStyle w:val="FootnoteText"/>
        <w:rPr>
          <w:lang w:val="en-US"/>
        </w:rPr>
      </w:pPr>
      <w:r>
        <w:rPr>
          <w:rStyle w:val="FootnoteReference"/>
        </w:rPr>
        <w:footnoteRef/>
      </w:r>
      <w:r>
        <w:tab/>
      </w:r>
      <w:r w:rsidRPr="00382917">
        <w:t>(1)</w:t>
      </w:r>
      <w:r>
        <w:t xml:space="preserve">  </w:t>
      </w:r>
      <w:r w:rsidRPr="00382917">
        <w:t>Shoghi</w:t>
      </w:r>
      <w:r>
        <w:t xml:space="preserve"> </w:t>
      </w:r>
      <w:r w:rsidRPr="00382917">
        <w:t>Effendi,</w:t>
      </w:r>
      <w:r>
        <w:t xml:space="preserve"> </w:t>
      </w:r>
      <w:r w:rsidRPr="001713B3">
        <w:rPr>
          <w:i/>
          <w:iCs/>
        </w:rPr>
        <w:t>God</w:t>
      </w:r>
      <w:r>
        <w:rPr>
          <w:i/>
          <w:iCs/>
        </w:rPr>
        <w:t xml:space="preserve"> </w:t>
      </w:r>
      <w:r w:rsidRPr="001713B3">
        <w:rPr>
          <w:i/>
          <w:iCs/>
        </w:rPr>
        <w:t>Passes</w:t>
      </w:r>
      <w:r>
        <w:rPr>
          <w:i/>
          <w:iCs/>
        </w:rPr>
        <w:t xml:space="preserve"> </w:t>
      </w:r>
      <w:r w:rsidRPr="001713B3">
        <w:rPr>
          <w:i/>
          <w:iCs/>
        </w:rPr>
        <w:t>By</w:t>
      </w:r>
      <w:r w:rsidRPr="00382917">
        <w:t>,</w:t>
      </w:r>
      <w:r>
        <w:t xml:space="preserve"> </w:t>
      </w:r>
      <w:r w:rsidRPr="00382917">
        <w:t>p.</w:t>
      </w:r>
      <w:r>
        <w:t xml:space="preserve"> </w:t>
      </w:r>
      <w:r w:rsidRPr="00382917">
        <w:t>74.</w:t>
      </w:r>
      <w:r>
        <w:t xml:space="preserve">  </w:t>
      </w:r>
      <w:r w:rsidRPr="00382917">
        <w:t>(2)</w:t>
      </w:r>
      <w:r>
        <w:t xml:space="preserve">  </w:t>
      </w:r>
      <w:r w:rsidRPr="00382917">
        <w:t>Nabíl,</w:t>
      </w:r>
      <w:r>
        <w:t xml:space="preserve"> </w:t>
      </w:r>
      <w:proofErr w:type="gramStart"/>
      <w:r w:rsidRPr="00382917">
        <w:rPr>
          <w:i/>
          <w:iCs/>
        </w:rPr>
        <w:t>The</w:t>
      </w:r>
      <w:proofErr w:type="gramEnd"/>
      <w:r>
        <w:rPr>
          <w:i/>
          <w:iCs/>
        </w:rPr>
        <w:t xml:space="preserve"> </w:t>
      </w:r>
      <w:r w:rsidRPr="00382917">
        <w:rPr>
          <w:i/>
          <w:iCs/>
        </w:rPr>
        <w:t>Dawn-Breakers</w:t>
      </w:r>
      <w:r w:rsidRPr="00382917">
        <w:t>,</w:t>
      </w:r>
      <w:r>
        <w:t xml:space="preserve"> </w:t>
      </w:r>
      <w:r w:rsidRPr="00382917">
        <w:t>p.</w:t>
      </w:r>
      <w:r>
        <w:t xml:space="preserve"> </w:t>
      </w:r>
      <w:r w:rsidRPr="00382917">
        <w:t>282.</w:t>
      </w:r>
    </w:p>
  </w:footnote>
  <w:footnote w:id="150">
    <w:p w:rsidR="001C15E8" w:rsidRPr="00DC1E1B" w:rsidRDefault="001C15E8">
      <w:pPr>
        <w:pStyle w:val="FootnoteText"/>
        <w:rPr>
          <w:lang w:val="en-US"/>
        </w:rPr>
      </w:pPr>
      <w:r>
        <w:rPr>
          <w:rStyle w:val="FootnoteReference"/>
        </w:rPr>
        <w:footnoteRef/>
      </w:r>
      <w:r>
        <w:tab/>
      </w:r>
      <w:r w:rsidRPr="001713B3">
        <w:rPr>
          <w:i/>
          <w:iCs/>
        </w:rPr>
        <w:t>Journal</w:t>
      </w:r>
      <w:r>
        <w:rPr>
          <w:i/>
          <w:iCs/>
        </w:rPr>
        <w:t xml:space="preserve"> </w:t>
      </w:r>
      <w:proofErr w:type="spellStart"/>
      <w:r w:rsidRPr="001713B3">
        <w:rPr>
          <w:i/>
          <w:iCs/>
        </w:rPr>
        <w:t>Asiatique</w:t>
      </w:r>
      <w:proofErr w:type="spellEnd"/>
      <w:r w:rsidRPr="00382917">
        <w:t>,</w:t>
      </w:r>
      <w:r>
        <w:t xml:space="preserve"> </w:t>
      </w:r>
      <w:r w:rsidRPr="00382917">
        <w:t>1866,</w:t>
      </w:r>
      <w:r>
        <w:t xml:space="preserve"> </w:t>
      </w:r>
      <w:r w:rsidRPr="00382917">
        <w:t>tome</w:t>
      </w:r>
      <w:r>
        <w:t xml:space="preserve"> </w:t>
      </w:r>
      <w:r w:rsidRPr="00382917">
        <w:t>7,</w:t>
      </w:r>
      <w:r>
        <w:t xml:space="preserve"> </w:t>
      </w:r>
      <w:r w:rsidRPr="00382917">
        <w:t>p.</w:t>
      </w:r>
      <w:r>
        <w:t xml:space="preserve"> </w:t>
      </w:r>
      <w:r w:rsidRPr="00382917">
        <w:t>474.</w:t>
      </w:r>
    </w:p>
  </w:footnote>
  <w:footnote w:id="151">
    <w:p w:rsidR="001C15E8" w:rsidRPr="00570E88" w:rsidRDefault="001C15E8">
      <w:pPr>
        <w:pStyle w:val="FootnoteText"/>
        <w:rPr>
          <w:lang w:val="en-US"/>
        </w:rPr>
      </w:pPr>
      <w:r>
        <w:rPr>
          <w:rStyle w:val="FootnoteReference"/>
        </w:rPr>
        <w:footnoteRef/>
      </w:r>
      <w:r>
        <w:tab/>
      </w:r>
      <w:r w:rsidRPr="00382917">
        <w:t>Nabíl,</w:t>
      </w:r>
      <w:r>
        <w:t xml:space="preserve"> </w:t>
      </w:r>
      <w:proofErr w:type="gramStart"/>
      <w:r w:rsidRPr="00382917">
        <w:rPr>
          <w:i/>
          <w:iCs/>
        </w:rPr>
        <w:t>The</w:t>
      </w:r>
      <w:proofErr w:type="gramEnd"/>
      <w:r>
        <w:rPr>
          <w:i/>
          <w:iCs/>
        </w:rPr>
        <w:t xml:space="preserve"> </w:t>
      </w:r>
      <w:r w:rsidRPr="00382917">
        <w:rPr>
          <w:i/>
          <w:iCs/>
        </w:rPr>
        <w:t>Dawn-Breakers</w:t>
      </w:r>
      <w:r w:rsidRPr="00382917">
        <w:t>,</w:t>
      </w:r>
      <w:r>
        <w:t xml:space="preserve"> </w:t>
      </w:r>
      <w:r w:rsidRPr="00382917">
        <w:t>pp.</w:t>
      </w:r>
      <w:r>
        <w:t xml:space="preserve"> </w:t>
      </w:r>
      <w:r w:rsidRPr="00382917">
        <w:t>284</w:t>
      </w:r>
      <w:r>
        <w:t>–</w:t>
      </w:r>
      <w:r w:rsidRPr="00382917">
        <w:t>285.</w:t>
      </w:r>
    </w:p>
  </w:footnote>
  <w:footnote w:id="152">
    <w:p w:rsidR="001C15E8" w:rsidRPr="00CF283F" w:rsidRDefault="001C15E8">
      <w:pPr>
        <w:pStyle w:val="FootnoteText"/>
        <w:rPr>
          <w:lang w:val="en-US"/>
        </w:rPr>
      </w:pPr>
      <w:r>
        <w:rPr>
          <w:rStyle w:val="FootnoteReference"/>
        </w:rPr>
        <w:footnoteRef/>
      </w:r>
      <w:r>
        <w:tab/>
      </w:r>
      <w:r w:rsidRPr="00382917">
        <w:t>Shoghi</w:t>
      </w:r>
      <w:r>
        <w:t xml:space="preserve"> </w:t>
      </w:r>
      <w:r w:rsidRPr="00382917">
        <w:t>Effendi,</w:t>
      </w:r>
      <w:r>
        <w:t xml:space="preserve"> </w:t>
      </w:r>
      <w:r w:rsidRPr="001713B3">
        <w:rPr>
          <w:i/>
          <w:iCs/>
        </w:rPr>
        <w:t>God</w:t>
      </w:r>
      <w:r>
        <w:rPr>
          <w:i/>
          <w:iCs/>
        </w:rPr>
        <w:t xml:space="preserve"> </w:t>
      </w:r>
      <w:r w:rsidRPr="001713B3">
        <w:rPr>
          <w:i/>
          <w:iCs/>
        </w:rPr>
        <w:t>Passes</w:t>
      </w:r>
      <w:r>
        <w:rPr>
          <w:i/>
          <w:iCs/>
        </w:rPr>
        <w:t xml:space="preserve"> </w:t>
      </w:r>
      <w:r w:rsidRPr="001713B3">
        <w:rPr>
          <w:i/>
          <w:iCs/>
        </w:rPr>
        <w:t>By</w:t>
      </w:r>
      <w:r w:rsidRPr="00382917">
        <w:t>,</w:t>
      </w:r>
      <w:r>
        <w:t xml:space="preserve"> </w:t>
      </w:r>
      <w:r w:rsidRPr="00382917">
        <w:t>pp.</w:t>
      </w:r>
      <w:r>
        <w:t xml:space="preserve"> </w:t>
      </w:r>
      <w:r w:rsidRPr="00382917">
        <w:t>32</w:t>
      </w:r>
      <w:r>
        <w:t>–</w:t>
      </w:r>
      <w:r w:rsidRPr="00382917">
        <w:t>33.</w:t>
      </w:r>
    </w:p>
  </w:footnote>
  <w:footnote w:id="153">
    <w:p w:rsidR="001C15E8" w:rsidRPr="00606B9A" w:rsidRDefault="001C15E8">
      <w:pPr>
        <w:pStyle w:val="FootnoteText"/>
        <w:rPr>
          <w:lang w:val="en-US"/>
        </w:rPr>
      </w:pPr>
      <w:r>
        <w:rPr>
          <w:rStyle w:val="FootnoteReference"/>
        </w:rPr>
        <w:footnoteRef/>
      </w:r>
      <w:r>
        <w:tab/>
      </w:r>
      <w:r w:rsidRPr="00382917">
        <w:t>Nabíl,</w:t>
      </w:r>
      <w:r>
        <w:t xml:space="preserve"> </w:t>
      </w:r>
      <w:proofErr w:type="gramStart"/>
      <w:r w:rsidRPr="00382917">
        <w:rPr>
          <w:i/>
          <w:iCs/>
        </w:rPr>
        <w:t>The</w:t>
      </w:r>
      <w:proofErr w:type="gramEnd"/>
      <w:r>
        <w:rPr>
          <w:i/>
          <w:iCs/>
        </w:rPr>
        <w:t xml:space="preserve"> </w:t>
      </w:r>
      <w:r w:rsidRPr="00382917">
        <w:rPr>
          <w:i/>
          <w:iCs/>
        </w:rPr>
        <w:t>Dawn-Breakers</w:t>
      </w:r>
      <w:r w:rsidRPr="00382917">
        <w:t>,</w:t>
      </w:r>
      <w:r>
        <w:t xml:space="preserve"> </w:t>
      </w:r>
      <w:r w:rsidRPr="00382917">
        <w:t>pp.</w:t>
      </w:r>
      <w:r>
        <w:t xml:space="preserve"> </w:t>
      </w:r>
      <w:r w:rsidRPr="00382917">
        <w:t>288</w:t>
      </w:r>
      <w:r>
        <w:t>–</w:t>
      </w:r>
      <w:r w:rsidRPr="00382917">
        <w:t>298.</w:t>
      </w:r>
    </w:p>
  </w:footnote>
  <w:footnote w:id="154">
    <w:p w:rsidR="001C15E8" w:rsidRPr="0018506C" w:rsidRDefault="001C15E8">
      <w:pPr>
        <w:pStyle w:val="FootnoteText"/>
        <w:rPr>
          <w:lang w:val="en-US"/>
        </w:rPr>
      </w:pPr>
      <w:r>
        <w:rPr>
          <w:rStyle w:val="FootnoteReference"/>
        </w:rPr>
        <w:footnoteRef/>
      </w:r>
      <w:r>
        <w:tab/>
      </w:r>
      <w:r w:rsidRPr="00382917">
        <w:t>Martha</w:t>
      </w:r>
      <w:r>
        <w:t xml:space="preserve"> </w:t>
      </w:r>
      <w:r w:rsidRPr="00382917">
        <w:t>L.</w:t>
      </w:r>
      <w:r>
        <w:t xml:space="preserve"> </w:t>
      </w:r>
      <w:r w:rsidRPr="00382917">
        <w:t>Root,</w:t>
      </w:r>
      <w:r>
        <w:t xml:space="preserve"> </w:t>
      </w:r>
      <w:r w:rsidRPr="009B4DE1">
        <w:rPr>
          <w:i/>
          <w:iCs/>
        </w:rPr>
        <w:t>Ṭáhirih</w:t>
      </w:r>
      <w:r>
        <w:rPr>
          <w:i/>
          <w:iCs/>
        </w:rPr>
        <w:t xml:space="preserve"> </w:t>
      </w:r>
      <w:r w:rsidRPr="009B4DE1">
        <w:rPr>
          <w:i/>
          <w:iCs/>
        </w:rPr>
        <w:t>the</w:t>
      </w:r>
      <w:r>
        <w:rPr>
          <w:i/>
          <w:iCs/>
        </w:rPr>
        <w:t xml:space="preserve"> </w:t>
      </w:r>
      <w:r w:rsidRPr="009B4DE1">
        <w:rPr>
          <w:i/>
          <w:iCs/>
        </w:rPr>
        <w:t>Pure</w:t>
      </w:r>
      <w:r w:rsidRPr="00382917">
        <w:t>,</w:t>
      </w:r>
      <w:r>
        <w:t xml:space="preserve"> </w:t>
      </w:r>
      <w:r w:rsidRPr="00382917">
        <w:t>pp.</w:t>
      </w:r>
      <w:r>
        <w:t xml:space="preserve"> </w:t>
      </w:r>
      <w:r w:rsidRPr="00382917">
        <w:t>62</w:t>
      </w:r>
      <w:r>
        <w:t>–</w:t>
      </w:r>
      <w:r w:rsidRPr="00382917">
        <w:t>63.</w:t>
      </w:r>
    </w:p>
  </w:footnote>
  <w:footnote w:id="155">
    <w:p w:rsidR="001C15E8" w:rsidRPr="008D411B" w:rsidRDefault="001C15E8">
      <w:pPr>
        <w:pStyle w:val="FootnoteText"/>
        <w:rPr>
          <w:lang w:val="en-US"/>
        </w:rPr>
      </w:pPr>
      <w:r>
        <w:rPr>
          <w:rStyle w:val="FootnoteReference"/>
        </w:rPr>
        <w:footnoteRef/>
      </w:r>
      <w:r>
        <w:tab/>
      </w:r>
      <w:r w:rsidRPr="00382917">
        <w:t>Sir</w:t>
      </w:r>
      <w:r>
        <w:t xml:space="preserve"> </w:t>
      </w:r>
      <w:r w:rsidRPr="00382917">
        <w:t>Francis</w:t>
      </w:r>
      <w:r>
        <w:t xml:space="preserve"> </w:t>
      </w:r>
      <w:proofErr w:type="spellStart"/>
      <w:r w:rsidRPr="00382917">
        <w:t>Younghusband</w:t>
      </w:r>
      <w:proofErr w:type="spellEnd"/>
      <w:r w:rsidRPr="00382917">
        <w:t>,</w:t>
      </w:r>
      <w:r>
        <w:t xml:space="preserve"> </w:t>
      </w:r>
      <w:proofErr w:type="gramStart"/>
      <w:r w:rsidRPr="008D411B">
        <w:rPr>
          <w:i/>
          <w:iCs/>
        </w:rPr>
        <w:t>The</w:t>
      </w:r>
      <w:proofErr w:type="gramEnd"/>
      <w:r w:rsidRPr="008D411B">
        <w:rPr>
          <w:i/>
          <w:iCs/>
        </w:rPr>
        <w:t xml:space="preserve"> Gleam</w:t>
      </w:r>
      <w:r w:rsidRPr="00382917">
        <w:t>,</w:t>
      </w:r>
      <w:r>
        <w:t xml:space="preserve"> </w:t>
      </w:r>
      <w:r w:rsidRPr="00382917">
        <w:t>pp.</w:t>
      </w:r>
      <w:r>
        <w:t xml:space="preserve"> </w:t>
      </w:r>
      <w:r w:rsidRPr="00382917">
        <w:t>202</w:t>
      </w:r>
      <w:r>
        <w:t>–</w:t>
      </w:r>
      <w:r w:rsidRPr="00382917">
        <w:t>203.</w:t>
      </w:r>
    </w:p>
  </w:footnote>
  <w:footnote w:id="156">
    <w:p w:rsidR="001C15E8" w:rsidRPr="006D79B9" w:rsidRDefault="001C15E8">
      <w:pPr>
        <w:pStyle w:val="FootnoteText"/>
        <w:rPr>
          <w:lang w:val="fr-FR"/>
        </w:rPr>
      </w:pPr>
      <w:r>
        <w:rPr>
          <w:rStyle w:val="FootnoteReference"/>
        </w:rPr>
        <w:footnoteRef/>
      </w:r>
      <w:r w:rsidRPr="006D79B9">
        <w:rPr>
          <w:lang w:val="fr-FR"/>
        </w:rPr>
        <w:tab/>
      </w:r>
      <w:r w:rsidRPr="00030BA2">
        <w:rPr>
          <w:lang w:val="fr-FR"/>
        </w:rPr>
        <w:t>Comte</w:t>
      </w:r>
      <w:r>
        <w:rPr>
          <w:lang w:val="fr-FR"/>
        </w:rPr>
        <w:t xml:space="preserve"> </w:t>
      </w:r>
      <w:r w:rsidRPr="00030BA2">
        <w:rPr>
          <w:lang w:val="fr-FR"/>
        </w:rPr>
        <w:t>de</w:t>
      </w:r>
      <w:r>
        <w:rPr>
          <w:lang w:val="fr-FR"/>
        </w:rPr>
        <w:t xml:space="preserve"> </w:t>
      </w:r>
      <w:r w:rsidRPr="00030BA2">
        <w:rPr>
          <w:lang w:val="fr-FR"/>
        </w:rPr>
        <w:t>Gobineau,</w:t>
      </w:r>
      <w:r>
        <w:rPr>
          <w:lang w:val="fr-FR"/>
        </w:rPr>
        <w:t xml:space="preserve"> </w:t>
      </w:r>
      <w:r w:rsidRPr="0005037B">
        <w:rPr>
          <w:i/>
          <w:iCs/>
          <w:lang w:val="fr-FR"/>
        </w:rPr>
        <w:t>Les Religions et les Philosophies dans l’Asie Centrale</w:t>
      </w:r>
      <w:r w:rsidRPr="00030BA2">
        <w:rPr>
          <w:lang w:val="fr-FR"/>
        </w:rPr>
        <w:t>,</w:t>
      </w:r>
      <w:r>
        <w:rPr>
          <w:lang w:val="fr-FR"/>
        </w:rPr>
        <w:t xml:space="preserve"> </w:t>
      </w:r>
      <w:r w:rsidRPr="00030BA2">
        <w:rPr>
          <w:lang w:val="fr-FR"/>
        </w:rPr>
        <w:t>p.</w:t>
      </w:r>
      <w:r>
        <w:rPr>
          <w:lang w:val="fr-FR"/>
        </w:rPr>
        <w:t xml:space="preserve"> </w:t>
      </w:r>
      <w:r w:rsidRPr="00030BA2">
        <w:rPr>
          <w:lang w:val="fr-FR"/>
        </w:rPr>
        <w:t>150.</w:t>
      </w:r>
    </w:p>
  </w:footnote>
  <w:footnote w:id="157">
    <w:p w:rsidR="001C15E8" w:rsidRPr="0081609D" w:rsidRDefault="001C15E8">
      <w:pPr>
        <w:pStyle w:val="FootnoteText"/>
        <w:rPr>
          <w:lang w:val="fr-FR"/>
        </w:rPr>
      </w:pPr>
      <w:r>
        <w:rPr>
          <w:rStyle w:val="FootnoteReference"/>
        </w:rPr>
        <w:footnoteRef/>
      </w:r>
      <w:r w:rsidRPr="0081609D">
        <w:rPr>
          <w:lang w:val="fr-FR"/>
        </w:rPr>
        <w:tab/>
        <w:t xml:space="preserve">A. L. M. Nicolas, </w:t>
      </w:r>
      <w:r w:rsidRPr="0081609D">
        <w:rPr>
          <w:i/>
          <w:iCs/>
          <w:lang w:val="fr-FR"/>
        </w:rPr>
        <w:t>Siyyid ‘Alí-Muḥammad dit le Báb</w:t>
      </w:r>
      <w:r w:rsidRPr="0081609D">
        <w:rPr>
          <w:lang w:val="fr-FR"/>
        </w:rPr>
        <w:t>, pp. 446–447.</w:t>
      </w:r>
    </w:p>
  </w:footnote>
  <w:footnote w:id="158">
    <w:p w:rsidR="001C15E8" w:rsidRPr="0081609D" w:rsidRDefault="001C15E8">
      <w:pPr>
        <w:pStyle w:val="FootnoteText"/>
        <w:rPr>
          <w:lang w:val="en-US"/>
        </w:rPr>
      </w:pPr>
      <w:r>
        <w:rPr>
          <w:rStyle w:val="FootnoteReference"/>
        </w:rPr>
        <w:footnoteRef/>
      </w:r>
      <w:r>
        <w:tab/>
      </w:r>
      <w:r w:rsidRPr="00382917">
        <w:t>Nabíl,</w:t>
      </w:r>
      <w:r>
        <w:t xml:space="preserve"> </w:t>
      </w:r>
      <w:proofErr w:type="gramStart"/>
      <w:r w:rsidRPr="00382917">
        <w:rPr>
          <w:i/>
          <w:iCs/>
        </w:rPr>
        <w:t>The</w:t>
      </w:r>
      <w:proofErr w:type="gramEnd"/>
      <w:r>
        <w:rPr>
          <w:i/>
          <w:iCs/>
        </w:rPr>
        <w:t xml:space="preserve"> </w:t>
      </w:r>
      <w:r w:rsidRPr="00382917">
        <w:rPr>
          <w:i/>
          <w:iCs/>
        </w:rPr>
        <w:t>Dawn-Breakers</w:t>
      </w:r>
      <w:r w:rsidRPr="00382917">
        <w:t>,</w:t>
      </w:r>
      <w:r>
        <w:t xml:space="preserve"> </w:t>
      </w:r>
      <w:r w:rsidRPr="00382917">
        <w:t>pp.</w:t>
      </w:r>
      <w:r>
        <w:t xml:space="preserve"> </w:t>
      </w:r>
      <w:r w:rsidRPr="00382917">
        <w:t>621</w:t>
      </w:r>
      <w:r>
        <w:t>–</w:t>
      </w:r>
      <w:r w:rsidRPr="00382917">
        <w:t>629.</w:t>
      </w:r>
    </w:p>
  </w:footnote>
  <w:footnote w:id="159">
    <w:p w:rsidR="001C15E8" w:rsidRPr="008B2D55" w:rsidRDefault="001C15E8">
      <w:pPr>
        <w:pStyle w:val="FootnoteText"/>
        <w:rPr>
          <w:lang w:val="en-US"/>
        </w:rPr>
      </w:pPr>
      <w:r>
        <w:rPr>
          <w:rStyle w:val="FootnoteReference"/>
        </w:rPr>
        <w:footnoteRef/>
      </w:r>
      <w:r>
        <w:tab/>
      </w:r>
      <w:r w:rsidRPr="00382917">
        <w:t>Martha</w:t>
      </w:r>
      <w:r>
        <w:t xml:space="preserve"> </w:t>
      </w:r>
      <w:r w:rsidRPr="00382917">
        <w:t>L.</w:t>
      </w:r>
      <w:r>
        <w:t xml:space="preserve"> </w:t>
      </w:r>
      <w:r w:rsidRPr="00382917">
        <w:t>Root,</w:t>
      </w:r>
      <w:r>
        <w:t xml:space="preserve"> </w:t>
      </w:r>
      <w:r w:rsidRPr="009B4DE1">
        <w:rPr>
          <w:i/>
          <w:iCs/>
        </w:rPr>
        <w:t>Ṭáhirih</w:t>
      </w:r>
      <w:r>
        <w:rPr>
          <w:i/>
          <w:iCs/>
        </w:rPr>
        <w:t xml:space="preserve"> </w:t>
      </w:r>
      <w:r w:rsidRPr="009B4DE1">
        <w:rPr>
          <w:i/>
          <w:iCs/>
        </w:rPr>
        <w:t>the</w:t>
      </w:r>
      <w:r>
        <w:rPr>
          <w:i/>
          <w:iCs/>
        </w:rPr>
        <w:t xml:space="preserve"> </w:t>
      </w:r>
      <w:r w:rsidRPr="009B4DE1">
        <w:rPr>
          <w:i/>
          <w:iCs/>
        </w:rPr>
        <w:t>Pure</w:t>
      </w:r>
      <w:r w:rsidRPr="00382917">
        <w:t>,</w:t>
      </w:r>
      <w:r>
        <w:t xml:space="preserve"> </w:t>
      </w:r>
      <w:r w:rsidRPr="00382917">
        <w:t>pp.</w:t>
      </w:r>
      <w:r>
        <w:t xml:space="preserve"> </w:t>
      </w:r>
      <w:r w:rsidRPr="00382917">
        <w:t>68</w:t>
      </w:r>
      <w:r>
        <w:t>–</w:t>
      </w:r>
      <w:r w:rsidRPr="00382917">
        <w:t>69.</w:t>
      </w:r>
    </w:p>
  </w:footnote>
  <w:footnote w:id="160">
    <w:p w:rsidR="001C15E8" w:rsidRPr="00650D36" w:rsidRDefault="001C15E8">
      <w:pPr>
        <w:pStyle w:val="FootnoteText"/>
        <w:rPr>
          <w:lang w:val="en-US"/>
        </w:rPr>
      </w:pPr>
      <w:r>
        <w:rPr>
          <w:rStyle w:val="FootnoteReference"/>
        </w:rPr>
        <w:footnoteRef/>
      </w:r>
      <w:r>
        <w:tab/>
      </w:r>
      <w:r w:rsidRPr="00382917">
        <w:t>Shoghi</w:t>
      </w:r>
      <w:r>
        <w:t xml:space="preserve"> </w:t>
      </w:r>
      <w:r w:rsidRPr="00382917">
        <w:t>Effendi,</w:t>
      </w:r>
      <w:r>
        <w:t xml:space="preserve"> </w:t>
      </w:r>
      <w:r w:rsidRPr="001713B3">
        <w:rPr>
          <w:i/>
          <w:iCs/>
        </w:rPr>
        <w:t>God</w:t>
      </w:r>
      <w:r>
        <w:rPr>
          <w:i/>
          <w:iCs/>
        </w:rPr>
        <w:t xml:space="preserve"> </w:t>
      </w:r>
      <w:r w:rsidRPr="001713B3">
        <w:rPr>
          <w:i/>
          <w:iCs/>
        </w:rPr>
        <w:t>Passes</w:t>
      </w:r>
      <w:r>
        <w:rPr>
          <w:i/>
          <w:iCs/>
        </w:rPr>
        <w:t xml:space="preserve"> </w:t>
      </w:r>
      <w:r w:rsidRPr="001713B3">
        <w:rPr>
          <w:i/>
          <w:iCs/>
        </w:rPr>
        <w:t>By</w:t>
      </w:r>
      <w:r w:rsidRPr="00382917">
        <w:t>,</w:t>
      </w:r>
      <w:r>
        <w:t xml:space="preserve"> </w:t>
      </w:r>
      <w:r w:rsidRPr="00382917">
        <w:t>p.</w:t>
      </w:r>
      <w:r>
        <w:t xml:space="preserve"> </w:t>
      </w:r>
      <w:r w:rsidRPr="00382917">
        <w:t>75.</w:t>
      </w:r>
    </w:p>
  </w:footnote>
  <w:footnote w:id="161">
    <w:p w:rsidR="001C15E8" w:rsidRPr="003907E4" w:rsidRDefault="001C15E8">
      <w:pPr>
        <w:pStyle w:val="FootnoteText"/>
        <w:rPr>
          <w:lang w:val="en-US"/>
        </w:rPr>
      </w:pPr>
      <w:r>
        <w:rPr>
          <w:rStyle w:val="FootnoteReference"/>
        </w:rPr>
        <w:footnoteRef/>
      </w:r>
      <w:r>
        <w:tab/>
      </w:r>
      <w:r w:rsidRPr="00382917">
        <w:t>Lord</w:t>
      </w:r>
      <w:r>
        <w:t xml:space="preserve"> </w:t>
      </w:r>
      <w:r w:rsidRPr="00382917">
        <w:t>Curzon,</w:t>
      </w:r>
      <w:r>
        <w:t xml:space="preserve"> </w:t>
      </w:r>
      <w:r w:rsidRPr="003907E4">
        <w:rPr>
          <w:i/>
          <w:iCs/>
        </w:rPr>
        <w:t>Persia and the Persian Question</w:t>
      </w:r>
      <w:r w:rsidRPr="00382917">
        <w:t>,</w:t>
      </w:r>
      <w:r>
        <w:t xml:space="preserve"> </w:t>
      </w:r>
      <w:r w:rsidRPr="00382917">
        <w:t>vol</w:t>
      </w:r>
      <w:proofErr w:type="gramStart"/>
      <w:r w:rsidRPr="00382917">
        <w:t>.</w:t>
      </w:r>
      <w:r>
        <w:t xml:space="preserve"> </w:t>
      </w:r>
      <w:proofErr w:type="gramEnd"/>
      <w:r w:rsidRPr="00382917">
        <w:t>I,</w:t>
      </w:r>
      <w:r>
        <w:t xml:space="preserve"> </w:t>
      </w:r>
      <w:r w:rsidRPr="00382917">
        <w:t>p.</w:t>
      </w:r>
      <w:r>
        <w:t xml:space="preserve"> </w:t>
      </w:r>
      <w:r w:rsidRPr="00382917">
        <w:t>501.</w:t>
      </w:r>
    </w:p>
  </w:footnote>
  <w:footnote w:id="162">
    <w:p w:rsidR="001C15E8" w:rsidRPr="00B812EA" w:rsidRDefault="001C15E8">
      <w:pPr>
        <w:pStyle w:val="FootnoteText"/>
        <w:rPr>
          <w:lang w:val="en-US"/>
        </w:rPr>
      </w:pPr>
      <w:r>
        <w:rPr>
          <w:rStyle w:val="FootnoteReference"/>
        </w:rPr>
        <w:footnoteRef/>
      </w:r>
      <w:r>
        <w:tab/>
      </w:r>
      <w:r w:rsidRPr="00382917">
        <w:t>Shoghi</w:t>
      </w:r>
      <w:r>
        <w:t xml:space="preserve"> </w:t>
      </w:r>
      <w:r w:rsidRPr="00382917">
        <w:t>Effendi,</w:t>
      </w:r>
      <w:r>
        <w:t xml:space="preserve"> </w:t>
      </w:r>
      <w:r w:rsidRPr="001713B3">
        <w:rPr>
          <w:i/>
          <w:iCs/>
        </w:rPr>
        <w:t>God</w:t>
      </w:r>
      <w:r>
        <w:rPr>
          <w:i/>
          <w:iCs/>
        </w:rPr>
        <w:t xml:space="preserve"> </w:t>
      </w:r>
      <w:r w:rsidRPr="001713B3">
        <w:rPr>
          <w:i/>
          <w:iCs/>
        </w:rPr>
        <w:t>Passes</w:t>
      </w:r>
      <w:r>
        <w:rPr>
          <w:i/>
          <w:iCs/>
        </w:rPr>
        <w:t xml:space="preserve"> </w:t>
      </w:r>
      <w:r w:rsidRPr="001713B3">
        <w:rPr>
          <w:i/>
          <w:iCs/>
        </w:rPr>
        <w:t>By</w:t>
      </w:r>
      <w:r w:rsidRPr="00382917">
        <w:t>,</w:t>
      </w:r>
      <w:r>
        <w:t xml:space="preserve"> </w:t>
      </w:r>
      <w:r w:rsidRPr="00382917">
        <w:t>p.</w:t>
      </w:r>
      <w:r>
        <w:t xml:space="preserve"> </w:t>
      </w:r>
      <w:r w:rsidRPr="00382917">
        <w:t>76.</w:t>
      </w:r>
    </w:p>
  </w:footnote>
  <w:footnote w:id="163">
    <w:p w:rsidR="001C15E8" w:rsidRPr="00CF18B5" w:rsidRDefault="001C15E8">
      <w:pPr>
        <w:pStyle w:val="FootnoteText"/>
        <w:rPr>
          <w:lang w:val="en-US"/>
        </w:rPr>
      </w:pPr>
      <w:r>
        <w:rPr>
          <w:rStyle w:val="FootnoteReference"/>
        </w:rPr>
        <w:footnoteRef/>
      </w:r>
      <w:r>
        <w:tab/>
        <w:t xml:space="preserve">Dr </w:t>
      </w:r>
      <w:r w:rsidRPr="00382917">
        <w:t>T.</w:t>
      </w:r>
      <w:r>
        <w:t xml:space="preserve"> </w:t>
      </w:r>
      <w:r w:rsidRPr="00382917">
        <w:t>K.</w:t>
      </w:r>
      <w:r>
        <w:t xml:space="preserve"> </w:t>
      </w:r>
      <w:r w:rsidRPr="00382917">
        <w:t>Cheyne,</w:t>
      </w:r>
      <w:r>
        <w:t xml:space="preserve"> </w:t>
      </w:r>
      <w:proofErr w:type="gramStart"/>
      <w:r w:rsidRPr="001713B3">
        <w:rPr>
          <w:i/>
          <w:iCs/>
        </w:rPr>
        <w:t>The</w:t>
      </w:r>
      <w:proofErr w:type="gramEnd"/>
      <w:r>
        <w:rPr>
          <w:i/>
          <w:iCs/>
        </w:rPr>
        <w:t xml:space="preserve"> </w:t>
      </w:r>
      <w:r w:rsidRPr="001713B3">
        <w:rPr>
          <w:i/>
          <w:iCs/>
        </w:rPr>
        <w:t>Reconciliation</w:t>
      </w:r>
      <w:r>
        <w:rPr>
          <w:i/>
          <w:iCs/>
        </w:rPr>
        <w:t xml:space="preserve"> </w:t>
      </w:r>
      <w:r w:rsidRPr="001713B3">
        <w:rPr>
          <w:i/>
          <w:iCs/>
        </w:rPr>
        <w:t>of</w:t>
      </w:r>
      <w:r>
        <w:rPr>
          <w:i/>
          <w:iCs/>
        </w:rPr>
        <w:t xml:space="preserve"> </w:t>
      </w:r>
      <w:r w:rsidRPr="001713B3">
        <w:rPr>
          <w:i/>
          <w:iCs/>
        </w:rPr>
        <w:t>Races</w:t>
      </w:r>
      <w:r>
        <w:rPr>
          <w:i/>
          <w:iCs/>
        </w:rPr>
        <w:t xml:space="preserve"> </w:t>
      </w:r>
      <w:r w:rsidRPr="001713B3">
        <w:rPr>
          <w:i/>
          <w:iCs/>
        </w:rPr>
        <w:t>and</w:t>
      </w:r>
      <w:r>
        <w:rPr>
          <w:i/>
          <w:iCs/>
        </w:rPr>
        <w:t xml:space="preserve"> </w:t>
      </w:r>
      <w:r w:rsidRPr="001713B3">
        <w:rPr>
          <w:i/>
          <w:iCs/>
        </w:rPr>
        <w:t>Religions</w:t>
      </w:r>
      <w:r w:rsidRPr="00382917">
        <w:t>,</w:t>
      </w:r>
      <w:r>
        <w:t xml:space="preserve"> </w:t>
      </w:r>
      <w:r w:rsidRPr="00382917">
        <w:t>pp.</w:t>
      </w:r>
      <w:r>
        <w:t xml:space="preserve"> </w:t>
      </w:r>
      <w:r w:rsidRPr="00382917">
        <w:t>114</w:t>
      </w:r>
      <w:r>
        <w:t>–</w:t>
      </w:r>
      <w:r w:rsidRPr="00382917">
        <w:t>115.</w:t>
      </w:r>
    </w:p>
  </w:footnote>
  <w:footnote w:id="164">
    <w:p w:rsidR="001C15E8" w:rsidRPr="005534DF" w:rsidRDefault="001C15E8">
      <w:pPr>
        <w:pStyle w:val="FootnoteText"/>
        <w:rPr>
          <w:lang w:val="en-US"/>
        </w:rPr>
      </w:pPr>
      <w:r>
        <w:rPr>
          <w:rStyle w:val="FootnoteReference"/>
        </w:rPr>
        <w:footnoteRef/>
      </w:r>
      <w:r>
        <w:tab/>
      </w:r>
      <w:r w:rsidRPr="00382917">
        <w:t>Nabíl,</w:t>
      </w:r>
      <w:r>
        <w:t xml:space="preserve"> </w:t>
      </w:r>
      <w:r w:rsidRPr="00382917">
        <w:rPr>
          <w:i/>
          <w:iCs/>
        </w:rPr>
        <w:t>The</w:t>
      </w:r>
      <w:r>
        <w:rPr>
          <w:i/>
          <w:iCs/>
        </w:rPr>
        <w:t xml:space="preserve"> </w:t>
      </w:r>
      <w:r w:rsidRPr="00382917">
        <w:rPr>
          <w:i/>
          <w:iCs/>
        </w:rPr>
        <w:t>Dawn-Breakers</w:t>
      </w:r>
      <w:r w:rsidRPr="00382917">
        <w:t>,</w:t>
      </w:r>
      <w:r>
        <w:t xml:space="preserve"> </w:t>
      </w:r>
      <w:r w:rsidRPr="00382917">
        <w:t>p.</w:t>
      </w:r>
      <w:r>
        <w:t xml:space="preserve"> </w:t>
      </w:r>
      <w:r w:rsidRPr="00382917">
        <w:t>285,</w:t>
      </w:r>
      <w:r>
        <w:t xml:space="preserve"> </w:t>
      </w:r>
      <w:r w:rsidRPr="00382917">
        <w:t>footnote</w:t>
      </w:r>
      <w:r>
        <w:t xml:space="preserve"> </w:t>
      </w:r>
      <w:r w:rsidRPr="00382917">
        <w:t>2,</w:t>
      </w:r>
      <w:r>
        <w:t xml:space="preserve"> </w:t>
      </w:r>
      <w:r w:rsidRPr="00382917">
        <w:t>(</w:t>
      </w:r>
      <w:r w:rsidRPr="005534DF">
        <w:rPr>
          <w:i/>
          <w:iCs/>
        </w:rPr>
        <w:t>Memorials of the Faithful</w:t>
      </w:r>
      <w:r w:rsidRPr="00382917">
        <w:t>,</w:t>
      </w:r>
      <w:r>
        <w:t xml:space="preserve"> </w:t>
      </w:r>
      <w:r w:rsidRPr="00382917">
        <w:t>p.</w:t>
      </w:r>
      <w:r>
        <w:t xml:space="preserve"> </w:t>
      </w:r>
      <w:r w:rsidRPr="00382917">
        <w:t>306).</w:t>
      </w:r>
    </w:p>
  </w:footnote>
  <w:footnote w:id="165">
    <w:p w:rsidR="001C15E8" w:rsidRPr="008B74CC" w:rsidRDefault="001C15E8" w:rsidP="00082FC4">
      <w:pPr>
        <w:pStyle w:val="FootnoteText"/>
        <w:rPr>
          <w:lang w:val="en-US"/>
        </w:rPr>
      </w:pPr>
      <w:r>
        <w:rPr>
          <w:rStyle w:val="FootnoteReference"/>
        </w:rPr>
        <w:footnoteRef/>
      </w:r>
      <w:r>
        <w:tab/>
      </w:r>
      <w:r w:rsidRPr="00382917">
        <w:t>Martha</w:t>
      </w:r>
      <w:r>
        <w:t xml:space="preserve"> </w:t>
      </w:r>
      <w:r w:rsidRPr="00382917">
        <w:t>L.</w:t>
      </w:r>
      <w:r>
        <w:t xml:space="preserve"> </w:t>
      </w:r>
      <w:r w:rsidRPr="00382917">
        <w:t>Root,</w:t>
      </w:r>
      <w:r>
        <w:t xml:space="preserve"> </w:t>
      </w:r>
      <w:r w:rsidRPr="00082FC4">
        <w:rPr>
          <w:i/>
        </w:rPr>
        <w:t>Ṭ</w:t>
      </w:r>
      <w:r w:rsidRPr="008B74CC">
        <w:rPr>
          <w:i/>
          <w:iCs/>
        </w:rPr>
        <w:t>áhirih the Pure</w:t>
      </w:r>
      <w:r w:rsidRPr="00382917">
        <w:t>,</w:t>
      </w:r>
      <w:r>
        <w:t xml:space="preserve"> </w:t>
      </w:r>
      <w:r w:rsidRPr="00382917">
        <w:t>p.</w:t>
      </w:r>
      <w:r>
        <w:t xml:space="preserve"> </w:t>
      </w:r>
      <w:r w:rsidRPr="00382917">
        <w:t>77,</w:t>
      </w:r>
      <w:r>
        <w:t xml:space="preserve"> </w:t>
      </w:r>
      <w:proofErr w:type="gramStart"/>
      <w:r w:rsidRPr="00382917">
        <w:t>footnote</w:t>
      </w:r>
      <w:proofErr w:type="gramEnd"/>
      <w:r>
        <w:t xml:space="preserve"> </w:t>
      </w:r>
      <w:r w:rsidRPr="00382917">
        <w:t>1.</w:t>
      </w:r>
    </w:p>
  </w:footnote>
  <w:footnote w:id="166">
    <w:p w:rsidR="001C15E8" w:rsidRPr="00082FC4" w:rsidRDefault="001C15E8">
      <w:pPr>
        <w:pStyle w:val="FootnoteText"/>
        <w:rPr>
          <w:lang w:val="en-US"/>
        </w:rPr>
      </w:pPr>
      <w:r>
        <w:rPr>
          <w:rStyle w:val="FootnoteReference"/>
        </w:rPr>
        <w:footnoteRef/>
      </w:r>
      <w:r>
        <w:tab/>
      </w:r>
      <w:r w:rsidRPr="009C18CA">
        <w:rPr>
          <w:i/>
          <w:iCs/>
        </w:rPr>
        <w:t>The</w:t>
      </w:r>
      <w:r>
        <w:rPr>
          <w:i/>
          <w:iCs/>
        </w:rPr>
        <w:t xml:space="preserve"> </w:t>
      </w:r>
      <w:r w:rsidRPr="009C18CA">
        <w:rPr>
          <w:i/>
          <w:iCs/>
        </w:rPr>
        <w:t>Tárí</w:t>
      </w:r>
      <w:r w:rsidRPr="009C18CA">
        <w:rPr>
          <w:i/>
          <w:iCs/>
          <w:u w:val="single"/>
        </w:rPr>
        <w:t>kh</w:t>
      </w:r>
      <w:r w:rsidRPr="009C18CA">
        <w:rPr>
          <w:i/>
          <w:iCs/>
        </w:rPr>
        <w:t>-i-Jadíd</w:t>
      </w:r>
      <w:r w:rsidRPr="00382917">
        <w:t>,</w:t>
      </w:r>
      <w:r>
        <w:t xml:space="preserve"> </w:t>
      </w:r>
      <w:r w:rsidRPr="00382917">
        <w:t>p.</w:t>
      </w:r>
      <w:r>
        <w:t xml:space="preserve"> </w:t>
      </w:r>
      <w:r w:rsidRPr="00382917">
        <w:t>115.</w:t>
      </w:r>
    </w:p>
  </w:footnote>
  <w:footnote w:id="167">
    <w:p w:rsidR="001C15E8" w:rsidRPr="00CF077E" w:rsidRDefault="001C15E8">
      <w:pPr>
        <w:pStyle w:val="FootnoteText"/>
        <w:rPr>
          <w:lang w:val="es-ES"/>
        </w:rPr>
      </w:pPr>
      <w:r>
        <w:rPr>
          <w:rStyle w:val="FootnoteReference"/>
        </w:rPr>
        <w:footnoteRef/>
      </w:r>
      <w:r w:rsidRPr="00CF077E">
        <w:rPr>
          <w:lang w:val="es-ES"/>
        </w:rPr>
        <w:tab/>
      </w:r>
      <w:r w:rsidRPr="00030BA2">
        <w:rPr>
          <w:lang w:val="es-ES"/>
        </w:rPr>
        <w:t>A.</w:t>
      </w:r>
      <w:r>
        <w:rPr>
          <w:lang w:val="es-ES"/>
        </w:rPr>
        <w:t xml:space="preserve"> </w:t>
      </w:r>
      <w:r w:rsidRPr="00030BA2">
        <w:rPr>
          <w:lang w:val="es-ES"/>
        </w:rPr>
        <w:t>L.</w:t>
      </w:r>
      <w:r>
        <w:rPr>
          <w:lang w:val="es-ES"/>
        </w:rPr>
        <w:t xml:space="preserve"> </w:t>
      </w:r>
      <w:r w:rsidRPr="00030BA2">
        <w:rPr>
          <w:lang w:val="es-ES"/>
        </w:rPr>
        <w:t>M.</w:t>
      </w:r>
      <w:r>
        <w:rPr>
          <w:lang w:val="es-ES"/>
        </w:rPr>
        <w:t xml:space="preserve"> </w:t>
      </w:r>
      <w:proofErr w:type="spellStart"/>
      <w:r w:rsidRPr="00030BA2">
        <w:rPr>
          <w:lang w:val="es-ES"/>
        </w:rPr>
        <w:t>Nicolas</w:t>
      </w:r>
      <w:proofErr w:type="spellEnd"/>
      <w:r w:rsidRPr="00030BA2">
        <w:rPr>
          <w:lang w:val="es-ES"/>
        </w:rPr>
        <w:t>,</w:t>
      </w:r>
      <w:r>
        <w:rPr>
          <w:lang w:val="es-ES"/>
        </w:rPr>
        <w:t xml:space="preserve"> </w:t>
      </w:r>
      <w:r w:rsidRPr="001713B3">
        <w:rPr>
          <w:i/>
          <w:iCs/>
          <w:lang w:val="es-ES"/>
        </w:rPr>
        <w:t>Siyyid</w:t>
      </w:r>
      <w:r>
        <w:rPr>
          <w:i/>
          <w:iCs/>
          <w:lang w:val="es-ES"/>
        </w:rPr>
        <w:t xml:space="preserve"> </w:t>
      </w:r>
      <w:r w:rsidRPr="001713B3">
        <w:rPr>
          <w:i/>
          <w:iCs/>
          <w:lang w:val="es-ES"/>
        </w:rPr>
        <w:t>‘Alí-Muḥammad</w:t>
      </w:r>
      <w:r>
        <w:rPr>
          <w:i/>
          <w:iCs/>
          <w:lang w:val="es-ES"/>
        </w:rPr>
        <w:t xml:space="preserve"> </w:t>
      </w:r>
      <w:proofErr w:type="spellStart"/>
      <w:r w:rsidRPr="001713B3">
        <w:rPr>
          <w:i/>
          <w:iCs/>
          <w:lang w:val="es-ES"/>
        </w:rPr>
        <w:t>dit</w:t>
      </w:r>
      <w:proofErr w:type="spellEnd"/>
      <w:r>
        <w:rPr>
          <w:i/>
          <w:iCs/>
          <w:lang w:val="es-ES"/>
        </w:rPr>
        <w:t xml:space="preserve"> </w:t>
      </w:r>
      <w:r w:rsidRPr="001713B3">
        <w:rPr>
          <w:i/>
          <w:iCs/>
          <w:lang w:val="es-ES"/>
        </w:rPr>
        <w:t>le</w:t>
      </w:r>
      <w:r>
        <w:rPr>
          <w:i/>
          <w:iCs/>
          <w:lang w:val="es-ES"/>
        </w:rPr>
        <w:t xml:space="preserve"> </w:t>
      </w:r>
      <w:r w:rsidRPr="001713B3">
        <w:rPr>
          <w:i/>
          <w:iCs/>
          <w:lang w:val="es-ES"/>
        </w:rPr>
        <w:t>Báb</w:t>
      </w:r>
      <w:r w:rsidRPr="00030BA2">
        <w:rPr>
          <w:lang w:val="es-ES"/>
        </w:rPr>
        <w:t>,</w:t>
      </w:r>
      <w:r>
        <w:rPr>
          <w:lang w:val="es-ES"/>
        </w:rPr>
        <w:t xml:space="preserve"> </w:t>
      </w:r>
      <w:r w:rsidRPr="00030BA2">
        <w:rPr>
          <w:lang w:val="es-ES"/>
        </w:rPr>
        <w:t>p.</w:t>
      </w:r>
      <w:r>
        <w:rPr>
          <w:lang w:val="es-ES"/>
        </w:rPr>
        <w:t xml:space="preserve"> </w:t>
      </w:r>
      <w:r w:rsidRPr="00030BA2">
        <w:rPr>
          <w:lang w:val="es-ES"/>
        </w:rPr>
        <w:t>390.</w:t>
      </w:r>
    </w:p>
  </w:footnote>
  <w:footnote w:id="168">
    <w:p w:rsidR="001C15E8" w:rsidRPr="00CF077E" w:rsidRDefault="001C15E8">
      <w:pPr>
        <w:pStyle w:val="FootnoteText"/>
        <w:rPr>
          <w:lang w:val="en-US"/>
        </w:rPr>
      </w:pPr>
      <w:r>
        <w:rPr>
          <w:rStyle w:val="FootnoteReference"/>
        </w:rPr>
        <w:footnoteRef/>
      </w:r>
      <w:r>
        <w:tab/>
      </w:r>
      <w:r w:rsidRPr="00382917">
        <w:t>Nabíl,</w:t>
      </w:r>
      <w:r>
        <w:t xml:space="preserve"> </w:t>
      </w:r>
      <w:proofErr w:type="gramStart"/>
      <w:r w:rsidRPr="00382917">
        <w:rPr>
          <w:i/>
          <w:iCs/>
        </w:rPr>
        <w:t>The</w:t>
      </w:r>
      <w:proofErr w:type="gramEnd"/>
      <w:r>
        <w:rPr>
          <w:i/>
          <w:iCs/>
        </w:rPr>
        <w:t xml:space="preserve"> </w:t>
      </w:r>
      <w:r w:rsidRPr="00382917">
        <w:rPr>
          <w:i/>
          <w:iCs/>
        </w:rPr>
        <w:t>Dawn-Breakers</w:t>
      </w:r>
      <w:r w:rsidRPr="00382917">
        <w:t>,</w:t>
      </w:r>
      <w:r>
        <w:t xml:space="preserve"> </w:t>
      </w:r>
      <w:r w:rsidRPr="00382917">
        <w:t>pp.</w:t>
      </w:r>
      <w:r>
        <w:t xml:space="preserve"> </w:t>
      </w:r>
      <w:r w:rsidRPr="00382917">
        <w:t>465</w:t>
      </w:r>
      <w:r>
        <w:t>–</w:t>
      </w:r>
      <w:r w:rsidRPr="00382917">
        <w:t>475.</w:t>
      </w:r>
    </w:p>
  </w:footnote>
  <w:footnote w:id="169">
    <w:p w:rsidR="001C15E8" w:rsidRPr="005E05DA" w:rsidRDefault="001C15E8">
      <w:pPr>
        <w:pStyle w:val="FootnoteText"/>
        <w:rPr>
          <w:lang w:val="en-US"/>
        </w:rPr>
      </w:pPr>
      <w:r>
        <w:rPr>
          <w:rStyle w:val="FootnoteReference"/>
        </w:rPr>
        <w:footnoteRef/>
      </w:r>
      <w:r>
        <w:tab/>
      </w:r>
      <w:r w:rsidRPr="00382917">
        <w:t>A.</w:t>
      </w:r>
      <w:r>
        <w:t xml:space="preserve"> </w:t>
      </w:r>
      <w:r w:rsidRPr="00382917">
        <w:t>L.</w:t>
      </w:r>
      <w:r>
        <w:t xml:space="preserve"> </w:t>
      </w:r>
      <w:r w:rsidRPr="00382917">
        <w:t>M.</w:t>
      </w:r>
      <w:r>
        <w:t xml:space="preserve"> </w:t>
      </w:r>
      <w:r w:rsidRPr="00382917">
        <w:t>Nicolas,</w:t>
      </w:r>
      <w:r>
        <w:t xml:space="preserve"> </w:t>
      </w:r>
      <w:r w:rsidRPr="009C18CA">
        <w:rPr>
          <w:i/>
          <w:iCs/>
        </w:rPr>
        <w:t>Siyyid</w:t>
      </w:r>
      <w:r>
        <w:rPr>
          <w:i/>
          <w:iCs/>
        </w:rPr>
        <w:t xml:space="preserve"> </w:t>
      </w:r>
      <w:r w:rsidRPr="009C18CA">
        <w:rPr>
          <w:i/>
          <w:iCs/>
        </w:rPr>
        <w:t>‘All-Muhammad</w:t>
      </w:r>
      <w:r>
        <w:rPr>
          <w:i/>
          <w:iCs/>
        </w:rPr>
        <w:t xml:space="preserve"> </w:t>
      </w:r>
      <w:proofErr w:type="spellStart"/>
      <w:r w:rsidRPr="009C18CA">
        <w:rPr>
          <w:i/>
          <w:iCs/>
        </w:rPr>
        <w:t>dit</w:t>
      </w:r>
      <w:proofErr w:type="spellEnd"/>
      <w:r>
        <w:rPr>
          <w:i/>
          <w:iCs/>
        </w:rPr>
        <w:t xml:space="preserve"> </w:t>
      </w:r>
      <w:r w:rsidRPr="009C18CA">
        <w:rPr>
          <w:i/>
          <w:iCs/>
        </w:rPr>
        <w:t>le</w:t>
      </w:r>
      <w:r>
        <w:rPr>
          <w:i/>
          <w:iCs/>
        </w:rPr>
        <w:t xml:space="preserve"> </w:t>
      </w:r>
      <w:r w:rsidRPr="009C18CA">
        <w:rPr>
          <w:i/>
          <w:iCs/>
        </w:rPr>
        <w:t>Báb</w:t>
      </w:r>
      <w:r w:rsidRPr="00382917">
        <w:t>,</w:t>
      </w:r>
      <w:r>
        <w:t xml:space="preserve"> </w:t>
      </w:r>
      <w:r w:rsidRPr="00382917">
        <w:t>p.</w:t>
      </w:r>
      <w:r>
        <w:t xml:space="preserve"> </w:t>
      </w:r>
      <w:r w:rsidRPr="00382917">
        <w:t>391.</w:t>
      </w:r>
    </w:p>
  </w:footnote>
  <w:footnote w:id="170">
    <w:p w:rsidR="001C15E8" w:rsidRPr="00D84534" w:rsidRDefault="001C15E8">
      <w:pPr>
        <w:pStyle w:val="FootnoteText"/>
        <w:rPr>
          <w:lang w:val="en-US"/>
        </w:rPr>
      </w:pPr>
      <w:r>
        <w:rPr>
          <w:rStyle w:val="FootnoteReference"/>
        </w:rPr>
        <w:footnoteRef/>
      </w:r>
      <w:r>
        <w:tab/>
      </w:r>
      <w:r w:rsidRPr="009C18CA">
        <w:rPr>
          <w:i/>
          <w:iCs/>
        </w:rPr>
        <w:t>The</w:t>
      </w:r>
      <w:r>
        <w:rPr>
          <w:i/>
          <w:iCs/>
        </w:rPr>
        <w:t xml:space="preserve"> </w:t>
      </w:r>
      <w:r w:rsidRPr="009C18CA">
        <w:rPr>
          <w:i/>
          <w:iCs/>
        </w:rPr>
        <w:t>Tárí</w:t>
      </w:r>
      <w:r w:rsidRPr="009C18CA">
        <w:rPr>
          <w:i/>
          <w:iCs/>
          <w:u w:val="single"/>
        </w:rPr>
        <w:t>kh</w:t>
      </w:r>
      <w:r w:rsidRPr="009C18CA">
        <w:rPr>
          <w:i/>
          <w:iCs/>
        </w:rPr>
        <w:t>-i-Jadíd</w:t>
      </w:r>
      <w:r w:rsidRPr="00382917">
        <w:t>,</w:t>
      </w:r>
      <w:r>
        <w:t xml:space="preserve"> </w:t>
      </w:r>
      <w:r w:rsidRPr="00382917">
        <w:t>p.</w:t>
      </w:r>
      <w:r>
        <w:t xml:space="preserve"> </w:t>
      </w:r>
      <w:r w:rsidRPr="00382917">
        <w:t>117.</w:t>
      </w:r>
    </w:p>
  </w:footnote>
  <w:footnote w:id="171">
    <w:p w:rsidR="001C15E8" w:rsidRPr="00046594" w:rsidRDefault="001C15E8">
      <w:pPr>
        <w:pStyle w:val="FootnoteText"/>
        <w:rPr>
          <w:lang w:val="en-US"/>
        </w:rPr>
      </w:pPr>
      <w:r>
        <w:rPr>
          <w:rStyle w:val="FootnoteReference"/>
        </w:rPr>
        <w:footnoteRef/>
      </w:r>
      <w:r>
        <w:tab/>
      </w:r>
      <w:r w:rsidRPr="00382917">
        <w:t>Nabíl,</w:t>
      </w:r>
      <w:r>
        <w:t xml:space="preserve"> </w:t>
      </w:r>
      <w:proofErr w:type="gramStart"/>
      <w:r w:rsidRPr="00382917">
        <w:rPr>
          <w:i/>
          <w:iCs/>
        </w:rPr>
        <w:t>The</w:t>
      </w:r>
      <w:proofErr w:type="gramEnd"/>
      <w:r>
        <w:rPr>
          <w:i/>
          <w:iCs/>
        </w:rPr>
        <w:t xml:space="preserve"> </w:t>
      </w:r>
      <w:r w:rsidRPr="00382917">
        <w:rPr>
          <w:i/>
          <w:iCs/>
        </w:rPr>
        <w:t>Dawn-Breakers</w:t>
      </w:r>
      <w:r w:rsidRPr="00382917">
        <w:t>,</w:t>
      </w:r>
      <w:r>
        <w:t xml:space="preserve"> </w:t>
      </w:r>
      <w:r w:rsidRPr="00382917">
        <w:t>p.</w:t>
      </w:r>
      <w:r>
        <w:t xml:space="preserve"> </w:t>
      </w:r>
      <w:r w:rsidRPr="00382917">
        <w:t>476.</w:t>
      </w:r>
    </w:p>
  </w:footnote>
  <w:footnote w:id="172">
    <w:p w:rsidR="001C15E8" w:rsidRPr="000824A0" w:rsidRDefault="001C15E8">
      <w:pPr>
        <w:pStyle w:val="FootnoteText"/>
        <w:rPr>
          <w:lang w:val="es-ES"/>
        </w:rPr>
      </w:pPr>
      <w:r>
        <w:rPr>
          <w:rStyle w:val="FootnoteReference"/>
        </w:rPr>
        <w:footnoteRef/>
      </w:r>
      <w:r w:rsidRPr="000824A0">
        <w:rPr>
          <w:lang w:val="es-ES"/>
        </w:rPr>
        <w:tab/>
      </w:r>
      <w:r w:rsidRPr="00030BA2">
        <w:rPr>
          <w:lang w:val="es-ES"/>
        </w:rPr>
        <w:t>A.</w:t>
      </w:r>
      <w:r>
        <w:rPr>
          <w:lang w:val="es-ES"/>
        </w:rPr>
        <w:t xml:space="preserve"> </w:t>
      </w:r>
      <w:r w:rsidRPr="00030BA2">
        <w:rPr>
          <w:lang w:val="es-ES"/>
        </w:rPr>
        <w:t>L.</w:t>
      </w:r>
      <w:r>
        <w:rPr>
          <w:lang w:val="es-ES"/>
        </w:rPr>
        <w:t xml:space="preserve"> </w:t>
      </w:r>
      <w:r w:rsidRPr="00030BA2">
        <w:rPr>
          <w:lang w:val="es-ES"/>
        </w:rPr>
        <w:t>M.</w:t>
      </w:r>
      <w:r>
        <w:rPr>
          <w:lang w:val="es-ES"/>
        </w:rPr>
        <w:t xml:space="preserve"> </w:t>
      </w:r>
      <w:proofErr w:type="spellStart"/>
      <w:r w:rsidRPr="00030BA2">
        <w:rPr>
          <w:lang w:val="es-ES"/>
        </w:rPr>
        <w:t>Nicolas</w:t>
      </w:r>
      <w:proofErr w:type="spellEnd"/>
      <w:r w:rsidRPr="00030BA2">
        <w:rPr>
          <w:lang w:val="es-ES"/>
        </w:rPr>
        <w:t>,</w:t>
      </w:r>
      <w:r>
        <w:rPr>
          <w:lang w:val="es-ES"/>
        </w:rPr>
        <w:t xml:space="preserve"> </w:t>
      </w:r>
      <w:r w:rsidRPr="001713B3">
        <w:rPr>
          <w:i/>
          <w:iCs/>
          <w:lang w:val="es-ES"/>
        </w:rPr>
        <w:t>Siyyid</w:t>
      </w:r>
      <w:r>
        <w:rPr>
          <w:i/>
          <w:iCs/>
          <w:lang w:val="es-ES"/>
        </w:rPr>
        <w:t xml:space="preserve"> </w:t>
      </w:r>
      <w:r w:rsidRPr="001713B3">
        <w:rPr>
          <w:i/>
          <w:iCs/>
          <w:lang w:val="es-ES"/>
        </w:rPr>
        <w:t>‘Alí-Muḥammad</w:t>
      </w:r>
      <w:r>
        <w:rPr>
          <w:i/>
          <w:iCs/>
          <w:lang w:val="es-ES"/>
        </w:rPr>
        <w:t xml:space="preserve"> </w:t>
      </w:r>
      <w:proofErr w:type="spellStart"/>
      <w:r w:rsidRPr="001713B3">
        <w:rPr>
          <w:i/>
          <w:iCs/>
          <w:lang w:val="es-ES"/>
        </w:rPr>
        <w:t>dit</w:t>
      </w:r>
      <w:proofErr w:type="spellEnd"/>
      <w:r>
        <w:rPr>
          <w:i/>
          <w:iCs/>
          <w:lang w:val="es-ES"/>
        </w:rPr>
        <w:t xml:space="preserve"> </w:t>
      </w:r>
      <w:r w:rsidRPr="001713B3">
        <w:rPr>
          <w:i/>
          <w:iCs/>
          <w:lang w:val="es-ES"/>
        </w:rPr>
        <w:t>le</w:t>
      </w:r>
      <w:r>
        <w:rPr>
          <w:i/>
          <w:iCs/>
          <w:lang w:val="es-ES"/>
        </w:rPr>
        <w:t xml:space="preserve"> </w:t>
      </w:r>
      <w:r w:rsidRPr="001713B3">
        <w:rPr>
          <w:i/>
          <w:iCs/>
          <w:lang w:val="es-ES"/>
        </w:rPr>
        <w:t>Báb</w:t>
      </w:r>
      <w:r w:rsidRPr="00030BA2">
        <w:rPr>
          <w:lang w:val="es-ES"/>
        </w:rPr>
        <w:t>,</w:t>
      </w:r>
      <w:r>
        <w:rPr>
          <w:lang w:val="es-ES"/>
        </w:rPr>
        <w:t xml:space="preserve"> </w:t>
      </w:r>
      <w:r w:rsidRPr="00030BA2">
        <w:rPr>
          <w:lang w:val="es-ES"/>
        </w:rPr>
        <w:t>p.</w:t>
      </w:r>
      <w:r>
        <w:rPr>
          <w:lang w:val="es-ES"/>
        </w:rPr>
        <w:t xml:space="preserve"> </w:t>
      </w:r>
      <w:r w:rsidRPr="00030BA2">
        <w:rPr>
          <w:lang w:val="es-ES"/>
        </w:rPr>
        <w:t>393.</w:t>
      </w:r>
    </w:p>
  </w:footnote>
  <w:footnote w:id="173">
    <w:p w:rsidR="001C15E8" w:rsidRPr="000824A0" w:rsidRDefault="001C15E8">
      <w:pPr>
        <w:pStyle w:val="FootnoteText"/>
        <w:rPr>
          <w:lang w:val="en-US"/>
        </w:rPr>
      </w:pPr>
      <w:r>
        <w:rPr>
          <w:rStyle w:val="FootnoteReference"/>
        </w:rPr>
        <w:footnoteRef/>
      </w:r>
      <w:r>
        <w:tab/>
      </w:r>
      <w:proofErr w:type="gramStart"/>
      <w:r>
        <w:t>idem</w:t>
      </w:r>
      <w:proofErr w:type="gramEnd"/>
      <w:r w:rsidRPr="00382917">
        <w:t>,</w:t>
      </w:r>
      <w:r>
        <w:t xml:space="preserve"> </w:t>
      </w:r>
      <w:r w:rsidRPr="00382917">
        <w:t>p.</w:t>
      </w:r>
      <w:r>
        <w:t xml:space="preserve"> </w:t>
      </w:r>
      <w:r w:rsidRPr="00382917">
        <w:t>406.</w:t>
      </w:r>
    </w:p>
  </w:footnote>
  <w:footnote w:id="174">
    <w:p w:rsidR="001C15E8" w:rsidRPr="00FC0A98" w:rsidRDefault="001C15E8">
      <w:pPr>
        <w:pStyle w:val="FootnoteText"/>
        <w:rPr>
          <w:lang w:val="en-US"/>
        </w:rPr>
      </w:pPr>
      <w:r>
        <w:rPr>
          <w:rStyle w:val="FootnoteReference"/>
        </w:rPr>
        <w:footnoteRef/>
      </w:r>
      <w:r>
        <w:tab/>
      </w:r>
      <w:proofErr w:type="gramStart"/>
      <w:r>
        <w:t>idem</w:t>
      </w:r>
      <w:proofErr w:type="gramEnd"/>
      <w:r w:rsidRPr="00382917">
        <w:t>,</w:t>
      </w:r>
      <w:r>
        <w:t xml:space="preserve"> </w:t>
      </w:r>
      <w:r w:rsidRPr="00382917">
        <w:t>p.</w:t>
      </w:r>
      <w:r>
        <w:t xml:space="preserve"> </w:t>
      </w:r>
      <w:r w:rsidRPr="00382917">
        <w:t>407.</w:t>
      </w:r>
    </w:p>
  </w:footnote>
  <w:footnote w:id="175">
    <w:p w:rsidR="001C15E8" w:rsidRPr="0004479C" w:rsidRDefault="001C15E8">
      <w:pPr>
        <w:pStyle w:val="FootnoteText"/>
        <w:rPr>
          <w:lang w:val="en-US"/>
        </w:rPr>
      </w:pPr>
      <w:r>
        <w:rPr>
          <w:rStyle w:val="FootnoteReference"/>
        </w:rPr>
        <w:footnoteRef/>
      </w:r>
      <w:r>
        <w:tab/>
      </w:r>
      <w:proofErr w:type="gramStart"/>
      <w:r w:rsidRPr="00382917">
        <w:t>Nabíl,</w:t>
      </w:r>
      <w:r>
        <w:t xml:space="preserve"> </w:t>
      </w:r>
      <w:r w:rsidRPr="00382917">
        <w:rPr>
          <w:i/>
          <w:iCs/>
        </w:rPr>
        <w:t>The</w:t>
      </w:r>
      <w:r>
        <w:rPr>
          <w:i/>
          <w:iCs/>
        </w:rPr>
        <w:t xml:space="preserve"> </w:t>
      </w:r>
      <w:r w:rsidRPr="00382917">
        <w:rPr>
          <w:i/>
          <w:iCs/>
        </w:rPr>
        <w:t>Dawn-Breakers</w:t>
      </w:r>
      <w:r w:rsidRPr="00382917">
        <w:t>,</w:t>
      </w:r>
      <w:r>
        <w:t xml:space="preserve"> </w:t>
      </w:r>
      <w:r w:rsidRPr="00382917">
        <w:t>p.</w:t>
      </w:r>
      <w:r>
        <w:t xml:space="preserve"> </w:t>
      </w:r>
      <w:r w:rsidRPr="00382917">
        <w:t>647,</w:t>
      </w:r>
      <w:r>
        <w:t xml:space="preserve"> </w:t>
      </w:r>
      <w:r w:rsidRPr="00382917">
        <w:t>footnote;</w:t>
      </w:r>
      <w:r>
        <w:t xml:space="preserve"> </w:t>
      </w:r>
      <w:r w:rsidRPr="00382917">
        <w:t>pp.</w:t>
      </w:r>
      <w:r>
        <w:t xml:space="preserve"> </w:t>
      </w:r>
      <w:r w:rsidRPr="00382917">
        <w:t>481</w:t>
      </w:r>
      <w:r>
        <w:t>–</w:t>
      </w:r>
      <w:r w:rsidRPr="00382917">
        <w:t>496.</w:t>
      </w:r>
      <w:proofErr w:type="gramEnd"/>
    </w:p>
  </w:footnote>
  <w:footnote w:id="176">
    <w:p w:rsidR="001C15E8" w:rsidRPr="008E112B" w:rsidRDefault="001C15E8">
      <w:pPr>
        <w:pStyle w:val="FootnoteText"/>
        <w:rPr>
          <w:lang w:val="es-ES"/>
        </w:rPr>
      </w:pPr>
      <w:r>
        <w:rPr>
          <w:rStyle w:val="FootnoteReference"/>
        </w:rPr>
        <w:footnoteRef/>
      </w:r>
      <w:r w:rsidRPr="008E112B">
        <w:rPr>
          <w:lang w:val="es-ES"/>
        </w:rPr>
        <w:tab/>
      </w:r>
      <w:r w:rsidRPr="00030BA2">
        <w:rPr>
          <w:lang w:val="es-ES"/>
        </w:rPr>
        <w:t>A.</w:t>
      </w:r>
      <w:r>
        <w:rPr>
          <w:lang w:val="es-ES"/>
        </w:rPr>
        <w:t xml:space="preserve"> </w:t>
      </w:r>
      <w:r w:rsidRPr="00030BA2">
        <w:rPr>
          <w:lang w:val="es-ES"/>
        </w:rPr>
        <w:t>L.</w:t>
      </w:r>
      <w:r>
        <w:rPr>
          <w:lang w:val="es-ES"/>
        </w:rPr>
        <w:t xml:space="preserve"> </w:t>
      </w:r>
      <w:r w:rsidRPr="00030BA2">
        <w:rPr>
          <w:lang w:val="es-ES"/>
        </w:rPr>
        <w:t>M.</w:t>
      </w:r>
      <w:r>
        <w:rPr>
          <w:lang w:val="es-ES"/>
        </w:rPr>
        <w:t xml:space="preserve"> </w:t>
      </w:r>
      <w:proofErr w:type="spellStart"/>
      <w:r w:rsidRPr="00030BA2">
        <w:rPr>
          <w:lang w:val="es-ES"/>
        </w:rPr>
        <w:t>Nicolas</w:t>
      </w:r>
      <w:proofErr w:type="spellEnd"/>
      <w:r w:rsidRPr="00030BA2">
        <w:rPr>
          <w:lang w:val="es-ES"/>
        </w:rPr>
        <w:t>,</w:t>
      </w:r>
      <w:r>
        <w:rPr>
          <w:lang w:val="es-ES"/>
        </w:rPr>
        <w:t xml:space="preserve"> </w:t>
      </w:r>
      <w:r w:rsidRPr="001713B3">
        <w:rPr>
          <w:i/>
          <w:iCs/>
          <w:lang w:val="es-ES"/>
        </w:rPr>
        <w:t>Siyyid</w:t>
      </w:r>
      <w:r>
        <w:rPr>
          <w:i/>
          <w:iCs/>
          <w:lang w:val="es-ES"/>
        </w:rPr>
        <w:t xml:space="preserve"> </w:t>
      </w:r>
      <w:r w:rsidRPr="001713B3">
        <w:rPr>
          <w:i/>
          <w:iCs/>
          <w:lang w:val="es-ES"/>
        </w:rPr>
        <w:t>‘Alí-Muḥammad</w:t>
      </w:r>
      <w:r>
        <w:rPr>
          <w:i/>
          <w:iCs/>
          <w:lang w:val="es-ES"/>
        </w:rPr>
        <w:t xml:space="preserve"> </w:t>
      </w:r>
      <w:proofErr w:type="spellStart"/>
      <w:r w:rsidRPr="001713B3">
        <w:rPr>
          <w:i/>
          <w:iCs/>
          <w:lang w:val="es-ES"/>
        </w:rPr>
        <w:t>dit</w:t>
      </w:r>
      <w:proofErr w:type="spellEnd"/>
      <w:r>
        <w:rPr>
          <w:i/>
          <w:iCs/>
          <w:lang w:val="es-ES"/>
        </w:rPr>
        <w:t xml:space="preserve"> </w:t>
      </w:r>
      <w:r w:rsidRPr="001713B3">
        <w:rPr>
          <w:i/>
          <w:iCs/>
          <w:lang w:val="es-ES"/>
        </w:rPr>
        <w:t>le</w:t>
      </w:r>
      <w:r>
        <w:rPr>
          <w:i/>
          <w:iCs/>
          <w:lang w:val="es-ES"/>
        </w:rPr>
        <w:t xml:space="preserve"> </w:t>
      </w:r>
      <w:r w:rsidRPr="001713B3">
        <w:rPr>
          <w:i/>
          <w:iCs/>
          <w:lang w:val="es-ES"/>
        </w:rPr>
        <w:t>Báb</w:t>
      </w:r>
      <w:r w:rsidRPr="00030BA2">
        <w:rPr>
          <w:lang w:val="es-ES"/>
        </w:rPr>
        <w:t>,</w:t>
      </w:r>
      <w:r>
        <w:rPr>
          <w:lang w:val="es-ES"/>
        </w:rPr>
        <w:t xml:space="preserve"> </w:t>
      </w:r>
      <w:r w:rsidRPr="00030BA2">
        <w:rPr>
          <w:lang w:val="es-ES"/>
        </w:rPr>
        <w:t>p.</w:t>
      </w:r>
      <w:r>
        <w:rPr>
          <w:lang w:val="es-ES"/>
        </w:rPr>
        <w:t xml:space="preserve"> </w:t>
      </w:r>
      <w:r w:rsidRPr="00030BA2">
        <w:rPr>
          <w:lang w:val="es-ES"/>
        </w:rPr>
        <w:t>408.</w:t>
      </w:r>
    </w:p>
  </w:footnote>
  <w:footnote w:id="177">
    <w:p w:rsidR="001C15E8" w:rsidRPr="008E112B" w:rsidRDefault="001C15E8">
      <w:pPr>
        <w:pStyle w:val="FootnoteText"/>
        <w:rPr>
          <w:lang w:val="en-US"/>
        </w:rPr>
      </w:pPr>
      <w:r>
        <w:rPr>
          <w:rStyle w:val="FootnoteReference"/>
        </w:rPr>
        <w:footnoteRef/>
      </w:r>
      <w:r>
        <w:tab/>
      </w:r>
      <w:proofErr w:type="gramStart"/>
      <w:r w:rsidRPr="001713B3">
        <w:rPr>
          <w:i/>
          <w:iCs/>
        </w:rPr>
        <w:t>A</w:t>
      </w:r>
      <w:r>
        <w:rPr>
          <w:i/>
          <w:iCs/>
        </w:rPr>
        <w:t xml:space="preserve"> </w:t>
      </w:r>
      <w:r w:rsidRPr="001713B3">
        <w:rPr>
          <w:i/>
          <w:iCs/>
        </w:rPr>
        <w:t>Traveller’s</w:t>
      </w:r>
      <w:r>
        <w:rPr>
          <w:i/>
          <w:iCs/>
        </w:rPr>
        <w:t xml:space="preserve"> </w:t>
      </w:r>
      <w:r w:rsidRPr="001713B3">
        <w:rPr>
          <w:i/>
          <w:iCs/>
        </w:rPr>
        <w:t>Narrative</w:t>
      </w:r>
      <w:r w:rsidRPr="00382917">
        <w:t>,</w:t>
      </w:r>
      <w:r>
        <w:t xml:space="preserve"> </w:t>
      </w:r>
      <w:r w:rsidRPr="00382917">
        <w:t>Note</w:t>
      </w:r>
      <w:r>
        <w:t xml:space="preserve"> </w:t>
      </w:r>
      <w:r w:rsidRPr="00382917">
        <w:t>H,</w:t>
      </w:r>
      <w:r>
        <w:t xml:space="preserve"> </w:t>
      </w:r>
      <w:r w:rsidRPr="00382917">
        <w:t>pp.</w:t>
      </w:r>
      <w:r>
        <w:t xml:space="preserve"> </w:t>
      </w:r>
      <w:r w:rsidRPr="00382917">
        <w:t>259</w:t>
      </w:r>
      <w:r>
        <w:t>–</w:t>
      </w:r>
      <w:r w:rsidRPr="00382917">
        <w:t>260.</w:t>
      </w:r>
      <w:proofErr w:type="gramEnd"/>
    </w:p>
  </w:footnote>
  <w:footnote w:id="178">
    <w:p w:rsidR="001C15E8" w:rsidRPr="003E0FC2" w:rsidRDefault="001C15E8">
      <w:pPr>
        <w:pStyle w:val="FootnoteText"/>
        <w:rPr>
          <w:lang w:val="en-US"/>
        </w:rPr>
      </w:pPr>
      <w:r>
        <w:rPr>
          <w:rStyle w:val="FootnoteReference"/>
        </w:rPr>
        <w:footnoteRef/>
      </w:r>
      <w:r>
        <w:tab/>
      </w:r>
      <w:proofErr w:type="gramStart"/>
      <w:r w:rsidRPr="00382917">
        <w:t>Bahá’u’lláh,</w:t>
      </w:r>
      <w:r>
        <w:t xml:space="preserve"> </w:t>
      </w:r>
      <w:r w:rsidRPr="003E0FC2">
        <w:rPr>
          <w:i/>
          <w:iCs/>
        </w:rPr>
        <w:t>The Kitáb-i-Íqán</w:t>
      </w:r>
      <w:r w:rsidRPr="00382917">
        <w:t>,</w:t>
      </w:r>
      <w:r>
        <w:t xml:space="preserve"> </w:t>
      </w:r>
      <w:r w:rsidRPr="00382917">
        <w:t>p.</w:t>
      </w:r>
      <w:r>
        <w:t xml:space="preserve"> </w:t>
      </w:r>
      <w:r w:rsidRPr="00382917">
        <w:t>188.</w:t>
      </w:r>
      <w:proofErr w:type="gramEnd"/>
    </w:p>
  </w:footnote>
  <w:footnote w:id="179">
    <w:p w:rsidR="001C15E8" w:rsidRPr="00E60059" w:rsidRDefault="001C15E8">
      <w:pPr>
        <w:pStyle w:val="FootnoteText"/>
        <w:rPr>
          <w:lang w:val="en-US"/>
        </w:rPr>
      </w:pPr>
      <w:r>
        <w:rPr>
          <w:rStyle w:val="FootnoteReference"/>
        </w:rPr>
        <w:footnoteRef/>
      </w:r>
      <w:r>
        <w:tab/>
      </w:r>
      <w:r w:rsidRPr="00382917">
        <w:t>Nabíl,</w:t>
      </w:r>
      <w:r>
        <w:t xml:space="preserve"> </w:t>
      </w:r>
      <w:proofErr w:type="gramStart"/>
      <w:r w:rsidRPr="00382917">
        <w:rPr>
          <w:i/>
          <w:iCs/>
        </w:rPr>
        <w:t>The</w:t>
      </w:r>
      <w:proofErr w:type="gramEnd"/>
      <w:r>
        <w:rPr>
          <w:i/>
          <w:iCs/>
        </w:rPr>
        <w:t xml:space="preserve"> </w:t>
      </w:r>
      <w:r w:rsidRPr="00382917">
        <w:rPr>
          <w:i/>
          <w:iCs/>
        </w:rPr>
        <w:t>Dawn-Breakers</w:t>
      </w:r>
      <w:r w:rsidRPr="00382917">
        <w:t>,</w:t>
      </w:r>
      <w:r>
        <w:t xml:space="preserve"> </w:t>
      </w:r>
      <w:r w:rsidRPr="00382917">
        <w:t>pp.</w:t>
      </w:r>
      <w:r>
        <w:t xml:space="preserve"> </w:t>
      </w:r>
      <w:r w:rsidRPr="00382917">
        <w:t>445</w:t>
      </w:r>
      <w:r>
        <w:t>–</w:t>
      </w:r>
      <w:r w:rsidRPr="00382917">
        <w:t>450.</w:t>
      </w:r>
    </w:p>
  </w:footnote>
  <w:footnote w:id="180">
    <w:p w:rsidR="001C15E8" w:rsidRPr="002C0928" w:rsidRDefault="001C15E8">
      <w:pPr>
        <w:pStyle w:val="FootnoteText"/>
        <w:rPr>
          <w:lang w:val="en-US"/>
        </w:rPr>
      </w:pPr>
      <w:r>
        <w:rPr>
          <w:rStyle w:val="FootnoteReference"/>
        </w:rPr>
        <w:footnoteRef/>
      </w:r>
      <w:r>
        <w:tab/>
      </w:r>
      <w:r w:rsidRPr="009C18CA">
        <w:rPr>
          <w:i/>
          <w:iCs/>
        </w:rPr>
        <w:t>The</w:t>
      </w:r>
      <w:r>
        <w:rPr>
          <w:i/>
          <w:iCs/>
        </w:rPr>
        <w:t xml:space="preserve"> </w:t>
      </w:r>
      <w:r w:rsidRPr="009C18CA">
        <w:rPr>
          <w:i/>
          <w:iCs/>
        </w:rPr>
        <w:t>Tárí</w:t>
      </w:r>
      <w:r w:rsidRPr="009C18CA">
        <w:rPr>
          <w:i/>
          <w:iCs/>
          <w:u w:val="single"/>
        </w:rPr>
        <w:t>kh</w:t>
      </w:r>
      <w:r w:rsidRPr="009C18CA">
        <w:rPr>
          <w:i/>
          <w:iCs/>
        </w:rPr>
        <w:t>-i-Jadíd</w:t>
      </w:r>
      <w:r w:rsidRPr="00382917">
        <w:t>,</w:t>
      </w:r>
      <w:r>
        <w:t xml:space="preserve"> </w:t>
      </w:r>
      <w:r w:rsidRPr="00382917">
        <w:t>p.</w:t>
      </w:r>
      <w:r>
        <w:t xml:space="preserve"> </w:t>
      </w:r>
      <w:r w:rsidRPr="00382917">
        <w:t>254.</w:t>
      </w:r>
    </w:p>
  </w:footnote>
  <w:footnote w:id="181">
    <w:p w:rsidR="001C15E8" w:rsidRPr="00834835" w:rsidRDefault="001C15E8">
      <w:pPr>
        <w:pStyle w:val="FootnoteText"/>
        <w:rPr>
          <w:lang w:val="en-US"/>
        </w:rPr>
      </w:pPr>
      <w:r>
        <w:rPr>
          <w:rStyle w:val="FootnoteReference"/>
        </w:rPr>
        <w:footnoteRef/>
      </w:r>
      <w:r>
        <w:tab/>
      </w:r>
      <w:r w:rsidRPr="00382917">
        <w:t>See</w:t>
      </w:r>
      <w:r>
        <w:t xml:space="preserve"> </w:t>
      </w:r>
      <w:r w:rsidRPr="00382917">
        <w:t>Appendix,</w:t>
      </w:r>
      <w:r>
        <w:t xml:space="preserve"> </w:t>
      </w:r>
      <w:r w:rsidRPr="00382917">
        <w:t>Note</w:t>
      </w:r>
      <w:r>
        <w:t xml:space="preserve"> </w:t>
      </w:r>
      <w:r w:rsidRPr="00382917">
        <w:t>Two.</w:t>
      </w:r>
    </w:p>
  </w:footnote>
  <w:footnote w:id="182">
    <w:p w:rsidR="001C15E8" w:rsidRPr="004D3E87" w:rsidRDefault="001C15E8">
      <w:pPr>
        <w:pStyle w:val="FootnoteText"/>
        <w:rPr>
          <w:lang w:val="en-US"/>
        </w:rPr>
      </w:pPr>
      <w:r>
        <w:rPr>
          <w:rStyle w:val="FootnoteReference"/>
        </w:rPr>
        <w:footnoteRef/>
      </w:r>
      <w:r>
        <w:tab/>
      </w:r>
      <w:r w:rsidRPr="00382917">
        <w:t>Nabíl,</w:t>
      </w:r>
      <w:r>
        <w:t xml:space="preserve"> </w:t>
      </w:r>
      <w:proofErr w:type="gramStart"/>
      <w:r w:rsidRPr="00382917">
        <w:rPr>
          <w:i/>
          <w:iCs/>
        </w:rPr>
        <w:t>The</w:t>
      </w:r>
      <w:proofErr w:type="gramEnd"/>
      <w:r>
        <w:rPr>
          <w:i/>
          <w:iCs/>
        </w:rPr>
        <w:t xml:space="preserve"> </w:t>
      </w:r>
      <w:r w:rsidRPr="00382917">
        <w:rPr>
          <w:i/>
          <w:iCs/>
        </w:rPr>
        <w:t>Dawn-Breakers</w:t>
      </w:r>
      <w:r w:rsidRPr="00382917">
        <w:t>,</w:t>
      </w:r>
      <w:r>
        <w:t xml:space="preserve"> </w:t>
      </w:r>
      <w:r w:rsidRPr="00382917">
        <w:t>pp.</w:t>
      </w:r>
      <w:r>
        <w:t xml:space="preserve"> </w:t>
      </w:r>
      <w:r w:rsidRPr="00382917">
        <w:t>449</w:t>
      </w:r>
      <w:r>
        <w:t>–</w:t>
      </w:r>
      <w:r w:rsidRPr="00382917">
        <w:t>453.</w:t>
      </w:r>
    </w:p>
  </w:footnote>
  <w:footnote w:id="183">
    <w:p w:rsidR="001C15E8" w:rsidRPr="00B42F8B" w:rsidRDefault="001C15E8" w:rsidP="00B42F8B">
      <w:pPr>
        <w:pStyle w:val="FootnoteText"/>
        <w:rPr>
          <w:lang w:val="en-US"/>
        </w:rPr>
      </w:pPr>
      <w:r>
        <w:rPr>
          <w:rStyle w:val="FootnoteReference"/>
        </w:rPr>
        <w:footnoteRef/>
      </w:r>
      <w:r>
        <w:tab/>
        <w:t xml:space="preserve">(1)  Nabíl, </w:t>
      </w:r>
      <w:proofErr w:type="gramStart"/>
      <w:r w:rsidRPr="00B42F8B">
        <w:rPr>
          <w:i/>
          <w:iCs/>
        </w:rPr>
        <w:t>The</w:t>
      </w:r>
      <w:proofErr w:type="gramEnd"/>
      <w:r w:rsidRPr="00B42F8B">
        <w:rPr>
          <w:i/>
          <w:iCs/>
        </w:rPr>
        <w:t xml:space="preserve"> Dawn-Breakers</w:t>
      </w:r>
      <w:r>
        <w:t xml:space="preserve">, pp. 453–455.  (2)  </w:t>
      </w:r>
      <w:r w:rsidRPr="00B42F8B">
        <w:rPr>
          <w:i/>
          <w:iCs/>
        </w:rPr>
        <w:t>A Traveller’s Narrative</w:t>
      </w:r>
      <w:r>
        <w:t>, Note B, pp. 212–213; 215–216.</w:t>
      </w:r>
    </w:p>
  </w:footnote>
  <w:footnote w:id="184">
    <w:p w:rsidR="001C15E8" w:rsidRPr="00B42F8B" w:rsidRDefault="001C15E8">
      <w:pPr>
        <w:pStyle w:val="FootnoteText"/>
        <w:rPr>
          <w:lang w:val="en-US"/>
        </w:rPr>
      </w:pPr>
      <w:r>
        <w:rPr>
          <w:rStyle w:val="FootnoteReference"/>
        </w:rPr>
        <w:footnoteRef/>
      </w:r>
      <w:r>
        <w:tab/>
      </w:r>
      <w:r w:rsidRPr="00382917">
        <w:t>Nabíl,</w:t>
      </w:r>
      <w:r>
        <w:t xml:space="preserve"> </w:t>
      </w:r>
      <w:proofErr w:type="gramStart"/>
      <w:r w:rsidRPr="00382917">
        <w:rPr>
          <w:i/>
          <w:iCs/>
        </w:rPr>
        <w:t>The</w:t>
      </w:r>
      <w:proofErr w:type="gramEnd"/>
      <w:r>
        <w:rPr>
          <w:i/>
          <w:iCs/>
        </w:rPr>
        <w:t xml:space="preserve"> </w:t>
      </w:r>
      <w:r w:rsidRPr="00382917">
        <w:rPr>
          <w:i/>
          <w:iCs/>
        </w:rPr>
        <w:t>Dawn-Breakers</w:t>
      </w:r>
      <w:r w:rsidRPr="00382917">
        <w:t>,</w:t>
      </w:r>
      <w:r>
        <w:t xml:space="preserve"> </w:t>
      </w:r>
      <w:r w:rsidRPr="00382917">
        <w:t>pp.</w:t>
      </w:r>
      <w:r>
        <w:t xml:space="preserve"> </w:t>
      </w:r>
      <w:r w:rsidRPr="00382917">
        <w:t>455</w:t>
      </w:r>
      <w:r>
        <w:t>–</w:t>
      </w:r>
      <w:r w:rsidRPr="00382917">
        <w:t>464.</w:t>
      </w:r>
    </w:p>
  </w:footnote>
  <w:footnote w:id="185">
    <w:p w:rsidR="001C15E8" w:rsidRPr="00BC68CB" w:rsidRDefault="001C15E8">
      <w:pPr>
        <w:pStyle w:val="FootnoteText"/>
        <w:rPr>
          <w:lang w:val="en-US"/>
        </w:rPr>
      </w:pPr>
      <w:r>
        <w:rPr>
          <w:rStyle w:val="FootnoteReference"/>
        </w:rPr>
        <w:footnoteRef/>
      </w:r>
      <w:r>
        <w:tab/>
      </w:r>
      <w:proofErr w:type="gramStart"/>
      <w:r w:rsidRPr="001713B3">
        <w:rPr>
          <w:i/>
          <w:iCs/>
        </w:rPr>
        <w:t>A</w:t>
      </w:r>
      <w:r>
        <w:rPr>
          <w:i/>
          <w:iCs/>
        </w:rPr>
        <w:t xml:space="preserve"> </w:t>
      </w:r>
      <w:r w:rsidRPr="001713B3">
        <w:rPr>
          <w:i/>
          <w:iCs/>
        </w:rPr>
        <w:t>Traveller’s</w:t>
      </w:r>
      <w:r>
        <w:rPr>
          <w:i/>
          <w:iCs/>
        </w:rPr>
        <w:t xml:space="preserve"> </w:t>
      </w:r>
      <w:r w:rsidRPr="001713B3">
        <w:rPr>
          <w:i/>
          <w:iCs/>
        </w:rPr>
        <w:t>Narrative</w:t>
      </w:r>
      <w:r w:rsidRPr="00382917">
        <w:t>,</w:t>
      </w:r>
      <w:r>
        <w:t xml:space="preserve"> </w:t>
      </w:r>
      <w:r w:rsidRPr="00382917">
        <w:t>Note</w:t>
      </w:r>
      <w:r>
        <w:t xml:space="preserve"> </w:t>
      </w:r>
      <w:r w:rsidRPr="00382917">
        <w:t>B,</w:t>
      </w:r>
      <w:r>
        <w:t xml:space="preserve"> </w:t>
      </w:r>
      <w:r w:rsidRPr="00382917">
        <w:t>p.</w:t>
      </w:r>
      <w:r>
        <w:t xml:space="preserve"> </w:t>
      </w:r>
      <w:r w:rsidRPr="00382917">
        <w:t>216</w:t>
      </w:r>
      <w:r>
        <w:t>–</w:t>
      </w:r>
      <w:r w:rsidRPr="00382917">
        <w:t>217.</w:t>
      </w:r>
      <w:proofErr w:type="gramEnd"/>
    </w:p>
  </w:footnote>
  <w:footnote w:id="186">
    <w:p w:rsidR="001C15E8" w:rsidRPr="003B7C8A" w:rsidRDefault="001C15E8">
      <w:pPr>
        <w:pStyle w:val="FootnoteText"/>
        <w:rPr>
          <w:lang w:val="en-US"/>
        </w:rPr>
      </w:pPr>
      <w:r>
        <w:rPr>
          <w:rStyle w:val="FootnoteReference"/>
        </w:rPr>
        <w:footnoteRef/>
      </w:r>
      <w:r>
        <w:tab/>
      </w:r>
      <w:r w:rsidRPr="00382917">
        <w:t>Nabíl,</w:t>
      </w:r>
      <w:r>
        <w:t xml:space="preserve"> </w:t>
      </w:r>
      <w:proofErr w:type="gramStart"/>
      <w:r w:rsidRPr="00382917">
        <w:rPr>
          <w:i/>
          <w:iCs/>
        </w:rPr>
        <w:t>The</w:t>
      </w:r>
      <w:proofErr w:type="gramEnd"/>
      <w:r>
        <w:rPr>
          <w:i/>
          <w:iCs/>
        </w:rPr>
        <w:t xml:space="preserve"> </w:t>
      </w:r>
      <w:r w:rsidRPr="00382917">
        <w:rPr>
          <w:i/>
          <w:iCs/>
        </w:rPr>
        <w:t>Dawn-Breakers</w:t>
      </w:r>
      <w:r w:rsidRPr="00382917">
        <w:t>,</w:t>
      </w:r>
      <w:r>
        <w:t xml:space="preserve"> </w:t>
      </w:r>
      <w:r w:rsidRPr="00382917">
        <w:t>pp.</w:t>
      </w:r>
      <w:r>
        <w:t xml:space="preserve"> </w:t>
      </w:r>
      <w:r w:rsidRPr="00382917">
        <w:t>504</w:t>
      </w:r>
      <w:r>
        <w:t>–</w:t>
      </w:r>
      <w:r w:rsidRPr="00382917">
        <w:t>505.</w:t>
      </w:r>
    </w:p>
  </w:footnote>
  <w:footnote w:id="187">
    <w:p w:rsidR="001C15E8" w:rsidRPr="00B036D1" w:rsidRDefault="001C15E8">
      <w:pPr>
        <w:pStyle w:val="FootnoteText"/>
        <w:rPr>
          <w:lang w:val="en-US"/>
        </w:rPr>
      </w:pPr>
      <w:r>
        <w:rPr>
          <w:rStyle w:val="FootnoteReference"/>
        </w:rPr>
        <w:footnoteRef/>
      </w:r>
      <w:r>
        <w:tab/>
      </w:r>
      <w:proofErr w:type="gramStart"/>
      <w:r w:rsidRPr="001713B3">
        <w:rPr>
          <w:i/>
          <w:iCs/>
        </w:rPr>
        <w:t>A</w:t>
      </w:r>
      <w:r>
        <w:rPr>
          <w:i/>
          <w:iCs/>
        </w:rPr>
        <w:t xml:space="preserve"> </w:t>
      </w:r>
      <w:r w:rsidRPr="001713B3">
        <w:rPr>
          <w:i/>
          <w:iCs/>
        </w:rPr>
        <w:t>Traveller’s</w:t>
      </w:r>
      <w:r>
        <w:rPr>
          <w:i/>
          <w:iCs/>
        </w:rPr>
        <w:t xml:space="preserve"> </w:t>
      </w:r>
      <w:r w:rsidRPr="001713B3">
        <w:rPr>
          <w:i/>
          <w:iCs/>
        </w:rPr>
        <w:t>Narrative</w:t>
      </w:r>
      <w:r w:rsidRPr="00382917">
        <w:t>,</w:t>
      </w:r>
      <w:r>
        <w:t xml:space="preserve"> </w:t>
      </w:r>
      <w:r w:rsidRPr="00382917">
        <w:t>p.</w:t>
      </w:r>
      <w:r>
        <w:t xml:space="preserve"> </w:t>
      </w:r>
      <w:r w:rsidRPr="00382917">
        <w:t>3.</w:t>
      </w:r>
      <w:proofErr w:type="gramEnd"/>
    </w:p>
  </w:footnote>
  <w:footnote w:id="188">
    <w:p w:rsidR="001C15E8" w:rsidRPr="00F64BD2" w:rsidRDefault="001C15E8">
      <w:pPr>
        <w:pStyle w:val="FootnoteText"/>
        <w:rPr>
          <w:lang w:val="en-US"/>
        </w:rPr>
      </w:pPr>
      <w:r>
        <w:rPr>
          <w:rStyle w:val="FootnoteReference"/>
        </w:rPr>
        <w:footnoteRef/>
      </w:r>
      <w:r>
        <w:tab/>
      </w:r>
      <w:proofErr w:type="gramStart"/>
      <w:r w:rsidRPr="00382917">
        <w:t>Bahá’u’lláh,</w:t>
      </w:r>
      <w:r>
        <w:t xml:space="preserve"> </w:t>
      </w:r>
      <w:r w:rsidRPr="00F64BD2">
        <w:rPr>
          <w:i/>
          <w:iCs/>
        </w:rPr>
        <w:t>Epistle to the Son of the Wolf</w:t>
      </w:r>
      <w:r w:rsidRPr="00382917">
        <w:t>,</w:t>
      </w:r>
      <w:r>
        <w:t xml:space="preserve"> </w:t>
      </w:r>
      <w:r w:rsidRPr="00382917">
        <w:t>pp.</w:t>
      </w:r>
      <w:r>
        <w:t xml:space="preserve"> </w:t>
      </w:r>
      <w:r w:rsidRPr="00382917">
        <w:t>151</w:t>
      </w:r>
      <w:r>
        <w:t>–</w:t>
      </w:r>
      <w:r w:rsidRPr="00382917">
        <w:t>159.</w:t>
      </w:r>
      <w:proofErr w:type="gramEnd"/>
    </w:p>
  </w:footnote>
  <w:footnote w:id="189">
    <w:p w:rsidR="001C15E8" w:rsidRPr="00A341A4" w:rsidRDefault="001C15E8">
      <w:pPr>
        <w:pStyle w:val="FootnoteText"/>
        <w:rPr>
          <w:lang w:val="en-US"/>
        </w:rPr>
      </w:pPr>
      <w:r>
        <w:rPr>
          <w:rStyle w:val="FootnoteReference"/>
        </w:rPr>
        <w:footnoteRef/>
      </w:r>
      <w:r>
        <w:tab/>
      </w:r>
      <w:proofErr w:type="gramStart"/>
      <w:r w:rsidRPr="00382917">
        <w:t>Shoghi</w:t>
      </w:r>
      <w:r>
        <w:t xml:space="preserve"> </w:t>
      </w:r>
      <w:r w:rsidRPr="00382917">
        <w:t>Effendi,</w:t>
      </w:r>
      <w:r>
        <w:t xml:space="preserve"> </w:t>
      </w:r>
      <w:r w:rsidRPr="00A341A4">
        <w:rPr>
          <w:i/>
          <w:iCs/>
        </w:rPr>
        <w:t>The World Order of Bahá’u’lláh</w:t>
      </w:r>
      <w:r w:rsidRPr="00382917">
        <w:t>,</w:t>
      </w:r>
      <w:r>
        <w:t xml:space="preserve"> </w:t>
      </w:r>
      <w:r w:rsidRPr="00382917">
        <w:t>p.</w:t>
      </w:r>
      <w:r>
        <w:t xml:space="preserve"> </w:t>
      </w:r>
      <w:r w:rsidRPr="00382917">
        <w:t>100.</w:t>
      </w:r>
      <w:proofErr w:type="gramEnd"/>
    </w:p>
  </w:footnote>
  <w:footnote w:id="190">
    <w:p w:rsidR="001C15E8" w:rsidRPr="007F7E81" w:rsidRDefault="001C15E8">
      <w:pPr>
        <w:pStyle w:val="FootnoteText"/>
        <w:rPr>
          <w:lang w:val="en-US"/>
        </w:rPr>
      </w:pPr>
      <w:r>
        <w:rPr>
          <w:rStyle w:val="FootnoteReference"/>
        </w:rPr>
        <w:footnoteRef/>
      </w:r>
      <w:r>
        <w:tab/>
      </w:r>
      <w:r w:rsidRPr="00382917">
        <w:t>Dr</w:t>
      </w:r>
      <w:r>
        <w:t xml:space="preserve"> </w:t>
      </w:r>
      <w:r w:rsidRPr="00382917">
        <w:t>T.</w:t>
      </w:r>
      <w:r>
        <w:t xml:space="preserve"> </w:t>
      </w:r>
      <w:r w:rsidRPr="00382917">
        <w:t>K.</w:t>
      </w:r>
      <w:r>
        <w:t xml:space="preserve"> </w:t>
      </w:r>
      <w:r w:rsidRPr="00382917">
        <w:t>Cheyne,</w:t>
      </w:r>
      <w:r>
        <w:t xml:space="preserve"> </w:t>
      </w:r>
      <w:proofErr w:type="gramStart"/>
      <w:r w:rsidRPr="001713B3">
        <w:rPr>
          <w:i/>
          <w:iCs/>
        </w:rPr>
        <w:t>The</w:t>
      </w:r>
      <w:proofErr w:type="gramEnd"/>
      <w:r>
        <w:rPr>
          <w:i/>
          <w:iCs/>
        </w:rPr>
        <w:t xml:space="preserve"> </w:t>
      </w:r>
      <w:r w:rsidRPr="001713B3">
        <w:rPr>
          <w:i/>
          <w:iCs/>
        </w:rPr>
        <w:t>Reconciliation</w:t>
      </w:r>
      <w:r>
        <w:rPr>
          <w:i/>
          <w:iCs/>
        </w:rPr>
        <w:t xml:space="preserve"> </w:t>
      </w:r>
      <w:r w:rsidRPr="001713B3">
        <w:rPr>
          <w:i/>
          <w:iCs/>
        </w:rPr>
        <w:t>of</w:t>
      </w:r>
      <w:r>
        <w:rPr>
          <w:i/>
          <w:iCs/>
        </w:rPr>
        <w:t xml:space="preserve"> </w:t>
      </w:r>
      <w:r w:rsidRPr="001713B3">
        <w:rPr>
          <w:i/>
          <w:iCs/>
        </w:rPr>
        <w:t>Races</w:t>
      </w:r>
      <w:r>
        <w:rPr>
          <w:i/>
          <w:iCs/>
        </w:rPr>
        <w:t xml:space="preserve"> </w:t>
      </w:r>
      <w:r w:rsidRPr="001713B3">
        <w:rPr>
          <w:i/>
          <w:iCs/>
        </w:rPr>
        <w:t>and</w:t>
      </w:r>
      <w:r>
        <w:rPr>
          <w:i/>
          <w:iCs/>
        </w:rPr>
        <w:t xml:space="preserve"> </w:t>
      </w:r>
      <w:r w:rsidRPr="001713B3">
        <w:rPr>
          <w:i/>
          <w:iCs/>
        </w:rPr>
        <w:t>Religions</w:t>
      </w:r>
      <w:r w:rsidRPr="00382917">
        <w:t>,</w:t>
      </w:r>
      <w:r>
        <w:t xml:space="preserve"> </w:t>
      </w:r>
      <w:r w:rsidRPr="00382917">
        <w:t>pp.</w:t>
      </w:r>
      <w:r>
        <w:t xml:space="preserve"> </w:t>
      </w:r>
      <w:r w:rsidRPr="00382917">
        <w:t>65</w:t>
      </w:r>
      <w:r>
        <w:t>–</w:t>
      </w:r>
      <w:r w:rsidRPr="00382917">
        <w:t>66.</w:t>
      </w:r>
    </w:p>
  </w:footnote>
  <w:footnote w:id="191">
    <w:p w:rsidR="001C15E8" w:rsidRPr="004D5099" w:rsidRDefault="001C15E8">
      <w:pPr>
        <w:pStyle w:val="FootnoteText"/>
        <w:rPr>
          <w:lang w:val="en-US"/>
        </w:rPr>
      </w:pPr>
      <w:r>
        <w:rPr>
          <w:rStyle w:val="FootnoteReference"/>
        </w:rPr>
        <w:footnoteRef/>
      </w:r>
      <w:r>
        <w:tab/>
      </w:r>
      <w:proofErr w:type="gramStart"/>
      <w:r w:rsidRPr="00382917">
        <w:t>Bahá’u’lláh,</w:t>
      </w:r>
      <w:r>
        <w:t xml:space="preserve"> </w:t>
      </w:r>
      <w:r w:rsidRPr="004D5099">
        <w:rPr>
          <w:i/>
          <w:iCs/>
        </w:rPr>
        <w:t>Epistle to the Son of the Wolf</w:t>
      </w:r>
      <w:r w:rsidRPr="00382917">
        <w:t>,</w:t>
      </w:r>
      <w:r>
        <w:t xml:space="preserve"> </w:t>
      </w:r>
      <w:r w:rsidRPr="00382917">
        <w:t>p.</w:t>
      </w:r>
      <w:r>
        <w:t xml:space="preserve"> </w:t>
      </w:r>
      <w:r w:rsidRPr="00382917">
        <w:t>160.</w:t>
      </w:r>
      <w:proofErr w:type="gramEnd"/>
    </w:p>
  </w:footnote>
  <w:footnote w:id="192">
    <w:p w:rsidR="001C15E8" w:rsidRPr="00AF21F6" w:rsidRDefault="001C15E8">
      <w:pPr>
        <w:pStyle w:val="FootnoteText"/>
        <w:rPr>
          <w:lang w:val="en-US"/>
        </w:rPr>
      </w:pPr>
      <w:r>
        <w:rPr>
          <w:rStyle w:val="FootnoteReference"/>
        </w:rPr>
        <w:footnoteRef/>
      </w:r>
      <w:r>
        <w:tab/>
      </w:r>
      <w:r w:rsidRPr="00382917">
        <w:t>Nabíl,</w:t>
      </w:r>
      <w:r>
        <w:t xml:space="preserve"> </w:t>
      </w:r>
      <w:proofErr w:type="gramStart"/>
      <w:r w:rsidRPr="00382917">
        <w:rPr>
          <w:i/>
          <w:iCs/>
        </w:rPr>
        <w:t>The</w:t>
      </w:r>
      <w:proofErr w:type="gramEnd"/>
      <w:r>
        <w:rPr>
          <w:i/>
          <w:iCs/>
        </w:rPr>
        <w:t xml:space="preserve"> </w:t>
      </w:r>
      <w:r w:rsidRPr="00382917">
        <w:rPr>
          <w:i/>
          <w:iCs/>
        </w:rPr>
        <w:t>Dawn-Breakers</w:t>
      </w:r>
      <w:r w:rsidRPr="00382917">
        <w:t>,</w:t>
      </w:r>
      <w:r>
        <w:t xml:space="preserve"> </w:t>
      </w:r>
      <w:r w:rsidRPr="00382917">
        <w:t>pp.</w:t>
      </w:r>
      <w:r>
        <w:t xml:space="preserve"> </w:t>
      </w:r>
      <w:r w:rsidRPr="00382917">
        <w:t>12</w:t>
      </w:r>
      <w:r>
        <w:t>–</w:t>
      </w:r>
      <w:r w:rsidRPr="00382917">
        <w:t>13.</w:t>
      </w:r>
    </w:p>
  </w:footnote>
  <w:footnote w:id="193">
    <w:p w:rsidR="001C15E8" w:rsidRPr="00F05D87" w:rsidRDefault="001C15E8">
      <w:pPr>
        <w:pStyle w:val="FootnoteText"/>
        <w:rPr>
          <w:lang w:val="en-US"/>
        </w:rPr>
      </w:pPr>
      <w:r>
        <w:rPr>
          <w:rStyle w:val="FootnoteReference"/>
        </w:rPr>
        <w:footnoteRef/>
      </w:r>
      <w:r>
        <w:tab/>
      </w:r>
      <w:proofErr w:type="gramStart"/>
      <w:r w:rsidRPr="00382917">
        <w:t>Isaiah</w:t>
      </w:r>
      <w:r>
        <w:t xml:space="preserve"> </w:t>
      </w:r>
      <w:r w:rsidRPr="00382917">
        <w:t>54</w:t>
      </w:r>
      <w:r>
        <w:t>–</w:t>
      </w:r>
      <w:r w:rsidRPr="00382917">
        <w:t>5.</w:t>
      </w:r>
      <w:proofErr w:type="gramEnd"/>
    </w:p>
  </w:footnote>
  <w:footnote w:id="194">
    <w:p w:rsidR="001C15E8" w:rsidRPr="00F2568D" w:rsidRDefault="001C15E8">
      <w:pPr>
        <w:pStyle w:val="FootnoteText"/>
        <w:rPr>
          <w:lang w:val="en-US"/>
        </w:rPr>
      </w:pPr>
      <w:r>
        <w:rPr>
          <w:rStyle w:val="FootnoteReference"/>
        </w:rPr>
        <w:footnoteRef/>
      </w:r>
      <w:r>
        <w:tab/>
      </w:r>
      <w:r w:rsidRPr="00382917">
        <w:t>See</w:t>
      </w:r>
      <w:r>
        <w:t xml:space="preserve"> </w:t>
      </w:r>
      <w:r w:rsidRPr="00382917">
        <w:t>Appendix,</w:t>
      </w:r>
      <w:r>
        <w:t xml:space="preserve"> </w:t>
      </w:r>
      <w:r w:rsidRPr="00382917">
        <w:t>Note</w:t>
      </w:r>
      <w:r>
        <w:t xml:space="preserve"> </w:t>
      </w:r>
      <w:r w:rsidRPr="00382917">
        <w:t>Three.</w:t>
      </w:r>
    </w:p>
  </w:footnote>
  <w:footnote w:id="195">
    <w:p w:rsidR="001C15E8" w:rsidRPr="008E79E0" w:rsidRDefault="001C15E8">
      <w:pPr>
        <w:pStyle w:val="FootnoteText"/>
        <w:rPr>
          <w:lang w:val="en-US"/>
        </w:rPr>
      </w:pPr>
      <w:r>
        <w:rPr>
          <w:rStyle w:val="FootnoteReference"/>
        </w:rPr>
        <w:footnoteRef/>
      </w:r>
      <w:r>
        <w:tab/>
      </w:r>
      <w:r w:rsidRPr="00382917">
        <w:t>Nabíl,</w:t>
      </w:r>
      <w:r>
        <w:t xml:space="preserve"> </w:t>
      </w:r>
      <w:proofErr w:type="gramStart"/>
      <w:r w:rsidRPr="00382917">
        <w:rPr>
          <w:i/>
          <w:iCs/>
        </w:rPr>
        <w:t>The</w:t>
      </w:r>
      <w:proofErr w:type="gramEnd"/>
      <w:r>
        <w:rPr>
          <w:i/>
          <w:iCs/>
        </w:rPr>
        <w:t xml:space="preserve"> </w:t>
      </w:r>
      <w:r w:rsidRPr="00382917">
        <w:rPr>
          <w:i/>
          <w:iCs/>
        </w:rPr>
        <w:t>Dawn-Breakers</w:t>
      </w:r>
      <w:r w:rsidRPr="00382917">
        <w:t>,</w:t>
      </w:r>
      <w:r>
        <w:t xml:space="preserve"> </w:t>
      </w:r>
      <w:r w:rsidRPr="00382917">
        <w:t>pp.</w:t>
      </w:r>
      <w:r>
        <w:t xml:space="preserve"> </w:t>
      </w:r>
      <w:r w:rsidRPr="00382917">
        <w:t>8</w:t>
      </w:r>
      <w:r>
        <w:t>–</w:t>
      </w:r>
      <w:r w:rsidRPr="00382917">
        <w:t>9.</w:t>
      </w:r>
    </w:p>
  </w:footnote>
  <w:footnote w:id="196">
    <w:p w:rsidR="001C15E8" w:rsidRPr="00D9172E" w:rsidRDefault="001C15E8">
      <w:pPr>
        <w:pStyle w:val="FootnoteText"/>
        <w:rPr>
          <w:lang w:val="pl-PL"/>
        </w:rPr>
      </w:pPr>
      <w:r>
        <w:rPr>
          <w:rStyle w:val="FootnoteReference"/>
        </w:rPr>
        <w:footnoteRef/>
      </w:r>
      <w:r w:rsidRPr="00D9172E">
        <w:rPr>
          <w:lang w:val="pl-PL"/>
        </w:rPr>
        <w:tab/>
      </w:r>
      <w:r>
        <w:rPr>
          <w:lang w:val="pl-PL"/>
        </w:rPr>
        <w:t>idem</w:t>
      </w:r>
      <w:r w:rsidRPr="00030BA2">
        <w:rPr>
          <w:lang w:val="pl-PL"/>
        </w:rPr>
        <w:t>,</w:t>
      </w:r>
      <w:r>
        <w:rPr>
          <w:lang w:val="pl-PL"/>
        </w:rPr>
        <w:t xml:space="preserve"> </w:t>
      </w:r>
      <w:r w:rsidRPr="00030BA2">
        <w:rPr>
          <w:lang w:val="pl-PL"/>
        </w:rPr>
        <w:t>p.</w:t>
      </w:r>
      <w:r>
        <w:rPr>
          <w:lang w:val="pl-PL"/>
        </w:rPr>
        <w:t xml:space="preserve"> </w:t>
      </w:r>
      <w:r w:rsidRPr="00030BA2">
        <w:rPr>
          <w:lang w:val="pl-PL"/>
        </w:rPr>
        <w:t>72.</w:t>
      </w:r>
    </w:p>
  </w:footnote>
  <w:footnote w:id="197">
    <w:p w:rsidR="001C15E8" w:rsidRPr="00D9172E" w:rsidRDefault="001C15E8">
      <w:pPr>
        <w:pStyle w:val="FootnoteText"/>
        <w:rPr>
          <w:lang w:val="pl-PL"/>
        </w:rPr>
      </w:pPr>
      <w:r>
        <w:rPr>
          <w:rStyle w:val="FootnoteReference"/>
        </w:rPr>
        <w:footnoteRef/>
      </w:r>
      <w:r w:rsidRPr="00D9172E">
        <w:rPr>
          <w:lang w:val="pl-PL"/>
        </w:rPr>
        <w:tab/>
      </w:r>
      <w:r>
        <w:rPr>
          <w:lang w:val="pl-PL"/>
        </w:rPr>
        <w:t>idem</w:t>
      </w:r>
      <w:r w:rsidRPr="00030BA2">
        <w:rPr>
          <w:lang w:val="pl-PL"/>
        </w:rPr>
        <w:t>,</w:t>
      </w:r>
      <w:r>
        <w:rPr>
          <w:lang w:val="pl-PL"/>
        </w:rPr>
        <w:t xml:space="preserve"> </w:t>
      </w:r>
      <w:r w:rsidRPr="00030BA2">
        <w:rPr>
          <w:lang w:val="pl-PL"/>
        </w:rPr>
        <w:t>pp.</w:t>
      </w:r>
      <w:r>
        <w:rPr>
          <w:lang w:val="pl-PL"/>
        </w:rPr>
        <w:t xml:space="preserve"> </w:t>
      </w:r>
      <w:r w:rsidRPr="00030BA2">
        <w:rPr>
          <w:lang w:val="pl-PL"/>
        </w:rPr>
        <w:t>41</w:t>
      </w:r>
      <w:r>
        <w:rPr>
          <w:lang w:val="pl-PL"/>
        </w:rPr>
        <w:t>–</w:t>
      </w:r>
      <w:r w:rsidRPr="00030BA2">
        <w:rPr>
          <w:lang w:val="pl-PL"/>
        </w:rPr>
        <w:t>42;</w:t>
      </w:r>
      <w:r>
        <w:rPr>
          <w:lang w:val="pl-PL"/>
        </w:rPr>
        <w:t xml:space="preserve"> </w:t>
      </w:r>
      <w:r w:rsidRPr="00030BA2">
        <w:rPr>
          <w:lang w:val="pl-PL"/>
        </w:rPr>
        <w:t>footnote</w:t>
      </w:r>
      <w:r>
        <w:rPr>
          <w:lang w:val="pl-PL"/>
        </w:rPr>
        <w:t xml:space="preserve"> </w:t>
      </w:r>
      <w:r w:rsidRPr="00030BA2">
        <w:rPr>
          <w:lang w:val="pl-PL"/>
        </w:rPr>
        <w:t>2.</w:t>
      </w:r>
    </w:p>
  </w:footnote>
  <w:footnote w:id="198">
    <w:p w:rsidR="001C15E8" w:rsidRPr="00F72628" w:rsidRDefault="001C15E8">
      <w:pPr>
        <w:pStyle w:val="FootnoteText"/>
        <w:rPr>
          <w:lang w:val="en-US"/>
        </w:rPr>
      </w:pPr>
      <w:r>
        <w:rPr>
          <w:rStyle w:val="FootnoteReference"/>
        </w:rPr>
        <w:footnoteRef/>
      </w:r>
      <w:r>
        <w:tab/>
      </w:r>
      <w:proofErr w:type="gramStart"/>
      <w:r>
        <w:t>idem</w:t>
      </w:r>
      <w:proofErr w:type="gramEnd"/>
      <w:r w:rsidRPr="00382917">
        <w:t>,</w:t>
      </w:r>
      <w:r>
        <w:t xml:space="preserve"> </w:t>
      </w:r>
      <w:r w:rsidRPr="00382917">
        <w:t>pp.</w:t>
      </w:r>
      <w:r>
        <w:t xml:space="preserve"> </w:t>
      </w:r>
      <w:r w:rsidRPr="00382917">
        <w:t>227</w:t>
      </w:r>
      <w:r>
        <w:t>–</w:t>
      </w:r>
      <w:r w:rsidRPr="00382917">
        <w:t>228.</w:t>
      </w:r>
    </w:p>
  </w:footnote>
  <w:footnote w:id="199">
    <w:p w:rsidR="001C15E8" w:rsidRPr="00E515C5" w:rsidRDefault="001C15E8">
      <w:pPr>
        <w:pStyle w:val="FootnoteText"/>
        <w:rPr>
          <w:lang w:val="en-US"/>
        </w:rPr>
      </w:pPr>
      <w:r>
        <w:rPr>
          <w:rStyle w:val="FootnoteReference"/>
        </w:rPr>
        <w:footnoteRef/>
      </w:r>
      <w:r>
        <w:tab/>
      </w:r>
      <w:proofErr w:type="gramStart"/>
      <w:r>
        <w:t>idem</w:t>
      </w:r>
      <w:proofErr w:type="gramEnd"/>
      <w:r w:rsidRPr="00382917">
        <w:t>,</w:t>
      </w:r>
      <w:r>
        <w:t xml:space="preserve"> </w:t>
      </w:r>
      <w:r w:rsidRPr="00382917">
        <w:t>pp.</w:t>
      </w:r>
      <w:r>
        <w:t xml:space="preserve"> </w:t>
      </w:r>
      <w:r w:rsidRPr="00382917">
        <w:t>228</w:t>
      </w:r>
      <w:r>
        <w:t>–</w:t>
      </w:r>
      <w:r w:rsidRPr="00382917">
        <w:t>229.</w:t>
      </w:r>
    </w:p>
  </w:footnote>
  <w:footnote w:id="200">
    <w:p w:rsidR="001C15E8" w:rsidRPr="007A4E29" w:rsidRDefault="001C15E8">
      <w:pPr>
        <w:pStyle w:val="FootnoteText"/>
        <w:rPr>
          <w:lang w:val="en-US"/>
        </w:rPr>
      </w:pPr>
      <w:r>
        <w:rPr>
          <w:rStyle w:val="FootnoteReference"/>
        </w:rPr>
        <w:footnoteRef/>
      </w:r>
      <w:r>
        <w:tab/>
      </w:r>
      <w:proofErr w:type="gramStart"/>
      <w:r>
        <w:t>idem</w:t>
      </w:r>
      <w:proofErr w:type="gramEnd"/>
      <w:r w:rsidRPr="00382917">
        <w:t>,</w:t>
      </w:r>
      <w:r>
        <w:t xml:space="preserve"> </w:t>
      </w:r>
      <w:r w:rsidRPr="00382917">
        <w:t>433.</w:t>
      </w:r>
    </w:p>
  </w:footnote>
  <w:footnote w:id="201">
    <w:p w:rsidR="001C15E8" w:rsidRPr="00625836" w:rsidRDefault="001C15E8">
      <w:pPr>
        <w:pStyle w:val="FootnoteText"/>
        <w:rPr>
          <w:lang w:val="en-US"/>
        </w:rPr>
      </w:pPr>
      <w:r>
        <w:rPr>
          <w:rStyle w:val="FootnoteReference"/>
        </w:rPr>
        <w:footnoteRef/>
      </w:r>
      <w:r>
        <w:tab/>
      </w:r>
      <w:r w:rsidRPr="00382917">
        <w:t>Shoghi</w:t>
      </w:r>
      <w:r>
        <w:t xml:space="preserve"> </w:t>
      </w:r>
      <w:r w:rsidRPr="00382917">
        <w:t>Effendi,</w:t>
      </w:r>
      <w:r>
        <w:t xml:space="preserve"> </w:t>
      </w:r>
      <w:r w:rsidRPr="001713B3">
        <w:rPr>
          <w:i/>
          <w:iCs/>
        </w:rPr>
        <w:t>God</w:t>
      </w:r>
      <w:r>
        <w:rPr>
          <w:i/>
          <w:iCs/>
        </w:rPr>
        <w:t xml:space="preserve"> </w:t>
      </w:r>
      <w:r w:rsidRPr="001713B3">
        <w:rPr>
          <w:i/>
          <w:iCs/>
        </w:rPr>
        <w:t>Passes</w:t>
      </w:r>
      <w:r>
        <w:rPr>
          <w:i/>
          <w:iCs/>
        </w:rPr>
        <w:t xml:space="preserve"> </w:t>
      </w:r>
      <w:r w:rsidRPr="001713B3">
        <w:rPr>
          <w:i/>
          <w:iCs/>
        </w:rPr>
        <w:t>By</w:t>
      </w:r>
      <w:r w:rsidRPr="00382917">
        <w:t>,</w:t>
      </w:r>
      <w:r>
        <w:t xml:space="preserve"> </w:t>
      </w:r>
      <w:r w:rsidRPr="00382917">
        <w:t>p.</w:t>
      </w:r>
      <w:r>
        <w:t xml:space="preserve"> </w:t>
      </w:r>
      <w:r w:rsidRPr="00382917">
        <w:t>28.</w:t>
      </w:r>
    </w:p>
  </w:footnote>
  <w:footnote w:id="202">
    <w:p w:rsidR="001C15E8" w:rsidRPr="00F95F71" w:rsidRDefault="001C15E8">
      <w:pPr>
        <w:pStyle w:val="FootnoteText"/>
        <w:rPr>
          <w:lang w:val="en-US"/>
        </w:rPr>
      </w:pPr>
      <w:r>
        <w:rPr>
          <w:rStyle w:val="FootnoteReference"/>
        </w:rPr>
        <w:footnoteRef/>
      </w:r>
      <w:r>
        <w:tab/>
      </w:r>
      <w:proofErr w:type="gramStart"/>
      <w:r>
        <w:t>idem</w:t>
      </w:r>
      <w:proofErr w:type="gramEnd"/>
      <w:r w:rsidRPr="00382917">
        <w:t>,</w:t>
      </w:r>
      <w:r>
        <w:t xml:space="preserve"> </w:t>
      </w:r>
      <w:r w:rsidRPr="00382917">
        <w:t>pp.</w:t>
      </w:r>
      <w:r>
        <w:t xml:space="preserve"> </w:t>
      </w:r>
      <w:r w:rsidRPr="00382917">
        <w:t>189</w:t>
      </w:r>
      <w:r>
        <w:t>–</w:t>
      </w:r>
      <w:r w:rsidRPr="00382917">
        <w:t>190.</w:t>
      </w:r>
    </w:p>
  </w:footnote>
  <w:footnote w:id="203">
    <w:p w:rsidR="001C15E8" w:rsidRPr="00BF1990" w:rsidRDefault="001C15E8">
      <w:pPr>
        <w:pStyle w:val="FootnoteText"/>
        <w:rPr>
          <w:lang w:val="en-US"/>
        </w:rPr>
      </w:pPr>
      <w:r>
        <w:rPr>
          <w:rStyle w:val="FootnoteReference"/>
        </w:rPr>
        <w:footnoteRef/>
      </w:r>
      <w:r>
        <w:tab/>
      </w:r>
      <w:r w:rsidRPr="00382917">
        <w:t>Nabil,</w:t>
      </w:r>
      <w:r>
        <w:t xml:space="preserve"> </w:t>
      </w:r>
      <w:proofErr w:type="gramStart"/>
      <w:r w:rsidRPr="00382917">
        <w:rPr>
          <w:i/>
          <w:iCs/>
        </w:rPr>
        <w:t>The</w:t>
      </w:r>
      <w:proofErr w:type="gramEnd"/>
      <w:r>
        <w:rPr>
          <w:i/>
          <w:iCs/>
        </w:rPr>
        <w:t xml:space="preserve"> </w:t>
      </w:r>
      <w:r w:rsidRPr="00382917">
        <w:rPr>
          <w:i/>
          <w:iCs/>
        </w:rPr>
        <w:t>Dawn-Breakers</w:t>
      </w:r>
      <w:r w:rsidRPr="00382917">
        <w:t>,</w:t>
      </w:r>
      <w:r>
        <w:t xml:space="preserve"> </w:t>
      </w:r>
      <w:r w:rsidRPr="00382917">
        <w:t>pp.</w:t>
      </w:r>
      <w:r>
        <w:t xml:space="preserve"> </w:t>
      </w:r>
      <w:r w:rsidRPr="00382917">
        <w:t>29</w:t>
      </w:r>
      <w:r>
        <w:t>–</w:t>
      </w:r>
      <w:r w:rsidRPr="00382917">
        <w:t>33;</w:t>
      </w:r>
      <w:r>
        <w:t xml:space="preserve"> </w:t>
      </w:r>
      <w:r w:rsidRPr="00382917">
        <w:t>593</w:t>
      </w:r>
      <w:r>
        <w:t>–</w:t>
      </w:r>
      <w:r w:rsidRPr="00382917">
        <w:t>594.</w:t>
      </w:r>
    </w:p>
  </w:footnote>
  <w:footnote w:id="204">
    <w:p w:rsidR="001C15E8" w:rsidRPr="00D9172E" w:rsidRDefault="001C15E8">
      <w:pPr>
        <w:pStyle w:val="FootnoteText"/>
        <w:rPr>
          <w:lang w:val="pl-PL"/>
        </w:rPr>
      </w:pPr>
      <w:r>
        <w:rPr>
          <w:rStyle w:val="FootnoteReference"/>
        </w:rPr>
        <w:footnoteRef/>
      </w:r>
      <w:r w:rsidRPr="00D9172E">
        <w:rPr>
          <w:lang w:val="pl-PL"/>
        </w:rPr>
        <w:tab/>
      </w:r>
      <w:r>
        <w:rPr>
          <w:lang w:val="pl-PL"/>
        </w:rPr>
        <w:t>idem</w:t>
      </w:r>
      <w:r w:rsidRPr="00030BA2">
        <w:rPr>
          <w:lang w:val="pl-PL"/>
        </w:rPr>
        <w:t>,</w:t>
      </w:r>
      <w:r>
        <w:rPr>
          <w:lang w:val="pl-PL"/>
        </w:rPr>
        <w:t xml:space="preserve"> </w:t>
      </w:r>
      <w:r w:rsidRPr="00030BA2">
        <w:rPr>
          <w:lang w:val="pl-PL"/>
        </w:rPr>
        <w:t>p.</w:t>
      </w:r>
      <w:r>
        <w:rPr>
          <w:lang w:val="pl-PL"/>
        </w:rPr>
        <w:t xml:space="preserve"> </w:t>
      </w:r>
      <w:r w:rsidRPr="00030BA2">
        <w:rPr>
          <w:lang w:val="pl-PL"/>
        </w:rPr>
        <w:t>285.</w:t>
      </w:r>
    </w:p>
  </w:footnote>
  <w:footnote w:id="205">
    <w:p w:rsidR="001C15E8" w:rsidRPr="00D9172E" w:rsidRDefault="001C15E8">
      <w:pPr>
        <w:pStyle w:val="FootnoteText"/>
        <w:rPr>
          <w:lang w:val="pl-PL"/>
        </w:rPr>
      </w:pPr>
      <w:r>
        <w:rPr>
          <w:rStyle w:val="FootnoteReference"/>
        </w:rPr>
        <w:footnoteRef/>
      </w:r>
      <w:r w:rsidRPr="00D9172E">
        <w:rPr>
          <w:lang w:val="pl-PL"/>
        </w:rPr>
        <w:tab/>
      </w:r>
      <w:r>
        <w:rPr>
          <w:lang w:val="pl-PL"/>
        </w:rPr>
        <w:t>idem</w:t>
      </w:r>
      <w:r w:rsidRPr="00030BA2">
        <w:rPr>
          <w:lang w:val="pl-PL"/>
        </w:rPr>
        <w:t>,</w:t>
      </w:r>
      <w:r>
        <w:rPr>
          <w:lang w:val="pl-PL"/>
        </w:rPr>
        <w:t xml:space="preserve"> </w:t>
      </w:r>
      <w:r w:rsidRPr="00030BA2">
        <w:rPr>
          <w:lang w:val="pl-PL"/>
        </w:rPr>
        <w:t>p.</w:t>
      </w:r>
      <w:r>
        <w:rPr>
          <w:lang w:val="pl-PL"/>
        </w:rPr>
        <w:t xml:space="preserve"> </w:t>
      </w:r>
      <w:r w:rsidRPr="00030BA2">
        <w:rPr>
          <w:lang w:val="pl-PL"/>
        </w:rPr>
        <w:t>86;</w:t>
      </w:r>
      <w:r>
        <w:rPr>
          <w:lang w:val="pl-PL"/>
        </w:rPr>
        <w:t xml:space="preserve"> </w:t>
      </w:r>
      <w:r w:rsidRPr="00030BA2">
        <w:rPr>
          <w:lang w:val="pl-PL"/>
        </w:rPr>
        <w:t>96.</w:t>
      </w:r>
    </w:p>
  </w:footnote>
  <w:footnote w:id="206">
    <w:p w:rsidR="001C15E8" w:rsidRPr="00D9172E" w:rsidRDefault="001C15E8">
      <w:pPr>
        <w:pStyle w:val="FootnoteText"/>
        <w:rPr>
          <w:lang w:val="pl-PL"/>
        </w:rPr>
      </w:pPr>
      <w:r>
        <w:rPr>
          <w:rStyle w:val="FootnoteReference"/>
        </w:rPr>
        <w:footnoteRef/>
      </w:r>
      <w:r w:rsidRPr="00D9172E">
        <w:rPr>
          <w:lang w:val="pl-PL"/>
        </w:rPr>
        <w:tab/>
      </w:r>
      <w:r>
        <w:rPr>
          <w:lang w:val="pl-PL"/>
        </w:rPr>
        <w:t>idem</w:t>
      </w:r>
      <w:r w:rsidRPr="00030BA2">
        <w:rPr>
          <w:lang w:val="pl-PL"/>
        </w:rPr>
        <w:t>,</w:t>
      </w:r>
      <w:r>
        <w:rPr>
          <w:lang w:val="pl-PL"/>
        </w:rPr>
        <w:t xml:space="preserve"> </w:t>
      </w:r>
      <w:r w:rsidRPr="00030BA2">
        <w:rPr>
          <w:lang w:val="pl-PL"/>
        </w:rPr>
        <w:t>pp.</w:t>
      </w:r>
      <w:r>
        <w:rPr>
          <w:lang w:val="pl-PL"/>
        </w:rPr>
        <w:t xml:space="preserve"> </w:t>
      </w:r>
      <w:r w:rsidRPr="00030BA2">
        <w:rPr>
          <w:lang w:val="pl-PL"/>
        </w:rPr>
        <w:t>105</w:t>
      </w:r>
      <w:r>
        <w:rPr>
          <w:lang w:val="pl-PL"/>
        </w:rPr>
        <w:t>–</w:t>
      </w:r>
      <w:r w:rsidRPr="00030BA2">
        <w:rPr>
          <w:lang w:val="pl-PL"/>
        </w:rPr>
        <w:t>106.</w:t>
      </w:r>
    </w:p>
  </w:footnote>
  <w:footnote w:id="207">
    <w:p w:rsidR="001C15E8" w:rsidRPr="00E30C03" w:rsidRDefault="001C15E8">
      <w:pPr>
        <w:pStyle w:val="FootnoteText"/>
        <w:rPr>
          <w:lang w:val="en-US"/>
        </w:rPr>
      </w:pPr>
      <w:r>
        <w:rPr>
          <w:rStyle w:val="FootnoteReference"/>
        </w:rPr>
        <w:footnoteRef/>
      </w:r>
      <w:r>
        <w:tab/>
      </w:r>
      <w:proofErr w:type="gramStart"/>
      <w:r>
        <w:t>idem</w:t>
      </w:r>
      <w:proofErr w:type="gramEnd"/>
      <w:r w:rsidRPr="00382917">
        <w:t>,</w:t>
      </w:r>
      <w:r>
        <w:t xml:space="preserve"> </w:t>
      </w:r>
      <w:r w:rsidRPr="00382917">
        <w:t>pp.</w:t>
      </w:r>
      <w:r>
        <w:t xml:space="preserve"> </w:t>
      </w:r>
      <w:r w:rsidRPr="00382917">
        <w:t>126</w:t>
      </w:r>
      <w:r>
        <w:t>–</w:t>
      </w:r>
      <w:r w:rsidRPr="00382917">
        <w:t>127.</w:t>
      </w:r>
    </w:p>
  </w:footnote>
  <w:footnote w:id="208">
    <w:p w:rsidR="001C15E8" w:rsidRPr="0053201C" w:rsidRDefault="001C15E8">
      <w:pPr>
        <w:pStyle w:val="FootnoteText"/>
        <w:rPr>
          <w:lang w:val="en-US"/>
        </w:rPr>
      </w:pPr>
      <w:r>
        <w:rPr>
          <w:rStyle w:val="FootnoteReference"/>
        </w:rPr>
        <w:footnoteRef/>
      </w:r>
      <w:r>
        <w:tab/>
      </w:r>
      <w:proofErr w:type="gramStart"/>
      <w:r>
        <w:t>idem</w:t>
      </w:r>
      <w:proofErr w:type="gramEnd"/>
      <w:r w:rsidRPr="00382917">
        <w:t>,</w:t>
      </w:r>
      <w:r>
        <w:t xml:space="preserve"> </w:t>
      </w:r>
      <w:r w:rsidRPr="00382917">
        <w:t>p.</w:t>
      </w:r>
      <w:r>
        <w:t xml:space="preserve"> </w:t>
      </w:r>
      <w:r w:rsidRPr="00382917">
        <w:t>292.</w:t>
      </w:r>
    </w:p>
  </w:footnote>
  <w:footnote w:id="209">
    <w:p w:rsidR="001C15E8" w:rsidRPr="00D9172E" w:rsidRDefault="001C15E8">
      <w:pPr>
        <w:pStyle w:val="FootnoteText"/>
        <w:rPr>
          <w:lang w:val="en-US"/>
        </w:rPr>
      </w:pPr>
      <w:r>
        <w:rPr>
          <w:rStyle w:val="FootnoteReference"/>
        </w:rPr>
        <w:footnoteRef/>
      </w:r>
      <w:r>
        <w:tab/>
      </w:r>
      <w:proofErr w:type="gramStart"/>
      <w:r>
        <w:t>idem</w:t>
      </w:r>
      <w:proofErr w:type="gramEnd"/>
      <w:r w:rsidRPr="00382917">
        <w:t>,</w:t>
      </w:r>
      <w:r>
        <w:t xml:space="preserve"> </w:t>
      </w:r>
      <w:r w:rsidRPr="00382917">
        <w:t>pp.</w:t>
      </w:r>
      <w:r>
        <w:t xml:space="preserve"> </w:t>
      </w:r>
      <w:r w:rsidRPr="00382917">
        <w:t>341</w:t>
      </w:r>
      <w:r>
        <w:t>–</w:t>
      </w:r>
      <w:r w:rsidRPr="00382917">
        <w:t>349.</w:t>
      </w:r>
    </w:p>
  </w:footnote>
  <w:footnote w:id="210">
    <w:p w:rsidR="001C15E8" w:rsidRPr="00D9172E" w:rsidRDefault="001C15E8">
      <w:pPr>
        <w:pStyle w:val="FootnoteText"/>
        <w:rPr>
          <w:lang w:val="en-US"/>
        </w:rPr>
      </w:pPr>
      <w:r>
        <w:rPr>
          <w:rStyle w:val="FootnoteReference"/>
        </w:rPr>
        <w:footnoteRef/>
      </w:r>
      <w:r>
        <w:tab/>
      </w:r>
      <w:proofErr w:type="gramStart"/>
      <w:r>
        <w:t>idem</w:t>
      </w:r>
      <w:proofErr w:type="gramEnd"/>
      <w:r w:rsidRPr="00382917">
        <w:t>,</w:t>
      </w:r>
      <w:r>
        <w:t xml:space="preserve"> </w:t>
      </w:r>
      <w:r w:rsidRPr="00382917">
        <w:t>pp.</w:t>
      </w:r>
      <w:r>
        <w:t xml:space="preserve"> </w:t>
      </w:r>
      <w:r w:rsidRPr="00382917">
        <w:t>293</w:t>
      </w:r>
      <w:r>
        <w:t>–</w:t>
      </w:r>
      <w:r w:rsidRPr="00382917">
        <w:t>295.</w:t>
      </w:r>
    </w:p>
  </w:footnote>
  <w:footnote w:id="211">
    <w:p w:rsidR="001C15E8" w:rsidRPr="006E0F7C" w:rsidRDefault="001C15E8">
      <w:pPr>
        <w:pStyle w:val="FootnoteText"/>
        <w:rPr>
          <w:lang w:val="en-US"/>
        </w:rPr>
      </w:pPr>
      <w:r>
        <w:rPr>
          <w:rStyle w:val="FootnoteReference"/>
        </w:rPr>
        <w:footnoteRef/>
      </w:r>
      <w:r>
        <w:tab/>
        <w:t xml:space="preserve">Dr </w:t>
      </w:r>
      <w:r w:rsidRPr="00382917">
        <w:t>T.</w:t>
      </w:r>
      <w:r>
        <w:t xml:space="preserve"> </w:t>
      </w:r>
      <w:r w:rsidRPr="00382917">
        <w:t>K.</w:t>
      </w:r>
      <w:r>
        <w:t xml:space="preserve"> </w:t>
      </w:r>
      <w:r w:rsidRPr="00382917">
        <w:t>Cheyne,</w:t>
      </w:r>
      <w:r>
        <w:t xml:space="preserve"> </w:t>
      </w:r>
      <w:proofErr w:type="gramStart"/>
      <w:r w:rsidRPr="001713B3">
        <w:rPr>
          <w:i/>
          <w:iCs/>
        </w:rPr>
        <w:t>The</w:t>
      </w:r>
      <w:proofErr w:type="gramEnd"/>
      <w:r>
        <w:rPr>
          <w:i/>
          <w:iCs/>
        </w:rPr>
        <w:t xml:space="preserve"> </w:t>
      </w:r>
      <w:r w:rsidRPr="001713B3">
        <w:rPr>
          <w:i/>
          <w:iCs/>
        </w:rPr>
        <w:t>Reconciliation</w:t>
      </w:r>
      <w:r>
        <w:rPr>
          <w:i/>
          <w:iCs/>
        </w:rPr>
        <w:t xml:space="preserve"> </w:t>
      </w:r>
      <w:r w:rsidRPr="001713B3">
        <w:rPr>
          <w:i/>
          <w:iCs/>
        </w:rPr>
        <w:t>of</w:t>
      </w:r>
      <w:r>
        <w:rPr>
          <w:i/>
          <w:iCs/>
        </w:rPr>
        <w:t xml:space="preserve"> </w:t>
      </w:r>
      <w:r w:rsidRPr="001713B3">
        <w:rPr>
          <w:i/>
          <w:iCs/>
        </w:rPr>
        <w:t>Races</w:t>
      </w:r>
      <w:r>
        <w:rPr>
          <w:i/>
          <w:iCs/>
        </w:rPr>
        <w:t xml:space="preserve"> </w:t>
      </w:r>
      <w:r w:rsidRPr="001713B3">
        <w:rPr>
          <w:i/>
          <w:iCs/>
        </w:rPr>
        <w:t>and</w:t>
      </w:r>
      <w:r>
        <w:rPr>
          <w:i/>
          <w:iCs/>
        </w:rPr>
        <w:t xml:space="preserve"> </w:t>
      </w:r>
      <w:r w:rsidRPr="001713B3">
        <w:rPr>
          <w:i/>
          <w:iCs/>
        </w:rPr>
        <w:t>Religions</w:t>
      </w:r>
      <w:r w:rsidRPr="00382917">
        <w:t>,</w:t>
      </w:r>
      <w:r>
        <w:t xml:space="preserve"> </w:t>
      </w:r>
      <w:r w:rsidRPr="00382917">
        <w:t>p.</w:t>
      </w:r>
      <w:r>
        <w:t xml:space="preserve"> </w:t>
      </w:r>
      <w:r w:rsidRPr="00382917">
        <w:t>75.</w:t>
      </w:r>
    </w:p>
  </w:footnote>
  <w:footnote w:id="212">
    <w:p w:rsidR="001C15E8" w:rsidRPr="000667DD" w:rsidRDefault="001C15E8">
      <w:pPr>
        <w:pStyle w:val="FootnoteText"/>
        <w:rPr>
          <w:lang w:val="en-US"/>
        </w:rPr>
      </w:pPr>
      <w:r>
        <w:rPr>
          <w:rStyle w:val="FootnoteReference"/>
        </w:rPr>
        <w:footnoteRef/>
      </w:r>
      <w:r>
        <w:tab/>
      </w:r>
      <w:r w:rsidRPr="00382917">
        <w:t>Nabíl,</w:t>
      </w:r>
      <w:r>
        <w:t xml:space="preserve"> </w:t>
      </w:r>
      <w:proofErr w:type="gramStart"/>
      <w:r w:rsidRPr="00382917">
        <w:rPr>
          <w:i/>
          <w:iCs/>
        </w:rPr>
        <w:t>The</w:t>
      </w:r>
      <w:proofErr w:type="gramEnd"/>
      <w:r>
        <w:rPr>
          <w:i/>
          <w:iCs/>
        </w:rPr>
        <w:t xml:space="preserve"> </w:t>
      </w:r>
      <w:r w:rsidRPr="00382917">
        <w:rPr>
          <w:i/>
          <w:iCs/>
        </w:rPr>
        <w:t>Dawn-Breakers</w:t>
      </w:r>
      <w:r w:rsidRPr="00382917">
        <w:t>,</w:t>
      </w:r>
      <w:r>
        <w:t xml:space="preserve"> </w:t>
      </w:r>
      <w:r w:rsidRPr="00382917">
        <w:t>p.</w:t>
      </w:r>
      <w:r>
        <w:t xml:space="preserve"> </w:t>
      </w:r>
      <w:r w:rsidRPr="00382917">
        <w:t>298.</w:t>
      </w:r>
    </w:p>
  </w:footnote>
  <w:footnote w:id="213">
    <w:p w:rsidR="001C15E8" w:rsidRPr="00611458" w:rsidRDefault="001C15E8">
      <w:pPr>
        <w:pStyle w:val="FootnoteText"/>
        <w:rPr>
          <w:lang w:val="pl-PL"/>
        </w:rPr>
      </w:pPr>
      <w:r>
        <w:rPr>
          <w:rStyle w:val="FootnoteReference"/>
        </w:rPr>
        <w:footnoteRef/>
      </w:r>
      <w:r w:rsidRPr="00611458">
        <w:rPr>
          <w:lang w:val="pl-PL"/>
        </w:rPr>
        <w:tab/>
      </w:r>
      <w:r>
        <w:rPr>
          <w:lang w:val="pl-PL"/>
        </w:rPr>
        <w:t>idem</w:t>
      </w:r>
      <w:r w:rsidRPr="00030BA2">
        <w:rPr>
          <w:lang w:val="pl-PL"/>
        </w:rPr>
        <w:t>,</w:t>
      </w:r>
      <w:r>
        <w:rPr>
          <w:lang w:val="pl-PL"/>
        </w:rPr>
        <w:t xml:space="preserve"> </w:t>
      </w:r>
      <w:r w:rsidRPr="00030BA2">
        <w:rPr>
          <w:lang w:val="pl-PL"/>
        </w:rPr>
        <w:t>pp.</w:t>
      </w:r>
      <w:r>
        <w:rPr>
          <w:lang w:val="pl-PL"/>
        </w:rPr>
        <w:t xml:space="preserve"> </w:t>
      </w:r>
      <w:r w:rsidRPr="00030BA2">
        <w:rPr>
          <w:lang w:val="pl-PL"/>
        </w:rPr>
        <w:t>284</w:t>
      </w:r>
      <w:r>
        <w:rPr>
          <w:lang w:val="pl-PL"/>
        </w:rPr>
        <w:t>–</w:t>
      </w:r>
      <w:r w:rsidRPr="00030BA2">
        <w:rPr>
          <w:lang w:val="pl-PL"/>
        </w:rPr>
        <w:t>286;</w:t>
      </w:r>
      <w:r>
        <w:rPr>
          <w:lang w:val="pl-PL"/>
        </w:rPr>
        <w:t xml:space="preserve"> </w:t>
      </w:r>
      <w:r w:rsidRPr="00030BA2">
        <w:rPr>
          <w:lang w:val="pl-PL"/>
        </w:rPr>
        <w:t>299;</w:t>
      </w:r>
      <w:r>
        <w:rPr>
          <w:lang w:val="pl-PL"/>
        </w:rPr>
        <w:t xml:space="preserve"> </w:t>
      </w:r>
      <w:r w:rsidRPr="00030BA2">
        <w:rPr>
          <w:lang w:val="pl-PL"/>
        </w:rPr>
        <w:t>460.</w:t>
      </w:r>
    </w:p>
  </w:footnote>
  <w:footnote w:id="214">
    <w:p w:rsidR="001C15E8" w:rsidRPr="00611458" w:rsidRDefault="001C15E8">
      <w:pPr>
        <w:pStyle w:val="FootnoteText"/>
        <w:rPr>
          <w:lang w:val="pl-PL"/>
        </w:rPr>
      </w:pPr>
      <w:r>
        <w:rPr>
          <w:rStyle w:val="FootnoteReference"/>
        </w:rPr>
        <w:footnoteRef/>
      </w:r>
      <w:r w:rsidRPr="00611458">
        <w:rPr>
          <w:lang w:val="pl-PL"/>
        </w:rPr>
        <w:tab/>
      </w:r>
      <w:r>
        <w:rPr>
          <w:lang w:val="pl-PL"/>
        </w:rPr>
        <w:t>idem</w:t>
      </w:r>
      <w:r w:rsidRPr="00030BA2">
        <w:rPr>
          <w:lang w:val="pl-PL"/>
        </w:rPr>
        <w:t>,</w:t>
      </w:r>
      <w:r>
        <w:rPr>
          <w:lang w:val="pl-PL"/>
        </w:rPr>
        <w:t xml:space="preserve"> </w:t>
      </w:r>
      <w:r w:rsidRPr="00030BA2">
        <w:rPr>
          <w:lang w:val="pl-PL"/>
        </w:rPr>
        <w:t>p.</w:t>
      </w:r>
      <w:r>
        <w:rPr>
          <w:lang w:val="pl-PL"/>
        </w:rPr>
        <w:t xml:space="preserve"> </w:t>
      </w:r>
      <w:r w:rsidRPr="00030BA2">
        <w:rPr>
          <w:lang w:val="pl-PL"/>
        </w:rPr>
        <w:t>122.</w:t>
      </w:r>
    </w:p>
  </w:footnote>
  <w:footnote w:id="215">
    <w:p w:rsidR="001C15E8" w:rsidRPr="00611458" w:rsidRDefault="001C15E8">
      <w:pPr>
        <w:pStyle w:val="FootnoteText"/>
        <w:rPr>
          <w:lang w:val="pl-PL"/>
        </w:rPr>
      </w:pPr>
      <w:r>
        <w:rPr>
          <w:rStyle w:val="FootnoteReference"/>
        </w:rPr>
        <w:footnoteRef/>
      </w:r>
      <w:r w:rsidRPr="00611458">
        <w:rPr>
          <w:lang w:val="pl-PL"/>
        </w:rPr>
        <w:tab/>
      </w:r>
      <w:r>
        <w:rPr>
          <w:lang w:val="pl-PL"/>
        </w:rPr>
        <w:t>idem</w:t>
      </w:r>
      <w:r w:rsidRPr="00030BA2">
        <w:rPr>
          <w:lang w:val="pl-PL"/>
        </w:rPr>
        <w:t>,</w:t>
      </w:r>
      <w:r>
        <w:rPr>
          <w:lang w:val="pl-PL"/>
        </w:rPr>
        <w:t xml:space="preserve"> </w:t>
      </w:r>
      <w:r w:rsidRPr="00030BA2">
        <w:rPr>
          <w:lang w:val="pl-PL"/>
        </w:rPr>
        <w:t>p.</w:t>
      </w:r>
      <w:r>
        <w:rPr>
          <w:lang w:val="pl-PL"/>
        </w:rPr>
        <w:t xml:space="preserve"> </w:t>
      </w:r>
      <w:r w:rsidRPr="00030BA2">
        <w:rPr>
          <w:lang w:val="pl-PL"/>
        </w:rPr>
        <w:t>465.</w:t>
      </w:r>
    </w:p>
  </w:footnote>
  <w:footnote w:id="216">
    <w:p w:rsidR="001C15E8" w:rsidRPr="00932C23" w:rsidRDefault="001C15E8">
      <w:pPr>
        <w:pStyle w:val="FootnoteText"/>
        <w:rPr>
          <w:lang w:val="en-US"/>
        </w:rPr>
      </w:pPr>
      <w:r>
        <w:rPr>
          <w:rStyle w:val="FootnoteReference"/>
        </w:rPr>
        <w:footnoteRef/>
      </w:r>
      <w:r>
        <w:tab/>
      </w:r>
      <w:r w:rsidRPr="009C18CA">
        <w:rPr>
          <w:i/>
          <w:iCs/>
        </w:rPr>
        <w:t>The</w:t>
      </w:r>
      <w:r>
        <w:rPr>
          <w:i/>
          <w:iCs/>
        </w:rPr>
        <w:t xml:space="preserve"> </w:t>
      </w:r>
      <w:r w:rsidRPr="009C18CA">
        <w:rPr>
          <w:i/>
          <w:iCs/>
        </w:rPr>
        <w:t>Tárí</w:t>
      </w:r>
      <w:r w:rsidRPr="009C18CA">
        <w:rPr>
          <w:i/>
          <w:iCs/>
          <w:u w:val="single"/>
        </w:rPr>
        <w:t>kh</w:t>
      </w:r>
      <w:r w:rsidRPr="009C18CA">
        <w:rPr>
          <w:i/>
          <w:iCs/>
        </w:rPr>
        <w:t>-i-Jadíd</w:t>
      </w:r>
      <w:r w:rsidRPr="00382917">
        <w:t>,</w:t>
      </w:r>
      <w:r>
        <w:t xml:space="preserve"> </w:t>
      </w:r>
      <w:r w:rsidRPr="00382917">
        <w:t>p.</w:t>
      </w:r>
      <w:r>
        <w:t xml:space="preserve"> </w:t>
      </w:r>
      <w:r w:rsidRPr="00382917">
        <w:t>115.</w:t>
      </w:r>
    </w:p>
  </w:footnote>
  <w:footnote w:id="217">
    <w:p w:rsidR="001C15E8" w:rsidRPr="00F026C3" w:rsidRDefault="001C15E8">
      <w:pPr>
        <w:pStyle w:val="FootnoteText"/>
        <w:rPr>
          <w:lang w:val="en-US"/>
        </w:rPr>
      </w:pPr>
      <w:r>
        <w:rPr>
          <w:rStyle w:val="FootnoteReference"/>
        </w:rPr>
        <w:footnoteRef/>
      </w:r>
      <w:r>
        <w:tab/>
      </w:r>
      <w:r w:rsidRPr="00382917">
        <w:t>Nabíl,</w:t>
      </w:r>
      <w:r>
        <w:t xml:space="preserve"> </w:t>
      </w:r>
      <w:proofErr w:type="gramStart"/>
      <w:r w:rsidRPr="00382917">
        <w:rPr>
          <w:i/>
          <w:iCs/>
        </w:rPr>
        <w:t>The</w:t>
      </w:r>
      <w:proofErr w:type="gramEnd"/>
      <w:r>
        <w:rPr>
          <w:i/>
          <w:iCs/>
        </w:rPr>
        <w:t xml:space="preserve"> </w:t>
      </w:r>
      <w:r w:rsidRPr="00382917">
        <w:rPr>
          <w:i/>
          <w:iCs/>
        </w:rPr>
        <w:t>Dawn-Breakers</w:t>
      </w:r>
      <w:r w:rsidRPr="00382917">
        <w:t>,</w:t>
      </w:r>
      <w:r>
        <w:t xml:space="preserve"> </w:t>
      </w:r>
      <w:r w:rsidRPr="00382917">
        <w:t>p.</w:t>
      </w:r>
      <w:r>
        <w:t xml:space="preserve"> </w:t>
      </w:r>
      <w:r w:rsidRPr="00382917">
        <w:t>432.</w:t>
      </w:r>
    </w:p>
  </w:footnote>
  <w:footnote w:id="218">
    <w:p w:rsidR="001C15E8" w:rsidRPr="00DB5EDC" w:rsidRDefault="001C15E8">
      <w:pPr>
        <w:pStyle w:val="FootnoteText"/>
        <w:rPr>
          <w:lang w:val="en-US"/>
        </w:rPr>
      </w:pPr>
      <w:r>
        <w:rPr>
          <w:rStyle w:val="FootnoteReference"/>
        </w:rPr>
        <w:footnoteRef/>
      </w:r>
      <w:r>
        <w:tab/>
      </w:r>
      <w:proofErr w:type="gramStart"/>
      <w:r>
        <w:t>idem</w:t>
      </w:r>
      <w:proofErr w:type="gramEnd"/>
      <w:r w:rsidRPr="00382917">
        <w:t>,</w:t>
      </w:r>
      <w:r>
        <w:t xml:space="preserve"> </w:t>
      </w:r>
      <w:r w:rsidRPr="00382917">
        <w:t>p.</w:t>
      </w:r>
      <w:r>
        <w:t xml:space="preserve"> </w:t>
      </w:r>
      <w:r w:rsidRPr="00382917">
        <w:t>536.</w:t>
      </w:r>
    </w:p>
  </w:footnote>
  <w:footnote w:id="219">
    <w:p w:rsidR="001C15E8" w:rsidRPr="00A920DC" w:rsidRDefault="001C15E8">
      <w:pPr>
        <w:pStyle w:val="FootnoteText"/>
        <w:rPr>
          <w:lang w:val="en-US"/>
        </w:rPr>
      </w:pPr>
      <w:r>
        <w:rPr>
          <w:rStyle w:val="FootnoteReference"/>
        </w:rPr>
        <w:footnoteRef/>
      </w:r>
      <w:r>
        <w:tab/>
      </w:r>
      <w:r w:rsidRPr="00382917">
        <w:t>Matthew</w:t>
      </w:r>
      <w:r>
        <w:t xml:space="preserve"> </w:t>
      </w:r>
      <w:r w:rsidRPr="00382917">
        <w:t>10:21.</w:t>
      </w:r>
    </w:p>
  </w:footnote>
  <w:footnote w:id="220">
    <w:p w:rsidR="001C15E8" w:rsidRPr="005873D3" w:rsidRDefault="001C15E8">
      <w:pPr>
        <w:pStyle w:val="FootnoteText"/>
        <w:rPr>
          <w:lang w:val="en-US"/>
        </w:rPr>
      </w:pPr>
      <w:r>
        <w:rPr>
          <w:rStyle w:val="FootnoteReference"/>
        </w:rPr>
        <w:footnoteRef/>
      </w:r>
      <w:r>
        <w:tab/>
      </w:r>
      <w:proofErr w:type="gramStart"/>
      <w:r>
        <w:t>Qur’án</w:t>
      </w:r>
      <w:proofErr w:type="gramEnd"/>
      <w:r>
        <w:t xml:space="preserve"> </w:t>
      </w:r>
      <w:r w:rsidRPr="00382917">
        <w:t>80:34.</w:t>
      </w:r>
    </w:p>
  </w:footnote>
  <w:footnote w:id="221">
    <w:p w:rsidR="001C15E8" w:rsidRPr="003C29D6" w:rsidRDefault="001C15E8">
      <w:pPr>
        <w:pStyle w:val="FootnoteText"/>
        <w:rPr>
          <w:lang w:val="en-US"/>
        </w:rPr>
      </w:pPr>
      <w:r>
        <w:rPr>
          <w:rStyle w:val="FootnoteReference"/>
        </w:rPr>
        <w:footnoteRef/>
      </w:r>
      <w:r>
        <w:tab/>
      </w:r>
      <w:r w:rsidRPr="00382917">
        <w:t>Nabíl,</w:t>
      </w:r>
      <w:r>
        <w:t xml:space="preserve"> </w:t>
      </w:r>
      <w:proofErr w:type="gramStart"/>
      <w:r w:rsidRPr="00382917">
        <w:rPr>
          <w:i/>
          <w:iCs/>
        </w:rPr>
        <w:t>The</w:t>
      </w:r>
      <w:proofErr w:type="gramEnd"/>
      <w:r>
        <w:rPr>
          <w:i/>
          <w:iCs/>
        </w:rPr>
        <w:t xml:space="preserve"> </w:t>
      </w:r>
      <w:r w:rsidRPr="00382917">
        <w:rPr>
          <w:i/>
          <w:iCs/>
        </w:rPr>
        <w:t>Dawn-Breakers</w:t>
      </w:r>
      <w:r w:rsidRPr="00382917">
        <w:t>,</w:t>
      </w:r>
      <w:r>
        <w:t xml:space="preserve"> </w:t>
      </w:r>
      <w:r w:rsidRPr="00382917">
        <w:t>pp.</w:t>
      </w:r>
      <w:r>
        <w:t xml:space="preserve"> </w:t>
      </w:r>
      <w:r w:rsidRPr="00382917">
        <w:t>552</w:t>
      </w:r>
      <w:r>
        <w:t>–</w:t>
      </w:r>
      <w:r w:rsidRPr="00382917">
        <w:t>554.</w:t>
      </w:r>
    </w:p>
  </w:footnote>
  <w:footnote w:id="222">
    <w:p w:rsidR="001C15E8" w:rsidRPr="00664197" w:rsidRDefault="001C15E8">
      <w:pPr>
        <w:pStyle w:val="FootnoteText"/>
        <w:rPr>
          <w:lang w:val="en-US"/>
        </w:rPr>
      </w:pPr>
      <w:r>
        <w:rPr>
          <w:rStyle w:val="FootnoteReference"/>
        </w:rPr>
        <w:footnoteRef/>
      </w:r>
      <w:r>
        <w:tab/>
      </w:r>
      <w:proofErr w:type="gramStart"/>
      <w:r>
        <w:t>idem</w:t>
      </w:r>
      <w:proofErr w:type="gramEnd"/>
      <w:r w:rsidRPr="00382917">
        <w:t>,</w:t>
      </w:r>
      <w:r>
        <w:t xml:space="preserve"> </w:t>
      </w:r>
      <w:r w:rsidRPr="00382917">
        <w:t>p.</w:t>
      </w:r>
      <w:r>
        <w:t xml:space="preserve"> </w:t>
      </w:r>
      <w:r w:rsidRPr="00382917">
        <w:t>537.</w:t>
      </w:r>
    </w:p>
  </w:footnote>
  <w:footnote w:id="223">
    <w:p w:rsidR="001C15E8" w:rsidRPr="00611458" w:rsidRDefault="001C15E8">
      <w:pPr>
        <w:pStyle w:val="FootnoteText"/>
        <w:rPr>
          <w:lang w:val="en-US"/>
        </w:rPr>
      </w:pPr>
      <w:r>
        <w:rPr>
          <w:rStyle w:val="FootnoteReference"/>
        </w:rPr>
        <w:footnoteRef/>
      </w:r>
      <w:r w:rsidRPr="00611458">
        <w:rPr>
          <w:lang w:val="en-US"/>
        </w:rPr>
        <w:tab/>
        <w:t xml:space="preserve">A. L. M. Nicolas, </w:t>
      </w:r>
      <w:r w:rsidRPr="00611458">
        <w:rPr>
          <w:i/>
          <w:iCs/>
          <w:lang w:val="en-US"/>
        </w:rPr>
        <w:t xml:space="preserve">Siyyid ‘Alí-Muḥammad </w:t>
      </w:r>
      <w:proofErr w:type="spellStart"/>
      <w:r w:rsidRPr="00611458">
        <w:rPr>
          <w:i/>
          <w:iCs/>
          <w:lang w:val="en-US"/>
        </w:rPr>
        <w:t>dit</w:t>
      </w:r>
      <w:proofErr w:type="spellEnd"/>
      <w:r w:rsidRPr="00611458">
        <w:rPr>
          <w:i/>
          <w:iCs/>
          <w:lang w:val="en-US"/>
        </w:rPr>
        <w:t xml:space="preserve"> le Báb</w:t>
      </w:r>
      <w:r w:rsidRPr="00611458">
        <w:rPr>
          <w:lang w:val="en-US"/>
        </w:rPr>
        <w:t>, p. 335.</w:t>
      </w:r>
    </w:p>
  </w:footnote>
  <w:footnote w:id="224">
    <w:p w:rsidR="001C15E8" w:rsidRPr="00664197" w:rsidRDefault="001C15E8">
      <w:pPr>
        <w:pStyle w:val="FootnoteText"/>
        <w:rPr>
          <w:lang w:val="en-US"/>
        </w:rPr>
      </w:pPr>
      <w:r>
        <w:rPr>
          <w:rStyle w:val="FootnoteReference"/>
        </w:rPr>
        <w:footnoteRef/>
      </w:r>
      <w:r>
        <w:tab/>
      </w:r>
      <w:r w:rsidRPr="00382917">
        <w:t>Nabíl,</w:t>
      </w:r>
      <w:r>
        <w:t xml:space="preserve"> </w:t>
      </w:r>
      <w:proofErr w:type="gramStart"/>
      <w:r w:rsidRPr="00382917">
        <w:rPr>
          <w:i/>
          <w:iCs/>
        </w:rPr>
        <w:t>The</w:t>
      </w:r>
      <w:proofErr w:type="gramEnd"/>
      <w:r>
        <w:rPr>
          <w:i/>
          <w:iCs/>
        </w:rPr>
        <w:t xml:space="preserve"> </w:t>
      </w:r>
      <w:r w:rsidRPr="00382917">
        <w:rPr>
          <w:i/>
          <w:iCs/>
        </w:rPr>
        <w:t>Dawn-Breakers</w:t>
      </w:r>
      <w:r w:rsidRPr="00382917">
        <w:t>,</w:t>
      </w:r>
      <w:r>
        <w:t xml:space="preserve"> </w:t>
      </w:r>
      <w:r w:rsidRPr="00382917">
        <w:t>p.</w:t>
      </w:r>
      <w:r>
        <w:t xml:space="preserve"> </w:t>
      </w:r>
      <w:r w:rsidRPr="00382917">
        <w:t>572</w:t>
      </w:r>
      <w:r>
        <w:t>–</w:t>
      </w:r>
      <w:r w:rsidRPr="00382917">
        <w:t>573.</w:t>
      </w:r>
    </w:p>
  </w:footnote>
  <w:footnote w:id="225">
    <w:p w:rsidR="001C15E8" w:rsidRPr="00E6389D" w:rsidRDefault="001C15E8">
      <w:pPr>
        <w:pStyle w:val="FootnoteText"/>
        <w:rPr>
          <w:lang w:val="fr-FR"/>
        </w:rPr>
      </w:pPr>
      <w:r>
        <w:rPr>
          <w:rStyle w:val="FootnoteReference"/>
        </w:rPr>
        <w:footnoteRef/>
      </w:r>
      <w:r w:rsidRPr="00E6389D">
        <w:rPr>
          <w:lang w:val="fr-FR"/>
        </w:rPr>
        <w:tab/>
      </w:r>
      <w:r w:rsidRPr="00030BA2">
        <w:rPr>
          <w:lang w:val="fr-FR"/>
        </w:rPr>
        <w:t>Comte</w:t>
      </w:r>
      <w:r>
        <w:rPr>
          <w:lang w:val="fr-FR"/>
        </w:rPr>
        <w:t xml:space="preserve"> </w:t>
      </w:r>
      <w:r w:rsidRPr="00030BA2">
        <w:rPr>
          <w:lang w:val="fr-FR"/>
        </w:rPr>
        <w:t>de</w:t>
      </w:r>
      <w:r>
        <w:rPr>
          <w:lang w:val="fr-FR"/>
        </w:rPr>
        <w:t xml:space="preserve"> </w:t>
      </w:r>
      <w:r w:rsidRPr="00030BA2">
        <w:rPr>
          <w:lang w:val="fr-FR"/>
        </w:rPr>
        <w:t>Gobineau,</w:t>
      </w:r>
      <w:r>
        <w:rPr>
          <w:lang w:val="fr-FR"/>
        </w:rPr>
        <w:t xml:space="preserve"> </w:t>
      </w:r>
      <w:r w:rsidRPr="00E6389D">
        <w:rPr>
          <w:i/>
          <w:iCs/>
          <w:lang w:val="fr-FR"/>
        </w:rPr>
        <w:t>Les Religions et les Philosophies dans l’Asie Centrale</w:t>
      </w:r>
      <w:r w:rsidRPr="00030BA2">
        <w:rPr>
          <w:lang w:val="fr-FR"/>
        </w:rPr>
        <w:t>,</w:t>
      </w:r>
      <w:r>
        <w:rPr>
          <w:lang w:val="fr-FR"/>
        </w:rPr>
        <w:t xml:space="preserve"> </w:t>
      </w:r>
      <w:r w:rsidRPr="00030BA2">
        <w:rPr>
          <w:lang w:val="fr-FR"/>
        </w:rPr>
        <w:t>pp.</w:t>
      </w:r>
      <w:r>
        <w:rPr>
          <w:lang w:val="fr-FR"/>
        </w:rPr>
        <w:t xml:space="preserve"> </w:t>
      </w:r>
      <w:r w:rsidRPr="00030BA2">
        <w:rPr>
          <w:lang w:val="fr-FR"/>
        </w:rPr>
        <w:t>200</w:t>
      </w:r>
      <w:r>
        <w:rPr>
          <w:lang w:val="fr-FR"/>
        </w:rPr>
        <w:t>–</w:t>
      </w:r>
      <w:r w:rsidRPr="00030BA2">
        <w:rPr>
          <w:lang w:val="fr-FR"/>
        </w:rPr>
        <w:t>201.</w:t>
      </w:r>
    </w:p>
  </w:footnote>
  <w:footnote w:id="226">
    <w:p w:rsidR="001C15E8" w:rsidRPr="00611AA4" w:rsidRDefault="001C15E8">
      <w:pPr>
        <w:pStyle w:val="FootnoteText"/>
        <w:rPr>
          <w:lang w:val="es-ES"/>
        </w:rPr>
      </w:pPr>
      <w:r>
        <w:rPr>
          <w:rStyle w:val="FootnoteReference"/>
        </w:rPr>
        <w:footnoteRef/>
      </w:r>
      <w:r w:rsidRPr="00611AA4">
        <w:rPr>
          <w:lang w:val="es-ES"/>
        </w:rPr>
        <w:tab/>
      </w:r>
      <w:r w:rsidRPr="00030BA2">
        <w:rPr>
          <w:lang w:val="es-ES"/>
        </w:rPr>
        <w:t>A.</w:t>
      </w:r>
      <w:r>
        <w:rPr>
          <w:lang w:val="es-ES"/>
        </w:rPr>
        <w:t xml:space="preserve"> </w:t>
      </w:r>
      <w:r w:rsidRPr="00030BA2">
        <w:rPr>
          <w:lang w:val="es-ES"/>
        </w:rPr>
        <w:t>L.</w:t>
      </w:r>
      <w:r>
        <w:rPr>
          <w:lang w:val="es-ES"/>
        </w:rPr>
        <w:t xml:space="preserve"> </w:t>
      </w:r>
      <w:r w:rsidRPr="00030BA2">
        <w:rPr>
          <w:lang w:val="es-ES"/>
        </w:rPr>
        <w:t>M.</w:t>
      </w:r>
      <w:r>
        <w:rPr>
          <w:lang w:val="es-ES"/>
        </w:rPr>
        <w:t xml:space="preserve"> </w:t>
      </w:r>
      <w:proofErr w:type="spellStart"/>
      <w:r w:rsidRPr="00030BA2">
        <w:rPr>
          <w:lang w:val="es-ES"/>
        </w:rPr>
        <w:t>Nicolas</w:t>
      </w:r>
      <w:proofErr w:type="spellEnd"/>
      <w:r w:rsidRPr="00030BA2">
        <w:rPr>
          <w:lang w:val="es-ES"/>
        </w:rPr>
        <w:t>,</w:t>
      </w:r>
      <w:r>
        <w:rPr>
          <w:lang w:val="es-ES"/>
        </w:rPr>
        <w:t xml:space="preserve"> </w:t>
      </w:r>
      <w:r w:rsidRPr="001713B3">
        <w:rPr>
          <w:i/>
          <w:iCs/>
          <w:lang w:val="es-ES"/>
        </w:rPr>
        <w:t>Siyyid</w:t>
      </w:r>
      <w:r>
        <w:rPr>
          <w:i/>
          <w:iCs/>
          <w:lang w:val="es-ES"/>
        </w:rPr>
        <w:t xml:space="preserve"> </w:t>
      </w:r>
      <w:r w:rsidRPr="001713B3">
        <w:rPr>
          <w:i/>
          <w:iCs/>
          <w:lang w:val="es-ES"/>
        </w:rPr>
        <w:t>‘Alí-Muḥammad</w:t>
      </w:r>
      <w:r>
        <w:rPr>
          <w:i/>
          <w:iCs/>
          <w:lang w:val="es-ES"/>
        </w:rPr>
        <w:t xml:space="preserve"> </w:t>
      </w:r>
      <w:proofErr w:type="spellStart"/>
      <w:r w:rsidRPr="001713B3">
        <w:rPr>
          <w:i/>
          <w:iCs/>
          <w:lang w:val="es-ES"/>
        </w:rPr>
        <w:t>dit</w:t>
      </w:r>
      <w:proofErr w:type="spellEnd"/>
      <w:r>
        <w:rPr>
          <w:i/>
          <w:iCs/>
          <w:lang w:val="es-ES"/>
        </w:rPr>
        <w:t xml:space="preserve"> </w:t>
      </w:r>
      <w:r w:rsidRPr="001713B3">
        <w:rPr>
          <w:i/>
          <w:iCs/>
          <w:lang w:val="es-ES"/>
        </w:rPr>
        <w:t>le</w:t>
      </w:r>
      <w:r>
        <w:rPr>
          <w:i/>
          <w:iCs/>
          <w:lang w:val="es-ES"/>
        </w:rPr>
        <w:t xml:space="preserve"> </w:t>
      </w:r>
      <w:r w:rsidRPr="001713B3">
        <w:rPr>
          <w:i/>
          <w:iCs/>
          <w:lang w:val="es-ES"/>
        </w:rPr>
        <w:t>Báb</w:t>
      </w:r>
      <w:r w:rsidRPr="00030BA2">
        <w:rPr>
          <w:lang w:val="es-ES"/>
        </w:rPr>
        <w:t>,</w:t>
      </w:r>
      <w:r>
        <w:rPr>
          <w:lang w:val="es-ES"/>
        </w:rPr>
        <w:t xml:space="preserve"> </w:t>
      </w:r>
      <w:r w:rsidRPr="00030BA2">
        <w:rPr>
          <w:lang w:val="es-ES"/>
        </w:rPr>
        <w:t>p.</w:t>
      </w:r>
      <w:r>
        <w:rPr>
          <w:lang w:val="es-ES"/>
        </w:rPr>
        <w:t xml:space="preserve"> </w:t>
      </w:r>
      <w:r w:rsidRPr="00030BA2">
        <w:rPr>
          <w:lang w:val="es-ES"/>
        </w:rPr>
        <w:t>350.</w:t>
      </w:r>
    </w:p>
  </w:footnote>
  <w:footnote w:id="227">
    <w:p w:rsidR="001C15E8" w:rsidRPr="00611AA4" w:rsidRDefault="001C15E8">
      <w:pPr>
        <w:pStyle w:val="FootnoteText"/>
        <w:rPr>
          <w:lang w:val="en-US"/>
        </w:rPr>
      </w:pPr>
      <w:r>
        <w:rPr>
          <w:rStyle w:val="FootnoteReference"/>
        </w:rPr>
        <w:footnoteRef/>
      </w:r>
      <w:r>
        <w:tab/>
      </w:r>
      <w:proofErr w:type="gramStart"/>
      <w:r w:rsidRPr="00382917">
        <w:t>Nabíl,</w:t>
      </w:r>
      <w:r>
        <w:t xml:space="preserve"> </w:t>
      </w:r>
      <w:r w:rsidRPr="00382917">
        <w:rPr>
          <w:i/>
          <w:iCs/>
        </w:rPr>
        <w:t>The</w:t>
      </w:r>
      <w:r>
        <w:rPr>
          <w:i/>
          <w:iCs/>
        </w:rPr>
        <w:t xml:space="preserve"> </w:t>
      </w:r>
      <w:r w:rsidRPr="00382917">
        <w:rPr>
          <w:i/>
          <w:iCs/>
        </w:rPr>
        <w:t>Dawn-Breakers</w:t>
      </w:r>
      <w:r w:rsidRPr="00382917">
        <w:t>,</w:t>
      </w:r>
      <w:r>
        <w:t xml:space="preserve"> </w:t>
      </w:r>
      <w:r w:rsidRPr="00382917">
        <w:t>p.</w:t>
      </w:r>
      <w:r>
        <w:t xml:space="preserve"> </w:t>
      </w:r>
      <w:r w:rsidRPr="00382917">
        <w:t>561,</w:t>
      </w:r>
      <w:r>
        <w:t xml:space="preserve"> </w:t>
      </w:r>
      <w:r w:rsidRPr="00382917">
        <w:t>footnote.</w:t>
      </w:r>
      <w:proofErr w:type="gramEnd"/>
    </w:p>
  </w:footnote>
  <w:footnote w:id="228">
    <w:p w:rsidR="001C15E8" w:rsidRPr="00611AA4" w:rsidRDefault="001C15E8">
      <w:pPr>
        <w:pStyle w:val="FootnoteText"/>
        <w:rPr>
          <w:lang w:val="en-US"/>
        </w:rPr>
      </w:pPr>
      <w:r>
        <w:rPr>
          <w:rStyle w:val="FootnoteReference"/>
        </w:rPr>
        <w:footnoteRef/>
      </w:r>
      <w:r>
        <w:tab/>
      </w:r>
      <w:proofErr w:type="gramStart"/>
      <w:r>
        <w:t>idem</w:t>
      </w:r>
      <w:proofErr w:type="gramEnd"/>
      <w:r w:rsidRPr="00382917">
        <w:t>,</w:t>
      </w:r>
      <w:r>
        <w:t xml:space="preserve"> </w:t>
      </w:r>
      <w:r w:rsidRPr="00382917">
        <w:t>p.</w:t>
      </w:r>
      <w:r>
        <w:t xml:space="preserve"> </w:t>
      </w:r>
      <w:r w:rsidRPr="00382917">
        <w:t>323,</w:t>
      </w:r>
      <w:r>
        <w:t xml:space="preserve"> </w:t>
      </w:r>
      <w:r w:rsidRPr="00382917">
        <w:t>footnote;</w:t>
      </w:r>
      <w:r>
        <w:t xml:space="preserve"> </w:t>
      </w:r>
      <w:r w:rsidRPr="00382917">
        <w:t>p.</w:t>
      </w:r>
      <w:r>
        <w:t xml:space="preserve"> </w:t>
      </w:r>
      <w:r w:rsidRPr="00382917">
        <w:t>539.</w:t>
      </w:r>
    </w:p>
  </w:footnote>
  <w:footnote w:id="229">
    <w:p w:rsidR="001C15E8" w:rsidRPr="00611AA4" w:rsidRDefault="001C15E8">
      <w:pPr>
        <w:pStyle w:val="FootnoteText"/>
        <w:rPr>
          <w:lang w:val="en-US"/>
        </w:rPr>
      </w:pPr>
      <w:r>
        <w:rPr>
          <w:rStyle w:val="FootnoteReference"/>
        </w:rPr>
        <w:footnoteRef/>
      </w:r>
      <w:r>
        <w:tab/>
      </w:r>
      <w:proofErr w:type="gramStart"/>
      <w:r>
        <w:t>idem</w:t>
      </w:r>
      <w:proofErr w:type="gramEnd"/>
      <w:r w:rsidRPr="00382917">
        <w:t>,</w:t>
      </w:r>
      <w:r>
        <w:t xml:space="preserve"> </w:t>
      </w:r>
      <w:r w:rsidRPr="00382917">
        <w:t>p.</w:t>
      </w:r>
      <w:r>
        <w:t xml:space="preserve"> </w:t>
      </w:r>
      <w:r w:rsidRPr="00382917">
        <w:t>70.</w:t>
      </w:r>
    </w:p>
  </w:footnote>
  <w:footnote w:id="230">
    <w:p w:rsidR="001C15E8" w:rsidRPr="00611AA4" w:rsidRDefault="001C15E8">
      <w:pPr>
        <w:pStyle w:val="FootnoteText"/>
        <w:rPr>
          <w:lang w:val="en-US"/>
        </w:rPr>
      </w:pPr>
      <w:r>
        <w:rPr>
          <w:rStyle w:val="FootnoteReference"/>
        </w:rPr>
        <w:footnoteRef/>
      </w:r>
      <w:r>
        <w:tab/>
      </w:r>
      <w:proofErr w:type="gramStart"/>
      <w:r>
        <w:t>idem</w:t>
      </w:r>
      <w:proofErr w:type="gramEnd"/>
      <w:r w:rsidRPr="00382917">
        <w:t>,</w:t>
      </w:r>
      <w:r>
        <w:t xml:space="preserve"> </w:t>
      </w:r>
      <w:r w:rsidRPr="00382917">
        <w:t>pp.</w:t>
      </w:r>
      <w:r>
        <w:t xml:space="preserve"> </w:t>
      </w:r>
      <w:r w:rsidRPr="00382917">
        <w:t>93</w:t>
      </w:r>
      <w:r>
        <w:t>–</w:t>
      </w:r>
      <w:r w:rsidRPr="00382917">
        <w:t>94.</w:t>
      </w:r>
    </w:p>
  </w:footnote>
  <w:footnote w:id="231">
    <w:p w:rsidR="001C15E8" w:rsidRPr="00611AA4" w:rsidRDefault="001C15E8">
      <w:pPr>
        <w:pStyle w:val="FootnoteText"/>
        <w:rPr>
          <w:lang w:val="en-US"/>
        </w:rPr>
      </w:pPr>
      <w:r>
        <w:rPr>
          <w:rStyle w:val="FootnoteReference"/>
        </w:rPr>
        <w:footnoteRef/>
      </w:r>
      <w:r>
        <w:tab/>
      </w:r>
      <w:proofErr w:type="gramStart"/>
      <w:r>
        <w:t>idem</w:t>
      </w:r>
      <w:proofErr w:type="gramEnd"/>
      <w:r w:rsidRPr="00382917">
        <w:t>,</w:t>
      </w:r>
      <w:r>
        <w:t xml:space="preserve"> </w:t>
      </w:r>
      <w:r w:rsidRPr="00382917">
        <w:t>p.</w:t>
      </w:r>
      <w:r>
        <w:t xml:space="preserve"> </w:t>
      </w:r>
      <w:r w:rsidRPr="00382917">
        <w:t>123.</w:t>
      </w:r>
    </w:p>
  </w:footnote>
  <w:footnote w:id="232">
    <w:p w:rsidR="001C15E8" w:rsidRPr="00611AA4" w:rsidRDefault="001C15E8">
      <w:pPr>
        <w:pStyle w:val="FootnoteText"/>
        <w:rPr>
          <w:lang w:val="en-US"/>
        </w:rPr>
      </w:pPr>
      <w:r>
        <w:rPr>
          <w:rStyle w:val="FootnoteReference"/>
        </w:rPr>
        <w:footnoteRef/>
      </w:r>
      <w:r>
        <w:tab/>
      </w:r>
      <w:proofErr w:type="gramStart"/>
      <w:r>
        <w:t>idem</w:t>
      </w:r>
      <w:proofErr w:type="gramEnd"/>
      <w:r w:rsidRPr="00382917">
        <w:t>,</w:t>
      </w:r>
      <w:r>
        <w:t xml:space="preserve"> </w:t>
      </w:r>
      <w:r w:rsidRPr="00382917">
        <w:t>Introduction</w:t>
      </w:r>
      <w:r>
        <w:t xml:space="preserve"> </w:t>
      </w:r>
      <w:r w:rsidRPr="00382917">
        <w:t>by</w:t>
      </w:r>
      <w:r>
        <w:t xml:space="preserve"> </w:t>
      </w:r>
      <w:r w:rsidRPr="00382917">
        <w:t>Shoghi</w:t>
      </w:r>
      <w:r>
        <w:t xml:space="preserve"> </w:t>
      </w:r>
      <w:r w:rsidRPr="00382917">
        <w:t>Effendi,</w:t>
      </w:r>
      <w:r>
        <w:t xml:space="preserve"> </w:t>
      </w:r>
      <w:r w:rsidRPr="00382917">
        <w:t>pp.</w:t>
      </w:r>
      <w:r>
        <w:t xml:space="preserve"> </w:t>
      </w:r>
      <w:r w:rsidRPr="00382917">
        <w:t>xxx</w:t>
      </w:r>
      <w:r>
        <w:t>–</w:t>
      </w:r>
      <w:r w:rsidRPr="00382917">
        <w:t>xxxi.</w:t>
      </w:r>
    </w:p>
  </w:footnote>
  <w:footnote w:id="233">
    <w:p w:rsidR="001C15E8" w:rsidRPr="00611AA4" w:rsidRDefault="001C15E8">
      <w:pPr>
        <w:pStyle w:val="FootnoteText"/>
        <w:rPr>
          <w:lang w:val="en-US"/>
        </w:rPr>
      </w:pPr>
      <w:r>
        <w:rPr>
          <w:rStyle w:val="FootnoteReference"/>
        </w:rPr>
        <w:footnoteRef/>
      </w:r>
      <w:r>
        <w:tab/>
      </w:r>
      <w:proofErr w:type="gramStart"/>
      <w:r w:rsidRPr="00382917">
        <w:t>Bahá’u’lláh,</w:t>
      </w:r>
      <w:r>
        <w:t xml:space="preserve"> </w:t>
      </w:r>
      <w:r w:rsidRPr="00611AA4">
        <w:rPr>
          <w:i/>
          <w:iCs/>
        </w:rPr>
        <w:t>Epistle to the Son of the Wolf</w:t>
      </w:r>
      <w:r w:rsidRPr="00382917">
        <w:t>,</w:t>
      </w:r>
      <w:r>
        <w:t xml:space="preserve"> </w:t>
      </w:r>
      <w:r w:rsidRPr="00382917">
        <w:t>p.</w:t>
      </w:r>
      <w:r>
        <w:t xml:space="preserve"> </w:t>
      </w:r>
      <w:r w:rsidRPr="00382917">
        <w:t>162.</w:t>
      </w:r>
      <w:proofErr w:type="gramEnd"/>
    </w:p>
  </w:footnote>
  <w:footnote w:id="234">
    <w:p w:rsidR="001C15E8" w:rsidRPr="00F323D3" w:rsidRDefault="001C15E8">
      <w:pPr>
        <w:pStyle w:val="FootnoteText"/>
        <w:rPr>
          <w:lang w:val="en-US"/>
        </w:rPr>
      </w:pPr>
      <w:r>
        <w:rPr>
          <w:rStyle w:val="FootnoteReference"/>
        </w:rPr>
        <w:footnoteRef/>
      </w:r>
      <w:r>
        <w:tab/>
      </w:r>
      <w:proofErr w:type="gramStart"/>
      <w:r>
        <w:t>idem</w:t>
      </w:r>
      <w:proofErr w:type="gramEnd"/>
      <w:r w:rsidRPr="00382917">
        <w:t>,</w:t>
      </w:r>
      <w:r>
        <w:t xml:space="preserve"> </w:t>
      </w:r>
      <w:r w:rsidRPr="00382917">
        <w:t>pp.</w:t>
      </w:r>
      <w:r>
        <w:t xml:space="preserve"> </w:t>
      </w:r>
      <w:r w:rsidRPr="00382917">
        <w:t>141,</w:t>
      </w:r>
      <w:r>
        <w:t xml:space="preserve"> </w:t>
      </w:r>
      <w:r w:rsidRPr="00382917">
        <w:t>152.</w:t>
      </w:r>
    </w:p>
  </w:footnote>
  <w:footnote w:id="235">
    <w:p w:rsidR="001C15E8" w:rsidRPr="00A0316E" w:rsidRDefault="001C15E8">
      <w:pPr>
        <w:pStyle w:val="FootnoteText"/>
        <w:rPr>
          <w:lang w:val="en-US"/>
        </w:rPr>
      </w:pPr>
      <w:r>
        <w:rPr>
          <w:rStyle w:val="FootnoteReference"/>
        </w:rPr>
        <w:footnoteRef/>
      </w:r>
      <w:r>
        <w:tab/>
      </w:r>
      <w:r w:rsidRPr="00382917">
        <w:t>Nabíl,</w:t>
      </w:r>
      <w:r>
        <w:t xml:space="preserve"> </w:t>
      </w:r>
      <w:proofErr w:type="gramStart"/>
      <w:r w:rsidRPr="00382917">
        <w:rPr>
          <w:i/>
          <w:iCs/>
        </w:rPr>
        <w:t>The</w:t>
      </w:r>
      <w:proofErr w:type="gramEnd"/>
      <w:r>
        <w:rPr>
          <w:i/>
          <w:iCs/>
        </w:rPr>
        <w:t xml:space="preserve"> </w:t>
      </w:r>
      <w:r w:rsidRPr="00382917">
        <w:rPr>
          <w:i/>
          <w:iCs/>
        </w:rPr>
        <w:t>Dawn-Breakers</w:t>
      </w:r>
      <w:r w:rsidRPr="00382917">
        <w:t>,</w:t>
      </w:r>
      <w:r>
        <w:t xml:space="preserve"> </w:t>
      </w:r>
      <w:r w:rsidRPr="00382917">
        <w:t>p.</w:t>
      </w:r>
      <w:r>
        <w:t xml:space="preserve"> </w:t>
      </w:r>
      <w:r w:rsidRPr="00382917">
        <w:t>50.</w:t>
      </w:r>
    </w:p>
  </w:footnote>
  <w:footnote w:id="236">
    <w:p w:rsidR="001C15E8" w:rsidRPr="00894D2F" w:rsidRDefault="001C15E8">
      <w:pPr>
        <w:pStyle w:val="FootnoteText"/>
        <w:rPr>
          <w:lang w:val="en-US"/>
        </w:rPr>
      </w:pPr>
      <w:r>
        <w:rPr>
          <w:rStyle w:val="FootnoteReference"/>
        </w:rPr>
        <w:footnoteRef/>
      </w:r>
      <w:r>
        <w:tab/>
      </w:r>
      <w:r w:rsidRPr="00382917">
        <w:t>Shoghi</w:t>
      </w:r>
      <w:r>
        <w:t xml:space="preserve"> </w:t>
      </w:r>
      <w:r w:rsidRPr="00382917">
        <w:t>Effendi,</w:t>
      </w:r>
      <w:r>
        <w:t xml:space="preserve"> </w:t>
      </w:r>
      <w:r w:rsidRPr="001713B3">
        <w:rPr>
          <w:i/>
          <w:iCs/>
        </w:rPr>
        <w:t>God</w:t>
      </w:r>
      <w:r>
        <w:rPr>
          <w:i/>
          <w:iCs/>
        </w:rPr>
        <w:t xml:space="preserve"> </w:t>
      </w:r>
      <w:r w:rsidRPr="001713B3">
        <w:rPr>
          <w:i/>
          <w:iCs/>
        </w:rPr>
        <w:t>Passes</w:t>
      </w:r>
      <w:r>
        <w:rPr>
          <w:i/>
          <w:iCs/>
        </w:rPr>
        <w:t xml:space="preserve"> </w:t>
      </w:r>
      <w:r w:rsidRPr="001713B3">
        <w:rPr>
          <w:i/>
          <w:iCs/>
        </w:rPr>
        <w:t>By</w:t>
      </w:r>
      <w:r w:rsidRPr="00382917">
        <w:t>,</w:t>
      </w:r>
      <w:r>
        <w:t xml:space="preserve"> </w:t>
      </w:r>
      <w:r w:rsidRPr="00382917">
        <w:t>p.</w:t>
      </w:r>
      <w:r>
        <w:t xml:space="preserve"> </w:t>
      </w:r>
      <w:r w:rsidRPr="00382917">
        <w:t>25.</w:t>
      </w:r>
    </w:p>
  </w:footnote>
  <w:footnote w:id="237">
    <w:p w:rsidR="001C15E8" w:rsidRPr="00894D2F" w:rsidRDefault="001C15E8">
      <w:pPr>
        <w:pStyle w:val="FootnoteText"/>
        <w:rPr>
          <w:lang w:val="en-US"/>
        </w:rPr>
      </w:pPr>
      <w:r>
        <w:rPr>
          <w:rStyle w:val="FootnoteReference"/>
        </w:rPr>
        <w:footnoteRef/>
      </w:r>
      <w:r>
        <w:tab/>
      </w:r>
      <w:proofErr w:type="gramStart"/>
      <w:r w:rsidRPr="00382917">
        <w:t>Bahá’u’lláh,</w:t>
      </w:r>
      <w:r>
        <w:t xml:space="preserve"> </w:t>
      </w:r>
      <w:r w:rsidRPr="00894D2F">
        <w:rPr>
          <w:i/>
          <w:iCs/>
        </w:rPr>
        <w:t>Epistle to the Son of the Wolf</w:t>
      </w:r>
      <w:r w:rsidRPr="00382917">
        <w:t>,</w:t>
      </w:r>
      <w:r>
        <w:t xml:space="preserve"> </w:t>
      </w:r>
      <w:r w:rsidRPr="00382917">
        <w:t>p.</w:t>
      </w:r>
      <w:r>
        <w:t xml:space="preserve"> </w:t>
      </w:r>
      <w:r w:rsidRPr="00382917">
        <w:t>154.</w:t>
      </w:r>
      <w:proofErr w:type="gramEnd"/>
    </w:p>
  </w:footnote>
  <w:footnote w:id="238">
    <w:p w:rsidR="001C15E8" w:rsidRPr="000173F2" w:rsidRDefault="001C15E8">
      <w:pPr>
        <w:pStyle w:val="FootnoteText"/>
        <w:rPr>
          <w:lang w:val="en-US"/>
        </w:rPr>
      </w:pPr>
      <w:r>
        <w:rPr>
          <w:rStyle w:val="FootnoteReference"/>
        </w:rPr>
        <w:footnoteRef/>
      </w:r>
      <w:r>
        <w:tab/>
      </w:r>
      <w:r w:rsidRPr="00382917">
        <w:t>Nabíl,</w:t>
      </w:r>
      <w:r>
        <w:t xml:space="preserve"> </w:t>
      </w:r>
      <w:proofErr w:type="gramStart"/>
      <w:r w:rsidRPr="00382917">
        <w:rPr>
          <w:i/>
          <w:iCs/>
        </w:rPr>
        <w:t>The</w:t>
      </w:r>
      <w:proofErr w:type="gramEnd"/>
      <w:r>
        <w:rPr>
          <w:i/>
          <w:iCs/>
        </w:rPr>
        <w:t xml:space="preserve"> </w:t>
      </w:r>
      <w:r w:rsidRPr="00382917">
        <w:rPr>
          <w:i/>
          <w:iCs/>
        </w:rPr>
        <w:t>Dawn-Breakers</w:t>
      </w:r>
      <w:r w:rsidRPr="00382917">
        <w:t>,</w:t>
      </w:r>
      <w:r>
        <w:t xml:space="preserve"> </w:t>
      </w:r>
      <w:r w:rsidRPr="00382917">
        <w:t>pp.</w:t>
      </w:r>
      <w:r>
        <w:t xml:space="preserve"> </w:t>
      </w:r>
      <w:r w:rsidRPr="00382917">
        <w:t>371</w:t>
      </w:r>
      <w:r>
        <w:t>–</w:t>
      </w:r>
      <w:r w:rsidRPr="00382917">
        <w:t>373.</w:t>
      </w:r>
    </w:p>
  </w:footnote>
  <w:footnote w:id="239">
    <w:p w:rsidR="001C15E8" w:rsidRPr="00DB5C0E" w:rsidRDefault="001C15E8">
      <w:pPr>
        <w:pStyle w:val="FootnoteText"/>
        <w:rPr>
          <w:lang w:val="en-US"/>
        </w:rPr>
      </w:pPr>
      <w:r>
        <w:rPr>
          <w:rStyle w:val="FootnoteReference"/>
        </w:rPr>
        <w:footnoteRef/>
      </w:r>
      <w:r>
        <w:tab/>
      </w:r>
      <w:proofErr w:type="gramStart"/>
      <w:r w:rsidRPr="00382917">
        <w:t>Bahá’u’lláh,</w:t>
      </w:r>
      <w:r>
        <w:t xml:space="preserve"> </w:t>
      </w:r>
      <w:r w:rsidRPr="00DB5C0E">
        <w:rPr>
          <w:i/>
          <w:iCs/>
        </w:rPr>
        <w:t>Epistle to the Son of the Wolf</w:t>
      </w:r>
      <w:r w:rsidRPr="00382917">
        <w:t>,</w:t>
      </w:r>
      <w:r>
        <w:t xml:space="preserve"> </w:t>
      </w:r>
      <w:r w:rsidRPr="00382917">
        <w:t>pp.</w:t>
      </w:r>
      <w:r>
        <w:t xml:space="preserve"> </w:t>
      </w:r>
      <w:r w:rsidRPr="00382917">
        <w:t>156</w:t>
      </w:r>
      <w:r>
        <w:t>–</w:t>
      </w:r>
      <w:r w:rsidRPr="00382917">
        <w:t>157.</w:t>
      </w:r>
      <w:proofErr w:type="gramEnd"/>
    </w:p>
  </w:footnote>
  <w:footnote w:id="240">
    <w:p w:rsidR="001C15E8" w:rsidRPr="0057732B" w:rsidRDefault="001C15E8">
      <w:pPr>
        <w:pStyle w:val="FootnoteText"/>
        <w:rPr>
          <w:lang w:val="en-US"/>
        </w:rPr>
      </w:pPr>
      <w:r>
        <w:rPr>
          <w:rStyle w:val="FootnoteReference"/>
        </w:rPr>
        <w:footnoteRef/>
      </w:r>
      <w:r>
        <w:tab/>
      </w:r>
      <w:proofErr w:type="gramStart"/>
      <w:r w:rsidRPr="00382917">
        <w:t>Shoghi</w:t>
      </w:r>
      <w:r>
        <w:t xml:space="preserve"> </w:t>
      </w:r>
      <w:r w:rsidRPr="00382917">
        <w:t>Effendi,</w:t>
      </w:r>
      <w:r>
        <w:t xml:space="preserve"> </w:t>
      </w:r>
      <w:r w:rsidRPr="0057732B">
        <w:rPr>
          <w:i/>
          <w:iCs/>
        </w:rPr>
        <w:t>The World Order of Bahá’u’lláh</w:t>
      </w:r>
      <w:r w:rsidRPr="00382917">
        <w:t>,</w:t>
      </w:r>
      <w:r>
        <w:t xml:space="preserve"> </w:t>
      </w:r>
      <w:r w:rsidRPr="00382917">
        <w:t>p.</w:t>
      </w:r>
      <w:r>
        <w:t xml:space="preserve"> </w:t>
      </w:r>
      <w:r w:rsidRPr="00382917">
        <w:t>101.</w:t>
      </w:r>
      <w:proofErr w:type="gramEnd"/>
    </w:p>
  </w:footnote>
  <w:footnote w:id="241">
    <w:p w:rsidR="001C15E8" w:rsidRPr="00611458" w:rsidRDefault="001C15E8">
      <w:pPr>
        <w:pStyle w:val="FootnoteText"/>
        <w:rPr>
          <w:lang w:val="es-ES"/>
        </w:rPr>
      </w:pPr>
      <w:r>
        <w:rPr>
          <w:rStyle w:val="FootnoteReference"/>
        </w:rPr>
        <w:footnoteRef/>
      </w:r>
      <w:r w:rsidRPr="006225E8">
        <w:rPr>
          <w:lang w:val="fr-FR"/>
        </w:rPr>
        <w:tab/>
      </w:r>
      <w:r w:rsidRPr="006225E8">
        <w:rPr>
          <w:i/>
          <w:iCs/>
          <w:lang w:val="fr-FR"/>
        </w:rPr>
        <w:t>Les Livre des Sept Preuves</w:t>
      </w:r>
      <w:r w:rsidRPr="00030BA2">
        <w:rPr>
          <w:lang w:val="fr-FR"/>
        </w:rPr>
        <w:t>,</w:t>
      </w:r>
      <w:r>
        <w:rPr>
          <w:lang w:val="fr-FR"/>
        </w:rPr>
        <w:t xml:space="preserve"> tr. </w:t>
      </w:r>
      <w:proofErr w:type="spellStart"/>
      <w:r w:rsidRPr="00FB0B3D">
        <w:rPr>
          <w:lang w:val="es-ES"/>
        </w:rPr>
        <w:t>Nicolas</w:t>
      </w:r>
      <w:proofErr w:type="spellEnd"/>
      <w:r w:rsidRPr="00FB0B3D">
        <w:rPr>
          <w:lang w:val="es-ES"/>
        </w:rPr>
        <w:t>, pp. 54–60.</w:t>
      </w:r>
    </w:p>
  </w:footnote>
  <w:footnote w:id="242">
    <w:p w:rsidR="001C15E8" w:rsidRPr="006225E8" w:rsidRDefault="001C15E8">
      <w:pPr>
        <w:pStyle w:val="FootnoteText"/>
        <w:rPr>
          <w:lang w:val="es-ES"/>
        </w:rPr>
      </w:pPr>
      <w:r>
        <w:rPr>
          <w:rStyle w:val="FootnoteReference"/>
        </w:rPr>
        <w:footnoteRef/>
      </w:r>
      <w:r w:rsidRPr="006225E8">
        <w:rPr>
          <w:lang w:val="es-ES"/>
        </w:rPr>
        <w:tab/>
      </w:r>
      <w:r w:rsidRPr="00030BA2">
        <w:rPr>
          <w:lang w:val="es-ES"/>
        </w:rPr>
        <w:t>A.</w:t>
      </w:r>
      <w:r>
        <w:rPr>
          <w:lang w:val="es-ES"/>
        </w:rPr>
        <w:t xml:space="preserve"> </w:t>
      </w:r>
      <w:r w:rsidRPr="00030BA2">
        <w:rPr>
          <w:lang w:val="es-ES"/>
        </w:rPr>
        <w:t>L.</w:t>
      </w:r>
      <w:r>
        <w:rPr>
          <w:lang w:val="es-ES"/>
        </w:rPr>
        <w:t xml:space="preserve"> </w:t>
      </w:r>
      <w:r w:rsidRPr="00030BA2">
        <w:rPr>
          <w:lang w:val="es-ES"/>
        </w:rPr>
        <w:t>M.</w:t>
      </w:r>
      <w:r>
        <w:rPr>
          <w:lang w:val="es-ES"/>
        </w:rPr>
        <w:t xml:space="preserve"> </w:t>
      </w:r>
      <w:proofErr w:type="spellStart"/>
      <w:r w:rsidRPr="00030BA2">
        <w:rPr>
          <w:lang w:val="es-ES"/>
        </w:rPr>
        <w:t>Nicolas</w:t>
      </w:r>
      <w:proofErr w:type="spellEnd"/>
      <w:r w:rsidRPr="00030BA2">
        <w:rPr>
          <w:lang w:val="es-ES"/>
        </w:rPr>
        <w:t>,</w:t>
      </w:r>
      <w:r>
        <w:rPr>
          <w:lang w:val="es-ES"/>
        </w:rPr>
        <w:t xml:space="preserve"> </w:t>
      </w:r>
      <w:r w:rsidRPr="001713B3">
        <w:rPr>
          <w:i/>
          <w:iCs/>
          <w:lang w:val="es-ES"/>
        </w:rPr>
        <w:t>Siyyid</w:t>
      </w:r>
      <w:r>
        <w:rPr>
          <w:i/>
          <w:iCs/>
          <w:lang w:val="es-ES"/>
        </w:rPr>
        <w:t xml:space="preserve"> </w:t>
      </w:r>
      <w:r w:rsidRPr="001713B3">
        <w:rPr>
          <w:i/>
          <w:iCs/>
          <w:lang w:val="es-ES"/>
        </w:rPr>
        <w:t>‘Alí-Muḥammad</w:t>
      </w:r>
      <w:r>
        <w:rPr>
          <w:i/>
          <w:iCs/>
          <w:lang w:val="es-ES"/>
        </w:rPr>
        <w:t xml:space="preserve"> </w:t>
      </w:r>
      <w:proofErr w:type="spellStart"/>
      <w:r w:rsidRPr="001713B3">
        <w:rPr>
          <w:i/>
          <w:iCs/>
          <w:lang w:val="es-ES"/>
        </w:rPr>
        <w:t>dit</w:t>
      </w:r>
      <w:proofErr w:type="spellEnd"/>
      <w:r>
        <w:rPr>
          <w:i/>
          <w:iCs/>
          <w:lang w:val="es-ES"/>
        </w:rPr>
        <w:t xml:space="preserve"> </w:t>
      </w:r>
      <w:r w:rsidRPr="001713B3">
        <w:rPr>
          <w:i/>
          <w:iCs/>
          <w:lang w:val="es-ES"/>
        </w:rPr>
        <w:t>le</w:t>
      </w:r>
      <w:r>
        <w:rPr>
          <w:i/>
          <w:iCs/>
          <w:lang w:val="es-ES"/>
        </w:rPr>
        <w:t xml:space="preserve"> </w:t>
      </w:r>
      <w:r w:rsidRPr="001713B3">
        <w:rPr>
          <w:i/>
          <w:iCs/>
          <w:lang w:val="es-ES"/>
        </w:rPr>
        <w:t>Báb</w:t>
      </w:r>
      <w:r w:rsidRPr="00030BA2">
        <w:rPr>
          <w:lang w:val="es-ES"/>
        </w:rPr>
        <w:t>,</w:t>
      </w:r>
      <w:r>
        <w:rPr>
          <w:lang w:val="es-ES"/>
        </w:rPr>
        <w:t xml:space="preserve"> </w:t>
      </w:r>
      <w:r w:rsidRPr="00030BA2">
        <w:rPr>
          <w:lang w:val="es-ES"/>
        </w:rPr>
        <w:t>p.</w:t>
      </w:r>
      <w:r>
        <w:rPr>
          <w:lang w:val="es-ES"/>
        </w:rPr>
        <w:t xml:space="preserve"> </w:t>
      </w:r>
      <w:r w:rsidRPr="00030BA2">
        <w:rPr>
          <w:lang w:val="es-ES"/>
        </w:rPr>
        <w:t>387.</w:t>
      </w:r>
    </w:p>
  </w:footnote>
  <w:footnote w:id="243">
    <w:p w:rsidR="001C15E8" w:rsidRPr="00715F20" w:rsidRDefault="001C15E8">
      <w:pPr>
        <w:pStyle w:val="FootnoteText"/>
        <w:rPr>
          <w:lang w:val="en-US"/>
        </w:rPr>
      </w:pPr>
      <w:r>
        <w:rPr>
          <w:rStyle w:val="FootnoteReference"/>
        </w:rPr>
        <w:footnoteRef/>
      </w:r>
      <w:r>
        <w:tab/>
      </w:r>
      <w:r w:rsidRPr="00382917">
        <w:t>Nabíl,</w:t>
      </w:r>
      <w:r>
        <w:t xml:space="preserve"> </w:t>
      </w:r>
      <w:proofErr w:type="gramStart"/>
      <w:r w:rsidRPr="00382917">
        <w:rPr>
          <w:i/>
          <w:iCs/>
        </w:rPr>
        <w:t>The</w:t>
      </w:r>
      <w:proofErr w:type="gramEnd"/>
      <w:r>
        <w:rPr>
          <w:i/>
          <w:iCs/>
        </w:rPr>
        <w:t xml:space="preserve"> </w:t>
      </w:r>
      <w:r w:rsidRPr="00382917">
        <w:rPr>
          <w:i/>
          <w:iCs/>
        </w:rPr>
        <w:t>Dawn-Breakers</w:t>
      </w:r>
      <w:r w:rsidRPr="00382917">
        <w:t>,</w:t>
      </w:r>
      <w:r>
        <w:t xml:space="preserve"> </w:t>
      </w:r>
      <w:r w:rsidRPr="00382917">
        <w:t>p.</w:t>
      </w:r>
      <w:r>
        <w:t xml:space="preserve"> </w:t>
      </w:r>
      <w:r w:rsidRPr="00382917">
        <w:t>463.</w:t>
      </w:r>
    </w:p>
  </w:footnote>
  <w:footnote w:id="244">
    <w:p w:rsidR="001C15E8" w:rsidRPr="003C712C" w:rsidRDefault="001C15E8">
      <w:pPr>
        <w:pStyle w:val="FootnoteText"/>
        <w:rPr>
          <w:lang w:val="fr-FR"/>
        </w:rPr>
      </w:pPr>
      <w:r>
        <w:rPr>
          <w:rStyle w:val="FootnoteReference"/>
        </w:rPr>
        <w:footnoteRef/>
      </w:r>
      <w:r w:rsidRPr="003C712C">
        <w:rPr>
          <w:lang w:val="fr-FR"/>
        </w:rPr>
        <w:tab/>
      </w:r>
      <w:r w:rsidRPr="00030BA2">
        <w:rPr>
          <w:lang w:val="fr-FR"/>
        </w:rPr>
        <w:t>Comte</w:t>
      </w:r>
      <w:r>
        <w:rPr>
          <w:lang w:val="fr-FR"/>
        </w:rPr>
        <w:t xml:space="preserve"> </w:t>
      </w:r>
      <w:r w:rsidRPr="00030BA2">
        <w:rPr>
          <w:lang w:val="fr-FR"/>
        </w:rPr>
        <w:t>de</w:t>
      </w:r>
      <w:r>
        <w:rPr>
          <w:lang w:val="fr-FR"/>
        </w:rPr>
        <w:t xml:space="preserve"> </w:t>
      </w:r>
      <w:r w:rsidRPr="00030BA2">
        <w:rPr>
          <w:lang w:val="fr-FR"/>
        </w:rPr>
        <w:t>Gobineau,</w:t>
      </w:r>
      <w:r>
        <w:rPr>
          <w:lang w:val="fr-FR"/>
        </w:rPr>
        <w:t xml:space="preserve"> </w:t>
      </w:r>
      <w:r w:rsidRPr="003C712C">
        <w:rPr>
          <w:i/>
          <w:iCs/>
          <w:lang w:val="fr-FR"/>
        </w:rPr>
        <w:t>Les Religions et les Philosophies dans l’Asie Centrale</w:t>
      </w:r>
      <w:r w:rsidRPr="00030BA2">
        <w:rPr>
          <w:lang w:val="fr-FR"/>
        </w:rPr>
        <w:t>,</w:t>
      </w:r>
      <w:r>
        <w:rPr>
          <w:lang w:val="fr-FR"/>
        </w:rPr>
        <w:t xml:space="preserve"> </w:t>
      </w:r>
      <w:r w:rsidRPr="00030BA2">
        <w:rPr>
          <w:lang w:val="fr-FR"/>
        </w:rPr>
        <w:t>pp.</w:t>
      </w:r>
      <w:r>
        <w:rPr>
          <w:lang w:val="fr-FR"/>
        </w:rPr>
        <w:t xml:space="preserve"> </w:t>
      </w:r>
      <w:r w:rsidRPr="00030BA2">
        <w:rPr>
          <w:lang w:val="fr-FR"/>
        </w:rPr>
        <w:t>210</w:t>
      </w:r>
      <w:r>
        <w:rPr>
          <w:lang w:val="fr-FR"/>
        </w:rPr>
        <w:t>–</w:t>
      </w:r>
      <w:r w:rsidRPr="00030BA2">
        <w:rPr>
          <w:lang w:val="fr-FR"/>
        </w:rPr>
        <w:t>213.</w:t>
      </w:r>
    </w:p>
  </w:footnote>
  <w:footnote w:id="245">
    <w:p w:rsidR="001C15E8" w:rsidRPr="00611458" w:rsidRDefault="001C15E8">
      <w:pPr>
        <w:pStyle w:val="FootnoteText"/>
        <w:rPr>
          <w:lang w:val="en-US"/>
        </w:rPr>
      </w:pPr>
      <w:r>
        <w:rPr>
          <w:rStyle w:val="FootnoteReference"/>
        </w:rPr>
        <w:footnoteRef/>
      </w:r>
      <w:r>
        <w:tab/>
        <w:t>ibid</w:t>
      </w:r>
      <w:r w:rsidRPr="00382917">
        <w:t>.</w:t>
      </w:r>
    </w:p>
  </w:footnote>
  <w:footnote w:id="246">
    <w:p w:rsidR="001C15E8" w:rsidRPr="00EB5C5D" w:rsidRDefault="001C15E8">
      <w:pPr>
        <w:pStyle w:val="FootnoteText"/>
        <w:rPr>
          <w:lang w:val="en-US"/>
        </w:rPr>
      </w:pPr>
      <w:r>
        <w:rPr>
          <w:rStyle w:val="FootnoteReference"/>
        </w:rPr>
        <w:footnoteRef/>
      </w:r>
      <w:r>
        <w:tab/>
      </w:r>
      <w:r w:rsidRPr="00382917">
        <w:t>Nabíl,</w:t>
      </w:r>
      <w:r>
        <w:t xml:space="preserve"> </w:t>
      </w:r>
      <w:proofErr w:type="gramStart"/>
      <w:r w:rsidRPr="00382917">
        <w:rPr>
          <w:i/>
          <w:iCs/>
        </w:rPr>
        <w:t>The</w:t>
      </w:r>
      <w:proofErr w:type="gramEnd"/>
      <w:r>
        <w:rPr>
          <w:i/>
          <w:iCs/>
        </w:rPr>
        <w:t xml:space="preserve"> </w:t>
      </w:r>
      <w:r w:rsidRPr="00382917">
        <w:rPr>
          <w:i/>
          <w:iCs/>
        </w:rPr>
        <w:t>Dawn-Breakers</w:t>
      </w:r>
      <w:r w:rsidRPr="00382917">
        <w:t>,</w:t>
      </w:r>
      <w:r>
        <w:t xml:space="preserve"> </w:t>
      </w:r>
      <w:r w:rsidRPr="00382917">
        <w:t>pp.</w:t>
      </w:r>
      <w:r>
        <w:t xml:space="preserve"> </w:t>
      </w:r>
      <w:r w:rsidRPr="00382917">
        <w:t>500</w:t>
      </w:r>
      <w:r>
        <w:t>–</w:t>
      </w:r>
      <w:r w:rsidRPr="00382917">
        <w:t>504.</w:t>
      </w:r>
    </w:p>
  </w:footnote>
  <w:footnote w:id="247">
    <w:p w:rsidR="001C15E8" w:rsidRPr="00900DE1" w:rsidRDefault="001C15E8">
      <w:pPr>
        <w:pStyle w:val="FootnoteText"/>
        <w:rPr>
          <w:lang w:val="en-US"/>
        </w:rPr>
      </w:pPr>
      <w:r>
        <w:rPr>
          <w:rStyle w:val="FootnoteReference"/>
        </w:rPr>
        <w:footnoteRef/>
      </w:r>
      <w:r>
        <w:tab/>
      </w:r>
      <w:proofErr w:type="gramStart"/>
      <w:r>
        <w:t>idem</w:t>
      </w:r>
      <w:proofErr w:type="gramEnd"/>
      <w:r w:rsidRPr="00382917">
        <w:t>,</w:t>
      </w:r>
      <w:r>
        <w:t xml:space="preserve"> </w:t>
      </w:r>
      <w:r w:rsidRPr="00382917">
        <w:t>pp.</w:t>
      </w:r>
      <w:r>
        <w:t xml:space="preserve"> </w:t>
      </w:r>
      <w:r w:rsidRPr="00382917">
        <w:t>321</w:t>
      </w:r>
      <w:r>
        <w:t>–</w:t>
      </w:r>
      <w:r w:rsidRPr="00382917">
        <w:t>322;</w:t>
      </w:r>
      <w:r>
        <w:t xml:space="preserve"> </w:t>
      </w:r>
      <w:r w:rsidRPr="00382917">
        <w:t>and</w:t>
      </w:r>
      <w:r>
        <w:t xml:space="preserve"> </w:t>
      </w:r>
      <w:r w:rsidRPr="00382917">
        <w:t>Note</w:t>
      </w:r>
      <w:r>
        <w:t xml:space="preserve"> </w:t>
      </w:r>
      <w:r w:rsidRPr="00382917">
        <w:t>4.</w:t>
      </w:r>
    </w:p>
  </w:footnote>
  <w:footnote w:id="248">
    <w:p w:rsidR="001C15E8" w:rsidRPr="00A55DE8" w:rsidRDefault="001C15E8">
      <w:pPr>
        <w:pStyle w:val="FootnoteText"/>
        <w:rPr>
          <w:lang w:val="en-US"/>
        </w:rPr>
      </w:pPr>
      <w:r>
        <w:rPr>
          <w:rStyle w:val="FootnoteReference"/>
        </w:rPr>
        <w:footnoteRef/>
      </w:r>
      <w:r>
        <w:tab/>
      </w:r>
      <w:proofErr w:type="gramStart"/>
      <w:r>
        <w:t>idem</w:t>
      </w:r>
      <w:proofErr w:type="gramEnd"/>
      <w:r w:rsidRPr="00382917">
        <w:t>,</w:t>
      </w:r>
      <w:r>
        <w:t xml:space="preserve"> </w:t>
      </w:r>
      <w:r w:rsidRPr="00382917">
        <w:t>pp.</w:t>
      </w:r>
      <w:r>
        <w:t xml:space="preserve"> </w:t>
      </w:r>
      <w:r w:rsidRPr="00382917">
        <w:t>506</w:t>
      </w:r>
      <w:r>
        <w:t>–</w:t>
      </w:r>
      <w:r w:rsidRPr="00382917">
        <w:t>507.</w:t>
      </w:r>
    </w:p>
  </w:footnote>
  <w:footnote w:id="249">
    <w:p w:rsidR="001C15E8" w:rsidRPr="009341BF" w:rsidRDefault="001C15E8">
      <w:pPr>
        <w:pStyle w:val="FootnoteText"/>
        <w:rPr>
          <w:lang w:val="en-US"/>
        </w:rPr>
      </w:pPr>
      <w:r>
        <w:rPr>
          <w:rStyle w:val="FootnoteReference"/>
        </w:rPr>
        <w:footnoteRef/>
      </w:r>
      <w:r>
        <w:tab/>
        <w:t xml:space="preserve">Dr </w:t>
      </w:r>
      <w:r w:rsidRPr="00382917">
        <w:t>T.</w:t>
      </w:r>
      <w:r>
        <w:t xml:space="preserve"> </w:t>
      </w:r>
      <w:r w:rsidRPr="00382917">
        <w:t>K.</w:t>
      </w:r>
      <w:r>
        <w:t xml:space="preserve"> </w:t>
      </w:r>
      <w:r w:rsidRPr="00382917">
        <w:t>Cheyne,</w:t>
      </w:r>
      <w:r>
        <w:t xml:space="preserve"> </w:t>
      </w:r>
      <w:proofErr w:type="gramStart"/>
      <w:r w:rsidRPr="001713B3">
        <w:rPr>
          <w:i/>
          <w:iCs/>
        </w:rPr>
        <w:t>The</w:t>
      </w:r>
      <w:proofErr w:type="gramEnd"/>
      <w:r>
        <w:rPr>
          <w:i/>
          <w:iCs/>
        </w:rPr>
        <w:t xml:space="preserve"> </w:t>
      </w:r>
      <w:r w:rsidRPr="001713B3">
        <w:rPr>
          <w:i/>
          <w:iCs/>
        </w:rPr>
        <w:t>Reconciliation</w:t>
      </w:r>
      <w:r>
        <w:rPr>
          <w:i/>
          <w:iCs/>
        </w:rPr>
        <w:t xml:space="preserve"> </w:t>
      </w:r>
      <w:r w:rsidRPr="001713B3">
        <w:rPr>
          <w:i/>
          <w:iCs/>
        </w:rPr>
        <w:t>of</w:t>
      </w:r>
      <w:r>
        <w:rPr>
          <w:i/>
          <w:iCs/>
        </w:rPr>
        <w:t xml:space="preserve"> </w:t>
      </w:r>
      <w:r w:rsidRPr="001713B3">
        <w:rPr>
          <w:i/>
          <w:iCs/>
        </w:rPr>
        <w:t>Races</w:t>
      </w:r>
      <w:r>
        <w:rPr>
          <w:i/>
          <w:iCs/>
        </w:rPr>
        <w:t xml:space="preserve"> </w:t>
      </w:r>
      <w:r w:rsidRPr="001713B3">
        <w:rPr>
          <w:i/>
          <w:iCs/>
        </w:rPr>
        <w:t>and</w:t>
      </w:r>
      <w:r>
        <w:rPr>
          <w:i/>
          <w:iCs/>
        </w:rPr>
        <w:t xml:space="preserve"> </w:t>
      </w:r>
      <w:r w:rsidRPr="001713B3">
        <w:rPr>
          <w:i/>
          <w:iCs/>
        </w:rPr>
        <w:t>Religions</w:t>
      </w:r>
      <w:r w:rsidRPr="00382917">
        <w:t>,</w:t>
      </w:r>
      <w:r>
        <w:t xml:space="preserve"> </w:t>
      </w:r>
      <w:r w:rsidRPr="00382917">
        <w:t>p.</w:t>
      </w:r>
      <w:r>
        <w:t xml:space="preserve"> </w:t>
      </w:r>
      <w:r w:rsidRPr="00382917">
        <w:t>185.</w:t>
      </w:r>
    </w:p>
  </w:footnote>
  <w:footnote w:id="250">
    <w:p w:rsidR="001C15E8" w:rsidRPr="00E705E2" w:rsidRDefault="001C15E8">
      <w:pPr>
        <w:pStyle w:val="FootnoteText"/>
        <w:rPr>
          <w:lang w:val="en-US"/>
        </w:rPr>
      </w:pPr>
      <w:r>
        <w:rPr>
          <w:rStyle w:val="FootnoteReference"/>
        </w:rPr>
        <w:footnoteRef/>
      </w:r>
      <w:r>
        <w:tab/>
      </w:r>
      <w:r w:rsidRPr="00382917">
        <w:t>Nabil,</w:t>
      </w:r>
      <w:r>
        <w:t xml:space="preserve"> </w:t>
      </w:r>
      <w:proofErr w:type="gramStart"/>
      <w:r w:rsidRPr="00382917">
        <w:rPr>
          <w:i/>
          <w:iCs/>
        </w:rPr>
        <w:t>The</w:t>
      </w:r>
      <w:proofErr w:type="gramEnd"/>
      <w:r>
        <w:rPr>
          <w:i/>
          <w:iCs/>
        </w:rPr>
        <w:t xml:space="preserve"> </w:t>
      </w:r>
      <w:r w:rsidRPr="00382917">
        <w:rPr>
          <w:i/>
          <w:iCs/>
        </w:rPr>
        <w:t>Dawn-Breakers</w:t>
      </w:r>
      <w:r w:rsidRPr="00382917">
        <w:t>,</w:t>
      </w:r>
      <w:r>
        <w:t xml:space="preserve"> </w:t>
      </w:r>
      <w:r w:rsidRPr="00382917">
        <w:t>pp.</w:t>
      </w:r>
      <w:r>
        <w:t xml:space="preserve"> </w:t>
      </w:r>
      <w:r w:rsidRPr="00382917">
        <w:t>306</w:t>
      </w:r>
      <w:r>
        <w:t>–</w:t>
      </w:r>
      <w:r w:rsidRPr="00382917">
        <w:t>308.</w:t>
      </w:r>
    </w:p>
  </w:footnote>
  <w:footnote w:id="251">
    <w:p w:rsidR="001C15E8" w:rsidRPr="0009604B" w:rsidRDefault="001C15E8">
      <w:pPr>
        <w:pStyle w:val="FootnoteText"/>
        <w:rPr>
          <w:lang w:val="en-US"/>
        </w:rPr>
      </w:pPr>
      <w:r>
        <w:rPr>
          <w:rStyle w:val="FootnoteReference"/>
        </w:rPr>
        <w:footnoteRef/>
      </w:r>
      <w:r>
        <w:tab/>
        <w:t xml:space="preserve">Dr </w:t>
      </w:r>
      <w:r w:rsidRPr="00382917">
        <w:t>T.</w:t>
      </w:r>
      <w:r>
        <w:t xml:space="preserve"> </w:t>
      </w:r>
      <w:r w:rsidRPr="00382917">
        <w:t>K.</w:t>
      </w:r>
      <w:r>
        <w:t xml:space="preserve"> </w:t>
      </w:r>
      <w:r w:rsidRPr="00382917">
        <w:t>Cheyne,</w:t>
      </w:r>
      <w:r>
        <w:t xml:space="preserve"> </w:t>
      </w:r>
      <w:proofErr w:type="gramStart"/>
      <w:r w:rsidRPr="001713B3">
        <w:rPr>
          <w:i/>
          <w:iCs/>
        </w:rPr>
        <w:t>The</w:t>
      </w:r>
      <w:proofErr w:type="gramEnd"/>
      <w:r>
        <w:rPr>
          <w:i/>
          <w:iCs/>
        </w:rPr>
        <w:t xml:space="preserve"> </w:t>
      </w:r>
      <w:r w:rsidRPr="001713B3">
        <w:rPr>
          <w:i/>
          <w:iCs/>
        </w:rPr>
        <w:t>Reconciliation</w:t>
      </w:r>
      <w:r>
        <w:rPr>
          <w:i/>
          <w:iCs/>
        </w:rPr>
        <w:t xml:space="preserve"> </w:t>
      </w:r>
      <w:r w:rsidRPr="001713B3">
        <w:rPr>
          <w:i/>
          <w:iCs/>
        </w:rPr>
        <w:t>of</w:t>
      </w:r>
      <w:r>
        <w:rPr>
          <w:i/>
          <w:iCs/>
        </w:rPr>
        <w:t xml:space="preserve"> </w:t>
      </w:r>
      <w:r w:rsidRPr="001713B3">
        <w:rPr>
          <w:i/>
          <w:iCs/>
        </w:rPr>
        <w:t>Races</w:t>
      </w:r>
      <w:r>
        <w:rPr>
          <w:i/>
          <w:iCs/>
        </w:rPr>
        <w:t xml:space="preserve"> </w:t>
      </w:r>
      <w:r w:rsidRPr="001713B3">
        <w:rPr>
          <w:i/>
          <w:iCs/>
        </w:rPr>
        <w:t>and</w:t>
      </w:r>
      <w:r>
        <w:rPr>
          <w:i/>
          <w:iCs/>
        </w:rPr>
        <w:t xml:space="preserve"> </w:t>
      </w:r>
      <w:r w:rsidRPr="001713B3">
        <w:rPr>
          <w:i/>
          <w:iCs/>
        </w:rPr>
        <w:t>Religi</w:t>
      </w:r>
      <w:r w:rsidRPr="0009604B">
        <w:rPr>
          <w:i/>
          <w:iCs/>
        </w:rPr>
        <w:t>ons</w:t>
      </w:r>
      <w:r w:rsidRPr="0009604B">
        <w:t>, pp. 8</w:t>
      </w:r>
      <w:r>
        <w:t>–</w:t>
      </w:r>
      <w:r w:rsidRPr="00382917">
        <w:t>9.</w:t>
      </w:r>
    </w:p>
  </w:footnote>
  <w:footnote w:id="252">
    <w:p w:rsidR="001C15E8" w:rsidRPr="00034889" w:rsidRDefault="001C15E8">
      <w:pPr>
        <w:pStyle w:val="FootnoteText"/>
        <w:rPr>
          <w:lang w:val="en-US"/>
        </w:rPr>
      </w:pPr>
      <w:r>
        <w:rPr>
          <w:rStyle w:val="FootnoteReference"/>
        </w:rPr>
        <w:footnoteRef/>
      </w:r>
      <w:r>
        <w:tab/>
      </w:r>
      <w:r w:rsidRPr="00382917">
        <w:t>Nabíl,</w:t>
      </w:r>
      <w:r>
        <w:t xml:space="preserve"> </w:t>
      </w:r>
      <w:proofErr w:type="gramStart"/>
      <w:r w:rsidRPr="00382917">
        <w:rPr>
          <w:i/>
          <w:iCs/>
        </w:rPr>
        <w:t>The</w:t>
      </w:r>
      <w:proofErr w:type="gramEnd"/>
      <w:r>
        <w:rPr>
          <w:i/>
          <w:iCs/>
        </w:rPr>
        <w:t xml:space="preserve"> </w:t>
      </w:r>
      <w:r w:rsidRPr="00382917">
        <w:rPr>
          <w:i/>
          <w:iCs/>
        </w:rPr>
        <w:t>Dawn-Breakers</w:t>
      </w:r>
      <w:r w:rsidRPr="00382917">
        <w:t>,</w:t>
      </w:r>
      <w:r>
        <w:t xml:space="preserve"> </w:t>
      </w:r>
      <w:r w:rsidRPr="00382917">
        <w:t>pp.</w:t>
      </w:r>
      <w:r>
        <w:t xml:space="preserve"> </w:t>
      </w:r>
      <w:r w:rsidRPr="00382917">
        <w:t>507</w:t>
      </w:r>
      <w:r>
        <w:t>–</w:t>
      </w:r>
      <w:r w:rsidRPr="00382917">
        <w:t>512.</w:t>
      </w:r>
    </w:p>
  </w:footnote>
  <w:footnote w:id="253">
    <w:p w:rsidR="001C15E8" w:rsidRPr="00EC6BA8" w:rsidRDefault="001C15E8">
      <w:pPr>
        <w:pStyle w:val="FootnoteText"/>
        <w:rPr>
          <w:lang w:val="fr-FR"/>
        </w:rPr>
      </w:pPr>
      <w:r>
        <w:rPr>
          <w:rStyle w:val="FootnoteReference"/>
        </w:rPr>
        <w:footnoteRef/>
      </w:r>
      <w:r w:rsidRPr="00EC6BA8">
        <w:rPr>
          <w:lang w:val="fr-FR"/>
        </w:rPr>
        <w:tab/>
      </w:r>
      <w:r w:rsidRPr="00030BA2">
        <w:rPr>
          <w:lang w:val="fr-FR"/>
        </w:rPr>
        <w:t>Comte</w:t>
      </w:r>
      <w:r>
        <w:rPr>
          <w:lang w:val="fr-FR"/>
        </w:rPr>
        <w:t xml:space="preserve"> </w:t>
      </w:r>
      <w:r w:rsidRPr="00030BA2">
        <w:rPr>
          <w:lang w:val="fr-FR"/>
        </w:rPr>
        <w:t>de</w:t>
      </w:r>
      <w:r>
        <w:rPr>
          <w:lang w:val="fr-FR"/>
        </w:rPr>
        <w:t xml:space="preserve"> </w:t>
      </w:r>
      <w:r w:rsidRPr="00030BA2">
        <w:rPr>
          <w:lang w:val="fr-FR"/>
        </w:rPr>
        <w:t>Gobineau,</w:t>
      </w:r>
      <w:r>
        <w:rPr>
          <w:lang w:val="fr-FR"/>
        </w:rPr>
        <w:t xml:space="preserve"> </w:t>
      </w:r>
      <w:r w:rsidRPr="00A0514C">
        <w:rPr>
          <w:i/>
          <w:iCs/>
          <w:lang w:val="fr-FR"/>
        </w:rPr>
        <w:t>Les Religions et les Philosophies dans l’Asie Centrale</w:t>
      </w:r>
      <w:r w:rsidRPr="00030BA2">
        <w:rPr>
          <w:lang w:val="fr-FR"/>
        </w:rPr>
        <w:t>,</w:t>
      </w:r>
      <w:r>
        <w:rPr>
          <w:lang w:val="fr-FR"/>
        </w:rPr>
        <w:t xml:space="preserve"> </w:t>
      </w:r>
      <w:r w:rsidRPr="00030BA2">
        <w:rPr>
          <w:lang w:val="fr-FR"/>
        </w:rPr>
        <w:t>p.</w:t>
      </w:r>
      <w:r>
        <w:rPr>
          <w:lang w:val="fr-FR"/>
        </w:rPr>
        <w:t xml:space="preserve"> </w:t>
      </w:r>
      <w:r w:rsidRPr="00030BA2">
        <w:rPr>
          <w:lang w:val="fr-FR"/>
        </w:rPr>
        <w:t>220.</w:t>
      </w:r>
    </w:p>
  </w:footnote>
  <w:footnote w:id="254">
    <w:p w:rsidR="001C15E8" w:rsidRPr="00EC6BA8" w:rsidRDefault="001C15E8">
      <w:pPr>
        <w:pStyle w:val="FootnoteText"/>
        <w:rPr>
          <w:lang w:val="en-US"/>
        </w:rPr>
      </w:pPr>
      <w:r>
        <w:rPr>
          <w:rStyle w:val="FootnoteReference"/>
        </w:rPr>
        <w:footnoteRef/>
      </w:r>
      <w:r>
        <w:tab/>
      </w:r>
      <w:r w:rsidRPr="001713B3">
        <w:rPr>
          <w:i/>
          <w:iCs/>
        </w:rPr>
        <w:t>Journal</w:t>
      </w:r>
      <w:r>
        <w:rPr>
          <w:i/>
          <w:iCs/>
        </w:rPr>
        <w:t xml:space="preserve"> </w:t>
      </w:r>
      <w:proofErr w:type="spellStart"/>
      <w:r w:rsidRPr="001713B3">
        <w:rPr>
          <w:i/>
          <w:iCs/>
        </w:rPr>
        <w:t>Asiatique</w:t>
      </w:r>
      <w:proofErr w:type="spellEnd"/>
      <w:r w:rsidRPr="00382917">
        <w:t>,</w:t>
      </w:r>
      <w:r>
        <w:t xml:space="preserve"> </w:t>
      </w:r>
      <w:r w:rsidRPr="00382917">
        <w:t>1866,</w:t>
      </w:r>
      <w:r>
        <w:t xml:space="preserve"> </w:t>
      </w:r>
      <w:r w:rsidRPr="00382917">
        <w:t>tome</w:t>
      </w:r>
      <w:r>
        <w:t xml:space="preserve"> </w:t>
      </w:r>
      <w:r w:rsidRPr="00382917">
        <w:t>7,</w:t>
      </w:r>
      <w:r>
        <w:t xml:space="preserve"> </w:t>
      </w:r>
      <w:r w:rsidRPr="00382917">
        <w:t>p.</w:t>
      </w:r>
      <w:r>
        <w:t xml:space="preserve"> </w:t>
      </w:r>
      <w:r w:rsidRPr="00382917">
        <w:t>378.</w:t>
      </w:r>
    </w:p>
  </w:footnote>
  <w:footnote w:id="255">
    <w:p w:rsidR="001C15E8" w:rsidRPr="005415D8" w:rsidRDefault="001C15E8">
      <w:pPr>
        <w:pStyle w:val="FootnoteText"/>
        <w:rPr>
          <w:lang w:val="en-US"/>
        </w:rPr>
      </w:pPr>
      <w:r>
        <w:rPr>
          <w:rStyle w:val="FootnoteReference"/>
        </w:rPr>
        <w:footnoteRef/>
      </w:r>
      <w:r>
        <w:tab/>
      </w:r>
      <w:r w:rsidRPr="00382917">
        <w:t>Nabíl,</w:t>
      </w:r>
      <w:r>
        <w:t xml:space="preserve"> </w:t>
      </w:r>
      <w:proofErr w:type="gramStart"/>
      <w:r w:rsidRPr="00382917">
        <w:rPr>
          <w:i/>
          <w:iCs/>
        </w:rPr>
        <w:t>The</w:t>
      </w:r>
      <w:proofErr w:type="gramEnd"/>
      <w:r>
        <w:rPr>
          <w:i/>
          <w:iCs/>
        </w:rPr>
        <w:t xml:space="preserve"> </w:t>
      </w:r>
      <w:r w:rsidRPr="00382917">
        <w:rPr>
          <w:i/>
          <w:iCs/>
        </w:rPr>
        <w:t>Dawn-Breakers</w:t>
      </w:r>
      <w:r w:rsidRPr="00382917">
        <w:t>,</w:t>
      </w:r>
      <w:r>
        <w:t xml:space="preserve"> </w:t>
      </w:r>
      <w:r w:rsidRPr="00382917">
        <w:t>pp.</w:t>
      </w:r>
      <w:r>
        <w:t xml:space="preserve"> </w:t>
      </w:r>
      <w:r w:rsidRPr="00382917">
        <w:t>512</w:t>
      </w:r>
      <w:r>
        <w:t>–</w:t>
      </w:r>
      <w:r w:rsidRPr="00382917">
        <w:t>514.</w:t>
      </w:r>
    </w:p>
  </w:footnote>
  <w:footnote w:id="256">
    <w:p w:rsidR="001C15E8" w:rsidRPr="005415D8" w:rsidRDefault="001C15E8">
      <w:pPr>
        <w:pStyle w:val="FootnoteText"/>
        <w:rPr>
          <w:lang w:val="fr-FR"/>
        </w:rPr>
      </w:pPr>
      <w:r>
        <w:rPr>
          <w:rStyle w:val="FootnoteReference"/>
        </w:rPr>
        <w:footnoteRef/>
      </w:r>
      <w:r w:rsidRPr="005415D8">
        <w:rPr>
          <w:lang w:val="fr-FR"/>
        </w:rPr>
        <w:tab/>
      </w:r>
      <w:r w:rsidRPr="00030BA2">
        <w:rPr>
          <w:lang w:val="fr-FR"/>
        </w:rPr>
        <w:t>M.</w:t>
      </w:r>
      <w:r>
        <w:rPr>
          <w:lang w:val="fr-FR"/>
        </w:rPr>
        <w:t xml:space="preserve"> </w:t>
      </w:r>
      <w:r w:rsidRPr="00030BA2">
        <w:rPr>
          <w:lang w:val="fr-FR"/>
        </w:rPr>
        <w:t>C.</w:t>
      </w:r>
      <w:r>
        <w:rPr>
          <w:lang w:val="fr-FR"/>
        </w:rPr>
        <w:t xml:space="preserve"> </w:t>
      </w:r>
      <w:r w:rsidRPr="00030BA2">
        <w:rPr>
          <w:lang w:val="fr-FR"/>
        </w:rPr>
        <w:t>Huart,</w:t>
      </w:r>
      <w:r>
        <w:rPr>
          <w:lang w:val="fr-FR"/>
        </w:rPr>
        <w:t xml:space="preserve"> </w:t>
      </w:r>
      <w:r w:rsidRPr="00030BA2">
        <w:rPr>
          <w:lang w:val="fr-FR"/>
        </w:rPr>
        <w:t>La</w:t>
      </w:r>
      <w:r>
        <w:rPr>
          <w:lang w:val="fr-FR"/>
        </w:rPr>
        <w:t xml:space="preserve"> </w:t>
      </w:r>
      <w:r w:rsidRPr="00030BA2">
        <w:rPr>
          <w:lang w:val="fr-FR"/>
        </w:rPr>
        <w:t>Religion</w:t>
      </w:r>
      <w:r>
        <w:rPr>
          <w:lang w:val="fr-FR"/>
        </w:rPr>
        <w:t xml:space="preserve"> </w:t>
      </w:r>
      <w:r w:rsidRPr="00030BA2">
        <w:rPr>
          <w:lang w:val="fr-FR"/>
        </w:rPr>
        <w:t>de</w:t>
      </w:r>
      <w:r>
        <w:rPr>
          <w:lang w:val="fr-FR"/>
        </w:rPr>
        <w:t xml:space="preserve"> </w:t>
      </w:r>
      <w:r w:rsidRPr="00030BA2">
        <w:rPr>
          <w:lang w:val="fr-FR"/>
        </w:rPr>
        <w:t>Báb,</w:t>
      </w:r>
      <w:r>
        <w:rPr>
          <w:lang w:val="fr-FR"/>
        </w:rPr>
        <w:t xml:space="preserve"> </w:t>
      </w:r>
      <w:r w:rsidRPr="00030BA2">
        <w:rPr>
          <w:lang w:val="fr-FR"/>
        </w:rPr>
        <w:t>pp.</w:t>
      </w:r>
      <w:r>
        <w:rPr>
          <w:lang w:val="fr-FR"/>
        </w:rPr>
        <w:t xml:space="preserve"> </w:t>
      </w:r>
      <w:r w:rsidRPr="00030BA2">
        <w:rPr>
          <w:lang w:val="fr-FR"/>
        </w:rPr>
        <w:t>3</w:t>
      </w:r>
      <w:r>
        <w:rPr>
          <w:lang w:val="fr-FR"/>
        </w:rPr>
        <w:t>–</w:t>
      </w:r>
      <w:r w:rsidRPr="00030BA2">
        <w:rPr>
          <w:lang w:val="fr-FR"/>
        </w:rPr>
        <w:t>4.</w:t>
      </w:r>
    </w:p>
  </w:footnote>
  <w:footnote w:id="257">
    <w:p w:rsidR="001C15E8" w:rsidRPr="005415D8" w:rsidRDefault="001C15E8">
      <w:pPr>
        <w:pStyle w:val="FootnoteText"/>
        <w:rPr>
          <w:lang w:val="es-ES"/>
        </w:rPr>
      </w:pPr>
      <w:r>
        <w:rPr>
          <w:rStyle w:val="FootnoteReference"/>
        </w:rPr>
        <w:footnoteRef/>
      </w:r>
      <w:r w:rsidRPr="005415D8">
        <w:rPr>
          <w:lang w:val="es-ES"/>
        </w:rPr>
        <w:tab/>
      </w:r>
      <w:r w:rsidRPr="00030BA2">
        <w:rPr>
          <w:lang w:val="es-ES"/>
        </w:rPr>
        <w:t>A.</w:t>
      </w:r>
      <w:r>
        <w:rPr>
          <w:lang w:val="es-ES"/>
        </w:rPr>
        <w:t xml:space="preserve"> </w:t>
      </w:r>
      <w:r w:rsidRPr="00030BA2">
        <w:rPr>
          <w:lang w:val="es-ES"/>
        </w:rPr>
        <w:t>L.</w:t>
      </w:r>
      <w:r>
        <w:rPr>
          <w:lang w:val="es-ES"/>
        </w:rPr>
        <w:t xml:space="preserve"> </w:t>
      </w:r>
      <w:r w:rsidRPr="00030BA2">
        <w:rPr>
          <w:lang w:val="es-ES"/>
        </w:rPr>
        <w:t>M.</w:t>
      </w:r>
      <w:r>
        <w:rPr>
          <w:lang w:val="es-ES"/>
        </w:rPr>
        <w:t xml:space="preserve"> </w:t>
      </w:r>
      <w:proofErr w:type="spellStart"/>
      <w:r w:rsidRPr="00030BA2">
        <w:rPr>
          <w:lang w:val="es-ES"/>
        </w:rPr>
        <w:t>Nicolas</w:t>
      </w:r>
      <w:proofErr w:type="spellEnd"/>
      <w:r w:rsidRPr="00030BA2">
        <w:rPr>
          <w:lang w:val="es-ES"/>
        </w:rPr>
        <w:t>,</w:t>
      </w:r>
      <w:r>
        <w:rPr>
          <w:lang w:val="es-ES"/>
        </w:rPr>
        <w:t xml:space="preserve"> </w:t>
      </w:r>
      <w:r w:rsidRPr="001713B3">
        <w:rPr>
          <w:i/>
          <w:iCs/>
          <w:lang w:val="es-ES"/>
        </w:rPr>
        <w:t>Siyyid</w:t>
      </w:r>
      <w:r>
        <w:rPr>
          <w:i/>
          <w:iCs/>
          <w:lang w:val="es-ES"/>
        </w:rPr>
        <w:t xml:space="preserve"> </w:t>
      </w:r>
      <w:r w:rsidRPr="001713B3">
        <w:rPr>
          <w:i/>
          <w:iCs/>
          <w:lang w:val="es-ES"/>
        </w:rPr>
        <w:t>‘Alí-Muḥammad</w:t>
      </w:r>
      <w:r>
        <w:rPr>
          <w:i/>
          <w:iCs/>
          <w:lang w:val="es-ES"/>
        </w:rPr>
        <w:t xml:space="preserve"> </w:t>
      </w:r>
      <w:proofErr w:type="spellStart"/>
      <w:r w:rsidRPr="001713B3">
        <w:rPr>
          <w:i/>
          <w:iCs/>
          <w:lang w:val="es-ES"/>
        </w:rPr>
        <w:t>dit</w:t>
      </w:r>
      <w:proofErr w:type="spellEnd"/>
      <w:r>
        <w:rPr>
          <w:i/>
          <w:iCs/>
          <w:lang w:val="es-ES"/>
        </w:rPr>
        <w:t xml:space="preserve"> </w:t>
      </w:r>
      <w:r w:rsidRPr="001713B3">
        <w:rPr>
          <w:i/>
          <w:iCs/>
          <w:lang w:val="es-ES"/>
        </w:rPr>
        <w:t>le</w:t>
      </w:r>
      <w:r>
        <w:rPr>
          <w:i/>
          <w:iCs/>
          <w:lang w:val="es-ES"/>
        </w:rPr>
        <w:t xml:space="preserve"> </w:t>
      </w:r>
      <w:r w:rsidRPr="001713B3">
        <w:rPr>
          <w:i/>
          <w:iCs/>
          <w:lang w:val="es-ES"/>
        </w:rPr>
        <w:t>Báb</w:t>
      </w:r>
      <w:r w:rsidRPr="00030BA2">
        <w:rPr>
          <w:lang w:val="es-ES"/>
        </w:rPr>
        <w:t>,</w:t>
      </w:r>
      <w:r>
        <w:rPr>
          <w:lang w:val="es-ES"/>
        </w:rPr>
        <w:t xml:space="preserve"> </w:t>
      </w:r>
      <w:r w:rsidRPr="00030BA2">
        <w:rPr>
          <w:lang w:val="es-ES"/>
        </w:rPr>
        <w:t>p.</w:t>
      </w:r>
      <w:r>
        <w:rPr>
          <w:lang w:val="es-ES"/>
        </w:rPr>
        <w:t xml:space="preserve"> </w:t>
      </w:r>
      <w:r w:rsidRPr="00030BA2">
        <w:rPr>
          <w:lang w:val="es-ES"/>
        </w:rPr>
        <w:t>375.</w:t>
      </w:r>
    </w:p>
  </w:footnote>
  <w:footnote w:id="258">
    <w:p w:rsidR="001C15E8" w:rsidRPr="005415D8" w:rsidRDefault="001C15E8">
      <w:pPr>
        <w:pStyle w:val="FootnoteText"/>
        <w:rPr>
          <w:lang w:val="es-ES"/>
        </w:rPr>
      </w:pPr>
      <w:r>
        <w:rPr>
          <w:rStyle w:val="FootnoteReference"/>
        </w:rPr>
        <w:footnoteRef/>
      </w:r>
      <w:r w:rsidRPr="005415D8">
        <w:rPr>
          <w:lang w:val="es-ES"/>
        </w:rPr>
        <w:tab/>
        <w:t xml:space="preserve">A. L. M. </w:t>
      </w:r>
      <w:proofErr w:type="spellStart"/>
      <w:r w:rsidRPr="005415D8">
        <w:rPr>
          <w:lang w:val="es-ES"/>
        </w:rPr>
        <w:t>Nicolas</w:t>
      </w:r>
      <w:proofErr w:type="spellEnd"/>
      <w:r w:rsidRPr="005415D8">
        <w:rPr>
          <w:lang w:val="es-ES"/>
        </w:rPr>
        <w:t xml:space="preserve">, </w:t>
      </w:r>
      <w:r w:rsidRPr="005415D8">
        <w:rPr>
          <w:i/>
          <w:iCs/>
          <w:lang w:val="es-ES"/>
        </w:rPr>
        <w:t xml:space="preserve">Siyyid ‘Alí-Muḥammad </w:t>
      </w:r>
      <w:proofErr w:type="spellStart"/>
      <w:r w:rsidRPr="005415D8">
        <w:rPr>
          <w:i/>
          <w:iCs/>
          <w:lang w:val="es-ES"/>
        </w:rPr>
        <w:t>dit</w:t>
      </w:r>
      <w:proofErr w:type="spellEnd"/>
      <w:r w:rsidRPr="005415D8">
        <w:rPr>
          <w:i/>
          <w:iCs/>
          <w:lang w:val="es-ES"/>
        </w:rPr>
        <w:t xml:space="preserve"> le Báb</w:t>
      </w:r>
      <w:r w:rsidRPr="005415D8">
        <w:rPr>
          <w:lang w:val="es-ES"/>
        </w:rPr>
        <w:t>, pp. 203–204, 376.</w:t>
      </w:r>
    </w:p>
  </w:footnote>
  <w:footnote w:id="259">
    <w:p w:rsidR="001C15E8" w:rsidRPr="00B92F1D" w:rsidRDefault="001C15E8">
      <w:pPr>
        <w:pStyle w:val="FootnoteText"/>
        <w:rPr>
          <w:lang w:val="fr-FR"/>
        </w:rPr>
      </w:pPr>
      <w:r>
        <w:rPr>
          <w:rStyle w:val="FootnoteReference"/>
        </w:rPr>
        <w:footnoteRef/>
      </w:r>
      <w:r w:rsidRPr="00B92F1D">
        <w:rPr>
          <w:lang w:val="fr-FR"/>
        </w:rPr>
        <w:tab/>
      </w:r>
      <w:r w:rsidRPr="00030BA2">
        <w:rPr>
          <w:lang w:val="fr-FR"/>
        </w:rPr>
        <w:t>Luke</w:t>
      </w:r>
      <w:r>
        <w:rPr>
          <w:lang w:val="fr-FR"/>
        </w:rPr>
        <w:t xml:space="preserve"> </w:t>
      </w:r>
      <w:r w:rsidRPr="00030BA2">
        <w:rPr>
          <w:lang w:val="fr-FR"/>
        </w:rPr>
        <w:t>22:42.</w:t>
      </w:r>
    </w:p>
  </w:footnote>
  <w:footnote w:id="260">
    <w:p w:rsidR="001C15E8" w:rsidRPr="00495FEF" w:rsidRDefault="001C15E8">
      <w:pPr>
        <w:pStyle w:val="FootnoteText"/>
        <w:rPr>
          <w:lang w:val="fr-FR"/>
        </w:rPr>
      </w:pPr>
      <w:r>
        <w:rPr>
          <w:rStyle w:val="FootnoteReference"/>
        </w:rPr>
        <w:footnoteRef/>
      </w:r>
      <w:r w:rsidRPr="00495FEF">
        <w:rPr>
          <w:lang w:val="fr-FR"/>
        </w:rPr>
        <w:tab/>
      </w:r>
      <w:r w:rsidRPr="00030BA2">
        <w:rPr>
          <w:lang w:val="fr-FR"/>
        </w:rPr>
        <w:t>M.</w:t>
      </w:r>
      <w:r>
        <w:rPr>
          <w:lang w:val="fr-FR"/>
        </w:rPr>
        <w:t xml:space="preserve"> </w:t>
      </w:r>
      <w:r w:rsidRPr="00030BA2">
        <w:rPr>
          <w:lang w:val="fr-FR"/>
        </w:rPr>
        <w:t>C.</w:t>
      </w:r>
      <w:r>
        <w:rPr>
          <w:lang w:val="fr-FR"/>
        </w:rPr>
        <w:t xml:space="preserve"> </w:t>
      </w:r>
      <w:r w:rsidRPr="00030BA2">
        <w:rPr>
          <w:lang w:val="fr-FR"/>
        </w:rPr>
        <w:t>Huart,</w:t>
      </w:r>
      <w:r>
        <w:rPr>
          <w:lang w:val="fr-FR"/>
        </w:rPr>
        <w:t xml:space="preserve"> </w:t>
      </w:r>
      <w:r w:rsidRPr="00030BA2">
        <w:rPr>
          <w:lang w:val="fr-FR"/>
        </w:rPr>
        <w:t>La</w:t>
      </w:r>
      <w:r>
        <w:rPr>
          <w:lang w:val="fr-FR"/>
        </w:rPr>
        <w:t xml:space="preserve"> </w:t>
      </w:r>
      <w:r w:rsidRPr="00030BA2">
        <w:rPr>
          <w:lang w:val="fr-FR"/>
        </w:rPr>
        <w:t>Religion</w:t>
      </w:r>
      <w:r>
        <w:rPr>
          <w:lang w:val="fr-FR"/>
        </w:rPr>
        <w:t xml:space="preserve"> </w:t>
      </w:r>
      <w:r w:rsidRPr="00030BA2">
        <w:rPr>
          <w:lang w:val="fr-FR"/>
        </w:rPr>
        <w:t>de</w:t>
      </w:r>
      <w:r>
        <w:rPr>
          <w:lang w:val="fr-FR"/>
        </w:rPr>
        <w:t xml:space="preserve"> </w:t>
      </w:r>
      <w:r w:rsidRPr="00030BA2">
        <w:rPr>
          <w:lang w:val="fr-FR"/>
        </w:rPr>
        <w:t>Báb,</w:t>
      </w:r>
      <w:r>
        <w:rPr>
          <w:lang w:val="fr-FR"/>
        </w:rPr>
        <w:t xml:space="preserve"> </w:t>
      </w:r>
      <w:r w:rsidRPr="00030BA2">
        <w:rPr>
          <w:lang w:val="fr-FR"/>
        </w:rPr>
        <w:t>pp.</w:t>
      </w:r>
      <w:r>
        <w:rPr>
          <w:lang w:val="fr-FR"/>
        </w:rPr>
        <w:t xml:space="preserve"> </w:t>
      </w:r>
      <w:r w:rsidRPr="00030BA2">
        <w:rPr>
          <w:lang w:val="fr-FR"/>
        </w:rPr>
        <w:t>3</w:t>
      </w:r>
      <w:r>
        <w:rPr>
          <w:lang w:val="fr-FR"/>
        </w:rPr>
        <w:t>–</w:t>
      </w:r>
      <w:r w:rsidRPr="00030BA2">
        <w:rPr>
          <w:lang w:val="fr-FR"/>
        </w:rPr>
        <w:t>4.</w:t>
      </w:r>
    </w:p>
  </w:footnote>
  <w:footnote w:id="261">
    <w:p w:rsidR="001C15E8" w:rsidRPr="00495FEF" w:rsidRDefault="001C15E8">
      <w:pPr>
        <w:pStyle w:val="FootnoteText"/>
        <w:rPr>
          <w:lang w:val="en-US"/>
        </w:rPr>
      </w:pPr>
      <w:r>
        <w:rPr>
          <w:rStyle w:val="FootnoteReference"/>
        </w:rPr>
        <w:footnoteRef/>
      </w:r>
      <w:r>
        <w:tab/>
      </w:r>
      <w:r w:rsidRPr="00382917">
        <w:t>Nabil,</w:t>
      </w:r>
      <w:r>
        <w:t xml:space="preserve"> </w:t>
      </w:r>
      <w:proofErr w:type="gramStart"/>
      <w:r w:rsidRPr="00382917">
        <w:rPr>
          <w:i/>
          <w:iCs/>
        </w:rPr>
        <w:t>The</w:t>
      </w:r>
      <w:proofErr w:type="gramEnd"/>
      <w:r>
        <w:rPr>
          <w:i/>
          <w:iCs/>
        </w:rPr>
        <w:t xml:space="preserve"> </w:t>
      </w:r>
      <w:r w:rsidRPr="00382917">
        <w:rPr>
          <w:i/>
          <w:iCs/>
        </w:rPr>
        <w:t>Dawn-Breakers</w:t>
      </w:r>
      <w:r w:rsidRPr="00382917">
        <w:t>,</w:t>
      </w:r>
      <w:r>
        <w:t xml:space="preserve"> </w:t>
      </w:r>
      <w:r w:rsidRPr="00382917">
        <w:t>p.</w:t>
      </w:r>
      <w:r>
        <w:t xml:space="preserve"> </w:t>
      </w:r>
      <w:r w:rsidRPr="00382917">
        <w:t>518.</w:t>
      </w:r>
    </w:p>
  </w:footnote>
  <w:footnote w:id="262">
    <w:p w:rsidR="001C15E8" w:rsidRPr="008B05CD" w:rsidRDefault="001C15E8">
      <w:pPr>
        <w:pStyle w:val="FootnoteText"/>
        <w:rPr>
          <w:lang w:val="es-ES"/>
        </w:rPr>
      </w:pPr>
      <w:r>
        <w:rPr>
          <w:rStyle w:val="FootnoteReference"/>
        </w:rPr>
        <w:footnoteRef/>
      </w:r>
      <w:r w:rsidRPr="008B05CD">
        <w:rPr>
          <w:lang w:val="es-ES"/>
        </w:rPr>
        <w:tab/>
      </w:r>
      <w:r w:rsidRPr="00030BA2">
        <w:rPr>
          <w:lang w:val="es-ES"/>
        </w:rPr>
        <w:t>A.</w:t>
      </w:r>
      <w:r>
        <w:rPr>
          <w:lang w:val="es-ES"/>
        </w:rPr>
        <w:t xml:space="preserve"> </w:t>
      </w:r>
      <w:r w:rsidRPr="00030BA2">
        <w:rPr>
          <w:lang w:val="es-ES"/>
        </w:rPr>
        <w:t>L.</w:t>
      </w:r>
      <w:r>
        <w:rPr>
          <w:lang w:val="es-ES"/>
        </w:rPr>
        <w:t xml:space="preserve"> </w:t>
      </w:r>
      <w:r w:rsidRPr="00030BA2">
        <w:rPr>
          <w:lang w:val="es-ES"/>
        </w:rPr>
        <w:t>M.</w:t>
      </w:r>
      <w:r>
        <w:rPr>
          <w:lang w:val="es-ES"/>
        </w:rPr>
        <w:t xml:space="preserve"> </w:t>
      </w:r>
      <w:proofErr w:type="spellStart"/>
      <w:r w:rsidRPr="00030BA2">
        <w:rPr>
          <w:lang w:val="es-ES"/>
        </w:rPr>
        <w:t>Nicolas</w:t>
      </w:r>
      <w:proofErr w:type="spellEnd"/>
      <w:r w:rsidRPr="00030BA2">
        <w:rPr>
          <w:lang w:val="es-ES"/>
        </w:rPr>
        <w:t>,</w:t>
      </w:r>
      <w:r>
        <w:rPr>
          <w:lang w:val="es-ES"/>
        </w:rPr>
        <w:t xml:space="preserve"> </w:t>
      </w:r>
      <w:r w:rsidRPr="001713B3">
        <w:rPr>
          <w:i/>
          <w:iCs/>
          <w:lang w:val="es-ES"/>
        </w:rPr>
        <w:t>Siyyid</w:t>
      </w:r>
      <w:r>
        <w:rPr>
          <w:i/>
          <w:iCs/>
          <w:lang w:val="es-ES"/>
        </w:rPr>
        <w:t xml:space="preserve"> </w:t>
      </w:r>
      <w:r w:rsidRPr="001713B3">
        <w:rPr>
          <w:i/>
          <w:iCs/>
          <w:lang w:val="es-ES"/>
        </w:rPr>
        <w:t>‘Alí-Muḥammad</w:t>
      </w:r>
      <w:r>
        <w:rPr>
          <w:i/>
          <w:iCs/>
          <w:lang w:val="es-ES"/>
        </w:rPr>
        <w:t xml:space="preserve"> </w:t>
      </w:r>
      <w:proofErr w:type="spellStart"/>
      <w:r w:rsidRPr="001713B3">
        <w:rPr>
          <w:i/>
          <w:iCs/>
          <w:lang w:val="es-ES"/>
        </w:rPr>
        <w:t>dit</w:t>
      </w:r>
      <w:proofErr w:type="spellEnd"/>
      <w:r>
        <w:rPr>
          <w:i/>
          <w:iCs/>
          <w:lang w:val="es-ES"/>
        </w:rPr>
        <w:t xml:space="preserve"> </w:t>
      </w:r>
      <w:r w:rsidRPr="001713B3">
        <w:rPr>
          <w:i/>
          <w:iCs/>
          <w:lang w:val="es-ES"/>
        </w:rPr>
        <w:t>le</w:t>
      </w:r>
      <w:r>
        <w:rPr>
          <w:i/>
          <w:iCs/>
          <w:lang w:val="es-ES"/>
        </w:rPr>
        <w:t xml:space="preserve"> </w:t>
      </w:r>
      <w:r w:rsidRPr="001713B3">
        <w:rPr>
          <w:i/>
          <w:iCs/>
          <w:lang w:val="es-ES"/>
        </w:rPr>
        <w:t>Báb</w:t>
      </w:r>
      <w:r w:rsidRPr="00030BA2">
        <w:rPr>
          <w:lang w:val="es-ES"/>
        </w:rPr>
        <w:t>,</w:t>
      </w:r>
      <w:r>
        <w:rPr>
          <w:lang w:val="es-ES"/>
        </w:rPr>
        <w:t xml:space="preserve"> </w:t>
      </w:r>
      <w:r w:rsidRPr="00030BA2">
        <w:rPr>
          <w:lang w:val="es-ES"/>
        </w:rPr>
        <w:t>p.</w:t>
      </w:r>
      <w:r>
        <w:rPr>
          <w:lang w:val="es-ES"/>
        </w:rPr>
        <w:t xml:space="preserve"> </w:t>
      </w:r>
      <w:r w:rsidRPr="00030BA2">
        <w:rPr>
          <w:lang w:val="es-ES"/>
        </w:rPr>
        <w:t>377.</w:t>
      </w:r>
    </w:p>
  </w:footnote>
  <w:footnote w:id="263">
    <w:p w:rsidR="001C15E8" w:rsidRPr="001A576F" w:rsidRDefault="001C15E8">
      <w:pPr>
        <w:pStyle w:val="FootnoteText"/>
        <w:rPr>
          <w:lang w:val="en-US"/>
        </w:rPr>
      </w:pPr>
      <w:r>
        <w:rPr>
          <w:rStyle w:val="FootnoteReference"/>
        </w:rPr>
        <w:footnoteRef/>
      </w:r>
      <w:r>
        <w:tab/>
      </w:r>
      <w:r w:rsidRPr="00382917">
        <w:t>Nabíl,</w:t>
      </w:r>
      <w:r>
        <w:t xml:space="preserve"> </w:t>
      </w:r>
      <w:proofErr w:type="gramStart"/>
      <w:r w:rsidRPr="00382917">
        <w:rPr>
          <w:i/>
          <w:iCs/>
        </w:rPr>
        <w:t>The</w:t>
      </w:r>
      <w:proofErr w:type="gramEnd"/>
      <w:r>
        <w:rPr>
          <w:i/>
          <w:iCs/>
        </w:rPr>
        <w:t xml:space="preserve"> </w:t>
      </w:r>
      <w:r w:rsidRPr="00382917">
        <w:rPr>
          <w:i/>
          <w:iCs/>
        </w:rPr>
        <w:t>Dawn-Breakers</w:t>
      </w:r>
      <w:r w:rsidRPr="00382917">
        <w:t>,</w:t>
      </w:r>
      <w:r>
        <w:t xml:space="preserve"> </w:t>
      </w:r>
      <w:r w:rsidRPr="00382917">
        <w:t>pp.</w:t>
      </w:r>
      <w:r>
        <w:t xml:space="preserve"> </w:t>
      </w:r>
      <w:r w:rsidRPr="00382917">
        <w:t>520</w:t>
      </w:r>
      <w:r>
        <w:t>–</w:t>
      </w:r>
      <w:r w:rsidRPr="00382917">
        <w:t>521.</w:t>
      </w:r>
    </w:p>
  </w:footnote>
  <w:footnote w:id="264">
    <w:p w:rsidR="001C15E8" w:rsidRPr="00B92F1D" w:rsidRDefault="001C15E8">
      <w:pPr>
        <w:pStyle w:val="FootnoteText"/>
        <w:rPr>
          <w:lang w:val="fr-FR"/>
        </w:rPr>
      </w:pPr>
      <w:r>
        <w:rPr>
          <w:rStyle w:val="FootnoteReference"/>
        </w:rPr>
        <w:footnoteRef/>
      </w:r>
      <w:r w:rsidRPr="00B92F1D">
        <w:rPr>
          <w:lang w:val="fr-FR"/>
        </w:rPr>
        <w:tab/>
      </w:r>
      <w:proofErr w:type="spellStart"/>
      <w:r w:rsidRPr="00B92F1D">
        <w:rPr>
          <w:lang w:val="fr-FR"/>
        </w:rPr>
        <w:t>See</w:t>
      </w:r>
      <w:proofErr w:type="spellEnd"/>
      <w:r w:rsidRPr="00B92F1D">
        <w:rPr>
          <w:lang w:val="fr-FR"/>
        </w:rPr>
        <w:t xml:space="preserve"> </w:t>
      </w:r>
      <w:proofErr w:type="spellStart"/>
      <w:r w:rsidRPr="00B92F1D">
        <w:rPr>
          <w:lang w:val="fr-FR"/>
        </w:rPr>
        <w:t>Appendix</w:t>
      </w:r>
      <w:proofErr w:type="spellEnd"/>
      <w:r w:rsidRPr="00B92F1D">
        <w:rPr>
          <w:lang w:val="fr-FR"/>
        </w:rPr>
        <w:t>, Note Five.</w:t>
      </w:r>
    </w:p>
  </w:footnote>
  <w:footnote w:id="265">
    <w:p w:rsidR="001C15E8" w:rsidRPr="008E7A6E" w:rsidRDefault="001C15E8">
      <w:pPr>
        <w:pStyle w:val="FootnoteText"/>
        <w:rPr>
          <w:lang w:val="fr-FR"/>
        </w:rPr>
      </w:pPr>
      <w:r>
        <w:rPr>
          <w:rStyle w:val="FootnoteReference"/>
        </w:rPr>
        <w:footnoteRef/>
      </w:r>
      <w:r w:rsidRPr="008E7A6E">
        <w:rPr>
          <w:lang w:val="fr-FR"/>
        </w:rPr>
        <w:tab/>
      </w:r>
      <w:r w:rsidRPr="00030BA2">
        <w:rPr>
          <w:lang w:val="fr-FR"/>
        </w:rPr>
        <w:t>Comte</w:t>
      </w:r>
      <w:r>
        <w:rPr>
          <w:lang w:val="fr-FR"/>
        </w:rPr>
        <w:t xml:space="preserve"> </w:t>
      </w:r>
      <w:r w:rsidRPr="00030BA2">
        <w:rPr>
          <w:lang w:val="fr-FR"/>
        </w:rPr>
        <w:t>de</w:t>
      </w:r>
      <w:r>
        <w:rPr>
          <w:lang w:val="fr-FR"/>
        </w:rPr>
        <w:t xml:space="preserve"> </w:t>
      </w:r>
      <w:r w:rsidRPr="00030BA2">
        <w:rPr>
          <w:lang w:val="fr-FR"/>
        </w:rPr>
        <w:t>Gobineau,</w:t>
      </w:r>
      <w:r>
        <w:rPr>
          <w:lang w:val="fr-FR"/>
        </w:rPr>
        <w:t xml:space="preserve"> </w:t>
      </w:r>
      <w:r w:rsidRPr="000D2EB0">
        <w:rPr>
          <w:i/>
          <w:iCs/>
          <w:lang w:val="fr-FR"/>
        </w:rPr>
        <w:t>Les Religions et les Philosophies Bans l’Asie Centrale</w:t>
      </w:r>
      <w:r w:rsidRPr="00030BA2">
        <w:rPr>
          <w:lang w:val="fr-FR"/>
        </w:rPr>
        <w:t>,</w:t>
      </w:r>
      <w:r>
        <w:rPr>
          <w:lang w:val="fr-FR"/>
        </w:rPr>
        <w:t xml:space="preserve"> </w:t>
      </w:r>
      <w:r w:rsidRPr="00030BA2">
        <w:rPr>
          <w:lang w:val="fr-FR"/>
        </w:rPr>
        <w:t>pp.</w:t>
      </w:r>
      <w:r>
        <w:rPr>
          <w:lang w:val="fr-FR"/>
        </w:rPr>
        <w:t xml:space="preserve"> </w:t>
      </w:r>
      <w:r w:rsidRPr="00030BA2">
        <w:rPr>
          <w:lang w:val="fr-FR"/>
        </w:rPr>
        <w:t>207</w:t>
      </w:r>
      <w:r>
        <w:rPr>
          <w:lang w:val="fr-FR"/>
        </w:rPr>
        <w:t>–</w:t>
      </w:r>
      <w:r w:rsidRPr="00030BA2">
        <w:rPr>
          <w:lang w:val="fr-FR"/>
        </w:rPr>
        <w:t>209.</w:t>
      </w:r>
    </w:p>
  </w:footnote>
  <w:footnote w:id="266">
    <w:p w:rsidR="001C15E8" w:rsidRPr="008E7A6E" w:rsidRDefault="001C15E8">
      <w:pPr>
        <w:pStyle w:val="FootnoteText"/>
        <w:rPr>
          <w:lang w:val="en-US"/>
        </w:rPr>
      </w:pPr>
      <w:r>
        <w:rPr>
          <w:rStyle w:val="FootnoteReference"/>
        </w:rPr>
        <w:footnoteRef/>
      </w:r>
      <w:r>
        <w:tab/>
      </w:r>
      <w:r w:rsidRPr="00382917">
        <w:t>Shoghi</w:t>
      </w:r>
      <w:r>
        <w:t xml:space="preserve"> </w:t>
      </w:r>
      <w:r w:rsidRPr="00382917">
        <w:t>Effendi,</w:t>
      </w:r>
      <w:r>
        <w:t xml:space="preserve"> </w:t>
      </w:r>
      <w:r w:rsidRPr="001713B3">
        <w:rPr>
          <w:i/>
          <w:iCs/>
        </w:rPr>
        <w:t>God</w:t>
      </w:r>
      <w:r>
        <w:rPr>
          <w:i/>
          <w:iCs/>
        </w:rPr>
        <w:t xml:space="preserve"> </w:t>
      </w:r>
      <w:r w:rsidRPr="001713B3">
        <w:rPr>
          <w:i/>
          <w:iCs/>
        </w:rPr>
        <w:t>Passes</w:t>
      </w:r>
      <w:r>
        <w:rPr>
          <w:i/>
          <w:iCs/>
        </w:rPr>
        <w:t xml:space="preserve"> </w:t>
      </w:r>
      <w:r w:rsidRPr="001713B3">
        <w:rPr>
          <w:i/>
          <w:iCs/>
        </w:rPr>
        <w:t>By</w:t>
      </w:r>
      <w:r w:rsidRPr="00382917">
        <w:t>,</w:t>
      </w:r>
      <w:r>
        <w:t xml:space="preserve"> </w:t>
      </w:r>
      <w:r w:rsidRPr="00382917">
        <w:t>p.</w:t>
      </w:r>
      <w:r>
        <w:t xml:space="preserve"> </w:t>
      </w:r>
      <w:r w:rsidRPr="00382917">
        <w:t>83.</w:t>
      </w:r>
    </w:p>
  </w:footnote>
  <w:footnote w:id="267">
    <w:p w:rsidR="001C15E8" w:rsidRPr="008E7A6E" w:rsidRDefault="001C15E8">
      <w:pPr>
        <w:pStyle w:val="FootnoteText"/>
        <w:rPr>
          <w:lang w:val="en-US"/>
        </w:rPr>
      </w:pPr>
      <w:r>
        <w:rPr>
          <w:rStyle w:val="FootnoteReference"/>
        </w:rPr>
        <w:footnoteRef/>
      </w:r>
      <w:r>
        <w:tab/>
      </w:r>
      <w:proofErr w:type="gramStart"/>
      <w:r>
        <w:t>idem</w:t>
      </w:r>
      <w:proofErr w:type="gramEnd"/>
      <w:r w:rsidRPr="00382917">
        <w:t>,</w:t>
      </w:r>
      <w:r>
        <w:t xml:space="preserve"> </w:t>
      </w:r>
      <w:r w:rsidRPr="00382917">
        <w:t>p.</w:t>
      </w:r>
      <w:r>
        <w:t xml:space="preserve"> </w:t>
      </w:r>
      <w:r w:rsidRPr="00382917">
        <w:t>83</w:t>
      </w:r>
      <w:r>
        <w:t>–</w:t>
      </w:r>
      <w:r w:rsidRPr="00382917">
        <w:t>85.</w:t>
      </w:r>
    </w:p>
  </w:footnote>
  <w:footnote w:id="268">
    <w:p w:rsidR="001C15E8" w:rsidRPr="008E7A6E" w:rsidRDefault="001C15E8">
      <w:pPr>
        <w:pStyle w:val="FootnoteText"/>
        <w:rPr>
          <w:lang w:val="en-US"/>
        </w:rPr>
      </w:pPr>
      <w:r>
        <w:rPr>
          <w:rStyle w:val="FootnoteReference"/>
        </w:rPr>
        <w:footnoteRef/>
      </w:r>
      <w:r>
        <w:tab/>
      </w:r>
      <w:r w:rsidRPr="00382917">
        <w:t>Amos</w:t>
      </w:r>
      <w:r>
        <w:t xml:space="preserve"> </w:t>
      </w:r>
      <w:r w:rsidRPr="00382917">
        <w:t>8:9.</w:t>
      </w:r>
    </w:p>
  </w:footnote>
  <w:footnote w:id="269">
    <w:p w:rsidR="001C15E8" w:rsidRPr="008E7A6E" w:rsidRDefault="001C15E8" w:rsidP="008E7A6E">
      <w:pPr>
        <w:pStyle w:val="FootnoteText"/>
        <w:rPr>
          <w:lang w:val="en-US"/>
        </w:rPr>
      </w:pPr>
      <w:r>
        <w:rPr>
          <w:rStyle w:val="FootnoteReference"/>
        </w:rPr>
        <w:footnoteRef/>
      </w:r>
      <w:r>
        <w:tab/>
      </w:r>
      <w:r w:rsidRPr="00382917">
        <w:t>(1)</w:t>
      </w:r>
      <w:r>
        <w:t xml:space="preserve">  </w:t>
      </w:r>
      <w:r w:rsidRPr="00382917">
        <w:t>‘Abdu’l-Bahá,</w:t>
      </w:r>
      <w:r>
        <w:t xml:space="preserve"> </w:t>
      </w:r>
      <w:r w:rsidRPr="008E7A6E">
        <w:rPr>
          <w:i/>
          <w:iCs/>
        </w:rPr>
        <w:t>Some Answered Questions</w:t>
      </w:r>
      <w:r w:rsidRPr="00382917">
        <w:t>,</w:t>
      </w:r>
      <w:r>
        <w:t xml:space="preserve"> </w:t>
      </w:r>
      <w:r w:rsidRPr="00382917">
        <w:t>p.</w:t>
      </w:r>
      <w:r>
        <w:t xml:space="preserve"> </w:t>
      </w:r>
      <w:r w:rsidRPr="00382917">
        <w:t>6</w:t>
      </w:r>
      <w:r>
        <w:t xml:space="preserve">3; </w:t>
      </w:r>
      <w:r w:rsidRPr="00382917">
        <w:t>(2)</w:t>
      </w:r>
      <w:r>
        <w:t xml:space="preserve">  </w:t>
      </w:r>
      <w:r w:rsidRPr="00382917">
        <w:t>Shoghi</w:t>
      </w:r>
      <w:r>
        <w:t xml:space="preserve"> </w:t>
      </w:r>
      <w:r w:rsidRPr="00382917">
        <w:t>Effendi,</w:t>
      </w:r>
      <w:r>
        <w:t xml:space="preserve"> </w:t>
      </w:r>
      <w:r w:rsidRPr="001713B3">
        <w:rPr>
          <w:i/>
          <w:iCs/>
        </w:rPr>
        <w:t>God</w:t>
      </w:r>
      <w:r>
        <w:rPr>
          <w:i/>
          <w:iCs/>
        </w:rPr>
        <w:t xml:space="preserve"> </w:t>
      </w:r>
      <w:r w:rsidRPr="001713B3">
        <w:rPr>
          <w:i/>
          <w:iCs/>
        </w:rPr>
        <w:t>Passes</w:t>
      </w:r>
      <w:r>
        <w:rPr>
          <w:i/>
          <w:iCs/>
        </w:rPr>
        <w:t xml:space="preserve"> </w:t>
      </w:r>
      <w:r w:rsidRPr="001713B3">
        <w:rPr>
          <w:i/>
          <w:iCs/>
        </w:rPr>
        <w:t>By</w:t>
      </w:r>
      <w:r w:rsidRPr="00382917">
        <w:t>,</w:t>
      </w:r>
      <w:r>
        <w:t xml:space="preserve"> </w:t>
      </w:r>
      <w:r w:rsidRPr="00382917">
        <w:t>pp.</w:t>
      </w:r>
      <w:r>
        <w:t xml:space="preserve"> </w:t>
      </w:r>
      <w:r w:rsidRPr="00382917">
        <w:t>53</w:t>
      </w:r>
      <w:r>
        <w:t>–</w:t>
      </w:r>
      <w:r w:rsidRPr="00382917">
        <w:t>54.</w:t>
      </w:r>
    </w:p>
  </w:footnote>
  <w:footnote w:id="270">
    <w:p w:rsidR="001C15E8" w:rsidRPr="000847FB" w:rsidRDefault="001C15E8">
      <w:pPr>
        <w:pStyle w:val="FootnoteText"/>
        <w:rPr>
          <w:lang w:val="en-US"/>
        </w:rPr>
      </w:pPr>
      <w:r>
        <w:rPr>
          <w:rStyle w:val="FootnoteReference"/>
        </w:rPr>
        <w:footnoteRef/>
      </w:r>
      <w:r>
        <w:tab/>
      </w:r>
      <w:proofErr w:type="gramStart"/>
      <w:r w:rsidRPr="00382917">
        <w:t>Nabíl,</w:t>
      </w:r>
      <w:r>
        <w:t xml:space="preserve"> </w:t>
      </w:r>
      <w:r w:rsidRPr="00382917">
        <w:rPr>
          <w:i/>
          <w:iCs/>
        </w:rPr>
        <w:t>The</w:t>
      </w:r>
      <w:r>
        <w:rPr>
          <w:i/>
          <w:iCs/>
        </w:rPr>
        <w:t xml:space="preserve"> </w:t>
      </w:r>
      <w:r w:rsidRPr="00382917">
        <w:rPr>
          <w:i/>
          <w:iCs/>
        </w:rPr>
        <w:t>Dawn-Breakers</w:t>
      </w:r>
      <w:r w:rsidRPr="00382917">
        <w:t>,</w:t>
      </w:r>
      <w:r>
        <w:t xml:space="preserve"> </w:t>
      </w:r>
      <w:r w:rsidRPr="00382917">
        <w:t>Introduction,</w:t>
      </w:r>
      <w:r>
        <w:t xml:space="preserve"> </w:t>
      </w:r>
      <w:r w:rsidRPr="00382917">
        <w:t>pp.</w:t>
      </w:r>
      <w:r>
        <w:t xml:space="preserve"> </w:t>
      </w:r>
      <w:r w:rsidRPr="00382917">
        <w:t>xxxi</w:t>
      </w:r>
      <w:r>
        <w:t>–</w:t>
      </w:r>
      <w:r w:rsidRPr="00382917">
        <w:t>xxxii.</w:t>
      </w:r>
      <w:proofErr w:type="gramEnd"/>
    </w:p>
  </w:footnote>
  <w:footnote w:id="271">
    <w:p w:rsidR="001C15E8" w:rsidRPr="00F44342" w:rsidRDefault="001C15E8">
      <w:pPr>
        <w:pStyle w:val="FootnoteText"/>
        <w:rPr>
          <w:lang w:val="en-US"/>
        </w:rPr>
      </w:pPr>
      <w:r>
        <w:rPr>
          <w:rStyle w:val="FootnoteReference"/>
        </w:rPr>
        <w:footnoteRef/>
      </w:r>
      <w:r>
        <w:tab/>
      </w:r>
      <w:r w:rsidRPr="00382917">
        <w:t>Shoghi</w:t>
      </w:r>
      <w:r>
        <w:t xml:space="preserve"> </w:t>
      </w:r>
      <w:r w:rsidRPr="00382917">
        <w:t>Effendi,</w:t>
      </w:r>
      <w:r>
        <w:t xml:space="preserve"> </w:t>
      </w:r>
      <w:r w:rsidRPr="001713B3">
        <w:rPr>
          <w:i/>
          <w:iCs/>
        </w:rPr>
        <w:t>God</w:t>
      </w:r>
      <w:r>
        <w:rPr>
          <w:i/>
          <w:iCs/>
        </w:rPr>
        <w:t xml:space="preserve"> </w:t>
      </w:r>
      <w:r w:rsidRPr="001713B3">
        <w:rPr>
          <w:i/>
          <w:iCs/>
        </w:rPr>
        <w:t>Passes</w:t>
      </w:r>
      <w:r>
        <w:rPr>
          <w:i/>
          <w:iCs/>
        </w:rPr>
        <w:t xml:space="preserve"> </w:t>
      </w:r>
      <w:r w:rsidRPr="001713B3">
        <w:rPr>
          <w:i/>
          <w:iCs/>
        </w:rPr>
        <w:t>By</w:t>
      </w:r>
      <w:r w:rsidRPr="00382917">
        <w:t>,</w:t>
      </w:r>
      <w:r>
        <w:t xml:space="preserve"> </w:t>
      </w:r>
      <w:r w:rsidRPr="00382917">
        <w:t>pp.</w:t>
      </w:r>
      <w:r>
        <w:t xml:space="preserve"> </w:t>
      </w:r>
      <w:r w:rsidRPr="00382917">
        <w:t>55</w:t>
      </w:r>
      <w:r>
        <w:t>–</w:t>
      </w:r>
      <w:r w:rsidRPr="00382917">
        <w:t>57.</w:t>
      </w:r>
    </w:p>
  </w:footnote>
  <w:footnote w:id="272">
    <w:p w:rsidR="001C15E8" w:rsidRPr="00146DCD" w:rsidRDefault="001C15E8" w:rsidP="00146DCD">
      <w:pPr>
        <w:pStyle w:val="FootnoteText"/>
        <w:rPr>
          <w:lang w:val="en-US"/>
        </w:rPr>
      </w:pPr>
      <w:r>
        <w:rPr>
          <w:rStyle w:val="FootnoteReference"/>
        </w:rPr>
        <w:footnoteRef/>
      </w:r>
      <w:r>
        <w:tab/>
      </w:r>
      <w:r w:rsidRPr="00382917">
        <w:t>‘Abdul-Bahá,</w:t>
      </w:r>
      <w:r>
        <w:t xml:space="preserve"> </w:t>
      </w:r>
      <w:r w:rsidRPr="00146DCD">
        <w:rPr>
          <w:i/>
          <w:iCs/>
        </w:rPr>
        <w:t>Some Answered Questions</w:t>
      </w:r>
      <w:r w:rsidRPr="00382917">
        <w:t>,</w:t>
      </w:r>
      <w:r>
        <w:t xml:space="preserve"> </w:t>
      </w:r>
      <w:r w:rsidRPr="00382917">
        <w:t>pp.</w:t>
      </w:r>
      <w:r>
        <w:t xml:space="preserve"> </w:t>
      </w:r>
      <w:r w:rsidRPr="00382917">
        <w:t>30.</w:t>
      </w:r>
    </w:p>
  </w:footnote>
  <w:footnote w:id="273">
    <w:p w:rsidR="001C15E8" w:rsidRPr="00146DCD" w:rsidRDefault="001C15E8">
      <w:pPr>
        <w:pStyle w:val="FootnoteText"/>
        <w:rPr>
          <w:lang w:val="en-US"/>
        </w:rPr>
      </w:pPr>
      <w:r>
        <w:rPr>
          <w:rStyle w:val="FootnoteReference"/>
        </w:rPr>
        <w:footnoteRef/>
      </w:r>
      <w:r>
        <w:tab/>
      </w:r>
      <w:r w:rsidRPr="00382917">
        <w:t>Shoghi</w:t>
      </w:r>
      <w:r>
        <w:t xml:space="preserve"> </w:t>
      </w:r>
      <w:r w:rsidRPr="00382917">
        <w:t>Effendi,</w:t>
      </w:r>
      <w:r>
        <w:t xml:space="preserve"> </w:t>
      </w:r>
      <w:r w:rsidRPr="001713B3">
        <w:rPr>
          <w:i/>
          <w:iCs/>
        </w:rPr>
        <w:t>God</w:t>
      </w:r>
      <w:r>
        <w:rPr>
          <w:i/>
          <w:iCs/>
        </w:rPr>
        <w:t xml:space="preserve"> </w:t>
      </w:r>
      <w:r w:rsidRPr="001713B3">
        <w:rPr>
          <w:i/>
          <w:iCs/>
        </w:rPr>
        <w:t>Passes</w:t>
      </w:r>
      <w:r>
        <w:rPr>
          <w:i/>
          <w:iCs/>
        </w:rPr>
        <w:t xml:space="preserve"> </w:t>
      </w:r>
      <w:r w:rsidRPr="001713B3">
        <w:rPr>
          <w:i/>
          <w:iCs/>
        </w:rPr>
        <w:t>By</w:t>
      </w:r>
      <w:r w:rsidRPr="00382917">
        <w:t>,</w:t>
      </w:r>
      <w:r>
        <w:t xml:space="preserve"> </w:t>
      </w:r>
      <w:r w:rsidRPr="00382917">
        <w:t>p.</w:t>
      </w:r>
      <w:r>
        <w:t xml:space="preserve"> </w:t>
      </w:r>
      <w:r w:rsidRPr="00382917">
        <w:t>56.</w:t>
      </w:r>
    </w:p>
  </w:footnote>
  <w:footnote w:id="274">
    <w:p w:rsidR="001C15E8" w:rsidRPr="00B92F1D" w:rsidRDefault="001C15E8">
      <w:pPr>
        <w:pStyle w:val="FootnoteText"/>
        <w:rPr>
          <w:lang w:val="fr-FR"/>
        </w:rPr>
      </w:pPr>
      <w:r>
        <w:rPr>
          <w:rStyle w:val="FootnoteReference"/>
        </w:rPr>
        <w:footnoteRef/>
      </w:r>
      <w:r w:rsidRPr="00B92F1D">
        <w:rPr>
          <w:lang w:val="fr-FR"/>
        </w:rPr>
        <w:tab/>
      </w:r>
      <w:proofErr w:type="gramStart"/>
      <w:r>
        <w:rPr>
          <w:lang w:val="fr-FR"/>
        </w:rPr>
        <w:t>ibid</w:t>
      </w:r>
      <w:proofErr w:type="gramEnd"/>
      <w:r w:rsidRPr="00030BA2">
        <w:rPr>
          <w:lang w:val="fr-FR"/>
        </w:rPr>
        <w:t>.</w:t>
      </w:r>
    </w:p>
  </w:footnote>
  <w:footnote w:id="275">
    <w:p w:rsidR="001C15E8" w:rsidRPr="00423962" w:rsidRDefault="001C15E8">
      <w:pPr>
        <w:pStyle w:val="FootnoteText"/>
        <w:rPr>
          <w:lang w:val="fr-FR"/>
        </w:rPr>
      </w:pPr>
      <w:r>
        <w:rPr>
          <w:rStyle w:val="FootnoteReference"/>
        </w:rPr>
        <w:footnoteRef/>
      </w:r>
      <w:r w:rsidRPr="00423962">
        <w:rPr>
          <w:lang w:val="fr-FR"/>
        </w:rPr>
        <w:tab/>
      </w:r>
      <w:r w:rsidRPr="00030BA2">
        <w:rPr>
          <w:lang w:val="fr-FR"/>
        </w:rPr>
        <w:t>M.</w:t>
      </w:r>
      <w:r>
        <w:rPr>
          <w:lang w:val="fr-FR"/>
        </w:rPr>
        <w:t xml:space="preserve"> </w:t>
      </w:r>
      <w:r w:rsidRPr="00030BA2">
        <w:rPr>
          <w:lang w:val="fr-FR"/>
        </w:rPr>
        <w:t>J.</w:t>
      </w:r>
      <w:r>
        <w:rPr>
          <w:lang w:val="fr-FR"/>
        </w:rPr>
        <w:t xml:space="preserve"> </w:t>
      </w:r>
      <w:proofErr w:type="spellStart"/>
      <w:r w:rsidRPr="00030BA2">
        <w:rPr>
          <w:lang w:val="fr-FR"/>
        </w:rPr>
        <w:t>Balteau</w:t>
      </w:r>
      <w:proofErr w:type="spellEnd"/>
      <w:r w:rsidRPr="00030BA2">
        <w:rPr>
          <w:lang w:val="fr-FR"/>
        </w:rPr>
        <w:t>,</w:t>
      </w:r>
      <w:r>
        <w:rPr>
          <w:lang w:val="fr-FR"/>
        </w:rPr>
        <w:t xml:space="preserve"> </w:t>
      </w:r>
      <w:r w:rsidRPr="00146DCD">
        <w:rPr>
          <w:i/>
          <w:iCs/>
          <w:lang w:val="fr-FR"/>
        </w:rPr>
        <w:t>Le Babisme</w:t>
      </w:r>
      <w:r w:rsidRPr="00030BA2">
        <w:rPr>
          <w:lang w:val="fr-FR"/>
        </w:rPr>
        <w:t>,</w:t>
      </w:r>
      <w:r>
        <w:rPr>
          <w:lang w:val="fr-FR"/>
        </w:rPr>
        <w:t xml:space="preserve"> </w:t>
      </w:r>
      <w:r w:rsidRPr="00030BA2">
        <w:rPr>
          <w:lang w:val="fr-FR"/>
        </w:rPr>
        <w:t>p.</w:t>
      </w:r>
      <w:r>
        <w:rPr>
          <w:lang w:val="fr-FR"/>
        </w:rPr>
        <w:t xml:space="preserve"> </w:t>
      </w:r>
      <w:r w:rsidRPr="00030BA2">
        <w:rPr>
          <w:lang w:val="fr-FR"/>
        </w:rPr>
        <w:t>28.</w:t>
      </w:r>
    </w:p>
  </w:footnote>
  <w:footnote w:id="276">
    <w:p w:rsidR="001C15E8" w:rsidRPr="00423962" w:rsidRDefault="001C15E8" w:rsidP="004E57FC">
      <w:pPr>
        <w:pStyle w:val="FootnoteText"/>
        <w:rPr>
          <w:lang w:val="en-US"/>
        </w:rPr>
      </w:pPr>
      <w:r>
        <w:rPr>
          <w:rStyle w:val="FootnoteReference"/>
        </w:rPr>
        <w:footnoteRef/>
      </w:r>
      <w:r>
        <w:tab/>
      </w:r>
      <w:r w:rsidRPr="00382917">
        <w:t>E.</w:t>
      </w:r>
      <w:r>
        <w:t xml:space="preserve"> </w:t>
      </w:r>
      <w:r w:rsidRPr="00382917">
        <w:t>G.</w:t>
      </w:r>
      <w:r>
        <w:t xml:space="preserve"> </w:t>
      </w:r>
      <w:r w:rsidRPr="00382917">
        <w:t>Browne,</w:t>
      </w:r>
      <w:r>
        <w:t xml:space="preserve"> </w:t>
      </w:r>
      <w:r w:rsidRPr="00382917">
        <w:t>article</w:t>
      </w:r>
      <w:r>
        <w:t xml:space="preserve">:  </w:t>
      </w:r>
      <w:r w:rsidRPr="00382917">
        <w:t>“The</w:t>
      </w:r>
      <w:r>
        <w:t xml:space="preserve"> </w:t>
      </w:r>
      <w:r w:rsidRPr="00382917">
        <w:t>Bábís</w:t>
      </w:r>
      <w:r>
        <w:t xml:space="preserve"> </w:t>
      </w:r>
      <w:r w:rsidRPr="00382917">
        <w:t>of</w:t>
      </w:r>
      <w:r>
        <w:t xml:space="preserve"> </w:t>
      </w:r>
      <w:r w:rsidRPr="00382917">
        <w:t>Persia”,</w:t>
      </w:r>
      <w:r>
        <w:t xml:space="preserve"> </w:t>
      </w:r>
      <w:r w:rsidRPr="00423962">
        <w:rPr>
          <w:i/>
          <w:iCs/>
        </w:rPr>
        <w:t>Journal of the Royal Asiatic Society</w:t>
      </w:r>
      <w:r w:rsidRPr="00382917">
        <w:t>,</w:t>
      </w:r>
      <w:r>
        <w:t xml:space="preserve"> </w:t>
      </w:r>
      <w:r w:rsidRPr="00382917">
        <w:t>1899,</w:t>
      </w:r>
      <w:r>
        <w:t xml:space="preserve"> </w:t>
      </w:r>
      <w:r w:rsidRPr="00382917">
        <w:t>p.</w:t>
      </w:r>
      <w:r>
        <w:t xml:space="preserve"> </w:t>
      </w:r>
      <w:r w:rsidRPr="00382917">
        <w:t>933.</w:t>
      </w:r>
    </w:p>
  </w:footnote>
  <w:footnote w:id="277">
    <w:p w:rsidR="001C15E8" w:rsidRPr="00423962" w:rsidRDefault="001C15E8" w:rsidP="00423962">
      <w:pPr>
        <w:pStyle w:val="FootnoteText"/>
        <w:rPr>
          <w:lang w:val="en-US"/>
        </w:rPr>
      </w:pPr>
      <w:r>
        <w:rPr>
          <w:rStyle w:val="FootnoteReference"/>
        </w:rPr>
        <w:footnoteRef/>
      </w:r>
      <w:r>
        <w:tab/>
      </w:r>
      <w:r w:rsidRPr="00382917">
        <w:t>(1)</w:t>
      </w:r>
      <w:r>
        <w:t xml:space="preserve">  </w:t>
      </w:r>
      <w:r w:rsidRPr="00382917">
        <w:t>Shoghi</w:t>
      </w:r>
      <w:r>
        <w:t xml:space="preserve"> </w:t>
      </w:r>
      <w:r w:rsidRPr="00382917">
        <w:t>Effendi,</w:t>
      </w:r>
      <w:r>
        <w:t xml:space="preserve"> </w:t>
      </w:r>
      <w:r w:rsidRPr="001713B3">
        <w:rPr>
          <w:i/>
          <w:iCs/>
        </w:rPr>
        <w:t>God</w:t>
      </w:r>
      <w:r>
        <w:rPr>
          <w:i/>
          <w:iCs/>
        </w:rPr>
        <w:t xml:space="preserve"> </w:t>
      </w:r>
      <w:r w:rsidRPr="001713B3">
        <w:rPr>
          <w:i/>
          <w:iCs/>
        </w:rPr>
        <w:t>Passes</w:t>
      </w:r>
      <w:r>
        <w:rPr>
          <w:i/>
          <w:iCs/>
        </w:rPr>
        <w:t xml:space="preserve"> </w:t>
      </w:r>
      <w:r w:rsidRPr="001713B3">
        <w:rPr>
          <w:i/>
          <w:iCs/>
        </w:rPr>
        <w:t>By</w:t>
      </w:r>
      <w:r w:rsidRPr="00382917">
        <w:t>,</w:t>
      </w:r>
      <w:r>
        <w:t xml:space="preserve"> </w:t>
      </w:r>
      <w:r w:rsidRPr="00382917">
        <w:t>p.</w:t>
      </w:r>
      <w:r>
        <w:t xml:space="preserve"> </w:t>
      </w:r>
      <w:r w:rsidRPr="00382917">
        <w:t>55</w:t>
      </w:r>
      <w:r>
        <w:t xml:space="preserve">; </w:t>
      </w:r>
      <w:r w:rsidRPr="00382917">
        <w:t>(2</w:t>
      </w:r>
      <w:proofErr w:type="gramStart"/>
      <w:r w:rsidRPr="00382917">
        <w:t>)</w:t>
      </w:r>
      <w:r>
        <w:t xml:space="preserve">  </w:t>
      </w:r>
      <w:r w:rsidRPr="00382917">
        <w:t>Nabíl</w:t>
      </w:r>
      <w:proofErr w:type="gramEnd"/>
      <w:r w:rsidRPr="00382917">
        <w:t>,</w:t>
      </w:r>
      <w:r>
        <w:t xml:space="preserve"> </w:t>
      </w:r>
      <w:r w:rsidRPr="00382917">
        <w:rPr>
          <w:i/>
          <w:iCs/>
        </w:rPr>
        <w:t>The</w:t>
      </w:r>
      <w:r>
        <w:rPr>
          <w:i/>
          <w:iCs/>
        </w:rPr>
        <w:t xml:space="preserve"> </w:t>
      </w:r>
      <w:r w:rsidRPr="00382917">
        <w:rPr>
          <w:i/>
          <w:iCs/>
        </w:rPr>
        <w:t>Dawn-Breakers</w:t>
      </w:r>
      <w:r w:rsidRPr="00382917">
        <w:t>,</w:t>
      </w:r>
      <w:r>
        <w:t xml:space="preserve"> </w:t>
      </w:r>
      <w:r w:rsidRPr="00382917">
        <w:t>p.</w:t>
      </w:r>
      <w:r>
        <w:t xml:space="preserve"> </w:t>
      </w:r>
      <w:r w:rsidRPr="00382917">
        <w:t>516,</w:t>
      </w:r>
      <w:r>
        <w:t xml:space="preserve"> </w:t>
      </w:r>
      <w:r w:rsidRPr="00382917">
        <w:t>footnote.</w:t>
      </w:r>
    </w:p>
  </w:footnote>
  <w:footnote w:id="278">
    <w:p w:rsidR="001C15E8" w:rsidRPr="00423962" w:rsidRDefault="001C15E8">
      <w:pPr>
        <w:pStyle w:val="FootnoteText"/>
        <w:rPr>
          <w:lang w:val="en-US"/>
        </w:rPr>
      </w:pPr>
      <w:r>
        <w:rPr>
          <w:rStyle w:val="FootnoteReference"/>
        </w:rPr>
        <w:footnoteRef/>
      </w:r>
      <w:r>
        <w:tab/>
      </w:r>
      <w:proofErr w:type="gramStart"/>
      <w:r>
        <w:t>idem</w:t>
      </w:r>
      <w:proofErr w:type="gramEnd"/>
      <w:r w:rsidRPr="00382917">
        <w:t>,</w:t>
      </w:r>
      <w:r>
        <w:t xml:space="preserve"> </w:t>
      </w:r>
      <w:r w:rsidRPr="00382917">
        <w:t>pp.</w:t>
      </w:r>
      <w:r>
        <w:t xml:space="preserve"> </w:t>
      </w:r>
      <w:r w:rsidRPr="00382917">
        <w:t>516</w:t>
      </w:r>
      <w:r>
        <w:t>–</w:t>
      </w:r>
      <w:r w:rsidRPr="00382917">
        <w:t>517,</w:t>
      </w:r>
      <w:r>
        <w:t xml:space="preserve"> </w:t>
      </w:r>
      <w:r w:rsidRPr="00382917">
        <w:t>footnote.</w:t>
      </w:r>
    </w:p>
  </w:footnote>
  <w:footnote w:id="279">
    <w:p w:rsidR="001C15E8" w:rsidRPr="001C2615" w:rsidRDefault="001C15E8">
      <w:pPr>
        <w:pStyle w:val="FootnoteText"/>
        <w:rPr>
          <w:lang w:val="en-US"/>
        </w:rPr>
      </w:pPr>
      <w:r>
        <w:rPr>
          <w:rStyle w:val="FootnoteReference"/>
        </w:rPr>
        <w:footnoteRef/>
      </w:r>
      <w:r>
        <w:tab/>
      </w:r>
      <w:r w:rsidRPr="00382917">
        <w:t>A.</w:t>
      </w:r>
      <w:r>
        <w:t xml:space="preserve"> </w:t>
      </w:r>
      <w:r w:rsidRPr="00382917">
        <w:t>L.</w:t>
      </w:r>
      <w:r>
        <w:t xml:space="preserve"> </w:t>
      </w:r>
      <w:r w:rsidRPr="00382917">
        <w:t>M.</w:t>
      </w:r>
      <w:r>
        <w:t xml:space="preserve"> </w:t>
      </w:r>
      <w:r w:rsidRPr="00382917">
        <w:t>Nicolas,</w:t>
      </w:r>
      <w:r>
        <w:t xml:space="preserve"> </w:t>
      </w:r>
      <w:r w:rsidRPr="001713B3">
        <w:rPr>
          <w:i/>
          <w:iCs/>
        </w:rPr>
        <w:t>Siyyid</w:t>
      </w:r>
      <w:r>
        <w:rPr>
          <w:i/>
          <w:iCs/>
        </w:rPr>
        <w:t xml:space="preserve"> </w:t>
      </w:r>
      <w:r w:rsidRPr="001713B3">
        <w:rPr>
          <w:i/>
          <w:iCs/>
        </w:rPr>
        <w:t>‘Alí-Muḥammad</w:t>
      </w:r>
      <w:r>
        <w:rPr>
          <w:i/>
          <w:iCs/>
        </w:rPr>
        <w:t xml:space="preserve"> </w:t>
      </w:r>
      <w:proofErr w:type="spellStart"/>
      <w:r w:rsidRPr="001713B3">
        <w:rPr>
          <w:i/>
          <w:iCs/>
        </w:rPr>
        <w:t>dit</w:t>
      </w:r>
      <w:proofErr w:type="spellEnd"/>
      <w:r>
        <w:rPr>
          <w:i/>
          <w:iCs/>
        </w:rPr>
        <w:t xml:space="preserve"> </w:t>
      </w:r>
      <w:r w:rsidRPr="001713B3">
        <w:rPr>
          <w:i/>
          <w:iCs/>
        </w:rPr>
        <w:t>le</w:t>
      </w:r>
      <w:r>
        <w:rPr>
          <w:i/>
          <w:iCs/>
        </w:rPr>
        <w:t xml:space="preserve"> </w:t>
      </w:r>
      <w:r w:rsidRPr="001713B3">
        <w:rPr>
          <w:i/>
          <w:iCs/>
        </w:rPr>
        <w:t>Báb</w:t>
      </w:r>
      <w:r w:rsidRPr="00382917">
        <w:t>,</w:t>
      </w:r>
      <w:r>
        <w:t xml:space="preserve"> </w:t>
      </w:r>
      <w:r w:rsidRPr="00382917">
        <w:t>pp.</w:t>
      </w:r>
      <w:r>
        <w:t xml:space="preserve"> </w:t>
      </w:r>
      <w:r w:rsidRPr="00382917">
        <w:t>203</w:t>
      </w:r>
      <w:r>
        <w:t>–</w:t>
      </w:r>
      <w:r w:rsidRPr="00382917">
        <w:t>204,</w:t>
      </w:r>
      <w:r>
        <w:t xml:space="preserve"> </w:t>
      </w:r>
      <w:r w:rsidRPr="00382917">
        <w:t>376.</w:t>
      </w:r>
    </w:p>
  </w:footnote>
  <w:footnote w:id="280">
    <w:p w:rsidR="001C15E8" w:rsidRPr="00FC4E1D" w:rsidRDefault="001C15E8">
      <w:pPr>
        <w:pStyle w:val="FootnoteText"/>
        <w:rPr>
          <w:lang w:val="en-US"/>
        </w:rPr>
      </w:pPr>
      <w:r>
        <w:rPr>
          <w:rStyle w:val="FootnoteReference"/>
        </w:rPr>
        <w:footnoteRef/>
      </w:r>
      <w:r>
        <w:tab/>
      </w:r>
      <w:r w:rsidRPr="00382917">
        <w:t>Nabíl,</w:t>
      </w:r>
      <w:r>
        <w:t xml:space="preserve"> </w:t>
      </w:r>
      <w:proofErr w:type="gramStart"/>
      <w:r w:rsidRPr="00382917">
        <w:rPr>
          <w:i/>
          <w:iCs/>
        </w:rPr>
        <w:t>The</w:t>
      </w:r>
      <w:proofErr w:type="gramEnd"/>
      <w:r>
        <w:rPr>
          <w:i/>
          <w:iCs/>
        </w:rPr>
        <w:t xml:space="preserve"> </w:t>
      </w:r>
      <w:r w:rsidRPr="00382917">
        <w:rPr>
          <w:i/>
          <w:iCs/>
        </w:rPr>
        <w:t>Dawn-Breakers</w:t>
      </w:r>
      <w:r w:rsidRPr="00382917">
        <w:t>,</w:t>
      </w:r>
      <w:r>
        <w:t xml:space="preserve"> </w:t>
      </w:r>
      <w:r w:rsidRPr="00382917">
        <w:t>p.</w:t>
      </w:r>
      <w:r>
        <w:t xml:space="preserve"> </w:t>
      </w:r>
      <w:r w:rsidRPr="00382917">
        <w:t>522.</w:t>
      </w:r>
    </w:p>
  </w:footnote>
  <w:footnote w:id="281">
    <w:p w:rsidR="001C15E8" w:rsidRPr="00FC4E1D" w:rsidRDefault="001C15E8">
      <w:pPr>
        <w:pStyle w:val="FootnoteText"/>
        <w:rPr>
          <w:lang w:val="fr-FR"/>
        </w:rPr>
      </w:pPr>
      <w:r>
        <w:rPr>
          <w:rStyle w:val="FootnoteReference"/>
        </w:rPr>
        <w:footnoteRef/>
      </w:r>
      <w:r w:rsidRPr="00FC4E1D">
        <w:rPr>
          <w:lang w:val="fr-FR"/>
        </w:rPr>
        <w:tab/>
      </w:r>
      <w:r w:rsidRPr="00030BA2">
        <w:rPr>
          <w:lang w:val="fr-FR"/>
        </w:rPr>
        <w:t>Comte</w:t>
      </w:r>
      <w:r>
        <w:rPr>
          <w:lang w:val="fr-FR"/>
        </w:rPr>
        <w:t xml:space="preserve"> </w:t>
      </w:r>
      <w:r w:rsidRPr="00030BA2">
        <w:rPr>
          <w:lang w:val="fr-FR"/>
        </w:rPr>
        <w:t>de</w:t>
      </w:r>
      <w:r>
        <w:rPr>
          <w:lang w:val="fr-FR"/>
        </w:rPr>
        <w:t xml:space="preserve"> </w:t>
      </w:r>
      <w:r w:rsidRPr="00030BA2">
        <w:rPr>
          <w:lang w:val="fr-FR"/>
        </w:rPr>
        <w:t>Gobineau,</w:t>
      </w:r>
      <w:r>
        <w:rPr>
          <w:lang w:val="fr-FR"/>
        </w:rPr>
        <w:t xml:space="preserve"> </w:t>
      </w:r>
      <w:r w:rsidRPr="00FC4E1D">
        <w:rPr>
          <w:i/>
          <w:iCs/>
          <w:lang w:val="fr-FR"/>
        </w:rPr>
        <w:t>Les Religions et les Philosophies dans l’Asie Centrale</w:t>
      </w:r>
      <w:r w:rsidRPr="00030BA2">
        <w:rPr>
          <w:lang w:val="fr-FR"/>
        </w:rPr>
        <w:t>,</w:t>
      </w:r>
      <w:r>
        <w:rPr>
          <w:lang w:val="fr-FR"/>
        </w:rPr>
        <w:t xml:space="preserve"> </w:t>
      </w:r>
      <w:r w:rsidRPr="00030BA2">
        <w:rPr>
          <w:lang w:val="fr-FR"/>
        </w:rPr>
        <w:t>pp.</w:t>
      </w:r>
      <w:r>
        <w:rPr>
          <w:lang w:val="fr-FR"/>
        </w:rPr>
        <w:t xml:space="preserve"> </w:t>
      </w:r>
      <w:r w:rsidRPr="00030BA2">
        <w:rPr>
          <w:lang w:val="fr-FR"/>
        </w:rPr>
        <w:t>224</w:t>
      </w:r>
      <w:r>
        <w:rPr>
          <w:lang w:val="fr-FR"/>
        </w:rPr>
        <w:t>–</w:t>
      </w:r>
      <w:r w:rsidRPr="00030BA2">
        <w:rPr>
          <w:lang w:val="fr-FR"/>
        </w:rPr>
        <w:t>225.</w:t>
      </w:r>
    </w:p>
  </w:footnote>
  <w:footnote w:id="282">
    <w:p w:rsidR="001C15E8" w:rsidRPr="00FC4E1D" w:rsidRDefault="001C15E8">
      <w:pPr>
        <w:pStyle w:val="FootnoteText"/>
        <w:rPr>
          <w:lang w:val="en-US"/>
        </w:rPr>
      </w:pPr>
      <w:r>
        <w:rPr>
          <w:rStyle w:val="FootnoteReference"/>
        </w:rPr>
        <w:footnoteRef/>
      </w:r>
      <w:r>
        <w:tab/>
      </w:r>
      <w:r w:rsidRPr="00382917">
        <w:t>See</w:t>
      </w:r>
      <w:r>
        <w:t xml:space="preserve"> </w:t>
      </w:r>
      <w:r w:rsidRPr="00382917">
        <w:t>Appendix,</w:t>
      </w:r>
      <w:r>
        <w:t xml:space="preserve"> </w:t>
      </w:r>
      <w:r w:rsidRPr="00382917">
        <w:t>Note</w:t>
      </w:r>
      <w:r>
        <w:t xml:space="preserve"> </w:t>
      </w:r>
      <w:r w:rsidRPr="00382917">
        <w:t>Six.</w:t>
      </w:r>
    </w:p>
  </w:footnote>
  <w:footnote w:id="283">
    <w:p w:rsidR="001C15E8" w:rsidRPr="00266CD8" w:rsidRDefault="001C15E8">
      <w:pPr>
        <w:pStyle w:val="FootnoteText"/>
        <w:rPr>
          <w:lang w:val="en-US"/>
        </w:rPr>
      </w:pPr>
      <w:r>
        <w:rPr>
          <w:rStyle w:val="FootnoteReference"/>
        </w:rPr>
        <w:footnoteRef/>
      </w:r>
      <w:r>
        <w:tab/>
      </w:r>
      <w:r w:rsidRPr="00382917">
        <w:t>Nabíl,</w:t>
      </w:r>
      <w:r>
        <w:t xml:space="preserve"> </w:t>
      </w:r>
      <w:proofErr w:type="gramStart"/>
      <w:r w:rsidRPr="00382917">
        <w:rPr>
          <w:i/>
          <w:iCs/>
        </w:rPr>
        <w:t>The</w:t>
      </w:r>
      <w:proofErr w:type="gramEnd"/>
      <w:r>
        <w:rPr>
          <w:i/>
          <w:iCs/>
        </w:rPr>
        <w:t xml:space="preserve"> </w:t>
      </w:r>
      <w:r w:rsidRPr="00382917">
        <w:rPr>
          <w:i/>
          <w:iCs/>
        </w:rPr>
        <w:t>Dawn-Breakers</w:t>
      </w:r>
      <w:r w:rsidRPr="00382917">
        <w:t>,</w:t>
      </w:r>
      <w:r>
        <w:t xml:space="preserve"> </w:t>
      </w:r>
      <w:r w:rsidRPr="00382917">
        <w:t>pp.</w:t>
      </w:r>
      <w:r>
        <w:t xml:space="preserve"> </w:t>
      </w:r>
      <w:r w:rsidRPr="00382917">
        <w:t>651</w:t>
      </w:r>
      <w:r>
        <w:t>–</w:t>
      </w:r>
      <w:r w:rsidRPr="00382917">
        <w:t>654.</w:t>
      </w:r>
    </w:p>
  </w:footnote>
  <w:footnote w:id="284">
    <w:p w:rsidR="001C15E8" w:rsidRPr="00266CD8" w:rsidRDefault="001C15E8" w:rsidP="007A504D">
      <w:pPr>
        <w:pStyle w:val="FootnoteText"/>
        <w:rPr>
          <w:lang w:val="en-US"/>
        </w:rPr>
      </w:pPr>
      <w:r>
        <w:rPr>
          <w:rStyle w:val="FootnoteReference"/>
        </w:rPr>
        <w:footnoteRef/>
      </w:r>
      <w:r>
        <w:tab/>
      </w:r>
      <w:proofErr w:type="gramStart"/>
      <w:r w:rsidRPr="00382917">
        <w:t>Mírzá</w:t>
      </w:r>
      <w:r>
        <w:t xml:space="preserve"> </w:t>
      </w:r>
      <w:r w:rsidRPr="00382917">
        <w:t>Abu’l-Faḍl,</w:t>
      </w:r>
      <w:r>
        <w:t xml:space="preserve"> </w:t>
      </w:r>
      <w:r w:rsidRPr="001C15E8">
        <w:rPr>
          <w:i/>
          <w:iCs/>
        </w:rPr>
        <w:t>Fará’id</w:t>
      </w:r>
      <w:r w:rsidRPr="00382917">
        <w:t>,</w:t>
      </w:r>
      <w:r w:rsidRPr="001C15E8">
        <w:t xml:space="preserve"> quoted in Shoghi Effendi, </w:t>
      </w:r>
      <w:r w:rsidRPr="001C15E8">
        <w:rPr>
          <w:i/>
          <w:iCs/>
        </w:rPr>
        <w:t>God Passes By</w:t>
      </w:r>
      <w:r w:rsidRPr="001C15E8">
        <w:t>, p. 184.</w:t>
      </w:r>
      <w:proofErr w:type="gramEnd"/>
    </w:p>
  </w:footnote>
  <w:footnote w:id="285">
    <w:p w:rsidR="001C15E8" w:rsidRPr="002622C4" w:rsidRDefault="001C15E8">
      <w:pPr>
        <w:pStyle w:val="FootnoteText"/>
        <w:rPr>
          <w:lang w:val="en-US"/>
        </w:rPr>
      </w:pPr>
      <w:r>
        <w:rPr>
          <w:rStyle w:val="FootnoteReference"/>
        </w:rPr>
        <w:footnoteRef/>
      </w:r>
      <w:r>
        <w:tab/>
      </w:r>
      <w:r w:rsidRPr="00382917">
        <w:t>See</w:t>
      </w:r>
      <w:r>
        <w:t xml:space="preserve"> </w:t>
      </w:r>
      <w:r w:rsidRPr="00382917">
        <w:t>Appendix,</w:t>
      </w:r>
      <w:r>
        <w:t xml:space="preserve"> </w:t>
      </w:r>
      <w:r w:rsidRPr="00382917">
        <w:t>Note</w:t>
      </w:r>
      <w:r>
        <w:t xml:space="preserve"> </w:t>
      </w:r>
      <w:r w:rsidRPr="00382917">
        <w:t>Seven.</w:t>
      </w:r>
    </w:p>
  </w:footnote>
  <w:footnote w:id="286">
    <w:p w:rsidR="001C15E8" w:rsidRPr="00945736" w:rsidRDefault="001C15E8">
      <w:pPr>
        <w:pStyle w:val="FootnoteText"/>
        <w:rPr>
          <w:lang w:val="en-US"/>
        </w:rPr>
      </w:pPr>
      <w:r>
        <w:rPr>
          <w:rStyle w:val="FootnoteReference"/>
        </w:rPr>
        <w:footnoteRef/>
      </w:r>
      <w:r>
        <w:tab/>
      </w:r>
      <w:proofErr w:type="gramStart"/>
      <w:r w:rsidRPr="00945736">
        <w:rPr>
          <w:i/>
          <w:iCs/>
        </w:rPr>
        <w:t>The Bahá’í World, 1932–1934</w:t>
      </w:r>
      <w:r>
        <w:t xml:space="preserve">, </w:t>
      </w:r>
      <w:r w:rsidRPr="00382917">
        <w:t>vol.</w:t>
      </w:r>
      <w:r>
        <w:t xml:space="preserve"> </w:t>
      </w:r>
      <w:r w:rsidRPr="00382917">
        <w:t>V,</w:t>
      </w:r>
      <w:r>
        <w:t xml:space="preserve"> </w:t>
      </w:r>
      <w:r w:rsidRPr="00382917">
        <w:t>p.</w:t>
      </w:r>
      <w:r>
        <w:t xml:space="preserve"> </w:t>
      </w:r>
      <w:r w:rsidRPr="00382917">
        <w:t>604.</w:t>
      </w:r>
      <w:proofErr w:type="gramEnd"/>
    </w:p>
  </w:footnote>
  <w:footnote w:id="287">
    <w:p w:rsidR="001C15E8" w:rsidRPr="007B2071" w:rsidRDefault="001C15E8">
      <w:pPr>
        <w:pStyle w:val="FootnoteText"/>
        <w:rPr>
          <w:lang w:val="en-US"/>
        </w:rPr>
      </w:pPr>
      <w:r>
        <w:rPr>
          <w:rStyle w:val="FootnoteReference"/>
        </w:rPr>
        <w:footnoteRef/>
      </w:r>
      <w:r>
        <w:tab/>
      </w:r>
      <w:r w:rsidRPr="00382917">
        <w:t>James</w:t>
      </w:r>
      <w:r>
        <w:t xml:space="preserve"> </w:t>
      </w:r>
      <w:r w:rsidRPr="00382917">
        <w:t>Henry</w:t>
      </w:r>
      <w:r>
        <w:t xml:space="preserve"> </w:t>
      </w:r>
      <w:r w:rsidRPr="00382917">
        <w:t>Foreman,</w:t>
      </w:r>
      <w:r>
        <w:t xml:space="preserve"> </w:t>
      </w:r>
      <w:r w:rsidRPr="007B2071">
        <w:rPr>
          <w:i/>
          <w:iCs/>
        </w:rPr>
        <w:t>Story of Prophecy</w:t>
      </w:r>
      <w:r w:rsidRPr="00382917">
        <w:t>,</w:t>
      </w:r>
      <w:r>
        <w:t xml:space="preserve"> </w:t>
      </w:r>
      <w:r w:rsidRPr="00382917">
        <w:t>pp.</w:t>
      </w:r>
      <w:r>
        <w:t xml:space="preserve"> </w:t>
      </w:r>
      <w:r w:rsidRPr="00382917">
        <w:t>310</w:t>
      </w:r>
      <w:r>
        <w:t>–</w:t>
      </w:r>
      <w:r w:rsidRPr="00382917">
        <w:t>311.</w:t>
      </w:r>
    </w:p>
  </w:footnote>
  <w:footnote w:id="288">
    <w:p w:rsidR="001C15E8" w:rsidRPr="00411B04" w:rsidRDefault="001C15E8">
      <w:pPr>
        <w:pStyle w:val="FootnoteText"/>
        <w:rPr>
          <w:lang w:val="en-US"/>
        </w:rPr>
      </w:pPr>
      <w:r>
        <w:rPr>
          <w:rStyle w:val="FootnoteReference"/>
        </w:rPr>
        <w:footnoteRef/>
      </w:r>
      <w:r>
        <w:tab/>
      </w:r>
      <w:r w:rsidRPr="00382917">
        <w:t>James</w:t>
      </w:r>
      <w:r>
        <w:t xml:space="preserve"> </w:t>
      </w:r>
      <w:r w:rsidRPr="00382917">
        <w:t>Russell</w:t>
      </w:r>
      <w:r>
        <w:t xml:space="preserve"> </w:t>
      </w:r>
      <w:r w:rsidRPr="00382917">
        <w:t>Lowell,</w:t>
      </w:r>
      <w:r>
        <w:t xml:space="preserve"> </w:t>
      </w:r>
      <w:r w:rsidRPr="00382917">
        <w:t>“The</w:t>
      </w:r>
      <w:r>
        <w:t xml:space="preserve"> </w:t>
      </w:r>
      <w:r w:rsidRPr="00382917">
        <w:t>Crisis”</w:t>
      </w:r>
      <w:r>
        <w:t xml:space="preserve">, </w:t>
      </w:r>
      <w:r w:rsidRPr="00382917">
        <w:t>(1843).</w:t>
      </w:r>
    </w:p>
  </w:footnote>
  <w:footnote w:id="289">
    <w:p w:rsidR="001C15E8" w:rsidRPr="00411B04" w:rsidRDefault="001C15E8">
      <w:pPr>
        <w:pStyle w:val="FootnoteText"/>
        <w:rPr>
          <w:lang w:val="en-US"/>
        </w:rPr>
      </w:pPr>
      <w:r>
        <w:rPr>
          <w:rStyle w:val="FootnoteReference"/>
        </w:rPr>
        <w:footnoteRef/>
      </w:r>
      <w:r>
        <w:tab/>
      </w:r>
      <w:r w:rsidRPr="00382917">
        <w:t>Job</w:t>
      </w:r>
      <w:r>
        <w:t xml:space="preserve"> </w:t>
      </w:r>
      <w:r w:rsidRPr="00382917">
        <w:t>38:35.</w:t>
      </w:r>
    </w:p>
  </w:footnote>
  <w:footnote w:id="290">
    <w:p w:rsidR="001C15E8" w:rsidRPr="00411B04" w:rsidRDefault="001C15E8">
      <w:pPr>
        <w:pStyle w:val="FootnoteText"/>
        <w:rPr>
          <w:lang w:val="en-US"/>
        </w:rPr>
      </w:pPr>
      <w:r>
        <w:rPr>
          <w:rStyle w:val="FootnoteReference"/>
        </w:rPr>
        <w:footnoteRef/>
      </w:r>
      <w:r>
        <w:tab/>
      </w:r>
      <w:proofErr w:type="gramStart"/>
      <w:r w:rsidRPr="00382917">
        <w:t>Numbers</w:t>
      </w:r>
      <w:r>
        <w:t xml:space="preserve"> </w:t>
      </w:r>
      <w:r w:rsidRPr="00382917">
        <w:t>23:23.</w:t>
      </w:r>
      <w:proofErr w:type="gramEnd"/>
    </w:p>
  </w:footnote>
  <w:footnote w:id="291">
    <w:p w:rsidR="001C15E8" w:rsidRPr="00411B04" w:rsidRDefault="001C15E8">
      <w:pPr>
        <w:pStyle w:val="FootnoteText"/>
        <w:rPr>
          <w:lang w:val="en-US"/>
        </w:rPr>
      </w:pPr>
      <w:r>
        <w:rPr>
          <w:rStyle w:val="FootnoteReference"/>
        </w:rPr>
        <w:footnoteRef/>
      </w:r>
      <w:r>
        <w:tab/>
      </w:r>
      <w:r w:rsidRPr="00382917">
        <w:t>Matthew</w:t>
      </w:r>
      <w:r>
        <w:t xml:space="preserve"> </w:t>
      </w:r>
      <w:r w:rsidRPr="00382917">
        <w:t>24:3,</w:t>
      </w:r>
      <w:r>
        <w:t xml:space="preserve"> </w:t>
      </w:r>
      <w:r w:rsidRPr="00382917">
        <w:t>13</w:t>
      </w:r>
      <w:r>
        <w:t>–</w:t>
      </w:r>
      <w:r w:rsidRPr="00382917">
        <w:t>14.</w:t>
      </w:r>
    </w:p>
  </w:footnote>
  <w:footnote w:id="292">
    <w:p w:rsidR="001C15E8" w:rsidRPr="00411B04" w:rsidRDefault="001C15E8">
      <w:pPr>
        <w:pStyle w:val="FootnoteText"/>
        <w:rPr>
          <w:lang w:val="en-US"/>
        </w:rPr>
      </w:pPr>
      <w:r>
        <w:rPr>
          <w:rStyle w:val="FootnoteReference"/>
        </w:rPr>
        <w:footnoteRef/>
      </w:r>
      <w:r>
        <w:tab/>
      </w:r>
      <w:r w:rsidRPr="00411B04">
        <w:rPr>
          <w:i/>
          <w:iCs/>
        </w:rPr>
        <w:t>Year Book and Guide to East Africa</w:t>
      </w:r>
      <w:r w:rsidRPr="00382917">
        <w:t>,</w:t>
      </w:r>
      <w:r>
        <w:t xml:space="preserve"> </w:t>
      </w:r>
      <w:r w:rsidRPr="00382917">
        <w:t>p.</w:t>
      </w:r>
      <w:r>
        <w:t xml:space="preserve"> </w:t>
      </w:r>
      <w:r w:rsidRPr="00382917">
        <w:t>44,</w:t>
      </w:r>
      <w:r>
        <w:t xml:space="preserve"> </w:t>
      </w:r>
      <w:r w:rsidRPr="00382917">
        <w:t>(Ed.</w:t>
      </w:r>
      <w:r>
        <w:t xml:space="preserve"> </w:t>
      </w:r>
      <w:r w:rsidRPr="00382917">
        <w:t>Robert</w:t>
      </w:r>
      <w:r>
        <w:t xml:space="preserve"> </w:t>
      </w:r>
      <w:r w:rsidRPr="00382917">
        <w:t>Hale</w:t>
      </w:r>
      <w:r>
        <w:t xml:space="preserve"> </w:t>
      </w:r>
      <w:r w:rsidRPr="00382917">
        <w:t>Ltd.,</w:t>
      </w:r>
      <w:r>
        <w:t xml:space="preserve"> </w:t>
      </w:r>
      <w:r w:rsidRPr="00382917">
        <w:t>London,</w:t>
      </w:r>
      <w:r>
        <w:t xml:space="preserve"> </w:t>
      </w:r>
      <w:r w:rsidRPr="00382917">
        <w:t>1953).</w:t>
      </w:r>
    </w:p>
  </w:footnote>
  <w:footnote w:id="293">
    <w:p w:rsidR="001C15E8" w:rsidRPr="00411B04" w:rsidRDefault="001C15E8">
      <w:pPr>
        <w:pStyle w:val="FootnoteText"/>
        <w:rPr>
          <w:lang w:val="en-US"/>
        </w:rPr>
      </w:pPr>
      <w:r>
        <w:rPr>
          <w:rStyle w:val="FootnoteReference"/>
        </w:rPr>
        <w:footnoteRef/>
      </w:r>
      <w:r>
        <w:tab/>
      </w:r>
      <w:r w:rsidRPr="00382917">
        <w:t>Luke</w:t>
      </w:r>
      <w:r>
        <w:t xml:space="preserve"> </w:t>
      </w:r>
      <w:r w:rsidRPr="00382917">
        <w:t>21:7.</w:t>
      </w:r>
    </w:p>
  </w:footnote>
  <w:footnote w:id="294">
    <w:p w:rsidR="001C15E8" w:rsidRPr="008C4ED7" w:rsidRDefault="001C15E8">
      <w:pPr>
        <w:pStyle w:val="FootnoteText"/>
        <w:rPr>
          <w:lang w:val="en-US"/>
        </w:rPr>
      </w:pPr>
      <w:r>
        <w:rPr>
          <w:rStyle w:val="FootnoteReference"/>
        </w:rPr>
        <w:footnoteRef/>
      </w:r>
      <w:r>
        <w:tab/>
      </w:r>
      <w:proofErr w:type="gramStart"/>
      <w:r>
        <w:t>idem</w:t>
      </w:r>
      <w:proofErr w:type="gramEnd"/>
      <w:r w:rsidRPr="00382917">
        <w:t>,</w:t>
      </w:r>
      <w:r>
        <w:t xml:space="preserve"> </w:t>
      </w:r>
      <w:r w:rsidRPr="00382917">
        <w:t>21:24,</w:t>
      </w:r>
      <w:r>
        <w:t xml:space="preserve"> </w:t>
      </w:r>
      <w:r w:rsidRPr="00382917">
        <w:t>27.</w:t>
      </w:r>
    </w:p>
  </w:footnote>
  <w:footnote w:id="295">
    <w:p w:rsidR="001C15E8" w:rsidRPr="008C4ED7" w:rsidRDefault="001C15E8" w:rsidP="008C4ED7">
      <w:pPr>
        <w:pStyle w:val="FootnoteText"/>
        <w:rPr>
          <w:lang w:val="en-US"/>
        </w:rPr>
      </w:pPr>
      <w:r>
        <w:rPr>
          <w:rStyle w:val="FootnoteReference"/>
        </w:rPr>
        <w:footnoteRef/>
      </w:r>
      <w:r>
        <w:tab/>
      </w:r>
      <w:proofErr w:type="spellStart"/>
      <w:proofErr w:type="gramStart"/>
      <w:r w:rsidRPr="008C4ED7">
        <w:rPr>
          <w:i/>
          <w:iCs/>
        </w:rPr>
        <w:t>Encyclopedia</w:t>
      </w:r>
      <w:proofErr w:type="spellEnd"/>
      <w:r w:rsidRPr="008C4ED7">
        <w:rPr>
          <w:i/>
          <w:iCs/>
        </w:rPr>
        <w:t xml:space="preserve"> Americana</w:t>
      </w:r>
      <w:r w:rsidRPr="00382917">
        <w:t>,</w:t>
      </w:r>
      <w:r>
        <w:t xml:space="preserve"> </w:t>
      </w:r>
      <w:r w:rsidRPr="00382917">
        <w:t>vol.</w:t>
      </w:r>
      <w:r>
        <w:t xml:space="preserve"> </w:t>
      </w:r>
      <w:r w:rsidRPr="00382917">
        <w:t>16,</w:t>
      </w:r>
      <w:r>
        <w:t xml:space="preserve"> </w:t>
      </w:r>
      <w:r w:rsidRPr="00382917">
        <w:t>p.</w:t>
      </w:r>
      <w:r>
        <w:t xml:space="preserve"> </w:t>
      </w:r>
      <w:r w:rsidRPr="00382917">
        <w:t>31</w:t>
      </w:r>
      <w:r>
        <w:t xml:space="preserve"> </w:t>
      </w:r>
      <w:r w:rsidRPr="00382917">
        <w:t>(1944</w:t>
      </w:r>
      <w:r>
        <w:t xml:space="preserve"> </w:t>
      </w:r>
      <w:r w:rsidRPr="00382917">
        <w:t>Edition).</w:t>
      </w:r>
      <w:proofErr w:type="gramEnd"/>
    </w:p>
  </w:footnote>
  <w:footnote w:id="296">
    <w:p w:rsidR="001C15E8" w:rsidRDefault="001C15E8" w:rsidP="008C4ED7">
      <w:pPr>
        <w:pStyle w:val="FootnoteText"/>
      </w:pPr>
      <w:r>
        <w:rPr>
          <w:rStyle w:val="FootnoteReference"/>
        </w:rPr>
        <w:footnoteRef/>
      </w:r>
      <w:r>
        <w:tab/>
      </w:r>
      <w:r w:rsidRPr="00382917">
        <w:t>Shoghi</w:t>
      </w:r>
      <w:r>
        <w:t xml:space="preserve"> </w:t>
      </w:r>
      <w:r w:rsidRPr="00382917">
        <w:t>Effendi,</w:t>
      </w:r>
      <w:r>
        <w:t xml:space="preserve"> </w:t>
      </w:r>
      <w:r w:rsidRPr="001713B3">
        <w:rPr>
          <w:i/>
          <w:iCs/>
        </w:rPr>
        <w:t>God</w:t>
      </w:r>
      <w:r>
        <w:rPr>
          <w:i/>
          <w:iCs/>
        </w:rPr>
        <w:t xml:space="preserve"> </w:t>
      </w:r>
      <w:r w:rsidRPr="001713B3">
        <w:rPr>
          <w:i/>
          <w:iCs/>
        </w:rPr>
        <w:t>Passes</w:t>
      </w:r>
      <w:r>
        <w:rPr>
          <w:i/>
          <w:iCs/>
        </w:rPr>
        <w:t xml:space="preserve"> </w:t>
      </w:r>
      <w:r w:rsidRPr="001713B3">
        <w:rPr>
          <w:i/>
          <w:iCs/>
        </w:rPr>
        <w:t>By</w:t>
      </w:r>
      <w:r w:rsidRPr="00382917">
        <w:t>,</w:t>
      </w:r>
      <w:r>
        <w:t xml:space="preserve"> </w:t>
      </w:r>
      <w:r w:rsidRPr="00382917">
        <w:t>Introduction</w:t>
      </w:r>
      <w:r>
        <w:t xml:space="preserve"> </w:t>
      </w:r>
      <w:r w:rsidRPr="00382917">
        <w:t>by</w:t>
      </w:r>
      <w:r>
        <w:t xml:space="preserve"> </w:t>
      </w:r>
      <w:r w:rsidRPr="00382917">
        <w:t>George</w:t>
      </w:r>
      <w:r>
        <w:t xml:space="preserve"> </w:t>
      </w:r>
      <w:r w:rsidRPr="00382917">
        <w:t>Townshend,</w:t>
      </w:r>
      <w:r>
        <w:t xml:space="preserve"> </w:t>
      </w:r>
      <w:r w:rsidRPr="00382917">
        <w:t>p.</w:t>
      </w:r>
      <w:r>
        <w:t xml:space="preserve"> </w:t>
      </w:r>
      <w:proofErr w:type="gramStart"/>
      <w:r>
        <w:t>iv</w:t>
      </w:r>
      <w:proofErr w:type="gramEnd"/>
      <w:r w:rsidRPr="00382917">
        <w:t>.</w:t>
      </w:r>
    </w:p>
    <w:p w:rsidR="001C15E8" w:rsidRPr="008C4ED7" w:rsidRDefault="001C15E8" w:rsidP="008C4ED7">
      <w:pPr>
        <w:pStyle w:val="FootnoteText"/>
        <w:spacing w:before="40"/>
        <w:rPr>
          <w:lang w:val="en-US"/>
        </w:rPr>
      </w:pPr>
      <w:r>
        <w:tab/>
      </w:r>
      <w:r w:rsidRPr="00382917">
        <w:t>This</w:t>
      </w:r>
      <w:r>
        <w:t xml:space="preserve"> </w:t>
      </w:r>
      <w:r w:rsidRPr="00382917">
        <w:t>famous</w:t>
      </w:r>
      <w:r>
        <w:t xml:space="preserve"> </w:t>
      </w:r>
      <w:r w:rsidRPr="00382917">
        <w:t>scholar</w:t>
      </w:r>
      <w:r>
        <w:t xml:space="preserve"> </w:t>
      </w:r>
      <w:r w:rsidRPr="00382917">
        <w:t>discovered</w:t>
      </w:r>
      <w:r>
        <w:t xml:space="preserve"> </w:t>
      </w:r>
      <w:r w:rsidRPr="00382917">
        <w:t>the</w:t>
      </w:r>
      <w:r>
        <w:t xml:space="preserve"> </w:t>
      </w:r>
      <w:r w:rsidRPr="00382917">
        <w:t>Bahá’í</w:t>
      </w:r>
      <w:r>
        <w:t xml:space="preserve"> </w:t>
      </w:r>
      <w:r w:rsidRPr="00382917">
        <w:t>Faith</w:t>
      </w:r>
      <w:r>
        <w:t xml:space="preserve"> </w:t>
      </w:r>
      <w:r w:rsidRPr="00382917">
        <w:t>in</w:t>
      </w:r>
      <w:r>
        <w:t xml:space="preserve"> </w:t>
      </w:r>
      <w:r w:rsidRPr="00382917">
        <w:t>his</w:t>
      </w:r>
      <w:r>
        <w:t xml:space="preserve"> </w:t>
      </w:r>
      <w:r w:rsidRPr="00382917">
        <w:t>studies,</w:t>
      </w:r>
      <w:r>
        <w:t xml:space="preserve"> </w:t>
      </w:r>
      <w:r w:rsidRPr="00382917">
        <w:t>and</w:t>
      </w:r>
      <w:r>
        <w:t xml:space="preserve"> </w:t>
      </w:r>
      <w:r w:rsidRPr="00382917">
        <w:t>wrote</w:t>
      </w:r>
      <w:r>
        <w:t xml:space="preserve"> </w:t>
      </w:r>
      <w:r w:rsidRPr="00382917">
        <w:t>saying</w:t>
      </w:r>
      <w:r>
        <w:t xml:space="preserve"> </w:t>
      </w:r>
      <w:r w:rsidRPr="00382917">
        <w:t>that</w:t>
      </w:r>
      <w:r>
        <w:t xml:space="preserve"> </w:t>
      </w:r>
      <w:r w:rsidRPr="00382917">
        <w:t>when</w:t>
      </w:r>
      <w:r>
        <w:t xml:space="preserve"> </w:t>
      </w:r>
      <w:r w:rsidRPr="00382917">
        <w:t>“modern</w:t>
      </w:r>
      <w:r>
        <w:t xml:space="preserve"> </w:t>
      </w:r>
      <w:r w:rsidRPr="00382917">
        <w:t>scholars</w:t>
      </w:r>
      <w:r>
        <w:t xml:space="preserve"> </w:t>
      </w:r>
      <w:r w:rsidRPr="00382917">
        <w:t>and</w:t>
      </w:r>
      <w:r>
        <w:t xml:space="preserve"> </w:t>
      </w:r>
      <w:r w:rsidRPr="00382917">
        <w:t>statesmen</w:t>
      </w:r>
      <w:r>
        <w:t xml:space="preserve"> </w:t>
      </w:r>
      <w:r w:rsidRPr="00382917">
        <w:t>speak</w:t>
      </w:r>
      <w:r>
        <w:t xml:space="preserve"> </w:t>
      </w:r>
      <w:r w:rsidRPr="00382917">
        <w:t>of</w:t>
      </w:r>
      <w:r>
        <w:t xml:space="preserve"> </w:t>
      </w:r>
      <w:r w:rsidRPr="00382917">
        <w:t>World</w:t>
      </w:r>
      <w:r>
        <w:t xml:space="preserve"> </w:t>
      </w:r>
      <w:r w:rsidRPr="00382917">
        <w:t>government,</w:t>
      </w:r>
      <w:r>
        <w:t xml:space="preserve"> </w:t>
      </w:r>
      <w:r w:rsidRPr="00382917">
        <w:t>Social</w:t>
      </w:r>
      <w:r>
        <w:t xml:space="preserve"> </w:t>
      </w:r>
      <w:r w:rsidRPr="00382917">
        <w:t>Security,</w:t>
      </w:r>
      <w:r>
        <w:t xml:space="preserve"> </w:t>
      </w:r>
      <w:r w:rsidRPr="00382917">
        <w:t>an</w:t>
      </w:r>
      <w:r>
        <w:t xml:space="preserve"> </w:t>
      </w:r>
      <w:r w:rsidRPr="00382917">
        <w:t>International</w:t>
      </w:r>
      <w:r>
        <w:t xml:space="preserve"> </w:t>
      </w:r>
      <w:r w:rsidRPr="00382917">
        <w:t>language,</w:t>
      </w:r>
      <w:r>
        <w:t xml:space="preserve"> </w:t>
      </w:r>
      <w:r w:rsidRPr="00382917">
        <w:t>International</w:t>
      </w:r>
      <w:r>
        <w:t xml:space="preserve"> </w:t>
      </w:r>
      <w:r w:rsidRPr="00382917">
        <w:t>police</w:t>
      </w:r>
      <w:r>
        <w:t xml:space="preserve"> </w:t>
      </w:r>
      <w:r w:rsidRPr="00382917">
        <w:t>force,</w:t>
      </w:r>
      <w:r>
        <w:t xml:space="preserve"> </w:t>
      </w:r>
      <w:r w:rsidRPr="00382917">
        <w:t>the</w:t>
      </w:r>
      <w:r>
        <w:t xml:space="preserve"> </w:t>
      </w:r>
      <w:r w:rsidRPr="00382917">
        <w:t>United</w:t>
      </w:r>
      <w:r>
        <w:t xml:space="preserve"> </w:t>
      </w:r>
      <w:r w:rsidRPr="00382917">
        <w:t>Nations,</w:t>
      </w:r>
      <w:r>
        <w:t xml:space="preserve"> </w:t>
      </w:r>
      <w:r w:rsidRPr="00382917">
        <w:t>etc.,</w:t>
      </w:r>
      <w:r>
        <w:t xml:space="preserve"> </w:t>
      </w:r>
      <w:r w:rsidRPr="00382917">
        <w:t>they</w:t>
      </w:r>
      <w:r>
        <w:t xml:space="preserve"> </w:t>
      </w:r>
      <w:r w:rsidRPr="00382917">
        <w:t>are</w:t>
      </w:r>
      <w:r>
        <w:t xml:space="preserve"> </w:t>
      </w:r>
      <w:r w:rsidRPr="00382917">
        <w:t>merely</w:t>
      </w:r>
      <w:r>
        <w:t xml:space="preserve"> </w:t>
      </w:r>
      <w:r w:rsidRPr="00382917">
        <w:t>ringing</w:t>
      </w:r>
      <w:r>
        <w:t xml:space="preserve"> </w:t>
      </w:r>
      <w:r w:rsidRPr="00382917">
        <w:t>the</w:t>
      </w:r>
      <w:r>
        <w:t xml:space="preserve"> </w:t>
      </w:r>
      <w:r w:rsidRPr="00382917">
        <w:t>changes</w:t>
      </w:r>
      <w:r>
        <w:t xml:space="preserve"> </w:t>
      </w:r>
      <w:r w:rsidRPr="00382917">
        <w:t>on</w:t>
      </w:r>
      <w:r>
        <w:t xml:space="preserve"> </w:t>
      </w:r>
      <w:r w:rsidRPr="00382917">
        <w:t>truths</w:t>
      </w:r>
      <w:r>
        <w:t xml:space="preserve"> </w:t>
      </w:r>
      <w:r w:rsidRPr="00382917">
        <w:t>set</w:t>
      </w:r>
      <w:r>
        <w:t xml:space="preserve"> </w:t>
      </w:r>
      <w:r w:rsidRPr="00382917">
        <w:t>down</w:t>
      </w:r>
      <w:r>
        <w:t xml:space="preserve"> </w:t>
      </w:r>
      <w:r w:rsidRPr="00382917">
        <w:t>by</w:t>
      </w:r>
      <w:r>
        <w:t xml:space="preserve"> </w:t>
      </w:r>
      <w:r w:rsidRPr="00382917">
        <w:t>Bahá’u’lláh</w:t>
      </w:r>
      <w:r>
        <w:t xml:space="preserve"> </w:t>
      </w:r>
      <w:r w:rsidRPr="00382917">
        <w:t>in</w:t>
      </w:r>
      <w:r>
        <w:t xml:space="preserve"> </w:t>
      </w:r>
      <w:r w:rsidRPr="00382917">
        <w:t>everlasting</w:t>
      </w:r>
      <w:r>
        <w:t xml:space="preserve"> </w:t>
      </w:r>
      <w:r w:rsidRPr="00382917">
        <w:t>language</w:t>
      </w:r>
      <w:r>
        <w:t xml:space="preserve"> </w:t>
      </w:r>
      <w:r w:rsidRPr="00382917">
        <w:t>nearly</w:t>
      </w:r>
      <w:r>
        <w:t xml:space="preserve"> </w:t>
      </w:r>
      <w:r w:rsidRPr="00382917">
        <w:t>a</w:t>
      </w:r>
      <w:r>
        <w:t xml:space="preserve"> </w:t>
      </w:r>
      <w:r w:rsidRPr="00382917">
        <w:t>century</w:t>
      </w:r>
      <w:r>
        <w:t xml:space="preserve"> </w:t>
      </w:r>
      <w:r w:rsidRPr="00382917">
        <w:t>ago.”</w:t>
      </w:r>
    </w:p>
  </w:footnote>
  <w:footnote w:id="297">
    <w:p w:rsidR="001C15E8" w:rsidRPr="008C4ED7" w:rsidRDefault="001C15E8">
      <w:pPr>
        <w:pStyle w:val="FootnoteText"/>
        <w:rPr>
          <w:lang w:val="en-US"/>
        </w:rPr>
      </w:pPr>
      <w:r>
        <w:rPr>
          <w:rStyle w:val="FootnoteReference"/>
        </w:rPr>
        <w:footnoteRef/>
      </w:r>
      <w:r>
        <w:tab/>
      </w:r>
      <w:r w:rsidRPr="00382917">
        <w:t>Revelation</w:t>
      </w:r>
      <w:r>
        <w:t xml:space="preserve"> </w:t>
      </w:r>
      <w:r w:rsidRPr="00382917">
        <w:t>11:2.</w:t>
      </w:r>
    </w:p>
  </w:footnote>
  <w:footnote w:id="298">
    <w:p w:rsidR="001C15E8" w:rsidRPr="008C4ED7" w:rsidRDefault="001C15E8">
      <w:pPr>
        <w:pStyle w:val="FootnoteText"/>
        <w:rPr>
          <w:lang w:val="en-US"/>
        </w:rPr>
      </w:pPr>
      <w:r>
        <w:rPr>
          <w:rStyle w:val="FootnoteReference"/>
        </w:rPr>
        <w:footnoteRef/>
      </w:r>
      <w:r>
        <w:tab/>
      </w:r>
      <w:r w:rsidRPr="00382917">
        <w:t>James</w:t>
      </w:r>
      <w:r>
        <w:t xml:space="preserve"> </w:t>
      </w:r>
      <w:r w:rsidRPr="00382917">
        <w:t>Henry</w:t>
      </w:r>
      <w:r>
        <w:t xml:space="preserve"> </w:t>
      </w:r>
      <w:r w:rsidRPr="00382917">
        <w:t>Foreman,</w:t>
      </w:r>
      <w:r>
        <w:t xml:space="preserve"> </w:t>
      </w:r>
      <w:r w:rsidRPr="008C4ED7">
        <w:rPr>
          <w:i/>
          <w:iCs/>
        </w:rPr>
        <w:t>Story of Prophecy</w:t>
      </w:r>
      <w:r w:rsidRPr="00382917">
        <w:t>,</w:t>
      </w:r>
      <w:r>
        <w:t xml:space="preserve"> </w:t>
      </w:r>
      <w:r w:rsidRPr="00382917">
        <w:t>p.</w:t>
      </w:r>
      <w:r>
        <w:t xml:space="preserve"> </w:t>
      </w:r>
      <w:r w:rsidRPr="00382917">
        <w:t>88.</w:t>
      </w:r>
    </w:p>
  </w:footnote>
  <w:footnote w:id="299">
    <w:p w:rsidR="001C15E8" w:rsidRPr="008C4ED7" w:rsidRDefault="001C15E8">
      <w:pPr>
        <w:pStyle w:val="FootnoteText"/>
        <w:rPr>
          <w:lang w:val="en-US"/>
        </w:rPr>
      </w:pPr>
      <w:r>
        <w:rPr>
          <w:rStyle w:val="FootnoteReference"/>
        </w:rPr>
        <w:footnoteRef/>
      </w:r>
      <w:r>
        <w:tab/>
      </w:r>
      <w:r w:rsidRPr="00382917">
        <w:t>Matthew</w:t>
      </w:r>
      <w:r>
        <w:t xml:space="preserve"> </w:t>
      </w:r>
      <w:r w:rsidRPr="00382917">
        <w:t>24:15.</w:t>
      </w:r>
    </w:p>
  </w:footnote>
  <w:footnote w:id="300">
    <w:p w:rsidR="001C15E8" w:rsidRPr="00AE4713" w:rsidRDefault="001C15E8" w:rsidP="00AE4713">
      <w:pPr>
        <w:pStyle w:val="FootnoteText"/>
        <w:rPr>
          <w:lang w:val="en-US"/>
        </w:rPr>
      </w:pPr>
      <w:r>
        <w:rPr>
          <w:rStyle w:val="FootnoteReference"/>
        </w:rPr>
        <w:footnoteRef/>
      </w:r>
      <w:r>
        <w:tab/>
      </w:r>
      <w:r w:rsidRPr="00382917">
        <w:t>(1)</w:t>
      </w:r>
      <w:r>
        <w:t xml:space="preserve">  </w:t>
      </w:r>
      <w:r w:rsidRPr="00382917">
        <w:t>Daniel,</w:t>
      </w:r>
      <w:r>
        <w:t xml:space="preserve"> </w:t>
      </w:r>
      <w:r w:rsidRPr="00382917">
        <w:t>9:24,</w:t>
      </w:r>
      <w:r>
        <w:t xml:space="preserve"> 25; </w:t>
      </w:r>
      <w:r w:rsidRPr="00382917">
        <w:t>(2</w:t>
      </w:r>
      <w:proofErr w:type="gramStart"/>
      <w:r w:rsidRPr="00382917">
        <w:t>)</w:t>
      </w:r>
      <w:r>
        <w:t xml:space="preserve">  </w:t>
      </w:r>
      <w:r w:rsidRPr="00382917">
        <w:t>‘Abdu’l</w:t>
      </w:r>
      <w:proofErr w:type="gramEnd"/>
      <w:r w:rsidRPr="00382917">
        <w:t>-Bahá,</w:t>
      </w:r>
      <w:r>
        <w:t xml:space="preserve"> </w:t>
      </w:r>
      <w:r w:rsidRPr="00AE4713">
        <w:rPr>
          <w:i/>
          <w:iCs/>
        </w:rPr>
        <w:t>Some Answered Questions</w:t>
      </w:r>
      <w:r w:rsidRPr="00382917">
        <w:t>,</w:t>
      </w:r>
      <w:r>
        <w:t xml:space="preserve"> </w:t>
      </w:r>
      <w:r w:rsidRPr="00382917">
        <w:t>p.</w:t>
      </w:r>
      <w:r>
        <w:t xml:space="preserve"> 50</w:t>
      </w:r>
      <w:r w:rsidRPr="00382917">
        <w:t>.</w:t>
      </w:r>
    </w:p>
  </w:footnote>
  <w:footnote w:id="301">
    <w:p w:rsidR="001C15E8" w:rsidRPr="00AE4713" w:rsidRDefault="001C15E8">
      <w:pPr>
        <w:pStyle w:val="FootnoteText"/>
        <w:rPr>
          <w:lang w:val="en-US"/>
        </w:rPr>
      </w:pPr>
      <w:r>
        <w:rPr>
          <w:rStyle w:val="FootnoteReference"/>
        </w:rPr>
        <w:footnoteRef/>
      </w:r>
      <w:r>
        <w:tab/>
      </w:r>
      <w:r w:rsidRPr="00382917">
        <w:t>Daniel</w:t>
      </w:r>
      <w:r>
        <w:t xml:space="preserve"> </w:t>
      </w:r>
      <w:r w:rsidRPr="00382917">
        <w:t>8:13,</w:t>
      </w:r>
      <w:r>
        <w:t xml:space="preserve"> </w:t>
      </w:r>
      <w:r w:rsidRPr="00382917">
        <w:t>14.</w:t>
      </w:r>
    </w:p>
  </w:footnote>
  <w:footnote w:id="302">
    <w:p w:rsidR="001C15E8" w:rsidRPr="00AE7285" w:rsidRDefault="001C15E8">
      <w:pPr>
        <w:pStyle w:val="FootnoteText"/>
        <w:rPr>
          <w:lang w:val="en-US"/>
        </w:rPr>
      </w:pPr>
      <w:r>
        <w:rPr>
          <w:rStyle w:val="FootnoteReference"/>
        </w:rPr>
        <w:footnoteRef/>
      </w:r>
      <w:r>
        <w:tab/>
      </w:r>
      <w:r w:rsidRPr="00AE7285">
        <w:rPr>
          <w:i/>
          <w:iCs/>
        </w:rPr>
        <w:t>Bible Reading</w:t>
      </w:r>
      <w:r w:rsidRPr="00382917">
        <w:t>,</w:t>
      </w:r>
      <w:r>
        <w:t xml:space="preserve"> </w:t>
      </w:r>
      <w:r w:rsidRPr="00382917">
        <w:t>edited</w:t>
      </w:r>
      <w:r>
        <w:t xml:space="preserve"> </w:t>
      </w:r>
      <w:r w:rsidRPr="00382917">
        <w:t>by</w:t>
      </w:r>
      <w:r>
        <w:t xml:space="preserve"> </w:t>
      </w:r>
      <w:r w:rsidRPr="00382917">
        <w:t>Review</w:t>
      </w:r>
      <w:r>
        <w:t xml:space="preserve"> </w:t>
      </w:r>
      <w:r w:rsidRPr="00382917">
        <w:t>and</w:t>
      </w:r>
      <w:r>
        <w:t xml:space="preserve"> </w:t>
      </w:r>
      <w:r w:rsidRPr="00382917">
        <w:t>Herald</w:t>
      </w:r>
      <w:r>
        <w:t xml:space="preserve"> </w:t>
      </w:r>
      <w:r w:rsidRPr="00382917">
        <w:t>Publishing</w:t>
      </w:r>
      <w:r>
        <w:t xml:space="preserve"> </w:t>
      </w:r>
      <w:r w:rsidRPr="00382917">
        <w:t>Co.,</w:t>
      </w:r>
      <w:r>
        <w:t xml:space="preserve"> </w:t>
      </w:r>
      <w:r w:rsidRPr="00382917">
        <w:t>Battle</w:t>
      </w:r>
      <w:r>
        <w:t xml:space="preserve"> </w:t>
      </w:r>
      <w:r w:rsidRPr="00382917">
        <w:t>Creek,</w:t>
      </w:r>
      <w:r>
        <w:t xml:space="preserve"> </w:t>
      </w:r>
      <w:r w:rsidRPr="00382917">
        <w:t>Michigan,</w:t>
      </w:r>
      <w:r>
        <w:t xml:space="preserve"> </w:t>
      </w:r>
      <w:r w:rsidRPr="00382917">
        <w:t>USA</w:t>
      </w:r>
      <w:proofErr w:type="gramStart"/>
      <w:r w:rsidRPr="00382917">
        <w:t>.</w:t>
      </w:r>
      <w:r>
        <w:t xml:space="preserve"> </w:t>
      </w:r>
      <w:r w:rsidRPr="00382917">
        <w:t>p.</w:t>
      </w:r>
      <w:r>
        <w:t xml:space="preserve"> </w:t>
      </w:r>
      <w:r w:rsidRPr="00382917">
        <w:t>94.</w:t>
      </w:r>
      <w:proofErr w:type="gramEnd"/>
    </w:p>
  </w:footnote>
  <w:footnote w:id="303">
    <w:p w:rsidR="001C15E8" w:rsidRPr="006624C8" w:rsidRDefault="001C15E8" w:rsidP="006624C8">
      <w:pPr>
        <w:pStyle w:val="FootnoteText"/>
        <w:rPr>
          <w:lang w:val="en-US"/>
        </w:rPr>
      </w:pPr>
      <w:r>
        <w:rPr>
          <w:rStyle w:val="FootnoteReference"/>
        </w:rPr>
        <w:footnoteRef/>
      </w:r>
      <w:r>
        <w:tab/>
      </w:r>
      <w:r w:rsidRPr="00382917">
        <w:t>For</w:t>
      </w:r>
      <w:r>
        <w:t xml:space="preserve"> </w:t>
      </w:r>
      <w:r w:rsidRPr="00382917">
        <w:t>a</w:t>
      </w:r>
      <w:r>
        <w:t xml:space="preserve"> </w:t>
      </w:r>
      <w:r w:rsidRPr="00382917">
        <w:t>further</w:t>
      </w:r>
      <w:r>
        <w:t xml:space="preserve"> </w:t>
      </w:r>
      <w:r w:rsidRPr="00382917">
        <w:t>explanation,</w:t>
      </w:r>
      <w:r>
        <w:t xml:space="preserve"> </w:t>
      </w:r>
      <w:r w:rsidRPr="00382917">
        <w:t>see</w:t>
      </w:r>
      <w:r>
        <w:t xml:space="preserve"> </w:t>
      </w:r>
      <w:r w:rsidRPr="006624C8">
        <w:rPr>
          <w:i/>
          <w:iCs/>
        </w:rPr>
        <w:t>Some Answered Questions</w:t>
      </w:r>
      <w:r w:rsidRPr="00382917">
        <w:t>,</w:t>
      </w:r>
      <w:r>
        <w:t xml:space="preserve"> </w:t>
      </w:r>
      <w:proofErr w:type="spellStart"/>
      <w:r>
        <w:t>chs</w:t>
      </w:r>
      <w:proofErr w:type="spellEnd"/>
      <w:r>
        <w:t xml:space="preserve"> 10–11</w:t>
      </w:r>
      <w:r w:rsidRPr="00382917">
        <w:t>.</w:t>
      </w:r>
    </w:p>
  </w:footnote>
  <w:footnote w:id="304">
    <w:p w:rsidR="001C15E8" w:rsidRPr="002F2CB1" w:rsidRDefault="001C15E8" w:rsidP="004D716D">
      <w:pPr>
        <w:pStyle w:val="FootnoteText"/>
        <w:rPr>
          <w:lang w:val="en-US"/>
        </w:rPr>
      </w:pPr>
      <w:r>
        <w:rPr>
          <w:rStyle w:val="FootnoteReference"/>
        </w:rPr>
        <w:footnoteRef/>
      </w:r>
      <w:r>
        <w:tab/>
      </w:r>
      <w:proofErr w:type="gramStart"/>
      <w:r w:rsidRPr="00382917">
        <w:t>Daniel</w:t>
      </w:r>
      <w:r>
        <w:t xml:space="preserve"> </w:t>
      </w:r>
      <w:r w:rsidRPr="00382917">
        <w:t>8:2,</w:t>
      </w:r>
      <w:r>
        <w:t xml:space="preserve"> </w:t>
      </w:r>
      <w:r w:rsidRPr="00382917">
        <w:t>7:13,</w:t>
      </w:r>
      <w:r>
        <w:t xml:space="preserve"> </w:t>
      </w:r>
      <w:r w:rsidRPr="00382917">
        <w:t>14.</w:t>
      </w:r>
      <w:proofErr w:type="gramEnd"/>
    </w:p>
  </w:footnote>
  <w:footnote w:id="305">
    <w:p w:rsidR="001C15E8" w:rsidRPr="002F2CB1" w:rsidRDefault="001C15E8">
      <w:pPr>
        <w:pStyle w:val="FootnoteText"/>
        <w:rPr>
          <w:lang w:val="en-US"/>
        </w:rPr>
      </w:pPr>
      <w:r>
        <w:rPr>
          <w:rStyle w:val="FootnoteReference"/>
        </w:rPr>
        <w:footnoteRef/>
      </w:r>
      <w:r>
        <w:tab/>
      </w:r>
      <w:r w:rsidRPr="00382917">
        <w:t>Jeremiah</w:t>
      </w:r>
      <w:r>
        <w:t xml:space="preserve"> </w:t>
      </w:r>
      <w:r w:rsidRPr="00382917">
        <w:t>49:38.</w:t>
      </w:r>
    </w:p>
  </w:footnote>
  <w:footnote w:id="306">
    <w:p w:rsidR="001C15E8" w:rsidRPr="00E12762" w:rsidRDefault="001C15E8">
      <w:pPr>
        <w:pStyle w:val="FootnoteText"/>
        <w:rPr>
          <w:lang w:val="en-US"/>
        </w:rPr>
      </w:pPr>
      <w:r>
        <w:rPr>
          <w:rStyle w:val="FootnoteReference"/>
        </w:rPr>
        <w:footnoteRef/>
      </w:r>
      <w:r>
        <w:tab/>
      </w:r>
      <w:r w:rsidRPr="00382917">
        <w:t>Nabíl,</w:t>
      </w:r>
      <w:r>
        <w:t xml:space="preserve"> </w:t>
      </w:r>
      <w:proofErr w:type="gramStart"/>
      <w:r w:rsidRPr="00382917">
        <w:rPr>
          <w:i/>
          <w:iCs/>
        </w:rPr>
        <w:t>The</w:t>
      </w:r>
      <w:proofErr w:type="gramEnd"/>
      <w:r>
        <w:rPr>
          <w:i/>
          <w:iCs/>
        </w:rPr>
        <w:t xml:space="preserve"> </w:t>
      </w:r>
      <w:r w:rsidRPr="00382917">
        <w:rPr>
          <w:i/>
          <w:iCs/>
        </w:rPr>
        <w:t>Dawn-Breakers</w:t>
      </w:r>
      <w:r w:rsidRPr="00382917">
        <w:t>,</w:t>
      </w:r>
      <w:r>
        <w:t xml:space="preserve"> </w:t>
      </w:r>
      <w:r w:rsidRPr="00382917">
        <w:t>p.</w:t>
      </w:r>
      <w:r>
        <w:t xml:space="preserve"> </w:t>
      </w:r>
      <w:r w:rsidRPr="00382917">
        <w:t>49.</w:t>
      </w:r>
    </w:p>
  </w:footnote>
  <w:footnote w:id="307">
    <w:p w:rsidR="001C15E8" w:rsidRPr="006A1640" w:rsidRDefault="001C15E8">
      <w:pPr>
        <w:pStyle w:val="FootnoteText"/>
        <w:rPr>
          <w:lang w:val="en-US"/>
        </w:rPr>
      </w:pPr>
      <w:r>
        <w:rPr>
          <w:rStyle w:val="FootnoteReference"/>
        </w:rPr>
        <w:footnoteRef/>
      </w:r>
      <w:r>
        <w:tab/>
      </w:r>
      <w:r w:rsidRPr="00382917">
        <w:t>Jeremiah</w:t>
      </w:r>
      <w:r>
        <w:t xml:space="preserve"> </w:t>
      </w:r>
      <w:r w:rsidRPr="00382917">
        <w:t>5:21.</w:t>
      </w:r>
    </w:p>
  </w:footnote>
  <w:footnote w:id="308">
    <w:p w:rsidR="001C15E8" w:rsidRPr="006A1640" w:rsidRDefault="001C15E8">
      <w:pPr>
        <w:pStyle w:val="FootnoteText"/>
        <w:rPr>
          <w:lang w:val="en-US"/>
        </w:rPr>
      </w:pPr>
      <w:r>
        <w:rPr>
          <w:rStyle w:val="FootnoteReference"/>
        </w:rPr>
        <w:footnoteRef/>
      </w:r>
      <w:r>
        <w:tab/>
      </w:r>
      <w:r w:rsidRPr="00382917">
        <w:t>Matthew</w:t>
      </w:r>
      <w:r>
        <w:t xml:space="preserve"> </w:t>
      </w:r>
      <w:r w:rsidRPr="00382917">
        <w:t>13:11</w:t>
      </w:r>
      <w:r>
        <w:t>–</w:t>
      </w:r>
      <w:r w:rsidRPr="00382917">
        <w:t>16.</w:t>
      </w:r>
    </w:p>
  </w:footnote>
  <w:footnote w:id="309">
    <w:p w:rsidR="001C15E8" w:rsidRPr="00C72E3D" w:rsidRDefault="001C15E8">
      <w:pPr>
        <w:pStyle w:val="FootnoteText"/>
        <w:rPr>
          <w:lang w:val="en-US"/>
        </w:rPr>
      </w:pPr>
      <w:r>
        <w:rPr>
          <w:rStyle w:val="FootnoteReference"/>
        </w:rPr>
        <w:footnoteRef/>
      </w:r>
      <w:r>
        <w:tab/>
      </w:r>
      <w:proofErr w:type="gramStart"/>
      <w:r>
        <w:t>idem</w:t>
      </w:r>
      <w:proofErr w:type="gramEnd"/>
      <w:r w:rsidRPr="00382917">
        <w:t>,</w:t>
      </w:r>
      <w:r>
        <w:t xml:space="preserve"> </w:t>
      </w:r>
      <w:r w:rsidRPr="00382917">
        <w:t>17:10;</w:t>
      </w:r>
      <w:r>
        <w:t xml:space="preserve"> </w:t>
      </w:r>
      <w:r w:rsidRPr="00382917">
        <w:t>Mark</w:t>
      </w:r>
      <w:r>
        <w:t xml:space="preserve"> </w:t>
      </w:r>
      <w:r w:rsidRPr="00382917">
        <w:t>9:11.</w:t>
      </w:r>
    </w:p>
  </w:footnote>
  <w:footnote w:id="310">
    <w:p w:rsidR="001C15E8" w:rsidRPr="00C72E3D" w:rsidRDefault="001C15E8">
      <w:pPr>
        <w:pStyle w:val="FootnoteText"/>
        <w:rPr>
          <w:lang w:val="en-US"/>
        </w:rPr>
      </w:pPr>
      <w:r>
        <w:rPr>
          <w:rStyle w:val="FootnoteReference"/>
        </w:rPr>
        <w:footnoteRef/>
      </w:r>
      <w:r>
        <w:tab/>
      </w:r>
      <w:r w:rsidRPr="00382917">
        <w:t>Matthew</w:t>
      </w:r>
      <w:r>
        <w:t xml:space="preserve"> </w:t>
      </w:r>
      <w:r w:rsidRPr="00382917">
        <w:t>11:14,</w:t>
      </w:r>
      <w:r>
        <w:t xml:space="preserve"> </w:t>
      </w:r>
      <w:r w:rsidRPr="00382917">
        <w:t>15.</w:t>
      </w:r>
    </w:p>
  </w:footnote>
  <w:footnote w:id="311">
    <w:p w:rsidR="001C15E8" w:rsidRPr="00C72E3D" w:rsidRDefault="001C15E8">
      <w:pPr>
        <w:pStyle w:val="FootnoteText"/>
        <w:rPr>
          <w:lang w:val="en-US"/>
        </w:rPr>
      </w:pPr>
      <w:r>
        <w:rPr>
          <w:rStyle w:val="FootnoteReference"/>
        </w:rPr>
        <w:footnoteRef/>
      </w:r>
      <w:r>
        <w:tab/>
      </w:r>
      <w:r w:rsidRPr="00382917">
        <w:t>John</w:t>
      </w:r>
      <w:r>
        <w:t xml:space="preserve"> </w:t>
      </w:r>
      <w:r w:rsidRPr="00382917">
        <w:t>1:21.</w:t>
      </w:r>
    </w:p>
  </w:footnote>
  <w:footnote w:id="312">
    <w:p w:rsidR="001C15E8" w:rsidRPr="00C72E3D" w:rsidRDefault="001C15E8">
      <w:pPr>
        <w:pStyle w:val="FootnoteText"/>
        <w:rPr>
          <w:lang w:val="en-US"/>
        </w:rPr>
      </w:pPr>
      <w:r>
        <w:rPr>
          <w:rStyle w:val="FootnoteReference"/>
        </w:rPr>
        <w:footnoteRef/>
      </w:r>
      <w:r>
        <w:tab/>
      </w:r>
      <w:r w:rsidRPr="00382917">
        <w:t>Luke</w:t>
      </w:r>
      <w:r>
        <w:t xml:space="preserve"> </w:t>
      </w:r>
      <w:r w:rsidRPr="00382917">
        <w:t>1:15</w:t>
      </w:r>
      <w:r>
        <w:t>–</w:t>
      </w:r>
      <w:r w:rsidRPr="00382917">
        <w:t>17.</w:t>
      </w:r>
    </w:p>
  </w:footnote>
  <w:footnote w:id="313">
    <w:p w:rsidR="001C15E8" w:rsidRPr="00BC4BAA" w:rsidRDefault="001C15E8" w:rsidP="00F936BC">
      <w:pPr>
        <w:pStyle w:val="FootnoteText"/>
        <w:rPr>
          <w:lang w:val="en-US"/>
        </w:rPr>
      </w:pPr>
      <w:r>
        <w:rPr>
          <w:rStyle w:val="FootnoteReference"/>
        </w:rPr>
        <w:footnoteRef/>
      </w:r>
      <w:r>
        <w:tab/>
        <w:t>Matthew 17:10–12.</w:t>
      </w:r>
    </w:p>
  </w:footnote>
  <w:footnote w:id="314">
    <w:p w:rsidR="001C15E8" w:rsidRPr="00647AEF" w:rsidRDefault="001C15E8" w:rsidP="00F936BC">
      <w:pPr>
        <w:pStyle w:val="FootnoteText"/>
        <w:rPr>
          <w:lang w:val="en-US"/>
        </w:rPr>
      </w:pPr>
      <w:r>
        <w:rPr>
          <w:rStyle w:val="FootnoteReference"/>
        </w:rPr>
        <w:footnoteRef/>
      </w:r>
      <w:r>
        <w:tab/>
        <w:t xml:space="preserve">Matthew </w:t>
      </w:r>
      <w:r w:rsidRPr="00382917">
        <w:t>11:18.</w:t>
      </w:r>
    </w:p>
  </w:footnote>
  <w:footnote w:id="315">
    <w:p w:rsidR="001C15E8" w:rsidRPr="004D716D" w:rsidRDefault="001C15E8" w:rsidP="004D716D">
      <w:pPr>
        <w:pStyle w:val="FootnoteText"/>
        <w:rPr>
          <w:lang w:val="en-US"/>
        </w:rPr>
      </w:pPr>
      <w:r>
        <w:rPr>
          <w:rStyle w:val="FootnoteReference"/>
        </w:rPr>
        <w:footnoteRef/>
      </w:r>
      <w:r>
        <w:tab/>
      </w:r>
      <w:r w:rsidRPr="004D716D">
        <w:t>Elam was an ancient civilization</w:t>
      </w:r>
      <w:r>
        <w:t xml:space="preserve"> </w:t>
      </w:r>
      <w:r w:rsidRPr="004D716D">
        <w:t>in the far west and southwest of Iran, as well as a small part of modern-day southern Iraq.</w:t>
      </w:r>
    </w:p>
  </w:footnote>
  <w:footnote w:id="316">
    <w:p w:rsidR="001C15E8" w:rsidRPr="004E66A1" w:rsidRDefault="001C15E8">
      <w:pPr>
        <w:pStyle w:val="FootnoteText"/>
        <w:rPr>
          <w:lang w:val="en-US"/>
        </w:rPr>
      </w:pPr>
      <w:r>
        <w:rPr>
          <w:rStyle w:val="FootnoteReference"/>
        </w:rPr>
        <w:footnoteRef/>
      </w:r>
      <w:r>
        <w:tab/>
      </w:r>
      <w:r w:rsidRPr="00382917">
        <w:t>Daniel</w:t>
      </w:r>
      <w:r>
        <w:t xml:space="preserve"> </w:t>
      </w:r>
      <w:r w:rsidRPr="00382917">
        <w:t>12:4;</w:t>
      </w:r>
      <w:r>
        <w:t xml:space="preserve"> </w:t>
      </w:r>
      <w:r w:rsidRPr="00382917">
        <w:t>8</w:t>
      </w:r>
      <w:r>
        <w:t>–</w:t>
      </w:r>
      <w:r w:rsidRPr="00382917">
        <w:t>9.</w:t>
      </w:r>
    </w:p>
  </w:footnote>
  <w:footnote w:id="317">
    <w:p w:rsidR="001C15E8" w:rsidRPr="004E66A1" w:rsidRDefault="001C15E8">
      <w:pPr>
        <w:pStyle w:val="FootnoteText"/>
        <w:rPr>
          <w:lang w:val="en-US"/>
        </w:rPr>
      </w:pPr>
      <w:r>
        <w:rPr>
          <w:rStyle w:val="FootnoteReference"/>
        </w:rPr>
        <w:footnoteRef/>
      </w:r>
      <w:r>
        <w:tab/>
      </w:r>
      <w:r w:rsidRPr="00382917">
        <w:t>Isaiah</w:t>
      </w:r>
      <w:r>
        <w:t xml:space="preserve"> </w:t>
      </w:r>
      <w:r w:rsidRPr="00382917">
        <w:t>29:11</w:t>
      </w:r>
      <w:r>
        <w:t>–</w:t>
      </w:r>
      <w:r w:rsidRPr="00382917">
        <w:t>12.</w:t>
      </w:r>
    </w:p>
  </w:footnote>
  <w:footnote w:id="318">
    <w:p w:rsidR="001C15E8" w:rsidRPr="004D716D" w:rsidRDefault="001C15E8">
      <w:pPr>
        <w:pStyle w:val="FootnoteText"/>
        <w:rPr>
          <w:lang w:val="en-US"/>
        </w:rPr>
      </w:pPr>
      <w:r>
        <w:rPr>
          <w:rStyle w:val="FootnoteReference"/>
        </w:rPr>
        <w:footnoteRef/>
      </w:r>
      <w:r>
        <w:tab/>
      </w:r>
      <w:r w:rsidRPr="00382917">
        <w:t>I</w:t>
      </w:r>
      <w:r>
        <w:t xml:space="preserve"> </w:t>
      </w:r>
      <w:r w:rsidRPr="00382917">
        <w:t>Corinthians</w:t>
      </w:r>
      <w:r>
        <w:t xml:space="preserve"> </w:t>
      </w:r>
      <w:r w:rsidRPr="00382917">
        <w:t>4:5.</w:t>
      </w:r>
    </w:p>
  </w:footnote>
  <w:footnote w:id="319">
    <w:p w:rsidR="001C15E8" w:rsidRPr="004D716D" w:rsidRDefault="001C15E8">
      <w:pPr>
        <w:pStyle w:val="FootnoteText"/>
        <w:rPr>
          <w:lang w:val="en-US"/>
        </w:rPr>
      </w:pPr>
      <w:r>
        <w:rPr>
          <w:rStyle w:val="FootnoteReference"/>
        </w:rPr>
        <w:footnoteRef/>
      </w:r>
      <w:r>
        <w:tab/>
      </w:r>
      <w:r w:rsidRPr="00382917">
        <w:t>II</w:t>
      </w:r>
      <w:r>
        <w:t xml:space="preserve"> </w:t>
      </w:r>
      <w:r w:rsidRPr="00382917">
        <w:t>Peter</w:t>
      </w:r>
      <w:r>
        <w:t xml:space="preserve"> </w:t>
      </w:r>
      <w:r w:rsidRPr="00382917">
        <w:t>1:19</w:t>
      </w:r>
      <w:r>
        <w:t>–</w:t>
      </w:r>
      <w:r w:rsidRPr="00382917">
        <w:t>21.</w:t>
      </w:r>
    </w:p>
  </w:footnote>
  <w:footnote w:id="320">
    <w:p w:rsidR="001C15E8" w:rsidRPr="004D716D" w:rsidRDefault="001C15E8">
      <w:pPr>
        <w:pStyle w:val="FootnoteText"/>
        <w:rPr>
          <w:lang w:val="en-US"/>
        </w:rPr>
      </w:pPr>
      <w:r>
        <w:rPr>
          <w:rStyle w:val="FootnoteReference"/>
        </w:rPr>
        <w:footnoteRef/>
      </w:r>
      <w:r>
        <w:tab/>
      </w:r>
      <w:r w:rsidRPr="00D00AD2">
        <w:rPr>
          <w:i/>
          <w:iCs/>
        </w:rPr>
        <w:t>Tablets of Abdul-Baha Abbas</w:t>
      </w:r>
      <w:r>
        <w:t xml:space="preserve">, </w:t>
      </w:r>
      <w:r w:rsidRPr="00382917">
        <w:t>vol.</w:t>
      </w:r>
      <w:r>
        <w:t xml:space="preserve"> </w:t>
      </w:r>
      <w:r w:rsidRPr="00382917">
        <w:t>III,</w:t>
      </w:r>
      <w:r>
        <w:t xml:space="preserve"> </w:t>
      </w:r>
      <w:r w:rsidRPr="00382917">
        <w:t>p.</w:t>
      </w:r>
      <w:r>
        <w:t xml:space="preserve"> </w:t>
      </w:r>
      <w:r w:rsidRPr="00382917">
        <w:t>692.</w:t>
      </w:r>
    </w:p>
  </w:footnote>
  <w:footnote w:id="321">
    <w:p w:rsidR="001C15E8" w:rsidRPr="004D716D" w:rsidRDefault="001C15E8">
      <w:pPr>
        <w:pStyle w:val="FootnoteText"/>
        <w:rPr>
          <w:lang w:val="en-US"/>
        </w:rPr>
      </w:pPr>
      <w:r>
        <w:rPr>
          <w:rStyle w:val="FootnoteReference"/>
        </w:rPr>
        <w:footnoteRef/>
      </w:r>
      <w:r>
        <w:tab/>
      </w:r>
      <w:proofErr w:type="gramStart"/>
      <w:r w:rsidRPr="00382917">
        <w:t>Revelation</w:t>
      </w:r>
      <w:r>
        <w:t xml:space="preserve"> </w:t>
      </w:r>
      <w:r w:rsidRPr="00382917">
        <w:t>5:6,</w:t>
      </w:r>
      <w:r>
        <w:t xml:space="preserve"> </w:t>
      </w:r>
      <w:r w:rsidRPr="00382917">
        <w:t>9.</w:t>
      </w:r>
      <w:proofErr w:type="gramEnd"/>
    </w:p>
  </w:footnote>
  <w:footnote w:id="322">
    <w:p w:rsidR="001C15E8" w:rsidRPr="00FB62E1" w:rsidRDefault="001C15E8">
      <w:pPr>
        <w:pStyle w:val="FootnoteText"/>
        <w:rPr>
          <w:lang w:val="en-US"/>
        </w:rPr>
      </w:pPr>
      <w:r>
        <w:rPr>
          <w:rStyle w:val="FootnoteReference"/>
        </w:rPr>
        <w:footnoteRef/>
      </w:r>
      <w:r>
        <w:tab/>
      </w:r>
      <w:r w:rsidRPr="00382917">
        <w:t>Daniel</w:t>
      </w:r>
      <w:r>
        <w:t xml:space="preserve"> </w:t>
      </w:r>
      <w:r w:rsidRPr="00382917">
        <w:t>7:10;</w:t>
      </w:r>
      <w:r>
        <w:t xml:space="preserve"> </w:t>
      </w:r>
      <w:r w:rsidRPr="00382917">
        <w:t>13</w:t>
      </w:r>
      <w:r>
        <w:t>–</w:t>
      </w:r>
      <w:r w:rsidRPr="00382917">
        <w:t>14.</w:t>
      </w:r>
    </w:p>
  </w:footnote>
  <w:footnote w:id="323">
    <w:p w:rsidR="001C15E8" w:rsidRPr="00793528" w:rsidRDefault="001C15E8">
      <w:pPr>
        <w:pStyle w:val="FootnoteText"/>
        <w:rPr>
          <w:lang w:val="en-US"/>
        </w:rPr>
      </w:pPr>
      <w:r>
        <w:rPr>
          <w:rStyle w:val="FootnoteReference"/>
        </w:rPr>
        <w:footnoteRef/>
      </w:r>
      <w:r>
        <w:tab/>
      </w:r>
      <w:r w:rsidRPr="00382917">
        <w:t>Isaiah</w:t>
      </w:r>
      <w:r>
        <w:t xml:space="preserve"> </w:t>
      </w:r>
      <w:r w:rsidRPr="00382917">
        <w:t>62:2</w:t>
      </w:r>
      <w:r>
        <w:t xml:space="preserve"> </w:t>
      </w:r>
      <w:r w:rsidRPr="00382917">
        <w:t>and</w:t>
      </w:r>
      <w:r>
        <w:t xml:space="preserve"> </w:t>
      </w:r>
      <w:r w:rsidRPr="00382917">
        <w:t>65:15.</w:t>
      </w:r>
    </w:p>
  </w:footnote>
  <w:footnote w:id="324">
    <w:p w:rsidR="001C15E8" w:rsidRPr="00793528" w:rsidRDefault="001C15E8">
      <w:pPr>
        <w:pStyle w:val="FootnoteText"/>
        <w:rPr>
          <w:lang w:val="en-US"/>
        </w:rPr>
      </w:pPr>
      <w:r>
        <w:rPr>
          <w:rStyle w:val="FootnoteReference"/>
        </w:rPr>
        <w:footnoteRef/>
      </w:r>
      <w:r>
        <w:tab/>
      </w:r>
      <w:r w:rsidRPr="00382917">
        <w:t>Revelation</w:t>
      </w:r>
      <w:r>
        <w:t xml:space="preserve"> </w:t>
      </w:r>
      <w:r w:rsidRPr="00382917">
        <w:t>2:17;</w:t>
      </w:r>
      <w:r>
        <w:t xml:space="preserve"> </w:t>
      </w:r>
      <w:r w:rsidRPr="00382917">
        <w:t>3:3,</w:t>
      </w:r>
      <w:r>
        <w:t xml:space="preserve"> </w:t>
      </w:r>
      <w:r w:rsidRPr="00382917">
        <w:t>12;</w:t>
      </w:r>
      <w:r>
        <w:t xml:space="preserve"> </w:t>
      </w:r>
      <w:r w:rsidRPr="00382917">
        <w:t>16:15.</w:t>
      </w:r>
    </w:p>
  </w:footnote>
  <w:footnote w:id="325">
    <w:p w:rsidR="001C15E8" w:rsidRPr="002B6A79" w:rsidRDefault="001C15E8">
      <w:pPr>
        <w:pStyle w:val="FootnoteText"/>
        <w:rPr>
          <w:lang w:val="en-US"/>
        </w:rPr>
      </w:pPr>
      <w:r>
        <w:rPr>
          <w:rStyle w:val="FootnoteReference"/>
        </w:rPr>
        <w:footnoteRef/>
      </w:r>
      <w:r>
        <w:tab/>
      </w:r>
      <w:r w:rsidRPr="00382917">
        <w:t>John</w:t>
      </w:r>
      <w:r>
        <w:t xml:space="preserve"> </w:t>
      </w:r>
      <w:r w:rsidRPr="00382917">
        <w:t>7:12.</w:t>
      </w:r>
    </w:p>
  </w:footnote>
  <w:footnote w:id="326">
    <w:p w:rsidR="001C15E8" w:rsidRPr="002B6A79" w:rsidRDefault="001C15E8">
      <w:pPr>
        <w:pStyle w:val="FootnoteText"/>
        <w:rPr>
          <w:lang w:val="en-US"/>
        </w:rPr>
      </w:pPr>
      <w:r>
        <w:rPr>
          <w:rStyle w:val="FootnoteReference"/>
        </w:rPr>
        <w:footnoteRef/>
      </w:r>
      <w:r>
        <w:tab/>
      </w:r>
      <w:proofErr w:type="gramStart"/>
      <w:r>
        <w:t>idem</w:t>
      </w:r>
      <w:proofErr w:type="gramEnd"/>
      <w:r w:rsidRPr="00382917">
        <w:t>,</w:t>
      </w:r>
      <w:r>
        <w:t xml:space="preserve"> </w:t>
      </w:r>
      <w:r w:rsidRPr="00382917">
        <w:t>6:66.</w:t>
      </w:r>
    </w:p>
  </w:footnote>
  <w:footnote w:id="327">
    <w:p w:rsidR="001C15E8" w:rsidRPr="002B6A79" w:rsidRDefault="001C15E8">
      <w:pPr>
        <w:pStyle w:val="FootnoteText"/>
        <w:rPr>
          <w:lang w:val="en-US"/>
        </w:rPr>
      </w:pPr>
      <w:r>
        <w:rPr>
          <w:rStyle w:val="FootnoteReference"/>
        </w:rPr>
        <w:footnoteRef/>
      </w:r>
      <w:r>
        <w:tab/>
      </w:r>
      <w:r w:rsidRPr="00382917">
        <w:t>Matthew</w:t>
      </w:r>
      <w:r>
        <w:t xml:space="preserve"> </w:t>
      </w:r>
      <w:r w:rsidRPr="00382917">
        <w:t>24:23</w:t>
      </w:r>
      <w:r>
        <w:t>–</w:t>
      </w:r>
      <w:r w:rsidRPr="00382917">
        <w:t>24.</w:t>
      </w:r>
    </w:p>
  </w:footnote>
  <w:footnote w:id="328">
    <w:p w:rsidR="001C15E8" w:rsidRPr="002B6A79" w:rsidRDefault="001C15E8">
      <w:pPr>
        <w:pStyle w:val="FootnoteText"/>
        <w:rPr>
          <w:lang w:val="en-US"/>
        </w:rPr>
      </w:pPr>
      <w:r>
        <w:rPr>
          <w:rStyle w:val="FootnoteReference"/>
        </w:rPr>
        <w:footnoteRef/>
      </w:r>
      <w:r>
        <w:tab/>
      </w:r>
      <w:r w:rsidRPr="00382917">
        <w:t>II</w:t>
      </w:r>
      <w:r>
        <w:t xml:space="preserve"> </w:t>
      </w:r>
      <w:r w:rsidRPr="00382917">
        <w:t>Thessalonians</w:t>
      </w:r>
      <w:r>
        <w:t xml:space="preserve"> </w:t>
      </w:r>
      <w:r w:rsidRPr="00382917">
        <w:t>2:3.</w:t>
      </w:r>
    </w:p>
  </w:footnote>
  <w:footnote w:id="329">
    <w:p w:rsidR="001C15E8" w:rsidRPr="00473693" w:rsidRDefault="001C15E8">
      <w:pPr>
        <w:pStyle w:val="FootnoteText"/>
        <w:rPr>
          <w:lang w:val="es-ES"/>
        </w:rPr>
      </w:pPr>
      <w:r>
        <w:rPr>
          <w:rStyle w:val="FootnoteReference"/>
        </w:rPr>
        <w:footnoteRef/>
      </w:r>
      <w:r w:rsidRPr="00473693">
        <w:rPr>
          <w:lang w:val="es-ES"/>
        </w:rPr>
        <w:tab/>
        <w:t>II Peter 2:1–2.</w:t>
      </w:r>
    </w:p>
  </w:footnote>
  <w:footnote w:id="330">
    <w:p w:rsidR="001C15E8" w:rsidRPr="00473693" w:rsidRDefault="001C15E8">
      <w:pPr>
        <w:pStyle w:val="FootnoteText"/>
        <w:rPr>
          <w:lang w:val="es-ES"/>
        </w:rPr>
      </w:pPr>
      <w:r>
        <w:rPr>
          <w:rStyle w:val="FootnoteReference"/>
        </w:rPr>
        <w:footnoteRef/>
      </w:r>
      <w:r w:rsidRPr="00473693">
        <w:rPr>
          <w:lang w:val="es-ES"/>
        </w:rPr>
        <w:tab/>
        <w:t>Amos 8:11–12.</w:t>
      </w:r>
    </w:p>
  </w:footnote>
  <w:footnote w:id="331">
    <w:p w:rsidR="001C15E8" w:rsidRPr="00473693" w:rsidRDefault="001C15E8">
      <w:pPr>
        <w:pStyle w:val="FootnoteText"/>
        <w:rPr>
          <w:lang w:val="es-ES"/>
        </w:rPr>
      </w:pPr>
      <w:r>
        <w:rPr>
          <w:rStyle w:val="FootnoteReference"/>
        </w:rPr>
        <w:footnoteRef/>
      </w:r>
      <w:r w:rsidRPr="00473693">
        <w:rPr>
          <w:lang w:val="es-ES"/>
        </w:rPr>
        <w:tab/>
        <w:t>II Peter 3:3–4.</w:t>
      </w:r>
    </w:p>
  </w:footnote>
  <w:footnote w:id="332">
    <w:p w:rsidR="001C15E8" w:rsidRPr="002B6A79" w:rsidRDefault="001C15E8">
      <w:pPr>
        <w:pStyle w:val="FootnoteText"/>
        <w:rPr>
          <w:lang w:val="en-US"/>
        </w:rPr>
      </w:pPr>
      <w:r>
        <w:rPr>
          <w:rStyle w:val="FootnoteReference"/>
        </w:rPr>
        <w:footnoteRef/>
      </w:r>
      <w:r>
        <w:tab/>
      </w:r>
      <w:r w:rsidRPr="00473693">
        <w:rPr>
          <w:lang w:val="en-AU"/>
        </w:rPr>
        <w:t>Mark 13:35–36.</w:t>
      </w:r>
    </w:p>
  </w:footnote>
  <w:footnote w:id="333">
    <w:p w:rsidR="001C15E8" w:rsidRPr="002B6A79" w:rsidRDefault="001C15E8">
      <w:pPr>
        <w:pStyle w:val="FootnoteText"/>
        <w:rPr>
          <w:lang w:val="en-US"/>
        </w:rPr>
      </w:pPr>
      <w:r>
        <w:rPr>
          <w:rStyle w:val="FootnoteReference"/>
        </w:rPr>
        <w:footnoteRef/>
      </w:r>
      <w:r>
        <w:tab/>
      </w:r>
      <w:proofErr w:type="gramStart"/>
      <w:r w:rsidRPr="00473693">
        <w:rPr>
          <w:lang w:val="en-AU"/>
        </w:rPr>
        <w:t>idem</w:t>
      </w:r>
      <w:proofErr w:type="gramEnd"/>
      <w:r w:rsidRPr="00473693">
        <w:rPr>
          <w:lang w:val="en-AU"/>
        </w:rPr>
        <w:t>, 13:37.</w:t>
      </w:r>
    </w:p>
  </w:footnote>
  <w:footnote w:id="334">
    <w:p w:rsidR="001C15E8" w:rsidRPr="002B6A79" w:rsidRDefault="001C15E8">
      <w:pPr>
        <w:pStyle w:val="FootnoteText"/>
        <w:rPr>
          <w:lang w:val="en-US"/>
        </w:rPr>
      </w:pPr>
      <w:r>
        <w:rPr>
          <w:rStyle w:val="FootnoteReference"/>
        </w:rPr>
        <w:footnoteRef/>
      </w:r>
      <w:r>
        <w:tab/>
      </w:r>
      <w:r w:rsidRPr="00382917">
        <w:t>Matthew</w:t>
      </w:r>
      <w:r>
        <w:t xml:space="preserve"> </w:t>
      </w:r>
      <w:r w:rsidRPr="00382917">
        <w:t>24:48</w:t>
      </w:r>
      <w:r>
        <w:t>–</w:t>
      </w:r>
      <w:r w:rsidRPr="00382917">
        <w:t>51.</w:t>
      </w:r>
    </w:p>
  </w:footnote>
  <w:footnote w:id="335">
    <w:p w:rsidR="001C15E8" w:rsidRPr="00956448" w:rsidRDefault="001C15E8">
      <w:pPr>
        <w:pStyle w:val="FootnoteText"/>
        <w:rPr>
          <w:lang w:val="en-US"/>
        </w:rPr>
      </w:pPr>
      <w:r>
        <w:rPr>
          <w:rStyle w:val="FootnoteReference"/>
        </w:rPr>
        <w:footnoteRef/>
      </w:r>
      <w:r>
        <w:tab/>
      </w:r>
      <w:proofErr w:type="gramStart"/>
      <w:r>
        <w:t>idem</w:t>
      </w:r>
      <w:proofErr w:type="gramEnd"/>
      <w:r w:rsidRPr="00382917">
        <w:t>,</w:t>
      </w:r>
      <w:r>
        <w:t xml:space="preserve"> </w:t>
      </w:r>
      <w:r w:rsidRPr="00382917">
        <w:t>7:15</w:t>
      </w:r>
      <w:r>
        <w:t>–</w:t>
      </w:r>
      <w:r w:rsidRPr="00382917">
        <w:t>20.</w:t>
      </w:r>
    </w:p>
  </w:footnote>
  <w:footnote w:id="336">
    <w:p w:rsidR="001C15E8" w:rsidRPr="00956448" w:rsidRDefault="001C15E8">
      <w:pPr>
        <w:pStyle w:val="FootnoteText"/>
        <w:rPr>
          <w:lang w:val="en-US"/>
        </w:rPr>
      </w:pPr>
      <w:r>
        <w:rPr>
          <w:rStyle w:val="FootnoteReference"/>
        </w:rPr>
        <w:footnoteRef/>
      </w:r>
      <w:r>
        <w:tab/>
      </w:r>
      <w:proofErr w:type="gramStart"/>
      <w:r w:rsidRPr="00956448">
        <w:rPr>
          <w:i/>
          <w:iCs/>
        </w:rPr>
        <w:t>Bahá’í World Faith</w:t>
      </w:r>
      <w:r w:rsidRPr="00382917">
        <w:t>,</w:t>
      </w:r>
      <w:r>
        <w:t xml:space="preserve"> </w:t>
      </w:r>
      <w:r w:rsidRPr="00382917">
        <w:t>p.</w:t>
      </w:r>
      <w:r>
        <w:t xml:space="preserve"> </w:t>
      </w:r>
      <w:r w:rsidRPr="00382917">
        <w:t>440.</w:t>
      </w:r>
      <w:proofErr w:type="gramEnd"/>
    </w:p>
  </w:footnote>
  <w:footnote w:id="337">
    <w:p w:rsidR="001C15E8" w:rsidRPr="00956448" w:rsidRDefault="001C15E8">
      <w:pPr>
        <w:pStyle w:val="FootnoteText"/>
        <w:rPr>
          <w:lang w:val="en-US"/>
        </w:rPr>
      </w:pPr>
      <w:r>
        <w:rPr>
          <w:rStyle w:val="FootnoteReference"/>
        </w:rPr>
        <w:footnoteRef/>
      </w:r>
      <w:r>
        <w:tab/>
      </w:r>
      <w:proofErr w:type="gramStart"/>
      <w:r w:rsidRPr="00382917">
        <w:t>Shoghi</w:t>
      </w:r>
      <w:r>
        <w:t xml:space="preserve"> </w:t>
      </w:r>
      <w:r w:rsidRPr="00382917">
        <w:t>Effendi,</w:t>
      </w:r>
      <w:r>
        <w:t xml:space="preserve"> </w:t>
      </w:r>
      <w:r w:rsidRPr="00956448">
        <w:rPr>
          <w:i/>
          <w:iCs/>
        </w:rPr>
        <w:t>The World Order of Bahá’u’lláh</w:t>
      </w:r>
      <w:r w:rsidRPr="00382917">
        <w:t>,</w:t>
      </w:r>
      <w:r>
        <w:t xml:space="preserve"> </w:t>
      </w:r>
      <w:r w:rsidRPr="00382917">
        <w:t>p.</w:t>
      </w:r>
      <w:r>
        <w:t xml:space="preserve"> </w:t>
      </w:r>
      <w:r w:rsidRPr="00382917">
        <w:t>65.</w:t>
      </w:r>
      <w:proofErr w:type="gramEnd"/>
    </w:p>
  </w:footnote>
  <w:footnote w:id="338">
    <w:p w:rsidR="001C15E8" w:rsidRPr="00956448" w:rsidRDefault="001C15E8" w:rsidP="003B55DD">
      <w:pPr>
        <w:pStyle w:val="FootnoteText"/>
        <w:rPr>
          <w:lang w:val="en-US"/>
        </w:rPr>
      </w:pPr>
      <w:r>
        <w:rPr>
          <w:rStyle w:val="FootnoteReference"/>
        </w:rPr>
        <w:footnoteRef/>
      </w:r>
      <w:r>
        <w:tab/>
        <w:t xml:space="preserve">Bahá’u’lláh, </w:t>
      </w:r>
      <w:r w:rsidRPr="003B55DD">
        <w:rPr>
          <w:i/>
          <w:iCs/>
        </w:rPr>
        <w:t>Days of Remembrance</w:t>
      </w:r>
      <w:r w:rsidRPr="003B55DD">
        <w:t>, para</w:t>
      </w:r>
      <w:proofErr w:type="gramStart"/>
      <w:r w:rsidRPr="003B55DD">
        <w:t xml:space="preserve">. </w:t>
      </w:r>
      <w:proofErr w:type="gramEnd"/>
      <w:r w:rsidRPr="003B55DD">
        <w:t>32.4, p. 159.</w:t>
      </w:r>
    </w:p>
  </w:footnote>
  <w:footnote w:id="339">
    <w:p w:rsidR="001C15E8" w:rsidRPr="00A55E11" w:rsidRDefault="001C15E8">
      <w:pPr>
        <w:pStyle w:val="FootnoteText"/>
        <w:rPr>
          <w:lang w:val="en-US"/>
        </w:rPr>
      </w:pPr>
      <w:r>
        <w:rPr>
          <w:rStyle w:val="FootnoteReference"/>
        </w:rPr>
        <w:footnoteRef/>
      </w:r>
      <w:r>
        <w:tab/>
      </w:r>
      <w:proofErr w:type="gramStart"/>
      <w:r w:rsidRPr="00A55E11">
        <w:rPr>
          <w:i/>
          <w:iCs/>
        </w:rPr>
        <w:t>Gleanings from the Writings of Bahá’u’lláh</w:t>
      </w:r>
      <w:r w:rsidRPr="00382917">
        <w:t>,</w:t>
      </w:r>
      <w:r>
        <w:t xml:space="preserve"> </w:t>
      </w:r>
      <w:r w:rsidRPr="00382917">
        <w:t>p.</w:t>
      </w:r>
      <w:r>
        <w:t xml:space="preserve"> </w:t>
      </w:r>
      <w:r w:rsidRPr="00382917">
        <w:t>101.</w:t>
      </w:r>
      <w:proofErr w:type="gramEnd"/>
    </w:p>
  </w:footnote>
  <w:footnote w:id="340">
    <w:p w:rsidR="001C15E8" w:rsidRPr="00A55E11" w:rsidRDefault="001C15E8">
      <w:pPr>
        <w:pStyle w:val="FootnoteText"/>
        <w:rPr>
          <w:lang w:val="en-US"/>
        </w:rPr>
      </w:pPr>
      <w:r>
        <w:rPr>
          <w:rStyle w:val="FootnoteReference"/>
        </w:rPr>
        <w:footnoteRef/>
      </w:r>
      <w:r>
        <w:tab/>
      </w:r>
      <w:proofErr w:type="gramStart"/>
      <w:r>
        <w:t>idem</w:t>
      </w:r>
      <w:proofErr w:type="gramEnd"/>
      <w:r w:rsidRPr="00382917">
        <w:t>,</w:t>
      </w:r>
      <w:r>
        <w:t xml:space="preserve"> </w:t>
      </w:r>
      <w:r w:rsidRPr="00382917">
        <w:t>p.</w:t>
      </w:r>
      <w:r>
        <w:t xml:space="preserve"> </w:t>
      </w:r>
      <w:r w:rsidRPr="00382917">
        <w:t>95.</w:t>
      </w:r>
    </w:p>
  </w:footnote>
  <w:footnote w:id="341">
    <w:p w:rsidR="001C15E8" w:rsidRPr="00A55E11" w:rsidRDefault="001C15E8" w:rsidP="003B55DD">
      <w:pPr>
        <w:pStyle w:val="FootnoteText"/>
        <w:rPr>
          <w:lang w:val="en-US"/>
        </w:rPr>
      </w:pPr>
      <w:r>
        <w:rPr>
          <w:rStyle w:val="FootnoteReference"/>
        </w:rPr>
        <w:footnoteRef/>
      </w:r>
      <w:r>
        <w:tab/>
      </w:r>
      <w:proofErr w:type="gramStart"/>
      <w:r>
        <w:t xml:space="preserve">Bahá’u’lláh, </w:t>
      </w:r>
      <w:r w:rsidRPr="003B55DD">
        <w:rPr>
          <w:i/>
          <w:iCs/>
        </w:rPr>
        <w:t>Bahá’í World Faith</w:t>
      </w:r>
      <w:r w:rsidRPr="00382917">
        <w:t>,</w:t>
      </w:r>
      <w:r>
        <w:t xml:space="preserve"> </w:t>
      </w:r>
      <w:r w:rsidRPr="00382917">
        <w:t>p</w:t>
      </w:r>
      <w:r>
        <w:t>p</w:t>
      </w:r>
      <w:r w:rsidRPr="00382917">
        <w:t>.</w:t>
      </w:r>
      <w:r>
        <w:t xml:space="preserve"> </w:t>
      </w:r>
      <w:r w:rsidRPr="00382917">
        <w:t>1</w:t>
      </w:r>
      <w:r>
        <w:t>80 &amp; 174</w:t>
      </w:r>
      <w:r w:rsidRPr="00382917">
        <w:t>.</w:t>
      </w:r>
      <w:proofErr w:type="gramEnd"/>
    </w:p>
  </w:footnote>
  <w:footnote w:id="342">
    <w:p w:rsidR="001C15E8" w:rsidRPr="0037470A" w:rsidRDefault="001C15E8">
      <w:pPr>
        <w:pStyle w:val="FootnoteText"/>
        <w:rPr>
          <w:lang w:val="en-US"/>
        </w:rPr>
      </w:pPr>
      <w:r>
        <w:rPr>
          <w:rStyle w:val="FootnoteReference"/>
        </w:rPr>
        <w:footnoteRef/>
      </w:r>
      <w:r>
        <w:tab/>
      </w:r>
      <w:proofErr w:type="gramStart"/>
      <w:r>
        <w:t xml:space="preserve">Bahá’u’lláh, </w:t>
      </w:r>
      <w:r w:rsidRPr="00D606B4">
        <w:rPr>
          <w:i/>
          <w:iCs/>
        </w:rPr>
        <w:t>The Kitáb-i-Íqán</w:t>
      </w:r>
      <w:r>
        <w:t>, p. 97.</w:t>
      </w:r>
      <w:proofErr w:type="gramEnd"/>
    </w:p>
  </w:footnote>
  <w:footnote w:id="343">
    <w:p w:rsidR="001C15E8" w:rsidRPr="0037470A" w:rsidRDefault="001C15E8" w:rsidP="008C015E">
      <w:pPr>
        <w:pStyle w:val="FootnoteText"/>
        <w:rPr>
          <w:lang w:val="en-US"/>
        </w:rPr>
      </w:pPr>
      <w:r>
        <w:rPr>
          <w:rStyle w:val="FootnoteReference"/>
        </w:rPr>
        <w:footnoteRef/>
      </w:r>
      <w:r>
        <w:tab/>
      </w:r>
      <w:proofErr w:type="gramStart"/>
      <w:r>
        <w:t xml:space="preserve">Bahá’u’lláh, </w:t>
      </w:r>
      <w:r w:rsidRPr="0037470A">
        <w:rPr>
          <w:i/>
          <w:iCs/>
        </w:rPr>
        <w:t xml:space="preserve">Tablets of </w:t>
      </w:r>
      <w:r>
        <w:rPr>
          <w:i/>
          <w:iCs/>
        </w:rPr>
        <w:t>Bahá’u’lláh</w:t>
      </w:r>
      <w:r>
        <w:t>, p. 156.</w:t>
      </w:r>
      <w:proofErr w:type="gramEnd"/>
    </w:p>
  </w:footnote>
  <w:footnote w:id="344">
    <w:p w:rsidR="001C15E8" w:rsidRPr="0037470A" w:rsidRDefault="001C15E8" w:rsidP="0010766C">
      <w:pPr>
        <w:pStyle w:val="FootnoteText"/>
        <w:rPr>
          <w:lang w:val="en-US"/>
        </w:rPr>
      </w:pPr>
      <w:r>
        <w:rPr>
          <w:rStyle w:val="FootnoteReference"/>
        </w:rPr>
        <w:footnoteRef/>
      </w:r>
      <w:r>
        <w:tab/>
      </w:r>
      <w:proofErr w:type="gramStart"/>
      <w:r>
        <w:t xml:space="preserve">Bahá’u’lláh, </w:t>
      </w:r>
      <w:r w:rsidRPr="0037470A">
        <w:rPr>
          <w:i/>
          <w:iCs/>
        </w:rPr>
        <w:t>Gleanings from the Writings of Bahá’u’lláh</w:t>
      </w:r>
      <w:r>
        <w:t>, p. 305.</w:t>
      </w:r>
      <w:proofErr w:type="gramEnd"/>
    </w:p>
  </w:footnote>
  <w:footnote w:id="345">
    <w:p w:rsidR="001C15E8" w:rsidRPr="0010766C" w:rsidRDefault="001C15E8" w:rsidP="0010766C">
      <w:pPr>
        <w:pStyle w:val="FootnoteText"/>
      </w:pPr>
      <w:r>
        <w:rPr>
          <w:rStyle w:val="FootnoteReference"/>
        </w:rPr>
        <w:footnoteRef/>
      </w:r>
      <w:r>
        <w:tab/>
        <w:t xml:space="preserve">‘Abdu’l-Bahá, </w:t>
      </w:r>
      <w:r w:rsidRPr="0010766C">
        <w:rPr>
          <w:i/>
          <w:iCs/>
        </w:rPr>
        <w:t>Selections from the Writings of ‘Abdu’l-Bahá</w:t>
      </w:r>
      <w:r>
        <w:t>, p. 10.</w:t>
      </w:r>
    </w:p>
  </w:footnote>
  <w:footnote w:id="346">
    <w:p w:rsidR="001C15E8" w:rsidRPr="008C015E" w:rsidRDefault="001C15E8" w:rsidP="008C015E">
      <w:pPr>
        <w:pStyle w:val="FootnoteText"/>
        <w:rPr>
          <w:lang w:val="en-US"/>
        </w:rPr>
      </w:pPr>
      <w:r>
        <w:rPr>
          <w:rStyle w:val="FootnoteReference"/>
        </w:rPr>
        <w:footnoteRef/>
      </w:r>
      <w:r>
        <w:tab/>
      </w:r>
      <w:proofErr w:type="gramStart"/>
      <w:r>
        <w:t xml:space="preserve">Bahá’u’lláh, </w:t>
      </w:r>
      <w:r w:rsidRPr="0037470A">
        <w:rPr>
          <w:i/>
          <w:iCs/>
        </w:rPr>
        <w:t xml:space="preserve">Tablets of </w:t>
      </w:r>
      <w:r>
        <w:rPr>
          <w:i/>
          <w:iCs/>
        </w:rPr>
        <w:t>Bahá’u’lláh</w:t>
      </w:r>
      <w:r>
        <w:t>, p. 36.</w:t>
      </w:r>
      <w:proofErr w:type="gramEnd"/>
    </w:p>
  </w:footnote>
  <w:footnote w:id="347">
    <w:p w:rsidR="001C15E8" w:rsidRPr="008C015E" w:rsidRDefault="001C15E8" w:rsidP="00216B5C">
      <w:pPr>
        <w:pStyle w:val="FootnoteText"/>
        <w:rPr>
          <w:lang w:val="en-US"/>
        </w:rPr>
      </w:pPr>
      <w:r>
        <w:rPr>
          <w:rStyle w:val="FootnoteReference"/>
        </w:rPr>
        <w:footnoteRef/>
      </w:r>
      <w:r>
        <w:tab/>
      </w:r>
      <w:proofErr w:type="gramStart"/>
      <w:r>
        <w:t xml:space="preserve">Bahá’u’lláh in Shoghi Effendi, </w:t>
      </w:r>
      <w:r w:rsidRPr="007A6115">
        <w:rPr>
          <w:i/>
          <w:iCs/>
        </w:rPr>
        <w:t>Bahá’í World Faith</w:t>
      </w:r>
      <w:r w:rsidRPr="008C015E">
        <w:t>, p.</w:t>
      </w:r>
      <w:r>
        <w:t xml:space="preserve"> 168.</w:t>
      </w:r>
      <w:proofErr w:type="gramEnd"/>
    </w:p>
  </w:footnote>
  <w:footnote w:id="348">
    <w:p w:rsidR="001C15E8" w:rsidRPr="008C015E" w:rsidRDefault="001C15E8" w:rsidP="00216B5C">
      <w:pPr>
        <w:pStyle w:val="FootnoteText"/>
        <w:rPr>
          <w:lang w:val="en-US"/>
        </w:rPr>
      </w:pPr>
      <w:r>
        <w:rPr>
          <w:rStyle w:val="FootnoteReference"/>
        </w:rPr>
        <w:footnoteRef/>
      </w:r>
      <w:r>
        <w:tab/>
      </w:r>
      <w:proofErr w:type="gramStart"/>
      <w:r>
        <w:t xml:space="preserve">Bahá’u’lláh in Shoghi Effendi, </w:t>
      </w:r>
      <w:r w:rsidRPr="007A6115">
        <w:rPr>
          <w:i/>
          <w:iCs/>
        </w:rPr>
        <w:t>Bahá’í World Faith</w:t>
      </w:r>
      <w:r w:rsidRPr="008C015E">
        <w:t>, p.</w:t>
      </w:r>
      <w:r>
        <w:t xml:space="preserve"> 169.</w:t>
      </w:r>
      <w:proofErr w:type="gramEnd"/>
    </w:p>
  </w:footnote>
  <w:footnote w:id="349">
    <w:p w:rsidR="001C15E8" w:rsidRPr="001D79C2" w:rsidRDefault="001C15E8">
      <w:pPr>
        <w:pStyle w:val="FootnoteText"/>
        <w:rPr>
          <w:lang w:val="en-US"/>
        </w:rPr>
      </w:pPr>
      <w:r>
        <w:rPr>
          <w:rStyle w:val="FootnoteReference"/>
        </w:rPr>
        <w:footnoteRef/>
      </w:r>
      <w:r>
        <w:tab/>
      </w:r>
      <w:r w:rsidRPr="00382917">
        <w:t>‘Abdul-Bahá,</w:t>
      </w:r>
      <w:r>
        <w:t xml:space="preserve"> </w:t>
      </w:r>
      <w:r w:rsidRPr="001D79C2">
        <w:rPr>
          <w:i/>
          <w:iCs/>
        </w:rPr>
        <w:t>Paris Talks</w:t>
      </w:r>
      <w:r w:rsidRPr="00382917">
        <w:t>,</w:t>
      </w:r>
      <w:r>
        <w:t xml:space="preserve"> </w:t>
      </w:r>
      <w:r w:rsidRPr="00382917">
        <w:t>p.</w:t>
      </w:r>
      <w:r>
        <w:t xml:space="preserve"> </w:t>
      </w:r>
      <w:r w:rsidRPr="00382917">
        <w:t>16.</w:t>
      </w:r>
    </w:p>
  </w:footnote>
  <w:footnote w:id="350">
    <w:p w:rsidR="001C15E8" w:rsidRPr="001D79C2" w:rsidRDefault="001C15E8">
      <w:pPr>
        <w:pStyle w:val="FootnoteText"/>
        <w:rPr>
          <w:lang w:val="en-US"/>
        </w:rPr>
      </w:pPr>
      <w:r>
        <w:rPr>
          <w:rStyle w:val="FootnoteReference"/>
        </w:rPr>
        <w:footnoteRef/>
      </w:r>
      <w:r>
        <w:tab/>
      </w:r>
      <w:r w:rsidRPr="00382917">
        <w:t>‘Abdu’l-Bahá,</w:t>
      </w:r>
      <w:r>
        <w:t xml:space="preserve"> </w:t>
      </w:r>
      <w:proofErr w:type="gramStart"/>
      <w:r w:rsidRPr="001D79C2">
        <w:rPr>
          <w:i/>
          <w:iCs/>
        </w:rPr>
        <w:t>The</w:t>
      </w:r>
      <w:proofErr w:type="gramEnd"/>
      <w:r w:rsidRPr="001D79C2">
        <w:rPr>
          <w:i/>
          <w:iCs/>
        </w:rPr>
        <w:t xml:space="preserve"> Promulgation of Universal Peace</w:t>
      </w:r>
      <w:r w:rsidRPr="00382917">
        <w:t>,</w:t>
      </w:r>
      <w:r>
        <w:t xml:space="preserve"> </w:t>
      </w:r>
      <w:r w:rsidRPr="00382917">
        <w:t>p.</w:t>
      </w:r>
      <w:r>
        <w:t xml:space="preserve"> </w:t>
      </w:r>
      <w:r w:rsidRPr="00382917">
        <w:t>199.</w:t>
      </w:r>
    </w:p>
  </w:footnote>
  <w:footnote w:id="351">
    <w:p w:rsidR="001C15E8" w:rsidRPr="0075274D" w:rsidRDefault="001C15E8">
      <w:pPr>
        <w:pStyle w:val="FootnoteText"/>
        <w:rPr>
          <w:lang w:val="en-US"/>
        </w:rPr>
      </w:pPr>
      <w:r>
        <w:rPr>
          <w:rStyle w:val="FootnoteReference"/>
        </w:rPr>
        <w:footnoteRef/>
      </w:r>
      <w:r>
        <w:tab/>
      </w:r>
      <w:proofErr w:type="gramStart"/>
      <w:r w:rsidRPr="0075274D">
        <w:rPr>
          <w:i/>
          <w:iCs/>
        </w:rPr>
        <w:t>Gleanings from the Writings of Bahá’u’lláh</w:t>
      </w:r>
      <w:r w:rsidRPr="00382917">
        <w:t>,</w:t>
      </w:r>
      <w:r>
        <w:t xml:space="preserve"> </w:t>
      </w:r>
      <w:r w:rsidRPr="00382917">
        <w:t>p.</w:t>
      </w:r>
      <w:r>
        <w:t xml:space="preserve"> </w:t>
      </w:r>
      <w:r w:rsidRPr="00382917">
        <w:t>285.</w:t>
      </w:r>
      <w:proofErr w:type="gramEnd"/>
    </w:p>
  </w:footnote>
  <w:footnote w:id="352">
    <w:p w:rsidR="001C15E8" w:rsidRPr="00C20B51" w:rsidRDefault="001C15E8">
      <w:pPr>
        <w:pStyle w:val="FootnoteText"/>
        <w:rPr>
          <w:lang w:val="en-US"/>
        </w:rPr>
      </w:pPr>
      <w:r>
        <w:rPr>
          <w:rStyle w:val="FootnoteReference"/>
        </w:rPr>
        <w:footnoteRef/>
      </w:r>
      <w:r>
        <w:tab/>
      </w:r>
      <w:proofErr w:type="gramStart"/>
      <w:r w:rsidRPr="00C20B51">
        <w:rPr>
          <w:i/>
          <w:iCs/>
        </w:rPr>
        <w:t>Bahá’í World Faith</w:t>
      </w:r>
      <w:r w:rsidRPr="00382917">
        <w:t>,</w:t>
      </w:r>
      <w:r>
        <w:t xml:space="preserve"> </w:t>
      </w:r>
      <w:r w:rsidRPr="00382917">
        <w:t>p.</w:t>
      </w:r>
      <w:r>
        <w:t xml:space="preserve"> </w:t>
      </w:r>
      <w:r w:rsidRPr="00382917">
        <w:t>189.</w:t>
      </w:r>
      <w:proofErr w:type="gramEnd"/>
    </w:p>
  </w:footnote>
  <w:footnote w:id="353">
    <w:p w:rsidR="001C15E8" w:rsidRPr="00C20B51" w:rsidRDefault="001C15E8">
      <w:pPr>
        <w:pStyle w:val="FootnoteText"/>
        <w:rPr>
          <w:lang w:val="en-US"/>
        </w:rPr>
      </w:pPr>
      <w:r>
        <w:rPr>
          <w:rStyle w:val="FootnoteReference"/>
        </w:rPr>
        <w:footnoteRef/>
      </w:r>
      <w:r>
        <w:tab/>
      </w:r>
      <w:r w:rsidRPr="00382917">
        <w:t>Zephaniah</w:t>
      </w:r>
      <w:r>
        <w:t xml:space="preserve"> </w:t>
      </w:r>
      <w:r w:rsidRPr="00382917">
        <w:t>3:8</w:t>
      </w:r>
      <w:r>
        <w:t>–</w:t>
      </w:r>
      <w:r w:rsidRPr="00382917">
        <w:t>9.</w:t>
      </w:r>
    </w:p>
  </w:footnote>
  <w:footnote w:id="354">
    <w:p w:rsidR="001C15E8" w:rsidRPr="00C20B51" w:rsidRDefault="001C15E8">
      <w:pPr>
        <w:pStyle w:val="FootnoteText"/>
        <w:rPr>
          <w:lang w:val="en-US"/>
        </w:rPr>
      </w:pPr>
      <w:r>
        <w:rPr>
          <w:rStyle w:val="FootnoteReference"/>
        </w:rPr>
        <w:footnoteRef/>
      </w:r>
      <w:r>
        <w:tab/>
      </w:r>
      <w:proofErr w:type="gramStart"/>
      <w:r w:rsidRPr="00382917">
        <w:t>Shoghi</w:t>
      </w:r>
      <w:r>
        <w:t xml:space="preserve"> </w:t>
      </w:r>
      <w:r w:rsidRPr="00382917">
        <w:t>Effendi,</w:t>
      </w:r>
      <w:r>
        <w:t xml:space="preserve"> </w:t>
      </w:r>
      <w:r w:rsidRPr="00C20B51">
        <w:rPr>
          <w:i/>
          <w:iCs/>
        </w:rPr>
        <w:t>The World Order of Bahá’u’lláh</w:t>
      </w:r>
      <w:r w:rsidRPr="00382917">
        <w:t>,</w:t>
      </w:r>
      <w:r>
        <w:t xml:space="preserve"> </w:t>
      </w:r>
      <w:r w:rsidRPr="00382917">
        <w:t>p.</w:t>
      </w:r>
      <w:r>
        <w:t xml:space="preserve"> </w:t>
      </w:r>
      <w:r w:rsidRPr="00382917">
        <w:t>204.</w:t>
      </w:r>
      <w:proofErr w:type="gramEnd"/>
    </w:p>
  </w:footnote>
  <w:footnote w:id="355">
    <w:p w:rsidR="001C15E8" w:rsidRPr="005D0F7B" w:rsidRDefault="001C15E8">
      <w:pPr>
        <w:pStyle w:val="FootnoteText"/>
        <w:rPr>
          <w:lang w:val="en-US"/>
        </w:rPr>
      </w:pPr>
      <w:r>
        <w:rPr>
          <w:rStyle w:val="FootnoteReference"/>
        </w:rPr>
        <w:footnoteRef/>
      </w:r>
      <w:r>
        <w:tab/>
      </w:r>
      <w:r w:rsidRPr="00382917">
        <w:t>Read</w:t>
      </w:r>
      <w:r>
        <w:t xml:space="preserve">:  </w:t>
      </w:r>
      <w:r w:rsidRPr="005D0F7B">
        <w:rPr>
          <w:i/>
          <w:iCs/>
        </w:rPr>
        <w:t>Gleanings from the Writings of Bahá’u’lláh</w:t>
      </w:r>
      <w:r w:rsidRPr="00382917">
        <w:t>,</w:t>
      </w:r>
      <w:r>
        <w:t xml:space="preserve"> </w:t>
      </w:r>
      <w:r w:rsidRPr="005D0F7B">
        <w:rPr>
          <w:i/>
          <w:iCs/>
        </w:rPr>
        <w:t>The Hidden Words</w:t>
      </w:r>
      <w:r w:rsidRPr="00382917">
        <w:t>,</w:t>
      </w:r>
      <w:r>
        <w:t xml:space="preserve"> </w:t>
      </w:r>
      <w:r w:rsidRPr="005D0F7B">
        <w:rPr>
          <w:i/>
          <w:iCs/>
        </w:rPr>
        <w:t>Reality of Man</w:t>
      </w:r>
      <w:r w:rsidRPr="00382917">
        <w:t>,</w:t>
      </w:r>
      <w:r>
        <w:t xml:space="preserve"> </w:t>
      </w:r>
      <w:r w:rsidRPr="005D0F7B">
        <w:rPr>
          <w:i/>
          <w:iCs/>
        </w:rPr>
        <w:t>Life after Death</w:t>
      </w:r>
      <w:r w:rsidRPr="00382917">
        <w:t>,</w:t>
      </w:r>
      <w:r>
        <w:t xml:space="preserve"> </w:t>
      </w:r>
      <w:r w:rsidRPr="005D0F7B">
        <w:rPr>
          <w:i/>
          <w:iCs/>
        </w:rPr>
        <w:t>The Bahá’í World Faith</w:t>
      </w:r>
      <w:r w:rsidRPr="00382917">
        <w:t>,</w:t>
      </w:r>
      <w:r>
        <w:t xml:space="preserve"> and </w:t>
      </w:r>
      <w:r w:rsidRPr="005D0F7B">
        <w:rPr>
          <w:i/>
          <w:iCs/>
        </w:rPr>
        <w:t>Some Answered Questions</w:t>
      </w:r>
      <w:r w:rsidRPr="00382917">
        <w:t>.</w:t>
      </w:r>
    </w:p>
  </w:footnote>
  <w:footnote w:id="356">
    <w:p w:rsidR="001C15E8" w:rsidRPr="005D0F7B" w:rsidRDefault="001C15E8">
      <w:pPr>
        <w:pStyle w:val="FootnoteText"/>
        <w:rPr>
          <w:lang w:val="en-US"/>
        </w:rPr>
      </w:pPr>
      <w:r>
        <w:rPr>
          <w:rStyle w:val="FootnoteReference"/>
        </w:rPr>
        <w:footnoteRef/>
      </w:r>
      <w:r>
        <w:tab/>
      </w:r>
      <w:r w:rsidRPr="00382917">
        <w:t>C.</w:t>
      </w:r>
      <w:r>
        <w:t xml:space="preserve"> </w:t>
      </w:r>
      <w:r w:rsidRPr="00382917">
        <w:t>C.</w:t>
      </w:r>
      <w:r>
        <w:t xml:space="preserve"> </w:t>
      </w:r>
      <w:r w:rsidRPr="00382917">
        <w:t>Hurst,</w:t>
      </w:r>
      <w:r>
        <w:t xml:space="preserve"> </w:t>
      </w:r>
      <w:r w:rsidRPr="005D0F7B">
        <w:rPr>
          <w:i/>
          <w:iCs/>
        </w:rPr>
        <w:t>Heredity, the Ascent of Man</w:t>
      </w:r>
      <w:r w:rsidRPr="00382917">
        <w:t>,</w:t>
      </w:r>
      <w:r>
        <w:t xml:space="preserve"> </w:t>
      </w:r>
      <w:r w:rsidRPr="00382917">
        <w:t>pp.</w:t>
      </w:r>
      <w:r>
        <w:t xml:space="preserve"> </w:t>
      </w:r>
      <w:r w:rsidRPr="00382917">
        <w:t>32,</w:t>
      </w:r>
      <w:r>
        <w:t xml:space="preserve"> </w:t>
      </w:r>
      <w:r w:rsidRPr="00382917">
        <w:t>35,</w:t>
      </w:r>
      <w:r>
        <w:t xml:space="preserve"> </w:t>
      </w:r>
      <w:r w:rsidRPr="00382917">
        <w:t>131.</w:t>
      </w:r>
    </w:p>
  </w:footnote>
  <w:footnote w:id="357">
    <w:p w:rsidR="001C15E8" w:rsidRPr="005D0F7B" w:rsidRDefault="001C15E8" w:rsidP="005D0F7B">
      <w:pPr>
        <w:pStyle w:val="FootnoteText"/>
        <w:rPr>
          <w:lang w:val="en-US"/>
        </w:rPr>
      </w:pPr>
      <w:r>
        <w:rPr>
          <w:rStyle w:val="FootnoteReference"/>
        </w:rPr>
        <w:footnoteRef/>
      </w:r>
      <w:r>
        <w:tab/>
      </w:r>
      <w:r w:rsidRPr="00382917">
        <w:t>Arthur</w:t>
      </w:r>
      <w:r>
        <w:t xml:space="preserve"> </w:t>
      </w:r>
      <w:r w:rsidRPr="00382917">
        <w:t>H.</w:t>
      </w:r>
      <w:r>
        <w:t xml:space="preserve"> </w:t>
      </w:r>
      <w:r w:rsidRPr="00382917">
        <w:t>Compton,</w:t>
      </w:r>
      <w:r>
        <w:t xml:space="preserve"> </w:t>
      </w:r>
      <w:proofErr w:type="gramStart"/>
      <w:r w:rsidRPr="005D0F7B">
        <w:rPr>
          <w:i/>
          <w:iCs/>
        </w:rPr>
        <w:t>The</w:t>
      </w:r>
      <w:proofErr w:type="gramEnd"/>
      <w:r w:rsidRPr="005D0F7B">
        <w:rPr>
          <w:i/>
          <w:iCs/>
        </w:rPr>
        <w:t xml:space="preserve"> Freedom of Man</w:t>
      </w:r>
      <w:r w:rsidRPr="00382917">
        <w:t>,</w:t>
      </w:r>
      <w:r>
        <w:t xml:space="preserve"> </w:t>
      </w:r>
      <w:r w:rsidRPr="00382917">
        <w:t>pp.</w:t>
      </w:r>
      <w:r>
        <w:t xml:space="preserve"> </w:t>
      </w:r>
      <w:r w:rsidRPr="00382917">
        <w:t>121,</w:t>
      </w:r>
      <w:r>
        <w:t xml:space="preserve"> </w:t>
      </w:r>
      <w:r w:rsidRPr="00382917">
        <w:t>126.</w:t>
      </w:r>
    </w:p>
  </w:footnote>
  <w:footnote w:id="358">
    <w:p w:rsidR="001C15E8" w:rsidRPr="00E15D8C" w:rsidRDefault="001C15E8" w:rsidP="00E15D8C">
      <w:pPr>
        <w:pStyle w:val="FootnoteText"/>
        <w:rPr>
          <w:lang w:val="en-AU"/>
        </w:rPr>
      </w:pPr>
      <w:r>
        <w:rPr>
          <w:rStyle w:val="FootnoteReference"/>
        </w:rPr>
        <w:footnoteRef/>
      </w:r>
      <w:r w:rsidRPr="00473693">
        <w:rPr>
          <w:lang w:val="en-AU"/>
        </w:rPr>
        <w:tab/>
      </w:r>
      <w:r w:rsidRPr="00473693">
        <w:rPr>
          <w:i/>
          <w:iCs/>
          <w:lang w:val="en-AU"/>
        </w:rPr>
        <w:t>Washington Star</w:t>
      </w:r>
      <w:r w:rsidRPr="00473693">
        <w:rPr>
          <w:lang w:val="en-AU"/>
        </w:rPr>
        <w:t xml:space="preserve">, Article 12, 1936.  </w:t>
      </w:r>
      <w:proofErr w:type="gramStart"/>
      <w:r w:rsidRPr="00E15D8C">
        <w:rPr>
          <w:lang w:val="en-AU"/>
        </w:rPr>
        <w:t xml:space="preserve">Quoted in Louise D. Boyle, </w:t>
      </w:r>
      <w:r>
        <w:rPr>
          <w:lang w:val="en-AU"/>
        </w:rPr>
        <w:t>“</w:t>
      </w:r>
      <w:r w:rsidRPr="00E15D8C">
        <w:rPr>
          <w:lang w:val="en-AU"/>
        </w:rPr>
        <w:t>Labor</w:t>
      </w:r>
      <w:r>
        <w:rPr>
          <w:lang w:val="en-AU"/>
        </w:rPr>
        <w:t>ator</w:t>
      </w:r>
      <w:r w:rsidRPr="00E15D8C">
        <w:rPr>
          <w:lang w:val="en-AU"/>
        </w:rPr>
        <w:t>y of L</w:t>
      </w:r>
      <w:r>
        <w:rPr>
          <w:lang w:val="en-AU"/>
        </w:rPr>
        <w:t xml:space="preserve">ife”, </w:t>
      </w:r>
      <w:r w:rsidRPr="00E15D8C">
        <w:rPr>
          <w:i/>
          <w:iCs/>
          <w:lang w:val="en-AU"/>
        </w:rPr>
        <w:t>World Order</w:t>
      </w:r>
      <w:r>
        <w:rPr>
          <w:lang w:val="en-AU"/>
        </w:rPr>
        <w:t>, November 1938, No. 8, p. 287.</w:t>
      </w:r>
      <w:proofErr w:type="gramEnd"/>
    </w:p>
  </w:footnote>
  <w:footnote w:id="359">
    <w:p w:rsidR="001C15E8" w:rsidRPr="00E15D8C" w:rsidRDefault="001C15E8">
      <w:pPr>
        <w:pStyle w:val="FootnoteText"/>
        <w:rPr>
          <w:lang w:val="en-US"/>
        </w:rPr>
      </w:pPr>
      <w:r>
        <w:rPr>
          <w:rStyle w:val="FootnoteReference"/>
        </w:rPr>
        <w:footnoteRef/>
      </w:r>
      <w:r>
        <w:tab/>
      </w:r>
      <w:proofErr w:type="gramStart"/>
      <w:r>
        <w:t xml:space="preserve">Bahá’u’lláh, </w:t>
      </w:r>
      <w:r w:rsidRPr="00E15D8C">
        <w:rPr>
          <w:i/>
          <w:iCs/>
        </w:rPr>
        <w:t>Bahá’í World Faith</w:t>
      </w:r>
      <w:r w:rsidRPr="00382917">
        <w:t>,</w:t>
      </w:r>
      <w:r>
        <w:t xml:space="preserve"> </w:t>
      </w:r>
      <w:r w:rsidRPr="00382917">
        <w:t>p.</w:t>
      </w:r>
      <w:r>
        <w:t xml:space="preserve"> </w:t>
      </w:r>
      <w:r w:rsidRPr="00382917">
        <w:t>195.</w:t>
      </w:r>
      <w:proofErr w:type="gramEnd"/>
    </w:p>
  </w:footnote>
  <w:footnote w:id="360">
    <w:p w:rsidR="001C15E8" w:rsidRPr="007F4BA4" w:rsidRDefault="001C15E8" w:rsidP="007F4BA4">
      <w:pPr>
        <w:pStyle w:val="FootnoteText"/>
        <w:rPr>
          <w:lang w:val="en-US"/>
        </w:rPr>
      </w:pPr>
      <w:r>
        <w:rPr>
          <w:rStyle w:val="FootnoteReference"/>
        </w:rPr>
        <w:footnoteRef/>
      </w:r>
      <w:r>
        <w:tab/>
      </w:r>
      <w:r w:rsidRPr="00382917">
        <w:t>E.</w:t>
      </w:r>
      <w:r>
        <w:t xml:space="preserve"> </w:t>
      </w:r>
      <w:r w:rsidRPr="00382917">
        <w:t>G.</w:t>
      </w:r>
      <w:r>
        <w:t xml:space="preserve"> </w:t>
      </w:r>
      <w:r w:rsidRPr="00382917">
        <w:t>Browne</w:t>
      </w:r>
      <w:r>
        <w:t>, “</w:t>
      </w:r>
      <w:r w:rsidRPr="00382917">
        <w:t>Introduction</w:t>
      </w:r>
      <w:r>
        <w:t xml:space="preserve">”, </w:t>
      </w:r>
      <w:r w:rsidRPr="001713B3">
        <w:rPr>
          <w:i/>
          <w:iCs/>
        </w:rPr>
        <w:t>A</w:t>
      </w:r>
      <w:r>
        <w:rPr>
          <w:i/>
          <w:iCs/>
        </w:rPr>
        <w:t xml:space="preserve"> </w:t>
      </w:r>
      <w:r w:rsidRPr="001713B3">
        <w:rPr>
          <w:i/>
          <w:iCs/>
        </w:rPr>
        <w:t>Traveller’s</w:t>
      </w:r>
      <w:r>
        <w:rPr>
          <w:i/>
          <w:iCs/>
        </w:rPr>
        <w:t xml:space="preserve"> </w:t>
      </w:r>
      <w:r w:rsidRPr="001713B3">
        <w:rPr>
          <w:i/>
          <w:iCs/>
        </w:rPr>
        <w:t>Narrative</w:t>
      </w:r>
      <w:r w:rsidRPr="00382917">
        <w:t>,</w:t>
      </w:r>
      <w:r>
        <w:t xml:space="preserve"> </w:t>
      </w:r>
      <w:r w:rsidRPr="00382917">
        <w:t>p</w:t>
      </w:r>
      <w:r>
        <w:t>p</w:t>
      </w:r>
      <w:r w:rsidRPr="00382917">
        <w:t>.</w:t>
      </w:r>
      <w:r>
        <w:t xml:space="preserve"> </w:t>
      </w:r>
      <w:r w:rsidRPr="00382917">
        <w:t>xxxix</w:t>
      </w:r>
      <w:r>
        <w:t>–xxx</w:t>
      </w:r>
      <w:r w:rsidRPr="00382917">
        <w:t>.</w:t>
      </w:r>
    </w:p>
  </w:footnote>
  <w:footnote w:id="361">
    <w:p w:rsidR="001C15E8" w:rsidRPr="00977A0A" w:rsidRDefault="001C15E8">
      <w:pPr>
        <w:pStyle w:val="FootnoteText"/>
        <w:rPr>
          <w:lang w:val="en-US"/>
        </w:rPr>
      </w:pPr>
      <w:r>
        <w:rPr>
          <w:rStyle w:val="FootnoteReference"/>
        </w:rPr>
        <w:footnoteRef/>
      </w:r>
      <w:r>
        <w:tab/>
      </w:r>
      <w:proofErr w:type="gramStart"/>
      <w:r w:rsidRPr="00382917">
        <w:t>Sir</w:t>
      </w:r>
      <w:r>
        <w:t xml:space="preserve"> </w:t>
      </w:r>
      <w:r w:rsidRPr="00382917">
        <w:t>James</w:t>
      </w:r>
      <w:r>
        <w:t xml:space="preserve"> </w:t>
      </w:r>
      <w:r w:rsidRPr="00382917">
        <w:t>Jeans,</w:t>
      </w:r>
      <w:r>
        <w:t xml:space="preserve"> </w:t>
      </w:r>
      <w:r w:rsidRPr="00977A0A">
        <w:rPr>
          <w:i/>
          <w:iCs/>
        </w:rPr>
        <w:t>Through Space and Time</w:t>
      </w:r>
      <w:r w:rsidRPr="00382917">
        <w:t>,</w:t>
      </w:r>
      <w:r>
        <w:t xml:space="preserve"> </w:t>
      </w:r>
      <w:r w:rsidRPr="00382917">
        <w:t>pp.</w:t>
      </w:r>
      <w:r>
        <w:t xml:space="preserve"> </w:t>
      </w:r>
      <w:r w:rsidRPr="00382917">
        <w:t>102,</w:t>
      </w:r>
      <w:r>
        <w:t xml:space="preserve"> </w:t>
      </w:r>
      <w:r w:rsidRPr="00382917">
        <w:t>154.</w:t>
      </w:r>
      <w:proofErr w:type="gramEnd"/>
    </w:p>
  </w:footnote>
  <w:footnote w:id="362">
    <w:p w:rsidR="001C15E8" w:rsidRPr="00473693" w:rsidRDefault="001C15E8" w:rsidP="00935EC1">
      <w:pPr>
        <w:pStyle w:val="FootnoteText"/>
        <w:rPr>
          <w:lang w:val="en-US"/>
        </w:rPr>
      </w:pPr>
      <w:r>
        <w:rPr>
          <w:rStyle w:val="FootnoteReference"/>
        </w:rPr>
        <w:footnoteRef/>
      </w:r>
      <w:r w:rsidRPr="00473693">
        <w:rPr>
          <w:lang w:val="en-US"/>
        </w:rPr>
        <w:tab/>
      </w:r>
      <w:r w:rsidRPr="00473693">
        <w:rPr>
          <w:i/>
          <w:iCs/>
          <w:lang w:val="en-US"/>
        </w:rPr>
        <w:t>Encyclopedia Americana</w:t>
      </w:r>
      <w:r w:rsidRPr="00473693">
        <w:rPr>
          <w:lang w:val="en-US"/>
        </w:rPr>
        <w:t xml:space="preserve">, vol. III, 1944 </w:t>
      </w:r>
      <w:proofErr w:type="spellStart"/>
      <w:proofErr w:type="gramStart"/>
      <w:r w:rsidRPr="00473693">
        <w:rPr>
          <w:lang w:val="en-US"/>
        </w:rPr>
        <w:t>edn</w:t>
      </w:r>
      <w:proofErr w:type="spellEnd"/>
      <w:r w:rsidRPr="00473693">
        <w:rPr>
          <w:lang w:val="en-US"/>
        </w:rPr>
        <w:t>.,</w:t>
      </w:r>
      <w:proofErr w:type="gramEnd"/>
      <w:r w:rsidRPr="00473693">
        <w:rPr>
          <w:lang w:val="en-US"/>
        </w:rPr>
        <w:t xml:space="preserve"> p. 691.</w:t>
      </w:r>
    </w:p>
  </w:footnote>
  <w:footnote w:id="363">
    <w:p w:rsidR="001C15E8" w:rsidRPr="00473693" w:rsidRDefault="001C15E8" w:rsidP="00216B5C">
      <w:pPr>
        <w:pStyle w:val="FootnoteText"/>
        <w:rPr>
          <w:lang w:val="en-US"/>
        </w:rPr>
      </w:pPr>
      <w:r>
        <w:rPr>
          <w:rStyle w:val="FootnoteReference"/>
        </w:rPr>
        <w:footnoteRef/>
      </w:r>
      <w:r w:rsidRPr="00473693">
        <w:rPr>
          <w:lang w:val="en-US"/>
        </w:rPr>
        <w:tab/>
      </w:r>
      <w:proofErr w:type="gramStart"/>
      <w:r>
        <w:t xml:space="preserve">Bahá’u’lláh in Shoghi Effendi, </w:t>
      </w:r>
      <w:r w:rsidRPr="007A6115">
        <w:rPr>
          <w:i/>
          <w:iCs/>
        </w:rPr>
        <w:t>Bahá’í World Faith</w:t>
      </w:r>
      <w:r w:rsidRPr="00473693">
        <w:rPr>
          <w:lang w:val="en-US"/>
        </w:rPr>
        <w:t>, p. 55.</w:t>
      </w:r>
      <w:proofErr w:type="gramEnd"/>
    </w:p>
  </w:footnote>
  <w:footnote w:id="364">
    <w:p w:rsidR="001C15E8" w:rsidRPr="00307488" w:rsidRDefault="001C15E8">
      <w:pPr>
        <w:pStyle w:val="FootnoteText"/>
        <w:rPr>
          <w:lang w:val="en-US"/>
        </w:rPr>
      </w:pPr>
      <w:r>
        <w:rPr>
          <w:rStyle w:val="FootnoteReference"/>
        </w:rPr>
        <w:footnoteRef/>
      </w:r>
      <w:r>
        <w:tab/>
      </w:r>
      <w:r w:rsidRPr="00382917">
        <w:t>Nabíl,</w:t>
      </w:r>
      <w:r>
        <w:t xml:space="preserve"> </w:t>
      </w:r>
      <w:proofErr w:type="gramStart"/>
      <w:r w:rsidRPr="00382917">
        <w:rPr>
          <w:i/>
          <w:iCs/>
        </w:rPr>
        <w:t>The</w:t>
      </w:r>
      <w:proofErr w:type="gramEnd"/>
      <w:r>
        <w:rPr>
          <w:i/>
          <w:iCs/>
        </w:rPr>
        <w:t xml:space="preserve"> </w:t>
      </w:r>
      <w:r w:rsidRPr="00382917">
        <w:rPr>
          <w:i/>
          <w:iCs/>
        </w:rPr>
        <w:t>Dawn-Breakers</w:t>
      </w:r>
      <w:r w:rsidRPr="00382917">
        <w:t>,</w:t>
      </w:r>
      <w:r>
        <w:t xml:space="preserve"> </w:t>
      </w:r>
      <w:r w:rsidRPr="00382917">
        <w:t>p.</w:t>
      </w:r>
      <w:r>
        <w:t xml:space="preserve"> </w:t>
      </w:r>
      <w:r w:rsidRPr="00382917">
        <w:t>322.</w:t>
      </w:r>
    </w:p>
  </w:footnote>
  <w:footnote w:id="365">
    <w:p w:rsidR="001C15E8" w:rsidRPr="00E63D4E" w:rsidRDefault="001C15E8">
      <w:pPr>
        <w:pStyle w:val="FootnoteText"/>
        <w:rPr>
          <w:lang w:val="en-US"/>
        </w:rPr>
      </w:pPr>
      <w:r>
        <w:rPr>
          <w:rStyle w:val="FootnoteReference"/>
        </w:rPr>
        <w:footnoteRef/>
      </w:r>
      <w:r>
        <w:tab/>
      </w:r>
      <w:r w:rsidRPr="00382917">
        <w:t>Genesis</w:t>
      </w:r>
      <w:r>
        <w:t xml:space="preserve"> </w:t>
      </w:r>
      <w:r w:rsidRPr="00382917">
        <w:t>17:18,</w:t>
      </w:r>
      <w:r>
        <w:t xml:space="preserve"> </w:t>
      </w:r>
      <w:r w:rsidRPr="00382917">
        <w:t>20.</w:t>
      </w:r>
    </w:p>
  </w:footnote>
  <w:footnote w:id="366">
    <w:p w:rsidR="001C15E8" w:rsidRPr="00A17F27" w:rsidRDefault="001C15E8">
      <w:pPr>
        <w:pStyle w:val="FootnoteText"/>
        <w:rPr>
          <w:lang w:val="en-US"/>
        </w:rPr>
      </w:pPr>
      <w:r>
        <w:rPr>
          <w:rStyle w:val="FootnoteReference"/>
        </w:rPr>
        <w:footnoteRef/>
      </w:r>
      <w:r>
        <w:tab/>
      </w:r>
      <w:r w:rsidRPr="00382917">
        <w:t>Shoghi</w:t>
      </w:r>
      <w:r>
        <w:t xml:space="preserve"> </w:t>
      </w:r>
      <w:r w:rsidRPr="00382917">
        <w:t>Effendi,</w:t>
      </w:r>
      <w:r>
        <w:t xml:space="preserve"> </w:t>
      </w:r>
      <w:r w:rsidRPr="001713B3">
        <w:rPr>
          <w:i/>
          <w:iCs/>
        </w:rPr>
        <w:t>God</w:t>
      </w:r>
      <w:r>
        <w:rPr>
          <w:i/>
          <w:iCs/>
        </w:rPr>
        <w:t xml:space="preserve"> </w:t>
      </w:r>
      <w:r w:rsidRPr="001713B3">
        <w:rPr>
          <w:i/>
          <w:iCs/>
        </w:rPr>
        <w:t>Passes</w:t>
      </w:r>
      <w:r>
        <w:rPr>
          <w:i/>
          <w:iCs/>
        </w:rPr>
        <w:t xml:space="preserve"> </w:t>
      </w:r>
      <w:r w:rsidRPr="001713B3">
        <w:rPr>
          <w:i/>
          <w:iCs/>
        </w:rPr>
        <w:t>By</w:t>
      </w:r>
      <w:r w:rsidRPr="00382917">
        <w:t>,</w:t>
      </w:r>
      <w:r>
        <w:t xml:space="preserve"> </w:t>
      </w:r>
      <w:r w:rsidRPr="00382917">
        <w:t>p.</w:t>
      </w:r>
      <w:r>
        <w:t xml:space="preserve"> </w:t>
      </w:r>
      <w:r w:rsidRPr="00382917">
        <w:t>94.</w:t>
      </w:r>
    </w:p>
  </w:footnote>
  <w:footnote w:id="367">
    <w:p w:rsidR="001C15E8" w:rsidRPr="00A17F27" w:rsidRDefault="001C15E8">
      <w:pPr>
        <w:pStyle w:val="FootnoteText"/>
        <w:rPr>
          <w:lang w:val="en-US"/>
        </w:rPr>
      </w:pPr>
      <w:r>
        <w:rPr>
          <w:rStyle w:val="FootnoteReference"/>
        </w:rPr>
        <w:footnoteRef/>
      </w:r>
      <w:r>
        <w:tab/>
      </w:r>
      <w:proofErr w:type="gramStart"/>
      <w:r w:rsidRPr="00382917">
        <w:t>Isaiah</w:t>
      </w:r>
      <w:r>
        <w:t xml:space="preserve"> </w:t>
      </w:r>
      <w:r w:rsidRPr="00382917">
        <w:t>11:1,</w:t>
      </w:r>
      <w:r>
        <w:t xml:space="preserve"> </w:t>
      </w:r>
      <w:r w:rsidRPr="00382917">
        <w:t>10,</w:t>
      </w:r>
      <w:r>
        <w:t xml:space="preserve"> </w:t>
      </w:r>
      <w:r w:rsidRPr="00382917">
        <w:t>12.</w:t>
      </w:r>
      <w:proofErr w:type="gramEnd"/>
    </w:p>
  </w:footnote>
  <w:footnote w:id="368">
    <w:p w:rsidR="001C15E8" w:rsidRPr="00A17F27" w:rsidRDefault="001C15E8">
      <w:pPr>
        <w:pStyle w:val="FootnoteText"/>
        <w:rPr>
          <w:lang w:val="en-US"/>
        </w:rPr>
      </w:pPr>
      <w:r>
        <w:rPr>
          <w:rStyle w:val="FootnoteReference"/>
        </w:rPr>
        <w:footnoteRef/>
      </w:r>
      <w:r>
        <w:tab/>
      </w:r>
      <w:proofErr w:type="gramStart"/>
      <w:r>
        <w:t>idem</w:t>
      </w:r>
      <w:proofErr w:type="gramEnd"/>
      <w:r w:rsidRPr="00382917">
        <w:t>,</w:t>
      </w:r>
      <w:r>
        <w:t xml:space="preserve"> </w:t>
      </w:r>
      <w:r w:rsidRPr="00382917">
        <w:t>11:11.</w:t>
      </w:r>
    </w:p>
  </w:footnote>
  <w:footnote w:id="369">
    <w:p w:rsidR="001C15E8" w:rsidRPr="00A17F27" w:rsidRDefault="001C15E8">
      <w:pPr>
        <w:pStyle w:val="FootnoteText"/>
        <w:rPr>
          <w:lang w:val="en-US"/>
        </w:rPr>
      </w:pPr>
      <w:r>
        <w:rPr>
          <w:rStyle w:val="FootnoteReference"/>
        </w:rPr>
        <w:footnoteRef/>
      </w:r>
      <w:r>
        <w:tab/>
        <w:t xml:space="preserve">‘Abdu’l-Bahá in </w:t>
      </w:r>
      <w:r w:rsidRPr="00382917">
        <w:t>Shoghi</w:t>
      </w:r>
      <w:r>
        <w:t xml:space="preserve"> </w:t>
      </w:r>
      <w:r w:rsidRPr="00382917">
        <w:t>Effendi,</w:t>
      </w:r>
      <w:r>
        <w:t xml:space="preserve"> </w:t>
      </w:r>
      <w:r w:rsidRPr="001713B3">
        <w:rPr>
          <w:i/>
          <w:iCs/>
        </w:rPr>
        <w:t>God</w:t>
      </w:r>
      <w:r>
        <w:rPr>
          <w:i/>
          <w:iCs/>
        </w:rPr>
        <w:t xml:space="preserve"> </w:t>
      </w:r>
      <w:r w:rsidRPr="001713B3">
        <w:rPr>
          <w:i/>
          <w:iCs/>
        </w:rPr>
        <w:t>Passes</w:t>
      </w:r>
      <w:r>
        <w:rPr>
          <w:i/>
          <w:iCs/>
        </w:rPr>
        <w:t xml:space="preserve"> </w:t>
      </w:r>
      <w:r w:rsidRPr="001713B3">
        <w:rPr>
          <w:i/>
          <w:iCs/>
        </w:rPr>
        <w:t>By</w:t>
      </w:r>
      <w:r w:rsidRPr="00382917">
        <w:t>,</w:t>
      </w:r>
      <w:r>
        <w:t xml:space="preserve"> </w:t>
      </w:r>
      <w:r w:rsidRPr="00382917">
        <w:t>pp.</w:t>
      </w:r>
      <w:r>
        <w:t xml:space="preserve"> </w:t>
      </w:r>
      <w:r w:rsidRPr="00382917">
        <w:t>273</w:t>
      </w:r>
      <w:r>
        <w:t>–</w:t>
      </w:r>
      <w:r w:rsidRPr="00382917">
        <w:t>274.</w:t>
      </w:r>
    </w:p>
  </w:footnote>
  <w:footnote w:id="370">
    <w:p w:rsidR="001C15E8" w:rsidRPr="00A17F27" w:rsidRDefault="001C15E8">
      <w:pPr>
        <w:pStyle w:val="FootnoteText"/>
        <w:rPr>
          <w:lang w:val="en-US"/>
        </w:rPr>
      </w:pPr>
      <w:r>
        <w:rPr>
          <w:rStyle w:val="FootnoteReference"/>
        </w:rPr>
        <w:footnoteRef/>
      </w:r>
      <w:r>
        <w:tab/>
      </w:r>
      <w:proofErr w:type="gramStart"/>
      <w:r>
        <w:t>idem</w:t>
      </w:r>
      <w:proofErr w:type="gramEnd"/>
      <w:r w:rsidRPr="00382917">
        <w:t>,</w:t>
      </w:r>
      <w:r>
        <w:t xml:space="preserve"> </w:t>
      </w:r>
      <w:r w:rsidRPr="00382917">
        <w:t>p.</w:t>
      </w:r>
      <w:r>
        <w:t xml:space="preserve"> </w:t>
      </w:r>
      <w:r w:rsidRPr="00382917">
        <w:t>276.</w:t>
      </w:r>
    </w:p>
  </w:footnote>
  <w:footnote w:id="371">
    <w:p w:rsidR="001C15E8" w:rsidRPr="00473693" w:rsidRDefault="001C15E8">
      <w:pPr>
        <w:pStyle w:val="FootnoteText"/>
        <w:rPr>
          <w:lang w:val="de-DE"/>
        </w:rPr>
      </w:pPr>
      <w:r>
        <w:rPr>
          <w:rStyle w:val="FootnoteReference"/>
        </w:rPr>
        <w:footnoteRef/>
      </w:r>
      <w:r>
        <w:tab/>
      </w:r>
      <w:proofErr w:type="gramStart"/>
      <w:r w:rsidRPr="001D303F">
        <w:rPr>
          <w:i/>
          <w:iCs/>
        </w:rPr>
        <w:t>The Bahá’í World</w:t>
      </w:r>
      <w:r w:rsidRPr="00A17F27">
        <w:t>, 1950–1954,</w:t>
      </w:r>
      <w:r>
        <w:t xml:space="preserve"> </w:t>
      </w:r>
      <w:r w:rsidRPr="00382917">
        <w:t>vol.</w:t>
      </w:r>
      <w:r>
        <w:t xml:space="preserve"> </w:t>
      </w:r>
      <w:r w:rsidRPr="00473693">
        <w:rPr>
          <w:lang w:val="de-DE"/>
        </w:rPr>
        <w:t>XII, p. 225.</w:t>
      </w:r>
      <w:proofErr w:type="gramEnd"/>
    </w:p>
  </w:footnote>
  <w:footnote w:id="372">
    <w:p w:rsidR="001C15E8" w:rsidRPr="00473693" w:rsidRDefault="001C15E8">
      <w:pPr>
        <w:pStyle w:val="FootnoteText"/>
        <w:rPr>
          <w:lang w:val="de-DE"/>
        </w:rPr>
      </w:pPr>
      <w:r>
        <w:rPr>
          <w:rStyle w:val="FootnoteReference"/>
        </w:rPr>
        <w:footnoteRef/>
      </w:r>
      <w:r w:rsidRPr="00473693">
        <w:rPr>
          <w:lang w:val="de-DE"/>
        </w:rPr>
        <w:tab/>
        <w:t xml:space="preserve">Micah </w:t>
      </w:r>
      <w:r w:rsidRPr="00473693">
        <w:rPr>
          <w:lang w:val="de-DE"/>
        </w:rPr>
        <w:t>7:2–4.</w:t>
      </w:r>
    </w:p>
  </w:footnote>
  <w:footnote w:id="373">
    <w:p w:rsidR="001C15E8" w:rsidRPr="00473693" w:rsidRDefault="001C15E8" w:rsidP="00FC417A">
      <w:pPr>
        <w:pStyle w:val="FootnoteText"/>
        <w:rPr>
          <w:lang w:val="de-DE"/>
        </w:rPr>
      </w:pPr>
      <w:r>
        <w:rPr>
          <w:rStyle w:val="FootnoteReference"/>
        </w:rPr>
        <w:footnoteRef/>
      </w:r>
      <w:r w:rsidRPr="00473693">
        <w:rPr>
          <w:lang w:val="de-DE"/>
        </w:rPr>
        <w:tab/>
        <w:t xml:space="preserve">idem, </w:t>
      </w:r>
      <w:r w:rsidRPr="00473693">
        <w:rPr>
          <w:lang w:val="de-DE"/>
        </w:rPr>
        <w:t>7:7, 10 &amp; 9.</w:t>
      </w:r>
    </w:p>
  </w:footnote>
  <w:footnote w:id="374">
    <w:p w:rsidR="001C15E8" w:rsidRPr="00473693" w:rsidRDefault="001C15E8">
      <w:pPr>
        <w:pStyle w:val="FootnoteText"/>
        <w:rPr>
          <w:lang w:val="de-DE"/>
        </w:rPr>
      </w:pPr>
      <w:r>
        <w:rPr>
          <w:rStyle w:val="FootnoteReference"/>
        </w:rPr>
        <w:footnoteRef/>
      </w:r>
      <w:r w:rsidRPr="00473693">
        <w:rPr>
          <w:lang w:val="de-DE"/>
        </w:rPr>
        <w:tab/>
        <w:t xml:space="preserve">idem, </w:t>
      </w:r>
      <w:r w:rsidRPr="00473693">
        <w:rPr>
          <w:lang w:val="de-DE"/>
        </w:rPr>
        <w:t>4:10.</w:t>
      </w:r>
    </w:p>
  </w:footnote>
  <w:footnote w:id="375">
    <w:p w:rsidR="001C15E8" w:rsidRPr="00473693" w:rsidRDefault="001C15E8">
      <w:pPr>
        <w:pStyle w:val="FootnoteText"/>
        <w:rPr>
          <w:lang w:val="de-DE"/>
        </w:rPr>
      </w:pPr>
      <w:r>
        <w:rPr>
          <w:rStyle w:val="FootnoteReference"/>
        </w:rPr>
        <w:footnoteRef/>
      </w:r>
      <w:r w:rsidRPr="00473693">
        <w:rPr>
          <w:lang w:val="de-DE"/>
        </w:rPr>
        <w:tab/>
        <w:t xml:space="preserve">idem, </w:t>
      </w:r>
      <w:r w:rsidRPr="00473693">
        <w:rPr>
          <w:lang w:val="de-DE"/>
        </w:rPr>
        <w:t>7:14.</w:t>
      </w:r>
    </w:p>
  </w:footnote>
  <w:footnote w:id="376">
    <w:p w:rsidR="001C15E8" w:rsidRPr="00473693" w:rsidRDefault="001C15E8">
      <w:pPr>
        <w:pStyle w:val="FootnoteText"/>
        <w:rPr>
          <w:lang w:val="de-DE"/>
        </w:rPr>
      </w:pPr>
      <w:r>
        <w:rPr>
          <w:rStyle w:val="FootnoteReference"/>
        </w:rPr>
        <w:footnoteRef/>
      </w:r>
      <w:r w:rsidRPr="00473693">
        <w:rPr>
          <w:lang w:val="de-DE"/>
        </w:rPr>
        <w:tab/>
        <w:t xml:space="preserve">idem, </w:t>
      </w:r>
      <w:r w:rsidRPr="00473693">
        <w:rPr>
          <w:lang w:val="de-DE"/>
        </w:rPr>
        <w:t>7:12.</w:t>
      </w:r>
    </w:p>
  </w:footnote>
  <w:footnote w:id="377">
    <w:p w:rsidR="001C15E8" w:rsidRPr="00473693" w:rsidRDefault="001C15E8">
      <w:pPr>
        <w:pStyle w:val="FootnoteText"/>
        <w:rPr>
          <w:lang w:val="de-DE"/>
        </w:rPr>
      </w:pPr>
      <w:r>
        <w:rPr>
          <w:rStyle w:val="FootnoteReference"/>
        </w:rPr>
        <w:footnoteRef/>
      </w:r>
      <w:r w:rsidRPr="00473693">
        <w:rPr>
          <w:lang w:val="de-DE"/>
        </w:rPr>
        <w:tab/>
        <w:t xml:space="preserve">idem, </w:t>
      </w:r>
      <w:r w:rsidRPr="00473693">
        <w:rPr>
          <w:lang w:val="de-DE"/>
        </w:rPr>
        <w:t>7:15.</w:t>
      </w:r>
    </w:p>
  </w:footnote>
  <w:footnote w:id="378">
    <w:p w:rsidR="001C15E8" w:rsidRPr="00473693" w:rsidRDefault="001C15E8">
      <w:pPr>
        <w:pStyle w:val="FootnoteText"/>
        <w:rPr>
          <w:lang w:val="de-DE"/>
        </w:rPr>
      </w:pPr>
      <w:r>
        <w:rPr>
          <w:rStyle w:val="FootnoteReference"/>
        </w:rPr>
        <w:footnoteRef/>
      </w:r>
      <w:r w:rsidRPr="00473693">
        <w:rPr>
          <w:lang w:val="de-DE"/>
        </w:rPr>
        <w:tab/>
        <w:t xml:space="preserve">Hosea </w:t>
      </w:r>
      <w:r w:rsidRPr="00473693">
        <w:rPr>
          <w:lang w:val="de-DE"/>
        </w:rPr>
        <w:t>2:15.</w:t>
      </w:r>
    </w:p>
  </w:footnote>
  <w:footnote w:id="379">
    <w:p w:rsidR="001C15E8" w:rsidRPr="00473693" w:rsidRDefault="001C15E8">
      <w:pPr>
        <w:pStyle w:val="FootnoteText"/>
        <w:rPr>
          <w:lang w:val="de-DE"/>
        </w:rPr>
      </w:pPr>
      <w:r>
        <w:rPr>
          <w:rStyle w:val="FootnoteReference"/>
        </w:rPr>
        <w:footnoteRef/>
      </w:r>
      <w:r w:rsidRPr="00473693">
        <w:rPr>
          <w:lang w:val="de-DE"/>
        </w:rPr>
        <w:tab/>
        <w:t xml:space="preserve">Isaiah </w:t>
      </w:r>
      <w:r w:rsidRPr="00473693">
        <w:rPr>
          <w:lang w:val="de-DE"/>
        </w:rPr>
        <w:t>65:10.</w:t>
      </w:r>
    </w:p>
  </w:footnote>
  <w:footnote w:id="380">
    <w:p w:rsidR="001C15E8" w:rsidRPr="00473693" w:rsidRDefault="001C15E8">
      <w:pPr>
        <w:pStyle w:val="FootnoteText"/>
        <w:rPr>
          <w:lang w:val="pl-PL"/>
        </w:rPr>
      </w:pPr>
      <w:r>
        <w:rPr>
          <w:rStyle w:val="FootnoteReference"/>
        </w:rPr>
        <w:footnoteRef/>
      </w:r>
      <w:r w:rsidRPr="00473693">
        <w:rPr>
          <w:lang w:val="pl-PL"/>
        </w:rPr>
        <w:tab/>
      </w:r>
      <w:r w:rsidRPr="00473693">
        <w:rPr>
          <w:lang w:val="pl-PL"/>
        </w:rPr>
        <w:t>idem, 35:2.</w:t>
      </w:r>
    </w:p>
  </w:footnote>
  <w:footnote w:id="381">
    <w:p w:rsidR="001C15E8" w:rsidRPr="00473693" w:rsidRDefault="001C15E8">
      <w:pPr>
        <w:pStyle w:val="FootnoteText"/>
        <w:rPr>
          <w:lang w:val="pl-PL"/>
        </w:rPr>
      </w:pPr>
      <w:r>
        <w:rPr>
          <w:rStyle w:val="FootnoteReference"/>
        </w:rPr>
        <w:footnoteRef/>
      </w:r>
      <w:r w:rsidRPr="00473693">
        <w:rPr>
          <w:lang w:val="pl-PL"/>
        </w:rPr>
        <w:tab/>
        <w:t xml:space="preserve">idem, </w:t>
      </w:r>
      <w:r w:rsidRPr="00473693">
        <w:rPr>
          <w:lang w:val="pl-PL"/>
        </w:rPr>
        <w:t>35:1.</w:t>
      </w:r>
    </w:p>
  </w:footnote>
  <w:footnote w:id="382">
    <w:p w:rsidR="001C15E8" w:rsidRPr="00473693" w:rsidRDefault="001C15E8">
      <w:pPr>
        <w:pStyle w:val="FootnoteText"/>
        <w:rPr>
          <w:lang w:val="pl-PL"/>
        </w:rPr>
      </w:pPr>
      <w:r>
        <w:rPr>
          <w:rStyle w:val="FootnoteReference"/>
        </w:rPr>
        <w:footnoteRef/>
      </w:r>
      <w:r w:rsidRPr="00473693">
        <w:rPr>
          <w:lang w:val="pl-PL"/>
        </w:rPr>
        <w:tab/>
        <w:t xml:space="preserve">idem, </w:t>
      </w:r>
      <w:r w:rsidRPr="00473693">
        <w:rPr>
          <w:lang w:val="pl-PL"/>
        </w:rPr>
        <w:t>60:11–13.</w:t>
      </w:r>
    </w:p>
  </w:footnote>
  <w:footnote w:id="383">
    <w:p w:rsidR="001C15E8" w:rsidRPr="00473693" w:rsidRDefault="001C15E8">
      <w:pPr>
        <w:pStyle w:val="FootnoteText"/>
        <w:rPr>
          <w:lang w:val="pl-PL"/>
        </w:rPr>
      </w:pPr>
      <w:r>
        <w:rPr>
          <w:rStyle w:val="FootnoteReference"/>
        </w:rPr>
        <w:footnoteRef/>
      </w:r>
      <w:r w:rsidRPr="00473693">
        <w:rPr>
          <w:lang w:val="pl-PL"/>
        </w:rPr>
        <w:tab/>
        <w:t xml:space="preserve">Psalms </w:t>
      </w:r>
      <w:r w:rsidRPr="00473693">
        <w:rPr>
          <w:lang w:val="pl-PL"/>
        </w:rPr>
        <w:t>48:2.</w:t>
      </w:r>
    </w:p>
  </w:footnote>
  <w:footnote w:id="384">
    <w:p w:rsidR="001C15E8" w:rsidRPr="00473693" w:rsidRDefault="001C15E8">
      <w:pPr>
        <w:pStyle w:val="FootnoteText"/>
        <w:rPr>
          <w:lang w:val="pl-PL"/>
        </w:rPr>
      </w:pPr>
      <w:r>
        <w:rPr>
          <w:rStyle w:val="FootnoteReference"/>
        </w:rPr>
        <w:footnoteRef/>
      </w:r>
      <w:r w:rsidRPr="00473693">
        <w:rPr>
          <w:lang w:val="pl-PL"/>
        </w:rPr>
        <w:tab/>
        <w:t xml:space="preserve">Ezekiel </w:t>
      </w:r>
      <w:r w:rsidRPr="00473693">
        <w:rPr>
          <w:lang w:val="pl-PL"/>
        </w:rPr>
        <w:t>43:2, 4.</w:t>
      </w:r>
    </w:p>
  </w:footnote>
  <w:footnote w:id="385">
    <w:p w:rsidR="001C15E8" w:rsidRPr="003D4A6B" w:rsidRDefault="001C15E8">
      <w:pPr>
        <w:pStyle w:val="FootnoteText"/>
        <w:rPr>
          <w:lang w:val="en-US"/>
        </w:rPr>
      </w:pPr>
      <w:r>
        <w:rPr>
          <w:rStyle w:val="FootnoteReference"/>
        </w:rPr>
        <w:footnoteRef/>
      </w:r>
      <w:r>
        <w:tab/>
      </w:r>
      <w:proofErr w:type="gramStart"/>
      <w:r>
        <w:t>idem</w:t>
      </w:r>
      <w:proofErr w:type="gramEnd"/>
      <w:r w:rsidRPr="00382917">
        <w:t>,</w:t>
      </w:r>
      <w:r>
        <w:t xml:space="preserve"> </w:t>
      </w:r>
      <w:r w:rsidRPr="00382917">
        <w:t>1:27</w:t>
      </w:r>
      <w:r>
        <w:t>–</w:t>
      </w:r>
      <w:r w:rsidRPr="00382917">
        <w:t>28.</w:t>
      </w:r>
    </w:p>
  </w:footnote>
  <w:footnote w:id="386">
    <w:p w:rsidR="001C15E8" w:rsidRPr="00464C7B" w:rsidRDefault="001C15E8" w:rsidP="00464C7B">
      <w:pPr>
        <w:pStyle w:val="FootnoteText"/>
      </w:pPr>
      <w:r>
        <w:rPr>
          <w:rStyle w:val="FootnoteReference"/>
        </w:rPr>
        <w:footnoteRef/>
      </w:r>
      <w:r>
        <w:tab/>
      </w:r>
      <w:proofErr w:type="gramStart"/>
      <w:r>
        <w:t xml:space="preserve">George Townshend, </w:t>
      </w:r>
      <w:r w:rsidRPr="00464C7B">
        <w:rPr>
          <w:i/>
          <w:iCs/>
        </w:rPr>
        <w:t>Christ and Bahá’u’lláh</w:t>
      </w:r>
      <w:r>
        <w:t>, p. 25.</w:t>
      </w:r>
      <w:proofErr w:type="gramEnd"/>
    </w:p>
  </w:footnote>
  <w:footnote w:id="387">
    <w:p w:rsidR="001C15E8" w:rsidRPr="00464C7B" w:rsidRDefault="001C15E8">
      <w:pPr>
        <w:pStyle w:val="FootnoteText"/>
        <w:rPr>
          <w:lang w:val="en-US"/>
        </w:rPr>
      </w:pPr>
      <w:r>
        <w:rPr>
          <w:rStyle w:val="FootnoteReference"/>
        </w:rPr>
        <w:footnoteRef/>
      </w:r>
      <w:r>
        <w:tab/>
      </w:r>
      <w:proofErr w:type="gramStart"/>
      <w:r>
        <w:t>idem</w:t>
      </w:r>
      <w:proofErr w:type="gramEnd"/>
      <w:r>
        <w:t>, p. 28.</w:t>
      </w:r>
    </w:p>
  </w:footnote>
  <w:footnote w:id="388">
    <w:p w:rsidR="001C15E8" w:rsidRPr="00464C7B" w:rsidRDefault="001C15E8" w:rsidP="00464C7B">
      <w:pPr>
        <w:pStyle w:val="FootnoteText"/>
        <w:rPr>
          <w:lang w:val="en-US"/>
        </w:rPr>
      </w:pPr>
      <w:r>
        <w:rPr>
          <w:rStyle w:val="FootnoteReference"/>
        </w:rPr>
        <w:footnoteRef/>
      </w:r>
      <w:r>
        <w:tab/>
      </w:r>
      <w:proofErr w:type="gramStart"/>
      <w:r>
        <w:t>idem</w:t>
      </w:r>
      <w:proofErr w:type="gramEnd"/>
      <w:r>
        <w:t>, p. 30.</w:t>
      </w:r>
    </w:p>
  </w:footnote>
  <w:footnote w:id="389">
    <w:p w:rsidR="001C15E8" w:rsidRPr="00AE0F8C" w:rsidRDefault="001C15E8" w:rsidP="00AE0F8C">
      <w:pPr>
        <w:pStyle w:val="FootnoteText"/>
        <w:rPr>
          <w:lang w:val="en-US"/>
        </w:rPr>
      </w:pPr>
      <w:r>
        <w:rPr>
          <w:rStyle w:val="FootnoteReference"/>
        </w:rPr>
        <w:footnoteRef/>
      </w:r>
      <w:r>
        <w:tab/>
      </w:r>
      <w:proofErr w:type="gramStart"/>
      <w:r>
        <w:t xml:space="preserve">Bahá’u’lláh quoting </w:t>
      </w:r>
      <w:r w:rsidRPr="00382917">
        <w:t>Matthew</w:t>
      </w:r>
      <w:r>
        <w:t xml:space="preserve"> </w:t>
      </w:r>
      <w:r w:rsidRPr="00382917">
        <w:t>16:27</w:t>
      </w:r>
      <w:r>
        <w:t xml:space="preserve"> in Shoghi Effendi, </w:t>
      </w:r>
      <w:r w:rsidRPr="00AE0F8C">
        <w:rPr>
          <w:i/>
          <w:iCs/>
        </w:rPr>
        <w:t>God Passes By</w:t>
      </w:r>
      <w:r>
        <w:t>, p. 95.</w:t>
      </w:r>
      <w:proofErr w:type="gramEnd"/>
    </w:p>
  </w:footnote>
  <w:footnote w:id="390">
    <w:p w:rsidR="001C15E8" w:rsidRPr="009073C7" w:rsidRDefault="001C15E8">
      <w:pPr>
        <w:pStyle w:val="FootnoteText"/>
        <w:rPr>
          <w:lang w:val="en-US"/>
        </w:rPr>
      </w:pPr>
      <w:r>
        <w:rPr>
          <w:rStyle w:val="FootnoteReference"/>
        </w:rPr>
        <w:footnoteRef/>
      </w:r>
      <w:r>
        <w:tab/>
      </w:r>
      <w:r w:rsidRPr="00382917">
        <w:t>Mark</w:t>
      </w:r>
      <w:r>
        <w:t xml:space="preserve"> </w:t>
      </w:r>
      <w:r w:rsidRPr="00382917">
        <w:t>12:1</w:t>
      </w:r>
      <w:r>
        <w:t>–</w:t>
      </w:r>
      <w:r w:rsidRPr="00382917">
        <w:t>9.</w:t>
      </w:r>
    </w:p>
  </w:footnote>
  <w:footnote w:id="391">
    <w:p w:rsidR="001C15E8" w:rsidRPr="007E3A63" w:rsidRDefault="001C15E8" w:rsidP="007E3A63">
      <w:pPr>
        <w:pStyle w:val="FootnoteText"/>
      </w:pPr>
      <w:r>
        <w:rPr>
          <w:rStyle w:val="FootnoteReference"/>
        </w:rPr>
        <w:footnoteRef/>
      </w:r>
      <w:r>
        <w:tab/>
      </w:r>
      <w:proofErr w:type="gramStart"/>
      <w:r>
        <w:t xml:space="preserve">Bahá’u’lláh, </w:t>
      </w:r>
      <w:r w:rsidRPr="007E3A63">
        <w:rPr>
          <w:i/>
          <w:iCs/>
        </w:rPr>
        <w:t>Tablets of Bahá’u’lláh</w:t>
      </w:r>
      <w:r>
        <w:t>, p. 14.</w:t>
      </w:r>
      <w:proofErr w:type="gramEnd"/>
    </w:p>
  </w:footnote>
  <w:footnote w:id="392">
    <w:p w:rsidR="001C15E8" w:rsidRPr="00583718" w:rsidRDefault="001C15E8">
      <w:pPr>
        <w:pStyle w:val="FootnoteText"/>
        <w:rPr>
          <w:lang w:val="en-US"/>
        </w:rPr>
      </w:pPr>
      <w:r>
        <w:rPr>
          <w:rStyle w:val="FootnoteReference"/>
        </w:rPr>
        <w:footnoteRef/>
      </w:r>
      <w:r>
        <w:tab/>
      </w:r>
      <w:r w:rsidRPr="00382917">
        <w:t>John</w:t>
      </w:r>
      <w:r>
        <w:t xml:space="preserve"> </w:t>
      </w:r>
      <w:r w:rsidRPr="00382917">
        <w:t>10:16.</w:t>
      </w:r>
    </w:p>
  </w:footnote>
  <w:footnote w:id="393">
    <w:p w:rsidR="001C15E8" w:rsidRPr="00583718" w:rsidRDefault="001C15E8">
      <w:pPr>
        <w:pStyle w:val="FootnoteText"/>
        <w:rPr>
          <w:lang w:val="en-US"/>
        </w:rPr>
      </w:pPr>
      <w:r>
        <w:rPr>
          <w:rStyle w:val="FootnoteReference"/>
        </w:rPr>
        <w:footnoteRef/>
      </w:r>
      <w:r>
        <w:tab/>
      </w:r>
      <w:r w:rsidRPr="00382917">
        <w:t>Zechariah,</w:t>
      </w:r>
      <w:r>
        <w:t xml:space="preserve"> </w:t>
      </w:r>
      <w:r w:rsidRPr="00382917">
        <w:t>14:9.</w:t>
      </w:r>
    </w:p>
  </w:footnote>
  <w:footnote w:id="394">
    <w:p w:rsidR="001C15E8" w:rsidRPr="00583718" w:rsidRDefault="001C15E8">
      <w:pPr>
        <w:pStyle w:val="FootnoteText"/>
        <w:rPr>
          <w:lang w:val="en-US"/>
        </w:rPr>
      </w:pPr>
      <w:r>
        <w:rPr>
          <w:rStyle w:val="FootnoteReference"/>
        </w:rPr>
        <w:footnoteRef/>
      </w:r>
      <w:r>
        <w:tab/>
      </w:r>
      <w:proofErr w:type="spellStart"/>
      <w:r w:rsidRPr="00382917">
        <w:t>Habbakuk</w:t>
      </w:r>
      <w:proofErr w:type="spellEnd"/>
      <w:r>
        <w:t xml:space="preserve"> </w:t>
      </w:r>
      <w:r w:rsidRPr="00382917">
        <w:t>2:14.</w:t>
      </w:r>
    </w:p>
  </w:footnote>
  <w:footnote w:id="395">
    <w:p w:rsidR="001C15E8" w:rsidRPr="00583718" w:rsidRDefault="001C15E8">
      <w:pPr>
        <w:pStyle w:val="FootnoteText"/>
        <w:rPr>
          <w:lang w:val="en-US"/>
        </w:rPr>
      </w:pPr>
      <w:r>
        <w:rPr>
          <w:rStyle w:val="FootnoteReference"/>
        </w:rPr>
        <w:footnoteRef/>
      </w:r>
      <w:r>
        <w:tab/>
      </w:r>
      <w:proofErr w:type="gramStart"/>
      <w:r w:rsidRPr="00382917">
        <w:t>Revelation</w:t>
      </w:r>
      <w:r>
        <w:t xml:space="preserve"> </w:t>
      </w:r>
      <w:r w:rsidRPr="00382917">
        <w:t>21:1,</w:t>
      </w:r>
      <w:r>
        <w:t xml:space="preserve"> </w:t>
      </w:r>
      <w:r w:rsidRPr="00382917">
        <w:t>23.</w:t>
      </w:r>
      <w:proofErr w:type="gramEnd"/>
    </w:p>
  </w:footnote>
  <w:footnote w:id="396">
    <w:p w:rsidR="001C15E8" w:rsidRPr="00A065EA" w:rsidRDefault="001C15E8">
      <w:pPr>
        <w:pStyle w:val="FootnoteText"/>
        <w:rPr>
          <w:lang w:val="en-US"/>
        </w:rPr>
      </w:pPr>
      <w:r>
        <w:rPr>
          <w:rStyle w:val="FootnoteReference"/>
        </w:rPr>
        <w:t>*</w:t>
      </w:r>
      <w:r>
        <w:tab/>
      </w:r>
      <w:r w:rsidRPr="00382917">
        <w:t>Date</w:t>
      </w:r>
      <w:r>
        <w:t xml:space="preserve"> </w:t>
      </w:r>
      <w:r w:rsidRPr="00382917">
        <w:t>is</w:t>
      </w:r>
      <w:r>
        <w:t xml:space="preserve"> </w:t>
      </w:r>
      <w:r w:rsidRPr="00382917">
        <w:t>approximate,</w:t>
      </w:r>
      <w:r>
        <w:t xml:space="preserve"> </w:t>
      </w:r>
      <w:r w:rsidRPr="00382917">
        <w:t>as</w:t>
      </w:r>
      <w:r>
        <w:t xml:space="preserve"> </w:t>
      </w:r>
      <w:r w:rsidRPr="00382917">
        <w:t>authorities</w:t>
      </w:r>
      <w:r>
        <w:t xml:space="preserve"> </w:t>
      </w:r>
      <w:r w:rsidRPr="00382917">
        <w:t>differ.</w:t>
      </w:r>
    </w:p>
  </w:footnote>
  <w:footnote w:id="397">
    <w:p w:rsidR="001C15E8" w:rsidRPr="009F0DBA" w:rsidRDefault="001C15E8">
      <w:pPr>
        <w:pStyle w:val="FootnoteText"/>
        <w:rPr>
          <w:lang w:val="en-US"/>
        </w:rPr>
      </w:pPr>
      <w:r>
        <w:rPr>
          <w:rStyle w:val="FootnoteReference"/>
        </w:rPr>
        <w:footnoteRef/>
      </w:r>
      <w:r>
        <w:tab/>
      </w:r>
      <w:r w:rsidRPr="00382917">
        <w:t>Isaiah</w:t>
      </w:r>
      <w:r>
        <w:t xml:space="preserve"> </w:t>
      </w:r>
      <w:r w:rsidRPr="00382917">
        <w:t>4:1.</w:t>
      </w:r>
    </w:p>
  </w:footnote>
  <w:footnote w:id="398">
    <w:p w:rsidR="001C15E8" w:rsidRPr="009F0DBA" w:rsidRDefault="001C15E8" w:rsidP="009F0DBA">
      <w:pPr>
        <w:pStyle w:val="FootnoteText"/>
        <w:rPr>
          <w:lang w:val="en-US"/>
        </w:rPr>
      </w:pPr>
      <w:r>
        <w:rPr>
          <w:rStyle w:val="FootnoteReference"/>
        </w:rPr>
        <w:footnoteRef/>
      </w:r>
      <w:r>
        <w:tab/>
      </w:r>
      <w:r w:rsidRPr="00382917">
        <w:t>Shoghi</w:t>
      </w:r>
      <w:r>
        <w:t xml:space="preserve"> </w:t>
      </w:r>
      <w:r w:rsidRPr="00382917">
        <w:t>Effendi,</w:t>
      </w:r>
      <w:r>
        <w:t xml:space="preserve"> </w:t>
      </w:r>
      <w:r w:rsidRPr="001713B3">
        <w:rPr>
          <w:i/>
          <w:iCs/>
        </w:rPr>
        <w:t>God</w:t>
      </w:r>
      <w:r>
        <w:rPr>
          <w:i/>
          <w:iCs/>
        </w:rPr>
        <w:t xml:space="preserve"> </w:t>
      </w:r>
      <w:r w:rsidRPr="001713B3">
        <w:rPr>
          <w:i/>
          <w:iCs/>
        </w:rPr>
        <w:t>Passes</w:t>
      </w:r>
      <w:r>
        <w:rPr>
          <w:i/>
          <w:iCs/>
        </w:rPr>
        <w:t xml:space="preserve"> </w:t>
      </w:r>
      <w:r w:rsidRPr="001713B3">
        <w:rPr>
          <w:i/>
          <w:iCs/>
        </w:rPr>
        <w:t>By</w:t>
      </w:r>
      <w:r w:rsidRPr="00382917">
        <w:t>,</w:t>
      </w:r>
      <w:r>
        <w:t xml:space="preserve"> </w:t>
      </w:r>
      <w:r w:rsidRPr="00382917">
        <w:t>p.</w:t>
      </w:r>
      <w:r>
        <w:t xml:space="preserve"> </w:t>
      </w:r>
      <w:r w:rsidRPr="00382917">
        <w:t>94.</w:t>
      </w:r>
    </w:p>
  </w:footnote>
  <w:footnote w:id="399">
    <w:p w:rsidR="001C15E8" w:rsidRPr="00A73735" w:rsidRDefault="001C15E8">
      <w:pPr>
        <w:pStyle w:val="FootnoteText"/>
        <w:rPr>
          <w:lang w:val="en-US"/>
        </w:rPr>
      </w:pPr>
      <w:r>
        <w:rPr>
          <w:rStyle w:val="FootnoteReference"/>
        </w:rPr>
        <w:footnoteRef/>
      </w:r>
      <w:r>
        <w:tab/>
      </w:r>
      <w:proofErr w:type="gramStart"/>
      <w:r>
        <w:t>idem</w:t>
      </w:r>
      <w:proofErr w:type="gramEnd"/>
      <w:r w:rsidRPr="00382917">
        <w:t>,</w:t>
      </w:r>
      <w:r>
        <w:t xml:space="preserve"> </w:t>
      </w:r>
      <w:r w:rsidRPr="00382917">
        <w:t>pp.</w:t>
      </w:r>
      <w:r>
        <w:t xml:space="preserve"> </w:t>
      </w:r>
      <w:r w:rsidRPr="00382917">
        <w:t>138</w:t>
      </w:r>
      <w:r>
        <w:t>–</w:t>
      </w:r>
      <w:r w:rsidRPr="00382917">
        <w:t>139.</w:t>
      </w:r>
    </w:p>
  </w:footnote>
  <w:footnote w:id="400">
    <w:p w:rsidR="001C15E8" w:rsidRPr="00A73735" w:rsidRDefault="001C15E8">
      <w:pPr>
        <w:pStyle w:val="FootnoteText"/>
        <w:rPr>
          <w:lang w:val="en-US"/>
        </w:rPr>
      </w:pPr>
      <w:r>
        <w:rPr>
          <w:rStyle w:val="FootnoteReference"/>
        </w:rPr>
        <w:footnoteRef/>
      </w:r>
      <w:r>
        <w:tab/>
      </w:r>
      <w:proofErr w:type="gramStart"/>
      <w:r>
        <w:t xml:space="preserve">Bahá’u’lláh, </w:t>
      </w:r>
      <w:r w:rsidRPr="00A73735">
        <w:rPr>
          <w:i/>
          <w:iCs/>
        </w:rPr>
        <w:t>Gleanings from the Writings of Bahá’u’lláh</w:t>
      </w:r>
      <w:r w:rsidRPr="00382917">
        <w:t>,</w:t>
      </w:r>
      <w:r>
        <w:t xml:space="preserve"> </w:t>
      </w:r>
      <w:r w:rsidRPr="00382917">
        <w:t>p.</w:t>
      </w:r>
      <w:r>
        <w:t xml:space="preserve"> </w:t>
      </w:r>
      <w:r w:rsidRPr="00382917">
        <w:t>316.</w:t>
      </w:r>
      <w:proofErr w:type="gramEnd"/>
    </w:p>
  </w:footnote>
  <w:footnote w:id="401">
    <w:p w:rsidR="001C15E8" w:rsidRPr="00A73735" w:rsidRDefault="001C15E8" w:rsidP="00A73735">
      <w:pPr>
        <w:pStyle w:val="FootnoteText"/>
        <w:rPr>
          <w:lang w:val="en-US"/>
        </w:rPr>
      </w:pPr>
      <w:r>
        <w:rPr>
          <w:rStyle w:val="FootnoteReference"/>
        </w:rPr>
        <w:footnoteRef/>
      </w:r>
      <w:r>
        <w:tab/>
      </w:r>
      <w:proofErr w:type="gramStart"/>
      <w:r>
        <w:t xml:space="preserve">Bahá’u’lláh, </w:t>
      </w:r>
      <w:r w:rsidRPr="00F12759">
        <w:rPr>
          <w:i/>
          <w:iCs/>
          <w:lang w:val="en-US"/>
        </w:rPr>
        <w:t>Tablets of Bahá’u’lláh</w:t>
      </w:r>
      <w:r>
        <w:t>, pp. 14–5.</w:t>
      </w:r>
      <w:proofErr w:type="gramEnd"/>
    </w:p>
  </w:footnote>
  <w:footnote w:id="402">
    <w:p w:rsidR="001C15E8" w:rsidRPr="00A73735" w:rsidRDefault="001C15E8" w:rsidP="009C379B">
      <w:pPr>
        <w:pStyle w:val="FootnoteText"/>
        <w:rPr>
          <w:lang w:val="en-US"/>
        </w:rPr>
      </w:pPr>
      <w:r>
        <w:rPr>
          <w:rStyle w:val="FootnoteReference"/>
        </w:rPr>
        <w:footnoteRef/>
      </w:r>
      <w:r>
        <w:tab/>
      </w:r>
      <w:proofErr w:type="gramStart"/>
      <w:r>
        <w:t>idem</w:t>
      </w:r>
      <w:proofErr w:type="gramEnd"/>
      <w:r>
        <w:t xml:space="preserve">, p. 117; </w:t>
      </w:r>
      <w:r w:rsidRPr="00250D8E">
        <w:rPr>
          <w:i/>
          <w:iCs/>
        </w:rPr>
        <w:t>Epistle to the Son of the Wolf</w:t>
      </w:r>
      <w:r>
        <w:t>, pp. 131–2.</w:t>
      </w:r>
    </w:p>
  </w:footnote>
  <w:footnote w:id="403">
    <w:p w:rsidR="001C15E8" w:rsidRPr="00A73735" w:rsidRDefault="001C15E8" w:rsidP="00A73735">
      <w:pPr>
        <w:pStyle w:val="FootnoteText"/>
        <w:rPr>
          <w:lang w:val="en-US"/>
        </w:rPr>
      </w:pPr>
      <w:r>
        <w:rPr>
          <w:rStyle w:val="FootnoteReference"/>
        </w:rPr>
        <w:footnoteRef/>
      </w:r>
      <w:r>
        <w:tab/>
      </w:r>
      <w:proofErr w:type="gramStart"/>
      <w:r>
        <w:t xml:space="preserve">Bahá’u’lláh, </w:t>
      </w:r>
      <w:r w:rsidRPr="00F12759">
        <w:rPr>
          <w:i/>
          <w:iCs/>
          <w:lang w:val="en-US"/>
        </w:rPr>
        <w:t>Tablets of Bahá’u’lláh</w:t>
      </w:r>
      <w:r>
        <w:t>, p. 11.</w:t>
      </w:r>
      <w:proofErr w:type="gramEnd"/>
    </w:p>
  </w:footnote>
  <w:footnote w:id="404">
    <w:p w:rsidR="001C15E8" w:rsidRPr="00A73735" w:rsidRDefault="001C15E8" w:rsidP="00A73735">
      <w:pPr>
        <w:pStyle w:val="FootnoteText"/>
      </w:pPr>
      <w:r>
        <w:rPr>
          <w:rStyle w:val="FootnoteReference"/>
        </w:rPr>
        <w:footnoteRef/>
      </w:r>
      <w:r>
        <w:tab/>
      </w:r>
      <w:proofErr w:type="gramStart"/>
      <w:r>
        <w:t xml:space="preserve">Bahá’u’lláh, </w:t>
      </w:r>
      <w:r w:rsidRPr="00A73735">
        <w:rPr>
          <w:i/>
          <w:iCs/>
        </w:rPr>
        <w:t>The Hidden Words</w:t>
      </w:r>
      <w:r>
        <w:t>, Persian Epilogue.</w:t>
      </w:r>
      <w:proofErr w:type="gramEnd"/>
    </w:p>
  </w:footnote>
  <w:footnote w:id="405">
    <w:p w:rsidR="001C15E8" w:rsidRPr="00402DA0" w:rsidRDefault="001C15E8">
      <w:pPr>
        <w:pStyle w:val="FootnoteText"/>
        <w:rPr>
          <w:lang w:val="en-US"/>
        </w:rPr>
      </w:pPr>
      <w:r>
        <w:rPr>
          <w:rStyle w:val="FootnoteReference"/>
        </w:rPr>
        <w:footnoteRef/>
      </w:r>
      <w:r>
        <w:tab/>
        <w:t>Matthew 11:15.</w:t>
      </w:r>
    </w:p>
  </w:footnote>
  <w:footnote w:id="406">
    <w:p w:rsidR="001C15E8" w:rsidRPr="00402DA0" w:rsidRDefault="001C15E8">
      <w:pPr>
        <w:pStyle w:val="FootnoteText"/>
        <w:rPr>
          <w:lang w:val="en-US"/>
        </w:rPr>
      </w:pPr>
      <w:r>
        <w:rPr>
          <w:rStyle w:val="FootnoteReference"/>
        </w:rPr>
        <w:footnoteRef/>
      </w:r>
      <w:r>
        <w:tab/>
      </w:r>
      <w:proofErr w:type="gramStart"/>
      <w:r>
        <w:t xml:space="preserve">Shoghi Effendi, </w:t>
      </w:r>
      <w:r w:rsidRPr="00C57204">
        <w:rPr>
          <w:i/>
          <w:iCs/>
        </w:rPr>
        <w:t>The World Order of Bahá’u’lláh</w:t>
      </w:r>
      <w:r>
        <w:t>, p. 156.</w:t>
      </w:r>
      <w:proofErr w:type="gramEnd"/>
    </w:p>
  </w:footnote>
  <w:footnote w:id="407">
    <w:p w:rsidR="001C15E8" w:rsidRPr="004E57FC" w:rsidRDefault="001C15E8" w:rsidP="00365349">
      <w:pPr>
        <w:pStyle w:val="FootnoteText"/>
        <w:rPr>
          <w:lang w:val="de-DE"/>
        </w:rPr>
      </w:pPr>
      <w:r>
        <w:rPr>
          <w:rStyle w:val="FootnoteReference"/>
        </w:rPr>
        <w:footnoteRef/>
      </w:r>
      <w:r w:rsidRPr="004E57FC">
        <w:rPr>
          <w:lang w:val="de-DE"/>
        </w:rPr>
        <w:tab/>
      </w:r>
      <w:r w:rsidRPr="004E57FC">
        <w:rPr>
          <w:lang w:val="de-DE"/>
        </w:rPr>
        <w:t>idem, pp. 21–2.</w:t>
      </w:r>
    </w:p>
  </w:footnote>
  <w:footnote w:id="408">
    <w:p w:rsidR="001C15E8" w:rsidRPr="004E57FC" w:rsidRDefault="001C15E8" w:rsidP="00473693">
      <w:pPr>
        <w:pStyle w:val="FootnoteText"/>
        <w:rPr>
          <w:lang w:val="de-DE"/>
        </w:rPr>
      </w:pPr>
      <w:r>
        <w:rPr>
          <w:rStyle w:val="FootnoteReference"/>
        </w:rPr>
        <w:footnoteRef/>
      </w:r>
      <w:r w:rsidRPr="004E57FC">
        <w:rPr>
          <w:lang w:val="de-DE"/>
        </w:rPr>
        <w:tab/>
        <w:t xml:space="preserve">idem, </w:t>
      </w:r>
      <w:r w:rsidRPr="004E57FC">
        <w:rPr>
          <w:lang w:val="de-DE"/>
        </w:rPr>
        <w:t>p. 169.</w:t>
      </w:r>
    </w:p>
  </w:footnote>
  <w:footnote w:id="409">
    <w:p w:rsidR="001C15E8" w:rsidRPr="00EF37F1" w:rsidRDefault="001C15E8">
      <w:pPr>
        <w:pStyle w:val="FootnoteText"/>
        <w:rPr>
          <w:lang w:val="de-DE"/>
        </w:rPr>
      </w:pPr>
      <w:r>
        <w:rPr>
          <w:rStyle w:val="FootnoteReference"/>
        </w:rPr>
        <w:footnoteRef/>
      </w:r>
      <w:r w:rsidRPr="00EF37F1">
        <w:rPr>
          <w:lang w:val="de-DE"/>
        </w:rPr>
        <w:tab/>
        <w:t xml:space="preserve">Norman </w:t>
      </w:r>
      <w:r w:rsidRPr="00EF37F1">
        <w:rPr>
          <w:lang w:val="de-DE"/>
        </w:rPr>
        <w:t xml:space="preserve">Bentwich, </w:t>
      </w:r>
      <w:r w:rsidRPr="00EF37F1">
        <w:rPr>
          <w:i/>
          <w:iCs/>
          <w:lang w:val="de-DE"/>
        </w:rPr>
        <w:t>Palestine,</w:t>
      </w:r>
      <w:r w:rsidRPr="00EF37F1">
        <w:rPr>
          <w:lang w:val="de-DE"/>
        </w:rPr>
        <w:t xml:space="preserve"> Ernest Benn, London</w:t>
      </w:r>
      <w:r>
        <w:rPr>
          <w:lang w:val="de-DE"/>
        </w:rPr>
        <w:t xml:space="preserve">, </w:t>
      </w:r>
      <w:r w:rsidRPr="00EF37F1">
        <w:rPr>
          <w:lang w:val="de-DE"/>
        </w:rPr>
        <w:t>1914</w:t>
      </w:r>
      <w:r>
        <w:rPr>
          <w:lang w:val="de-DE"/>
        </w:rPr>
        <w:t xml:space="preserve">, </w:t>
      </w:r>
      <w:r w:rsidRPr="00EF37F1">
        <w:rPr>
          <w:lang w:val="de-DE"/>
        </w:rPr>
        <w:t>p. 235</w:t>
      </w:r>
      <w:r>
        <w:rPr>
          <w:lang w:val="de-DE"/>
        </w:rPr>
        <w:t>.</w:t>
      </w:r>
    </w:p>
  </w:footnote>
  <w:footnote w:id="410">
    <w:p w:rsidR="001C15E8" w:rsidRPr="004E57FC" w:rsidRDefault="001C15E8">
      <w:pPr>
        <w:pStyle w:val="FootnoteText"/>
        <w:rPr>
          <w:lang w:val="de-DE"/>
        </w:rPr>
      </w:pPr>
      <w:r>
        <w:rPr>
          <w:rStyle w:val="FootnoteReference"/>
        </w:rPr>
        <w:footnoteRef/>
      </w:r>
      <w:r w:rsidRPr="004E57FC">
        <w:rPr>
          <w:lang w:val="de-DE"/>
        </w:rPr>
        <w:tab/>
      </w:r>
      <w:r w:rsidRPr="004E57FC">
        <w:rPr>
          <w:lang w:val="de-DE"/>
        </w:rPr>
        <w:t>Habbakuk 2:14</w:t>
      </w:r>
    </w:p>
  </w:footnote>
  <w:footnote w:id="411">
    <w:p w:rsidR="001C15E8" w:rsidRPr="004E57FC" w:rsidRDefault="001C15E8" w:rsidP="00216B5C">
      <w:pPr>
        <w:pStyle w:val="FootnoteText"/>
        <w:rPr>
          <w:lang w:val="de-DE"/>
        </w:rPr>
      </w:pPr>
      <w:r>
        <w:rPr>
          <w:rStyle w:val="FootnoteReference"/>
        </w:rPr>
        <w:footnoteRef/>
      </w:r>
      <w:r w:rsidRPr="004E57FC">
        <w:rPr>
          <w:lang w:val="de-DE"/>
        </w:rPr>
        <w:tab/>
        <w:t xml:space="preserve">Bahá’u’lláh </w:t>
      </w:r>
      <w:r w:rsidRPr="004E57FC">
        <w:rPr>
          <w:lang w:val="de-DE"/>
        </w:rPr>
        <w:t xml:space="preserve">in Shoghi Effendi, </w:t>
      </w:r>
      <w:r w:rsidRPr="004E57FC">
        <w:rPr>
          <w:i/>
          <w:iCs/>
          <w:lang w:val="de-DE"/>
        </w:rPr>
        <w:t>Bahá’í World Faith</w:t>
      </w:r>
      <w:r w:rsidRPr="004E57FC">
        <w:rPr>
          <w:lang w:val="de-DE"/>
        </w:rPr>
        <w:t>, pp. 11, 60 &amp; 60–1.</w:t>
      </w:r>
    </w:p>
  </w:footnote>
  <w:footnote w:id="412">
    <w:p w:rsidR="001C15E8" w:rsidRPr="00216B5C" w:rsidRDefault="001C15E8">
      <w:pPr>
        <w:pStyle w:val="FootnoteText"/>
        <w:rPr>
          <w:lang w:val="en-US"/>
        </w:rPr>
      </w:pPr>
      <w:r>
        <w:rPr>
          <w:rStyle w:val="FootnoteReference"/>
        </w:rPr>
        <w:footnoteRef/>
      </w:r>
      <w:r>
        <w:tab/>
      </w:r>
      <w:proofErr w:type="gramStart"/>
      <w:r>
        <w:t xml:space="preserve">Bahá’u’lláh in Shoghi Effendi, </w:t>
      </w:r>
      <w:r w:rsidRPr="00F62A85">
        <w:rPr>
          <w:i/>
          <w:iCs/>
        </w:rPr>
        <w:t>The Advent Divine Justice</w:t>
      </w:r>
      <w:r>
        <w:t>, pp. 77 &amp; 79.</w:t>
      </w:r>
      <w:proofErr w:type="gramEnd"/>
    </w:p>
  </w:footnote>
  <w:footnote w:id="413">
    <w:p w:rsidR="001C15E8" w:rsidRPr="00216B5C" w:rsidRDefault="001C15E8" w:rsidP="00216B5C">
      <w:pPr>
        <w:pStyle w:val="FootnoteText"/>
        <w:rPr>
          <w:lang w:val="en-US"/>
        </w:rPr>
      </w:pPr>
      <w:r>
        <w:rPr>
          <w:rStyle w:val="FootnoteReference"/>
        </w:rPr>
        <w:footnoteRef/>
      </w:r>
      <w:r>
        <w:tab/>
      </w:r>
      <w:proofErr w:type="gramStart"/>
      <w:r>
        <w:t xml:space="preserve">Bahá’u’lláh in Shoghi Effendi, </w:t>
      </w:r>
      <w:r w:rsidRPr="007A6115">
        <w:rPr>
          <w:i/>
          <w:iCs/>
        </w:rPr>
        <w:t>Bahá’í World Faith</w:t>
      </w:r>
      <w:r>
        <w:t>, p. 12.</w:t>
      </w:r>
      <w:proofErr w:type="gramEnd"/>
    </w:p>
  </w:footnote>
  <w:footnote w:id="414">
    <w:p w:rsidR="001C15E8" w:rsidRPr="00216B5C" w:rsidRDefault="001C15E8" w:rsidP="00216B5C">
      <w:pPr>
        <w:pStyle w:val="FootnoteText"/>
        <w:rPr>
          <w:lang w:val="en-US"/>
        </w:rPr>
      </w:pPr>
      <w:r>
        <w:rPr>
          <w:rStyle w:val="FootnoteReference"/>
        </w:rPr>
        <w:footnoteRef/>
      </w:r>
      <w:r>
        <w:tab/>
      </w:r>
      <w:proofErr w:type="gramStart"/>
      <w:r>
        <w:t xml:space="preserve">Bahá’u’lláh, in Shoghi Effendi, </w:t>
      </w:r>
      <w:r w:rsidRPr="007A6115">
        <w:rPr>
          <w:i/>
          <w:iCs/>
        </w:rPr>
        <w:t>Bahá’í World Faith</w:t>
      </w:r>
      <w:r>
        <w:t>, p. 116.</w:t>
      </w:r>
      <w:proofErr w:type="gramEnd"/>
    </w:p>
  </w:footnote>
  <w:footnote w:id="415">
    <w:p w:rsidR="001C15E8" w:rsidRPr="00181562" w:rsidRDefault="001C15E8" w:rsidP="00753FCA">
      <w:pPr>
        <w:pStyle w:val="FootnoteText"/>
        <w:rPr>
          <w:lang w:val="en-US"/>
        </w:rPr>
      </w:pPr>
      <w:r>
        <w:rPr>
          <w:rStyle w:val="FootnoteReference"/>
        </w:rPr>
        <w:footnoteRef/>
      </w:r>
      <w:r>
        <w:tab/>
      </w:r>
      <w:proofErr w:type="gramStart"/>
      <w:r>
        <w:t>idem</w:t>
      </w:r>
      <w:proofErr w:type="gramEnd"/>
      <w:r>
        <w:t>, p. 60.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FF2B79A"/>
    <w:lvl w:ilvl="0">
      <w:start w:val="1"/>
      <w:numFmt w:val="decimal"/>
      <w:lvlText w:val="%1."/>
      <w:lvlJc w:val="left"/>
      <w:pPr>
        <w:tabs>
          <w:tab w:val="num" w:pos="1492"/>
        </w:tabs>
        <w:ind w:left="1492" w:hanging="360"/>
      </w:pPr>
    </w:lvl>
  </w:abstractNum>
  <w:abstractNum w:abstractNumId="1">
    <w:nsid w:val="FFFFFF7D"/>
    <w:multiLevelType w:val="singleLevel"/>
    <w:tmpl w:val="302A2C1A"/>
    <w:lvl w:ilvl="0">
      <w:start w:val="1"/>
      <w:numFmt w:val="decimal"/>
      <w:lvlText w:val="%1."/>
      <w:lvlJc w:val="left"/>
      <w:pPr>
        <w:tabs>
          <w:tab w:val="num" w:pos="1209"/>
        </w:tabs>
        <w:ind w:left="1209" w:hanging="360"/>
      </w:pPr>
    </w:lvl>
  </w:abstractNum>
  <w:abstractNum w:abstractNumId="2">
    <w:nsid w:val="FFFFFF7E"/>
    <w:multiLevelType w:val="singleLevel"/>
    <w:tmpl w:val="37DEA6B0"/>
    <w:lvl w:ilvl="0">
      <w:start w:val="1"/>
      <w:numFmt w:val="decimal"/>
      <w:lvlText w:val="%1."/>
      <w:lvlJc w:val="left"/>
      <w:pPr>
        <w:tabs>
          <w:tab w:val="num" w:pos="926"/>
        </w:tabs>
        <w:ind w:left="926" w:hanging="360"/>
      </w:pPr>
    </w:lvl>
  </w:abstractNum>
  <w:abstractNum w:abstractNumId="3">
    <w:nsid w:val="FFFFFF7F"/>
    <w:multiLevelType w:val="singleLevel"/>
    <w:tmpl w:val="096492E0"/>
    <w:lvl w:ilvl="0">
      <w:start w:val="1"/>
      <w:numFmt w:val="decimal"/>
      <w:lvlText w:val="%1."/>
      <w:lvlJc w:val="left"/>
      <w:pPr>
        <w:tabs>
          <w:tab w:val="num" w:pos="643"/>
        </w:tabs>
        <w:ind w:left="643" w:hanging="360"/>
      </w:pPr>
    </w:lvl>
  </w:abstractNum>
  <w:abstractNum w:abstractNumId="4">
    <w:nsid w:val="FFFFFF80"/>
    <w:multiLevelType w:val="singleLevel"/>
    <w:tmpl w:val="5B00668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63D093D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ABE39C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ED4E571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ECAFF98"/>
    <w:lvl w:ilvl="0">
      <w:start w:val="1"/>
      <w:numFmt w:val="decimal"/>
      <w:lvlText w:val="%1."/>
      <w:lvlJc w:val="left"/>
      <w:pPr>
        <w:tabs>
          <w:tab w:val="num" w:pos="360"/>
        </w:tabs>
        <w:ind w:left="360" w:hanging="360"/>
      </w:pPr>
    </w:lvl>
  </w:abstractNum>
  <w:abstractNum w:abstractNumId="9">
    <w:nsid w:val="FFFFFF89"/>
    <w:multiLevelType w:val="singleLevel"/>
    <w:tmpl w:val="E544F4EE"/>
    <w:lvl w:ilvl="0">
      <w:start w:val="1"/>
      <w:numFmt w:val="bullet"/>
      <w:lvlText w:val=""/>
      <w:lvlJc w:val="left"/>
      <w:pPr>
        <w:tabs>
          <w:tab w:val="num" w:pos="360"/>
        </w:tabs>
        <w:ind w:left="360" w:hanging="360"/>
      </w:pPr>
      <w:rPr>
        <w:rFonts w:ascii="Symbol" w:hAnsi="Symbol" w:hint="default"/>
      </w:rPr>
    </w:lvl>
  </w:abstractNum>
  <w:abstractNum w:abstractNumId="10">
    <w:nsid w:val="47850BFD"/>
    <w:multiLevelType w:val="multilevel"/>
    <w:tmpl w:val="59CC8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removePersonalInformation/>
  <w:removeDateAndTime/>
  <w:activeWritingStyle w:appName="MSWord" w:lang="en-GB" w:vendorID="64" w:dllVersion="6" w:nlCheck="1" w:checkStyle="0"/>
  <w:activeWritingStyle w:appName="MSWord" w:lang="en-US" w:vendorID="64" w:dllVersion="6" w:nlCheck="1" w:checkStyle="1"/>
  <w:activeWritingStyle w:appName="MSWord" w:lang="en-GB" w:vendorID="64" w:dllVersion="4096" w:nlCheck="1" w:checkStyle="0"/>
  <w:activeWritingStyle w:appName="MSWord" w:lang="en-US" w:vendorID="64" w:dllVersion="131078" w:nlCheck="1" w:checkStyle="1"/>
  <w:activeWritingStyle w:appName="MSWord" w:lang="en-GB" w:vendorID="64" w:dllVersion="131078" w:nlCheck="1" w:checkStyle="1"/>
  <w:activeWritingStyle w:appName="MSWord" w:lang="fr-FR" w:vendorID="64" w:dllVersion="131078" w:nlCheck="1" w:checkStyle="1"/>
  <w:activeWritingStyle w:appName="MSWord" w:lang="es-ES" w:vendorID="64" w:dllVersion="131078" w:nlCheck="1" w:checkStyle="1"/>
  <w:activeWritingStyle w:appName="MSWord" w:lang="en-AU" w:vendorID="64" w:dllVersion="131078" w:nlCheck="1" w:checkStyle="1"/>
  <w:proofState w:spelling="clean" w:grammar="clean"/>
  <w:stylePaneSortMethod w:val="0000"/>
  <w:defaultTabStop w:val="425"/>
  <w:evenAndOddHeaders/>
  <w:drawingGridHorizontalSpacing w:val="120"/>
  <w:drawingGridVerticalSpacing w:val="136"/>
  <w:displayHorizontalDrawingGridEvery w:val="0"/>
  <w:displayVerticalDrawingGridEvery w:val="2"/>
  <w:noPunctuationKerning/>
  <w:characterSpacingControl w:val="doNotCompress"/>
  <w:savePreviewPicture/>
  <w:hdrShapeDefaults>
    <o:shapedefaults v:ext="edit" spidmax="100353"/>
  </w:hdrShapeDefaults>
  <w:footnotePr>
    <w:numRestart w:val="eachPage"/>
    <w:footnote w:id="-1"/>
    <w:footnote w:id="0"/>
  </w:footnotePr>
  <w:endnotePr>
    <w:endnote w:id="-1"/>
    <w:endnote w:id="0"/>
  </w:endnotePr>
  <w:compat>
    <w:doNotExpandShiftReturn/>
    <w:suppressBottomSpacing/>
    <w:suppressTopSpacing/>
    <w:suppressSpBfAfterPgBrk/>
    <w:noSpaceRaiseLower/>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79C6"/>
    <w:rsid w:val="00000820"/>
    <w:rsid w:val="0000119A"/>
    <w:rsid w:val="0000186E"/>
    <w:rsid w:val="00001CF9"/>
    <w:rsid w:val="00002C19"/>
    <w:rsid w:val="00002DC3"/>
    <w:rsid w:val="0000349E"/>
    <w:rsid w:val="0000361A"/>
    <w:rsid w:val="000037F6"/>
    <w:rsid w:val="00003DCA"/>
    <w:rsid w:val="0000469B"/>
    <w:rsid w:val="000055F6"/>
    <w:rsid w:val="00006E0E"/>
    <w:rsid w:val="00010351"/>
    <w:rsid w:val="000103B9"/>
    <w:rsid w:val="00010451"/>
    <w:rsid w:val="0001061C"/>
    <w:rsid w:val="000106A1"/>
    <w:rsid w:val="0001081C"/>
    <w:rsid w:val="000111A8"/>
    <w:rsid w:val="0001175A"/>
    <w:rsid w:val="00011849"/>
    <w:rsid w:val="000122EA"/>
    <w:rsid w:val="000132B7"/>
    <w:rsid w:val="00013B47"/>
    <w:rsid w:val="00013DBB"/>
    <w:rsid w:val="000148CD"/>
    <w:rsid w:val="0001542A"/>
    <w:rsid w:val="00015838"/>
    <w:rsid w:val="00015E23"/>
    <w:rsid w:val="00015F04"/>
    <w:rsid w:val="00016D46"/>
    <w:rsid w:val="000173F2"/>
    <w:rsid w:val="00020285"/>
    <w:rsid w:val="000205B9"/>
    <w:rsid w:val="00020A71"/>
    <w:rsid w:val="00020D29"/>
    <w:rsid w:val="00021682"/>
    <w:rsid w:val="0002341D"/>
    <w:rsid w:val="00023529"/>
    <w:rsid w:val="00024891"/>
    <w:rsid w:val="000248DC"/>
    <w:rsid w:val="0002510D"/>
    <w:rsid w:val="000252DB"/>
    <w:rsid w:val="00025B13"/>
    <w:rsid w:val="00025D2B"/>
    <w:rsid w:val="00025FF2"/>
    <w:rsid w:val="000263AD"/>
    <w:rsid w:val="00026713"/>
    <w:rsid w:val="000267B7"/>
    <w:rsid w:val="00026AFE"/>
    <w:rsid w:val="00027090"/>
    <w:rsid w:val="0003045E"/>
    <w:rsid w:val="00030BA2"/>
    <w:rsid w:val="00030E64"/>
    <w:rsid w:val="00031016"/>
    <w:rsid w:val="00031A17"/>
    <w:rsid w:val="00031C4A"/>
    <w:rsid w:val="00031EA6"/>
    <w:rsid w:val="000322E2"/>
    <w:rsid w:val="000322F0"/>
    <w:rsid w:val="000325BE"/>
    <w:rsid w:val="000332C6"/>
    <w:rsid w:val="00033A1F"/>
    <w:rsid w:val="0003484C"/>
    <w:rsid w:val="00034889"/>
    <w:rsid w:val="000349F6"/>
    <w:rsid w:val="00035BED"/>
    <w:rsid w:val="000364E6"/>
    <w:rsid w:val="000367BF"/>
    <w:rsid w:val="00036A16"/>
    <w:rsid w:val="00036C86"/>
    <w:rsid w:val="00036E0A"/>
    <w:rsid w:val="000370AD"/>
    <w:rsid w:val="00037142"/>
    <w:rsid w:val="00037818"/>
    <w:rsid w:val="00037E4E"/>
    <w:rsid w:val="000407EF"/>
    <w:rsid w:val="00040F3D"/>
    <w:rsid w:val="00041292"/>
    <w:rsid w:val="00041560"/>
    <w:rsid w:val="00041BFB"/>
    <w:rsid w:val="0004204D"/>
    <w:rsid w:val="000422B5"/>
    <w:rsid w:val="000430A9"/>
    <w:rsid w:val="000430D6"/>
    <w:rsid w:val="0004479C"/>
    <w:rsid w:val="00045275"/>
    <w:rsid w:val="0004654B"/>
    <w:rsid w:val="0004657C"/>
    <w:rsid w:val="00046594"/>
    <w:rsid w:val="000467CF"/>
    <w:rsid w:val="00046AB5"/>
    <w:rsid w:val="00046D14"/>
    <w:rsid w:val="000471C4"/>
    <w:rsid w:val="000500D6"/>
    <w:rsid w:val="0005037B"/>
    <w:rsid w:val="0005042F"/>
    <w:rsid w:val="000507C7"/>
    <w:rsid w:val="00050B87"/>
    <w:rsid w:val="00050E14"/>
    <w:rsid w:val="000513D8"/>
    <w:rsid w:val="0005156F"/>
    <w:rsid w:val="00051917"/>
    <w:rsid w:val="00051AC7"/>
    <w:rsid w:val="00051F68"/>
    <w:rsid w:val="0005352B"/>
    <w:rsid w:val="00053C2B"/>
    <w:rsid w:val="00054426"/>
    <w:rsid w:val="00054468"/>
    <w:rsid w:val="000544B9"/>
    <w:rsid w:val="00055C9D"/>
    <w:rsid w:val="000564B9"/>
    <w:rsid w:val="00056DA4"/>
    <w:rsid w:val="0005717F"/>
    <w:rsid w:val="00057425"/>
    <w:rsid w:val="00057595"/>
    <w:rsid w:val="000577D7"/>
    <w:rsid w:val="00057C0E"/>
    <w:rsid w:val="00057F48"/>
    <w:rsid w:val="00060420"/>
    <w:rsid w:val="00060718"/>
    <w:rsid w:val="00060AC9"/>
    <w:rsid w:val="00060F8B"/>
    <w:rsid w:val="0006162B"/>
    <w:rsid w:val="0006303D"/>
    <w:rsid w:val="00063375"/>
    <w:rsid w:val="00064156"/>
    <w:rsid w:val="000642B1"/>
    <w:rsid w:val="0006487E"/>
    <w:rsid w:val="00064BD0"/>
    <w:rsid w:val="00065222"/>
    <w:rsid w:val="00065585"/>
    <w:rsid w:val="00065EF5"/>
    <w:rsid w:val="00066206"/>
    <w:rsid w:val="0006649C"/>
    <w:rsid w:val="000667DD"/>
    <w:rsid w:val="00066DCE"/>
    <w:rsid w:val="000671A9"/>
    <w:rsid w:val="00067CC4"/>
    <w:rsid w:val="00067DEB"/>
    <w:rsid w:val="0007021D"/>
    <w:rsid w:val="00070AC5"/>
    <w:rsid w:val="00070AF8"/>
    <w:rsid w:val="00070BD7"/>
    <w:rsid w:val="000718B1"/>
    <w:rsid w:val="00071B91"/>
    <w:rsid w:val="00071D81"/>
    <w:rsid w:val="000726EC"/>
    <w:rsid w:val="00072B3E"/>
    <w:rsid w:val="00072E51"/>
    <w:rsid w:val="00073773"/>
    <w:rsid w:val="00074501"/>
    <w:rsid w:val="00074973"/>
    <w:rsid w:val="00074CF7"/>
    <w:rsid w:val="00075054"/>
    <w:rsid w:val="00077744"/>
    <w:rsid w:val="00077A4D"/>
    <w:rsid w:val="00077E3F"/>
    <w:rsid w:val="00080654"/>
    <w:rsid w:val="00080D48"/>
    <w:rsid w:val="00080EE4"/>
    <w:rsid w:val="00081B29"/>
    <w:rsid w:val="000824A0"/>
    <w:rsid w:val="00082674"/>
    <w:rsid w:val="00082FC4"/>
    <w:rsid w:val="0008329D"/>
    <w:rsid w:val="000847FB"/>
    <w:rsid w:val="0008493C"/>
    <w:rsid w:val="000852F3"/>
    <w:rsid w:val="00085847"/>
    <w:rsid w:val="00086059"/>
    <w:rsid w:val="00086796"/>
    <w:rsid w:val="00086C6E"/>
    <w:rsid w:val="00086EBA"/>
    <w:rsid w:val="00087283"/>
    <w:rsid w:val="00090DE8"/>
    <w:rsid w:val="000910FF"/>
    <w:rsid w:val="00091371"/>
    <w:rsid w:val="00092616"/>
    <w:rsid w:val="0009276A"/>
    <w:rsid w:val="00093182"/>
    <w:rsid w:val="00094955"/>
    <w:rsid w:val="00095DEA"/>
    <w:rsid w:val="0009604B"/>
    <w:rsid w:val="0009605F"/>
    <w:rsid w:val="000962D9"/>
    <w:rsid w:val="00096430"/>
    <w:rsid w:val="00096A62"/>
    <w:rsid w:val="00097317"/>
    <w:rsid w:val="00097600"/>
    <w:rsid w:val="000978EC"/>
    <w:rsid w:val="000A092B"/>
    <w:rsid w:val="000A0F4E"/>
    <w:rsid w:val="000A199E"/>
    <w:rsid w:val="000A27BB"/>
    <w:rsid w:val="000A2F13"/>
    <w:rsid w:val="000A4032"/>
    <w:rsid w:val="000A40AD"/>
    <w:rsid w:val="000A431F"/>
    <w:rsid w:val="000A4566"/>
    <w:rsid w:val="000A53E4"/>
    <w:rsid w:val="000A60A4"/>
    <w:rsid w:val="000A6A56"/>
    <w:rsid w:val="000A6B95"/>
    <w:rsid w:val="000A7538"/>
    <w:rsid w:val="000A7629"/>
    <w:rsid w:val="000A763E"/>
    <w:rsid w:val="000A7666"/>
    <w:rsid w:val="000A7BB5"/>
    <w:rsid w:val="000A7D86"/>
    <w:rsid w:val="000B04DF"/>
    <w:rsid w:val="000B1924"/>
    <w:rsid w:val="000B2871"/>
    <w:rsid w:val="000B2A10"/>
    <w:rsid w:val="000B2CEE"/>
    <w:rsid w:val="000B2F10"/>
    <w:rsid w:val="000B4483"/>
    <w:rsid w:val="000B584D"/>
    <w:rsid w:val="000B589E"/>
    <w:rsid w:val="000B5BA9"/>
    <w:rsid w:val="000B5C22"/>
    <w:rsid w:val="000C0883"/>
    <w:rsid w:val="000C0C85"/>
    <w:rsid w:val="000C2434"/>
    <w:rsid w:val="000C2658"/>
    <w:rsid w:val="000C2814"/>
    <w:rsid w:val="000C2AEE"/>
    <w:rsid w:val="000C3683"/>
    <w:rsid w:val="000C3CF3"/>
    <w:rsid w:val="000C3D0F"/>
    <w:rsid w:val="000C57EF"/>
    <w:rsid w:val="000C5987"/>
    <w:rsid w:val="000C5B64"/>
    <w:rsid w:val="000C6AC5"/>
    <w:rsid w:val="000C77AB"/>
    <w:rsid w:val="000D06E4"/>
    <w:rsid w:val="000D0CE2"/>
    <w:rsid w:val="000D0E03"/>
    <w:rsid w:val="000D1040"/>
    <w:rsid w:val="000D1705"/>
    <w:rsid w:val="000D2EB0"/>
    <w:rsid w:val="000D31B4"/>
    <w:rsid w:val="000D3564"/>
    <w:rsid w:val="000D38CF"/>
    <w:rsid w:val="000D3E0B"/>
    <w:rsid w:val="000D44FB"/>
    <w:rsid w:val="000D495F"/>
    <w:rsid w:val="000D60F2"/>
    <w:rsid w:val="000D6FFB"/>
    <w:rsid w:val="000D78F6"/>
    <w:rsid w:val="000D7908"/>
    <w:rsid w:val="000E02D0"/>
    <w:rsid w:val="000E0426"/>
    <w:rsid w:val="000E0C58"/>
    <w:rsid w:val="000E185B"/>
    <w:rsid w:val="000E21ED"/>
    <w:rsid w:val="000E267A"/>
    <w:rsid w:val="000E2E5B"/>
    <w:rsid w:val="000E37A4"/>
    <w:rsid w:val="000E47FC"/>
    <w:rsid w:val="000E546A"/>
    <w:rsid w:val="000E5760"/>
    <w:rsid w:val="000E5966"/>
    <w:rsid w:val="000E5B0C"/>
    <w:rsid w:val="000E5EC3"/>
    <w:rsid w:val="000E6494"/>
    <w:rsid w:val="000E687F"/>
    <w:rsid w:val="000E78C4"/>
    <w:rsid w:val="000F1030"/>
    <w:rsid w:val="000F14F1"/>
    <w:rsid w:val="000F2812"/>
    <w:rsid w:val="000F2C95"/>
    <w:rsid w:val="000F3B02"/>
    <w:rsid w:val="000F3FF1"/>
    <w:rsid w:val="000F60C3"/>
    <w:rsid w:val="000F68A1"/>
    <w:rsid w:val="000F752D"/>
    <w:rsid w:val="000F782C"/>
    <w:rsid w:val="000F7AFA"/>
    <w:rsid w:val="000F7C79"/>
    <w:rsid w:val="001004B2"/>
    <w:rsid w:val="00100DA6"/>
    <w:rsid w:val="00101347"/>
    <w:rsid w:val="00101B31"/>
    <w:rsid w:val="00102319"/>
    <w:rsid w:val="00103021"/>
    <w:rsid w:val="0010343E"/>
    <w:rsid w:val="001036CF"/>
    <w:rsid w:val="0010385E"/>
    <w:rsid w:val="00103F69"/>
    <w:rsid w:val="00104411"/>
    <w:rsid w:val="001047BB"/>
    <w:rsid w:val="00105689"/>
    <w:rsid w:val="0010568F"/>
    <w:rsid w:val="00105C1E"/>
    <w:rsid w:val="001069EB"/>
    <w:rsid w:val="0010766C"/>
    <w:rsid w:val="001078A7"/>
    <w:rsid w:val="001079A5"/>
    <w:rsid w:val="00107F7E"/>
    <w:rsid w:val="00110497"/>
    <w:rsid w:val="001106E6"/>
    <w:rsid w:val="00110B60"/>
    <w:rsid w:val="001118BE"/>
    <w:rsid w:val="00111C7C"/>
    <w:rsid w:val="00113009"/>
    <w:rsid w:val="001134D5"/>
    <w:rsid w:val="00113A09"/>
    <w:rsid w:val="00115647"/>
    <w:rsid w:val="0011568A"/>
    <w:rsid w:val="001160D5"/>
    <w:rsid w:val="0011714E"/>
    <w:rsid w:val="001175A9"/>
    <w:rsid w:val="00117772"/>
    <w:rsid w:val="00117FC4"/>
    <w:rsid w:val="0012016F"/>
    <w:rsid w:val="001210A3"/>
    <w:rsid w:val="0012190D"/>
    <w:rsid w:val="001221F9"/>
    <w:rsid w:val="00122261"/>
    <w:rsid w:val="00122B2E"/>
    <w:rsid w:val="00122F78"/>
    <w:rsid w:val="00123017"/>
    <w:rsid w:val="0012336A"/>
    <w:rsid w:val="001238D8"/>
    <w:rsid w:val="00123B2D"/>
    <w:rsid w:val="00124356"/>
    <w:rsid w:val="0012680A"/>
    <w:rsid w:val="00126BC6"/>
    <w:rsid w:val="00126EDC"/>
    <w:rsid w:val="001275A6"/>
    <w:rsid w:val="001306EE"/>
    <w:rsid w:val="001309CE"/>
    <w:rsid w:val="00130D5B"/>
    <w:rsid w:val="00130DCE"/>
    <w:rsid w:val="0013106A"/>
    <w:rsid w:val="00131715"/>
    <w:rsid w:val="00131964"/>
    <w:rsid w:val="0013331D"/>
    <w:rsid w:val="001357CC"/>
    <w:rsid w:val="00135C7F"/>
    <w:rsid w:val="001364AF"/>
    <w:rsid w:val="0013716C"/>
    <w:rsid w:val="0013728A"/>
    <w:rsid w:val="001372E7"/>
    <w:rsid w:val="00137306"/>
    <w:rsid w:val="00137867"/>
    <w:rsid w:val="00137905"/>
    <w:rsid w:val="00137940"/>
    <w:rsid w:val="001404F2"/>
    <w:rsid w:val="001411E5"/>
    <w:rsid w:val="00141C99"/>
    <w:rsid w:val="00142D43"/>
    <w:rsid w:val="00143A8B"/>
    <w:rsid w:val="00143C64"/>
    <w:rsid w:val="00143CCC"/>
    <w:rsid w:val="001443FB"/>
    <w:rsid w:val="00144D95"/>
    <w:rsid w:val="00144DF6"/>
    <w:rsid w:val="00144FAF"/>
    <w:rsid w:val="0014535B"/>
    <w:rsid w:val="0014688E"/>
    <w:rsid w:val="001468BF"/>
    <w:rsid w:val="00146DCD"/>
    <w:rsid w:val="0014743D"/>
    <w:rsid w:val="00147D19"/>
    <w:rsid w:val="00150A57"/>
    <w:rsid w:val="00150F43"/>
    <w:rsid w:val="001511F3"/>
    <w:rsid w:val="00151B00"/>
    <w:rsid w:val="00151DEF"/>
    <w:rsid w:val="00151F3F"/>
    <w:rsid w:val="001523E7"/>
    <w:rsid w:val="00152F81"/>
    <w:rsid w:val="001536F6"/>
    <w:rsid w:val="00153968"/>
    <w:rsid w:val="00154489"/>
    <w:rsid w:val="001549D9"/>
    <w:rsid w:val="001553E5"/>
    <w:rsid w:val="00156EF0"/>
    <w:rsid w:val="001578E7"/>
    <w:rsid w:val="0016048D"/>
    <w:rsid w:val="001604E5"/>
    <w:rsid w:val="00160DAE"/>
    <w:rsid w:val="00161966"/>
    <w:rsid w:val="00162084"/>
    <w:rsid w:val="00162249"/>
    <w:rsid w:val="00163070"/>
    <w:rsid w:val="00163338"/>
    <w:rsid w:val="00163D7C"/>
    <w:rsid w:val="00164399"/>
    <w:rsid w:val="00164E74"/>
    <w:rsid w:val="00164F75"/>
    <w:rsid w:val="0016668C"/>
    <w:rsid w:val="00167BC4"/>
    <w:rsid w:val="00167E48"/>
    <w:rsid w:val="00170386"/>
    <w:rsid w:val="001713B3"/>
    <w:rsid w:val="00171D00"/>
    <w:rsid w:val="001723E8"/>
    <w:rsid w:val="00172582"/>
    <w:rsid w:val="001733E6"/>
    <w:rsid w:val="001734C9"/>
    <w:rsid w:val="001744EE"/>
    <w:rsid w:val="001748CE"/>
    <w:rsid w:val="00174BDD"/>
    <w:rsid w:val="00174C53"/>
    <w:rsid w:val="00175534"/>
    <w:rsid w:val="00175571"/>
    <w:rsid w:val="00175A30"/>
    <w:rsid w:val="00175E23"/>
    <w:rsid w:val="001775B1"/>
    <w:rsid w:val="00177704"/>
    <w:rsid w:val="00177B2F"/>
    <w:rsid w:val="00177F98"/>
    <w:rsid w:val="0018110E"/>
    <w:rsid w:val="00181562"/>
    <w:rsid w:val="001816DE"/>
    <w:rsid w:val="00181753"/>
    <w:rsid w:val="001827E3"/>
    <w:rsid w:val="001829FA"/>
    <w:rsid w:val="001831FD"/>
    <w:rsid w:val="001839B3"/>
    <w:rsid w:val="00183B9E"/>
    <w:rsid w:val="001845FC"/>
    <w:rsid w:val="0018506C"/>
    <w:rsid w:val="001856C8"/>
    <w:rsid w:val="00186026"/>
    <w:rsid w:val="00186282"/>
    <w:rsid w:val="0018665C"/>
    <w:rsid w:val="00186CA3"/>
    <w:rsid w:val="00186EE6"/>
    <w:rsid w:val="00187434"/>
    <w:rsid w:val="00190866"/>
    <w:rsid w:val="00190C2C"/>
    <w:rsid w:val="001911A7"/>
    <w:rsid w:val="00191B9E"/>
    <w:rsid w:val="0019245D"/>
    <w:rsid w:val="00192826"/>
    <w:rsid w:val="00192E17"/>
    <w:rsid w:val="001932DE"/>
    <w:rsid w:val="0019333E"/>
    <w:rsid w:val="00193541"/>
    <w:rsid w:val="00193788"/>
    <w:rsid w:val="00193D34"/>
    <w:rsid w:val="00193D76"/>
    <w:rsid w:val="00194295"/>
    <w:rsid w:val="001943F8"/>
    <w:rsid w:val="001945C3"/>
    <w:rsid w:val="0019485F"/>
    <w:rsid w:val="0019526D"/>
    <w:rsid w:val="0019533A"/>
    <w:rsid w:val="00195759"/>
    <w:rsid w:val="0019724F"/>
    <w:rsid w:val="0019731B"/>
    <w:rsid w:val="00197879"/>
    <w:rsid w:val="001A0B6C"/>
    <w:rsid w:val="001A0FB1"/>
    <w:rsid w:val="001A1110"/>
    <w:rsid w:val="001A1124"/>
    <w:rsid w:val="001A16E0"/>
    <w:rsid w:val="001A1DFF"/>
    <w:rsid w:val="001A2A34"/>
    <w:rsid w:val="001A3D15"/>
    <w:rsid w:val="001A576F"/>
    <w:rsid w:val="001A6B4A"/>
    <w:rsid w:val="001B12D5"/>
    <w:rsid w:val="001B38D0"/>
    <w:rsid w:val="001B3F60"/>
    <w:rsid w:val="001B4747"/>
    <w:rsid w:val="001B4A1E"/>
    <w:rsid w:val="001B5FA3"/>
    <w:rsid w:val="001B6670"/>
    <w:rsid w:val="001B69E8"/>
    <w:rsid w:val="001B7804"/>
    <w:rsid w:val="001C013B"/>
    <w:rsid w:val="001C0587"/>
    <w:rsid w:val="001C074A"/>
    <w:rsid w:val="001C0F13"/>
    <w:rsid w:val="001C11C4"/>
    <w:rsid w:val="001C1452"/>
    <w:rsid w:val="001C15E8"/>
    <w:rsid w:val="001C2615"/>
    <w:rsid w:val="001C2CAE"/>
    <w:rsid w:val="001C35A4"/>
    <w:rsid w:val="001C3AE6"/>
    <w:rsid w:val="001C3F44"/>
    <w:rsid w:val="001C3FFB"/>
    <w:rsid w:val="001C4404"/>
    <w:rsid w:val="001C45F0"/>
    <w:rsid w:val="001C4EEF"/>
    <w:rsid w:val="001C4F32"/>
    <w:rsid w:val="001C6340"/>
    <w:rsid w:val="001C72D2"/>
    <w:rsid w:val="001C7343"/>
    <w:rsid w:val="001C75E0"/>
    <w:rsid w:val="001C7997"/>
    <w:rsid w:val="001C7CB4"/>
    <w:rsid w:val="001D0AB7"/>
    <w:rsid w:val="001D0B42"/>
    <w:rsid w:val="001D2915"/>
    <w:rsid w:val="001D2A7D"/>
    <w:rsid w:val="001D2FA7"/>
    <w:rsid w:val="001D303F"/>
    <w:rsid w:val="001D34C0"/>
    <w:rsid w:val="001D37B7"/>
    <w:rsid w:val="001D3E7B"/>
    <w:rsid w:val="001D57C2"/>
    <w:rsid w:val="001D5D21"/>
    <w:rsid w:val="001D6133"/>
    <w:rsid w:val="001D634A"/>
    <w:rsid w:val="001D660E"/>
    <w:rsid w:val="001D6A89"/>
    <w:rsid w:val="001D701A"/>
    <w:rsid w:val="001D701D"/>
    <w:rsid w:val="001D78AA"/>
    <w:rsid w:val="001D79C2"/>
    <w:rsid w:val="001E0428"/>
    <w:rsid w:val="001E043E"/>
    <w:rsid w:val="001E15DA"/>
    <w:rsid w:val="001E2293"/>
    <w:rsid w:val="001E2DD7"/>
    <w:rsid w:val="001E3454"/>
    <w:rsid w:val="001E3A0C"/>
    <w:rsid w:val="001E3C53"/>
    <w:rsid w:val="001E4130"/>
    <w:rsid w:val="001E5032"/>
    <w:rsid w:val="001E5BC2"/>
    <w:rsid w:val="001E6064"/>
    <w:rsid w:val="001E6898"/>
    <w:rsid w:val="001E68E4"/>
    <w:rsid w:val="001E6C09"/>
    <w:rsid w:val="001E6C21"/>
    <w:rsid w:val="001E772A"/>
    <w:rsid w:val="001E7832"/>
    <w:rsid w:val="001E7BAC"/>
    <w:rsid w:val="001F04A8"/>
    <w:rsid w:val="001F0A83"/>
    <w:rsid w:val="001F0A94"/>
    <w:rsid w:val="001F0FB7"/>
    <w:rsid w:val="001F1C2C"/>
    <w:rsid w:val="001F2815"/>
    <w:rsid w:val="001F2F51"/>
    <w:rsid w:val="001F3DC3"/>
    <w:rsid w:val="001F40DA"/>
    <w:rsid w:val="001F45C4"/>
    <w:rsid w:val="001F45E9"/>
    <w:rsid w:val="001F4912"/>
    <w:rsid w:val="001F4F98"/>
    <w:rsid w:val="001F50A5"/>
    <w:rsid w:val="001F541A"/>
    <w:rsid w:val="001F5B40"/>
    <w:rsid w:val="001F5DC2"/>
    <w:rsid w:val="001F61EE"/>
    <w:rsid w:val="001F6232"/>
    <w:rsid w:val="001F637A"/>
    <w:rsid w:val="002000A4"/>
    <w:rsid w:val="00200C04"/>
    <w:rsid w:val="00200E12"/>
    <w:rsid w:val="00201305"/>
    <w:rsid w:val="00201897"/>
    <w:rsid w:val="00201D1D"/>
    <w:rsid w:val="00201DE0"/>
    <w:rsid w:val="00202121"/>
    <w:rsid w:val="00202392"/>
    <w:rsid w:val="00203BCB"/>
    <w:rsid w:val="002043C7"/>
    <w:rsid w:val="002046A5"/>
    <w:rsid w:val="00205274"/>
    <w:rsid w:val="00205766"/>
    <w:rsid w:val="00205A2C"/>
    <w:rsid w:val="00205D89"/>
    <w:rsid w:val="00205FD9"/>
    <w:rsid w:val="00207A21"/>
    <w:rsid w:val="00207E00"/>
    <w:rsid w:val="00207FE0"/>
    <w:rsid w:val="0021036A"/>
    <w:rsid w:val="0021040A"/>
    <w:rsid w:val="002104A0"/>
    <w:rsid w:val="00210A1B"/>
    <w:rsid w:val="0021139C"/>
    <w:rsid w:val="002118A7"/>
    <w:rsid w:val="00211BD8"/>
    <w:rsid w:val="00211BFA"/>
    <w:rsid w:val="00211E6F"/>
    <w:rsid w:val="00212323"/>
    <w:rsid w:val="00212DB4"/>
    <w:rsid w:val="00213F64"/>
    <w:rsid w:val="002157EB"/>
    <w:rsid w:val="002158DC"/>
    <w:rsid w:val="00216A4C"/>
    <w:rsid w:val="00216B5C"/>
    <w:rsid w:val="002171E4"/>
    <w:rsid w:val="00220220"/>
    <w:rsid w:val="0022057D"/>
    <w:rsid w:val="00220945"/>
    <w:rsid w:val="00222097"/>
    <w:rsid w:val="00222E2F"/>
    <w:rsid w:val="00223543"/>
    <w:rsid w:val="00223FBD"/>
    <w:rsid w:val="00224244"/>
    <w:rsid w:val="002246D8"/>
    <w:rsid w:val="00224837"/>
    <w:rsid w:val="00224851"/>
    <w:rsid w:val="00224ACB"/>
    <w:rsid w:val="00224D87"/>
    <w:rsid w:val="00225330"/>
    <w:rsid w:val="002254B2"/>
    <w:rsid w:val="0022599A"/>
    <w:rsid w:val="00225E1A"/>
    <w:rsid w:val="00226809"/>
    <w:rsid w:val="00227D30"/>
    <w:rsid w:val="0023060C"/>
    <w:rsid w:val="002309B6"/>
    <w:rsid w:val="00230B7A"/>
    <w:rsid w:val="00230C18"/>
    <w:rsid w:val="00230C23"/>
    <w:rsid w:val="0023104A"/>
    <w:rsid w:val="00232869"/>
    <w:rsid w:val="00232F55"/>
    <w:rsid w:val="002335E4"/>
    <w:rsid w:val="00233C04"/>
    <w:rsid w:val="00233FBC"/>
    <w:rsid w:val="00234853"/>
    <w:rsid w:val="00234A83"/>
    <w:rsid w:val="00234C5A"/>
    <w:rsid w:val="00234CFD"/>
    <w:rsid w:val="00234FD3"/>
    <w:rsid w:val="002350CE"/>
    <w:rsid w:val="0023524C"/>
    <w:rsid w:val="0023611C"/>
    <w:rsid w:val="00236224"/>
    <w:rsid w:val="00236917"/>
    <w:rsid w:val="00236D9E"/>
    <w:rsid w:val="0024000F"/>
    <w:rsid w:val="00241A4E"/>
    <w:rsid w:val="00241AB4"/>
    <w:rsid w:val="00241AE4"/>
    <w:rsid w:val="002420CA"/>
    <w:rsid w:val="00242C66"/>
    <w:rsid w:val="00243269"/>
    <w:rsid w:val="00243772"/>
    <w:rsid w:val="00243A0E"/>
    <w:rsid w:val="00243F25"/>
    <w:rsid w:val="00244241"/>
    <w:rsid w:val="00245433"/>
    <w:rsid w:val="00245EDA"/>
    <w:rsid w:val="0024654F"/>
    <w:rsid w:val="002467ED"/>
    <w:rsid w:val="00246FD9"/>
    <w:rsid w:val="00247F82"/>
    <w:rsid w:val="00251B93"/>
    <w:rsid w:val="00252435"/>
    <w:rsid w:val="00252B92"/>
    <w:rsid w:val="0025369F"/>
    <w:rsid w:val="0025413E"/>
    <w:rsid w:val="002541EF"/>
    <w:rsid w:val="0025463F"/>
    <w:rsid w:val="0025483B"/>
    <w:rsid w:val="0025653D"/>
    <w:rsid w:val="0025665D"/>
    <w:rsid w:val="002568AD"/>
    <w:rsid w:val="00256C72"/>
    <w:rsid w:val="00256C80"/>
    <w:rsid w:val="0026164B"/>
    <w:rsid w:val="00261C48"/>
    <w:rsid w:val="00261E1A"/>
    <w:rsid w:val="00261EBA"/>
    <w:rsid w:val="002622C4"/>
    <w:rsid w:val="00262AB8"/>
    <w:rsid w:val="002632E3"/>
    <w:rsid w:val="00264824"/>
    <w:rsid w:val="00264B27"/>
    <w:rsid w:val="00264E0A"/>
    <w:rsid w:val="00265059"/>
    <w:rsid w:val="00265727"/>
    <w:rsid w:val="00265C64"/>
    <w:rsid w:val="002663B7"/>
    <w:rsid w:val="002668B6"/>
    <w:rsid w:val="00266CD8"/>
    <w:rsid w:val="00267BFC"/>
    <w:rsid w:val="00267C6D"/>
    <w:rsid w:val="0027035D"/>
    <w:rsid w:val="00271AB1"/>
    <w:rsid w:val="00271B7E"/>
    <w:rsid w:val="0027268E"/>
    <w:rsid w:val="00272888"/>
    <w:rsid w:val="00273580"/>
    <w:rsid w:val="002736CE"/>
    <w:rsid w:val="00274282"/>
    <w:rsid w:val="00274420"/>
    <w:rsid w:val="0027443D"/>
    <w:rsid w:val="002746A6"/>
    <w:rsid w:val="00274EED"/>
    <w:rsid w:val="00274F79"/>
    <w:rsid w:val="00275136"/>
    <w:rsid w:val="0027585C"/>
    <w:rsid w:val="00275918"/>
    <w:rsid w:val="00275D80"/>
    <w:rsid w:val="00275FFD"/>
    <w:rsid w:val="00276081"/>
    <w:rsid w:val="0027621E"/>
    <w:rsid w:val="0027671F"/>
    <w:rsid w:val="002768B4"/>
    <w:rsid w:val="0027729B"/>
    <w:rsid w:val="0027754D"/>
    <w:rsid w:val="00277891"/>
    <w:rsid w:val="00277BE5"/>
    <w:rsid w:val="002806A5"/>
    <w:rsid w:val="0028189D"/>
    <w:rsid w:val="002831B9"/>
    <w:rsid w:val="002833CA"/>
    <w:rsid w:val="00284277"/>
    <w:rsid w:val="002842B1"/>
    <w:rsid w:val="00284574"/>
    <w:rsid w:val="00285639"/>
    <w:rsid w:val="00285BD1"/>
    <w:rsid w:val="002860AC"/>
    <w:rsid w:val="0028655D"/>
    <w:rsid w:val="00286C70"/>
    <w:rsid w:val="00286E8C"/>
    <w:rsid w:val="00287505"/>
    <w:rsid w:val="00287AE1"/>
    <w:rsid w:val="00287D3B"/>
    <w:rsid w:val="0029027D"/>
    <w:rsid w:val="00290410"/>
    <w:rsid w:val="00290882"/>
    <w:rsid w:val="00291C46"/>
    <w:rsid w:val="00291FFE"/>
    <w:rsid w:val="0029236E"/>
    <w:rsid w:val="002924B3"/>
    <w:rsid w:val="00292867"/>
    <w:rsid w:val="00295270"/>
    <w:rsid w:val="0029571D"/>
    <w:rsid w:val="002958EB"/>
    <w:rsid w:val="00295AF7"/>
    <w:rsid w:val="0029638E"/>
    <w:rsid w:val="002964B1"/>
    <w:rsid w:val="002967A4"/>
    <w:rsid w:val="00297676"/>
    <w:rsid w:val="002978DA"/>
    <w:rsid w:val="00297BF2"/>
    <w:rsid w:val="00297E5D"/>
    <w:rsid w:val="002A0BCB"/>
    <w:rsid w:val="002A1098"/>
    <w:rsid w:val="002A194A"/>
    <w:rsid w:val="002A1D2A"/>
    <w:rsid w:val="002A1D4C"/>
    <w:rsid w:val="002A274F"/>
    <w:rsid w:val="002A2D63"/>
    <w:rsid w:val="002A2F83"/>
    <w:rsid w:val="002A41DC"/>
    <w:rsid w:val="002A4A1B"/>
    <w:rsid w:val="002A56F9"/>
    <w:rsid w:val="002A5CB6"/>
    <w:rsid w:val="002A5D59"/>
    <w:rsid w:val="002A5D64"/>
    <w:rsid w:val="002A60A4"/>
    <w:rsid w:val="002A75D8"/>
    <w:rsid w:val="002A7FFD"/>
    <w:rsid w:val="002B0149"/>
    <w:rsid w:val="002B02FA"/>
    <w:rsid w:val="002B0724"/>
    <w:rsid w:val="002B0BA6"/>
    <w:rsid w:val="002B0F67"/>
    <w:rsid w:val="002B1E42"/>
    <w:rsid w:val="002B1FBD"/>
    <w:rsid w:val="002B23F3"/>
    <w:rsid w:val="002B2AAB"/>
    <w:rsid w:val="002B45AB"/>
    <w:rsid w:val="002B524D"/>
    <w:rsid w:val="002B6A79"/>
    <w:rsid w:val="002B6DD1"/>
    <w:rsid w:val="002B721D"/>
    <w:rsid w:val="002B7289"/>
    <w:rsid w:val="002B74AD"/>
    <w:rsid w:val="002B7B7B"/>
    <w:rsid w:val="002C00E4"/>
    <w:rsid w:val="002C011D"/>
    <w:rsid w:val="002C0615"/>
    <w:rsid w:val="002C0928"/>
    <w:rsid w:val="002C09FC"/>
    <w:rsid w:val="002C0AAB"/>
    <w:rsid w:val="002C0ED2"/>
    <w:rsid w:val="002C1C3C"/>
    <w:rsid w:val="002C2ED1"/>
    <w:rsid w:val="002C2EDA"/>
    <w:rsid w:val="002C3850"/>
    <w:rsid w:val="002C3C52"/>
    <w:rsid w:val="002C4A91"/>
    <w:rsid w:val="002C50F7"/>
    <w:rsid w:val="002C5A3F"/>
    <w:rsid w:val="002C5F97"/>
    <w:rsid w:val="002C78C3"/>
    <w:rsid w:val="002C7D3F"/>
    <w:rsid w:val="002C7E95"/>
    <w:rsid w:val="002D06FC"/>
    <w:rsid w:val="002D2714"/>
    <w:rsid w:val="002D2C5A"/>
    <w:rsid w:val="002D2E8C"/>
    <w:rsid w:val="002D3EEE"/>
    <w:rsid w:val="002D4594"/>
    <w:rsid w:val="002D4C0D"/>
    <w:rsid w:val="002D54C9"/>
    <w:rsid w:val="002D5516"/>
    <w:rsid w:val="002D5B0B"/>
    <w:rsid w:val="002D5E19"/>
    <w:rsid w:val="002D7D91"/>
    <w:rsid w:val="002E06A7"/>
    <w:rsid w:val="002E090F"/>
    <w:rsid w:val="002E0935"/>
    <w:rsid w:val="002E0B46"/>
    <w:rsid w:val="002E24CB"/>
    <w:rsid w:val="002E2B4B"/>
    <w:rsid w:val="002E2C78"/>
    <w:rsid w:val="002E2DD2"/>
    <w:rsid w:val="002E3256"/>
    <w:rsid w:val="002E3692"/>
    <w:rsid w:val="002E38BC"/>
    <w:rsid w:val="002E3B7B"/>
    <w:rsid w:val="002E43F5"/>
    <w:rsid w:val="002E4590"/>
    <w:rsid w:val="002E52CD"/>
    <w:rsid w:val="002E723E"/>
    <w:rsid w:val="002E72ED"/>
    <w:rsid w:val="002E73DF"/>
    <w:rsid w:val="002E7943"/>
    <w:rsid w:val="002E7BAA"/>
    <w:rsid w:val="002F1234"/>
    <w:rsid w:val="002F15D4"/>
    <w:rsid w:val="002F1EB9"/>
    <w:rsid w:val="002F2254"/>
    <w:rsid w:val="002F2748"/>
    <w:rsid w:val="002F286B"/>
    <w:rsid w:val="002F2910"/>
    <w:rsid w:val="002F2927"/>
    <w:rsid w:val="002F2CB1"/>
    <w:rsid w:val="002F3844"/>
    <w:rsid w:val="002F3E6D"/>
    <w:rsid w:val="002F4044"/>
    <w:rsid w:val="002F47CA"/>
    <w:rsid w:val="002F47DF"/>
    <w:rsid w:val="002F4B3C"/>
    <w:rsid w:val="002F5967"/>
    <w:rsid w:val="002F5D3E"/>
    <w:rsid w:val="002F631E"/>
    <w:rsid w:val="002F646B"/>
    <w:rsid w:val="002F68D2"/>
    <w:rsid w:val="002F7152"/>
    <w:rsid w:val="002F7A5C"/>
    <w:rsid w:val="002F7A71"/>
    <w:rsid w:val="002F7B03"/>
    <w:rsid w:val="003001EA"/>
    <w:rsid w:val="0030070C"/>
    <w:rsid w:val="00300931"/>
    <w:rsid w:val="00300A2A"/>
    <w:rsid w:val="00300E83"/>
    <w:rsid w:val="00301351"/>
    <w:rsid w:val="00303204"/>
    <w:rsid w:val="003040B7"/>
    <w:rsid w:val="0030423F"/>
    <w:rsid w:val="003053EF"/>
    <w:rsid w:val="00305654"/>
    <w:rsid w:val="003056D1"/>
    <w:rsid w:val="00306C86"/>
    <w:rsid w:val="00307488"/>
    <w:rsid w:val="00307701"/>
    <w:rsid w:val="00310059"/>
    <w:rsid w:val="00310AB7"/>
    <w:rsid w:val="00311008"/>
    <w:rsid w:val="00312065"/>
    <w:rsid w:val="00313445"/>
    <w:rsid w:val="003139E1"/>
    <w:rsid w:val="003143A3"/>
    <w:rsid w:val="00315239"/>
    <w:rsid w:val="00315C94"/>
    <w:rsid w:val="00316563"/>
    <w:rsid w:val="00316EDF"/>
    <w:rsid w:val="00317184"/>
    <w:rsid w:val="00317E47"/>
    <w:rsid w:val="003202CF"/>
    <w:rsid w:val="00320417"/>
    <w:rsid w:val="0032075D"/>
    <w:rsid w:val="003209EC"/>
    <w:rsid w:val="00321123"/>
    <w:rsid w:val="00322350"/>
    <w:rsid w:val="0032274A"/>
    <w:rsid w:val="00323CAC"/>
    <w:rsid w:val="00323FC4"/>
    <w:rsid w:val="00324466"/>
    <w:rsid w:val="0032549A"/>
    <w:rsid w:val="00326400"/>
    <w:rsid w:val="00326AA2"/>
    <w:rsid w:val="00326F4D"/>
    <w:rsid w:val="00327433"/>
    <w:rsid w:val="0032769D"/>
    <w:rsid w:val="00330AF7"/>
    <w:rsid w:val="00330C05"/>
    <w:rsid w:val="00330DC6"/>
    <w:rsid w:val="00331954"/>
    <w:rsid w:val="00331AAE"/>
    <w:rsid w:val="00331CF9"/>
    <w:rsid w:val="0033333C"/>
    <w:rsid w:val="00334051"/>
    <w:rsid w:val="003354D5"/>
    <w:rsid w:val="0033553B"/>
    <w:rsid w:val="003357BA"/>
    <w:rsid w:val="00335837"/>
    <w:rsid w:val="003361CE"/>
    <w:rsid w:val="00336CFD"/>
    <w:rsid w:val="00337CC1"/>
    <w:rsid w:val="0034086B"/>
    <w:rsid w:val="00341A07"/>
    <w:rsid w:val="003421D9"/>
    <w:rsid w:val="003432B1"/>
    <w:rsid w:val="003436DB"/>
    <w:rsid w:val="00343BCD"/>
    <w:rsid w:val="0034454F"/>
    <w:rsid w:val="00344ACD"/>
    <w:rsid w:val="00344F3D"/>
    <w:rsid w:val="00344F62"/>
    <w:rsid w:val="00344FA3"/>
    <w:rsid w:val="00345116"/>
    <w:rsid w:val="003451C0"/>
    <w:rsid w:val="00345AA1"/>
    <w:rsid w:val="00346899"/>
    <w:rsid w:val="00346E06"/>
    <w:rsid w:val="00347117"/>
    <w:rsid w:val="0034758D"/>
    <w:rsid w:val="0035062E"/>
    <w:rsid w:val="00350991"/>
    <w:rsid w:val="00350ADC"/>
    <w:rsid w:val="00350BF7"/>
    <w:rsid w:val="00350DC3"/>
    <w:rsid w:val="003513CC"/>
    <w:rsid w:val="00351615"/>
    <w:rsid w:val="00351F7E"/>
    <w:rsid w:val="003529FD"/>
    <w:rsid w:val="00353F03"/>
    <w:rsid w:val="00354745"/>
    <w:rsid w:val="00354BDE"/>
    <w:rsid w:val="00354F22"/>
    <w:rsid w:val="0035510E"/>
    <w:rsid w:val="00355C4E"/>
    <w:rsid w:val="00355F03"/>
    <w:rsid w:val="00355F44"/>
    <w:rsid w:val="003564E7"/>
    <w:rsid w:val="00356FE6"/>
    <w:rsid w:val="0035741C"/>
    <w:rsid w:val="0035794B"/>
    <w:rsid w:val="00360C53"/>
    <w:rsid w:val="00360E1A"/>
    <w:rsid w:val="00361CC1"/>
    <w:rsid w:val="00361E09"/>
    <w:rsid w:val="00362110"/>
    <w:rsid w:val="003626DA"/>
    <w:rsid w:val="00362895"/>
    <w:rsid w:val="00362A99"/>
    <w:rsid w:val="00363907"/>
    <w:rsid w:val="00364D54"/>
    <w:rsid w:val="00364F84"/>
    <w:rsid w:val="00365349"/>
    <w:rsid w:val="00366CC0"/>
    <w:rsid w:val="0036718C"/>
    <w:rsid w:val="003674BD"/>
    <w:rsid w:val="00367DB7"/>
    <w:rsid w:val="0037052D"/>
    <w:rsid w:val="003719B5"/>
    <w:rsid w:val="00371DB1"/>
    <w:rsid w:val="00371DF9"/>
    <w:rsid w:val="003727CD"/>
    <w:rsid w:val="003730D5"/>
    <w:rsid w:val="00373ABA"/>
    <w:rsid w:val="003742D9"/>
    <w:rsid w:val="0037470A"/>
    <w:rsid w:val="003747EE"/>
    <w:rsid w:val="00374E82"/>
    <w:rsid w:val="00375611"/>
    <w:rsid w:val="003759E1"/>
    <w:rsid w:val="00376DE7"/>
    <w:rsid w:val="00377BA6"/>
    <w:rsid w:val="00377CE7"/>
    <w:rsid w:val="00377D03"/>
    <w:rsid w:val="00377F9D"/>
    <w:rsid w:val="00380B49"/>
    <w:rsid w:val="00381517"/>
    <w:rsid w:val="0038175B"/>
    <w:rsid w:val="00381AB3"/>
    <w:rsid w:val="00381C17"/>
    <w:rsid w:val="00381F89"/>
    <w:rsid w:val="00382917"/>
    <w:rsid w:val="0038334F"/>
    <w:rsid w:val="00383C7E"/>
    <w:rsid w:val="00384277"/>
    <w:rsid w:val="00384DEA"/>
    <w:rsid w:val="00385281"/>
    <w:rsid w:val="00385555"/>
    <w:rsid w:val="003857A3"/>
    <w:rsid w:val="00385DFE"/>
    <w:rsid w:val="00386019"/>
    <w:rsid w:val="0038624B"/>
    <w:rsid w:val="00386782"/>
    <w:rsid w:val="0038708B"/>
    <w:rsid w:val="003871F5"/>
    <w:rsid w:val="003872BC"/>
    <w:rsid w:val="00387917"/>
    <w:rsid w:val="00387A6A"/>
    <w:rsid w:val="00390383"/>
    <w:rsid w:val="003907E4"/>
    <w:rsid w:val="003909AD"/>
    <w:rsid w:val="00390BA3"/>
    <w:rsid w:val="00390C51"/>
    <w:rsid w:val="003916EE"/>
    <w:rsid w:val="00391837"/>
    <w:rsid w:val="00391CC1"/>
    <w:rsid w:val="00393197"/>
    <w:rsid w:val="0039329F"/>
    <w:rsid w:val="003943D2"/>
    <w:rsid w:val="003947CE"/>
    <w:rsid w:val="003949C0"/>
    <w:rsid w:val="00394D01"/>
    <w:rsid w:val="0039502E"/>
    <w:rsid w:val="00396E11"/>
    <w:rsid w:val="003971AA"/>
    <w:rsid w:val="00397460"/>
    <w:rsid w:val="003974A0"/>
    <w:rsid w:val="003975BA"/>
    <w:rsid w:val="0039790A"/>
    <w:rsid w:val="003A2513"/>
    <w:rsid w:val="003A3CAF"/>
    <w:rsid w:val="003A5D71"/>
    <w:rsid w:val="003A6B05"/>
    <w:rsid w:val="003A6C64"/>
    <w:rsid w:val="003A6C95"/>
    <w:rsid w:val="003A7149"/>
    <w:rsid w:val="003A7456"/>
    <w:rsid w:val="003A77F8"/>
    <w:rsid w:val="003B02F9"/>
    <w:rsid w:val="003B0D13"/>
    <w:rsid w:val="003B0DD3"/>
    <w:rsid w:val="003B148C"/>
    <w:rsid w:val="003B20B3"/>
    <w:rsid w:val="003B256E"/>
    <w:rsid w:val="003B2D0A"/>
    <w:rsid w:val="003B3B3B"/>
    <w:rsid w:val="003B3F4B"/>
    <w:rsid w:val="003B40DC"/>
    <w:rsid w:val="003B4A4A"/>
    <w:rsid w:val="003B4E88"/>
    <w:rsid w:val="003B5215"/>
    <w:rsid w:val="003B55DD"/>
    <w:rsid w:val="003B5C2F"/>
    <w:rsid w:val="003B67AE"/>
    <w:rsid w:val="003B6EF4"/>
    <w:rsid w:val="003B7C8A"/>
    <w:rsid w:val="003B7FF4"/>
    <w:rsid w:val="003C06A5"/>
    <w:rsid w:val="003C07EE"/>
    <w:rsid w:val="003C0B99"/>
    <w:rsid w:val="003C0B9E"/>
    <w:rsid w:val="003C1489"/>
    <w:rsid w:val="003C170F"/>
    <w:rsid w:val="003C29D6"/>
    <w:rsid w:val="003C2D9A"/>
    <w:rsid w:val="003C3881"/>
    <w:rsid w:val="003C43BA"/>
    <w:rsid w:val="003C52C2"/>
    <w:rsid w:val="003C54EE"/>
    <w:rsid w:val="003C5F05"/>
    <w:rsid w:val="003C6660"/>
    <w:rsid w:val="003C694A"/>
    <w:rsid w:val="003C69B2"/>
    <w:rsid w:val="003C712C"/>
    <w:rsid w:val="003C7960"/>
    <w:rsid w:val="003D05A7"/>
    <w:rsid w:val="003D091C"/>
    <w:rsid w:val="003D0A95"/>
    <w:rsid w:val="003D1536"/>
    <w:rsid w:val="003D1933"/>
    <w:rsid w:val="003D2341"/>
    <w:rsid w:val="003D2FF5"/>
    <w:rsid w:val="003D3472"/>
    <w:rsid w:val="003D3ADE"/>
    <w:rsid w:val="003D3BCD"/>
    <w:rsid w:val="003D3DAB"/>
    <w:rsid w:val="003D3EB5"/>
    <w:rsid w:val="003D3EC7"/>
    <w:rsid w:val="003D4626"/>
    <w:rsid w:val="003D46B3"/>
    <w:rsid w:val="003D4A6B"/>
    <w:rsid w:val="003D4ED4"/>
    <w:rsid w:val="003D52EE"/>
    <w:rsid w:val="003D54A1"/>
    <w:rsid w:val="003D559F"/>
    <w:rsid w:val="003D590F"/>
    <w:rsid w:val="003D5EE9"/>
    <w:rsid w:val="003D637A"/>
    <w:rsid w:val="003D69EA"/>
    <w:rsid w:val="003D6EC9"/>
    <w:rsid w:val="003D703E"/>
    <w:rsid w:val="003E0FC2"/>
    <w:rsid w:val="003E1AC1"/>
    <w:rsid w:val="003E27AC"/>
    <w:rsid w:val="003E28A9"/>
    <w:rsid w:val="003E2A41"/>
    <w:rsid w:val="003E3883"/>
    <w:rsid w:val="003E3E56"/>
    <w:rsid w:val="003E429E"/>
    <w:rsid w:val="003E4404"/>
    <w:rsid w:val="003E4965"/>
    <w:rsid w:val="003E4D89"/>
    <w:rsid w:val="003E6B86"/>
    <w:rsid w:val="003E6DC8"/>
    <w:rsid w:val="003E6F8F"/>
    <w:rsid w:val="003E7789"/>
    <w:rsid w:val="003E78D0"/>
    <w:rsid w:val="003F040D"/>
    <w:rsid w:val="003F0EB8"/>
    <w:rsid w:val="003F0FDF"/>
    <w:rsid w:val="003F196E"/>
    <w:rsid w:val="003F1B21"/>
    <w:rsid w:val="003F1FB4"/>
    <w:rsid w:val="003F2578"/>
    <w:rsid w:val="003F2F84"/>
    <w:rsid w:val="003F3223"/>
    <w:rsid w:val="003F34D6"/>
    <w:rsid w:val="003F3A63"/>
    <w:rsid w:val="003F3AA6"/>
    <w:rsid w:val="003F455E"/>
    <w:rsid w:val="003F5176"/>
    <w:rsid w:val="003F5BA2"/>
    <w:rsid w:val="003F5C64"/>
    <w:rsid w:val="003F5C7D"/>
    <w:rsid w:val="003F5C87"/>
    <w:rsid w:val="003F6316"/>
    <w:rsid w:val="003F6381"/>
    <w:rsid w:val="003F6D89"/>
    <w:rsid w:val="003F76ED"/>
    <w:rsid w:val="00400186"/>
    <w:rsid w:val="004002D5"/>
    <w:rsid w:val="004008BE"/>
    <w:rsid w:val="00400948"/>
    <w:rsid w:val="00400FC3"/>
    <w:rsid w:val="0040134B"/>
    <w:rsid w:val="00401943"/>
    <w:rsid w:val="00401D53"/>
    <w:rsid w:val="00401FA7"/>
    <w:rsid w:val="00402DA0"/>
    <w:rsid w:val="0040329F"/>
    <w:rsid w:val="004033FC"/>
    <w:rsid w:val="004049C0"/>
    <w:rsid w:val="00404D62"/>
    <w:rsid w:val="0040514B"/>
    <w:rsid w:val="00405770"/>
    <w:rsid w:val="00405A1D"/>
    <w:rsid w:val="00405D4E"/>
    <w:rsid w:val="0040722E"/>
    <w:rsid w:val="004105CA"/>
    <w:rsid w:val="0041181D"/>
    <w:rsid w:val="00411B04"/>
    <w:rsid w:val="00412CE0"/>
    <w:rsid w:val="00413836"/>
    <w:rsid w:val="00413D9E"/>
    <w:rsid w:val="00414BF4"/>
    <w:rsid w:val="00414E59"/>
    <w:rsid w:val="004152FF"/>
    <w:rsid w:val="0041576C"/>
    <w:rsid w:val="00415D1E"/>
    <w:rsid w:val="00415DA2"/>
    <w:rsid w:val="00415DB2"/>
    <w:rsid w:val="00417205"/>
    <w:rsid w:val="00417538"/>
    <w:rsid w:val="0041799C"/>
    <w:rsid w:val="00417A90"/>
    <w:rsid w:val="00420BC1"/>
    <w:rsid w:val="00421CCE"/>
    <w:rsid w:val="0042270A"/>
    <w:rsid w:val="0042316C"/>
    <w:rsid w:val="0042332A"/>
    <w:rsid w:val="00423962"/>
    <w:rsid w:val="00424A39"/>
    <w:rsid w:val="00425185"/>
    <w:rsid w:val="0042549C"/>
    <w:rsid w:val="004262B6"/>
    <w:rsid w:val="0042674C"/>
    <w:rsid w:val="00427093"/>
    <w:rsid w:val="00427D40"/>
    <w:rsid w:val="0043011E"/>
    <w:rsid w:val="00431441"/>
    <w:rsid w:val="00431844"/>
    <w:rsid w:val="00431CB7"/>
    <w:rsid w:val="0043201D"/>
    <w:rsid w:val="004322D1"/>
    <w:rsid w:val="00432B3D"/>
    <w:rsid w:val="00433502"/>
    <w:rsid w:val="0043475F"/>
    <w:rsid w:val="00434F6A"/>
    <w:rsid w:val="00434F77"/>
    <w:rsid w:val="00435996"/>
    <w:rsid w:val="00436ADE"/>
    <w:rsid w:val="00436D54"/>
    <w:rsid w:val="00437325"/>
    <w:rsid w:val="0043780E"/>
    <w:rsid w:val="00437E9A"/>
    <w:rsid w:val="00441163"/>
    <w:rsid w:val="00441632"/>
    <w:rsid w:val="00441B50"/>
    <w:rsid w:val="00442190"/>
    <w:rsid w:val="004428FF"/>
    <w:rsid w:val="00442F10"/>
    <w:rsid w:val="00443041"/>
    <w:rsid w:val="00443189"/>
    <w:rsid w:val="004431A4"/>
    <w:rsid w:val="00443671"/>
    <w:rsid w:val="00443994"/>
    <w:rsid w:val="004439AD"/>
    <w:rsid w:val="00443A1E"/>
    <w:rsid w:val="0044425F"/>
    <w:rsid w:val="00444FFA"/>
    <w:rsid w:val="00445BA5"/>
    <w:rsid w:val="00445BF5"/>
    <w:rsid w:val="00446AE6"/>
    <w:rsid w:val="00446B59"/>
    <w:rsid w:val="00446F4D"/>
    <w:rsid w:val="004475BF"/>
    <w:rsid w:val="00447A03"/>
    <w:rsid w:val="00447A22"/>
    <w:rsid w:val="00447BD8"/>
    <w:rsid w:val="00447F64"/>
    <w:rsid w:val="00450FCE"/>
    <w:rsid w:val="00451426"/>
    <w:rsid w:val="004527A9"/>
    <w:rsid w:val="0045317B"/>
    <w:rsid w:val="00453848"/>
    <w:rsid w:val="00453A10"/>
    <w:rsid w:val="004543E2"/>
    <w:rsid w:val="00454980"/>
    <w:rsid w:val="00454FF5"/>
    <w:rsid w:val="00455131"/>
    <w:rsid w:val="00455E7B"/>
    <w:rsid w:val="0045611E"/>
    <w:rsid w:val="00456CD0"/>
    <w:rsid w:val="00460126"/>
    <w:rsid w:val="00460AD0"/>
    <w:rsid w:val="00460B7D"/>
    <w:rsid w:val="00460E25"/>
    <w:rsid w:val="00460F4A"/>
    <w:rsid w:val="00461167"/>
    <w:rsid w:val="004612FD"/>
    <w:rsid w:val="00461E0A"/>
    <w:rsid w:val="00461EA0"/>
    <w:rsid w:val="00462903"/>
    <w:rsid w:val="00462BDF"/>
    <w:rsid w:val="00462BF4"/>
    <w:rsid w:val="00462FF8"/>
    <w:rsid w:val="00463031"/>
    <w:rsid w:val="00463362"/>
    <w:rsid w:val="00463495"/>
    <w:rsid w:val="00463A5A"/>
    <w:rsid w:val="00463B66"/>
    <w:rsid w:val="00463D20"/>
    <w:rsid w:val="00463D7B"/>
    <w:rsid w:val="0046414B"/>
    <w:rsid w:val="004644BF"/>
    <w:rsid w:val="00464C7B"/>
    <w:rsid w:val="00465061"/>
    <w:rsid w:val="004655F8"/>
    <w:rsid w:val="00465618"/>
    <w:rsid w:val="00466015"/>
    <w:rsid w:val="0046613C"/>
    <w:rsid w:val="00466C03"/>
    <w:rsid w:val="00466E06"/>
    <w:rsid w:val="00467A4A"/>
    <w:rsid w:val="00467B59"/>
    <w:rsid w:val="00467EDF"/>
    <w:rsid w:val="00470968"/>
    <w:rsid w:val="00470BFC"/>
    <w:rsid w:val="004712A0"/>
    <w:rsid w:val="004718E9"/>
    <w:rsid w:val="00471D9C"/>
    <w:rsid w:val="004721F3"/>
    <w:rsid w:val="00473693"/>
    <w:rsid w:val="00473FDD"/>
    <w:rsid w:val="0047413E"/>
    <w:rsid w:val="004741BA"/>
    <w:rsid w:val="004747C7"/>
    <w:rsid w:val="004755AF"/>
    <w:rsid w:val="004766C0"/>
    <w:rsid w:val="00476869"/>
    <w:rsid w:val="00477031"/>
    <w:rsid w:val="0047770F"/>
    <w:rsid w:val="0048256C"/>
    <w:rsid w:val="00483CD9"/>
    <w:rsid w:val="00485B90"/>
    <w:rsid w:val="00485D5B"/>
    <w:rsid w:val="004874B8"/>
    <w:rsid w:val="004875FF"/>
    <w:rsid w:val="00487842"/>
    <w:rsid w:val="0049130D"/>
    <w:rsid w:val="00491348"/>
    <w:rsid w:val="0049207C"/>
    <w:rsid w:val="00492F50"/>
    <w:rsid w:val="00494187"/>
    <w:rsid w:val="00494AE9"/>
    <w:rsid w:val="00495028"/>
    <w:rsid w:val="004950E2"/>
    <w:rsid w:val="004954D3"/>
    <w:rsid w:val="004955FB"/>
    <w:rsid w:val="00495647"/>
    <w:rsid w:val="00495C8F"/>
    <w:rsid w:val="00495FEF"/>
    <w:rsid w:val="0049616C"/>
    <w:rsid w:val="00496A0D"/>
    <w:rsid w:val="0049734C"/>
    <w:rsid w:val="004976AC"/>
    <w:rsid w:val="004977D3"/>
    <w:rsid w:val="004A054D"/>
    <w:rsid w:val="004A0C64"/>
    <w:rsid w:val="004A0E58"/>
    <w:rsid w:val="004A0ECE"/>
    <w:rsid w:val="004A0FB0"/>
    <w:rsid w:val="004A0FCE"/>
    <w:rsid w:val="004A1116"/>
    <w:rsid w:val="004A1B4F"/>
    <w:rsid w:val="004A2543"/>
    <w:rsid w:val="004A29DA"/>
    <w:rsid w:val="004A2BB1"/>
    <w:rsid w:val="004A2D86"/>
    <w:rsid w:val="004A347B"/>
    <w:rsid w:val="004A3580"/>
    <w:rsid w:val="004A44AE"/>
    <w:rsid w:val="004A4E3B"/>
    <w:rsid w:val="004A4EC1"/>
    <w:rsid w:val="004A5414"/>
    <w:rsid w:val="004A550E"/>
    <w:rsid w:val="004A55EF"/>
    <w:rsid w:val="004A5D37"/>
    <w:rsid w:val="004A6098"/>
    <w:rsid w:val="004A63B2"/>
    <w:rsid w:val="004A783D"/>
    <w:rsid w:val="004A7A59"/>
    <w:rsid w:val="004A7A6E"/>
    <w:rsid w:val="004B062B"/>
    <w:rsid w:val="004B0C09"/>
    <w:rsid w:val="004B150F"/>
    <w:rsid w:val="004B1B01"/>
    <w:rsid w:val="004B26B5"/>
    <w:rsid w:val="004B2905"/>
    <w:rsid w:val="004B382D"/>
    <w:rsid w:val="004B39F9"/>
    <w:rsid w:val="004B3B0D"/>
    <w:rsid w:val="004B3C26"/>
    <w:rsid w:val="004B3F53"/>
    <w:rsid w:val="004B3F78"/>
    <w:rsid w:val="004B4111"/>
    <w:rsid w:val="004B441D"/>
    <w:rsid w:val="004B4A39"/>
    <w:rsid w:val="004B5B15"/>
    <w:rsid w:val="004B6477"/>
    <w:rsid w:val="004B677E"/>
    <w:rsid w:val="004B7A8E"/>
    <w:rsid w:val="004C0EF8"/>
    <w:rsid w:val="004C1F91"/>
    <w:rsid w:val="004C240F"/>
    <w:rsid w:val="004C2429"/>
    <w:rsid w:val="004C24F6"/>
    <w:rsid w:val="004C2612"/>
    <w:rsid w:val="004C2894"/>
    <w:rsid w:val="004C29F5"/>
    <w:rsid w:val="004C2BC6"/>
    <w:rsid w:val="004C3470"/>
    <w:rsid w:val="004C41FF"/>
    <w:rsid w:val="004C4B77"/>
    <w:rsid w:val="004C515A"/>
    <w:rsid w:val="004C55F6"/>
    <w:rsid w:val="004C583F"/>
    <w:rsid w:val="004C6510"/>
    <w:rsid w:val="004C7180"/>
    <w:rsid w:val="004C750D"/>
    <w:rsid w:val="004C7809"/>
    <w:rsid w:val="004D0B68"/>
    <w:rsid w:val="004D1895"/>
    <w:rsid w:val="004D20F5"/>
    <w:rsid w:val="004D2C36"/>
    <w:rsid w:val="004D387C"/>
    <w:rsid w:val="004D3A42"/>
    <w:rsid w:val="004D3E87"/>
    <w:rsid w:val="004D41AF"/>
    <w:rsid w:val="004D4239"/>
    <w:rsid w:val="004D42A6"/>
    <w:rsid w:val="004D46F8"/>
    <w:rsid w:val="004D4B6F"/>
    <w:rsid w:val="004D5099"/>
    <w:rsid w:val="004D50CF"/>
    <w:rsid w:val="004D5617"/>
    <w:rsid w:val="004D6114"/>
    <w:rsid w:val="004D66A8"/>
    <w:rsid w:val="004D690A"/>
    <w:rsid w:val="004D6B89"/>
    <w:rsid w:val="004D6D6A"/>
    <w:rsid w:val="004D716D"/>
    <w:rsid w:val="004D7DE0"/>
    <w:rsid w:val="004D7F13"/>
    <w:rsid w:val="004E032E"/>
    <w:rsid w:val="004E07BC"/>
    <w:rsid w:val="004E2483"/>
    <w:rsid w:val="004E30E7"/>
    <w:rsid w:val="004E325F"/>
    <w:rsid w:val="004E3695"/>
    <w:rsid w:val="004E38FE"/>
    <w:rsid w:val="004E3A47"/>
    <w:rsid w:val="004E3FA6"/>
    <w:rsid w:val="004E476D"/>
    <w:rsid w:val="004E50EF"/>
    <w:rsid w:val="004E53FC"/>
    <w:rsid w:val="004E57BA"/>
    <w:rsid w:val="004E57FC"/>
    <w:rsid w:val="004E5DC8"/>
    <w:rsid w:val="004E6137"/>
    <w:rsid w:val="004E66A1"/>
    <w:rsid w:val="004E7426"/>
    <w:rsid w:val="004F0ED6"/>
    <w:rsid w:val="004F1AD0"/>
    <w:rsid w:val="004F1FAD"/>
    <w:rsid w:val="004F2077"/>
    <w:rsid w:val="004F2870"/>
    <w:rsid w:val="004F2918"/>
    <w:rsid w:val="004F2A16"/>
    <w:rsid w:val="004F2BE9"/>
    <w:rsid w:val="004F3E88"/>
    <w:rsid w:val="004F4671"/>
    <w:rsid w:val="004F47F2"/>
    <w:rsid w:val="004F549C"/>
    <w:rsid w:val="004F5B14"/>
    <w:rsid w:val="004F5DDA"/>
    <w:rsid w:val="004F6339"/>
    <w:rsid w:val="004F68B6"/>
    <w:rsid w:val="004F7564"/>
    <w:rsid w:val="005002F0"/>
    <w:rsid w:val="00500560"/>
    <w:rsid w:val="005007A7"/>
    <w:rsid w:val="00500A8B"/>
    <w:rsid w:val="00500F99"/>
    <w:rsid w:val="0050170F"/>
    <w:rsid w:val="00502C0B"/>
    <w:rsid w:val="00503430"/>
    <w:rsid w:val="005034B4"/>
    <w:rsid w:val="0050487C"/>
    <w:rsid w:val="005049E7"/>
    <w:rsid w:val="0050547C"/>
    <w:rsid w:val="00505851"/>
    <w:rsid w:val="00506263"/>
    <w:rsid w:val="0050699A"/>
    <w:rsid w:val="005075E3"/>
    <w:rsid w:val="00507DC4"/>
    <w:rsid w:val="005111F6"/>
    <w:rsid w:val="00511FA6"/>
    <w:rsid w:val="005124E6"/>
    <w:rsid w:val="0051264C"/>
    <w:rsid w:val="00512748"/>
    <w:rsid w:val="00513F3E"/>
    <w:rsid w:val="00514412"/>
    <w:rsid w:val="00514486"/>
    <w:rsid w:val="00514711"/>
    <w:rsid w:val="005151F6"/>
    <w:rsid w:val="00515215"/>
    <w:rsid w:val="005154C7"/>
    <w:rsid w:val="0051555A"/>
    <w:rsid w:val="00515872"/>
    <w:rsid w:val="00517DC9"/>
    <w:rsid w:val="00520255"/>
    <w:rsid w:val="005209D9"/>
    <w:rsid w:val="00520ECF"/>
    <w:rsid w:val="00521098"/>
    <w:rsid w:val="00521575"/>
    <w:rsid w:val="00521ABF"/>
    <w:rsid w:val="00521CBD"/>
    <w:rsid w:val="005225C3"/>
    <w:rsid w:val="00522914"/>
    <w:rsid w:val="00522A2A"/>
    <w:rsid w:val="005235C6"/>
    <w:rsid w:val="00523D7A"/>
    <w:rsid w:val="00524D45"/>
    <w:rsid w:val="00524E0E"/>
    <w:rsid w:val="00524F11"/>
    <w:rsid w:val="005256D6"/>
    <w:rsid w:val="005260DD"/>
    <w:rsid w:val="00526DB2"/>
    <w:rsid w:val="00526F83"/>
    <w:rsid w:val="00527159"/>
    <w:rsid w:val="005271BD"/>
    <w:rsid w:val="005274BF"/>
    <w:rsid w:val="0052750E"/>
    <w:rsid w:val="0052753A"/>
    <w:rsid w:val="005275FE"/>
    <w:rsid w:val="005277AF"/>
    <w:rsid w:val="0053029E"/>
    <w:rsid w:val="005311A5"/>
    <w:rsid w:val="0053155B"/>
    <w:rsid w:val="0053201C"/>
    <w:rsid w:val="005322AB"/>
    <w:rsid w:val="00533936"/>
    <w:rsid w:val="00533AAE"/>
    <w:rsid w:val="00536924"/>
    <w:rsid w:val="00536C66"/>
    <w:rsid w:val="00537BAD"/>
    <w:rsid w:val="00537DFE"/>
    <w:rsid w:val="00540275"/>
    <w:rsid w:val="0054027A"/>
    <w:rsid w:val="00540A20"/>
    <w:rsid w:val="00540D1E"/>
    <w:rsid w:val="00540D78"/>
    <w:rsid w:val="00540E31"/>
    <w:rsid w:val="005415D8"/>
    <w:rsid w:val="00541689"/>
    <w:rsid w:val="005420D7"/>
    <w:rsid w:val="005427EF"/>
    <w:rsid w:val="00542DB4"/>
    <w:rsid w:val="00543080"/>
    <w:rsid w:val="005430D0"/>
    <w:rsid w:val="0054338F"/>
    <w:rsid w:val="005436F7"/>
    <w:rsid w:val="0054373F"/>
    <w:rsid w:val="0054381F"/>
    <w:rsid w:val="0054459A"/>
    <w:rsid w:val="00544904"/>
    <w:rsid w:val="0054520F"/>
    <w:rsid w:val="00545C45"/>
    <w:rsid w:val="00546139"/>
    <w:rsid w:val="00546AC1"/>
    <w:rsid w:val="00547230"/>
    <w:rsid w:val="005478C6"/>
    <w:rsid w:val="00551407"/>
    <w:rsid w:val="00552489"/>
    <w:rsid w:val="005534DF"/>
    <w:rsid w:val="00553A70"/>
    <w:rsid w:val="00554073"/>
    <w:rsid w:val="0055429F"/>
    <w:rsid w:val="00554580"/>
    <w:rsid w:val="005553F6"/>
    <w:rsid w:val="005559CE"/>
    <w:rsid w:val="00555C32"/>
    <w:rsid w:val="00557861"/>
    <w:rsid w:val="00561511"/>
    <w:rsid w:val="0056158E"/>
    <w:rsid w:val="0056209E"/>
    <w:rsid w:val="00563B6F"/>
    <w:rsid w:val="00564A4F"/>
    <w:rsid w:val="00565185"/>
    <w:rsid w:val="005651F4"/>
    <w:rsid w:val="005654CD"/>
    <w:rsid w:val="00565705"/>
    <w:rsid w:val="00566036"/>
    <w:rsid w:val="0056681F"/>
    <w:rsid w:val="00566F6B"/>
    <w:rsid w:val="00567E3C"/>
    <w:rsid w:val="00570126"/>
    <w:rsid w:val="00570A85"/>
    <w:rsid w:val="00570E88"/>
    <w:rsid w:val="00570F7F"/>
    <w:rsid w:val="0057106A"/>
    <w:rsid w:val="005718C8"/>
    <w:rsid w:val="00571A83"/>
    <w:rsid w:val="00571C4B"/>
    <w:rsid w:val="00571D5A"/>
    <w:rsid w:val="00572433"/>
    <w:rsid w:val="00572EC6"/>
    <w:rsid w:val="00572F8E"/>
    <w:rsid w:val="005733FF"/>
    <w:rsid w:val="00573518"/>
    <w:rsid w:val="00573C83"/>
    <w:rsid w:val="0057536F"/>
    <w:rsid w:val="005760FF"/>
    <w:rsid w:val="00576C98"/>
    <w:rsid w:val="005770B4"/>
    <w:rsid w:val="0057732B"/>
    <w:rsid w:val="005778A5"/>
    <w:rsid w:val="005778D7"/>
    <w:rsid w:val="00577A95"/>
    <w:rsid w:val="00577C07"/>
    <w:rsid w:val="00580360"/>
    <w:rsid w:val="00580BB8"/>
    <w:rsid w:val="005817F0"/>
    <w:rsid w:val="0058180E"/>
    <w:rsid w:val="00581CF7"/>
    <w:rsid w:val="00582826"/>
    <w:rsid w:val="00582952"/>
    <w:rsid w:val="00582AA4"/>
    <w:rsid w:val="00583218"/>
    <w:rsid w:val="005832B6"/>
    <w:rsid w:val="00583718"/>
    <w:rsid w:val="00583743"/>
    <w:rsid w:val="0058440B"/>
    <w:rsid w:val="005847A7"/>
    <w:rsid w:val="0058484B"/>
    <w:rsid w:val="00585156"/>
    <w:rsid w:val="0058520C"/>
    <w:rsid w:val="0058631B"/>
    <w:rsid w:val="00586465"/>
    <w:rsid w:val="00586990"/>
    <w:rsid w:val="005873D3"/>
    <w:rsid w:val="00587823"/>
    <w:rsid w:val="00590002"/>
    <w:rsid w:val="00590352"/>
    <w:rsid w:val="00590E35"/>
    <w:rsid w:val="00591194"/>
    <w:rsid w:val="005915D1"/>
    <w:rsid w:val="00591738"/>
    <w:rsid w:val="00591788"/>
    <w:rsid w:val="005919F8"/>
    <w:rsid w:val="00591F80"/>
    <w:rsid w:val="00592C49"/>
    <w:rsid w:val="00592E97"/>
    <w:rsid w:val="00593589"/>
    <w:rsid w:val="00593BDF"/>
    <w:rsid w:val="00593FC8"/>
    <w:rsid w:val="00595B32"/>
    <w:rsid w:val="00596541"/>
    <w:rsid w:val="0059664F"/>
    <w:rsid w:val="00596CEB"/>
    <w:rsid w:val="005976E7"/>
    <w:rsid w:val="00597A66"/>
    <w:rsid w:val="005A03B1"/>
    <w:rsid w:val="005A105C"/>
    <w:rsid w:val="005A203A"/>
    <w:rsid w:val="005A234D"/>
    <w:rsid w:val="005A49C6"/>
    <w:rsid w:val="005A4E8C"/>
    <w:rsid w:val="005A51DE"/>
    <w:rsid w:val="005A5435"/>
    <w:rsid w:val="005A7930"/>
    <w:rsid w:val="005A7D34"/>
    <w:rsid w:val="005B07E9"/>
    <w:rsid w:val="005B0DB2"/>
    <w:rsid w:val="005B117F"/>
    <w:rsid w:val="005B2C36"/>
    <w:rsid w:val="005B33D0"/>
    <w:rsid w:val="005B37F2"/>
    <w:rsid w:val="005B3B68"/>
    <w:rsid w:val="005B3F29"/>
    <w:rsid w:val="005B4803"/>
    <w:rsid w:val="005B4BE8"/>
    <w:rsid w:val="005B4E76"/>
    <w:rsid w:val="005B5573"/>
    <w:rsid w:val="005B5622"/>
    <w:rsid w:val="005B581F"/>
    <w:rsid w:val="005B5ED2"/>
    <w:rsid w:val="005B6C23"/>
    <w:rsid w:val="005B70A6"/>
    <w:rsid w:val="005B7FB6"/>
    <w:rsid w:val="005B7FE5"/>
    <w:rsid w:val="005C01F4"/>
    <w:rsid w:val="005C1365"/>
    <w:rsid w:val="005C181A"/>
    <w:rsid w:val="005C1914"/>
    <w:rsid w:val="005C28EB"/>
    <w:rsid w:val="005C2911"/>
    <w:rsid w:val="005C383D"/>
    <w:rsid w:val="005C3ADF"/>
    <w:rsid w:val="005C40FA"/>
    <w:rsid w:val="005C5027"/>
    <w:rsid w:val="005C5534"/>
    <w:rsid w:val="005C5A2C"/>
    <w:rsid w:val="005C5E97"/>
    <w:rsid w:val="005C6C4E"/>
    <w:rsid w:val="005C6F4B"/>
    <w:rsid w:val="005C73DB"/>
    <w:rsid w:val="005C777D"/>
    <w:rsid w:val="005D058D"/>
    <w:rsid w:val="005D0BE2"/>
    <w:rsid w:val="005D0F7B"/>
    <w:rsid w:val="005D245B"/>
    <w:rsid w:val="005D2F87"/>
    <w:rsid w:val="005D33F2"/>
    <w:rsid w:val="005D37DB"/>
    <w:rsid w:val="005D3DC6"/>
    <w:rsid w:val="005D3FED"/>
    <w:rsid w:val="005D475D"/>
    <w:rsid w:val="005D4888"/>
    <w:rsid w:val="005D52EE"/>
    <w:rsid w:val="005D552E"/>
    <w:rsid w:val="005D5FE8"/>
    <w:rsid w:val="005D61FD"/>
    <w:rsid w:val="005D67EF"/>
    <w:rsid w:val="005D6FB9"/>
    <w:rsid w:val="005D70B1"/>
    <w:rsid w:val="005D71BE"/>
    <w:rsid w:val="005D71CA"/>
    <w:rsid w:val="005D7450"/>
    <w:rsid w:val="005E05DA"/>
    <w:rsid w:val="005E0BBC"/>
    <w:rsid w:val="005E0E6C"/>
    <w:rsid w:val="005E13A8"/>
    <w:rsid w:val="005E1D57"/>
    <w:rsid w:val="005E1FC7"/>
    <w:rsid w:val="005E20F8"/>
    <w:rsid w:val="005E232F"/>
    <w:rsid w:val="005E2578"/>
    <w:rsid w:val="005E264A"/>
    <w:rsid w:val="005E29B8"/>
    <w:rsid w:val="005E35FE"/>
    <w:rsid w:val="005E4678"/>
    <w:rsid w:val="005E4A9F"/>
    <w:rsid w:val="005E4F8B"/>
    <w:rsid w:val="005E5671"/>
    <w:rsid w:val="005E5959"/>
    <w:rsid w:val="005E5F7B"/>
    <w:rsid w:val="005E62D0"/>
    <w:rsid w:val="005E6B8B"/>
    <w:rsid w:val="005E7A9B"/>
    <w:rsid w:val="005F01F2"/>
    <w:rsid w:val="005F0E56"/>
    <w:rsid w:val="005F1182"/>
    <w:rsid w:val="005F1506"/>
    <w:rsid w:val="005F1B1A"/>
    <w:rsid w:val="005F290C"/>
    <w:rsid w:val="005F2DC5"/>
    <w:rsid w:val="005F2ED5"/>
    <w:rsid w:val="005F30A3"/>
    <w:rsid w:val="005F30AA"/>
    <w:rsid w:val="005F39B7"/>
    <w:rsid w:val="005F3E38"/>
    <w:rsid w:val="005F4641"/>
    <w:rsid w:val="005F47F9"/>
    <w:rsid w:val="005F4C15"/>
    <w:rsid w:val="005F50DD"/>
    <w:rsid w:val="005F540A"/>
    <w:rsid w:val="005F6C26"/>
    <w:rsid w:val="005F6C76"/>
    <w:rsid w:val="005F6C9A"/>
    <w:rsid w:val="005F6CC9"/>
    <w:rsid w:val="005F79EE"/>
    <w:rsid w:val="005F7BB5"/>
    <w:rsid w:val="006000C4"/>
    <w:rsid w:val="00600578"/>
    <w:rsid w:val="00600C2B"/>
    <w:rsid w:val="00601DB1"/>
    <w:rsid w:val="00601E79"/>
    <w:rsid w:val="00602FB8"/>
    <w:rsid w:val="006033F9"/>
    <w:rsid w:val="00603D7C"/>
    <w:rsid w:val="00604F9F"/>
    <w:rsid w:val="00606ABF"/>
    <w:rsid w:val="00606B9A"/>
    <w:rsid w:val="00606ED3"/>
    <w:rsid w:val="00607749"/>
    <w:rsid w:val="00607B23"/>
    <w:rsid w:val="00607C9C"/>
    <w:rsid w:val="006104C9"/>
    <w:rsid w:val="0061093A"/>
    <w:rsid w:val="00610ADA"/>
    <w:rsid w:val="00610BB9"/>
    <w:rsid w:val="00611458"/>
    <w:rsid w:val="00611848"/>
    <w:rsid w:val="00611AA4"/>
    <w:rsid w:val="00612650"/>
    <w:rsid w:val="00612E8D"/>
    <w:rsid w:val="00613288"/>
    <w:rsid w:val="006139FF"/>
    <w:rsid w:val="006143A3"/>
    <w:rsid w:val="0061440B"/>
    <w:rsid w:val="00614FE3"/>
    <w:rsid w:val="00616B4B"/>
    <w:rsid w:val="00621BA6"/>
    <w:rsid w:val="00621DD5"/>
    <w:rsid w:val="00621F09"/>
    <w:rsid w:val="00621FE1"/>
    <w:rsid w:val="006222ED"/>
    <w:rsid w:val="00622303"/>
    <w:rsid w:val="006225E8"/>
    <w:rsid w:val="0062376C"/>
    <w:rsid w:val="0062395D"/>
    <w:rsid w:val="006239E1"/>
    <w:rsid w:val="006242FE"/>
    <w:rsid w:val="006245D1"/>
    <w:rsid w:val="00624E68"/>
    <w:rsid w:val="00625834"/>
    <w:rsid w:val="00625836"/>
    <w:rsid w:val="00625F1B"/>
    <w:rsid w:val="006260CC"/>
    <w:rsid w:val="00626146"/>
    <w:rsid w:val="0062676E"/>
    <w:rsid w:val="006269AA"/>
    <w:rsid w:val="00626B36"/>
    <w:rsid w:val="00626BAE"/>
    <w:rsid w:val="00626CCD"/>
    <w:rsid w:val="00626F5B"/>
    <w:rsid w:val="006273EC"/>
    <w:rsid w:val="00627539"/>
    <w:rsid w:val="00627EA0"/>
    <w:rsid w:val="006301E0"/>
    <w:rsid w:val="0063025A"/>
    <w:rsid w:val="00630DEF"/>
    <w:rsid w:val="0063201E"/>
    <w:rsid w:val="0063288C"/>
    <w:rsid w:val="00632F5A"/>
    <w:rsid w:val="00633328"/>
    <w:rsid w:val="006340BC"/>
    <w:rsid w:val="00634230"/>
    <w:rsid w:val="00635E25"/>
    <w:rsid w:val="00636593"/>
    <w:rsid w:val="00637805"/>
    <w:rsid w:val="0063797E"/>
    <w:rsid w:val="00637BA5"/>
    <w:rsid w:val="00640225"/>
    <w:rsid w:val="006403F3"/>
    <w:rsid w:val="00641033"/>
    <w:rsid w:val="00641138"/>
    <w:rsid w:val="006420DB"/>
    <w:rsid w:val="006423CF"/>
    <w:rsid w:val="006425C2"/>
    <w:rsid w:val="0064279B"/>
    <w:rsid w:val="00642DB6"/>
    <w:rsid w:val="0064314E"/>
    <w:rsid w:val="0064315F"/>
    <w:rsid w:val="0064465D"/>
    <w:rsid w:val="006446C6"/>
    <w:rsid w:val="00644A7B"/>
    <w:rsid w:val="00644E6D"/>
    <w:rsid w:val="00645DD4"/>
    <w:rsid w:val="006472BB"/>
    <w:rsid w:val="006477AA"/>
    <w:rsid w:val="00647AEF"/>
    <w:rsid w:val="00647B4C"/>
    <w:rsid w:val="00650D36"/>
    <w:rsid w:val="00650F8F"/>
    <w:rsid w:val="006513C1"/>
    <w:rsid w:val="006526CA"/>
    <w:rsid w:val="0065373E"/>
    <w:rsid w:val="00653EE4"/>
    <w:rsid w:val="00654341"/>
    <w:rsid w:val="00655ABC"/>
    <w:rsid w:val="00655EE1"/>
    <w:rsid w:val="0065610C"/>
    <w:rsid w:val="0065627D"/>
    <w:rsid w:val="00656733"/>
    <w:rsid w:val="00657975"/>
    <w:rsid w:val="006579C6"/>
    <w:rsid w:val="00657E83"/>
    <w:rsid w:val="00657EF0"/>
    <w:rsid w:val="00660374"/>
    <w:rsid w:val="006605D3"/>
    <w:rsid w:val="006607FC"/>
    <w:rsid w:val="00661022"/>
    <w:rsid w:val="006612FC"/>
    <w:rsid w:val="00661C86"/>
    <w:rsid w:val="00662225"/>
    <w:rsid w:val="006624C8"/>
    <w:rsid w:val="00663830"/>
    <w:rsid w:val="00664069"/>
    <w:rsid w:val="00664197"/>
    <w:rsid w:val="00664E43"/>
    <w:rsid w:val="00665A64"/>
    <w:rsid w:val="00665A7A"/>
    <w:rsid w:val="00665BAA"/>
    <w:rsid w:val="00665F51"/>
    <w:rsid w:val="0066637F"/>
    <w:rsid w:val="00666AC2"/>
    <w:rsid w:val="00666AEE"/>
    <w:rsid w:val="0066746C"/>
    <w:rsid w:val="00667FB4"/>
    <w:rsid w:val="00670419"/>
    <w:rsid w:val="00670BF6"/>
    <w:rsid w:val="00671068"/>
    <w:rsid w:val="006713E0"/>
    <w:rsid w:val="00671433"/>
    <w:rsid w:val="006720D4"/>
    <w:rsid w:val="00672840"/>
    <w:rsid w:val="00672BDB"/>
    <w:rsid w:val="00672EE4"/>
    <w:rsid w:val="00673BA5"/>
    <w:rsid w:val="00673C07"/>
    <w:rsid w:val="00673D56"/>
    <w:rsid w:val="00673ED7"/>
    <w:rsid w:val="006744D4"/>
    <w:rsid w:val="0067511B"/>
    <w:rsid w:val="00675229"/>
    <w:rsid w:val="00677024"/>
    <w:rsid w:val="00677B0B"/>
    <w:rsid w:val="00677F16"/>
    <w:rsid w:val="00680F44"/>
    <w:rsid w:val="00681670"/>
    <w:rsid w:val="0068167D"/>
    <w:rsid w:val="00682282"/>
    <w:rsid w:val="0068261D"/>
    <w:rsid w:val="00682B1A"/>
    <w:rsid w:val="00683AF0"/>
    <w:rsid w:val="0068493A"/>
    <w:rsid w:val="00684F0A"/>
    <w:rsid w:val="006857EA"/>
    <w:rsid w:val="00686416"/>
    <w:rsid w:val="00686D82"/>
    <w:rsid w:val="00686F27"/>
    <w:rsid w:val="0068725F"/>
    <w:rsid w:val="00687467"/>
    <w:rsid w:val="00687BE1"/>
    <w:rsid w:val="0069080E"/>
    <w:rsid w:val="00690984"/>
    <w:rsid w:val="00691BD0"/>
    <w:rsid w:val="006920C4"/>
    <w:rsid w:val="00693180"/>
    <w:rsid w:val="00693803"/>
    <w:rsid w:val="006938CC"/>
    <w:rsid w:val="00694937"/>
    <w:rsid w:val="00694CCB"/>
    <w:rsid w:val="006952BE"/>
    <w:rsid w:val="00695C4C"/>
    <w:rsid w:val="00696194"/>
    <w:rsid w:val="00696251"/>
    <w:rsid w:val="006968A6"/>
    <w:rsid w:val="00696CFE"/>
    <w:rsid w:val="006971DA"/>
    <w:rsid w:val="00697303"/>
    <w:rsid w:val="00697BE4"/>
    <w:rsid w:val="00697F0A"/>
    <w:rsid w:val="006A1256"/>
    <w:rsid w:val="006A1640"/>
    <w:rsid w:val="006A1AA3"/>
    <w:rsid w:val="006A1BC0"/>
    <w:rsid w:val="006A200F"/>
    <w:rsid w:val="006A2891"/>
    <w:rsid w:val="006A28F5"/>
    <w:rsid w:val="006A33B4"/>
    <w:rsid w:val="006A364C"/>
    <w:rsid w:val="006A44E5"/>
    <w:rsid w:val="006A473D"/>
    <w:rsid w:val="006A47D3"/>
    <w:rsid w:val="006A50B1"/>
    <w:rsid w:val="006A796C"/>
    <w:rsid w:val="006A7AD0"/>
    <w:rsid w:val="006B0648"/>
    <w:rsid w:val="006B0ACD"/>
    <w:rsid w:val="006B124A"/>
    <w:rsid w:val="006B1333"/>
    <w:rsid w:val="006B1437"/>
    <w:rsid w:val="006B1AF6"/>
    <w:rsid w:val="006B22A2"/>
    <w:rsid w:val="006B2A55"/>
    <w:rsid w:val="006B2D6A"/>
    <w:rsid w:val="006B3B4F"/>
    <w:rsid w:val="006B440C"/>
    <w:rsid w:val="006B4433"/>
    <w:rsid w:val="006B4901"/>
    <w:rsid w:val="006B4D5D"/>
    <w:rsid w:val="006B6708"/>
    <w:rsid w:val="006B6AB9"/>
    <w:rsid w:val="006B6B63"/>
    <w:rsid w:val="006B79C8"/>
    <w:rsid w:val="006B7FDB"/>
    <w:rsid w:val="006C07C3"/>
    <w:rsid w:val="006C09A5"/>
    <w:rsid w:val="006C1504"/>
    <w:rsid w:val="006C1FB5"/>
    <w:rsid w:val="006C2725"/>
    <w:rsid w:val="006C2785"/>
    <w:rsid w:val="006C31B1"/>
    <w:rsid w:val="006C3310"/>
    <w:rsid w:val="006C4444"/>
    <w:rsid w:val="006C4A55"/>
    <w:rsid w:val="006C5130"/>
    <w:rsid w:val="006C54C3"/>
    <w:rsid w:val="006C54EB"/>
    <w:rsid w:val="006C69EC"/>
    <w:rsid w:val="006D0320"/>
    <w:rsid w:val="006D0E04"/>
    <w:rsid w:val="006D18A4"/>
    <w:rsid w:val="006D21BB"/>
    <w:rsid w:val="006D2DE5"/>
    <w:rsid w:val="006D3A6C"/>
    <w:rsid w:val="006D4016"/>
    <w:rsid w:val="006D5182"/>
    <w:rsid w:val="006D5259"/>
    <w:rsid w:val="006D58BA"/>
    <w:rsid w:val="006D6906"/>
    <w:rsid w:val="006D6E91"/>
    <w:rsid w:val="006D7320"/>
    <w:rsid w:val="006D7925"/>
    <w:rsid w:val="006D79B9"/>
    <w:rsid w:val="006D7DE7"/>
    <w:rsid w:val="006E01DB"/>
    <w:rsid w:val="006E0950"/>
    <w:rsid w:val="006E09DC"/>
    <w:rsid w:val="006E0A25"/>
    <w:rsid w:val="006E0F7C"/>
    <w:rsid w:val="006E125C"/>
    <w:rsid w:val="006E132A"/>
    <w:rsid w:val="006E1792"/>
    <w:rsid w:val="006E19D3"/>
    <w:rsid w:val="006E1FE9"/>
    <w:rsid w:val="006E2369"/>
    <w:rsid w:val="006E274D"/>
    <w:rsid w:val="006E31ED"/>
    <w:rsid w:val="006E41B5"/>
    <w:rsid w:val="006E4D16"/>
    <w:rsid w:val="006E4D79"/>
    <w:rsid w:val="006E4F81"/>
    <w:rsid w:val="006E5841"/>
    <w:rsid w:val="006E6BBC"/>
    <w:rsid w:val="006E6E40"/>
    <w:rsid w:val="006F07C0"/>
    <w:rsid w:val="006F0AD7"/>
    <w:rsid w:val="006F121E"/>
    <w:rsid w:val="006F1494"/>
    <w:rsid w:val="006F2356"/>
    <w:rsid w:val="006F2B09"/>
    <w:rsid w:val="006F333A"/>
    <w:rsid w:val="006F4A71"/>
    <w:rsid w:val="006F55F7"/>
    <w:rsid w:val="006F63F8"/>
    <w:rsid w:val="006F6CC3"/>
    <w:rsid w:val="006F6E43"/>
    <w:rsid w:val="006F7082"/>
    <w:rsid w:val="006F70A2"/>
    <w:rsid w:val="006F72C8"/>
    <w:rsid w:val="006F7C0D"/>
    <w:rsid w:val="007002B3"/>
    <w:rsid w:val="007009BA"/>
    <w:rsid w:val="0070156D"/>
    <w:rsid w:val="00701AA3"/>
    <w:rsid w:val="0070206C"/>
    <w:rsid w:val="00702C3F"/>
    <w:rsid w:val="007030D2"/>
    <w:rsid w:val="00703400"/>
    <w:rsid w:val="00704046"/>
    <w:rsid w:val="0070414B"/>
    <w:rsid w:val="0070454C"/>
    <w:rsid w:val="0070563D"/>
    <w:rsid w:val="00705ACE"/>
    <w:rsid w:val="0070624C"/>
    <w:rsid w:val="007076CE"/>
    <w:rsid w:val="007104B0"/>
    <w:rsid w:val="00710834"/>
    <w:rsid w:val="007109C6"/>
    <w:rsid w:val="00710DE6"/>
    <w:rsid w:val="007115E1"/>
    <w:rsid w:val="00711601"/>
    <w:rsid w:val="0071182B"/>
    <w:rsid w:val="00711E80"/>
    <w:rsid w:val="00712631"/>
    <w:rsid w:val="007130C5"/>
    <w:rsid w:val="00714DA7"/>
    <w:rsid w:val="0071537A"/>
    <w:rsid w:val="00715C7A"/>
    <w:rsid w:val="00715F20"/>
    <w:rsid w:val="00716439"/>
    <w:rsid w:val="00717847"/>
    <w:rsid w:val="007204E4"/>
    <w:rsid w:val="007205F2"/>
    <w:rsid w:val="007207EB"/>
    <w:rsid w:val="00720826"/>
    <w:rsid w:val="00720962"/>
    <w:rsid w:val="00720E91"/>
    <w:rsid w:val="00722A80"/>
    <w:rsid w:val="00722AC0"/>
    <w:rsid w:val="007239A8"/>
    <w:rsid w:val="00723AE0"/>
    <w:rsid w:val="00723BE3"/>
    <w:rsid w:val="007253C3"/>
    <w:rsid w:val="00725459"/>
    <w:rsid w:val="00727718"/>
    <w:rsid w:val="00727E41"/>
    <w:rsid w:val="00727F74"/>
    <w:rsid w:val="007303C8"/>
    <w:rsid w:val="007306A6"/>
    <w:rsid w:val="007318B3"/>
    <w:rsid w:val="00731A13"/>
    <w:rsid w:val="00731BC3"/>
    <w:rsid w:val="00731BEE"/>
    <w:rsid w:val="0073312C"/>
    <w:rsid w:val="00733441"/>
    <w:rsid w:val="0073357A"/>
    <w:rsid w:val="007336A8"/>
    <w:rsid w:val="00733D72"/>
    <w:rsid w:val="00733D81"/>
    <w:rsid w:val="00734D5F"/>
    <w:rsid w:val="00734E34"/>
    <w:rsid w:val="0073610C"/>
    <w:rsid w:val="00737C13"/>
    <w:rsid w:val="00737DCB"/>
    <w:rsid w:val="00740ACC"/>
    <w:rsid w:val="00740C0E"/>
    <w:rsid w:val="007414E6"/>
    <w:rsid w:val="007417F0"/>
    <w:rsid w:val="00743373"/>
    <w:rsid w:val="0074339E"/>
    <w:rsid w:val="0074385B"/>
    <w:rsid w:val="00744CDA"/>
    <w:rsid w:val="00745244"/>
    <w:rsid w:val="00745370"/>
    <w:rsid w:val="00745D66"/>
    <w:rsid w:val="007465EB"/>
    <w:rsid w:val="007468FF"/>
    <w:rsid w:val="00746E8B"/>
    <w:rsid w:val="00746FEA"/>
    <w:rsid w:val="007475E3"/>
    <w:rsid w:val="007477E1"/>
    <w:rsid w:val="007506BE"/>
    <w:rsid w:val="00750A00"/>
    <w:rsid w:val="007511CE"/>
    <w:rsid w:val="007523AF"/>
    <w:rsid w:val="0075274D"/>
    <w:rsid w:val="007527A9"/>
    <w:rsid w:val="00752806"/>
    <w:rsid w:val="00752E4F"/>
    <w:rsid w:val="00752FC7"/>
    <w:rsid w:val="00753AA1"/>
    <w:rsid w:val="00753FCA"/>
    <w:rsid w:val="007543E3"/>
    <w:rsid w:val="00754E91"/>
    <w:rsid w:val="00755A63"/>
    <w:rsid w:val="00755BF8"/>
    <w:rsid w:val="0075639C"/>
    <w:rsid w:val="0075641B"/>
    <w:rsid w:val="00756FAF"/>
    <w:rsid w:val="00757752"/>
    <w:rsid w:val="00757EE9"/>
    <w:rsid w:val="00760936"/>
    <w:rsid w:val="00761C71"/>
    <w:rsid w:val="00762331"/>
    <w:rsid w:val="0076326C"/>
    <w:rsid w:val="007634D3"/>
    <w:rsid w:val="0076383B"/>
    <w:rsid w:val="00764379"/>
    <w:rsid w:val="00764996"/>
    <w:rsid w:val="0076592C"/>
    <w:rsid w:val="00765A83"/>
    <w:rsid w:val="00765D59"/>
    <w:rsid w:val="0076625F"/>
    <w:rsid w:val="00766A5E"/>
    <w:rsid w:val="00766B79"/>
    <w:rsid w:val="007676EC"/>
    <w:rsid w:val="00770BF4"/>
    <w:rsid w:val="007714E4"/>
    <w:rsid w:val="00771FE9"/>
    <w:rsid w:val="007725A5"/>
    <w:rsid w:val="007725C5"/>
    <w:rsid w:val="00773E61"/>
    <w:rsid w:val="00774182"/>
    <w:rsid w:val="00774CDC"/>
    <w:rsid w:val="00775635"/>
    <w:rsid w:val="007756B8"/>
    <w:rsid w:val="00775722"/>
    <w:rsid w:val="00775783"/>
    <w:rsid w:val="00775809"/>
    <w:rsid w:val="00775ECD"/>
    <w:rsid w:val="00775F64"/>
    <w:rsid w:val="00776109"/>
    <w:rsid w:val="00776C7C"/>
    <w:rsid w:val="007772F5"/>
    <w:rsid w:val="00780A0A"/>
    <w:rsid w:val="00780B08"/>
    <w:rsid w:val="0078179D"/>
    <w:rsid w:val="00781CFB"/>
    <w:rsid w:val="00782E9D"/>
    <w:rsid w:val="00783048"/>
    <w:rsid w:val="00783298"/>
    <w:rsid w:val="007838C0"/>
    <w:rsid w:val="007838E6"/>
    <w:rsid w:val="00783A56"/>
    <w:rsid w:val="00783FE5"/>
    <w:rsid w:val="007842DE"/>
    <w:rsid w:val="007848A8"/>
    <w:rsid w:val="00784CB0"/>
    <w:rsid w:val="00784D81"/>
    <w:rsid w:val="007856F6"/>
    <w:rsid w:val="00785DD0"/>
    <w:rsid w:val="0078624C"/>
    <w:rsid w:val="00786568"/>
    <w:rsid w:val="00786B00"/>
    <w:rsid w:val="00786CE1"/>
    <w:rsid w:val="00786F0B"/>
    <w:rsid w:val="00787B81"/>
    <w:rsid w:val="00787C83"/>
    <w:rsid w:val="00790021"/>
    <w:rsid w:val="00790D0A"/>
    <w:rsid w:val="00790F5B"/>
    <w:rsid w:val="00792325"/>
    <w:rsid w:val="00792F56"/>
    <w:rsid w:val="00793528"/>
    <w:rsid w:val="0079362A"/>
    <w:rsid w:val="00793F3E"/>
    <w:rsid w:val="007946F8"/>
    <w:rsid w:val="007949AC"/>
    <w:rsid w:val="007950D3"/>
    <w:rsid w:val="007961F3"/>
    <w:rsid w:val="00796B9D"/>
    <w:rsid w:val="00797CD6"/>
    <w:rsid w:val="007A090A"/>
    <w:rsid w:val="007A0CEF"/>
    <w:rsid w:val="007A0E0A"/>
    <w:rsid w:val="007A0F8F"/>
    <w:rsid w:val="007A150C"/>
    <w:rsid w:val="007A2D81"/>
    <w:rsid w:val="007A3FFB"/>
    <w:rsid w:val="007A48D5"/>
    <w:rsid w:val="007A4E29"/>
    <w:rsid w:val="007A5015"/>
    <w:rsid w:val="007A504D"/>
    <w:rsid w:val="007A5BC1"/>
    <w:rsid w:val="007A67CC"/>
    <w:rsid w:val="007A73C8"/>
    <w:rsid w:val="007A79B4"/>
    <w:rsid w:val="007B0E67"/>
    <w:rsid w:val="007B0E95"/>
    <w:rsid w:val="007B1811"/>
    <w:rsid w:val="007B2071"/>
    <w:rsid w:val="007B227A"/>
    <w:rsid w:val="007B29EE"/>
    <w:rsid w:val="007B2E5A"/>
    <w:rsid w:val="007B2ED0"/>
    <w:rsid w:val="007B3024"/>
    <w:rsid w:val="007B319A"/>
    <w:rsid w:val="007B3B33"/>
    <w:rsid w:val="007B4032"/>
    <w:rsid w:val="007B4568"/>
    <w:rsid w:val="007B476B"/>
    <w:rsid w:val="007B62DF"/>
    <w:rsid w:val="007B64EC"/>
    <w:rsid w:val="007B6A28"/>
    <w:rsid w:val="007B6DA6"/>
    <w:rsid w:val="007B6F9B"/>
    <w:rsid w:val="007B704F"/>
    <w:rsid w:val="007B7D63"/>
    <w:rsid w:val="007C0DA8"/>
    <w:rsid w:val="007C0F6E"/>
    <w:rsid w:val="007C1F3D"/>
    <w:rsid w:val="007C2194"/>
    <w:rsid w:val="007C2604"/>
    <w:rsid w:val="007C2D95"/>
    <w:rsid w:val="007C36A5"/>
    <w:rsid w:val="007C40FA"/>
    <w:rsid w:val="007C41DB"/>
    <w:rsid w:val="007C46D3"/>
    <w:rsid w:val="007C4A08"/>
    <w:rsid w:val="007C4B75"/>
    <w:rsid w:val="007C4BBB"/>
    <w:rsid w:val="007C4C55"/>
    <w:rsid w:val="007C4CA1"/>
    <w:rsid w:val="007C5680"/>
    <w:rsid w:val="007C690E"/>
    <w:rsid w:val="007C729B"/>
    <w:rsid w:val="007D0514"/>
    <w:rsid w:val="007D11A5"/>
    <w:rsid w:val="007D11EE"/>
    <w:rsid w:val="007D1C61"/>
    <w:rsid w:val="007D2B23"/>
    <w:rsid w:val="007D2CCD"/>
    <w:rsid w:val="007D5979"/>
    <w:rsid w:val="007D608A"/>
    <w:rsid w:val="007D73DA"/>
    <w:rsid w:val="007D7848"/>
    <w:rsid w:val="007E0074"/>
    <w:rsid w:val="007E03DF"/>
    <w:rsid w:val="007E0E0C"/>
    <w:rsid w:val="007E2250"/>
    <w:rsid w:val="007E2EDC"/>
    <w:rsid w:val="007E3A63"/>
    <w:rsid w:val="007E3BA0"/>
    <w:rsid w:val="007E4987"/>
    <w:rsid w:val="007E595F"/>
    <w:rsid w:val="007E5E83"/>
    <w:rsid w:val="007E5F73"/>
    <w:rsid w:val="007E6122"/>
    <w:rsid w:val="007E6DC5"/>
    <w:rsid w:val="007E75B4"/>
    <w:rsid w:val="007E76D9"/>
    <w:rsid w:val="007F15A1"/>
    <w:rsid w:val="007F17E8"/>
    <w:rsid w:val="007F2B47"/>
    <w:rsid w:val="007F3424"/>
    <w:rsid w:val="007F4636"/>
    <w:rsid w:val="007F4824"/>
    <w:rsid w:val="007F4AC6"/>
    <w:rsid w:val="007F4BA4"/>
    <w:rsid w:val="007F4C35"/>
    <w:rsid w:val="007F52C9"/>
    <w:rsid w:val="007F65C3"/>
    <w:rsid w:val="007F70A3"/>
    <w:rsid w:val="007F7B5B"/>
    <w:rsid w:val="007F7E81"/>
    <w:rsid w:val="00800CAC"/>
    <w:rsid w:val="0080106D"/>
    <w:rsid w:val="00801889"/>
    <w:rsid w:val="00803448"/>
    <w:rsid w:val="00803FEE"/>
    <w:rsid w:val="00804AFF"/>
    <w:rsid w:val="00804B6A"/>
    <w:rsid w:val="00804C9F"/>
    <w:rsid w:val="0080553B"/>
    <w:rsid w:val="00805BF9"/>
    <w:rsid w:val="00806330"/>
    <w:rsid w:val="00807462"/>
    <w:rsid w:val="008075AC"/>
    <w:rsid w:val="0081048E"/>
    <w:rsid w:val="00810E94"/>
    <w:rsid w:val="00810F19"/>
    <w:rsid w:val="00811588"/>
    <w:rsid w:val="00811E0A"/>
    <w:rsid w:val="008123D0"/>
    <w:rsid w:val="00812885"/>
    <w:rsid w:val="00812F29"/>
    <w:rsid w:val="00813043"/>
    <w:rsid w:val="008133DC"/>
    <w:rsid w:val="00814CFC"/>
    <w:rsid w:val="008156E7"/>
    <w:rsid w:val="00815E20"/>
    <w:rsid w:val="00815ECE"/>
    <w:rsid w:val="00816009"/>
    <w:rsid w:val="0081609D"/>
    <w:rsid w:val="00816C87"/>
    <w:rsid w:val="00816D44"/>
    <w:rsid w:val="00816DF7"/>
    <w:rsid w:val="008176A9"/>
    <w:rsid w:val="00817C27"/>
    <w:rsid w:val="00817C54"/>
    <w:rsid w:val="008205F2"/>
    <w:rsid w:val="00820BE2"/>
    <w:rsid w:val="0082146D"/>
    <w:rsid w:val="00821FFB"/>
    <w:rsid w:val="008223F4"/>
    <w:rsid w:val="00822689"/>
    <w:rsid w:val="00822771"/>
    <w:rsid w:val="00822B44"/>
    <w:rsid w:val="00822FEE"/>
    <w:rsid w:val="00823C6B"/>
    <w:rsid w:val="00823CA6"/>
    <w:rsid w:val="00824081"/>
    <w:rsid w:val="008240F6"/>
    <w:rsid w:val="00824548"/>
    <w:rsid w:val="0082481B"/>
    <w:rsid w:val="00825393"/>
    <w:rsid w:val="00825ACF"/>
    <w:rsid w:val="00825BBB"/>
    <w:rsid w:val="008260FD"/>
    <w:rsid w:val="00826292"/>
    <w:rsid w:val="00826C60"/>
    <w:rsid w:val="00826CD7"/>
    <w:rsid w:val="00827743"/>
    <w:rsid w:val="0083082C"/>
    <w:rsid w:val="00830C67"/>
    <w:rsid w:val="00830D3D"/>
    <w:rsid w:val="00831844"/>
    <w:rsid w:val="00831DB5"/>
    <w:rsid w:val="0083213D"/>
    <w:rsid w:val="00832A40"/>
    <w:rsid w:val="00832A8D"/>
    <w:rsid w:val="00832C7A"/>
    <w:rsid w:val="00832F78"/>
    <w:rsid w:val="0083336A"/>
    <w:rsid w:val="0083378E"/>
    <w:rsid w:val="00833813"/>
    <w:rsid w:val="008339F3"/>
    <w:rsid w:val="00833BD6"/>
    <w:rsid w:val="008343DF"/>
    <w:rsid w:val="00834835"/>
    <w:rsid w:val="00834C7B"/>
    <w:rsid w:val="00834DCE"/>
    <w:rsid w:val="00835250"/>
    <w:rsid w:val="00835877"/>
    <w:rsid w:val="008366FA"/>
    <w:rsid w:val="00836F9A"/>
    <w:rsid w:val="008370A1"/>
    <w:rsid w:val="00837C39"/>
    <w:rsid w:val="00837D6F"/>
    <w:rsid w:val="00837DBE"/>
    <w:rsid w:val="00841147"/>
    <w:rsid w:val="0084145A"/>
    <w:rsid w:val="0084181C"/>
    <w:rsid w:val="0084295A"/>
    <w:rsid w:val="008429FC"/>
    <w:rsid w:val="00843A7B"/>
    <w:rsid w:val="00843C71"/>
    <w:rsid w:val="0084425B"/>
    <w:rsid w:val="00844325"/>
    <w:rsid w:val="0084433E"/>
    <w:rsid w:val="00844A5E"/>
    <w:rsid w:val="00844F1A"/>
    <w:rsid w:val="008454F1"/>
    <w:rsid w:val="00845819"/>
    <w:rsid w:val="0084584B"/>
    <w:rsid w:val="0084603B"/>
    <w:rsid w:val="00846451"/>
    <w:rsid w:val="00850C2E"/>
    <w:rsid w:val="00850CDC"/>
    <w:rsid w:val="008510BB"/>
    <w:rsid w:val="008513E6"/>
    <w:rsid w:val="008518D9"/>
    <w:rsid w:val="00851E88"/>
    <w:rsid w:val="008523F1"/>
    <w:rsid w:val="008526C1"/>
    <w:rsid w:val="008526CA"/>
    <w:rsid w:val="00852996"/>
    <w:rsid w:val="00853187"/>
    <w:rsid w:val="00853217"/>
    <w:rsid w:val="008533BD"/>
    <w:rsid w:val="00853D99"/>
    <w:rsid w:val="00854D1B"/>
    <w:rsid w:val="00855CE4"/>
    <w:rsid w:val="00855CF1"/>
    <w:rsid w:val="008562AA"/>
    <w:rsid w:val="00856692"/>
    <w:rsid w:val="0085695E"/>
    <w:rsid w:val="008575B5"/>
    <w:rsid w:val="00857A26"/>
    <w:rsid w:val="00857BA8"/>
    <w:rsid w:val="00857FEF"/>
    <w:rsid w:val="00860093"/>
    <w:rsid w:val="008603E1"/>
    <w:rsid w:val="008606F6"/>
    <w:rsid w:val="00860F68"/>
    <w:rsid w:val="00861FF5"/>
    <w:rsid w:val="00862555"/>
    <w:rsid w:val="00862898"/>
    <w:rsid w:val="00862B02"/>
    <w:rsid w:val="00862BFF"/>
    <w:rsid w:val="00863A11"/>
    <w:rsid w:val="00864543"/>
    <w:rsid w:val="008645CB"/>
    <w:rsid w:val="00865327"/>
    <w:rsid w:val="00865450"/>
    <w:rsid w:val="0086571E"/>
    <w:rsid w:val="00865E5A"/>
    <w:rsid w:val="0086656E"/>
    <w:rsid w:val="00867004"/>
    <w:rsid w:val="00867302"/>
    <w:rsid w:val="00870571"/>
    <w:rsid w:val="00870A15"/>
    <w:rsid w:val="00870CCA"/>
    <w:rsid w:val="00871A06"/>
    <w:rsid w:val="00871B42"/>
    <w:rsid w:val="008727C6"/>
    <w:rsid w:val="00872B52"/>
    <w:rsid w:val="00873465"/>
    <w:rsid w:val="008734BD"/>
    <w:rsid w:val="00873EFF"/>
    <w:rsid w:val="0087433D"/>
    <w:rsid w:val="008743BC"/>
    <w:rsid w:val="008744D8"/>
    <w:rsid w:val="0087474B"/>
    <w:rsid w:val="00875A46"/>
    <w:rsid w:val="00876023"/>
    <w:rsid w:val="008761C9"/>
    <w:rsid w:val="00876BD8"/>
    <w:rsid w:val="00876D02"/>
    <w:rsid w:val="00877AF5"/>
    <w:rsid w:val="00877C0A"/>
    <w:rsid w:val="00877C46"/>
    <w:rsid w:val="00877EBC"/>
    <w:rsid w:val="008802B0"/>
    <w:rsid w:val="00880B62"/>
    <w:rsid w:val="00880D20"/>
    <w:rsid w:val="008817E3"/>
    <w:rsid w:val="00881CB2"/>
    <w:rsid w:val="00882F2B"/>
    <w:rsid w:val="00883509"/>
    <w:rsid w:val="008837A9"/>
    <w:rsid w:val="00883FC2"/>
    <w:rsid w:val="00884382"/>
    <w:rsid w:val="00884E24"/>
    <w:rsid w:val="00884E7B"/>
    <w:rsid w:val="00885B77"/>
    <w:rsid w:val="00885C4F"/>
    <w:rsid w:val="0088665B"/>
    <w:rsid w:val="00886B31"/>
    <w:rsid w:val="00886D22"/>
    <w:rsid w:val="00886F5A"/>
    <w:rsid w:val="00887D34"/>
    <w:rsid w:val="00890384"/>
    <w:rsid w:val="00891485"/>
    <w:rsid w:val="00891F6F"/>
    <w:rsid w:val="008923E8"/>
    <w:rsid w:val="00892DE1"/>
    <w:rsid w:val="008930FB"/>
    <w:rsid w:val="008936FF"/>
    <w:rsid w:val="00894315"/>
    <w:rsid w:val="008943ED"/>
    <w:rsid w:val="00894D2F"/>
    <w:rsid w:val="00894EE5"/>
    <w:rsid w:val="00895260"/>
    <w:rsid w:val="00895D42"/>
    <w:rsid w:val="008962EC"/>
    <w:rsid w:val="00896C6A"/>
    <w:rsid w:val="00897086"/>
    <w:rsid w:val="00897654"/>
    <w:rsid w:val="00897EF4"/>
    <w:rsid w:val="00897FA6"/>
    <w:rsid w:val="008A0010"/>
    <w:rsid w:val="008A002B"/>
    <w:rsid w:val="008A04AA"/>
    <w:rsid w:val="008A073E"/>
    <w:rsid w:val="008A0ADC"/>
    <w:rsid w:val="008A1B8A"/>
    <w:rsid w:val="008A212C"/>
    <w:rsid w:val="008A2AF9"/>
    <w:rsid w:val="008A4216"/>
    <w:rsid w:val="008A4AC7"/>
    <w:rsid w:val="008A5080"/>
    <w:rsid w:val="008A529D"/>
    <w:rsid w:val="008A553B"/>
    <w:rsid w:val="008A5C24"/>
    <w:rsid w:val="008A5D9D"/>
    <w:rsid w:val="008A5E69"/>
    <w:rsid w:val="008A640F"/>
    <w:rsid w:val="008B00A0"/>
    <w:rsid w:val="008B0236"/>
    <w:rsid w:val="008B04DE"/>
    <w:rsid w:val="008B05CD"/>
    <w:rsid w:val="008B05F5"/>
    <w:rsid w:val="008B0ABD"/>
    <w:rsid w:val="008B20FA"/>
    <w:rsid w:val="008B21EB"/>
    <w:rsid w:val="008B2D55"/>
    <w:rsid w:val="008B535E"/>
    <w:rsid w:val="008B74CC"/>
    <w:rsid w:val="008B7A75"/>
    <w:rsid w:val="008B7EA9"/>
    <w:rsid w:val="008C015E"/>
    <w:rsid w:val="008C0EE1"/>
    <w:rsid w:val="008C191B"/>
    <w:rsid w:val="008C1ADA"/>
    <w:rsid w:val="008C1CE4"/>
    <w:rsid w:val="008C2082"/>
    <w:rsid w:val="008C4816"/>
    <w:rsid w:val="008C4ED7"/>
    <w:rsid w:val="008C5090"/>
    <w:rsid w:val="008C589F"/>
    <w:rsid w:val="008C5B29"/>
    <w:rsid w:val="008C5B78"/>
    <w:rsid w:val="008C5BB1"/>
    <w:rsid w:val="008C66D2"/>
    <w:rsid w:val="008C67DF"/>
    <w:rsid w:val="008C69E9"/>
    <w:rsid w:val="008D0222"/>
    <w:rsid w:val="008D0FAA"/>
    <w:rsid w:val="008D1A23"/>
    <w:rsid w:val="008D2242"/>
    <w:rsid w:val="008D2497"/>
    <w:rsid w:val="008D27ED"/>
    <w:rsid w:val="008D3488"/>
    <w:rsid w:val="008D411B"/>
    <w:rsid w:val="008D4C39"/>
    <w:rsid w:val="008D6064"/>
    <w:rsid w:val="008D685A"/>
    <w:rsid w:val="008D6AA3"/>
    <w:rsid w:val="008D6FFE"/>
    <w:rsid w:val="008D70A0"/>
    <w:rsid w:val="008D70B6"/>
    <w:rsid w:val="008D7B54"/>
    <w:rsid w:val="008D7F23"/>
    <w:rsid w:val="008E0579"/>
    <w:rsid w:val="008E112B"/>
    <w:rsid w:val="008E169A"/>
    <w:rsid w:val="008E1CC1"/>
    <w:rsid w:val="008E2B9C"/>
    <w:rsid w:val="008E2EFC"/>
    <w:rsid w:val="008E2F1B"/>
    <w:rsid w:val="008E332E"/>
    <w:rsid w:val="008E3EC5"/>
    <w:rsid w:val="008E41CA"/>
    <w:rsid w:val="008E45F6"/>
    <w:rsid w:val="008E4B66"/>
    <w:rsid w:val="008E4BCC"/>
    <w:rsid w:val="008E4CB7"/>
    <w:rsid w:val="008E5AC6"/>
    <w:rsid w:val="008E5D3B"/>
    <w:rsid w:val="008E5F8A"/>
    <w:rsid w:val="008E6528"/>
    <w:rsid w:val="008E6C8A"/>
    <w:rsid w:val="008E6E29"/>
    <w:rsid w:val="008E73B7"/>
    <w:rsid w:val="008E75BC"/>
    <w:rsid w:val="008E75DC"/>
    <w:rsid w:val="008E79E0"/>
    <w:rsid w:val="008E7A6E"/>
    <w:rsid w:val="008F0267"/>
    <w:rsid w:val="008F0F5E"/>
    <w:rsid w:val="008F0FD1"/>
    <w:rsid w:val="008F1470"/>
    <w:rsid w:val="008F2244"/>
    <w:rsid w:val="008F2C39"/>
    <w:rsid w:val="008F2DBE"/>
    <w:rsid w:val="008F2E13"/>
    <w:rsid w:val="008F2EDA"/>
    <w:rsid w:val="008F4091"/>
    <w:rsid w:val="008F4133"/>
    <w:rsid w:val="008F4A16"/>
    <w:rsid w:val="008F4DE3"/>
    <w:rsid w:val="008F53C7"/>
    <w:rsid w:val="008F5413"/>
    <w:rsid w:val="008F5D0E"/>
    <w:rsid w:val="008F6112"/>
    <w:rsid w:val="008F62F4"/>
    <w:rsid w:val="008F70EA"/>
    <w:rsid w:val="0090020F"/>
    <w:rsid w:val="00900DE1"/>
    <w:rsid w:val="00900F24"/>
    <w:rsid w:val="009010B5"/>
    <w:rsid w:val="009010F2"/>
    <w:rsid w:val="00901303"/>
    <w:rsid w:val="00902383"/>
    <w:rsid w:val="00902D53"/>
    <w:rsid w:val="00903A63"/>
    <w:rsid w:val="00903DEA"/>
    <w:rsid w:val="009043A8"/>
    <w:rsid w:val="0090447C"/>
    <w:rsid w:val="009045E2"/>
    <w:rsid w:val="00904B4B"/>
    <w:rsid w:val="009050D9"/>
    <w:rsid w:val="009054CF"/>
    <w:rsid w:val="009056D1"/>
    <w:rsid w:val="00905BC5"/>
    <w:rsid w:val="00906DD8"/>
    <w:rsid w:val="00906EEC"/>
    <w:rsid w:val="009072A8"/>
    <w:rsid w:val="009073C7"/>
    <w:rsid w:val="0091017F"/>
    <w:rsid w:val="00910B6B"/>
    <w:rsid w:val="0091114E"/>
    <w:rsid w:val="00911839"/>
    <w:rsid w:val="00911CB0"/>
    <w:rsid w:val="00911E07"/>
    <w:rsid w:val="009122B6"/>
    <w:rsid w:val="00912E0F"/>
    <w:rsid w:val="009133E1"/>
    <w:rsid w:val="00913615"/>
    <w:rsid w:val="0091414A"/>
    <w:rsid w:val="009144A7"/>
    <w:rsid w:val="00914B0A"/>
    <w:rsid w:val="00914C9A"/>
    <w:rsid w:val="0091506A"/>
    <w:rsid w:val="00915DFE"/>
    <w:rsid w:val="00916EA0"/>
    <w:rsid w:val="00917533"/>
    <w:rsid w:val="0092090A"/>
    <w:rsid w:val="00920A2D"/>
    <w:rsid w:val="00920CF7"/>
    <w:rsid w:val="00921B6A"/>
    <w:rsid w:val="009233AB"/>
    <w:rsid w:val="00923689"/>
    <w:rsid w:val="00924266"/>
    <w:rsid w:val="009270E9"/>
    <w:rsid w:val="0092711E"/>
    <w:rsid w:val="00927375"/>
    <w:rsid w:val="00931712"/>
    <w:rsid w:val="00932A15"/>
    <w:rsid w:val="00932C23"/>
    <w:rsid w:val="0093317E"/>
    <w:rsid w:val="0093379C"/>
    <w:rsid w:val="00933EF8"/>
    <w:rsid w:val="009341BF"/>
    <w:rsid w:val="00934EE7"/>
    <w:rsid w:val="00935057"/>
    <w:rsid w:val="00935684"/>
    <w:rsid w:val="009359E1"/>
    <w:rsid w:val="00935DA1"/>
    <w:rsid w:val="00935EC1"/>
    <w:rsid w:val="0093795F"/>
    <w:rsid w:val="009402E1"/>
    <w:rsid w:val="009405E0"/>
    <w:rsid w:val="0094072F"/>
    <w:rsid w:val="009410AA"/>
    <w:rsid w:val="0094201D"/>
    <w:rsid w:val="00942586"/>
    <w:rsid w:val="00944481"/>
    <w:rsid w:val="009446F5"/>
    <w:rsid w:val="00944CB7"/>
    <w:rsid w:val="00945421"/>
    <w:rsid w:val="0094566D"/>
    <w:rsid w:val="00945736"/>
    <w:rsid w:val="00945C47"/>
    <w:rsid w:val="00946225"/>
    <w:rsid w:val="00946349"/>
    <w:rsid w:val="00946640"/>
    <w:rsid w:val="009475F9"/>
    <w:rsid w:val="0095007C"/>
    <w:rsid w:val="00950123"/>
    <w:rsid w:val="00950E3C"/>
    <w:rsid w:val="00950F6C"/>
    <w:rsid w:val="00951692"/>
    <w:rsid w:val="00952A69"/>
    <w:rsid w:val="009534BC"/>
    <w:rsid w:val="00953C67"/>
    <w:rsid w:val="00954746"/>
    <w:rsid w:val="0095500E"/>
    <w:rsid w:val="00955991"/>
    <w:rsid w:val="00956448"/>
    <w:rsid w:val="0095661E"/>
    <w:rsid w:val="00956958"/>
    <w:rsid w:val="00956BBB"/>
    <w:rsid w:val="00957C0F"/>
    <w:rsid w:val="00957CE4"/>
    <w:rsid w:val="009601ED"/>
    <w:rsid w:val="00960281"/>
    <w:rsid w:val="00961545"/>
    <w:rsid w:val="00961559"/>
    <w:rsid w:val="00961EDE"/>
    <w:rsid w:val="00962DC1"/>
    <w:rsid w:val="00962ED4"/>
    <w:rsid w:val="00963335"/>
    <w:rsid w:val="00963E98"/>
    <w:rsid w:val="00964C11"/>
    <w:rsid w:val="00966792"/>
    <w:rsid w:val="0096680C"/>
    <w:rsid w:val="00966E35"/>
    <w:rsid w:val="00967789"/>
    <w:rsid w:val="00967B78"/>
    <w:rsid w:val="00967D59"/>
    <w:rsid w:val="00970D6B"/>
    <w:rsid w:val="009714EF"/>
    <w:rsid w:val="009716B8"/>
    <w:rsid w:val="00971BA9"/>
    <w:rsid w:val="00972070"/>
    <w:rsid w:val="0097281D"/>
    <w:rsid w:val="00972C2A"/>
    <w:rsid w:val="00973A58"/>
    <w:rsid w:val="0097553B"/>
    <w:rsid w:val="00975B66"/>
    <w:rsid w:val="00975BB2"/>
    <w:rsid w:val="00976653"/>
    <w:rsid w:val="009768C2"/>
    <w:rsid w:val="0097720E"/>
    <w:rsid w:val="00977A0A"/>
    <w:rsid w:val="00980AD3"/>
    <w:rsid w:val="00981079"/>
    <w:rsid w:val="0098180A"/>
    <w:rsid w:val="0098187F"/>
    <w:rsid w:val="00981EFA"/>
    <w:rsid w:val="00982711"/>
    <w:rsid w:val="009827B8"/>
    <w:rsid w:val="00983707"/>
    <w:rsid w:val="009839E5"/>
    <w:rsid w:val="00983F37"/>
    <w:rsid w:val="0098441B"/>
    <w:rsid w:val="0098451C"/>
    <w:rsid w:val="00985B57"/>
    <w:rsid w:val="0098630E"/>
    <w:rsid w:val="0098645A"/>
    <w:rsid w:val="00987276"/>
    <w:rsid w:val="00987A1F"/>
    <w:rsid w:val="00987F84"/>
    <w:rsid w:val="009901CA"/>
    <w:rsid w:val="00990E8D"/>
    <w:rsid w:val="00993473"/>
    <w:rsid w:val="00993E8C"/>
    <w:rsid w:val="00994521"/>
    <w:rsid w:val="00994C2F"/>
    <w:rsid w:val="00995148"/>
    <w:rsid w:val="00996BDA"/>
    <w:rsid w:val="00996CA3"/>
    <w:rsid w:val="0099737E"/>
    <w:rsid w:val="00997959"/>
    <w:rsid w:val="009A1446"/>
    <w:rsid w:val="009A187D"/>
    <w:rsid w:val="009A18CF"/>
    <w:rsid w:val="009A1A00"/>
    <w:rsid w:val="009A242E"/>
    <w:rsid w:val="009A27C4"/>
    <w:rsid w:val="009A2A1F"/>
    <w:rsid w:val="009A2EEF"/>
    <w:rsid w:val="009A3333"/>
    <w:rsid w:val="009A3522"/>
    <w:rsid w:val="009A35BA"/>
    <w:rsid w:val="009A35FB"/>
    <w:rsid w:val="009A4A19"/>
    <w:rsid w:val="009A4A99"/>
    <w:rsid w:val="009A55C3"/>
    <w:rsid w:val="009A562C"/>
    <w:rsid w:val="009A5CC1"/>
    <w:rsid w:val="009A6CF0"/>
    <w:rsid w:val="009A6FB9"/>
    <w:rsid w:val="009A7316"/>
    <w:rsid w:val="009A743E"/>
    <w:rsid w:val="009A7560"/>
    <w:rsid w:val="009A7D88"/>
    <w:rsid w:val="009A7FE6"/>
    <w:rsid w:val="009B083A"/>
    <w:rsid w:val="009B20B1"/>
    <w:rsid w:val="009B21A1"/>
    <w:rsid w:val="009B27B6"/>
    <w:rsid w:val="009B2991"/>
    <w:rsid w:val="009B2EDD"/>
    <w:rsid w:val="009B31C3"/>
    <w:rsid w:val="009B3D72"/>
    <w:rsid w:val="009B4A1F"/>
    <w:rsid w:val="009B4DE1"/>
    <w:rsid w:val="009B50B0"/>
    <w:rsid w:val="009B5143"/>
    <w:rsid w:val="009B549F"/>
    <w:rsid w:val="009B552E"/>
    <w:rsid w:val="009B56A6"/>
    <w:rsid w:val="009B5D28"/>
    <w:rsid w:val="009B72CD"/>
    <w:rsid w:val="009B7464"/>
    <w:rsid w:val="009B7576"/>
    <w:rsid w:val="009B7956"/>
    <w:rsid w:val="009B7B65"/>
    <w:rsid w:val="009C02E3"/>
    <w:rsid w:val="009C03D9"/>
    <w:rsid w:val="009C03E2"/>
    <w:rsid w:val="009C04CE"/>
    <w:rsid w:val="009C09FD"/>
    <w:rsid w:val="009C1230"/>
    <w:rsid w:val="009C12D2"/>
    <w:rsid w:val="009C18CA"/>
    <w:rsid w:val="009C1C3B"/>
    <w:rsid w:val="009C245F"/>
    <w:rsid w:val="009C2882"/>
    <w:rsid w:val="009C2D52"/>
    <w:rsid w:val="009C2F95"/>
    <w:rsid w:val="009C3749"/>
    <w:rsid w:val="009C379B"/>
    <w:rsid w:val="009C3979"/>
    <w:rsid w:val="009C3A52"/>
    <w:rsid w:val="009C3BF3"/>
    <w:rsid w:val="009C3C8A"/>
    <w:rsid w:val="009C41C8"/>
    <w:rsid w:val="009C423A"/>
    <w:rsid w:val="009C4BB1"/>
    <w:rsid w:val="009C55A3"/>
    <w:rsid w:val="009C5D44"/>
    <w:rsid w:val="009C713D"/>
    <w:rsid w:val="009C7707"/>
    <w:rsid w:val="009C7B48"/>
    <w:rsid w:val="009D1550"/>
    <w:rsid w:val="009D25EC"/>
    <w:rsid w:val="009D274C"/>
    <w:rsid w:val="009D28C2"/>
    <w:rsid w:val="009D2B48"/>
    <w:rsid w:val="009D407A"/>
    <w:rsid w:val="009D4832"/>
    <w:rsid w:val="009D4BA7"/>
    <w:rsid w:val="009D4D7F"/>
    <w:rsid w:val="009D4E6D"/>
    <w:rsid w:val="009D550A"/>
    <w:rsid w:val="009D56CF"/>
    <w:rsid w:val="009D6172"/>
    <w:rsid w:val="009D6C5E"/>
    <w:rsid w:val="009D6C90"/>
    <w:rsid w:val="009D700A"/>
    <w:rsid w:val="009E045F"/>
    <w:rsid w:val="009E058A"/>
    <w:rsid w:val="009E0ACD"/>
    <w:rsid w:val="009E1006"/>
    <w:rsid w:val="009E13AC"/>
    <w:rsid w:val="009E183A"/>
    <w:rsid w:val="009E18AE"/>
    <w:rsid w:val="009E1D4B"/>
    <w:rsid w:val="009E303D"/>
    <w:rsid w:val="009E3BFF"/>
    <w:rsid w:val="009E3C8F"/>
    <w:rsid w:val="009E45AA"/>
    <w:rsid w:val="009E4B58"/>
    <w:rsid w:val="009E5660"/>
    <w:rsid w:val="009E5A1E"/>
    <w:rsid w:val="009E5C17"/>
    <w:rsid w:val="009E5C66"/>
    <w:rsid w:val="009E6A83"/>
    <w:rsid w:val="009E72F4"/>
    <w:rsid w:val="009E783F"/>
    <w:rsid w:val="009F072A"/>
    <w:rsid w:val="009F077B"/>
    <w:rsid w:val="009F0917"/>
    <w:rsid w:val="009F0DBA"/>
    <w:rsid w:val="009F0F0D"/>
    <w:rsid w:val="009F181C"/>
    <w:rsid w:val="009F1A2A"/>
    <w:rsid w:val="009F261F"/>
    <w:rsid w:val="009F34F1"/>
    <w:rsid w:val="009F36B1"/>
    <w:rsid w:val="009F379F"/>
    <w:rsid w:val="009F3BD8"/>
    <w:rsid w:val="009F3F7A"/>
    <w:rsid w:val="009F4A3B"/>
    <w:rsid w:val="009F660F"/>
    <w:rsid w:val="009F6781"/>
    <w:rsid w:val="009F6CFF"/>
    <w:rsid w:val="00A00731"/>
    <w:rsid w:val="00A01F36"/>
    <w:rsid w:val="00A023A9"/>
    <w:rsid w:val="00A02905"/>
    <w:rsid w:val="00A0316E"/>
    <w:rsid w:val="00A036D5"/>
    <w:rsid w:val="00A03865"/>
    <w:rsid w:val="00A041D0"/>
    <w:rsid w:val="00A0447C"/>
    <w:rsid w:val="00A04955"/>
    <w:rsid w:val="00A049B3"/>
    <w:rsid w:val="00A0514C"/>
    <w:rsid w:val="00A05D3D"/>
    <w:rsid w:val="00A0604B"/>
    <w:rsid w:val="00A0615E"/>
    <w:rsid w:val="00A06492"/>
    <w:rsid w:val="00A065B9"/>
    <w:rsid w:val="00A065EA"/>
    <w:rsid w:val="00A06BF6"/>
    <w:rsid w:val="00A07436"/>
    <w:rsid w:val="00A07B76"/>
    <w:rsid w:val="00A10351"/>
    <w:rsid w:val="00A10E6A"/>
    <w:rsid w:val="00A114B6"/>
    <w:rsid w:val="00A11555"/>
    <w:rsid w:val="00A11FE0"/>
    <w:rsid w:val="00A129AB"/>
    <w:rsid w:val="00A1324F"/>
    <w:rsid w:val="00A13D53"/>
    <w:rsid w:val="00A14064"/>
    <w:rsid w:val="00A14DEC"/>
    <w:rsid w:val="00A15198"/>
    <w:rsid w:val="00A1538F"/>
    <w:rsid w:val="00A15395"/>
    <w:rsid w:val="00A15C52"/>
    <w:rsid w:val="00A16052"/>
    <w:rsid w:val="00A16951"/>
    <w:rsid w:val="00A1766F"/>
    <w:rsid w:val="00A17777"/>
    <w:rsid w:val="00A178DE"/>
    <w:rsid w:val="00A179BC"/>
    <w:rsid w:val="00A17E05"/>
    <w:rsid w:val="00A17F27"/>
    <w:rsid w:val="00A20BE9"/>
    <w:rsid w:val="00A20DD7"/>
    <w:rsid w:val="00A20F51"/>
    <w:rsid w:val="00A212F2"/>
    <w:rsid w:val="00A2195F"/>
    <w:rsid w:val="00A21D04"/>
    <w:rsid w:val="00A22D49"/>
    <w:rsid w:val="00A23334"/>
    <w:rsid w:val="00A23658"/>
    <w:rsid w:val="00A23C7C"/>
    <w:rsid w:val="00A246DE"/>
    <w:rsid w:val="00A252CA"/>
    <w:rsid w:val="00A25843"/>
    <w:rsid w:val="00A25B5D"/>
    <w:rsid w:val="00A263E9"/>
    <w:rsid w:val="00A2677E"/>
    <w:rsid w:val="00A27568"/>
    <w:rsid w:val="00A276ED"/>
    <w:rsid w:val="00A27B7A"/>
    <w:rsid w:val="00A30AD7"/>
    <w:rsid w:val="00A30AE4"/>
    <w:rsid w:val="00A30B3C"/>
    <w:rsid w:val="00A30C52"/>
    <w:rsid w:val="00A3162E"/>
    <w:rsid w:val="00A3169D"/>
    <w:rsid w:val="00A32DD6"/>
    <w:rsid w:val="00A33073"/>
    <w:rsid w:val="00A341A4"/>
    <w:rsid w:val="00A34905"/>
    <w:rsid w:val="00A360D6"/>
    <w:rsid w:val="00A36893"/>
    <w:rsid w:val="00A36B9C"/>
    <w:rsid w:val="00A3775D"/>
    <w:rsid w:val="00A40249"/>
    <w:rsid w:val="00A4095F"/>
    <w:rsid w:val="00A4142D"/>
    <w:rsid w:val="00A41D89"/>
    <w:rsid w:val="00A41E76"/>
    <w:rsid w:val="00A43999"/>
    <w:rsid w:val="00A4503B"/>
    <w:rsid w:val="00A451F9"/>
    <w:rsid w:val="00A45768"/>
    <w:rsid w:val="00A46103"/>
    <w:rsid w:val="00A46F8D"/>
    <w:rsid w:val="00A47C9B"/>
    <w:rsid w:val="00A47E27"/>
    <w:rsid w:val="00A505DD"/>
    <w:rsid w:val="00A5112C"/>
    <w:rsid w:val="00A51975"/>
    <w:rsid w:val="00A51D01"/>
    <w:rsid w:val="00A52A28"/>
    <w:rsid w:val="00A53E3D"/>
    <w:rsid w:val="00A54270"/>
    <w:rsid w:val="00A544E2"/>
    <w:rsid w:val="00A549B8"/>
    <w:rsid w:val="00A54FDD"/>
    <w:rsid w:val="00A55DE8"/>
    <w:rsid w:val="00A55E11"/>
    <w:rsid w:val="00A55E99"/>
    <w:rsid w:val="00A566D2"/>
    <w:rsid w:val="00A5736E"/>
    <w:rsid w:val="00A57B7A"/>
    <w:rsid w:val="00A6139E"/>
    <w:rsid w:val="00A61721"/>
    <w:rsid w:val="00A61922"/>
    <w:rsid w:val="00A62268"/>
    <w:rsid w:val="00A62E43"/>
    <w:rsid w:val="00A637F0"/>
    <w:rsid w:val="00A63D71"/>
    <w:rsid w:val="00A652B2"/>
    <w:rsid w:val="00A6540C"/>
    <w:rsid w:val="00A659B3"/>
    <w:rsid w:val="00A661B0"/>
    <w:rsid w:val="00A66B01"/>
    <w:rsid w:val="00A676A5"/>
    <w:rsid w:val="00A67825"/>
    <w:rsid w:val="00A67F4F"/>
    <w:rsid w:val="00A709AB"/>
    <w:rsid w:val="00A70AF9"/>
    <w:rsid w:val="00A7159F"/>
    <w:rsid w:val="00A71673"/>
    <w:rsid w:val="00A718F4"/>
    <w:rsid w:val="00A719B2"/>
    <w:rsid w:val="00A71E15"/>
    <w:rsid w:val="00A71EF3"/>
    <w:rsid w:val="00A72034"/>
    <w:rsid w:val="00A7211C"/>
    <w:rsid w:val="00A72276"/>
    <w:rsid w:val="00A7311F"/>
    <w:rsid w:val="00A73495"/>
    <w:rsid w:val="00A73735"/>
    <w:rsid w:val="00A73783"/>
    <w:rsid w:val="00A73D4C"/>
    <w:rsid w:val="00A7475D"/>
    <w:rsid w:val="00A7499E"/>
    <w:rsid w:val="00A75D6F"/>
    <w:rsid w:val="00A769DC"/>
    <w:rsid w:val="00A77ED1"/>
    <w:rsid w:val="00A80B0D"/>
    <w:rsid w:val="00A80ECA"/>
    <w:rsid w:val="00A80FA7"/>
    <w:rsid w:val="00A82400"/>
    <w:rsid w:val="00A82AAD"/>
    <w:rsid w:val="00A837FF"/>
    <w:rsid w:val="00A8476D"/>
    <w:rsid w:val="00A85281"/>
    <w:rsid w:val="00A857FB"/>
    <w:rsid w:val="00A85E8E"/>
    <w:rsid w:val="00A86731"/>
    <w:rsid w:val="00A870D1"/>
    <w:rsid w:val="00A87242"/>
    <w:rsid w:val="00A87BDB"/>
    <w:rsid w:val="00A908EF"/>
    <w:rsid w:val="00A920DC"/>
    <w:rsid w:val="00A92526"/>
    <w:rsid w:val="00A926D8"/>
    <w:rsid w:val="00A929E6"/>
    <w:rsid w:val="00A92DCC"/>
    <w:rsid w:val="00A93297"/>
    <w:rsid w:val="00A93643"/>
    <w:rsid w:val="00A936B6"/>
    <w:rsid w:val="00A9400C"/>
    <w:rsid w:val="00A95128"/>
    <w:rsid w:val="00A95E03"/>
    <w:rsid w:val="00A974B8"/>
    <w:rsid w:val="00A976C4"/>
    <w:rsid w:val="00A97AC2"/>
    <w:rsid w:val="00A97E80"/>
    <w:rsid w:val="00A97F6A"/>
    <w:rsid w:val="00AA0441"/>
    <w:rsid w:val="00AA2A98"/>
    <w:rsid w:val="00AA3472"/>
    <w:rsid w:val="00AA370E"/>
    <w:rsid w:val="00AA4023"/>
    <w:rsid w:val="00AA4BDA"/>
    <w:rsid w:val="00AA4DA8"/>
    <w:rsid w:val="00AA59C5"/>
    <w:rsid w:val="00AA5EAD"/>
    <w:rsid w:val="00AA672A"/>
    <w:rsid w:val="00AA68EB"/>
    <w:rsid w:val="00AA6F52"/>
    <w:rsid w:val="00AA7894"/>
    <w:rsid w:val="00AB0095"/>
    <w:rsid w:val="00AB0CFB"/>
    <w:rsid w:val="00AB0D84"/>
    <w:rsid w:val="00AB1A30"/>
    <w:rsid w:val="00AB2537"/>
    <w:rsid w:val="00AB2666"/>
    <w:rsid w:val="00AB340A"/>
    <w:rsid w:val="00AB3832"/>
    <w:rsid w:val="00AB41A9"/>
    <w:rsid w:val="00AB4239"/>
    <w:rsid w:val="00AB4831"/>
    <w:rsid w:val="00AB50A3"/>
    <w:rsid w:val="00AB6679"/>
    <w:rsid w:val="00AB6EC8"/>
    <w:rsid w:val="00AB7B9C"/>
    <w:rsid w:val="00AC0169"/>
    <w:rsid w:val="00AC08E4"/>
    <w:rsid w:val="00AC18E5"/>
    <w:rsid w:val="00AC2374"/>
    <w:rsid w:val="00AC2620"/>
    <w:rsid w:val="00AC29BC"/>
    <w:rsid w:val="00AC4385"/>
    <w:rsid w:val="00AC47E3"/>
    <w:rsid w:val="00AC49ED"/>
    <w:rsid w:val="00AC53E0"/>
    <w:rsid w:val="00AC5424"/>
    <w:rsid w:val="00AC59D1"/>
    <w:rsid w:val="00AC650C"/>
    <w:rsid w:val="00AC6728"/>
    <w:rsid w:val="00AC6949"/>
    <w:rsid w:val="00AC6D7F"/>
    <w:rsid w:val="00AC6FC1"/>
    <w:rsid w:val="00AC7526"/>
    <w:rsid w:val="00AC7890"/>
    <w:rsid w:val="00AD01ED"/>
    <w:rsid w:val="00AD057F"/>
    <w:rsid w:val="00AD3C9F"/>
    <w:rsid w:val="00AD4E2B"/>
    <w:rsid w:val="00AD5111"/>
    <w:rsid w:val="00AD6320"/>
    <w:rsid w:val="00AD6CDA"/>
    <w:rsid w:val="00AD6EEC"/>
    <w:rsid w:val="00AD72AE"/>
    <w:rsid w:val="00AD7855"/>
    <w:rsid w:val="00AD79A1"/>
    <w:rsid w:val="00AE0259"/>
    <w:rsid w:val="00AE0360"/>
    <w:rsid w:val="00AE0999"/>
    <w:rsid w:val="00AE0A3F"/>
    <w:rsid w:val="00AE0D19"/>
    <w:rsid w:val="00AE0E67"/>
    <w:rsid w:val="00AE0F8C"/>
    <w:rsid w:val="00AE163E"/>
    <w:rsid w:val="00AE2D29"/>
    <w:rsid w:val="00AE2D55"/>
    <w:rsid w:val="00AE3ADF"/>
    <w:rsid w:val="00AE3ECC"/>
    <w:rsid w:val="00AE414C"/>
    <w:rsid w:val="00AE44C7"/>
    <w:rsid w:val="00AE4713"/>
    <w:rsid w:val="00AE5ECB"/>
    <w:rsid w:val="00AE6375"/>
    <w:rsid w:val="00AE63CE"/>
    <w:rsid w:val="00AE6A4B"/>
    <w:rsid w:val="00AE6E4F"/>
    <w:rsid w:val="00AE7149"/>
    <w:rsid w:val="00AE7285"/>
    <w:rsid w:val="00AF0176"/>
    <w:rsid w:val="00AF0186"/>
    <w:rsid w:val="00AF0527"/>
    <w:rsid w:val="00AF06F0"/>
    <w:rsid w:val="00AF1199"/>
    <w:rsid w:val="00AF1271"/>
    <w:rsid w:val="00AF1C21"/>
    <w:rsid w:val="00AF21F6"/>
    <w:rsid w:val="00AF24D5"/>
    <w:rsid w:val="00AF24DA"/>
    <w:rsid w:val="00AF2561"/>
    <w:rsid w:val="00AF2622"/>
    <w:rsid w:val="00AF26FA"/>
    <w:rsid w:val="00AF40F8"/>
    <w:rsid w:val="00AF45F0"/>
    <w:rsid w:val="00AF4942"/>
    <w:rsid w:val="00AF537C"/>
    <w:rsid w:val="00AF690A"/>
    <w:rsid w:val="00AF7351"/>
    <w:rsid w:val="00AF738C"/>
    <w:rsid w:val="00AF7972"/>
    <w:rsid w:val="00AF7DBA"/>
    <w:rsid w:val="00B00C7D"/>
    <w:rsid w:val="00B00CD4"/>
    <w:rsid w:val="00B01A62"/>
    <w:rsid w:val="00B024CB"/>
    <w:rsid w:val="00B03053"/>
    <w:rsid w:val="00B036D1"/>
    <w:rsid w:val="00B04785"/>
    <w:rsid w:val="00B04BAE"/>
    <w:rsid w:val="00B0573F"/>
    <w:rsid w:val="00B065EE"/>
    <w:rsid w:val="00B0669F"/>
    <w:rsid w:val="00B06F5E"/>
    <w:rsid w:val="00B071D5"/>
    <w:rsid w:val="00B076FE"/>
    <w:rsid w:val="00B101DC"/>
    <w:rsid w:val="00B1084A"/>
    <w:rsid w:val="00B11E59"/>
    <w:rsid w:val="00B1264D"/>
    <w:rsid w:val="00B126B2"/>
    <w:rsid w:val="00B12A76"/>
    <w:rsid w:val="00B130CF"/>
    <w:rsid w:val="00B1454A"/>
    <w:rsid w:val="00B16B0E"/>
    <w:rsid w:val="00B17711"/>
    <w:rsid w:val="00B17978"/>
    <w:rsid w:val="00B17D79"/>
    <w:rsid w:val="00B2037B"/>
    <w:rsid w:val="00B20700"/>
    <w:rsid w:val="00B20F45"/>
    <w:rsid w:val="00B2135A"/>
    <w:rsid w:val="00B213C7"/>
    <w:rsid w:val="00B216F5"/>
    <w:rsid w:val="00B22E11"/>
    <w:rsid w:val="00B2320A"/>
    <w:rsid w:val="00B234D3"/>
    <w:rsid w:val="00B23B06"/>
    <w:rsid w:val="00B2421A"/>
    <w:rsid w:val="00B24C41"/>
    <w:rsid w:val="00B24E90"/>
    <w:rsid w:val="00B25591"/>
    <w:rsid w:val="00B2562C"/>
    <w:rsid w:val="00B256F7"/>
    <w:rsid w:val="00B2576B"/>
    <w:rsid w:val="00B25A9F"/>
    <w:rsid w:val="00B25BEB"/>
    <w:rsid w:val="00B26244"/>
    <w:rsid w:val="00B3066B"/>
    <w:rsid w:val="00B30726"/>
    <w:rsid w:val="00B31109"/>
    <w:rsid w:val="00B31E89"/>
    <w:rsid w:val="00B32198"/>
    <w:rsid w:val="00B32607"/>
    <w:rsid w:val="00B32A7E"/>
    <w:rsid w:val="00B32E87"/>
    <w:rsid w:val="00B33006"/>
    <w:rsid w:val="00B333F9"/>
    <w:rsid w:val="00B334B7"/>
    <w:rsid w:val="00B33A06"/>
    <w:rsid w:val="00B33D63"/>
    <w:rsid w:val="00B34D7A"/>
    <w:rsid w:val="00B355DE"/>
    <w:rsid w:val="00B3672B"/>
    <w:rsid w:val="00B36D56"/>
    <w:rsid w:val="00B36F89"/>
    <w:rsid w:val="00B36FB1"/>
    <w:rsid w:val="00B37052"/>
    <w:rsid w:val="00B3768F"/>
    <w:rsid w:val="00B3770F"/>
    <w:rsid w:val="00B4034A"/>
    <w:rsid w:val="00B406CB"/>
    <w:rsid w:val="00B408AF"/>
    <w:rsid w:val="00B40BA2"/>
    <w:rsid w:val="00B4113D"/>
    <w:rsid w:val="00B411CC"/>
    <w:rsid w:val="00B4153A"/>
    <w:rsid w:val="00B4187B"/>
    <w:rsid w:val="00B42158"/>
    <w:rsid w:val="00B42F8B"/>
    <w:rsid w:val="00B4300E"/>
    <w:rsid w:val="00B43178"/>
    <w:rsid w:val="00B43319"/>
    <w:rsid w:val="00B43A14"/>
    <w:rsid w:val="00B440D5"/>
    <w:rsid w:val="00B44AAD"/>
    <w:rsid w:val="00B44E65"/>
    <w:rsid w:val="00B45480"/>
    <w:rsid w:val="00B45BDE"/>
    <w:rsid w:val="00B46132"/>
    <w:rsid w:val="00B4662A"/>
    <w:rsid w:val="00B46B93"/>
    <w:rsid w:val="00B47203"/>
    <w:rsid w:val="00B47DF9"/>
    <w:rsid w:val="00B500E6"/>
    <w:rsid w:val="00B501A1"/>
    <w:rsid w:val="00B508DF"/>
    <w:rsid w:val="00B508F9"/>
    <w:rsid w:val="00B51463"/>
    <w:rsid w:val="00B52355"/>
    <w:rsid w:val="00B5285E"/>
    <w:rsid w:val="00B529E0"/>
    <w:rsid w:val="00B53016"/>
    <w:rsid w:val="00B53488"/>
    <w:rsid w:val="00B5399B"/>
    <w:rsid w:val="00B53BED"/>
    <w:rsid w:val="00B54298"/>
    <w:rsid w:val="00B54AB4"/>
    <w:rsid w:val="00B54FC3"/>
    <w:rsid w:val="00B5550B"/>
    <w:rsid w:val="00B55AAD"/>
    <w:rsid w:val="00B56441"/>
    <w:rsid w:val="00B568B6"/>
    <w:rsid w:val="00B56DF0"/>
    <w:rsid w:val="00B56F26"/>
    <w:rsid w:val="00B56F41"/>
    <w:rsid w:val="00B57288"/>
    <w:rsid w:val="00B574BA"/>
    <w:rsid w:val="00B5756F"/>
    <w:rsid w:val="00B576E7"/>
    <w:rsid w:val="00B577A6"/>
    <w:rsid w:val="00B57899"/>
    <w:rsid w:val="00B57A32"/>
    <w:rsid w:val="00B57AE6"/>
    <w:rsid w:val="00B57D7F"/>
    <w:rsid w:val="00B60A61"/>
    <w:rsid w:val="00B61693"/>
    <w:rsid w:val="00B630D5"/>
    <w:rsid w:val="00B63480"/>
    <w:rsid w:val="00B634FA"/>
    <w:rsid w:val="00B63A81"/>
    <w:rsid w:val="00B63BB8"/>
    <w:rsid w:val="00B65346"/>
    <w:rsid w:val="00B65E4A"/>
    <w:rsid w:val="00B6765B"/>
    <w:rsid w:val="00B67EA2"/>
    <w:rsid w:val="00B70381"/>
    <w:rsid w:val="00B703A5"/>
    <w:rsid w:val="00B7070F"/>
    <w:rsid w:val="00B7092A"/>
    <w:rsid w:val="00B70AF3"/>
    <w:rsid w:val="00B70F4E"/>
    <w:rsid w:val="00B7111F"/>
    <w:rsid w:val="00B71244"/>
    <w:rsid w:val="00B72215"/>
    <w:rsid w:val="00B723D3"/>
    <w:rsid w:val="00B73025"/>
    <w:rsid w:val="00B73848"/>
    <w:rsid w:val="00B74F5A"/>
    <w:rsid w:val="00B75DE7"/>
    <w:rsid w:val="00B76076"/>
    <w:rsid w:val="00B76078"/>
    <w:rsid w:val="00B761B9"/>
    <w:rsid w:val="00B7680D"/>
    <w:rsid w:val="00B76979"/>
    <w:rsid w:val="00B76BF3"/>
    <w:rsid w:val="00B76E5C"/>
    <w:rsid w:val="00B80653"/>
    <w:rsid w:val="00B8080D"/>
    <w:rsid w:val="00B812EA"/>
    <w:rsid w:val="00B8237E"/>
    <w:rsid w:val="00B82919"/>
    <w:rsid w:val="00B8297C"/>
    <w:rsid w:val="00B83602"/>
    <w:rsid w:val="00B8530E"/>
    <w:rsid w:val="00B85680"/>
    <w:rsid w:val="00B85ADB"/>
    <w:rsid w:val="00B85D37"/>
    <w:rsid w:val="00B86209"/>
    <w:rsid w:val="00B862ED"/>
    <w:rsid w:val="00B86587"/>
    <w:rsid w:val="00B86D70"/>
    <w:rsid w:val="00B877DB"/>
    <w:rsid w:val="00B87A74"/>
    <w:rsid w:val="00B87B52"/>
    <w:rsid w:val="00B90F5C"/>
    <w:rsid w:val="00B911C1"/>
    <w:rsid w:val="00B912D7"/>
    <w:rsid w:val="00B917DE"/>
    <w:rsid w:val="00B91B3C"/>
    <w:rsid w:val="00B92F1D"/>
    <w:rsid w:val="00B92F9F"/>
    <w:rsid w:val="00B933AD"/>
    <w:rsid w:val="00B9487D"/>
    <w:rsid w:val="00B95490"/>
    <w:rsid w:val="00B95F1A"/>
    <w:rsid w:val="00B97504"/>
    <w:rsid w:val="00B97D99"/>
    <w:rsid w:val="00BA0481"/>
    <w:rsid w:val="00BA07A4"/>
    <w:rsid w:val="00BA10AC"/>
    <w:rsid w:val="00BA11F7"/>
    <w:rsid w:val="00BA3D16"/>
    <w:rsid w:val="00BA47C7"/>
    <w:rsid w:val="00BA48CA"/>
    <w:rsid w:val="00BA4C94"/>
    <w:rsid w:val="00BA6D41"/>
    <w:rsid w:val="00BA79A3"/>
    <w:rsid w:val="00BB008E"/>
    <w:rsid w:val="00BB0949"/>
    <w:rsid w:val="00BB096D"/>
    <w:rsid w:val="00BB112A"/>
    <w:rsid w:val="00BB1BF0"/>
    <w:rsid w:val="00BB1C60"/>
    <w:rsid w:val="00BB25EA"/>
    <w:rsid w:val="00BB2A73"/>
    <w:rsid w:val="00BB2A8F"/>
    <w:rsid w:val="00BB35E6"/>
    <w:rsid w:val="00BB3901"/>
    <w:rsid w:val="00BB4A4F"/>
    <w:rsid w:val="00BB4D48"/>
    <w:rsid w:val="00BB4DEC"/>
    <w:rsid w:val="00BB6481"/>
    <w:rsid w:val="00BB693B"/>
    <w:rsid w:val="00BB7452"/>
    <w:rsid w:val="00BB74C7"/>
    <w:rsid w:val="00BB77F3"/>
    <w:rsid w:val="00BB7C0A"/>
    <w:rsid w:val="00BB7F7E"/>
    <w:rsid w:val="00BC0CAD"/>
    <w:rsid w:val="00BC1238"/>
    <w:rsid w:val="00BC14E7"/>
    <w:rsid w:val="00BC1CB2"/>
    <w:rsid w:val="00BC1F5F"/>
    <w:rsid w:val="00BC235C"/>
    <w:rsid w:val="00BC2CC1"/>
    <w:rsid w:val="00BC2E4B"/>
    <w:rsid w:val="00BC3686"/>
    <w:rsid w:val="00BC3A31"/>
    <w:rsid w:val="00BC3E9D"/>
    <w:rsid w:val="00BC47D7"/>
    <w:rsid w:val="00BC4BAA"/>
    <w:rsid w:val="00BC4CE6"/>
    <w:rsid w:val="00BC532B"/>
    <w:rsid w:val="00BC5659"/>
    <w:rsid w:val="00BC59DB"/>
    <w:rsid w:val="00BC5DE6"/>
    <w:rsid w:val="00BC600C"/>
    <w:rsid w:val="00BC68C6"/>
    <w:rsid w:val="00BC68CB"/>
    <w:rsid w:val="00BC6C6B"/>
    <w:rsid w:val="00BC78DA"/>
    <w:rsid w:val="00BC7C0D"/>
    <w:rsid w:val="00BD09C9"/>
    <w:rsid w:val="00BD1BF0"/>
    <w:rsid w:val="00BD2026"/>
    <w:rsid w:val="00BD3308"/>
    <w:rsid w:val="00BD38B1"/>
    <w:rsid w:val="00BD3C8D"/>
    <w:rsid w:val="00BD3F74"/>
    <w:rsid w:val="00BD43D0"/>
    <w:rsid w:val="00BD440E"/>
    <w:rsid w:val="00BD45CD"/>
    <w:rsid w:val="00BD50CC"/>
    <w:rsid w:val="00BD50EA"/>
    <w:rsid w:val="00BD53F0"/>
    <w:rsid w:val="00BD553F"/>
    <w:rsid w:val="00BD59D2"/>
    <w:rsid w:val="00BD5CF0"/>
    <w:rsid w:val="00BD6624"/>
    <w:rsid w:val="00BD67E0"/>
    <w:rsid w:val="00BD6B8F"/>
    <w:rsid w:val="00BD6FC7"/>
    <w:rsid w:val="00BD7894"/>
    <w:rsid w:val="00BE0273"/>
    <w:rsid w:val="00BE13DE"/>
    <w:rsid w:val="00BE31D0"/>
    <w:rsid w:val="00BE4A61"/>
    <w:rsid w:val="00BE4C17"/>
    <w:rsid w:val="00BE5050"/>
    <w:rsid w:val="00BE5EEE"/>
    <w:rsid w:val="00BE63C6"/>
    <w:rsid w:val="00BE6AA3"/>
    <w:rsid w:val="00BE7141"/>
    <w:rsid w:val="00BF0802"/>
    <w:rsid w:val="00BF0EC2"/>
    <w:rsid w:val="00BF13A7"/>
    <w:rsid w:val="00BF1990"/>
    <w:rsid w:val="00BF1C70"/>
    <w:rsid w:val="00BF1E89"/>
    <w:rsid w:val="00BF2D8B"/>
    <w:rsid w:val="00BF2DF8"/>
    <w:rsid w:val="00BF3D43"/>
    <w:rsid w:val="00BF4205"/>
    <w:rsid w:val="00BF5C1A"/>
    <w:rsid w:val="00BF610B"/>
    <w:rsid w:val="00BF74B3"/>
    <w:rsid w:val="00C00118"/>
    <w:rsid w:val="00C00781"/>
    <w:rsid w:val="00C00B2D"/>
    <w:rsid w:val="00C00EB9"/>
    <w:rsid w:val="00C0106D"/>
    <w:rsid w:val="00C01770"/>
    <w:rsid w:val="00C021F0"/>
    <w:rsid w:val="00C0284B"/>
    <w:rsid w:val="00C02D89"/>
    <w:rsid w:val="00C03437"/>
    <w:rsid w:val="00C03B77"/>
    <w:rsid w:val="00C03C91"/>
    <w:rsid w:val="00C04193"/>
    <w:rsid w:val="00C0471E"/>
    <w:rsid w:val="00C04C0E"/>
    <w:rsid w:val="00C051AC"/>
    <w:rsid w:val="00C059F4"/>
    <w:rsid w:val="00C06871"/>
    <w:rsid w:val="00C06FE3"/>
    <w:rsid w:val="00C0721D"/>
    <w:rsid w:val="00C0789A"/>
    <w:rsid w:val="00C07B31"/>
    <w:rsid w:val="00C07C15"/>
    <w:rsid w:val="00C1009D"/>
    <w:rsid w:val="00C10992"/>
    <w:rsid w:val="00C13C85"/>
    <w:rsid w:val="00C13F47"/>
    <w:rsid w:val="00C14F05"/>
    <w:rsid w:val="00C150D1"/>
    <w:rsid w:val="00C151A0"/>
    <w:rsid w:val="00C1538B"/>
    <w:rsid w:val="00C153CB"/>
    <w:rsid w:val="00C155EE"/>
    <w:rsid w:val="00C15844"/>
    <w:rsid w:val="00C163A5"/>
    <w:rsid w:val="00C16F49"/>
    <w:rsid w:val="00C174D4"/>
    <w:rsid w:val="00C177F7"/>
    <w:rsid w:val="00C17CD6"/>
    <w:rsid w:val="00C207F9"/>
    <w:rsid w:val="00C20B51"/>
    <w:rsid w:val="00C2143A"/>
    <w:rsid w:val="00C2295F"/>
    <w:rsid w:val="00C2331D"/>
    <w:rsid w:val="00C23671"/>
    <w:rsid w:val="00C2381F"/>
    <w:rsid w:val="00C2410E"/>
    <w:rsid w:val="00C2425B"/>
    <w:rsid w:val="00C24F56"/>
    <w:rsid w:val="00C2582E"/>
    <w:rsid w:val="00C25E39"/>
    <w:rsid w:val="00C25EC8"/>
    <w:rsid w:val="00C26826"/>
    <w:rsid w:val="00C268FC"/>
    <w:rsid w:val="00C26956"/>
    <w:rsid w:val="00C269C2"/>
    <w:rsid w:val="00C26B14"/>
    <w:rsid w:val="00C271B8"/>
    <w:rsid w:val="00C2774A"/>
    <w:rsid w:val="00C2789C"/>
    <w:rsid w:val="00C3002D"/>
    <w:rsid w:val="00C30109"/>
    <w:rsid w:val="00C305CF"/>
    <w:rsid w:val="00C3086C"/>
    <w:rsid w:val="00C309D6"/>
    <w:rsid w:val="00C30ACB"/>
    <w:rsid w:val="00C30E84"/>
    <w:rsid w:val="00C3144B"/>
    <w:rsid w:val="00C316BD"/>
    <w:rsid w:val="00C31CD2"/>
    <w:rsid w:val="00C3248C"/>
    <w:rsid w:val="00C32618"/>
    <w:rsid w:val="00C32D50"/>
    <w:rsid w:val="00C32F0C"/>
    <w:rsid w:val="00C33742"/>
    <w:rsid w:val="00C345D6"/>
    <w:rsid w:val="00C35490"/>
    <w:rsid w:val="00C35A9F"/>
    <w:rsid w:val="00C35F82"/>
    <w:rsid w:val="00C360BB"/>
    <w:rsid w:val="00C363BD"/>
    <w:rsid w:val="00C378E9"/>
    <w:rsid w:val="00C4006A"/>
    <w:rsid w:val="00C400E3"/>
    <w:rsid w:val="00C4084B"/>
    <w:rsid w:val="00C41B80"/>
    <w:rsid w:val="00C42385"/>
    <w:rsid w:val="00C4243E"/>
    <w:rsid w:val="00C43CCA"/>
    <w:rsid w:val="00C43EE3"/>
    <w:rsid w:val="00C4444B"/>
    <w:rsid w:val="00C445BE"/>
    <w:rsid w:val="00C445E9"/>
    <w:rsid w:val="00C447B5"/>
    <w:rsid w:val="00C44841"/>
    <w:rsid w:val="00C45C0A"/>
    <w:rsid w:val="00C461BE"/>
    <w:rsid w:val="00C46252"/>
    <w:rsid w:val="00C467AB"/>
    <w:rsid w:val="00C46D4C"/>
    <w:rsid w:val="00C470BF"/>
    <w:rsid w:val="00C471FA"/>
    <w:rsid w:val="00C4774F"/>
    <w:rsid w:val="00C50071"/>
    <w:rsid w:val="00C5008D"/>
    <w:rsid w:val="00C50602"/>
    <w:rsid w:val="00C51016"/>
    <w:rsid w:val="00C51863"/>
    <w:rsid w:val="00C519F0"/>
    <w:rsid w:val="00C5257A"/>
    <w:rsid w:val="00C532E1"/>
    <w:rsid w:val="00C533A0"/>
    <w:rsid w:val="00C53433"/>
    <w:rsid w:val="00C5377B"/>
    <w:rsid w:val="00C53945"/>
    <w:rsid w:val="00C54072"/>
    <w:rsid w:val="00C546A9"/>
    <w:rsid w:val="00C55038"/>
    <w:rsid w:val="00C55074"/>
    <w:rsid w:val="00C55566"/>
    <w:rsid w:val="00C55A5F"/>
    <w:rsid w:val="00C55FF8"/>
    <w:rsid w:val="00C567CD"/>
    <w:rsid w:val="00C570D7"/>
    <w:rsid w:val="00C57C2C"/>
    <w:rsid w:val="00C60712"/>
    <w:rsid w:val="00C608FF"/>
    <w:rsid w:val="00C62955"/>
    <w:rsid w:val="00C63AF7"/>
    <w:rsid w:val="00C63E3D"/>
    <w:rsid w:val="00C6517E"/>
    <w:rsid w:val="00C65539"/>
    <w:rsid w:val="00C65A96"/>
    <w:rsid w:val="00C66713"/>
    <w:rsid w:val="00C6697E"/>
    <w:rsid w:val="00C67BD7"/>
    <w:rsid w:val="00C70163"/>
    <w:rsid w:val="00C7045E"/>
    <w:rsid w:val="00C70CC5"/>
    <w:rsid w:val="00C70E6B"/>
    <w:rsid w:val="00C71394"/>
    <w:rsid w:val="00C72263"/>
    <w:rsid w:val="00C72D91"/>
    <w:rsid w:val="00C72DBC"/>
    <w:rsid w:val="00C72E3D"/>
    <w:rsid w:val="00C7428A"/>
    <w:rsid w:val="00C74B9C"/>
    <w:rsid w:val="00C74CE9"/>
    <w:rsid w:val="00C75670"/>
    <w:rsid w:val="00C75918"/>
    <w:rsid w:val="00C75F4E"/>
    <w:rsid w:val="00C768B6"/>
    <w:rsid w:val="00C76D57"/>
    <w:rsid w:val="00C77241"/>
    <w:rsid w:val="00C774D1"/>
    <w:rsid w:val="00C77BAE"/>
    <w:rsid w:val="00C77C41"/>
    <w:rsid w:val="00C80090"/>
    <w:rsid w:val="00C80096"/>
    <w:rsid w:val="00C8017A"/>
    <w:rsid w:val="00C8066E"/>
    <w:rsid w:val="00C80D54"/>
    <w:rsid w:val="00C81125"/>
    <w:rsid w:val="00C81C23"/>
    <w:rsid w:val="00C82079"/>
    <w:rsid w:val="00C820CD"/>
    <w:rsid w:val="00C821B9"/>
    <w:rsid w:val="00C82331"/>
    <w:rsid w:val="00C823C0"/>
    <w:rsid w:val="00C8308E"/>
    <w:rsid w:val="00C83D69"/>
    <w:rsid w:val="00C841D5"/>
    <w:rsid w:val="00C85A01"/>
    <w:rsid w:val="00C8605C"/>
    <w:rsid w:val="00C876C6"/>
    <w:rsid w:val="00C87B3E"/>
    <w:rsid w:val="00C90F9B"/>
    <w:rsid w:val="00C912DD"/>
    <w:rsid w:val="00C91D21"/>
    <w:rsid w:val="00C925BD"/>
    <w:rsid w:val="00C92865"/>
    <w:rsid w:val="00C92BCC"/>
    <w:rsid w:val="00C92FD1"/>
    <w:rsid w:val="00C954F4"/>
    <w:rsid w:val="00C9587F"/>
    <w:rsid w:val="00C9633D"/>
    <w:rsid w:val="00C963A6"/>
    <w:rsid w:val="00C969E0"/>
    <w:rsid w:val="00C96D32"/>
    <w:rsid w:val="00C97E7E"/>
    <w:rsid w:val="00CA1542"/>
    <w:rsid w:val="00CA1BC2"/>
    <w:rsid w:val="00CA1D94"/>
    <w:rsid w:val="00CA305C"/>
    <w:rsid w:val="00CA34C9"/>
    <w:rsid w:val="00CA560D"/>
    <w:rsid w:val="00CA5AB5"/>
    <w:rsid w:val="00CA5B9E"/>
    <w:rsid w:val="00CA6482"/>
    <w:rsid w:val="00CA6E66"/>
    <w:rsid w:val="00CA70D8"/>
    <w:rsid w:val="00CA79B0"/>
    <w:rsid w:val="00CA7E6A"/>
    <w:rsid w:val="00CA7FA3"/>
    <w:rsid w:val="00CB0193"/>
    <w:rsid w:val="00CB0C84"/>
    <w:rsid w:val="00CB0DE0"/>
    <w:rsid w:val="00CB1398"/>
    <w:rsid w:val="00CB13A3"/>
    <w:rsid w:val="00CB15D2"/>
    <w:rsid w:val="00CB1753"/>
    <w:rsid w:val="00CB1E3B"/>
    <w:rsid w:val="00CB2F80"/>
    <w:rsid w:val="00CB38BB"/>
    <w:rsid w:val="00CB3A8C"/>
    <w:rsid w:val="00CB4CEE"/>
    <w:rsid w:val="00CB5694"/>
    <w:rsid w:val="00CB5853"/>
    <w:rsid w:val="00CB5EC1"/>
    <w:rsid w:val="00CB6723"/>
    <w:rsid w:val="00CB6C0B"/>
    <w:rsid w:val="00CB7242"/>
    <w:rsid w:val="00CC067D"/>
    <w:rsid w:val="00CC0B85"/>
    <w:rsid w:val="00CC0E36"/>
    <w:rsid w:val="00CC1186"/>
    <w:rsid w:val="00CC13DE"/>
    <w:rsid w:val="00CC262C"/>
    <w:rsid w:val="00CC29C3"/>
    <w:rsid w:val="00CC2C5D"/>
    <w:rsid w:val="00CC2CDD"/>
    <w:rsid w:val="00CC47C2"/>
    <w:rsid w:val="00CC4DE1"/>
    <w:rsid w:val="00CC532A"/>
    <w:rsid w:val="00CC5BA7"/>
    <w:rsid w:val="00CC6678"/>
    <w:rsid w:val="00CD010F"/>
    <w:rsid w:val="00CD061D"/>
    <w:rsid w:val="00CD06AB"/>
    <w:rsid w:val="00CD0DE9"/>
    <w:rsid w:val="00CD19F2"/>
    <w:rsid w:val="00CD1B21"/>
    <w:rsid w:val="00CD2507"/>
    <w:rsid w:val="00CD32C5"/>
    <w:rsid w:val="00CD345B"/>
    <w:rsid w:val="00CD3485"/>
    <w:rsid w:val="00CD4F09"/>
    <w:rsid w:val="00CD590F"/>
    <w:rsid w:val="00CD5A06"/>
    <w:rsid w:val="00CD747F"/>
    <w:rsid w:val="00CD751D"/>
    <w:rsid w:val="00CE0D1E"/>
    <w:rsid w:val="00CE169B"/>
    <w:rsid w:val="00CE18AE"/>
    <w:rsid w:val="00CE31F7"/>
    <w:rsid w:val="00CE332A"/>
    <w:rsid w:val="00CE3645"/>
    <w:rsid w:val="00CE39CB"/>
    <w:rsid w:val="00CE3E80"/>
    <w:rsid w:val="00CE4826"/>
    <w:rsid w:val="00CE4A26"/>
    <w:rsid w:val="00CE5610"/>
    <w:rsid w:val="00CE5CC5"/>
    <w:rsid w:val="00CE5D04"/>
    <w:rsid w:val="00CE5DEB"/>
    <w:rsid w:val="00CE6C61"/>
    <w:rsid w:val="00CE7A86"/>
    <w:rsid w:val="00CF04AF"/>
    <w:rsid w:val="00CF077E"/>
    <w:rsid w:val="00CF0A93"/>
    <w:rsid w:val="00CF0BBA"/>
    <w:rsid w:val="00CF0C03"/>
    <w:rsid w:val="00CF0F88"/>
    <w:rsid w:val="00CF18B5"/>
    <w:rsid w:val="00CF1D59"/>
    <w:rsid w:val="00CF1D6D"/>
    <w:rsid w:val="00CF283F"/>
    <w:rsid w:val="00CF358F"/>
    <w:rsid w:val="00CF39B0"/>
    <w:rsid w:val="00CF3A56"/>
    <w:rsid w:val="00CF3E55"/>
    <w:rsid w:val="00CF3F0B"/>
    <w:rsid w:val="00CF53D2"/>
    <w:rsid w:val="00CF57B9"/>
    <w:rsid w:val="00CF5A14"/>
    <w:rsid w:val="00CF6A9F"/>
    <w:rsid w:val="00CF6AAB"/>
    <w:rsid w:val="00CF7BD2"/>
    <w:rsid w:val="00CF7E15"/>
    <w:rsid w:val="00CF7EFB"/>
    <w:rsid w:val="00D002CB"/>
    <w:rsid w:val="00D0098E"/>
    <w:rsid w:val="00D00EA6"/>
    <w:rsid w:val="00D00F04"/>
    <w:rsid w:val="00D011E8"/>
    <w:rsid w:val="00D011FC"/>
    <w:rsid w:val="00D01417"/>
    <w:rsid w:val="00D0194F"/>
    <w:rsid w:val="00D0204C"/>
    <w:rsid w:val="00D021FF"/>
    <w:rsid w:val="00D02700"/>
    <w:rsid w:val="00D03546"/>
    <w:rsid w:val="00D03FA7"/>
    <w:rsid w:val="00D04477"/>
    <w:rsid w:val="00D04624"/>
    <w:rsid w:val="00D0514A"/>
    <w:rsid w:val="00D05CA9"/>
    <w:rsid w:val="00D05F02"/>
    <w:rsid w:val="00D0642C"/>
    <w:rsid w:val="00D07238"/>
    <w:rsid w:val="00D0780F"/>
    <w:rsid w:val="00D07D4D"/>
    <w:rsid w:val="00D12C9B"/>
    <w:rsid w:val="00D13628"/>
    <w:rsid w:val="00D137DC"/>
    <w:rsid w:val="00D13BA5"/>
    <w:rsid w:val="00D13BFC"/>
    <w:rsid w:val="00D15050"/>
    <w:rsid w:val="00D1653A"/>
    <w:rsid w:val="00D1678E"/>
    <w:rsid w:val="00D17B78"/>
    <w:rsid w:val="00D17F6C"/>
    <w:rsid w:val="00D202CE"/>
    <w:rsid w:val="00D209E9"/>
    <w:rsid w:val="00D20F80"/>
    <w:rsid w:val="00D2196A"/>
    <w:rsid w:val="00D21C7C"/>
    <w:rsid w:val="00D21D75"/>
    <w:rsid w:val="00D21DBF"/>
    <w:rsid w:val="00D2256F"/>
    <w:rsid w:val="00D22856"/>
    <w:rsid w:val="00D230DC"/>
    <w:rsid w:val="00D2392B"/>
    <w:rsid w:val="00D241C2"/>
    <w:rsid w:val="00D249C8"/>
    <w:rsid w:val="00D24E03"/>
    <w:rsid w:val="00D25448"/>
    <w:rsid w:val="00D257B2"/>
    <w:rsid w:val="00D25B4F"/>
    <w:rsid w:val="00D26238"/>
    <w:rsid w:val="00D26C6E"/>
    <w:rsid w:val="00D26EF2"/>
    <w:rsid w:val="00D270E3"/>
    <w:rsid w:val="00D276D8"/>
    <w:rsid w:val="00D31349"/>
    <w:rsid w:val="00D321FE"/>
    <w:rsid w:val="00D3230E"/>
    <w:rsid w:val="00D32410"/>
    <w:rsid w:val="00D34243"/>
    <w:rsid w:val="00D34B81"/>
    <w:rsid w:val="00D34FE6"/>
    <w:rsid w:val="00D35066"/>
    <w:rsid w:val="00D359D3"/>
    <w:rsid w:val="00D36356"/>
    <w:rsid w:val="00D37666"/>
    <w:rsid w:val="00D376BA"/>
    <w:rsid w:val="00D40458"/>
    <w:rsid w:val="00D41A09"/>
    <w:rsid w:val="00D41C7D"/>
    <w:rsid w:val="00D42354"/>
    <w:rsid w:val="00D44010"/>
    <w:rsid w:val="00D44266"/>
    <w:rsid w:val="00D451DA"/>
    <w:rsid w:val="00D456DF"/>
    <w:rsid w:val="00D46200"/>
    <w:rsid w:val="00D465A0"/>
    <w:rsid w:val="00D46872"/>
    <w:rsid w:val="00D472F1"/>
    <w:rsid w:val="00D4741A"/>
    <w:rsid w:val="00D4762D"/>
    <w:rsid w:val="00D47800"/>
    <w:rsid w:val="00D47F20"/>
    <w:rsid w:val="00D51866"/>
    <w:rsid w:val="00D52DE7"/>
    <w:rsid w:val="00D52FBC"/>
    <w:rsid w:val="00D5302C"/>
    <w:rsid w:val="00D5315A"/>
    <w:rsid w:val="00D5362A"/>
    <w:rsid w:val="00D53E4D"/>
    <w:rsid w:val="00D547B2"/>
    <w:rsid w:val="00D550E1"/>
    <w:rsid w:val="00D553A5"/>
    <w:rsid w:val="00D557FB"/>
    <w:rsid w:val="00D55E7E"/>
    <w:rsid w:val="00D56F03"/>
    <w:rsid w:val="00D5717C"/>
    <w:rsid w:val="00D57CD9"/>
    <w:rsid w:val="00D605F4"/>
    <w:rsid w:val="00D60694"/>
    <w:rsid w:val="00D60797"/>
    <w:rsid w:val="00D6100F"/>
    <w:rsid w:val="00D61224"/>
    <w:rsid w:val="00D612F0"/>
    <w:rsid w:val="00D616FE"/>
    <w:rsid w:val="00D61E59"/>
    <w:rsid w:val="00D62257"/>
    <w:rsid w:val="00D622DA"/>
    <w:rsid w:val="00D63294"/>
    <w:rsid w:val="00D6389D"/>
    <w:rsid w:val="00D63BD6"/>
    <w:rsid w:val="00D64198"/>
    <w:rsid w:val="00D642FB"/>
    <w:rsid w:val="00D649BC"/>
    <w:rsid w:val="00D65018"/>
    <w:rsid w:val="00D6550F"/>
    <w:rsid w:val="00D65705"/>
    <w:rsid w:val="00D65750"/>
    <w:rsid w:val="00D659E5"/>
    <w:rsid w:val="00D66634"/>
    <w:rsid w:val="00D703AE"/>
    <w:rsid w:val="00D71398"/>
    <w:rsid w:val="00D71682"/>
    <w:rsid w:val="00D71A3D"/>
    <w:rsid w:val="00D71B1F"/>
    <w:rsid w:val="00D733CD"/>
    <w:rsid w:val="00D73711"/>
    <w:rsid w:val="00D73B19"/>
    <w:rsid w:val="00D73F80"/>
    <w:rsid w:val="00D74161"/>
    <w:rsid w:val="00D74CAD"/>
    <w:rsid w:val="00D74FBB"/>
    <w:rsid w:val="00D7639E"/>
    <w:rsid w:val="00D7650A"/>
    <w:rsid w:val="00D769A2"/>
    <w:rsid w:val="00D77783"/>
    <w:rsid w:val="00D8137B"/>
    <w:rsid w:val="00D813B3"/>
    <w:rsid w:val="00D81A72"/>
    <w:rsid w:val="00D81D47"/>
    <w:rsid w:val="00D81F7B"/>
    <w:rsid w:val="00D825FD"/>
    <w:rsid w:val="00D82F04"/>
    <w:rsid w:val="00D82F6B"/>
    <w:rsid w:val="00D83017"/>
    <w:rsid w:val="00D84291"/>
    <w:rsid w:val="00D84413"/>
    <w:rsid w:val="00D84534"/>
    <w:rsid w:val="00D84591"/>
    <w:rsid w:val="00D84791"/>
    <w:rsid w:val="00D850CF"/>
    <w:rsid w:val="00D85E65"/>
    <w:rsid w:val="00D86978"/>
    <w:rsid w:val="00D86F9A"/>
    <w:rsid w:val="00D87D86"/>
    <w:rsid w:val="00D9039D"/>
    <w:rsid w:val="00D90C7D"/>
    <w:rsid w:val="00D90F8D"/>
    <w:rsid w:val="00D910B8"/>
    <w:rsid w:val="00D91560"/>
    <w:rsid w:val="00D91693"/>
    <w:rsid w:val="00D9172E"/>
    <w:rsid w:val="00D91CCD"/>
    <w:rsid w:val="00D91E73"/>
    <w:rsid w:val="00D93C5A"/>
    <w:rsid w:val="00D93F00"/>
    <w:rsid w:val="00D9410F"/>
    <w:rsid w:val="00D9423D"/>
    <w:rsid w:val="00D9461A"/>
    <w:rsid w:val="00D94AC1"/>
    <w:rsid w:val="00D94FFF"/>
    <w:rsid w:val="00D95979"/>
    <w:rsid w:val="00D96365"/>
    <w:rsid w:val="00D97728"/>
    <w:rsid w:val="00D97AD7"/>
    <w:rsid w:val="00D97C04"/>
    <w:rsid w:val="00D97EE2"/>
    <w:rsid w:val="00DA16EE"/>
    <w:rsid w:val="00DA1DCD"/>
    <w:rsid w:val="00DA243A"/>
    <w:rsid w:val="00DA2BCC"/>
    <w:rsid w:val="00DA2E35"/>
    <w:rsid w:val="00DA33DC"/>
    <w:rsid w:val="00DA39FE"/>
    <w:rsid w:val="00DA412E"/>
    <w:rsid w:val="00DA4EB3"/>
    <w:rsid w:val="00DA4EF4"/>
    <w:rsid w:val="00DA50E5"/>
    <w:rsid w:val="00DA547B"/>
    <w:rsid w:val="00DA5949"/>
    <w:rsid w:val="00DA597F"/>
    <w:rsid w:val="00DA5D18"/>
    <w:rsid w:val="00DA5DCA"/>
    <w:rsid w:val="00DA6B2E"/>
    <w:rsid w:val="00DA6DB1"/>
    <w:rsid w:val="00DA6FF2"/>
    <w:rsid w:val="00DA7567"/>
    <w:rsid w:val="00DA7C33"/>
    <w:rsid w:val="00DB1B10"/>
    <w:rsid w:val="00DB1DF5"/>
    <w:rsid w:val="00DB2158"/>
    <w:rsid w:val="00DB2A21"/>
    <w:rsid w:val="00DB2D00"/>
    <w:rsid w:val="00DB324F"/>
    <w:rsid w:val="00DB3A7E"/>
    <w:rsid w:val="00DB3BB1"/>
    <w:rsid w:val="00DB42A5"/>
    <w:rsid w:val="00DB45E2"/>
    <w:rsid w:val="00DB4DFA"/>
    <w:rsid w:val="00DB51F6"/>
    <w:rsid w:val="00DB5465"/>
    <w:rsid w:val="00DB5C0E"/>
    <w:rsid w:val="00DB5EDC"/>
    <w:rsid w:val="00DB6293"/>
    <w:rsid w:val="00DB67CB"/>
    <w:rsid w:val="00DB7DFE"/>
    <w:rsid w:val="00DC063A"/>
    <w:rsid w:val="00DC0657"/>
    <w:rsid w:val="00DC0EC2"/>
    <w:rsid w:val="00DC0FA7"/>
    <w:rsid w:val="00DC1611"/>
    <w:rsid w:val="00DC1E1B"/>
    <w:rsid w:val="00DC2D5A"/>
    <w:rsid w:val="00DC2FF5"/>
    <w:rsid w:val="00DC331F"/>
    <w:rsid w:val="00DC3F01"/>
    <w:rsid w:val="00DC5E1E"/>
    <w:rsid w:val="00DC6531"/>
    <w:rsid w:val="00DC6577"/>
    <w:rsid w:val="00DC684A"/>
    <w:rsid w:val="00DC6E74"/>
    <w:rsid w:val="00DC7714"/>
    <w:rsid w:val="00DC799D"/>
    <w:rsid w:val="00DC7FF3"/>
    <w:rsid w:val="00DD0323"/>
    <w:rsid w:val="00DD0811"/>
    <w:rsid w:val="00DD0A5D"/>
    <w:rsid w:val="00DD0D02"/>
    <w:rsid w:val="00DD0D21"/>
    <w:rsid w:val="00DD0E97"/>
    <w:rsid w:val="00DD1998"/>
    <w:rsid w:val="00DD25CB"/>
    <w:rsid w:val="00DD2A43"/>
    <w:rsid w:val="00DD4A4F"/>
    <w:rsid w:val="00DD4BCD"/>
    <w:rsid w:val="00DD5EF8"/>
    <w:rsid w:val="00DD5FBE"/>
    <w:rsid w:val="00DD6267"/>
    <w:rsid w:val="00DD63EE"/>
    <w:rsid w:val="00DD67D6"/>
    <w:rsid w:val="00DD69DB"/>
    <w:rsid w:val="00DD6CAF"/>
    <w:rsid w:val="00DD7419"/>
    <w:rsid w:val="00DD76E1"/>
    <w:rsid w:val="00DE0771"/>
    <w:rsid w:val="00DE0E1B"/>
    <w:rsid w:val="00DE11DC"/>
    <w:rsid w:val="00DE14E2"/>
    <w:rsid w:val="00DE1997"/>
    <w:rsid w:val="00DE1A38"/>
    <w:rsid w:val="00DE2318"/>
    <w:rsid w:val="00DE2CBB"/>
    <w:rsid w:val="00DE39F5"/>
    <w:rsid w:val="00DE41D7"/>
    <w:rsid w:val="00DE4B4D"/>
    <w:rsid w:val="00DE54FD"/>
    <w:rsid w:val="00DE5802"/>
    <w:rsid w:val="00DE5DB7"/>
    <w:rsid w:val="00DE6792"/>
    <w:rsid w:val="00DE6969"/>
    <w:rsid w:val="00DF16A2"/>
    <w:rsid w:val="00DF1C6A"/>
    <w:rsid w:val="00DF24D2"/>
    <w:rsid w:val="00DF28EC"/>
    <w:rsid w:val="00DF2BF3"/>
    <w:rsid w:val="00DF2DFA"/>
    <w:rsid w:val="00DF317D"/>
    <w:rsid w:val="00DF3231"/>
    <w:rsid w:val="00DF3A42"/>
    <w:rsid w:val="00DF493A"/>
    <w:rsid w:val="00DF4951"/>
    <w:rsid w:val="00DF4A19"/>
    <w:rsid w:val="00DF580A"/>
    <w:rsid w:val="00DF6787"/>
    <w:rsid w:val="00DF7685"/>
    <w:rsid w:val="00E002B9"/>
    <w:rsid w:val="00E00D43"/>
    <w:rsid w:val="00E01E42"/>
    <w:rsid w:val="00E020A3"/>
    <w:rsid w:val="00E02685"/>
    <w:rsid w:val="00E0286B"/>
    <w:rsid w:val="00E02A7D"/>
    <w:rsid w:val="00E0385A"/>
    <w:rsid w:val="00E0403E"/>
    <w:rsid w:val="00E04D0D"/>
    <w:rsid w:val="00E0523A"/>
    <w:rsid w:val="00E053C3"/>
    <w:rsid w:val="00E05835"/>
    <w:rsid w:val="00E06465"/>
    <w:rsid w:val="00E06A20"/>
    <w:rsid w:val="00E06CF4"/>
    <w:rsid w:val="00E07944"/>
    <w:rsid w:val="00E07BF7"/>
    <w:rsid w:val="00E10487"/>
    <w:rsid w:val="00E106B7"/>
    <w:rsid w:val="00E1094C"/>
    <w:rsid w:val="00E11138"/>
    <w:rsid w:val="00E111B3"/>
    <w:rsid w:val="00E11498"/>
    <w:rsid w:val="00E11A2C"/>
    <w:rsid w:val="00E11A68"/>
    <w:rsid w:val="00E11B7A"/>
    <w:rsid w:val="00E12762"/>
    <w:rsid w:val="00E1304D"/>
    <w:rsid w:val="00E1339F"/>
    <w:rsid w:val="00E13471"/>
    <w:rsid w:val="00E137BA"/>
    <w:rsid w:val="00E13841"/>
    <w:rsid w:val="00E13AFA"/>
    <w:rsid w:val="00E13BCB"/>
    <w:rsid w:val="00E13D25"/>
    <w:rsid w:val="00E13D49"/>
    <w:rsid w:val="00E14035"/>
    <w:rsid w:val="00E14AB4"/>
    <w:rsid w:val="00E14BA4"/>
    <w:rsid w:val="00E15069"/>
    <w:rsid w:val="00E15D8C"/>
    <w:rsid w:val="00E16554"/>
    <w:rsid w:val="00E16AE7"/>
    <w:rsid w:val="00E16EB0"/>
    <w:rsid w:val="00E17375"/>
    <w:rsid w:val="00E174C7"/>
    <w:rsid w:val="00E1764F"/>
    <w:rsid w:val="00E178B7"/>
    <w:rsid w:val="00E17990"/>
    <w:rsid w:val="00E17E9D"/>
    <w:rsid w:val="00E200BC"/>
    <w:rsid w:val="00E20DEC"/>
    <w:rsid w:val="00E21132"/>
    <w:rsid w:val="00E21830"/>
    <w:rsid w:val="00E21846"/>
    <w:rsid w:val="00E21BCF"/>
    <w:rsid w:val="00E2220A"/>
    <w:rsid w:val="00E2284B"/>
    <w:rsid w:val="00E22F1E"/>
    <w:rsid w:val="00E23F13"/>
    <w:rsid w:val="00E23F4C"/>
    <w:rsid w:val="00E24C8F"/>
    <w:rsid w:val="00E24E78"/>
    <w:rsid w:val="00E2535E"/>
    <w:rsid w:val="00E25731"/>
    <w:rsid w:val="00E2661D"/>
    <w:rsid w:val="00E2668B"/>
    <w:rsid w:val="00E26A1E"/>
    <w:rsid w:val="00E26DED"/>
    <w:rsid w:val="00E27865"/>
    <w:rsid w:val="00E27DDF"/>
    <w:rsid w:val="00E308AF"/>
    <w:rsid w:val="00E30C03"/>
    <w:rsid w:val="00E31586"/>
    <w:rsid w:val="00E3162E"/>
    <w:rsid w:val="00E31805"/>
    <w:rsid w:val="00E31CEF"/>
    <w:rsid w:val="00E320BA"/>
    <w:rsid w:val="00E32790"/>
    <w:rsid w:val="00E32C3C"/>
    <w:rsid w:val="00E32DC6"/>
    <w:rsid w:val="00E33922"/>
    <w:rsid w:val="00E3447C"/>
    <w:rsid w:val="00E34DA2"/>
    <w:rsid w:val="00E355D4"/>
    <w:rsid w:val="00E36E6B"/>
    <w:rsid w:val="00E3770E"/>
    <w:rsid w:val="00E37B10"/>
    <w:rsid w:val="00E40B67"/>
    <w:rsid w:val="00E40F1B"/>
    <w:rsid w:val="00E41271"/>
    <w:rsid w:val="00E416DC"/>
    <w:rsid w:val="00E41C73"/>
    <w:rsid w:val="00E41FDA"/>
    <w:rsid w:val="00E4237E"/>
    <w:rsid w:val="00E434E2"/>
    <w:rsid w:val="00E43E78"/>
    <w:rsid w:val="00E43F71"/>
    <w:rsid w:val="00E440FF"/>
    <w:rsid w:val="00E44481"/>
    <w:rsid w:val="00E4464D"/>
    <w:rsid w:val="00E4488C"/>
    <w:rsid w:val="00E44F40"/>
    <w:rsid w:val="00E45133"/>
    <w:rsid w:val="00E4535B"/>
    <w:rsid w:val="00E45427"/>
    <w:rsid w:val="00E46BDB"/>
    <w:rsid w:val="00E474B1"/>
    <w:rsid w:val="00E475D1"/>
    <w:rsid w:val="00E47985"/>
    <w:rsid w:val="00E47EBF"/>
    <w:rsid w:val="00E50086"/>
    <w:rsid w:val="00E50B28"/>
    <w:rsid w:val="00E514B3"/>
    <w:rsid w:val="00E515C5"/>
    <w:rsid w:val="00E53047"/>
    <w:rsid w:val="00E538A9"/>
    <w:rsid w:val="00E54A8B"/>
    <w:rsid w:val="00E54C23"/>
    <w:rsid w:val="00E5553D"/>
    <w:rsid w:val="00E5607D"/>
    <w:rsid w:val="00E563E6"/>
    <w:rsid w:val="00E564AE"/>
    <w:rsid w:val="00E57348"/>
    <w:rsid w:val="00E57562"/>
    <w:rsid w:val="00E575B1"/>
    <w:rsid w:val="00E57BC7"/>
    <w:rsid w:val="00E60059"/>
    <w:rsid w:val="00E60466"/>
    <w:rsid w:val="00E61B1A"/>
    <w:rsid w:val="00E6212D"/>
    <w:rsid w:val="00E629CA"/>
    <w:rsid w:val="00E62ADB"/>
    <w:rsid w:val="00E630F1"/>
    <w:rsid w:val="00E63303"/>
    <w:rsid w:val="00E6389D"/>
    <w:rsid w:val="00E63C0C"/>
    <w:rsid w:val="00E63D4E"/>
    <w:rsid w:val="00E640CB"/>
    <w:rsid w:val="00E640D4"/>
    <w:rsid w:val="00E641B4"/>
    <w:rsid w:val="00E64213"/>
    <w:rsid w:val="00E64E94"/>
    <w:rsid w:val="00E64FA3"/>
    <w:rsid w:val="00E65A89"/>
    <w:rsid w:val="00E662CF"/>
    <w:rsid w:val="00E6670C"/>
    <w:rsid w:val="00E66859"/>
    <w:rsid w:val="00E66CF5"/>
    <w:rsid w:val="00E66D35"/>
    <w:rsid w:val="00E66E4A"/>
    <w:rsid w:val="00E6728B"/>
    <w:rsid w:val="00E6741B"/>
    <w:rsid w:val="00E678E9"/>
    <w:rsid w:val="00E679CC"/>
    <w:rsid w:val="00E705E2"/>
    <w:rsid w:val="00E709C4"/>
    <w:rsid w:val="00E70CD5"/>
    <w:rsid w:val="00E71877"/>
    <w:rsid w:val="00E718C0"/>
    <w:rsid w:val="00E719B4"/>
    <w:rsid w:val="00E72553"/>
    <w:rsid w:val="00E7332D"/>
    <w:rsid w:val="00E74705"/>
    <w:rsid w:val="00E74EFC"/>
    <w:rsid w:val="00E751B2"/>
    <w:rsid w:val="00E75349"/>
    <w:rsid w:val="00E75FCD"/>
    <w:rsid w:val="00E76038"/>
    <w:rsid w:val="00E7682D"/>
    <w:rsid w:val="00E76C80"/>
    <w:rsid w:val="00E76F24"/>
    <w:rsid w:val="00E775CD"/>
    <w:rsid w:val="00E77619"/>
    <w:rsid w:val="00E7789A"/>
    <w:rsid w:val="00E80227"/>
    <w:rsid w:val="00E8041A"/>
    <w:rsid w:val="00E8068F"/>
    <w:rsid w:val="00E806FA"/>
    <w:rsid w:val="00E80B03"/>
    <w:rsid w:val="00E817DD"/>
    <w:rsid w:val="00E8215B"/>
    <w:rsid w:val="00E82596"/>
    <w:rsid w:val="00E82C7C"/>
    <w:rsid w:val="00E8338A"/>
    <w:rsid w:val="00E838D3"/>
    <w:rsid w:val="00E83E93"/>
    <w:rsid w:val="00E83ED8"/>
    <w:rsid w:val="00E83F98"/>
    <w:rsid w:val="00E84CFD"/>
    <w:rsid w:val="00E85414"/>
    <w:rsid w:val="00E856AA"/>
    <w:rsid w:val="00E85EB1"/>
    <w:rsid w:val="00E865D5"/>
    <w:rsid w:val="00E8672A"/>
    <w:rsid w:val="00E869A1"/>
    <w:rsid w:val="00E86A92"/>
    <w:rsid w:val="00E86FC0"/>
    <w:rsid w:val="00E87961"/>
    <w:rsid w:val="00E91E40"/>
    <w:rsid w:val="00E92D88"/>
    <w:rsid w:val="00E9344C"/>
    <w:rsid w:val="00E93A55"/>
    <w:rsid w:val="00E93D77"/>
    <w:rsid w:val="00E942FA"/>
    <w:rsid w:val="00E95592"/>
    <w:rsid w:val="00E95A4A"/>
    <w:rsid w:val="00E960E7"/>
    <w:rsid w:val="00E96953"/>
    <w:rsid w:val="00E97A81"/>
    <w:rsid w:val="00E97E55"/>
    <w:rsid w:val="00EA090D"/>
    <w:rsid w:val="00EA0A84"/>
    <w:rsid w:val="00EA0C9F"/>
    <w:rsid w:val="00EA0FB5"/>
    <w:rsid w:val="00EA157E"/>
    <w:rsid w:val="00EA2EE2"/>
    <w:rsid w:val="00EA32C8"/>
    <w:rsid w:val="00EA37BF"/>
    <w:rsid w:val="00EA3875"/>
    <w:rsid w:val="00EA516F"/>
    <w:rsid w:val="00EA7060"/>
    <w:rsid w:val="00EB3B08"/>
    <w:rsid w:val="00EB4C30"/>
    <w:rsid w:val="00EB5A26"/>
    <w:rsid w:val="00EB5C5D"/>
    <w:rsid w:val="00EB6261"/>
    <w:rsid w:val="00EB67F4"/>
    <w:rsid w:val="00EB6DAC"/>
    <w:rsid w:val="00EB703C"/>
    <w:rsid w:val="00EB7198"/>
    <w:rsid w:val="00EB73E1"/>
    <w:rsid w:val="00EB74D9"/>
    <w:rsid w:val="00EB775E"/>
    <w:rsid w:val="00EC06ED"/>
    <w:rsid w:val="00EC0A77"/>
    <w:rsid w:val="00EC0D04"/>
    <w:rsid w:val="00EC27D1"/>
    <w:rsid w:val="00EC284C"/>
    <w:rsid w:val="00EC31C1"/>
    <w:rsid w:val="00EC3845"/>
    <w:rsid w:val="00EC3D16"/>
    <w:rsid w:val="00EC44B6"/>
    <w:rsid w:val="00EC46F9"/>
    <w:rsid w:val="00EC5C7B"/>
    <w:rsid w:val="00EC6102"/>
    <w:rsid w:val="00EC6B7F"/>
    <w:rsid w:val="00EC6BA8"/>
    <w:rsid w:val="00ED036B"/>
    <w:rsid w:val="00ED0B6F"/>
    <w:rsid w:val="00ED140F"/>
    <w:rsid w:val="00ED1FB5"/>
    <w:rsid w:val="00ED20D3"/>
    <w:rsid w:val="00ED2737"/>
    <w:rsid w:val="00ED2849"/>
    <w:rsid w:val="00ED30FD"/>
    <w:rsid w:val="00ED418D"/>
    <w:rsid w:val="00ED5945"/>
    <w:rsid w:val="00ED6B11"/>
    <w:rsid w:val="00ED6F50"/>
    <w:rsid w:val="00ED6FDA"/>
    <w:rsid w:val="00ED7009"/>
    <w:rsid w:val="00ED7342"/>
    <w:rsid w:val="00ED74E8"/>
    <w:rsid w:val="00ED7D73"/>
    <w:rsid w:val="00EE0F22"/>
    <w:rsid w:val="00EE1D99"/>
    <w:rsid w:val="00EE3057"/>
    <w:rsid w:val="00EE3A1A"/>
    <w:rsid w:val="00EE46E8"/>
    <w:rsid w:val="00EE4A34"/>
    <w:rsid w:val="00EE4C12"/>
    <w:rsid w:val="00EE4CE6"/>
    <w:rsid w:val="00EE4FC3"/>
    <w:rsid w:val="00EE513A"/>
    <w:rsid w:val="00EE5C62"/>
    <w:rsid w:val="00EE5CC5"/>
    <w:rsid w:val="00EE610E"/>
    <w:rsid w:val="00EE61BC"/>
    <w:rsid w:val="00EE61FE"/>
    <w:rsid w:val="00EE631A"/>
    <w:rsid w:val="00EE6A87"/>
    <w:rsid w:val="00EE79DC"/>
    <w:rsid w:val="00EE7E01"/>
    <w:rsid w:val="00EE7FBF"/>
    <w:rsid w:val="00EF04F9"/>
    <w:rsid w:val="00EF06C8"/>
    <w:rsid w:val="00EF0E9D"/>
    <w:rsid w:val="00EF1323"/>
    <w:rsid w:val="00EF1F66"/>
    <w:rsid w:val="00EF2EEE"/>
    <w:rsid w:val="00EF37F1"/>
    <w:rsid w:val="00EF396D"/>
    <w:rsid w:val="00EF422B"/>
    <w:rsid w:val="00EF4368"/>
    <w:rsid w:val="00EF4B95"/>
    <w:rsid w:val="00EF4DC4"/>
    <w:rsid w:val="00EF714F"/>
    <w:rsid w:val="00EF77D2"/>
    <w:rsid w:val="00EF79A3"/>
    <w:rsid w:val="00F003F2"/>
    <w:rsid w:val="00F008AA"/>
    <w:rsid w:val="00F00A8C"/>
    <w:rsid w:val="00F010AC"/>
    <w:rsid w:val="00F0159A"/>
    <w:rsid w:val="00F01656"/>
    <w:rsid w:val="00F01777"/>
    <w:rsid w:val="00F01842"/>
    <w:rsid w:val="00F01F40"/>
    <w:rsid w:val="00F021B0"/>
    <w:rsid w:val="00F026C3"/>
    <w:rsid w:val="00F02F17"/>
    <w:rsid w:val="00F03089"/>
    <w:rsid w:val="00F03162"/>
    <w:rsid w:val="00F04239"/>
    <w:rsid w:val="00F04321"/>
    <w:rsid w:val="00F0440B"/>
    <w:rsid w:val="00F04416"/>
    <w:rsid w:val="00F048E0"/>
    <w:rsid w:val="00F0496B"/>
    <w:rsid w:val="00F04EE7"/>
    <w:rsid w:val="00F052D2"/>
    <w:rsid w:val="00F05AB9"/>
    <w:rsid w:val="00F05D87"/>
    <w:rsid w:val="00F06488"/>
    <w:rsid w:val="00F067F7"/>
    <w:rsid w:val="00F06EAB"/>
    <w:rsid w:val="00F074BA"/>
    <w:rsid w:val="00F07909"/>
    <w:rsid w:val="00F07E0C"/>
    <w:rsid w:val="00F10905"/>
    <w:rsid w:val="00F1111D"/>
    <w:rsid w:val="00F11278"/>
    <w:rsid w:val="00F11535"/>
    <w:rsid w:val="00F11840"/>
    <w:rsid w:val="00F11869"/>
    <w:rsid w:val="00F12244"/>
    <w:rsid w:val="00F13461"/>
    <w:rsid w:val="00F136D8"/>
    <w:rsid w:val="00F13A39"/>
    <w:rsid w:val="00F13D5F"/>
    <w:rsid w:val="00F13DD0"/>
    <w:rsid w:val="00F1572E"/>
    <w:rsid w:val="00F15877"/>
    <w:rsid w:val="00F15C6E"/>
    <w:rsid w:val="00F15E4E"/>
    <w:rsid w:val="00F16129"/>
    <w:rsid w:val="00F16286"/>
    <w:rsid w:val="00F16D1B"/>
    <w:rsid w:val="00F17370"/>
    <w:rsid w:val="00F176E6"/>
    <w:rsid w:val="00F2007E"/>
    <w:rsid w:val="00F204AC"/>
    <w:rsid w:val="00F20A11"/>
    <w:rsid w:val="00F20D2D"/>
    <w:rsid w:val="00F2103D"/>
    <w:rsid w:val="00F218CD"/>
    <w:rsid w:val="00F21A12"/>
    <w:rsid w:val="00F21B01"/>
    <w:rsid w:val="00F21D7D"/>
    <w:rsid w:val="00F23B4C"/>
    <w:rsid w:val="00F23FFC"/>
    <w:rsid w:val="00F240E1"/>
    <w:rsid w:val="00F241EC"/>
    <w:rsid w:val="00F243B9"/>
    <w:rsid w:val="00F243E1"/>
    <w:rsid w:val="00F24594"/>
    <w:rsid w:val="00F24777"/>
    <w:rsid w:val="00F24CBA"/>
    <w:rsid w:val="00F24EF0"/>
    <w:rsid w:val="00F2568D"/>
    <w:rsid w:val="00F26649"/>
    <w:rsid w:val="00F267E4"/>
    <w:rsid w:val="00F269B0"/>
    <w:rsid w:val="00F27125"/>
    <w:rsid w:val="00F2763A"/>
    <w:rsid w:val="00F27801"/>
    <w:rsid w:val="00F27A80"/>
    <w:rsid w:val="00F30145"/>
    <w:rsid w:val="00F3085A"/>
    <w:rsid w:val="00F30BF3"/>
    <w:rsid w:val="00F30CF9"/>
    <w:rsid w:val="00F323D3"/>
    <w:rsid w:val="00F32C6F"/>
    <w:rsid w:val="00F32E67"/>
    <w:rsid w:val="00F3341D"/>
    <w:rsid w:val="00F3356F"/>
    <w:rsid w:val="00F336E4"/>
    <w:rsid w:val="00F336F3"/>
    <w:rsid w:val="00F33A77"/>
    <w:rsid w:val="00F347AC"/>
    <w:rsid w:val="00F355B5"/>
    <w:rsid w:val="00F3565D"/>
    <w:rsid w:val="00F3619A"/>
    <w:rsid w:val="00F3685C"/>
    <w:rsid w:val="00F36CC9"/>
    <w:rsid w:val="00F36E5E"/>
    <w:rsid w:val="00F37F55"/>
    <w:rsid w:val="00F41A83"/>
    <w:rsid w:val="00F4225E"/>
    <w:rsid w:val="00F42501"/>
    <w:rsid w:val="00F42889"/>
    <w:rsid w:val="00F433BD"/>
    <w:rsid w:val="00F43850"/>
    <w:rsid w:val="00F44342"/>
    <w:rsid w:val="00F44D49"/>
    <w:rsid w:val="00F45CEB"/>
    <w:rsid w:val="00F46691"/>
    <w:rsid w:val="00F467A3"/>
    <w:rsid w:val="00F46EA1"/>
    <w:rsid w:val="00F4729B"/>
    <w:rsid w:val="00F47434"/>
    <w:rsid w:val="00F47C00"/>
    <w:rsid w:val="00F502D9"/>
    <w:rsid w:val="00F50B47"/>
    <w:rsid w:val="00F50E13"/>
    <w:rsid w:val="00F50FCC"/>
    <w:rsid w:val="00F51410"/>
    <w:rsid w:val="00F5218C"/>
    <w:rsid w:val="00F535D2"/>
    <w:rsid w:val="00F542C2"/>
    <w:rsid w:val="00F54790"/>
    <w:rsid w:val="00F54DF6"/>
    <w:rsid w:val="00F56939"/>
    <w:rsid w:val="00F579C5"/>
    <w:rsid w:val="00F57BEF"/>
    <w:rsid w:val="00F606EF"/>
    <w:rsid w:val="00F60D18"/>
    <w:rsid w:val="00F616DD"/>
    <w:rsid w:val="00F6273C"/>
    <w:rsid w:val="00F637FB"/>
    <w:rsid w:val="00F642C6"/>
    <w:rsid w:val="00F64901"/>
    <w:rsid w:val="00F6498F"/>
    <w:rsid w:val="00F64BD2"/>
    <w:rsid w:val="00F64F2B"/>
    <w:rsid w:val="00F65201"/>
    <w:rsid w:val="00F65876"/>
    <w:rsid w:val="00F666A2"/>
    <w:rsid w:val="00F66A35"/>
    <w:rsid w:val="00F66D82"/>
    <w:rsid w:val="00F66EA0"/>
    <w:rsid w:val="00F66EA4"/>
    <w:rsid w:val="00F671EE"/>
    <w:rsid w:val="00F678D5"/>
    <w:rsid w:val="00F67AFC"/>
    <w:rsid w:val="00F67C8C"/>
    <w:rsid w:val="00F7029B"/>
    <w:rsid w:val="00F71592"/>
    <w:rsid w:val="00F7182B"/>
    <w:rsid w:val="00F72628"/>
    <w:rsid w:val="00F726A7"/>
    <w:rsid w:val="00F7342B"/>
    <w:rsid w:val="00F73965"/>
    <w:rsid w:val="00F73E68"/>
    <w:rsid w:val="00F7457B"/>
    <w:rsid w:val="00F74D73"/>
    <w:rsid w:val="00F74E47"/>
    <w:rsid w:val="00F75521"/>
    <w:rsid w:val="00F76A58"/>
    <w:rsid w:val="00F76CEF"/>
    <w:rsid w:val="00F7740A"/>
    <w:rsid w:val="00F81095"/>
    <w:rsid w:val="00F81C82"/>
    <w:rsid w:val="00F82329"/>
    <w:rsid w:val="00F825CC"/>
    <w:rsid w:val="00F828C6"/>
    <w:rsid w:val="00F82F56"/>
    <w:rsid w:val="00F8305B"/>
    <w:rsid w:val="00F84902"/>
    <w:rsid w:val="00F84A73"/>
    <w:rsid w:val="00F84BA1"/>
    <w:rsid w:val="00F850F9"/>
    <w:rsid w:val="00F8543A"/>
    <w:rsid w:val="00F86034"/>
    <w:rsid w:val="00F8649B"/>
    <w:rsid w:val="00F86697"/>
    <w:rsid w:val="00F866B1"/>
    <w:rsid w:val="00F8685D"/>
    <w:rsid w:val="00F86C01"/>
    <w:rsid w:val="00F86DF3"/>
    <w:rsid w:val="00F86F6F"/>
    <w:rsid w:val="00F874E0"/>
    <w:rsid w:val="00F87641"/>
    <w:rsid w:val="00F8792C"/>
    <w:rsid w:val="00F92481"/>
    <w:rsid w:val="00F92C8E"/>
    <w:rsid w:val="00F92CDD"/>
    <w:rsid w:val="00F932EF"/>
    <w:rsid w:val="00F936A9"/>
    <w:rsid w:val="00F936BC"/>
    <w:rsid w:val="00F936CA"/>
    <w:rsid w:val="00F93B26"/>
    <w:rsid w:val="00F948D7"/>
    <w:rsid w:val="00F954D1"/>
    <w:rsid w:val="00F95933"/>
    <w:rsid w:val="00F95D4F"/>
    <w:rsid w:val="00F95DAA"/>
    <w:rsid w:val="00F95F71"/>
    <w:rsid w:val="00F96AAB"/>
    <w:rsid w:val="00F9748B"/>
    <w:rsid w:val="00F9774A"/>
    <w:rsid w:val="00F97B72"/>
    <w:rsid w:val="00F97E72"/>
    <w:rsid w:val="00FA0386"/>
    <w:rsid w:val="00FA077D"/>
    <w:rsid w:val="00FA09EF"/>
    <w:rsid w:val="00FA0D17"/>
    <w:rsid w:val="00FA0E35"/>
    <w:rsid w:val="00FA1A23"/>
    <w:rsid w:val="00FA2350"/>
    <w:rsid w:val="00FA2933"/>
    <w:rsid w:val="00FA2ED3"/>
    <w:rsid w:val="00FA39A0"/>
    <w:rsid w:val="00FA4036"/>
    <w:rsid w:val="00FA5362"/>
    <w:rsid w:val="00FA566C"/>
    <w:rsid w:val="00FA5A59"/>
    <w:rsid w:val="00FA62A7"/>
    <w:rsid w:val="00FB0958"/>
    <w:rsid w:val="00FB0B3D"/>
    <w:rsid w:val="00FB0E20"/>
    <w:rsid w:val="00FB117F"/>
    <w:rsid w:val="00FB1BF5"/>
    <w:rsid w:val="00FB2993"/>
    <w:rsid w:val="00FB2BB6"/>
    <w:rsid w:val="00FB3DC4"/>
    <w:rsid w:val="00FB4781"/>
    <w:rsid w:val="00FB62E1"/>
    <w:rsid w:val="00FB6C17"/>
    <w:rsid w:val="00FB7735"/>
    <w:rsid w:val="00FC095D"/>
    <w:rsid w:val="00FC0A98"/>
    <w:rsid w:val="00FC2106"/>
    <w:rsid w:val="00FC2963"/>
    <w:rsid w:val="00FC2C42"/>
    <w:rsid w:val="00FC3DBA"/>
    <w:rsid w:val="00FC4006"/>
    <w:rsid w:val="00FC404B"/>
    <w:rsid w:val="00FC40B1"/>
    <w:rsid w:val="00FC417A"/>
    <w:rsid w:val="00FC4E1D"/>
    <w:rsid w:val="00FC50B6"/>
    <w:rsid w:val="00FC52A1"/>
    <w:rsid w:val="00FC53EE"/>
    <w:rsid w:val="00FC5726"/>
    <w:rsid w:val="00FC576A"/>
    <w:rsid w:val="00FC5DED"/>
    <w:rsid w:val="00FC628D"/>
    <w:rsid w:val="00FC6E7D"/>
    <w:rsid w:val="00FC737D"/>
    <w:rsid w:val="00FD00E5"/>
    <w:rsid w:val="00FD1977"/>
    <w:rsid w:val="00FD1EA4"/>
    <w:rsid w:val="00FD2F24"/>
    <w:rsid w:val="00FD3330"/>
    <w:rsid w:val="00FD4148"/>
    <w:rsid w:val="00FD41C7"/>
    <w:rsid w:val="00FD435C"/>
    <w:rsid w:val="00FD45AE"/>
    <w:rsid w:val="00FD5281"/>
    <w:rsid w:val="00FD5381"/>
    <w:rsid w:val="00FD540C"/>
    <w:rsid w:val="00FD741E"/>
    <w:rsid w:val="00FD7DBD"/>
    <w:rsid w:val="00FD7F06"/>
    <w:rsid w:val="00FE020A"/>
    <w:rsid w:val="00FE02BE"/>
    <w:rsid w:val="00FE0351"/>
    <w:rsid w:val="00FE0566"/>
    <w:rsid w:val="00FE0997"/>
    <w:rsid w:val="00FE0C54"/>
    <w:rsid w:val="00FE1A3F"/>
    <w:rsid w:val="00FE2386"/>
    <w:rsid w:val="00FE2ACF"/>
    <w:rsid w:val="00FE2E04"/>
    <w:rsid w:val="00FE3541"/>
    <w:rsid w:val="00FE3A0C"/>
    <w:rsid w:val="00FE4229"/>
    <w:rsid w:val="00FE4EDA"/>
    <w:rsid w:val="00FE5654"/>
    <w:rsid w:val="00FE64CC"/>
    <w:rsid w:val="00FE667F"/>
    <w:rsid w:val="00FE74C5"/>
    <w:rsid w:val="00FE776F"/>
    <w:rsid w:val="00FE7A29"/>
    <w:rsid w:val="00FE7F96"/>
    <w:rsid w:val="00FF02BA"/>
    <w:rsid w:val="00FF0691"/>
    <w:rsid w:val="00FF088C"/>
    <w:rsid w:val="00FF114D"/>
    <w:rsid w:val="00FF133E"/>
    <w:rsid w:val="00FF1357"/>
    <w:rsid w:val="00FF13D7"/>
    <w:rsid w:val="00FF143B"/>
    <w:rsid w:val="00FF1EBA"/>
    <w:rsid w:val="00FF2ABC"/>
    <w:rsid w:val="00FF2CBE"/>
    <w:rsid w:val="00FF4DCC"/>
    <w:rsid w:val="00FF5158"/>
    <w:rsid w:val="00FF6385"/>
    <w:rsid w:val="00FF66E0"/>
    <w:rsid w:val="00FF6C04"/>
    <w:rsid w:val="00FF6CAB"/>
    <w:rsid w:val="00FF6F63"/>
    <w:rsid w:val="00FF7FC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03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Theme="minorHAnsi" w:hAnsi="Georgia" w:cs="Times New Roman"/>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lsdException w:name="heading 5" w:uiPriority="0" w:qFormat="1"/>
    <w:lsdException w:name="heading 6" w:uiPriority="0"/>
    <w:lsdException w:name="heading 7" w:uiPriority="0"/>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0" w:qFormat="1"/>
    <w:lsdException w:name="endnote text" w:uiPriority="0"/>
    <w:lsdException w:name="Title" w:semiHidden="0" w:uiPriority="0" w:unhideWhenUsed="0"/>
    <w:lsdException w:name="Default Paragraph Font" w:uiPriority="1"/>
    <w:lsdException w:name="Subtitle" w:semiHidden="0" w:uiPriority="0" w:unhideWhenUsed="0"/>
    <w:lsdException w:name="Strong" w:semiHidden="0" w:uiPriority="22" w:unhideWhenUsed="0"/>
    <w:lsdException w:name="Emphasis" w:semiHidden="0" w:uiPriority="20" w:unhideWhenUsed="0"/>
    <w:lsdException w:name="HTML Top of Form" w:uiPriority="0"/>
    <w:lsdException w:name="HTML Bottom of Form" w:uiPriority="0"/>
    <w:lsdException w:name="Normal Table" w:uiPriority="0"/>
    <w:lsdException w:name="annotation subject" w:uiPriority="0"/>
    <w:lsdException w:name="Balloon Text" w:semiHidden="0" w:unhideWhenUsed="0"/>
    <w:lsdException w:name="Table Grid" w:semiHidden="0" w:uiPriority="3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0"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63288C"/>
    <w:pPr>
      <w:widowControl w:val="0"/>
      <w:kinsoku w:val="0"/>
      <w:overflowPunct w:val="0"/>
      <w:textAlignment w:val="baseline"/>
    </w:pPr>
    <w:rPr>
      <w:rFonts w:ascii="Cambria" w:hAnsi="Cambria"/>
      <w14:numForm w14:val="oldStyle"/>
      <w14:numSpacing w14:val="proportional"/>
    </w:rPr>
  </w:style>
  <w:style w:type="paragraph" w:styleId="Heading1">
    <w:name w:val="heading 1"/>
    <w:basedOn w:val="Normal"/>
    <w:next w:val="Normal"/>
    <w:link w:val="Heading1Char"/>
    <w:rsid w:val="008260FD"/>
    <w:pPr>
      <w:keepNext/>
      <w:keepLines/>
      <w:spacing w:before="480" w:after="120"/>
      <w:outlineLvl w:val="0"/>
    </w:pPr>
    <w:rPr>
      <w:b/>
      <w:sz w:val="36"/>
      <w:szCs w:val="36"/>
    </w:rPr>
  </w:style>
  <w:style w:type="paragraph" w:styleId="Heading2">
    <w:name w:val="heading 2"/>
    <w:basedOn w:val="Normal"/>
    <w:next w:val="Normal"/>
    <w:link w:val="Heading2Char"/>
    <w:rsid w:val="008260FD"/>
    <w:pPr>
      <w:keepNext/>
      <w:keepLines/>
      <w:spacing w:before="360" w:after="80"/>
      <w:jc w:val="center"/>
      <w:outlineLvl w:val="1"/>
    </w:pPr>
    <w:rPr>
      <w:b/>
      <w:sz w:val="32"/>
      <w:szCs w:val="32"/>
    </w:rPr>
  </w:style>
  <w:style w:type="paragraph" w:styleId="Heading3">
    <w:name w:val="heading 3"/>
    <w:basedOn w:val="Normal"/>
    <w:next w:val="Normal"/>
    <w:link w:val="Heading3Char"/>
    <w:rsid w:val="008260FD"/>
    <w:pPr>
      <w:keepNext/>
      <w:keepLines/>
      <w:spacing w:before="280" w:after="80"/>
      <w:jc w:val="center"/>
      <w:outlineLvl w:val="2"/>
    </w:pPr>
    <w:rPr>
      <w:rFonts w:cs="Arial"/>
      <w:b/>
      <w:sz w:val="28"/>
      <w:szCs w:val="28"/>
    </w:rPr>
  </w:style>
  <w:style w:type="paragraph" w:styleId="Heading4">
    <w:name w:val="heading 4"/>
    <w:basedOn w:val="Normal"/>
    <w:next w:val="Normal"/>
    <w:link w:val="Heading4Char"/>
    <w:rsid w:val="008260FD"/>
    <w:pPr>
      <w:keepNext/>
      <w:keepLines/>
      <w:spacing w:before="240" w:after="40"/>
      <w:outlineLvl w:val="3"/>
    </w:pPr>
    <w:rPr>
      <w:i/>
      <w:color w:val="666666"/>
    </w:rPr>
  </w:style>
  <w:style w:type="paragraph" w:styleId="Heading5">
    <w:name w:val="heading 5"/>
    <w:basedOn w:val="Normal"/>
    <w:next w:val="Normal"/>
    <w:link w:val="Heading5Char"/>
    <w:rsid w:val="008260FD"/>
    <w:pPr>
      <w:keepNext/>
      <w:keepLines/>
      <w:spacing w:before="220" w:after="40"/>
      <w:outlineLvl w:val="4"/>
    </w:pPr>
    <w:rPr>
      <w:rFonts w:cstheme="majorBidi"/>
      <w:b/>
      <w:color w:val="666666"/>
    </w:rPr>
  </w:style>
  <w:style w:type="paragraph" w:styleId="Heading6">
    <w:name w:val="heading 6"/>
    <w:basedOn w:val="Normal"/>
    <w:next w:val="Normal"/>
    <w:link w:val="Heading6Char"/>
    <w:unhideWhenUsed/>
    <w:rsid w:val="0063288C"/>
    <w:pPr>
      <w:keepNext/>
      <w:keepLines/>
      <w:spacing w:before="200"/>
      <w:outlineLvl w:val="5"/>
    </w:pPr>
    <w:rPr>
      <w:rFonts w:asciiTheme="majorHAnsi" w:eastAsiaTheme="majorEastAsia" w:hAnsiTheme="majorHAnsi" w:cstheme="majorBidi"/>
      <w:i/>
      <w:iCs/>
      <w:noProof/>
      <w:color w:val="243F60" w:themeColor="accent1" w:themeShade="7F"/>
      <w14:numForm w14:val="default"/>
      <w14:numSpacing w14:val="default"/>
    </w:rPr>
  </w:style>
  <w:style w:type="paragraph" w:styleId="Heading7">
    <w:name w:val="heading 7"/>
    <w:basedOn w:val="Normal"/>
    <w:next w:val="Normal"/>
    <w:link w:val="Heading7Char"/>
    <w:semiHidden/>
    <w:unhideWhenUsed/>
    <w:rsid w:val="0063288C"/>
    <w:pPr>
      <w:keepNext/>
      <w:keepLines/>
      <w:spacing w:before="200"/>
      <w:outlineLvl w:val="6"/>
    </w:pPr>
    <w:rPr>
      <w:rFonts w:asciiTheme="majorHAnsi" w:eastAsiaTheme="majorEastAsia" w:hAnsiTheme="majorHAnsi" w:cstheme="majorBidi"/>
      <w:i/>
      <w:iCs/>
      <w:noProof/>
      <w:color w:val="404040" w:themeColor="text1" w:themeTint="BF"/>
      <w14:numForm w14:val="default"/>
      <w14:numSpacing w14:val="default"/>
    </w:rPr>
  </w:style>
  <w:style w:type="paragraph" w:styleId="Heading9">
    <w:name w:val="heading 9"/>
    <w:basedOn w:val="Normal"/>
    <w:next w:val="Normal"/>
    <w:link w:val="Heading9Char"/>
    <w:semiHidden/>
    <w:unhideWhenUsed/>
    <w:qFormat/>
    <w:rsid w:val="0063288C"/>
    <w:pPr>
      <w:keepNext/>
      <w:keepLines/>
      <w:spacing w:before="200"/>
      <w:outlineLvl w:val="8"/>
    </w:pPr>
    <w:rPr>
      <w:rFonts w:asciiTheme="majorHAnsi" w:eastAsiaTheme="majorEastAsia" w:hAnsiTheme="majorHAnsi" w:cstheme="majorBidi"/>
      <w:i/>
      <w:iCs/>
      <w:noProof/>
      <w:color w:val="404040" w:themeColor="text1" w:themeTint="BF"/>
      <w14:numForm w14:val="default"/>
      <w14:numSpacing w14:val="defau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ddress">
    <w:name w:val="Address"/>
    <w:basedOn w:val="Normal"/>
    <w:rsid w:val="008260FD"/>
    <w:pPr>
      <w:ind w:left="425" w:hanging="425"/>
    </w:pPr>
  </w:style>
  <w:style w:type="paragraph" w:customStyle="1" w:styleId="Text">
    <w:name w:val="Text"/>
    <w:basedOn w:val="Normal"/>
    <w:link w:val="TextChar"/>
    <w:qFormat/>
    <w:rsid w:val="0063288C"/>
    <w:pPr>
      <w:suppressAutoHyphens/>
      <w:overflowPunct/>
      <w:spacing w:before="120"/>
      <w:ind w:firstLine="284"/>
      <w:jc w:val="both"/>
      <w:textAlignment w:val="auto"/>
    </w:pPr>
    <w:rPr>
      <w:rFonts w:cs="Gentium Book Basic"/>
    </w:rPr>
  </w:style>
  <w:style w:type="paragraph" w:customStyle="1" w:styleId="BulletText">
    <w:name w:val="Bullet Text"/>
    <w:basedOn w:val="Text"/>
    <w:qFormat/>
    <w:rsid w:val="007949AC"/>
    <w:pPr>
      <w:ind w:left="284" w:hanging="284"/>
    </w:pPr>
  </w:style>
  <w:style w:type="paragraph" w:customStyle="1" w:styleId="Bullettextcont">
    <w:name w:val="Bullet text cont"/>
    <w:basedOn w:val="BulletText"/>
    <w:qFormat/>
    <w:rsid w:val="0063288C"/>
    <w:pPr>
      <w:spacing w:before="0"/>
    </w:pPr>
  </w:style>
  <w:style w:type="character" w:styleId="CommentReference">
    <w:name w:val="annotation reference"/>
    <w:basedOn w:val="DefaultParagraphFont"/>
    <w:uiPriority w:val="99"/>
    <w:unhideWhenUsed/>
    <w:rsid w:val="008260FD"/>
    <w:rPr>
      <w:sz w:val="16"/>
      <w:szCs w:val="16"/>
    </w:rPr>
  </w:style>
  <w:style w:type="paragraph" w:styleId="CommentText">
    <w:name w:val="annotation text"/>
    <w:basedOn w:val="Normal"/>
    <w:link w:val="CommentTextChar"/>
    <w:uiPriority w:val="99"/>
    <w:unhideWhenUsed/>
    <w:rsid w:val="008260FD"/>
  </w:style>
  <w:style w:type="character" w:customStyle="1" w:styleId="CommentTextChar">
    <w:name w:val="Comment Text Char"/>
    <w:basedOn w:val="DefaultParagraphFont"/>
    <w:link w:val="CommentText"/>
    <w:uiPriority w:val="99"/>
    <w:rsid w:val="008260FD"/>
    <w:rPr>
      <w:rFonts w:ascii="Cambria" w:hAnsi="Cambria"/>
      <w:sz w:val="20"/>
      <w:szCs w:val="20"/>
      <w14:numForm w14:val="oldStyle"/>
      <w14:numSpacing w14:val="proportional"/>
    </w:rPr>
  </w:style>
  <w:style w:type="paragraph" w:styleId="CommentSubject">
    <w:name w:val="annotation subject"/>
    <w:basedOn w:val="CommentText"/>
    <w:next w:val="CommentText"/>
    <w:link w:val="CommentSubjectChar"/>
    <w:rsid w:val="007465EB"/>
    <w:rPr>
      <w:rFonts w:cs="Gentium Book Basic"/>
      <w:b/>
      <w:bCs/>
      <w:sz w:val="22"/>
      <w:szCs w:val="22"/>
    </w:rPr>
  </w:style>
  <w:style w:type="character" w:customStyle="1" w:styleId="CommentSubjectChar">
    <w:name w:val="Comment Subject Char"/>
    <w:link w:val="CommentSubject"/>
    <w:rsid w:val="007465EB"/>
    <w:rPr>
      <w:rFonts w:ascii="Cambria" w:hAnsi="Cambria"/>
      <w:b/>
      <w:bCs/>
      <w14:numForm w14:val="oldStyle"/>
      <w14:numSpacing w14:val="proportional"/>
    </w:rPr>
  </w:style>
  <w:style w:type="paragraph" w:styleId="EndnoteText">
    <w:name w:val="endnote text"/>
    <w:basedOn w:val="Normal"/>
    <w:link w:val="EndnoteTextChar"/>
    <w:rsid w:val="00E86A92"/>
    <w:pPr>
      <w:tabs>
        <w:tab w:val="left" w:pos="425"/>
      </w:tabs>
      <w:ind w:left="284" w:hanging="284"/>
    </w:pPr>
    <w:rPr>
      <w:rFonts w:cs="Gentium Book Basic"/>
      <w:kern w:val="20"/>
      <w:sz w:val="18"/>
    </w:rPr>
  </w:style>
  <w:style w:type="character" w:customStyle="1" w:styleId="EndnoteTextChar">
    <w:name w:val="Endnote Text Char"/>
    <w:link w:val="EndnoteText"/>
    <w:rsid w:val="00E86A92"/>
    <w:rPr>
      <w:rFonts w:ascii="Cambria" w:hAnsi="Cambria"/>
      <w:kern w:val="20"/>
      <w:sz w:val="18"/>
      <w14:numForm w14:val="oldStyle"/>
      <w14:numSpacing w14:val="proportional"/>
    </w:rPr>
  </w:style>
  <w:style w:type="paragraph" w:styleId="Footer">
    <w:name w:val="footer"/>
    <w:basedOn w:val="Normal"/>
    <w:link w:val="FooterChar"/>
    <w:uiPriority w:val="99"/>
    <w:rsid w:val="000370AD"/>
    <w:pPr>
      <w:tabs>
        <w:tab w:val="center" w:pos="4320"/>
        <w:tab w:val="right" w:pos="8640"/>
      </w:tabs>
    </w:pPr>
    <w:rPr>
      <w:rFonts w:cs="Gentium Book Basic"/>
    </w:rPr>
  </w:style>
  <w:style w:type="character" w:customStyle="1" w:styleId="FooterChar">
    <w:name w:val="Footer Char"/>
    <w:basedOn w:val="DefaultParagraphFont"/>
    <w:link w:val="Footer"/>
    <w:uiPriority w:val="99"/>
    <w:rsid w:val="000370AD"/>
    <w:rPr>
      <w:rFonts w:ascii="Cambria" w:hAnsi="Cambria"/>
      <w:sz w:val="20"/>
      <w14:numForm w14:val="oldStyle"/>
      <w14:numSpacing w14:val="proportional"/>
    </w:rPr>
  </w:style>
  <w:style w:type="character" w:styleId="FootnoteReference">
    <w:name w:val="footnote reference"/>
    <w:basedOn w:val="DefaultParagraphFont"/>
    <w:uiPriority w:val="99"/>
    <w:unhideWhenUsed/>
    <w:rsid w:val="008260FD"/>
    <w:rPr>
      <w:vertAlign w:val="superscript"/>
    </w:rPr>
  </w:style>
  <w:style w:type="paragraph" w:styleId="FootnoteText">
    <w:name w:val="footnote text"/>
    <w:basedOn w:val="Normal"/>
    <w:link w:val="FootnoteTextChar"/>
    <w:uiPriority w:val="99"/>
    <w:rsid w:val="0005352B"/>
    <w:pPr>
      <w:tabs>
        <w:tab w:val="left" w:pos="425"/>
      </w:tabs>
      <w:ind w:left="284" w:hanging="284"/>
      <w:jc w:val="both"/>
    </w:pPr>
    <w:rPr>
      <w:rFonts w:cs="Gentium Book Basic"/>
      <w:kern w:val="20"/>
      <w:sz w:val="18"/>
    </w:rPr>
  </w:style>
  <w:style w:type="character" w:customStyle="1" w:styleId="FootnoteTextChar">
    <w:name w:val="Footnote Text Char"/>
    <w:link w:val="FootnoteText"/>
    <w:uiPriority w:val="99"/>
    <w:rsid w:val="0005352B"/>
    <w:rPr>
      <w:rFonts w:ascii="Cambria" w:hAnsi="Cambria"/>
      <w:kern w:val="20"/>
      <w:sz w:val="18"/>
      <w14:numForm w14:val="oldStyle"/>
      <w14:numSpacing w14:val="proportional"/>
    </w:rPr>
  </w:style>
  <w:style w:type="paragraph" w:styleId="Header">
    <w:name w:val="header"/>
    <w:basedOn w:val="Normal"/>
    <w:link w:val="HeaderChar"/>
    <w:uiPriority w:val="99"/>
    <w:rsid w:val="00BB7452"/>
    <w:pPr>
      <w:tabs>
        <w:tab w:val="center" w:pos="3515"/>
        <w:tab w:val="right" w:pos="7031"/>
      </w:tabs>
      <w:spacing w:after="120"/>
    </w:pPr>
    <w:rPr>
      <w:kern w:val="20"/>
      <w:sz w:val="18"/>
    </w:rPr>
  </w:style>
  <w:style w:type="character" w:customStyle="1" w:styleId="HeaderChar">
    <w:name w:val="Header Char"/>
    <w:link w:val="Header"/>
    <w:uiPriority w:val="99"/>
    <w:rsid w:val="00BB7452"/>
    <w:rPr>
      <w:rFonts w:ascii="Cambria" w:hAnsi="Cambria" w:cs="Times New Roman"/>
      <w:kern w:val="20"/>
      <w:sz w:val="18"/>
      <w:szCs w:val="20"/>
      <w14:numForm w14:val="oldStyle"/>
      <w14:numSpacing w14:val="proportional"/>
    </w:rPr>
  </w:style>
  <w:style w:type="character" w:customStyle="1" w:styleId="Heading1Char">
    <w:name w:val="Heading 1 Char"/>
    <w:basedOn w:val="DefaultParagraphFont"/>
    <w:link w:val="Heading1"/>
    <w:rsid w:val="008260FD"/>
    <w:rPr>
      <w:rFonts w:ascii="Cambria" w:hAnsi="Cambria"/>
      <w:b/>
      <w:sz w:val="36"/>
      <w:szCs w:val="36"/>
      <w14:numForm w14:val="oldStyle"/>
      <w14:numSpacing w14:val="proportional"/>
    </w:rPr>
  </w:style>
  <w:style w:type="character" w:customStyle="1" w:styleId="Heading2Char">
    <w:name w:val="Heading 2 Char"/>
    <w:basedOn w:val="DefaultParagraphFont"/>
    <w:link w:val="Heading2"/>
    <w:rsid w:val="008260FD"/>
    <w:rPr>
      <w:rFonts w:ascii="Cambria" w:hAnsi="Cambria"/>
      <w:b/>
      <w:sz w:val="32"/>
      <w:szCs w:val="32"/>
      <w14:numForm w14:val="oldStyle"/>
      <w14:numSpacing w14:val="proportional"/>
    </w:rPr>
  </w:style>
  <w:style w:type="character" w:customStyle="1" w:styleId="Heading3Char">
    <w:name w:val="Heading 3 Char"/>
    <w:basedOn w:val="DefaultParagraphFont"/>
    <w:link w:val="Heading3"/>
    <w:rsid w:val="008260FD"/>
    <w:rPr>
      <w:rFonts w:ascii="Cambria" w:hAnsi="Cambria" w:cs="Arial"/>
      <w:b/>
      <w:sz w:val="28"/>
      <w:szCs w:val="28"/>
      <w14:numForm w14:val="oldStyle"/>
      <w14:numSpacing w14:val="proportional"/>
    </w:rPr>
  </w:style>
  <w:style w:type="paragraph" w:customStyle="1" w:styleId="Hidden">
    <w:name w:val="Hidden"/>
    <w:basedOn w:val="Normal"/>
    <w:rsid w:val="008260FD"/>
    <w:rPr>
      <w:vanish/>
      <w:color w:val="FF0000"/>
    </w:rPr>
  </w:style>
  <w:style w:type="paragraph" w:customStyle="1" w:styleId="Myhead">
    <w:name w:val="Myhead"/>
    <w:basedOn w:val="Normal"/>
    <w:rsid w:val="00A46F8D"/>
    <w:pPr>
      <w:keepNext/>
      <w:keepLines/>
      <w:spacing w:before="120"/>
    </w:pPr>
    <w:rPr>
      <w:b/>
      <w:sz w:val="24"/>
      <w:szCs w:val="28"/>
      <w14:numForm w14:val="lining"/>
    </w:rPr>
  </w:style>
  <w:style w:type="paragraph" w:customStyle="1" w:styleId="Myheadc">
    <w:name w:val="Myheadc"/>
    <w:basedOn w:val="Normal"/>
    <w:rsid w:val="00A46F8D"/>
    <w:pPr>
      <w:keepNext/>
      <w:keepLines/>
      <w:spacing w:before="120"/>
      <w:jc w:val="center"/>
    </w:pPr>
    <w:rPr>
      <w:b/>
      <w:sz w:val="28"/>
      <w:szCs w:val="32"/>
      <w14:numForm w14:val="lining"/>
    </w:rPr>
  </w:style>
  <w:style w:type="character" w:styleId="PlaceholderText">
    <w:name w:val="Placeholder Text"/>
    <w:uiPriority w:val="99"/>
    <w:semiHidden/>
    <w:rsid w:val="008260FD"/>
    <w:rPr>
      <w:color w:val="808080"/>
    </w:rPr>
  </w:style>
  <w:style w:type="paragraph" w:customStyle="1" w:styleId="Qref">
    <w:name w:val="Qref"/>
    <w:basedOn w:val="Normal"/>
    <w:rsid w:val="008260FD"/>
    <w:pPr>
      <w:jc w:val="right"/>
    </w:pPr>
  </w:style>
  <w:style w:type="paragraph" w:styleId="Quote">
    <w:name w:val="Quote"/>
    <w:basedOn w:val="Normal"/>
    <w:next w:val="Normal"/>
    <w:link w:val="QuoteChar"/>
    <w:qFormat/>
    <w:rsid w:val="009073C7"/>
    <w:pPr>
      <w:spacing w:before="120"/>
      <w:ind w:left="567"/>
      <w:jc w:val="both"/>
    </w:pPr>
    <w:rPr>
      <w:rFonts w:cstheme="minorBidi"/>
      <w:iCs/>
      <w:sz w:val="18"/>
    </w:rPr>
  </w:style>
  <w:style w:type="character" w:customStyle="1" w:styleId="QuoteChar">
    <w:name w:val="Quote Char"/>
    <w:link w:val="Quote"/>
    <w:rsid w:val="009073C7"/>
    <w:rPr>
      <w:rFonts w:ascii="Cambria" w:hAnsi="Cambria" w:cstheme="minorBidi"/>
      <w:iCs/>
      <w:sz w:val="18"/>
      <w14:numForm w14:val="oldStyle"/>
      <w14:numSpacing w14:val="proportional"/>
    </w:rPr>
  </w:style>
  <w:style w:type="paragraph" w:customStyle="1" w:styleId="Quotects">
    <w:name w:val="Quotects"/>
    <w:basedOn w:val="Normal"/>
    <w:qFormat/>
    <w:rsid w:val="009073C7"/>
    <w:pPr>
      <w:ind w:left="567"/>
      <w:jc w:val="both"/>
    </w:pPr>
    <w:rPr>
      <w:sz w:val="18"/>
    </w:rPr>
  </w:style>
  <w:style w:type="paragraph" w:customStyle="1" w:styleId="Ref">
    <w:name w:val="Ref"/>
    <w:basedOn w:val="Normal"/>
    <w:link w:val="RefChar"/>
    <w:rsid w:val="008260FD"/>
    <w:pPr>
      <w:tabs>
        <w:tab w:val="left" w:pos="3402"/>
      </w:tabs>
      <w:spacing w:before="120"/>
      <w:ind w:left="1134" w:hanging="1134"/>
    </w:pPr>
  </w:style>
  <w:style w:type="character" w:customStyle="1" w:styleId="RefChar">
    <w:name w:val="Ref Char"/>
    <w:link w:val="Ref"/>
    <w:rsid w:val="008260FD"/>
    <w:rPr>
      <w:rFonts w:ascii="Cambria" w:hAnsi="Cambria"/>
      <w:sz w:val="20"/>
      <w14:numForm w14:val="oldStyle"/>
      <w14:numSpacing w14:val="proportional"/>
    </w:rPr>
  </w:style>
  <w:style w:type="paragraph" w:customStyle="1" w:styleId="Reference">
    <w:name w:val="Reference"/>
    <w:basedOn w:val="Text"/>
    <w:rsid w:val="008260FD"/>
    <w:pPr>
      <w:tabs>
        <w:tab w:val="right" w:pos="7450"/>
      </w:tabs>
      <w:spacing w:before="60"/>
      <w:ind w:left="567" w:firstLine="0"/>
    </w:pPr>
    <w:rPr>
      <w:sz w:val="18"/>
      <w14:numForm w14:val="lining"/>
      <w14:numSpacing w14:val="tabular"/>
    </w:rPr>
  </w:style>
  <w:style w:type="table" w:styleId="TableGrid">
    <w:name w:val="Table Grid"/>
    <w:basedOn w:val="TableNormal"/>
    <w:uiPriority w:val="39"/>
    <w:rsid w:val="008260FD"/>
    <w:rPr>
      <w:lang w:val="en-US"/>
    </w:rPr>
    <w:tblPr>
      <w:tblCellMar>
        <w:left w:w="113" w:type="dxa"/>
        <w:right w:w="113" w:type="dxa"/>
      </w:tblCellMar>
    </w:tblPr>
  </w:style>
  <w:style w:type="paragraph" w:customStyle="1" w:styleId="Textcts">
    <w:name w:val="Textcts"/>
    <w:basedOn w:val="Text"/>
    <w:qFormat/>
    <w:rsid w:val="0063288C"/>
    <w:pPr>
      <w:spacing w:before="0"/>
      <w:ind w:firstLine="0"/>
    </w:pPr>
    <w:rPr>
      <w:rFonts w:cs="Times New Roman"/>
      <w:kern w:val="20"/>
    </w:rPr>
  </w:style>
  <w:style w:type="paragraph" w:styleId="TOC1">
    <w:name w:val="toc 1"/>
    <w:basedOn w:val="Normal"/>
    <w:next w:val="Normal"/>
    <w:uiPriority w:val="39"/>
    <w:rsid w:val="00417538"/>
    <w:pPr>
      <w:tabs>
        <w:tab w:val="decimal" w:pos="227"/>
        <w:tab w:val="left" w:pos="454"/>
        <w:tab w:val="right" w:leader="dot" w:pos="6430"/>
        <w:tab w:val="right" w:pos="6821"/>
      </w:tabs>
    </w:pPr>
    <w:rPr>
      <w:bCs/>
      <w:szCs w:val="22"/>
      <w14:numSpacing w14:val="tabular"/>
    </w:rPr>
  </w:style>
  <w:style w:type="paragraph" w:styleId="TOC2">
    <w:name w:val="toc 2"/>
    <w:basedOn w:val="Normal"/>
    <w:next w:val="Normal"/>
    <w:uiPriority w:val="39"/>
    <w:rsid w:val="00B25BEB"/>
    <w:pPr>
      <w:pageBreakBefore/>
      <w:spacing w:line="14" w:lineRule="auto"/>
    </w:pPr>
    <w:rPr>
      <w:sz w:val="8"/>
      <w:szCs w:val="8"/>
      <w14:numSpacing w14:val="tabular"/>
    </w:rPr>
  </w:style>
  <w:style w:type="paragraph" w:styleId="TOC3">
    <w:name w:val="toc 3"/>
    <w:basedOn w:val="Normal"/>
    <w:next w:val="Normal"/>
    <w:uiPriority w:val="39"/>
    <w:rsid w:val="00417538"/>
    <w:pPr>
      <w:tabs>
        <w:tab w:val="right" w:leader="dot" w:pos="6430"/>
        <w:tab w:val="right" w:pos="6821"/>
      </w:tabs>
      <w:ind w:left="454"/>
    </w:pPr>
    <w:rPr>
      <w:szCs w:val="24"/>
      <w:lang w:eastAsia="en-GB"/>
      <w14:numSpacing w14:val="tabular"/>
    </w:rPr>
  </w:style>
  <w:style w:type="paragraph" w:styleId="TOC4">
    <w:name w:val="toc 4"/>
    <w:basedOn w:val="Normal"/>
    <w:next w:val="Normal"/>
    <w:autoRedefine/>
    <w:uiPriority w:val="39"/>
    <w:unhideWhenUsed/>
    <w:rsid w:val="008260FD"/>
    <w:pPr>
      <w:spacing w:after="100" w:line="259" w:lineRule="auto"/>
      <w:ind w:left="660"/>
    </w:pPr>
    <w:rPr>
      <w:rFonts w:asciiTheme="minorHAnsi" w:eastAsiaTheme="minorEastAsia" w:hAnsiTheme="minorHAnsi" w:cstheme="minorBidi"/>
      <w:lang w:val="en-US"/>
    </w:rPr>
  </w:style>
  <w:style w:type="character" w:styleId="EndnoteReference">
    <w:name w:val="endnote reference"/>
    <w:basedOn w:val="DefaultParagraphFont"/>
    <w:uiPriority w:val="99"/>
    <w:unhideWhenUsed/>
    <w:rsid w:val="008260FD"/>
    <w:rPr>
      <w:vertAlign w:val="superscript"/>
    </w:rPr>
  </w:style>
  <w:style w:type="paragraph" w:styleId="Caption">
    <w:name w:val="caption"/>
    <w:basedOn w:val="Normal"/>
    <w:next w:val="Normal"/>
    <w:unhideWhenUsed/>
    <w:qFormat/>
    <w:rsid w:val="00CE39CB"/>
    <w:pPr>
      <w:spacing w:after="200"/>
    </w:pPr>
    <w:rPr>
      <w:b/>
      <w:bCs/>
      <w:sz w:val="18"/>
      <w:szCs w:val="18"/>
    </w:rPr>
  </w:style>
  <w:style w:type="character" w:customStyle="1" w:styleId="Heading9Char">
    <w:name w:val="Heading 9 Char"/>
    <w:basedOn w:val="DefaultParagraphFont"/>
    <w:link w:val="Heading9"/>
    <w:semiHidden/>
    <w:rsid w:val="0063288C"/>
    <w:rPr>
      <w:rFonts w:asciiTheme="majorHAnsi" w:eastAsiaTheme="majorEastAsia" w:hAnsiTheme="majorHAnsi" w:cstheme="majorBidi"/>
      <w:i/>
      <w:iCs/>
      <w:noProof/>
      <w:color w:val="404040" w:themeColor="text1" w:themeTint="BF"/>
    </w:rPr>
  </w:style>
  <w:style w:type="character" w:customStyle="1" w:styleId="Heading6Char">
    <w:name w:val="Heading 6 Char"/>
    <w:basedOn w:val="DefaultParagraphFont"/>
    <w:link w:val="Heading6"/>
    <w:rsid w:val="0063288C"/>
    <w:rPr>
      <w:rFonts w:asciiTheme="majorHAnsi" w:eastAsiaTheme="majorEastAsia" w:hAnsiTheme="majorHAnsi" w:cstheme="majorBidi"/>
      <w:i/>
      <w:iCs/>
      <w:noProof/>
      <w:color w:val="243F60" w:themeColor="accent1" w:themeShade="7F"/>
    </w:rPr>
  </w:style>
  <w:style w:type="character" w:customStyle="1" w:styleId="Heading5Char">
    <w:name w:val="Heading 5 Char"/>
    <w:basedOn w:val="DefaultParagraphFont"/>
    <w:link w:val="Heading5"/>
    <w:rsid w:val="008260FD"/>
    <w:rPr>
      <w:rFonts w:ascii="Cambria" w:hAnsi="Cambria" w:cstheme="majorBidi"/>
      <w:b/>
      <w:color w:val="666666"/>
      <w:sz w:val="20"/>
      <w:szCs w:val="20"/>
      <w14:numForm w14:val="oldStyle"/>
      <w14:numSpacing w14:val="proportional"/>
    </w:rPr>
  </w:style>
  <w:style w:type="character" w:customStyle="1" w:styleId="Heading7Char">
    <w:name w:val="Heading 7 Char"/>
    <w:basedOn w:val="DefaultParagraphFont"/>
    <w:link w:val="Heading7"/>
    <w:semiHidden/>
    <w:rsid w:val="0063288C"/>
    <w:rPr>
      <w:rFonts w:asciiTheme="majorHAnsi" w:eastAsiaTheme="majorEastAsia" w:hAnsiTheme="majorHAnsi" w:cstheme="majorBidi"/>
      <w:i/>
      <w:iCs/>
      <w:noProof/>
      <w:color w:val="404040" w:themeColor="text1" w:themeTint="BF"/>
    </w:rPr>
  </w:style>
  <w:style w:type="paragraph" w:customStyle="1" w:styleId="Bullet2">
    <w:name w:val="Bullet2"/>
    <w:basedOn w:val="BulletText"/>
    <w:link w:val="Bullet2Char"/>
    <w:qFormat/>
    <w:rsid w:val="007949AC"/>
    <w:pPr>
      <w:ind w:left="568"/>
    </w:pPr>
    <w:rPr>
      <w14:numSpacing w14:val="default"/>
    </w:rPr>
  </w:style>
  <w:style w:type="character" w:customStyle="1" w:styleId="Bullet2Char">
    <w:name w:val="Bullet2 Char"/>
    <w:basedOn w:val="DefaultParagraphFont"/>
    <w:link w:val="Bullet2"/>
    <w:rsid w:val="007949AC"/>
    <w:rPr>
      <w:rFonts w:ascii="Cambria" w:hAnsi="Cambria" w:cs="Gentium Book Basic"/>
      <w14:numForm w14:val="oldStyle"/>
    </w:rPr>
  </w:style>
  <w:style w:type="paragraph" w:customStyle="1" w:styleId="Bullet2ct">
    <w:name w:val="Bullet2 ct"/>
    <w:basedOn w:val="BulletText"/>
    <w:link w:val="Bullet2ctChar"/>
    <w:qFormat/>
    <w:rsid w:val="007949AC"/>
    <w:pPr>
      <w:spacing w:before="0"/>
      <w:ind w:left="568"/>
    </w:pPr>
    <w:rPr>
      <w14:numSpacing w14:val="default"/>
    </w:rPr>
  </w:style>
  <w:style w:type="character" w:customStyle="1" w:styleId="Bullet2ctChar">
    <w:name w:val="Bullet2 ct Char"/>
    <w:basedOn w:val="DefaultParagraphFont"/>
    <w:link w:val="Bullet2ct"/>
    <w:rsid w:val="007949AC"/>
    <w:rPr>
      <w:rFonts w:ascii="Cambria" w:hAnsi="Cambria" w:cs="Gentium Book Basic"/>
      <w14:numForm w14:val="oldStyle"/>
    </w:rPr>
  </w:style>
  <w:style w:type="paragraph" w:customStyle="1" w:styleId="Translit">
    <w:name w:val="Translit"/>
    <w:basedOn w:val="Normal"/>
    <w:link w:val="TranslitChar"/>
    <w:rsid w:val="008260FD"/>
    <w:pPr>
      <w:tabs>
        <w:tab w:val="left" w:pos="3260"/>
        <w:tab w:val="left" w:pos="6521"/>
      </w:tabs>
      <w:ind w:left="567" w:hanging="567"/>
    </w:pPr>
    <w:rPr>
      <w:sz w:val="18"/>
      <w:szCs w:val="18"/>
    </w:rPr>
  </w:style>
  <w:style w:type="character" w:customStyle="1" w:styleId="TranslitChar">
    <w:name w:val="Translit Char"/>
    <w:link w:val="Translit"/>
    <w:rsid w:val="008260FD"/>
    <w:rPr>
      <w:rFonts w:ascii="Cambria" w:hAnsi="Cambria"/>
      <w:sz w:val="18"/>
      <w:szCs w:val="18"/>
      <w14:numForm w14:val="oldStyle"/>
      <w14:numSpacing w14:val="proportional"/>
    </w:rPr>
  </w:style>
  <w:style w:type="paragraph" w:customStyle="1" w:styleId="Poetry">
    <w:name w:val="Poetry"/>
    <w:basedOn w:val="Normal"/>
    <w:rsid w:val="008260FD"/>
    <w:pPr>
      <w:keepNext/>
      <w:spacing w:before="120"/>
      <w:ind w:left="1418" w:hanging="567"/>
    </w:pPr>
    <w:rPr>
      <w:i/>
    </w:rPr>
  </w:style>
  <w:style w:type="paragraph" w:customStyle="1" w:styleId="Poetrycts">
    <w:name w:val="Poetrycts"/>
    <w:basedOn w:val="Poetry"/>
    <w:rsid w:val="008260FD"/>
    <w:pPr>
      <w:keepNext w:val="0"/>
      <w:spacing w:before="0"/>
    </w:pPr>
  </w:style>
  <w:style w:type="paragraph" w:styleId="TOC5">
    <w:name w:val="toc 5"/>
    <w:basedOn w:val="Normal"/>
    <w:next w:val="Normal"/>
    <w:autoRedefine/>
    <w:uiPriority w:val="39"/>
    <w:unhideWhenUsed/>
    <w:rsid w:val="00920CF7"/>
    <w:pPr>
      <w:tabs>
        <w:tab w:val="decimal" w:pos="284"/>
        <w:tab w:val="decimal" w:pos="737"/>
        <w:tab w:val="left" w:pos="992"/>
        <w:tab w:val="right" w:leader="dot" w:pos="6430"/>
        <w:tab w:val="right" w:pos="6821"/>
      </w:tabs>
      <w:spacing w:after="100"/>
      <w:ind w:left="993" w:hanging="539"/>
    </w:pPr>
    <w:rPr>
      <w:rFonts w:eastAsiaTheme="minorEastAsia" w:cstheme="minorBidi"/>
      <w:lang w:val="en-US"/>
      <w14:numSpacing w14:val="tabular"/>
    </w:rPr>
  </w:style>
  <w:style w:type="paragraph" w:customStyle="1" w:styleId="EndnoteTextHead">
    <w:name w:val="Endnote Text Head"/>
    <w:basedOn w:val="EndnoteText"/>
    <w:link w:val="EndnoteTextHeadChar"/>
    <w:rsid w:val="00A46F8D"/>
    <w:pPr>
      <w:keepNext/>
      <w:spacing w:before="60" w:after="20"/>
    </w:pPr>
    <w:rPr>
      <w:b/>
      <w:bCs/>
    </w:rPr>
  </w:style>
  <w:style w:type="character" w:customStyle="1" w:styleId="EndnoteTextHeadChar">
    <w:name w:val="Endnote Text Head Char"/>
    <w:basedOn w:val="EndnoteTextChar"/>
    <w:link w:val="EndnoteTextHead"/>
    <w:rsid w:val="00A46F8D"/>
    <w:rPr>
      <w:rFonts w:ascii="Cambria" w:hAnsi="Cambria" w:cs="Times New Roman"/>
      <w:b/>
      <w:bCs/>
      <w:kern w:val="20"/>
      <w:sz w:val="18"/>
      <w:szCs w:val="20"/>
      <w14:numForm w14:val="oldStyle"/>
      <w14:numSpacing w14:val="proportional"/>
    </w:rPr>
  </w:style>
  <w:style w:type="paragraph" w:customStyle="1" w:styleId="Textleftn">
    <w:name w:val="Text_leftn"/>
    <w:basedOn w:val="Normal"/>
    <w:link w:val="TextleftnChar"/>
    <w:rsid w:val="00C461BE"/>
    <w:pPr>
      <w:widowControl/>
      <w:tabs>
        <w:tab w:val="left" w:pos="284"/>
      </w:tabs>
      <w:spacing w:before="120"/>
      <w:ind w:hanging="737"/>
      <w:jc w:val="both"/>
    </w:pPr>
    <w:rPr>
      <w:rFonts w:cs="Gentium Book Basic"/>
      <w:sz w:val="22"/>
      <w:lang w:val="en-US"/>
    </w:rPr>
  </w:style>
  <w:style w:type="character" w:customStyle="1" w:styleId="TextleftnChar">
    <w:name w:val="Text_leftn Char"/>
    <w:basedOn w:val="DefaultParagraphFont"/>
    <w:link w:val="Textleftn"/>
    <w:rsid w:val="00C461BE"/>
    <w:rPr>
      <w:rFonts w:ascii="Cambria" w:hAnsi="Cambria"/>
      <w:lang w:val="en-US"/>
      <w14:numForm w14:val="oldStyle"/>
      <w14:numSpacing w14:val="proportional"/>
    </w:rPr>
  </w:style>
  <w:style w:type="paragraph" w:customStyle="1" w:styleId="Textrightn">
    <w:name w:val="Text_rightn"/>
    <w:basedOn w:val="Textleftn"/>
    <w:link w:val="TextrightnChar"/>
    <w:rsid w:val="008260FD"/>
    <w:pPr>
      <w:tabs>
        <w:tab w:val="right" w:pos="5812"/>
      </w:tabs>
      <w:suppressAutoHyphens/>
      <w:ind w:left="851"/>
    </w:pPr>
  </w:style>
  <w:style w:type="character" w:customStyle="1" w:styleId="TextrightnChar">
    <w:name w:val="Text_rightn Char"/>
    <w:basedOn w:val="TextleftnChar"/>
    <w:link w:val="Textrightn"/>
    <w:rsid w:val="008260FD"/>
    <w:rPr>
      <w:rFonts w:ascii="Cambria" w:hAnsi="Cambria"/>
      <w:sz w:val="20"/>
      <w:lang w:val="en-US"/>
      <w14:numForm w14:val="oldStyle"/>
      <w14:numSpacing w14:val="proportional"/>
    </w:rPr>
  </w:style>
  <w:style w:type="character" w:customStyle="1" w:styleId="TextChar">
    <w:name w:val="Text Char"/>
    <w:basedOn w:val="DefaultParagraphFont"/>
    <w:link w:val="Text"/>
    <w:rsid w:val="0063288C"/>
    <w:rPr>
      <w:rFonts w:ascii="Cambria" w:hAnsi="Cambria" w:cs="Gentium Book Basic"/>
      <w14:numForm w14:val="oldStyle"/>
      <w14:numSpacing w14:val="proportional"/>
    </w:rPr>
  </w:style>
  <w:style w:type="paragraph" w:customStyle="1" w:styleId="Rodwell">
    <w:name w:val="Rodwell"/>
    <w:basedOn w:val="Normal"/>
    <w:link w:val="RodwellChar"/>
    <w:rsid w:val="008260FD"/>
    <w:pPr>
      <w:tabs>
        <w:tab w:val="left" w:pos="284"/>
      </w:tabs>
      <w:spacing w:before="120"/>
      <w:ind w:left="567" w:hanging="567"/>
    </w:pPr>
    <w:rPr>
      <w:sz w:val="18"/>
    </w:rPr>
  </w:style>
  <w:style w:type="character" w:customStyle="1" w:styleId="RodwellChar">
    <w:name w:val="Rodwell Char"/>
    <w:basedOn w:val="DefaultParagraphFont"/>
    <w:link w:val="Rodwell"/>
    <w:rsid w:val="008260FD"/>
    <w:rPr>
      <w:rFonts w:ascii="Cambria" w:hAnsi="Cambria"/>
      <w:sz w:val="18"/>
      <w14:numForm w14:val="oldStyle"/>
      <w14:numSpacing w14:val="proportional"/>
    </w:rPr>
  </w:style>
  <w:style w:type="paragraph" w:customStyle="1" w:styleId="Rodwellcts">
    <w:name w:val="Rodwellcts"/>
    <w:basedOn w:val="Rodwell"/>
    <w:link w:val="RodwellctsChar"/>
    <w:rsid w:val="008260FD"/>
    <w:pPr>
      <w:spacing w:before="0"/>
    </w:pPr>
  </w:style>
  <w:style w:type="character" w:customStyle="1" w:styleId="RodwellctsChar">
    <w:name w:val="Rodwellcts Char"/>
    <w:basedOn w:val="RodwellChar"/>
    <w:link w:val="Rodwellcts"/>
    <w:rsid w:val="008260FD"/>
    <w:rPr>
      <w:rFonts w:ascii="Cambria" w:hAnsi="Cambria"/>
      <w:sz w:val="18"/>
      <w14:numForm w14:val="oldStyle"/>
      <w14:numSpacing w14:val="proportional"/>
    </w:rPr>
  </w:style>
  <w:style w:type="paragraph" w:customStyle="1" w:styleId="Myhead3">
    <w:name w:val="Myhead3"/>
    <w:basedOn w:val="Normal"/>
    <w:rsid w:val="008260FD"/>
    <w:pPr>
      <w:spacing w:before="120"/>
    </w:pPr>
    <w:rPr>
      <w:b/>
      <w:sz w:val="22"/>
      <w:szCs w:val="24"/>
      <w14:numForm w14:val="lining"/>
    </w:rPr>
  </w:style>
  <w:style w:type="paragraph" w:styleId="TOC6">
    <w:name w:val="toc 6"/>
    <w:basedOn w:val="Normal"/>
    <w:next w:val="Normal"/>
    <w:autoRedefine/>
    <w:uiPriority w:val="39"/>
    <w:unhideWhenUsed/>
    <w:rsid w:val="008260FD"/>
    <w:pPr>
      <w:spacing w:after="100" w:line="259" w:lineRule="auto"/>
      <w:ind w:left="1100"/>
    </w:pPr>
    <w:rPr>
      <w:rFonts w:asciiTheme="minorHAnsi" w:eastAsiaTheme="minorEastAsia" w:hAnsiTheme="minorHAnsi" w:cstheme="minorBidi"/>
      <w:lang w:val="en-US"/>
    </w:rPr>
  </w:style>
  <w:style w:type="paragraph" w:styleId="Bibliography">
    <w:name w:val="Bibliography"/>
    <w:basedOn w:val="Normal"/>
    <w:next w:val="Normal"/>
    <w:uiPriority w:val="37"/>
    <w:rsid w:val="00CA34C9"/>
    <w:pPr>
      <w:ind w:left="284" w:hanging="284"/>
    </w:pPr>
  </w:style>
  <w:style w:type="paragraph" w:customStyle="1" w:styleId="MyHead4">
    <w:name w:val="MyHead4"/>
    <w:basedOn w:val="Myhead3"/>
    <w:rsid w:val="008260FD"/>
    <w:rPr>
      <w:i/>
      <w:sz w:val="20"/>
      <w:szCs w:val="22"/>
    </w:rPr>
  </w:style>
  <w:style w:type="character" w:customStyle="1" w:styleId="UnresolvedMention">
    <w:name w:val="Unresolved Mention"/>
    <w:basedOn w:val="DefaultParagraphFont"/>
    <w:uiPriority w:val="99"/>
    <w:semiHidden/>
    <w:unhideWhenUsed/>
    <w:rsid w:val="008260FD"/>
    <w:rPr>
      <w:color w:val="605E5C"/>
      <w:shd w:val="clear" w:color="auto" w:fill="E1DFDD"/>
    </w:rPr>
  </w:style>
  <w:style w:type="character" w:customStyle="1" w:styleId="Heading4Char">
    <w:name w:val="Heading 4 Char"/>
    <w:basedOn w:val="DefaultParagraphFont"/>
    <w:link w:val="Heading4"/>
    <w:rsid w:val="008260FD"/>
    <w:rPr>
      <w:rFonts w:ascii="Cambria" w:hAnsi="Cambria"/>
      <w:i/>
      <w:color w:val="666666"/>
      <w:sz w:val="20"/>
      <w14:numForm w14:val="oldStyle"/>
      <w14:numSpacing w14:val="proportional"/>
    </w:rPr>
  </w:style>
  <w:style w:type="paragraph" w:styleId="TOC7">
    <w:name w:val="toc 7"/>
    <w:basedOn w:val="Normal"/>
    <w:next w:val="Normal"/>
    <w:autoRedefine/>
    <w:uiPriority w:val="39"/>
    <w:unhideWhenUsed/>
    <w:rsid w:val="008260FD"/>
    <w:pPr>
      <w:spacing w:after="100" w:line="259" w:lineRule="auto"/>
      <w:ind w:left="1320"/>
    </w:pPr>
    <w:rPr>
      <w:rFonts w:asciiTheme="minorHAnsi" w:eastAsiaTheme="minorEastAsia" w:hAnsiTheme="minorHAnsi" w:cstheme="minorBidi"/>
      <w:lang w:val="en-US"/>
    </w:rPr>
  </w:style>
  <w:style w:type="paragraph" w:styleId="TOC8">
    <w:name w:val="toc 8"/>
    <w:basedOn w:val="Normal"/>
    <w:next w:val="Normal"/>
    <w:autoRedefine/>
    <w:uiPriority w:val="39"/>
    <w:unhideWhenUsed/>
    <w:rsid w:val="008260FD"/>
    <w:pPr>
      <w:spacing w:after="100" w:line="259" w:lineRule="auto"/>
      <w:ind w:left="1540"/>
    </w:pPr>
    <w:rPr>
      <w:rFonts w:asciiTheme="minorHAnsi" w:eastAsiaTheme="minorEastAsia" w:hAnsiTheme="minorHAnsi" w:cstheme="minorBidi"/>
      <w:lang w:val="en-US"/>
    </w:rPr>
  </w:style>
  <w:style w:type="paragraph" w:styleId="TOC9">
    <w:name w:val="toc 9"/>
    <w:basedOn w:val="Normal"/>
    <w:next w:val="Normal"/>
    <w:autoRedefine/>
    <w:uiPriority w:val="39"/>
    <w:unhideWhenUsed/>
    <w:rsid w:val="008260FD"/>
    <w:pPr>
      <w:spacing w:after="100" w:line="259" w:lineRule="auto"/>
      <w:ind w:left="1760"/>
    </w:pPr>
    <w:rPr>
      <w:rFonts w:asciiTheme="minorHAnsi" w:eastAsiaTheme="minorEastAsia" w:hAnsiTheme="minorHAnsi" w:cstheme="minorBidi"/>
      <w:lang w:val="en-US"/>
    </w:rPr>
  </w:style>
  <w:style w:type="paragraph" w:styleId="Title">
    <w:name w:val="Title"/>
    <w:basedOn w:val="Normal"/>
    <w:next w:val="Normal"/>
    <w:link w:val="TitleChar"/>
    <w:rsid w:val="008260FD"/>
    <w:pPr>
      <w:keepNext/>
      <w:keepLines/>
      <w:spacing w:before="480" w:after="120"/>
    </w:pPr>
    <w:rPr>
      <w:b/>
      <w:sz w:val="72"/>
      <w:szCs w:val="72"/>
    </w:rPr>
  </w:style>
  <w:style w:type="character" w:customStyle="1" w:styleId="TitleChar">
    <w:name w:val="Title Char"/>
    <w:basedOn w:val="DefaultParagraphFont"/>
    <w:link w:val="Title"/>
    <w:rsid w:val="008260FD"/>
    <w:rPr>
      <w:rFonts w:ascii="Cambria" w:hAnsi="Cambria"/>
      <w:b/>
      <w:sz w:val="72"/>
      <w:szCs w:val="72"/>
      <w14:numForm w14:val="oldStyle"/>
      <w14:numSpacing w14:val="proportional"/>
    </w:rPr>
  </w:style>
  <w:style w:type="paragraph" w:styleId="Subtitle">
    <w:name w:val="Subtitle"/>
    <w:basedOn w:val="Normal"/>
    <w:next w:val="Normal"/>
    <w:link w:val="SubtitleChar"/>
    <w:rsid w:val="008260FD"/>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rsid w:val="008260FD"/>
    <w:rPr>
      <w:rFonts w:ascii="Georgia" w:eastAsia="Georgia" w:hAnsi="Georgia" w:cs="Georgia"/>
      <w:i/>
      <w:color w:val="666666"/>
      <w:sz w:val="48"/>
      <w:szCs w:val="48"/>
      <w14:numForm w14:val="oldStyle"/>
      <w14:numSpacing w14:val="proportional"/>
    </w:rPr>
  </w:style>
  <w:style w:type="character" w:styleId="Hyperlink">
    <w:name w:val="Hyperlink"/>
    <w:basedOn w:val="DefaultParagraphFont"/>
    <w:uiPriority w:val="99"/>
    <w:unhideWhenUsed/>
    <w:rsid w:val="008260FD"/>
    <w:rPr>
      <w:color w:val="0000FF"/>
      <w:u w:val="single"/>
    </w:rPr>
  </w:style>
  <w:style w:type="character" w:styleId="FollowedHyperlink">
    <w:name w:val="FollowedHyperlink"/>
    <w:basedOn w:val="DefaultParagraphFont"/>
    <w:uiPriority w:val="99"/>
    <w:semiHidden/>
    <w:unhideWhenUsed/>
    <w:rsid w:val="008260FD"/>
    <w:rPr>
      <w:color w:val="800080" w:themeColor="followedHyperlink"/>
      <w:u w:val="single"/>
    </w:rPr>
  </w:style>
  <w:style w:type="character" w:styleId="Strong">
    <w:name w:val="Strong"/>
    <w:basedOn w:val="DefaultParagraphFont"/>
    <w:uiPriority w:val="22"/>
    <w:rsid w:val="008260FD"/>
    <w:rPr>
      <w:b/>
      <w:bCs/>
    </w:rPr>
  </w:style>
  <w:style w:type="paragraph" w:styleId="NormalWeb">
    <w:name w:val="Normal (Web)"/>
    <w:basedOn w:val="Normal"/>
    <w:uiPriority w:val="99"/>
    <w:semiHidden/>
    <w:unhideWhenUsed/>
    <w:rsid w:val="008260FD"/>
    <w:rPr>
      <w:rFonts w:ascii="Times New Roman" w:hAnsi="Times New Roman"/>
      <w:sz w:val="24"/>
      <w:szCs w:val="24"/>
    </w:rPr>
  </w:style>
  <w:style w:type="paragraph" w:styleId="ListParagraph">
    <w:name w:val="List Paragraph"/>
    <w:basedOn w:val="Normal"/>
    <w:uiPriority w:val="34"/>
    <w:rsid w:val="008260FD"/>
    <w:pPr>
      <w:ind w:left="720"/>
      <w:contextualSpacing/>
    </w:pPr>
  </w:style>
  <w:style w:type="paragraph" w:styleId="TOCHeading">
    <w:name w:val="TOC Heading"/>
    <w:basedOn w:val="Heading1"/>
    <w:next w:val="Normal"/>
    <w:uiPriority w:val="39"/>
    <w:semiHidden/>
    <w:unhideWhenUsed/>
    <w:qFormat/>
    <w:rsid w:val="0063288C"/>
    <w:pPr>
      <w:spacing w:after="0"/>
      <w:outlineLvl w:val="9"/>
    </w:pPr>
    <w:rPr>
      <w:rFonts w:asciiTheme="majorHAnsi" w:eastAsiaTheme="majorEastAsia" w:hAnsiTheme="majorHAnsi" w:cstheme="majorBidi"/>
      <w:bCs/>
      <w:color w:val="365F91" w:themeColor="accent1" w:themeShade="BF"/>
      <w:sz w:val="28"/>
      <w:szCs w:val="28"/>
    </w:rPr>
  </w:style>
  <w:style w:type="character" w:customStyle="1" w:styleId="nastaliq">
    <w:name w:val="nastaliq"/>
    <w:basedOn w:val="DefaultParagraphFont"/>
    <w:rsid w:val="00EB6DAC"/>
  </w:style>
  <w:style w:type="paragraph" w:styleId="BalloonText">
    <w:name w:val="Balloon Text"/>
    <w:basedOn w:val="Normal"/>
    <w:link w:val="BalloonTextChar"/>
    <w:uiPriority w:val="99"/>
    <w:rsid w:val="00D472F1"/>
    <w:rPr>
      <w:rFonts w:ascii="Tahoma" w:hAnsi="Tahoma" w:cs="Tahoma"/>
      <w:sz w:val="16"/>
      <w:szCs w:val="16"/>
    </w:rPr>
  </w:style>
  <w:style w:type="character" w:customStyle="1" w:styleId="BalloonTextChar">
    <w:name w:val="Balloon Text Char"/>
    <w:basedOn w:val="DefaultParagraphFont"/>
    <w:link w:val="BalloonText"/>
    <w:uiPriority w:val="99"/>
    <w:rsid w:val="00D472F1"/>
    <w:rPr>
      <w:rFonts w:ascii="Tahoma" w:hAnsi="Tahoma" w:cs="Tahoma"/>
      <w:sz w:val="16"/>
      <w:szCs w:val="16"/>
      <w14:numForm w14:val="oldStyle"/>
      <w14:numSpacing w14:val="proportion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Theme="minorHAnsi" w:hAnsi="Georgia" w:cs="Times New Roman"/>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lsdException w:name="heading 5" w:uiPriority="0" w:qFormat="1"/>
    <w:lsdException w:name="heading 6" w:uiPriority="0"/>
    <w:lsdException w:name="heading 7" w:uiPriority="0"/>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0" w:qFormat="1"/>
    <w:lsdException w:name="endnote text" w:uiPriority="0"/>
    <w:lsdException w:name="Title" w:semiHidden="0" w:uiPriority="0" w:unhideWhenUsed="0"/>
    <w:lsdException w:name="Default Paragraph Font" w:uiPriority="1"/>
    <w:lsdException w:name="Subtitle" w:semiHidden="0" w:uiPriority="0" w:unhideWhenUsed="0"/>
    <w:lsdException w:name="Strong" w:semiHidden="0" w:uiPriority="22" w:unhideWhenUsed="0"/>
    <w:lsdException w:name="Emphasis" w:semiHidden="0" w:uiPriority="20" w:unhideWhenUsed="0"/>
    <w:lsdException w:name="HTML Top of Form" w:uiPriority="0"/>
    <w:lsdException w:name="HTML Bottom of Form" w:uiPriority="0"/>
    <w:lsdException w:name="Normal Table" w:uiPriority="0"/>
    <w:lsdException w:name="annotation subject" w:uiPriority="0"/>
    <w:lsdException w:name="Balloon Text" w:semiHidden="0" w:unhideWhenUsed="0"/>
    <w:lsdException w:name="Table Grid" w:semiHidden="0" w:uiPriority="3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0"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63288C"/>
    <w:pPr>
      <w:widowControl w:val="0"/>
      <w:kinsoku w:val="0"/>
      <w:overflowPunct w:val="0"/>
      <w:textAlignment w:val="baseline"/>
    </w:pPr>
    <w:rPr>
      <w:rFonts w:ascii="Cambria" w:hAnsi="Cambria"/>
      <w14:numForm w14:val="oldStyle"/>
      <w14:numSpacing w14:val="proportional"/>
    </w:rPr>
  </w:style>
  <w:style w:type="paragraph" w:styleId="Heading1">
    <w:name w:val="heading 1"/>
    <w:basedOn w:val="Normal"/>
    <w:next w:val="Normal"/>
    <w:link w:val="Heading1Char"/>
    <w:rsid w:val="008260FD"/>
    <w:pPr>
      <w:keepNext/>
      <w:keepLines/>
      <w:spacing w:before="480" w:after="120"/>
      <w:outlineLvl w:val="0"/>
    </w:pPr>
    <w:rPr>
      <w:b/>
      <w:sz w:val="36"/>
      <w:szCs w:val="36"/>
    </w:rPr>
  </w:style>
  <w:style w:type="paragraph" w:styleId="Heading2">
    <w:name w:val="heading 2"/>
    <w:basedOn w:val="Normal"/>
    <w:next w:val="Normal"/>
    <w:link w:val="Heading2Char"/>
    <w:rsid w:val="008260FD"/>
    <w:pPr>
      <w:keepNext/>
      <w:keepLines/>
      <w:spacing w:before="360" w:after="80"/>
      <w:jc w:val="center"/>
      <w:outlineLvl w:val="1"/>
    </w:pPr>
    <w:rPr>
      <w:b/>
      <w:sz w:val="32"/>
      <w:szCs w:val="32"/>
    </w:rPr>
  </w:style>
  <w:style w:type="paragraph" w:styleId="Heading3">
    <w:name w:val="heading 3"/>
    <w:basedOn w:val="Normal"/>
    <w:next w:val="Normal"/>
    <w:link w:val="Heading3Char"/>
    <w:rsid w:val="008260FD"/>
    <w:pPr>
      <w:keepNext/>
      <w:keepLines/>
      <w:spacing w:before="280" w:after="80"/>
      <w:jc w:val="center"/>
      <w:outlineLvl w:val="2"/>
    </w:pPr>
    <w:rPr>
      <w:rFonts w:cs="Arial"/>
      <w:b/>
      <w:sz w:val="28"/>
      <w:szCs w:val="28"/>
    </w:rPr>
  </w:style>
  <w:style w:type="paragraph" w:styleId="Heading4">
    <w:name w:val="heading 4"/>
    <w:basedOn w:val="Normal"/>
    <w:next w:val="Normal"/>
    <w:link w:val="Heading4Char"/>
    <w:rsid w:val="008260FD"/>
    <w:pPr>
      <w:keepNext/>
      <w:keepLines/>
      <w:spacing w:before="240" w:after="40"/>
      <w:outlineLvl w:val="3"/>
    </w:pPr>
    <w:rPr>
      <w:i/>
      <w:color w:val="666666"/>
    </w:rPr>
  </w:style>
  <w:style w:type="paragraph" w:styleId="Heading5">
    <w:name w:val="heading 5"/>
    <w:basedOn w:val="Normal"/>
    <w:next w:val="Normal"/>
    <w:link w:val="Heading5Char"/>
    <w:rsid w:val="008260FD"/>
    <w:pPr>
      <w:keepNext/>
      <w:keepLines/>
      <w:spacing w:before="220" w:after="40"/>
      <w:outlineLvl w:val="4"/>
    </w:pPr>
    <w:rPr>
      <w:rFonts w:cstheme="majorBidi"/>
      <w:b/>
      <w:color w:val="666666"/>
    </w:rPr>
  </w:style>
  <w:style w:type="paragraph" w:styleId="Heading6">
    <w:name w:val="heading 6"/>
    <w:basedOn w:val="Normal"/>
    <w:next w:val="Normal"/>
    <w:link w:val="Heading6Char"/>
    <w:unhideWhenUsed/>
    <w:rsid w:val="0063288C"/>
    <w:pPr>
      <w:keepNext/>
      <w:keepLines/>
      <w:spacing w:before="200"/>
      <w:outlineLvl w:val="5"/>
    </w:pPr>
    <w:rPr>
      <w:rFonts w:asciiTheme="majorHAnsi" w:eastAsiaTheme="majorEastAsia" w:hAnsiTheme="majorHAnsi" w:cstheme="majorBidi"/>
      <w:i/>
      <w:iCs/>
      <w:noProof/>
      <w:color w:val="243F60" w:themeColor="accent1" w:themeShade="7F"/>
      <w14:numForm w14:val="default"/>
      <w14:numSpacing w14:val="default"/>
    </w:rPr>
  </w:style>
  <w:style w:type="paragraph" w:styleId="Heading7">
    <w:name w:val="heading 7"/>
    <w:basedOn w:val="Normal"/>
    <w:next w:val="Normal"/>
    <w:link w:val="Heading7Char"/>
    <w:semiHidden/>
    <w:unhideWhenUsed/>
    <w:rsid w:val="0063288C"/>
    <w:pPr>
      <w:keepNext/>
      <w:keepLines/>
      <w:spacing w:before="200"/>
      <w:outlineLvl w:val="6"/>
    </w:pPr>
    <w:rPr>
      <w:rFonts w:asciiTheme="majorHAnsi" w:eastAsiaTheme="majorEastAsia" w:hAnsiTheme="majorHAnsi" w:cstheme="majorBidi"/>
      <w:i/>
      <w:iCs/>
      <w:noProof/>
      <w:color w:val="404040" w:themeColor="text1" w:themeTint="BF"/>
      <w14:numForm w14:val="default"/>
      <w14:numSpacing w14:val="default"/>
    </w:rPr>
  </w:style>
  <w:style w:type="paragraph" w:styleId="Heading9">
    <w:name w:val="heading 9"/>
    <w:basedOn w:val="Normal"/>
    <w:next w:val="Normal"/>
    <w:link w:val="Heading9Char"/>
    <w:semiHidden/>
    <w:unhideWhenUsed/>
    <w:qFormat/>
    <w:rsid w:val="0063288C"/>
    <w:pPr>
      <w:keepNext/>
      <w:keepLines/>
      <w:spacing w:before="200"/>
      <w:outlineLvl w:val="8"/>
    </w:pPr>
    <w:rPr>
      <w:rFonts w:asciiTheme="majorHAnsi" w:eastAsiaTheme="majorEastAsia" w:hAnsiTheme="majorHAnsi" w:cstheme="majorBidi"/>
      <w:i/>
      <w:iCs/>
      <w:noProof/>
      <w:color w:val="404040" w:themeColor="text1" w:themeTint="BF"/>
      <w14:numForm w14:val="default"/>
      <w14:numSpacing w14:val="defau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ddress">
    <w:name w:val="Address"/>
    <w:basedOn w:val="Normal"/>
    <w:rsid w:val="008260FD"/>
    <w:pPr>
      <w:ind w:left="425" w:hanging="425"/>
    </w:pPr>
  </w:style>
  <w:style w:type="paragraph" w:customStyle="1" w:styleId="Text">
    <w:name w:val="Text"/>
    <w:basedOn w:val="Normal"/>
    <w:link w:val="TextChar"/>
    <w:qFormat/>
    <w:rsid w:val="0063288C"/>
    <w:pPr>
      <w:suppressAutoHyphens/>
      <w:overflowPunct/>
      <w:spacing w:before="120"/>
      <w:ind w:firstLine="284"/>
      <w:jc w:val="both"/>
      <w:textAlignment w:val="auto"/>
    </w:pPr>
    <w:rPr>
      <w:rFonts w:cs="Gentium Book Basic"/>
    </w:rPr>
  </w:style>
  <w:style w:type="paragraph" w:customStyle="1" w:styleId="BulletText">
    <w:name w:val="Bullet Text"/>
    <w:basedOn w:val="Text"/>
    <w:qFormat/>
    <w:rsid w:val="007949AC"/>
    <w:pPr>
      <w:ind w:left="284" w:hanging="284"/>
    </w:pPr>
  </w:style>
  <w:style w:type="paragraph" w:customStyle="1" w:styleId="Bullettextcont">
    <w:name w:val="Bullet text cont"/>
    <w:basedOn w:val="BulletText"/>
    <w:qFormat/>
    <w:rsid w:val="0063288C"/>
    <w:pPr>
      <w:spacing w:before="0"/>
    </w:pPr>
  </w:style>
  <w:style w:type="character" w:styleId="CommentReference">
    <w:name w:val="annotation reference"/>
    <w:basedOn w:val="DefaultParagraphFont"/>
    <w:uiPriority w:val="99"/>
    <w:unhideWhenUsed/>
    <w:rsid w:val="008260FD"/>
    <w:rPr>
      <w:sz w:val="16"/>
      <w:szCs w:val="16"/>
    </w:rPr>
  </w:style>
  <w:style w:type="paragraph" w:styleId="CommentText">
    <w:name w:val="annotation text"/>
    <w:basedOn w:val="Normal"/>
    <w:link w:val="CommentTextChar"/>
    <w:uiPriority w:val="99"/>
    <w:unhideWhenUsed/>
    <w:rsid w:val="008260FD"/>
  </w:style>
  <w:style w:type="character" w:customStyle="1" w:styleId="CommentTextChar">
    <w:name w:val="Comment Text Char"/>
    <w:basedOn w:val="DefaultParagraphFont"/>
    <w:link w:val="CommentText"/>
    <w:uiPriority w:val="99"/>
    <w:rsid w:val="008260FD"/>
    <w:rPr>
      <w:rFonts w:ascii="Cambria" w:hAnsi="Cambria"/>
      <w:sz w:val="20"/>
      <w:szCs w:val="20"/>
      <w14:numForm w14:val="oldStyle"/>
      <w14:numSpacing w14:val="proportional"/>
    </w:rPr>
  </w:style>
  <w:style w:type="paragraph" w:styleId="CommentSubject">
    <w:name w:val="annotation subject"/>
    <w:basedOn w:val="CommentText"/>
    <w:next w:val="CommentText"/>
    <w:link w:val="CommentSubjectChar"/>
    <w:rsid w:val="007465EB"/>
    <w:rPr>
      <w:rFonts w:cs="Gentium Book Basic"/>
      <w:b/>
      <w:bCs/>
      <w:sz w:val="22"/>
      <w:szCs w:val="22"/>
    </w:rPr>
  </w:style>
  <w:style w:type="character" w:customStyle="1" w:styleId="CommentSubjectChar">
    <w:name w:val="Comment Subject Char"/>
    <w:link w:val="CommentSubject"/>
    <w:rsid w:val="007465EB"/>
    <w:rPr>
      <w:rFonts w:ascii="Cambria" w:hAnsi="Cambria"/>
      <w:b/>
      <w:bCs/>
      <w14:numForm w14:val="oldStyle"/>
      <w14:numSpacing w14:val="proportional"/>
    </w:rPr>
  </w:style>
  <w:style w:type="paragraph" w:styleId="EndnoteText">
    <w:name w:val="endnote text"/>
    <w:basedOn w:val="Normal"/>
    <w:link w:val="EndnoteTextChar"/>
    <w:rsid w:val="00E86A92"/>
    <w:pPr>
      <w:tabs>
        <w:tab w:val="left" w:pos="425"/>
      </w:tabs>
      <w:ind w:left="284" w:hanging="284"/>
    </w:pPr>
    <w:rPr>
      <w:rFonts w:cs="Gentium Book Basic"/>
      <w:kern w:val="20"/>
      <w:sz w:val="18"/>
    </w:rPr>
  </w:style>
  <w:style w:type="character" w:customStyle="1" w:styleId="EndnoteTextChar">
    <w:name w:val="Endnote Text Char"/>
    <w:link w:val="EndnoteText"/>
    <w:rsid w:val="00E86A92"/>
    <w:rPr>
      <w:rFonts w:ascii="Cambria" w:hAnsi="Cambria"/>
      <w:kern w:val="20"/>
      <w:sz w:val="18"/>
      <w14:numForm w14:val="oldStyle"/>
      <w14:numSpacing w14:val="proportional"/>
    </w:rPr>
  </w:style>
  <w:style w:type="paragraph" w:styleId="Footer">
    <w:name w:val="footer"/>
    <w:basedOn w:val="Normal"/>
    <w:link w:val="FooterChar"/>
    <w:uiPriority w:val="99"/>
    <w:rsid w:val="000370AD"/>
    <w:pPr>
      <w:tabs>
        <w:tab w:val="center" w:pos="4320"/>
        <w:tab w:val="right" w:pos="8640"/>
      </w:tabs>
    </w:pPr>
    <w:rPr>
      <w:rFonts w:cs="Gentium Book Basic"/>
    </w:rPr>
  </w:style>
  <w:style w:type="character" w:customStyle="1" w:styleId="FooterChar">
    <w:name w:val="Footer Char"/>
    <w:basedOn w:val="DefaultParagraphFont"/>
    <w:link w:val="Footer"/>
    <w:uiPriority w:val="99"/>
    <w:rsid w:val="000370AD"/>
    <w:rPr>
      <w:rFonts w:ascii="Cambria" w:hAnsi="Cambria"/>
      <w:sz w:val="20"/>
      <w14:numForm w14:val="oldStyle"/>
      <w14:numSpacing w14:val="proportional"/>
    </w:rPr>
  </w:style>
  <w:style w:type="character" w:styleId="FootnoteReference">
    <w:name w:val="footnote reference"/>
    <w:basedOn w:val="DefaultParagraphFont"/>
    <w:uiPriority w:val="99"/>
    <w:unhideWhenUsed/>
    <w:rsid w:val="008260FD"/>
    <w:rPr>
      <w:vertAlign w:val="superscript"/>
    </w:rPr>
  </w:style>
  <w:style w:type="paragraph" w:styleId="FootnoteText">
    <w:name w:val="footnote text"/>
    <w:basedOn w:val="Normal"/>
    <w:link w:val="FootnoteTextChar"/>
    <w:uiPriority w:val="99"/>
    <w:rsid w:val="0005352B"/>
    <w:pPr>
      <w:tabs>
        <w:tab w:val="left" w:pos="425"/>
      </w:tabs>
      <w:ind w:left="284" w:hanging="284"/>
      <w:jc w:val="both"/>
    </w:pPr>
    <w:rPr>
      <w:rFonts w:cs="Gentium Book Basic"/>
      <w:kern w:val="20"/>
      <w:sz w:val="18"/>
    </w:rPr>
  </w:style>
  <w:style w:type="character" w:customStyle="1" w:styleId="FootnoteTextChar">
    <w:name w:val="Footnote Text Char"/>
    <w:link w:val="FootnoteText"/>
    <w:uiPriority w:val="99"/>
    <w:rsid w:val="0005352B"/>
    <w:rPr>
      <w:rFonts w:ascii="Cambria" w:hAnsi="Cambria"/>
      <w:kern w:val="20"/>
      <w:sz w:val="18"/>
      <w14:numForm w14:val="oldStyle"/>
      <w14:numSpacing w14:val="proportional"/>
    </w:rPr>
  </w:style>
  <w:style w:type="paragraph" w:styleId="Header">
    <w:name w:val="header"/>
    <w:basedOn w:val="Normal"/>
    <w:link w:val="HeaderChar"/>
    <w:uiPriority w:val="99"/>
    <w:rsid w:val="00BB7452"/>
    <w:pPr>
      <w:tabs>
        <w:tab w:val="center" w:pos="3515"/>
        <w:tab w:val="right" w:pos="7031"/>
      </w:tabs>
      <w:spacing w:after="120"/>
    </w:pPr>
    <w:rPr>
      <w:kern w:val="20"/>
      <w:sz w:val="18"/>
    </w:rPr>
  </w:style>
  <w:style w:type="character" w:customStyle="1" w:styleId="HeaderChar">
    <w:name w:val="Header Char"/>
    <w:link w:val="Header"/>
    <w:uiPriority w:val="99"/>
    <w:rsid w:val="00BB7452"/>
    <w:rPr>
      <w:rFonts w:ascii="Cambria" w:hAnsi="Cambria" w:cs="Times New Roman"/>
      <w:kern w:val="20"/>
      <w:sz w:val="18"/>
      <w:szCs w:val="20"/>
      <w14:numForm w14:val="oldStyle"/>
      <w14:numSpacing w14:val="proportional"/>
    </w:rPr>
  </w:style>
  <w:style w:type="character" w:customStyle="1" w:styleId="Heading1Char">
    <w:name w:val="Heading 1 Char"/>
    <w:basedOn w:val="DefaultParagraphFont"/>
    <w:link w:val="Heading1"/>
    <w:rsid w:val="008260FD"/>
    <w:rPr>
      <w:rFonts w:ascii="Cambria" w:hAnsi="Cambria"/>
      <w:b/>
      <w:sz w:val="36"/>
      <w:szCs w:val="36"/>
      <w14:numForm w14:val="oldStyle"/>
      <w14:numSpacing w14:val="proportional"/>
    </w:rPr>
  </w:style>
  <w:style w:type="character" w:customStyle="1" w:styleId="Heading2Char">
    <w:name w:val="Heading 2 Char"/>
    <w:basedOn w:val="DefaultParagraphFont"/>
    <w:link w:val="Heading2"/>
    <w:rsid w:val="008260FD"/>
    <w:rPr>
      <w:rFonts w:ascii="Cambria" w:hAnsi="Cambria"/>
      <w:b/>
      <w:sz w:val="32"/>
      <w:szCs w:val="32"/>
      <w14:numForm w14:val="oldStyle"/>
      <w14:numSpacing w14:val="proportional"/>
    </w:rPr>
  </w:style>
  <w:style w:type="character" w:customStyle="1" w:styleId="Heading3Char">
    <w:name w:val="Heading 3 Char"/>
    <w:basedOn w:val="DefaultParagraphFont"/>
    <w:link w:val="Heading3"/>
    <w:rsid w:val="008260FD"/>
    <w:rPr>
      <w:rFonts w:ascii="Cambria" w:hAnsi="Cambria" w:cs="Arial"/>
      <w:b/>
      <w:sz w:val="28"/>
      <w:szCs w:val="28"/>
      <w14:numForm w14:val="oldStyle"/>
      <w14:numSpacing w14:val="proportional"/>
    </w:rPr>
  </w:style>
  <w:style w:type="paragraph" w:customStyle="1" w:styleId="Hidden">
    <w:name w:val="Hidden"/>
    <w:basedOn w:val="Normal"/>
    <w:rsid w:val="008260FD"/>
    <w:rPr>
      <w:vanish/>
      <w:color w:val="FF0000"/>
    </w:rPr>
  </w:style>
  <w:style w:type="paragraph" w:customStyle="1" w:styleId="Myhead">
    <w:name w:val="Myhead"/>
    <w:basedOn w:val="Normal"/>
    <w:rsid w:val="00A46F8D"/>
    <w:pPr>
      <w:keepNext/>
      <w:keepLines/>
      <w:spacing w:before="120"/>
    </w:pPr>
    <w:rPr>
      <w:b/>
      <w:sz w:val="24"/>
      <w:szCs w:val="28"/>
      <w14:numForm w14:val="lining"/>
    </w:rPr>
  </w:style>
  <w:style w:type="paragraph" w:customStyle="1" w:styleId="Myheadc">
    <w:name w:val="Myheadc"/>
    <w:basedOn w:val="Normal"/>
    <w:rsid w:val="00A46F8D"/>
    <w:pPr>
      <w:keepNext/>
      <w:keepLines/>
      <w:spacing w:before="120"/>
      <w:jc w:val="center"/>
    </w:pPr>
    <w:rPr>
      <w:b/>
      <w:sz w:val="28"/>
      <w:szCs w:val="32"/>
      <w14:numForm w14:val="lining"/>
    </w:rPr>
  </w:style>
  <w:style w:type="character" w:styleId="PlaceholderText">
    <w:name w:val="Placeholder Text"/>
    <w:uiPriority w:val="99"/>
    <w:semiHidden/>
    <w:rsid w:val="008260FD"/>
    <w:rPr>
      <w:color w:val="808080"/>
    </w:rPr>
  </w:style>
  <w:style w:type="paragraph" w:customStyle="1" w:styleId="Qref">
    <w:name w:val="Qref"/>
    <w:basedOn w:val="Normal"/>
    <w:rsid w:val="008260FD"/>
    <w:pPr>
      <w:jc w:val="right"/>
    </w:pPr>
  </w:style>
  <w:style w:type="paragraph" w:styleId="Quote">
    <w:name w:val="Quote"/>
    <w:basedOn w:val="Normal"/>
    <w:next w:val="Normal"/>
    <w:link w:val="QuoteChar"/>
    <w:qFormat/>
    <w:rsid w:val="009073C7"/>
    <w:pPr>
      <w:spacing w:before="120"/>
      <w:ind w:left="567"/>
      <w:jc w:val="both"/>
    </w:pPr>
    <w:rPr>
      <w:rFonts w:cstheme="minorBidi"/>
      <w:iCs/>
      <w:sz w:val="18"/>
    </w:rPr>
  </w:style>
  <w:style w:type="character" w:customStyle="1" w:styleId="QuoteChar">
    <w:name w:val="Quote Char"/>
    <w:link w:val="Quote"/>
    <w:rsid w:val="009073C7"/>
    <w:rPr>
      <w:rFonts w:ascii="Cambria" w:hAnsi="Cambria" w:cstheme="minorBidi"/>
      <w:iCs/>
      <w:sz w:val="18"/>
      <w14:numForm w14:val="oldStyle"/>
      <w14:numSpacing w14:val="proportional"/>
    </w:rPr>
  </w:style>
  <w:style w:type="paragraph" w:customStyle="1" w:styleId="Quotects">
    <w:name w:val="Quotects"/>
    <w:basedOn w:val="Normal"/>
    <w:qFormat/>
    <w:rsid w:val="009073C7"/>
    <w:pPr>
      <w:ind w:left="567"/>
      <w:jc w:val="both"/>
    </w:pPr>
    <w:rPr>
      <w:sz w:val="18"/>
    </w:rPr>
  </w:style>
  <w:style w:type="paragraph" w:customStyle="1" w:styleId="Ref">
    <w:name w:val="Ref"/>
    <w:basedOn w:val="Normal"/>
    <w:link w:val="RefChar"/>
    <w:rsid w:val="008260FD"/>
    <w:pPr>
      <w:tabs>
        <w:tab w:val="left" w:pos="3402"/>
      </w:tabs>
      <w:spacing w:before="120"/>
      <w:ind w:left="1134" w:hanging="1134"/>
    </w:pPr>
  </w:style>
  <w:style w:type="character" w:customStyle="1" w:styleId="RefChar">
    <w:name w:val="Ref Char"/>
    <w:link w:val="Ref"/>
    <w:rsid w:val="008260FD"/>
    <w:rPr>
      <w:rFonts w:ascii="Cambria" w:hAnsi="Cambria"/>
      <w:sz w:val="20"/>
      <w14:numForm w14:val="oldStyle"/>
      <w14:numSpacing w14:val="proportional"/>
    </w:rPr>
  </w:style>
  <w:style w:type="paragraph" w:customStyle="1" w:styleId="Reference">
    <w:name w:val="Reference"/>
    <w:basedOn w:val="Text"/>
    <w:rsid w:val="008260FD"/>
    <w:pPr>
      <w:tabs>
        <w:tab w:val="right" w:pos="7450"/>
      </w:tabs>
      <w:spacing w:before="60"/>
      <w:ind w:left="567" w:firstLine="0"/>
    </w:pPr>
    <w:rPr>
      <w:sz w:val="18"/>
      <w14:numForm w14:val="lining"/>
      <w14:numSpacing w14:val="tabular"/>
    </w:rPr>
  </w:style>
  <w:style w:type="table" w:styleId="TableGrid">
    <w:name w:val="Table Grid"/>
    <w:basedOn w:val="TableNormal"/>
    <w:uiPriority w:val="39"/>
    <w:rsid w:val="008260FD"/>
    <w:rPr>
      <w:lang w:val="en-US"/>
    </w:rPr>
    <w:tblPr>
      <w:tblCellMar>
        <w:left w:w="113" w:type="dxa"/>
        <w:right w:w="113" w:type="dxa"/>
      </w:tblCellMar>
    </w:tblPr>
  </w:style>
  <w:style w:type="paragraph" w:customStyle="1" w:styleId="Textcts">
    <w:name w:val="Textcts"/>
    <w:basedOn w:val="Text"/>
    <w:qFormat/>
    <w:rsid w:val="0063288C"/>
    <w:pPr>
      <w:spacing w:before="0"/>
      <w:ind w:firstLine="0"/>
    </w:pPr>
    <w:rPr>
      <w:rFonts w:cs="Times New Roman"/>
      <w:kern w:val="20"/>
    </w:rPr>
  </w:style>
  <w:style w:type="paragraph" w:styleId="TOC1">
    <w:name w:val="toc 1"/>
    <w:basedOn w:val="Normal"/>
    <w:next w:val="Normal"/>
    <w:uiPriority w:val="39"/>
    <w:rsid w:val="00417538"/>
    <w:pPr>
      <w:tabs>
        <w:tab w:val="decimal" w:pos="227"/>
        <w:tab w:val="left" w:pos="454"/>
        <w:tab w:val="right" w:leader="dot" w:pos="6430"/>
        <w:tab w:val="right" w:pos="6821"/>
      </w:tabs>
    </w:pPr>
    <w:rPr>
      <w:bCs/>
      <w:szCs w:val="22"/>
      <w14:numSpacing w14:val="tabular"/>
    </w:rPr>
  </w:style>
  <w:style w:type="paragraph" w:styleId="TOC2">
    <w:name w:val="toc 2"/>
    <w:basedOn w:val="Normal"/>
    <w:next w:val="Normal"/>
    <w:uiPriority w:val="39"/>
    <w:rsid w:val="00B25BEB"/>
    <w:pPr>
      <w:pageBreakBefore/>
      <w:spacing w:line="14" w:lineRule="auto"/>
    </w:pPr>
    <w:rPr>
      <w:sz w:val="8"/>
      <w:szCs w:val="8"/>
      <w14:numSpacing w14:val="tabular"/>
    </w:rPr>
  </w:style>
  <w:style w:type="paragraph" w:styleId="TOC3">
    <w:name w:val="toc 3"/>
    <w:basedOn w:val="Normal"/>
    <w:next w:val="Normal"/>
    <w:uiPriority w:val="39"/>
    <w:rsid w:val="00417538"/>
    <w:pPr>
      <w:tabs>
        <w:tab w:val="right" w:leader="dot" w:pos="6430"/>
        <w:tab w:val="right" w:pos="6821"/>
      </w:tabs>
      <w:ind w:left="454"/>
    </w:pPr>
    <w:rPr>
      <w:szCs w:val="24"/>
      <w:lang w:eastAsia="en-GB"/>
      <w14:numSpacing w14:val="tabular"/>
    </w:rPr>
  </w:style>
  <w:style w:type="paragraph" w:styleId="TOC4">
    <w:name w:val="toc 4"/>
    <w:basedOn w:val="Normal"/>
    <w:next w:val="Normal"/>
    <w:autoRedefine/>
    <w:uiPriority w:val="39"/>
    <w:unhideWhenUsed/>
    <w:rsid w:val="008260FD"/>
    <w:pPr>
      <w:spacing w:after="100" w:line="259" w:lineRule="auto"/>
      <w:ind w:left="660"/>
    </w:pPr>
    <w:rPr>
      <w:rFonts w:asciiTheme="minorHAnsi" w:eastAsiaTheme="minorEastAsia" w:hAnsiTheme="minorHAnsi" w:cstheme="minorBidi"/>
      <w:lang w:val="en-US"/>
    </w:rPr>
  </w:style>
  <w:style w:type="character" w:styleId="EndnoteReference">
    <w:name w:val="endnote reference"/>
    <w:basedOn w:val="DefaultParagraphFont"/>
    <w:uiPriority w:val="99"/>
    <w:unhideWhenUsed/>
    <w:rsid w:val="008260FD"/>
    <w:rPr>
      <w:vertAlign w:val="superscript"/>
    </w:rPr>
  </w:style>
  <w:style w:type="paragraph" w:styleId="Caption">
    <w:name w:val="caption"/>
    <w:basedOn w:val="Normal"/>
    <w:next w:val="Normal"/>
    <w:unhideWhenUsed/>
    <w:qFormat/>
    <w:rsid w:val="00CE39CB"/>
    <w:pPr>
      <w:spacing w:after="200"/>
    </w:pPr>
    <w:rPr>
      <w:b/>
      <w:bCs/>
      <w:sz w:val="18"/>
      <w:szCs w:val="18"/>
    </w:rPr>
  </w:style>
  <w:style w:type="character" w:customStyle="1" w:styleId="Heading9Char">
    <w:name w:val="Heading 9 Char"/>
    <w:basedOn w:val="DefaultParagraphFont"/>
    <w:link w:val="Heading9"/>
    <w:semiHidden/>
    <w:rsid w:val="0063288C"/>
    <w:rPr>
      <w:rFonts w:asciiTheme="majorHAnsi" w:eastAsiaTheme="majorEastAsia" w:hAnsiTheme="majorHAnsi" w:cstheme="majorBidi"/>
      <w:i/>
      <w:iCs/>
      <w:noProof/>
      <w:color w:val="404040" w:themeColor="text1" w:themeTint="BF"/>
    </w:rPr>
  </w:style>
  <w:style w:type="character" w:customStyle="1" w:styleId="Heading6Char">
    <w:name w:val="Heading 6 Char"/>
    <w:basedOn w:val="DefaultParagraphFont"/>
    <w:link w:val="Heading6"/>
    <w:rsid w:val="0063288C"/>
    <w:rPr>
      <w:rFonts w:asciiTheme="majorHAnsi" w:eastAsiaTheme="majorEastAsia" w:hAnsiTheme="majorHAnsi" w:cstheme="majorBidi"/>
      <w:i/>
      <w:iCs/>
      <w:noProof/>
      <w:color w:val="243F60" w:themeColor="accent1" w:themeShade="7F"/>
    </w:rPr>
  </w:style>
  <w:style w:type="character" w:customStyle="1" w:styleId="Heading5Char">
    <w:name w:val="Heading 5 Char"/>
    <w:basedOn w:val="DefaultParagraphFont"/>
    <w:link w:val="Heading5"/>
    <w:rsid w:val="008260FD"/>
    <w:rPr>
      <w:rFonts w:ascii="Cambria" w:hAnsi="Cambria" w:cstheme="majorBidi"/>
      <w:b/>
      <w:color w:val="666666"/>
      <w:sz w:val="20"/>
      <w:szCs w:val="20"/>
      <w14:numForm w14:val="oldStyle"/>
      <w14:numSpacing w14:val="proportional"/>
    </w:rPr>
  </w:style>
  <w:style w:type="character" w:customStyle="1" w:styleId="Heading7Char">
    <w:name w:val="Heading 7 Char"/>
    <w:basedOn w:val="DefaultParagraphFont"/>
    <w:link w:val="Heading7"/>
    <w:semiHidden/>
    <w:rsid w:val="0063288C"/>
    <w:rPr>
      <w:rFonts w:asciiTheme="majorHAnsi" w:eastAsiaTheme="majorEastAsia" w:hAnsiTheme="majorHAnsi" w:cstheme="majorBidi"/>
      <w:i/>
      <w:iCs/>
      <w:noProof/>
      <w:color w:val="404040" w:themeColor="text1" w:themeTint="BF"/>
    </w:rPr>
  </w:style>
  <w:style w:type="paragraph" w:customStyle="1" w:styleId="Bullet2">
    <w:name w:val="Bullet2"/>
    <w:basedOn w:val="BulletText"/>
    <w:link w:val="Bullet2Char"/>
    <w:qFormat/>
    <w:rsid w:val="007949AC"/>
    <w:pPr>
      <w:ind w:left="568"/>
    </w:pPr>
    <w:rPr>
      <w14:numSpacing w14:val="default"/>
    </w:rPr>
  </w:style>
  <w:style w:type="character" w:customStyle="1" w:styleId="Bullet2Char">
    <w:name w:val="Bullet2 Char"/>
    <w:basedOn w:val="DefaultParagraphFont"/>
    <w:link w:val="Bullet2"/>
    <w:rsid w:val="007949AC"/>
    <w:rPr>
      <w:rFonts w:ascii="Cambria" w:hAnsi="Cambria" w:cs="Gentium Book Basic"/>
      <w14:numForm w14:val="oldStyle"/>
    </w:rPr>
  </w:style>
  <w:style w:type="paragraph" w:customStyle="1" w:styleId="Bullet2ct">
    <w:name w:val="Bullet2 ct"/>
    <w:basedOn w:val="BulletText"/>
    <w:link w:val="Bullet2ctChar"/>
    <w:qFormat/>
    <w:rsid w:val="007949AC"/>
    <w:pPr>
      <w:spacing w:before="0"/>
      <w:ind w:left="568"/>
    </w:pPr>
    <w:rPr>
      <w14:numSpacing w14:val="default"/>
    </w:rPr>
  </w:style>
  <w:style w:type="character" w:customStyle="1" w:styleId="Bullet2ctChar">
    <w:name w:val="Bullet2 ct Char"/>
    <w:basedOn w:val="DefaultParagraphFont"/>
    <w:link w:val="Bullet2ct"/>
    <w:rsid w:val="007949AC"/>
    <w:rPr>
      <w:rFonts w:ascii="Cambria" w:hAnsi="Cambria" w:cs="Gentium Book Basic"/>
      <w14:numForm w14:val="oldStyle"/>
    </w:rPr>
  </w:style>
  <w:style w:type="paragraph" w:customStyle="1" w:styleId="Translit">
    <w:name w:val="Translit"/>
    <w:basedOn w:val="Normal"/>
    <w:link w:val="TranslitChar"/>
    <w:rsid w:val="008260FD"/>
    <w:pPr>
      <w:tabs>
        <w:tab w:val="left" w:pos="3260"/>
        <w:tab w:val="left" w:pos="6521"/>
      </w:tabs>
      <w:ind w:left="567" w:hanging="567"/>
    </w:pPr>
    <w:rPr>
      <w:sz w:val="18"/>
      <w:szCs w:val="18"/>
    </w:rPr>
  </w:style>
  <w:style w:type="character" w:customStyle="1" w:styleId="TranslitChar">
    <w:name w:val="Translit Char"/>
    <w:link w:val="Translit"/>
    <w:rsid w:val="008260FD"/>
    <w:rPr>
      <w:rFonts w:ascii="Cambria" w:hAnsi="Cambria"/>
      <w:sz w:val="18"/>
      <w:szCs w:val="18"/>
      <w14:numForm w14:val="oldStyle"/>
      <w14:numSpacing w14:val="proportional"/>
    </w:rPr>
  </w:style>
  <w:style w:type="paragraph" w:customStyle="1" w:styleId="Poetry">
    <w:name w:val="Poetry"/>
    <w:basedOn w:val="Normal"/>
    <w:rsid w:val="008260FD"/>
    <w:pPr>
      <w:keepNext/>
      <w:spacing w:before="120"/>
      <w:ind w:left="1418" w:hanging="567"/>
    </w:pPr>
    <w:rPr>
      <w:i/>
    </w:rPr>
  </w:style>
  <w:style w:type="paragraph" w:customStyle="1" w:styleId="Poetrycts">
    <w:name w:val="Poetrycts"/>
    <w:basedOn w:val="Poetry"/>
    <w:rsid w:val="008260FD"/>
    <w:pPr>
      <w:keepNext w:val="0"/>
      <w:spacing w:before="0"/>
    </w:pPr>
  </w:style>
  <w:style w:type="paragraph" w:styleId="TOC5">
    <w:name w:val="toc 5"/>
    <w:basedOn w:val="Normal"/>
    <w:next w:val="Normal"/>
    <w:autoRedefine/>
    <w:uiPriority w:val="39"/>
    <w:unhideWhenUsed/>
    <w:rsid w:val="00920CF7"/>
    <w:pPr>
      <w:tabs>
        <w:tab w:val="decimal" w:pos="284"/>
        <w:tab w:val="decimal" w:pos="737"/>
        <w:tab w:val="left" w:pos="992"/>
        <w:tab w:val="right" w:leader="dot" w:pos="6430"/>
        <w:tab w:val="right" w:pos="6821"/>
      </w:tabs>
      <w:spacing w:after="100"/>
      <w:ind w:left="993" w:hanging="539"/>
    </w:pPr>
    <w:rPr>
      <w:rFonts w:eastAsiaTheme="minorEastAsia" w:cstheme="minorBidi"/>
      <w:lang w:val="en-US"/>
      <w14:numSpacing w14:val="tabular"/>
    </w:rPr>
  </w:style>
  <w:style w:type="paragraph" w:customStyle="1" w:styleId="EndnoteTextHead">
    <w:name w:val="Endnote Text Head"/>
    <w:basedOn w:val="EndnoteText"/>
    <w:link w:val="EndnoteTextHeadChar"/>
    <w:rsid w:val="00A46F8D"/>
    <w:pPr>
      <w:keepNext/>
      <w:spacing w:before="60" w:after="20"/>
    </w:pPr>
    <w:rPr>
      <w:b/>
      <w:bCs/>
    </w:rPr>
  </w:style>
  <w:style w:type="character" w:customStyle="1" w:styleId="EndnoteTextHeadChar">
    <w:name w:val="Endnote Text Head Char"/>
    <w:basedOn w:val="EndnoteTextChar"/>
    <w:link w:val="EndnoteTextHead"/>
    <w:rsid w:val="00A46F8D"/>
    <w:rPr>
      <w:rFonts w:ascii="Cambria" w:hAnsi="Cambria" w:cs="Times New Roman"/>
      <w:b/>
      <w:bCs/>
      <w:kern w:val="20"/>
      <w:sz w:val="18"/>
      <w:szCs w:val="20"/>
      <w14:numForm w14:val="oldStyle"/>
      <w14:numSpacing w14:val="proportional"/>
    </w:rPr>
  </w:style>
  <w:style w:type="paragraph" w:customStyle="1" w:styleId="Textleftn">
    <w:name w:val="Text_leftn"/>
    <w:basedOn w:val="Normal"/>
    <w:link w:val="TextleftnChar"/>
    <w:rsid w:val="00C461BE"/>
    <w:pPr>
      <w:widowControl/>
      <w:tabs>
        <w:tab w:val="left" w:pos="284"/>
      </w:tabs>
      <w:spacing w:before="120"/>
      <w:ind w:hanging="737"/>
      <w:jc w:val="both"/>
    </w:pPr>
    <w:rPr>
      <w:rFonts w:cs="Gentium Book Basic"/>
      <w:sz w:val="22"/>
      <w:lang w:val="en-US"/>
    </w:rPr>
  </w:style>
  <w:style w:type="character" w:customStyle="1" w:styleId="TextleftnChar">
    <w:name w:val="Text_leftn Char"/>
    <w:basedOn w:val="DefaultParagraphFont"/>
    <w:link w:val="Textleftn"/>
    <w:rsid w:val="00C461BE"/>
    <w:rPr>
      <w:rFonts w:ascii="Cambria" w:hAnsi="Cambria"/>
      <w:lang w:val="en-US"/>
      <w14:numForm w14:val="oldStyle"/>
      <w14:numSpacing w14:val="proportional"/>
    </w:rPr>
  </w:style>
  <w:style w:type="paragraph" w:customStyle="1" w:styleId="Textrightn">
    <w:name w:val="Text_rightn"/>
    <w:basedOn w:val="Textleftn"/>
    <w:link w:val="TextrightnChar"/>
    <w:rsid w:val="008260FD"/>
    <w:pPr>
      <w:tabs>
        <w:tab w:val="right" w:pos="5812"/>
      </w:tabs>
      <w:suppressAutoHyphens/>
      <w:ind w:left="851"/>
    </w:pPr>
  </w:style>
  <w:style w:type="character" w:customStyle="1" w:styleId="TextrightnChar">
    <w:name w:val="Text_rightn Char"/>
    <w:basedOn w:val="TextleftnChar"/>
    <w:link w:val="Textrightn"/>
    <w:rsid w:val="008260FD"/>
    <w:rPr>
      <w:rFonts w:ascii="Cambria" w:hAnsi="Cambria"/>
      <w:sz w:val="20"/>
      <w:lang w:val="en-US"/>
      <w14:numForm w14:val="oldStyle"/>
      <w14:numSpacing w14:val="proportional"/>
    </w:rPr>
  </w:style>
  <w:style w:type="character" w:customStyle="1" w:styleId="TextChar">
    <w:name w:val="Text Char"/>
    <w:basedOn w:val="DefaultParagraphFont"/>
    <w:link w:val="Text"/>
    <w:rsid w:val="0063288C"/>
    <w:rPr>
      <w:rFonts w:ascii="Cambria" w:hAnsi="Cambria" w:cs="Gentium Book Basic"/>
      <w14:numForm w14:val="oldStyle"/>
      <w14:numSpacing w14:val="proportional"/>
    </w:rPr>
  </w:style>
  <w:style w:type="paragraph" w:customStyle="1" w:styleId="Rodwell">
    <w:name w:val="Rodwell"/>
    <w:basedOn w:val="Normal"/>
    <w:link w:val="RodwellChar"/>
    <w:rsid w:val="008260FD"/>
    <w:pPr>
      <w:tabs>
        <w:tab w:val="left" w:pos="284"/>
      </w:tabs>
      <w:spacing w:before="120"/>
      <w:ind w:left="567" w:hanging="567"/>
    </w:pPr>
    <w:rPr>
      <w:sz w:val="18"/>
    </w:rPr>
  </w:style>
  <w:style w:type="character" w:customStyle="1" w:styleId="RodwellChar">
    <w:name w:val="Rodwell Char"/>
    <w:basedOn w:val="DefaultParagraphFont"/>
    <w:link w:val="Rodwell"/>
    <w:rsid w:val="008260FD"/>
    <w:rPr>
      <w:rFonts w:ascii="Cambria" w:hAnsi="Cambria"/>
      <w:sz w:val="18"/>
      <w14:numForm w14:val="oldStyle"/>
      <w14:numSpacing w14:val="proportional"/>
    </w:rPr>
  </w:style>
  <w:style w:type="paragraph" w:customStyle="1" w:styleId="Rodwellcts">
    <w:name w:val="Rodwellcts"/>
    <w:basedOn w:val="Rodwell"/>
    <w:link w:val="RodwellctsChar"/>
    <w:rsid w:val="008260FD"/>
    <w:pPr>
      <w:spacing w:before="0"/>
    </w:pPr>
  </w:style>
  <w:style w:type="character" w:customStyle="1" w:styleId="RodwellctsChar">
    <w:name w:val="Rodwellcts Char"/>
    <w:basedOn w:val="RodwellChar"/>
    <w:link w:val="Rodwellcts"/>
    <w:rsid w:val="008260FD"/>
    <w:rPr>
      <w:rFonts w:ascii="Cambria" w:hAnsi="Cambria"/>
      <w:sz w:val="18"/>
      <w14:numForm w14:val="oldStyle"/>
      <w14:numSpacing w14:val="proportional"/>
    </w:rPr>
  </w:style>
  <w:style w:type="paragraph" w:customStyle="1" w:styleId="Myhead3">
    <w:name w:val="Myhead3"/>
    <w:basedOn w:val="Normal"/>
    <w:rsid w:val="008260FD"/>
    <w:pPr>
      <w:spacing w:before="120"/>
    </w:pPr>
    <w:rPr>
      <w:b/>
      <w:sz w:val="22"/>
      <w:szCs w:val="24"/>
      <w14:numForm w14:val="lining"/>
    </w:rPr>
  </w:style>
  <w:style w:type="paragraph" w:styleId="TOC6">
    <w:name w:val="toc 6"/>
    <w:basedOn w:val="Normal"/>
    <w:next w:val="Normal"/>
    <w:autoRedefine/>
    <w:uiPriority w:val="39"/>
    <w:unhideWhenUsed/>
    <w:rsid w:val="008260FD"/>
    <w:pPr>
      <w:spacing w:after="100" w:line="259" w:lineRule="auto"/>
      <w:ind w:left="1100"/>
    </w:pPr>
    <w:rPr>
      <w:rFonts w:asciiTheme="minorHAnsi" w:eastAsiaTheme="minorEastAsia" w:hAnsiTheme="minorHAnsi" w:cstheme="minorBidi"/>
      <w:lang w:val="en-US"/>
    </w:rPr>
  </w:style>
  <w:style w:type="paragraph" w:styleId="Bibliography">
    <w:name w:val="Bibliography"/>
    <w:basedOn w:val="Normal"/>
    <w:next w:val="Normal"/>
    <w:uiPriority w:val="37"/>
    <w:rsid w:val="00CA34C9"/>
    <w:pPr>
      <w:ind w:left="284" w:hanging="284"/>
    </w:pPr>
  </w:style>
  <w:style w:type="paragraph" w:customStyle="1" w:styleId="MyHead4">
    <w:name w:val="MyHead4"/>
    <w:basedOn w:val="Myhead3"/>
    <w:rsid w:val="008260FD"/>
    <w:rPr>
      <w:i/>
      <w:sz w:val="20"/>
      <w:szCs w:val="22"/>
    </w:rPr>
  </w:style>
  <w:style w:type="character" w:customStyle="1" w:styleId="UnresolvedMention">
    <w:name w:val="Unresolved Mention"/>
    <w:basedOn w:val="DefaultParagraphFont"/>
    <w:uiPriority w:val="99"/>
    <w:semiHidden/>
    <w:unhideWhenUsed/>
    <w:rsid w:val="008260FD"/>
    <w:rPr>
      <w:color w:val="605E5C"/>
      <w:shd w:val="clear" w:color="auto" w:fill="E1DFDD"/>
    </w:rPr>
  </w:style>
  <w:style w:type="character" w:customStyle="1" w:styleId="Heading4Char">
    <w:name w:val="Heading 4 Char"/>
    <w:basedOn w:val="DefaultParagraphFont"/>
    <w:link w:val="Heading4"/>
    <w:rsid w:val="008260FD"/>
    <w:rPr>
      <w:rFonts w:ascii="Cambria" w:hAnsi="Cambria"/>
      <w:i/>
      <w:color w:val="666666"/>
      <w:sz w:val="20"/>
      <w14:numForm w14:val="oldStyle"/>
      <w14:numSpacing w14:val="proportional"/>
    </w:rPr>
  </w:style>
  <w:style w:type="paragraph" w:styleId="TOC7">
    <w:name w:val="toc 7"/>
    <w:basedOn w:val="Normal"/>
    <w:next w:val="Normal"/>
    <w:autoRedefine/>
    <w:uiPriority w:val="39"/>
    <w:unhideWhenUsed/>
    <w:rsid w:val="008260FD"/>
    <w:pPr>
      <w:spacing w:after="100" w:line="259" w:lineRule="auto"/>
      <w:ind w:left="1320"/>
    </w:pPr>
    <w:rPr>
      <w:rFonts w:asciiTheme="minorHAnsi" w:eastAsiaTheme="minorEastAsia" w:hAnsiTheme="minorHAnsi" w:cstheme="minorBidi"/>
      <w:lang w:val="en-US"/>
    </w:rPr>
  </w:style>
  <w:style w:type="paragraph" w:styleId="TOC8">
    <w:name w:val="toc 8"/>
    <w:basedOn w:val="Normal"/>
    <w:next w:val="Normal"/>
    <w:autoRedefine/>
    <w:uiPriority w:val="39"/>
    <w:unhideWhenUsed/>
    <w:rsid w:val="008260FD"/>
    <w:pPr>
      <w:spacing w:after="100" w:line="259" w:lineRule="auto"/>
      <w:ind w:left="1540"/>
    </w:pPr>
    <w:rPr>
      <w:rFonts w:asciiTheme="minorHAnsi" w:eastAsiaTheme="minorEastAsia" w:hAnsiTheme="minorHAnsi" w:cstheme="minorBidi"/>
      <w:lang w:val="en-US"/>
    </w:rPr>
  </w:style>
  <w:style w:type="paragraph" w:styleId="TOC9">
    <w:name w:val="toc 9"/>
    <w:basedOn w:val="Normal"/>
    <w:next w:val="Normal"/>
    <w:autoRedefine/>
    <w:uiPriority w:val="39"/>
    <w:unhideWhenUsed/>
    <w:rsid w:val="008260FD"/>
    <w:pPr>
      <w:spacing w:after="100" w:line="259" w:lineRule="auto"/>
      <w:ind w:left="1760"/>
    </w:pPr>
    <w:rPr>
      <w:rFonts w:asciiTheme="minorHAnsi" w:eastAsiaTheme="minorEastAsia" w:hAnsiTheme="minorHAnsi" w:cstheme="minorBidi"/>
      <w:lang w:val="en-US"/>
    </w:rPr>
  </w:style>
  <w:style w:type="paragraph" w:styleId="Title">
    <w:name w:val="Title"/>
    <w:basedOn w:val="Normal"/>
    <w:next w:val="Normal"/>
    <w:link w:val="TitleChar"/>
    <w:rsid w:val="008260FD"/>
    <w:pPr>
      <w:keepNext/>
      <w:keepLines/>
      <w:spacing w:before="480" w:after="120"/>
    </w:pPr>
    <w:rPr>
      <w:b/>
      <w:sz w:val="72"/>
      <w:szCs w:val="72"/>
    </w:rPr>
  </w:style>
  <w:style w:type="character" w:customStyle="1" w:styleId="TitleChar">
    <w:name w:val="Title Char"/>
    <w:basedOn w:val="DefaultParagraphFont"/>
    <w:link w:val="Title"/>
    <w:rsid w:val="008260FD"/>
    <w:rPr>
      <w:rFonts w:ascii="Cambria" w:hAnsi="Cambria"/>
      <w:b/>
      <w:sz w:val="72"/>
      <w:szCs w:val="72"/>
      <w14:numForm w14:val="oldStyle"/>
      <w14:numSpacing w14:val="proportional"/>
    </w:rPr>
  </w:style>
  <w:style w:type="paragraph" w:styleId="Subtitle">
    <w:name w:val="Subtitle"/>
    <w:basedOn w:val="Normal"/>
    <w:next w:val="Normal"/>
    <w:link w:val="SubtitleChar"/>
    <w:rsid w:val="008260FD"/>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rsid w:val="008260FD"/>
    <w:rPr>
      <w:rFonts w:ascii="Georgia" w:eastAsia="Georgia" w:hAnsi="Georgia" w:cs="Georgia"/>
      <w:i/>
      <w:color w:val="666666"/>
      <w:sz w:val="48"/>
      <w:szCs w:val="48"/>
      <w14:numForm w14:val="oldStyle"/>
      <w14:numSpacing w14:val="proportional"/>
    </w:rPr>
  </w:style>
  <w:style w:type="character" w:styleId="Hyperlink">
    <w:name w:val="Hyperlink"/>
    <w:basedOn w:val="DefaultParagraphFont"/>
    <w:uiPriority w:val="99"/>
    <w:unhideWhenUsed/>
    <w:rsid w:val="008260FD"/>
    <w:rPr>
      <w:color w:val="0000FF"/>
      <w:u w:val="single"/>
    </w:rPr>
  </w:style>
  <w:style w:type="character" w:styleId="FollowedHyperlink">
    <w:name w:val="FollowedHyperlink"/>
    <w:basedOn w:val="DefaultParagraphFont"/>
    <w:uiPriority w:val="99"/>
    <w:semiHidden/>
    <w:unhideWhenUsed/>
    <w:rsid w:val="008260FD"/>
    <w:rPr>
      <w:color w:val="800080" w:themeColor="followedHyperlink"/>
      <w:u w:val="single"/>
    </w:rPr>
  </w:style>
  <w:style w:type="character" w:styleId="Strong">
    <w:name w:val="Strong"/>
    <w:basedOn w:val="DefaultParagraphFont"/>
    <w:uiPriority w:val="22"/>
    <w:rsid w:val="008260FD"/>
    <w:rPr>
      <w:b/>
      <w:bCs/>
    </w:rPr>
  </w:style>
  <w:style w:type="paragraph" w:styleId="NormalWeb">
    <w:name w:val="Normal (Web)"/>
    <w:basedOn w:val="Normal"/>
    <w:uiPriority w:val="99"/>
    <w:semiHidden/>
    <w:unhideWhenUsed/>
    <w:rsid w:val="008260FD"/>
    <w:rPr>
      <w:rFonts w:ascii="Times New Roman" w:hAnsi="Times New Roman"/>
      <w:sz w:val="24"/>
      <w:szCs w:val="24"/>
    </w:rPr>
  </w:style>
  <w:style w:type="paragraph" w:styleId="ListParagraph">
    <w:name w:val="List Paragraph"/>
    <w:basedOn w:val="Normal"/>
    <w:uiPriority w:val="34"/>
    <w:rsid w:val="008260FD"/>
    <w:pPr>
      <w:ind w:left="720"/>
      <w:contextualSpacing/>
    </w:pPr>
  </w:style>
  <w:style w:type="paragraph" w:styleId="TOCHeading">
    <w:name w:val="TOC Heading"/>
    <w:basedOn w:val="Heading1"/>
    <w:next w:val="Normal"/>
    <w:uiPriority w:val="39"/>
    <w:semiHidden/>
    <w:unhideWhenUsed/>
    <w:qFormat/>
    <w:rsid w:val="0063288C"/>
    <w:pPr>
      <w:spacing w:after="0"/>
      <w:outlineLvl w:val="9"/>
    </w:pPr>
    <w:rPr>
      <w:rFonts w:asciiTheme="majorHAnsi" w:eastAsiaTheme="majorEastAsia" w:hAnsiTheme="majorHAnsi" w:cstheme="majorBidi"/>
      <w:bCs/>
      <w:color w:val="365F91" w:themeColor="accent1" w:themeShade="BF"/>
      <w:sz w:val="28"/>
      <w:szCs w:val="28"/>
    </w:rPr>
  </w:style>
  <w:style w:type="character" w:customStyle="1" w:styleId="nastaliq">
    <w:name w:val="nastaliq"/>
    <w:basedOn w:val="DefaultParagraphFont"/>
    <w:rsid w:val="00EB6DAC"/>
  </w:style>
  <w:style w:type="paragraph" w:styleId="BalloonText">
    <w:name w:val="Balloon Text"/>
    <w:basedOn w:val="Normal"/>
    <w:link w:val="BalloonTextChar"/>
    <w:uiPriority w:val="99"/>
    <w:rsid w:val="00D472F1"/>
    <w:rPr>
      <w:rFonts w:ascii="Tahoma" w:hAnsi="Tahoma" w:cs="Tahoma"/>
      <w:sz w:val="16"/>
      <w:szCs w:val="16"/>
    </w:rPr>
  </w:style>
  <w:style w:type="character" w:customStyle="1" w:styleId="BalloonTextChar">
    <w:name w:val="Balloon Text Char"/>
    <w:basedOn w:val="DefaultParagraphFont"/>
    <w:link w:val="BalloonText"/>
    <w:uiPriority w:val="99"/>
    <w:rsid w:val="00D472F1"/>
    <w:rPr>
      <w:rFonts w:ascii="Tahoma" w:hAnsi="Tahoma" w:cs="Tahoma"/>
      <w:sz w:val="16"/>
      <w:szCs w:val="16"/>
      <w14:numForm w14:val="oldStyl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1658058">
      <w:bodyDiv w:val="1"/>
      <w:marLeft w:val="0"/>
      <w:marRight w:val="0"/>
      <w:marTop w:val="0"/>
      <w:marBottom w:val="0"/>
      <w:divBdr>
        <w:top w:val="none" w:sz="0" w:space="0" w:color="auto"/>
        <w:left w:val="none" w:sz="0" w:space="0" w:color="auto"/>
        <w:bottom w:val="none" w:sz="0" w:space="0" w:color="auto"/>
        <w:right w:val="none" w:sz="0" w:space="0" w:color="auto"/>
      </w:divBdr>
    </w:div>
    <w:div w:id="1707295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footer" Target="footer7.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3.emf"/><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5.xml"/><Relationship Id="rId10" Type="http://schemas.openxmlformats.org/officeDocument/2006/relationships/image" Target="media/image2.emf"/><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1AC593-AC30-460A-A5D8-A252CAF95C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245</Pages>
  <Words>74777</Words>
  <Characters>426231</Characters>
  <Application>Microsoft Office Word</Application>
  <DocSecurity>0</DocSecurity>
  <Lines>3551</Lines>
  <Paragraphs>1000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500008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2025-06-25T02:49:00Z</dcterms:created>
  <dcterms:modified xsi:type="dcterms:W3CDTF">2025-08-24T06:28:00Z</dcterms:modified>
</cp:coreProperties>
</file>